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8A77D4" w14:textId="77777777" w:rsidR="00AB3647" w:rsidRDefault="00000000" w:rsidP="007923E9">
      <w:pPr>
        <w:spacing w:before="2400" w:after="600" w:line="276" w:lineRule="auto"/>
        <w:jc w:val="center"/>
      </w:pPr>
      <w:r>
        <w:rPr>
          <w:sz w:val="30"/>
          <w:szCs w:val="30"/>
          <w:rtl/>
        </w:rPr>
        <w:t xml:space="preserve">נתן </w:t>
      </w:r>
      <w:proofErr w:type="spellStart"/>
      <w:r>
        <w:rPr>
          <w:sz w:val="30"/>
          <w:szCs w:val="30"/>
          <w:rtl/>
        </w:rPr>
        <w:t>קמינצקי</w:t>
      </w:r>
      <w:proofErr w:type="spellEnd"/>
    </w:p>
    <w:p w14:paraId="3823A7CE" w14:textId="77777777" w:rsidR="00AB3647" w:rsidRDefault="00000000" w:rsidP="007923E9">
      <w:pPr>
        <w:spacing w:after="400" w:line="276" w:lineRule="auto"/>
        <w:jc w:val="center"/>
      </w:pPr>
      <w:r>
        <w:rPr>
          <w:b/>
          <w:bCs/>
          <w:sz w:val="56"/>
          <w:szCs w:val="56"/>
          <w:rtl/>
        </w:rPr>
        <w:t>גידולו של גדול</w:t>
      </w:r>
    </w:p>
    <w:p w14:paraId="4AE94E9F" w14:textId="77777777" w:rsidR="00AB3647" w:rsidRDefault="00000000" w:rsidP="007923E9">
      <w:pPr>
        <w:spacing w:after="300" w:line="276" w:lineRule="auto"/>
        <w:jc w:val="center"/>
      </w:pPr>
      <w:r>
        <w:rPr>
          <w:sz w:val="30"/>
          <w:szCs w:val="30"/>
          <w:rtl/>
        </w:rPr>
        <w:t>עיון בפרקי חייהם של גדולי תורה</w:t>
      </w:r>
    </w:p>
    <w:p w14:paraId="737A0552" w14:textId="77777777" w:rsidR="00AB3647" w:rsidRDefault="00000000" w:rsidP="007923E9">
      <w:pPr>
        <w:spacing w:after="300" w:line="276" w:lineRule="auto"/>
        <w:jc w:val="center"/>
      </w:pPr>
      <w:r>
        <w:rPr>
          <w:sz w:val="30"/>
          <w:szCs w:val="30"/>
          <w:rtl/>
        </w:rPr>
        <w:t>כרך א׳</w:t>
      </w:r>
    </w:p>
    <w:p w14:paraId="2B2B19A5" w14:textId="77777777" w:rsidR="00AB3647" w:rsidRDefault="00000000" w:rsidP="007923E9">
      <w:pPr>
        <w:spacing w:line="276" w:lineRule="auto"/>
      </w:pPr>
      <w:r>
        <w:br w:type="page"/>
      </w:r>
    </w:p>
    <w:p w14:paraId="2F839659" w14:textId="77777777" w:rsidR="00AB3647" w:rsidRDefault="00000000" w:rsidP="007923E9">
      <w:pPr>
        <w:spacing w:before="3600" w:after="120" w:line="276" w:lineRule="auto"/>
        <w:jc w:val="center"/>
      </w:pPr>
      <w:proofErr w:type="spellStart"/>
      <w:r>
        <w:rPr>
          <w:b/>
          <w:bCs/>
          <w:sz w:val="40"/>
          <w:szCs w:val="40"/>
          <w:rtl/>
        </w:rPr>
        <w:lastRenderedPageBreak/>
        <w:t>תְּחִלַּת</w:t>
      </w:r>
      <w:proofErr w:type="spellEnd"/>
      <w:r>
        <w:rPr>
          <w:b/>
          <w:bCs/>
          <w:sz w:val="40"/>
          <w:szCs w:val="40"/>
          <w:rtl/>
        </w:rPr>
        <w:t xml:space="preserve"> חָכְמָה יִרְאַת ה׳ וְדַעַת קְדֹשִׁים בִּינָה</w:t>
      </w:r>
    </w:p>
    <w:p w14:paraId="662BB224" w14:textId="77777777" w:rsidR="00AB3647" w:rsidRDefault="00000000" w:rsidP="007923E9">
      <w:pPr>
        <w:spacing w:line="276" w:lineRule="auto"/>
        <w:jc w:val="center"/>
      </w:pPr>
      <w:r>
        <w:rPr>
          <w:rtl/>
        </w:rPr>
        <w:t>(משלי ט, י)</w:t>
      </w:r>
    </w:p>
    <w:p w14:paraId="355DF8CE" w14:textId="77777777" w:rsidR="00AB3647" w:rsidRDefault="00AB3647" w:rsidP="007923E9">
      <w:pPr>
        <w:spacing w:line="276" w:lineRule="auto"/>
        <w:sectPr w:rsidR="00AB3647">
          <w:footerReference w:type="default" r:id="rId7"/>
          <w:footnotePr>
            <w:pos w:val="pageBottom"/>
            <w:numRestart w:val="eachSect"/>
          </w:footnotePr>
          <w:pgSz w:w="9638" w:h="13606"/>
          <w:pgMar w:top="1134" w:right="1077" w:bottom="1134" w:left="1077" w:header="567" w:footer="567" w:gutter="0"/>
          <w:cols w:space="720"/>
          <w:bidi/>
          <w:docGrid w:linePitch="360"/>
        </w:sectPr>
      </w:pPr>
    </w:p>
    <w:p w14:paraId="711EB5A0" w14:textId="77777777" w:rsidR="00AB3647" w:rsidRDefault="00000000" w:rsidP="007923E9">
      <w:pPr>
        <w:spacing w:before="240" w:after="240" w:line="276" w:lineRule="auto"/>
        <w:jc w:val="center"/>
      </w:pPr>
      <w:r>
        <w:rPr>
          <w:b/>
          <w:bCs/>
          <w:sz w:val="32"/>
          <w:szCs w:val="32"/>
          <w:rtl/>
        </w:rPr>
        <w:lastRenderedPageBreak/>
        <w:t>תוכן עניינים</w:t>
      </w:r>
    </w:p>
    <w:p w14:paraId="422A9D35" w14:textId="77777777" w:rsidR="00AB3647" w:rsidRDefault="00000000" w:rsidP="007923E9">
      <w:pPr>
        <w:pStyle w:val="TOC1"/>
        <w:keepLines/>
        <w:spacing w:line="276" w:lineRule="auto"/>
      </w:pPr>
      <w:hyperlink w:anchor="b0_translator" w:history="1">
        <w:r>
          <w:t>הערת המתרגם</w:t>
        </w:r>
      </w:hyperlink>
      <w:r>
        <w:tab/>
      </w:r>
      <w:r>
        <w:fldChar w:fldCharType="begin" w:dirty="true"/>
      </w:r>
      <w:r>
        <w:instrText xml:space="preserve"> PAGEREF b0_translator \h </w:instrText>
      </w:r>
      <w:r>
        <w:fldChar w:fldCharType="separate"/>
      </w:r>
      <w:r w:rsidR="007923E9">
        <w:rPr>
          <w:noProof/>
        </w:rPr>
        <w:t>1</w:t>
      </w:r>
      <w:r>
        <w:fldChar w:fldCharType="end"/>
      </w:r>
    </w:p>
    <w:p w14:paraId="77DDCB40" w14:textId="77777777" w:rsidR="00AB3647" w:rsidRDefault="00000000" w:rsidP="007923E9">
      <w:pPr>
        <w:pStyle w:val="TOC1"/>
        <w:keepLines/>
        <w:spacing w:line="276" w:lineRule="auto"/>
      </w:pPr>
      <w:hyperlink w:anchor="b0_foreword" w:history="1">
        <w:r>
          <w:t>הקדמה – כיצד נכתב ספר זה</w:t>
        </w:r>
      </w:hyperlink>
      <w:r>
        <w:tab/>
      </w:r>
      <w:r>
        <w:fldChar w:fldCharType="begin" w:dirty="true"/>
      </w:r>
      <w:r>
        <w:instrText xml:space="preserve"> PAGEREF b0_foreword \h </w:instrText>
      </w:r>
      <w:r>
        <w:fldChar w:fldCharType="separate"/>
      </w:r>
      <w:r w:rsidR="007923E9">
        <w:rPr>
          <w:noProof/>
        </w:rPr>
        <w:t>1</w:t>
      </w:r>
      <w:r>
        <w:fldChar w:fldCharType="end"/>
      </w:r>
    </w:p>
    <w:p w14:paraId="12CB3DA7" w14:textId="77777777" w:rsidR="00AB3647" w:rsidRDefault="00000000" w:rsidP="007923E9">
      <w:pPr>
        <w:pStyle w:val="TOC1"/>
        <w:keepLines/>
        <w:spacing w:line="276" w:lineRule="auto"/>
      </w:pPr>
      <w:hyperlink w:anchor="b0_intro" w:history="1">
        <w:r>
          <w:t>מבוא</w:t>
        </w:r>
      </w:hyperlink>
      <w:r>
        <w:tab/>
      </w:r>
      <w:r>
        <w:fldChar w:fldCharType="begin" w:dirty="true"/>
      </w:r>
      <w:r>
        <w:instrText xml:space="preserve"> PAGEREF b0_intro \h </w:instrText>
      </w:r>
      <w:r>
        <w:fldChar w:fldCharType="separate"/>
      </w:r>
      <w:r w:rsidR="007923E9">
        <w:rPr>
          <w:noProof/>
        </w:rPr>
        <w:t>1</w:t>
      </w:r>
      <w:r>
        <w:fldChar w:fldCharType="end"/>
      </w:r>
    </w:p>
    <w:p w14:paraId="1A08FC9F" w14:textId="77777777" w:rsidR="00AB3647" w:rsidRDefault="00000000" w:rsidP="007923E9">
      <w:pPr>
        <w:pStyle w:val="TOC1"/>
        <w:keepLines/>
        <w:spacing w:line="276" w:lineRule="auto"/>
      </w:pPr>
      <w:hyperlink w:anchor="b0_prologue" w:history="1">
        <w:r>
          <w:t>פתיחה</w:t>
        </w:r>
      </w:hyperlink>
      <w:r>
        <w:tab/>
      </w:r>
      <w:r>
        <w:fldChar w:fldCharType="begin" w:dirty="true"/>
      </w:r>
      <w:r>
        <w:instrText xml:space="preserve"> PAGEREF b0_prologue \h </w:instrText>
      </w:r>
      <w:r>
        <w:fldChar w:fldCharType="separate"/>
      </w:r>
      <w:r w:rsidR="007923E9">
        <w:rPr>
          <w:noProof/>
        </w:rPr>
        <w:t>1</w:t>
      </w:r>
      <w:r>
        <w:fldChar w:fldCharType="end"/>
      </w:r>
    </w:p>
    <w:p w14:paraId="65D02824" w14:textId="77777777" w:rsidR="00AB3647" w:rsidRDefault="00000000" w:rsidP="007923E9">
      <w:pPr>
        <w:pStyle w:val="TOC1"/>
        <w:keepNext/>
        <w:keepLines/>
        <w:spacing w:line="276" w:lineRule="auto"/>
      </w:pPr>
      <w:hyperlink w:anchor="continuous_story" w:history="1">
        <w:r>
          <w:t>חלק ראשון — הסיפור</w:t>
        </w:r>
      </w:hyperlink>
      <w:r>
        <w:tab/>
      </w:r>
      <w:r>
        <w:fldChar w:fldCharType="begin" w:dirty="true"/>
      </w:r>
      <w:r>
        <w:instrText xml:space="preserve"> PAGEREF continuous_story \h </w:instrText>
      </w:r>
      <w:r>
        <w:fldChar w:fldCharType="separate"/>
      </w:r>
      <w:r w:rsidR="007923E9">
        <w:rPr>
          <w:noProof/>
        </w:rPr>
        <w:t>1</w:t>
      </w:r>
      <w:r>
        <w:fldChar w:fldCharType="end"/>
      </w:r>
    </w:p>
    <w:p w14:paraId="7DA0D8BF" w14:textId="77777777" w:rsidR="00AB3647" w:rsidRDefault="00000000" w:rsidP="007923E9">
      <w:pPr>
        <w:pStyle w:val="TOC1"/>
        <w:keepLines/>
        <w:spacing w:line="276" w:lineRule="auto"/>
      </w:pPr>
      <w:hyperlink w:anchor="text_chapter1" w:history="1">
        <w:r>
          <w:t>פרק ראשון — העשור הראשון: ייחוס וילדות</w:t>
        </w:r>
      </w:hyperlink>
      <w:r>
        <w:tab/>
      </w:r>
      <w:r>
        <w:fldChar w:fldCharType="begin" w:dirty="true"/>
      </w:r>
      <w:r>
        <w:instrText xml:space="preserve"> PAGEREF text_chapter1 \h </w:instrText>
      </w:r>
      <w:r>
        <w:fldChar w:fldCharType="separate"/>
      </w:r>
      <w:r w:rsidR="007923E9">
        <w:rPr>
          <w:noProof/>
        </w:rPr>
        <w:t>1</w:t>
      </w:r>
      <w:r>
        <w:fldChar w:fldCharType="end"/>
      </w:r>
    </w:p>
    <w:p w14:paraId="1EA81844" w14:textId="77777777" w:rsidR="00AB3647" w:rsidRDefault="00000000" w:rsidP="007923E9">
      <w:pPr>
        <w:pStyle w:val="TOC1"/>
        <w:keepLines/>
        <w:spacing w:line="276" w:lineRule="auto"/>
      </w:pPr>
      <w:hyperlink w:anchor="text_chapter2" w:history="1">
        <w:r>
          <w:t>פרק שני — העשור השני – א: מינסק</w:t>
        </w:r>
      </w:hyperlink>
      <w:r>
        <w:tab/>
      </w:r>
      <w:r>
        <w:fldChar w:fldCharType="begin" w:dirty="true"/>
      </w:r>
      <w:r>
        <w:instrText xml:space="preserve"> PAGEREF text_chapter2 \h </w:instrText>
      </w:r>
      <w:r>
        <w:fldChar w:fldCharType="separate"/>
      </w:r>
      <w:r w:rsidR="007923E9">
        <w:rPr>
          <w:noProof/>
        </w:rPr>
        <w:t>1</w:t>
      </w:r>
      <w:r>
        <w:fldChar w:fldCharType="end"/>
      </w:r>
    </w:p>
    <w:p w14:paraId="31B7AC5D" w14:textId="77777777" w:rsidR="00AB3647" w:rsidRDefault="00000000" w:rsidP="007923E9">
      <w:pPr>
        <w:pStyle w:val="TOC1"/>
        <w:keepLines/>
        <w:spacing w:line="276" w:lineRule="auto"/>
      </w:pPr>
      <w:hyperlink w:anchor="text_chapter3" w:history="1">
        <w:r>
          <w:t xml:space="preserve">פרק שלישי — העשור השני – ב: </w:t>
        </w:r>
        <w:proofErr w:type="spellStart"/>
        <w:r>
          <w:t>סלבודקה</w:t>
        </w:r>
        <w:proofErr w:type="spellEnd"/>
      </w:hyperlink>
      <w:r>
        <w:tab/>
      </w:r>
      <w:r>
        <w:fldChar w:fldCharType="begin" w:dirty="true"/>
      </w:r>
      <w:r>
        <w:instrText xml:space="preserve"> PAGEREF text_chapter3 \h </w:instrText>
      </w:r>
      <w:r>
        <w:fldChar w:fldCharType="separate"/>
      </w:r>
      <w:r w:rsidR="007923E9">
        <w:rPr>
          <w:noProof/>
        </w:rPr>
        <w:t>1</w:t>
      </w:r>
      <w:r>
        <w:fldChar w:fldCharType="end"/>
      </w:r>
    </w:p>
    <w:p w14:paraId="6E5C4672" w14:textId="77777777" w:rsidR="00AB3647" w:rsidRDefault="00000000" w:rsidP="007923E9">
      <w:pPr>
        <w:pStyle w:val="TOC1"/>
        <w:keepLines/>
        <w:spacing w:line="276" w:lineRule="auto"/>
      </w:pPr>
      <w:hyperlink w:anchor="text_chapter4" w:history="1">
        <w:r>
          <w:t xml:space="preserve">פרק רביעי — העשור השני – ג: ישיבת </w:t>
        </w:r>
        <w:proofErr w:type="spellStart"/>
        <w:r>
          <w:t>סלבודקה</w:t>
        </w:r>
        <w:proofErr w:type="spellEnd"/>
      </w:hyperlink>
      <w:r>
        <w:tab/>
      </w:r>
      <w:r>
        <w:fldChar w:fldCharType="begin" w:dirty="true"/>
      </w:r>
      <w:r>
        <w:instrText xml:space="preserve"> PAGEREF text_chapter4 \h </w:instrText>
      </w:r>
      <w:r>
        <w:fldChar w:fldCharType="separate"/>
      </w:r>
      <w:r w:rsidR="007923E9">
        <w:rPr>
          <w:noProof/>
        </w:rPr>
        <w:t>1</w:t>
      </w:r>
      <w:r>
        <w:fldChar w:fldCharType="end"/>
      </w:r>
    </w:p>
    <w:p w14:paraId="65077B5F" w14:textId="77777777" w:rsidR="00AB3647" w:rsidRDefault="00000000" w:rsidP="007923E9">
      <w:pPr>
        <w:pStyle w:val="TOC1"/>
        <w:keepLines/>
        <w:spacing w:line="276" w:lineRule="auto"/>
      </w:pPr>
      <w:hyperlink w:anchor="text_chapter5" w:history="1">
        <w:r>
          <w:t xml:space="preserve">פרק חמישי — העשור השני – ד: </w:t>
        </w:r>
        <w:proofErr w:type="spellStart"/>
        <w:r>
          <w:t>מאלטש</w:t>
        </w:r>
        <w:proofErr w:type="spellEnd"/>
      </w:hyperlink>
      <w:r>
        <w:tab/>
      </w:r>
      <w:r>
        <w:fldChar w:fldCharType="begin" w:dirty="true"/>
      </w:r>
      <w:r>
        <w:instrText xml:space="preserve"> PAGEREF text_chapter5 \h </w:instrText>
      </w:r>
      <w:r>
        <w:fldChar w:fldCharType="separate"/>
      </w:r>
      <w:r w:rsidR="007923E9">
        <w:rPr>
          <w:noProof/>
        </w:rPr>
        <w:t>1</w:t>
      </w:r>
      <w:r>
        <w:fldChar w:fldCharType="end"/>
      </w:r>
    </w:p>
    <w:p w14:paraId="6B14E45E" w14:textId="77777777" w:rsidR="00AB3647" w:rsidRDefault="00000000" w:rsidP="007923E9">
      <w:pPr>
        <w:pStyle w:val="TOC1"/>
        <w:keepNext/>
        <w:keepLines/>
        <w:spacing w:line="276" w:lineRule="auto"/>
      </w:pPr>
      <w:hyperlink w:anchor="annotated_story" w:history="1">
        <w:r>
          <w:t>חלק שני — הערות ונספחים</w:t>
        </w:r>
      </w:hyperlink>
      <w:r>
        <w:tab/>
      </w:r>
      <w:r>
        <w:fldChar w:fldCharType="begin" w:dirty="true"/>
      </w:r>
      <w:r>
        <w:instrText xml:space="preserve"> PAGEREF annotated_story \h </w:instrText>
      </w:r>
      <w:r>
        <w:fldChar w:fldCharType="separate"/>
      </w:r>
      <w:r w:rsidR="007923E9">
        <w:rPr>
          <w:noProof/>
        </w:rPr>
        <w:t>1</w:t>
      </w:r>
      <w:r>
        <w:fldChar w:fldCharType="end"/>
      </w:r>
    </w:p>
    <w:p w14:paraId="1B89E9D4" w14:textId="77777777" w:rsidR="00AB3647" w:rsidRDefault="00000000" w:rsidP="007923E9">
      <w:pPr>
        <w:pStyle w:val="TOC1"/>
        <w:keepNext/>
        <w:keepLines/>
        <w:spacing w:line="276" w:lineRule="auto"/>
      </w:pPr>
      <w:hyperlink w:anchor="b1_chapter" w:history="1">
        <w:r>
          <w:t>פרק ראשון – העשור הראשון: ייחוס וילדות</w:t>
        </w:r>
      </w:hyperlink>
      <w:r>
        <w:tab/>
      </w:r>
      <w:r>
        <w:fldChar w:fldCharType="begin" w:dirty="true"/>
      </w:r>
      <w:r>
        <w:instrText xml:space="preserve"> PAGEREF b1_chapter \h </w:instrText>
      </w:r>
      <w:r>
        <w:fldChar w:fldCharType="separate"/>
      </w:r>
      <w:r w:rsidR="007923E9">
        <w:rPr>
          <w:noProof/>
        </w:rPr>
        <w:t>1</w:t>
      </w:r>
      <w:r>
        <w:fldChar w:fldCharType="end"/>
      </w:r>
    </w:p>
    <w:p w14:paraId="14DC3147" w14:textId="77777777" w:rsidR="00AB3647" w:rsidRDefault="00000000" w:rsidP="007923E9">
      <w:pPr>
        <w:pStyle w:val="TOC2"/>
        <w:keepLines/>
        <w:spacing w:line="276" w:lineRule="auto"/>
      </w:pPr>
      <w:hyperlink w:anchor="b1_sec1" w:history="1">
        <w:r>
          <w:t>סעיף 1</w:t>
        </w:r>
      </w:hyperlink>
      <w:r>
        <w:tab/>
      </w:r>
      <w:r>
        <w:fldChar w:fldCharType="begin" w:dirty="true"/>
      </w:r>
      <w:r>
        <w:instrText xml:space="preserve"> PAGEREF b1_sec1 \h </w:instrText>
      </w:r>
      <w:r>
        <w:fldChar w:fldCharType="separate"/>
      </w:r>
      <w:r w:rsidR="007923E9">
        <w:rPr>
          <w:noProof/>
        </w:rPr>
        <w:t>1</w:t>
      </w:r>
      <w:r>
        <w:fldChar w:fldCharType="end"/>
      </w:r>
    </w:p>
    <w:p w14:paraId="5E5B1A4D" w14:textId="77777777" w:rsidR="00AB3647" w:rsidRDefault="00000000" w:rsidP="007923E9">
      <w:pPr>
        <w:pStyle w:val="TOC2"/>
        <w:keepLines/>
        <w:spacing w:line="276" w:lineRule="auto"/>
      </w:pPr>
      <w:hyperlink w:anchor="b1_sec2" w:history="1">
        <w:r>
          <w:t>סעיף 2</w:t>
        </w:r>
      </w:hyperlink>
      <w:r>
        <w:tab/>
      </w:r>
      <w:r>
        <w:fldChar w:fldCharType="begin" w:dirty="true"/>
      </w:r>
      <w:r>
        <w:instrText xml:space="preserve"> PAGEREF b1_sec2 \h </w:instrText>
      </w:r>
      <w:r>
        <w:fldChar w:fldCharType="separate"/>
      </w:r>
      <w:r w:rsidR="007923E9">
        <w:rPr>
          <w:noProof/>
        </w:rPr>
        <w:t>1</w:t>
      </w:r>
      <w:r>
        <w:fldChar w:fldCharType="end"/>
      </w:r>
    </w:p>
    <w:p w14:paraId="680CEDF0" w14:textId="77777777" w:rsidR="00AB3647" w:rsidRDefault="00000000" w:rsidP="007923E9">
      <w:pPr>
        <w:pStyle w:val="TOC2"/>
        <w:keepLines/>
        <w:spacing w:line="276" w:lineRule="auto"/>
      </w:pPr>
      <w:hyperlink w:anchor="b1_sec3" w:history="1">
        <w:r>
          <w:t>סעיף 3</w:t>
        </w:r>
      </w:hyperlink>
      <w:r>
        <w:tab/>
      </w:r>
      <w:r>
        <w:fldChar w:fldCharType="begin" w:dirty="true"/>
      </w:r>
      <w:r>
        <w:instrText xml:space="preserve"> PAGEREF b1_sec3 \h </w:instrText>
      </w:r>
      <w:r>
        <w:fldChar w:fldCharType="separate"/>
      </w:r>
      <w:r w:rsidR="007923E9">
        <w:rPr>
          <w:noProof/>
        </w:rPr>
        <w:t>1</w:t>
      </w:r>
      <w:r>
        <w:fldChar w:fldCharType="end"/>
      </w:r>
    </w:p>
    <w:p w14:paraId="5310F497" w14:textId="77777777" w:rsidR="00AB3647" w:rsidRDefault="00000000" w:rsidP="007923E9">
      <w:pPr>
        <w:pStyle w:val="TOC2"/>
        <w:keepLines/>
        <w:spacing w:line="276" w:lineRule="auto"/>
      </w:pPr>
      <w:hyperlink w:anchor="b1_sec4" w:history="1">
        <w:r>
          <w:t>סעיף 4</w:t>
        </w:r>
      </w:hyperlink>
      <w:r>
        <w:tab/>
      </w:r>
      <w:r>
        <w:fldChar w:fldCharType="begin" w:dirty="true"/>
      </w:r>
      <w:r>
        <w:instrText xml:space="preserve"> PAGEREF b1_sec4 \h </w:instrText>
      </w:r>
      <w:r>
        <w:fldChar w:fldCharType="separate"/>
      </w:r>
      <w:r w:rsidR="007923E9">
        <w:rPr>
          <w:noProof/>
        </w:rPr>
        <w:t>1</w:t>
      </w:r>
      <w:r>
        <w:fldChar w:fldCharType="end"/>
      </w:r>
    </w:p>
    <w:p w14:paraId="4C842DFB" w14:textId="77777777" w:rsidR="00AB3647" w:rsidRDefault="00000000" w:rsidP="007923E9">
      <w:pPr>
        <w:pStyle w:val="TOC1"/>
        <w:keepNext/>
        <w:keepLines/>
        <w:spacing w:line="276" w:lineRule="auto"/>
      </w:pPr>
      <w:hyperlink w:anchor="b2_chapter" w:history="1">
        <w:r>
          <w:t>פרק שני – העשור השני – א: מינסק</w:t>
        </w:r>
      </w:hyperlink>
      <w:r>
        <w:tab/>
      </w:r>
      <w:r>
        <w:fldChar w:fldCharType="begin" w:dirty="true"/>
      </w:r>
      <w:r>
        <w:instrText xml:space="preserve"> PAGEREF b2_chapter \h </w:instrText>
      </w:r>
      <w:r>
        <w:fldChar w:fldCharType="separate"/>
      </w:r>
      <w:r w:rsidR="007923E9">
        <w:rPr>
          <w:noProof/>
        </w:rPr>
        <w:t>1</w:t>
      </w:r>
      <w:r>
        <w:fldChar w:fldCharType="end"/>
      </w:r>
    </w:p>
    <w:p w14:paraId="05E4C9F5" w14:textId="77777777" w:rsidR="00AB3647" w:rsidRDefault="00000000" w:rsidP="007923E9">
      <w:pPr>
        <w:pStyle w:val="TOC2"/>
        <w:keepLines/>
        <w:spacing w:line="276" w:lineRule="auto"/>
      </w:pPr>
      <w:hyperlink w:anchor="b2_sec1" w:history="1">
        <w:r>
          <w:t>סעיף 1</w:t>
        </w:r>
      </w:hyperlink>
      <w:r>
        <w:tab/>
      </w:r>
      <w:r>
        <w:fldChar w:fldCharType="begin" w:dirty="true"/>
      </w:r>
      <w:r>
        <w:instrText xml:space="preserve"> PAGEREF b2_sec1 \h </w:instrText>
      </w:r>
      <w:r>
        <w:fldChar w:fldCharType="separate"/>
      </w:r>
      <w:r w:rsidR="007923E9">
        <w:rPr>
          <w:noProof/>
        </w:rPr>
        <w:t>1</w:t>
      </w:r>
      <w:r>
        <w:fldChar w:fldCharType="end"/>
      </w:r>
    </w:p>
    <w:p w14:paraId="35247254" w14:textId="77777777" w:rsidR="00AB3647" w:rsidRDefault="00000000" w:rsidP="007923E9">
      <w:pPr>
        <w:pStyle w:val="TOC2"/>
        <w:keepLines/>
        <w:spacing w:line="276" w:lineRule="auto"/>
      </w:pPr>
      <w:hyperlink w:anchor="b2_sec2" w:history="1">
        <w:r>
          <w:t>סעיף 2</w:t>
        </w:r>
      </w:hyperlink>
      <w:r>
        <w:tab/>
      </w:r>
      <w:r>
        <w:fldChar w:fldCharType="begin" w:dirty="true"/>
      </w:r>
      <w:r>
        <w:instrText xml:space="preserve"> PAGEREF b2_sec2 \h </w:instrText>
      </w:r>
      <w:r>
        <w:fldChar w:fldCharType="separate"/>
      </w:r>
      <w:r w:rsidR="007923E9">
        <w:rPr>
          <w:noProof/>
        </w:rPr>
        <w:t>1</w:t>
      </w:r>
      <w:r>
        <w:fldChar w:fldCharType="end"/>
      </w:r>
    </w:p>
    <w:p w14:paraId="5242CE71" w14:textId="77777777" w:rsidR="00AB3647" w:rsidRDefault="00000000" w:rsidP="007923E9">
      <w:pPr>
        <w:pStyle w:val="TOC2"/>
        <w:keepLines/>
        <w:spacing w:line="276" w:lineRule="auto"/>
      </w:pPr>
      <w:hyperlink w:anchor="b2_sec3" w:history="1">
        <w:r>
          <w:t>סעיף 3</w:t>
        </w:r>
      </w:hyperlink>
      <w:r>
        <w:tab/>
      </w:r>
      <w:r>
        <w:fldChar w:fldCharType="begin" w:dirty="true"/>
      </w:r>
      <w:r>
        <w:instrText xml:space="preserve"> PAGEREF b2_sec3 \h </w:instrText>
      </w:r>
      <w:r>
        <w:fldChar w:fldCharType="separate"/>
      </w:r>
      <w:r w:rsidR="007923E9">
        <w:rPr>
          <w:noProof/>
        </w:rPr>
        <w:t>1</w:t>
      </w:r>
      <w:r>
        <w:fldChar w:fldCharType="end"/>
      </w:r>
    </w:p>
    <w:p w14:paraId="67F69B4B" w14:textId="77777777" w:rsidR="00AB3647" w:rsidRDefault="00000000" w:rsidP="007923E9">
      <w:pPr>
        <w:pStyle w:val="TOC1"/>
        <w:keepNext/>
        <w:keepLines/>
        <w:spacing w:line="276" w:lineRule="auto"/>
      </w:pPr>
      <w:hyperlink w:anchor="b3_chapter" w:history="1">
        <w:r>
          <w:t xml:space="preserve">פרק שלישי – העשור השני – ב: </w:t>
        </w:r>
        <w:proofErr w:type="spellStart"/>
        <w:r>
          <w:t>סלבודקה</w:t>
        </w:r>
        <w:proofErr w:type="spellEnd"/>
      </w:hyperlink>
      <w:r>
        <w:tab/>
      </w:r>
      <w:r>
        <w:fldChar w:fldCharType="begin" w:dirty="true"/>
      </w:r>
      <w:r>
        <w:instrText xml:space="preserve"> PAGEREF b3_chapter \h </w:instrText>
      </w:r>
      <w:r>
        <w:fldChar w:fldCharType="separate"/>
      </w:r>
      <w:r w:rsidR="007923E9">
        <w:rPr>
          <w:noProof/>
        </w:rPr>
        <w:t>1</w:t>
      </w:r>
      <w:r>
        <w:fldChar w:fldCharType="end"/>
      </w:r>
    </w:p>
    <w:p w14:paraId="7AB068B4" w14:textId="77777777" w:rsidR="00AB3647" w:rsidRDefault="00000000" w:rsidP="007923E9">
      <w:pPr>
        <w:pStyle w:val="TOC2"/>
        <w:keepLines/>
        <w:spacing w:line="276" w:lineRule="auto"/>
      </w:pPr>
      <w:hyperlink w:anchor="b3_sec1" w:history="1">
        <w:r>
          <w:t>סעיף 1</w:t>
        </w:r>
      </w:hyperlink>
      <w:r>
        <w:tab/>
      </w:r>
      <w:r>
        <w:fldChar w:fldCharType="begin" w:dirty="true"/>
      </w:r>
      <w:r>
        <w:instrText xml:space="preserve"> PAGEREF b3_sec1 \h </w:instrText>
      </w:r>
      <w:r>
        <w:fldChar w:fldCharType="separate"/>
      </w:r>
      <w:r w:rsidR="007923E9">
        <w:rPr>
          <w:noProof/>
        </w:rPr>
        <w:t>1</w:t>
      </w:r>
      <w:r>
        <w:fldChar w:fldCharType="end"/>
      </w:r>
    </w:p>
    <w:p w14:paraId="5CADC723" w14:textId="77777777" w:rsidR="00AB3647" w:rsidRDefault="00000000" w:rsidP="007923E9">
      <w:pPr>
        <w:pStyle w:val="TOC2"/>
        <w:keepLines/>
        <w:spacing w:line="276" w:lineRule="auto"/>
      </w:pPr>
      <w:hyperlink w:anchor="b3_sec2" w:history="1">
        <w:r>
          <w:t>סעיף 2</w:t>
        </w:r>
      </w:hyperlink>
      <w:r>
        <w:tab/>
      </w:r>
      <w:r>
        <w:fldChar w:fldCharType="begin" w:dirty="true"/>
      </w:r>
      <w:r>
        <w:instrText xml:space="preserve"> PAGEREF b3_sec2 \h </w:instrText>
      </w:r>
      <w:r>
        <w:fldChar w:fldCharType="separate"/>
      </w:r>
      <w:r w:rsidR="007923E9">
        <w:rPr>
          <w:noProof/>
        </w:rPr>
        <w:t>1</w:t>
      </w:r>
      <w:r>
        <w:fldChar w:fldCharType="end"/>
      </w:r>
    </w:p>
    <w:p w14:paraId="11BD6C66" w14:textId="77777777" w:rsidR="00AB3647" w:rsidRDefault="00000000" w:rsidP="007923E9">
      <w:pPr>
        <w:pStyle w:val="TOC1"/>
        <w:keepNext/>
        <w:keepLines/>
        <w:spacing w:line="276" w:lineRule="auto"/>
      </w:pPr>
      <w:hyperlink w:anchor="b4_chapter" w:history="1">
        <w:r>
          <w:t xml:space="preserve">פרק רביעי – העשור השני – ג: ישיבת </w:t>
        </w:r>
        <w:proofErr w:type="spellStart"/>
        <w:r>
          <w:t>סלבודקה</w:t>
        </w:r>
        <w:proofErr w:type="spellEnd"/>
      </w:hyperlink>
      <w:r>
        <w:tab/>
      </w:r>
      <w:r>
        <w:fldChar w:fldCharType="begin" w:dirty="true"/>
      </w:r>
      <w:r>
        <w:instrText xml:space="preserve"> PAGEREF b4_chapter \h </w:instrText>
      </w:r>
      <w:r>
        <w:fldChar w:fldCharType="separate"/>
      </w:r>
      <w:r w:rsidR="007923E9">
        <w:rPr>
          <w:noProof/>
        </w:rPr>
        <w:t>1</w:t>
      </w:r>
      <w:r>
        <w:fldChar w:fldCharType="end"/>
      </w:r>
    </w:p>
    <w:p w14:paraId="2AF44100" w14:textId="77777777" w:rsidR="00AB3647" w:rsidRDefault="00000000" w:rsidP="007923E9">
      <w:pPr>
        <w:pStyle w:val="TOC2"/>
        <w:keepLines/>
        <w:spacing w:line="276" w:lineRule="auto"/>
      </w:pPr>
      <w:hyperlink w:anchor="b4_sec1" w:history="1">
        <w:r>
          <w:t>סעיף 1</w:t>
        </w:r>
      </w:hyperlink>
      <w:r>
        <w:tab/>
      </w:r>
      <w:r>
        <w:fldChar w:fldCharType="begin" w:dirty="true"/>
      </w:r>
      <w:r>
        <w:instrText xml:space="preserve"> PAGEREF b4_sec1 \h </w:instrText>
      </w:r>
      <w:r>
        <w:fldChar w:fldCharType="separate"/>
      </w:r>
      <w:r w:rsidR="007923E9">
        <w:rPr>
          <w:noProof/>
        </w:rPr>
        <w:t>1</w:t>
      </w:r>
      <w:r>
        <w:fldChar w:fldCharType="end"/>
      </w:r>
    </w:p>
    <w:p w14:paraId="776E5C76" w14:textId="77777777" w:rsidR="00AB3647" w:rsidRDefault="00000000" w:rsidP="007923E9">
      <w:pPr>
        <w:pStyle w:val="TOC2"/>
        <w:keepLines/>
        <w:spacing w:line="276" w:lineRule="auto"/>
      </w:pPr>
      <w:hyperlink w:anchor="b4_sec2" w:history="1">
        <w:r>
          <w:t>סעיף 2</w:t>
        </w:r>
      </w:hyperlink>
      <w:r>
        <w:tab/>
      </w:r>
      <w:r>
        <w:fldChar w:fldCharType="begin" w:dirty="true"/>
      </w:r>
      <w:r>
        <w:instrText xml:space="preserve"> PAGEREF b4_sec2 \h </w:instrText>
      </w:r>
      <w:r>
        <w:fldChar w:fldCharType="separate"/>
      </w:r>
      <w:r w:rsidR="007923E9">
        <w:rPr>
          <w:noProof/>
        </w:rPr>
        <w:t>1</w:t>
      </w:r>
      <w:r>
        <w:fldChar w:fldCharType="end"/>
      </w:r>
    </w:p>
    <w:p w14:paraId="5FDE154C" w14:textId="77777777" w:rsidR="00AB3647" w:rsidRDefault="00000000" w:rsidP="007923E9">
      <w:pPr>
        <w:pStyle w:val="TOC1"/>
        <w:keepNext/>
        <w:keepLines/>
        <w:spacing w:line="276" w:lineRule="auto"/>
      </w:pPr>
      <w:hyperlink w:anchor="b5_chapter" w:history="1">
        <w:r>
          <w:t xml:space="preserve">פרק חמישי – העשור השני – ד: </w:t>
        </w:r>
        <w:proofErr w:type="spellStart"/>
        <w:r>
          <w:t>מאלטש</w:t>
        </w:r>
        <w:proofErr w:type="spellEnd"/>
      </w:hyperlink>
      <w:r>
        <w:tab/>
      </w:r>
      <w:r>
        <w:fldChar w:fldCharType="begin" w:dirty="true"/>
      </w:r>
      <w:r>
        <w:instrText xml:space="preserve"> PAGEREF b5_chapter \h </w:instrText>
      </w:r>
      <w:r>
        <w:fldChar w:fldCharType="separate"/>
      </w:r>
      <w:r w:rsidR="007923E9">
        <w:rPr>
          <w:noProof/>
        </w:rPr>
        <w:t>1</w:t>
      </w:r>
      <w:r>
        <w:fldChar w:fldCharType="end"/>
      </w:r>
    </w:p>
    <w:p w14:paraId="65E3FD51" w14:textId="77777777" w:rsidR="00AB3647" w:rsidRDefault="00000000" w:rsidP="007923E9">
      <w:pPr>
        <w:pStyle w:val="TOC2"/>
        <w:keepLines/>
        <w:spacing w:line="276" w:lineRule="auto"/>
      </w:pPr>
      <w:hyperlink w:anchor="b5_sec1" w:history="1">
        <w:r>
          <w:t>סעיף 1</w:t>
        </w:r>
      </w:hyperlink>
      <w:r>
        <w:tab/>
      </w:r>
      <w:r>
        <w:fldChar w:fldCharType="begin" w:dirty="true"/>
      </w:r>
      <w:r>
        <w:instrText xml:space="preserve"> PAGEREF b5_sec1 \h </w:instrText>
      </w:r>
      <w:r>
        <w:fldChar w:fldCharType="separate"/>
      </w:r>
      <w:r w:rsidR="007923E9">
        <w:rPr>
          <w:noProof/>
        </w:rPr>
        <w:t>1</w:t>
      </w:r>
      <w:r>
        <w:fldChar w:fldCharType="end"/>
      </w:r>
    </w:p>
    <w:p w14:paraId="7679FE2A" w14:textId="77777777" w:rsidR="00AB3647" w:rsidRDefault="00000000" w:rsidP="007923E9">
      <w:pPr>
        <w:pStyle w:val="TOC2"/>
        <w:keepLines/>
        <w:spacing w:line="276" w:lineRule="auto"/>
      </w:pPr>
      <w:hyperlink w:anchor="b5_sec2" w:history="1">
        <w:r>
          <w:t>סעיף 2</w:t>
        </w:r>
      </w:hyperlink>
      <w:r>
        <w:tab/>
      </w:r>
      <w:r>
        <w:fldChar w:fldCharType="begin" w:dirty="true"/>
      </w:r>
      <w:r>
        <w:instrText xml:space="preserve"> PAGEREF b5_sec2 \h </w:instrText>
      </w:r>
      <w:r>
        <w:fldChar w:fldCharType="separate"/>
      </w:r>
      <w:r w:rsidR="007923E9">
        <w:rPr>
          <w:noProof/>
        </w:rPr>
        <w:t>1</w:t>
      </w:r>
      <w:r>
        <w:fldChar w:fldCharType="end"/>
      </w:r>
    </w:p>
    <w:p w14:paraId="4118871F" w14:textId="77777777" w:rsidR="00AB3647" w:rsidRDefault="00000000" w:rsidP="007923E9">
      <w:pPr>
        <w:pageBreakBefore/>
        <w:spacing w:before="240" w:after="240" w:line="276" w:lineRule="auto"/>
        <w:jc w:val="center"/>
      </w:pPr>
      <w:r>
        <w:rPr>
          <w:b/>
          <w:bCs/>
          <w:sz w:val="32"/>
          <w:szCs w:val="32"/>
          <w:rtl/>
        </w:rPr>
        <w:lastRenderedPageBreak/>
        <w:t>מפתח הנספחים</w:t>
      </w:r>
    </w:p>
    <w:p w14:paraId="65047F76" w14:textId="77777777" w:rsidR="00AB3647" w:rsidRDefault="00000000" w:rsidP="007923E9">
      <w:pPr>
        <w:pStyle w:val="TOC1"/>
        <w:keepNext/>
        <w:keepLines/>
        <w:spacing w:line="276" w:lineRule="auto"/>
      </w:pPr>
      <w:hyperlink w:anchor="b1_chapter" w:history="1">
        <w:r>
          <w:t>פרק ראשון – העשור הראשון: ייחוס וילדות</w:t>
        </w:r>
      </w:hyperlink>
      <w:r>
        <w:tab/>
      </w:r>
      <w:r>
        <w:fldChar w:fldCharType="begin" w:dirty="true"/>
      </w:r>
      <w:r>
        <w:instrText xml:space="preserve"> PAGEREF b1_chapter \h </w:instrText>
      </w:r>
      <w:r>
        <w:fldChar w:fldCharType="separate"/>
      </w:r>
      <w:r w:rsidR="007923E9">
        <w:rPr>
          <w:noProof/>
        </w:rPr>
        <w:t>1</w:t>
      </w:r>
      <w:r>
        <w:fldChar w:fldCharType="end"/>
      </w:r>
    </w:p>
    <w:p w14:paraId="789AAB7A" w14:textId="77777777" w:rsidR="00AB3647" w:rsidRDefault="00000000" w:rsidP="007923E9">
      <w:pPr>
        <w:pStyle w:val="TOC3"/>
        <w:keepLines/>
        <w:spacing w:line="276" w:lineRule="auto"/>
      </w:pPr>
      <w:hyperlink w:anchor="b1_excA" w:history="1">
        <w:r>
          <w:t>נספח א – על הפרעות שאחרי רצח הצאר אלכסנדר השני ועל הערכתם המשובשת של המשכילים</w:t>
        </w:r>
      </w:hyperlink>
      <w:r>
        <w:tab/>
      </w:r>
      <w:r>
        <w:fldChar w:fldCharType="begin" w:dirty="true"/>
      </w:r>
      <w:r>
        <w:instrText xml:space="preserve"> PAGEREF b1_excA \h </w:instrText>
      </w:r>
      <w:r>
        <w:fldChar w:fldCharType="separate"/>
      </w:r>
      <w:r w:rsidR="007923E9">
        <w:rPr>
          <w:noProof/>
        </w:rPr>
        <w:t>1</w:t>
      </w:r>
      <w:r>
        <w:fldChar w:fldCharType="end"/>
      </w:r>
    </w:p>
    <w:p w14:paraId="60B170D0" w14:textId="77777777" w:rsidR="00AB3647" w:rsidRDefault="00000000" w:rsidP="007923E9">
      <w:pPr>
        <w:pStyle w:val="TOC3"/>
        <w:keepLines/>
        <w:spacing w:line="276" w:lineRule="auto"/>
      </w:pPr>
      <w:hyperlink w:anchor="b1_excB" w:history="1">
        <w:r>
          <w:t>נספח ב – על ר׳ אליהו שיק ועל משפחת שיק</w:t>
        </w:r>
      </w:hyperlink>
      <w:r>
        <w:tab/>
      </w:r>
      <w:r>
        <w:fldChar w:fldCharType="begin" w:dirty="true"/>
      </w:r>
      <w:r>
        <w:instrText xml:space="preserve"> PAGEREF b1_excB \h </w:instrText>
      </w:r>
      <w:r>
        <w:fldChar w:fldCharType="separate"/>
      </w:r>
      <w:r w:rsidR="007923E9">
        <w:rPr>
          <w:noProof/>
        </w:rPr>
        <w:t>1</w:t>
      </w:r>
      <w:r>
        <w:fldChar w:fldCharType="end"/>
      </w:r>
    </w:p>
    <w:p w14:paraId="1241C165" w14:textId="77777777" w:rsidR="00AB3647" w:rsidRDefault="00000000" w:rsidP="007923E9">
      <w:pPr>
        <w:pStyle w:val="TOC3"/>
        <w:keepLines/>
        <w:spacing w:line="276" w:lineRule="auto"/>
      </w:pPr>
      <w:hyperlink w:anchor="b1_excC" w:history="1">
        <w:r>
          <w:t>נספח ג – על הליכה לבתי המדרש בערי ליטא בלילות שבת ובהשכמת בוקר השבת</w:t>
        </w:r>
      </w:hyperlink>
      <w:r>
        <w:tab/>
      </w:r>
      <w:r>
        <w:fldChar w:fldCharType="begin" w:dirty="true"/>
      </w:r>
      <w:r>
        <w:instrText xml:space="preserve"> PAGEREF b1_excC \h </w:instrText>
      </w:r>
      <w:r>
        <w:fldChar w:fldCharType="separate"/>
      </w:r>
      <w:r w:rsidR="007923E9">
        <w:rPr>
          <w:noProof/>
        </w:rPr>
        <w:t>1</w:t>
      </w:r>
      <w:r>
        <w:fldChar w:fldCharType="end"/>
      </w:r>
    </w:p>
    <w:p w14:paraId="7FA4ED65" w14:textId="77777777" w:rsidR="00AB3647" w:rsidRDefault="00000000" w:rsidP="007923E9">
      <w:pPr>
        <w:pStyle w:val="TOC3"/>
        <w:keepLines/>
        <w:spacing w:line="276" w:lineRule="auto"/>
      </w:pPr>
      <w:hyperlink w:anchor="b1_excD" w:history="1">
        <w:r>
          <w:t>נספח ד – על הקפדתו של רבנו על המנהגים</w:t>
        </w:r>
      </w:hyperlink>
      <w:r>
        <w:tab/>
      </w:r>
      <w:r>
        <w:fldChar w:fldCharType="begin" w:dirty="true"/>
      </w:r>
      <w:r>
        <w:instrText xml:space="preserve"> PAGEREF b1_excD \h </w:instrText>
      </w:r>
      <w:r>
        <w:fldChar w:fldCharType="separate"/>
      </w:r>
      <w:r w:rsidR="007923E9">
        <w:rPr>
          <w:noProof/>
        </w:rPr>
        <w:t>1</w:t>
      </w:r>
      <w:r>
        <w:fldChar w:fldCharType="end"/>
      </w:r>
    </w:p>
    <w:p w14:paraId="75343440" w14:textId="77777777" w:rsidR="00AB3647" w:rsidRDefault="00000000" w:rsidP="007923E9">
      <w:pPr>
        <w:pStyle w:val="TOC3"/>
        <w:keepLines/>
        <w:spacing w:line="276" w:lineRule="auto"/>
      </w:pPr>
      <w:hyperlink w:anchor="b1_excE" w:history="1">
        <w:r>
          <w:t>נספח ה – על טעויות של תלמידים צעירים שמקורן במלמדיהם, ועל הרעיונות הדמיוניים של הילדים להצדקת טעויות מלמדיהם – ועל היעשותם מחנכים טובים יותר מתוך כך</w:t>
        </w:r>
      </w:hyperlink>
      <w:r>
        <w:tab/>
      </w:r>
      <w:r>
        <w:fldChar w:fldCharType="begin" w:dirty="true"/>
      </w:r>
      <w:r>
        <w:instrText xml:space="preserve"> PAGEREF b1_excE \h </w:instrText>
      </w:r>
      <w:r>
        <w:fldChar w:fldCharType="separate"/>
      </w:r>
      <w:r w:rsidR="007923E9">
        <w:rPr>
          <w:noProof/>
        </w:rPr>
        <w:t>1</w:t>
      </w:r>
      <w:r>
        <w:fldChar w:fldCharType="end"/>
      </w:r>
    </w:p>
    <w:p w14:paraId="6EC55F20" w14:textId="77777777" w:rsidR="00AB3647" w:rsidRDefault="00000000" w:rsidP="007923E9">
      <w:pPr>
        <w:pStyle w:val="TOC3"/>
        <w:keepLines/>
        <w:spacing w:line="276" w:lineRule="auto"/>
      </w:pPr>
      <w:hyperlink w:anchor="b1_excF" w:history="1">
        <w:r>
          <w:t>נספח ו – על התואר יוצא הדופן של רבני מינסק, ועל כמה כינויים משונים לבני העיירות</w:t>
        </w:r>
      </w:hyperlink>
      <w:r>
        <w:tab/>
      </w:r>
      <w:r>
        <w:fldChar w:fldCharType="begin" w:dirty="true"/>
      </w:r>
      <w:r>
        <w:instrText xml:space="preserve"> PAGEREF b1_excF \h </w:instrText>
      </w:r>
      <w:r>
        <w:fldChar w:fldCharType="separate"/>
      </w:r>
      <w:r w:rsidR="007923E9">
        <w:rPr>
          <w:noProof/>
        </w:rPr>
        <w:t>1</w:t>
      </w:r>
      <w:r>
        <w:fldChar w:fldCharType="end"/>
      </w:r>
    </w:p>
    <w:p w14:paraId="24DF53C6" w14:textId="77777777" w:rsidR="00AB3647" w:rsidRDefault="00000000" w:rsidP="007923E9">
      <w:pPr>
        <w:pStyle w:val="TOC1"/>
        <w:keepNext/>
        <w:keepLines/>
        <w:spacing w:line="276" w:lineRule="auto"/>
      </w:pPr>
      <w:hyperlink w:anchor="b2_chapter" w:history="1">
        <w:r>
          <w:t>פרק שני – העשור השני – א: מינסק</w:t>
        </w:r>
      </w:hyperlink>
      <w:r>
        <w:tab/>
      </w:r>
      <w:r>
        <w:fldChar w:fldCharType="begin" w:dirty="true"/>
      </w:r>
      <w:r>
        <w:instrText xml:space="preserve"> PAGEREF b2_chapter \h </w:instrText>
      </w:r>
      <w:r>
        <w:fldChar w:fldCharType="separate"/>
      </w:r>
      <w:r w:rsidR="007923E9">
        <w:rPr>
          <w:noProof/>
        </w:rPr>
        <w:t>1</w:t>
      </w:r>
      <w:r>
        <w:fldChar w:fldCharType="end"/>
      </w:r>
    </w:p>
    <w:p w14:paraId="269DA43B" w14:textId="77777777" w:rsidR="00AB3647" w:rsidRDefault="00000000" w:rsidP="007923E9">
      <w:pPr>
        <w:pStyle w:val="TOC3"/>
        <w:keepLines/>
        <w:spacing w:line="276" w:lineRule="auto"/>
      </w:pPr>
      <w:hyperlink w:anchor="b2_excA" w:history="1">
        <w:r>
          <w:t xml:space="preserve">נספח א – על מינסק כעיר המוקירה את לימוד התורה, ועל ר׳ </w:t>
        </w:r>
        <w:proofErr w:type="spellStart"/>
        <w:r>
          <w:t>דוד־טעביל</w:t>
        </w:r>
        <w:proofErr w:type="spellEnd"/>
        <w:r>
          <w:t xml:space="preserve"> המוקיר את מינסק, ועל פעולתו של ד״ר מקס </w:t>
        </w:r>
        <w:proofErr w:type="spellStart"/>
        <w:r>
          <w:t>ליליינטל</w:t>
        </w:r>
        <w:proofErr w:type="spellEnd"/>
        <w:r>
          <w:t xml:space="preserve"> בשליחות משרד ההשכלה הרוסי, ביקורו </w:t>
        </w:r>
        <w:proofErr w:type="spellStart"/>
        <w:r>
          <w:t>בוולוז׳ין</w:t>
        </w:r>
        <w:proofErr w:type="spellEnd"/>
        <w:r>
          <w:t xml:space="preserve"> ובריחתו הבלתי צפויה לאמריקה לאחר מכן</w:t>
        </w:r>
      </w:hyperlink>
      <w:r>
        <w:tab/>
      </w:r>
      <w:r>
        <w:fldChar w:fldCharType="begin" w:dirty="true"/>
      </w:r>
      <w:r>
        <w:instrText xml:space="preserve"> PAGEREF b2_excA \h </w:instrText>
      </w:r>
      <w:r>
        <w:fldChar w:fldCharType="separate"/>
      </w:r>
      <w:r w:rsidR="007923E9">
        <w:rPr>
          <w:noProof/>
        </w:rPr>
        <w:t>1</w:t>
      </w:r>
      <w:r>
        <w:fldChar w:fldCharType="end"/>
      </w:r>
    </w:p>
    <w:p w14:paraId="08B221FC" w14:textId="77777777" w:rsidR="00AB3647" w:rsidRDefault="00000000" w:rsidP="007923E9">
      <w:pPr>
        <w:pStyle w:val="TOC3"/>
        <w:keepLines/>
        <w:spacing w:line="276" w:lineRule="auto"/>
      </w:pPr>
      <w:hyperlink w:anchor="b2_excB" w:history="1">
        <w:r>
          <w:t>נספח ב – על קריאת ספרות חול ועל הסכנה שאיימה על צעירים מחוננים לפני מאה שנה ויותר</w:t>
        </w:r>
      </w:hyperlink>
      <w:r>
        <w:tab/>
      </w:r>
      <w:r>
        <w:fldChar w:fldCharType="begin" w:dirty="true"/>
      </w:r>
      <w:r>
        <w:instrText xml:space="preserve"> PAGEREF b2_excB \h </w:instrText>
      </w:r>
      <w:r>
        <w:fldChar w:fldCharType="separate"/>
      </w:r>
      <w:r w:rsidR="007923E9">
        <w:rPr>
          <w:noProof/>
        </w:rPr>
        <w:t>1</w:t>
      </w:r>
      <w:r>
        <w:fldChar w:fldCharType="end"/>
      </w:r>
    </w:p>
    <w:p w14:paraId="34CE7D04" w14:textId="77777777" w:rsidR="00AB3647" w:rsidRDefault="00000000" w:rsidP="007923E9">
      <w:pPr>
        <w:pStyle w:val="TOC3"/>
        <w:keepLines/>
        <w:spacing w:line="276" w:lineRule="auto"/>
      </w:pPr>
      <w:hyperlink w:anchor="b2_excC" w:history="1">
        <w:r>
          <w:t xml:space="preserve">נספח ג – על פעולותיו של ר׳ </w:t>
        </w:r>
        <w:proofErr w:type="spellStart"/>
        <w:r>
          <w:t>יהושע׳לה</w:t>
        </w:r>
        <w:proofErr w:type="spellEnd"/>
        <w:r>
          <w:t xml:space="preserve"> </w:t>
        </w:r>
        <w:proofErr w:type="spellStart"/>
        <w:r>
          <w:t>הורודנער</w:t>
        </w:r>
        <w:proofErr w:type="spellEnd"/>
      </w:hyperlink>
      <w:r>
        <w:tab/>
      </w:r>
      <w:r>
        <w:fldChar w:fldCharType="begin" w:dirty="true"/>
      </w:r>
      <w:r>
        <w:instrText xml:space="preserve"> PAGEREF b2_excC \h </w:instrText>
      </w:r>
      <w:r>
        <w:fldChar w:fldCharType="separate"/>
      </w:r>
      <w:r w:rsidR="007923E9">
        <w:rPr>
          <w:noProof/>
        </w:rPr>
        <w:t>1</w:t>
      </w:r>
      <w:r>
        <w:fldChar w:fldCharType="end"/>
      </w:r>
    </w:p>
    <w:p w14:paraId="709ECC54" w14:textId="77777777" w:rsidR="00AB3647" w:rsidRDefault="00000000" w:rsidP="007923E9">
      <w:pPr>
        <w:pStyle w:val="TOC3"/>
        <w:keepLines/>
        <w:spacing w:line="276" w:lineRule="auto"/>
      </w:pPr>
      <w:hyperlink w:anchor="b2_excD" w:history="1">
        <w:r>
          <w:t>נספח ד – על הישיבות שבהן למד ר׳ אהרן קוטלר בילדותו</w:t>
        </w:r>
      </w:hyperlink>
      <w:r>
        <w:tab/>
      </w:r>
      <w:r>
        <w:fldChar w:fldCharType="begin" w:dirty="true"/>
      </w:r>
      <w:r>
        <w:instrText xml:space="preserve"> PAGEREF b2_excD \h </w:instrText>
      </w:r>
      <w:r>
        <w:fldChar w:fldCharType="separate"/>
      </w:r>
      <w:r w:rsidR="007923E9">
        <w:rPr>
          <w:noProof/>
        </w:rPr>
        <w:t>1</w:t>
      </w:r>
      <w:r>
        <w:fldChar w:fldCharType="end"/>
      </w:r>
    </w:p>
    <w:p w14:paraId="1711B678" w14:textId="77777777" w:rsidR="00AB3647" w:rsidRDefault="00000000" w:rsidP="007923E9">
      <w:pPr>
        <w:pStyle w:val="TOC3"/>
        <w:keepLines/>
        <w:spacing w:line="276" w:lineRule="auto"/>
      </w:pPr>
      <w:hyperlink w:anchor="b2_excE" w:history="1">
        <w:r>
          <w:t>נספח ה – על הצימאון לידיעות כלליות שגילו תלמידי ישיבה צעירים</w:t>
        </w:r>
      </w:hyperlink>
      <w:r>
        <w:tab/>
      </w:r>
      <w:r>
        <w:fldChar w:fldCharType="begin" w:dirty="true"/>
      </w:r>
      <w:r>
        <w:instrText xml:space="preserve"> PAGEREF b2_excE \h </w:instrText>
      </w:r>
      <w:r>
        <w:fldChar w:fldCharType="separate"/>
      </w:r>
      <w:r w:rsidR="007923E9">
        <w:rPr>
          <w:noProof/>
        </w:rPr>
        <w:t>1</w:t>
      </w:r>
      <w:r>
        <w:fldChar w:fldCharType="end"/>
      </w:r>
    </w:p>
    <w:p w14:paraId="1D91C820" w14:textId="77777777" w:rsidR="00AB3647" w:rsidRDefault="00000000" w:rsidP="007923E9">
      <w:pPr>
        <w:pStyle w:val="TOC3"/>
        <w:keepLines/>
        <w:spacing w:line="276" w:lineRule="auto"/>
      </w:pPr>
      <w:hyperlink w:anchor="b2_excF" w:history="1">
        <w:r>
          <w:t xml:space="preserve">נספח ו – על השתתפותם של תלמידי הישיבה האחרת </w:t>
        </w:r>
        <w:proofErr w:type="spellStart"/>
        <w:r>
          <w:t>בסלבודקה</w:t>
        </w:r>
        <w:proofErr w:type="spellEnd"/>
        <w:r>
          <w:t xml:space="preserve"> בשיעוריו של ר׳ </w:t>
        </w:r>
        <w:proofErr w:type="spellStart"/>
        <w:r>
          <w:t>ברוך־בער</w:t>
        </w:r>
        <w:proofErr w:type="spellEnd"/>
      </w:hyperlink>
      <w:r>
        <w:tab/>
      </w:r>
      <w:r>
        <w:fldChar w:fldCharType="begin" w:dirty="true"/>
      </w:r>
      <w:r>
        <w:instrText xml:space="preserve"> PAGEREF b2_excF \h </w:instrText>
      </w:r>
      <w:r>
        <w:fldChar w:fldCharType="separate"/>
      </w:r>
      <w:r w:rsidR="007923E9">
        <w:rPr>
          <w:noProof/>
        </w:rPr>
        <w:t>1</w:t>
      </w:r>
      <w:r>
        <w:fldChar w:fldCharType="end"/>
      </w:r>
    </w:p>
    <w:p w14:paraId="7CB745BE" w14:textId="77777777" w:rsidR="00AB3647" w:rsidRDefault="00000000" w:rsidP="007923E9">
      <w:pPr>
        <w:pStyle w:val="TOC1"/>
        <w:keepNext/>
        <w:keepLines/>
        <w:spacing w:line="276" w:lineRule="auto"/>
      </w:pPr>
      <w:hyperlink w:anchor="b3_chapter" w:history="1">
        <w:r>
          <w:t xml:space="preserve">פרק שלישי – העשור השני – ב: </w:t>
        </w:r>
        <w:proofErr w:type="spellStart"/>
        <w:r>
          <w:t>סלבודקה</w:t>
        </w:r>
        <w:proofErr w:type="spellEnd"/>
      </w:hyperlink>
      <w:r>
        <w:tab/>
      </w:r>
      <w:r>
        <w:fldChar w:fldCharType="begin" w:dirty="true"/>
      </w:r>
      <w:r>
        <w:instrText xml:space="preserve"> PAGEREF b3_chapter \h </w:instrText>
      </w:r>
      <w:r>
        <w:fldChar w:fldCharType="separate"/>
      </w:r>
      <w:r w:rsidR="007923E9">
        <w:rPr>
          <w:noProof/>
        </w:rPr>
        <w:t>1</w:t>
      </w:r>
      <w:r>
        <w:fldChar w:fldCharType="end"/>
      </w:r>
    </w:p>
    <w:p w14:paraId="1DFB8D3A" w14:textId="77777777" w:rsidR="00AB3647" w:rsidRDefault="00000000" w:rsidP="007923E9">
      <w:pPr>
        <w:pStyle w:val="TOC3"/>
        <w:keepLines/>
        <w:spacing w:line="276" w:lineRule="auto"/>
      </w:pPr>
      <w:hyperlink w:anchor="b3_excA" w:history="1">
        <w:r>
          <w:t>נספח א – על ראשיתו של כולל קובנה ועל עלון “עץ פרי” שחולק לתומכיו</w:t>
        </w:r>
      </w:hyperlink>
      <w:r>
        <w:tab/>
      </w:r>
      <w:r>
        <w:fldChar w:fldCharType="begin" w:dirty="true"/>
      </w:r>
      <w:r>
        <w:instrText xml:space="preserve"> PAGEREF b3_excA \h </w:instrText>
      </w:r>
      <w:r>
        <w:fldChar w:fldCharType="separate"/>
      </w:r>
      <w:r w:rsidR="007923E9">
        <w:rPr>
          <w:noProof/>
        </w:rPr>
        <w:t>1</w:t>
      </w:r>
      <w:r>
        <w:fldChar w:fldCharType="end"/>
      </w:r>
    </w:p>
    <w:p w14:paraId="56659FA5" w14:textId="77777777" w:rsidR="00AB3647" w:rsidRDefault="00000000" w:rsidP="007923E9">
      <w:pPr>
        <w:pStyle w:val="TOC3"/>
        <w:keepLines/>
        <w:spacing w:line="276" w:lineRule="auto"/>
      </w:pPr>
      <w:hyperlink w:anchor="b3_excB" w:history="1">
        <w:r>
          <w:t xml:space="preserve">נספח ב – על שלושת תלמידיו הראשיים של ר׳ ישראל </w:t>
        </w:r>
        <w:proofErr w:type="spellStart"/>
        <w:r>
          <w:t>סלנטר</w:t>
        </w:r>
        <w:proofErr w:type="spellEnd"/>
      </w:hyperlink>
      <w:r>
        <w:tab/>
      </w:r>
      <w:r>
        <w:fldChar w:fldCharType="begin" w:dirty="true"/>
      </w:r>
      <w:r>
        <w:instrText xml:space="preserve"> PAGEREF b3_excB \h </w:instrText>
      </w:r>
      <w:r>
        <w:fldChar w:fldCharType="separate"/>
      </w:r>
      <w:r w:rsidR="007923E9">
        <w:rPr>
          <w:noProof/>
        </w:rPr>
        <w:t>1</w:t>
      </w:r>
      <w:r>
        <w:fldChar w:fldCharType="end"/>
      </w:r>
    </w:p>
    <w:p w14:paraId="13AA51EA" w14:textId="77777777" w:rsidR="00AB3647" w:rsidRDefault="00000000" w:rsidP="007923E9">
      <w:pPr>
        <w:pStyle w:val="TOC3"/>
        <w:keepLines/>
        <w:spacing w:line="276" w:lineRule="auto"/>
      </w:pPr>
      <w:hyperlink w:anchor="b3_excC" w:history="1">
        <w:r>
          <w:t xml:space="preserve">נספח ג – על שני מלאכים ממש, ר׳ </w:t>
        </w:r>
        <w:proofErr w:type="spellStart"/>
        <w:r>
          <w:t>לייזר־יעקב</w:t>
        </w:r>
        <w:proofErr w:type="spellEnd"/>
        <w:r>
          <w:t xml:space="preserve"> </w:t>
        </w:r>
        <w:proofErr w:type="spellStart"/>
        <w:r>
          <w:t xml:space="preserve">חווס</w:t>
        </w:r>
        <w:proofErr w:type="spellEnd"/>
        <w:r>
          <w:t xml:space="preserve"> וחתנו ר׳ נפתלי </w:t>
        </w:r>
        <w:proofErr w:type="spellStart"/>
        <w:r>
          <w:t>טרופ</w:t>
        </w:r>
        <w:proofErr w:type="spellEnd"/>
      </w:hyperlink>
      <w:r>
        <w:tab/>
      </w:r>
      <w:r>
        <w:fldChar w:fldCharType="begin" w:dirty="true"/>
      </w:r>
      <w:r>
        <w:instrText xml:space="preserve"> PAGEREF b3_excC \h </w:instrText>
      </w:r>
      <w:r>
        <w:fldChar w:fldCharType="separate"/>
      </w:r>
      <w:r w:rsidR="007923E9">
        <w:rPr>
          <w:noProof/>
        </w:rPr>
        <w:t>1</w:t>
      </w:r>
      <w:r>
        <w:fldChar w:fldCharType="end"/>
      </w:r>
    </w:p>
    <w:p w14:paraId="081530BD" w14:textId="77777777" w:rsidR="00AB3647" w:rsidRDefault="00000000" w:rsidP="007923E9">
      <w:pPr>
        <w:pStyle w:val="TOC3"/>
        <w:keepLines/>
        <w:spacing w:line="276" w:lineRule="auto"/>
      </w:pPr>
      <w:hyperlink w:anchor="b3_excD" w:history="1">
        <w:r>
          <w:t xml:space="preserve">נספח ד – על המחלוקת בין הסבא </w:t>
        </w:r>
        <w:proofErr w:type="spellStart"/>
        <w:r>
          <w:t>מסלבודקה</w:t>
        </w:r>
        <w:proofErr w:type="spellEnd"/>
        <w:r>
          <w:t xml:space="preserve"> לבין רבו, הסבא מקלם, ועל ההדרכה שקיבל מר׳ ישראל </w:t>
        </w:r>
        <w:proofErr w:type="spellStart"/>
        <w:r>
          <w:t>סלנטר</w:t>
        </w:r>
        <w:proofErr w:type="spellEnd"/>
      </w:hyperlink>
      <w:r>
        <w:tab/>
      </w:r>
      <w:r>
        <w:fldChar w:fldCharType="begin" w:dirty="true"/>
      </w:r>
      <w:r>
        <w:instrText xml:space="preserve"> PAGEREF b3_excD \h </w:instrText>
      </w:r>
      <w:r>
        <w:fldChar w:fldCharType="separate"/>
      </w:r>
      <w:r w:rsidR="007923E9">
        <w:rPr>
          <w:noProof/>
        </w:rPr>
        <w:t>1</w:t>
      </w:r>
      <w:r>
        <w:fldChar w:fldCharType="end"/>
      </w:r>
    </w:p>
    <w:p w14:paraId="2FFB7503" w14:textId="77777777" w:rsidR="00AB3647" w:rsidRDefault="00000000" w:rsidP="007923E9">
      <w:pPr>
        <w:pStyle w:val="TOC3"/>
        <w:keepLines/>
        <w:spacing w:line="276" w:lineRule="auto"/>
      </w:pPr>
      <w:hyperlink w:anchor="b3_excE" w:history="1">
        <w:r>
          <w:t>נספח ה – על ביטול עצמם של בעלי המוסר; על מינוי מתרימים לכולל קובנה; ועל ההתנגדות להשתרשות תנועת המוסר בו</w:t>
        </w:r>
      </w:hyperlink>
      <w:r>
        <w:tab/>
      </w:r>
      <w:r>
        <w:fldChar w:fldCharType="begin" w:dirty="true"/>
      </w:r>
      <w:r>
        <w:instrText xml:space="preserve"> PAGEREF b3_excE \h </w:instrText>
      </w:r>
      <w:r>
        <w:fldChar w:fldCharType="separate"/>
      </w:r>
      <w:r w:rsidR="007923E9">
        <w:rPr>
          <w:noProof/>
        </w:rPr>
        <w:t>1</w:t>
      </w:r>
      <w:r>
        <w:fldChar w:fldCharType="end"/>
      </w:r>
    </w:p>
    <w:p w14:paraId="5CC4D053" w14:textId="77777777" w:rsidR="00AB3647" w:rsidRDefault="00000000" w:rsidP="007923E9">
      <w:pPr>
        <w:pStyle w:val="TOC3"/>
        <w:keepLines/>
        <w:spacing w:line="276" w:lineRule="auto"/>
      </w:pPr>
      <w:hyperlink w:anchor="b3_excF" w:history="1">
        <w:r>
          <w:t>נספח ו – על ריבוי התלמידים בחלק הישיבה של כולל קובנה</w:t>
        </w:r>
      </w:hyperlink>
      <w:r>
        <w:tab/>
      </w:r>
      <w:r>
        <w:fldChar w:fldCharType="begin" w:dirty="true"/>
      </w:r>
      <w:r>
        <w:instrText xml:space="preserve"> PAGEREF b3_excF \h </w:instrText>
      </w:r>
      <w:r>
        <w:fldChar w:fldCharType="separate"/>
      </w:r>
      <w:r w:rsidR="007923E9">
        <w:rPr>
          <w:noProof/>
        </w:rPr>
        <w:t>1</w:t>
      </w:r>
      <w:r>
        <w:fldChar w:fldCharType="end"/>
      </w:r>
    </w:p>
    <w:p w14:paraId="0578F100" w14:textId="77777777" w:rsidR="00AB3647" w:rsidRDefault="00000000" w:rsidP="007923E9">
      <w:pPr>
        <w:pStyle w:val="TOC3"/>
        <w:keepLines/>
        <w:spacing w:line="276" w:lineRule="auto"/>
      </w:pPr>
      <w:hyperlink w:anchor="b3_excG" w:history="1">
        <w:r>
          <w:t xml:space="preserve">נספח ז – על חברי כולל קובנה </w:t>
        </w:r>
        <w:proofErr w:type="spellStart"/>
        <w:r>
          <w:t>המתכשרים</w:t>
        </w:r>
        <w:proofErr w:type="spellEnd"/>
        <w:r>
          <w:t xml:space="preserve"> להיות ראשי ישיבה</w:t>
        </w:r>
      </w:hyperlink>
      <w:r>
        <w:tab/>
      </w:r>
      <w:r>
        <w:fldChar w:fldCharType="begin" w:dirty="true"/>
      </w:r>
      <w:r>
        <w:instrText xml:space="preserve"> PAGEREF b3_excG \h </w:instrText>
      </w:r>
      <w:r>
        <w:fldChar w:fldCharType="separate"/>
      </w:r>
      <w:r w:rsidR="007923E9">
        <w:rPr>
          <w:noProof/>
        </w:rPr>
        <w:t>1</w:t>
      </w:r>
      <w:r>
        <w:fldChar w:fldCharType="end"/>
      </w:r>
    </w:p>
    <w:p w14:paraId="0BC22F3F" w14:textId="77777777" w:rsidR="00AB3647" w:rsidRDefault="00000000" w:rsidP="007923E9">
      <w:pPr>
        <w:pStyle w:val="TOC3"/>
        <w:keepLines/>
        <w:spacing w:line="276" w:lineRule="auto"/>
      </w:pPr>
      <w:hyperlink w:anchor="b3_excH" w:history="1">
        <w:r>
          <w:t xml:space="preserve">נספח ח – על דרכים חדשות בלימוד התלמוד ועל יועציו של הסבא </w:t>
        </w:r>
        <w:proofErr w:type="spellStart"/>
        <w:r>
          <w:t>מסלבודקה</w:t>
        </w:r>
        <w:proofErr w:type="spellEnd"/>
      </w:hyperlink>
      <w:r>
        <w:tab/>
      </w:r>
      <w:r>
        <w:fldChar w:fldCharType="begin" w:dirty="true"/>
      </w:r>
      <w:r>
        <w:instrText xml:space="preserve"> PAGEREF b3_excH \h </w:instrText>
      </w:r>
      <w:r>
        <w:fldChar w:fldCharType="separate"/>
      </w:r>
      <w:r w:rsidR="007923E9">
        <w:rPr>
          <w:noProof/>
        </w:rPr>
        <w:t>1</w:t>
      </w:r>
      <w:r>
        <w:fldChar w:fldCharType="end"/>
      </w:r>
    </w:p>
    <w:p w14:paraId="339B37BD" w14:textId="77777777" w:rsidR="00AB3647" w:rsidRDefault="00000000" w:rsidP="007923E9">
      <w:pPr>
        <w:pStyle w:val="TOC3"/>
        <w:keepLines/>
        <w:spacing w:line="276" w:lineRule="auto"/>
      </w:pPr>
      <w:hyperlink w:anchor="b3_excI" w:history="1">
        <w:r>
          <w:t xml:space="preserve">נספח ט – על ר׳ </w:t>
        </w:r>
        <w:proofErr w:type="spellStart"/>
        <w:r>
          <w:t>איצל׳ה</w:t>
        </w:r>
        <w:proofErr w:type="spellEnd"/>
        <w:r>
          <w:t xml:space="preserve"> </w:t>
        </w:r>
        <w:proofErr w:type="spellStart"/>
        <w:r>
          <w:t>רבינוביץ</w:t>
        </w:r>
        <w:proofErr w:type="spellEnd"/>
        <w:r>
          <w:t xml:space="preserve"> </w:t>
        </w:r>
        <w:proofErr w:type="spellStart"/>
        <w:r>
          <w:t>בגורז׳ד</w:t>
        </w:r>
        <w:proofErr w:type="spellEnd"/>
        <w:r>
          <w:t xml:space="preserve">; על ר׳ לייזר גורדון המבקש לחזק את ישיבת </w:t>
        </w:r>
        <w:proofErr w:type="spellStart"/>
        <w:r>
          <w:t>טלז</w:t>
        </w:r>
        <w:proofErr w:type="spellEnd"/>
        <w:r>
          <w:t xml:space="preserve">; ועל יחסו של ר׳ </w:t>
        </w:r>
        <w:proofErr w:type="spellStart"/>
        <w:r>
          <w:t>ברוך־בער</w:t>
        </w:r>
        <w:proofErr w:type="spellEnd"/>
        <w:r>
          <w:t xml:space="preserve"> </w:t>
        </w:r>
        <w:proofErr w:type="spellStart"/>
        <w:r>
          <w:t>ליבוביץ</w:t>
        </w:r>
        <w:proofErr w:type="spellEnd"/>
        <w:r>
          <w:t xml:space="preserve"> לאביו </w:t>
        </w:r>
        <w:proofErr w:type="spellStart"/>
        <w:r>
          <w:t>ולר</w:t>
        </w:r>
        <w:proofErr w:type="spellEnd"/>
        <w:r>
          <w:t xml:space="preserve">׳ חיים </w:t>
        </w:r>
        <w:proofErr w:type="spellStart"/>
        <w:r>
          <w:t>סולובייצ׳יק</w:t>
        </w:r>
        <w:proofErr w:type="spellEnd"/>
      </w:hyperlink>
      <w:r>
        <w:tab/>
      </w:r>
      <w:r>
        <w:fldChar w:fldCharType="begin" w:dirty="true"/>
      </w:r>
      <w:r>
        <w:instrText xml:space="preserve"> PAGEREF b3_excI \h </w:instrText>
      </w:r>
      <w:r>
        <w:fldChar w:fldCharType="separate"/>
      </w:r>
      <w:r w:rsidR="007923E9">
        <w:rPr>
          <w:noProof/>
        </w:rPr>
        <w:t>1</w:t>
      </w:r>
      <w:r>
        <w:fldChar w:fldCharType="end"/>
      </w:r>
    </w:p>
    <w:p w14:paraId="64B61BCF" w14:textId="77777777" w:rsidR="00AB3647" w:rsidRDefault="00000000" w:rsidP="007923E9">
      <w:pPr>
        <w:pStyle w:val="TOC3"/>
        <w:keepLines/>
        <w:spacing w:line="276" w:lineRule="auto"/>
      </w:pPr>
      <w:hyperlink w:anchor="b3_excJ" w:history="1">
        <w:r>
          <w:t xml:space="preserve">נספח י – על מינוי הגיסים ר׳ </w:t>
        </w:r>
        <w:proofErr w:type="spellStart"/>
        <w:r>
          <w:t>משה־מרדכי</w:t>
        </w:r>
        <w:proofErr w:type="spellEnd"/>
        <w:r>
          <w:t xml:space="preserve"> אפשטיין ור׳ </w:t>
        </w:r>
        <w:proofErr w:type="spellStart"/>
        <w:r>
          <w:t>איסר־זלמן</w:t>
        </w:r>
        <w:proofErr w:type="spellEnd"/>
        <w:r>
          <w:t xml:space="preserve"> מלצר לראשי ישיבה </w:t>
        </w:r>
        <w:proofErr w:type="spellStart"/>
        <w:r>
          <w:t>בסלבודקה</w:t>
        </w:r>
        <w:proofErr w:type="spellEnd"/>
      </w:hyperlink>
      <w:r>
        <w:tab/>
      </w:r>
      <w:r>
        <w:fldChar w:fldCharType="begin" w:dirty="true"/>
      </w:r>
      <w:r>
        <w:instrText xml:space="preserve"> PAGEREF b3_excJ \h </w:instrText>
      </w:r>
      <w:r>
        <w:fldChar w:fldCharType="separate"/>
      </w:r>
      <w:r w:rsidR="007923E9">
        <w:rPr>
          <w:noProof/>
        </w:rPr>
        <w:t>1</w:t>
      </w:r>
      <w:r>
        <w:fldChar w:fldCharType="end"/>
      </w:r>
    </w:p>
    <w:p w14:paraId="3955BF59" w14:textId="77777777" w:rsidR="00AB3647" w:rsidRDefault="00000000" w:rsidP="007923E9">
      <w:pPr>
        <w:pStyle w:val="TOC3"/>
        <w:keepLines/>
        <w:spacing w:line="276" w:lineRule="auto"/>
      </w:pPr>
      <w:hyperlink w:anchor="b3_excK" w:history="1">
        <w:r>
          <w:t xml:space="preserve">נספח יא – על שנותיה האחרונות של ישיבת </w:t>
        </w:r>
        <w:proofErr w:type="spellStart"/>
        <w:r>
          <w:t>וולוז׳ין</w:t>
        </w:r>
        <w:proofErr w:type="spellEnd"/>
        <w:r>
          <w:t xml:space="preserve"> המקורית ועל מעורבות ר׳ חיים ברלין בסגירתה ובניסיון לפתחה מחדש</w:t>
        </w:r>
      </w:hyperlink>
      <w:r>
        <w:tab/>
      </w:r>
      <w:r>
        <w:fldChar w:fldCharType="begin" w:dirty="true"/>
      </w:r>
      <w:r>
        <w:instrText xml:space="preserve"> PAGEREF b3_excK \h </w:instrText>
      </w:r>
      <w:r>
        <w:fldChar w:fldCharType="separate"/>
      </w:r>
      <w:r w:rsidR="007923E9">
        <w:rPr>
          <w:noProof/>
        </w:rPr>
        <w:t>1</w:t>
      </w:r>
      <w:r>
        <w:fldChar w:fldCharType="end"/>
      </w:r>
    </w:p>
    <w:p w14:paraId="299A896F" w14:textId="77777777" w:rsidR="00AB3647" w:rsidRDefault="00000000" w:rsidP="007923E9">
      <w:pPr>
        <w:pStyle w:val="TOC3"/>
        <w:keepLines/>
        <w:spacing w:line="276" w:lineRule="auto"/>
      </w:pPr>
      <w:hyperlink w:anchor="b3_excL" w:history="1">
        <w:r>
          <w:t xml:space="preserve">נספח </w:t>
        </w:r>
        <w:proofErr w:type="spellStart"/>
        <w:r>
          <w:t>יב</w:t>
        </w:r>
        <w:proofErr w:type="spellEnd"/>
        <w:r>
          <w:t xml:space="preserve"> – על הרקע לפולמוס המוסר ועל היחסים בין ר׳ יעקב הלוי ליפשיץ </w:t>
        </w:r>
        <w:proofErr w:type="spellStart"/>
        <w:r>
          <w:t>לר</w:t>
        </w:r>
        <w:proofErr w:type="spellEnd"/>
        <w:r>
          <w:t xml:space="preserve">׳ חיים </w:t>
        </w:r>
        <w:proofErr w:type="spellStart"/>
        <w:r>
          <w:t>סולובייצ׳יק</w:t>
        </w:r>
        <w:proofErr w:type="spellEnd"/>
      </w:hyperlink>
      <w:r>
        <w:tab/>
      </w:r>
      <w:r>
        <w:fldChar w:fldCharType="begin" w:dirty="true"/>
      </w:r>
      <w:r>
        <w:instrText xml:space="preserve"> PAGEREF b3_excL \h </w:instrText>
      </w:r>
      <w:r>
        <w:fldChar w:fldCharType="separate"/>
      </w:r>
      <w:r w:rsidR="007923E9">
        <w:rPr>
          <w:noProof/>
        </w:rPr>
        <w:t>1</w:t>
      </w:r>
      <w:r>
        <w:fldChar w:fldCharType="end"/>
      </w:r>
    </w:p>
    <w:p w14:paraId="28972178" w14:textId="77777777" w:rsidR="00AB3647" w:rsidRDefault="00000000" w:rsidP="007923E9">
      <w:pPr>
        <w:pStyle w:val="TOC3"/>
        <w:keepLines/>
        <w:spacing w:line="276" w:lineRule="auto"/>
      </w:pPr>
      <w:hyperlink w:anchor="b3_excM" w:history="1">
        <w:r>
          <w:t xml:space="preserve">נספח </w:t>
        </w:r>
        <w:proofErr w:type="spellStart"/>
        <w:r>
          <w:t>יג</w:t>
        </w:r>
        <w:proofErr w:type="spellEnd"/>
        <w:r>
          <w:t xml:space="preserve"> – על פעולותיו ועל אופיו של ר׳ </w:t>
        </w:r>
        <w:proofErr w:type="spellStart"/>
        <w:r>
          <w:t>צבי־הירש</w:t>
        </w:r>
        <w:proofErr w:type="spellEnd"/>
        <w:r>
          <w:t xml:space="preserve"> </w:t>
        </w:r>
        <w:proofErr w:type="spellStart"/>
        <w:r>
          <w:t>רבינוביץ</w:t>
        </w:r>
        <w:proofErr w:type="spellEnd"/>
        <w:r>
          <w:t xml:space="preserve">, בנו וממלא מקומו של ר׳ </w:t>
        </w:r>
        <w:proofErr w:type="spellStart"/>
        <w:r>
          <w:t>יצחק־אלחנן</w:t>
        </w:r>
        <w:proofErr w:type="spellEnd"/>
        <w:r>
          <w:t xml:space="preserve"> </w:t>
        </w:r>
        <w:proofErr w:type="spellStart"/>
        <w:r>
          <w:t>ספקטור</w:t>
        </w:r>
        <w:proofErr w:type="spellEnd"/>
        <w:r>
          <w:t xml:space="preserve"> מקובנה</w:t>
        </w:r>
      </w:hyperlink>
      <w:r>
        <w:tab/>
      </w:r>
      <w:r>
        <w:fldChar w:fldCharType="begin" w:dirty="true"/>
      </w:r>
      <w:r>
        <w:instrText xml:space="preserve"> PAGEREF b3_excM \h </w:instrText>
      </w:r>
      <w:r>
        <w:fldChar w:fldCharType="separate"/>
      </w:r>
      <w:r w:rsidR="007923E9">
        <w:rPr>
          <w:noProof/>
        </w:rPr>
        <w:t>1</w:t>
      </w:r>
      <w:r>
        <w:fldChar w:fldCharType="end"/>
      </w:r>
    </w:p>
    <w:p w14:paraId="48EBD0A2" w14:textId="77777777" w:rsidR="00AB3647" w:rsidRDefault="00000000" w:rsidP="007923E9">
      <w:pPr>
        <w:pStyle w:val="TOC3"/>
        <w:keepLines/>
        <w:spacing w:line="276" w:lineRule="auto"/>
      </w:pPr>
      <w:hyperlink w:anchor="b3_excN" w:history="1">
        <w:r>
          <w:t>נספח יד – על פולמוס המוסר בקובנה ועל הרבנים שחתמו על הכרוזים הפומביים נגד המוסר ובעדו</w:t>
        </w:r>
      </w:hyperlink>
      <w:r>
        <w:tab/>
      </w:r>
      <w:r>
        <w:fldChar w:fldCharType="begin" w:dirty="true"/>
      </w:r>
      <w:r>
        <w:instrText xml:space="preserve"> PAGEREF b3_excN \h </w:instrText>
      </w:r>
      <w:r>
        <w:fldChar w:fldCharType="separate"/>
      </w:r>
      <w:r w:rsidR="007923E9">
        <w:rPr>
          <w:noProof/>
        </w:rPr>
        <w:t>1</w:t>
      </w:r>
      <w:r>
        <w:fldChar w:fldCharType="end"/>
      </w:r>
    </w:p>
    <w:p w14:paraId="19AFC11A" w14:textId="77777777" w:rsidR="00AB3647" w:rsidRDefault="00000000" w:rsidP="007923E9">
      <w:pPr>
        <w:pStyle w:val="TOC3"/>
        <w:keepLines/>
        <w:spacing w:line="276" w:lineRule="auto"/>
      </w:pPr>
      <w:hyperlink w:anchor="b3_excO" w:history="1">
        <w:r>
          <w:t xml:space="preserve">נספח טו – על הרקע להקמת ישיבת </w:t>
        </w:r>
        <w:proofErr w:type="spellStart"/>
        <w:r>
          <w:t>סלוצק</w:t>
        </w:r>
        <w:proofErr w:type="spellEnd"/>
        <w:r>
          <w:t xml:space="preserve"> בידי ר׳ </w:t>
        </w:r>
        <w:proofErr w:type="spellStart"/>
        <w:r>
          <w:t>איסר־זלמן</w:t>
        </w:r>
        <w:proofErr w:type="spellEnd"/>
        <w:r>
          <w:t xml:space="preserve"> מלצר</w:t>
        </w:r>
      </w:hyperlink>
      <w:r>
        <w:tab/>
      </w:r>
      <w:r>
        <w:fldChar w:fldCharType="begin" w:dirty="true"/>
      </w:r>
      <w:r>
        <w:instrText xml:space="preserve"> PAGEREF b3_excO \h </w:instrText>
      </w:r>
      <w:r>
        <w:fldChar w:fldCharType="separate"/>
      </w:r>
      <w:r w:rsidR="007923E9">
        <w:rPr>
          <w:noProof/>
        </w:rPr>
        <w:t>1</w:t>
      </w:r>
      <w:r>
        <w:fldChar w:fldCharType="end"/>
      </w:r>
    </w:p>
    <w:p w14:paraId="068FCBA7" w14:textId="77777777" w:rsidR="00AB3647" w:rsidRDefault="00000000" w:rsidP="007923E9">
      <w:pPr>
        <w:pStyle w:val="TOC3"/>
        <w:keepLines/>
        <w:spacing w:line="276" w:lineRule="auto"/>
      </w:pPr>
      <w:hyperlink w:anchor="b3_excP" w:history="1">
        <w:r>
          <w:t xml:space="preserve">נספח </w:t>
        </w:r>
        <w:proofErr w:type="spellStart"/>
        <w:r>
          <w:t>טז</w:t>
        </w:r>
        <w:proofErr w:type="spellEnd"/>
        <w:r>
          <w:t xml:space="preserve"> – על הזיקה בין השמות שניתנו לשני חלקיה של ישיבת </w:t>
        </w:r>
        <w:proofErr w:type="spellStart"/>
        <w:r>
          <w:t>סלבודקה</w:t>
        </w:r>
        <w:proofErr w:type="spellEnd"/>
        <w:r>
          <w:t xml:space="preserve"> שהתפלגה, ובין שמותיהם של ישיבת רבנו יצחק אלחנן בניו יורק ושל ישיבת נר ישראל בבולטימור</w:t>
        </w:r>
      </w:hyperlink>
      <w:r>
        <w:tab/>
      </w:r>
      <w:r>
        <w:fldChar w:fldCharType="begin" w:dirty="true"/>
      </w:r>
      <w:r>
        <w:instrText xml:space="preserve"> PAGEREF b3_excP \h </w:instrText>
      </w:r>
      <w:r>
        <w:fldChar w:fldCharType="separate"/>
      </w:r>
      <w:r w:rsidR="007923E9">
        <w:rPr>
          <w:noProof/>
        </w:rPr>
        <w:t>1</w:t>
      </w:r>
      <w:r>
        <w:fldChar w:fldCharType="end"/>
      </w:r>
    </w:p>
    <w:p w14:paraId="55848AE7" w14:textId="77777777" w:rsidR="00AB3647" w:rsidRDefault="00000000" w:rsidP="007923E9">
      <w:pPr>
        <w:pStyle w:val="TOC3"/>
        <w:keepLines/>
        <w:spacing w:line="276" w:lineRule="auto"/>
      </w:pPr>
      <w:hyperlink w:anchor="b3_excQ" w:history="1">
        <w:r>
          <w:t xml:space="preserve">נספח </w:t>
        </w:r>
        <w:proofErr w:type="spellStart"/>
        <w:r>
          <w:t>יז</w:t>
        </w:r>
        <w:proofErr w:type="spellEnd"/>
        <w:r>
          <w:t xml:space="preserve"> – על מאמציו של ר׳ </w:t>
        </w:r>
        <w:proofErr w:type="spellStart"/>
        <w:r>
          <w:t>נתן־צבי</w:t>
        </w:r>
        <w:proofErr w:type="spellEnd"/>
        <w:r>
          <w:t xml:space="preserve"> </w:t>
        </w:r>
        <w:proofErr w:type="spellStart"/>
        <w:r>
          <w:t>פינקל</w:t>
        </w:r>
        <w:proofErr w:type="spellEnd"/>
        <w:r>
          <w:t xml:space="preserve"> בבניין ישיבות ועל יחסו התמוה לבית הספר </w:t>
        </w:r>
        <w:proofErr w:type="spellStart"/>
        <w:r>
          <w:t>בגרובין</w:t>
        </w:r>
        <w:proofErr w:type="spellEnd"/>
      </w:hyperlink>
      <w:r>
        <w:tab/>
      </w:r>
      <w:r>
        <w:fldChar w:fldCharType="begin" w:dirty="true"/>
      </w:r>
      <w:r>
        <w:instrText xml:space="preserve"> PAGEREF b3_excQ \h </w:instrText>
      </w:r>
      <w:r>
        <w:fldChar w:fldCharType="separate"/>
      </w:r>
      <w:r w:rsidR="007923E9">
        <w:rPr>
          <w:noProof/>
        </w:rPr>
        <w:t>1</w:t>
      </w:r>
      <w:r>
        <w:fldChar w:fldCharType="end"/>
      </w:r>
    </w:p>
    <w:p w14:paraId="58D19376" w14:textId="77777777" w:rsidR="00AB3647" w:rsidRDefault="00000000" w:rsidP="007923E9">
      <w:pPr>
        <w:pStyle w:val="TOC3"/>
        <w:keepLines/>
        <w:spacing w:line="276" w:lineRule="auto"/>
      </w:pPr>
      <w:hyperlink w:anchor="b3_excR" w:history="1">
        <w:r>
          <w:t xml:space="preserve">נספח </w:t>
        </w:r>
        <w:proofErr w:type="spellStart"/>
        <w:r>
          <w:t>יח</w:t>
        </w:r>
        <w:proofErr w:type="spellEnd"/>
        <w:r>
          <w:t xml:space="preserve"> – על קדושתו של ר׳ </w:t>
        </w:r>
        <w:proofErr w:type="spellStart"/>
        <w:r>
          <w:t>ברוך־בער</w:t>
        </w:r>
        <w:proofErr w:type="spellEnd"/>
        <w:r>
          <w:t xml:space="preserve">; על המאמר </w:t>
        </w:r>
        <w:proofErr w:type="spellStart"/>
        <w:r>
          <w:t>החב״די</w:t>
        </w:r>
        <w:proofErr w:type="spellEnd"/>
        <w:r>
          <w:t xml:space="preserve"> בעניין לימוד מסכת בבא קמא; ועל ועידת הרבנים בפטרבורג </w:t>
        </w:r>
        <w:proofErr w:type="spellStart"/>
        <w:r>
          <w:t>בתר״ע</w:t>
        </w:r>
        <w:proofErr w:type="spellEnd"/>
      </w:hyperlink>
      <w:r>
        <w:tab/>
      </w:r>
      <w:r>
        <w:fldChar w:fldCharType="begin" w:dirty="true"/>
      </w:r>
      <w:r>
        <w:instrText xml:space="preserve"> PAGEREF b3_excR \h </w:instrText>
      </w:r>
      <w:r>
        <w:fldChar w:fldCharType="separate"/>
      </w:r>
      <w:r w:rsidR="007923E9">
        <w:rPr>
          <w:noProof/>
        </w:rPr>
        <w:t>1</w:t>
      </w:r>
      <w:r>
        <w:fldChar w:fldCharType="end"/>
      </w:r>
    </w:p>
    <w:p w14:paraId="7B130402" w14:textId="77777777" w:rsidR="00AB3647" w:rsidRDefault="00000000" w:rsidP="007923E9">
      <w:pPr>
        <w:pStyle w:val="TOC3"/>
        <w:keepLines/>
        <w:spacing w:line="276" w:lineRule="auto"/>
      </w:pPr>
      <w:hyperlink w:anchor="b3_excS" w:history="1">
        <w:r>
          <w:t xml:space="preserve">נספח </w:t>
        </w:r>
        <w:proofErr w:type="spellStart"/>
        <w:r>
          <w:t>יט</w:t>
        </w:r>
        <w:proofErr w:type="spellEnd"/>
        <w:r>
          <w:t xml:space="preserve"> – על תלמידי ר׳ ישראל </w:t>
        </w:r>
        <w:proofErr w:type="spellStart"/>
        <w:r>
          <w:t>סלנטר</w:t>
        </w:r>
        <w:proofErr w:type="spellEnd"/>
        <w:r>
          <w:t xml:space="preserve"> שלמדו באוניברסיטאות ואבדו, ועל ד״ר בנימין </w:t>
        </w:r>
        <w:proofErr w:type="spellStart"/>
        <w:r>
          <w:t>איינהורן</w:t>
        </w:r>
        <w:proofErr w:type="spellEnd"/>
        <w:r>
          <w:t>, שמעד בדרכו חזרה</w:t>
        </w:r>
      </w:hyperlink>
      <w:r>
        <w:tab/>
      </w:r>
      <w:r>
        <w:fldChar w:fldCharType="begin" w:dirty="true"/>
      </w:r>
      <w:r>
        <w:instrText xml:space="preserve"> PAGEREF b3_excS \h </w:instrText>
      </w:r>
      <w:r>
        <w:fldChar w:fldCharType="separate"/>
      </w:r>
      <w:r w:rsidR="007923E9">
        <w:rPr>
          <w:noProof/>
        </w:rPr>
        <w:t>1</w:t>
      </w:r>
      <w:r>
        <w:fldChar w:fldCharType="end"/>
      </w:r>
    </w:p>
    <w:p w14:paraId="238DC161" w14:textId="77777777" w:rsidR="00AB3647" w:rsidRDefault="00000000" w:rsidP="007923E9">
      <w:pPr>
        <w:pStyle w:val="TOC3"/>
        <w:keepLines/>
        <w:spacing w:line="276" w:lineRule="auto"/>
      </w:pPr>
      <w:hyperlink w:anchor="b3_excT" w:history="1">
        <w:r>
          <w:t xml:space="preserve">נספח כ – על הדרך שבה התמודד הסבא </w:t>
        </w:r>
        <w:proofErr w:type="spellStart"/>
        <w:r>
          <w:t>מסלבודקה</w:t>
        </w:r>
        <w:proofErr w:type="spellEnd"/>
        <w:r>
          <w:t xml:space="preserve"> עם המרד נגד המוסר בישיבתו, ועל יכולתו לחזות את עתיד תלמידיו</w:t>
        </w:r>
      </w:hyperlink>
      <w:r>
        <w:tab/>
      </w:r>
      <w:r>
        <w:fldChar w:fldCharType="begin" w:dirty="true"/>
      </w:r>
      <w:r>
        <w:instrText xml:space="preserve"> PAGEREF b3_excT \h </w:instrText>
      </w:r>
      <w:r>
        <w:fldChar w:fldCharType="separate"/>
      </w:r>
      <w:r w:rsidR="007923E9">
        <w:rPr>
          <w:noProof/>
        </w:rPr>
        <w:t>1</w:t>
      </w:r>
      <w:r>
        <w:fldChar w:fldCharType="end"/>
      </w:r>
    </w:p>
    <w:p w14:paraId="10407B6F" w14:textId="77777777" w:rsidR="00AB3647" w:rsidRDefault="00000000" w:rsidP="007923E9">
      <w:pPr>
        <w:pStyle w:val="TOC3"/>
        <w:keepLines/>
        <w:spacing w:line="276" w:lineRule="auto"/>
      </w:pPr>
      <w:hyperlink w:anchor="b3_excU" w:history="1">
        <w:r>
          <w:t xml:space="preserve">נספח </w:t>
        </w:r>
        <w:proofErr w:type="spellStart"/>
        <w:r>
          <w:t>כא</w:t>
        </w:r>
        <w:proofErr w:type="spellEnd"/>
        <w:r>
          <w:t xml:space="preserve"> – על המאבקים למען המוסר</w:t>
        </w:r>
      </w:hyperlink>
      <w:r>
        <w:tab/>
      </w:r>
      <w:r>
        <w:fldChar w:fldCharType="begin" w:dirty="true"/>
      </w:r>
      <w:r>
        <w:instrText xml:space="preserve"> PAGEREF b3_excU \h </w:instrText>
      </w:r>
      <w:r>
        <w:fldChar w:fldCharType="separate"/>
      </w:r>
      <w:r w:rsidR="007923E9">
        <w:rPr>
          <w:noProof/>
        </w:rPr>
        <w:t>1</w:t>
      </w:r>
      <w:r>
        <w:fldChar w:fldCharType="end"/>
      </w:r>
    </w:p>
    <w:p w14:paraId="14CC18F5" w14:textId="77777777" w:rsidR="00AB3647" w:rsidRDefault="00000000" w:rsidP="007923E9">
      <w:pPr>
        <w:pStyle w:val="TOC3"/>
        <w:keepLines/>
        <w:spacing w:line="276" w:lineRule="auto"/>
      </w:pPr>
      <w:hyperlink w:anchor="b3_excV" w:history="1">
        <w:r>
          <w:t xml:space="preserve">נספח </w:t>
        </w:r>
        <w:proofErr w:type="spellStart"/>
        <w:r>
          <w:t>כב</w:t>
        </w:r>
        <w:proofErr w:type="spellEnd"/>
        <w:r>
          <w:t xml:space="preserve"> – כיצד רומם הסבא את כבודם של בחורי הישיבות</w:t>
        </w:r>
      </w:hyperlink>
      <w:r>
        <w:tab/>
      </w:r>
      <w:r>
        <w:fldChar w:fldCharType="begin" w:dirty="true"/>
      </w:r>
      <w:r>
        <w:instrText xml:space="preserve"> PAGEREF b3_excV \h </w:instrText>
      </w:r>
      <w:r>
        <w:fldChar w:fldCharType="separate"/>
      </w:r>
      <w:r w:rsidR="007923E9">
        <w:rPr>
          <w:noProof/>
        </w:rPr>
        <w:t>1</w:t>
      </w:r>
      <w:r>
        <w:fldChar w:fldCharType="end"/>
      </w:r>
    </w:p>
    <w:p w14:paraId="74E63B5A" w14:textId="77777777" w:rsidR="00AB3647" w:rsidRDefault="00000000" w:rsidP="007923E9">
      <w:pPr>
        <w:pStyle w:val="TOC3"/>
        <w:keepLines/>
        <w:spacing w:line="276" w:lineRule="auto"/>
      </w:pPr>
      <w:hyperlink w:anchor="b3_excW" w:history="1">
        <w:r>
          <w:t xml:space="preserve">נספח </w:t>
        </w:r>
        <w:proofErr w:type="spellStart"/>
        <w:r>
          <w:t>כג</w:t>
        </w:r>
        <w:proofErr w:type="spellEnd"/>
        <w:r>
          <w:t xml:space="preserve"> – על חיי הבית של הסבא </w:t>
        </w:r>
        <w:proofErr w:type="spellStart"/>
        <w:r>
          <w:t>מסלבודקה</w:t>
        </w:r>
        <w:proofErr w:type="spellEnd"/>
      </w:hyperlink>
      <w:r>
        <w:tab/>
      </w:r>
      <w:r>
        <w:fldChar w:fldCharType="begin" w:dirty="true"/>
      </w:r>
      <w:r>
        <w:instrText xml:space="preserve"> PAGEREF b3_excW \h </w:instrText>
      </w:r>
      <w:r>
        <w:fldChar w:fldCharType="separate"/>
      </w:r>
      <w:r w:rsidR="007923E9">
        <w:rPr>
          <w:noProof/>
        </w:rPr>
        <w:t>1</w:t>
      </w:r>
      <w:r>
        <w:fldChar w:fldCharType="end"/>
      </w:r>
    </w:p>
    <w:p w14:paraId="3F7FEF6B" w14:textId="77777777" w:rsidR="00AB3647" w:rsidRDefault="00000000" w:rsidP="007923E9">
      <w:pPr>
        <w:pStyle w:val="TOC3"/>
        <w:keepLines/>
        <w:spacing w:line="276" w:lineRule="auto"/>
      </w:pPr>
      <w:hyperlink w:anchor="b3_excX" w:history="1">
        <w:r>
          <w:t>נספח כד – על היחסים בין בעלי המוסר למתנגדיהם</w:t>
        </w:r>
      </w:hyperlink>
      <w:r>
        <w:tab/>
      </w:r>
      <w:r>
        <w:fldChar w:fldCharType="begin" w:dirty="true"/>
      </w:r>
      <w:r>
        <w:instrText xml:space="preserve"> PAGEREF b3_excX \h </w:instrText>
      </w:r>
      <w:r>
        <w:fldChar w:fldCharType="separate"/>
      </w:r>
      <w:r w:rsidR="007923E9">
        <w:rPr>
          <w:noProof/>
        </w:rPr>
        <w:t>1</w:t>
      </w:r>
      <w:r>
        <w:fldChar w:fldCharType="end"/>
      </w:r>
    </w:p>
    <w:p w14:paraId="2A10C24D" w14:textId="77777777" w:rsidR="00AB3647" w:rsidRDefault="00000000" w:rsidP="007923E9">
      <w:pPr>
        <w:pStyle w:val="TOC3"/>
        <w:keepLines/>
        <w:spacing w:line="276" w:lineRule="auto"/>
      </w:pPr>
      <w:hyperlink w:anchor="b3_excY" w:history="1">
        <w:r>
          <w:t xml:space="preserve">נספח כה – על תוכנית החינוך המשולשת בתלמוד תורה המקורי </w:t>
        </w:r>
        <w:proofErr w:type="spellStart"/>
        <w:r>
          <w:t>בקלם</w:t>
        </w:r>
        <w:proofErr w:type="spellEnd"/>
        <w:r>
          <w:t xml:space="preserve"> </w:t>
        </w:r>
        <w:proofErr w:type="spellStart"/>
        <w:r>
          <w:t>ובגרובין</w:t>
        </w:r>
        <w:proofErr w:type="spellEnd"/>
        <w:r>
          <w:t>, ועל הקשיים שניצבו בפני בתי הספר; על השפעת היהדות האורתודוקסית הגרמנית על יהודי רוסיה; ועל שנותיו האחרונות של ר׳ עובדיה לחמן וצוואתו</w:t>
        </w:r>
      </w:hyperlink>
      <w:r>
        <w:tab/>
      </w:r>
      <w:r>
        <w:fldChar w:fldCharType="begin" w:dirty="true"/>
      </w:r>
      <w:r>
        <w:instrText xml:space="preserve"> PAGEREF b3_excY \h </w:instrText>
      </w:r>
      <w:r>
        <w:fldChar w:fldCharType="separate"/>
      </w:r>
      <w:r w:rsidR="007923E9">
        <w:rPr>
          <w:noProof/>
        </w:rPr>
        <w:t>1</w:t>
      </w:r>
      <w:r>
        <w:fldChar w:fldCharType="end"/>
      </w:r>
    </w:p>
    <w:p w14:paraId="5FFAC310" w14:textId="77777777" w:rsidR="00AB3647" w:rsidRDefault="00000000" w:rsidP="007923E9">
      <w:pPr>
        <w:pStyle w:val="TOC3"/>
        <w:keepLines/>
        <w:spacing w:line="276" w:lineRule="auto"/>
      </w:pPr>
      <w:hyperlink w:anchor="b3_excZ" w:history="1">
        <w:r>
          <w:t xml:space="preserve">נספח </w:t>
        </w:r>
        <w:proofErr w:type="spellStart"/>
        <w:r>
          <w:t>כו</w:t>
        </w:r>
        <w:proofErr w:type="spellEnd"/>
        <w:r>
          <w:t xml:space="preserve"> – כיצד פירשו ר׳ ישראל </w:t>
        </w:r>
        <w:proofErr w:type="spellStart"/>
        <w:r>
          <w:t>סלנטר</w:t>
        </w:r>
        <w:proofErr w:type="spellEnd"/>
        <w:r>
          <w:t xml:space="preserve"> ור׳ לייב החסיד מקלם שרפות יוצאות דופן; כיצד התייחס רבנו לדיונים על הגולם ועל דיבוקים; ועל אמונות טפלות</w:t>
        </w:r>
      </w:hyperlink>
      <w:r>
        <w:tab/>
      </w:r>
      <w:r>
        <w:fldChar w:fldCharType="begin" w:dirty="true"/>
      </w:r>
      <w:r>
        <w:instrText xml:space="preserve"> PAGEREF b3_excZ \h </w:instrText>
      </w:r>
      <w:r>
        <w:fldChar w:fldCharType="separate"/>
      </w:r>
      <w:r w:rsidR="007923E9">
        <w:rPr>
          <w:noProof/>
        </w:rPr>
        <w:t>1</w:t>
      </w:r>
      <w:r>
        <w:fldChar w:fldCharType="end"/>
      </w:r>
    </w:p>
    <w:p w14:paraId="321A1468" w14:textId="77777777" w:rsidR="00AB3647" w:rsidRDefault="00000000" w:rsidP="007923E9">
      <w:pPr>
        <w:pStyle w:val="TOC3"/>
        <w:keepLines/>
        <w:spacing w:line="276" w:lineRule="auto"/>
      </w:pPr>
      <w:hyperlink w:anchor="b3_excAA" w:history="1">
        <w:r>
          <w:t xml:space="preserve">נספח </w:t>
        </w:r>
        <w:proofErr w:type="spellStart"/>
        <w:r>
          <w:t>כז</w:t>
        </w:r>
        <w:proofErr w:type="spellEnd"/>
        <w:r>
          <w:t xml:space="preserve"> – על תפקידיו ואופיו של ר׳ </w:t>
        </w:r>
        <w:proofErr w:type="spellStart"/>
        <w:r>
          <w:t xml:space="preserve">בער־הירש</w:t>
        </w:r>
        <w:proofErr w:type="spellEnd"/>
        <w:r>
          <w:t xml:space="preserve"> </w:t>
        </w:r>
        <w:proofErr w:type="spellStart"/>
        <w:r>
          <w:t xml:space="preserve">הלר</w:t>
        </w:r>
        <w:proofErr w:type="spellEnd"/>
      </w:hyperlink>
      <w:r>
        <w:tab/>
      </w:r>
      <w:r>
        <w:fldChar w:fldCharType="begin" w:dirty="true"/>
      </w:r>
      <w:r>
        <w:instrText xml:space="preserve"> PAGEREF b3_excAA \h </w:instrText>
      </w:r>
      <w:r>
        <w:fldChar w:fldCharType="separate"/>
      </w:r>
      <w:r w:rsidR="007923E9">
        <w:rPr>
          <w:noProof/>
        </w:rPr>
        <w:t>1</w:t>
      </w:r>
      <w:r>
        <w:fldChar w:fldCharType="end"/>
      </w:r>
    </w:p>
    <w:p w14:paraId="2D8D9A39" w14:textId="77777777" w:rsidR="00AB3647" w:rsidRDefault="00000000" w:rsidP="007923E9">
      <w:pPr>
        <w:pStyle w:val="TOC3"/>
        <w:keepLines/>
        <w:spacing w:line="276" w:lineRule="auto"/>
      </w:pPr>
      <w:hyperlink w:anchor="b3_excBB" w:history="1">
        <w:r>
          <w:t xml:space="preserve">נספח </w:t>
        </w:r>
        <w:proofErr w:type="spellStart"/>
        <w:r>
          <w:t>כח</w:t>
        </w:r>
        <w:proofErr w:type="spellEnd"/>
        <w:r>
          <w:t xml:space="preserve"> – על אישיותו של ר׳ </w:t>
        </w:r>
        <w:proofErr w:type="spellStart"/>
        <w:r>
          <w:t xml:space="preserve">בער־הירש</w:t>
        </w:r>
        <w:proofErr w:type="spellEnd"/>
        <w:r>
          <w:t xml:space="preserve"> </w:t>
        </w:r>
        <w:proofErr w:type="spellStart"/>
        <w:r>
          <w:t xml:space="preserve">הלר</w:t>
        </w:r>
        <w:proofErr w:type="spellEnd"/>
        <w:r>
          <w:t xml:space="preserve"> ועל בנו שסָר מן הדרך</w:t>
        </w:r>
      </w:hyperlink>
      <w:r>
        <w:tab/>
      </w:r>
      <w:r>
        <w:fldChar w:fldCharType="begin" w:dirty="true"/>
      </w:r>
      <w:r>
        <w:instrText xml:space="preserve"> PAGEREF b3_excBB \h </w:instrText>
      </w:r>
      <w:r>
        <w:fldChar w:fldCharType="separate"/>
      </w:r>
      <w:r w:rsidR="007923E9">
        <w:rPr>
          <w:noProof/>
        </w:rPr>
        <w:t>1</w:t>
      </w:r>
      <w:r>
        <w:fldChar w:fldCharType="end"/>
      </w:r>
    </w:p>
    <w:p w14:paraId="2C623847" w14:textId="77777777" w:rsidR="00AB3647" w:rsidRDefault="00000000" w:rsidP="007923E9">
      <w:pPr>
        <w:pStyle w:val="TOC3"/>
        <w:keepLines/>
        <w:spacing w:line="276" w:lineRule="auto"/>
      </w:pPr>
      <w:hyperlink w:anchor="b3_excCC" w:history="1">
        <w:r>
          <w:t xml:space="preserve">נספח </w:t>
        </w:r>
        <w:proofErr w:type="spellStart"/>
        <w:r>
          <w:t>כט</w:t>
        </w:r>
        <w:proofErr w:type="spellEnd"/>
        <w:r>
          <w:t xml:space="preserve"> – על צדקותו של ר׳ </w:t>
        </w:r>
        <w:proofErr w:type="spellStart"/>
        <w:r>
          <w:t>משה־מרדכי</w:t>
        </w:r>
        <w:proofErr w:type="spellEnd"/>
        <w:r>
          <w:t xml:space="preserve"> ועל </w:t>
        </w:r>
        <w:proofErr w:type="spellStart"/>
        <w:r>
          <w:t>אי־השתתפות</w:t>
        </w:r>
        <w:proofErr w:type="spellEnd"/>
        <w:r>
          <w:t xml:space="preserve"> בשיעורים </w:t>
        </w:r>
        <w:proofErr w:type="spellStart"/>
        <w:r>
          <w:t>בוולוז׳ין</w:t>
        </w:r>
        <w:proofErr w:type="spellEnd"/>
      </w:hyperlink>
      <w:r>
        <w:tab/>
      </w:r>
      <w:r>
        <w:fldChar w:fldCharType="begin" w:dirty="true"/>
      </w:r>
      <w:r>
        <w:instrText xml:space="preserve"> PAGEREF b3_excCC \h </w:instrText>
      </w:r>
      <w:r>
        <w:fldChar w:fldCharType="separate"/>
      </w:r>
      <w:r w:rsidR="007923E9">
        <w:rPr>
          <w:noProof/>
        </w:rPr>
        <w:t>1</w:t>
      </w:r>
      <w:r>
        <w:fldChar w:fldCharType="end"/>
      </w:r>
    </w:p>
    <w:p w14:paraId="4F15BEC7" w14:textId="77777777" w:rsidR="00AB3647" w:rsidRDefault="00000000" w:rsidP="007923E9">
      <w:pPr>
        <w:pStyle w:val="TOC3"/>
        <w:keepLines/>
        <w:spacing w:line="276" w:lineRule="auto"/>
      </w:pPr>
      <w:hyperlink w:anchor="b3_excDD" w:history="1">
        <w:r>
          <w:t xml:space="preserve">נספח ל – כיצד ראו התלמידים את הסבא </w:t>
        </w:r>
        <w:proofErr w:type="spellStart"/>
        <w:r>
          <w:t>מסלבודקה</w:t>
        </w:r>
        <w:proofErr w:type="spellEnd"/>
        <w:r>
          <w:t xml:space="preserve">, ועל הדרכת תלמידים בידי ר׳ חיים </w:t>
        </w:r>
        <w:proofErr w:type="spellStart"/>
        <w:r>
          <w:t>סולובייצ׳יק</w:t>
        </w:r>
        <w:proofErr w:type="spellEnd"/>
        <w:r>
          <w:t xml:space="preserve"> </w:t>
        </w:r>
        <w:proofErr w:type="spellStart"/>
        <w:r>
          <w:t>בוולוז׳ין</w:t>
        </w:r>
        <w:proofErr w:type="spellEnd"/>
      </w:hyperlink>
      <w:r>
        <w:tab/>
      </w:r>
      <w:r>
        <w:fldChar w:fldCharType="begin" w:dirty="true"/>
      </w:r>
      <w:r>
        <w:instrText xml:space="preserve"> PAGEREF b3_excDD \h </w:instrText>
      </w:r>
      <w:r>
        <w:fldChar w:fldCharType="separate"/>
      </w:r>
      <w:r w:rsidR="007923E9">
        <w:rPr>
          <w:noProof/>
        </w:rPr>
        <w:t>1</w:t>
      </w:r>
      <w:r>
        <w:fldChar w:fldCharType="end"/>
      </w:r>
    </w:p>
    <w:p w14:paraId="1044C0F9" w14:textId="77777777" w:rsidR="00AB3647" w:rsidRDefault="00000000" w:rsidP="007923E9">
      <w:pPr>
        <w:pStyle w:val="TOC3"/>
        <w:keepLines/>
        <w:spacing w:line="276" w:lineRule="auto"/>
      </w:pPr>
      <w:hyperlink w:anchor="b3_excEE" w:history="1">
        <w:r>
          <w:t xml:space="preserve">נספח לא – על הקפדתו של ר׳ חיים </w:t>
        </w:r>
        <w:proofErr w:type="spellStart"/>
        <w:r>
          <w:t>סולובייצ׳יק</w:t>
        </w:r>
        <w:proofErr w:type="spellEnd"/>
        <w:r>
          <w:t xml:space="preserve"> על דיוק בדיבור ובדפוס</w:t>
        </w:r>
      </w:hyperlink>
      <w:r>
        <w:tab/>
      </w:r>
      <w:r>
        <w:fldChar w:fldCharType="begin" w:dirty="true"/>
      </w:r>
      <w:r>
        <w:instrText xml:space="preserve"> PAGEREF b3_excEE \h </w:instrText>
      </w:r>
      <w:r>
        <w:fldChar w:fldCharType="separate"/>
      </w:r>
      <w:r w:rsidR="007923E9">
        <w:rPr>
          <w:noProof/>
        </w:rPr>
        <w:t>1</w:t>
      </w:r>
      <w:r>
        <w:fldChar w:fldCharType="end"/>
      </w:r>
    </w:p>
    <w:p w14:paraId="38ABBA6B" w14:textId="77777777" w:rsidR="00AB3647" w:rsidRDefault="00000000" w:rsidP="007923E9">
      <w:pPr>
        <w:pStyle w:val="TOC3"/>
        <w:keepLines/>
        <w:spacing w:line="276" w:lineRule="auto"/>
      </w:pPr>
      <w:hyperlink w:anchor="b3_excFF" w:history="1">
        <w:r>
          <w:t xml:space="preserve">נספח לב – על דירוג גדולי התורה בנעוריו של רבנו ועל התמודדותו של ר׳ חיים </w:t>
        </w:r>
        <w:proofErr w:type="spellStart"/>
        <w:r>
          <w:t>סולובייצ׳יק</w:t>
        </w:r>
        <w:proofErr w:type="spellEnd"/>
        <w:r>
          <w:t xml:space="preserve"> עם ר׳ יוסף </w:t>
        </w:r>
        <w:proofErr w:type="spellStart"/>
        <w:r>
          <w:t>רוזין</w:t>
        </w:r>
        <w:proofErr w:type="spellEnd"/>
        <w:r>
          <w:t xml:space="preserve">, הגאון </w:t>
        </w:r>
        <w:proofErr w:type="spellStart"/>
        <w:r>
          <w:t>הרוגצ׳ובר</w:t>
        </w:r>
        <w:proofErr w:type="spellEnd"/>
      </w:hyperlink>
      <w:r>
        <w:tab/>
      </w:r>
      <w:r>
        <w:fldChar w:fldCharType="begin" w:dirty="true"/>
      </w:r>
      <w:r>
        <w:instrText xml:space="preserve"> PAGEREF b3_excFF \h </w:instrText>
      </w:r>
      <w:r>
        <w:fldChar w:fldCharType="separate"/>
      </w:r>
      <w:r w:rsidR="007923E9">
        <w:rPr>
          <w:noProof/>
        </w:rPr>
        <w:t>1</w:t>
      </w:r>
      <w:r>
        <w:fldChar w:fldCharType="end"/>
      </w:r>
    </w:p>
    <w:p w14:paraId="2F1B69EC" w14:textId="77777777" w:rsidR="00AB3647" w:rsidRDefault="00000000" w:rsidP="007923E9">
      <w:pPr>
        <w:pStyle w:val="TOC3"/>
        <w:keepLines/>
        <w:spacing w:line="276" w:lineRule="auto"/>
      </w:pPr>
      <w:hyperlink w:anchor="b3_excGG" w:history="1">
        <w:r>
          <w:t>נספח לג – על השתתפות תלמידי כנסת בית יצחק בשיחות הסבא</w:t>
        </w:r>
      </w:hyperlink>
      <w:r>
        <w:tab/>
      </w:r>
      <w:r>
        <w:fldChar w:fldCharType="begin" w:dirty="true"/>
      </w:r>
      <w:r>
        <w:instrText xml:space="preserve"> PAGEREF b3_excGG \h </w:instrText>
      </w:r>
      <w:r>
        <w:fldChar w:fldCharType="separate"/>
      </w:r>
      <w:r w:rsidR="007923E9">
        <w:rPr>
          <w:noProof/>
        </w:rPr>
        <w:t>1</w:t>
      </w:r>
      <w:r>
        <w:fldChar w:fldCharType="end"/>
      </w:r>
    </w:p>
    <w:p w14:paraId="49BB4E69" w14:textId="77777777" w:rsidR="00AB3647" w:rsidRDefault="00000000" w:rsidP="007923E9">
      <w:pPr>
        <w:pStyle w:val="TOC3"/>
        <w:keepLines/>
        <w:spacing w:line="276" w:lineRule="auto"/>
      </w:pPr>
      <w:hyperlink w:anchor="b3_excHH" w:history="1">
        <w:r>
          <w:t xml:space="preserve">נספח לד – על יחסו של ר׳ </w:t>
        </w:r>
        <w:proofErr w:type="spellStart"/>
        <w:r>
          <w:t>ברוך־בער</w:t>
        </w:r>
        <w:proofErr w:type="spellEnd"/>
        <w:r>
          <w:t xml:space="preserve"> למוסר</w:t>
        </w:r>
      </w:hyperlink>
      <w:r>
        <w:tab/>
      </w:r>
      <w:r>
        <w:fldChar w:fldCharType="begin" w:dirty="true"/>
      </w:r>
      <w:r>
        <w:instrText xml:space="preserve"> PAGEREF b3_excHH \h </w:instrText>
      </w:r>
      <w:r>
        <w:fldChar w:fldCharType="separate"/>
      </w:r>
      <w:r w:rsidR="007923E9">
        <w:rPr>
          <w:noProof/>
        </w:rPr>
        <w:t>1</w:t>
      </w:r>
      <w:r>
        <w:fldChar w:fldCharType="end"/>
      </w:r>
    </w:p>
    <w:p w14:paraId="31BBFD85" w14:textId="77777777" w:rsidR="00AB3647" w:rsidRDefault="00000000" w:rsidP="007923E9">
      <w:pPr>
        <w:pStyle w:val="TOC3"/>
        <w:keepLines/>
        <w:spacing w:line="276" w:lineRule="auto"/>
      </w:pPr>
      <w:hyperlink w:anchor="b3_excII" w:history="1">
        <w:r>
          <w:t xml:space="preserve">נספח לה – על היחסים בין שתי הישיבות </w:t>
        </w:r>
        <w:proofErr w:type="spellStart"/>
        <w:r>
          <w:t>בסלבודקה</w:t>
        </w:r>
        <w:proofErr w:type="spellEnd"/>
      </w:hyperlink>
      <w:r>
        <w:tab/>
      </w:r>
      <w:r>
        <w:fldChar w:fldCharType="begin" w:dirty="true"/>
      </w:r>
      <w:r>
        <w:instrText xml:space="preserve"> PAGEREF b3_excII \h </w:instrText>
      </w:r>
      <w:r>
        <w:fldChar w:fldCharType="separate"/>
      </w:r>
      <w:r w:rsidR="007923E9">
        <w:rPr>
          <w:noProof/>
        </w:rPr>
        <w:t>1</w:t>
      </w:r>
      <w:r>
        <w:fldChar w:fldCharType="end"/>
      </w:r>
    </w:p>
    <w:p w14:paraId="13F995F6" w14:textId="77777777" w:rsidR="00AB3647" w:rsidRDefault="00000000" w:rsidP="007923E9">
      <w:pPr>
        <w:pStyle w:val="TOC3"/>
        <w:keepLines/>
        <w:spacing w:line="276" w:lineRule="auto"/>
      </w:pPr>
      <w:hyperlink w:anchor="b3_excJJ" w:history="1">
        <w:r>
          <w:t xml:space="preserve">נספח לו – על ר׳ זלמן </w:t>
        </w:r>
        <w:proofErr w:type="spellStart"/>
        <w:r>
          <w:t>דולינסקי</w:t>
        </w:r>
        <w:proofErr w:type="spellEnd"/>
        <w:r>
          <w:t xml:space="preserve">, שניהל ועדים בהדרכת הסבא </w:t>
        </w:r>
        <w:proofErr w:type="spellStart"/>
        <w:r>
          <w:t>מסלבודקה</w:t>
        </w:r>
        <w:proofErr w:type="spellEnd"/>
      </w:hyperlink>
      <w:r>
        <w:tab/>
      </w:r>
      <w:r>
        <w:fldChar w:fldCharType="begin" w:dirty="true"/>
      </w:r>
      <w:r>
        <w:instrText xml:space="preserve"> PAGEREF b3_excJJ \h </w:instrText>
      </w:r>
      <w:r>
        <w:fldChar w:fldCharType="separate"/>
      </w:r>
      <w:r w:rsidR="007923E9">
        <w:rPr>
          <w:noProof/>
        </w:rPr>
        <w:t>1</w:t>
      </w:r>
      <w:r>
        <w:fldChar w:fldCharType="end"/>
      </w:r>
    </w:p>
    <w:p w14:paraId="68FAAC25" w14:textId="77777777" w:rsidR="00AB3647" w:rsidRDefault="00000000" w:rsidP="007923E9">
      <w:pPr>
        <w:pStyle w:val="TOC1"/>
        <w:keepNext/>
        <w:keepLines/>
        <w:spacing w:line="276" w:lineRule="auto"/>
      </w:pPr>
      <w:hyperlink w:anchor="b4_chapter" w:history="1">
        <w:r>
          <w:t xml:space="preserve">פרק רביעי – העשור השני – ג: ישיבת </w:t>
        </w:r>
        <w:proofErr w:type="spellStart"/>
        <w:r>
          <w:t>סלבודקה</w:t>
        </w:r>
        <w:proofErr w:type="spellEnd"/>
      </w:hyperlink>
      <w:r>
        <w:tab/>
      </w:r>
      <w:r>
        <w:fldChar w:fldCharType="begin" w:dirty="true"/>
      </w:r>
      <w:r>
        <w:instrText xml:space="preserve"> PAGEREF b4_chapter \h </w:instrText>
      </w:r>
      <w:r>
        <w:fldChar w:fldCharType="separate"/>
      </w:r>
      <w:r w:rsidR="007923E9">
        <w:rPr>
          <w:noProof/>
        </w:rPr>
        <w:t>1</w:t>
      </w:r>
      <w:r>
        <w:fldChar w:fldCharType="end"/>
      </w:r>
    </w:p>
    <w:p w14:paraId="73AB06F7" w14:textId="77777777" w:rsidR="00AB3647" w:rsidRDefault="00000000" w:rsidP="007923E9">
      <w:pPr>
        <w:pStyle w:val="TOC3"/>
        <w:keepLines/>
        <w:spacing w:line="276" w:lineRule="auto"/>
      </w:pPr>
      <w:hyperlink w:anchor="b4_excA" w:history="1">
        <w:r>
          <w:t xml:space="preserve">נספח א – על ידיעת הסבא בחלקי ההלכה שבש״ס ועל החומרות שהנהיג בתפילה בישיבת </w:t>
        </w:r>
        <w:proofErr w:type="spellStart"/>
        <w:r>
          <w:t>סלבודקה</w:t>
        </w:r>
        <w:proofErr w:type="spellEnd"/>
        <w:r>
          <w:t xml:space="preserve"> ושאומצו בישיבות אחרות</w:t>
        </w:r>
      </w:hyperlink>
      <w:r>
        <w:tab/>
      </w:r>
      <w:r>
        <w:fldChar w:fldCharType="begin" w:dirty="true"/>
      </w:r>
      <w:r>
        <w:instrText xml:space="preserve"> PAGEREF b4_excA \h </w:instrText>
      </w:r>
      <w:r>
        <w:fldChar w:fldCharType="separate"/>
      </w:r>
      <w:r w:rsidR="007923E9">
        <w:rPr>
          <w:noProof/>
        </w:rPr>
        <w:t>1</w:t>
      </w:r>
      <w:r>
        <w:fldChar w:fldCharType="end"/>
      </w:r>
    </w:p>
    <w:p w14:paraId="033737C8" w14:textId="77777777" w:rsidR="00AB3647" w:rsidRDefault="00000000" w:rsidP="007923E9">
      <w:pPr>
        <w:pStyle w:val="TOC3"/>
        <w:keepLines/>
        <w:spacing w:line="276" w:lineRule="auto"/>
      </w:pPr>
      <w:hyperlink w:anchor="b4_excB" w:history="1">
        <w:r>
          <w:t xml:space="preserve">נספח ב – על אימת הציבור של הסבא ועל סירובו של ר׳ </w:t>
        </w:r>
        <w:proofErr w:type="spellStart"/>
        <w:r>
          <w:t>חצקל</w:t>
        </w:r>
        <w:proofErr w:type="spellEnd"/>
        <w:r>
          <w:t xml:space="preserve"> </w:t>
        </w:r>
        <w:proofErr w:type="spellStart"/>
        <w:r>
          <w:t>ליבשיץ</w:t>
        </w:r>
        <w:proofErr w:type="spellEnd"/>
        <w:r>
          <w:t xml:space="preserve"> להיות רבה של קובנה</w:t>
        </w:r>
      </w:hyperlink>
      <w:r>
        <w:tab/>
      </w:r>
      <w:r>
        <w:fldChar w:fldCharType="begin" w:dirty="true"/>
      </w:r>
      <w:r>
        <w:instrText xml:space="preserve"> PAGEREF b4_excB \h </w:instrText>
      </w:r>
      <w:r>
        <w:fldChar w:fldCharType="separate"/>
      </w:r>
      <w:r w:rsidR="007923E9">
        <w:rPr>
          <w:noProof/>
        </w:rPr>
        <w:t>1</w:t>
      </w:r>
      <w:r>
        <w:fldChar w:fldCharType="end"/>
      </w:r>
    </w:p>
    <w:p w14:paraId="7863A57B" w14:textId="77777777" w:rsidR="00AB3647" w:rsidRDefault="00000000" w:rsidP="007923E9">
      <w:pPr>
        <w:pStyle w:val="TOC3"/>
        <w:keepLines/>
        <w:spacing w:line="276" w:lineRule="auto"/>
      </w:pPr>
      <w:hyperlink w:anchor="b4_excC" w:history="1">
        <w:r>
          <w:t>נספח ג – על יחסו האבהי של הסבא לתלמידיו ועל יחסם אליו כבנים אל אביהם</w:t>
        </w:r>
      </w:hyperlink>
      <w:r>
        <w:tab/>
      </w:r>
      <w:r>
        <w:fldChar w:fldCharType="begin" w:dirty="true"/>
      </w:r>
      <w:r>
        <w:instrText xml:space="preserve"> PAGEREF b4_excC \h </w:instrText>
      </w:r>
      <w:r>
        <w:fldChar w:fldCharType="separate"/>
      </w:r>
      <w:r w:rsidR="007923E9">
        <w:rPr>
          <w:noProof/>
        </w:rPr>
        <w:t>1</w:t>
      </w:r>
      <w:r>
        <w:fldChar w:fldCharType="end"/>
      </w:r>
    </w:p>
    <w:p w14:paraId="21D057E0" w14:textId="77777777" w:rsidR="00AB3647" w:rsidRDefault="00000000" w:rsidP="007923E9">
      <w:pPr>
        <w:pStyle w:val="TOC3"/>
        <w:keepLines/>
        <w:spacing w:line="276" w:lineRule="auto"/>
      </w:pPr>
      <w:hyperlink w:anchor="b4_excD" w:history="1">
        <w:r>
          <w:t xml:space="preserve">נספח ד – על הכוונת הסבא את ר׳ </w:t>
        </w:r>
        <w:proofErr w:type="spellStart"/>
        <w:r>
          <w:t>יחיאל־יעקב</w:t>
        </w:r>
        <w:proofErr w:type="spellEnd"/>
        <w:r>
          <w:t xml:space="preserve"> ויינברג, ועל אורך רוחו של הלה לנוכח חייו הטרגיים</w:t>
        </w:r>
      </w:hyperlink>
      <w:r>
        <w:tab/>
      </w:r>
      <w:r>
        <w:fldChar w:fldCharType="begin" w:dirty="true"/>
      </w:r>
      <w:r>
        <w:instrText xml:space="preserve"> PAGEREF b4_excD \h </w:instrText>
      </w:r>
      <w:r>
        <w:fldChar w:fldCharType="separate"/>
      </w:r>
      <w:r w:rsidR="007923E9">
        <w:rPr>
          <w:noProof/>
        </w:rPr>
        <w:t>1</w:t>
      </w:r>
      <w:r>
        <w:fldChar w:fldCharType="end"/>
      </w:r>
    </w:p>
    <w:p w14:paraId="50C7DE0D" w14:textId="77777777" w:rsidR="00AB3647" w:rsidRDefault="00000000" w:rsidP="007923E9">
      <w:pPr>
        <w:pStyle w:val="TOC3"/>
        <w:keepLines/>
        <w:spacing w:line="276" w:lineRule="auto"/>
      </w:pPr>
      <w:hyperlink w:anchor="b4_excE" w:history="1">
        <w:r>
          <w:t xml:space="preserve">נספח ה – על יחס הסבא לתלמידים ועל דרך חינוך שנקט פעם כלפי התלמיד שציפה שיהיה גדול הדור ר׳ </w:t>
        </w:r>
        <w:proofErr w:type="spellStart"/>
        <w:r>
          <w:t>יחיאל־יעקב</w:t>
        </w:r>
        <w:proofErr w:type="spellEnd"/>
        <w:r>
          <w:t xml:space="preserve"> ויינברג</w:t>
        </w:r>
      </w:hyperlink>
      <w:r>
        <w:tab/>
      </w:r>
      <w:r>
        <w:fldChar w:fldCharType="begin" w:dirty="true"/>
      </w:r>
      <w:r>
        <w:instrText xml:space="preserve"> PAGEREF b4_excE \h </w:instrText>
      </w:r>
      <w:r>
        <w:fldChar w:fldCharType="separate"/>
      </w:r>
      <w:r w:rsidR="007923E9">
        <w:rPr>
          <w:noProof/>
        </w:rPr>
        <w:t>1</w:t>
      </w:r>
      <w:r>
        <w:fldChar w:fldCharType="end"/>
      </w:r>
    </w:p>
    <w:p w14:paraId="1E9E82F9" w14:textId="77777777" w:rsidR="00AB3647" w:rsidRDefault="00000000" w:rsidP="007923E9">
      <w:pPr>
        <w:pStyle w:val="TOC3"/>
        <w:keepLines/>
        <w:spacing w:line="276" w:lineRule="auto"/>
      </w:pPr>
      <w:hyperlink w:anchor="b4_excF" w:history="1">
        <w:r>
          <w:t xml:space="preserve">נספח ו – על תעניות שקיבל הסבא על עצמו למען תלמידיו ועל תעניות בנו ר׳ </w:t>
        </w:r>
        <w:proofErr w:type="spellStart"/>
        <w:r>
          <w:t>לייזר־יודל</w:t>
        </w:r>
        <w:proofErr w:type="spellEnd"/>
      </w:hyperlink>
      <w:r>
        <w:tab/>
      </w:r>
      <w:r>
        <w:fldChar w:fldCharType="begin" w:dirty="true"/>
      </w:r>
      <w:r>
        <w:instrText xml:space="preserve"> PAGEREF b4_excF \h </w:instrText>
      </w:r>
      <w:r>
        <w:fldChar w:fldCharType="separate"/>
      </w:r>
      <w:r w:rsidR="007923E9">
        <w:rPr>
          <w:noProof/>
        </w:rPr>
        <w:t>1</w:t>
      </w:r>
      <w:r>
        <w:fldChar w:fldCharType="end"/>
      </w:r>
    </w:p>
    <w:p w14:paraId="421353AA" w14:textId="77777777" w:rsidR="00AB3647" w:rsidRDefault="00000000" w:rsidP="007923E9">
      <w:pPr>
        <w:pStyle w:val="TOC3"/>
        <w:keepLines/>
        <w:spacing w:line="276" w:lineRule="auto"/>
      </w:pPr>
      <w:hyperlink w:anchor="b4_excG" w:history="1">
        <w:r>
          <w:t>נספח ז – על הישגי הסבא בהמשכת לימוד התורה והנהגתה ועל תומכי תורה מרכזיים בימיו ובזמנים האחרונים</w:t>
        </w:r>
      </w:hyperlink>
      <w:r>
        <w:tab/>
      </w:r>
      <w:r>
        <w:fldChar w:fldCharType="begin" w:dirty="true"/>
      </w:r>
      <w:r>
        <w:instrText xml:space="preserve"> PAGEREF b4_excG \h </w:instrText>
      </w:r>
      <w:r>
        <w:fldChar w:fldCharType="separate"/>
      </w:r>
      <w:r w:rsidR="007923E9">
        <w:rPr>
          <w:noProof/>
        </w:rPr>
        <w:t>1</w:t>
      </w:r>
      <w:r>
        <w:fldChar w:fldCharType="end"/>
      </w:r>
    </w:p>
    <w:p w14:paraId="7A7D65FD" w14:textId="77777777" w:rsidR="00AB3647" w:rsidRDefault="00000000" w:rsidP="007923E9">
      <w:pPr>
        <w:pStyle w:val="TOC3"/>
        <w:keepLines/>
        <w:spacing w:line="276" w:lineRule="auto"/>
      </w:pPr>
      <w:hyperlink w:anchor="b4_excH" w:history="1">
        <w:r>
          <w:t xml:space="preserve">נספח ח – על חשדם העצמי של בעלי המוסר ועל ביקורם המשותף של ר׳ ישראל </w:t>
        </w:r>
        <w:proofErr w:type="spellStart"/>
        <w:r>
          <w:t>סלנטר</w:t>
        </w:r>
        <w:proofErr w:type="spellEnd"/>
        <w:r>
          <w:t xml:space="preserve"> והברון </w:t>
        </w:r>
        <w:proofErr w:type="spellStart"/>
        <w:r>
          <w:t>גינצבורג</w:t>
        </w:r>
        <w:proofErr w:type="spellEnd"/>
        <w:r>
          <w:t xml:space="preserve"> בישיבת ר׳ לייזר גורדון</w:t>
        </w:r>
      </w:hyperlink>
      <w:r>
        <w:tab/>
      </w:r>
      <w:r>
        <w:fldChar w:fldCharType="begin" w:dirty="true"/>
      </w:r>
      <w:r>
        <w:instrText xml:space="preserve"> PAGEREF b4_excH \h </w:instrText>
      </w:r>
      <w:r>
        <w:fldChar w:fldCharType="separate"/>
      </w:r>
      <w:r w:rsidR="007923E9">
        <w:rPr>
          <w:noProof/>
        </w:rPr>
        <w:t>1</w:t>
      </w:r>
      <w:r>
        <w:fldChar w:fldCharType="end"/>
      </w:r>
    </w:p>
    <w:p w14:paraId="37BE94D2" w14:textId="77777777" w:rsidR="00AB3647" w:rsidRDefault="00000000" w:rsidP="007923E9">
      <w:pPr>
        <w:pStyle w:val="TOC3"/>
        <w:keepLines/>
        <w:spacing w:line="276" w:lineRule="auto"/>
      </w:pPr>
      <w:hyperlink w:anchor="b4_excI" w:history="1">
        <w:r>
          <w:t xml:space="preserve">נספח ט – על הניסיונות להכניס את לימוד המוסר לישיבת </w:t>
        </w:r>
        <w:proofErr w:type="spellStart"/>
        <w:r>
          <w:t>וולוז׳ין</w:t>
        </w:r>
        <w:proofErr w:type="spellEnd"/>
        <w:r>
          <w:t xml:space="preserve"> והעימות בין ר׳ </w:t>
        </w:r>
        <w:proofErr w:type="spellStart"/>
        <w:r>
          <w:t>איצל׳ה</w:t>
        </w:r>
        <w:proofErr w:type="spellEnd"/>
        <w:r>
          <w:t xml:space="preserve"> </w:t>
        </w:r>
        <w:proofErr w:type="spellStart"/>
        <w:r>
          <w:t>בלאזר</w:t>
        </w:r>
        <w:proofErr w:type="spellEnd"/>
        <w:r>
          <w:t xml:space="preserve"> </w:t>
        </w:r>
        <w:proofErr w:type="spellStart"/>
        <w:r>
          <w:t>לר</w:t>
        </w:r>
        <w:proofErr w:type="spellEnd"/>
        <w:r>
          <w:t xml:space="preserve">׳ חיים </w:t>
        </w:r>
        <w:proofErr w:type="spellStart"/>
        <w:r>
          <w:t>סולובייצ׳יק</w:t>
        </w:r>
        <w:proofErr w:type="spellEnd"/>
        <w:r>
          <w:t xml:space="preserve">; על התלמידים הבעייתיים בישיבה, ובהם </w:t>
        </w:r>
        <w:proofErr w:type="spellStart"/>
        <w:r>
          <w:t>חיים־נחמן</w:t>
        </w:r>
        <w:proofErr w:type="spellEnd"/>
        <w:r>
          <w:t xml:space="preserve"> ביאליק; ועל אופיו של ר׳ חיים, חוכמתו ותחומי דאגתו</w:t>
        </w:r>
      </w:hyperlink>
      <w:r>
        <w:tab/>
      </w:r>
      <w:r>
        <w:fldChar w:fldCharType="begin" w:dirty="true"/>
      </w:r>
      <w:r>
        <w:instrText xml:space="preserve"> PAGEREF b4_excI \h </w:instrText>
      </w:r>
      <w:r>
        <w:fldChar w:fldCharType="separate"/>
      </w:r>
      <w:r w:rsidR="007923E9">
        <w:rPr>
          <w:noProof/>
        </w:rPr>
        <w:t>1</w:t>
      </w:r>
      <w:r>
        <w:fldChar w:fldCharType="end"/>
      </w:r>
    </w:p>
    <w:p w14:paraId="25600426" w14:textId="77777777" w:rsidR="00AB3647" w:rsidRDefault="00000000" w:rsidP="007923E9">
      <w:pPr>
        <w:pStyle w:val="TOC3"/>
        <w:keepLines/>
        <w:spacing w:line="276" w:lineRule="auto"/>
      </w:pPr>
      <w:hyperlink w:anchor="b4_excJ" w:history="1">
        <w:r>
          <w:t xml:space="preserve">נספח י – על סיפורים שסיפר ר׳ נפתלי אמסטרדם לרבנו על עצמו ועל חבריו ועל מקצת תורת רבם ר׳ ישראל </w:t>
        </w:r>
        <w:proofErr w:type="spellStart"/>
        <w:r>
          <w:t>סלנטר</w:t>
        </w:r>
        <w:proofErr w:type="spellEnd"/>
      </w:hyperlink>
      <w:r>
        <w:tab/>
      </w:r>
      <w:r>
        <w:fldChar w:fldCharType="begin" w:dirty="true"/>
      </w:r>
      <w:r>
        <w:instrText xml:space="preserve"> PAGEREF b4_excJ \h </w:instrText>
      </w:r>
      <w:r>
        <w:fldChar w:fldCharType="separate"/>
      </w:r>
      <w:r w:rsidR="007923E9">
        <w:rPr>
          <w:noProof/>
        </w:rPr>
        <w:t>1</w:t>
      </w:r>
      <w:r>
        <w:fldChar w:fldCharType="end"/>
      </w:r>
    </w:p>
    <w:p w14:paraId="6F8BE0B2" w14:textId="77777777" w:rsidR="00AB3647" w:rsidRDefault="00000000" w:rsidP="007923E9">
      <w:pPr>
        <w:pStyle w:val="TOC3"/>
        <w:keepLines/>
        <w:spacing w:line="276" w:lineRule="auto"/>
      </w:pPr>
      <w:hyperlink w:anchor="b4_excK" w:history="1">
        <w:r>
          <w:t>נספח יא – על פטירתו של ר׳ לייזר גורדון הנכבד בעת גיוס כספים בלונדון</w:t>
        </w:r>
      </w:hyperlink>
      <w:r>
        <w:tab/>
      </w:r>
      <w:r>
        <w:fldChar w:fldCharType="begin" w:dirty="true"/>
      </w:r>
      <w:r>
        <w:instrText xml:space="preserve"> PAGEREF b4_excK \h </w:instrText>
      </w:r>
      <w:r>
        <w:fldChar w:fldCharType="separate"/>
      </w:r>
      <w:r w:rsidR="007923E9">
        <w:rPr>
          <w:noProof/>
        </w:rPr>
        <w:t>1</w:t>
      </w:r>
      <w:r>
        <w:fldChar w:fldCharType="end"/>
      </w:r>
    </w:p>
    <w:p w14:paraId="64380406" w14:textId="77777777" w:rsidR="00AB3647" w:rsidRDefault="00000000" w:rsidP="007923E9">
      <w:pPr>
        <w:pStyle w:val="TOC3"/>
        <w:keepLines/>
        <w:spacing w:line="276" w:lineRule="auto"/>
      </w:pPr>
      <w:hyperlink w:anchor="b4_excL" w:history="1">
        <w:r>
          <w:t xml:space="preserve">נספח </w:t>
        </w:r>
        <w:proofErr w:type="spellStart"/>
        <w:r>
          <w:t>יב</w:t>
        </w:r>
        <w:proofErr w:type="spellEnd"/>
        <w:r>
          <w:t xml:space="preserve"> – על הנסיבות שהביאו למינויו של ר׳ לייזר גורדון לרבנות </w:t>
        </w:r>
        <w:proofErr w:type="spellStart"/>
        <w:r>
          <w:t>טלז</w:t>
        </w:r>
        <w:proofErr w:type="spellEnd"/>
      </w:hyperlink>
      <w:r>
        <w:tab/>
      </w:r>
      <w:r>
        <w:fldChar w:fldCharType="begin" w:dirty="true"/>
      </w:r>
      <w:r>
        <w:instrText xml:space="preserve"> PAGEREF b4_excL \h </w:instrText>
      </w:r>
      <w:r>
        <w:fldChar w:fldCharType="separate"/>
      </w:r>
      <w:r w:rsidR="007923E9">
        <w:rPr>
          <w:noProof/>
        </w:rPr>
        <w:t>1</w:t>
      </w:r>
      <w:r>
        <w:fldChar w:fldCharType="end"/>
      </w:r>
    </w:p>
    <w:p w14:paraId="53FF41A8" w14:textId="77777777" w:rsidR="00AB3647" w:rsidRDefault="00000000" w:rsidP="007923E9">
      <w:pPr>
        <w:pStyle w:val="TOC3"/>
        <w:keepLines/>
        <w:spacing w:line="276" w:lineRule="auto"/>
      </w:pPr>
      <w:hyperlink w:anchor="b4_excM" w:history="1">
        <w:r>
          <w:t xml:space="preserve">נספח </w:t>
        </w:r>
        <w:proofErr w:type="spellStart"/>
        <w:r>
          <w:t>יג</w:t>
        </w:r>
        <w:proofErr w:type="spellEnd"/>
        <w:r>
          <w:t xml:space="preserve"> – על מעורבות תלמידים בענייני הנהלת ישיבת </w:t>
        </w:r>
        <w:proofErr w:type="spellStart"/>
        <w:r>
          <w:t>וולוז׳ין</w:t>
        </w:r>
        <w:proofErr w:type="spellEnd"/>
        <w:r>
          <w:t xml:space="preserve"> ועל חסרונותיו של ר׳ חיים </w:t>
        </w:r>
        <w:proofErr w:type="spellStart"/>
        <w:r>
          <w:t>סולובייצ׳יק</w:t>
        </w:r>
        <w:proofErr w:type="spellEnd"/>
        <w:r>
          <w:t xml:space="preserve"> בראשית דרכו כמנהיג ועל ניסיונו של ר׳ </w:t>
        </w:r>
        <w:proofErr w:type="spellStart"/>
        <w:r>
          <w:t>יהושע־העשיל</w:t>
        </w:r>
        <w:proofErr w:type="spellEnd"/>
        <w:r>
          <w:t xml:space="preserve"> לוין להיות ראש ישיבת </w:t>
        </w:r>
        <w:proofErr w:type="spellStart"/>
        <w:r>
          <w:t>וולוז׳ין</w:t>
        </w:r>
        <w:proofErr w:type="spellEnd"/>
      </w:hyperlink>
      <w:r>
        <w:tab/>
      </w:r>
      <w:r>
        <w:fldChar w:fldCharType="begin" w:dirty="true"/>
      </w:r>
      <w:r>
        <w:instrText xml:space="preserve"> PAGEREF b4_excM \h </w:instrText>
      </w:r>
      <w:r>
        <w:fldChar w:fldCharType="separate"/>
      </w:r>
      <w:r w:rsidR="007923E9">
        <w:rPr>
          <w:noProof/>
        </w:rPr>
        <w:t>1</w:t>
      </w:r>
      <w:r>
        <w:fldChar w:fldCharType="end"/>
      </w:r>
    </w:p>
    <w:p w14:paraId="02869DF4" w14:textId="77777777" w:rsidR="00AB3647" w:rsidRDefault="00000000" w:rsidP="007923E9">
      <w:pPr>
        <w:pStyle w:val="TOC3"/>
        <w:keepLines/>
        <w:spacing w:line="276" w:lineRule="auto"/>
      </w:pPr>
      <w:hyperlink w:anchor="b4_excN" w:history="1">
        <w:r>
          <w:t xml:space="preserve">נספח יד – על הקשר בין ישיבות </w:t>
        </w:r>
        <w:proofErr w:type="spellStart"/>
        <w:r>
          <w:t>סלבודקה</w:t>
        </w:r>
        <w:proofErr w:type="spellEnd"/>
        <w:r>
          <w:t xml:space="preserve"> </w:t>
        </w:r>
        <w:proofErr w:type="spellStart"/>
        <w:r>
          <w:t>וטלז</w:t>
        </w:r>
        <w:proofErr w:type="spellEnd"/>
        <w:r>
          <w:t xml:space="preserve"> לפני בחירת ר׳ יוסף לייב בלוך ולאחריה</w:t>
        </w:r>
      </w:hyperlink>
      <w:r>
        <w:tab/>
      </w:r>
      <w:r>
        <w:fldChar w:fldCharType="begin" w:dirty="true"/>
      </w:r>
      <w:r>
        <w:instrText xml:space="preserve"> PAGEREF b4_excN \h </w:instrText>
      </w:r>
      <w:r>
        <w:fldChar w:fldCharType="separate"/>
      </w:r>
      <w:r w:rsidR="007923E9">
        <w:rPr>
          <w:noProof/>
        </w:rPr>
        <w:t>1</w:t>
      </w:r>
      <w:r>
        <w:fldChar w:fldCharType="end"/>
      </w:r>
    </w:p>
    <w:p w14:paraId="01665DE8" w14:textId="77777777" w:rsidR="00AB3647" w:rsidRDefault="00000000" w:rsidP="007923E9">
      <w:pPr>
        <w:pStyle w:val="TOC3"/>
        <w:keepLines/>
        <w:spacing w:line="276" w:lineRule="auto"/>
      </w:pPr>
      <w:hyperlink w:anchor="b4_excO" w:history="1">
        <w:r>
          <w:t xml:space="preserve">נספח טו – על משימתו הקשה של ר׳ שמואל </w:t>
        </w:r>
        <w:proofErr w:type="spellStart"/>
        <w:r>
          <w:t>פונדילער</w:t>
        </w:r>
        <w:proofErr w:type="spellEnd"/>
        <w:r>
          <w:t xml:space="preserve"> להכניס מוסר </w:t>
        </w:r>
        <w:proofErr w:type="spellStart"/>
        <w:r>
          <w:t>לטלז</w:t>
        </w:r>
        <w:proofErr w:type="spellEnd"/>
        <w:r>
          <w:t xml:space="preserve"> המרדנית</w:t>
        </w:r>
      </w:hyperlink>
      <w:r>
        <w:tab/>
      </w:r>
      <w:r>
        <w:fldChar w:fldCharType="begin" w:dirty="true"/>
      </w:r>
      <w:r>
        <w:instrText xml:space="preserve"> PAGEREF b4_excO \h </w:instrText>
      </w:r>
      <w:r>
        <w:fldChar w:fldCharType="separate"/>
      </w:r>
      <w:r w:rsidR="007923E9">
        <w:rPr>
          <w:noProof/>
        </w:rPr>
        <w:t>1</w:t>
      </w:r>
      <w:r>
        <w:fldChar w:fldCharType="end"/>
      </w:r>
    </w:p>
    <w:p w14:paraId="4F2D2C9A" w14:textId="77777777" w:rsidR="00AB3647" w:rsidRDefault="00000000" w:rsidP="007923E9">
      <w:pPr>
        <w:pStyle w:val="TOC3"/>
        <w:keepLines/>
        <w:spacing w:line="276" w:lineRule="auto"/>
      </w:pPr>
      <w:hyperlink w:anchor="b4_excP" w:history="1">
        <w:r>
          <w:t xml:space="preserve">נספח </w:t>
        </w:r>
        <w:proofErr w:type="spellStart"/>
        <w:r>
          <w:t>טז</w:t>
        </w:r>
        <w:proofErr w:type="spellEnd"/>
        <w:r>
          <w:t xml:space="preserve"> – על ר׳ אהרן קוטלר ור׳ שלמה היימן ועל קרבת ר׳ </w:t>
        </w:r>
        <w:proofErr w:type="spellStart"/>
        <w:r>
          <w:t>ברוך־בער</w:t>
        </w:r>
        <w:proofErr w:type="spellEnd"/>
        <w:r>
          <w:t xml:space="preserve"> לתלמידיו</w:t>
        </w:r>
      </w:hyperlink>
      <w:r>
        <w:tab/>
      </w:r>
      <w:r>
        <w:fldChar w:fldCharType="begin" w:dirty="true"/>
      </w:r>
      <w:r>
        <w:instrText xml:space="preserve"> PAGEREF b4_excP \h </w:instrText>
      </w:r>
      <w:r>
        <w:fldChar w:fldCharType="separate"/>
      </w:r>
      <w:r w:rsidR="007923E9">
        <w:rPr>
          <w:noProof/>
        </w:rPr>
        <w:t>1</w:t>
      </w:r>
      <w:r>
        <w:fldChar w:fldCharType="end"/>
      </w:r>
    </w:p>
    <w:p w14:paraId="1314FDF0" w14:textId="77777777" w:rsidR="00AB3647" w:rsidRDefault="00000000" w:rsidP="007923E9">
      <w:pPr>
        <w:pStyle w:val="TOC3"/>
        <w:keepLines/>
        <w:spacing w:line="276" w:lineRule="auto"/>
      </w:pPr>
      <w:hyperlink w:anchor="b4_excQ" w:history="1">
        <w:r>
          <w:t xml:space="preserve">נספח </w:t>
        </w:r>
        <w:proofErr w:type="spellStart"/>
        <w:r>
          <w:t>יז</w:t>
        </w:r>
        <w:proofErr w:type="spellEnd"/>
        <w:r>
          <w:t xml:space="preserve"> – על מועמדויות ר׳ </w:t>
        </w:r>
        <w:proofErr w:type="spellStart"/>
        <w:r>
          <w:t>דוד־טעביל</w:t>
        </w:r>
        <w:proofErr w:type="spellEnd"/>
        <w:r>
          <w:t xml:space="preserve"> לרבנות ועל גאונות ר׳ </w:t>
        </w:r>
        <w:proofErr w:type="spellStart"/>
        <w:r>
          <w:t>דוד׳ל</w:t>
        </w:r>
        <w:proofErr w:type="spellEnd"/>
        <w:r>
          <w:t xml:space="preserve"> פרידמן</w:t>
        </w:r>
      </w:hyperlink>
      <w:r>
        <w:tab/>
      </w:r>
      <w:r>
        <w:fldChar w:fldCharType="begin" w:dirty="true"/>
      </w:r>
      <w:r>
        <w:instrText xml:space="preserve"> PAGEREF b4_excQ \h </w:instrText>
      </w:r>
      <w:r>
        <w:fldChar w:fldCharType="separate"/>
      </w:r>
      <w:r w:rsidR="007923E9">
        <w:rPr>
          <w:noProof/>
        </w:rPr>
        <w:t>1</w:t>
      </w:r>
      <w:r>
        <w:fldChar w:fldCharType="end"/>
      </w:r>
    </w:p>
    <w:p w14:paraId="275E996F" w14:textId="77777777" w:rsidR="00AB3647" w:rsidRDefault="00000000" w:rsidP="007923E9">
      <w:pPr>
        <w:pStyle w:val="TOC3"/>
        <w:keepLines/>
        <w:spacing w:line="276" w:lineRule="auto"/>
      </w:pPr>
      <w:hyperlink w:anchor="b4_excR" w:history="1">
        <w:r>
          <w:t xml:space="preserve">נספח </w:t>
        </w:r>
        <w:proofErr w:type="spellStart"/>
        <w:r>
          <w:t>יח</w:t>
        </w:r>
        <w:proofErr w:type="spellEnd"/>
        <w:r>
          <w:t xml:space="preserve"> – על משחק המלכים ועל התמנות ר׳ </w:t>
        </w:r>
        <w:proofErr w:type="spellStart"/>
        <w:r>
          <w:t>יוסף־שלמה</w:t>
        </w:r>
        <w:proofErr w:type="spellEnd"/>
        <w:r>
          <w:t xml:space="preserve"> </w:t>
        </w:r>
        <w:proofErr w:type="spellStart"/>
        <w:r>
          <w:t>כהנמן</w:t>
        </w:r>
        <w:proofErr w:type="spellEnd"/>
        <w:r>
          <w:t xml:space="preserve"> לרב </w:t>
        </w:r>
        <w:proofErr w:type="spellStart"/>
        <w:r>
          <w:t>פוניבז</w:t>
        </w:r>
        <w:proofErr w:type="spellEnd"/>
        <w:r>
          <w:t xml:space="preserve">׳ ור׳ </w:t>
        </w:r>
        <w:proofErr w:type="spellStart"/>
        <w:r>
          <w:t>משה־יום־טוב</w:t>
        </w:r>
        <w:proofErr w:type="spellEnd"/>
        <w:r>
          <w:t xml:space="preserve"> </w:t>
        </w:r>
        <w:proofErr w:type="spellStart"/>
        <w:r>
          <w:t>וכטפוגל</w:t>
        </w:r>
        <w:proofErr w:type="spellEnd"/>
        <w:r>
          <w:t xml:space="preserve"> לרב קול</w:t>
        </w:r>
      </w:hyperlink>
      <w:r>
        <w:tab/>
      </w:r>
      <w:r>
        <w:fldChar w:fldCharType="begin" w:dirty="true"/>
      </w:r>
      <w:r>
        <w:instrText xml:space="preserve"> PAGEREF b4_excR \h </w:instrText>
      </w:r>
      <w:r>
        <w:fldChar w:fldCharType="separate"/>
      </w:r>
      <w:r w:rsidR="007923E9">
        <w:rPr>
          <w:noProof/>
        </w:rPr>
        <w:t>1</w:t>
      </w:r>
      <w:r>
        <w:fldChar w:fldCharType="end"/>
      </w:r>
    </w:p>
    <w:p w14:paraId="73310878" w14:textId="77777777" w:rsidR="00AB3647" w:rsidRDefault="00000000" w:rsidP="007923E9">
      <w:pPr>
        <w:pStyle w:val="TOC3"/>
        <w:keepLines/>
        <w:spacing w:line="276" w:lineRule="auto"/>
      </w:pPr>
      <w:hyperlink w:anchor="b4_excS" w:history="1">
        <w:r>
          <w:t xml:space="preserve">נספח </w:t>
        </w:r>
        <w:proofErr w:type="spellStart"/>
        <w:r>
          <w:t>יט</w:t>
        </w:r>
        <w:proofErr w:type="spellEnd"/>
        <w:r>
          <w:t xml:space="preserve"> – על אפיון הרבניות מנוחה </w:t>
        </w:r>
        <w:proofErr w:type="spellStart"/>
        <w:r>
          <w:t>פרנק־אפשטיין</w:t>
        </w:r>
        <w:proofErr w:type="spellEnd"/>
        <w:r>
          <w:t xml:space="preserve"> </w:t>
        </w:r>
        <w:proofErr w:type="spellStart"/>
        <w:r>
          <w:t>ובסיה־מרים</w:t>
        </w:r>
        <w:proofErr w:type="spellEnd"/>
        <w:r>
          <w:t xml:space="preserve"> </w:t>
        </w:r>
        <w:proofErr w:type="spellStart"/>
        <w:r>
          <w:t>אפשטיין־ברלין</w:t>
        </w:r>
        <w:proofErr w:type="spellEnd"/>
      </w:hyperlink>
      <w:r>
        <w:tab/>
      </w:r>
      <w:r>
        <w:fldChar w:fldCharType="begin" w:dirty="true"/>
      </w:r>
      <w:r>
        <w:instrText xml:space="preserve"> PAGEREF b4_excS \h </w:instrText>
      </w:r>
      <w:r>
        <w:fldChar w:fldCharType="separate"/>
      </w:r>
      <w:r w:rsidR="007923E9">
        <w:rPr>
          <w:noProof/>
        </w:rPr>
        <w:t>1</w:t>
      </w:r>
      <w:r>
        <w:fldChar w:fldCharType="end"/>
      </w:r>
    </w:p>
    <w:p w14:paraId="3B1ED8EF" w14:textId="77777777" w:rsidR="00AB3647" w:rsidRDefault="00000000" w:rsidP="007923E9">
      <w:pPr>
        <w:pStyle w:val="TOC3"/>
        <w:keepLines/>
        <w:spacing w:line="276" w:lineRule="auto"/>
      </w:pPr>
      <w:hyperlink w:anchor="b4_excT" w:history="1">
        <w:r>
          <w:t xml:space="preserve">נספח כ – על משפחת </w:t>
        </w:r>
        <w:proofErr w:type="spellStart"/>
        <w:r>
          <w:t>זלדוביץ׳־פינס</w:t>
        </w:r>
        <w:proofErr w:type="spellEnd"/>
        <w:r>
          <w:t xml:space="preserve"> ממינסק ובני אבן </w:t>
        </w:r>
        <w:proofErr w:type="spellStart"/>
        <w:r>
          <w:t>מסלוצק</w:t>
        </w:r>
        <w:proofErr w:type="spellEnd"/>
        <w:r>
          <w:t xml:space="preserve">, ועל המחלוקת בין שני תלמידיו המובהקים של ר׳ חיים </w:t>
        </w:r>
        <w:proofErr w:type="spellStart"/>
        <w:r>
          <w:t>מוולוז׳ין</w:t>
        </w:r>
        <w:proofErr w:type="spellEnd"/>
        <w:r>
          <w:t xml:space="preserve"> בשאלה כיצד ראוי לזכור את בנו ר׳ </w:t>
        </w:r>
        <w:proofErr w:type="spellStart"/>
        <w:r>
          <w:t>איצל׳ה</w:t>
        </w:r>
        <w:proofErr w:type="spellEnd"/>
      </w:hyperlink>
      <w:r>
        <w:tab/>
      </w:r>
      <w:r>
        <w:fldChar w:fldCharType="begin" w:dirty="true"/>
      </w:r>
      <w:r>
        <w:instrText xml:space="preserve"> PAGEREF b4_excT \h </w:instrText>
      </w:r>
      <w:r>
        <w:fldChar w:fldCharType="separate"/>
      </w:r>
      <w:r w:rsidR="007923E9">
        <w:rPr>
          <w:noProof/>
        </w:rPr>
        <w:t>1</w:t>
      </w:r>
      <w:r>
        <w:fldChar w:fldCharType="end"/>
      </w:r>
    </w:p>
    <w:p w14:paraId="29750DAF" w14:textId="77777777" w:rsidR="00AB3647" w:rsidRDefault="00000000" w:rsidP="007923E9">
      <w:pPr>
        <w:pStyle w:val="TOC1"/>
        <w:keepNext/>
        <w:keepLines/>
        <w:spacing w:line="276" w:lineRule="auto"/>
      </w:pPr>
      <w:hyperlink w:anchor="b5_chapter" w:history="1">
        <w:r>
          <w:t xml:space="preserve">פרק חמישי – העשור השני – ד: </w:t>
        </w:r>
        <w:proofErr w:type="spellStart"/>
        <w:r>
          <w:t>מאלטש</w:t>
        </w:r>
        <w:proofErr w:type="spellEnd"/>
      </w:hyperlink>
      <w:r>
        <w:tab/>
      </w:r>
      <w:r>
        <w:fldChar w:fldCharType="begin" w:dirty="true"/>
      </w:r>
      <w:r>
        <w:instrText xml:space="preserve"> PAGEREF b5_chapter \h </w:instrText>
      </w:r>
      <w:r>
        <w:fldChar w:fldCharType="separate"/>
      </w:r>
      <w:r w:rsidR="007923E9">
        <w:rPr>
          <w:noProof/>
        </w:rPr>
        <w:t>1</w:t>
      </w:r>
      <w:r>
        <w:fldChar w:fldCharType="end"/>
      </w:r>
    </w:p>
    <w:p w14:paraId="0A9AC9A5" w14:textId="77777777" w:rsidR="00AB3647" w:rsidRDefault="00000000" w:rsidP="007923E9">
      <w:pPr>
        <w:pStyle w:val="TOC3"/>
        <w:keepLines/>
        <w:spacing w:line="276" w:lineRule="auto"/>
      </w:pPr>
      <w:hyperlink w:anchor="b5_excA" w:history="1">
        <w:r>
          <w:t xml:space="preserve">נספח א – על גילוח הזקנים בישיבות </w:t>
        </w:r>
        <w:proofErr w:type="spellStart"/>
        <w:r>
          <w:t>וולוז׳ין</w:t>
        </w:r>
        <w:proofErr w:type="spellEnd"/>
        <w:r>
          <w:t xml:space="preserve"> </w:t>
        </w:r>
        <w:proofErr w:type="spellStart"/>
        <w:r>
          <w:t>וסלבודקה</w:t>
        </w:r>
        <w:proofErr w:type="spellEnd"/>
      </w:hyperlink>
      <w:r>
        <w:tab/>
      </w:r>
      <w:r>
        <w:fldChar w:fldCharType="begin" w:dirty="true"/>
      </w:r>
      <w:r>
        <w:instrText xml:space="preserve"> PAGEREF b5_excA \h </w:instrText>
      </w:r>
      <w:r>
        <w:fldChar w:fldCharType="separate"/>
      </w:r>
      <w:r w:rsidR="007923E9">
        <w:rPr>
          <w:noProof/>
        </w:rPr>
        <w:t>1</w:t>
      </w:r>
      <w:r>
        <w:fldChar w:fldCharType="end"/>
      </w:r>
    </w:p>
    <w:p w14:paraId="6F3674F6" w14:textId="77777777" w:rsidR="00AB3647" w:rsidRDefault="00000000" w:rsidP="007923E9">
      <w:pPr>
        <w:pStyle w:val="TOC3"/>
        <w:keepLines/>
        <w:spacing w:line="276" w:lineRule="auto"/>
      </w:pPr>
      <w:hyperlink w:anchor="b5_excB" w:history="1">
        <w:r>
          <w:t xml:space="preserve">נספח ב – על מאמצו השכלי של ר׳ ישראל </w:t>
        </w:r>
        <w:proofErr w:type="spellStart"/>
        <w:r>
          <w:t>סלנטר</w:t>
        </w:r>
        <w:proofErr w:type="spellEnd"/>
        <w:r>
          <w:t>, על פסקו המדהים להצלת חייו ועל מורת רוחו מדרכו להרוויח את לחמו</w:t>
        </w:r>
      </w:hyperlink>
      <w:r>
        <w:tab/>
      </w:r>
      <w:r>
        <w:fldChar w:fldCharType="begin" w:dirty="true"/>
      </w:r>
      <w:r>
        <w:instrText xml:space="preserve"> PAGEREF b5_excB \h </w:instrText>
      </w:r>
      <w:r>
        <w:fldChar w:fldCharType="separate"/>
      </w:r>
      <w:r w:rsidR="007923E9">
        <w:rPr>
          <w:noProof/>
        </w:rPr>
        <w:t>1</w:t>
      </w:r>
      <w:r>
        <w:fldChar w:fldCharType="end"/>
      </w:r>
    </w:p>
    <w:p w14:paraId="17320026" w14:textId="77777777" w:rsidR="00AB3647" w:rsidRDefault="00000000" w:rsidP="007923E9">
      <w:pPr>
        <w:pStyle w:val="TOC3"/>
        <w:keepLines/>
        <w:spacing w:line="276" w:lineRule="auto"/>
      </w:pPr>
      <w:hyperlink w:anchor="b5_excC" w:history="1">
        <w:r>
          <w:t xml:space="preserve">נספח ג – על לימוד תנ״ך בישיבות לצעירים ועל גאונותו של העילוי </w:t>
        </w:r>
        <w:proofErr w:type="spellStart"/>
        <w:r>
          <w:t>מווישקי</w:t>
        </w:r>
        <w:proofErr w:type="spellEnd"/>
      </w:hyperlink>
      <w:r>
        <w:tab/>
      </w:r>
      <w:r>
        <w:fldChar w:fldCharType="begin" w:dirty="true"/>
      </w:r>
      <w:r>
        <w:instrText xml:space="preserve"> PAGEREF b5_excC \h </w:instrText>
      </w:r>
      <w:r>
        <w:fldChar w:fldCharType="separate"/>
      </w:r>
      <w:r w:rsidR="007923E9">
        <w:rPr>
          <w:noProof/>
        </w:rPr>
        <w:t>1</w:t>
      </w:r>
      <w:r>
        <w:fldChar w:fldCharType="end"/>
      </w:r>
    </w:p>
    <w:p w14:paraId="743C722A" w14:textId="77777777" w:rsidR="00AB3647" w:rsidRDefault="00000000" w:rsidP="007923E9">
      <w:pPr>
        <w:pStyle w:val="TOC3"/>
        <w:keepLines/>
        <w:spacing w:line="276" w:lineRule="auto"/>
      </w:pPr>
      <w:hyperlink w:anchor="b5_excD" w:history="1">
        <w:r>
          <w:t xml:space="preserve">נספח ד – על טעם אפשרי להחזרת רבנו </w:t>
        </w:r>
        <w:proofErr w:type="spellStart"/>
        <w:r>
          <w:t>ממאלטש</w:t>
        </w:r>
        <w:proofErr w:type="spellEnd"/>
        <w:r>
          <w:t xml:space="preserve"> בידי הסבא ועל ויתורו של הרב על האמת לטובת תלמידיו</w:t>
        </w:r>
      </w:hyperlink>
      <w:r>
        <w:tab/>
      </w:r>
      <w:r>
        <w:fldChar w:fldCharType="begin" w:dirty="true"/>
      </w:r>
      <w:r>
        <w:instrText xml:space="preserve"> PAGEREF b5_excD \h </w:instrText>
      </w:r>
      <w:r>
        <w:fldChar w:fldCharType="separate"/>
      </w:r>
      <w:r w:rsidR="007923E9">
        <w:rPr>
          <w:noProof/>
        </w:rPr>
        <w:t>1</w:t>
      </w:r>
      <w:r>
        <w:fldChar w:fldCharType="end"/>
      </w:r>
    </w:p>
    <w:p w14:paraId="4DF4B695" w14:textId="77777777" w:rsidR="00AB3647" w:rsidRDefault="00000000" w:rsidP="007923E9">
      <w:pPr>
        <w:pStyle w:val="TOC3"/>
        <w:keepLines/>
        <w:spacing w:line="276" w:lineRule="auto"/>
      </w:pPr>
      <w:hyperlink w:anchor="b5_excE" w:history="1">
        <w:r>
          <w:t>נספח ה – על גיוס יהודים לצבא הצאר</w:t>
        </w:r>
      </w:hyperlink>
      <w:r>
        <w:tab/>
      </w:r>
      <w:r>
        <w:fldChar w:fldCharType="begin" w:dirty="true"/>
      </w:r>
      <w:r>
        <w:instrText xml:space="preserve"> PAGEREF b5_excE \h </w:instrText>
      </w:r>
      <w:r>
        <w:fldChar w:fldCharType="separate"/>
      </w:r>
      <w:r w:rsidR="007923E9">
        <w:rPr>
          <w:noProof/>
        </w:rPr>
        <w:t>1</w:t>
      </w:r>
      <w:r>
        <w:fldChar w:fldCharType="end"/>
      </w:r>
    </w:p>
    <w:p w14:paraId="400D5FC0" w14:textId="77777777" w:rsidR="00AB3647" w:rsidRDefault="00000000" w:rsidP="007923E9">
      <w:pPr>
        <w:pStyle w:val="TOC3"/>
        <w:keepLines/>
        <w:spacing w:line="276" w:lineRule="auto"/>
      </w:pPr>
      <w:hyperlink w:anchor="b5_excF" w:history="1">
        <w:r>
          <w:t xml:space="preserve">נספח ו – על כושר המחשבה המיוחד של ר׳ חיים </w:t>
        </w:r>
        <w:proofErr w:type="spellStart"/>
        <w:r>
          <w:t>סולובייצ׳יק</w:t>
        </w:r>
        <w:proofErr w:type="spellEnd"/>
        <w:r>
          <w:t xml:space="preserve"> ועל חסדו המופלג</w:t>
        </w:r>
      </w:hyperlink>
      <w:r>
        <w:tab/>
      </w:r>
      <w:r>
        <w:fldChar w:fldCharType="begin" w:dirty="true"/>
      </w:r>
      <w:r>
        <w:instrText xml:space="preserve"> PAGEREF b5_excF \h </w:instrText>
      </w:r>
      <w:r>
        <w:fldChar w:fldCharType="separate"/>
      </w:r>
      <w:r w:rsidR="007923E9">
        <w:rPr>
          <w:noProof/>
        </w:rPr>
        <w:t>1</w:t>
      </w:r>
      <w:r>
        <w:fldChar w:fldCharType="end"/>
      </w:r>
    </w:p>
    <w:p w14:paraId="5C1F189F" w14:textId="77777777" w:rsidR="00AB3647" w:rsidRDefault="00000000" w:rsidP="007923E9">
      <w:pPr>
        <w:pStyle w:val="TOC3"/>
        <w:keepLines/>
        <w:spacing w:line="276" w:lineRule="auto"/>
      </w:pPr>
      <w:hyperlink w:anchor="b5_excG" w:history="1">
        <w:r>
          <w:t xml:space="preserve">נספח ז – על גאונותו של ר׳ </w:t>
        </w:r>
        <w:proofErr w:type="spellStart"/>
        <w:r>
          <w:t>אברהם־אליהו</w:t>
        </w:r>
        <w:proofErr w:type="spellEnd"/>
        <w:r>
          <w:t xml:space="preserve"> קפלן ופטירתו בטרם עת</w:t>
        </w:r>
      </w:hyperlink>
      <w:r>
        <w:tab/>
      </w:r>
      <w:r>
        <w:fldChar w:fldCharType="begin" w:dirty="true"/>
      </w:r>
      <w:r>
        <w:instrText xml:space="preserve"> PAGEREF b5_excG \h </w:instrText>
      </w:r>
      <w:r>
        <w:fldChar w:fldCharType="separate"/>
      </w:r>
      <w:r w:rsidR="007923E9">
        <w:rPr>
          <w:noProof/>
        </w:rPr>
        <w:t>1</w:t>
      </w:r>
      <w:r>
        <w:fldChar w:fldCharType="end"/>
      </w:r>
    </w:p>
    <w:p w14:paraId="30007DBB" w14:textId="77777777" w:rsidR="00AB3647" w:rsidRDefault="00000000" w:rsidP="007923E9">
      <w:pPr>
        <w:pStyle w:val="TOC3"/>
        <w:keepLines/>
        <w:spacing w:line="276" w:lineRule="auto"/>
      </w:pPr>
      <w:hyperlink w:anchor="b5_excH" w:history="1">
        <w:r>
          <w:t xml:space="preserve">נספח ח – על העילוי </w:t>
        </w:r>
        <w:proofErr w:type="spellStart"/>
        <w:r>
          <w:t>מראקוב</w:t>
        </w:r>
        <w:proofErr w:type="spellEnd"/>
        <w:r>
          <w:t xml:space="preserve"> והעילוי </w:t>
        </w:r>
        <w:proofErr w:type="spellStart"/>
        <w:r>
          <w:t>ממייצ׳ט</w:t>
        </w:r>
        <w:proofErr w:type="spellEnd"/>
      </w:hyperlink>
      <w:r>
        <w:tab/>
      </w:r>
      <w:r>
        <w:fldChar w:fldCharType="begin" w:dirty="true"/>
      </w:r>
      <w:r>
        <w:instrText xml:space="preserve"> PAGEREF b5_excH \h </w:instrText>
      </w:r>
      <w:r>
        <w:fldChar w:fldCharType="separate"/>
      </w:r>
      <w:r w:rsidR="007923E9">
        <w:rPr>
          <w:noProof/>
        </w:rPr>
        <w:t>1</w:t>
      </w:r>
      <w:r>
        <w:fldChar w:fldCharType="end"/>
      </w:r>
    </w:p>
    <w:p w14:paraId="1DE42CFA" w14:textId="77777777" w:rsidR="00AB3647" w:rsidRDefault="00000000" w:rsidP="007923E9">
      <w:pPr>
        <w:pStyle w:val="TOC3"/>
        <w:keepLines/>
        <w:spacing w:line="276" w:lineRule="auto"/>
      </w:pPr>
      <w:hyperlink w:anchor="b5_excI" w:history="1">
        <w:r>
          <w:t xml:space="preserve">נספח ט – על בריאותו של ר׳ חיים </w:t>
        </w:r>
        <w:proofErr w:type="spellStart"/>
        <w:r>
          <w:t>סולובייצ׳יק</w:t>
        </w:r>
        <w:proofErr w:type="spellEnd"/>
      </w:hyperlink>
      <w:r>
        <w:tab/>
      </w:r>
      <w:r>
        <w:fldChar w:fldCharType="begin" w:dirty="true"/>
      </w:r>
      <w:r>
        <w:instrText xml:space="preserve"> PAGEREF b5_excI \h </w:instrText>
      </w:r>
      <w:r>
        <w:fldChar w:fldCharType="separate"/>
      </w:r>
      <w:r w:rsidR="007923E9">
        <w:rPr>
          <w:noProof/>
        </w:rPr>
        <w:t>1</w:t>
      </w:r>
      <w:r>
        <w:fldChar w:fldCharType="end"/>
      </w:r>
    </w:p>
    <w:p w14:paraId="559E3595" w14:textId="77777777" w:rsidR="00AB3647" w:rsidRDefault="00000000" w:rsidP="007923E9">
      <w:pPr>
        <w:pStyle w:val="TOC3"/>
        <w:keepLines/>
        <w:spacing w:line="276" w:lineRule="auto"/>
      </w:pPr>
      <w:hyperlink w:anchor="b5_excJ" w:history="1">
        <w:r>
          <w:t xml:space="preserve">נספח י – על לבושו הרבני של ר׳ חיים </w:t>
        </w:r>
        <w:proofErr w:type="spellStart"/>
        <w:r>
          <w:t>סולובייצ׳יק</w:t>
        </w:r>
        <w:proofErr w:type="spellEnd"/>
        <w:r>
          <w:t xml:space="preserve"> ועל יחסו אליו</w:t>
        </w:r>
      </w:hyperlink>
      <w:r>
        <w:tab/>
      </w:r>
      <w:r>
        <w:fldChar w:fldCharType="begin" w:dirty="true"/>
      </w:r>
      <w:r>
        <w:instrText xml:space="preserve"> PAGEREF b5_excJ \h </w:instrText>
      </w:r>
      <w:r>
        <w:fldChar w:fldCharType="separate"/>
      </w:r>
      <w:r w:rsidR="007923E9">
        <w:rPr>
          <w:noProof/>
        </w:rPr>
        <w:t>1</w:t>
      </w:r>
      <w:r>
        <w:fldChar w:fldCharType="end"/>
      </w:r>
    </w:p>
    <w:p w14:paraId="317A68E6" w14:textId="77777777" w:rsidR="00AB3647" w:rsidRDefault="00000000" w:rsidP="007923E9">
      <w:pPr>
        <w:spacing w:line="276" w:lineRule="auto"/>
      </w:pPr>
      <w:r>
        <w:br w:type="page"/>
      </w:r>
    </w:p>
    <w:p w14:paraId="40171C3E" w14:textId="77777777" w:rsidR="00AB3647" w:rsidRDefault="00000000" w:rsidP="007923E9">
      <w:pPr>
        <w:pStyle w:val="1"/>
        <w:spacing w:line="276" w:lineRule="auto"/>
      </w:pPr>
      <w:bookmarkStart w:id="0" w:name="b0_translator"/>
      <w:r>
        <w:rPr>
          <w:b w:val="0"/>
        </w:rPr>
        <w:lastRenderedPageBreak/>
        <w:t>הערת המתרגם</w:t>
      </w:r>
      <w:bookmarkEnd w:id="0"/>
    </w:p>
    <w:p w14:paraId="51A34473" w14:textId="77777777" w:rsidR="00AB3647" w:rsidRDefault="00000000" w:rsidP="007923E9">
      <w:pPr>
        <w:spacing w:after="100" w:line="276" w:lineRule="auto"/>
        <w:ind w:firstLine="340"/>
        <w:jc w:val="both"/>
      </w:pPr>
      <w:r>
        <w:rPr>
          <w:rtl/>
        </w:rPr>
        <w:t xml:space="preserve">ספר זה הוא תרגום של הכרך הראשון של </w:t>
      </w:r>
      <w:proofErr w:type="spellStart"/>
      <w:r>
        <w:rPr>
          <w:rtl/>
        </w:rPr>
        <w:t>Making</w:t>
      </w:r>
      <w:proofErr w:type="spellEnd"/>
      <w:r>
        <w:rPr>
          <w:rtl/>
        </w:rPr>
        <w:t xml:space="preserve"> </w:t>
      </w:r>
      <w:proofErr w:type="spellStart"/>
      <w:r>
        <w:rPr>
          <w:rtl/>
        </w:rPr>
        <w:t>of</w:t>
      </w:r>
      <w:proofErr w:type="spellEnd"/>
      <w:r>
        <w:rPr>
          <w:rtl/>
        </w:rPr>
        <w:t xml:space="preserve"> a </w:t>
      </w:r>
      <w:proofErr w:type="spellStart"/>
      <w:r>
        <w:rPr>
          <w:rtl/>
        </w:rPr>
        <w:t>Godol</w:t>
      </w:r>
      <w:proofErr w:type="spellEnd"/>
      <w:r>
        <w:rPr>
          <w:rtl/>
        </w:rPr>
        <w:t xml:space="preserve"> מאת הרב נתן </w:t>
      </w:r>
      <w:proofErr w:type="spellStart"/>
      <w:r>
        <w:rPr>
          <w:rtl/>
        </w:rPr>
        <w:t>קמינצקי</w:t>
      </w:r>
      <w:proofErr w:type="spellEnd"/>
      <w:r>
        <w:rPr>
          <w:rtl/>
        </w:rPr>
        <w:t>. הספר ערוך בשני חלקים, על יסוד מתכונת המהדורה האנגלית: בחלק הראשון מובאים חמשת פרקי הסיפור ברצף, ללא מנגנון ההערות; בחלק השני חוזר הסיפור במקטעים ממוסגרים, וביניהם ההערות הממוספרות; הנספחים מרוכזים בסוף כל פרק, לאחר הסיפור וההערות שלו. בשני החלקים מובא אותו נוסח עברי של הסיפור. מספרי ההערות זהים למקור, והנספחים מסומנים באותיות עבריות. הערות המקור שבתחתית העמודים מובאות בחלק השני כהערות שוליים ממוספרות, המתחילות מחדש בכל פרק; גם לחלקי הפתיחה נשמרו הערותיהם. ההקדמה “כיצד נכתב ספר זה” מתייחסת למבנה זה.</w:t>
      </w:r>
    </w:p>
    <w:p w14:paraId="7F85C604" w14:textId="77777777" w:rsidR="00AB3647" w:rsidRDefault="00000000" w:rsidP="007923E9">
      <w:pPr>
        <w:spacing w:after="100" w:line="276" w:lineRule="auto"/>
        <w:ind w:firstLine="340"/>
        <w:jc w:val="both"/>
      </w:pPr>
      <w:r>
        <w:rPr>
          <w:rtl/>
        </w:rPr>
        <w:t>התאריכים בספר הובאו לפי הלוח העברי, למעט תאריכי אירועי עולם ותאריכי ראיונות שנמסרו במקור בלועזית בלבד; המידות הומרו למידות מטריות; הסברים שנועדו לקורא האנגלי הושמטו. מובאות שהמחבר הביא בעברית הועתקו כלשונן. מובאות ממקורות עבריים שהמחבר הביא בתרגום לאנגלית הושבו ללשון המקור כל אימת שהמקור אותר (וכשהנוסח נלקח ממהדורה אחרת או מספר מקביל, צוין הדבר בהערת המתרגם), ובשאר המקומות תורגמו מן האנגלית. הערות המתרגם מסומנות בכוכבית (*) ועוסקות בפרטים עובדתיים בלבד; נוסח המחבר עצמו לא שונה, מלבד ציוני מקורות שגויים (עמוד, כרך, הפניה פנימית), שתוקנו בלי ציון. הפניה בנוסח “נספח ט לעיל – עמ׳ 172” פירושה: הספר שצוין בנספח ט, בעמוד 172 שלו.</w:t>
      </w:r>
    </w:p>
    <w:p w14:paraId="4A0A8A47" w14:textId="77777777" w:rsidR="00AB3647" w:rsidRDefault="00000000" w:rsidP="007923E9">
      <w:pPr>
        <w:spacing w:after="100" w:line="276" w:lineRule="auto"/>
        <w:ind w:firstLine="340"/>
        <w:jc w:val="both"/>
      </w:pPr>
      <w:r>
        <w:rPr>
          <w:rtl/>
        </w:rPr>
        <w:t>לא תורגמו דברי הפתיחה של המהדורה האנגלית – כללי התעתיק לאנגלית והפרק “כיצד לקרוא ספר זה”, שנועדו לקורא האנגלי – וכן דברי התודה, לוח הנספחים לפי סדר הזמנים, רשימת המקורות, המילון והמפתחות שבסוף המקור. תוכן העניינים ומפתח הנספחים שבראש תרגום זה הותאמו למבנהו של הקובץ העברי. ההקדמה “כיצד נכתב ספר זה”, שבה מתאר המחבר כיצד אסף את העדויות ואיך הכריע ביניהן, תורגמה במלואה ומובאת להלן.</w:t>
      </w:r>
    </w:p>
    <w:p w14:paraId="1167A554" w14:textId="77777777" w:rsidR="00AB3647" w:rsidRDefault="00000000" w:rsidP="007923E9">
      <w:pPr>
        <w:spacing w:after="100" w:line="276" w:lineRule="auto"/>
        <w:ind w:firstLine="340"/>
        <w:jc w:val="both"/>
      </w:pPr>
      <w:r>
        <w:rPr>
          <w:rtl/>
        </w:rPr>
        <w:t>תרגום זה נעשה מן המהדורה הראשונה של הספר (תשס״ב), בנוסח שכתבו המחבר מלכתחילה, בלא השינויים וההשמטות שנעשו בו לאחר מכן. עת לחשות ועת לדבר.</w:t>
      </w:r>
    </w:p>
    <w:p w14:paraId="503E51B2" w14:textId="77777777" w:rsidR="00AB3647" w:rsidRDefault="00000000" w:rsidP="007923E9">
      <w:pPr>
        <w:spacing w:line="276" w:lineRule="auto"/>
      </w:pPr>
      <w:r>
        <w:br w:type="page"/>
      </w:r>
    </w:p>
    <w:p w14:paraId="01D0ECC3" w14:textId="77777777" w:rsidR="00AB3647" w:rsidRDefault="00000000" w:rsidP="007923E9">
      <w:pPr>
        <w:pStyle w:val="1"/>
        <w:spacing w:line="276" w:lineRule="auto"/>
      </w:pPr>
      <w:bookmarkStart w:id="1" w:name="b0_foreword"/>
      <w:r>
        <w:rPr>
          <w:b w:val="0"/>
        </w:rPr>
        <w:lastRenderedPageBreak/>
        <w:t>הקדמה – כיצד נכתב ספר זה</w:t>
      </w:r>
      <w:bookmarkEnd w:id="1"/>
    </w:p>
    <w:p w14:paraId="4717B92D" w14:textId="77777777" w:rsidR="00AB3647" w:rsidRDefault="00000000" w:rsidP="007923E9">
      <w:pPr>
        <w:pStyle w:val="2"/>
        <w:spacing w:line="276" w:lineRule="auto"/>
      </w:pPr>
      <w:r>
        <w:t>א. רעיון ותהליך</w:t>
      </w:r>
    </w:p>
    <w:p w14:paraId="7427C000" w14:textId="77777777" w:rsidR="00AB3647" w:rsidRDefault="00000000" w:rsidP="007923E9">
      <w:pPr>
        <w:spacing w:after="100" w:line="276" w:lineRule="auto"/>
        <w:ind w:firstLine="340"/>
        <w:jc w:val="both"/>
      </w:pPr>
      <w:r>
        <w:rPr>
          <w:rtl/>
        </w:rPr>
        <w:t xml:space="preserve">התחלתי לעבוד על ביוגרפיה של אבי ז״ל זמן קצר אחרי פטירתו. בתחילה – כמתחיל שהייתי – סברתי שאוכל להשלימה בשלוש שנים. ככל שחלף הזמן ונערם עוד ועוד מידע, החלטתי למסור את החומר שנאסף </w:t>
      </w:r>
      <w:proofErr w:type="spellStart"/>
      <w:r>
        <w:rPr>
          <w:rtl/>
        </w:rPr>
        <w:t>לארטסקרול</w:t>
      </w:r>
      <w:proofErr w:type="spellEnd"/>
      <w:r>
        <w:rPr>
          <w:rtl/>
        </w:rPr>
        <w:t>, הוצאה מכובדת המתמחה בספרים מסוג זה, שתעסיק סופר ותוציא את הספר לאור.</w:t>
      </w:r>
    </w:p>
    <w:p w14:paraId="33FDA9E0" w14:textId="77777777" w:rsidR="00AB3647" w:rsidRDefault="00000000" w:rsidP="007923E9">
      <w:pPr>
        <w:spacing w:after="100" w:line="276" w:lineRule="auto"/>
        <w:ind w:firstLine="340"/>
        <w:jc w:val="both"/>
      </w:pPr>
      <w:r>
        <w:rPr>
          <w:rtl/>
        </w:rPr>
        <w:t xml:space="preserve">למזלה של משפחתנו בחרה </w:t>
      </w:r>
      <w:proofErr w:type="spellStart"/>
      <w:r>
        <w:rPr>
          <w:rtl/>
        </w:rPr>
        <w:t>ארטסקרול</w:t>
      </w:r>
      <w:proofErr w:type="spellEnd"/>
      <w:r>
        <w:rPr>
          <w:rtl/>
        </w:rPr>
        <w:t xml:space="preserve"> בר׳ יונתן רוזנבלום למלאכה. תיאורו של אדם שלא הכיר אלא מתוך תמלילי ראיונות עם אנשים שהכירוהו – תמלילים שסיפקתי לו – היה מדויק להפליא. התוצאה הייתה הכרך מעורר ההשראה והמחנך </w:t>
      </w:r>
      <w:proofErr w:type="spellStart"/>
      <w:r>
        <w:rPr>
          <w:rtl/>
        </w:rPr>
        <w:t>Reb</w:t>
      </w:r>
      <w:proofErr w:type="spellEnd"/>
      <w:r>
        <w:rPr>
          <w:rtl/>
        </w:rPr>
        <w:t xml:space="preserve"> </w:t>
      </w:r>
      <w:proofErr w:type="spellStart"/>
      <w:r>
        <w:rPr>
          <w:rtl/>
        </w:rPr>
        <w:t>Yaakov</w:t>
      </w:r>
      <w:proofErr w:type="spellEnd"/>
      <w:r>
        <w:rPr>
          <w:rtl/>
        </w:rPr>
        <w:t>,</w:t>
      </w:r>
      <w:bookmarkStart w:id="2" w:name="_fnr1"/>
      <w:r>
        <w:rPr>
          <w:rStyle w:val="a5"/>
        </w:rPr>
        <w:footnoteReference w:id="1" w:customMarkFollows="0"/>
      </w:r>
      <w:bookmarkEnd w:id="2"/>
      <w:r>
        <w:rPr>
          <w:rtl/>
        </w:rPr>
        <w:t xml:space="preserve"> שיצא לאור שבע שנים אחרי פטירת אבינו, </w:t>
      </w:r>
      <w:proofErr w:type="spellStart"/>
      <w:r>
        <w:rPr>
          <w:rtl/>
        </w:rPr>
        <w:t>בתשנ״ג</w:t>
      </w:r>
      <w:proofErr w:type="spellEnd"/>
      <w:r>
        <w:rPr>
          <w:rtl/>
        </w:rPr>
        <w:t xml:space="preserve">. אחר כך תרגמתי את הספר ההוא לעברית, </w:t>
      </w:r>
      <w:proofErr w:type="spellStart"/>
      <w:r>
        <w:rPr>
          <w:rtl/>
        </w:rPr>
        <w:t>ו“רבי</w:t>
      </w:r>
      <w:proofErr w:type="spellEnd"/>
      <w:r>
        <w:rPr>
          <w:rtl/>
        </w:rPr>
        <w:t xml:space="preserve"> יעקב”</w:t>
      </w:r>
      <w:bookmarkStart w:id="3" w:name="_fnr2"/>
      <w:r>
        <w:rPr>
          <w:rStyle w:val="a5"/>
        </w:rPr>
        <w:footnoteReference w:id="2" w:customMarkFollows="0"/>
      </w:r>
      <w:bookmarkEnd w:id="3"/>
      <w:r>
        <w:rPr>
          <w:rtl/>
        </w:rPr>
        <w:t xml:space="preserve"> ראה אור בארץ </w:t>
      </w:r>
      <w:proofErr w:type="spellStart"/>
      <w:r>
        <w:rPr>
          <w:rtl/>
        </w:rPr>
        <w:t>בתשנ״ו</w:t>
      </w:r>
      <w:proofErr w:type="spellEnd"/>
      <w:r>
        <w:rPr>
          <w:rtl/>
        </w:rPr>
        <w:t xml:space="preserve"> וזכה לקבלת פנים חמה מצד הציבור התורני בארץ.</w:t>
      </w:r>
    </w:p>
    <w:p w14:paraId="256AC32E" w14:textId="77777777" w:rsidR="00AB3647" w:rsidRDefault="00000000" w:rsidP="007923E9">
      <w:pPr>
        <w:spacing w:after="100" w:line="276" w:lineRule="auto"/>
        <w:ind w:firstLine="340"/>
        <w:jc w:val="both"/>
      </w:pPr>
      <w:r>
        <w:rPr>
          <w:rtl/>
        </w:rPr>
        <w:t xml:space="preserve">לא זו בלבד שרוזנבלום עשה את מלאכתו בצורה מעולה, טובה לאין ערוך ממה שאני הייתי יכול לעשות או אפילו לחלום שאוכל לעשות, אלא שהוא גם חסך ממני את </w:t>
      </w:r>
      <w:proofErr w:type="spellStart"/>
      <w:r>
        <w:rPr>
          <w:rtl/>
        </w:rPr>
        <w:t>אי־הנוחות</w:t>
      </w:r>
      <w:proofErr w:type="spellEnd"/>
      <w:r>
        <w:rPr>
          <w:rtl/>
        </w:rPr>
        <w:t xml:space="preserve"> שעלול לחוש בן הכותב בשבח אביו. על כך מגיעה </w:t>
      </w:r>
      <w:proofErr w:type="spellStart"/>
      <w:r>
        <w:rPr>
          <w:rtl/>
        </w:rPr>
        <w:t>לר</w:t>
      </w:r>
      <w:proofErr w:type="spellEnd"/>
      <w:r>
        <w:rPr>
          <w:rtl/>
        </w:rPr>
        <w:t>׳ יונתן הכרת תודה אישית מיוחדת.</w:t>
      </w:r>
    </w:p>
    <w:p w14:paraId="0BCE7629" w14:textId="77777777" w:rsidR="00AB3647" w:rsidRDefault="00000000" w:rsidP="007923E9">
      <w:pPr>
        <w:spacing w:after="100" w:line="276" w:lineRule="auto"/>
        <w:ind w:firstLine="340"/>
        <w:jc w:val="both"/>
      </w:pPr>
      <w:r>
        <w:rPr>
          <w:rtl/>
        </w:rPr>
        <w:t>בשנות הראיונות והמחקר שלי אספתי חומר הראוי להפצה בעולם התורה הרבה מעבר למה שפורסם ב-</w:t>
      </w:r>
      <w:proofErr w:type="spellStart"/>
      <w:r>
        <w:rPr>
          <w:rtl/>
        </w:rPr>
        <w:t>Reb</w:t>
      </w:r>
      <w:proofErr w:type="spellEnd"/>
      <w:r>
        <w:rPr>
          <w:rtl/>
        </w:rPr>
        <w:t xml:space="preserve"> </w:t>
      </w:r>
      <w:proofErr w:type="spellStart"/>
      <w:r>
        <w:rPr>
          <w:rtl/>
        </w:rPr>
        <w:t>Yaakov</w:t>
      </w:r>
      <w:proofErr w:type="spellEnd"/>
      <w:r>
        <w:rPr>
          <w:rtl/>
        </w:rPr>
        <w:t>. חלק גדול ממנו לא נגע ישירות לאבי אלא לאנשים גדולים שעליהם דיבר באריכות או בדרך אגב.</w:t>
      </w:r>
    </w:p>
    <w:p w14:paraId="0A97AA16" w14:textId="77777777" w:rsidR="00AB3647" w:rsidRDefault="00000000" w:rsidP="007923E9">
      <w:pPr>
        <w:spacing w:after="100" w:line="276" w:lineRule="auto"/>
        <w:ind w:firstLine="340"/>
        <w:jc w:val="both"/>
      </w:pPr>
      <w:r>
        <w:rPr>
          <w:rtl/>
        </w:rPr>
        <w:t>הספר שהתחלתי לכתוב התפתח לדבר רחב יותר מביוגרפיה של אבי. הוא הקיף גם סיפורים על גדולי התורה של דורות קודמים, סיפורים הנותנים הבנה עמוקה יותר של אישים שמקומם בהיסטוריה הרוחנית של עמנו – שלא כמקומם של בני דורנו – כבר מובטח. התיאורים של מאורות אלה המופיעים כאן מבוססים בעיקר על דברים שאמר אבי עליהם ועל מחקר והיקשים שלי שאמירותיו עוררו. אבי היה מפורסם בסיפורים שסיפר על דורות קודמים. לא שהיה סתם מספר סיפורים; הוא היה מספר את סיפוריו לחיזוק רעיונות שביקש להנחיל או עצות שנתן.</w:t>
      </w:r>
    </w:p>
    <w:p w14:paraId="7764C164" w14:textId="77777777" w:rsidR="00AB3647" w:rsidRDefault="00000000" w:rsidP="007923E9">
      <w:pPr>
        <w:spacing w:after="100" w:line="276" w:lineRule="auto"/>
        <w:ind w:firstLine="340"/>
        <w:jc w:val="both"/>
      </w:pPr>
      <w:r>
        <w:rPr>
          <w:rtl/>
        </w:rPr>
        <w:t xml:space="preserve">נכדו של אבי, ר׳ פסח </w:t>
      </w:r>
      <w:proofErr w:type="spellStart"/>
      <w:r>
        <w:rPr>
          <w:rtl/>
        </w:rPr>
        <w:t>דיסקינד</w:t>
      </w:r>
      <w:proofErr w:type="spellEnd"/>
      <w:r>
        <w:rPr>
          <w:rtl/>
        </w:rPr>
        <w:t>, סיפר</w:t>
      </w:r>
      <w:bookmarkStart w:id="4" w:name="_fnr3"/>
      <w:r>
        <w:rPr>
          <w:rStyle w:val="a5"/>
        </w:rPr>
        <w:footnoteReference w:id="3" w:customMarkFollows="0"/>
      </w:r>
      <w:bookmarkEnd w:id="4"/>
      <w:r>
        <w:rPr>
          <w:rtl/>
        </w:rPr>
        <w:t xml:space="preserve"> כיצד למד אצל סבו קיץ אחד, לאחר שראש הישיבה שלו, ר׳ אלי׳ שווי, אמר לו להקפיד לנצל את ההזדמנות וללקט סיפורים מעניינים מפי החכם הישיש. “פעם אחת, </w:t>
      </w:r>
      <w:proofErr w:type="spellStart"/>
      <w:r>
        <w:rPr>
          <w:rtl/>
        </w:rPr>
        <w:t>כשלא</w:t>
      </w:r>
      <w:proofErr w:type="spellEnd"/>
      <w:r>
        <w:rPr>
          <w:rtl/>
        </w:rPr>
        <w:t xml:space="preserve"> הצלחתי להוציא מסבי מעשה,” סיפר ר׳ פסח, “גיליתי לו מה שאמר לי ר׳ אלי׳ וביקשתי ממנו ישירות שיספר לי סיפור. תגובתו הייתה: ‘אח, אי אפשר סתם לספר </w:t>
      </w:r>
      <w:r>
        <w:rPr>
          <w:rtl/>
        </w:rPr>
        <w:lastRenderedPageBreak/>
        <w:t xml:space="preserve">סיפור! סיפור בא להסביר משהו – כמו מלח ופלפל שנותנים טעם לאוכל. האם אפשר לשבת ולאכול רק מלח או פלפל?!’” (ראה </w:t>
      </w:r>
      <w:proofErr w:type="spellStart"/>
      <w:r>
        <w:rPr>
          <w:rtl/>
        </w:rPr>
        <w:t>Reb</w:t>
      </w:r>
      <w:proofErr w:type="spellEnd"/>
      <w:r>
        <w:rPr>
          <w:rtl/>
        </w:rPr>
        <w:t xml:space="preserve"> </w:t>
      </w:r>
      <w:proofErr w:type="spellStart"/>
      <w:r>
        <w:rPr>
          <w:rtl/>
        </w:rPr>
        <w:t>Yaakov</w:t>
      </w:r>
      <w:bookmarkStart w:id="5" w:name="_fnr4"/>
      <w:proofErr w:type="spellEnd"/>
      <w:r>
        <w:rPr>
          <w:rStyle w:val="a5"/>
        </w:rPr>
        <w:footnoteReference w:id="4" w:customMarkFollows="0"/>
      </w:r>
      <w:bookmarkEnd w:id="5"/>
      <w:r>
        <w:rPr>
          <w:rtl/>
        </w:rPr>
        <w:t xml:space="preserve"> </w:t>
      </w:r>
      <w:proofErr w:type="spellStart"/>
      <w:r>
        <w:rPr>
          <w:rtl/>
        </w:rPr>
        <w:t>ו“רבי</w:t>
      </w:r>
      <w:proofErr w:type="spellEnd"/>
      <w:r>
        <w:rPr>
          <w:rtl/>
        </w:rPr>
        <w:t xml:space="preserve"> יעקב”.</w:t>
      </w:r>
      <w:bookmarkStart w:id="6" w:name="_fnr5"/>
      <w:r>
        <w:rPr>
          <w:rStyle w:val="a5"/>
        </w:rPr>
        <w:footnoteReference w:id="5" w:customMarkFollows="0"/>
      </w:r>
      <w:bookmarkEnd w:id="6"/>
      <w:r>
        <w:rPr>
          <w:rtl/>
        </w:rPr>
        <w:t>)</w:t>
      </w:r>
    </w:p>
    <w:p w14:paraId="6F5C0A64" w14:textId="77777777" w:rsidR="00AB3647" w:rsidRDefault="00000000" w:rsidP="007923E9">
      <w:pPr>
        <w:spacing w:after="100" w:line="276" w:lineRule="auto"/>
        <w:ind w:firstLine="340"/>
        <w:jc w:val="both"/>
      </w:pPr>
      <w:r>
        <w:rPr>
          <w:rtl/>
        </w:rPr>
        <w:t xml:space="preserve">אמירה שאמר ר׳ </w:t>
      </w:r>
      <w:proofErr w:type="spellStart"/>
      <w:r>
        <w:rPr>
          <w:rtl/>
        </w:rPr>
        <w:t>איצל׳ה</w:t>
      </w:r>
      <w:proofErr w:type="spellEnd"/>
      <w:r>
        <w:rPr>
          <w:rtl/>
        </w:rPr>
        <w:t xml:space="preserve"> </w:t>
      </w:r>
      <w:proofErr w:type="spellStart"/>
      <w:r>
        <w:rPr>
          <w:rtl/>
        </w:rPr>
        <w:t>מוולוז׳ין</w:t>
      </w:r>
      <w:proofErr w:type="spellEnd"/>
      <w:r>
        <w:rPr>
          <w:rtl/>
        </w:rPr>
        <w:t xml:space="preserve"> – בנו של ר׳ חיים ויורשו בראשות ישיבת </w:t>
      </w:r>
      <w:proofErr w:type="spellStart"/>
      <w:r>
        <w:rPr>
          <w:rtl/>
        </w:rPr>
        <w:t>וולוז׳ין</w:t>
      </w:r>
      <w:proofErr w:type="spellEnd"/>
      <w:r>
        <w:rPr>
          <w:rtl/>
        </w:rPr>
        <w:t xml:space="preserve"> – </w:t>
      </w:r>
      <w:proofErr w:type="spellStart"/>
      <w:r>
        <w:rPr>
          <w:rtl/>
        </w:rPr>
        <w:t>בתקצ״א</w:t>
      </w:r>
      <w:proofErr w:type="spellEnd"/>
      <w:r>
        <w:rPr>
          <w:rtl/>
        </w:rPr>
        <w:t xml:space="preserve"> ממחישה את הנקודה שבסיפורי אבי. פעם אמר לאחד מתלמידיו:</w:t>
      </w:r>
      <w:bookmarkStart w:id="7" w:name="_fnr6"/>
      <w:r>
        <w:rPr>
          <w:rStyle w:val="a5"/>
        </w:rPr>
        <w:footnoteReference w:id="6" w:customMarkFollows="0"/>
      </w:r>
      <w:bookmarkEnd w:id="7"/>
      <w:r>
        <w:rPr>
          <w:rtl/>
        </w:rPr>
        <w:t xml:space="preserve"> “דע לך, בני, שכל סיפוריי מכילים כללים מקיפים להנהגת החיים בחכמה ולהתנהגות נאותה, שיועילו לך בימים הבאים.”</w:t>
      </w:r>
      <w:bookmarkStart w:id="8" w:name="_fnr7"/>
      <w:r>
        <w:rPr>
          <w:rStyle w:val="a5"/>
        </w:rPr>
        <w:footnoteReference w:id="7" w:customMarkFollows="0"/>
      </w:r>
      <w:bookmarkEnd w:id="8"/>
    </w:p>
    <w:p w14:paraId="3907A247" w14:textId="77777777" w:rsidR="00AB3647" w:rsidRDefault="00000000" w:rsidP="007923E9">
      <w:pPr>
        <w:spacing w:after="100" w:line="276" w:lineRule="auto"/>
        <w:ind w:firstLine="340"/>
        <w:jc w:val="both"/>
      </w:pPr>
      <w:r>
        <w:rPr>
          <w:rtl/>
        </w:rPr>
        <w:t xml:space="preserve">לפי “ספר </w:t>
      </w:r>
      <w:proofErr w:type="spellStart"/>
      <w:r>
        <w:rPr>
          <w:rtl/>
        </w:rPr>
        <w:t>זכרון</w:t>
      </w:r>
      <w:proofErr w:type="spellEnd"/>
      <w:r>
        <w:rPr>
          <w:rtl/>
        </w:rPr>
        <w:t xml:space="preserve"> – המאיר”,</w:t>
      </w:r>
      <w:bookmarkStart w:id="9" w:name="_fnr8"/>
      <w:r>
        <w:rPr>
          <w:rStyle w:val="a5"/>
        </w:rPr>
        <w:footnoteReference w:id="8" w:customMarkFollows="0"/>
      </w:r>
      <w:bookmarkEnd w:id="9"/>
      <w:r>
        <w:rPr>
          <w:rtl/>
        </w:rPr>
        <w:t xml:space="preserve"> אמירה דומה אמר ר׳ </w:t>
      </w:r>
      <w:proofErr w:type="spellStart"/>
      <w:r>
        <w:rPr>
          <w:rtl/>
        </w:rPr>
        <w:t>מאיר־שמחה</w:t>
      </w:r>
      <w:proofErr w:type="spellEnd"/>
      <w:r>
        <w:rPr>
          <w:rtl/>
        </w:rPr>
        <w:t xml:space="preserve"> הכהן כמעט מאה שנה מאוחר יותר, בתקופה קרובה הרבה יותר לתקופתו של רבנו. אצל ר׳ </w:t>
      </w:r>
      <w:proofErr w:type="spellStart"/>
      <w:r>
        <w:rPr>
          <w:rtl/>
        </w:rPr>
        <w:t>מאיר־שמחה</w:t>
      </w:r>
      <w:proofErr w:type="spellEnd"/>
      <w:r>
        <w:rPr>
          <w:rtl/>
        </w:rPr>
        <w:t xml:space="preserve"> ביקר רבה האחרון של מוסקבה שלפני הקומוניסטים, תלמיד </w:t>
      </w:r>
      <w:proofErr w:type="spellStart"/>
      <w:r>
        <w:rPr>
          <w:rtl/>
        </w:rPr>
        <w:t>סלבודקה</w:t>
      </w:r>
      <w:proofErr w:type="spellEnd"/>
      <w:r>
        <w:rPr>
          <w:rtl/>
        </w:rPr>
        <w:t xml:space="preserve"> המוכשר מאוד והחכם ר׳ יעקב </w:t>
      </w:r>
      <w:proofErr w:type="spellStart"/>
      <w:r>
        <w:rPr>
          <w:rtl/>
        </w:rPr>
        <w:t>קלמס</w:t>
      </w:r>
      <w:proofErr w:type="spellEnd"/>
      <w:r>
        <w:rPr>
          <w:rtl/>
        </w:rPr>
        <w:t xml:space="preserve">, ושאל את הגאון מדוע הוא מדבר עמו “בדברים בעלמא” ולא “דברי תורה”. השיב ר׳ </w:t>
      </w:r>
      <w:proofErr w:type="spellStart"/>
      <w:r>
        <w:rPr>
          <w:rtl/>
        </w:rPr>
        <w:t>מאיר־שמחה</w:t>
      </w:r>
      <w:proofErr w:type="spellEnd"/>
      <w:r>
        <w:rPr>
          <w:rtl/>
        </w:rPr>
        <w:t xml:space="preserve">: “הקשב היטב </w:t>
      </w:r>
      <w:proofErr w:type="spellStart"/>
      <w:r>
        <w:rPr>
          <w:rtl/>
        </w:rPr>
        <w:t>ל‘דברים</w:t>
      </w:r>
      <w:proofErr w:type="spellEnd"/>
      <w:r>
        <w:rPr>
          <w:rtl/>
        </w:rPr>
        <w:t xml:space="preserve"> בעלמא’ שלי, כי הם יועילו לך בעתיד.”</w:t>
      </w:r>
    </w:p>
    <w:p w14:paraId="74E952AF" w14:textId="77777777" w:rsidR="00AB3647" w:rsidRDefault="00000000" w:rsidP="007923E9">
      <w:pPr>
        <w:spacing w:after="100" w:line="276" w:lineRule="auto"/>
        <w:ind w:firstLine="340"/>
        <w:jc w:val="both"/>
      </w:pPr>
      <w:r>
        <w:rPr>
          <w:rtl/>
        </w:rPr>
        <w:t>גם בסיפוריו של אבי היו רעיונות על חכמת העולם והנהגתו, שיכולים להועיל לאדם. אני מוסר אותם לאחר שלמדתי אותם ביסודיות, ומניח לקורא ליישמם במציאות שלו, לתבל בהם את חייו והתנהגותו. לשם כך אספתי סיפורים שאבי סיפר בהזדמנויות שונות ולמטרות שונות, וחקרתי אותם עד תום.</w:t>
      </w:r>
    </w:p>
    <w:p w14:paraId="3615FC0F" w14:textId="77777777" w:rsidR="00AB3647" w:rsidRDefault="00000000" w:rsidP="007923E9">
      <w:pPr>
        <w:spacing w:after="100" w:line="276" w:lineRule="auto"/>
        <w:ind w:firstLine="340"/>
        <w:jc w:val="both"/>
      </w:pPr>
      <w:r>
        <w:rPr>
          <w:rtl/>
        </w:rPr>
        <w:t>חלק מן הרבנים שכתבתי עליהם אינם מוכרים כיום. ר׳ זאב לב סיפר</w:t>
      </w:r>
      <w:bookmarkStart w:id="10" w:name="_fnr9"/>
      <w:r>
        <w:rPr>
          <w:rStyle w:val="a5"/>
        </w:rPr>
        <w:footnoteReference w:id="9" w:customMarkFollows="0"/>
      </w:r>
      <w:bookmarkEnd w:id="10"/>
      <w:r>
        <w:rPr>
          <w:rtl/>
        </w:rPr>
        <w:t xml:space="preserve"> שאחרי שקרא את “סדר אליהו”,</w:t>
      </w:r>
      <w:bookmarkStart w:id="11" w:name="_fnr10"/>
      <w:r>
        <w:rPr>
          <w:rStyle w:val="a5"/>
        </w:rPr>
        <w:footnoteReference w:id="10" w:customMarkFollows="0"/>
      </w:r>
      <w:bookmarkEnd w:id="11"/>
      <w:r>
        <w:rPr>
          <w:rtl/>
        </w:rPr>
        <w:t xml:space="preserve"> יומנו התמציתי של ר׳ </w:t>
      </w:r>
      <w:proofErr w:type="spellStart"/>
      <w:r>
        <w:rPr>
          <w:rtl/>
        </w:rPr>
        <w:t>אליהו־דוד</w:t>
      </w:r>
      <w:proofErr w:type="spellEnd"/>
      <w:r>
        <w:rPr>
          <w:rtl/>
        </w:rPr>
        <w:t xml:space="preserve"> </w:t>
      </w:r>
      <w:proofErr w:type="spellStart"/>
      <w:r>
        <w:rPr>
          <w:rtl/>
        </w:rPr>
        <w:t>רבינוביץ־תאומים</w:t>
      </w:r>
      <w:proofErr w:type="spellEnd"/>
      <w:r>
        <w:rPr>
          <w:rtl/>
        </w:rPr>
        <w:t xml:space="preserve">, הידוע בראשי התיבות </w:t>
      </w:r>
      <w:proofErr w:type="spellStart"/>
      <w:r>
        <w:rPr>
          <w:rtl/>
        </w:rPr>
        <w:t>האדר״ת</w:t>
      </w:r>
      <w:proofErr w:type="spellEnd"/>
      <w:r>
        <w:rPr>
          <w:rtl/>
        </w:rPr>
        <w:t xml:space="preserve"> (שפירושם “מעיל”</w:t>
      </w:r>
      <w:bookmarkStart w:id="12" w:name="_fnr11"/>
      <w:r>
        <w:rPr>
          <w:rStyle w:val="a5"/>
        </w:rPr>
        <w:footnoteReference w:id="11" w:customMarkFollows="0"/>
      </w:r>
      <w:bookmarkEnd w:id="12"/>
      <w:r>
        <w:rPr>
          <w:rtl/>
        </w:rPr>
        <w:t>), הבחין שבתוך 95 עמודיו פזורים אזכורים של 86 רבנים, שבעל היומן פגש במשך שלושים שנות כהונתו ברבנות באירופה.</w:t>
      </w:r>
    </w:p>
    <w:p w14:paraId="0473A84A" w14:textId="77777777" w:rsidR="00AB3647" w:rsidRDefault="00000000" w:rsidP="007923E9">
      <w:pPr>
        <w:spacing w:after="100" w:line="276" w:lineRule="auto"/>
        <w:ind w:firstLine="340"/>
        <w:jc w:val="both"/>
      </w:pPr>
      <w:r>
        <w:rPr>
          <w:rtl/>
        </w:rPr>
        <w:t xml:space="preserve">הרב לב שאל את אבי: “מי הם כל הרבנים האלה </w:t>
      </w:r>
      <w:proofErr w:type="spellStart"/>
      <w:r>
        <w:rPr>
          <w:rtl/>
        </w:rPr>
        <w:t>שהאדר״ת</w:t>
      </w:r>
      <w:proofErr w:type="spellEnd"/>
      <w:r>
        <w:rPr>
          <w:rtl/>
        </w:rPr>
        <w:t xml:space="preserve"> מזכיר, שעל רובם מעולם לא שמעתי?” אבי השיב: “אתה חושב כמו </w:t>
      </w:r>
      <w:proofErr w:type="spellStart"/>
      <w:r>
        <w:rPr>
          <w:rtl/>
        </w:rPr>
        <w:t>ישיבה־בחור</w:t>
      </w:r>
      <w:proofErr w:type="spellEnd"/>
      <w:r>
        <w:rPr>
          <w:rtl/>
        </w:rPr>
        <w:t xml:space="preserve"> [שמכיר רק שמות של כמה ראשי ישיבה שחידושיהם חוזרים ונשנים בבתי המדרש]. הרבנים </w:t>
      </w:r>
      <w:proofErr w:type="spellStart"/>
      <w:r>
        <w:rPr>
          <w:rtl/>
        </w:rPr>
        <w:t>שהאדר״ת</w:t>
      </w:r>
      <w:proofErr w:type="spellEnd"/>
      <w:r>
        <w:rPr>
          <w:rtl/>
        </w:rPr>
        <w:t xml:space="preserve"> מזכיר – הם היו הלומדים </w:t>
      </w:r>
      <w:r>
        <w:rPr>
          <w:i/>
          <w:iCs/>
          <w:rtl/>
        </w:rPr>
        <w:t>הגדולים באמת</w:t>
      </w:r>
      <w:r>
        <w:rPr>
          <w:rtl/>
        </w:rPr>
        <w:t>, האריות.”</w:t>
      </w:r>
      <w:bookmarkStart w:id="13" w:name="_fnr12"/>
      <w:r>
        <w:rPr>
          <w:rStyle w:val="a5"/>
        </w:rPr>
        <w:footnoteReference w:id="12" w:customMarkFollows="0"/>
      </w:r>
      <w:bookmarkEnd w:id="13"/>
      <w:r>
        <w:rPr>
          <w:rtl/>
        </w:rPr>
        <w:t xml:space="preserve"> הכרך המוגש בזה לקורא מזכיר 779 רבנים וראשי ישיבה, שרובם </w:t>
      </w:r>
      <w:r>
        <w:rPr>
          <w:rtl/>
        </w:rPr>
        <w:lastRenderedPageBreak/>
        <w:t>פעלו לפני כמאה שנה ויותר. חלק משמותיהם ידועים כיום, אבל ספר זה מציג רבים מהם לפני הקורא הממוצע של ימינו.</w:t>
      </w:r>
    </w:p>
    <w:p w14:paraId="640BD461" w14:textId="77777777" w:rsidR="00AB3647" w:rsidRDefault="00000000" w:rsidP="007923E9">
      <w:pPr>
        <w:spacing w:after="100" w:line="276" w:lineRule="auto"/>
        <w:ind w:firstLine="340"/>
        <w:jc w:val="both"/>
      </w:pPr>
      <w:r>
        <w:rPr>
          <w:rtl/>
        </w:rPr>
        <w:t>מבחינה טכנית, עבודתי כללה ראיונות עם אנשים בחלקים רבים של העולם, האזנה להקלטות, מחקר בספריות, הזנת מידע למחשב, עיבוד המידע והוצאתו לאור בצורת ספר. נוסף על העמל הגופני הכרוך בכך, היה גם המתח הרגשי שבהאזנה לקלטות שבהן נשמע אבי מדבר – ממש “שפתותיו דובבות בקבר”.</w:t>
      </w:r>
      <w:bookmarkStart w:id="14" w:name="_fnr13"/>
      <w:r>
        <w:rPr>
          <w:rStyle w:val="a5"/>
        </w:rPr>
        <w:footnoteReference w:id="13" w:customMarkFollows="0"/>
      </w:r>
      <w:bookmarkEnd w:id="14"/>
    </w:p>
    <w:p w14:paraId="34DF819A" w14:textId="77777777" w:rsidR="00AB3647" w:rsidRDefault="00000000" w:rsidP="007923E9">
      <w:pPr>
        <w:spacing w:after="100" w:line="276" w:lineRule="auto"/>
        <w:ind w:firstLine="340"/>
        <w:jc w:val="both"/>
      </w:pPr>
      <w:r>
        <w:rPr>
          <w:rtl/>
        </w:rPr>
        <w:t xml:space="preserve">עבודה על חייו של אב לאחר מותו מעמיסה על האדם משא של עצב. ואל יחשוב אדם שהעצב פוחת כשהאב האריך ימים עד גיל תשעים וחמש, כאבי. אדרבה: כשר׳ </w:t>
      </w:r>
      <w:proofErr w:type="spellStart"/>
      <w:r>
        <w:rPr>
          <w:rtl/>
        </w:rPr>
        <w:t>יענקל</w:t>
      </w:r>
      <w:proofErr w:type="spellEnd"/>
      <w:r>
        <w:rPr>
          <w:rtl/>
        </w:rPr>
        <w:t xml:space="preserve"> </w:t>
      </w:r>
      <w:proofErr w:type="spellStart"/>
      <w:r>
        <w:rPr>
          <w:rtl/>
        </w:rPr>
        <w:t>לשינסקי</w:t>
      </w:r>
      <w:proofErr w:type="spellEnd"/>
      <w:r>
        <w:rPr>
          <w:rtl/>
        </w:rPr>
        <w:t xml:space="preserve"> ישב שבעה על אביו הזקן, הוא סיפר</w:t>
      </w:r>
      <w:bookmarkStart w:id="15" w:name="_fnr14"/>
      <w:r>
        <w:rPr>
          <w:rStyle w:val="a5"/>
        </w:rPr>
        <w:footnoteReference w:id="14" w:customMarkFollows="0"/>
      </w:r>
      <w:bookmarkEnd w:id="15"/>
      <w:r>
        <w:rPr>
          <w:rtl/>
        </w:rPr>
        <w:t xml:space="preserve"> שבאביב תש״ח, כשר׳ אברהם </w:t>
      </w:r>
      <w:proofErr w:type="spellStart"/>
      <w:r>
        <w:rPr>
          <w:rtl/>
        </w:rPr>
        <w:t>קלמנוביץ</w:t>
      </w:r>
      <w:proofErr w:type="spellEnd"/>
      <w:r>
        <w:rPr>
          <w:rtl/>
        </w:rPr>
        <w:t xml:space="preserve"> ישב שבעה בארץ ישראל על אביו, שנפטר בגיל שמונים, אמר: “האנשים הסבורים שפטירת אב זקן מצערת פחות מפטירת אב צעיר – טועים, כי בן מכיר את אביו </w:t>
      </w:r>
      <w:r>
        <w:rPr>
          <w:i/>
          <w:iCs/>
          <w:rtl/>
        </w:rPr>
        <w:t>הזקן</w:t>
      </w:r>
      <w:r>
        <w:rPr>
          <w:rtl/>
        </w:rPr>
        <w:t xml:space="preserve"> זמן ארוך הרבה יותר וטוב הרבה יותר, ונקשר אליו יותר.”</w:t>
      </w:r>
    </w:p>
    <w:p w14:paraId="7D7BCE27" w14:textId="77777777" w:rsidR="00AB3647" w:rsidRDefault="00000000" w:rsidP="007923E9">
      <w:pPr>
        <w:spacing w:after="100" w:line="276" w:lineRule="auto"/>
        <w:ind w:firstLine="340"/>
        <w:jc w:val="both"/>
      </w:pPr>
      <w:r>
        <w:rPr>
          <w:rtl/>
        </w:rPr>
        <w:t>אבל משא העצב שלי בשעת המחקר הוקל בזכות ההתעניינות הנלהבת והרגישה ושיתוף הפעולה הלבבי מצד אלה שפניתי אליהם לקבל מידע שהיה בידם על אבי. אף שציון קצר זה אינו יכול לפרוע את חובי לאנשים נעימים אלה, יש בו כדי להביע את תודתי על התחשבותם.</w:t>
      </w:r>
    </w:p>
    <w:p w14:paraId="11A0ACE0" w14:textId="77777777" w:rsidR="00AB3647" w:rsidRDefault="00000000" w:rsidP="007923E9">
      <w:pPr>
        <w:spacing w:after="100" w:line="276" w:lineRule="auto"/>
        <w:ind w:firstLine="340"/>
        <w:jc w:val="both"/>
      </w:pPr>
      <w:r>
        <w:rPr>
          <w:rtl/>
        </w:rPr>
        <w:t xml:space="preserve">נתקלתי במכתבים של ר׳ </w:t>
      </w:r>
      <w:proofErr w:type="spellStart"/>
      <w:r>
        <w:rPr>
          <w:rtl/>
        </w:rPr>
        <w:t>שמחה־זיסל</w:t>
      </w:r>
      <w:proofErr w:type="spellEnd"/>
      <w:r>
        <w:rPr>
          <w:rtl/>
        </w:rPr>
        <w:t xml:space="preserve"> זיו, הסבא מקלם, שפורסמו לאחרונה,</w:t>
      </w:r>
      <w:bookmarkStart w:id="16" w:name="_fnr15"/>
      <w:r>
        <w:rPr>
          <w:rStyle w:val="a5"/>
        </w:rPr>
        <w:footnoteReference w:id="15" w:customMarkFollows="0"/>
      </w:r>
      <w:bookmarkEnd w:id="16"/>
      <w:r>
        <w:rPr>
          <w:rtl/>
        </w:rPr>
        <w:t xml:space="preserve"> והם נוגעים לסיפורים שנמסרו לי על אבי. מיד כשהגיעה אליו הידיעה על פטירת רבו, ר׳ ישראל </w:t>
      </w:r>
      <w:proofErr w:type="spellStart"/>
      <w:r>
        <w:rPr>
          <w:rtl/>
        </w:rPr>
        <w:t>סלנטר</w:t>
      </w:r>
      <w:proofErr w:type="spellEnd"/>
      <w:r>
        <w:rPr>
          <w:rtl/>
        </w:rPr>
        <w:t xml:space="preserve">, כתב ר׳ </w:t>
      </w:r>
      <w:proofErr w:type="spellStart"/>
      <w:r>
        <w:rPr>
          <w:rtl/>
        </w:rPr>
        <w:t>שמחה־זיסל</w:t>
      </w:r>
      <w:proofErr w:type="spellEnd"/>
      <w:r>
        <w:rPr>
          <w:rtl/>
        </w:rPr>
        <w:t xml:space="preserve"> לכמה מכרים (שהפרסום אינו נוקב בשמם) וביקש מהם לדווח על כל דבר ודבר שקלטו מר׳ ישראל – “אפילו דברים קלי ערך, כמו שיחת חולין”. “נדמה לי שגם מדברים כאלה לא קרה מעולם שלא למדתי מהם לקחים נשגבים,” כתב הסבא מקלם. ובה בעת הזהיר ר׳ </w:t>
      </w:r>
      <w:proofErr w:type="spellStart"/>
      <w:r>
        <w:rPr>
          <w:rtl/>
        </w:rPr>
        <w:t>שמחה־זיסל</w:t>
      </w:r>
      <w:proofErr w:type="spellEnd"/>
      <w:r>
        <w:rPr>
          <w:rtl/>
        </w:rPr>
        <w:t xml:space="preserve"> את הנמענים שלא יחשבו שידעו מה היה ר׳ ישראל באמת, כי “אינם יודעים שאינם יודעים אותו”.</w:t>
      </w:r>
    </w:p>
    <w:p w14:paraId="5C14C6D8" w14:textId="77777777" w:rsidR="00AB3647" w:rsidRDefault="00000000" w:rsidP="007923E9">
      <w:pPr>
        <w:spacing w:after="100" w:line="276" w:lineRule="auto"/>
        <w:ind w:firstLine="340"/>
        <w:jc w:val="both"/>
      </w:pPr>
      <w:r>
        <w:rPr>
          <w:rtl/>
        </w:rPr>
        <w:t>מאחר שאבי פעל רוב חייו, ובכלל זה כל מחציתם השנייה, ביבשת צפון אמריקה (חוץ מביקור קצר אחד ברוסיה ושישה ביקורים קצרים יחסית בארץ), נאלצתי לעזוב את ביתי בארץ ולנסוע לחוץ לארץ לרוב הראיונות. הנסיעה כשלעצמה די בה להפריע ללימוד התורה, כפי שמעיר רש״י במסכת עירובין,</w:t>
      </w:r>
      <w:bookmarkStart w:id="17" w:name="_fnr16"/>
      <w:r>
        <w:rPr>
          <w:rStyle w:val="a5"/>
        </w:rPr>
        <w:footnoteReference w:id="16" w:customMarkFollows="0"/>
      </w:r>
      <w:bookmarkEnd w:id="17"/>
      <w:r>
        <w:rPr>
          <w:rtl/>
        </w:rPr>
        <w:t xml:space="preserve"> והעבודה המפרכת שבאה אחרי הנסיעות הייתה מכשול גדול עוד יותר ללימוד התורה. חששתי כל העת שאני שרוי בעוון ביטול תורה, בכך שאני מבזבז לתקופות ארוכות זמן שנועד ללימוד התורה.</w:t>
      </w:r>
    </w:p>
    <w:p w14:paraId="241D3286" w14:textId="77777777" w:rsidR="00AB3647" w:rsidRDefault="00000000" w:rsidP="007923E9">
      <w:pPr>
        <w:spacing w:after="100" w:line="276" w:lineRule="auto"/>
        <w:ind w:firstLine="340"/>
        <w:jc w:val="both"/>
      </w:pPr>
      <w:r>
        <w:rPr>
          <w:rtl/>
        </w:rPr>
        <w:t xml:space="preserve">ואומנם, כשראיינתי את ר׳ לוי </w:t>
      </w:r>
      <w:proofErr w:type="spellStart"/>
      <w:r>
        <w:rPr>
          <w:rtl/>
        </w:rPr>
        <w:t>קרופניא</w:t>
      </w:r>
      <w:proofErr w:type="spellEnd"/>
      <w:r>
        <w:rPr>
          <w:rtl/>
        </w:rPr>
        <w:t>,</w:t>
      </w:r>
      <w:bookmarkStart w:id="18" w:name="_fnr17"/>
      <w:r>
        <w:rPr>
          <w:rStyle w:val="a5"/>
        </w:rPr>
        <w:footnoteReference w:id="17" w:customMarkFollows="0"/>
      </w:r>
      <w:bookmarkEnd w:id="18"/>
      <w:r>
        <w:rPr>
          <w:rtl/>
        </w:rPr>
        <w:t xml:space="preserve"> הוא הוכיח אותי, באמצעות הסיפור על סב אשתו ר׳ </w:t>
      </w:r>
      <w:proofErr w:type="spellStart"/>
      <w:r>
        <w:rPr>
          <w:rtl/>
        </w:rPr>
        <w:t>ברוך־בער</w:t>
      </w:r>
      <w:proofErr w:type="spellEnd"/>
      <w:r>
        <w:rPr>
          <w:rtl/>
        </w:rPr>
        <w:t xml:space="preserve"> </w:t>
      </w:r>
      <w:proofErr w:type="spellStart"/>
      <w:r>
        <w:rPr>
          <w:rtl/>
        </w:rPr>
        <w:t>ליבוביץ</w:t>
      </w:r>
      <w:proofErr w:type="spellEnd"/>
      <w:r>
        <w:rPr>
          <w:rtl/>
        </w:rPr>
        <w:t xml:space="preserve"> המובא בספר זה,</w:t>
      </w:r>
      <w:bookmarkStart w:id="19" w:name="_fnr18"/>
      <w:r>
        <w:rPr>
          <w:rStyle w:val="a5"/>
        </w:rPr>
        <w:footnoteReference w:id="18" w:customMarkFollows="0"/>
      </w:r>
      <w:bookmarkEnd w:id="19"/>
      <w:r>
        <w:rPr>
          <w:rtl/>
        </w:rPr>
        <w:t xml:space="preserve"> על שבמקום לכתוב ספר של חידושי תורה אני מבלה </w:t>
      </w:r>
      <w:r>
        <w:rPr>
          <w:rtl/>
        </w:rPr>
        <w:lastRenderedPageBreak/>
        <w:t xml:space="preserve">את זמני בדברים לא חשובים יחסית. איני יכול לומר בביטחון שהחלטתי נכון </w:t>
      </w:r>
      <w:proofErr w:type="spellStart"/>
      <w:r>
        <w:rPr>
          <w:rtl/>
        </w:rPr>
        <w:t>כשלא</w:t>
      </w:r>
      <w:proofErr w:type="spellEnd"/>
      <w:r>
        <w:rPr>
          <w:rtl/>
        </w:rPr>
        <w:t xml:space="preserve"> נעניתי לביקורתו. האדם היחיד שיכולתי להעלות על דעתי לשאול אותו אם מה שאני עושה נכון או לא, היה דווקא האדם שכבר אי אפשר היה לשאול – אבי זצ״ל.</w:t>
      </w:r>
    </w:p>
    <w:p w14:paraId="0F28014B" w14:textId="77777777" w:rsidR="00AB3647" w:rsidRDefault="00000000" w:rsidP="007923E9">
      <w:pPr>
        <w:spacing w:after="100" w:line="276" w:lineRule="auto"/>
        <w:ind w:firstLine="340"/>
        <w:jc w:val="both"/>
      </w:pPr>
      <w:r>
        <w:rPr>
          <w:rtl/>
        </w:rPr>
        <w:t>סיפור אחד שסיפר ר׳ חיים ברנד לבני ר׳ יוסף</w:t>
      </w:r>
      <w:bookmarkStart w:id="20" w:name="_fnr19"/>
      <w:r>
        <w:rPr>
          <w:rStyle w:val="a5"/>
        </w:rPr>
        <w:footnoteReference w:id="19" w:customMarkFollows="0"/>
      </w:r>
      <w:bookmarkEnd w:id="20"/>
      <w:r>
        <w:rPr>
          <w:rtl/>
        </w:rPr>
        <w:t xml:space="preserve"> הקל במקצת את רגשות האשמה שלי. ר׳ חיים וגיסו היו נוכחים כשר׳ </w:t>
      </w:r>
      <w:proofErr w:type="spellStart"/>
      <w:r>
        <w:rPr>
          <w:rtl/>
        </w:rPr>
        <w:t>ידעאל</w:t>
      </w:r>
      <w:proofErr w:type="spellEnd"/>
      <w:r>
        <w:rPr>
          <w:rtl/>
        </w:rPr>
        <w:t xml:space="preserve"> מלצר בא לראיין את אבי על סבו של ר׳ </w:t>
      </w:r>
      <w:proofErr w:type="spellStart"/>
      <w:r>
        <w:rPr>
          <w:rtl/>
        </w:rPr>
        <w:t>ידעאל</w:t>
      </w:r>
      <w:proofErr w:type="spellEnd"/>
      <w:r>
        <w:rPr>
          <w:rtl/>
        </w:rPr>
        <w:t xml:space="preserve">, שבישיבתו </w:t>
      </w:r>
      <w:proofErr w:type="spellStart"/>
      <w:r>
        <w:rPr>
          <w:rtl/>
        </w:rPr>
        <w:t>בסלוצק</w:t>
      </w:r>
      <w:proofErr w:type="spellEnd"/>
      <w:r>
        <w:rPr>
          <w:rtl/>
        </w:rPr>
        <w:t xml:space="preserve"> למד אבי שנה וחצי</w:t>
      </w:r>
      <w:bookmarkStart w:id="21" w:name="_fnr20"/>
      <w:r>
        <w:rPr>
          <w:rStyle w:val="a5"/>
        </w:rPr>
        <w:footnoteReference w:id="20" w:customMarkFollows="0"/>
      </w:r>
      <w:bookmarkEnd w:id="21"/>
      <w:r>
        <w:rPr>
          <w:rtl/>
        </w:rPr>
        <w:t xml:space="preserve"> – גדול התורה המפורסם ר׳ </w:t>
      </w:r>
      <w:proofErr w:type="spellStart"/>
      <w:r>
        <w:rPr>
          <w:rtl/>
        </w:rPr>
        <w:t>איסר־זלמן</w:t>
      </w:r>
      <w:proofErr w:type="spellEnd"/>
      <w:r>
        <w:rPr>
          <w:rtl/>
        </w:rPr>
        <w:t xml:space="preserve"> מלצר. בתחילה אמר אבי לאורחו שהוא חש שהוא מתחיל לחלות בשפעת, והציע לו לחזור בזמן אחר. אבל כשעמד ר׳ </w:t>
      </w:r>
      <w:proofErr w:type="spellStart"/>
      <w:r>
        <w:rPr>
          <w:rtl/>
        </w:rPr>
        <w:t>ידעאל</w:t>
      </w:r>
      <w:proofErr w:type="spellEnd"/>
      <w:r>
        <w:rPr>
          <w:rtl/>
        </w:rPr>
        <w:t xml:space="preserve"> לצאת, שינה אבי את דעתו ואמר: “נו, כיוון שכבר אתה כאן, שב ונשוחח.”</w:t>
      </w:r>
    </w:p>
    <w:p w14:paraId="0CC66015" w14:textId="77777777" w:rsidR="00AB3647" w:rsidRDefault="00000000" w:rsidP="007923E9">
      <w:pPr>
        <w:spacing w:after="100" w:line="276" w:lineRule="auto"/>
        <w:ind w:firstLine="340"/>
        <w:jc w:val="both"/>
      </w:pPr>
      <w:r>
        <w:rPr>
          <w:rtl/>
        </w:rPr>
        <w:t>הם שוחחו כשעתיים,</w:t>
      </w:r>
      <w:bookmarkStart w:id="22" w:name="_fnr21"/>
      <w:r>
        <w:rPr>
          <w:rStyle w:val="a5"/>
        </w:rPr>
        <w:footnoteReference w:id="21" w:customMarkFollows="0"/>
      </w:r>
      <w:bookmarkEnd w:id="22"/>
      <w:r>
        <w:rPr>
          <w:rtl/>
        </w:rPr>
        <w:t xml:space="preserve"> ואחר כך העיר אבי: “כבר טוב לי יותר, כי ‘תכף לתלמיד חכם ברכה’.</w:t>
      </w:r>
      <w:bookmarkStart w:id="23" w:name="_fnr22"/>
      <w:r>
        <w:rPr>
          <w:rStyle w:val="a5"/>
        </w:rPr>
        <w:footnoteReference w:id="22" w:customMarkFollows="0"/>
      </w:r>
      <w:bookmarkEnd w:id="23"/>
      <w:r>
        <w:rPr>
          <w:rtl/>
        </w:rPr>
        <w:t xml:space="preserve">” ברור שאבי ראה את </w:t>
      </w:r>
      <w:r>
        <w:rPr>
          <w:i/>
          <w:iCs/>
          <w:rtl/>
        </w:rPr>
        <w:t>השיחה והדיון</w:t>
      </w:r>
      <w:r>
        <w:rPr>
          <w:rtl/>
        </w:rPr>
        <w:t xml:space="preserve"> על ר׳ </w:t>
      </w:r>
      <w:proofErr w:type="spellStart"/>
      <w:r>
        <w:rPr>
          <w:rtl/>
        </w:rPr>
        <w:t>איסר־זלמן</w:t>
      </w:r>
      <w:proofErr w:type="spellEnd"/>
      <w:r>
        <w:rPr>
          <w:rtl/>
        </w:rPr>
        <w:t xml:space="preserve"> </w:t>
      </w:r>
      <w:r>
        <w:rPr>
          <w:i/>
          <w:iCs/>
          <w:rtl/>
        </w:rPr>
        <w:t>כאירוח</w:t>
      </w:r>
      <w:r>
        <w:rPr>
          <w:rtl/>
        </w:rPr>
        <w:t xml:space="preserve"> של תלמיד חכם.</w:t>
      </w:r>
      <w:bookmarkStart w:id="24" w:name="_fnr23"/>
      <w:r>
        <w:rPr>
          <w:rStyle w:val="a5"/>
        </w:rPr>
        <w:footnoteReference w:id="23" w:customMarkFollows="0"/>
      </w:r>
      <w:bookmarkEnd w:id="24"/>
      <w:r>
        <w:rPr>
          <w:rtl/>
        </w:rPr>
        <w:t xml:space="preserve"> באותו אופן, כשחקרתי את מעשיהם ורעיונותיהם של גדולי התורה מדורות קודמים, חשתי עצמי בקרבתם, עוסק </w:t>
      </w:r>
      <w:proofErr w:type="spellStart"/>
      <w:r>
        <w:rPr>
          <w:rtl/>
        </w:rPr>
        <w:t>ב“שימוש</w:t>
      </w:r>
      <w:proofErr w:type="spellEnd"/>
      <w:r>
        <w:rPr>
          <w:rtl/>
        </w:rPr>
        <w:t xml:space="preserve"> תלמידי חכמים” כפשוטו, שהוא פסגת לימוד התורה,</w:t>
      </w:r>
      <w:bookmarkStart w:id="25" w:name="_fnr24"/>
      <w:r>
        <w:rPr>
          <w:rStyle w:val="a5"/>
        </w:rPr>
        <w:footnoteReference w:id="24" w:customMarkFollows="0"/>
      </w:r>
      <w:bookmarkEnd w:id="25"/>
      <w:r>
        <w:rPr>
          <w:rtl/>
        </w:rPr>
        <w:t xml:space="preserve"> וחשתי עצמי מטוהר במקצת מביטול התורה שחששתי ממנו.</w:t>
      </w:r>
    </w:p>
    <w:p w14:paraId="3160C432" w14:textId="77777777" w:rsidR="00AB3647" w:rsidRDefault="00000000" w:rsidP="007923E9">
      <w:pPr>
        <w:spacing w:after="100" w:line="276" w:lineRule="auto"/>
        <w:ind w:firstLine="340"/>
        <w:jc w:val="both"/>
      </w:pPr>
      <w:r>
        <w:rPr>
          <w:rtl/>
        </w:rPr>
        <w:t>הייתה עוד בעיה שהציקה למצפוני, ואזכיר אותה בדרך אגב בלי להאריך בדיון. המאירי</w:t>
      </w:r>
      <w:bookmarkStart w:id="26" w:name="_fnr25"/>
      <w:r>
        <w:rPr>
          <w:rStyle w:val="a5"/>
        </w:rPr>
        <w:footnoteReference w:id="25" w:customMarkFollows="0"/>
      </w:r>
      <w:bookmarkEnd w:id="26"/>
      <w:r>
        <w:rPr>
          <w:rtl/>
        </w:rPr>
        <w:t xml:space="preserve"> מוכיח שמידת חסידות, שבדרך כלל אינה חובה, אם נהג בה האב היא נעשית חובה על בנו, והבן נענש אם אינו מקיים אותה. נמצא שגילוי מידות נעלות אצל האב מוליד חובות חדשות – שאני מודה שלא נטלתי על עצמי. אבל קריאה מדוקדקת יותר בדברי המאירי מניחה מקום להחיל את פסקו רק על בן הממלא את משרתו הרשמית של אביו, וזאת לא עשה הבן הזה. ונחה דעתי.</w:t>
      </w:r>
    </w:p>
    <w:p w14:paraId="68537F57" w14:textId="77777777" w:rsidR="00AB3647" w:rsidRDefault="00000000" w:rsidP="007923E9">
      <w:pPr>
        <w:spacing w:after="100" w:line="276" w:lineRule="auto"/>
        <w:ind w:firstLine="340"/>
        <w:jc w:val="both"/>
      </w:pPr>
      <w:r>
        <w:rPr>
          <w:rtl/>
        </w:rPr>
        <w:t xml:space="preserve">בסך הכול, אחרי שנטלתי על עצמי את המשימה הקשה, שקעתי בה כל כך, שאת מצב רוחי אוכל לתאר היטב במילים שהרמב״ם משתמש בהן </w:t>
      </w:r>
      <w:proofErr w:type="spellStart"/>
      <w:r>
        <w:rPr>
          <w:rtl/>
        </w:rPr>
        <w:t>ב“מורה</w:t>
      </w:r>
      <w:proofErr w:type="spellEnd"/>
      <w:r>
        <w:rPr>
          <w:rtl/>
        </w:rPr>
        <w:t xml:space="preserve"> נבוכים”</w:t>
      </w:r>
      <w:bookmarkStart w:id="27" w:name="_fnr26"/>
      <w:r>
        <w:rPr>
          <w:rStyle w:val="a5"/>
        </w:rPr>
        <w:footnoteReference w:id="26" w:customMarkFollows="0"/>
      </w:r>
      <w:bookmarkEnd w:id="27"/>
      <w:r>
        <w:rPr>
          <w:rtl/>
        </w:rPr>
        <w:t xml:space="preserve"> כדי להגדיר את הביטוי “לבשה אותו רוח ה׳”</w:t>
      </w:r>
      <w:bookmarkStart w:id="28" w:name="_fnr27"/>
      <w:r>
        <w:rPr>
          <w:rStyle w:val="a5"/>
        </w:rPr>
        <w:footnoteReference w:id="27" w:customMarkFollows="0"/>
      </w:r>
      <w:bookmarkEnd w:id="28"/>
      <w:r>
        <w:rPr>
          <w:rtl/>
        </w:rPr>
        <w:t xml:space="preserve"> וביטויים מקראיים דומים, והן: “רוח הקודש </w:t>
      </w:r>
      <w:proofErr w:type="spellStart"/>
      <w:r>
        <w:rPr>
          <w:rtl/>
        </w:rPr>
        <w:t>עוררתו</w:t>
      </w:r>
      <w:proofErr w:type="spellEnd"/>
      <w:r>
        <w:rPr>
          <w:rtl/>
        </w:rPr>
        <w:t xml:space="preserve"> לפעולה </w:t>
      </w:r>
      <w:proofErr w:type="spellStart"/>
      <w:r>
        <w:rPr>
          <w:rtl/>
        </w:rPr>
        <w:t>מסויימת</w:t>
      </w:r>
      <w:proofErr w:type="spellEnd"/>
      <w:r>
        <w:rPr>
          <w:rtl/>
        </w:rPr>
        <w:t xml:space="preserve"> שיש לו ערך גדול”, וכן: “שילווה את האדם עזר א-להי יעוררו ויזרזו לעשות טובה גדולה בעלת ערך וימצא מצד עצמו לכך התעוררות ומשיכה”.</w:t>
      </w:r>
    </w:p>
    <w:p w14:paraId="664909E4" w14:textId="77777777" w:rsidR="00AB3647" w:rsidRDefault="00000000" w:rsidP="007923E9">
      <w:pPr>
        <w:spacing w:after="100" w:line="276" w:lineRule="auto"/>
        <w:ind w:firstLine="340"/>
        <w:jc w:val="both"/>
      </w:pPr>
      <w:proofErr w:type="spellStart"/>
      <w:r>
        <w:rPr>
          <w:rtl/>
        </w:rPr>
        <w:t>נלהבתי</w:t>
      </w:r>
      <w:proofErr w:type="spellEnd"/>
      <w:r>
        <w:rPr>
          <w:rtl/>
        </w:rPr>
        <w:t xml:space="preserve"> בהחלט מחשיבות הדבר שעשיתי, וחשתי דחף פנימי להתמיד במלאכה זו שנים על שנים. חשתי שאני עוסק בעניין בעל משמעות היסטורית – שפיכת אור על דורות קודמים </w:t>
      </w:r>
      <w:r>
        <w:rPr>
          <w:rtl/>
        </w:rPr>
        <w:lastRenderedPageBreak/>
        <w:t>של רבנים וראשי ישיבות. בנוגע לערכו של מפעל מסוג זה, שמעתי מבני ר׳ יוסף</w:t>
      </w:r>
      <w:bookmarkStart w:id="29" w:name="_fnr28"/>
      <w:r>
        <w:rPr>
          <w:rStyle w:val="a5"/>
        </w:rPr>
        <w:footnoteReference w:id="28" w:customMarkFollows="0"/>
      </w:r>
      <w:bookmarkEnd w:id="29"/>
      <w:r>
        <w:rPr>
          <w:rtl/>
        </w:rPr>
        <w:t xml:space="preserve"> בשם ר׳ מאיר </w:t>
      </w:r>
      <w:proofErr w:type="spellStart"/>
      <w:r>
        <w:rPr>
          <w:rtl/>
        </w:rPr>
        <w:t>זלוטוביץ</w:t>
      </w:r>
      <w:proofErr w:type="spellEnd"/>
      <w:r>
        <w:rPr>
          <w:rtl/>
        </w:rPr>
        <w:t xml:space="preserve"> על פגישה בין אבי לנדבן יהודי.</w:t>
      </w:r>
    </w:p>
    <w:p w14:paraId="1B0D4F24" w14:textId="77777777" w:rsidR="00AB3647" w:rsidRDefault="00000000" w:rsidP="007923E9">
      <w:pPr>
        <w:spacing w:after="100" w:line="276" w:lineRule="auto"/>
        <w:ind w:firstLine="340"/>
        <w:jc w:val="both"/>
      </w:pPr>
      <w:r>
        <w:rPr>
          <w:rtl/>
        </w:rPr>
        <w:t xml:space="preserve">הלה בא אל אבי לשאול היכן מוטב לו לתת את תמיכתו – לישיבות או למפעל הוצאה לאור מסוים של </w:t>
      </w:r>
      <w:proofErr w:type="spellStart"/>
      <w:r>
        <w:rPr>
          <w:rtl/>
        </w:rPr>
        <w:t>ארטסקרול</w:t>
      </w:r>
      <w:proofErr w:type="spellEnd"/>
      <w:r>
        <w:rPr>
          <w:rtl/>
        </w:rPr>
        <w:t xml:space="preserve">. אבי, שתמך </w:t>
      </w:r>
      <w:proofErr w:type="spellStart"/>
      <w:r>
        <w:rPr>
          <w:rtl/>
        </w:rPr>
        <w:t>בארטסקרול</w:t>
      </w:r>
      <w:proofErr w:type="spellEnd"/>
      <w:r>
        <w:rPr>
          <w:rtl/>
        </w:rPr>
        <w:t xml:space="preserve"> בלב ונפש ופעם כינה את ההוצאה הזאת “ישיבה בלי קירות”, אמר לנדבן לעיין בהקדמת פירוש אור החיים על החומש “עד סופה”, ושם ימצא את התשובה.</w:t>
      </w:r>
    </w:p>
    <w:p w14:paraId="68A1CD5A" w14:textId="77777777" w:rsidR="00AB3647" w:rsidRDefault="00000000" w:rsidP="007923E9">
      <w:pPr>
        <w:spacing w:after="100" w:line="276" w:lineRule="auto"/>
        <w:ind w:firstLine="340"/>
        <w:jc w:val="both"/>
      </w:pPr>
      <w:r>
        <w:rPr>
          <w:rtl/>
        </w:rPr>
        <w:t xml:space="preserve">לימים חזר הנדבן אל אבי ואמר שלא מצא </w:t>
      </w:r>
      <w:proofErr w:type="spellStart"/>
      <w:r>
        <w:rPr>
          <w:rtl/>
        </w:rPr>
        <w:t>שהאור־החיים</w:t>
      </w:r>
      <w:proofErr w:type="spellEnd"/>
      <w:r>
        <w:rPr>
          <w:rtl/>
        </w:rPr>
        <w:t xml:space="preserve"> עוסק בשאלה זו. אז הראה לו אבי שבסוף הקדמתו ממש מודה ר׳ חיים בן עטר לארבעה יהודים עשירים שסיפקו לו את הכסף להדפסת ספרו. הסביר אבי: “ארבעת היהודים הללו מן הסתם תמכו גם בישיבות, אבל מי יודע מה עלה בגורלה של תמיכה זו? בזכות תמיכתם בהדפסת ‘אור החיים’ זכה העולם לספר הקדוש הזה עד עצם היום הזה”.</w:t>
      </w:r>
      <w:bookmarkStart w:id="30" w:name="_fnr29"/>
      <w:r>
        <w:rPr>
          <w:rStyle w:val="a5"/>
        </w:rPr>
        <w:footnoteReference w:id="29" w:customMarkFollows="0"/>
      </w:r>
      <w:bookmarkEnd w:id="30"/>
    </w:p>
    <w:p w14:paraId="224FD528" w14:textId="77777777" w:rsidR="00AB3647" w:rsidRDefault="00000000" w:rsidP="007923E9">
      <w:pPr>
        <w:spacing w:after="100" w:line="276" w:lineRule="auto"/>
        <w:ind w:firstLine="340"/>
        <w:jc w:val="both"/>
      </w:pPr>
      <w:r>
        <w:rPr>
          <w:rtl/>
        </w:rPr>
        <w:t>עוד הניעו אותי דברי מדרש רבה</w:t>
      </w:r>
      <w:bookmarkStart w:id="31" w:name="_fnr30"/>
      <w:r>
        <w:rPr>
          <w:rStyle w:val="a5"/>
        </w:rPr>
        <w:footnoteReference w:id="30" w:customMarkFollows="0"/>
      </w:r>
      <w:bookmarkEnd w:id="31"/>
      <w:r>
        <w:rPr>
          <w:rtl/>
        </w:rPr>
        <w:t xml:space="preserve"> ורש״י,</w:t>
      </w:r>
      <w:bookmarkStart w:id="32" w:name="_fnr31"/>
      <w:r>
        <w:rPr>
          <w:rStyle w:val="a5"/>
        </w:rPr>
        <w:footnoteReference w:id="31" w:customMarkFollows="0"/>
      </w:r>
      <w:bookmarkEnd w:id="32"/>
      <w:r>
        <w:rPr>
          <w:rtl/>
        </w:rPr>
        <w:t xml:space="preserve"> שקובעים קביעות מפליאות בשאלה אילו מצוות כדאי לעשות! המדרש מציב אמת מידה מחמירה ביותר באומרו: “כל מי שהומה </w:t>
      </w:r>
      <w:proofErr w:type="spellStart"/>
      <w:r>
        <w:rPr>
          <w:rtl/>
        </w:rPr>
        <w:t>ומהמה</w:t>
      </w:r>
      <w:proofErr w:type="spellEnd"/>
      <w:r>
        <w:rPr>
          <w:rtl/>
        </w:rPr>
        <w:t xml:space="preserve"> אחר המצוות, ומצוה קבועה לדורות אין לו, מה </w:t>
      </w:r>
      <w:r>
        <w:rPr>
          <w:i/>
          <w:iCs/>
          <w:rtl/>
        </w:rPr>
        <w:t>הנאה</w:t>
      </w:r>
      <w:r>
        <w:rPr>
          <w:rtl/>
        </w:rPr>
        <w:t xml:space="preserve"> יש לו”.</w:t>
      </w:r>
      <w:bookmarkStart w:id="33" w:name="_fnr32"/>
      <w:r>
        <w:rPr>
          <w:rStyle w:val="a5"/>
        </w:rPr>
        <w:footnoteReference w:id="32" w:customMarkFollows="0"/>
      </w:r>
      <w:bookmarkEnd w:id="33"/>
      <w:r>
        <w:rPr>
          <w:rtl/>
        </w:rPr>
        <w:t xml:space="preserve"> אבל מי יכול לדעת באמת אם פעולתה של מצווה שהוא עושה תאריך ימים?</w:t>
      </w:r>
    </w:p>
    <w:p w14:paraId="6BB122BD" w14:textId="77777777" w:rsidR="00AB3647" w:rsidRDefault="00000000" w:rsidP="007923E9">
      <w:pPr>
        <w:spacing w:after="100" w:line="276" w:lineRule="auto"/>
        <w:ind w:firstLine="340"/>
        <w:jc w:val="both"/>
      </w:pPr>
      <w:r>
        <w:rPr>
          <w:rtl/>
        </w:rPr>
        <w:t xml:space="preserve">רש״י, לעומת זאת, המביא את דברי המדרש בלשונו, מרחיב את תחום המצוות הראויות לשבח כשהוא כותב: “ומי אוהב בהמון – מצות רבות; לא תבואה – ואין באחד מהם מצוה </w:t>
      </w:r>
      <w:proofErr w:type="spellStart"/>
      <w:r>
        <w:rPr>
          <w:rtl/>
        </w:rPr>
        <w:t>מסויימת</w:t>
      </w:r>
      <w:proofErr w:type="spellEnd"/>
      <w:r>
        <w:rPr>
          <w:rtl/>
        </w:rPr>
        <w:t xml:space="preserve"> וניכרת”. רש״י מקל עלינו להגיע </w:t>
      </w:r>
      <w:proofErr w:type="spellStart"/>
      <w:r>
        <w:rPr>
          <w:rtl/>
        </w:rPr>
        <w:t>ל“תבואה</w:t>
      </w:r>
      <w:proofErr w:type="spellEnd"/>
      <w:r>
        <w:rPr>
          <w:rtl/>
        </w:rPr>
        <w:t>” – למצווה בעלת ערך – שכן שלא כמדרש אינו מתנה תנאי בדבר קיומו של המעשה הטוב לאורך ימים; די בכך שהמצווה תהיה מסוימת וניכרת בשעת עשייתה.</w:t>
      </w:r>
    </w:p>
    <w:p w14:paraId="058EAA3E" w14:textId="77777777" w:rsidR="00AB3647" w:rsidRDefault="00000000" w:rsidP="007923E9">
      <w:pPr>
        <w:spacing w:after="100" w:line="276" w:lineRule="auto"/>
        <w:ind w:firstLine="340"/>
        <w:jc w:val="both"/>
      </w:pPr>
      <w:r>
        <w:rPr>
          <w:rtl/>
        </w:rPr>
        <w:t>תקוותי ותפילתי שאם יקרה שספר זה לא יעמוד באמת המידה של המדרש ולא יהיה “קבוע לדורות”, לפחות יהיה “מסוים וניכר” בימינו ובדורנו, ויסב לקהל קוראיו בני זמנו “הנאה” רוחנית כשם שהוא מסב למחברו.</w:t>
      </w:r>
    </w:p>
    <w:p w14:paraId="4D25D07C" w14:textId="77777777" w:rsidR="00AB3647" w:rsidRDefault="00000000" w:rsidP="007923E9">
      <w:pPr>
        <w:pStyle w:val="2"/>
        <w:spacing w:line="276" w:lineRule="auto"/>
      </w:pPr>
      <w:r>
        <w:t>ב. תוכן</w:t>
      </w:r>
    </w:p>
    <w:p w14:paraId="3EBBF538" w14:textId="77777777" w:rsidR="00AB3647" w:rsidRDefault="00000000" w:rsidP="007923E9">
      <w:pPr>
        <w:spacing w:after="100" w:line="276" w:lineRule="auto"/>
        <w:ind w:firstLine="340"/>
        <w:jc w:val="both"/>
      </w:pPr>
      <w:r>
        <w:rPr>
          <w:rtl/>
        </w:rPr>
        <w:t xml:space="preserve">בחיבור ספר זה קיבלתי בדרך כלל כמהימנים סיפורים על דורות קודמים גם </w:t>
      </w:r>
      <w:proofErr w:type="spellStart"/>
      <w:r>
        <w:rPr>
          <w:rtl/>
        </w:rPr>
        <w:t>כשלא</w:t>
      </w:r>
      <w:proofErr w:type="spellEnd"/>
      <w:r>
        <w:rPr>
          <w:rtl/>
        </w:rPr>
        <w:t xml:space="preserve"> נמסרו מפי אבי או מפי אדם אחר מהימן במיוחד. כמובן, נרתעתי מלהסתמך על דיווחים שמקורם באנשים שלדעתי לא היו מסוגלים לשפוט מאורעות כראוי, אבל לא חשדתי באיש שהוא משקר </w:t>
      </w:r>
      <w:r>
        <w:rPr>
          <w:rtl/>
        </w:rPr>
        <w:lastRenderedPageBreak/>
        <w:t>במתכוון. כיוצא בזה, אלא אם כן היה הכותב מגמתי בעליל, הנחתי שעובדות שנדפסו מהימנות.</w:t>
      </w:r>
    </w:p>
    <w:p w14:paraId="4BBB4CD2" w14:textId="77777777" w:rsidR="00AB3647" w:rsidRDefault="00000000" w:rsidP="007923E9">
      <w:pPr>
        <w:spacing w:after="100" w:line="276" w:lineRule="auto"/>
        <w:ind w:firstLine="340"/>
        <w:jc w:val="both"/>
      </w:pPr>
      <w:r>
        <w:rPr>
          <w:rtl/>
        </w:rPr>
        <w:t xml:space="preserve">אמון זה בבני אדם יש בי אף על פי שר׳ </w:t>
      </w:r>
      <w:proofErr w:type="spellStart"/>
      <w:r>
        <w:rPr>
          <w:rtl/>
        </w:rPr>
        <w:t>וועלוול</w:t>
      </w:r>
      <w:proofErr w:type="spellEnd"/>
      <w:r>
        <w:rPr>
          <w:rtl/>
        </w:rPr>
        <w:t xml:space="preserve"> </w:t>
      </w:r>
      <w:proofErr w:type="spellStart"/>
      <w:r>
        <w:rPr>
          <w:rtl/>
        </w:rPr>
        <w:t>קרצר</w:t>
      </w:r>
      <w:bookmarkStart w:id="34" w:name="_fnr33"/>
      <w:proofErr w:type="spellEnd"/>
      <w:r>
        <w:rPr>
          <w:rStyle w:val="a5"/>
        </w:rPr>
        <w:footnoteReference w:id="33" w:customMarkFollows="0"/>
      </w:r>
      <w:bookmarkEnd w:id="34"/>
      <w:r>
        <w:rPr>
          <w:rtl/>
        </w:rPr>
        <w:t xml:space="preserve"> דיווח שהרבנית </w:t>
      </w:r>
      <w:proofErr w:type="spellStart"/>
      <w:r>
        <w:rPr>
          <w:rtl/>
        </w:rPr>
        <w:t>פייגל</w:t>
      </w:r>
      <w:proofErr w:type="spellEnd"/>
      <w:r>
        <w:rPr>
          <w:rtl/>
        </w:rPr>
        <w:t xml:space="preserve"> זקס, בתו הצעירה ביותר של </w:t>
      </w:r>
      <w:proofErr w:type="spellStart"/>
      <w:r>
        <w:rPr>
          <w:rtl/>
        </w:rPr>
        <w:t>החפץ־חיים</w:t>
      </w:r>
      <w:proofErr w:type="spellEnd"/>
      <w:r>
        <w:rPr>
          <w:rtl/>
        </w:rPr>
        <w:t>, אמרה לו: “שמונים אחוז ממה שמספרים על [אבי] אינו אמת”. אין לי אלא להניח שכדי להבליט בחריפות את הרעיון ש</w:t>
      </w:r>
      <w:r>
        <w:rPr>
          <w:i/>
          <w:iCs/>
          <w:rtl/>
        </w:rPr>
        <w:t>לא כל</w:t>
      </w:r>
      <w:r>
        <w:rPr>
          <w:rtl/>
        </w:rPr>
        <w:t xml:space="preserve"> מה שמספרים על ר׳ </w:t>
      </w:r>
      <w:proofErr w:type="spellStart"/>
      <w:r>
        <w:rPr>
          <w:rtl/>
        </w:rPr>
        <w:t>ישראל־מאיר</w:t>
      </w:r>
      <w:proofErr w:type="spellEnd"/>
      <w:r>
        <w:rPr>
          <w:rtl/>
        </w:rPr>
        <w:t xml:space="preserve"> כגן, מחבר “חפץ חיים”, הוא אמת, הגזימה בתו באחוז הדברים שאינם אמת. הסיבה שציינתי בעקביות את מקורם של הדיווחים על מאורעות ופרשיות היא לאפשר לקורא לפקפק בשיפוטי ולהחליט בעצמו אם סיפור מהימן אם לאו.</w:t>
      </w:r>
    </w:p>
    <w:p w14:paraId="6B7EE835" w14:textId="77777777" w:rsidR="00AB3647" w:rsidRDefault="00000000" w:rsidP="007923E9">
      <w:pPr>
        <w:spacing w:after="100" w:line="276" w:lineRule="auto"/>
        <w:ind w:firstLine="340"/>
        <w:jc w:val="both"/>
      </w:pPr>
      <w:r>
        <w:rPr>
          <w:rtl/>
        </w:rPr>
        <w:t>אל יתפלא הקורא שבמחקרי לספר מסוג זה השתמשתי גם בחיבוריהם של סופרים שאינם דתיים – ואפילו של נוכרים – וציטטתי מהם.</w:t>
      </w:r>
      <w:bookmarkStart w:id="35" w:name="_fnr34"/>
      <w:r>
        <w:rPr>
          <w:rStyle w:val="a5"/>
        </w:rPr>
        <w:footnoteReference w:id="34" w:customMarkFollows="0"/>
      </w:r>
      <w:bookmarkEnd w:id="35"/>
      <w:r>
        <w:rPr>
          <w:rtl/>
        </w:rPr>
        <w:t xml:space="preserve"> נהגתי לפי כללו של הרמב״ם:</w:t>
      </w:r>
      <w:bookmarkStart w:id="36" w:name="_fnr35"/>
      <w:r>
        <w:rPr>
          <w:rStyle w:val="a5"/>
        </w:rPr>
        <w:footnoteReference w:id="35" w:customMarkFollows="0"/>
      </w:r>
      <w:bookmarkEnd w:id="36"/>
      <w:r>
        <w:rPr>
          <w:rtl/>
        </w:rPr>
        <w:t xml:space="preserve"> “שמע האמת ממי שאמרה”.</w:t>
      </w:r>
      <w:bookmarkStart w:id="37" w:name="_fnr36"/>
      <w:r>
        <w:rPr>
          <w:rStyle w:val="a5"/>
        </w:rPr>
        <w:footnoteReference w:id="36" w:customMarkFollows="0"/>
      </w:r>
      <w:bookmarkEnd w:id="37"/>
      <w:r>
        <w:rPr>
          <w:rtl/>
        </w:rPr>
        <w:t xml:space="preserve"> אני סמוך ובטוח שהקורא יסלח לי גם כשאני מצטט מרואיין המביא דברים בשם אדם אחר, בלי שחזרתי אל אותו אדם לאישור. גם זה חלק בלתי נפרד מטבעי, הנוטה לתת אמון בבריות.</w:t>
      </w:r>
    </w:p>
    <w:p w14:paraId="7E9F23E0" w14:textId="77777777" w:rsidR="00AB3647" w:rsidRDefault="00000000" w:rsidP="007923E9">
      <w:pPr>
        <w:spacing w:after="100" w:line="276" w:lineRule="auto"/>
        <w:ind w:firstLine="340"/>
        <w:jc w:val="both"/>
      </w:pPr>
      <w:r>
        <w:rPr>
          <w:rtl/>
        </w:rPr>
        <w:t>ייתכן שיש בספר זה סיפורים הידועים לקוראים אחדים – ולבני משפחותיהם של גיבורי הסיפורים – שאני מבין אותם אחרת מהם. למשל, בני ר׳ יוסף סיפר לי</w:t>
      </w:r>
      <w:bookmarkStart w:id="38" w:name="_fnr37"/>
      <w:r>
        <w:rPr>
          <w:rStyle w:val="a5"/>
        </w:rPr>
        <w:footnoteReference w:id="37" w:customMarkFollows="0"/>
      </w:r>
      <w:bookmarkEnd w:id="38"/>
      <w:r>
        <w:rPr>
          <w:rtl/>
        </w:rPr>
        <w:t xml:space="preserve"> שר׳ שלמה פישר סיפר לו כיצד התרעם ר׳ יצחק </w:t>
      </w:r>
      <w:proofErr w:type="spellStart"/>
      <w:r>
        <w:rPr>
          <w:rtl/>
        </w:rPr>
        <w:t>קוליץ</w:t>
      </w:r>
      <w:proofErr w:type="spellEnd"/>
      <w:r>
        <w:rPr>
          <w:rtl/>
        </w:rPr>
        <w:t>, רבה של ירושלים, על תגובתו של “ראש ישיבה בן זמננו” לסיפור ששמע, וזה הסיפור:</w:t>
      </w:r>
    </w:p>
    <w:p w14:paraId="3A30347F" w14:textId="77777777" w:rsidR="00AB3647" w:rsidRDefault="00000000" w:rsidP="007923E9">
      <w:pPr>
        <w:spacing w:after="100" w:line="276" w:lineRule="auto"/>
        <w:ind w:firstLine="340"/>
        <w:jc w:val="both"/>
      </w:pPr>
      <w:r>
        <w:rPr>
          <w:rtl/>
        </w:rPr>
        <w:t xml:space="preserve">ר׳ </w:t>
      </w:r>
      <w:proofErr w:type="spellStart"/>
      <w:r>
        <w:rPr>
          <w:rtl/>
        </w:rPr>
        <w:t>איסר־זלמן</w:t>
      </w:r>
      <w:proofErr w:type="spellEnd"/>
      <w:r>
        <w:rPr>
          <w:rtl/>
        </w:rPr>
        <w:t xml:space="preserve"> מלצר עלה במדרגות ביתו ושמע את עוזרת הבית שרה לעצמה בשעה ששטפה את הרצפה. ר׳ </w:t>
      </w:r>
      <w:proofErr w:type="spellStart"/>
      <w:r>
        <w:rPr>
          <w:rtl/>
        </w:rPr>
        <w:t>איסר־זלמן</w:t>
      </w:r>
      <w:proofErr w:type="spellEnd"/>
      <w:r>
        <w:rPr>
          <w:rtl/>
        </w:rPr>
        <w:t xml:space="preserve"> ירד בחזרה לרחוב והתהלך שם שעה ארוכה עד שסיימה את עבודתה, ואז שב הביתה. ראש הישיבה הבין את מעשהו של ר׳ </w:t>
      </w:r>
      <w:proofErr w:type="spellStart"/>
      <w:r>
        <w:rPr>
          <w:rtl/>
        </w:rPr>
        <w:t>איסר־זלמן</w:t>
      </w:r>
      <w:proofErr w:type="spellEnd"/>
      <w:r>
        <w:rPr>
          <w:rtl/>
        </w:rPr>
        <w:t xml:space="preserve"> כעדות לזהירותו הרבה מפני קול באישה במשך הזמן שהיה נדרש לו ללכת מאמצע המדרגות ועד כניסתו לביתו – שאז ודאי הייתה האישה מפסיקה לשיר.</w:t>
      </w:r>
    </w:p>
    <w:p w14:paraId="665ACA2B" w14:textId="77777777" w:rsidR="00AB3647" w:rsidRDefault="00000000" w:rsidP="007923E9">
      <w:pPr>
        <w:spacing w:after="100" w:line="276" w:lineRule="auto"/>
        <w:ind w:firstLine="340"/>
        <w:jc w:val="both"/>
      </w:pPr>
      <w:r>
        <w:rPr>
          <w:rtl/>
        </w:rPr>
        <w:t xml:space="preserve">“לאמיתו של דבר”, אמר הרב </w:t>
      </w:r>
      <w:proofErr w:type="spellStart"/>
      <w:r>
        <w:rPr>
          <w:rtl/>
        </w:rPr>
        <w:t>קוליץ</w:t>
      </w:r>
      <w:proofErr w:type="spellEnd"/>
      <w:r>
        <w:rPr>
          <w:rtl/>
        </w:rPr>
        <w:t xml:space="preserve">, “ר׳ </w:t>
      </w:r>
      <w:proofErr w:type="spellStart"/>
      <w:r>
        <w:rPr>
          <w:rtl/>
        </w:rPr>
        <w:t>איסר־זלמן</w:t>
      </w:r>
      <w:proofErr w:type="spellEnd"/>
      <w:r>
        <w:rPr>
          <w:rtl/>
        </w:rPr>
        <w:t xml:space="preserve"> חשש שכשייכנס לבית, האישה, שנהנתה לשיר בשעת עבודתה, תצטער על שתיאלץ להפסיק לשיר למשך שאר זמן עבודתה”. השווה גם את הביוגרפיה המוסמכת של ר׳ </w:t>
      </w:r>
      <w:proofErr w:type="spellStart"/>
      <w:r>
        <w:rPr>
          <w:rtl/>
        </w:rPr>
        <w:t>איסר־זלמן</w:t>
      </w:r>
      <w:proofErr w:type="spellEnd"/>
      <w:r>
        <w:rPr>
          <w:rtl/>
        </w:rPr>
        <w:t xml:space="preserve"> מלצר, “בדרך עץ החיים”,</w:t>
      </w:r>
      <w:bookmarkStart w:id="39" w:name="_fnr38"/>
      <w:r>
        <w:rPr>
          <w:rStyle w:val="a5"/>
        </w:rPr>
        <w:footnoteReference w:id="38" w:customMarkFollows="0"/>
      </w:r>
      <w:bookmarkEnd w:id="39"/>
      <w:r>
        <w:rPr>
          <w:rtl/>
        </w:rPr>
        <w:t xml:space="preserve"> שבה מתעד נכדו של אותו צדיק את הסיפור כפי שאירע, וכותב שסבו עצמו הסביר את מעשהו בלי להזכיר </w:t>
      </w:r>
      <w:r>
        <w:rPr>
          <w:rtl/>
        </w:rPr>
        <w:lastRenderedPageBreak/>
        <w:t xml:space="preserve">כלל קול באישה; ואף מסופר שם שר׳ </w:t>
      </w:r>
      <w:proofErr w:type="spellStart"/>
      <w:r>
        <w:rPr>
          <w:rtl/>
        </w:rPr>
        <w:t>איסר־זלמן</w:t>
      </w:r>
      <w:proofErr w:type="spellEnd"/>
      <w:r>
        <w:rPr>
          <w:rtl/>
        </w:rPr>
        <w:t xml:space="preserve"> התהלך </w:t>
      </w:r>
      <w:r>
        <w:rPr>
          <w:i/>
          <w:iCs/>
          <w:rtl/>
        </w:rPr>
        <w:t>במרפסת</w:t>
      </w:r>
      <w:r>
        <w:rPr>
          <w:rtl/>
        </w:rPr>
        <w:t xml:space="preserve"> שמחוץ לדלת ביתו ממש – מקום שבו כנראה עדיין יכול היה לשמוע את השירה (אילו בחר להאזין)!</w:t>
      </w:r>
      <w:bookmarkStart w:id="40" w:name="_fnr39"/>
      <w:r>
        <w:rPr>
          <w:rStyle w:val="a5"/>
        </w:rPr>
        <w:footnoteReference w:id="39" w:customMarkFollows="0"/>
      </w:r>
      <w:bookmarkEnd w:id="40"/>
    </w:p>
    <w:p w14:paraId="440AD240" w14:textId="77777777" w:rsidR="00AB3647" w:rsidRDefault="00000000" w:rsidP="007923E9">
      <w:pPr>
        <w:spacing w:after="100" w:line="276" w:lineRule="auto"/>
        <w:ind w:firstLine="340"/>
        <w:jc w:val="both"/>
      </w:pPr>
      <w:r>
        <w:rPr>
          <w:rtl/>
        </w:rPr>
        <w:t xml:space="preserve">ר׳ יצחק </w:t>
      </w:r>
      <w:proofErr w:type="spellStart"/>
      <w:r>
        <w:rPr>
          <w:rtl/>
        </w:rPr>
        <w:t>קוליץ</w:t>
      </w:r>
      <w:proofErr w:type="spellEnd"/>
      <w:r>
        <w:rPr>
          <w:rtl/>
        </w:rPr>
        <w:t xml:space="preserve"> רתח על פירושו המוטעה של אותו ראש ישיבה למניעו של ר׳ </w:t>
      </w:r>
      <w:proofErr w:type="spellStart"/>
      <w:r>
        <w:rPr>
          <w:rtl/>
        </w:rPr>
        <w:t>איסר־זלמן</w:t>
      </w:r>
      <w:proofErr w:type="spellEnd"/>
      <w:r>
        <w:rPr>
          <w:rtl/>
        </w:rPr>
        <w:t xml:space="preserve">, שכן בפירושו השגוי החמיץ את התחשבותו יוצאת הדופן של ר׳ </w:t>
      </w:r>
      <w:proofErr w:type="spellStart"/>
      <w:r>
        <w:rPr>
          <w:rtl/>
        </w:rPr>
        <w:t>איסר־זלמן</w:t>
      </w:r>
      <w:proofErr w:type="spellEnd"/>
      <w:r>
        <w:rPr>
          <w:rtl/>
        </w:rPr>
        <w:t xml:space="preserve"> בבני אדם. במקרה זה הבנתו של אדם אחד את המאורע הייתה שונה מאוד מהבנתו של אחר. במקרים אחרים ייתכן שההבדלים בפירוש זניחים, אבל גם אז הם קיימים.</w:t>
      </w:r>
    </w:p>
    <w:p w14:paraId="6E30BA0A" w14:textId="77777777" w:rsidR="00AB3647" w:rsidRDefault="00000000" w:rsidP="007923E9">
      <w:pPr>
        <w:spacing w:after="100" w:line="276" w:lineRule="auto"/>
        <w:ind w:firstLine="340"/>
        <w:jc w:val="both"/>
      </w:pPr>
      <w:r>
        <w:rPr>
          <w:rtl/>
        </w:rPr>
        <w:t xml:space="preserve">מטבע הדברים, גם הקורא עשוי להעריך את המאורעות אחרת ממני, אבל אני חש שמאחר שגדלתי בביתו של גדול בישראל, כישוריי להסיק מסקנות מסיפורי גדולים טובים לפחות כשל כל אדם אחר. לא זו בלבד שהקדשתי מחשבה רבה להבנה בהירה של הפרשיות שהעליתי על הכתב, אלא שבכל מקום שראיתי את פירושיי כשנויים במחלוקת ופתוחים לביאורו של הקורא עצמו, הרביתי להשתמש במסקנותיי בביטויים כגון “מציע”, “מעלה”, “סבור” </w:t>
      </w:r>
      <w:proofErr w:type="spellStart"/>
      <w:r>
        <w:rPr>
          <w:rtl/>
        </w:rPr>
        <w:t>ו“משער</w:t>
      </w:r>
      <w:proofErr w:type="spellEnd"/>
      <w:r>
        <w:rPr>
          <w:rtl/>
        </w:rPr>
        <w:t>”.</w:t>
      </w:r>
    </w:p>
    <w:p w14:paraId="5E5DF4D6" w14:textId="77777777" w:rsidR="00AB3647" w:rsidRDefault="00000000" w:rsidP="007923E9">
      <w:pPr>
        <w:spacing w:after="100" w:line="276" w:lineRule="auto"/>
        <w:ind w:firstLine="340"/>
        <w:jc w:val="both"/>
      </w:pPr>
      <w:r>
        <w:rPr>
          <w:rtl/>
        </w:rPr>
        <w:t xml:space="preserve">בהקדמתו </w:t>
      </w:r>
      <w:proofErr w:type="spellStart"/>
      <w:r>
        <w:rPr>
          <w:rtl/>
        </w:rPr>
        <w:t>ל“מקור</w:t>
      </w:r>
      <w:proofErr w:type="spellEnd"/>
      <w:r>
        <w:rPr>
          <w:rtl/>
        </w:rPr>
        <w:t xml:space="preserve"> ברוך”</w:t>
      </w:r>
      <w:bookmarkStart w:id="41" w:name="_fnr40"/>
      <w:r>
        <w:rPr>
          <w:rStyle w:val="a5"/>
        </w:rPr>
        <w:footnoteReference w:id="40" w:customMarkFollows="0"/>
      </w:r>
      <w:bookmarkEnd w:id="41"/>
      <w:r>
        <w:rPr>
          <w:rtl/>
        </w:rPr>
        <w:t xml:space="preserve"> כותב ר׳ ברוך אפשטיין: “ותמיד לא זז מרעיוני, כי לא כל דבר העולה ברעיון ראוי לדבר, ולא כל מה שידובר ראוי </w:t>
      </w:r>
      <w:proofErr w:type="spellStart"/>
      <w:r>
        <w:rPr>
          <w:rtl/>
        </w:rPr>
        <w:t>להכתב</w:t>
      </w:r>
      <w:proofErr w:type="spellEnd"/>
      <w:r>
        <w:rPr>
          <w:rtl/>
        </w:rPr>
        <w:t xml:space="preserve">, ולא כל הכתוב ראוי לבא בדפוס”. הרב אפשטיין טוען שנהג לפי כלל זה בחיבור ספרו. הפתגם הזה נמנה גם בין אמרותיו של ר׳ ישראל </w:t>
      </w:r>
      <w:proofErr w:type="spellStart"/>
      <w:r>
        <w:rPr>
          <w:rtl/>
        </w:rPr>
        <w:t>סלנטר</w:t>
      </w:r>
      <w:proofErr w:type="spellEnd"/>
      <w:r>
        <w:rPr>
          <w:rtl/>
        </w:rPr>
        <w:t>.</w:t>
      </w:r>
      <w:bookmarkStart w:id="42" w:name="_fnr41"/>
      <w:r>
        <w:rPr>
          <w:rStyle w:val="a5"/>
        </w:rPr>
        <w:footnoteReference w:id="41" w:customMarkFollows="0"/>
      </w:r>
      <w:bookmarkEnd w:id="42"/>
    </w:p>
    <w:p w14:paraId="5586A276" w14:textId="77777777" w:rsidR="00AB3647" w:rsidRDefault="00000000" w:rsidP="007923E9">
      <w:pPr>
        <w:spacing w:after="100" w:line="276" w:lineRule="auto"/>
        <w:ind w:firstLine="340"/>
        <w:jc w:val="both"/>
      </w:pPr>
      <w:r>
        <w:rPr>
          <w:rtl/>
        </w:rPr>
        <w:t xml:space="preserve">מצאתי מקור מוקדם יותר לפתגם זה: </w:t>
      </w:r>
      <w:proofErr w:type="spellStart"/>
      <w:r>
        <w:rPr>
          <w:rtl/>
        </w:rPr>
        <w:t>ב“כל</w:t>
      </w:r>
      <w:proofErr w:type="spellEnd"/>
      <w:r>
        <w:rPr>
          <w:rtl/>
        </w:rPr>
        <w:t xml:space="preserve"> כתבי חפץ חיים השלם”</w:t>
      </w:r>
      <w:bookmarkStart w:id="43" w:name="_fnr42"/>
      <w:r>
        <w:rPr>
          <w:rStyle w:val="a5"/>
        </w:rPr>
        <w:footnoteReference w:id="42" w:customMarkFollows="0"/>
      </w:r>
      <w:bookmarkEnd w:id="43"/>
      <w:r>
        <w:rPr>
          <w:rtl/>
        </w:rPr>
        <w:t xml:space="preserve"> פותח בנו של </w:t>
      </w:r>
      <w:proofErr w:type="spellStart"/>
      <w:r>
        <w:rPr>
          <w:rtl/>
        </w:rPr>
        <w:t>החפץ־חיים</w:t>
      </w:r>
      <w:proofErr w:type="spellEnd"/>
      <w:r>
        <w:rPr>
          <w:rtl/>
        </w:rPr>
        <w:t xml:space="preserve"> את תולדות אביו בכך שהוא מביא שאביו היה חוזר על פתגם זה “לכאורה בשם ר׳ רפאל מהמבורג”, תלמידו של </w:t>
      </w:r>
      <w:proofErr w:type="spellStart"/>
      <w:r>
        <w:rPr>
          <w:rtl/>
        </w:rPr>
        <w:t>השאגת־אריה</w:t>
      </w:r>
      <w:proofErr w:type="spellEnd"/>
      <w:r>
        <w:rPr>
          <w:rtl/>
        </w:rPr>
        <w:t xml:space="preserve">. גם בנו של </w:t>
      </w:r>
      <w:proofErr w:type="spellStart"/>
      <w:r>
        <w:rPr>
          <w:rtl/>
        </w:rPr>
        <w:t>החפץ־חיים</w:t>
      </w:r>
      <w:proofErr w:type="spellEnd"/>
      <w:r>
        <w:rPr>
          <w:rtl/>
        </w:rPr>
        <w:t xml:space="preserve"> טוען שעיקרון זה הוא שהנחה אותו כשהשמיט “כמה מן הסיפורים המעטים על ימי נעוריו של (אביו), שנפלטו מדי פעם מפי (אביו), ואשר כולם </w:t>
      </w:r>
      <w:r>
        <w:rPr>
          <w:i/>
          <w:iCs/>
          <w:rtl/>
        </w:rPr>
        <w:t>אי אפשר</w:t>
      </w:r>
      <w:r>
        <w:rPr>
          <w:rtl/>
        </w:rPr>
        <w:t xml:space="preserve"> (ההדגשה שלי) להוציאם לרשות הרבים”.</w:t>
      </w:r>
    </w:p>
    <w:p w14:paraId="29137836" w14:textId="77777777" w:rsidR="00AB3647" w:rsidRDefault="00000000" w:rsidP="007923E9">
      <w:pPr>
        <w:spacing w:after="100" w:line="276" w:lineRule="auto"/>
        <w:ind w:firstLine="340"/>
        <w:jc w:val="both"/>
      </w:pPr>
      <w:r>
        <w:rPr>
          <w:rtl/>
        </w:rPr>
        <w:t xml:space="preserve">אני משער שהסינון של הדברים שמפרסמים נובעת מן החשש שמא ייפגעו רגשותיו של מישהו מגילויים שלא עברו צנזורה. כנראה לחשש זה רמז בנו של </w:t>
      </w:r>
      <w:proofErr w:type="spellStart"/>
      <w:r>
        <w:rPr>
          <w:rtl/>
        </w:rPr>
        <w:t>החפץ־חיים</w:t>
      </w:r>
      <w:proofErr w:type="spellEnd"/>
      <w:r>
        <w:rPr>
          <w:rtl/>
        </w:rPr>
        <w:t xml:space="preserve"> כשכתב שסיפורים מסוימים </w:t>
      </w:r>
      <w:r>
        <w:rPr>
          <w:i/>
          <w:iCs/>
          <w:rtl/>
        </w:rPr>
        <w:t>אי אפשר</w:t>
      </w:r>
      <w:r>
        <w:rPr>
          <w:rtl/>
        </w:rPr>
        <w:t xml:space="preserve"> לפרסם.</w:t>
      </w:r>
    </w:p>
    <w:p w14:paraId="6AF7864F" w14:textId="43BC6AE9" w:rsidR="00AB3647" w:rsidRDefault="00000000" w:rsidP="007923E9">
      <w:pPr>
        <w:spacing w:after="100" w:line="276" w:lineRule="auto"/>
        <w:ind w:firstLine="340"/>
        <w:jc w:val="both"/>
      </w:pPr>
      <w:r>
        <w:rPr>
          <w:rtl/>
        </w:rPr>
        <w:lastRenderedPageBreak/>
        <w:t>אשר לספרי, עם זאת, עליי לומר שבכרך הראשון הזה, העוסק בעניינים שאירעו לפני מאה שנה, לא שקלתי הרבה אם להסתיר עניינים שהיו רגישים באותם ימים. הטעם לכך: כשאבי דיבר על הפרשיות הרחוקות הללו, הוא החיל עליהן במפורש את הפסוק</w:t>
      </w:r>
      <w:bookmarkStart w:id="44" w:name="_fnr43"/>
      <w:r>
        <w:rPr>
          <w:rStyle w:val="a5"/>
        </w:rPr>
        <w:footnoteReference w:id="43" w:customMarkFollows="0"/>
      </w:r>
      <w:bookmarkEnd w:id="44"/>
      <w:r>
        <w:rPr>
          <w:rtl/>
        </w:rPr>
        <w:t xml:space="preserve"> “גם שנאתם גם קנאתם כבר אבדה”</w:t>
      </w:r>
      <w:bookmarkStart w:id="45" w:name="_fnr44"/>
      <w:r>
        <w:rPr>
          <w:rStyle w:val="a5"/>
        </w:rPr>
        <w:footnoteReference w:id="44" w:customMarkFollows="0"/>
      </w:r>
      <w:bookmarkEnd w:id="45"/>
      <w:r>
        <w:rPr>
          <w:rtl/>
        </w:rPr>
        <w:t xml:space="preserve"> (שנאתם וקנאתם של גיבורי הסיפורים) – ראה פרק 4, </w:t>
      </w:r>
      <w:r>
        <w:rPr>
          <w:rtl/>
        </w:rPr>
        <w:fldChar w:fldCharType="begin" w:dirty="true"/>
      </w:r>
      <w:r>
        <w:rPr>
          <w:rtl/>
        </w:rPr>
        <w:instrText xml:space="preserve"> REF b4_excB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 למעשה, אבי סבר שחלוף חמישים שנה בלבד – יובל (שהתורה מכנה “לעולם”) – יש בו די השפעה מצטברת כדי למחות עולם אחד ולהעמיד חברה חדשה תחתיו.</w:t>
      </w:r>
      <w:bookmarkStart w:id="46" w:name="_fnr45"/>
      <w:r>
        <w:rPr>
          <w:rStyle w:val="a5"/>
        </w:rPr>
        <w:footnoteReference w:id="45" w:customMarkFollows="0"/>
      </w:r>
      <w:bookmarkEnd w:id="46"/>
    </w:p>
    <w:p w14:paraId="34E8649C" w14:textId="77777777" w:rsidR="00AB3647" w:rsidRDefault="00000000" w:rsidP="007923E9">
      <w:pPr>
        <w:spacing w:after="100" w:line="276" w:lineRule="auto"/>
        <w:ind w:firstLine="340"/>
        <w:jc w:val="both"/>
      </w:pPr>
      <w:r>
        <w:rPr>
          <w:rtl/>
        </w:rPr>
        <w:t>ברוח זו לא ראיתי צורך להדחיק את מחשבותיי; ובמקום להניח לסיסמתו של ר׳ רפאל המבורגר לחסום את דרכי, השתמשתי בפסוק המקראי כדי לפנות את הדרך לגילויים מעניינים, מחכימים ומחנכים על עולם שחלף. אין ספק שבין קוראי ספר זה יש צאצאים של אותם גדולי העבר, זיכרונם לברכה, הנזכרים בו. תפילתי שיהיו נבונים דיים להעריך את חולשתם האנושית של אבותיהם לצד גדולתם – ומאחר שמוצאם מאבות גדולים, ראוי שיהיו כאלה.</w:t>
      </w:r>
      <w:bookmarkStart w:id="47" w:name="_fnr46"/>
      <w:r>
        <w:rPr>
          <w:rStyle w:val="a5"/>
        </w:rPr>
        <w:footnoteReference w:id="46" w:customMarkFollows="0"/>
      </w:r>
      <w:bookmarkEnd w:id="47"/>
    </w:p>
    <w:p w14:paraId="52687B54" w14:textId="77777777" w:rsidR="00AB3647" w:rsidRDefault="00000000" w:rsidP="007923E9">
      <w:pPr>
        <w:spacing w:after="100" w:line="276" w:lineRule="auto"/>
        <w:ind w:firstLine="340"/>
        <w:jc w:val="both"/>
      </w:pPr>
      <w:r>
        <w:rPr>
          <w:rtl/>
        </w:rPr>
        <w:t xml:space="preserve">נתקלתי במחלוקת בולטת בין שני אחים מפורסמים בנושא הסיפורים על גדולי הדורות הקודמים. ר׳ שמעון </w:t>
      </w:r>
      <w:proofErr w:type="spellStart"/>
      <w:r>
        <w:rPr>
          <w:rtl/>
        </w:rPr>
        <w:t>שוואב</w:t>
      </w:r>
      <w:proofErr w:type="spellEnd"/>
      <w:r>
        <w:rPr>
          <w:rtl/>
        </w:rPr>
        <w:t xml:space="preserve"> בספרו “כתבים נבחרים”</w:t>
      </w:r>
      <w:bookmarkStart w:id="48" w:name="_fnr47"/>
      <w:r>
        <w:rPr>
          <w:rStyle w:val="a5"/>
        </w:rPr>
        <w:footnoteReference w:id="47" w:customMarkFollows="0"/>
      </w:r>
      <w:bookmarkEnd w:id="48"/>
      <w:r>
        <w:rPr>
          <w:rtl/>
        </w:rPr>
        <w:t xml:space="preserve"> מגדיר את ההבדל בין היסטוריה </w:t>
      </w:r>
      <w:proofErr w:type="spellStart"/>
      <w:r>
        <w:rPr>
          <w:rtl/>
        </w:rPr>
        <w:t>ל“סיפור</w:t>
      </w:r>
      <w:proofErr w:type="spellEnd"/>
      <w:r>
        <w:rPr>
          <w:rtl/>
        </w:rPr>
        <w:t xml:space="preserve"> סיפורים” בכך שהראשונה חייבת להיות “אמיתית, ואינה חסה אפילו על </w:t>
      </w:r>
      <w:proofErr w:type="spellStart"/>
      <w:r>
        <w:rPr>
          <w:rtl/>
        </w:rPr>
        <w:t>כשלונותיהם</w:t>
      </w:r>
      <w:proofErr w:type="spellEnd"/>
      <w:r>
        <w:rPr>
          <w:rtl/>
        </w:rPr>
        <w:t xml:space="preserve"> של הצדיקים”.</w:t>
      </w:r>
    </w:p>
    <w:p w14:paraId="0D502A5F" w14:textId="77777777" w:rsidR="00AB3647" w:rsidRDefault="00000000" w:rsidP="007923E9">
      <w:pPr>
        <w:spacing w:after="100" w:line="276" w:lineRule="auto"/>
        <w:ind w:firstLine="340"/>
        <w:jc w:val="both"/>
      </w:pPr>
      <w:r>
        <w:rPr>
          <w:rtl/>
        </w:rPr>
        <w:t xml:space="preserve">הרב </w:t>
      </w:r>
      <w:proofErr w:type="spellStart"/>
      <w:r>
        <w:rPr>
          <w:rtl/>
        </w:rPr>
        <w:t>שוואב</w:t>
      </w:r>
      <w:proofErr w:type="spellEnd"/>
      <w:r>
        <w:rPr>
          <w:rtl/>
        </w:rPr>
        <w:t xml:space="preserve"> טוען ברהיטות </w:t>
      </w:r>
      <w:proofErr w:type="spellStart"/>
      <w:r>
        <w:rPr>
          <w:rtl/>
        </w:rPr>
        <w:t>ש“תמונה</w:t>
      </w:r>
      <w:proofErr w:type="spellEnd"/>
      <w:r>
        <w:rPr>
          <w:rtl/>
        </w:rPr>
        <w:t xml:space="preserve"> היסטורית ריאליסטית” תחשוף “ליקויים” </w:t>
      </w:r>
      <w:proofErr w:type="spellStart"/>
      <w:r>
        <w:rPr>
          <w:rtl/>
        </w:rPr>
        <w:t>ש“בצדק</w:t>
      </w:r>
      <w:proofErr w:type="spellEnd"/>
      <w:r>
        <w:rPr>
          <w:rtl/>
        </w:rPr>
        <w:t xml:space="preserve"> יכעיסו אנשים רבים”, </w:t>
      </w:r>
      <w:proofErr w:type="spellStart"/>
      <w:r>
        <w:rPr>
          <w:rtl/>
        </w:rPr>
        <w:t>וש“אין</w:t>
      </w:r>
      <w:proofErr w:type="spellEnd"/>
      <w:r>
        <w:rPr>
          <w:rtl/>
        </w:rPr>
        <w:t xml:space="preserve"> שום תועלת מוסרית בשימור” תמונה כזאת; לדבריו עלינו “לפרוש מסך על חולשותיהם האנושיות של אבותינו </w:t>
      </w:r>
      <w:r>
        <w:rPr>
          <w:i/>
          <w:iCs/>
          <w:rtl/>
        </w:rPr>
        <w:t>ולפאר את כל השאר, שהוא גדול ויפה</w:t>
      </w:r>
      <w:r>
        <w:rPr>
          <w:rtl/>
        </w:rPr>
        <w:t xml:space="preserve"> (ההדגשה שלי)”. במילים אחרות, הוא מעדיף “סיפור סיפורים” על “היסטוריה”. הוא טובע מימרה: “אין אנו זקוקים לריאליזם; אנו זקוקים </w:t>
      </w:r>
      <w:r>
        <w:rPr>
          <w:i/>
          <w:iCs/>
          <w:rtl/>
        </w:rPr>
        <w:t>להשראה</w:t>
      </w:r>
      <w:r>
        <w:rPr>
          <w:rtl/>
        </w:rPr>
        <w:t xml:space="preserve"> מאבותינו”.</w:t>
      </w:r>
      <w:bookmarkStart w:id="49" w:name="_fnr48"/>
      <w:r>
        <w:rPr>
          <w:rStyle w:val="a5"/>
        </w:rPr>
        <w:footnoteReference w:id="48" w:customMarkFollows="0"/>
      </w:r>
      <w:bookmarkEnd w:id="49"/>
    </w:p>
    <w:p w14:paraId="577644B8" w14:textId="77777777" w:rsidR="00AB3647" w:rsidRDefault="00000000" w:rsidP="007923E9">
      <w:pPr>
        <w:spacing w:after="100" w:line="276" w:lineRule="auto"/>
        <w:ind w:firstLine="340"/>
        <w:jc w:val="both"/>
      </w:pPr>
      <w:r>
        <w:rPr>
          <w:rtl/>
        </w:rPr>
        <w:t xml:space="preserve">אחיו של אותו מחבר, ר׳ מרדכי </w:t>
      </w:r>
      <w:proofErr w:type="spellStart"/>
      <w:r>
        <w:rPr>
          <w:rtl/>
        </w:rPr>
        <w:t>שוואב</w:t>
      </w:r>
      <w:proofErr w:type="spellEnd"/>
      <w:r>
        <w:rPr>
          <w:rtl/>
        </w:rPr>
        <w:t>, לעומת זאת, ראה את “סיפור המעשיות” בעין רעה, כשאמר לי</w:t>
      </w:r>
      <w:bookmarkStart w:id="50" w:name="_fnr49"/>
      <w:r>
        <w:rPr>
          <w:rStyle w:val="a5"/>
        </w:rPr>
        <w:footnoteReference w:id="49" w:customMarkFollows="0"/>
      </w:r>
      <w:bookmarkEnd w:id="50"/>
      <w:r>
        <w:rPr>
          <w:rtl/>
        </w:rPr>
        <w:t xml:space="preserve">: “הרב </w:t>
      </w:r>
      <w:proofErr w:type="spellStart"/>
      <w:r>
        <w:rPr>
          <w:rtl/>
        </w:rPr>
        <w:t>מסאטמר</w:t>
      </w:r>
      <w:proofErr w:type="spellEnd"/>
      <w:r>
        <w:rPr>
          <w:rtl/>
        </w:rPr>
        <w:t xml:space="preserve">, ר׳ </w:t>
      </w:r>
      <w:proofErr w:type="spellStart"/>
      <w:r>
        <w:rPr>
          <w:rtl/>
        </w:rPr>
        <w:t>יואליש</w:t>
      </w:r>
      <w:proofErr w:type="spellEnd"/>
      <w:r>
        <w:rPr>
          <w:rtl/>
        </w:rPr>
        <w:t xml:space="preserve"> </w:t>
      </w:r>
      <w:proofErr w:type="spellStart"/>
      <w:r>
        <w:rPr>
          <w:rtl/>
        </w:rPr>
        <w:t>טייטלבוים</w:t>
      </w:r>
      <w:proofErr w:type="spellEnd"/>
      <w:r>
        <w:rPr>
          <w:rtl/>
        </w:rPr>
        <w:t xml:space="preserve">, מעולם לא סיפר מעשיות, מפני שאמר: ‘אי אפשר לחנך על ידי שקר’”. ר׳ מרדכי הסכים עם ר׳ </w:t>
      </w:r>
      <w:proofErr w:type="spellStart"/>
      <w:r>
        <w:rPr>
          <w:rtl/>
        </w:rPr>
        <w:t>יואליש</w:t>
      </w:r>
      <w:proofErr w:type="spellEnd"/>
      <w:r>
        <w:rPr>
          <w:rtl/>
        </w:rPr>
        <w:t xml:space="preserve"> בנוגע לסיפורים שנועדו לפאר את גיבוריהם תוך שהם מפשיטים אותם מצלם אנוש.</w:t>
      </w:r>
    </w:p>
    <w:p w14:paraId="6F37283F" w14:textId="77777777" w:rsidR="00AB3647" w:rsidRDefault="00000000" w:rsidP="007923E9">
      <w:pPr>
        <w:spacing w:after="100" w:line="276" w:lineRule="auto"/>
        <w:ind w:firstLine="340"/>
        <w:jc w:val="both"/>
      </w:pPr>
      <w:r>
        <w:rPr>
          <w:rtl/>
        </w:rPr>
        <w:t xml:space="preserve">ר׳ </w:t>
      </w:r>
      <w:proofErr w:type="spellStart"/>
      <w:r>
        <w:rPr>
          <w:rtl/>
        </w:rPr>
        <w:t>יואליש</w:t>
      </w:r>
      <w:proofErr w:type="spellEnd"/>
      <w:r>
        <w:rPr>
          <w:rtl/>
        </w:rPr>
        <w:t xml:space="preserve"> חזר על דברים שאמר ר׳ </w:t>
      </w:r>
      <w:proofErr w:type="spellStart"/>
      <w:r>
        <w:rPr>
          <w:rtl/>
        </w:rPr>
        <w:t>יהושע־יוסף</w:t>
      </w:r>
      <w:proofErr w:type="spellEnd"/>
      <w:r>
        <w:rPr>
          <w:rtl/>
        </w:rPr>
        <w:t xml:space="preserve"> </w:t>
      </w:r>
      <w:proofErr w:type="spellStart"/>
      <w:r>
        <w:rPr>
          <w:rtl/>
        </w:rPr>
        <w:t>פרייל</w:t>
      </w:r>
      <w:proofErr w:type="spellEnd"/>
      <w:r>
        <w:rPr>
          <w:rtl/>
        </w:rPr>
        <w:t xml:space="preserve">, רבה של העיירה הליטאית </w:t>
      </w:r>
      <w:proofErr w:type="spellStart"/>
      <w:r>
        <w:rPr>
          <w:rtl/>
        </w:rPr>
        <w:t>קרוק</w:t>
      </w:r>
      <w:proofErr w:type="spellEnd"/>
      <w:r>
        <w:rPr>
          <w:rtl/>
        </w:rPr>
        <w:t xml:space="preserve">. בביקורת שכתב בשנת תרנ״ו על “תולדות ישראל </w:t>
      </w:r>
      <w:proofErr w:type="spellStart"/>
      <w:r>
        <w:rPr>
          <w:rtl/>
        </w:rPr>
        <w:t>ח״ב</w:t>
      </w:r>
      <w:proofErr w:type="spellEnd"/>
      <w:r>
        <w:rPr>
          <w:rtl/>
        </w:rPr>
        <w:t xml:space="preserve">” של זאב </w:t>
      </w:r>
      <w:proofErr w:type="spellStart"/>
      <w:r>
        <w:rPr>
          <w:rtl/>
        </w:rPr>
        <w:t>יעבץ</w:t>
      </w:r>
      <w:proofErr w:type="spellEnd"/>
      <w:r>
        <w:rPr>
          <w:rtl/>
        </w:rPr>
        <w:t xml:space="preserve">, שיצא לאור שנה קודם </w:t>
      </w:r>
      <w:r>
        <w:rPr>
          <w:rtl/>
        </w:rPr>
        <w:lastRenderedPageBreak/>
        <w:t xml:space="preserve">לכן בוורשה, קבע הרב </w:t>
      </w:r>
      <w:proofErr w:type="spellStart"/>
      <w:r>
        <w:rPr>
          <w:rtl/>
        </w:rPr>
        <w:t>פרייל</w:t>
      </w:r>
      <w:proofErr w:type="spellEnd"/>
      <w:r>
        <w:rPr>
          <w:rtl/>
        </w:rPr>
        <w:t xml:space="preserve"> את הכלל המוסרי הזה: “לברוא סיפורים שלא היו מעולם ולהציגם כעובדות לשם הוראת מוסר – אוי לו </w:t>
      </w:r>
      <w:proofErr w:type="spellStart"/>
      <w:r>
        <w:rPr>
          <w:rtl/>
        </w:rPr>
        <w:t>למוסר־השכל</w:t>
      </w:r>
      <w:proofErr w:type="spellEnd"/>
      <w:r>
        <w:rPr>
          <w:rtl/>
        </w:rPr>
        <w:t xml:space="preserve"> הבנוי על יסוד רעוע כשקר!”</w:t>
      </w:r>
      <w:bookmarkStart w:id="51" w:name="_fnr50"/>
      <w:r>
        <w:rPr>
          <w:rStyle w:val="a5"/>
        </w:rPr>
        <w:footnoteReference w:id="50" w:customMarkFollows="0"/>
      </w:r>
      <w:bookmarkEnd w:id="51"/>
    </w:p>
    <w:p w14:paraId="320FFE2F" w14:textId="77777777" w:rsidR="00AB3647" w:rsidRDefault="00000000" w:rsidP="007923E9">
      <w:pPr>
        <w:spacing w:after="100" w:line="276" w:lineRule="auto"/>
        <w:ind w:firstLine="340"/>
        <w:jc w:val="both"/>
      </w:pPr>
      <w:r>
        <w:rPr>
          <w:rtl/>
        </w:rPr>
        <w:t xml:space="preserve">אפילו החסידים, מספרי הסיפורים המפורסמים, החשודים יותר מאחרים ביצירת אגדות על מנהיגיהם (ומהם, כנראה, ביקש הרב </w:t>
      </w:r>
      <w:proofErr w:type="spellStart"/>
      <w:r>
        <w:rPr>
          <w:rtl/>
        </w:rPr>
        <w:t>מסאטמר</w:t>
      </w:r>
      <w:proofErr w:type="spellEnd"/>
      <w:r>
        <w:rPr>
          <w:rtl/>
        </w:rPr>
        <w:t xml:space="preserve"> להתרחק באמירתו), נזהרים להבדיל בין עובדה לבדיה. ר׳ שמעון </w:t>
      </w:r>
      <w:proofErr w:type="spellStart"/>
      <w:r>
        <w:rPr>
          <w:rtl/>
        </w:rPr>
        <w:t>דויטש</w:t>
      </w:r>
      <w:proofErr w:type="spellEnd"/>
      <w:r>
        <w:rPr>
          <w:rtl/>
        </w:rPr>
        <w:t xml:space="preserve"> סיפר לי</w:t>
      </w:r>
      <w:bookmarkStart w:id="52" w:name="_fnr51"/>
      <w:r>
        <w:rPr>
          <w:rStyle w:val="a5"/>
        </w:rPr>
        <w:footnoteReference w:id="51" w:customMarkFollows="0"/>
      </w:r>
      <w:bookmarkEnd w:id="52"/>
      <w:r>
        <w:rPr>
          <w:rtl/>
        </w:rPr>
        <w:t xml:space="preserve"> ששאל את הרבי </w:t>
      </w:r>
      <w:proofErr w:type="spellStart"/>
      <w:r>
        <w:rPr>
          <w:rtl/>
        </w:rPr>
        <w:t>מליובאוויטש</w:t>
      </w:r>
      <w:proofErr w:type="spellEnd"/>
      <w:r>
        <w:rPr>
          <w:rtl/>
        </w:rPr>
        <w:t xml:space="preserve">, ר׳ </w:t>
      </w:r>
      <w:proofErr w:type="spellStart"/>
      <w:r>
        <w:rPr>
          <w:rtl/>
        </w:rPr>
        <w:t>מנחם־מנדל</w:t>
      </w:r>
      <w:proofErr w:type="spellEnd"/>
      <w:r>
        <w:rPr>
          <w:rtl/>
        </w:rPr>
        <w:t xml:space="preserve"> שניאורסון, האם כשהוא כותב על מאסרו ושחרורו של חותן הרבי, ר׳ </w:t>
      </w:r>
      <w:proofErr w:type="spellStart"/>
      <w:r>
        <w:rPr>
          <w:rtl/>
        </w:rPr>
        <w:t>יוסף־יצחק</w:t>
      </w:r>
      <w:proofErr w:type="spellEnd"/>
      <w:r>
        <w:rPr>
          <w:rtl/>
        </w:rPr>
        <w:t xml:space="preserve"> שניאורסון, עליו להזכיר או להשמיט את העובדה שמזכירו של ר׳ </w:t>
      </w:r>
      <w:proofErr w:type="spellStart"/>
      <w:r>
        <w:rPr>
          <w:rtl/>
        </w:rPr>
        <w:t>יוסף־יצחק</w:t>
      </w:r>
      <w:proofErr w:type="spellEnd"/>
      <w:r>
        <w:rPr>
          <w:rtl/>
        </w:rPr>
        <w:t>, ר׳ חיים ליברמן, נאסר ושוחרר יחד עמו.</w:t>
      </w:r>
    </w:p>
    <w:p w14:paraId="2A97304F" w14:textId="77777777" w:rsidR="00AB3647" w:rsidRDefault="00000000" w:rsidP="007923E9">
      <w:pPr>
        <w:spacing w:after="100" w:line="276" w:lineRule="auto"/>
        <w:ind w:firstLine="340"/>
        <w:jc w:val="both"/>
      </w:pPr>
      <w:r>
        <w:rPr>
          <w:rtl/>
        </w:rPr>
        <w:t xml:space="preserve">אגב, הרב ליברמן התנגד לעלייתו של ר׳ </w:t>
      </w:r>
      <w:proofErr w:type="spellStart"/>
      <w:r>
        <w:rPr>
          <w:rtl/>
        </w:rPr>
        <w:t>מנחם־מנדל</w:t>
      </w:r>
      <w:proofErr w:type="spellEnd"/>
      <w:r>
        <w:rPr>
          <w:rtl/>
        </w:rPr>
        <w:t xml:space="preserve"> לכס </w:t>
      </w:r>
      <w:proofErr w:type="spellStart"/>
      <w:r>
        <w:rPr>
          <w:rtl/>
        </w:rPr>
        <w:t>האדמו״רות</w:t>
      </w:r>
      <w:proofErr w:type="spellEnd"/>
      <w:r>
        <w:rPr>
          <w:rtl/>
        </w:rPr>
        <w:t xml:space="preserve"> של </w:t>
      </w:r>
      <w:proofErr w:type="spellStart"/>
      <w:r>
        <w:rPr>
          <w:rtl/>
        </w:rPr>
        <w:t>ליובאוויטש</w:t>
      </w:r>
      <w:proofErr w:type="spellEnd"/>
      <w:r>
        <w:rPr>
          <w:rtl/>
        </w:rPr>
        <w:t xml:space="preserve">, ולא הכיר בו כרבי לאחר שנכנס לתפקיד. על שאלתו של הרב </w:t>
      </w:r>
      <w:proofErr w:type="spellStart"/>
      <w:r>
        <w:rPr>
          <w:rtl/>
        </w:rPr>
        <w:t>דויטש</w:t>
      </w:r>
      <w:proofErr w:type="spellEnd"/>
      <w:r>
        <w:rPr>
          <w:rtl/>
        </w:rPr>
        <w:t xml:space="preserve"> השיב ר׳ </w:t>
      </w:r>
      <w:proofErr w:type="spellStart"/>
      <w:r>
        <w:rPr>
          <w:rtl/>
        </w:rPr>
        <w:t>מנחם־מנדל</w:t>
      </w:r>
      <w:proofErr w:type="spellEnd"/>
      <w:r>
        <w:rPr>
          <w:rtl/>
        </w:rPr>
        <w:t xml:space="preserve">: “היסטוריה צריך לכתוב אמת לאמיתה” – והסביר את הכפילות שבלשונו: “ובכלל זה שלא לייפות שום מילה [ניט </w:t>
      </w:r>
      <w:proofErr w:type="spellStart"/>
      <w:r>
        <w:rPr>
          <w:rtl/>
        </w:rPr>
        <w:t>צופוצען</w:t>
      </w:r>
      <w:proofErr w:type="spellEnd"/>
      <w:r>
        <w:rPr>
          <w:rtl/>
        </w:rPr>
        <w:t xml:space="preserve"> קיין </w:t>
      </w:r>
      <w:proofErr w:type="spellStart"/>
      <w:r>
        <w:rPr>
          <w:rtl/>
        </w:rPr>
        <w:t>ווארט</w:t>
      </w:r>
      <w:proofErr w:type="spellEnd"/>
      <w:r>
        <w:rPr>
          <w:rtl/>
        </w:rPr>
        <w:t>]”.</w:t>
      </w:r>
      <w:bookmarkStart w:id="53" w:name="_fnr52"/>
      <w:r>
        <w:rPr>
          <w:rStyle w:val="a5"/>
        </w:rPr>
        <w:footnoteReference w:id="52" w:customMarkFollows="0"/>
      </w:r>
      <w:bookmarkEnd w:id="53"/>
    </w:p>
    <w:p w14:paraId="05251B5F" w14:textId="77777777" w:rsidR="00AB3647" w:rsidRDefault="00000000" w:rsidP="007923E9">
      <w:pPr>
        <w:spacing w:after="100" w:line="276" w:lineRule="auto"/>
        <w:ind w:firstLine="340"/>
        <w:jc w:val="both"/>
      </w:pPr>
      <w:r>
        <w:rPr>
          <w:rtl/>
        </w:rPr>
        <w:t>השווה גם “פולמוס המוסר”</w:t>
      </w:r>
      <w:bookmarkStart w:id="54" w:name="_fnr53"/>
      <w:r>
        <w:rPr>
          <w:rStyle w:val="a5"/>
        </w:rPr>
        <w:footnoteReference w:id="53" w:customMarkFollows="0"/>
      </w:r>
      <w:bookmarkEnd w:id="54"/>
      <w:r>
        <w:rPr>
          <w:rtl/>
        </w:rPr>
        <w:t xml:space="preserve">, ספר על המחלוקת שבסוף שנות </w:t>
      </w:r>
      <w:proofErr w:type="spellStart"/>
      <w:r>
        <w:rPr>
          <w:rtl/>
        </w:rPr>
        <w:t>הת״ר־נ</w:t>
      </w:r>
      <w:proofErr w:type="spellEnd"/>
      <w:r>
        <w:rPr>
          <w:rtl/>
        </w:rPr>
        <w:t xml:space="preserve">׳, שבה יצאו רוב גדולי התורה בפומבי </w:t>
      </w:r>
      <w:r>
        <w:rPr>
          <w:i/>
          <w:iCs/>
          <w:rtl/>
        </w:rPr>
        <w:t>נגד</w:t>
      </w:r>
      <w:r>
        <w:rPr>
          <w:rtl/>
        </w:rPr>
        <w:t xml:space="preserve"> תנועת המוסר. המחבר, ר׳ דב כץ, מחסידי המוסר, מספר </w:t>
      </w:r>
      <w:proofErr w:type="spellStart"/>
      <w:r>
        <w:rPr>
          <w:rtl/>
        </w:rPr>
        <w:t>ש“נשמעו</w:t>
      </w:r>
      <w:proofErr w:type="spellEnd"/>
      <w:r>
        <w:rPr>
          <w:rtl/>
        </w:rPr>
        <w:t xml:space="preserve"> גם דעות שיש להתעלם מכל הפרשה הזאת”; אבל “כמה מאישי המוסר”, ובהם ר׳ </w:t>
      </w:r>
      <w:proofErr w:type="spellStart"/>
      <w:r>
        <w:rPr>
          <w:rtl/>
        </w:rPr>
        <w:t>יחיאל־יעקב</w:t>
      </w:r>
      <w:proofErr w:type="spellEnd"/>
      <w:r>
        <w:rPr>
          <w:rtl/>
        </w:rPr>
        <w:t xml:space="preserve"> ויינברג</w:t>
      </w:r>
      <w:bookmarkStart w:id="55" w:name="_fnr54"/>
      <w:r>
        <w:rPr>
          <w:rStyle w:val="a5"/>
        </w:rPr>
        <w:footnoteReference w:id="54" w:customMarkFollows="0"/>
      </w:r>
      <w:bookmarkEnd w:id="55"/>
      <w:r>
        <w:rPr>
          <w:rtl/>
        </w:rPr>
        <w:t xml:space="preserve"> ור׳ </w:t>
      </w:r>
      <w:proofErr w:type="spellStart"/>
      <w:r>
        <w:rPr>
          <w:rtl/>
        </w:rPr>
        <w:t>חצקל</w:t>
      </w:r>
      <w:proofErr w:type="spellEnd"/>
      <w:r>
        <w:rPr>
          <w:rtl/>
        </w:rPr>
        <w:t xml:space="preserve"> </w:t>
      </w:r>
      <w:proofErr w:type="spellStart"/>
      <w:r>
        <w:rPr>
          <w:rtl/>
        </w:rPr>
        <w:t>סרנא</w:t>
      </w:r>
      <w:proofErr w:type="spellEnd"/>
      <w:r>
        <w:rPr>
          <w:rtl/>
        </w:rPr>
        <w:t xml:space="preserve">, עמדו על כך לא רק שיכתוב על הפולמוס, אלא – כלשונו של הרב </w:t>
      </w:r>
      <w:proofErr w:type="spellStart"/>
      <w:r>
        <w:rPr>
          <w:rtl/>
        </w:rPr>
        <w:t>סרנא</w:t>
      </w:r>
      <w:proofErr w:type="spellEnd"/>
      <w:r>
        <w:rPr>
          <w:rtl/>
        </w:rPr>
        <w:t xml:space="preserve"> – “שיעלה על ספר את כל הפרשה הזאת מבלי לחסר כל פרט, יהי׳ מה שיהי׳”.</w:t>
      </w:r>
    </w:p>
    <w:p w14:paraId="7B97C8BA" w14:textId="77777777" w:rsidR="00AB3647" w:rsidRDefault="00000000" w:rsidP="007923E9">
      <w:pPr>
        <w:spacing w:after="100" w:line="276" w:lineRule="auto"/>
        <w:ind w:firstLine="340"/>
        <w:jc w:val="both"/>
      </w:pPr>
      <w:r>
        <w:rPr>
          <w:rtl/>
        </w:rPr>
        <w:t xml:space="preserve">אני מודה בענווה שלא הלכתי בדרך שהתווה ר׳ שמעון </w:t>
      </w:r>
      <w:proofErr w:type="spellStart"/>
      <w:r>
        <w:rPr>
          <w:rtl/>
        </w:rPr>
        <w:t>שוואב</w:t>
      </w:r>
      <w:proofErr w:type="spellEnd"/>
      <w:r>
        <w:rPr>
          <w:rtl/>
        </w:rPr>
        <w:t xml:space="preserve"> אלא בדרכו של הרב </w:t>
      </w:r>
      <w:proofErr w:type="spellStart"/>
      <w:r>
        <w:rPr>
          <w:rtl/>
        </w:rPr>
        <w:t>סרנא</w:t>
      </w:r>
      <w:proofErr w:type="spellEnd"/>
      <w:r>
        <w:rPr>
          <w:rtl/>
        </w:rPr>
        <w:t xml:space="preserve">, ותיארתי מאורעות ואנשים במלואם ובכנות. איני יכול להסכים עם הרב </w:t>
      </w:r>
      <w:proofErr w:type="spellStart"/>
      <w:r>
        <w:rPr>
          <w:rtl/>
        </w:rPr>
        <w:t>שוואב</w:t>
      </w:r>
      <w:proofErr w:type="spellEnd"/>
      <w:r>
        <w:rPr>
          <w:rtl/>
        </w:rPr>
        <w:t>, המעניק לכל אדם “זכות” “לכעוס” על גילויַי, מפני שבשום אופן איני סבור שקומתם של גדולי הרבנים וראשי הישיבות של פעם מתגמדת כשמתארים אותם כפי שהיו.</w:t>
      </w:r>
    </w:p>
    <w:p w14:paraId="08FC70C6" w14:textId="77777777" w:rsidR="00AB3647" w:rsidRDefault="00000000" w:rsidP="007923E9">
      <w:pPr>
        <w:spacing w:after="100" w:line="276" w:lineRule="auto"/>
        <w:ind w:firstLine="340"/>
        <w:jc w:val="both"/>
      </w:pPr>
      <w:r>
        <w:rPr>
          <w:rtl/>
        </w:rPr>
        <w:t xml:space="preserve">ואם בשל תיאורי </w:t>
      </w:r>
      <w:proofErr w:type="spellStart"/>
      <w:r>
        <w:rPr>
          <w:rtl/>
        </w:rPr>
        <w:t>הבלתי־מצועצע</w:t>
      </w:r>
      <w:proofErr w:type="spellEnd"/>
      <w:r>
        <w:rPr>
          <w:rtl/>
        </w:rPr>
        <w:t xml:space="preserve"> ימצא קורא כלשהו באחד הגדולים חיסרון או פגם קל – הלוא החכם מכל אדם הכריז ברוח הקודש: “כי אדם אין צדיק בארץ אשר יעשה טוב ולא יחטא”,</w:t>
      </w:r>
      <w:bookmarkStart w:id="56" w:name="_fnr55"/>
      <w:r>
        <w:rPr>
          <w:rStyle w:val="a5"/>
        </w:rPr>
        <w:footnoteReference w:id="55" w:customMarkFollows="0"/>
      </w:r>
      <w:bookmarkEnd w:id="56"/>
      <w:r>
        <w:rPr>
          <w:rtl/>
        </w:rPr>
        <w:t xml:space="preserve"> ועל יסוד הכרזה זו קבעה הגמרא את ההלכה </w:t>
      </w:r>
      <w:proofErr w:type="spellStart"/>
      <w:r>
        <w:rPr>
          <w:rtl/>
        </w:rPr>
        <w:t>ש“צדיקי</w:t>
      </w:r>
      <w:proofErr w:type="spellEnd"/>
      <w:r>
        <w:rPr>
          <w:rtl/>
        </w:rPr>
        <w:t xml:space="preserve"> </w:t>
      </w:r>
      <w:proofErr w:type="spellStart"/>
      <w:r>
        <w:rPr>
          <w:rtl/>
        </w:rPr>
        <w:t>צריכי</w:t>
      </w:r>
      <w:proofErr w:type="spellEnd"/>
      <w:r>
        <w:rPr>
          <w:rtl/>
        </w:rPr>
        <w:t xml:space="preserve"> כפרה”</w:t>
      </w:r>
      <w:bookmarkStart w:id="57" w:name="_fnr56"/>
      <w:r>
        <w:rPr>
          <w:rStyle w:val="a5"/>
        </w:rPr>
        <w:footnoteReference w:id="56" w:customMarkFollows="0"/>
      </w:r>
      <w:bookmarkEnd w:id="57"/>
      <w:r>
        <w:rPr>
          <w:rtl/>
        </w:rPr>
        <w:t>.</w:t>
      </w:r>
    </w:p>
    <w:p w14:paraId="577F104E" w14:textId="77777777" w:rsidR="00AB3647" w:rsidRDefault="00000000" w:rsidP="007923E9">
      <w:pPr>
        <w:spacing w:after="100" w:line="276" w:lineRule="auto"/>
        <w:ind w:firstLine="340"/>
        <w:jc w:val="both"/>
      </w:pPr>
      <w:r>
        <w:rPr>
          <w:rtl/>
        </w:rPr>
        <w:lastRenderedPageBreak/>
        <w:t xml:space="preserve">אני עצמי רואה את כל גדולי התורה כפי שתואר האמורא רב </w:t>
      </w:r>
      <w:proofErr w:type="spellStart"/>
      <w:r>
        <w:rPr>
          <w:rtl/>
        </w:rPr>
        <w:t>זירא</w:t>
      </w:r>
      <w:proofErr w:type="spellEnd"/>
      <w:r>
        <w:rPr>
          <w:rtl/>
        </w:rPr>
        <w:t xml:space="preserve"> כשקיבל את סמיכתו</w:t>
      </w:r>
      <w:bookmarkStart w:id="58" w:name="_fnr57"/>
      <w:r>
        <w:rPr>
          <w:rStyle w:val="a5"/>
        </w:rPr>
        <w:footnoteReference w:id="57" w:customMarkFollows="0"/>
      </w:r>
      <w:bookmarkEnd w:id="58"/>
      <w:r>
        <w:rPr>
          <w:rtl/>
        </w:rPr>
        <w:t xml:space="preserve">: “לא כחל ולא שרק ולא </w:t>
      </w:r>
      <w:proofErr w:type="spellStart"/>
      <w:r>
        <w:rPr>
          <w:rtl/>
        </w:rPr>
        <w:t>פירכוס</w:t>
      </w:r>
      <w:proofErr w:type="spellEnd"/>
      <w:r>
        <w:rPr>
          <w:rtl/>
        </w:rPr>
        <w:t xml:space="preserve"> ויעלת חן”. אם יש גם פגם קל – ובאדם גדול באמת אין הוא לעולם אלא קל – אין הוא פוגם בחִנה של האישיות המופלגת; היא נשארת יעלת חן עם </w:t>
      </w:r>
      <w:proofErr w:type="spellStart"/>
      <w:r>
        <w:rPr>
          <w:rtl/>
        </w:rPr>
        <w:t>שומת־חן</w:t>
      </w:r>
      <w:proofErr w:type="spellEnd"/>
      <w:r>
        <w:rPr>
          <w:rtl/>
        </w:rPr>
        <w:t xml:space="preserve"> ייחודית.</w:t>
      </w:r>
    </w:p>
    <w:p w14:paraId="40A158E7" w14:textId="77777777" w:rsidR="00AB3647" w:rsidRDefault="00000000" w:rsidP="007923E9">
      <w:pPr>
        <w:spacing w:after="100" w:line="276" w:lineRule="auto"/>
        <w:ind w:firstLine="340"/>
        <w:jc w:val="both"/>
      </w:pPr>
      <w:r>
        <w:rPr>
          <w:rtl/>
        </w:rPr>
        <w:t xml:space="preserve">במאמר </w:t>
      </w:r>
      <w:proofErr w:type="spellStart"/>
      <w:r>
        <w:rPr>
          <w:rtl/>
        </w:rPr>
        <w:t>ב“המעין</w:t>
      </w:r>
      <w:proofErr w:type="spellEnd"/>
      <w:r>
        <w:rPr>
          <w:rtl/>
        </w:rPr>
        <w:t>”</w:t>
      </w:r>
      <w:bookmarkStart w:id="59" w:name="_fnr58"/>
      <w:r>
        <w:rPr>
          <w:rStyle w:val="a5"/>
        </w:rPr>
        <w:footnoteReference w:id="58" w:customMarkFollows="0"/>
      </w:r>
      <w:bookmarkEnd w:id="59"/>
      <w:r>
        <w:rPr>
          <w:rtl/>
        </w:rPr>
        <w:t xml:space="preserve"> מאת פרופ׳ זאב לב נתקלתי בדיווח על יחסו של אבי לסילוף מאורעות היסטוריים, דיווח המאשר את גישתי. מסופר בו שאבי הצדיק את ההסתייגות </w:t>
      </w:r>
      <w:proofErr w:type="spellStart"/>
      <w:r>
        <w:rPr>
          <w:rtl/>
        </w:rPr>
        <w:t>מ“ספר</w:t>
      </w:r>
      <w:proofErr w:type="spellEnd"/>
      <w:r>
        <w:rPr>
          <w:rtl/>
        </w:rPr>
        <w:t xml:space="preserve"> של סופר דגול, על הגאון </w:t>
      </w:r>
      <w:proofErr w:type="spellStart"/>
      <w:r>
        <w:rPr>
          <w:rtl/>
        </w:rPr>
        <w:t>מוילנא</w:t>
      </w:r>
      <w:proofErr w:type="spellEnd"/>
      <w:r>
        <w:rPr>
          <w:rtl/>
        </w:rPr>
        <w:t xml:space="preserve">”, מפני </w:t>
      </w:r>
      <w:proofErr w:type="spellStart"/>
      <w:r>
        <w:rPr>
          <w:rtl/>
        </w:rPr>
        <w:t>ש“המחבר</w:t>
      </w:r>
      <w:proofErr w:type="spellEnd"/>
      <w:r>
        <w:rPr>
          <w:rtl/>
        </w:rPr>
        <w:t xml:space="preserve"> השמיט במתכוון פרקים על התנגדותו של </w:t>
      </w:r>
      <w:proofErr w:type="spellStart"/>
      <w:r>
        <w:rPr>
          <w:rtl/>
        </w:rPr>
        <w:t>הגר״א</w:t>
      </w:r>
      <w:proofErr w:type="spellEnd"/>
      <w:r>
        <w:rPr>
          <w:rtl/>
        </w:rPr>
        <w:t xml:space="preserve"> לחסידות”, ושאמר: “אסור להעלים דברים מהותיים וחשובים כאלו. סילוף כזה הוא גם מעין שקר”.</w:t>
      </w:r>
    </w:p>
    <w:p w14:paraId="08DC6439" w14:textId="77777777" w:rsidR="00AB3647" w:rsidRDefault="00000000" w:rsidP="007923E9">
      <w:pPr>
        <w:spacing w:after="100" w:line="276" w:lineRule="auto"/>
        <w:ind w:firstLine="340"/>
        <w:jc w:val="both"/>
      </w:pPr>
      <w:r>
        <w:rPr>
          <w:rtl/>
        </w:rPr>
        <w:t xml:space="preserve">אשר לשאלה כיצד ראה רבנו את אותו ספר מסוים – ברור שהכוונה </w:t>
      </w:r>
      <w:proofErr w:type="spellStart"/>
      <w:r>
        <w:rPr>
          <w:rtl/>
        </w:rPr>
        <w:t>ל“הגאון</w:t>
      </w:r>
      <w:proofErr w:type="spellEnd"/>
      <w:r>
        <w:rPr>
          <w:rtl/>
        </w:rPr>
        <w:t xml:space="preserve"> החסיד </w:t>
      </w:r>
      <w:proofErr w:type="spellStart"/>
      <w:r>
        <w:rPr>
          <w:rtl/>
        </w:rPr>
        <w:t>מווילנא</w:t>
      </w:r>
      <w:proofErr w:type="spellEnd"/>
      <w:r>
        <w:rPr>
          <w:rtl/>
        </w:rPr>
        <w:t>” – אטען ראשית שמחברו לא התעלם סתם כך משאלת עמדתו של הגאון כלפי התנועה החסידית. במבוא למהדורה השלישית</w:t>
      </w:r>
      <w:bookmarkStart w:id="60" w:name="_fnr59"/>
      <w:r>
        <w:rPr>
          <w:rStyle w:val="a5"/>
        </w:rPr>
        <w:footnoteReference w:id="59" w:customMarkFollows="0"/>
      </w:r>
      <w:bookmarkEnd w:id="60"/>
      <w:r>
        <w:rPr>
          <w:rtl/>
        </w:rPr>
        <w:t xml:space="preserve"> הוא מצהיר במפורש שבידו “הפרקים השמורים אתנו על הפולמוס נגד תנועת החסידות, שהסעיר את בית ישראל בימים ההם”.</w:t>
      </w:r>
    </w:p>
    <w:p w14:paraId="09FD8B11" w14:textId="77777777" w:rsidR="00AB3647" w:rsidRDefault="00000000" w:rsidP="007923E9">
      <w:pPr>
        <w:spacing w:after="100" w:line="276" w:lineRule="auto"/>
        <w:ind w:firstLine="340"/>
        <w:jc w:val="both"/>
      </w:pPr>
      <w:r>
        <w:rPr>
          <w:rtl/>
        </w:rPr>
        <w:t xml:space="preserve">נכחתי גם כשהמחבר הישיש, ר׳ בצלאל </w:t>
      </w:r>
      <w:proofErr w:type="spellStart"/>
      <w:r>
        <w:rPr>
          <w:rtl/>
        </w:rPr>
        <w:t>לנדא</w:t>
      </w:r>
      <w:proofErr w:type="spellEnd"/>
      <w:r>
        <w:rPr>
          <w:rtl/>
        </w:rPr>
        <w:t xml:space="preserve">, דן בעניין זה עם אבי בעת ביקורו של אבי בארץ ישראל בשנת תשמ״ב, וסיפר שראש ישיבה נכבד בירושלים האשים אותו (כפי שעשה גם פרופ׳ לב) </w:t>
      </w:r>
      <w:proofErr w:type="spellStart"/>
      <w:r>
        <w:rPr>
          <w:rtl/>
        </w:rPr>
        <w:t>ב“זיוף</w:t>
      </w:r>
      <w:proofErr w:type="spellEnd"/>
      <w:r>
        <w:rPr>
          <w:rtl/>
        </w:rPr>
        <w:t xml:space="preserve"> דמותו של הגאון”, בכך שהשמיט את עניין התנגדותו של הגאון. הרב </w:t>
      </w:r>
      <w:proofErr w:type="spellStart"/>
      <w:r>
        <w:rPr>
          <w:rtl/>
        </w:rPr>
        <w:t>לנדא</w:t>
      </w:r>
      <w:proofErr w:type="spellEnd"/>
      <w:r>
        <w:rPr>
          <w:rtl/>
        </w:rPr>
        <w:t xml:space="preserve"> התחנן לפני אבי: “כיצד אוכל לפרסם את איסורו של הגאון על חיתון עם חסידים, ואולי לגרום לפירוק משפחות?”</w:t>
      </w:r>
      <w:bookmarkStart w:id="61" w:name="_fnr60"/>
      <w:r>
        <w:rPr>
          <w:rStyle w:val="a5"/>
        </w:rPr>
        <w:footnoteReference w:id="60" w:customMarkFollows="0"/>
      </w:r>
      <w:bookmarkEnd w:id="61"/>
    </w:p>
    <w:p w14:paraId="5ECCD308" w14:textId="77777777" w:rsidR="00AB3647" w:rsidRDefault="00000000" w:rsidP="007923E9">
      <w:pPr>
        <w:spacing w:after="100" w:line="276" w:lineRule="auto"/>
        <w:ind w:firstLine="340"/>
        <w:jc w:val="both"/>
      </w:pPr>
      <w:r>
        <w:rPr>
          <w:rtl/>
        </w:rPr>
        <w:t xml:space="preserve">אבי הסכים שחמשת הפרקים שהכין יישארו </w:t>
      </w:r>
      <w:proofErr w:type="spellStart"/>
      <w:r>
        <w:rPr>
          <w:rtl/>
        </w:rPr>
        <w:t>בלתי־מפורסמים</w:t>
      </w:r>
      <w:proofErr w:type="spellEnd"/>
      <w:r>
        <w:rPr>
          <w:rtl/>
        </w:rPr>
        <w:t xml:space="preserve"> אך לא יושמדו, ואמר: “שיהיו מוכנים לדפוס, אך הימנע [מפרסומם] עד שתבוא שעה, אם תבוא, שבה יחייבו המאורעות את פרסומם”. הוא הסביר ברמז: “הם צריכים להיות מוכנים למקרה שפלוני [</w:t>
      </w:r>
      <w:proofErr w:type="spellStart"/>
      <w:r>
        <w:rPr>
          <w:rtl/>
        </w:rPr>
        <w:t>יענער</w:t>
      </w:r>
      <w:proofErr w:type="spellEnd"/>
      <w:r>
        <w:rPr>
          <w:rtl/>
        </w:rPr>
        <w:t xml:space="preserve">] יעשה דבר מכוער [א </w:t>
      </w:r>
      <w:proofErr w:type="spellStart"/>
      <w:r>
        <w:rPr>
          <w:rtl/>
        </w:rPr>
        <w:t>מיאוס׳ע</w:t>
      </w:r>
      <w:proofErr w:type="spellEnd"/>
      <w:r>
        <w:rPr>
          <w:rtl/>
        </w:rPr>
        <w:t xml:space="preserve"> </w:t>
      </w:r>
      <w:proofErr w:type="spellStart"/>
      <w:r>
        <w:rPr>
          <w:rtl/>
        </w:rPr>
        <w:t>זאך</w:t>
      </w:r>
      <w:proofErr w:type="spellEnd"/>
      <w:r>
        <w:rPr>
          <w:rtl/>
        </w:rPr>
        <w:t>]”.</w:t>
      </w:r>
    </w:p>
    <w:p w14:paraId="72C8BB29" w14:textId="77777777" w:rsidR="00AB3647" w:rsidRDefault="00000000" w:rsidP="007923E9">
      <w:pPr>
        <w:spacing w:after="100" w:line="276" w:lineRule="auto"/>
        <w:ind w:firstLine="340"/>
        <w:jc w:val="both"/>
      </w:pPr>
      <w:r>
        <w:rPr>
          <w:rtl/>
        </w:rPr>
        <w:t xml:space="preserve">הוא התכוון לדמיונות משיחיים שתססו בחוג חסידי אחד – בארץ ישראל חוללו אנשי אותו חוג ריב פוליטי בין חסידים למתנגדים – ואבי סבר שפרסומם של פרקים אלה בבוא היום יסייע לציבור החסידי הרחב לנער מעליו את </w:t>
      </w:r>
      <w:proofErr w:type="spellStart"/>
      <w:r>
        <w:rPr>
          <w:rtl/>
        </w:rPr>
        <w:t>המשיחיסטים</w:t>
      </w:r>
      <w:proofErr w:type="spellEnd"/>
      <w:r>
        <w:rPr>
          <w:rtl/>
        </w:rPr>
        <w:t>, אם יצא דמיונם משליטה. בדיעבד התברר שחששותיו של אבי היו מבוססים: חלק גדול מאותה כת חסידית אכן הכריז על מנהיגו כמשיח.</w:t>
      </w:r>
    </w:p>
    <w:p w14:paraId="19C10B42" w14:textId="77777777" w:rsidR="00AB3647" w:rsidRDefault="00000000" w:rsidP="007923E9">
      <w:pPr>
        <w:spacing w:after="100" w:line="276" w:lineRule="auto"/>
        <w:ind w:firstLine="340"/>
        <w:jc w:val="both"/>
      </w:pPr>
      <w:r>
        <w:rPr>
          <w:rtl/>
        </w:rPr>
        <w:t xml:space="preserve">האפשרות המעוותת שעשור אחרי פגישתו של אבי עם ר׳ בצלאל ינסחו רבים מאנשי הכת את ההזיה שרבם </w:t>
      </w:r>
      <w:r>
        <w:rPr>
          <w:i/>
          <w:iCs/>
          <w:rtl/>
        </w:rPr>
        <w:t>המת</w:t>
      </w:r>
      <w:r>
        <w:rPr>
          <w:rtl/>
        </w:rPr>
        <w:t xml:space="preserve"> “ישוב ויבוא” – זו אמונתם, והם מפיצים אותה בימינו – כנראה לא עלתה כלל על דעתו של רבנו, בדמיונו הבריא והנורמלי. אפשר אפוא לשער שאבי היה מברך </w:t>
      </w:r>
      <w:r>
        <w:rPr>
          <w:rtl/>
        </w:rPr>
        <w:lastRenderedPageBreak/>
        <w:t xml:space="preserve">בהתלהבות על פרסומו לאחרונה של “הגאון” מאת דב </w:t>
      </w:r>
      <w:proofErr w:type="spellStart"/>
      <w:r>
        <w:rPr>
          <w:rtl/>
        </w:rPr>
        <w:t>אליאך</w:t>
      </w:r>
      <w:proofErr w:type="spellEnd"/>
      <w:r>
        <w:rPr>
          <w:rtl/>
        </w:rPr>
        <w:t xml:space="preserve"> (מכון “מורשת ישיבות”, ירושלים, תשס״ב), שבו נחשף מאבקו של הגאון מווילנה בחסידות.</w:t>
      </w:r>
    </w:p>
    <w:p w14:paraId="1DD9A417" w14:textId="77777777" w:rsidR="00AB3647" w:rsidRDefault="00000000" w:rsidP="007923E9">
      <w:pPr>
        <w:spacing w:after="100" w:line="276" w:lineRule="auto"/>
        <w:ind w:firstLine="340"/>
        <w:jc w:val="both"/>
      </w:pPr>
      <w:r>
        <w:rPr>
          <w:rtl/>
        </w:rPr>
        <w:t xml:space="preserve">עד כאן לעניין ספרו של הרב </w:t>
      </w:r>
      <w:proofErr w:type="spellStart"/>
      <w:r>
        <w:rPr>
          <w:rtl/>
        </w:rPr>
        <w:t>לנדא</w:t>
      </w:r>
      <w:proofErr w:type="spellEnd"/>
      <w:r>
        <w:rPr>
          <w:rtl/>
        </w:rPr>
        <w:t xml:space="preserve"> בפרט, שנגע, כפי שגילתה אותה שיחה, למצב בעל השלכות אקטואליות. אבל דברי אבי, כפי שמסר אותם פרופ׳ לב, שהסתרת עניינים “כמוה כשקר”, ודאי תקפים כשמוסרים מידע על עניינים היסטוריים שאין להם נגיעה לענייני השעה, כפי שעושה ספר זה</w:t>
      </w:r>
      <w:bookmarkStart w:id="62" w:name="_fnr61"/>
      <w:r>
        <w:rPr>
          <w:rStyle w:val="a5"/>
        </w:rPr>
        <w:footnoteReference w:id="61" w:customMarkFollows="0"/>
      </w:r>
      <w:bookmarkEnd w:id="62"/>
      <w:r>
        <w:rPr>
          <w:rtl/>
        </w:rPr>
        <w:t>.</w:t>
      </w:r>
    </w:p>
    <w:p w14:paraId="4178DA47" w14:textId="77777777" w:rsidR="00AB3647" w:rsidRDefault="00000000" w:rsidP="007923E9">
      <w:pPr>
        <w:spacing w:after="100" w:line="276" w:lineRule="auto"/>
        <w:ind w:firstLine="340"/>
        <w:jc w:val="both"/>
      </w:pPr>
      <w:r>
        <w:rPr>
          <w:rtl/>
        </w:rPr>
        <w:t>ויש דרך עמוקה יותר להבין את מה שנראה כביקורת על גדולי התורה. ר׳ יחיאל פער סיפר לי</w:t>
      </w:r>
      <w:bookmarkStart w:id="63" w:name="_fnr62"/>
      <w:r>
        <w:rPr>
          <w:rStyle w:val="a5"/>
        </w:rPr>
        <w:footnoteReference w:id="62" w:customMarkFollows="0"/>
      </w:r>
      <w:bookmarkEnd w:id="63"/>
      <w:r>
        <w:rPr>
          <w:rtl/>
        </w:rPr>
        <w:t xml:space="preserve"> על שאלה ששאל פעם את אביו, ר׳ מנחם, חברו של אבי לספסל הלימודים בישיבת </w:t>
      </w:r>
      <w:proofErr w:type="spellStart"/>
      <w:r>
        <w:rPr>
          <w:rtl/>
        </w:rPr>
        <w:t>סלבודקה</w:t>
      </w:r>
      <w:proofErr w:type="spellEnd"/>
      <w:r>
        <w:rPr>
          <w:rtl/>
        </w:rPr>
        <w:t>. נערה עמדה להתארס, ואז גילה מישהו להוריה שהחתן המיועד אושפז בעבר במוסד לחולי נפש. בקהילה פרץ ויכוח סוער: האם המלשין צדיק או רשע? ר׳ יחיאל שאל את אביו כיצד לראות מעשה זה, והלה השיב: “מן המעשה הזה אי אפשר לדעת. אם שאר מעשיו טובים – עשה זאת מתוך צדקות; ואם שאר מעשיו רעים – עשה זאת מתוך רשעות”.</w:t>
      </w:r>
    </w:p>
    <w:p w14:paraId="545A9A0D" w14:textId="77777777" w:rsidR="00AB3647" w:rsidRDefault="00000000" w:rsidP="007923E9">
      <w:pPr>
        <w:spacing w:after="100" w:line="276" w:lineRule="auto"/>
        <w:ind w:firstLine="340"/>
        <w:jc w:val="both"/>
      </w:pPr>
      <w:r>
        <w:rPr>
          <w:rtl/>
        </w:rPr>
        <w:t xml:space="preserve">ר׳ חיים </w:t>
      </w:r>
      <w:proofErr w:type="spellStart"/>
      <w:r>
        <w:rPr>
          <w:rtl/>
        </w:rPr>
        <w:t>שמואלביץ</w:t>
      </w:r>
      <w:proofErr w:type="spellEnd"/>
      <w:r>
        <w:rPr>
          <w:rtl/>
        </w:rPr>
        <w:t xml:space="preserve"> מבליט ביד אמן את אותו מוטיב</w:t>
      </w:r>
      <w:bookmarkStart w:id="64" w:name="_fnr63"/>
      <w:r>
        <w:rPr>
          <w:rStyle w:val="a5"/>
        </w:rPr>
        <w:footnoteReference w:id="63" w:customMarkFollows="0"/>
      </w:r>
      <w:bookmarkEnd w:id="64"/>
      <w:r>
        <w:rPr>
          <w:rtl/>
        </w:rPr>
        <w:t xml:space="preserve">, </w:t>
      </w:r>
      <w:proofErr w:type="spellStart"/>
      <w:r>
        <w:rPr>
          <w:rtl/>
        </w:rPr>
        <w:t>ב“ראיה</w:t>
      </w:r>
      <w:proofErr w:type="spellEnd"/>
      <w:r>
        <w:rPr>
          <w:rtl/>
        </w:rPr>
        <w:t xml:space="preserve"> גדולה” ממסכת יומא</w:t>
      </w:r>
      <w:bookmarkStart w:id="65" w:name="_fnr64"/>
      <w:r>
        <w:rPr>
          <w:rStyle w:val="a5"/>
        </w:rPr>
        <w:footnoteReference w:id="64" w:customMarkFollows="0"/>
      </w:r>
      <w:bookmarkEnd w:id="65"/>
      <w:r>
        <w:rPr>
          <w:rtl/>
        </w:rPr>
        <w:t>. הגמרא מספרת שכהן אחד דקר פעם בחור למוות בסכין של המקדש, ואבי הנרצח, שמצא את בנו מפרפר, העיר: “ועדיין בני מפרפר ולא נטמאה סכין” [שלא נגעה במת].</w:t>
      </w:r>
    </w:p>
    <w:p w14:paraId="32D4D0C5" w14:textId="77777777" w:rsidR="00AB3647" w:rsidRDefault="00000000" w:rsidP="007923E9">
      <w:pPr>
        <w:spacing w:after="100" w:line="276" w:lineRule="auto"/>
        <w:ind w:firstLine="340"/>
        <w:jc w:val="both"/>
      </w:pPr>
      <w:r>
        <w:rPr>
          <w:rtl/>
        </w:rPr>
        <w:t xml:space="preserve">בעקבות הערת האב בא דיון מעמיק: האם היא משקפת קלות ראש של אותו דור ברציחה, בעוד הקפדתו על טהרה הייתה כרגיל, או שמא היא מבטאת עד כמה דקדק אותו דור </w:t>
      </w:r>
      <w:proofErr w:type="spellStart"/>
      <w:r>
        <w:rPr>
          <w:rtl/>
        </w:rPr>
        <w:t>בטהרת</w:t>
      </w:r>
      <w:proofErr w:type="spellEnd"/>
      <w:r>
        <w:rPr>
          <w:rtl/>
        </w:rPr>
        <w:t xml:space="preserve"> כלי המקדש, בעוד יחסו לשפיכות דמים היה כמקובל?</w:t>
      </w:r>
    </w:p>
    <w:p w14:paraId="2959EC8F" w14:textId="77777777" w:rsidR="00AB3647" w:rsidRDefault="00000000" w:rsidP="007923E9">
      <w:pPr>
        <w:spacing w:after="100" w:line="276" w:lineRule="auto"/>
        <w:ind w:firstLine="340"/>
        <w:jc w:val="both"/>
      </w:pPr>
      <w:r>
        <w:rPr>
          <w:rtl/>
        </w:rPr>
        <w:t>ר׳ חיים מצביע על כך שיש לנו כאן דוגמה לכך שמעשה אחד או אמירה אחת יכולים לגלות שתי תכונות מנוגדות בתכלית. אותו אב יכול היה להיות התגלמות הרשע, אטום אפילו לחיי ילדו שלו, ויכול היה להיות צדיק כל כך, שגם ברגע ייסוריו הקיצוניים עדיין הייתה קדושת בית המקדש לנגד עיניו.</w:t>
      </w:r>
    </w:p>
    <w:p w14:paraId="79D4FF5D" w14:textId="77777777" w:rsidR="00AB3647" w:rsidRDefault="00000000" w:rsidP="007923E9">
      <w:pPr>
        <w:spacing w:after="100" w:line="276" w:lineRule="auto"/>
        <w:ind w:firstLine="340"/>
        <w:jc w:val="both"/>
      </w:pPr>
      <w:r>
        <w:rPr>
          <w:rtl/>
        </w:rPr>
        <w:t xml:space="preserve">כך גם כשאנו מדברים על “חסרונות” של גדולי תורה: האם נוכל לקבוע בוודאות שמעשיהם מעידים על פגמי אופי, ולא על גילוי של תכונות אחרות, נדירות אך חיוביות? כשמציגים עובדות על גדולי תורה, חריגות ככל שיהיו, לעולם איננו יכולים לקבוע </w:t>
      </w:r>
      <w:proofErr w:type="spellStart"/>
      <w:r>
        <w:rPr>
          <w:rtl/>
        </w:rPr>
        <w:t>חד־משמעית</w:t>
      </w:r>
      <w:proofErr w:type="spellEnd"/>
      <w:r>
        <w:rPr>
          <w:rtl/>
        </w:rPr>
        <w:t xml:space="preserve"> שהן מעידות על חולשות ופגמים; ומאחר שהן יכולות להיות ביטוי של מעלות נדירות או של חולשות אנוש מצויות, אנו בוחרים באפשרות הראשונה כשאנו מתארים אישים גדולים.</w:t>
      </w:r>
      <w:bookmarkStart w:id="66" w:name="_fnr65"/>
      <w:r>
        <w:rPr>
          <w:rStyle w:val="a5"/>
        </w:rPr>
        <w:footnoteReference w:id="65" w:customMarkFollows="0"/>
      </w:r>
      <w:bookmarkEnd w:id="66"/>
    </w:p>
    <w:p w14:paraId="7B5595AE" w14:textId="77777777" w:rsidR="00AB3647" w:rsidRDefault="00000000" w:rsidP="007923E9">
      <w:pPr>
        <w:spacing w:after="100" w:line="276" w:lineRule="auto"/>
        <w:ind w:firstLine="340"/>
        <w:jc w:val="both"/>
      </w:pPr>
      <w:r>
        <w:rPr>
          <w:rtl/>
        </w:rPr>
        <w:t xml:space="preserve">לסיכום: אין אנו יכולים לשפוט ולהעריך מעשה זה או אחר של אנשי התורה בדורות הקודמים – ומאותה סיבה גם אין אנו יכולים לפתור את בעיותינו בדרכים המסוימות שבהן </w:t>
      </w:r>
      <w:r>
        <w:rPr>
          <w:rtl/>
        </w:rPr>
        <w:lastRenderedPageBreak/>
        <w:t>פתרו הם את בעיותיהם. אם לשנות מעט את לשון הנביא</w:t>
      </w:r>
      <w:bookmarkStart w:id="67" w:name="_fnr66"/>
      <w:r>
        <w:rPr>
          <w:rStyle w:val="a5"/>
        </w:rPr>
        <w:footnoteReference w:id="66" w:customMarkFollows="0"/>
      </w:r>
      <w:bookmarkEnd w:id="67"/>
      <w:r>
        <w:rPr>
          <w:rtl/>
        </w:rPr>
        <w:t>: “כי לא מחשבותיהם מחשבותינו ולא דרכיהם דרכינו... כי גבהו שמים מארץ כן גבהו דרכיהם מדרכינו ומחשבותיהם ממחשבותינו”.</w:t>
      </w:r>
    </w:p>
    <w:p w14:paraId="1D5C4101" w14:textId="77777777" w:rsidR="00AB3647" w:rsidRDefault="00000000" w:rsidP="007923E9">
      <w:pPr>
        <w:spacing w:after="100" w:line="276" w:lineRule="auto"/>
        <w:ind w:firstLine="340"/>
        <w:jc w:val="both"/>
      </w:pPr>
      <w:r>
        <w:rPr>
          <w:rtl/>
        </w:rPr>
        <w:t xml:space="preserve">ועם זאת יש לנו הרבה ללמוד מהם: לא את השלמות – שאינה צריכה דוגמה, ושכל אדם חייב לשאוף אליה לפי אישיותו שלו – אלא את מניעיהם ואת האידיאלים שלהם, את </w:t>
      </w:r>
      <w:proofErr w:type="spellStart"/>
      <w:r>
        <w:rPr>
          <w:rtl/>
        </w:rPr>
        <w:t>אמיתותם</w:t>
      </w:r>
      <w:proofErr w:type="spellEnd"/>
      <w:r>
        <w:rPr>
          <w:rtl/>
        </w:rPr>
        <w:t xml:space="preserve"> ואת תמימותם, את חסדם ואת אהבת התורה שלהם. אלה משמשים מגדלורים בנתיבות חיינו.</w:t>
      </w:r>
    </w:p>
    <w:p w14:paraId="77368286" w14:textId="77777777" w:rsidR="00AB3647" w:rsidRDefault="00AB3647" w:rsidP="007923E9">
      <w:pPr>
        <w:spacing w:line="276" w:lineRule="auto"/>
        <w:sectPr w:rsidR="00AB3647">
          <w:footerReference w:type="default" r:id="rId8"/>
          <w:footnotePr>
            <w:pos w:val="pageBottom"/>
            <w:numRestart w:val="eachSect"/>
          </w:footnotePr>
          <w:pgSz w:w="9638" w:h="13606"/>
          <w:pgMar w:top="1134" w:right="1077" w:bottom="1134" w:left="1077" w:header="567" w:footer="567" w:gutter="0"/>
          <w:cols w:space="720"/>
          <w:bidi/>
          <w:docGrid w:linePitch="360"/>
        </w:sectPr>
      </w:pPr>
    </w:p>
    <w:p w14:paraId="013A539B" w14:textId="77777777" w:rsidR="00AB3647" w:rsidRDefault="00000000" w:rsidP="007923E9">
      <w:pPr>
        <w:pStyle w:val="1"/>
        <w:spacing w:line="276" w:lineRule="auto"/>
      </w:pPr>
      <w:bookmarkStart w:id="68" w:name="b0_intro"/>
      <w:r>
        <w:rPr>
          <w:b w:val="0"/>
        </w:rPr>
        <w:lastRenderedPageBreak/>
        <w:t>מבוא</w:t>
      </w:r>
      <w:bookmarkEnd w:id="68"/>
    </w:p>
    <w:p w14:paraId="35A61DC7" w14:textId="77777777" w:rsidR="00AB3647" w:rsidRDefault="00000000" w:rsidP="007923E9">
      <w:pPr>
        <w:spacing w:after="100" w:line="276" w:lineRule="auto"/>
        <w:ind w:firstLine="340"/>
        <w:jc w:val="both"/>
      </w:pPr>
      <w:r>
        <w:rPr>
          <w:rtl/>
        </w:rPr>
        <w:t xml:space="preserve">לפני שיפתח הקורא בתולדות חייו של אדם גדול, ראוי לדון בשאלה אם ספרי תולדותיהם של גדולי ישראל ראויים בכלל לפרסום ולקריאה. השאלה נגעה יותר לספרים הקודמים – </w:t>
      </w:r>
      <w:r>
        <w:t>Reb Yaakov</w:t>
      </w:r>
      <w:r>
        <w:rPr>
          <w:rtl/>
        </w:rPr>
        <w:t xml:space="preserve"> באנגלית </w:t>
      </w:r>
      <w:proofErr w:type="spellStart"/>
      <w:r>
        <w:rPr>
          <w:rtl/>
        </w:rPr>
        <w:t>ו“רבי</w:t>
      </w:r>
      <w:proofErr w:type="spellEnd"/>
      <w:r>
        <w:rPr>
          <w:rtl/>
        </w:rPr>
        <w:t xml:space="preserve"> יעקב” בעברית – שהם ספרים העוסקים בתולדות אבי ממש. לספר שלפנינו היא נוגעת פחות, שכן הוא אומנם החל כספר תולדות, אבל התפתח לדבר אחר, כמוסבר בפסקה המתחילה “אין בידינו, כמובן, להכריע” שבמבוא זה. אף על פי כן לא מחקתי את הדיון החשוב שלהלן, שכן כדברי חז״ל על משניות</w:t>
      </w:r>
      <w:bookmarkStart w:id="69" w:name="_fnr67"/>
      <w:r>
        <w:rPr>
          <w:rStyle w:val="a5"/>
        </w:rPr>
        <w:footnoteReference w:id="67" w:customMarkFollows="0"/>
      </w:r>
      <w:bookmarkEnd w:id="69"/>
      <w:r>
        <w:rPr>
          <w:rtl/>
        </w:rPr>
        <w:t xml:space="preserve"> – ואני מרשה לעצמי להחיל זאת על כל עיסוק ראוי – “משנה לא זזה ממקומה” (אף שעבר זמנה).</w:t>
      </w:r>
    </w:p>
    <w:p w14:paraId="40D1252C" w14:textId="77777777" w:rsidR="00AB3647" w:rsidRDefault="00000000" w:rsidP="007923E9">
      <w:pPr>
        <w:spacing w:after="100" w:line="276" w:lineRule="auto"/>
        <w:ind w:firstLine="340"/>
        <w:jc w:val="both"/>
      </w:pPr>
      <w:r>
        <w:rPr>
          <w:rtl/>
        </w:rPr>
        <w:t>המדרש</w:t>
      </w:r>
      <w:bookmarkStart w:id="70" w:name="_fnr68"/>
      <w:r>
        <w:rPr>
          <w:rStyle w:val="a5"/>
        </w:rPr>
        <w:footnoteReference w:id="68" w:customMarkFollows="0"/>
      </w:r>
      <w:bookmarkEnd w:id="70"/>
      <w:r>
        <w:rPr>
          <w:rtl/>
        </w:rPr>
        <w:t xml:space="preserve"> אומר: “כשם שהקב״ה מתעסק בשבחן של צדיקים לפרסמן בעולם, כך מתעסק בגנותן של רשעים לפרסמן בעולם”. מפרש המדרש “ידי משה” מבאר: “באמת הקב״ה לא מפרסם החטאים בישראל, ומפני זה כל שבעים שנה בא דבר בעולם ומכלה ממזרים ונוטל עמהם כשרים כדי שלא לפרסם את החטאים, ומפרסם גנותן רק כדי להודיע גדלות הצדיקים”.</w:t>
      </w:r>
      <w:bookmarkStart w:id="71" w:name="_fnr69"/>
      <w:r>
        <w:rPr>
          <w:rStyle w:val="a5"/>
        </w:rPr>
        <w:footnoteReference w:id="69" w:customMarkFollows="0"/>
      </w:r>
      <w:bookmarkEnd w:id="71"/>
    </w:p>
    <w:p w14:paraId="328BF209" w14:textId="77777777" w:rsidR="00AB3647" w:rsidRDefault="00000000" w:rsidP="007923E9">
      <w:pPr>
        <w:spacing w:after="100" w:line="276" w:lineRule="auto"/>
        <w:ind w:firstLine="340"/>
        <w:jc w:val="both"/>
      </w:pPr>
      <w:r>
        <w:rPr>
          <w:rtl/>
        </w:rPr>
        <w:t>מדרש זה הוא בלי ספק המקור לדברי “ספר המידות” (שמחברו אינו ידוע) בעניין שבח הצדיקים, שהרמב״ם מביא בפירושו למשנה.</w:t>
      </w:r>
      <w:bookmarkStart w:id="72" w:name="_fnr70"/>
      <w:r>
        <w:rPr>
          <w:rStyle w:val="a5"/>
        </w:rPr>
        <w:footnoteReference w:id="70" w:customMarkFollows="0"/>
      </w:r>
      <w:bookmarkEnd w:id="72"/>
      <w:r>
        <w:rPr>
          <w:rtl/>
        </w:rPr>
        <w:t xml:space="preserve"> ספר זה מחלק את הדיבור לחמישה סוגים לפי חיוב התורה (“דיבור לפי חיוב התורה”): “מצוה בו, נזהר ממנו, נמאס, אהוב, מותר”. בסוג הרביעי, “הנאהב”, הוא מונה: “לשבח החשובים ולהודות מעלותיהם כדי </w:t>
      </w:r>
      <w:proofErr w:type="spellStart"/>
      <w:r>
        <w:rPr>
          <w:rtl/>
        </w:rPr>
        <w:t>שיטבו</w:t>
      </w:r>
      <w:proofErr w:type="spellEnd"/>
      <w:r>
        <w:rPr>
          <w:rtl/>
        </w:rPr>
        <w:t xml:space="preserve"> מנהגיהם בעיני בני אדם וילכו בדרכיהם, ולגנות הרעים </w:t>
      </w:r>
      <w:proofErr w:type="spellStart"/>
      <w:r>
        <w:rPr>
          <w:rtl/>
        </w:rPr>
        <w:t>בפחיתיותיהם</w:t>
      </w:r>
      <w:proofErr w:type="spellEnd"/>
      <w:r>
        <w:rPr>
          <w:rtl/>
        </w:rPr>
        <w:t xml:space="preserve"> כדי שיתגנו פעולתם וזכרם בעיני בני אדם ויתרחקו מהם ולא יתנהגו הם כמנהגיהם”. מאחר ששבח הצדיקים אינו נמנה בסוג הראשון, “</w:t>
      </w:r>
      <w:proofErr w:type="spellStart"/>
      <w:r>
        <w:rPr>
          <w:rtl/>
        </w:rPr>
        <w:t>המצוה</w:t>
      </w:r>
      <w:proofErr w:type="spellEnd"/>
      <w:r>
        <w:rPr>
          <w:rtl/>
        </w:rPr>
        <w:t xml:space="preserve"> בו”, ברור שהרמב״ם לא ראה במדרש קביעה – הנלמדת כביכול מהנהגתו של הקב״ה – שיש חובה מוחלטת “לשבח את הצדיקים”.</w:t>
      </w:r>
    </w:p>
    <w:p w14:paraId="3DD11012" w14:textId="77777777" w:rsidR="00AB3647" w:rsidRDefault="00000000" w:rsidP="007923E9">
      <w:pPr>
        <w:spacing w:after="100" w:line="276" w:lineRule="auto"/>
        <w:ind w:firstLine="340"/>
        <w:jc w:val="both"/>
      </w:pPr>
      <w:r>
        <w:rPr>
          <w:rtl/>
        </w:rPr>
        <w:t>ועיין עוד בשערי תשובה לרבנו יונה</w:t>
      </w:r>
      <w:bookmarkStart w:id="73" w:name="_fnr71"/>
      <w:r>
        <w:rPr>
          <w:rStyle w:val="a5"/>
        </w:rPr>
        <w:footnoteReference w:id="71" w:customMarkFollows="0"/>
      </w:r>
      <w:bookmarkEnd w:id="73"/>
      <w:r>
        <w:rPr>
          <w:rtl/>
        </w:rPr>
        <w:t xml:space="preserve">, </w:t>
      </w:r>
      <w:proofErr w:type="spellStart"/>
      <w:r>
        <w:rPr>
          <w:rtl/>
        </w:rPr>
        <w:t>ש“ידוע</w:t>
      </w:r>
      <w:proofErr w:type="spellEnd"/>
      <w:r>
        <w:rPr>
          <w:rtl/>
        </w:rPr>
        <w:t xml:space="preserve"> הדבר כי מן </w:t>
      </w:r>
      <w:proofErr w:type="spellStart"/>
      <w:r>
        <w:rPr>
          <w:rtl/>
        </w:rPr>
        <w:t>המדות</w:t>
      </w:r>
      <w:proofErr w:type="spellEnd"/>
      <w:r>
        <w:rPr>
          <w:rtl/>
        </w:rPr>
        <w:t xml:space="preserve"> הנאות לספר בשבח החכמים והצדיקים”, ובמסילת ישרים</w:t>
      </w:r>
      <w:bookmarkStart w:id="74" w:name="_fnr72"/>
      <w:r>
        <w:rPr>
          <w:rStyle w:val="a5"/>
        </w:rPr>
        <w:footnoteReference w:id="72" w:customMarkFollows="0"/>
      </w:r>
      <w:bookmarkEnd w:id="74"/>
      <w:r>
        <w:rPr>
          <w:rtl/>
        </w:rPr>
        <w:t xml:space="preserve">: “תועיל הקריאה בסיפור מעשה החסידים באגדות אשר באו שם לקנות החסידות, כי כל אלה מעוררים את השכל </w:t>
      </w:r>
      <w:proofErr w:type="spellStart"/>
      <w:r>
        <w:rPr>
          <w:rtl/>
        </w:rPr>
        <w:t>להתיעץ</w:t>
      </w:r>
      <w:proofErr w:type="spellEnd"/>
      <w:r>
        <w:rPr>
          <w:rtl/>
        </w:rPr>
        <w:t xml:space="preserve"> ולעשות כמעשיהם הנחמדים”. משמע מדבריהם שסיפור מעשי החסידים אינו חובה, אלא רק דרך מומלצת להשגת מדרגות קדושה גבוהות יותר.</w:t>
      </w:r>
    </w:p>
    <w:p w14:paraId="18626359" w14:textId="77777777" w:rsidR="00AB3647" w:rsidRDefault="00000000" w:rsidP="007923E9">
      <w:pPr>
        <w:spacing w:after="100" w:line="276" w:lineRule="auto"/>
        <w:ind w:firstLine="340"/>
        <w:jc w:val="both"/>
      </w:pPr>
      <w:r>
        <w:rPr>
          <w:rtl/>
        </w:rPr>
        <w:lastRenderedPageBreak/>
        <w:t xml:space="preserve">גם מפירוש </w:t>
      </w:r>
      <w:proofErr w:type="spellStart"/>
      <w:r>
        <w:rPr>
          <w:rtl/>
        </w:rPr>
        <w:t>מהרז״ו</w:t>
      </w:r>
      <w:proofErr w:type="spellEnd"/>
      <w:r>
        <w:rPr>
          <w:rtl/>
        </w:rPr>
        <w:t xml:space="preserve"> על המדרש עולה שלדעת מחברו אין חובה גמורה לספר בשבח הצדיקים. על דברי המדרש </w:t>
      </w:r>
      <w:proofErr w:type="spellStart"/>
      <w:r>
        <w:rPr>
          <w:rtl/>
        </w:rPr>
        <w:t>ש“הקב״ה</w:t>
      </w:r>
      <w:proofErr w:type="spellEnd"/>
      <w:r>
        <w:rPr>
          <w:rtl/>
        </w:rPr>
        <w:t xml:space="preserve"> מתעסק בשבחן של צדיקים לפרסמן” הוא מוסיף שהדבר נעשה לתכלית, כדי שבני אדם ילכו בעקבות מעשי המשובחים. כל המקורות הנזכרים, מלבד מסילת ישרים, עוסקים בחשיבות שבחם של צדיקים </w:t>
      </w:r>
      <w:r>
        <w:rPr>
          <w:b/>
          <w:bCs/>
          <w:rtl/>
        </w:rPr>
        <w:t>בני הדור</w:t>
      </w:r>
      <w:r>
        <w:rPr>
          <w:rtl/>
        </w:rPr>
        <w:t>, ולא בעיון בדמויות היסטוריות, שבו עוסקים הספרים שאנו דנים בהם כאן.</w:t>
      </w:r>
    </w:p>
    <w:p w14:paraId="118A1AE3" w14:textId="77777777" w:rsidR="00AB3647" w:rsidRDefault="00000000" w:rsidP="007923E9">
      <w:pPr>
        <w:spacing w:after="100" w:line="276" w:lineRule="auto"/>
        <w:ind w:firstLine="340"/>
        <w:jc w:val="both"/>
      </w:pPr>
      <w:r>
        <w:rPr>
          <w:rtl/>
        </w:rPr>
        <w:t xml:space="preserve">נראה שגם גדולי התורה שכרך זה מתאר, בני הדור שבו הוא עוסק ברובו, ראו </w:t>
      </w:r>
      <w:proofErr w:type="spellStart"/>
      <w:r>
        <w:rPr>
          <w:rtl/>
        </w:rPr>
        <w:t>ב“שבח</w:t>
      </w:r>
      <w:proofErr w:type="spellEnd"/>
      <w:r>
        <w:rPr>
          <w:rtl/>
        </w:rPr>
        <w:t xml:space="preserve"> הצדיקים” דבר שאינו בגדר חובה – והם כבר נגעו בשאלת שבחן של דמויות </w:t>
      </w:r>
      <w:r>
        <w:rPr>
          <w:b/>
          <w:bCs/>
          <w:rtl/>
        </w:rPr>
        <w:t>היסטוריות</w:t>
      </w:r>
      <w:r>
        <w:rPr>
          <w:rtl/>
        </w:rPr>
        <w:t xml:space="preserve"> גדולות. ראה למשל את האיגרת “עלבונה של תורה” מאת ר׳ </w:t>
      </w:r>
      <w:proofErr w:type="spellStart"/>
      <w:r>
        <w:rPr>
          <w:rtl/>
        </w:rPr>
        <w:t>יצחק־אלחנן</w:t>
      </w:r>
      <w:proofErr w:type="spellEnd"/>
      <w:r>
        <w:rPr>
          <w:rtl/>
        </w:rPr>
        <w:t xml:space="preserve"> </w:t>
      </w:r>
      <w:proofErr w:type="spellStart"/>
      <w:r>
        <w:rPr>
          <w:rtl/>
        </w:rPr>
        <w:t>ספקטור</w:t>
      </w:r>
      <w:proofErr w:type="spellEnd"/>
      <w:r>
        <w:rPr>
          <w:rtl/>
        </w:rPr>
        <w:t xml:space="preserve"> מקובנה</w:t>
      </w:r>
      <w:bookmarkStart w:id="75" w:name="_fnr73"/>
      <w:r>
        <w:rPr>
          <w:rStyle w:val="a5"/>
        </w:rPr>
        <w:footnoteReference w:id="73" w:customMarkFollows="0"/>
      </w:r>
      <w:bookmarkEnd w:id="75"/>
      <w:r>
        <w:rPr>
          <w:rtl/>
        </w:rPr>
        <w:t>, הקובעת שלימוד התורה וקיומה הם יסוד קיומו של עם ישראל.</w:t>
      </w:r>
    </w:p>
    <w:p w14:paraId="7A3629DD" w14:textId="77777777" w:rsidR="00AB3647" w:rsidRDefault="00000000" w:rsidP="007923E9">
      <w:pPr>
        <w:spacing w:after="100" w:line="276" w:lineRule="auto"/>
        <w:ind w:firstLine="340"/>
        <w:jc w:val="both"/>
      </w:pPr>
      <w:r>
        <w:rPr>
          <w:rtl/>
        </w:rPr>
        <w:t xml:space="preserve">באיגרת זו כותב ר׳ </w:t>
      </w:r>
      <w:proofErr w:type="spellStart"/>
      <w:r>
        <w:rPr>
          <w:rtl/>
        </w:rPr>
        <w:t>יצחק־אלחנן</w:t>
      </w:r>
      <w:bookmarkStart w:id="76" w:name="_fnr74"/>
      <w:proofErr w:type="spellEnd"/>
      <w:r>
        <w:rPr>
          <w:rStyle w:val="a5"/>
        </w:rPr>
        <w:footnoteReference w:id="74" w:customMarkFollows="0"/>
      </w:r>
      <w:bookmarkEnd w:id="76"/>
      <w:r>
        <w:rPr>
          <w:rtl/>
        </w:rPr>
        <w:t xml:space="preserve">: “יש בידינו </w:t>
      </w:r>
      <w:r>
        <w:rPr>
          <w:b/>
          <w:bCs/>
          <w:rtl/>
        </w:rPr>
        <w:t>פרפראות</w:t>
      </w:r>
      <w:r>
        <w:rPr>
          <w:rtl/>
        </w:rPr>
        <w:t xml:space="preserve"> רבות </w:t>
      </w:r>
      <w:proofErr w:type="spellStart"/>
      <w:r>
        <w:rPr>
          <w:rtl/>
        </w:rPr>
        <w:t>לחכמת</w:t>
      </w:r>
      <w:proofErr w:type="spellEnd"/>
      <w:r>
        <w:rPr>
          <w:rtl/>
        </w:rPr>
        <w:t xml:space="preserve"> התורה, כגון דקדוק לה״ק ודרכי הלשון, וכהנה עוד ידיעות חביבות, כתולדות גאוני ישראל והרפתקאותיהם </w:t>
      </w:r>
      <w:proofErr w:type="spellStart"/>
      <w:r>
        <w:rPr>
          <w:rtl/>
        </w:rPr>
        <w:t>דעדו</w:t>
      </w:r>
      <w:proofErr w:type="spellEnd"/>
      <w:r>
        <w:rPr>
          <w:rtl/>
        </w:rPr>
        <w:t xml:space="preserve"> עליהן, המעידות ומודיעות עד כמה מסרו נפשם בעד עסק התורה וקיום האומה בה. אבל חלילה להעלותן, כשהן לעצמן, במעלות התורה, ומשנה מפורשת היא: ‘</w:t>
      </w:r>
      <w:proofErr w:type="spellStart"/>
      <w:r>
        <w:rPr>
          <w:rtl/>
        </w:rPr>
        <w:t>קינין</w:t>
      </w:r>
      <w:proofErr w:type="spellEnd"/>
      <w:r>
        <w:rPr>
          <w:rtl/>
        </w:rPr>
        <w:t xml:space="preserve"> ופתחי נדה – הן </w:t>
      </w:r>
      <w:proofErr w:type="spellStart"/>
      <w:r>
        <w:rPr>
          <w:rtl/>
        </w:rPr>
        <w:t>הן</w:t>
      </w:r>
      <w:proofErr w:type="spellEnd"/>
      <w:r>
        <w:rPr>
          <w:rtl/>
        </w:rPr>
        <w:t xml:space="preserve"> גופי הלכות; תקופות </w:t>
      </w:r>
      <w:proofErr w:type="spellStart"/>
      <w:r>
        <w:rPr>
          <w:rtl/>
        </w:rPr>
        <w:t>וגימטריאות</w:t>
      </w:r>
      <w:proofErr w:type="spellEnd"/>
      <w:r>
        <w:rPr>
          <w:rtl/>
        </w:rPr>
        <w:t xml:space="preserve"> – </w:t>
      </w:r>
      <w:r>
        <w:rPr>
          <w:b/>
          <w:bCs/>
          <w:rtl/>
        </w:rPr>
        <w:t>פרפראות</w:t>
      </w:r>
      <w:r>
        <w:rPr>
          <w:rtl/>
        </w:rPr>
        <w:t xml:space="preserve"> לחכמה’,</w:t>
      </w:r>
      <w:bookmarkStart w:id="77" w:name="_fnr75"/>
      <w:r>
        <w:rPr>
          <w:rStyle w:val="a5"/>
        </w:rPr>
        <w:footnoteReference w:id="75" w:customMarkFollows="0"/>
      </w:r>
      <w:bookmarkEnd w:id="77"/>
      <w:r>
        <w:rPr>
          <w:rtl/>
        </w:rPr>
        <w:t xml:space="preserve"> ר״ל </w:t>
      </w:r>
      <w:proofErr w:type="spellStart"/>
      <w:r>
        <w:rPr>
          <w:rtl/>
        </w:rPr>
        <w:t>לחכמת</w:t>
      </w:r>
      <w:proofErr w:type="spellEnd"/>
      <w:r>
        <w:rPr>
          <w:rtl/>
        </w:rPr>
        <w:t xml:space="preserve"> התורה” (ההדגשה שלי). ר׳ </w:t>
      </w:r>
      <w:proofErr w:type="spellStart"/>
      <w:r>
        <w:rPr>
          <w:rtl/>
        </w:rPr>
        <w:t>יצחק־אלחנן</w:t>
      </w:r>
      <w:proofErr w:type="spellEnd"/>
      <w:r>
        <w:rPr>
          <w:rtl/>
        </w:rPr>
        <w:t xml:space="preserve"> רואה אם כן </w:t>
      </w:r>
      <w:proofErr w:type="spellStart"/>
      <w:r>
        <w:rPr>
          <w:rtl/>
        </w:rPr>
        <w:t>ב“שבח</w:t>
      </w:r>
      <w:proofErr w:type="spellEnd"/>
      <w:r>
        <w:rPr>
          <w:rtl/>
        </w:rPr>
        <w:t xml:space="preserve"> הצדיקים” – לכל הפחות של הדורות הקודמים – “פרפרת” בלבד.</w:t>
      </w:r>
    </w:p>
    <w:p w14:paraId="0AF0F45B" w14:textId="77777777" w:rsidR="00AB3647" w:rsidRDefault="00000000" w:rsidP="007923E9">
      <w:pPr>
        <w:spacing w:after="100" w:line="276" w:lineRule="auto"/>
        <w:ind w:firstLine="340"/>
        <w:jc w:val="both"/>
      </w:pPr>
      <w:r>
        <w:rPr>
          <w:rtl/>
        </w:rPr>
        <w:t xml:space="preserve">ראש הישיבה האחרון של ישיבת </w:t>
      </w:r>
      <w:proofErr w:type="spellStart"/>
      <w:r>
        <w:rPr>
          <w:rtl/>
        </w:rPr>
        <w:t>וולוז׳ין</w:t>
      </w:r>
      <w:proofErr w:type="spellEnd"/>
      <w:r>
        <w:rPr>
          <w:rtl/>
        </w:rPr>
        <w:t xml:space="preserve"> המפוארת, ר׳ </w:t>
      </w:r>
      <w:proofErr w:type="spellStart"/>
      <w:r>
        <w:rPr>
          <w:rtl/>
        </w:rPr>
        <w:t>נפתלי־צבי־יהודה</w:t>
      </w:r>
      <w:proofErr w:type="spellEnd"/>
      <w:r>
        <w:rPr>
          <w:rtl/>
        </w:rPr>
        <w:t xml:space="preserve"> ברלין (</w:t>
      </w:r>
      <w:proofErr w:type="spellStart"/>
      <w:r>
        <w:rPr>
          <w:rtl/>
        </w:rPr>
        <w:t>הנצי״ב</w:t>
      </w:r>
      <w:proofErr w:type="spellEnd"/>
      <w:r>
        <w:rPr>
          <w:rtl/>
        </w:rPr>
        <w:t>), סירב אף הוא – כך מעיד “עדות נאמנה” בנו ר׳ חיים</w:t>
      </w:r>
      <w:bookmarkStart w:id="78" w:name="_fnr76"/>
      <w:r>
        <w:rPr>
          <w:rStyle w:val="a5"/>
        </w:rPr>
        <w:footnoteReference w:id="76" w:customMarkFollows="0"/>
      </w:r>
      <w:bookmarkEnd w:id="78"/>
      <w:r>
        <w:rPr>
          <w:rtl/>
        </w:rPr>
        <w:t xml:space="preserve"> – לקרוא חומר ביוגרפי על ר׳ עקיבא איגר.</w:t>
      </w:r>
      <w:bookmarkStart w:id="79" w:name="_fnr77"/>
      <w:r>
        <w:rPr>
          <w:rStyle w:val="a5"/>
        </w:rPr>
        <w:footnoteReference w:id="77" w:customMarkFollows="0"/>
      </w:r>
      <w:bookmarkEnd w:id="79"/>
      <w:r>
        <w:rPr>
          <w:rtl/>
        </w:rPr>
        <w:t xml:space="preserve"> </w:t>
      </w:r>
      <w:proofErr w:type="spellStart"/>
      <w:r>
        <w:rPr>
          <w:rtl/>
        </w:rPr>
        <w:t>הנצי״ב</w:t>
      </w:r>
      <w:proofErr w:type="spellEnd"/>
      <w:r>
        <w:rPr>
          <w:rtl/>
        </w:rPr>
        <w:t xml:space="preserve"> אמר: “מה יצא לי מכך שאדע את יום הולדתו או את יום פטירתו, או את קלסתר פניו – אם כך היה או כך? והעיקר הוא לשום עין ולב לדברי תורתו”. ועוד אמר, לפי המסופר, בחריפות: “כל הדברים האלה הם מתחבולות השטן, שהצליח בדורנו למצוא דרכים להסיח אף רבנים גדולים בתורה וביראה משקידת תלמודם. מאחר שאנשים כאלה לא ימשכו אחר ‘ספרים חיצונים בדברים בטלים’, ביקש למצוא גם להם תחבולה – להכשילם </w:t>
      </w:r>
      <w:proofErr w:type="spellStart"/>
      <w:r>
        <w:rPr>
          <w:rtl/>
        </w:rPr>
        <w:t>ב‘ביטול</w:t>
      </w:r>
      <w:proofErr w:type="spellEnd"/>
      <w:r>
        <w:rPr>
          <w:rtl/>
        </w:rPr>
        <w:t xml:space="preserve"> תורה’ בדרכים שיצודו את לבם. ואחת מדרכים אלה היא העיסוק בתולדות חייהם של גדולי התורה”.</w:t>
      </w:r>
    </w:p>
    <w:p w14:paraId="58DAFE48" w14:textId="77777777" w:rsidR="00AB3647" w:rsidRDefault="00000000" w:rsidP="007923E9">
      <w:pPr>
        <w:spacing w:after="100" w:line="276" w:lineRule="auto"/>
        <w:ind w:firstLine="340"/>
        <w:jc w:val="both"/>
      </w:pPr>
      <w:r>
        <w:rPr>
          <w:rtl/>
        </w:rPr>
        <w:t xml:space="preserve">ר׳ חיים ברלין סיפר זאת בתגובה לתלונתו של אחד מתלמידי אביו, שבחמש השנים שעברו מאז פטירת ראש הישיבה לא יצא לאור ספר ביוגרפי עליו. התלמיד הציע לתקן זאת בעצמו, וקיבל מבנו של </w:t>
      </w:r>
      <w:proofErr w:type="spellStart"/>
      <w:r>
        <w:rPr>
          <w:rtl/>
        </w:rPr>
        <w:t>הנצי״ב</w:t>
      </w:r>
      <w:proofErr w:type="spellEnd"/>
      <w:r>
        <w:rPr>
          <w:rtl/>
        </w:rPr>
        <w:t xml:space="preserve"> את התשובה המאכזבת הזאת.</w:t>
      </w:r>
    </w:p>
    <w:p w14:paraId="6459E4F9" w14:textId="77777777" w:rsidR="00AB3647" w:rsidRDefault="00000000" w:rsidP="007923E9">
      <w:pPr>
        <w:spacing w:after="100" w:line="276" w:lineRule="auto"/>
        <w:ind w:firstLine="340"/>
        <w:jc w:val="both"/>
      </w:pPr>
      <w:r>
        <w:rPr>
          <w:rtl/>
        </w:rPr>
        <w:t xml:space="preserve">עם זאת, הבן עצמו לא הסתייג </w:t>
      </w:r>
      <w:proofErr w:type="spellStart"/>
      <w:r>
        <w:rPr>
          <w:rtl/>
        </w:rPr>
        <w:t>מ“שבח</w:t>
      </w:r>
      <w:proofErr w:type="spellEnd"/>
      <w:r>
        <w:rPr>
          <w:rtl/>
        </w:rPr>
        <w:t xml:space="preserve"> הצדיקים” במידה שהסתייג אביו. הפסקה האחרונה של מכתבו לתלמיד אביו אומרת: “ויודע אני שתמצא דרכים ושבילים למטרתך דרך רבבות אלפי תלמידיו [של אבי] הפזורים בעולם. </w:t>
      </w:r>
      <w:proofErr w:type="spellStart"/>
      <w:r>
        <w:rPr>
          <w:rtl/>
        </w:rPr>
        <w:t>ולעניני</w:t>
      </w:r>
      <w:proofErr w:type="spellEnd"/>
      <w:r>
        <w:rPr>
          <w:rtl/>
        </w:rPr>
        <w:t xml:space="preserve"> יחוסו והשתלשלותו בעולם וכדומה, יש לך אתך בווילנה את אחיו, דודי [ששמי כשמו] ר׳ חיים ברלין; ואם נעלמו ממנו פרטים, בזה תוכל </w:t>
      </w:r>
      <w:r>
        <w:rPr>
          <w:rtl/>
        </w:rPr>
        <w:lastRenderedPageBreak/>
        <w:t>לשאול אותי בפירוש מה חסר לך, ואודיעך מה שאני יודע. אבל [על ידי] הפסקת לימודי או עסקי הציבור כדי להקדיש לכך זמן – יודע אני שלא אקיים בזה חובת ‘מכבדו במותו’.</w:t>
      </w:r>
      <w:bookmarkStart w:id="80" w:name="_fnr78"/>
      <w:r>
        <w:rPr>
          <w:rStyle w:val="a5"/>
        </w:rPr>
        <w:footnoteReference w:id="78" w:customMarkFollows="0"/>
      </w:r>
      <w:bookmarkEnd w:id="80"/>
      <w:r>
        <w:rPr>
          <w:rtl/>
        </w:rPr>
        <w:t xml:space="preserve"> </w:t>
      </w:r>
      <w:r>
        <w:rPr>
          <w:b/>
          <w:bCs/>
          <w:rtl/>
        </w:rPr>
        <w:t>אף אם אולי</w:t>
      </w:r>
      <w:r>
        <w:rPr>
          <w:rtl/>
        </w:rPr>
        <w:t xml:space="preserve"> יש בזה [בכתיבת תולדות אבי] </w:t>
      </w:r>
      <w:r>
        <w:rPr>
          <w:b/>
          <w:bCs/>
          <w:rtl/>
        </w:rPr>
        <w:t>איזו מצוה</w:t>
      </w:r>
      <w:r>
        <w:rPr>
          <w:rtl/>
        </w:rPr>
        <w:t xml:space="preserve"> [‘אחד’, כך במקור], הרי זו מצוה שאפשר לעשותה על ידי אחרים, ולא [דווקא] על ידי, כנ״ל” (ההדגשה שלי).</w:t>
      </w:r>
      <w:bookmarkStart w:id="81" w:name="_fnr79"/>
      <w:r>
        <w:rPr>
          <w:rStyle w:val="a5"/>
        </w:rPr>
        <w:footnoteReference w:id="79" w:customMarkFollows="0"/>
      </w:r>
      <w:bookmarkEnd w:id="81"/>
    </w:p>
    <w:p w14:paraId="67B215F9" w14:textId="77777777" w:rsidR="00AB3647" w:rsidRDefault="00000000" w:rsidP="007923E9">
      <w:pPr>
        <w:spacing w:after="100" w:line="276" w:lineRule="auto"/>
        <w:ind w:firstLine="340"/>
        <w:jc w:val="both"/>
      </w:pPr>
      <w:r>
        <w:rPr>
          <w:rtl/>
        </w:rPr>
        <w:t>מן המילים המודגשות עולה שר׳ חיים ברלין הודה בעל כורחו שיש “אולי איזו מצוה” בשבח הצדיקים – כמו שמלמד המדרש שהובא לעיל – ואף בשבחם של צדיקים שהלכו לעולמם, צדיקי הדורות הקודמים.</w:t>
      </w:r>
      <w:bookmarkStart w:id="82" w:name="_fnr80"/>
      <w:r>
        <w:rPr>
          <w:rStyle w:val="a5"/>
        </w:rPr>
        <w:footnoteReference w:id="80" w:customMarkFollows="0"/>
      </w:r>
      <w:bookmarkEnd w:id="82"/>
    </w:p>
    <w:p w14:paraId="3601D26A" w14:textId="77777777" w:rsidR="00AB3647" w:rsidRDefault="00000000" w:rsidP="007923E9">
      <w:pPr>
        <w:spacing w:after="100" w:line="276" w:lineRule="auto"/>
        <w:ind w:firstLine="340"/>
        <w:jc w:val="both"/>
      </w:pPr>
      <w:r>
        <w:rPr>
          <w:rtl/>
        </w:rPr>
        <w:t xml:space="preserve">בן דורם של </w:t>
      </w:r>
      <w:proofErr w:type="spellStart"/>
      <w:r>
        <w:rPr>
          <w:rtl/>
        </w:rPr>
        <w:t>הנצי״ב</w:t>
      </w:r>
      <w:proofErr w:type="spellEnd"/>
      <w:r>
        <w:rPr>
          <w:rtl/>
        </w:rPr>
        <w:t xml:space="preserve"> ושל ר׳ </w:t>
      </w:r>
      <w:proofErr w:type="spellStart"/>
      <w:r>
        <w:rPr>
          <w:rtl/>
        </w:rPr>
        <w:t>יצחק־אלחנן</w:t>
      </w:r>
      <w:proofErr w:type="spellEnd"/>
      <w:r>
        <w:rPr>
          <w:rtl/>
        </w:rPr>
        <w:t xml:space="preserve">, ר׳ </w:t>
      </w:r>
      <w:proofErr w:type="spellStart"/>
      <w:r>
        <w:rPr>
          <w:rtl/>
        </w:rPr>
        <w:t>חיים־עוזר</w:t>
      </w:r>
      <w:proofErr w:type="spellEnd"/>
      <w:r>
        <w:rPr>
          <w:rtl/>
        </w:rPr>
        <w:t xml:space="preserve"> </w:t>
      </w:r>
      <w:proofErr w:type="spellStart"/>
      <w:r>
        <w:rPr>
          <w:rtl/>
        </w:rPr>
        <w:t>גרודזנסקי</w:t>
      </w:r>
      <w:proofErr w:type="spellEnd"/>
      <w:r>
        <w:rPr>
          <w:rtl/>
        </w:rPr>
        <w:t>,</w:t>
      </w:r>
      <w:bookmarkStart w:id="83" w:name="_fnr81"/>
      <w:r>
        <w:rPr>
          <w:rStyle w:val="a5"/>
        </w:rPr>
        <w:footnoteReference w:id="81" w:customMarkFollows="0"/>
      </w:r>
      <w:bookmarkEnd w:id="83"/>
      <w:r>
        <w:rPr>
          <w:rtl/>
        </w:rPr>
        <w:t xml:space="preserve"> מביע גם הוא הסתייגות מן החובה לשבח את הצדיקים. מכתב הסכמה שלו, שאינו נושא תאריך אבל נכתב לאחר פטירת </w:t>
      </w:r>
      <w:proofErr w:type="spellStart"/>
      <w:r>
        <w:rPr>
          <w:rtl/>
        </w:rPr>
        <w:t>החפץ־חיים</w:t>
      </w:r>
      <w:proofErr w:type="spellEnd"/>
      <w:r>
        <w:rPr>
          <w:rtl/>
        </w:rPr>
        <w:t xml:space="preserve">, כלומר באמצע שנות </w:t>
      </w:r>
      <w:proofErr w:type="spellStart"/>
      <w:r>
        <w:rPr>
          <w:rtl/>
        </w:rPr>
        <w:t>הת״ר־צ</w:t>
      </w:r>
      <w:proofErr w:type="spellEnd"/>
      <w:r>
        <w:rPr>
          <w:rtl/>
        </w:rPr>
        <w:t>׳, נדפס בספר “</w:t>
      </w:r>
      <w:proofErr w:type="spellStart"/>
      <w:r>
        <w:rPr>
          <w:rtl/>
        </w:rPr>
        <w:t>דאס</w:t>
      </w:r>
      <w:proofErr w:type="spellEnd"/>
      <w:r>
        <w:rPr>
          <w:rtl/>
        </w:rPr>
        <w:t xml:space="preserve"> </w:t>
      </w:r>
      <w:proofErr w:type="spellStart"/>
      <w:r>
        <w:rPr>
          <w:rtl/>
        </w:rPr>
        <w:t>לעבען</w:t>
      </w:r>
      <w:proofErr w:type="spellEnd"/>
      <w:r>
        <w:rPr>
          <w:rtl/>
        </w:rPr>
        <w:t xml:space="preserve"> און </w:t>
      </w:r>
      <w:proofErr w:type="spellStart"/>
      <w:r>
        <w:rPr>
          <w:rtl/>
        </w:rPr>
        <w:t>שאפען</w:t>
      </w:r>
      <w:proofErr w:type="spellEnd"/>
      <w:r>
        <w:rPr>
          <w:rtl/>
        </w:rPr>
        <w:t xml:space="preserve"> פון חפץ חיים”.</w:t>
      </w:r>
      <w:bookmarkStart w:id="84" w:name="_fnr82"/>
      <w:r>
        <w:rPr>
          <w:rStyle w:val="a5"/>
        </w:rPr>
        <w:footnoteReference w:id="82" w:customMarkFollows="0"/>
      </w:r>
      <w:bookmarkEnd w:id="84"/>
      <w:r>
        <w:rPr>
          <w:rtl/>
        </w:rPr>
        <w:t xml:space="preserve"> המכתב פותח בהערכה למשימה </w:t>
      </w:r>
      <w:proofErr w:type="spellStart"/>
      <w:r>
        <w:rPr>
          <w:rtl/>
        </w:rPr>
        <w:t>ה“בלתי</w:t>
      </w:r>
      <w:proofErr w:type="spellEnd"/>
      <w:r>
        <w:rPr>
          <w:rtl/>
        </w:rPr>
        <w:t xml:space="preserve"> אפשרית” שהמחבר הצליח לבצע (“בהיותו אצלו </w:t>
      </w:r>
      <w:proofErr w:type="spellStart"/>
      <w:r>
        <w:rPr>
          <w:rtl/>
        </w:rPr>
        <w:t>כבן־בית</w:t>
      </w:r>
      <w:proofErr w:type="spellEnd"/>
      <w:r>
        <w:rPr>
          <w:rtl/>
        </w:rPr>
        <w:t xml:space="preserve"> נאמן”), ומסיים במילים: “ומי </w:t>
      </w:r>
      <w:proofErr w:type="spellStart"/>
      <w:r>
        <w:rPr>
          <w:rtl/>
        </w:rPr>
        <w:t>יתן</w:t>
      </w:r>
      <w:proofErr w:type="spellEnd"/>
      <w:r>
        <w:rPr>
          <w:rtl/>
        </w:rPr>
        <w:t xml:space="preserve"> והי׳ לתועלת לזכות הרבים </w:t>
      </w:r>
      <w:proofErr w:type="spellStart"/>
      <w:r>
        <w:rPr>
          <w:rtl/>
        </w:rPr>
        <w:t>ולהתדבק</w:t>
      </w:r>
      <w:proofErr w:type="spellEnd"/>
      <w:r>
        <w:rPr>
          <w:rtl/>
        </w:rPr>
        <w:t xml:space="preserve"> במידותיו ולהתלמד ממעשיו”. סיום זה מביע תפילה ומשאלה בלבד, ולא את הציפייה שהייתה נובעת מחובה לספר במעשי צדיקים.</w:t>
      </w:r>
    </w:p>
    <w:p w14:paraId="7EF207FE" w14:textId="77777777" w:rsidR="00AB3647" w:rsidRDefault="00000000" w:rsidP="007923E9">
      <w:pPr>
        <w:spacing w:after="100" w:line="276" w:lineRule="auto"/>
        <w:ind w:firstLine="340"/>
        <w:jc w:val="both"/>
      </w:pPr>
      <w:r>
        <w:rPr>
          <w:rtl/>
        </w:rPr>
        <w:t xml:space="preserve">דעתו של ר׳ </w:t>
      </w:r>
      <w:proofErr w:type="spellStart"/>
      <w:r>
        <w:rPr>
          <w:rtl/>
        </w:rPr>
        <w:t>חיים־עוזר</w:t>
      </w:r>
      <w:proofErr w:type="spellEnd"/>
      <w:r>
        <w:rPr>
          <w:rtl/>
        </w:rPr>
        <w:t xml:space="preserve"> על ספרי תולדות של גדולי תורה עולה בקנה אחד עם יחסו המבטל ללימוד ההיסטוריה בכלל, שלפיו אין לרכוש ידיעות היסטוריות אלא דרך אגב. הוא ביטא זאת בהסכמה שכתב שלושים שנה קודם לכן, בשנת תרס״ז, לספר “דור ישרים”,</w:t>
      </w:r>
      <w:bookmarkStart w:id="85" w:name="_fnr83"/>
      <w:r>
        <w:rPr>
          <w:rStyle w:val="a5"/>
        </w:rPr>
        <w:footnoteReference w:id="83" w:customMarkFollows="0"/>
      </w:r>
      <w:bookmarkEnd w:id="85"/>
      <w:r>
        <w:rPr>
          <w:rtl/>
        </w:rPr>
        <w:t xml:space="preserve"> החולק על מסקנות הכפירה של ההיסטוריון היהודי הגליצאי </w:t>
      </w:r>
      <w:proofErr w:type="spellStart"/>
      <w:r>
        <w:rPr>
          <w:rtl/>
        </w:rPr>
        <w:t>אייזיק־הירש</w:t>
      </w:r>
      <w:proofErr w:type="spellEnd"/>
      <w:r>
        <w:rPr>
          <w:rtl/>
        </w:rPr>
        <w:t xml:space="preserve"> ווייס בספרו “דור </w:t>
      </w:r>
      <w:proofErr w:type="spellStart"/>
      <w:r>
        <w:rPr>
          <w:rtl/>
        </w:rPr>
        <w:t>דור</w:t>
      </w:r>
      <w:proofErr w:type="spellEnd"/>
      <w:r>
        <w:rPr>
          <w:rtl/>
        </w:rPr>
        <w:t xml:space="preserve"> ודורשיו”, שיצא לאור שלושים וחמש שנה קודם לכן. ר׳ </w:t>
      </w:r>
      <w:proofErr w:type="spellStart"/>
      <w:r>
        <w:rPr>
          <w:rtl/>
        </w:rPr>
        <w:t>חיים־עוזר</w:t>
      </w:r>
      <w:proofErr w:type="spellEnd"/>
      <w:r>
        <w:rPr>
          <w:rtl/>
        </w:rPr>
        <w:t xml:space="preserve"> קובע במכתבו שלימוד ההיסטוריה נעשה חשוב רק בעת החדשה, בשל הצורך להיאבק בהשפעתם הערמומית של הרפורמים בגרמניה ושל ממשיכי דרכם.</w:t>
      </w:r>
    </w:p>
    <w:p w14:paraId="26299329" w14:textId="77777777" w:rsidR="00AB3647" w:rsidRDefault="00000000" w:rsidP="007923E9">
      <w:pPr>
        <w:spacing w:after="100" w:line="276" w:lineRule="auto"/>
        <w:ind w:firstLine="340"/>
        <w:jc w:val="both"/>
      </w:pPr>
      <w:r>
        <w:rPr>
          <w:rtl/>
        </w:rPr>
        <w:t xml:space="preserve">ר׳ </w:t>
      </w:r>
      <w:proofErr w:type="spellStart"/>
      <w:r>
        <w:rPr>
          <w:rtl/>
        </w:rPr>
        <w:t>חיים־עוזר</w:t>
      </w:r>
      <w:proofErr w:type="spellEnd"/>
      <w:r>
        <w:rPr>
          <w:rtl/>
        </w:rPr>
        <w:t xml:space="preserve"> שולל את ערכו העצמי של לימוד ההיסטוריה וכותב: “גם עבודתם של הגדולים המעטים שעסקו [בחקר] ההיסטוריה נעשתה רק דרך אגב ובדרך העברה, ואילו עיקר זמנם הוקדש לידיעת התורה, ‘שארוכה מארץ מדה ורחבה מני ים’”.</w:t>
      </w:r>
      <w:bookmarkStart w:id="86" w:name="_fnr84"/>
      <w:r>
        <w:rPr>
          <w:rStyle w:val="a5"/>
        </w:rPr>
        <w:footnoteReference w:id="84" w:customMarkFollows="0"/>
      </w:r>
      <w:bookmarkEnd w:id="86"/>
      <w:r>
        <w:rPr>
          <w:rtl/>
        </w:rPr>
        <w:t xml:space="preserve"> כוונתו שענייני התורה </w:t>
      </w:r>
      <w:r>
        <w:rPr>
          <w:rtl/>
        </w:rPr>
        <w:lastRenderedPageBreak/>
        <w:t xml:space="preserve">של ממש שיש ללמוד מרובים מכדי שיוכל אדם להקדיש זמן לענייני </w:t>
      </w:r>
      <w:proofErr w:type="spellStart"/>
      <w:r>
        <w:rPr>
          <w:rtl/>
        </w:rPr>
        <w:t>ה“פרפראות</w:t>
      </w:r>
      <w:proofErr w:type="spellEnd"/>
      <w:r>
        <w:rPr>
          <w:rtl/>
        </w:rPr>
        <w:t xml:space="preserve">” שאינם הכרחיים, כגון ההיסטוריה. הוא מסיים בדברים ברורים: “גם אותם ‘גדולים מעטים [שעסקו בענייני ההיסטוריה]’ כיוונו את עיונם אל התורה לכל </w:t>
      </w:r>
      <w:proofErr w:type="spellStart"/>
      <w:r>
        <w:rPr>
          <w:rtl/>
        </w:rPr>
        <w:t>עניניה</w:t>
      </w:r>
      <w:proofErr w:type="spellEnd"/>
      <w:r>
        <w:rPr>
          <w:rtl/>
        </w:rPr>
        <w:t>, וממנה שאבו גם את ידיעותיהם בהיסטוריה. הם חקרו את עומק דברי רבותינו, ולא את תולדותיהם ומקומות מושבם”.</w:t>
      </w:r>
    </w:p>
    <w:p w14:paraId="23FF5759" w14:textId="77777777" w:rsidR="00AB3647" w:rsidRDefault="00000000" w:rsidP="007923E9">
      <w:pPr>
        <w:spacing w:after="100" w:line="276" w:lineRule="auto"/>
        <w:ind w:firstLine="340"/>
        <w:jc w:val="both"/>
      </w:pPr>
      <w:r>
        <w:rPr>
          <w:rtl/>
        </w:rPr>
        <w:t xml:space="preserve">גישה זו רחוקה מאוד מגישתו של ר׳ </w:t>
      </w:r>
      <w:proofErr w:type="spellStart"/>
      <w:r>
        <w:rPr>
          <w:rtl/>
        </w:rPr>
        <w:t>צבי־הירש</w:t>
      </w:r>
      <w:proofErr w:type="spellEnd"/>
      <w:r>
        <w:rPr>
          <w:rtl/>
        </w:rPr>
        <w:t xml:space="preserve"> חיות מבְּרוֹד שבגליציה ללימוד ההיסטוריה היהודית, שאותה הוא מכנה “חלק </w:t>
      </w:r>
      <w:proofErr w:type="spellStart"/>
      <w:r>
        <w:rPr>
          <w:rtl/>
        </w:rPr>
        <w:t>מחכמת</w:t>
      </w:r>
      <w:proofErr w:type="spellEnd"/>
      <w:r>
        <w:rPr>
          <w:rtl/>
        </w:rPr>
        <w:t xml:space="preserve"> התורה”.</w:t>
      </w:r>
      <w:bookmarkStart w:id="87" w:name="_fnr85"/>
      <w:r>
        <w:rPr>
          <w:rStyle w:val="a5"/>
        </w:rPr>
        <w:footnoteReference w:id="85" w:customMarkFollows="0"/>
      </w:r>
      <w:bookmarkEnd w:id="87"/>
      <w:r>
        <w:rPr>
          <w:rtl/>
        </w:rPr>
        <w:t xml:space="preserve"> כדי להוכיח שהרמב״ם לא התכוון בחיבורו “היד החזקה” לבטל את לימוד הש״ס והמדרשים, טוען הרב חיות </w:t>
      </w:r>
      <w:proofErr w:type="spellStart"/>
      <w:r>
        <w:rPr>
          <w:rtl/>
        </w:rPr>
        <w:t>ש“אין</w:t>
      </w:r>
      <w:proofErr w:type="spellEnd"/>
      <w:r>
        <w:rPr>
          <w:rtl/>
        </w:rPr>
        <w:t xml:space="preserve"> אדם בר דעת שיכחיש כי ידיעת קורות עמנו, בכלל ובפרט, הכרחית לכל משכיל אשר ה׳ חלקו – למען ידע מה עשה ה׳ עם </w:t>
      </w:r>
      <w:proofErr w:type="spellStart"/>
      <w:r>
        <w:rPr>
          <w:rtl/>
        </w:rPr>
        <w:t>עם</w:t>
      </w:r>
      <w:proofErr w:type="spellEnd"/>
      <w:r>
        <w:rPr>
          <w:rtl/>
        </w:rPr>
        <w:t xml:space="preserve"> זה, איך עמנו תמיד עולים ויורדים ומונהגים בהשגחה פרטית, ושבכל דור ודור עומדים עלינו לכלותנו ובכל עת ה׳ מעמיד מושיע נאמן המוסר נפשו להציל את ההמון הגדול הזה: גדול הרועה המצילם”.</w:t>
      </w:r>
      <w:bookmarkStart w:id="88" w:name="_fnr86"/>
      <w:r>
        <w:rPr>
          <w:rStyle w:val="a5"/>
        </w:rPr>
        <w:footnoteReference w:id="86" w:customMarkFollows="0"/>
      </w:r>
      <w:bookmarkEnd w:id="88"/>
    </w:p>
    <w:p w14:paraId="15C6C7CD" w14:textId="77777777" w:rsidR="00AB3647" w:rsidRDefault="00000000" w:rsidP="007923E9">
      <w:pPr>
        <w:spacing w:after="100" w:line="276" w:lineRule="auto"/>
        <w:ind w:firstLine="340"/>
        <w:jc w:val="both"/>
      </w:pPr>
      <w:r>
        <w:rPr>
          <w:rtl/>
        </w:rPr>
        <w:t xml:space="preserve">הרב חיות מונה בהמשך מקורות התומכים בהערכתו את ההיסטוריה, וממשיך: “[ואם התכוון הרמב״ם לבטל את לימוד כל דבר זולת </w:t>
      </w:r>
      <w:proofErr w:type="spellStart"/>
      <w:r>
        <w:rPr>
          <w:rtl/>
        </w:rPr>
        <w:t>ה‘יד</w:t>
      </w:r>
      <w:proofErr w:type="spellEnd"/>
      <w:r>
        <w:rPr>
          <w:rtl/>
        </w:rPr>
        <w:t xml:space="preserve"> החזקה’ שלו,] מה היינו עושים בלא כל ספרינו [ש״ס ומדרשים] – איך היינו יודעים את </w:t>
      </w:r>
      <w:r>
        <w:rPr>
          <w:b/>
          <w:bCs/>
          <w:rtl/>
        </w:rPr>
        <w:t xml:space="preserve">חלק </w:t>
      </w:r>
      <w:proofErr w:type="spellStart"/>
      <w:r>
        <w:rPr>
          <w:b/>
          <w:bCs/>
          <w:rtl/>
        </w:rPr>
        <w:t>מחכמת</w:t>
      </w:r>
      <w:proofErr w:type="spellEnd"/>
      <w:r>
        <w:rPr>
          <w:b/>
          <w:bCs/>
          <w:rtl/>
        </w:rPr>
        <w:t xml:space="preserve"> התורה</w:t>
      </w:r>
      <w:r>
        <w:rPr>
          <w:rtl/>
        </w:rPr>
        <w:t xml:space="preserve"> הזה?”. ר׳ </w:t>
      </w:r>
      <w:proofErr w:type="spellStart"/>
      <w:r>
        <w:rPr>
          <w:rtl/>
        </w:rPr>
        <w:t>צבי־הירש</w:t>
      </w:r>
      <w:proofErr w:type="spellEnd"/>
      <w:r>
        <w:rPr>
          <w:rtl/>
        </w:rPr>
        <w:t xml:space="preserve"> ראה אם כן את ידיעת ההיסטוריה כדבר חשוב לא רק בעת החדשה אלא אף בימי הרמב״ם – שלא כר׳ </w:t>
      </w:r>
      <w:proofErr w:type="spellStart"/>
      <w:r>
        <w:rPr>
          <w:rtl/>
        </w:rPr>
        <w:t>חיים־עוזר</w:t>
      </w:r>
      <w:proofErr w:type="spellEnd"/>
      <w:r>
        <w:rPr>
          <w:rtl/>
        </w:rPr>
        <w:t xml:space="preserve">, שנולד שמונה שנים לאחר פטירת הרב חיות. יתר על כן, הוא לא ראה בה “פרפרת” בלבד, כר׳ </w:t>
      </w:r>
      <w:proofErr w:type="spellStart"/>
      <w:r>
        <w:rPr>
          <w:rtl/>
        </w:rPr>
        <w:t>יצחק־אלחנן</w:t>
      </w:r>
      <w:proofErr w:type="spellEnd"/>
      <w:r>
        <w:rPr>
          <w:rtl/>
        </w:rPr>
        <w:t>, אלא חלק בלתי נפרד מן התורה.</w:t>
      </w:r>
    </w:p>
    <w:p w14:paraId="05EBCE7B" w14:textId="77777777" w:rsidR="00AB3647" w:rsidRDefault="00000000" w:rsidP="007923E9">
      <w:pPr>
        <w:spacing w:after="100" w:line="276" w:lineRule="auto"/>
        <w:ind w:firstLine="340"/>
        <w:jc w:val="both"/>
      </w:pPr>
      <w:r>
        <w:rPr>
          <w:rtl/>
        </w:rPr>
        <w:t xml:space="preserve">כשמתקרבים לזמננו, לעומת זאת, אנו מוצאים </w:t>
      </w:r>
      <w:proofErr w:type="spellStart"/>
      <w:r>
        <w:rPr>
          <w:rtl/>
        </w:rPr>
        <w:t>שהחזון־איש</w:t>
      </w:r>
      <w:bookmarkStart w:id="89" w:name="_fnr87"/>
      <w:proofErr w:type="spellEnd"/>
      <w:r>
        <w:rPr>
          <w:rStyle w:val="a5"/>
        </w:rPr>
        <w:footnoteReference w:id="87" w:customMarkFollows="0"/>
      </w:r>
      <w:bookmarkEnd w:id="89"/>
      <w:r>
        <w:rPr>
          <w:rtl/>
        </w:rPr>
        <w:t xml:space="preserve"> נטה בבירור לטובת “שבח הצדיקים” יותר מקודמיו החשובים בעולם התורה הליטאי, ר׳ </w:t>
      </w:r>
      <w:proofErr w:type="spellStart"/>
      <w:r>
        <w:rPr>
          <w:rtl/>
        </w:rPr>
        <w:t>יצחק־אלחנן</w:t>
      </w:r>
      <w:proofErr w:type="spellEnd"/>
      <w:r>
        <w:rPr>
          <w:rtl/>
        </w:rPr>
        <w:t xml:space="preserve"> ור׳ </w:t>
      </w:r>
      <w:proofErr w:type="spellStart"/>
      <w:r>
        <w:rPr>
          <w:rtl/>
        </w:rPr>
        <w:t>חיים־עוזר</w:t>
      </w:r>
      <w:proofErr w:type="spellEnd"/>
      <w:r>
        <w:rPr>
          <w:rtl/>
        </w:rPr>
        <w:t>. בספר “פאר הדור” ח״ד</w:t>
      </w:r>
      <w:bookmarkStart w:id="90" w:name="_fnr88"/>
      <w:r>
        <w:rPr>
          <w:rStyle w:val="a5"/>
        </w:rPr>
        <w:footnoteReference w:id="88" w:customMarkFollows="0"/>
      </w:r>
      <w:bookmarkEnd w:id="90"/>
      <w:r>
        <w:rPr>
          <w:rtl/>
        </w:rPr>
        <w:t xml:space="preserve"> מוסר ר׳ דב יפה בשם </w:t>
      </w:r>
      <w:proofErr w:type="spellStart"/>
      <w:r>
        <w:rPr>
          <w:rtl/>
        </w:rPr>
        <w:t>החזון־איש</w:t>
      </w:r>
      <w:proofErr w:type="spellEnd"/>
      <w:r>
        <w:rPr>
          <w:rtl/>
        </w:rPr>
        <w:t xml:space="preserve"> </w:t>
      </w:r>
      <w:proofErr w:type="spellStart"/>
      <w:r>
        <w:rPr>
          <w:rtl/>
        </w:rPr>
        <w:t>ש“ספרי</w:t>
      </w:r>
      <w:proofErr w:type="spellEnd"/>
      <w:r>
        <w:rPr>
          <w:rtl/>
        </w:rPr>
        <w:t xml:space="preserve"> תולדות גדולי ישראל הם ספרי המוסר הטובים ביותר”,</w:t>
      </w:r>
      <w:bookmarkStart w:id="91" w:name="_fnr89"/>
      <w:r>
        <w:rPr>
          <w:rStyle w:val="a5"/>
        </w:rPr>
        <w:footnoteReference w:id="89" w:customMarkFollows="0"/>
      </w:r>
      <w:bookmarkEnd w:id="91"/>
      <w:r>
        <w:rPr>
          <w:rtl/>
        </w:rPr>
        <w:t xml:space="preserve"> ושהוא עצמו קרא ספרים כאלה. כך עולה מן המכתב הראשון </w:t>
      </w:r>
      <w:proofErr w:type="spellStart"/>
      <w:r>
        <w:rPr>
          <w:rtl/>
        </w:rPr>
        <w:t>ב“קובץ</w:t>
      </w:r>
      <w:proofErr w:type="spellEnd"/>
      <w:r>
        <w:rPr>
          <w:rtl/>
        </w:rPr>
        <w:t xml:space="preserve"> אגרות” ח״א, שבו הוא מביא דבר שקרא על ר׳ עקיבא איגר – אותו גדול תורה </w:t>
      </w:r>
      <w:proofErr w:type="spellStart"/>
      <w:r>
        <w:rPr>
          <w:rtl/>
        </w:rPr>
        <w:t>שהנצי״ב</w:t>
      </w:r>
      <w:proofErr w:type="spellEnd"/>
      <w:r>
        <w:rPr>
          <w:rtl/>
        </w:rPr>
        <w:t xml:space="preserve"> סירב לעיין בתולדותיו!</w:t>
      </w:r>
    </w:p>
    <w:p w14:paraId="425CF157" w14:textId="77777777" w:rsidR="00AB3647" w:rsidRDefault="00000000" w:rsidP="007923E9">
      <w:pPr>
        <w:spacing w:after="100" w:line="276" w:lineRule="auto"/>
        <w:ind w:firstLine="340"/>
        <w:jc w:val="both"/>
      </w:pPr>
      <w:r>
        <w:rPr>
          <w:rtl/>
        </w:rPr>
        <w:lastRenderedPageBreak/>
        <w:t xml:space="preserve">באותה שיחה אמר </w:t>
      </w:r>
      <w:proofErr w:type="spellStart"/>
      <w:r>
        <w:rPr>
          <w:rtl/>
        </w:rPr>
        <w:t>החזון־איש</w:t>
      </w:r>
      <w:proofErr w:type="spellEnd"/>
      <w:r>
        <w:rPr>
          <w:rtl/>
        </w:rPr>
        <w:t xml:space="preserve">, לפי המסופר: “מן הראוי לכתוב את תולדותיו של </w:t>
      </w:r>
      <w:proofErr w:type="spellStart"/>
      <w:r>
        <w:rPr>
          <w:rtl/>
        </w:rPr>
        <w:t>הח״ח</w:t>
      </w:r>
      <w:proofErr w:type="spellEnd"/>
      <w:r>
        <w:rPr>
          <w:rtl/>
        </w:rPr>
        <w:t xml:space="preserve">, כי מהם יוכלו הבריות לעמוד על השגב האצור בגדלות התורה”. שלא כר׳ </w:t>
      </w:r>
      <w:proofErr w:type="spellStart"/>
      <w:r>
        <w:rPr>
          <w:rtl/>
        </w:rPr>
        <w:t>חיים־עוזר</w:t>
      </w:r>
      <w:proofErr w:type="spellEnd"/>
      <w:r>
        <w:rPr>
          <w:rtl/>
        </w:rPr>
        <w:t xml:space="preserve">, שרק התפלל שספר כזה יועיל, </w:t>
      </w:r>
      <w:proofErr w:type="spellStart"/>
      <w:r>
        <w:rPr>
          <w:rtl/>
        </w:rPr>
        <w:t>לחזון־איש</w:t>
      </w:r>
      <w:proofErr w:type="spellEnd"/>
      <w:r>
        <w:rPr>
          <w:rtl/>
        </w:rPr>
        <w:t xml:space="preserve"> לא היה ספק שספר מסוג זה יביא תועלת לעולם.</w:t>
      </w:r>
    </w:p>
    <w:p w14:paraId="02A37A57" w14:textId="77777777" w:rsidR="00AB3647" w:rsidRDefault="00000000" w:rsidP="007923E9">
      <w:pPr>
        <w:spacing w:after="100" w:line="276" w:lineRule="auto"/>
        <w:ind w:firstLine="340"/>
        <w:jc w:val="both"/>
      </w:pPr>
      <w:r>
        <w:rPr>
          <w:rtl/>
        </w:rPr>
        <w:t>הגישה החיובית לתולדות הגדולים מבוססת גם על דברי הראשונים. רבנו בחיי מבאר</w:t>
      </w:r>
      <w:bookmarkStart w:id="92" w:name="_fnr90"/>
      <w:r>
        <w:rPr>
          <w:rStyle w:val="a5"/>
        </w:rPr>
        <w:footnoteReference w:id="90" w:customMarkFollows="0"/>
      </w:r>
      <w:bookmarkEnd w:id="92"/>
      <w:r>
        <w:rPr>
          <w:rtl/>
        </w:rPr>
        <w:t xml:space="preserve"> את הפסוק “אכול דבש הרבות לא טוב וחקר כבודם כבוד”</w:t>
      </w:r>
      <w:bookmarkStart w:id="93" w:name="_fnr91"/>
      <w:r>
        <w:rPr>
          <w:rStyle w:val="a5"/>
        </w:rPr>
        <w:footnoteReference w:id="91" w:customMarkFollows="0"/>
      </w:r>
      <w:bookmarkEnd w:id="93"/>
      <w:r>
        <w:rPr>
          <w:rtl/>
        </w:rPr>
        <w:t xml:space="preserve"> כך: “הודיע בכתוב... כי </w:t>
      </w:r>
      <w:r>
        <w:rPr>
          <w:b/>
          <w:bCs/>
          <w:rtl/>
        </w:rPr>
        <w:t>יתחייב האדם</w:t>
      </w:r>
      <w:r>
        <w:rPr>
          <w:rtl/>
        </w:rPr>
        <w:t xml:space="preserve"> לחקור הצדיקים [שנזכרו בפסוק שלפני זה] ולספר בשבח מעלתם, והגיד לך כי ערך החקירה הזאת בחקר כבודם הוא טוב מאכילת הדבש, כי אכילת הדבש ‘הרבות לא טוב’, והרבות לחקור בכבודם הוא טוב וכבוד אצל המחשבה” (ההדגשה שלי).</w:t>
      </w:r>
      <w:bookmarkStart w:id="94" w:name="_fnr92"/>
      <w:r>
        <w:rPr>
          <w:rStyle w:val="a5"/>
        </w:rPr>
        <w:footnoteReference w:id="92" w:customMarkFollows="0"/>
      </w:r>
      <w:bookmarkEnd w:id="94"/>
      <w:r>
        <w:rPr>
          <w:rtl/>
        </w:rPr>
        <w:t xml:space="preserve"> וכן מתפרש הכתוב בשערי תשובה לרבנו יונה,</w:t>
      </w:r>
      <w:bookmarkStart w:id="95" w:name="_fnr93"/>
      <w:r>
        <w:rPr>
          <w:rStyle w:val="a5"/>
        </w:rPr>
        <w:footnoteReference w:id="93" w:customMarkFollows="0"/>
      </w:r>
      <w:bookmarkEnd w:id="95"/>
      <w:r>
        <w:rPr>
          <w:rtl/>
        </w:rPr>
        <w:t xml:space="preserve"> </w:t>
      </w:r>
      <w:proofErr w:type="spellStart"/>
      <w:r>
        <w:rPr>
          <w:rtl/>
        </w:rPr>
        <w:t>ש“הרבות</w:t>
      </w:r>
      <w:proofErr w:type="spellEnd"/>
      <w:r>
        <w:rPr>
          <w:rtl/>
        </w:rPr>
        <w:t xml:space="preserve"> החקר בכבוד צדיקים כבוד החוקר”.</w:t>
      </w:r>
    </w:p>
    <w:p w14:paraId="54990604" w14:textId="77777777" w:rsidR="00AB3647" w:rsidRDefault="00000000" w:rsidP="007923E9">
      <w:pPr>
        <w:spacing w:after="100" w:line="276" w:lineRule="auto"/>
        <w:ind w:firstLine="340"/>
        <w:jc w:val="both"/>
      </w:pPr>
      <w:r>
        <w:rPr>
          <w:rtl/>
        </w:rPr>
        <w:t xml:space="preserve">אין בידינו, כמובן, להכריע אם לבכר את דעת ר׳ </w:t>
      </w:r>
      <w:proofErr w:type="spellStart"/>
      <w:r>
        <w:rPr>
          <w:rtl/>
        </w:rPr>
        <w:t>חיים־עוזר</w:t>
      </w:r>
      <w:proofErr w:type="spellEnd"/>
      <w:r>
        <w:rPr>
          <w:rtl/>
        </w:rPr>
        <w:t xml:space="preserve"> </w:t>
      </w:r>
      <w:proofErr w:type="spellStart"/>
      <w:r>
        <w:rPr>
          <w:rtl/>
        </w:rPr>
        <w:t>גרודזנסקי</w:t>
      </w:r>
      <w:proofErr w:type="spellEnd"/>
      <w:r>
        <w:rPr>
          <w:rtl/>
        </w:rPr>
        <w:t xml:space="preserve"> או את דעת </w:t>
      </w:r>
      <w:proofErr w:type="spellStart"/>
      <w:r>
        <w:rPr>
          <w:rtl/>
        </w:rPr>
        <w:t>החזון־איש</w:t>
      </w:r>
      <w:proofErr w:type="spellEnd"/>
      <w:r>
        <w:rPr>
          <w:rtl/>
        </w:rPr>
        <w:t xml:space="preserve">. מי יערוב, אם כן, לתועלת שבכתיבת ספרי תולדות, אף ספרים כמו </w:t>
      </w:r>
      <w:r>
        <w:t>Reb Yaakov</w:t>
      </w:r>
      <w:r>
        <w:rPr>
          <w:rtl/>
        </w:rPr>
        <w:t xml:space="preserve"> </w:t>
      </w:r>
      <w:proofErr w:type="spellStart"/>
      <w:r>
        <w:rPr>
          <w:rtl/>
        </w:rPr>
        <w:t>ו“רבי</w:t>
      </w:r>
      <w:proofErr w:type="spellEnd"/>
      <w:r>
        <w:rPr>
          <w:rtl/>
        </w:rPr>
        <w:t xml:space="preserve"> יעקב”? אלא שהספר שלפנינו אינו ספר תולדות במובן המדויק של המילה. יש בו הרבה יותר חומר נלווה מאשר תולדות אבי לבדן, ועיקרו סיפורים שונים ומיוחדים על גדולי תורה רבים.</w:t>
      </w:r>
    </w:p>
    <w:p w14:paraId="0D8899F4" w14:textId="77777777" w:rsidR="00AB3647" w:rsidRDefault="00000000" w:rsidP="007923E9">
      <w:pPr>
        <w:spacing w:after="100" w:line="276" w:lineRule="auto"/>
        <w:ind w:firstLine="340"/>
        <w:jc w:val="both"/>
      </w:pPr>
      <w:r>
        <w:rPr>
          <w:rtl/>
        </w:rPr>
        <w:t xml:space="preserve">אם נבחן את חלוקת הספר באחוזים, רק 7% ממנו הם “הטקסט”, ו־93% הם הערות ונספחים. חלק “הטקסט” משמש כן שיגור שממנו ממריאים אל מסלוליהם של גדולים אחרים, תקופות אחרות, עולמות אחרים, ומאורעות מיוחדים ובלתי קשורים זה לזה שבהם היו מעורבים אותם גדולים. חלק זה – אותו חלק אחד </w:t>
      </w:r>
      <w:proofErr w:type="spellStart"/>
      <w:r>
        <w:rPr>
          <w:rtl/>
        </w:rPr>
        <w:t>מארבעה־עשר</w:t>
      </w:r>
      <w:proofErr w:type="spellEnd"/>
      <w:r>
        <w:rPr>
          <w:rtl/>
        </w:rPr>
        <w:t xml:space="preserve"> – הוא תולדות אבי, בפירוט רב יותר </w:t>
      </w:r>
      <w:proofErr w:type="spellStart"/>
      <w:r>
        <w:rPr>
          <w:rtl/>
        </w:rPr>
        <w:t>מבחלקו</w:t>
      </w:r>
      <w:proofErr w:type="spellEnd"/>
      <w:r>
        <w:rPr>
          <w:rtl/>
        </w:rPr>
        <w:t xml:space="preserve"> הראשון של הספר </w:t>
      </w:r>
      <w:r>
        <w:t>Reb Yaakov</w:t>
      </w:r>
      <w:r>
        <w:rPr>
          <w:rtl/>
        </w:rPr>
        <w:t>.</w:t>
      </w:r>
    </w:p>
    <w:p w14:paraId="4C86EF98" w14:textId="77777777" w:rsidR="00AB3647" w:rsidRDefault="00000000" w:rsidP="007923E9">
      <w:pPr>
        <w:spacing w:after="100" w:line="276" w:lineRule="auto"/>
        <w:ind w:firstLine="340"/>
        <w:jc w:val="both"/>
      </w:pPr>
      <w:r>
        <w:rPr>
          <w:rtl/>
        </w:rPr>
        <w:t xml:space="preserve">ממילא אין ערכו של ספר זה מוטל בספק כלל, שכן גם אם ערכן של ביוגרפיות של גדולים שנוי במחלוקת – </w:t>
      </w:r>
      <w:proofErr w:type="spellStart"/>
      <w:r>
        <w:rPr>
          <w:rtl/>
        </w:rPr>
        <w:t>הנצי״ב</w:t>
      </w:r>
      <w:proofErr w:type="spellEnd"/>
      <w:r>
        <w:rPr>
          <w:rtl/>
        </w:rPr>
        <w:t xml:space="preserve"> סבר </w:t>
      </w:r>
      <w:proofErr w:type="spellStart"/>
      <w:r>
        <w:rPr>
          <w:rtl/>
        </w:rPr>
        <w:t>ש“ידיעת</w:t>
      </w:r>
      <w:proofErr w:type="spellEnd"/>
      <w:r>
        <w:rPr>
          <w:rtl/>
        </w:rPr>
        <w:t xml:space="preserve"> יום הולדתו או יום פטירתו, או קלסתר פניו של הגדול” אינה חשובה – סיפורים נבחרים עליהם זוכים לאישור ברור. השווה “שיעורי אדמו״ר רבי ברוך דוב </w:t>
      </w:r>
      <w:proofErr w:type="spellStart"/>
      <w:r>
        <w:rPr>
          <w:rtl/>
        </w:rPr>
        <w:t>ליבוביץ</w:t>
      </w:r>
      <w:proofErr w:type="spellEnd"/>
      <w:r>
        <w:rPr>
          <w:rtl/>
        </w:rPr>
        <w:t>”,</w:t>
      </w:r>
      <w:bookmarkStart w:id="96" w:name="_fnr94"/>
      <w:r>
        <w:rPr>
          <w:rStyle w:val="a5"/>
        </w:rPr>
        <w:footnoteReference w:id="94" w:customMarkFollows="0"/>
      </w:r>
      <w:bookmarkEnd w:id="96"/>
      <w:r>
        <w:rPr>
          <w:rtl/>
        </w:rPr>
        <w:t xml:space="preserve"> שם נאמר: “</w:t>
      </w:r>
      <w:proofErr w:type="spellStart"/>
      <w:r>
        <w:rPr>
          <w:rtl/>
        </w:rPr>
        <w:t>מרגלא</w:t>
      </w:r>
      <w:proofErr w:type="spellEnd"/>
      <w:r>
        <w:rPr>
          <w:rtl/>
        </w:rPr>
        <w:t xml:space="preserve"> </w:t>
      </w:r>
      <w:proofErr w:type="spellStart"/>
      <w:r>
        <w:rPr>
          <w:rtl/>
        </w:rPr>
        <w:t>בפומיה</w:t>
      </w:r>
      <w:proofErr w:type="spellEnd"/>
      <w:r>
        <w:rPr>
          <w:rtl/>
        </w:rPr>
        <w:t xml:space="preserve"> דר׳ </w:t>
      </w:r>
      <w:proofErr w:type="spellStart"/>
      <w:r>
        <w:rPr>
          <w:rtl/>
        </w:rPr>
        <w:t>ברוך־בער</w:t>
      </w:r>
      <w:proofErr w:type="spellEnd"/>
      <w:r>
        <w:rPr>
          <w:rtl/>
        </w:rPr>
        <w:t xml:space="preserve"> [</w:t>
      </w:r>
      <w:proofErr w:type="spellStart"/>
      <w:r>
        <w:rPr>
          <w:rtl/>
        </w:rPr>
        <w:t>ליבוביץ</w:t>
      </w:r>
      <w:proofErr w:type="spellEnd"/>
      <w:r>
        <w:rPr>
          <w:rtl/>
        </w:rPr>
        <w:t xml:space="preserve">] בשם רבו ר׳ חיים </w:t>
      </w:r>
      <w:proofErr w:type="spellStart"/>
      <w:r>
        <w:rPr>
          <w:rtl/>
        </w:rPr>
        <w:t>סולובייצ׳יק</w:t>
      </w:r>
      <w:proofErr w:type="spellEnd"/>
      <w:r>
        <w:rPr>
          <w:rtl/>
        </w:rPr>
        <w:t xml:space="preserve"> </w:t>
      </w:r>
      <w:proofErr w:type="spellStart"/>
      <w:r>
        <w:rPr>
          <w:rtl/>
        </w:rPr>
        <w:t>מבריסק</w:t>
      </w:r>
      <w:proofErr w:type="spellEnd"/>
      <w:r>
        <w:rPr>
          <w:rtl/>
        </w:rPr>
        <w:t>, שסיפורי גדולי ישראל הם בגדר לימוד המוסר, ומי שמקשיב לסיפוריהם בשימת לב יכול להתעלות ולגדול בכל דרך – ‘ממני תראו וכן תעשו’”.</w:t>
      </w:r>
      <w:bookmarkStart w:id="97" w:name="_fnr95"/>
      <w:r>
        <w:rPr>
          <w:rStyle w:val="a5"/>
        </w:rPr>
        <w:footnoteReference w:id="95" w:customMarkFollows="0"/>
      </w:r>
      <w:bookmarkEnd w:id="97"/>
    </w:p>
    <w:p w14:paraId="6FA27EC5" w14:textId="77777777" w:rsidR="00AB3647" w:rsidRDefault="00000000" w:rsidP="007923E9">
      <w:pPr>
        <w:spacing w:after="100" w:line="276" w:lineRule="auto"/>
        <w:ind w:firstLine="340"/>
        <w:jc w:val="both"/>
      </w:pPr>
      <w:r>
        <w:rPr>
          <w:rtl/>
        </w:rPr>
        <w:t>“ר׳ ברוך בער” מאת הרב יצחק אדלשטיין</w:t>
      </w:r>
      <w:bookmarkStart w:id="98" w:name="_fnr96"/>
      <w:r>
        <w:rPr>
          <w:rStyle w:val="a5"/>
        </w:rPr>
        <w:footnoteReference w:id="96" w:customMarkFollows="0"/>
      </w:r>
      <w:bookmarkEnd w:id="98"/>
      <w:r>
        <w:rPr>
          <w:rtl/>
        </w:rPr>
        <w:t xml:space="preserve"> מספר אף הוא: “בזמנים מסוימים, ובמיוחד בשבועות, היה [ר׳ </w:t>
      </w:r>
      <w:proofErr w:type="spellStart"/>
      <w:r>
        <w:rPr>
          <w:rtl/>
        </w:rPr>
        <w:t>ברוך־בער</w:t>
      </w:r>
      <w:proofErr w:type="spellEnd"/>
      <w:r>
        <w:rPr>
          <w:rtl/>
        </w:rPr>
        <w:t xml:space="preserve">] פותח בשיחה על שנותיו הראשונות </w:t>
      </w:r>
      <w:proofErr w:type="spellStart"/>
      <w:r>
        <w:rPr>
          <w:rtl/>
        </w:rPr>
        <w:t>בוולוז׳ין</w:t>
      </w:r>
      <w:proofErr w:type="spellEnd"/>
      <w:r>
        <w:rPr>
          <w:rtl/>
        </w:rPr>
        <w:t xml:space="preserve">, בסיפורים על רבותיו ועל זקני הדור הקודם </w:t>
      </w:r>
      <w:proofErr w:type="spellStart"/>
      <w:r>
        <w:rPr>
          <w:rtl/>
        </w:rPr>
        <w:t>וגאוניו</w:t>
      </w:r>
      <w:proofErr w:type="spellEnd"/>
      <w:r>
        <w:rPr>
          <w:rtl/>
        </w:rPr>
        <w:t xml:space="preserve">. הוא אמר שגם רבו [ר׳ חיים </w:t>
      </w:r>
      <w:proofErr w:type="spellStart"/>
      <w:r>
        <w:rPr>
          <w:rtl/>
        </w:rPr>
        <w:t>סולובייצ׳יק</w:t>
      </w:r>
      <w:proofErr w:type="spellEnd"/>
      <w:r>
        <w:rPr>
          <w:rtl/>
        </w:rPr>
        <w:t>] היה מקדיש שעות לכך [לעיסוק זה], ולא חשש שמא יגזול הדבר זמן מלימודו”.</w:t>
      </w:r>
    </w:p>
    <w:p w14:paraId="47E642A1" w14:textId="77777777" w:rsidR="00AB3647" w:rsidRDefault="00000000" w:rsidP="007923E9">
      <w:pPr>
        <w:spacing w:after="100" w:line="276" w:lineRule="auto"/>
        <w:ind w:firstLine="340"/>
        <w:jc w:val="both"/>
      </w:pPr>
      <w:r>
        <w:rPr>
          <w:rtl/>
        </w:rPr>
        <w:lastRenderedPageBreak/>
        <w:t xml:space="preserve">השווה גם “עובדות והנהגות לבית </w:t>
      </w:r>
      <w:proofErr w:type="spellStart"/>
      <w:r>
        <w:rPr>
          <w:rtl/>
        </w:rPr>
        <w:t>בריסק</w:t>
      </w:r>
      <w:proofErr w:type="spellEnd"/>
      <w:r>
        <w:rPr>
          <w:rtl/>
        </w:rPr>
        <w:t xml:space="preserve">” מאת שמעון יוסף מילר,</w:t>
      </w:r>
      <w:bookmarkStart w:id="99" w:name="_fnr97"/>
      <w:r>
        <w:rPr>
          <w:rStyle w:val="a5"/>
        </w:rPr>
        <w:footnoteReference w:id="97" w:customMarkFollows="0"/>
      </w:r>
      <w:bookmarkEnd w:id="99"/>
      <w:r>
        <w:rPr>
          <w:rtl/>
        </w:rPr>
        <w:t xml:space="preserve"> המביא את זיכרונו של ר׳ </w:t>
      </w:r>
      <w:proofErr w:type="spellStart"/>
      <w:r>
        <w:rPr>
          <w:rtl/>
        </w:rPr>
        <w:t>משולם־דוד</w:t>
      </w:r>
      <w:proofErr w:type="spellEnd"/>
      <w:r>
        <w:rPr>
          <w:rtl/>
        </w:rPr>
        <w:t xml:space="preserve"> </w:t>
      </w:r>
      <w:proofErr w:type="spellStart"/>
      <w:r>
        <w:rPr>
          <w:rtl/>
        </w:rPr>
        <w:t>סולובייצ׳יק</w:t>
      </w:r>
      <w:proofErr w:type="spellEnd"/>
      <w:r>
        <w:rPr>
          <w:rtl/>
        </w:rPr>
        <w:t xml:space="preserve">, שביקר בביתו של ר׳ </w:t>
      </w:r>
      <w:proofErr w:type="spellStart"/>
      <w:r>
        <w:rPr>
          <w:rtl/>
        </w:rPr>
        <w:t>ברוך־בער</w:t>
      </w:r>
      <w:proofErr w:type="spellEnd"/>
      <w:r>
        <w:rPr>
          <w:rtl/>
        </w:rPr>
        <w:t xml:space="preserve"> בווילנה בראש השנה האחרון של ר׳ </w:t>
      </w:r>
      <w:proofErr w:type="spellStart"/>
      <w:r>
        <w:rPr>
          <w:rtl/>
        </w:rPr>
        <w:t>ברוך־בער</w:t>
      </w:r>
      <w:proofErr w:type="spellEnd"/>
      <w:r>
        <w:rPr>
          <w:rtl/>
        </w:rPr>
        <w:t xml:space="preserve"> עלי אדמות. ר׳ </w:t>
      </w:r>
      <w:proofErr w:type="spellStart"/>
      <w:r>
        <w:rPr>
          <w:rtl/>
        </w:rPr>
        <w:t>משולם־דוד</w:t>
      </w:r>
      <w:proofErr w:type="spellEnd"/>
      <w:r>
        <w:rPr>
          <w:rtl/>
        </w:rPr>
        <w:t xml:space="preserve"> סיפר </w:t>
      </w:r>
      <w:proofErr w:type="spellStart"/>
      <w:r>
        <w:rPr>
          <w:rtl/>
        </w:rPr>
        <w:t>ש“ר</w:t>
      </w:r>
      <w:proofErr w:type="spellEnd"/>
      <w:r>
        <w:rPr>
          <w:rtl/>
        </w:rPr>
        <w:t xml:space="preserve">׳ </w:t>
      </w:r>
      <w:proofErr w:type="spellStart"/>
      <w:r>
        <w:rPr>
          <w:rtl/>
        </w:rPr>
        <w:t>ברוך־בער</w:t>
      </w:r>
      <w:proofErr w:type="spellEnd"/>
      <w:r>
        <w:rPr>
          <w:rtl/>
        </w:rPr>
        <w:t xml:space="preserve"> ישב וסיפר סיפורים רבים על גדולי ישראל, עד שהרבנית” – שבוודאי לא העריכה את התועלת הרבה שבהסחת דעת זו – “נכנסה וקראה לעברו: ‘היום ראש השנה!’”.</w:t>
      </w:r>
    </w:p>
    <w:p w14:paraId="6796E617" w14:textId="77777777" w:rsidR="00AB3647" w:rsidRDefault="00000000" w:rsidP="007923E9">
      <w:pPr>
        <w:spacing w:after="100" w:line="276" w:lineRule="auto"/>
        <w:ind w:firstLine="340"/>
        <w:jc w:val="both"/>
      </w:pPr>
      <w:r>
        <w:rPr>
          <w:rtl/>
        </w:rPr>
        <w:t>לפי “תורה יבקשו מפיהו”,</w:t>
      </w:r>
      <w:bookmarkStart w:id="100" w:name="_fnr98"/>
      <w:r>
        <w:rPr>
          <w:rStyle w:val="a5"/>
        </w:rPr>
        <w:footnoteReference w:id="98" w:customMarkFollows="0"/>
      </w:r>
      <w:bookmarkEnd w:id="100"/>
      <w:r>
        <w:rPr>
          <w:rtl/>
        </w:rPr>
        <w:t xml:space="preserve"> סיפר ר׳ ישראל(־זאב) </w:t>
      </w:r>
      <w:proofErr w:type="spellStart"/>
      <w:r>
        <w:rPr>
          <w:rtl/>
        </w:rPr>
        <w:t>גוסטמן</w:t>
      </w:r>
      <w:proofErr w:type="spellEnd"/>
      <w:r>
        <w:rPr>
          <w:rtl/>
        </w:rPr>
        <w:t xml:space="preserve"> שבווילנה היה זקן ששמע מפי סבו דברים שראה אצל הגאון מווילנה, ור׳ </w:t>
      </w:r>
      <w:proofErr w:type="spellStart"/>
      <w:r>
        <w:rPr>
          <w:rtl/>
        </w:rPr>
        <w:t>חיים־עוזר</w:t>
      </w:r>
      <w:proofErr w:type="spellEnd"/>
      <w:r>
        <w:rPr>
          <w:rtl/>
        </w:rPr>
        <w:t xml:space="preserve"> ביקש ממנו לספרם לו. ר׳ </w:t>
      </w:r>
      <w:proofErr w:type="spellStart"/>
      <w:r>
        <w:rPr>
          <w:rtl/>
        </w:rPr>
        <w:t>חיים־עוזר</w:t>
      </w:r>
      <w:proofErr w:type="spellEnd"/>
      <w:r>
        <w:rPr>
          <w:rtl/>
        </w:rPr>
        <w:t xml:space="preserve"> בכלל נהנה מאוד לשמוע סיפורים על גדולים. נראה אם כן שאף ששלל בעיקרו של דבר </w:t>
      </w:r>
      <w:r>
        <w:rPr>
          <w:b/>
          <w:bCs/>
          <w:rtl/>
        </w:rPr>
        <w:t>ספרי תולדות</w:t>
      </w:r>
      <w:r>
        <w:rPr>
          <w:rtl/>
        </w:rPr>
        <w:t xml:space="preserve"> של גדולי תורה, הוא מצא חשיבות ומשמעות ב</w:t>
      </w:r>
      <w:r>
        <w:rPr>
          <w:b/>
          <w:bCs/>
          <w:rtl/>
        </w:rPr>
        <w:t>סיפורים נבחרים</w:t>
      </w:r>
      <w:r>
        <w:rPr>
          <w:rtl/>
        </w:rPr>
        <w:t xml:space="preserve"> על מאורות הדורות.</w:t>
      </w:r>
    </w:p>
    <w:p w14:paraId="2305E4C3" w14:textId="77777777" w:rsidR="00AB3647" w:rsidRDefault="00000000" w:rsidP="007923E9">
      <w:pPr>
        <w:spacing w:after="100" w:line="276" w:lineRule="auto"/>
        <w:ind w:firstLine="340"/>
        <w:jc w:val="both"/>
      </w:pPr>
      <w:r>
        <w:rPr>
          <w:rtl/>
        </w:rPr>
        <w:t>לפי “</w:t>
      </w:r>
      <w:proofErr w:type="spellStart"/>
      <w:r>
        <w:rPr>
          <w:rtl/>
        </w:rPr>
        <w:t>ארחות</w:t>
      </w:r>
      <w:proofErr w:type="spellEnd"/>
      <w:r>
        <w:rPr>
          <w:rtl/>
        </w:rPr>
        <w:t xml:space="preserve"> חסידיך”,</w:t>
      </w:r>
      <w:bookmarkStart w:id="101" w:name="_fnr99"/>
      <w:r>
        <w:rPr>
          <w:rStyle w:val="a5"/>
        </w:rPr>
        <w:footnoteReference w:id="99" w:customMarkFollows="0"/>
      </w:r>
      <w:bookmarkEnd w:id="101"/>
      <w:r>
        <w:rPr>
          <w:rtl/>
        </w:rPr>
        <w:t xml:space="preserve"> שהה ר׳ </w:t>
      </w:r>
      <w:proofErr w:type="spellStart"/>
      <w:r>
        <w:rPr>
          <w:rtl/>
        </w:rPr>
        <w:t>חיים־עוזר</w:t>
      </w:r>
      <w:proofErr w:type="spellEnd"/>
      <w:r>
        <w:rPr>
          <w:rtl/>
        </w:rPr>
        <w:t xml:space="preserve"> באחת משנותיו האחרונות בימים הנוראים בישיבת </w:t>
      </w:r>
      <w:proofErr w:type="spellStart"/>
      <w:r>
        <w:rPr>
          <w:rtl/>
        </w:rPr>
        <w:t>מונטרה</w:t>
      </w:r>
      <w:proofErr w:type="spellEnd"/>
      <w:r>
        <w:rPr>
          <w:rtl/>
        </w:rPr>
        <w:t xml:space="preserve"> שבשווייץ. כשביקשו ממנו לומר לבחורי הישיבה “דברי חיזוק והתעוררות”, הסתפק בסיפורים על </w:t>
      </w:r>
      <w:proofErr w:type="spellStart"/>
      <w:r>
        <w:rPr>
          <w:rtl/>
        </w:rPr>
        <w:t>החפץ־חיים</w:t>
      </w:r>
      <w:proofErr w:type="spellEnd"/>
      <w:r>
        <w:rPr>
          <w:rtl/>
        </w:rPr>
        <w:t>. בעיניו הייתה בסיפורים כאלה לא רק תועלת, אלא גם כוח התעוררות רב ביותר.</w:t>
      </w:r>
    </w:p>
    <w:p w14:paraId="3425CF9A" w14:textId="77777777" w:rsidR="00AB3647" w:rsidRDefault="00000000" w:rsidP="007923E9">
      <w:pPr>
        <w:spacing w:after="100" w:line="276" w:lineRule="auto"/>
        <w:ind w:firstLine="340"/>
        <w:jc w:val="both"/>
      </w:pPr>
      <w:r>
        <w:rPr>
          <w:rtl/>
        </w:rPr>
        <w:t>“בדרך עץ החיים”</w:t>
      </w:r>
      <w:bookmarkStart w:id="102" w:name="_fnr100"/>
      <w:r>
        <w:rPr>
          <w:rStyle w:val="a5"/>
        </w:rPr>
        <w:footnoteReference w:id="100" w:customMarkFollows="0"/>
      </w:r>
      <w:bookmarkEnd w:id="102"/>
      <w:r>
        <w:rPr>
          <w:rtl/>
        </w:rPr>
        <w:t xml:space="preserve"> מספר גם כיצד ביטא ר׳ </w:t>
      </w:r>
      <w:proofErr w:type="spellStart"/>
      <w:r>
        <w:rPr>
          <w:rtl/>
        </w:rPr>
        <w:t>איסר־זלמן</w:t>
      </w:r>
      <w:proofErr w:type="spellEnd"/>
      <w:r>
        <w:rPr>
          <w:rtl/>
        </w:rPr>
        <w:t xml:space="preserve"> מלצר את הערכתו הרבה לסיפורים על חכמי התורה של הדורות הקודמים. פעם דיבר על ר׳ </w:t>
      </w:r>
      <w:proofErr w:type="spellStart"/>
      <w:r>
        <w:rPr>
          <w:rtl/>
        </w:rPr>
        <w:t>יצחק־אלחנן</w:t>
      </w:r>
      <w:proofErr w:type="spellEnd"/>
      <w:r>
        <w:rPr>
          <w:rtl/>
        </w:rPr>
        <w:t xml:space="preserve"> </w:t>
      </w:r>
      <w:proofErr w:type="spellStart"/>
      <w:r>
        <w:rPr>
          <w:rtl/>
        </w:rPr>
        <w:t>ספקטור</w:t>
      </w:r>
      <w:proofErr w:type="spellEnd"/>
      <w:r>
        <w:rPr>
          <w:rtl/>
        </w:rPr>
        <w:t xml:space="preserve"> לפני קבוצת מבקרים, והבחין בשני בני תורה שלוחשים זה לזה על עניינים אחרים. אמר להם: “יום יבוא ותוכלו ללמוד טוב ממני ולחדש בתורה יותר ממני, אבל סיפורים אלה – אם לא תשמעו אותם ממני, לא תשמעו אותם עוד לעולם”.</w:t>
      </w:r>
    </w:p>
    <w:p w14:paraId="299A1AB8" w14:textId="77777777" w:rsidR="00AB3647" w:rsidRDefault="00000000" w:rsidP="007923E9">
      <w:pPr>
        <w:spacing w:after="100" w:line="276" w:lineRule="auto"/>
        <w:ind w:firstLine="340"/>
        <w:jc w:val="both"/>
      </w:pPr>
      <w:r>
        <w:rPr>
          <w:rtl/>
        </w:rPr>
        <w:t>אבי השתמש באותו נימוק כשדיבר עם ר׳ יעקב הירשמן</w:t>
      </w:r>
      <w:bookmarkStart w:id="103" w:name="_fnr101"/>
      <w:r>
        <w:rPr>
          <w:rStyle w:val="a5"/>
        </w:rPr>
        <w:footnoteReference w:id="101" w:customMarkFollows="0"/>
      </w:r>
      <w:bookmarkEnd w:id="103"/>
      <w:r>
        <w:rPr>
          <w:rtl/>
        </w:rPr>
        <w:t xml:space="preserve"> ואמר שהוא רוצה לספר סיפורים מימים עברו, שכן “לאחר מאה ועשרים – מי יהיה כאן כדי לספר אותם?”. בשני המקרים לא ייחסו ר׳ </w:t>
      </w:r>
      <w:proofErr w:type="spellStart"/>
      <w:r>
        <w:rPr>
          <w:rtl/>
        </w:rPr>
        <w:t>איסר־זלמן</w:t>
      </w:r>
      <w:proofErr w:type="spellEnd"/>
      <w:r>
        <w:rPr>
          <w:rtl/>
        </w:rPr>
        <w:t xml:space="preserve"> ותלמידו, אבי, חשיבות מהותית למה שסיפרו; כל טענתם הייתה שבלי הקשבה תאבד הזדמנות לשמוע דבר יוצא דופן. מתוך ענוותנותם לא הצהירו בגלוי שבסיפור הסיפורים הם נוטלים על עצמם את תפקיד מסירת המסורת, כפי שנראה להלן.</w:t>
      </w:r>
    </w:p>
    <w:p w14:paraId="17FFBB2B" w14:textId="77777777" w:rsidR="00AB3647" w:rsidRDefault="00000000" w:rsidP="007923E9">
      <w:pPr>
        <w:spacing w:after="100" w:line="276" w:lineRule="auto"/>
        <w:ind w:firstLine="340"/>
        <w:jc w:val="both"/>
      </w:pPr>
      <w:r>
        <w:rPr>
          <w:rtl/>
        </w:rPr>
        <w:t xml:space="preserve">ר׳ </w:t>
      </w:r>
      <w:proofErr w:type="spellStart"/>
      <w:r>
        <w:rPr>
          <w:rtl/>
        </w:rPr>
        <w:t>ידעאל</w:t>
      </w:r>
      <w:proofErr w:type="spellEnd"/>
      <w:r>
        <w:rPr>
          <w:rtl/>
        </w:rPr>
        <w:t xml:space="preserve"> מלצר, מחבר “בדרך עץ החיים”, מסר</w:t>
      </w:r>
      <w:bookmarkStart w:id="104" w:name="_fnr102"/>
      <w:r>
        <w:rPr>
          <w:rStyle w:val="a5"/>
        </w:rPr>
        <w:footnoteReference w:id="102" w:customMarkFollows="0"/>
      </w:r>
      <w:bookmarkEnd w:id="104"/>
      <w:r>
        <w:rPr>
          <w:rtl/>
        </w:rPr>
        <w:t xml:space="preserve"> בשם ר׳ אברהם שפירא שבאחת השבתות אחר הצהריים ישב ר׳ משה סופר, בעל </w:t>
      </w:r>
      <w:proofErr w:type="spellStart"/>
      <w:r>
        <w:rPr>
          <w:rtl/>
        </w:rPr>
        <w:t>ה“חתם</w:t>
      </w:r>
      <w:proofErr w:type="spellEnd"/>
      <w:r>
        <w:rPr>
          <w:rtl/>
        </w:rPr>
        <w:t xml:space="preserve"> סופר”, וסיפר סיפורים על חכמי הדורות הקודמים. אחד השומעים העיר שזמן סעודה שלישית עומד לעבור, והחכם השיב: “צדקת. ניטול ידינו, נברך ‘המוציא’, ונמשיך לדבר על הגדולים”.</w:t>
      </w:r>
    </w:p>
    <w:p w14:paraId="48BC2E8C" w14:textId="77777777" w:rsidR="00AB3647" w:rsidRDefault="00000000" w:rsidP="007923E9">
      <w:pPr>
        <w:spacing w:after="100" w:line="276" w:lineRule="auto"/>
        <w:ind w:firstLine="340"/>
        <w:jc w:val="both"/>
      </w:pPr>
      <w:r>
        <w:rPr>
          <w:rtl/>
        </w:rPr>
        <w:t xml:space="preserve">גם ר׳ אלחנן וסרמן הבחין בין ספרי תולדות של גדולים לבין סיפורים נבחרים עליהם. בספר </w:t>
      </w:r>
      <w:r>
        <w:t xml:space="preserve">“ר׳ </w:t>
      </w:r>
      <w:proofErr w:type="spellStart"/>
      <w:r>
        <w:t>מנדל</w:t>
      </w:r>
      <w:proofErr w:type="spellEnd"/>
      <w:r>
        <w:t xml:space="preserve"> </w:t>
      </w:r>
      <w:proofErr w:type="spellStart"/>
      <w:r>
        <w:t>וחכמתו</w:t>
      </w:r>
      <w:proofErr w:type="spellEnd"/>
      <w:r>
        <w:t>”</w:t>
      </w:r>
      <w:r>
        <w:rPr>
          <w:rtl/>
        </w:rPr>
        <w:t xml:space="preserve"> מאת ישראל </w:t>
      </w:r>
      <w:proofErr w:type="spellStart"/>
      <w:r>
        <w:rPr>
          <w:rtl/>
        </w:rPr>
        <w:t>גרינוולד</w:t>
      </w:r>
      <w:bookmarkStart w:id="105" w:name="_fnr103"/>
      <w:proofErr w:type="spellEnd"/>
      <w:r>
        <w:rPr>
          <w:rStyle w:val="a5"/>
        </w:rPr>
        <w:footnoteReference w:id="103" w:customMarkFollows="0"/>
      </w:r>
      <w:bookmarkEnd w:id="105"/>
      <w:r>
        <w:rPr>
          <w:rtl/>
        </w:rPr>
        <w:t xml:space="preserve"> מסופר בשם ר׳ מנדל קפלן שר׳ אלחנן “רצה </w:t>
      </w:r>
      <w:r>
        <w:rPr>
          <w:rtl/>
        </w:rPr>
        <w:lastRenderedPageBreak/>
        <w:t xml:space="preserve">לכתוב את תולדות </w:t>
      </w:r>
      <w:proofErr w:type="spellStart"/>
      <w:r>
        <w:rPr>
          <w:rtl/>
        </w:rPr>
        <w:t>החפץ־חיים</w:t>
      </w:r>
      <w:proofErr w:type="spellEnd"/>
      <w:r>
        <w:rPr>
          <w:rtl/>
        </w:rPr>
        <w:t>, אך לבסוף הגיע למסקנה שאינו יכול לכתוב על רבו, משום שאין לו השגה באדם במדרגה כה גבוהה”. אבל סיפורים על רבו הוא סיפר.</w:t>
      </w:r>
    </w:p>
    <w:p w14:paraId="76528719" w14:textId="77777777" w:rsidR="00AB3647" w:rsidRDefault="00000000" w:rsidP="007923E9">
      <w:pPr>
        <w:spacing w:after="100" w:line="276" w:lineRule="auto"/>
        <w:ind w:firstLine="340"/>
        <w:jc w:val="both"/>
      </w:pPr>
      <w:r>
        <w:rPr>
          <w:rtl/>
        </w:rPr>
        <w:t>בספרו על מסכת בבא קמא</w:t>
      </w:r>
      <w:bookmarkStart w:id="106" w:name="_fnr104"/>
      <w:r>
        <w:rPr>
          <w:rStyle w:val="a5"/>
        </w:rPr>
        <w:footnoteReference w:id="104" w:customMarkFollows="0"/>
      </w:r>
      <w:bookmarkEnd w:id="106"/>
      <w:r>
        <w:rPr>
          <w:rtl/>
        </w:rPr>
        <w:t xml:space="preserve"> מבאר </w:t>
      </w:r>
      <w:proofErr w:type="spellStart"/>
      <w:r>
        <w:rPr>
          <w:rtl/>
        </w:rPr>
        <w:t>החזון־איש</w:t>
      </w:r>
      <w:proofErr w:type="spellEnd"/>
      <w:r>
        <w:rPr>
          <w:rtl/>
        </w:rPr>
        <w:t xml:space="preserve"> למה התכוונו הראשונים כשהעלו את מעלתו של רבנו חננאל על פני שאר בני דורו, וקובע קביעה כוללת: “מי שהוא עשיר בידיעת עובדות על הגדולים הראשונים – כפי שהיה רבנו חננאל – יש בו קדושה יתירה וחכמה יתירה”.</w:t>
      </w:r>
    </w:p>
    <w:p w14:paraId="5715CCE8" w14:textId="77777777" w:rsidR="00AB3647" w:rsidRDefault="00000000" w:rsidP="007923E9">
      <w:pPr>
        <w:spacing w:after="100" w:line="276" w:lineRule="auto"/>
        <w:ind w:firstLine="340"/>
        <w:jc w:val="both"/>
      </w:pPr>
      <w:r>
        <w:rPr>
          <w:rtl/>
        </w:rPr>
        <w:t xml:space="preserve">גם אבי ראה בסיפורים על אישי התורה של הדורות הקודמים דבר חיוני. בביקור בביתו של ר׳ יוסף </w:t>
      </w:r>
      <w:proofErr w:type="spellStart"/>
      <w:r>
        <w:rPr>
          <w:rtl/>
        </w:rPr>
        <w:t>היינמן</w:t>
      </w:r>
      <w:proofErr w:type="spellEnd"/>
      <w:r>
        <w:rPr>
          <w:rtl/>
        </w:rPr>
        <w:t xml:space="preserve"> </w:t>
      </w:r>
      <w:proofErr w:type="spellStart"/>
      <w:r>
        <w:rPr>
          <w:rtl/>
        </w:rPr>
        <w:t>במונסי</w:t>
      </w:r>
      <w:bookmarkStart w:id="107" w:name="_fnr105"/>
      <w:proofErr w:type="spellEnd"/>
      <w:r>
        <w:rPr>
          <w:rStyle w:val="a5"/>
        </w:rPr>
        <w:footnoteReference w:id="105" w:customMarkFollows="0"/>
      </w:r>
      <w:bookmarkEnd w:id="107"/>
      <w:r>
        <w:rPr>
          <w:rtl/>
        </w:rPr>
        <w:t xml:space="preserve"> הראה לי המארח את “ספר חסידים” שלו, ובשוליו הערות שרשם משיעוריו של אבי על ספר זה. אחת ההערות ביטאה את חשדנותו של רבו כלפי ההיסטוריונים, וקבעה </w:t>
      </w:r>
      <w:proofErr w:type="spellStart"/>
      <w:r>
        <w:rPr>
          <w:rtl/>
        </w:rPr>
        <w:t>ש“עלינו</w:t>
      </w:r>
      <w:proofErr w:type="spellEnd"/>
      <w:r>
        <w:rPr>
          <w:rtl/>
        </w:rPr>
        <w:t xml:space="preserve"> להסתדר בלי היסטוריה”. “אולי על [ר׳ </w:t>
      </w:r>
      <w:proofErr w:type="spellStart"/>
      <w:r>
        <w:rPr>
          <w:rtl/>
        </w:rPr>
        <w:t>יצחק־אייזיק</w:t>
      </w:r>
      <w:proofErr w:type="spellEnd"/>
      <w:r>
        <w:rPr>
          <w:rtl/>
        </w:rPr>
        <w:t>] הלוי, שהיו לו הסכמות [מגדולי תורה], אפשר לסמוך”, אמר אז.</w:t>
      </w:r>
      <w:bookmarkStart w:id="108" w:name="_fnr106"/>
      <w:r>
        <w:rPr>
          <w:rStyle w:val="a5"/>
        </w:rPr>
        <w:footnoteReference w:id="106" w:customMarkFollows="0"/>
      </w:r>
      <w:bookmarkEnd w:id="108"/>
      <w:r>
        <w:rPr>
          <w:rtl/>
        </w:rPr>
        <w:t xml:space="preserve"> את הטענה שאפשר להסתדר בלי היסטוריה ביסס אבי על שאלת הגמרא</w:t>
      </w:r>
      <w:bookmarkStart w:id="109" w:name="_fnr107"/>
      <w:r>
        <w:rPr>
          <w:rStyle w:val="a5"/>
        </w:rPr>
        <w:footnoteReference w:id="107" w:customMarkFollows="0"/>
      </w:r>
      <w:bookmarkEnd w:id="109"/>
      <w:r>
        <w:rPr>
          <w:rtl/>
        </w:rPr>
        <w:t xml:space="preserve"> כיצד היה אהרן הכהן הגדול לבוש, ועל תשובתה – מאי דהוה </w:t>
      </w:r>
      <w:proofErr w:type="spellStart"/>
      <w:r>
        <w:rPr>
          <w:rtl/>
        </w:rPr>
        <w:t>הוה</w:t>
      </w:r>
      <w:proofErr w:type="spellEnd"/>
      <w:r>
        <w:rPr>
          <w:rtl/>
        </w:rPr>
        <w:t>! “אבל”, הוסיף רבנו, “חשוב מאוד לדעת את הנהגתם של הגדולים”.</w:t>
      </w:r>
    </w:p>
    <w:p w14:paraId="7A62BFD0" w14:textId="77777777" w:rsidR="00AB3647" w:rsidRDefault="00000000" w:rsidP="007923E9">
      <w:pPr>
        <w:spacing w:after="100" w:line="276" w:lineRule="auto"/>
        <w:ind w:firstLine="340"/>
        <w:jc w:val="both"/>
      </w:pPr>
      <w:r>
        <w:rPr>
          <w:rtl/>
        </w:rPr>
        <w:t xml:space="preserve">יש לשער שאבי למד להעריך סיפורים על גדולי הדורות הקודמים כשהגיע לראשונה </w:t>
      </w:r>
      <w:proofErr w:type="spellStart"/>
      <w:r>
        <w:rPr>
          <w:rtl/>
        </w:rPr>
        <w:t>לסלבודקה</w:t>
      </w:r>
      <w:proofErr w:type="spellEnd"/>
      <w:r>
        <w:rPr>
          <w:rtl/>
        </w:rPr>
        <w:t xml:space="preserve"> בשנת תרס״ו, ושמע סיפורים כאלה מפי ר׳ נפתלי אמסטרדם, תלמידו של ר׳ ישראל </w:t>
      </w:r>
      <w:proofErr w:type="spellStart"/>
      <w:r>
        <w:rPr>
          <w:rtl/>
        </w:rPr>
        <w:t>סלנטר</w:t>
      </w:r>
      <w:proofErr w:type="spellEnd"/>
      <w:r>
        <w:rPr>
          <w:rtl/>
        </w:rPr>
        <w:t xml:space="preserve"> (ראה הפסקה הרביעית בפרק 4.2, ואת ההערות והנספחים הקשורים בה בעמ׳ </w:t>
      </w:r>
      <w:r>
        <w:rPr>
          <w:rtl/>
        </w:rPr>
        <w:fldChar w:fldCharType="begin" w:dirty="true"/>
      </w:r>
      <w:r>
        <w:rPr>
          <w:rtl/>
        </w:rPr>
        <w:instrText xml:space="preserve"> PAGEREF pr_b_1769 \h </w:instrText>
      </w:r>
      <w:r>
        <w:rPr>
          <w:rtl/>
        </w:rPr>
      </w:r>
      <w:r>
        <w:rPr>
          <w:rtl/>
        </w:rPr>
        <w:fldChar w:fldCharType="separate"/>
      </w:r>
      <w:r w:rsidR="007923E9">
        <w:rPr>
          <w:noProof/>
          <w:rtl/>
        </w:rPr>
        <w:t>1</w:t>
      </w:r>
      <w:r>
        <w:rPr>
          <w:rtl/>
        </w:rPr>
        <w:fldChar w:fldCharType="end"/>
      </w:r>
      <w:r>
        <w:rPr>
          <w:rtl/>
        </w:rPr>
        <w:t xml:space="preserve"> ו־</w:t>
      </w:r>
      <w:r>
        <w:rPr>
          <w:rtl/>
        </w:rPr>
        <w:fldChar w:fldCharType="begin" w:dirty="true"/>
      </w:r>
      <w:r>
        <w:rPr>
          <w:rtl/>
        </w:rPr>
        <w:instrText xml:space="preserve"> PAGEREF pr_b_1900 \h </w:instrText>
      </w:r>
      <w:r>
        <w:rPr>
          <w:rtl/>
        </w:rPr>
      </w:r>
      <w:r>
        <w:rPr>
          <w:rtl/>
        </w:rPr>
        <w:fldChar w:fldCharType="separate"/>
      </w:r>
      <w:r w:rsidR="007923E9">
        <w:rPr>
          <w:noProof/>
          <w:rtl/>
        </w:rPr>
        <w:t>1</w:t>
      </w:r>
      <w:r>
        <w:rPr>
          <w:rtl/>
        </w:rPr>
        <w:fldChar w:fldCharType="end"/>
      </w:r>
      <w:r>
        <w:rPr>
          <w:rtl/>
        </w:rPr>
        <w:t>–</w:t>
      </w:r>
      <w:r>
        <w:rPr>
          <w:rtl/>
        </w:rPr>
        <w:fldChar w:fldCharType="begin" w:dirty="true"/>
      </w:r>
      <w:r>
        <w:rPr>
          <w:rtl/>
        </w:rPr>
        <w:instrText xml:space="preserve"> PAGEREF pr_b_1916 \h </w:instrText>
      </w:r>
      <w:r>
        <w:rPr>
          <w:rtl/>
        </w:rPr>
      </w:r>
      <w:r>
        <w:rPr>
          <w:rtl/>
        </w:rPr>
        <w:fldChar w:fldCharType="separate"/>
      </w:r>
      <w:r w:rsidR="007923E9">
        <w:rPr>
          <w:noProof/>
          <w:rtl/>
        </w:rPr>
        <w:t>1</w:t>
      </w:r>
      <w:r>
        <w:rPr>
          <w:rtl/>
        </w:rPr>
        <w:fldChar w:fldCharType="end"/>
      </w:r>
      <w:r>
        <w:rPr>
          <w:rtl/>
        </w:rPr>
        <w:t xml:space="preserve">). לפי ר׳ </w:t>
      </w:r>
      <w:proofErr w:type="spellStart"/>
      <w:r>
        <w:rPr>
          <w:rtl/>
        </w:rPr>
        <w:t>אברהם־חיים</w:t>
      </w:r>
      <w:proofErr w:type="spellEnd"/>
      <w:r>
        <w:rPr>
          <w:rtl/>
        </w:rPr>
        <w:t xml:space="preserve"> </w:t>
      </w:r>
      <w:proofErr w:type="spellStart"/>
      <w:r>
        <w:rPr>
          <w:rtl/>
        </w:rPr>
        <w:t>פויער</w:t>
      </w:r>
      <w:proofErr w:type="spellEnd"/>
      <w:r>
        <w:rPr>
          <w:rtl/>
        </w:rPr>
        <w:t>,</w:t>
      </w:r>
      <w:bookmarkStart w:id="110" w:name="_fnr108"/>
      <w:r>
        <w:rPr>
          <w:rStyle w:val="a5"/>
        </w:rPr>
        <w:footnoteReference w:id="108" w:customMarkFollows="0"/>
      </w:r>
      <w:bookmarkEnd w:id="110"/>
      <w:r>
        <w:rPr>
          <w:rtl/>
        </w:rPr>
        <w:t xml:space="preserve"> ייחס אבי את אריכות ימיו לשליחות משמים להעביר הלאה סיפורים אלה, והכריז בפומבי: “ריבונו של עולם נתן לי אריכות ימים כדי שאספר לדור הזה איך היו הדורות הקודמים – כדי לגשר על הפער”.</w:t>
      </w:r>
      <w:bookmarkStart w:id="111" w:name="_fnr109"/>
      <w:r>
        <w:rPr>
          <w:rStyle w:val="a5"/>
        </w:rPr>
        <w:footnoteReference w:id="109" w:customMarkFollows="0"/>
      </w:r>
      <w:bookmarkEnd w:id="111"/>
    </w:p>
    <w:p w14:paraId="39657F1B" w14:textId="77777777" w:rsidR="00AB3647" w:rsidRDefault="00000000" w:rsidP="007923E9">
      <w:pPr>
        <w:spacing w:after="100" w:line="276" w:lineRule="auto"/>
        <w:ind w:firstLine="340"/>
        <w:jc w:val="both"/>
      </w:pPr>
      <w:r>
        <w:rPr>
          <w:rtl/>
        </w:rPr>
        <w:t xml:space="preserve">מעניינת עוד יותר ההסכמה שבין אבי לבין ראש ישיבת </w:t>
      </w:r>
      <w:proofErr w:type="spellStart"/>
      <w:r>
        <w:rPr>
          <w:rtl/>
        </w:rPr>
        <w:t>פוניבז</w:t>
      </w:r>
      <w:proofErr w:type="spellEnd"/>
      <w:r>
        <w:rPr>
          <w:rtl/>
        </w:rPr>
        <w:t xml:space="preserve">׳, ר׳ </w:t>
      </w:r>
      <w:proofErr w:type="spellStart"/>
      <w:r>
        <w:rPr>
          <w:rtl/>
        </w:rPr>
        <w:t>אלעזר־מנחם־מן</w:t>
      </w:r>
      <w:proofErr w:type="spellEnd"/>
      <w:r>
        <w:rPr>
          <w:rtl/>
        </w:rPr>
        <w:t xml:space="preserve"> שך, על אופיים הנעלה של הסיפורים על גדולי הדורות הקודמים. ראה בהקדמה </w:t>
      </w:r>
      <w:proofErr w:type="spellStart"/>
      <w:r>
        <w:rPr>
          <w:rtl/>
        </w:rPr>
        <w:t>ל“שמושה</w:t>
      </w:r>
      <w:proofErr w:type="spellEnd"/>
      <w:r>
        <w:rPr>
          <w:rtl/>
        </w:rPr>
        <w:t xml:space="preserve"> של תורה”</w:t>
      </w:r>
      <w:bookmarkStart w:id="112" w:name="_fnr110"/>
      <w:r>
        <w:rPr>
          <w:rStyle w:val="a5"/>
        </w:rPr>
        <w:footnoteReference w:id="110" w:customMarkFollows="0"/>
      </w:r>
      <w:bookmarkEnd w:id="112"/>
      <w:r>
        <w:rPr>
          <w:rtl/>
        </w:rPr>
        <w:t xml:space="preserve">, שם נאמר שר׳ </w:t>
      </w:r>
      <w:proofErr w:type="spellStart"/>
      <w:r>
        <w:rPr>
          <w:rtl/>
        </w:rPr>
        <w:t>אלעזר־מנחם־מן</w:t>
      </w:r>
      <w:proofErr w:type="spellEnd"/>
      <w:r>
        <w:rPr>
          <w:rtl/>
        </w:rPr>
        <w:t xml:space="preserve"> שך “ראה במאורעות ובמעשים של גדולי הדורות תורה שלמה, </w:t>
      </w:r>
      <w:r>
        <w:rPr>
          <w:b/>
          <w:bCs/>
          <w:rtl/>
        </w:rPr>
        <w:t>חלק ממסורת התורה</w:t>
      </w:r>
      <w:r>
        <w:rPr>
          <w:rtl/>
        </w:rPr>
        <w:t>” (ההדגשה שלי). גם אבי העלה את מעמד סיפוריהם לדרגת תורה.</w:t>
      </w:r>
    </w:p>
    <w:p w14:paraId="05CA020F" w14:textId="77777777" w:rsidR="00AB3647" w:rsidRDefault="00000000" w:rsidP="007923E9">
      <w:pPr>
        <w:spacing w:after="100" w:line="276" w:lineRule="auto"/>
        <w:ind w:firstLine="340"/>
        <w:jc w:val="both"/>
      </w:pPr>
      <w:r>
        <w:rPr>
          <w:rtl/>
        </w:rPr>
        <w:t xml:space="preserve">כשביקר ר׳ מיכל זילבר אצל אבי </w:t>
      </w:r>
      <w:proofErr w:type="spellStart"/>
      <w:r>
        <w:rPr>
          <w:rtl/>
        </w:rPr>
        <w:t>במונסי</w:t>
      </w:r>
      <w:proofErr w:type="spellEnd"/>
      <w:r>
        <w:rPr>
          <w:rtl/>
        </w:rPr>
        <w:t xml:space="preserve"> בשנת תשמ״ד, יחד איתי, אמר אבי דבר חידוש על תדירות שיעוריו של ר׳ </w:t>
      </w:r>
      <w:proofErr w:type="spellStart"/>
      <w:r>
        <w:rPr>
          <w:rtl/>
        </w:rPr>
        <w:t>משה־מרדכי</w:t>
      </w:r>
      <w:proofErr w:type="spellEnd"/>
      <w:r>
        <w:rPr>
          <w:rtl/>
        </w:rPr>
        <w:t xml:space="preserve"> אפשטיין. ר׳ מיכל העיר שאולי כדאי לרשום את זיכרונותיו של בן שיחו </w:t>
      </w:r>
      <w:proofErr w:type="spellStart"/>
      <w:r>
        <w:rPr>
          <w:rtl/>
        </w:rPr>
        <w:t>מסלבודקה</w:t>
      </w:r>
      <w:proofErr w:type="spellEnd"/>
      <w:r>
        <w:rPr>
          <w:rtl/>
        </w:rPr>
        <w:t xml:space="preserve">, ורבנו השיב: “הלואי </w:t>
      </w:r>
      <w:proofErr w:type="spellStart"/>
      <w:r>
        <w:rPr>
          <w:rtl/>
        </w:rPr>
        <w:t>וואלט</w:t>
      </w:r>
      <w:proofErr w:type="spellEnd"/>
      <w:r>
        <w:rPr>
          <w:rtl/>
        </w:rPr>
        <w:t xml:space="preserve"> מען </w:t>
      </w:r>
      <w:proofErr w:type="spellStart"/>
      <w:r>
        <w:rPr>
          <w:rtl/>
        </w:rPr>
        <w:t>דאס</w:t>
      </w:r>
      <w:proofErr w:type="spellEnd"/>
      <w:r>
        <w:rPr>
          <w:rtl/>
        </w:rPr>
        <w:t xml:space="preserve"> </w:t>
      </w:r>
      <w:proofErr w:type="spellStart"/>
      <w:r>
        <w:rPr>
          <w:rtl/>
        </w:rPr>
        <w:t>געטאהן</w:t>
      </w:r>
      <w:proofErr w:type="spellEnd"/>
      <w:r>
        <w:rPr>
          <w:rtl/>
        </w:rPr>
        <w:t xml:space="preserve">; </w:t>
      </w:r>
      <w:proofErr w:type="spellStart"/>
      <w:r>
        <w:rPr>
          <w:rtl/>
        </w:rPr>
        <w:t>סלבודקה</w:t>
      </w:r>
      <w:proofErr w:type="spellEnd"/>
      <w:r>
        <w:rPr>
          <w:rtl/>
        </w:rPr>
        <w:t xml:space="preserve"> </w:t>
      </w:r>
      <w:proofErr w:type="spellStart"/>
      <w:r>
        <w:rPr>
          <w:rtl/>
        </w:rPr>
        <w:t>איז</w:t>
      </w:r>
      <w:proofErr w:type="spellEnd"/>
      <w:r>
        <w:rPr>
          <w:rtl/>
        </w:rPr>
        <w:t xml:space="preserve"> א </w:t>
      </w:r>
      <w:proofErr w:type="spellStart"/>
      <w:r>
        <w:rPr>
          <w:b/>
          <w:bCs/>
          <w:rtl/>
        </w:rPr>
        <w:t>מסכתא</w:t>
      </w:r>
      <w:proofErr w:type="spellEnd"/>
      <w:r>
        <w:rPr>
          <w:rtl/>
        </w:rPr>
        <w:t xml:space="preserve"> </w:t>
      </w:r>
      <w:proofErr w:type="spellStart"/>
      <w:r>
        <w:rPr>
          <w:rtl/>
        </w:rPr>
        <w:t>וואס</w:t>
      </w:r>
      <w:proofErr w:type="spellEnd"/>
      <w:r>
        <w:rPr>
          <w:rtl/>
        </w:rPr>
        <w:t xml:space="preserve"> </w:t>
      </w:r>
      <w:proofErr w:type="spellStart"/>
      <w:r>
        <w:rPr>
          <w:rtl/>
        </w:rPr>
        <w:t>איז</w:t>
      </w:r>
      <w:proofErr w:type="spellEnd"/>
      <w:r>
        <w:rPr>
          <w:rtl/>
        </w:rPr>
        <w:t xml:space="preserve"> דא </w:t>
      </w:r>
      <w:proofErr w:type="spellStart"/>
      <w:r>
        <w:rPr>
          <w:rtl/>
        </w:rPr>
        <w:t>וואס</w:t>
      </w:r>
      <w:proofErr w:type="spellEnd"/>
      <w:r>
        <w:rPr>
          <w:rtl/>
        </w:rPr>
        <w:t xml:space="preserve"> צו </w:t>
      </w:r>
      <w:proofErr w:type="spellStart"/>
      <w:r>
        <w:rPr>
          <w:rtl/>
        </w:rPr>
        <w:t>לערנען</w:t>
      </w:r>
      <w:proofErr w:type="spellEnd"/>
      <w:r>
        <w:rPr>
          <w:rtl/>
        </w:rPr>
        <w:t xml:space="preserve">” [הלוואי שיעשו זאת! </w:t>
      </w:r>
      <w:proofErr w:type="spellStart"/>
      <w:r>
        <w:rPr>
          <w:rtl/>
        </w:rPr>
        <w:t>סלבודקה</w:t>
      </w:r>
      <w:proofErr w:type="spellEnd"/>
      <w:r>
        <w:rPr>
          <w:rtl/>
        </w:rPr>
        <w:t xml:space="preserve"> היא </w:t>
      </w:r>
      <w:r>
        <w:rPr>
          <w:b/>
          <w:bCs/>
          <w:rtl/>
        </w:rPr>
        <w:t>מסכת</w:t>
      </w:r>
      <w:r>
        <w:rPr>
          <w:rtl/>
        </w:rPr>
        <w:t xml:space="preserve"> שיש בה מה ללמוד] (ההדגשה שלי).</w:t>
      </w:r>
    </w:p>
    <w:p w14:paraId="31BDA55C" w14:textId="77777777" w:rsidR="00AB3647" w:rsidRDefault="00000000" w:rsidP="007923E9">
      <w:pPr>
        <w:spacing w:after="100" w:line="276" w:lineRule="auto"/>
        <w:ind w:firstLine="340"/>
        <w:jc w:val="both"/>
      </w:pPr>
      <w:r>
        <w:rPr>
          <w:rtl/>
        </w:rPr>
        <w:lastRenderedPageBreak/>
        <w:t xml:space="preserve">הערכה כה נועזת של סיפורי גדולים מקורה בוודאי ברבותיהם. גם אבי וגם ר׳ </w:t>
      </w:r>
      <w:proofErr w:type="spellStart"/>
      <w:r>
        <w:rPr>
          <w:rtl/>
        </w:rPr>
        <w:t>אלעזר־מנחם־מן</w:t>
      </w:r>
      <w:proofErr w:type="spellEnd"/>
      <w:r>
        <w:rPr>
          <w:rtl/>
        </w:rPr>
        <w:t xml:space="preserve"> שך למדו אצל ר׳ </w:t>
      </w:r>
      <w:proofErr w:type="spellStart"/>
      <w:r>
        <w:rPr>
          <w:rtl/>
        </w:rPr>
        <w:t>נתן־צבי</w:t>
      </w:r>
      <w:proofErr w:type="spellEnd"/>
      <w:r>
        <w:rPr>
          <w:rtl/>
        </w:rPr>
        <w:t xml:space="preserve"> </w:t>
      </w:r>
      <w:proofErr w:type="spellStart"/>
      <w:r>
        <w:rPr>
          <w:rtl/>
        </w:rPr>
        <w:t>פינקל</w:t>
      </w:r>
      <w:proofErr w:type="spellEnd"/>
      <w:r>
        <w:rPr>
          <w:rtl/>
        </w:rPr>
        <w:t xml:space="preserve">. אבל ר׳ </w:t>
      </w:r>
      <w:proofErr w:type="spellStart"/>
      <w:r>
        <w:rPr>
          <w:rtl/>
        </w:rPr>
        <w:t>אלעזר־מנחם־מן</w:t>
      </w:r>
      <w:proofErr w:type="spellEnd"/>
      <w:r>
        <w:rPr>
          <w:rtl/>
        </w:rPr>
        <w:t xml:space="preserve"> שך היה רק בן </w:t>
      </w:r>
      <w:proofErr w:type="spellStart"/>
      <w:r>
        <w:rPr>
          <w:rtl/>
        </w:rPr>
        <w:t>שש־עשרה</w:t>
      </w:r>
      <w:proofErr w:type="spellEnd"/>
      <w:r>
        <w:rPr>
          <w:rtl/>
        </w:rPr>
        <w:t xml:space="preserve"> כשעזב את </w:t>
      </w:r>
      <w:proofErr w:type="spellStart"/>
      <w:r>
        <w:rPr>
          <w:rtl/>
        </w:rPr>
        <w:t>סלבודקה</w:t>
      </w:r>
      <w:proofErr w:type="spellEnd"/>
      <w:r>
        <w:rPr>
          <w:rtl/>
        </w:rPr>
        <w:t xml:space="preserve"> בפרוץ מלחמת העולם הראשונה, ולכן ספק אם למד לקח זה מהסבא </w:t>
      </w:r>
      <w:proofErr w:type="spellStart"/>
      <w:r>
        <w:rPr>
          <w:rtl/>
        </w:rPr>
        <w:t>מסלבודקה</w:t>
      </w:r>
      <w:proofErr w:type="spellEnd"/>
      <w:r>
        <w:rPr>
          <w:rtl/>
        </w:rPr>
        <w:t xml:space="preserve">. שניהם למדו אצל ר׳ </w:t>
      </w:r>
      <w:proofErr w:type="spellStart"/>
      <w:r>
        <w:rPr>
          <w:rtl/>
        </w:rPr>
        <w:t>איסר־זלמן</w:t>
      </w:r>
      <w:proofErr w:type="spellEnd"/>
      <w:r>
        <w:rPr>
          <w:rtl/>
        </w:rPr>
        <w:t xml:space="preserve">, אם כי בזמנים שונים. לכן מסתבר שר׳ </w:t>
      </w:r>
      <w:proofErr w:type="spellStart"/>
      <w:r>
        <w:rPr>
          <w:rtl/>
        </w:rPr>
        <w:t>איסר־זלמן</w:t>
      </w:r>
      <w:proofErr w:type="spellEnd"/>
      <w:r>
        <w:rPr>
          <w:rtl/>
        </w:rPr>
        <w:t xml:space="preserve"> – שהקפיד ששומעיו לא יחמיצו מילה מן הסיפורים שסיפר, כמסופר לעיל – הוא שהנחיל להם את העיקרון שסיפורי גדולי הדורות הקודמים הם “</w:t>
      </w:r>
      <w:proofErr w:type="spellStart"/>
      <w:r>
        <w:rPr>
          <w:rtl/>
        </w:rPr>
        <w:t>מסכתא</w:t>
      </w:r>
      <w:proofErr w:type="spellEnd"/>
      <w:r>
        <w:rPr>
          <w:rtl/>
        </w:rPr>
        <w:t xml:space="preserve"> – חלק ממסורת התורה”. זוהי תמצית הספר שלפנינו.</w:t>
      </w:r>
    </w:p>
    <w:p w14:paraId="537D7ED5" w14:textId="77777777" w:rsidR="00AB3647" w:rsidRDefault="00AB3647" w:rsidP="007923E9">
      <w:pPr>
        <w:spacing w:line="276" w:lineRule="auto"/>
        <w:sectPr w:rsidR="00AB3647">
          <w:footerReference w:type="default" r:id="rId9"/>
          <w:footnotePr>
            <w:pos w:val="pageBottom"/>
            <w:numRestart w:val="eachSect"/>
          </w:footnotePr>
          <w:pgSz w:w="9638" w:h="13606"/>
          <w:pgMar w:top="1134" w:right="1077" w:bottom="1134" w:left="1077" w:header="567" w:footer="567" w:gutter="0"/>
          <w:cols w:space="720"/>
          <w:bidi/>
          <w:docGrid w:linePitch="360"/>
        </w:sectPr>
      </w:pPr>
    </w:p>
    <w:p w14:paraId="10778501" w14:textId="77777777" w:rsidR="00AB3647" w:rsidRDefault="00000000" w:rsidP="007923E9">
      <w:pPr>
        <w:pStyle w:val="1"/>
        <w:spacing w:line="276" w:lineRule="auto"/>
      </w:pPr>
      <w:bookmarkStart w:id="113" w:name="b0_prologue"/>
      <w:r>
        <w:rPr>
          <w:b w:val="0"/>
        </w:rPr>
        <w:lastRenderedPageBreak/>
        <w:t>פתיחה</w:t>
      </w:r>
      <w:bookmarkEnd w:id="113"/>
    </w:p>
    <w:p w14:paraId="54361FC0" w14:textId="734CA300" w:rsidR="00AB3647" w:rsidRDefault="00000000" w:rsidP="007923E9">
      <w:pPr>
        <w:spacing w:after="100" w:line="276" w:lineRule="auto"/>
        <w:ind w:firstLine="340"/>
        <w:jc w:val="both"/>
      </w:pPr>
      <w:r>
        <w:rPr>
          <w:rtl/>
        </w:rPr>
        <w:t>העולם השתנה פעמיים</w:t>
      </w:r>
      <w:r>
        <w:rPr>
          <w:vertAlign w:val="superscript"/>
          <w:rtl/>
        </w:rPr>
        <w:fldChar w:fldCharType="begin" w:dirty="true"/>
      </w:r>
      <w:r>
        <w:rPr>
          <w:vertAlign w:val="superscript"/>
          <w:rtl/>
        </w:rPr>
        <w:instrText xml:space="preserve"> REF b0_note_1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w:t>
      </w:r>
      <w:r>
        <w:rPr>
          <w:vertAlign w:val="superscript"/>
          <w:rtl/>
        </w:rPr>
        <w:fldChar w:fldCharType="end"/>
      </w:r>
      <w:r>
        <w:rPr>
          <w:rtl/>
        </w:rPr>
        <w:t xml:space="preserve"> מאז, והמקום עבר מיד ליד – מרוסיה לפולין ושוב לרוסיה</w:t>
      </w:r>
      <w:r>
        <w:rPr>
          <w:vertAlign w:val="superscript"/>
          <w:rtl/>
        </w:rPr>
        <w:fldChar w:fldCharType="begin" w:dirty="true"/>
      </w:r>
      <w:r>
        <w:rPr>
          <w:vertAlign w:val="superscript"/>
          <w:rtl/>
        </w:rPr>
        <w:instrText xml:space="preserve"> REF b0_note_2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w:t>
      </w:r>
      <w:r>
        <w:rPr>
          <w:vertAlign w:val="superscript"/>
          <w:rtl/>
        </w:rPr>
        <w:fldChar w:fldCharType="end"/>
      </w:r>
      <w:r>
        <w:rPr>
          <w:rtl/>
        </w:rPr>
        <w:t xml:space="preserve"> – ובינתיים נכבש בידי הגרמנים במלחמת העולם הראשונה, ושוב במלחמת העולם השנייה. המקום היה אחוזה הגובלת ביער ובנהר, ובה, כנהוג, אסמים, בהמות משק ושדות מכוסי שלג. על הנהר, שהיה אז גוש של קרח, עמדה טחנה גדולה, ואליה היו האיכרים השכנים מביאים את חיטתם לטחינה בבוא האביב המאוחר.</w:t>
      </w:r>
    </w:p>
    <w:p w14:paraId="3B6CDEEB" w14:textId="112067F4" w:rsidR="00AB3647" w:rsidRDefault="00000000" w:rsidP="007923E9">
      <w:pPr>
        <w:spacing w:after="100" w:line="276" w:lineRule="auto"/>
        <w:ind w:firstLine="340"/>
        <w:jc w:val="both"/>
      </w:pPr>
      <w:r>
        <w:rPr>
          <w:rtl/>
        </w:rPr>
        <w:t xml:space="preserve">בעל האחוזה היה יהודי קשיש שומר מצוות, מומחה לייעור, ששלח את העצים שכרת במורד הנהר אל הים הבלטי, מרחק ארבע מאות קילומטרים. כמה מילדיו הנשואים סייעו בניהול האחוזה, והם ומשפחותיהם גרו שם עם </w:t>
      </w:r>
      <w:proofErr w:type="spellStart"/>
      <w:r>
        <w:rPr>
          <w:rtl/>
        </w:rPr>
        <w:t>ה“פריץ</w:t>
      </w:r>
      <w:proofErr w:type="spellEnd"/>
      <w:r>
        <w:rPr>
          <w:rtl/>
        </w:rPr>
        <w:t>” היהודי הזה.</w:t>
      </w:r>
      <w:r>
        <w:rPr>
          <w:vertAlign w:val="superscript"/>
          <w:rtl/>
        </w:rPr>
        <w:fldChar w:fldCharType="begin" w:dirty="true"/>
      </w:r>
      <w:r>
        <w:rPr>
          <w:vertAlign w:val="superscript"/>
          <w:rtl/>
        </w:rPr>
        <w:instrText xml:space="preserve"> REF b0_note_3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w:t>
      </w:r>
      <w:r>
        <w:rPr>
          <w:vertAlign w:val="superscript"/>
          <w:rtl/>
        </w:rPr>
        <w:fldChar w:fldCharType="end"/>
      </w:r>
      <w:r>
        <w:rPr>
          <w:rtl/>
        </w:rPr>
        <w:t xml:space="preserve"> כאן בא לעולם נכדו, רבנו, ביום שבת. כעבור שמונה ימים, כשנדרש מניין כדי להכניס את הילד בבריתו של אברהם אבינו, נאלצו לחפש אדם זר כדי להשלים את המניין.</w:t>
      </w:r>
      <w:r>
        <w:rPr>
          <w:vertAlign w:val="superscript"/>
          <w:rtl/>
        </w:rPr>
        <w:fldChar w:fldCharType="begin" w:dirty="true"/>
      </w:r>
      <w:r>
        <w:rPr>
          <w:vertAlign w:val="superscript"/>
          <w:rtl/>
        </w:rPr>
        <w:instrText xml:space="preserve"> REF b0_note_4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w:t>
      </w:r>
      <w:r>
        <w:rPr>
          <w:vertAlign w:val="superscript"/>
          <w:rtl/>
        </w:rPr>
        <w:fldChar w:fldCharType="end"/>
      </w:r>
    </w:p>
    <w:p w14:paraId="5AB0B2DD" w14:textId="77777777" w:rsidR="00AB3647" w:rsidRDefault="00000000" w:rsidP="007923E9">
      <w:pPr>
        <w:spacing w:after="100" w:line="276" w:lineRule="auto"/>
        <w:ind w:firstLine="340"/>
        <w:jc w:val="both"/>
      </w:pPr>
      <w:r>
        <w:rPr>
          <w:rtl/>
        </w:rPr>
        <w:t xml:space="preserve">ביום שני בבוקר, באדר א׳ תשמ״ו, בבית החולים סיני בבולטימור, הלך החכם לעולמו בן תשעים וחמש. עד אחר הצהריים התאספו שלושים וחמישה אלף איש, מערים רבות במזרח ארצות הברית ובקנדה, ברחוב שלפני ישיבת “מתיבתא תורה ודעת” בברוקלין שבניו יורק, כדי לחלוק לו כבוד אחרון וללוותו לבית עולמו. </w:t>
      </w:r>
      <w:proofErr w:type="spellStart"/>
      <w:r>
        <w:rPr>
          <w:rtl/>
        </w:rPr>
        <w:t>בשנים־עשר</w:t>
      </w:r>
      <w:proofErr w:type="spellEnd"/>
      <w:r>
        <w:rPr>
          <w:rtl/>
        </w:rPr>
        <w:t xml:space="preserve"> החודשים שלאחר מכן נערכו הספדים על ראש הישיבה הנערץ בערים ברחבי העולם, ובמשך שנים רבות אחר כך נקראו תינוקות על שם הצדיק האהוב.</w:t>
      </w:r>
    </w:p>
    <w:p w14:paraId="47CAABCA" w14:textId="77777777" w:rsidR="00AB3647" w:rsidRDefault="00000000" w:rsidP="007923E9">
      <w:pPr>
        <w:spacing w:before="200" w:after="200" w:line="276" w:lineRule="auto"/>
        <w:jc w:val="center"/>
      </w:pPr>
      <w:r>
        <w:rPr>
          <w:rtl/>
        </w:rPr>
        <w:t>* * *</w:t>
      </w:r>
    </w:p>
    <w:p w14:paraId="452D469D" w14:textId="2340BF3A" w:rsidR="00AB3647" w:rsidRDefault="00000000" w:rsidP="007923E9">
      <w:pPr>
        <w:spacing w:after="100" w:line="276" w:lineRule="auto"/>
        <w:ind w:firstLine="340"/>
        <w:jc w:val="both"/>
      </w:pPr>
      <w:r>
        <w:rPr>
          <w:rtl/>
        </w:rPr>
        <w:t>הטקסט של ספר זה הוא ניסיון לתאר כיצד התחולל המעבר מנער חווה לגדול הדור.</w:t>
      </w:r>
      <w:r>
        <w:rPr>
          <w:vertAlign w:val="superscript"/>
          <w:rtl/>
        </w:rPr>
        <w:fldChar w:fldCharType="begin" w:dirty="true"/>
      </w:r>
      <w:r>
        <w:rPr>
          <w:vertAlign w:val="superscript"/>
          <w:rtl/>
        </w:rPr>
        <w:instrText xml:space="preserve"> REF b0_note_5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w:t>
      </w:r>
      <w:r>
        <w:rPr>
          <w:vertAlign w:val="superscript"/>
          <w:rtl/>
        </w:rPr>
        <w:fldChar w:fldCharType="end"/>
      </w:r>
    </w:p>
    <w:p w14:paraId="74FAD3E4" w14:textId="77777777" w:rsidR="00AB3647" w:rsidRDefault="00000000" w:rsidP="007923E9">
      <w:pPr>
        <w:pStyle w:val="2"/>
        <w:spacing w:line="276" w:lineRule="auto"/>
      </w:pPr>
      <w:r>
        <w:rPr>
          <w:b w:val="0"/>
        </w:rPr>
        <w:t>הערות לפתיחה</w:t>
      </w:r>
    </w:p>
    <w:p w14:paraId="559FD062" w14:textId="77777777" w:rsidR="00AB3647" w:rsidRDefault="00000000" w:rsidP="007923E9">
      <w:pPr>
        <w:spacing w:after="160" w:line="276" w:lineRule="auto"/>
        <w:jc w:val="both"/>
      </w:pPr>
      <w:bookmarkStart w:id="114" w:name="b0_note_1"/>
      <w:r>
        <w:rPr>
          <w:b/>
          <w:bCs/>
          <w:rtl/>
        </w:rPr>
        <w:t>1.</w:t>
      </w:r>
      <w:bookmarkEnd w:id="114"/>
      <w:r>
        <w:rPr>
          <w:rtl/>
        </w:rPr>
        <w:t xml:space="preserve"> על שינויי הערכים שראה במו עיניו נהג אבי לומר שחלוף חמישים שנה, עם התמורות המצטברות בחברה, יוצר עולם חדש לגמרי (“עולמו של יובל”).</w:t>
      </w:r>
      <w:bookmarkStart w:id="115" w:name="_fnr111"/>
      <w:r>
        <w:rPr>
          <w:rStyle w:val="a5"/>
        </w:rPr>
        <w:footnoteReference w:id="111" w:customMarkFollows="0"/>
      </w:r>
      <w:bookmarkEnd w:id="115"/>
    </w:p>
    <w:p w14:paraId="6F0A117F" w14:textId="77777777" w:rsidR="00AB3647" w:rsidRDefault="00000000" w:rsidP="007923E9">
      <w:pPr>
        <w:spacing w:after="160" w:line="276" w:lineRule="auto"/>
        <w:jc w:val="both"/>
      </w:pPr>
      <w:bookmarkStart w:id="116" w:name="b0_note_2"/>
      <w:r>
        <w:rPr>
          <w:b/>
          <w:bCs/>
          <w:rtl/>
        </w:rPr>
        <w:t>2.</w:t>
      </w:r>
      <w:bookmarkEnd w:id="116"/>
      <w:r>
        <w:rPr>
          <w:rtl/>
        </w:rPr>
        <w:t xml:space="preserve"> בזמן הולדתו של אבי היו העיירה </w:t>
      </w:r>
      <w:proofErr w:type="spellStart"/>
      <w:r>
        <w:rPr>
          <w:rtl/>
        </w:rPr>
        <w:t>דולהינוב</w:t>
      </w:r>
      <w:proofErr w:type="spellEnd"/>
      <w:r>
        <w:rPr>
          <w:rtl/>
        </w:rPr>
        <w:t xml:space="preserve"> וסביבותיה – ובהן האחוזה </w:t>
      </w:r>
      <w:proofErr w:type="spellStart"/>
      <w:r>
        <w:rPr>
          <w:rtl/>
        </w:rPr>
        <w:t>קאליסקובקה</w:t>
      </w:r>
      <w:proofErr w:type="spellEnd"/>
      <w:r>
        <w:rPr>
          <w:rtl/>
        </w:rPr>
        <w:t>,</w:t>
      </w:r>
      <w:bookmarkStart w:id="117" w:name="_fnr112"/>
      <w:r>
        <w:rPr>
          <w:rStyle w:val="a5"/>
        </w:rPr>
        <w:footnoteReference w:id="112" w:customMarkFollows="0"/>
      </w:r>
      <w:bookmarkEnd w:id="117"/>
      <w:r>
        <w:rPr>
          <w:rtl/>
        </w:rPr>
        <w:t xml:space="preserve"> שבה נולד – חלק מרוסיה הצארית. בסוף מלחמת העולם הראשונה נכבש האזור בידי מורדים פולנים. כשנקבע הגבול המזרחי של הרפובליקה הפולנית החדשה, נעשתה </w:t>
      </w:r>
      <w:proofErr w:type="spellStart"/>
      <w:r>
        <w:rPr>
          <w:rtl/>
        </w:rPr>
        <w:t>דולהינוב</w:t>
      </w:r>
      <w:proofErr w:type="spellEnd"/>
      <w:r>
        <w:rPr>
          <w:rtl/>
        </w:rPr>
        <w:t xml:space="preserve"> חלק ממנה – הגבול עבר שבעה קילומטרים ממזרח לעיירה – ואילו </w:t>
      </w:r>
      <w:proofErr w:type="spellStart"/>
      <w:r>
        <w:rPr>
          <w:rtl/>
        </w:rPr>
        <w:t>קאליסקובקה</w:t>
      </w:r>
      <w:proofErr w:type="spellEnd"/>
      <w:r>
        <w:rPr>
          <w:rtl/>
        </w:rPr>
        <w:t xml:space="preserve"> נשארה בתחומי </w:t>
      </w:r>
      <w:r>
        <w:rPr>
          <w:rtl/>
        </w:rPr>
        <w:lastRenderedPageBreak/>
        <w:t>רוסיה. כעבור עשרים שנה חזרו הרוסים והזיזו את הגבול מאתיים ושמונים קילומטרים מערבה, וסיפחו את כל מזרח פולין לרפובליקה הסובייטית הסוציאליסטית הבלארוסית, שבשנת תשנ״ב נעשתה לרפובליקה של בלארוס, במסגרת חבר המדינות העצמאיות.</w:t>
      </w:r>
    </w:p>
    <w:p w14:paraId="704E236E" w14:textId="77777777" w:rsidR="00AB3647" w:rsidRDefault="00000000" w:rsidP="007923E9">
      <w:pPr>
        <w:spacing w:after="160" w:line="276" w:lineRule="auto"/>
        <w:jc w:val="both"/>
      </w:pPr>
      <w:bookmarkStart w:id="118" w:name="b0_note_3"/>
      <w:r>
        <w:rPr>
          <w:b/>
          <w:bCs/>
          <w:rtl/>
        </w:rPr>
        <w:t>3.</w:t>
      </w:r>
      <w:bookmarkEnd w:id="118"/>
      <w:r>
        <w:rPr>
          <w:rtl/>
        </w:rPr>
        <w:t xml:space="preserve"> כשהייתה מרכבתו עוברת בדרך, היו האיכרים מסירים את כובעיהם לכבוד האציל.</w:t>
      </w:r>
      <w:bookmarkStart w:id="119" w:name="_fnr113"/>
      <w:r>
        <w:rPr>
          <w:rStyle w:val="a5"/>
        </w:rPr>
        <w:footnoteReference w:id="113" w:customMarkFollows="0"/>
      </w:r>
      <w:bookmarkEnd w:id="119"/>
    </w:p>
    <w:p w14:paraId="00B21B31" w14:textId="05F4E7C5" w:rsidR="00AB3647" w:rsidRDefault="00000000" w:rsidP="007923E9">
      <w:pPr>
        <w:spacing w:after="160" w:line="276" w:lineRule="auto"/>
        <w:jc w:val="both"/>
      </w:pPr>
      <w:bookmarkStart w:id="120" w:name="b0_note_4"/>
      <w:r>
        <w:rPr>
          <w:b/>
          <w:bCs/>
          <w:rtl/>
        </w:rPr>
        <w:t>4.</w:t>
      </w:r>
      <w:bookmarkEnd w:id="120"/>
      <w:r>
        <w:rPr>
          <w:rtl/>
        </w:rPr>
        <w:t xml:space="preserve"> אבי סיפר </w:t>
      </w:r>
      <w:proofErr w:type="spellStart"/>
      <w:r>
        <w:rPr>
          <w:rtl/>
        </w:rPr>
        <w:t>לר</w:t>
      </w:r>
      <w:proofErr w:type="spellEnd"/>
      <w:r>
        <w:rPr>
          <w:rtl/>
        </w:rPr>
        <w:t>׳ אברהם פישמן</w:t>
      </w:r>
      <w:bookmarkStart w:id="121" w:name="_fnr114"/>
      <w:r>
        <w:rPr>
          <w:rStyle w:val="a5"/>
        </w:rPr>
        <w:footnoteReference w:id="114" w:customMarkFollows="0"/>
      </w:r>
      <w:bookmarkEnd w:id="121"/>
      <w:r>
        <w:rPr>
          <w:rtl/>
        </w:rPr>
        <w:t xml:space="preserve"> שהאחוזה הייתה רחוקה מדי מן העיירה היהודית הקרובה, ואיש לא יכול היה ללכת משם ברגל בשבת. לכן לא יכול היה לבוא המוהל המועדף, המומחה יותר. יום הולדתו של אבי היה שבת, כ׳ באדר א׳ תרנ״א, והברית נערכה בשבת שלאחריה. סבו כבר היה סנדק לאחיו הגדול, ואביו לא יכול היה לשמש סנדק משום שהיה צולע,</w:t>
      </w:r>
      <w:bookmarkStart w:id="122" w:name="_fnr115"/>
      <w:r>
        <w:rPr>
          <w:rStyle w:val="a5"/>
        </w:rPr>
        <w:footnoteReference w:id="115" w:customMarkFollows="0"/>
      </w:r>
      <w:bookmarkEnd w:id="122"/>
      <w:r>
        <w:rPr>
          <w:rtl/>
        </w:rPr>
        <w:t xml:space="preserve"> ולכן התבקש מלמד פשוט מן החדר להישאר באחוזה ולקבל עליו כיבוד זה. אבי הוסיף בבדיחות הדעת: “המוהל והסנדק שלי היו סוג ב׳; לכן לא הצלחתי בחיים”. ההלצה מבוססת על האמרה העממית “רוב הבנים דומים לסנדק שלהם”.</w:t>
      </w:r>
      <w:bookmarkStart w:id="123" w:name="_fnr116"/>
      <w:r>
        <w:rPr>
          <w:rStyle w:val="a5"/>
        </w:rPr>
        <w:footnoteReference w:id="116" w:customMarkFollows="0"/>
      </w:r>
      <w:bookmarkEnd w:id="123"/>
      <w:r>
        <w:rPr>
          <w:rtl/>
        </w:rPr>
        <w:t xml:space="preserve"> השווה גם פרק 1, הערה </w:t>
      </w:r>
      <w:r>
        <w:rPr>
          <w:rtl/>
        </w:rPr>
        <w:fldChar w:fldCharType="begin" w:dirty="true"/>
      </w:r>
      <w:r>
        <w:rPr>
          <w:rtl/>
        </w:rPr>
        <w:instrText xml:space="preserve"> REF b1_note70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70</w:t>
      </w:r>
      <w:r>
        <w:rPr>
          <w:rtl/>
        </w:rPr>
        <w:fldChar w:fldCharType="end"/>
      </w:r>
      <w:r>
        <w:rPr>
          <w:rtl/>
        </w:rPr>
        <w:t>: אבי חש שההשגחה הכינה אותו לחיים רצופי מכשולים. מכל מקום, למרבה הפלא, אורח השבת הזה היגר לימים לאמריקה, והציג את עצמו לפני אבינו בברונקס כעבור כמעט שישים שנה.</w:t>
      </w:r>
      <w:bookmarkStart w:id="124" w:name="_fnr117"/>
      <w:r>
        <w:rPr>
          <w:rStyle w:val="a5"/>
        </w:rPr>
        <w:footnoteReference w:id="117" w:customMarkFollows="0"/>
      </w:r>
      <w:bookmarkEnd w:id="124"/>
    </w:p>
    <w:p w14:paraId="4BC9CD63" w14:textId="77777777" w:rsidR="00AB3647" w:rsidRDefault="00000000" w:rsidP="007923E9">
      <w:pPr>
        <w:spacing w:after="160" w:line="276" w:lineRule="auto"/>
        <w:jc w:val="both"/>
      </w:pPr>
      <w:bookmarkStart w:id="125" w:name="b0_note_5"/>
      <w:r>
        <w:rPr>
          <w:b/>
          <w:bCs/>
          <w:rtl/>
        </w:rPr>
        <w:t>5.</w:t>
      </w:r>
      <w:bookmarkEnd w:id="125"/>
      <w:r>
        <w:rPr>
          <w:rtl/>
        </w:rPr>
        <w:t xml:space="preserve"> השווה “פחד יצחק – אגרות וכתבים”,</w:t>
      </w:r>
      <w:bookmarkStart w:id="126" w:name="_fnr118"/>
      <w:r>
        <w:rPr>
          <w:rStyle w:val="a5"/>
        </w:rPr>
        <w:footnoteReference w:id="118" w:customMarkFollows="0"/>
      </w:r>
      <w:bookmarkEnd w:id="126"/>
      <w:r>
        <w:rPr>
          <w:rtl/>
        </w:rPr>
        <w:t xml:space="preserve"> שבו כותב המחבר, ר׳ יצחק </w:t>
      </w:r>
      <w:proofErr w:type="spellStart"/>
      <w:r>
        <w:rPr>
          <w:rtl/>
        </w:rPr>
        <w:t>הוטנר</w:t>
      </w:r>
      <w:proofErr w:type="spellEnd"/>
      <w:r>
        <w:rPr>
          <w:rtl/>
        </w:rPr>
        <w:t xml:space="preserve">: “צרתנו היא שכאשר אנו עוסקים בצדדי השלמות של </w:t>
      </w:r>
      <w:proofErr w:type="spellStart"/>
      <w:r>
        <w:rPr>
          <w:rtl/>
        </w:rPr>
        <w:t>גדולינו</w:t>
      </w:r>
      <w:proofErr w:type="spellEnd"/>
      <w:r>
        <w:rPr>
          <w:rtl/>
        </w:rPr>
        <w:t xml:space="preserve">, אנו מטפלים בצורתן הגמורה של מעלותיהם, ומדלגים על המלחמה הפנימית שהתחוללה בנפשם. הרושם שמשאירות שיחותינו על הגדולים הוא כאילו יצאו מתחת ידו של היוצר בקומתם ובצביונם המלאים. </w:t>
      </w:r>
      <w:proofErr w:type="spellStart"/>
      <w:r>
        <w:rPr>
          <w:rtl/>
        </w:rPr>
        <w:t>הכל</w:t>
      </w:r>
      <w:proofErr w:type="spellEnd"/>
      <w:r>
        <w:rPr>
          <w:rtl/>
        </w:rPr>
        <w:t xml:space="preserve"> מדברים, </w:t>
      </w:r>
      <w:proofErr w:type="spellStart"/>
      <w:r>
        <w:rPr>
          <w:rtl/>
        </w:rPr>
        <w:t>הכל</w:t>
      </w:r>
      <w:proofErr w:type="spellEnd"/>
      <w:r>
        <w:rPr>
          <w:rtl/>
        </w:rPr>
        <w:t xml:space="preserve"> מתפעלים, מן הדוגמה של טהרת הלשון (בהימנעות מלשון הרע) של בעל </w:t>
      </w:r>
      <w:proofErr w:type="spellStart"/>
      <w:r>
        <w:rPr>
          <w:rtl/>
        </w:rPr>
        <w:t>ה‘חפץ</w:t>
      </w:r>
      <w:proofErr w:type="spellEnd"/>
      <w:r>
        <w:rPr>
          <w:rtl/>
        </w:rPr>
        <w:t xml:space="preserve"> חיים’; אבל מי יודע – נאמר, אחד מני אלף – על כל המלחמות, המאבקים, הכישלונות, הנפילות והנסיגות שמצא </w:t>
      </w:r>
      <w:proofErr w:type="spellStart"/>
      <w:r>
        <w:rPr>
          <w:rtl/>
        </w:rPr>
        <w:t>החפץ־חיים</w:t>
      </w:r>
      <w:proofErr w:type="spellEnd"/>
      <w:r>
        <w:rPr>
          <w:rtl/>
        </w:rPr>
        <w:t xml:space="preserve"> בדרך מלחמתו ביצר הרע?!”.</w:t>
      </w:r>
    </w:p>
    <w:p w14:paraId="17D93DB6" w14:textId="77777777" w:rsidR="00AB3647" w:rsidRDefault="00000000" w:rsidP="007923E9">
      <w:pPr>
        <w:spacing w:after="160" w:line="276" w:lineRule="auto"/>
        <w:jc w:val="both"/>
      </w:pPr>
      <w:r>
        <w:rPr>
          <w:rtl/>
        </w:rPr>
        <w:t>השווה גם “תולדות מנחם”,</w:t>
      </w:r>
      <w:bookmarkStart w:id="127" w:name="_fnr119"/>
      <w:bookmarkStart w:id="128" w:name="pr_f_54"/>
      <w:r>
        <w:rPr>
          <w:rStyle w:val="a5"/>
        </w:rPr>
        <w:footnoteReference w:id="119" w:customMarkFollows="0"/>
      </w:r>
      <w:bookmarkEnd w:id="127"/>
      <w:bookmarkEnd w:id="128"/>
      <w:r>
        <w:rPr>
          <w:rtl/>
        </w:rPr>
        <w:t xml:space="preserve"> הכותב בעברית המליצית של אותם ימים: “רבים מן הטובים מתרעמים עליי בחדרי לבם, על שבכתבי את תולדות הצדיק, קדוש לה׳, פאר דורנו, ר׳ נחום, ובתארי את הנהגתו עם ה׳ ועם אדם, הצגתי לפני הקוראים הנכבדים את עוון דרכי נעוריו, ולא </w:t>
      </w:r>
      <w:r>
        <w:rPr>
          <w:rtl/>
        </w:rPr>
        <w:lastRenderedPageBreak/>
        <w:t xml:space="preserve">כיסיתי את </w:t>
      </w:r>
      <w:proofErr w:type="spellStart"/>
      <w:r>
        <w:rPr>
          <w:rtl/>
        </w:rPr>
        <w:t>ה‘בוסר</w:t>
      </w:r>
      <w:proofErr w:type="spellEnd"/>
      <w:r>
        <w:rPr>
          <w:rtl/>
        </w:rPr>
        <w:t xml:space="preserve">’ של ילדותו. אבל אם דרכנו מכוונת אל האמת ומגמתנו אל הצדק, הרי זה כבודו של האדם הגדול בענקים לספר עליו את האמת כמות שהיא. כי אילו נמצא בארץ </w:t>
      </w:r>
      <w:proofErr w:type="spellStart"/>
      <w:r>
        <w:rPr>
          <w:rtl/>
        </w:rPr>
        <w:t>ציה</w:t>
      </w:r>
      <w:proofErr w:type="spellEnd"/>
      <w:r>
        <w:rPr>
          <w:rtl/>
        </w:rPr>
        <w:t xml:space="preserve"> עץ שפריו נחמד למראה וטוב למאכל ועלהו לתרופה, היינו משתוממים ותמהים. כן הוא בסיפור תולדות חייו של האיש הזה. רוב </w:t>
      </w:r>
      <w:proofErr w:type="spellStart"/>
      <w:r>
        <w:rPr>
          <w:rtl/>
        </w:rPr>
        <w:t>גאונינו</w:t>
      </w:r>
      <w:proofErr w:type="spellEnd"/>
      <w:r>
        <w:rPr>
          <w:rtl/>
        </w:rPr>
        <w:t xml:space="preserve">, ענקי דורותינו, אשר דרכיהם וסיפוריהם מסופרים למרחוק, זכו לאחת משתי הברכות האלה: או לאב אשר מפיו נתחנך הילד מטל ילדותו עד בואו לפרקו, או למורה גדול אשר תלמידו גדל על מי התורה, והוא הדריכו בקודש. ומשום כך נעשו לימים לגאוני הדור אשר ישראל מתפאר בהם. אבל האיש המעולה הזה אשר את סיפורו אנו מספרים עתה – שונה היה. אביו היה ריק מחכמה, צמח צחיח שלא יכול היה למשוח אותו </w:t>
      </w:r>
      <w:proofErr w:type="spellStart"/>
      <w:r>
        <w:rPr>
          <w:rtl/>
        </w:rPr>
        <w:t>ב‘שמן</w:t>
      </w:r>
      <w:proofErr w:type="spellEnd"/>
      <w:r>
        <w:rPr>
          <w:rtl/>
        </w:rPr>
        <w:t xml:space="preserve"> התורה’, וגם לא היו לו מורים חכמים בתורה בשחר ילדותו. ומשום כך נפלא סיפור חייו, עד שנוכל לקרוא לו ‘עץ פלאים’. ובכן, נוכל לספר את אשר ידענו מפי רבנים צדיקים, גדולים בישראל, אשר כיבדוני במכתביהם ובעדויותיהם; כולם כאחד העידו כי ראשית דרך חייו לא הייתה סוגה בשושנים, והנהגתו בנעוריו לא הלמה איש רב פעלים וצדיק יסוד עולם. ואף על פי כן צמח והיה לנטע צדיק אשר ענפיו נמשכו עד שהגיעו לארזי הלבנון. יהיו נא סיפורי צדיקנו זה לתוכחת מגולה ולראיה נאמנה לבני ישראל, כי אם יאחזו בענפי עץ החיים – יחיו לעולם. ואף אם בראשית ילדותם הלכו בדרכים עקלקלות במקצת ונכשלו, אל יתייאשו מן התקווה, כי אם ישובו אל ה׳ – ‘ושבו בנים לגבולם’,</w:t>
      </w:r>
      <w:bookmarkStart w:id="129" w:name="_fnr120"/>
      <w:r>
        <w:rPr>
          <w:rStyle w:val="a5"/>
        </w:rPr>
        <w:footnoteReference w:id="120" w:customMarkFollows="0"/>
      </w:r>
      <w:bookmarkEnd w:id="129"/>
      <w:r>
        <w:rPr>
          <w:rtl/>
        </w:rPr>
        <w:t xml:space="preserve"> ואחריתם ישגה מאוד. וגם דרכה של תורתנו הקדושה לספר בלי משוא פנים, בביקורת טהורה וישרה, אף על אבותינו הקדושים, מייסדי עדתנו, אשר היו כשרפים ממעל וכמלאכי השמים. קחו למשל את התנאים הגדולים, עמודי עולם, רבי אליעזר הגדול ותלמידו רבי עקיבא, ענקי הדורות הראשונים. רבותינו זיכרונם לברכה אמרו עליהם כי בנעוריהם לא ניכרו גדולתם וחכמתם, ותחילת צמיחתם לא הצטיינה במראות נפלאים ובדמויות קודש. רק לאחר מכן גדלו והצליחו, והאירו את פני תבל </w:t>
      </w:r>
      <w:proofErr w:type="spellStart"/>
      <w:r>
        <w:rPr>
          <w:rtl/>
        </w:rPr>
        <w:t>בחכמתם</w:t>
      </w:r>
      <w:proofErr w:type="spellEnd"/>
      <w:r>
        <w:rPr>
          <w:rtl/>
        </w:rPr>
        <w:t xml:space="preserve"> ובצדקתם. ובאורם אנו הולכים עד היום הזה.”</w:t>
      </w:r>
    </w:p>
    <w:p w14:paraId="04213FE5" w14:textId="77777777" w:rsidR="00AB3647" w:rsidRDefault="00AB3647" w:rsidP="007923E9">
      <w:pPr>
        <w:spacing w:line="276" w:lineRule="auto"/>
        <w:sectPr w:rsidR="00AB3647">
          <w:footerReference w:type="default" r:id="rId10"/>
          <w:footnotePr>
            <w:pos w:val="pageBottom"/>
            <w:numRestart w:val="eachSect"/>
          </w:footnotePr>
          <w:pgSz w:w="9638" w:h="13606"/>
          <w:pgMar w:top="1134" w:right="1077" w:bottom="1134" w:left="1077" w:header="567" w:footer="567" w:gutter="0"/>
          <w:cols w:space="720"/>
          <w:bidi/>
          <w:docGrid w:linePitch="360"/>
        </w:sectPr>
      </w:pPr>
    </w:p>
    <w:p w14:paraId="0A9CE054" w14:textId="77777777" w:rsidR="00AB3647" w:rsidRDefault="00000000" w:rsidP="007923E9">
      <w:pPr>
        <w:pStyle w:val="1"/>
        <w:pageBreakBefore/>
        <w:spacing w:line="276" w:lineRule="auto"/>
      </w:pPr>
      <w:bookmarkStart w:id="130" w:name="continuous_story"/>
      <w:r>
        <w:lastRenderedPageBreak/>
        <w:t>חלק ראשון — הסיפור</w:t>
      </w:r>
      <w:bookmarkEnd w:id="130"/>
    </w:p>
    <w:p w14:paraId="3F56A978" w14:textId="77777777" w:rsidR="00AB3647" w:rsidRDefault="00000000" w:rsidP="007923E9">
      <w:pPr>
        <w:pStyle w:val="ae"/>
        <w:pageBreakBefore/>
        <w:spacing w:line="276" w:lineRule="auto"/>
      </w:pPr>
      <w:bookmarkStart w:id="131" w:name="text_chapter1"/>
      <w:r>
        <w:lastRenderedPageBreak/>
        <w:t>פרק ראשון</w:t>
      </w:r>
      <w:bookmarkEnd w:id="131"/>
    </w:p>
    <w:p w14:paraId="7AB027D9" w14:textId="77777777" w:rsidR="00AB3647" w:rsidRDefault="00000000" w:rsidP="007923E9">
      <w:pPr>
        <w:pStyle w:val="1"/>
        <w:spacing w:line="276" w:lineRule="auto"/>
      </w:pPr>
      <w:r>
        <w:t>העשור הראשון: ייחוס וילדות</w:t>
      </w:r>
    </w:p>
    <w:p w14:paraId="52F5A611" w14:textId="77777777" w:rsidR="00AB3647" w:rsidRDefault="00000000" w:rsidP="007923E9">
      <w:pPr>
        <w:pStyle w:val="2"/>
        <w:spacing w:line="276" w:lineRule="auto"/>
      </w:pPr>
      <w:r>
        <w:t>1.</w:t>
      </w:r>
    </w:p>
    <w:p w14:paraId="34F0CC4B" w14:textId="77777777" w:rsidR="00AB3647" w:rsidRDefault="00000000" w:rsidP="007923E9">
      <w:pPr>
        <w:spacing w:after="100" w:line="276" w:lineRule="auto"/>
        <w:ind w:firstLine="340"/>
        <w:jc w:val="both"/>
      </w:pPr>
      <w:r>
        <w:rPr>
          <w:rtl/>
        </w:rPr>
        <w:t>הוריו של אבי ואחיו ואחיותיו היו אופייניים לציבור בעלי הבתים היהודים ברוסיה של אותם ימים. כמה דורות קודם לכן היו במשפחתם כמה רבנים מפורסמים, אבל הלוא “כל ישראל – בני אברהם יצחק ויעקב – בני מלכים הם”.</w:t>
      </w:r>
    </w:p>
    <w:p w14:paraId="14DA253A" w14:textId="77777777" w:rsidR="00AB3647" w:rsidRDefault="00000000" w:rsidP="007923E9">
      <w:pPr>
        <w:spacing w:after="100" w:line="276" w:lineRule="auto"/>
        <w:ind w:firstLine="340"/>
        <w:jc w:val="both"/>
      </w:pPr>
      <w:proofErr w:type="spellStart"/>
      <w:r>
        <w:rPr>
          <w:rtl/>
        </w:rPr>
        <w:t>אמו</w:t>
      </w:r>
      <w:proofErr w:type="spellEnd"/>
      <w:r>
        <w:rPr>
          <w:rtl/>
        </w:rPr>
        <w:t xml:space="preserve"> נולדה בשם אסתר דנציג בשנת תרכ״ח, והייתה קרובה </w:t>
      </w:r>
      <w:proofErr w:type="spellStart"/>
      <w:r>
        <w:rPr>
          <w:rtl/>
        </w:rPr>
        <w:t>לר</w:t>
      </w:r>
      <w:proofErr w:type="spellEnd"/>
      <w:r>
        <w:rPr>
          <w:rtl/>
        </w:rPr>
        <w:t>׳ אברהם דנציג, הידוע יותר בכינוי שניתן לו על שם ספרו הנודע, “</w:t>
      </w:r>
      <w:proofErr w:type="spellStart"/>
      <w:r>
        <w:rPr>
          <w:rtl/>
        </w:rPr>
        <w:t>החיי־אדם</w:t>
      </w:r>
      <w:proofErr w:type="spellEnd"/>
      <w:r>
        <w:rPr>
          <w:rtl/>
        </w:rPr>
        <w:t xml:space="preserve">”. ר׳ אברהם דנציג נולד בגרמניה בשנת תק״ח ולמד בפראג אצל בעל “נודע ביהודה”, ר׳ יחזקאל </w:t>
      </w:r>
      <w:proofErr w:type="spellStart"/>
      <w:r>
        <w:rPr>
          <w:rtl/>
        </w:rPr>
        <w:t>לנדא</w:t>
      </w:r>
      <w:proofErr w:type="spellEnd"/>
      <w:r>
        <w:rPr>
          <w:rtl/>
        </w:rPr>
        <w:t xml:space="preserve">, אבל בצעירותו השתקע בווילנה ופתח שם עסק. המסחר היה לו רק עיסוק צדדי: הוא היה שקוע בלימוד תורה ובחיבור ספרים, שכבר בחייו נעשו לספרי יסוד בהלכה למעשה לבעלי הבתים. רק בשנותיו האחרונות – הוא נפטר בשנת תקפ״ב – כשירד מנכסיו, קיבל עליו משרה ציבורית של </w:t>
      </w:r>
      <w:proofErr w:type="spellStart"/>
      <w:r>
        <w:rPr>
          <w:rtl/>
        </w:rPr>
        <w:t>מ״ץ</w:t>
      </w:r>
      <w:proofErr w:type="spellEnd"/>
      <w:r>
        <w:rPr>
          <w:rtl/>
        </w:rPr>
        <w:t xml:space="preserve"> בווילנה.</w:t>
      </w:r>
    </w:p>
    <w:p w14:paraId="0FD2DC98" w14:textId="77777777" w:rsidR="00AB3647" w:rsidRDefault="00000000" w:rsidP="007923E9">
      <w:pPr>
        <w:spacing w:after="100" w:line="276" w:lineRule="auto"/>
        <w:ind w:firstLine="340"/>
        <w:jc w:val="both"/>
      </w:pPr>
      <w:proofErr w:type="spellStart"/>
      <w:r>
        <w:rPr>
          <w:rtl/>
        </w:rPr>
        <w:t>אמו</w:t>
      </w:r>
      <w:proofErr w:type="spellEnd"/>
      <w:r>
        <w:rPr>
          <w:rtl/>
        </w:rPr>
        <w:t xml:space="preserve"> של אבי התייתמה מהוריה כשהייתה תינוקת. אביה, ר׳ זרח דנציג, שנולד בשנת תר״ג, מוצאו היה מן העיירה סלונים, אך הוא התגורר בעיירה </w:t>
      </w:r>
      <w:proofErr w:type="spellStart"/>
      <w:r>
        <w:rPr>
          <w:rtl/>
        </w:rPr>
        <w:t>דולהינוב</w:t>
      </w:r>
      <w:proofErr w:type="spellEnd"/>
      <w:r>
        <w:rPr>
          <w:rtl/>
        </w:rPr>
        <w:t xml:space="preserve"> שבפלך וילנה </w:t>
      </w:r>
      <w:proofErr w:type="spellStart"/>
      <w:r>
        <w:rPr>
          <w:rtl/>
        </w:rPr>
        <w:t>הבלארוסי</w:t>
      </w:r>
      <w:proofErr w:type="spellEnd"/>
      <w:r>
        <w:rPr>
          <w:rtl/>
        </w:rPr>
        <w:t>. הוא הוסמך לרבנות, אבל בחר להיות סוחר: עסק ביצוא תבואה לחוץ לארץ, וצבר נכסים ניכרים בצעירותו. ר׳ זרח בלט בקהילה בצדקותיו, ובני העיר טבעו את המליצה “העניים חיים סביב דנציג”.</w:t>
      </w:r>
    </w:p>
    <w:p w14:paraId="27656160" w14:textId="77777777" w:rsidR="00AB3647" w:rsidRDefault="00000000" w:rsidP="007923E9">
      <w:pPr>
        <w:spacing w:after="100" w:line="276" w:lineRule="auto"/>
        <w:ind w:firstLine="340"/>
        <w:jc w:val="both"/>
      </w:pPr>
      <w:r>
        <w:rPr>
          <w:rtl/>
        </w:rPr>
        <w:t xml:space="preserve">בערב פסח תר״ל חזר ר׳ זרח הביתה ממסע עסקים, מאוחר מכדי למכור את </w:t>
      </w:r>
      <w:proofErr w:type="spellStart"/>
      <w:r>
        <w:rPr>
          <w:rtl/>
        </w:rPr>
        <w:t>חמצו</w:t>
      </w:r>
      <w:proofErr w:type="spellEnd"/>
      <w:r>
        <w:rPr>
          <w:rtl/>
        </w:rPr>
        <w:t xml:space="preserve">. הוא היה בטוח שלמרות זכויותיו ייענש על השגגה הזאת, ושלא יאריך ימים עד תום השנה הבאה. כעבור </w:t>
      </w:r>
      <w:proofErr w:type="spellStart"/>
      <w:r>
        <w:rPr>
          <w:rtl/>
        </w:rPr>
        <w:t>אחד־עשר</w:t>
      </w:r>
      <w:proofErr w:type="spellEnd"/>
      <w:r>
        <w:rPr>
          <w:rtl/>
        </w:rPr>
        <w:t xml:space="preserve"> חודשים וחצי, בראש חודש ניסן, נפטר, בן עשרים ושמונה בלבד. אשתו, דבורה לבית </w:t>
      </w:r>
      <w:proofErr w:type="spellStart"/>
      <w:r>
        <w:rPr>
          <w:rtl/>
        </w:rPr>
        <w:t>פוטרפס</w:t>
      </w:r>
      <w:proofErr w:type="spellEnd"/>
      <w:r>
        <w:rPr>
          <w:rtl/>
        </w:rPr>
        <w:t>, שהייתה צעירה ממנו בשנה, לא רצתה להמשיך לחיות בלעדיו, ונפטרה כעבור חמישה שבועות. נשארו ארבעה ילדים – שני בנים ושתי בנות, מבני שש ועד בני שנה.</w:t>
      </w:r>
    </w:p>
    <w:p w14:paraId="77557584" w14:textId="77777777" w:rsidR="00AB3647" w:rsidRDefault="00000000" w:rsidP="007923E9">
      <w:pPr>
        <w:spacing w:after="100" w:line="276" w:lineRule="auto"/>
        <w:ind w:firstLine="340"/>
        <w:jc w:val="both"/>
      </w:pPr>
      <w:r>
        <w:rPr>
          <w:rtl/>
        </w:rPr>
        <w:t xml:space="preserve">הדודים השכולים התכנסו והחליטו שארבעה מהם יאמצו את ארבעת היתומים. סחורתו של ר׳ זרח נמכרה ב־20,000 רובל, הון עצום באותם ימים, וכל אחד מן ההורים המאמצים נטל חלק שווה. הבכורה, רבקה, נשלחה לעיירה </w:t>
      </w:r>
      <w:proofErr w:type="spellStart"/>
      <w:r>
        <w:rPr>
          <w:rtl/>
        </w:rPr>
        <w:t>ראקוב</w:t>
      </w:r>
      <w:proofErr w:type="spellEnd"/>
      <w:r>
        <w:rPr>
          <w:rtl/>
        </w:rPr>
        <w:t xml:space="preserve"> עם אח של ר׳ זרח, והבכור שבבנים, יוסל, נלקח בידי אח אחר לסלונים.</w:t>
      </w:r>
    </w:p>
    <w:p w14:paraId="248A3A66" w14:textId="77777777" w:rsidR="00AB3647" w:rsidRDefault="00000000" w:rsidP="007923E9">
      <w:pPr>
        <w:spacing w:after="100" w:line="276" w:lineRule="auto"/>
        <w:ind w:firstLine="340"/>
        <w:jc w:val="both"/>
      </w:pPr>
      <w:r>
        <w:rPr>
          <w:rtl/>
        </w:rPr>
        <w:t xml:space="preserve">את הילדה שאחריהם, אסתר, אימץ אחי אמה, ר׳ </w:t>
      </w:r>
      <w:proofErr w:type="spellStart"/>
      <w:r>
        <w:rPr>
          <w:rtl/>
        </w:rPr>
        <w:t>יענקל</w:t>
      </w:r>
      <w:proofErr w:type="spellEnd"/>
      <w:r>
        <w:rPr>
          <w:rtl/>
        </w:rPr>
        <w:t xml:space="preserve">, ולקח אותה לאוקראינה הרחוקה. שם קנה הדוד בכספי חלקו בירושה חוות דבורים סמוך לעיר </w:t>
      </w:r>
      <w:proofErr w:type="spellStart"/>
      <w:r>
        <w:rPr>
          <w:rtl/>
        </w:rPr>
        <w:t>פרייאסלב</w:t>
      </w:r>
      <w:proofErr w:type="spellEnd"/>
      <w:r>
        <w:rPr>
          <w:rtl/>
        </w:rPr>
        <w:t xml:space="preserve">, בפלך </w:t>
      </w:r>
      <w:proofErr w:type="spellStart"/>
      <w:r>
        <w:rPr>
          <w:rtl/>
        </w:rPr>
        <w:t>פודוליה</w:t>
      </w:r>
      <w:proofErr w:type="spellEnd"/>
      <w:r>
        <w:rPr>
          <w:rtl/>
        </w:rPr>
        <w:t xml:space="preserve">, כשישים קילומטרים </w:t>
      </w:r>
      <w:proofErr w:type="spellStart"/>
      <w:r>
        <w:rPr>
          <w:rtl/>
        </w:rPr>
        <w:t>דרומית־מזרחית</w:t>
      </w:r>
      <w:proofErr w:type="spellEnd"/>
      <w:r>
        <w:rPr>
          <w:rtl/>
        </w:rPr>
        <w:t xml:space="preserve"> לקייב. ר׳ </w:t>
      </w:r>
      <w:proofErr w:type="spellStart"/>
      <w:r>
        <w:rPr>
          <w:rtl/>
        </w:rPr>
        <w:t>יענקל</w:t>
      </w:r>
      <w:proofErr w:type="spellEnd"/>
      <w:r>
        <w:rPr>
          <w:rtl/>
        </w:rPr>
        <w:t xml:space="preserve"> </w:t>
      </w:r>
      <w:proofErr w:type="spellStart"/>
      <w:r>
        <w:rPr>
          <w:rtl/>
        </w:rPr>
        <w:t>פוטרפס</w:t>
      </w:r>
      <w:proofErr w:type="spellEnd"/>
      <w:r>
        <w:rPr>
          <w:rtl/>
        </w:rPr>
        <w:t xml:space="preserve"> הפסיד את 5,000 הרובל שלו, משום שהייתה זו שנת בצורת והשדות לא הוציאו פרחים לדבוריו. אבל הוא קיבל זאת כרצון ה׳, ולא התחרט אף לרגע על שאימץ את אחייניתו.</w:t>
      </w:r>
    </w:p>
    <w:p w14:paraId="65EF0ED4" w14:textId="77777777" w:rsidR="00AB3647" w:rsidRDefault="00000000" w:rsidP="007923E9">
      <w:pPr>
        <w:spacing w:after="100" w:line="276" w:lineRule="auto"/>
        <w:ind w:firstLine="340"/>
        <w:jc w:val="both"/>
      </w:pPr>
      <w:r>
        <w:rPr>
          <w:rtl/>
        </w:rPr>
        <w:lastRenderedPageBreak/>
        <w:t xml:space="preserve">גם </w:t>
      </w:r>
      <w:proofErr w:type="spellStart"/>
      <w:r>
        <w:rPr>
          <w:rtl/>
        </w:rPr>
        <w:t>לר</w:t>
      </w:r>
      <w:proofErr w:type="spellEnd"/>
      <w:r>
        <w:rPr>
          <w:rtl/>
        </w:rPr>
        <w:t xml:space="preserve">׳ </w:t>
      </w:r>
      <w:proofErr w:type="spellStart"/>
      <w:r>
        <w:rPr>
          <w:rtl/>
        </w:rPr>
        <w:t>יענקל</w:t>
      </w:r>
      <w:proofErr w:type="spellEnd"/>
      <w:r>
        <w:rPr>
          <w:rtl/>
        </w:rPr>
        <w:t xml:space="preserve"> הייתה בת בשם אסתר, ולכן שינה את שם אחייניתו לשם הנגזר ממנו, </w:t>
      </w:r>
      <w:proofErr w:type="spellStart"/>
      <w:r>
        <w:rPr>
          <w:rtl/>
        </w:rPr>
        <w:t>עטיל</w:t>
      </w:r>
      <w:proofErr w:type="spellEnd"/>
      <w:r>
        <w:rPr>
          <w:rtl/>
        </w:rPr>
        <w:t xml:space="preserve">, וגידל את בת חסותו באותה אהבה ובאותה מסירות כמו את ילדיו שלו. מטבע הדברים, </w:t>
      </w:r>
      <w:proofErr w:type="spellStart"/>
      <w:r>
        <w:rPr>
          <w:rtl/>
        </w:rPr>
        <w:t>עטיל</w:t>
      </w:r>
      <w:proofErr w:type="spellEnd"/>
      <w:r>
        <w:rPr>
          <w:rtl/>
        </w:rPr>
        <w:t xml:space="preserve">, שהתייתמה מהוריה בעודה פעוטה, שכחה את שורשיה וגדלה במחשבה שהיא עוד אחת מבנותיו של ר׳ </w:t>
      </w:r>
      <w:proofErr w:type="spellStart"/>
      <w:r>
        <w:rPr>
          <w:rtl/>
        </w:rPr>
        <w:t>יענקל</w:t>
      </w:r>
      <w:proofErr w:type="spellEnd"/>
      <w:r>
        <w:rPr>
          <w:rtl/>
        </w:rPr>
        <w:t xml:space="preserve"> </w:t>
      </w:r>
      <w:proofErr w:type="spellStart"/>
      <w:r>
        <w:rPr>
          <w:rtl/>
        </w:rPr>
        <w:t>פוטרפס</w:t>
      </w:r>
      <w:proofErr w:type="spellEnd"/>
      <w:r>
        <w:rPr>
          <w:rtl/>
        </w:rPr>
        <w:t>.</w:t>
      </w:r>
    </w:p>
    <w:p w14:paraId="1F18C890" w14:textId="77777777" w:rsidR="00AB3647" w:rsidRDefault="00000000" w:rsidP="007923E9">
      <w:pPr>
        <w:spacing w:after="100" w:line="276" w:lineRule="auto"/>
        <w:ind w:firstLine="340"/>
        <w:jc w:val="both"/>
      </w:pPr>
      <w:r>
        <w:rPr>
          <w:rtl/>
        </w:rPr>
        <w:t xml:space="preserve">אבל כשהגיעה </w:t>
      </w:r>
      <w:proofErr w:type="spellStart"/>
      <w:r>
        <w:rPr>
          <w:rtl/>
        </w:rPr>
        <w:t>עטיל</w:t>
      </w:r>
      <w:proofErr w:type="spellEnd"/>
      <w:r>
        <w:rPr>
          <w:rtl/>
        </w:rPr>
        <w:t xml:space="preserve"> לגיל </w:t>
      </w:r>
      <w:proofErr w:type="spellStart"/>
      <w:r>
        <w:rPr>
          <w:rtl/>
        </w:rPr>
        <w:t>חמש־עשרה</w:t>
      </w:r>
      <w:proofErr w:type="spellEnd"/>
      <w:r>
        <w:rPr>
          <w:rtl/>
        </w:rPr>
        <w:t xml:space="preserve">, נגלה אליה בחלומותיה איש צעיר למדי, בעל זקן, ואמר לה שלא תקרא לראש המשפחה “אבא”, משום שהוא, האיש שבחלום, הוא אביה האמיתי. החלום המוזר הטריד אותה, ולמחרת סירבה לאכול ארוחת בוקר. דודתה, שגידלה אותה כאם, התחננה שתספר מה מטריד אותה, אבל לא נענתה. אחרי כמה ימים כאלה הביא דודה, שהיה לה כאב, הביתה שלושה </w:t>
      </w:r>
      <w:proofErr w:type="spellStart"/>
      <w:r>
        <w:rPr>
          <w:rtl/>
        </w:rPr>
        <w:t>גוטע</w:t>
      </w:r>
      <w:proofErr w:type="spellEnd"/>
      <w:r>
        <w:rPr>
          <w:rtl/>
        </w:rPr>
        <w:t xml:space="preserve"> יִדן [יהודים טובים] כדי שידברו על לבה של </w:t>
      </w:r>
      <w:proofErr w:type="spellStart"/>
      <w:r>
        <w:rPr>
          <w:rtl/>
        </w:rPr>
        <w:t>עטיל</w:t>
      </w:r>
      <w:proofErr w:type="spellEnd"/>
      <w:r>
        <w:rPr>
          <w:rtl/>
        </w:rPr>
        <w:t>.</w:t>
      </w:r>
    </w:p>
    <w:p w14:paraId="14D30538" w14:textId="77777777" w:rsidR="00AB3647" w:rsidRDefault="00000000" w:rsidP="007923E9">
      <w:pPr>
        <w:spacing w:after="100" w:line="276" w:lineRule="auto"/>
        <w:ind w:firstLine="340"/>
        <w:jc w:val="both"/>
      </w:pPr>
      <w:r>
        <w:rPr>
          <w:rtl/>
        </w:rPr>
        <w:t xml:space="preserve">כשגילתה סוף סוף מה שעל לבה, גילה לה ר׳ </w:t>
      </w:r>
      <w:proofErr w:type="spellStart"/>
      <w:r>
        <w:rPr>
          <w:rtl/>
        </w:rPr>
        <w:t>יענקל</w:t>
      </w:r>
      <w:proofErr w:type="spellEnd"/>
      <w:r>
        <w:rPr>
          <w:rtl/>
        </w:rPr>
        <w:t xml:space="preserve"> שחלומה אמת לאמיתה. הוא סיפר על האסון שפקד את המשפחה לפני יותר </w:t>
      </w:r>
      <w:proofErr w:type="spellStart"/>
      <w:r>
        <w:rPr>
          <w:rtl/>
        </w:rPr>
        <w:t>מאחת־עשרה</w:t>
      </w:r>
      <w:proofErr w:type="spellEnd"/>
      <w:r>
        <w:rPr>
          <w:rtl/>
        </w:rPr>
        <w:t xml:space="preserve"> שנים ועל כך שנאלצו להפריד בין ארבעת היתומים, ואמר לה שאל לה לקרוא לו עוד “אבא”, אם כך רצון גיסו המנוח. כשסופר </w:t>
      </w:r>
      <w:proofErr w:type="spellStart"/>
      <w:r>
        <w:rPr>
          <w:rtl/>
        </w:rPr>
        <w:t>לעטיל</w:t>
      </w:r>
      <w:proofErr w:type="spellEnd"/>
      <w:r>
        <w:rPr>
          <w:rtl/>
        </w:rPr>
        <w:t xml:space="preserve"> שיש לה אחות גדולה, רבקה, שכבר חזרה בינתיים לבית אבותיה </w:t>
      </w:r>
      <w:proofErr w:type="spellStart"/>
      <w:r>
        <w:rPr>
          <w:rtl/>
        </w:rPr>
        <w:t>בדולהינוב</w:t>
      </w:r>
      <w:proofErr w:type="spellEnd"/>
      <w:r>
        <w:rPr>
          <w:rtl/>
        </w:rPr>
        <w:t xml:space="preserve"> ומתפרנסת מהכנסות הבתים והחנויות שהיו לאביה המנוח, ביקשה </w:t>
      </w:r>
      <w:proofErr w:type="spellStart"/>
      <w:r>
        <w:rPr>
          <w:rtl/>
        </w:rPr>
        <w:t>עטיל</w:t>
      </w:r>
      <w:proofErr w:type="spellEnd"/>
      <w:r>
        <w:rPr>
          <w:rtl/>
        </w:rPr>
        <w:t xml:space="preserve"> להתאחד עמה. שלושת היהודים הנכבדים הסכימו שתוחזר לבלארוס.</w:t>
      </w:r>
    </w:p>
    <w:p w14:paraId="7E7C0510" w14:textId="77777777" w:rsidR="00AB3647" w:rsidRDefault="00000000" w:rsidP="007923E9">
      <w:pPr>
        <w:spacing w:after="100" w:line="276" w:lineRule="auto"/>
        <w:ind w:firstLine="340"/>
        <w:jc w:val="both"/>
      </w:pPr>
      <w:proofErr w:type="spellStart"/>
      <w:r>
        <w:rPr>
          <w:rtl/>
        </w:rPr>
        <w:t>עטיל</w:t>
      </w:r>
      <w:proofErr w:type="spellEnd"/>
      <w:r>
        <w:rPr>
          <w:rtl/>
        </w:rPr>
        <w:t xml:space="preserve"> נשלחה ברכבת לעיר הגדולה מינסק, והלכה שם </w:t>
      </w:r>
      <w:proofErr w:type="spellStart"/>
      <w:r>
        <w:rPr>
          <w:rtl/>
        </w:rPr>
        <w:t>לאכסניה</w:t>
      </w:r>
      <w:proofErr w:type="spellEnd"/>
      <w:r>
        <w:rPr>
          <w:rtl/>
        </w:rPr>
        <w:t xml:space="preserve"> של </w:t>
      </w:r>
      <w:proofErr w:type="spellStart"/>
      <w:r>
        <w:rPr>
          <w:rtl/>
        </w:rPr>
        <w:t>דולהינוב</w:t>
      </w:r>
      <w:proofErr w:type="spellEnd"/>
      <w:r>
        <w:rPr>
          <w:rtl/>
        </w:rPr>
        <w:t xml:space="preserve">, שממנה הובילו העגלונים נוסעים וסחורות לאותה עיירה, המרוחקת 90 קילומטרים. כשסיפרה לעגלון שהיא בתו של ר׳ זרח דנציג המנוח, נודע לה שאחותה באה למינסק לראות רופא, ושהיא עתידה לחזור לעיירתה באותה עגלה עצמה. הפגישה הנרגשת של שתי האחיות התקיימה כשיצאו לדרך לעיר הולדתן, </w:t>
      </w:r>
      <w:proofErr w:type="spellStart"/>
      <w:r>
        <w:rPr>
          <w:rtl/>
        </w:rPr>
        <w:t>דולהינוב</w:t>
      </w:r>
      <w:proofErr w:type="spellEnd"/>
      <w:r>
        <w:rPr>
          <w:rtl/>
        </w:rPr>
        <w:t>.</w:t>
      </w:r>
    </w:p>
    <w:p w14:paraId="76DB4134" w14:textId="77777777" w:rsidR="00AB3647" w:rsidRDefault="00000000" w:rsidP="007923E9">
      <w:pPr>
        <w:spacing w:after="100" w:line="276" w:lineRule="auto"/>
        <w:ind w:firstLine="340"/>
        <w:jc w:val="both"/>
      </w:pPr>
      <w:r>
        <w:rPr>
          <w:rtl/>
        </w:rPr>
        <w:t xml:space="preserve">כעבור שנה נישאה האחות הבכורה, רבקה, לבחור מקומי, </w:t>
      </w:r>
      <w:proofErr w:type="spellStart"/>
      <w:r>
        <w:rPr>
          <w:rtl/>
        </w:rPr>
        <w:t>פעלשר</w:t>
      </w:r>
      <w:proofErr w:type="spellEnd"/>
      <w:r>
        <w:rPr>
          <w:rtl/>
        </w:rPr>
        <w:t xml:space="preserve"> (רופא עממי) בשם </w:t>
      </w:r>
      <w:proofErr w:type="spellStart"/>
      <w:r>
        <w:rPr>
          <w:rtl/>
        </w:rPr>
        <w:t>הירשקע</w:t>
      </w:r>
      <w:proofErr w:type="spellEnd"/>
      <w:r>
        <w:rPr>
          <w:rtl/>
        </w:rPr>
        <w:t xml:space="preserve"> פראג, והביאה את </w:t>
      </w:r>
      <w:proofErr w:type="spellStart"/>
      <w:r>
        <w:rPr>
          <w:rtl/>
        </w:rPr>
        <w:t>עטיל</w:t>
      </w:r>
      <w:proofErr w:type="spellEnd"/>
      <w:r>
        <w:rPr>
          <w:rtl/>
        </w:rPr>
        <w:t xml:space="preserve"> ואת אחיהם, יוסל, לגור עמה. </w:t>
      </w:r>
      <w:proofErr w:type="spellStart"/>
      <w:r>
        <w:rPr>
          <w:rtl/>
        </w:rPr>
        <w:t>עטיל</w:t>
      </w:r>
      <w:proofErr w:type="spellEnd"/>
      <w:r>
        <w:rPr>
          <w:rtl/>
        </w:rPr>
        <w:t xml:space="preserve"> הייתה צעירה נבונה וטובת לב, ונשאה בכבוד את השם הטוב שהשאירו אחריהם הוריה </w:t>
      </w:r>
      <w:proofErr w:type="spellStart"/>
      <w:r>
        <w:rPr>
          <w:rtl/>
        </w:rPr>
        <w:t>בדולהינוב</w:t>
      </w:r>
      <w:proofErr w:type="spellEnd"/>
      <w:r>
        <w:rPr>
          <w:rtl/>
        </w:rPr>
        <w:t xml:space="preserve">. בעזרת אחותה הגדולה ובכספים שבאו ממכירת עיזבון אביהן פתחה שם חנות קטנה. בשנת תרמ״ו בחר איכר וסוחר מקומי, שהכיר היטב את ר׳ זרח דנציג, </w:t>
      </w:r>
      <w:proofErr w:type="spellStart"/>
      <w:r>
        <w:rPr>
          <w:rtl/>
        </w:rPr>
        <w:t>בעטיל</w:t>
      </w:r>
      <w:proofErr w:type="spellEnd"/>
      <w:r>
        <w:rPr>
          <w:rtl/>
        </w:rPr>
        <w:t xml:space="preserve"> דנציג לאישה לבנו בנימין </w:t>
      </w:r>
      <w:proofErr w:type="spellStart"/>
      <w:r>
        <w:rPr>
          <w:rtl/>
        </w:rPr>
        <w:t>קמינצקי</w:t>
      </w:r>
      <w:proofErr w:type="spellEnd"/>
      <w:r>
        <w:rPr>
          <w:rtl/>
        </w:rPr>
        <w:t>.</w:t>
      </w:r>
    </w:p>
    <w:p w14:paraId="5461549C" w14:textId="77777777" w:rsidR="00AB3647" w:rsidRDefault="00000000" w:rsidP="007923E9">
      <w:pPr>
        <w:pStyle w:val="2"/>
        <w:spacing w:line="276" w:lineRule="auto"/>
      </w:pPr>
      <w:r>
        <w:t>2.</w:t>
      </w:r>
    </w:p>
    <w:p w14:paraId="34F7D417" w14:textId="77777777" w:rsidR="00AB3647" w:rsidRDefault="00000000" w:rsidP="007923E9">
      <w:pPr>
        <w:spacing w:after="100" w:line="276" w:lineRule="auto"/>
        <w:ind w:firstLine="340"/>
        <w:jc w:val="both"/>
      </w:pPr>
      <w:r>
        <w:rPr>
          <w:rtl/>
        </w:rPr>
        <w:t xml:space="preserve">ר׳ בנימין </w:t>
      </w:r>
      <w:proofErr w:type="spellStart"/>
      <w:r>
        <w:rPr>
          <w:rtl/>
        </w:rPr>
        <w:t>קמינצקי</w:t>
      </w:r>
      <w:proofErr w:type="spellEnd"/>
      <w:r>
        <w:rPr>
          <w:rtl/>
        </w:rPr>
        <w:t xml:space="preserve">, אביו של אבי, נולד בשנת תרכ״א </w:t>
      </w:r>
      <w:proofErr w:type="spellStart"/>
      <w:r>
        <w:rPr>
          <w:rtl/>
        </w:rPr>
        <w:t>לר</w:t>
      </w:r>
      <w:proofErr w:type="spellEnd"/>
      <w:r>
        <w:rPr>
          <w:rtl/>
        </w:rPr>
        <w:t xml:space="preserve">׳ </w:t>
      </w:r>
      <w:proofErr w:type="spellStart"/>
      <w:r>
        <w:rPr>
          <w:rtl/>
        </w:rPr>
        <w:t>שמואל־הירש</w:t>
      </w:r>
      <w:proofErr w:type="spellEnd"/>
      <w:r>
        <w:rPr>
          <w:rtl/>
        </w:rPr>
        <w:t xml:space="preserve"> </w:t>
      </w:r>
      <w:proofErr w:type="spellStart"/>
      <w:r>
        <w:rPr>
          <w:rtl/>
        </w:rPr>
        <w:t>קמינצקי</w:t>
      </w:r>
      <w:proofErr w:type="spellEnd"/>
      <w:r>
        <w:rPr>
          <w:rtl/>
        </w:rPr>
        <w:t xml:space="preserve">, בן עשרים וארבע, אדם נכבד בפלך וילנה. ר׳ </w:t>
      </w:r>
      <w:proofErr w:type="spellStart"/>
      <w:r>
        <w:rPr>
          <w:rtl/>
        </w:rPr>
        <w:t>שמואל־הירש</w:t>
      </w:r>
      <w:proofErr w:type="spellEnd"/>
      <w:r>
        <w:rPr>
          <w:rtl/>
        </w:rPr>
        <w:t xml:space="preserve"> היה בעל אחוזה גדולה, עשיר מופלג. האחוזה נקראה </w:t>
      </w:r>
      <w:proofErr w:type="spellStart"/>
      <w:r>
        <w:rPr>
          <w:rtl/>
        </w:rPr>
        <w:t>קאליסקובקה</w:t>
      </w:r>
      <w:proofErr w:type="spellEnd"/>
      <w:r>
        <w:rPr>
          <w:rtl/>
        </w:rPr>
        <w:t xml:space="preserve">, ושכנה סמוך לכפר </w:t>
      </w:r>
      <w:proofErr w:type="spellStart"/>
      <w:r>
        <w:rPr>
          <w:rtl/>
        </w:rPr>
        <w:t>מלישקי</w:t>
      </w:r>
      <w:proofErr w:type="spellEnd"/>
      <w:r>
        <w:rPr>
          <w:rtl/>
        </w:rPr>
        <w:t xml:space="preserve">, בלב יער אינסופי של עצי אורן ולבנה לאורך נהר </w:t>
      </w:r>
      <w:proofErr w:type="spellStart"/>
      <w:r>
        <w:rPr>
          <w:rtl/>
        </w:rPr>
        <w:t>דווינושה</w:t>
      </w:r>
      <w:proofErr w:type="spellEnd"/>
      <w:r>
        <w:rPr>
          <w:rtl/>
        </w:rPr>
        <w:t xml:space="preserve">, כ־14 קילומטרים מזרחית לעיירה </w:t>
      </w:r>
      <w:proofErr w:type="spellStart"/>
      <w:r>
        <w:rPr>
          <w:rtl/>
        </w:rPr>
        <w:t>דולהינוב</w:t>
      </w:r>
      <w:proofErr w:type="spellEnd"/>
      <w:r>
        <w:rPr>
          <w:rtl/>
        </w:rPr>
        <w:t>. מלבד שדות התבואה הנרחבים הייתה שם רפת ובה עשרים וארבע פרות.</w:t>
      </w:r>
    </w:p>
    <w:p w14:paraId="22905405" w14:textId="77777777" w:rsidR="00AB3647" w:rsidRDefault="00000000" w:rsidP="007923E9">
      <w:pPr>
        <w:spacing w:after="100" w:line="276" w:lineRule="auto"/>
        <w:ind w:firstLine="340"/>
        <w:jc w:val="both"/>
      </w:pPr>
      <w:r>
        <w:rPr>
          <w:rtl/>
        </w:rPr>
        <w:t xml:space="preserve">גם הנהר היה מקור פרנסה שופע. מימיו השוצפים נסכרו כדי להניע את הטחנה הגדולה ואת מכונת טוויית הצמר, ובהן שירת ר׳ </w:t>
      </w:r>
      <w:proofErr w:type="spellStart"/>
      <w:r>
        <w:rPr>
          <w:rtl/>
        </w:rPr>
        <w:t>שמואל־הירש</w:t>
      </w:r>
      <w:proofErr w:type="spellEnd"/>
      <w:r>
        <w:rPr>
          <w:rtl/>
        </w:rPr>
        <w:t xml:space="preserve"> את האיכרים מן הכפרים שבסביבה. </w:t>
      </w:r>
      <w:r>
        <w:rPr>
          <w:rtl/>
        </w:rPr>
        <w:lastRenderedPageBreak/>
        <w:t xml:space="preserve">בידיו היה גם הרישיון הממשלתי לכרות עצים ולהשיטם במורד הנהר אל נהר </w:t>
      </w:r>
      <w:proofErr w:type="spellStart"/>
      <w:r>
        <w:rPr>
          <w:rtl/>
        </w:rPr>
        <w:t>וויליה</w:t>
      </w:r>
      <w:proofErr w:type="spellEnd"/>
      <w:r>
        <w:rPr>
          <w:rtl/>
        </w:rPr>
        <w:t xml:space="preserve">, ומשם בנהר </w:t>
      </w:r>
      <w:proofErr w:type="spellStart"/>
      <w:r>
        <w:rPr>
          <w:rtl/>
        </w:rPr>
        <w:t>נמן</w:t>
      </w:r>
      <w:proofErr w:type="spellEnd"/>
      <w:r>
        <w:rPr>
          <w:rtl/>
        </w:rPr>
        <w:t xml:space="preserve"> אל הים הבלטי, סמוך לנמל הגרמני ממל. ובכל רגע פנוי ישב עם ספר ולמד. הוא נודע כתלמיד חכם מופלג, שכן בכל פעם שהתעוררה שאלה הלכתית קשה, היה רב </w:t>
      </w:r>
      <w:proofErr w:type="spellStart"/>
      <w:r>
        <w:rPr>
          <w:rtl/>
        </w:rPr>
        <w:t>דולהינוב</w:t>
      </w:r>
      <w:proofErr w:type="spellEnd"/>
      <w:r>
        <w:rPr>
          <w:rtl/>
        </w:rPr>
        <w:t xml:space="preserve">, ר׳ </w:t>
      </w:r>
      <w:proofErr w:type="spellStart"/>
      <w:r>
        <w:rPr>
          <w:rtl/>
        </w:rPr>
        <w:t>יעקב־אברהם</w:t>
      </w:r>
      <w:proofErr w:type="spellEnd"/>
      <w:r>
        <w:rPr>
          <w:rtl/>
        </w:rPr>
        <w:t>, נועץ בו.</w:t>
      </w:r>
    </w:p>
    <w:p w14:paraId="15F3F93E" w14:textId="77777777" w:rsidR="00AB3647" w:rsidRDefault="00000000" w:rsidP="007923E9">
      <w:pPr>
        <w:spacing w:after="100" w:line="276" w:lineRule="auto"/>
        <w:ind w:firstLine="340"/>
        <w:jc w:val="both"/>
      </w:pPr>
      <w:r>
        <w:rPr>
          <w:rtl/>
        </w:rPr>
        <w:t xml:space="preserve">ר׳ </w:t>
      </w:r>
      <w:proofErr w:type="spellStart"/>
      <w:r>
        <w:rPr>
          <w:rtl/>
        </w:rPr>
        <w:t>שמואל־הירש</w:t>
      </w:r>
      <w:proofErr w:type="spellEnd"/>
      <w:r>
        <w:rPr>
          <w:rtl/>
        </w:rPr>
        <w:t xml:space="preserve"> ניהל את עסקיו הנרחבים בחקלאות ובכריתת עצים בעזרת בניו הבוגרים, </w:t>
      </w:r>
      <w:proofErr w:type="spellStart"/>
      <w:r>
        <w:rPr>
          <w:rtl/>
        </w:rPr>
        <w:t>ישראל־יצחק</w:t>
      </w:r>
      <w:proofErr w:type="spellEnd"/>
      <w:r>
        <w:rPr>
          <w:rtl/>
        </w:rPr>
        <w:t xml:space="preserve"> </w:t>
      </w:r>
      <w:proofErr w:type="spellStart"/>
      <w:r>
        <w:rPr>
          <w:rtl/>
        </w:rPr>
        <w:t>ואברהם־משה</w:t>
      </w:r>
      <w:proofErr w:type="spellEnd"/>
      <w:r>
        <w:rPr>
          <w:rtl/>
        </w:rPr>
        <w:t xml:space="preserve">, ובעזרת פועלים גויים מן הסביבה. בנו בנימין היה מבוגר </w:t>
      </w:r>
      <w:proofErr w:type="spellStart"/>
      <w:r>
        <w:rPr>
          <w:rtl/>
        </w:rPr>
        <w:t>מאברהם־משה</w:t>
      </w:r>
      <w:proofErr w:type="spellEnd"/>
      <w:r>
        <w:rPr>
          <w:rtl/>
        </w:rPr>
        <w:t xml:space="preserve"> בשלוש שנים, אבל לא יכול היה לעשות עבודת כפיים קשה, משום שצד אחד של גופו שותק בנעוריו מחמת מחלת האבעבועות השחורות, שהייתה נפוצה אז. עם זאת היה מעורב בעבודת טוויית הצמר, ורכב עם אביו אל היער ולמד לבחור את העצים המעולים ביותר לכריתה. אחרי לידת שלושת הבנים זכה ר׳ </w:t>
      </w:r>
      <w:proofErr w:type="spellStart"/>
      <w:r>
        <w:rPr>
          <w:rtl/>
        </w:rPr>
        <w:t>שמואל־הירש</w:t>
      </w:r>
      <w:proofErr w:type="spellEnd"/>
      <w:r>
        <w:rPr>
          <w:rtl/>
        </w:rPr>
        <w:t xml:space="preserve"> לעוד חמישה ילדים – שני בנים ושלוש בנות.</w:t>
      </w:r>
    </w:p>
    <w:p w14:paraId="4BAD868E" w14:textId="77777777" w:rsidR="00AB3647" w:rsidRDefault="00000000" w:rsidP="007923E9">
      <w:pPr>
        <w:spacing w:after="100" w:line="276" w:lineRule="auto"/>
        <w:ind w:firstLine="340"/>
        <w:jc w:val="both"/>
      </w:pPr>
      <w:r>
        <w:rPr>
          <w:rtl/>
        </w:rPr>
        <w:t xml:space="preserve">אף שאביו היה עשיר, התקשה בנימין למצוא שידוך בגלל צליעתו. גם </w:t>
      </w:r>
      <w:proofErr w:type="spellStart"/>
      <w:r>
        <w:rPr>
          <w:rtl/>
        </w:rPr>
        <w:t>לעטיל</w:t>
      </w:r>
      <w:proofErr w:type="spellEnd"/>
      <w:r>
        <w:rPr>
          <w:rtl/>
        </w:rPr>
        <w:t xml:space="preserve"> דנציג, אף שמשפחתה נהנתה משם טוב </w:t>
      </w:r>
      <w:proofErr w:type="spellStart"/>
      <w:r>
        <w:rPr>
          <w:rtl/>
        </w:rPr>
        <w:t>בדולהינוב</w:t>
      </w:r>
      <w:proofErr w:type="spellEnd"/>
      <w:r>
        <w:rPr>
          <w:rtl/>
        </w:rPr>
        <w:t xml:space="preserve">, לא היו מחזרים רבים שתוכל לבחור ביניהם, משום שהייתה יתומה. אבל הפגם שבכל אחד מהם היה רק בעיני השדכן: הם היו זוג מושלם, ועתידים היו לשמש לילדיהם דוגמה לנישואים הרמוניים. </w:t>
      </w:r>
      <w:proofErr w:type="spellStart"/>
      <w:r>
        <w:rPr>
          <w:rtl/>
        </w:rPr>
        <w:t>עטיל</w:t>
      </w:r>
      <w:proofErr w:type="spellEnd"/>
      <w:r>
        <w:rPr>
          <w:rtl/>
        </w:rPr>
        <w:t xml:space="preserve"> שמחה לעבור עם בעלה </w:t>
      </w:r>
      <w:proofErr w:type="spellStart"/>
      <w:r>
        <w:rPr>
          <w:rtl/>
        </w:rPr>
        <w:t>לקאליסקובקה</w:t>
      </w:r>
      <w:proofErr w:type="spellEnd"/>
      <w:r>
        <w:rPr>
          <w:rtl/>
        </w:rPr>
        <w:t xml:space="preserve">, משום שגל הפרעות שפקד את קהילות היהודים ברוסיה באותו עשור פגע </w:t>
      </w:r>
      <w:proofErr w:type="spellStart"/>
      <w:r>
        <w:rPr>
          <w:rtl/>
        </w:rPr>
        <w:t>בדולהינוב</w:t>
      </w:r>
      <w:proofErr w:type="spellEnd"/>
      <w:r>
        <w:rPr>
          <w:rtl/>
        </w:rPr>
        <w:t xml:space="preserve"> באותה שנה שבה נישאה, תרמ״ו.</w:t>
      </w:r>
    </w:p>
    <w:p w14:paraId="5B0FD6EB" w14:textId="77777777" w:rsidR="00AB3647" w:rsidRDefault="00000000" w:rsidP="007923E9">
      <w:pPr>
        <w:spacing w:after="100" w:line="276" w:lineRule="auto"/>
        <w:ind w:firstLine="340"/>
        <w:jc w:val="both"/>
      </w:pPr>
      <w:r>
        <w:rPr>
          <w:rtl/>
        </w:rPr>
        <w:t xml:space="preserve">שנה אחרי נישואיהם התחיל האסון להעיב על חייהם השלווים. </w:t>
      </w:r>
      <w:proofErr w:type="spellStart"/>
      <w:r>
        <w:rPr>
          <w:rtl/>
        </w:rPr>
        <w:t>אמו</w:t>
      </w:r>
      <w:proofErr w:type="spellEnd"/>
      <w:r>
        <w:rPr>
          <w:rtl/>
        </w:rPr>
        <w:t xml:space="preserve"> של ר׳ בנימין, חיה לבית </w:t>
      </w:r>
      <w:proofErr w:type="spellStart"/>
      <w:r>
        <w:rPr>
          <w:rtl/>
        </w:rPr>
        <w:t>שרשבסקי</w:t>
      </w:r>
      <w:proofErr w:type="spellEnd"/>
      <w:r>
        <w:rPr>
          <w:rtl/>
        </w:rPr>
        <w:t xml:space="preserve">, אשתו האהובה של ר׳ </w:t>
      </w:r>
      <w:proofErr w:type="spellStart"/>
      <w:r>
        <w:rPr>
          <w:rtl/>
        </w:rPr>
        <w:t>שמואל־הירש</w:t>
      </w:r>
      <w:proofErr w:type="spellEnd"/>
      <w:r>
        <w:rPr>
          <w:rtl/>
        </w:rPr>
        <w:t xml:space="preserve">, חלתה בסרטן. ר׳ </w:t>
      </w:r>
      <w:proofErr w:type="spellStart"/>
      <w:r>
        <w:rPr>
          <w:rtl/>
        </w:rPr>
        <w:t>שמואל־הירש</w:t>
      </w:r>
      <w:proofErr w:type="spellEnd"/>
      <w:r>
        <w:rPr>
          <w:rtl/>
        </w:rPr>
        <w:t xml:space="preserve"> לקח אותה לווילנה אל אחיו מן האב, הרופא </w:t>
      </w:r>
      <w:proofErr w:type="spellStart"/>
      <w:r>
        <w:rPr>
          <w:rtl/>
        </w:rPr>
        <w:t>רוגוב</w:t>
      </w:r>
      <w:proofErr w:type="spellEnd"/>
      <w:r>
        <w:rPr>
          <w:rtl/>
        </w:rPr>
        <w:t xml:space="preserve">, וזה הורה לקחתה לברלין לניתוח </w:t>
      </w:r>
      <w:proofErr w:type="spellStart"/>
      <w:r>
        <w:rPr>
          <w:rtl/>
        </w:rPr>
        <w:t>מיידי</w:t>
      </w:r>
      <w:proofErr w:type="spellEnd"/>
      <w:r>
        <w:rPr>
          <w:rtl/>
        </w:rPr>
        <w:t xml:space="preserve">. היא מתה שם על שולחן הניתוחים, והשאירה ילדים צעירים, שלושה מהם עדיין קטינים. למען הילדים הקטנים החליט ר׳ </w:t>
      </w:r>
      <w:proofErr w:type="spellStart"/>
      <w:r>
        <w:rPr>
          <w:rtl/>
        </w:rPr>
        <w:t>שמואל־הירש</w:t>
      </w:r>
      <w:proofErr w:type="spellEnd"/>
      <w:r>
        <w:rPr>
          <w:rtl/>
        </w:rPr>
        <w:t xml:space="preserve"> לשאת אישה שנייה.</w:t>
      </w:r>
    </w:p>
    <w:p w14:paraId="09B4CD57" w14:textId="77777777" w:rsidR="00AB3647" w:rsidRDefault="00000000" w:rsidP="007923E9">
      <w:pPr>
        <w:spacing w:after="100" w:line="276" w:lineRule="auto"/>
        <w:ind w:firstLine="340"/>
        <w:jc w:val="both"/>
      </w:pPr>
      <w:r>
        <w:rPr>
          <w:rtl/>
        </w:rPr>
        <w:t xml:space="preserve">האלמן העשיר, בעשור השישי לחייו, נשא את </w:t>
      </w:r>
      <w:proofErr w:type="spellStart"/>
      <w:r>
        <w:rPr>
          <w:rtl/>
        </w:rPr>
        <w:t>הינדה־ראשה</w:t>
      </w:r>
      <w:proofErr w:type="spellEnd"/>
      <w:r>
        <w:rPr>
          <w:rtl/>
        </w:rPr>
        <w:t xml:space="preserve">, הצעירה ממנו ביותר מעשרים שנה, ממשפחה ענייה ופשוטה </w:t>
      </w:r>
      <w:proofErr w:type="spellStart"/>
      <w:r>
        <w:rPr>
          <w:rtl/>
        </w:rPr>
        <w:t>מדולהינוב</w:t>
      </w:r>
      <w:proofErr w:type="spellEnd"/>
      <w:r>
        <w:rPr>
          <w:rtl/>
        </w:rPr>
        <w:t xml:space="preserve">. גבירת הבית החדשה השתלטה על האחוזה, ילדה לבעלה משפחה שנייה – חמישה ילדים – והלכה ומיררה את חיי ילדיה החורגים. </w:t>
      </w:r>
      <w:proofErr w:type="spellStart"/>
      <w:r>
        <w:rPr>
          <w:rtl/>
        </w:rPr>
        <w:t>ישראל־יצחק</w:t>
      </w:r>
      <w:proofErr w:type="spellEnd"/>
      <w:r>
        <w:rPr>
          <w:rtl/>
        </w:rPr>
        <w:t xml:space="preserve">, בכורו של ר׳ </w:t>
      </w:r>
      <w:proofErr w:type="spellStart"/>
      <w:r>
        <w:rPr>
          <w:rtl/>
        </w:rPr>
        <w:t>שמואל־הירש</w:t>
      </w:r>
      <w:proofErr w:type="spellEnd"/>
      <w:r>
        <w:rPr>
          <w:rtl/>
        </w:rPr>
        <w:t xml:space="preserve"> ויד ימינו בניהול האחוזה, היה מבוסס היטב </w:t>
      </w:r>
      <w:proofErr w:type="spellStart"/>
      <w:r>
        <w:rPr>
          <w:rtl/>
        </w:rPr>
        <w:t>בקאליסקובקה</w:t>
      </w:r>
      <w:proofErr w:type="spellEnd"/>
      <w:r>
        <w:rPr>
          <w:rtl/>
        </w:rPr>
        <w:t>. אבל שאר ילדיו מאשתו הראשונה התרחקו בהדרגה מן הבית, כדי להימנע ממחלוקת גלויה עם אשת אביהם החדשה.</w:t>
      </w:r>
    </w:p>
    <w:p w14:paraId="78363F85" w14:textId="77777777" w:rsidR="00AB3647" w:rsidRDefault="00000000" w:rsidP="007923E9">
      <w:pPr>
        <w:spacing w:after="100" w:line="276" w:lineRule="auto"/>
        <w:ind w:firstLine="340"/>
        <w:jc w:val="both"/>
      </w:pPr>
      <w:r>
        <w:rPr>
          <w:rtl/>
        </w:rPr>
        <w:t xml:space="preserve">ר׳ בנימין </w:t>
      </w:r>
      <w:proofErr w:type="spellStart"/>
      <w:r>
        <w:rPr>
          <w:rtl/>
        </w:rPr>
        <w:t>ועטיל</w:t>
      </w:r>
      <w:proofErr w:type="spellEnd"/>
      <w:r>
        <w:rPr>
          <w:rtl/>
        </w:rPr>
        <w:t xml:space="preserve"> </w:t>
      </w:r>
      <w:proofErr w:type="spellStart"/>
      <w:r>
        <w:rPr>
          <w:rtl/>
        </w:rPr>
        <w:t>קמינצקי</w:t>
      </w:r>
      <w:proofErr w:type="spellEnd"/>
      <w:r>
        <w:rPr>
          <w:rtl/>
        </w:rPr>
        <w:t xml:space="preserve"> עזבו את </w:t>
      </w:r>
      <w:proofErr w:type="spellStart"/>
      <w:r>
        <w:rPr>
          <w:rtl/>
        </w:rPr>
        <w:t>קאליסקובקה</w:t>
      </w:r>
      <w:proofErr w:type="spellEnd"/>
      <w:r>
        <w:rPr>
          <w:rtl/>
        </w:rPr>
        <w:t xml:space="preserve"> בשנת תרנ״ד, שנה אחרי מות ילדתם השנייה, חיה, שנקראה על שם </w:t>
      </w:r>
      <w:proofErr w:type="spellStart"/>
      <w:r>
        <w:rPr>
          <w:rtl/>
        </w:rPr>
        <w:t>אמו</w:t>
      </w:r>
      <w:proofErr w:type="spellEnd"/>
      <w:r>
        <w:rPr>
          <w:rtl/>
        </w:rPr>
        <w:t xml:space="preserve"> של ר׳ בנימין. בכורם, </w:t>
      </w:r>
      <w:proofErr w:type="spellStart"/>
      <w:r>
        <w:rPr>
          <w:rtl/>
        </w:rPr>
        <w:t>חיים־זרח</w:t>
      </w:r>
      <w:proofErr w:type="spellEnd"/>
      <w:r>
        <w:rPr>
          <w:rtl/>
        </w:rPr>
        <w:t xml:space="preserve">, שנקרא על שם אביה של </w:t>
      </w:r>
      <w:proofErr w:type="spellStart"/>
      <w:r>
        <w:rPr>
          <w:rtl/>
        </w:rPr>
        <w:t>עטיל</w:t>
      </w:r>
      <w:proofErr w:type="spellEnd"/>
      <w:r>
        <w:rPr>
          <w:rtl/>
        </w:rPr>
        <w:t xml:space="preserve">, היה אז בן שבע. נשארו בחיים עוד שני ילדים: בן שלוש שנקרא על שם אביה המאמץ של </w:t>
      </w:r>
      <w:proofErr w:type="spellStart"/>
      <w:r>
        <w:rPr>
          <w:rtl/>
        </w:rPr>
        <w:t>עטיל</w:t>
      </w:r>
      <w:proofErr w:type="spellEnd"/>
      <w:r>
        <w:rPr>
          <w:rtl/>
        </w:rPr>
        <w:t xml:space="preserve">, ר׳ </w:t>
      </w:r>
      <w:proofErr w:type="spellStart"/>
      <w:r>
        <w:rPr>
          <w:rtl/>
        </w:rPr>
        <w:t>יענקל</w:t>
      </w:r>
      <w:proofErr w:type="spellEnd"/>
      <w:r>
        <w:rPr>
          <w:rtl/>
        </w:rPr>
        <w:t xml:space="preserve"> </w:t>
      </w:r>
      <w:proofErr w:type="spellStart"/>
      <w:r>
        <w:rPr>
          <w:rtl/>
        </w:rPr>
        <w:t>פוטרפס</w:t>
      </w:r>
      <w:proofErr w:type="spellEnd"/>
      <w:r>
        <w:rPr>
          <w:rtl/>
        </w:rPr>
        <w:t xml:space="preserve"> – אבי; ובת שנה, דבורה. המשפחה הקטנה עברה תחילה לעיירה הקטנה </w:t>
      </w:r>
      <w:proofErr w:type="spellStart"/>
      <w:r>
        <w:rPr>
          <w:rtl/>
        </w:rPr>
        <w:t>חטאייביץ</w:t>
      </w:r>
      <w:proofErr w:type="spellEnd"/>
      <w:r>
        <w:rPr>
          <w:rtl/>
        </w:rPr>
        <w:t xml:space="preserve">׳, ואחרי שהות קצרה – </w:t>
      </w:r>
      <w:proofErr w:type="spellStart"/>
      <w:r>
        <w:rPr>
          <w:rtl/>
        </w:rPr>
        <w:t>לדולהינוב</w:t>
      </w:r>
      <w:proofErr w:type="spellEnd"/>
      <w:r>
        <w:rPr>
          <w:rtl/>
        </w:rPr>
        <w:t xml:space="preserve">. לימים נולדו </w:t>
      </w:r>
      <w:proofErr w:type="spellStart"/>
      <w:r>
        <w:rPr>
          <w:rtl/>
        </w:rPr>
        <w:t>לר</w:t>
      </w:r>
      <w:proofErr w:type="spellEnd"/>
      <w:r>
        <w:rPr>
          <w:rtl/>
        </w:rPr>
        <w:t xml:space="preserve">׳ בנימין </w:t>
      </w:r>
      <w:proofErr w:type="spellStart"/>
      <w:r>
        <w:rPr>
          <w:rtl/>
        </w:rPr>
        <w:t>ולעטיל</w:t>
      </w:r>
      <w:proofErr w:type="spellEnd"/>
      <w:r>
        <w:rPr>
          <w:rtl/>
        </w:rPr>
        <w:t xml:space="preserve"> עוד שלושה ילדים.</w:t>
      </w:r>
    </w:p>
    <w:p w14:paraId="542FC501" w14:textId="77777777" w:rsidR="00AB3647" w:rsidRDefault="00000000" w:rsidP="007923E9">
      <w:pPr>
        <w:pStyle w:val="2"/>
        <w:spacing w:line="276" w:lineRule="auto"/>
      </w:pPr>
      <w:r>
        <w:lastRenderedPageBreak/>
        <w:t>3.</w:t>
      </w:r>
    </w:p>
    <w:p w14:paraId="47A5A296" w14:textId="77777777" w:rsidR="00AB3647" w:rsidRDefault="00000000" w:rsidP="007923E9">
      <w:pPr>
        <w:spacing w:after="100" w:line="276" w:lineRule="auto"/>
        <w:ind w:firstLine="340"/>
        <w:jc w:val="both"/>
      </w:pPr>
      <w:r>
        <w:rPr>
          <w:rtl/>
        </w:rPr>
        <w:t xml:space="preserve">אבי עשה את רוב ימי ילדותו </w:t>
      </w:r>
      <w:proofErr w:type="spellStart"/>
      <w:r>
        <w:rPr>
          <w:rtl/>
        </w:rPr>
        <w:t>בדולהינוב</w:t>
      </w:r>
      <w:proofErr w:type="spellEnd"/>
      <w:r>
        <w:rPr>
          <w:rtl/>
        </w:rPr>
        <w:t xml:space="preserve">. העיירה נעשתה חלק מרוסיה עם החלוקה האחרונה של פולין, מאה שנה שלמה קודם לכן – ביתור ששם קץ לעצמאותה של פולין עד סוף מלחמת העולם הראשונה. במסגרת תוכנית </w:t>
      </w:r>
      <w:proofErr w:type="spellStart"/>
      <w:r>
        <w:rPr>
          <w:rtl/>
        </w:rPr>
        <w:t>הרוּסיפיקציה</w:t>
      </w:r>
      <w:proofErr w:type="spellEnd"/>
      <w:r>
        <w:rPr>
          <w:rtl/>
        </w:rPr>
        <w:t xml:space="preserve"> שלה ציוותה הממשלה לגרש את היהודים מן הכפרים וליישבם מחדש בעיירות ובערים. אבל צו זה לא נאכף בקפדנות עד רצח הצאר אלכסנדר השני במרץ 1881, כשגל של פרעות היכה בארץ. מדיניות יישובם מחדש של היהודים התחזקה בצו מחודש שהוצא בשנת 1882.</w:t>
      </w:r>
    </w:p>
    <w:p w14:paraId="385B2B8F" w14:textId="77777777" w:rsidR="00AB3647" w:rsidRDefault="00000000" w:rsidP="007923E9">
      <w:pPr>
        <w:spacing w:after="100" w:line="276" w:lineRule="auto"/>
        <w:ind w:firstLine="340"/>
        <w:jc w:val="both"/>
      </w:pPr>
      <w:r>
        <w:rPr>
          <w:rtl/>
        </w:rPr>
        <w:t xml:space="preserve">כך, בעשור שלפני בואה של משפחת </w:t>
      </w:r>
      <w:proofErr w:type="spellStart"/>
      <w:r>
        <w:rPr>
          <w:rtl/>
        </w:rPr>
        <w:t>קמינצקי</w:t>
      </w:r>
      <w:proofErr w:type="spellEnd"/>
      <w:r>
        <w:rPr>
          <w:rtl/>
        </w:rPr>
        <w:t xml:space="preserve">, עברו </w:t>
      </w:r>
      <w:proofErr w:type="spellStart"/>
      <w:r>
        <w:rPr>
          <w:rtl/>
        </w:rPr>
        <w:t>לדולהינוב</w:t>
      </w:r>
      <w:proofErr w:type="spellEnd"/>
      <w:r>
        <w:rPr>
          <w:rtl/>
        </w:rPr>
        <w:t xml:space="preserve"> משפחות יהודיות רבות שגרו בכפרים שסביב העיירה. הן הצטרפו לקהילה יהודית שלפי עדותן האילמת של מצבות בית הקברות שלה כבר הייתה קיימת יותר משלוש מאות שנה. מתוך אוכלוסייה כוללת של 3,500 נפש, היו </w:t>
      </w:r>
      <w:proofErr w:type="spellStart"/>
      <w:r>
        <w:rPr>
          <w:rtl/>
        </w:rPr>
        <w:t>בדולהינוב</w:t>
      </w:r>
      <w:proofErr w:type="spellEnd"/>
      <w:r>
        <w:rPr>
          <w:rtl/>
        </w:rPr>
        <w:t xml:space="preserve"> כ־2,500 יהודים בשנת תרנ״ד, פי שניים ממספרם חמישים שנה קודם לכן.</w:t>
      </w:r>
    </w:p>
    <w:p w14:paraId="1CA2E957" w14:textId="77777777" w:rsidR="00AB3647" w:rsidRDefault="00000000" w:rsidP="007923E9">
      <w:pPr>
        <w:spacing w:after="100" w:line="276" w:lineRule="auto"/>
        <w:ind w:firstLine="340"/>
        <w:jc w:val="both"/>
      </w:pPr>
      <w:r>
        <w:rPr>
          <w:rtl/>
        </w:rPr>
        <w:t xml:space="preserve">בלארוס הייתה חלק מממלכת ליטא מאז שנת ה׳ אלפים. לפיכך, היהודים מן ההמון שהתחילו להגיע לאזורים המזרחיים הרחוקים של אירופה בתחילת שנות </w:t>
      </w:r>
      <w:proofErr w:type="spellStart"/>
      <w:r>
        <w:rPr>
          <w:rtl/>
        </w:rPr>
        <w:t>ה׳ש</w:t>
      </w:r>
      <w:proofErr w:type="spellEnd"/>
      <w:r>
        <w:rPr>
          <w:rtl/>
        </w:rPr>
        <w:t>׳ והתיישבו בבלארוס, נהגו באותם מנהגים כלליים ופיתחו אותן תכונות כמו אלה שהתיישבו באותו זמן באזורים האחרים שתחת שלטון ליטא.</w:t>
      </w:r>
    </w:p>
    <w:p w14:paraId="30DE60A9" w14:textId="77777777" w:rsidR="00AB3647" w:rsidRDefault="00000000" w:rsidP="007923E9">
      <w:pPr>
        <w:spacing w:after="100" w:line="276" w:lineRule="auto"/>
        <w:ind w:firstLine="340"/>
        <w:jc w:val="both"/>
      </w:pPr>
      <w:r>
        <w:rPr>
          <w:rtl/>
        </w:rPr>
        <w:t xml:space="preserve">אבל הדבר השתנה עם התפשטות החסידות כעבור מאתיים שנה. בבלארוס, הקרובה יותר מבחינה גאוגרפית </w:t>
      </w:r>
      <w:proofErr w:type="spellStart"/>
      <w:r>
        <w:rPr>
          <w:rtl/>
        </w:rPr>
        <w:t>לווהלין</w:t>
      </w:r>
      <w:proofErr w:type="spellEnd"/>
      <w:r>
        <w:rPr>
          <w:rtl/>
        </w:rPr>
        <w:t xml:space="preserve"> ולאוקראינה, ערש התנועה החדשה, הכו שורש יותר כיתות חסידיות מאשר בליטא הרחוקה יותר. החזקה שבכיתות החסידיות בבלארוס הייתה חב״ד, חסידי ר׳ </w:t>
      </w:r>
      <w:proofErr w:type="spellStart"/>
      <w:r>
        <w:rPr>
          <w:rtl/>
        </w:rPr>
        <w:t>שניאור־זלמן</w:t>
      </w:r>
      <w:proofErr w:type="spellEnd"/>
      <w:r>
        <w:rPr>
          <w:rtl/>
        </w:rPr>
        <w:t xml:space="preserve"> </w:t>
      </w:r>
      <w:proofErr w:type="spellStart"/>
      <w:r>
        <w:rPr>
          <w:rtl/>
        </w:rPr>
        <w:t>מלאדי</w:t>
      </w:r>
      <w:proofErr w:type="spellEnd"/>
      <w:r>
        <w:rPr>
          <w:rtl/>
        </w:rPr>
        <w:t xml:space="preserve">, עיירה סמוך </w:t>
      </w:r>
      <w:proofErr w:type="spellStart"/>
      <w:r>
        <w:rPr>
          <w:rtl/>
        </w:rPr>
        <w:t>למוהילוב</w:t>
      </w:r>
      <w:proofErr w:type="spellEnd"/>
      <w:r>
        <w:rPr>
          <w:rtl/>
        </w:rPr>
        <w:t xml:space="preserve">. רוב יהודי </w:t>
      </w:r>
      <w:proofErr w:type="spellStart"/>
      <w:r>
        <w:rPr>
          <w:rtl/>
        </w:rPr>
        <w:t>דולהינוב</w:t>
      </w:r>
      <w:proofErr w:type="spellEnd"/>
      <w:r>
        <w:rPr>
          <w:rtl/>
        </w:rPr>
        <w:t xml:space="preserve"> החזיקו בהתנגדות הנמרצת לחסידות שרווחה בשאר פלך וילנה ברוח תורת הגאון מווילנה ותלמידיו, אבל היה בעיירה מספר ניכר של </w:t>
      </w:r>
      <w:proofErr w:type="spellStart"/>
      <w:r>
        <w:rPr>
          <w:rtl/>
        </w:rPr>
        <w:t>חב״דניקעס</w:t>
      </w:r>
      <w:proofErr w:type="spellEnd"/>
      <w:r>
        <w:rPr>
          <w:rtl/>
        </w:rPr>
        <w:t>.</w:t>
      </w:r>
    </w:p>
    <w:p w14:paraId="5E2EF3C2" w14:textId="77777777" w:rsidR="00AB3647" w:rsidRDefault="00000000" w:rsidP="007923E9">
      <w:pPr>
        <w:spacing w:after="100" w:line="276" w:lineRule="auto"/>
        <w:ind w:firstLine="340"/>
        <w:jc w:val="both"/>
      </w:pPr>
      <w:r>
        <w:rPr>
          <w:rtl/>
        </w:rPr>
        <w:t xml:space="preserve">הסכם של שלום, שנשתייר מימי המחלוקת הגדולה בין החסידים למתנגדים, עמד בתוקפו במשך המאה שלאחר מכן: רב </w:t>
      </w:r>
      <w:proofErr w:type="spellStart"/>
      <w:r>
        <w:rPr>
          <w:rtl/>
        </w:rPr>
        <w:t>דולהינוב</w:t>
      </w:r>
      <w:proofErr w:type="spellEnd"/>
      <w:r>
        <w:rPr>
          <w:rtl/>
        </w:rPr>
        <w:t xml:space="preserve"> יהיה מתנגד, </w:t>
      </w:r>
      <w:proofErr w:type="spellStart"/>
      <w:r>
        <w:rPr>
          <w:rtl/>
        </w:rPr>
        <w:t>והמ״ץ</w:t>
      </w:r>
      <w:proofErr w:type="spellEnd"/>
      <w:r>
        <w:rPr>
          <w:rtl/>
        </w:rPr>
        <w:t xml:space="preserve"> – חב״דניק. בזמן שעברו הוריו של אבי לעיירה, הגיעה לסיומה מחלוקת בת שבע שנים על בחירת ממלא מקומו של הרב שנפטר, במינוי חתנו, ר׳ </w:t>
      </w:r>
      <w:proofErr w:type="spellStart"/>
      <w:r>
        <w:rPr>
          <w:rtl/>
        </w:rPr>
        <w:t>מנדל־בער</w:t>
      </w:r>
      <w:proofErr w:type="spellEnd"/>
      <w:r>
        <w:rPr>
          <w:rtl/>
        </w:rPr>
        <w:t xml:space="preserve"> </w:t>
      </w:r>
      <w:proofErr w:type="spellStart"/>
      <w:r>
        <w:rPr>
          <w:rtl/>
        </w:rPr>
        <w:t>שכנוביץ</w:t>
      </w:r>
      <w:proofErr w:type="spellEnd"/>
      <w:r>
        <w:rPr>
          <w:rtl/>
        </w:rPr>
        <w:t xml:space="preserve">. </w:t>
      </w:r>
      <w:proofErr w:type="spellStart"/>
      <w:r>
        <w:rPr>
          <w:rtl/>
        </w:rPr>
        <w:t>המ״ץ</w:t>
      </w:r>
      <w:proofErr w:type="spellEnd"/>
      <w:r>
        <w:rPr>
          <w:rtl/>
        </w:rPr>
        <w:t xml:space="preserve"> היה ר׳ לייב וולף.</w:t>
      </w:r>
    </w:p>
    <w:p w14:paraId="4A4A3470" w14:textId="77777777" w:rsidR="00AB3647" w:rsidRDefault="00000000" w:rsidP="007923E9">
      <w:pPr>
        <w:spacing w:after="100" w:line="276" w:lineRule="auto"/>
        <w:ind w:firstLine="340"/>
        <w:jc w:val="both"/>
      </w:pPr>
      <w:r>
        <w:rPr>
          <w:rtl/>
        </w:rPr>
        <w:t xml:space="preserve">אווירה של רוחניות שררה </w:t>
      </w:r>
      <w:proofErr w:type="spellStart"/>
      <w:r>
        <w:rPr>
          <w:rtl/>
        </w:rPr>
        <w:t>בדולהינוב</w:t>
      </w:r>
      <w:proofErr w:type="spellEnd"/>
      <w:r>
        <w:rPr>
          <w:rtl/>
        </w:rPr>
        <w:t xml:space="preserve">. חמשת בתי הכנסת, שלושת בתי המדרש ושני </w:t>
      </w:r>
      <w:proofErr w:type="spellStart"/>
      <w:r>
        <w:rPr>
          <w:rtl/>
        </w:rPr>
        <w:t>השטיבלעך</w:t>
      </w:r>
      <w:proofErr w:type="spellEnd"/>
      <w:r>
        <w:rPr>
          <w:rtl/>
        </w:rPr>
        <w:t xml:space="preserve"> היו מלאים מתפללים ולומדים, למרות הפגיעה הקשה של תנועת ההשכלה בחברה היהודית ברוסיה במשך חצי מאה. בעיירה היו חדרים רבים, כל אחד לשכבת גיל אחרת, אבל לא כל המלמדים היו מן המשובחים – כמו בכל העיירות באותם ימים, שכן ההוראה לא הייתה מקצוע משתלם. </w:t>
      </w:r>
      <w:proofErr w:type="spellStart"/>
      <w:r>
        <w:rPr>
          <w:rtl/>
        </w:rPr>
        <w:t>בדולהינוב</w:t>
      </w:r>
      <w:proofErr w:type="spellEnd"/>
      <w:r>
        <w:rPr>
          <w:rtl/>
        </w:rPr>
        <w:t xml:space="preserve"> הייתה ישיבה שבראשה עמד ר׳ </w:t>
      </w:r>
      <w:proofErr w:type="spellStart"/>
      <w:r>
        <w:rPr>
          <w:rtl/>
        </w:rPr>
        <w:t>מרדכי־בער</w:t>
      </w:r>
      <w:proofErr w:type="spellEnd"/>
      <w:r>
        <w:rPr>
          <w:rtl/>
        </w:rPr>
        <w:t>, חתנו של ר׳ לייב וולף, אבל היא הלכה ודעכה, משום שהתלמידים המבוגרים היו יוצאים לישיבות מפורסמות בעיירות אחרות.</w:t>
      </w:r>
    </w:p>
    <w:p w14:paraId="1BCA9A29" w14:textId="77777777" w:rsidR="00AB3647" w:rsidRDefault="00000000" w:rsidP="007923E9">
      <w:pPr>
        <w:spacing w:after="100" w:line="276" w:lineRule="auto"/>
        <w:ind w:firstLine="340"/>
        <w:jc w:val="both"/>
      </w:pPr>
      <w:r>
        <w:rPr>
          <w:rtl/>
        </w:rPr>
        <w:t xml:space="preserve">מוקד משיכה עיקרי לצעירים שרצו להתקדם בלימודם היה ישיבת עץ חיים </w:t>
      </w:r>
      <w:proofErr w:type="spellStart"/>
      <w:r>
        <w:rPr>
          <w:rtl/>
        </w:rPr>
        <w:t>בוולוז׳ין</w:t>
      </w:r>
      <w:proofErr w:type="spellEnd"/>
      <w:r>
        <w:rPr>
          <w:rtl/>
        </w:rPr>
        <w:t xml:space="preserve">, שהדרך אליה </w:t>
      </w:r>
      <w:proofErr w:type="spellStart"/>
      <w:r>
        <w:rPr>
          <w:rtl/>
        </w:rPr>
        <w:t>מדולהינוב</w:t>
      </w:r>
      <w:proofErr w:type="spellEnd"/>
      <w:r>
        <w:rPr>
          <w:rtl/>
        </w:rPr>
        <w:t xml:space="preserve"> הייתה נוחה. ישיבה עליונה זו נסגרה בידי ראשיה עצמם בשנת תרנ״ב, </w:t>
      </w:r>
      <w:r>
        <w:rPr>
          <w:rtl/>
        </w:rPr>
        <w:lastRenderedPageBreak/>
        <w:t xml:space="preserve">כשדחו את האולטימטום של הממשלה הרוסית לכלול לימודי חול בתוכנית הלימודים. אבל זמן קצר אחרי סגירתה החלו לפעול לחידושה, במסווה של עוד בית כנסת. כעבור שבע שנים, עם מינויו של ר׳ רפאל שפירא – שהיה ראש ישיבה </w:t>
      </w:r>
      <w:proofErr w:type="spellStart"/>
      <w:r>
        <w:rPr>
          <w:rtl/>
        </w:rPr>
        <w:t>בוולוז׳ין</w:t>
      </w:r>
      <w:proofErr w:type="spellEnd"/>
      <w:r>
        <w:rPr>
          <w:rtl/>
        </w:rPr>
        <w:t xml:space="preserve"> עשרים שנה קודם לכן – לרב העיר, נפתחה הישיבה מחדש באופן רשמי.</w:t>
      </w:r>
    </w:p>
    <w:p w14:paraId="4688D8D5" w14:textId="77777777" w:rsidR="00AB3647" w:rsidRDefault="00000000" w:rsidP="007923E9">
      <w:pPr>
        <w:spacing w:after="100" w:line="276" w:lineRule="auto"/>
        <w:ind w:firstLine="340"/>
        <w:jc w:val="both"/>
      </w:pPr>
      <w:r>
        <w:rPr>
          <w:rtl/>
        </w:rPr>
        <w:t xml:space="preserve">אהבת התורה ניכרה </w:t>
      </w:r>
      <w:proofErr w:type="spellStart"/>
      <w:r>
        <w:rPr>
          <w:rtl/>
        </w:rPr>
        <w:t>בדולהינוב</w:t>
      </w:r>
      <w:proofErr w:type="spellEnd"/>
      <w:r>
        <w:rPr>
          <w:rtl/>
        </w:rPr>
        <w:t xml:space="preserve"> בדרכים רבות. הרב, תלמיד חכם גדול, עניו אך מטופח ונשוא פנים, שימש דוגמה להתמדה בתורה: כל היום ישב ולמד בבית הכנסת הגדול. הוא עודד את הצעירים להצטיין בלימודם – ניגש אל כל אחד שנכנס לבית הכנסת ושאל אותו מה למד בחדר באותו יום. ראש הקהל של </w:t>
      </w:r>
      <w:proofErr w:type="spellStart"/>
      <w:r>
        <w:rPr>
          <w:rtl/>
        </w:rPr>
        <w:t>דולהינוב</w:t>
      </w:r>
      <w:proofErr w:type="spellEnd"/>
      <w:r>
        <w:rPr>
          <w:rtl/>
        </w:rPr>
        <w:t xml:space="preserve">, העדין ר׳ שמריהו </w:t>
      </w:r>
      <w:proofErr w:type="spellStart"/>
      <w:r>
        <w:rPr>
          <w:rtl/>
        </w:rPr>
        <w:t>סמורגונסקי</w:t>
      </w:r>
      <w:proofErr w:type="spellEnd"/>
      <w:r>
        <w:rPr>
          <w:rtl/>
        </w:rPr>
        <w:t>, נבחר לא בזכות עושרו אלא בזכות בקיאותו בש״ס ובפוסקים. הציבור היהודי בכללו היה טוב לב ומכניס אורחים.</w:t>
      </w:r>
    </w:p>
    <w:p w14:paraId="0AF3373A" w14:textId="77777777" w:rsidR="00AB3647" w:rsidRDefault="00000000" w:rsidP="007923E9">
      <w:pPr>
        <w:spacing w:after="100" w:line="276" w:lineRule="auto"/>
        <w:ind w:firstLine="340"/>
        <w:jc w:val="both"/>
      </w:pPr>
      <w:r>
        <w:rPr>
          <w:rtl/>
        </w:rPr>
        <w:t xml:space="preserve">השבת הייתה </w:t>
      </w:r>
      <w:proofErr w:type="spellStart"/>
      <w:r>
        <w:rPr>
          <w:rtl/>
        </w:rPr>
        <w:t>בדולהינוב</w:t>
      </w:r>
      <w:proofErr w:type="spellEnd"/>
      <w:r>
        <w:rPr>
          <w:rtl/>
        </w:rPr>
        <w:t xml:space="preserve"> יום של תלמוד תורה. כבר שעתיים לפני כניסת השבת היו בתי המדרש מלאים אנשים, כל אחד לומד את חלק התורה שמשך את לבו. בלילות שבת היה אבי קם בשעה שתיים כדי ללוות את אביו לבית הכנסת, שהיה מלא בעלי בתים הלומדים תורה עד זמן התפילה. מעטים למדו לבדם: בדרך כלל היו מאורגנים בחבורות לימוד בהנהגת תלמידי חכמים מבעלי הבתים. חבורה אחת למדה את פרשת השבוע עם פירוש האלשיך הקדוש, אחרת – “חיי אדם”, אחרת – משניות, ועוד אחת למדה גמרא.</w:t>
      </w:r>
    </w:p>
    <w:p w14:paraId="2F9A695D" w14:textId="77777777" w:rsidR="00AB3647" w:rsidRDefault="00000000" w:rsidP="007923E9">
      <w:pPr>
        <w:spacing w:after="100" w:line="276" w:lineRule="auto"/>
        <w:ind w:firstLine="340"/>
        <w:jc w:val="both"/>
      </w:pPr>
      <w:r>
        <w:rPr>
          <w:rtl/>
        </w:rPr>
        <w:t xml:space="preserve">בבית משפחת </w:t>
      </w:r>
      <w:proofErr w:type="spellStart"/>
      <w:r>
        <w:rPr>
          <w:rtl/>
        </w:rPr>
        <w:t>קמינצקי</w:t>
      </w:r>
      <w:proofErr w:type="spellEnd"/>
      <w:r>
        <w:rPr>
          <w:rtl/>
        </w:rPr>
        <w:t xml:space="preserve"> נתנה עטיל את הטון ללימוד התורה</w:t>
      </w:r>
      <w:proofErr w:type="spellStart"/>
      <w:r>
        <w:rPr>
          <w:rtl/>
        </w:rPr>
        <w:t xml:space="preserve"/>
      </w:r>
      <w:proofErr w:type="spellEnd"/>
      <w:r>
        <w:rPr>
          <w:rtl/>
        </w:rPr>
        <w:t xml:space="preserve">: בשבתות אחר הצהריים קראה בקול מתוך </w:t>
      </w:r>
      <w:proofErr w:type="spellStart"/>
      <w:r>
        <w:rPr>
          <w:rtl/>
        </w:rPr>
        <w:t>ה“צאינה</w:t>
      </w:r>
      <w:proofErr w:type="spellEnd"/>
      <w:r>
        <w:rPr>
          <w:rtl/>
        </w:rPr>
        <w:t xml:space="preserve"> וראינה” שביידיש על פרשת השבוע, לפני הילדים ולפני נשים שונות שבאו להתארח.</w:t>
      </w:r>
    </w:p>
    <w:p w14:paraId="51C8DE97" w14:textId="77777777" w:rsidR="00AB3647" w:rsidRDefault="00000000" w:rsidP="007923E9">
      <w:pPr>
        <w:spacing w:after="100" w:line="276" w:lineRule="auto"/>
        <w:ind w:firstLine="340"/>
        <w:jc w:val="both"/>
      </w:pPr>
      <w:r>
        <w:rPr>
          <w:rtl/>
        </w:rPr>
        <w:t xml:space="preserve">בימי שהותם הקצרה של הוריו </w:t>
      </w:r>
      <w:proofErr w:type="spellStart"/>
      <w:r>
        <w:rPr>
          <w:rtl/>
        </w:rPr>
        <w:t>בחטאייביץ</w:t>
      </w:r>
      <w:proofErr w:type="spellEnd"/>
      <w:r>
        <w:rPr>
          <w:rtl/>
        </w:rPr>
        <w:t xml:space="preserve">׳ היה בחור ישיבה “אוכל ימים” בביתם, והוא לימד את אבי את הגיית אותיות </w:t>
      </w:r>
      <w:proofErr w:type="spellStart"/>
      <w:r>
        <w:rPr>
          <w:rtl/>
        </w:rPr>
        <w:t>האלף־בית</w:t>
      </w:r>
      <w:proofErr w:type="spellEnd"/>
      <w:r>
        <w:rPr>
          <w:rtl/>
        </w:rPr>
        <w:t xml:space="preserve"> ואת סימני הניקוד. </w:t>
      </w:r>
      <w:proofErr w:type="spellStart"/>
      <w:r>
        <w:rPr>
          <w:rtl/>
        </w:rPr>
        <w:t>אמו</w:t>
      </w:r>
      <w:proofErr w:type="spellEnd"/>
      <w:r>
        <w:rPr>
          <w:rtl/>
        </w:rPr>
        <w:t>, אישה שלמדה בכוחות עצמה, עודדה אז את בנה הקטן לגלות בעצמו כיצד מצרפים את ההגאים זה לזה. כשהתחיל ללמוד כסדרו בחדר שבעיירה, הפתיע את מלמדו כשגילה לו שלימד את עצמו לקרוא, ובזכות זה זכה לתשומת לב מיוחדת מצד המלמד.</w:t>
      </w:r>
    </w:p>
    <w:p w14:paraId="22101D7A" w14:textId="77777777" w:rsidR="00AB3647" w:rsidRDefault="00000000" w:rsidP="007923E9">
      <w:pPr>
        <w:spacing w:after="100" w:line="276" w:lineRule="auto"/>
        <w:ind w:firstLine="340"/>
        <w:jc w:val="both"/>
      </w:pPr>
      <w:r>
        <w:rPr>
          <w:rtl/>
        </w:rPr>
        <w:t xml:space="preserve">אחר כך הציק אבי לאחיו הגדול, </w:t>
      </w:r>
      <w:proofErr w:type="spellStart"/>
      <w:r>
        <w:rPr>
          <w:rtl/>
        </w:rPr>
        <w:t>חיים־זרח</w:t>
      </w:r>
      <w:proofErr w:type="spellEnd"/>
      <w:r>
        <w:rPr>
          <w:rtl/>
        </w:rPr>
        <w:t xml:space="preserve">, שכבר למד חומש, שילמד אותו את החומר המתקדם יותר, והוא קלט את החומר בקלות. לאחר שהתפאר לפני מלמדו שהוא כבר יודע חומש, נבחן הילד המחונן והועלה לשלב הלימוד הגבוה יותר. לאחר המעבר </w:t>
      </w:r>
      <w:proofErr w:type="spellStart"/>
      <w:r>
        <w:rPr>
          <w:rtl/>
        </w:rPr>
        <w:t>לדולהינוב</w:t>
      </w:r>
      <w:proofErr w:type="spellEnd"/>
      <w:r>
        <w:rPr>
          <w:rtl/>
        </w:rPr>
        <w:t xml:space="preserve"> נרשם לחדר פרטי, ושם למד חומש ונביא והגיע לראשית לימוד הגמרא. כשהיה רק בן שמונה הצטרף לישיבה הקטנה שבעיירה, שבה למדו גמרא בלבד, ועד גיל עשר כבר היה לומד פרקים שלמים בתלמוד. בחורף שבו מלאו לו </w:t>
      </w:r>
      <w:proofErr w:type="spellStart"/>
      <w:r>
        <w:rPr>
          <w:rtl/>
        </w:rPr>
        <w:t>אחת־עשרה</w:t>
      </w:r>
      <w:proofErr w:type="spellEnd"/>
      <w:r>
        <w:rPr>
          <w:rtl/>
        </w:rPr>
        <w:t xml:space="preserve"> שנה למד את כל מסכת קידושין.</w:t>
      </w:r>
    </w:p>
    <w:p w14:paraId="5F4783E5" w14:textId="77777777" w:rsidR="00AB3647" w:rsidRDefault="00000000" w:rsidP="007923E9">
      <w:pPr>
        <w:spacing w:after="100" w:line="276" w:lineRule="auto"/>
        <w:ind w:firstLine="340"/>
        <w:jc w:val="both"/>
      </w:pPr>
      <w:r>
        <w:rPr>
          <w:rtl/>
        </w:rPr>
        <w:t>מלמדים שונים היו לאבי בשנות גידולו: אחד היה חשוך ילדים אך טוב לב, ואחר הלקה אותו שלא כדין; אחד שיבש את פירוש המשנה שלימד, ואחר – אבי לא סלח לו לעולם על שלא הבין שהוא אינו מסוגל לומר שקר.</w:t>
      </w:r>
    </w:p>
    <w:p w14:paraId="559BD955" w14:textId="77777777" w:rsidR="00AB3647" w:rsidRDefault="00000000" w:rsidP="007923E9">
      <w:pPr>
        <w:spacing w:after="100" w:line="276" w:lineRule="auto"/>
        <w:ind w:firstLine="340"/>
        <w:jc w:val="both"/>
      </w:pPr>
      <w:r>
        <w:rPr>
          <w:rtl/>
        </w:rPr>
        <w:t xml:space="preserve">רבנו היה ילד שקדן שנתברך בזיכרון יוצא מן הכלל. כשהיה רק בן חמש הסתובב בבית המדרש </w:t>
      </w:r>
      <w:proofErr w:type="spellStart"/>
      <w:r>
        <w:rPr>
          <w:rtl/>
        </w:rPr>
        <w:t>בדולהינוב</w:t>
      </w:r>
      <w:proofErr w:type="spellEnd"/>
      <w:r>
        <w:rPr>
          <w:rtl/>
        </w:rPr>
        <w:t xml:space="preserve">, שבו למדו כמה בעלי בתים גמרא באחד מימי החורף, בשעות אחר </w:t>
      </w:r>
      <w:r>
        <w:rPr>
          <w:rtl/>
        </w:rPr>
        <w:lastRenderedPageBreak/>
        <w:t>הצהריים. הם נתקלו בהפניה לפסוק בספר שופטים והוצרכו לדעת את לשונו המדויקת, וביקשו מן הילד שימצא להם את הכרך הדרוש.</w:t>
      </w:r>
    </w:p>
    <w:p w14:paraId="56ED765B" w14:textId="77777777" w:rsidR="00AB3647" w:rsidRDefault="00000000" w:rsidP="007923E9">
      <w:pPr>
        <w:spacing w:after="100" w:line="276" w:lineRule="auto"/>
        <w:ind w:firstLine="340"/>
        <w:jc w:val="both"/>
      </w:pPr>
      <w:proofErr w:type="spellStart"/>
      <w:r>
        <w:rPr>
          <w:rtl/>
        </w:rPr>
        <w:t>משלא</w:t>
      </w:r>
      <w:proofErr w:type="spellEnd"/>
      <w:r>
        <w:rPr>
          <w:rtl/>
        </w:rPr>
        <w:t xml:space="preserve"> עלה בידי הילד למצוא את הספר, נזכר אחד הלומדים שאותו פסוק נמצא בהפטרת פרשת בשלח – שירת דבורה, בפרק החמישי של ספר שופטים – שנקראה בבית הכנסת יומיים קודם לכן. שוב ביקשו מן הילד הקטן שיביא להם, הפעם, חומש שמות. הוא אמר שאין צורך בספר, שכן כבר למד את שירת דבורה בחדר ויכול לאומרה בעל פה. סקרנותו של ראש חבורת הלומדים התעוררה, והוא ביקש מן הילד לומר את השירה בעל פה – והילד אמר אותה כולה. עד גיל </w:t>
      </w:r>
      <w:proofErr w:type="spellStart"/>
      <w:r>
        <w:rPr>
          <w:rtl/>
        </w:rPr>
        <w:t>אחת־עשרה</w:t>
      </w:r>
      <w:proofErr w:type="spellEnd"/>
      <w:r>
        <w:rPr>
          <w:rtl/>
        </w:rPr>
        <w:t xml:space="preserve"> כבר ידע בעל פה עשרים וחמישה דפי גמרא.</w:t>
      </w:r>
    </w:p>
    <w:p w14:paraId="6EE27126" w14:textId="77777777" w:rsidR="00AB3647" w:rsidRDefault="00000000" w:rsidP="007923E9">
      <w:pPr>
        <w:spacing w:after="100" w:line="276" w:lineRule="auto"/>
        <w:ind w:firstLine="340"/>
        <w:jc w:val="both"/>
      </w:pPr>
      <w:r>
        <w:rPr>
          <w:rtl/>
        </w:rPr>
        <w:t xml:space="preserve">כבר בגיל צעיר גילה אבי שכל מעמיק ונטייה לסדר. הוא נהנה לעיין בפיוטים ולפענח את החתימות שהצפינו בהם מחבריהם, ואף גילה שמות נסתרים שנשזרו בחכמה רבה כל כך, עד שנעלמו מעיני מדפיסי המחזורים. שכלו היה פתוח לדעת: מתוך סקרנות היה לומד סוגיות גמרא שמעבר לתוכנית הלימודים של מלמדו, ומעיין בחלקים הקלים לקריאה </w:t>
      </w:r>
      <w:proofErr w:type="spellStart"/>
      <w:r>
        <w:rPr>
          <w:rtl/>
        </w:rPr>
        <w:t>שב“יד</w:t>
      </w:r>
      <w:proofErr w:type="spellEnd"/>
      <w:r>
        <w:rPr>
          <w:rtl/>
        </w:rPr>
        <w:t xml:space="preserve"> החזקה” לרמב״ם. להבדיל, קלט את הכתב והלשון הרוסיים, אף שהיהודים לא השתמשו בהם בחיי </w:t>
      </w:r>
      <w:proofErr w:type="spellStart"/>
      <w:r>
        <w:rPr>
          <w:rtl/>
        </w:rPr>
        <w:t>היום־יום</w:t>
      </w:r>
      <w:proofErr w:type="spellEnd"/>
      <w:r>
        <w:rPr>
          <w:rtl/>
        </w:rPr>
        <w:t>.</w:t>
      </w:r>
    </w:p>
    <w:p w14:paraId="001BB4D2" w14:textId="77777777" w:rsidR="00AB3647" w:rsidRDefault="00000000" w:rsidP="007923E9">
      <w:pPr>
        <w:spacing w:after="100" w:line="276" w:lineRule="auto"/>
        <w:ind w:firstLine="340"/>
        <w:jc w:val="both"/>
      </w:pPr>
      <w:r>
        <w:rPr>
          <w:rtl/>
        </w:rPr>
        <w:t xml:space="preserve">אבי היה שקדן גדול, וחזר על הגמרא והמפרשים פעם אחר פעם עד שידע אותם על </w:t>
      </w:r>
      <w:proofErr w:type="spellStart"/>
      <w:r>
        <w:rPr>
          <w:rtl/>
        </w:rPr>
        <w:t>בוריים</w:t>
      </w:r>
      <w:proofErr w:type="spellEnd"/>
      <w:r>
        <w:rPr>
          <w:rtl/>
        </w:rPr>
        <w:t xml:space="preserve">. מעולם לא הניח לשכלו לנוח. אבל אף שהיה שקדן, לא היה מסוגר בעצמו. הוא היה קשוב לסביבתו הכפרית, </w:t>
      </w:r>
      <w:proofErr w:type="spellStart"/>
      <w:r>
        <w:rPr>
          <w:rtl/>
        </w:rPr>
        <w:t>ובדולהינוב</w:t>
      </w:r>
      <w:proofErr w:type="spellEnd"/>
      <w:r>
        <w:rPr>
          <w:rtl/>
        </w:rPr>
        <w:t xml:space="preserve"> נקנו לו אהבה לטבע והתעניינות בו, שליוו אותו כל ימי חייו – מן העשב השפל שלמטה ועד הכוכבים הרמים שלמעלה.</w:t>
      </w:r>
    </w:p>
    <w:p w14:paraId="41F49310" w14:textId="77777777" w:rsidR="00AB3647" w:rsidRDefault="00000000" w:rsidP="007923E9">
      <w:pPr>
        <w:spacing w:after="100" w:line="276" w:lineRule="auto"/>
        <w:ind w:firstLine="340"/>
        <w:jc w:val="both"/>
      </w:pPr>
      <w:r>
        <w:rPr>
          <w:rtl/>
        </w:rPr>
        <w:t xml:space="preserve">בהיותו תינוק החליק אבי לתוך אגם </w:t>
      </w:r>
      <w:proofErr w:type="spellStart"/>
      <w:r>
        <w:rPr>
          <w:rtl/>
        </w:rPr>
        <w:t>מיקולינה</w:t>
      </w:r>
      <w:proofErr w:type="spellEnd"/>
      <w:r>
        <w:rPr>
          <w:rtl/>
        </w:rPr>
        <w:t xml:space="preserve"> הסמוך, ונמשה ממנו ברגע האחרון. אבל טראומה זו לא הפחידה אותו ואת הוריו עד כדי כך שיתרחקו מן המים. כשגדל מעט, היה אחיו הגדול, </w:t>
      </w:r>
      <w:proofErr w:type="spellStart"/>
      <w:r>
        <w:rPr>
          <w:rtl/>
        </w:rPr>
        <w:t>חיים־זרח</w:t>
      </w:r>
      <w:proofErr w:type="spellEnd"/>
      <w:r>
        <w:rPr>
          <w:rtl/>
        </w:rPr>
        <w:t xml:space="preserve">, לוקח אותו לשחות בנהר </w:t>
      </w:r>
      <w:proofErr w:type="spellStart"/>
      <w:r>
        <w:rPr>
          <w:rtl/>
        </w:rPr>
        <w:t>צ׳רשיסטה</w:t>
      </w:r>
      <w:proofErr w:type="spellEnd"/>
      <w:r>
        <w:rPr>
          <w:rtl/>
        </w:rPr>
        <w:t xml:space="preserve"> – גשר העץ שעליו, שהוביל מזרחה אל הכפר </w:t>
      </w:r>
      <w:proofErr w:type="spellStart"/>
      <w:r>
        <w:rPr>
          <w:rtl/>
        </w:rPr>
        <w:t>פוהוסט</w:t>
      </w:r>
      <w:proofErr w:type="spellEnd"/>
      <w:r>
        <w:rPr>
          <w:rtl/>
        </w:rPr>
        <w:t xml:space="preserve">, שימש גם מחיצה בין הגברים הרוחצים לנשים – והוא גדל ונעשה נער כפרי חסון. כל ימי חייו הוקיר אבי את שנות התעצבותו </w:t>
      </w:r>
      <w:proofErr w:type="spellStart"/>
      <w:r>
        <w:rPr>
          <w:rtl/>
        </w:rPr>
        <w:t>בדולהינוב</w:t>
      </w:r>
      <w:proofErr w:type="spellEnd"/>
      <w:r>
        <w:rPr>
          <w:rtl/>
        </w:rPr>
        <w:t>, וחש שבזכות גידולו בסביבה של עיירה קטנה נקנו לו השקפה בריאה על החיים ויחס חיובי לבני האדם.</w:t>
      </w:r>
    </w:p>
    <w:p w14:paraId="5EBA9E2F" w14:textId="77777777" w:rsidR="00AB3647" w:rsidRDefault="00000000" w:rsidP="007923E9">
      <w:pPr>
        <w:pStyle w:val="2"/>
        <w:spacing w:line="276" w:lineRule="auto"/>
      </w:pPr>
      <w:r>
        <w:t>4.</w:t>
      </w:r>
    </w:p>
    <w:p w14:paraId="38536357" w14:textId="77777777" w:rsidR="00AB3647" w:rsidRDefault="00000000" w:rsidP="007923E9">
      <w:pPr>
        <w:spacing w:after="100" w:line="276" w:lineRule="auto"/>
        <w:ind w:firstLine="340"/>
        <w:jc w:val="both"/>
      </w:pPr>
      <w:r>
        <w:rPr>
          <w:rtl/>
        </w:rPr>
        <w:t xml:space="preserve">יהודי </w:t>
      </w:r>
      <w:proofErr w:type="spellStart"/>
      <w:r>
        <w:rPr>
          <w:rtl/>
        </w:rPr>
        <w:t>דולהינוב</w:t>
      </w:r>
      <w:proofErr w:type="spellEnd"/>
      <w:r>
        <w:rPr>
          <w:rtl/>
        </w:rPr>
        <w:t xml:space="preserve"> היו פשוטים וישרים, והתפרנסו בכל דרך שהצריכו הנסיבות. היו רוכלים שיצאו אל הכפרים שבסביבה במוצאי שבת, וחזרו בלילות רביעי כדי להשתתף ביום השוק השבועי שנערך במקום ביום חמישי. הם יצאו מבתיהם עם סחורות וסדקית, והביאו בחזרה תוצרת חקלאית ופרוות, ולפעמים פרות או סוסים. הם עבדו קשה והיו רחוקים מבתיהם רוב הזמן, אבל התפרנסו בכבוד.</w:t>
      </w:r>
    </w:p>
    <w:p w14:paraId="7216DA84" w14:textId="77777777" w:rsidR="00AB3647" w:rsidRDefault="00000000" w:rsidP="007923E9">
      <w:pPr>
        <w:spacing w:after="100" w:line="276" w:lineRule="auto"/>
        <w:ind w:firstLine="340"/>
        <w:jc w:val="both"/>
      </w:pPr>
      <w:r>
        <w:rPr>
          <w:rtl/>
        </w:rPr>
        <w:t>בעיירה היו שני בתי חרושת קטנים שייצרו ממתקים ונעלי בד (</w:t>
      </w:r>
      <w:proofErr w:type="spellStart"/>
      <w:r>
        <w:rPr>
          <w:rtl/>
        </w:rPr>
        <w:t>וואָליקעס</w:t>
      </w:r>
      <w:proofErr w:type="spellEnd"/>
      <w:r>
        <w:rPr>
          <w:rtl/>
        </w:rPr>
        <w:t xml:space="preserve">), וחנויות רבות של יהודים. מספר רב של יהודים היו בעלי מלאכה: חייטים וסנדלרים, נפחים ופחחים, בורסקאים וכובענים, אופים </w:t>
      </w:r>
      <w:proofErr w:type="spellStart"/>
      <w:r>
        <w:rPr>
          <w:rtl/>
        </w:rPr>
        <w:t>וחביתנים</w:t>
      </w:r>
      <w:proofErr w:type="spellEnd"/>
      <w:r>
        <w:rPr>
          <w:rtl/>
        </w:rPr>
        <w:t xml:space="preserve">, עושי גלגלים לעגלות הקיץ ועושי מגלשיים למזחלות </w:t>
      </w:r>
      <w:r>
        <w:rPr>
          <w:rtl/>
        </w:rPr>
        <w:lastRenderedPageBreak/>
        <w:t>החורף. כמה משפחות חכרו אדמות או מטעים מן האיכרים המקומיים, וגידלו תפוחי אדמה ומגוון של ירקות ופירות אחרים. כל בית אפה את לחמו בעצמו, וכבש מלפפונים וכרוב לחורף.</w:t>
      </w:r>
    </w:p>
    <w:p w14:paraId="71C9F8F4" w14:textId="77777777" w:rsidR="00AB3647" w:rsidRDefault="00000000" w:rsidP="007923E9">
      <w:pPr>
        <w:spacing w:after="100" w:line="276" w:lineRule="auto"/>
        <w:ind w:firstLine="340"/>
        <w:jc w:val="both"/>
      </w:pPr>
      <w:r>
        <w:rPr>
          <w:rtl/>
        </w:rPr>
        <w:t xml:space="preserve">היו מבני </w:t>
      </w:r>
      <w:proofErr w:type="spellStart"/>
      <w:r>
        <w:rPr>
          <w:rtl/>
        </w:rPr>
        <w:t>דולהינוב</w:t>
      </w:r>
      <w:proofErr w:type="spellEnd"/>
      <w:r>
        <w:rPr>
          <w:rtl/>
        </w:rPr>
        <w:t xml:space="preserve"> שהחיים ברוסיה היו קשים להם מנשוא, והם עשו את דרכם לעולם החדש, לאמריקה. כמה מהם ראו את ילדיהם גדלים “גויים” </w:t>
      </w:r>
      <w:proofErr w:type="spellStart"/>
      <w:r>
        <w:rPr>
          <w:rtl/>
        </w:rPr>
        <w:t>ב“ארץ</w:t>
      </w:r>
      <w:proofErr w:type="spellEnd"/>
      <w:r>
        <w:rPr>
          <w:rtl/>
        </w:rPr>
        <w:t xml:space="preserve"> הזהב”, ושלחו את נשותיהם וילדיהם בחזרה “הביתה”, ומעבר לים שלחו להם כמה דולרים.</w:t>
      </w:r>
    </w:p>
    <w:p w14:paraId="6C60A458" w14:textId="77777777" w:rsidR="00AB3647" w:rsidRDefault="00000000" w:rsidP="007923E9">
      <w:pPr>
        <w:spacing w:after="100" w:line="276" w:lineRule="auto"/>
        <w:ind w:firstLine="340"/>
        <w:jc w:val="both"/>
      </w:pPr>
      <w:proofErr w:type="spellStart"/>
      <w:r>
        <w:rPr>
          <w:rtl/>
        </w:rPr>
        <w:t>לר</w:t>
      </w:r>
      <w:proofErr w:type="spellEnd"/>
      <w:r>
        <w:rPr>
          <w:rtl/>
        </w:rPr>
        <w:t xml:space="preserve">׳ בנימין </w:t>
      </w:r>
      <w:proofErr w:type="spellStart"/>
      <w:r>
        <w:rPr>
          <w:rtl/>
        </w:rPr>
        <w:t>קמינצקי</w:t>
      </w:r>
      <w:proofErr w:type="spellEnd"/>
      <w:r>
        <w:rPr>
          <w:rtl/>
        </w:rPr>
        <w:t xml:space="preserve"> לא הייתה פרנסה </w:t>
      </w:r>
      <w:proofErr w:type="spellStart"/>
      <w:r>
        <w:rPr>
          <w:rtl/>
        </w:rPr>
        <w:t>בדולהינוב</w:t>
      </w:r>
      <w:proofErr w:type="spellEnd"/>
      <w:r>
        <w:rPr>
          <w:rtl/>
        </w:rPr>
        <w:t xml:space="preserve">, אבל פעמים רבות קראו לו אל היער, שם נעזרו במומחיותו בכריתת עצים. לפעמים התלווה לאביו בנסיעות עסקים לווילנה, שדרכה זרם נהר </w:t>
      </w:r>
      <w:proofErr w:type="spellStart"/>
      <w:r>
        <w:rPr>
          <w:rtl/>
        </w:rPr>
        <w:t>הוויליה</w:t>
      </w:r>
      <w:proofErr w:type="spellEnd"/>
      <w:r>
        <w:rPr>
          <w:rtl/>
        </w:rPr>
        <w:t xml:space="preserve"> ועל מימיו שטו עצי היער של ר׳ </w:t>
      </w:r>
      <w:proofErr w:type="spellStart"/>
      <w:r>
        <w:rPr>
          <w:rtl/>
        </w:rPr>
        <w:t>שמואל־הירש</w:t>
      </w:r>
      <w:proofErr w:type="spellEnd"/>
      <w:r>
        <w:rPr>
          <w:rtl/>
        </w:rPr>
        <w:t xml:space="preserve">. כשחסרה לפעמים הכנסה, שמח האב העשיר להושיט יד לעזרה למשפחת בנו, שגדלה אחרי שעזבו את </w:t>
      </w:r>
      <w:proofErr w:type="spellStart"/>
      <w:r>
        <w:rPr>
          <w:rtl/>
        </w:rPr>
        <w:t>קאליסקובקה</w:t>
      </w:r>
      <w:proofErr w:type="spellEnd"/>
      <w:r>
        <w:rPr>
          <w:rtl/>
        </w:rPr>
        <w:t xml:space="preserve"> בשלושה ילדים נוספים: אהרן, יודל ולאה.</w:t>
      </w:r>
    </w:p>
    <w:p w14:paraId="528DBFF9" w14:textId="77777777" w:rsidR="00AB3647" w:rsidRDefault="00000000" w:rsidP="007923E9">
      <w:pPr>
        <w:spacing w:after="100" w:line="276" w:lineRule="auto"/>
        <w:ind w:firstLine="340"/>
        <w:jc w:val="both"/>
      </w:pPr>
      <w:proofErr w:type="spellStart"/>
      <w:r>
        <w:rPr>
          <w:rtl/>
        </w:rPr>
        <w:t>חיים־זרח</w:t>
      </w:r>
      <w:proofErr w:type="spellEnd"/>
      <w:r>
        <w:rPr>
          <w:rtl/>
        </w:rPr>
        <w:t xml:space="preserve">, הבכור בילדי </w:t>
      </w:r>
      <w:proofErr w:type="spellStart"/>
      <w:r>
        <w:rPr>
          <w:rtl/>
        </w:rPr>
        <w:t>קמינצקי</w:t>
      </w:r>
      <w:proofErr w:type="spellEnd"/>
      <w:r>
        <w:rPr>
          <w:rtl/>
        </w:rPr>
        <w:t xml:space="preserve">, היה בן </w:t>
      </w:r>
      <w:proofErr w:type="spellStart"/>
      <w:r>
        <w:rPr>
          <w:rtl/>
        </w:rPr>
        <w:t>ארבע־עשרה</w:t>
      </w:r>
      <w:proofErr w:type="spellEnd"/>
      <w:r>
        <w:rPr>
          <w:rtl/>
        </w:rPr>
        <w:t xml:space="preserve"> כשהוריו סברו שהוא מוכן לעמוד ברשות עצמו. להשאירו </w:t>
      </w:r>
      <w:proofErr w:type="spellStart"/>
      <w:r>
        <w:rPr>
          <w:rtl/>
        </w:rPr>
        <w:t>בדולהינוב</w:t>
      </w:r>
      <w:proofErr w:type="spellEnd"/>
      <w:r>
        <w:rPr>
          <w:rtl/>
        </w:rPr>
        <w:t xml:space="preserve"> כשוליה באחת המלאכות – זה לא בא בחשבון לילד ממשפחת </w:t>
      </w:r>
      <w:proofErr w:type="spellStart"/>
      <w:r>
        <w:rPr>
          <w:rtl/>
        </w:rPr>
        <w:t>קמינצקי</w:t>
      </w:r>
      <w:proofErr w:type="spellEnd"/>
      <w:r>
        <w:rPr>
          <w:rtl/>
        </w:rPr>
        <w:t xml:space="preserve"> הגאה. הם החליטו לשלוח אותו למינסק, העיר הגדולה, המרוחקת תשעים קילומטרים. כמה מאחיו ואחיותיו של ר׳ בנימין כבר התגוררו שם. אחיו </w:t>
      </w:r>
      <w:proofErr w:type="spellStart"/>
      <w:r>
        <w:rPr>
          <w:rtl/>
        </w:rPr>
        <w:t>אברהם־משה</w:t>
      </w:r>
      <w:proofErr w:type="spellEnd"/>
      <w:r>
        <w:rPr>
          <w:rtl/>
        </w:rPr>
        <w:t xml:space="preserve"> עבר לשם עם אשתו, </w:t>
      </w:r>
      <w:proofErr w:type="spellStart"/>
      <w:r>
        <w:rPr>
          <w:rtl/>
        </w:rPr>
        <w:t>עטיל</w:t>
      </w:r>
      <w:proofErr w:type="spellEnd"/>
      <w:r>
        <w:rPr>
          <w:rtl/>
        </w:rPr>
        <w:t xml:space="preserve">, וששת ילדיהם, כשהאווירה </w:t>
      </w:r>
      <w:proofErr w:type="spellStart"/>
      <w:r>
        <w:rPr>
          <w:rtl/>
        </w:rPr>
        <w:t>בקאליסקובקה</w:t>
      </w:r>
      <w:proofErr w:type="spellEnd"/>
      <w:r>
        <w:rPr>
          <w:rtl/>
        </w:rPr>
        <w:t xml:space="preserve"> נעשתה מעיקה מדי לטעמו.</w:t>
      </w:r>
    </w:p>
    <w:p w14:paraId="230AA4FA" w14:textId="77777777" w:rsidR="00AB3647" w:rsidRDefault="00000000" w:rsidP="007923E9">
      <w:pPr>
        <w:spacing w:after="100" w:line="276" w:lineRule="auto"/>
        <w:ind w:firstLine="340"/>
        <w:jc w:val="both"/>
      </w:pPr>
      <w:r>
        <w:rPr>
          <w:rtl/>
        </w:rPr>
        <w:t xml:space="preserve">אחותו הצעירה של ר׳ בנימין מאב ומאם, ראשה, נישאה </w:t>
      </w:r>
      <w:proofErr w:type="spellStart"/>
      <w:r>
        <w:rPr>
          <w:rtl/>
        </w:rPr>
        <w:t>לפייבה</w:t>
      </w:r>
      <w:proofErr w:type="spellEnd"/>
      <w:r>
        <w:rPr>
          <w:rtl/>
        </w:rPr>
        <w:t xml:space="preserve"> </w:t>
      </w:r>
      <w:proofErr w:type="spellStart"/>
      <w:r>
        <w:rPr>
          <w:rtl/>
        </w:rPr>
        <w:t>בלינקה</w:t>
      </w:r>
      <w:proofErr w:type="spellEnd"/>
      <w:r>
        <w:rPr>
          <w:rtl/>
        </w:rPr>
        <w:t xml:space="preserve">, מודד קרקעות במינסק. בני הזוג לא הקפידו הרבה על היידישקייט ובילו את שעות הפנאי שלהם במשחק קלפים, אבל עדיין משפחה היו. גם אחותו טובת הלב והחסודה של ר׳ בנימין, דבורה היפה, שהייתה יראה את אביה יותר מכדי להתעלם מרצונו, נישאה במינסק לתלמיד החכם הגדול והירא ר׳ גרשון </w:t>
      </w:r>
      <w:proofErr w:type="spellStart"/>
      <w:r>
        <w:rPr>
          <w:rtl/>
        </w:rPr>
        <w:t>במדס</w:t>
      </w:r>
      <w:proofErr w:type="spellEnd"/>
      <w:r>
        <w:rPr>
          <w:rtl/>
        </w:rPr>
        <w:t xml:space="preserve">, בנו חיוור הפנים של סוחר יין עשיר. ביתם של בני הזוג חשוכי הילדים היה ודאי </w:t>
      </w:r>
      <w:proofErr w:type="spellStart"/>
      <w:r>
        <w:rPr>
          <w:rtl/>
        </w:rPr>
        <w:t>לחיים־זרח</w:t>
      </w:r>
      <w:proofErr w:type="spellEnd"/>
      <w:r>
        <w:rPr>
          <w:rtl/>
        </w:rPr>
        <w:t xml:space="preserve"> בית חם ומסביר פנים, כביתו שלו.</w:t>
      </w:r>
    </w:p>
    <w:p w14:paraId="6A67C569" w14:textId="77777777" w:rsidR="00AB3647" w:rsidRDefault="00000000" w:rsidP="007923E9">
      <w:pPr>
        <w:spacing w:after="100" w:line="276" w:lineRule="auto"/>
        <w:ind w:firstLine="340"/>
        <w:jc w:val="both"/>
      </w:pPr>
      <w:r>
        <w:rPr>
          <w:rtl/>
        </w:rPr>
        <w:t xml:space="preserve">ואכן, </w:t>
      </w:r>
      <w:proofErr w:type="spellStart"/>
      <w:r>
        <w:rPr>
          <w:rtl/>
        </w:rPr>
        <w:t>חיים־זרח</w:t>
      </w:r>
      <w:proofErr w:type="spellEnd"/>
      <w:r>
        <w:rPr>
          <w:rtl/>
        </w:rPr>
        <w:t xml:space="preserve"> עבר לגור אצל דודתו דבורה, ובעלה מצא לו עבודה בגולדברג ושפירא, חברת תרופות ענקית שסיפקה תרופות לכל מינסק וסביבותיה. </w:t>
      </w:r>
      <w:proofErr w:type="spellStart"/>
      <w:r>
        <w:rPr>
          <w:rtl/>
        </w:rPr>
        <w:t>חיים־זרח</w:t>
      </w:r>
      <w:proofErr w:type="spellEnd"/>
      <w:r>
        <w:rPr>
          <w:rtl/>
        </w:rPr>
        <w:t xml:space="preserve"> כתב הביתה שהוא אוהב את עבודתו, ושממוניו מעריכים אותו והעלו את שכרו. אבל לאכזבת דודתו הוא עזב את ביתה, כששמע אותה מגינה על יושרו כאשר בעלה הקמצן חשד בו שלקח לעצמו כמה </w:t>
      </w:r>
      <w:proofErr w:type="spellStart"/>
      <w:r>
        <w:rPr>
          <w:rtl/>
        </w:rPr>
        <w:t>קופיקות</w:t>
      </w:r>
      <w:proofErr w:type="spellEnd"/>
      <w:r>
        <w:rPr>
          <w:rtl/>
        </w:rPr>
        <w:t xml:space="preserve"> ממגירת המטבח. הוא הודיע להוריו ששכר חדר קטן אך נאה, ושהוא מאושר במינסק.</w:t>
      </w:r>
    </w:p>
    <w:p w14:paraId="2A0D4EFF" w14:textId="77777777" w:rsidR="00AB3647" w:rsidRDefault="00000000" w:rsidP="007923E9">
      <w:pPr>
        <w:spacing w:after="100" w:line="276" w:lineRule="auto"/>
        <w:ind w:firstLine="340"/>
        <w:jc w:val="both"/>
      </w:pPr>
      <w:r>
        <w:rPr>
          <w:rtl/>
        </w:rPr>
        <w:t xml:space="preserve">באותו זמן תכננו בני הזוג </w:t>
      </w:r>
      <w:proofErr w:type="spellStart"/>
      <w:r>
        <w:rPr>
          <w:rtl/>
        </w:rPr>
        <w:t>קמינצקי</w:t>
      </w:r>
      <w:proofErr w:type="spellEnd"/>
      <w:r>
        <w:rPr>
          <w:rtl/>
        </w:rPr>
        <w:t xml:space="preserve"> שגם בנם השני יעזוב את בית הוריו. אבי נשלח תחילה לאחוזת אבותיו </w:t>
      </w:r>
      <w:proofErr w:type="spellStart"/>
      <w:r>
        <w:rPr>
          <w:rtl/>
        </w:rPr>
        <w:t>בקאליסקובקה</w:t>
      </w:r>
      <w:proofErr w:type="spellEnd"/>
      <w:r>
        <w:rPr>
          <w:rtl/>
        </w:rPr>
        <w:t xml:space="preserve">, אל סבו ואל דודו </w:t>
      </w:r>
      <w:proofErr w:type="spellStart"/>
      <w:r>
        <w:rPr>
          <w:rtl/>
        </w:rPr>
        <w:t>ישראל־יצחק</w:t>
      </w:r>
      <w:proofErr w:type="spellEnd"/>
      <w:r>
        <w:rPr>
          <w:rtl/>
        </w:rPr>
        <w:t>. סבו שמח בילד המחונן, שהסתגל במהרה למטלותיו ולאחריותו בחווה, ואף מצא זמן ללמוד עמו בלאַט גמרא [דף גמרא].</w:t>
      </w:r>
    </w:p>
    <w:p w14:paraId="5B9C5E28" w14:textId="77777777" w:rsidR="00AB3647" w:rsidRDefault="00000000" w:rsidP="007923E9">
      <w:pPr>
        <w:spacing w:after="100" w:line="276" w:lineRule="auto"/>
        <w:ind w:firstLine="340"/>
        <w:jc w:val="both"/>
      </w:pPr>
      <w:r>
        <w:rPr>
          <w:rtl/>
        </w:rPr>
        <w:t xml:space="preserve">גורלו של אבי היה להיות איכר יהודי, אלמלא התמורות המדיניות ששטפו את רוסיה. בניסיונו הכושל להרגיע בכל רחבי המדינה את רוחות המהפכה הסוציאליסטית, הפקיע משטרו של הצאר ניקולאי השני את האחוזות הגדולות וחילק אותן בין האיכרים. אחוזתו של ר׳ </w:t>
      </w:r>
      <w:proofErr w:type="spellStart"/>
      <w:r>
        <w:rPr>
          <w:rtl/>
        </w:rPr>
        <w:t>שמואל־הירש</w:t>
      </w:r>
      <w:proofErr w:type="spellEnd"/>
      <w:r>
        <w:rPr>
          <w:rtl/>
        </w:rPr>
        <w:t xml:space="preserve"> </w:t>
      </w:r>
      <w:proofErr w:type="spellStart"/>
      <w:r>
        <w:rPr>
          <w:rtl/>
        </w:rPr>
        <w:t>קמינצקי</w:t>
      </w:r>
      <w:proofErr w:type="spellEnd"/>
      <w:r>
        <w:rPr>
          <w:rtl/>
        </w:rPr>
        <w:t xml:space="preserve"> נרשמה רישום פיקטיבי על שמו של </w:t>
      </w:r>
      <w:proofErr w:type="spellStart"/>
      <w:r>
        <w:rPr>
          <w:rtl/>
        </w:rPr>
        <w:t>נכרי</w:t>
      </w:r>
      <w:proofErr w:type="spellEnd"/>
      <w:r>
        <w:rPr>
          <w:rtl/>
        </w:rPr>
        <w:t xml:space="preserve"> ממוצא גרמני ששיתף עמו פעולה, </w:t>
      </w:r>
      <w:proofErr w:type="spellStart"/>
      <w:r>
        <w:rPr>
          <w:rtl/>
        </w:rPr>
        <w:t>שמידט</w:t>
      </w:r>
      <w:proofErr w:type="spellEnd"/>
      <w:r>
        <w:rPr>
          <w:rtl/>
        </w:rPr>
        <w:t xml:space="preserve"> שמו, משום שחוקי רוסיה אסרו על יהודי להחזיק בקרקע. גם היא הייתה בין </w:t>
      </w:r>
      <w:r>
        <w:rPr>
          <w:rtl/>
        </w:rPr>
        <w:lastRenderedPageBreak/>
        <w:t xml:space="preserve">האחוזות שהופקעו. האחוזה המקוצצת לא נזקקה עוד לידיים הנוספות של הנער </w:t>
      </w:r>
      <w:proofErr w:type="spellStart"/>
      <w:r>
        <w:rPr>
          <w:rtl/>
        </w:rPr>
        <w:t>מדולהינוב</w:t>
      </w:r>
      <w:proofErr w:type="spellEnd"/>
      <w:r>
        <w:rPr>
          <w:rtl/>
        </w:rPr>
        <w:t xml:space="preserve">, ולכן שלח </w:t>
      </w:r>
      <w:proofErr w:type="spellStart"/>
      <w:r>
        <w:rPr>
          <w:rtl/>
        </w:rPr>
        <w:t>ישראל־יצחק</w:t>
      </w:r>
      <w:proofErr w:type="spellEnd"/>
      <w:r>
        <w:rPr>
          <w:rtl/>
        </w:rPr>
        <w:t xml:space="preserve"> את אחיינו בחזרה להוריו – בדיוק בשעה שר׳ </w:t>
      </w:r>
      <w:proofErr w:type="spellStart"/>
      <w:r>
        <w:rPr>
          <w:rtl/>
        </w:rPr>
        <w:t>שמואל־הירש</w:t>
      </w:r>
      <w:proofErr w:type="spellEnd"/>
      <w:r>
        <w:rPr>
          <w:rtl/>
        </w:rPr>
        <w:t xml:space="preserve"> עצמו החל להשתעשע במחשבה לעזוב את החווה ולעבור למינסק.</w:t>
      </w:r>
    </w:p>
    <w:p w14:paraId="18D5165A" w14:textId="77777777" w:rsidR="00AB3647" w:rsidRDefault="00000000" w:rsidP="007923E9">
      <w:pPr>
        <w:spacing w:after="100" w:line="276" w:lineRule="auto"/>
        <w:ind w:firstLine="340"/>
        <w:jc w:val="both"/>
      </w:pPr>
      <w:r>
        <w:rPr>
          <w:rtl/>
        </w:rPr>
        <w:t xml:space="preserve">עם תפנית זו באו לקצם בשנת תרס״ב ימי השפע של ר׳ בנימין </w:t>
      </w:r>
      <w:proofErr w:type="spellStart"/>
      <w:r>
        <w:rPr>
          <w:rtl/>
        </w:rPr>
        <w:t>ועטיל</w:t>
      </w:r>
      <w:proofErr w:type="spellEnd"/>
      <w:r>
        <w:rPr>
          <w:rtl/>
        </w:rPr>
        <w:t xml:space="preserve">, שהשתייכו עד אז למעמד </w:t>
      </w:r>
      <w:proofErr w:type="spellStart"/>
      <w:r>
        <w:rPr>
          <w:rtl/>
        </w:rPr>
        <w:t>הבינוני־הגבוה</w:t>
      </w:r>
      <w:proofErr w:type="spellEnd"/>
      <w:r>
        <w:rPr>
          <w:rtl/>
        </w:rPr>
        <w:t xml:space="preserve">. ההכנסה הקטנה שהצליח ר׳ בנימין להשיג </w:t>
      </w:r>
      <w:proofErr w:type="spellStart"/>
      <w:r>
        <w:rPr>
          <w:rtl/>
        </w:rPr>
        <w:t>בדולהינוב</w:t>
      </w:r>
      <w:proofErr w:type="spellEnd"/>
      <w:r>
        <w:rPr>
          <w:rtl/>
        </w:rPr>
        <w:t xml:space="preserve"> בכוחות עצמו לא הספיקה לפרנס את משפחתו, </w:t>
      </w:r>
      <w:proofErr w:type="spellStart"/>
      <w:r>
        <w:rPr>
          <w:rtl/>
        </w:rPr>
        <w:t>ועטיל</w:t>
      </w:r>
      <w:proofErr w:type="spellEnd"/>
      <w:r>
        <w:rPr>
          <w:rtl/>
        </w:rPr>
        <w:t xml:space="preserve">, “אשת חיל”, החלה לשאת יותר ויותר בעול הפרנסה. היא עבדה כמבשלת אצל משפחות אמידות יותר, ואילו בעלה בילה את זמנו בלימוד </w:t>
      </w:r>
      <w:proofErr w:type="spellStart"/>
      <w:r>
        <w:rPr>
          <w:rtl/>
        </w:rPr>
        <w:t>בקלויז</w:t>
      </w:r>
      <w:proofErr w:type="spellEnd"/>
      <w:r>
        <w:rPr>
          <w:rtl/>
        </w:rPr>
        <w:t xml:space="preserve"> ובעיסוק בצרכי ציבור בהתנדבות. הילדים גדלו, ועד מהרה לא היה די מזון להעלות על השולחן.</w:t>
      </w:r>
    </w:p>
    <w:p w14:paraId="41C72ACD" w14:textId="77777777" w:rsidR="00AB3647" w:rsidRDefault="00000000" w:rsidP="007923E9">
      <w:pPr>
        <w:spacing w:after="100" w:line="276" w:lineRule="auto"/>
        <w:ind w:firstLine="340"/>
        <w:jc w:val="both"/>
      </w:pPr>
      <w:r>
        <w:rPr>
          <w:rtl/>
        </w:rPr>
        <w:t xml:space="preserve">ר׳ בנימין </w:t>
      </w:r>
      <w:proofErr w:type="spellStart"/>
      <w:r>
        <w:rPr>
          <w:rtl/>
        </w:rPr>
        <w:t>ועטיל</w:t>
      </w:r>
      <w:proofErr w:type="spellEnd"/>
      <w:r>
        <w:rPr>
          <w:rtl/>
        </w:rPr>
        <w:t xml:space="preserve"> נאלצו להכריע בעניין בנם השני, עכשיו שהאפשרות ללכת בעקבות סבו ולהיות איכר כבר לא הייתה קיימת. האם לשלוח את יעקב שלהם לחפש עבודה בשנה הבאה, כשיגיע לגיל </w:t>
      </w:r>
      <w:proofErr w:type="spellStart"/>
      <w:r>
        <w:rPr>
          <w:rtl/>
        </w:rPr>
        <w:t>שתים־עשרה</w:t>
      </w:r>
      <w:proofErr w:type="spellEnd"/>
      <w:r>
        <w:rPr>
          <w:rtl/>
        </w:rPr>
        <w:t xml:space="preserve"> – הגיל שבו יצאו נערים ממשפחות הפועלים </w:t>
      </w:r>
      <w:proofErr w:type="spellStart"/>
      <w:r>
        <w:rPr>
          <w:rtl/>
        </w:rPr>
        <w:t>בדולהינוב</w:t>
      </w:r>
      <w:proofErr w:type="spellEnd"/>
      <w:r>
        <w:rPr>
          <w:rtl/>
        </w:rPr>
        <w:t xml:space="preserve"> אל העולם להתפרנס – או שמא יש לו דרך טובה יותר? הוא ודאי הצטיין בלימודיו, ושקד על לימוד התורה בהתמדה כזו, שנראה היה כחטא לנתקו ממנו. אם ימשיך בלימוד התורה, אפשר שיגדל ויהיה לתלמיד חכם מפורסם, ואחר כך יישא אישה ממשפחה עשירה שתכניס אותו לעסקים.</w:t>
      </w:r>
    </w:p>
    <w:p w14:paraId="10C1C57B" w14:textId="77777777" w:rsidR="00AB3647" w:rsidRDefault="00000000" w:rsidP="007923E9">
      <w:pPr>
        <w:spacing w:after="100" w:line="276" w:lineRule="auto"/>
        <w:ind w:firstLine="340"/>
        <w:jc w:val="both"/>
      </w:pPr>
      <w:r>
        <w:rPr>
          <w:rtl/>
        </w:rPr>
        <w:t xml:space="preserve">“בנות עשירים המעוניינות להינשא לתלמידי חכמים מועטות כיום משהיו לפני עשרים שנה, אבל עדיין מרובות הן, ברוך השם”, שקלו ביניהם. “בננו יכול לצאת כמו בעלה של דבורה, ר׳ גרשון </w:t>
      </w:r>
      <w:proofErr w:type="spellStart"/>
      <w:r>
        <w:rPr>
          <w:rtl/>
        </w:rPr>
        <w:t>במדס</w:t>
      </w:r>
      <w:proofErr w:type="spellEnd"/>
      <w:r>
        <w:rPr>
          <w:rtl/>
        </w:rPr>
        <w:t xml:space="preserve">”, נימקו, “שהוא בקי כל כך בתורה, עד שרבה של מינסק מזמין אותו לפעמים לשבת כדיין בדיני תורה קשים, והוא גם איש עסקים עשיר. להשאיר את בננו בישיבה שלנו כאן </w:t>
      </w:r>
      <w:proofErr w:type="spellStart"/>
      <w:r>
        <w:rPr>
          <w:rtl/>
        </w:rPr>
        <w:t>בדולהינוב</w:t>
      </w:r>
      <w:proofErr w:type="spellEnd"/>
      <w:r>
        <w:rPr>
          <w:rtl/>
        </w:rPr>
        <w:t xml:space="preserve"> יהיה מעשה שאינו נבון, משתי סיבות ברורות. ראשית, תלמידים רבים כל כך עוזבים לישיבות אחרות, עד שהישיבה המקומית תיסגר ככל הנראה בעתיד הלא רחוק. ועוד, בעיר גדולה רבים יותר הסיכויים שתקוותינו לעתידו של בננו יתגשמו”.</w:t>
      </w:r>
    </w:p>
    <w:p w14:paraId="74C1AC57" w14:textId="77777777" w:rsidR="00AB3647" w:rsidRDefault="00000000" w:rsidP="007923E9">
      <w:pPr>
        <w:spacing w:after="100" w:line="276" w:lineRule="auto"/>
        <w:ind w:firstLine="340"/>
        <w:jc w:val="both"/>
      </w:pPr>
      <w:r>
        <w:rPr>
          <w:rtl/>
        </w:rPr>
        <w:t xml:space="preserve">נוסף על כך, מלמדי בנם רמזו להם שרמתו של הנער המחונן כבר עלתה על רמת לימוד התורה שעיירתם הקטנה יכולה להציע. “רק עיר גדולה יכולה לתת לבנכם את ההזדמנות לממש את מלוא כוחותיו”, אמרו. </w:t>
      </w:r>
      <w:proofErr w:type="spellStart"/>
      <w:r>
        <w:rPr>
          <w:rtl/>
        </w:rPr>
        <w:t>עטיל</w:t>
      </w:r>
      <w:proofErr w:type="spellEnd"/>
      <w:r>
        <w:rPr>
          <w:rtl/>
        </w:rPr>
        <w:t xml:space="preserve"> חזרה על הדימוי החביב עליה לבנה זה ואמרה: “</w:t>
      </w:r>
      <w:proofErr w:type="spellStart"/>
      <w:r>
        <w:rPr>
          <w:rtl/>
        </w:rPr>
        <w:t>בדולהינוב</w:t>
      </w:r>
      <w:proofErr w:type="spellEnd"/>
      <w:r>
        <w:rPr>
          <w:rtl/>
        </w:rPr>
        <w:t xml:space="preserve"> לא יבהיק התכשיט שלי”, וההחלטה נפלה: הבן יישלח למינסק, לאחת מישיבותיה הרבות. אם לא יהיה לו נוח לגור אצל קרובי משפחה מבני דורם של הוריו, יאכל ימים ויישן בבית מדרש, כשאר בחורי הישיבה. גם על אחיו הגדול, </w:t>
      </w:r>
      <w:proofErr w:type="spellStart"/>
      <w:r>
        <w:rPr>
          <w:rtl/>
        </w:rPr>
        <w:t>חיים־זרח</w:t>
      </w:r>
      <w:proofErr w:type="spellEnd"/>
      <w:r>
        <w:rPr>
          <w:rtl/>
        </w:rPr>
        <w:t xml:space="preserve"> – נשמה טובה – אפשר היה לסמוך שיעזור לפי הצורך.</w:t>
      </w:r>
    </w:p>
    <w:p w14:paraId="44FD6956" w14:textId="77777777" w:rsidR="00AB3647" w:rsidRDefault="00000000" w:rsidP="007923E9">
      <w:pPr>
        <w:spacing w:after="100" w:line="276" w:lineRule="auto"/>
        <w:ind w:firstLine="340"/>
        <w:jc w:val="both"/>
      </w:pPr>
      <w:r>
        <w:rPr>
          <w:rtl/>
        </w:rPr>
        <w:t xml:space="preserve">הפור נפל. נשלח מכתב </w:t>
      </w:r>
      <w:proofErr w:type="spellStart"/>
      <w:r>
        <w:rPr>
          <w:rtl/>
        </w:rPr>
        <w:t>לחיים־זרח</w:t>
      </w:r>
      <w:proofErr w:type="spellEnd"/>
      <w:r>
        <w:rPr>
          <w:rtl/>
        </w:rPr>
        <w:t xml:space="preserve"> שימתין לאחיו בתחנת הרכבת של מינסק כעבור שבועיים, שלושה ימים אחרי פסח. הוריו של אבי ארזו לו כמה פריטי לבוש, מעט כלי מיטה, זוג תפילין לכשיצטרך להתחיל להניחן לקראת בר המצווה שלו, וקצת מזון, ושלחו אותו בעגלה רתומה לסוס אל התחנה הקרובה של הרכבת המקומית הקטנה, </w:t>
      </w:r>
      <w:proofErr w:type="spellStart"/>
      <w:r>
        <w:rPr>
          <w:rtl/>
        </w:rPr>
        <w:t>בבודסלב</w:t>
      </w:r>
      <w:proofErr w:type="spellEnd"/>
      <w:r>
        <w:rPr>
          <w:rtl/>
        </w:rPr>
        <w:t xml:space="preserve">, במרחק כ־18 קילומטרים </w:t>
      </w:r>
      <w:proofErr w:type="spellStart"/>
      <w:r>
        <w:rPr>
          <w:rtl/>
        </w:rPr>
        <w:t>מדולהינוב</w:t>
      </w:r>
      <w:proofErr w:type="spellEnd"/>
      <w:r>
        <w:rPr>
          <w:rtl/>
        </w:rPr>
        <w:t>.</w:t>
      </w:r>
    </w:p>
    <w:p w14:paraId="48BED917" w14:textId="77777777" w:rsidR="00AB3647" w:rsidRDefault="00000000" w:rsidP="007923E9">
      <w:pPr>
        <w:spacing w:after="100" w:line="276" w:lineRule="auto"/>
        <w:ind w:firstLine="340"/>
        <w:jc w:val="both"/>
      </w:pPr>
      <w:proofErr w:type="spellStart"/>
      <w:r>
        <w:rPr>
          <w:rtl/>
        </w:rPr>
        <w:t>מבודסלב</w:t>
      </w:r>
      <w:proofErr w:type="spellEnd"/>
      <w:r>
        <w:rPr>
          <w:rtl/>
        </w:rPr>
        <w:t xml:space="preserve"> עלה אבי על רכבת לילה איטית לנסיעה של כ־48 קילומטרים </w:t>
      </w:r>
      <w:proofErr w:type="spellStart"/>
      <w:r>
        <w:rPr>
          <w:rtl/>
        </w:rPr>
        <w:t>למולודצ׳נו</w:t>
      </w:r>
      <w:proofErr w:type="spellEnd"/>
      <w:r>
        <w:rPr>
          <w:rtl/>
        </w:rPr>
        <w:t>, ושם עלה על רכבת בקו ריגה–וילנה–מינסק–</w:t>
      </w:r>
      <w:proofErr w:type="spellStart"/>
      <w:r>
        <w:rPr>
          <w:rtl/>
        </w:rPr>
        <w:t>קרמנצ׳וג</w:t>
      </w:r>
      <w:proofErr w:type="spellEnd"/>
      <w:r>
        <w:rPr>
          <w:rtl/>
        </w:rPr>
        <w:t xml:space="preserve">–אודסה, לעוד כ־80 קילומטרים עד מחוז </w:t>
      </w:r>
      <w:r>
        <w:rPr>
          <w:rtl/>
        </w:rPr>
        <w:lastRenderedPageBreak/>
        <w:t xml:space="preserve">חפצו. בגלל ההמתנות הארוכות בכל אחת מנקודות המעבר, היה בן </w:t>
      </w:r>
      <w:proofErr w:type="spellStart"/>
      <w:r>
        <w:rPr>
          <w:rtl/>
        </w:rPr>
        <w:t>האחת־עשרה</w:t>
      </w:r>
      <w:proofErr w:type="spellEnd"/>
      <w:r>
        <w:rPr>
          <w:rtl/>
        </w:rPr>
        <w:t xml:space="preserve"> מן העיירה הקטנה עייף מאוד כשהגיע למחרת אל המרשימה מבין שתי התחנות ששירתו את מינסק. בעיניים פקוחות לרווחה ראה שהמבנה הגדול, עשוי הלבנים, שהמה יהודים דוברי יידיש, מואר בדבר שלא ראה מעולם – חשמל. </w:t>
      </w:r>
      <w:proofErr w:type="spellStart"/>
      <w:r>
        <w:rPr>
          <w:rtl/>
        </w:rPr>
        <w:t>חיים־זרח</w:t>
      </w:r>
      <w:proofErr w:type="spellEnd"/>
      <w:r>
        <w:rPr>
          <w:rtl/>
        </w:rPr>
        <w:t xml:space="preserve"> שלה את הילד מתוך המון הנוסעים המגיעים, קיבל אותו בחיבוק ולקח אותו עם צרורותיו אל הרחוב הסואן, ושם עלו על </w:t>
      </w:r>
      <w:proofErr w:type="spellStart"/>
      <w:r>
        <w:rPr>
          <w:rtl/>
        </w:rPr>
        <w:t>הקונקה</w:t>
      </w:r>
      <w:proofErr w:type="spellEnd"/>
      <w:r>
        <w:rPr>
          <w:rtl/>
        </w:rPr>
        <w:t xml:space="preserve"> לנסיעה ברחובות העיר הגדולה אל חדרו של האח הגדול.</w:t>
      </w:r>
    </w:p>
    <w:p w14:paraId="5C9B20D2" w14:textId="77777777" w:rsidR="00AB3647" w:rsidRDefault="00000000" w:rsidP="007923E9">
      <w:pPr>
        <w:pStyle w:val="ae"/>
        <w:pageBreakBefore/>
        <w:spacing w:line="276" w:lineRule="auto"/>
      </w:pPr>
      <w:bookmarkStart w:id="132" w:name="text_chapter2"/>
      <w:r>
        <w:lastRenderedPageBreak/>
        <w:t>פרק שני</w:t>
      </w:r>
      <w:bookmarkEnd w:id="132"/>
    </w:p>
    <w:p w14:paraId="4646ED7C" w14:textId="77777777" w:rsidR="00AB3647" w:rsidRDefault="00000000" w:rsidP="007923E9">
      <w:pPr>
        <w:pStyle w:val="1"/>
        <w:spacing w:line="276" w:lineRule="auto"/>
      </w:pPr>
      <w:r>
        <w:t>העשור השני – א: מינסק</w:t>
      </w:r>
    </w:p>
    <w:p w14:paraId="2A1175AE" w14:textId="77777777" w:rsidR="00AB3647" w:rsidRDefault="00000000" w:rsidP="007923E9">
      <w:pPr>
        <w:pStyle w:val="2"/>
        <w:spacing w:line="276" w:lineRule="auto"/>
      </w:pPr>
      <w:r>
        <w:t>1.</w:t>
      </w:r>
    </w:p>
    <w:p w14:paraId="7ADC608F" w14:textId="77777777" w:rsidR="00AB3647" w:rsidRDefault="00000000" w:rsidP="007923E9">
      <w:pPr>
        <w:spacing w:after="100" w:line="276" w:lineRule="auto"/>
        <w:ind w:firstLine="340"/>
        <w:jc w:val="both"/>
      </w:pPr>
      <w:r>
        <w:rPr>
          <w:rtl/>
        </w:rPr>
        <w:t xml:space="preserve">מינסק שוכנת על כמה גבעות משני עברי נהר </w:t>
      </w:r>
      <w:proofErr w:type="spellStart"/>
      <w:r>
        <w:rPr>
          <w:rtl/>
        </w:rPr>
        <w:t>סביסלוץ</w:t>
      </w:r>
      <w:proofErr w:type="spellEnd"/>
      <w:r>
        <w:rPr>
          <w:rtl/>
        </w:rPr>
        <w:t xml:space="preserve">׳ המתפתל. לפי התעודות ההיסטוריות נוסדה העיר בסביבות שנת </w:t>
      </w:r>
      <w:proofErr w:type="spellStart"/>
      <w:r>
        <w:rPr>
          <w:rtl/>
        </w:rPr>
        <w:t>ה׳י</w:t>
      </w:r>
      <w:proofErr w:type="spellEnd"/>
      <w:r>
        <w:rPr>
          <w:rtl/>
        </w:rPr>
        <w:t xml:space="preserve">׳. יהודים ישבו בה מימי גירוש ספרד, כשהייתה בתחומי ממלכת ליטא. גם ממינסק לא נחסכו שריפות, והמוני </w:t>
      </w:r>
      <w:proofErr w:type="spellStart"/>
      <w:r>
        <w:rPr>
          <w:rtl/>
        </w:rPr>
        <w:t>הטטרים</w:t>
      </w:r>
      <w:proofErr w:type="spellEnd"/>
      <w:r>
        <w:rPr>
          <w:rtl/>
        </w:rPr>
        <w:t xml:space="preserve"> החריבוה בשנות </w:t>
      </w:r>
      <w:proofErr w:type="spellStart"/>
      <w:r>
        <w:rPr>
          <w:rtl/>
        </w:rPr>
        <w:t>ה׳ש</w:t>
      </w:r>
      <w:proofErr w:type="spellEnd"/>
      <w:r>
        <w:rPr>
          <w:rtl/>
        </w:rPr>
        <w:t>׳. בשנת שכ״ט, כשהתאחדו ממלכות ליטא ופולין, גברה התרבות הפולנית בעיר ובסביבותיה.</w:t>
      </w:r>
    </w:p>
    <w:p w14:paraId="737151AC" w14:textId="77777777" w:rsidR="00AB3647" w:rsidRDefault="00000000" w:rsidP="007923E9">
      <w:pPr>
        <w:spacing w:after="100" w:line="276" w:lineRule="auto"/>
        <w:ind w:firstLine="340"/>
        <w:jc w:val="both"/>
      </w:pPr>
      <w:r>
        <w:rPr>
          <w:rtl/>
        </w:rPr>
        <w:t xml:space="preserve">עם חלוקת פולין בין פרוסיה, אוסטריה ורוסיה בשנת תקנ״ג נפלה מינסק, יחד עם כל בלארוס, תחת שלטון הצאר, והוכרזה עיר בירה של פלך. מפקד שנערך כעבור מאה שנה הראה ש־300,000 מתוך כמעט חמישה מיליון היהודים שבגבולות רוסיה ישבו באותו פלך. אוכלוסיית העיר זינקה בשנות </w:t>
      </w:r>
      <w:proofErr w:type="spellStart"/>
      <w:r>
        <w:rPr>
          <w:rtl/>
        </w:rPr>
        <w:t>הת״ר־ל</w:t>
      </w:r>
      <w:proofErr w:type="spellEnd"/>
      <w:r>
        <w:rPr>
          <w:rtl/>
        </w:rPr>
        <w:t>׳, כשהופעת מסילת הברזל הפכה את מינסק למרכז תעשייה ולצומת של מסחר ארצי ובינלאומי. בשעה שהגיע לשם רבנו, מנתה האוכלוסייה היהודית של העיר יותר ממחצית 102,000 תושביה.</w:t>
      </w:r>
    </w:p>
    <w:p w14:paraId="5D5719E9" w14:textId="77777777" w:rsidR="00AB3647" w:rsidRDefault="00000000" w:rsidP="007923E9">
      <w:pPr>
        <w:spacing w:after="100" w:line="276" w:lineRule="auto"/>
        <w:ind w:firstLine="340"/>
        <w:jc w:val="both"/>
      </w:pPr>
      <w:r>
        <w:rPr>
          <w:rtl/>
        </w:rPr>
        <w:t xml:space="preserve">מינסק נודעה כעיר של תורה וגמילות חסדים. בשנות </w:t>
      </w:r>
      <w:proofErr w:type="spellStart"/>
      <w:r>
        <w:rPr>
          <w:rtl/>
        </w:rPr>
        <w:t>הת״ס</w:t>
      </w:r>
      <w:proofErr w:type="spellEnd"/>
      <w:r>
        <w:rPr>
          <w:rtl/>
        </w:rPr>
        <w:t xml:space="preserve"> היה רבה ר׳ לייב בעל התוספות, שכונה כך בשל בקיאותו המופלגת בכל התוספות שבש״ס. אחריו בא ר׳ יחיאל </w:t>
      </w:r>
      <w:proofErr w:type="spellStart"/>
      <w:r>
        <w:rPr>
          <w:rtl/>
        </w:rPr>
        <w:t>היילפרין</w:t>
      </w:r>
      <w:proofErr w:type="spellEnd"/>
      <w:r>
        <w:rPr>
          <w:rtl/>
        </w:rPr>
        <w:t xml:space="preserve"> הנערץ, מחבר החיבור ההיסטורי האנציקלופדי “סדר הדורות”, שכיהן ברבנות שלושים וחמש שנה.</w:t>
      </w:r>
    </w:p>
    <w:p w14:paraId="7189E52B" w14:textId="77777777" w:rsidR="00AB3647" w:rsidRDefault="00000000" w:rsidP="007923E9">
      <w:pPr>
        <w:spacing w:after="100" w:line="276" w:lineRule="auto"/>
        <w:ind w:firstLine="340"/>
        <w:jc w:val="both"/>
      </w:pPr>
      <w:r>
        <w:rPr>
          <w:rtl/>
        </w:rPr>
        <w:t xml:space="preserve">כשנתמנה נכדו הצעיר של ר׳ לייב בעל התוספות, הקרוי על שמו, לעמוד בראש ישיבה בעיר, הפכו בקיאותו יוצאת הדופן ושיטתו המיוחדת את מינסק למוקד של לימוד תורה בכל ליטא. העילוי הצעיר, ר׳ לייב </w:t>
      </w:r>
      <w:proofErr w:type="spellStart"/>
      <w:r>
        <w:rPr>
          <w:rtl/>
        </w:rPr>
        <w:t>גינצבורג</w:t>
      </w:r>
      <w:proofErr w:type="spellEnd"/>
      <w:r>
        <w:rPr>
          <w:rtl/>
        </w:rPr>
        <w:t>, לא יצא מעולם מארבע אמותיה של תורה, וזכה לכינוי “ר׳ לייב ראש ישיבה”. אבל מפני שחלק על רבות מהוראותיו של הרב, ר׳ יחיאל, נפער קרע שאין לאחותו בין הגאון הזקן לראש הישיבה הצעיר, והאחרון גורש מן העיר. אף על פי כן נתמנה במקומו תלמיד מובהק שלו, ר׳ רפאל רפפורט, ובכך הובטח מעמדה של מינסק כמרכז תורה מן המעלה הראשונה.</w:t>
      </w:r>
    </w:p>
    <w:p w14:paraId="5229A78B" w14:textId="77777777" w:rsidR="00AB3647" w:rsidRDefault="00000000" w:rsidP="007923E9">
      <w:pPr>
        <w:spacing w:after="100" w:line="276" w:lineRule="auto"/>
        <w:ind w:firstLine="340"/>
        <w:jc w:val="both"/>
      </w:pPr>
      <w:r>
        <w:rPr>
          <w:rtl/>
        </w:rPr>
        <w:t xml:space="preserve">למרות השינויים שחלו בחברה היהודית ברוסיה במאה וחצי שאחר כך, בשעה שהגיע אליה אבי עדיין היו בעיר המוני תלמידים הוגים בתורה ברבים מבתי המדרש שלה. נוסף על בני מינסק הרבים, אירחה העיר מספר גדול עוד יותר של צעירים מכל רחבי הפלך ומחוצה לו, שביקשו מקום נוח ללימוד תורה. גם </w:t>
      </w:r>
      <w:proofErr w:type="spellStart"/>
      <w:r>
        <w:rPr>
          <w:rtl/>
        </w:rPr>
        <w:t>הדולהינובר</w:t>
      </w:r>
      <w:proofErr w:type="spellEnd"/>
      <w:r>
        <w:rPr>
          <w:rtl/>
        </w:rPr>
        <w:t xml:space="preserve"> הצטרף לשורותיהם.</w:t>
      </w:r>
    </w:p>
    <w:p w14:paraId="230D6254" w14:textId="77777777" w:rsidR="00AB3647" w:rsidRDefault="00000000" w:rsidP="007923E9">
      <w:pPr>
        <w:spacing w:after="100" w:line="276" w:lineRule="auto"/>
        <w:ind w:firstLine="340"/>
        <w:jc w:val="both"/>
      </w:pPr>
      <w:r>
        <w:rPr>
          <w:rtl/>
        </w:rPr>
        <w:t xml:space="preserve">בדרך כלל שימש רב בית הכנסת שבו שכנה ישיבה גם ראש הישיבה של החבורה שלמדה בו. כמה ישיבות שכרו גם משגיח מיוחד, שישהה עם התלמידים כל היום. הקהילה דאגה </w:t>
      </w:r>
      <w:r>
        <w:rPr>
          <w:rtl/>
        </w:rPr>
        <w:lastRenderedPageBreak/>
        <w:t>בנדיבות לפרנסתם של בני התורה הצעירים: פתחה לפניהם את מטבחיה וחדרי האוכל שלה, וגם שילמה את משכורותיהם (הדלות) של מוריהם.</w:t>
      </w:r>
    </w:p>
    <w:p w14:paraId="5381FA65" w14:textId="77777777" w:rsidR="00AB3647" w:rsidRDefault="00000000" w:rsidP="007923E9">
      <w:pPr>
        <w:spacing w:after="100" w:line="276" w:lineRule="auto"/>
        <w:ind w:firstLine="340"/>
        <w:jc w:val="both"/>
      </w:pPr>
      <w:r>
        <w:rPr>
          <w:rtl/>
        </w:rPr>
        <w:t>בזמן הזה פנו חלקים רבים מיהדות מינסק עורף לשמירת המצוות, והמירו את נאמנותם ליהדות בנאמנות לסוציאליזם או לציונות, ולכן הכביד הנטל הכספי עוד יותר על הנאמנים שנותרו. אבל מפני שרבים מעשירי מינסק נשארו מסורים לתורה ולערכיה, לא נפגע מעמדה של העיר כמרכז ללימוד תורה.</w:t>
      </w:r>
    </w:p>
    <w:p w14:paraId="3C6FD247" w14:textId="77777777" w:rsidR="00AB3647" w:rsidRDefault="00000000" w:rsidP="007923E9">
      <w:pPr>
        <w:spacing w:after="100" w:line="276" w:lineRule="auto"/>
        <w:ind w:firstLine="340"/>
        <w:jc w:val="both"/>
      </w:pPr>
      <w:r>
        <w:rPr>
          <w:rtl/>
        </w:rPr>
        <w:t>ההערכה שרחשו בעלי הבתים הדתיים לתורה לא הצטמצמה לתמיכה בלימודה: תושבי מינסק היהודית עסקו בעצמם בלימוד תורה. מלבד האנשים הרבים שנשותיהם פרנסו אותם בשעה שלמדו בבית המדרש כל היום, היה מקובל בכל בלארוס שאנשי עסקים ובעלי מלאכה שומרי מצוות יקדישו שעות רבות ללימוד תורה בבית המדרש בתום יום העבודה.</w:t>
      </w:r>
    </w:p>
    <w:p w14:paraId="28E2C29D" w14:textId="77777777" w:rsidR="00AB3647" w:rsidRDefault="00000000" w:rsidP="007923E9">
      <w:pPr>
        <w:spacing w:after="100" w:line="276" w:lineRule="auto"/>
        <w:ind w:firstLine="340"/>
        <w:jc w:val="both"/>
      </w:pPr>
      <w:r>
        <w:rPr>
          <w:rtl/>
        </w:rPr>
        <w:t xml:space="preserve">מוסד לימודי אחד, הידוע בשם “החדר של ר׳ איסר”, היה מיוחד למינסק. ר׳ יהושע </w:t>
      </w:r>
      <w:proofErr w:type="spellStart"/>
      <w:r>
        <w:rPr>
          <w:rtl/>
        </w:rPr>
        <w:t xml:space="preserve">הלר</w:t>
      </w:r>
      <w:proofErr w:type="spellEnd"/>
      <w:r>
        <w:rPr>
          <w:rtl/>
        </w:rPr>
        <w:t xml:space="preserve"> ייסד אותו בשנת תרי״ח כדי להרבות ידיעת תורה בקרב פועלים חסרי השכלה תורנית. הוא נוסד </w:t>
      </w:r>
      <w:proofErr w:type="spellStart"/>
      <w:r>
        <w:rPr>
          <w:rtl/>
        </w:rPr>
        <w:t>ב“שול</w:t>
      </w:r>
      <w:proofErr w:type="spellEnd"/>
      <w:r>
        <w:rPr>
          <w:rtl/>
        </w:rPr>
        <w:t xml:space="preserve"> הבוץ”, בשכונה הענייה ביותר בעיר. השול עמד בחלק נמוך וביצתי של העיר, שרחובותיו היו שקועים בבוץ וכמעט בלתי עבירים בימי הגשמים – ומכאן שמו. שם מסר הרב, ר׳ איסר </w:t>
      </w:r>
      <w:proofErr w:type="spellStart"/>
      <w:r>
        <w:rPr>
          <w:rtl/>
        </w:rPr>
        <w:t>חכלוביץ</w:t>
      </w:r>
      <w:proofErr w:type="spellEnd"/>
      <w:r>
        <w:rPr>
          <w:rtl/>
        </w:rPr>
        <w:t>, שיעורים למאות פועלים, עד חצות הלילה בקיץ ולפני עלות השחר בחורף. בניגוד למשתתפים בחבורות הלימוד הרגילות של בעלי הבתים, נדרשו תלמידיו של ר׳ איסר להכין את חומר השיעור ולהיבחן עליו אחר כך.</w:t>
      </w:r>
    </w:p>
    <w:p w14:paraId="1E50CC31" w14:textId="77777777" w:rsidR="00AB3647" w:rsidRDefault="00000000" w:rsidP="007923E9">
      <w:pPr>
        <w:spacing w:after="100" w:line="276" w:lineRule="auto"/>
        <w:ind w:firstLine="340"/>
        <w:jc w:val="both"/>
      </w:pPr>
      <w:r>
        <w:rPr>
          <w:rtl/>
        </w:rPr>
        <w:t>ר׳ איסר ישב על כיסא גבוה על הבימה שבאמצע בית הכנסת, ואנשים מכל הגילים ישבו צפופים סביב סביב, ספרים בידיהם. שקט מוחלט שרר כשר׳ איסר קרא בקול רם וברור את הקטע שלימד. הוא היכה בידו על הסטנדר לאות לקהל לחזור במקהלה על המשנה, הגמרא או הסעיף בשולחן ערוך, ורק אז המשיך לקטע הבא. סיום נערך שנה אחר שנה, ורבים מתלמידי “החדר” נעשו לימים תלמידי חכמים מופלגים. נוכחותם של המוני בחורי הישיבות במינסק היא שהפכה את העיר כולה למרכז תורה תוסס.</w:t>
      </w:r>
    </w:p>
    <w:p w14:paraId="1CB62E66" w14:textId="77777777" w:rsidR="00AB3647" w:rsidRDefault="00000000" w:rsidP="007923E9">
      <w:pPr>
        <w:pStyle w:val="2"/>
        <w:spacing w:line="276" w:lineRule="auto"/>
      </w:pPr>
      <w:r>
        <w:t>2.</w:t>
      </w:r>
    </w:p>
    <w:p w14:paraId="141EB42F" w14:textId="77777777" w:rsidR="00AB3647" w:rsidRDefault="00000000" w:rsidP="007923E9">
      <w:pPr>
        <w:spacing w:after="100" w:line="276" w:lineRule="auto"/>
        <w:ind w:firstLine="340"/>
        <w:jc w:val="both"/>
      </w:pPr>
      <w:proofErr w:type="spellStart"/>
      <w:r>
        <w:rPr>
          <w:rtl/>
        </w:rPr>
        <w:t>חיים־זרח</w:t>
      </w:r>
      <w:proofErr w:type="spellEnd"/>
      <w:r>
        <w:rPr>
          <w:rtl/>
        </w:rPr>
        <w:t xml:space="preserve"> הראה לאחיו את החדר שבו התאכסן, והבחור שזה עתה הגיע הבין מיד שאינו גדול דיו לשני אנשים. לישון באחד מבתי המדרש היה פתרון אחרון, ולכן החליטו האחים לבקש מאחד מדודיהם מקום לינה לבחור הישיבה שזה עתה הגיע. אחרי מה שעבר על </w:t>
      </w:r>
      <w:proofErr w:type="spellStart"/>
      <w:r>
        <w:rPr>
          <w:rtl/>
        </w:rPr>
        <w:t>חיים־זרח</w:t>
      </w:r>
      <w:proofErr w:type="spellEnd"/>
      <w:r>
        <w:rPr>
          <w:rtl/>
        </w:rPr>
        <w:t xml:space="preserve">, ביתה של הדודה דבורה </w:t>
      </w:r>
      <w:proofErr w:type="spellStart"/>
      <w:r>
        <w:rPr>
          <w:rtl/>
        </w:rPr>
        <w:t>במדס</w:t>
      </w:r>
      <w:proofErr w:type="spellEnd"/>
      <w:r>
        <w:rPr>
          <w:rtl/>
        </w:rPr>
        <w:t xml:space="preserve"> לא בא בחשבון, ופנו אל הדוד </w:t>
      </w:r>
      <w:proofErr w:type="spellStart"/>
      <w:r>
        <w:rPr>
          <w:rtl/>
        </w:rPr>
        <w:t>אברהם־משה</w:t>
      </w:r>
      <w:proofErr w:type="spellEnd"/>
      <w:r>
        <w:rPr>
          <w:rtl/>
        </w:rPr>
        <w:t xml:space="preserve">. הוא ואשתו </w:t>
      </w:r>
      <w:proofErr w:type="spellStart"/>
      <w:r>
        <w:rPr>
          <w:rtl/>
        </w:rPr>
        <w:t>עטיל</w:t>
      </w:r>
      <w:proofErr w:type="spellEnd"/>
      <w:r>
        <w:rPr>
          <w:rtl/>
        </w:rPr>
        <w:t xml:space="preserve"> – שני בניהם, לייזר ואהרן, היו בערך בגילו של רבנו – שמחו לתת לאחיינם מקום שינה בגומחה שליד פרוזדור בביתם.</w:t>
      </w:r>
    </w:p>
    <w:p w14:paraId="78F31A3B" w14:textId="77777777" w:rsidR="00AB3647" w:rsidRDefault="00000000" w:rsidP="007923E9">
      <w:pPr>
        <w:spacing w:after="100" w:line="276" w:lineRule="auto"/>
        <w:ind w:firstLine="340"/>
        <w:jc w:val="both"/>
      </w:pPr>
      <w:r>
        <w:rPr>
          <w:rtl/>
        </w:rPr>
        <w:t xml:space="preserve">משהוסדר עניין זה, הלך הבא החדש, שהשתוקק להתחיל בלימודיו, אל שול הכובענים שברחוב </w:t>
      </w:r>
      <w:proofErr w:type="spellStart"/>
      <w:r>
        <w:rPr>
          <w:rtl/>
        </w:rPr>
        <w:t>יטקובר</w:t>
      </w:r>
      <w:proofErr w:type="spellEnd"/>
      <w:r>
        <w:rPr>
          <w:rtl/>
        </w:rPr>
        <w:t xml:space="preserve">, ששכנה בו ישיבה לנערים בני גילו, כדי להיבחן בבחינת הקבלה אצל רב השול וראש הישיבה שבו, ר׳ ראובן </w:t>
      </w:r>
      <w:proofErr w:type="spellStart"/>
      <w:r>
        <w:rPr>
          <w:rtl/>
        </w:rPr>
        <w:t>יודקובסקי</w:t>
      </w:r>
      <w:proofErr w:type="spellEnd"/>
      <w:r>
        <w:rPr>
          <w:rtl/>
        </w:rPr>
        <w:t>.</w:t>
      </w:r>
    </w:p>
    <w:p w14:paraId="21423B40" w14:textId="77777777" w:rsidR="00AB3647" w:rsidRDefault="00000000" w:rsidP="007923E9">
      <w:pPr>
        <w:spacing w:after="100" w:line="276" w:lineRule="auto"/>
        <w:ind w:firstLine="340"/>
        <w:jc w:val="both"/>
      </w:pPr>
      <w:r>
        <w:rPr>
          <w:rtl/>
        </w:rPr>
        <w:lastRenderedPageBreak/>
        <w:t xml:space="preserve">ר׳ ראובן הושיב לפניו את המבקשים להתקבל לזמן הקיץ. הוא שאל כל אחד איזו מסכת למד בחורף, ואחר כך הציג לכל צעיר בתורו שאלה במסכת שלמד זה עתה. כשאחד המבקשים לא הצליח להוכיח מן המסכת שלמד, מסכת קידושין, מי מבין אב ורב קודם בכבוד, אמר אבי שהוא יכול להוכיח זאת ממסכת שלמד הוא, בבא מציעא. די היה בכך לשכנע את הרב שהנער </w:t>
      </w:r>
      <w:proofErr w:type="spellStart"/>
      <w:r>
        <w:rPr>
          <w:rtl/>
        </w:rPr>
        <w:t>הדולהינובר</w:t>
      </w:r>
      <w:proofErr w:type="spellEnd"/>
      <w:r>
        <w:rPr>
          <w:rtl/>
        </w:rPr>
        <w:t xml:space="preserve"> ראוי להתקבל לישיבתו. אבי הצטרף לשאר הנערים הצעירים בישיבת שול הכובענים והחל ללמוד בשקידתו הרגילה, ולא עשה דבר כדי להתהדר בכישרונותיו המעולים.</w:t>
      </w:r>
    </w:p>
    <w:p w14:paraId="04E7DCCC" w14:textId="77777777" w:rsidR="00AB3647" w:rsidRDefault="00000000" w:rsidP="007923E9">
      <w:pPr>
        <w:spacing w:after="100" w:line="276" w:lineRule="auto"/>
        <w:ind w:firstLine="340"/>
        <w:jc w:val="both"/>
      </w:pPr>
      <w:r>
        <w:rPr>
          <w:rtl/>
        </w:rPr>
        <w:t xml:space="preserve">בתקופה זו קיבל את מזונותיו מקרוביו, מלבד </w:t>
      </w:r>
      <w:proofErr w:type="spellStart"/>
      <w:r>
        <w:rPr>
          <w:rtl/>
        </w:rPr>
        <w:t>ה“טעג</w:t>
      </w:r>
      <w:proofErr w:type="spellEnd"/>
      <w:r>
        <w:rPr>
          <w:rtl/>
        </w:rPr>
        <w:t xml:space="preserve">” שקבע לו הרב בבתי יהודים יראי שמים. כפי שציפו הוריו, השלים </w:t>
      </w:r>
      <w:proofErr w:type="spellStart"/>
      <w:r>
        <w:rPr>
          <w:rtl/>
        </w:rPr>
        <w:t>חיים־זרח</w:t>
      </w:r>
      <w:proofErr w:type="spellEnd"/>
      <w:r>
        <w:rPr>
          <w:rtl/>
        </w:rPr>
        <w:t xml:space="preserve"> את צורכי אחיו במתנות של כסף קטן. אבל סידורי הלינה של אבי, אף שהיו נסבלים, לא היו משביעי רצון. בני דודו, שבינתיים עזבו את הישיבה כדי ללמוד בבית ספר חילוני, הפריעו לו כשנאלצו לעבור בפרוזדור, שהיה פינת השינה שלו, כדי להגיע לחדרם. אבי, שהיה אורח בביתם, לא יכול היה למחות, אבל עשה עמם “עסקה”: לייזר ואהרן יפצו אותו בכך שירשו לו לקרוא בספריהם הרוסיים בשעות הפנאי שלו.</w:t>
      </w:r>
    </w:p>
    <w:p w14:paraId="4E0E29B8" w14:textId="77777777" w:rsidR="00AB3647" w:rsidRDefault="00000000" w:rsidP="007923E9">
      <w:pPr>
        <w:spacing w:after="100" w:line="276" w:lineRule="auto"/>
        <w:ind w:firstLine="340"/>
        <w:jc w:val="both"/>
      </w:pPr>
      <w:proofErr w:type="spellStart"/>
      <w:r>
        <w:rPr>
          <w:rtl/>
        </w:rPr>
        <w:t>חיים־זרח</w:t>
      </w:r>
      <w:proofErr w:type="spellEnd"/>
      <w:r>
        <w:rPr>
          <w:rtl/>
        </w:rPr>
        <w:t xml:space="preserve"> לקח את אחיו הצעיר לסיור בכמה ממוסדות הצדקה השונים שבעיר, ובהם שניים שמעסיקיו היו מעורבים בהם במידה רבה. הוא הראה לו את בית החולים היהודי בן 250 המיטות, שהחברה שבה עבד סיפקה לו תרופות תמורת תשלום סמלי, וסיפר לו כיצד החברה שבה עבד מקצה תכשירי רפואה חינם לחולים העניים.</w:t>
      </w:r>
    </w:p>
    <w:p w14:paraId="106346BF" w14:textId="77777777" w:rsidR="00AB3647" w:rsidRDefault="00000000" w:rsidP="007923E9">
      <w:pPr>
        <w:spacing w:after="100" w:line="276" w:lineRule="auto"/>
        <w:ind w:firstLine="340"/>
        <w:jc w:val="both"/>
      </w:pPr>
      <w:r>
        <w:rPr>
          <w:rtl/>
        </w:rPr>
        <w:t xml:space="preserve">בבוקר שבת אחד לקח את אבי אל “המטבח הזול” שברחוב </w:t>
      </w:r>
      <w:proofErr w:type="spellStart"/>
      <w:r>
        <w:rPr>
          <w:rtl/>
        </w:rPr>
        <w:t>רקובסקאיה</w:t>
      </w:r>
      <w:proofErr w:type="spellEnd"/>
      <w:r>
        <w:rPr>
          <w:rtl/>
        </w:rPr>
        <w:t xml:space="preserve">. שם קיבלו מרודים בימות החול פרוסת לחם שחור וצלחת מרק תמורת שתי </w:t>
      </w:r>
      <w:proofErr w:type="spellStart"/>
      <w:r>
        <w:rPr>
          <w:rtl/>
        </w:rPr>
        <w:t>קופיקות</w:t>
      </w:r>
      <w:proofErr w:type="spellEnd"/>
      <w:r>
        <w:rPr>
          <w:rtl/>
        </w:rPr>
        <w:t xml:space="preserve">, וחתיכת בשר במרק תמורת </w:t>
      </w:r>
      <w:proofErr w:type="spellStart"/>
      <w:r>
        <w:rPr>
          <w:rtl/>
        </w:rPr>
        <w:t>קופיקה</w:t>
      </w:r>
      <w:proofErr w:type="spellEnd"/>
      <w:r>
        <w:rPr>
          <w:rtl/>
        </w:rPr>
        <w:t xml:space="preserve"> נוספת, ובשבת קיבלו מאכלי שבת מיוחדים. מעסיקו של </w:t>
      </w:r>
      <w:proofErr w:type="spellStart"/>
      <w:r>
        <w:rPr>
          <w:rtl/>
        </w:rPr>
        <w:t>חיים־זרח</w:t>
      </w:r>
      <w:proofErr w:type="spellEnd"/>
      <w:r>
        <w:rPr>
          <w:rtl/>
        </w:rPr>
        <w:t xml:space="preserve">, </w:t>
      </w:r>
      <w:proofErr w:type="spellStart"/>
      <w:r>
        <w:rPr>
          <w:rtl/>
        </w:rPr>
        <w:t>דב־בער</w:t>
      </w:r>
      <w:proofErr w:type="spellEnd"/>
      <w:r>
        <w:rPr>
          <w:rtl/>
        </w:rPr>
        <w:t xml:space="preserve"> גולדברג, היה מן התורמים העיקריים למוסד צדקה זה. אחרי גמר התפילה בבית הכנסת הגדול היה סר לשם עם אשתו עטורת התכשיטים, בדרכם הביתה. הגבירה הייתה ניגשת עם תרווד אל דוד הטשולנט לטעום טעימה עדינה, ועגיליה המשתלשלים נצצו כשהנהנה בראשה לאות הסכמה – להראות לבעלה שהיא מרוצה מכך שהמזון שמקבלים האומללים מזין וטעים.</w:t>
      </w:r>
    </w:p>
    <w:p w14:paraId="4B9DCB21" w14:textId="77777777" w:rsidR="00AB3647" w:rsidRDefault="00000000" w:rsidP="007923E9">
      <w:pPr>
        <w:spacing w:after="100" w:line="276" w:lineRule="auto"/>
        <w:ind w:firstLine="340"/>
        <w:jc w:val="both"/>
      </w:pPr>
      <w:r>
        <w:rPr>
          <w:rtl/>
        </w:rPr>
        <w:t xml:space="preserve">עד מהרה הבין אבי שהוא מקדים את חבריו בישיבת שול הכובענים, והחליט לעבור לישיבה אחרת, בשול </w:t>
      </w:r>
      <w:proofErr w:type="spellStart"/>
      <w:r>
        <w:rPr>
          <w:rtl/>
        </w:rPr>
        <w:t>טטרשה</w:t>
      </w:r>
      <w:proofErr w:type="spellEnd"/>
      <w:r>
        <w:rPr>
          <w:rtl/>
        </w:rPr>
        <w:t xml:space="preserve"> שברחוב </w:t>
      </w:r>
      <w:proofErr w:type="spellStart"/>
      <w:r>
        <w:rPr>
          <w:rtl/>
        </w:rPr>
        <w:t>טטרשה</w:t>
      </w:r>
      <w:proofErr w:type="spellEnd"/>
      <w:r>
        <w:rPr>
          <w:rtl/>
        </w:rPr>
        <w:t>. בישיבה החדשה שבחר איש לא עקב אחר התקדמותו בלימודים ואיש לא הדריך אותו בהתפתחותו, אבל הוא אהב את עצמאותו, ונשאר שם זמן רב יותר מאשר בישיבה הקודמת ובשתי הישיבות שאחריה.</w:t>
      </w:r>
    </w:p>
    <w:p w14:paraId="7F867E3C" w14:textId="77777777" w:rsidR="00AB3647" w:rsidRDefault="00000000" w:rsidP="007923E9">
      <w:pPr>
        <w:spacing w:after="100" w:line="276" w:lineRule="auto"/>
        <w:ind w:firstLine="340"/>
        <w:jc w:val="both"/>
      </w:pPr>
      <w:r>
        <w:rPr>
          <w:rtl/>
        </w:rPr>
        <w:t xml:space="preserve">דודו </w:t>
      </w:r>
      <w:proofErr w:type="spellStart"/>
      <w:r>
        <w:rPr>
          <w:rtl/>
        </w:rPr>
        <w:t>אברהם־משה</w:t>
      </w:r>
      <w:proofErr w:type="spellEnd"/>
      <w:r>
        <w:rPr>
          <w:rtl/>
        </w:rPr>
        <w:t xml:space="preserve"> ניסה לשכנעו שבגיל </w:t>
      </w:r>
      <w:proofErr w:type="spellStart"/>
      <w:r>
        <w:rPr>
          <w:rtl/>
        </w:rPr>
        <w:t>שתים־עשרה</w:t>
      </w:r>
      <w:proofErr w:type="spellEnd"/>
      <w:r>
        <w:rPr>
          <w:rtl/>
        </w:rPr>
        <w:t xml:space="preserve"> הגיעה העת שיפסיק ללמוד תורה ויפנה לדבר מעשי יותר, כפי שעשו בניו. כשרמז לו הדוד שלא יהיה עוד רצוי בביתו אם לא ישמע לעצת המארח, עזב אבי את הבית והחל לישון על רצפת שול </w:t>
      </w:r>
      <w:proofErr w:type="spellStart"/>
      <w:r>
        <w:rPr>
          <w:rtl/>
        </w:rPr>
        <w:t>טטרשה</w:t>
      </w:r>
      <w:proofErr w:type="spellEnd"/>
      <w:r>
        <w:rPr>
          <w:rtl/>
        </w:rPr>
        <w:t xml:space="preserve">. </w:t>
      </w:r>
      <w:proofErr w:type="spellStart"/>
      <w:r>
        <w:rPr>
          <w:rtl/>
        </w:rPr>
        <w:t>אברהם־משה</w:t>
      </w:r>
      <w:proofErr w:type="spellEnd"/>
      <w:r>
        <w:rPr>
          <w:rtl/>
        </w:rPr>
        <w:t xml:space="preserve"> השתכנע עתה שאחיינו החליט בתוקף להישאר בישיבה, והפציר בו שישוב לביתו, והנער שב.</w:t>
      </w:r>
    </w:p>
    <w:p w14:paraId="65A5CE6A" w14:textId="77777777" w:rsidR="00AB3647" w:rsidRDefault="00000000" w:rsidP="007923E9">
      <w:pPr>
        <w:spacing w:after="100" w:line="276" w:lineRule="auto"/>
        <w:ind w:firstLine="340"/>
        <w:jc w:val="both"/>
      </w:pPr>
      <w:r>
        <w:rPr>
          <w:rtl/>
        </w:rPr>
        <w:t xml:space="preserve">אחרי כמעט שנה שלמה בשול </w:t>
      </w:r>
      <w:proofErr w:type="spellStart"/>
      <w:r>
        <w:rPr>
          <w:rtl/>
        </w:rPr>
        <w:t>טטרשה</w:t>
      </w:r>
      <w:proofErr w:type="spellEnd"/>
      <w:r>
        <w:rPr>
          <w:rtl/>
        </w:rPr>
        <w:t xml:space="preserve"> עבר הנער הצעיר לישיבה נוספת, בשול “משכיל לאיתן”. הוא למד שם אצל ר׳ שלמה </w:t>
      </w:r>
      <w:proofErr w:type="spellStart"/>
      <w:r>
        <w:rPr>
          <w:rtl/>
        </w:rPr>
        <w:t>גולובנצ׳יץ</w:t>
      </w:r>
      <w:proofErr w:type="spellEnd"/>
      <w:r>
        <w:rPr>
          <w:rtl/>
        </w:rPr>
        <w:t xml:space="preserve">, גיסו של רבו הראשון במינסק, ר׳ ראובן </w:t>
      </w:r>
      <w:proofErr w:type="spellStart"/>
      <w:r>
        <w:rPr>
          <w:rtl/>
        </w:rPr>
        <w:t>יודקובסקי</w:t>
      </w:r>
      <w:proofErr w:type="spellEnd"/>
      <w:r>
        <w:rPr>
          <w:rtl/>
        </w:rPr>
        <w:t>, וכשעברה הישיבה יחד עם רבה לבית המדרש הקטן שבחצר בית הכנסת, עבר עמה.</w:t>
      </w:r>
    </w:p>
    <w:p w14:paraId="24EC93D9" w14:textId="77777777" w:rsidR="00AB3647" w:rsidRDefault="00000000" w:rsidP="007923E9">
      <w:pPr>
        <w:spacing w:after="100" w:line="276" w:lineRule="auto"/>
        <w:ind w:firstLine="340"/>
        <w:jc w:val="both"/>
      </w:pPr>
      <w:r>
        <w:rPr>
          <w:rtl/>
        </w:rPr>
        <w:lastRenderedPageBreak/>
        <w:t xml:space="preserve">מתוך סקרנותו הטבעית עבר על כל הספרים שבספריית שול “משכיל לאיתן” לפני שעזב, ונתקל בכרך של דרשות לבר מצווה. הוא חשב שיזדקק לדרשה לבר המצווה שלו, שחלה בעוד שבעה חודשים, ולכן שינן בעל פה אחת מן הדרשות הנדפסות. הוא למד אצל ר׳ שלמה בזמן הקיץ, לפני שהחליט לעבור לישיבה נוספת </w:t>
      </w:r>
      <w:proofErr w:type="spellStart"/>
      <w:r>
        <w:rPr>
          <w:rtl/>
        </w:rPr>
        <w:t>בשולהויף</w:t>
      </w:r>
      <w:proofErr w:type="spellEnd"/>
      <w:r>
        <w:rPr>
          <w:rtl/>
        </w:rPr>
        <w:t xml:space="preserve">, </w:t>
      </w:r>
      <w:proofErr w:type="spellStart"/>
      <w:r>
        <w:rPr>
          <w:rtl/>
        </w:rPr>
        <w:t>הקלויז</w:t>
      </w:r>
      <w:proofErr w:type="spellEnd"/>
      <w:r>
        <w:rPr>
          <w:rtl/>
        </w:rPr>
        <w:t xml:space="preserve"> של </w:t>
      </w:r>
      <w:proofErr w:type="spellStart"/>
      <w:r>
        <w:rPr>
          <w:rtl/>
        </w:rPr>
        <w:t>בלומקה</w:t>
      </w:r>
      <w:proofErr w:type="spellEnd"/>
      <w:r>
        <w:rPr>
          <w:rtl/>
        </w:rPr>
        <w:t xml:space="preserve"> הנודע.</w:t>
      </w:r>
    </w:p>
    <w:p w14:paraId="22F0AF6B" w14:textId="77777777" w:rsidR="00AB3647" w:rsidRDefault="00000000" w:rsidP="007923E9">
      <w:pPr>
        <w:spacing w:after="100" w:line="276" w:lineRule="auto"/>
        <w:ind w:firstLine="340"/>
        <w:jc w:val="both"/>
      </w:pPr>
      <w:proofErr w:type="spellStart"/>
      <w:r>
        <w:rPr>
          <w:rtl/>
        </w:rPr>
        <w:t>בלומקה</w:t>
      </w:r>
      <w:proofErr w:type="spellEnd"/>
      <w:r>
        <w:rPr>
          <w:rtl/>
        </w:rPr>
        <w:t xml:space="preserve"> </w:t>
      </w:r>
      <w:proofErr w:type="spellStart"/>
      <w:r>
        <w:rPr>
          <w:rtl/>
        </w:rPr>
        <w:t>וילנקין</w:t>
      </w:r>
      <w:proofErr w:type="spellEnd"/>
      <w:r>
        <w:rPr>
          <w:rtl/>
        </w:rPr>
        <w:t xml:space="preserve">, תושבת מינסק עשירה, תמכה בר׳ לייב ראש ישיבה אחרי שהקהילה הפסיקה את משכורתו בגלל מחלוקתו עם הרב. לפני שעזב החכם את העיר לצמיתות, בירך את </w:t>
      </w:r>
      <w:proofErr w:type="spellStart"/>
      <w:r>
        <w:rPr>
          <w:rtl/>
        </w:rPr>
        <w:t>בלומקה</w:t>
      </w:r>
      <w:proofErr w:type="spellEnd"/>
      <w:r>
        <w:rPr>
          <w:rtl/>
        </w:rPr>
        <w:t xml:space="preserve"> שתזכה לשתי טובות: שעירה מינסק תזכה לרב הגון, ושתשב בארץ ישראל יום אחד.</w:t>
      </w:r>
    </w:p>
    <w:p w14:paraId="06866F92" w14:textId="77777777" w:rsidR="00AB3647" w:rsidRDefault="00000000" w:rsidP="007923E9">
      <w:pPr>
        <w:spacing w:after="100" w:line="276" w:lineRule="auto"/>
        <w:ind w:firstLine="340"/>
        <w:jc w:val="both"/>
      </w:pPr>
      <w:r>
        <w:rPr>
          <w:rtl/>
        </w:rPr>
        <w:t xml:space="preserve">שנים רבות אחר כך, כששקלה הגבירה לעלות לארץ ישראל, אמר לה מי שהיה רב העיר באותה עת שתוכל לזכות </w:t>
      </w:r>
      <w:proofErr w:type="spellStart"/>
      <w:r>
        <w:rPr>
          <w:rtl/>
        </w:rPr>
        <w:t>ב“ארץ</w:t>
      </w:r>
      <w:proofErr w:type="spellEnd"/>
      <w:r>
        <w:rPr>
          <w:rtl/>
        </w:rPr>
        <w:t xml:space="preserve"> ישראל” </w:t>
      </w:r>
      <w:r>
        <w:rPr>
          <w:b/>
          <w:bCs/>
          <w:rtl/>
        </w:rPr>
        <w:t>בתוך</w:t>
      </w:r>
      <w:r>
        <w:rPr>
          <w:rtl/>
        </w:rPr>
        <w:t xml:space="preserve"> מינסק אם תבנה שם שול. היא קיבלה את הצעתו ובנתה את </w:t>
      </w:r>
      <w:proofErr w:type="spellStart"/>
      <w:r>
        <w:rPr>
          <w:rtl/>
        </w:rPr>
        <w:t>הקלויז</w:t>
      </w:r>
      <w:proofErr w:type="spellEnd"/>
      <w:r>
        <w:rPr>
          <w:rtl/>
        </w:rPr>
        <w:t xml:space="preserve">, שנעשה לימים לשם דבר בעולם התורה, ויצאו ממנו מאות בני תורה ועשרות תלמידי חכמים גדולים. בימי זוהרה של ישיבת </w:t>
      </w:r>
      <w:proofErr w:type="spellStart"/>
      <w:r>
        <w:rPr>
          <w:rtl/>
        </w:rPr>
        <w:t>וולוז׳ין</w:t>
      </w:r>
      <w:proofErr w:type="spellEnd"/>
      <w:r>
        <w:rPr>
          <w:rtl/>
        </w:rPr>
        <w:t xml:space="preserve"> הגדולה, “עץ חיים”, שימש </w:t>
      </w:r>
      <w:proofErr w:type="spellStart"/>
      <w:r>
        <w:rPr>
          <w:rtl/>
        </w:rPr>
        <w:t>הקלויז</w:t>
      </w:r>
      <w:proofErr w:type="spellEnd"/>
      <w:r>
        <w:rPr>
          <w:rtl/>
        </w:rPr>
        <w:t xml:space="preserve"> של </w:t>
      </w:r>
      <w:proofErr w:type="spellStart"/>
      <w:r>
        <w:rPr>
          <w:rtl/>
        </w:rPr>
        <w:t>בלומקה</w:t>
      </w:r>
      <w:proofErr w:type="spellEnd"/>
      <w:r>
        <w:rPr>
          <w:rtl/>
        </w:rPr>
        <w:t xml:space="preserve"> מכינה לקראתה. שמה של הישיבה כראשונה במעלה הוא שמשך את אבי כשביקש שוב להחליף את מקום לימודו.</w:t>
      </w:r>
    </w:p>
    <w:p w14:paraId="6E72E364" w14:textId="77777777" w:rsidR="00AB3647" w:rsidRDefault="00000000" w:rsidP="007923E9">
      <w:pPr>
        <w:spacing w:after="100" w:line="276" w:lineRule="auto"/>
        <w:ind w:firstLine="340"/>
        <w:jc w:val="both"/>
      </w:pPr>
      <w:r>
        <w:rPr>
          <w:rtl/>
        </w:rPr>
        <w:t xml:space="preserve">את בחינת הקבלה </w:t>
      </w:r>
      <w:proofErr w:type="spellStart"/>
      <w:r>
        <w:rPr>
          <w:rtl/>
        </w:rPr>
        <w:t>לקלויז</w:t>
      </w:r>
      <w:proofErr w:type="spellEnd"/>
      <w:r>
        <w:rPr>
          <w:rtl/>
        </w:rPr>
        <w:t xml:space="preserve"> של </w:t>
      </w:r>
      <w:proofErr w:type="spellStart"/>
      <w:r>
        <w:rPr>
          <w:rtl/>
        </w:rPr>
        <w:t>בלומקה</w:t>
      </w:r>
      <w:proofErr w:type="spellEnd"/>
      <w:r>
        <w:rPr>
          <w:rtl/>
        </w:rPr>
        <w:t xml:space="preserve"> עבר בקיץ תרס״ג. הוא השיב בהצטיינות על כל השאלות שהציג לו ראש הישיבה, ר׳ בנימין </w:t>
      </w:r>
      <w:proofErr w:type="spellStart"/>
      <w:r>
        <w:rPr>
          <w:rtl/>
        </w:rPr>
        <w:t>שימונוביץ</w:t>
      </w:r>
      <w:proofErr w:type="spellEnd"/>
      <w:r>
        <w:rPr>
          <w:rtl/>
        </w:rPr>
        <w:t xml:space="preserve">, אבל לפתע הטרידה את ראש הישיבה קומתו הנמוכה של אבי, והוא שאל לגילו. כשענה הנער: “קרוב </w:t>
      </w:r>
      <w:proofErr w:type="spellStart"/>
      <w:r>
        <w:rPr>
          <w:rtl/>
        </w:rPr>
        <w:t>לשלוש־עשרה</w:t>
      </w:r>
      <w:proofErr w:type="spellEnd"/>
      <w:r>
        <w:rPr>
          <w:rtl/>
        </w:rPr>
        <w:t>”, השיב ראש הישיבה: “הצלחת יפה מאוד בבחינה, אבל אתה פחות מבר מצווה”. רצונו העז להתעלות בתורה דחף את אבי להשיב בעזות שלא הייתה מדרכו: “אינני נחוץ כאן להשלים מניין; למה אם כן עלי להיות בר מצווה?!” ראש הישיבה אהב את התשובה הנחרצת, והצעיר נתקבל.</w:t>
      </w:r>
    </w:p>
    <w:p w14:paraId="488A6BBD" w14:textId="77777777" w:rsidR="00AB3647" w:rsidRDefault="00000000" w:rsidP="007923E9">
      <w:pPr>
        <w:spacing w:after="100" w:line="276" w:lineRule="auto"/>
        <w:ind w:firstLine="340"/>
        <w:jc w:val="both"/>
      </w:pPr>
      <w:proofErr w:type="spellStart"/>
      <w:r>
        <w:rPr>
          <w:rtl/>
        </w:rPr>
        <w:t>הקלויז</w:t>
      </w:r>
      <w:proofErr w:type="spellEnd"/>
      <w:r>
        <w:rPr>
          <w:rtl/>
        </w:rPr>
        <w:t xml:space="preserve"> היה בניין לבנים קטן בן שתי קומות, ותריסר מדרגות עלו אל פתחו. במרתף התפלל מניין של מגלגלי סיגריות, ובקומה העליונה הייתה עזרת נשים. הבימה לא הייתה מוגבהת. זה היה היכל לימוד טיפוסי של ישיבה, אף שבעלי בתים רבים, רובם למדנים, היו באים להתפלל שם, ואחר כך עומדים סביב הבימה ומשוחחים על ענייני העולם. בלילה הפך בית המדרש לפנימייה לרבים מן התלמידים: הם היו מקרבים ספסלים זה לזה ומכסים אותם במזרני קש, וככל שהתלמיד היה מבוגר יותר, כן היה מקומו באולם מובחר יותר.</w:t>
      </w:r>
    </w:p>
    <w:p w14:paraId="0154079B" w14:textId="77777777" w:rsidR="00AB3647" w:rsidRDefault="00000000" w:rsidP="007923E9">
      <w:pPr>
        <w:spacing w:after="100" w:line="276" w:lineRule="auto"/>
        <w:ind w:firstLine="340"/>
        <w:jc w:val="both"/>
      </w:pPr>
      <w:r>
        <w:rPr>
          <w:rtl/>
        </w:rPr>
        <w:t xml:space="preserve">מאבי נחסך הסבל שהיה בדרך כלל מנת חלקו של תלמיד חדש – ובפרט של תלמיד חדש שלא הגיע לגיל מצוות – משום שהחזיק </w:t>
      </w:r>
      <w:proofErr w:type="spellStart"/>
      <w:r>
        <w:rPr>
          <w:rtl/>
        </w:rPr>
        <w:t>ב“חדרו</w:t>
      </w:r>
      <w:proofErr w:type="spellEnd"/>
      <w:r>
        <w:rPr>
          <w:rtl/>
        </w:rPr>
        <w:t xml:space="preserve">” שבבית דודו. הוא היה צעיר מדי וחסר ניסיון מכדי לתפוס שהחשיפה המתמשכת לבני דודו ולספריהם עלולה לסכן את עתידו. הוא נשאר </w:t>
      </w:r>
      <w:proofErr w:type="spellStart"/>
      <w:r>
        <w:rPr>
          <w:rtl/>
        </w:rPr>
        <w:t>בקלויז</w:t>
      </w:r>
      <w:proofErr w:type="spellEnd"/>
      <w:r>
        <w:rPr>
          <w:rtl/>
        </w:rPr>
        <w:t xml:space="preserve"> של </w:t>
      </w:r>
      <w:proofErr w:type="spellStart"/>
      <w:r>
        <w:rPr>
          <w:rtl/>
        </w:rPr>
        <w:t>בלומקה</w:t>
      </w:r>
      <w:proofErr w:type="spellEnd"/>
      <w:r>
        <w:rPr>
          <w:rtl/>
        </w:rPr>
        <w:t xml:space="preserve"> והמשיך בסידור זה חצי שנה, עד פסח תרס״ד. שלושה שבועות קודם לכן נעשה בר מצווה, שלא בנוכחות הוריו: ביום חמישי בבוקר עלה לתורה, ואחר כך אמר, בפני הקרובים המעטים שהיו לו בעיר ושהתאספו בבית סבו, את הדרשה שמצא בשעה שלמד בשול “משכיל לאיתן”.</w:t>
      </w:r>
    </w:p>
    <w:p w14:paraId="0FB485E6" w14:textId="77777777" w:rsidR="00AB3647" w:rsidRDefault="00000000" w:rsidP="007923E9">
      <w:pPr>
        <w:spacing w:after="100" w:line="276" w:lineRule="auto"/>
        <w:ind w:firstLine="340"/>
        <w:jc w:val="both"/>
      </w:pPr>
      <w:r>
        <w:rPr>
          <w:rtl/>
        </w:rPr>
        <w:t xml:space="preserve">אבי היה מהיר תפיסה, ומוחו פעל בלי הפסק בשנות התעצבותו אלה; הוא לא בזבז אף רגע לבטלה. כוח זיכרונו היה יוצא מן הכלל, אבל לא החשיב את עצמו לגאון. הוא פשוט תמה על כך שחבריו שוכחים לפעמים דבר שלמדו או נתקלו בו – תופעה שהייתה זרה לו לגמרי. </w:t>
      </w:r>
      <w:r>
        <w:rPr>
          <w:rtl/>
        </w:rPr>
        <w:lastRenderedPageBreak/>
        <w:t xml:space="preserve">שכלו הער קלט גם קטעים </w:t>
      </w:r>
      <w:proofErr w:type="spellStart"/>
      <w:r>
        <w:rPr>
          <w:rtl/>
        </w:rPr>
        <w:t>מ“מושבי</w:t>
      </w:r>
      <w:proofErr w:type="spellEnd"/>
      <w:r>
        <w:rPr>
          <w:rtl/>
        </w:rPr>
        <w:t>” החדשות שהתקיימו סביב הבימה אחרי התפילה, והרחיב את תחומי התעניינותו.</w:t>
      </w:r>
    </w:p>
    <w:p w14:paraId="1B819210" w14:textId="77777777" w:rsidR="00AB3647" w:rsidRDefault="00000000" w:rsidP="007923E9">
      <w:pPr>
        <w:spacing w:after="100" w:line="276" w:lineRule="auto"/>
        <w:ind w:firstLine="340"/>
        <w:jc w:val="both"/>
      </w:pPr>
      <w:r>
        <w:rPr>
          <w:rtl/>
        </w:rPr>
        <w:t xml:space="preserve">בתקופת לימודים אחת בלבד שהה בקלויז</w:t>
      </w:r>
      <w:proofErr w:type="spellStart"/>
      <w:r>
        <w:rPr>
          <w:rtl/>
        </w:rPr>
        <w:t xml:space="preserve"/>
      </w:r>
      <w:proofErr w:type="spellEnd"/>
      <w:r>
        <w:rPr>
          <w:rtl/>
        </w:rPr>
        <w:t xml:space="preserve">, כשלמדה הכיתה מסכת כתובות, שאל אבי קושיה שהמלמד לא ידע להשיב עליה, והרבי אמר כנביא: “זה הקטן גדול יהיה.” בתקופה זו גם שמע לראשונה דרשה מפי אחד מגדולי תנועת המוסר: תלמידו של ר׳ ישראל </w:t>
      </w:r>
      <w:proofErr w:type="spellStart"/>
      <w:r>
        <w:rPr>
          <w:rtl/>
        </w:rPr>
        <w:t>סלנטר</w:t>
      </w:r>
      <w:proofErr w:type="spellEnd"/>
      <w:r>
        <w:rPr>
          <w:rtl/>
        </w:rPr>
        <w:t xml:space="preserve"> (ליפקין), הדרשן הנודע ר׳ </w:t>
      </w:r>
      <w:proofErr w:type="spellStart"/>
      <w:r>
        <w:rPr>
          <w:rtl/>
        </w:rPr>
        <w:t>איצל׳ה</w:t>
      </w:r>
      <w:proofErr w:type="spellEnd"/>
      <w:r>
        <w:rPr>
          <w:rtl/>
        </w:rPr>
        <w:t xml:space="preserve"> </w:t>
      </w:r>
      <w:proofErr w:type="spellStart"/>
      <w:r>
        <w:rPr>
          <w:rtl/>
        </w:rPr>
        <w:t>פטרבורגר</w:t>
      </w:r>
      <w:proofErr w:type="spellEnd"/>
      <w:r>
        <w:rPr>
          <w:rtl/>
        </w:rPr>
        <w:t xml:space="preserve"> (</w:t>
      </w:r>
      <w:proofErr w:type="spellStart"/>
      <w:r>
        <w:rPr>
          <w:rtl/>
        </w:rPr>
        <w:t>בלאזר</w:t>
      </w:r>
      <w:proofErr w:type="spellEnd"/>
      <w:r>
        <w:rPr>
          <w:rtl/>
        </w:rPr>
        <w:t>), נשא דרשה מלהיבה במינסק כשעבר בעיר בדרכו לארץ ישראל.</w:t>
      </w:r>
    </w:p>
    <w:p w14:paraId="54CD360F" w14:textId="77777777" w:rsidR="00AB3647" w:rsidRDefault="00000000" w:rsidP="007923E9">
      <w:pPr>
        <w:pStyle w:val="2"/>
        <w:spacing w:line="276" w:lineRule="auto"/>
      </w:pPr>
      <w:r>
        <w:t>3.</w:t>
      </w:r>
    </w:p>
    <w:p w14:paraId="5F9FAF28" w14:textId="77777777" w:rsidR="00AB3647" w:rsidRDefault="00000000" w:rsidP="007923E9">
      <w:pPr>
        <w:spacing w:after="100" w:line="276" w:lineRule="auto"/>
        <w:ind w:firstLine="340"/>
        <w:jc w:val="both"/>
      </w:pPr>
      <w:r>
        <w:rPr>
          <w:rtl/>
        </w:rPr>
        <w:t xml:space="preserve">עד בר המצווה שלו כבר עלה אבי על חבריו </w:t>
      </w:r>
      <w:proofErr w:type="spellStart"/>
      <w:r>
        <w:rPr>
          <w:rtl/>
        </w:rPr>
        <w:t>בקלויז</w:t>
      </w:r>
      <w:proofErr w:type="spellEnd"/>
      <w:r>
        <w:rPr>
          <w:rtl/>
        </w:rPr>
        <w:t xml:space="preserve">, שהיו מבוגרים ממנו בשנה או שנתיים, והיה מוכן להתקדם לישיבה ברמה גבוהה יותר, הנקראת “קיבוץ”, שבה היו התלמידים עצמאיים יותר. אחרי פסח תרס״ד הצטרף לקיבוץ שבשול “זבחי צדק”, או שול </w:t>
      </w:r>
      <w:proofErr w:type="spellStart"/>
      <w:r>
        <w:rPr>
          <w:rtl/>
        </w:rPr>
        <w:t>הקצבים</w:t>
      </w:r>
      <w:proofErr w:type="spellEnd"/>
      <w:r>
        <w:rPr>
          <w:rtl/>
        </w:rPr>
        <w:t>, ולמד שם שנתיים. רבני מינסק היו מתנדבים למסור שיעורים בישיבה נחשבת זו, וכן רבנים חשובים שביקרו בעיר.</w:t>
      </w:r>
    </w:p>
    <w:p w14:paraId="0C0F81A1" w14:textId="77777777" w:rsidR="00AB3647" w:rsidRDefault="00000000" w:rsidP="007923E9">
      <w:pPr>
        <w:spacing w:after="100" w:line="276" w:lineRule="auto"/>
        <w:ind w:firstLine="340"/>
        <w:jc w:val="both"/>
      </w:pPr>
      <w:r>
        <w:rPr>
          <w:rtl/>
        </w:rPr>
        <w:t xml:space="preserve">ר׳ </w:t>
      </w:r>
      <w:proofErr w:type="spellStart"/>
      <w:r>
        <w:rPr>
          <w:rtl/>
        </w:rPr>
        <w:t>יעקב־נח</w:t>
      </w:r>
      <w:proofErr w:type="spellEnd"/>
      <w:r>
        <w:rPr>
          <w:rtl/>
        </w:rPr>
        <w:t xml:space="preserve"> </w:t>
      </w:r>
      <w:proofErr w:type="spellStart"/>
      <w:r>
        <w:rPr>
          <w:rtl/>
        </w:rPr>
        <w:t>אוקסנקרוג</w:t>
      </w:r>
      <w:proofErr w:type="spellEnd"/>
      <w:r>
        <w:rPr>
          <w:rtl/>
        </w:rPr>
        <w:t xml:space="preserve">, קצב עשיר ובעל בתים, היה ממונה על השגת התקציב לישיבה, שלמדו בה מאתיים תלמידים. בעל הצדקה, שכונה בחיבה “ר׳ </w:t>
      </w:r>
      <w:proofErr w:type="spellStart"/>
      <w:r>
        <w:rPr>
          <w:rtl/>
        </w:rPr>
        <w:t>יענקל</w:t>
      </w:r>
      <w:proofErr w:type="spellEnd"/>
      <w:r>
        <w:rPr>
          <w:rtl/>
        </w:rPr>
        <w:t xml:space="preserve"> הקצב”, הקדיש לטובת הישיבה את כל דמי השכירות שגבה מבתיו. אבל כדי לספק לכל תלמיד את הקצבה החודשית המזערית של שני רובל, נזקק גם לתרומות מן הציבור הרחב. הוא גייס את חבריו למקצוע ללכת בדרכו ולתרום </w:t>
      </w:r>
      <w:proofErr w:type="spellStart"/>
      <w:r>
        <w:rPr>
          <w:rtl/>
        </w:rPr>
        <w:t>קופיקה</w:t>
      </w:r>
      <w:proofErr w:type="spellEnd"/>
      <w:r>
        <w:rPr>
          <w:rtl/>
        </w:rPr>
        <w:t xml:space="preserve"> מכל ליטרת בשר שמכרו. גזבר ישיבת שול </w:t>
      </w:r>
      <w:proofErr w:type="spellStart"/>
      <w:r>
        <w:rPr>
          <w:rtl/>
        </w:rPr>
        <w:t>הקצבים</w:t>
      </w:r>
      <w:proofErr w:type="spellEnd"/>
      <w:r>
        <w:rPr>
          <w:rtl/>
        </w:rPr>
        <w:t xml:space="preserve"> היה ר׳ יהושע </w:t>
      </w:r>
      <w:proofErr w:type="spellStart"/>
      <w:r>
        <w:rPr>
          <w:rtl/>
        </w:rPr>
        <w:t>צימבליסט</w:t>
      </w:r>
      <w:proofErr w:type="spellEnd"/>
      <w:r>
        <w:rPr>
          <w:rtl/>
        </w:rPr>
        <w:t xml:space="preserve">, הידוע יותר בשם ר׳ </w:t>
      </w:r>
      <w:proofErr w:type="spellStart"/>
      <w:r>
        <w:rPr>
          <w:rtl/>
        </w:rPr>
        <w:t>יהושע׳לה</w:t>
      </w:r>
      <w:proofErr w:type="spellEnd"/>
      <w:r>
        <w:rPr>
          <w:rtl/>
        </w:rPr>
        <w:t xml:space="preserve"> </w:t>
      </w:r>
      <w:proofErr w:type="spellStart"/>
      <w:r>
        <w:rPr>
          <w:rtl/>
        </w:rPr>
        <w:t>הורודנער</w:t>
      </w:r>
      <w:proofErr w:type="spellEnd"/>
      <w:r>
        <w:rPr>
          <w:rtl/>
        </w:rPr>
        <w:t xml:space="preserve">, שהייתה לו ישיבה משלו בשול “שואבי מים”; הוא גם עזר באיסוף כספים לישיבת שול </w:t>
      </w:r>
      <w:proofErr w:type="spellStart"/>
      <w:r>
        <w:rPr>
          <w:rtl/>
        </w:rPr>
        <w:t>הקצבים</w:t>
      </w:r>
      <w:proofErr w:type="spellEnd"/>
      <w:r>
        <w:rPr>
          <w:rtl/>
        </w:rPr>
        <w:t xml:space="preserve"> בעת הצורך.</w:t>
      </w:r>
    </w:p>
    <w:p w14:paraId="49ECA6C6" w14:textId="77777777" w:rsidR="00AB3647" w:rsidRDefault="00000000" w:rsidP="007923E9">
      <w:pPr>
        <w:spacing w:after="100" w:line="276" w:lineRule="auto"/>
        <w:ind w:firstLine="340"/>
        <w:jc w:val="both"/>
      </w:pPr>
      <w:r>
        <w:rPr>
          <w:rtl/>
        </w:rPr>
        <w:t xml:space="preserve">מלבד המשך לימוד התורה בשקידה בסביבתו החדשה, מצא אבי זמן לקרוא מעט מן הספרות העברית החדשה שעברה בחשאי מיד ליד בין תלמידי הישיבה המבוגרים, כגון “אהבת ציון” </w:t>
      </w:r>
      <w:proofErr w:type="spellStart"/>
      <w:r>
        <w:rPr>
          <w:rtl/>
        </w:rPr>
        <w:t xml:space="preserve">ו“אשמת שומרון” של אברהם מאפו</w:t>
      </w:r>
      <w:proofErr w:type="spellEnd"/>
      <w:r>
        <w:rPr>
          <w:rtl/>
        </w:rPr>
        <w:t xml:space="preserve">. הוא גם המשיך לקרוא בספרי הגאומטריה והטריגונומטריה של בני דודו, ועמל על ספר דקדוק עברי מסובך ביותר של </w:t>
      </w:r>
      <w:proofErr w:type="spellStart"/>
      <w:r>
        <w:rPr>
          <w:rtl/>
        </w:rPr>
        <w:t>חיים־צבי</w:t>
      </w:r>
      <w:proofErr w:type="spellEnd"/>
      <w:r>
        <w:rPr>
          <w:rtl/>
        </w:rPr>
        <w:t xml:space="preserve"> לרנר (</w:t>
      </w:r>
      <w:proofErr w:type="spellStart"/>
      <w:r>
        <w:rPr>
          <w:rtl/>
        </w:rPr>
        <w:t>חצ״ל</w:t>
      </w:r>
      <w:proofErr w:type="spellEnd"/>
      <w:r>
        <w:rPr>
          <w:rtl/>
        </w:rPr>
        <w:t xml:space="preserve">), וכן על ספרו הקשה של אותו מחבר על טעמי המקרא. אבל ככל שהתבגר </w:t>
      </w:r>
      <w:proofErr w:type="spellStart"/>
      <w:r>
        <w:rPr>
          <w:rtl/>
        </w:rPr>
        <w:t>הדולהינובר</w:t>
      </w:r>
      <w:proofErr w:type="spellEnd"/>
      <w:r>
        <w:rPr>
          <w:rtl/>
        </w:rPr>
        <w:t xml:space="preserve">, הבין שחברת בני דודו, ולו רק בלילות, טומנת בחובה סכנה רוחנית, והחליט לעזוב את הגומחה שבבית דודו ולעבור לשול </w:t>
      </w:r>
      <w:proofErr w:type="spellStart"/>
      <w:r>
        <w:rPr>
          <w:rtl/>
        </w:rPr>
        <w:t>הקצבים</w:t>
      </w:r>
      <w:proofErr w:type="spellEnd"/>
      <w:r>
        <w:rPr>
          <w:rtl/>
        </w:rPr>
        <w:t>.</w:t>
      </w:r>
    </w:p>
    <w:p w14:paraId="16C6D6FE" w14:textId="77777777" w:rsidR="00AB3647" w:rsidRDefault="00000000" w:rsidP="007923E9">
      <w:pPr>
        <w:spacing w:after="100" w:line="276" w:lineRule="auto"/>
        <w:ind w:firstLine="340"/>
        <w:jc w:val="both"/>
      </w:pPr>
      <w:r>
        <w:rPr>
          <w:rtl/>
        </w:rPr>
        <w:t xml:space="preserve">עד סוף זמן הקיץ של תרס״ד כבר קנה לו אבי די כבוד בישיבת שול </w:t>
      </w:r>
      <w:proofErr w:type="spellStart"/>
      <w:r>
        <w:rPr>
          <w:rtl/>
        </w:rPr>
        <w:t>הקצבים</w:t>
      </w:r>
      <w:proofErr w:type="spellEnd"/>
      <w:r>
        <w:rPr>
          <w:rtl/>
        </w:rPr>
        <w:t xml:space="preserve"> כדי לזכות </w:t>
      </w:r>
      <w:proofErr w:type="spellStart"/>
      <w:r>
        <w:rPr>
          <w:rtl/>
        </w:rPr>
        <w:t>ב“חזקה</w:t>
      </w:r>
      <w:proofErr w:type="spellEnd"/>
      <w:r>
        <w:rPr>
          <w:rtl/>
        </w:rPr>
        <w:t xml:space="preserve">” מן המעלה הראשונה על המדף שליד התנור – מקום מבוקש בסתיו </w:t>
      </w:r>
      <w:proofErr w:type="spellStart"/>
      <w:r>
        <w:rPr>
          <w:rtl/>
        </w:rPr>
        <w:t>הבלארוסי</w:t>
      </w:r>
      <w:proofErr w:type="spellEnd"/>
      <w:r>
        <w:rPr>
          <w:rtl/>
        </w:rPr>
        <w:t xml:space="preserve"> הקר. בלילה צונן אחד, כשהוסק התנור, נדלקו כלי מיטתו, אך למרבה המזל יצא בלי פגע. במקום הסדין והשמיכה שנשרפו השיג כמה שקים משומשים. בחורף של השנה המעוברת שבאה אחר כך למדה הישיבה את כל מסכת יבמות.</w:t>
      </w:r>
    </w:p>
    <w:p w14:paraId="653298AD" w14:textId="77777777" w:rsidR="00AB3647" w:rsidRDefault="00000000" w:rsidP="007923E9">
      <w:pPr>
        <w:spacing w:after="100" w:line="276" w:lineRule="auto"/>
        <w:ind w:firstLine="340"/>
        <w:jc w:val="both"/>
      </w:pPr>
      <w:r>
        <w:rPr>
          <w:rtl/>
        </w:rPr>
        <w:lastRenderedPageBreak/>
        <w:t xml:space="preserve">בתחילת החורף אירעה התפתחות חשובה בחיי אבי. </w:t>
      </w:r>
      <w:proofErr w:type="spellStart"/>
      <w:r>
        <w:rPr>
          <w:rtl/>
        </w:rPr>
        <w:t>אחד־עשר</w:t>
      </w:r>
      <w:proofErr w:type="spellEnd"/>
      <w:r>
        <w:rPr>
          <w:rtl/>
        </w:rPr>
        <w:t xml:space="preserve"> חודשים אחרי שעבר ר׳ </w:t>
      </w:r>
      <w:proofErr w:type="spellStart"/>
      <w:r>
        <w:rPr>
          <w:rtl/>
        </w:rPr>
        <w:t>שמואל־הירש</w:t>
      </w:r>
      <w:proofErr w:type="spellEnd"/>
      <w:r>
        <w:rPr>
          <w:rtl/>
        </w:rPr>
        <w:t xml:space="preserve"> למינסק, החליטו ר׳ בנימין </w:t>
      </w:r>
      <w:proofErr w:type="spellStart"/>
      <w:r>
        <w:rPr>
          <w:rtl/>
        </w:rPr>
        <w:t>ועטיל</w:t>
      </w:r>
      <w:proofErr w:type="spellEnd"/>
      <w:r>
        <w:rPr>
          <w:rtl/>
        </w:rPr>
        <w:t xml:space="preserve"> לעבור גם הם לשם. לא הייתה להם עוד פרנסה שתחזיק אותם </w:t>
      </w:r>
      <w:proofErr w:type="spellStart"/>
      <w:r>
        <w:rPr>
          <w:rtl/>
        </w:rPr>
        <w:t>בדולהינוב</w:t>
      </w:r>
      <w:proofErr w:type="spellEnd"/>
      <w:r>
        <w:rPr>
          <w:rtl/>
        </w:rPr>
        <w:t xml:space="preserve">, והם הבינו שסופם להיאלץ לשלוח את כל ילדיהם לעיר הגדולה. הם הודיעו </w:t>
      </w:r>
      <w:proofErr w:type="spellStart"/>
      <w:r>
        <w:rPr>
          <w:rtl/>
        </w:rPr>
        <w:t>לחיים־זרח</w:t>
      </w:r>
      <w:proofErr w:type="spellEnd"/>
      <w:r>
        <w:rPr>
          <w:rtl/>
        </w:rPr>
        <w:t xml:space="preserve"> על החלטתם, והוא מצא בשבילם בית לשכור ברחוב </w:t>
      </w:r>
      <w:proofErr w:type="spellStart"/>
      <w:r>
        <w:rPr>
          <w:rtl/>
        </w:rPr>
        <w:t>בוגדלניה</w:t>
      </w:r>
      <w:proofErr w:type="spellEnd"/>
      <w:r>
        <w:rPr>
          <w:rtl/>
        </w:rPr>
        <w:t>.</w:t>
      </w:r>
    </w:p>
    <w:p w14:paraId="61180CD9" w14:textId="77777777" w:rsidR="00AB3647" w:rsidRDefault="00000000" w:rsidP="007923E9">
      <w:pPr>
        <w:spacing w:after="100" w:line="276" w:lineRule="auto"/>
        <w:ind w:firstLine="340"/>
        <w:jc w:val="both"/>
      </w:pPr>
      <w:r>
        <w:rPr>
          <w:rtl/>
        </w:rPr>
        <w:t xml:space="preserve">במשך כמעט שנתיים וחצי ששהה אבי בעיר הגדולה לא ראו אותו הוריו, כי לא יכלו לעמוד בהוצאות הנסיעה בין מינסק </w:t>
      </w:r>
      <w:proofErr w:type="spellStart"/>
      <w:r>
        <w:rPr>
          <w:rtl/>
        </w:rPr>
        <w:t>לדולהינוב</w:t>
      </w:r>
      <w:proofErr w:type="spellEnd"/>
      <w:r>
        <w:rPr>
          <w:rtl/>
        </w:rPr>
        <w:t xml:space="preserve"> כדי להביאו הביתה לביקור. הם שמחו לראות כיצד צמח מילד לנער מתבגר. הוא העביר את מעט חפציו מן </w:t>
      </w:r>
      <w:proofErr w:type="spellStart"/>
      <w:r>
        <w:rPr>
          <w:rtl/>
        </w:rPr>
        <w:t>ה“חזקה</w:t>
      </w:r>
      <w:proofErr w:type="spellEnd"/>
      <w:r>
        <w:rPr>
          <w:rtl/>
        </w:rPr>
        <w:t xml:space="preserve">” שלו בשול </w:t>
      </w:r>
      <w:proofErr w:type="spellStart"/>
      <w:r>
        <w:rPr>
          <w:rtl/>
        </w:rPr>
        <w:t>הקצבים</w:t>
      </w:r>
      <w:proofErr w:type="spellEnd"/>
      <w:r>
        <w:rPr>
          <w:rtl/>
        </w:rPr>
        <w:t xml:space="preserve"> לבית הוריו, והשאלה הראשונה ששאלה </w:t>
      </w:r>
      <w:proofErr w:type="spellStart"/>
      <w:r>
        <w:rPr>
          <w:rtl/>
        </w:rPr>
        <w:t>אמו</w:t>
      </w:r>
      <w:proofErr w:type="spellEnd"/>
      <w:r>
        <w:rPr>
          <w:rtl/>
        </w:rPr>
        <w:t xml:space="preserve"> הייתה היכן כלי מיטתו. כשגילה לה שנשרפו באש, פרצה בבכי ויבבה במרירות: “הלא יכולת להיפגע!”</w:t>
      </w:r>
    </w:p>
    <w:p w14:paraId="72B1BF2A" w14:textId="77777777" w:rsidR="00AB3647" w:rsidRDefault="00000000" w:rsidP="007923E9">
      <w:pPr>
        <w:spacing w:after="100" w:line="276" w:lineRule="auto"/>
        <w:ind w:firstLine="340"/>
        <w:jc w:val="both"/>
      </w:pPr>
      <w:r>
        <w:rPr>
          <w:rtl/>
        </w:rPr>
        <w:t xml:space="preserve">כדי להשתכר כמה רובלים החלה </w:t>
      </w:r>
      <w:proofErr w:type="spellStart"/>
      <w:r>
        <w:rPr>
          <w:rtl/>
        </w:rPr>
        <w:t>עטיל</w:t>
      </w:r>
      <w:proofErr w:type="spellEnd"/>
      <w:r>
        <w:rPr>
          <w:rtl/>
        </w:rPr>
        <w:t xml:space="preserve"> לבשל ארוחות לבני הקהל הגדול של הסטודנטים החילונים שבעיר. מעולם לא דחתה סטודנט, גם אם יכול היה לשלם בעד האוכל רק בכך שנתן שיעור חינם לאחד מילדיה הצעירים. גם </w:t>
      </w:r>
      <w:proofErr w:type="spellStart"/>
      <w:r>
        <w:rPr>
          <w:rtl/>
        </w:rPr>
        <w:t>חיים־זרח</w:t>
      </w:r>
      <w:proofErr w:type="spellEnd"/>
      <w:r>
        <w:rPr>
          <w:rtl/>
        </w:rPr>
        <w:t xml:space="preserve"> חזר לגור בבית ותרם את כל שכרו לקופת המשפחה, וכך גם הבוגרת שבבנות, דבורה, שהתחילה באותו זמן לעבוד כרוקמת.</w:t>
      </w:r>
    </w:p>
    <w:p w14:paraId="27FFA266" w14:textId="77777777" w:rsidR="00AB3647" w:rsidRDefault="00000000" w:rsidP="007923E9">
      <w:pPr>
        <w:spacing w:after="100" w:line="276" w:lineRule="auto"/>
        <w:ind w:firstLine="340"/>
        <w:jc w:val="both"/>
      </w:pPr>
      <w:r>
        <w:rPr>
          <w:rtl/>
        </w:rPr>
        <w:t xml:space="preserve">אפילו ילדיה הצעירים של משפחת </w:t>
      </w:r>
      <w:proofErr w:type="spellStart"/>
      <w:r>
        <w:rPr>
          <w:rtl/>
        </w:rPr>
        <w:t>קמינצקי</w:t>
      </w:r>
      <w:proofErr w:type="spellEnd"/>
      <w:r>
        <w:rPr>
          <w:rtl/>
        </w:rPr>
        <w:t xml:space="preserve"> ידעו מעצמם שהם עניים בהרבה מקרוביהם שבמינסק, ושמביטים עליהם מלמעלה משום שקיבלו על עצמם עבודות פשוטות. ואף על פי כן קינאו הקרובים האמידים בהרבה באווירה ששררה בבית </w:t>
      </w:r>
      <w:r>
        <w:rPr>
          <w:b/>
          <w:bCs/>
          <w:rtl/>
        </w:rPr>
        <w:t xml:space="preserve">משפחת </w:t>
      </w:r>
      <w:proofErr w:type="spellStart"/>
      <w:r>
        <w:rPr>
          <w:b/>
          <w:bCs/>
          <w:rtl/>
        </w:rPr>
        <w:t>קמינצקי</w:t>
      </w:r>
      <w:proofErr w:type="spellEnd"/>
      <w:r>
        <w:rPr>
          <w:rtl/>
        </w:rPr>
        <w:t xml:space="preserve">: </w:t>
      </w:r>
      <w:proofErr w:type="spellStart"/>
      <w:r>
        <w:rPr>
          <w:rtl/>
        </w:rPr>
        <w:t>אי־ציות</w:t>
      </w:r>
      <w:proofErr w:type="spellEnd"/>
      <w:r>
        <w:rPr>
          <w:rtl/>
        </w:rPr>
        <w:t xml:space="preserve"> להורים לא עלה על הדעת, ואפילו מריבות בין הילדים היו נדירות ביותר. אבי ישב בשול </w:t>
      </w:r>
      <w:proofErr w:type="spellStart"/>
      <w:r>
        <w:rPr>
          <w:rtl/>
        </w:rPr>
        <w:t>הקצבים</w:t>
      </w:r>
      <w:proofErr w:type="spellEnd"/>
      <w:r>
        <w:rPr>
          <w:rtl/>
        </w:rPr>
        <w:t xml:space="preserve"> עד שעה מאוחרת בלילה, וחזר הביתה מאוחר מדי לארוחת הערב; </w:t>
      </w:r>
      <w:proofErr w:type="spellStart"/>
      <w:r>
        <w:rPr>
          <w:rtl/>
        </w:rPr>
        <w:t>אמו</w:t>
      </w:r>
      <w:proofErr w:type="spellEnd"/>
      <w:r>
        <w:rPr>
          <w:rtl/>
        </w:rPr>
        <w:t xml:space="preserve"> הייתה מניחה לו קערת תפוחים, או ענבים ותפוזים, שהיו דבר נדיר, כדי שייהנה מהם – והילדים העובדים לא התלוננו. הם לא נגעו בפירות היקרים, אף שעמלם הוא שסיפק את רוב הכנסת הבית. בין אבי ובין אחיו ואחיותיו ניכר קשר חם, למרות הפער שהלך וגדל בין השקפותיהם.</w:t>
      </w:r>
    </w:p>
    <w:p w14:paraId="1505EB83" w14:textId="77777777" w:rsidR="00AB3647" w:rsidRDefault="00000000" w:rsidP="007923E9">
      <w:pPr>
        <w:spacing w:after="100" w:line="276" w:lineRule="auto"/>
        <w:ind w:firstLine="340"/>
        <w:jc w:val="both"/>
      </w:pPr>
      <w:r>
        <w:rPr>
          <w:rtl/>
        </w:rPr>
        <w:t xml:space="preserve">בשול </w:t>
      </w:r>
      <w:proofErr w:type="spellStart"/>
      <w:r>
        <w:rPr>
          <w:rtl/>
        </w:rPr>
        <w:t>הקצבים</w:t>
      </w:r>
      <w:proofErr w:type="spellEnd"/>
      <w:r>
        <w:rPr>
          <w:rtl/>
        </w:rPr>
        <w:t xml:space="preserve"> התיידד אבי עם נער מבריק מאוד שבא לשם לתקופת ביקור בתחילת שנת תרס״ה. היה זה היתום אהרן פינס, הצעיר ממנו בעשרה חודשים, ורבנו היה מביא אותו לביתו לארוחה קבועה ולפעמים למשחק שחמט. אהרן היה יתום מאביו ומאמו: </w:t>
      </w:r>
      <w:proofErr w:type="spellStart"/>
      <w:r>
        <w:rPr>
          <w:rtl/>
        </w:rPr>
        <w:t>אמו</w:t>
      </w:r>
      <w:proofErr w:type="spellEnd"/>
      <w:r>
        <w:rPr>
          <w:rtl/>
        </w:rPr>
        <w:t xml:space="preserve"> נפטרה כשהיה בן שלוש, ואביו, ר׳ </w:t>
      </w:r>
      <w:proofErr w:type="spellStart"/>
      <w:r>
        <w:rPr>
          <w:rtl/>
        </w:rPr>
        <w:t>שניאור־זלמן</w:t>
      </w:r>
      <w:proofErr w:type="spellEnd"/>
      <w:r>
        <w:rPr>
          <w:rtl/>
        </w:rPr>
        <w:t xml:space="preserve"> פינס, רב </w:t>
      </w:r>
      <w:proofErr w:type="spellStart"/>
      <w:r>
        <w:rPr>
          <w:rtl/>
        </w:rPr>
        <w:t>סיסלוביץ</w:t>
      </w:r>
      <w:proofErr w:type="spellEnd"/>
      <w:r>
        <w:rPr>
          <w:rtl/>
        </w:rPr>
        <w:t xml:space="preserve">׳, כשהיה בן </w:t>
      </w:r>
      <w:proofErr w:type="spellStart"/>
      <w:r>
        <w:rPr>
          <w:rtl/>
        </w:rPr>
        <w:t>אחת־עשרה</w:t>
      </w:r>
      <w:proofErr w:type="spellEnd"/>
      <w:r>
        <w:rPr>
          <w:rtl/>
        </w:rPr>
        <w:t xml:space="preserve">. מיד כשהתייתם החליטו קרובי אביו לשלוח אותו מן הבית, כדי לגונן עליו מפני השפעתם המשחיתה של שני אחיו ואחותו הבוגרים ממנו שעזבו את הדת. כמו בבתים יהודיים רבים, ואפילו בבתי רבנים, גבתה ההשכלה את </w:t>
      </w:r>
      <w:proofErr w:type="spellStart"/>
      <w:r>
        <w:rPr>
          <w:rtl/>
        </w:rPr>
        <w:t>קרבנותיה</w:t>
      </w:r>
      <w:proofErr w:type="spellEnd"/>
      <w:r>
        <w:rPr>
          <w:rtl/>
        </w:rPr>
        <w:t xml:space="preserve"> גם בבית פינס.</w:t>
      </w:r>
    </w:p>
    <w:p w14:paraId="1F28CCDF" w14:textId="77777777" w:rsidR="00AB3647" w:rsidRDefault="00000000" w:rsidP="007923E9">
      <w:pPr>
        <w:spacing w:after="100" w:line="276" w:lineRule="auto"/>
        <w:ind w:firstLine="340"/>
        <w:jc w:val="both"/>
      </w:pPr>
      <w:r>
        <w:rPr>
          <w:rtl/>
        </w:rPr>
        <w:t xml:space="preserve">תחילה נשלח אהרן ללמוד </w:t>
      </w:r>
      <w:proofErr w:type="spellStart"/>
      <w:r>
        <w:rPr>
          <w:rtl/>
        </w:rPr>
        <w:t>בקרינק</w:t>
      </w:r>
      <w:proofErr w:type="spellEnd"/>
      <w:r>
        <w:rPr>
          <w:rtl/>
        </w:rPr>
        <w:t xml:space="preserve">, בישיבה שייסד חצי שנה קודם לכן רבה החדש של העיירה, ר׳ </w:t>
      </w:r>
      <w:proofErr w:type="spellStart"/>
      <w:r>
        <w:rPr>
          <w:rtl/>
        </w:rPr>
        <w:t>זלמן־סנדר</w:t>
      </w:r>
      <w:proofErr w:type="spellEnd"/>
      <w:r>
        <w:rPr>
          <w:rtl/>
        </w:rPr>
        <w:t xml:space="preserve"> </w:t>
      </w:r>
      <w:proofErr w:type="spellStart"/>
      <w:r>
        <w:rPr>
          <w:rtl/>
        </w:rPr>
        <w:t>כהנא־שפירא</w:t>
      </w:r>
      <w:proofErr w:type="spellEnd"/>
      <w:r>
        <w:rPr>
          <w:rtl/>
        </w:rPr>
        <w:t xml:space="preserve">, חברו של ר׳ חיים </w:t>
      </w:r>
      <w:proofErr w:type="spellStart"/>
      <w:r>
        <w:rPr>
          <w:rtl/>
        </w:rPr>
        <w:t>סולובייצ׳יק</w:t>
      </w:r>
      <w:proofErr w:type="spellEnd"/>
      <w:r>
        <w:rPr>
          <w:rtl/>
        </w:rPr>
        <w:t xml:space="preserve"> </w:t>
      </w:r>
      <w:proofErr w:type="spellStart"/>
      <w:r>
        <w:rPr>
          <w:rtl/>
        </w:rPr>
        <w:t>מבריסק</w:t>
      </w:r>
      <w:proofErr w:type="spellEnd"/>
      <w:r>
        <w:rPr>
          <w:rtl/>
        </w:rPr>
        <w:t xml:space="preserve">. אחרי שנה שם בא למינסק, שבה ישבו אז כמה מקרוביו, ופגש את רבנו ואת הוריו. אבל שוב נשלח אהרן מן העיר, הפעם </w:t>
      </w:r>
      <w:proofErr w:type="spellStart"/>
      <w:r>
        <w:rPr>
          <w:rtl/>
        </w:rPr>
        <w:t>לסלבודקה</w:t>
      </w:r>
      <w:proofErr w:type="spellEnd"/>
      <w:r>
        <w:rPr>
          <w:rtl/>
        </w:rPr>
        <w:t xml:space="preserve">, פרבר של העיר הגדולה קובנה, לישיבת כנסת בית יצחק, שבראשה נתמנה זה עתה תלמידו המסור של ר׳ חיים </w:t>
      </w:r>
      <w:proofErr w:type="spellStart"/>
      <w:r>
        <w:rPr>
          <w:rtl/>
        </w:rPr>
        <w:t>סולובייצ׳יק</w:t>
      </w:r>
      <w:proofErr w:type="spellEnd"/>
      <w:r>
        <w:rPr>
          <w:rtl/>
        </w:rPr>
        <w:t xml:space="preserve">, ר׳ </w:t>
      </w:r>
      <w:proofErr w:type="spellStart"/>
      <w:r>
        <w:rPr>
          <w:rtl/>
        </w:rPr>
        <w:t>ברוך־בער</w:t>
      </w:r>
      <w:proofErr w:type="spellEnd"/>
      <w:r>
        <w:rPr>
          <w:rtl/>
        </w:rPr>
        <w:t xml:space="preserve"> </w:t>
      </w:r>
      <w:proofErr w:type="spellStart"/>
      <w:r>
        <w:rPr>
          <w:rtl/>
        </w:rPr>
        <w:t>ליבוביץ</w:t>
      </w:r>
      <w:proofErr w:type="spellEnd"/>
      <w:r>
        <w:rPr>
          <w:rtl/>
        </w:rPr>
        <w:t xml:space="preserve">, איש שחסידותו יצאה לה מוניטין. שם נעשה אהרן בר מצווה, ושמעו כעילוי יצא בכל העיר, וגם בישיבה האחרת </w:t>
      </w:r>
      <w:proofErr w:type="spellStart"/>
      <w:r>
        <w:rPr>
          <w:rtl/>
        </w:rPr>
        <w:t>שבסלבודקה</w:t>
      </w:r>
      <w:proofErr w:type="spellEnd"/>
      <w:r>
        <w:rPr>
          <w:rtl/>
        </w:rPr>
        <w:t>, כנסת ישראל.</w:t>
      </w:r>
    </w:p>
    <w:p w14:paraId="7B48370A" w14:textId="77777777" w:rsidR="00AB3647" w:rsidRDefault="00000000" w:rsidP="007923E9">
      <w:pPr>
        <w:spacing w:after="100" w:line="276" w:lineRule="auto"/>
        <w:ind w:firstLine="340"/>
        <w:jc w:val="both"/>
      </w:pPr>
      <w:r>
        <w:rPr>
          <w:rtl/>
        </w:rPr>
        <w:lastRenderedPageBreak/>
        <w:t xml:space="preserve">אחרי פחות מחצי שנה </w:t>
      </w:r>
      <w:proofErr w:type="spellStart"/>
      <w:r>
        <w:rPr>
          <w:rtl/>
        </w:rPr>
        <w:t>בסלבודקה</w:t>
      </w:r>
      <w:proofErr w:type="spellEnd"/>
      <w:r>
        <w:rPr>
          <w:rtl/>
        </w:rPr>
        <w:t xml:space="preserve"> הוחזר אהרן הצעיר למינסק, העיר שבה כיהן פעם סבו של סבו כרב נכבד, כדי שיירשם אחרי פסח תרס״ה בקיבוץ שבשול </w:t>
      </w:r>
      <w:proofErr w:type="spellStart"/>
      <w:r>
        <w:rPr>
          <w:rtl/>
        </w:rPr>
        <w:t>הקצבים</w:t>
      </w:r>
      <w:proofErr w:type="spellEnd"/>
      <w:r>
        <w:rPr>
          <w:rtl/>
        </w:rPr>
        <w:t xml:space="preserve">. התלמיד החדש והמבריק התאים היטב בלימודו לחברו הוותיק, ונקשרה ביניהם ידידות אמיצה. בני משפחת </w:t>
      </w:r>
      <w:proofErr w:type="spellStart"/>
      <w:r>
        <w:rPr>
          <w:rtl/>
        </w:rPr>
        <w:t>קמינצקי</w:t>
      </w:r>
      <w:proofErr w:type="spellEnd"/>
      <w:r>
        <w:rPr>
          <w:rtl/>
        </w:rPr>
        <w:t xml:space="preserve"> הביטו על שניהם בכבוד, בשל רדיפתם הבלתי פוסקת אחרי החכמה.</w:t>
      </w:r>
    </w:p>
    <w:p w14:paraId="1C746509" w14:textId="77777777" w:rsidR="00AB3647" w:rsidRDefault="00000000" w:rsidP="007923E9">
      <w:pPr>
        <w:spacing w:after="100" w:line="276" w:lineRule="auto"/>
        <w:ind w:firstLine="340"/>
        <w:jc w:val="both"/>
      </w:pPr>
      <w:r>
        <w:rPr>
          <w:rtl/>
        </w:rPr>
        <w:t>עם מעבר הוריו למינסק זכה אבי לנוחות גופנית, אבל היא לא שקלה כנגד צער הנפש שנגרם לו כשהוריו, בדאגתם לעתידו של בנם בעולם המשתנה במהירות, נתנו בשתיקה את הסכמתם למאמציה של אחות ר׳ בנימין, ראשה, “לחנך” את אחיינה. ראשה, אוהבת ההנאות, שכרה מורה בשם אשכנזי שייתן לרבנו שיעורים פרטיים.</w:t>
      </w:r>
    </w:p>
    <w:p w14:paraId="3854BB0C" w14:textId="77777777" w:rsidR="00AB3647" w:rsidRDefault="00000000" w:rsidP="007923E9">
      <w:pPr>
        <w:spacing w:after="100" w:line="276" w:lineRule="auto"/>
        <w:ind w:firstLine="340"/>
        <w:jc w:val="both"/>
      </w:pPr>
      <w:r>
        <w:rPr>
          <w:rtl/>
        </w:rPr>
        <w:t xml:space="preserve">אשכנזי השתומם על שכלו המעולה של תלמידו, ומסר לראשה שבעוד חצי שנה יהיה הנער מוכן לבחינות לתעודת בגרות. הוא אמר עוד שמעולם לא נתקל בשכל חריף כזה, ושעתיד מזהיר מצפה לנער כאיש אקדמיה באוניברסיטה רוסית – אילו רק נטש את אמונתו הדתית. השיעורים נמשכו כמה חודשים, והמורה התלהב מן ההזדמנות להכשיר את מי שראה בו פרופסור לעתיד. כשהחלה הדודה ראשה לפתות את אבי לעזוב את לימוד התורה לגמרי, והוא הבין שאשכנזי מוליך אותו לאותו כיוון, סירב להמשיך בשיעורים. באותו זמן התקוטט אהרן </w:t>
      </w:r>
      <w:proofErr w:type="spellStart"/>
      <w:r>
        <w:rPr>
          <w:rtl/>
        </w:rPr>
        <w:t>מסיסלוביץ</w:t>
      </w:r>
      <w:proofErr w:type="spellEnd"/>
      <w:r>
        <w:rPr>
          <w:rtl/>
        </w:rPr>
        <w:t>׳ עם אחותו הבוגרת, מלכה, שאהדה את הקומוניסטים ואף היא החלה ללחוץ על אחיה המבריק לעזוב את הקיבוץ לטובת תוכנית של לימודי חול.</w:t>
      </w:r>
    </w:p>
    <w:p w14:paraId="25989EB7" w14:textId="77777777" w:rsidR="00AB3647" w:rsidRDefault="00000000" w:rsidP="007923E9">
      <w:pPr>
        <w:spacing w:after="100" w:line="276" w:lineRule="auto"/>
        <w:ind w:firstLine="340"/>
        <w:jc w:val="both"/>
      </w:pPr>
      <w:r>
        <w:rPr>
          <w:rtl/>
        </w:rPr>
        <w:t xml:space="preserve">בחורף שלאחר מכן, בשנת תרס״ו, התרחשה פגישה גורלית נוספת: אבי וידידו החדש הוצגו לפני ראובן, בנו של ר׳ שמשון </w:t>
      </w:r>
      <w:proofErr w:type="spellStart"/>
      <w:r>
        <w:rPr>
          <w:rtl/>
        </w:rPr>
        <w:t>גרוזובסקי</w:t>
      </w:r>
      <w:proofErr w:type="spellEnd"/>
      <w:r>
        <w:rPr>
          <w:rtl/>
        </w:rPr>
        <w:t xml:space="preserve">, רב שכונת תחנת הרכבת של וילנה במינסק. את ראובן, בן </w:t>
      </w:r>
      <w:proofErr w:type="spellStart"/>
      <w:r>
        <w:rPr>
          <w:rtl/>
        </w:rPr>
        <w:t>שמונה־עשרה</w:t>
      </w:r>
      <w:proofErr w:type="spellEnd"/>
      <w:r>
        <w:rPr>
          <w:rtl/>
        </w:rPr>
        <w:t>, אפפה הילה של קדושה. שלא כשאר תלמידי הישיבות בימים ההם, לא גילח את זקנו, ולא עסק בשום עניין של חול אפילו כלאחר יד. להיטותו יוצאת הדופן לתורה הקנתה לו שם במינסק. כמו אביו, נלחם בהתפשטות הציונות המדינית, וניסה להטות את מרצם של צעירי העיר ממנה אל לימוד התורה.</w:t>
      </w:r>
    </w:p>
    <w:p w14:paraId="6B0DA6C6" w14:textId="77777777" w:rsidR="00AB3647" w:rsidRDefault="00000000" w:rsidP="007923E9">
      <w:pPr>
        <w:spacing w:after="100" w:line="276" w:lineRule="auto"/>
        <w:ind w:firstLine="340"/>
        <w:jc w:val="both"/>
      </w:pPr>
      <w:r>
        <w:rPr>
          <w:rtl/>
        </w:rPr>
        <w:t xml:space="preserve">בחורף הקודם, כשאהרן פינס היה שם, למד ראובן </w:t>
      </w:r>
      <w:proofErr w:type="spellStart"/>
      <w:r>
        <w:rPr>
          <w:rtl/>
        </w:rPr>
        <w:t>בסלבודקה</w:t>
      </w:r>
      <w:proofErr w:type="spellEnd"/>
      <w:r>
        <w:rPr>
          <w:rtl/>
        </w:rPr>
        <w:t xml:space="preserve"> – אבל לא בישיבתו של ר׳ </w:t>
      </w:r>
      <w:proofErr w:type="spellStart"/>
      <w:r>
        <w:rPr>
          <w:rtl/>
        </w:rPr>
        <w:t>ברוך־בער</w:t>
      </w:r>
      <w:proofErr w:type="spellEnd"/>
      <w:r>
        <w:rPr>
          <w:rtl/>
        </w:rPr>
        <w:t xml:space="preserve">, שבה נרשם הנער </w:t>
      </w:r>
      <w:proofErr w:type="spellStart"/>
      <w:r>
        <w:rPr>
          <w:rtl/>
        </w:rPr>
        <w:t>הסיסלוביצ׳ר</w:t>
      </w:r>
      <w:proofErr w:type="spellEnd"/>
      <w:r>
        <w:rPr>
          <w:rtl/>
        </w:rPr>
        <w:t xml:space="preserve">, אלא בישיבה המתחרה, כנסת ישראל, שבראשה עמד ר׳ </w:t>
      </w:r>
      <w:proofErr w:type="spellStart"/>
      <w:r>
        <w:rPr>
          <w:rtl/>
        </w:rPr>
        <w:t>משה־מרדכי</w:t>
      </w:r>
      <w:proofErr w:type="spellEnd"/>
      <w:r>
        <w:rPr>
          <w:rtl/>
        </w:rPr>
        <w:t xml:space="preserve"> אפשטיין. כשיצא ראובן לביתו, הורה לו המשגיח הוותיק של כנסת ישראל, ר׳ </w:t>
      </w:r>
      <w:proofErr w:type="spellStart"/>
      <w:r>
        <w:rPr>
          <w:rtl/>
        </w:rPr>
        <w:t>נתן־צבי</w:t>
      </w:r>
      <w:proofErr w:type="spellEnd"/>
      <w:r>
        <w:rPr>
          <w:rtl/>
        </w:rPr>
        <w:t xml:space="preserve"> </w:t>
      </w:r>
      <w:proofErr w:type="spellStart"/>
      <w:r>
        <w:rPr>
          <w:rtl/>
        </w:rPr>
        <w:t>פינקל</w:t>
      </w:r>
      <w:proofErr w:type="spellEnd"/>
      <w:r>
        <w:rPr>
          <w:rtl/>
        </w:rPr>
        <w:t xml:space="preserve">, לשים עין על אהרן פינס הצעיר בשעה שישהה ראובן בעיר הולדתו, ולנסות להביאו לישיבתו </w:t>
      </w:r>
      <w:proofErr w:type="spellStart"/>
      <w:r>
        <w:rPr>
          <w:rtl/>
        </w:rPr>
        <w:t>שבסלבודקה</w:t>
      </w:r>
      <w:proofErr w:type="spellEnd"/>
      <w:r>
        <w:rPr>
          <w:rtl/>
        </w:rPr>
        <w:t xml:space="preserve">. עם שובו למינסק נקשר ראובן בידידות קרובה עם </w:t>
      </w:r>
      <w:proofErr w:type="spellStart"/>
      <w:r>
        <w:rPr>
          <w:rtl/>
        </w:rPr>
        <w:t>הסיסלוביצ׳ר</w:t>
      </w:r>
      <w:proofErr w:type="spellEnd"/>
      <w:r>
        <w:rPr>
          <w:rtl/>
        </w:rPr>
        <w:t xml:space="preserve"> ועם ידידו </w:t>
      </w:r>
      <w:proofErr w:type="spellStart"/>
      <w:r>
        <w:rPr>
          <w:rtl/>
        </w:rPr>
        <w:t>הדולהינובר</w:t>
      </w:r>
      <w:proofErr w:type="spellEnd"/>
      <w:r>
        <w:rPr>
          <w:rtl/>
        </w:rPr>
        <w:t>.</w:t>
      </w:r>
    </w:p>
    <w:p w14:paraId="05C3E109" w14:textId="77777777" w:rsidR="00AB3647" w:rsidRDefault="00000000" w:rsidP="007923E9">
      <w:pPr>
        <w:spacing w:after="100" w:line="276" w:lineRule="auto"/>
        <w:ind w:firstLine="340"/>
        <w:jc w:val="both"/>
      </w:pPr>
      <w:r>
        <w:rPr>
          <w:rtl/>
        </w:rPr>
        <w:t xml:space="preserve">דאגתו של ראובן לאהרן ניכרה כבר בעת ההיא. ר׳ שמחה </w:t>
      </w:r>
      <w:proofErr w:type="spellStart"/>
      <w:r>
        <w:rPr>
          <w:rtl/>
        </w:rPr>
        <w:t>סולובייצ׳יק</w:t>
      </w:r>
      <w:proofErr w:type="spellEnd"/>
      <w:r>
        <w:rPr>
          <w:rtl/>
        </w:rPr>
        <w:t xml:space="preserve">, בנו הצעיר של רב </w:t>
      </w:r>
      <w:proofErr w:type="spellStart"/>
      <w:r>
        <w:rPr>
          <w:rtl/>
        </w:rPr>
        <w:t>בריסק</w:t>
      </w:r>
      <w:proofErr w:type="spellEnd"/>
      <w:r>
        <w:rPr>
          <w:rtl/>
        </w:rPr>
        <w:t xml:space="preserve"> המנוח, ר׳ יוסף־דב, נשא זה לא מכבר את בתו של ר׳ יצחק ליפשיץ, תלמיד חכם עשיר </w:t>
      </w:r>
      <w:proofErr w:type="spellStart"/>
      <w:r>
        <w:rPr>
          <w:rtl/>
        </w:rPr>
        <w:t>בקרוצ׳ה</w:t>
      </w:r>
      <w:proofErr w:type="spellEnd"/>
      <w:r>
        <w:rPr>
          <w:rtl/>
        </w:rPr>
        <w:t xml:space="preserve"> הסמוכה למינסק. בימי בין הזמנים קבע לו ר׳ שמחה סדר לימוד עם ראובן </w:t>
      </w:r>
      <w:proofErr w:type="spellStart"/>
      <w:r>
        <w:rPr>
          <w:rtl/>
        </w:rPr>
        <w:t>גרוזובסקי</w:t>
      </w:r>
      <w:proofErr w:type="spellEnd"/>
      <w:r>
        <w:rPr>
          <w:rtl/>
        </w:rPr>
        <w:t xml:space="preserve">, הצעיר ממנו בשמונה שנים. כשהחליט ראובן שאינו רוצה עוד לשהות בכפר הבודד, ביקש ממנו ר׳ שמחה לסדר לו במקומו כחברותא את אהרן </w:t>
      </w:r>
      <w:proofErr w:type="spellStart"/>
      <w:r>
        <w:rPr>
          <w:rtl/>
        </w:rPr>
        <w:t>הסיסלוביצ׳ר</w:t>
      </w:r>
      <w:proofErr w:type="spellEnd"/>
      <w:r>
        <w:rPr>
          <w:rtl/>
        </w:rPr>
        <w:t xml:space="preserve"> הצעיר. הנער אך זה מלאו לו </w:t>
      </w:r>
      <w:proofErr w:type="spellStart"/>
      <w:r>
        <w:rPr>
          <w:rtl/>
        </w:rPr>
        <w:t>ארבע־עשרה</w:t>
      </w:r>
      <w:proofErr w:type="spellEnd"/>
      <w:r>
        <w:rPr>
          <w:rtl/>
        </w:rPr>
        <w:t xml:space="preserve">, אבל שמעו כעילוי כבר יצא בכל חוגי התורה של מינסק. ראובן דחה בנועם את הבקשה. הוא הסביר שהוא עצמו יכול לעמוד על שלו בוויכוחים עם אחיה ואחיותיה של </w:t>
      </w:r>
      <w:r>
        <w:rPr>
          <w:rtl/>
        </w:rPr>
        <w:lastRenderedPageBreak/>
        <w:t xml:space="preserve">הכלה הצעירה, שנטו לסוציאליזם, אבל אינו בטוח שאהרן הצעיר לא יימשך אל </w:t>
      </w:r>
      <w:proofErr w:type="spellStart"/>
      <w:r>
        <w:rPr>
          <w:rtl/>
        </w:rPr>
        <w:t>צדם</w:t>
      </w:r>
      <w:proofErr w:type="spellEnd"/>
      <w:r>
        <w:rPr>
          <w:rtl/>
        </w:rPr>
        <w:t>, צד שונאי התורה.</w:t>
      </w:r>
    </w:p>
    <w:p w14:paraId="469CC759" w14:textId="77777777" w:rsidR="00AB3647" w:rsidRDefault="00000000" w:rsidP="007923E9">
      <w:pPr>
        <w:spacing w:after="100" w:line="276" w:lineRule="auto"/>
        <w:ind w:firstLine="340"/>
        <w:jc w:val="both"/>
      </w:pPr>
      <w:r>
        <w:rPr>
          <w:rtl/>
        </w:rPr>
        <w:t xml:space="preserve">ראובן ראה את הסכנות האורבות לאהרן פינס ולרבנו, וידע שהקרבה למשפחותיהם רק מחריפה את הסכנה. לכן החליט להתקדם בשליחותו של ר׳ </w:t>
      </w:r>
      <w:proofErr w:type="spellStart"/>
      <w:r>
        <w:rPr>
          <w:rtl/>
        </w:rPr>
        <w:t>נתן־צבי</w:t>
      </w:r>
      <w:proofErr w:type="spellEnd"/>
      <w:r>
        <w:rPr>
          <w:rtl/>
        </w:rPr>
        <w:t xml:space="preserve"> </w:t>
      </w:r>
      <w:proofErr w:type="spellStart"/>
      <w:r>
        <w:rPr>
          <w:rtl/>
        </w:rPr>
        <w:t>פינקל</w:t>
      </w:r>
      <w:proofErr w:type="spellEnd"/>
      <w:r>
        <w:rPr>
          <w:rtl/>
        </w:rPr>
        <w:t xml:space="preserve"> ולהביא את אהרן, יחד עם ידידו, לעזוב את מינסק אל מקום בטוח יותר מבחינה רוחנית. כדי לשכנעם בנימוקים שכליים, הצביע לפניהם על האפשרויות להתעלות בתורה שהיו פתוחות לפניהם </w:t>
      </w:r>
      <w:proofErr w:type="spellStart"/>
      <w:r>
        <w:rPr>
          <w:rtl/>
        </w:rPr>
        <w:t>בסלבודקה</w:t>
      </w:r>
      <w:proofErr w:type="spellEnd"/>
      <w:r>
        <w:rPr>
          <w:rtl/>
        </w:rPr>
        <w:t xml:space="preserve">, וחזר באוזניהם על </w:t>
      </w:r>
      <w:proofErr w:type="spellStart"/>
      <w:r>
        <w:rPr>
          <w:rtl/>
        </w:rPr>
        <w:t>סברא</w:t>
      </w:r>
      <w:proofErr w:type="spellEnd"/>
      <w:r>
        <w:rPr>
          <w:rtl/>
        </w:rPr>
        <w:t xml:space="preserve"> חריפה ששמע שם.</w:t>
      </w:r>
    </w:p>
    <w:p w14:paraId="07987A33" w14:textId="77777777" w:rsidR="00AB3647" w:rsidRDefault="00000000" w:rsidP="007923E9">
      <w:pPr>
        <w:spacing w:after="100" w:line="276" w:lineRule="auto"/>
        <w:ind w:firstLine="340"/>
        <w:jc w:val="both"/>
      </w:pPr>
      <w:r>
        <w:rPr>
          <w:rtl/>
        </w:rPr>
        <w:t xml:space="preserve">בעל ברית במערכה זו מצא ראובן בבן מינסק המבוגר ממנו בשנה, אשר </w:t>
      </w:r>
      <w:proofErr w:type="spellStart"/>
      <w:r>
        <w:rPr>
          <w:rtl/>
        </w:rPr>
        <w:t>קרשטיין</w:t>
      </w:r>
      <w:proofErr w:type="spellEnd"/>
      <w:r>
        <w:rPr>
          <w:rtl/>
        </w:rPr>
        <w:t xml:space="preserve">, שלמד אז כבר שנתיים באותה ישיבה שבה למד גם הוא, כנסת ישראל, ובא למינסק לביקור קצר. אשר התנדב לעזור לנערים הצעירים כשיחליטו להצטרף אליו </w:t>
      </w:r>
      <w:proofErr w:type="spellStart"/>
      <w:r>
        <w:rPr>
          <w:rtl/>
        </w:rPr>
        <w:t>בסלבודקה</w:t>
      </w:r>
      <w:proofErr w:type="spellEnd"/>
      <w:r>
        <w:rPr>
          <w:rtl/>
        </w:rPr>
        <w:t xml:space="preserve">. גם בחור </w:t>
      </w:r>
      <w:proofErr w:type="spellStart"/>
      <w:r>
        <w:rPr>
          <w:rtl/>
        </w:rPr>
        <w:t>מינסקאי</w:t>
      </w:r>
      <w:proofErr w:type="spellEnd"/>
      <w:r>
        <w:rPr>
          <w:rtl/>
        </w:rPr>
        <w:t xml:space="preserve"> נוסף, מבוגר אף מראובן ומאשר, </w:t>
      </w:r>
      <w:proofErr w:type="spellStart"/>
      <w:r>
        <w:rPr>
          <w:rtl/>
        </w:rPr>
        <w:t>זלמן־יוסף</w:t>
      </w:r>
      <w:proofErr w:type="spellEnd"/>
      <w:r>
        <w:rPr>
          <w:rtl/>
        </w:rPr>
        <w:t xml:space="preserve"> </w:t>
      </w:r>
      <w:proofErr w:type="spellStart"/>
      <w:r>
        <w:rPr>
          <w:rtl/>
        </w:rPr>
        <w:t>בייניסון</w:t>
      </w:r>
      <w:proofErr w:type="spellEnd"/>
      <w:r>
        <w:rPr>
          <w:rtl/>
        </w:rPr>
        <w:t>, נטל חלק בשכנוע הנערים המחוננים לעזוב את מינסק.</w:t>
      </w:r>
    </w:p>
    <w:p w14:paraId="7F94BA55" w14:textId="77777777" w:rsidR="00AB3647" w:rsidRDefault="00000000" w:rsidP="007923E9">
      <w:pPr>
        <w:spacing w:after="100" w:line="276" w:lineRule="auto"/>
        <w:ind w:firstLine="340"/>
        <w:jc w:val="both"/>
      </w:pPr>
      <w:r>
        <w:rPr>
          <w:rtl/>
        </w:rPr>
        <w:t xml:space="preserve">בלהיטות האופיינית לו לא השאיר ראובן </w:t>
      </w:r>
      <w:proofErr w:type="spellStart"/>
      <w:r>
        <w:rPr>
          <w:rtl/>
        </w:rPr>
        <w:t>גרוזובסקי</w:t>
      </w:r>
      <w:proofErr w:type="spellEnd"/>
      <w:r>
        <w:rPr>
          <w:rtl/>
        </w:rPr>
        <w:t xml:space="preserve"> דבר ליד המקרה. לא זו בלבד שדיבר ישירות עם הנוגעים בדבר, אלא אף תיאר את הבעיות הנובעות מהמשך שהותם במינסק לפני אחד מראשי הישיבה הקודמים של אבי – ושל אשר – ר׳ שלמה </w:t>
      </w:r>
      <w:proofErr w:type="spellStart"/>
      <w:r>
        <w:rPr>
          <w:rtl/>
        </w:rPr>
        <w:t>גולובנצ׳יץ</w:t>
      </w:r>
      <w:proofErr w:type="spellEnd"/>
      <w:r>
        <w:rPr>
          <w:rtl/>
        </w:rPr>
        <w:t xml:space="preserve">. ר׳ שלמה, מצדו, סידר שאוהב התורה ר׳ </w:t>
      </w:r>
      <w:proofErr w:type="spellStart"/>
      <w:r>
        <w:rPr>
          <w:rtl/>
        </w:rPr>
        <w:t>יעקב־נח</w:t>
      </w:r>
      <w:proofErr w:type="spellEnd"/>
      <w:r>
        <w:rPr>
          <w:rtl/>
        </w:rPr>
        <w:t xml:space="preserve"> </w:t>
      </w:r>
      <w:proofErr w:type="spellStart"/>
      <w:r>
        <w:rPr>
          <w:rtl/>
        </w:rPr>
        <w:t>אוקסנקרוג</w:t>
      </w:r>
      <w:proofErr w:type="spellEnd"/>
      <w:r>
        <w:rPr>
          <w:rtl/>
        </w:rPr>
        <w:t xml:space="preserve"> יממן את דמי הנסיעה ברכבת ואת ההוצאות הראשונות של שני תלמידי החכמים הצעירים המבטיחים, אם יסכימו לעזוב את מינסק. משהוסר מכשול זה, שב ראובן להסתערות חזיתית, ודחק בשני הנערים שלא ידחו עוד את יציאתם ממינסק.</w:t>
      </w:r>
    </w:p>
    <w:p w14:paraId="07BD5DD9" w14:textId="77777777" w:rsidR="00AB3647" w:rsidRDefault="00000000" w:rsidP="007923E9">
      <w:pPr>
        <w:spacing w:after="100" w:line="276" w:lineRule="auto"/>
        <w:ind w:firstLine="340"/>
        <w:jc w:val="both"/>
      </w:pPr>
      <w:r>
        <w:rPr>
          <w:rtl/>
        </w:rPr>
        <w:t xml:space="preserve">תיאור הישיבה הרחוקה מפי הבחורים המבוגרים והמכובדים עורר את </w:t>
      </w:r>
      <w:proofErr w:type="spellStart"/>
      <w:r>
        <w:rPr>
          <w:rtl/>
        </w:rPr>
        <w:t>תיאבונם</w:t>
      </w:r>
      <w:proofErr w:type="spellEnd"/>
      <w:r>
        <w:rPr>
          <w:rtl/>
        </w:rPr>
        <w:t xml:space="preserve">, והנערים הודיעו שהם מוכנים לעבור </w:t>
      </w:r>
      <w:proofErr w:type="spellStart"/>
      <w:r>
        <w:rPr>
          <w:rtl/>
        </w:rPr>
        <w:t>לסלבודקה</w:t>
      </w:r>
      <w:proofErr w:type="spellEnd"/>
      <w:r>
        <w:rPr>
          <w:rtl/>
        </w:rPr>
        <w:t xml:space="preserve">. אבי ביקש מאביו של ראובן, ר׳ שמשון </w:t>
      </w:r>
      <w:proofErr w:type="spellStart"/>
      <w:r>
        <w:rPr>
          <w:rtl/>
        </w:rPr>
        <w:t>גרוזובסקי</w:t>
      </w:r>
      <w:proofErr w:type="spellEnd"/>
      <w:r>
        <w:rPr>
          <w:rtl/>
        </w:rPr>
        <w:t xml:space="preserve"> הנכבד, שיעזור לו להציג את תוכניותיו החדשות לפני הוריו, ור׳ בנימין </w:t>
      </w:r>
      <w:proofErr w:type="spellStart"/>
      <w:r>
        <w:rPr>
          <w:rtl/>
        </w:rPr>
        <w:t>קמינצקי</w:t>
      </w:r>
      <w:proofErr w:type="spellEnd"/>
      <w:r>
        <w:rPr>
          <w:rtl/>
        </w:rPr>
        <w:t xml:space="preserve"> נועץ באביו, ר׳ </w:t>
      </w:r>
      <w:proofErr w:type="spellStart"/>
      <w:r>
        <w:rPr>
          <w:rtl/>
        </w:rPr>
        <w:t>שמואל־הירש</w:t>
      </w:r>
      <w:proofErr w:type="spellEnd"/>
      <w:r>
        <w:rPr>
          <w:rtl/>
        </w:rPr>
        <w:t xml:space="preserve">, מה לעשות. ר׳ </w:t>
      </w:r>
      <w:proofErr w:type="spellStart"/>
      <w:r>
        <w:rPr>
          <w:rtl/>
        </w:rPr>
        <w:t>שמואל־הירש</w:t>
      </w:r>
      <w:proofErr w:type="spellEnd"/>
      <w:r>
        <w:rPr>
          <w:rtl/>
        </w:rPr>
        <w:t xml:space="preserve"> תמך בלב שלם בכך שיניחו לנכדו הנלהב ללכת לישיבה שבסביבות קובנה, ואף נתן לו מכתב המלצה להביא עמו אל ר׳ </w:t>
      </w:r>
      <w:proofErr w:type="spellStart"/>
      <w:r>
        <w:rPr>
          <w:rtl/>
        </w:rPr>
        <w:t>ברוך־בער</w:t>
      </w:r>
      <w:proofErr w:type="spellEnd"/>
      <w:r>
        <w:rPr>
          <w:rtl/>
        </w:rPr>
        <w:t xml:space="preserve"> </w:t>
      </w:r>
      <w:proofErr w:type="spellStart"/>
      <w:r>
        <w:rPr>
          <w:rtl/>
        </w:rPr>
        <w:t>ליבוביץ</w:t>
      </w:r>
      <w:proofErr w:type="spellEnd"/>
      <w:r>
        <w:rPr>
          <w:rtl/>
        </w:rPr>
        <w:t>, שהיה קרובו הרחוק. ההחלטה נפלה: אבי ייצא לקובנה מיד אחרי פסח.</w:t>
      </w:r>
    </w:p>
    <w:p w14:paraId="06C5F0D4" w14:textId="77777777" w:rsidR="00AB3647" w:rsidRDefault="00000000" w:rsidP="007923E9">
      <w:pPr>
        <w:pStyle w:val="ae"/>
        <w:keepNext/>
        <w:pageBreakBefore/>
        <w:spacing w:line="276" w:lineRule="auto"/>
      </w:pPr>
      <w:bookmarkStart w:id="133" w:name="text_chapter3"/>
      <w:r>
        <w:lastRenderedPageBreak/>
        <w:t>פרק שלישי</w:t>
      </w:r>
      <w:bookmarkEnd w:id="133"/>
    </w:p>
    <w:p w14:paraId="72B4A1D2" w14:textId="77777777" w:rsidR="00AB3647" w:rsidRDefault="00000000" w:rsidP="007923E9">
      <w:pPr>
        <w:pStyle w:val="1"/>
        <w:spacing w:line="276" w:lineRule="auto"/>
      </w:pPr>
      <w:r>
        <w:t xml:space="preserve">העשור השני – ב: </w:t>
      </w:r>
      <w:proofErr w:type="spellStart"/>
      <w:r>
        <w:t>סלבודקה</w:t>
      </w:r>
      <w:proofErr w:type="spellEnd"/>
    </w:p>
    <w:p w14:paraId="16B0E6F5" w14:textId="77777777" w:rsidR="00AB3647" w:rsidRDefault="00000000" w:rsidP="007923E9">
      <w:pPr>
        <w:pStyle w:val="2"/>
        <w:spacing w:line="276" w:lineRule="auto"/>
      </w:pPr>
      <w:r>
        <w:t>1.</w:t>
      </w:r>
    </w:p>
    <w:p w14:paraId="1B990D9D" w14:textId="77777777" w:rsidR="00AB3647" w:rsidRDefault="00000000" w:rsidP="007923E9">
      <w:pPr>
        <w:spacing w:after="100" w:line="276" w:lineRule="auto"/>
        <w:ind w:firstLine="340"/>
        <w:jc w:val="both"/>
      </w:pPr>
      <w:r>
        <w:rPr>
          <w:rtl/>
        </w:rPr>
        <w:t xml:space="preserve">שני בחורי הישיבה, </w:t>
      </w:r>
      <w:proofErr w:type="spellStart"/>
      <w:r>
        <w:rPr>
          <w:rtl/>
        </w:rPr>
        <w:t>הדולהינובר</w:t>
      </w:r>
      <w:proofErr w:type="spellEnd"/>
      <w:r>
        <w:rPr>
          <w:rtl/>
        </w:rPr>
        <w:t xml:space="preserve"> </w:t>
      </w:r>
      <w:proofErr w:type="spellStart"/>
      <w:r>
        <w:rPr>
          <w:rtl/>
        </w:rPr>
        <w:t>והסיסלוביצ׳ר</w:t>
      </w:r>
      <w:proofErr w:type="spellEnd"/>
      <w:r>
        <w:rPr>
          <w:rtl/>
        </w:rPr>
        <w:t xml:space="preserve">, ועמם מועמד שלישי לישיבת </w:t>
      </w:r>
      <w:proofErr w:type="spellStart"/>
      <w:r>
        <w:rPr>
          <w:rtl/>
        </w:rPr>
        <w:t>סלבודקה</w:t>
      </w:r>
      <w:proofErr w:type="spellEnd"/>
      <w:r>
        <w:rPr>
          <w:rtl/>
        </w:rPr>
        <w:t xml:space="preserve">, יצאו ממינסק באביב תרס״ו לנסיעה ברכבת בת 290 קילומטרים. מסלולם עבר </w:t>
      </w:r>
      <w:proofErr w:type="spellStart"/>
      <w:r>
        <w:rPr>
          <w:rtl/>
        </w:rPr>
        <w:t>צפונה־מערבה</w:t>
      </w:r>
      <w:proofErr w:type="spellEnd"/>
      <w:r>
        <w:rPr>
          <w:rtl/>
        </w:rPr>
        <w:t xml:space="preserve">, בכיוון הכללי של נהר </w:t>
      </w:r>
      <w:proofErr w:type="spellStart"/>
      <w:r>
        <w:rPr>
          <w:rtl/>
        </w:rPr>
        <w:t>הוויליה</w:t>
      </w:r>
      <w:proofErr w:type="spellEnd"/>
      <w:r>
        <w:rPr>
          <w:rtl/>
        </w:rPr>
        <w:t xml:space="preserve">, הנהר שהכיר אבי </w:t>
      </w:r>
      <w:proofErr w:type="spellStart"/>
      <w:r>
        <w:rPr>
          <w:rtl/>
        </w:rPr>
        <w:t>מקאליסקובקה</w:t>
      </w:r>
      <w:proofErr w:type="spellEnd"/>
      <w:r>
        <w:rPr>
          <w:rtl/>
        </w:rPr>
        <w:t xml:space="preserve"> מולדתו. בווילנה, לאחר שעברו שני שלישים מן הדרך אל מחוז חפצם, היו צריכים להחליף רכבת. </w:t>
      </w:r>
      <w:proofErr w:type="spellStart"/>
      <w:r>
        <w:rPr>
          <w:rtl/>
        </w:rPr>
        <w:t>הדולהינובר</w:t>
      </w:r>
      <w:proofErr w:type="spellEnd"/>
      <w:r>
        <w:rPr>
          <w:rtl/>
        </w:rPr>
        <w:t xml:space="preserve"> הסקרן וחברו </w:t>
      </w:r>
      <w:proofErr w:type="spellStart"/>
      <w:r>
        <w:rPr>
          <w:rtl/>
        </w:rPr>
        <w:t>הסיסלוביצ׳ר</w:t>
      </w:r>
      <w:proofErr w:type="spellEnd"/>
      <w:r>
        <w:rPr>
          <w:rtl/>
        </w:rPr>
        <w:t xml:space="preserve"> החליטו לנצל את שעות הפנאי המעטות שהיו להם כדי להעיף מבט בעיר.</w:t>
      </w:r>
    </w:p>
    <w:p w14:paraId="59ABF3E2" w14:textId="77777777" w:rsidR="00AB3647" w:rsidRDefault="00000000" w:rsidP="007923E9">
      <w:pPr>
        <w:spacing w:after="100" w:line="276" w:lineRule="auto"/>
        <w:ind w:firstLine="340"/>
        <w:jc w:val="both"/>
      </w:pPr>
      <w:r>
        <w:rPr>
          <w:rtl/>
        </w:rPr>
        <w:t xml:space="preserve">בטיולם תעו בדרך, כשנאלצו לעקוף דרך השכונה של רחוב </w:t>
      </w:r>
      <w:proofErr w:type="spellStart"/>
      <w:r>
        <w:rPr>
          <w:rtl/>
        </w:rPr>
        <w:t>אוסטרובראמה</w:t>
      </w:r>
      <w:proofErr w:type="spellEnd"/>
      <w:r>
        <w:rPr>
          <w:rtl/>
        </w:rPr>
        <w:t xml:space="preserve">. רחוב זה עבר בשער מקומר שבתוך כנסייה: הקתולים שנכנסו בשער כרעו והצטלבו, ואילו היהודים, להבדיל, נדרשו להסיר את כובעיהם. יהודי וילנאי טוב לב, שראה את שני הנערים מעיינים בשלטי הרחובות, הבין שתעו והוליכם בחזרה אל התחנה.</w:t>
      </w:r>
    </w:p>
    <w:p w14:paraId="34B8199E" w14:textId="77777777" w:rsidR="00AB3647" w:rsidRDefault="00000000" w:rsidP="007923E9">
      <w:pPr>
        <w:spacing w:after="100" w:line="276" w:lineRule="auto"/>
        <w:ind w:firstLine="340"/>
        <w:jc w:val="both"/>
      </w:pPr>
      <w:r>
        <w:rPr>
          <w:rtl/>
        </w:rPr>
        <w:t xml:space="preserve">הנערים שמחו לשוב אל הרכבת, ולבסוף הגיעו לקובנה, עיר גדולה השוכנת בזווית שבמפגש </w:t>
      </w:r>
      <w:proofErr w:type="spellStart"/>
      <w:r>
        <w:rPr>
          <w:rtl/>
        </w:rPr>
        <w:t>הוויליה</w:t>
      </w:r>
      <w:proofErr w:type="spellEnd"/>
      <w:r>
        <w:rPr>
          <w:rtl/>
        </w:rPr>
        <w:t xml:space="preserve">, הפונה </w:t>
      </w:r>
      <w:proofErr w:type="spellStart"/>
      <w:r>
        <w:rPr>
          <w:rtl/>
        </w:rPr>
        <w:t>דרומה־מערבה</w:t>
      </w:r>
      <w:proofErr w:type="spellEnd"/>
      <w:r>
        <w:rPr>
          <w:rtl/>
        </w:rPr>
        <w:t xml:space="preserve">, עם נהר </w:t>
      </w:r>
      <w:proofErr w:type="spellStart"/>
      <w:r>
        <w:rPr>
          <w:rtl/>
        </w:rPr>
        <w:t>הנמן</w:t>
      </w:r>
      <w:proofErr w:type="spellEnd"/>
      <w:r>
        <w:rPr>
          <w:rtl/>
        </w:rPr>
        <w:t xml:space="preserve"> הרחב ממנו. בכ״ט בניסן (24 באפריל) ראו הנוסעים את העיר, בת 75,000 תושבים, שיותר ממחציתם היו יהודים. קובנה הרשימה ביופי בנייניה ובהדר נופה, ואת שוליה תחמו גבעות, שעדיין היו חשופות כדרכן בעונה זו. רוב ימות השנה חיברו גשרים על </w:t>
      </w:r>
      <w:proofErr w:type="spellStart"/>
      <w:r>
        <w:rPr>
          <w:rtl/>
        </w:rPr>
        <w:t>הוויליה</w:t>
      </w:r>
      <w:proofErr w:type="spellEnd"/>
      <w:r>
        <w:rPr>
          <w:rtl/>
        </w:rPr>
        <w:t xml:space="preserve"> ועל </w:t>
      </w:r>
      <w:proofErr w:type="spellStart"/>
      <w:r>
        <w:rPr>
          <w:rtl/>
        </w:rPr>
        <w:t>הנמן</w:t>
      </w:r>
      <w:proofErr w:type="spellEnd"/>
      <w:r>
        <w:rPr>
          <w:rtl/>
        </w:rPr>
        <w:t xml:space="preserve"> את העיר אל הפרברים </w:t>
      </w:r>
      <w:proofErr w:type="spellStart"/>
      <w:r>
        <w:rPr>
          <w:rtl/>
        </w:rPr>
        <w:t>ויליאמפולה</w:t>
      </w:r>
      <w:proofErr w:type="spellEnd"/>
      <w:r>
        <w:rPr>
          <w:rtl/>
        </w:rPr>
        <w:t xml:space="preserve"> </w:t>
      </w:r>
      <w:proofErr w:type="spellStart"/>
      <w:r>
        <w:rPr>
          <w:rtl/>
        </w:rPr>
        <w:t>ואלקסוט</w:t>
      </w:r>
      <w:proofErr w:type="spellEnd"/>
      <w:r>
        <w:rPr>
          <w:rtl/>
        </w:rPr>
        <w:t>, בהתאמה.</w:t>
      </w:r>
    </w:p>
    <w:p w14:paraId="15BB872F" w14:textId="77777777" w:rsidR="00AB3647" w:rsidRDefault="00000000" w:rsidP="007923E9">
      <w:pPr>
        <w:spacing w:after="100" w:line="276" w:lineRule="auto"/>
        <w:ind w:firstLine="340"/>
        <w:jc w:val="both"/>
      </w:pPr>
      <w:r>
        <w:rPr>
          <w:rtl/>
        </w:rPr>
        <w:t xml:space="preserve">קובנה נוסדה בשנת </w:t>
      </w:r>
      <w:proofErr w:type="spellStart"/>
      <w:r>
        <w:rPr>
          <w:rtl/>
        </w:rPr>
        <w:t>ד׳תש״צ</w:t>
      </w:r>
      <w:proofErr w:type="spellEnd"/>
      <w:r>
        <w:rPr>
          <w:rtl/>
        </w:rPr>
        <w:t xml:space="preserve"> בידי ליטאים עובדי אלילים, כיישוב שאין בו ייחוד. במשך מאות שנים עברה העיירה מיד ליד: פעם כבשוה לוחמים </w:t>
      </w:r>
      <w:proofErr w:type="spellStart"/>
      <w:r>
        <w:rPr>
          <w:rtl/>
        </w:rPr>
        <w:t>טבטונים</w:t>
      </w:r>
      <w:proofErr w:type="spellEnd"/>
      <w:r>
        <w:rPr>
          <w:rtl/>
        </w:rPr>
        <w:t xml:space="preserve"> פולשים, ופעם כבשוה מחדש שבטי הליטאים. בשנת ה׳ק״ע (1410), לאחר שהגיבור הליטאי </w:t>
      </w:r>
      <w:proofErr w:type="spellStart"/>
      <w:r>
        <w:rPr>
          <w:rtl/>
        </w:rPr>
        <w:t>ויטאוטס</w:t>
      </w:r>
      <w:proofErr w:type="spellEnd"/>
      <w:r>
        <w:rPr>
          <w:rtl/>
        </w:rPr>
        <w:t xml:space="preserve"> הביס סוף סוף את האבירים הגרמנים </w:t>
      </w:r>
      <w:proofErr w:type="spellStart"/>
      <w:r>
        <w:rPr>
          <w:rtl/>
        </w:rPr>
        <w:t>בטננברג</w:t>
      </w:r>
      <w:proofErr w:type="spellEnd"/>
      <w:r>
        <w:rPr>
          <w:rtl/>
        </w:rPr>
        <w:t>, יצאה העיר לדרך התפתחות איטית, ובשלב זה התקבלו יהודים בברכה לאזור קובנה.</w:t>
      </w:r>
    </w:p>
    <w:p w14:paraId="563DE62C" w14:textId="77777777" w:rsidR="00AB3647" w:rsidRDefault="00000000" w:rsidP="007923E9">
      <w:pPr>
        <w:spacing w:after="100" w:line="276" w:lineRule="auto"/>
        <w:ind w:firstLine="340"/>
        <w:jc w:val="both"/>
      </w:pPr>
      <w:r>
        <w:rPr>
          <w:rtl/>
        </w:rPr>
        <w:t xml:space="preserve">במשך 370 השנים שלאחר מכן השלימו הבורגנים הנוצרים של קובנה רק עם נוכחותם של יהודים מעטים, גם בזמנים הטובים ביותר, ובתקופות מסוימות גורשו אפילו המעטים. אבל </w:t>
      </w:r>
      <w:proofErr w:type="spellStart"/>
      <w:r>
        <w:rPr>
          <w:rtl/>
        </w:rPr>
        <w:t>ויליאמפולה</w:t>
      </w:r>
      <w:proofErr w:type="spellEnd"/>
      <w:r>
        <w:rPr>
          <w:rtl/>
        </w:rPr>
        <w:t xml:space="preserve">, ממש מעבר </w:t>
      </w:r>
      <w:proofErr w:type="spellStart"/>
      <w:r>
        <w:rPr>
          <w:rtl/>
        </w:rPr>
        <w:t>לוויליה</w:t>
      </w:r>
      <w:proofErr w:type="spellEnd"/>
      <w:r>
        <w:rPr>
          <w:rtl/>
        </w:rPr>
        <w:t xml:space="preserve">, הייתה שייכת למשפחת האצילים הפולנית </w:t>
      </w:r>
      <w:proofErr w:type="spellStart"/>
      <w:r>
        <w:rPr>
          <w:rtl/>
        </w:rPr>
        <w:t>רדזיוויל</w:t>
      </w:r>
      <w:proofErr w:type="spellEnd"/>
      <w:r>
        <w:rPr>
          <w:rtl/>
        </w:rPr>
        <w:t xml:space="preserve">, ושם לא הוטלו הגבלות. </w:t>
      </w:r>
      <w:proofErr w:type="spellStart"/>
      <w:r>
        <w:rPr>
          <w:rtl/>
        </w:rPr>
        <w:t>ויליאמפולה</w:t>
      </w:r>
      <w:proofErr w:type="spellEnd"/>
      <w:r>
        <w:rPr>
          <w:rtl/>
        </w:rPr>
        <w:t xml:space="preserve"> נעשתה קהילה יהודית יציבה, ואליה היו יהודי קובנה בורחים בגלויותיהם החוזרות ונשנות. משום שהתפתחותה של קובנה כקהילה יהודית נבלמה, הופקדו צרכיה הדתיים בידי </w:t>
      </w:r>
      <w:proofErr w:type="spellStart"/>
      <w:r>
        <w:rPr>
          <w:rtl/>
        </w:rPr>
        <w:t>מ״ץ</w:t>
      </w:r>
      <w:proofErr w:type="spellEnd"/>
      <w:r>
        <w:rPr>
          <w:rtl/>
        </w:rPr>
        <w:t xml:space="preserve"> בלבד, ואילו </w:t>
      </w:r>
      <w:proofErr w:type="spellStart"/>
      <w:r>
        <w:rPr>
          <w:rtl/>
        </w:rPr>
        <w:t>בוויליאמפולה</w:t>
      </w:r>
      <w:proofErr w:type="spellEnd"/>
      <w:r>
        <w:rPr>
          <w:rtl/>
        </w:rPr>
        <w:t xml:space="preserve"> כיהן רב של ממש.</w:t>
      </w:r>
    </w:p>
    <w:p w14:paraId="1FB4067F" w14:textId="77777777" w:rsidR="00AB3647" w:rsidRDefault="00000000" w:rsidP="007923E9">
      <w:pPr>
        <w:spacing w:after="100" w:line="276" w:lineRule="auto"/>
        <w:ind w:firstLine="340"/>
        <w:jc w:val="both"/>
      </w:pPr>
      <w:r>
        <w:rPr>
          <w:rtl/>
        </w:rPr>
        <w:t xml:space="preserve">מצבה של הקהילה היהודית בקובנה התייצב כאשר רבה של </w:t>
      </w:r>
      <w:proofErr w:type="spellStart"/>
      <w:r>
        <w:rPr>
          <w:rtl/>
        </w:rPr>
        <w:t>ויליאמפולה</w:t>
      </w:r>
      <w:proofErr w:type="spellEnd"/>
      <w:r>
        <w:rPr>
          <w:rtl/>
        </w:rPr>
        <w:t xml:space="preserve">, ר׳ משה </w:t>
      </w:r>
      <w:proofErr w:type="spellStart"/>
      <w:r>
        <w:rPr>
          <w:rtl/>
        </w:rPr>
        <w:t>סולובייצ׳יק</w:t>
      </w:r>
      <w:proofErr w:type="spellEnd"/>
      <w:r>
        <w:rPr>
          <w:rtl/>
        </w:rPr>
        <w:t xml:space="preserve">, שהיה עשיר מצד עצמו, ואחיו הגדול, איש העסקים ר׳ אברהם, פתחו בשנת </w:t>
      </w:r>
      <w:r>
        <w:rPr>
          <w:rtl/>
        </w:rPr>
        <w:lastRenderedPageBreak/>
        <w:t xml:space="preserve">תקכ״א בתביעה משפטית נגד ההגבלה השרירותית על מגורי יהודים. ההתדיינות נמשכה עשרים ואחת שנה ועלתה הון תועפות, אבל לבסוף זכו בדין. כתוצאה מכך יכלו היהודים האמידים של </w:t>
      </w:r>
      <w:proofErr w:type="spellStart"/>
      <w:r>
        <w:rPr>
          <w:rtl/>
        </w:rPr>
        <w:t>ויליאמפולה</w:t>
      </w:r>
      <w:proofErr w:type="spellEnd"/>
      <w:r>
        <w:rPr>
          <w:rtl/>
        </w:rPr>
        <w:t xml:space="preserve"> לעבור – או לחזור – אל מעבר לגשר, לקובנה, ולעזור לה להתפתח למרכז עירוני. לבסוף האפילה קובנה על </w:t>
      </w:r>
      <w:proofErr w:type="spellStart"/>
      <w:r>
        <w:rPr>
          <w:rtl/>
        </w:rPr>
        <w:t>ויליאמפולה</w:t>
      </w:r>
      <w:proofErr w:type="spellEnd"/>
      <w:r>
        <w:rPr>
          <w:rtl/>
        </w:rPr>
        <w:t xml:space="preserve"> והפכה אותה לפרבר שלה. </w:t>
      </w:r>
      <w:proofErr w:type="spellStart"/>
      <w:r>
        <w:rPr>
          <w:rtl/>
        </w:rPr>
        <w:t>ויליאמפולה</w:t>
      </w:r>
      <w:proofErr w:type="spellEnd"/>
      <w:r>
        <w:rPr>
          <w:rtl/>
        </w:rPr>
        <w:t xml:space="preserve"> נודעה בשם </w:t>
      </w:r>
      <w:proofErr w:type="spellStart"/>
      <w:r>
        <w:rPr>
          <w:rtl/>
        </w:rPr>
        <w:t>סלבודקה</w:t>
      </w:r>
      <w:proofErr w:type="spellEnd"/>
      <w:r>
        <w:rPr>
          <w:rtl/>
        </w:rPr>
        <w:t>, “הפרבר” בלשון הסלאבית.</w:t>
      </w:r>
    </w:p>
    <w:p w14:paraId="5869E7D0" w14:textId="77777777" w:rsidR="00AB3647" w:rsidRDefault="00000000" w:rsidP="007923E9">
      <w:pPr>
        <w:spacing w:after="100" w:line="276" w:lineRule="auto"/>
        <w:ind w:firstLine="340"/>
        <w:jc w:val="both"/>
      </w:pPr>
      <w:r>
        <w:rPr>
          <w:rtl/>
        </w:rPr>
        <w:t xml:space="preserve">מאז ועד פרוץ מלחמת העולם הראשונה מלכה ידיעת התורה בכיפה בקהילה היהודית של </w:t>
      </w:r>
      <w:proofErr w:type="spellStart"/>
      <w:r>
        <w:rPr>
          <w:rtl/>
        </w:rPr>
        <w:t>קובנה־סלבודקה</w:t>
      </w:r>
      <w:proofErr w:type="spellEnd"/>
      <w:r>
        <w:rPr>
          <w:rtl/>
        </w:rPr>
        <w:t>. כולם למדו תורה, וכולם, אפילו אנשי עסקים ופועלים, היו בקיאים בה. נגרים, חייטים וסנדלרים, ואפילו בני המעמד הנמוך – נפחים ועגלונים – היו בקיאים בתלמוד ובפוסקים, ואין צריך לומר בתנ״ך ובמדרשים. קהילה גדולה כל כך של לומדים לא הייתה ידועה בכל ליטא ופולין.</w:t>
      </w:r>
    </w:p>
    <w:p w14:paraId="71EF00CF" w14:textId="77777777" w:rsidR="00AB3647" w:rsidRDefault="00000000" w:rsidP="007923E9">
      <w:pPr>
        <w:spacing w:after="100" w:line="276" w:lineRule="auto"/>
        <w:ind w:firstLine="340"/>
        <w:jc w:val="both"/>
      </w:pPr>
      <w:r>
        <w:rPr>
          <w:rtl/>
        </w:rPr>
        <w:t xml:space="preserve">רבה הראשון של קובנה היה ר׳ </w:t>
      </w:r>
      <w:proofErr w:type="spellStart"/>
      <w:r>
        <w:rPr>
          <w:rtl/>
        </w:rPr>
        <w:t>לייבל׳ה</w:t>
      </w:r>
      <w:proofErr w:type="spellEnd"/>
      <w:r>
        <w:rPr>
          <w:rtl/>
        </w:rPr>
        <w:t xml:space="preserve"> שפירא. הוא כיהן חמש שנים משנת תר״ח, יותר מחצי מאה לאחר שנעשתה ליטא פלך באימפריה הרוסית העצומה. אחרי פטירתו כיהן ר׳ </w:t>
      </w:r>
      <w:proofErr w:type="spellStart"/>
      <w:r>
        <w:rPr>
          <w:rtl/>
        </w:rPr>
        <w:t>משה־יצחק</w:t>
      </w:r>
      <w:proofErr w:type="spellEnd"/>
      <w:r>
        <w:rPr>
          <w:rtl/>
        </w:rPr>
        <w:t xml:space="preserve"> אביגדור ברבנות שבע שנים, ובא אחריו ר׳ </w:t>
      </w:r>
      <w:proofErr w:type="spellStart"/>
      <w:r>
        <w:rPr>
          <w:rtl/>
        </w:rPr>
        <w:t>יהושע־לייב</w:t>
      </w:r>
      <w:proofErr w:type="spellEnd"/>
      <w:r>
        <w:rPr>
          <w:rtl/>
        </w:rPr>
        <w:t xml:space="preserve"> דיסקין. אחרי כהונתו הקצרה של ר׳ </w:t>
      </w:r>
      <w:proofErr w:type="spellStart"/>
      <w:r>
        <w:rPr>
          <w:rtl/>
        </w:rPr>
        <w:t>יהושע־לייב</w:t>
      </w:r>
      <w:proofErr w:type="spellEnd"/>
      <w:r>
        <w:rPr>
          <w:rtl/>
        </w:rPr>
        <w:t xml:space="preserve"> באה בשנת תרכ״ד כהונתו הארוכה של ר׳ </w:t>
      </w:r>
      <w:proofErr w:type="spellStart"/>
      <w:r>
        <w:rPr>
          <w:rtl/>
        </w:rPr>
        <w:t>יצחק־אלחנן</w:t>
      </w:r>
      <w:proofErr w:type="spellEnd"/>
      <w:r>
        <w:rPr>
          <w:rtl/>
        </w:rPr>
        <w:t xml:space="preserve"> </w:t>
      </w:r>
      <w:proofErr w:type="spellStart"/>
      <w:r>
        <w:rPr>
          <w:rtl/>
        </w:rPr>
        <w:t>ספקטור</w:t>
      </w:r>
      <w:proofErr w:type="spellEnd"/>
      <w:r>
        <w:rPr>
          <w:rtl/>
        </w:rPr>
        <w:t>, האהוב והנערץ על הכול.</w:t>
      </w:r>
    </w:p>
    <w:p w14:paraId="78FEF4C4" w14:textId="77777777" w:rsidR="00AB3647" w:rsidRDefault="00000000" w:rsidP="007923E9">
      <w:pPr>
        <w:spacing w:after="100" w:line="276" w:lineRule="auto"/>
        <w:ind w:firstLine="340"/>
        <w:jc w:val="both"/>
      </w:pPr>
      <w:r>
        <w:rPr>
          <w:rtl/>
        </w:rPr>
        <w:t xml:space="preserve">בימי חייו של ר׳ </w:t>
      </w:r>
      <w:proofErr w:type="spellStart"/>
      <w:r>
        <w:rPr>
          <w:rtl/>
        </w:rPr>
        <w:t>יצחק־אלחנן</w:t>
      </w:r>
      <w:proofErr w:type="spellEnd"/>
      <w:r>
        <w:rPr>
          <w:rtl/>
        </w:rPr>
        <w:t xml:space="preserve"> עלתה קובנה לגדולה ונעשתה כתובת לשאלות הלכה קשות ולבעיות ציבור, בכל מקום שצצו. תקופה זו באה לקצה עם פטירתו בשנת תרנ״ו – עשר שנים בדיוק לפני בואו של אבי – אבל העיר חזרה אל גדולתה כעבור שנה, כשנעשתה מקום מושבן של </w:t>
      </w:r>
      <w:r>
        <w:rPr>
          <w:b/>
          <w:bCs/>
          <w:rtl/>
        </w:rPr>
        <w:t>שתי</w:t>
      </w:r>
      <w:r>
        <w:rPr>
          <w:rtl/>
        </w:rPr>
        <w:t xml:space="preserve"> ישיבות נודעות בפרברה.</w:t>
      </w:r>
    </w:p>
    <w:p w14:paraId="6800EEDF" w14:textId="77777777" w:rsidR="00AB3647" w:rsidRDefault="00000000" w:rsidP="007923E9">
      <w:pPr>
        <w:spacing w:after="100" w:line="276" w:lineRule="auto"/>
        <w:ind w:firstLine="340"/>
        <w:jc w:val="both"/>
      </w:pPr>
      <w:r>
        <w:rPr>
          <w:rtl/>
        </w:rPr>
        <w:t xml:space="preserve">תחילה היה בקובנה רק כולל. הוא נחנך בשנת תרל״ז, וכעבור ארבע שנים יצא לו שם עם פרסום “עץ פרי”, חוברת שהעלתה על נס את רעיון הכולל. אחד ממנהליו הראשונים של כולל קובנה, ר׳ </w:t>
      </w:r>
      <w:proofErr w:type="spellStart"/>
      <w:r>
        <w:rPr>
          <w:rtl/>
        </w:rPr>
        <w:t xml:space="preserve">אברמצ׳יק</w:t>
      </w:r>
      <w:proofErr w:type="spellEnd"/>
      <w:r>
        <w:rPr>
          <w:rtl/>
        </w:rPr>
        <w:t xml:space="preserve"> </w:t>
      </w:r>
      <w:proofErr w:type="spellStart"/>
      <w:r>
        <w:rPr>
          <w:rtl/>
        </w:rPr>
        <w:t>טנעס</w:t>
      </w:r>
      <w:proofErr w:type="spellEnd"/>
      <w:r>
        <w:rPr>
          <w:rtl/>
        </w:rPr>
        <w:t xml:space="preserve"> (שנקר), והמנהל שבא אחריו ושימש שנים רבות, ר׳ </w:t>
      </w:r>
      <w:proofErr w:type="spellStart"/>
      <w:r>
        <w:rPr>
          <w:rtl/>
        </w:rPr>
        <w:t>איצל׳ה</w:t>
      </w:r>
      <w:proofErr w:type="spellEnd"/>
      <w:r>
        <w:rPr>
          <w:rtl/>
        </w:rPr>
        <w:t xml:space="preserve"> </w:t>
      </w:r>
      <w:proofErr w:type="spellStart"/>
      <w:r>
        <w:rPr>
          <w:rtl/>
        </w:rPr>
        <w:t>בלאזר</w:t>
      </w:r>
      <w:proofErr w:type="spellEnd"/>
      <w:r>
        <w:rPr>
          <w:rtl/>
        </w:rPr>
        <w:t xml:space="preserve"> (</w:t>
      </w:r>
      <w:proofErr w:type="spellStart"/>
      <w:r>
        <w:rPr>
          <w:rtl/>
        </w:rPr>
        <w:t>פטרבורגר</w:t>
      </w:r>
      <w:proofErr w:type="spellEnd"/>
      <w:r>
        <w:rPr>
          <w:rtl/>
        </w:rPr>
        <w:t xml:space="preserve">), הביאו אל הנהלת הכולל חבר צעיר בתנועת המוסר, ר׳ </w:t>
      </w:r>
      <w:proofErr w:type="spellStart"/>
      <w:r>
        <w:rPr>
          <w:rtl/>
        </w:rPr>
        <w:t>נתן־צבי</w:t>
      </w:r>
      <w:proofErr w:type="spellEnd"/>
      <w:r>
        <w:rPr>
          <w:rtl/>
        </w:rPr>
        <w:t xml:space="preserve"> </w:t>
      </w:r>
      <w:proofErr w:type="spellStart"/>
      <w:r>
        <w:rPr>
          <w:rtl/>
        </w:rPr>
        <w:t>פינקל</w:t>
      </w:r>
      <w:proofErr w:type="spellEnd"/>
      <w:r>
        <w:rPr>
          <w:rtl/>
        </w:rPr>
        <w:t>, אף שלא באופן רשמי.</w:t>
      </w:r>
    </w:p>
    <w:p w14:paraId="06D8E1F8" w14:textId="77777777" w:rsidR="00AB3647" w:rsidRDefault="00000000" w:rsidP="007923E9">
      <w:pPr>
        <w:spacing w:after="100" w:line="276" w:lineRule="auto"/>
        <w:ind w:firstLine="340"/>
        <w:jc w:val="both"/>
      </w:pPr>
      <w:r>
        <w:rPr>
          <w:rtl/>
        </w:rPr>
        <w:t xml:space="preserve">ר׳ </w:t>
      </w:r>
      <w:proofErr w:type="spellStart"/>
      <w:r>
        <w:rPr>
          <w:rtl/>
        </w:rPr>
        <w:t>נתן־צבי</w:t>
      </w:r>
      <w:proofErr w:type="spellEnd"/>
      <w:r>
        <w:rPr>
          <w:rtl/>
        </w:rPr>
        <w:t xml:space="preserve"> טען שבסכום הדרוש להחזקת אברך אחד אפשר להחזיק, ביתר תועלת, ארבעה בחורים. טענתו שכנעה את המנהלים הרשמיים, ובמשך זמן מה, בכל פעם שאברך סיים את תקופת לימודו, הוקצבה מלגתו לארבעה בחורים. עד תרמ״ב כבר נכללה במסגרת כולל קובנה ישיבה שפעלה במלואה בבית המדרש הישן </w:t>
      </w:r>
      <w:proofErr w:type="spellStart"/>
      <w:r>
        <w:rPr>
          <w:rtl/>
        </w:rPr>
        <w:t>בסלבודקה</w:t>
      </w:r>
      <w:proofErr w:type="spellEnd"/>
      <w:r>
        <w:rPr>
          <w:rtl/>
        </w:rPr>
        <w:t xml:space="preserve">. כדי לקדם את התפתחותם בתורה של האברכים ושל הבחורים כאחד, הטיל הסבא </w:t>
      </w:r>
      <w:proofErr w:type="spellStart"/>
      <w:r>
        <w:rPr>
          <w:rtl/>
        </w:rPr>
        <w:t>מסלבודקה</w:t>
      </w:r>
      <w:proofErr w:type="spellEnd"/>
      <w:r>
        <w:rPr>
          <w:rtl/>
        </w:rPr>
        <w:t xml:space="preserve"> על כמה מחברי הכולל הנשואים למסור שיעורים בתורם.</w:t>
      </w:r>
    </w:p>
    <w:p w14:paraId="49618B5C" w14:textId="77777777" w:rsidR="00AB3647" w:rsidRDefault="00000000" w:rsidP="007923E9">
      <w:pPr>
        <w:spacing w:after="100" w:line="276" w:lineRule="auto"/>
        <w:ind w:firstLine="340"/>
        <w:jc w:val="both"/>
      </w:pPr>
      <w:r>
        <w:rPr>
          <w:rtl/>
        </w:rPr>
        <w:t xml:space="preserve">בשנת תרמ״ט נתקבל ר׳ </w:t>
      </w:r>
      <w:proofErr w:type="spellStart"/>
      <w:r>
        <w:rPr>
          <w:rtl/>
        </w:rPr>
        <w:t>איצל׳ה</w:t>
      </w:r>
      <w:proofErr w:type="spellEnd"/>
      <w:r>
        <w:rPr>
          <w:rtl/>
        </w:rPr>
        <w:t xml:space="preserve"> </w:t>
      </w:r>
      <w:proofErr w:type="spellStart"/>
      <w:r>
        <w:rPr>
          <w:rtl/>
        </w:rPr>
        <w:t>רבינוביץ</w:t>
      </w:r>
      <w:proofErr w:type="spellEnd"/>
      <w:r>
        <w:rPr>
          <w:rtl/>
        </w:rPr>
        <w:t xml:space="preserve"> לראש הישיבה במשרה מלאה. כשעזב בשנת תרנ״ד כדי לכהן כרב בעיירה ליטאית בינונית בגודלה, הובאו במקומו כמגידי שיעור שני צעירים מן המצטיינים שבבוגרי ישיבת </w:t>
      </w:r>
      <w:proofErr w:type="spellStart"/>
      <w:r>
        <w:rPr>
          <w:rtl/>
        </w:rPr>
        <w:t>וולוז׳ין</w:t>
      </w:r>
      <w:proofErr w:type="spellEnd"/>
      <w:r>
        <w:rPr>
          <w:rtl/>
        </w:rPr>
        <w:t xml:space="preserve">, שנעשו בני קובנה בנישואיהם: ר׳ </w:t>
      </w:r>
      <w:proofErr w:type="spellStart"/>
      <w:r>
        <w:rPr>
          <w:rtl/>
        </w:rPr>
        <w:t>איסר־זלמן</w:t>
      </w:r>
      <w:proofErr w:type="spellEnd"/>
      <w:r>
        <w:rPr>
          <w:rtl/>
        </w:rPr>
        <w:t xml:space="preserve"> מלצר וגיסו המבוגר ממנו, ר׳ </w:t>
      </w:r>
      <w:proofErr w:type="spellStart"/>
      <w:r>
        <w:rPr>
          <w:rtl/>
        </w:rPr>
        <w:t>משה־מרדכי</w:t>
      </w:r>
      <w:proofErr w:type="spellEnd"/>
      <w:r>
        <w:rPr>
          <w:rtl/>
        </w:rPr>
        <w:t xml:space="preserve"> אפשטיין.</w:t>
      </w:r>
    </w:p>
    <w:p w14:paraId="3E2C1EF7" w14:textId="77777777" w:rsidR="00AB3647" w:rsidRDefault="00000000" w:rsidP="007923E9">
      <w:pPr>
        <w:spacing w:after="100" w:line="276" w:lineRule="auto"/>
        <w:ind w:firstLine="340"/>
        <w:jc w:val="both"/>
      </w:pPr>
      <w:r>
        <w:rPr>
          <w:rtl/>
        </w:rPr>
        <w:lastRenderedPageBreak/>
        <w:t xml:space="preserve">אבל שלוותה של הישיבה, שגדלה במהירות, הופרה בתגובה לקנאותם של ר׳ </w:t>
      </w:r>
      <w:proofErr w:type="spellStart"/>
      <w:r>
        <w:rPr>
          <w:rtl/>
        </w:rPr>
        <w:t>איצל׳ה</w:t>
      </w:r>
      <w:proofErr w:type="spellEnd"/>
      <w:r>
        <w:rPr>
          <w:rtl/>
        </w:rPr>
        <w:t xml:space="preserve"> </w:t>
      </w:r>
      <w:proofErr w:type="spellStart"/>
      <w:r>
        <w:rPr>
          <w:rtl/>
        </w:rPr>
        <w:t>בלאזר</w:t>
      </w:r>
      <w:proofErr w:type="spellEnd"/>
      <w:r>
        <w:rPr>
          <w:rtl/>
        </w:rPr>
        <w:t xml:space="preserve"> והסבא </w:t>
      </w:r>
      <w:proofErr w:type="spellStart"/>
      <w:r>
        <w:rPr>
          <w:rtl/>
        </w:rPr>
        <w:t>מסלבודקה</w:t>
      </w:r>
      <w:proofErr w:type="spellEnd"/>
      <w:r>
        <w:rPr>
          <w:rtl/>
        </w:rPr>
        <w:t xml:space="preserve"> לשמירת לימוד המוסר כמרכיב חשוב בתוכנית הלימודים של הישיבה. בתחילה נשארו הקשיים בתוך חוג התלמידים.</w:t>
      </w:r>
    </w:p>
    <w:p w14:paraId="3DACBBB4" w14:textId="77777777" w:rsidR="00AB3647" w:rsidRDefault="00000000" w:rsidP="007923E9">
      <w:pPr>
        <w:spacing w:after="100" w:line="276" w:lineRule="auto"/>
        <w:ind w:firstLine="340"/>
        <w:jc w:val="both"/>
      </w:pPr>
      <w:r>
        <w:rPr>
          <w:rtl/>
        </w:rPr>
        <w:t xml:space="preserve">לאחר מכן, בשנת תרנ״ז, עלה על פני השטח זרם ההתנגדות הסמוי לתנועת המוסר בקרב רבני ליטא. אספה של רבנים ליטאיים מובילים, בראשות בנו של ר׳ </w:t>
      </w:r>
      <w:proofErr w:type="spellStart"/>
      <w:r>
        <w:rPr>
          <w:rtl/>
        </w:rPr>
        <w:t>יצחק־אלחנן</w:t>
      </w:r>
      <w:proofErr w:type="spellEnd"/>
      <w:r>
        <w:rPr>
          <w:rtl/>
        </w:rPr>
        <w:t xml:space="preserve"> וממלא מקומו, ר׳ </w:t>
      </w:r>
      <w:proofErr w:type="spellStart"/>
      <w:r>
        <w:rPr>
          <w:rtl/>
        </w:rPr>
        <w:t>צבי־הירש</w:t>
      </w:r>
      <w:proofErr w:type="spellEnd"/>
      <w:r>
        <w:rPr>
          <w:rtl/>
        </w:rPr>
        <w:t xml:space="preserve"> </w:t>
      </w:r>
      <w:proofErr w:type="spellStart"/>
      <w:r>
        <w:rPr>
          <w:rtl/>
        </w:rPr>
        <w:t>רבינוביץ</w:t>
      </w:r>
      <w:proofErr w:type="spellEnd"/>
      <w:r>
        <w:rPr>
          <w:rtl/>
        </w:rPr>
        <w:t xml:space="preserve">, פסקה שר׳ </w:t>
      </w:r>
      <w:proofErr w:type="spellStart"/>
      <w:r>
        <w:rPr>
          <w:rtl/>
        </w:rPr>
        <w:t>נתן־צבי</w:t>
      </w:r>
      <w:proofErr w:type="spellEnd"/>
      <w:r>
        <w:rPr>
          <w:rtl/>
        </w:rPr>
        <w:t xml:space="preserve">, תומך המוסר, חייב להתנתק מכולל קובנה. מיד כשיצא פסק הרבנים נכנס הסבא </w:t>
      </w:r>
      <w:proofErr w:type="spellStart"/>
      <w:r>
        <w:rPr>
          <w:rtl/>
        </w:rPr>
        <w:t>מסלבודקה</w:t>
      </w:r>
      <w:proofErr w:type="spellEnd"/>
      <w:r>
        <w:rPr>
          <w:rtl/>
        </w:rPr>
        <w:t xml:space="preserve"> לבית המדרש הישן, והודיע ליותר ממאתיים התלמידים שהוא נאלץ לפתוח ישיבה אחרת, שתקדם את לימוד המוסר מראשית דרכה, מאחר שהרבנים פסקו שעליו לעזוב את ישיבת </w:t>
      </w:r>
      <w:proofErr w:type="spellStart"/>
      <w:r>
        <w:rPr>
          <w:rtl/>
        </w:rPr>
        <w:t>סלבודקה</w:t>
      </w:r>
      <w:proofErr w:type="spellEnd"/>
      <w:r>
        <w:rPr>
          <w:rtl/>
        </w:rPr>
        <w:t xml:space="preserve"> הקיימת. הוא הזמין את כל מי שיחפוץ ללכת בעקבותיו לעבור </w:t>
      </w:r>
      <w:proofErr w:type="spellStart"/>
      <w:r>
        <w:rPr>
          <w:rtl/>
        </w:rPr>
        <w:t>לקלויז</w:t>
      </w:r>
      <w:proofErr w:type="spellEnd"/>
      <w:r>
        <w:rPr>
          <w:rtl/>
        </w:rPr>
        <w:t xml:space="preserve"> </w:t>
      </w:r>
      <w:proofErr w:type="spellStart"/>
      <w:r>
        <w:rPr>
          <w:rtl/>
        </w:rPr>
        <w:t>הקצבים</w:t>
      </w:r>
      <w:proofErr w:type="spellEnd"/>
      <w:r>
        <w:rPr>
          <w:rtl/>
        </w:rPr>
        <w:t xml:space="preserve"> ולייסד את הישיבה החדשה.</w:t>
      </w:r>
    </w:p>
    <w:p w14:paraId="26A9B74B" w14:textId="77777777" w:rsidR="00AB3647" w:rsidRDefault="00000000" w:rsidP="007923E9">
      <w:pPr>
        <w:spacing w:after="100" w:line="276" w:lineRule="auto"/>
        <w:ind w:firstLine="340"/>
        <w:jc w:val="both"/>
      </w:pPr>
      <w:r>
        <w:rPr>
          <w:rtl/>
        </w:rPr>
        <w:t xml:space="preserve">כרבע מן התלמידים, יחד עם מגיד השיעור הצעיר שלהם, ר׳ </w:t>
      </w:r>
      <w:proofErr w:type="spellStart"/>
      <w:r>
        <w:rPr>
          <w:rtl/>
        </w:rPr>
        <w:t>משה־מרדכי</w:t>
      </w:r>
      <w:proofErr w:type="spellEnd"/>
      <w:r>
        <w:rPr>
          <w:rtl/>
        </w:rPr>
        <w:t xml:space="preserve"> – את מגיד השיעור האחר, ר׳ </w:t>
      </w:r>
      <w:proofErr w:type="spellStart"/>
      <w:r>
        <w:rPr>
          <w:rtl/>
        </w:rPr>
        <w:t>איסר־זלמן</w:t>
      </w:r>
      <w:proofErr w:type="spellEnd"/>
      <w:r>
        <w:rPr>
          <w:rtl/>
        </w:rPr>
        <w:t xml:space="preserve">, שלח ר׳ </w:t>
      </w:r>
      <w:proofErr w:type="spellStart"/>
      <w:r>
        <w:rPr>
          <w:rtl/>
        </w:rPr>
        <w:t>נתן־צבי</w:t>
      </w:r>
      <w:proofErr w:type="spellEnd"/>
      <w:r>
        <w:rPr>
          <w:rtl/>
        </w:rPr>
        <w:t xml:space="preserve"> לפתוח ישיבה בעיר </w:t>
      </w:r>
      <w:proofErr w:type="spellStart"/>
      <w:r>
        <w:rPr>
          <w:rtl/>
        </w:rPr>
        <w:t>סלוצק</w:t>
      </w:r>
      <w:proofErr w:type="spellEnd"/>
      <w:r>
        <w:rPr>
          <w:rtl/>
        </w:rPr>
        <w:t xml:space="preserve"> חצי שנה קודם לכן – קיבלו את ההזמנה. ישיבה חדשה בשם “כנסת ישראל”, על שם ר׳ ישראל </w:t>
      </w:r>
      <w:proofErr w:type="spellStart"/>
      <w:r>
        <w:rPr>
          <w:rtl/>
        </w:rPr>
        <w:t>סלנטר</w:t>
      </w:r>
      <w:proofErr w:type="spellEnd"/>
      <w:r>
        <w:rPr>
          <w:rtl/>
        </w:rPr>
        <w:t xml:space="preserve">, נפתחה </w:t>
      </w:r>
      <w:proofErr w:type="spellStart"/>
      <w:r>
        <w:rPr>
          <w:rtl/>
        </w:rPr>
        <w:t>בסלבודקה</w:t>
      </w:r>
      <w:proofErr w:type="spellEnd"/>
      <w:r>
        <w:rPr>
          <w:rtl/>
        </w:rPr>
        <w:t xml:space="preserve">. ישיבת </w:t>
      </w:r>
      <w:proofErr w:type="spellStart"/>
      <w:r>
        <w:rPr>
          <w:rtl/>
        </w:rPr>
        <w:t>סלבודקה</w:t>
      </w:r>
      <w:proofErr w:type="spellEnd"/>
      <w:r>
        <w:rPr>
          <w:rtl/>
        </w:rPr>
        <w:t xml:space="preserve"> המקורית, שנשארה בבית המדרש הישן, קיבלה את השם “כנסת בית יצחק”, על שם ר׳ </w:t>
      </w:r>
      <w:proofErr w:type="spellStart"/>
      <w:r>
        <w:rPr>
          <w:rtl/>
        </w:rPr>
        <w:t>יצחק־אלחנן</w:t>
      </w:r>
      <w:proofErr w:type="spellEnd"/>
      <w:r>
        <w:rPr>
          <w:rtl/>
        </w:rPr>
        <w:t xml:space="preserve"> המנוח, ושתי הישיבות הוסיפו להתפתח זו לצד זו. התחרות ושיתוף הפעולה בין שני המוסדות המשגשגים ללימודי תורה גבוהים העניקו </w:t>
      </w:r>
      <w:proofErr w:type="spellStart"/>
      <w:r>
        <w:rPr>
          <w:rtl/>
        </w:rPr>
        <w:t>לסלבודקה</w:t>
      </w:r>
      <w:proofErr w:type="spellEnd"/>
      <w:r>
        <w:rPr>
          <w:rtl/>
        </w:rPr>
        <w:t xml:space="preserve"> מעמד ייחודי, כמעט עשור לפני בואם של אבי וחבריו למסע. לכך נוספה העובדה המופלאה שאדם אחד, ר׳ </w:t>
      </w:r>
      <w:proofErr w:type="spellStart"/>
      <w:r>
        <w:rPr>
          <w:rtl/>
        </w:rPr>
        <w:t>נתן־צבי</w:t>
      </w:r>
      <w:proofErr w:type="spellEnd"/>
      <w:r>
        <w:rPr>
          <w:rtl/>
        </w:rPr>
        <w:t xml:space="preserve"> </w:t>
      </w:r>
      <w:proofErr w:type="spellStart"/>
      <w:r>
        <w:rPr>
          <w:rtl/>
        </w:rPr>
        <w:t>פינקל</w:t>
      </w:r>
      <w:proofErr w:type="spellEnd"/>
      <w:r>
        <w:rPr>
          <w:rtl/>
        </w:rPr>
        <w:t xml:space="preserve"> – שנודע לימים </w:t>
      </w:r>
      <w:proofErr w:type="spellStart"/>
      <w:r>
        <w:rPr>
          <w:rtl/>
        </w:rPr>
        <w:t>כ“הסבא</w:t>
      </w:r>
      <w:proofErr w:type="spellEnd"/>
      <w:r>
        <w:rPr>
          <w:rtl/>
        </w:rPr>
        <w:t xml:space="preserve"> </w:t>
      </w:r>
      <w:proofErr w:type="spellStart"/>
      <w:r>
        <w:rPr>
          <w:rtl/>
        </w:rPr>
        <w:t>מסלבודקה</w:t>
      </w:r>
      <w:proofErr w:type="spellEnd"/>
      <w:r>
        <w:rPr>
          <w:rtl/>
        </w:rPr>
        <w:t xml:space="preserve">” – היה אחראי ליצירת </w:t>
      </w:r>
      <w:r>
        <w:rPr>
          <w:b/>
          <w:bCs/>
          <w:rtl/>
        </w:rPr>
        <w:t>שתיהן</w:t>
      </w:r>
      <w:r>
        <w:rPr>
          <w:rtl/>
        </w:rPr>
        <w:t>.</w:t>
      </w:r>
    </w:p>
    <w:p w14:paraId="57E975FC" w14:textId="77777777" w:rsidR="00AB3647" w:rsidRDefault="00000000" w:rsidP="007923E9">
      <w:pPr>
        <w:spacing w:after="100" w:line="276" w:lineRule="auto"/>
        <w:ind w:firstLine="340"/>
        <w:jc w:val="both"/>
      </w:pPr>
      <w:r>
        <w:rPr>
          <w:rtl/>
        </w:rPr>
        <w:t xml:space="preserve">בעשור הראשון לקיומן עברו שתי הישיבות שינויים מכריעים. כנסת בית יצחק נעזרה בתחילה ברבה של </w:t>
      </w:r>
      <w:proofErr w:type="spellStart"/>
      <w:r>
        <w:rPr>
          <w:rtl/>
        </w:rPr>
        <w:t>סלבודקה</w:t>
      </w:r>
      <w:proofErr w:type="spellEnd"/>
      <w:r>
        <w:rPr>
          <w:rtl/>
        </w:rPr>
        <w:t xml:space="preserve">, ר׳ משה </w:t>
      </w:r>
      <w:proofErr w:type="spellStart"/>
      <w:r>
        <w:rPr>
          <w:rtl/>
        </w:rPr>
        <w:t>דנישבסקי</w:t>
      </w:r>
      <w:proofErr w:type="spellEnd"/>
      <w:r>
        <w:rPr>
          <w:rtl/>
        </w:rPr>
        <w:t xml:space="preserve">, כר״מ ראשי. אחר כך הזמינה את ר׳ חיים </w:t>
      </w:r>
      <w:proofErr w:type="spellStart"/>
      <w:r>
        <w:rPr>
          <w:rtl/>
        </w:rPr>
        <w:t>רבינוביץ</w:t>
      </w:r>
      <w:proofErr w:type="spellEnd"/>
      <w:r>
        <w:rPr>
          <w:rtl/>
        </w:rPr>
        <w:t xml:space="preserve">, רבה של </w:t>
      </w:r>
      <w:proofErr w:type="spellStart"/>
      <w:r>
        <w:rPr>
          <w:rtl/>
        </w:rPr>
        <w:t>מיאשאד</w:t>
      </w:r>
      <w:proofErr w:type="spellEnd"/>
      <w:r>
        <w:rPr>
          <w:rtl/>
        </w:rPr>
        <w:t xml:space="preserve">, לעמוד בראשה. לבסוף שכרה את שירותיו של תלמידו המובהק של ר׳ חיים </w:t>
      </w:r>
      <w:proofErr w:type="spellStart"/>
      <w:r>
        <w:rPr>
          <w:rtl/>
        </w:rPr>
        <w:t>סולובייצ׳יק</w:t>
      </w:r>
      <w:proofErr w:type="spellEnd"/>
      <w:r>
        <w:rPr>
          <w:rtl/>
        </w:rPr>
        <w:t xml:space="preserve">, ר׳ </w:t>
      </w:r>
      <w:proofErr w:type="spellStart"/>
      <w:r>
        <w:rPr>
          <w:rtl/>
        </w:rPr>
        <w:t>ברוך־בער</w:t>
      </w:r>
      <w:proofErr w:type="spellEnd"/>
      <w:r>
        <w:rPr>
          <w:rtl/>
        </w:rPr>
        <w:t xml:space="preserve"> </w:t>
      </w:r>
      <w:proofErr w:type="spellStart"/>
      <w:r>
        <w:rPr>
          <w:rtl/>
        </w:rPr>
        <w:t>ליבוביץ</w:t>
      </w:r>
      <w:proofErr w:type="spellEnd"/>
      <w:r>
        <w:rPr>
          <w:rtl/>
        </w:rPr>
        <w:t xml:space="preserve"> הקדוש, </w:t>
      </w:r>
      <w:proofErr w:type="spellStart"/>
      <w:r>
        <w:rPr>
          <w:rtl/>
        </w:rPr>
        <w:t>בתרס״ה</w:t>
      </w:r>
      <w:proofErr w:type="spellEnd"/>
      <w:r>
        <w:rPr>
          <w:rtl/>
        </w:rPr>
        <w:t>. בואו הביא לישיבה, לצד למדנות מעולה, גם מופת של יראת שמים שהתלמידים יכלו לחקותו.</w:t>
      </w:r>
    </w:p>
    <w:p w14:paraId="3260382A" w14:textId="77777777" w:rsidR="00AB3647" w:rsidRDefault="00000000" w:rsidP="007923E9">
      <w:pPr>
        <w:spacing w:after="100" w:line="276" w:lineRule="auto"/>
        <w:ind w:firstLine="340"/>
        <w:jc w:val="both"/>
      </w:pPr>
      <w:r>
        <w:rPr>
          <w:rtl/>
        </w:rPr>
        <w:t xml:space="preserve">בכנסת ישראל הייתה עתה ההכוונה החינוכית כולה ביד הסבא </w:t>
      </w:r>
      <w:proofErr w:type="spellStart"/>
      <w:r>
        <w:rPr>
          <w:rtl/>
        </w:rPr>
        <w:t>מסלבודקה</w:t>
      </w:r>
      <w:proofErr w:type="spellEnd"/>
      <w:r>
        <w:rPr>
          <w:rtl/>
        </w:rPr>
        <w:t xml:space="preserve">. דרך המוסר של ר׳ </w:t>
      </w:r>
      <w:proofErr w:type="spellStart"/>
      <w:r>
        <w:rPr>
          <w:rtl/>
        </w:rPr>
        <w:t>איצל׳ה</w:t>
      </w:r>
      <w:proofErr w:type="spellEnd"/>
      <w:r>
        <w:rPr>
          <w:rtl/>
        </w:rPr>
        <w:t xml:space="preserve"> </w:t>
      </w:r>
      <w:proofErr w:type="spellStart"/>
      <w:r>
        <w:rPr>
          <w:rtl/>
        </w:rPr>
        <w:t>בלאזר</w:t>
      </w:r>
      <w:proofErr w:type="spellEnd"/>
      <w:r>
        <w:rPr>
          <w:rtl/>
        </w:rPr>
        <w:t xml:space="preserve">, שעיקרה תוכחה עצמית ושלטה קודם לכן בקרב אנשי המוסר </w:t>
      </w:r>
      <w:proofErr w:type="spellStart"/>
      <w:r>
        <w:rPr>
          <w:rtl/>
        </w:rPr>
        <w:t>בסלבודקה</w:t>
      </w:r>
      <w:proofErr w:type="spellEnd"/>
      <w:r>
        <w:rPr>
          <w:rtl/>
        </w:rPr>
        <w:t>, השתנתה שם לדרך פילוסופית יותר. בישיבה החל לצמוח בן תורה מעמיק במחשבתו. כנסת ישראל גדלה גם במספר תלמידיה, השתוותה לכנסת בית יצחק ולבסוף אף עלתה עליה.</w:t>
      </w:r>
    </w:p>
    <w:p w14:paraId="30576126" w14:textId="77777777" w:rsidR="00AB3647" w:rsidRDefault="00000000" w:rsidP="007923E9">
      <w:pPr>
        <w:spacing w:after="100" w:line="276" w:lineRule="auto"/>
        <w:ind w:firstLine="340"/>
        <w:jc w:val="both"/>
      </w:pPr>
      <w:r>
        <w:rPr>
          <w:rtl/>
        </w:rPr>
        <w:t xml:space="preserve">שינויים אלה באו בעקבות הסערה שהשתוללה בקרב תלמידי שתי הישיבות בראשית שנות </w:t>
      </w:r>
      <w:proofErr w:type="spellStart"/>
      <w:r>
        <w:rPr>
          <w:rtl/>
        </w:rPr>
        <w:t>הת״ר־ס</w:t>
      </w:r>
      <w:proofErr w:type="spellEnd"/>
      <w:r>
        <w:rPr>
          <w:rtl/>
        </w:rPr>
        <w:t xml:space="preserve">׳. בכנסת בית יצחק גרמו המאבקים בין התלמידים הציונים למתנגדי הציונות </w:t>
      </w:r>
      <w:proofErr w:type="spellStart"/>
      <w:r>
        <w:rPr>
          <w:rtl/>
        </w:rPr>
        <w:t>לר</w:t>
      </w:r>
      <w:proofErr w:type="spellEnd"/>
      <w:r>
        <w:rPr>
          <w:rtl/>
        </w:rPr>
        <w:t xml:space="preserve">׳ חיים </w:t>
      </w:r>
      <w:proofErr w:type="spellStart"/>
      <w:r>
        <w:rPr>
          <w:rtl/>
        </w:rPr>
        <w:t>רבינוביץ</w:t>
      </w:r>
      <w:proofErr w:type="spellEnd"/>
      <w:r>
        <w:rPr>
          <w:rtl/>
        </w:rPr>
        <w:t xml:space="preserve"> לעזוב את </w:t>
      </w:r>
      <w:proofErr w:type="spellStart"/>
      <w:r>
        <w:rPr>
          <w:rtl/>
        </w:rPr>
        <w:t>סלבודקה</w:t>
      </w:r>
      <w:proofErr w:type="spellEnd"/>
      <w:r>
        <w:rPr>
          <w:rtl/>
        </w:rPr>
        <w:t xml:space="preserve"> ולקבל משרת הוראה בישיבת </w:t>
      </w:r>
      <w:proofErr w:type="spellStart"/>
      <w:r>
        <w:rPr>
          <w:rtl/>
        </w:rPr>
        <w:t>טלז</w:t>
      </w:r>
      <w:proofErr w:type="spellEnd"/>
      <w:r>
        <w:rPr>
          <w:rtl/>
        </w:rPr>
        <w:t>. בקרב תלמידי כנסת ישראל הייתה שאלת לימוד המוסר מקור מחלוקת מתמיד.</w:t>
      </w:r>
    </w:p>
    <w:p w14:paraId="2336C9FF" w14:textId="77777777" w:rsidR="00AB3647" w:rsidRDefault="00000000" w:rsidP="007923E9">
      <w:pPr>
        <w:spacing w:after="100" w:line="276" w:lineRule="auto"/>
        <w:ind w:firstLine="340"/>
        <w:jc w:val="both"/>
      </w:pPr>
      <w:r>
        <w:rPr>
          <w:rtl/>
        </w:rPr>
        <w:t xml:space="preserve">כבר </w:t>
      </w:r>
      <w:proofErr w:type="spellStart"/>
      <w:r>
        <w:rPr>
          <w:rtl/>
        </w:rPr>
        <w:t>בתרס״ד</w:t>
      </w:r>
      <w:proofErr w:type="spellEnd"/>
      <w:r>
        <w:rPr>
          <w:rtl/>
        </w:rPr>
        <w:t xml:space="preserve">, עם תבוסתה המשפילה של רוסיה במלחמתה עם יפן, גברה עוצמתן של רוחות המהפכה הסוציאליסטית, שנשבו בערי רוסיה ובכפריה זה עשרות שנים. </w:t>
      </w:r>
      <w:proofErr w:type="spellStart"/>
      <w:r>
        <w:rPr>
          <w:rtl/>
        </w:rPr>
        <w:t>בתרס״ה</w:t>
      </w:r>
      <w:proofErr w:type="spellEnd"/>
      <w:r>
        <w:rPr>
          <w:rtl/>
        </w:rPr>
        <w:t xml:space="preserve"> הגיעו לעוצמה של סופה, וסחפו מספר ניכר של תלמידי ישיבות – ובהם בנו של ר׳ </w:t>
      </w:r>
      <w:proofErr w:type="spellStart"/>
      <w:r>
        <w:rPr>
          <w:rtl/>
        </w:rPr>
        <w:t>נתן־צבי</w:t>
      </w:r>
      <w:proofErr w:type="spellEnd"/>
      <w:r>
        <w:rPr>
          <w:rtl/>
        </w:rPr>
        <w:t xml:space="preserve">. מתנגדי המוסר חברו לגורמים המהפכניים וסיכנו את עצם קיומה של הישיבה. למזלן של שתי </w:t>
      </w:r>
      <w:r>
        <w:rPr>
          <w:rtl/>
        </w:rPr>
        <w:lastRenderedPageBreak/>
        <w:t>הישיבות, כשדוכאה המהפכה, טיהרו פעולות הדיכוי של הממשלה נגד כל אוהדי הסוציאליזם את הישיבות מן הגורמים שעשו בהן מהומות.</w:t>
      </w:r>
    </w:p>
    <w:p w14:paraId="07EFF14A" w14:textId="77777777" w:rsidR="00AB3647" w:rsidRDefault="00000000" w:rsidP="007923E9">
      <w:pPr>
        <w:spacing w:after="100" w:line="276" w:lineRule="auto"/>
        <w:ind w:firstLine="340"/>
        <w:jc w:val="both"/>
      </w:pPr>
      <w:r>
        <w:rPr>
          <w:rtl/>
        </w:rPr>
        <w:t xml:space="preserve">עמדתו של הסבא </w:t>
      </w:r>
      <w:proofErr w:type="spellStart"/>
      <w:r>
        <w:rPr>
          <w:rtl/>
        </w:rPr>
        <w:t>מסלבודקה</w:t>
      </w:r>
      <w:proofErr w:type="spellEnd"/>
      <w:r>
        <w:rPr>
          <w:rtl/>
        </w:rPr>
        <w:t xml:space="preserve"> בשנות המשבר הראשונות נתפסה בעיני רבים כפסיבית וחלשה, ועוררה ביקורת חריפה בתוך ישיבתו. אבל מאחורי הקיפאון שנראה כלפי חוץ התחוללו תמורות אדירות. הסבא שינה מן היסוד את שיטתו החינוכית, ולבסוף, כשפקדה אותו עצמו הטרגדיה שבנו נטש את הדת, התגבשה בו גישה חדשה למוסר. הוא חדל להתעכב על חולשות האדם, ותחת זאת פנה להתבונן בכוחו של האדם להגיע לגדלות. שיחותיו, </w:t>
      </w:r>
      <w:proofErr w:type="spellStart"/>
      <w:r>
        <w:rPr>
          <w:rtl/>
        </w:rPr>
        <w:t>ה“שמועסן</w:t>
      </w:r>
      <w:proofErr w:type="spellEnd"/>
      <w:r>
        <w:rPr>
          <w:rtl/>
        </w:rPr>
        <w:t>”, החלו להתרכז ברוממות אדם הראשון לפני החטא, בעליונות האבות, בגדלות דמויות המקרא, במעלת דור דעה ששמע את דבר ה׳ במדבר – ובדרך שבה יכול כל יחיד להגיע לאותם גבהים נשגבים.</w:t>
      </w:r>
    </w:p>
    <w:p w14:paraId="1B085976" w14:textId="77777777" w:rsidR="00AB3647" w:rsidRDefault="00000000" w:rsidP="007923E9">
      <w:pPr>
        <w:spacing w:after="100" w:line="276" w:lineRule="auto"/>
        <w:ind w:firstLine="340"/>
        <w:jc w:val="both"/>
      </w:pPr>
      <w:r>
        <w:rPr>
          <w:rtl/>
        </w:rPr>
        <w:t xml:space="preserve">עד שבאו אבי וחבריו </w:t>
      </w:r>
      <w:proofErr w:type="spellStart"/>
      <w:r>
        <w:rPr>
          <w:rtl/>
        </w:rPr>
        <w:t>לסלבודקה</w:t>
      </w:r>
      <w:proofErr w:type="spellEnd"/>
      <w:r>
        <w:rPr>
          <w:rtl/>
        </w:rPr>
        <w:t xml:space="preserve">, כבר חלפו האירועים המטלטלים של תשע השנים הראשונות של הישיבות. כנסת בית יצחק כבר קבעה את דרכה: התמסרות ללמדנות התורה מתוך יראת שמים. כנסת ישראל, לעומתה, בעלת הדפוס הייחודי ליצירת “תלמיד הסבא </w:t>
      </w:r>
      <w:proofErr w:type="spellStart"/>
      <w:r>
        <w:rPr>
          <w:rtl/>
        </w:rPr>
        <w:t>מסלבודקה</w:t>
      </w:r>
      <w:proofErr w:type="spellEnd"/>
      <w:r>
        <w:rPr>
          <w:rtl/>
        </w:rPr>
        <w:t>” גאה ומתבונן, נכנסה לתקופה המצליחה ביותר בתולדותיה – תקופה שנועדה להימשך עד פרוץ מלחמת העולם הראשונה.</w:t>
      </w:r>
    </w:p>
    <w:p w14:paraId="2A5CB279" w14:textId="77777777" w:rsidR="00AB3647" w:rsidRDefault="00000000" w:rsidP="007923E9">
      <w:pPr>
        <w:pStyle w:val="2"/>
        <w:spacing w:line="276" w:lineRule="auto"/>
      </w:pPr>
      <w:r>
        <w:t>2.</w:t>
      </w:r>
    </w:p>
    <w:p w14:paraId="4137A50C" w14:textId="77777777" w:rsidR="00AB3647" w:rsidRDefault="00000000" w:rsidP="007923E9">
      <w:pPr>
        <w:spacing w:after="100" w:line="276" w:lineRule="auto"/>
        <w:ind w:firstLine="340"/>
        <w:jc w:val="both"/>
      </w:pPr>
      <w:r>
        <w:rPr>
          <w:rtl/>
        </w:rPr>
        <w:t xml:space="preserve">כשהגיעו שלושת הנוסעים לקובנה, כבר לא עמד שם גשר העץ שחיבר את </w:t>
      </w:r>
      <w:proofErr w:type="spellStart"/>
      <w:r>
        <w:rPr>
          <w:rtl/>
        </w:rPr>
        <w:t>סלבודקה</w:t>
      </w:r>
      <w:proofErr w:type="spellEnd"/>
      <w:r>
        <w:rPr>
          <w:rtl/>
        </w:rPr>
        <w:t xml:space="preserve"> לעיר: חודש קודם לכן סחפו אותו מי הנהר בהפשרת הקרח. אבל שלושה בחורים מישיבת </w:t>
      </w:r>
      <w:proofErr w:type="spellStart"/>
      <w:r>
        <w:rPr>
          <w:rtl/>
        </w:rPr>
        <w:t>סלבודקה</w:t>
      </w:r>
      <w:proofErr w:type="spellEnd"/>
      <w:r>
        <w:rPr>
          <w:rtl/>
        </w:rPr>
        <w:t xml:space="preserve">, שעמדו על המשמר וציפו לתלמידים החדשים, באו לקראתם במעבורת קטנה מן העבר האחר של נהר </w:t>
      </w:r>
      <w:proofErr w:type="spellStart"/>
      <w:r>
        <w:rPr>
          <w:rtl/>
        </w:rPr>
        <w:t>הוויליה</w:t>
      </w:r>
      <w:proofErr w:type="spellEnd"/>
      <w:r>
        <w:rPr>
          <w:rtl/>
        </w:rPr>
        <w:t xml:space="preserve">, לקבל את פניהם ולהעבירם. ועדת קבלת הפנים כללה את מכרם של הנוסעים ממינסק, אשר </w:t>
      </w:r>
      <w:proofErr w:type="spellStart"/>
      <w:r>
        <w:rPr>
          <w:rtl/>
        </w:rPr>
        <w:t>קרשטיין</w:t>
      </w:r>
      <w:proofErr w:type="spellEnd"/>
      <w:r>
        <w:rPr>
          <w:rtl/>
        </w:rPr>
        <w:t xml:space="preserve">, את שותפו לחדר, </w:t>
      </w:r>
      <w:proofErr w:type="spellStart"/>
      <w:r>
        <w:rPr>
          <w:rtl/>
        </w:rPr>
        <w:t xml:space="preserve">וועלוול</w:t>
      </w:r>
      <w:proofErr w:type="spellEnd"/>
      <w:r>
        <w:rPr>
          <w:rtl/>
        </w:rPr>
        <w:t xml:space="preserve"> </w:t>
      </w:r>
      <w:proofErr w:type="spellStart"/>
      <w:r>
        <w:rPr>
          <w:rtl/>
        </w:rPr>
        <w:t>צ׳חנוביצר</w:t>
      </w:r>
      <w:proofErr w:type="spellEnd"/>
      <w:r>
        <w:rPr>
          <w:rtl/>
        </w:rPr>
        <w:t xml:space="preserve"> (פרידמן), ואת </w:t>
      </w:r>
      <w:proofErr w:type="spellStart"/>
      <w:r>
        <w:rPr>
          <w:rtl/>
        </w:rPr>
        <w:t>יעקב־משה</w:t>
      </w:r>
      <w:proofErr w:type="spellEnd"/>
      <w:r>
        <w:rPr>
          <w:rtl/>
        </w:rPr>
        <w:t xml:space="preserve"> </w:t>
      </w:r>
      <w:proofErr w:type="spellStart"/>
      <w:r>
        <w:rPr>
          <w:rtl/>
        </w:rPr>
        <w:t>קאפוליער</w:t>
      </w:r>
      <w:proofErr w:type="spellEnd"/>
      <w:r>
        <w:rPr>
          <w:rtl/>
        </w:rPr>
        <w:t xml:space="preserve"> (לסין). הם שיכנו את אבי ואת אהרן </w:t>
      </w:r>
      <w:proofErr w:type="spellStart"/>
      <w:r>
        <w:rPr>
          <w:rtl/>
        </w:rPr>
        <w:t>סיסלוביצ׳ר</w:t>
      </w:r>
      <w:proofErr w:type="spellEnd"/>
      <w:r>
        <w:rPr>
          <w:rtl/>
        </w:rPr>
        <w:t xml:space="preserve"> באחת </w:t>
      </w:r>
      <w:proofErr w:type="spellStart"/>
      <w:r>
        <w:rPr>
          <w:rtl/>
        </w:rPr>
        <w:t>הסטנציות</w:t>
      </w:r>
      <w:proofErr w:type="spellEnd"/>
      <w:r>
        <w:rPr>
          <w:rtl/>
        </w:rPr>
        <w:t xml:space="preserve"> שלהם </w:t>
      </w:r>
      <w:proofErr w:type="spellStart"/>
      <w:r>
        <w:rPr>
          <w:rtl/>
        </w:rPr>
        <w:t>בסלבודקה</w:t>
      </w:r>
      <w:proofErr w:type="spellEnd"/>
      <w:r>
        <w:rPr>
          <w:rtl/>
        </w:rPr>
        <w:t>, עד שהצעירים ישובצו במגוריהם הקבועים.</w:t>
      </w:r>
    </w:p>
    <w:p w14:paraId="0EC39614" w14:textId="77777777" w:rsidR="00AB3647" w:rsidRDefault="00000000" w:rsidP="007923E9">
      <w:pPr>
        <w:spacing w:after="100" w:line="276" w:lineRule="auto"/>
        <w:ind w:firstLine="340"/>
        <w:jc w:val="both"/>
      </w:pPr>
      <w:proofErr w:type="spellStart"/>
      <w:r>
        <w:rPr>
          <w:rtl/>
        </w:rPr>
        <w:t>בסלבודקה</w:t>
      </w:r>
      <w:proofErr w:type="spellEnd"/>
      <w:r>
        <w:rPr>
          <w:rtl/>
        </w:rPr>
        <w:t xml:space="preserve"> לא היו בניינים מפוארים כמו בקובנה, אבל רחובותיה שבסביבת הישיבה היו ישרים כמיתרים מתוחים בשני הכיוונים, ומצטלבים בזוויות ישרות. בצד הצפוני נמשך מתים </w:t>
      </w:r>
      <w:proofErr w:type="spellStart"/>
      <w:r>
        <w:rPr>
          <w:rtl/>
        </w:rPr>
        <w:t>גאס</w:t>
      </w:r>
      <w:proofErr w:type="spellEnd"/>
      <w:r>
        <w:rPr>
          <w:rtl/>
        </w:rPr>
        <w:t xml:space="preserve"> [רחוב המתים], שכנראה נקרא כך משום שהלוויות עברו בו. ברחוב זה שכנו הישיבה לנערים צעירים, שנודעה בשם “ישיבתו של ר׳ </w:t>
      </w:r>
      <w:proofErr w:type="spellStart"/>
      <w:r>
        <w:rPr>
          <w:rtl/>
        </w:rPr>
        <w:t>הירשעלע</w:t>
      </w:r>
      <w:proofErr w:type="spellEnd"/>
      <w:r>
        <w:rPr>
          <w:rtl/>
        </w:rPr>
        <w:t xml:space="preserve">”, שוק </w:t>
      </w:r>
      <w:proofErr w:type="spellStart"/>
      <w:r>
        <w:rPr>
          <w:rtl/>
        </w:rPr>
        <w:t>הקצבים</w:t>
      </w:r>
      <w:proofErr w:type="spellEnd"/>
      <w:r>
        <w:rPr>
          <w:rtl/>
        </w:rPr>
        <w:t xml:space="preserve"> וביתו של ר׳ </w:t>
      </w:r>
      <w:proofErr w:type="spellStart"/>
      <w:r>
        <w:rPr>
          <w:rtl/>
        </w:rPr>
        <w:t>ברוך־בער</w:t>
      </w:r>
      <w:proofErr w:type="spellEnd"/>
      <w:r>
        <w:rPr>
          <w:rtl/>
        </w:rPr>
        <w:t xml:space="preserve">. בצד הדרומי עבר רחוב </w:t>
      </w:r>
      <w:proofErr w:type="spellStart"/>
      <w:r>
        <w:rPr>
          <w:rtl/>
        </w:rPr>
        <w:t>יורבארק</w:t>
      </w:r>
      <w:proofErr w:type="spellEnd"/>
      <w:r>
        <w:rPr>
          <w:rtl/>
        </w:rPr>
        <w:t xml:space="preserve">, שהמשיך אל הגשר החוצה את </w:t>
      </w:r>
      <w:proofErr w:type="spellStart"/>
      <w:r>
        <w:rPr>
          <w:rtl/>
        </w:rPr>
        <w:t>הוויליה</w:t>
      </w:r>
      <w:proofErr w:type="spellEnd"/>
      <w:r>
        <w:rPr>
          <w:rtl/>
        </w:rPr>
        <w:t xml:space="preserve">, ובקצהו ניצבו בית המדרש הישן וחורבותיו של בית כנסת עתיק. בין שני הרחובות, במקביל להם, עבר רחוב גלזר, שנקרא ביידיש </w:t>
      </w:r>
      <w:proofErr w:type="spellStart"/>
      <w:r>
        <w:rPr>
          <w:rtl/>
        </w:rPr>
        <w:t>גלעזער</w:t>
      </w:r>
      <w:proofErr w:type="spellEnd"/>
      <w:r>
        <w:rPr>
          <w:rtl/>
        </w:rPr>
        <w:t xml:space="preserve"> </w:t>
      </w:r>
      <w:proofErr w:type="spellStart"/>
      <w:r>
        <w:rPr>
          <w:rtl/>
        </w:rPr>
        <w:t>גאס</w:t>
      </w:r>
      <w:proofErr w:type="spellEnd"/>
      <w:r>
        <w:rPr>
          <w:rtl/>
        </w:rPr>
        <w:t xml:space="preserve"> [רחוב הזגגים]. בקצהו עמד בניין העץ המרווח שבו שכנה כנסת ישראל, ולשם ליוו את האורחים הצעירים.</w:t>
      </w:r>
    </w:p>
    <w:p w14:paraId="00613325" w14:textId="77777777" w:rsidR="00AB3647" w:rsidRDefault="00000000" w:rsidP="007923E9">
      <w:pPr>
        <w:spacing w:after="100" w:line="276" w:lineRule="auto"/>
        <w:ind w:firstLine="340"/>
        <w:jc w:val="both"/>
      </w:pPr>
      <w:r>
        <w:rPr>
          <w:rtl/>
        </w:rPr>
        <w:t xml:space="preserve">ביום הראשון בישיבה אירעו שני דברים בלתי צפויים, והם הבהירו לאבי שנכנס לסביבה שערכיה שונים מאלה שהשאיר מאחוריו במינסק. בזמן ששני הבאים החדשים המתינו בבית המדרש והתערבו בין הבחורים, רץ אשר </w:t>
      </w:r>
      <w:proofErr w:type="spellStart"/>
      <w:r>
        <w:rPr>
          <w:rtl/>
        </w:rPr>
        <w:t>קרשטיין</w:t>
      </w:r>
      <w:proofErr w:type="spellEnd"/>
      <w:r>
        <w:rPr>
          <w:rtl/>
        </w:rPr>
        <w:t xml:space="preserve"> אל בית ראש הישיבה, ר׳ </w:t>
      </w:r>
      <w:proofErr w:type="spellStart"/>
      <w:r>
        <w:rPr>
          <w:rtl/>
        </w:rPr>
        <w:t>משה־מרדכי</w:t>
      </w:r>
      <w:proofErr w:type="spellEnd"/>
      <w:r>
        <w:rPr>
          <w:rtl/>
        </w:rPr>
        <w:t xml:space="preserve"> </w:t>
      </w:r>
      <w:r>
        <w:rPr>
          <w:rtl/>
        </w:rPr>
        <w:lastRenderedPageBreak/>
        <w:t xml:space="preserve">אפשטיין, להסדיר מבחן קבלה לשני אורחיו. ר׳ </w:t>
      </w:r>
      <w:proofErr w:type="spellStart"/>
      <w:r>
        <w:rPr>
          <w:rtl/>
        </w:rPr>
        <w:t>משה־מרדכי</w:t>
      </w:r>
      <w:proofErr w:type="spellEnd"/>
      <w:r>
        <w:rPr>
          <w:rtl/>
        </w:rPr>
        <w:t xml:space="preserve"> גר בדירה בקומה העליונה, שנבנתה באגף הימני של בניין הישיבה. ראש הישיבה קיבל את שני </w:t>
      </w:r>
      <w:proofErr w:type="spellStart"/>
      <w:r>
        <w:rPr>
          <w:rtl/>
        </w:rPr>
        <w:t>המינסקאים</w:t>
      </w:r>
      <w:proofErr w:type="spellEnd"/>
      <w:r>
        <w:rPr>
          <w:rtl/>
        </w:rPr>
        <w:t xml:space="preserve"> בסבר פנים יפות, ואמר להם להכין קטע </w:t>
      </w:r>
      <w:proofErr w:type="spellStart"/>
      <w:r>
        <w:rPr>
          <w:rtl/>
        </w:rPr>
        <w:t>ב“קצות</w:t>
      </w:r>
      <w:proofErr w:type="spellEnd"/>
      <w:r>
        <w:rPr>
          <w:rtl/>
        </w:rPr>
        <w:t xml:space="preserve"> החושן” ולשוב בעוד שעה עם </w:t>
      </w:r>
      <w:proofErr w:type="spellStart"/>
      <w:r>
        <w:rPr>
          <w:rtl/>
        </w:rPr>
        <w:t>פירכה</w:t>
      </w:r>
      <w:proofErr w:type="spellEnd"/>
      <w:r>
        <w:rPr>
          <w:rtl/>
        </w:rPr>
        <w:t xml:space="preserve"> על טיעונו של המחבר. זו הייתה ההפתעה הראשונה של אבי באותו יום: במינסק לא שמע מעולם שאפשר לבקר ולדחות חידוש של </w:t>
      </w:r>
      <w:proofErr w:type="spellStart"/>
      <w:r>
        <w:rPr>
          <w:rtl/>
        </w:rPr>
        <w:t>ה“קצות</w:t>
      </w:r>
      <w:proofErr w:type="spellEnd"/>
      <w:r>
        <w:rPr>
          <w:rtl/>
        </w:rPr>
        <w:t>” הנערץ!</w:t>
      </w:r>
    </w:p>
    <w:p w14:paraId="2BF3B68F" w14:textId="77777777" w:rsidR="00AB3647" w:rsidRDefault="00000000" w:rsidP="007923E9">
      <w:pPr>
        <w:spacing w:after="100" w:line="276" w:lineRule="auto"/>
        <w:ind w:firstLine="340"/>
        <w:jc w:val="both"/>
      </w:pPr>
      <w:r>
        <w:rPr>
          <w:rtl/>
        </w:rPr>
        <w:t xml:space="preserve">כך או כך, הם מילאו את המשימה. שני הטירונים היו מרוצים – לדעתם מצאו בטיעון את החולשה שראש הישיבה ביקש שימצאו – ושבו אליו במועד שנקבע. בתום הדיון </w:t>
      </w:r>
      <w:proofErr w:type="spellStart"/>
      <w:r>
        <w:rPr>
          <w:rtl/>
        </w:rPr>
        <w:t>ב“קצות</w:t>
      </w:r>
      <w:proofErr w:type="spellEnd"/>
      <w:r>
        <w:rPr>
          <w:rtl/>
        </w:rPr>
        <w:t xml:space="preserve">” נאמר להם, לאכזבתם, שעליהם להמתין יום או יומיים עד שיידעו אם התקבלו. כשיצאו מבית ראש הישיבה, הפיג המבוגר משני הנערים את אכזבתו של אהרן. הוא הסביר </w:t>
      </w:r>
      <w:proofErr w:type="spellStart"/>
      <w:r>
        <w:rPr>
          <w:rtl/>
        </w:rPr>
        <w:t>שה“משגיח</w:t>
      </w:r>
      <w:proofErr w:type="spellEnd"/>
      <w:r>
        <w:rPr>
          <w:rtl/>
        </w:rPr>
        <w:t xml:space="preserve"> הזקן (הסבא)”, ר׳ </w:t>
      </w:r>
      <w:proofErr w:type="spellStart"/>
      <w:r>
        <w:rPr>
          <w:rtl/>
        </w:rPr>
        <w:t>נתן־צבי</w:t>
      </w:r>
      <w:proofErr w:type="spellEnd"/>
      <w:r>
        <w:rPr>
          <w:rtl/>
        </w:rPr>
        <w:t xml:space="preserve"> </w:t>
      </w:r>
      <w:proofErr w:type="spellStart"/>
      <w:r>
        <w:rPr>
          <w:rtl/>
        </w:rPr>
        <w:t>פינקל</w:t>
      </w:r>
      <w:proofErr w:type="spellEnd"/>
      <w:r>
        <w:rPr>
          <w:rtl/>
        </w:rPr>
        <w:t xml:space="preserve">, טרם חזר </w:t>
      </w:r>
      <w:proofErr w:type="spellStart"/>
      <w:r>
        <w:rPr>
          <w:rtl/>
        </w:rPr>
        <w:t>לסלבודקה</w:t>
      </w:r>
      <w:proofErr w:type="spellEnd"/>
      <w:r>
        <w:rPr>
          <w:rtl/>
        </w:rPr>
        <w:t xml:space="preserve"> לזמן החדש – את זה שמע בזמן שהמתין בבית המדרש – וראש הישיבה אינו מקבל מועמדים על סמך הערכתו שלו בלבד.</w:t>
      </w:r>
    </w:p>
    <w:p w14:paraId="3FAF548E" w14:textId="77777777" w:rsidR="00AB3647" w:rsidRDefault="00000000" w:rsidP="007923E9">
      <w:pPr>
        <w:spacing w:after="100" w:line="276" w:lineRule="auto"/>
        <w:ind w:firstLine="340"/>
        <w:jc w:val="both"/>
      </w:pPr>
      <w:r>
        <w:rPr>
          <w:rtl/>
        </w:rPr>
        <w:t xml:space="preserve">כשהתפללו הבאים החדשים מנחה בישיבה, ציפתה לאבי הפתעה נוספת. הוא ראה צעיר בעל זקן גזוז היטב, חבוש כובע </w:t>
      </w:r>
      <w:proofErr w:type="spellStart"/>
      <w:r>
        <w:rPr>
          <w:rtl/>
        </w:rPr>
        <w:t>הומבורג</w:t>
      </w:r>
      <w:proofErr w:type="spellEnd"/>
      <w:r>
        <w:rPr>
          <w:rtl/>
        </w:rPr>
        <w:t xml:space="preserve"> אופנתי ולבוש מקטורן קצר למדי. הצעיר, שעמד לעבור לפני התיבה, סטה מדרכו אל עמוד התפילה, ניגש למקום מושבו של ראש הישיבה וחיבק אותו. הטירון שיער שהצעיר המודרני הוא רופא, קרוב משפחה של ראש הישיבה. אחרי התפילה סיפר לו אשר שהחזן הוא תלמיד חכם גדול, חתנו של הסבא. החתן בא זה עתה מקלם, יום לפני אשתו וילדתם התינוקת, שעתידות היו להגיע עם אביה באותו יום חמישי. “ובכן”, הרהר אבי, “במינסק, תלמידי חכמים אינם מקצרים את זקניהם כל כך, ואף אינם מתלבשים לפי האופנה; המקום הזה אינו כפי שדמיינתי.”</w:t>
      </w:r>
    </w:p>
    <w:p w14:paraId="444BB430" w14:textId="77777777" w:rsidR="00AB3647" w:rsidRDefault="00000000" w:rsidP="007923E9">
      <w:pPr>
        <w:spacing w:after="100" w:line="276" w:lineRule="auto"/>
        <w:ind w:firstLine="340"/>
        <w:jc w:val="both"/>
      </w:pPr>
      <w:r>
        <w:rPr>
          <w:rtl/>
        </w:rPr>
        <w:t xml:space="preserve">למחרת הגיע הסבא </w:t>
      </w:r>
      <w:proofErr w:type="spellStart"/>
      <w:r>
        <w:rPr>
          <w:rtl/>
        </w:rPr>
        <w:t>מסלבודקה</w:t>
      </w:r>
      <w:proofErr w:type="spellEnd"/>
      <w:r>
        <w:rPr>
          <w:rtl/>
        </w:rPr>
        <w:t xml:space="preserve">. הוא פגש את שני המועמדים ואמר להם שהישיבה צפופה, ואינו יודע אם יוכל למצוא מקום בשבילם. “המתינו עד לאחר שבת; עד אז כבר יחזרו כל הבחורים מן הזמן שעבר שעתידים לשוב, ואז אומר לכם אם התקבלתם”, אמר. שני הצעירים יצאו בראש מורכן. האם באו כל הדרך ממינסק רק כדי להידחות לפני שניתנה להם הזדמנות להוכיח את עצמם?</w:t>
      </w:r>
    </w:p>
    <w:p w14:paraId="274C5ECB" w14:textId="77777777" w:rsidR="00AB3647" w:rsidRDefault="00000000" w:rsidP="007923E9">
      <w:pPr>
        <w:spacing w:after="100" w:line="276" w:lineRule="auto"/>
        <w:ind w:firstLine="340"/>
        <w:jc w:val="both"/>
      </w:pPr>
      <w:r>
        <w:rPr>
          <w:rtl/>
        </w:rPr>
        <w:t xml:space="preserve">אהרן הבין שמשהו אינו כשורה. כשהגיעו לטווח שמיעתו של אשר </w:t>
      </w:r>
      <w:proofErr w:type="spellStart"/>
      <w:r>
        <w:rPr>
          <w:rtl/>
        </w:rPr>
        <w:t>קרשטיין</w:t>
      </w:r>
      <w:proofErr w:type="spellEnd"/>
      <w:r>
        <w:rPr>
          <w:rtl/>
        </w:rPr>
        <w:t xml:space="preserve">, שותפם הזמני לחדר, אמר לחברו: “למה עלינו להמתין? </w:t>
      </w:r>
      <w:proofErr w:type="spellStart"/>
      <w:r>
        <w:rPr>
          <w:rtl/>
        </w:rPr>
        <w:t>בסלבודקה</w:t>
      </w:r>
      <w:proofErr w:type="spellEnd"/>
      <w:r>
        <w:rPr>
          <w:rtl/>
        </w:rPr>
        <w:t xml:space="preserve"> יש הישיבה האחרת, שבה למדתי לפני שבאתי למינסק, כנסת בית יצחק. נלך לשם ונלמד אצל ר׳ </w:t>
      </w:r>
      <w:proofErr w:type="spellStart"/>
      <w:r>
        <w:rPr>
          <w:rtl/>
        </w:rPr>
        <w:t>ברוך־בער</w:t>
      </w:r>
      <w:proofErr w:type="spellEnd"/>
      <w:r>
        <w:rPr>
          <w:rtl/>
        </w:rPr>
        <w:t xml:space="preserve">.” אבי זכר שסבו נתן לו מכתב המלצה אל ר׳ </w:t>
      </w:r>
      <w:proofErr w:type="spellStart"/>
      <w:r>
        <w:rPr>
          <w:rtl/>
        </w:rPr>
        <w:t>ברוך־בער</w:t>
      </w:r>
      <w:proofErr w:type="spellEnd"/>
      <w:r>
        <w:rPr>
          <w:rtl/>
        </w:rPr>
        <w:t xml:space="preserve">, והשיב: “למה לא?” אשר מיהר אל הסבא לספר מה ששמע, וזמן קצר מאוד אחר כך מסר להם את דברי הסבא: “אשר, לך אמור להם שהם כאן!” אשר </w:t>
      </w:r>
      <w:proofErr w:type="spellStart"/>
      <w:r>
        <w:rPr>
          <w:rtl/>
        </w:rPr>
        <w:t>קרשטיין</w:t>
      </w:r>
      <w:proofErr w:type="spellEnd"/>
      <w:r>
        <w:rPr>
          <w:rtl/>
        </w:rPr>
        <w:t>, שעוד במינסק הפציר בהם ללכת רק לכנסת ישראל, הביא את העניין לסיום מוצלח.</w:t>
      </w:r>
    </w:p>
    <w:p w14:paraId="37DD64EB" w14:textId="77777777" w:rsidR="00AB3647" w:rsidRDefault="00000000" w:rsidP="007923E9">
      <w:pPr>
        <w:spacing w:after="100" w:line="276" w:lineRule="auto"/>
        <w:ind w:firstLine="340"/>
        <w:jc w:val="both"/>
      </w:pPr>
      <w:proofErr w:type="spellStart"/>
      <w:r>
        <w:rPr>
          <w:rtl/>
        </w:rPr>
        <w:t>הדולהינובר</w:t>
      </w:r>
      <w:proofErr w:type="spellEnd"/>
      <w:r>
        <w:rPr>
          <w:rtl/>
        </w:rPr>
        <w:t xml:space="preserve"> הצעיר שובץ </w:t>
      </w:r>
      <w:proofErr w:type="spellStart"/>
      <w:r>
        <w:rPr>
          <w:rtl/>
        </w:rPr>
        <w:t>לאכסניה</w:t>
      </w:r>
      <w:proofErr w:type="spellEnd"/>
      <w:r>
        <w:rPr>
          <w:rtl/>
        </w:rPr>
        <w:t xml:space="preserve"> עם </w:t>
      </w:r>
      <w:proofErr w:type="spellStart"/>
      <w:r>
        <w:rPr>
          <w:rtl/>
        </w:rPr>
        <w:t>לייבל</w:t>
      </w:r>
      <w:proofErr w:type="spellEnd"/>
      <w:r>
        <w:rPr>
          <w:rtl/>
        </w:rPr>
        <w:t xml:space="preserve"> </w:t>
      </w:r>
      <w:proofErr w:type="spellStart"/>
      <w:r>
        <w:rPr>
          <w:rtl/>
        </w:rPr>
        <w:t>יאנובר</w:t>
      </w:r>
      <w:proofErr w:type="spellEnd"/>
      <w:r>
        <w:rPr>
          <w:rtl/>
        </w:rPr>
        <w:t xml:space="preserve"> (</w:t>
      </w:r>
      <w:proofErr w:type="spellStart"/>
      <w:r>
        <w:rPr>
          <w:rtl/>
        </w:rPr>
        <w:t>קגן</w:t>
      </w:r>
      <w:proofErr w:type="spellEnd"/>
      <w:r>
        <w:rPr>
          <w:rtl/>
        </w:rPr>
        <w:t xml:space="preserve">), בן עשרים ואחת, ועם שני בני </w:t>
      </w:r>
      <w:proofErr w:type="spellStart"/>
      <w:r>
        <w:rPr>
          <w:rtl/>
        </w:rPr>
        <w:t>שמונה־עשרה</w:t>
      </w:r>
      <w:proofErr w:type="spellEnd"/>
      <w:r>
        <w:rPr>
          <w:rtl/>
        </w:rPr>
        <w:t xml:space="preserve">, אלתר </w:t>
      </w:r>
      <w:proofErr w:type="spellStart"/>
      <w:r>
        <w:rPr>
          <w:rtl/>
        </w:rPr>
        <w:t>אולקניקר</w:t>
      </w:r>
      <w:proofErr w:type="spellEnd"/>
      <w:r>
        <w:rPr>
          <w:rtl/>
        </w:rPr>
        <w:t xml:space="preserve"> (</w:t>
      </w:r>
      <w:proofErr w:type="spellStart"/>
      <w:r>
        <w:rPr>
          <w:rtl/>
        </w:rPr>
        <w:t>פופלק</w:t>
      </w:r>
      <w:proofErr w:type="spellEnd"/>
      <w:r>
        <w:rPr>
          <w:rtl/>
        </w:rPr>
        <w:t xml:space="preserve">) </w:t>
      </w:r>
      <w:proofErr w:type="spellStart"/>
      <w:r>
        <w:rPr>
          <w:rtl/>
        </w:rPr>
        <w:t>ויעקב־משה</w:t>
      </w:r>
      <w:proofErr w:type="spellEnd"/>
      <w:r>
        <w:rPr>
          <w:rtl/>
        </w:rPr>
        <w:t xml:space="preserve"> </w:t>
      </w:r>
      <w:proofErr w:type="spellStart"/>
      <w:r>
        <w:rPr>
          <w:rtl/>
        </w:rPr>
        <w:t>קאפוליער</w:t>
      </w:r>
      <w:proofErr w:type="spellEnd"/>
      <w:r>
        <w:rPr>
          <w:rtl/>
        </w:rPr>
        <w:t xml:space="preserve">. האחרון, שהיה מבין מקבלי פניו, עזר לו גם למצוא </w:t>
      </w:r>
      <w:proofErr w:type="spellStart"/>
      <w:r>
        <w:rPr>
          <w:rtl/>
        </w:rPr>
        <w:t>חברותות</w:t>
      </w:r>
      <w:proofErr w:type="spellEnd"/>
      <w:r>
        <w:rPr>
          <w:rtl/>
        </w:rPr>
        <w:t xml:space="preserve"> למסכת קידושין, שנלמדה בזמן הקיץ. רבנו שקע מיד בלימודיו.</w:t>
      </w:r>
    </w:p>
    <w:p w14:paraId="437556AD" w14:textId="77777777" w:rsidR="00AB3647" w:rsidRDefault="00000000" w:rsidP="007923E9">
      <w:pPr>
        <w:spacing w:after="100" w:line="276" w:lineRule="auto"/>
        <w:ind w:firstLine="340"/>
        <w:jc w:val="both"/>
      </w:pPr>
      <w:r>
        <w:rPr>
          <w:rtl/>
        </w:rPr>
        <w:t xml:space="preserve">סדר היום התחיל בשבע בבוקר בתפילה, ובה השתתפו הסבא, לעיתים קרובות גם ר׳ </w:t>
      </w:r>
      <w:proofErr w:type="spellStart"/>
      <w:r>
        <w:rPr>
          <w:rtl/>
        </w:rPr>
        <w:t>משה־מרדכי</w:t>
      </w:r>
      <w:proofErr w:type="spellEnd"/>
      <w:r>
        <w:rPr>
          <w:rtl/>
        </w:rPr>
        <w:t xml:space="preserve">, ובעלי התפקידים הזוטרים יותר. אחרי ארוחת הבוקר </w:t>
      </w:r>
      <w:proofErr w:type="spellStart"/>
      <w:r>
        <w:rPr>
          <w:rtl/>
        </w:rPr>
        <w:t>באכסניה</w:t>
      </w:r>
      <w:proofErr w:type="spellEnd"/>
      <w:r>
        <w:rPr>
          <w:rtl/>
        </w:rPr>
        <w:t xml:space="preserve"> התחיל בתשע סדר </w:t>
      </w:r>
      <w:r>
        <w:rPr>
          <w:rtl/>
        </w:rPr>
        <w:lastRenderedPageBreak/>
        <w:t>לימוד בן ארבע שעות, שהסתיים במנחה. פעמיים בשבוע נחתם סדר הבוקר בשיעור של כחצי שעה מפי ראש הישיבה. סדר אחר הצהריים התחיל בשלוש, כשחזרו התלמידים לישיבה מן הארוחה העיקרית של היום באכסניותיהם, והסתיים בתשע וחצי.</w:t>
      </w:r>
    </w:p>
    <w:p w14:paraId="078AF362" w14:textId="77777777" w:rsidR="00AB3647" w:rsidRDefault="00000000" w:rsidP="007923E9">
      <w:pPr>
        <w:spacing w:after="100" w:line="276" w:lineRule="auto"/>
        <w:ind w:firstLine="340"/>
        <w:jc w:val="both"/>
      </w:pPr>
      <w:r>
        <w:rPr>
          <w:rtl/>
        </w:rPr>
        <w:t xml:space="preserve">חצי שעה של לימוד מוסר אישי חתמה את תוכנית הלימודים היומית הרשמית, אף שיום הלימוד הסתיים רק זמן רב אחרי עשר בלילה, בגלל הלימוד הנמרץ שבא אחרי לימוד המוסר. אחרי ערבית אמרו תהילים לרפואת תלמידי הישיבה החולים: מתוך 450 תלמידים היה נדיר יום שבו לא היה תלמיד חולה. תלמידים רבים, רעבים לתורה נוספת, שבו לבית המדרש אחרי ארוחת ערב קלה באכסניותיהם, והוסיפו ללמוד עד השעות הקטנות של הלילה.</w:t>
      </w:r>
    </w:p>
    <w:p w14:paraId="78A7A37B" w14:textId="77777777" w:rsidR="00AB3647" w:rsidRDefault="00000000" w:rsidP="007923E9">
      <w:pPr>
        <w:spacing w:after="100" w:line="276" w:lineRule="auto"/>
        <w:ind w:firstLine="340"/>
        <w:jc w:val="both"/>
      </w:pPr>
      <w:r>
        <w:rPr>
          <w:rtl/>
        </w:rPr>
        <w:t xml:space="preserve">אבי שקד על ספריו כל כך, עד שלעיתים קרובות, בתום יום הלימוד הארוך, שלא פעם נמשך גם שעות נוספות בלילה, נרדם בשינה עמוקה ליד הסטנדר שלו. אלתר </w:t>
      </w:r>
      <w:proofErr w:type="spellStart"/>
      <w:r>
        <w:rPr>
          <w:rtl/>
        </w:rPr>
        <w:t>אולקניקר</w:t>
      </w:r>
      <w:proofErr w:type="spellEnd"/>
      <w:r>
        <w:rPr>
          <w:rtl/>
        </w:rPr>
        <w:t xml:space="preserve">, צעיר חסון, ראה ששותפו לחדר, הדק והקל, ניחן בשכל ובמידות יוצאי דופן, וראה זכות לעצמו להרים אותו, לשאת אותו </w:t>
      </w:r>
      <w:proofErr w:type="spellStart"/>
      <w:r>
        <w:rPr>
          <w:rtl/>
        </w:rPr>
        <w:t>לאכסניה</w:t>
      </w:r>
      <w:proofErr w:type="spellEnd"/>
      <w:r>
        <w:rPr>
          <w:rtl/>
        </w:rPr>
        <w:t xml:space="preserve"> ולהשכיב אותו במיטתו. כשנודע לאבי למחרת איך הגיע לחדרו, ביקש משותפו שלא יישא אותו שוב, אלא רק יעיר אותו. לא היה מדרכו להניח לאיש לטרוח כך למענו.</w:t>
      </w:r>
    </w:p>
    <w:p w14:paraId="52379E51" w14:textId="77777777" w:rsidR="00AB3647" w:rsidRDefault="00000000" w:rsidP="007923E9">
      <w:pPr>
        <w:spacing w:after="100" w:line="276" w:lineRule="auto"/>
        <w:ind w:firstLine="340"/>
        <w:jc w:val="both"/>
      </w:pPr>
      <w:r>
        <w:rPr>
          <w:rtl/>
        </w:rPr>
        <w:t xml:space="preserve">אלתר התעקש לחסוך משותפו את אותן דקות נוספות של ערות עייפה, ושוב נשא אותו </w:t>
      </w:r>
      <w:proofErr w:type="spellStart"/>
      <w:r>
        <w:rPr>
          <w:rtl/>
        </w:rPr>
        <w:t>לאכסניה</w:t>
      </w:r>
      <w:proofErr w:type="spellEnd"/>
      <w:r>
        <w:rPr>
          <w:rtl/>
        </w:rPr>
        <w:t xml:space="preserve">. אז החליט </w:t>
      </w:r>
      <w:proofErr w:type="spellStart"/>
      <w:r>
        <w:rPr>
          <w:rtl/>
        </w:rPr>
        <w:t>הדולהינובר</w:t>
      </w:r>
      <w:proofErr w:type="spellEnd"/>
      <w:r>
        <w:rPr>
          <w:rtl/>
        </w:rPr>
        <w:t xml:space="preserve"> הצעיר שעליו להישאר ער יותר משותפו בכל מחיר, והופתע לגלות </w:t>
      </w:r>
      <w:proofErr w:type="spellStart"/>
      <w:r>
        <w:rPr>
          <w:rtl/>
        </w:rPr>
        <w:t>שהאולקניקר</w:t>
      </w:r>
      <w:proofErr w:type="spellEnd"/>
      <w:r>
        <w:rPr>
          <w:rtl/>
        </w:rPr>
        <w:t xml:space="preserve"> מקפיד שלא לעזוב את בית המדרש לפניו. “למה אוותר על המצווה לטפל במתמיד היקר, ואפסיד חלק בהתמדה כזאת בתורה?” חשב אלתר. המצב נעשה אבסורדי: אבי נשאר ער כל הלילה ונרדם שוב ושוב ביום. לבסוף הגיעו לפשרה: יעירו את </w:t>
      </w:r>
      <w:proofErr w:type="spellStart"/>
      <w:r>
        <w:rPr>
          <w:rtl/>
        </w:rPr>
        <w:t>הדולהינובר</w:t>
      </w:r>
      <w:proofErr w:type="spellEnd"/>
      <w:r>
        <w:rPr>
          <w:rtl/>
        </w:rPr>
        <w:t xml:space="preserve">, והוא יקרטע אל חדרו. אם תיפול עליו תרדמה עמוקה לפני שיסיר את בגדיו, יכסה אותו אלתר </w:t>
      </w:r>
      <w:proofErr w:type="spellStart"/>
      <w:r>
        <w:rPr>
          <w:rtl/>
        </w:rPr>
        <w:t>אולקניקר</w:t>
      </w:r>
      <w:proofErr w:type="spellEnd"/>
      <w:r>
        <w:rPr>
          <w:rtl/>
        </w:rPr>
        <w:t xml:space="preserve"> בשמיכה ויחלוץ את נעליו ויסיר את מכנסיו.</w:t>
      </w:r>
    </w:p>
    <w:p w14:paraId="3AC17459" w14:textId="77777777" w:rsidR="00AB3647" w:rsidRDefault="00000000" w:rsidP="007923E9">
      <w:pPr>
        <w:spacing w:after="100" w:line="276" w:lineRule="auto"/>
        <w:ind w:firstLine="340"/>
        <w:jc w:val="both"/>
      </w:pPr>
      <w:proofErr w:type="spellStart"/>
      <w:r>
        <w:rPr>
          <w:rtl/>
        </w:rPr>
        <w:t>לייבל</w:t>
      </w:r>
      <w:proofErr w:type="spellEnd"/>
      <w:r>
        <w:rPr>
          <w:rtl/>
        </w:rPr>
        <w:t xml:space="preserve"> </w:t>
      </w:r>
      <w:proofErr w:type="spellStart"/>
      <w:r>
        <w:rPr>
          <w:rtl/>
        </w:rPr>
        <w:t>יאנובר</w:t>
      </w:r>
      <w:proofErr w:type="spellEnd"/>
      <w:r>
        <w:rPr>
          <w:rtl/>
        </w:rPr>
        <w:t xml:space="preserve"> דאג לצרכיהם הרוחניים הישירים יותר של שני שותפיו הצעירים. הוא דרש שבכל ארוחה יעלו לדיון קושיה על הגמרא שלמדו, שלהם או של אדם אחר. הוא גם הדריך את התלמיד המתחיל בנימוסי שולחן, תחום חינוך חשוב </w:t>
      </w:r>
      <w:proofErr w:type="spellStart"/>
      <w:r>
        <w:rPr>
          <w:rtl/>
        </w:rPr>
        <w:t>בסלבודקה</w:t>
      </w:r>
      <w:proofErr w:type="spellEnd"/>
      <w:r>
        <w:rPr>
          <w:rtl/>
        </w:rPr>
        <w:t xml:space="preserve">. אפילו בשבתות, </w:t>
      </w:r>
      <w:proofErr w:type="spellStart"/>
      <w:r>
        <w:rPr>
          <w:rtl/>
        </w:rPr>
        <w:t>כשלא</w:t>
      </w:r>
      <w:proofErr w:type="spellEnd"/>
      <w:r>
        <w:rPr>
          <w:rtl/>
        </w:rPr>
        <w:t xml:space="preserve"> היו סדרים רשמיים, המשיכו התלמידים לשקוד על לימודיהם, ומיהרו בסעודות השבת כדי לחזור לבית המדרש.</w:t>
      </w:r>
    </w:p>
    <w:p w14:paraId="2A995BE4" w14:textId="77777777" w:rsidR="00AB3647" w:rsidRDefault="00000000" w:rsidP="007923E9">
      <w:pPr>
        <w:spacing w:after="100" w:line="276" w:lineRule="auto"/>
        <w:ind w:firstLine="340"/>
        <w:jc w:val="both"/>
      </w:pPr>
      <w:r>
        <w:rPr>
          <w:rtl/>
        </w:rPr>
        <w:t xml:space="preserve">קבלת הפנים הקרה של הסבא עוררה אצל </w:t>
      </w:r>
      <w:proofErr w:type="spellStart"/>
      <w:r>
        <w:rPr>
          <w:rtl/>
        </w:rPr>
        <w:t>הדולהינובר</w:t>
      </w:r>
      <w:proofErr w:type="spellEnd"/>
      <w:r>
        <w:rPr>
          <w:rtl/>
        </w:rPr>
        <w:t xml:space="preserve"> ספקות אם התקבל לישיבה באופן סופי, ודווקא השיבוץ לסעודות שבת, שבועות אחדים אחר כך, הוא שהסיר אותם. הסבא הודיע לו שהוא מוזמן לאכול את סעודות השבת בבית עמיתו הוותיק, ר׳ </w:t>
      </w:r>
      <w:proofErr w:type="spellStart"/>
      <w:r>
        <w:rPr>
          <w:rtl/>
        </w:rPr>
        <w:t xml:space="preserve">בער־הירש</w:t>
      </w:r>
      <w:proofErr w:type="spellEnd"/>
      <w:r>
        <w:rPr>
          <w:rtl/>
        </w:rPr>
        <w:t xml:space="preserve"> </w:t>
      </w:r>
      <w:proofErr w:type="spellStart"/>
      <w:r>
        <w:rPr>
          <w:rtl/>
        </w:rPr>
        <w:t xml:space="preserve">הלר</w:t>
      </w:r>
      <w:proofErr w:type="spellEnd"/>
      <w:r>
        <w:rPr>
          <w:rtl/>
        </w:rPr>
        <w:t>, עוזר המשגיח האהוב מאוד.</w:t>
      </w:r>
    </w:p>
    <w:p w14:paraId="58670056" w14:textId="77777777" w:rsidR="00AB3647" w:rsidRDefault="00000000" w:rsidP="007923E9">
      <w:pPr>
        <w:spacing w:after="100" w:line="276" w:lineRule="auto"/>
        <w:ind w:firstLine="340"/>
        <w:jc w:val="both"/>
      </w:pPr>
      <w:r>
        <w:rPr>
          <w:rtl/>
        </w:rPr>
        <w:t xml:space="preserve">הרב </w:t>
      </w:r>
      <w:proofErr w:type="spellStart"/>
      <w:r>
        <w:rPr>
          <w:rtl/>
        </w:rPr>
        <w:t xml:space="preserve">הלר</w:t>
      </w:r>
      <w:proofErr w:type="spellEnd"/>
      <w:r>
        <w:rPr>
          <w:rtl/>
        </w:rPr>
        <w:t xml:space="preserve"> פגש לראשונה את ר׳ </w:t>
      </w:r>
      <w:proofErr w:type="spellStart"/>
      <w:r>
        <w:rPr>
          <w:rtl/>
        </w:rPr>
        <w:t>נתן־צבי</w:t>
      </w:r>
      <w:proofErr w:type="spellEnd"/>
      <w:r>
        <w:rPr>
          <w:rtl/>
        </w:rPr>
        <w:t xml:space="preserve"> כשהלה לימד תנ״ך בבית הספר שנקרא “בית ישיבה פרטי לעברים”. את בית הספר ייסד ר׳ </w:t>
      </w:r>
      <w:proofErr w:type="spellStart"/>
      <w:r>
        <w:rPr>
          <w:rtl/>
        </w:rPr>
        <w:t>שמחה־זיסל</w:t>
      </w:r>
      <w:proofErr w:type="spellEnd"/>
      <w:r>
        <w:rPr>
          <w:rtl/>
        </w:rPr>
        <w:t xml:space="preserve"> זיו, תלמידו המובהק של ר׳ ישראל </w:t>
      </w:r>
      <w:proofErr w:type="spellStart"/>
      <w:r>
        <w:rPr>
          <w:rtl/>
        </w:rPr>
        <w:t>סלנטר</w:t>
      </w:r>
      <w:proofErr w:type="spellEnd"/>
      <w:r>
        <w:rPr>
          <w:rtl/>
        </w:rPr>
        <w:t xml:space="preserve">, </w:t>
      </w:r>
      <w:proofErr w:type="spellStart"/>
      <w:r>
        <w:rPr>
          <w:rtl/>
        </w:rPr>
        <w:t>בגרובין</w:t>
      </w:r>
      <w:proofErr w:type="spellEnd"/>
      <w:r>
        <w:rPr>
          <w:rtl/>
        </w:rPr>
        <w:t xml:space="preserve">, עיירה סמוכה </w:t>
      </w:r>
      <w:proofErr w:type="spellStart"/>
      <w:r>
        <w:rPr>
          <w:rtl/>
        </w:rPr>
        <w:t>לליבאו</w:t>
      </w:r>
      <w:proofErr w:type="spellEnd"/>
      <w:r>
        <w:rPr>
          <w:rtl/>
        </w:rPr>
        <w:t xml:space="preserve">. היה זה ניסיון נועז לבלום את השפעת ההשכלה על החיים היהודיים. בית הספר העניק לילדי האמידים תוכנית חינוך </w:t>
      </w:r>
      <w:proofErr w:type="spellStart"/>
      <w:r>
        <w:rPr>
          <w:rtl/>
        </w:rPr>
        <w:t>דתית־מוסרית־כללית</w:t>
      </w:r>
      <w:proofErr w:type="spellEnd"/>
      <w:r>
        <w:rPr>
          <w:rtl/>
        </w:rPr>
        <w:t xml:space="preserve">, וגבה שכר לימוד שהיה למעלה מיכולתו של צעיר חסר אמצעים כמו </w:t>
      </w:r>
      <w:proofErr w:type="spellStart"/>
      <w:r>
        <w:rPr>
          <w:rtl/>
        </w:rPr>
        <w:t xml:space="preserve">הלר</w:t>
      </w:r>
      <w:proofErr w:type="spellEnd"/>
      <w:r>
        <w:rPr>
          <w:rtl/>
        </w:rPr>
        <w:t xml:space="preserve">. אבל </w:t>
      </w:r>
      <w:proofErr w:type="spellStart"/>
      <w:r>
        <w:rPr>
          <w:rtl/>
        </w:rPr>
        <w:t xml:space="preserve">בער־הירש</w:t>
      </w:r>
      <w:proofErr w:type="spellEnd"/>
      <w:r>
        <w:rPr>
          <w:rtl/>
        </w:rPr>
        <w:t xml:space="preserve">, שהיה </w:t>
      </w:r>
      <w:r>
        <w:rPr>
          <w:rtl/>
        </w:rPr>
        <w:lastRenderedPageBreak/>
        <w:t>כבר בשלהי שנות העשרים לחייו, השתוקק לספוג את תורת הסבא מקלם. הוא “אכל ימים” בעיר, ומדי בוקר בא אל בית הספר לשמוע את שיחותיו של הסבא מקלם אחרי התפילה.</w:t>
      </w:r>
    </w:p>
    <w:p w14:paraId="0284BA2A" w14:textId="77777777" w:rsidR="00AB3647" w:rsidRDefault="00000000" w:rsidP="007923E9">
      <w:pPr>
        <w:spacing w:after="100" w:line="276" w:lineRule="auto"/>
        <w:ind w:firstLine="340"/>
        <w:jc w:val="both"/>
      </w:pPr>
      <w:r>
        <w:rPr>
          <w:rtl/>
        </w:rPr>
        <w:t xml:space="preserve">זמן קצר אחר כך עבר הרב </w:t>
      </w:r>
      <w:proofErr w:type="spellStart"/>
      <w:r>
        <w:rPr>
          <w:rtl/>
        </w:rPr>
        <w:t xml:space="preserve">הלר</w:t>
      </w:r>
      <w:proofErr w:type="spellEnd"/>
      <w:r>
        <w:rPr>
          <w:rtl/>
        </w:rPr>
        <w:t xml:space="preserve">, עם תלמידים לשעבר אחרים </w:t>
      </w:r>
      <w:proofErr w:type="spellStart"/>
      <w:r>
        <w:rPr>
          <w:rtl/>
        </w:rPr>
        <w:t>מגרובין</w:t>
      </w:r>
      <w:proofErr w:type="spellEnd"/>
      <w:r>
        <w:rPr>
          <w:rtl/>
        </w:rPr>
        <w:t xml:space="preserve">, לקיבוץ שהקים הסבא </w:t>
      </w:r>
      <w:proofErr w:type="spellStart"/>
      <w:r>
        <w:rPr>
          <w:rtl/>
        </w:rPr>
        <w:t>מסלבודקה</w:t>
      </w:r>
      <w:proofErr w:type="spellEnd"/>
      <w:r>
        <w:rPr>
          <w:rtl/>
        </w:rPr>
        <w:t xml:space="preserve"> בחסות ר׳ </w:t>
      </w:r>
      <w:proofErr w:type="spellStart"/>
      <w:r>
        <w:rPr>
          <w:rtl/>
        </w:rPr>
        <w:t>איצל׳ה</w:t>
      </w:r>
      <w:proofErr w:type="spellEnd"/>
      <w:r>
        <w:rPr>
          <w:rtl/>
        </w:rPr>
        <w:t xml:space="preserve"> </w:t>
      </w:r>
      <w:proofErr w:type="spellStart"/>
      <w:r>
        <w:rPr>
          <w:rtl/>
        </w:rPr>
        <w:t>בלאזר</w:t>
      </w:r>
      <w:proofErr w:type="spellEnd"/>
      <w:r>
        <w:rPr>
          <w:rtl/>
        </w:rPr>
        <w:t xml:space="preserve"> ור׳ נפתלי אמסטרדם </w:t>
      </w:r>
      <w:proofErr w:type="spellStart"/>
      <w:r>
        <w:rPr>
          <w:rtl/>
        </w:rPr>
        <w:t>בקלויז</w:t>
      </w:r>
      <w:proofErr w:type="spellEnd"/>
      <w:r>
        <w:rPr>
          <w:rtl/>
        </w:rPr>
        <w:t xml:space="preserve"> “הלוויית המת” </w:t>
      </w:r>
      <w:proofErr w:type="spellStart"/>
      <w:r>
        <w:rPr>
          <w:rtl/>
        </w:rPr>
        <w:t>בסלבודקה</w:t>
      </w:r>
      <w:proofErr w:type="spellEnd"/>
      <w:r>
        <w:rPr>
          <w:rtl/>
        </w:rPr>
        <w:t xml:space="preserve">. </w:t>
      </w:r>
      <w:proofErr w:type="spellStart"/>
      <w:r>
        <w:rPr>
          <w:rtl/>
        </w:rPr>
        <w:t>בתרמ״ב</w:t>
      </w:r>
      <w:proofErr w:type="spellEnd"/>
      <w:r>
        <w:rPr>
          <w:rtl/>
        </w:rPr>
        <w:t xml:space="preserve"> הזמין הסבא </w:t>
      </w:r>
      <w:proofErr w:type="spellStart"/>
      <w:r>
        <w:rPr>
          <w:rtl/>
        </w:rPr>
        <w:t>מסלבודקה</w:t>
      </w:r>
      <w:proofErr w:type="spellEnd"/>
      <w:r>
        <w:rPr>
          <w:rtl/>
        </w:rPr>
        <w:t xml:space="preserve"> את הרב </w:t>
      </w:r>
      <w:proofErr w:type="spellStart"/>
      <w:r>
        <w:rPr>
          <w:rtl/>
        </w:rPr>
        <w:t xml:space="preserve">הלר</w:t>
      </w:r>
      <w:proofErr w:type="spellEnd"/>
      <w:r>
        <w:rPr>
          <w:rtl/>
        </w:rPr>
        <w:t xml:space="preserve"> לסייע לו בניהול הישיבה שהקים </w:t>
      </w:r>
      <w:proofErr w:type="spellStart"/>
      <w:r>
        <w:rPr>
          <w:rtl/>
        </w:rPr>
        <w:t>בסלבודקה</w:t>
      </w:r>
      <w:proofErr w:type="spellEnd"/>
      <w:r>
        <w:rPr>
          <w:rtl/>
        </w:rPr>
        <w:t xml:space="preserve"> בחסות הכולל בקובנה. כשנוסדה לבסוף ישיבת כנסת ישראל, התבקש לשמש עוזרו של הסבא – “המשגיח הצעיר”. המשגיח חם הלב ומשפחתו היו בית שני לתלמיד החדש ממינסק.</w:t>
      </w:r>
    </w:p>
    <w:p w14:paraId="38E68558" w14:textId="77777777" w:rsidR="00AB3647" w:rsidRDefault="00000000" w:rsidP="007923E9">
      <w:pPr>
        <w:spacing w:after="100" w:line="276" w:lineRule="auto"/>
        <w:ind w:firstLine="340"/>
        <w:jc w:val="both"/>
      </w:pPr>
      <w:r>
        <w:rPr>
          <w:rtl/>
        </w:rPr>
        <w:t xml:space="preserve">ראש הישיבה, ר׳ </w:t>
      </w:r>
      <w:proofErr w:type="spellStart"/>
      <w:r>
        <w:rPr>
          <w:rtl/>
        </w:rPr>
        <w:t>משה־מרדכי</w:t>
      </w:r>
      <w:proofErr w:type="spellEnd"/>
      <w:r>
        <w:rPr>
          <w:rtl/>
        </w:rPr>
        <w:t xml:space="preserve">, היה דמות מרשימה. גאונותו לא הייתה מוטלת בספק, ולמרות חובותיו הרבניות לעיר </w:t>
      </w:r>
      <w:proofErr w:type="spellStart"/>
      <w:r>
        <w:rPr>
          <w:rtl/>
        </w:rPr>
        <w:t>סלבודקה</w:t>
      </w:r>
      <w:proofErr w:type="spellEnd"/>
      <w:r>
        <w:rPr>
          <w:rtl/>
        </w:rPr>
        <w:t>, התמדתו לא נפלה מזו של המתמידים שבתלמידים. אבל שיעוריו, מבריקים ככל שהיו, לא הם שקבעו את אופייה של גישת הישיבה ללימוד התלמוד. כמה תלמידים היו רצים קדימה כדי לשמוע את השיעורים – הסבא הנהיג שהתלמידים ירוצו לשיעור, כביטוי לכבוד התורה. אבל רבים אחרים היו יוצאים בחיפזון מבית המדרש כשנכנס ראש הישיבה למסור את שיעוריו, שנמסרו פעמיים בשבוע. כשגישה כזו שררה, ובעליל בהסכמת ההנהלה, לא יכלה כנסת ישראל לקדם דרך מסוימת בלמדנות התלמודית. כל תלמיד התפתח בדרך המתאימה ביותר לנטייתו השכלית האישית.</w:t>
      </w:r>
    </w:p>
    <w:p w14:paraId="7E9661A0" w14:textId="77777777" w:rsidR="00AB3647" w:rsidRDefault="00000000" w:rsidP="007923E9">
      <w:pPr>
        <w:spacing w:after="100" w:line="276" w:lineRule="auto"/>
        <w:ind w:firstLine="340"/>
        <w:jc w:val="both"/>
      </w:pPr>
      <w:r>
        <w:rPr>
          <w:rtl/>
        </w:rPr>
        <w:t xml:space="preserve">אבי וחברו </w:t>
      </w:r>
      <w:proofErr w:type="spellStart"/>
      <w:r>
        <w:rPr>
          <w:rtl/>
        </w:rPr>
        <w:t>הסיסלוביצ׳ר</w:t>
      </w:r>
      <w:proofErr w:type="spellEnd"/>
      <w:r>
        <w:rPr>
          <w:rtl/>
        </w:rPr>
        <w:t xml:space="preserve"> נשארו לשיעורי ראש הישיבה, אבל רק אהרן היה משמיע בהם את קולו, ומערער, לעיתים בלהט, על נכונות החידוש שנאמר. הפרעות כאלה היו מותרות לפי כללי הישיבה. אבי לא הקשיב לשיעורים בקשב מוחלט כל כך, אלא פיתח את כישורי הלימוד שלו בקבוצות הלימוד הידועות </w:t>
      </w:r>
      <w:proofErr w:type="spellStart"/>
      <w:r>
        <w:rPr>
          <w:rtl/>
        </w:rPr>
        <w:t>כ“חבורות</w:t>
      </w:r>
      <w:proofErr w:type="spellEnd"/>
      <w:r>
        <w:rPr>
          <w:rtl/>
        </w:rPr>
        <w:t>”, שתלמידים מבוגרים שונים הופקדו על מסירתן. הוא בחר מוסר חבורה שדרך לימודו מצאה חן בעיניו, וקיבל אותו כמדריך אישי לפיתוח הבנתו בלימוד. הוא לא רק עקב מקרוב אחר דבריו של התלמיד המבוגר, אלא גם דן עמו ביחידות בכל קושי שהתעורר בחומר שלמד.</w:t>
      </w:r>
    </w:p>
    <w:p w14:paraId="6A2C341A" w14:textId="77777777" w:rsidR="00AB3647" w:rsidRDefault="00000000" w:rsidP="007923E9">
      <w:pPr>
        <w:spacing w:after="100" w:line="276" w:lineRule="auto"/>
        <w:ind w:firstLine="340"/>
        <w:jc w:val="both"/>
      </w:pPr>
      <w:r>
        <w:rPr>
          <w:b/>
          <w:bCs/>
          <w:rtl/>
        </w:rPr>
        <w:t>מחציתו</w:t>
      </w:r>
      <w:r>
        <w:rPr>
          <w:rtl/>
        </w:rPr>
        <w:t xml:space="preserve"> של כל יום לימודים הוקדשה לעיון, ובו למדו בכל זמן כ־75 דפי גמרא. המחצית האחרת נוצלה לרכישת בקיאות בתלמוד ובפוסקים. בכנסת ישראל לא הוסיפו על טקסט הגמרא אלא מבחר מספרי הראשונים היסודיים ומספרי האחרונים הקלאסיים, המפתחים את כושר הניתוח התלמודי של התלמיד – כגון </w:t>
      </w:r>
      <w:proofErr w:type="spellStart"/>
      <w:r>
        <w:rPr>
          <w:rtl/>
        </w:rPr>
        <w:t>ה“קצות</w:t>
      </w:r>
      <w:proofErr w:type="spellEnd"/>
      <w:r>
        <w:rPr>
          <w:rtl/>
        </w:rPr>
        <w:t>”, הספר שבו נבחנו הבאים החדשים. אף שספרי העזר מילאו תפקיד שולי בתוכנית הלימודים, מלאי הספרים בישיבה לא הספיק מעולם לצורכיהם של יותר מ־400 התלמידים. הכרכים המעטים שעמדו לרשותם עברו מיד ליד בתור.</w:t>
      </w:r>
    </w:p>
    <w:p w14:paraId="3CD7C8C0" w14:textId="77777777" w:rsidR="00AB3647" w:rsidRDefault="00000000" w:rsidP="007923E9">
      <w:pPr>
        <w:spacing w:after="100" w:line="276" w:lineRule="auto"/>
        <w:ind w:firstLine="340"/>
        <w:jc w:val="both"/>
      </w:pPr>
      <w:r>
        <w:rPr>
          <w:rtl/>
        </w:rPr>
        <w:t xml:space="preserve">ר׳ חיים </w:t>
      </w:r>
      <w:proofErr w:type="spellStart"/>
      <w:r>
        <w:rPr>
          <w:rtl/>
        </w:rPr>
        <w:t>סולובייצ׳יק</w:t>
      </w:r>
      <w:proofErr w:type="spellEnd"/>
      <w:r>
        <w:rPr>
          <w:rtl/>
        </w:rPr>
        <w:t xml:space="preserve"> היה הפופולרי שבראשי הישיבות במאה ההיא. עיקרי השיעורים שמסר </w:t>
      </w:r>
      <w:proofErr w:type="spellStart"/>
      <w:r>
        <w:rPr>
          <w:rtl/>
        </w:rPr>
        <w:t>בוולוז׳ין</w:t>
      </w:r>
      <w:proofErr w:type="spellEnd"/>
      <w:r>
        <w:rPr>
          <w:rtl/>
        </w:rPr>
        <w:t xml:space="preserve"> שני עשורים קודם לכן עברו בין תלמידי הישיבה, אף שדווקא בראש הישיבה המתחרה, כנסת בית יצחק, עמד תלמידו הגדול של ר׳ חיים. זמן קצר לפני בואו של </w:t>
      </w:r>
      <w:proofErr w:type="spellStart"/>
      <w:r>
        <w:rPr>
          <w:rtl/>
        </w:rPr>
        <w:t>הדולהינובר</w:t>
      </w:r>
      <w:proofErr w:type="spellEnd"/>
      <w:r>
        <w:rPr>
          <w:rtl/>
        </w:rPr>
        <w:t xml:space="preserve"> החל הסבא לעודד את תלמידיו, אומנם בזהירות, להשתתף בשיעורים בכנסת בית יצחק. הבאים החדשים הצטרפו למספר הניכר של תלמידי כנסת ישראל שפקדו את שיעוריו של ר׳ </w:t>
      </w:r>
      <w:proofErr w:type="spellStart"/>
      <w:r>
        <w:rPr>
          <w:rtl/>
        </w:rPr>
        <w:t>ברוך־בער</w:t>
      </w:r>
      <w:proofErr w:type="spellEnd"/>
      <w:r>
        <w:rPr>
          <w:rtl/>
        </w:rPr>
        <w:t>, ונהנו הן מבהירותו המופלאה בהסברה והן מן הקשר שבו חיבר את שומעיו לתורתו של רבו האהוד.</w:t>
      </w:r>
    </w:p>
    <w:p w14:paraId="3D3D3887" w14:textId="77777777" w:rsidR="00AB3647" w:rsidRDefault="00000000" w:rsidP="007923E9">
      <w:pPr>
        <w:spacing w:after="100" w:line="276" w:lineRule="auto"/>
        <w:ind w:firstLine="340"/>
        <w:jc w:val="both"/>
      </w:pPr>
      <w:r>
        <w:rPr>
          <w:rtl/>
        </w:rPr>
        <w:lastRenderedPageBreak/>
        <w:t xml:space="preserve">בתחילה נכונה </w:t>
      </w:r>
      <w:proofErr w:type="spellStart"/>
      <w:r>
        <w:rPr>
          <w:rtl/>
        </w:rPr>
        <w:t>לדולהינובר</w:t>
      </w:r>
      <w:proofErr w:type="spellEnd"/>
      <w:r>
        <w:rPr>
          <w:rtl/>
        </w:rPr>
        <w:t xml:space="preserve"> ולשאר חבריו אכזבה. הם החליטו לבקר בבית ר׳ </w:t>
      </w:r>
      <w:proofErr w:type="spellStart"/>
      <w:r>
        <w:rPr>
          <w:rtl/>
        </w:rPr>
        <w:t>ברוך־בער</w:t>
      </w:r>
      <w:proofErr w:type="spellEnd"/>
      <w:r>
        <w:rPr>
          <w:rtl/>
        </w:rPr>
        <w:t xml:space="preserve"> כדי לדבר עמו בלימוד, ולתמיהתם, כל מה שעשה ראש הישיבה למשמע דברי התורה שהציעו היה להמהם. הוא לא הביע לא הסכמה ולא הסתייגות. לימים גילו שר׳ </w:t>
      </w:r>
      <w:proofErr w:type="spellStart"/>
      <w:r>
        <w:rPr>
          <w:rtl/>
        </w:rPr>
        <w:t>ברוך־בער</w:t>
      </w:r>
      <w:proofErr w:type="spellEnd"/>
      <w:r>
        <w:rPr>
          <w:rtl/>
        </w:rPr>
        <w:t xml:space="preserve"> הבין שרבו הורה לו שלא לדבר ביחידות עם תלמידי הישיבה המתחרה. אבל יחסו השלילי של ר׳ </w:t>
      </w:r>
      <w:proofErr w:type="spellStart"/>
      <w:r>
        <w:rPr>
          <w:rtl/>
        </w:rPr>
        <w:t>ברוך־בער</w:t>
      </w:r>
      <w:proofErr w:type="spellEnd"/>
      <w:r>
        <w:rPr>
          <w:rtl/>
        </w:rPr>
        <w:t xml:space="preserve"> לא ארך ימים. התמדתם של תלמידי ישיבת המוסר פילסה דרך אל לבו הרך, הטוב ואוהב התורה. לבסוף אף היו רצויים במפגשים שקיים בביתו אחרי סעודה שלישית, ובהם יכלו התלמידים להעלות שאלות ולהציע פתרונות אחרים לקושיות שהועלו בשיעוריו.</w:t>
      </w:r>
    </w:p>
    <w:p w14:paraId="70AE7785" w14:textId="77777777" w:rsidR="00AB3647" w:rsidRDefault="00000000" w:rsidP="007923E9">
      <w:pPr>
        <w:spacing w:after="100" w:line="276" w:lineRule="auto"/>
        <w:ind w:firstLine="340"/>
        <w:jc w:val="both"/>
      </w:pPr>
      <w:r>
        <w:rPr>
          <w:rtl/>
        </w:rPr>
        <w:t xml:space="preserve">הסבא, מצדו, לא העלה על דעתו מעולם למנוע מתלמידי כנסת בית יצחק ליהנות מן המוסר, תחום ייחודה של כנסת ישראל. ר׳ </w:t>
      </w:r>
      <w:proofErr w:type="spellStart"/>
      <w:r>
        <w:rPr>
          <w:rtl/>
        </w:rPr>
        <w:t>נתן־צבי</w:t>
      </w:r>
      <w:proofErr w:type="spellEnd"/>
      <w:r>
        <w:rPr>
          <w:rtl/>
        </w:rPr>
        <w:t xml:space="preserve"> רצה לקדם את דרך המוסר, ולכן עודד את בחורי כנסת בית יצחק להשתתף בשיחות המוסר שלו, ואף הזמין כמה מהם לשיחות אישיות. כעבור </w:t>
      </w:r>
      <w:proofErr w:type="spellStart"/>
      <w:r>
        <w:rPr>
          <w:rtl/>
        </w:rPr>
        <w:t>זמן־מה</w:t>
      </w:r>
      <w:proofErr w:type="spellEnd"/>
      <w:r>
        <w:rPr>
          <w:rtl/>
        </w:rPr>
        <w:t xml:space="preserve"> הקים ועד מיוחד של מוסר לתלמידי הישיבה האחרת. ככלל, היחסים בין שתי הישיבות </w:t>
      </w:r>
      <w:proofErr w:type="spellStart"/>
      <w:r>
        <w:rPr>
          <w:rtl/>
        </w:rPr>
        <w:t>בסלבודקה</w:t>
      </w:r>
      <w:proofErr w:type="spellEnd"/>
      <w:r>
        <w:rPr>
          <w:rtl/>
        </w:rPr>
        <w:t xml:space="preserve"> היו יחסי שיתוף פעולה מובהקים.</w:t>
      </w:r>
    </w:p>
    <w:p w14:paraId="702C1968" w14:textId="77777777" w:rsidR="00AB3647" w:rsidRDefault="00000000" w:rsidP="007923E9">
      <w:pPr>
        <w:spacing w:after="100" w:line="276" w:lineRule="auto"/>
        <w:ind w:firstLine="340"/>
        <w:jc w:val="both"/>
      </w:pPr>
      <w:r>
        <w:rPr>
          <w:rtl/>
        </w:rPr>
        <w:t xml:space="preserve">כנסת ישראל הייתה ישיבת מוסר, ולכן התפתחות אישיותו של התלמיד לא הושארה ליד המקרה. את שיחות הסבא שמעו כל בני הישיבה בלילות שבת ובמוצאי שבת, ולעיתים גם בזמן המוסר שלפני ערבית בליל חמישי. מלבד שיחות אלה השתייך כל תלמיד לאחד הוועדים, שנפגשו מדי שבוע לדיון משותף במוסר. ועדה בראשות ר׳ זלמן </w:t>
      </w:r>
      <w:proofErr w:type="spellStart"/>
      <w:r>
        <w:rPr>
          <w:rtl/>
        </w:rPr>
        <w:t>דולינסקי</w:t>
      </w:r>
      <w:proofErr w:type="spellEnd"/>
      <w:r>
        <w:rPr>
          <w:rtl/>
        </w:rPr>
        <w:t xml:space="preserve"> פיקחה על תוכנית הוועדים, והיו בה עוד שני ממונים, ואחד מהם חתנו של הסבא, ר׳ אייזיק שר. המצטרפים החדשים שובצו בוועדיהם זמן קצר אחרי בואם.</w:t>
      </w:r>
    </w:p>
    <w:p w14:paraId="66D7A0CB" w14:textId="77777777" w:rsidR="00AB3647" w:rsidRDefault="00000000" w:rsidP="007923E9">
      <w:pPr>
        <w:pStyle w:val="ae"/>
        <w:pageBreakBefore/>
        <w:spacing w:after="160" w:line="276" w:lineRule="auto"/>
      </w:pPr>
      <w:bookmarkStart w:id="134" w:name="text_chapter4"/>
      <w:r>
        <w:lastRenderedPageBreak/>
        <w:t>פרק רביעי</w:t>
      </w:r>
      <w:bookmarkEnd w:id="134"/>
    </w:p>
    <w:p w14:paraId="794068E1" w14:textId="77777777" w:rsidR="00AB3647" w:rsidRDefault="00000000" w:rsidP="007923E9">
      <w:pPr>
        <w:pStyle w:val="1"/>
        <w:spacing w:after="160" w:line="276" w:lineRule="auto"/>
      </w:pPr>
      <w:r>
        <w:t xml:space="preserve">העשור השני – ג: ישיבת </w:t>
      </w:r>
      <w:proofErr w:type="spellStart"/>
      <w:r>
        <w:t>סלבודקה</w:t>
      </w:r>
      <w:proofErr w:type="spellEnd"/>
    </w:p>
    <w:p w14:paraId="37047779" w14:textId="77777777" w:rsidR="00AB3647" w:rsidRDefault="00000000" w:rsidP="007923E9">
      <w:pPr>
        <w:pStyle w:val="2"/>
        <w:spacing w:after="160" w:line="276" w:lineRule="auto"/>
      </w:pPr>
      <w:r>
        <w:rPr>
          <w:sz w:val="26"/>
          <w:szCs w:val="26"/>
        </w:rPr>
        <w:t>1.</w:t>
      </w:r>
    </w:p>
    <w:p w14:paraId="416840FD" w14:textId="77777777" w:rsidR="00AB3647" w:rsidRDefault="00000000" w:rsidP="007923E9">
      <w:pPr>
        <w:spacing w:after="120" w:line="276" w:lineRule="auto"/>
        <w:jc w:val="both"/>
      </w:pPr>
      <w:r>
        <w:rPr>
          <w:rtl/>
        </w:rPr>
        <w:t xml:space="preserve">אף שכל היום עסק בעשרות תלמידים, נשאר הסבא </w:t>
      </w:r>
      <w:proofErr w:type="spellStart"/>
      <w:r>
        <w:rPr>
          <w:rtl/>
        </w:rPr>
        <w:t>מסלבודקה</w:t>
      </w:r>
      <w:proofErr w:type="spellEnd"/>
      <w:r>
        <w:rPr>
          <w:rtl/>
        </w:rPr>
        <w:t xml:space="preserve"> דמות נסתרת. הוא עשה כל שביכולתו להסתיר את עבודתו הרוחנית. תלמידיו מעולם לא ראוהו לומד, ואלמלא ביקש מהם מפעם לפעם לחזור לפניו על השיעור ועל החידושים ששמעו מפי ר׳ </w:t>
      </w:r>
      <w:proofErr w:type="spellStart"/>
      <w:r>
        <w:rPr>
          <w:rtl/>
        </w:rPr>
        <w:t>ברוך־בער</w:t>
      </w:r>
      <w:proofErr w:type="spellEnd"/>
      <w:r>
        <w:rPr>
          <w:rtl/>
        </w:rPr>
        <w:t xml:space="preserve"> בישיבה האחרת, היו סבורים שאין לו כל ידיעה בתלמוד ובהלכה.</w:t>
      </w:r>
    </w:p>
    <w:p w14:paraId="5791F031" w14:textId="77777777" w:rsidR="00AB3647" w:rsidRDefault="00000000" w:rsidP="007923E9">
      <w:pPr>
        <w:spacing w:after="120" w:line="276" w:lineRule="auto"/>
        <w:jc w:val="both"/>
      </w:pPr>
      <w:r>
        <w:rPr>
          <w:rtl/>
        </w:rPr>
        <w:t>גם על כל פרט ופרט בהלכה הקפיד לא רק בלא פרסום, אלא מתוך מאמץ מכוון להסתיר את הקפדתו מן העין. ואף על פי כן העריכו התלמידים את הסבא במלוא ערכו. הם ראו בבירור שמטרתו היחידה בחיים היא לחנכם להיות תלמידי חכמים, להעלותם למדרגת בני אדם נעלים ולהוציא את שמם לתהילה, בעוד הוא עצמו מסתפק בעמידה ברקע.</w:t>
      </w:r>
    </w:p>
    <w:p w14:paraId="14B8702E" w14:textId="77777777" w:rsidR="00AB3647" w:rsidRDefault="00000000" w:rsidP="007923E9">
      <w:pPr>
        <w:spacing w:after="120" w:line="276" w:lineRule="auto"/>
        <w:jc w:val="both"/>
      </w:pPr>
      <w:r>
        <w:rPr>
          <w:rtl/>
        </w:rPr>
        <w:t xml:space="preserve">דבר אחד לא יכול היה ר׳ </w:t>
      </w:r>
      <w:proofErr w:type="spellStart"/>
      <w:r>
        <w:rPr>
          <w:rtl/>
        </w:rPr>
        <w:t>נתן־צבי</w:t>
      </w:r>
      <w:proofErr w:type="spellEnd"/>
      <w:r>
        <w:rPr>
          <w:rtl/>
        </w:rPr>
        <w:t xml:space="preserve"> </w:t>
      </w:r>
      <w:proofErr w:type="spellStart"/>
      <w:r>
        <w:rPr>
          <w:rtl/>
        </w:rPr>
        <w:t>פינקל</w:t>
      </w:r>
      <w:proofErr w:type="spellEnd"/>
      <w:r>
        <w:rPr>
          <w:rtl/>
        </w:rPr>
        <w:t xml:space="preserve"> להסתיר מתלמידיו: ידיעתו המקיפה באגדות התלמוד והמדרשים ובמסורות על הנהגות התנאים והאמוראים, הפזורות בתלמוד ובספרות הקשורה בו. אלו היו כלי הוראתו, הלבנים והטיט של שיחות המוסר שלו.</w:t>
      </w:r>
    </w:p>
    <w:p w14:paraId="02B4492A" w14:textId="77777777" w:rsidR="00AB3647" w:rsidRDefault="00000000" w:rsidP="007923E9">
      <w:pPr>
        <w:spacing w:after="120" w:line="276" w:lineRule="auto"/>
        <w:jc w:val="both"/>
      </w:pPr>
      <w:r>
        <w:rPr>
          <w:rtl/>
        </w:rPr>
        <w:t>אף שמעולם לא נראה שהוא מכין את שיחותיו מראש, היו מלאות רעיונות מבריקים. הוא דיבר בשקט ונזהר שלא להוציא מפיו מילה מיותרת או בלתי שקולה. בדיבורו לא שילב שום אמצעי רטורי – לא הרמת קול, לא הכאה באגרוף ולא מעבר לניגון – ודבריו נמסרו בלי גינוני נואם. הוא היה קוטע את שיחתו בפתאומיות ומשאיר משפטים בלתי גמורים. כל שיחתו הייתה רמזים, פסוקים ומאמרים, שהשומעים היו צריכים לצרף בדעתם ליחידה אחת רצופה.</w:t>
      </w:r>
    </w:p>
    <w:p w14:paraId="5967896D" w14:textId="77777777" w:rsidR="00AB3647" w:rsidRDefault="00000000" w:rsidP="007923E9">
      <w:pPr>
        <w:spacing w:after="120" w:line="276" w:lineRule="auto"/>
        <w:jc w:val="both"/>
      </w:pPr>
      <w:r>
        <w:rPr>
          <w:rtl/>
        </w:rPr>
        <w:t>התלמידים היו מצטופפים סביבו, רוכנים ומטים אוזן במאמץ שלא להחמיץ מילה או צליל.</w:t>
      </w:r>
    </w:p>
    <w:p w14:paraId="74100B24" w14:textId="77777777" w:rsidR="00AB3647" w:rsidRDefault="00000000" w:rsidP="007923E9">
      <w:pPr>
        <w:spacing w:after="120" w:line="276" w:lineRule="auto"/>
        <w:jc w:val="both"/>
      </w:pPr>
      <w:r>
        <w:rPr>
          <w:rtl/>
        </w:rPr>
        <w:t xml:space="preserve">אחרי כל שיחה היו דנים ביניהם למה בדיוק התכוון רבם, ולעיתים קרובות פנו אליו לבקש הבהרה. כשפנה ר׳ </w:t>
      </w:r>
      <w:proofErr w:type="spellStart"/>
      <w:r>
        <w:rPr>
          <w:rtl/>
        </w:rPr>
        <w:t>נתן־צבי</w:t>
      </w:r>
      <w:proofErr w:type="spellEnd"/>
      <w:r>
        <w:rPr>
          <w:rtl/>
        </w:rPr>
        <w:t xml:space="preserve"> אל קבוצה, או אפילו אל יחיד שלא הכיר היטב, נהג הנהגה משונה: בשעת דיבורו היה משפיל את מבטו אל ציפורניו, מסובב את מפרקי ידיו ומכופף ופושט את אצבעותיו, כדי שלא להסיר את עיניו מן הציפורניים. הוא חשש להסתכל בפני שומעיו.</w:t>
      </w:r>
    </w:p>
    <w:p w14:paraId="26884E2E" w14:textId="77777777" w:rsidR="00AB3647" w:rsidRDefault="00000000" w:rsidP="007923E9">
      <w:pPr>
        <w:spacing w:after="120" w:line="276" w:lineRule="auto"/>
        <w:jc w:val="both"/>
      </w:pPr>
      <w:r>
        <w:rPr>
          <w:rtl/>
        </w:rPr>
        <w:t xml:space="preserve">אבל כשדיבר ביחידות עם תלמיד מוכר, פג חששו של הסבא. אחרי שהסתכל </w:t>
      </w:r>
      <w:proofErr w:type="spellStart"/>
      <w:r>
        <w:rPr>
          <w:rtl/>
        </w:rPr>
        <w:t>זמן־מה</w:t>
      </w:r>
      <w:proofErr w:type="spellEnd"/>
      <w:r>
        <w:rPr>
          <w:rtl/>
        </w:rPr>
        <w:t xml:space="preserve"> בשולחן שלפניו, היה מפנה לפתע אל בן שיחו מבט חודר, שדקר בכוח הבחנתו ועם זאת ליטף באהבה. הוא התעמק בהתקדמותו של כל תלמיד בלימוד, ביראת שמים ובהנהגה, ופתח את מעיינות נפשו. אם התלמיד לא בא מעצמו אל המשגיח, הוזמן לשיחה שפתחה את לבו, חשפה את שאיפותיו וכיוונה את חלומותיו לאפיקים פוריים.</w:t>
      </w:r>
    </w:p>
    <w:p w14:paraId="562BF5FA" w14:textId="77777777" w:rsidR="00AB3647" w:rsidRDefault="00000000" w:rsidP="007923E9">
      <w:pPr>
        <w:spacing w:after="120" w:line="276" w:lineRule="auto"/>
        <w:jc w:val="both"/>
      </w:pPr>
      <w:r>
        <w:rPr>
          <w:rtl/>
        </w:rPr>
        <w:lastRenderedPageBreak/>
        <w:t xml:space="preserve">לעיתים, כשנרתע התלמיד מלגלות את מחשבותיו הפנימיות, נקט הסבא דרכים עקיפות כדי להתגבר על מחסומי חוסר האמון. הוא אף היה מעמיד פנים שהוא מבקש מן התלמיד עצה בבעיה שבדה, כאילו ניצבה בפניו, ומתוך שמיעת פתרונו של הצעיר עמד על מדרגתו הרוחנית. אי אפשר להפריז בתיאור השמחה שגילה הסבא כשראה שתלמיד תיקן את דרכיו: הסבא </w:t>
      </w:r>
      <w:proofErr w:type="spellStart"/>
      <w:r>
        <w:rPr>
          <w:rtl/>
        </w:rPr>
        <w:t>מסלבודקה</w:t>
      </w:r>
      <w:proofErr w:type="spellEnd"/>
      <w:r>
        <w:rPr>
          <w:rtl/>
        </w:rPr>
        <w:t xml:space="preserve"> נהג כאילו עשה לו התלמיד את הטובה הגדולה ביותר.</w:t>
      </w:r>
    </w:p>
    <w:p w14:paraId="6F886BA8" w14:textId="77777777" w:rsidR="00AB3647" w:rsidRDefault="00000000" w:rsidP="007923E9">
      <w:pPr>
        <w:spacing w:after="120" w:line="276" w:lineRule="auto"/>
        <w:jc w:val="both"/>
      </w:pPr>
      <w:r>
        <w:rPr>
          <w:rtl/>
        </w:rPr>
        <w:t>בישיבה בגודלה של כנסת ישראל לא היה ביכולתו של אדם יחיד זה לקיים קשר אישי עם כל התלמידים.</w:t>
      </w:r>
    </w:p>
    <w:p w14:paraId="5F970530" w14:textId="77777777" w:rsidR="00AB3647" w:rsidRDefault="00000000" w:rsidP="007923E9">
      <w:pPr>
        <w:spacing w:after="120" w:line="276" w:lineRule="auto"/>
        <w:jc w:val="both"/>
      </w:pPr>
      <w:r>
        <w:rPr>
          <w:rtl/>
        </w:rPr>
        <w:t xml:space="preserve">אף שכל תלמידי הישיבה היו בעלי כישרון, בחר ר׳ </w:t>
      </w:r>
      <w:proofErr w:type="spellStart"/>
      <w:r>
        <w:rPr>
          <w:rtl/>
        </w:rPr>
        <w:t>נתן־צבי</w:t>
      </w:r>
      <w:proofErr w:type="spellEnd"/>
      <w:r>
        <w:rPr>
          <w:rtl/>
        </w:rPr>
        <w:t xml:space="preserve"> לרכז את מאמציו במוכשרים ביותר. לא זו בלבד שמכוח גאונותו שלו מצא עמם שפה משותפת טובה יותר, אלא שבאמצעות תלמידים כאלה יכול היה להגשים על הצד הטוב ביותר את מטרתו הסופית – לשרת את עם ישראל.</w:t>
      </w:r>
    </w:p>
    <w:p w14:paraId="3FAEF7B3" w14:textId="77777777" w:rsidR="00AB3647" w:rsidRDefault="00000000" w:rsidP="007923E9">
      <w:pPr>
        <w:spacing w:after="120" w:line="276" w:lineRule="auto"/>
        <w:jc w:val="both"/>
      </w:pPr>
      <w:r>
        <w:rPr>
          <w:rtl/>
        </w:rPr>
        <w:t xml:space="preserve">הסבא </w:t>
      </w:r>
      <w:proofErr w:type="spellStart"/>
      <w:r>
        <w:rPr>
          <w:rtl/>
        </w:rPr>
        <w:t>מסלבודקה</w:t>
      </w:r>
      <w:proofErr w:type="spellEnd"/>
      <w:r>
        <w:rPr>
          <w:rtl/>
        </w:rPr>
        <w:t xml:space="preserve"> סבר שבעל שכל טוב יצטיין בשני היעדים של ישיבת כנסת ישראל: תורה ומוסר. אם חיבב הסבא תלמיד בתחילה, ואחר כך גילה שאינו רוצה או אינו מסוגל למצוא עניין בשני התחומים הללו, היה זונח אותו. התלמידים הרבים שנשארו חביבים על הסבא וזכו לתשומת לבו המיוחדת הבינו שהוא אוהב אותם כשם שהוא אוהב את ילדיו.</w:t>
      </w:r>
    </w:p>
    <w:p w14:paraId="36617222" w14:textId="77777777" w:rsidR="00AB3647" w:rsidRDefault="00000000" w:rsidP="007923E9">
      <w:pPr>
        <w:spacing w:after="120" w:line="276" w:lineRule="auto"/>
        <w:jc w:val="both"/>
      </w:pPr>
      <w:r>
        <w:rPr>
          <w:rtl/>
        </w:rPr>
        <w:t>הוא התעניין בכל פרט של טובת התלמיד, בבעיותיו ובמכאוביו. לעיתים קרובות היה מרטיב את כריתו בדמעות דאגה על תלמיד שנקרא להתייצב בפני ועדת גיוס או ששכב על מיטת חוליו.</w:t>
      </w:r>
    </w:p>
    <w:p w14:paraId="53644F9A" w14:textId="77777777" w:rsidR="00AB3647" w:rsidRDefault="00000000" w:rsidP="007923E9">
      <w:pPr>
        <w:spacing w:after="120" w:line="276" w:lineRule="auto"/>
        <w:jc w:val="both"/>
      </w:pPr>
      <w:r>
        <w:rPr>
          <w:rtl/>
        </w:rPr>
        <w:t xml:space="preserve">זמן לא רב אחרי בואו </w:t>
      </w:r>
      <w:proofErr w:type="spellStart"/>
      <w:r>
        <w:rPr>
          <w:rtl/>
        </w:rPr>
        <w:t>לסלבודקה</w:t>
      </w:r>
      <w:proofErr w:type="spellEnd"/>
      <w:r>
        <w:rPr>
          <w:rtl/>
        </w:rPr>
        <w:t xml:space="preserve"> קרא הסבא </w:t>
      </w:r>
      <w:proofErr w:type="spellStart"/>
      <w:r>
        <w:rPr>
          <w:rtl/>
        </w:rPr>
        <w:t>לדולהינובר</w:t>
      </w:r>
      <w:proofErr w:type="spellEnd"/>
      <w:r>
        <w:rPr>
          <w:rtl/>
        </w:rPr>
        <w:t xml:space="preserve"> לשיחה אישית בדירתו הזעירה, שנבנתה מאחורי הקיר המערבי של בית המדרש, בפינה </w:t>
      </w:r>
      <w:proofErr w:type="spellStart"/>
      <w:r>
        <w:rPr>
          <w:rtl/>
        </w:rPr>
        <w:t>הצפונית־מערבית</w:t>
      </w:r>
      <w:proofErr w:type="spellEnd"/>
      <w:r>
        <w:rPr>
          <w:rtl/>
        </w:rPr>
        <w:t xml:space="preserve"> של בניין הישיבה. צדו הארוך של הבניין, הקיר הצפוני, היה מקביל לרחוב גלזר, ולא הייתה בו כניסה. ארון הקודש ניצב בקיר המזרחי, ולכן הייתה כניסת הישיבה בקיר המערבי, מול ארון הקודש. כדי להגיע אליה היו פונים מן הרחוב דרומה, אל החצר שלפני הכניסה, ואחר כך שמאלה, מזרחה. הנכנס לחצר ראה מיד את מעונו של הסבא, שבלט מן הבניין לכיוונו.</w:t>
      </w:r>
    </w:p>
    <w:p w14:paraId="4A4EAB33" w14:textId="77777777" w:rsidR="00AB3647" w:rsidRDefault="00000000" w:rsidP="007923E9">
      <w:pPr>
        <w:spacing w:after="120" w:line="276" w:lineRule="auto"/>
        <w:jc w:val="both"/>
      </w:pPr>
      <w:r>
        <w:rPr>
          <w:rtl/>
        </w:rPr>
        <w:t>דירת הסבא – וליתר דיוק צריפו – הייתה חדר יחיד, קטן, נמוך תקרה וכמעט מרובע, שקירו הרחוק היה משותף לצריף ולישיבה. גבוה בקיר זה, סמוך לתקרה, היה פתח קטן. מי שעמד על סולם מדרגות יכול היה להציץ דרכו אל בית המדרש ולראותו לכל אורכו, מן הספסלים האחוריים ועד ארון הקודש.</w:t>
      </w:r>
    </w:p>
    <w:p w14:paraId="470A9EB7" w14:textId="77777777" w:rsidR="00AB3647" w:rsidRDefault="00000000" w:rsidP="007923E9">
      <w:pPr>
        <w:spacing w:after="120" w:line="276" w:lineRule="auto"/>
        <w:jc w:val="both"/>
      </w:pPr>
      <w:r>
        <w:rPr>
          <w:rtl/>
        </w:rPr>
        <w:t>כשנכנס אבי לצריף, ראה לפניו חבית מים נמוכה, המכוסה במכסה עשוי עשב קלוע, גדול דיו לשבת עליו. מעבר לה ניצב תנור הסקה ארוך, שהשתרע לעבר הקצה הרחוק של החדר. התנור היה עיקרו של המעון, שכן חילק את החדר לשניים: ברצועת החלל הארוכה שמשמאל לתנור המתין הסבא לקבלו, ומימין היה מטבח קטן. במטבחון היו שני חלונות בחזית, שמהם נראו הבחורים העוברים ליד דלת הצריף בדרכם לכניסת הישיבה.</w:t>
      </w:r>
    </w:p>
    <w:p w14:paraId="7D77AE7D" w14:textId="77777777" w:rsidR="00AB3647" w:rsidRDefault="00000000" w:rsidP="007923E9">
      <w:pPr>
        <w:spacing w:after="120" w:line="276" w:lineRule="auto"/>
        <w:jc w:val="both"/>
      </w:pPr>
      <w:r>
        <w:rPr>
          <w:rtl/>
        </w:rPr>
        <w:t xml:space="preserve">סמוך לאמצע אורכו של התנור עברה מחיצה לרוחב צד המטבח של החדר, והפרידה את חלקו האחורי של הצריף, ששימש כנראה לשינה. בצד הסבא, “חדרו”, היו שני חלונות בצד הפונה </w:t>
      </w:r>
      <w:r>
        <w:rPr>
          <w:rtl/>
        </w:rPr>
        <w:lastRenderedPageBreak/>
        <w:t xml:space="preserve">לרחוב גלזר, ושולחן </w:t>
      </w:r>
      <w:proofErr w:type="spellStart"/>
      <w:r>
        <w:rPr>
          <w:rtl/>
        </w:rPr>
        <w:t>ולצדו</w:t>
      </w:r>
      <w:proofErr w:type="spellEnd"/>
      <w:r>
        <w:rPr>
          <w:rtl/>
        </w:rPr>
        <w:t xml:space="preserve"> ספסלים, שנמשך לאורך החדר והסתיים סמוך לקיר המשותף לצריף ולבניין הישיבה.</w:t>
      </w:r>
    </w:p>
    <w:p w14:paraId="736DF3B5" w14:textId="77777777" w:rsidR="00AB3647" w:rsidRDefault="00000000" w:rsidP="007923E9">
      <w:pPr>
        <w:spacing w:after="120" w:line="276" w:lineRule="auto"/>
        <w:jc w:val="both"/>
      </w:pPr>
      <w:r>
        <w:rPr>
          <w:rtl/>
        </w:rPr>
        <w:t xml:space="preserve">כשקרא לאורחו להיכנס, ישב הסבא על כיסא פשוט סמוך לכניסת חדרו, בקצה השולחן. סמוך לקצה הרחוק של השולחן, לעבר ראשו, הבחין </w:t>
      </w:r>
      <w:proofErr w:type="spellStart"/>
      <w:r>
        <w:rPr>
          <w:rtl/>
        </w:rPr>
        <w:t>הדולהינובר</w:t>
      </w:r>
      <w:proofErr w:type="spellEnd"/>
      <w:r>
        <w:rPr>
          <w:rtl/>
        </w:rPr>
        <w:t xml:space="preserve"> בסדין התלוי מאמצע קצהו האחורי של התנור ועד הקיר האחורי, כדי להפריד בין קצה מקום השינה ובין קצה “חדר הסבא”.</w:t>
      </w:r>
    </w:p>
    <w:p w14:paraId="5C2B6229" w14:textId="77777777" w:rsidR="00AB3647" w:rsidRDefault="00000000" w:rsidP="007923E9">
      <w:pPr>
        <w:spacing w:after="120" w:line="276" w:lineRule="auto"/>
        <w:jc w:val="both"/>
      </w:pPr>
      <w:r>
        <w:rPr>
          <w:rtl/>
        </w:rPr>
        <w:t xml:space="preserve">הנער, שנכנס למעון הזה בפעם הראשונה, לא התרשם מן המראה – בחייו הצעירים כבר ראה די בקתות דלות. אבל נשבה בהקשבתו המרוכזת של מארחו לדבריו על עצמו, ובהבנתו החודרת של הסבא </w:t>
      </w:r>
      <w:proofErr w:type="spellStart"/>
      <w:r>
        <w:rPr>
          <w:rtl/>
        </w:rPr>
        <w:t>מסלבודקה</w:t>
      </w:r>
      <w:proofErr w:type="spellEnd"/>
      <w:r>
        <w:rPr>
          <w:rtl/>
        </w:rPr>
        <w:t xml:space="preserve"> את רעיונותיו ומחשבותיו. מראה הסבא לא הטיל מורא, והנהגתו השרתה נינוחות על מבקרו; אבל אבי הבין מיד שהוא יושב במחיצת אדם שיוכל להיות רבו ומדריכו. גם הסבא הכיר בשכלו המהיר ובאופיו העדין של הצעיר, וידע שנזדמן לו עוד תלמיד הראוי ליחס מועדף.</w:t>
      </w:r>
    </w:p>
    <w:p w14:paraId="07619F08" w14:textId="77777777" w:rsidR="00AB3647" w:rsidRDefault="00000000" w:rsidP="007923E9">
      <w:pPr>
        <w:spacing w:after="120" w:line="276" w:lineRule="auto"/>
        <w:jc w:val="both"/>
      </w:pPr>
      <w:r>
        <w:rPr>
          <w:rtl/>
        </w:rPr>
        <w:t xml:space="preserve">ר׳ </w:t>
      </w:r>
      <w:proofErr w:type="spellStart"/>
      <w:r>
        <w:rPr>
          <w:rtl/>
        </w:rPr>
        <w:t>נתן־צבי</w:t>
      </w:r>
      <w:proofErr w:type="spellEnd"/>
      <w:r>
        <w:rPr>
          <w:rtl/>
        </w:rPr>
        <w:t xml:space="preserve"> היה מסור כולו לתלמידיו. את שיחותיו האישיות עמם היה מתחיל בעשר בבוקר ומסיים בחצות הלילה. אם חשש האורח המאוחר ללכת לבדו לאכסנייתו, היה הסבא מלווהו. הסבא נהג תמיד בתלמיד בכבוד, ומעולם לא נתן לו להרגיש שמצווים עליו לנהוג כך או אחרת. הוא הודרך בעדינות להגיע למסקנה שדרך הסבא היא הדרך הנכונה והטובה ביותר בשבילו. הדרך התקיפה ביותר שבה היה הסבא מצווה על תלמיד הייתה לומר לו: “כך נוהגים בישיבה”.</w:t>
      </w:r>
    </w:p>
    <w:p w14:paraId="471EAB1B" w14:textId="77777777" w:rsidR="00AB3647" w:rsidRDefault="00000000" w:rsidP="007923E9">
      <w:pPr>
        <w:spacing w:after="120" w:line="276" w:lineRule="auto"/>
        <w:jc w:val="both"/>
      </w:pPr>
      <w:r>
        <w:rPr>
          <w:rtl/>
        </w:rPr>
        <w:t>הסבא העריך כל אחד מתלמידיו, והחליט איזו מן הדרכים המגוונות להפליא תניב את התוצאות הטובות ביותר: תלמיד זה יתקדם רק אם יקבל כבוד; האחר זקוק לתוכחה; השלישי יפיק את מרב התועלת מעידוד בשבחים; וברביעי יש לנהוג בעדינות רבה. לפעמים היו נותנים לתלמיד להרגיש חסר ערך ודוחים אותו. אבל גם במקרים שבהם לא הייתה זו תחבולה חינוכית בלבד, מעולם לא סילק הסבא תלמיד במפורש.</w:t>
      </w:r>
    </w:p>
    <w:p w14:paraId="7E97034C" w14:textId="77777777" w:rsidR="00AB3647" w:rsidRDefault="00000000" w:rsidP="007923E9">
      <w:pPr>
        <w:spacing w:after="120" w:line="276" w:lineRule="auto"/>
        <w:jc w:val="both"/>
      </w:pPr>
      <w:r>
        <w:rPr>
          <w:rtl/>
        </w:rPr>
        <w:t xml:space="preserve">הסבא שם לב לכל פרט במעשי תלמידו – כיצד הלך, כיצד עמד, כיצד ישב. כל מילה, כל אמירה, כל מצמוץ עין וכל כיווץ שפתיים עברו תחת ביקורתו. שום דבר במעשי תלמיד לא היה חסר משמעות, ובכל פגישה עבר התלמיד בחינה מחודשת. בעיני ר׳ </w:t>
      </w:r>
      <w:proofErr w:type="spellStart"/>
      <w:r>
        <w:rPr>
          <w:rtl/>
        </w:rPr>
        <w:t>נתן־צבי</w:t>
      </w:r>
      <w:proofErr w:type="spellEnd"/>
      <w:r>
        <w:rPr>
          <w:rtl/>
        </w:rPr>
        <w:t xml:space="preserve"> </w:t>
      </w:r>
      <w:proofErr w:type="spellStart"/>
      <w:r>
        <w:rPr>
          <w:rtl/>
        </w:rPr>
        <w:t>פינקל</w:t>
      </w:r>
      <w:proofErr w:type="spellEnd"/>
      <w:r>
        <w:rPr>
          <w:rtl/>
        </w:rPr>
        <w:t xml:space="preserve"> האדם מעולם לא היה קבוע ועומד, אלא יצור בעל בחירה חופשית, המסוגל להשתנות.</w:t>
      </w:r>
    </w:p>
    <w:p w14:paraId="0266684F" w14:textId="77777777" w:rsidR="00AB3647" w:rsidRDefault="00000000" w:rsidP="007923E9">
      <w:pPr>
        <w:spacing w:after="120" w:line="276" w:lineRule="auto"/>
        <w:jc w:val="both"/>
      </w:pPr>
      <w:r>
        <w:rPr>
          <w:rtl/>
        </w:rPr>
        <w:t>מפליא היה כיצד חש הסבא בכל נטייה קלה של התלמיד להתקדמות או לירידה. הוא היה עשוי לשנות לפתע את דעתו על תלמיד, עוד לפני שהבחינו אחרים אפילו ברמז של שינוי בו. אבל תהיה הערכתו את האדם אשר תהיה, מעולם לא הגיע אליה באמצעות הכללות. הוא הביא בחשבון את כל הצדדים שיכול היה לזהות כפועלים באישיותו של היחיד, ואיש לא נראה בעיניו שחור או לבן לגמרי. הוא הבחין במידותיו הטובות של אדם לצד מידותיו הרעות, ולהפך. לפיכך לא שלל שום אדם: גם במי שנראו כפחותים שבבני אדם ראה נבראים “בצלם אלוהים”, וממילא בעלי יכולת להגיע למדרגות הגבוהות ביותר.</w:t>
      </w:r>
    </w:p>
    <w:p w14:paraId="2DBC4F2E" w14:textId="77777777" w:rsidR="00AB3647" w:rsidRDefault="00000000" w:rsidP="007923E9">
      <w:pPr>
        <w:spacing w:after="120" w:line="276" w:lineRule="auto"/>
        <w:jc w:val="both"/>
      </w:pPr>
      <w:r>
        <w:rPr>
          <w:rtl/>
        </w:rPr>
        <w:t>הסבא היה מחנך מעולה, מפני שהתקדמותו שלו לא פסקה אף לרגע. הוא נשאר צעיר ומתפתח תמיד. ביסודו היה רך ונעים, נוח לבריות, נבהל מכל דבר קטן ודואג לכל מאורע קל.</w:t>
      </w:r>
    </w:p>
    <w:p w14:paraId="2C365F32" w14:textId="77777777" w:rsidR="00AB3647" w:rsidRDefault="00000000" w:rsidP="007923E9">
      <w:pPr>
        <w:spacing w:after="120" w:line="276" w:lineRule="auto"/>
        <w:jc w:val="both"/>
      </w:pPr>
      <w:r>
        <w:rPr>
          <w:rtl/>
        </w:rPr>
        <w:lastRenderedPageBreak/>
        <w:t xml:space="preserve">מלחמתו הבלתי פוסקת למען האמת וחתירתו הנועזת אל מעמקי הנפש היו ביטויים של אומץ הנעורים שגילה כשעמד מול אתגרים להתפתחותו שלו. בהשתאות של צעיר התבונן בהישגיו והשווה אותם למה שהיה עשוי להיות לולא זכה לפגוש את מוריו. לעיתים היה נכנס למצב רוח רע, חסר סבלנות לשטחיותו של תלמיד או להתקדמותו הלקויה – בהשוואה להתקדמותו של הסבא עצמו. לפיכך יכול היה </w:t>
      </w:r>
      <w:proofErr w:type="spellStart"/>
      <w:r>
        <w:rPr>
          <w:rtl/>
        </w:rPr>
        <w:t>הדולהינובר</w:t>
      </w:r>
      <w:proofErr w:type="spellEnd"/>
      <w:r>
        <w:rPr>
          <w:rtl/>
        </w:rPr>
        <w:t xml:space="preserve"> </w:t>
      </w:r>
      <w:proofErr w:type="spellStart"/>
      <w:r>
        <w:rPr>
          <w:rtl/>
        </w:rPr>
        <w:t>לאמוד</w:t>
      </w:r>
      <w:proofErr w:type="spellEnd"/>
      <w:r>
        <w:rPr>
          <w:rtl/>
        </w:rPr>
        <w:t xml:space="preserve"> את התקדמותו </w:t>
      </w:r>
      <w:proofErr w:type="spellStart"/>
      <w:r>
        <w:rPr>
          <w:rtl/>
        </w:rPr>
        <w:t>בסלבודקה</w:t>
      </w:r>
      <w:proofErr w:type="spellEnd"/>
      <w:r>
        <w:rPr>
          <w:rtl/>
        </w:rPr>
        <w:t xml:space="preserve"> לפי יחסו של הסבא אליו.</w:t>
      </w:r>
    </w:p>
    <w:p w14:paraId="3CEED695" w14:textId="77777777" w:rsidR="00AB3647" w:rsidRDefault="00000000" w:rsidP="007923E9">
      <w:pPr>
        <w:pStyle w:val="2"/>
        <w:spacing w:after="160" w:line="276" w:lineRule="auto"/>
      </w:pPr>
      <w:r>
        <w:rPr>
          <w:sz w:val="26"/>
          <w:szCs w:val="26"/>
        </w:rPr>
        <w:t>2.</w:t>
      </w:r>
    </w:p>
    <w:p w14:paraId="31AAEEAB" w14:textId="77777777" w:rsidR="00AB3647" w:rsidRDefault="00000000" w:rsidP="007923E9">
      <w:pPr>
        <w:spacing w:after="120" w:line="276" w:lineRule="auto"/>
        <w:jc w:val="both"/>
      </w:pPr>
      <w:r>
        <w:rPr>
          <w:rtl/>
        </w:rPr>
        <w:t xml:space="preserve">עם תחילת זמן הקיץ משכו שקידתו יוצאת הדופן </w:t>
      </w:r>
      <w:bookmarkStart w:id="135" w:name="_Hlk243572119"/>
      <w:r>
        <w:rPr>
          <w:rtl/>
        </w:rPr>
        <w:t>של גיבור סיפורנו</w:t>
      </w:r>
      <w:bookmarkEnd w:id="135"/>
      <w:r>
        <w:rPr>
          <w:rtl/>
        </w:rPr>
        <w:t xml:space="preserve">, חריפותו הבלתי מתבלטת ואופיו הנעים את תשומת לבם של שאר הבחורים בישיבה, ובהם גם התלמידים המבוגרים. מקומו של הסבא בבית המדרש לא היה בחזית, ליד הקיר המזרחי שבו עמד ראש הישיבה, אלא באמצע, לאורך הקיר הצפוני. למרבה מזלו זכה </w:t>
      </w:r>
      <w:proofErr w:type="spellStart"/>
      <w:r>
        <w:rPr>
          <w:rtl/>
        </w:rPr>
        <w:t>הדולהינובר</w:t>
      </w:r>
      <w:proofErr w:type="spellEnd"/>
      <w:r>
        <w:rPr>
          <w:rtl/>
        </w:rPr>
        <w:t xml:space="preserve"> למקום ישיבה לא רחוק מן הסבא, והיה מתבונן בריכוז במשגיח בשעת תפילתו ועוקב אחר כל תנועה שלו. הוא ראה כיצד הסבא מרכז את כל ישותו בתפילה, ומקיים לא רק כל דרישה הלכתית אלא גם כל מה שמשתמע ממנה.</w:t>
      </w:r>
    </w:p>
    <w:p w14:paraId="0592D61D" w14:textId="77777777" w:rsidR="00AB3647" w:rsidRDefault="00000000" w:rsidP="007923E9">
      <w:pPr>
        <w:spacing w:after="120" w:line="276" w:lineRule="auto"/>
        <w:jc w:val="both"/>
      </w:pPr>
      <w:r>
        <w:rPr>
          <w:rtl/>
        </w:rPr>
        <w:t xml:space="preserve">אבל זמן קצר לאחר מכן העיר לו ר׳ </w:t>
      </w:r>
      <w:proofErr w:type="spellStart"/>
      <w:r>
        <w:rPr>
          <w:rtl/>
        </w:rPr>
        <w:t>נתן־צבי</w:t>
      </w:r>
      <w:proofErr w:type="spellEnd"/>
      <w:r>
        <w:rPr>
          <w:rtl/>
        </w:rPr>
        <w:t xml:space="preserve"> </w:t>
      </w:r>
      <w:proofErr w:type="spellStart"/>
      <w:r>
        <w:rPr>
          <w:rtl/>
        </w:rPr>
        <w:t>פינקל</w:t>
      </w:r>
      <w:proofErr w:type="spellEnd"/>
      <w:r>
        <w:rPr>
          <w:rtl/>
        </w:rPr>
        <w:t xml:space="preserve"> בחביבות: “שמתי לב שאתה מסתכל בי במשך כל התפילה; האם אתה בודק שאני מתפלל כראוי?”</w:t>
      </w:r>
    </w:p>
    <w:p w14:paraId="6D2CCEA7" w14:textId="77777777" w:rsidR="00AB3647" w:rsidRDefault="00000000" w:rsidP="007923E9">
      <w:pPr>
        <w:spacing w:after="120" w:line="276" w:lineRule="auto"/>
        <w:jc w:val="both"/>
      </w:pPr>
      <w:r>
        <w:rPr>
          <w:rtl/>
        </w:rPr>
        <w:t xml:space="preserve">אחרי תשעה באב יצאו מקצת התלמידים, וכן הסבא, מן העיר לחופשה קצרה בעיירות </w:t>
      </w:r>
      <w:bookmarkStart w:id="136" w:name="_Hlk243572159"/>
      <w:r>
        <w:rPr>
          <w:rtl/>
        </w:rPr>
        <w:t xml:space="preserve">מוקפות יערות מחטניים </w:t>
      </w:r>
      <w:bookmarkEnd w:id="136"/>
      <w:r>
        <w:rPr>
          <w:rtl/>
        </w:rPr>
        <w:t xml:space="preserve">או בקרבת חוף הים. אבל התלמיד החדש נשאר </w:t>
      </w:r>
      <w:proofErr w:type="spellStart"/>
      <w:r>
        <w:rPr>
          <w:rtl/>
        </w:rPr>
        <w:t>בסלבודקה</w:t>
      </w:r>
      <w:proofErr w:type="spellEnd"/>
      <w:r>
        <w:rPr>
          <w:rtl/>
        </w:rPr>
        <w:t xml:space="preserve">, ומדי פעם התרענן במשחק שחמט או בטבילה מצננת בנהר </w:t>
      </w:r>
      <w:proofErr w:type="spellStart"/>
      <w:r>
        <w:rPr>
          <w:rtl/>
        </w:rPr>
        <w:t>וויליה</w:t>
      </w:r>
      <w:proofErr w:type="spellEnd"/>
      <w:r>
        <w:rPr>
          <w:rtl/>
        </w:rPr>
        <w:t>.</w:t>
      </w:r>
    </w:p>
    <w:p w14:paraId="6B00DEBE" w14:textId="77777777" w:rsidR="00AB3647" w:rsidRDefault="00000000" w:rsidP="007923E9">
      <w:pPr>
        <w:spacing w:after="120" w:line="276" w:lineRule="auto"/>
        <w:jc w:val="both"/>
      </w:pPr>
      <w:r>
        <w:rPr>
          <w:rtl/>
        </w:rPr>
        <w:t xml:space="preserve">עם תחילת אלול הופתע </w:t>
      </w:r>
      <w:proofErr w:type="spellStart"/>
      <w:r>
        <w:rPr>
          <w:rtl/>
        </w:rPr>
        <w:t>הדולהינובר</w:t>
      </w:r>
      <w:proofErr w:type="spellEnd"/>
      <w:r>
        <w:rPr>
          <w:rtl/>
        </w:rPr>
        <w:t xml:space="preserve"> לראות זרם של אנשים עטורי טלית ובעלי זקנים – אנשים נשואים, ובהם רבנים – המצטרפים אל ציבור הישיבה. התברר לו שאלו תלמידים לשעבר של </w:t>
      </w:r>
      <w:proofErr w:type="spellStart"/>
      <w:r>
        <w:rPr>
          <w:rtl/>
        </w:rPr>
        <w:t>סלבודקה</w:t>
      </w:r>
      <w:proofErr w:type="spellEnd"/>
      <w:r>
        <w:rPr>
          <w:rtl/>
        </w:rPr>
        <w:t xml:space="preserve">, שעזבו את בתיהם ואת עיסוקיהם כדי לשהות בישיבה במשך החודש ולהתכונן לימים הנוראים. הישיבה התמלאה עד אפס מקום, וחדרו של הסבא היה גדוש בוגרים שנדחקו סביבו לשמוע את שיחות המוסר שלו. התלמידים הנוכחיים נהגו בבוגרים דרך כבוד, ואפשרו להם לעמוד קרוב יותר למשגיח.</w:t>
      </w:r>
    </w:p>
    <w:p w14:paraId="1B6E0574" w14:textId="77777777" w:rsidR="00AB3647" w:rsidRDefault="00000000" w:rsidP="007923E9">
      <w:pPr>
        <w:spacing w:after="120" w:line="276" w:lineRule="auto"/>
        <w:jc w:val="both"/>
      </w:pPr>
      <w:r>
        <w:rPr>
          <w:rtl/>
        </w:rPr>
        <w:t>בראש השנה, בשעה שראש הישיבה נשא דברים לפני התקיעות, הגיעה ההתעוררות הדתית בישיבה לרמה גבוהה, ושיאה היה ביום הכיפורים. הסבא בחר באבי וזיכה אותו בכבוד לעמוד לצדו בשעת אמירת “כל נדרי”. הנער התבונן מרותק בפניו המאירות של הזקן כשבירך “שהחיינו”, מתוך ציפייה למחילת העוונות המבושרת בבוא היום הקדוש ביותר.</w:t>
      </w:r>
    </w:p>
    <w:p w14:paraId="66D3F24E" w14:textId="77777777" w:rsidR="00AB3647" w:rsidRDefault="00000000" w:rsidP="007923E9">
      <w:pPr>
        <w:spacing w:after="120" w:line="276" w:lineRule="auto"/>
        <w:jc w:val="both"/>
      </w:pPr>
      <w:r>
        <w:rPr>
          <w:rtl/>
        </w:rPr>
        <w:t xml:space="preserve">זמן הקיץ הסתיים. לרוב התלמידים, כמו </w:t>
      </w:r>
      <w:proofErr w:type="spellStart"/>
      <w:r>
        <w:rPr>
          <w:rtl/>
        </w:rPr>
        <w:t>לדולהינובר</w:t>
      </w:r>
      <w:proofErr w:type="spellEnd"/>
      <w:r>
        <w:rPr>
          <w:rtl/>
        </w:rPr>
        <w:t xml:space="preserve">, לא היה הכסף הדרוש לנסוע לביתם לחג הסוכות, וגם לא רצו להפסיד את רוח השמחה שפיעמה בישיבה בימי בין הזמנים. בעלי התפילה נבחרו לפי כישרונם לשתף את הציבור בשירת החג. ניגון המבוצע כראוי ביום טוב </w:t>
      </w:r>
      <w:r>
        <w:rPr>
          <w:rtl/>
        </w:rPr>
        <w:lastRenderedPageBreak/>
        <w:t xml:space="preserve">נחשב לעבודת ה׳, </w:t>
      </w:r>
      <w:proofErr w:type="spellStart"/>
      <w:r>
        <w:rPr>
          <w:rtl/>
        </w:rPr>
        <w:t>וכשלא</w:t>
      </w:r>
      <w:proofErr w:type="spellEnd"/>
      <w:r>
        <w:rPr>
          <w:rtl/>
        </w:rPr>
        <w:t xml:space="preserve"> היה בקהל אבל המחויב באמירת קדיש, הורה הסבא לציבור לפתוח בשירה במקומו.</w:t>
      </w:r>
    </w:p>
    <w:p w14:paraId="6C0378E5" w14:textId="77777777" w:rsidR="00AB3647" w:rsidRDefault="00000000" w:rsidP="007923E9">
      <w:pPr>
        <w:spacing w:after="120" w:line="276" w:lineRule="auto"/>
        <w:jc w:val="both"/>
      </w:pPr>
      <w:r>
        <w:rPr>
          <w:rtl/>
        </w:rPr>
        <w:t xml:space="preserve">בעיני רבנו, גולת הכותרת של החג הייתה ההזדמנות לפגוש את ר׳ נפתלי אמסטרדם ולשהות במחיצתו. ר׳ נפתלי היה בעל מוסר מן הדור שקדם לדורו של הסבא ומבכירי תלמידיו של ר׳ ישראל </w:t>
      </w:r>
      <w:proofErr w:type="spellStart"/>
      <w:r>
        <w:rPr>
          <w:rtl/>
        </w:rPr>
        <w:t>סלנטר</w:t>
      </w:r>
      <w:proofErr w:type="spellEnd"/>
      <w:r>
        <w:rPr>
          <w:rtl/>
        </w:rPr>
        <w:t>. הוא נולד בשנת תקצ״ב, התיישב בקובנה והתמסר ללימוד התורה בשקידה גדולה. כבר בנעוריו דבק בו הכינוי “נפתלי מתמיד”, ואילו אשתו התפרנסה בדוחק ממכירת מאפים. הוא היה בקי מופלג בש״ס ובפוסקים.</w:t>
      </w:r>
    </w:p>
    <w:p w14:paraId="5C41CBDF" w14:textId="77777777" w:rsidR="00AB3647" w:rsidRDefault="00000000" w:rsidP="007923E9">
      <w:pPr>
        <w:spacing w:after="120" w:line="276" w:lineRule="auto"/>
        <w:jc w:val="both"/>
      </w:pPr>
      <w:r>
        <w:rPr>
          <w:rtl/>
        </w:rPr>
        <w:t xml:space="preserve">בשנת תרכ״ז נתמנה לרבה של הלסינקי שבפינלנד, וכיהן שם שמונה שנים. אחרי ששב לשנה לקובנה, שימש שנתיים מורה צדק בפטרבורג, תחת </w:t>
      </w:r>
      <w:proofErr w:type="spellStart"/>
      <w:r>
        <w:rPr>
          <w:rtl/>
        </w:rPr>
        <w:t>רבנותו</w:t>
      </w:r>
      <w:proofErr w:type="spellEnd"/>
      <w:r>
        <w:rPr>
          <w:rtl/>
        </w:rPr>
        <w:t xml:space="preserve"> של חברו הוותיק ר׳ </w:t>
      </w:r>
      <w:proofErr w:type="spellStart"/>
      <w:r>
        <w:rPr>
          <w:rtl/>
        </w:rPr>
        <w:t>איצל׳ה</w:t>
      </w:r>
      <w:proofErr w:type="spellEnd"/>
      <w:r>
        <w:rPr>
          <w:rtl/>
        </w:rPr>
        <w:t xml:space="preserve"> </w:t>
      </w:r>
      <w:proofErr w:type="spellStart"/>
      <w:r>
        <w:rPr>
          <w:rtl/>
        </w:rPr>
        <w:t>בלאזר</w:t>
      </w:r>
      <w:proofErr w:type="spellEnd"/>
      <w:r>
        <w:rPr>
          <w:rtl/>
        </w:rPr>
        <w:t xml:space="preserve">. הוא ניסה עוד לכהן ברבנות לתקופות קצרות במוסקבה, וכן בעיירות הליטאיות </w:t>
      </w:r>
      <w:proofErr w:type="spellStart"/>
      <w:r>
        <w:rPr>
          <w:rtl/>
        </w:rPr>
        <w:t>יאסווען</w:t>
      </w:r>
      <w:proofErr w:type="spellEnd"/>
      <w:r>
        <w:rPr>
          <w:rtl/>
        </w:rPr>
        <w:t xml:space="preserve"> שליד </w:t>
      </w:r>
      <w:proofErr w:type="spellStart"/>
      <w:r>
        <w:rPr>
          <w:rtl/>
        </w:rPr>
        <w:t>קיידאן</w:t>
      </w:r>
      <w:proofErr w:type="spellEnd"/>
      <w:r>
        <w:rPr>
          <w:rtl/>
        </w:rPr>
        <w:t xml:space="preserve"> </w:t>
      </w:r>
      <w:proofErr w:type="spellStart"/>
      <w:r>
        <w:rPr>
          <w:rtl/>
        </w:rPr>
        <w:t>ואלקסוט</w:t>
      </w:r>
      <w:proofErr w:type="spellEnd"/>
      <w:r>
        <w:rPr>
          <w:rtl/>
        </w:rPr>
        <w:t xml:space="preserve"> התחתית שליד קובנה. בעשרים השנים הבאות שב להתגורר בקובנה, ושוב התבססה פרנסת המשפחה על מומחיותה של אשתו באפייה.</w:t>
      </w:r>
    </w:p>
    <w:p w14:paraId="63370C64" w14:textId="77777777" w:rsidR="00AB3647" w:rsidRDefault="00000000" w:rsidP="007923E9">
      <w:pPr>
        <w:spacing w:after="120" w:line="276" w:lineRule="auto"/>
        <w:jc w:val="both"/>
      </w:pPr>
      <w:r>
        <w:rPr>
          <w:rtl/>
        </w:rPr>
        <w:t xml:space="preserve">ר׳ </w:t>
      </w:r>
      <w:proofErr w:type="spellStart"/>
      <w:r>
        <w:rPr>
          <w:rtl/>
        </w:rPr>
        <w:t>איצל׳ה</w:t>
      </w:r>
      <w:proofErr w:type="spellEnd"/>
      <w:r>
        <w:rPr>
          <w:rtl/>
        </w:rPr>
        <w:t xml:space="preserve"> </w:t>
      </w:r>
      <w:proofErr w:type="spellStart"/>
      <w:r>
        <w:rPr>
          <w:rtl/>
        </w:rPr>
        <w:t>בלאזר</w:t>
      </w:r>
      <w:proofErr w:type="spellEnd"/>
      <w:r>
        <w:rPr>
          <w:rtl/>
        </w:rPr>
        <w:t xml:space="preserve"> עזב את קובנה שנתיים לפני בואו של רבנו </w:t>
      </w:r>
      <w:proofErr w:type="spellStart"/>
      <w:r>
        <w:rPr>
          <w:rtl/>
        </w:rPr>
        <w:t>לסלבודקה</w:t>
      </w:r>
      <w:proofErr w:type="spellEnd"/>
      <w:r>
        <w:rPr>
          <w:rtl/>
        </w:rPr>
        <w:t xml:space="preserve">. במשך רבע מאה עסק ר׳ </w:t>
      </w:r>
      <w:proofErr w:type="spellStart"/>
      <w:r>
        <w:rPr>
          <w:rtl/>
        </w:rPr>
        <w:t>איצל׳ה</w:t>
      </w:r>
      <w:proofErr w:type="spellEnd"/>
      <w:r>
        <w:rPr>
          <w:rtl/>
        </w:rPr>
        <w:t xml:space="preserve"> במרץ בהפצת רעיון המוסר בקובנה ובסביבותיה, ואחר כך עקר משם לארץ ישראל. אבל ר׳ נפתלי חי בצנעה, ורק גילם באישיותו את אידיאל המוסר. אף על פי כן, בחול המועד יצא ר׳ נפתלי אל הציבור: הוא קיבל תלמידי כנסת ישראל וסיפר להם סיפורים על רבו ועל שאר גדולי העבר. </w:t>
      </w:r>
      <w:proofErr w:type="spellStart"/>
      <w:r>
        <w:rPr>
          <w:rtl/>
        </w:rPr>
        <w:t>הדולהינובר</w:t>
      </w:r>
      <w:proofErr w:type="spellEnd"/>
      <w:r>
        <w:rPr>
          <w:rtl/>
        </w:rPr>
        <w:t xml:space="preserve"> שאף כל מילה שהוציא מפיו החכם, שהיה בשנות השבעים לחייו. הן דמותו של החכם והן דבריו השפיעו עליו השפעה מתמשכת.</w:t>
      </w:r>
    </w:p>
    <w:p w14:paraId="51E34520" w14:textId="77777777" w:rsidR="00AB3647" w:rsidRDefault="00000000" w:rsidP="007923E9">
      <w:pPr>
        <w:spacing w:after="120" w:line="276" w:lineRule="auto"/>
        <w:jc w:val="both"/>
      </w:pPr>
      <w:r>
        <w:rPr>
          <w:rtl/>
        </w:rPr>
        <w:t xml:space="preserve">בתחילת זמן החורף של תרס״ז שקל הסבא לשלוח את אבי, יחד עם תלמידים אחרים מבוגרים ממנו, בשליחות לחזק את קבוצת </w:t>
      </w:r>
      <w:proofErr w:type="spellStart"/>
      <w:r>
        <w:rPr>
          <w:rtl/>
        </w:rPr>
        <w:t>סלבודקה</w:t>
      </w:r>
      <w:proofErr w:type="spellEnd"/>
      <w:r>
        <w:rPr>
          <w:rtl/>
        </w:rPr>
        <w:t xml:space="preserve"> בהנהגת ר׳ שמואל </w:t>
      </w:r>
      <w:proofErr w:type="spellStart"/>
      <w:r>
        <w:rPr>
          <w:rtl/>
        </w:rPr>
        <w:t>פונדילער</w:t>
      </w:r>
      <w:proofErr w:type="spellEnd"/>
      <w:r>
        <w:rPr>
          <w:rtl/>
        </w:rPr>
        <w:t xml:space="preserve">, שיצאה לחזק את ישיבת </w:t>
      </w:r>
      <w:proofErr w:type="spellStart"/>
      <w:r>
        <w:rPr>
          <w:rtl/>
        </w:rPr>
        <w:t>טלז</w:t>
      </w:r>
      <w:proofErr w:type="spellEnd"/>
      <w:r>
        <w:rPr>
          <w:rtl/>
        </w:rPr>
        <w:t xml:space="preserve"> חצי שנה קודם לכן. אבל הסבא החליט </w:t>
      </w:r>
      <w:proofErr w:type="spellStart"/>
      <w:r>
        <w:rPr>
          <w:rtl/>
        </w:rPr>
        <w:t>שהדולהינובר</w:t>
      </w:r>
      <w:proofErr w:type="spellEnd"/>
      <w:r>
        <w:rPr>
          <w:rtl/>
        </w:rPr>
        <w:t xml:space="preserve">, בגלל גילו הצעיר, לא יתקבל יפה </w:t>
      </w:r>
      <w:proofErr w:type="spellStart"/>
      <w:r>
        <w:rPr>
          <w:rtl/>
        </w:rPr>
        <w:t>בטלז</w:t>
      </w:r>
      <w:proofErr w:type="spellEnd"/>
      <w:r>
        <w:rPr>
          <w:rtl/>
        </w:rPr>
        <w:t xml:space="preserve">, והוא נשאר </w:t>
      </w:r>
      <w:proofErr w:type="spellStart"/>
      <w:r>
        <w:rPr>
          <w:rtl/>
        </w:rPr>
        <w:t>בסלבודקה</w:t>
      </w:r>
      <w:proofErr w:type="spellEnd"/>
      <w:r>
        <w:rPr>
          <w:rtl/>
        </w:rPr>
        <w:t xml:space="preserve">, שבה נלמדה באותו זמן מסכת בבא </w:t>
      </w:r>
      <w:proofErr w:type="spellStart"/>
      <w:r>
        <w:rPr>
          <w:rtl/>
        </w:rPr>
        <w:t>בתרא</w:t>
      </w:r>
      <w:proofErr w:type="spellEnd"/>
      <w:r>
        <w:rPr>
          <w:rtl/>
        </w:rPr>
        <w:t xml:space="preserve">. בזמן החדש כבר לא נזקק רבנו לעזרה במציאת </w:t>
      </w:r>
      <w:proofErr w:type="spellStart"/>
      <w:r>
        <w:rPr>
          <w:rtl/>
        </w:rPr>
        <w:t>חברותות</w:t>
      </w:r>
      <w:proofErr w:type="spellEnd"/>
      <w:r>
        <w:rPr>
          <w:rtl/>
        </w:rPr>
        <w:t>; להפך, היה עליו להחליט אילו מן ההצעות הרבות לחברותא ידחה.</w:t>
      </w:r>
    </w:p>
    <w:p w14:paraId="16DFAC94" w14:textId="77777777" w:rsidR="00AB3647" w:rsidRDefault="00000000" w:rsidP="007923E9">
      <w:pPr>
        <w:spacing w:after="120" w:line="276" w:lineRule="auto"/>
        <w:jc w:val="both"/>
      </w:pPr>
      <w:r>
        <w:rPr>
          <w:rtl/>
        </w:rPr>
        <w:t>באותו סתיו גילה שהוא קצר רואי: בלילה זרוע כוכבים הציע לו חבר, לשם שעשוע, לנסות את משקפיו, וכשהרכיב אותם ראה כוכבים רבים יותר מכפי שראה בכל חייו. הוא הבין שסבל מקוצר ראייה מאז ינקותו, אבל לא היה בידו לעשות דבר לתיקון ראייתו עד שיבקר אצל הוריו במינסק בפסח.</w:t>
      </w:r>
    </w:p>
    <w:p w14:paraId="1DEC55FA" w14:textId="77777777" w:rsidR="00AB3647" w:rsidRDefault="00000000" w:rsidP="007923E9">
      <w:pPr>
        <w:spacing w:after="120" w:line="276" w:lineRule="auto"/>
        <w:jc w:val="both"/>
      </w:pPr>
      <w:r>
        <w:rPr>
          <w:rtl/>
        </w:rPr>
        <w:t xml:space="preserve">בעונות הסתיו והחורף התרחב הבוץ </w:t>
      </w:r>
      <w:proofErr w:type="spellStart"/>
      <w:r>
        <w:rPr>
          <w:rtl/>
        </w:rPr>
        <w:t>בסלבודקה</w:t>
      </w:r>
      <w:proofErr w:type="spellEnd"/>
      <w:r>
        <w:rPr>
          <w:rtl/>
        </w:rPr>
        <w:t xml:space="preserve"> והעמיק, עד שלא היה אפשר לעבור ברחובות. אבל בתקופה זו של השנה נהנו בחורי הישיבה לראות שני מבקרים נכבדים. האחד היה ר׳ לייזר גורדון, שאהבתו ללימוד התורה הייתה לשם דבר. הוא היה בדרכו לווילנה לפגוש את ר׳ </w:t>
      </w:r>
      <w:proofErr w:type="spellStart"/>
      <w:r>
        <w:rPr>
          <w:rtl/>
        </w:rPr>
        <w:t>חיים־עוזר</w:t>
      </w:r>
      <w:proofErr w:type="spellEnd"/>
      <w:r>
        <w:rPr>
          <w:rtl/>
        </w:rPr>
        <w:t xml:space="preserve"> </w:t>
      </w:r>
      <w:proofErr w:type="spellStart"/>
      <w:r>
        <w:rPr>
          <w:rtl/>
        </w:rPr>
        <w:t>גרודזנסקי</w:t>
      </w:r>
      <w:proofErr w:type="spellEnd"/>
      <w:r>
        <w:rPr>
          <w:rtl/>
        </w:rPr>
        <w:t xml:space="preserve">, וניצל את מעברו בעיר כדי לעדכן את ר׳ </w:t>
      </w:r>
      <w:proofErr w:type="spellStart"/>
      <w:r>
        <w:rPr>
          <w:rtl/>
        </w:rPr>
        <w:t>נתן־צבי</w:t>
      </w:r>
      <w:proofErr w:type="spellEnd"/>
      <w:r>
        <w:rPr>
          <w:rtl/>
        </w:rPr>
        <w:t xml:space="preserve"> </w:t>
      </w:r>
      <w:proofErr w:type="spellStart"/>
      <w:r>
        <w:rPr>
          <w:rtl/>
        </w:rPr>
        <w:t>פינקל</w:t>
      </w:r>
      <w:proofErr w:type="spellEnd"/>
      <w:r>
        <w:rPr>
          <w:rtl/>
        </w:rPr>
        <w:t xml:space="preserve"> במצב ישיבת </w:t>
      </w:r>
      <w:proofErr w:type="spellStart"/>
      <w:r>
        <w:rPr>
          <w:rtl/>
        </w:rPr>
        <w:t>טלז</w:t>
      </w:r>
      <w:proofErr w:type="spellEnd"/>
      <w:r>
        <w:rPr>
          <w:rtl/>
        </w:rPr>
        <w:t xml:space="preserve">. הישיבה </w:t>
      </w:r>
      <w:proofErr w:type="spellStart"/>
      <w:r>
        <w:rPr>
          <w:rtl/>
        </w:rPr>
        <w:t>בטלז</w:t>
      </w:r>
      <w:proofErr w:type="spellEnd"/>
      <w:r>
        <w:rPr>
          <w:rtl/>
        </w:rPr>
        <w:t xml:space="preserve"> עברה מאורעות דרמטיים רבים מאז נעשה ר׳ לייזר לרב ולראש ישיבה שם, עשרים ושלוש שנה קודם לכן.</w:t>
      </w:r>
    </w:p>
    <w:p w14:paraId="0EAB11BE" w14:textId="77777777" w:rsidR="00AB3647" w:rsidRDefault="00000000" w:rsidP="007923E9">
      <w:pPr>
        <w:spacing w:after="120" w:line="276" w:lineRule="auto"/>
        <w:jc w:val="both"/>
      </w:pPr>
      <w:r>
        <w:rPr>
          <w:rtl/>
        </w:rPr>
        <w:lastRenderedPageBreak/>
        <w:t xml:space="preserve">שמו כמגיד שיעור מצטיין הגיע </w:t>
      </w:r>
      <w:proofErr w:type="spellStart"/>
      <w:r>
        <w:rPr>
          <w:rtl/>
        </w:rPr>
        <w:t>לטלז</w:t>
      </w:r>
      <w:proofErr w:type="spellEnd"/>
      <w:r>
        <w:rPr>
          <w:rtl/>
        </w:rPr>
        <w:t xml:space="preserve"> לפני בואו, והביא זרם של תלמידים חדשים אל הישיבה הקטנה שכבר הייתה קיימת שם. הוא צירף לצוות את אחיינו ר׳ שמעון </w:t>
      </w:r>
      <w:proofErr w:type="spellStart"/>
      <w:r>
        <w:rPr>
          <w:rtl/>
        </w:rPr>
        <w:t>הסמרגוני</w:t>
      </w:r>
      <w:proofErr w:type="spellEnd"/>
      <w:r>
        <w:rPr>
          <w:rtl/>
        </w:rPr>
        <w:t xml:space="preserve"> (</w:t>
      </w:r>
      <w:proofErr w:type="spellStart"/>
      <w:r>
        <w:rPr>
          <w:rtl/>
        </w:rPr>
        <w:t>שקופ</w:t>
      </w:r>
      <w:proofErr w:type="spellEnd"/>
      <w:r>
        <w:rPr>
          <w:rtl/>
        </w:rPr>
        <w:t>), שדרך הפלפול שלו בלימוד הגמרא הייתה כשלו. בשנה שלאחר מכן הביא את חתנו הבכור, ר׳ יוסף לייב בלוך, למדן ומחנך נחוש וחדשני. הישיבה שגשגה, ובתוך זמן קצר הגיע מספר תלמידיה ל־400.</w:t>
      </w:r>
    </w:p>
    <w:p w14:paraId="53D46929" w14:textId="77777777" w:rsidR="00AB3647" w:rsidRDefault="00000000" w:rsidP="007923E9">
      <w:pPr>
        <w:spacing w:after="120" w:line="276" w:lineRule="auto"/>
        <w:jc w:val="both"/>
      </w:pPr>
      <w:r>
        <w:rPr>
          <w:rtl/>
        </w:rPr>
        <w:t xml:space="preserve">במקום ללמוד את דקדוקי הפשט שבדף עם המפרשים המעמיקים בהם, הדגישו ר׳ לייזר וצוותו את הראשונים ואת אותם אחרונים המנתחים את עקרונות היסוד של </w:t>
      </w:r>
      <w:proofErr w:type="spellStart"/>
      <w:r>
        <w:rPr>
          <w:rtl/>
        </w:rPr>
        <w:t>הסוגיה</w:t>
      </w:r>
      <w:proofErr w:type="spellEnd"/>
      <w:r>
        <w:rPr>
          <w:rtl/>
        </w:rPr>
        <w:t>. הדבר הותיר מרחב רב לדיונים בשאלה כיצד יש להבין כל עניין. מקולות קבוצות התלמידים שהתווכחו ללא הרף רעשה הישיבה בכל עת כים סוער, והרעש הגיע לשיאו אחרי שיעורו של ראש הישיבה – ולפעמים בעיצומו. רוב שעות היום, ובכל מקום שהיו בו, געשו הדיונים בין התלמידים. האכסניות, הרחובות – כל עירו של ר׳ לייזר גורדון – הפכו לישיבה אחת גדולה, שקול התורה לא פסק בה לעולם.</w:t>
      </w:r>
    </w:p>
    <w:p w14:paraId="16D31A25" w14:textId="77777777" w:rsidR="00AB3647" w:rsidRDefault="00000000" w:rsidP="007923E9">
      <w:pPr>
        <w:spacing w:after="120" w:line="276" w:lineRule="auto"/>
        <w:jc w:val="both"/>
      </w:pPr>
      <w:r>
        <w:rPr>
          <w:rtl/>
        </w:rPr>
        <w:t xml:space="preserve">ר׳ לייזר לא רק היה מבריק, אלא עסק בלימוד תורה מלא חיים בכל כוחו, ולכן שימש דוגמה מזהירה לתלמידים. בהתלהבות שהשרה עליהם ראש ישיבתם לא ידעו הצעירים מעצורים, ואף “דיברו בלימוד”, לעיתים בסערה, בשעת קריאת התורה וחזרת הש״ץ. כל שאיפתם הייתה מכוונת להתקדמות בהבנת התורה, והם “לחמו את מלחמותיה” בגבורה יומם ולילה. ישיבת </w:t>
      </w:r>
      <w:proofErr w:type="spellStart"/>
      <w:r>
        <w:rPr>
          <w:rtl/>
        </w:rPr>
        <w:t>טלז</w:t>
      </w:r>
      <w:proofErr w:type="spellEnd"/>
      <w:r>
        <w:rPr>
          <w:rtl/>
        </w:rPr>
        <w:t xml:space="preserve"> נודעה כמוסד המוביל לפיתוח הלמדנות.</w:t>
      </w:r>
    </w:p>
    <w:p w14:paraId="3B9EC586" w14:textId="77777777" w:rsidR="00AB3647" w:rsidRDefault="00000000" w:rsidP="007923E9">
      <w:pPr>
        <w:spacing w:after="120" w:line="276" w:lineRule="auto"/>
        <w:jc w:val="both"/>
      </w:pPr>
      <w:r>
        <w:rPr>
          <w:rtl/>
        </w:rPr>
        <w:t xml:space="preserve">ר׳ לייזר ניחן במרץ עצום. אף שהיה שקוע כל כולו בלימוד ההלכה ובחידושיה, הצליח למלא בנאמנות את תפקידיו הרבניים בעירו, שהוקירה אותו, </w:t>
      </w:r>
      <w:proofErr w:type="spellStart"/>
      <w:r>
        <w:rPr>
          <w:rtl/>
        </w:rPr>
        <w:t>וכשנזדמנה</w:t>
      </w:r>
      <w:proofErr w:type="spellEnd"/>
      <w:r>
        <w:rPr>
          <w:rtl/>
        </w:rPr>
        <w:t xml:space="preserve"> לו האפשרות שירת גם את כלל ישראל. אבל שום פעילות לא הסיחה אותו מעולם מתשוקתו העיקרית: מסירת שיעורים ודיון בסוגיות הלכתיות עם תלמידים. אהבתו ללומדי תורה הייתה ללא גבול, והאהבה הייתה הדדית: הוא נחשב לראש הישיבה האהוב ביותר בליטא.</w:t>
      </w:r>
    </w:p>
    <w:p w14:paraId="550C757A" w14:textId="77777777" w:rsidR="00AB3647" w:rsidRDefault="00000000" w:rsidP="007923E9">
      <w:pPr>
        <w:spacing w:after="120" w:line="276" w:lineRule="auto"/>
        <w:jc w:val="both"/>
      </w:pPr>
      <w:r>
        <w:rPr>
          <w:rtl/>
        </w:rPr>
        <w:t xml:space="preserve">אף שבעיקרו לא התעניין בשום דבר מלבד לימוד תורה בעיון, שיבח את המוסר ככלי חינוכי נחוץ, והביא לישיבתו משגיחים בעלי שיעור קומה. חתנו ר׳ יוסף לייב, מנהל הישיבה, היה בעל מוסר מובהק, ואחרי תקופת לימוד קצרה אצל ר׳ </w:t>
      </w:r>
      <w:proofErr w:type="spellStart"/>
      <w:r>
        <w:rPr>
          <w:rtl/>
        </w:rPr>
        <w:t>שמחה־זיסל</w:t>
      </w:r>
      <w:proofErr w:type="spellEnd"/>
      <w:r>
        <w:rPr>
          <w:rtl/>
        </w:rPr>
        <w:t xml:space="preserve"> זיו </w:t>
      </w:r>
      <w:proofErr w:type="spellStart"/>
      <w:r>
        <w:rPr>
          <w:rtl/>
        </w:rPr>
        <w:t>בקלם</w:t>
      </w:r>
      <w:proofErr w:type="spellEnd"/>
      <w:r>
        <w:rPr>
          <w:rtl/>
        </w:rPr>
        <w:t xml:space="preserve"> פיתח שיטת מוסר מקורית.</w:t>
      </w:r>
    </w:p>
    <w:p w14:paraId="5A03B451" w14:textId="77777777" w:rsidR="00AB3647" w:rsidRDefault="00000000" w:rsidP="007923E9">
      <w:pPr>
        <w:spacing w:after="120" w:line="276" w:lineRule="auto"/>
        <w:jc w:val="both"/>
      </w:pPr>
      <w:r>
        <w:rPr>
          <w:rtl/>
        </w:rPr>
        <w:t xml:space="preserve">בסביבות תרנ״ז החלו להיות מורגשים בישיבת </w:t>
      </w:r>
      <w:proofErr w:type="spellStart"/>
      <w:r>
        <w:rPr>
          <w:rtl/>
        </w:rPr>
        <w:t>טלז</w:t>
      </w:r>
      <w:proofErr w:type="spellEnd"/>
      <w:r>
        <w:rPr>
          <w:rtl/>
        </w:rPr>
        <w:t xml:space="preserve"> הזעזועים שפקדו את עולם הישיבות בעניין המוסר, ובעשור שלאחר מכן הגיעו לממדים של התפרצות הר געש. תחילה כוונו הרעשים כלפי המשגיח, ר׳ לייב חסמן, ואחר כך נגד ר׳ יוסף לייב, בגלל הקפדתו הנוקשה על סדרי הישיבה, שכללו זמן ללימוד מוסר. האחרון התפטר מן הישיבה בתחילת תרס״ב; ר׳ שמעון </w:t>
      </w:r>
      <w:proofErr w:type="spellStart"/>
      <w:r>
        <w:rPr>
          <w:rtl/>
        </w:rPr>
        <w:t>שקופ</w:t>
      </w:r>
      <w:proofErr w:type="spellEnd"/>
      <w:r>
        <w:rPr>
          <w:rtl/>
        </w:rPr>
        <w:t xml:space="preserve"> פרש בשנה שלאחר מכן, וכך גם המשגיח.</w:t>
      </w:r>
    </w:p>
    <w:p w14:paraId="5B296FF3" w14:textId="77777777" w:rsidR="00AB3647" w:rsidRDefault="00000000" w:rsidP="007923E9">
      <w:pPr>
        <w:spacing w:after="120" w:line="276" w:lineRule="auto"/>
        <w:jc w:val="both"/>
      </w:pPr>
      <w:r>
        <w:rPr>
          <w:rtl/>
        </w:rPr>
        <w:t xml:space="preserve">אבל המהפכה נגד הצאר, שהגיעה לשיאה </w:t>
      </w:r>
      <w:proofErr w:type="spellStart"/>
      <w:r>
        <w:rPr>
          <w:rtl/>
        </w:rPr>
        <w:t>בתרס״ד</w:t>
      </w:r>
      <w:proofErr w:type="spellEnd"/>
      <w:r>
        <w:rPr>
          <w:rtl/>
        </w:rPr>
        <w:t xml:space="preserve"> </w:t>
      </w:r>
      <w:proofErr w:type="spellStart"/>
      <w:r>
        <w:rPr>
          <w:rtl/>
        </w:rPr>
        <w:t>ובתרס״ה</w:t>
      </w:r>
      <w:proofErr w:type="spellEnd"/>
      <w:r>
        <w:rPr>
          <w:rtl/>
        </w:rPr>
        <w:t xml:space="preserve">, היא שהביאה את ההתפרצויות </w:t>
      </w:r>
      <w:proofErr w:type="spellStart"/>
      <w:r>
        <w:rPr>
          <w:rtl/>
        </w:rPr>
        <w:t>בטלז</w:t>
      </w:r>
      <w:proofErr w:type="spellEnd"/>
      <w:r>
        <w:rPr>
          <w:rtl/>
        </w:rPr>
        <w:t xml:space="preserve"> למלוא עוצמתן. כמו </w:t>
      </w:r>
      <w:proofErr w:type="spellStart"/>
      <w:r>
        <w:rPr>
          <w:rtl/>
        </w:rPr>
        <w:t>בסלבודקה</w:t>
      </w:r>
      <w:proofErr w:type="spellEnd"/>
      <w:r>
        <w:rPr>
          <w:rtl/>
        </w:rPr>
        <w:t xml:space="preserve">, נמשכו תלמידים רבים לסוציאליזם, </w:t>
      </w:r>
      <w:proofErr w:type="spellStart"/>
      <w:r>
        <w:rPr>
          <w:rtl/>
        </w:rPr>
        <w:t>וה“הופקות</w:t>
      </w:r>
      <w:proofErr w:type="spellEnd"/>
      <w:r>
        <w:rPr>
          <w:rtl/>
        </w:rPr>
        <w:t xml:space="preserve">” (מהומות) החוזרות בתוך הישיבה הביאו את ר׳ לייזר לפנות לסבא </w:t>
      </w:r>
      <w:proofErr w:type="spellStart"/>
      <w:r>
        <w:rPr>
          <w:rtl/>
        </w:rPr>
        <w:t>מסלבודקה</w:t>
      </w:r>
      <w:proofErr w:type="spellEnd"/>
      <w:r>
        <w:rPr>
          <w:rtl/>
        </w:rPr>
        <w:t xml:space="preserve">, הצעיר ממנו בשמונה שנים, בבקשת תגבורת. לזמן הקיץ של תרס״ה באה </w:t>
      </w:r>
      <w:proofErr w:type="spellStart"/>
      <w:r>
        <w:rPr>
          <w:rtl/>
        </w:rPr>
        <w:t>לטלז</w:t>
      </w:r>
      <w:proofErr w:type="spellEnd"/>
      <w:r>
        <w:rPr>
          <w:rtl/>
        </w:rPr>
        <w:t xml:space="preserve"> קבוצה של יותר מעשרים </w:t>
      </w:r>
      <w:r>
        <w:rPr>
          <w:rtl/>
        </w:rPr>
        <w:lastRenderedPageBreak/>
        <w:t xml:space="preserve">מן התלמידים המעולים של </w:t>
      </w:r>
      <w:proofErr w:type="spellStart"/>
      <w:r>
        <w:rPr>
          <w:rtl/>
        </w:rPr>
        <w:t>סלבודקה</w:t>
      </w:r>
      <w:proofErr w:type="spellEnd"/>
      <w:r>
        <w:rPr>
          <w:rtl/>
        </w:rPr>
        <w:t xml:space="preserve">, יחד עם משגיח. תלמידי </w:t>
      </w:r>
      <w:proofErr w:type="spellStart"/>
      <w:r>
        <w:rPr>
          <w:rtl/>
        </w:rPr>
        <w:t>טלז</w:t>
      </w:r>
      <w:proofErr w:type="spellEnd"/>
      <w:r>
        <w:rPr>
          <w:rtl/>
        </w:rPr>
        <w:t xml:space="preserve"> היו גאים, ובצדק, אבל לא קיבלו בעין יפה את הבאים החדשים, </w:t>
      </w:r>
      <w:proofErr w:type="spellStart"/>
      <w:r>
        <w:rPr>
          <w:rtl/>
        </w:rPr>
        <w:t>וה“הופקות</w:t>
      </w:r>
      <w:proofErr w:type="spellEnd"/>
      <w:r>
        <w:rPr>
          <w:rtl/>
        </w:rPr>
        <w:t>” הגיעו לעוצמה נפיצה.</w:t>
      </w:r>
    </w:p>
    <w:p w14:paraId="5FB8A607" w14:textId="77777777" w:rsidR="00AB3647" w:rsidRDefault="00000000" w:rsidP="007923E9">
      <w:pPr>
        <w:spacing w:after="120" w:line="276" w:lineRule="auto"/>
        <w:jc w:val="both"/>
      </w:pPr>
      <w:r>
        <w:rPr>
          <w:rtl/>
        </w:rPr>
        <w:t xml:space="preserve">איזה כאב היה על ר׳ לייזר לשאת כדי להגיע להחלטה לסגור את הישיבה ולפזר את התלמידים! וכמה זמן יכול היה ר׳ לייזר להמשיך לחיות בלי שיעורים, תלמידים ודיוני תורה? בחנוכה, אחרי סגירה של חודשיים, פתח את הישיבה מחדש ופנה לסבא בבקשה לבוא שוב לעזרתו. זמן קצר אחרי תחילת זמן הקיץ של תרס״ו שלח אליו ר׳ </w:t>
      </w:r>
      <w:proofErr w:type="spellStart"/>
      <w:r>
        <w:rPr>
          <w:rtl/>
        </w:rPr>
        <w:t>נתן־צבי</w:t>
      </w:r>
      <w:proofErr w:type="spellEnd"/>
      <w:r>
        <w:rPr>
          <w:rtl/>
        </w:rPr>
        <w:t xml:space="preserve"> </w:t>
      </w:r>
      <w:proofErr w:type="spellStart"/>
      <w:r>
        <w:rPr>
          <w:rtl/>
        </w:rPr>
        <w:t>פינקל</w:t>
      </w:r>
      <w:proofErr w:type="spellEnd"/>
      <w:r>
        <w:rPr>
          <w:rtl/>
        </w:rPr>
        <w:t xml:space="preserve"> קבוצה גדולה של בחורים, בלוויית המשגיח הצעיר יחסית ובעל ההדר, ר׳ שמואל </w:t>
      </w:r>
      <w:proofErr w:type="spellStart"/>
      <w:r>
        <w:rPr>
          <w:rtl/>
        </w:rPr>
        <w:t>פונדילער</w:t>
      </w:r>
      <w:proofErr w:type="spellEnd"/>
      <w:r>
        <w:rPr>
          <w:rtl/>
        </w:rPr>
        <w:t>, כדי לבנות מחדש את הישיבה.</w:t>
      </w:r>
    </w:p>
    <w:p w14:paraId="49C631D6" w14:textId="77777777" w:rsidR="00AB3647" w:rsidRDefault="00000000" w:rsidP="007923E9">
      <w:pPr>
        <w:spacing w:after="120" w:line="276" w:lineRule="auto"/>
        <w:jc w:val="both"/>
      </w:pPr>
      <w:r>
        <w:rPr>
          <w:rtl/>
        </w:rPr>
        <w:t xml:space="preserve">חודש לאחר תחילת זמן החורף שלאחר מכן – שבתחילתו תוגברה קבוצת </w:t>
      </w:r>
      <w:proofErr w:type="spellStart"/>
      <w:r>
        <w:rPr>
          <w:rtl/>
        </w:rPr>
        <w:t>סלבודקה</w:t>
      </w:r>
      <w:proofErr w:type="spellEnd"/>
      <w:r>
        <w:rPr>
          <w:rtl/>
        </w:rPr>
        <w:t xml:space="preserve"> בתלמידים נוספים – הגיע ר׳ לייזר לקובנה בערב שבת, ויכול היה לדווח לסבא </w:t>
      </w:r>
      <w:proofErr w:type="spellStart"/>
      <w:r>
        <w:rPr>
          <w:rtl/>
        </w:rPr>
        <w:t>מסלבודקה</w:t>
      </w:r>
      <w:proofErr w:type="spellEnd"/>
      <w:r>
        <w:rPr>
          <w:rtl/>
        </w:rPr>
        <w:t xml:space="preserve"> על ההתפתחויות בישיבתו </w:t>
      </w:r>
      <w:proofErr w:type="spellStart"/>
      <w:r>
        <w:rPr>
          <w:rtl/>
        </w:rPr>
        <w:t>הישנה־החדשה</w:t>
      </w:r>
      <w:proofErr w:type="spellEnd"/>
      <w:r>
        <w:rPr>
          <w:rtl/>
        </w:rPr>
        <w:t>.</w:t>
      </w:r>
    </w:p>
    <w:p w14:paraId="5372A9AB" w14:textId="77777777" w:rsidR="00AB3647" w:rsidRDefault="00000000" w:rsidP="007923E9">
      <w:pPr>
        <w:spacing w:after="120" w:line="276" w:lineRule="auto"/>
        <w:jc w:val="both"/>
      </w:pPr>
      <w:r>
        <w:rPr>
          <w:rtl/>
        </w:rPr>
        <w:t xml:space="preserve">רק בשבת אחר הצהריים נודע מי הגיע ביום הקודם, והידיעה התפשטה כאש </w:t>
      </w:r>
      <w:proofErr w:type="spellStart"/>
      <w:r>
        <w:rPr>
          <w:rtl/>
        </w:rPr>
        <w:t>בסלבודקה</w:t>
      </w:r>
      <w:proofErr w:type="spellEnd"/>
      <w:r>
        <w:rPr>
          <w:rtl/>
        </w:rPr>
        <w:t xml:space="preserve">. למעלה מ־500 בחורים משתי הישיבות חצו את הגשר לקובנה והתאספו במלון שבו התאכסן ר׳ לייזר. דמדומי הערב הליטאיים, הנמשכים שעתיים, כבר ירדו כשבא ר׳ לייזר אל אולם הכניסה וראה את המון התלמידים הממתין לו, ומיד החל למסור שיעור. ראש ישיבת </w:t>
      </w:r>
      <w:proofErr w:type="spellStart"/>
      <w:r>
        <w:rPr>
          <w:rtl/>
        </w:rPr>
        <w:t>טלז</w:t>
      </w:r>
      <w:proofErr w:type="spellEnd"/>
      <w:r>
        <w:rPr>
          <w:rtl/>
        </w:rPr>
        <w:t xml:space="preserve"> שקע כל כך בשיעורו, עד ששב להרגלו לסובב את שעון הכיס בשרשרתו הזהובה תוך כדי דיבורו הנלהב.</w:t>
      </w:r>
    </w:p>
    <w:p w14:paraId="70E3F789" w14:textId="77777777" w:rsidR="00AB3647" w:rsidRDefault="00000000" w:rsidP="007923E9">
      <w:pPr>
        <w:spacing w:after="120" w:line="276" w:lineRule="auto"/>
        <w:jc w:val="both"/>
      </w:pPr>
      <w:r>
        <w:rPr>
          <w:rtl/>
        </w:rPr>
        <w:t xml:space="preserve">השומעים ידעו שאם יפסיקוהו בשאלות מתוך הקהל, הם עלולים לספוג את כעסו המוצדק אך החולף של ר׳ לייזר; אבל אם עולה במוחו של אדם טענה חדה, מי יכול לכבוש אותה? הראשון שנכנס לתוך דבריו היה אהרן </w:t>
      </w:r>
      <w:proofErr w:type="spellStart"/>
      <w:r>
        <w:rPr>
          <w:rtl/>
        </w:rPr>
        <w:t>הסיסלוביצ׳ר</w:t>
      </w:r>
      <w:proofErr w:type="spellEnd"/>
      <w:r>
        <w:rPr>
          <w:rtl/>
        </w:rPr>
        <w:t xml:space="preserve"> העז מכנסת ישראל. הנואם, בעודו מחפש במחשבתו תשובה מכרעת לטענת הבחור, הגיב: “דו </w:t>
      </w:r>
      <w:proofErr w:type="spellStart"/>
      <w:r>
        <w:rPr>
          <w:rtl/>
        </w:rPr>
        <w:t>ביסט</w:t>
      </w:r>
      <w:proofErr w:type="spellEnd"/>
      <w:r>
        <w:rPr>
          <w:rtl/>
        </w:rPr>
        <w:t xml:space="preserve"> א </w:t>
      </w:r>
      <w:proofErr w:type="spellStart"/>
      <w:r>
        <w:rPr>
          <w:rtl/>
        </w:rPr>
        <w:t>שייגעץ</w:t>
      </w:r>
      <w:proofErr w:type="spellEnd"/>
      <w:r>
        <w:rPr>
          <w:rtl/>
        </w:rPr>
        <w:t xml:space="preserve">; דו </w:t>
      </w:r>
      <w:proofErr w:type="spellStart"/>
      <w:r>
        <w:rPr>
          <w:rtl/>
        </w:rPr>
        <w:t>פלוידערסט</w:t>
      </w:r>
      <w:proofErr w:type="spellEnd"/>
      <w:r>
        <w:rPr>
          <w:rtl/>
        </w:rPr>
        <w:t xml:space="preserve"> ווי א </w:t>
      </w:r>
      <w:proofErr w:type="spellStart"/>
      <w:r>
        <w:rPr>
          <w:rtl/>
        </w:rPr>
        <w:t>שייגעץ</w:t>
      </w:r>
      <w:proofErr w:type="spellEnd"/>
      <w:r>
        <w:rPr>
          <w:rtl/>
        </w:rPr>
        <w:t xml:space="preserve"> [אתה </w:t>
      </w:r>
      <w:proofErr w:type="spellStart"/>
      <w:r>
        <w:rPr>
          <w:rtl/>
        </w:rPr>
        <w:t>שייגעץ</w:t>
      </w:r>
      <w:proofErr w:type="spellEnd"/>
      <w:r>
        <w:rPr>
          <w:rtl/>
        </w:rPr>
        <w:t xml:space="preserve">; אתה מפטפט כמו </w:t>
      </w:r>
      <w:proofErr w:type="spellStart"/>
      <w:r>
        <w:rPr>
          <w:rtl/>
        </w:rPr>
        <w:t>שייגעץ</w:t>
      </w:r>
      <w:proofErr w:type="spellEnd"/>
      <w:r>
        <w:rPr>
          <w:rtl/>
        </w:rPr>
        <w:t xml:space="preserve">]!” איש לא נפגע מדרכו של ר׳ לייזר להגן על חידושיו מפני התקפה, מפני שלא היה ארס בדבריו; זו הייתה דרכו לבטא את התלהבותו שאין לה גבול </w:t>
      </w:r>
      <w:proofErr w:type="spellStart"/>
      <w:r>
        <w:rPr>
          <w:rtl/>
        </w:rPr>
        <w:t>ל“מלחמתה</w:t>
      </w:r>
      <w:proofErr w:type="spellEnd"/>
      <w:r>
        <w:rPr>
          <w:rtl/>
        </w:rPr>
        <w:t xml:space="preserve"> של תורה”.</w:t>
      </w:r>
    </w:p>
    <w:p w14:paraId="749C2A9E" w14:textId="77777777" w:rsidR="00AB3647" w:rsidRDefault="00000000" w:rsidP="007923E9">
      <w:pPr>
        <w:spacing w:after="120" w:line="276" w:lineRule="auto"/>
        <w:jc w:val="both"/>
      </w:pPr>
      <w:r>
        <w:rPr>
          <w:rtl/>
        </w:rPr>
        <w:t xml:space="preserve">כשהשיב ר׳ לייזר גורדון והמשיך בשיעור, הקשה שלמה </w:t>
      </w:r>
      <w:proofErr w:type="spellStart"/>
      <w:r>
        <w:rPr>
          <w:rtl/>
        </w:rPr>
        <w:t>פאריטשער</w:t>
      </w:r>
      <w:proofErr w:type="spellEnd"/>
      <w:r>
        <w:rPr>
          <w:rtl/>
        </w:rPr>
        <w:t xml:space="preserve"> מכנסת בית יצחק על נקודה מאוחרת יותר, ור׳ לייזר השיב, בעודו מחפש את תשובתו: “איי </w:t>
      </w:r>
      <w:proofErr w:type="spellStart"/>
      <w:r>
        <w:rPr>
          <w:rtl/>
        </w:rPr>
        <w:t>טערק</w:t>
      </w:r>
      <w:proofErr w:type="spellEnd"/>
      <w:r>
        <w:rPr>
          <w:rtl/>
        </w:rPr>
        <w:t xml:space="preserve"> [הו, טורקי]! אתה מפטפט כמו טורקי”.</w:t>
      </w:r>
    </w:p>
    <w:p w14:paraId="261BE650" w14:textId="77777777" w:rsidR="00AB3647" w:rsidRDefault="00000000" w:rsidP="007923E9">
      <w:pPr>
        <w:spacing w:after="120" w:line="276" w:lineRule="auto"/>
        <w:jc w:val="both"/>
      </w:pPr>
      <w:r>
        <w:rPr>
          <w:rtl/>
        </w:rPr>
        <w:t xml:space="preserve">לאחר ערבית והבדלה, בדרכם חזרה ברגל על הגשר, דנו הבחורים בשיעור מכל צדדיו. ישראל </w:t>
      </w:r>
      <w:proofErr w:type="spellStart"/>
      <w:r>
        <w:rPr>
          <w:rtl/>
        </w:rPr>
        <w:t>פיליפובער</w:t>
      </w:r>
      <w:proofErr w:type="spellEnd"/>
      <w:r>
        <w:rPr>
          <w:rtl/>
        </w:rPr>
        <w:t xml:space="preserve">, תלמיד כנסת בית יצחק, הציע: “הבה ננתח איזו שאלה הייתה חזקה יותר – של </w:t>
      </w:r>
      <w:proofErr w:type="spellStart"/>
      <w:r>
        <w:rPr>
          <w:rtl/>
        </w:rPr>
        <w:t>הסיסלוביצ׳ר</w:t>
      </w:r>
      <w:proofErr w:type="spellEnd"/>
      <w:r>
        <w:rPr>
          <w:rtl/>
        </w:rPr>
        <w:t xml:space="preserve"> או של </w:t>
      </w:r>
      <w:proofErr w:type="spellStart"/>
      <w:r>
        <w:rPr>
          <w:rtl/>
        </w:rPr>
        <w:t>פאריטשער</w:t>
      </w:r>
      <w:proofErr w:type="spellEnd"/>
      <w:r>
        <w:rPr>
          <w:rtl/>
        </w:rPr>
        <w:t xml:space="preserve"> – לפי תגובת ר׳ לייזר, ולא לפי </w:t>
      </w:r>
      <w:proofErr w:type="spellStart"/>
      <w:r>
        <w:rPr>
          <w:rtl/>
        </w:rPr>
        <w:t>היגיונן</w:t>
      </w:r>
      <w:proofErr w:type="spellEnd"/>
      <w:r>
        <w:rPr>
          <w:rtl/>
        </w:rPr>
        <w:t xml:space="preserve"> הפנימי. אנו יודעים שככל שהשאלה על שיעורו הייתה תקיפה יותר, כך הייתה תשובתו נוקבת יותר. את מי, אם כן, ‘כיבד’ בכינוי המבזה יותר?” </w:t>
      </w:r>
      <w:proofErr w:type="spellStart"/>
      <w:r>
        <w:rPr>
          <w:rtl/>
        </w:rPr>
        <w:t>קאפל</w:t>
      </w:r>
      <w:proofErr w:type="spellEnd"/>
      <w:r>
        <w:rPr>
          <w:rtl/>
        </w:rPr>
        <w:t xml:space="preserve"> </w:t>
      </w:r>
      <w:proofErr w:type="spellStart"/>
      <w:r>
        <w:rPr>
          <w:rtl/>
        </w:rPr>
        <w:t>קעלמער</w:t>
      </w:r>
      <w:proofErr w:type="spellEnd"/>
      <w:r>
        <w:rPr>
          <w:rtl/>
        </w:rPr>
        <w:t xml:space="preserve">, חבר צעיר מכנסת בית יצחק, הכריע את השאלה </w:t>
      </w:r>
      <w:proofErr w:type="spellStart"/>
      <w:r>
        <w:rPr>
          <w:rtl/>
        </w:rPr>
        <w:t>חד־משמעית</w:t>
      </w:r>
      <w:proofErr w:type="spellEnd"/>
      <w:r>
        <w:rPr>
          <w:rtl/>
        </w:rPr>
        <w:t xml:space="preserve">: “טורקי מבזה יותר </w:t>
      </w:r>
      <w:proofErr w:type="spellStart"/>
      <w:r>
        <w:rPr>
          <w:rtl/>
        </w:rPr>
        <w:t>משייגעץ</w:t>
      </w:r>
      <w:proofErr w:type="spellEnd"/>
      <w:r>
        <w:rPr>
          <w:rtl/>
        </w:rPr>
        <w:t xml:space="preserve">, שכן טורקי הוא גם </w:t>
      </w:r>
      <w:proofErr w:type="spellStart"/>
      <w:r>
        <w:rPr>
          <w:rtl/>
        </w:rPr>
        <w:t>שייגעץ</w:t>
      </w:r>
      <w:proofErr w:type="spellEnd"/>
      <w:r>
        <w:rPr>
          <w:rtl/>
        </w:rPr>
        <w:t xml:space="preserve">. ברור אם כן ששלמה </w:t>
      </w:r>
      <w:proofErr w:type="spellStart"/>
      <w:r>
        <w:rPr>
          <w:rtl/>
        </w:rPr>
        <w:t>פאריטשער</w:t>
      </w:r>
      <w:proofErr w:type="spellEnd"/>
      <w:r>
        <w:rPr>
          <w:rtl/>
        </w:rPr>
        <w:t xml:space="preserve"> שאל את השאלה הטובה יותר”.</w:t>
      </w:r>
    </w:p>
    <w:p w14:paraId="175F48BB" w14:textId="77777777" w:rsidR="00AB3647" w:rsidRDefault="00000000" w:rsidP="007923E9">
      <w:pPr>
        <w:spacing w:after="120" w:line="276" w:lineRule="auto"/>
        <w:jc w:val="both"/>
      </w:pPr>
      <w:r>
        <w:rPr>
          <w:rtl/>
        </w:rPr>
        <w:lastRenderedPageBreak/>
        <w:t xml:space="preserve">המבקר האחר באותו חורף היה ר׳ </w:t>
      </w:r>
      <w:proofErr w:type="spellStart"/>
      <w:r>
        <w:rPr>
          <w:rtl/>
        </w:rPr>
        <w:t>דוד׳ל</w:t>
      </w:r>
      <w:proofErr w:type="spellEnd"/>
      <w:r>
        <w:rPr>
          <w:rtl/>
        </w:rPr>
        <w:t xml:space="preserve"> </w:t>
      </w:r>
      <w:proofErr w:type="spellStart"/>
      <w:r>
        <w:rPr>
          <w:rtl/>
        </w:rPr>
        <w:t>קארלינער</w:t>
      </w:r>
      <w:proofErr w:type="spellEnd"/>
      <w:r>
        <w:rPr>
          <w:rtl/>
        </w:rPr>
        <w:t xml:space="preserve"> (פרידמן), שבא לקובנה לשבת. שתי ישיבות </w:t>
      </w:r>
      <w:proofErr w:type="spellStart"/>
      <w:r>
        <w:rPr>
          <w:rtl/>
        </w:rPr>
        <w:t>סלבודקה</w:t>
      </w:r>
      <w:proofErr w:type="spellEnd"/>
      <w:r>
        <w:rPr>
          <w:rtl/>
        </w:rPr>
        <w:t xml:space="preserve"> רעשו מן הידיעה שנזדמן להן לראות אחד מגדולי הגאונים של הדור. בעלי בתים חשובים, ידידי מארחו של ר׳ </w:t>
      </w:r>
      <w:proofErr w:type="spellStart"/>
      <w:r>
        <w:rPr>
          <w:rtl/>
        </w:rPr>
        <w:t>דוד׳ל</w:t>
      </w:r>
      <w:proofErr w:type="spellEnd"/>
      <w:r>
        <w:rPr>
          <w:rtl/>
        </w:rPr>
        <w:t xml:space="preserve">, הוזמנו במיוחד לדירה שבקומה העליונה, שבה התאכסן </w:t>
      </w:r>
      <w:proofErr w:type="spellStart"/>
      <w:r>
        <w:rPr>
          <w:rtl/>
        </w:rPr>
        <w:t>הקארלינער</w:t>
      </w:r>
      <w:proofErr w:type="spellEnd"/>
      <w:r>
        <w:rPr>
          <w:rtl/>
        </w:rPr>
        <w:t xml:space="preserve">. כשהגיעו תלמידי הישיבה, ובהם </w:t>
      </w:r>
      <w:proofErr w:type="spellStart"/>
      <w:r>
        <w:rPr>
          <w:rtl/>
        </w:rPr>
        <w:t>הדולהינובר</w:t>
      </w:r>
      <w:proofErr w:type="spellEnd"/>
      <w:r>
        <w:rPr>
          <w:rtl/>
        </w:rPr>
        <w:t>, היו המדרגות החיצוניות שעלו לדירה עמוסות אנשים שהמתינו להציץ בחכם הזקן.</w:t>
      </w:r>
    </w:p>
    <w:p w14:paraId="3D75F438" w14:textId="77777777" w:rsidR="00AB3647" w:rsidRDefault="00000000" w:rsidP="007923E9">
      <w:pPr>
        <w:spacing w:after="120" w:line="276" w:lineRule="auto"/>
        <w:jc w:val="both"/>
      </w:pPr>
      <w:r>
        <w:rPr>
          <w:rtl/>
        </w:rPr>
        <w:t xml:space="preserve">החצר שלפני הבית הייתה מלאה אנשים כשבא גם ר׳ </w:t>
      </w:r>
      <w:proofErr w:type="spellStart"/>
      <w:r>
        <w:rPr>
          <w:rtl/>
        </w:rPr>
        <w:t>ברוך־בער</w:t>
      </w:r>
      <w:proofErr w:type="spellEnd"/>
      <w:r>
        <w:rPr>
          <w:rtl/>
        </w:rPr>
        <w:t xml:space="preserve"> לראות את ר׳ </w:t>
      </w:r>
      <w:proofErr w:type="spellStart"/>
      <w:r>
        <w:rPr>
          <w:rtl/>
        </w:rPr>
        <w:t>דוד׳ל</w:t>
      </w:r>
      <w:proofErr w:type="spellEnd"/>
      <w:r>
        <w:rPr>
          <w:rtl/>
        </w:rPr>
        <w:t xml:space="preserve">, והוא לא יכול היה להיכנס היישר לבית. בתנועת יד דחה את הצעת הקהל לפנות לו דרך, ונשאר עומד בחצר. אבל הידיעה מי ממתין בחוץ עברה מפה לפה, במעלה המדרגות ודרך הבית, עד שהגיעה לאוזני האורח. אז הובאה דמותו הזעירה של ר׳ </w:t>
      </w:r>
      <w:proofErr w:type="spellStart"/>
      <w:r>
        <w:rPr>
          <w:rtl/>
        </w:rPr>
        <w:t>דוד׳ל</w:t>
      </w:r>
      <w:proofErr w:type="spellEnd"/>
      <w:r>
        <w:rPr>
          <w:rtl/>
        </w:rPr>
        <w:t xml:space="preserve"> אל המרפסת, כשבני משפחתו תומכים בו מתחת לזרועותיו, כדי שיניד בראשו ויברך: </w:t>
      </w:r>
      <w:bookmarkStart w:id="137" w:name="_Hlk243572731"/>
      <w:r>
        <w:rPr>
          <w:rtl/>
        </w:rPr>
        <w:t>“</w:t>
      </w:r>
      <w:proofErr w:type="spellStart"/>
      <w:r>
        <w:rPr>
          <w:rtl/>
        </w:rPr>
        <w:t xml:space="preserve">גוט שבת, גוט שבת”</w:t>
      </w:r>
      <w:proofErr w:type="spellEnd"/>
      <w:r>
        <w:rPr>
          <w:rtl/>
        </w:rPr>
        <w:t xml:space="preserve"/>
      </w:r>
      <w:proofErr w:type="spellStart"/>
      <w:r>
        <w:rPr>
          <w:rtl/>
        </w:rPr>
        <w:t xml:space="preserve"/>
      </w:r>
      <w:proofErr w:type="spellEnd"/>
      <w:r>
        <w:rPr>
          <w:rtl/>
        </w:rPr>
        <w:t xml:space="preserve">.</w:t>
      </w:r>
    </w:p>
    <w:bookmarkEnd w:id="137"/>
    <w:p w14:paraId="7126CA5A" w14:textId="77777777" w:rsidR="00AB3647" w:rsidRDefault="00000000" w:rsidP="007923E9">
      <w:pPr>
        <w:spacing w:after="120" w:line="276" w:lineRule="auto"/>
        <w:jc w:val="both"/>
      </w:pPr>
      <w:r>
        <w:rPr>
          <w:rtl/>
        </w:rPr>
        <w:t xml:space="preserve">כשראה ר׳ </w:t>
      </w:r>
      <w:proofErr w:type="spellStart"/>
      <w:r>
        <w:rPr>
          <w:rtl/>
        </w:rPr>
        <w:t>ברוך־בער</w:t>
      </w:r>
      <w:proofErr w:type="spellEnd"/>
      <w:r>
        <w:rPr>
          <w:rtl/>
        </w:rPr>
        <w:t xml:space="preserve"> את פניו המאירות, הדומות לקלף, של ר׳ </w:t>
      </w:r>
      <w:proofErr w:type="spellStart"/>
      <w:r>
        <w:rPr>
          <w:rtl/>
        </w:rPr>
        <w:t>דוד׳ל</w:t>
      </w:r>
      <w:proofErr w:type="spellEnd"/>
      <w:r>
        <w:rPr>
          <w:rtl/>
        </w:rPr>
        <w:t xml:space="preserve">, בירך בקול את הברכה לראיית תלמיד חכם גדול: “ברוך אתה... שחלק </w:t>
      </w:r>
      <w:proofErr w:type="spellStart"/>
      <w:r>
        <w:rPr>
          <w:rtl/>
        </w:rPr>
        <w:t>מחכמתו</w:t>
      </w:r>
      <w:proofErr w:type="spellEnd"/>
      <w:r>
        <w:rPr>
          <w:rtl/>
        </w:rPr>
        <w:t xml:space="preserve"> </w:t>
      </w:r>
      <w:proofErr w:type="spellStart"/>
      <w:r>
        <w:rPr>
          <w:rtl/>
        </w:rPr>
        <w:t>ליראיו</w:t>
      </w:r>
      <w:proofErr w:type="spellEnd"/>
      <w:r>
        <w:rPr>
          <w:rtl/>
        </w:rPr>
        <w:t xml:space="preserve">”, וממעלה המדרגות נשמעה תשובת החכם: “אמן”. כשהוחזרה הדמות השברירית אל הבית, החל ר׳ </w:t>
      </w:r>
      <w:proofErr w:type="spellStart"/>
      <w:r>
        <w:rPr>
          <w:rtl/>
        </w:rPr>
        <w:t>ברוך־בער</w:t>
      </w:r>
      <w:proofErr w:type="spellEnd"/>
      <w:r>
        <w:rPr>
          <w:rtl/>
        </w:rPr>
        <w:t xml:space="preserve"> להתנענע – סימן ברור שהוא עומד לומר דבר – ואמר: “פלאי פלאים! אילו נערום את התלמוד הבבלי, התלמוד הירושלמי, המכילתא, הספרא, הספרי </w:t>
      </w:r>
      <w:proofErr w:type="spellStart"/>
      <w:r>
        <w:rPr>
          <w:rtl/>
        </w:rPr>
        <w:t>והתוספתא</w:t>
      </w:r>
      <w:proofErr w:type="spellEnd"/>
      <w:r>
        <w:rPr>
          <w:rtl/>
        </w:rPr>
        <w:t>, ונוסיף את הרמב״ם ואת הטורים, ועליהם את כתבי היד שלו עצמו, תהיה הערמה גדולה בהרבה מגופו הזעיר – הוא לא יוכל אפילו להזיזה; ואת הכול הוא נושא בראשו!”</w:t>
      </w:r>
    </w:p>
    <w:p w14:paraId="782DDFDE" w14:textId="77777777" w:rsidR="00AB3647" w:rsidRDefault="00000000" w:rsidP="007923E9">
      <w:pPr>
        <w:spacing w:after="120" w:line="276" w:lineRule="auto"/>
        <w:jc w:val="both"/>
      </w:pPr>
      <w:r>
        <w:rPr>
          <w:rtl/>
        </w:rPr>
        <w:t xml:space="preserve">למחרת הובא ר׳ </w:t>
      </w:r>
      <w:proofErr w:type="spellStart"/>
      <w:r>
        <w:rPr>
          <w:rtl/>
        </w:rPr>
        <w:t>דוד׳ל</w:t>
      </w:r>
      <w:proofErr w:type="spellEnd"/>
      <w:r>
        <w:rPr>
          <w:rtl/>
        </w:rPr>
        <w:t xml:space="preserve"> לאולם גדול, כדי שבני התורה ישביעו את עיניהם בו. הוא ישב, אמר מילים אחדות בקול חלש, והשתמש בזכוכית מגדלת לקריאה.</w:t>
      </w:r>
    </w:p>
    <w:p w14:paraId="12F24D8C" w14:textId="77777777" w:rsidR="00AB3647" w:rsidRDefault="00000000" w:rsidP="007923E9">
      <w:pPr>
        <w:spacing w:after="120" w:line="276" w:lineRule="auto"/>
        <w:jc w:val="both"/>
      </w:pPr>
      <w:r>
        <w:rPr>
          <w:rtl/>
        </w:rPr>
        <w:t xml:space="preserve">רבנו נהנה מחגיגות הפורים בישיבה, כשהזמן קרב לסיומו. הוא העריך את חריפות המחשבה שהפגין </w:t>
      </w:r>
      <w:proofErr w:type="spellStart"/>
      <w:r>
        <w:rPr>
          <w:rtl/>
        </w:rPr>
        <w:t>ה“פורים־רב</w:t>
      </w:r>
      <w:proofErr w:type="spellEnd"/>
      <w:r>
        <w:rPr>
          <w:rtl/>
        </w:rPr>
        <w:t xml:space="preserve">” של כנסת ישראל, אליה </w:t>
      </w:r>
      <w:proofErr w:type="spellStart"/>
      <w:r>
        <w:rPr>
          <w:rtl/>
        </w:rPr>
        <w:t>ריטעווער</w:t>
      </w:r>
      <w:proofErr w:type="spellEnd"/>
      <w:r>
        <w:rPr>
          <w:rtl/>
        </w:rPr>
        <w:t xml:space="preserve"> (בירק). באותה שנה ספגו שתי ישיבות </w:t>
      </w:r>
      <w:proofErr w:type="spellStart"/>
      <w:r>
        <w:rPr>
          <w:rtl/>
        </w:rPr>
        <w:t>סלבודקה</w:t>
      </w:r>
      <w:proofErr w:type="spellEnd"/>
      <w:r>
        <w:rPr>
          <w:rtl/>
        </w:rPr>
        <w:t xml:space="preserve"> את חיצי הביקורת.</w:t>
      </w:r>
    </w:p>
    <w:p w14:paraId="7495BE1C" w14:textId="77777777" w:rsidR="00AB3647" w:rsidRDefault="00000000" w:rsidP="007923E9">
      <w:pPr>
        <w:spacing w:after="120" w:line="276" w:lineRule="auto"/>
        <w:jc w:val="both"/>
      </w:pPr>
      <w:r>
        <w:rPr>
          <w:rtl/>
        </w:rPr>
        <w:t xml:space="preserve">זמן קצר לפני פורים אירע מאורע חמור בכנסת בית יצחק. אחד הבחורים המבוגרים והחשובים בא אל ר׳ משה </w:t>
      </w:r>
      <w:proofErr w:type="spellStart"/>
      <w:r>
        <w:rPr>
          <w:rtl/>
        </w:rPr>
        <w:t>פקרוביץ</w:t>
      </w:r>
      <w:proofErr w:type="spellEnd"/>
      <w:r>
        <w:rPr>
          <w:rtl/>
        </w:rPr>
        <w:t>׳, המשגיח שהיה ממונה על חלוקת התמיכות, וביקש תוספת. כשנענה בשלילה, איבד את עשתונותיו וסטר סטירה מצלצלת על לחיו של ר׳ משה. מאורע כזה סיפק חומר גלם מתבקש לבדיחות הפורים.</w:t>
      </w:r>
    </w:p>
    <w:p w14:paraId="2FAB389A" w14:textId="77777777" w:rsidR="00AB3647" w:rsidRDefault="00000000" w:rsidP="007923E9">
      <w:pPr>
        <w:spacing w:after="120" w:line="276" w:lineRule="auto"/>
        <w:jc w:val="both"/>
      </w:pPr>
      <w:proofErr w:type="spellStart"/>
      <w:r>
        <w:rPr>
          <w:rtl/>
        </w:rPr>
        <w:t>הפורים־רב</w:t>
      </w:r>
      <w:proofErr w:type="spellEnd"/>
      <w:r>
        <w:rPr>
          <w:rtl/>
        </w:rPr>
        <w:t xml:space="preserve">, שמילא את תפקיד ראש הישיבה, הקשה קושיה מחודדת: כיצד יצא התלמיד החשוב, שבא לקבל (כסף), כשהוא נותן (סטירה)? והרי שני המושגים סותרים זה את זה! אחרי שהציע כמה תירוצים ופרך אותם בפלפולו, הגיע לפתרון “פשוט”, על יסוד דין במסכת קידושין, אחת המסכתות שלמדה הישיבה מאז פורים אשתקד. כדי שיחולו קידושין, הדין דורש שהאיש ייתן לאישה דבר שווה כסף, ולא האישה לאיש. אבל אם האיש אדם חשוב, גם נתינת האישה לו פועלת קידושין, משום </w:t>
      </w:r>
      <w:proofErr w:type="spellStart"/>
      <w:r>
        <w:rPr>
          <w:rtl/>
        </w:rPr>
        <w:t>ש“כשאדם</w:t>
      </w:r>
      <w:proofErr w:type="spellEnd"/>
      <w:r>
        <w:rPr>
          <w:rtl/>
        </w:rPr>
        <w:t xml:space="preserve"> חשוב ניאות לקבל מתנה, הרי הוא נותן (כבוד, שיש לו ערך) לנותן”.</w:t>
      </w:r>
    </w:p>
    <w:p w14:paraId="56A72C4F" w14:textId="77777777" w:rsidR="00AB3647" w:rsidRDefault="00000000" w:rsidP="007923E9">
      <w:pPr>
        <w:spacing w:after="120" w:line="276" w:lineRule="auto"/>
        <w:jc w:val="both"/>
      </w:pPr>
      <w:proofErr w:type="spellStart"/>
      <w:r>
        <w:rPr>
          <w:rtl/>
        </w:rPr>
        <w:lastRenderedPageBreak/>
        <w:t>הפורים־רב</w:t>
      </w:r>
      <w:proofErr w:type="spellEnd"/>
      <w:r>
        <w:rPr>
          <w:rtl/>
        </w:rPr>
        <w:t xml:space="preserve"> השתמש בכלל זה בכיוון ההפוך: הבחור הנידון היה אדם חשוב, ולכן כשנתן – היה בעצם מקבל. אחד השומעים הפסיק את </w:t>
      </w:r>
      <w:proofErr w:type="spellStart"/>
      <w:r>
        <w:rPr>
          <w:rtl/>
        </w:rPr>
        <w:t>ה“שיעור</w:t>
      </w:r>
      <w:proofErr w:type="spellEnd"/>
      <w:r>
        <w:rPr>
          <w:rtl/>
        </w:rPr>
        <w:t xml:space="preserve">” המדומה ושאל: “אבל היכן מוצא ‘ראש הישיבה’ הנכבד שלנו מקור לשימוש בכלל בדרך ההפוכה?” אליה </w:t>
      </w:r>
      <w:proofErr w:type="spellStart"/>
      <w:r>
        <w:rPr>
          <w:rtl/>
        </w:rPr>
        <w:t>ריטעווער</w:t>
      </w:r>
      <w:proofErr w:type="spellEnd"/>
      <w:r>
        <w:rPr>
          <w:rtl/>
        </w:rPr>
        <w:t xml:space="preserve"> השיב מיד: “הוא נדפס בפירוש בספר שיצא לאחרונה”. הוא רמז למנוחה </w:t>
      </w:r>
      <w:proofErr w:type="spellStart"/>
      <w:r>
        <w:rPr>
          <w:rtl/>
        </w:rPr>
        <w:t>פרנק־אפשטיין</w:t>
      </w:r>
      <w:proofErr w:type="spellEnd"/>
      <w:r>
        <w:rPr>
          <w:rtl/>
        </w:rPr>
        <w:t xml:space="preserve">, אשת ר׳ </w:t>
      </w:r>
      <w:proofErr w:type="spellStart"/>
      <w:r>
        <w:rPr>
          <w:rtl/>
        </w:rPr>
        <w:t>משה־מרדכי</w:t>
      </w:r>
      <w:proofErr w:type="spellEnd"/>
      <w:r>
        <w:rPr>
          <w:rtl/>
        </w:rPr>
        <w:t>, אישה תקיפה שבחורי הישיבה פחדו ממנה, ונקב בשם המקור הבדוי: ספר בשם “כסות מנוחה”. כך שיבש את שם ספרו של ראש ישיבתם הנערץ, שהתקבל באהדה, “לבוש מרדכי”, והפכו לכפיל בדוי.</w:t>
      </w:r>
    </w:p>
    <w:p w14:paraId="665BADA9" w14:textId="77777777" w:rsidR="00AB3647" w:rsidRDefault="00000000" w:rsidP="007923E9">
      <w:pPr>
        <w:spacing w:after="120" w:line="276" w:lineRule="auto"/>
        <w:jc w:val="both"/>
      </w:pPr>
      <w:proofErr w:type="spellStart"/>
      <w:r>
        <w:rPr>
          <w:rtl/>
        </w:rPr>
        <w:t>הדולהינובר</w:t>
      </w:r>
      <w:proofErr w:type="spellEnd"/>
      <w:r>
        <w:rPr>
          <w:rtl/>
        </w:rPr>
        <w:t xml:space="preserve"> היה צעיר מכדי לשתות משקאות משכרים, אבל רבים מהתלמידים המבוגרים השתכרו בפורים. מפיהם פרצו דברי תורה ומוסר, ואלה העידו שענייניהם הרוחניים לא היו חיצוניים ושטחיים. הצעיר שמח להימצא בחברה כזו.</w:t>
      </w:r>
    </w:p>
    <w:p w14:paraId="662219DD" w14:textId="77777777" w:rsidR="00AB3647" w:rsidRDefault="00000000" w:rsidP="007923E9">
      <w:pPr>
        <w:spacing w:after="120" w:line="276" w:lineRule="auto"/>
        <w:jc w:val="both"/>
      </w:pPr>
      <w:r>
        <w:rPr>
          <w:rtl/>
        </w:rPr>
        <w:t>רבנו כתב מכתבים הביתה בשנת היעדרו, וגם קיבל מכתבים. עתה הודיע להוריו שיבוא הביתה לפסח. הסבא דיבר אל הבחורים היוצאים מן הישיבה על הדרך שבה עליהם לנהוג בחברת בעלי בתים, שם מוטל עליהם לייצג את ההתרוממות שבאה מלימוד התורה. הוא הזהירם שלא להאריך בתפילת העמידה בבית הכנסת, פן יראו בהם המתפללים אנשים שאינם מן העולם הזה, מנותקים מן המציאות.</w:t>
      </w:r>
    </w:p>
    <w:p w14:paraId="45471B96" w14:textId="77777777" w:rsidR="00AB3647" w:rsidRDefault="00000000" w:rsidP="007923E9">
      <w:pPr>
        <w:spacing w:after="120" w:line="276" w:lineRule="auto"/>
        <w:jc w:val="both"/>
      </w:pPr>
      <w:r>
        <w:rPr>
          <w:rtl/>
        </w:rPr>
        <w:t xml:space="preserve">אחרי נסיעתו הארוכה הביתה ברכבת קיבלה משפחתו את רבנו בחום. הוא יצא ילד וחזר איש, רציני ומעודן יותר בהליכותיו, וזקן התחיל לצמוח על לחייו של בן </w:t>
      </w:r>
      <w:proofErr w:type="spellStart"/>
      <w:r>
        <w:rPr>
          <w:rtl/>
        </w:rPr>
        <w:t>השש־עשרה</w:t>
      </w:r>
      <w:proofErr w:type="spellEnd"/>
      <w:r>
        <w:rPr>
          <w:rtl/>
        </w:rPr>
        <w:t xml:space="preserve">. השבועות שעשה במינסק לא עברו בבטלה: הוא ביקר בספריית ספרי הקודש שבבית איל העצים ברוך </w:t>
      </w:r>
      <w:proofErr w:type="spellStart"/>
      <w:r>
        <w:rPr>
          <w:rtl/>
        </w:rPr>
        <w:t>זלדוביץ</w:t>
      </w:r>
      <w:proofErr w:type="spellEnd"/>
      <w:r>
        <w:rPr>
          <w:rtl/>
        </w:rPr>
        <w:t xml:space="preserve">׳ ושאל כמה ספרים, כדי ללמוד כמה עניינים שחיבב ושסדרי הישיבה במשך השנה לא הותירו לו זמן ללומדם. הוריו, ובייחוד סבו, היו גאים בצאצאם, שהיה עתה בן תורה צעיר. </w:t>
      </w:r>
      <w:bookmarkStart w:id="138" w:name="_Hlk243572889"/>
      <w:proofErr w:type="spellStart"/>
      <w:r>
        <w:rPr>
          <w:rtl/>
        </w:rPr>
        <w:t>אמו</w:t>
      </w:r>
      <w:proofErr w:type="spellEnd"/>
      <w:r>
        <w:rPr>
          <w:rtl/>
        </w:rPr>
        <w:t xml:space="preserve"> ראתה שהאבן הטובה שלה מתחילה להבהיק.</w:t>
      </w:r>
      <w:bookmarkEnd w:id="138"/>
    </w:p>
    <w:p w14:paraId="53FA1D56" w14:textId="77777777" w:rsidR="00AB3647" w:rsidRDefault="00000000" w:rsidP="007923E9">
      <w:pPr>
        <w:pStyle w:val="ae"/>
        <w:pageBreakBefore/>
        <w:spacing w:line="276" w:lineRule="auto"/>
      </w:pPr>
      <w:bookmarkStart w:id="139" w:name="text_chapter5"/>
      <w:r>
        <w:lastRenderedPageBreak/>
        <w:t>פרק חמישי</w:t>
      </w:r>
      <w:bookmarkEnd w:id="139"/>
    </w:p>
    <w:p w14:paraId="3D444FE6" w14:textId="77777777" w:rsidR="00AB3647" w:rsidRDefault="00000000" w:rsidP="007923E9">
      <w:pPr>
        <w:pStyle w:val="1"/>
        <w:spacing w:line="276" w:lineRule="auto"/>
      </w:pPr>
      <w:r>
        <w:t xml:space="preserve">העשור השני – ד: </w:t>
      </w:r>
      <w:proofErr w:type="spellStart"/>
      <w:r>
        <w:t>מאלטש</w:t>
      </w:r>
      <w:proofErr w:type="spellEnd"/>
    </w:p>
    <w:p w14:paraId="00B9F45D" w14:textId="77777777" w:rsidR="00AB3647" w:rsidRDefault="00000000" w:rsidP="007923E9">
      <w:pPr>
        <w:pStyle w:val="2"/>
        <w:spacing w:line="276" w:lineRule="auto"/>
      </w:pPr>
      <w:r>
        <w:t>1.</w:t>
      </w:r>
    </w:p>
    <w:p w14:paraId="78E04409" w14:textId="77777777" w:rsidR="00AB3647" w:rsidRDefault="00000000" w:rsidP="007923E9">
      <w:pPr>
        <w:spacing w:after="100" w:line="276" w:lineRule="auto"/>
        <w:ind w:firstLine="340"/>
        <w:jc w:val="both"/>
      </w:pPr>
      <w:r>
        <w:rPr>
          <w:rtl/>
        </w:rPr>
        <w:t xml:space="preserve">לאחר פסח שב בן הישיבה הצעיר </w:t>
      </w:r>
      <w:proofErr w:type="spellStart"/>
      <w:r>
        <w:rPr>
          <w:rtl/>
        </w:rPr>
        <w:t>לסלבודקה</w:t>
      </w:r>
      <w:proofErr w:type="spellEnd"/>
      <w:r>
        <w:rPr>
          <w:rtl/>
        </w:rPr>
        <w:t>, מרכיב משקפיים ומצויד במכונת תספורת לגילוח. הוא שב לסדרי הישיבה באותה התלהבות שהייתה בו שנה קודם לכן, אבל מעשה פזיזות ילדותי באותו זמן קיץ השפיע על כל חייו.</w:t>
      </w:r>
    </w:p>
    <w:p w14:paraId="4E9F0C93" w14:textId="77777777" w:rsidR="00AB3647" w:rsidRDefault="00000000" w:rsidP="007923E9">
      <w:pPr>
        <w:spacing w:after="100" w:line="276" w:lineRule="auto"/>
        <w:ind w:firstLine="340"/>
        <w:jc w:val="both"/>
      </w:pPr>
      <w:r>
        <w:rPr>
          <w:rtl/>
        </w:rPr>
        <w:t xml:space="preserve">כשלמד עם </w:t>
      </w:r>
      <w:proofErr w:type="spellStart"/>
      <w:r>
        <w:rPr>
          <w:rtl/>
        </w:rPr>
        <w:t>חברותתו</w:t>
      </w:r>
      <w:proofErr w:type="spellEnd"/>
      <w:r>
        <w:rPr>
          <w:rtl/>
        </w:rPr>
        <w:t xml:space="preserve">, בחור פיקח שהיה מבוגר ממנו, נתקלו בתוספות מורכב, סבוך דיו להקשות גם על תלמידים מוכשרים. שותפו ללימוד הציע לרבנו סיגריה ואמר שהעישון מסייע לצלילות המחשבה. סיגריה אחת גררה אחריה עוד אחת, ועד מהרה כבר לא היסס לבקש </w:t>
      </w:r>
      <w:proofErr w:type="spellStart"/>
      <w:r>
        <w:rPr>
          <w:rtl/>
        </w:rPr>
        <w:t>מחברותתו</w:t>
      </w:r>
      <w:proofErr w:type="spellEnd"/>
      <w:r>
        <w:rPr>
          <w:rtl/>
        </w:rPr>
        <w:t xml:space="preserve"> סיגריה תמורת ביאור קטע קשה שביאר לו. כפי שלא היה נדיר בקרב צעירי אותו דור, נעשה </w:t>
      </w:r>
      <w:proofErr w:type="spellStart"/>
      <w:r>
        <w:rPr>
          <w:rtl/>
        </w:rPr>
        <w:t>הדולהינובר</w:t>
      </w:r>
      <w:proofErr w:type="spellEnd"/>
      <w:r>
        <w:rPr>
          <w:rtl/>
        </w:rPr>
        <w:t xml:space="preserve"> מעשן קבוע.</w:t>
      </w:r>
    </w:p>
    <w:p w14:paraId="46B239CB" w14:textId="77777777" w:rsidR="00AB3647" w:rsidRDefault="00000000" w:rsidP="007923E9">
      <w:pPr>
        <w:spacing w:after="100" w:line="276" w:lineRule="auto"/>
        <w:ind w:firstLine="340"/>
        <w:jc w:val="both"/>
      </w:pPr>
      <w:r>
        <w:rPr>
          <w:rtl/>
        </w:rPr>
        <w:t xml:space="preserve">בסוף זמן הקיץ כבר היה רבנו אהוב כל כך בישיבה, שתלמידים מבוגרים ממנו ראו זכות לעצמם ללמוד עמו. לקראת סוף אלול בא בן הסבא, ר׳ </w:t>
      </w:r>
      <w:proofErr w:type="spellStart"/>
      <w:r>
        <w:rPr>
          <w:rtl/>
        </w:rPr>
        <w:t>לייזר־יודל</w:t>
      </w:r>
      <w:proofErr w:type="spellEnd"/>
      <w:r>
        <w:rPr>
          <w:rtl/>
        </w:rPr>
        <w:t xml:space="preserve">, לבקר את אביו </w:t>
      </w:r>
      <w:proofErr w:type="spellStart"/>
      <w:r>
        <w:rPr>
          <w:rtl/>
        </w:rPr>
        <w:t>בסלבודקה</w:t>
      </w:r>
      <w:proofErr w:type="spellEnd"/>
      <w:r>
        <w:rPr>
          <w:rtl/>
        </w:rPr>
        <w:t xml:space="preserve">. ר׳ </w:t>
      </w:r>
      <w:proofErr w:type="spellStart"/>
      <w:r>
        <w:rPr>
          <w:rtl/>
        </w:rPr>
        <w:t>לייזר־יודל</w:t>
      </w:r>
      <w:proofErr w:type="spellEnd"/>
      <w:r>
        <w:rPr>
          <w:rtl/>
        </w:rPr>
        <w:t xml:space="preserve"> כבר היה נשוי, ושימש משנה לראש הישיבה בישיבת חותנו </w:t>
      </w:r>
      <w:proofErr w:type="spellStart"/>
      <w:r>
        <w:rPr>
          <w:rtl/>
        </w:rPr>
        <w:t>במיר</w:t>
      </w:r>
      <w:proofErr w:type="spellEnd"/>
      <w:r>
        <w:rPr>
          <w:rtl/>
        </w:rPr>
        <w:t xml:space="preserve">. סיפרו לו על התלמיד הצעיר המבריק </w:t>
      </w:r>
      <w:proofErr w:type="spellStart"/>
      <w:r>
        <w:rPr>
          <w:rtl/>
        </w:rPr>
        <w:t>מדולהינוב</w:t>
      </w:r>
      <w:proofErr w:type="spellEnd"/>
      <w:r>
        <w:rPr>
          <w:rtl/>
        </w:rPr>
        <w:t xml:space="preserve">, שיצא לו שם </w:t>
      </w:r>
      <w:proofErr w:type="spellStart"/>
      <w:r>
        <w:rPr>
          <w:rtl/>
        </w:rPr>
        <w:t>בסלבודקה</w:t>
      </w:r>
      <w:proofErr w:type="spellEnd"/>
      <w:r>
        <w:rPr>
          <w:rtl/>
        </w:rPr>
        <w:t xml:space="preserve"> מאז בואו, פחות משנה וחצי קודם לכן. ר׳ </w:t>
      </w:r>
      <w:proofErr w:type="spellStart"/>
      <w:r>
        <w:rPr>
          <w:rtl/>
        </w:rPr>
        <w:t>לייזר־יודל</w:t>
      </w:r>
      <w:proofErr w:type="spellEnd"/>
      <w:r>
        <w:rPr>
          <w:rtl/>
        </w:rPr>
        <w:t xml:space="preserve"> החליט לשוחח עם הנער, ושאל אותו אם נכון שהוא יודע את כל התנ״ך בטעמים. התשובה שקיבל הייתה: “די שיאמרו לי טעם אחד בפסוק, ואוכל למצוא את השאר”.</w:t>
      </w:r>
    </w:p>
    <w:p w14:paraId="3E600B25" w14:textId="77777777" w:rsidR="00AB3647" w:rsidRDefault="00000000" w:rsidP="007923E9">
      <w:pPr>
        <w:spacing w:after="100" w:line="276" w:lineRule="auto"/>
        <w:ind w:firstLine="340"/>
        <w:jc w:val="both"/>
      </w:pPr>
      <w:r>
        <w:rPr>
          <w:rtl/>
        </w:rPr>
        <w:t xml:space="preserve">בשעה שבחן ר׳ </w:t>
      </w:r>
      <w:proofErr w:type="spellStart"/>
      <w:r>
        <w:rPr>
          <w:rtl/>
        </w:rPr>
        <w:t>לייזר־יודל</w:t>
      </w:r>
      <w:proofErr w:type="spellEnd"/>
      <w:r>
        <w:rPr>
          <w:rtl/>
        </w:rPr>
        <w:t xml:space="preserve"> את </w:t>
      </w:r>
      <w:proofErr w:type="spellStart"/>
      <w:r>
        <w:rPr>
          <w:rtl/>
        </w:rPr>
        <w:t>הדולהינובר</w:t>
      </w:r>
      <w:proofErr w:type="spellEnd"/>
      <w:r>
        <w:rPr>
          <w:rtl/>
        </w:rPr>
        <w:t xml:space="preserve"> נכנס אביו, וכשראה תנ״ך פתוח ביניהם – האדים. הסבא הביע את הסתייגותו באמירת שורה מתפילות הסליחות של אותו שבוע: “כי קטן יעקב ודל”. אף שהסבא נהנה מגילויי גאונות, הוא העדיף שתלמידו ישקיע את כישרונו בתורה שבעל פה, שאין לה גבול, ולא בתנ״ך הכתוב, שגבולותיו קבועים.</w:t>
      </w:r>
    </w:p>
    <w:p w14:paraId="05986196" w14:textId="77777777" w:rsidR="00AB3647" w:rsidRDefault="00000000" w:rsidP="007923E9">
      <w:pPr>
        <w:spacing w:after="100" w:line="276" w:lineRule="auto"/>
        <w:ind w:firstLine="340"/>
        <w:jc w:val="both"/>
      </w:pPr>
      <w:r>
        <w:rPr>
          <w:rtl/>
        </w:rPr>
        <w:t xml:space="preserve">בסוף אלול התקבלה בכנסת ישראל החלטה נועזת: לראשונה בתולדותיה תלמד הישיבה בזמן החורף את אחת משלוש המסכתות הקשות ביותר בתלמוד, מסכת יבמות. כל תלמידי הישיבה ניגשו לזמן החדש בחשש, ואפילו ראש הישיבה פחד. </w:t>
      </w:r>
      <w:proofErr w:type="spellStart"/>
      <w:r>
        <w:rPr>
          <w:rtl/>
        </w:rPr>
        <w:t>הדולהינובר</w:t>
      </w:r>
      <w:proofErr w:type="spellEnd"/>
      <w:r>
        <w:rPr>
          <w:rtl/>
        </w:rPr>
        <w:t xml:space="preserve">, לעומת זאת, לא חשש, מפני שלמד את המסכת </w:t>
      </w:r>
      <w:proofErr w:type="spellStart"/>
      <w:r>
        <w:rPr>
          <w:rtl/>
        </w:rPr>
        <w:t>בקצובישער</w:t>
      </w:r>
      <w:proofErr w:type="spellEnd"/>
      <w:r>
        <w:rPr>
          <w:rtl/>
        </w:rPr>
        <w:t xml:space="preserve"> שול במינסק, ובזיכרונו המבורך לא שכח ממנה שורה. אומנם מן התוספות למד אז רק מעט, אבל הגמרא נשארה בזיכרונו ברורה, בלי שתימחק.</w:t>
      </w:r>
    </w:p>
    <w:p w14:paraId="41E4747C" w14:textId="77777777" w:rsidR="00AB3647" w:rsidRDefault="00000000" w:rsidP="007923E9">
      <w:pPr>
        <w:spacing w:after="100" w:line="276" w:lineRule="auto"/>
        <w:ind w:firstLine="340"/>
        <w:jc w:val="both"/>
      </w:pPr>
      <w:r>
        <w:rPr>
          <w:rtl/>
        </w:rPr>
        <w:t xml:space="preserve">צירפו אליו לחברותא בחור מבוגר ממנו, והם התחילו ללמוד יחד מיד אחרי יום הכיפורים. מסיבה שרבנו לא ידע להגדיר, לא יכול היה לסבול את חברו. האם הזמן שנזקק לו אפילו בחור מבוגר כדי לפענח את קשרי המשפחה הסבוכים, שהמסכת מלאה בהם, היה בזבוז משעמם לנער שזכר הכול ויכול היה לסדר לעצמו את מקרי הגמרא ברגע? או שמא אופיו של חברו </w:t>
      </w:r>
      <w:r>
        <w:rPr>
          <w:rtl/>
        </w:rPr>
        <w:lastRenderedPageBreak/>
        <w:t xml:space="preserve">ללימוד הוא שצרם לרגישותו של צעיר שהבחין בחדות באופיים של בני אדם? תהא הבעיה אשר תהא, הוא היה ביישן מכדי לפצות פה ולבקש מן הסבא להחליף את </w:t>
      </w:r>
      <w:proofErr w:type="spellStart"/>
      <w:r>
        <w:rPr>
          <w:rtl/>
        </w:rPr>
        <w:t>חברותתו</w:t>
      </w:r>
      <w:proofErr w:type="spellEnd"/>
      <w:r>
        <w:rPr>
          <w:rtl/>
        </w:rPr>
        <w:t xml:space="preserve"> – כיצד יכול היה הוא, חדש יחסית בישיבה, להיפרד מתלמיד מבוגר, מכובד ומבוסס!</w:t>
      </w:r>
    </w:p>
    <w:p w14:paraId="74558D57" w14:textId="77777777" w:rsidR="00AB3647" w:rsidRDefault="00000000" w:rsidP="007923E9">
      <w:pPr>
        <w:spacing w:after="100" w:line="276" w:lineRule="auto"/>
        <w:ind w:firstLine="340"/>
        <w:jc w:val="both"/>
      </w:pPr>
      <w:r>
        <w:rPr>
          <w:rtl/>
        </w:rPr>
        <w:t xml:space="preserve">כשראה שתלמיד ותיק אחר עדיין לא מצא חברותא, הודיע לו שישמח לוותר לטובתו על חברו שלו. אבל תחבולה זו, למרבה הצער, לא הועילה, ואבי נשאר עם חבר שסלד ממנו. עד שעבר חג הסוכות והחלו להגיע לזמן החדש כמה תלמידים מצוינים במיוחד, כבר התחיל </w:t>
      </w:r>
      <w:proofErr w:type="spellStart"/>
      <w:r>
        <w:rPr>
          <w:rtl/>
        </w:rPr>
        <w:t>הדולהינובר</w:t>
      </w:r>
      <w:proofErr w:type="spellEnd"/>
      <w:r>
        <w:rPr>
          <w:rtl/>
        </w:rPr>
        <w:t xml:space="preserve"> להימנע מלשבת וללמוד עם החברותא שנקבע לו. הוא היה ניגש לשוחח עם בחור אחד, לבקש סיגריה מאחר ולהתבטל עם שלישי. אורח שהגיע לישיבה בהשגחה פרטית – ר׳ </w:t>
      </w:r>
      <w:proofErr w:type="spellStart"/>
      <w:r>
        <w:rPr>
          <w:rtl/>
        </w:rPr>
        <w:t>דוד־טעביל</w:t>
      </w:r>
      <w:proofErr w:type="spellEnd"/>
      <w:r>
        <w:rPr>
          <w:rtl/>
        </w:rPr>
        <w:t xml:space="preserve"> </w:t>
      </w:r>
      <w:proofErr w:type="spellStart"/>
      <w:r>
        <w:rPr>
          <w:rtl/>
        </w:rPr>
        <w:t>דינובסקי</w:t>
      </w:r>
      <w:proofErr w:type="spellEnd"/>
      <w:r>
        <w:rPr>
          <w:rtl/>
        </w:rPr>
        <w:t xml:space="preserve">, שנתמנה לא מכבר לרבה של </w:t>
      </w:r>
      <w:proofErr w:type="spellStart"/>
      <w:r>
        <w:rPr>
          <w:rtl/>
        </w:rPr>
        <w:t>מאלטש</w:t>
      </w:r>
      <w:proofErr w:type="spellEnd"/>
      <w:r>
        <w:rPr>
          <w:rtl/>
        </w:rPr>
        <w:t xml:space="preserve"> – הוא שהיה למושיעו מן המצב הקשה הזה.</w:t>
      </w:r>
    </w:p>
    <w:p w14:paraId="111C29B6" w14:textId="77777777" w:rsidR="00AB3647" w:rsidRDefault="00000000" w:rsidP="007923E9">
      <w:pPr>
        <w:spacing w:after="100" w:line="276" w:lineRule="auto"/>
        <w:ind w:firstLine="340"/>
        <w:jc w:val="both"/>
      </w:pPr>
      <w:proofErr w:type="spellStart"/>
      <w:r>
        <w:rPr>
          <w:rtl/>
        </w:rPr>
        <w:t>מאלטש</w:t>
      </w:r>
      <w:proofErr w:type="spellEnd"/>
      <w:r>
        <w:rPr>
          <w:rtl/>
        </w:rPr>
        <w:t xml:space="preserve">, עיירה בין </w:t>
      </w:r>
      <w:proofErr w:type="spellStart"/>
      <w:r>
        <w:rPr>
          <w:rtl/>
        </w:rPr>
        <w:t>ברנוביץ</w:t>
      </w:r>
      <w:proofErr w:type="spellEnd"/>
      <w:r>
        <w:rPr>
          <w:rtl/>
        </w:rPr>
        <w:t xml:space="preserve">׳ </w:t>
      </w:r>
      <w:proofErr w:type="spellStart"/>
      <w:r>
        <w:rPr>
          <w:rtl/>
        </w:rPr>
        <w:t>לבריסק</w:t>
      </w:r>
      <w:proofErr w:type="spellEnd"/>
      <w:r>
        <w:rPr>
          <w:rtl/>
        </w:rPr>
        <w:t xml:space="preserve">, כ־19 קילומטרים </w:t>
      </w:r>
      <w:proofErr w:type="spellStart"/>
      <w:r>
        <w:rPr>
          <w:rtl/>
        </w:rPr>
        <w:t>מדרום־מזרח</w:t>
      </w:r>
      <w:proofErr w:type="spellEnd"/>
      <w:r>
        <w:rPr>
          <w:rtl/>
        </w:rPr>
        <w:t xml:space="preserve"> </w:t>
      </w:r>
      <w:proofErr w:type="spellStart"/>
      <w:r>
        <w:rPr>
          <w:rtl/>
        </w:rPr>
        <w:t>לפרוז׳ני</w:t>
      </w:r>
      <w:proofErr w:type="spellEnd"/>
      <w:r>
        <w:rPr>
          <w:rtl/>
        </w:rPr>
        <w:t xml:space="preserve">, התהדרה בשנים קודמות בישיבה. ר׳ </w:t>
      </w:r>
      <w:proofErr w:type="spellStart"/>
      <w:r>
        <w:rPr>
          <w:rtl/>
        </w:rPr>
        <w:t>זלמן־סנדר</w:t>
      </w:r>
      <w:proofErr w:type="spellEnd"/>
      <w:r>
        <w:rPr>
          <w:rtl/>
        </w:rPr>
        <w:t xml:space="preserve"> </w:t>
      </w:r>
      <w:proofErr w:type="spellStart"/>
      <w:r>
        <w:rPr>
          <w:rtl/>
        </w:rPr>
        <w:t>כהנא־שפירא</w:t>
      </w:r>
      <w:proofErr w:type="spellEnd"/>
      <w:r>
        <w:rPr>
          <w:rtl/>
        </w:rPr>
        <w:t xml:space="preserve">, תלמיד ר׳ יוסף־דב </w:t>
      </w:r>
      <w:proofErr w:type="spellStart"/>
      <w:r>
        <w:rPr>
          <w:rtl/>
        </w:rPr>
        <w:t>סולובייצ׳יק</w:t>
      </w:r>
      <w:proofErr w:type="spellEnd"/>
      <w:r>
        <w:rPr>
          <w:rtl/>
        </w:rPr>
        <w:t xml:space="preserve"> </w:t>
      </w:r>
      <w:proofErr w:type="spellStart"/>
      <w:r>
        <w:rPr>
          <w:rtl/>
        </w:rPr>
        <w:t>בסלוצק</w:t>
      </w:r>
      <w:proofErr w:type="spellEnd"/>
      <w:r>
        <w:rPr>
          <w:rtl/>
        </w:rPr>
        <w:t xml:space="preserve">, עמד בראש ישיבה </w:t>
      </w:r>
      <w:proofErr w:type="spellStart"/>
      <w:r>
        <w:rPr>
          <w:rtl/>
        </w:rPr>
        <w:t>במאלטש</w:t>
      </w:r>
      <w:proofErr w:type="spellEnd"/>
      <w:r>
        <w:rPr>
          <w:rtl/>
        </w:rPr>
        <w:t xml:space="preserve"> בשנים שכיהן בה כרב, וכך גם יורשו לזמן קצר, ר׳ שמעון </w:t>
      </w:r>
      <w:proofErr w:type="spellStart"/>
      <w:r>
        <w:rPr>
          <w:rtl/>
        </w:rPr>
        <w:t>שקופ</w:t>
      </w:r>
      <w:proofErr w:type="spellEnd"/>
      <w:r>
        <w:rPr>
          <w:rtl/>
        </w:rPr>
        <w:t xml:space="preserve">, ראש הישיבה המפורסם </w:t>
      </w:r>
      <w:proofErr w:type="spellStart"/>
      <w:r>
        <w:rPr>
          <w:rtl/>
        </w:rPr>
        <w:t>מטלז</w:t>
      </w:r>
      <w:proofErr w:type="spellEnd"/>
      <w:r>
        <w:rPr>
          <w:rtl/>
        </w:rPr>
        <w:t xml:space="preserve">. כשנקרא ר׳ </w:t>
      </w:r>
      <w:proofErr w:type="spellStart"/>
      <w:r>
        <w:rPr>
          <w:rtl/>
        </w:rPr>
        <w:t>דוד־טעביל</w:t>
      </w:r>
      <w:proofErr w:type="spellEnd"/>
      <w:r>
        <w:rPr>
          <w:rtl/>
        </w:rPr>
        <w:t xml:space="preserve"> </w:t>
      </w:r>
      <w:proofErr w:type="spellStart"/>
      <w:r>
        <w:rPr>
          <w:rtl/>
        </w:rPr>
        <w:t>למאלטש</w:t>
      </w:r>
      <w:proofErr w:type="spellEnd"/>
      <w:r>
        <w:rPr>
          <w:rtl/>
        </w:rPr>
        <w:t xml:space="preserve"> ממשרת ההוראה הבכירה ביותר בישיבת </w:t>
      </w:r>
      <w:proofErr w:type="spellStart"/>
      <w:r>
        <w:rPr>
          <w:rtl/>
        </w:rPr>
        <w:t>לומז׳ה</w:t>
      </w:r>
      <w:proofErr w:type="spellEnd"/>
      <w:r>
        <w:rPr>
          <w:rtl/>
        </w:rPr>
        <w:t>, התנו מנהיגי העיירה את מינויו בכך שיפתח מחדש את הישיבה המקומית.</w:t>
      </w:r>
    </w:p>
    <w:p w14:paraId="0078DC33" w14:textId="77777777" w:rsidR="00AB3647" w:rsidRDefault="00000000" w:rsidP="007923E9">
      <w:pPr>
        <w:spacing w:after="100" w:line="276" w:lineRule="auto"/>
        <w:ind w:firstLine="340"/>
        <w:jc w:val="both"/>
      </w:pPr>
      <w:r>
        <w:rPr>
          <w:rtl/>
        </w:rPr>
        <w:t xml:space="preserve">ישיבת </w:t>
      </w:r>
      <w:proofErr w:type="spellStart"/>
      <w:r>
        <w:rPr>
          <w:rtl/>
        </w:rPr>
        <w:t>מאלטש</w:t>
      </w:r>
      <w:proofErr w:type="spellEnd"/>
      <w:r>
        <w:rPr>
          <w:rtl/>
        </w:rPr>
        <w:t xml:space="preserve"> המקורית חלתה בחיידק ההשכלה, שחדר אל ציבור תלמידיה והשתלט עליו, וגם ישיבתו המחודשת של ר׳ שמעון לקתה שוב באותו נגע. כשעזב ר׳ שמעון כדי לכהן כרבה של </w:t>
      </w:r>
      <w:proofErr w:type="spellStart"/>
      <w:r>
        <w:rPr>
          <w:rtl/>
        </w:rPr>
        <w:t>בריינסק</w:t>
      </w:r>
      <w:proofErr w:type="spellEnd"/>
      <w:r>
        <w:rPr>
          <w:rtl/>
        </w:rPr>
        <w:t xml:space="preserve"> באביב תרס״ז, הלך אחריו לשם גרעין התלמידים הבריא, </w:t>
      </w:r>
      <w:proofErr w:type="spellStart"/>
      <w:r>
        <w:rPr>
          <w:rtl/>
        </w:rPr>
        <w:t>ומאלטש</w:t>
      </w:r>
      <w:proofErr w:type="spellEnd"/>
      <w:r>
        <w:rPr>
          <w:rtl/>
        </w:rPr>
        <w:t xml:space="preserve"> נשארה בלי ישיבה. מתוך רצון להימנע מן המכשול שהוציא שם רע לישיבות </w:t>
      </w:r>
      <w:proofErr w:type="spellStart"/>
      <w:r>
        <w:rPr>
          <w:rtl/>
        </w:rPr>
        <w:t>מאלטש</w:t>
      </w:r>
      <w:proofErr w:type="spellEnd"/>
      <w:r>
        <w:rPr>
          <w:rtl/>
        </w:rPr>
        <w:t xml:space="preserve">, החליט הרב </w:t>
      </w:r>
      <w:proofErr w:type="spellStart"/>
      <w:r>
        <w:rPr>
          <w:rtl/>
        </w:rPr>
        <w:t>דינובסקי</w:t>
      </w:r>
      <w:proofErr w:type="spellEnd"/>
      <w:r>
        <w:rPr>
          <w:rtl/>
        </w:rPr>
        <w:t xml:space="preserve"> – שהיה בעצמו תלמיד של תלמידו המובהק של ר׳ ישראל </w:t>
      </w:r>
      <w:proofErr w:type="spellStart"/>
      <w:r>
        <w:rPr>
          <w:rtl/>
        </w:rPr>
        <w:t>סלנטר</w:t>
      </w:r>
      <w:proofErr w:type="spellEnd"/>
      <w:r>
        <w:rPr>
          <w:rtl/>
        </w:rPr>
        <w:t xml:space="preserve">, ר׳ </w:t>
      </w:r>
      <w:proofErr w:type="spellStart"/>
      <w:r>
        <w:rPr>
          <w:rtl/>
        </w:rPr>
        <w:t>שמחה־זיסל</w:t>
      </w:r>
      <w:proofErr w:type="spellEnd"/>
      <w:r>
        <w:rPr>
          <w:rtl/>
        </w:rPr>
        <w:t xml:space="preserve"> מקלם – להקים בעיירתו ישיבת מוסר, והוא ידע היטב לאן לפנות לעזרה. מיד אחרי שמחת תורה בא </w:t>
      </w:r>
      <w:proofErr w:type="spellStart"/>
      <w:r>
        <w:rPr>
          <w:rtl/>
        </w:rPr>
        <w:t>לסלבודקה</w:t>
      </w:r>
      <w:proofErr w:type="spellEnd"/>
      <w:r>
        <w:rPr>
          <w:rtl/>
        </w:rPr>
        <w:t xml:space="preserve">, להודיע לסבא על המצב ולבקש את עזרתו. הסבא, שמטרת חייו הייתה לבנות ישיבות, נענה לבקשתו של הרב </w:t>
      </w:r>
      <w:proofErr w:type="spellStart"/>
      <w:r>
        <w:rPr>
          <w:rtl/>
        </w:rPr>
        <w:t>דינובסקי</w:t>
      </w:r>
      <w:proofErr w:type="spellEnd"/>
      <w:r>
        <w:rPr>
          <w:rtl/>
        </w:rPr>
        <w:t xml:space="preserve"> מיד בחיוב.</w:t>
      </w:r>
    </w:p>
    <w:p w14:paraId="37A44308" w14:textId="77777777" w:rsidR="00AB3647" w:rsidRDefault="00000000" w:rsidP="007923E9">
      <w:pPr>
        <w:spacing w:after="100" w:line="276" w:lineRule="auto"/>
        <w:ind w:firstLine="340"/>
        <w:jc w:val="both"/>
      </w:pPr>
      <w:proofErr w:type="spellStart"/>
      <w:r>
        <w:rPr>
          <w:rtl/>
        </w:rPr>
        <w:t>לר</w:t>
      </w:r>
      <w:proofErr w:type="spellEnd"/>
      <w:r>
        <w:rPr>
          <w:rtl/>
        </w:rPr>
        <w:t xml:space="preserve">׳ </w:t>
      </w:r>
      <w:proofErr w:type="spellStart"/>
      <w:r>
        <w:rPr>
          <w:rtl/>
        </w:rPr>
        <w:t>דוד־טעביל</w:t>
      </w:r>
      <w:proofErr w:type="spellEnd"/>
      <w:r>
        <w:rPr>
          <w:rtl/>
        </w:rPr>
        <w:t xml:space="preserve"> הייתה בת בגיל הנישואין, והוא לא היה להוט לעמוד בעצמו בראש הישיבה. לפיכך ביקש מן הסבא לשלוח לו, עם התלמידים, בחור מבוגר מצטיין, שיהיה ראוי להיות חתנו ולבסוף ראש ישיבת </w:t>
      </w:r>
      <w:proofErr w:type="spellStart"/>
      <w:r>
        <w:rPr>
          <w:rtl/>
        </w:rPr>
        <w:t>מאלטש</w:t>
      </w:r>
      <w:proofErr w:type="spellEnd"/>
      <w:r>
        <w:rPr>
          <w:rtl/>
        </w:rPr>
        <w:t xml:space="preserve">. בארבעת הימים שעד שבת בראשית הצליח הסבא לארגן קבוצה של ארבעים בחורים, מבוגרים וצעירים – ישיבה שלמה – לשלוח </w:t>
      </w:r>
      <w:proofErr w:type="spellStart"/>
      <w:r>
        <w:rPr>
          <w:rtl/>
        </w:rPr>
        <w:t>למאלטש</w:t>
      </w:r>
      <w:proofErr w:type="spellEnd"/>
      <w:r>
        <w:rPr>
          <w:rtl/>
        </w:rPr>
        <w:t xml:space="preserve">. עמם שלח מועמד להיות חתנו של הרב </w:t>
      </w:r>
      <w:proofErr w:type="spellStart"/>
      <w:r>
        <w:rPr>
          <w:rtl/>
        </w:rPr>
        <w:t>דינובסקי</w:t>
      </w:r>
      <w:proofErr w:type="spellEnd"/>
      <w:r>
        <w:rPr>
          <w:rtl/>
        </w:rPr>
        <w:t xml:space="preserve"> – אחד משלושת התלמידים המעולים ביותר בכנסת ישראל, שגם אותו שלח הסבא </w:t>
      </w:r>
      <w:proofErr w:type="spellStart"/>
      <w:r>
        <w:rPr>
          <w:rtl/>
        </w:rPr>
        <w:t>לטלז</w:t>
      </w:r>
      <w:proofErr w:type="spellEnd"/>
      <w:r>
        <w:rPr>
          <w:rtl/>
        </w:rPr>
        <w:t xml:space="preserve"> שנתיים קודם לכן: ר׳ שלמה </w:t>
      </w:r>
      <w:proofErr w:type="spellStart"/>
      <w:r>
        <w:rPr>
          <w:rtl/>
        </w:rPr>
        <w:t>גבורין</w:t>
      </w:r>
      <w:proofErr w:type="spellEnd"/>
      <w:r>
        <w:rPr>
          <w:rtl/>
        </w:rPr>
        <w:t>.</w:t>
      </w:r>
    </w:p>
    <w:p w14:paraId="33AC4DB8" w14:textId="77777777" w:rsidR="00AB3647" w:rsidRDefault="00000000" w:rsidP="007923E9">
      <w:pPr>
        <w:spacing w:after="100" w:line="276" w:lineRule="auto"/>
        <w:ind w:firstLine="340"/>
        <w:jc w:val="both"/>
      </w:pPr>
      <w:r>
        <w:rPr>
          <w:rtl/>
        </w:rPr>
        <w:t xml:space="preserve">המשלחת הייתה בשלבי הארגון האחרונים, כשישב הסבא עם אורחו ליד שולחן השבת, יחד עם כמה תלמידים מבוגרים ועם חתנו ר׳ אייזיק שר. ר׳ אייזיק העיר לסבא </w:t>
      </w:r>
      <w:proofErr w:type="spellStart"/>
      <w:r>
        <w:rPr>
          <w:rtl/>
        </w:rPr>
        <w:t>שהדולהינובר</w:t>
      </w:r>
      <w:proofErr w:type="spellEnd"/>
      <w:r>
        <w:rPr>
          <w:rtl/>
        </w:rPr>
        <w:t xml:space="preserve"> הצעיר המצטיין מסתובב לאחרונה בבית המדרש ומבזבז את זמנו. השיחה פנתה אחר כך לעניינים אחרים, ועד מהרה בירכו ברכת המזון. מיד אחריה ביקש הסבא רשות, קם מן השולחן ונכנס לבית המדרש.</w:t>
      </w:r>
    </w:p>
    <w:p w14:paraId="742E598B" w14:textId="77777777" w:rsidR="00AB3647" w:rsidRDefault="00000000" w:rsidP="007923E9">
      <w:pPr>
        <w:spacing w:after="100" w:line="276" w:lineRule="auto"/>
        <w:ind w:firstLine="340"/>
        <w:jc w:val="both"/>
      </w:pPr>
      <w:r>
        <w:rPr>
          <w:rtl/>
        </w:rPr>
        <w:lastRenderedPageBreak/>
        <w:t xml:space="preserve">האורח ניצל את היעדרו של מארחו ושאל את ר׳ אייזיק מיהו </w:t>
      </w:r>
      <w:proofErr w:type="spellStart"/>
      <w:r>
        <w:rPr>
          <w:rtl/>
        </w:rPr>
        <w:t>הדולהינובר</w:t>
      </w:r>
      <w:proofErr w:type="spellEnd"/>
      <w:r>
        <w:rPr>
          <w:rtl/>
        </w:rPr>
        <w:t xml:space="preserve"> שהוזכר קודם לכן ליד השולחן. ר׳ אייזיק השיב שאם ייכנס מיד לבית המדרש, יראה את הסבא משוחח עם בחור מרכיב משקפיים – זה </w:t>
      </w:r>
      <w:proofErr w:type="spellStart"/>
      <w:r>
        <w:rPr>
          <w:rtl/>
        </w:rPr>
        <w:t>הדולהינובר</w:t>
      </w:r>
      <w:proofErr w:type="spellEnd"/>
      <w:r>
        <w:rPr>
          <w:rtl/>
        </w:rPr>
        <w:t xml:space="preserve"> שדיברו עליו. כעבור זמן קצר חזר הסבא להמשיך לארח את אורחו הנכבד, ואמר: “זה עתה גייסתי לישיבתך תלמיד צעיר מצוין”.</w:t>
      </w:r>
    </w:p>
    <w:p w14:paraId="312E1133" w14:textId="77777777" w:rsidR="00AB3647" w:rsidRDefault="00000000" w:rsidP="007923E9">
      <w:pPr>
        <w:spacing w:after="100" w:line="276" w:lineRule="auto"/>
        <w:ind w:firstLine="340"/>
        <w:jc w:val="both"/>
      </w:pPr>
      <w:r>
        <w:rPr>
          <w:rtl/>
        </w:rPr>
        <w:t xml:space="preserve">הקבוצה, ובה אבי, יצאה </w:t>
      </w:r>
      <w:proofErr w:type="spellStart"/>
      <w:r>
        <w:rPr>
          <w:rtl/>
        </w:rPr>
        <w:t>למאלטש</w:t>
      </w:r>
      <w:proofErr w:type="spellEnd"/>
      <w:r>
        <w:rPr>
          <w:rtl/>
        </w:rPr>
        <w:t xml:space="preserve"> אחרי סוכות תרס״ח. התלמידים נהנו ללמוד אצל ר׳ </w:t>
      </w:r>
      <w:proofErr w:type="spellStart"/>
      <w:r>
        <w:rPr>
          <w:rtl/>
        </w:rPr>
        <w:t>דוד־טעביל</w:t>
      </w:r>
      <w:proofErr w:type="spellEnd"/>
      <w:r>
        <w:rPr>
          <w:rtl/>
        </w:rPr>
        <w:t xml:space="preserve">, שכן מלבד למדנותו הגדולה ומוחו המבריק הוא היה בעל אישיות מעוררת השראה, וחינוכו </w:t>
      </w:r>
      <w:proofErr w:type="spellStart"/>
      <w:r>
        <w:rPr>
          <w:rtl/>
        </w:rPr>
        <w:t>בקלם</w:t>
      </w:r>
      <w:proofErr w:type="spellEnd"/>
      <w:r>
        <w:rPr>
          <w:rtl/>
        </w:rPr>
        <w:t xml:space="preserve"> ניכר בכל מעשיו. הוא נהג כבוד בלתי רגיל בכל אדם, אפילו בצעיר תלמידיו. היה לו קול זמרה יפה ונפש של משורר. הוא ידע את כל התנ״ך בעל פה, והייתה לו ידיעה רחבה במאמרי חז״ל ובמדרשים. הוא לא אהב “לדבר בלימוד”, מפני שכבעל מוסר חשש שמא יסטה מן האמת כשיעמוד על דעתו, וכשהיה מוסר מפעם לפעם שיחת מוסר, לא הרגיש כיצד הזמן חולף.</w:t>
      </w:r>
    </w:p>
    <w:p w14:paraId="4F5693FD" w14:textId="77777777" w:rsidR="00AB3647" w:rsidRDefault="00000000" w:rsidP="007923E9">
      <w:pPr>
        <w:spacing w:after="100" w:line="276" w:lineRule="auto"/>
        <w:ind w:firstLine="340"/>
        <w:jc w:val="both"/>
      </w:pPr>
      <w:r>
        <w:rPr>
          <w:rtl/>
        </w:rPr>
        <w:t xml:space="preserve">זמן קצר אחרי שהגיעה הישיבה </w:t>
      </w:r>
      <w:proofErr w:type="spellStart"/>
      <w:r>
        <w:rPr>
          <w:rtl/>
        </w:rPr>
        <w:t>למאלטש</w:t>
      </w:r>
      <w:proofErr w:type="spellEnd"/>
      <w:r>
        <w:rPr>
          <w:rtl/>
        </w:rPr>
        <w:t xml:space="preserve"> הוכרזו אירוסי ר׳ שלמה </w:t>
      </w:r>
      <w:proofErr w:type="spellStart"/>
      <w:r>
        <w:rPr>
          <w:rtl/>
        </w:rPr>
        <w:t>גבורין</w:t>
      </w:r>
      <w:proofErr w:type="spellEnd"/>
      <w:r>
        <w:rPr>
          <w:rtl/>
        </w:rPr>
        <w:t xml:space="preserve"> עם בת הרב, </w:t>
      </w:r>
      <w:proofErr w:type="spellStart"/>
      <w:r>
        <w:rPr>
          <w:rtl/>
        </w:rPr>
        <w:t>שרה־חסיה</w:t>
      </w:r>
      <w:proofErr w:type="spellEnd"/>
      <w:r>
        <w:rPr>
          <w:rtl/>
        </w:rPr>
        <w:t xml:space="preserve">, והחתונה נערכה כעבור חודש. במסיבת חנוכה בביתו הכריז ר׳ </w:t>
      </w:r>
      <w:proofErr w:type="spellStart"/>
      <w:r>
        <w:rPr>
          <w:rtl/>
        </w:rPr>
        <w:t>דוד־טעביל</w:t>
      </w:r>
      <w:proofErr w:type="spellEnd"/>
      <w:r>
        <w:rPr>
          <w:rtl/>
        </w:rPr>
        <w:t>: “לפי המדרש, רשאי אדם לקרוא לחתנו ‘בן’; נעים לי להכריז ששלמה [</w:t>
      </w:r>
      <w:proofErr w:type="spellStart"/>
      <w:r>
        <w:rPr>
          <w:rtl/>
        </w:rPr>
        <w:t>גבורין</w:t>
      </w:r>
      <w:proofErr w:type="spellEnd"/>
      <w:r>
        <w:rPr>
          <w:rtl/>
        </w:rPr>
        <w:t>] בן דוד [</w:t>
      </w:r>
      <w:proofErr w:type="spellStart"/>
      <w:r>
        <w:rPr>
          <w:rtl/>
        </w:rPr>
        <w:t>דינובסקי</w:t>
      </w:r>
      <w:proofErr w:type="spellEnd"/>
      <w:r>
        <w:rPr>
          <w:rtl/>
        </w:rPr>
        <w:t>] הוא ראש הישיבה מכאן ואילך”.</w:t>
      </w:r>
    </w:p>
    <w:p w14:paraId="47782F2B" w14:textId="77777777" w:rsidR="00AB3647" w:rsidRDefault="00000000" w:rsidP="007923E9">
      <w:pPr>
        <w:spacing w:after="100" w:line="276" w:lineRule="auto"/>
        <w:ind w:firstLine="340"/>
        <w:jc w:val="both"/>
      </w:pPr>
      <w:r>
        <w:rPr>
          <w:rtl/>
        </w:rPr>
        <w:t xml:space="preserve">ישיבת </w:t>
      </w:r>
      <w:proofErr w:type="spellStart"/>
      <w:r>
        <w:rPr>
          <w:rtl/>
        </w:rPr>
        <w:t>מאלטש</w:t>
      </w:r>
      <w:proofErr w:type="spellEnd"/>
      <w:r>
        <w:rPr>
          <w:rtl/>
        </w:rPr>
        <w:t xml:space="preserve"> החדשה התבססה היטב כבר בזמנה הראשון, מפני שגם ראש הישיבה המייסד וגם חתנו, ראש הישיבה החדש, היו בעלי אישיות מעניינת ומושכת. שיעוריו המבריקים של ר׳ שלמה היו חביבים על הבחורים, והקנו לו את הכינוי “ר׳ שלמה החריף”. נוסף על כך, התלמידים חשו סיפוק מכך שהקימו מבצר תורה חדש על המפה היהודית.</w:t>
      </w:r>
    </w:p>
    <w:p w14:paraId="68B671CA" w14:textId="77777777" w:rsidR="00AB3647" w:rsidRDefault="00000000" w:rsidP="007923E9">
      <w:pPr>
        <w:spacing w:after="100" w:line="276" w:lineRule="auto"/>
        <w:ind w:firstLine="340"/>
        <w:jc w:val="both"/>
      </w:pPr>
      <w:r>
        <w:rPr>
          <w:rtl/>
        </w:rPr>
        <w:t xml:space="preserve">רבנו נהנה הן מן הלימוד והן מידידותם של ראשי ישיבתו, ומיד חזר להיות המתמיד שהיה. אחרי הסטייה הקלה בראשית השנה שב לדרך ההתקדמות שסללו שני הגאונים, שנהנה מחברתם הנעימה. אבל שהותו בעיירה היפה, המוקפת יערות, הייתה קצרה, שכן לקראת סוף החורף של אותה שנה מעוברת קיבל הודעה </w:t>
      </w:r>
      <w:proofErr w:type="spellStart"/>
      <w:r>
        <w:rPr>
          <w:rtl/>
        </w:rPr>
        <w:t>מסלבודקה</w:t>
      </w:r>
      <w:proofErr w:type="spellEnd"/>
      <w:r>
        <w:rPr>
          <w:rtl/>
        </w:rPr>
        <w:t>: הסבא רוצה שישוב לכנסת ישראל אחרי פסח, וסידר בשבילו במיוחד חברותא מצוין.</w:t>
      </w:r>
    </w:p>
    <w:p w14:paraId="3A38452C" w14:textId="77777777" w:rsidR="00AB3647" w:rsidRDefault="00000000" w:rsidP="007923E9">
      <w:pPr>
        <w:pStyle w:val="2"/>
        <w:spacing w:line="276" w:lineRule="auto"/>
      </w:pPr>
      <w:r>
        <w:t>2.</w:t>
      </w:r>
    </w:p>
    <w:p w14:paraId="1BC28D51" w14:textId="77777777" w:rsidR="00AB3647" w:rsidRDefault="00000000" w:rsidP="007923E9">
      <w:pPr>
        <w:spacing w:after="100" w:line="276" w:lineRule="auto"/>
        <w:ind w:firstLine="340"/>
        <w:jc w:val="both"/>
      </w:pPr>
      <w:r>
        <w:rPr>
          <w:rtl/>
        </w:rPr>
        <w:t xml:space="preserve">אבי עזב את </w:t>
      </w:r>
      <w:proofErr w:type="spellStart"/>
      <w:r>
        <w:rPr>
          <w:rtl/>
        </w:rPr>
        <w:t>מאלטש</w:t>
      </w:r>
      <w:proofErr w:type="spellEnd"/>
      <w:r>
        <w:rPr>
          <w:rtl/>
        </w:rPr>
        <w:t xml:space="preserve"> בראשית ניסן, כדי לעשות את הפסח בביתו במינסק. אחיו ואחיותיו הצעירים גדלו במשך השנה הארוכה שבה לא התראו, ואחיו הבכור כבר היה גבר שנדרש להתייצב לפני ועדת הגיוס. אהרן, האח שנולד אחרי אבי, עכשיו נער בן </w:t>
      </w:r>
      <w:proofErr w:type="spellStart"/>
      <w:r>
        <w:rPr>
          <w:rtl/>
        </w:rPr>
        <w:t>שתים־עשרה</w:t>
      </w:r>
      <w:proofErr w:type="spellEnd"/>
      <w:r>
        <w:rPr>
          <w:rtl/>
        </w:rPr>
        <w:t xml:space="preserve"> המושפע בנקל, נשא אליו עיניים, והבחין בקלות שהשב הביתה מתקדם בכיוון שונה לגמרי מזה של אחיו ואחיותיו. רבנו רשם לעצמו </w:t>
      </w:r>
      <w:proofErr w:type="spellStart"/>
      <w:r>
        <w:rPr>
          <w:rtl/>
        </w:rPr>
        <w:t>בלבו</w:t>
      </w:r>
      <w:proofErr w:type="spellEnd"/>
      <w:r>
        <w:rPr>
          <w:rtl/>
        </w:rPr>
        <w:t xml:space="preserve"> שיש תקווה שגם אהרן ילמד יום אחד בישיבה.</w:t>
      </w:r>
    </w:p>
    <w:p w14:paraId="11B41839" w14:textId="77777777" w:rsidR="00AB3647" w:rsidRDefault="00000000" w:rsidP="007923E9">
      <w:pPr>
        <w:spacing w:after="100" w:line="276" w:lineRule="auto"/>
        <w:ind w:firstLine="340"/>
        <w:jc w:val="both"/>
      </w:pPr>
      <w:r>
        <w:rPr>
          <w:rtl/>
        </w:rPr>
        <w:t xml:space="preserve">ההורים הבינו שבנם בחור הישיבה ואחיו מתרחקים זה מזה בהשקפתם יותר מאשר במקום מגוריהם, ולכן החליטו שיש צורך במעשה שיבטא את אחדות המשפחה. הם קבעו מועד </w:t>
      </w:r>
      <w:r>
        <w:rPr>
          <w:rtl/>
        </w:rPr>
        <w:lastRenderedPageBreak/>
        <w:t>לצילום משפחתי, שילדיהם ישמרו באהבה – ככל שירחיק העתיד כל אחד מהם מאחיו ואחיותיו.</w:t>
      </w:r>
    </w:p>
    <w:p w14:paraId="4511F43C" w14:textId="77777777" w:rsidR="00AB3647" w:rsidRDefault="00000000" w:rsidP="007923E9">
      <w:pPr>
        <w:spacing w:after="100" w:line="276" w:lineRule="auto"/>
        <w:ind w:firstLine="340"/>
        <w:jc w:val="both"/>
      </w:pPr>
      <w:r>
        <w:rPr>
          <w:rtl/>
        </w:rPr>
        <w:t xml:space="preserve">גם אהרן </w:t>
      </w:r>
      <w:proofErr w:type="spellStart"/>
      <w:r>
        <w:rPr>
          <w:rtl/>
        </w:rPr>
        <w:t>הסיסלוביצ׳ר</w:t>
      </w:r>
      <w:proofErr w:type="spellEnd"/>
      <w:r>
        <w:rPr>
          <w:rtl/>
        </w:rPr>
        <w:t xml:space="preserve"> ותלמידי </w:t>
      </w:r>
      <w:proofErr w:type="spellStart"/>
      <w:r>
        <w:rPr>
          <w:rtl/>
        </w:rPr>
        <w:t>סלבודקה</w:t>
      </w:r>
      <w:proofErr w:type="spellEnd"/>
      <w:r>
        <w:rPr>
          <w:rtl/>
        </w:rPr>
        <w:t xml:space="preserve"> אחרים ממינסק באו הביתה לפסח, וסיפרו לרבנו כיצד עבר החורף בכנסת ישראל. הם אמרו לו שר׳ </w:t>
      </w:r>
      <w:proofErr w:type="spellStart"/>
      <w:r>
        <w:rPr>
          <w:rtl/>
        </w:rPr>
        <w:t>משה־מרדכי</w:t>
      </w:r>
      <w:proofErr w:type="spellEnd"/>
      <w:r>
        <w:rPr>
          <w:rtl/>
        </w:rPr>
        <w:t>, שחשש תחילה מלימוד יבמות בישיבה, מסר שיעורים מצוינים. תלמידים ותיקים, שכבר עברו מחזור שלם של המסכתות הנלמדות בישיבה, אמרו שאלה השיעורים הטובים ביותר שמסר מעולם.</w:t>
      </w:r>
    </w:p>
    <w:p w14:paraId="5CD37E1B" w14:textId="77777777" w:rsidR="00AB3647" w:rsidRDefault="00000000" w:rsidP="007923E9">
      <w:pPr>
        <w:spacing w:after="100" w:line="276" w:lineRule="auto"/>
        <w:ind w:firstLine="340"/>
        <w:jc w:val="both"/>
      </w:pPr>
      <w:r>
        <w:rPr>
          <w:rtl/>
        </w:rPr>
        <w:t xml:space="preserve">מתוך “דיבור בלימוד” עם ראובן </w:t>
      </w:r>
      <w:proofErr w:type="spellStart"/>
      <w:r>
        <w:rPr>
          <w:rtl/>
        </w:rPr>
        <w:t>גרוזובסקי</w:t>
      </w:r>
      <w:proofErr w:type="spellEnd"/>
      <w:r>
        <w:rPr>
          <w:rtl/>
        </w:rPr>
        <w:t xml:space="preserve"> ועם אהרן ראה השב </w:t>
      </w:r>
      <w:proofErr w:type="spellStart"/>
      <w:r>
        <w:rPr>
          <w:rtl/>
        </w:rPr>
        <w:t>ממאלטש</w:t>
      </w:r>
      <w:proofErr w:type="spellEnd"/>
      <w:r>
        <w:rPr>
          <w:rtl/>
        </w:rPr>
        <w:t xml:space="preserve"> עד כמה התקדמו בזמן שלא היה שם, והצטער שהחמיץ את ששת החודשים האחרונים </w:t>
      </w:r>
      <w:proofErr w:type="spellStart"/>
      <w:r>
        <w:rPr>
          <w:rtl/>
        </w:rPr>
        <w:t>בסלבודקה</w:t>
      </w:r>
      <w:proofErr w:type="spellEnd"/>
      <w:r>
        <w:rPr>
          <w:rtl/>
        </w:rPr>
        <w:t xml:space="preserve"> במחיצתם. אבל לא יכול היה להאשים בכך איש מלבד עצמו. כשהסבא שאל אותו בשבת בראשית אם הוא רוצה להצטרף לקבוצה היוצאת </w:t>
      </w:r>
      <w:proofErr w:type="spellStart"/>
      <w:r>
        <w:rPr>
          <w:rtl/>
        </w:rPr>
        <w:t>למאלטש</w:t>
      </w:r>
      <w:proofErr w:type="spellEnd"/>
      <w:r>
        <w:rPr>
          <w:rtl/>
        </w:rPr>
        <w:t xml:space="preserve">, הוא התנדב בשמחה. מצד שני, גם הוא למד היטב </w:t>
      </w:r>
      <w:proofErr w:type="spellStart"/>
      <w:r>
        <w:rPr>
          <w:rtl/>
        </w:rPr>
        <w:t>במאלטש</w:t>
      </w:r>
      <w:proofErr w:type="spellEnd"/>
      <w:r>
        <w:rPr>
          <w:rtl/>
        </w:rPr>
        <w:t>, ושם התעורר מחדש אחרי תקופה קצרה של בטלה.</w:t>
      </w:r>
    </w:p>
    <w:p w14:paraId="3899C99F" w14:textId="77777777" w:rsidR="00AB3647" w:rsidRDefault="00000000" w:rsidP="007923E9">
      <w:pPr>
        <w:spacing w:after="100" w:line="276" w:lineRule="auto"/>
        <w:ind w:firstLine="340"/>
        <w:jc w:val="both"/>
      </w:pPr>
      <w:r>
        <w:rPr>
          <w:rtl/>
        </w:rPr>
        <w:t xml:space="preserve">חבריו סיפרו לו גם שהחמיץ את ביקורו של אורח חשוב בקובנה לקראת סוף החורף שעבר: ר׳ חיים </w:t>
      </w:r>
      <w:proofErr w:type="spellStart"/>
      <w:r>
        <w:rPr>
          <w:rtl/>
        </w:rPr>
        <w:t>סולובייצ׳יק</w:t>
      </w:r>
      <w:proofErr w:type="spellEnd"/>
      <w:r>
        <w:rPr>
          <w:rtl/>
        </w:rPr>
        <w:t xml:space="preserve"> הגדול </w:t>
      </w:r>
      <w:proofErr w:type="spellStart"/>
      <w:r>
        <w:rPr>
          <w:rtl/>
        </w:rPr>
        <w:t>מבריסק</w:t>
      </w:r>
      <w:proofErr w:type="spellEnd"/>
      <w:r>
        <w:rPr>
          <w:rtl/>
        </w:rPr>
        <w:t xml:space="preserve"> היה שם. תלמידי </w:t>
      </w:r>
      <w:proofErr w:type="spellStart"/>
      <w:r>
        <w:rPr>
          <w:rtl/>
        </w:rPr>
        <w:t>סלבודקה</w:t>
      </w:r>
      <w:proofErr w:type="spellEnd"/>
      <w:r>
        <w:rPr>
          <w:rtl/>
        </w:rPr>
        <w:t xml:space="preserve"> תיארו את ביקורו של ר׳ חיים בכלל, ואת האהבה שגילה כלפי תלמידו ר׳ </w:t>
      </w:r>
      <w:proofErr w:type="spellStart"/>
      <w:r>
        <w:rPr>
          <w:rtl/>
        </w:rPr>
        <w:t>ברוך־בער</w:t>
      </w:r>
      <w:proofErr w:type="spellEnd"/>
      <w:r>
        <w:rPr>
          <w:rtl/>
        </w:rPr>
        <w:t xml:space="preserve"> בפרט. ר׳ חיים הגיע לקובנה בצוהרי יום חמישי של קור עז, יומיים לפני ראש חודש שבט, ובו בערב נהרו הבחורים משתי ישיבות </w:t>
      </w:r>
      <w:proofErr w:type="spellStart"/>
      <w:r>
        <w:rPr>
          <w:rtl/>
        </w:rPr>
        <w:t>סלבודקה</w:t>
      </w:r>
      <w:proofErr w:type="spellEnd"/>
      <w:r>
        <w:rPr>
          <w:rtl/>
        </w:rPr>
        <w:t xml:space="preserve"> אל המלון שבו התאכסן. אחד מחבריהם, </w:t>
      </w:r>
      <w:proofErr w:type="spellStart"/>
      <w:r>
        <w:rPr>
          <w:rtl/>
        </w:rPr>
        <w:t>אברהם־אליהו</w:t>
      </w:r>
      <w:proofErr w:type="spellEnd"/>
      <w:r>
        <w:rPr>
          <w:rtl/>
        </w:rPr>
        <w:t xml:space="preserve"> </w:t>
      </w:r>
      <w:proofErr w:type="spellStart"/>
      <w:r>
        <w:rPr>
          <w:rtl/>
        </w:rPr>
        <w:t>טעלזער</w:t>
      </w:r>
      <w:proofErr w:type="spellEnd"/>
      <w:r>
        <w:rPr>
          <w:rtl/>
        </w:rPr>
        <w:t xml:space="preserve"> (קפלן), שהצטרף לכנסת ישראל כחצי שנה אחרי </w:t>
      </w:r>
      <w:proofErr w:type="spellStart"/>
      <w:r>
        <w:rPr>
          <w:rtl/>
        </w:rPr>
        <w:t>הדולהינובר</w:t>
      </w:r>
      <w:proofErr w:type="spellEnd"/>
      <w:r>
        <w:rPr>
          <w:rtl/>
        </w:rPr>
        <w:t xml:space="preserve"> </w:t>
      </w:r>
      <w:proofErr w:type="spellStart"/>
      <w:r>
        <w:rPr>
          <w:rtl/>
        </w:rPr>
        <w:t>והסיסלוביצ׳ר</w:t>
      </w:r>
      <w:proofErr w:type="spellEnd"/>
      <w:r>
        <w:rPr>
          <w:rtl/>
        </w:rPr>
        <w:t>, היה בין הראשונים שבאו לחזות באורח הנכבד.</w:t>
      </w:r>
    </w:p>
    <w:p w14:paraId="7ED89D3E" w14:textId="77777777" w:rsidR="00AB3647" w:rsidRDefault="00000000" w:rsidP="007923E9">
      <w:pPr>
        <w:spacing w:after="100" w:line="276" w:lineRule="auto"/>
        <w:ind w:firstLine="340"/>
        <w:jc w:val="both"/>
      </w:pPr>
      <w:r>
        <w:rPr>
          <w:rtl/>
        </w:rPr>
        <w:t xml:space="preserve">עיניו של ר׳ חיים שוטטו על פני הבחורים, שמספרם הלך וגדל. כשהבחין בפניו של </w:t>
      </w:r>
      <w:proofErr w:type="spellStart"/>
      <w:r>
        <w:rPr>
          <w:rtl/>
        </w:rPr>
        <w:t>אברהם־אליהו</w:t>
      </w:r>
      <w:proofErr w:type="spellEnd"/>
      <w:r>
        <w:rPr>
          <w:rtl/>
        </w:rPr>
        <w:t xml:space="preserve">, התבונן בו ר׳ חיים לרגע ושאל אם הוא בנו של ר׳ </w:t>
      </w:r>
      <w:proofErr w:type="spellStart"/>
      <w:r>
        <w:rPr>
          <w:rtl/>
        </w:rPr>
        <w:t>אברהם־אליהו</w:t>
      </w:r>
      <w:proofErr w:type="spellEnd"/>
      <w:r>
        <w:rPr>
          <w:rtl/>
        </w:rPr>
        <w:t xml:space="preserve"> קפלן. כשנענה בחיוב, קרא: “כלום יש בן לאותו צדיק!”, וקם מלוא קומתו. עינו החדה קלטה גם את תווי פניו של ידידו של רבנו, אהרן פינס. ר׳ חיים שיער שהנער ודאי בנו של מי שנפטר שבע שנים קודם לכן, רבה של </w:t>
      </w:r>
      <w:proofErr w:type="spellStart"/>
      <w:r>
        <w:rPr>
          <w:rtl/>
        </w:rPr>
        <w:t>סיסלוביץ</w:t>
      </w:r>
      <w:proofErr w:type="spellEnd"/>
      <w:r>
        <w:rPr>
          <w:rtl/>
        </w:rPr>
        <w:t xml:space="preserve">׳, ר׳ </w:t>
      </w:r>
      <w:proofErr w:type="spellStart"/>
      <w:r>
        <w:rPr>
          <w:rtl/>
        </w:rPr>
        <w:t>שניאור־זלמן</w:t>
      </w:r>
      <w:proofErr w:type="spellEnd"/>
      <w:r>
        <w:rPr>
          <w:rtl/>
        </w:rPr>
        <w:t xml:space="preserve"> – והשערתו נתאמתה. את האב ראה ר׳ חיים לאחרונה עשרים שנה קודם לכן, בימים שלימד </w:t>
      </w:r>
      <w:proofErr w:type="spellStart"/>
      <w:r>
        <w:rPr>
          <w:rtl/>
        </w:rPr>
        <w:t>בוולוז׳ין</w:t>
      </w:r>
      <w:proofErr w:type="spellEnd"/>
      <w:r>
        <w:rPr>
          <w:rtl/>
        </w:rPr>
        <w:t>.</w:t>
      </w:r>
    </w:p>
    <w:p w14:paraId="57155479" w14:textId="77777777" w:rsidR="00AB3647" w:rsidRDefault="00000000" w:rsidP="007923E9">
      <w:pPr>
        <w:spacing w:after="100" w:line="276" w:lineRule="auto"/>
        <w:ind w:firstLine="340"/>
        <w:jc w:val="both"/>
      </w:pPr>
      <w:r>
        <w:rPr>
          <w:rtl/>
        </w:rPr>
        <w:t xml:space="preserve">מלבד עשרות התלמידים הרבות שגדשו את החדר הגדול עד שבא ר׳ </w:t>
      </w:r>
      <w:proofErr w:type="spellStart"/>
      <w:r>
        <w:rPr>
          <w:rtl/>
        </w:rPr>
        <w:t>ברוך־בער</w:t>
      </w:r>
      <w:proofErr w:type="spellEnd"/>
      <w:r>
        <w:rPr>
          <w:rtl/>
        </w:rPr>
        <w:t xml:space="preserve">, היו שם ר׳ </w:t>
      </w:r>
      <w:proofErr w:type="spellStart"/>
      <w:r>
        <w:rPr>
          <w:rtl/>
        </w:rPr>
        <w:t>משה־מרדכי</w:t>
      </w:r>
      <w:proofErr w:type="spellEnd"/>
      <w:r>
        <w:rPr>
          <w:rtl/>
        </w:rPr>
        <w:t xml:space="preserve">, ר׳ ברוך הורביץ, רבה של </w:t>
      </w:r>
      <w:proofErr w:type="spellStart"/>
      <w:r>
        <w:rPr>
          <w:rtl/>
        </w:rPr>
        <w:t>אלקסוט</w:t>
      </w:r>
      <w:proofErr w:type="spellEnd"/>
      <w:r>
        <w:rPr>
          <w:rtl/>
        </w:rPr>
        <w:t xml:space="preserve">, ר׳ פנחס גלמן, רבה של </w:t>
      </w:r>
      <w:proofErr w:type="spellStart"/>
      <w:r>
        <w:rPr>
          <w:rtl/>
        </w:rPr>
        <w:t>יקטרינוסלב</w:t>
      </w:r>
      <w:proofErr w:type="spellEnd"/>
      <w:r>
        <w:rPr>
          <w:rtl/>
        </w:rPr>
        <w:t xml:space="preserve">, שאר רבני קובנה </w:t>
      </w:r>
      <w:proofErr w:type="spellStart"/>
      <w:r>
        <w:rPr>
          <w:rtl/>
        </w:rPr>
        <w:t>וסלבודקה</w:t>
      </w:r>
      <w:proofErr w:type="spellEnd"/>
      <w:r>
        <w:rPr>
          <w:rtl/>
        </w:rPr>
        <w:t xml:space="preserve"> וחברי כולל קובנה. כשראה הקהל שר׳ </w:t>
      </w:r>
      <w:proofErr w:type="spellStart"/>
      <w:r>
        <w:rPr>
          <w:rtl/>
        </w:rPr>
        <w:t>ברוך־בער</w:t>
      </w:r>
      <w:proofErr w:type="spellEnd"/>
      <w:r>
        <w:rPr>
          <w:rtl/>
        </w:rPr>
        <w:t xml:space="preserve"> נכנס, פינו לו דרך, כדי שראש ישיבת כנסת בית יצחק יוכל לגשת אל רבו. אבל כשמישהו רצה לפנות לו את כיסאו ליד ר׳ חיים, דחה ר׳ </w:t>
      </w:r>
      <w:proofErr w:type="spellStart"/>
      <w:r>
        <w:rPr>
          <w:rtl/>
        </w:rPr>
        <w:t>ברוך־בער</w:t>
      </w:r>
      <w:proofErr w:type="spellEnd"/>
      <w:r>
        <w:rPr>
          <w:rtl/>
        </w:rPr>
        <w:t xml:space="preserve"> את ההצעה בתנועת יד.</w:t>
      </w:r>
    </w:p>
    <w:p w14:paraId="68569706" w14:textId="77777777" w:rsidR="00AB3647" w:rsidRDefault="00000000" w:rsidP="007923E9">
      <w:pPr>
        <w:spacing w:after="100" w:line="276" w:lineRule="auto"/>
        <w:ind w:firstLine="340"/>
        <w:jc w:val="both"/>
      </w:pPr>
      <w:r>
        <w:rPr>
          <w:rtl/>
        </w:rPr>
        <w:t>אז הזיז ר׳ חיים את רגלו הצדה, הצביע על חיקו ואמר, כשהוא מגלגל את הרי״ש: “</w:t>
      </w:r>
      <w:proofErr w:type="spellStart"/>
      <w:r>
        <w:rPr>
          <w:rtl/>
        </w:rPr>
        <w:t>ברוך־בר</w:t>
      </w:r>
      <w:proofErr w:type="spellEnd"/>
      <w:r>
        <w:rPr>
          <w:rtl/>
        </w:rPr>
        <w:t xml:space="preserve">, שב כאן”. ר׳ </w:t>
      </w:r>
      <w:proofErr w:type="spellStart"/>
      <w:r>
        <w:rPr>
          <w:rtl/>
        </w:rPr>
        <w:t>ברוך־בער</w:t>
      </w:r>
      <w:proofErr w:type="spellEnd"/>
      <w:r>
        <w:rPr>
          <w:rtl/>
        </w:rPr>
        <w:t xml:space="preserve"> עוד עמד מהסס מעל חיק רבו, כשציווה ר׳ חיים: “</w:t>
      </w:r>
      <w:proofErr w:type="spellStart"/>
      <w:r>
        <w:rPr>
          <w:rtl/>
        </w:rPr>
        <w:t>ברוך־בר</w:t>
      </w:r>
      <w:proofErr w:type="spellEnd"/>
      <w:r>
        <w:rPr>
          <w:rtl/>
        </w:rPr>
        <w:t xml:space="preserve">, שב!”, ור׳ </w:t>
      </w:r>
      <w:proofErr w:type="spellStart"/>
      <w:r>
        <w:rPr>
          <w:rtl/>
        </w:rPr>
        <w:t>ברוך־בער</w:t>
      </w:r>
      <w:proofErr w:type="spellEnd"/>
      <w:r>
        <w:rPr>
          <w:rtl/>
        </w:rPr>
        <w:t xml:space="preserve"> התיישב. כעבור רגע ביקש ר׳ </w:t>
      </w:r>
      <w:proofErr w:type="spellStart"/>
      <w:r>
        <w:rPr>
          <w:rtl/>
        </w:rPr>
        <w:t>ברוך־בער</w:t>
      </w:r>
      <w:proofErr w:type="spellEnd"/>
      <w:r>
        <w:rPr>
          <w:rtl/>
        </w:rPr>
        <w:t xml:space="preserve"> סליחה ויצא אל המסדרון, ואחריו התלמיד שליווה אותו מביתו ברחובות הקפואים. הבחור סיפר אחר כך שבמסדרון נאנח ראש ישיבתו בקול תחנונים: “אוי וויי </w:t>
      </w:r>
      <w:proofErr w:type="spellStart"/>
      <w:r>
        <w:rPr>
          <w:rtl/>
        </w:rPr>
        <w:t>איז</w:t>
      </w:r>
      <w:proofErr w:type="spellEnd"/>
      <w:r>
        <w:rPr>
          <w:rtl/>
        </w:rPr>
        <w:t xml:space="preserve"> </w:t>
      </w:r>
      <w:proofErr w:type="spellStart"/>
      <w:r>
        <w:rPr>
          <w:rtl/>
        </w:rPr>
        <w:t>מיר</w:t>
      </w:r>
      <w:proofErr w:type="spellEnd"/>
      <w:r>
        <w:rPr>
          <w:rtl/>
        </w:rPr>
        <w:t xml:space="preserve"> [אוי, אוי לי]! הרבי חולה כל כך, ואני, יהודי כבד כל כך, ישבתי עליו. יסלח לי ריבונו של עולם!” בינתיים הובא כיסא, ור׳ </w:t>
      </w:r>
      <w:proofErr w:type="spellStart"/>
      <w:r>
        <w:rPr>
          <w:rtl/>
        </w:rPr>
        <w:t>ברוך־בער</w:t>
      </w:r>
      <w:proofErr w:type="spellEnd"/>
      <w:r>
        <w:rPr>
          <w:rtl/>
        </w:rPr>
        <w:t xml:space="preserve"> שב לשבת לצד רבו.</w:t>
      </w:r>
    </w:p>
    <w:p w14:paraId="5CEC9EB0" w14:textId="77777777" w:rsidR="00AB3647" w:rsidRDefault="00000000" w:rsidP="007923E9">
      <w:pPr>
        <w:spacing w:after="100" w:line="276" w:lineRule="auto"/>
        <w:ind w:firstLine="340"/>
        <w:jc w:val="both"/>
      </w:pPr>
      <w:r>
        <w:rPr>
          <w:rtl/>
        </w:rPr>
        <w:lastRenderedPageBreak/>
        <w:t xml:space="preserve">אז אמרו הנכבדים שהתאספו </w:t>
      </w:r>
      <w:proofErr w:type="spellStart"/>
      <w:r>
        <w:rPr>
          <w:rtl/>
        </w:rPr>
        <w:t>לר</w:t>
      </w:r>
      <w:proofErr w:type="spellEnd"/>
      <w:r>
        <w:rPr>
          <w:rtl/>
        </w:rPr>
        <w:t xml:space="preserve">׳ חיים: “יאמר לנו הרב דבר תורה”. ר׳ חיים היה פעם מעשן בשרשרת, אבל כשהחל לירוק דם ציווה עליו הרופא להפסיק לעשן. ואולם עדיין היה מכור לטבק, ולקראת דבריו לפני הקהל הוציא את קופסת טבק ההרחה שלו, הקיש עליה באצבעו, פתח אותה בקפידה ומשך את האבקה הטחונה אל שני נחיריו. מאחוריו עמד שמשו הגבוה, ששמו כשם מזכירו של ר׳ </w:t>
      </w:r>
      <w:proofErr w:type="spellStart"/>
      <w:r>
        <w:rPr>
          <w:rtl/>
        </w:rPr>
        <w:t>יצחק־אלחנן</w:t>
      </w:r>
      <w:proofErr w:type="spellEnd"/>
      <w:r>
        <w:rPr>
          <w:rtl/>
        </w:rPr>
        <w:t xml:space="preserve">, ר׳ יעקב ליפשיץ. השמש פתח את פיו ואמר: “רבי, הרופא שלך הורה לי שלא להניח לך לדבר, וגם הרבנית הורתה כך”. ר׳ חיים פנה למבקריו ואמר: “נו, אתם רואים שהגזלן אינו מרשה; </w:t>
      </w:r>
      <w:proofErr w:type="spellStart"/>
      <w:r>
        <w:rPr>
          <w:rtl/>
        </w:rPr>
        <w:t>ברוך־בערל</w:t>
      </w:r>
      <w:proofErr w:type="spellEnd"/>
      <w:r>
        <w:rPr>
          <w:rtl/>
        </w:rPr>
        <w:t xml:space="preserve">, נו...” אבל עוד לפני שסיים לבקש מתלמידו לדבר במקומו, כבר הרים ר׳ </w:t>
      </w:r>
      <w:proofErr w:type="spellStart"/>
      <w:r>
        <w:rPr>
          <w:rtl/>
        </w:rPr>
        <w:t>ברוך־בער</w:t>
      </w:r>
      <w:proofErr w:type="spellEnd"/>
      <w:r>
        <w:rPr>
          <w:rtl/>
        </w:rPr>
        <w:t xml:space="preserve"> את ידיו לפני פניו, כאומר: “חס וחלילה שאדבר בפני רבי”.</w:t>
      </w:r>
    </w:p>
    <w:p w14:paraId="7C90BA26" w14:textId="77777777" w:rsidR="00AB3647" w:rsidRDefault="00000000" w:rsidP="007923E9">
      <w:pPr>
        <w:spacing w:after="100" w:line="276" w:lineRule="auto"/>
        <w:ind w:firstLine="340"/>
        <w:jc w:val="both"/>
      </w:pPr>
      <w:r>
        <w:rPr>
          <w:rtl/>
        </w:rPr>
        <w:t xml:space="preserve">ר׳ חיים הפנה את ראשו מצד לצד, </w:t>
      </w:r>
      <w:proofErr w:type="spellStart"/>
      <w:r>
        <w:rPr>
          <w:rtl/>
        </w:rPr>
        <w:t>וב“נו</w:t>
      </w:r>
      <w:proofErr w:type="spellEnd"/>
      <w:r>
        <w:rPr>
          <w:rtl/>
        </w:rPr>
        <w:t xml:space="preserve">, נו” ביקש מן הנכבדים שאחד מהם יתנדב. כולם התביישו, עד שר׳ </w:t>
      </w:r>
      <w:proofErr w:type="spellStart"/>
      <w:r>
        <w:rPr>
          <w:rtl/>
        </w:rPr>
        <w:t>משה־מרדכי</w:t>
      </w:r>
      <w:proofErr w:type="spellEnd"/>
      <w:r>
        <w:rPr>
          <w:rtl/>
        </w:rPr>
        <w:t xml:space="preserve"> אזר עוז ואמר: “אני אדבר”, ור׳ חיים השיב: “נו, נשמע”. אז נשא ראש ישיבת כנסת ישראל דבר תורה קצר לפני מי שהיה רבו </w:t>
      </w:r>
      <w:proofErr w:type="spellStart"/>
      <w:r>
        <w:rPr>
          <w:rtl/>
        </w:rPr>
        <w:t>בוולוז׳ין</w:t>
      </w:r>
      <w:proofErr w:type="spellEnd"/>
      <w:r>
        <w:rPr>
          <w:rtl/>
        </w:rPr>
        <w:t>.</w:t>
      </w:r>
    </w:p>
    <w:p w14:paraId="57423971" w14:textId="77777777" w:rsidR="00AB3647" w:rsidRDefault="00000000" w:rsidP="007923E9">
      <w:pPr>
        <w:spacing w:after="100" w:line="276" w:lineRule="auto"/>
        <w:ind w:firstLine="340"/>
        <w:jc w:val="both"/>
      </w:pPr>
      <w:r>
        <w:rPr>
          <w:rtl/>
        </w:rPr>
        <w:t xml:space="preserve">בשבת ראש חודש התארח ר׳ חיים בבית רבה של קובנה, ר׳ </w:t>
      </w:r>
      <w:proofErr w:type="spellStart"/>
      <w:r>
        <w:rPr>
          <w:rtl/>
        </w:rPr>
        <w:t>צבי־הירש</w:t>
      </w:r>
      <w:proofErr w:type="spellEnd"/>
      <w:r>
        <w:rPr>
          <w:rtl/>
        </w:rPr>
        <w:t xml:space="preserve"> </w:t>
      </w:r>
      <w:proofErr w:type="spellStart"/>
      <w:r>
        <w:rPr>
          <w:rtl/>
        </w:rPr>
        <w:t>רבינוביץ</w:t>
      </w:r>
      <w:proofErr w:type="spellEnd"/>
      <w:r>
        <w:rPr>
          <w:rtl/>
        </w:rPr>
        <w:t xml:space="preserve">. סופת שלגים השתוללה, אבל קבוצת תלמידים, שהשתוקקו לשמוע עוד מילה מפי ר׳ חיים הדגול, עברה </w:t>
      </w:r>
      <w:proofErr w:type="spellStart"/>
      <w:r>
        <w:rPr>
          <w:rtl/>
        </w:rPr>
        <w:t>מסלבודקה</w:t>
      </w:r>
      <w:proofErr w:type="spellEnd"/>
      <w:r>
        <w:rPr>
          <w:rtl/>
        </w:rPr>
        <w:t xml:space="preserve"> כדי להשתתף בתפילה בבית הכנסת הראשי של קובנה, שבו התפלל הרב. ואולם ר׳ חיים, שהיה רגיל לשמור על בריאותו ונתון להשגחת ר׳ יעקב ליפשיץ, לא העז לצאת במזג אוויר כזה לבית הכנסת עם מארחו, ובאותה שבת נשאר בבית.</w:t>
      </w:r>
    </w:p>
    <w:p w14:paraId="22A284C9" w14:textId="77777777" w:rsidR="00AB3647" w:rsidRDefault="00000000" w:rsidP="007923E9">
      <w:pPr>
        <w:spacing w:after="100" w:line="276" w:lineRule="auto"/>
        <w:ind w:firstLine="340"/>
        <w:jc w:val="both"/>
      </w:pPr>
      <w:r>
        <w:rPr>
          <w:rtl/>
        </w:rPr>
        <w:t xml:space="preserve">הבחורים המתינו עד שהרב ישוב לביתו בתום התפילה, והלכו אחריו לשם. עד שדשדשו אל תוך הבית כבר היו מכוסים שלג – אבל בית של רב לעולם אינו נעול בפני הבאים. מארח נרגז קידם את פניהם בשאלה </w:t>
      </w:r>
      <w:proofErr w:type="spellStart"/>
      <w:r>
        <w:rPr>
          <w:rtl/>
        </w:rPr>
        <w:t>בגרמנית־יידיש</w:t>
      </w:r>
      <w:proofErr w:type="spellEnd"/>
      <w:r>
        <w:rPr>
          <w:rtl/>
        </w:rPr>
        <w:t>: “</w:t>
      </w:r>
      <w:proofErr w:type="spellStart"/>
      <w:r>
        <w:rPr>
          <w:rtl/>
        </w:rPr>
        <w:t>וארום</w:t>
      </w:r>
      <w:proofErr w:type="spellEnd"/>
      <w:r>
        <w:rPr>
          <w:rtl/>
        </w:rPr>
        <w:t xml:space="preserve"> </w:t>
      </w:r>
      <w:proofErr w:type="spellStart"/>
      <w:r>
        <w:rPr>
          <w:rtl/>
        </w:rPr>
        <w:t>ברינגען</w:t>
      </w:r>
      <w:proofErr w:type="spellEnd"/>
      <w:r>
        <w:rPr>
          <w:rtl/>
        </w:rPr>
        <w:t xml:space="preserve"> זי </w:t>
      </w:r>
      <w:proofErr w:type="spellStart"/>
      <w:r>
        <w:rPr>
          <w:rtl/>
        </w:rPr>
        <w:t>העריין</w:t>
      </w:r>
      <w:proofErr w:type="spellEnd"/>
      <w:r>
        <w:rPr>
          <w:rtl/>
        </w:rPr>
        <w:t xml:space="preserve"> </w:t>
      </w:r>
      <w:proofErr w:type="spellStart"/>
      <w:r>
        <w:rPr>
          <w:rtl/>
        </w:rPr>
        <w:t>דעם</w:t>
      </w:r>
      <w:proofErr w:type="spellEnd"/>
      <w:r>
        <w:rPr>
          <w:rtl/>
        </w:rPr>
        <w:t xml:space="preserve"> </w:t>
      </w:r>
      <w:proofErr w:type="spellStart"/>
      <w:r>
        <w:rPr>
          <w:rtl/>
        </w:rPr>
        <w:t>שניי</w:t>
      </w:r>
      <w:proofErr w:type="spellEnd"/>
      <w:r>
        <w:rPr>
          <w:rtl/>
        </w:rPr>
        <w:t xml:space="preserve"> [מדוע אתם מכניסים פנימה את השלג]?” הם השיבו בגלוי: “באנו לראות את הרב </w:t>
      </w:r>
      <w:proofErr w:type="spellStart"/>
      <w:r>
        <w:rPr>
          <w:rtl/>
        </w:rPr>
        <w:t>מבריסק</w:t>
      </w:r>
      <w:proofErr w:type="spellEnd"/>
      <w:r>
        <w:rPr>
          <w:rtl/>
        </w:rPr>
        <w:t>”. האורח שמע מן החדר הפנימי את ההמולה ואת חילופי הדברים, ויצא כשהוא אומר: “</w:t>
      </w:r>
      <w:proofErr w:type="spellStart"/>
      <w:r>
        <w:rPr>
          <w:rtl/>
        </w:rPr>
        <w:t>גוט</w:t>
      </w:r>
      <w:proofErr w:type="spellEnd"/>
      <w:r>
        <w:rPr>
          <w:rtl/>
        </w:rPr>
        <w:t xml:space="preserve"> שבת, </w:t>
      </w:r>
      <w:proofErr w:type="spellStart"/>
      <w:r>
        <w:rPr>
          <w:rtl/>
        </w:rPr>
        <w:t>גוט</w:t>
      </w:r>
      <w:proofErr w:type="spellEnd"/>
      <w:r>
        <w:rPr>
          <w:rtl/>
        </w:rPr>
        <w:t xml:space="preserve"> שבת. נו, באתם לראות, אז תראו: א </w:t>
      </w:r>
      <w:proofErr w:type="spellStart"/>
      <w:r>
        <w:rPr>
          <w:rtl/>
        </w:rPr>
        <w:t>פשוטער</w:t>
      </w:r>
      <w:proofErr w:type="spellEnd"/>
      <w:r>
        <w:rPr>
          <w:rtl/>
        </w:rPr>
        <w:t xml:space="preserve"> מענטש (אדם פשוט), א </w:t>
      </w:r>
      <w:proofErr w:type="spellStart"/>
      <w:r>
        <w:rPr>
          <w:rtl/>
        </w:rPr>
        <w:t>פשוטער</w:t>
      </w:r>
      <w:proofErr w:type="spellEnd"/>
      <w:r>
        <w:rPr>
          <w:rtl/>
        </w:rPr>
        <w:t xml:space="preserve"> מענטש”. הם אזרו אומץ וביקשו ממנו לומר להם דבר תורה. רבה טוב הלב של </w:t>
      </w:r>
      <w:proofErr w:type="spellStart"/>
      <w:r>
        <w:rPr>
          <w:rtl/>
        </w:rPr>
        <w:t>בריסק</w:t>
      </w:r>
      <w:proofErr w:type="spellEnd"/>
      <w:r>
        <w:rPr>
          <w:rtl/>
        </w:rPr>
        <w:t xml:space="preserve"> נענה ואמר דבר קצר, בהיר וחריף, והם הלכו.</w:t>
      </w:r>
    </w:p>
    <w:p w14:paraId="4FCCD99A" w14:textId="77777777" w:rsidR="00AB3647" w:rsidRDefault="00000000" w:rsidP="007923E9">
      <w:pPr>
        <w:spacing w:after="100" w:line="276" w:lineRule="auto"/>
        <w:ind w:firstLine="340"/>
        <w:jc w:val="both"/>
      </w:pPr>
      <w:r>
        <w:rPr>
          <w:rtl/>
        </w:rPr>
        <w:t xml:space="preserve">רבנו השתוקק להתעדכן בכל מה שהחמיץ בזמן בריחתו </w:t>
      </w:r>
      <w:proofErr w:type="spellStart"/>
      <w:r>
        <w:rPr>
          <w:rtl/>
        </w:rPr>
        <w:t>מסלבודקה</w:t>
      </w:r>
      <w:proofErr w:type="spellEnd"/>
      <w:r>
        <w:rPr>
          <w:rtl/>
        </w:rPr>
        <w:t xml:space="preserve"> – במאורעות הגדולים ובקטנים – ושמח לשוב אחרי פסח אל קנו.</w:t>
      </w:r>
    </w:p>
    <w:p w14:paraId="00C4C6D6" w14:textId="77777777" w:rsidR="00AB3647" w:rsidRDefault="00AB3647" w:rsidP="007923E9">
      <w:pPr>
        <w:spacing w:line="276" w:lineRule="auto"/>
        <w:sectPr w:rsidR="00AB3647">
          <w:footerReference w:type="default" r:id="rId11"/>
          <w:footnotePr>
            <w:pos w:val="pageBottom"/>
            <w:numRestart w:val="eachSect"/>
          </w:footnotePr>
          <w:pgSz w:w="9638" w:h="13606"/>
          <w:pgMar w:top="1134" w:right="1077" w:bottom="1134" w:left="1077" w:header="567" w:footer="567" w:gutter="0"/>
          <w:cols w:space="720"/>
          <w:bidi/>
          <w:docGrid w:linePitch="360"/>
        </w:sectPr>
      </w:pPr>
    </w:p>
    <w:p w14:paraId="180CA3B6" w14:textId="77777777" w:rsidR="00AB3647" w:rsidRDefault="00000000" w:rsidP="007923E9">
      <w:pPr>
        <w:pStyle w:val="1"/>
        <w:pageBreakBefore/>
        <w:spacing w:line="276" w:lineRule="auto"/>
      </w:pPr>
      <w:bookmarkStart w:id="140" w:name="annotated_story"/>
      <w:r>
        <w:lastRenderedPageBreak/>
        <w:t>חלק שני — הערות ונספחים</w:t>
      </w:r>
      <w:bookmarkEnd w:id="140"/>
    </w:p>
    <w:p w14:paraId="37F137CA" w14:textId="77777777" w:rsidR="00AB3647" w:rsidRDefault="00000000" w:rsidP="007923E9">
      <w:pPr>
        <w:pStyle w:val="ae"/>
        <w:spacing w:line="276" w:lineRule="auto"/>
      </w:pPr>
      <w:bookmarkStart w:id="141" w:name="b1_chapter"/>
      <w:r>
        <w:t>פרק ראשון</w:t>
      </w:r>
      <w:bookmarkEnd w:id="141"/>
    </w:p>
    <w:p w14:paraId="3BF607FA" w14:textId="77777777" w:rsidR="00AB3647" w:rsidRDefault="00000000" w:rsidP="007923E9">
      <w:pPr>
        <w:pStyle w:val="1"/>
        <w:spacing w:line="276" w:lineRule="auto"/>
      </w:pPr>
      <w:r>
        <w:t>העשור הראשון: ייחוס וילדות</w:t>
      </w:r>
    </w:p>
    <w:p w14:paraId="689CDDD5" w14:textId="77777777" w:rsidR="00AB3647" w:rsidRDefault="00000000" w:rsidP="007923E9">
      <w:pPr>
        <w:pStyle w:val="2"/>
        <w:spacing w:line="276" w:lineRule="auto"/>
      </w:pPr>
      <w:bookmarkStart w:id="142" w:name="b1_notes"/>
      <w:r>
        <w:t>הסיפור וההערות</w:t>
      </w:r>
      <w:bookmarkEnd w:id="142"/>
    </w:p>
    <w:p w14:paraId="64F71050" w14:textId="77777777" w:rsidR="00AB3647" w:rsidRDefault="00000000" w:rsidP="007923E9">
      <w:pPr>
        <w:pStyle w:val="2"/>
        <w:spacing w:line="276" w:lineRule="auto"/>
      </w:pPr>
      <w:bookmarkStart w:id="143" w:name="b1_sec1"/>
      <w:r>
        <w:t>1.</w:t>
      </w:r>
      <w:bookmarkEnd w:id="143"/>
    </w:p>
    <w:p w14:paraId="7539C864" w14:textId="426D3886"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הוריו של אבי ואחיו ואחיותיו היו אופייניים לציבור בעלי הבתים היהודים ברוסיה של אותם ימים</w:t>
      </w:r>
      <w:bookmarkStart w:id="144" w:name="b1_ref1"/>
      <w:bookmarkEnd w:id="144"/>
      <w:r>
        <w:rPr>
          <w:vertAlign w:val="superscript"/>
          <w:rtl/>
        </w:rPr>
        <w:fldChar w:fldCharType="begin" w:dirty="true"/>
      </w:r>
      <w:r>
        <w:rPr>
          <w:vertAlign w:val="superscript"/>
          <w:rtl/>
        </w:rPr>
        <w:instrText xml:space="preserve"> REF b1_note1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w:t>
      </w:r>
      <w:r>
        <w:rPr>
          <w:vertAlign w:val="superscript"/>
          <w:rtl/>
        </w:rPr>
        <w:fldChar w:fldCharType="end"/>
      </w:r>
      <w:r>
        <w:rPr>
          <w:rtl/>
        </w:rPr>
        <w:t>. כמה דורות קודם לכן היו במשפחתם כמה רבנים מפורסמים</w:t>
      </w:r>
      <w:bookmarkStart w:id="145" w:name="b1_ref2"/>
      <w:bookmarkEnd w:id="145"/>
      <w:r>
        <w:rPr>
          <w:vertAlign w:val="superscript"/>
          <w:rtl/>
        </w:rPr>
        <w:fldChar w:fldCharType="begin" w:dirty="true"/>
      </w:r>
      <w:r>
        <w:rPr>
          <w:vertAlign w:val="superscript"/>
          <w:rtl/>
        </w:rPr>
        <w:instrText xml:space="preserve"> REF b1_note2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w:t>
      </w:r>
      <w:r>
        <w:rPr>
          <w:vertAlign w:val="superscript"/>
          <w:rtl/>
        </w:rPr>
        <w:fldChar w:fldCharType="end"/>
      </w:r>
      <w:r>
        <w:rPr>
          <w:rtl/>
        </w:rPr>
        <w:t>, אבל הלוא “כל ישראל – בני אברהם יצחק ויעקב – בני מלכים הם”</w:t>
      </w:r>
      <w:bookmarkStart w:id="146" w:name="b1_ref3"/>
      <w:bookmarkEnd w:id="146"/>
      <w:r>
        <w:rPr>
          <w:vertAlign w:val="superscript"/>
          <w:rtl/>
        </w:rPr>
        <w:fldChar w:fldCharType="begin" w:dirty="true"/>
      </w:r>
      <w:r>
        <w:rPr>
          <w:vertAlign w:val="superscript"/>
          <w:rtl/>
        </w:rPr>
        <w:instrText xml:space="preserve"> REF b1_note3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w:t>
      </w:r>
      <w:r>
        <w:rPr>
          <w:vertAlign w:val="superscript"/>
          <w:rtl/>
        </w:rPr>
        <w:fldChar w:fldCharType="end"/>
      </w:r>
      <w:r>
        <w:rPr>
          <w:rtl/>
        </w:rPr>
        <w:t>.</w:t>
      </w:r>
    </w:p>
    <w:bookmarkStart w:id="147" w:name="b1_note1"/>
    <w:p w14:paraId="44C9A3C8" w14:textId="77777777" w:rsidR="00AB3647" w:rsidRDefault="00000000" w:rsidP="007923E9">
      <w:pPr>
        <w:spacing w:before="120" w:after="100" w:line="276" w:lineRule="auto"/>
        <w:jc w:val="both"/>
      </w:pPr>
      <w:r>
        <w:fldChar w:fldCharType="begin" w:dirty="true"/>
      </w:r>
      <w:r>
        <w:instrText>HYPERLINK \l "b1_ref1"</w:instrText>
      </w:r>
      <w:r>
        <w:fldChar w:fldCharType="separate"/>
      </w:r>
      <w:r>
        <w:rPr>
          <w:b/>
          <w:bCs/>
          <w:rtl/>
        </w:rPr>
        <w:t>1</w:t>
      </w:r>
      <w:r>
        <w:rPr>
          <w:b/>
          <w:bCs/>
        </w:rPr>
        <w:fldChar w:fldCharType="end"/>
      </w:r>
      <w:bookmarkEnd w:id="147"/>
      <w:r>
        <w:rPr>
          <w:rtl/>
        </w:rPr>
        <w:t xml:space="preserve"> ר׳ זאב לב</w:t>
      </w:r>
      <w:bookmarkStart w:id="148" w:name="_fnr123"/>
      <w:r>
        <w:rPr>
          <w:rStyle w:val="a5"/>
        </w:rPr>
        <w:footnoteReference w:id="121" w:customMarkFollows="0"/>
      </w:r>
      <w:bookmarkEnd w:id="148"/>
      <w:r>
        <w:rPr>
          <w:rtl/>
        </w:rPr>
        <w:t xml:space="preserve"> שאל פעם את אבי כיצד זה שהוא בקי בתנ״ך ובאבן עזרא, שלא כשאר הרבנים</w:t>
      </w:r>
      <w:bookmarkStart w:id="149" w:name="_fnr124"/>
      <w:r>
        <w:rPr>
          <w:rStyle w:val="a5"/>
        </w:rPr>
        <w:footnoteReference w:id="122" w:customMarkFollows="0"/>
      </w:r>
      <w:bookmarkEnd w:id="149"/>
      <w:r>
        <w:rPr>
          <w:rtl/>
        </w:rPr>
        <w:t>, ואבי השיב: “מזלי היה שאבי לא היה רב, ולא הכתיבו לי מה ללמוד ומה לא”.</w:t>
      </w:r>
    </w:p>
    <w:p w14:paraId="069D0873" w14:textId="77777777" w:rsidR="00AB3647" w:rsidRDefault="00000000" w:rsidP="007923E9">
      <w:pPr>
        <w:spacing w:before="120" w:after="100" w:line="276" w:lineRule="auto"/>
        <w:jc w:val="both"/>
      </w:pPr>
      <w:r>
        <w:rPr>
          <w:rtl/>
        </w:rPr>
        <w:t>לביאור ההבדל בין סדרי הלימוד שקבעו הרבנים לבניהם לבין אלו שקבעו אחרים, השווה “</w:t>
      </w:r>
      <w:proofErr w:type="spellStart"/>
      <w:r>
        <w:rPr>
          <w:rtl/>
        </w:rPr>
        <w:t>זכרון</w:t>
      </w:r>
      <w:proofErr w:type="spellEnd"/>
      <w:r>
        <w:rPr>
          <w:rtl/>
        </w:rPr>
        <w:t xml:space="preserve"> יעקב”</w:t>
      </w:r>
      <w:bookmarkStart w:id="150" w:name="_fnr125"/>
      <w:r>
        <w:rPr>
          <w:rStyle w:val="a5"/>
        </w:rPr>
        <w:footnoteReference w:id="123" w:customMarkFollows="0"/>
      </w:r>
      <w:bookmarkEnd w:id="150"/>
      <w:r>
        <w:rPr>
          <w:rtl/>
        </w:rPr>
        <w:t xml:space="preserve"> מאת ר׳ יעקב הלוי ליפשיץ, שהיה לצנינים בעיני המשכילים. וזו לשונו: “משנת ת״ר החלה לנשב גם בארצנו [רוסיה] רוח הרפורמה </w:t>
      </w:r>
      <w:proofErr w:type="spellStart"/>
      <w:r>
        <w:rPr>
          <w:rtl/>
        </w:rPr>
        <w:t>העברית־הגרמנית</w:t>
      </w:r>
      <w:proofErr w:type="spellEnd"/>
      <w:r>
        <w:rPr>
          <w:rtl/>
        </w:rPr>
        <w:t xml:space="preserve">. ולכן, עם כל הקדושה שבה מקדשים שומרי התורה ונוצרי מצוותיה את התנ״ך, אינם נמנעים מלחשוד באלה הקוראים בלי הרף: תנ״ך, תנ״ך... כאילו אין חלילה תורה בישראל אלא פשט. ובפרט שהתנ״ך היה בעיניהם רק אמצעי להרחבת ידיעת השפה העברית. וגם השפה העברית לא הייתה יקרה </w:t>
      </w:r>
      <w:r>
        <w:rPr>
          <w:rtl/>
        </w:rPr>
        <w:lastRenderedPageBreak/>
        <w:t>להם כשלעצמה. הם השתמשו בה רק... כמעבר אל מטרה אחרת, העומדת בניגוד לא רק לקדושת התנ״ך אלא גם לקדושת לשון הקודש”.</w:t>
      </w:r>
    </w:p>
    <w:p w14:paraId="5159E09E" w14:textId="77777777" w:rsidR="00AB3647" w:rsidRDefault="00000000" w:rsidP="007923E9">
      <w:pPr>
        <w:spacing w:before="120" w:after="100" w:line="276" w:lineRule="auto"/>
        <w:jc w:val="both"/>
      </w:pPr>
      <w:r>
        <w:rPr>
          <w:rtl/>
        </w:rPr>
        <w:t>משפחות הרבנים הבינו, מטבע הדברים, את הסכנות שבלימוד התנ״ך יותר מן ההמון הפשוט. לפיכך הרחיקו את בני הרבנים מן התנ״ך, ואילו את בני בעלי הבתים לא הרחיקו.</w:t>
      </w:r>
    </w:p>
    <w:bookmarkStart w:id="151" w:name="b1_note2"/>
    <w:p w14:paraId="000AFA20" w14:textId="77777777" w:rsidR="00AB3647" w:rsidRDefault="00000000" w:rsidP="007923E9">
      <w:pPr>
        <w:spacing w:before="120" w:after="100" w:line="276" w:lineRule="auto"/>
        <w:jc w:val="both"/>
      </w:pPr>
      <w:r>
        <w:fldChar w:fldCharType="begin" w:dirty="true"/>
      </w:r>
      <w:r>
        <w:instrText>HYPERLINK \l "b1_ref2"</w:instrText>
      </w:r>
      <w:r>
        <w:fldChar w:fldCharType="separate"/>
      </w:r>
      <w:r>
        <w:rPr>
          <w:b/>
          <w:bCs/>
          <w:rtl/>
        </w:rPr>
        <w:t>2</w:t>
      </w:r>
      <w:r>
        <w:rPr>
          <w:b/>
          <w:bCs/>
        </w:rPr>
        <w:fldChar w:fldCharType="end"/>
      </w:r>
      <w:bookmarkEnd w:id="151"/>
      <w:r>
        <w:rPr>
          <w:rtl/>
        </w:rPr>
        <w:t xml:space="preserve"> ביניהם בעל “תוספות יום טוב” ובעל “מגלה עמוקות”.</w:t>
      </w:r>
    </w:p>
    <w:bookmarkStart w:id="152" w:name="b1_note3"/>
    <w:p w14:paraId="402A403E" w14:textId="77777777" w:rsidR="00AB3647" w:rsidRDefault="00000000" w:rsidP="007923E9">
      <w:pPr>
        <w:spacing w:before="120" w:after="100" w:line="276" w:lineRule="auto"/>
        <w:jc w:val="both"/>
      </w:pPr>
      <w:r>
        <w:fldChar w:fldCharType="begin" w:dirty="true"/>
      </w:r>
      <w:r>
        <w:instrText>HYPERLINK \l "b1_ref3"</w:instrText>
      </w:r>
      <w:r>
        <w:fldChar w:fldCharType="separate"/>
      </w:r>
      <w:r>
        <w:rPr>
          <w:b/>
          <w:bCs/>
          <w:rtl/>
        </w:rPr>
        <w:t>3</w:t>
      </w:r>
      <w:r>
        <w:rPr>
          <w:b/>
          <w:bCs/>
        </w:rPr>
        <w:fldChar w:fldCharType="end"/>
      </w:r>
      <w:bookmarkEnd w:id="152"/>
      <w:r>
        <w:rPr>
          <w:rtl/>
        </w:rPr>
        <w:t xml:space="preserve"> מסכת שבת</w:t>
      </w:r>
      <w:bookmarkStart w:id="153" w:name="_fnr126"/>
      <w:r>
        <w:rPr>
          <w:rStyle w:val="a5"/>
        </w:rPr>
        <w:footnoteReference w:id="124" w:customMarkFollows="0"/>
      </w:r>
      <w:bookmarkEnd w:id="153"/>
      <w:r>
        <w:rPr>
          <w:rtl/>
        </w:rPr>
        <w:t xml:space="preserve"> ומסכת בבא מציעא</w:t>
      </w:r>
      <w:bookmarkStart w:id="154" w:name="_fnr127"/>
      <w:r>
        <w:rPr>
          <w:rStyle w:val="a5"/>
        </w:rPr>
        <w:footnoteReference w:id="125" w:customMarkFollows="0"/>
      </w:r>
      <w:bookmarkEnd w:id="154"/>
      <w:r>
        <w:rPr>
          <w:rtl/>
        </w:rPr>
        <w:t>.</w:t>
      </w:r>
    </w:p>
    <w:p w14:paraId="2FEF6138" w14:textId="26ED34E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אמו</w:t>
      </w:r>
      <w:bookmarkStart w:id="155" w:name="b1_ref4"/>
      <w:bookmarkEnd w:id="155"/>
      <w:r>
        <w:rPr>
          <w:vertAlign w:val="superscript"/>
          <w:rtl/>
        </w:rPr>
        <w:fldChar w:fldCharType="begin" w:dirty="true"/>
      </w:r>
      <w:r>
        <w:rPr>
          <w:vertAlign w:val="superscript"/>
          <w:rtl/>
        </w:rPr>
        <w:instrText xml:space="preserve"> REF b1_note4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w:t>
      </w:r>
      <w:r>
        <w:rPr>
          <w:vertAlign w:val="superscript"/>
          <w:rtl/>
        </w:rPr>
        <w:fldChar w:fldCharType="end"/>
      </w:r>
      <w:r>
        <w:rPr>
          <w:rtl/>
        </w:rPr>
        <w:t xml:space="preserve"> נולדה בשם אסתר דנציג בשנת תרכ״ח, והייתה קרובה </w:t>
      </w:r>
      <w:proofErr w:type="spellStart"/>
      <w:r>
        <w:rPr>
          <w:rtl/>
        </w:rPr>
        <w:t>לר</w:t>
      </w:r>
      <w:proofErr w:type="spellEnd"/>
      <w:r>
        <w:rPr>
          <w:rtl/>
        </w:rPr>
        <w:t>׳ אברהם דנציג</w:t>
      </w:r>
      <w:bookmarkStart w:id="156" w:name="b1_ref5"/>
      <w:bookmarkEnd w:id="156"/>
      <w:r>
        <w:rPr>
          <w:vertAlign w:val="superscript"/>
          <w:rtl/>
        </w:rPr>
        <w:fldChar w:fldCharType="begin" w:dirty="true"/>
      </w:r>
      <w:r>
        <w:rPr>
          <w:vertAlign w:val="superscript"/>
          <w:rtl/>
        </w:rPr>
        <w:instrText xml:space="preserve"> REF b1_note5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w:t>
      </w:r>
      <w:r>
        <w:rPr>
          <w:vertAlign w:val="superscript"/>
          <w:rtl/>
        </w:rPr>
        <w:fldChar w:fldCharType="end"/>
      </w:r>
      <w:r>
        <w:rPr>
          <w:rtl/>
        </w:rPr>
        <w:t>, הידוע יותר בכינוי שניתן לו על שם ספרו הנודע, “</w:t>
      </w:r>
      <w:proofErr w:type="spellStart"/>
      <w:r>
        <w:rPr>
          <w:rtl/>
        </w:rPr>
        <w:t>החיי־אדם</w:t>
      </w:r>
      <w:proofErr w:type="spellEnd"/>
      <w:r>
        <w:rPr>
          <w:rtl/>
        </w:rPr>
        <w:t xml:space="preserve">”. ר׳ אברהם דנציג נולד בגרמניה בשנת תק״ח ולמד בפראג אצל בעל “נודע ביהודה”, ר׳ יחזקאל </w:t>
      </w:r>
      <w:proofErr w:type="spellStart"/>
      <w:r>
        <w:rPr>
          <w:rtl/>
        </w:rPr>
        <w:t>לנדא</w:t>
      </w:r>
      <w:proofErr w:type="spellEnd"/>
      <w:r>
        <w:rPr>
          <w:rtl/>
        </w:rPr>
        <w:t xml:space="preserve">, אבל בצעירותו השתקע בווילנה ופתח שם עסק. המסחר היה לו רק עיסוק צדדי: הוא היה שקוע בלימוד תורה ובחיבור ספרים, שכבר בחייו נעשו לספרי יסוד בהלכה למעשה לבעלי הבתים</w:t>
      </w:r>
      <w:bookmarkStart w:id="157" w:name="b1_ref6"/>
      <w:bookmarkEnd w:id="157"/>
      <w:r>
        <w:rPr>
          <w:vertAlign w:val="superscript"/>
          <w:rtl/>
        </w:rPr>
        <w:fldChar w:fldCharType="begin" w:dirty="true"/>
      </w:r>
      <w:r>
        <w:rPr>
          <w:vertAlign w:val="superscript"/>
          <w:rtl/>
        </w:rPr>
        <w:instrText xml:space="preserve"> REF b1_note6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w:t>
      </w:r>
      <w:r>
        <w:rPr>
          <w:vertAlign w:val="superscript"/>
          <w:rtl/>
        </w:rPr>
        <w:fldChar w:fldCharType="end"/>
      </w:r>
      <w:r>
        <w:rPr>
          <w:rtl/>
        </w:rPr>
        <w:t>. רק בשנותיו האחרונות – הוא נפטר בשנת תקפ״ב</w:t>
      </w:r>
      <w:bookmarkStart w:id="158" w:name="_fnr121"/>
      <w:bookmarkEnd w:id="158"/>
      <w:r>
        <w:rPr>
          <w:rStyle w:val="a5"/>
        </w:rPr>
        <w:t/>
      </w:r>
      <w:bookmarkStart w:id="6986" w:name="_TranslatorNote_126"/>
      <w:r>
        <w:rPr>
          <w:rStyle w:val="a5"/>
          <w:vertAlign w:val="superscript"/>
          <w:rtl/>
        </w:rPr>
        <w:footnoteReference w:id="126" w:customMarkFollows="1"/>
        <w:t>*</w:t>
      </w:r>
      <w:bookmarkEnd w:id="6986"/>
      <w:r>
        <w:rPr>
          <w:rtl/>
        </w:rPr>
        <w:t xml:space="preserve"> – כשירד מנכסיו, קיבל עליו משרה ציבורית של מ״ץ</w:t>
      </w:r>
      <w:bookmarkStart w:id="159" w:name="b1_ref7"/>
      <w:bookmarkEnd w:id="159"/>
      <w:r>
        <w:rPr>
          <w:vertAlign w:val="superscript"/>
          <w:rtl/>
        </w:rPr>
        <w:fldChar w:fldCharType="begin" w:dirty="true"/>
      </w:r>
      <w:r>
        <w:rPr>
          <w:vertAlign w:val="superscript"/>
          <w:rtl/>
        </w:rPr>
        <w:instrText xml:space="preserve"> REF b1_note7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w:t>
      </w:r>
      <w:r>
        <w:rPr>
          <w:vertAlign w:val="superscript"/>
          <w:rtl/>
        </w:rPr>
        <w:fldChar w:fldCharType="end"/>
      </w:r>
      <w:r>
        <w:rPr>
          <w:rtl/>
        </w:rPr>
        <w:t xml:space="preserve"> בווילנה.</w:t>
      </w:r>
    </w:p>
    <w:bookmarkStart w:id="160" w:name="b1_note4"/>
    <w:p w14:paraId="0D716887" w14:textId="77777777" w:rsidR="00AB3647" w:rsidRDefault="00000000" w:rsidP="007923E9">
      <w:pPr>
        <w:spacing w:before="120" w:after="100" w:line="276" w:lineRule="auto"/>
        <w:jc w:val="both"/>
      </w:pPr>
      <w:r>
        <w:fldChar w:fldCharType="begin" w:dirty="true"/>
      </w:r>
      <w:r>
        <w:instrText>HYPERLINK \l "b1_ref4"</w:instrText>
      </w:r>
      <w:r>
        <w:fldChar w:fldCharType="separate"/>
      </w:r>
      <w:r>
        <w:rPr>
          <w:b/>
          <w:bCs/>
          <w:rtl/>
        </w:rPr>
        <w:t>4</w:t>
      </w:r>
      <w:r>
        <w:rPr>
          <w:b/>
          <w:bCs/>
        </w:rPr>
        <w:fldChar w:fldCharType="end"/>
      </w:r>
      <w:bookmarkEnd w:id="160"/>
      <w:r>
        <w:rPr>
          <w:rtl/>
        </w:rPr>
        <w:t xml:space="preserve"> אני מקדים את </w:t>
      </w:r>
      <w:proofErr w:type="spellStart"/>
      <w:r>
        <w:rPr>
          <w:rtl/>
        </w:rPr>
        <w:t>אמו</w:t>
      </w:r>
      <w:proofErr w:type="spellEnd"/>
      <w:r>
        <w:rPr>
          <w:rtl/>
        </w:rPr>
        <w:t xml:space="preserve"> של רבנו לאביו, משום שהיא השפיעה על חייו יותר ממנו.</w:t>
      </w:r>
    </w:p>
    <w:bookmarkStart w:id="161" w:name="b1_note5"/>
    <w:p w14:paraId="52C3CBF3" w14:textId="77777777" w:rsidR="00AB3647" w:rsidRDefault="00000000" w:rsidP="007923E9">
      <w:pPr>
        <w:spacing w:before="120" w:after="100" w:line="276" w:lineRule="auto"/>
        <w:jc w:val="both"/>
      </w:pPr>
      <w:r>
        <w:fldChar w:fldCharType="begin" w:dirty="true"/>
      </w:r>
      <w:r>
        <w:instrText>HYPERLINK \l "b1_ref5"</w:instrText>
      </w:r>
      <w:r>
        <w:fldChar w:fldCharType="separate"/>
      </w:r>
      <w:r>
        <w:rPr>
          <w:b/>
          <w:bCs/>
          <w:rtl/>
        </w:rPr>
        <w:t>5</w:t>
      </w:r>
      <w:r>
        <w:rPr>
          <w:b/>
          <w:bCs/>
        </w:rPr>
        <w:fldChar w:fldCharType="end"/>
      </w:r>
      <w:bookmarkEnd w:id="161"/>
      <w:r>
        <w:rPr>
          <w:rtl/>
        </w:rPr>
        <w:t xml:space="preserve"> אבי כינה את ר׳ אברהם דנציג קרוב ולא אב קדמון, משום </w:t>
      </w:r>
      <w:proofErr w:type="spellStart"/>
      <w:r>
        <w:rPr>
          <w:rtl/>
        </w:rPr>
        <w:t>שאמו</w:t>
      </w:r>
      <w:proofErr w:type="spellEnd"/>
      <w:r>
        <w:rPr>
          <w:rtl/>
        </w:rPr>
        <w:t xml:space="preserve"> הייתה מצאצאי </w:t>
      </w:r>
      <w:r>
        <w:rPr>
          <w:b/>
          <w:bCs/>
          <w:rtl/>
        </w:rPr>
        <w:t>אחיו</w:t>
      </w:r>
      <w:r>
        <w:rPr>
          <w:rtl/>
        </w:rPr>
        <w:t xml:space="preserve"> של ר׳ אברהם. במשפחתנו לא ידוע אם אותו אח היה ר׳ צבי הבכור, שר׳ אברהם מזכיר </w:t>
      </w:r>
      <w:proofErr w:type="spellStart"/>
      <w:r>
        <w:rPr>
          <w:rtl/>
        </w:rPr>
        <w:t>ב“חיי</w:t>
      </w:r>
      <w:proofErr w:type="spellEnd"/>
      <w:r>
        <w:rPr>
          <w:rtl/>
        </w:rPr>
        <w:t xml:space="preserve"> אדם” שלו</w:t>
      </w:r>
      <w:bookmarkStart w:id="162" w:name="_fnr128"/>
      <w:r>
        <w:rPr>
          <w:rStyle w:val="a5"/>
        </w:rPr>
        <w:footnoteReference w:id="127" w:customMarkFollows="0"/>
      </w:r>
      <w:bookmarkEnd w:id="162"/>
      <w:r>
        <w:rPr>
          <w:rtl/>
        </w:rPr>
        <w:t xml:space="preserve"> שתיקן פסק שלו, או אח אחר. אביו של ר׳ אברהם קיבל עליו קודם לכן את שם עיר הנמל הפרוסית שבה נולדו, דנציג. ר׳ אברהם נשלח ללמוד בפראג בגיל </w:t>
      </w:r>
      <w:proofErr w:type="spellStart"/>
      <w:r>
        <w:rPr>
          <w:rtl/>
        </w:rPr>
        <w:t>ארבע־עשרה</w:t>
      </w:r>
      <w:proofErr w:type="spellEnd"/>
      <w:r>
        <w:rPr>
          <w:rtl/>
        </w:rPr>
        <w:t>, ועבר מגרמניה לליטא כשכבר היה נשוי. נראה שאחיו, ואולי גם קרובים אחרים, עברו עמו לליטא</w:t>
      </w:r>
      <w:bookmarkStart w:id="163" w:name="_fnr129"/>
      <w:r>
        <w:rPr>
          <w:rStyle w:val="a5"/>
        </w:rPr>
        <w:footnoteReference w:id="128" w:customMarkFollows="0"/>
      </w:r>
      <w:bookmarkEnd w:id="163"/>
      <w:r>
        <w:rPr>
          <w:rtl/>
        </w:rPr>
        <w:t>.</w:t>
      </w:r>
    </w:p>
    <w:bookmarkStart w:id="164" w:name="b1_note6"/>
    <w:p w14:paraId="3C73F900" w14:textId="77777777" w:rsidR="00AB3647" w:rsidRDefault="00000000" w:rsidP="007923E9">
      <w:pPr>
        <w:spacing w:before="120" w:after="100" w:line="276" w:lineRule="auto"/>
        <w:jc w:val="both"/>
      </w:pPr>
      <w:r>
        <w:fldChar w:fldCharType="begin" w:dirty="true"/>
      </w:r>
      <w:r>
        <w:instrText>HYPERLINK \l "b1_ref6"</w:instrText>
      </w:r>
      <w:r>
        <w:fldChar w:fldCharType="separate"/>
      </w:r>
      <w:r>
        <w:rPr>
          <w:b/>
          <w:bCs/>
          <w:rtl/>
        </w:rPr>
        <w:t>6</w:t>
      </w:r>
      <w:r>
        <w:rPr>
          <w:b/>
          <w:bCs/>
        </w:rPr>
        <w:fldChar w:fldCharType="end"/>
      </w:r>
      <w:bookmarkEnd w:id="164"/>
      <w:r>
        <w:rPr>
          <w:rtl/>
        </w:rPr>
        <w:t xml:space="preserve"> הידועים שבהם הם “חיי אדם” </w:t>
      </w:r>
      <w:proofErr w:type="spellStart"/>
      <w:r>
        <w:rPr>
          <w:rtl/>
        </w:rPr>
        <w:t>ו“חכמת</w:t>
      </w:r>
      <w:proofErr w:type="spellEnd"/>
      <w:r>
        <w:rPr>
          <w:rtl/>
        </w:rPr>
        <w:t xml:space="preserve"> אדם”. הראשון הוא תמצית של שולחן ערוך אורח חיים, והשני – תמצית של שולחן ערוך יורה דעה.</w:t>
      </w:r>
    </w:p>
    <w:bookmarkStart w:id="165" w:name="b1_note7"/>
    <w:p w14:paraId="48245907" w14:textId="77777777" w:rsidR="00AB3647" w:rsidRDefault="00000000" w:rsidP="007923E9">
      <w:pPr>
        <w:spacing w:before="120" w:after="100" w:line="276" w:lineRule="auto"/>
        <w:jc w:val="both"/>
      </w:pPr>
      <w:r>
        <w:fldChar w:fldCharType="begin" w:dirty="true"/>
      </w:r>
      <w:r>
        <w:instrText>HYPERLINK \l "b1_ref7"</w:instrText>
      </w:r>
      <w:r>
        <w:fldChar w:fldCharType="separate"/>
      </w:r>
      <w:r>
        <w:rPr>
          <w:b/>
          <w:bCs/>
          <w:rtl/>
        </w:rPr>
        <w:t>7</w:t>
      </w:r>
      <w:r>
        <w:rPr>
          <w:b/>
          <w:bCs/>
        </w:rPr>
        <w:fldChar w:fldCharType="end"/>
      </w:r>
      <w:bookmarkEnd w:id="165"/>
      <w:r>
        <w:rPr>
          <w:rtl/>
        </w:rPr>
        <w:t xml:space="preserve"> </w:t>
      </w:r>
      <w:proofErr w:type="spellStart"/>
      <w:r>
        <w:rPr>
          <w:rtl/>
        </w:rPr>
        <w:t>מ״ץ</w:t>
      </w:r>
      <w:proofErr w:type="spellEnd"/>
      <w:r>
        <w:rPr>
          <w:rtl/>
        </w:rPr>
        <w:t xml:space="preserve"> – ראשי תיבות של מורה צדק (פוסק). יש מבטאים ראשי תיבות אלו “מוֹץ”. נקטתי בהגייה של יידיש ליטא</w:t>
      </w:r>
      <w:bookmarkStart w:id="166" w:name="_fnr130"/>
      <w:r>
        <w:rPr>
          <w:rStyle w:val="a5"/>
        </w:rPr>
        <w:footnoteReference w:id="129" w:customMarkFollows="0"/>
      </w:r>
      <w:bookmarkEnd w:id="166"/>
      <w:r>
        <w:rPr>
          <w:rtl/>
        </w:rPr>
        <w:t>.</w:t>
      </w:r>
    </w:p>
    <w:p w14:paraId="35784E31" w14:textId="77777777" w:rsidR="00AB3647" w:rsidRDefault="00000000" w:rsidP="007923E9">
      <w:pPr>
        <w:spacing w:after="100" w:line="276" w:lineRule="auto"/>
        <w:ind w:firstLine="340"/>
        <w:jc w:val="both"/>
      </w:pPr>
      <w:r>
        <w:rPr>
          <w:rtl/>
        </w:rPr>
        <w:lastRenderedPageBreak/>
        <w:t xml:space="preserve">בהקדמתו </w:t>
      </w:r>
      <w:proofErr w:type="spellStart"/>
      <w:r>
        <w:rPr>
          <w:rtl/>
        </w:rPr>
        <w:t>ל“חכמת</w:t>
      </w:r>
      <w:proofErr w:type="spellEnd"/>
      <w:r>
        <w:rPr>
          <w:rtl/>
        </w:rPr>
        <w:t xml:space="preserve"> אדם” כותב ר׳ אברהם דנציג: “דע לך אחי כי נסיעתי למרחקים לא היה לקבץ עושר חלילה יעיד עלי אדון </w:t>
      </w:r>
      <w:proofErr w:type="spellStart"/>
      <w:r>
        <w:rPr>
          <w:rtl/>
        </w:rPr>
        <w:t>הכל</w:t>
      </w:r>
      <w:proofErr w:type="spellEnd"/>
      <w:r>
        <w:rPr>
          <w:rtl/>
        </w:rPr>
        <w:t xml:space="preserve"> רק לפרנס ב״ב וירושה היא בידי </w:t>
      </w:r>
      <w:proofErr w:type="spellStart"/>
      <w:r>
        <w:rPr>
          <w:rtl/>
        </w:rPr>
        <w:t>מאבותי</w:t>
      </w:r>
      <w:proofErr w:type="spellEnd"/>
      <w:r>
        <w:rPr>
          <w:rtl/>
        </w:rPr>
        <w:t xml:space="preserve"> הקדושים ה״ה </w:t>
      </w:r>
      <w:proofErr w:type="spellStart"/>
      <w:r>
        <w:rPr>
          <w:rtl/>
        </w:rPr>
        <w:t>אא״ז</w:t>
      </w:r>
      <w:proofErr w:type="spellEnd"/>
      <w:r>
        <w:rPr>
          <w:rtl/>
        </w:rPr>
        <w:t xml:space="preserve"> הרב הגדול המפורסם בדורו לצדיק תמים</w:t>
      </w:r>
      <w:bookmarkStart w:id="167" w:name="_fnr131"/>
      <w:r>
        <w:rPr>
          <w:rStyle w:val="a5"/>
        </w:rPr>
        <w:footnoteReference w:id="130" w:customMarkFollows="0"/>
      </w:r>
      <w:bookmarkEnd w:id="167"/>
      <w:r>
        <w:rPr>
          <w:rtl/>
        </w:rPr>
        <w:t xml:space="preserve"> ... זה היה דרכו כל ימיו לא נהנה מהתורה והיו לו י׳ בנים וכלכל אותם בכבוד ביגיע כפו והיה דורש תמיד לרבים בדברי מוסר ובצע כסף לא לקח גם אני הלכתי בעקבותיו ולא זזה הוראה מתוך ביתי זה יותר מעשרים שנה ולא נעשה דבר גדול </w:t>
      </w:r>
      <w:proofErr w:type="spellStart"/>
      <w:r>
        <w:rPr>
          <w:rtl/>
        </w:rPr>
        <w:t>בקהלתנו</w:t>
      </w:r>
      <w:proofErr w:type="spellEnd"/>
      <w:r>
        <w:rPr>
          <w:rtl/>
        </w:rPr>
        <w:t xml:space="preserve"> בלתי הסכמתי לא בכסף ולא במחיר עד זה </w:t>
      </w:r>
      <w:proofErr w:type="spellStart"/>
      <w:r>
        <w:rPr>
          <w:rtl/>
        </w:rPr>
        <w:t>שנתים</w:t>
      </w:r>
      <w:proofErr w:type="spellEnd"/>
      <w:r>
        <w:rPr>
          <w:rtl/>
        </w:rPr>
        <w:t xml:space="preserve"> שמטה ידי והייתי מוכרח לקבל עלי עול הוראה בקבלת פרס שהתירה התורה </w:t>
      </w:r>
      <w:proofErr w:type="spellStart"/>
      <w:r>
        <w:rPr>
          <w:rtl/>
        </w:rPr>
        <w:t>לת״ח</w:t>
      </w:r>
      <w:proofErr w:type="spellEnd"/>
      <w:r>
        <w:rPr>
          <w:rtl/>
        </w:rPr>
        <w:t xml:space="preserve"> בזקנותם</w:t>
      </w:r>
      <w:bookmarkStart w:id="168" w:name="_fnr132"/>
      <w:r>
        <w:rPr>
          <w:rStyle w:val="a5"/>
        </w:rPr>
        <w:footnoteReference w:id="131" w:customMarkFollows="0"/>
      </w:r>
      <w:bookmarkEnd w:id="168"/>
      <w:r>
        <w:rPr>
          <w:rtl/>
        </w:rPr>
        <w:t>”.</w:t>
      </w:r>
    </w:p>
    <w:p w14:paraId="635C6FD0" w14:textId="77777777" w:rsidR="00AB3647" w:rsidRDefault="00000000" w:rsidP="007923E9">
      <w:pPr>
        <w:spacing w:after="100" w:line="276" w:lineRule="auto"/>
        <w:ind w:firstLine="340"/>
        <w:jc w:val="both"/>
      </w:pPr>
      <w:r>
        <w:rPr>
          <w:rtl/>
        </w:rPr>
        <w:t xml:space="preserve">ספריו יצאו לאור כשהיה סוחר ולא רב קהילה, ולכן נחלקו אם יש לקבל את </w:t>
      </w:r>
      <w:proofErr w:type="spellStart"/>
      <w:r>
        <w:rPr>
          <w:rtl/>
        </w:rPr>
        <w:t>פסקיו</w:t>
      </w:r>
      <w:proofErr w:type="spellEnd"/>
      <w:r>
        <w:rPr>
          <w:rtl/>
        </w:rPr>
        <w:t xml:space="preserve"> כמכריעים</w:t>
      </w:r>
      <w:bookmarkStart w:id="169" w:name="_fnr133"/>
      <w:bookmarkStart w:id="170" w:name="pr_f_66"/>
      <w:r>
        <w:rPr>
          <w:rStyle w:val="a5"/>
        </w:rPr>
        <w:footnoteReference w:id="132" w:customMarkFollows="0"/>
      </w:r>
      <w:bookmarkEnd w:id="169"/>
      <w:bookmarkEnd w:id="170"/>
      <w:r>
        <w:rPr>
          <w:rtl/>
        </w:rPr>
        <w:t xml:space="preserve"> – השווה שדי חמד</w:t>
      </w:r>
      <w:bookmarkStart w:id="171" w:name="_fnr134"/>
      <w:r>
        <w:rPr>
          <w:rStyle w:val="a5"/>
        </w:rPr>
        <w:footnoteReference w:id="133" w:customMarkFollows="0"/>
      </w:r>
      <w:bookmarkEnd w:id="171"/>
      <w:r>
        <w:rPr>
          <w:rtl/>
        </w:rPr>
        <w:t xml:space="preserve">, כללי הפוסקים, סי׳ ט״ו אות ל״ב. אבל בהקדמה לדפוס הראשון של “חכמת אדם” כותב הרב דנציג שבתוך זמן קצר מכר את כל 1,400 העותקים שנדפסו מספרו “חיי אדם”, “אף על פי שהיו שנתיים של שעת הדחק בזמן ההוא” (רמז למלחמת נפוליאון ברוסיה). </w:t>
      </w:r>
      <w:proofErr w:type="spellStart"/>
      <w:r>
        <w:rPr>
          <w:rtl/>
        </w:rPr>
        <w:t>החיי־אדם</w:t>
      </w:r>
      <w:proofErr w:type="spellEnd"/>
      <w:r>
        <w:rPr>
          <w:rtl/>
        </w:rPr>
        <w:t xml:space="preserve"> היה מוערך ביותר בעיני פשוטי העם בליטא.</w:t>
      </w:r>
    </w:p>
    <w:p w14:paraId="6C3A5960" w14:textId="77777777" w:rsidR="00AB3647" w:rsidRDefault="00000000" w:rsidP="007923E9">
      <w:pPr>
        <w:spacing w:after="100" w:line="276" w:lineRule="auto"/>
        <w:ind w:firstLine="340"/>
        <w:jc w:val="both"/>
      </w:pPr>
      <w:r>
        <w:rPr>
          <w:rtl/>
        </w:rPr>
        <w:t xml:space="preserve">בספר “א </w:t>
      </w:r>
      <w:proofErr w:type="spellStart"/>
      <w:r>
        <w:rPr>
          <w:rtl/>
        </w:rPr>
        <w:t>וועלט</w:t>
      </w:r>
      <w:proofErr w:type="spellEnd"/>
      <w:r>
        <w:rPr>
          <w:rtl/>
        </w:rPr>
        <w:t xml:space="preserve">... </w:t>
      </w:r>
      <w:proofErr w:type="spellStart"/>
      <w:r>
        <w:rPr>
          <w:rtl/>
        </w:rPr>
        <w:t>וואס</w:t>
      </w:r>
      <w:proofErr w:type="spellEnd"/>
      <w:r>
        <w:rPr>
          <w:rtl/>
        </w:rPr>
        <w:t xml:space="preserve"> </w:t>
      </w:r>
      <w:proofErr w:type="spellStart"/>
      <w:r>
        <w:rPr>
          <w:rtl/>
        </w:rPr>
        <w:t>איז</w:t>
      </w:r>
      <w:proofErr w:type="spellEnd"/>
      <w:r>
        <w:rPr>
          <w:rtl/>
        </w:rPr>
        <w:t xml:space="preserve"> </w:t>
      </w:r>
      <w:proofErr w:type="spellStart"/>
      <w:r>
        <w:rPr>
          <w:rtl/>
        </w:rPr>
        <w:t>פארביי</w:t>
      </w:r>
      <w:proofErr w:type="spellEnd"/>
      <w:r>
        <w:rPr>
          <w:rtl/>
        </w:rPr>
        <w:t xml:space="preserve">” [עולם שחלף] מאת ד״ר ח. </w:t>
      </w:r>
      <w:proofErr w:type="spellStart"/>
      <w:r>
        <w:rPr>
          <w:rtl/>
        </w:rPr>
        <w:t>שאשקעס</w:t>
      </w:r>
      <w:bookmarkStart w:id="172" w:name="_fnr135"/>
      <w:proofErr w:type="spellEnd"/>
      <w:r>
        <w:rPr>
          <w:rStyle w:val="a5"/>
        </w:rPr>
        <w:footnoteReference w:id="134" w:customMarkFollows="0"/>
      </w:r>
      <w:bookmarkEnd w:id="172"/>
      <w:r>
        <w:rPr>
          <w:rtl/>
        </w:rPr>
        <w:t xml:space="preserve"> מספר המחבר כיצד </w:t>
      </w:r>
      <w:proofErr w:type="spellStart"/>
      <w:r>
        <w:rPr>
          <w:rtl/>
        </w:rPr>
        <w:t>אמדה</w:t>
      </w:r>
      <w:proofErr w:type="spellEnd"/>
      <w:r>
        <w:rPr>
          <w:rtl/>
        </w:rPr>
        <w:t xml:space="preserve"> סבתו את גדלותו של </w:t>
      </w:r>
      <w:proofErr w:type="spellStart"/>
      <w:r>
        <w:rPr>
          <w:rtl/>
        </w:rPr>
        <w:t>החפץ־חיים</w:t>
      </w:r>
      <w:proofErr w:type="spellEnd"/>
      <w:r>
        <w:rPr>
          <w:rtl/>
        </w:rPr>
        <w:t xml:space="preserve">, כשביקר בעיר הולדתו של </w:t>
      </w:r>
      <w:proofErr w:type="spellStart"/>
      <w:r>
        <w:rPr>
          <w:rtl/>
        </w:rPr>
        <w:t>שאשקעס</w:t>
      </w:r>
      <w:proofErr w:type="spellEnd"/>
      <w:r>
        <w:rPr>
          <w:rtl/>
        </w:rPr>
        <w:t xml:space="preserve">, </w:t>
      </w:r>
      <w:proofErr w:type="spellStart"/>
      <w:r>
        <w:rPr>
          <w:rtl/>
        </w:rPr>
        <w:t>ביאליסטוק</w:t>
      </w:r>
      <w:proofErr w:type="spellEnd"/>
      <w:r>
        <w:rPr>
          <w:rtl/>
        </w:rPr>
        <w:t xml:space="preserve">, לקראת סוף שנות </w:t>
      </w:r>
      <w:proofErr w:type="spellStart"/>
      <w:r>
        <w:rPr>
          <w:rtl/>
        </w:rPr>
        <w:t>הת״ר־נ</w:t>
      </w:r>
      <w:proofErr w:type="spellEnd"/>
      <w:r>
        <w:rPr>
          <w:rtl/>
        </w:rPr>
        <w:t xml:space="preserve">׳: “הוא גדול מן </w:t>
      </w:r>
      <w:proofErr w:type="spellStart"/>
      <w:r>
        <w:rPr>
          <w:rtl/>
        </w:rPr>
        <w:t>החיי־אדם</w:t>
      </w:r>
      <w:proofErr w:type="spellEnd"/>
      <w:r>
        <w:rPr>
          <w:rtl/>
        </w:rPr>
        <w:t xml:space="preserve">”, אמרה. והשווה גם “בדרך עץ החיים” מאת </w:t>
      </w:r>
      <w:proofErr w:type="spellStart"/>
      <w:r>
        <w:rPr>
          <w:rtl/>
        </w:rPr>
        <w:t>ידעאל</w:t>
      </w:r>
      <w:proofErr w:type="spellEnd"/>
      <w:r>
        <w:rPr>
          <w:rtl/>
        </w:rPr>
        <w:t xml:space="preserve"> מלצר</w:t>
      </w:r>
      <w:bookmarkStart w:id="173" w:name="_fnr136"/>
      <w:r>
        <w:rPr>
          <w:rStyle w:val="a5"/>
        </w:rPr>
        <w:footnoteReference w:id="135" w:customMarkFollows="0"/>
      </w:r>
      <w:bookmarkEnd w:id="173"/>
      <w:r>
        <w:rPr>
          <w:rtl/>
        </w:rPr>
        <w:t xml:space="preserve">, על יחסו של ר׳ חיים </w:t>
      </w:r>
      <w:proofErr w:type="spellStart"/>
      <w:r>
        <w:rPr>
          <w:rtl/>
        </w:rPr>
        <w:t>סולובייצ׳יק</w:t>
      </w:r>
      <w:proofErr w:type="spellEnd"/>
      <w:r>
        <w:rPr>
          <w:rtl/>
        </w:rPr>
        <w:t xml:space="preserve"> לפסקי “חיי אדם”. לדברי ר׳ </w:t>
      </w:r>
      <w:proofErr w:type="spellStart"/>
      <w:r>
        <w:rPr>
          <w:rtl/>
        </w:rPr>
        <w:t>לייבל</w:t>
      </w:r>
      <w:proofErr w:type="spellEnd"/>
      <w:r>
        <w:rPr>
          <w:rtl/>
        </w:rPr>
        <w:t xml:space="preserve"> </w:t>
      </w:r>
      <w:proofErr w:type="spellStart"/>
      <w:r>
        <w:rPr>
          <w:rtl/>
        </w:rPr>
        <w:t>פרלשטיין</w:t>
      </w:r>
      <w:proofErr w:type="spellEnd"/>
      <w:r>
        <w:rPr>
          <w:rtl/>
        </w:rPr>
        <w:t>, סיפר אבי</w:t>
      </w:r>
      <w:bookmarkStart w:id="174" w:name="_fnr137"/>
      <w:bookmarkStart w:id="175" w:name="pr_f_70"/>
      <w:r>
        <w:rPr>
          <w:rStyle w:val="a5"/>
        </w:rPr>
        <w:footnoteReference w:id="136" w:customMarkFollows="0"/>
      </w:r>
      <w:bookmarkEnd w:id="174"/>
      <w:bookmarkEnd w:id="175"/>
      <w:r>
        <w:rPr>
          <w:rtl/>
        </w:rPr>
        <w:t xml:space="preserve"> שבישיבת </w:t>
      </w:r>
      <w:proofErr w:type="spellStart"/>
      <w:r>
        <w:rPr>
          <w:rtl/>
        </w:rPr>
        <w:t>סלבודקה</w:t>
      </w:r>
      <w:proofErr w:type="spellEnd"/>
      <w:r>
        <w:rPr>
          <w:rtl/>
        </w:rPr>
        <w:t xml:space="preserve"> בזמנו היה </w:t>
      </w:r>
      <w:proofErr w:type="spellStart"/>
      <w:r>
        <w:rPr>
          <w:rtl/>
        </w:rPr>
        <w:t>ה“חיי</w:t>
      </w:r>
      <w:proofErr w:type="spellEnd"/>
      <w:r>
        <w:rPr>
          <w:rtl/>
        </w:rPr>
        <w:t xml:space="preserve"> אדם” הספר שבו למדו הלכה למעשה, כמו </w:t>
      </w:r>
      <w:proofErr w:type="spellStart"/>
      <w:r>
        <w:rPr>
          <w:rtl/>
        </w:rPr>
        <w:t>ה“משנה</w:t>
      </w:r>
      <w:proofErr w:type="spellEnd"/>
      <w:r>
        <w:rPr>
          <w:rtl/>
        </w:rPr>
        <w:t xml:space="preserve"> ברורה” בישיבות של ימינו.</w:t>
      </w:r>
    </w:p>
    <w:p w14:paraId="15839769" w14:textId="7777777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proofErr w:type="spellStart"/>
      <w:r>
        <w:rPr>
          <w:rtl/>
        </w:rPr>
        <w:t>אמו</w:t>
      </w:r>
      <w:proofErr w:type="spellEnd"/>
      <w:r>
        <w:rPr>
          <w:rtl/>
        </w:rPr>
        <w:t xml:space="preserve"> של אבי התייתמה מהוריה כשהייתה תינוקת. אביה, ר׳ זרח דנציג, שנולד בשנת תר״ג, מוצאו היה מן העיירה סלונים, אך הוא התגורר בעיירה </w:t>
      </w:r>
      <w:proofErr w:type="spellStart"/>
      <w:r>
        <w:rPr>
          <w:rtl/>
        </w:rPr>
        <w:t>דולהינוב</w:t>
      </w:r>
      <w:proofErr w:type="spellEnd"/>
      <w:r>
        <w:rPr>
          <w:rtl/>
        </w:rPr>
        <w:t xml:space="preserve"> שבפלך וילנה </w:t>
      </w:r>
      <w:proofErr w:type="spellStart"/>
      <w:r>
        <w:rPr>
          <w:rtl/>
        </w:rPr>
        <w:t>הבלארוסי</w:t>
      </w:r>
      <w:proofErr w:type="spellEnd"/>
      <w:r>
        <w:rPr>
          <w:rtl/>
        </w:rPr>
        <w:t>. הוא הוסמך לרבנות, אבל בחר להיות סוחר: עסק ביצוא תבואה לחוץ לארץ, וצבר נכסים ניכרים בצעירותו. ר׳ זרח בלט בקהילה בצדקותיו, ובני העיר טבעו את המליצה “העניים חיים סביב דנציג”.</w:t>
      </w:r>
    </w:p>
    <w:p w14:paraId="74546165" w14:textId="75134068"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בערב פסח תר״ל חזר ר׳ זרח הביתה ממסע עסקים, מאוחר מכדי למכור את </w:t>
      </w:r>
      <w:proofErr w:type="spellStart"/>
      <w:r>
        <w:rPr>
          <w:rtl/>
        </w:rPr>
        <w:t>חמצו</w:t>
      </w:r>
      <w:proofErr w:type="spellEnd"/>
      <w:r>
        <w:rPr>
          <w:rtl/>
        </w:rPr>
        <w:t xml:space="preserve">. הוא היה בטוח שלמרות זכויותיו ייענש על השגגה הזאת, ושלא יאריך ימים עד תום השנה הבאה. </w:t>
      </w:r>
      <w:r>
        <w:rPr>
          <w:rtl/>
        </w:rPr>
        <w:lastRenderedPageBreak/>
        <w:t xml:space="preserve">כעבור </w:t>
      </w:r>
      <w:proofErr w:type="spellStart"/>
      <w:r>
        <w:rPr>
          <w:rtl/>
        </w:rPr>
        <w:t>אחד־עשר</w:t>
      </w:r>
      <w:proofErr w:type="spellEnd"/>
      <w:r>
        <w:rPr>
          <w:rtl/>
        </w:rPr>
        <w:t xml:space="preserve"> חודשים וחצי, בראש חודש ניסן, נפטר, בן עשרים ושמונה בלבד. אשתו, דבורה לבית </w:t>
      </w:r>
      <w:proofErr w:type="spellStart"/>
      <w:r>
        <w:rPr>
          <w:rtl/>
        </w:rPr>
        <w:t>פוטרפס</w:t>
      </w:r>
      <w:proofErr w:type="spellEnd"/>
      <w:r>
        <w:rPr>
          <w:rtl/>
        </w:rPr>
        <w:t>, שהייתה צעירה ממנו בשנה, לא רצתה להמשיך לחיות בלעדיו, ונפטרה כעבור חמישה שבועות. נשארו ארבעה ילדים – שני בנים ושתי בנות, מבני שש ועד בני שנה</w:t>
      </w:r>
      <w:bookmarkStart w:id="176" w:name="b1_ref8"/>
      <w:bookmarkEnd w:id="176"/>
      <w:r>
        <w:rPr>
          <w:vertAlign w:val="superscript"/>
          <w:rtl/>
        </w:rPr>
        <w:fldChar w:fldCharType="begin" w:dirty="true"/>
      </w:r>
      <w:r>
        <w:rPr>
          <w:vertAlign w:val="superscript"/>
          <w:rtl/>
        </w:rPr>
        <w:instrText xml:space="preserve"> REF b1_note8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w:t>
      </w:r>
      <w:r>
        <w:rPr>
          <w:vertAlign w:val="superscript"/>
          <w:rtl/>
        </w:rPr>
        <w:fldChar w:fldCharType="end"/>
      </w:r>
      <w:r>
        <w:rPr>
          <w:rtl/>
        </w:rPr>
        <w:t>.</w:t>
      </w:r>
    </w:p>
    <w:bookmarkStart w:id="177" w:name="b1_note8"/>
    <w:p w14:paraId="6429601E" w14:textId="77777777" w:rsidR="00AB3647" w:rsidRDefault="00000000" w:rsidP="007923E9">
      <w:pPr>
        <w:spacing w:before="120" w:after="100" w:line="276" w:lineRule="auto"/>
        <w:jc w:val="both"/>
      </w:pPr>
      <w:r>
        <w:fldChar w:fldCharType="begin" w:dirty="true"/>
      </w:r>
      <w:r>
        <w:instrText>HYPERLINK \l "b1_ref8"</w:instrText>
      </w:r>
      <w:r>
        <w:fldChar w:fldCharType="separate"/>
      </w:r>
      <w:r>
        <w:rPr>
          <w:b/>
          <w:bCs/>
          <w:rtl/>
        </w:rPr>
        <w:t>8</w:t>
      </w:r>
      <w:r>
        <w:rPr>
          <w:b/>
          <w:bCs/>
        </w:rPr>
        <w:fldChar w:fldCharType="end"/>
      </w:r>
      <w:bookmarkEnd w:id="177"/>
      <w:r>
        <w:rPr>
          <w:rtl/>
        </w:rPr>
        <w:t xml:space="preserve"> את פרטי שנותיה הראשונות של סבתי ליקטתי משלוש שנות התכתבות עם דודתי דבורה (ילידת תרנ״ג), האחרונה שנותרה בחיים מאחיו ואחיותיו של אבי, ומארבעה ימים של פגישות פנים אל פנים עמה ועם בני משפחה אחרים במינסק, בין י״ז לכ״א בכסלו תשנ״א, שנה ושלושה שבועות לפני מותה. היא שמעה את הפרטים מפי אמה, ועל כמה מן המאורעות המוקדמים יותר שמעה אמה מאחותה הגדולה.</w:t>
      </w:r>
    </w:p>
    <w:p w14:paraId="225945A1" w14:textId="77777777" w:rsidR="00AB3647" w:rsidRDefault="00000000" w:rsidP="007923E9">
      <w:pPr>
        <w:spacing w:after="100" w:line="276" w:lineRule="auto"/>
        <w:ind w:firstLine="340"/>
        <w:jc w:val="both"/>
      </w:pPr>
      <w:r>
        <w:rPr>
          <w:rtl/>
        </w:rPr>
        <w:t xml:space="preserve">בעניין פטירתו של ר׳ זרח לא העליתי על הכתב בדיוק את מה שמסרה דודתי דבורה, אלא מסורת אחרת הרווחת במשפחתנו. דודתי דבורה סיפרה שר׳ זרח נפטר שבוע בלבד אחרי שלא מכר את </w:t>
      </w:r>
      <w:proofErr w:type="spellStart"/>
      <w:r>
        <w:rPr>
          <w:rtl/>
        </w:rPr>
        <w:t>חמצו</w:t>
      </w:r>
      <w:proofErr w:type="spellEnd"/>
      <w:r>
        <w:rPr>
          <w:rtl/>
        </w:rPr>
        <w:t xml:space="preserve">, ואמרה: “הוא חלה ושכב במיטתו ביום הראשון של פסח, ונפטר ביום האחרון”. אבל לדברי אחותי רבקה </w:t>
      </w:r>
      <w:proofErr w:type="spellStart"/>
      <w:r>
        <w:rPr>
          <w:rtl/>
        </w:rPr>
        <w:t>דיסקינד</w:t>
      </w:r>
      <w:proofErr w:type="spellEnd"/>
      <w:r>
        <w:rPr>
          <w:rtl/>
        </w:rPr>
        <w:t xml:space="preserve">, כשבישרה לאבינו את הבשורה הטובה שנולד תינוק לבתה בבני ברק בראש חודש ניסן, העיר אבי שזה יום היארצייט של סבו מצד </w:t>
      </w:r>
      <w:proofErr w:type="spellStart"/>
      <w:r>
        <w:rPr>
          <w:rtl/>
        </w:rPr>
        <w:t>אמו</w:t>
      </w:r>
      <w:proofErr w:type="spellEnd"/>
      <w:r>
        <w:rPr>
          <w:rtl/>
        </w:rPr>
        <w:t xml:space="preserve">. אחר כך סיפר על מעשה החמץ, ושאחריו אמר ר׳ זרח </w:t>
      </w:r>
      <w:r>
        <w:rPr>
          <w:b/>
          <w:bCs/>
          <w:rtl/>
        </w:rPr>
        <w:t>שלא יוציא את השנה</w:t>
      </w:r>
      <w:bookmarkStart w:id="178" w:name="_fnr138"/>
      <w:r>
        <w:rPr>
          <w:rStyle w:val="a5"/>
        </w:rPr>
        <w:footnoteReference w:id="137" w:customMarkFollows="0"/>
      </w:r>
      <w:bookmarkEnd w:id="178"/>
      <w:r>
        <w:rPr>
          <w:rtl/>
        </w:rPr>
        <w:t>, ונפטר בראש חודש ניסן שלאחריו.</w:t>
      </w:r>
    </w:p>
    <w:p w14:paraId="55D0E616" w14:textId="77777777" w:rsidR="00AB3647" w:rsidRDefault="00000000" w:rsidP="007923E9">
      <w:pPr>
        <w:spacing w:after="100" w:line="276" w:lineRule="auto"/>
        <w:ind w:firstLine="340"/>
        <w:jc w:val="both"/>
      </w:pPr>
      <w:r>
        <w:rPr>
          <w:rtl/>
        </w:rPr>
        <w:t xml:space="preserve">דודתי דבורה גרה באותו בית, באותה עיר או באותה מדינה עם אמה שלושים ותשע שנים – לעומת </w:t>
      </w:r>
      <w:proofErr w:type="spellStart"/>
      <w:r>
        <w:rPr>
          <w:rtl/>
        </w:rPr>
        <w:t>חמש־עשרה</w:t>
      </w:r>
      <w:proofErr w:type="spellEnd"/>
      <w:r>
        <w:rPr>
          <w:rtl/>
        </w:rPr>
        <w:t xml:space="preserve"> שנותיו של אבי, מלבד ביקוריו מזמן לזמן – והייתה אמורה לדעת את סיפור פטירת סבה טוב מאחיה. אף על פי כן נראה שהנוסח שבא ישירות מפי רבנו מהימן יותר. אילו היה נוסחה של דודתי דבורה נכון, ודאי היה אבינו רואה את </w:t>
      </w:r>
      <w:proofErr w:type="spellStart"/>
      <w:r>
        <w:rPr>
          <w:rtl/>
        </w:rPr>
        <w:t>אמו</w:t>
      </w:r>
      <w:proofErr w:type="spellEnd"/>
      <w:r>
        <w:rPr>
          <w:rtl/>
        </w:rPr>
        <w:t xml:space="preserve"> נוהגת יארצייט לאביה ביום האחרון של החג, שהרי עשה כמה חגי פסח עם הוריו אחרי בר המצווה שלו – פעם אחת ממש לפני שיצא </w:t>
      </w:r>
      <w:proofErr w:type="spellStart"/>
      <w:r>
        <w:rPr>
          <w:rtl/>
        </w:rPr>
        <w:t>לסלבודקה</w:t>
      </w:r>
      <w:bookmarkStart w:id="179" w:name="_fnr139"/>
      <w:proofErr w:type="spellEnd"/>
      <w:r>
        <w:rPr>
          <w:rStyle w:val="a5"/>
        </w:rPr>
        <w:footnoteReference w:id="138" w:customMarkFollows="0"/>
      </w:r>
      <w:bookmarkEnd w:id="179"/>
      <w:r>
        <w:rPr>
          <w:rtl/>
        </w:rPr>
        <w:t xml:space="preserve">, וכמה פעמים נוספות בביקורים בבית בזמן לימודיו בישיבת </w:t>
      </w:r>
      <w:proofErr w:type="spellStart"/>
      <w:r>
        <w:rPr>
          <w:rtl/>
        </w:rPr>
        <w:t>סלבודקה</w:t>
      </w:r>
      <w:bookmarkStart w:id="180" w:name="_fnr140"/>
      <w:proofErr w:type="spellEnd"/>
      <w:r>
        <w:rPr>
          <w:rStyle w:val="a5"/>
        </w:rPr>
        <w:footnoteReference w:id="139" w:customMarkFollows="0"/>
      </w:r>
      <w:bookmarkEnd w:id="180"/>
      <w:r>
        <w:rPr>
          <w:rtl/>
        </w:rPr>
        <w:t>.</w:t>
      </w:r>
    </w:p>
    <w:p w14:paraId="4A17C776" w14:textId="77777777" w:rsidR="00AB3647" w:rsidRDefault="00000000" w:rsidP="007923E9">
      <w:pPr>
        <w:spacing w:after="100" w:line="276" w:lineRule="auto"/>
        <w:ind w:firstLine="340"/>
        <w:jc w:val="both"/>
      </w:pPr>
      <w:r>
        <w:rPr>
          <w:rtl/>
        </w:rPr>
        <w:t>דודתי דבורה גרה במדינה שבה לא נמכר חמץ בגלוי יותר מחמישים שנה לפני פגישתי עמה פנים אל פנים, ובמשך עשרות שנים לא היה לה אפילו עם מי לשתף את הסיפור. ייתכן בהחלט ששכחה את הפרטים המדויקים של מה שסיפרה לה אמה.</w:t>
      </w:r>
    </w:p>
    <w:p w14:paraId="0D4BE22C" w14:textId="77777777" w:rsidR="00AB3647" w:rsidRDefault="00000000" w:rsidP="007923E9">
      <w:pPr>
        <w:spacing w:after="100" w:line="276" w:lineRule="auto"/>
        <w:ind w:firstLine="340"/>
        <w:jc w:val="both"/>
      </w:pPr>
      <w:r>
        <w:rPr>
          <w:rtl/>
        </w:rPr>
        <w:t xml:space="preserve">בעניין פטירת סבתם, שאבינו לא הזכיר באוזני בתו רבקה, אמרה דודתי דבורה שנפטרה “שבועיים אחרי בעלה”. אבל קיבלתי את נוסחו של אבי בעניין פטירת ר׳ זרח, ואם כן, אילו נפטרה סבתו שבועיים אחרי ר׳ זרח – מועד שחל </w:t>
      </w:r>
      <w:r>
        <w:rPr>
          <w:b/>
          <w:bCs/>
          <w:rtl/>
        </w:rPr>
        <w:t>בפסח</w:t>
      </w:r>
      <w:r>
        <w:rPr>
          <w:rtl/>
        </w:rPr>
        <w:t xml:space="preserve"> – היה אבינו מזכיר את פטירת</w:t>
      </w:r>
      <w:r>
        <w:rPr>
          <w:b/>
          <w:bCs/>
          <w:rtl/>
        </w:rPr>
        <w:t>ה</w:t>
      </w:r>
      <w:r>
        <w:rPr>
          <w:rtl/>
        </w:rPr>
        <w:t xml:space="preserve"> באותה שעה שסיפר על פטירת בעלה, סבו. שהרי גם פטירת</w:t>
      </w:r>
      <w:r>
        <w:rPr>
          <w:b/>
          <w:bCs/>
          <w:rtl/>
        </w:rPr>
        <w:t>ה</w:t>
      </w:r>
      <w:r>
        <w:rPr>
          <w:rtl/>
        </w:rPr>
        <w:t>, שחלה בחג הקשור בחמץ, יכלה להיראות כנוגעת להיסח הדעת במכירת החמץ</w:t>
      </w:r>
      <w:bookmarkStart w:id="181" w:name="_fnr141"/>
      <w:r>
        <w:rPr>
          <w:rStyle w:val="a5"/>
        </w:rPr>
        <w:footnoteReference w:id="140" w:customMarkFollows="0"/>
      </w:r>
      <w:bookmarkEnd w:id="181"/>
      <w:r>
        <w:rPr>
          <w:rtl/>
        </w:rPr>
        <w:t>.</w:t>
      </w:r>
    </w:p>
    <w:p w14:paraId="33305F78" w14:textId="77777777" w:rsidR="00AB3647" w:rsidRDefault="00000000" w:rsidP="007923E9">
      <w:pPr>
        <w:spacing w:after="100" w:line="276" w:lineRule="auto"/>
        <w:ind w:firstLine="340"/>
        <w:jc w:val="both"/>
      </w:pPr>
      <w:r>
        <w:rPr>
          <w:rtl/>
        </w:rPr>
        <w:lastRenderedPageBreak/>
        <w:t xml:space="preserve">לפיכך בחרתי לקבל את נוסחה של דודתי דבורה בעניין </w:t>
      </w:r>
      <w:r>
        <w:rPr>
          <w:b/>
          <w:bCs/>
          <w:rtl/>
        </w:rPr>
        <w:t>עונת השנה</w:t>
      </w:r>
      <w:r>
        <w:rPr>
          <w:rtl/>
        </w:rPr>
        <w:t xml:space="preserve"> המשוערת של פטירת סבתה, כשבוע לאחר תחילת אייר, אבל לא את הקשר שקשרה אותה לפטירת סבה, כלומר שבועיים אחריה. אמה ודאי אמרה לה רק שאמה נפטרה </w:t>
      </w:r>
      <w:r>
        <w:rPr>
          <w:b/>
          <w:bCs/>
          <w:rtl/>
        </w:rPr>
        <w:t>שבועיים אחרי פסח</w:t>
      </w:r>
      <w:r>
        <w:rPr>
          <w:rtl/>
        </w:rPr>
        <w:t xml:space="preserve">. דודתי דבורה טעתה לחשוב שר׳ זרח נפטר בסוף פסח, ולכן הבינה שסבתה נפטרה שבועיים אחרי סבה – מה שאינו נכון, שהרי ידוע לנו שר׳ זרח נפטר בראש חודש ניסן. נמצא שהיא נפטרה </w:t>
      </w:r>
      <w:r>
        <w:rPr>
          <w:b/>
          <w:bCs/>
          <w:rtl/>
        </w:rPr>
        <w:t>יותר מחודש</w:t>
      </w:r>
      <w:r>
        <w:rPr>
          <w:rtl/>
        </w:rPr>
        <w:t xml:space="preserve"> אחרי בעלה, שבועיים אחרי פסח.</w:t>
      </w:r>
    </w:p>
    <w:p w14:paraId="61CB3BE2" w14:textId="7777777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הדודים השכולים התכנסו והחליטו שארבעה מהם יאמצו את ארבעת היתומים. סחורתו של ר׳ זרח נמכרה ב־20,000 רובל, הון עצום באותם ימים, וכל אחד מן ההורים המאמצים נטל חלק שווה. הבכורה, רבקה, נשלחה לעיירה </w:t>
      </w:r>
      <w:proofErr w:type="spellStart"/>
      <w:r>
        <w:rPr>
          <w:rtl/>
        </w:rPr>
        <w:t>ראקוב</w:t>
      </w:r>
      <w:proofErr w:type="spellEnd"/>
      <w:r>
        <w:rPr>
          <w:rtl/>
        </w:rPr>
        <w:t xml:space="preserve"> עם אח של ר׳ זרח, והבכור שבבנים, יוסל, נלקח בידי אח אחר לסלונים.</w:t>
      </w:r>
    </w:p>
    <w:p w14:paraId="4CC53D45" w14:textId="7777777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את הילדה שאחריהם, אסתר, אימץ אחי אמה, ר׳ </w:t>
      </w:r>
      <w:proofErr w:type="spellStart"/>
      <w:r>
        <w:rPr>
          <w:rtl/>
        </w:rPr>
        <w:t>יענקל</w:t>
      </w:r>
      <w:proofErr w:type="spellEnd"/>
      <w:r>
        <w:rPr>
          <w:rtl/>
        </w:rPr>
        <w:t xml:space="preserve">, ולקח אותה לאוקראינה הרחוקה. שם קנה הדוד בכספי חלקו בירושה חוות דבורים סמוך לעיר </w:t>
      </w:r>
      <w:proofErr w:type="spellStart"/>
      <w:r>
        <w:rPr>
          <w:rtl/>
        </w:rPr>
        <w:t>פרייאסלב</w:t>
      </w:r>
      <w:proofErr w:type="spellEnd"/>
      <w:r>
        <w:rPr>
          <w:rtl/>
        </w:rPr>
        <w:t xml:space="preserve">, בפלך </w:t>
      </w:r>
      <w:proofErr w:type="spellStart"/>
      <w:r>
        <w:rPr>
          <w:rtl/>
        </w:rPr>
        <w:t>פודוליה</w:t>
      </w:r>
      <w:bookmarkStart w:id="182" w:name="_fnr122"/>
      <w:bookmarkEnd w:id="182"/>
      <w:proofErr w:type="spellEnd"/>
      <w:r>
        <w:rPr>
          <w:rStyle w:val="a5"/>
        </w:rPr>
        <w:t/>
      </w:r>
      <w:bookmarkStart w:id="6987" w:name="_TranslatorNote_141"/>
      <w:r>
        <w:rPr>
          <w:rStyle w:val="a5"/>
          <w:vertAlign w:val="superscript"/>
          <w:rtl/>
        </w:rPr>
        <w:footnoteReference w:id="141" w:customMarkFollows="1"/>
        <w:t>*</w:t>
      </w:r>
      <w:bookmarkEnd w:id="6987"/>
      <w:r>
        <w:rPr>
          <w:rtl/>
        </w:rPr>
        <w:t xml:space="preserve">, כשישים קילומטרים </w:t>
      </w:r>
      <w:proofErr w:type="spellStart"/>
      <w:r>
        <w:rPr>
          <w:rtl/>
        </w:rPr>
        <w:t>דרומית־מזרחית</w:t>
      </w:r>
      <w:proofErr w:type="spellEnd"/>
      <w:r>
        <w:rPr>
          <w:rtl/>
        </w:rPr>
        <w:t xml:space="preserve"> לקייב. ר׳ </w:t>
      </w:r>
      <w:proofErr w:type="spellStart"/>
      <w:r>
        <w:rPr>
          <w:rtl/>
        </w:rPr>
        <w:t>יענקל</w:t>
      </w:r>
      <w:proofErr w:type="spellEnd"/>
      <w:r>
        <w:rPr>
          <w:rtl/>
        </w:rPr>
        <w:t xml:space="preserve"> </w:t>
      </w:r>
      <w:proofErr w:type="spellStart"/>
      <w:r>
        <w:rPr>
          <w:rtl/>
        </w:rPr>
        <w:t>פוטרפס</w:t>
      </w:r>
      <w:proofErr w:type="spellEnd"/>
      <w:r>
        <w:rPr>
          <w:rtl/>
        </w:rPr>
        <w:t xml:space="preserve"> הפסיד את 5,000 הרובל שלו, משום שהייתה זו שנת בצורת והשדות לא הוציאו פרחים לדבוריו. אבל הוא קיבל זאת כרצון ה׳, ולא התחרט אף לרגע על שאימץ את אחייניתו.</w:t>
      </w:r>
    </w:p>
    <w:p w14:paraId="45CC56AF" w14:textId="7E9AC259"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גם </w:t>
      </w:r>
      <w:proofErr w:type="spellStart"/>
      <w:r>
        <w:rPr>
          <w:rtl/>
        </w:rPr>
        <w:t>לר</w:t>
      </w:r>
      <w:proofErr w:type="spellEnd"/>
      <w:r>
        <w:rPr>
          <w:rtl/>
        </w:rPr>
        <w:t xml:space="preserve">׳ </w:t>
      </w:r>
      <w:proofErr w:type="spellStart"/>
      <w:r>
        <w:rPr>
          <w:rtl/>
        </w:rPr>
        <w:t>יענקל</w:t>
      </w:r>
      <w:proofErr w:type="spellEnd"/>
      <w:r>
        <w:rPr>
          <w:rtl/>
        </w:rPr>
        <w:t xml:space="preserve"> הייתה בת בשם אסתר, ולכן שינה את שם אחייניתו לשם הנגזר ממנו, עטיל</w:t>
      </w:r>
      <w:bookmarkStart w:id="183" w:name="b1_ref9"/>
      <w:bookmarkEnd w:id="183"/>
      <w:r>
        <w:rPr>
          <w:vertAlign w:val="superscript"/>
          <w:rtl/>
        </w:rPr>
        <w:fldChar w:fldCharType="begin" w:dirty="true"/>
      </w:r>
      <w:r>
        <w:rPr>
          <w:vertAlign w:val="superscript"/>
          <w:rtl/>
        </w:rPr>
        <w:instrText xml:space="preserve"> REF b1_note9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w:t>
      </w:r>
      <w:r>
        <w:rPr>
          <w:vertAlign w:val="superscript"/>
          <w:rtl/>
        </w:rPr>
        <w:fldChar w:fldCharType="end"/>
      </w:r>
      <w:r>
        <w:rPr>
          <w:rtl/>
        </w:rPr>
        <w:t xml:space="preserve">, וגידל את בת חסותו באותה אהבה ובאותה מסירות כמו את ילדיו שלו. מטבע הדברים, </w:t>
      </w:r>
      <w:proofErr w:type="spellStart"/>
      <w:r>
        <w:rPr>
          <w:rtl/>
        </w:rPr>
        <w:t>עטיל</w:t>
      </w:r>
      <w:proofErr w:type="spellEnd"/>
      <w:r>
        <w:rPr>
          <w:rtl/>
        </w:rPr>
        <w:t xml:space="preserve">, שהתייתמה מהוריה בעודה פעוטה, שכחה את שורשיה וגדלה במחשבה שהיא עוד אחת מבנותיו של ר׳ </w:t>
      </w:r>
      <w:proofErr w:type="spellStart"/>
      <w:r>
        <w:rPr>
          <w:rtl/>
        </w:rPr>
        <w:t>יענקל</w:t>
      </w:r>
      <w:proofErr w:type="spellEnd"/>
      <w:r>
        <w:rPr>
          <w:rtl/>
        </w:rPr>
        <w:t xml:space="preserve"> </w:t>
      </w:r>
      <w:proofErr w:type="spellStart"/>
      <w:r>
        <w:rPr>
          <w:rtl/>
        </w:rPr>
        <w:t>פוטרפס</w:t>
      </w:r>
      <w:proofErr w:type="spellEnd"/>
      <w:r>
        <w:rPr>
          <w:rtl/>
        </w:rPr>
        <w:t>.</w:t>
      </w:r>
    </w:p>
    <w:bookmarkStart w:id="184" w:name="b1_note9"/>
    <w:p w14:paraId="4B265084" w14:textId="77777777" w:rsidR="00AB3647" w:rsidRDefault="00000000" w:rsidP="007923E9">
      <w:pPr>
        <w:spacing w:before="120" w:after="100" w:line="276" w:lineRule="auto"/>
        <w:jc w:val="both"/>
      </w:pPr>
      <w:r>
        <w:fldChar w:fldCharType="begin" w:dirty="true"/>
      </w:r>
      <w:r>
        <w:instrText>HYPERLINK \l "b1_ref9"</w:instrText>
      </w:r>
      <w:r>
        <w:fldChar w:fldCharType="separate"/>
      </w:r>
      <w:r>
        <w:rPr>
          <w:b/>
          <w:bCs/>
          <w:rtl/>
        </w:rPr>
        <w:t>9</w:t>
      </w:r>
      <w:r>
        <w:rPr>
          <w:b/>
          <w:bCs/>
        </w:rPr>
        <w:fldChar w:fldCharType="end"/>
      </w:r>
      <w:bookmarkEnd w:id="184"/>
      <w:r>
        <w:rPr>
          <w:rtl/>
        </w:rPr>
        <w:t xml:space="preserve"> בתפילות לרפואת אבי בזמן מחלותיו בשנותיו האחרונות נקרא “בן </w:t>
      </w:r>
      <w:proofErr w:type="spellStart"/>
      <w:r>
        <w:rPr>
          <w:rtl/>
        </w:rPr>
        <w:t>עטקע</w:t>
      </w:r>
      <w:proofErr w:type="spellEnd"/>
      <w:r>
        <w:rPr>
          <w:rtl/>
        </w:rPr>
        <w:t>”. המתכתבת עמי מרוסיה</w:t>
      </w:r>
      <w:bookmarkStart w:id="185" w:name="_fnr142"/>
      <w:r>
        <w:rPr>
          <w:rStyle w:val="a5"/>
        </w:rPr>
        <w:footnoteReference w:id="142" w:customMarkFollows="0"/>
      </w:r>
      <w:bookmarkEnd w:id="185"/>
      <w:r>
        <w:rPr>
          <w:rtl/>
        </w:rPr>
        <w:t xml:space="preserve"> כינתה את אמה תמיד </w:t>
      </w:r>
      <w:proofErr w:type="spellStart"/>
      <w:r>
        <w:rPr>
          <w:rtl/>
        </w:rPr>
        <w:t>עטיל</w:t>
      </w:r>
      <w:proofErr w:type="spellEnd"/>
      <w:r>
        <w:rPr>
          <w:rtl/>
        </w:rPr>
        <w:t>, ולכן אני סבור שזה השם הנכון. מסתבר שאבי השתמש בצורה המקוצרת “</w:t>
      </w:r>
      <w:proofErr w:type="spellStart"/>
      <w:r>
        <w:rPr>
          <w:rtl/>
        </w:rPr>
        <w:t>עטקע</w:t>
      </w:r>
      <w:proofErr w:type="spellEnd"/>
      <w:r>
        <w:rPr>
          <w:rtl/>
        </w:rPr>
        <w:t xml:space="preserve">” – אולי כינוי שהשתמש בו בעלה, אביו של אבי – רק כדי ששם </w:t>
      </w:r>
      <w:proofErr w:type="spellStart"/>
      <w:r>
        <w:rPr>
          <w:rtl/>
        </w:rPr>
        <w:t>אמו</w:t>
      </w:r>
      <w:proofErr w:type="spellEnd"/>
      <w:r>
        <w:rPr>
          <w:rtl/>
        </w:rPr>
        <w:t xml:space="preserve"> לא יתחלף בשם אשתו הראשונה, (</w:t>
      </w:r>
      <w:proofErr w:type="spellStart"/>
      <w:r>
        <w:rPr>
          <w:rtl/>
        </w:rPr>
        <w:t>איטע</w:t>
      </w:r>
      <w:proofErr w:type="spellEnd"/>
      <w:r>
        <w:rPr>
          <w:rtl/>
        </w:rPr>
        <w:t>־)</w:t>
      </w:r>
      <w:proofErr w:type="spellStart"/>
      <w:r>
        <w:rPr>
          <w:b/>
          <w:bCs/>
          <w:rtl/>
        </w:rPr>
        <w:t>עטיל</w:t>
      </w:r>
      <w:proofErr w:type="spellEnd"/>
      <w:r>
        <w:rPr>
          <w:rtl/>
        </w:rPr>
        <w:t>, אמי</w:t>
      </w:r>
      <w:bookmarkStart w:id="186" w:name="_fnr143"/>
      <w:r>
        <w:rPr>
          <w:rStyle w:val="a5"/>
        </w:rPr>
        <w:footnoteReference w:id="143" w:customMarkFollows="0"/>
      </w:r>
      <w:bookmarkEnd w:id="186"/>
      <w:r>
        <w:rPr>
          <w:rtl/>
        </w:rPr>
        <w:t>.</w:t>
      </w:r>
    </w:p>
    <w:p w14:paraId="17EBA2BC" w14:textId="44581C53"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lastRenderedPageBreak/>
        <w:t xml:space="preserve">אבל כשהגיעה </w:t>
      </w:r>
      <w:proofErr w:type="spellStart"/>
      <w:r>
        <w:rPr>
          <w:rtl/>
        </w:rPr>
        <w:t>עטיל</w:t>
      </w:r>
      <w:proofErr w:type="spellEnd"/>
      <w:r>
        <w:rPr>
          <w:rtl/>
        </w:rPr>
        <w:t xml:space="preserve"> לגיל </w:t>
      </w:r>
      <w:proofErr w:type="spellStart"/>
      <w:r>
        <w:rPr>
          <w:rtl/>
        </w:rPr>
        <w:t>חמש־עשרה</w:t>
      </w:r>
      <w:proofErr w:type="spellEnd"/>
      <w:r>
        <w:rPr>
          <w:rtl/>
        </w:rPr>
        <w:t>, נגלה אליה בחלומותיה איש צעיר למדי, בעל זקן, ואמר לה שלא תקרא לראש המשפחה “אבא”, משום שהוא, האיש שבחלום, הוא אביה האמיתי</w:t>
      </w:r>
      <w:bookmarkStart w:id="187" w:name="b1_ref10"/>
      <w:bookmarkEnd w:id="187"/>
      <w:r>
        <w:rPr>
          <w:vertAlign w:val="superscript"/>
          <w:rtl/>
        </w:rPr>
        <w:fldChar w:fldCharType="begin" w:dirty="true"/>
      </w:r>
      <w:r>
        <w:rPr>
          <w:vertAlign w:val="superscript"/>
          <w:rtl/>
        </w:rPr>
        <w:instrText xml:space="preserve"> REF b1_note10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w:t>
      </w:r>
      <w:r>
        <w:rPr>
          <w:vertAlign w:val="superscript"/>
          <w:rtl/>
        </w:rPr>
        <w:fldChar w:fldCharType="end"/>
      </w:r>
      <w:r>
        <w:rPr>
          <w:rtl/>
        </w:rPr>
        <w:t xml:space="preserve">. החלום המוזר הטריד אותה, ולמחרת סירבה לאכול ארוחת בוקר. דודתה, שגידלה אותה כאם, התחננה שתספר מה מטריד אותה, אבל לא נענתה. אחרי כמה ימים כאלה הביא דודה, שהיה לה כאב, הביתה שלושה </w:t>
      </w:r>
      <w:proofErr w:type="spellStart"/>
      <w:r>
        <w:rPr>
          <w:rtl/>
        </w:rPr>
        <w:t>גוטע</w:t>
      </w:r>
      <w:proofErr w:type="spellEnd"/>
      <w:r>
        <w:rPr>
          <w:rtl/>
        </w:rPr>
        <w:t xml:space="preserve"> יִדן</w:t>
      </w:r>
      <w:bookmarkStart w:id="188" w:name="b1_ref11"/>
      <w:bookmarkEnd w:id="188"/>
      <w:r>
        <w:rPr>
          <w:vertAlign w:val="superscript"/>
          <w:rtl/>
        </w:rPr>
        <w:fldChar w:fldCharType="begin" w:dirty="true"/>
      </w:r>
      <w:r>
        <w:rPr>
          <w:vertAlign w:val="superscript"/>
          <w:rtl/>
        </w:rPr>
        <w:instrText xml:space="preserve"> REF b1_note11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11</w:t>
      </w:r>
      <w:r>
        <w:rPr>
          <w:vertAlign w:val="superscript"/>
          <w:rtl/>
        </w:rPr>
        <w:fldChar w:fldCharType="end"/>
      </w:r>
      <w:r>
        <w:rPr>
          <w:rtl/>
        </w:rPr>
        <w:t xml:space="preserve"> [יהודים טובים] כדי שידברו על לבה של </w:t>
      </w:r>
      <w:proofErr w:type="spellStart"/>
      <w:r>
        <w:rPr>
          <w:rtl/>
        </w:rPr>
        <w:t>עטיל</w:t>
      </w:r>
      <w:proofErr w:type="spellEnd"/>
      <w:r>
        <w:rPr>
          <w:rtl/>
        </w:rPr>
        <w:t>.</w:t>
      </w:r>
    </w:p>
    <w:bookmarkStart w:id="189" w:name="b1_note10"/>
    <w:p w14:paraId="45CEC46A" w14:textId="77777777" w:rsidR="00AB3647" w:rsidRDefault="00000000" w:rsidP="007923E9">
      <w:pPr>
        <w:spacing w:before="120" w:after="100" w:line="276" w:lineRule="auto"/>
        <w:jc w:val="both"/>
      </w:pPr>
      <w:r>
        <w:fldChar w:fldCharType="begin" w:dirty="true"/>
      </w:r>
      <w:r>
        <w:instrText>HYPERLINK \l "b1_ref10"</w:instrText>
      </w:r>
      <w:r>
        <w:fldChar w:fldCharType="separate"/>
      </w:r>
      <w:r>
        <w:rPr>
          <w:b/>
          <w:bCs/>
          <w:rtl/>
        </w:rPr>
        <w:t>10</w:t>
      </w:r>
      <w:r>
        <w:rPr>
          <w:b/>
          <w:bCs/>
        </w:rPr>
        <w:fldChar w:fldCharType="end"/>
      </w:r>
      <w:bookmarkEnd w:id="189"/>
      <w:r>
        <w:rPr>
          <w:rtl/>
        </w:rPr>
        <w:t xml:space="preserve"> עיין רמב״ן על התורה</w:t>
      </w:r>
      <w:bookmarkStart w:id="190" w:name="_fnr144"/>
      <w:r>
        <w:rPr>
          <w:rStyle w:val="a5"/>
        </w:rPr>
        <w:footnoteReference w:id="144" w:customMarkFollows="0"/>
      </w:r>
      <w:bookmarkEnd w:id="190"/>
      <w:r>
        <w:rPr>
          <w:rtl/>
        </w:rPr>
        <w:t xml:space="preserve"> שאסור לומר על אחר שהוא אביו.</w:t>
      </w:r>
    </w:p>
    <w:bookmarkStart w:id="191" w:name="b1_note11"/>
    <w:p w14:paraId="2851E03D" w14:textId="77777777" w:rsidR="00AB3647" w:rsidRDefault="00000000" w:rsidP="007923E9">
      <w:pPr>
        <w:spacing w:before="120" w:after="100" w:line="276" w:lineRule="auto"/>
        <w:jc w:val="both"/>
      </w:pPr>
      <w:r>
        <w:fldChar w:fldCharType="begin" w:dirty="true"/>
      </w:r>
      <w:r>
        <w:instrText>HYPERLINK \l "b1_ref11"</w:instrText>
      </w:r>
      <w:r>
        <w:fldChar w:fldCharType="separate"/>
      </w:r>
      <w:r>
        <w:rPr>
          <w:b/>
          <w:bCs/>
          <w:rtl/>
        </w:rPr>
        <w:t>11</w:t>
      </w:r>
      <w:r>
        <w:rPr>
          <w:b/>
          <w:bCs/>
        </w:rPr>
        <w:fldChar w:fldCharType="end"/>
      </w:r>
      <w:bookmarkEnd w:id="191"/>
      <w:r>
        <w:rPr>
          <w:rtl/>
        </w:rPr>
        <w:t xml:space="preserve"> אבי השתמש בביטוי “</w:t>
      </w:r>
      <w:proofErr w:type="spellStart"/>
      <w:r>
        <w:rPr>
          <w:rtl/>
        </w:rPr>
        <w:t>גוטער</w:t>
      </w:r>
      <w:proofErr w:type="spellEnd"/>
      <w:r>
        <w:rPr>
          <w:rtl/>
        </w:rPr>
        <w:t xml:space="preserve"> איד” [יהודי טוב] במקום שאחרים היו אומרים צדיק או רבי: אדם שחי חיים רוחניים ומסור לעבודת ה׳. יהודי בדרגה כזאת נחשב קדוש דיו </w:t>
      </w:r>
      <w:proofErr w:type="spellStart"/>
      <w:r>
        <w:rPr>
          <w:rtl/>
        </w:rPr>
        <w:t>להפגיע</w:t>
      </w:r>
      <w:proofErr w:type="spellEnd"/>
      <w:r>
        <w:rPr>
          <w:rtl/>
        </w:rPr>
        <w:t xml:space="preserve"> בעד אחרים לפני המקום בעת צרה, ולתת עצה שאין לערער עליה – כמו במקרה זה.</w:t>
      </w:r>
    </w:p>
    <w:p w14:paraId="681453CF" w14:textId="77777777" w:rsidR="00AB3647" w:rsidRDefault="00000000" w:rsidP="007923E9">
      <w:pPr>
        <w:spacing w:before="120" w:after="100" w:line="276" w:lineRule="auto"/>
        <w:jc w:val="both"/>
      </w:pPr>
      <w:r>
        <w:rPr>
          <w:rtl/>
        </w:rPr>
        <w:t>בעניין הכינוי “</w:t>
      </w:r>
      <w:proofErr w:type="spellStart"/>
      <w:r>
        <w:rPr>
          <w:rtl/>
        </w:rPr>
        <w:t>גוטער</w:t>
      </w:r>
      <w:proofErr w:type="spellEnd"/>
      <w:r>
        <w:rPr>
          <w:rtl/>
        </w:rPr>
        <w:t xml:space="preserve"> איד” מסופר על ר׳ ישראל </w:t>
      </w:r>
      <w:proofErr w:type="spellStart"/>
      <w:r>
        <w:rPr>
          <w:rtl/>
        </w:rPr>
        <w:t>סלנטר</w:t>
      </w:r>
      <w:proofErr w:type="spellEnd"/>
      <w:r>
        <w:rPr>
          <w:rtl/>
        </w:rPr>
        <w:t xml:space="preserve"> [ליפקין] בכתב העת הירושלמי “שערי ציון”</w:t>
      </w:r>
      <w:bookmarkStart w:id="192" w:name="_fnr145"/>
      <w:bookmarkStart w:id="193" w:name="pr_f_78"/>
      <w:r>
        <w:rPr>
          <w:rStyle w:val="a5"/>
        </w:rPr>
        <w:footnoteReference w:id="145" w:customMarkFollows="0"/>
      </w:r>
      <w:bookmarkEnd w:id="192"/>
      <w:bookmarkEnd w:id="193"/>
      <w:r>
        <w:rPr>
          <w:rtl/>
        </w:rPr>
        <w:t xml:space="preserve"> שחסיד עשיר ביקר אצלו, ובסוף שיחתם הניח לפניו שטר של 100 רובל. כששאל ר׳ ישראל לשם מה הכסף, השיב החסיד: “נוהגים אנו לתת </w:t>
      </w:r>
      <w:proofErr w:type="spellStart"/>
      <w:r>
        <w:rPr>
          <w:rtl/>
        </w:rPr>
        <w:t>לגוטער</w:t>
      </w:r>
      <w:proofErr w:type="spellEnd"/>
      <w:r>
        <w:rPr>
          <w:rtl/>
        </w:rPr>
        <w:t xml:space="preserve"> איד ‘פדיון’ כדי שיתפלל בעדנו”. השיב ר׳ ישראל בתמיהה: “כך? אצלכם ‘יהודי טוב’ הוא מי שפושט את ידו ולוקח. אצלנו </w:t>
      </w:r>
      <w:proofErr w:type="spellStart"/>
      <w:r>
        <w:rPr>
          <w:rtl/>
        </w:rPr>
        <w:t>גוטער</w:t>
      </w:r>
      <w:proofErr w:type="spellEnd"/>
      <w:r>
        <w:rPr>
          <w:rtl/>
        </w:rPr>
        <w:t xml:space="preserve"> איד הוא מי שפותח את ידו ונותן; אם כן </w:t>
      </w:r>
      <w:r>
        <w:rPr>
          <w:b/>
          <w:bCs/>
          <w:rtl/>
        </w:rPr>
        <w:t>אתה</w:t>
      </w:r>
      <w:r>
        <w:rPr>
          <w:rtl/>
        </w:rPr>
        <w:t xml:space="preserve"> </w:t>
      </w:r>
      <w:proofErr w:type="spellStart"/>
      <w:r>
        <w:rPr>
          <w:rtl/>
        </w:rPr>
        <w:t>הגוטער</w:t>
      </w:r>
      <w:proofErr w:type="spellEnd"/>
      <w:r>
        <w:rPr>
          <w:rtl/>
        </w:rPr>
        <w:t xml:space="preserve"> איד, ואני מבקש ממך שתתפלל בעדי”.</w:t>
      </w:r>
    </w:p>
    <w:p w14:paraId="6EE00942" w14:textId="7777777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כשגילתה סוף סוף מה שעל לבה, גילה לה ר׳ </w:t>
      </w:r>
      <w:proofErr w:type="spellStart"/>
      <w:r>
        <w:rPr>
          <w:rtl/>
        </w:rPr>
        <w:t>יענקל</w:t>
      </w:r>
      <w:proofErr w:type="spellEnd"/>
      <w:r>
        <w:rPr>
          <w:rtl/>
        </w:rPr>
        <w:t xml:space="preserve"> שחלומה אמת לאמיתה. הוא סיפר על האסון שפקד את המשפחה לפני יותר </w:t>
      </w:r>
      <w:proofErr w:type="spellStart"/>
      <w:r>
        <w:rPr>
          <w:rtl/>
        </w:rPr>
        <w:t>מאחת־עשרה</w:t>
      </w:r>
      <w:proofErr w:type="spellEnd"/>
      <w:r>
        <w:rPr>
          <w:rtl/>
        </w:rPr>
        <w:t xml:space="preserve"> שנים ועל כך שנאלצו להפריד בין ארבעת היתומים, ואמר לה שאל לה לקרוא לו עוד “אבא”, אם כך רצון גיסו המנוח. כשסופר </w:t>
      </w:r>
      <w:proofErr w:type="spellStart"/>
      <w:r>
        <w:rPr>
          <w:rtl/>
        </w:rPr>
        <w:t>לעטיל</w:t>
      </w:r>
      <w:proofErr w:type="spellEnd"/>
      <w:r>
        <w:rPr>
          <w:rtl/>
        </w:rPr>
        <w:t xml:space="preserve"> שיש לה אחות גדולה, רבקה, שכבר חזרה בינתיים לבית אבותיה </w:t>
      </w:r>
      <w:proofErr w:type="spellStart"/>
      <w:r>
        <w:rPr>
          <w:rtl/>
        </w:rPr>
        <w:t>בדולהינוב</w:t>
      </w:r>
      <w:proofErr w:type="spellEnd"/>
      <w:r>
        <w:rPr>
          <w:rtl/>
        </w:rPr>
        <w:t xml:space="preserve"> ומתפרנסת מהכנסות הבתים והחנויות שהיו לאביה המנוח, ביקשה </w:t>
      </w:r>
      <w:proofErr w:type="spellStart"/>
      <w:r>
        <w:rPr>
          <w:rtl/>
        </w:rPr>
        <w:t>עטיל</w:t>
      </w:r>
      <w:proofErr w:type="spellEnd"/>
      <w:r>
        <w:rPr>
          <w:rtl/>
        </w:rPr>
        <w:t xml:space="preserve"> להתאחד עמה. שלושת היהודים הנכבדים הסכימו שתוחזר לבלארוס.</w:t>
      </w:r>
    </w:p>
    <w:p w14:paraId="23D019BF" w14:textId="7777777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proofErr w:type="spellStart"/>
      <w:r>
        <w:rPr>
          <w:rtl/>
        </w:rPr>
        <w:t>עטיל</w:t>
      </w:r>
      <w:proofErr w:type="spellEnd"/>
      <w:r>
        <w:rPr>
          <w:rtl/>
        </w:rPr>
        <w:t xml:space="preserve"> נשלחה ברכבת לעיר הגדולה מינסק, והלכה שם </w:t>
      </w:r>
      <w:proofErr w:type="spellStart"/>
      <w:r>
        <w:rPr>
          <w:rtl/>
        </w:rPr>
        <w:t>לאכסניה</w:t>
      </w:r>
      <w:proofErr w:type="spellEnd"/>
      <w:r>
        <w:rPr>
          <w:rtl/>
        </w:rPr>
        <w:t xml:space="preserve"> של </w:t>
      </w:r>
      <w:proofErr w:type="spellStart"/>
      <w:r>
        <w:rPr>
          <w:rtl/>
        </w:rPr>
        <w:t>דולהינוב</w:t>
      </w:r>
      <w:proofErr w:type="spellEnd"/>
      <w:r>
        <w:rPr>
          <w:rtl/>
        </w:rPr>
        <w:t xml:space="preserve">, שממנה הובילו העגלונים נוסעים וסחורות לאותה עיירה, המרוחקת 90 קילומטרים. כשסיפרה לעגלון שהיא בתו של ר׳ זרח דנציג המנוח, נודע לה שאחותה באה למינסק לראות רופא, ושהיא עתידה לחזור לעיירתה באותה עגלה עצמה. הפגישה הנרגשת של שתי האחיות התקיימה כשיצאו לדרך לעיר הולדתן, </w:t>
      </w:r>
      <w:proofErr w:type="spellStart"/>
      <w:r>
        <w:rPr>
          <w:rtl/>
        </w:rPr>
        <w:t>דולהינוב</w:t>
      </w:r>
      <w:proofErr w:type="spellEnd"/>
      <w:r>
        <w:rPr>
          <w:rtl/>
        </w:rPr>
        <w:t>.</w:t>
      </w:r>
    </w:p>
    <w:p w14:paraId="0178761A" w14:textId="03437E2A"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כעבור שנה נישאה האחות הבכורה, רבקה, לבחור מקומי, </w:t>
      </w:r>
      <w:proofErr w:type="spellStart"/>
      <w:r>
        <w:rPr>
          <w:rtl/>
        </w:rPr>
        <w:t>פעלשר</w:t>
      </w:r>
      <w:proofErr w:type="spellEnd"/>
      <w:r>
        <w:rPr>
          <w:rtl/>
        </w:rPr>
        <w:t xml:space="preserve"> (רופא עממי) בשם </w:t>
      </w:r>
      <w:proofErr w:type="spellStart"/>
      <w:r>
        <w:rPr>
          <w:rtl/>
        </w:rPr>
        <w:t>הירשקע</w:t>
      </w:r>
      <w:proofErr w:type="spellEnd"/>
      <w:r>
        <w:rPr>
          <w:rtl/>
        </w:rPr>
        <w:t xml:space="preserve"> פראג, והביאה את </w:t>
      </w:r>
      <w:proofErr w:type="spellStart"/>
      <w:r>
        <w:rPr>
          <w:rtl/>
        </w:rPr>
        <w:t>עטיל</w:t>
      </w:r>
      <w:proofErr w:type="spellEnd"/>
      <w:r>
        <w:rPr>
          <w:rtl/>
        </w:rPr>
        <w:t xml:space="preserve"> ואת אחיהם, יוסל, לגור עמה</w:t>
      </w:r>
      <w:bookmarkStart w:id="194" w:name="b1_ref12"/>
      <w:bookmarkEnd w:id="194"/>
      <w:r>
        <w:rPr>
          <w:vertAlign w:val="superscript"/>
          <w:rtl/>
        </w:rPr>
        <w:fldChar w:fldCharType="begin" w:dirty="true"/>
      </w:r>
      <w:r>
        <w:rPr>
          <w:vertAlign w:val="superscript"/>
          <w:rtl/>
        </w:rPr>
        <w:instrText xml:space="preserve"> REF b1_note12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12</w:t>
      </w:r>
      <w:r>
        <w:rPr>
          <w:vertAlign w:val="superscript"/>
          <w:rtl/>
        </w:rPr>
        <w:fldChar w:fldCharType="end"/>
      </w:r>
      <w:r>
        <w:rPr>
          <w:rtl/>
        </w:rPr>
        <w:t xml:space="preserve">. </w:t>
      </w:r>
      <w:proofErr w:type="spellStart"/>
      <w:r>
        <w:rPr>
          <w:rtl/>
        </w:rPr>
        <w:t>עטיל</w:t>
      </w:r>
      <w:proofErr w:type="spellEnd"/>
      <w:r>
        <w:rPr>
          <w:rtl/>
        </w:rPr>
        <w:t xml:space="preserve"> הייתה צעירה נבונה וטובת לב, ונשאה בכבוד את השם הטוב שהשאירו אחריהם הוריה </w:t>
      </w:r>
      <w:proofErr w:type="spellStart"/>
      <w:r>
        <w:rPr>
          <w:rtl/>
        </w:rPr>
        <w:t>בדולהינוב</w:t>
      </w:r>
      <w:proofErr w:type="spellEnd"/>
      <w:r>
        <w:rPr>
          <w:rtl/>
        </w:rPr>
        <w:t xml:space="preserve">. בעזרת אחותה </w:t>
      </w:r>
      <w:r>
        <w:rPr>
          <w:rtl/>
        </w:rPr>
        <w:lastRenderedPageBreak/>
        <w:t xml:space="preserve">הגדולה ובכספים שבאו ממכירת עיזבון אביהן פתחה שם חנות קטנה. בשנת תרמ״ו בחר איכר וסוחר מקומי, שהכיר היטב את ר׳ זרח דנציג, </w:t>
      </w:r>
      <w:proofErr w:type="spellStart"/>
      <w:r>
        <w:rPr>
          <w:rtl/>
        </w:rPr>
        <w:t>בעטיל</w:t>
      </w:r>
      <w:proofErr w:type="spellEnd"/>
      <w:r>
        <w:rPr>
          <w:rtl/>
        </w:rPr>
        <w:t xml:space="preserve"> דנציג לאישה לבנו בנימין </w:t>
      </w:r>
      <w:proofErr w:type="spellStart"/>
      <w:r>
        <w:rPr>
          <w:rtl/>
        </w:rPr>
        <w:t>קמינצקי</w:t>
      </w:r>
      <w:proofErr w:type="spellEnd"/>
      <w:r>
        <w:rPr>
          <w:rtl/>
        </w:rPr>
        <w:t>.</w:t>
      </w:r>
    </w:p>
    <w:bookmarkStart w:id="195" w:name="b1_note12"/>
    <w:p w14:paraId="05578264" w14:textId="77777777" w:rsidR="00AB3647" w:rsidRDefault="00000000" w:rsidP="007923E9">
      <w:pPr>
        <w:spacing w:before="120" w:after="100" w:line="276" w:lineRule="auto"/>
        <w:jc w:val="both"/>
      </w:pPr>
      <w:r>
        <w:fldChar w:fldCharType="begin" w:dirty="true"/>
      </w:r>
      <w:r>
        <w:instrText>HYPERLINK \l "b1_ref12"</w:instrText>
      </w:r>
      <w:r>
        <w:fldChar w:fldCharType="separate"/>
      </w:r>
      <w:r>
        <w:rPr>
          <w:b/>
          <w:bCs/>
          <w:rtl/>
        </w:rPr>
        <w:t>12</w:t>
      </w:r>
      <w:r>
        <w:rPr>
          <w:b/>
          <w:bCs/>
        </w:rPr>
        <w:fldChar w:fldCharType="end"/>
      </w:r>
      <w:bookmarkEnd w:id="195"/>
      <w:r>
        <w:rPr>
          <w:rtl/>
        </w:rPr>
        <w:t xml:space="preserve"> </w:t>
      </w:r>
      <w:proofErr w:type="spellStart"/>
      <w:r>
        <w:rPr>
          <w:rtl/>
        </w:rPr>
        <w:t>עטיל</w:t>
      </w:r>
      <w:proofErr w:type="spellEnd"/>
      <w:r>
        <w:rPr>
          <w:rtl/>
        </w:rPr>
        <w:t xml:space="preserve"> </w:t>
      </w:r>
      <w:proofErr w:type="spellStart"/>
      <w:r>
        <w:rPr>
          <w:rtl/>
        </w:rPr>
        <w:t>דנציג־קמינצקי</w:t>
      </w:r>
      <w:proofErr w:type="spellEnd"/>
      <w:r>
        <w:rPr>
          <w:rtl/>
        </w:rPr>
        <w:t xml:space="preserve"> איבדה את הקשר עם אחיה יוסל כשהיגר לאמריקה. אחיה הקטן, שהיה תינוק יונק כשמתו הוריהם, לא שרד את ינקותו.</w:t>
      </w:r>
    </w:p>
    <w:p w14:paraId="0931D9A0" w14:textId="77777777" w:rsidR="00AB3647" w:rsidRDefault="00000000" w:rsidP="007923E9">
      <w:pPr>
        <w:pStyle w:val="2"/>
        <w:spacing w:line="276" w:lineRule="auto"/>
      </w:pPr>
      <w:bookmarkStart w:id="196" w:name="b1_sec2"/>
      <w:r>
        <w:t>2.</w:t>
      </w:r>
      <w:bookmarkEnd w:id="196"/>
    </w:p>
    <w:p w14:paraId="58767CF0" w14:textId="2A8536AB"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ר׳ בנימין </w:t>
      </w:r>
      <w:proofErr w:type="spellStart"/>
      <w:r>
        <w:rPr>
          <w:rtl/>
        </w:rPr>
        <w:t>קמינצקי</w:t>
      </w:r>
      <w:proofErr w:type="spellEnd"/>
      <w:r>
        <w:rPr>
          <w:rtl/>
        </w:rPr>
        <w:t xml:space="preserve">, אביו של אבי, נולד בשנת תרכ״א </w:t>
      </w:r>
      <w:proofErr w:type="spellStart"/>
      <w:r>
        <w:rPr>
          <w:rtl/>
        </w:rPr>
        <w:t>לר</w:t>
      </w:r>
      <w:proofErr w:type="spellEnd"/>
      <w:r>
        <w:rPr>
          <w:rtl/>
        </w:rPr>
        <w:t xml:space="preserve">׳ </w:t>
      </w:r>
      <w:proofErr w:type="spellStart"/>
      <w:r>
        <w:rPr>
          <w:rtl/>
        </w:rPr>
        <w:t>שמואל־הירש</w:t>
      </w:r>
      <w:proofErr w:type="spellEnd"/>
      <w:r>
        <w:rPr>
          <w:rtl/>
        </w:rPr>
        <w:t xml:space="preserve"> </w:t>
      </w:r>
      <w:proofErr w:type="spellStart"/>
      <w:r>
        <w:rPr>
          <w:rtl/>
        </w:rPr>
        <w:t>קמינצקי</w:t>
      </w:r>
      <w:proofErr w:type="spellEnd"/>
      <w:r>
        <w:rPr>
          <w:rtl/>
        </w:rPr>
        <w:t>, בן עשרים וארבע, אדם נכבד</w:t>
      </w:r>
      <w:bookmarkStart w:id="197" w:name="b1_ref13"/>
      <w:bookmarkEnd w:id="197"/>
      <w:r>
        <w:rPr>
          <w:vertAlign w:val="superscript"/>
          <w:rtl/>
        </w:rPr>
        <w:fldChar w:fldCharType="begin" w:dirty="true"/>
      </w:r>
      <w:r>
        <w:rPr>
          <w:vertAlign w:val="superscript"/>
          <w:rtl/>
        </w:rPr>
        <w:instrText xml:space="preserve"> REF b1_note13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13</w:t>
      </w:r>
      <w:r>
        <w:rPr>
          <w:vertAlign w:val="superscript"/>
          <w:rtl/>
        </w:rPr>
        <w:fldChar w:fldCharType="end"/>
      </w:r>
      <w:r>
        <w:rPr>
          <w:rtl/>
        </w:rPr>
        <w:t xml:space="preserve"> בפלך וילנה. ר׳ </w:t>
      </w:r>
      <w:proofErr w:type="spellStart"/>
      <w:r>
        <w:rPr>
          <w:rtl/>
        </w:rPr>
        <w:t>שמואל־הירש</w:t>
      </w:r>
      <w:proofErr w:type="spellEnd"/>
      <w:r>
        <w:rPr>
          <w:rtl/>
        </w:rPr>
        <w:t xml:space="preserve"> היה בעל אחוזה גדולה, עשיר מופלג. האחוזה נקראה קאליסקובקה</w:t>
      </w:r>
      <w:bookmarkStart w:id="198" w:name="b1_ref14"/>
      <w:bookmarkEnd w:id="198"/>
      <w:r>
        <w:rPr>
          <w:vertAlign w:val="superscript"/>
          <w:rtl/>
        </w:rPr>
        <w:fldChar w:fldCharType="begin" w:dirty="true"/>
      </w:r>
      <w:r>
        <w:rPr>
          <w:vertAlign w:val="superscript"/>
          <w:rtl/>
        </w:rPr>
        <w:instrText xml:space="preserve"> REF b1_note14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14</w:t>
      </w:r>
      <w:r>
        <w:rPr>
          <w:vertAlign w:val="superscript"/>
          <w:rtl/>
        </w:rPr>
        <w:fldChar w:fldCharType="end"/>
      </w:r>
      <w:r>
        <w:rPr>
          <w:rtl/>
        </w:rPr>
        <w:t xml:space="preserve">, ושכנה סמוך לכפר </w:t>
      </w:r>
      <w:proofErr w:type="spellStart"/>
      <w:r>
        <w:rPr>
          <w:rtl/>
        </w:rPr>
        <w:t>מלישקי</w:t>
      </w:r>
      <w:proofErr w:type="spellEnd"/>
      <w:r>
        <w:rPr>
          <w:rtl/>
        </w:rPr>
        <w:t>, בלב יער</w:t>
      </w:r>
      <w:bookmarkStart w:id="199" w:name="b1_ref15"/>
      <w:bookmarkEnd w:id="199"/>
      <w:r>
        <w:rPr>
          <w:vertAlign w:val="superscript"/>
          <w:rtl/>
        </w:rPr>
        <w:fldChar w:fldCharType="begin" w:dirty="true"/>
      </w:r>
      <w:r>
        <w:rPr>
          <w:vertAlign w:val="superscript"/>
          <w:rtl/>
        </w:rPr>
        <w:instrText xml:space="preserve"> REF b1_note15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15</w:t>
      </w:r>
      <w:r>
        <w:rPr>
          <w:vertAlign w:val="superscript"/>
          <w:rtl/>
        </w:rPr>
        <w:fldChar w:fldCharType="end"/>
      </w:r>
      <w:r>
        <w:rPr>
          <w:rtl/>
        </w:rPr>
        <w:t xml:space="preserve"> אינסופי של עצי אורן ולבנה לאורך נהר </w:t>
      </w:r>
      <w:proofErr w:type="spellStart"/>
      <w:r>
        <w:rPr>
          <w:rtl/>
        </w:rPr>
        <w:t>דווינושה</w:t>
      </w:r>
      <w:proofErr w:type="spellEnd"/>
      <w:r>
        <w:rPr>
          <w:rtl/>
        </w:rPr>
        <w:t xml:space="preserve">, כ־14 קילומטרים מזרחית לעיירה </w:t>
      </w:r>
      <w:proofErr w:type="spellStart"/>
      <w:r>
        <w:rPr>
          <w:rtl/>
        </w:rPr>
        <w:t>דולהינוב</w:t>
      </w:r>
      <w:proofErr w:type="spellEnd"/>
      <w:r>
        <w:rPr>
          <w:rtl/>
        </w:rPr>
        <w:t>. מלבד שדות התבואה הנרחבים הייתה שם רפת ובה עשרים וארבע פרות.</w:t>
      </w:r>
    </w:p>
    <w:bookmarkStart w:id="200" w:name="b1_note13"/>
    <w:p w14:paraId="54A3EB65" w14:textId="77777777" w:rsidR="00AB3647" w:rsidRDefault="00000000" w:rsidP="007923E9">
      <w:pPr>
        <w:spacing w:before="120" w:after="100" w:line="276" w:lineRule="auto"/>
        <w:jc w:val="both"/>
      </w:pPr>
      <w:r>
        <w:fldChar w:fldCharType="begin" w:dirty="true"/>
      </w:r>
      <w:r>
        <w:instrText>HYPERLINK \l "b1_ref13"</w:instrText>
      </w:r>
      <w:r>
        <w:fldChar w:fldCharType="separate"/>
      </w:r>
      <w:r>
        <w:rPr>
          <w:b/>
          <w:bCs/>
          <w:rtl/>
        </w:rPr>
        <w:t>13</w:t>
      </w:r>
      <w:r>
        <w:rPr>
          <w:b/>
          <w:bCs/>
        </w:rPr>
        <w:fldChar w:fldCharType="end"/>
      </w:r>
      <w:bookmarkEnd w:id="200"/>
      <w:r>
        <w:rPr>
          <w:rtl/>
        </w:rPr>
        <w:t xml:space="preserve"> ר׳ </w:t>
      </w:r>
      <w:proofErr w:type="spellStart"/>
      <w:r>
        <w:rPr>
          <w:rtl/>
        </w:rPr>
        <w:t>שמואל־הירש</w:t>
      </w:r>
      <w:proofErr w:type="spellEnd"/>
      <w:r>
        <w:rPr>
          <w:rtl/>
        </w:rPr>
        <w:t xml:space="preserve"> היה תלמיד חכם. פירושו למשנה האחרונה במסכת קידושין</w:t>
      </w:r>
      <w:bookmarkStart w:id="201" w:name="_fnr146"/>
      <w:r>
        <w:rPr>
          <w:rStyle w:val="a5"/>
        </w:rPr>
        <w:footnoteReference w:id="146" w:customMarkFollows="0"/>
      </w:r>
      <w:bookmarkEnd w:id="201"/>
      <w:r>
        <w:rPr>
          <w:rtl/>
        </w:rPr>
        <w:t xml:space="preserve"> עולה בקנה אחד עם הביאור שהעלה כעבור חמישים שנה או יותר ר׳ יצחק־זאב </w:t>
      </w:r>
      <w:proofErr w:type="spellStart"/>
      <w:r>
        <w:rPr>
          <w:rtl/>
        </w:rPr>
        <w:t>סולובייצ׳יק</w:t>
      </w:r>
      <w:proofErr w:type="spellEnd"/>
      <w:r>
        <w:rPr>
          <w:rtl/>
        </w:rPr>
        <w:t xml:space="preserve">, הרב האחרון של </w:t>
      </w:r>
      <w:proofErr w:type="spellStart"/>
      <w:r>
        <w:rPr>
          <w:rtl/>
        </w:rPr>
        <w:t>בריסק</w:t>
      </w:r>
      <w:bookmarkStart w:id="202" w:name="_fnr147"/>
      <w:proofErr w:type="spellEnd"/>
      <w:r>
        <w:rPr>
          <w:rStyle w:val="a5"/>
        </w:rPr>
        <w:footnoteReference w:id="147" w:customMarkFollows="0"/>
      </w:r>
      <w:bookmarkEnd w:id="202"/>
      <w:r>
        <w:rPr>
          <w:rtl/>
        </w:rPr>
        <w:t xml:space="preserve">. מפירושו של ר׳ </w:t>
      </w:r>
      <w:proofErr w:type="spellStart"/>
      <w:r>
        <w:rPr>
          <w:rtl/>
        </w:rPr>
        <w:t>שמואל־הירש</w:t>
      </w:r>
      <w:proofErr w:type="spellEnd"/>
      <w:r>
        <w:rPr>
          <w:rtl/>
        </w:rPr>
        <w:t xml:space="preserve"> עולה שעל אדם להקדיש את בנו ללימוד תורה, אף שעל פי ההלכה מותר ללמדו אומנות. מכאן שאף שהיה סוחר, רצה ר׳ </w:t>
      </w:r>
      <w:proofErr w:type="spellStart"/>
      <w:r>
        <w:rPr>
          <w:rtl/>
        </w:rPr>
        <w:t>שמואל־הירש</w:t>
      </w:r>
      <w:proofErr w:type="spellEnd"/>
      <w:r>
        <w:rPr>
          <w:rtl/>
        </w:rPr>
        <w:t xml:space="preserve"> לראות את ילדיו תלמידי חכמים.</w:t>
      </w:r>
    </w:p>
    <w:p w14:paraId="2F8A5670" w14:textId="77777777" w:rsidR="00AB3647" w:rsidRDefault="00000000" w:rsidP="007923E9">
      <w:pPr>
        <w:spacing w:before="120" w:after="100" w:line="276" w:lineRule="auto"/>
        <w:jc w:val="both"/>
      </w:pPr>
      <w:r>
        <w:rPr>
          <w:rtl/>
        </w:rPr>
        <w:t>אבי חזר על פירושו של סבו למשנה זו באספת היסוד של מרכז הרבנים</w:t>
      </w:r>
      <w:bookmarkStart w:id="203" w:name="_fnr148"/>
      <w:r>
        <w:rPr>
          <w:rStyle w:val="a5"/>
        </w:rPr>
        <w:footnoteReference w:id="148" w:customMarkFollows="0"/>
      </w:r>
      <w:bookmarkEnd w:id="203"/>
      <w:r>
        <w:rPr>
          <w:rtl/>
        </w:rPr>
        <w:t xml:space="preserve">, אבל באותה הזדמנות דחה את הקושיה שהפירוש המחודש בא ליישב, וביאר שאין במשנה קושי כלל. עוד על חשיבותו של ר׳ </w:t>
      </w:r>
      <w:proofErr w:type="spellStart"/>
      <w:r>
        <w:rPr>
          <w:rtl/>
        </w:rPr>
        <w:t>שמואל־הירש</w:t>
      </w:r>
      <w:proofErr w:type="spellEnd"/>
      <w:r>
        <w:rPr>
          <w:rtl/>
        </w:rPr>
        <w:t xml:space="preserve"> בעיני הגויים ראה הערה 3 בפתיחה.</w:t>
      </w:r>
    </w:p>
    <w:p w14:paraId="6922CADF" w14:textId="0C5CCDD1" w:rsidR="00AB3647" w:rsidRDefault="00000000" w:rsidP="007923E9">
      <w:pPr>
        <w:spacing w:after="100" w:line="276" w:lineRule="auto"/>
        <w:ind w:firstLine="340"/>
        <w:jc w:val="both"/>
      </w:pPr>
      <w:r>
        <w:rPr>
          <w:rtl/>
        </w:rPr>
        <w:t xml:space="preserve">אחותו של ר׳ </w:t>
      </w:r>
      <w:proofErr w:type="spellStart"/>
      <w:r>
        <w:rPr>
          <w:rtl/>
        </w:rPr>
        <w:t>שמואל־הירש</w:t>
      </w:r>
      <w:proofErr w:type="spellEnd"/>
      <w:r>
        <w:rPr>
          <w:rtl/>
        </w:rPr>
        <w:t xml:space="preserve"> הייתה נשואה </w:t>
      </w:r>
      <w:proofErr w:type="spellStart"/>
      <w:r>
        <w:rPr>
          <w:rtl/>
        </w:rPr>
        <w:t>לר</w:t>
      </w:r>
      <w:proofErr w:type="spellEnd"/>
      <w:r>
        <w:rPr>
          <w:rtl/>
        </w:rPr>
        <w:t xml:space="preserve">׳ </w:t>
      </w:r>
      <w:proofErr w:type="spellStart"/>
      <w:r>
        <w:rPr>
          <w:rtl/>
        </w:rPr>
        <w:t>מאיר־מיכל</w:t>
      </w:r>
      <w:proofErr w:type="spellEnd"/>
      <w:r>
        <w:rPr>
          <w:rtl/>
        </w:rPr>
        <w:t xml:space="preserve"> </w:t>
      </w:r>
      <w:proofErr w:type="spellStart"/>
      <w:r>
        <w:rPr>
          <w:rtl/>
        </w:rPr>
        <w:t>רבינוביץ</w:t>
      </w:r>
      <w:proofErr w:type="spellEnd"/>
      <w:r>
        <w:rPr>
          <w:rtl/>
        </w:rPr>
        <w:t xml:space="preserve"> (תק״צ–תרס״ב), רב העיירה שאט ואחר כך </w:t>
      </w:r>
      <w:proofErr w:type="spellStart"/>
      <w:r>
        <w:rPr>
          <w:rtl/>
        </w:rPr>
        <w:t>מ״ץ</w:t>
      </w:r>
      <w:proofErr w:type="spellEnd"/>
      <w:r>
        <w:rPr>
          <w:rtl/>
        </w:rPr>
        <w:t xml:space="preserve"> בווילנה, בעל “המאיר לעולם”, שכונה “השאגת אריה השני”. הספר “גדולים פון </w:t>
      </w:r>
      <w:proofErr w:type="spellStart"/>
      <w:r>
        <w:rPr>
          <w:rtl/>
        </w:rPr>
        <w:t>אונזער</w:t>
      </w:r>
      <w:proofErr w:type="spellEnd"/>
      <w:r>
        <w:rPr>
          <w:rtl/>
        </w:rPr>
        <w:t xml:space="preserve"> </w:t>
      </w:r>
      <w:proofErr w:type="spellStart"/>
      <w:r>
        <w:rPr>
          <w:rtl/>
        </w:rPr>
        <w:t>צייט</w:t>
      </w:r>
      <w:proofErr w:type="spellEnd"/>
      <w:r>
        <w:rPr>
          <w:rtl/>
        </w:rPr>
        <w:t>” [גדולי זמננו] מאת יעקב מארק</w:t>
      </w:r>
      <w:bookmarkStart w:id="204" w:name="_fnr149"/>
      <w:r>
        <w:rPr>
          <w:rStyle w:val="a5"/>
        </w:rPr>
        <w:footnoteReference w:id="149" w:customMarkFollows="0"/>
      </w:r>
      <w:bookmarkEnd w:id="204"/>
      <w:r>
        <w:rPr>
          <w:rtl/>
        </w:rPr>
        <w:t xml:space="preserve"> מקדיש לו פרק</w:t>
      </w:r>
      <w:bookmarkStart w:id="205" w:name="_fnr150"/>
      <w:r>
        <w:rPr>
          <w:rStyle w:val="a5"/>
        </w:rPr>
        <w:footnoteReference w:id="150" w:customMarkFollows="0"/>
      </w:r>
      <w:bookmarkEnd w:id="205"/>
      <w:r>
        <w:rPr>
          <w:rtl/>
        </w:rPr>
        <w:t xml:space="preserve">. בדורות קודמים היו גם רבנים ממשפחת </w:t>
      </w:r>
      <w:proofErr w:type="spellStart"/>
      <w:r>
        <w:rPr>
          <w:rtl/>
        </w:rPr>
        <w:t>קמינצקי</w:t>
      </w:r>
      <w:proofErr w:type="spellEnd"/>
      <w:r>
        <w:rPr>
          <w:rtl/>
        </w:rPr>
        <w:t xml:space="preserve"> בעיר לידה. אחד מבני </w:t>
      </w:r>
      <w:proofErr w:type="spellStart"/>
      <w:r>
        <w:rPr>
          <w:rtl/>
        </w:rPr>
        <w:t>קמינצקי</w:t>
      </w:r>
      <w:proofErr w:type="spellEnd"/>
      <w:r>
        <w:rPr>
          <w:rtl/>
        </w:rPr>
        <w:t xml:space="preserve"> שבלידה, ר׳ מרדכי, </w:t>
      </w:r>
      <w:r>
        <w:rPr>
          <w:rtl/>
        </w:rPr>
        <w:lastRenderedPageBreak/>
        <w:t>היה סוחר עשיר ורב מוסמך, וחתנו של ר׳ חיים (</w:t>
      </w:r>
      <w:proofErr w:type="spellStart"/>
      <w:r w:rsidR="00AB485B">
        <w:rPr>
          <w:rtl/>
        </w:rPr>
        <w:t>איצקוביץ</w:t>
      </w:r>
      <w:proofErr w:type="spellEnd"/>
      <w:r w:rsidR="00AB485B">
        <w:rPr>
          <w:rtl/>
        </w:rPr>
        <w:t>'</w:t>
      </w:r>
      <w:r>
        <w:rPr>
          <w:rtl/>
        </w:rPr>
        <w:t xml:space="preserve">) </w:t>
      </w:r>
      <w:proofErr w:type="spellStart"/>
      <w:r>
        <w:rPr>
          <w:rtl/>
        </w:rPr>
        <w:t>מוולוז׳ין</w:t>
      </w:r>
      <w:bookmarkStart w:id="206" w:name="_fnr151"/>
      <w:proofErr w:type="spellEnd"/>
      <w:r>
        <w:rPr>
          <w:rStyle w:val="a5"/>
        </w:rPr>
        <w:footnoteReference w:id="151" w:customMarkFollows="0"/>
      </w:r>
      <w:bookmarkEnd w:id="206"/>
      <w:r>
        <w:rPr>
          <w:rtl/>
        </w:rPr>
        <w:t>. אבל דודתי דבורה</w:t>
      </w:r>
      <w:bookmarkStart w:id="207" w:name="_fnr152"/>
      <w:r>
        <w:rPr>
          <w:rStyle w:val="a5"/>
        </w:rPr>
        <w:footnoteReference w:id="152" w:customMarkFollows="0"/>
      </w:r>
      <w:bookmarkEnd w:id="207"/>
      <w:r>
        <w:rPr>
          <w:rtl/>
        </w:rPr>
        <w:t xml:space="preserve"> טענה </w:t>
      </w:r>
      <w:proofErr w:type="spellStart"/>
      <w:r>
        <w:rPr>
          <w:rtl/>
        </w:rPr>
        <w:t>ש“במשפחת</w:t>
      </w:r>
      <w:proofErr w:type="spellEnd"/>
      <w:r>
        <w:rPr>
          <w:rtl/>
        </w:rPr>
        <w:t xml:space="preserve"> אמה היו יותר רבנים ובעלי צדקה מאשר במשפחת אביה”.</w:t>
      </w:r>
    </w:p>
    <w:p w14:paraId="76CDB216" w14:textId="77777777" w:rsidR="00AB3647" w:rsidRDefault="00000000" w:rsidP="007923E9">
      <w:pPr>
        <w:spacing w:after="100" w:line="276" w:lineRule="auto"/>
        <w:ind w:firstLine="340"/>
        <w:jc w:val="both"/>
      </w:pPr>
      <w:r>
        <w:rPr>
          <w:rtl/>
        </w:rPr>
        <w:t xml:space="preserve">אבי אמר שהיו באירופה שתי משפחות </w:t>
      </w:r>
      <w:proofErr w:type="spellStart"/>
      <w:r>
        <w:rPr>
          <w:rtl/>
        </w:rPr>
        <w:t>קמינצקי</w:t>
      </w:r>
      <w:proofErr w:type="spellEnd"/>
      <w:r>
        <w:rPr>
          <w:rtl/>
        </w:rPr>
        <w:t xml:space="preserve">: האחת </w:t>
      </w:r>
      <w:proofErr w:type="spellStart"/>
      <w:r>
        <w:rPr>
          <w:rtl/>
        </w:rPr>
        <w:t>מקמניץ־ליטובסק</w:t>
      </w:r>
      <w:proofErr w:type="spellEnd"/>
      <w:r>
        <w:rPr>
          <w:rtl/>
        </w:rPr>
        <w:t xml:space="preserve"> שבליטא, והאחרת </w:t>
      </w:r>
      <w:proofErr w:type="spellStart"/>
      <w:r>
        <w:rPr>
          <w:rtl/>
        </w:rPr>
        <w:t>מקמניץ־פודולסק</w:t>
      </w:r>
      <w:proofErr w:type="spellEnd"/>
      <w:r>
        <w:rPr>
          <w:rtl/>
        </w:rPr>
        <w:t xml:space="preserve"> </w:t>
      </w:r>
      <w:proofErr w:type="spellStart"/>
      <w:r>
        <w:rPr>
          <w:rtl/>
        </w:rPr>
        <w:t>שבפודוליה</w:t>
      </w:r>
      <w:proofErr w:type="spellEnd"/>
      <w:r>
        <w:rPr>
          <w:rtl/>
        </w:rPr>
        <w:t xml:space="preserve">, באוקראינה. לדבריו, כל בני </w:t>
      </w:r>
      <w:proofErr w:type="spellStart"/>
      <w:r>
        <w:rPr>
          <w:rtl/>
        </w:rPr>
        <w:t>קמינצקי</w:t>
      </w:r>
      <w:proofErr w:type="spellEnd"/>
      <w:r>
        <w:rPr>
          <w:rtl/>
        </w:rPr>
        <w:t xml:space="preserve"> שבליטא קרובים זה לזה. ראה </w:t>
      </w:r>
      <w:r>
        <w:rPr>
          <w:b/>
          <w:bCs/>
          <w:rtl/>
        </w:rPr>
        <w:t>לדוגמה</w:t>
      </w:r>
      <w:r>
        <w:rPr>
          <w:rtl/>
        </w:rPr>
        <w:t xml:space="preserve"> חידושים מאת ר׳ יעקב מאיר </w:t>
      </w:r>
      <w:proofErr w:type="spellStart"/>
      <w:r>
        <w:rPr>
          <w:rtl/>
        </w:rPr>
        <w:t>קאמענעצקי</w:t>
      </w:r>
      <w:proofErr w:type="spellEnd"/>
      <w:r>
        <w:rPr>
          <w:rtl/>
        </w:rPr>
        <w:t xml:space="preserve"> “המכונה </w:t>
      </w:r>
      <w:proofErr w:type="spellStart"/>
      <w:r>
        <w:rPr>
          <w:rtl/>
        </w:rPr>
        <w:t>ראגאלער</w:t>
      </w:r>
      <w:proofErr w:type="spellEnd"/>
      <w:r>
        <w:rPr>
          <w:rtl/>
        </w:rPr>
        <w:t>”</w:t>
      </w:r>
      <w:bookmarkStart w:id="208" w:name="_fnr153"/>
      <w:r>
        <w:rPr>
          <w:rStyle w:val="a5"/>
        </w:rPr>
        <w:footnoteReference w:id="153" w:customMarkFollows="0"/>
      </w:r>
      <w:bookmarkEnd w:id="208"/>
      <w:r>
        <w:rPr>
          <w:rtl/>
        </w:rPr>
        <w:t xml:space="preserve"> בסוף שו״ת נודע ביהודה </w:t>
      </w:r>
      <w:proofErr w:type="spellStart"/>
      <w:r>
        <w:rPr>
          <w:rtl/>
        </w:rPr>
        <w:t>מהדורא</w:t>
      </w:r>
      <w:proofErr w:type="spellEnd"/>
      <w:r>
        <w:rPr>
          <w:rtl/>
        </w:rPr>
        <w:t xml:space="preserve"> </w:t>
      </w:r>
      <w:proofErr w:type="spellStart"/>
      <w:r>
        <w:rPr>
          <w:rtl/>
        </w:rPr>
        <w:t>בתרא</w:t>
      </w:r>
      <w:proofErr w:type="spellEnd"/>
      <w:r>
        <w:rPr>
          <w:rtl/>
        </w:rPr>
        <w:t>.</w:t>
      </w:r>
    </w:p>
    <w:bookmarkStart w:id="209" w:name="b1_note14"/>
    <w:p w14:paraId="4C35F778" w14:textId="77777777" w:rsidR="00AB3647" w:rsidRDefault="00000000" w:rsidP="007923E9">
      <w:pPr>
        <w:spacing w:before="120" w:after="100" w:line="276" w:lineRule="auto"/>
        <w:jc w:val="both"/>
      </w:pPr>
      <w:r>
        <w:fldChar w:fldCharType="begin" w:dirty="true"/>
      </w:r>
      <w:r>
        <w:instrText>HYPERLINK \l "b1_ref14"</w:instrText>
      </w:r>
      <w:r>
        <w:fldChar w:fldCharType="separate"/>
      </w:r>
      <w:r>
        <w:rPr>
          <w:b/>
          <w:bCs/>
          <w:rtl/>
        </w:rPr>
        <w:t>14</w:t>
      </w:r>
      <w:r>
        <w:rPr>
          <w:b/>
          <w:bCs/>
        </w:rPr>
        <w:fldChar w:fldCharType="end"/>
      </w:r>
      <w:bookmarkEnd w:id="209"/>
      <w:r>
        <w:rPr>
          <w:rtl/>
        </w:rPr>
        <w:t xml:space="preserve"> מאמר זיכרון מאת הרב אהרן ב. </w:t>
      </w:r>
      <w:proofErr w:type="spellStart"/>
      <w:r>
        <w:rPr>
          <w:rtl/>
        </w:rPr>
        <w:t>שורין</w:t>
      </w:r>
      <w:proofErr w:type="spellEnd"/>
      <w:r>
        <w:rPr>
          <w:rtl/>
        </w:rPr>
        <w:t xml:space="preserve"> בעיתון </w:t>
      </w:r>
      <w:proofErr w:type="spellStart"/>
      <w:r>
        <w:rPr>
          <w:rtl/>
        </w:rPr>
        <w:t>פארווערטס</w:t>
      </w:r>
      <w:proofErr w:type="spellEnd"/>
      <w:r>
        <w:rPr>
          <w:rtl/>
        </w:rPr>
        <w:t xml:space="preserve"> מיום י״ז באדר ב׳ תשמ״ו אומר שר׳ </w:t>
      </w:r>
      <w:proofErr w:type="spellStart"/>
      <w:r>
        <w:rPr>
          <w:rtl/>
        </w:rPr>
        <w:t>שמואל־הירש</w:t>
      </w:r>
      <w:proofErr w:type="spellEnd"/>
      <w:r>
        <w:rPr>
          <w:rtl/>
        </w:rPr>
        <w:t xml:space="preserve"> היה בעליהם של “הכפרים </w:t>
      </w:r>
      <w:proofErr w:type="spellStart"/>
      <w:r>
        <w:rPr>
          <w:rtl/>
        </w:rPr>
        <w:t>קאלוז׳קובקה</w:t>
      </w:r>
      <w:proofErr w:type="spellEnd"/>
      <w:r>
        <w:rPr>
          <w:rtl/>
        </w:rPr>
        <w:t xml:space="preserve"> </w:t>
      </w:r>
      <w:proofErr w:type="spellStart"/>
      <w:r>
        <w:rPr>
          <w:rtl/>
        </w:rPr>
        <w:t>ואיזבישצ׳יה</w:t>
      </w:r>
      <w:bookmarkStart w:id="210" w:name="_fnr154"/>
      <w:proofErr w:type="spellEnd"/>
      <w:r>
        <w:rPr>
          <w:rStyle w:val="a5"/>
        </w:rPr>
        <w:footnoteReference w:id="154" w:customMarkFollows="0"/>
      </w:r>
      <w:bookmarkEnd w:id="210"/>
      <w:r>
        <w:rPr>
          <w:rtl/>
        </w:rPr>
        <w:t xml:space="preserve">”. המידע הביוגרפי שבמאמר הושג בריאיון עם אבי ונרשם “שנים רבות קודם לכן”. דודתי דבורה, שהתכתבה עמי, הזכירה את </w:t>
      </w:r>
      <w:proofErr w:type="spellStart"/>
      <w:r>
        <w:rPr>
          <w:rtl/>
        </w:rPr>
        <w:t>איזבישצ׳יה</w:t>
      </w:r>
      <w:proofErr w:type="spellEnd"/>
      <w:r>
        <w:rPr>
          <w:rtl/>
        </w:rPr>
        <w:t xml:space="preserve"> ועוד כפר, </w:t>
      </w:r>
      <w:proofErr w:type="spellStart"/>
      <w:r>
        <w:rPr>
          <w:rtl/>
        </w:rPr>
        <w:t>סאקוביצ׳י</w:t>
      </w:r>
      <w:proofErr w:type="spellEnd"/>
      <w:r>
        <w:rPr>
          <w:rtl/>
        </w:rPr>
        <w:t xml:space="preserve">, כקרובים </w:t>
      </w:r>
      <w:proofErr w:type="spellStart"/>
      <w:r>
        <w:rPr>
          <w:rtl/>
        </w:rPr>
        <w:t>לקאליסקובקה</w:t>
      </w:r>
      <w:bookmarkStart w:id="211" w:name="_fnr155"/>
      <w:proofErr w:type="spellEnd"/>
      <w:r>
        <w:rPr>
          <w:rStyle w:val="a5"/>
        </w:rPr>
        <w:footnoteReference w:id="155" w:customMarkFollows="0"/>
      </w:r>
      <w:bookmarkEnd w:id="211"/>
      <w:r>
        <w:rPr>
          <w:rtl/>
        </w:rPr>
        <w:t>.</w:t>
      </w:r>
    </w:p>
    <w:p w14:paraId="4D638BA3" w14:textId="77777777" w:rsidR="00AB3647" w:rsidRDefault="00000000" w:rsidP="007923E9">
      <w:pPr>
        <w:spacing w:after="100" w:line="276" w:lineRule="auto"/>
        <w:ind w:firstLine="340"/>
        <w:jc w:val="both"/>
      </w:pPr>
      <w:r>
        <w:rPr>
          <w:rtl/>
        </w:rPr>
        <w:t xml:space="preserve">במאמר בספר “אש תמיד – יזכור </w:t>
      </w:r>
      <w:proofErr w:type="spellStart"/>
      <w:r>
        <w:rPr>
          <w:rtl/>
        </w:rPr>
        <w:t>לדולהינוב</w:t>
      </w:r>
      <w:proofErr w:type="spellEnd"/>
      <w:r>
        <w:rPr>
          <w:rtl/>
        </w:rPr>
        <w:t xml:space="preserve">”, שהוציא לאור ארגון יוצאי </w:t>
      </w:r>
      <w:proofErr w:type="spellStart"/>
      <w:r>
        <w:rPr>
          <w:rtl/>
        </w:rPr>
        <w:t>דולהינוב</w:t>
      </w:r>
      <w:proofErr w:type="spellEnd"/>
      <w:r>
        <w:rPr>
          <w:rtl/>
        </w:rPr>
        <w:t xml:space="preserve"> בישראל בלי ציון שנה (להלן: “אש תמיד”)</w:t>
      </w:r>
      <w:bookmarkStart w:id="212" w:name="_fnr156"/>
      <w:r>
        <w:rPr>
          <w:rStyle w:val="a5"/>
        </w:rPr>
        <w:footnoteReference w:id="156" w:customMarkFollows="0"/>
      </w:r>
      <w:bookmarkEnd w:id="212"/>
      <w:r>
        <w:rPr>
          <w:rtl/>
        </w:rPr>
        <w:t xml:space="preserve">, מונה הרצל </w:t>
      </w:r>
      <w:proofErr w:type="spellStart"/>
      <w:r>
        <w:rPr>
          <w:rtl/>
        </w:rPr>
        <w:t>גיטלסון</w:t>
      </w:r>
      <w:proofErr w:type="spellEnd"/>
      <w:r>
        <w:rPr>
          <w:rtl/>
        </w:rPr>
        <w:t xml:space="preserve"> כמה אחוזות בסביבות </w:t>
      </w:r>
      <w:proofErr w:type="spellStart"/>
      <w:r>
        <w:rPr>
          <w:rtl/>
        </w:rPr>
        <w:t>דולהינוב</w:t>
      </w:r>
      <w:proofErr w:type="spellEnd"/>
      <w:r>
        <w:rPr>
          <w:rtl/>
        </w:rPr>
        <w:t xml:space="preserve"> שהיו בבעלות יהודים עשירים בשנות </w:t>
      </w:r>
      <w:proofErr w:type="spellStart"/>
      <w:r>
        <w:rPr>
          <w:rtl/>
        </w:rPr>
        <w:t>הת״ר־נ</w:t>
      </w:r>
      <w:proofErr w:type="spellEnd"/>
      <w:r>
        <w:rPr>
          <w:rtl/>
        </w:rPr>
        <w:t xml:space="preserve">׳. המחבר יודע את שמותיהן של כמה מהאחוזות ושל כמה מבעליהן. את </w:t>
      </w:r>
      <w:proofErr w:type="spellStart"/>
      <w:r>
        <w:rPr>
          <w:rtl/>
        </w:rPr>
        <w:t>קאליסקובקה</w:t>
      </w:r>
      <w:proofErr w:type="spellEnd"/>
      <w:r>
        <w:rPr>
          <w:rtl/>
        </w:rPr>
        <w:t xml:space="preserve"> הוא מתאר בדייקנות, אבל אינו יודע את שמה ולא את שם בעליה.</w:t>
      </w:r>
    </w:p>
    <w:bookmarkStart w:id="213" w:name="b1_note15"/>
    <w:p w14:paraId="7EF0CC45" w14:textId="77777777" w:rsidR="00AB3647" w:rsidRDefault="00000000" w:rsidP="007923E9">
      <w:pPr>
        <w:spacing w:before="120" w:after="100" w:line="276" w:lineRule="auto"/>
        <w:jc w:val="both"/>
      </w:pPr>
      <w:r>
        <w:fldChar w:fldCharType="begin" w:dirty="true"/>
      </w:r>
      <w:r>
        <w:instrText>HYPERLINK \l "b1_ref15"</w:instrText>
      </w:r>
      <w:r>
        <w:fldChar w:fldCharType="separate"/>
      </w:r>
      <w:r>
        <w:rPr>
          <w:b/>
          <w:bCs/>
          <w:rtl/>
        </w:rPr>
        <w:t>15</w:t>
      </w:r>
      <w:r>
        <w:rPr>
          <w:b/>
          <w:bCs/>
        </w:rPr>
        <w:fldChar w:fldCharType="end"/>
      </w:r>
      <w:bookmarkEnd w:id="213"/>
      <w:r>
        <w:rPr>
          <w:rtl/>
        </w:rPr>
        <w:t xml:space="preserve"> חמישים וחמש שנה אחרי המאורעות המתוארים כאן ברחו לתוך היערות האלה, הידועים כיער </w:t>
      </w:r>
      <w:proofErr w:type="spellStart"/>
      <w:r>
        <w:rPr>
          <w:rtl/>
        </w:rPr>
        <w:t>נארוץ</w:t>
      </w:r>
      <w:proofErr w:type="spellEnd"/>
      <w:r>
        <w:rPr>
          <w:rtl/>
        </w:rPr>
        <w:t xml:space="preserve">׳, ניצולי מעשי הרצח של הגרמנים </w:t>
      </w:r>
      <w:proofErr w:type="spellStart"/>
      <w:r>
        <w:rPr>
          <w:rtl/>
        </w:rPr>
        <w:t>בדולהינוב</w:t>
      </w:r>
      <w:proofErr w:type="spellEnd"/>
      <w:r>
        <w:rPr>
          <w:rtl/>
        </w:rPr>
        <w:t xml:space="preserve"> ובעיירות השכנות, והצטרפו לקבוצות הפרטיזנים שם. ככל שמתקדמים מזרחה היער נעשה ביצתי יותר, וכך יכלו הפרטיזנים להיות בטוחים יותר מפני רודפיהם.</w:t>
      </w:r>
    </w:p>
    <w:p w14:paraId="76D96E05" w14:textId="30163264"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גם הנהר היה מקור פרנסה שופע. מימיו השוצפים נסכרו כדי להניע את הטחנה הגדולה ואת מכונת טוויית הצמר, ובהן שירת ר׳ </w:t>
      </w:r>
      <w:proofErr w:type="spellStart"/>
      <w:r>
        <w:rPr>
          <w:rtl/>
        </w:rPr>
        <w:t>שמואל־הירש</w:t>
      </w:r>
      <w:proofErr w:type="spellEnd"/>
      <w:r>
        <w:rPr>
          <w:rtl/>
        </w:rPr>
        <w:t xml:space="preserve"> את האיכרים מן הכפרים שבסביבה. בידיו היה גם הרישיון הממשלתי לכרות עצים ולהשיטם במורד הנהר אל נהר </w:t>
      </w:r>
      <w:proofErr w:type="spellStart"/>
      <w:r>
        <w:rPr>
          <w:rtl/>
        </w:rPr>
        <w:t>וויליה</w:t>
      </w:r>
      <w:proofErr w:type="spellEnd"/>
      <w:r>
        <w:rPr>
          <w:rtl/>
        </w:rPr>
        <w:t>, ומשם בנהר נמן</w:t>
      </w:r>
      <w:bookmarkStart w:id="214" w:name="b1_ref16"/>
      <w:bookmarkEnd w:id="214"/>
      <w:r>
        <w:rPr>
          <w:vertAlign w:val="superscript"/>
          <w:rtl/>
        </w:rPr>
        <w:fldChar w:fldCharType="begin" w:dirty="true"/>
      </w:r>
      <w:r>
        <w:rPr>
          <w:vertAlign w:val="superscript"/>
          <w:rtl/>
        </w:rPr>
        <w:instrText xml:space="preserve"> REF b1_note16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16</w:t>
      </w:r>
      <w:r>
        <w:rPr>
          <w:vertAlign w:val="superscript"/>
          <w:rtl/>
        </w:rPr>
        <w:fldChar w:fldCharType="end"/>
      </w:r>
      <w:r>
        <w:rPr>
          <w:rtl/>
        </w:rPr>
        <w:t xml:space="preserve"> אל הים הבלטי, סמוך לנמל הגרמני ממל. ובכל רגע פנוי ישב עם ספר ולמד. הוא נודע כתלמיד חכם מופלג, שכן בכל פעם שהתעוררה שאלה הלכתית קשה, היה רב </w:t>
      </w:r>
      <w:proofErr w:type="spellStart"/>
      <w:r>
        <w:rPr>
          <w:rtl/>
        </w:rPr>
        <w:t>דולהינוב</w:t>
      </w:r>
      <w:proofErr w:type="spellEnd"/>
      <w:r>
        <w:rPr>
          <w:rtl/>
        </w:rPr>
        <w:t xml:space="preserve">, ר׳ </w:t>
      </w:r>
      <w:proofErr w:type="spellStart"/>
      <w:r>
        <w:rPr>
          <w:rtl/>
        </w:rPr>
        <w:t>יעקב־אברהם</w:t>
      </w:r>
      <w:proofErr w:type="spellEnd"/>
      <w:r>
        <w:rPr>
          <w:rtl/>
        </w:rPr>
        <w:t>, נועץ בו</w:t>
      </w:r>
      <w:bookmarkStart w:id="215" w:name="b1_ref17"/>
      <w:bookmarkEnd w:id="215"/>
      <w:r>
        <w:rPr>
          <w:vertAlign w:val="superscript"/>
          <w:rtl/>
        </w:rPr>
        <w:fldChar w:fldCharType="begin" w:dirty="true"/>
      </w:r>
      <w:r>
        <w:rPr>
          <w:vertAlign w:val="superscript"/>
          <w:rtl/>
        </w:rPr>
        <w:instrText xml:space="preserve"> REF b1_note17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17</w:t>
      </w:r>
      <w:r>
        <w:rPr>
          <w:vertAlign w:val="superscript"/>
          <w:rtl/>
        </w:rPr>
        <w:fldChar w:fldCharType="end"/>
      </w:r>
      <w:r>
        <w:rPr>
          <w:rtl/>
        </w:rPr>
        <w:t>.</w:t>
      </w:r>
    </w:p>
    <w:bookmarkStart w:id="216" w:name="b1_note16"/>
    <w:p w14:paraId="0E5EB8DF" w14:textId="5E97ED22" w:rsidR="00AB3647" w:rsidRDefault="00000000" w:rsidP="007923E9">
      <w:pPr>
        <w:spacing w:before="120" w:after="100" w:line="276" w:lineRule="auto"/>
        <w:jc w:val="both"/>
      </w:pPr>
      <w:r>
        <w:lastRenderedPageBreak/>
        <w:fldChar w:fldCharType="begin" w:dirty="true"/>
      </w:r>
      <w:r>
        <w:instrText>HYPERLINK \l "b1_ref16"</w:instrText>
      </w:r>
      <w:r>
        <w:fldChar w:fldCharType="separate"/>
      </w:r>
      <w:r>
        <w:rPr>
          <w:b/>
          <w:bCs/>
          <w:rtl/>
        </w:rPr>
        <w:t>16</w:t>
      </w:r>
      <w:r>
        <w:rPr>
          <w:b/>
          <w:bCs/>
        </w:rPr>
        <w:fldChar w:fldCharType="end"/>
      </w:r>
      <w:bookmarkEnd w:id="216"/>
      <w:r>
        <w:rPr>
          <w:rtl/>
        </w:rPr>
        <w:t xml:space="preserve"> ראה פרק 3, הערה </w:t>
      </w:r>
      <w:r>
        <w:rPr>
          <w:rtl/>
        </w:rPr>
        <w:fldChar w:fldCharType="begin" w:dirty="true"/>
      </w:r>
      <w:r>
        <w:rPr>
          <w:rtl/>
        </w:rPr>
        <w:instrText xml:space="preserve"> REF b3_note5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5 </w:t>
      </w:r>
      <w:r>
        <w:rPr>
          <w:rtl/>
        </w:rPr>
        <w:fldChar w:fldCharType="end"/>
      </w:r>
      <w:r>
        <w:rPr>
          <w:rtl/>
        </w:rPr>
        <w:t>.</w:t>
      </w:r>
    </w:p>
    <w:bookmarkStart w:id="217" w:name="b1_note17"/>
    <w:p w14:paraId="62E6EAA6" w14:textId="77777777" w:rsidR="00AB3647" w:rsidRDefault="00000000" w:rsidP="007923E9">
      <w:pPr>
        <w:spacing w:before="120" w:after="100" w:line="276" w:lineRule="auto"/>
        <w:jc w:val="both"/>
      </w:pPr>
      <w:r>
        <w:fldChar w:fldCharType="begin" w:dirty="true"/>
      </w:r>
      <w:r>
        <w:instrText>HYPERLINK \l "b1_ref17"</w:instrText>
      </w:r>
      <w:r>
        <w:fldChar w:fldCharType="separate"/>
      </w:r>
      <w:r>
        <w:rPr>
          <w:b/>
          <w:bCs/>
          <w:rtl/>
        </w:rPr>
        <w:t>17</w:t>
      </w:r>
      <w:r>
        <w:rPr>
          <w:b/>
          <w:bCs/>
        </w:rPr>
        <w:fldChar w:fldCharType="end"/>
      </w:r>
      <w:bookmarkEnd w:id="217"/>
      <w:r>
        <w:rPr>
          <w:rtl/>
        </w:rPr>
        <w:t xml:space="preserve"> מאמרו של הרב </w:t>
      </w:r>
      <w:proofErr w:type="spellStart"/>
      <w:r>
        <w:rPr>
          <w:rtl/>
        </w:rPr>
        <w:t>אהרן־בן־ציון</w:t>
      </w:r>
      <w:proofErr w:type="spellEnd"/>
      <w:r>
        <w:rPr>
          <w:rtl/>
        </w:rPr>
        <w:t xml:space="preserve"> </w:t>
      </w:r>
      <w:proofErr w:type="spellStart"/>
      <w:r>
        <w:rPr>
          <w:rtl/>
        </w:rPr>
        <w:t>שורין</w:t>
      </w:r>
      <w:proofErr w:type="spellEnd"/>
      <w:r>
        <w:rPr>
          <w:rtl/>
        </w:rPr>
        <w:t xml:space="preserve"> </w:t>
      </w:r>
      <w:proofErr w:type="spellStart"/>
      <w:r>
        <w:rPr>
          <w:rtl/>
        </w:rPr>
        <w:t>ב“פארווערטס</w:t>
      </w:r>
      <w:proofErr w:type="spellEnd"/>
      <w:r>
        <w:rPr>
          <w:rtl/>
        </w:rPr>
        <w:t>”</w:t>
      </w:r>
      <w:bookmarkStart w:id="218" w:name="_fnr157"/>
      <w:r>
        <w:rPr>
          <w:rStyle w:val="a5"/>
        </w:rPr>
        <w:footnoteReference w:id="157" w:customMarkFollows="0"/>
      </w:r>
      <w:bookmarkEnd w:id="218"/>
      <w:r>
        <w:rPr>
          <w:rtl/>
        </w:rPr>
        <w:t xml:space="preserve"> מזכיר עובדה זו בלי לנקוב בשם הרב. שמו מופיע </w:t>
      </w:r>
      <w:proofErr w:type="spellStart"/>
      <w:r>
        <w:rPr>
          <w:rtl/>
        </w:rPr>
        <w:t>ב“אש</w:t>
      </w:r>
      <w:proofErr w:type="spellEnd"/>
      <w:r>
        <w:rPr>
          <w:rtl/>
        </w:rPr>
        <w:t xml:space="preserve"> תמיד”</w:t>
      </w:r>
      <w:bookmarkStart w:id="219" w:name="_fnr158"/>
      <w:r>
        <w:rPr>
          <w:rStyle w:val="a5"/>
        </w:rPr>
        <w:footnoteReference w:id="158" w:customMarkFollows="0"/>
      </w:r>
      <w:bookmarkEnd w:id="219"/>
      <w:r>
        <w:rPr>
          <w:rtl/>
        </w:rPr>
        <w:t>.</w:t>
      </w:r>
    </w:p>
    <w:p w14:paraId="4FC4BF84" w14:textId="42F74E94"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ר׳ </w:t>
      </w:r>
      <w:proofErr w:type="spellStart"/>
      <w:r>
        <w:rPr>
          <w:rtl/>
        </w:rPr>
        <w:t>שמואל־הירש</w:t>
      </w:r>
      <w:proofErr w:type="spellEnd"/>
      <w:r>
        <w:rPr>
          <w:rtl/>
        </w:rPr>
        <w:t xml:space="preserve"> ניהל את עסקיו הנרחבים בחקלאות ובכריתת עצים בעזרת בניו הבוגרים, ישראל־יצחק</w:t>
      </w:r>
      <w:bookmarkStart w:id="220" w:name="b1_ref18"/>
      <w:bookmarkEnd w:id="220"/>
      <w:r>
        <w:rPr>
          <w:vertAlign w:val="superscript"/>
          <w:rtl/>
        </w:rPr>
        <w:fldChar w:fldCharType="begin" w:dirty="true"/>
      </w:r>
      <w:r>
        <w:rPr>
          <w:vertAlign w:val="superscript"/>
          <w:rtl/>
        </w:rPr>
        <w:instrText xml:space="preserve"> REF b1_note18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18</w:t>
      </w:r>
      <w:r>
        <w:rPr>
          <w:vertAlign w:val="superscript"/>
          <w:rtl/>
        </w:rPr>
        <w:fldChar w:fldCharType="end"/>
      </w:r>
      <w:r>
        <w:rPr>
          <w:rtl/>
        </w:rPr>
        <w:t xml:space="preserve"> ואברהם־משה</w:t>
      </w:r>
      <w:bookmarkStart w:id="221" w:name="b1_ref19"/>
      <w:bookmarkEnd w:id="221"/>
      <w:r>
        <w:rPr>
          <w:vertAlign w:val="superscript"/>
          <w:rtl/>
        </w:rPr>
        <w:fldChar w:fldCharType="begin" w:dirty="true"/>
      </w:r>
      <w:r>
        <w:rPr>
          <w:vertAlign w:val="superscript"/>
          <w:rtl/>
        </w:rPr>
        <w:instrText xml:space="preserve"> REF b1_note19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19</w:t>
      </w:r>
      <w:r>
        <w:rPr>
          <w:vertAlign w:val="superscript"/>
          <w:rtl/>
        </w:rPr>
        <w:fldChar w:fldCharType="end"/>
      </w:r>
      <w:r>
        <w:rPr>
          <w:rtl/>
        </w:rPr>
        <w:t>, ובעזרת פועלים גויים מן הסביבה</w:t>
      </w:r>
      <w:bookmarkStart w:id="222" w:name="b1_ref20"/>
      <w:bookmarkEnd w:id="222"/>
      <w:r>
        <w:rPr>
          <w:vertAlign w:val="superscript"/>
          <w:rtl/>
        </w:rPr>
        <w:fldChar w:fldCharType="begin" w:dirty="true"/>
      </w:r>
      <w:r>
        <w:rPr>
          <w:vertAlign w:val="superscript"/>
          <w:rtl/>
        </w:rPr>
        <w:instrText xml:space="preserve"> REF b1_note20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20</w:t>
      </w:r>
      <w:r>
        <w:rPr>
          <w:vertAlign w:val="superscript"/>
          <w:rtl/>
        </w:rPr>
        <w:fldChar w:fldCharType="end"/>
      </w:r>
      <w:r>
        <w:rPr>
          <w:rtl/>
        </w:rPr>
        <w:t xml:space="preserve">. בנו בנימין היה מבוגר </w:t>
      </w:r>
      <w:proofErr w:type="spellStart"/>
      <w:r>
        <w:rPr>
          <w:rtl/>
        </w:rPr>
        <w:t>מאברהם־משה</w:t>
      </w:r>
      <w:proofErr w:type="spellEnd"/>
      <w:r>
        <w:rPr>
          <w:rtl/>
        </w:rPr>
        <w:t xml:space="preserve"> בשלוש שנים, אבל לא יכול היה לעשות עבודת כפיים קשה, משום שצד אחד של גופו שותק בנעוריו מחמת מחלת האבעבועות השחורות, שהייתה נפוצה אז</w:t>
      </w:r>
      <w:bookmarkStart w:id="223" w:name="b1_ref21"/>
      <w:bookmarkEnd w:id="223"/>
      <w:r>
        <w:rPr>
          <w:vertAlign w:val="superscript"/>
          <w:rtl/>
        </w:rPr>
        <w:fldChar w:fldCharType="begin" w:dirty="true"/>
      </w:r>
      <w:r>
        <w:rPr>
          <w:vertAlign w:val="superscript"/>
          <w:rtl/>
        </w:rPr>
        <w:instrText xml:space="preserve"> REF b1_note21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21</w:t>
      </w:r>
      <w:r>
        <w:rPr>
          <w:vertAlign w:val="superscript"/>
          <w:rtl/>
        </w:rPr>
        <w:fldChar w:fldCharType="end"/>
      </w:r>
      <w:r>
        <w:rPr>
          <w:rtl/>
        </w:rPr>
        <w:t xml:space="preserve">. עם זאת היה מעורב בעבודת טוויית הצמר, ורכב עם אביו אל היער ולמד לבחור את העצים המעולים ביותר לכריתה. אחרי לידת שלושת הבנים זכה ר׳ </w:t>
      </w:r>
      <w:proofErr w:type="spellStart"/>
      <w:r>
        <w:rPr>
          <w:rtl/>
        </w:rPr>
        <w:t>שמואל־הירש</w:t>
      </w:r>
      <w:proofErr w:type="spellEnd"/>
      <w:r>
        <w:rPr>
          <w:rtl/>
        </w:rPr>
        <w:t xml:space="preserve"> לעוד חמישה ילדים – שני בנים ושלוש בנות</w:t>
      </w:r>
      <w:bookmarkStart w:id="224" w:name="b1_ref22"/>
      <w:bookmarkEnd w:id="224"/>
      <w:r>
        <w:rPr>
          <w:vertAlign w:val="superscript"/>
          <w:rtl/>
        </w:rPr>
        <w:fldChar w:fldCharType="begin" w:dirty="true"/>
      </w:r>
      <w:r>
        <w:rPr>
          <w:vertAlign w:val="superscript"/>
          <w:rtl/>
        </w:rPr>
        <w:instrText xml:space="preserve"> REF b1_note22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22</w:t>
      </w:r>
      <w:r>
        <w:rPr>
          <w:vertAlign w:val="superscript"/>
          <w:rtl/>
        </w:rPr>
        <w:fldChar w:fldCharType="end"/>
      </w:r>
      <w:r>
        <w:rPr>
          <w:rtl/>
        </w:rPr>
        <w:t>.</w:t>
      </w:r>
    </w:p>
    <w:bookmarkStart w:id="225" w:name="b1_note18"/>
    <w:p w14:paraId="49F4034B" w14:textId="77777777" w:rsidR="00AB3647" w:rsidRDefault="00000000" w:rsidP="007923E9">
      <w:pPr>
        <w:spacing w:before="120" w:after="100" w:line="276" w:lineRule="auto"/>
        <w:jc w:val="both"/>
      </w:pPr>
      <w:r>
        <w:fldChar w:fldCharType="begin" w:dirty="true"/>
      </w:r>
      <w:r>
        <w:instrText>HYPERLINK \l "b1_ref18"</w:instrText>
      </w:r>
      <w:r>
        <w:fldChar w:fldCharType="separate"/>
      </w:r>
      <w:r>
        <w:rPr>
          <w:b/>
          <w:bCs/>
          <w:rtl/>
        </w:rPr>
        <w:t>18</w:t>
      </w:r>
      <w:r>
        <w:rPr>
          <w:b/>
          <w:bCs/>
        </w:rPr>
        <w:fldChar w:fldCharType="end"/>
      </w:r>
      <w:bookmarkEnd w:id="225"/>
      <w:r>
        <w:rPr>
          <w:rtl/>
        </w:rPr>
        <w:t xml:space="preserve"> הוא נולד בתחילת שנת תר״כ ונפטר בשנת תש״ב ברוסיה האסייתית, שאליה פונה מפני הפלישה הגרמנית לרוסיה בקיץ תש״א.</w:t>
      </w:r>
    </w:p>
    <w:p w14:paraId="312F3401" w14:textId="77777777" w:rsidR="00AB3647" w:rsidRDefault="00000000" w:rsidP="007923E9">
      <w:pPr>
        <w:spacing w:before="120" w:after="100" w:line="276" w:lineRule="auto"/>
        <w:jc w:val="both"/>
      </w:pPr>
      <w:r>
        <w:rPr>
          <w:rtl/>
        </w:rPr>
        <w:t xml:space="preserve">אני סבור שאשתו של </w:t>
      </w:r>
      <w:proofErr w:type="spellStart"/>
      <w:r>
        <w:rPr>
          <w:rtl/>
        </w:rPr>
        <w:t>ישראל־יצחק</w:t>
      </w:r>
      <w:proofErr w:type="spellEnd"/>
      <w:r>
        <w:rPr>
          <w:rtl/>
        </w:rPr>
        <w:t xml:space="preserve"> ואחד מבניו עברו לאמריקה זמן מה לפני שנת תרצ״ז, שכן בשיחה מוקלטת על המאורעות </w:t>
      </w:r>
      <w:proofErr w:type="spellStart"/>
      <w:r>
        <w:rPr>
          <w:rtl/>
        </w:rPr>
        <w:t>ההשגחתיים</w:t>
      </w:r>
      <w:proofErr w:type="spellEnd"/>
      <w:r>
        <w:rPr>
          <w:rtl/>
        </w:rPr>
        <w:t xml:space="preserve"> שהביאו להצלת משפחתו מן השואה</w:t>
      </w:r>
      <w:bookmarkStart w:id="226" w:name="_fnr159"/>
      <w:r>
        <w:rPr>
          <w:rStyle w:val="a5"/>
        </w:rPr>
        <w:footnoteReference w:id="159" w:customMarkFollows="0"/>
      </w:r>
      <w:bookmarkEnd w:id="226"/>
      <w:r>
        <w:rPr>
          <w:rtl/>
        </w:rPr>
        <w:t xml:space="preserve"> הזכיר אבי “דודה ובן דוד” </w:t>
      </w:r>
      <w:proofErr w:type="spellStart"/>
      <w:r>
        <w:rPr>
          <w:rtl/>
        </w:rPr>
        <w:t>ש“בתוך</w:t>
      </w:r>
      <w:proofErr w:type="spellEnd"/>
      <w:r>
        <w:rPr>
          <w:rtl/>
        </w:rPr>
        <w:t xml:space="preserve"> חודש מבואי מאירופה באו לבקר אותי במלון שבו התאכסנתי”. בת זוגו של </w:t>
      </w:r>
      <w:proofErr w:type="spellStart"/>
      <w:r>
        <w:rPr>
          <w:rtl/>
        </w:rPr>
        <w:t>ישראל־יצחק</w:t>
      </w:r>
      <w:proofErr w:type="spellEnd"/>
      <w:r>
        <w:rPr>
          <w:rtl/>
        </w:rPr>
        <w:t xml:space="preserve"> היא הדודה היחידה שאין לנו עליה ידיעה אחרת, ולכן ודאי היא זו שנפרדה מבעלה ובאה לאמריקה, והיא ובנה הם שאבי הזמין לבקרו כשהגיע לראשונה ליבשת צפון אמריקה.</w:t>
      </w:r>
    </w:p>
    <w:bookmarkStart w:id="227" w:name="b1_note19"/>
    <w:p w14:paraId="7AEAE972" w14:textId="77777777" w:rsidR="00AB3647" w:rsidRDefault="00000000" w:rsidP="007923E9">
      <w:pPr>
        <w:spacing w:before="120" w:after="100" w:line="276" w:lineRule="auto"/>
        <w:jc w:val="both"/>
      </w:pPr>
      <w:r>
        <w:fldChar w:fldCharType="begin" w:dirty="true"/>
      </w:r>
      <w:r>
        <w:instrText>HYPERLINK \l "b1_ref19"</w:instrText>
      </w:r>
      <w:r>
        <w:fldChar w:fldCharType="separate"/>
      </w:r>
      <w:r>
        <w:rPr>
          <w:b/>
          <w:bCs/>
          <w:rtl/>
        </w:rPr>
        <w:t>19</w:t>
      </w:r>
      <w:r>
        <w:rPr>
          <w:b/>
          <w:bCs/>
        </w:rPr>
        <w:fldChar w:fldCharType="end"/>
      </w:r>
      <w:bookmarkEnd w:id="227"/>
      <w:r>
        <w:rPr>
          <w:rtl/>
        </w:rPr>
        <w:t xml:space="preserve"> הוא נולד בשנת תרכ״ה. בזמן הכיבוש הגרמני לא יכלו עוד הזקן ואשתו, </w:t>
      </w:r>
      <w:proofErr w:type="spellStart"/>
      <w:r>
        <w:rPr>
          <w:rtl/>
        </w:rPr>
        <w:t>עטיל</w:t>
      </w:r>
      <w:proofErr w:type="spellEnd"/>
      <w:r>
        <w:rPr>
          <w:rtl/>
        </w:rPr>
        <w:t xml:space="preserve">, לשאת את הרעב והסבל בגטו מינסק, שבו היו כלואים, ושמו קץ לייסוריהם כשהשליכו את עצמם לנהר </w:t>
      </w:r>
      <w:proofErr w:type="spellStart"/>
      <w:r>
        <w:rPr>
          <w:rtl/>
        </w:rPr>
        <w:t>סביסלוץ</w:t>
      </w:r>
      <w:proofErr w:type="spellEnd"/>
      <w:r>
        <w:rPr>
          <w:rtl/>
        </w:rPr>
        <w:t>׳.</w:t>
      </w:r>
    </w:p>
    <w:bookmarkStart w:id="228" w:name="b1_note20"/>
    <w:p w14:paraId="210AA783" w14:textId="77777777" w:rsidR="00AB3647" w:rsidRDefault="00000000" w:rsidP="007923E9">
      <w:pPr>
        <w:spacing w:before="120" w:after="100" w:line="276" w:lineRule="auto"/>
        <w:jc w:val="both"/>
      </w:pPr>
      <w:r>
        <w:fldChar w:fldCharType="begin" w:dirty="true"/>
      </w:r>
      <w:r>
        <w:instrText>HYPERLINK \l "b1_ref20"</w:instrText>
      </w:r>
      <w:r>
        <w:fldChar w:fldCharType="separate"/>
      </w:r>
      <w:r>
        <w:rPr>
          <w:b/>
          <w:bCs/>
          <w:rtl/>
        </w:rPr>
        <w:t>20</w:t>
      </w:r>
      <w:r>
        <w:rPr>
          <w:b/>
          <w:bCs/>
        </w:rPr>
        <w:fldChar w:fldCharType="end"/>
      </w:r>
      <w:bookmarkEnd w:id="228"/>
      <w:r>
        <w:rPr>
          <w:rtl/>
        </w:rPr>
        <w:t xml:space="preserve"> ר׳ </w:t>
      </w:r>
      <w:proofErr w:type="spellStart"/>
      <w:r>
        <w:rPr>
          <w:rtl/>
        </w:rPr>
        <w:t>שמואל־הירש</w:t>
      </w:r>
      <w:proofErr w:type="spellEnd"/>
      <w:r>
        <w:rPr>
          <w:rtl/>
        </w:rPr>
        <w:t xml:space="preserve"> השתדל ככל יכולתו שהעבודה תישאר בידי בני הבית. במשפחה הוקירו את תשובתו בת השורה האחת לכלתו </w:t>
      </w:r>
      <w:proofErr w:type="spellStart"/>
      <w:r>
        <w:rPr>
          <w:rtl/>
        </w:rPr>
        <w:t>עטיל</w:t>
      </w:r>
      <w:proofErr w:type="spellEnd"/>
      <w:r>
        <w:rPr>
          <w:rtl/>
        </w:rPr>
        <w:t>, אשת בנימין, כשהתלוננה שהחלב מחמיץ והציעה שישתלם להחכיר את הרפת לאדם מבחוץ: “מוטב שהחלבן [</w:t>
      </w:r>
      <w:proofErr w:type="spellStart"/>
      <w:r>
        <w:rPr>
          <w:rtl/>
        </w:rPr>
        <w:t>דער</w:t>
      </w:r>
      <w:proofErr w:type="spellEnd"/>
      <w:r>
        <w:rPr>
          <w:rtl/>
        </w:rPr>
        <w:t xml:space="preserve"> </w:t>
      </w:r>
      <w:proofErr w:type="spellStart"/>
      <w:r>
        <w:rPr>
          <w:rtl/>
        </w:rPr>
        <w:t>מילכיגער</w:t>
      </w:r>
      <w:proofErr w:type="spellEnd"/>
      <w:r>
        <w:rPr>
          <w:rtl/>
        </w:rPr>
        <w:t>] יאכל את מה שמותירים ילדיי, ולא להפך”.</w:t>
      </w:r>
    </w:p>
    <w:bookmarkStart w:id="229" w:name="b1_note21"/>
    <w:p w14:paraId="30C9120D" w14:textId="77777777" w:rsidR="00AB3647" w:rsidRDefault="00000000" w:rsidP="007923E9">
      <w:pPr>
        <w:spacing w:before="120" w:after="100" w:line="276" w:lineRule="auto"/>
        <w:jc w:val="both"/>
      </w:pPr>
      <w:r>
        <w:fldChar w:fldCharType="begin" w:dirty="true"/>
      </w:r>
      <w:r>
        <w:instrText>HYPERLINK \l "b1_ref21"</w:instrText>
      </w:r>
      <w:r>
        <w:fldChar w:fldCharType="separate"/>
      </w:r>
      <w:r>
        <w:rPr>
          <w:b/>
          <w:bCs/>
          <w:rtl/>
        </w:rPr>
        <w:t>21</w:t>
      </w:r>
      <w:r>
        <w:rPr>
          <w:b/>
          <w:bCs/>
        </w:rPr>
        <w:fldChar w:fldCharType="end"/>
      </w:r>
      <w:bookmarkEnd w:id="229"/>
      <w:r>
        <w:rPr>
          <w:rtl/>
        </w:rPr>
        <w:t xml:space="preserve"> בשנת תרל״ו פרצה מגפת אבעבועות שחורות, ובה מת המתמטיקאי המבריק ליפמן ליפקין, בן שלושים, בנו של ר׳ ישראל </w:t>
      </w:r>
      <w:proofErr w:type="spellStart"/>
      <w:r>
        <w:rPr>
          <w:rtl/>
        </w:rPr>
        <w:t>סלנטר</w:t>
      </w:r>
      <w:bookmarkStart w:id="230" w:name="_fnr160"/>
      <w:proofErr w:type="spellEnd"/>
      <w:r>
        <w:rPr>
          <w:rStyle w:val="a5"/>
        </w:rPr>
        <w:footnoteReference w:id="160" w:customMarkFollows="0"/>
      </w:r>
      <w:bookmarkEnd w:id="230"/>
      <w:r>
        <w:rPr>
          <w:rtl/>
        </w:rPr>
        <w:t xml:space="preserve">. ייתכן שזו המגפה שהטילה מום בר׳ בנימין </w:t>
      </w:r>
      <w:proofErr w:type="spellStart"/>
      <w:r>
        <w:rPr>
          <w:rtl/>
        </w:rPr>
        <w:t>קמינצקי</w:t>
      </w:r>
      <w:proofErr w:type="spellEnd"/>
      <w:r>
        <w:rPr>
          <w:rtl/>
        </w:rPr>
        <w:t xml:space="preserve"> בגיל </w:t>
      </w:r>
      <w:proofErr w:type="spellStart"/>
      <w:r>
        <w:rPr>
          <w:rtl/>
        </w:rPr>
        <w:t>שש־עשרה</w:t>
      </w:r>
      <w:proofErr w:type="spellEnd"/>
      <w:r>
        <w:rPr>
          <w:rtl/>
        </w:rPr>
        <w:t>.</w:t>
      </w:r>
    </w:p>
    <w:bookmarkStart w:id="231" w:name="b1_note22"/>
    <w:p w14:paraId="2CC63ED0" w14:textId="77777777" w:rsidR="00AB3647" w:rsidRDefault="00000000" w:rsidP="007923E9">
      <w:pPr>
        <w:spacing w:before="120" w:after="100" w:line="276" w:lineRule="auto"/>
        <w:jc w:val="both"/>
      </w:pPr>
      <w:r>
        <w:lastRenderedPageBreak/>
        <w:fldChar w:fldCharType="begin" w:dirty="true"/>
      </w:r>
      <w:r>
        <w:instrText>HYPERLINK \l "b1_ref22"</w:instrText>
      </w:r>
      <w:r>
        <w:fldChar w:fldCharType="separate"/>
      </w:r>
      <w:r>
        <w:rPr>
          <w:b/>
          <w:bCs/>
          <w:rtl/>
        </w:rPr>
        <w:t>22</w:t>
      </w:r>
      <w:r>
        <w:rPr>
          <w:b/>
          <w:bCs/>
        </w:rPr>
        <w:fldChar w:fldCharType="end"/>
      </w:r>
      <w:bookmarkEnd w:id="231"/>
      <w:r>
        <w:rPr>
          <w:rtl/>
        </w:rPr>
        <w:t xml:space="preserve"> שיינה (ילידת תרכ״ח, נשואה </w:t>
      </w:r>
      <w:proofErr w:type="spellStart"/>
      <w:r>
        <w:rPr>
          <w:rtl/>
        </w:rPr>
        <w:t>לר</w:t>
      </w:r>
      <w:proofErr w:type="spellEnd"/>
      <w:r>
        <w:rPr>
          <w:rtl/>
        </w:rPr>
        <w:t xml:space="preserve">׳ </w:t>
      </w:r>
      <w:proofErr w:type="spellStart"/>
      <w:r>
        <w:rPr>
          <w:rtl/>
        </w:rPr>
        <w:t>חיים־אליהו</w:t>
      </w:r>
      <w:proofErr w:type="spellEnd"/>
      <w:r>
        <w:rPr>
          <w:rtl/>
        </w:rPr>
        <w:t xml:space="preserve"> </w:t>
      </w:r>
      <w:proofErr w:type="spellStart"/>
      <w:r>
        <w:rPr>
          <w:rtl/>
        </w:rPr>
        <w:t>קאפילביץ</w:t>
      </w:r>
      <w:proofErr w:type="spellEnd"/>
      <w:r>
        <w:rPr>
          <w:rtl/>
        </w:rPr>
        <w:t xml:space="preserve">׳, נהרגה עם בעלה, שתי בנותיה, חתניה וארבעה מנכדיה בגטו מינסק); דבורה (ילידת תרל״א, נישאה </w:t>
      </w:r>
      <w:proofErr w:type="spellStart"/>
      <w:r>
        <w:rPr>
          <w:rtl/>
        </w:rPr>
        <w:t>לר</w:t>
      </w:r>
      <w:proofErr w:type="spellEnd"/>
      <w:r>
        <w:rPr>
          <w:rtl/>
        </w:rPr>
        <w:t xml:space="preserve">׳ גרשון </w:t>
      </w:r>
      <w:proofErr w:type="spellStart"/>
      <w:r>
        <w:rPr>
          <w:rtl/>
        </w:rPr>
        <w:t>במדס</w:t>
      </w:r>
      <w:proofErr w:type="spellEnd"/>
      <w:r>
        <w:rPr>
          <w:rtl/>
        </w:rPr>
        <w:t xml:space="preserve">, נפטרה תרפ״ה); יודה (יליד תרל״ד, נפטר תרנ״ד); ראשה (ילידת תרל״ז, נפטרה תשכ״ט); </w:t>
      </w:r>
      <w:proofErr w:type="spellStart"/>
      <w:r>
        <w:rPr>
          <w:rtl/>
        </w:rPr>
        <w:t>וחאצה</w:t>
      </w:r>
      <w:proofErr w:type="spellEnd"/>
      <w:r>
        <w:rPr>
          <w:rtl/>
        </w:rPr>
        <w:t xml:space="preserve"> (יליד תרמ״ג, נפטר תש״ו בניו יורק).</w:t>
      </w:r>
    </w:p>
    <w:p w14:paraId="4C646CFB" w14:textId="3F7410EB"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אף שאביו היה עשיר, התקשה בנימין למצוא שידוך</w:t>
      </w:r>
      <w:bookmarkStart w:id="232" w:name="b1_ref23"/>
      <w:bookmarkEnd w:id="232"/>
      <w:r>
        <w:rPr>
          <w:vertAlign w:val="superscript"/>
          <w:rtl/>
        </w:rPr>
        <w:fldChar w:fldCharType="begin" w:dirty="true"/>
      </w:r>
      <w:r>
        <w:rPr>
          <w:vertAlign w:val="superscript"/>
          <w:rtl/>
        </w:rPr>
        <w:instrText xml:space="preserve"> REF b1_note23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23</w:t>
      </w:r>
      <w:r>
        <w:rPr>
          <w:vertAlign w:val="superscript"/>
          <w:rtl/>
        </w:rPr>
        <w:fldChar w:fldCharType="end"/>
      </w:r>
      <w:r>
        <w:rPr>
          <w:rtl/>
        </w:rPr>
        <w:t xml:space="preserve"> בגלל צליעתו. גם </w:t>
      </w:r>
      <w:proofErr w:type="spellStart"/>
      <w:r>
        <w:rPr>
          <w:rtl/>
        </w:rPr>
        <w:t>לעטיל</w:t>
      </w:r>
      <w:proofErr w:type="spellEnd"/>
      <w:r>
        <w:rPr>
          <w:rtl/>
        </w:rPr>
        <w:t xml:space="preserve"> דנציג, אף שמשפחתה נהנתה משם טוב </w:t>
      </w:r>
      <w:proofErr w:type="spellStart"/>
      <w:r>
        <w:rPr>
          <w:rtl/>
        </w:rPr>
        <w:t>בדולהינוב</w:t>
      </w:r>
      <w:proofErr w:type="spellEnd"/>
      <w:r>
        <w:rPr>
          <w:rtl/>
        </w:rPr>
        <w:t>, לא היו מחזרים רבים שתוכל לבחור ביניהם, משום שהייתה יתומה. אבל הפגם שבכל אחד מהם היה רק בעיני השדכן: הם היו זוג מושלם</w:t>
      </w:r>
      <w:bookmarkStart w:id="233" w:name="b1_ref24"/>
      <w:bookmarkEnd w:id="233"/>
      <w:r>
        <w:rPr>
          <w:vertAlign w:val="superscript"/>
          <w:rtl/>
        </w:rPr>
        <w:fldChar w:fldCharType="begin" w:dirty="true"/>
      </w:r>
      <w:r>
        <w:rPr>
          <w:vertAlign w:val="superscript"/>
          <w:rtl/>
        </w:rPr>
        <w:instrText xml:space="preserve"> REF b1_note24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24</w:t>
      </w:r>
      <w:r>
        <w:rPr>
          <w:vertAlign w:val="superscript"/>
          <w:rtl/>
        </w:rPr>
        <w:fldChar w:fldCharType="end"/>
      </w:r>
      <w:r>
        <w:rPr>
          <w:rtl/>
        </w:rPr>
        <w:t>, ועתידים היו לשמש לילדיהם דוגמה לנישואים הרמוניים</w:t>
      </w:r>
      <w:bookmarkStart w:id="234" w:name="b1_ref25"/>
      <w:bookmarkEnd w:id="234"/>
      <w:r>
        <w:rPr>
          <w:vertAlign w:val="superscript"/>
          <w:rtl/>
        </w:rPr>
        <w:fldChar w:fldCharType="begin" w:dirty="true"/>
      </w:r>
      <w:r>
        <w:rPr>
          <w:vertAlign w:val="superscript"/>
          <w:rtl/>
        </w:rPr>
        <w:instrText xml:space="preserve"> REF b1_note25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25</w:t>
      </w:r>
      <w:r>
        <w:rPr>
          <w:vertAlign w:val="superscript"/>
          <w:rtl/>
        </w:rPr>
        <w:fldChar w:fldCharType="end"/>
      </w:r>
      <w:r>
        <w:rPr>
          <w:rtl/>
        </w:rPr>
        <w:t xml:space="preserve">. </w:t>
      </w:r>
      <w:proofErr w:type="spellStart"/>
      <w:r>
        <w:rPr>
          <w:rtl/>
        </w:rPr>
        <w:t>עטיל</w:t>
      </w:r>
      <w:proofErr w:type="spellEnd"/>
      <w:r>
        <w:rPr>
          <w:rtl/>
        </w:rPr>
        <w:t xml:space="preserve"> שמחה לעבור עם בעלה </w:t>
      </w:r>
      <w:proofErr w:type="spellStart"/>
      <w:r>
        <w:rPr>
          <w:rtl/>
        </w:rPr>
        <w:t>לקאליסקובקה</w:t>
      </w:r>
      <w:proofErr w:type="spellEnd"/>
      <w:r>
        <w:rPr>
          <w:rtl/>
        </w:rPr>
        <w:t>, משום שגל הפרעות שפקד את קהילות היהודים ברוסיה באותו עשור</w:t>
      </w:r>
      <w:bookmarkStart w:id="235" w:name="b1_ref26"/>
      <w:bookmarkEnd w:id="235"/>
      <w:r>
        <w:rPr>
          <w:vertAlign w:val="superscript"/>
          <w:rtl/>
        </w:rPr>
        <w:fldChar w:fldCharType="begin" w:dirty="true"/>
      </w:r>
      <w:r>
        <w:rPr>
          <w:vertAlign w:val="superscript"/>
          <w:rtl/>
        </w:rPr>
        <w:instrText xml:space="preserve"> REF b1_note26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26</w:t>
      </w:r>
      <w:r>
        <w:rPr>
          <w:vertAlign w:val="superscript"/>
          <w:rtl/>
        </w:rPr>
        <w:fldChar w:fldCharType="end"/>
      </w:r>
      <w:r>
        <w:rPr>
          <w:rtl/>
        </w:rPr>
        <w:t xml:space="preserve"> פגע </w:t>
      </w:r>
      <w:proofErr w:type="spellStart"/>
      <w:r>
        <w:rPr>
          <w:rtl/>
        </w:rPr>
        <w:t>בדולהינוב</w:t>
      </w:r>
      <w:proofErr w:type="spellEnd"/>
      <w:r>
        <w:rPr>
          <w:rtl/>
        </w:rPr>
        <w:t xml:space="preserve"> באותה שנה שבה נישאה, תרמ״ו.</w:t>
      </w:r>
    </w:p>
    <w:bookmarkStart w:id="236" w:name="b1_note23"/>
    <w:p w14:paraId="43B5B499" w14:textId="77777777" w:rsidR="00AB3647" w:rsidRDefault="00000000" w:rsidP="007923E9">
      <w:pPr>
        <w:spacing w:before="120" w:after="100" w:line="276" w:lineRule="auto"/>
        <w:jc w:val="both"/>
      </w:pPr>
      <w:r>
        <w:fldChar w:fldCharType="begin" w:dirty="true"/>
      </w:r>
      <w:r>
        <w:instrText>HYPERLINK \l "b1_ref23"</w:instrText>
      </w:r>
      <w:r>
        <w:fldChar w:fldCharType="separate"/>
      </w:r>
      <w:r>
        <w:rPr>
          <w:b/>
          <w:bCs/>
          <w:rtl/>
        </w:rPr>
        <w:t>23</w:t>
      </w:r>
      <w:r>
        <w:rPr>
          <w:b/>
          <w:bCs/>
        </w:rPr>
        <w:fldChar w:fldCharType="end"/>
      </w:r>
      <w:bookmarkEnd w:id="236"/>
      <w:r>
        <w:rPr>
          <w:rtl/>
        </w:rPr>
        <w:t xml:space="preserve"> להישאר רווק עד גיל עשרים ושש, כפי שעשה ר׳ בנימין, אסור בנסיבות רגילות</w:t>
      </w:r>
      <w:bookmarkStart w:id="237" w:name="_fnr161"/>
      <w:r>
        <w:rPr>
          <w:rStyle w:val="a5"/>
        </w:rPr>
        <w:footnoteReference w:id="161" w:customMarkFollows="0"/>
      </w:r>
      <w:bookmarkEnd w:id="237"/>
      <w:r>
        <w:rPr>
          <w:rtl/>
        </w:rPr>
        <w:t>.</w:t>
      </w:r>
    </w:p>
    <w:bookmarkStart w:id="238" w:name="b1_note24"/>
    <w:p w14:paraId="2CDE1C23" w14:textId="77777777" w:rsidR="00AB3647" w:rsidRDefault="00000000" w:rsidP="007923E9">
      <w:pPr>
        <w:spacing w:before="120" w:after="100" w:line="276" w:lineRule="auto"/>
        <w:jc w:val="both"/>
      </w:pPr>
      <w:r>
        <w:fldChar w:fldCharType="begin" w:dirty="true"/>
      </w:r>
      <w:r>
        <w:instrText>HYPERLINK \l "b1_ref24"</w:instrText>
      </w:r>
      <w:r>
        <w:fldChar w:fldCharType="separate"/>
      </w:r>
      <w:r>
        <w:rPr>
          <w:b/>
          <w:bCs/>
          <w:rtl/>
        </w:rPr>
        <w:t>24</w:t>
      </w:r>
      <w:r>
        <w:rPr>
          <w:b/>
          <w:bCs/>
        </w:rPr>
        <w:fldChar w:fldCharType="end"/>
      </w:r>
      <w:bookmarkEnd w:id="238"/>
      <w:r>
        <w:rPr>
          <w:rtl/>
        </w:rPr>
        <w:t xml:space="preserve"> רבקה, אחותה הגדולה של </w:t>
      </w:r>
      <w:proofErr w:type="spellStart"/>
      <w:r>
        <w:rPr>
          <w:rtl/>
        </w:rPr>
        <w:t>עטיל</w:t>
      </w:r>
      <w:proofErr w:type="spellEnd"/>
      <w:r>
        <w:rPr>
          <w:rtl/>
        </w:rPr>
        <w:t xml:space="preserve">, נישאה </w:t>
      </w:r>
      <w:proofErr w:type="spellStart"/>
      <w:r>
        <w:rPr>
          <w:rtl/>
        </w:rPr>
        <w:t>בדולהינוב</w:t>
      </w:r>
      <w:proofErr w:type="spellEnd"/>
      <w:r>
        <w:rPr>
          <w:rtl/>
        </w:rPr>
        <w:t xml:space="preserve">, ונישואיה הסתיימו בגירושין אחרי שנולדו להם שלושה ילדים. היא עזבה את העיירה עם הצעיר בילדיה והשתקעה </w:t>
      </w:r>
      <w:proofErr w:type="spellStart"/>
      <w:r>
        <w:rPr>
          <w:rtl/>
        </w:rPr>
        <w:t>בדווינסק</w:t>
      </w:r>
      <w:proofErr w:type="spellEnd"/>
      <w:r>
        <w:rPr>
          <w:rtl/>
        </w:rPr>
        <w:t xml:space="preserve">, אצל דודה ר׳ ישראל </w:t>
      </w:r>
      <w:proofErr w:type="spellStart"/>
      <w:r>
        <w:rPr>
          <w:rtl/>
        </w:rPr>
        <w:t>פוטרפס</w:t>
      </w:r>
      <w:proofErr w:type="spellEnd"/>
      <w:r>
        <w:rPr>
          <w:rtl/>
        </w:rPr>
        <w:t>. הוא הכיר לה אלמן צעיר בריגה, בירת לטביה, והיא נישאה לו וילדה לו עוד שלושה ילדים. היא וכל משפחתה נהרגו בשואה בריגה, בידי הגרמנים ומשתפי הפעולה שלהם.</w:t>
      </w:r>
    </w:p>
    <w:bookmarkStart w:id="239" w:name="b1_note25"/>
    <w:p w14:paraId="5FEA3A49" w14:textId="77777777" w:rsidR="00AB3647" w:rsidRDefault="00000000" w:rsidP="007923E9">
      <w:pPr>
        <w:spacing w:before="120" w:after="100" w:line="276" w:lineRule="auto"/>
        <w:jc w:val="both"/>
      </w:pPr>
      <w:r>
        <w:fldChar w:fldCharType="begin" w:dirty="true"/>
      </w:r>
      <w:r>
        <w:instrText>HYPERLINK \l "b1_ref25"</w:instrText>
      </w:r>
      <w:r>
        <w:fldChar w:fldCharType="separate"/>
      </w:r>
      <w:r>
        <w:rPr>
          <w:b/>
          <w:bCs/>
          <w:rtl/>
        </w:rPr>
        <w:t>25</w:t>
      </w:r>
      <w:r>
        <w:rPr>
          <w:b/>
          <w:bCs/>
        </w:rPr>
        <w:fldChar w:fldCharType="end"/>
      </w:r>
      <w:bookmarkEnd w:id="239"/>
      <w:r>
        <w:rPr>
          <w:rtl/>
        </w:rPr>
        <w:t xml:space="preserve"> כמחנך הדגיש אבי שחשוב לסדר לתלמידים הגרים בפנימיות לשבות בשבתות על שולחנה של משפחה – ולא בחדר האוכל של הישיבה – כדי שיראו במו עיניהם כיצד מתנהל בית רגיל. הוא הזכיר שהפיק תועלת רבה מכך שראה את היחסים הטובים בבית הוריו שלו.</w:t>
      </w:r>
    </w:p>
    <w:bookmarkStart w:id="240" w:name="b1_note26"/>
    <w:p w14:paraId="37CAFEFA" w14:textId="62B9DDE9" w:rsidR="00AB3647" w:rsidRDefault="00000000" w:rsidP="007923E9">
      <w:pPr>
        <w:spacing w:before="120" w:after="100" w:line="276" w:lineRule="auto"/>
        <w:jc w:val="both"/>
      </w:pPr>
      <w:r>
        <w:fldChar w:fldCharType="begin" w:dirty="true"/>
      </w:r>
      <w:r>
        <w:instrText>HYPERLINK \l "b1_ref26"</w:instrText>
      </w:r>
      <w:r>
        <w:fldChar w:fldCharType="separate"/>
      </w:r>
      <w:r>
        <w:rPr>
          <w:b/>
          <w:bCs/>
          <w:rtl/>
        </w:rPr>
        <w:t>26</w:t>
      </w:r>
      <w:r>
        <w:rPr>
          <w:b/>
          <w:bCs/>
        </w:rPr>
        <w:fldChar w:fldCharType="end"/>
      </w:r>
      <w:bookmarkEnd w:id="240"/>
      <w:r>
        <w:rPr>
          <w:rtl/>
        </w:rPr>
        <w:t xml:space="preserve"> ראה </w:t>
      </w:r>
      <w:r>
        <w:rPr>
          <w:rtl/>
        </w:rPr>
        <w:fldChar w:fldCharType="begin" w:dirty="true"/>
      </w:r>
      <w:r>
        <w:rPr>
          <w:rtl/>
        </w:rPr>
        <w:instrText xml:space="preserve"> REF b1_excA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א</w:t>
      </w:r>
      <w:r>
        <w:rPr>
          <w:rtl/>
        </w:rPr>
        <w:fldChar w:fldCharType="end"/>
      </w:r>
      <w:r>
        <w:rPr>
          <w:rtl/>
        </w:rPr>
        <w:t>.</w:t>
      </w:r>
    </w:p>
    <w:p w14:paraId="01A48B59" w14:textId="363B0B16"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שנה אחרי נישואיהם התחיל האסון להעיב על חייהם השלווים. </w:t>
      </w:r>
      <w:proofErr w:type="spellStart"/>
      <w:r>
        <w:rPr>
          <w:rtl/>
        </w:rPr>
        <w:t>אמו</w:t>
      </w:r>
      <w:proofErr w:type="spellEnd"/>
      <w:r>
        <w:rPr>
          <w:rtl/>
        </w:rPr>
        <w:t xml:space="preserve"> של ר׳ בנימין, חיה לבית שרשבסקי</w:t>
      </w:r>
      <w:bookmarkStart w:id="241" w:name="b1_ref27"/>
      <w:bookmarkEnd w:id="241"/>
      <w:r>
        <w:rPr>
          <w:vertAlign w:val="superscript"/>
          <w:rtl/>
        </w:rPr>
        <w:fldChar w:fldCharType="begin" w:dirty="true"/>
      </w:r>
      <w:r>
        <w:rPr>
          <w:vertAlign w:val="superscript"/>
          <w:rtl/>
        </w:rPr>
        <w:instrText xml:space="preserve"> REF b1_note27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27</w:t>
      </w:r>
      <w:r>
        <w:rPr>
          <w:vertAlign w:val="superscript"/>
          <w:rtl/>
        </w:rPr>
        <w:fldChar w:fldCharType="end"/>
      </w:r>
      <w:r>
        <w:rPr>
          <w:rtl/>
        </w:rPr>
        <w:t xml:space="preserve">, אשתו האהובה של ר׳ </w:t>
      </w:r>
      <w:proofErr w:type="spellStart"/>
      <w:r>
        <w:rPr>
          <w:rtl/>
        </w:rPr>
        <w:t>שמואל־הירש</w:t>
      </w:r>
      <w:proofErr w:type="spellEnd"/>
      <w:r>
        <w:rPr>
          <w:rtl/>
        </w:rPr>
        <w:t xml:space="preserve">, חלתה בסרטן. ר׳ </w:t>
      </w:r>
      <w:proofErr w:type="spellStart"/>
      <w:r>
        <w:rPr>
          <w:rtl/>
        </w:rPr>
        <w:t>שמואל־הירש</w:t>
      </w:r>
      <w:proofErr w:type="spellEnd"/>
      <w:r>
        <w:rPr>
          <w:rtl/>
        </w:rPr>
        <w:t xml:space="preserve"> לקח אותה לווילנה אל אחיו מן האב, הרופא רוגוב</w:t>
      </w:r>
      <w:bookmarkStart w:id="242" w:name="b1_ref28"/>
      <w:bookmarkEnd w:id="242"/>
      <w:r>
        <w:rPr>
          <w:vertAlign w:val="superscript"/>
          <w:rtl/>
        </w:rPr>
        <w:fldChar w:fldCharType="begin" w:dirty="true"/>
      </w:r>
      <w:r>
        <w:rPr>
          <w:vertAlign w:val="superscript"/>
          <w:rtl/>
        </w:rPr>
        <w:instrText xml:space="preserve"> REF b1_note28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28</w:t>
      </w:r>
      <w:r>
        <w:rPr>
          <w:vertAlign w:val="superscript"/>
          <w:rtl/>
        </w:rPr>
        <w:fldChar w:fldCharType="end"/>
      </w:r>
      <w:r>
        <w:rPr>
          <w:rtl/>
        </w:rPr>
        <w:t xml:space="preserve">, וזה הורה לקחתה לברלין לניתוח </w:t>
      </w:r>
      <w:proofErr w:type="spellStart"/>
      <w:r>
        <w:rPr>
          <w:rtl/>
        </w:rPr>
        <w:t>מיידי</w:t>
      </w:r>
      <w:proofErr w:type="spellEnd"/>
      <w:r>
        <w:rPr>
          <w:rtl/>
        </w:rPr>
        <w:t xml:space="preserve">. היא מתה שם על שולחן הניתוחים, והשאירה ילדים צעירים, שלושה מהם עדיין קטינים. למען הילדים הקטנים החליט ר׳ </w:t>
      </w:r>
      <w:proofErr w:type="spellStart"/>
      <w:r>
        <w:rPr>
          <w:rtl/>
        </w:rPr>
        <w:t>שמואל־הירש</w:t>
      </w:r>
      <w:proofErr w:type="spellEnd"/>
      <w:r>
        <w:rPr>
          <w:rtl/>
        </w:rPr>
        <w:t xml:space="preserve"> לשאת אישה שנייה.</w:t>
      </w:r>
    </w:p>
    <w:bookmarkStart w:id="243" w:name="b1_note27"/>
    <w:p w14:paraId="20829699" w14:textId="122508BC" w:rsidR="00AB3647" w:rsidRDefault="00000000" w:rsidP="007923E9">
      <w:pPr>
        <w:spacing w:before="120" w:after="100" w:line="276" w:lineRule="auto"/>
        <w:jc w:val="both"/>
      </w:pPr>
      <w:r>
        <w:fldChar w:fldCharType="begin" w:dirty="true"/>
      </w:r>
      <w:r>
        <w:instrText>HYPERLINK \l "b1_ref27"</w:instrText>
      </w:r>
      <w:r>
        <w:fldChar w:fldCharType="separate"/>
      </w:r>
      <w:r>
        <w:rPr>
          <w:b/>
          <w:bCs/>
          <w:rtl/>
        </w:rPr>
        <w:t>27</w:t>
      </w:r>
      <w:r>
        <w:rPr>
          <w:b/>
          <w:bCs/>
        </w:rPr>
        <w:fldChar w:fldCharType="end"/>
      </w:r>
      <w:bookmarkEnd w:id="243"/>
      <w:r>
        <w:rPr>
          <w:rtl/>
        </w:rPr>
        <w:t xml:space="preserve"> ראה </w:t>
      </w:r>
      <w:r>
        <w:rPr>
          <w:rtl/>
        </w:rPr>
        <w:fldChar w:fldCharType="begin" w:dirty="true"/>
      </w:r>
      <w:r>
        <w:rPr>
          <w:rtl/>
        </w:rPr>
        <w:instrText xml:space="preserve"> REF b1_excB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w:t>
      </w:r>
    </w:p>
    <w:bookmarkStart w:id="244" w:name="b1_note28"/>
    <w:p w14:paraId="4CD82713" w14:textId="31CCE18D" w:rsidR="00AB3647" w:rsidRDefault="00000000" w:rsidP="007923E9">
      <w:pPr>
        <w:spacing w:before="120" w:after="100" w:line="276" w:lineRule="auto"/>
        <w:jc w:val="both"/>
      </w:pPr>
      <w:r>
        <w:fldChar w:fldCharType="begin" w:dirty="true"/>
      </w:r>
      <w:r>
        <w:instrText>HYPERLINK \l "b1_ref28"</w:instrText>
      </w:r>
      <w:r>
        <w:fldChar w:fldCharType="separate"/>
      </w:r>
      <w:r>
        <w:rPr>
          <w:b/>
          <w:bCs/>
          <w:rtl/>
        </w:rPr>
        <w:t>28</w:t>
      </w:r>
      <w:r>
        <w:rPr>
          <w:b/>
          <w:bCs/>
        </w:rPr>
        <w:fldChar w:fldCharType="end"/>
      </w:r>
      <w:bookmarkEnd w:id="244"/>
      <w:r>
        <w:rPr>
          <w:rtl/>
        </w:rPr>
        <w:t xml:space="preserve"> אנשי רפואה יהודים היו נדירים ברוסיה של אותו זמן, ובפרט בחוגים היהודיים המסורתיים, ולכן עלו השערות בדבר זהותו של “רופא” זה, קרוב משפחת </w:t>
      </w:r>
      <w:proofErr w:type="spellStart"/>
      <w:r>
        <w:rPr>
          <w:rtl/>
        </w:rPr>
        <w:t>קמינצקי</w:t>
      </w:r>
      <w:proofErr w:type="spellEnd"/>
      <w:r>
        <w:rPr>
          <w:rtl/>
        </w:rPr>
        <w:t xml:space="preserve">. ההשערות מובאות בפרק 5, </w:t>
      </w:r>
      <w:r>
        <w:rPr>
          <w:rtl/>
        </w:rPr>
        <w:fldChar w:fldCharType="begin" w:dirty="true"/>
      </w:r>
      <w:r>
        <w:rPr>
          <w:rtl/>
        </w:rPr>
        <w:instrText xml:space="preserve"> REF b5_excE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ה</w:t>
      </w:r>
      <w:r>
        <w:rPr>
          <w:rtl/>
        </w:rPr>
        <w:fldChar w:fldCharType="end"/>
      </w:r>
      <w:r>
        <w:rPr>
          <w:rtl/>
        </w:rPr>
        <w:t xml:space="preserve">, ושם מגיעים למסקנה מפתיעה. השווה גם את הפסקה השנייה של מאמר </w:t>
      </w:r>
      <w:r>
        <w:rPr>
          <w:rtl/>
        </w:rPr>
        <w:lastRenderedPageBreak/>
        <w:t xml:space="preserve">מתוך “פנקס </w:t>
      </w:r>
      <w:proofErr w:type="spellStart"/>
      <w:r>
        <w:rPr>
          <w:rtl/>
        </w:rPr>
        <w:t>נאוואהרעדאק</w:t>
      </w:r>
      <w:proofErr w:type="spellEnd"/>
      <w:r>
        <w:rPr>
          <w:rtl/>
        </w:rPr>
        <w:t>”, המובא בפרק 3</w:t>
      </w:r>
      <w:bookmarkStart w:id="245" w:name="_fnr162"/>
      <w:r>
        <w:rPr>
          <w:rStyle w:val="a5"/>
        </w:rPr>
        <w:footnoteReference w:id="162" w:customMarkFollows="0"/>
      </w:r>
      <w:bookmarkEnd w:id="245"/>
      <w:r>
        <w:rPr>
          <w:rtl/>
        </w:rPr>
        <w:t>: נאמר שם שהחולים לא נתנו אמון רב בבקיאותו הרפואית של רופא אם במקרה היה שומר מצוות.</w:t>
      </w:r>
    </w:p>
    <w:p w14:paraId="1B5FF1CA" w14:textId="29FD9838"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האלמן העשיר, בעשור השישי לחייו, נשא את </w:t>
      </w:r>
      <w:proofErr w:type="spellStart"/>
      <w:r>
        <w:rPr>
          <w:rtl/>
        </w:rPr>
        <w:t>הינדה־ראשה</w:t>
      </w:r>
      <w:proofErr w:type="spellEnd"/>
      <w:r>
        <w:rPr>
          <w:rtl/>
        </w:rPr>
        <w:t xml:space="preserve">, הצעירה ממנו ביותר מעשרים שנה, ממשפחה ענייה ופשוטה </w:t>
      </w:r>
      <w:proofErr w:type="spellStart"/>
      <w:r>
        <w:rPr>
          <w:rtl/>
        </w:rPr>
        <w:t>מדולהינוב</w:t>
      </w:r>
      <w:proofErr w:type="spellEnd"/>
      <w:r>
        <w:rPr>
          <w:rtl/>
        </w:rPr>
        <w:t>. גבירת הבית החדשה השתלטה על האחוזה, ילדה לבעלה משפחה שנייה – חמישה ילדים</w:t>
      </w:r>
      <w:bookmarkStart w:id="246" w:name="b1_ref29"/>
      <w:bookmarkEnd w:id="246"/>
      <w:r>
        <w:rPr>
          <w:vertAlign w:val="superscript"/>
          <w:rtl/>
        </w:rPr>
        <w:fldChar w:fldCharType="begin" w:dirty="true"/>
      </w:r>
      <w:r>
        <w:rPr>
          <w:vertAlign w:val="superscript"/>
          <w:rtl/>
        </w:rPr>
        <w:instrText xml:space="preserve"> REF b1_note29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29</w:t>
      </w:r>
      <w:r>
        <w:rPr>
          <w:vertAlign w:val="superscript"/>
          <w:rtl/>
        </w:rPr>
        <w:fldChar w:fldCharType="end"/>
      </w:r>
      <w:r>
        <w:rPr>
          <w:rtl/>
        </w:rPr>
        <w:t xml:space="preserve"> – והלכה ומיררה את חיי ילדיה החורגים. </w:t>
      </w:r>
      <w:proofErr w:type="spellStart"/>
      <w:r>
        <w:rPr>
          <w:rtl/>
        </w:rPr>
        <w:t>ישראל־יצחק</w:t>
      </w:r>
      <w:proofErr w:type="spellEnd"/>
      <w:r>
        <w:rPr>
          <w:rtl/>
        </w:rPr>
        <w:t xml:space="preserve">, בכורו של ר׳ </w:t>
      </w:r>
      <w:proofErr w:type="spellStart"/>
      <w:r>
        <w:rPr>
          <w:rtl/>
        </w:rPr>
        <w:t>שמואל־הירש</w:t>
      </w:r>
      <w:proofErr w:type="spellEnd"/>
      <w:r>
        <w:rPr>
          <w:rtl/>
        </w:rPr>
        <w:t xml:space="preserve"> ויד ימינו בניהול האחוזה, היה מבוסס היטב </w:t>
      </w:r>
      <w:proofErr w:type="spellStart"/>
      <w:r>
        <w:rPr>
          <w:rtl/>
        </w:rPr>
        <w:t>בקאליסקובקה</w:t>
      </w:r>
      <w:proofErr w:type="spellEnd"/>
      <w:r>
        <w:rPr>
          <w:rtl/>
        </w:rPr>
        <w:t>. אבל שאר ילדיו מאשתו הראשונה התרחקו בהדרגה מן הבית, כדי להימנע ממחלוקת גלויה</w:t>
      </w:r>
      <w:bookmarkStart w:id="247" w:name="b1_ref30"/>
      <w:bookmarkEnd w:id="247"/>
      <w:r>
        <w:rPr>
          <w:vertAlign w:val="superscript"/>
          <w:rtl/>
        </w:rPr>
        <w:fldChar w:fldCharType="begin" w:dirty="true"/>
      </w:r>
      <w:r>
        <w:rPr>
          <w:vertAlign w:val="superscript"/>
          <w:rtl/>
        </w:rPr>
        <w:instrText xml:space="preserve"> REF b1_note30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30</w:t>
      </w:r>
      <w:r>
        <w:rPr>
          <w:vertAlign w:val="superscript"/>
          <w:rtl/>
        </w:rPr>
        <w:fldChar w:fldCharType="end"/>
      </w:r>
      <w:r>
        <w:rPr>
          <w:rtl/>
        </w:rPr>
        <w:t xml:space="preserve"> עם אשת אביהם החדשה</w:t>
      </w:r>
      <w:bookmarkStart w:id="248" w:name="b1_ref31"/>
      <w:bookmarkEnd w:id="248"/>
      <w:r>
        <w:rPr>
          <w:vertAlign w:val="superscript"/>
          <w:rtl/>
        </w:rPr>
        <w:fldChar w:fldCharType="begin" w:dirty="true"/>
      </w:r>
      <w:r>
        <w:rPr>
          <w:vertAlign w:val="superscript"/>
          <w:rtl/>
        </w:rPr>
        <w:instrText xml:space="preserve"> REF b1_note31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31</w:t>
      </w:r>
      <w:r>
        <w:rPr>
          <w:vertAlign w:val="superscript"/>
          <w:rtl/>
        </w:rPr>
        <w:fldChar w:fldCharType="end"/>
      </w:r>
      <w:r>
        <w:rPr>
          <w:rtl/>
        </w:rPr>
        <w:t>.</w:t>
      </w:r>
    </w:p>
    <w:bookmarkStart w:id="249" w:name="b1_note29"/>
    <w:p w14:paraId="4ACB8123" w14:textId="77777777" w:rsidR="00AB3647" w:rsidRDefault="00000000" w:rsidP="007923E9">
      <w:pPr>
        <w:spacing w:before="120" w:after="100" w:line="276" w:lineRule="auto"/>
        <w:jc w:val="both"/>
      </w:pPr>
      <w:r>
        <w:fldChar w:fldCharType="begin" w:dirty="true"/>
      </w:r>
      <w:r>
        <w:instrText>HYPERLINK \l "b1_ref29"</w:instrText>
      </w:r>
      <w:r>
        <w:fldChar w:fldCharType="separate"/>
      </w:r>
      <w:r>
        <w:rPr>
          <w:b/>
          <w:bCs/>
          <w:rtl/>
        </w:rPr>
        <w:t>29</w:t>
      </w:r>
      <w:r>
        <w:rPr>
          <w:b/>
          <w:bCs/>
        </w:rPr>
        <w:fldChar w:fldCharType="end"/>
      </w:r>
      <w:bookmarkEnd w:id="249"/>
      <w:r>
        <w:rPr>
          <w:rtl/>
        </w:rPr>
        <w:t xml:space="preserve"> דוד, </w:t>
      </w:r>
      <w:proofErr w:type="spellStart"/>
      <w:r>
        <w:rPr>
          <w:rtl/>
        </w:rPr>
        <w:t>קושקה</w:t>
      </w:r>
      <w:proofErr w:type="spellEnd"/>
      <w:r>
        <w:rPr>
          <w:rtl/>
        </w:rPr>
        <w:t xml:space="preserve">, ישעיה, מלכה ויעקב. את שני הראשונים הביא לאמריקה אחיהם מן האב, </w:t>
      </w:r>
      <w:proofErr w:type="spellStart"/>
      <w:r>
        <w:rPr>
          <w:rtl/>
        </w:rPr>
        <w:t>חאצה</w:t>
      </w:r>
      <w:proofErr w:type="spellEnd"/>
      <w:r>
        <w:rPr>
          <w:rtl/>
        </w:rPr>
        <w:t xml:space="preserve"> (השווה ההערה הבאה). השלישי נהרג כחייל רוסי במלחמת העולם הראשונה, והחמישי הצטרף לאחיו באמריקה אחרי אותה מלחמה. הרביעית, הבת היחידה של אמה, נישאה ונשארה ברוסיה.</w:t>
      </w:r>
    </w:p>
    <w:p w14:paraId="7C2602BD" w14:textId="77777777" w:rsidR="00AB3647" w:rsidRDefault="00000000" w:rsidP="007923E9">
      <w:pPr>
        <w:spacing w:before="120" w:after="100" w:line="276" w:lineRule="auto"/>
        <w:jc w:val="both"/>
      </w:pPr>
      <w:r>
        <w:rPr>
          <w:rtl/>
        </w:rPr>
        <w:t xml:space="preserve">מלכה – דודתו של אבי, שהייתה צעירה ממנו בשמונה שנים(!) – הצליחה בשנת </w:t>
      </w:r>
      <w:proofErr w:type="spellStart"/>
      <w:r>
        <w:rPr>
          <w:rtl/>
        </w:rPr>
        <w:t>תש״ך</w:t>
      </w:r>
      <w:proofErr w:type="spellEnd"/>
      <w:r>
        <w:rPr>
          <w:rtl/>
        </w:rPr>
        <w:t xml:space="preserve"> להעביר מעבר למסך הברזל את הידיעה שכמה מבני משפחתו הקרובה של אבי שרדו את השואה וחיים במינסק. גילוי זה, אחרי ניתוק קשר כפוי של עשרים ושבע שנים, פתח התכתבות סדירה בין אבי לאחיו ולאחיותיו, והביא לביקורו של אבי ברוסיה כעבור שלוש שנים</w:t>
      </w:r>
      <w:bookmarkStart w:id="250" w:name="_fnr163"/>
      <w:r>
        <w:rPr>
          <w:rStyle w:val="a5"/>
        </w:rPr>
        <w:footnoteReference w:id="163" w:customMarkFollows="0"/>
      </w:r>
      <w:bookmarkEnd w:id="250"/>
      <w:r>
        <w:rPr>
          <w:rtl/>
        </w:rPr>
        <w:t>.</w:t>
      </w:r>
    </w:p>
    <w:p w14:paraId="5944037F" w14:textId="77777777" w:rsidR="00AB3647" w:rsidRDefault="00000000" w:rsidP="007923E9">
      <w:pPr>
        <w:spacing w:after="100" w:line="276" w:lineRule="auto"/>
        <w:ind w:firstLine="340"/>
        <w:jc w:val="both"/>
      </w:pPr>
      <w:r>
        <w:rPr>
          <w:rtl/>
        </w:rPr>
        <w:t xml:space="preserve">סימן לרוח הזמן: ארבעת המהגרים לאמריקה הנזכרים לעיל הסבו את שמותיהם לשמות אנגליים – דייוויד, קרל, ג׳ק </w:t>
      </w:r>
      <w:proofErr w:type="spellStart"/>
      <w:r>
        <w:rPr>
          <w:rtl/>
        </w:rPr>
        <w:t>וצ׳ארלס</w:t>
      </w:r>
      <w:proofErr w:type="spellEnd"/>
      <w:r>
        <w:rPr>
          <w:rtl/>
        </w:rPr>
        <w:t xml:space="preserve"> בהתאמה – ושינו את שם משפחתם </w:t>
      </w:r>
      <w:proofErr w:type="spellStart"/>
      <w:r>
        <w:rPr>
          <w:rtl/>
        </w:rPr>
        <w:t>מקמינצקי</w:t>
      </w:r>
      <w:proofErr w:type="spellEnd"/>
      <w:r>
        <w:rPr>
          <w:rtl/>
        </w:rPr>
        <w:t xml:space="preserve"> </w:t>
      </w:r>
      <w:proofErr w:type="spellStart"/>
      <w:r>
        <w:rPr>
          <w:rtl/>
        </w:rPr>
        <w:t>לקאמינגס</w:t>
      </w:r>
      <w:proofErr w:type="spellEnd"/>
      <w:r>
        <w:rPr>
          <w:rtl/>
        </w:rPr>
        <w:t>.</w:t>
      </w:r>
    </w:p>
    <w:bookmarkStart w:id="251" w:name="b1_note30"/>
    <w:p w14:paraId="2146FC46" w14:textId="77777777" w:rsidR="00AB3647" w:rsidRDefault="00000000" w:rsidP="007923E9">
      <w:pPr>
        <w:spacing w:before="120" w:after="100" w:line="276" w:lineRule="auto"/>
        <w:jc w:val="both"/>
      </w:pPr>
      <w:r>
        <w:fldChar w:fldCharType="begin" w:dirty="true"/>
      </w:r>
      <w:r>
        <w:instrText>HYPERLINK \l "b1_ref30"</w:instrText>
      </w:r>
      <w:r>
        <w:fldChar w:fldCharType="separate"/>
      </w:r>
      <w:r>
        <w:rPr>
          <w:b/>
          <w:bCs/>
          <w:rtl/>
        </w:rPr>
        <w:t>30</w:t>
      </w:r>
      <w:r>
        <w:rPr>
          <w:b/>
          <w:bCs/>
        </w:rPr>
        <w:fldChar w:fldCharType="end"/>
      </w:r>
      <w:bookmarkEnd w:id="251"/>
      <w:r>
        <w:rPr>
          <w:rtl/>
        </w:rPr>
        <w:t xml:space="preserve"> כששאלה אותו גיסתו, </w:t>
      </w:r>
      <w:proofErr w:type="spellStart"/>
      <w:r>
        <w:rPr>
          <w:rtl/>
        </w:rPr>
        <w:t>עטיל</w:t>
      </w:r>
      <w:proofErr w:type="spellEnd"/>
      <w:r>
        <w:rPr>
          <w:rtl/>
        </w:rPr>
        <w:t xml:space="preserve">, מדוע הוא נוסע לאמריקה, השיב </w:t>
      </w:r>
      <w:proofErr w:type="spellStart"/>
      <w:r>
        <w:rPr>
          <w:rtl/>
        </w:rPr>
        <w:t>חאצה</w:t>
      </w:r>
      <w:bookmarkStart w:id="252" w:name="_fnr164"/>
      <w:proofErr w:type="spellEnd"/>
      <w:r>
        <w:rPr>
          <w:rStyle w:val="a5"/>
        </w:rPr>
        <w:footnoteReference w:id="164" w:customMarkFollows="0"/>
      </w:r>
      <w:bookmarkEnd w:id="252"/>
      <w:r>
        <w:rPr>
          <w:rtl/>
        </w:rPr>
        <w:t>: “</w:t>
      </w:r>
      <w:proofErr w:type="spellStart"/>
      <w:r>
        <w:rPr>
          <w:rtl/>
        </w:rPr>
        <w:t>הכרעמזלעך</w:t>
      </w:r>
      <w:bookmarkStart w:id="253" w:name="_fnr165"/>
      <w:proofErr w:type="spellEnd"/>
      <w:r>
        <w:rPr>
          <w:rStyle w:val="a5"/>
        </w:rPr>
        <w:footnoteReference w:id="165" w:customMarkFollows="0"/>
      </w:r>
      <w:bookmarkEnd w:id="253"/>
      <w:r>
        <w:rPr>
          <w:rtl/>
        </w:rPr>
        <w:t xml:space="preserve"> מגרשים אותי”. הוא ביאר את דבריו המוזרים: לא יכול היה לשאת עוד את היחס שספג מאמו החורגת ליד שולחן האוכל, שבו נספרו </w:t>
      </w:r>
      <w:proofErr w:type="spellStart"/>
      <w:r>
        <w:rPr>
          <w:rtl/>
        </w:rPr>
        <w:t>הכרעמזלעך</w:t>
      </w:r>
      <w:proofErr w:type="spellEnd"/>
      <w:r>
        <w:rPr>
          <w:rtl/>
        </w:rPr>
        <w:t xml:space="preserve"> שהוקצו לו.</w:t>
      </w:r>
    </w:p>
    <w:bookmarkStart w:id="254" w:name="b1_note31"/>
    <w:p w14:paraId="3B48DACD" w14:textId="77777777" w:rsidR="00AB3647" w:rsidRDefault="00000000" w:rsidP="007923E9">
      <w:pPr>
        <w:spacing w:before="120" w:after="100" w:line="276" w:lineRule="auto"/>
        <w:jc w:val="both"/>
      </w:pPr>
      <w:r>
        <w:fldChar w:fldCharType="begin" w:dirty="true"/>
      </w:r>
      <w:r>
        <w:instrText>HYPERLINK \l "b1_ref31"</w:instrText>
      </w:r>
      <w:r>
        <w:fldChar w:fldCharType="separate"/>
      </w:r>
      <w:r>
        <w:rPr>
          <w:b/>
          <w:bCs/>
          <w:rtl/>
        </w:rPr>
        <w:t>31</w:t>
      </w:r>
      <w:r>
        <w:rPr>
          <w:b/>
          <w:bCs/>
        </w:rPr>
        <w:fldChar w:fldCharType="end"/>
      </w:r>
      <w:bookmarkEnd w:id="254"/>
      <w:r>
        <w:rPr>
          <w:rtl/>
        </w:rPr>
        <w:t xml:space="preserve"> </w:t>
      </w:r>
      <w:proofErr w:type="spellStart"/>
      <w:r>
        <w:rPr>
          <w:rtl/>
        </w:rPr>
        <w:t>הינדה־ראשה</w:t>
      </w:r>
      <w:proofErr w:type="spellEnd"/>
      <w:r>
        <w:rPr>
          <w:rtl/>
        </w:rPr>
        <w:t xml:space="preserve"> התאלמנה בשנת תרע״ח</w:t>
      </w:r>
      <w:bookmarkStart w:id="255" w:name="_fnr166"/>
      <w:r>
        <w:rPr>
          <w:rStyle w:val="a5"/>
        </w:rPr>
        <w:footnoteReference w:id="166" w:customMarkFollows="0"/>
      </w:r>
      <w:bookmarkEnd w:id="255"/>
      <w:r>
        <w:rPr>
          <w:rtl/>
        </w:rPr>
        <w:t xml:space="preserve">, ובשנת תרפ״ב יצאה לאמריקה עם בנה הצעיר, יעקב, שהיה אז בן עשרים. כעבור </w:t>
      </w:r>
      <w:proofErr w:type="spellStart"/>
      <w:r>
        <w:rPr>
          <w:rtl/>
        </w:rPr>
        <w:t>שלוש־עשרה</w:t>
      </w:r>
      <w:proofErr w:type="spellEnd"/>
      <w:r>
        <w:rPr>
          <w:rtl/>
        </w:rPr>
        <w:t xml:space="preserve"> שנים נהרגה באורח טרגי בתאונה, כשנדרסה על ידי מכונית.</w:t>
      </w:r>
    </w:p>
    <w:p w14:paraId="74FECE59" w14:textId="60E39FB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ר׳ בנימין </w:t>
      </w:r>
      <w:proofErr w:type="spellStart"/>
      <w:r>
        <w:rPr>
          <w:rtl/>
        </w:rPr>
        <w:t>ועטיל</w:t>
      </w:r>
      <w:proofErr w:type="spellEnd"/>
      <w:r>
        <w:rPr>
          <w:rtl/>
        </w:rPr>
        <w:t xml:space="preserve"> </w:t>
      </w:r>
      <w:proofErr w:type="spellStart"/>
      <w:r>
        <w:rPr>
          <w:rtl/>
        </w:rPr>
        <w:t>קמינצקי</w:t>
      </w:r>
      <w:proofErr w:type="spellEnd"/>
      <w:r>
        <w:rPr>
          <w:rtl/>
        </w:rPr>
        <w:t xml:space="preserve"> עזבו את </w:t>
      </w:r>
      <w:proofErr w:type="spellStart"/>
      <w:r>
        <w:rPr>
          <w:rtl/>
        </w:rPr>
        <w:t>קאליסקובקה</w:t>
      </w:r>
      <w:proofErr w:type="spellEnd"/>
      <w:r>
        <w:rPr>
          <w:rtl/>
        </w:rPr>
        <w:t xml:space="preserve"> בשנת תרנ״ד, שנה אחרי מות ילדתם השנייה, חיה, שנקראה על שם </w:t>
      </w:r>
      <w:proofErr w:type="spellStart"/>
      <w:r>
        <w:rPr>
          <w:rtl/>
        </w:rPr>
        <w:t>אמו</w:t>
      </w:r>
      <w:proofErr w:type="spellEnd"/>
      <w:r>
        <w:rPr>
          <w:rtl/>
        </w:rPr>
        <w:t xml:space="preserve"> של ר׳ בנימין. בכורם, </w:t>
      </w:r>
      <w:proofErr w:type="spellStart"/>
      <w:r>
        <w:rPr>
          <w:rtl/>
        </w:rPr>
        <w:t>חיים־זרח</w:t>
      </w:r>
      <w:proofErr w:type="spellEnd"/>
      <w:r>
        <w:rPr>
          <w:rtl/>
        </w:rPr>
        <w:t xml:space="preserve">, שנקרא על שם אביה של </w:t>
      </w:r>
      <w:proofErr w:type="spellStart"/>
      <w:r>
        <w:rPr>
          <w:rtl/>
        </w:rPr>
        <w:t>עטיל</w:t>
      </w:r>
      <w:proofErr w:type="spellEnd"/>
      <w:r>
        <w:rPr>
          <w:rtl/>
        </w:rPr>
        <w:t xml:space="preserve">, היה אז בן שבע. נשארו בחיים עוד שני ילדים: בן שלוש שנקרא על שם אביה המאמץ </w:t>
      </w:r>
      <w:r>
        <w:rPr>
          <w:rtl/>
        </w:rPr>
        <w:lastRenderedPageBreak/>
        <w:t xml:space="preserve">של </w:t>
      </w:r>
      <w:proofErr w:type="spellStart"/>
      <w:r>
        <w:rPr>
          <w:rtl/>
        </w:rPr>
        <w:t>עטיל</w:t>
      </w:r>
      <w:proofErr w:type="spellEnd"/>
      <w:r>
        <w:rPr>
          <w:rtl/>
        </w:rPr>
        <w:t xml:space="preserve">, ר׳ </w:t>
      </w:r>
      <w:proofErr w:type="spellStart"/>
      <w:r>
        <w:rPr>
          <w:rtl/>
        </w:rPr>
        <w:t>יענקל</w:t>
      </w:r>
      <w:proofErr w:type="spellEnd"/>
      <w:r>
        <w:rPr>
          <w:rtl/>
        </w:rPr>
        <w:t xml:space="preserve"> פוטרפס</w:t>
      </w:r>
      <w:bookmarkStart w:id="256" w:name="b1_ref32"/>
      <w:bookmarkEnd w:id="256"/>
      <w:r>
        <w:rPr>
          <w:vertAlign w:val="superscript"/>
          <w:rtl/>
        </w:rPr>
        <w:fldChar w:fldCharType="begin" w:dirty="true"/>
      </w:r>
      <w:r>
        <w:rPr>
          <w:vertAlign w:val="superscript"/>
          <w:rtl/>
        </w:rPr>
        <w:instrText xml:space="preserve"> REF b1_note32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32</w:t>
      </w:r>
      <w:r>
        <w:rPr>
          <w:vertAlign w:val="superscript"/>
          <w:rtl/>
        </w:rPr>
        <w:fldChar w:fldCharType="end"/>
      </w:r>
      <w:r>
        <w:rPr>
          <w:rtl/>
        </w:rPr>
        <w:t xml:space="preserve"> – אבי; ובת שנה, דבורה. המשפחה הקטנה עברה</w:t>
      </w:r>
      <w:bookmarkStart w:id="257" w:name="b1_ref33"/>
      <w:bookmarkEnd w:id="257"/>
      <w:r>
        <w:rPr>
          <w:vertAlign w:val="superscript"/>
          <w:rtl/>
        </w:rPr>
        <w:fldChar w:fldCharType="begin" w:dirty="true"/>
      </w:r>
      <w:r>
        <w:rPr>
          <w:vertAlign w:val="superscript"/>
          <w:rtl/>
        </w:rPr>
        <w:instrText xml:space="preserve"> REF b1_note33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33</w:t>
      </w:r>
      <w:r>
        <w:rPr>
          <w:vertAlign w:val="superscript"/>
          <w:rtl/>
        </w:rPr>
        <w:fldChar w:fldCharType="end"/>
      </w:r>
      <w:r>
        <w:rPr>
          <w:rtl/>
        </w:rPr>
        <w:t xml:space="preserve"> תחילה לעיירה הקטנה </w:t>
      </w:r>
      <w:proofErr w:type="spellStart"/>
      <w:r>
        <w:rPr>
          <w:rtl/>
        </w:rPr>
        <w:t>חטאייביץ</w:t>
      </w:r>
      <w:proofErr w:type="spellEnd"/>
      <w:r>
        <w:rPr>
          <w:rtl/>
        </w:rPr>
        <w:t xml:space="preserve">׳, ואחרי שהות קצרה – </w:t>
      </w:r>
      <w:proofErr w:type="spellStart"/>
      <w:r>
        <w:rPr>
          <w:rtl/>
        </w:rPr>
        <w:t>לדולהינוב</w:t>
      </w:r>
      <w:proofErr w:type="spellEnd"/>
      <w:r>
        <w:rPr>
          <w:rtl/>
        </w:rPr>
        <w:t xml:space="preserve">. לימים נולדו </w:t>
      </w:r>
      <w:proofErr w:type="spellStart"/>
      <w:r>
        <w:rPr>
          <w:rtl/>
        </w:rPr>
        <w:t>לר</w:t>
      </w:r>
      <w:proofErr w:type="spellEnd"/>
      <w:r>
        <w:rPr>
          <w:rtl/>
        </w:rPr>
        <w:t xml:space="preserve">׳ בנימין </w:t>
      </w:r>
      <w:proofErr w:type="spellStart"/>
      <w:r>
        <w:rPr>
          <w:rtl/>
        </w:rPr>
        <w:t>ולעטיל</w:t>
      </w:r>
      <w:proofErr w:type="spellEnd"/>
      <w:r>
        <w:rPr>
          <w:rtl/>
        </w:rPr>
        <w:t xml:space="preserve"> עוד שלושה ילדים</w:t>
      </w:r>
      <w:bookmarkStart w:id="258" w:name="b1_ref34"/>
      <w:bookmarkEnd w:id="258"/>
      <w:r>
        <w:rPr>
          <w:vertAlign w:val="superscript"/>
          <w:rtl/>
        </w:rPr>
        <w:fldChar w:fldCharType="begin" w:dirty="true"/>
      </w:r>
      <w:r>
        <w:rPr>
          <w:vertAlign w:val="superscript"/>
          <w:rtl/>
        </w:rPr>
        <w:instrText xml:space="preserve"> REF b1_note34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34</w:t>
      </w:r>
      <w:r>
        <w:rPr>
          <w:vertAlign w:val="superscript"/>
          <w:rtl/>
        </w:rPr>
        <w:fldChar w:fldCharType="end"/>
      </w:r>
      <w:r>
        <w:rPr>
          <w:rtl/>
        </w:rPr>
        <w:t>.</w:t>
      </w:r>
    </w:p>
    <w:bookmarkStart w:id="259" w:name="b1_note32"/>
    <w:p w14:paraId="6E3F3167" w14:textId="77777777" w:rsidR="00AB3647" w:rsidRDefault="00000000" w:rsidP="007923E9">
      <w:pPr>
        <w:spacing w:before="120" w:after="100" w:line="276" w:lineRule="auto"/>
        <w:jc w:val="both"/>
      </w:pPr>
      <w:r>
        <w:fldChar w:fldCharType="begin" w:dirty="true"/>
      </w:r>
      <w:r>
        <w:instrText>HYPERLINK \l "b1_ref32"</w:instrText>
      </w:r>
      <w:r>
        <w:fldChar w:fldCharType="separate"/>
      </w:r>
      <w:r>
        <w:rPr>
          <w:b/>
          <w:bCs/>
          <w:rtl/>
        </w:rPr>
        <w:t>32</w:t>
      </w:r>
      <w:r>
        <w:rPr>
          <w:b/>
          <w:bCs/>
        </w:rPr>
        <w:fldChar w:fldCharType="end"/>
      </w:r>
      <w:bookmarkEnd w:id="259"/>
      <w:r>
        <w:rPr>
          <w:rtl/>
        </w:rPr>
        <w:t xml:space="preserve"> גם בתו של ר׳ </w:t>
      </w:r>
      <w:proofErr w:type="spellStart"/>
      <w:r>
        <w:rPr>
          <w:rtl/>
        </w:rPr>
        <w:t>יענקל</w:t>
      </w:r>
      <w:proofErr w:type="spellEnd"/>
      <w:r>
        <w:rPr>
          <w:rtl/>
        </w:rPr>
        <w:t xml:space="preserve"> </w:t>
      </w:r>
      <w:proofErr w:type="spellStart"/>
      <w:r>
        <w:rPr>
          <w:rtl/>
        </w:rPr>
        <w:t>פוטרפס</w:t>
      </w:r>
      <w:proofErr w:type="spellEnd"/>
      <w:r>
        <w:rPr>
          <w:rtl/>
        </w:rPr>
        <w:t xml:space="preserve">, שיינה, חזרה מאוקראינה לבלארוס ונישאה </w:t>
      </w:r>
      <w:proofErr w:type="spellStart"/>
      <w:r>
        <w:rPr>
          <w:rtl/>
        </w:rPr>
        <w:t>לר</w:t>
      </w:r>
      <w:proofErr w:type="spellEnd"/>
      <w:r>
        <w:rPr>
          <w:rtl/>
        </w:rPr>
        <w:t xml:space="preserve">׳ </w:t>
      </w:r>
      <w:proofErr w:type="spellStart"/>
      <w:r>
        <w:rPr>
          <w:rtl/>
        </w:rPr>
        <w:t>יהודה־לייב</w:t>
      </w:r>
      <w:proofErr w:type="spellEnd"/>
      <w:r>
        <w:rPr>
          <w:rtl/>
        </w:rPr>
        <w:t xml:space="preserve"> </w:t>
      </w:r>
      <w:proofErr w:type="spellStart"/>
      <w:r>
        <w:rPr>
          <w:rtl/>
        </w:rPr>
        <w:t>רודרמן</w:t>
      </w:r>
      <w:proofErr w:type="spellEnd"/>
      <w:r>
        <w:rPr>
          <w:rtl/>
        </w:rPr>
        <w:t xml:space="preserve"> </w:t>
      </w:r>
      <w:proofErr w:type="spellStart"/>
      <w:r>
        <w:rPr>
          <w:rtl/>
        </w:rPr>
        <w:t>מדולהינוב</w:t>
      </w:r>
      <w:proofErr w:type="spellEnd"/>
      <w:r>
        <w:rPr>
          <w:rtl/>
        </w:rPr>
        <w:t xml:space="preserve">. בנם, שנקרא על שם סבו, היה ר׳ </w:t>
      </w:r>
      <w:proofErr w:type="spellStart"/>
      <w:r>
        <w:rPr>
          <w:rtl/>
        </w:rPr>
        <w:t>יעקב־יצחק</w:t>
      </w:r>
      <w:proofErr w:type="spellEnd"/>
      <w:r>
        <w:rPr>
          <w:rtl/>
        </w:rPr>
        <w:t xml:space="preserve"> </w:t>
      </w:r>
      <w:proofErr w:type="spellStart"/>
      <w:r>
        <w:rPr>
          <w:rtl/>
        </w:rPr>
        <w:t>רודרמן</w:t>
      </w:r>
      <w:proofErr w:type="spellEnd"/>
      <w:r>
        <w:rPr>
          <w:rtl/>
        </w:rPr>
        <w:t xml:space="preserve">, ראש ישיבת נר ישראל בבולטימור. נמצא שאבי ור׳ </w:t>
      </w:r>
      <w:proofErr w:type="spellStart"/>
      <w:r>
        <w:rPr>
          <w:rtl/>
        </w:rPr>
        <w:t>יעקב־יצחק</w:t>
      </w:r>
      <w:proofErr w:type="spellEnd"/>
      <w:r>
        <w:rPr>
          <w:rtl/>
        </w:rPr>
        <w:t xml:space="preserve"> </w:t>
      </w:r>
      <w:proofErr w:type="spellStart"/>
      <w:r>
        <w:rPr>
          <w:rtl/>
        </w:rPr>
        <w:t>רודרמן</w:t>
      </w:r>
      <w:proofErr w:type="spellEnd"/>
      <w:r>
        <w:rPr>
          <w:rtl/>
        </w:rPr>
        <w:t xml:space="preserve">, ששניהם נקראו על שם אותו יעקב, היו בני דודים בדרגה השנייה. אבי היה מבוגר מבן דודו בעשר שנים, וזכר אותו היטב מימי ילדותו לפני שעזב את </w:t>
      </w:r>
      <w:proofErr w:type="spellStart"/>
      <w:r>
        <w:rPr>
          <w:rtl/>
        </w:rPr>
        <w:t>דולהינוב</w:t>
      </w:r>
      <w:proofErr w:type="spellEnd"/>
      <w:r>
        <w:rPr>
          <w:rtl/>
        </w:rPr>
        <w:t xml:space="preserve"> – ראה סוף פרק זה.</w:t>
      </w:r>
    </w:p>
    <w:p w14:paraId="09572D0A" w14:textId="77777777" w:rsidR="00AB3647" w:rsidRDefault="00000000" w:rsidP="007923E9">
      <w:pPr>
        <w:spacing w:before="120" w:after="100" w:line="276" w:lineRule="auto"/>
        <w:jc w:val="both"/>
      </w:pPr>
      <w:r>
        <w:rPr>
          <w:rtl/>
        </w:rPr>
        <w:t xml:space="preserve">לפי מה שסיפר ר׳ </w:t>
      </w:r>
      <w:proofErr w:type="spellStart"/>
      <w:r>
        <w:rPr>
          <w:rtl/>
        </w:rPr>
        <w:t>יעקב־יצחק</w:t>
      </w:r>
      <w:proofErr w:type="spellEnd"/>
      <w:r>
        <w:rPr>
          <w:rtl/>
        </w:rPr>
        <w:t xml:space="preserve"> </w:t>
      </w:r>
      <w:proofErr w:type="spellStart"/>
      <w:r>
        <w:rPr>
          <w:rtl/>
        </w:rPr>
        <w:t>רודרמן</w:t>
      </w:r>
      <w:proofErr w:type="spellEnd"/>
      <w:r>
        <w:rPr>
          <w:rtl/>
        </w:rPr>
        <w:t xml:space="preserve"> </w:t>
      </w:r>
      <w:proofErr w:type="spellStart"/>
      <w:r>
        <w:rPr>
          <w:rtl/>
        </w:rPr>
        <w:t>לר</w:t>
      </w:r>
      <w:proofErr w:type="spellEnd"/>
      <w:r>
        <w:rPr>
          <w:rtl/>
        </w:rPr>
        <w:t>׳ שמואל ויציק</w:t>
      </w:r>
      <w:bookmarkStart w:id="260" w:name="_fnr167"/>
      <w:r>
        <w:rPr>
          <w:rStyle w:val="a5"/>
        </w:rPr>
        <w:footnoteReference w:id="167" w:customMarkFollows="0"/>
      </w:r>
      <w:bookmarkEnd w:id="260"/>
      <w:r>
        <w:rPr>
          <w:rtl/>
        </w:rPr>
        <w:t xml:space="preserve">, ואישר רבנו פעמים רבות, אבי הוא שנשלח לבשר למכרים </w:t>
      </w:r>
      <w:proofErr w:type="spellStart"/>
      <w:r>
        <w:rPr>
          <w:rtl/>
        </w:rPr>
        <w:t>בדולהינוב</w:t>
      </w:r>
      <w:proofErr w:type="spellEnd"/>
      <w:r>
        <w:rPr>
          <w:rtl/>
        </w:rPr>
        <w:t xml:space="preserve"> על הולדת הבן במשפחת </w:t>
      </w:r>
      <w:proofErr w:type="spellStart"/>
      <w:r>
        <w:rPr>
          <w:rtl/>
        </w:rPr>
        <w:t>רודרמן</w:t>
      </w:r>
      <w:proofErr w:type="spellEnd"/>
      <w:r>
        <w:rPr>
          <w:rtl/>
        </w:rPr>
        <w:t>. ואומנם אבי היה בין הילדים שקראו קריאת שמע ליד עריסתו בליל ברית המילה של בן דודו, והיה גם בברית עצמה. כשהיה אבי בסוף שנות השמונים לחייו ושהה בקיץ במחנה אור שרגא</w:t>
      </w:r>
      <w:bookmarkStart w:id="261" w:name="_fnr168"/>
      <w:r>
        <w:rPr>
          <w:rStyle w:val="a5"/>
        </w:rPr>
        <w:footnoteReference w:id="168" w:customMarkFollows="0"/>
      </w:r>
      <w:bookmarkEnd w:id="261"/>
      <w:r>
        <w:rPr>
          <w:rtl/>
        </w:rPr>
        <w:t xml:space="preserve">, סיפרו לו שר׳ </w:t>
      </w:r>
      <w:proofErr w:type="spellStart"/>
      <w:r>
        <w:rPr>
          <w:rtl/>
        </w:rPr>
        <w:t>יעקב־יצחק</w:t>
      </w:r>
      <w:proofErr w:type="spellEnd"/>
      <w:r>
        <w:rPr>
          <w:rtl/>
        </w:rPr>
        <w:t xml:space="preserve"> </w:t>
      </w:r>
      <w:proofErr w:type="spellStart"/>
      <w:r>
        <w:rPr>
          <w:rtl/>
        </w:rPr>
        <w:t>רודרמן</w:t>
      </w:r>
      <w:proofErr w:type="spellEnd"/>
      <w:r>
        <w:rPr>
          <w:rtl/>
        </w:rPr>
        <w:t xml:space="preserve">, שהיה אז במחנה אגודה, חלש, והעיר: “כמה מוזר! הלא היה נער כל כך חסון [א </w:t>
      </w:r>
      <w:proofErr w:type="spellStart"/>
      <w:r>
        <w:rPr>
          <w:rtl/>
        </w:rPr>
        <w:t>פעסטער</w:t>
      </w:r>
      <w:proofErr w:type="spellEnd"/>
      <w:r>
        <w:rPr>
          <w:rtl/>
        </w:rPr>
        <w:t xml:space="preserve"> </w:t>
      </w:r>
      <w:proofErr w:type="spellStart"/>
      <w:r>
        <w:rPr>
          <w:rtl/>
        </w:rPr>
        <w:t>אינגל</w:t>
      </w:r>
      <w:proofErr w:type="spellEnd"/>
      <w:r>
        <w:rPr>
          <w:rtl/>
        </w:rPr>
        <w:t>]”</w:t>
      </w:r>
      <w:bookmarkStart w:id="262" w:name="_fnr169"/>
      <w:r>
        <w:rPr>
          <w:rStyle w:val="a5"/>
        </w:rPr>
        <w:footnoteReference w:id="169" w:customMarkFollows="0"/>
      </w:r>
      <w:bookmarkEnd w:id="262"/>
      <w:r>
        <w:rPr>
          <w:rtl/>
        </w:rPr>
        <w:t>.</w:t>
      </w:r>
    </w:p>
    <w:p w14:paraId="70678C68" w14:textId="77777777" w:rsidR="00AB3647" w:rsidRDefault="00000000" w:rsidP="007923E9">
      <w:pPr>
        <w:spacing w:before="120" w:after="100" w:line="276" w:lineRule="auto"/>
        <w:jc w:val="both"/>
        <w:rPr>
          <w:rFonts w:hint="cs"/>
        </w:rPr>
      </w:pPr>
      <w:r>
        <w:rPr>
          <w:rtl/>
        </w:rPr>
        <w:t xml:space="preserve">לדברי ר׳ עזרא </w:t>
      </w:r>
      <w:proofErr w:type="spellStart"/>
      <w:r>
        <w:rPr>
          <w:rtl/>
        </w:rPr>
        <w:t>נויבערגר</w:t>
      </w:r>
      <w:bookmarkStart w:id="263" w:name="_fnr170"/>
      <w:proofErr w:type="spellEnd"/>
      <w:r>
        <w:rPr>
          <w:rStyle w:val="a5"/>
        </w:rPr>
        <w:footnoteReference w:id="170" w:customMarkFollows="0"/>
      </w:r>
      <w:bookmarkEnd w:id="263"/>
      <w:r>
        <w:rPr>
          <w:rtl/>
        </w:rPr>
        <w:t xml:space="preserve">, אחיינו ותלמידו של ר׳ </w:t>
      </w:r>
      <w:proofErr w:type="spellStart"/>
      <w:r>
        <w:rPr>
          <w:rtl/>
        </w:rPr>
        <w:t>יעקב־יצחק</w:t>
      </w:r>
      <w:proofErr w:type="spellEnd"/>
      <w:r>
        <w:rPr>
          <w:rtl/>
        </w:rPr>
        <w:t xml:space="preserve"> </w:t>
      </w:r>
      <w:proofErr w:type="spellStart"/>
      <w:r>
        <w:rPr>
          <w:rtl/>
        </w:rPr>
        <w:t>רודרמן</w:t>
      </w:r>
      <w:proofErr w:type="spellEnd"/>
      <w:r>
        <w:rPr>
          <w:rtl/>
        </w:rPr>
        <w:t xml:space="preserve">, סיפר דודו שקרא לעצמו </w:t>
      </w:r>
      <w:proofErr w:type="spellStart"/>
      <w:r>
        <w:rPr>
          <w:rtl/>
        </w:rPr>
        <w:t>יצחק־יעקב</w:t>
      </w:r>
      <w:proofErr w:type="spellEnd"/>
      <w:r>
        <w:rPr>
          <w:rtl/>
        </w:rPr>
        <w:t xml:space="preserve"> עד גיל </w:t>
      </w:r>
      <w:proofErr w:type="spellStart"/>
      <w:r>
        <w:rPr>
          <w:rtl/>
        </w:rPr>
        <w:t>שלוש־עשרה</w:t>
      </w:r>
      <w:proofErr w:type="spellEnd"/>
      <w:r>
        <w:rPr>
          <w:rtl/>
        </w:rPr>
        <w:t xml:space="preserve">. אז הצטרף לישיבת </w:t>
      </w:r>
      <w:proofErr w:type="spellStart"/>
      <w:r>
        <w:rPr>
          <w:rtl/>
        </w:rPr>
        <w:t>סלבודקה</w:t>
      </w:r>
      <w:proofErr w:type="spellEnd"/>
      <w:r>
        <w:rPr>
          <w:rtl/>
        </w:rPr>
        <w:t xml:space="preserve"> בגלותה במינסק בימי מלחמת העולם הראשונה, ובאותו זמן למד שם אבי. אבי זכר את השם המדויק שניתן לבן דודו בברית, ואמר לו אז להקדים את יעקב ליצחק</w:t>
      </w:r>
      <w:r>
        <w:rPr>
          <w:b/>
          <w:bCs/>
          <w:rtl/>
        </w:rPr>
        <w:t xml:space="preserve"/>
      </w:r>
      <w:r>
        <w:rPr>
          <w:rtl/>
        </w:rPr>
        <w:t xml:space="preserve"> – וכך נהג ר׳ </w:t>
      </w:r>
      <w:proofErr w:type="spellStart"/>
      <w:r>
        <w:rPr>
          <w:rtl/>
        </w:rPr>
        <w:t>יעקב־יצחק</w:t>
      </w:r>
      <w:proofErr w:type="spellEnd"/>
      <w:r>
        <w:rPr>
          <w:rtl/>
        </w:rPr>
        <w:t xml:space="preserve"> </w:t>
      </w:r>
      <w:proofErr w:type="spellStart"/>
      <w:r>
        <w:rPr>
          <w:rtl/>
        </w:rPr>
        <w:t>רודרמן</w:t>
      </w:r>
      <w:proofErr w:type="spellEnd"/>
      <w:r>
        <w:rPr>
          <w:rtl/>
        </w:rPr>
        <w:t xml:space="preserve"> מאז ואילך</w:t>
      </w:r>
      <w:bookmarkStart w:id="264" w:name="_fnr171"/>
      <w:r>
        <w:rPr>
          <w:rStyle w:val="a5"/>
        </w:rPr>
        <w:footnoteReference w:id="171" w:customMarkFollows="0"/>
      </w:r>
      <w:bookmarkEnd w:id="264"/>
      <w:r>
        <w:rPr>
          <w:rtl/>
        </w:rPr>
        <w:t>.</w:t>
      </w:r>
    </w:p>
    <w:p w14:paraId="4F825F53" w14:textId="77777777" w:rsidR="00AB3647" w:rsidRDefault="00000000" w:rsidP="007923E9">
      <w:pPr>
        <w:spacing w:after="100" w:line="276" w:lineRule="auto"/>
        <w:ind w:firstLine="340"/>
        <w:jc w:val="both"/>
      </w:pPr>
      <w:r>
        <w:rPr>
          <w:rtl/>
        </w:rPr>
        <w:t xml:space="preserve">ר׳ </w:t>
      </w:r>
      <w:proofErr w:type="spellStart"/>
      <w:r>
        <w:rPr>
          <w:rtl/>
        </w:rPr>
        <w:t>אברהם־חיים</w:t>
      </w:r>
      <w:proofErr w:type="spellEnd"/>
      <w:r>
        <w:rPr>
          <w:rtl/>
        </w:rPr>
        <w:t xml:space="preserve"> </w:t>
      </w:r>
      <w:proofErr w:type="spellStart"/>
      <w:r>
        <w:rPr>
          <w:rtl/>
        </w:rPr>
        <w:t>פויער</w:t>
      </w:r>
      <w:proofErr w:type="spellEnd"/>
      <w:r>
        <w:rPr>
          <w:rtl/>
        </w:rPr>
        <w:t xml:space="preserve"> סיפר</w:t>
      </w:r>
      <w:bookmarkStart w:id="265" w:name="_fnr172"/>
      <w:bookmarkStart w:id="266" w:name="pr_f_105"/>
      <w:r>
        <w:rPr>
          <w:rStyle w:val="a5"/>
        </w:rPr>
        <w:footnoteReference w:id="172" w:customMarkFollows="0"/>
      </w:r>
      <w:bookmarkEnd w:id="265"/>
      <w:bookmarkEnd w:id="266"/>
      <w:r>
        <w:rPr>
          <w:rtl/>
        </w:rPr>
        <w:t xml:space="preserve"> סיפור מעניין, שאבי סיפר</w:t>
      </w:r>
      <w:bookmarkStart w:id="267" w:name="_fnr173"/>
      <w:r>
        <w:rPr>
          <w:rStyle w:val="a5"/>
        </w:rPr>
        <w:footnoteReference w:id="173" w:customMarkFollows="0"/>
      </w:r>
      <w:bookmarkEnd w:id="267"/>
      <w:r>
        <w:rPr>
          <w:rtl/>
        </w:rPr>
        <w:t xml:space="preserve"> כשביקר בבית משפחת </w:t>
      </w:r>
      <w:proofErr w:type="spellStart"/>
      <w:r>
        <w:rPr>
          <w:rtl/>
        </w:rPr>
        <w:t>פויער</w:t>
      </w:r>
      <w:proofErr w:type="spellEnd"/>
      <w:r>
        <w:rPr>
          <w:rtl/>
        </w:rPr>
        <w:t xml:space="preserve"> בפלורידה “בראש חודש אדר </w:t>
      </w:r>
      <w:proofErr w:type="spellStart"/>
      <w:r>
        <w:rPr>
          <w:rtl/>
        </w:rPr>
        <w:t>תש״ם</w:t>
      </w:r>
      <w:proofErr w:type="spellEnd"/>
      <w:r>
        <w:rPr>
          <w:rtl/>
        </w:rPr>
        <w:t xml:space="preserve">”, על הסיבה שניתן </w:t>
      </w:r>
      <w:proofErr w:type="spellStart"/>
      <w:r>
        <w:rPr>
          <w:rtl/>
        </w:rPr>
        <w:t>לר</w:t>
      </w:r>
      <w:proofErr w:type="spellEnd"/>
      <w:r>
        <w:rPr>
          <w:rtl/>
        </w:rPr>
        <w:t xml:space="preserve">׳ </w:t>
      </w:r>
      <w:proofErr w:type="spellStart"/>
      <w:r>
        <w:rPr>
          <w:rtl/>
        </w:rPr>
        <w:t>יעקב־יצחק</w:t>
      </w:r>
      <w:proofErr w:type="spellEnd"/>
      <w:r>
        <w:rPr>
          <w:rtl/>
        </w:rPr>
        <w:t xml:space="preserve"> </w:t>
      </w:r>
      <w:proofErr w:type="spellStart"/>
      <w:r>
        <w:rPr>
          <w:rtl/>
        </w:rPr>
        <w:t>רודרמן</w:t>
      </w:r>
      <w:proofErr w:type="spellEnd"/>
      <w:r>
        <w:rPr>
          <w:rtl/>
        </w:rPr>
        <w:t xml:space="preserve"> שמו הכפול.</w:t>
      </w:r>
    </w:p>
    <w:p w14:paraId="578FE292" w14:textId="77777777" w:rsidR="00AB3647" w:rsidRDefault="00000000" w:rsidP="007923E9">
      <w:pPr>
        <w:spacing w:after="100" w:line="276" w:lineRule="auto"/>
        <w:ind w:firstLine="340"/>
        <w:jc w:val="both"/>
      </w:pPr>
      <w:r>
        <w:rPr>
          <w:rtl/>
        </w:rPr>
        <w:t xml:space="preserve">שיינה, </w:t>
      </w:r>
      <w:proofErr w:type="spellStart"/>
      <w:r>
        <w:rPr>
          <w:rtl/>
        </w:rPr>
        <w:t>אמו</w:t>
      </w:r>
      <w:proofErr w:type="spellEnd"/>
      <w:r>
        <w:rPr>
          <w:rtl/>
        </w:rPr>
        <w:t xml:space="preserve"> של ר׳ </w:t>
      </w:r>
      <w:proofErr w:type="spellStart"/>
      <w:r>
        <w:rPr>
          <w:rtl/>
        </w:rPr>
        <w:t>יעקב־יצחק</w:t>
      </w:r>
      <w:proofErr w:type="spellEnd"/>
      <w:r>
        <w:rPr>
          <w:rtl/>
        </w:rPr>
        <w:t xml:space="preserve">, ילדה קודם לכן שבע בנות. כשהייתה מעוברת ביקרה אצלה חברה ואמרה לה שהיא אינה יכולה לקרוא לבן על שם אביה יצחק, משום שאחד משני שמות בעלה היה יצחק. לכן ביקשה משיינה שתקרא לילד, אם יהיה בן, יצחק. שיינה, שציפתה לבת נוספת, הסכימה. כשנולד בן ורצתה לקרוא לו על שם אביה </w:t>
      </w:r>
      <w:r>
        <w:rPr>
          <w:b/>
          <w:bCs/>
          <w:rtl/>
        </w:rPr>
        <w:t>שלה</w:t>
      </w:r>
      <w:r>
        <w:rPr>
          <w:rtl/>
        </w:rPr>
        <w:t xml:space="preserve">, יעקב, פסק רב </w:t>
      </w:r>
      <w:proofErr w:type="spellStart"/>
      <w:r>
        <w:rPr>
          <w:rtl/>
        </w:rPr>
        <w:t>דולהינוב</w:t>
      </w:r>
      <w:proofErr w:type="spellEnd"/>
      <w:r>
        <w:rPr>
          <w:rtl/>
        </w:rPr>
        <w:t xml:space="preserve"> שיינתנו לתינוק שני שמות. השמות יעקב ויצחק ניתנו על שם </w:t>
      </w:r>
      <w:r>
        <w:rPr>
          <w:b/>
          <w:bCs/>
          <w:rtl/>
        </w:rPr>
        <w:t>שני</w:t>
      </w:r>
      <w:r>
        <w:rPr>
          <w:rtl/>
        </w:rPr>
        <w:t xml:space="preserve"> אנשים, ולכן לא היה קשה להחליף את סדרם.</w:t>
      </w:r>
    </w:p>
    <w:p w14:paraId="45F3D8B3" w14:textId="77777777" w:rsidR="00AB3647" w:rsidRDefault="00000000" w:rsidP="007923E9">
      <w:pPr>
        <w:spacing w:after="100" w:line="276" w:lineRule="auto"/>
        <w:ind w:firstLine="340"/>
        <w:jc w:val="both"/>
      </w:pPr>
      <w:r>
        <w:rPr>
          <w:rtl/>
        </w:rPr>
        <w:lastRenderedPageBreak/>
        <w:t xml:space="preserve">סדר השמות היה חשוב לאבי, משום שאצל האשכנזים – שלא כמו אצל הספרדים – השני בשמות כפולים הוא העיקרי. נמצא שסדר השמות יעיד אם רב </w:t>
      </w:r>
      <w:proofErr w:type="spellStart"/>
      <w:r>
        <w:rPr>
          <w:rtl/>
        </w:rPr>
        <w:t>דולהינוב</w:t>
      </w:r>
      <w:bookmarkStart w:id="268" w:name="_fnr174"/>
      <w:proofErr w:type="spellEnd"/>
      <w:r>
        <w:rPr>
          <w:rStyle w:val="a5"/>
        </w:rPr>
        <w:footnoteReference w:id="174" w:customMarkFollows="0"/>
      </w:r>
      <w:bookmarkEnd w:id="268"/>
      <w:r>
        <w:rPr>
          <w:rtl/>
        </w:rPr>
        <w:t xml:space="preserve"> ראה בהבטחתה של שיינה הבטחה מחייבת, או רק דבר ראוי לקיימו אך לא מחייב.</w:t>
      </w:r>
    </w:p>
    <w:p w14:paraId="36CD26D1" w14:textId="77777777" w:rsidR="00AB3647" w:rsidRDefault="00000000" w:rsidP="007923E9">
      <w:pPr>
        <w:spacing w:after="100" w:line="276" w:lineRule="auto"/>
        <w:ind w:firstLine="340"/>
        <w:jc w:val="both"/>
      </w:pPr>
      <w:r>
        <w:rPr>
          <w:rtl/>
        </w:rPr>
        <w:t xml:space="preserve">לפי נוסחו של ר׳ עזרא </w:t>
      </w:r>
      <w:proofErr w:type="spellStart"/>
      <w:r>
        <w:rPr>
          <w:rtl/>
        </w:rPr>
        <w:t>נויבערגר</w:t>
      </w:r>
      <w:proofErr w:type="spellEnd"/>
      <w:r>
        <w:rPr>
          <w:rtl/>
        </w:rPr>
        <w:t xml:space="preserve">, נפטר </w:t>
      </w:r>
      <w:proofErr w:type="spellStart"/>
      <w:r>
        <w:rPr>
          <w:rtl/>
        </w:rPr>
        <w:t>בדולהינוב</w:t>
      </w:r>
      <w:proofErr w:type="spellEnd"/>
      <w:r>
        <w:rPr>
          <w:rtl/>
        </w:rPr>
        <w:t xml:space="preserve"> אדם חשוך ילדים בשם יצחק, ובביקור הניחומים של שיינה קיבלה האלמנה את הבטחתה שאם תלד בן תקרא לו יצחק. נוסח אחר, שמועה שנמסרה בשם רבנו ושהזכיר ר׳ </w:t>
      </w:r>
      <w:proofErr w:type="spellStart"/>
      <w:r>
        <w:rPr>
          <w:rtl/>
        </w:rPr>
        <w:t>ליפא</w:t>
      </w:r>
      <w:proofErr w:type="spellEnd"/>
      <w:r>
        <w:rPr>
          <w:rtl/>
        </w:rPr>
        <w:t xml:space="preserve"> </w:t>
      </w:r>
      <w:proofErr w:type="spellStart"/>
      <w:r>
        <w:rPr>
          <w:rtl/>
        </w:rPr>
        <w:t>גלדוורט</w:t>
      </w:r>
      <w:proofErr w:type="spellEnd"/>
      <w:r>
        <w:rPr>
          <w:rtl/>
        </w:rPr>
        <w:t>, מספר שפרוש</w:t>
      </w:r>
      <w:bookmarkStart w:id="269" w:name="_fnr175"/>
      <w:bookmarkStart w:id="270" w:name="pr_f_108"/>
      <w:r>
        <w:rPr>
          <w:rStyle w:val="a5"/>
        </w:rPr>
        <w:footnoteReference w:id="175" w:customMarkFollows="0"/>
      </w:r>
      <w:bookmarkEnd w:id="269"/>
      <w:bookmarkEnd w:id="270"/>
      <w:r>
        <w:rPr>
          <w:rtl/>
        </w:rPr>
        <w:t xml:space="preserve"> סעד בבית משפחת </w:t>
      </w:r>
      <w:proofErr w:type="spellStart"/>
      <w:r>
        <w:rPr>
          <w:rtl/>
        </w:rPr>
        <w:t>רודרמן</w:t>
      </w:r>
      <w:proofErr w:type="spellEnd"/>
      <w:r>
        <w:rPr>
          <w:rtl/>
        </w:rPr>
        <w:t xml:space="preserve"> ושמע כמה נשים אומרות </w:t>
      </w:r>
      <w:proofErr w:type="spellStart"/>
      <w:r>
        <w:rPr>
          <w:rtl/>
        </w:rPr>
        <w:t>לשיינה</w:t>
      </w:r>
      <w:proofErr w:type="spellEnd"/>
      <w:r>
        <w:rPr>
          <w:rtl/>
        </w:rPr>
        <w:t xml:space="preserve"> </w:t>
      </w:r>
      <w:proofErr w:type="spellStart"/>
      <w:r>
        <w:rPr>
          <w:rtl/>
        </w:rPr>
        <w:t>רודרמן</w:t>
      </w:r>
      <w:proofErr w:type="spellEnd"/>
      <w:r>
        <w:rPr>
          <w:rtl/>
        </w:rPr>
        <w:t xml:space="preserve">: “הפעם יהיה לך בן”. “הוא נשא את עיניו ואמר: ‘מה, אין לך בן?! יהיה לך, בתנאי שתקראי לו יצחק, כשמי’”, סיפר כביכול אבי. לפי נוסח זה היה “יעקב” ודאי השם הראשי, ולא היה נקרא </w:t>
      </w:r>
      <w:proofErr w:type="spellStart"/>
      <w:r>
        <w:rPr>
          <w:rtl/>
        </w:rPr>
        <w:t>יעקב־יצחק</w:t>
      </w:r>
      <w:proofErr w:type="spellEnd"/>
      <w:r>
        <w:rPr>
          <w:rtl/>
        </w:rPr>
        <w:t xml:space="preserve"> כפי שזכר אבי מטקס הברית. אבל נוסח זה אינו מתקבל על הדעת כלל.</w:t>
      </w:r>
    </w:p>
    <w:bookmarkStart w:id="271" w:name="b1_note33"/>
    <w:p w14:paraId="7756E6F4" w14:textId="77777777" w:rsidR="00AB3647" w:rsidRDefault="00000000" w:rsidP="007923E9">
      <w:pPr>
        <w:spacing w:before="120" w:after="100" w:line="276" w:lineRule="auto"/>
        <w:jc w:val="both"/>
      </w:pPr>
      <w:r>
        <w:fldChar w:fldCharType="begin" w:dirty="true"/>
      </w:r>
      <w:r>
        <w:instrText>HYPERLINK \l "b1_ref33"</w:instrText>
      </w:r>
      <w:r>
        <w:fldChar w:fldCharType="separate"/>
      </w:r>
      <w:r>
        <w:rPr>
          <w:b/>
          <w:bCs/>
          <w:rtl/>
        </w:rPr>
        <w:t>33</w:t>
      </w:r>
      <w:r>
        <w:rPr>
          <w:b/>
          <w:bCs/>
        </w:rPr>
        <w:fldChar w:fldCharType="end"/>
      </w:r>
      <w:bookmarkEnd w:id="271"/>
      <w:r>
        <w:rPr>
          <w:rtl/>
        </w:rPr>
        <w:t xml:space="preserve"> אף שתמותת תינוקות לא הייתה נדירה באותן שנים, ייתכן שמות ילדתם השנייה זירז את החלטתם הקשה לעזוב את הנוחות של </w:t>
      </w:r>
      <w:proofErr w:type="spellStart"/>
      <w:r>
        <w:rPr>
          <w:rtl/>
        </w:rPr>
        <w:t>קאליסקובקה</w:t>
      </w:r>
      <w:proofErr w:type="spellEnd"/>
      <w:r>
        <w:rPr>
          <w:rtl/>
        </w:rPr>
        <w:t>. המקום העלה בהם זיכרונות עצובים.</w:t>
      </w:r>
    </w:p>
    <w:bookmarkStart w:id="272" w:name="b1_note34"/>
    <w:p w14:paraId="5BE72656" w14:textId="77777777" w:rsidR="00AB3647" w:rsidRDefault="00000000" w:rsidP="007923E9">
      <w:pPr>
        <w:spacing w:before="120" w:after="100" w:line="276" w:lineRule="auto"/>
        <w:jc w:val="both"/>
      </w:pPr>
      <w:r>
        <w:fldChar w:fldCharType="begin" w:dirty="true"/>
      </w:r>
      <w:r>
        <w:instrText>HYPERLINK \l "b1_ref34"</w:instrText>
      </w:r>
      <w:r>
        <w:fldChar w:fldCharType="separate"/>
      </w:r>
      <w:r>
        <w:rPr>
          <w:b/>
          <w:bCs/>
          <w:rtl/>
        </w:rPr>
        <w:t>34</w:t>
      </w:r>
      <w:r>
        <w:rPr>
          <w:b/>
          <w:bCs/>
        </w:rPr>
        <w:fldChar w:fldCharType="end"/>
      </w:r>
      <w:bookmarkEnd w:id="272"/>
      <w:r>
        <w:rPr>
          <w:rtl/>
        </w:rPr>
        <w:t xml:space="preserve"> אהרן (נולד תרנ״ו, נפטר תשכ״ו), יודל (נולד תרנ״ח, נהרג בקרב על </w:t>
      </w:r>
      <w:proofErr w:type="spellStart"/>
      <w:r>
        <w:rPr>
          <w:rtl/>
        </w:rPr>
        <w:t>דנייפרופטרובסק</w:t>
      </w:r>
      <w:proofErr w:type="spellEnd"/>
      <w:r>
        <w:rPr>
          <w:rtl/>
        </w:rPr>
        <w:t xml:space="preserve">, היא </w:t>
      </w:r>
      <w:proofErr w:type="spellStart"/>
      <w:r>
        <w:rPr>
          <w:rtl/>
        </w:rPr>
        <w:t>יקטרינוסלב</w:t>
      </w:r>
      <w:proofErr w:type="spellEnd"/>
      <w:r>
        <w:rPr>
          <w:rtl/>
        </w:rPr>
        <w:t>, בשנת תש״ג), ולאה (נולדה תר״ס, נפטרה תשל״א</w:t>
      </w:r>
      <w:bookmarkStart w:id="273" w:name="_fnr176"/>
      <w:r>
        <w:rPr>
          <w:rStyle w:val="a5"/>
        </w:rPr>
        <w:footnoteReference w:id="176" w:customMarkFollows="0"/>
      </w:r>
      <w:bookmarkEnd w:id="273"/>
      <w:r>
        <w:rPr>
          <w:rtl/>
        </w:rPr>
        <w:t>). דבורה, שהתכתבה עמי</w:t>
      </w:r>
      <w:bookmarkStart w:id="274" w:name="_fnr177"/>
      <w:r>
        <w:rPr>
          <w:rStyle w:val="a5"/>
        </w:rPr>
        <w:footnoteReference w:id="177" w:customMarkFollows="0"/>
      </w:r>
      <w:bookmarkEnd w:id="274"/>
      <w:r>
        <w:rPr>
          <w:rtl/>
        </w:rPr>
        <w:t>, נפטרה בשנת תשנ״ב.</w:t>
      </w:r>
    </w:p>
    <w:p w14:paraId="4DB68948" w14:textId="77777777" w:rsidR="00AB3647" w:rsidRDefault="00000000" w:rsidP="007923E9">
      <w:pPr>
        <w:pStyle w:val="2"/>
        <w:spacing w:line="276" w:lineRule="auto"/>
      </w:pPr>
      <w:bookmarkStart w:id="275" w:name="b1_sec3"/>
      <w:r>
        <w:t>3.</w:t>
      </w:r>
      <w:bookmarkEnd w:id="275"/>
    </w:p>
    <w:p w14:paraId="6EBD7967" w14:textId="177313B3"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אבי עשה את רוב ימי ילדותו בדולהינוב</w:t>
      </w:r>
      <w:bookmarkStart w:id="276" w:name="b1_ref35"/>
      <w:bookmarkEnd w:id="276"/>
      <w:r>
        <w:rPr>
          <w:vertAlign w:val="superscript"/>
          <w:rtl/>
        </w:rPr>
        <w:fldChar w:fldCharType="begin" w:dirty="true"/>
      </w:r>
      <w:r>
        <w:rPr>
          <w:vertAlign w:val="superscript"/>
          <w:rtl/>
        </w:rPr>
        <w:instrText xml:space="preserve"> REF b1_note35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35</w:t>
      </w:r>
      <w:r>
        <w:rPr>
          <w:vertAlign w:val="superscript"/>
          <w:rtl/>
        </w:rPr>
        <w:fldChar w:fldCharType="end"/>
      </w:r>
      <w:r>
        <w:rPr>
          <w:rtl/>
        </w:rPr>
        <w:t xml:space="preserve">. העיירה נעשתה חלק מרוסיה עם החלוקה האחרונה של פולין, מאה שנה שלמה קודם לכן – ביתור ששם קץ לעצמאותה של פולין עד סוף מלחמת העולם הראשונה. במסגרת תוכנית </w:t>
      </w:r>
      <w:proofErr w:type="spellStart"/>
      <w:r>
        <w:rPr>
          <w:rtl/>
        </w:rPr>
        <w:t>הרוּסיפיקציה</w:t>
      </w:r>
      <w:proofErr w:type="spellEnd"/>
      <w:r>
        <w:rPr>
          <w:rtl/>
        </w:rPr>
        <w:t xml:space="preserve"> שלה ציוותה הממשלה לגרש את היהודים מן הכפרים וליישבם מחדש בעיירות ובערים. אבל צו זה לא נאכף בקפדנות עד רצח הצאר אלכסנדר השני במרץ 1881, כשגל של פרעות היכה בארץ. מדיניות יישובם מחדש של היהודים התחזקה בצו מחודש שהוצא בשנת 1882.</w:t>
      </w:r>
    </w:p>
    <w:bookmarkStart w:id="277" w:name="b1_note35"/>
    <w:p w14:paraId="75E753FC" w14:textId="77777777" w:rsidR="00AB3647" w:rsidRDefault="00000000" w:rsidP="007923E9">
      <w:pPr>
        <w:spacing w:before="120" w:after="100" w:line="276" w:lineRule="auto"/>
        <w:jc w:val="both"/>
      </w:pPr>
      <w:r>
        <w:fldChar w:fldCharType="begin" w:dirty="true"/>
      </w:r>
      <w:r>
        <w:instrText>HYPERLINK \l "b1_ref35"</w:instrText>
      </w:r>
      <w:r>
        <w:fldChar w:fldCharType="separate"/>
      </w:r>
      <w:r>
        <w:rPr>
          <w:b/>
          <w:bCs/>
          <w:rtl/>
        </w:rPr>
        <w:t>35</w:t>
      </w:r>
      <w:r>
        <w:rPr>
          <w:b/>
          <w:bCs/>
        </w:rPr>
        <w:fldChar w:fldCharType="end"/>
      </w:r>
      <w:bookmarkEnd w:id="277"/>
      <w:r>
        <w:rPr>
          <w:rtl/>
        </w:rPr>
        <w:t xml:space="preserve"> הוא יצא ללמוד בישיבת </w:t>
      </w:r>
      <w:proofErr w:type="spellStart"/>
      <w:r>
        <w:rPr>
          <w:rtl/>
        </w:rPr>
        <w:t>סלבודקה</w:t>
      </w:r>
      <w:proofErr w:type="spellEnd"/>
      <w:r>
        <w:rPr>
          <w:rtl/>
        </w:rPr>
        <w:t xml:space="preserve"> לא </w:t>
      </w:r>
      <w:proofErr w:type="spellStart"/>
      <w:r>
        <w:rPr>
          <w:rtl/>
        </w:rPr>
        <w:t>מדולהינוב</w:t>
      </w:r>
      <w:proofErr w:type="spellEnd"/>
      <w:r>
        <w:rPr>
          <w:rtl/>
        </w:rPr>
        <w:t xml:space="preserve"> אלא ממינסק, העיר שאליה עברו הוריו באותו זמן. ואף על פי כן נקרא אבי </w:t>
      </w:r>
      <w:proofErr w:type="spellStart"/>
      <w:r>
        <w:rPr>
          <w:rtl/>
        </w:rPr>
        <w:t>יענקל</w:t>
      </w:r>
      <w:proofErr w:type="spellEnd"/>
      <w:r>
        <w:rPr>
          <w:rtl/>
        </w:rPr>
        <w:t xml:space="preserve"> </w:t>
      </w:r>
      <w:proofErr w:type="spellStart"/>
      <w:r>
        <w:rPr>
          <w:rtl/>
        </w:rPr>
        <w:t>דולהינובר</w:t>
      </w:r>
      <w:proofErr w:type="spellEnd"/>
      <w:r>
        <w:rPr>
          <w:rtl/>
        </w:rPr>
        <w:t>, לפי המנהג שרווח בישיבות ליטא לכנות תלמיד על שם העיר שממנה בא.</w:t>
      </w:r>
    </w:p>
    <w:p w14:paraId="468DD638" w14:textId="77777777" w:rsidR="00AB3647" w:rsidRDefault="00000000" w:rsidP="007923E9">
      <w:pPr>
        <w:spacing w:before="120" w:after="100" w:line="276" w:lineRule="auto"/>
        <w:jc w:val="both"/>
      </w:pPr>
      <w:r>
        <w:rPr>
          <w:rtl/>
        </w:rPr>
        <w:lastRenderedPageBreak/>
        <w:t xml:space="preserve">לדברי ר׳ </w:t>
      </w:r>
      <w:proofErr w:type="spellStart"/>
      <w:r>
        <w:rPr>
          <w:rtl/>
        </w:rPr>
        <w:t>ישראל־מאיר</w:t>
      </w:r>
      <w:proofErr w:type="spellEnd"/>
      <w:r>
        <w:rPr>
          <w:rtl/>
        </w:rPr>
        <w:t xml:space="preserve"> </w:t>
      </w:r>
      <w:proofErr w:type="spellStart"/>
      <w:r>
        <w:rPr>
          <w:rtl/>
        </w:rPr>
        <w:t>קארנו</w:t>
      </w:r>
      <w:proofErr w:type="spellEnd"/>
      <w:r>
        <w:rPr>
          <w:rtl/>
        </w:rPr>
        <w:t xml:space="preserve"> (במקורו </w:t>
      </w:r>
      <w:proofErr w:type="spellStart"/>
      <w:r>
        <w:rPr>
          <w:rtl/>
        </w:rPr>
        <w:t>קארנוביץ</w:t>
      </w:r>
      <w:proofErr w:type="spellEnd"/>
      <w:r>
        <w:rPr>
          <w:rtl/>
        </w:rPr>
        <w:t>)</w:t>
      </w:r>
      <w:bookmarkStart w:id="278" w:name="_fnr178"/>
      <w:r>
        <w:rPr>
          <w:rStyle w:val="a5"/>
        </w:rPr>
        <w:footnoteReference w:id="178" w:customMarkFollows="0"/>
      </w:r>
      <w:bookmarkEnd w:id="278"/>
      <w:r>
        <w:rPr>
          <w:rtl/>
        </w:rPr>
        <w:t xml:space="preserve">, דרך כינוי זו לא נהגה </w:t>
      </w:r>
      <w:proofErr w:type="spellStart"/>
      <w:r>
        <w:rPr>
          <w:rtl/>
        </w:rPr>
        <w:t>בטלז</w:t>
      </w:r>
      <w:proofErr w:type="spellEnd"/>
      <w:r>
        <w:rPr>
          <w:rtl/>
        </w:rPr>
        <w:t xml:space="preserve">, לפחות בשנות </w:t>
      </w:r>
      <w:proofErr w:type="spellStart"/>
      <w:r>
        <w:rPr>
          <w:rtl/>
        </w:rPr>
        <w:t>הת״ר־צ</w:t>
      </w:r>
      <w:proofErr w:type="spellEnd"/>
      <w:r>
        <w:rPr>
          <w:rtl/>
        </w:rPr>
        <w:t xml:space="preserve">׳ – שנות השלושים של המאה ה־20, העשור האחרון לקיומן של ישיבות ליטא לפני השואה. המרואיין למד </w:t>
      </w:r>
      <w:proofErr w:type="spellStart"/>
      <w:r>
        <w:rPr>
          <w:rtl/>
        </w:rPr>
        <w:t>בטלז</w:t>
      </w:r>
      <w:proofErr w:type="spellEnd"/>
      <w:r>
        <w:rPr>
          <w:rtl/>
        </w:rPr>
        <w:t xml:space="preserve"> חמש שנים ונקרא שם פשוט </w:t>
      </w:r>
      <w:proofErr w:type="spellStart"/>
      <w:r>
        <w:rPr>
          <w:rtl/>
        </w:rPr>
        <w:t>ישראל־מאיר</w:t>
      </w:r>
      <w:proofErr w:type="spellEnd"/>
      <w:r>
        <w:rPr>
          <w:rtl/>
        </w:rPr>
        <w:t xml:space="preserve"> </w:t>
      </w:r>
      <w:proofErr w:type="spellStart"/>
      <w:r>
        <w:rPr>
          <w:rtl/>
        </w:rPr>
        <w:t>קארנוביץ</w:t>
      </w:r>
      <w:proofErr w:type="spellEnd"/>
      <w:r>
        <w:rPr>
          <w:rtl/>
        </w:rPr>
        <w:t xml:space="preserve">. הוא נימק זאת: “שלא </w:t>
      </w:r>
      <w:proofErr w:type="spellStart"/>
      <w:r>
        <w:rPr>
          <w:rtl/>
        </w:rPr>
        <w:t>כבסלבודקה</w:t>
      </w:r>
      <w:proofErr w:type="spellEnd"/>
      <w:r>
        <w:rPr>
          <w:rtl/>
        </w:rPr>
        <w:t xml:space="preserve"> – </w:t>
      </w:r>
      <w:proofErr w:type="spellStart"/>
      <w:r>
        <w:rPr>
          <w:rtl/>
        </w:rPr>
        <w:t>ובמיר</w:t>
      </w:r>
      <w:proofErr w:type="spellEnd"/>
      <w:r>
        <w:rPr>
          <w:rtl/>
        </w:rPr>
        <w:t xml:space="preserve">, שבה למדתי גם כן – קרבתה של </w:t>
      </w:r>
      <w:proofErr w:type="spellStart"/>
      <w:r>
        <w:rPr>
          <w:rtl/>
        </w:rPr>
        <w:t>טלז</w:t>
      </w:r>
      <w:proofErr w:type="spellEnd"/>
      <w:r>
        <w:rPr>
          <w:rtl/>
        </w:rPr>
        <w:t xml:space="preserve"> לגבול גרמניה, ואולי גם העובדה שמנהלי הישיבה היו חתניהם של בני משפחת דניס העשירים </w:t>
      </w:r>
      <w:proofErr w:type="spellStart"/>
      <w:r>
        <w:rPr>
          <w:rtl/>
        </w:rPr>
        <w:t>מהומל</w:t>
      </w:r>
      <w:proofErr w:type="spellEnd"/>
      <w:r>
        <w:rPr>
          <w:rtl/>
        </w:rPr>
        <w:t>, גרמו לה לאמץ מנהגים מודרניים יותר”.</w:t>
      </w:r>
    </w:p>
    <w:p w14:paraId="4A5FFCEF" w14:textId="02F0A958"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כך, בעשור שלפני בואה של משפחת </w:t>
      </w:r>
      <w:proofErr w:type="spellStart"/>
      <w:r>
        <w:rPr>
          <w:rtl/>
        </w:rPr>
        <w:t>קמינצקי</w:t>
      </w:r>
      <w:proofErr w:type="spellEnd"/>
      <w:r>
        <w:rPr>
          <w:rtl/>
        </w:rPr>
        <w:t xml:space="preserve">, עברו </w:t>
      </w:r>
      <w:proofErr w:type="spellStart"/>
      <w:r>
        <w:rPr>
          <w:rtl/>
        </w:rPr>
        <w:t>לדולהינוב</w:t>
      </w:r>
      <w:proofErr w:type="spellEnd"/>
      <w:r>
        <w:rPr>
          <w:rtl/>
        </w:rPr>
        <w:t xml:space="preserve"> משפחות יהודיות רבות שגרו בכפרים שסביב העיירה. הן הצטרפו לקהילה יהודית שלפי עדותן האילמת של מצבות בית הקברות שלה כבר הייתה קיימת יותר משלוש מאות שנה</w:t>
      </w:r>
      <w:bookmarkStart w:id="279" w:name="b1_ref36"/>
      <w:bookmarkEnd w:id="279"/>
      <w:r>
        <w:rPr>
          <w:vertAlign w:val="superscript"/>
          <w:rtl/>
        </w:rPr>
        <w:fldChar w:fldCharType="begin" w:dirty="true"/>
      </w:r>
      <w:r>
        <w:rPr>
          <w:vertAlign w:val="superscript"/>
          <w:rtl/>
        </w:rPr>
        <w:instrText xml:space="preserve"> REF b1_note36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36</w:t>
      </w:r>
      <w:r>
        <w:rPr>
          <w:vertAlign w:val="superscript"/>
          <w:rtl/>
        </w:rPr>
        <w:fldChar w:fldCharType="end"/>
      </w:r>
      <w:r>
        <w:rPr>
          <w:vertAlign w:val="superscript"/>
        </w:rPr>
        <w:t>,</w:t>
      </w:r>
      <w:bookmarkStart w:id="280" w:name="b1_ref37"/>
      <w:bookmarkEnd w:id="280"/>
      <w:r>
        <w:rPr>
          <w:vertAlign w:val="superscript"/>
          <w:rtl/>
        </w:rPr>
        <w:fldChar w:fldCharType="begin" w:dirty="true"/>
      </w:r>
      <w:r>
        <w:rPr>
          <w:vertAlign w:val="superscript"/>
          <w:rtl/>
        </w:rPr>
        <w:instrText xml:space="preserve"> REF b1_note37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37</w:t>
      </w:r>
      <w:r>
        <w:rPr>
          <w:vertAlign w:val="superscript"/>
          <w:rtl/>
        </w:rPr>
        <w:fldChar w:fldCharType="end"/>
      </w:r>
      <w:r>
        <w:rPr>
          <w:rtl/>
        </w:rPr>
        <w:t xml:space="preserve">. מתוך אוכלוסייה כוללת של 3,500 נפש, היו </w:t>
      </w:r>
      <w:proofErr w:type="spellStart"/>
      <w:r>
        <w:rPr>
          <w:rtl/>
        </w:rPr>
        <w:t>בדולהינוב</w:t>
      </w:r>
      <w:proofErr w:type="spellEnd"/>
      <w:r>
        <w:rPr>
          <w:rtl/>
        </w:rPr>
        <w:t xml:space="preserve"> כ־2,500 יהודים בשנת תרנ״ד</w:t>
      </w:r>
      <w:bookmarkStart w:id="281" w:name="b1_ref38"/>
      <w:bookmarkEnd w:id="281"/>
      <w:r>
        <w:rPr>
          <w:vertAlign w:val="superscript"/>
          <w:rtl/>
        </w:rPr>
        <w:fldChar w:fldCharType="begin" w:dirty="true"/>
      </w:r>
      <w:r>
        <w:rPr>
          <w:vertAlign w:val="superscript"/>
          <w:rtl/>
        </w:rPr>
        <w:instrText xml:space="preserve"> REF b1_note38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38</w:t>
      </w:r>
      <w:r>
        <w:rPr>
          <w:vertAlign w:val="superscript"/>
          <w:rtl/>
        </w:rPr>
        <w:fldChar w:fldCharType="end"/>
      </w:r>
      <w:r>
        <w:rPr>
          <w:rtl/>
        </w:rPr>
        <w:t>, פי שניים ממספרם חמישים שנה קודם לכן.</w:t>
      </w:r>
    </w:p>
    <w:bookmarkStart w:id="282" w:name="b1_note36"/>
    <w:p w14:paraId="5F772774" w14:textId="77777777" w:rsidR="00AB3647" w:rsidRDefault="00000000" w:rsidP="007923E9">
      <w:pPr>
        <w:spacing w:before="120" w:after="100" w:line="276" w:lineRule="auto"/>
        <w:jc w:val="both"/>
      </w:pPr>
      <w:r>
        <w:fldChar w:fldCharType="begin" w:dirty="true"/>
      </w:r>
      <w:r>
        <w:instrText>HYPERLINK \l "b1_ref36"</w:instrText>
      </w:r>
      <w:r>
        <w:fldChar w:fldCharType="separate"/>
      </w:r>
      <w:r>
        <w:rPr>
          <w:b/>
          <w:bCs/>
          <w:rtl/>
        </w:rPr>
        <w:t>36</w:t>
      </w:r>
      <w:r>
        <w:rPr>
          <w:b/>
          <w:bCs/>
        </w:rPr>
        <w:fldChar w:fldCharType="end"/>
      </w:r>
      <w:bookmarkEnd w:id="282"/>
      <w:r>
        <w:rPr>
          <w:rtl/>
        </w:rPr>
        <w:t xml:space="preserve"> “אש תמיד”</w:t>
      </w:r>
      <w:bookmarkStart w:id="283" w:name="_fnr179"/>
      <w:r>
        <w:rPr>
          <w:rStyle w:val="a5"/>
        </w:rPr>
        <w:footnoteReference w:id="179" w:customMarkFollows="0"/>
      </w:r>
      <w:bookmarkEnd w:id="283"/>
      <w:r>
        <w:rPr>
          <w:rtl/>
        </w:rPr>
        <w:t>.</w:t>
      </w:r>
    </w:p>
    <w:bookmarkStart w:id="284" w:name="b1_note37"/>
    <w:p w14:paraId="793163AE" w14:textId="77777777" w:rsidR="00AB3647" w:rsidRDefault="00000000" w:rsidP="007923E9">
      <w:pPr>
        <w:spacing w:before="120" w:after="100" w:line="276" w:lineRule="auto"/>
        <w:jc w:val="both"/>
      </w:pPr>
      <w:r>
        <w:fldChar w:fldCharType="begin" w:dirty="true"/>
      </w:r>
      <w:r>
        <w:instrText>HYPERLINK \l "b1_ref37"</w:instrText>
      </w:r>
      <w:r>
        <w:fldChar w:fldCharType="separate"/>
      </w:r>
      <w:r>
        <w:rPr>
          <w:b/>
          <w:bCs/>
          <w:rtl/>
        </w:rPr>
        <w:t>37</w:t>
      </w:r>
      <w:r>
        <w:rPr>
          <w:b/>
          <w:bCs/>
        </w:rPr>
        <w:fldChar w:fldCharType="end"/>
      </w:r>
      <w:bookmarkEnd w:id="284"/>
      <w:r>
        <w:rPr>
          <w:rtl/>
        </w:rPr>
        <w:t xml:space="preserve"> הקהילה הושמדה בשנת תש״ב בידי הנאצים ומשתפי הפעולה המקומיים שלהם, בארבעה שלבים במשך חודשיים: אקציה ב־28 במרץ (י״ב בניסן), שבה נטבחו 800 יהודים, גופותיהם הוצתו, וגוויותיהם השרופות למחצה נקברו בקבר אחים; הקמת גטו ב־7 באפריל (כ׳ בניסן); השתוללות בת שלושה ימים שהחלה ב־29 באפריל (י״ב באייר), שבה נהרגו כולם חוץ מ־300 פועלים שהגרמנים עדיין נזקקו להם, יחד עם כמה מבני משפחותיהם; וההשמדה הסופית ב־21 במאי (ו׳ בסיוון</w:t>
      </w:r>
      <w:bookmarkStart w:id="285" w:name="_fnr180"/>
      <w:bookmarkEnd w:id="285"/>
      <w:r>
        <w:rPr>
          <w:rStyle w:val="a5"/>
        </w:rPr>
        <w:t/>
      </w:r>
      <w:bookmarkStart w:id="6988" w:name="_TranslatorNote_180"/>
      <w:r>
        <w:rPr>
          <w:rStyle w:val="a5"/>
          <w:vertAlign w:val="superscript"/>
          <w:rtl/>
        </w:rPr>
        <w:footnoteReference w:id="180" w:customMarkFollows="1"/>
        <w:t>*</w:t>
      </w:r>
      <w:bookmarkEnd w:id="6988"/>
      <w:r>
        <w:rPr>
          <w:rtl/>
        </w:rPr>
        <w:t>).</w:t>
      </w:r>
    </w:p>
    <w:p w14:paraId="76CA028B" w14:textId="77777777" w:rsidR="00AB3647" w:rsidRDefault="00000000" w:rsidP="007923E9">
      <w:pPr>
        <w:spacing w:before="120" w:after="100" w:line="276" w:lineRule="auto"/>
        <w:jc w:val="both"/>
      </w:pPr>
      <w:r>
        <w:rPr>
          <w:rtl/>
        </w:rPr>
        <w:t xml:space="preserve">בני </w:t>
      </w:r>
      <w:proofErr w:type="spellStart"/>
      <w:r>
        <w:rPr>
          <w:rtl/>
        </w:rPr>
        <w:t>דולהינוב</w:t>
      </w:r>
      <w:proofErr w:type="spellEnd"/>
      <w:r>
        <w:rPr>
          <w:rtl/>
        </w:rPr>
        <w:t xml:space="preserve"> שפונו לרוסיה האסייתית מפני הפלישה הגרמנית, אלה ששירתו בצבא האדום, ואלה ששרדו את הכיבוש – אלה שהצטרפו לפרטיזנים ביער </w:t>
      </w:r>
      <w:proofErr w:type="spellStart"/>
      <w:r>
        <w:rPr>
          <w:rtl/>
        </w:rPr>
        <w:t>נארוץ</w:t>
      </w:r>
      <w:proofErr w:type="spellEnd"/>
      <w:r>
        <w:rPr>
          <w:rtl/>
        </w:rPr>
        <w:t xml:space="preserve">׳ או שהוסתרו בבתי גויים בכפרים ובחוות שבסביבה – לא חזרו להתיישב </w:t>
      </w:r>
      <w:proofErr w:type="spellStart"/>
      <w:r>
        <w:rPr>
          <w:rtl/>
        </w:rPr>
        <w:t>בדולהינוב</w:t>
      </w:r>
      <w:bookmarkStart w:id="286" w:name="_fnr181"/>
      <w:proofErr w:type="spellEnd"/>
      <w:r>
        <w:rPr>
          <w:rStyle w:val="a5"/>
        </w:rPr>
        <w:footnoteReference w:id="181" w:customMarkFollows="0"/>
      </w:r>
      <w:bookmarkEnd w:id="286"/>
      <w:r>
        <w:rPr>
          <w:rtl/>
        </w:rPr>
        <w:t>.</w:t>
      </w:r>
    </w:p>
    <w:bookmarkStart w:id="287" w:name="b1_note38"/>
    <w:p w14:paraId="3ED083E9" w14:textId="77777777" w:rsidR="00AB3647" w:rsidRDefault="00000000" w:rsidP="007923E9">
      <w:pPr>
        <w:spacing w:before="120" w:after="100" w:line="276" w:lineRule="auto"/>
        <w:jc w:val="both"/>
      </w:pPr>
      <w:r>
        <w:fldChar w:fldCharType="begin" w:dirty="true"/>
      </w:r>
      <w:r>
        <w:instrText>HYPERLINK \l "b1_ref38"</w:instrText>
      </w:r>
      <w:r>
        <w:fldChar w:fldCharType="separate"/>
      </w:r>
      <w:r>
        <w:rPr>
          <w:b/>
          <w:bCs/>
          <w:rtl/>
        </w:rPr>
        <w:t>38</w:t>
      </w:r>
      <w:r>
        <w:rPr>
          <w:b/>
          <w:bCs/>
        </w:rPr>
        <w:fldChar w:fldCharType="end"/>
      </w:r>
      <w:bookmarkEnd w:id="287"/>
      <w:r>
        <w:rPr>
          <w:rtl/>
        </w:rPr>
        <w:t xml:space="preserve"> “אש תמיד”</w:t>
      </w:r>
      <w:bookmarkStart w:id="288" w:name="_fnr182"/>
      <w:r>
        <w:rPr>
          <w:rStyle w:val="a5"/>
        </w:rPr>
        <w:footnoteReference w:id="182" w:customMarkFollows="0"/>
      </w:r>
      <w:bookmarkEnd w:id="288"/>
      <w:r>
        <w:rPr>
          <w:rtl/>
        </w:rPr>
        <w:t>.</w:t>
      </w:r>
    </w:p>
    <w:p w14:paraId="60614D65" w14:textId="5D7294C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בלארוס הייתה חלק מממלכת ליטא מאז שנת ה׳ אלפים. לפיכך, היהודים מן ההמון שהתחילו להגיע לאזורים המזרחיים הרחוקים של אירופה בתחילת שנות </w:t>
      </w:r>
      <w:proofErr w:type="spellStart"/>
      <w:r>
        <w:rPr>
          <w:rtl/>
        </w:rPr>
        <w:t>ה׳ש</w:t>
      </w:r>
      <w:proofErr w:type="spellEnd"/>
      <w:r>
        <w:rPr>
          <w:rtl/>
        </w:rPr>
        <w:t>׳ והתיישבו בבלארוס</w:t>
      </w:r>
      <w:bookmarkStart w:id="289" w:name="b1_ref39"/>
      <w:bookmarkEnd w:id="289"/>
      <w:r>
        <w:rPr>
          <w:vertAlign w:val="superscript"/>
          <w:rtl/>
        </w:rPr>
        <w:fldChar w:fldCharType="begin" w:dirty="true"/>
      </w:r>
      <w:r>
        <w:rPr>
          <w:vertAlign w:val="superscript"/>
          <w:rtl/>
        </w:rPr>
        <w:instrText xml:space="preserve"> REF b1_note39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39</w:t>
      </w:r>
      <w:r>
        <w:rPr>
          <w:vertAlign w:val="superscript"/>
          <w:rtl/>
        </w:rPr>
        <w:fldChar w:fldCharType="end"/>
      </w:r>
      <w:r>
        <w:rPr>
          <w:rtl/>
        </w:rPr>
        <w:t>, נהגו באותם מנהגים כלליים ופיתחו אותן תכונות כמו אלה שהתיישבו באותו זמן באזורים האחרים שתחת שלטון ליטא</w:t>
      </w:r>
      <w:bookmarkStart w:id="290" w:name="b1_ref40"/>
      <w:bookmarkEnd w:id="290"/>
      <w:r>
        <w:rPr>
          <w:vertAlign w:val="superscript"/>
          <w:rtl/>
        </w:rPr>
        <w:fldChar w:fldCharType="begin" w:dirty="true"/>
      </w:r>
      <w:r>
        <w:rPr>
          <w:vertAlign w:val="superscript"/>
          <w:rtl/>
        </w:rPr>
        <w:instrText xml:space="preserve"> REF b1_note40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40</w:t>
      </w:r>
      <w:r>
        <w:rPr>
          <w:vertAlign w:val="superscript"/>
          <w:rtl/>
        </w:rPr>
        <w:fldChar w:fldCharType="end"/>
      </w:r>
      <w:r>
        <w:rPr>
          <w:rtl/>
        </w:rPr>
        <w:t>.</w:t>
      </w:r>
    </w:p>
    <w:bookmarkStart w:id="291" w:name="b1_note39"/>
    <w:p w14:paraId="0FE30E09" w14:textId="77777777" w:rsidR="00AB3647" w:rsidRDefault="00000000" w:rsidP="007923E9">
      <w:pPr>
        <w:spacing w:before="120" w:after="100" w:line="276" w:lineRule="auto"/>
        <w:jc w:val="both"/>
      </w:pPr>
      <w:r>
        <w:lastRenderedPageBreak/>
        <w:fldChar w:fldCharType="begin" w:dirty="true"/>
      </w:r>
      <w:r>
        <w:instrText>HYPERLINK \l "b1_ref39"</w:instrText>
      </w:r>
      <w:r>
        <w:fldChar w:fldCharType="separate"/>
      </w:r>
      <w:r>
        <w:rPr>
          <w:b/>
          <w:bCs/>
          <w:rtl/>
        </w:rPr>
        <w:t>39</w:t>
      </w:r>
      <w:r>
        <w:rPr>
          <w:b/>
          <w:bCs/>
        </w:rPr>
        <w:fldChar w:fldCharType="end"/>
      </w:r>
      <w:bookmarkEnd w:id="291"/>
      <w:r>
        <w:rPr>
          <w:rtl/>
        </w:rPr>
        <w:t xml:space="preserve"> אנציקלופדיה יודאיקה</w:t>
      </w:r>
      <w:bookmarkStart w:id="292" w:name="_fnr183"/>
      <w:r>
        <w:rPr>
          <w:rStyle w:val="a5"/>
        </w:rPr>
        <w:footnoteReference w:id="183" w:customMarkFollows="0"/>
      </w:r>
      <w:bookmarkEnd w:id="292"/>
      <w:r>
        <w:rPr>
          <w:rtl/>
        </w:rPr>
        <w:t>. יש חוקרים הסבורים שהתפתחותה הייחודית של יהדות ליטא נבעה מהתפשטות כיבושי ליטא עד חצי האי קרים והים השחור: כך יכלו היהודים הספרדים שישבו שם להתערבב ביהודים האשכנזים שנדדו מזרחה ברחבי אירופה אל ממלכת ליטא. בולט שגדולי התורה בליטא אינם עושים הבחנה חברתית כלשהי בין אשכנזים לספרדים. אפשר לייחס זאת, בין שאר סיבות פשוטות ויסודיות יותר, להתמזגות אשכנז וספרד שלפי חוקרים אלה יצרה את יהדות ליטא.</w:t>
      </w:r>
    </w:p>
    <w:p w14:paraId="149E29CB" w14:textId="77777777" w:rsidR="00AB3647" w:rsidRDefault="00000000" w:rsidP="007923E9">
      <w:pPr>
        <w:spacing w:before="120" w:after="100" w:line="276" w:lineRule="auto"/>
        <w:jc w:val="both"/>
      </w:pPr>
      <w:r>
        <w:rPr>
          <w:rtl/>
        </w:rPr>
        <w:t xml:space="preserve">השקפתו של אבי בעניין זה נתגלתה בשנת </w:t>
      </w:r>
      <w:proofErr w:type="spellStart"/>
      <w:r>
        <w:rPr>
          <w:rtl/>
        </w:rPr>
        <w:t>תש״ם</w:t>
      </w:r>
      <w:proofErr w:type="spellEnd"/>
      <w:r>
        <w:rPr>
          <w:rtl/>
        </w:rPr>
        <w:t>, בביקור בישיבת קול יעקב בבית וגן שבירושלים: הוא דיבר בבית המדרש ואמר שהתלמידים יכולים להיות בטוחים שכשיבוא המשיח יבקר בישיבתם, משום שהיא משלבת תלמידים אשכנזים וספרדים.</w:t>
      </w:r>
    </w:p>
    <w:bookmarkStart w:id="293" w:name="b1_note40"/>
    <w:p w14:paraId="12B5FEE8" w14:textId="77777777" w:rsidR="00AB3647" w:rsidRDefault="00000000" w:rsidP="007923E9">
      <w:pPr>
        <w:spacing w:before="120" w:after="100" w:line="276" w:lineRule="auto"/>
        <w:jc w:val="both"/>
      </w:pPr>
      <w:r>
        <w:fldChar w:fldCharType="begin" w:dirty="true"/>
      </w:r>
      <w:r>
        <w:instrText>HYPERLINK \l "b1_ref40"</w:instrText>
      </w:r>
      <w:r>
        <w:fldChar w:fldCharType="separate"/>
      </w:r>
      <w:r>
        <w:rPr>
          <w:b/>
          <w:bCs/>
          <w:rtl/>
        </w:rPr>
        <w:t>40</w:t>
      </w:r>
      <w:r>
        <w:rPr>
          <w:b/>
          <w:bCs/>
        </w:rPr>
        <w:fldChar w:fldCharType="end"/>
      </w:r>
      <w:bookmarkEnd w:id="293"/>
      <w:r>
        <w:rPr>
          <w:rtl/>
        </w:rPr>
        <w:t xml:space="preserve"> נוסחם בכמה תפילות מזדמנות, הידוע כנוסח </w:t>
      </w:r>
      <w:proofErr w:type="spellStart"/>
      <w:r>
        <w:rPr>
          <w:rtl/>
        </w:rPr>
        <w:t>רייסין</w:t>
      </w:r>
      <w:proofErr w:type="spellEnd"/>
      <w:r>
        <w:rPr>
          <w:rtl/>
        </w:rPr>
        <w:t xml:space="preserve">, שונה רק במעט מן הנוסח הליטאי, הידוע כנוסח ליטא </w:t>
      </w:r>
      <w:proofErr w:type="spellStart"/>
      <w:r>
        <w:rPr>
          <w:rtl/>
        </w:rPr>
        <w:t>וזאמוט</w:t>
      </w:r>
      <w:proofErr w:type="spellEnd"/>
      <w:r>
        <w:rPr>
          <w:rtl/>
        </w:rPr>
        <w:t>.</w:t>
      </w:r>
    </w:p>
    <w:p w14:paraId="6B00B98F" w14:textId="33236534"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אבל הדבר השתנה עם התפשטות החסידות כעבור מאתיים שנה. בבלארוס, הקרובה יותר מבחינה גאוגרפית </w:t>
      </w:r>
      <w:proofErr w:type="spellStart"/>
      <w:r>
        <w:rPr>
          <w:rtl/>
        </w:rPr>
        <w:t>לווהלין</w:t>
      </w:r>
      <w:proofErr w:type="spellEnd"/>
      <w:r>
        <w:rPr>
          <w:rtl/>
        </w:rPr>
        <w:t xml:space="preserve"> ולאוקראינה, ערש התנועה החדשה, הכו שורש יותר כיתות חסידיות מאשר בליטא הרחוקה יותר. החזקה שבכיתות החסידיות בבלארוס הייתה חב״ד</w:t>
      </w:r>
      <w:bookmarkStart w:id="294" w:name="b1_ref41"/>
      <w:bookmarkEnd w:id="294"/>
      <w:r>
        <w:rPr>
          <w:vertAlign w:val="superscript"/>
          <w:rtl/>
        </w:rPr>
        <w:fldChar w:fldCharType="begin" w:dirty="true"/>
      </w:r>
      <w:r>
        <w:rPr>
          <w:vertAlign w:val="superscript"/>
          <w:rtl/>
        </w:rPr>
        <w:instrText xml:space="preserve"> REF b1_note41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41</w:t>
      </w:r>
      <w:r>
        <w:rPr>
          <w:vertAlign w:val="superscript"/>
          <w:rtl/>
        </w:rPr>
        <w:fldChar w:fldCharType="end"/>
      </w:r>
      <w:r>
        <w:rPr>
          <w:rtl/>
        </w:rPr>
        <w:t xml:space="preserve">, חסידי ר׳ </w:t>
      </w:r>
      <w:proofErr w:type="spellStart"/>
      <w:r>
        <w:rPr>
          <w:rtl/>
        </w:rPr>
        <w:t>שניאור־זלמן</w:t>
      </w:r>
      <w:proofErr w:type="spellEnd"/>
      <w:r>
        <w:rPr>
          <w:rtl/>
        </w:rPr>
        <w:t xml:space="preserve"> </w:t>
      </w:r>
      <w:proofErr w:type="spellStart"/>
      <w:r>
        <w:rPr>
          <w:rtl/>
        </w:rPr>
        <w:t>מלאדי</w:t>
      </w:r>
      <w:proofErr w:type="spellEnd"/>
      <w:r>
        <w:rPr>
          <w:rtl/>
        </w:rPr>
        <w:t xml:space="preserve">, עיירה סמוך </w:t>
      </w:r>
      <w:proofErr w:type="spellStart"/>
      <w:r>
        <w:rPr>
          <w:rtl/>
        </w:rPr>
        <w:t>למוהילוב</w:t>
      </w:r>
      <w:proofErr w:type="spellEnd"/>
      <w:r>
        <w:rPr>
          <w:rtl/>
        </w:rPr>
        <w:t xml:space="preserve">. רוב יהודי </w:t>
      </w:r>
      <w:proofErr w:type="spellStart"/>
      <w:r>
        <w:rPr>
          <w:rtl/>
        </w:rPr>
        <w:t>דולהינוב</w:t>
      </w:r>
      <w:proofErr w:type="spellEnd"/>
      <w:r>
        <w:rPr>
          <w:rtl/>
        </w:rPr>
        <w:t xml:space="preserve"> החזיקו בהתנגדות הנמרצת לחסידות שרווחה בשאר פלך וילנה ברוח תורת הגאון מווילנה ותלמידיו, אבל היה בעיירה מספר ניכר של חב״דניקעס</w:t>
      </w:r>
      <w:r>
        <w:rPr>
          <w:vertAlign w:val="superscript"/>
          <w:rtl/>
        </w:rPr>
        <w:fldChar w:fldCharType="begin" w:dirty="true"/>
      </w:r>
      <w:r>
        <w:rPr>
          <w:vertAlign w:val="superscript"/>
          <w:rtl/>
        </w:rPr>
        <w:instrText xml:space="preserve"> REF b1_note41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41</w:t>
      </w:r>
      <w:r>
        <w:rPr>
          <w:vertAlign w:val="superscript"/>
          <w:rtl/>
        </w:rPr>
        <w:fldChar w:fldCharType="end"/>
      </w:r>
      <w:r>
        <w:rPr>
          <w:rtl/>
        </w:rPr>
        <w:t>.</w:t>
      </w:r>
    </w:p>
    <w:bookmarkStart w:id="295" w:name="b1_note41"/>
    <w:p w14:paraId="15DB9465" w14:textId="77777777" w:rsidR="00AB3647" w:rsidRDefault="00000000" w:rsidP="007923E9">
      <w:pPr>
        <w:spacing w:before="120" w:after="100" w:line="276" w:lineRule="auto"/>
        <w:jc w:val="both"/>
      </w:pPr>
      <w:r>
        <w:fldChar w:fldCharType="begin" w:dirty="true"/>
      </w:r>
      <w:r>
        <w:instrText>HYPERLINK \l "b1_ref41"</w:instrText>
      </w:r>
      <w:r>
        <w:fldChar w:fldCharType="separate"/>
      </w:r>
      <w:r>
        <w:rPr>
          <w:b/>
          <w:bCs/>
          <w:rtl/>
        </w:rPr>
        <w:t>41</w:t>
      </w:r>
      <w:r>
        <w:rPr>
          <w:b/>
          <w:bCs/>
        </w:rPr>
        <w:fldChar w:fldCharType="end"/>
      </w:r>
      <w:bookmarkEnd w:id="295"/>
      <w:r>
        <w:rPr>
          <w:rtl/>
        </w:rPr>
        <w:t xml:space="preserve"> “חב״ד” הוא ראשי תיבות של חכמה בינה דעת, שלפי הקבלה הן הכתר של האלוהות. חסידי </w:t>
      </w:r>
      <w:proofErr w:type="spellStart"/>
      <w:r>
        <w:rPr>
          <w:rtl/>
        </w:rPr>
        <w:t>ליובאוויטש</w:t>
      </w:r>
      <w:proofErr w:type="spellEnd"/>
      <w:r>
        <w:rPr>
          <w:rtl/>
        </w:rPr>
        <w:t xml:space="preserve"> הם לומדי קבלה מסורים, ולכן הם נקראים בכינוי זה, </w:t>
      </w:r>
      <w:proofErr w:type="spellStart"/>
      <w:r>
        <w:rPr>
          <w:rtl/>
        </w:rPr>
        <w:t>חב״דניקעס</w:t>
      </w:r>
      <w:proofErr w:type="spellEnd"/>
      <w:r>
        <w:rPr>
          <w:rtl/>
        </w:rPr>
        <w:t>.</w:t>
      </w:r>
    </w:p>
    <w:p w14:paraId="23D89A78" w14:textId="77777777" w:rsidR="00AB3647" w:rsidRDefault="00000000" w:rsidP="007923E9">
      <w:pPr>
        <w:spacing w:after="100" w:line="276" w:lineRule="auto"/>
        <w:ind w:firstLine="340"/>
        <w:jc w:val="both"/>
      </w:pPr>
      <w:r>
        <w:rPr>
          <w:rtl/>
        </w:rPr>
        <w:t xml:space="preserve">דודיה של </w:t>
      </w:r>
      <w:proofErr w:type="spellStart"/>
      <w:r>
        <w:rPr>
          <w:rtl/>
        </w:rPr>
        <w:t>עטיל</w:t>
      </w:r>
      <w:proofErr w:type="spellEnd"/>
      <w:r>
        <w:rPr>
          <w:rtl/>
        </w:rPr>
        <w:t xml:space="preserve"> </w:t>
      </w:r>
      <w:proofErr w:type="spellStart"/>
      <w:r>
        <w:rPr>
          <w:rtl/>
        </w:rPr>
        <w:t>דנציג־קמינצקי</w:t>
      </w:r>
      <w:proofErr w:type="spellEnd"/>
      <w:r>
        <w:rPr>
          <w:rtl/>
        </w:rPr>
        <w:t xml:space="preserve">, בני משפחת </w:t>
      </w:r>
      <w:proofErr w:type="spellStart"/>
      <w:r>
        <w:rPr>
          <w:rtl/>
        </w:rPr>
        <w:t>פוטרפס</w:t>
      </w:r>
      <w:proofErr w:type="spellEnd"/>
      <w:r>
        <w:rPr>
          <w:rtl/>
        </w:rPr>
        <w:t xml:space="preserve">, היו חסידי חב״ד. חמיה, ר׳ </w:t>
      </w:r>
      <w:proofErr w:type="spellStart"/>
      <w:r>
        <w:rPr>
          <w:rtl/>
        </w:rPr>
        <w:t>שמואל־הירש</w:t>
      </w:r>
      <w:proofErr w:type="spellEnd"/>
      <w:r>
        <w:rPr>
          <w:rtl/>
        </w:rPr>
        <w:t>, מתנגד קנאי שלא נמנע מלראות באדמו״רים החסידיים שרלטנים, ביקש ממנה שלא לדבר עם דודיה.</w:t>
      </w:r>
    </w:p>
    <w:p w14:paraId="47AAB4C7" w14:textId="77777777" w:rsidR="00AB3647" w:rsidRDefault="00000000" w:rsidP="007923E9">
      <w:pPr>
        <w:spacing w:after="100" w:line="276" w:lineRule="auto"/>
        <w:ind w:firstLine="340"/>
        <w:jc w:val="both"/>
      </w:pPr>
      <w:r>
        <w:rPr>
          <w:rtl/>
        </w:rPr>
        <w:t xml:space="preserve">ר׳ </w:t>
      </w:r>
      <w:proofErr w:type="spellStart"/>
      <w:r>
        <w:rPr>
          <w:rtl/>
        </w:rPr>
        <w:t>יהודה־לייב</w:t>
      </w:r>
      <w:proofErr w:type="spellEnd"/>
      <w:r>
        <w:rPr>
          <w:rtl/>
        </w:rPr>
        <w:t xml:space="preserve">, אביו של ר׳ </w:t>
      </w:r>
      <w:proofErr w:type="spellStart"/>
      <w:r>
        <w:rPr>
          <w:rtl/>
        </w:rPr>
        <w:t>יעקב־יצחק</w:t>
      </w:r>
      <w:proofErr w:type="spellEnd"/>
      <w:r>
        <w:rPr>
          <w:rtl/>
        </w:rPr>
        <w:t xml:space="preserve"> </w:t>
      </w:r>
      <w:proofErr w:type="spellStart"/>
      <w:r>
        <w:rPr>
          <w:rtl/>
        </w:rPr>
        <w:t>רודרמן</w:t>
      </w:r>
      <w:proofErr w:type="spellEnd"/>
      <w:r>
        <w:rPr>
          <w:rtl/>
        </w:rPr>
        <w:t xml:space="preserve">, היה מלמד בישיבה הקטנה </w:t>
      </w:r>
      <w:proofErr w:type="spellStart"/>
      <w:r>
        <w:rPr>
          <w:rtl/>
        </w:rPr>
        <w:t>בדולהינוב</w:t>
      </w:r>
      <w:proofErr w:type="spellEnd"/>
      <w:r>
        <w:rPr>
          <w:rtl/>
        </w:rPr>
        <w:t xml:space="preserve">, והיה מוסמך מישיבה </w:t>
      </w:r>
      <w:proofErr w:type="spellStart"/>
      <w:r>
        <w:rPr>
          <w:rtl/>
        </w:rPr>
        <w:t>חב״דית</w:t>
      </w:r>
      <w:bookmarkStart w:id="296" w:name="_fnr184"/>
      <w:proofErr w:type="spellEnd"/>
      <w:r>
        <w:rPr>
          <w:rStyle w:val="a5"/>
        </w:rPr>
        <w:footnoteReference w:id="184" w:customMarkFollows="0"/>
      </w:r>
      <w:bookmarkEnd w:id="296"/>
      <w:r>
        <w:rPr>
          <w:rtl/>
        </w:rPr>
        <w:t xml:space="preserve">. ר׳ </w:t>
      </w:r>
      <w:proofErr w:type="spellStart"/>
      <w:r>
        <w:rPr>
          <w:rtl/>
        </w:rPr>
        <w:t>יעקב־יצחק</w:t>
      </w:r>
      <w:proofErr w:type="spellEnd"/>
      <w:r>
        <w:rPr>
          <w:rtl/>
        </w:rPr>
        <w:t xml:space="preserve"> </w:t>
      </w:r>
      <w:proofErr w:type="spellStart"/>
      <w:r>
        <w:rPr>
          <w:rtl/>
        </w:rPr>
        <w:t>רודרמן</w:t>
      </w:r>
      <w:proofErr w:type="spellEnd"/>
      <w:r>
        <w:rPr>
          <w:rtl/>
        </w:rPr>
        <w:t xml:space="preserve"> סיפר שמכיוון שגדל בבית חסידי, לא היה מעלה על דעתו כלל להצטרף לישיבת </w:t>
      </w:r>
      <w:proofErr w:type="spellStart"/>
      <w:r>
        <w:rPr>
          <w:rtl/>
        </w:rPr>
        <w:t>סלבודקה</w:t>
      </w:r>
      <w:proofErr w:type="spellEnd"/>
      <w:r>
        <w:rPr>
          <w:rtl/>
        </w:rPr>
        <w:t xml:space="preserve">, מוסד מתנגדי לגמרי, אילולא דחק בו ר׳ </w:t>
      </w:r>
      <w:proofErr w:type="spellStart"/>
      <w:r>
        <w:rPr>
          <w:rtl/>
        </w:rPr>
        <w:t>שמואל־הירש</w:t>
      </w:r>
      <w:proofErr w:type="spellEnd"/>
      <w:r>
        <w:rPr>
          <w:rtl/>
        </w:rPr>
        <w:t xml:space="preserve"> </w:t>
      </w:r>
      <w:proofErr w:type="spellStart"/>
      <w:r>
        <w:rPr>
          <w:rtl/>
        </w:rPr>
        <w:t>קמינצקי</w:t>
      </w:r>
      <w:proofErr w:type="spellEnd"/>
      <w:r>
        <w:rPr>
          <w:rtl/>
        </w:rPr>
        <w:t xml:space="preserve"> לעשות צעד זה, והזהירו שאם יישאר “בחוגים החסידיים לא יצא ממנו כלום”. הוא גילה מעשה זה כשהביע הכרת הטוב לסבו של אבי על שהעמידו בדרך שהובילה אותו לעבודת ה׳ ולעשייה למען כלל ישראל כראש ישיבה כל ימיו.</w:t>
      </w:r>
    </w:p>
    <w:p w14:paraId="7AE5FF32" w14:textId="77777777" w:rsidR="00AB3647" w:rsidRDefault="00000000" w:rsidP="007923E9">
      <w:pPr>
        <w:spacing w:after="100" w:line="276" w:lineRule="auto"/>
        <w:ind w:firstLine="340"/>
        <w:jc w:val="both"/>
      </w:pPr>
      <w:r>
        <w:rPr>
          <w:rtl/>
        </w:rPr>
        <w:lastRenderedPageBreak/>
        <w:t xml:space="preserve">ר׳ </w:t>
      </w:r>
      <w:proofErr w:type="spellStart"/>
      <w:r>
        <w:rPr>
          <w:rtl/>
        </w:rPr>
        <w:t>בערל־לייב</w:t>
      </w:r>
      <w:proofErr w:type="spellEnd"/>
      <w:r>
        <w:rPr>
          <w:rtl/>
        </w:rPr>
        <w:t xml:space="preserve"> ברזון, שסבו היה חב״דניק שנהג לעלות </w:t>
      </w:r>
      <w:proofErr w:type="spellStart"/>
      <w:r>
        <w:rPr>
          <w:rtl/>
        </w:rPr>
        <w:t>לליובאוויטש</w:t>
      </w:r>
      <w:proofErr w:type="spellEnd"/>
      <w:r>
        <w:rPr>
          <w:rtl/>
        </w:rPr>
        <w:t xml:space="preserve"> יחד עם ר׳ </w:t>
      </w:r>
      <w:proofErr w:type="spellStart"/>
      <w:r>
        <w:rPr>
          <w:rtl/>
        </w:rPr>
        <w:t>יהודה־לייב</w:t>
      </w:r>
      <w:proofErr w:type="spellEnd"/>
      <w:r>
        <w:rPr>
          <w:rtl/>
        </w:rPr>
        <w:t xml:space="preserve"> </w:t>
      </w:r>
      <w:proofErr w:type="spellStart"/>
      <w:r>
        <w:rPr>
          <w:rtl/>
        </w:rPr>
        <w:t>רודרמן</w:t>
      </w:r>
      <w:proofErr w:type="spellEnd"/>
      <w:r>
        <w:rPr>
          <w:rtl/>
        </w:rPr>
        <w:t>, סיפר</w:t>
      </w:r>
      <w:bookmarkStart w:id="297" w:name="_fnr185"/>
      <w:r>
        <w:rPr>
          <w:rStyle w:val="a5"/>
        </w:rPr>
        <w:footnoteReference w:id="185" w:customMarkFollows="0"/>
      </w:r>
      <w:bookmarkEnd w:id="297"/>
      <w:r>
        <w:rPr>
          <w:rtl/>
        </w:rPr>
        <w:t xml:space="preserve"> ששאל פעם את ר׳ </w:t>
      </w:r>
      <w:proofErr w:type="spellStart"/>
      <w:r>
        <w:rPr>
          <w:rtl/>
        </w:rPr>
        <w:t>יעקב־יצחק</w:t>
      </w:r>
      <w:proofErr w:type="spellEnd"/>
      <w:r>
        <w:rPr>
          <w:rtl/>
        </w:rPr>
        <w:t xml:space="preserve"> כיצד נעשה בנו של חסיד חב״ד נלהב כל כך למתנגד כזה. השיב ר׳ </w:t>
      </w:r>
      <w:proofErr w:type="spellStart"/>
      <w:r>
        <w:rPr>
          <w:rtl/>
        </w:rPr>
        <w:t>יעקב־יצחק</w:t>
      </w:r>
      <w:proofErr w:type="spellEnd"/>
      <w:r>
        <w:rPr>
          <w:rtl/>
        </w:rPr>
        <w:t xml:space="preserve"> שהסבא </w:t>
      </w:r>
      <w:proofErr w:type="spellStart"/>
      <w:r>
        <w:rPr>
          <w:rtl/>
        </w:rPr>
        <w:t>מסלבודקה</w:t>
      </w:r>
      <w:proofErr w:type="spellEnd"/>
      <w:r>
        <w:rPr>
          <w:rtl/>
        </w:rPr>
        <w:t xml:space="preserve"> דאג לכך שתלמידיו “יניחו את כל זה”.</w:t>
      </w:r>
    </w:p>
    <w:p w14:paraId="647C1740" w14:textId="77777777" w:rsidR="00AB3647" w:rsidRDefault="00000000" w:rsidP="007923E9">
      <w:pPr>
        <w:spacing w:after="100" w:line="276" w:lineRule="auto"/>
        <w:ind w:firstLine="340"/>
        <w:jc w:val="both"/>
      </w:pPr>
      <w:r>
        <w:rPr>
          <w:rtl/>
        </w:rPr>
        <w:t xml:space="preserve">למרות התנגדותו הקנאית של אביו לחסידות, קרא ר׳ בנימין </w:t>
      </w:r>
      <w:proofErr w:type="spellStart"/>
      <w:r>
        <w:rPr>
          <w:rtl/>
        </w:rPr>
        <w:t>קמינצקי</w:t>
      </w:r>
      <w:proofErr w:type="spellEnd"/>
      <w:r>
        <w:rPr>
          <w:rtl/>
        </w:rPr>
        <w:t xml:space="preserve"> לבנו, רבנו, על שם דודה של אשתו, החב״דניק ר׳ </w:t>
      </w:r>
      <w:proofErr w:type="spellStart"/>
      <w:r>
        <w:rPr>
          <w:rtl/>
        </w:rPr>
        <w:t>יענקל</w:t>
      </w:r>
      <w:proofErr w:type="spellEnd"/>
      <w:r>
        <w:rPr>
          <w:rtl/>
        </w:rPr>
        <w:t xml:space="preserve"> </w:t>
      </w:r>
      <w:proofErr w:type="spellStart"/>
      <w:r>
        <w:rPr>
          <w:rtl/>
        </w:rPr>
        <w:t>פוטרפס</w:t>
      </w:r>
      <w:proofErr w:type="spellEnd"/>
      <w:r>
        <w:rPr>
          <w:rtl/>
        </w:rPr>
        <w:t xml:space="preserve">. ר׳ </w:t>
      </w:r>
      <w:proofErr w:type="spellStart"/>
      <w:r>
        <w:rPr>
          <w:rtl/>
        </w:rPr>
        <w:t>אברהם־חיים</w:t>
      </w:r>
      <w:proofErr w:type="spellEnd"/>
      <w:r>
        <w:rPr>
          <w:rtl/>
        </w:rPr>
        <w:t xml:space="preserve"> </w:t>
      </w:r>
      <w:proofErr w:type="spellStart"/>
      <w:r>
        <w:rPr>
          <w:rtl/>
        </w:rPr>
        <w:t>פויער</w:t>
      </w:r>
      <w:bookmarkStart w:id="298" w:name="_fnr186"/>
      <w:proofErr w:type="spellEnd"/>
      <w:r>
        <w:rPr>
          <w:rStyle w:val="a5"/>
        </w:rPr>
        <w:footnoteReference w:id="186" w:customMarkFollows="0"/>
      </w:r>
      <w:bookmarkEnd w:id="298"/>
      <w:r>
        <w:rPr>
          <w:rtl/>
        </w:rPr>
        <w:t xml:space="preserve"> מסר שאבי אמר שניתן לו שמו משום שבזמן הולדתו היו לבתו של </w:t>
      </w:r>
      <w:proofErr w:type="spellStart"/>
      <w:r>
        <w:rPr>
          <w:rtl/>
        </w:rPr>
        <w:t>פוטרפס</w:t>
      </w:r>
      <w:proofErr w:type="spellEnd"/>
      <w:r>
        <w:rPr>
          <w:rtl/>
        </w:rPr>
        <w:t xml:space="preserve">, שיינה </w:t>
      </w:r>
      <w:proofErr w:type="spellStart"/>
      <w:r>
        <w:rPr>
          <w:rtl/>
        </w:rPr>
        <w:t>רודרמן</w:t>
      </w:r>
      <w:proofErr w:type="spellEnd"/>
      <w:r>
        <w:rPr>
          <w:rtl/>
        </w:rPr>
        <w:t xml:space="preserve">, רק בנות, ועדיין לא נקרא שום ילד על שם אביה המנוח, יעקב. ייתכן, עם זאת, שהכרת הטוב של ר׳ בנימין </w:t>
      </w:r>
      <w:proofErr w:type="spellStart"/>
      <w:r>
        <w:rPr>
          <w:rtl/>
        </w:rPr>
        <w:t>לר</w:t>
      </w:r>
      <w:proofErr w:type="spellEnd"/>
      <w:r>
        <w:rPr>
          <w:rtl/>
        </w:rPr>
        <w:t xml:space="preserve">׳ </w:t>
      </w:r>
      <w:proofErr w:type="spellStart"/>
      <w:r>
        <w:rPr>
          <w:rtl/>
        </w:rPr>
        <w:t>יענקל</w:t>
      </w:r>
      <w:proofErr w:type="spellEnd"/>
      <w:r>
        <w:rPr>
          <w:rtl/>
        </w:rPr>
        <w:t xml:space="preserve"> </w:t>
      </w:r>
      <w:proofErr w:type="spellStart"/>
      <w:r>
        <w:rPr>
          <w:rtl/>
        </w:rPr>
        <w:t>פוטרפס</w:t>
      </w:r>
      <w:proofErr w:type="spellEnd"/>
      <w:r>
        <w:rPr>
          <w:rtl/>
        </w:rPr>
        <w:t>, שגידל את אשתו היתומה, גברה על שיקולים עקרוניים, והוא היה קורא לבנו על שם אביה המאמץ של אשתו גם אילו כבר נקרא ילד על שם המנוח.</w:t>
      </w:r>
    </w:p>
    <w:p w14:paraId="0794D648" w14:textId="77777777" w:rsidR="00AB3647" w:rsidRDefault="00000000" w:rsidP="007923E9">
      <w:pPr>
        <w:spacing w:after="100" w:line="276" w:lineRule="auto"/>
        <w:ind w:firstLine="340"/>
        <w:jc w:val="both"/>
      </w:pPr>
      <w:r>
        <w:rPr>
          <w:rtl/>
        </w:rPr>
        <w:t xml:space="preserve">אחד משני ההורים, ר׳ בנימין או </w:t>
      </w:r>
      <w:proofErr w:type="spellStart"/>
      <w:r>
        <w:rPr>
          <w:rtl/>
        </w:rPr>
        <w:t>עטיל</w:t>
      </w:r>
      <w:proofErr w:type="spellEnd"/>
      <w:r>
        <w:rPr>
          <w:rtl/>
        </w:rPr>
        <w:t xml:space="preserve"> </w:t>
      </w:r>
      <w:proofErr w:type="spellStart"/>
      <w:r>
        <w:rPr>
          <w:rtl/>
        </w:rPr>
        <w:t>קמינצקי</w:t>
      </w:r>
      <w:proofErr w:type="spellEnd"/>
      <w:r>
        <w:rPr>
          <w:rtl/>
        </w:rPr>
        <w:t xml:space="preserve">, ודאי הוא שסיפר לאבי על שם מי נקרא. כנראה לא רצו לצער את בנם בסיפור </w:t>
      </w:r>
      <w:proofErr w:type="spellStart"/>
      <w:r>
        <w:rPr>
          <w:rtl/>
        </w:rPr>
        <w:t>שאמו</w:t>
      </w:r>
      <w:proofErr w:type="spellEnd"/>
      <w:r>
        <w:rPr>
          <w:rtl/>
        </w:rPr>
        <w:t xml:space="preserve"> התייתמה משני הוריה כשהייתה תינוקת וגדלה בבית דודה. הם אמרו לו על שם מי נקרא, והסתפקו בכך. ואומנם לא דרך אבינו אלא דרך אחותו דבורה נודע לנו הסיפור הטרגי במלואו.</w:t>
      </w:r>
    </w:p>
    <w:p w14:paraId="73ED4E70" w14:textId="6FEE49F7" w:rsidR="00AB3647" w:rsidRDefault="00000000" w:rsidP="007923E9">
      <w:pPr>
        <w:spacing w:after="100" w:line="276" w:lineRule="auto"/>
        <w:ind w:firstLine="340"/>
        <w:jc w:val="both"/>
      </w:pPr>
      <w:r>
        <w:rPr>
          <w:rtl/>
        </w:rPr>
        <w:t xml:space="preserve">רבנו ידע שאבי </w:t>
      </w:r>
      <w:proofErr w:type="spellStart"/>
      <w:r>
        <w:rPr>
          <w:rtl/>
        </w:rPr>
        <w:t>אמו</w:t>
      </w:r>
      <w:proofErr w:type="spellEnd"/>
      <w:r>
        <w:rPr>
          <w:rtl/>
        </w:rPr>
        <w:t xml:space="preserve"> נפטר כשהייתה תינוקת – כמו בהערה </w:t>
      </w:r>
      <w:r>
        <w:rPr>
          <w:rtl/>
        </w:rPr>
        <w:fldChar w:fldCharType="begin" w:dirty="true"/>
      </w:r>
      <w:r>
        <w:rPr>
          <w:rtl/>
        </w:rPr>
        <w:instrText xml:space="preserve"> REF b1_note8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8</w:t>
      </w:r>
      <w:r>
        <w:rPr>
          <w:rtl/>
        </w:rPr>
        <w:fldChar w:fldCharType="end"/>
      </w:r>
      <w:r>
        <w:rPr>
          <w:rtl/>
        </w:rPr>
        <w:t xml:space="preserve"> לעיל – אבל ייתכן מאוד שמעולם לא שמע שגם אמה נפטרה, </w:t>
      </w:r>
      <w:proofErr w:type="spellStart"/>
      <w:r>
        <w:rPr>
          <w:rtl/>
        </w:rPr>
        <w:t>ושאמו</w:t>
      </w:r>
      <w:proofErr w:type="spellEnd"/>
      <w:r>
        <w:rPr>
          <w:rtl/>
        </w:rPr>
        <w:t xml:space="preserve"> נעשתה יתומה מאב ומאם</w:t>
      </w:r>
      <w:bookmarkStart w:id="299" w:name="_fnr187"/>
      <w:r>
        <w:rPr>
          <w:rStyle w:val="a5"/>
        </w:rPr>
        <w:footnoteReference w:id="187" w:customMarkFollows="0"/>
      </w:r>
      <w:bookmarkEnd w:id="299"/>
      <w:r>
        <w:rPr>
          <w:rtl/>
        </w:rPr>
        <w:t xml:space="preserve"> בינקותה. ייתכן שגם דודתי דבורה לא שמעה על כך עד שהייתה לאישה בוגרת, כשאבי כבר עזב מזמן את בית הוריו.</w:t>
      </w:r>
    </w:p>
    <w:p w14:paraId="71E7070F" w14:textId="2025B04B"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הסכם של שלום, שנשתייר מימי המחלוקת הגדולה בין החסידים למתנגדים, עמד בתוקפו במשך המאה שלאחר מכן: רב </w:t>
      </w:r>
      <w:proofErr w:type="spellStart"/>
      <w:r>
        <w:rPr>
          <w:rtl/>
        </w:rPr>
        <w:t>דולהינוב</w:t>
      </w:r>
      <w:proofErr w:type="spellEnd"/>
      <w:r>
        <w:rPr>
          <w:rtl/>
        </w:rPr>
        <w:t xml:space="preserve"> יהיה מתנגד</w:t>
      </w:r>
      <w:bookmarkStart w:id="300" w:name="b1_ref42"/>
      <w:bookmarkEnd w:id="300"/>
      <w:r>
        <w:rPr>
          <w:vertAlign w:val="superscript"/>
          <w:rtl/>
        </w:rPr>
        <w:fldChar w:fldCharType="begin" w:dirty="true"/>
      </w:r>
      <w:r>
        <w:rPr>
          <w:vertAlign w:val="superscript"/>
          <w:rtl/>
        </w:rPr>
        <w:instrText xml:space="preserve"> REF b1_note42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42</w:t>
      </w:r>
      <w:r>
        <w:rPr>
          <w:vertAlign w:val="superscript"/>
          <w:rtl/>
        </w:rPr>
        <w:fldChar w:fldCharType="end"/>
      </w:r>
      <w:r>
        <w:rPr>
          <w:rtl/>
        </w:rPr>
        <w:t>, והמ״ץ</w:t>
      </w:r>
      <w:bookmarkStart w:id="301" w:name="b1_ref43"/>
      <w:bookmarkEnd w:id="301"/>
      <w:r>
        <w:rPr>
          <w:vertAlign w:val="superscript"/>
          <w:rtl/>
        </w:rPr>
        <w:fldChar w:fldCharType="begin" w:dirty="true"/>
      </w:r>
      <w:r>
        <w:rPr>
          <w:vertAlign w:val="superscript"/>
          <w:rtl/>
        </w:rPr>
        <w:instrText xml:space="preserve"> REF b1_note43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43</w:t>
      </w:r>
      <w:r>
        <w:rPr>
          <w:vertAlign w:val="superscript"/>
          <w:rtl/>
        </w:rPr>
        <w:fldChar w:fldCharType="end"/>
      </w:r>
      <w:r>
        <w:rPr>
          <w:rtl/>
        </w:rPr>
        <w:t xml:space="preserve"> – חב״דניק. בזמן שעברו הוריו של אבי לעיירה, הגיעה לסיומה מחלוקת בת שבע שנים על בחירת ממלא מקומו של הרב שנפטר, במינוי חתנו, ר׳ </w:t>
      </w:r>
      <w:proofErr w:type="spellStart"/>
      <w:r>
        <w:rPr>
          <w:rtl/>
        </w:rPr>
        <w:t>מנדל־בער</w:t>
      </w:r>
      <w:proofErr w:type="spellEnd"/>
      <w:r>
        <w:rPr>
          <w:rtl/>
        </w:rPr>
        <w:t xml:space="preserve"> </w:t>
      </w:r>
      <w:proofErr w:type="spellStart"/>
      <w:r>
        <w:rPr>
          <w:rtl/>
        </w:rPr>
        <w:t>שכנוביץ</w:t>
      </w:r>
      <w:proofErr w:type="spellEnd"/>
      <w:r>
        <w:rPr>
          <w:rtl/>
        </w:rPr>
        <w:t xml:space="preserve">. </w:t>
      </w:r>
      <w:proofErr w:type="spellStart"/>
      <w:r>
        <w:rPr>
          <w:rtl/>
        </w:rPr>
        <w:t>המ״ץ</w:t>
      </w:r>
      <w:proofErr w:type="spellEnd"/>
      <w:r>
        <w:rPr>
          <w:rtl/>
        </w:rPr>
        <w:t xml:space="preserve"> היה ר׳ לייב וולף</w:t>
      </w:r>
      <w:bookmarkStart w:id="302" w:name="b1_ref44"/>
      <w:bookmarkEnd w:id="302"/>
      <w:r>
        <w:rPr>
          <w:vertAlign w:val="superscript"/>
          <w:rtl/>
        </w:rPr>
        <w:fldChar w:fldCharType="begin" w:dirty="true"/>
      </w:r>
      <w:r>
        <w:rPr>
          <w:vertAlign w:val="superscript"/>
          <w:rtl/>
        </w:rPr>
        <w:instrText xml:space="preserve"> REF b1_note44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44</w:t>
      </w:r>
      <w:r>
        <w:rPr>
          <w:vertAlign w:val="superscript"/>
          <w:rtl/>
        </w:rPr>
        <w:fldChar w:fldCharType="end"/>
      </w:r>
      <w:r>
        <w:rPr>
          <w:rtl/>
        </w:rPr>
        <w:t>.</w:t>
      </w:r>
    </w:p>
    <w:bookmarkStart w:id="303" w:name="b1_note42"/>
    <w:p w14:paraId="4706CBB3" w14:textId="77777777" w:rsidR="00AB3647" w:rsidRDefault="00000000" w:rsidP="007923E9">
      <w:pPr>
        <w:spacing w:before="120" w:after="100" w:line="276" w:lineRule="auto"/>
        <w:jc w:val="both"/>
      </w:pPr>
      <w:r>
        <w:fldChar w:fldCharType="begin" w:dirty="true"/>
      </w:r>
      <w:r>
        <w:instrText>HYPERLINK \l "b1_ref42"</w:instrText>
      </w:r>
      <w:r>
        <w:fldChar w:fldCharType="separate"/>
      </w:r>
      <w:r>
        <w:rPr>
          <w:b/>
          <w:bCs/>
          <w:rtl/>
        </w:rPr>
        <w:t>42</w:t>
      </w:r>
      <w:r>
        <w:rPr>
          <w:b/>
          <w:bCs/>
        </w:rPr>
        <w:fldChar w:fldCharType="end"/>
      </w:r>
      <w:bookmarkEnd w:id="303"/>
      <w:r>
        <w:rPr>
          <w:rtl/>
        </w:rPr>
        <w:t xml:space="preserve"> בכמה עיירות רצו אפילו החסידים שרבם יהיה מתנגד. בספר “מורשת </w:t>
      </w:r>
      <w:proofErr w:type="spellStart"/>
      <w:r>
        <w:rPr>
          <w:rtl/>
        </w:rPr>
        <w:t>סולובייצ׳יק</w:t>
      </w:r>
      <w:proofErr w:type="spellEnd"/>
      <w:r>
        <w:rPr>
          <w:rtl/>
        </w:rPr>
        <w:t xml:space="preserve"> – זיכרונותיה של בת” מאת שולמית </w:t>
      </w:r>
      <w:proofErr w:type="spellStart"/>
      <w:r>
        <w:rPr>
          <w:rtl/>
        </w:rPr>
        <w:t>סולובייצ׳יק</w:t>
      </w:r>
      <w:proofErr w:type="spellEnd"/>
      <w:r>
        <w:rPr>
          <w:rtl/>
        </w:rPr>
        <w:t xml:space="preserve"> </w:t>
      </w:r>
      <w:proofErr w:type="spellStart"/>
      <w:r>
        <w:rPr>
          <w:rtl/>
        </w:rPr>
        <w:t>מייזלמן</w:t>
      </w:r>
      <w:bookmarkStart w:id="304" w:name="_fnr188"/>
      <w:proofErr w:type="spellEnd"/>
      <w:r>
        <w:rPr>
          <w:rStyle w:val="a5"/>
        </w:rPr>
        <w:footnoteReference w:id="188" w:customMarkFollows="0"/>
      </w:r>
      <w:bookmarkEnd w:id="304"/>
      <w:r>
        <w:rPr>
          <w:rtl/>
        </w:rPr>
        <w:t xml:space="preserve"> נרשמה אגדה מעניינת, וזו לשונה: ר׳ </w:t>
      </w:r>
      <w:proofErr w:type="spellStart"/>
      <w:r>
        <w:rPr>
          <w:rtl/>
        </w:rPr>
        <w:t>שניאור־זלמן</w:t>
      </w:r>
      <w:proofErr w:type="spellEnd"/>
      <w:r>
        <w:rPr>
          <w:rtl/>
        </w:rPr>
        <w:t xml:space="preserve">, מייסד </w:t>
      </w:r>
      <w:proofErr w:type="spellStart"/>
      <w:r>
        <w:rPr>
          <w:rtl/>
        </w:rPr>
        <w:t>חב״ד־ליובאוויטש</w:t>
      </w:r>
      <w:proofErr w:type="spellEnd"/>
      <w:r>
        <w:rPr>
          <w:rtl/>
        </w:rPr>
        <w:t>, ארגן רשת ריגול של חסידיו לפעול נגד נפוליאון</w:t>
      </w:r>
      <w:bookmarkStart w:id="305" w:name="_fnr189"/>
      <w:r>
        <w:rPr>
          <w:rStyle w:val="a5"/>
        </w:rPr>
        <w:footnoteReference w:id="189" w:customMarkFollows="0"/>
      </w:r>
      <w:bookmarkEnd w:id="305"/>
      <w:r>
        <w:rPr>
          <w:rtl/>
        </w:rPr>
        <w:t xml:space="preserve"> במסעו על רוסיה בשנת תקע״ב. כשגילה זאת המודיעין הצרפתי, ביקשו הצרפתים לאסור את הרבי, והוא הסתתר בביתו של רב </w:t>
      </w:r>
      <w:proofErr w:type="spellStart"/>
      <w:r>
        <w:rPr>
          <w:rtl/>
        </w:rPr>
        <w:t>חסלוויץ</w:t>
      </w:r>
      <w:proofErr w:type="spellEnd"/>
      <w:r>
        <w:rPr>
          <w:rtl/>
        </w:rPr>
        <w:t>׳, שהיה ידוע כמתנגד חריף לחסידים. בני העיר שפעלו עם הצרפתים היו בטוחים כל כך שהרב לא יסתיר</w:t>
      </w:r>
      <w:bookmarkStart w:id="306" w:name="_fnr190"/>
      <w:bookmarkStart w:id="307" w:name="pr_f_122"/>
      <w:r>
        <w:rPr>
          <w:rStyle w:val="a5"/>
        </w:rPr>
        <w:footnoteReference w:id="190" w:customMarkFollows="0"/>
      </w:r>
      <w:bookmarkEnd w:id="306"/>
      <w:bookmarkEnd w:id="307"/>
      <w:r>
        <w:rPr>
          <w:rtl/>
        </w:rPr>
        <w:t xml:space="preserve"> את האיש שסלד ממנו כל כך, עד שלא טרחו לחפש בביתו – והרבי ניצל.</w:t>
      </w:r>
    </w:p>
    <w:p w14:paraId="6AC1789A" w14:textId="77777777" w:rsidR="00AB3647" w:rsidRDefault="00000000" w:rsidP="007923E9">
      <w:pPr>
        <w:spacing w:before="120" w:after="100" w:line="276" w:lineRule="auto"/>
        <w:jc w:val="both"/>
      </w:pPr>
      <w:r>
        <w:rPr>
          <w:rtl/>
        </w:rPr>
        <w:lastRenderedPageBreak/>
        <w:t xml:space="preserve">כשנסוג נפוליאון מרוסיה, “הוציא ר׳ </w:t>
      </w:r>
      <w:proofErr w:type="spellStart"/>
      <w:r>
        <w:rPr>
          <w:rtl/>
        </w:rPr>
        <w:t>שניאור־זלמן</w:t>
      </w:r>
      <w:proofErr w:type="spellEnd"/>
      <w:r>
        <w:rPr>
          <w:rtl/>
        </w:rPr>
        <w:t xml:space="preserve"> את הצו הבא: ‘ייוודע לציבור החסידים </w:t>
      </w:r>
      <w:proofErr w:type="spellStart"/>
      <w:r>
        <w:rPr>
          <w:rtl/>
        </w:rPr>
        <w:t>בחסלוויץ</w:t>
      </w:r>
      <w:proofErr w:type="spellEnd"/>
      <w:r>
        <w:rPr>
          <w:rtl/>
        </w:rPr>
        <w:t>׳ שמהיום והלאה יכהן תמיד ברבנות העיירה למדן “ליטאי” – כלומר, מתנגד’”. הרבי נפטר זמן קצר אחר כך, בשנת תקע״ג, לאחר שראה במפלת נפוליאון.</w:t>
      </w:r>
    </w:p>
    <w:p w14:paraId="1B3C9F56" w14:textId="77777777" w:rsidR="00AB3647" w:rsidRDefault="00000000" w:rsidP="007923E9">
      <w:pPr>
        <w:spacing w:before="120" w:after="100" w:line="276" w:lineRule="auto"/>
        <w:jc w:val="both"/>
      </w:pPr>
      <w:r>
        <w:rPr>
          <w:rtl/>
        </w:rPr>
        <w:t xml:space="preserve">והשווה גם “מורשת </w:t>
      </w:r>
      <w:proofErr w:type="spellStart"/>
      <w:r>
        <w:rPr>
          <w:rtl/>
        </w:rPr>
        <w:t>סולובייצ׳יק</w:t>
      </w:r>
      <w:proofErr w:type="spellEnd"/>
      <w:r>
        <w:rPr>
          <w:rtl/>
        </w:rPr>
        <w:t>”</w:t>
      </w:r>
      <w:bookmarkStart w:id="308" w:name="_fnr191"/>
      <w:r>
        <w:rPr>
          <w:rStyle w:val="a5"/>
        </w:rPr>
        <w:footnoteReference w:id="191" w:customMarkFollows="0"/>
      </w:r>
      <w:bookmarkEnd w:id="308"/>
      <w:r>
        <w:rPr>
          <w:rtl/>
        </w:rPr>
        <w:t xml:space="preserve"> </w:t>
      </w:r>
      <w:proofErr w:type="spellStart"/>
      <w:r>
        <w:rPr>
          <w:rtl/>
        </w:rPr>
        <w:t>ש“חסלוויץ</w:t>
      </w:r>
      <w:proofErr w:type="spellEnd"/>
      <w:r>
        <w:rPr>
          <w:rtl/>
        </w:rPr>
        <w:t xml:space="preserve">׳ הייתה עיירה חסידית ברובה”, ושרוב יהודי </w:t>
      </w:r>
      <w:proofErr w:type="spellStart"/>
      <w:r>
        <w:rPr>
          <w:rtl/>
        </w:rPr>
        <w:t>חסלוויץ</w:t>
      </w:r>
      <w:proofErr w:type="spellEnd"/>
      <w:r>
        <w:rPr>
          <w:rtl/>
        </w:rPr>
        <w:t>׳ היו חסידי חב״ד</w:t>
      </w:r>
      <w:bookmarkStart w:id="309" w:name="_fnr192"/>
      <w:r>
        <w:rPr>
          <w:rStyle w:val="a5"/>
        </w:rPr>
        <w:footnoteReference w:id="192" w:customMarkFollows="0"/>
      </w:r>
      <w:bookmarkEnd w:id="309"/>
      <w:r>
        <w:rPr>
          <w:rtl/>
        </w:rPr>
        <w:t>.</w:t>
      </w:r>
    </w:p>
    <w:bookmarkStart w:id="310" w:name="b1_note43"/>
    <w:p w14:paraId="7FB97596" w14:textId="60E8DE53" w:rsidR="00AB3647" w:rsidRDefault="00000000" w:rsidP="007923E9">
      <w:pPr>
        <w:spacing w:before="120" w:after="100" w:line="276" w:lineRule="auto"/>
        <w:jc w:val="both"/>
      </w:pPr>
      <w:r>
        <w:fldChar w:fldCharType="begin" w:dirty="true"/>
      </w:r>
      <w:r>
        <w:instrText>HYPERLINK \l "b1_ref43"</w:instrText>
      </w:r>
      <w:r>
        <w:fldChar w:fldCharType="separate"/>
      </w:r>
      <w:r>
        <w:rPr>
          <w:b/>
          <w:bCs/>
          <w:rtl/>
        </w:rPr>
        <w:t>43</w:t>
      </w:r>
      <w:r>
        <w:rPr>
          <w:b/>
          <w:bCs/>
        </w:rPr>
        <w:fldChar w:fldCharType="end"/>
      </w:r>
      <w:bookmarkEnd w:id="310"/>
      <w:r>
        <w:rPr>
          <w:rtl/>
        </w:rPr>
        <w:t xml:space="preserve"> ראה הערה </w:t>
      </w:r>
      <w:r>
        <w:rPr>
          <w:rtl/>
        </w:rPr>
        <w:fldChar w:fldCharType="begin" w:dirty="true"/>
      </w:r>
      <w:r>
        <w:rPr>
          <w:rtl/>
        </w:rPr>
        <w:instrText xml:space="preserve"> REF b1_note7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7</w:t>
      </w:r>
      <w:r>
        <w:rPr>
          <w:rtl/>
        </w:rPr>
        <w:fldChar w:fldCharType="end"/>
      </w:r>
      <w:r>
        <w:rPr>
          <w:rtl/>
        </w:rPr>
        <w:t xml:space="preserve"> לעיל.</w:t>
      </w:r>
    </w:p>
    <w:bookmarkStart w:id="311" w:name="b1_note44"/>
    <w:p w14:paraId="08E10969" w14:textId="77777777" w:rsidR="00AB3647" w:rsidRDefault="00000000" w:rsidP="007923E9">
      <w:pPr>
        <w:spacing w:before="120" w:after="100" w:line="276" w:lineRule="auto"/>
        <w:jc w:val="both"/>
      </w:pPr>
      <w:r>
        <w:fldChar w:fldCharType="begin" w:dirty="true"/>
      </w:r>
      <w:r>
        <w:instrText>HYPERLINK \l "b1_ref44"</w:instrText>
      </w:r>
      <w:r>
        <w:fldChar w:fldCharType="separate"/>
      </w:r>
      <w:r>
        <w:rPr>
          <w:b/>
          <w:bCs/>
          <w:rtl/>
        </w:rPr>
        <w:t>44</w:t>
      </w:r>
      <w:r>
        <w:rPr>
          <w:b/>
          <w:bCs/>
        </w:rPr>
        <w:fldChar w:fldCharType="end"/>
      </w:r>
      <w:bookmarkEnd w:id="311"/>
      <w:r>
        <w:rPr>
          <w:rtl/>
        </w:rPr>
        <w:t xml:space="preserve"> “אש תמיד”</w:t>
      </w:r>
      <w:bookmarkStart w:id="312" w:name="_fnr193"/>
      <w:r>
        <w:rPr>
          <w:rStyle w:val="a5"/>
        </w:rPr>
        <w:footnoteReference w:id="193" w:customMarkFollows="0"/>
      </w:r>
      <w:bookmarkEnd w:id="312"/>
      <w:r>
        <w:rPr>
          <w:rtl/>
        </w:rPr>
        <w:t xml:space="preserve">. מחלוקות על מינוי רב לא היו נדירות בעיירות מזרח אירופה, אבל משך המחלוקת </w:t>
      </w:r>
      <w:proofErr w:type="spellStart"/>
      <w:r>
        <w:rPr>
          <w:rtl/>
        </w:rPr>
        <w:t>בדולהינוב</w:t>
      </w:r>
      <w:proofErr w:type="spellEnd"/>
      <w:r>
        <w:rPr>
          <w:rtl/>
        </w:rPr>
        <w:t xml:space="preserve"> היה ארוך במיוחד.</w:t>
      </w:r>
    </w:p>
    <w:p w14:paraId="3C32B5D2" w14:textId="58CF56A0"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אווירה של רוחניות שררה </w:t>
      </w:r>
      <w:proofErr w:type="spellStart"/>
      <w:r>
        <w:rPr>
          <w:rtl/>
        </w:rPr>
        <w:t>בדולהינוב</w:t>
      </w:r>
      <w:proofErr w:type="spellEnd"/>
      <w:r>
        <w:rPr>
          <w:rtl/>
        </w:rPr>
        <w:t>. חמשת בתי הכנסת, שלושת בתי המדרש ושני השטיבלעך</w:t>
      </w:r>
      <w:bookmarkStart w:id="313" w:name="b1_ref45"/>
      <w:bookmarkEnd w:id="313"/>
      <w:r>
        <w:rPr>
          <w:vertAlign w:val="superscript"/>
          <w:rtl/>
        </w:rPr>
        <w:fldChar w:fldCharType="begin" w:dirty="true"/>
      </w:r>
      <w:r>
        <w:rPr>
          <w:vertAlign w:val="superscript"/>
          <w:rtl/>
        </w:rPr>
        <w:instrText xml:space="preserve"> REF b1_note45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45</w:t>
      </w:r>
      <w:r>
        <w:rPr>
          <w:vertAlign w:val="superscript"/>
          <w:rtl/>
        </w:rPr>
        <w:fldChar w:fldCharType="end"/>
      </w:r>
      <w:r>
        <w:rPr>
          <w:rtl/>
        </w:rPr>
        <w:t xml:space="preserve"> היו מלאים מתפללים ולומדים, למרות הפגיעה הקשה של תנועת ההשכלה בחברה היהודית ברוסיה במשך חצי מאה. בעיירה היו חדרים רבים, כל אחד לשכבת גיל אחרת, אבל לא כל המלמדים היו מן המשובחים – כמו בכל העיירות באותם ימים, שכן ההוראה לא הייתה מקצוע משתלם. </w:t>
      </w:r>
      <w:proofErr w:type="spellStart"/>
      <w:r>
        <w:rPr>
          <w:rtl/>
        </w:rPr>
        <w:t>בדולהינוב</w:t>
      </w:r>
      <w:proofErr w:type="spellEnd"/>
      <w:r>
        <w:rPr>
          <w:rtl/>
        </w:rPr>
        <w:t xml:space="preserve"> הייתה ישיבה שבראשה עמד ר׳ </w:t>
      </w:r>
      <w:proofErr w:type="spellStart"/>
      <w:r>
        <w:rPr>
          <w:rtl/>
        </w:rPr>
        <w:t>מרדכי־בער</w:t>
      </w:r>
      <w:proofErr w:type="spellEnd"/>
      <w:r>
        <w:rPr>
          <w:rtl/>
        </w:rPr>
        <w:t>, חתנו של ר׳ לייב וולף</w:t>
      </w:r>
      <w:bookmarkStart w:id="314" w:name="b1_ref46"/>
      <w:bookmarkEnd w:id="314"/>
      <w:r>
        <w:rPr>
          <w:vertAlign w:val="superscript"/>
          <w:rtl/>
        </w:rPr>
        <w:fldChar w:fldCharType="begin" w:dirty="true"/>
      </w:r>
      <w:r>
        <w:rPr>
          <w:vertAlign w:val="superscript"/>
          <w:rtl/>
        </w:rPr>
        <w:instrText xml:space="preserve"> REF b1_note46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46</w:t>
      </w:r>
      <w:r>
        <w:rPr>
          <w:vertAlign w:val="superscript"/>
          <w:rtl/>
        </w:rPr>
        <w:fldChar w:fldCharType="end"/>
      </w:r>
      <w:r>
        <w:rPr>
          <w:rtl/>
        </w:rPr>
        <w:t>, אבל היא הלכה ודעכה, משום שהתלמידים המבוגרים היו יוצאים לישיבות מפורסמות בעיירות אחרות.</w:t>
      </w:r>
    </w:p>
    <w:bookmarkStart w:id="315" w:name="b1_note45"/>
    <w:p w14:paraId="0076075E" w14:textId="77777777" w:rsidR="00AB3647" w:rsidRDefault="00000000" w:rsidP="007923E9">
      <w:pPr>
        <w:spacing w:before="120" w:after="100" w:line="276" w:lineRule="auto"/>
        <w:jc w:val="both"/>
      </w:pPr>
      <w:r>
        <w:fldChar w:fldCharType="begin" w:dirty="true"/>
      </w:r>
      <w:r>
        <w:instrText>HYPERLINK \l "b1_ref45"</w:instrText>
      </w:r>
      <w:r>
        <w:fldChar w:fldCharType="separate"/>
      </w:r>
      <w:r>
        <w:rPr>
          <w:b/>
          <w:bCs/>
          <w:rtl/>
        </w:rPr>
        <w:t>45</w:t>
      </w:r>
      <w:r>
        <w:rPr>
          <w:b/>
          <w:bCs/>
        </w:rPr>
        <w:fldChar w:fldCharType="end"/>
      </w:r>
      <w:bookmarkEnd w:id="315"/>
      <w:r>
        <w:rPr>
          <w:rtl/>
        </w:rPr>
        <w:t xml:space="preserve"> “אש תמיד”</w:t>
      </w:r>
      <w:bookmarkStart w:id="316" w:name="_fnr194"/>
      <w:r>
        <w:rPr>
          <w:rStyle w:val="a5"/>
        </w:rPr>
        <w:footnoteReference w:id="194" w:customMarkFollows="0"/>
      </w:r>
      <w:bookmarkEnd w:id="316"/>
      <w:r>
        <w:rPr>
          <w:rtl/>
        </w:rPr>
        <w:t xml:space="preserve">. אבי סבר שהחסידים כינו את בתי התפילה שלהם </w:t>
      </w:r>
      <w:bookmarkStart w:id="317" w:name="_Hlk243575030"/>
      <w:r>
        <w:rPr>
          <w:rtl/>
        </w:rPr>
        <w:t xml:space="preserve">בכינוי החולין “</w:t>
      </w:r>
      <w:proofErr w:type="spellStart"/>
      <w:r>
        <w:rPr>
          <w:rtl/>
        </w:rPr>
        <w:t>שטיבל</w:t>
      </w:r>
      <w:bookmarkEnd w:id="317"/>
      <w:proofErr w:type="spellEnd"/>
      <w:r>
        <w:rPr>
          <w:rtl/>
        </w:rPr>
        <w:t xml:space="preserve">” (בית קטן) כדי לסמן שבתי תפילה ולימוד אלה לא </w:t>
      </w:r>
      <w:proofErr w:type="spellStart"/>
      <w:r>
        <w:rPr>
          <w:rtl/>
        </w:rPr>
        <w:t>נתקדשו</w:t>
      </w:r>
      <w:proofErr w:type="spellEnd"/>
      <w:r>
        <w:rPr>
          <w:rtl/>
        </w:rPr>
        <w:t xml:space="preserve"> כבתי מדרש, ולכן הותר מנהג החסידים לאכול, לשתות ולשמוח בתוכם. השווה </w:t>
      </w:r>
      <w:proofErr w:type="spellStart"/>
      <w:r>
        <w:rPr>
          <w:rtl/>
        </w:rPr>
        <w:t>שו״ע</w:t>
      </w:r>
      <w:proofErr w:type="spellEnd"/>
      <w:r>
        <w:rPr>
          <w:rtl/>
        </w:rPr>
        <w:t xml:space="preserve"> </w:t>
      </w:r>
      <w:proofErr w:type="spellStart"/>
      <w:r>
        <w:rPr>
          <w:rtl/>
        </w:rPr>
        <w:t>או״ח</w:t>
      </w:r>
      <w:proofErr w:type="spellEnd"/>
      <w:r>
        <w:rPr>
          <w:rtl/>
        </w:rPr>
        <w:t xml:space="preserve"> סי׳ קנ״א.</w:t>
      </w:r>
    </w:p>
    <w:p w14:paraId="4B055EF7" w14:textId="77777777" w:rsidR="00AB3647" w:rsidRDefault="00000000" w:rsidP="007923E9">
      <w:pPr>
        <w:spacing w:after="100" w:line="276" w:lineRule="auto"/>
        <w:ind w:firstLine="340"/>
        <w:jc w:val="both"/>
      </w:pPr>
      <w:r>
        <w:rPr>
          <w:rtl/>
        </w:rPr>
        <w:t>והשווה גם “אש תמיד”</w:t>
      </w:r>
      <w:bookmarkStart w:id="318" w:name="_fnr195"/>
      <w:r>
        <w:rPr>
          <w:rStyle w:val="a5"/>
        </w:rPr>
        <w:footnoteReference w:id="195" w:customMarkFollows="0"/>
      </w:r>
      <w:bookmarkEnd w:id="318"/>
      <w:r>
        <w:rPr>
          <w:rtl/>
        </w:rPr>
        <w:t xml:space="preserve">: מסופר שם שבית הכנסת </w:t>
      </w:r>
      <w:proofErr w:type="spellStart"/>
      <w:r>
        <w:rPr>
          <w:rtl/>
        </w:rPr>
        <w:t>בדולהינוב</w:t>
      </w:r>
      <w:proofErr w:type="spellEnd"/>
      <w:r>
        <w:rPr>
          <w:rtl/>
        </w:rPr>
        <w:t xml:space="preserve"> חרב בשריפה – סכנה שכיחה בעיירות רוסיה, שבהן נבנו הבניינים בדרך כלל מעץ</w:t>
      </w:r>
      <w:bookmarkStart w:id="319" w:name="_fnr196"/>
      <w:r>
        <w:rPr>
          <w:rStyle w:val="a5"/>
        </w:rPr>
        <w:footnoteReference w:id="196" w:customMarkFollows="0"/>
      </w:r>
      <w:bookmarkEnd w:id="319"/>
      <w:r>
        <w:rPr>
          <w:rtl/>
        </w:rPr>
        <w:t>. מסיבה שאינה מפורשת הוא לא נבנה מחדש, והמגרש גודר ושימש לעריכת חתונות. טקסי חופה נערכו בדרך כלל בחצר בית הכנסת</w:t>
      </w:r>
      <w:bookmarkStart w:id="320" w:name="_fnr197"/>
      <w:r>
        <w:rPr>
          <w:rStyle w:val="a5"/>
        </w:rPr>
        <w:footnoteReference w:id="197" w:customMarkFollows="0"/>
      </w:r>
      <w:bookmarkEnd w:id="320"/>
      <w:r>
        <w:rPr>
          <w:rtl/>
        </w:rPr>
        <w:t>.</w:t>
      </w:r>
    </w:p>
    <w:bookmarkStart w:id="321" w:name="b1_note46"/>
    <w:p w14:paraId="2818FDF4" w14:textId="77777777" w:rsidR="00AB3647" w:rsidRDefault="00000000" w:rsidP="007923E9">
      <w:pPr>
        <w:spacing w:before="120" w:after="100" w:line="276" w:lineRule="auto"/>
        <w:jc w:val="both"/>
      </w:pPr>
      <w:r>
        <w:lastRenderedPageBreak/>
        <w:fldChar w:fldCharType="begin" w:dirty="true"/>
      </w:r>
      <w:r>
        <w:instrText>HYPERLINK \l "b1_ref46"</w:instrText>
      </w:r>
      <w:r>
        <w:fldChar w:fldCharType="separate"/>
      </w:r>
      <w:r>
        <w:rPr>
          <w:b/>
          <w:bCs/>
          <w:rtl/>
        </w:rPr>
        <w:t>46</w:t>
      </w:r>
      <w:r>
        <w:rPr>
          <w:b/>
          <w:bCs/>
        </w:rPr>
        <w:fldChar w:fldCharType="end"/>
      </w:r>
      <w:bookmarkEnd w:id="321"/>
      <w:r>
        <w:rPr>
          <w:rtl/>
        </w:rPr>
        <w:t xml:space="preserve"> “אש תמיד”</w:t>
      </w:r>
      <w:bookmarkStart w:id="322" w:name="_fnr198"/>
      <w:r>
        <w:rPr>
          <w:rStyle w:val="a5"/>
        </w:rPr>
        <w:footnoteReference w:id="198" w:customMarkFollows="0"/>
      </w:r>
      <w:bookmarkEnd w:id="322"/>
      <w:r>
        <w:rPr>
          <w:rtl/>
        </w:rPr>
        <w:t>. ברוך צוקרמן, בעל “</w:t>
      </w:r>
      <w:proofErr w:type="spellStart"/>
      <w:r>
        <w:rPr>
          <w:rtl/>
        </w:rPr>
        <w:t>זכרונות</w:t>
      </w:r>
      <w:proofErr w:type="spellEnd"/>
      <w:r>
        <w:rPr>
          <w:rtl/>
        </w:rPr>
        <w:t>”</w:t>
      </w:r>
      <w:bookmarkStart w:id="323" w:name="_fnr199"/>
      <w:r>
        <w:rPr>
          <w:rStyle w:val="a5"/>
        </w:rPr>
        <w:footnoteReference w:id="199" w:customMarkFollows="0"/>
      </w:r>
      <w:bookmarkEnd w:id="323"/>
      <w:r>
        <w:rPr>
          <w:rtl/>
        </w:rPr>
        <w:t xml:space="preserve">, בא לישיבת </w:t>
      </w:r>
      <w:proofErr w:type="spellStart"/>
      <w:r>
        <w:rPr>
          <w:rtl/>
        </w:rPr>
        <w:t>דולהינוב</w:t>
      </w:r>
      <w:proofErr w:type="spellEnd"/>
      <w:r>
        <w:rPr>
          <w:rtl/>
        </w:rPr>
        <w:t xml:space="preserve"> כנער צעיר בשנת תרנ״ז. למרות זיכרונו המופלא לא זכר את שם ראש הישיבה, משום שהיה “ידוע בעיר רק כחתנו של </w:t>
      </w:r>
      <w:proofErr w:type="spellStart"/>
      <w:r>
        <w:rPr>
          <w:rtl/>
        </w:rPr>
        <w:t>המ״ץ</w:t>
      </w:r>
      <w:proofErr w:type="spellEnd"/>
      <w:r>
        <w:rPr>
          <w:rtl/>
        </w:rPr>
        <w:t xml:space="preserve">”. הוא מספר גם שהמשגיח היה ר׳ שמרל, שסידר לתלמידים את ימי האכילה</w:t>
      </w:r>
      <w:bookmarkStart w:id="324" w:name="_fnr200"/>
      <w:r>
        <w:rPr>
          <w:rStyle w:val="a5"/>
        </w:rPr>
        <w:footnoteReference w:id="200" w:customMarkFollows="0"/>
      </w:r>
      <w:bookmarkEnd w:id="324"/>
      <w:r>
        <w:rPr>
          <w:rtl/>
        </w:rPr>
        <w:t xml:space="preserve">, ואסף כספים </w:t>
      </w:r>
      <w:proofErr w:type="spellStart"/>
      <w:r>
        <w:rPr>
          <w:rtl/>
        </w:rPr>
        <w:t>בדולהינוב</w:t>
      </w:r>
      <w:proofErr w:type="spellEnd"/>
      <w:r>
        <w:rPr>
          <w:rtl/>
        </w:rPr>
        <w:t xml:space="preserve"> ובעיירות השכנות </w:t>
      </w:r>
      <w:proofErr w:type="spellStart"/>
      <w:r>
        <w:rPr>
          <w:rtl/>
        </w:rPr>
        <w:t>ל“מטבח</w:t>
      </w:r>
      <w:proofErr w:type="spellEnd"/>
      <w:r>
        <w:rPr>
          <w:rtl/>
        </w:rPr>
        <w:t xml:space="preserve"> גדול” לנערים שלא ניתן היה לסדר להם </w:t>
      </w:r>
      <w:proofErr w:type="spellStart"/>
      <w:r>
        <w:rPr>
          <w:rtl/>
        </w:rPr>
        <w:t>טעג</w:t>
      </w:r>
      <w:proofErr w:type="spellEnd"/>
      <w:r>
        <w:rPr>
          <w:rtl/>
        </w:rPr>
        <w:t xml:space="preserve">. באחד ממסעות אלה, </w:t>
      </w:r>
      <w:proofErr w:type="spellStart"/>
      <w:r>
        <w:rPr>
          <w:rtl/>
        </w:rPr>
        <w:t>לקורניץ</w:t>
      </w:r>
      <w:proofErr w:type="spellEnd"/>
      <w:r>
        <w:rPr>
          <w:rtl/>
        </w:rPr>
        <w:t xml:space="preserve">, שכנע ר׳ שמרל את הוריו של המחבר לשלוח עמו את ברוך בן העשר לישיבת </w:t>
      </w:r>
      <w:proofErr w:type="spellStart"/>
      <w:r>
        <w:rPr>
          <w:rtl/>
        </w:rPr>
        <w:t>דולהינוב</w:t>
      </w:r>
      <w:bookmarkStart w:id="325" w:name="_fnr201"/>
      <w:proofErr w:type="spellEnd"/>
      <w:r>
        <w:rPr>
          <w:rStyle w:val="a5"/>
        </w:rPr>
        <w:footnoteReference w:id="201" w:customMarkFollows="0"/>
      </w:r>
      <w:bookmarkEnd w:id="325"/>
      <w:r>
        <w:rPr>
          <w:rtl/>
        </w:rPr>
        <w:t>.</w:t>
      </w:r>
    </w:p>
    <w:p w14:paraId="61D33EDF" w14:textId="686348EC"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מוקד משיכה עיקרי לצעירים שרצו להתקדם בלימודם היה ישיבת עץ חיים </w:t>
      </w:r>
      <w:proofErr w:type="spellStart"/>
      <w:r>
        <w:rPr>
          <w:rtl/>
        </w:rPr>
        <w:t>בוולוז׳ין</w:t>
      </w:r>
      <w:proofErr w:type="spellEnd"/>
      <w:r>
        <w:rPr>
          <w:rtl/>
        </w:rPr>
        <w:t xml:space="preserve">, שהדרך אליה </w:t>
      </w:r>
      <w:proofErr w:type="spellStart"/>
      <w:r>
        <w:rPr>
          <w:rtl/>
        </w:rPr>
        <w:t>מדולהינוב</w:t>
      </w:r>
      <w:proofErr w:type="spellEnd"/>
      <w:r>
        <w:rPr>
          <w:rtl/>
        </w:rPr>
        <w:t xml:space="preserve"> הייתה נוחה. ישיבה עליונה זו נסגרה בידי ראשיה עצמם בשנת תרנ״ב, כשדחו את האולטימטום של הממשלה הרוסית לכלול לימודי חול בתוכנית הלימודים</w:t>
      </w:r>
      <w:bookmarkStart w:id="326" w:name="b1_ref47"/>
      <w:bookmarkEnd w:id="326"/>
      <w:r>
        <w:rPr>
          <w:vertAlign w:val="superscript"/>
          <w:rtl/>
        </w:rPr>
        <w:fldChar w:fldCharType="begin" w:dirty="true"/>
      </w:r>
      <w:r>
        <w:rPr>
          <w:vertAlign w:val="superscript"/>
          <w:rtl/>
        </w:rPr>
        <w:instrText xml:space="preserve"> REF b1_note47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47</w:t>
      </w:r>
      <w:r>
        <w:rPr>
          <w:vertAlign w:val="superscript"/>
          <w:rtl/>
        </w:rPr>
        <w:fldChar w:fldCharType="end"/>
      </w:r>
      <w:r>
        <w:rPr>
          <w:rtl/>
        </w:rPr>
        <w:t xml:space="preserve">. אבל זמן קצר אחרי סגירתה החלו לפעול לחידושה, במסווה של עוד בית כנסת. כעבור שבע שנים, עם מינויו של ר׳ רפאל שפירא – שהיה ראש ישיבה </w:t>
      </w:r>
      <w:proofErr w:type="spellStart"/>
      <w:r>
        <w:rPr>
          <w:rtl/>
        </w:rPr>
        <w:t>בוולוז׳ין</w:t>
      </w:r>
      <w:proofErr w:type="spellEnd"/>
      <w:r>
        <w:rPr>
          <w:rtl/>
        </w:rPr>
        <w:t xml:space="preserve"> עשרים שנה קודם לכן – לרב העיר, נפתחה הישיבה מחדש באופן רשמי</w:t>
      </w:r>
      <w:r>
        <w:rPr>
          <w:vertAlign w:val="superscript"/>
          <w:rtl/>
        </w:rPr>
        <w:fldChar w:fldCharType="begin" w:dirty="true"/>
      </w:r>
      <w:r>
        <w:rPr>
          <w:vertAlign w:val="superscript"/>
          <w:rtl/>
        </w:rPr>
        <w:instrText xml:space="preserve"> REF b1_note47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47</w:t>
      </w:r>
      <w:r>
        <w:rPr>
          <w:vertAlign w:val="superscript"/>
          <w:rtl/>
        </w:rPr>
        <w:fldChar w:fldCharType="end"/>
      </w:r>
      <w:r>
        <w:rPr>
          <w:rtl/>
        </w:rPr>
        <w:t>.</w:t>
      </w:r>
    </w:p>
    <w:bookmarkStart w:id="327" w:name="b1_note47"/>
    <w:p w14:paraId="001FEAED" w14:textId="22AC455F" w:rsidR="00AB3647" w:rsidRDefault="00000000" w:rsidP="007923E9">
      <w:pPr>
        <w:spacing w:before="120" w:after="100" w:line="276" w:lineRule="auto"/>
        <w:jc w:val="both"/>
      </w:pPr>
      <w:r>
        <w:fldChar w:fldCharType="begin" w:dirty="true"/>
      </w:r>
      <w:r>
        <w:instrText>HYPERLINK \l "b1_ref47"</w:instrText>
      </w:r>
      <w:r>
        <w:fldChar w:fldCharType="separate"/>
      </w:r>
      <w:r>
        <w:rPr>
          <w:b/>
          <w:bCs/>
          <w:rtl/>
        </w:rPr>
        <w:t>47</w:t>
      </w:r>
      <w:r>
        <w:rPr>
          <w:b/>
          <w:bCs/>
        </w:rPr>
        <w:fldChar w:fldCharType="end"/>
      </w:r>
      <w:bookmarkEnd w:id="327"/>
      <w:r>
        <w:rPr>
          <w:rtl/>
        </w:rPr>
        <w:t xml:space="preserve"> והשווה גם פרק 3, </w:t>
      </w:r>
      <w:r>
        <w:rPr>
          <w:rtl/>
        </w:rPr>
        <w:fldChar w:fldCharType="begin" w:dirty="true"/>
      </w:r>
      <w:r>
        <w:rPr>
          <w:rtl/>
        </w:rPr>
        <w:instrText xml:space="preserve"> REF b3_excK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יא</w:t>
      </w:r>
      <w:r>
        <w:rPr>
          <w:rtl/>
        </w:rPr>
        <w:fldChar w:fldCharType="end"/>
      </w:r>
      <w:r>
        <w:rPr>
          <w:rtl/>
        </w:rPr>
        <w:t xml:space="preserve">, לפרטים על סיבה נוספת לסגירת הישיבה, ופרק 5, תחילת הפסקה הרביעית של </w:t>
      </w:r>
      <w:r>
        <w:rPr>
          <w:rtl/>
        </w:rPr>
        <w:fldChar w:fldCharType="begin" w:dirty="true"/>
      </w:r>
      <w:r>
        <w:rPr>
          <w:rtl/>
        </w:rPr>
        <w:instrText xml:space="preserve"> REF b5_excF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ו</w:t>
      </w:r>
      <w:r>
        <w:rPr>
          <w:rtl/>
        </w:rPr>
        <w:fldChar w:fldCharType="end"/>
      </w:r>
      <w:r>
        <w:rPr>
          <w:rtl/>
        </w:rPr>
        <w:t>, לפרטים נוספים על פתיחתה מחדש.</w:t>
      </w:r>
    </w:p>
    <w:p w14:paraId="63842784" w14:textId="6FE3F184"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אהבת התורה ניכרה </w:t>
      </w:r>
      <w:proofErr w:type="spellStart"/>
      <w:r>
        <w:rPr>
          <w:rtl/>
        </w:rPr>
        <w:t>בדולהינוב</w:t>
      </w:r>
      <w:proofErr w:type="spellEnd"/>
      <w:r>
        <w:rPr>
          <w:rtl/>
        </w:rPr>
        <w:t xml:space="preserve"> בדרכים רבות. הרב, תלמיד חכם גדול</w:t>
      </w:r>
      <w:bookmarkStart w:id="328" w:name="b1_ref48"/>
      <w:bookmarkEnd w:id="328"/>
      <w:r>
        <w:rPr>
          <w:vertAlign w:val="superscript"/>
          <w:rtl/>
        </w:rPr>
        <w:fldChar w:fldCharType="begin" w:dirty="true"/>
      </w:r>
      <w:r>
        <w:rPr>
          <w:vertAlign w:val="superscript"/>
          <w:rtl/>
        </w:rPr>
        <w:instrText xml:space="preserve"> REF b1_note48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48</w:t>
      </w:r>
      <w:r>
        <w:rPr>
          <w:vertAlign w:val="superscript"/>
          <w:rtl/>
        </w:rPr>
        <w:fldChar w:fldCharType="end"/>
      </w:r>
      <w:r>
        <w:rPr>
          <w:rtl/>
        </w:rPr>
        <w:t>, עניו אך מטופח ונשוא פנים, שימש דוגמה להתמדה בתורה: כל היום ישב ולמד בבית הכנסת הגדול</w:t>
      </w:r>
      <w:bookmarkStart w:id="329" w:name="b1_ref49"/>
      <w:bookmarkEnd w:id="329"/>
      <w:r>
        <w:rPr>
          <w:vertAlign w:val="superscript"/>
          <w:rtl/>
        </w:rPr>
        <w:fldChar w:fldCharType="begin" w:dirty="true"/>
      </w:r>
      <w:r>
        <w:rPr>
          <w:vertAlign w:val="superscript"/>
          <w:rtl/>
        </w:rPr>
        <w:instrText xml:space="preserve"> REF b1_note49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49</w:t>
      </w:r>
      <w:r>
        <w:rPr>
          <w:vertAlign w:val="superscript"/>
          <w:rtl/>
        </w:rPr>
        <w:fldChar w:fldCharType="end"/>
      </w:r>
      <w:r>
        <w:rPr>
          <w:rtl/>
        </w:rPr>
        <w:t xml:space="preserve">. הוא עודד את הצעירים להצטיין בלימודם – ניגש אל כל אחד שנכנס לבית הכנסת ושאל אותו מה למד בחדר באותו יום. ראש הקהל של </w:t>
      </w:r>
      <w:proofErr w:type="spellStart"/>
      <w:r>
        <w:rPr>
          <w:rtl/>
        </w:rPr>
        <w:t>דולהינוב</w:t>
      </w:r>
      <w:proofErr w:type="spellEnd"/>
      <w:r>
        <w:rPr>
          <w:rtl/>
        </w:rPr>
        <w:t xml:space="preserve">, העדין ר׳ שמריהו </w:t>
      </w:r>
      <w:proofErr w:type="spellStart"/>
      <w:r>
        <w:rPr>
          <w:rtl/>
        </w:rPr>
        <w:t>סמורגונסקי</w:t>
      </w:r>
      <w:proofErr w:type="spellEnd"/>
      <w:r>
        <w:rPr>
          <w:rtl/>
        </w:rPr>
        <w:t>, נבחר לא בזכות עושרו אלא בזכות בקיאותו בש״ס ובפוסקים</w:t>
      </w:r>
      <w:bookmarkStart w:id="330" w:name="b1_ref50"/>
      <w:bookmarkEnd w:id="330"/>
      <w:r>
        <w:rPr>
          <w:vertAlign w:val="superscript"/>
          <w:rtl/>
        </w:rPr>
        <w:fldChar w:fldCharType="begin" w:dirty="true"/>
      </w:r>
      <w:r>
        <w:rPr>
          <w:vertAlign w:val="superscript"/>
          <w:rtl/>
        </w:rPr>
        <w:instrText xml:space="preserve"> REF b1_note50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50</w:t>
      </w:r>
      <w:r>
        <w:rPr>
          <w:vertAlign w:val="superscript"/>
          <w:rtl/>
        </w:rPr>
        <w:fldChar w:fldCharType="end"/>
      </w:r>
      <w:r>
        <w:rPr>
          <w:rtl/>
        </w:rPr>
        <w:t>. הציבור היהודי בכללו היה טוב לב ומכניס אורחים</w:t>
      </w:r>
      <w:bookmarkStart w:id="331" w:name="b1_ref51"/>
      <w:bookmarkEnd w:id="331"/>
      <w:r>
        <w:rPr>
          <w:vertAlign w:val="superscript"/>
          <w:rtl/>
        </w:rPr>
        <w:fldChar w:fldCharType="begin" w:dirty="true"/>
      </w:r>
      <w:r>
        <w:rPr>
          <w:vertAlign w:val="superscript"/>
          <w:rtl/>
        </w:rPr>
        <w:instrText xml:space="preserve"> REF b1_note51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51</w:t>
      </w:r>
      <w:r>
        <w:rPr>
          <w:vertAlign w:val="superscript"/>
          <w:rtl/>
        </w:rPr>
        <w:fldChar w:fldCharType="end"/>
      </w:r>
      <w:r>
        <w:rPr>
          <w:rtl/>
        </w:rPr>
        <w:t>.</w:t>
      </w:r>
    </w:p>
    <w:bookmarkStart w:id="332" w:name="b1_note48"/>
    <w:p w14:paraId="5FECCD3E" w14:textId="77777777" w:rsidR="00AB3647" w:rsidRDefault="00000000" w:rsidP="007923E9">
      <w:pPr>
        <w:spacing w:before="120" w:after="100" w:line="276" w:lineRule="auto"/>
        <w:jc w:val="both"/>
      </w:pPr>
      <w:r>
        <w:fldChar w:fldCharType="begin" w:dirty="true"/>
      </w:r>
      <w:r>
        <w:instrText>HYPERLINK \l "b1_ref48"</w:instrText>
      </w:r>
      <w:r>
        <w:fldChar w:fldCharType="separate"/>
      </w:r>
      <w:r>
        <w:rPr>
          <w:b/>
          <w:bCs/>
          <w:rtl/>
        </w:rPr>
        <w:t>48</w:t>
      </w:r>
      <w:r>
        <w:rPr>
          <w:b/>
          <w:bCs/>
        </w:rPr>
        <w:fldChar w:fldCharType="end"/>
      </w:r>
      <w:bookmarkEnd w:id="332"/>
      <w:r>
        <w:rPr>
          <w:rtl/>
        </w:rPr>
        <w:t xml:space="preserve"> כבודו המופלג של אבי לרב ניכר בכך שלא הרכיב משקפיים בשבת במקום שאין עירוב. תלמיד שאל אותו פעם אם גם הוא ינהג כך ולא ירכיב משקפיים, והשיב: “אני ‘לצערי’ בא מעיירה שבה פסק הרב שהדבר אסור, ועליי לנהוג כפסק רבי. אתה, לעומת זאת, רשאי להרכיב משקפיים, משום שאני לעצמי סובר שמותר</w:t>
      </w:r>
      <w:bookmarkStart w:id="333" w:name="_fnr202"/>
      <w:r>
        <w:rPr>
          <w:rStyle w:val="a5"/>
        </w:rPr>
        <w:footnoteReference w:id="202" w:customMarkFollows="0"/>
      </w:r>
      <w:bookmarkEnd w:id="333"/>
      <w:r>
        <w:rPr>
          <w:rtl/>
        </w:rPr>
        <w:t>”.</w:t>
      </w:r>
    </w:p>
    <w:p w14:paraId="1A8AA708" w14:textId="77777777" w:rsidR="00AB3647" w:rsidRDefault="00000000" w:rsidP="007923E9">
      <w:pPr>
        <w:spacing w:before="120" w:after="100" w:line="276" w:lineRule="auto"/>
        <w:jc w:val="both"/>
      </w:pPr>
      <w:r>
        <w:rPr>
          <w:rtl/>
        </w:rPr>
        <w:t xml:space="preserve">אבל לדברי ר׳ </w:t>
      </w:r>
      <w:proofErr w:type="spellStart"/>
      <w:r>
        <w:rPr>
          <w:rtl/>
        </w:rPr>
        <w:t>שמואל־יצחק</w:t>
      </w:r>
      <w:proofErr w:type="spellEnd"/>
      <w:r>
        <w:rPr>
          <w:rtl/>
        </w:rPr>
        <w:t xml:space="preserve"> הרמן</w:t>
      </w:r>
      <w:bookmarkStart w:id="334" w:name="_fnr203"/>
      <w:r>
        <w:rPr>
          <w:rStyle w:val="a5"/>
        </w:rPr>
        <w:footnoteReference w:id="203" w:customMarkFollows="0"/>
      </w:r>
      <w:bookmarkEnd w:id="334"/>
      <w:r>
        <w:rPr>
          <w:rtl/>
        </w:rPr>
        <w:t xml:space="preserve"> השיב אבי תשובה אחרת כששאלוהו מדוע אינו מרכיב משקפיים. ר׳ </w:t>
      </w:r>
      <w:proofErr w:type="spellStart"/>
      <w:r>
        <w:rPr>
          <w:rtl/>
        </w:rPr>
        <w:t>שמואל־יצחק</w:t>
      </w:r>
      <w:proofErr w:type="spellEnd"/>
      <w:r>
        <w:rPr>
          <w:rtl/>
        </w:rPr>
        <w:t xml:space="preserve"> היה מלווה את אבי בחזרה למתיבתא תורה ודעת בלילות שבת, </w:t>
      </w:r>
      <w:r>
        <w:rPr>
          <w:rtl/>
        </w:rPr>
        <w:lastRenderedPageBreak/>
        <w:t>אחרי שאבי סעד בבית משפחת הרמן, לפני שמשפחתו שלו עברה מטורונטו לברוקלין</w:t>
      </w:r>
      <w:bookmarkStart w:id="335" w:name="_fnr204"/>
      <w:r>
        <w:rPr>
          <w:rStyle w:val="a5"/>
        </w:rPr>
        <w:footnoteReference w:id="204" w:customMarkFollows="0"/>
      </w:r>
      <w:bookmarkEnd w:id="335"/>
      <w:r>
        <w:rPr>
          <w:rtl/>
        </w:rPr>
        <w:t>. לו נאמר: “האיסור ברור, וההיתר אינו ברור”</w:t>
      </w:r>
      <w:bookmarkStart w:id="336" w:name="_fnr205"/>
      <w:r>
        <w:rPr>
          <w:rStyle w:val="a5"/>
        </w:rPr>
        <w:footnoteReference w:id="205" w:customMarkFollows="0"/>
      </w:r>
      <w:bookmarkEnd w:id="336"/>
      <w:r>
        <w:rPr>
          <w:rtl/>
        </w:rPr>
        <w:t>.</w:t>
      </w:r>
    </w:p>
    <w:bookmarkStart w:id="337" w:name="b1_note49"/>
    <w:p w14:paraId="543699C6" w14:textId="77777777" w:rsidR="00AB3647" w:rsidRDefault="00000000" w:rsidP="007923E9">
      <w:pPr>
        <w:spacing w:before="120" w:after="100" w:line="276" w:lineRule="auto"/>
        <w:jc w:val="both"/>
      </w:pPr>
      <w:r>
        <w:fldChar w:fldCharType="begin" w:dirty="true"/>
      </w:r>
      <w:r>
        <w:instrText>HYPERLINK \l "b1_ref49"</w:instrText>
      </w:r>
      <w:r>
        <w:fldChar w:fldCharType="separate"/>
      </w:r>
      <w:r>
        <w:rPr>
          <w:b/>
          <w:bCs/>
          <w:rtl/>
        </w:rPr>
        <w:t>49</w:t>
      </w:r>
      <w:r>
        <w:rPr>
          <w:b/>
          <w:bCs/>
        </w:rPr>
        <w:fldChar w:fldCharType="end"/>
      </w:r>
      <w:bookmarkEnd w:id="337"/>
      <w:r>
        <w:rPr>
          <w:rtl/>
        </w:rPr>
        <w:t xml:space="preserve"> “אש תמיד”</w:t>
      </w:r>
      <w:bookmarkStart w:id="338" w:name="_fnr206"/>
      <w:r>
        <w:rPr>
          <w:rStyle w:val="a5"/>
        </w:rPr>
        <w:footnoteReference w:id="206" w:customMarkFollows="0"/>
      </w:r>
      <w:bookmarkEnd w:id="338"/>
      <w:r>
        <w:rPr>
          <w:rtl/>
        </w:rPr>
        <w:t xml:space="preserve">. מעניין שיהודי ליטא למדו תורה תמיד בבתי המדרש, ולא עלה על דעתם ללמוד תורה לבדם בבית. דבר זה נזכר בכל כתבי </w:t>
      </w:r>
      <w:proofErr w:type="spellStart"/>
      <w:r>
        <w:rPr>
          <w:rtl/>
        </w:rPr>
        <w:t>ח״ח</w:t>
      </w:r>
      <w:proofErr w:type="spellEnd"/>
      <w:r>
        <w:rPr>
          <w:rtl/>
        </w:rPr>
        <w:t>, ושם נאמר</w:t>
      </w:r>
      <w:bookmarkStart w:id="339" w:name="_fnr207"/>
      <w:r>
        <w:rPr>
          <w:rStyle w:val="a5"/>
        </w:rPr>
        <w:footnoteReference w:id="207" w:customMarkFollows="0"/>
      </w:r>
      <w:bookmarkEnd w:id="339"/>
      <w:r>
        <w:rPr>
          <w:rtl/>
        </w:rPr>
        <w:t xml:space="preserve">: “אחינו בני ליטא רגילים ללמוד בבית המדרש בחבורות אחרי תפילת שחרית, אם דף גמרא ואם פרק משניות – וכן אחרי מנחה. אבל חובת תלמוד תורה אינה עולה על דעתם כלל כשהם יושבים בביתם כל היום וכל הלילה”. כדי לתקן תפיסה זו הוציא </w:t>
      </w:r>
      <w:proofErr w:type="spellStart"/>
      <w:r>
        <w:rPr>
          <w:rtl/>
        </w:rPr>
        <w:t>החפץ־חיים</w:t>
      </w:r>
      <w:proofErr w:type="spellEnd"/>
      <w:r>
        <w:rPr>
          <w:rtl/>
        </w:rPr>
        <w:t xml:space="preserve"> חוברת בשם “תורת הבית” בשנת תרס״ז</w:t>
      </w:r>
      <w:bookmarkStart w:id="340" w:name="_fnr208"/>
      <w:r>
        <w:rPr>
          <w:rStyle w:val="a5"/>
        </w:rPr>
        <w:footnoteReference w:id="208" w:customMarkFollows="0"/>
      </w:r>
      <w:bookmarkEnd w:id="340"/>
      <w:r>
        <w:rPr>
          <w:rtl/>
        </w:rPr>
        <w:t>.</w:t>
      </w:r>
    </w:p>
    <w:p w14:paraId="4DB61FCA" w14:textId="77777777" w:rsidR="00AB3647" w:rsidRDefault="00000000" w:rsidP="007923E9">
      <w:pPr>
        <w:spacing w:before="120" w:after="100" w:line="276" w:lineRule="auto"/>
        <w:jc w:val="both"/>
      </w:pPr>
      <w:r>
        <w:rPr>
          <w:rtl/>
        </w:rPr>
        <w:t>מסתבר שתפיסה מוטעית זו נולדה מתנאי המגורים ברוב הבתים: הם לא היו נוחים ללימוד, ואף היה צורך באמצעי היגיינה מיוחדים לפני שהותר לומר בהם דבר שבקדושה. אבי שיער שמצב זה עמד גם מאחורי הנטייה לערוך את ברית המילה בבית הכנסת ולא בבית, שבו שכבה בדרך כלל היולדת.</w:t>
      </w:r>
    </w:p>
    <w:p w14:paraId="5EEE6092" w14:textId="16B54EF0" w:rsidR="00AB3647" w:rsidRDefault="00000000" w:rsidP="007923E9">
      <w:pPr>
        <w:spacing w:before="120" w:after="100" w:line="276" w:lineRule="auto"/>
        <w:jc w:val="both"/>
      </w:pPr>
      <w:r>
        <w:rPr>
          <w:rtl/>
        </w:rPr>
        <w:t xml:space="preserve">השווה גם פרק 3, הפסקה השלישית של </w:t>
      </w:r>
      <w:r>
        <w:rPr>
          <w:rtl/>
        </w:rPr>
        <w:fldChar w:fldCharType="begin" w:dirty="true"/>
      </w:r>
      <w:r>
        <w:rPr>
          <w:rtl/>
        </w:rPr>
        <w:instrText xml:space="preserve"> REF b3_excZ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כו</w:t>
      </w:r>
      <w:proofErr w:type="spellEnd"/>
      <w:r>
        <w:rPr>
          <w:rtl/>
        </w:rPr>
        <w:fldChar w:fldCharType="end"/>
      </w:r>
      <w:r>
        <w:rPr>
          <w:rtl/>
        </w:rPr>
        <w:t>: לדברי רבנו, המנהג שלא ללמוד תורה בליל ניטל התבסס על המציאות שבה למדו רק בבתי המדרש ולא בבית. כשאסרו על היהודים לצאת לרחוב באותו לילה מסוכן, הורו הרבנים לבני קהילתם שלא ללכת לבית המדרש, וממילא – שלא ללמוד כלל.</w:t>
      </w:r>
    </w:p>
    <w:bookmarkStart w:id="341" w:name="b1_note50"/>
    <w:p w14:paraId="79FBB939" w14:textId="77777777" w:rsidR="00AB3647" w:rsidRDefault="00000000" w:rsidP="007923E9">
      <w:pPr>
        <w:spacing w:before="120" w:after="100" w:line="276" w:lineRule="auto"/>
        <w:jc w:val="both"/>
      </w:pPr>
      <w:r>
        <w:fldChar w:fldCharType="begin" w:dirty="true"/>
      </w:r>
      <w:r>
        <w:instrText>HYPERLINK \l "b1_ref50"</w:instrText>
      </w:r>
      <w:r>
        <w:fldChar w:fldCharType="separate"/>
      </w:r>
      <w:r>
        <w:rPr>
          <w:b/>
          <w:bCs/>
          <w:rtl/>
        </w:rPr>
        <w:t>50</w:t>
      </w:r>
      <w:r>
        <w:rPr>
          <w:b/>
          <w:bCs/>
        </w:rPr>
        <w:fldChar w:fldCharType="end"/>
      </w:r>
      <w:bookmarkEnd w:id="341"/>
      <w:r>
        <w:rPr>
          <w:rtl/>
        </w:rPr>
        <w:t xml:space="preserve"> “אש תמיד”</w:t>
      </w:r>
      <w:bookmarkStart w:id="342" w:name="_fnr209"/>
      <w:r>
        <w:rPr>
          <w:rStyle w:val="a5"/>
        </w:rPr>
        <w:footnoteReference w:id="209" w:customMarkFollows="0"/>
      </w:r>
      <w:bookmarkEnd w:id="342"/>
      <w:r>
        <w:rPr>
          <w:rtl/>
        </w:rPr>
        <w:t>.</w:t>
      </w:r>
    </w:p>
    <w:bookmarkStart w:id="343" w:name="b1_note51"/>
    <w:p w14:paraId="48FDA708" w14:textId="77777777" w:rsidR="00AB3647" w:rsidRDefault="00000000" w:rsidP="007923E9">
      <w:pPr>
        <w:spacing w:before="120" w:after="100" w:line="276" w:lineRule="auto"/>
        <w:jc w:val="both"/>
      </w:pPr>
      <w:r>
        <w:fldChar w:fldCharType="begin" w:dirty="true"/>
      </w:r>
      <w:r>
        <w:instrText>HYPERLINK \l "b1_ref51"</w:instrText>
      </w:r>
      <w:r>
        <w:fldChar w:fldCharType="separate"/>
      </w:r>
      <w:r>
        <w:rPr>
          <w:b/>
          <w:bCs/>
          <w:rtl/>
        </w:rPr>
        <w:t>51</w:t>
      </w:r>
      <w:r>
        <w:rPr>
          <w:b/>
          <w:bCs/>
        </w:rPr>
        <w:fldChar w:fldCharType="end"/>
      </w:r>
      <w:bookmarkEnd w:id="343"/>
      <w:r>
        <w:rPr>
          <w:rtl/>
        </w:rPr>
        <w:t xml:space="preserve"> ר׳ יהושע </w:t>
      </w:r>
      <w:proofErr w:type="spellStart"/>
      <w:r>
        <w:rPr>
          <w:rtl/>
        </w:rPr>
        <w:t>גולובנצ׳יץ</w:t>
      </w:r>
      <w:bookmarkStart w:id="344" w:name="_fnr210"/>
      <w:proofErr w:type="spellEnd"/>
      <w:r>
        <w:rPr>
          <w:rStyle w:val="a5"/>
        </w:rPr>
        <w:footnoteReference w:id="210" w:customMarkFollows="0"/>
      </w:r>
      <w:bookmarkEnd w:id="344"/>
      <w:r>
        <w:rPr>
          <w:rtl/>
        </w:rPr>
        <w:t xml:space="preserve"> תיאר</w:t>
      </w:r>
      <w:bookmarkStart w:id="345" w:name="_fnr211"/>
      <w:r>
        <w:rPr>
          <w:rStyle w:val="a5"/>
        </w:rPr>
        <w:footnoteReference w:id="211" w:customMarkFollows="0"/>
      </w:r>
      <w:bookmarkEnd w:id="345"/>
      <w:r>
        <w:rPr>
          <w:rtl/>
        </w:rPr>
        <w:t xml:space="preserve"> כיצד ברח בגיל </w:t>
      </w:r>
      <w:proofErr w:type="spellStart"/>
      <w:r>
        <w:rPr>
          <w:rtl/>
        </w:rPr>
        <w:t>שלוש־עשרה</w:t>
      </w:r>
      <w:proofErr w:type="spellEnd"/>
      <w:r>
        <w:rPr>
          <w:rtl/>
        </w:rPr>
        <w:t xml:space="preserve">, בשנת תרפ״ג, מבלארוס הסובייטית אל מעבר לגבול פולין, </w:t>
      </w:r>
      <w:proofErr w:type="spellStart"/>
      <w:r>
        <w:rPr>
          <w:rtl/>
        </w:rPr>
        <w:t>לדולהינוב</w:t>
      </w:r>
      <w:bookmarkStart w:id="346" w:name="_fnr212"/>
      <w:proofErr w:type="spellEnd"/>
      <w:r>
        <w:rPr>
          <w:rStyle w:val="a5"/>
        </w:rPr>
        <w:footnoteReference w:id="212" w:customMarkFollows="0"/>
      </w:r>
      <w:bookmarkEnd w:id="346"/>
      <w:r>
        <w:rPr>
          <w:rtl/>
        </w:rPr>
        <w:t xml:space="preserve">. “כשהלכתי ברחוב הראשי של העיירה, הוציאו אנשים את ראשיהם מן החלונות שוב ושוב וקראו: ‘היה אורח </w:t>
      </w:r>
      <w:r>
        <w:rPr>
          <w:b/>
          <w:bCs/>
          <w:rtl/>
        </w:rPr>
        <w:t>שלי</w:t>
      </w:r>
      <w:r>
        <w:rPr>
          <w:rtl/>
        </w:rPr>
        <w:t xml:space="preserve">!’ ‘היה אורח </w:t>
      </w:r>
      <w:r>
        <w:rPr>
          <w:b/>
          <w:bCs/>
          <w:rtl/>
        </w:rPr>
        <w:t>שלי</w:t>
      </w:r>
      <w:r>
        <w:rPr>
          <w:rtl/>
        </w:rPr>
        <w:t xml:space="preserve">!’”, סיפר. “הם החליפו את בגדיי המרופשים, שבהם שירכתי רגליים בפלגים רדודים וביערות עבותים, וגם נתנו לי כסף להמשיך בדרכי לווילנה, יעדי, שם קיוויתי להתקבל לישיבה”.</w:t>
      </w:r>
    </w:p>
    <w:p w14:paraId="45FDCA54" w14:textId="1A169C5C"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השבת הייתה </w:t>
      </w:r>
      <w:proofErr w:type="spellStart"/>
      <w:r>
        <w:rPr>
          <w:rtl/>
        </w:rPr>
        <w:t>בדולהינוב</w:t>
      </w:r>
      <w:proofErr w:type="spellEnd"/>
      <w:r>
        <w:rPr>
          <w:rtl/>
        </w:rPr>
        <w:t xml:space="preserve"> יום של תלמוד תורה. כבר שעתיים לפני כניסת השבת היו בתי המדרש מלאים אנשים, כל אחד לומד את חלק התורה שמשך את לבו</w:t>
      </w:r>
      <w:bookmarkStart w:id="347" w:name="b1_ref52"/>
      <w:bookmarkEnd w:id="347"/>
      <w:r>
        <w:rPr>
          <w:vertAlign w:val="superscript"/>
          <w:rtl/>
        </w:rPr>
        <w:fldChar w:fldCharType="begin" w:dirty="true"/>
      </w:r>
      <w:r>
        <w:rPr>
          <w:vertAlign w:val="superscript"/>
          <w:rtl/>
        </w:rPr>
        <w:instrText xml:space="preserve"> REF b1_note52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52</w:t>
      </w:r>
      <w:r>
        <w:rPr>
          <w:vertAlign w:val="superscript"/>
          <w:rtl/>
        </w:rPr>
        <w:fldChar w:fldCharType="end"/>
      </w:r>
      <w:r>
        <w:rPr>
          <w:rtl/>
        </w:rPr>
        <w:t xml:space="preserve">. בלילות שבת היה אבי קם בשעה שתיים כדי ללוות את אביו לבית הכנסת, שהיה מלא בעלי בתים הלומדים תורה עד </w:t>
      </w:r>
      <w:r>
        <w:rPr>
          <w:rtl/>
        </w:rPr>
        <w:lastRenderedPageBreak/>
        <w:t>זמן התפילה. מעטים למדו לבדם: בדרך כלל היו מאורגנים בחבורות לימוד בהנהגת תלמידי חכמים מבעלי הבתים. חבורה אחת למדה את פרשת השבוע עם פירוש האלשיך הקדוש, אחרת – “חיי אדם”, אחרת – משניות, ועוד אחת למדה גמרא</w:t>
      </w:r>
      <w:bookmarkStart w:id="348" w:name="b1_ref53"/>
      <w:bookmarkEnd w:id="348"/>
      <w:r>
        <w:rPr>
          <w:vertAlign w:val="superscript"/>
          <w:rtl/>
        </w:rPr>
        <w:fldChar w:fldCharType="begin" w:dirty="true"/>
      </w:r>
      <w:r>
        <w:rPr>
          <w:vertAlign w:val="superscript"/>
          <w:rtl/>
        </w:rPr>
        <w:instrText xml:space="preserve"> REF b1_note53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53</w:t>
      </w:r>
      <w:r>
        <w:rPr>
          <w:vertAlign w:val="superscript"/>
          <w:rtl/>
        </w:rPr>
        <w:fldChar w:fldCharType="end"/>
      </w:r>
      <w:r>
        <w:rPr>
          <w:rtl/>
        </w:rPr>
        <w:t>.</w:t>
      </w:r>
    </w:p>
    <w:bookmarkStart w:id="349" w:name="b1_note52"/>
    <w:p w14:paraId="3447CBFD" w14:textId="77777777" w:rsidR="00AB3647" w:rsidRDefault="00000000" w:rsidP="007923E9">
      <w:pPr>
        <w:spacing w:before="120" w:after="100" w:line="276" w:lineRule="auto"/>
        <w:jc w:val="both"/>
      </w:pPr>
      <w:r>
        <w:fldChar w:fldCharType="begin" w:dirty="true"/>
      </w:r>
      <w:r>
        <w:instrText>HYPERLINK \l "b1_ref52"</w:instrText>
      </w:r>
      <w:r>
        <w:fldChar w:fldCharType="separate"/>
      </w:r>
      <w:r>
        <w:rPr>
          <w:b/>
          <w:bCs/>
          <w:rtl/>
        </w:rPr>
        <w:t>52</w:t>
      </w:r>
      <w:r>
        <w:rPr>
          <w:b/>
          <w:bCs/>
        </w:rPr>
        <w:fldChar w:fldCharType="end"/>
      </w:r>
      <w:bookmarkEnd w:id="349"/>
      <w:r>
        <w:rPr>
          <w:rtl/>
        </w:rPr>
        <w:t xml:space="preserve"> ר׳ מנחם אדלר</w:t>
      </w:r>
      <w:bookmarkStart w:id="350" w:name="_fnr213"/>
      <w:r>
        <w:rPr>
          <w:rStyle w:val="a5"/>
        </w:rPr>
        <w:footnoteReference w:id="213" w:customMarkFollows="0"/>
      </w:r>
      <w:bookmarkEnd w:id="350"/>
      <w:r>
        <w:rPr>
          <w:rtl/>
        </w:rPr>
        <w:t xml:space="preserve"> בשם אבי.</w:t>
      </w:r>
    </w:p>
    <w:bookmarkStart w:id="351" w:name="b1_note53"/>
    <w:p w14:paraId="416969B9" w14:textId="7079248D" w:rsidR="00AB3647" w:rsidRDefault="00000000" w:rsidP="007923E9">
      <w:pPr>
        <w:spacing w:before="120" w:after="100" w:line="276" w:lineRule="auto"/>
        <w:jc w:val="both"/>
      </w:pPr>
      <w:r>
        <w:fldChar w:fldCharType="begin" w:dirty="true"/>
      </w:r>
      <w:r>
        <w:instrText>HYPERLINK \l "b1_ref53"</w:instrText>
      </w:r>
      <w:r>
        <w:fldChar w:fldCharType="separate"/>
      </w:r>
      <w:r>
        <w:rPr>
          <w:b/>
          <w:bCs/>
          <w:rtl/>
        </w:rPr>
        <w:t>53</w:t>
      </w:r>
      <w:r>
        <w:rPr>
          <w:b/>
          <w:bCs/>
        </w:rPr>
        <w:fldChar w:fldCharType="end"/>
      </w:r>
      <w:bookmarkEnd w:id="351"/>
      <w:r>
        <w:rPr>
          <w:rtl/>
        </w:rPr>
        <w:t xml:space="preserve"> ראה </w:t>
      </w:r>
      <w:r>
        <w:rPr>
          <w:rtl/>
        </w:rPr>
        <w:fldChar w:fldCharType="begin" w:dirty="true"/>
      </w:r>
      <w:r>
        <w:rPr>
          <w:rtl/>
        </w:rPr>
        <w:instrText xml:space="preserve"> REF b1_excC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ג</w:t>
      </w:r>
      <w:r>
        <w:rPr>
          <w:rtl/>
        </w:rPr>
        <w:fldChar w:fldCharType="end"/>
      </w:r>
      <w:r>
        <w:rPr>
          <w:rtl/>
        </w:rPr>
        <w:t>.</w:t>
      </w:r>
    </w:p>
    <w:p w14:paraId="0409BC9F" w14:textId="727C18BA"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בבית משפחת קמינצקי</w:t>
      </w:r>
      <w:bookmarkStart w:id="352" w:name="b1_ref54"/>
      <w:bookmarkEnd w:id="352"/>
      <w:r>
        <w:rPr>
          <w:vertAlign w:val="superscript"/>
          <w:rtl/>
        </w:rPr>
        <w:fldChar w:fldCharType="begin" w:dirty="true"/>
      </w:r>
      <w:r>
        <w:rPr>
          <w:vertAlign w:val="superscript"/>
          <w:rtl/>
        </w:rPr>
        <w:instrText xml:space="preserve"> REF b1_note54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54</w:t>
      </w:r>
      <w:r>
        <w:rPr>
          <w:vertAlign w:val="superscript"/>
          <w:rtl/>
        </w:rPr>
        <w:fldChar w:fldCharType="end"/>
      </w:r>
      <w:r>
        <w:rPr>
          <w:rtl/>
        </w:rPr>
        <w:t xml:space="preserve"> נתנה עטיל את הטון ללימוד התורה</w:t>
      </w:r>
      <w:proofErr w:type="spellStart"/>
      <w:r>
        <w:rPr>
          <w:rtl/>
        </w:rPr>
        <w:t xml:space="preserve"/>
      </w:r>
      <w:proofErr w:type="spellEnd"/>
      <w:r>
        <w:rPr>
          <w:rtl/>
        </w:rPr>
        <w:t xml:space="preserve">: בשבתות אחר הצהריים קראה בקול מתוך </w:t>
      </w:r>
      <w:proofErr w:type="spellStart"/>
      <w:r>
        <w:rPr>
          <w:rtl/>
        </w:rPr>
        <w:t>ה“צאינה</w:t>
      </w:r>
      <w:proofErr w:type="spellEnd"/>
      <w:r>
        <w:rPr>
          <w:rtl/>
        </w:rPr>
        <w:t xml:space="preserve"> וראינה” שביידיש על פרשת השבוע, לפני הילדים ולפני נשים שונות שבאו להתארח.</w:t>
      </w:r>
    </w:p>
    <w:bookmarkStart w:id="353" w:name="b1_note54"/>
    <w:p w14:paraId="0495CE25" w14:textId="1DCD79CE" w:rsidR="00AB3647" w:rsidRDefault="00000000" w:rsidP="007923E9">
      <w:pPr>
        <w:spacing w:before="120" w:after="100" w:line="276" w:lineRule="auto"/>
        <w:jc w:val="both"/>
      </w:pPr>
      <w:r>
        <w:fldChar w:fldCharType="begin" w:dirty="true"/>
      </w:r>
      <w:r>
        <w:instrText>HYPERLINK \l "b1_ref54"</w:instrText>
      </w:r>
      <w:r>
        <w:fldChar w:fldCharType="separate"/>
      </w:r>
      <w:r>
        <w:rPr>
          <w:b/>
          <w:bCs/>
          <w:rtl/>
        </w:rPr>
        <w:t>54</w:t>
      </w:r>
      <w:r>
        <w:rPr>
          <w:b/>
          <w:bCs/>
        </w:rPr>
        <w:fldChar w:fldCharType="end"/>
      </w:r>
      <w:bookmarkEnd w:id="353"/>
      <w:r>
        <w:rPr>
          <w:rtl/>
        </w:rPr>
        <w:t xml:space="preserve"> ראה </w:t>
      </w:r>
      <w:r>
        <w:rPr>
          <w:rtl/>
        </w:rPr>
        <w:fldChar w:fldCharType="begin" w:dirty="true"/>
      </w:r>
      <w:r>
        <w:rPr>
          <w:rtl/>
        </w:rPr>
        <w:instrText xml:space="preserve"> REF b1_excD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ד</w:t>
      </w:r>
      <w:r>
        <w:rPr>
          <w:rtl/>
        </w:rPr>
        <w:fldChar w:fldCharType="end"/>
      </w:r>
      <w:r>
        <w:rPr>
          <w:rtl/>
        </w:rPr>
        <w:t>.</w:t>
      </w:r>
    </w:p>
    <w:p w14:paraId="021225A1" w14:textId="6EC68C6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בימי שהותם הקצרה של הוריו </w:t>
      </w:r>
      <w:proofErr w:type="spellStart"/>
      <w:r>
        <w:rPr>
          <w:rtl/>
        </w:rPr>
        <w:t>בחטאייביץ</w:t>
      </w:r>
      <w:proofErr w:type="spellEnd"/>
      <w:r>
        <w:rPr>
          <w:rtl/>
        </w:rPr>
        <w:t>׳ היה בחור ישיבה “אוכל ימים”</w:t>
      </w:r>
      <w:bookmarkStart w:id="354" w:name="b1_ref55"/>
      <w:bookmarkEnd w:id="354"/>
      <w:r>
        <w:rPr>
          <w:vertAlign w:val="superscript"/>
          <w:rtl/>
        </w:rPr>
        <w:fldChar w:fldCharType="begin" w:dirty="true"/>
      </w:r>
      <w:r>
        <w:rPr>
          <w:vertAlign w:val="superscript"/>
          <w:rtl/>
        </w:rPr>
        <w:instrText xml:space="preserve"> REF b1_note55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55</w:t>
      </w:r>
      <w:r>
        <w:rPr>
          <w:vertAlign w:val="superscript"/>
          <w:rtl/>
        </w:rPr>
        <w:fldChar w:fldCharType="end"/>
      </w:r>
      <w:r>
        <w:rPr>
          <w:rtl/>
        </w:rPr>
        <w:t xml:space="preserve"> בביתם, והוא לימד את אבי את הגיית אותיות </w:t>
      </w:r>
      <w:proofErr w:type="spellStart"/>
      <w:r>
        <w:rPr>
          <w:rtl/>
        </w:rPr>
        <w:t>האלף־בית</w:t>
      </w:r>
      <w:proofErr w:type="spellEnd"/>
      <w:r>
        <w:rPr>
          <w:rtl/>
        </w:rPr>
        <w:t xml:space="preserve"> ואת סימני הניקוד. </w:t>
      </w:r>
      <w:proofErr w:type="spellStart"/>
      <w:r>
        <w:rPr>
          <w:rtl/>
        </w:rPr>
        <w:t>אמו</w:t>
      </w:r>
      <w:proofErr w:type="spellEnd"/>
      <w:r>
        <w:rPr>
          <w:rtl/>
        </w:rPr>
        <w:t>, אישה שלמדה בכוחות עצמה, עודדה אז את בנה הקטן לגלות בעצמו כיצד מצרפים את ההגאים זה לזה. כשהתחיל ללמוד כסדרו בחדר שבעיירה, הפתיע את מלמדו כשגילה לו שלימד את עצמו לקרוא, ובזכות זה זכה לתשומת לב מיוחדת מצד המלמד.</w:t>
      </w:r>
    </w:p>
    <w:bookmarkStart w:id="355" w:name="b1_note55"/>
    <w:p w14:paraId="0D3A5035" w14:textId="520550F0" w:rsidR="00AB3647" w:rsidRDefault="00000000" w:rsidP="007923E9">
      <w:pPr>
        <w:spacing w:before="120" w:after="100" w:line="276" w:lineRule="auto"/>
        <w:jc w:val="both"/>
      </w:pPr>
      <w:r>
        <w:fldChar w:fldCharType="begin" w:dirty="true"/>
      </w:r>
      <w:r>
        <w:instrText>HYPERLINK \l "b1_ref55"</w:instrText>
      </w:r>
      <w:r>
        <w:fldChar w:fldCharType="separate"/>
      </w:r>
      <w:r>
        <w:rPr>
          <w:b/>
          <w:bCs/>
          <w:rtl/>
        </w:rPr>
        <w:t>55</w:t>
      </w:r>
      <w:r>
        <w:rPr>
          <w:b/>
          <w:bCs/>
        </w:rPr>
        <w:fldChar w:fldCharType="end"/>
      </w:r>
      <w:bookmarkEnd w:id="355"/>
      <w:r>
        <w:rPr>
          <w:rtl/>
        </w:rPr>
        <w:t xml:space="preserve"> השווה הערה </w:t>
      </w:r>
      <w:r>
        <w:rPr>
          <w:rtl/>
        </w:rPr>
        <w:fldChar w:fldCharType="begin" w:dirty="true"/>
      </w:r>
      <w:r>
        <w:rPr>
          <w:rtl/>
        </w:rPr>
        <w:instrText xml:space="preserve"> REF b1_note99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99</w:t>
      </w:r>
      <w:r>
        <w:rPr>
          <w:rtl/>
        </w:rPr>
        <w:fldChar w:fldCharType="end"/>
      </w:r>
      <w:r>
        <w:rPr>
          <w:rtl/>
        </w:rPr>
        <w:t xml:space="preserve"> להלן. </w:t>
      </w:r>
      <w:proofErr w:type="spellStart"/>
      <w:r>
        <w:rPr>
          <w:rtl/>
        </w:rPr>
        <w:t>חטאייביץ</w:t>
      </w:r>
      <w:proofErr w:type="spellEnd"/>
      <w:r>
        <w:rPr>
          <w:rtl/>
        </w:rPr>
        <w:t xml:space="preserve">׳ הייתה עיירה קטנה. לא היה זה דבר נדיר שילדים בני שמונה או תשע שהגיעו לדרגת לימוד גמרא נשלחו מבית הוריהם לקהילה יהודית גדולה יותר, שהיה בה חדר של גמרא. לכן יש להניח שבחור הישיבה היה נער צעיר בגיל זה. ארבעים שנה אחר כך נשלחו גם אחיי הגדולים מביתנו </w:t>
      </w:r>
      <w:proofErr w:type="spellStart"/>
      <w:r>
        <w:rPr>
          <w:rtl/>
        </w:rPr>
        <w:t>בציטוביאן</w:t>
      </w:r>
      <w:proofErr w:type="spellEnd"/>
      <w:r>
        <w:rPr>
          <w:rtl/>
        </w:rPr>
        <w:t>, באותו גיל רך, לעיירות שבהן “אכלו ימים”.</w:t>
      </w:r>
    </w:p>
    <w:p w14:paraId="1123B602" w14:textId="2CF16B8E"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אחר כך הציק אבי לאחיו הגדול, </w:t>
      </w:r>
      <w:proofErr w:type="spellStart"/>
      <w:r>
        <w:rPr>
          <w:rtl/>
        </w:rPr>
        <w:t>חיים־זרח</w:t>
      </w:r>
      <w:proofErr w:type="spellEnd"/>
      <w:r>
        <w:rPr>
          <w:rtl/>
        </w:rPr>
        <w:t>, שכבר למד חומש, שילמד אותו את החומר המתקדם יותר, והוא קלט את החומר בקלות. לאחר שהתפאר לפני מלמדו שהוא כבר יודע חומש, נבחן הילד המחונן והועלה לשלב הלימוד הגבוה יותר</w:t>
      </w:r>
      <w:bookmarkStart w:id="356" w:name="b1_ref56"/>
      <w:bookmarkEnd w:id="356"/>
      <w:r>
        <w:rPr>
          <w:vertAlign w:val="superscript"/>
          <w:rtl/>
        </w:rPr>
        <w:fldChar w:fldCharType="begin" w:dirty="true"/>
      </w:r>
      <w:r>
        <w:rPr>
          <w:vertAlign w:val="superscript"/>
          <w:rtl/>
        </w:rPr>
        <w:instrText xml:space="preserve"> REF b1_note56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56</w:t>
      </w:r>
      <w:r>
        <w:rPr>
          <w:vertAlign w:val="superscript"/>
          <w:rtl/>
        </w:rPr>
        <w:fldChar w:fldCharType="end"/>
      </w:r>
      <w:r>
        <w:rPr>
          <w:rtl/>
        </w:rPr>
        <w:t>. לאחר המעבר לדולהינוב</w:t>
      </w:r>
      <w:bookmarkStart w:id="357" w:name="b1_ref57"/>
      <w:bookmarkEnd w:id="357"/>
      <w:r>
        <w:rPr>
          <w:vertAlign w:val="superscript"/>
          <w:rtl/>
        </w:rPr>
        <w:fldChar w:fldCharType="begin" w:dirty="true"/>
      </w:r>
      <w:r>
        <w:rPr>
          <w:vertAlign w:val="superscript"/>
          <w:rtl/>
        </w:rPr>
        <w:instrText xml:space="preserve"> REF b1_note57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57</w:t>
      </w:r>
      <w:r>
        <w:rPr>
          <w:vertAlign w:val="superscript"/>
          <w:rtl/>
        </w:rPr>
        <w:fldChar w:fldCharType="end"/>
      </w:r>
      <w:r>
        <w:rPr>
          <w:rtl/>
        </w:rPr>
        <w:t xml:space="preserve"> נרשם לחדר פרטי, ושם למד חומש</w:t>
      </w:r>
      <w:bookmarkStart w:id="358" w:name="b1_ref58"/>
      <w:bookmarkEnd w:id="358"/>
      <w:r>
        <w:rPr>
          <w:vertAlign w:val="superscript"/>
          <w:rtl/>
        </w:rPr>
        <w:fldChar w:fldCharType="begin" w:dirty="true"/>
      </w:r>
      <w:r>
        <w:rPr>
          <w:vertAlign w:val="superscript"/>
          <w:rtl/>
        </w:rPr>
        <w:instrText xml:space="preserve"> REF b1_note58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58</w:t>
      </w:r>
      <w:r>
        <w:rPr>
          <w:vertAlign w:val="superscript"/>
          <w:rtl/>
        </w:rPr>
        <w:fldChar w:fldCharType="end"/>
      </w:r>
      <w:r>
        <w:rPr>
          <w:rtl/>
        </w:rPr>
        <w:t xml:space="preserve"> ונביא</w:t>
      </w:r>
      <w:bookmarkStart w:id="359" w:name="b1_ref59"/>
      <w:bookmarkEnd w:id="359"/>
      <w:r>
        <w:rPr>
          <w:vertAlign w:val="superscript"/>
          <w:rtl/>
        </w:rPr>
        <w:fldChar w:fldCharType="begin" w:dirty="true"/>
      </w:r>
      <w:r>
        <w:rPr>
          <w:vertAlign w:val="superscript"/>
          <w:rtl/>
        </w:rPr>
        <w:instrText xml:space="preserve"> REF b1_note59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59</w:t>
      </w:r>
      <w:r>
        <w:rPr>
          <w:vertAlign w:val="superscript"/>
          <w:rtl/>
        </w:rPr>
        <w:fldChar w:fldCharType="end"/>
      </w:r>
      <w:r>
        <w:rPr>
          <w:rtl/>
        </w:rPr>
        <w:t xml:space="preserve"> והגיע לראשית לימוד הגמרא</w:t>
      </w:r>
      <w:bookmarkStart w:id="360" w:name="b1_ref60"/>
      <w:bookmarkEnd w:id="360"/>
      <w:r>
        <w:rPr>
          <w:vertAlign w:val="superscript"/>
          <w:rtl/>
        </w:rPr>
        <w:fldChar w:fldCharType="begin" w:dirty="true"/>
      </w:r>
      <w:r>
        <w:rPr>
          <w:vertAlign w:val="superscript"/>
          <w:rtl/>
        </w:rPr>
        <w:instrText xml:space="preserve"> REF b1_note60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60</w:t>
      </w:r>
      <w:r>
        <w:rPr>
          <w:vertAlign w:val="superscript"/>
          <w:rtl/>
        </w:rPr>
        <w:fldChar w:fldCharType="end"/>
      </w:r>
      <w:r>
        <w:rPr>
          <w:rtl/>
        </w:rPr>
        <w:t xml:space="preserve">. כשהיה רק בן שמונה הצטרף לישיבה הקטנה שבעיירה, שבה למדו גמרא בלבד, ועד גיל עשר כבר היה לומד פרקים שלמים בתלמוד. בחורף שבו מלאו לו </w:t>
      </w:r>
      <w:proofErr w:type="spellStart"/>
      <w:r>
        <w:rPr>
          <w:rtl/>
        </w:rPr>
        <w:t>אחת־עשרה</w:t>
      </w:r>
      <w:proofErr w:type="spellEnd"/>
      <w:r>
        <w:rPr>
          <w:rtl/>
        </w:rPr>
        <w:t xml:space="preserve"> שנה למד את כל מסכת קידושין</w:t>
      </w:r>
      <w:bookmarkStart w:id="361" w:name="b1_ref61"/>
      <w:bookmarkEnd w:id="361"/>
      <w:r>
        <w:rPr>
          <w:vertAlign w:val="superscript"/>
          <w:rtl/>
        </w:rPr>
        <w:fldChar w:fldCharType="begin" w:dirty="true"/>
      </w:r>
      <w:r>
        <w:rPr>
          <w:vertAlign w:val="superscript"/>
          <w:rtl/>
        </w:rPr>
        <w:instrText xml:space="preserve"> REF b1_note61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61</w:t>
      </w:r>
      <w:r>
        <w:rPr>
          <w:vertAlign w:val="superscript"/>
          <w:rtl/>
        </w:rPr>
        <w:fldChar w:fldCharType="end"/>
      </w:r>
      <w:r>
        <w:rPr>
          <w:rtl/>
        </w:rPr>
        <w:t>.</w:t>
      </w:r>
    </w:p>
    <w:bookmarkStart w:id="362" w:name="b1_note56"/>
    <w:p w14:paraId="220A3067" w14:textId="77777777" w:rsidR="00AB3647" w:rsidRDefault="00000000" w:rsidP="007923E9">
      <w:pPr>
        <w:spacing w:before="120" w:after="100" w:line="276" w:lineRule="auto"/>
        <w:jc w:val="both"/>
      </w:pPr>
      <w:r>
        <w:fldChar w:fldCharType="begin" w:dirty="true"/>
      </w:r>
      <w:r>
        <w:instrText>HYPERLINK \l "b1_ref56"</w:instrText>
      </w:r>
      <w:r>
        <w:fldChar w:fldCharType="separate"/>
      </w:r>
      <w:r>
        <w:rPr>
          <w:b/>
          <w:bCs/>
          <w:rtl/>
        </w:rPr>
        <w:t>56</w:t>
      </w:r>
      <w:r>
        <w:rPr>
          <w:b/>
          <w:bCs/>
        </w:rPr>
        <w:fldChar w:fldCharType="end"/>
      </w:r>
      <w:bookmarkEnd w:id="362"/>
      <w:r>
        <w:rPr>
          <w:rtl/>
        </w:rPr>
        <w:t xml:space="preserve"> ר׳ ישעיה שכטר</w:t>
      </w:r>
      <w:bookmarkStart w:id="363" w:name="_fnr214"/>
      <w:r>
        <w:rPr>
          <w:rStyle w:val="a5"/>
        </w:rPr>
        <w:footnoteReference w:id="214" w:customMarkFollows="0"/>
      </w:r>
      <w:bookmarkEnd w:id="363"/>
      <w:r>
        <w:rPr>
          <w:rtl/>
        </w:rPr>
        <w:t>.</w:t>
      </w:r>
    </w:p>
    <w:bookmarkStart w:id="364" w:name="b1_note57"/>
    <w:p w14:paraId="7BEFA729" w14:textId="77777777" w:rsidR="00AB3647" w:rsidRDefault="00000000" w:rsidP="007923E9">
      <w:pPr>
        <w:spacing w:before="120" w:after="100" w:line="276" w:lineRule="auto"/>
        <w:jc w:val="both"/>
      </w:pPr>
      <w:r>
        <w:lastRenderedPageBreak/>
        <w:fldChar w:fldCharType="begin" w:dirty="true"/>
      </w:r>
      <w:r>
        <w:instrText>HYPERLINK \l "b1_ref57"</w:instrText>
      </w:r>
      <w:r>
        <w:fldChar w:fldCharType="separate"/>
      </w:r>
      <w:r>
        <w:rPr>
          <w:b/>
          <w:bCs/>
          <w:rtl/>
        </w:rPr>
        <w:t>57</w:t>
      </w:r>
      <w:r>
        <w:rPr>
          <w:b/>
          <w:bCs/>
        </w:rPr>
        <w:fldChar w:fldCharType="end"/>
      </w:r>
      <w:bookmarkEnd w:id="364"/>
      <w:r>
        <w:rPr>
          <w:rtl/>
        </w:rPr>
        <w:t xml:space="preserve"> לדברי ר׳ </w:t>
      </w:r>
      <w:proofErr w:type="spellStart"/>
      <w:r>
        <w:rPr>
          <w:rtl/>
        </w:rPr>
        <w:t>לייבל</w:t>
      </w:r>
      <w:proofErr w:type="spellEnd"/>
      <w:r>
        <w:rPr>
          <w:rtl/>
        </w:rPr>
        <w:t xml:space="preserve"> </w:t>
      </w:r>
      <w:proofErr w:type="spellStart"/>
      <w:r>
        <w:rPr>
          <w:rtl/>
        </w:rPr>
        <w:t>פרלשטיין</w:t>
      </w:r>
      <w:bookmarkStart w:id="365" w:name="_fnr215"/>
      <w:proofErr w:type="spellEnd"/>
      <w:r>
        <w:rPr>
          <w:rStyle w:val="a5"/>
        </w:rPr>
        <w:footnoteReference w:id="215" w:customMarkFollows="0"/>
      </w:r>
      <w:bookmarkEnd w:id="365"/>
      <w:r>
        <w:rPr>
          <w:rtl/>
        </w:rPr>
        <w:t xml:space="preserve">, זכר אבי את היום שבו הגיעה </w:t>
      </w:r>
      <w:proofErr w:type="spellStart"/>
      <w:r>
        <w:rPr>
          <w:rtl/>
        </w:rPr>
        <w:t>לדולהינוב</w:t>
      </w:r>
      <w:proofErr w:type="spellEnd"/>
      <w:r>
        <w:rPr>
          <w:rtl/>
        </w:rPr>
        <w:t xml:space="preserve"> הידיעה על פטירת ר׳ </w:t>
      </w:r>
      <w:proofErr w:type="spellStart"/>
      <w:r>
        <w:rPr>
          <w:rtl/>
        </w:rPr>
        <w:t>יצחק־אלחנן</w:t>
      </w:r>
      <w:proofErr w:type="spellEnd"/>
      <w:r>
        <w:rPr>
          <w:rtl/>
        </w:rPr>
        <w:t>, רבה של קובנה, וכיצד התקהלו אנשים ברחובות לדבר על האבדה. אותו רב נערץ</w:t>
      </w:r>
      <w:bookmarkStart w:id="366" w:name="_fnr216"/>
      <w:r>
        <w:rPr>
          <w:rStyle w:val="a5"/>
        </w:rPr>
        <w:footnoteReference w:id="216" w:customMarkFollows="0"/>
      </w:r>
      <w:bookmarkEnd w:id="366"/>
      <w:r>
        <w:rPr>
          <w:rtl/>
        </w:rPr>
        <w:t xml:space="preserve"> נפטר יום אחד אחרי יום הולדתו החמישי של אבי, בכ״א באדר תרנ״ו.</w:t>
      </w:r>
    </w:p>
    <w:p w14:paraId="33ECB9E2" w14:textId="77777777" w:rsidR="00AB3647" w:rsidRDefault="00000000" w:rsidP="007923E9">
      <w:pPr>
        <w:spacing w:before="120" w:after="100" w:line="276" w:lineRule="auto"/>
        <w:jc w:val="both"/>
      </w:pPr>
      <w:r>
        <w:rPr>
          <w:rtl/>
        </w:rPr>
        <w:t xml:space="preserve">על הרושם העז שעשתה הלוויית הרב על האנשים ראה </w:t>
      </w:r>
      <w:proofErr w:type="spellStart"/>
      <w:r>
        <w:rPr>
          <w:rtl/>
        </w:rPr>
        <w:t>ב“שנה</w:t>
      </w:r>
      <w:proofErr w:type="spellEnd"/>
      <w:r>
        <w:rPr>
          <w:rtl/>
        </w:rPr>
        <w:t xml:space="preserve"> בשנה – תשכ״ז”</w:t>
      </w:r>
      <w:bookmarkStart w:id="367" w:name="_fnr217"/>
      <w:r>
        <w:rPr>
          <w:rStyle w:val="a5"/>
        </w:rPr>
        <w:footnoteReference w:id="217" w:customMarkFollows="0"/>
      </w:r>
      <w:bookmarkEnd w:id="367"/>
      <w:r>
        <w:rPr>
          <w:rtl/>
        </w:rPr>
        <w:t xml:space="preserve"> את המאמר “הגאון ר׳ אליעזר יהודה </w:t>
      </w:r>
      <w:proofErr w:type="spellStart"/>
      <w:r>
        <w:rPr>
          <w:rtl/>
        </w:rPr>
        <w:t>פינקל</w:t>
      </w:r>
      <w:proofErr w:type="spellEnd"/>
      <w:r>
        <w:rPr>
          <w:rtl/>
        </w:rPr>
        <w:t xml:space="preserve">” מאת הרב ניסן וקסמן. המאמר מתאר את זיכרון אותו יום, החי כל כך שלושים שנה אחר כך, מפי שני תלמידי חכמים גדולים, ר׳ </w:t>
      </w:r>
      <w:proofErr w:type="spellStart"/>
      <w:r>
        <w:rPr>
          <w:rtl/>
        </w:rPr>
        <w:t>לייזר־יודל</w:t>
      </w:r>
      <w:proofErr w:type="spellEnd"/>
      <w:r>
        <w:rPr>
          <w:rtl/>
        </w:rPr>
        <w:t xml:space="preserve"> </w:t>
      </w:r>
      <w:proofErr w:type="spellStart"/>
      <w:r>
        <w:rPr>
          <w:rtl/>
        </w:rPr>
        <w:t>פינקל</w:t>
      </w:r>
      <w:proofErr w:type="spellEnd"/>
      <w:r>
        <w:rPr>
          <w:rtl/>
        </w:rPr>
        <w:t xml:space="preserve"> ור׳ שלמה </w:t>
      </w:r>
      <w:proofErr w:type="spellStart"/>
      <w:r>
        <w:rPr>
          <w:rtl/>
        </w:rPr>
        <w:t>פוליצ׳ק</w:t>
      </w:r>
      <w:proofErr w:type="spellEnd"/>
      <w:r>
        <w:rPr>
          <w:rtl/>
        </w:rPr>
        <w:t xml:space="preserve">. הם הגיעו לקובנה </w:t>
      </w:r>
      <w:proofErr w:type="spellStart"/>
      <w:r>
        <w:rPr>
          <w:rtl/>
        </w:rPr>
        <w:t>מבריסק</w:t>
      </w:r>
      <w:proofErr w:type="spellEnd"/>
      <w:r>
        <w:rPr>
          <w:rtl/>
        </w:rPr>
        <w:t xml:space="preserve"> ביום הלווייתו של ר׳ </w:t>
      </w:r>
      <w:proofErr w:type="spellStart"/>
      <w:r>
        <w:rPr>
          <w:rtl/>
        </w:rPr>
        <w:t>יצחק־אלחנן</w:t>
      </w:r>
      <w:proofErr w:type="spellEnd"/>
      <w:r>
        <w:rPr>
          <w:rtl/>
        </w:rPr>
        <w:t xml:space="preserve">, ותיארו את בואם לעיר </w:t>
      </w:r>
      <w:proofErr w:type="spellStart"/>
      <w:r>
        <w:rPr>
          <w:rtl/>
        </w:rPr>
        <w:t>כ“קבלת</w:t>
      </w:r>
      <w:proofErr w:type="spellEnd"/>
      <w:r>
        <w:rPr>
          <w:rtl/>
        </w:rPr>
        <w:t xml:space="preserve"> פנים שחורה”. ר׳ </w:t>
      </w:r>
      <w:proofErr w:type="spellStart"/>
      <w:r>
        <w:rPr>
          <w:rtl/>
        </w:rPr>
        <w:t>לייזר־יודל</w:t>
      </w:r>
      <w:proofErr w:type="spellEnd"/>
      <w:r>
        <w:rPr>
          <w:rtl/>
        </w:rPr>
        <w:t xml:space="preserve"> חזר ותיאר את המאורע “בהתרגשות” פעמים רבות, ואמר על ההלוויה שהיה בה “כבוד שמים”.</w:t>
      </w:r>
    </w:p>
    <w:bookmarkStart w:id="368" w:name="b1_note58"/>
    <w:p w14:paraId="1BA3D737" w14:textId="77777777" w:rsidR="00AB3647" w:rsidRDefault="00000000" w:rsidP="007923E9">
      <w:pPr>
        <w:spacing w:before="120" w:after="100" w:line="276" w:lineRule="auto"/>
        <w:jc w:val="both"/>
      </w:pPr>
      <w:r>
        <w:fldChar w:fldCharType="begin" w:dirty="true"/>
      </w:r>
      <w:r>
        <w:instrText>HYPERLINK \l "b1_ref58"</w:instrText>
      </w:r>
      <w:r>
        <w:fldChar w:fldCharType="separate"/>
      </w:r>
      <w:r>
        <w:rPr>
          <w:b/>
          <w:bCs/>
          <w:rtl/>
        </w:rPr>
        <w:t>58</w:t>
      </w:r>
      <w:r>
        <w:rPr>
          <w:b/>
          <w:bCs/>
        </w:rPr>
        <w:fldChar w:fldCharType="end"/>
      </w:r>
      <w:bookmarkEnd w:id="368"/>
      <w:r>
        <w:rPr>
          <w:rtl/>
        </w:rPr>
        <w:t xml:space="preserve"> לדברי ר׳ </w:t>
      </w:r>
      <w:proofErr w:type="spellStart"/>
      <w:r>
        <w:rPr>
          <w:rtl/>
        </w:rPr>
        <w:t>לייבל</w:t>
      </w:r>
      <w:proofErr w:type="spellEnd"/>
      <w:r>
        <w:rPr>
          <w:rtl/>
        </w:rPr>
        <w:t xml:space="preserve"> </w:t>
      </w:r>
      <w:proofErr w:type="spellStart"/>
      <w:r>
        <w:rPr>
          <w:rtl/>
        </w:rPr>
        <w:t>פרלשטיין</w:t>
      </w:r>
      <w:proofErr w:type="spellEnd"/>
      <w:r>
        <w:rPr>
          <w:rtl/>
        </w:rPr>
        <w:t>, סיים חומש בגיל חמש.</w:t>
      </w:r>
    </w:p>
    <w:bookmarkStart w:id="369" w:name="b1_note59"/>
    <w:p w14:paraId="778410B9" w14:textId="77777777" w:rsidR="00AB3647" w:rsidRDefault="00000000" w:rsidP="007923E9">
      <w:pPr>
        <w:spacing w:before="120" w:after="100" w:line="276" w:lineRule="auto"/>
        <w:jc w:val="both"/>
      </w:pPr>
      <w:r>
        <w:fldChar w:fldCharType="begin" w:dirty="true"/>
      </w:r>
      <w:r>
        <w:instrText>HYPERLINK \l "b1_ref59"</w:instrText>
      </w:r>
      <w:r>
        <w:fldChar w:fldCharType="separate"/>
      </w:r>
      <w:r>
        <w:rPr>
          <w:b/>
          <w:bCs/>
          <w:rtl/>
        </w:rPr>
        <w:t>59</w:t>
      </w:r>
      <w:r>
        <w:rPr>
          <w:b/>
          <w:bCs/>
        </w:rPr>
        <w:fldChar w:fldCharType="end"/>
      </w:r>
      <w:bookmarkEnd w:id="369"/>
      <w:r>
        <w:rPr>
          <w:rtl/>
        </w:rPr>
        <w:t xml:space="preserve"> לדברי ר׳ </w:t>
      </w:r>
      <w:proofErr w:type="spellStart"/>
      <w:r>
        <w:rPr>
          <w:rtl/>
        </w:rPr>
        <w:t>לייבל</w:t>
      </w:r>
      <w:proofErr w:type="spellEnd"/>
      <w:r>
        <w:rPr>
          <w:rtl/>
        </w:rPr>
        <w:t xml:space="preserve"> </w:t>
      </w:r>
      <w:proofErr w:type="spellStart"/>
      <w:r>
        <w:rPr>
          <w:rtl/>
        </w:rPr>
        <w:t>פרלשטיין</w:t>
      </w:r>
      <w:proofErr w:type="spellEnd"/>
      <w:r>
        <w:rPr>
          <w:rtl/>
        </w:rPr>
        <w:t>, סיים נ״ך בגיל תשע</w:t>
      </w:r>
      <w:bookmarkStart w:id="370" w:name="_fnr218"/>
      <w:r>
        <w:rPr>
          <w:rStyle w:val="a5"/>
        </w:rPr>
        <w:footnoteReference w:id="218" w:customMarkFollows="0"/>
      </w:r>
      <w:bookmarkEnd w:id="370"/>
      <w:r>
        <w:rPr>
          <w:rtl/>
        </w:rPr>
        <w:t xml:space="preserve">. ר׳ </w:t>
      </w:r>
      <w:proofErr w:type="spellStart"/>
      <w:r>
        <w:rPr>
          <w:rtl/>
        </w:rPr>
        <w:t>לייבל</w:t>
      </w:r>
      <w:proofErr w:type="spellEnd"/>
      <w:r>
        <w:rPr>
          <w:rtl/>
        </w:rPr>
        <w:t xml:space="preserve"> סיפר ששאל בתמיהה: “וגם עם רש״י למדת?”, ונענה: “ודאי – אחרת אין יודעים את הפשט”. עוד שאל: “ומה עשית עם מעשה מרכבה שבספר יחזקאל?”, ונאמר לו: “את הדברים הקשים דילגנו”. רבנו חזר על כל התנ״ך פעם בשנה כל ימי חייו. בשנותיו האחרונות השתמש במהדורת קורן, וקרא בה ארבעה עמודים בכל יום וחמישה בימי שישי.</w:t>
      </w:r>
    </w:p>
    <w:bookmarkStart w:id="371" w:name="b1_note60"/>
    <w:p w14:paraId="20828ECE" w14:textId="77777777" w:rsidR="00AB3647" w:rsidRDefault="00000000" w:rsidP="007923E9">
      <w:pPr>
        <w:spacing w:before="120" w:after="100" w:line="276" w:lineRule="auto"/>
        <w:jc w:val="both"/>
      </w:pPr>
      <w:r>
        <w:fldChar w:fldCharType="begin" w:dirty="true"/>
      </w:r>
      <w:r>
        <w:instrText>HYPERLINK \l "b1_ref60"</w:instrText>
      </w:r>
      <w:r>
        <w:fldChar w:fldCharType="separate"/>
      </w:r>
      <w:r>
        <w:rPr>
          <w:b/>
          <w:bCs/>
          <w:rtl/>
        </w:rPr>
        <w:t>60</w:t>
      </w:r>
      <w:r>
        <w:rPr>
          <w:b/>
          <w:bCs/>
        </w:rPr>
        <w:fldChar w:fldCharType="end"/>
      </w:r>
      <w:bookmarkEnd w:id="371"/>
      <w:r>
        <w:rPr>
          <w:rtl/>
        </w:rPr>
        <w:t xml:space="preserve"> משניות לא נכללו באותם ימים בתוכנית הלימודים של החדרים. נכדו של רבנו, ר׳ יוסף </w:t>
      </w:r>
      <w:proofErr w:type="spellStart"/>
      <w:r>
        <w:rPr>
          <w:rtl/>
        </w:rPr>
        <w:t>קמינצקי</w:t>
      </w:r>
      <w:proofErr w:type="spellEnd"/>
      <w:r>
        <w:rPr>
          <w:rtl/>
        </w:rPr>
        <w:t>, סיפר</w:t>
      </w:r>
      <w:bookmarkStart w:id="372" w:name="_fnr219"/>
      <w:r>
        <w:rPr>
          <w:rStyle w:val="a5"/>
        </w:rPr>
        <w:footnoteReference w:id="219" w:customMarkFollows="0"/>
      </w:r>
      <w:bookmarkEnd w:id="372"/>
      <w:r>
        <w:rPr>
          <w:rtl/>
        </w:rPr>
        <w:t xml:space="preserve"> שבשנותיו האחרונות, כשנשאל אבי על לימוד משניות לילדים, היה משיב שאפשר ללמדם זרעים וטהרות, שאין עליהם גמרא שבה ילמדו אותם כשיגדלו. מכאן נראית פשרה בין הדחייה הגמורה של המשניות, שרווחה בימי ילדותו, לבין ההדגשה היתרה שניתנת לנושא זה בזמננו.</w:t>
      </w:r>
    </w:p>
    <w:bookmarkStart w:id="373" w:name="b1_note61"/>
    <w:p w14:paraId="4BAD4994" w14:textId="77777777" w:rsidR="00AB3647" w:rsidRDefault="00000000" w:rsidP="007923E9">
      <w:pPr>
        <w:spacing w:before="120" w:after="100" w:line="276" w:lineRule="auto"/>
        <w:jc w:val="both"/>
      </w:pPr>
      <w:r>
        <w:fldChar w:fldCharType="begin" w:dirty="true"/>
      </w:r>
      <w:r>
        <w:instrText>HYPERLINK \l "b1_ref61"</w:instrText>
      </w:r>
      <w:r>
        <w:fldChar w:fldCharType="separate"/>
      </w:r>
      <w:r>
        <w:rPr>
          <w:b/>
          <w:bCs/>
          <w:rtl/>
        </w:rPr>
        <w:t>61</w:t>
      </w:r>
      <w:r>
        <w:rPr>
          <w:b/>
          <w:bCs/>
        </w:rPr>
        <w:fldChar w:fldCharType="end"/>
      </w:r>
      <w:bookmarkEnd w:id="373"/>
      <w:r>
        <w:rPr>
          <w:rtl/>
        </w:rPr>
        <w:t xml:space="preserve"> במאמרו של הרב </w:t>
      </w:r>
      <w:proofErr w:type="spellStart"/>
      <w:r>
        <w:rPr>
          <w:rtl/>
        </w:rPr>
        <w:t>אהרן־בן־ציון</w:t>
      </w:r>
      <w:proofErr w:type="spellEnd"/>
      <w:r>
        <w:rPr>
          <w:rtl/>
        </w:rPr>
        <w:t xml:space="preserve"> </w:t>
      </w:r>
      <w:proofErr w:type="spellStart"/>
      <w:r>
        <w:rPr>
          <w:rtl/>
        </w:rPr>
        <w:t>שורין</w:t>
      </w:r>
      <w:proofErr w:type="spellEnd"/>
      <w:r>
        <w:rPr>
          <w:rtl/>
        </w:rPr>
        <w:t xml:space="preserve"> </w:t>
      </w:r>
      <w:proofErr w:type="spellStart"/>
      <w:r>
        <w:rPr>
          <w:rtl/>
        </w:rPr>
        <w:t>ב“פארווערטס</w:t>
      </w:r>
      <w:proofErr w:type="spellEnd"/>
      <w:r>
        <w:rPr>
          <w:rtl/>
        </w:rPr>
        <w:t>”</w:t>
      </w:r>
      <w:bookmarkStart w:id="374" w:name="_fnr220"/>
      <w:r>
        <w:rPr>
          <w:rStyle w:val="a5"/>
        </w:rPr>
        <w:footnoteReference w:id="220" w:customMarkFollows="0"/>
      </w:r>
      <w:bookmarkEnd w:id="374"/>
      <w:r>
        <w:rPr>
          <w:rtl/>
        </w:rPr>
        <w:t xml:space="preserve"> נרשם שהישג זה הוצג </w:t>
      </w:r>
      <w:proofErr w:type="spellStart"/>
      <w:r>
        <w:rPr>
          <w:rtl/>
        </w:rPr>
        <w:t>בדולהינוב</w:t>
      </w:r>
      <w:proofErr w:type="spellEnd"/>
      <w:r>
        <w:rPr>
          <w:rtl/>
        </w:rPr>
        <w:t>, אבל לא נאמר בן כמה היה רבנו באותו זמן. ר׳ שמעון כהן</w:t>
      </w:r>
      <w:bookmarkStart w:id="375" w:name="_fnr221"/>
      <w:r>
        <w:rPr>
          <w:rStyle w:val="a5"/>
        </w:rPr>
        <w:footnoteReference w:id="221" w:customMarkFollows="0"/>
      </w:r>
      <w:bookmarkEnd w:id="375"/>
      <w:r>
        <w:rPr>
          <w:rtl/>
        </w:rPr>
        <w:t xml:space="preserve">, לעומת זאת, גילה פרט זה. בשנת תשמ״א הביא את ר׳ שלמה </w:t>
      </w:r>
      <w:proofErr w:type="spellStart"/>
      <w:r>
        <w:rPr>
          <w:rtl/>
        </w:rPr>
        <w:t>טייכמן</w:t>
      </w:r>
      <w:proofErr w:type="spellEnd"/>
      <w:r>
        <w:rPr>
          <w:rtl/>
        </w:rPr>
        <w:t xml:space="preserve"> לביתו של רבנו </w:t>
      </w:r>
      <w:proofErr w:type="spellStart"/>
      <w:r>
        <w:rPr>
          <w:rtl/>
        </w:rPr>
        <w:t>במונסי</w:t>
      </w:r>
      <w:proofErr w:type="spellEnd"/>
      <w:r>
        <w:rPr>
          <w:rtl/>
        </w:rPr>
        <w:t xml:space="preserve">, כדי לדון בפתיחת בית ספר יסודי לבנות בברוקלין, שיצורף לתיכון שר׳ שלמה </w:t>
      </w:r>
      <w:proofErr w:type="spellStart"/>
      <w:r>
        <w:rPr>
          <w:rtl/>
        </w:rPr>
        <w:t>טייכמן</w:t>
      </w:r>
      <w:proofErr w:type="spellEnd"/>
      <w:r>
        <w:rPr>
          <w:rtl/>
        </w:rPr>
        <w:t xml:space="preserve"> כבר ניהל. האורח לקח עמו את בנו כדי שיראה תלמיד חכם גדול. כשנשאל הנער מה למד לאחרונה והשיב שסיים מסכת קידושין, העיר אבי שהוא סיים מסכת זו “בחורף תרס״ב, (בשנתו) </w:t>
      </w:r>
      <w:proofErr w:type="spellStart"/>
      <w:r>
        <w:rPr>
          <w:rtl/>
        </w:rPr>
        <w:t>האחת־עשרה</w:t>
      </w:r>
      <w:proofErr w:type="spellEnd"/>
      <w:r>
        <w:rPr>
          <w:rtl/>
        </w:rPr>
        <w:t>”.</w:t>
      </w:r>
    </w:p>
    <w:p w14:paraId="51EC9D50" w14:textId="68899DDE"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lastRenderedPageBreak/>
        <w:t>מלמדים שונים היו לאבי בשנות גידולו</w:t>
      </w:r>
      <w:bookmarkStart w:id="376" w:name="b1_ref62"/>
      <w:bookmarkEnd w:id="376"/>
      <w:r>
        <w:rPr>
          <w:vertAlign w:val="superscript"/>
          <w:rtl/>
        </w:rPr>
        <w:fldChar w:fldCharType="begin" w:dirty="true"/>
      </w:r>
      <w:r>
        <w:rPr>
          <w:vertAlign w:val="superscript"/>
          <w:rtl/>
        </w:rPr>
        <w:instrText xml:space="preserve"> REF b1_note62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62</w:t>
      </w:r>
      <w:r>
        <w:rPr>
          <w:vertAlign w:val="superscript"/>
          <w:rtl/>
        </w:rPr>
        <w:fldChar w:fldCharType="end"/>
      </w:r>
      <w:r>
        <w:rPr>
          <w:rtl/>
        </w:rPr>
        <w:t>: אחד היה חשוך ילדים אך טוב לב</w:t>
      </w:r>
      <w:bookmarkStart w:id="377" w:name="b1_ref63"/>
      <w:bookmarkEnd w:id="377"/>
      <w:r>
        <w:rPr>
          <w:vertAlign w:val="superscript"/>
          <w:rtl/>
        </w:rPr>
        <w:fldChar w:fldCharType="begin" w:dirty="true"/>
      </w:r>
      <w:r>
        <w:rPr>
          <w:vertAlign w:val="superscript"/>
          <w:rtl/>
        </w:rPr>
        <w:instrText xml:space="preserve"> REF b1_note63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63</w:t>
      </w:r>
      <w:r>
        <w:rPr>
          <w:vertAlign w:val="superscript"/>
          <w:rtl/>
        </w:rPr>
        <w:fldChar w:fldCharType="end"/>
      </w:r>
      <w:r>
        <w:rPr>
          <w:rtl/>
        </w:rPr>
        <w:t>, ואחר הלקה אותו שלא כדין</w:t>
      </w:r>
      <w:bookmarkStart w:id="378" w:name="b1_ref64"/>
      <w:bookmarkEnd w:id="378"/>
      <w:r>
        <w:rPr>
          <w:vertAlign w:val="superscript"/>
          <w:rtl/>
        </w:rPr>
        <w:fldChar w:fldCharType="begin" w:dirty="true"/>
      </w:r>
      <w:r>
        <w:rPr>
          <w:vertAlign w:val="superscript"/>
          <w:rtl/>
        </w:rPr>
        <w:instrText xml:space="preserve"> REF b1_note64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64</w:t>
      </w:r>
      <w:r>
        <w:rPr>
          <w:vertAlign w:val="superscript"/>
          <w:rtl/>
        </w:rPr>
        <w:fldChar w:fldCharType="end"/>
      </w:r>
      <w:r>
        <w:rPr>
          <w:rtl/>
        </w:rPr>
        <w:t>; אחד שיבש את פירוש המשנה שלימד</w:t>
      </w:r>
      <w:bookmarkStart w:id="379" w:name="b1_ref65"/>
      <w:bookmarkEnd w:id="379"/>
      <w:r>
        <w:rPr>
          <w:vertAlign w:val="superscript"/>
          <w:rtl/>
        </w:rPr>
        <w:fldChar w:fldCharType="begin" w:dirty="true"/>
      </w:r>
      <w:r>
        <w:rPr>
          <w:vertAlign w:val="superscript"/>
          <w:rtl/>
        </w:rPr>
        <w:instrText xml:space="preserve"> REF b1_note65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65</w:t>
      </w:r>
      <w:r>
        <w:rPr>
          <w:vertAlign w:val="superscript"/>
          <w:rtl/>
        </w:rPr>
        <w:fldChar w:fldCharType="end"/>
      </w:r>
      <w:r>
        <w:rPr>
          <w:rtl/>
        </w:rPr>
        <w:t>, ואחר – אבי לא סלח לו לעולם על שלא הבין שהוא אינו מסוגל לומר שקר</w:t>
      </w:r>
      <w:bookmarkStart w:id="380" w:name="b1_ref66"/>
      <w:bookmarkEnd w:id="380"/>
      <w:r>
        <w:rPr>
          <w:vertAlign w:val="superscript"/>
          <w:rtl/>
        </w:rPr>
        <w:fldChar w:fldCharType="begin" w:dirty="true"/>
      </w:r>
      <w:r>
        <w:rPr>
          <w:vertAlign w:val="superscript"/>
          <w:rtl/>
        </w:rPr>
        <w:instrText xml:space="preserve"> REF b1_note66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66</w:t>
      </w:r>
      <w:r>
        <w:rPr>
          <w:vertAlign w:val="superscript"/>
          <w:rtl/>
        </w:rPr>
        <w:fldChar w:fldCharType="end"/>
      </w:r>
      <w:r>
        <w:rPr>
          <w:rtl/>
        </w:rPr>
        <w:t>.</w:t>
      </w:r>
    </w:p>
    <w:bookmarkStart w:id="381" w:name="b1_note62"/>
    <w:p w14:paraId="7D5BEB23" w14:textId="77777777" w:rsidR="00AB3647" w:rsidRDefault="00000000" w:rsidP="007923E9">
      <w:pPr>
        <w:spacing w:before="120" w:after="100" w:line="276" w:lineRule="auto"/>
        <w:jc w:val="both"/>
      </w:pPr>
      <w:r>
        <w:fldChar w:fldCharType="begin" w:dirty="true"/>
      </w:r>
      <w:r>
        <w:instrText>HYPERLINK \l "b1_ref62"</w:instrText>
      </w:r>
      <w:r>
        <w:fldChar w:fldCharType="separate"/>
      </w:r>
      <w:r>
        <w:rPr>
          <w:b/>
          <w:bCs/>
          <w:rtl/>
        </w:rPr>
        <w:t>62</w:t>
      </w:r>
      <w:r>
        <w:rPr>
          <w:b/>
          <w:bCs/>
        </w:rPr>
        <w:fldChar w:fldCharType="end"/>
      </w:r>
      <w:bookmarkEnd w:id="381"/>
      <w:r>
        <w:rPr>
          <w:rtl/>
        </w:rPr>
        <w:t xml:space="preserve"> ימיו בחדר היו רגילים. לדוגמה: פעם התבקש אבי לבחון ילד שהתחיל זה עתה ללמוד חומש, והילד השיב כראוי על שאלת אבי מה פירוש המילה “מרחפת” שבפסוק השני של התורה. אז נזכר אבי ואמר: “לפני שמונים שנה, כשלימדו אותי לראשונה את הפסוק הזה, לא שמתי לב למלמד, וכשנשאלתי מה פירוש ‘מרחפת’, </w:t>
      </w:r>
      <w:r>
        <w:rPr>
          <w:b/>
          <w:bCs/>
          <w:rtl/>
        </w:rPr>
        <w:t>לא</w:t>
      </w:r>
      <w:r>
        <w:rPr>
          <w:rtl/>
        </w:rPr>
        <w:t xml:space="preserve"> ידעתי את התשובה”</w:t>
      </w:r>
      <w:bookmarkStart w:id="382" w:name="_fnr222"/>
      <w:r>
        <w:rPr>
          <w:rStyle w:val="a5"/>
        </w:rPr>
        <w:footnoteReference w:id="222" w:customMarkFollows="0"/>
      </w:r>
      <w:bookmarkEnd w:id="382"/>
      <w:r>
        <w:rPr>
          <w:rtl/>
        </w:rPr>
        <w:t>.</w:t>
      </w:r>
    </w:p>
    <w:p w14:paraId="4A589F31" w14:textId="77777777" w:rsidR="00AB3647" w:rsidRDefault="00000000" w:rsidP="007923E9">
      <w:pPr>
        <w:spacing w:after="100" w:line="276" w:lineRule="auto"/>
        <w:ind w:firstLine="340"/>
        <w:jc w:val="both"/>
      </w:pPr>
      <w:r>
        <w:rPr>
          <w:rtl/>
        </w:rPr>
        <w:t>בשנת תשל״ו תכננה “רשת שיעורי תורה” – תוכנית של אגודת ישראל באמריקה, שבראשה עמד אז ר׳ יעקב בנדר – להקליט על סרטים את דעותיהם של גדולי התורה באמריקה על חינוך ילדים.</w:t>
      </w:r>
    </w:p>
    <w:p w14:paraId="44DFEFD8" w14:textId="77777777" w:rsidR="00AB3647" w:rsidRDefault="00000000" w:rsidP="007923E9">
      <w:pPr>
        <w:spacing w:after="100" w:line="276" w:lineRule="auto"/>
        <w:ind w:firstLine="340"/>
        <w:jc w:val="both"/>
      </w:pPr>
      <w:r>
        <w:rPr>
          <w:rtl/>
        </w:rPr>
        <w:t xml:space="preserve">בריאיון אמר אבי לרב בנדר: “תינוקות, שעדיין אינם יודעים אפילו לדבר, מסוגלים לקלוט דברים, ואם המידות בבית מקולקלות – הם יספגו זאת. אני זוכר שהיה לי מלמד </w:t>
      </w:r>
      <w:proofErr w:type="spellStart"/>
      <w:r>
        <w:rPr>
          <w:rtl/>
        </w:rPr>
        <w:t>בדולהינוב</w:t>
      </w:r>
      <w:proofErr w:type="spellEnd"/>
      <w:r>
        <w:rPr>
          <w:rtl/>
        </w:rPr>
        <w:t xml:space="preserve"> שהיה אדם עדין ונוח מאוד. הוא השאיר בי טעם מתוק כל כך, שכשהגעתי לארצות הברית בשנות הארבעים לחיי ושמעתי שאחיו הצעיר גר בוושינגטון הבירה, רציתי לנסוע לשם לראותו – כמו לבקר דוד, אח של אב רוחני</w:t>
      </w:r>
      <w:bookmarkStart w:id="383" w:name="_fnr223"/>
      <w:r>
        <w:rPr>
          <w:rStyle w:val="a5"/>
        </w:rPr>
        <w:footnoteReference w:id="223" w:customMarkFollows="0"/>
      </w:r>
      <w:bookmarkEnd w:id="383"/>
      <w:r>
        <w:rPr>
          <w:rtl/>
        </w:rPr>
        <w:t>. לעומת זאת, היה לי מלמד אחר שמידותיו היו מזוויעות. פעם נכנסה אשתו לבקש כמה רובלים לשבת, והוא צרח והתנפל עליה; זה היה נורא. אני אומר לכם שעד היום, בכל פעם שאני נזכר בזה, אני מזדעזע מן הטעם המר שהשאיר בי”</w:t>
      </w:r>
      <w:bookmarkStart w:id="384" w:name="_fnr224"/>
      <w:r>
        <w:rPr>
          <w:rStyle w:val="a5"/>
        </w:rPr>
        <w:footnoteReference w:id="224" w:customMarkFollows="0"/>
      </w:r>
      <w:bookmarkEnd w:id="384"/>
      <w:r>
        <w:rPr>
          <w:rtl/>
        </w:rPr>
        <w:t>.</w:t>
      </w:r>
    </w:p>
    <w:p w14:paraId="5E011186" w14:textId="77777777" w:rsidR="00AB3647" w:rsidRDefault="00000000" w:rsidP="007923E9">
      <w:pPr>
        <w:spacing w:after="100" w:line="276" w:lineRule="auto"/>
        <w:ind w:firstLine="340"/>
        <w:jc w:val="both"/>
      </w:pPr>
      <w:r>
        <w:rPr>
          <w:rtl/>
        </w:rPr>
        <w:t xml:space="preserve">פעם, במחנה אגודה, דיבר אבי בנוכחות ר׳ </w:t>
      </w:r>
      <w:proofErr w:type="spellStart"/>
      <w:r>
        <w:rPr>
          <w:rtl/>
        </w:rPr>
        <w:t>יעקב־יצחק</w:t>
      </w:r>
      <w:proofErr w:type="spellEnd"/>
      <w:r>
        <w:rPr>
          <w:rtl/>
        </w:rPr>
        <w:t xml:space="preserve"> </w:t>
      </w:r>
      <w:proofErr w:type="spellStart"/>
      <w:r>
        <w:rPr>
          <w:rtl/>
        </w:rPr>
        <w:t>רודרמן</w:t>
      </w:r>
      <w:proofErr w:type="spellEnd"/>
      <w:r>
        <w:rPr>
          <w:rtl/>
        </w:rPr>
        <w:t xml:space="preserve"> על השינוי לטובה שחל בחינוך היסודי של ילדים. כשהזכיר את הסלידה שעורר בו אחד ממלמדיו, העיר ר׳ </w:t>
      </w:r>
      <w:proofErr w:type="spellStart"/>
      <w:r>
        <w:rPr>
          <w:rtl/>
        </w:rPr>
        <w:t>יעקב־יצחק</w:t>
      </w:r>
      <w:proofErr w:type="spellEnd"/>
      <w:r>
        <w:rPr>
          <w:rtl/>
        </w:rPr>
        <w:t xml:space="preserve"> שמכל שש מאות הילדים שעברו תחת ידיו של אותו מלמד </w:t>
      </w:r>
      <w:proofErr w:type="spellStart"/>
      <w:r>
        <w:rPr>
          <w:rtl/>
        </w:rPr>
        <w:t>דולהינובי</w:t>
      </w:r>
      <w:proofErr w:type="spellEnd"/>
      <w:r>
        <w:rPr>
          <w:rtl/>
        </w:rPr>
        <w:t>, רק הוא ורבנו יצאו מתוקנים! הם הסיקו שאילו היו שיטת הלימוד וסדריו אז דומים לשל היום, היו מצליחים תלמידים רבים יותר</w:t>
      </w:r>
      <w:bookmarkStart w:id="385" w:name="_fnr225"/>
      <w:r>
        <w:rPr>
          <w:rStyle w:val="a5"/>
        </w:rPr>
        <w:footnoteReference w:id="225" w:customMarkFollows="0"/>
      </w:r>
      <w:bookmarkEnd w:id="385"/>
      <w:r>
        <w:rPr>
          <w:rtl/>
        </w:rPr>
        <w:t>.</w:t>
      </w:r>
    </w:p>
    <w:p w14:paraId="6A0A3CA3" w14:textId="77777777" w:rsidR="00AB3647" w:rsidRDefault="00000000" w:rsidP="007923E9">
      <w:pPr>
        <w:spacing w:after="100" w:line="276" w:lineRule="auto"/>
        <w:ind w:firstLine="340"/>
        <w:jc w:val="both"/>
      </w:pPr>
      <w:r>
        <w:rPr>
          <w:rtl/>
        </w:rPr>
        <w:t xml:space="preserve">אבי נזכר במאורע מתקופה זו של חייו כשאמר </w:t>
      </w:r>
      <w:proofErr w:type="spellStart"/>
      <w:r>
        <w:rPr>
          <w:rtl/>
        </w:rPr>
        <w:t>לר</w:t>
      </w:r>
      <w:proofErr w:type="spellEnd"/>
      <w:r>
        <w:rPr>
          <w:rtl/>
        </w:rPr>
        <w:t xml:space="preserve">׳ משה </w:t>
      </w:r>
      <w:proofErr w:type="spellStart"/>
      <w:r>
        <w:rPr>
          <w:rtl/>
        </w:rPr>
        <w:t>שוואב</w:t>
      </w:r>
      <w:proofErr w:type="spellEnd"/>
      <w:r>
        <w:rPr>
          <w:rtl/>
        </w:rPr>
        <w:t xml:space="preserve"> להקפיד לתת לבנו הנולד שם שיתגאה בו. הוא סיפר שבחדר שלו היה ילד שחבריו ללימודים התגרו בו בשל שמו המשונה, ופעם התרגז כל כך עד שקילל את אביו על שהטיל עליו שם זה</w:t>
      </w:r>
      <w:bookmarkStart w:id="386" w:name="_fnr226"/>
      <w:r>
        <w:rPr>
          <w:rStyle w:val="a5"/>
        </w:rPr>
        <w:footnoteReference w:id="226" w:customMarkFollows="0"/>
      </w:r>
      <w:bookmarkEnd w:id="386"/>
      <w:r>
        <w:rPr>
          <w:rtl/>
        </w:rPr>
        <w:t>.</w:t>
      </w:r>
    </w:p>
    <w:bookmarkStart w:id="387" w:name="b1_note63"/>
    <w:p w14:paraId="25C515D4" w14:textId="77777777" w:rsidR="00AB3647" w:rsidRDefault="00000000" w:rsidP="007923E9">
      <w:pPr>
        <w:spacing w:before="120" w:after="100" w:line="276" w:lineRule="auto"/>
        <w:jc w:val="both"/>
      </w:pPr>
      <w:r>
        <w:fldChar w:fldCharType="begin" w:dirty="true"/>
      </w:r>
      <w:r>
        <w:instrText>HYPERLINK \l "b1_ref63"</w:instrText>
      </w:r>
      <w:r>
        <w:fldChar w:fldCharType="separate"/>
      </w:r>
      <w:r>
        <w:rPr>
          <w:b/>
          <w:bCs/>
          <w:rtl/>
        </w:rPr>
        <w:t>63</w:t>
      </w:r>
      <w:r>
        <w:rPr>
          <w:b/>
          <w:bCs/>
        </w:rPr>
        <w:fldChar w:fldCharType="end"/>
      </w:r>
      <w:bookmarkEnd w:id="387"/>
      <w:r>
        <w:rPr>
          <w:rtl/>
        </w:rPr>
        <w:t xml:space="preserve"> השווה רמב״ם הל׳ סנהדרין פ״ב </w:t>
      </w:r>
      <w:proofErr w:type="spellStart"/>
      <w:r>
        <w:rPr>
          <w:rtl/>
        </w:rPr>
        <w:t>ה״ג</w:t>
      </w:r>
      <w:proofErr w:type="spellEnd"/>
      <w:r>
        <w:rPr>
          <w:rtl/>
        </w:rPr>
        <w:t>.</w:t>
      </w:r>
    </w:p>
    <w:bookmarkStart w:id="388" w:name="b1_note64"/>
    <w:p w14:paraId="14E32CFA" w14:textId="77777777" w:rsidR="00AB3647" w:rsidRDefault="00000000" w:rsidP="007923E9">
      <w:pPr>
        <w:spacing w:before="120" w:after="100" w:line="276" w:lineRule="auto"/>
        <w:jc w:val="both"/>
      </w:pPr>
      <w:r>
        <w:fldChar w:fldCharType="begin" w:dirty="true"/>
      </w:r>
      <w:r>
        <w:instrText>HYPERLINK \l "b1_ref64"</w:instrText>
      </w:r>
      <w:r>
        <w:fldChar w:fldCharType="separate"/>
      </w:r>
      <w:r>
        <w:rPr>
          <w:b/>
          <w:bCs/>
          <w:rtl/>
        </w:rPr>
        <w:t>64</w:t>
      </w:r>
      <w:r>
        <w:rPr>
          <w:b/>
          <w:bCs/>
        </w:rPr>
        <w:fldChar w:fldCharType="end"/>
      </w:r>
      <w:bookmarkEnd w:id="388"/>
      <w:r>
        <w:rPr>
          <w:rtl/>
        </w:rPr>
        <w:t xml:space="preserve"> כשנשאל אבי על הלקאת ילדים, אמר שאם ההורה אינו בטוח לגמרי שהילד ראוי לעונש, עליו למשוך את ידו, שמא </w:t>
      </w:r>
      <w:proofErr w:type="spellStart"/>
      <w:r>
        <w:rPr>
          <w:rtl/>
        </w:rPr>
        <w:t>יטור</w:t>
      </w:r>
      <w:proofErr w:type="spellEnd"/>
      <w:r>
        <w:rPr>
          <w:rtl/>
        </w:rPr>
        <w:t xml:space="preserve"> לו הילד טינה כל ימי חייו. כדרכו, הביא ראיה מניסיונו שלו: מלמדו נתן לו רשות לצאת מן הכיתה לבית הכיסא, ואחר כך תפס המלמד ילדים אחרים שטענו </w:t>
      </w:r>
      <w:r>
        <w:rPr>
          <w:rtl/>
        </w:rPr>
        <w:lastRenderedPageBreak/>
        <w:t>בשקר שהם צריכים לצאת לבית הכיסא, כתירוץ לצאת לשחק בחוץ. אז הלקה המלמד את כולם, וגם אותו, אף שהוא באמת היה צריך לצאת לבית הכיסא. אבי אמר שבעיניו “אותו מלמד מתועב עד היום הזה”</w:t>
      </w:r>
      <w:bookmarkStart w:id="389" w:name="_fnr227"/>
      <w:r>
        <w:rPr>
          <w:rStyle w:val="a5"/>
        </w:rPr>
        <w:footnoteReference w:id="227" w:customMarkFollows="0"/>
      </w:r>
      <w:bookmarkEnd w:id="389"/>
      <w:r>
        <w:rPr>
          <w:rtl/>
        </w:rPr>
        <w:t>.</w:t>
      </w:r>
    </w:p>
    <w:p w14:paraId="6A4126D1" w14:textId="027A3E0C" w:rsidR="00AB3647" w:rsidRDefault="00000000" w:rsidP="007923E9">
      <w:pPr>
        <w:spacing w:before="120" w:after="100" w:line="276" w:lineRule="auto"/>
        <w:jc w:val="both"/>
      </w:pPr>
      <w:r>
        <w:rPr>
          <w:rtl/>
        </w:rPr>
        <w:t xml:space="preserve">באותה הזדמנות סיפר אבי כיצד נהג ר׳ </w:t>
      </w:r>
      <w:proofErr w:type="spellStart"/>
      <w:r>
        <w:rPr>
          <w:rtl/>
        </w:rPr>
        <w:t>ברוך־בער</w:t>
      </w:r>
      <w:proofErr w:type="spellEnd"/>
      <w:r>
        <w:rPr>
          <w:rtl/>
        </w:rPr>
        <w:t xml:space="preserve"> </w:t>
      </w:r>
      <w:proofErr w:type="spellStart"/>
      <w:r>
        <w:rPr>
          <w:rtl/>
        </w:rPr>
        <w:t>ליבוביץ</w:t>
      </w:r>
      <w:proofErr w:type="spellEnd"/>
      <w:r>
        <w:rPr>
          <w:rtl/>
        </w:rPr>
        <w:t xml:space="preserve"> בבנו שסרח, כמובא בפרק 3, הערה </w:t>
      </w:r>
      <w:r>
        <w:rPr>
          <w:rtl/>
        </w:rPr>
        <w:fldChar w:fldCharType="begin" w:dirty="true"/>
      </w:r>
      <w:r>
        <w:rPr>
          <w:rtl/>
        </w:rPr>
        <w:instrText xml:space="preserve"> REF b3_note141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141</w:t>
      </w:r>
      <w:r>
        <w:rPr>
          <w:rtl/>
        </w:rPr>
        <w:fldChar w:fldCharType="end"/>
      </w:r>
      <w:r>
        <w:rPr>
          <w:rtl/>
        </w:rPr>
        <w:t>. ראה שם גם כיצד הענישו ר׳ יוסף לייב בלוך ורבנו את ילדיהם.</w:t>
      </w:r>
    </w:p>
    <w:bookmarkStart w:id="390" w:name="b1_note65"/>
    <w:p w14:paraId="607B2260" w14:textId="26AAF128" w:rsidR="00AB3647" w:rsidRDefault="00000000" w:rsidP="007923E9">
      <w:pPr>
        <w:spacing w:before="120" w:after="100" w:line="276" w:lineRule="auto"/>
        <w:jc w:val="both"/>
      </w:pPr>
      <w:r>
        <w:fldChar w:fldCharType="begin" w:dirty="true"/>
      </w:r>
      <w:r>
        <w:instrText>HYPERLINK \l "b1_ref65"</w:instrText>
      </w:r>
      <w:r>
        <w:fldChar w:fldCharType="separate"/>
      </w:r>
      <w:r>
        <w:rPr>
          <w:b/>
          <w:bCs/>
          <w:rtl/>
        </w:rPr>
        <w:t>65</w:t>
      </w:r>
      <w:r>
        <w:rPr>
          <w:b/>
          <w:bCs/>
        </w:rPr>
        <w:fldChar w:fldCharType="end"/>
      </w:r>
      <w:bookmarkEnd w:id="390"/>
      <w:r>
        <w:rPr>
          <w:rtl/>
        </w:rPr>
        <w:t xml:space="preserve"> ראה </w:t>
      </w:r>
      <w:r>
        <w:rPr>
          <w:rtl/>
        </w:rPr>
        <w:fldChar w:fldCharType="begin" w:dirty="true"/>
      </w:r>
      <w:r>
        <w:rPr>
          <w:rtl/>
        </w:rPr>
        <w:instrText xml:space="preserve"> REF b1_excE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ה</w:t>
      </w:r>
      <w:r>
        <w:rPr>
          <w:rtl/>
        </w:rPr>
        <w:fldChar w:fldCharType="end"/>
      </w:r>
      <w:r>
        <w:rPr>
          <w:rtl/>
        </w:rPr>
        <w:t>.</w:t>
      </w:r>
    </w:p>
    <w:bookmarkStart w:id="391" w:name="b1_note66"/>
    <w:p w14:paraId="6EE29FC7" w14:textId="77777777" w:rsidR="00AB3647" w:rsidRDefault="00000000" w:rsidP="007923E9">
      <w:pPr>
        <w:spacing w:before="120" w:after="100" w:line="276" w:lineRule="auto"/>
        <w:jc w:val="both"/>
      </w:pPr>
      <w:r>
        <w:fldChar w:fldCharType="begin" w:dirty="true"/>
      </w:r>
      <w:r>
        <w:instrText>HYPERLINK \l "b1_ref66"</w:instrText>
      </w:r>
      <w:r>
        <w:fldChar w:fldCharType="separate"/>
      </w:r>
      <w:r>
        <w:rPr>
          <w:b/>
          <w:bCs/>
          <w:rtl/>
        </w:rPr>
        <w:t>66</w:t>
      </w:r>
      <w:r>
        <w:rPr>
          <w:b/>
          <w:bCs/>
        </w:rPr>
        <w:fldChar w:fldCharType="end"/>
      </w:r>
      <w:bookmarkEnd w:id="391"/>
      <w:r>
        <w:rPr>
          <w:rtl/>
        </w:rPr>
        <w:t xml:space="preserve"> יום אחד באביב איחר אבי לבוא לחדר. תירוצו היה שיהודי זקן עצר אותו בדרך וביקש ממנו ללכת לביתו ולהביא שמיכה לתינוק שנימול. בלילה הקודם נערכה </w:t>
      </w:r>
      <w:proofErr w:type="spellStart"/>
      <w:r>
        <w:rPr>
          <w:rtl/>
        </w:rPr>
        <w:t>בדולהינוב</w:t>
      </w:r>
      <w:proofErr w:type="spellEnd"/>
      <w:r>
        <w:rPr>
          <w:rtl/>
        </w:rPr>
        <w:t xml:space="preserve"> תהלוכת לפידים נוצרית, שהמלמד אסר על הילדים לצפות בה, והמלמד האשים את רבנו שנשאר ער עד מאוחר לצפות בה, ולכן איחר לקום.</w:t>
      </w:r>
    </w:p>
    <w:p w14:paraId="07188C82" w14:textId="77777777" w:rsidR="00AB3647" w:rsidRDefault="00000000" w:rsidP="007923E9">
      <w:pPr>
        <w:spacing w:before="120" w:after="100" w:line="276" w:lineRule="auto"/>
        <w:jc w:val="both"/>
      </w:pPr>
      <w:r>
        <w:rPr>
          <w:rtl/>
        </w:rPr>
        <w:t>הכחשותיו של אבי נפלו על אוזניים ערלות, והמלמד כבר הפשיל את דש מכנסיו מאחור לקראת ההלקאה, כשנכנסה אחותו דבורה לחדר עם ארוחת הצהריים ששכח לקחת מן הבית. המלמד שאל אותה היכן בילה אחיה בערב הקודם, ועדותה שנשאר בבית הצילה אותו מן המכות, אבל “באה מאוחר מדי כדי להציל (אותו) מן הבושה”.</w:t>
      </w:r>
    </w:p>
    <w:p w14:paraId="53D30A67" w14:textId="77777777" w:rsidR="00AB3647" w:rsidRDefault="00000000" w:rsidP="007923E9">
      <w:pPr>
        <w:spacing w:after="100" w:line="276" w:lineRule="auto"/>
        <w:ind w:firstLine="340"/>
        <w:jc w:val="both"/>
      </w:pPr>
      <w:r>
        <w:rPr>
          <w:rtl/>
        </w:rPr>
        <w:t xml:space="preserve">הוא לא סלח למלמדו בקלות, וכעבור כמה שבועות מצא דרך לנקום. המלמד אסר על הילדים לשחות </w:t>
      </w:r>
      <w:proofErr w:type="spellStart"/>
      <w:r>
        <w:rPr>
          <w:rtl/>
        </w:rPr>
        <w:t>ב“שלושת</w:t>
      </w:r>
      <w:proofErr w:type="spellEnd"/>
      <w:r>
        <w:rPr>
          <w:rtl/>
        </w:rPr>
        <w:t xml:space="preserve"> השבועות”, ואבי הסית את חבריו להציק לאמותיהם עד שקיבלו רשות ללכת. ידי המלמד היו כבולות, כביכול: לא זו בלבד שכל כיתתו לא שמעה בקולו, אלא שגם לא יכול היה להעניש את הילדים עונש גוף על כך בשלושת השבועות</w:t>
      </w:r>
      <w:bookmarkStart w:id="392" w:name="_fnr228"/>
      <w:r>
        <w:rPr>
          <w:rStyle w:val="a5"/>
        </w:rPr>
        <w:footnoteReference w:id="228" w:customMarkFollows="0"/>
      </w:r>
      <w:bookmarkEnd w:id="392"/>
      <w:r>
        <w:rPr>
          <w:rtl/>
        </w:rPr>
        <w:t xml:space="preserve">. כשסיפר אבי מעשה זה שנים אחר כך, הוסיף: “את העונש שלא הגיע לי סלחתי, אבל לא את השיפוט המוטעה. מלמד צריך להכיר את תלמידיו – מי משקר ומי לא, מי שומע לאיסורים ומי לא. ואני הייתי ילד צייתן כל כך, שאחרי שאסר עלינו להחליק על הקרח, לא החלקתי עד גיל </w:t>
      </w:r>
      <w:proofErr w:type="spellStart"/>
      <w:r>
        <w:rPr>
          <w:rtl/>
        </w:rPr>
        <w:t>שש־עשרה</w:t>
      </w:r>
      <w:proofErr w:type="spellEnd"/>
      <w:r>
        <w:rPr>
          <w:rtl/>
        </w:rPr>
        <w:t>!”</w:t>
      </w:r>
      <w:bookmarkStart w:id="393" w:name="_fnr229"/>
      <w:r>
        <w:rPr>
          <w:rStyle w:val="a5"/>
        </w:rPr>
        <w:footnoteReference w:id="229" w:customMarkFollows="0"/>
      </w:r>
      <w:bookmarkEnd w:id="393"/>
    </w:p>
    <w:p w14:paraId="6242ED94" w14:textId="77777777" w:rsidR="00AB3647" w:rsidRDefault="00000000" w:rsidP="007923E9">
      <w:pPr>
        <w:spacing w:after="100" w:line="276" w:lineRule="auto"/>
        <w:ind w:firstLine="340"/>
        <w:jc w:val="both"/>
      </w:pPr>
      <w:r>
        <w:rPr>
          <w:rtl/>
        </w:rPr>
        <w:t xml:space="preserve">לפי הספד אחרי השבעה מפי ר׳ ישראל </w:t>
      </w:r>
      <w:proofErr w:type="spellStart"/>
      <w:r>
        <w:rPr>
          <w:rtl/>
        </w:rPr>
        <w:t>שורין</w:t>
      </w:r>
      <w:proofErr w:type="spellEnd"/>
      <w:r>
        <w:rPr>
          <w:rtl/>
        </w:rPr>
        <w:t>, חתנו הבכור של רבנו, לא שמיכה לברית היא שעיכבה את אבי מלבוא לחדר באותו בוקר, אלא הסכין שהמוהל איבד בדרכו: המוהל ביקש מרבנו לעזור לו למצוא אותה וללוות אותו בשעה שחזר על עקבותיו. עוד מסר המספיד שאבי אמר שלא יוכל לסלוח לאותו מלמד כל ימי חייו!</w:t>
      </w:r>
    </w:p>
    <w:p w14:paraId="3CA130A4" w14:textId="77777777" w:rsidR="00AB3647" w:rsidRDefault="00000000" w:rsidP="007923E9">
      <w:pPr>
        <w:spacing w:after="100" w:line="276" w:lineRule="auto"/>
        <w:ind w:firstLine="340"/>
        <w:jc w:val="both"/>
      </w:pPr>
      <w:r>
        <w:rPr>
          <w:rtl/>
        </w:rPr>
        <w:t xml:space="preserve">נראה שהשחייה הייתה בילוי מפתה לילדי </w:t>
      </w:r>
      <w:proofErr w:type="spellStart"/>
      <w:r>
        <w:rPr>
          <w:rtl/>
        </w:rPr>
        <w:t>דולהינוב</w:t>
      </w:r>
      <w:proofErr w:type="spellEnd"/>
      <w:r>
        <w:rPr>
          <w:rtl/>
        </w:rPr>
        <w:t xml:space="preserve">. אבי סיפר לד״ר ג׳יי שפירא, שהתאכסן אצלו לזמן קצר </w:t>
      </w:r>
      <w:proofErr w:type="spellStart"/>
      <w:r>
        <w:rPr>
          <w:rtl/>
        </w:rPr>
        <w:t>באיסט</w:t>
      </w:r>
      <w:proofErr w:type="spellEnd"/>
      <w:r>
        <w:rPr>
          <w:rtl/>
        </w:rPr>
        <w:t xml:space="preserve"> ניו יורק</w:t>
      </w:r>
      <w:bookmarkStart w:id="394" w:name="_fnr230"/>
      <w:r>
        <w:rPr>
          <w:rStyle w:val="a5"/>
        </w:rPr>
        <w:footnoteReference w:id="230" w:customMarkFollows="0"/>
      </w:r>
      <w:bookmarkEnd w:id="394"/>
      <w:r>
        <w:rPr>
          <w:rtl/>
        </w:rPr>
        <w:t xml:space="preserve">, שבכל שנה בערב </w:t>
      </w:r>
      <w:proofErr w:type="spellStart"/>
      <w:r>
        <w:rPr>
          <w:rtl/>
        </w:rPr>
        <w:t>שבעה־עשר</w:t>
      </w:r>
      <w:proofErr w:type="spellEnd"/>
      <w:r>
        <w:rPr>
          <w:rtl/>
        </w:rPr>
        <w:t xml:space="preserve"> בתמוז היו הילדים מתגנבים לשחות בלי רשות אמותיהם. הם ידעו שעד שישובו הביתה עם רדת החשכה כבר </w:t>
      </w:r>
      <w:r>
        <w:rPr>
          <w:rtl/>
        </w:rPr>
        <w:lastRenderedPageBreak/>
        <w:t>יתחילו שלושת השבועות, ואז אי אפשר יהיה להענישם. הם חישבו, ובצדק, שעד שיעברו שלושת השבועות כבר ישכחו הוריהם את עבירתם.</w:t>
      </w:r>
    </w:p>
    <w:p w14:paraId="0ED3D04F" w14:textId="77777777" w:rsidR="00AB3647" w:rsidRDefault="00000000" w:rsidP="007923E9">
      <w:pPr>
        <w:spacing w:after="100" w:line="276" w:lineRule="auto"/>
        <w:ind w:firstLine="340"/>
        <w:jc w:val="both"/>
      </w:pPr>
      <w:r>
        <w:rPr>
          <w:rtl/>
        </w:rPr>
        <w:t xml:space="preserve">ר׳ </w:t>
      </w:r>
      <w:proofErr w:type="spellStart"/>
      <w:r>
        <w:rPr>
          <w:rtl/>
        </w:rPr>
        <w:t>לייבל</w:t>
      </w:r>
      <w:proofErr w:type="spellEnd"/>
      <w:r>
        <w:rPr>
          <w:rtl/>
        </w:rPr>
        <w:t xml:space="preserve"> </w:t>
      </w:r>
      <w:proofErr w:type="spellStart"/>
      <w:r>
        <w:rPr>
          <w:rtl/>
        </w:rPr>
        <w:t>פרלשטיין</w:t>
      </w:r>
      <w:bookmarkStart w:id="395" w:name="_fnr231"/>
      <w:proofErr w:type="spellEnd"/>
      <w:r>
        <w:rPr>
          <w:rStyle w:val="a5"/>
        </w:rPr>
        <w:footnoteReference w:id="231" w:customMarkFollows="0"/>
      </w:r>
      <w:bookmarkEnd w:id="395"/>
      <w:r>
        <w:rPr>
          <w:rtl/>
        </w:rPr>
        <w:t xml:space="preserve"> מסר נוסח אחר לגמרי של המעשה, ולפיו אבי שיקר באמת! האירוע שנאסר על הילדים לצפות בו לא היה אירוע נוצרי בתחילת הקיץ, אלא חג ינואר של הכנסייה </w:t>
      </w:r>
      <w:proofErr w:type="spellStart"/>
      <w:r>
        <w:rPr>
          <w:rtl/>
        </w:rPr>
        <w:t>היוונית־אורתודוקסית</w:t>
      </w:r>
      <w:proofErr w:type="spellEnd"/>
      <w:r>
        <w:rPr>
          <w:rtl/>
        </w:rPr>
        <w:t xml:space="preserve">, ורבנו צפה בו עד שעה מאוחרת. דווקא איסור המלמד הוא שעורר בו את הרצון לראות מה הדבר שהמלמד אוסר: “וויל איך דאך </w:t>
      </w:r>
      <w:proofErr w:type="spellStart"/>
      <w:r>
        <w:rPr>
          <w:rtl/>
        </w:rPr>
        <w:t>דוקא</w:t>
      </w:r>
      <w:proofErr w:type="spellEnd"/>
      <w:r>
        <w:rPr>
          <w:rtl/>
        </w:rPr>
        <w:t xml:space="preserve"> </w:t>
      </w:r>
      <w:proofErr w:type="spellStart"/>
      <w:r>
        <w:rPr>
          <w:rtl/>
        </w:rPr>
        <w:t>גיין</w:t>
      </w:r>
      <w:proofErr w:type="spellEnd"/>
      <w:r>
        <w:rPr>
          <w:rtl/>
        </w:rPr>
        <w:t>” [משום כך דווקא רציתי ללכת], אמר.</w:t>
      </w:r>
    </w:p>
    <w:p w14:paraId="6EEB1A2C" w14:textId="77777777" w:rsidR="00AB3647" w:rsidRDefault="00000000" w:rsidP="007923E9">
      <w:pPr>
        <w:spacing w:after="100" w:line="276" w:lineRule="auto"/>
        <w:ind w:firstLine="340"/>
        <w:jc w:val="both"/>
      </w:pPr>
      <w:r>
        <w:rPr>
          <w:rtl/>
        </w:rPr>
        <w:t xml:space="preserve">למחרת בבוקר שיקר כשנשאל מדוע איחר לבוא לחדר. כשהביאה אחותו את ארוחת הצהריים ששכח, היא </w:t>
      </w:r>
      <w:r>
        <w:rPr>
          <w:b/>
          <w:bCs/>
          <w:rtl/>
        </w:rPr>
        <w:t>אישרה</w:t>
      </w:r>
      <w:r>
        <w:rPr>
          <w:rtl/>
        </w:rPr>
        <w:t xml:space="preserve"> את חשד המלמד, והנער הסורר ספג את המלקות שהיה ראוי להן בהחלט. אבי לא סלח למלמד על שהעמידו במצב שבו הרגיש שהוא נאלץ לשקר!</w:t>
      </w:r>
      <w:bookmarkStart w:id="396" w:name="_fnr232"/>
      <w:bookmarkStart w:id="397" w:name="pr_f_165"/>
      <w:r>
        <w:rPr>
          <w:rStyle w:val="a5"/>
        </w:rPr>
        <w:footnoteReference w:id="232" w:customMarkFollows="0"/>
      </w:r>
      <w:bookmarkEnd w:id="396"/>
      <w:bookmarkEnd w:id="397"/>
    </w:p>
    <w:p w14:paraId="4C580205" w14:textId="06F2581D"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רבנו היה ילד שקדן שנתברך בזיכרון יוצא מן הכלל</w:t>
      </w:r>
      <w:bookmarkStart w:id="398" w:name="b1_ref67"/>
      <w:bookmarkEnd w:id="398"/>
      <w:r>
        <w:rPr>
          <w:vertAlign w:val="superscript"/>
          <w:rtl/>
        </w:rPr>
        <w:fldChar w:fldCharType="begin" w:dirty="true"/>
      </w:r>
      <w:r>
        <w:rPr>
          <w:vertAlign w:val="superscript"/>
          <w:rtl/>
        </w:rPr>
        <w:instrText xml:space="preserve"> REF b1_note67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67</w:t>
      </w:r>
      <w:r>
        <w:rPr>
          <w:vertAlign w:val="superscript"/>
          <w:rtl/>
        </w:rPr>
        <w:fldChar w:fldCharType="end"/>
      </w:r>
      <w:r>
        <w:rPr>
          <w:rtl/>
        </w:rPr>
        <w:t xml:space="preserve">. כשהיה רק בן חמש הסתובב בבית המדרש </w:t>
      </w:r>
      <w:proofErr w:type="spellStart"/>
      <w:r>
        <w:rPr>
          <w:rtl/>
        </w:rPr>
        <w:t>בדולהינוב</w:t>
      </w:r>
      <w:proofErr w:type="spellEnd"/>
      <w:r>
        <w:rPr>
          <w:rtl/>
        </w:rPr>
        <w:t>, שבו למדו כמה בעלי בתים גמרא באחד מימי החורף, בשעות אחר הצהריים. הם נתקלו בהפניה לפסוק בספר שופטים והוצרכו לדעת את לשונו המדויקת, וביקשו מן הילד שימצא להם את הכרך הדרוש.</w:t>
      </w:r>
    </w:p>
    <w:bookmarkStart w:id="399" w:name="b1_note67"/>
    <w:p w14:paraId="6752535B" w14:textId="77777777" w:rsidR="00AB3647" w:rsidRDefault="00000000" w:rsidP="007923E9">
      <w:pPr>
        <w:spacing w:before="120" w:after="100" w:line="276" w:lineRule="auto"/>
        <w:jc w:val="both"/>
      </w:pPr>
      <w:r>
        <w:fldChar w:fldCharType="begin" w:dirty="true"/>
      </w:r>
      <w:r>
        <w:instrText>HYPERLINK \l "b1_ref67"</w:instrText>
      </w:r>
      <w:r>
        <w:fldChar w:fldCharType="separate"/>
      </w:r>
      <w:r>
        <w:rPr>
          <w:b/>
          <w:bCs/>
          <w:rtl/>
        </w:rPr>
        <w:t>67</w:t>
      </w:r>
      <w:r>
        <w:rPr>
          <w:b/>
          <w:bCs/>
        </w:rPr>
        <w:fldChar w:fldCharType="end"/>
      </w:r>
      <w:bookmarkEnd w:id="399"/>
      <w:r>
        <w:rPr>
          <w:rtl/>
        </w:rPr>
        <w:t xml:space="preserve"> ר׳ </w:t>
      </w:r>
      <w:proofErr w:type="spellStart"/>
      <w:r>
        <w:rPr>
          <w:rtl/>
        </w:rPr>
        <w:t>לייבל</w:t>
      </w:r>
      <w:proofErr w:type="spellEnd"/>
      <w:r>
        <w:rPr>
          <w:rtl/>
        </w:rPr>
        <w:t xml:space="preserve"> </w:t>
      </w:r>
      <w:proofErr w:type="spellStart"/>
      <w:r>
        <w:rPr>
          <w:rtl/>
        </w:rPr>
        <w:t>פרלשטיין</w:t>
      </w:r>
      <w:proofErr w:type="spellEnd"/>
      <w:r>
        <w:rPr>
          <w:rtl/>
        </w:rPr>
        <w:t xml:space="preserve"> סיפר שאבי אמר לו פעם, באמצע שנות </w:t>
      </w:r>
      <w:proofErr w:type="spellStart"/>
      <w:r>
        <w:rPr>
          <w:rtl/>
        </w:rPr>
        <w:t>הת״ש־כ</w:t>
      </w:r>
      <w:proofErr w:type="spellEnd"/>
      <w:r>
        <w:rPr>
          <w:rtl/>
        </w:rPr>
        <w:t>׳, שמעולם לא שכח תוספות בש״ס</w:t>
      </w:r>
      <w:bookmarkStart w:id="400" w:name="_fnr233"/>
      <w:r>
        <w:rPr>
          <w:rStyle w:val="a5"/>
        </w:rPr>
        <w:footnoteReference w:id="233" w:customMarkFollows="0"/>
      </w:r>
      <w:bookmarkEnd w:id="400"/>
      <w:r>
        <w:rPr>
          <w:rtl/>
        </w:rPr>
        <w:t xml:space="preserve">. נתקלתי בדוגמה הבאה לזיכרונו יוצא הדופן. ר׳ דוד </w:t>
      </w:r>
      <w:proofErr w:type="spellStart"/>
      <w:r>
        <w:rPr>
          <w:rtl/>
        </w:rPr>
        <w:t>דרעבין</w:t>
      </w:r>
      <w:proofErr w:type="spellEnd"/>
      <w:r>
        <w:rPr>
          <w:rtl/>
        </w:rPr>
        <w:t xml:space="preserve"> חזר</w:t>
      </w:r>
      <w:bookmarkStart w:id="401" w:name="_fnr234"/>
      <w:r>
        <w:rPr>
          <w:rStyle w:val="a5"/>
        </w:rPr>
        <w:footnoteReference w:id="234" w:customMarkFollows="0"/>
      </w:r>
      <w:bookmarkEnd w:id="401"/>
      <w:r>
        <w:rPr>
          <w:rtl/>
        </w:rPr>
        <w:t xml:space="preserve"> על מה שהשיב רבנו כשנשאל מה דעתו על המקפידים ללמד ילדים את אותיות </w:t>
      </w:r>
      <w:proofErr w:type="spellStart"/>
      <w:r>
        <w:rPr>
          <w:rtl/>
        </w:rPr>
        <w:t>האלף־בית</w:t>
      </w:r>
      <w:proofErr w:type="spellEnd"/>
      <w:r>
        <w:rPr>
          <w:rtl/>
        </w:rPr>
        <w:t xml:space="preserve"> רק כסדרן, ומאותיות מודפסות שחור על גבי לבן, כבספר תורה. אבי, שהיה אז בשנות השמונים לחייו, השיב: “אני זוכר שהאות הראשונה של </w:t>
      </w:r>
      <w:proofErr w:type="spellStart"/>
      <w:r>
        <w:rPr>
          <w:rtl/>
        </w:rPr>
        <w:t>האלף־בית</w:t>
      </w:r>
      <w:proofErr w:type="spellEnd"/>
      <w:r>
        <w:rPr>
          <w:rtl/>
        </w:rPr>
        <w:t xml:space="preserve"> שלמדתי כילד קטן הייתה מ״ם, ולא אל״ף”.</w:t>
      </w:r>
    </w:p>
    <w:p w14:paraId="5C54A638" w14:textId="77777777" w:rsidR="00AB3647" w:rsidRDefault="00000000" w:rsidP="007923E9">
      <w:pPr>
        <w:spacing w:before="120" w:after="100" w:line="276" w:lineRule="auto"/>
        <w:jc w:val="both"/>
      </w:pPr>
      <w:r>
        <w:rPr>
          <w:rtl/>
        </w:rPr>
        <w:lastRenderedPageBreak/>
        <w:t xml:space="preserve">ר׳ שמעון </w:t>
      </w:r>
      <w:proofErr w:type="spellStart"/>
      <w:r>
        <w:rPr>
          <w:rtl/>
        </w:rPr>
        <w:t>קצמן</w:t>
      </w:r>
      <w:proofErr w:type="spellEnd"/>
      <w:r>
        <w:rPr>
          <w:rtl/>
        </w:rPr>
        <w:t xml:space="preserve"> סיפר</w:t>
      </w:r>
      <w:bookmarkStart w:id="402" w:name="_fnr235"/>
      <w:r>
        <w:rPr>
          <w:rStyle w:val="a5"/>
        </w:rPr>
        <w:footnoteReference w:id="235" w:customMarkFollows="0"/>
      </w:r>
      <w:bookmarkEnd w:id="402"/>
      <w:r>
        <w:rPr>
          <w:rtl/>
        </w:rPr>
        <w:t xml:space="preserve"> שבשנת </w:t>
      </w:r>
      <w:proofErr w:type="spellStart"/>
      <w:r>
        <w:rPr>
          <w:rtl/>
        </w:rPr>
        <w:t>תש״ך</w:t>
      </w:r>
      <w:proofErr w:type="spellEnd"/>
      <w:r>
        <w:rPr>
          <w:rtl/>
        </w:rPr>
        <w:t xml:space="preserve"> ביקש עצה כיצד לשפר את לימודו. אביו הביא אותו לרבנו, שפתח את הפרק השישי של מסכת אבות והתעכב על כמה פריטים ברשימת “מ״ח דברים שהתורה נקנית בהם”. אז נזכר אבי ואמר: “כשהייתי ילד קטן ולמדתי בקול ‘</w:t>
      </w:r>
      <w:proofErr w:type="spellStart"/>
      <w:r>
        <w:rPr>
          <w:rtl/>
        </w:rPr>
        <w:t>געשמאק</w:t>
      </w:r>
      <w:proofErr w:type="spellEnd"/>
      <w:r>
        <w:rPr>
          <w:rtl/>
        </w:rPr>
        <w:t>’ [בהנאה] – כפי שהמשנה דורשת – ניגש אלי זקן אחד ואמר שאם אני רוצה לדעת את הש״ס בעל פה, עלי ללמוד אותו בניגון מסוים, ואותו זקן ניסה ללמד אותי את הניגון. ‘ניגון זה הוא סגולה לזכירת הש״ס׳, אמר. אבל הייתי צעיר וחסר שמיעה מוזיקלית, ולא הצלחתי לקלוט את הניגון; כך שנאלצתי ללכת בדרך הקשה”. המרואיין הסביר שאבי ביקש להבליט שהלימוד בניגון מועיל לזכירת מה שלומדים</w:t>
      </w:r>
      <w:bookmarkStart w:id="403" w:name="_fnr236"/>
      <w:r>
        <w:rPr>
          <w:rStyle w:val="a5"/>
        </w:rPr>
        <w:footnoteReference w:id="236" w:customMarkFollows="0"/>
      </w:r>
      <w:bookmarkEnd w:id="403"/>
      <w:r>
        <w:rPr>
          <w:rtl/>
        </w:rPr>
        <w:t>.</w:t>
      </w:r>
    </w:p>
    <w:p w14:paraId="36799C38" w14:textId="00A1891E"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proofErr w:type="spellStart"/>
      <w:r>
        <w:rPr>
          <w:rtl/>
        </w:rPr>
        <w:t>משלא</w:t>
      </w:r>
      <w:proofErr w:type="spellEnd"/>
      <w:r>
        <w:rPr>
          <w:rtl/>
        </w:rPr>
        <w:t xml:space="preserve"> עלה בידי הילד למצוא את הספר, נזכר אחד הלומדים שאותו פסוק נמצא בהפטרת פרשת בשלח – שירת דבורה, בפרק החמישי של ספר שופטים – שנקראה בבית הכנסת יומיים קודם לכן. שוב ביקשו מן הילד הקטן שיביא להם, הפעם, חומש שמות. הוא אמר שאין צורך בספר, שכן כבר למד את שירת דבורה בחדר ויכול לאומרה בעל פה. סקרנותו של ראש חבורת הלומדים התעוררה, והוא ביקש מן הילד לומר את השירה בעל פה – והילד אמר אותה כולה</w:t>
      </w:r>
      <w:bookmarkStart w:id="404" w:name="b1_ref68"/>
      <w:bookmarkEnd w:id="404"/>
      <w:r>
        <w:rPr>
          <w:vertAlign w:val="superscript"/>
          <w:rtl/>
        </w:rPr>
        <w:fldChar w:fldCharType="begin" w:dirty="true"/>
      </w:r>
      <w:r>
        <w:rPr>
          <w:vertAlign w:val="superscript"/>
          <w:rtl/>
        </w:rPr>
        <w:instrText xml:space="preserve"> REF b1_note68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68</w:t>
      </w:r>
      <w:r>
        <w:rPr>
          <w:vertAlign w:val="superscript"/>
          <w:rtl/>
        </w:rPr>
        <w:fldChar w:fldCharType="end"/>
      </w:r>
      <w:r>
        <w:rPr>
          <w:rtl/>
        </w:rPr>
        <w:t xml:space="preserve">. עד גיל </w:t>
      </w:r>
      <w:proofErr w:type="spellStart"/>
      <w:r>
        <w:rPr>
          <w:rtl/>
        </w:rPr>
        <w:t>אחת־עשרה</w:t>
      </w:r>
      <w:proofErr w:type="spellEnd"/>
      <w:r>
        <w:rPr>
          <w:rtl/>
        </w:rPr>
        <w:t xml:space="preserve"> כבר ידע בעל פה עשרים וחמישה דפי גמרא</w:t>
      </w:r>
      <w:r>
        <w:rPr>
          <w:vertAlign w:val="superscript"/>
          <w:rtl/>
        </w:rPr>
        <w:fldChar w:fldCharType="begin" w:dirty="true"/>
      </w:r>
      <w:r>
        <w:rPr>
          <w:vertAlign w:val="superscript"/>
          <w:rtl/>
        </w:rPr>
        <w:instrText xml:space="preserve"> REF b1_note61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w:t>
      </w:r>
      <w:r w:rsidR="007923E9" w:rsidRPr="007923E9">
        <w:rPr>
          <w:vertAlign w:val="superscript"/>
          <w:rtl/>
        </w:rPr>
        <w:t>1</w:t>
      </w:r>
      <w:r>
        <w:rPr>
          <w:vertAlign w:val="superscript"/>
          <w:rtl/>
        </w:rPr>
        <w:fldChar w:fldCharType="end"/>
      </w:r>
      <w:r>
        <w:rPr>
          <w:rtl/>
        </w:rPr>
        <w:t>.</w:t>
      </w:r>
    </w:p>
    <w:bookmarkStart w:id="405" w:name="b1_note68"/>
    <w:p w14:paraId="726ADD11" w14:textId="77777777" w:rsidR="00AB3647" w:rsidRDefault="00000000" w:rsidP="007923E9">
      <w:pPr>
        <w:spacing w:before="120" w:after="100" w:line="276" w:lineRule="auto"/>
        <w:jc w:val="both"/>
      </w:pPr>
      <w:r>
        <w:fldChar w:fldCharType="begin" w:dirty="true"/>
      </w:r>
      <w:r>
        <w:instrText>HYPERLINK \l "b1_ref68"</w:instrText>
      </w:r>
      <w:r>
        <w:fldChar w:fldCharType="separate"/>
      </w:r>
      <w:r>
        <w:rPr>
          <w:b/>
          <w:bCs/>
          <w:rtl/>
        </w:rPr>
        <w:t>68</w:t>
      </w:r>
      <w:r>
        <w:rPr>
          <w:b/>
          <w:bCs/>
        </w:rPr>
        <w:fldChar w:fldCharType="end"/>
      </w:r>
      <w:bookmarkEnd w:id="405"/>
      <w:r>
        <w:rPr>
          <w:rtl/>
        </w:rPr>
        <w:t xml:space="preserve"> אבי סיפר זאת לנכדו, בני ר׳ יוסף</w:t>
      </w:r>
      <w:bookmarkStart w:id="406" w:name="_fnr237"/>
      <w:r>
        <w:rPr>
          <w:rStyle w:val="a5"/>
        </w:rPr>
        <w:footnoteReference w:id="237" w:customMarkFollows="0"/>
      </w:r>
      <w:bookmarkEnd w:id="406"/>
      <w:r>
        <w:rPr>
          <w:rtl/>
        </w:rPr>
        <w:t>.</w:t>
      </w:r>
    </w:p>
    <w:p w14:paraId="08AFD562" w14:textId="77777777" w:rsidR="00AB3647" w:rsidRDefault="00000000" w:rsidP="007923E9">
      <w:pPr>
        <w:spacing w:after="100" w:line="276" w:lineRule="auto"/>
        <w:ind w:firstLine="340"/>
        <w:jc w:val="both"/>
      </w:pPr>
      <w:r>
        <w:rPr>
          <w:rtl/>
        </w:rPr>
        <w:t xml:space="preserve">מעשה שירת דבורה אירע בט״ו בשבט, כשהילדים שוחררו מן החדר וקיבלו אחר </w:t>
      </w:r>
      <w:proofErr w:type="spellStart"/>
      <w:r>
        <w:rPr>
          <w:rtl/>
        </w:rPr>
        <w:t>צהריים</w:t>
      </w:r>
      <w:proofErr w:type="spellEnd"/>
      <w:r>
        <w:rPr>
          <w:rtl/>
        </w:rPr>
        <w:t xml:space="preserve"> של פנאי. אבי בילה אותו בבית המדרש, שבו עמד ר׳ </w:t>
      </w:r>
      <w:proofErr w:type="spellStart"/>
      <w:r>
        <w:rPr>
          <w:rtl/>
        </w:rPr>
        <w:t>יהודה־לייב</w:t>
      </w:r>
      <w:proofErr w:type="spellEnd"/>
      <w:r>
        <w:rPr>
          <w:rtl/>
        </w:rPr>
        <w:t xml:space="preserve"> </w:t>
      </w:r>
      <w:proofErr w:type="spellStart"/>
      <w:r>
        <w:rPr>
          <w:rtl/>
        </w:rPr>
        <w:t>רודרמן</w:t>
      </w:r>
      <w:proofErr w:type="spellEnd"/>
      <w:r>
        <w:rPr>
          <w:rtl/>
        </w:rPr>
        <w:t xml:space="preserve"> בראש חבורת הלומדים. בקיאותו של אבי זיכתה אותו בפרס של </w:t>
      </w:r>
      <w:proofErr w:type="spellStart"/>
      <w:r>
        <w:rPr>
          <w:rtl/>
        </w:rPr>
        <w:t>קופיקה</w:t>
      </w:r>
      <w:proofErr w:type="spellEnd"/>
      <w:r>
        <w:rPr>
          <w:rtl/>
        </w:rPr>
        <w:t xml:space="preserve"> “לקנות </w:t>
      </w:r>
      <w:proofErr w:type="spellStart"/>
      <w:r>
        <w:rPr>
          <w:rtl/>
        </w:rPr>
        <w:t>בוקסער</w:t>
      </w:r>
      <w:proofErr w:type="spellEnd"/>
      <w:r>
        <w:rPr>
          <w:rtl/>
        </w:rPr>
        <w:t xml:space="preserve"> (חרובים)”, מעדן של ט״ו בשבט. כשבא הביתה וסיפר </w:t>
      </w:r>
      <w:proofErr w:type="spellStart"/>
      <w:r>
        <w:rPr>
          <w:rtl/>
        </w:rPr>
        <w:t>לאמו</w:t>
      </w:r>
      <w:proofErr w:type="spellEnd"/>
      <w:r>
        <w:rPr>
          <w:rtl/>
        </w:rPr>
        <w:t xml:space="preserve"> על המזל הטוב שנפל בחלקו, אמרה לו שר׳ </w:t>
      </w:r>
      <w:proofErr w:type="spellStart"/>
      <w:r>
        <w:rPr>
          <w:rtl/>
        </w:rPr>
        <w:t>יהודה־לייב</w:t>
      </w:r>
      <w:proofErr w:type="spellEnd"/>
      <w:r>
        <w:rPr>
          <w:rtl/>
        </w:rPr>
        <w:t xml:space="preserve"> </w:t>
      </w:r>
      <w:proofErr w:type="spellStart"/>
      <w:r>
        <w:rPr>
          <w:rtl/>
        </w:rPr>
        <w:t>רודרמן</w:t>
      </w:r>
      <w:proofErr w:type="spellEnd"/>
      <w:r>
        <w:rPr>
          <w:rtl/>
        </w:rPr>
        <w:t xml:space="preserve"> קרוב משפחה שלהם – השווה הערות 32 ו־41 לעיל.</w:t>
      </w:r>
    </w:p>
    <w:p w14:paraId="5C99BBFC" w14:textId="5015F700" w:rsidR="00AB3647" w:rsidRDefault="00000000" w:rsidP="007923E9">
      <w:pPr>
        <w:spacing w:after="100" w:line="276" w:lineRule="auto"/>
        <w:ind w:firstLine="340"/>
        <w:jc w:val="both"/>
      </w:pPr>
      <w:r>
        <w:rPr>
          <w:rtl/>
        </w:rPr>
        <w:t xml:space="preserve">אחייני ר׳ אברהם </w:t>
      </w:r>
      <w:proofErr w:type="spellStart"/>
      <w:r>
        <w:rPr>
          <w:rtl/>
        </w:rPr>
        <w:t>קמינצקי</w:t>
      </w:r>
      <w:bookmarkStart w:id="407" w:name="_fnr238"/>
      <w:proofErr w:type="spellEnd"/>
      <w:r>
        <w:rPr>
          <w:rStyle w:val="a5"/>
        </w:rPr>
        <w:footnoteReference w:id="238" w:customMarkFollows="0"/>
      </w:r>
      <w:bookmarkEnd w:id="407"/>
      <w:r>
        <w:rPr>
          <w:rtl/>
        </w:rPr>
        <w:t xml:space="preserve"> הביא נוסח שונה מעט של המעשה מתוך רשימות ביוגרפיות שרשם בחיי סבו</w:t>
      </w:r>
      <w:bookmarkStart w:id="408" w:name="_fnr239"/>
      <w:r>
        <w:rPr>
          <w:rStyle w:val="a5"/>
        </w:rPr>
        <w:footnoteReference w:id="239" w:customMarkFollows="0"/>
      </w:r>
      <w:bookmarkEnd w:id="408"/>
      <w:r>
        <w:rPr>
          <w:rtl/>
        </w:rPr>
        <w:t xml:space="preserve">, וזה לשונו: ר׳ </w:t>
      </w:r>
      <w:proofErr w:type="spellStart"/>
      <w:r>
        <w:rPr>
          <w:rtl/>
        </w:rPr>
        <w:t>יהודה־לייב</w:t>
      </w:r>
      <w:proofErr w:type="spellEnd"/>
      <w:r>
        <w:rPr>
          <w:rtl/>
        </w:rPr>
        <w:t xml:space="preserve"> </w:t>
      </w:r>
      <w:proofErr w:type="spellStart"/>
      <w:r>
        <w:rPr>
          <w:rtl/>
        </w:rPr>
        <w:t>רודרמן</w:t>
      </w:r>
      <w:proofErr w:type="spellEnd"/>
      <w:r>
        <w:rPr>
          <w:rtl/>
        </w:rPr>
        <w:t xml:space="preserve">, שלימד כמה בחורים בבית המדרש, שאל את רבנו מה הוא לומד בחדר, כדי לבחון אותו. כשהשיב הילד שהוא לומד נ״ך, ולא היה בנמצא ספר נביאים לבחון אותו ממנו, הציע אחד מתלמידי ר׳ </w:t>
      </w:r>
      <w:proofErr w:type="spellStart"/>
      <w:r>
        <w:rPr>
          <w:rtl/>
        </w:rPr>
        <w:t>יהודה־לייב</w:t>
      </w:r>
      <w:proofErr w:type="spellEnd"/>
      <w:r>
        <w:rPr>
          <w:rtl/>
        </w:rPr>
        <w:t xml:space="preserve"> לבחון את הילד מתוך חומש בהפטרה האחרונה, שהייתה במקרה שירת דבורה</w:t>
      </w:r>
      <w:bookmarkStart w:id="409" w:name="_fnr240"/>
      <w:r>
        <w:rPr>
          <w:rStyle w:val="a5"/>
        </w:rPr>
        <w:footnoteReference w:id="240" w:customMarkFollows="0"/>
      </w:r>
      <w:bookmarkEnd w:id="409"/>
      <w:r>
        <w:rPr>
          <w:rtl/>
        </w:rPr>
        <w:t xml:space="preserve">. אז הכריז הילד שהוא יודע אותה בעל פה. אבי סיפר לנכדו ר׳ שלום </w:t>
      </w:r>
      <w:proofErr w:type="spellStart"/>
      <w:r>
        <w:rPr>
          <w:rtl/>
        </w:rPr>
        <w:t>קמינצקי</w:t>
      </w:r>
      <w:bookmarkStart w:id="410" w:name="_fnr241"/>
      <w:proofErr w:type="spellEnd"/>
      <w:r>
        <w:rPr>
          <w:rStyle w:val="a5"/>
        </w:rPr>
        <w:footnoteReference w:id="241" w:customMarkFollows="0"/>
      </w:r>
      <w:bookmarkEnd w:id="410"/>
      <w:r>
        <w:rPr>
          <w:rtl/>
        </w:rPr>
        <w:t xml:space="preserve"> שבאותו זמן כבר קרא את כל הנביאים הראשונים. והשווה גם הערה </w:t>
      </w:r>
      <w:r>
        <w:rPr>
          <w:rtl/>
        </w:rPr>
        <w:fldChar w:fldCharType="begin" w:dirty="true"/>
      </w:r>
      <w:r>
        <w:rPr>
          <w:rtl/>
        </w:rPr>
        <w:instrText xml:space="preserve"> REF b1_note59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59</w:t>
      </w:r>
      <w:r>
        <w:rPr>
          <w:rtl/>
        </w:rPr>
        <w:fldChar w:fldCharType="end"/>
      </w:r>
      <w:r>
        <w:rPr>
          <w:rtl/>
        </w:rPr>
        <w:t xml:space="preserve"> לעיל.</w:t>
      </w:r>
    </w:p>
    <w:p w14:paraId="10CD92E8" w14:textId="37F5A143"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lastRenderedPageBreak/>
        <w:t>כבר בגיל צעיר גילה אבי שכל מעמיק ונטייה לסדר. הוא נהנה לעיין בפיוטים ולפענח את החתימות שהצפינו בהם מחבריהם, ואף גילה שמות נסתרים שנשזרו בחכמה רבה כל כך, עד שנעלמו מעיני מדפיסי המחזורים</w:t>
      </w:r>
      <w:r>
        <w:rPr>
          <w:vertAlign w:val="superscript"/>
          <w:rtl/>
        </w:rPr>
        <w:fldChar w:fldCharType="begin" w:dirty="true"/>
      </w:r>
      <w:r>
        <w:rPr>
          <w:vertAlign w:val="superscript"/>
          <w:rtl/>
        </w:rPr>
        <w:instrText xml:space="preserve"> REF b1_note68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w:t>
      </w:r>
      <w:r w:rsidR="007923E9" w:rsidRPr="007923E9">
        <w:rPr>
          <w:vertAlign w:val="superscript"/>
          <w:rtl/>
        </w:rPr>
        <w:t>8</w:t>
      </w:r>
      <w:r>
        <w:rPr>
          <w:vertAlign w:val="superscript"/>
          <w:rtl/>
        </w:rPr>
        <w:fldChar w:fldCharType="end"/>
      </w:r>
      <w:r>
        <w:rPr>
          <w:rtl/>
        </w:rPr>
        <w:t xml:space="preserve">. שכלו היה פתוח לדעת: מתוך סקרנות היה לומד סוגיות גמרא שמעבר לתוכנית הלימודים של מלמדו, ומעיין בחלקים הקלים לקריאה </w:t>
      </w:r>
      <w:proofErr w:type="spellStart"/>
      <w:r>
        <w:rPr>
          <w:rtl/>
        </w:rPr>
        <w:t>שב“יד</w:t>
      </w:r>
      <w:proofErr w:type="spellEnd"/>
      <w:r>
        <w:rPr>
          <w:rtl/>
        </w:rPr>
        <w:t xml:space="preserve"> החזקה” לרמב״ם. להבדיל, קלט את הכתב והלשון הרוסיים, אף שהיהודים לא השתמשו בהם בחיי היום־יום</w:t>
      </w:r>
      <w:bookmarkStart w:id="411" w:name="b1_ref69"/>
      <w:bookmarkEnd w:id="411"/>
      <w:r>
        <w:rPr>
          <w:vertAlign w:val="superscript"/>
          <w:rtl/>
        </w:rPr>
        <w:fldChar w:fldCharType="begin" w:dirty="true"/>
      </w:r>
      <w:r>
        <w:rPr>
          <w:vertAlign w:val="superscript"/>
          <w:rtl/>
        </w:rPr>
        <w:instrText xml:space="preserve"> REF b1_note69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69</w:t>
      </w:r>
      <w:r>
        <w:rPr>
          <w:vertAlign w:val="superscript"/>
          <w:rtl/>
        </w:rPr>
        <w:fldChar w:fldCharType="end"/>
      </w:r>
      <w:r>
        <w:rPr>
          <w:rtl/>
        </w:rPr>
        <w:t>.</w:t>
      </w:r>
    </w:p>
    <w:bookmarkStart w:id="412" w:name="b1_note69"/>
    <w:p w14:paraId="39899863" w14:textId="65384BBF" w:rsidR="00AB3647" w:rsidRDefault="00000000" w:rsidP="007923E9">
      <w:pPr>
        <w:spacing w:before="120" w:after="100" w:line="276" w:lineRule="auto"/>
        <w:jc w:val="both"/>
      </w:pPr>
      <w:r>
        <w:fldChar w:fldCharType="begin" w:dirty="true"/>
      </w:r>
      <w:r>
        <w:instrText>HYPERLINK \l "b1_ref69"</w:instrText>
      </w:r>
      <w:r>
        <w:fldChar w:fldCharType="separate"/>
      </w:r>
      <w:r>
        <w:rPr>
          <w:b/>
          <w:bCs/>
          <w:rtl/>
        </w:rPr>
        <w:t>69</w:t>
      </w:r>
      <w:r>
        <w:rPr>
          <w:b/>
          <w:bCs/>
        </w:rPr>
        <w:fldChar w:fldCharType="end"/>
      </w:r>
      <w:bookmarkEnd w:id="412"/>
      <w:r>
        <w:rPr>
          <w:rtl/>
        </w:rPr>
        <w:t xml:space="preserve"> השווה פרק 2, אמצע הפסקה התשיעית של </w:t>
      </w:r>
      <w:r>
        <w:rPr>
          <w:rtl/>
        </w:rPr>
        <w:fldChar w:fldCharType="begin" w:dirty="true"/>
      </w:r>
      <w:r>
        <w:rPr>
          <w:rtl/>
        </w:rPr>
        <w:instrText xml:space="preserve"> REF b2_excA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א</w:t>
      </w:r>
      <w:r>
        <w:rPr>
          <w:rtl/>
        </w:rPr>
        <w:fldChar w:fldCharType="end"/>
      </w:r>
      <w:r>
        <w:rPr>
          <w:rtl/>
        </w:rPr>
        <w:t>, שהיהודים הכירו את הלשון הפולנית יותר מן הרוסית, והטעם לכך.</w:t>
      </w:r>
    </w:p>
    <w:p w14:paraId="6EA7DA17" w14:textId="77777777" w:rsidR="00AB3647" w:rsidRDefault="00000000" w:rsidP="007923E9">
      <w:pPr>
        <w:spacing w:before="120" w:after="100" w:line="276" w:lineRule="auto"/>
        <w:jc w:val="both"/>
      </w:pPr>
      <w:r>
        <w:rPr>
          <w:rtl/>
        </w:rPr>
        <w:t xml:space="preserve">לדברי ר׳ </w:t>
      </w:r>
      <w:proofErr w:type="spellStart"/>
      <w:r>
        <w:rPr>
          <w:rtl/>
        </w:rPr>
        <w:t>חיים־דוב</w:t>
      </w:r>
      <w:proofErr w:type="spellEnd"/>
      <w:r>
        <w:rPr>
          <w:rtl/>
        </w:rPr>
        <w:t xml:space="preserve"> </w:t>
      </w:r>
      <w:proofErr w:type="spellStart"/>
      <w:r>
        <w:rPr>
          <w:rtl/>
        </w:rPr>
        <w:t>רבינוביץ</w:t>
      </w:r>
      <w:bookmarkStart w:id="413" w:name="_fnr242"/>
      <w:proofErr w:type="spellEnd"/>
      <w:r>
        <w:rPr>
          <w:rStyle w:val="a5"/>
        </w:rPr>
        <w:footnoteReference w:id="242" w:customMarkFollows="0"/>
      </w:r>
      <w:bookmarkEnd w:id="413"/>
      <w:r>
        <w:rPr>
          <w:rtl/>
        </w:rPr>
        <w:t xml:space="preserve">, הכריז אבי בכינוס מנהלי בתי ספר של תורה ומסורה שחשוב לדעת את שפת המדינה. הוא סיפר שאדם אחד, שבנו הבכור הגיע זה עתה לגיל בית הספר, אמר לו שהחליט שלא לשלוח את הילד לבית ספר שיש בו לימודי חול, כדי שהנער יוכל להקדיש את כל זמנו ללימוד תורה. מחה אבי: “אבל בנך לא יוכל לקרוא אפילו את שלטי הרחובות כדי לדעת היכן הוא עומד”. האב העיקש השיב: “גם ר׳ חיים </w:t>
      </w:r>
      <w:proofErr w:type="spellStart"/>
      <w:r>
        <w:rPr>
          <w:rtl/>
        </w:rPr>
        <w:t>סולובייצ׳יק</w:t>
      </w:r>
      <w:proofErr w:type="spellEnd"/>
      <w:r>
        <w:rPr>
          <w:rtl/>
        </w:rPr>
        <w:t xml:space="preserve"> לא קרא רוסית”. רבנו חש שהחינוך החריג שהתווה האב לבנו יעכב לגמרי את התפתחותו של הילד, וטען: “כן, אבל </w:t>
      </w:r>
      <w:proofErr w:type="spellStart"/>
      <w:r>
        <w:rPr>
          <w:rtl/>
        </w:rPr>
        <w:t>לר</w:t>
      </w:r>
      <w:proofErr w:type="spellEnd"/>
      <w:r>
        <w:rPr>
          <w:rtl/>
        </w:rPr>
        <w:t>׳ חיים היה שמש שידע רוסית וקרא את השלטים כשליווה אותו ברחובות. וכי אתה מצפה שיהיה לבנך שמש כשיגדל?” את המעשה סיים אבי בנימת ניצחון מהולה בעצב: “האב לא שמע לעצתי</w:t>
      </w:r>
      <w:bookmarkStart w:id="414" w:name="_fnr243"/>
      <w:r>
        <w:rPr>
          <w:rStyle w:val="a5"/>
        </w:rPr>
        <w:footnoteReference w:id="243" w:customMarkFollows="0"/>
      </w:r>
      <w:bookmarkEnd w:id="414"/>
      <w:r>
        <w:rPr>
          <w:rtl/>
        </w:rPr>
        <w:t xml:space="preserve"> עד שהגיעו ילדיו הבאים לגיל בית הספר. התברר שכשגדל הבן הבכור, הוא התעניין בלימוד תורה פחות מכולם”.</w:t>
      </w:r>
    </w:p>
    <w:p w14:paraId="3866932D" w14:textId="3BBED85F" w:rsidR="00AB3647" w:rsidRDefault="00000000" w:rsidP="007923E9">
      <w:pPr>
        <w:spacing w:before="120" w:after="100" w:line="276" w:lineRule="auto"/>
        <w:jc w:val="both"/>
      </w:pPr>
      <w:r>
        <w:rPr>
          <w:rtl/>
        </w:rPr>
        <w:t xml:space="preserve">והשווה גם פרק 4, הפסקה השלישית של </w:t>
      </w:r>
      <w:r>
        <w:rPr>
          <w:rtl/>
        </w:rPr>
        <w:fldChar w:fldCharType="begin" w:dirty="true"/>
      </w:r>
      <w:r>
        <w:rPr>
          <w:rtl/>
        </w:rPr>
        <w:instrText xml:space="preserve"> REF b4_excF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ו</w:t>
      </w:r>
      <w:r>
        <w:rPr>
          <w:rtl/>
        </w:rPr>
        <w:fldChar w:fldCharType="end"/>
      </w:r>
      <w:r>
        <w:rPr>
          <w:rtl/>
        </w:rPr>
        <w:t xml:space="preserve">, על התקלה שאירעה </w:t>
      </w:r>
      <w:proofErr w:type="spellStart"/>
      <w:r>
        <w:rPr>
          <w:rtl/>
        </w:rPr>
        <w:t>לר</w:t>
      </w:r>
      <w:proofErr w:type="spellEnd"/>
      <w:r>
        <w:rPr>
          <w:rtl/>
        </w:rPr>
        <w:t xml:space="preserve">׳ </w:t>
      </w:r>
      <w:proofErr w:type="spellStart"/>
      <w:r>
        <w:rPr>
          <w:rtl/>
        </w:rPr>
        <w:t>יחיאל־יעקב</w:t>
      </w:r>
      <w:proofErr w:type="spellEnd"/>
      <w:r>
        <w:rPr>
          <w:rtl/>
        </w:rPr>
        <w:t xml:space="preserve"> ויינברג מחמת שלא ידע את הלשון הרוסית, ועל המסקנה שהסיק ממנה.</w:t>
      </w:r>
    </w:p>
    <w:p w14:paraId="5228F1B3" w14:textId="52F0F56C"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אבי היה שקדן גדול, וחזר על הגמרא והמפרשים פעם אחר פעם עד שידע אותם על בוריים</w:t>
      </w:r>
      <w:bookmarkStart w:id="415" w:name="b1_ref70"/>
      <w:bookmarkEnd w:id="415"/>
      <w:r>
        <w:rPr>
          <w:vertAlign w:val="superscript"/>
          <w:rtl/>
        </w:rPr>
        <w:fldChar w:fldCharType="begin" w:dirty="true"/>
      </w:r>
      <w:r>
        <w:rPr>
          <w:vertAlign w:val="superscript"/>
          <w:rtl/>
        </w:rPr>
        <w:instrText xml:space="preserve"> REF b1_note70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70</w:t>
      </w:r>
      <w:r>
        <w:rPr>
          <w:vertAlign w:val="superscript"/>
          <w:rtl/>
        </w:rPr>
        <w:fldChar w:fldCharType="end"/>
      </w:r>
      <w:r>
        <w:rPr>
          <w:rtl/>
        </w:rPr>
        <w:t xml:space="preserve">. מעולם לא הניח לשכלו לנוח. אבל אף שהיה שקדן, לא היה מסוגר בעצמו. הוא היה קשוב לסביבתו הכפרית, </w:t>
      </w:r>
      <w:proofErr w:type="spellStart"/>
      <w:r>
        <w:rPr>
          <w:rtl/>
        </w:rPr>
        <w:t>ובדולהינוב</w:t>
      </w:r>
      <w:proofErr w:type="spellEnd"/>
      <w:r>
        <w:rPr>
          <w:rtl/>
        </w:rPr>
        <w:t xml:space="preserve"> נקנו לו אהבה לטבע והתעניינות בו, שליוו אותו כל ימי חייו</w:t>
      </w:r>
      <w:bookmarkStart w:id="416" w:name="b1_ref71"/>
      <w:bookmarkEnd w:id="416"/>
      <w:r>
        <w:rPr>
          <w:vertAlign w:val="superscript"/>
          <w:rtl/>
        </w:rPr>
        <w:fldChar w:fldCharType="begin" w:dirty="true"/>
      </w:r>
      <w:r>
        <w:rPr>
          <w:vertAlign w:val="superscript"/>
          <w:rtl/>
        </w:rPr>
        <w:instrText xml:space="preserve"> REF b1_note71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71</w:t>
      </w:r>
      <w:r>
        <w:rPr>
          <w:vertAlign w:val="superscript"/>
          <w:rtl/>
        </w:rPr>
        <w:fldChar w:fldCharType="end"/>
      </w:r>
      <w:r>
        <w:rPr>
          <w:rtl/>
        </w:rPr>
        <w:t xml:space="preserve"> – מן העשב השפל שלמטה</w:t>
      </w:r>
      <w:bookmarkStart w:id="417" w:name="b1_ref72"/>
      <w:bookmarkEnd w:id="417"/>
      <w:r>
        <w:rPr>
          <w:vertAlign w:val="superscript"/>
          <w:rtl/>
        </w:rPr>
        <w:fldChar w:fldCharType="begin" w:dirty="true"/>
      </w:r>
      <w:r>
        <w:rPr>
          <w:vertAlign w:val="superscript"/>
          <w:rtl/>
        </w:rPr>
        <w:instrText xml:space="preserve"> REF b1_note72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72</w:t>
      </w:r>
      <w:r>
        <w:rPr>
          <w:vertAlign w:val="superscript"/>
          <w:rtl/>
        </w:rPr>
        <w:fldChar w:fldCharType="end"/>
      </w:r>
      <w:r>
        <w:rPr>
          <w:rtl/>
        </w:rPr>
        <w:t xml:space="preserve"> ועד הכוכבים הרמים שלמעלה</w:t>
      </w:r>
      <w:bookmarkStart w:id="418" w:name="b1_ref73"/>
      <w:bookmarkEnd w:id="418"/>
      <w:r>
        <w:rPr>
          <w:vertAlign w:val="superscript"/>
          <w:rtl/>
        </w:rPr>
        <w:fldChar w:fldCharType="begin" w:dirty="true"/>
      </w:r>
      <w:r>
        <w:rPr>
          <w:vertAlign w:val="superscript"/>
          <w:rtl/>
        </w:rPr>
        <w:instrText xml:space="preserve"> REF b1_note73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73</w:t>
      </w:r>
      <w:r>
        <w:rPr>
          <w:vertAlign w:val="superscript"/>
          <w:rtl/>
        </w:rPr>
        <w:fldChar w:fldCharType="end"/>
      </w:r>
      <w:r>
        <w:rPr>
          <w:rtl/>
        </w:rPr>
        <w:t>.</w:t>
      </w:r>
    </w:p>
    <w:bookmarkStart w:id="419" w:name="b1_note70"/>
    <w:p w14:paraId="07CD3D64" w14:textId="77777777" w:rsidR="00AB3647" w:rsidRDefault="00000000" w:rsidP="007923E9">
      <w:pPr>
        <w:spacing w:before="120" w:after="100" w:line="276" w:lineRule="auto"/>
        <w:jc w:val="both"/>
      </w:pPr>
      <w:r>
        <w:fldChar w:fldCharType="begin" w:dirty="true"/>
      </w:r>
      <w:r>
        <w:instrText>HYPERLINK \l "b1_ref70"</w:instrText>
      </w:r>
      <w:r>
        <w:fldChar w:fldCharType="separate"/>
      </w:r>
      <w:r>
        <w:rPr>
          <w:b/>
          <w:bCs/>
          <w:rtl/>
        </w:rPr>
        <w:t>70</w:t>
      </w:r>
      <w:r>
        <w:rPr>
          <w:b/>
          <w:bCs/>
        </w:rPr>
        <w:fldChar w:fldCharType="end"/>
      </w:r>
      <w:bookmarkEnd w:id="419"/>
      <w:r>
        <w:rPr>
          <w:rtl/>
        </w:rPr>
        <w:t xml:space="preserve"> לדברי ר׳ </w:t>
      </w:r>
      <w:proofErr w:type="spellStart"/>
      <w:r>
        <w:rPr>
          <w:rtl/>
        </w:rPr>
        <w:t>לייבל</w:t>
      </w:r>
      <w:proofErr w:type="spellEnd"/>
      <w:r>
        <w:rPr>
          <w:rtl/>
        </w:rPr>
        <w:t xml:space="preserve"> </w:t>
      </w:r>
      <w:proofErr w:type="spellStart"/>
      <w:r>
        <w:rPr>
          <w:rtl/>
        </w:rPr>
        <w:t>פרלשטיין</w:t>
      </w:r>
      <w:bookmarkStart w:id="420" w:name="_fnr244"/>
      <w:proofErr w:type="spellEnd"/>
      <w:r>
        <w:rPr>
          <w:rStyle w:val="a5"/>
        </w:rPr>
        <w:footnoteReference w:id="244" w:customMarkFollows="0"/>
      </w:r>
      <w:bookmarkEnd w:id="420"/>
      <w:r>
        <w:rPr>
          <w:rtl/>
        </w:rPr>
        <w:t xml:space="preserve">, היה אבי לומד את הגמרא עם רש״י כמה פעמים, אחר כך עם רש״י </w:t>
      </w:r>
      <w:proofErr w:type="spellStart"/>
      <w:r>
        <w:rPr>
          <w:rtl/>
        </w:rPr>
        <w:t>והרא״ש</w:t>
      </w:r>
      <w:proofErr w:type="spellEnd"/>
      <w:r>
        <w:rPr>
          <w:rtl/>
        </w:rPr>
        <w:t xml:space="preserve"> כמה פעמים, ואחר כך עם רש״י, תוספות </w:t>
      </w:r>
      <w:proofErr w:type="spellStart"/>
      <w:r>
        <w:rPr>
          <w:rtl/>
        </w:rPr>
        <w:t>והרא״ש</w:t>
      </w:r>
      <w:proofErr w:type="spellEnd"/>
      <w:r>
        <w:rPr>
          <w:rtl/>
        </w:rPr>
        <w:t xml:space="preserve"> כמה פעמים. אחר כך היה חוזר על </w:t>
      </w:r>
      <w:proofErr w:type="spellStart"/>
      <w:r>
        <w:rPr>
          <w:rtl/>
        </w:rPr>
        <w:t>הסוגיה</w:t>
      </w:r>
      <w:proofErr w:type="spellEnd"/>
      <w:r>
        <w:rPr>
          <w:rtl/>
        </w:rPr>
        <w:t xml:space="preserve"> כולה עוד פעמים רבות, עד שהגיע לעשרים וחמש פעמים בסך הכול!</w:t>
      </w:r>
    </w:p>
    <w:p w14:paraId="67B8E53D" w14:textId="77777777" w:rsidR="00AB3647" w:rsidRDefault="00000000" w:rsidP="007923E9">
      <w:pPr>
        <w:spacing w:before="120" w:after="100" w:line="276" w:lineRule="auto"/>
        <w:jc w:val="both"/>
      </w:pPr>
      <w:r>
        <w:rPr>
          <w:rtl/>
        </w:rPr>
        <w:lastRenderedPageBreak/>
        <w:t>בשיחת טלפון כעבור חמש שנים</w:t>
      </w:r>
      <w:bookmarkStart w:id="421" w:name="_fnr245"/>
      <w:r>
        <w:rPr>
          <w:rStyle w:val="a5"/>
        </w:rPr>
        <w:footnoteReference w:id="245" w:customMarkFollows="0"/>
      </w:r>
      <w:bookmarkEnd w:id="421"/>
      <w:r>
        <w:rPr>
          <w:rtl/>
        </w:rPr>
        <w:t xml:space="preserve"> אמר ר׳ </w:t>
      </w:r>
      <w:proofErr w:type="spellStart"/>
      <w:r>
        <w:rPr>
          <w:rtl/>
        </w:rPr>
        <w:t>לייבל</w:t>
      </w:r>
      <w:proofErr w:type="spellEnd"/>
      <w:r>
        <w:rPr>
          <w:rtl/>
        </w:rPr>
        <w:t xml:space="preserve"> שאבי הרגיש שהחמיץ דברים רבים בילדותו – וכנראה היה זה פרי שקידתו יותר מאשר פרי עוני הוריו. עוד אמר אבי </w:t>
      </w:r>
      <w:proofErr w:type="spellStart"/>
      <w:r>
        <w:rPr>
          <w:rtl/>
        </w:rPr>
        <w:t>לר</w:t>
      </w:r>
      <w:proofErr w:type="spellEnd"/>
      <w:r>
        <w:rPr>
          <w:rtl/>
        </w:rPr>
        <w:t xml:space="preserve">׳ </w:t>
      </w:r>
      <w:proofErr w:type="spellStart"/>
      <w:r>
        <w:rPr>
          <w:rtl/>
        </w:rPr>
        <w:t>לייבל</w:t>
      </w:r>
      <w:proofErr w:type="spellEnd"/>
      <w:r>
        <w:rPr>
          <w:rtl/>
        </w:rPr>
        <w:t xml:space="preserve">, בלי לפרט, </w:t>
      </w:r>
      <w:proofErr w:type="spellStart"/>
      <w:r>
        <w:rPr>
          <w:rtl/>
        </w:rPr>
        <w:t>ש“על</w:t>
      </w:r>
      <w:proofErr w:type="spellEnd"/>
      <w:r>
        <w:rPr>
          <w:rtl/>
        </w:rPr>
        <w:t xml:space="preserve"> ידי האכזבות שסבל בנעוריו הכינה אותו ההשגחה לקבל את המכשולים שיפגוש אחר כך בחייו, ומאידך גיסא – לראות את הישגיו כמתנות מאת הבורא”</w:t>
      </w:r>
      <w:bookmarkStart w:id="422" w:name="_fnr246"/>
      <w:r>
        <w:rPr>
          <w:rStyle w:val="a5"/>
        </w:rPr>
        <w:footnoteReference w:id="246" w:customMarkFollows="0"/>
      </w:r>
      <w:bookmarkEnd w:id="422"/>
      <w:r>
        <w:rPr>
          <w:rtl/>
        </w:rPr>
        <w:t>.</w:t>
      </w:r>
    </w:p>
    <w:bookmarkStart w:id="423" w:name="b1_note71"/>
    <w:p w14:paraId="3B3F530A" w14:textId="77777777" w:rsidR="00AB3647" w:rsidRDefault="00000000" w:rsidP="007923E9">
      <w:pPr>
        <w:spacing w:before="120" w:after="100" w:line="276" w:lineRule="auto"/>
        <w:jc w:val="both"/>
      </w:pPr>
      <w:r>
        <w:fldChar w:fldCharType="begin" w:dirty="true"/>
      </w:r>
      <w:r>
        <w:instrText>HYPERLINK \l "b1_ref71"</w:instrText>
      </w:r>
      <w:r>
        <w:fldChar w:fldCharType="separate"/>
      </w:r>
      <w:r>
        <w:rPr>
          <w:b/>
          <w:bCs/>
          <w:rtl/>
        </w:rPr>
        <w:t>71</w:t>
      </w:r>
      <w:r>
        <w:rPr>
          <w:b/>
          <w:bCs/>
        </w:rPr>
        <w:fldChar w:fldCharType="end"/>
      </w:r>
      <w:bookmarkEnd w:id="423"/>
      <w:r>
        <w:rPr>
          <w:rtl/>
        </w:rPr>
        <w:t xml:space="preserve"> בחור ישיבה ראה פעם את אבי, שהיה אז בשנות התשעים לחייו, מתבונן בעצים</w:t>
      </w:r>
      <w:bookmarkStart w:id="424" w:name="_fnr247"/>
      <w:r>
        <w:rPr>
          <w:rStyle w:val="a5"/>
        </w:rPr>
        <w:footnoteReference w:id="247" w:customMarkFollows="0"/>
      </w:r>
      <w:bookmarkEnd w:id="424"/>
      <w:r>
        <w:rPr>
          <w:rtl/>
        </w:rPr>
        <w:t xml:space="preserve"> בפארק </w:t>
      </w:r>
      <w:proofErr w:type="spellStart"/>
      <w:r>
        <w:rPr>
          <w:rtl/>
        </w:rPr>
        <w:t>לאמוס</w:t>
      </w:r>
      <w:proofErr w:type="spellEnd"/>
      <w:r>
        <w:rPr>
          <w:rtl/>
        </w:rPr>
        <w:t xml:space="preserve"> שבמיאמי </w:t>
      </w:r>
      <w:proofErr w:type="spellStart"/>
      <w:r>
        <w:rPr>
          <w:rtl/>
        </w:rPr>
        <w:t>ביץ</w:t>
      </w:r>
      <w:proofErr w:type="spellEnd"/>
      <w:r>
        <w:rPr>
          <w:rtl/>
        </w:rPr>
        <w:t>׳. הוא שאל את רבנו אם מעשהו עולה בקנה אחד עם מאמרו של רבי שמעון במסכת אבות</w:t>
      </w:r>
      <w:bookmarkStart w:id="425" w:name="_fnr248"/>
      <w:r>
        <w:rPr>
          <w:rStyle w:val="a5"/>
        </w:rPr>
        <w:footnoteReference w:id="248" w:customMarkFollows="0"/>
      </w:r>
      <w:bookmarkEnd w:id="425"/>
      <w:r>
        <w:rPr>
          <w:rtl/>
        </w:rPr>
        <w:t xml:space="preserve">: המפסיק ממשנתו ואומר מה נאה אילן זה </w:t>
      </w:r>
      <w:proofErr w:type="spellStart"/>
      <w:r>
        <w:rPr>
          <w:rtl/>
        </w:rPr>
        <w:t>ה״ז</w:t>
      </w:r>
      <w:proofErr w:type="spellEnd"/>
      <w:r>
        <w:rPr>
          <w:rtl/>
        </w:rPr>
        <w:t xml:space="preserve"> מתחייב בנפשו. השיב אבי: “המאמר מדבר דווקא במי שדעתו מוסחת מלימודו מחמת התעניינותו בטבע. אבל אם </w:t>
      </w:r>
      <w:proofErr w:type="spellStart"/>
      <w:r>
        <w:rPr>
          <w:rtl/>
        </w:rPr>
        <w:t>ה‘מה</w:t>
      </w:r>
      <w:proofErr w:type="spellEnd"/>
      <w:r>
        <w:rPr>
          <w:rtl/>
        </w:rPr>
        <w:t xml:space="preserve"> נאה </w:t>
      </w:r>
      <w:proofErr w:type="spellStart"/>
      <w:r>
        <w:rPr>
          <w:rtl/>
        </w:rPr>
        <w:t>וכו</w:t>
      </w:r>
      <w:proofErr w:type="spellEnd"/>
      <w:r>
        <w:rPr>
          <w:rtl/>
        </w:rPr>
        <w:t xml:space="preserve">׳’ הוא מעשה של גילוי חכמת הבורא, כמו ברמב״ם יסודי התורה פ״ב </w:t>
      </w:r>
      <w:proofErr w:type="spellStart"/>
      <w:r>
        <w:rPr>
          <w:rtl/>
        </w:rPr>
        <w:t>ה״ב</w:t>
      </w:r>
      <w:proofErr w:type="spellEnd"/>
      <w:r>
        <w:rPr>
          <w:rtl/>
        </w:rPr>
        <w:t xml:space="preserve">, הרי לא </w:t>
      </w:r>
      <w:r>
        <w:rPr>
          <w:b/>
          <w:bCs/>
          <w:rtl/>
        </w:rPr>
        <w:t>הפסיק</w:t>
      </w:r>
      <w:r>
        <w:rPr>
          <w:rtl/>
        </w:rPr>
        <w:t xml:space="preserve"> ממשנתו”</w:t>
      </w:r>
      <w:bookmarkStart w:id="426" w:name="_fnr249"/>
      <w:bookmarkStart w:id="427" w:name="pr_f_182"/>
      <w:r>
        <w:rPr>
          <w:rStyle w:val="a5"/>
        </w:rPr>
        <w:footnoteReference w:id="249" w:customMarkFollows="0"/>
      </w:r>
      <w:bookmarkEnd w:id="426"/>
      <w:bookmarkEnd w:id="427"/>
      <w:r>
        <w:rPr>
          <w:rtl/>
        </w:rPr>
        <w:t>.</w:t>
      </w:r>
    </w:p>
    <w:p w14:paraId="07618678" w14:textId="77777777" w:rsidR="00AB3647" w:rsidRDefault="00000000" w:rsidP="007923E9">
      <w:pPr>
        <w:spacing w:after="100" w:line="276" w:lineRule="auto"/>
        <w:ind w:firstLine="340"/>
        <w:jc w:val="both"/>
      </w:pPr>
      <w:r>
        <w:rPr>
          <w:rtl/>
        </w:rPr>
        <w:t xml:space="preserve">רבנו כתב בביקורו הראשון בארץ ישראל, ממקום נופשו בכרמל המערבי שבחיפה, מכתבים מתאריכים ב׳ ראה וג׳ ראה תשט״ז לבנו ר׳ בנימין ולבתו רבקה </w:t>
      </w:r>
      <w:proofErr w:type="spellStart"/>
      <w:r>
        <w:rPr>
          <w:rtl/>
        </w:rPr>
        <w:t>דיסקינד</w:t>
      </w:r>
      <w:proofErr w:type="spellEnd"/>
      <w:r>
        <w:rPr>
          <w:rtl/>
        </w:rPr>
        <w:t>, בהתאמה. במכתבים אלה הוא דן תחילה בבעיות ההלכתיות שבמזון המצוי שם</w:t>
      </w:r>
      <w:bookmarkStart w:id="428" w:name="_fnr250"/>
      <w:r>
        <w:rPr>
          <w:rStyle w:val="a5"/>
        </w:rPr>
        <w:footnoteReference w:id="250" w:customMarkFollows="0"/>
      </w:r>
      <w:bookmarkEnd w:id="428"/>
      <w:r>
        <w:rPr>
          <w:rtl/>
        </w:rPr>
        <w:t>. אחר כך הוא כותב (בתרגום מיידיש): “הדבר הטוב היחיד הוא יופי הטבע. אני יושב במרפסת גבוהה מאוד, שממנה נשקף יופיו של הים; הרחבת הדעת שתוקפת אותך כשאתה מרגיש שזהו ים הגדול של התורה, רחב ידיים</w:t>
      </w:r>
      <w:bookmarkStart w:id="429" w:name="_fnr251"/>
      <w:r>
        <w:rPr>
          <w:rStyle w:val="a5"/>
        </w:rPr>
        <w:footnoteReference w:id="251" w:customMarkFollows="0"/>
      </w:r>
      <w:bookmarkEnd w:id="429"/>
      <w:r>
        <w:rPr>
          <w:rtl/>
        </w:rPr>
        <w:t xml:space="preserve"> – קשה לתאר. נעשה אדם – איני יודע כיצד לומר זאת – במידת מה חלק מן הבריאה הגדולה של הקב״ה. כפי שאתה יודע, רחוק אני מלהיות משורר, אבל ‘מבין’ בחזנות אני – והטבע שר כאן יפה כל כך”.</w:t>
      </w:r>
    </w:p>
    <w:p w14:paraId="43706948" w14:textId="77777777" w:rsidR="00AB3647" w:rsidRDefault="00000000" w:rsidP="007923E9">
      <w:pPr>
        <w:spacing w:after="100" w:line="276" w:lineRule="auto"/>
        <w:ind w:firstLine="340"/>
        <w:jc w:val="both"/>
      </w:pPr>
      <w:r>
        <w:rPr>
          <w:rtl/>
        </w:rPr>
        <w:t>במכתב מאוחר יותר, מתאריך כ״ח מנחם אב (5 באוגוסט), לבנו ר׳ שמואל, הוא מתאר את מראה השמש השוקעת אל אופק שאינו ניכר, שבו אין להבחין בין הים לשמים, ואת “האור המתפוגג של ענני הבוקר, הנותן משמעות לפסוק וחסדכם כענן בוקר</w:t>
      </w:r>
      <w:bookmarkStart w:id="430" w:name="_fnr252"/>
      <w:r>
        <w:rPr>
          <w:rStyle w:val="a5"/>
        </w:rPr>
        <w:footnoteReference w:id="252" w:customMarkFollows="0"/>
      </w:r>
      <w:bookmarkEnd w:id="430"/>
      <w:r>
        <w:rPr>
          <w:rtl/>
        </w:rPr>
        <w:t xml:space="preserve">. הרבה </w:t>
      </w:r>
      <w:proofErr w:type="spellStart"/>
      <w:r>
        <w:rPr>
          <w:rtl/>
        </w:rPr>
        <w:t>הרבה</w:t>
      </w:r>
      <w:proofErr w:type="spellEnd"/>
      <w:r>
        <w:rPr>
          <w:rtl/>
        </w:rPr>
        <w:t xml:space="preserve"> פסוקים שמעולם לא הבנתי עד תומם מובנים כאן”.</w:t>
      </w:r>
    </w:p>
    <w:bookmarkStart w:id="431" w:name="b1_note72"/>
    <w:p w14:paraId="4A83D821" w14:textId="77777777" w:rsidR="00AB3647" w:rsidRDefault="00000000" w:rsidP="007923E9">
      <w:pPr>
        <w:spacing w:before="120" w:after="100" w:line="276" w:lineRule="auto"/>
        <w:jc w:val="both"/>
      </w:pPr>
      <w:r>
        <w:fldChar w:fldCharType="begin" w:dirty="true"/>
      </w:r>
      <w:r>
        <w:instrText>HYPERLINK \l "b1_ref72"</w:instrText>
      </w:r>
      <w:r>
        <w:fldChar w:fldCharType="separate"/>
      </w:r>
      <w:r>
        <w:rPr>
          <w:b/>
          <w:bCs/>
          <w:rtl/>
        </w:rPr>
        <w:t>72</w:t>
      </w:r>
      <w:r>
        <w:rPr>
          <w:b/>
          <w:bCs/>
        </w:rPr>
        <w:fldChar w:fldCharType="end"/>
      </w:r>
      <w:bookmarkEnd w:id="431"/>
      <w:r>
        <w:rPr>
          <w:rtl/>
        </w:rPr>
        <w:t xml:space="preserve"> ר׳ </w:t>
      </w:r>
      <w:proofErr w:type="spellStart"/>
      <w:r>
        <w:rPr>
          <w:rtl/>
        </w:rPr>
        <w:t>בן־ציון</w:t>
      </w:r>
      <w:proofErr w:type="spellEnd"/>
      <w:r>
        <w:rPr>
          <w:rtl/>
        </w:rPr>
        <w:t xml:space="preserve"> סובל, שעקב מקרוב אחר רבנו בשנים תשל״ג–תשל״ז ותיעד ביומן את הבחנותיו, קרא את הדברים הבאים מתוך רשימותיו: פעם ישב בשיעור הדף היומי של אבי, ונתקלו בעניין טכני כלשהו בזריעת תבואה ובקצירתה, שהוא עצמו לא הכיר. אבי הביע את תמיהתו על שמעולם לא ראה ולא בירר מהי אותה שיטה הנזכרת. אחרי שקרה כך כמה פעמים, אזר הרב </w:t>
      </w:r>
      <w:r>
        <w:rPr>
          <w:rtl/>
        </w:rPr>
        <w:lastRenderedPageBreak/>
        <w:t>סובל עוז והכריז: “בישיבה שבה למדתי לימדו שיותר מתורה איננו חייבים לדעת”, והשיב לו אבי: “זוהי באמת עוולה”.</w:t>
      </w:r>
    </w:p>
    <w:p w14:paraId="3F07562F" w14:textId="77777777" w:rsidR="00AB3647" w:rsidRDefault="00000000" w:rsidP="007923E9">
      <w:pPr>
        <w:spacing w:after="100" w:line="276" w:lineRule="auto"/>
        <w:ind w:firstLine="340"/>
        <w:jc w:val="both"/>
      </w:pPr>
      <w:r>
        <w:rPr>
          <w:rtl/>
        </w:rPr>
        <w:t xml:space="preserve">פעם אחרת, כשליווה ר׳ </w:t>
      </w:r>
      <w:proofErr w:type="spellStart"/>
      <w:r>
        <w:rPr>
          <w:rtl/>
        </w:rPr>
        <w:t>בן־ציון</w:t>
      </w:r>
      <w:proofErr w:type="spellEnd"/>
      <w:r>
        <w:rPr>
          <w:rtl/>
        </w:rPr>
        <w:t xml:space="preserve"> את אבי בטיול, ראו נמלה גדולה מאוד בשביל הכניסה לביתו </w:t>
      </w:r>
      <w:proofErr w:type="spellStart"/>
      <w:r>
        <w:rPr>
          <w:rtl/>
        </w:rPr>
        <w:t>במונסי</w:t>
      </w:r>
      <w:proofErr w:type="spellEnd"/>
      <w:r>
        <w:rPr>
          <w:rtl/>
        </w:rPr>
        <w:t xml:space="preserve">. אבי שאל אותו אם היצור נושך, וכשנענה בחיוב, דרך עליה. כעבור רגע באה נמלה אחרת וגררה משם את שרידי הנמלה המעוכה. אבי התעניין מאוד בתופעה, ותהה אם הנמלה גוררת את המתה כדי לטרוף אותה, או כדי להיפטר </w:t>
      </w:r>
      <w:proofErr w:type="spellStart"/>
      <w:r>
        <w:rPr>
          <w:rtl/>
        </w:rPr>
        <w:t>מ“קרובתה</w:t>
      </w:r>
      <w:proofErr w:type="spellEnd"/>
      <w:r>
        <w:rPr>
          <w:rtl/>
        </w:rPr>
        <w:t>” בדרך הראויה. כדי לברר זאת עקב בעיניו אחר השתיים עד שנעלמו בעשב הגבוה.</w:t>
      </w:r>
    </w:p>
    <w:p w14:paraId="17822E01" w14:textId="77777777" w:rsidR="00AB3647" w:rsidRDefault="00000000" w:rsidP="007923E9">
      <w:pPr>
        <w:spacing w:after="100" w:line="276" w:lineRule="auto"/>
        <w:ind w:firstLine="340"/>
        <w:jc w:val="both"/>
      </w:pPr>
      <w:r>
        <w:rPr>
          <w:rtl/>
        </w:rPr>
        <w:t xml:space="preserve">ר׳ </w:t>
      </w:r>
      <w:proofErr w:type="spellStart"/>
      <w:r>
        <w:rPr>
          <w:rtl/>
        </w:rPr>
        <w:t>לייבל</w:t>
      </w:r>
      <w:proofErr w:type="spellEnd"/>
      <w:r>
        <w:rPr>
          <w:rtl/>
        </w:rPr>
        <w:t xml:space="preserve"> </w:t>
      </w:r>
      <w:proofErr w:type="spellStart"/>
      <w:r>
        <w:rPr>
          <w:rtl/>
        </w:rPr>
        <w:t>פרלשטיין</w:t>
      </w:r>
      <w:proofErr w:type="spellEnd"/>
      <w:r>
        <w:rPr>
          <w:rtl/>
        </w:rPr>
        <w:t xml:space="preserve"> סיפר שבקיץ תש״ל נלכד עטלף בין חלון לרשת במחנה אור שרגא</w:t>
      </w:r>
      <w:bookmarkStart w:id="432" w:name="_fnr253"/>
      <w:r>
        <w:rPr>
          <w:rStyle w:val="a5"/>
        </w:rPr>
        <w:footnoteReference w:id="253" w:customMarkFollows="0"/>
      </w:r>
      <w:bookmarkEnd w:id="432"/>
      <w:r>
        <w:rPr>
          <w:rtl/>
        </w:rPr>
        <w:t>. אבי העיר לחניכים: “עכשיו יש לנו הזדמנות לחקור עטלף מקרוב”.</w:t>
      </w:r>
    </w:p>
    <w:p w14:paraId="782BA989" w14:textId="77777777" w:rsidR="00AB3647" w:rsidRDefault="00000000" w:rsidP="007923E9">
      <w:pPr>
        <w:spacing w:after="100" w:line="276" w:lineRule="auto"/>
        <w:ind w:firstLine="340"/>
        <w:jc w:val="both"/>
      </w:pPr>
      <w:proofErr w:type="spellStart"/>
      <w:r>
        <w:rPr>
          <w:rtl/>
        </w:rPr>
        <w:t>ב“ארחות</w:t>
      </w:r>
      <w:proofErr w:type="spellEnd"/>
      <w:r>
        <w:rPr>
          <w:rtl/>
        </w:rPr>
        <w:t xml:space="preserve"> חסידיך”</w:t>
      </w:r>
      <w:bookmarkStart w:id="433" w:name="_fnr254"/>
      <w:r>
        <w:rPr>
          <w:rStyle w:val="a5"/>
        </w:rPr>
        <w:footnoteReference w:id="254" w:customMarkFollows="0"/>
      </w:r>
      <w:bookmarkEnd w:id="433"/>
      <w:r>
        <w:rPr>
          <w:rtl/>
        </w:rPr>
        <w:t xml:space="preserve"> מסופר מעשה מעניין על ר׳ </w:t>
      </w:r>
      <w:proofErr w:type="spellStart"/>
      <w:r>
        <w:rPr>
          <w:rtl/>
        </w:rPr>
        <w:t>חיים־עוזר</w:t>
      </w:r>
      <w:proofErr w:type="spellEnd"/>
      <w:r>
        <w:rPr>
          <w:rtl/>
        </w:rPr>
        <w:t xml:space="preserve"> </w:t>
      </w:r>
      <w:proofErr w:type="spellStart"/>
      <w:r>
        <w:rPr>
          <w:rtl/>
        </w:rPr>
        <w:t>גרודזנסקי</w:t>
      </w:r>
      <w:bookmarkStart w:id="434" w:name="_fnr255"/>
      <w:proofErr w:type="spellEnd"/>
      <w:r>
        <w:rPr>
          <w:rStyle w:val="a5"/>
        </w:rPr>
        <w:footnoteReference w:id="255" w:customMarkFollows="0"/>
      </w:r>
      <w:bookmarkEnd w:id="434"/>
      <w:r>
        <w:rPr>
          <w:rtl/>
        </w:rPr>
        <w:t xml:space="preserve">. פעם טייל ביער שליד וילנה עם אחד מחברי בית הדין שלו, ר׳ </w:t>
      </w:r>
      <w:proofErr w:type="spellStart"/>
      <w:r>
        <w:rPr>
          <w:rtl/>
        </w:rPr>
        <w:t>ישראל־זאב</w:t>
      </w:r>
      <w:proofErr w:type="spellEnd"/>
      <w:r>
        <w:rPr>
          <w:rtl/>
        </w:rPr>
        <w:t xml:space="preserve"> </w:t>
      </w:r>
      <w:proofErr w:type="spellStart"/>
      <w:r>
        <w:rPr>
          <w:rtl/>
        </w:rPr>
        <w:t>גוסטמן</w:t>
      </w:r>
      <w:proofErr w:type="spellEnd"/>
      <w:r>
        <w:rPr>
          <w:rtl/>
        </w:rPr>
        <w:t xml:space="preserve">. ר׳ </w:t>
      </w:r>
      <w:proofErr w:type="spellStart"/>
      <w:r>
        <w:rPr>
          <w:rtl/>
        </w:rPr>
        <w:t>חיים־עוזר</w:t>
      </w:r>
      <w:proofErr w:type="spellEnd"/>
      <w:r>
        <w:rPr>
          <w:rtl/>
        </w:rPr>
        <w:t xml:space="preserve"> הראה לו את צמחי הבר והפטריות השונים שגדלו שם, ציין אילו מהם רעילים ואילו ראויים למאכל, וגם הראה לו מערה נסתרת. ניכר שהגאון הגדול התעניין התעניינות חיה בטבע. “</w:t>
      </w:r>
      <w:proofErr w:type="spellStart"/>
      <w:r>
        <w:rPr>
          <w:rtl/>
        </w:rPr>
        <w:t>ארחות</w:t>
      </w:r>
      <w:proofErr w:type="spellEnd"/>
      <w:r>
        <w:rPr>
          <w:rtl/>
        </w:rPr>
        <w:t xml:space="preserve"> חסידיך” מסיים את המעשה בדברים נוגעים ללב: “כעבור שנים, בשעת בריחתו של הרב </w:t>
      </w:r>
      <w:proofErr w:type="spellStart"/>
      <w:r>
        <w:rPr>
          <w:rtl/>
        </w:rPr>
        <w:t>גוסטמן</w:t>
      </w:r>
      <w:proofErr w:type="spellEnd"/>
      <w:r>
        <w:rPr>
          <w:rtl/>
        </w:rPr>
        <w:t xml:space="preserve"> מגטו וילנה, שימשה לו המערה מקום מסתור והצמחים הראויים למאכל – מזון, והוא ניצל מן הגרמנים”.</w:t>
      </w:r>
    </w:p>
    <w:bookmarkStart w:id="435" w:name="b1_note73"/>
    <w:p w14:paraId="3E13F06B" w14:textId="77777777" w:rsidR="00AB3647" w:rsidRDefault="00000000" w:rsidP="007923E9">
      <w:pPr>
        <w:spacing w:before="120" w:after="100" w:line="276" w:lineRule="auto"/>
        <w:jc w:val="both"/>
      </w:pPr>
      <w:r>
        <w:fldChar w:fldCharType="begin" w:dirty="true"/>
      </w:r>
      <w:r>
        <w:instrText>HYPERLINK \l "b1_ref73"</w:instrText>
      </w:r>
      <w:r>
        <w:fldChar w:fldCharType="separate"/>
      </w:r>
      <w:r>
        <w:rPr>
          <w:b/>
          <w:bCs/>
          <w:rtl/>
        </w:rPr>
        <w:t>73</w:t>
      </w:r>
      <w:r>
        <w:rPr>
          <w:b/>
          <w:bCs/>
        </w:rPr>
        <w:fldChar w:fldCharType="end"/>
      </w:r>
      <w:bookmarkEnd w:id="435"/>
      <w:r>
        <w:rPr>
          <w:rtl/>
        </w:rPr>
        <w:t xml:space="preserve"> פעם בלילה הוטרד הרב סובל ממראהו של כוכב בעל צבע משונה, והלך לספר על כך לאבי. אבי יצא החוצה, הביט בו ואמר: “וכי אינך יודע מהו הכוכב הזה?” הוא המשיך ומנה בשמותיהם את כוכבי הלכת ואת המזלות, הראה את מקומם ברקיע, וסיים שהכוכב הצבעוני אמור להיראות כפי שהוא נראה.</w:t>
      </w:r>
    </w:p>
    <w:p w14:paraId="1DFB1842" w14:textId="77777777" w:rsidR="00AB3647" w:rsidRDefault="00000000" w:rsidP="007923E9">
      <w:pPr>
        <w:spacing w:after="100" w:line="276" w:lineRule="auto"/>
        <w:ind w:firstLine="340"/>
        <w:jc w:val="both"/>
      </w:pPr>
      <w:r>
        <w:rPr>
          <w:rtl/>
        </w:rPr>
        <w:t xml:space="preserve">ר׳ </w:t>
      </w:r>
      <w:proofErr w:type="spellStart"/>
      <w:r>
        <w:rPr>
          <w:rtl/>
        </w:rPr>
        <w:t>יעקב־משה</w:t>
      </w:r>
      <w:proofErr w:type="spellEnd"/>
      <w:r>
        <w:rPr>
          <w:rtl/>
        </w:rPr>
        <w:t xml:space="preserve"> קליין נזכר</w:t>
      </w:r>
      <w:bookmarkStart w:id="436" w:name="_fnr256"/>
      <w:r>
        <w:rPr>
          <w:rStyle w:val="a5"/>
        </w:rPr>
        <w:footnoteReference w:id="256" w:customMarkFollows="0"/>
      </w:r>
      <w:bookmarkEnd w:id="436"/>
      <w:r>
        <w:rPr>
          <w:rtl/>
        </w:rPr>
        <w:t xml:space="preserve"> שאבי, בהספדו על ר׳ אלי׳ </w:t>
      </w:r>
      <w:proofErr w:type="spellStart"/>
      <w:r>
        <w:rPr>
          <w:rtl/>
        </w:rPr>
        <w:t>לופיאן</w:t>
      </w:r>
      <w:proofErr w:type="spellEnd"/>
      <w:r>
        <w:rPr>
          <w:rtl/>
        </w:rPr>
        <w:t xml:space="preserve"> בברוקלין, תיאר את רגשות האנשים כשעבר שביט האלי ליד כדור הארץ, כשאבי היה בן עשרים ואחת</w:t>
      </w:r>
      <w:bookmarkStart w:id="437" w:name="_fnr257"/>
      <w:bookmarkEnd w:id="437"/>
      <w:r>
        <w:rPr>
          <w:rStyle w:val="a5"/>
        </w:rPr>
        <w:t/>
      </w:r>
      <w:bookmarkStart w:id="6989" w:name="_TranslatorNote_5367"/>
      <w:r>
        <w:rPr>
          <w:rStyle w:val="a5"/>
          <w:vertAlign w:val="superscript"/>
          <w:rtl/>
        </w:rPr>
        <w:footnoteReference w:id="257" w:customMarkFollows="1"/>
        <w:t>*</w:t>
      </w:r>
      <w:bookmarkEnd w:id="6989"/>
      <w:r>
        <w:rPr>
          <w:rtl/>
        </w:rPr>
        <w:t>. הוא סיפר שהכול דחו את התחזיות שנשמעו אז, שהשביט יתנגש בכדור הארץ ויחריב אותו. ואף על פי כן, ביום שבו הגיע השביט לנקודה הקרובה ביותר לכדור הארץ, הביטו אנשים מעבר לכתפיהם... ליתר ביטחון</w:t>
      </w:r>
      <w:bookmarkStart w:id="438" w:name="_fnr258"/>
      <w:r>
        <w:rPr>
          <w:rStyle w:val="a5"/>
        </w:rPr>
        <w:footnoteReference w:id="258" w:customMarkFollows="0"/>
      </w:r>
      <w:bookmarkEnd w:id="438"/>
      <w:r>
        <w:rPr>
          <w:rtl/>
        </w:rPr>
        <w:t>.</w:t>
      </w:r>
    </w:p>
    <w:p w14:paraId="44DE5838" w14:textId="77777777" w:rsidR="00AB3647" w:rsidRDefault="00000000" w:rsidP="007923E9">
      <w:pPr>
        <w:spacing w:after="100" w:line="276" w:lineRule="auto"/>
        <w:ind w:firstLine="340"/>
        <w:jc w:val="both"/>
      </w:pPr>
      <w:r>
        <w:rPr>
          <w:rtl/>
        </w:rPr>
        <w:lastRenderedPageBreak/>
        <w:t>ר׳ ישעיה שכטר</w:t>
      </w:r>
      <w:bookmarkStart w:id="439" w:name="_fnr259"/>
      <w:r>
        <w:rPr>
          <w:rStyle w:val="a5"/>
        </w:rPr>
        <w:footnoteReference w:id="259" w:customMarkFollows="0"/>
      </w:r>
      <w:bookmarkEnd w:id="439"/>
      <w:r>
        <w:rPr>
          <w:rtl/>
        </w:rPr>
        <w:t xml:space="preserve"> סיפר שביום ראשון, ה׳ באב תשכ״ט, חיפש אבי מישהו שיש לו מכשיר טלוויזיה, כדי לצפות באסטרונאוט ניל ארמסטרונג נוחת על הירח</w:t>
      </w:r>
      <w:bookmarkStart w:id="440" w:name="_fnr260"/>
      <w:bookmarkStart w:id="441" w:name="pr_f_192"/>
      <w:r>
        <w:rPr>
          <w:rStyle w:val="a5"/>
        </w:rPr>
        <w:footnoteReference w:id="260" w:customMarkFollows="0"/>
      </w:r>
      <w:bookmarkEnd w:id="440"/>
      <w:bookmarkEnd w:id="441"/>
      <w:r>
        <w:rPr>
          <w:rtl/>
        </w:rPr>
        <w:t>.</w:t>
      </w:r>
    </w:p>
    <w:p w14:paraId="20EB37AF" w14:textId="7913E009"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בהיותו תינוק החליק אבי לתוך אגם </w:t>
      </w:r>
      <w:proofErr w:type="spellStart"/>
      <w:r>
        <w:rPr>
          <w:rtl/>
        </w:rPr>
        <w:t>מיקולינה</w:t>
      </w:r>
      <w:proofErr w:type="spellEnd"/>
      <w:r>
        <w:rPr>
          <w:rtl/>
        </w:rPr>
        <w:t xml:space="preserve"> הסמוך, ונמשה ממנו ברגע האחרון</w:t>
      </w:r>
      <w:bookmarkStart w:id="442" w:name="b1_ref74"/>
      <w:bookmarkEnd w:id="442"/>
      <w:r>
        <w:rPr>
          <w:vertAlign w:val="superscript"/>
          <w:rtl/>
        </w:rPr>
        <w:fldChar w:fldCharType="begin" w:dirty="true"/>
      </w:r>
      <w:r>
        <w:rPr>
          <w:vertAlign w:val="superscript"/>
          <w:rtl/>
        </w:rPr>
        <w:instrText xml:space="preserve"> REF b1_note74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74</w:t>
      </w:r>
      <w:r>
        <w:rPr>
          <w:vertAlign w:val="superscript"/>
          <w:rtl/>
        </w:rPr>
        <w:fldChar w:fldCharType="end"/>
      </w:r>
      <w:r>
        <w:rPr>
          <w:rtl/>
        </w:rPr>
        <w:t xml:space="preserve">. אבל טראומה זו לא הפחידה אותו ואת הוריו עד כדי כך שיתרחקו מן המים. כשגדל מעט, היה אחיו הגדול, </w:t>
      </w:r>
      <w:proofErr w:type="spellStart"/>
      <w:r>
        <w:rPr>
          <w:rtl/>
        </w:rPr>
        <w:t>חיים־זרח</w:t>
      </w:r>
      <w:proofErr w:type="spellEnd"/>
      <w:r>
        <w:rPr>
          <w:rtl/>
        </w:rPr>
        <w:t>, לוקח אותו לשחות</w:t>
      </w:r>
      <w:bookmarkStart w:id="443" w:name="b1_ref75"/>
      <w:bookmarkEnd w:id="443"/>
      <w:r>
        <w:rPr>
          <w:vertAlign w:val="superscript"/>
          <w:rtl/>
        </w:rPr>
        <w:fldChar w:fldCharType="begin" w:dirty="true"/>
      </w:r>
      <w:r>
        <w:rPr>
          <w:vertAlign w:val="superscript"/>
          <w:rtl/>
        </w:rPr>
        <w:instrText xml:space="preserve"> REF b1_note75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75</w:t>
      </w:r>
      <w:r>
        <w:rPr>
          <w:vertAlign w:val="superscript"/>
          <w:rtl/>
        </w:rPr>
        <w:fldChar w:fldCharType="end"/>
      </w:r>
      <w:r>
        <w:rPr>
          <w:rtl/>
        </w:rPr>
        <w:t xml:space="preserve"> בנהר </w:t>
      </w:r>
      <w:proofErr w:type="spellStart"/>
      <w:r>
        <w:rPr>
          <w:rtl/>
        </w:rPr>
        <w:t>צ׳רשיסטה</w:t>
      </w:r>
      <w:proofErr w:type="spellEnd"/>
      <w:r>
        <w:rPr>
          <w:rtl/>
        </w:rPr>
        <w:t xml:space="preserve"> – גשר העץ שעליו, שהוביל מזרחה אל הכפר </w:t>
      </w:r>
      <w:proofErr w:type="spellStart"/>
      <w:r>
        <w:rPr>
          <w:rtl/>
        </w:rPr>
        <w:t>פוהוסט</w:t>
      </w:r>
      <w:proofErr w:type="spellEnd"/>
      <w:r>
        <w:rPr>
          <w:rtl/>
        </w:rPr>
        <w:t>, שימש גם מחיצה בין הגברים הרוחצים לנשים – והוא גדל ונעשה נער כפרי חסון</w:t>
      </w:r>
      <w:bookmarkStart w:id="444" w:name="b1_ref76"/>
      <w:bookmarkEnd w:id="444"/>
      <w:r>
        <w:rPr>
          <w:vertAlign w:val="superscript"/>
          <w:rtl/>
        </w:rPr>
        <w:fldChar w:fldCharType="begin" w:dirty="true"/>
      </w:r>
      <w:r>
        <w:rPr>
          <w:vertAlign w:val="superscript"/>
          <w:rtl/>
        </w:rPr>
        <w:instrText xml:space="preserve"> REF b1_note76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76</w:t>
      </w:r>
      <w:r>
        <w:rPr>
          <w:vertAlign w:val="superscript"/>
          <w:rtl/>
        </w:rPr>
        <w:fldChar w:fldCharType="end"/>
      </w:r>
      <w:r>
        <w:rPr>
          <w:rtl/>
        </w:rPr>
        <w:t>. כל ימי חייו הוקיר אבי את שנות התעצבותו בדולהינוב</w:t>
      </w:r>
      <w:bookmarkStart w:id="445" w:name="b1_ref77"/>
      <w:bookmarkEnd w:id="445"/>
      <w:r>
        <w:rPr>
          <w:vertAlign w:val="superscript"/>
          <w:rtl/>
        </w:rPr>
        <w:fldChar w:fldCharType="begin" w:dirty="true"/>
      </w:r>
      <w:r>
        <w:rPr>
          <w:vertAlign w:val="superscript"/>
          <w:rtl/>
        </w:rPr>
        <w:instrText xml:space="preserve"> REF b1_note77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77</w:t>
      </w:r>
      <w:r>
        <w:rPr>
          <w:vertAlign w:val="superscript"/>
          <w:rtl/>
        </w:rPr>
        <w:fldChar w:fldCharType="end"/>
      </w:r>
      <w:r>
        <w:rPr>
          <w:rtl/>
        </w:rPr>
        <w:t>, וחש שבזכות גידולו בסביבה של עיירה קטנה נקנו לו השקפה בריאה על החיים ויחס חיובי לבני האדם</w:t>
      </w:r>
      <w:bookmarkStart w:id="446" w:name="b1_ref78"/>
      <w:bookmarkEnd w:id="446"/>
      <w:r>
        <w:rPr>
          <w:vertAlign w:val="superscript"/>
          <w:rtl/>
        </w:rPr>
        <w:fldChar w:fldCharType="begin" w:dirty="true"/>
      </w:r>
      <w:r>
        <w:rPr>
          <w:vertAlign w:val="superscript"/>
          <w:rtl/>
        </w:rPr>
        <w:instrText xml:space="preserve"> REF b1_note78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78</w:t>
      </w:r>
      <w:r>
        <w:rPr>
          <w:vertAlign w:val="superscript"/>
          <w:rtl/>
        </w:rPr>
        <w:fldChar w:fldCharType="end"/>
      </w:r>
      <w:r>
        <w:rPr>
          <w:rtl/>
        </w:rPr>
        <w:t>.</w:t>
      </w:r>
    </w:p>
    <w:bookmarkStart w:id="447" w:name="b1_note74"/>
    <w:p w14:paraId="7AC3F828" w14:textId="77777777" w:rsidR="00AB3647" w:rsidRDefault="00000000" w:rsidP="007923E9">
      <w:pPr>
        <w:spacing w:before="120" w:after="100" w:line="276" w:lineRule="auto"/>
        <w:jc w:val="both"/>
      </w:pPr>
      <w:r>
        <w:fldChar w:fldCharType="begin" w:dirty="true"/>
      </w:r>
      <w:r>
        <w:instrText>HYPERLINK \l "b1_ref74"</w:instrText>
      </w:r>
      <w:r>
        <w:fldChar w:fldCharType="separate"/>
      </w:r>
      <w:r>
        <w:rPr>
          <w:b/>
          <w:bCs/>
          <w:rtl/>
        </w:rPr>
        <w:t>74</w:t>
      </w:r>
      <w:r>
        <w:rPr>
          <w:b/>
          <w:bCs/>
        </w:rPr>
        <w:fldChar w:fldCharType="end"/>
      </w:r>
      <w:bookmarkEnd w:id="447"/>
      <w:r>
        <w:rPr>
          <w:rtl/>
        </w:rPr>
        <w:t xml:space="preserve"> רבנו היה בן שלוש כשאירע הדבר – כפי שסיפר לשכנו </w:t>
      </w:r>
      <w:proofErr w:type="spellStart"/>
      <w:r>
        <w:rPr>
          <w:rtl/>
        </w:rPr>
        <w:t>במונסי</w:t>
      </w:r>
      <w:proofErr w:type="spellEnd"/>
      <w:r>
        <w:rPr>
          <w:rtl/>
        </w:rPr>
        <w:t xml:space="preserve">, ר׳ </w:t>
      </w:r>
      <w:proofErr w:type="spellStart"/>
      <w:r>
        <w:rPr>
          <w:rtl/>
        </w:rPr>
        <w:t>חיים־מאיר</w:t>
      </w:r>
      <w:proofErr w:type="spellEnd"/>
      <w:r>
        <w:rPr>
          <w:rtl/>
        </w:rPr>
        <w:t xml:space="preserve"> </w:t>
      </w:r>
      <w:proofErr w:type="spellStart"/>
      <w:r>
        <w:rPr>
          <w:rtl/>
        </w:rPr>
        <w:t>גרפינקל</w:t>
      </w:r>
      <w:bookmarkStart w:id="448" w:name="_fnr261"/>
      <w:proofErr w:type="spellEnd"/>
      <w:r>
        <w:rPr>
          <w:rStyle w:val="a5"/>
        </w:rPr>
        <w:footnoteReference w:id="261" w:customMarkFollows="0"/>
      </w:r>
      <w:bookmarkEnd w:id="448"/>
      <w:r>
        <w:rPr>
          <w:rtl/>
        </w:rPr>
        <w:t>.</w:t>
      </w:r>
    </w:p>
    <w:bookmarkStart w:id="449" w:name="b1_note75"/>
    <w:p w14:paraId="4B141097" w14:textId="0A86BE92" w:rsidR="00AB3647" w:rsidRDefault="00000000" w:rsidP="007923E9">
      <w:pPr>
        <w:spacing w:before="120" w:after="100" w:line="276" w:lineRule="auto"/>
        <w:jc w:val="both"/>
      </w:pPr>
      <w:r>
        <w:fldChar w:fldCharType="begin" w:dirty="true"/>
      </w:r>
      <w:r>
        <w:instrText>HYPERLINK \l "b1_ref75"</w:instrText>
      </w:r>
      <w:r>
        <w:fldChar w:fldCharType="separate"/>
      </w:r>
      <w:r>
        <w:rPr>
          <w:b/>
          <w:bCs/>
          <w:rtl/>
        </w:rPr>
        <w:t>75</w:t>
      </w:r>
      <w:r>
        <w:rPr>
          <w:b/>
          <w:bCs/>
        </w:rPr>
        <w:fldChar w:fldCharType="end"/>
      </w:r>
      <w:bookmarkEnd w:id="449"/>
      <w:r>
        <w:rPr>
          <w:rtl/>
        </w:rPr>
        <w:t xml:space="preserve"> אבי היה שחיין טוב – השווה פרק 5, סוף </w:t>
      </w:r>
      <w:r>
        <w:rPr>
          <w:rtl/>
        </w:rPr>
        <w:fldChar w:fldCharType="begin" w:dirty="true"/>
      </w:r>
      <w:r>
        <w:rPr>
          <w:rtl/>
        </w:rPr>
        <w:instrText xml:space="preserve"> REF b5_excC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ג</w:t>
      </w:r>
      <w:r>
        <w:rPr>
          <w:rtl/>
        </w:rPr>
        <w:fldChar w:fldCharType="end"/>
      </w:r>
      <w:r>
        <w:rPr>
          <w:rtl/>
        </w:rPr>
        <w:t xml:space="preserve"> – אבל אחיו, </w:t>
      </w:r>
      <w:proofErr w:type="spellStart"/>
      <w:r>
        <w:rPr>
          <w:rtl/>
        </w:rPr>
        <w:t>חיים־זרח</w:t>
      </w:r>
      <w:proofErr w:type="spellEnd"/>
      <w:r>
        <w:rPr>
          <w:rtl/>
        </w:rPr>
        <w:t>, עלה עליו. לדברי אחותו, דבורה</w:t>
      </w:r>
      <w:bookmarkStart w:id="450" w:name="_fnr262"/>
      <w:r>
        <w:rPr>
          <w:rStyle w:val="a5"/>
        </w:rPr>
        <w:footnoteReference w:id="262" w:customMarkFollows="0"/>
      </w:r>
      <w:bookmarkEnd w:id="450"/>
      <w:r>
        <w:rPr>
          <w:rtl/>
        </w:rPr>
        <w:t xml:space="preserve">, ובנו, יעקב, שחה </w:t>
      </w:r>
      <w:proofErr w:type="spellStart"/>
      <w:r>
        <w:rPr>
          <w:rtl/>
        </w:rPr>
        <w:t>חיים־זרח</w:t>
      </w:r>
      <w:proofErr w:type="spellEnd"/>
      <w:r>
        <w:rPr>
          <w:rtl/>
        </w:rPr>
        <w:t xml:space="preserve"> בבגרותו בנהר שבמינסק בכל יום ממאי ועד נובמבר, בגשם ובשמש. יעקב היה מצטרף אליו בפעילות זו.</w:t>
      </w:r>
    </w:p>
    <w:bookmarkStart w:id="451" w:name="b1_note76"/>
    <w:p w14:paraId="5BCD46A6" w14:textId="77777777" w:rsidR="00AB3647" w:rsidRDefault="00000000" w:rsidP="007923E9">
      <w:pPr>
        <w:spacing w:before="120" w:after="100" w:line="276" w:lineRule="auto"/>
        <w:jc w:val="both"/>
      </w:pPr>
      <w:r>
        <w:fldChar w:fldCharType="begin" w:dirty="true"/>
      </w:r>
      <w:r>
        <w:instrText>HYPERLINK \l "b1_ref76"</w:instrText>
      </w:r>
      <w:r>
        <w:fldChar w:fldCharType="separate"/>
      </w:r>
      <w:r>
        <w:rPr>
          <w:b/>
          <w:bCs/>
          <w:rtl/>
        </w:rPr>
        <w:t>76</w:t>
      </w:r>
      <w:r>
        <w:rPr>
          <w:b/>
          <w:bCs/>
        </w:rPr>
        <w:fldChar w:fldCharType="end"/>
      </w:r>
      <w:bookmarkEnd w:id="451"/>
      <w:r>
        <w:rPr>
          <w:rtl/>
        </w:rPr>
        <w:t xml:space="preserve"> בריאיון עם ר׳ מנדל קרביץ, </w:t>
      </w:r>
      <w:proofErr w:type="spellStart"/>
      <w:r>
        <w:rPr>
          <w:rtl/>
        </w:rPr>
        <w:t>רשל</w:t>
      </w:r>
      <w:proofErr w:type="spellEnd"/>
      <w:r>
        <w:rPr>
          <w:rtl/>
        </w:rPr>
        <w:t xml:space="preserve"> קרביץ ור׳ </w:t>
      </w:r>
      <w:proofErr w:type="spellStart"/>
      <w:r>
        <w:rPr>
          <w:rtl/>
        </w:rPr>
        <w:t>אברהם־ידידיה</w:t>
      </w:r>
      <w:proofErr w:type="spellEnd"/>
      <w:r>
        <w:rPr>
          <w:rtl/>
        </w:rPr>
        <w:t xml:space="preserve"> ברגר</w:t>
      </w:r>
      <w:bookmarkStart w:id="452" w:name="_fnr263"/>
      <w:r>
        <w:rPr>
          <w:rStyle w:val="a5"/>
        </w:rPr>
        <w:footnoteReference w:id="263" w:customMarkFollows="0"/>
      </w:r>
      <w:bookmarkEnd w:id="452"/>
      <w:r>
        <w:rPr>
          <w:rtl/>
        </w:rPr>
        <w:t xml:space="preserve"> הוזכר שאבי סיפר להם: בהיותו נער כפרי היה בריא וחזק</w:t>
      </w:r>
      <w:bookmarkStart w:id="453" w:name="_fnr264"/>
      <w:r>
        <w:rPr>
          <w:rStyle w:val="a5"/>
        </w:rPr>
        <w:footnoteReference w:id="264" w:customMarkFollows="0"/>
      </w:r>
      <w:bookmarkEnd w:id="453"/>
      <w:r>
        <w:rPr>
          <w:rtl/>
        </w:rPr>
        <w:t xml:space="preserve">. ר׳ יוחנן </w:t>
      </w:r>
      <w:proofErr w:type="spellStart"/>
      <w:r>
        <w:rPr>
          <w:rtl/>
        </w:rPr>
        <w:t>ווזנר</w:t>
      </w:r>
      <w:proofErr w:type="spellEnd"/>
      <w:r>
        <w:rPr>
          <w:rtl/>
        </w:rPr>
        <w:t xml:space="preserve"> חזר</w:t>
      </w:r>
      <w:bookmarkStart w:id="454" w:name="_fnr265"/>
      <w:r>
        <w:rPr>
          <w:rStyle w:val="a5"/>
        </w:rPr>
        <w:footnoteReference w:id="265" w:customMarkFollows="0"/>
      </w:r>
      <w:bookmarkEnd w:id="454"/>
      <w:r>
        <w:rPr>
          <w:rtl/>
        </w:rPr>
        <w:t xml:space="preserve"> על מה שאמר רבנו ערב נסיעתו לארץ ישראל בשנת </w:t>
      </w:r>
      <w:proofErr w:type="spellStart"/>
      <w:r>
        <w:rPr>
          <w:rtl/>
        </w:rPr>
        <w:t>תש״ם</w:t>
      </w:r>
      <w:proofErr w:type="spellEnd"/>
      <w:r>
        <w:rPr>
          <w:rtl/>
        </w:rPr>
        <w:t>: “</w:t>
      </w:r>
      <w:proofErr w:type="spellStart"/>
      <w:r>
        <w:rPr>
          <w:rtl/>
        </w:rPr>
        <w:t>קמינצקי</w:t>
      </w:r>
      <w:proofErr w:type="spellEnd"/>
      <w:r>
        <w:rPr>
          <w:rtl/>
        </w:rPr>
        <w:t xml:space="preserve"> בן שבעים הוא </w:t>
      </w:r>
      <w:proofErr w:type="spellStart"/>
      <w:r>
        <w:rPr>
          <w:rtl/>
        </w:rPr>
        <w:t>קמינצקי</w:t>
      </w:r>
      <w:proofErr w:type="spellEnd"/>
      <w:r>
        <w:rPr>
          <w:rtl/>
        </w:rPr>
        <w:t xml:space="preserve"> בן תשעים”. כלומר, משום שגדל גידול בריא בכפר ובחווה, נשאר בגיל תשעים חזק כבגיל שבעים. ר׳ יוחנן הוסיף: “בגיל תשעים עדיין יכול היה לנסוע </w:t>
      </w:r>
      <w:proofErr w:type="spellStart"/>
      <w:r>
        <w:rPr>
          <w:rtl/>
        </w:rPr>
        <w:t>ממונסי</w:t>
      </w:r>
      <w:proofErr w:type="spellEnd"/>
      <w:r>
        <w:rPr>
          <w:rtl/>
        </w:rPr>
        <w:t xml:space="preserve"> לניו יורק כמה ימים ברציפות”.</w:t>
      </w:r>
    </w:p>
    <w:bookmarkStart w:id="455" w:name="b1_note77"/>
    <w:p w14:paraId="6D1C2751" w14:textId="77777777" w:rsidR="00AB3647" w:rsidRDefault="00000000" w:rsidP="007923E9">
      <w:pPr>
        <w:spacing w:before="120" w:after="100" w:line="276" w:lineRule="auto"/>
        <w:jc w:val="both"/>
      </w:pPr>
      <w:r>
        <w:fldChar w:fldCharType="begin" w:dirty="true"/>
      </w:r>
      <w:r>
        <w:instrText>HYPERLINK \l "b1_ref77"</w:instrText>
      </w:r>
      <w:r>
        <w:fldChar w:fldCharType="separate"/>
      </w:r>
      <w:r>
        <w:rPr>
          <w:b/>
          <w:bCs/>
          <w:rtl/>
        </w:rPr>
        <w:t>77</w:t>
      </w:r>
      <w:r>
        <w:rPr>
          <w:b/>
          <w:bCs/>
        </w:rPr>
        <w:fldChar w:fldCharType="end"/>
      </w:r>
      <w:bookmarkEnd w:id="455"/>
      <w:r>
        <w:rPr>
          <w:rtl/>
        </w:rPr>
        <w:t xml:space="preserve"> הוא אמר לאחד מתלמידיו, ר׳ דוד </w:t>
      </w:r>
      <w:proofErr w:type="spellStart"/>
      <w:r>
        <w:rPr>
          <w:rtl/>
        </w:rPr>
        <w:t>צימט</w:t>
      </w:r>
      <w:proofErr w:type="spellEnd"/>
      <w:r>
        <w:rPr>
          <w:rtl/>
        </w:rPr>
        <w:t xml:space="preserve">, שהיה </w:t>
      </w:r>
      <w:proofErr w:type="spellStart"/>
      <w:r>
        <w:rPr>
          <w:rtl/>
        </w:rPr>
        <w:t>ה“שבת־בחור</w:t>
      </w:r>
      <w:proofErr w:type="spellEnd"/>
      <w:r>
        <w:rPr>
          <w:rtl/>
        </w:rPr>
        <w:t xml:space="preserve">” שלו בשנים תש״ו </w:t>
      </w:r>
      <w:proofErr w:type="spellStart"/>
      <w:r>
        <w:rPr>
          <w:rtl/>
        </w:rPr>
        <w:t>ותש״ז</w:t>
      </w:r>
      <w:bookmarkStart w:id="456" w:name="_fnr266"/>
      <w:proofErr w:type="spellEnd"/>
      <w:r>
        <w:rPr>
          <w:rStyle w:val="a5"/>
        </w:rPr>
        <w:footnoteReference w:id="266" w:customMarkFollows="0"/>
      </w:r>
      <w:bookmarkEnd w:id="456"/>
      <w:r>
        <w:rPr>
          <w:rtl/>
        </w:rPr>
        <w:t xml:space="preserve">, שהוא מבין לליבו בכל הנוגע לקשר שלו למולדתו, מקסיקו, משום שגם הוא עדיין חש קשור למולדתו </w:t>
      </w:r>
      <w:proofErr w:type="spellStart"/>
      <w:r>
        <w:rPr>
          <w:rtl/>
        </w:rPr>
        <w:t>דולהינוב</w:t>
      </w:r>
      <w:proofErr w:type="spellEnd"/>
      <w:r>
        <w:rPr>
          <w:rtl/>
        </w:rPr>
        <w:t>.</w:t>
      </w:r>
    </w:p>
    <w:bookmarkStart w:id="457" w:name="b1_note78"/>
    <w:p w14:paraId="6C1D4689" w14:textId="77777777" w:rsidR="00AB3647" w:rsidRDefault="00000000" w:rsidP="007923E9">
      <w:pPr>
        <w:spacing w:before="120" w:after="100" w:line="276" w:lineRule="auto"/>
        <w:jc w:val="both"/>
      </w:pPr>
      <w:r>
        <w:lastRenderedPageBreak/>
        <w:fldChar w:fldCharType="begin" w:dirty="true"/>
      </w:r>
      <w:r>
        <w:instrText>HYPERLINK \l "b1_ref78"</w:instrText>
      </w:r>
      <w:r>
        <w:fldChar w:fldCharType="separate"/>
      </w:r>
      <w:r>
        <w:rPr>
          <w:b/>
          <w:bCs/>
          <w:rtl/>
        </w:rPr>
        <w:t>78</w:t>
      </w:r>
      <w:r>
        <w:rPr>
          <w:b/>
          <w:bCs/>
        </w:rPr>
        <w:fldChar w:fldCharType="end"/>
      </w:r>
      <w:bookmarkEnd w:id="457"/>
      <w:r>
        <w:rPr>
          <w:rtl/>
        </w:rPr>
        <w:t xml:space="preserve"> ר׳ אבא </w:t>
      </w:r>
      <w:proofErr w:type="spellStart"/>
      <w:r>
        <w:rPr>
          <w:rtl/>
        </w:rPr>
        <w:t>גורליק</w:t>
      </w:r>
      <w:proofErr w:type="spellEnd"/>
      <w:r>
        <w:rPr>
          <w:rtl/>
        </w:rPr>
        <w:t xml:space="preserve">, ראש ישיבת </w:t>
      </w:r>
      <w:proofErr w:type="spellStart"/>
      <w:r>
        <w:rPr>
          <w:rtl/>
        </w:rPr>
        <w:t>זכרון</w:t>
      </w:r>
      <w:proofErr w:type="spellEnd"/>
      <w:r>
        <w:rPr>
          <w:rtl/>
        </w:rPr>
        <w:t xml:space="preserve"> משה בסאות’ </w:t>
      </w:r>
      <w:proofErr w:type="spellStart"/>
      <w:r>
        <w:rPr>
          <w:rtl/>
        </w:rPr>
        <w:t>פולסבורג</w:t>
      </w:r>
      <w:proofErr w:type="spellEnd"/>
      <w:r>
        <w:rPr>
          <w:rtl/>
        </w:rPr>
        <w:t xml:space="preserve">, עיירה קטנה בהרי </w:t>
      </w:r>
      <w:proofErr w:type="spellStart"/>
      <w:r>
        <w:rPr>
          <w:rtl/>
        </w:rPr>
        <w:t>הקטסקיל</w:t>
      </w:r>
      <w:proofErr w:type="spellEnd"/>
      <w:r>
        <w:rPr>
          <w:rtl/>
        </w:rPr>
        <w:t xml:space="preserve"> שבמדינת ניו יורק, שאל בעצת אבי אם להעביר את מוסדו לעיר </w:t>
      </w:r>
      <w:proofErr w:type="spellStart"/>
      <w:r>
        <w:rPr>
          <w:rtl/>
        </w:rPr>
        <w:t>מונסי</w:t>
      </w:r>
      <w:proofErr w:type="spellEnd"/>
      <w:r>
        <w:rPr>
          <w:rtl/>
        </w:rPr>
        <w:t>. השיב אבי: “נראה שאינך יודע מה רב ערכם של החיים בכפר. אני איש כפרי, ומשום כך אני רואה את העולם בעיניים אחרות לגמרי”</w:t>
      </w:r>
      <w:bookmarkStart w:id="458" w:name="_fnr267"/>
      <w:r>
        <w:rPr>
          <w:rStyle w:val="a5"/>
        </w:rPr>
        <w:footnoteReference w:id="267" w:customMarkFollows="0"/>
      </w:r>
      <w:bookmarkEnd w:id="458"/>
      <w:r>
        <w:rPr>
          <w:rtl/>
        </w:rPr>
        <w:t>.</w:t>
      </w:r>
    </w:p>
    <w:p w14:paraId="3A27D634" w14:textId="77777777" w:rsidR="00AB3647" w:rsidRDefault="00000000" w:rsidP="007923E9">
      <w:pPr>
        <w:pStyle w:val="2"/>
        <w:spacing w:line="276" w:lineRule="auto"/>
      </w:pPr>
      <w:bookmarkStart w:id="459" w:name="b1_sec4"/>
      <w:r>
        <w:t>4.</w:t>
      </w:r>
      <w:bookmarkEnd w:id="459"/>
    </w:p>
    <w:p w14:paraId="25515A0A" w14:textId="6E499FE8"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יהודי </w:t>
      </w:r>
      <w:proofErr w:type="spellStart"/>
      <w:r>
        <w:rPr>
          <w:rtl/>
        </w:rPr>
        <w:t>דולהינוב</w:t>
      </w:r>
      <w:proofErr w:type="spellEnd"/>
      <w:r>
        <w:rPr>
          <w:rtl/>
        </w:rPr>
        <w:t xml:space="preserve"> היו פשוטים וישרים, והתפרנסו בכל דרך שהצריכו הנסיבות. היו רוכלים שיצאו אל הכפרים שבסביבה במוצאי שבת, וחזרו בלילות רביעי כדי להשתתף ביום השוק השבועי שנערך במקום ביום חמישי. הם יצאו מבתיהם עם סחורות וסדקית, והביאו בחזרה תוצרת חקלאית ופרוות, ולפעמים פרות או סוסים. הם עבדו קשה והיו רחוקים מבתיהם רוב הזמן, אבל התפרנסו בכבוד</w:t>
      </w:r>
      <w:bookmarkStart w:id="460" w:name="b1_ref79"/>
      <w:bookmarkEnd w:id="460"/>
      <w:r>
        <w:rPr>
          <w:vertAlign w:val="superscript"/>
          <w:rtl/>
        </w:rPr>
        <w:fldChar w:fldCharType="begin" w:dirty="true"/>
      </w:r>
      <w:r>
        <w:rPr>
          <w:vertAlign w:val="superscript"/>
          <w:rtl/>
        </w:rPr>
        <w:instrText xml:space="preserve"> REF b1_note79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79</w:t>
      </w:r>
      <w:r>
        <w:rPr>
          <w:vertAlign w:val="superscript"/>
          <w:rtl/>
        </w:rPr>
        <w:fldChar w:fldCharType="end"/>
      </w:r>
      <w:r>
        <w:rPr>
          <w:rtl/>
        </w:rPr>
        <w:t>.</w:t>
      </w:r>
    </w:p>
    <w:bookmarkStart w:id="461" w:name="b1_note79"/>
    <w:p w14:paraId="3CF8009C" w14:textId="77777777" w:rsidR="00AB3647" w:rsidRDefault="00000000" w:rsidP="007923E9">
      <w:pPr>
        <w:spacing w:before="120" w:after="100" w:line="276" w:lineRule="auto"/>
        <w:jc w:val="both"/>
      </w:pPr>
      <w:r>
        <w:fldChar w:fldCharType="begin" w:dirty="true"/>
      </w:r>
      <w:r>
        <w:instrText>HYPERLINK \l "b1_ref79"</w:instrText>
      </w:r>
      <w:r>
        <w:fldChar w:fldCharType="separate"/>
      </w:r>
      <w:r>
        <w:rPr>
          <w:b/>
          <w:bCs/>
          <w:rtl/>
        </w:rPr>
        <w:t>79</w:t>
      </w:r>
      <w:r>
        <w:rPr>
          <w:b/>
          <w:bCs/>
        </w:rPr>
        <w:fldChar w:fldCharType="end"/>
      </w:r>
      <w:bookmarkEnd w:id="461"/>
      <w:r>
        <w:rPr>
          <w:rtl/>
        </w:rPr>
        <w:t xml:space="preserve"> </w:t>
      </w:r>
      <w:proofErr w:type="spellStart"/>
      <w:r>
        <w:rPr>
          <w:rtl/>
        </w:rPr>
        <w:t>בדולהינוב</w:t>
      </w:r>
      <w:proofErr w:type="spellEnd"/>
      <w:r>
        <w:rPr>
          <w:rtl/>
        </w:rPr>
        <w:t xml:space="preserve"> הייתה שגורה אמרה שביטאה את היתרון שבדרך פרנסה זו: “טוב לחיות בין הגויים ולמות בין היהודים”</w:t>
      </w:r>
      <w:bookmarkStart w:id="462" w:name="_fnr268"/>
      <w:r>
        <w:rPr>
          <w:rStyle w:val="a5"/>
        </w:rPr>
        <w:footnoteReference w:id="268" w:customMarkFollows="0"/>
      </w:r>
      <w:bookmarkEnd w:id="462"/>
      <w:r>
        <w:rPr>
          <w:rtl/>
        </w:rPr>
        <w:t>.</w:t>
      </w:r>
    </w:p>
    <w:p w14:paraId="113C2562" w14:textId="19888251"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בעיירה היו שני בתי חרושת קטנים שייצרו ממתקים ונעלי בד (</w:t>
      </w:r>
      <w:proofErr w:type="spellStart"/>
      <w:r>
        <w:rPr>
          <w:rtl/>
        </w:rPr>
        <w:t>וואָליקעס</w:t>
      </w:r>
      <w:proofErr w:type="spellEnd"/>
      <w:r>
        <w:rPr>
          <w:rtl/>
        </w:rPr>
        <w:t xml:space="preserve">), וחנויות רבות של יהודים. מספר רב של יהודים היו בעלי מלאכה: חייטים וסנדלרים, נפחים ופחחים, בורסקאים וכובענים, אופים </w:t>
      </w:r>
      <w:proofErr w:type="spellStart"/>
      <w:r>
        <w:rPr>
          <w:rtl/>
        </w:rPr>
        <w:t>וחביתנים</w:t>
      </w:r>
      <w:proofErr w:type="spellEnd"/>
      <w:r>
        <w:rPr>
          <w:rtl/>
        </w:rPr>
        <w:t>, עושי גלגלים לעגלות הקיץ ועושי מגלשיים למזחלות החורף. כמה משפחות חכרו אדמות או מטעים מן האיכרים המקומיים, וגידלו תפוחי אדמה ומגוון של ירקות ופירות אחרים. כל בית אפה את לחמו בעצמו, וכבש מלפפונים וכרוב לחורף</w:t>
      </w:r>
      <w:bookmarkStart w:id="463" w:name="b1_ref80"/>
      <w:bookmarkEnd w:id="463"/>
      <w:r>
        <w:rPr>
          <w:vertAlign w:val="superscript"/>
          <w:rtl/>
        </w:rPr>
        <w:fldChar w:fldCharType="begin" w:dirty="true"/>
      </w:r>
      <w:r>
        <w:rPr>
          <w:vertAlign w:val="superscript"/>
          <w:rtl/>
        </w:rPr>
        <w:instrText xml:space="preserve"> REF b1_note80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80</w:t>
      </w:r>
      <w:r>
        <w:rPr>
          <w:vertAlign w:val="superscript"/>
          <w:rtl/>
        </w:rPr>
        <w:fldChar w:fldCharType="end"/>
      </w:r>
      <w:r>
        <w:rPr>
          <w:rtl/>
        </w:rPr>
        <w:t>.</w:t>
      </w:r>
    </w:p>
    <w:bookmarkStart w:id="464" w:name="b1_note80"/>
    <w:p w14:paraId="4B72E9BB" w14:textId="77777777" w:rsidR="00AB3647" w:rsidRDefault="00000000" w:rsidP="007923E9">
      <w:pPr>
        <w:spacing w:before="120" w:after="100" w:line="276" w:lineRule="auto"/>
        <w:jc w:val="both"/>
      </w:pPr>
      <w:r>
        <w:fldChar w:fldCharType="begin" w:dirty="true"/>
      </w:r>
      <w:r>
        <w:instrText>HYPERLINK \l "b1_ref80"</w:instrText>
      </w:r>
      <w:r>
        <w:fldChar w:fldCharType="separate"/>
      </w:r>
      <w:r>
        <w:rPr>
          <w:b/>
          <w:bCs/>
          <w:rtl/>
        </w:rPr>
        <w:t>80</w:t>
      </w:r>
      <w:r>
        <w:rPr>
          <w:b/>
          <w:bCs/>
        </w:rPr>
        <w:fldChar w:fldCharType="end"/>
      </w:r>
      <w:bookmarkEnd w:id="464"/>
      <w:r>
        <w:rPr>
          <w:rtl/>
        </w:rPr>
        <w:t xml:space="preserve"> “אש תמיד”</w:t>
      </w:r>
      <w:bookmarkStart w:id="465" w:name="_fnr269"/>
      <w:r>
        <w:rPr>
          <w:rStyle w:val="a5"/>
        </w:rPr>
        <w:footnoteReference w:id="269" w:customMarkFollows="0"/>
      </w:r>
      <w:bookmarkEnd w:id="465"/>
      <w:r>
        <w:rPr>
          <w:rtl/>
        </w:rPr>
        <w:t>.</w:t>
      </w:r>
    </w:p>
    <w:p w14:paraId="127D8F91" w14:textId="24FC1ACB"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היו מבני </w:t>
      </w:r>
      <w:proofErr w:type="spellStart"/>
      <w:r>
        <w:rPr>
          <w:rtl/>
        </w:rPr>
        <w:t>דולהינוב</w:t>
      </w:r>
      <w:proofErr w:type="spellEnd"/>
      <w:r>
        <w:rPr>
          <w:rtl/>
        </w:rPr>
        <w:t xml:space="preserve"> שהחיים ברוסיה היו קשים להם מנשוא, והם עשו את דרכם לעולם החדש, לאמריקה. כמה מהם ראו את ילדיהם גדלים “גויים” </w:t>
      </w:r>
      <w:proofErr w:type="spellStart"/>
      <w:r>
        <w:rPr>
          <w:rtl/>
        </w:rPr>
        <w:t>ב“ארץ</w:t>
      </w:r>
      <w:proofErr w:type="spellEnd"/>
      <w:r>
        <w:rPr>
          <w:rtl/>
        </w:rPr>
        <w:t xml:space="preserve"> הזהב”, ושלחו את נשותיהם וילדיהם בחזרה “הביתה”, ומעבר לים שלחו להם כמה דולרים</w:t>
      </w:r>
      <w:bookmarkStart w:id="466" w:name="b1_ref81"/>
      <w:bookmarkEnd w:id="466"/>
      <w:r>
        <w:rPr>
          <w:vertAlign w:val="superscript"/>
          <w:rtl/>
        </w:rPr>
        <w:fldChar w:fldCharType="begin" w:dirty="true"/>
      </w:r>
      <w:r>
        <w:rPr>
          <w:vertAlign w:val="superscript"/>
          <w:rtl/>
        </w:rPr>
        <w:instrText xml:space="preserve"> REF b1_note81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81</w:t>
      </w:r>
      <w:r>
        <w:rPr>
          <w:vertAlign w:val="superscript"/>
          <w:rtl/>
        </w:rPr>
        <w:fldChar w:fldCharType="end"/>
      </w:r>
      <w:r>
        <w:rPr>
          <w:rtl/>
        </w:rPr>
        <w:t>.</w:t>
      </w:r>
    </w:p>
    <w:bookmarkStart w:id="467" w:name="b1_note81"/>
    <w:p w14:paraId="75F95EFA" w14:textId="77777777" w:rsidR="00AB3647" w:rsidRDefault="00000000" w:rsidP="007923E9">
      <w:pPr>
        <w:spacing w:before="120" w:after="100" w:line="276" w:lineRule="auto"/>
        <w:jc w:val="both"/>
      </w:pPr>
      <w:r>
        <w:fldChar w:fldCharType="begin" w:dirty="true"/>
      </w:r>
      <w:r>
        <w:instrText>HYPERLINK \l "b1_ref81"</w:instrText>
      </w:r>
      <w:r>
        <w:fldChar w:fldCharType="separate"/>
      </w:r>
      <w:r>
        <w:rPr>
          <w:b/>
          <w:bCs/>
          <w:rtl/>
        </w:rPr>
        <w:t>81</w:t>
      </w:r>
      <w:r>
        <w:rPr>
          <w:b/>
          <w:bCs/>
        </w:rPr>
        <w:fldChar w:fldCharType="end"/>
      </w:r>
      <w:bookmarkEnd w:id="467"/>
      <w:r>
        <w:rPr>
          <w:rtl/>
        </w:rPr>
        <w:t xml:space="preserve"> ר׳ </w:t>
      </w:r>
      <w:proofErr w:type="spellStart"/>
      <w:r>
        <w:rPr>
          <w:rtl/>
        </w:rPr>
        <w:t>ליפא</w:t>
      </w:r>
      <w:proofErr w:type="spellEnd"/>
      <w:r>
        <w:rPr>
          <w:rtl/>
        </w:rPr>
        <w:t xml:space="preserve"> </w:t>
      </w:r>
      <w:proofErr w:type="spellStart"/>
      <w:r>
        <w:rPr>
          <w:rtl/>
        </w:rPr>
        <w:t>גלדוורט</w:t>
      </w:r>
      <w:bookmarkStart w:id="468" w:name="_fnr270"/>
      <w:proofErr w:type="spellEnd"/>
      <w:r>
        <w:rPr>
          <w:rStyle w:val="a5"/>
        </w:rPr>
        <w:footnoteReference w:id="270" w:customMarkFollows="0"/>
      </w:r>
      <w:bookmarkEnd w:id="468"/>
      <w:r>
        <w:rPr>
          <w:rtl/>
        </w:rPr>
        <w:t xml:space="preserve"> סיפר שבסעודה למען מוסדות באר הגולה</w:t>
      </w:r>
      <w:bookmarkStart w:id="469" w:name="_fnr271"/>
      <w:r>
        <w:rPr>
          <w:rStyle w:val="a5"/>
        </w:rPr>
        <w:footnoteReference w:id="271" w:customMarkFollows="0"/>
      </w:r>
      <w:bookmarkEnd w:id="469"/>
      <w:r>
        <w:rPr>
          <w:rtl/>
        </w:rPr>
        <w:t xml:space="preserve"> סיפר אבי שהוא זוכר מילדותו כיצד הזהירו את ילדי המקום שלא לשחק עם השבים, שמא דבקו בהם השפעות רעות </w:t>
      </w:r>
      <w:r>
        <w:rPr>
          <w:rtl/>
        </w:rPr>
        <w:lastRenderedPageBreak/>
        <w:t xml:space="preserve">בשהותם </w:t>
      </w:r>
      <w:proofErr w:type="spellStart"/>
      <w:r>
        <w:rPr>
          <w:rtl/>
        </w:rPr>
        <w:t>ב“טרייפע</w:t>
      </w:r>
      <w:proofErr w:type="spellEnd"/>
      <w:r>
        <w:rPr>
          <w:rtl/>
        </w:rPr>
        <w:t xml:space="preserve"> מדינה [מדינה טרפה]”, אמריקה. אבי הזהיר את יהודי אמריקה שומרי המצוות שלא לדחות את אחיהם הבאים מרוסיה, “עכשיו שהגלגל התהפך”.</w:t>
      </w:r>
    </w:p>
    <w:p w14:paraId="7ABD8A96" w14:textId="769CAE84"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proofErr w:type="spellStart"/>
      <w:r>
        <w:rPr>
          <w:rtl/>
        </w:rPr>
        <w:t>לר</w:t>
      </w:r>
      <w:proofErr w:type="spellEnd"/>
      <w:r>
        <w:rPr>
          <w:rtl/>
        </w:rPr>
        <w:t xml:space="preserve">׳ בנימין </w:t>
      </w:r>
      <w:proofErr w:type="spellStart"/>
      <w:r>
        <w:rPr>
          <w:rtl/>
        </w:rPr>
        <w:t>קמינצקי</w:t>
      </w:r>
      <w:proofErr w:type="spellEnd"/>
      <w:r>
        <w:rPr>
          <w:rtl/>
        </w:rPr>
        <w:t xml:space="preserve"> לא הייתה פרנסה </w:t>
      </w:r>
      <w:proofErr w:type="spellStart"/>
      <w:r>
        <w:rPr>
          <w:rtl/>
        </w:rPr>
        <w:t>בדולהינוב</w:t>
      </w:r>
      <w:proofErr w:type="spellEnd"/>
      <w:r>
        <w:rPr>
          <w:rtl/>
        </w:rPr>
        <w:t xml:space="preserve">, אבל פעמים רבות קראו לו אל היער, שם נעזרו במומחיותו בכריתת עצים. לפעמים התלווה לאביו בנסיעות עסקים לווילנה, שדרכה זרם נהר </w:t>
      </w:r>
      <w:proofErr w:type="spellStart"/>
      <w:r>
        <w:rPr>
          <w:rtl/>
        </w:rPr>
        <w:t>הוויליה</w:t>
      </w:r>
      <w:proofErr w:type="spellEnd"/>
      <w:r>
        <w:rPr>
          <w:rtl/>
        </w:rPr>
        <w:t xml:space="preserve"> ועל מימיו שטו עצי היער של ר׳ </w:t>
      </w:r>
      <w:proofErr w:type="spellStart"/>
      <w:r>
        <w:rPr>
          <w:rtl/>
        </w:rPr>
        <w:t>שמואל־הירש</w:t>
      </w:r>
      <w:proofErr w:type="spellEnd"/>
      <w:r>
        <w:rPr>
          <w:rtl/>
        </w:rPr>
        <w:t xml:space="preserve">. כשחסרה לפעמים הכנסה, שמח האב העשיר להושיט יד לעזרה למשפחת בנו, שגדלה אחרי שעזבו את </w:t>
      </w:r>
      <w:proofErr w:type="spellStart"/>
      <w:r>
        <w:rPr>
          <w:rtl/>
        </w:rPr>
        <w:t>קאליסקובקה</w:t>
      </w:r>
      <w:proofErr w:type="spellEnd"/>
      <w:r>
        <w:rPr>
          <w:rtl/>
        </w:rPr>
        <w:t xml:space="preserve"> בשלושה ילדים נוספים: אהרן, יודל ולאה</w:t>
      </w:r>
      <w:bookmarkStart w:id="470" w:name="b1_ref82"/>
      <w:bookmarkEnd w:id="470"/>
      <w:r>
        <w:rPr>
          <w:vertAlign w:val="superscript"/>
          <w:rtl/>
        </w:rPr>
        <w:fldChar w:fldCharType="begin" w:dirty="true"/>
      </w:r>
      <w:r>
        <w:rPr>
          <w:vertAlign w:val="superscript"/>
          <w:rtl/>
        </w:rPr>
        <w:instrText xml:space="preserve"> REF b1_note82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82</w:t>
      </w:r>
      <w:r>
        <w:rPr>
          <w:vertAlign w:val="superscript"/>
          <w:rtl/>
        </w:rPr>
        <w:fldChar w:fldCharType="end"/>
      </w:r>
      <w:r>
        <w:rPr>
          <w:rtl/>
        </w:rPr>
        <w:t>.</w:t>
      </w:r>
    </w:p>
    <w:bookmarkStart w:id="471" w:name="b1_note82"/>
    <w:p w14:paraId="547AA0BD" w14:textId="73DFF6CF" w:rsidR="00AB3647" w:rsidRDefault="00000000" w:rsidP="007923E9">
      <w:pPr>
        <w:spacing w:before="120" w:after="100" w:line="276" w:lineRule="auto"/>
        <w:jc w:val="both"/>
      </w:pPr>
      <w:r>
        <w:fldChar w:fldCharType="begin" w:dirty="true"/>
      </w:r>
      <w:r>
        <w:instrText>HYPERLINK \l "b1_ref82"</w:instrText>
      </w:r>
      <w:r>
        <w:fldChar w:fldCharType="separate"/>
      </w:r>
      <w:r>
        <w:rPr>
          <w:b/>
          <w:bCs/>
          <w:rtl/>
        </w:rPr>
        <w:t>82</w:t>
      </w:r>
      <w:r>
        <w:rPr>
          <w:b/>
          <w:bCs/>
        </w:rPr>
        <w:fldChar w:fldCharType="end"/>
      </w:r>
      <w:bookmarkEnd w:id="471"/>
      <w:r>
        <w:rPr>
          <w:rtl/>
        </w:rPr>
        <w:t xml:space="preserve"> הם נולדו בשנים תרנ״ו, תרנ״ח </w:t>
      </w:r>
      <w:proofErr w:type="spellStart"/>
      <w:r>
        <w:rPr>
          <w:rtl/>
        </w:rPr>
        <w:t>ותר״ס</w:t>
      </w:r>
      <w:proofErr w:type="spellEnd"/>
      <w:r>
        <w:rPr>
          <w:rtl/>
        </w:rPr>
        <w:t xml:space="preserve">, בהתאמה, כמובא בהערה </w:t>
      </w:r>
      <w:r>
        <w:rPr>
          <w:rtl/>
        </w:rPr>
        <w:fldChar w:fldCharType="begin" w:dirty="true"/>
      </w:r>
      <w:r>
        <w:rPr>
          <w:rtl/>
        </w:rPr>
        <w:instrText xml:space="preserve"> REF b1_note34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34</w:t>
      </w:r>
      <w:r>
        <w:rPr>
          <w:rtl/>
        </w:rPr>
        <w:fldChar w:fldCharType="end"/>
      </w:r>
      <w:r>
        <w:rPr>
          <w:rtl/>
        </w:rPr>
        <w:t xml:space="preserve"> לעיל.</w:t>
      </w:r>
    </w:p>
    <w:p w14:paraId="7F75636C" w14:textId="7777777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proofErr w:type="spellStart"/>
      <w:r>
        <w:rPr>
          <w:rtl/>
        </w:rPr>
        <w:t>חיים־זרח</w:t>
      </w:r>
      <w:proofErr w:type="spellEnd"/>
      <w:r>
        <w:rPr>
          <w:rtl/>
        </w:rPr>
        <w:t xml:space="preserve">, הבכור בילדי </w:t>
      </w:r>
      <w:proofErr w:type="spellStart"/>
      <w:r>
        <w:rPr>
          <w:rtl/>
        </w:rPr>
        <w:t>קמינצקי</w:t>
      </w:r>
      <w:proofErr w:type="spellEnd"/>
      <w:r>
        <w:rPr>
          <w:rtl/>
        </w:rPr>
        <w:t xml:space="preserve">, היה בן </w:t>
      </w:r>
      <w:proofErr w:type="spellStart"/>
      <w:r>
        <w:rPr>
          <w:rtl/>
        </w:rPr>
        <w:t>ארבע־עשרה</w:t>
      </w:r>
      <w:proofErr w:type="spellEnd"/>
      <w:r>
        <w:rPr>
          <w:rtl/>
        </w:rPr>
        <w:t xml:space="preserve"> כשהוריו סברו שהוא מוכן לעמוד ברשות עצמו. להשאירו </w:t>
      </w:r>
      <w:proofErr w:type="spellStart"/>
      <w:r>
        <w:rPr>
          <w:rtl/>
        </w:rPr>
        <w:t>בדולהינוב</w:t>
      </w:r>
      <w:proofErr w:type="spellEnd"/>
      <w:r>
        <w:rPr>
          <w:rtl/>
        </w:rPr>
        <w:t xml:space="preserve"> כשוליה באחת המלאכות – זה לא בא בחשבון לילד ממשפחת </w:t>
      </w:r>
      <w:proofErr w:type="spellStart"/>
      <w:r>
        <w:rPr>
          <w:rtl/>
        </w:rPr>
        <w:t>קמינצקי</w:t>
      </w:r>
      <w:proofErr w:type="spellEnd"/>
      <w:r>
        <w:rPr>
          <w:rtl/>
        </w:rPr>
        <w:t xml:space="preserve"> הגאה. הם החליטו לשלוח אותו למינסק, העיר הגדולה, המרוחקת תשעים קילומטרים. כמה מאחיו ואחיותיו של ר׳ בנימין כבר התגוררו שם. אחיו </w:t>
      </w:r>
      <w:proofErr w:type="spellStart"/>
      <w:r>
        <w:rPr>
          <w:rtl/>
        </w:rPr>
        <w:t>אברהם־משה</w:t>
      </w:r>
      <w:proofErr w:type="spellEnd"/>
      <w:r>
        <w:rPr>
          <w:rtl/>
        </w:rPr>
        <w:t xml:space="preserve"> עבר לשם עם אשתו, </w:t>
      </w:r>
      <w:proofErr w:type="spellStart"/>
      <w:r>
        <w:rPr>
          <w:rtl/>
        </w:rPr>
        <w:t>עטיל</w:t>
      </w:r>
      <w:proofErr w:type="spellEnd"/>
      <w:r>
        <w:rPr>
          <w:rtl/>
        </w:rPr>
        <w:t xml:space="preserve">, וששת ילדיהם, כשהאווירה </w:t>
      </w:r>
      <w:proofErr w:type="spellStart"/>
      <w:r>
        <w:rPr>
          <w:rtl/>
        </w:rPr>
        <w:t>בקאליסקובקה</w:t>
      </w:r>
      <w:proofErr w:type="spellEnd"/>
      <w:r>
        <w:rPr>
          <w:rtl/>
        </w:rPr>
        <w:t xml:space="preserve"> נעשתה מעיקה מדי לטעמו.</w:t>
      </w:r>
    </w:p>
    <w:p w14:paraId="55743499" w14:textId="603CF8F0"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אחותו הצעירה של ר׳ בנימין מאב ומאם, ראשה, נישאה </w:t>
      </w:r>
      <w:proofErr w:type="spellStart"/>
      <w:r>
        <w:rPr>
          <w:rtl/>
        </w:rPr>
        <w:t>לפייבה</w:t>
      </w:r>
      <w:proofErr w:type="spellEnd"/>
      <w:r>
        <w:rPr>
          <w:rtl/>
        </w:rPr>
        <w:t xml:space="preserve"> </w:t>
      </w:r>
      <w:proofErr w:type="spellStart"/>
      <w:r>
        <w:rPr>
          <w:rtl/>
        </w:rPr>
        <w:t>בלינקה</w:t>
      </w:r>
      <w:proofErr w:type="spellEnd"/>
      <w:r>
        <w:rPr>
          <w:rtl/>
        </w:rPr>
        <w:t>, מודד קרקעות במינסק. בני הזוג לא הקפידו הרבה על היידישקייט ובילו את שעות הפנאי שלהם במשחק קלפים, אבל עדיין משפחה היו</w:t>
      </w:r>
      <w:bookmarkStart w:id="472" w:name="b1_ref83"/>
      <w:bookmarkEnd w:id="472"/>
      <w:r>
        <w:rPr>
          <w:vertAlign w:val="superscript"/>
          <w:rtl/>
        </w:rPr>
        <w:fldChar w:fldCharType="begin" w:dirty="true"/>
      </w:r>
      <w:r>
        <w:rPr>
          <w:vertAlign w:val="superscript"/>
          <w:rtl/>
        </w:rPr>
        <w:instrText xml:space="preserve"> REF b1_note83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83</w:t>
      </w:r>
      <w:r>
        <w:rPr>
          <w:vertAlign w:val="superscript"/>
          <w:rtl/>
        </w:rPr>
        <w:fldChar w:fldCharType="end"/>
      </w:r>
      <w:r>
        <w:rPr>
          <w:rtl/>
        </w:rPr>
        <w:t xml:space="preserve">. גם אחותו טובת הלב והחסודה של ר׳ בנימין, דבורה היפה, שהייתה יראה את אביה יותר מכדי להתעלם מרצונו, נישאה במינסק לתלמיד החכם הגדול והירא ר׳ גרשון </w:t>
      </w:r>
      <w:proofErr w:type="spellStart"/>
      <w:r>
        <w:rPr>
          <w:rtl/>
        </w:rPr>
        <w:t>במדס</w:t>
      </w:r>
      <w:proofErr w:type="spellEnd"/>
      <w:r>
        <w:rPr>
          <w:rtl/>
        </w:rPr>
        <w:t>, בנו חיוור הפנים של סוחר יין עשיר</w:t>
      </w:r>
      <w:bookmarkStart w:id="473" w:name="b1_ref84"/>
      <w:bookmarkEnd w:id="473"/>
      <w:r>
        <w:rPr>
          <w:vertAlign w:val="superscript"/>
          <w:rtl/>
        </w:rPr>
        <w:fldChar w:fldCharType="begin" w:dirty="true"/>
      </w:r>
      <w:r>
        <w:rPr>
          <w:vertAlign w:val="superscript"/>
          <w:rtl/>
        </w:rPr>
        <w:instrText xml:space="preserve"> REF b1_note84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84</w:t>
      </w:r>
      <w:r>
        <w:rPr>
          <w:vertAlign w:val="superscript"/>
          <w:rtl/>
        </w:rPr>
        <w:fldChar w:fldCharType="end"/>
      </w:r>
      <w:r>
        <w:rPr>
          <w:rtl/>
        </w:rPr>
        <w:t xml:space="preserve">. ביתם של בני הזוג חשוכי הילדים היה ודאי </w:t>
      </w:r>
      <w:proofErr w:type="spellStart"/>
      <w:r>
        <w:rPr>
          <w:rtl/>
        </w:rPr>
        <w:t>לחיים־זרח</w:t>
      </w:r>
      <w:proofErr w:type="spellEnd"/>
      <w:r>
        <w:rPr>
          <w:rtl/>
        </w:rPr>
        <w:t xml:space="preserve"> בית חם ומסביר פנים, כביתו שלו.</w:t>
      </w:r>
    </w:p>
    <w:bookmarkStart w:id="474" w:name="b1_note83"/>
    <w:p w14:paraId="6612AFEA" w14:textId="77777777" w:rsidR="00AB3647" w:rsidRDefault="00000000" w:rsidP="007923E9">
      <w:pPr>
        <w:spacing w:before="120" w:after="100" w:line="276" w:lineRule="auto"/>
        <w:jc w:val="both"/>
      </w:pPr>
      <w:r>
        <w:fldChar w:fldCharType="begin" w:dirty="true"/>
      </w:r>
      <w:r>
        <w:instrText>HYPERLINK \l "b1_ref83"</w:instrText>
      </w:r>
      <w:r>
        <w:fldChar w:fldCharType="separate"/>
      </w:r>
      <w:r>
        <w:rPr>
          <w:b/>
          <w:bCs/>
          <w:rtl/>
        </w:rPr>
        <w:t>83</w:t>
      </w:r>
      <w:r>
        <w:rPr>
          <w:b/>
          <w:bCs/>
        </w:rPr>
        <w:fldChar w:fldCharType="end"/>
      </w:r>
      <w:bookmarkEnd w:id="474"/>
      <w:r>
        <w:rPr>
          <w:rtl/>
        </w:rPr>
        <w:t xml:space="preserve"> לדברי ר׳ </w:t>
      </w:r>
      <w:proofErr w:type="spellStart"/>
      <w:r>
        <w:rPr>
          <w:rtl/>
        </w:rPr>
        <w:t>לייבל</w:t>
      </w:r>
      <w:proofErr w:type="spellEnd"/>
      <w:r>
        <w:rPr>
          <w:rtl/>
        </w:rPr>
        <w:t xml:space="preserve"> </w:t>
      </w:r>
      <w:proofErr w:type="spellStart"/>
      <w:r>
        <w:rPr>
          <w:rtl/>
        </w:rPr>
        <w:t>פרלשטיין</w:t>
      </w:r>
      <w:bookmarkStart w:id="475" w:name="_fnr272"/>
      <w:proofErr w:type="spellEnd"/>
      <w:r>
        <w:rPr>
          <w:rStyle w:val="a5"/>
        </w:rPr>
        <w:footnoteReference w:id="272" w:customMarkFollows="0"/>
      </w:r>
      <w:bookmarkEnd w:id="475"/>
      <w:r>
        <w:rPr>
          <w:rtl/>
        </w:rPr>
        <w:t xml:space="preserve"> אמר אבי: “היא הייתה אישה עשירה, אבל קומוניסטית – לא שהמשפחה השלימה עם זה”.</w:t>
      </w:r>
    </w:p>
    <w:bookmarkStart w:id="476" w:name="b1_note84"/>
    <w:p w14:paraId="75F39825" w14:textId="77777777" w:rsidR="00AB3647" w:rsidRDefault="00000000" w:rsidP="007923E9">
      <w:pPr>
        <w:spacing w:before="120" w:after="100" w:line="276" w:lineRule="auto"/>
        <w:jc w:val="both"/>
      </w:pPr>
      <w:r>
        <w:fldChar w:fldCharType="begin" w:dirty="true"/>
      </w:r>
      <w:r>
        <w:instrText>HYPERLINK \l "b1_ref84"</w:instrText>
      </w:r>
      <w:r>
        <w:fldChar w:fldCharType="separate"/>
      </w:r>
      <w:r>
        <w:rPr>
          <w:b/>
          <w:bCs/>
          <w:rtl/>
        </w:rPr>
        <w:t>84</w:t>
      </w:r>
      <w:r>
        <w:rPr>
          <w:b/>
          <w:bCs/>
        </w:rPr>
        <w:fldChar w:fldCharType="end"/>
      </w:r>
      <w:bookmarkEnd w:id="476"/>
      <w:r>
        <w:rPr>
          <w:rtl/>
        </w:rPr>
        <w:t xml:space="preserve"> גם האחות האחרת, שיינה, הייתה חסודה במיוחד. היא גרה </w:t>
      </w:r>
      <w:proofErr w:type="spellStart"/>
      <w:r>
        <w:rPr>
          <w:rtl/>
        </w:rPr>
        <w:t>בקריסק</w:t>
      </w:r>
      <w:proofErr w:type="spellEnd"/>
      <w:r>
        <w:rPr>
          <w:rtl/>
        </w:rPr>
        <w:t>, ושם פרנסה את משפחתה בת ששת הילדים בחנות שהחזיקה, בשעה שבעלה לא עשה דבר מלבד ללמוד תורה. לפעמים הייתה באה למינסק לקנות סחורה. כך מסרה הדודה דבורה</w:t>
      </w:r>
      <w:bookmarkStart w:id="477" w:name="_fnr273"/>
      <w:r>
        <w:rPr>
          <w:rStyle w:val="a5"/>
        </w:rPr>
        <w:footnoteReference w:id="273" w:customMarkFollows="0"/>
      </w:r>
      <w:bookmarkEnd w:id="477"/>
      <w:r>
        <w:rPr>
          <w:rtl/>
        </w:rPr>
        <w:t>.</w:t>
      </w:r>
    </w:p>
    <w:p w14:paraId="1D20B21D" w14:textId="1E270859"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ואכן, </w:t>
      </w:r>
      <w:proofErr w:type="spellStart"/>
      <w:r>
        <w:rPr>
          <w:rtl/>
        </w:rPr>
        <w:t>חיים־זרח</w:t>
      </w:r>
      <w:proofErr w:type="spellEnd"/>
      <w:r>
        <w:rPr>
          <w:rtl/>
        </w:rPr>
        <w:t xml:space="preserve"> עבר לגור אצל דודתו דבורה, ובעלה מצא לו עבודה בגולדברג ושפירא, חברת תרופות ענקית שסיפקה תרופות לכל מינסק וסביבותיה. </w:t>
      </w:r>
      <w:proofErr w:type="spellStart"/>
      <w:r>
        <w:rPr>
          <w:rtl/>
        </w:rPr>
        <w:t>חיים־זרח</w:t>
      </w:r>
      <w:proofErr w:type="spellEnd"/>
      <w:r>
        <w:rPr>
          <w:rtl/>
        </w:rPr>
        <w:t xml:space="preserve"> כתב הביתה שהוא אוהב את עבודתו, ושממוניו מעריכים אותו והעלו את שכרו</w:t>
      </w:r>
      <w:bookmarkStart w:id="478" w:name="b1_ref85"/>
      <w:bookmarkEnd w:id="478"/>
      <w:r>
        <w:rPr>
          <w:vertAlign w:val="superscript"/>
          <w:rtl/>
        </w:rPr>
        <w:fldChar w:fldCharType="begin" w:dirty="true"/>
      </w:r>
      <w:r>
        <w:rPr>
          <w:vertAlign w:val="superscript"/>
          <w:rtl/>
        </w:rPr>
        <w:instrText xml:space="preserve"> REF b1_note85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85</w:t>
      </w:r>
      <w:r>
        <w:rPr>
          <w:vertAlign w:val="superscript"/>
          <w:rtl/>
        </w:rPr>
        <w:fldChar w:fldCharType="end"/>
      </w:r>
      <w:r>
        <w:rPr>
          <w:rtl/>
        </w:rPr>
        <w:t xml:space="preserve">. אבל לאכזבת דודתו הוא עזב </w:t>
      </w:r>
      <w:r>
        <w:rPr>
          <w:rtl/>
        </w:rPr>
        <w:lastRenderedPageBreak/>
        <w:t xml:space="preserve">את ביתה, כששמע אותה מגינה על יושרו כאשר בעלה הקמצן חשד בו שלקח לעצמו כמה </w:t>
      </w:r>
      <w:proofErr w:type="spellStart"/>
      <w:r>
        <w:rPr>
          <w:rtl/>
        </w:rPr>
        <w:t>קופיקות</w:t>
      </w:r>
      <w:proofErr w:type="spellEnd"/>
      <w:r>
        <w:rPr>
          <w:rtl/>
        </w:rPr>
        <w:t xml:space="preserve"> ממגירת המטבח. הוא הודיע להוריו ששכר חדר קטן אך נאה, ושהוא מאושר במינסק.</w:t>
      </w:r>
    </w:p>
    <w:bookmarkStart w:id="479" w:name="b1_note85"/>
    <w:p w14:paraId="0A5DC0F4" w14:textId="77777777" w:rsidR="00AB3647" w:rsidRDefault="00000000" w:rsidP="007923E9">
      <w:pPr>
        <w:spacing w:before="120" w:after="100" w:line="276" w:lineRule="auto"/>
        <w:jc w:val="both"/>
      </w:pPr>
      <w:r>
        <w:fldChar w:fldCharType="begin" w:dirty="true"/>
      </w:r>
      <w:r>
        <w:instrText>HYPERLINK \l "b1_ref85"</w:instrText>
      </w:r>
      <w:r>
        <w:fldChar w:fldCharType="separate"/>
      </w:r>
      <w:r>
        <w:rPr>
          <w:b/>
          <w:bCs/>
          <w:rtl/>
        </w:rPr>
        <w:t>85</w:t>
      </w:r>
      <w:r>
        <w:rPr>
          <w:b/>
          <w:bCs/>
        </w:rPr>
        <w:fldChar w:fldCharType="end"/>
      </w:r>
      <w:bookmarkEnd w:id="479"/>
      <w:r>
        <w:rPr>
          <w:rtl/>
        </w:rPr>
        <w:t xml:space="preserve"> דודתי כתבה</w:t>
      </w:r>
      <w:bookmarkStart w:id="480" w:name="_fnr274"/>
      <w:r>
        <w:rPr>
          <w:rStyle w:val="a5"/>
        </w:rPr>
        <w:footnoteReference w:id="274" w:customMarkFollows="0"/>
      </w:r>
      <w:bookmarkEnd w:id="480"/>
      <w:r>
        <w:rPr>
          <w:rtl/>
        </w:rPr>
        <w:t xml:space="preserve">: “הוא נשא חן בעיני מעסיקיו; הם חיבבו אותו כל כך, שכשהגיע לפרקו השיאו אותו </w:t>
      </w:r>
      <w:proofErr w:type="spellStart"/>
      <w:r>
        <w:rPr>
          <w:rtl/>
        </w:rPr>
        <w:t>לפערל</w:t>
      </w:r>
      <w:proofErr w:type="spellEnd"/>
      <w:r>
        <w:rPr>
          <w:rtl/>
        </w:rPr>
        <w:t xml:space="preserve"> </w:t>
      </w:r>
      <w:proofErr w:type="spellStart"/>
      <w:r>
        <w:rPr>
          <w:rtl/>
        </w:rPr>
        <w:t>בוטביניק</w:t>
      </w:r>
      <w:proofErr w:type="spellEnd"/>
      <w:r>
        <w:rPr>
          <w:rtl/>
        </w:rPr>
        <w:t xml:space="preserve">, נערה מכפר הסמוך </w:t>
      </w:r>
      <w:proofErr w:type="spellStart"/>
      <w:r>
        <w:rPr>
          <w:rtl/>
        </w:rPr>
        <w:t>לדולהינוב</w:t>
      </w:r>
      <w:proofErr w:type="spellEnd"/>
      <w:r>
        <w:rPr>
          <w:rtl/>
        </w:rPr>
        <w:t>”.</w:t>
      </w:r>
    </w:p>
    <w:p w14:paraId="49C00FE1" w14:textId="1A5D357F"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באותו זמן תכננו בני הזוג </w:t>
      </w:r>
      <w:proofErr w:type="spellStart"/>
      <w:r>
        <w:rPr>
          <w:rtl/>
        </w:rPr>
        <w:t>קמינצקי</w:t>
      </w:r>
      <w:proofErr w:type="spellEnd"/>
      <w:r>
        <w:rPr>
          <w:rtl/>
        </w:rPr>
        <w:t xml:space="preserve"> שגם בנם השני יעזוב את בית הוריו. אבי נשלח תחילה לאחוזת אבותיו </w:t>
      </w:r>
      <w:proofErr w:type="spellStart"/>
      <w:r>
        <w:rPr>
          <w:rtl/>
        </w:rPr>
        <w:t>בקאליסקובקה</w:t>
      </w:r>
      <w:proofErr w:type="spellEnd"/>
      <w:r>
        <w:rPr>
          <w:rtl/>
        </w:rPr>
        <w:t>, אל סבו ואל דודו ישראל־יצחק</w:t>
      </w:r>
      <w:bookmarkStart w:id="481" w:name="b1_ref86"/>
      <w:bookmarkEnd w:id="481"/>
      <w:r>
        <w:rPr>
          <w:vertAlign w:val="superscript"/>
          <w:rtl/>
        </w:rPr>
        <w:fldChar w:fldCharType="begin" w:dirty="true"/>
      </w:r>
      <w:r>
        <w:rPr>
          <w:vertAlign w:val="superscript"/>
          <w:rtl/>
        </w:rPr>
        <w:instrText xml:space="preserve"> REF b1_note86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86</w:t>
      </w:r>
      <w:r>
        <w:rPr>
          <w:vertAlign w:val="superscript"/>
          <w:rtl/>
        </w:rPr>
        <w:fldChar w:fldCharType="end"/>
      </w:r>
      <w:r>
        <w:rPr>
          <w:rtl/>
        </w:rPr>
        <w:t>. סבו שמח בילד המחונן, שהסתגל במהרה</w:t>
      </w:r>
      <w:bookmarkStart w:id="482" w:name="b1_ref87"/>
      <w:bookmarkEnd w:id="482"/>
      <w:r>
        <w:rPr>
          <w:vertAlign w:val="superscript"/>
          <w:rtl/>
        </w:rPr>
        <w:fldChar w:fldCharType="begin" w:dirty="true"/>
      </w:r>
      <w:r>
        <w:rPr>
          <w:vertAlign w:val="superscript"/>
          <w:rtl/>
        </w:rPr>
        <w:instrText xml:space="preserve"> REF b1_note87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87</w:t>
      </w:r>
      <w:r>
        <w:rPr>
          <w:vertAlign w:val="superscript"/>
          <w:rtl/>
        </w:rPr>
        <w:fldChar w:fldCharType="end"/>
      </w:r>
      <w:r>
        <w:rPr>
          <w:rtl/>
        </w:rPr>
        <w:t xml:space="preserve"> למטלותיו ולאחריותו בחווה, ואף מצא זמן ללמוד עמו בלאַט גמרא [דף גמרא]</w:t>
      </w:r>
      <w:bookmarkStart w:id="483" w:name="b1_ref88"/>
      <w:bookmarkEnd w:id="483"/>
      <w:r>
        <w:rPr>
          <w:vertAlign w:val="superscript"/>
          <w:rtl/>
        </w:rPr>
        <w:fldChar w:fldCharType="begin" w:dirty="true"/>
      </w:r>
      <w:r>
        <w:rPr>
          <w:vertAlign w:val="superscript"/>
          <w:rtl/>
        </w:rPr>
        <w:instrText xml:space="preserve"> REF b1_note88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88</w:t>
      </w:r>
      <w:r>
        <w:rPr>
          <w:vertAlign w:val="superscript"/>
          <w:rtl/>
        </w:rPr>
        <w:fldChar w:fldCharType="end"/>
      </w:r>
      <w:r>
        <w:rPr>
          <w:rtl/>
        </w:rPr>
        <w:t>.</w:t>
      </w:r>
    </w:p>
    <w:bookmarkStart w:id="484" w:name="b1_note86"/>
    <w:p w14:paraId="682E1044" w14:textId="04DA06A8" w:rsidR="00AB3647" w:rsidRDefault="00000000" w:rsidP="007923E9">
      <w:pPr>
        <w:spacing w:before="120" w:after="100" w:line="276" w:lineRule="auto"/>
        <w:jc w:val="both"/>
      </w:pPr>
      <w:r>
        <w:fldChar w:fldCharType="begin" w:dirty="true"/>
      </w:r>
      <w:r>
        <w:instrText>HYPERLINK \l "b1_ref86"</w:instrText>
      </w:r>
      <w:r>
        <w:fldChar w:fldCharType="separate"/>
      </w:r>
      <w:r>
        <w:rPr>
          <w:b/>
          <w:bCs/>
          <w:rtl/>
        </w:rPr>
        <w:t>86</w:t>
      </w:r>
      <w:r>
        <w:rPr>
          <w:b/>
          <w:bCs/>
        </w:rPr>
        <w:fldChar w:fldCharType="end"/>
      </w:r>
      <w:bookmarkEnd w:id="484"/>
      <w:r>
        <w:rPr>
          <w:rtl/>
        </w:rPr>
        <w:t xml:space="preserve"> ראה הערה </w:t>
      </w:r>
      <w:r>
        <w:rPr>
          <w:rtl/>
        </w:rPr>
        <w:fldChar w:fldCharType="begin" w:dirty="true"/>
      </w:r>
      <w:r>
        <w:rPr>
          <w:rtl/>
        </w:rPr>
        <w:instrText xml:space="preserve"> REF b1_note20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20</w:t>
      </w:r>
      <w:r>
        <w:rPr>
          <w:rtl/>
        </w:rPr>
        <w:fldChar w:fldCharType="end"/>
      </w:r>
      <w:r>
        <w:rPr>
          <w:rtl/>
        </w:rPr>
        <w:t xml:space="preserve"> לעיל, שר׳ </w:t>
      </w:r>
      <w:proofErr w:type="spellStart"/>
      <w:r>
        <w:rPr>
          <w:rtl/>
        </w:rPr>
        <w:t>שמואל־הירש</w:t>
      </w:r>
      <w:proofErr w:type="spellEnd"/>
      <w:r>
        <w:rPr>
          <w:rtl/>
        </w:rPr>
        <w:t xml:space="preserve"> העדיף עזרה מתוך המשפחה.</w:t>
      </w:r>
    </w:p>
    <w:bookmarkStart w:id="485" w:name="b1_note87"/>
    <w:p w14:paraId="4A32DF43" w14:textId="77777777" w:rsidR="00AB3647" w:rsidRDefault="00000000" w:rsidP="007923E9">
      <w:pPr>
        <w:spacing w:before="120" w:after="100" w:line="276" w:lineRule="auto"/>
        <w:jc w:val="both"/>
      </w:pPr>
      <w:r>
        <w:fldChar w:fldCharType="begin" w:dirty="true"/>
      </w:r>
      <w:r>
        <w:instrText>HYPERLINK \l "b1_ref87"</w:instrText>
      </w:r>
      <w:r>
        <w:fldChar w:fldCharType="separate"/>
      </w:r>
      <w:r>
        <w:rPr>
          <w:b/>
          <w:bCs/>
          <w:rtl/>
        </w:rPr>
        <w:t>87</w:t>
      </w:r>
      <w:r>
        <w:rPr>
          <w:b/>
          <w:bCs/>
        </w:rPr>
        <w:fldChar w:fldCharType="end"/>
      </w:r>
      <w:bookmarkEnd w:id="485"/>
      <w:r>
        <w:rPr>
          <w:rtl/>
        </w:rPr>
        <w:t xml:space="preserve"> ר׳ יוסף </w:t>
      </w:r>
      <w:proofErr w:type="spellStart"/>
      <w:r>
        <w:rPr>
          <w:rtl/>
        </w:rPr>
        <w:t>היינמן</w:t>
      </w:r>
      <w:proofErr w:type="spellEnd"/>
      <w:r>
        <w:rPr>
          <w:rtl/>
        </w:rPr>
        <w:t xml:space="preserve"> הראה</w:t>
      </w:r>
      <w:bookmarkStart w:id="486" w:name="_fnr275"/>
      <w:r>
        <w:rPr>
          <w:rStyle w:val="a5"/>
        </w:rPr>
        <w:footnoteReference w:id="275" w:customMarkFollows="0"/>
      </w:r>
      <w:bookmarkEnd w:id="486"/>
      <w:r>
        <w:rPr>
          <w:rtl/>
        </w:rPr>
        <w:t xml:space="preserve"> לי </w:t>
      </w:r>
      <w:proofErr w:type="spellStart"/>
      <w:r>
        <w:rPr>
          <w:rtl/>
        </w:rPr>
        <w:t>ב“ספר</w:t>
      </w:r>
      <w:proofErr w:type="spellEnd"/>
      <w:r>
        <w:rPr>
          <w:rtl/>
        </w:rPr>
        <w:t xml:space="preserve"> חסידים” שלו רשימות שוליים של הערות מעניינות ששמע מאבי, כשלימד אבי את הספר בשנים תשכ״ז–תשכ״ח לחבורה של תלמידיו לשעבר. הוא רשם (בלשונו של אבי): “אמי לא רצתה שאהיה רב</w:t>
      </w:r>
      <w:bookmarkStart w:id="487" w:name="_fnr276"/>
      <w:r>
        <w:rPr>
          <w:rStyle w:val="a5"/>
        </w:rPr>
        <w:footnoteReference w:id="276" w:customMarkFollows="0"/>
      </w:r>
      <w:bookmarkEnd w:id="487"/>
      <w:r>
        <w:rPr>
          <w:rtl/>
        </w:rPr>
        <w:t>, ונשלחתי לדוד בחווה. שם למדתי לעשן – למדתי לגלגל סיגריות בעצמי</w:t>
      </w:r>
      <w:bookmarkStart w:id="488" w:name="_fnr277"/>
      <w:r>
        <w:rPr>
          <w:rStyle w:val="a5"/>
        </w:rPr>
        <w:footnoteReference w:id="277" w:customMarkFollows="0"/>
      </w:r>
      <w:bookmarkEnd w:id="488"/>
      <w:r>
        <w:rPr>
          <w:rtl/>
        </w:rPr>
        <w:t>. אבל זה לא עלה יפה”.</w:t>
      </w:r>
    </w:p>
    <w:bookmarkStart w:id="489" w:name="b1_note88"/>
    <w:p w14:paraId="1CABF006" w14:textId="77777777" w:rsidR="00AB3647" w:rsidRDefault="00000000" w:rsidP="007923E9">
      <w:pPr>
        <w:spacing w:before="120" w:after="100" w:line="276" w:lineRule="auto"/>
        <w:jc w:val="both"/>
      </w:pPr>
      <w:r>
        <w:fldChar w:fldCharType="begin" w:dirty="true"/>
      </w:r>
      <w:r>
        <w:instrText>HYPERLINK \l "b1_ref88"</w:instrText>
      </w:r>
      <w:r>
        <w:fldChar w:fldCharType="separate"/>
      </w:r>
      <w:r>
        <w:rPr>
          <w:b/>
          <w:bCs/>
          <w:rtl/>
        </w:rPr>
        <w:t>88</w:t>
      </w:r>
      <w:r>
        <w:rPr>
          <w:b/>
          <w:bCs/>
        </w:rPr>
        <w:fldChar w:fldCharType="end"/>
      </w:r>
      <w:bookmarkEnd w:id="489"/>
      <w:r>
        <w:rPr>
          <w:rtl/>
        </w:rPr>
        <w:t xml:space="preserve"> אפשר רק לשער מדוע לא נשלח לחווה </w:t>
      </w:r>
      <w:proofErr w:type="spellStart"/>
      <w:r>
        <w:rPr>
          <w:rtl/>
        </w:rPr>
        <w:t>חיים־זרח</w:t>
      </w:r>
      <w:proofErr w:type="spellEnd"/>
      <w:r>
        <w:rPr>
          <w:rtl/>
        </w:rPr>
        <w:t xml:space="preserve">, הנער הגדול. אפשר שהטעם הוא שר׳ </w:t>
      </w:r>
      <w:proofErr w:type="spellStart"/>
      <w:r>
        <w:rPr>
          <w:rtl/>
        </w:rPr>
        <w:t>שמואל־הירש</w:t>
      </w:r>
      <w:proofErr w:type="spellEnd"/>
      <w:r>
        <w:rPr>
          <w:rtl/>
        </w:rPr>
        <w:t xml:space="preserve"> העדיף את הנכד הצעיר, משום שיכול היה ללמוד עמו שיעור בתורה.</w:t>
      </w:r>
    </w:p>
    <w:p w14:paraId="0B23D220" w14:textId="5D3F7151"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גורלו של אבי היה להיות איכר יהודי, אלמלא התמורות המדיניות ששטפו את רוסיה. בניסיונו הכושל להרגיע בכל רחבי המדינה את רוחות המהפכה הסוציאליסטית</w:t>
      </w:r>
      <w:bookmarkStart w:id="490" w:name="b1_ref89"/>
      <w:bookmarkEnd w:id="490"/>
      <w:r>
        <w:rPr>
          <w:vertAlign w:val="superscript"/>
          <w:rtl/>
        </w:rPr>
        <w:fldChar w:fldCharType="begin" w:dirty="true"/>
      </w:r>
      <w:r>
        <w:rPr>
          <w:vertAlign w:val="superscript"/>
          <w:rtl/>
        </w:rPr>
        <w:instrText xml:space="preserve"> REF b1_note89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89</w:t>
      </w:r>
      <w:r>
        <w:rPr>
          <w:vertAlign w:val="superscript"/>
          <w:rtl/>
        </w:rPr>
        <w:fldChar w:fldCharType="end"/>
      </w:r>
      <w:r>
        <w:rPr>
          <w:rtl/>
        </w:rPr>
        <w:t>, הפקיע משטרו של הצאר ניקולאי השני</w:t>
      </w:r>
      <w:bookmarkStart w:id="491" w:name="b1_ref90"/>
      <w:bookmarkEnd w:id="491"/>
      <w:r>
        <w:rPr>
          <w:vertAlign w:val="superscript"/>
          <w:rtl/>
        </w:rPr>
        <w:fldChar w:fldCharType="begin" w:dirty="true"/>
      </w:r>
      <w:r>
        <w:rPr>
          <w:vertAlign w:val="superscript"/>
          <w:rtl/>
        </w:rPr>
        <w:instrText xml:space="preserve"> REF b1_note90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90</w:t>
      </w:r>
      <w:r>
        <w:rPr>
          <w:vertAlign w:val="superscript"/>
          <w:rtl/>
        </w:rPr>
        <w:fldChar w:fldCharType="end"/>
      </w:r>
      <w:r>
        <w:rPr>
          <w:rtl/>
        </w:rPr>
        <w:t xml:space="preserve"> את האחוזות הגדולות וחילק אותן בין האיכרים. אחוזתו של ר׳ </w:t>
      </w:r>
      <w:proofErr w:type="spellStart"/>
      <w:r>
        <w:rPr>
          <w:rtl/>
        </w:rPr>
        <w:t>שמואל־הירש</w:t>
      </w:r>
      <w:proofErr w:type="spellEnd"/>
      <w:r>
        <w:rPr>
          <w:rtl/>
        </w:rPr>
        <w:t xml:space="preserve"> </w:t>
      </w:r>
      <w:proofErr w:type="spellStart"/>
      <w:r>
        <w:rPr>
          <w:rtl/>
        </w:rPr>
        <w:t>קמינצקי</w:t>
      </w:r>
      <w:proofErr w:type="spellEnd"/>
      <w:r>
        <w:rPr>
          <w:rtl/>
        </w:rPr>
        <w:t xml:space="preserve"> נרשמה רישום פיקטיבי על שמו של </w:t>
      </w:r>
      <w:proofErr w:type="spellStart"/>
      <w:r>
        <w:rPr>
          <w:rtl/>
        </w:rPr>
        <w:t>נכרי</w:t>
      </w:r>
      <w:proofErr w:type="spellEnd"/>
      <w:r>
        <w:rPr>
          <w:rtl/>
        </w:rPr>
        <w:t xml:space="preserve"> ממוצא גרמני ששיתף עמו פעולה, </w:t>
      </w:r>
      <w:proofErr w:type="spellStart"/>
      <w:r>
        <w:rPr>
          <w:rtl/>
        </w:rPr>
        <w:t>שמידט</w:t>
      </w:r>
      <w:proofErr w:type="spellEnd"/>
      <w:r>
        <w:rPr>
          <w:rtl/>
        </w:rPr>
        <w:t xml:space="preserve"> שמו</w:t>
      </w:r>
      <w:bookmarkStart w:id="492" w:name="b1_ref91"/>
      <w:bookmarkEnd w:id="492"/>
      <w:r>
        <w:rPr>
          <w:vertAlign w:val="superscript"/>
          <w:rtl/>
        </w:rPr>
        <w:fldChar w:fldCharType="begin" w:dirty="true"/>
      </w:r>
      <w:r>
        <w:rPr>
          <w:vertAlign w:val="superscript"/>
          <w:rtl/>
        </w:rPr>
        <w:instrText xml:space="preserve"> REF b1_note91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91</w:t>
      </w:r>
      <w:r>
        <w:rPr>
          <w:vertAlign w:val="superscript"/>
          <w:rtl/>
        </w:rPr>
        <w:fldChar w:fldCharType="end"/>
      </w:r>
      <w:r>
        <w:rPr>
          <w:rtl/>
        </w:rPr>
        <w:t xml:space="preserve">, משום שחוקי רוסיה אסרו על יהודי להחזיק בקרקע. גם היא הייתה בין האחוזות שהופקעו. האחוזה המקוצצת לא נזקקה עוד לידיים הנוספות של הנער </w:t>
      </w:r>
      <w:proofErr w:type="spellStart"/>
      <w:r>
        <w:rPr>
          <w:rtl/>
        </w:rPr>
        <w:t>מדולהינוב</w:t>
      </w:r>
      <w:proofErr w:type="spellEnd"/>
      <w:r>
        <w:rPr>
          <w:rtl/>
        </w:rPr>
        <w:t xml:space="preserve">, ולכן שלח </w:t>
      </w:r>
      <w:proofErr w:type="spellStart"/>
      <w:r>
        <w:rPr>
          <w:rtl/>
        </w:rPr>
        <w:t>ישראל־יצחק</w:t>
      </w:r>
      <w:proofErr w:type="spellEnd"/>
      <w:r>
        <w:rPr>
          <w:rtl/>
        </w:rPr>
        <w:t xml:space="preserve"> את אחיינו בחזרה להוריו – בדיוק בשעה שר׳ </w:t>
      </w:r>
      <w:proofErr w:type="spellStart"/>
      <w:r>
        <w:rPr>
          <w:rtl/>
        </w:rPr>
        <w:t>שמואל־הירש</w:t>
      </w:r>
      <w:proofErr w:type="spellEnd"/>
      <w:r>
        <w:rPr>
          <w:rtl/>
        </w:rPr>
        <w:t xml:space="preserve"> עצמו החל להשתעשע במחשבה לעזוב את החווה ולעבור למינסק</w:t>
      </w:r>
      <w:bookmarkStart w:id="493" w:name="b1_ref92"/>
      <w:bookmarkEnd w:id="493"/>
      <w:r>
        <w:rPr>
          <w:vertAlign w:val="superscript"/>
          <w:rtl/>
        </w:rPr>
        <w:fldChar w:fldCharType="begin" w:dirty="true"/>
      </w:r>
      <w:r>
        <w:rPr>
          <w:vertAlign w:val="superscript"/>
          <w:rtl/>
        </w:rPr>
        <w:instrText xml:space="preserve"> REF b1_note92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92</w:t>
      </w:r>
      <w:r>
        <w:rPr>
          <w:vertAlign w:val="superscript"/>
          <w:rtl/>
        </w:rPr>
        <w:fldChar w:fldCharType="end"/>
      </w:r>
      <w:r>
        <w:rPr>
          <w:rtl/>
        </w:rPr>
        <w:t>.</w:t>
      </w:r>
    </w:p>
    <w:bookmarkStart w:id="494" w:name="b1_note89"/>
    <w:p w14:paraId="7840D516" w14:textId="77777777" w:rsidR="00AB3647" w:rsidRDefault="00000000" w:rsidP="007923E9">
      <w:pPr>
        <w:spacing w:before="120" w:after="100" w:line="276" w:lineRule="auto"/>
        <w:jc w:val="both"/>
      </w:pPr>
      <w:r>
        <w:fldChar w:fldCharType="begin" w:dirty="true"/>
      </w:r>
      <w:r>
        <w:instrText>HYPERLINK \l "b1_ref89"</w:instrText>
      </w:r>
      <w:r>
        <w:fldChar w:fldCharType="separate"/>
      </w:r>
      <w:r>
        <w:rPr>
          <w:b/>
          <w:bCs/>
          <w:rtl/>
        </w:rPr>
        <w:t>89</w:t>
      </w:r>
      <w:r>
        <w:rPr>
          <w:b/>
          <w:bCs/>
        </w:rPr>
        <w:fldChar w:fldCharType="end"/>
      </w:r>
      <w:bookmarkEnd w:id="494"/>
      <w:r>
        <w:rPr>
          <w:rtl/>
        </w:rPr>
        <w:t xml:space="preserve"> מהפכה זו הגיעה לשיאה בשנת 1905 ודוכאה. היא פרצה שוב בשנת 1917 והצליחה להפיל את המלוכה, אבל הקומוניסטים השתלטו עליה.</w:t>
      </w:r>
    </w:p>
    <w:bookmarkStart w:id="495" w:name="b1_note90"/>
    <w:p w14:paraId="6A3BA76C" w14:textId="77777777" w:rsidR="00AB3647" w:rsidRDefault="00000000" w:rsidP="007923E9">
      <w:pPr>
        <w:spacing w:before="120" w:after="100" w:line="276" w:lineRule="auto"/>
        <w:jc w:val="both"/>
      </w:pPr>
      <w:r>
        <w:lastRenderedPageBreak/>
        <w:fldChar w:fldCharType="begin" w:dirty="true"/>
      </w:r>
      <w:r>
        <w:instrText>HYPERLINK \l "b1_ref90"</w:instrText>
      </w:r>
      <w:r>
        <w:fldChar w:fldCharType="separate"/>
      </w:r>
      <w:r>
        <w:rPr>
          <w:b/>
          <w:bCs/>
          <w:rtl/>
        </w:rPr>
        <w:t>90</w:t>
      </w:r>
      <w:r>
        <w:rPr>
          <w:b/>
          <w:bCs/>
        </w:rPr>
        <w:fldChar w:fldCharType="end"/>
      </w:r>
      <w:bookmarkEnd w:id="495"/>
      <w:r>
        <w:rPr>
          <w:rtl/>
        </w:rPr>
        <w:t xml:space="preserve"> הוא ירש את הכתר בשנת 1894 (תרנ״ד) והיה הצאר האחרון של רוסיה. התפטרותו במרץ 1917 (אדר תרע״ז) סימנה את סוף שלטונה בן שלוש מאות השנים של שושלת </w:t>
      </w:r>
      <w:proofErr w:type="spellStart"/>
      <w:r>
        <w:rPr>
          <w:rtl/>
        </w:rPr>
        <w:t>רומנוב</w:t>
      </w:r>
      <w:proofErr w:type="spellEnd"/>
      <w:r>
        <w:rPr>
          <w:rtl/>
        </w:rPr>
        <w:t xml:space="preserve">, שמנתה </w:t>
      </w:r>
      <w:proofErr w:type="spellStart"/>
      <w:r>
        <w:rPr>
          <w:rtl/>
        </w:rPr>
        <w:t>שישה־עשר</w:t>
      </w:r>
      <w:proofErr w:type="spellEnd"/>
      <w:r>
        <w:rPr>
          <w:rtl/>
        </w:rPr>
        <w:t xml:space="preserve"> מלכים</w:t>
      </w:r>
      <w:bookmarkStart w:id="496" w:name="_fnr278"/>
      <w:r>
        <w:rPr>
          <w:rStyle w:val="a5"/>
        </w:rPr>
        <w:footnoteReference w:id="278" w:customMarkFollows="0"/>
      </w:r>
      <w:bookmarkEnd w:id="496"/>
      <w:r>
        <w:rPr>
          <w:rtl/>
        </w:rPr>
        <w:t>.</w:t>
      </w:r>
    </w:p>
    <w:bookmarkStart w:id="497" w:name="b1_note91"/>
    <w:p w14:paraId="0D92D2F2" w14:textId="77777777" w:rsidR="00AB3647" w:rsidRDefault="00000000" w:rsidP="007923E9">
      <w:pPr>
        <w:spacing w:before="120" w:after="100" w:line="276" w:lineRule="auto"/>
        <w:jc w:val="both"/>
      </w:pPr>
      <w:r>
        <w:fldChar w:fldCharType="begin" w:dirty="true"/>
      </w:r>
      <w:r>
        <w:instrText>HYPERLINK \l "b1_ref91"</w:instrText>
      </w:r>
      <w:r>
        <w:fldChar w:fldCharType="separate"/>
      </w:r>
      <w:r>
        <w:rPr>
          <w:b/>
          <w:bCs/>
          <w:rtl/>
        </w:rPr>
        <w:t>91</w:t>
      </w:r>
      <w:r>
        <w:rPr>
          <w:b/>
          <w:bCs/>
        </w:rPr>
        <w:fldChar w:fldCharType="end"/>
      </w:r>
      <w:bookmarkEnd w:id="497"/>
      <w:r>
        <w:rPr>
          <w:rtl/>
        </w:rPr>
        <w:t xml:space="preserve"> לא ברור מתי הוצרכו להעביר את החווה על שמו של </w:t>
      </w:r>
      <w:proofErr w:type="spellStart"/>
      <w:r>
        <w:rPr>
          <w:rtl/>
        </w:rPr>
        <w:t>הנכרי</w:t>
      </w:r>
      <w:proofErr w:type="spellEnd"/>
      <w:r>
        <w:rPr>
          <w:rtl/>
        </w:rPr>
        <w:t>. ייתכן שהיה זה כבר בשנת תר״ד, כשיצא צו מטעם ממשלת הצאר ניקולאי הראשון שכל היהודים חייבים לעזוב את הכפרים ולגור בערים בלבד. לפי “</w:t>
      </w:r>
      <w:proofErr w:type="spellStart"/>
      <w:r>
        <w:rPr>
          <w:rtl/>
        </w:rPr>
        <w:t>זכרון</w:t>
      </w:r>
      <w:proofErr w:type="spellEnd"/>
      <w:r>
        <w:rPr>
          <w:rtl/>
        </w:rPr>
        <w:t xml:space="preserve"> יעקב”</w:t>
      </w:r>
      <w:bookmarkStart w:id="498" w:name="_fnr279"/>
      <w:r>
        <w:rPr>
          <w:rStyle w:val="a5"/>
        </w:rPr>
        <w:footnoteReference w:id="279" w:customMarkFollows="0"/>
      </w:r>
      <w:bookmarkEnd w:id="498"/>
      <w:r>
        <w:rPr>
          <w:rtl/>
        </w:rPr>
        <w:t xml:space="preserve">, עד אותו זמן גרו בכפרים כעשרים אחוזים מכל יהודי רוסיה. ביצוע הצו הוטל על השלטונות המקומיים, ולכן אפשר לשער שבאזור </w:t>
      </w:r>
      <w:proofErr w:type="spellStart"/>
      <w:r>
        <w:rPr>
          <w:rtl/>
        </w:rPr>
        <w:t>דולהינוב</w:t>
      </w:r>
      <w:proofErr w:type="spellEnd"/>
      <w:r>
        <w:rPr>
          <w:rtl/>
        </w:rPr>
        <w:t xml:space="preserve"> מילאה העברת הבעלות על אדמות החקלאות לנכרים את דרישת החוק, והיא נעשתה בשלב כלשהו בשנות </w:t>
      </w:r>
      <w:proofErr w:type="spellStart"/>
      <w:r>
        <w:rPr>
          <w:rtl/>
        </w:rPr>
        <w:t>הת״ר־כ</w:t>
      </w:r>
      <w:proofErr w:type="spellEnd"/>
      <w:r>
        <w:rPr>
          <w:rtl/>
        </w:rPr>
        <w:t xml:space="preserve">׳, כשהאחוזה הייתה בידי ר׳ </w:t>
      </w:r>
      <w:proofErr w:type="spellStart"/>
      <w:r>
        <w:rPr>
          <w:rtl/>
        </w:rPr>
        <w:t>שמואל־הירש</w:t>
      </w:r>
      <w:proofErr w:type="spellEnd"/>
      <w:r>
        <w:rPr>
          <w:rtl/>
        </w:rPr>
        <w:t>.</w:t>
      </w:r>
    </w:p>
    <w:bookmarkStart w:id="499" w:name="b1_note92"/>
    <w:p w14:paraId="54B3594A" w14:textId="77777777" w:rsidR="00AB3647" w:rsidRDefault="00000000" w:rsidP="007923E9">
      <w:pPr>
        <w:spacing w:before="120" w:after="100" w:line="276" w:lineRule="auto"/>
        <w:jc w:val="both"/>
      </w:pPr>
      <w:r>
        <w:fldChar w:fldCharType="begin" w:dirty="true"/>
      </w:r>
      <w:r>
        <w:instrText>HYPERLINK \l "b1_ref92"</w:instrText>
      </w:r>
      <w:r>
        <w:fldChar w:fldCharType="separate"/>
      </w:r>
      <w:r>
        <w:rPr>
          <w:b/>
          <w:bCs/>
          <w:rtl/>
        </w:rPr>
        <w:t>92</w:t>
      </w:r>
      <w:r>
        <w:rPr>
          <w:b/>
          <w:bCs/>
        </w:rPr>
        <w:fldChar w:fldCharType="end"/>
      </w:r>
      <w:bookmarkEnd w:id="499"/>
      <w:r>
        <w:rPr>
          <w:rtl/>
        </w:rPr>
        <w:t xml:space="preserve"> ר׳ </w:t>
      </w:r>
      <w:proofErr w:type="spellStart"/>
      <w:r>
        <w:rPr>
          <w:rtl/>
        </w:rPr>
        <w:t>שמואל־הירש</w:t>
      </w:r>
      <w:proofErr w:type="spellEnd"/>
      <w:r>
        <w:rPr>
          <w:rtl/>
        </w:rPr>
        <w:t xml:space="preserve"> – או </w:t>
      </w:r>
      <w:proofErr w:type="spellStart"/>
      <w:r>
        <w:rPr>
          <w:rtl/>
        </w:rPr>
        <w:t>שמידט</w:t>
      </w:r>
      <w:proofErr w:type="spellEnd"/>
      <w:r>
        <w:rPr>
          <w:rtl/>
        </w:rPr>
        <w:t xml:space="preserve"> – הורשה להשאיר בידו חלק קטן מן האחוזה, ובכלל זה את הטחנה, וקיבל משרה ממשלתית בתחום התמחותו, תעשיית העצים. אבי הכריז: “משפחתי ירדה מנכסיה בין לילה; אבל בזכות זה נשלחתי לישיבה במקום לחווה”</w:t>
      </w:r>
      <w:bookmarkStart w:id="500" w:name="_fnr280"/>
      <w:r>
        <w:rPr>
          <w:rStyle w:val="a5"/>
        </w:rPr>
        <w:footnoteReference w:id="280" w:customMarkFollows="0"/>
      </w:r>
      <w:bookmarkEnd w:id="500"/>
      <w:r>
        <w:rPr>
          <w:rtl/>
        </w:rPr>
        <w:t>. הביטוי “ירדה מנכסיה” היה יחסי, שכן אחי ר׳ אברהם</w:t>
      </w:r>
      <w:bookmarkStart w:id="501" w:name="_fnr281"/>
      <w:r>
        <w:rPr>
          <w:rStyle w:val="a5"/>
        </w:rPr>
        <w:footnoteReference w:id="281" w:customMarkFollows="0"/>
      </w:r>
      <w:bookmarkEnd w:id="501"/>
      <w:r>
        <w:rPr>
          <w:rtl/>
        </w:rPr>
        <w:t xml:space="preserve"> סיפר בשם אבינו: “ר׳ </w:t>
      </w:r>
      <w:proofErr w:type="spellStart"/>
      <w:r>
        <w:rPr>
          <w:rtl/>
        </w:rPr>
        <w:t>שמואל־הירש</w:t>
      </w:r>
      <w:proofErr w:type="spellEnd"/>
      <w:r>
        <w:rPr>
          <w:rtl/>
        </w:rPr>
        <w:t xml:space="preserve"> היה עשיר גדול – עד אחרי המהפכה הבולשביקית של 1917, כשהכול הוחרם. אז מת </w:t>
      </w:r>
      <w:proofErr w:type="spellStart"/>
      <w:r>
        <w:rPr>
          <w:rtl/>
        </w:rPr>
        <w:t>מעגמת</w:t>
      </w:r>
      <w:proofErr w:type="spellEnd"/>
      <w:r>
        <w:rPr>
          <w:rtl/>
        </w:rPr>
        <w:t xml:space="preserve"> נפש”</w:t>
      </w:r>
      <w:bookmarkStart w:id="502" w:name="_fnr282"/>
      <w:bookmarkStart w:id="503" w:name="pr_f_215"/>
      <w:r>
        <w:rPr>
          <w:rStyle w:val="a5"/>
        </w:rPr>
        <w:footnoteReference w:id="282" w:customMarkFollows="0"/>
      </w:r>
      <w:bookmarkEnd w:id="502"/>
      <w:bookmarkEnd w:id="503"/>
      <w:r>
        <w:rPr>
          <w:rtl/>
        </w:rPr>
        <w:t xml:space="preserve">. ר׳ </w:t>
      </w:r>
      <w:proofErr w:type="spellStart"/>
      <w:r>
        <w:rPr>
          <w:rtl/>
        </w:rPr>
        <w:t>שמואל־הירש</w:t>
      </w:r>
      <w:proofErr w:type="spellEnd"/>
      <w:r>
        <w:rPr>
          <w:rtl/>
        </w:rPr>
        <w:t xml:space="preserve"> עבר למינסק בתחילת תרס״ד, וכעבור ארבעה חודשים חגג אבי את בר המצווה שלו בבית סבו באותה עיר</w:t>
      </w:r>
      <w:bookmarkStart w:id="504" w:name="_fnr283"/>
      <w:r>
        <w:rPr>
          <w:rStyle w:val="a5"/>
        </w:rPr>
        <w:footnoteReference w:id="283" w:customMarkFollows="0"/>
      </w:r>
      <w:bookmarkEnd w:id="504"/>
      <w:r>
        <w:rPr>
          <w:rtl/>
        </w:rPr>
        <w:t>.</w:t>
      </w:r>
    </w:p>
    <w:p w14:paraId="7F7561BE" w14:textId="7777777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עם תפנית זו באו לקצם בשנת תרס״ב ימי השפע של ר׳ בנימין </w:t>
      </w:r>
      <w:proofErr w:type="spellStart"/>
      <w:r>
        <w:rPr>
          <w:rtl/>
        </w:rPr>
        <w:t>ועטיל</w:t>
      </w:r>
      <w:proofErr w:type="spellEnd"/>
      <w:r>
        <w:rPr>
          <w:rtl/>
        </w:rPr>
        <w:t xml:space="preserve">, שהשתייכו עד אז למעמד </w:t>
      </w:r>
      <w:proofErr w:type="spellStart"/>
      <w:r>
        <w:rPr>
          <w:rtl/>
        </w:rPr>
        <w:t>הבינוני־הגבוה</w:t>
      </w:r>
      <w:proofErr w:type="spellEnd"/>
      <w:r>
        <w:rPr>
          <w:rtl/>
        </w:rPr>
        <w:t xml:space="preserve">. ההכנסה הקטנה שהצליח ר׳ בנימין להשיג </w:t>
      </w:r>
      <w:proofErr w:type="spellStart"/>
      <w:r>
        <w:rPr>
          <w:rtl/>
        </w:rPr>
        <w:t>בדולהינוב</w:t>
      </w:r>
      <w:proofErr w:type="spellEnd"/>
      <w:r>
        <w:rPr>
          <w:rtl/>
        </w:rPr>
        <w:t xml:space="preserve"> בכוחות עצמו לא הספיקה לפרנס את משפחתו, </w:t>
      </w:r>
      <w:proofErr w:type="spellStart"/>
      <w:r>
        <w:rPr>
          <w:rtl/>
        </w:rPr>
        <w:t>ועטיל</w:t>
      </w:r>
      <w:proofErr w:type="spellEnd"/>
      <w:r>
        <w:rPr>
          <w:rtl/>
        </w:rPr>
        <w:t xml:space="preserve">, “אשת חיל”, החלה לשאת יותר ויותר בעול הפרנסה. היא עבדה כמבשלת אצל משפחות אמידות יותר, ואילו בעלה בילה את זמנו בלימוד </w:t>
      </w:r>
      <w:proofErr w:type="spellStart"/>
      <w:r>
        <w:rPr>
          <w:rtl/>
        </w:rPr>
        <w:t>בקלויז</w:t>
      </w:r>
      <w:proofErr w:type="spellEnd"/>
      <w:r>
        <w:rPr>
          <w:rtl/>
        </w:rPr>
        <w:t xml:space="preserve"> ובעיסוק בצרכי ציבור בהתנדבות. הילדים גדלו, ועד מהרה לא היה די מזון להעלות על השולחן.</w:t>
      </w:r>
    </w:p>
    <w:p w14:paraId="5533AB83" w14:textId="08C9D84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ר׳ בנימין </w:t>
      </w:r>
      <w:proofErr w:type="spellStart"/>
      <w:r>
        <w:rPr>
          <w:rtl/>
        </w:rPr>
        <w:t>ועטיל</w:t>
      </w:r>
      <w:proofErr w:type="spellEnd"/>
      <w:r>
        <w:rPr>
          <w:rtl/>
        </w:rPr>
        <w:t xml:space="preserve"> נאלצו להכריע בעניין בנם השני, עכשיו שהאפשרות ללכת בעקבות סבו ולהיות איכר כבר לא הייתה קיימת. האם לשלוח את יעקב שלהם לחפש עבודה בשנה הבאה, </w:t>
      </w:r>
      <w:r>
        <w:rPr>
          <w:rtl/>
        </w:rPr>
        <w:lastRenderedPageBreak/>
        <w:t xml:space="preserve">כשיגיע לגיל </w:t>
      </w:r>
      <w:proofErr w:type="spellStart"/>
      <w:r>
        <w:rPr>
          <w:rtl/>
        </w:rPr>
        <w:t>שתים־עשרה</w:t>
      </w:r>
      <w:proofErr w:type="spellEnd"/>
      <w:r>
        <w:rPr>
          <w:rtl/>
        </w:rPr>
        <w:t xml:space="preserve"> – הגיל שבו יצאו נערים ממשפחות הפועלים </w:t>
      </w:r>
      <w:proofErr w:type="spellStart"/>
      <w:r>
        <w:rPr>
          <w:rtl/>
        </w:rPr>
        <w:t>בדולהינוב</w:t>
      </w:r>
      <w:proofErr w:type="spellEnd"/>
      <w:r>
        <w:rPr>
          <w:rtl/>
        </w:rPr>
        <w:t xml:space="preserve"> אל העולם להתפרנס</w:t>
      </w:r>
      <w:bookmarkStart w:id="505" w:name="b1_ref93"/>
      <w:bookmarkEnd w:id="505"/>
      <w:r>
        <w:rPr>
          <w:vertAlign w:val="superscript"/>
          <w:rtl/>
        </w:rPr>
        <w:fldChar w:fldCharType="begin" w:dirty="true"/>
      </w:r>
      <w:r>
        <w:rPr>
          <w:vertAlign w:val="superscript"/>
          <w:rtl/>
        </w:rPr>
        <w:instrText xml:space="preserve"> REF b1_note93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93</w:t>
      </w:r>
      <w:r>
        <w:rPr>
          <w:vertAlign w:val="superscript"/>
          <w:rtl/>
        </w:rPr>
        <w:fldChar w:fldCharType="end"/>
      </w:r>
      <w:r>
        <w:rPr>
          <w:rtl/>
        </w:rPr>
        <w:t xml:space="preserve"> – או שמא יש לו דרך טובה יותר? הוא ודאי הצטיין בלימודיו, ושקד על לימוד התורה בהתמדה כזו, שנראה היה כחטא לנתקו ממנו</w:t>
      </w:r>
      <w:bookmarkStart w:id="506" w:name="b1_ref94"/>
      <w:bookmarkEnd w:id="506"/>
      <w:r>
        <w:rPr>
          <w:vertAlign w:val="superscript"/>
          <w:rtl/>
        </w:rPr>
        <w:fldChar w:fldCharType="begin" w:dirty="true"/>
      </w:r>
      <w:r>
        <w:rPr>
          <w:vertAlign w:val="superscript"/>
          <w:rtl/>
        </w:rPr>
        <w:instrText xml:space="preserve"> REF b1_note94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94</w:t>
      </w:r>
      <w:r>
        <w:rPr>
          <w:vertAlign w:val="superscript"/>
          <w:rtl/>
        </w:rPr>
        <w:fldChar w:fldCharType="end"/>
      </w:r>
      <w:r>
        <w:rPr>
          <w:rtl/>
        </w:rPr>
        <w:t>. אם ימשיך בלימוד התורה, אפשר שיגדל ויהיה לתלמיד חכם מפורסם, ואחר כך יישא אישה ממשפחה עשירה שתכניס אותו לעסקים.</w:t>
      </w:r>
    </w:p>
    <w:bookmarkStart w:id="507" w:name="b1_note93"/>
    <w:p w14:paraId="3A47933D" w14:textId="77777777" w:rsidR="00AB3647" w:rsidRDefault="00000000" w:rsidP="007923E9">
      <w:pPr>
        <w:spacing w:before="120" w:after="100" w:line="276" w:lineRule="auto"/>
        <w:jc w:val="both"/>
      </w:pPr>
      <w:r>
        <w:fldChar w:fldCharType="begin" w:dirty="true"/>
      </w:r>
      <w:r>
        <w:instrText>HYPERLINK \l "b1_ref93"</w:instrText>
      </w:r>
      <w:r>
        <w:fldChar w:fldCharType="separate"/>
      </w:r>
      <w:r>
        <w:rPr>
          <w:b/>
          <w:bCs/>
          <w:rtl/>
        </w:rPr>
        <w:t>93</w:t>
      </w:r>
      <w:r>
        <w:rPr>
          <w:b/>
          <w:bCs/>
        </w:rPr>
        <w:fldChar w:fldCharType="end"/>
      </w:r>
      <w:bookmarkEnd w:id="507"/>
      <w:r>
        <w:rPr>
          <w:rtl/>
        </w:rPr>
        <w:t xml:space="preserve"> מלבד אבי ולאה, הצעירה, יצאו כל האחים והאחיות לעבוד בגיל </w:t>
      </w:r>
      <w:proofErr w:type="spellStart"/>
      <w:r>
        <w:rPr>
          <w:rtl/>
        </w:rPr>
        <w:t>שתים־עשרה</w:t>
      </w:r>
      <w:proofErr w:type="spellEnd"/>
      <w:r>
        <w:rPr>
          <w:rtl/>
        </w:rPr>
        <w:t>. לאה הייתה תמיד ילדה חלשה – היא נשארה חשוכת ילדים עד פטירתה בשנת תשל״א – ולכן נשלחה במקום זאת לבית הספר (!), וסיימה תיכון ואוניברסיטה</w:t>
      </w:r>
      <w:bookmarkStart w:id="508" w:name="_fnr284"/>
      <w:r>
        <w:rPr>
          <w:rStyle w:val="a5"/>
        </w:rPr>
        <w:footnoteReference w:id="284" w:customMarkFollows="0"/>
      </w:r>
      <w:bookmarkEnd w:id="508"/>
      <w:r>
        <w:rPr>
          <w:rtl/>
        </w:rPr>
        <w:t>.</w:t>
      </w:r>
    </w:p>
    <w:bookmarkStart w:id="509" w:name="b1_note94"/>
    <w:p w14:paraId="66E84C0C" w14:textId="77777777" w:rsidR="00AB3647" w:rsidRDefault="00000000" w:rsidP="007923E9">
      <w:pPr>
        <w:spacing w:before="120" w:after="100" w:line="276" w:lineRule="auto"/>
        <w:jc w:val="both"/>
      </w:pPr>
      <w:r>
        <w:fldChar w:fldCharType="begin" w:dirty="true"/>
      </w:r>
      <w:r>
        <w:instrText>HYPERLINK \l "b1_ref94"</w:instrText>
      </w:r>
      <w:r>
        <w:fldChar w:fldCharType="separate"/>
      </w:r>
      <w:r>
        <w:rPr>
          <w:b/>
          <w:bCs/>
          <w:rtl/>
        </w:rPr>
        <w:t>94</w:t>
      </w:r>
      <w:r>
        <w:rPr>
          <w:b/>
          <w:bCs/>
        </w:rPr>
        <w:fldChar w:fldCharType="end"/>
      </w:r>
      <w:bookmarkEnd w:id="509"/>
      <w:r>
        <w:rPr>
          <w:rtl/>
        </w:rPr>
        <w:t xml:space="preserve"> ר׳ </w:t>
      </w:r>
      <w:proofErr w:type="spellStart"/>
      <w:r>
        <w:rPr>
          <w:rtl/>
        </w:rPr>
        <w:t>יהודה־לייב</w:t>
      </w:r>
      <w:proofErr w:type="spellEnd"/>
      <w:r>
        <w:rPr>
          <w:rtl/>
        </w:rPr>
        <w:t xml:space="preserve"> </w:t>
      </w:r>
      <w:proofErr w:type="spellStart"/>
      <w:r>
        <w:rPr>
          <w:rtl/>
        </w:rPr>
        <w:t>רודרמן</w:t>
      </w:r>
      <w:bookmarkStart w:id="510" w:name="_fnr285"/>
      <w:proofErr w:type="spellEnd"/>
      <w:r>
        <w:rPr>
          <w:rStyle w:val="a5"/>
        </w:rPr>
        <w:footnoteReference w:id="285" w:customMarkFollows="0"/>
      </w:r>
      <w:bookmarkEnd w:id="510"/>
      <w:r>
        <w:rPr>
          <w:rtl/>
        </w:rPr>
        <w:t xml:space="preserve"> העמיד את שקידתו של אבי למופת לפני בנו. פעם בט״ו בשבט תפס את בנו בן השבע אוסף גלעיני </w:t>
      </w:r>
      <w:proofErr w:type="spellStart"/>
      <w:r>
        <w:rPr>
          <w:rtl/>
        </w:rPr>
        <w:t>בוקסער</w:t>
      </w:r>
      <w:proofErr w:type="spellEnd"/>
      <w:r>
        <w:rPr>
          <w:rtl/>
        </w:rPr>
        <w:t xml:space="preserve">. הילד הסביר שהציעו לו </w:t>
      </w:r>
      <w:proofErr w:type="spellStart"/>
      <w:r>
        <w:rPr>
          <w:rtl/>
        </w:rPr>
        <w:t>קופיקה</w:t>
      </w:r>
      <w:proofErr w:type="spellEnd"/>
      <w:r>
        <w:rPr>
          <w:rtl/>
        </w:rPr>
        <w:t xml:space="preserve"> אם יאסוף אלף גלעינים. אמר ר׳ </w:t>
      </w:r>
      <w:proofErr w:type="spellStart"/>
      <w:r>
        <w:rPr>
          <w:rtl/>
        </w:rPr>
        <w:t>יהודה־לייב</w:t>
      </w:r>
      <w:proofErr w:type="spellEnd"/>
      <w:r>
        <w:rPr>
          <w:rtl/>
        </w:rPr>
        <w:t xml:space="preserve">: “אתן לך </w:t>
      </w:r>
      <w:r>
        <w:rPr>
          <w:b/>
          <w:bCs/>
          <w:rtl/>
        </w:rPr>
        <w:t>שתי</w:t>
      </w:r>
      <w:r>
        <w:rPr>
          <w:rtl/>
        </w:rPr>
        <w:t xml:space="preserve"> </w:t>
      </w:r>
      <w:proofErr w:type="spellStart"/>
      <w:r>
        <w:rPr>
          <w:rtl/>
        </w:rPr>
        <w:t>קופיקות</w:t>
      </w:r>
      <w:proofErr w:type="spellEnd"/>
      <w:r>
        <w:rPr>
          <w:rtl/>
        </w:rPr>
        <w:t xml:space="preserve"> אם תלך ללמוד בבית המדרש, כמו שעשה בן דודך כשהיה </w:t>
      </w:r>
      <w:proofErr w:type="spellStart"/>
      <w:r>
        <w:rPr>
          <w:rtl/>
        </w:rPr>
        <w:t>בדולהינוב</w:t>
      </w:r>
      <w:proofErr w:type="spellEnd"/>
      <w:r>
        <w:rPr>
          <w:rtl/>
        </w:rPr>
        <w:t>”</w:t>
      </w:r>
      <w:bookmarkStart w:id="511" w:name="_fnr286"/>
      <w:r>
        <w:rPr>
          <w:rStyle w:val="a5"/>
        </w:rPr>
        <w:footnoteReference w:id="286" w:customMarkFollows="0"/>
      </w:r>
      <w:bookmarkEnd w:id="511"/>
      <w:r>
        <w:rPr>
          <w:rtl/>
        </w:rPr>
        <w:t>.</w:t>
      </w:r>
    </w:p>
    <w:p w14:paraId="78BA4DBC" w14:textId="77777777" w:rsidR="00AB3647" w:rsidRDefault="00000000" w:rsidP="007923E9">
      <w:pPr>
        <w:spacing w:before="120" w:after="100" w:line="276" w:lineRule="auto"/>
        <w:jc w:val="both"/>
      </w:pPr>
      <w:r>
        <w:rPr>
          <w:rtl/>
        </w:rPr>
        <w:t xml:space="preserve">בשנת תשי״ג שקל ר׳ אהרן קוטלר לפרסם גינוי של ישיבת נר ישראל על שהתירה לתלמידיה תוכנית הקשורה לאוניברסיטת </w:t>
      </w:r>
      <w:proofErr w:type="spellStart"/>
      <w:r>
        <w:rPr>
          <w:rtl/>
        </w:rPr>
        <w:t>לויולה</w:t>
      </w:r>
      <w:proofErr w:type="spellEnd"/>
      <w:r>
        <w:rPr>
          <w:rtl/>
        </w:rPr>
        <w:t xml:space="preserve">. ראש הישיבה, ר׳ </w:t>
      </w:r>
      <w:proofErr w:type="spellStart"/>
      <w:r>
        <w:rPr>
          <w:rtl/>
        </w:rPr>
        <w:t>יעקב־יצחק</w:t>
      </w:r>
      <w:proofErr w:type="spellEnd"/>
      <w:r>
        <w:rPr>
          <w:rtl/>
        </w:rPr>
        <w:t xml:space="preserve"> </w:t>
      </w:r>
      <w:proofErr w:type="spellStart"/>
      <w:r>
        <w:rPr>
          <w:rtl/>
        </w:rPr>
        <w:t>רודרמן</w:t>
      </w:r>
      <w:bookmarkStart w:id="512" w:name="_fnr287"/>
      <w:proofErr w:type="spellEnd"/>
      <w:r>
        <w:rPr>
          <w:rStyle w:val="a5"/>
        </w:rPr>
        <w:footnoteReference w:id="287" w:customMarkFollows="0"/>
      </w:r>
      <w:bookmarkEnd w:id="512"/>
      <w:r>
        <w:rPr>
          <w:rtl/>
        </w:rPr>
        <w:t xml:space="preserve">, הניח בטעות שאבי עומד מאחורי הרב קוטלר בעניין זה. הוא אמר לגיסי ר׳ ישראל </w:t>
      </w:r>
      <w:proofErr w:type="spellStart"/>
      <w:r>
        <w:rPr>
          <w:rtl/>
        </w:rPr>
        <w:t>שורין</w:t>
      </w:r>
      <w:proofErr w:type="spellEnd"/>
      <w:r>
        <w:rPr>
          <w:rtl/>
        </w:rPr>
        <w:t xml:space="preserve"> שבעיותיו עם אבי ראשיתן בילדותו המוקדמת, כשאביו היה מטיח בו: “מדוע אינך שקדן ומנומס כמו בן דודך?”</w:t>
      </w:r>
      <w:bookmarkStart w:id="513" w:name="_fnr288"/>
      <w:bookmarkStart w:id="514" w:name="pr_f_221"/>
      <w:r>
        <w:rPr>
          <w:rStyle w:val="a5"/>
        </w:rPr>
        <w:footnoteReference w:id="288" w:customMarkFollows="0"/>
      </w:r>
      <w:bookmarkEnd w:id="513"/>
      <w:bookmarkEnd w:id="514"/>
    </w:p>
    <w:p w14:paraId="1E451C49" w14:textId="77777777" w:rsidR="00AB3647" w:rsidRDefault="00000000" w:rsidP="007923E9">
      <w:pPr>
        <w:spacing w:after="100" w:line="276" w:lineRule="auto"/>
        <w:ind w:firstLine="340"/>
        <w:jc w:val="both"/>
      </w:pPr>
      <w:r>
        <w:rPr>
          <w:rtl/>
        </w:rPr>
        <w:t xml:space="preserve">שקידתו של ר׳ </w:t>
      </w:r>
      <w:proofErr w:type="spellStart"/>
      <w:r>
        <w:rPr>
          <w:rtl/>
        </w:rPr>
        <w:t>יעקב־יצחק</w:t>
      </w:r>
      <w:proofErr w:type="spellEnd"/>
      <w:r>
        <w:rPr>
          <w:rtl/>
        </w:rPr>
        <w:t xml:space="preserve"> </w:t>
      </w:r>
      <w:proofErr w:type="spellStart"/>
      <w:r>
        <w:rPr>
          <w:rtl/>
        </w:rPr>
        <w:t>רודרמן</w:t>
      </w:r>
      <w:proofErr w:type="spellEnd"/>
      <w:r>
        <w:rPr>
          <w:rtl/>
        </w:rPr>
        <w:t xml:space="preserve"> בנעוריו הייתה מופלגת. כשהיה בן </w:t>
      </w:r>
      <w:proofErr w:type="spellStart"/>
      <w:r>
        <w:rPr>
          <w:rtl/>
        </w:rPr>
        <w:t>ארבע־עשרה</w:t>
      </w:r>
      <w:proofErr w:type="spellEnd"/>
      <w:r>
        <w:rPr>
          <w:rtl/>
        </w:rPr>
        <w:t xml:space="preserve"> ולמד בישיבת </w:t>
      </w:r>
      <w:proofErr w:type="spellStart"/>
      <w:r>
        <w:rPr>
          <w:rtl/>
        </w:rPr>
        <w:t>סלבודקה</w:t>
      </w:r>
      <w:proofErr w:type="spellEnd"/>
      <w:r>
        <w:rPr>
          <w:rtl/>
        </w:rPr>
        <w:t>, שגלתה אז למינסק, הגיעה שקידתו לממדים יוצאי דופן. שבוע אחרי סוכות הגיעה לישיבה הידיעה שאביו של הבחור נפטר</w:t>
      </w:r>
      <w:bookmarkStart w:id="515" w:name="_fnr289"/>
      <w:r>
        <w:rPr>
          <w:rStyle w:val="a5"/>
        </w:rPr>
        <w:footnoteReference w:id="289" w:customMarkFollows="0"/>
      </w:r>
      <w:bookmarkEnd w:id="515"/>
      <w:r>
        <w:rPr>
          <w:rtl/>
        </w:rPr>
        <w:t xml:space="preserve">, ור׳ </w:t>
      </w:r>
      <w:proofErr w:type="spellStart"/>
      <w:r>
        <w:rPr>
          <w:rtl/>
        </w:rPr>
        <w:t>נתן־צבי</w:t>
      </w:r>
      <w:proofErr w:type="spellEnd"/>
      <w:r>
        <w:rPr>
          <w:rtl/>
        </w:rPr>
        <w:t xml:space="preserve"> </w:t>
      </w:r>
      <w:proofErr w:type="spellStart"/>
      <w:r>
        <w:rPr>
          <w:rtl/>
        </w:rPr>
        <w:t>פינקל</w:t>
      </w:r>
      <w:proofErr w:type="spellEnd"/>
      <w:r>
        <w:rPr>
          <w:rtl/>
        </w:rPr>
        <w:t xml:space="preserve">, “הסבא </w:t>
      </w:r>
      <w:proofErr w:type="spellStart"/>
      <w:r>
        <w:rPr>
          <w:rtl/>
        </w:rPr>
        <w:t>מסלבודקה</w:t>
      </w:r>
      <w:proofErr w:type="spellEnd"/>
      <w:r>
        <w:rPr>
          <w:rtl/>
        </w:rPr>
        <w:t xml:space="preserve">”, החליט להעלים ממנו את הידיעה עד פסח. הסבא חשש שמא תתרופף שקידתו של ר׳ </w:t>
      </w:r>
      <w:proofErr w:type="spellStart"/>
      <w:r>
        <w:rPr>
          <w:rtl/>
        </w:rPr>
        <w:t>יעקב־יצחק</w:t>
      </w:r>
      <w:proofErr w:type="spellEnd"/>
      <w:r>
        <w:rPr>
          <w:rtl/>
        </w:rPr>
        <w:t>, ולא יקיים את החלטתו מראש השנה לסיים את הש״ס באותו חורף. הוא פסק שלימוד התורה של היתום הוא קידוש ה׳ גדול יותר מאמירת הקדיש שהוא מפסיד</w:t>
      </w:r>
      <w:bookmarkStart w:id="516" w:name="_fnr290"/>
      <w:r>
        <w:rPr>
          <w:rStyle w:val="a5"/>
        </w:rPr>
        <w:footnoteReference w:id="290" w:customMarkFollows="0"/>
      </w:r>
      <w:bookmarkEnd w:id="516"/>
      <w:r>
        <w:rPr>
          <w:rtl/>
        </w:rPr>
        <w:t>.</w:t>
      </w:r>
    </w:p>
    <w:p w14:paraId="5C5AE114" w14:textId="77777777" w:rsidR="00AB3647" w:rsidRDefault="00000000" w:rsidP="007923E9">
      <w:pPr>
        <w:spacing w:after="100" w:line="276" w:lineRule="auto"/>
        <w:ind w:firstLine="340"/>
        <w:jc w:val="both"/>
      </w:pPr>
      <w:r>
        <w:rPr>
          <w:rtl/>
        </w:rPr>
        <w:lastRenderedPageBreak/>
        <w:t>גם ר׳ זבולון גרז סיפר מעשה זה</w:t>
      </w:r>
      <w:bookmarkStart w:id="517" w:name="_fnr291"/>
      <w:r>
        <w:rPr>
          <w:rStyle w:val="a5"/>
        </w:rPr>
        <w:footnoteReference w:id="291" w:customMarkFollows="0"/>
      </w:r>
      <w:bookmarkEnd w:id="517"/>
      <w:r>
        <w:rPr>
          <w:rtl/>
        </w:rPr>
        <w:t xml:space="preserve">, אלא שלדבריו סדר נזיקין הוא שסיים ר׳ </w:t>
      </w:r>
      <w:proofErr w:type="spellStart"/>
      <w:r>
        <w:rPr>
          <w:rtl/>
        </w:rPr>
        <w:t>יעקב־יצחק</w:t>
      </w:r>
      <w:proofErr w:type="spellEnd"/>
      <w:r>
        <w:rPr>
          <w:rtl/>
        </w:rPr>
        <w:t xml:space="preserve"> באותו חורף. המעשה מסופר גם במאמר הספד </w:t>
      </w:r>
      <w:proofErr w:type="spellStart"/>
      <w:r>
        <w:rPr>
          <w:rtl/>
        </w:rPr>
        <w:t>ב“בשתי</w:t>
      </w:r>
      <w:proofErr w:type="spellEnd"/>
      <w:r>
        <w:rPr>
          <w:rtl/>
        </w:rPr>
        <w:t xml:space="preserve"> עיניים” מאת הרב משה שרר</w:t>
      </w:r>
      <w:bookmarkStart w:id="518" w:name="_fnr292"/>
      <w:r>
        <w:rPr>
          <w:rStyle w:val="a5"/>
        </w:rPr>
        <w:footnoteReference w:id="292" w:customMarkFollows="0"/>
      </w:r>
      <w:bookmarkEnd w:id="518"/>
      <w:r>
        <w:rPr>
          <w:rtl/>
        </w:rPr>
        <w:t>, ולפי נוסח זה היה זה סדר קדשים שהיה עסוק בהשלמתו, ובשמחת תורה קיבל על עצמו את המשימה.</w:t>
      </w:r>
    </w:p>
    <w:p w14:paraId="25799DD3" w14:textId="77777777" w:rsidR="00AB3647" w:rsidRDefault="00000000" w:rsidP="007923E9">
      <w:pPr>
        <w:spacing w:after="100" w:line="276" w:lineRule="auto"/>
        <w:ind w:firstLine="340"/>
        <w:jc w:val="both"/>
      </w:pPr>
      <w:r>
        <w:rPr>
          <w:rtl/>
        </w:rPr>
        <w:t xml:space="preserve">ר׳ יצחק </w:t>
      </w:r>
      <w:proofErr w:type="spellStart"/>
      <w:r>
        <w:rPr>
          <w:rtl/>
        </w:rPr>
        <w:t>שורין</w:t>
      </w:r>
      <w:proofErr w:type="spellEnd"/>
      <w:r>
        <w:rPr>
          <w:rtl/>
        </w:rPr>
        <w:t xml:space="preserve"> סיפר</w:t>
      </w:r>
      <w:bookmarkStart w:id="519" w:name="_fnr293"/>
      <w:r>
        <w:rPr>
          <w:rStyle w:val="a5"/>
        </w:rPr>
        <w:footnoteReference w:id="293" w:customMarkFollows="0"/>
      </w:r>
      <w:bookmarkEnd w:id="519"/>
      <w:r>
        <w:rPr>
          <w:rtl/>
        </w:rPr>
        <w:t xml:space="preserve"> שבהספד על ר׳ מנדל זקס סיפר רבנו מעשה דומה על ר׳ ראובן </w:t>
      </w:r>
      <w:proofErr w:type="spellStart"/>
      <w:r>
        <w:rPr>
          <w:rtl/>
        </w:rPr>
        <w:t>גרוזובסקי</w:t>
      </w:r>
      <w:proofErr w:type="spellEnd"/>
      <w:r>
        <w:rPr>
          <w:rtl/>
        </w:rPr>
        <w:t xml:space="preserve">, והדגיש את חשיבותו כשהוסיף: “אני רוצה שהמעשה הזה יישאר לדורות”. במכתב בלי תאריך שנשלח לי בחורף תשנ״ד סיפר ר׳ חיים </w:t>
      </w:r>
      <w:proofErr w:type="spellStart"/>
      <w:r>
        <w:rPr>
          <w:rtl/>
        </w:rPr>
        <w:t>גרוזובסקי</w:t>
      </w:r>
      <w:proofErr w:type="spellEnd"/>
      <w:r>
        <w:rPr>
          <w:rtl/>
        </w:rPr>
        <w:t>, בנו הצעיר של ר׳ ראובן, בנפרד, שרבנו סיפר לו מעשה זה על אביו. לדבריו אמר הסבא: “למה נודיע [</w:t>
      </w:r>
      <w:proofErr w:type="spellStart"/>
      <w:r>
        <w:rPr>
          <w:rtl/>
        </w:rPr>
        <w:t>לר</w:t>
      </w:r>
      <w:proofErr w:type="spellEnd"/>
      <w:r>
        <w:rPr>
          <w:rtl/>
        </w:rPr>
        <w:t>׳ ראובן שאביו נפטר]? כדי שיאמר קדיש? הרי הוא אומר ‘יתגדל ויתקדש שמה רבא’</w:t>
      </w:r>
      <w:bookmarkStart w:id="520" w:name="_fnr294"/>
      <w:r>
        <w:rPr>
          <w:rStyle w:val="a5"/>
        </w:rPr>
        <w:footnoteReference w:id="294" w:customMarkFollows="0"/>
      </w:r>
      <w:bookmarkEnd w:id="520"/>
      <w:r>
        <w:rPr>
          <w:rtl/>
        </w:rPr>
        <w:t xml:space="preserve"> עשרים וארבע שעות ביממה!” מעשה זה על ר׳ ראובן מובא גם </w:t>
      </w:r>
      <w:proofErr w:type="spellStart"/>
      <w:r>
        <w:rPr>
          <w:rtl/>
        </w:rPr>
        <w:t>ב“סיפורו</w:t>
      </w:r>
      <w:proofErr w:type="spellEnd"/>
      <w:r>
        <w:rPr>
          <w:rtl/>
        </w:rPr>
        <w:t xml:space="preserve"> של ר׳ </w:t>
      </w:r>
      <w:proofErr w:type="spellStart"/>
      <w:r>
        <w:rPr>
          <w:rtl/>
        </w:rPr>
        <w:t>ברוך־בער</w:t>
      </w:r>
      <w:proofErr w:type="spellEnd"/>
      <w:r>
        <w:rPr>
          <w:rtl/>
        </w:rPr>
        <w:t>”</w:t>
      </w:r>
      <w:bookmarkStart w:id="521" w:name="_fnr295"/>
      <w:r>
        <w:rPr>
          <w:rStyle w:val="a5"/>
        </w:rPr>
        <w:footnoteReference w:id="295" w:customMarkFollows="0"/>
      </w:r>
      <w:bookmarkEnd w:id="521"/>
      <w:r>
        <w:rPr>
          <w:rtl/>
        </w:rPr>
        <w:t xml:space="preserve">, בתוספת שהדבר אירע </w:t>
      </w:r>
      <w:proofErr w:type="spellStart"/>
      <w:r>
        <w:rPr>
          <w:rtl/>
        </w:rPr>
        <w:t>בקרמנצ׳וג</w:t>
      </w:r>
      <w:proofErr w:type="spellEnd"/>
      <w:r>
        <w:rPr>
          <w:rtl/>
        </w:rPr>
        <w:t xml:space="preserve"> כמה ימים לפני חתונתו של ר׳ ראובן. עוד נאמר שם שתחליף הקדיש שאליו התכוון הסבא היה שקיעתו בלימוד התורה.</w:t>
      </w:r>
    </w:p>
    <w:p w14:paraId="45A86E29" w14:textId="77777777" w:rsidR="00AB3647" w:rsidRDefault="00000000" w:rsidP="007923E9">
      <w:pPr>
        <w:spacing w:after="100" w:line="276" w:lineRule="auto"/>
        <w:ind w:firstLine="340"/>
        <w:jc w:val="both"/>
      </w:pPr>
      <w:r>
        <w:rPr>
          <w:rtl/>
        </w:rPr>
        <w:t xml:space="preserve">ר׳ בצלאל </w:t>
      </w:r>
      <w:proofErr w:type="spellStart"/>
      <w:r>
        <w:rPr>
          <w:rtl/>
        </w:rPr>
        <w:t>אלפר</w:t>
      </w:r>
      <w:proofErr w:type="spellEnd"/>
      <w:r>
        <w:rPr>
          <w:rtl/>
        </w:rPr>
        <w:t xml:space="preserve"> סיפר</w:t>
      </w:r>
      <w:bookmarkStart w:id="522" w:name="_fnr296"/>
      <w:r>
        <w:rPr>
          <w:rStyle w:val="a5"/>
        </w:rPr>
        <w:footnoteReference w:id="296" w:customMarkFollows="0"/>
      </w:r>
      <w:bookmarkEnd w:id="522"/>
      <w:r>
        <w:rPr>
          <w:rtl/>
        </w:rPr>
        <w:t xml:space="preserve"> שאביו, ר׳ ישראל, היה תושב </w:t>
      </w:r>
      <w:proofErr w:type="spellStart"/>
      <w:r>
        <w:rPr>
          <w:rtl/>
        </w:rPr>
        <w:t>דוקשיץ</w:t>
      </w:r>
      <w:proofErr w:type="spellEnd"/>
      <w:r>
        <w:rPr>
          <w:rtl/>
        </w:rPr>
        <w:t xml:space="preserve">, עיירה סמוכה </w:t>
      </w:r>
      <w:proofErr w:type="spellStart"/>
      <w:r>
        <w:rPr>
          <w:rtl/>
        </w:rPr>
        <w:t>לדולהינוב</w:t>
      </w:r>
      <w:proofErr w:type="spellEnd"/>
      <w:r>
        <w:rPr>
          <w:rtl/>
        </w:rPr>
        <w:t xml:space="preserve">, והכיר היטב את משפחת </w:t>
      </w:r>
      <w:proofErr w:type="spellStart"/>
      <w:r>
        <w:rPr>
          <w:rtl/>
        </w:rPr>
        <w:t>רודרמן</w:t>
      </w:r>
      <w:proofErr w:type="spellEnd"/>
      <w:r>
        <w:rPr>
          <w:rtl/>
        </w:rPr>
        <w:t xml:space="preserve">. הוא זכר שמיד אחרי בר המצווה של ר׳ </w:t>
      </w:r>
      <w:proofErr w:type="spellStart"/>
      <w:r>
        <w:rPr>
          <w:rtl/>
        </w:rPr>
        <w:t>יעקב־יצחק</w:t>
      </w:r>
      <w:proofErr w:type="spellEnd"/>
      <w:r>
        <w:rPr>
          <w:rtl/>
        </w:rPr>
        <w:t xml:space="preserve"> </w:t>
      </w:r>
      <w:proofErr w:type="spellStart"/>
      <w:r>
        <w:rPr>
          <w:rtl/>
        </w:rPr>
        <w:t>רודרמן</w:t>
      </w:r>
      <w:proofErr w:type="spellEnd"/>
      <w:r>
        <w:rPr>
          <w:rtl/>
        </w:rPr>
        <w:t xml:space="preserve"> נעשה הנער לפתע שקדן מופלג, עד שהיה לפלא בכל הסביבה. מכאן שרק בשנים שלפני בר המצווה שלו הוצרך אביו להעמיד לפניו את התנהגותו של רבנו למופת.</w:t>
      </w:r>
    </w:p>
    <w:p w14:paraId="6996F1CF" w14:textId="0517ED0B"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“בנות עשירים המעוניינות להינשא לתלמידי חכמים מועטות כיום משהיו לפני עשרים שנה, אבל עדיין מרובות הן, ברוך השם”, שקלו ביניהם. “בננו יכול לצאת כמו בעלה של דבורה, ר׳ גרשון </w:t>
      </w:r>
      <w:proofErr w:type="spellStart"/>
      <w:r>
        <w:rPr>
          <w:rtl/>
        </w:rPr>
        <w:t>במדס</w:t>
      </w:r>
      <w:proofErr w:type="spellEnd"/>
      <w:r>
        <w:rPr>
          <w:rtl/>
        </w:rPr>
        <w:t>”, נימקו, “שהוא בקי כל כך בתורה</w:t>
      </w:r>
      <w:bookmarkStart w:id="523" w:name="b1_ref95"/>
      <w:bookmarkEnd w:id="523"/>
      <w:r>
        <w:rPr>
          <w:vertAlign w:val="superscript"/>
          <w:rtl/>
        </w:rPr>
        <w:fldChar w:fldCharType="begin" w:dirty="true"/>
      </w:r>
      <w:r>
        <w:rPr>
          <w:vertAlign w:val="superscript"/>
          <w:rtl/>
        </w:rPr>
        <w:instrText xml:space="preserve"> REF b1_note95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95</w:t>
      </w:r>
      <w:r>
        <w:rPr>
          <w:vertAlign w:val="superscript"/>
          <w:rtl/>
        </w:rPr>
        <w:fldChar w:fldCharType="end"/>
      </w:r>
      <w:r>
        <w:rPr>
          <w:rtl/>
        </w:rPr>
        <w:t>, עד שרבה של מינסק</w:t>
      </w:r>
      <w:bookmarkStart w:id="524" w:name="b1_ref96"/>
      <w:bookmarkEnd w:id="524"/>
      <w:r>
        <w:rPr>
          <w:vertAlign w:val="superscript"/>
          <w:rtl/>
        </w:rPr>
        <w:fldChar w:fldCharType="begin" w:dirty="true"/>
      </w:r>
      <w:r>
        <w:rPr>
          <w:vertAlign w:val="superscript"/>
          <w:rtl/>
        </w:rPr>
        <w:instrText xml:space="preserve"> REF b1_note96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96</w:t>
      </w:r>
      <w:r>
        <w:rPr>
          <w:vertAlign w:val="superscript"/>
          <w:rtl/>
        </w:rPr>
        <w:fldChar w:fldCharType="end"/>
      </w:r>
      <w:r>
        <w:rPr>
          <w:rtl/>
        </w:rPr>
        <w:t xml:space="preserve"> מזמין אותו לפעמים לשבת כדיין בדיני תורה קשים, והוא גם איש עסקים עשיר. להשאיר את בננו בישיבה שלנו כאן </w:t>
      </w:r>
      <w:proofErr w:type="spellStart"/>
      <w:r>
        <w:rPr>
          <w:rtl/>
        </w:rPr>
        <w:t>בדולהינוב</w:t>
      </w:r>
      <w:proofErr w:type="spellEnd"/>
      <w:r>
        <w:rPr>
          <w:rtl/>
        </w:rPr>
        <w:t xml:space="preserve"> יהיה מעשה שאינו נבון, משתי סיבות ברורות. ראשית, תלמידים רבים כל כך עוזבים לישיבות אחרות, עד שהישיבה המקומית תיסגר ככל הנראה בעתיד הלא רחוק</w:t>
      </w:r>
      <w:bookmarkStart w:id="525" w:name="b1_ref97"/>
      <w:bookmarkEnd w:id="525"/>
      <w:r>
        <w:rPr>
          <w:vertAlign w:val="superscript"/>
          <w:rtl/>
        </w:rPr>
        <w:fldChar w:fldCharType="begin" w:dirty="true"/>
      </w:r>
      <w:r>
        <w:rPr>
          <w:vertAlign w:val="superscript"/>
          <w:rtl/>
        </w:rPr>
        <w:instrText xml:space="preserve"> REF b1_note97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97</w:t>
      </w:r>
      <w:r>
        <w:rPr>
          <w:vertAlign w:val="superscript"/>
          <w:rtl/>
        </w:rPr>
        <w:fldChar w:fldCharType="end"/>
      </w:r>
      <w:r>
        <w:rPr>
          <w:rtl/>
        </w:rPr>
        <w:t>. ועוד, בעיר גדולה רבים יותר הסיכויים שתקוותינו לעתידו של בננו יתגשמו”.</w:t>
      </w:r>
    </w:p>
    <w:bookmarkStart w:id="526" w:name="b1_note95"/>
    <w:p w14:paraId="5EC78703" w14:textId="77777777" w:rsidR="00AB3647" w:rsidRDefault="00000000" w:rsidP="007923E9">
      <w:pPr>
        <w:spacing w:before="120" w:after="100" w:line="276" w:lineRule="auto"/>
        <w:jc w:val="both"/>
      </w:pPr>
      <w:r>
        <w:fldChar w:fldCharType="begin" w:dirty="true"/>
      </w:r>
      <w:r>
        <w:instrText>HYPERLINK \l "b1_ref95"</w:instrText>
      </w:r>
      <w:r>
        <w:fldChar w:fldCharType="separate"/>
      </w:r>
      <w:r>
        <w:rPr>
          <w:b/>
          <w:bCs/>
          <w:rtl/>
        </w:rPr>
        <w:t>95</w:t>
      </w:r>
      <w:r>
        <w:rPr>
          <w:b/>
          <w:bCs/>
        </w:rPr>
        <w:fldChar w:fldCharType="end"/>
      </w:r>
      <w:bookmarkEnd w:id="526"/>
      <w:r>
        <w:rPr>
          <w:rtl/>
        </w:rPr>
        <w:t xml:space="preserve"> פירושו לפסוק במקרא רשום בכתבי היד של אבי</w:t>
      </w:r>
      <w:bookmarkStart w:id="527" w:name="_fnr297"/>
      <w:r>
        <w:rPr>
          <w:rStyle w:val="a5"/>
        </w:rPr>
        <w:footnoteReference w:id="297" w:customMarkFollows="0"/>
      </w:r>
      <w:bookmarkEnd w:id="527"/>
      <w:r>
        <w:rPr>
          <w:rtl/>
        </w:rPr>
        <w:t xml:space="preserve">, ואבי מוסיף אחריו את המחמאה </w:t>
      </w:r>
      <w:proofErr w:type="spellStart"/>
      <w:r>
        <w:rPr>
          <w:rtl/>
        </w:rPr>
        <w:t>דפח״ח</w:t>
      </w:r>
      <w:bookmarkStart w:id="528" w:name="_fnr298"/>
      <w:proofErr w:type="spellEnd"/>
      <w:r>
        <w:rPr>
          <w:rStyle w:val="a5"/>
        </w:rPr>
        <w:footnoteReference w:id="298" w:customMarkFollows="0"/>
      </w:r>
      <w:bookmarkEnd w:id="528"/>
      <w:r>
        <w:rPr>
          <w:rtl/>
        </w:rPr>
        <w:t xml:space="preserve">. במשפחת </w:t>
      </w:r>
      <w:proofErr w:type="spellStart"/>
      <w:r>
        <w:rPr>
          <w:rtl/>
        </w:rPr>
        <w:t>קמינצקי</w:t>
      </w:r>
      <w:proofErr w:type="spellEnd"/>
      <w:r>
        <w:rPr>
          <w:rtl/>
        </w:rPr>
        <w:t xml:space="preserve"> היה פתגם על המנהג הרווח להביא מתנת כסף לרב הקהילה בחול המועד: מוטב </w:t>
      </w:r>
      <w:r>
        <w:rPr>
          <w:b/>
          <w:bCs/>
          <w:rtl/>
        </w:rPr>
        <w:t>לתת</w:t>
      </w:r>
      <w:r>
        <w:rPr>
          <w:rtl/>
        </w:rPr>
        <w:t xml:space="preserve"> דמי חג מאשר </w:t>
      </w:r>
      <w:r>
        <w:rPr>
          <w:b/>
          <w:bCs/>
          <w:rtl/>
        </w:rPr>
        <w:t>לקבל</w:t>
      </w:r>
      <w:r>
        <w:rPr>
          <w:rtl/>
        </w:rPr>
        <w:t xml:space="preserve"> אותם. אפילו </w:t>
      </w:r>
      <w:proofErr w:type="spellStart"/>
      <w:r>
        <w:rPr>
          <w:rtl/>
        </w:rPr>
        <w:t>עטיל</w:t>
      </w:r>
      <w:proofErr w:type="spellEnd"/>
      <w:r>
        <w:rPr>
          <w:rtl/>
        </w:rPr>
        <w:t xml:space="preserve"> </w:t>
      </w:r>
      <w:proofErr w:type="spellStart"/>
      <w:r>
        <w:rPr>
          <w:rtl/>
        </w:rPr>
        <w:t>דנציג־קמינצקי</w:t>
      </w:r>
      <w:proofErr w:type="spellEnd"/>
      <w:r>
        <w:rPr>
          <w:rtl/>
        </w:rPr>
        <w:t xml:space="preserve">, </w:t>
      </w:r>
      <w:proofErr w:type="spellStart"/>
      <w:r>
        <w:rPr>
          <w:rtl/>
        </w:rPr>
        <w:lastRenderedPageBreak/>
        <w:t>שב“משפחתה</w:t>
      </w:r>
      <w:proofErr w:type="spellEnd"/>
      <w:r>
        <w:rPr>
          <w:rtl/>
        </w:rPr>
        <w:t xml:space="preserve"> (היו) יותר רבנים”</w:t>
      </w:r>
      <w:bookmarkStart w:id="529" w:name="_fnr299"/>
      <w:r>
        <w:rPr>
          <w:rStyle w:val="a5"/>
        </w:rPr>
        <w:footnoteReference w:id="299" w:customMarkFollows="0"/>
      </w:r>
      <w:bookmarkEnd w:id="529"/>
      <w:r>
        <w:rPr>
          <w:rtl/>
        </w:rPr>
        <w:t xml:space="preserve">, ראתה בעיני רוחה את בנה המחונן הולך בעקבות קרובה המפורסם, בעל </w:t>
      </w:r>
      <w:proofErr w:type="spellStart"/>
      <w:r>
        <w:rPr>
          <w:rtl/>
        </w:rPr>
        <w:t>ה“חיי</w:t>
      </w:r>
      <w:proofErr w:type="spellEnd"/>
      <w:r>
        <w:rPr>
          <w:rtl/>
        </w:rPr>
        <w:t xml:space="preserve"> אדם”, שהיה גם הוא סוחר ותלמיד חכם</w:t>
      </w:r>
      <w:bookmarkStart w:id="530" w:name="_fnr300"/>
      <w:r>
        <w:rPr>
          <w:rStyle w:val="a5"/>
        </w:rPr>
        <w:footnoteReference w:id="300" w:customMarkFollows="0"/>
      </w:r>
      <w:bookmarkEnd w:id="530"/>
      <w:r>
        <w:rPr>
          <w:rtl/>
        </w:rPr>
        <w:t xml:space="preserve">. מובן אם כן שדודו ר׳ גרשון </w:t>
      </w:r>
      <w:proofErr w:type="spellStart"/>
      <w:r>
        <w:rPr>
          <w:rtl/>
        </w:rPr>
        <w:t>במדס</w:t>
      </w:r>
      <w:proofErr w:type="spellEnd"/>
      <w:r>
        <w:rPr>
          <w:rtl/>
        </w:rPr>
        <w:t xml:space="preserve"> היה מושא הערצתו של אבי, עד שהחליט לפנות לרבנות כמעט שני עשורים אחר כך</w:t>
      </w:r>
      <w:bookmarkStart w:id="531" w:name="_fnr301"/>
      <w:r>
        <w:rPr>
          <w:rStyle w:val="a5"/>
        </w:rPr>
        <w:footnoteReference w:id="301" w:customMarkFollows="0"/>
      </w:r>
      <w:bookmarkEnd w:id="531"/>
      <w:r>
        <w:rPr>
          <w:rtl/>
        </w:rPr>
        <w:t>.</w:t>
      </w:r>
    </w:p>
    <w:p w14:paraId="27935EC0" w14:textId="77777777" w:rsidR="00AB3647" w:rsidRDefault="00000000" w:rsidP="007923E9">
      <w:pPr>
        <w:spacing w:after="100" w:line="276" w:lineRule="auto"/>
        <w:ind w:firstLine="340"/>
        <w:jc w:val="both"/>
      </w:pPr>
      <w:r>
        <w:rPr>
          <w:rtl/>
        </w:rPr>
        <w:t xml:space="preserve">אבי העיר שאין לראשי תיבות תנועות משלהם, ולכן הם נהגים בתנועות פתח </w:t>
      </w:r>
      <w:proofErr w:type="spellStart"/>
      <w:r>
        <w:rPr>
          <w:rtl/>
        </w:rPr>
        <w:t>ושוא</w:t>
      </w:r>
      <w:proofErr w:type="spellEnd"/>
      <w:r>
        <w:rPr>
          <w:rtl/>
        </w:rPr>
        <w:t xml:space="preserve"> – כמו דצ״ך עד״ש באח״ב שבהגדה של פסח, ושמות הראשונים כגון רמב״ם </w:t>
      </w:r>
      <w:proofErr w:type="spellStart"/>
      <w:r>
        <w:rPr>
          <w:rtl/>
        </w:rPr>
        <w:t>ורשב״ם</w:t>
      </w:r>
      <w:proofErr w:type="spellEnd"/>
      <w:r>
        <w:rPr>
          <w:rtl/>
        </w:rPr>
        <w:t xml:space="preserve"> וכדומה – משום שאלו התנועות הנהגות בקיצור הרב ביותר. לפיכך כל שם משפחה שאין בו אלא פתחים, מסתבר שהוא ראשי תיבות. הוא פענח את שם המשפחה </w:t>
      </w:r>
      <w:proofErr w:type="spellStart"/>
      <w:r>
        <w:rPr>
          <w:rtl/>
        </w:rPr>
        <w:t>במדס</w:t>
      </w:r>
      <w:proofErr w:type="spellEnd"/>
      <w:r>
        <w:rPr>
          <w:rtl/>
        </w:rPr>
        <w:t xml:space="preserve"> כראשי תיבות של </w:t>
      </w:r>
      <w:r>
        <w:rPr>
          <w:b/>
          <w:bCs/>
          <w:rtl/>
        </w:rPr>
        <w:t>ב</w:t>
      </w:r>
      <w:r>
        <w:rPr>
          <w:rtl/>
        </w:rPr>
        <w:t xml:space="preserve">רבי </w:t>
      </w:r>
      <w:r>
        <w:rPr>
          <w:b/>
          <w:bCs/>
          <w:rtl/>
        </w:rPr>
        <w:t>מ</w:t>
      </w:r>
      <w:r>
        <w:rPr>
          <w:rtl/>
        </w:rPr>
        <w:t xml:space="preserve">שה </w:t>
      </w:r>
      <w:proofErr w:type="spellStart"/>
      <w:r>
        <w:rPr>
          <w:b/>
          <w:bCs/>
          <w:rtl/>
        </w:rPr>
        <w:t>ד</w:t>
      </w:r>
      <w:r>
        <w:rPr>
          <w:rtl/>
        </w:rPr>
        <w:t>יינא</w:t>
      </w:r>
      <w:proofErr w:type="spellEnd"/>
      <w:r>
        <w:rPr>
          <w:rtl/>
        </w:rPr>
        <w:t xml:space="preserve"> </w:t>
      </w:r>
      <w:r>
        <w:rPr>
          <w:b/>
          <w:bCs/>
          <w:rtl/>
        </w:rPr>
        <w:t>ס</w:t>
      </w:r>
      <w:r>
        <w:rPr>
          <w:rtl/>
        </w:rPr>
        <w:t>פרא.</w:t>
      </w:r>
    </w:p>
    <w:p w14:paraId="5BA6AB5D" w14:textId="77777777" w:rsidR="00AB3647" w:rsidRDefault="00000000" w:rsidP="007923E9">
      <w:pPr>
        <w:spacing w:after="100" w:line="276" w:lineRule="auto"/>
        <w:ind w:firstLine="340"/>
        <w:jc w:val="both"/>
      </w:pPr>
      <w:r>
        <w:rPr>
          <w:rtl/>
        </w:rPr>
        <w:t xml:space="preserve">אחד מבני משפחת </w:t>
      </w:r>
      <w:proofErr w:type="spellStart"/>
      <w:r>
        <w:rPr>
          <w:rtl/>
        </w:rPr>
        <w:t>במדס</w:t>
      </w:r>
      <w:proofErr w:type="spellEnd"/>
      <w:r>
        <w:rPr>
          <w:rtl/>
        </w:rPr>
        <w:t xml:space="preserve"> העשירה, תושב </w:t>
      </w:r>
      <w:proofErr w:type="spellStart"/>
      <w:r>
        <w:rPr>
          <w:rtl/>
        </w:rPr>
        <w:t>קרמנצ׳וג</w:t>
      </w:r>
      <w:proofErr w:type="spellEnd"/>
      <w:r>
        <w:rPr>
          <w:rtl/>
        </w:rPr>
        <w:t xml:space="preserve">, היה חותנו של ר׳ יעקב שפירא, בנו וממלא מקומו של ר׳ רפאל שפירא </w:t>
      </w:r>
      <w:proofErr w:type="spellStart"/>
      <w:r>
        <w:rPr>
          <w:rtl/>
        </w:rPr>
        <w:t>בוולוז׳ין</w:t>
      </w:r>
      <w:proofErr w:type="spellEnd"/>
      <w:r>
        <w:rPr>
          <w:rtl/>
        </w:rPr>
        <w:t>.</w:t>
      </w:r>
    </w:p>
    <w:bookmarkStart w:id="532" w:name="b1_note96"/>
    <w:p w14:paraId="2408F0CB" w14:textId="01ED850F" w:rsidR="00AB3647" w:rsidRDefault="00000000" w:rsidP="007923E9">
      <w:pPr>
        <w:spacing w:before="120" w:after="100" w:line="276" w:lineRule="auto"/>
        <w:jc w:val="both"/>
      </w:pPr>
      <w:r>
        <w:fldChar w:fldCharType="begin" w:dirty="true"/>
      </w:r>
      <w:r>
        <w:instrText>HYPERLINK \l "b1_ref96"</w:instrText>
      </w:r>
      <w:r>
        <w:fldChar w:fldCharType="separate"/>
      </w:r>
      <w:r>
        <w:rPr>
          <w:b/>
          <w:bCs/>
          <w:rtl/>
        </w:rPr>
        <w:t>96</w:t>
      </w:r>
      <w:r>
        <w:rPr>
          <w:b/>
          <w:bCs/>
        </w:rPr>
        <w:fldChar w:fldCharType="end"/>
      </w:r>
      <w:bookmarkEnd w:id="532"/>
      <w:r>
        <w:rPr>
          <w:rtl/>
        </w:rPr>
        <w:t xml:space="preserve"> ראה </w:t>
      </w:r>
      <w:r>
        <w:rPr>
          <w:rtl/>
        </w:rPr>
        <w:fldChar w:fldCharType="begin" w:dirty="true"/>
      </w:r>
      <w:r>
        <w:rPr>
          <w:rtl/>
        </w:rPr>
        <w:instrText xml:space="preserve"> REF b1_excF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ו</w:t>
      </w:r>
      <w:r>
        <w:rPr>
          <w:rtl/>
        </w:rPr>
        <w:fldChar w:fldCharType="end"/>
      </w:r>
      <w:r>
        <w:rPr>
          <w:rtl/>
        </w:rPr>
        <w:t>.</w:t>
      </w:r>
    </w:p>
    <w:p w14:paraId="060A65B4" w14:textId="77777777" w:rsidR="00AB3647" w:rsidRDefault="00AB3647" w:rsidP="007923E9">
      <w:pPr>
        <w:spacing w:line="276" w:lineRule="auto"/>
      </w:pPr>
    </w:p>
    <w:bookmarkStart w:id="533" w:name="b1_note97"/>
    <w:p w14:paraId="57EC6894" w14:textId="77777777" w:rsidR="00AB3647" w:rsidRDefault="00000000" w:rsidP="007923E9">
      <w:pPr>
        <w:spacing w:before="120" w:after="100" w:line="276" w:lineRule="auto"/>
        <w:jc w:val="both"/>
      </w:pPr>
      <w:r>
        <w:fldChar w:fldCharType="begin" w:dirty="true"/>
      </w:r>
      <w:r>
        <w:instrText>HYPERLINK \l "b1_ref97"</w:instrText>
      </w:r>
      <w:r>
        <w:fldChar w:fldCharType="separate"/>
      </w:r>
      <w:r>
        <w:rPr>
          <w:b/>
          <w:bCs/>
          <w:rtl/>
        </w:rPr>
        <w:t>97</w:t>
      </w:r>
      <w:r>
        <w:rPr>
          <w:b/>
          <w:bCs/>
        </w:rPr>
        <w:fldChar w:fldCharType="end"/>
      </w:r>
      <w:bookmarkEnd w:id="533"/>
      <w:r>
        <w:rPr>
          <w:rtl/>
        </w:rPr>
        <w:t xml:space="preserve"> היא נסגרה בערך בשנת תרס״ה</w:t>
      </w:r>
      <w:bookmarkStart w:id="534" w:name="_fnr302"/>
      <w:r>
        <w:rPr>
          <w:rStyle w:val="a5"/>
        </w:rPr>
        <w:footnoteReference w:id="302" w:customMarkFollows="0"/>
      </w:r>
      <w:bookmarkEnd w:id="534"/>
      <w:r>
        <w:rPr>
          <w:rtl/>
        </w:rPr>
        <w:t>.</w:t>
      </w:r>
    </w:p>
    <w:p w14:paraId="2374ECD4" w14:textId="18E7C941"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נוסף על כך, מלמדי בנם רמזו להם שרמתו של הנער המחונן כבר עלתה על רמת לימוד התורה שעיירתם הקטנה יכולה להציע. “רק עיר גדולה יכולה לתת לבנכם את ההזדמנות לממש את מלוא כוחותיו”, אמרו. </w:t>
      </w:r>
      <w:proofErr w:type="spellStart"/>
      <w:r>
        <w:rPr>
          <w:rtl/>
        </w:rPr>
        <w:t>עטיל</w:t>
      </w:r>
      <w:proofErr w:type="spellEnd"/>
      <w:r>
        <w:rPr>
          <w:rtl/>
        </w:rPr>
        <w:t xml:space="preserve"> חזרה על הדימוי החביב עליה לבנה זה</w:t>
      </w:r>
      <w:bookmarkStart w:id="535" w:name="b1_ref98"/>
      <w:bookmarkEnd w:id="535"/>
      <w:r>
        <w:rPr>
          <w:vertAlign w:val="superscript"/>
          <w:rtl/>
        </w:rPr>
        <w:fldChar w:fldCharType="begin" w:dirty="true"/>
      </w:r>
      <w:r>
        <w:rPr>
          <w:vertAlign w:val="superscript"/>
          <w:rtl/>
        </w:rPr>
        <w:instrText xml:space="preserve"> REF b1_note98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98</w:t>
      </w:r>
      <w:r>
        <w:rPr>
          <w:vertAlign w:val="superscript"/>
          <w:rtl/>
        </w:rPr>
        <w:fldChar w:fldCharType="end"/>
      </w:r>
      <w:r>
        <w:rPr>
          <w:rtl/>
        </w:rPr>
        <w:t xml:space="preserve"> ואמרה: “</w:t>
      </w:r>
      <w:proofErr w:type="spellStart"/>
      <w:r>
        <w:rPr>
          <w:rtl/>
        </w:rPr>
        <w:t>בדולהינוב</w:t>
      </w:r>
      <w:proofErr w:type="spellEnd"/>
      <w:r>
        <w:rPr>
          <w:rtl/>
        </w:rPr>
        <w:t xml:space="preserve"> לא יבהיק התכשיט שלי”, וההחלטה נפלה: הבן יישלח למינסק, לאחת מישיבותיה הרבות. אם לא יהיה לו נוח לגור אצל קרובי משפחה מבני דורם של הוריו, יאכל ימים</w:t>
      </w:r>
      <w:bookmarkStart w:id="536" w:name="b1_ref99"/>
      <w:bookmarkEnd w:id="536"/>
      <w:r>
        <w:rPr>
          <w:vertAlign w:val="superscript"/>
          <w:rtl/>
        </w:rPr>
        <w:fldChar w:fldCharType="begin" w:dirty="true"/>
      </w:r>
      <w:r>
        <w:rPr>
          <w:vertAlign w:val="superscript"/>
          <w:rtl/>
        </w:rPr>
        <w:instrText xml:space="preserve"> REF b1_note99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99</w:t>
      </w:r>
      <w:r>
        <w:rPr>
          <w:vertAlign w:val="superscript"/>
          <w:rtl/>
        </w:rPr>
        <w:fldChar w:fldCharType="end"/>
      </w:r>
      <w:r>
        <w:rPr>
          <w:rtl/>
        </w:rPr>
        <w:t xml:space="preserve"> ויישן בבית מדרש, כשאר בחורי הישיבה. גם על אחיו הגדול, </w:t>
      </w:r>
      <w:proofErr w:type="spellStart"/>
      <w:r>
        <w:rPr>
          <w:rtl/>
        </w:rPr>
        <w:t>חיים־זרח</w:t>
      </w:r>
      <w:proofErr w:type="spellEnd"/>
      <w:r>
        <w:rPr>
          <w:rtl/>
        </w:rPr>
        <w:t xml:space="preserve"> – נשמה טובה</w:t>
      </w:r>
      <w:bookmarkStart w:id="537" w:name="b1_ref100"/>
      <w:bookmarkEnd w:id="537"/>
      <w:r>
        <w:rPr>
          <w:vertAlign w:val="superscript"/>
          <w:rtl/>
        </w:rPr>
        <w:fldChar w:fldCharType="begin" w:dirty="true"/>
      </w:r>
      <w:r>
        <w:rPr>
          <w:vertAlign w:val="superscript"/>
          <w:rtl/>
        </w:rPr>
        <w:instrText xml:space="preserve"> REF b1_note100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100</w:t>
      </w:r>
      <w:r>
        <w:rPr>
          <w:vertAlign w:val="superscript"/>
          <w:rtl/>
        </w:rPr>
        <w:fldChar w:fldCharType="end"/>
      </w:r>
      <w:r>
        <w:rPr>
          <w:rtl/>
        </w:rPr>
        <w:t xml:space="preserve"> – אפשר היה לסמוך שיעזור לפי הצורך.</w:t>
      </w:r>
    </w:p>
    <w:bookmarkStart w:id="538" w:name="b1_note98"/>
    <w:p w14:paraId="57AE4C8B" w14:textId="77777777" w:rsidR="00AB3647" w:rsidRDefault="00000000" w:rsidP="007923E9">
      <w:pPr>
        <w:spacing w:before="120" w:after="100" w:line="276" w:lineRule="auto"/>
        <w:jc w:val="both"/>
      </w:pPr>
      <w:r>
        <w:fldChar w:fldCharType="begin" w:dirty="true"/>
      </w:r>
      <w:r>
        <w:instrText>HYPERLINK \l "b1_ref98"</w:instrText>
      </w:r>
      <w:r>
        <w:fldChar w:fldCharType="separate"/>
      </w:r>
      <w:r>
        <w:rPr>
          <w:b/>
          <w:bCs/>
          <w:rtl/>
        </w:rPr>
        <w:t>98</w:t>
      </w:r>
      <w:r>
        <w:rPr>
          <w:b/>
          <w:bCs/>
        </w:rPr>
        <w:fldChar w:fldCharType="end"/>
      </w:r>
      <w:bookmarkEnd w:id="538"/>
      <w:r>
        <w:rPr>
          <w:rtl/>
        </w:rPr>
        <w:t xml:space="preserve"> הדודה דבורה בפגישתנו במינסק</w:t>
      </w:r>
      <w:bookmarkStart w:id="539" w:name="_fnr303"/>
      <w:r>
        <w:rPr>
          <w:rStyle w:val="a5"/>
        </w:rPr>
        <w:footnoteReference w:id="303" w:customMarkFollows="0"/>
      </w:r>
      <w:bookmarkEnd w:id="539"/>
      <w:r>
        <w:rPr>
          <w:rtl/>
        </w:rPr>
        <w:t>.</w:t>
      </w:r>
    </w:p>
    <w:bookmarkStart w:id="540" w:name="b1_note99"/>
    <w:p w14:paraId="54BB4DEE" w14:textId="77777777" w:rsidR="00AB3647" w:rsidRDefault="00000000" w:rsidP="007923E9">
      <w:pPr>
        <w:spacing w:before="120" w:after="100" w:line="276" w:lineRule="auto"/>
        <w:jc w:val="both"/>
      </w:pPr>
      <w:r>
        <w:fldChar w:fldCharType="begin" w:dirty="true"/>
      </w:r>
      <w:r>
        <w:instrText>HYPERLINK \l "b1_ref99"</w:instrText>
      </w:r>
      <w:r>
        <w:fldChar w:fldCharType="separate"/>
      </w:r>
      <w:r>
        <w:rPr>
          <w:b/>
          <w:bCs/>
          <w:rtl/>
        </w:rPr>
        <w:t>99</w:t>
      </w:r>
      <w:r>
        <w:rPr>
          <w:b/>
          <w:bCs/>
        </w:rPr>
        <w:fldChar w:fldCharType="end"/>
      </w:r>
      <w:bookmarkEnd w:id="540"/>
      <w:r>
        <w:rPr>
          <w:rtl/>
        </w:rPr>
        <w:t xml:space="preserve"> שיטה שבה התארח כל בחור ישיבה שבא מחוץ לעיר אצל משפחה מקומית לסעודה העיקרית ביום קבוע (“</w:t>
      </w:r>
      <w:proofErr w:type="spellStart"/>
      <w:r>
        <w:rPr>
          <w:rtl/>
        </w:rPr>
        <w:t>טאג</w:t>
      </w:r>
      <w:proofErr w:type="spellEnd"/>
      <w:r>
        <w:rPr>
          <w:rtl/>
        </w:rPr>
        <w:t>”, ברבים “</w:t>
      </w:r>
      <w:proofErr w:type="spellStart"/>
      <w:r>
        <w:rPr>
          <w:rtl/>
        </w:rPr>
        <w:t>טעג</w:t>
      </w:r>
      <w:proofErr w:type="spellEnd"/>
      <w:r>
        <w:rPr>
          <w:rtl/>
        </w:rPr>
        <w:t>”, ביידיש), שבוע אחר שבוע. פתיחת הבית לאורח קבוע כזה הייתה מעשה צדקה, וגם ביטוי של אהבת תורה</w:t>
      </w:r>
      <w:bookmarkStart w:id="541" w:name="_fnr304"/>
      <w:r>
        <w:rPr>
          <w:rStyle w:val="a5"/>
        </w:rPr>
        <w:footnoteReference w:id="304" w:customMarkFollows="0"/>
      </w:r>
      <w:bookmarkEnd w:id="541"/>
      <w:r>
        <w:rPr>
          <w:rtl/>
        </w:rPr>
        <w:t xml:space="preserve">. חלוקת </w:t>
      </w:r>
      <w:proofErr w:type="spellStart"/>
      <w:r>
        <w:rPr>
          <w:rtl/>
        </w:rPr>
        <w:t>ה“טעג</w:t>
      </w:r>
      <w:proofErr w:type="spellEnd"/>
      <w:r>
        <w:rPr>
          <w:rtl/>
        </w:rPr>
        <w:t>” הייתה מתפקידי הנהלת הישיבה.</w:t>
      </w:r>
    </w:p>
    <w:p w14:paraId="30A990B5" w14:textId="77777777" w:rsidR="00AB3647" w:rsidRDefault="00000000" w:rsidP="007923E9">
      <w:pPr>
        <w:spacing w:before="120" w:after="100" w:line="276" w:lineRule="auto"/>
        <w:jc w:val="both"/>
      </w:pPr>
      <w:r>
        <w:rPr>
          <w:rtl/>
        </w:rPr>
        <w:t>מזל טוב היה לבחור כשנפל בחלקו “</w:t>
      </w:r>
      <w:proofErr w:type="spellStart"/>
      <w:r>
        <w:rPr>
          <w:rtl/>
        </w:rPr>
        <w:t>טאג</w:t>
      </w:r>
      <w:proofErr w:type="spellEnd"/>
      <w:r>
        <w:rPr>
          <w:rtl/>
        </w:rPr>
        <w:t xml:space="preserve">” אצל משפחה אמידה יותר, שבה קמו מן השולחן שבעים גם המארחים וגם אורחם. מאידך גיסא, אם לא היו די מארחים מתנדבים, היה בחור </w:t>
      </w:r>
      <w:r>
        <w:rPr>
          <w:rtl/>
        </w:rPr>
        <w:lastRenderedPageBreak/>
        <w:t>נשאר בלי “</w:t>
      </w:r>
      <w:proofErr w:type="spellStart"/>
      <w:r>
        <w:rPr>
          <w:rtl/>
        </w:rPr>
        <w:t>טאג</w:t>
      </w:r>
      <w:proofErr w:type="spellEnd"/>
      <w:r>
        <w:rPr>
          <w:rtl/>
        </w:rPr>
        <w:t xml:space="preserve">”, וכנראה רעב יום אחד בשבוע. לפעמים העדיפה בעלת הבית לתת לבחור כמה </w:t>
      </w:r>
      <w:proofErr w:type="spellStart"/>
      <w:r>
        <w:rPr>
          <w:rtl/>
        </w:rPr>
        <w:t>קופיקות</w:t>
      </w:r>
      <w:proofErr w:type="spellEnd"/>
      <w:r>
        <w:rPr>
          <w:rtl/>
        </w:rPr>
        <w:t xml:space="preserve"> במקום הסעודה – “יום כסף” – והבחור היה קונה ככר לחם ודג מלוח, הבשר של העני, ואוכל את “סעודתו” בבדידות מפוארת.</w:t>
      </w:r>
    </w:p>
    <w:bookmarkStart w:id="542" w:name="b1_note100"/>
    <w:p w14:paraId="74214325" w14:textId="77777777" w:rsidR="00AB3647" w:rsidRDefault="00000000" w:rsidP="007923E9">
      <w:pPr>
        <w:spacing w:before="120" w:after="100" w:line="276" w:lineRule="auto"/>
        <w:jc w:val="both"/>
      </w:pPr>
      <w:r>
        <w:fldChar w:fldCharType="begin" w:dirty="true"/>
      </w:r>
      <w:r>
        <w:instrText>HYPERLINK \l "b1_ref100"</w:instrText>
      </w:r>
      <w:r>
        <w:fldChar w:fldCharType="separate"/>
      </w:r>
      <w:r>
        <w:rPr>
          <w:b/>
          <w:bCs/>
          <w:rtl/>
        </w:rPr>
        <w:t>100</w:t>
      </w:r>
      <w:r>
        <w:rPr>
          <w:b/>
          <w:bCs/>
        </w:rPr>
        <w:fldChar w:fldCharType="end"/>
      </w:r>
      <w:bookmarkEnd w:id="542"/>
      <w:r>
        <w:rPr>
          <w:rtl/>
        </w:rPr>
        <w:t xml:space="preserve"> במכתב מרוסיה</w:t>
      </w:r>
      <w:bookmarkStart w:id="543" w:name="_fnr305"/>
      <w:r>
        <w:rPr>
          <w:rStyle w:val="a5"/>
        </w:rPr>
        <w:footnoteReference w:id="305" w:customMarkFollows="0"/>
      </w:r>
      <w:bookmarkEnd w:id="543"/>
      <w:r>
        <w:rPr>
          <w:rtl/>
        </w:rPr>
        <w:t xml:space="preserve"> כתבה דודתי דבורה: “</w:t>
      </w:r>
      <w:proofErr w:type="spellStart"/>
      <w:r>
        <w:rPr>
          <w:rtl/>
        </w:rPr>
        <w:t>חיים־זרח</w:t>
      </w:r>
      <w:proofErr w:type="spellEnd"/>
      <w:r>
        <w:rPr>
          <w:rtl/>
        </w:rPr>
        <w:t xml:space="preserve"> היה אהוב המשפחה ומנהיגה. הוא נהג כאב לכולנו אף שהיה ילד בעצמו. גם אחרי שנולדו לו ילדים משלו, נשא גם בעול ביתנו. כשגדלתי, דאג שילמדו אותי רקמה, וכשגדלו אהרן ויודל, השיג להם עבודה בבית החרושת הגדול של </w:t>
      </w:r>
      <w:proofErr w:type="spellStart"/>
      <w:r>
        <w:rPr>
          <w:rtl/>
        </w:rPr>
        <w:t>זלקינד</w:t>
      </w:r>
      <w:proofErr w:type="spellEnd"/>
      <w:r>
        <w:rPr>
          <w:rtl/>
        </w:rPr>
        <w:t>. הוא שסיפק עצים לחורף. גם חיתן אותי. הוא היה מסור מאוד לכל המשפחה”.</w:t>
      </w:r>
    </w:p>
    <w:p w14:paraId="3B19E903" w14:textId="77777777" w:rsidR="00AB3647" w:rsidRDefault="00000000" w:rsidP="007923E9">
      <w:pPr>
        <w:spacing w:after="100" w:line="276" w:lineRule="auto"/>
        <w:ind w:firstLine="340"/>
        <w:jc w:val="both"/>
      </w:pPr>
      <w:r>
        <w:rPr>
          <w:rtl/>
        </w:rPr>
        <w:t xml:space="preserve">כשנאסרה כותבת המכתב עם בעלה בטיהורי סטלין בשנת תרצ״ז, “סיכן” </w:t>
      </w:r>
      <w:proofErr w:type="spellStart"/>
      <w:r>
        <w:rPr>
          <w:rtl/>
        </w:rPr>
        <w:t>חיים־זרח</w:t>
      </w:r>
      <w:proofErr w:type="spellEnd"/>
      <w:r>
        <w:rPr>
          <w:rtl/>
        </w:rPr>
        <w:t xml:space="preserve"> “את חייו כשהביא את בנה [שלה] בן השלוש, </w:t>
      </w:r>
      <w:proofErr w:type="spellStart"/>
      <w:r>
        <w:rPr>
          <w:rtl/>
        </w:rPr>
        <w:t>ליובה</w:t>
      </w:r>
      <w:proofErr w:type="spellEnd"/>
      <w:r>
        <w:rPr>
          <w:rtl/>
        </w:rPr>
        <w:t>, לראות [אותה] מבעד לסורגי הכלא – דבר שלא נעשה באותם ימים. אשתו ניסתה לעצור בעדו, אבל הוא אמר: ‘</w:t>
      </w:r>
      <w:proofErr w:type="spellStart"/>
      <w:r>
        <w:rPr>
          <w:rtl/>
        </w:rPr>
        <w:t>פערל</w:t>
      </w:r>
      <w:proofErr w:type="spellEnd"/>
      <w:r>
        <w:rPr>
          <w:rtl/>
        </w:rPr>
        <w:t>, תמיד אני שומע בקולך, אבל לא הפעם. אני מוכרח לראות את דבורה בפעם האחרונה’”.</w:t>
      </w:r>
    </w:p>
    <w:p w14:paraId="6C0CFA9E" w14:textId="77777777" w:rsidR="00AB3647" w:rsidRDefault="00000000" w:rsidP="007923E9">
      <w:pPr>
        <w:spacing w:after="100" w:line="276" w:lineRule="auto"/>
        <w:ind w:firstLine="340"/>
        <w:jc w:val="both"/>
      </w:pPr>
      <w:proofErr w:type="spellStart"/>
      <w:r>
        <w:rPr>
          <w:rtl/>
        </w:rPr>
        <w:t>חיים־זרח</w:t>
      </w:r>
      <w:proofErr w:type="spellEnd"/>
      <w:r>
        <w:rPr>
          <w:rtl/>
        </w:rPr>
        <w:t xml:space="preserve"> צדק: הוא לא ראה עוד את דבורה, אבל מסיבה שלא יכול היה לשער אז. בעלה של דבורה הוצא להורג, והיא ישבה </w:t>
      </w:r>
      <w:proofErr w:type="spellStart"/>
      <w:r>
        <w:rPr>
          <w:rtl/>
        </w:rPr>
        <w:t>שש־עשרה</w:t>
      </w:r>
      <w:proofErr w:type="spellEnd"/>
      <w:r>
        <w:rPr>
          <w:rtl/>
        </w:rPr>
        <w:t xml:space="preserve"> שנה בגלות ברוסיה האסייתית. אחר כך הותר לה לשוב למינסק, ושם גילתה </w:t>
      </w:r>
      <w:proofErr w:type="spellStart"/>
      <w:r>
        <w:rPr>
          <w:rtl/>
        </w:rPr>
        <w:t>שחיים־זרח</w:t>
      </w:r>
      <w:proofErr w:type="spellEnd"/>
      <w:r>
        <w:rPr>
          <w:rtl/>
        </w:rPr>
        <w:t xml:space="preserve">, אשתו ובתם, </w:t>
      </w:r>
      <w:proofErr w:type="spellStart"/>
      <w:r>
        <w:rPr>
          <w:rtl/>
        </w:rPr>
        <w:t>סאריל</w:t>
      </w:r>
      <w:proofErr w:type="spellEnd"/>
      <w:r>
        <w:rPr>
          <w:rtl/>
        </w:rPr>
        <w:t>, נהרגו בגטו בשנת תש״ב.</w:t>
      </w:r>
    </w:p>
    <w:p w14:paraId="48F77A21" w14:textId="77777777" w:rsidR="00AB3647" w:rsidRDefault="00000000" w:rsidP="007923E9">
      <w:pPr>
        <w:spacing w:after="100" w:line="276" w:lineRule="auto"/>
        <w:ind w:firstLine="340"/>
        <w:jc w:val="both"/>
      </w:pPr>
      <w:r>
        <w:rPr>
          <w:rtl/>
        </w:rPr>
        <w:t xml:space="preserve">שמו של </w:t>
      </w:r>
      <w:proofErr w:type="spellStart"/>
      <w:r>
        <w:rPr>
          <w:rtl/>
        </w:rPr>
        <w:t>חיים־זרח</w:t>
      </w:r>
      <w:proofErr w:type="spellEnd"/>
      <w:r>
        <w:rPr>
          <w:rtl/>
        </w:rPr>
        <w:t xml:space="preserve"> היה נערץ בקרב היהודים הנרדפים בגטו מינסק, משום שבתפקידו כספק תרופות לבית החולים לחיילים גרמנים פצועים שבעיר, היה מבריח תרופות לאחיו המעונים</w:t>
      </w:r>
      <w:bookmarkStart w:id="544" w:name="_fnr306"/>
      <w:r>
        <w:rPr>
          <w:rStyle w:val="a5"/>
        </w:rPr>
        <w:footnoteReference w:id="306" w:customMarkFollows="0"/>
      </w:r>
      <w:bookmarkEnd w:id="544"/>
      <w:r>
        <w:rPr>
          <w:rtl/>
        </w:rPr>
        <w:t>.</w:t>
      </w:r>
    </w:p>
    <w:p w14:paraId="59153235" w14:textId="7777777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הפור נפל. נשלח מכתב </w:t>
      </w:r>
      <w:proofErr w:type="spellStart"/>
      <w:r>
        <w:rPr>
          <w:rtl/>
        </w:rPr>
        <w:t>לחיים־זרח</w:t>
      </w:r>
      <w:proofErr w:type="spellEnd"/>
      <w:r>
        <w:rPr>
          <w:rtl/>
        </w:rPr>
        <w:t xml:space="preserve"> שימתין לאחיו בתחנת הרכבת של מינסק כעבור שבועיים, שלושה ימים אחרי פסח. הוריו של אבי ארזו לו כמה פריטי לבוש, מעט כלי מיטה, זוג תפילין לכשיצטרך להתחיל להניחן לקראת בר המצווה שלו, וקצת מזון, ושלחו אותו בעגלה רתומה לסוס אל התחנה הקרובה של הרכבת המקומית הקטנה, </w:t>
      </w:r>
      <w:proofErr w:type="spellStart"/>
      <w:r>
        <w:rPr>
          <w:rtl/>
        </w:rPr>
        <w:t>בבודסלב</w:t>
      </w:r>
      <w:proofErr w:type="spellEnd"/>
      <w:r>
        <w:rPr>
          <w:rtl/>
        </w:rPr>
        <w:t xml:space="preserve">, במרחק כ־18 קילומטרים </w:t>
      </w:r>
      <w:proofErr w:type="spellStart"/>
      <w:r>
        <w:rPr>
          <w:rtl/>
        </w:rPr>
        <w:t>מדולהינוב</w:t>
      </w:r>
      <w:proofErr w:type="spellEnd"/>
      <w:r>
        <w:rPr>
          <w:rtl/>
        </w:rPr>
        <w:t>.</w:t>
      </w:r>
    </w:p>
    <w:p w14:paraId="1D33FC83" w14:textId="5E80DA9D"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proofErr w:type="spellStart"/>
      <w:r>
        <w:rPr>
          <w:rtl/>
        </w:rPr>
        <w:t>מבודסלב</w:t>
      </w:r>
      <w:proofErr w:type="spellEnd"/>
      <w:r>
        <w:rPr>
          <w:rtl/>
        </w:rPr>
        <w:t xml:space="preserve"> עלה אבי על רכבת לילה איטית לנסיעה של כ־48 קילומטרים </w:t>
      </w:r>
      <w:proofErr w:type="spellStart"/>
      <w:r>
        <w:rPr>
          <w:rtl/>
        </w:rPr>
        <w:t>למולודצ׳נו</w:t>
      </w:r>
      <w:proofErr w:type="spellEnd"/>
      <w:r>
        <w:rPr>
          <w:rtl/>
        </w:rPr>
        <w:t>, ושם עלה על רכבת בקו ריגה–וילנה–מינסק–</w:t>
      </w:r>
      <w:proofErr w:type="spellStart"/>
      <w:r>
        <w:rPr>
          <w:rtl/>
        </w:rPr>
        <w:t>קרמנצ׳וג</w:t>
      </w:r>
      <w:proofErr w:type="spellEnd"/>
      <w:r>
        <w:rPr>
          <w:rtl/>
        </w:rPr>
        <w:t xml:space="preserve">–אודסה, לעוד כ־80 קילומטרים עד מחוז חפצו. בגלל ההמתנות הארוכות בכל אחת מנקודות המעבר, היה בן </w:t>
      </w:r>
      <w:proofErr w:type="spellStart"/>
      <w:r>
        <w:rPr>
          <w:rtl/>
        </w:rPr>
        <w:t>האחת־עשרה</w:t>
      </w:r>
      <w:proofErr w:type="spellEnd"/>
      <w:r>
        <w:rPr>
          <w:rtl/>
        </w:rPr>
        <w:t xml:space="preserve"> מן העיירה הקטנה עייף מאוד כשהגיע למחרת אל המרשימה מבין שתי התחנות ששירתו את מינסק. בעיניים פקוחות לרווחה ראה שהמבנה הגדול, עשוי הלבנים, שהמה יהודים דוברי יידיש</w:t>
      </w:r>
      <w:bookmarkStart w:id="545" w:name="b1_ref101"/>
      <w:bookmarkEnd w:id="545"/>
      <w:r>
        <w:rPr>
          <w:vertAlign w:val="superscript"/>
          <w:rtl/>
        </w:rPr>
        <w:fldChar w:fldCharType="begin" w:dirty="true"/>
      </w:r>
      <w:r>
        <w:rPr>
          <w:vertAlign w:val="superscript"/>
          <w:rtl/>
        </w:rPr>
        <w:instrText xml:space="preserve"> REF b1_note101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101</w:t>
      </w:r>
      <w:r>
        <w:rPr>
          <w:vertAlign w:val="superscript"/>
          <w:rtl/>
        </w:rPr>
        <w:fldChar w:fldCharType="end"/>
      </w:r>
      <w:r>
        <w:rPr>
          <w:rtl/>
        </w:rPr>
        <w:t>, מואר בדבר שלא ראה מעולם – חשמל</w:t>
      </w:r>
      <w:bookmarkStart w:id="546" w:name="b1_ref102"/>
      <w:bookmarkEnd w:id="546"/>
      <w:r>
        <w:rPr>
          <w:vertAlign w:val="superscript"/>
          <w:rtl/>
        </w:rPr>
        <w:fldChar w:fldCharType="begin" w:dirty="true"/>
      </w:r>
      <w:r>
        <w:rPr>
          <w:vertAlign w:val="superscript"/>
          <w:rtl/>
        </w:rPr>
        <w:instrText xml:space="preserve"> REF b1_note102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102</w:t>
      </w:r>
      <w:r>
        <w:rPr>
          <w:vertAlign w:val="superscript"/>
          <w:rtl/>
        </w:rPr>
        <w:fldChar w:fldCharType="end"/>
      </w:r>
      <w:r>
        <w:rPr>
          <w:rtl/>
        </w:rPr>
        <w:t xml:space="preserve">. </w:t>
      </w:r>
      <w:proofErr w:type="spellStart"/>
      <w:r>
        <w:rPr>
          <w:rtl/>
        </w:rPr>
        <w:t>חיים־זרח</w:t>
      </w:r>
      <w:proofErr w:type="spellEnd"/>
      <w:r>
        <w:rPr>
          <w:rtl/>
        </w:rPr>
        <w:t xml:space="preserve"> שלה את הילד מתוך המון הנוסעים המגיעים, קיבל אותו בחיבוק ולקח אותו עם צרורותיו אל הרחוב הסואן, ושם עלו על הקונקה</w:t>
      </w:r>
      <w:bookmarkStart w:id="547" w:name="b1_ref103"/>
      <w:bookmarkEnd w:id="547"/>
      <w:r>
        <w:rPr>
          <w:vertAlign w:val="superscript"/>
          <w:rtl/>
        </w:rPr>
        <w:fldChar w:fldCharType="begin" w:dirty="true"/>
      </w:r>
      <w:r>
        <w:rPr>
          <w:vertAlign w:val="superscript"/>
          <w:rtl/>
        </w:rPr>
        <w:instrText xml:space="preserve"> REF b1_note103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103</w:t>
      </w:r>
      <w:r>
        <w:rPr>
          <w:vertAlign w:val="superscript"/>
          <w:rtl/>
        </w:rPr>
        <w:fldChar w:fldCharType="end"/>
      </w:r>
      <w:r>
        <w:rPr>
          <w:rtl/>
        </w:rPr>
        <w:t xml:space="preserve"> לנסיעה ברחובות העיר הגדולה אל חדרו של האח הגדול.</w:t>
      </w:r>
    </w:p>
    <w:bookmarkStart w:id="548" w:name="b1_note101"/>
    <w:p w14:paraId="6E6AFE96" w14:textId="77777777" w:rsidR="00AB3647" w:rsidRDefault="00000000" w:rsidP="007923E9">
      <w:pPr>
        <w:spacing w:before="120" w:after="100" w:line="276" w:lineRule="auto"/>
        <w:jc w:val="both"/>
      </w:pPr>
      <w:r>
        <w:lastRenderedPageBreak/>
        <w:fldChar w:fldCharType="begin" w:dirty="true"/>
      </w:r>
      <w:r>
        <w:instrText>HYPERLINK \l "b1_ref101"</w:instrText>
      </w:r>
      <w:r>
        <w:fldChar w:fldCharType="separate"/>
      </w:r>
      <w:r>
        <w:rPr>
          <w:b/>
          <w:bCs/>
          <w:rtl/>
        </w:rPr>
        <w:t>101</w:t>
      </w:r>
      <w:r>
        <w:rPr>
          <w:b/>
          <w:bCs/>
        </w:rPr>
        <w:fldChar w:fldCharType="end"/>
      </w:r>
      <w:bookmarkEnd w:id="548"/>
      <w:r>
        <w:rPr>
          <w:rtl/>
        </w:rPr>
        <w:t xml:space="preserve"> לפי “מינסק עיר ואם א”</w:t>
      </w:r>
      <w:bookmarkStart w:id="549" w:name="_fnr307"/>
      <w:r>
        <w:rPr>
          <w:rStyle w:val="a5"/>
        </w:rPr>
        <w:footnoteReference w:id="307" w:customMarkFollows="0"/>
      </w:r>
      <w:bookmarkEnd w:id="549"/>
      <w:r>
        <w:rPr>
          <w:rtl/>
        </w:rPr>
        <w:t>, 98% מיהודי מינסק ציינו במפקד 1897 את היידיש, ולא את הרוסית, כשפתם העיקרית. שיעור זה היה גבוה בהרבה משל כל עיר גדולה אחרת ברוסיה.</w:t>
      </w:r>
    </w:p>
    <w:bookmarkStart w:id="550" w:name="b1_note102"/>
    <w:p w14:paraId="19B5A7E5" w14:textId="77777777" w:rsidR="00AB3647" w:rsidRDefault="00000000" w:rsidP="007923E9">
      <w:pPr>
        <w:spacing w:before="120" w:after="100" w:line="276" w:lineRule="auto"/>
        <w:jc w:val="both"/>
      </w:pPr>
      <w:r>
        <w:fldChar w:fldCharType="begin" w:dirty="true"/>
      </w:r>
      <w:r>
        <w:instrText>HYPERLINK \l "b1_ref102"</w:instrText>
      </w:r>
      <w:r>
        <w:fldChar w:fldCharType="separate"/>
      </w:r>
      <w:r>
        <w:rPr>
          <w:b/>
          <w:bCs/>
          <w:rtl/>
        </w:rPr>
        <w:t>102</w:t>
      </w:r>
      <w:r>
        <w:rPr>
          <w:b/>
          <w:bCs/>
        </w:rPr>
        <w:fldChar w:fldCharType="end"/>
      </w:r>
      <w:bookmarkEnd w:id="550"/>
      <w:r>
        <w:rPr>
          <w:rtl/>
        </w:rPr>
        <w:t xml:space="preserve"> התחנה האחרת, תחנת </w:t>
      </w:r>
      <w:proofErr w:type="spellStart"/>
      <w:r>
        <w:rPr>
          <w:rtl/>
        </w:rPr>
        <w:t>בריסק</w:t>
      </w:r>
      <w:proofErr w:type="spellEnd"/>
      <w:r>
        <w:rPr>
          <w:rtl/>
        </w:rPr>
        <w:t>, ששירתה את קו הרכבת מוסקבה–מינסק–</w:t>
      </w:r>
      <w:proofErr w:type="spellStart"/>
      <w:r>
        <w:rPr>
          <w:rtl/>
        </w:rPr>
        <w:t>בריסק</w:t>
      </w:r>
      <w:proofErr w:type="spellEnd"/>
      <w:r>
        <w:rPr>
          <w:rtl/>
        </w:rPr>
        <w:t xml:space="preserve"> (</w:t>
      </w:r>
      <w:proofErr w:type="spellStart"/>
      <w:r>
        <w:rPr>
          <w:rtl/>
        </w:rPr>
        <w:t>ברסט־ליטובסק</w:t>
      </w:r>
      <w:proofErr w:type="spellEnd"/>
      <w:r>
        <w:rPr>
          <w:rtl/>
        </w:rPr>
        <w:t>)–ורשה, הייתה מבנה עץ שהואר במנורות גז</w:t>
      </w:r>
      <w:bookmarkStart w:id="551" w:name="_fnr308"/>
      <w:r>
        <w:rPr>
          <w:rStyle w:val="a5"/>
        </w:rPr>
        <w:footnoteReference w:id="308" w:customMarkFollows="0"/>
      </w:r>
      <w:bookmarkEnd w:id="551"/>
      <w:r>
        <w:rPr>
          <w:rtl/>
        </w:rPr>
        <w:t>. תחום המושב, שהשתרע מן הים הבלטי ועד הים השחור, נמתח מצפון לדרום, ולכן נסעו בקו ריגה–אודסה, שנמתח גם הוא מצפון לדרום, נוסעים יהודים רבים בהרבה מאשר בקו מוסקבה–ורשה, שנמתח ממזרח למערב. הגבול המזרחי של תחום המושב היה כ־250 קילומטרים ממינסק.</w:t>
      </w:r>
    </w:p>
    <w:bookmarkStart w:id="552" w:name="b1_note103"/>
    <w:p w14:paraId="68F6C924" w14:textId="77777777" w:rsidR="00AB3647" w:rsidRDefault="00000000" w:rsidP="007923E9">
      <w:pPr>
        <w:spacing w:before="120" w:after="100" w:line="276" w:lineRule="auto"/>
        <w:jc w:val="both"/>
      </w:pPr>
      <w:r>
        <w:fldChar w:fldCharType="begin" w:dirty="true"/>
      </w:r>
      <w:r>
        <w:instrText>HYPERLINK \l "b1_ref103"</w:instrText>
      </w:r>
      <w:r>
        <w:fldChar w:fldCharType="separate"/>
      </w:r>
      <w:r>
        <w:rPr>
          <w:b/>
          <w:bCs/>
          <w:rtl/>
        </w:rPr>
        <w:t>103</w:t>
      </w:r>
      <w:r>
        <w:rPr>
          <w:b/>
          <w:bCs/>
        </w:rPr>
        <w:fldChar w:fldCharType="end"/>
      </w:r>
      <w:bookmarkEnd w:id="552"/>
      <w:r>
        <w:rPr>
          <w:rtl/>
        </w:rPr>
        <w:t xml:space="preserve"> כלי תחבורה ציבורית זה היה רכב בן עשרים מושבים, שנמשך על פסים בידי שני סוסים. בתחתית כל גבעה תלולה המתין כרטיסן </w:t>
      </w:r>
      <w:bookmarkStart w:id="553" w:name="_Hlk243579768"/>
      <w:proofErr w:type="spellStart"/>
      <w:r>
        <w:rPr>
          <w:rtl/>
        </w:rPr>
        <w:t xml:space="preserve">ורתם סוס</w:t>
      </w:r>
      <w:proofErr w:type="spellEnd"/>
      <w:r>
        <w:rPr>
          <w:rtl/>
        </w:rPr>
        <w:t xml:space="preserve"> שלישי לעלייה</w:t>
      </w:r>
      <w:bookmarkEnd w:id="553"/>
      <w:r>
        <w:rPr>
          <w:rtl/>
        </w:rPr>
        <w:t xml:space="preserve">. בשעת העלייה הצטרף הכרטיסן לנוסעים, ובראש המעלה התיר את הסוס הנוסף ורכב עליו במורד, כדי לחזור על הפעולה כשתבוא </w:t>
      </w:r>
      <w:proofErr w:type="spellStart"/>
      <w:r>
        <w:rPr>
          <w:rtl/>
        </w:rPr>
        <w:t>הקונקה</w:t>
      </w:r>
      <w:proofErr w:type="spellEnd"/>
      <w:r>
        <w:rPr>
          <w:rtl/>
        </w:rPr>
        <w:t xml:space="preserve"> הבאה</w:t>
      </w:r>
      <w:bookmarkStart w:id="554" w:name="_fnr309"/>
      <w:r>
        <w:rPr>
          <w:rStyle w:val="a5"/>
        </w:rPr>
        <w:footnoteReference w:id="309" w:customMarkFollows="0"/>
      </w:r>
      <w:bookmarkEnd w:id="554"/>
      <w:r>
        <w:rPr>
          <w:rtl/>
        </w:rPr>
        <w:t>.</w:t>
      </w:r>
    </w:p>
    <w:p w14:paraId="5E8F58D2" w14:textId="77777777" w:rsidR="00AB3647" w:rsidRDefault="00000000" w:rsidP="007923E9">
      <w:pPr>
        <w:pStyle w:val="2"/>
        <w:pageBreakBefore/>
        <w:spacing w:line="276" w:lineRule="auto"/>
      </w:pPr>
      <w:bookmarkStart w:id="555" w:name="b1_excursuses"/>
      <w:r>
        <w:lastRenderedPageBreak/>
        <w:t>נספחים</w:t>
      </w:r>
      <w:bookmarkEnd w:id="555"/>
    </w:p>
    <w:bookmarkStart w:id="556" w:name="b1_excA"/>
    <w:p w14:paraId="3C4F5BF6" w14:textId="77777777" w:rsidR="00AB3647" w:rsidRDefault="00000000" w:rsidP="007923E9">
      <w:pPr>
        <w:pStyle w:val="3"/>
        <w:pageBreakBefore w:val="0"/>
        <w:spacing w:line="276" w:lineRule="auto"/>
      </w:pPr>
      <w:r>
        <w:fldChar w:fldCharType="begin" w:dirty="true"/>
      </w:r>
      <w:r>
        <w:rPr>
          <w:rtl w:val="0"/>
        </w:rPr>
        <w:instrText>HYPERLINK \l "b1_note26</w:instrText>
      </w:r>
      <w:r>
        <w:instrText>"</w:instrText>
      </w:r>
      <w:r>
        <w:fldChar w:fldCharType="separate"/>
      </w:r>
      <w:r>
        <w:t>נספח א</w:t>
      </w:r>
      <w:r>
        <w:fldChar w:fldCharType="end"/>
      </w:r>
      <w:bookmarkEnd w:id="556"/>
    </w:p>
    <w:p w14:paraId="4B87C6E1" w14:textId="77777777" w:rsidR="00AB3647" w:rsidRDefault="00000000" w:rsidP="007923E9">
      <w:pPr>
        <w:pStyle w:val="af"/>
        <w:spacing w:line="276" w:lineRule="auto"/>
      </w:pPr>
      <w:r>
        <w:t>על הפרעות שאחרי רצח הצאר אלכסנדר השני ועל הערכתם המשובשת של המשכילים</w:t>
      </w:r>
    </w:p>
    <w:p w14:paraId="32E58FC3" w14:textId="77777777" w:rsidR="00AB3647" w:rsidRDefault="00000000" w:rsidP="007923E9">
      <w:pPr>
        <w:pStyle w:val="5"/>
        <w:spacing w:line="276" w:lineRule="auto"/>
      </w:pPr>
      <w:r>
        <w:t xml:space="preserve">שונאי ישראל מציתים שריפות בעיירות היהודיות – </w:t>
      </w:r>
      <w:proofErr w:type="spellStart"/>
      <w:r>
        <w:t>יל״ג</w:t>
      </w:r>
      <w:proofErr w:type="spellEnd"/>
      <w:r>
        <w:t xml:space="preserve"> רואה את קץ האנטישמיות – נוער יהודי נגוע בהשכלה מתחיל להאמין שעלילת הדם שבדו הגויים אמת היא</w:t>
      </w:r>
    </w:p>
    <w:p w14:paraId="2BC90681" w14:textId="77777777" w:rsidR="00AB3647" w:rsidRDefault="00000000" w:rsidP="007923E9">
      <w:pPr>
        <w:spacing w:after="120" w:line="276" w:lineRule="auto"/>
        <w:ind w:firstLine="283"/>
        <w:jc w:val="both"/>
      </w:pPr>
      <w:r>
        <w:rPr>
          <w:rtl/>
        </w:rPr>
        <w:t>הפרעות התחילו אחרי רצח הצאר אלכסנדר השני</w:t>
      </w:r>
      <w:bookmarkStart w:id="557" w:name="_fnr310"/>
      <w:r>
        <w:rPr>
          <w:rStyle w:val="a5"/>
        </w:rPr>
        <w:footnoteReference w:id="310" w:customMarkFollows="0"/>
      </w:r>
      <w:bookmarkEnd w:id="557"/>
      <w:r>
        <w:rPr>
          <w:rtl/>
        </w:rPr>
        <w:t>. אמרו שבכל מקום ששונאי ישראל הרגישו שאין בכוחם לערוך פרעות בגלוי, הציתו בסתר שריפות ברובעים היהודיים</w:t>
      </w:r>
      <w:bookmarkStart w:id="558" w:name="_fnr311"/>
      <w:bookmarkStart w:id="559" w:name="pr_f_244"/>
      <w:r>
        <w:rPr>
          <w:rStyle w:val="a5"/>
        </w:rPr>
        <w:footnoteReference w:id="311" w:customMarkFollows="0"/>
      </w:r>
      <w:bookmarkEnd w:id="558"/>
      <w:bookmarkEnd w:id="559"/>
      <w:r>
        <w:rPr>
          <w:rtl/>
        </w:rPr>
        <w:t xml:space="preserve">. משום כך היו השריפות שכיחות מאוד בעיירות היהודיות ברוסיה בשנות </w:t>
      </w:r>
      <w:proofErr w:type="spellStart"/>
      <w:r>
        <w:rPr>
          <w:rtl/>
        </w:rPr>
        <w:t>הת״ר־נ</w:t>
      </w:r>
      <w:proofErr w:type="spellEnd"/>
      <w:r>
        <w:rPr>
          <w:rtl/>
        </w:rPr>
        <w:t>׳.</w:t>
      </w:r>
    </w:p>
    <w:p w14:paraId="5A0B5475" w14:textId="77777777" w:rsidR="00AB3647" w:rsidRDefault="00000000" w:rsidP="007923E9">
      <w:pPr>
        <w:spacing w:after="120" w:line="276" w:lineRule="auto"/>
        <w:ind w:firstLine="283"/>
        <w:jc w:val="both"/>
      </w:pPr>
      <w:r>
        <w:rPr>
          <w:rtl/>
        </w:rPr>
        <w:t>ראה גם “</w:t>
      </w:r>
      <w:proofErr w:type="spellStart"/>
      <w:r>
        <w:rPr>
          <w:rtl/>
        </w:rPr>
        <w:t>זכרון</w:t>
      </w:r>
      <w:proofErr w:type="spellEnd"/>
      <w:r>
        <w:rPr>
          <w:rtl/>
        </w:rPr>
        <w:t xml:space="preserve"> יעקב”</w:t>
      </w:r>
      <w:bookmarkStart w:id="560" w:name="_fnr312"/>
      <w:r>
        <w:rPr>
          <w:rStyle w:val="a5"/>
        </w:rPr>
        <w:footnoteReference w:id="312" w:customMarkFollows="0"/>
      </w:r>
      <w:bookmarkEnd w:id="560"/>
      <w:r>
        <w:rPr>
          <w:rtl/>
        </w:rPr>
        <w:t xml:space="preserve">: עורכי הפרעות לא הבחינו בין יהודים מתקדמים ליהודים שומרי מסורת – אפילו “יהודים שהציגו איקונין בחלונותיהם” לא ניצלו – והמשכילים הודו </w:t>
      </w:r>
      <w:proofErr w:type="spellStart"/>
      <w:r>
        <w:rPr>
          <w:rtl/>
        </w:rPr>
        <w:t>בספרותם</w:t>
      </w:r>
      <w:proofErr w:type="spellEnd"/>
      <w:r>
        <w:rPr>
          <w:rtl/>
        </w:rPr>
        <w:t xml:space="preserve"> שטעו בחושבם </w:t>
      </w:r>
      <w:proofErr w:type="spellStart"/>
      <w:r>
        <w:rPr>
          <w:rtl/>
        </w:rPr>
        <w:t>שה“השכלה</w:t>
      </w:r>
      <w:proofErr w:type="spellEnd"/>
      <w:r>
        <w:rPr>
          <w:rtl/>
        </w:rPr>
        <w:t>” תבלום את האנטישמיות. והשווה גם שם</w:t>
      </w:r>
      <w:bookmarkStart w:id="561" w:name="_fnr313"/>
      <w:r>
        <w:rPr>
          <w:rStyle w:val="a5"/>
        </w:rPr>
        <w:footnoteReference w:id="313" w:customMarkFollows="0"/>
      </w:r>
      <w:bookmarkEnd w:id="561"/>
      <w:r>
        <w:rPr>
          <w:rtl/>
        </w:rPr>
        <w:t xml:space="preserve">, שבעקבות זאת נהרו צעירים “נאורים” בחזרה לבית המדרש.</w:t>
      </w:r>
    </w:p>
    <w:p w14:paraId="7FB40549" w14:textId="77777777" w:rsidR="00AB3647" w:rsidRDefault="00000000" w:rsidP="007923E9">
      <w:pPr>
        <w:spacing w:after="120" w:line="276" w:lineRule="auto"/>
        <w:ind w:firstLine="283"/>
        <w:jc w:val="both"/>
      </w:pPr>
      <w:r>
        <w:rPr>
          <w:rtl/>
        </w:rPr>
        <w:t>אחד ממקורות “</w:t>
      </w:r>
      <w:proofErr w:type="spellStart"/>
      <w:r>
        <w:rPr>
          <w:rtl/>
        </w:rPr>
        <w:t>זכרון</w:t>
      </w:r>
      <w:proofErr w:type="spellEnd"/>
      <w:r>
        <w:rPr>
          <w:rtl/>
        </w:rPr>
        <w:t xml:space="preserve"> יעקב” שהובאו לעיל</w:t>
      </w:r>
      <w:bookmarkStart w:id="562" w:name="_fnr314"/>
      <w:r>
        <w:rPr>
          <w:rStyle w:val="a5"/>
        </w:rPr>
        <w:footnoteReference w:id="314" w:customMarkFollows="0"/>
      </w:r>
      <w:bookmarkEnd w:id="562"/>
      <w:r>
        <w:rPr>
          <w:rtl/>
        </w:rPr>
        <w:t xml:space="preserve"> טוען: “היו סופרים בין המשכילים שהשתכנעו שההשכלה פשטה את הרגל. בערמה השתמשו בתחבולות של שינוי השם, והחליפו את שם </w:t>
      </w:r>
      <w:proofErr w:type="spellStart"/>
      <w:r>
        <w:rPr>
          <w:rtl/>
        </w:rPr>
        <w:t>ה‘פירמה</w:t>
      </w:r>
      <w:proofErr w:type="spellEnd"/>
      <w:r>
        <w:rPr>
          <w:rtl/>
        </w:rPr>
        <w:t xml:space="preserve">’ </w:t>
      </w:r>
      <w:proofErr w:type="spellStart"/>
      <w:r>
        <w:rPr>
          <w:rtl/>
        </w:rPr>
        <w:t>וה‘שלט</w:t>
      </w:r>
      <w:proofErr w:type="spellEnd"/>
      <w:r>
        <w:rPr>
          <w:rtl/>
        </w:rPr>
        <w:t xml:space="preserve">׳ של ההשכלה </w:t>
      </w:r>
      <w:proofErr w:type="spellStart"/>
      <w:r>
        <w:rPr>
          <w:rtl/>
        </w:rPr>
        <w:t>ב‘חובבי</w:t>
      </w:r>
      <w:proofErr w:type="spellEnd"/>
      <w:r>
        <w:rPr>
          <w:rtl/>
        </w:rPr>
        <w:t xml:space="preserve"> ציון’, כדי ללכוד בכך את העם. הם הופיעו במאמרים ובווידויים – מקצתם בתום לב ומקצתם לשם המטרה הציונית – והשמיצו את ספרות ההשכלה הקודמת, שטעתה בשני דברים. טעות אחת הייתה המחשבה שעל ידי ההשכלה תשיג האומה היהודית שוויון זכויות. </w:t>
      </w:r>
      <w:r>
        <w:rPr>
          <w:b/>
          <w:bCs/>
          <w:rtl/>
        </w:rPr>
        <w:t>הטעות השנייה</w:t>
      </w:r>
      <w:r>
        <w:rPr>
          <w:rtl/>
        </w:rPr>
        <w:t xml:space="preserve"> (ההדגשה שלי) הייתה ש[דרישות ה]’תיקוני הדת’ שלהם החלישו את כוחה של היהדות. הם כינו ספרות זו ‘ספרות שנות השישים והשבעים’, ותיארו אותה כספרות סכלה ומזיקה הן בגשמיות הן ברוחניות. היא נעשתה כמטבע שפסלה מלכות</w:t>
      </w:r>
      <w:bookmarkStart w:id="563" w:name="_fnr315"/>
      <w:r>
        <w:rPr>
          <w:rStyle w:val="a5"/>
        </w:rPr>
        <w:footnoteReference w:id="315" w:customMarkFollows="0"/>
      </w:r>
      <w:bookmarkEnd w:id="563"/>
      <w:r>
        <w:rPr>
          <w:rtl/>
        </w:rPr>
        <w:t>”.</w:t>
      </w:r>
    </w:p>
    <w:p w14:paraId="383BBA3B" w14:textId="77777777" w:rsidR="00AB3647" w:rsidRDefault="00000000" w:rsidP="007923E9">
      <w:pPr>
        <w:spacing w:after="120" w:line="276" w:lineRule="auto"/>
        <w:ind w:firstLine="283"/>
        <w:jc w:val="both"/>
      </w:pPr>
      <w:r>
        <w:rPr>
          <w:rtl/>
        </w:rPr>
        <w:t xml:space="preserve">ראה גם שם את הציטוטים מן הכרך הראשון של “אגרות יהודה ליב </w:t>
      </w:r>
      <w:proofErr w:type="spellStart"/>
      <w:r>
        <w:rPr>
          <w:rtl/>
        </w:rPr>
        <w:t>גארדאן</w:t>
      </w:r>
      <w:proofErr w:type="spellEnd"/>
      <w:r>
        <w:rPr>
          <w:rtl/>
        </w:rPr>
        <w:t>”</w:t>
      </w:r>
      <w:bookmarkStart w:id="564" w:name="_fnr316"/>
      <w:r>
        <w:rPr>
          <w:rStyle w:val="a5"/>
        </w:rPr>
        <w:footnoteReference w:id="316" w:customMarkFollows="0"/>
      </w:r>
      <w:bookmarkEnd w:id="564"/>
      <w:r>
        <w:rPr>
          <w:rtl/>
        </w:rPr>
        <w:t xml:space="preserve">, שבהם קורא המשכיל המר, שונא אנשי הדת, </w:t>
      </w:r>
      <w:proofErr w:type="spellStart"/>
      <w:r>
        <w:rPr>
          <w:rtl/>
        </w:rPr>
        <w:t>יהודה־לייב</w:t>
      </w:r>
      <w:proofErr w:type="spellEnd"/>
      <w:r>
        <w:rPr>
          <w:rtl/>
        </w:rPr>
        <w:t xml:space="preserve"> גורדון (</w:t>
      </w:r>
      <w:proofErr w:type="spellStart"/>
      <w:r>
        <w:rPr>
          <w:rtl/>
        </w:rPr>
        <w:t>יל״ג</w:t>
      </w:r>
      <w:proofErr w:type="spellEnd"/>
      <w:r>
        <w:rPr>
          <w:rtl/>
        </w:rPr>
        <w:t xml:space="preserve">), לתקן את השולחן ערוך, “שנתחבר בשעה שסבלו היהודים צרות ורדיפות, וגויים </w:t>
      </w:r>
      <w:proofErr w:type="spellStart"/>
      <w:r>
        <w:rPr>
          <w:rtl/>
        </w:rPr>
        <w:t>ערלי</w:t>
      </w:r>
      <w:proofErr w:type="spellEnd"/>
      <w:r>
        <w:rPr>
          <w:rtl/>
        </w:rPr>
        <w:t xml:space="preserve"> לב קמו באמת למחות את שם ישראל מן הארץ – להעבירנו על תורתנו ולהדיחנו מדת אבותינו. אבל עתה, שאין </w:t>
      </w:r>
      <w:r>
        <w:rPr>
          <w:b/>
          <w:bCs/>
          <w:rtl/>
        </w:rPr>
        <w:t>שום אפשרות כלל</w:t>
      </w:r>
      <w:r>
        <w:rPr>
          <w:rtl/>
        </w:rPr>
        <w:t xml:space="preserve"> שישובו העמים לסכלותם הקדומה, </w:t>
      </w:r>
      <w:r>
        <w:rPr>
          <w:b/>
          <w:bCs/>
          <w:rtl/>
        </w:rPr>
        <w:t>כשם שאין השמש יכולה לשוב אחורנית</w:t>
      </w:r>
      <w:r>
        <w:rPr>
          <w:rtl/>
        </w:rPr>
        <w:t xml:space="preserve"> (ההדגשה </w:t>
      </w:r>
      <w:r>
        <w:rPr>
          <w:rtl/>
        </w:rPr>
        <w:lastRenderedPageBreak/>
        <w:t xml:space="preserve">שלי), הלא עת היא להסיר את </w:t>
      </w:r>
      <w:proofErr w:type="spellStart"/>
      <w:r>
        <w:rPr>
          <w:rtl/>
        </w:rPr>
        <w:t>הגדרים</w:t>
      </w:r>
      <w:proofErr w:type="spellEnd"/>
      <w:r>
        <w:rPr>
          <w:rtl/>
        </w:rPr>
        <w:t xml:space="preserve"> היתרים ולקצץ את הקוצים המסובכים...?</w:t>
      </w:r>
      <w:bookmarkStart w:id="565" w:name="_fnr317"/>
      <w:r>
        <w:rPr>
          <w:rStyle w:val="a5"/>
        </w:rPr>
        <w:footnoteReference w:id="317" w:customMarkFollows="0"/>
      </w:r>
      <w:bookmarkEnd w:id="565"/>
      <w:r>
        <w:rPr>
          <w:rtl/>
        </w:rPr>
        <w:t>”. כשהוא מביא מכתב זה מילה במילה, מכניס בעל “</w:t>
      </w:r>
      <w:proofErr w:type="spellStart"/>
      <w:r>
        <w:rPr>
          <w:rtl/>
        </w:rPr>
        <w:t>זכרון</w:t>
      </w:r>
      <w:proofErr w:type="spellEnd"/>
      <w:r>
        <w:rPr>
          <w:rtl/>
        </w:rPr>
        <w:t xml:space="preserve"> יעקב” הערה אחרי המילים המודגשות לעיל: “מה תאמרו, קוראים נכבדים, על קצר הראות הזה? מי ראה את העתיד טוב יותר, הוא [גורדון, ראש המשכילים ברוסיה בזמנו] וחבריו, או הרבנים ויראי ה׳ [חרדים]?”</w:t>
      </w:r>
    </w:p>
    <w:p w14:paraId="666434E2" w14:textId="77777777" w:rsidR="00AB3647" w:rsidRDefault="00000000" w:rsidP="007923E9">
      <w:pPr>
        <w:spacing w:after="120" w:line="276" w:lineRule="auto"/>
        <w:ind w:firstLine="283"/>
        <w:jc w:val="both"/>
      </w:pPr>
      <w:proofErr w:type="spellStart"/>
      <w:r>
        <w:rPr>
          <w:rtl/>
        </w:rPr>
        <w:t>יל״ג</w:t>
      </w:r>
      <w:proofErr w:type="spellEnd"/>
      <w:r>
        <w:rPr>
          <w:rtl/>
        </w:rPr>
        <w:t xml:space="preserve"> היה בטוח בפזיזותו שהנוצרים לא ינסו עוד להעביר את היהודים על דתם. “</w:t>
      </w:r>
      <w:proofErr w:type="spellStart"/>
      <w:r>
        <w:rPr>
          <w:rtl/>
        </w:rPr>
        <w:t>זכרון</w:t>
      </w:r>
      <w:proofErr w:type="spellEnd"/>
      <w:r>
        <w:rPr>
          <w:rtl/>
        </w:rPr>
        <w:t xml:space="preserve"> יעקב” אינו מביא את המשפט הבא במכתב, המלמד </w:t>
      </w:r>
      <w:proofErr w:type="spellStart"/>
      <w:r>
        <w:rPr>
          <w:rtl/>
        </w:rPr>
        <w:t>שיל״ג</w:t>
      </w:r>
      <w:proofErr w:type="spellEnd"/>
      <w:r>
        <w:rPr>
          <w:rtl/>
        </w:rPr>
        <w:t xml:space="preserve"> סבר שהגויים חדלו לגמרי לשנוא את היהודים, וזו לשונו: “למה נשב במצור מוקפים חומה וסוללה” – של דינים דתיים המבדילים בינינו ובין הגויים – “כאשר </w:t>
      </w:r>
      <w:r>
        <w:rPr>
          <w:b/>
          <w:bCs/>
          <w:rtl/>
        </w:rPr>
        <w:t>אין אויב לנו</w:t>
      </w:r>
      <w:r>
        <w:rPr>
          <w:rtl/>
        </w:rPr>
        <w:t xml:space="preserve"> (ההדגשה שלי)?”</w:t>
      </w:r>
      <w:bookmarkStart w:id="566" w:name="_fnr318"/>
      <w:r>
        <w:rPr>
          <w:rStyle w:val="a5"/>
        </w:rPr>
        <w:footnoteReference w:id="318" w:customMarkFollows="0"/>
      </w:r>
      <w:bookmarkEnd w:id="566"/>
      <w:r>
        <w:rPr>
          <w:rtl/>
        </w:rPr>
        <w:t xml:space="preserve"> אבל אנו, שעברנו את השואה, יודעים כמה נוראה הייתה טעותו של </w:t>
      </w:r>
      <w:proofErr w:type="spellStart"/>
      <w:r>
        <w:rPr>
          <w:rtl/>
        </w:rPr>
        <w:t>יל״ג</w:t>
      </w:r>
      <w:proofErr w:type="spellEnd"/>
      <w:r>
        <w:rPr>
          <w:rtl/>
        </w:rPr>
        <w:t xml:space="preserve"> גם בזה. ואכן גורדון (תק״צ–תרנ״ב) עצמו נתקף ספקות בשנותיו האחרונות – אחרי פרוץ הפרעות</w:t>
      </w:r>
      <w:bookmarkStart w:id="567" w:name="_fnr319"/>
      <w:r>
        <w:rPr>
          <w:rStyle w:val="a5"/>
        </w:rPr>
        <w:footnoteReference w:id="319" w:customMarkFollows="0"/>
      </w:r>
      <w:bookmarkEnd w:id="567"/>
      <w:r>
        <w:rPr>
          <w:rtl/>
        </w:rPr>
        <w:t>.</w:t>
      </w:r>
    </w:p>
    <w:p w14:paraId="2D4DBEEF" w14:textId="77777777" w:rsidR="00AB3647" w:rsidRDefault="00000000" w:rsidP="007923E9">
      <w:pPr>
        <w:spacing w:after="120" w:line="276" w:lineRule="auto"/>
        <w:ind w:firstLine="283"/>
        <w:jc w:val="both"/>
      </w:pPr>
      <w:r>
        <w:rPr>
          <w:rtl/>
        </w:rPr>
        <w:t>בעניין “הטעות השנייה” שהוזכרה לעיל, מבליט “</w:t>
      </w:r>
      <w:proofErr w:type="spellStart"/>
      <w:r>
        <w:rPr>
          <w:rtl/>
        </w:rPr>
        <w:t>זכרון</w:t>
      </w:r>
      <w:proofErr w:type="spellEnd"/>
      <w:r>
        <w:rPr>
          <w:rtl/>
        </w:rPr>
        <w:t xml:space="preserve"> יעקב”</w:t>
      </w:r>
      <w:bookmarkStart w:id="568" w:name="_fnr320"/>
      <w:r>
        <w:rPr>
          <w:rStyle w:val="a5"/>
        </w:rPr>
        <w:footnoteReference w:id="320" w:customMarkFollows="0"/>
      </w:r>
      <w:bookmarkEnd w:id="568"/>
      <w:r>
        <w:rPr>
          <w:rtl/>
        </w:rPr>
        <w:t xml:space="preserve"> כיצד הורעל הנוער היהודי בהתקפות ההשכלה על היהדות, עד שאיבד את גאוותו על מורשתו והתחיל להאמין שהיהודים הם באמת עם שפל. הדברים הגיעו עד כדי כך </w:t>
      </w:r>
      <w:proofErr w:type="spellStart"/>
      <w:r>
        <w:rPr>
          <w:rtl/>
        </w:rPr>
        <w:t>ש“כמה</w:t>
      </w:r>
      <w:proofErr w:type="spellEnd"/>
      <w:r>
        <w:rPr>
          <w:rtl/>
        </w:rPr>
        <w:t xml:space="preserve"> </w:t>
      </w:r>
      <w:r>
        <w:rPr>
          <w:b/>
          <w:bCs/>
          <w:rtl/>
        </w:rPr>
        <w:t>סופרים צלולי דעת והגיוניים</w:t>
      </w:r>
      <w:r>
        <w:rPr>
          <w:rtl/>
        </w:rPr>
        <w:t xml:space="preserve"> (ההדגשה שלי) הביעו חשש שהנוער של הדורות הבאים, מתוך שהורגל לקבל מן היהודים עצמם את הצדקת הדין על היהדות ומנהיגיה, יתחיל להאמין בתום לב” אפילו בעלילה “שמשתמשים בדם נוצרי לחג המצות</w:t>
      </w:r>
      <w:bookmarkStart w:id="569" w:name="_fnr321"/>
      <w:r>
        <w:rPr>
          <w:rStyle w:val="a5"/>
        </w:rPr>
        <w:footnoteReference w:id="321" w:customMarkFollows="0"/>
      </w:r>
      <w:bookmarkEnd w:id="569"/>
      <w:r>
        <w:rPr>
          <w:rtl/>
        </w:rPr>
        <w:t>”. הוא מביא גם</w:t>
      </w:r>
      <w:bookmarkStart w:id="570" w:name="_fnr322"/>
      <w:r>
        <w:rPr>
          <w:rStyle w:val="a5"/>
        </w:rPr>
        <w:footnoteReference w:id="322" w:customMarkFollows="0"/>
      </w:r>
      <w:bookmarkEnd w:id="570"/>
      <w:r>
        <w:rPr>
          <w:rtl/>
        </w:rPr>
        <w:t xml:space="preserve"> את דברי הסופר אחד העם</w:t>
      </w:r>
      <w:bookmarkStart w:id="571" w:name="_fnr323"/>
      <w:r>
        <w:rPr>
          <w:rStyle w:val="a5"/>
        </w:rPr>
        <w:footnoteReference w:id="323" w:customMarkFollows="0"/>
      </w:r>
      <w:bookmarkEnd w:id="571"/>
      <w:r>
        <w:rPr>
          <w:rtl/>
        </w:rPr>
        <w:t xml:space="preserve">, </w:t>
      </w:r>
      <w:proofErr w:type="spellStart"/>
      <w:r>
        <w:rPr>
          <w:rtl/>
        </w:rPr>
        <w:t>ש“עלילה</w:t>
      </w:r>
      <w:proofErr w:type="spellEnd"/>
      <w:r>
        <w:rPr>
          <w:rtl/>
        </w:rPr>
        <w:t xml:space="preserve"> מאוסה זו היא חצי נחמה לנו, שאנו, אף שאנו מיעוט, יכולים לנצח את הרוב ולהפריכה” – כלומר יש בכך הוכחה שלא כל מה </w:t>
      </w:r>
      <w:proofErr w:type="spellStart"/>
      <w:r>
        <w:rPr>
          <w:rtl/>
        </w:rPr>
        <w:t>שה“רוב</w:t>
      </w:r>
      <w:proofErr w:type="spellEnd"/>
      <w:r>
        <w:rPr>
          <w:rtl/>
        </w:rPr>
        <w:t xml:space="preserve">” אומר עלינו אמת הוא. אחד העם, שלא </w:t>
      </w:r>
      <w:proofErr w:type="spellStart"/>
      <w:r>
        <w:rPr>
          <w:rtl/>
        </w:rPr>
        <w:t>כ“סופרים</w:t>
      </w:r>
      <w:proofErr w:type="spellEnd"/>
      <w:r>
        <w:rPr>
          <w:rtl/>
        </w:rPr>
        <w:t xml:space="preserve"> צלולי הדעת וההגיוניים”, לא העלה על דעתו שיהודים יחזרו כתוכי אחרי דברי שונאי ישראל ויבואו להאמין גם בעלילת שווא זו.</w:t>
      </w:r>
    </w:p>
    <w:p w14:paraId="1AA2A1D4" w14:textId="77777777" w:rsidR="00AB3647" w:rsidRDefault="00000000" w:rsidP="007923E9">
      <w:pPr>
        <w:spacing w:after="120" w:line="276" w:lineRule="auto"/>
        <w:ind w:firstLine="283"/>
        <w:jc w:val="both"/>
      </w:pPr>
      <w:r>
        <w:rPr>
          <w:rtl/>
        </w:rPr>
        <w:t xml:space="preserve">אבל לפי סיפור שסיפר אבי על ר׳ לייזר גורדון, רבה וראש ישיבתה של </w:t>
      </w:r>
      <w:proofErr w:type="spellStart"/>
      <w:r>
        <w:rPr>
          <w:rtl/>
        </w:rPr>
        <w:t>טלז</w:t>
      </w:r>
      <w:bookmarkStart w:id="572" w:name="_fnr324"/>
      <w:proofErr w:type="spellEnd"/>
      <w:r>
        <w:rPr>
          <w:rStyle w:val="a5"/>
        </w:rPr>
        <w:footnoteReference w:id="324" w:customMarkFollows="0"/>
      </w:r>
      <w:bookmarkEnd w:id="572"/>
      <w:r>
        <w:rPr>
          <w:rtl/>
        </w:rPr>
        <w:t xml:space="preserve">, צדקו הסופרים וטעה אחד העם. יהודי אחד אמר </w:t>
      </w:r>
      <w:proofErr w:type="spellStart"/>
      <w:r>
        <w:rPr>
          <w:rtl/>
        </w:rPr>
        <w:t>לר</w:t>
      </w:r>
      <w:proofErr w:type="spellEnd"/>
      <w:r>
        <w:rPr>
          <w:rtl/>
        </w:rPr>
        <w:t>׳ לייזר לפני פסח שבאותה שנה עשה את כל ההכנות ליום טוב ולמצוותיו בדקדוק, בכל הידוריהם, ולכן הוא מבקש מרבו שיגלה לו את ההידור הנסתר המיוחד. כשתמה ר׳ לייזר למה הוא מתכוון, אמר האיש בגלוי: “אתה יודע: הדם הנוצרי שמשתמשים בו המהדרין”.</w:t>
      </w:r>
    </w:p>
    <w:p w14:paraId="6C271509" w14:textId="77777777" w:rsidR="00AB3647" w:rsidRDefault="00000000" w:rsidP="007923E9">
      <w:pPr>
        <w:spacing w:after="120" w:line="276" w:lineRule="auto"/>
        <w:ind w:firstLine="283"/>
        <w:jc w:val="both"/>
      </w:pPr>
      <w:r>
        <w:rPr>
          <w:rtl/>
        </w:rPr>
        <w:t xml:space="preserve">לקח ר׳ לייזר את היהודי בידו, הוליכו לבית הכנסת ופתח את ארון הקודש. היהודי היה בטוח עתה שרבו עומד לגלות לו היכן מוסתר בקבוק הדם הנודע, ונדהם לראות את ר׳ לייזר </w:t>
      </w:r>
      <w:r>
        <w:rPr>
          <w:rtl/>
        </w:rPr>
        <w:lastRenderedPageBreak/>
        <w:t>מוציא ספר תורה, מגביהו ומכריז: “אני נשבע בספר הזה ובכל דבר שבקדושה, שמעולם, בכל אלפי שנות תולדותיהם, לא השתמשו יהודים בדם אדם לשום טקס שהוא”.</w:t>
      </w:r>
    </w:p>
    <w:bookmarkStart w:id="573" w:name="b1_excB"/>
    <w:p w14:paraId="325EDE00" w14:textId="77777777" w:rsidR="00AB3647" w:rsidRDefault="00000000" w:rsidP="007923E9">
      <w:pPr>
        <w:pStyle w:val="3"/>
        <w:spacing w:line="276" w:lineRule="auto"/>
      </w:pPr>
      <w:r>
        <w:lastRenderedPageBreak/>
        <w:fldChar w:fldCharType="begin" w:dirty="true"/>
      </w:r>
      <w:r>
        <w:rPr>
          <w:rtl w:val="0"/>
        </w:rPr>
        <w:instrText>HYPERLINK \l "b1_note27</w:instrText>
      </w:r>
      <w:r>
        <w:instrText>"</w:instrText>
      </w:r>
      <w:r>
        <w:fldChar w:fldCharType="separate"/>
      </w:r>
      <w:r>
        <w:t>נספח ב</w:t>
      </w:r>
      <w:r>
        <w:fldChar w:fldCharType="end"/>
      </w:r>
      <w:bookmarkEnd w:id="573"/>
    </w:p>
    <w:p w14:paraId="7C7776D8" w14:textId="77777777" w:rsidR="00AB3647" w:rsidRDefault="00000000" w:rsidP="007923E9">
      <w:pPr>
        <w:pStyle w:val="af"/>
        <w:spacing w:line="276" w:lineRule="auto"/>
      </w:pPr>
      <w:r>
        <w:t>על ר׳ אליהו שיק ועל משפחת שיק</w:t>
      </w:r>
    </w:p>
    <w:p w14:paraId="0E173C4D" w14:textId="77777777" w:rsidR="00AB3647" w:rsidRDefault="00000000" w:rsidP="007923E9">
      <w:pPr>
        <w:pStyle w:val="4"/>
        <w:spacing w:line="276" w:lineRule="auto"/>
      </w:pPr>
      <w:r>
        <w:t>· הפסקה הראשונה ·</w:t>
      </w:r>
    </w:p>
    <w:p w14:paraId="2C7104F4" w14:textId="77777777" w:rsidR="00AB3647" w:rsidRDefault="00000000" w:rsidP="007923E9">
      <w:pPr>
        <w:pStyle w:val="5"/>
        <w:spacing w:line="276" w:lineRule="auto"/>
      </w:pPr>
      <w:r>
        <w:t xml:space="preserve">ר׳ אליהו – גאון מפורסם ולוחם לעשוקים – קרבתו </w:t>
      </w:r>
      <w:proofErr w:type="spellStart"/>
      <w:r>
        <w:t>לר</w:t>
      </w:r>
      <w:proofErr w:type="spellEnd"/>
      <w:r>
        <w:t xml:space="preserve">׳ </w:t>
      </w:r>
      <w:proofErr w:type="spellStart"/>
      <w:r>
        <w:t>לייבל׳ה</w:t>
      </w:r>
      <w:proofErr w:type="spellEnd"/>
      <w:r>
        <w:t xml:space="preserve"> שפירא</w:t>
      </w:r>
    </w:p>
    <w:p w14:paraId="06D7DA36" w14:textId="77777777" w:rsidR="00AB3647" w:rsidRDefault="00000000" w:rsidP="007923E9">
      <w:pPr>
        <w:spacing w:after="120" w:line="276" w:lineRule="auto"/>
        <w:ind w:firstLine="283"/>
        <w:jc w:val="both"/>
      </w:pPr>
      <w:r>
        <w:rPr>
          <w:rtl/>
        </w:rPr>
        <w:t xml:space="preserve">אביה של חיה, אשת ר׳ </w:t>
      </w:r>
      <w:proofErr w:type="spellStart"/>
      <w:r>
        <w:rPr>
          <w:rtl/>
        </w:rPr>
        <w:t>שמואל־הירש</w:t>
      </w:r>
      <w:proofErr w:type="spellEnd"/>
      <w:r>
        <w:rPr>
          <w:rtl/>
        </w:rPr>
        <w:t xml:space="preserve"> </w:t>
      </w:r>
      <w:proofErr w:type="spellStart"/>
      <w:r>
        <w:rPr>
          <w:rtl/>
        </w:rPr>
        <w:t>קמינצקי</w:t>
      </w:r>
      <w:proofErr w:type="spellEnd"/>
      <w:r>
        <w:rPr>
          <w:rtl/>
        </w:rPr>
        <w:t xml:space="preserve">, היה ממשפחת </w:t>
      </w:r>
      <w:proofErr w:type="spellStart"/>
      <w:r>
        <w:rPr>
          <w:rtl/>
        </w:rPr>
        <w:t>שרשבסקי</w:t>
      </w:r>
      <w:proofErr w:type="spellEnd"/>
      <w:r>
        <w:rPr>
          <w:rtl/>
        </w:rPr>
        <w:t xml:space="preserve"> מסלונים, ואם אמה הייתה אחותו של ר׳ אליהו שיק, רב לידה ובעל “עין אליהו” </w:t>
      </w:r>
      <w:proofErr w:type="spellStart"/>
      <w:r>
        <w:rPr>
          <w:rtl/>
        </w:rPr>
        <w:t>ו“עיון</w:t>
      </w:r>
      <w:proofErr w:type="spellEnd"/>
      <w:r>
        <w:rPr>
          <w:rtl/>
        </w:rPr>
        <w:t xml:space="preserve"> יעקב”. אגב, בספר “שמש מרפא”</w:t>
      </w:r>
      <w:bookmarkStart w:id="574" w:name="_fnr325"/>
      <w:r>
        <w:rPr>
          <w:rStyle w:val="a5"/>
        </w:rPr>
        <w:footnoteReference w:id="325" w:customMarkFollows="0"/>
      </w:r>
      <w:bookmarkEnd w:id="574"/>
      <w:r>
        <w:rPr>
          <w:rtl/>
        </w:rPr>
        <w:t xml:space="preserve"> יש מכתב משנת תרכ״א אל ר׳ שמשון רפאל הירש בשם קהילת וילנה, שהחותם הראשון עליו הוא ר׳ </w:t>
      </w:r>
      <w:proofErr w:type="spellStart"/>
      <w:r>
        <w:rPr>
          <w:rtl/>
        </w:rPr>
        <w:t xml:space="preserve">וועלוול׳ה</w:t>
      </w:r>
      <w:proofErr w:type="spellEnd"/>
      <w:r>
        <w:rPr>
          <w:rtl/>
        </w:rPr>
        <w:t xml:space="preserve">, המגיד של אותה עיר. ר׳ אליהו חותם אחרי ר׳ </w:t>
      </w:r>
      <w:proofErr w:type="spellStart"/>
      <w:r>
        <w:rPr>
          <w:rtl/>
        </w:rPr>
        <w:t>יוסל׳ה</w:t>
      </w:r>
      <w:proofErr w:type="spellEnd"/>
      <w:r>
        <w:rPr>
          <w:rtl/>
        </w:rPr>
        <w:t xml:space="preserve"> </w:t>
      </w:r>
      <w:proofErr w:type="spellStart"/>
      <w:r>
        <w:rPr>
          <w:rtl/>
        </w:rPr>
        <w:t>מסלוצק</w:t>
      </w:r>
      <w:proofErr w:type="spellEnd"/>
      <w:r>
        <w:rPr>
          <w:rtl/>
        </w:rPr>
        <w:t xml:space="preserve"> והרב </w:t>
      </w:r>
      <w:proofErr w:type="spellStart"/>
      <w:r>
        <w:rPr>
          <w:rtl/>
        </w:rPr>
        <w:t>אייזל</w:t>
      </w:r>
      <w:proofErr w:type="spellEnd"/>
      <w:r>
        <w:rPr>
          <w:rtl/>
        </w:rPr>
        <w:t xml:space="preserve"> מסלונים, ולפני ר׳ </w:t>
      </w:r>
      <w:proofErr w:type="spellStart"/>
      <w:r>
        <w:rPr>
          <w:rtl/>
        </w:rPr>
        <w:t>יצחק־אלחנן</w:t>
      </w:r>
      <w:proofErr w:type="spellEnd"/>
      <w:r>
        <w:rPr>
          <w:rtl/>
        </w:rPr>
        <w:t xml:space="preserve">, אז רבה של </w:t>
      </w:r>
      <w:proofErr w:type="spellStart"/>
      <w:r>
        <w:rPr>
          <w:rtl/>
        </w:rPr>
        <w:t>נובהרדוק</w:t>
      </w:r>
      <w:proofErr w:type="spellEnd"/>
      <w:r>
        <w:rPr>
          <w:rtl/>
        </w:rPr>
        <w:t xml:space="preserve"> ואחר כך של קובנה. לפי “רבותינו שבגולה”</w:t>
      </w:r>
      <w:bookmarkStart w:id="575" w:name="_fnr326"/>
      <w:r>
        <w:rPr>
          <w:rStyle w:val="a5"/>
        </w:rPr>
        <w:footnoteReference w:id="326" w:customMarkFollows="0"/>
      </w:r>
      <w:bookmarkEnd w:id="575"/>
      <w:r>
        <w:rPr>
          <w:rtl/>
        </w:rPr>
        <w:t xml:space="preserve">, ר׳ אליהו היה מורו של ר׳ </w:t>
      </w:r>
      <w:proofErr w:type="spellStart"/>
      <w:r>
        <w:rPr>
          <w:rtl/>
        </w:rPr>
        <w:t>יצחק־אלחנן</w:t>
      </w:r>
      <w:proofErr w:type="spellEnd"/>
      <w:r>
        <w:rPr>
          <w:rtl/>
        </w:rPr>
        <w:t xml:space="preserve"> בשעה שזה “אכל </w:t>
      </w:r>
      <w:proofErr w:type="spellStart"/>
      <w:r>
        <w:rPr>
          <w:rtl/>
        </w:rPr>
        <w:t>קעסט</w:t>
      </w:r>
      <w:proofErr w:type="spellEnd"/>
      <w:r>
        <w:rPr>
          <w:rtl/>
        </w:rPr>
        <w:t xml:space="preserve">” </w:t>
      </w:r>
      <w:proofErr w:type="spellStart"/>
      <w:r>
        <w:rPr>
          <w:rtl/>
        </w:rPr>
        <w:t>בוולקוביסק</w:t>
      </w:r>
      <w:bookmarkStart w:id="576" w:name="_fnr327"/>
      <w:proofErr w:type="spellEnd"/>
      <w:r>
        <w:rPr>
          <w:rStyle w:val="a5"/>
        </w:rPr>
        <w:t/>
      </w:r>
      <w:bookmarkStart w:id="6990" w:name="_TranslatorNote_327"/>
      <w:r>
        <w:rPr>
          <w:rStyle w:val="a5"/>
          <w:vertAlign w:val="superscript"/>
          <w:rtl/>
        </w:rPr>
        <w:footnoteReference w:id="327" w:customMarkFollows="1"/>
        <w:t>*</w:t>
      </w:r>
      <w:bookmarkEnd w:id="6990"/>
      <w:bookmarkEnd w:id="576"/>
      <w:r>
        <w:rPr>
          <w:rtl/>
        </w:rPr>
        <w:t xml:space="preserve">. ר׳ אליהו גם גילה את היתום </w:t>
      </w:r>
      <w:proofErr w:type="spellStart"/>
      <w:r>
        <w:rPr>
          <w:rtl/>
        </w:rPr>
        <w:t>חיים־לייב</w:t>
      </w:r>
      <w:proofErr w:type="spellEnd"/>
      <w:r>
        <w:rPr>
          <w:rtl/>
        </w:rPr>
        <w:t xml:space="preserve"> </w:t>
      </w:r>
      <w:proofErr w:type="spellStart"/>
      <w:r>
        <w:rPr>
          <w:rtl/>
        </w:rPr>
        <w:t>טיקטינסקי</w:t>
      </w:r>
      <w:bookmarkStart w:id="577" w:name="_fnr328"/>
      <w:proofErr w:type="spellEnd"/>
      <w:r>
        <w:rPr>
          <w:rStyle w:val="a5"/>
        </w:rPr>
        <w:footnoteReference w:id="328" w:customMarkFollows="0"/>
      </w:r>
      <w:bookmarkEnd w:id="577"/>
      <w:r>
        <w:rPr>
          <w:rtl/>
        </w:rPr>
        <w:t xml:space="preserve"> ופרסם את שמו כשהיה רב </w:t>
      </w:r>
      <w:proofErr w:type="spellStart"/>
      <w:r>
        <w:rPr>
          <w:rtl/>
        </w:rPr>
        <w:t>בדרעטשין</w:t>
      </w:r>
      <w:proofErr w:type="spellEnd"/>
      <w:r>
        <w:rPr>
          <w:rtl/>
        </w:rPr>
        <w:t>, לפני שנתמנה בלידה.</w:t>
      </w:r>
    </w:p>
    <w:p w14:paraId="21DB0DBB" w14:textId="77777777" w:rsidR="00AB3647" w:rsidRDefault="00000000" w:rsidP="007923E9">
      <w:pPr>
        <w:spacing w:after="120" w:line="276" w:lineRule="auto"/>
        <w:ind w:firstLine="283"/>
        <w:jc w:val="both"/>
      </w:pPr>
      <w:r>
        <w:rPr>
          <w:rtl/>
        </w:rPr>
        <w:t xml:space="preserve">בנו של </w:t>
      </w:r>
      <w:proofErr w:type="spellStart"/>
      <w:r>
        <w:rPr>
          <w:rtl/>
        </w:rPr>
        <w:t>החפץ־חיים</w:t>
      </w:r>
      <w:proofErr w:type="spellEnd"/>
      <w:r>
        <w:rPr>
          <w:rtl/>
        </w:rPr>
        <w:t xml:space="preserve">, ר׳ </w:t>
      </w:r>
      <w:proofErr w:type="spellStart"/>
      <w:r>
        <w:rPr>
          <w:rtl/>
        </w:rPr>
        <w:t>אריה־לייב</w:t>
      </w:r>
      <w:proofErr w:type="spellEnd"/>
      <w:r>
        <w:rPr>
          <w:rtl/>
        </w:rPr>
        <w:t xml:space="preserve"> </w:t>
      </w:r>
      <w:proofErr w:type="spellStart"/>
      <w:r>
        <w:rPr>
          <w:rtl/>
        </w:rPr>
        <w:t>פופקו</w:t>
      </w:r>
      <w:proofErr w:type="spellEnd"/>
      <w:r>
        <w:rPr>
          <w:rtl/>
        </w:rPr>
        <w:t xml:space="preserve">, מתאר את ר׳ אליהו </w:t>
      </w:r>
      <w:proofErr w:type="spellStart"/>
      <w:r>
        <w:rPr>
          <w:rtl/>
        </w:rPr>
        <w:t>כ“ידיד</w:t>
      </w:r>
      <w:proofErr w:type="spellEnd"/>
      <w:r>
        <w:rPr>
          <w:rtl/>
        </w:rPr>
        <w:t>” של אביו</w:t>
      </w:r>
      <w:bookmarkStart w:id="578" w:name="_fnr329"/>
      <w:bookmarkStart w:id="579" w:name="pr_f_261"/>
      <w:r>
        <w:rPr>
          <w:rStyle w:val="a5"/>
        </w:rPr>
        <w:footnoteReference w:id="329" w:customMarkFollows="0"/>
      </w:r>
      <w:bookmarkEnd w:id="578"/>
      <w:bookmarkEnd w:id="579"/>
      <w:r>
        <w:rPr>
          <w:rtl/>
        </w:rPr>
        <w:t>. בספר “מקור ברוך”</w:t>
      </w:r>
      <w:bookmarkStart w:id="580" w:name="_fnr330"/>
      <w:r>
        <w:rPr>
          <w:rStyle w:val="a5"/>
        </w:rPr>
        <w:footnoteReference w:id="330" w:customMarkFollows="0"/>
      </w:r>
      <w:bookmarkEnd w:id="580"/>
      <w:r>
        <w:rPr>
          <w:rtl/>
        </w:rPr>
        <w:t xml:space="preserve"> מסופר הוויכוח המעניין בין המגיד מווילנה, ר׳ </w:t>
      </w:r>
      <w:proofErr w:type="spellStart"/>
      <w:r>
        <w:rPr>
          <w:rtl/>
        </w:rPr>
        <w:t xml:space="preserve">וועלוול׳ה</w:t>
      </w:r>
      <w:proofErr w:type="spellEnd"/>
      <w:r>
        <w:rPr>
          <w:rtl/>
        </w:rPr>
        <w:t xml:space="preserve">, ובין ר׳ אליהו, כשנשא ר׳ אליהו את בתו של ר׳ </w:t>
      </w:r>
      <w:proofErr w:type="spellStart"/>
      <w:r>
        <w:rPr>
          <w:rtl/>
        </w:rPr>
        <w:t xml:space="preserve">וועלוול׳ה</w:t>
      </w:r>
      <w:proofErr w:type="spellEnd"/>
      <w:r>
        <w:rPr>
          <w:rtl/>
        </w:rPr>
        <w:t xml:space="preserve"> לאישה בנישואיו השניים.</w:t>
      </w:r>
    </w:p>
    <w:p w14:paraId="6BAA76AE" w14:textId="77777777" w:rsidR="00AB3647" w:rsidRDefault="00000000" w:rsidP="007923E9">
      <w:pPr>
        <w:spacing w:after="120" w:line="276" w:lineRule="auto"/>
        <w:ind w:firstLine="283"/>
        <w:jc w:val="both"/>
      </w:pPr>
      <w:r>
        <w:rPr>
          <w:rtl/>
        </w:rPr>
        <w:t xml:space="preserve">בספר “אידישע </w:t>
      </w:r>
      <w:proofErr w:type="spellStart"/>
      <w:r>
        <w:rPr>
          <w:rtl/>
        </w:rPr>
        <w:t>שטעט</w:t>
      </w:r>
      <w:proofErr w:type="spellEnd"/>
      <w:r>
        <w:rPr>
          <w:rtl/>
        </w:rPr>
        <w:t xml:space="preserve">, </w:t>
      </w:r>
      <w:proofErr w:type="spellStart"/>
      <w:r>
        <w:rPr>
          <w:rtl/>
        </w:rPr>
        <w:t>שטעטלאך</w:t>
      </w:r>
      <w:proofErr w:type="spellEnd"/>
      <w:r>
        <w:rPr>
          <w:rtl/>
        </w:rPr>
        <w:t xml:space="preserve"> און </w:t>
      </w:r>
      <w:proofErr w:type="spellStart"/>
      <w:r>
        <w:rPr>
          <w:rtl/>
        </w:rPr>
        <w:t>דארפישע</w:t>
      </w:r>
      <w:proofErr w:type="spellEnd"/>
      <w:r>
        <w:rPr>
          <w:rtl/>
        </w:rPr>
        <w:t xml:space="preserve"> יישובים אין </w:t>
      </w:r>
      <w:proofErr w:type="spellStart"/>
      <w:r>
        <w:rPr>
          <w:rtl/>
        </w:rPr>
        <w:t>ליטע</w:t>
      </w:r>
      <w:proofErr w:type="spellEnd"/>
      <w:r>
        <w:rPr>
          <w:rtl/>
        </w:rPr>
        <w:t xml:space="preserve">” [ערים, עיירות ויישובים כפריים יהודיים בליטא] מאת בערל </w:t>
      </w:r>
      <w:proofErr w:type="spellStart"/>
      <w:r>
        <w:rPr>
          <w:rtl/>
        </w:rPr>
        <w:t>קגן</w:t>
      </w:r>
      <w:bookmarkStart w:id="581" w:name="_fnr331"/>
      <w:proofErr w:type="spellEnd"/>
      <w:r>
        <w:rPr>
          <w:rStyle w:val="a5"/>
        </w:rPr>
        <w:footnoteReference w:id="331" w:customMarkFollows="0"/>
      </w:r>
      <w:bookmarkEnd w:id="581"/>
      <w:r>
        <w:rPr>
          <w:rtl/>
        </w:rPr>
        <w:t xml:space="preserve"> יש מידע מעניין על </w:t>
      </w:r>
      <w:proofErr w:type="spellStart"/>
      <w:r>
        <w:rPr>
          <w:rtl/>
        </w:rPr>
        <w:t>רבנותו</w:t>
      </w:r>
      <w:proofErr w:type="spellEnd"/>
      <w:r>
        <w:rPr>
          <w:rtl/>
        </w:rPr>
        <w:t xml:space="preserve"> של ר׳ אליהו </w:t>
      </w:r>
      <w:proofErr w:type="spellStart"/>
      <w:r>
        <w:rPr>
          <w:rtl/>
        </w:rPr>
        <w:t>בזאגר</w:t>
      </w:r>
      <w:proofErr w:type="spellEnd"/>
      <w:r>
        <w:rPr>
          <w:rtl/>
        </w:rPr>
        <w:t xml:space="preserve">, בזמן שהצאר ניקולאי הראשון ציווה על כל קהילה יהודית לספק מספר קצוב של מגויסים צעירים לצבא הרוסי. ילדים אלה נקראו </w:t>
      </w:r>
      <w:proofErr w:type="spellStart"/>
      <w:r>
        <w:rPr>
          <w:rtl/>
        </w:rPr>
        <w:t>קנטוניסטים</w:t>
      </w:r>
      <w:proofErr w:type="spellEnd"/>
      <w:r>
        <w:rPr>
          <w:rtl/>
        </w:rPr>
        <w:t>, על שם המחנות (“</w:t>
      </w:r>
      <w:proofErr w:type="spellStart"/>
      <w:r>
        <w:rPr>
          <w:rtl/>
        </w:rPr>
        <w:t>קנטונים</w:t>
      </w:r>
      <w:proofErr w:type="spellEnd"/>
      <w:r>
        <w:rPr>
          <w:rtl/>
        </w:rPr>
        <w:t>”) שבהם גודלו ילדי החיילים, שנחשבו רכוש הצבא</w:t>
      </w:r>
      <w:bookmarkStart w:id="582" w:name="_fnr332"/>
      <w:r>
        <w:rPr>
          <w:rStyle w:val="a5"/>
        </w:rPr>
        <w:footnoteReference w:id="332" w:customMarkFollows="0"/>
      </w:r>
      <w:bookmarkEnd w:id="582"/>
      <w:r>
        <w:rPr>
          <w:rtl/>
        </w:rPr>
        <w:t xml:space="preserve">. </w:t>
      </w:r>
      <w:proofErr w:type="spellStart"/>
      <w:r>
        <w:rPr>
          <w:rtl/>
        </w:rPr>
        <w:t>בזאגר</w:t>
      </w:r>
      <w:proofErr w:type="spellEnd"/>
      <w:r>
        <w:rPr>
          <w:rtl/>
        </w:rPr>
        <w:t xml:space="preserve"> אירע מעשה של חטיפת ילדים, ור׳ אליהו, “שהיה בדרך כלל לוחם נלהב וחם בעד היהודים העניים והמדוכאים – שהיו הקורבנות העיקריים של חטיפות הילדים בידי ראשי הקהל הרשעים – נטל גרזן בידו, אסף המון של יהודים עניים שהסתערו על המקום שבו הוחזקו הילדים, ושבר את הדלתות לשחררם. הוא גם היה מסתיר בביתו ילדים שהיו בסכנת חטיפה”.</w:t>
      </w:r>
    </w:p>
    <w:p w14:paraId="0597D073" w14:textId="2D674E98" w:rsidR="00AB3647" w:rsidRDefault="00000000" w:rsidP="007923E9">
      <w:pPr>
        <w:spacing w:after="120" w:line="276" w:lineRule="auto"/>
        <w:ind w:firstLine="283"/>
        <w:jc w:val="both"/>
      </w:pPr>
      <w:r>
        <w:rPr>
          <w:rtl/>
        </w:rPr>
        <w:lastRenderedPageBreak/>
        <w:t xml:space="preserve">ר׳ אליהו שיק ואחותו היו בני דודים ראשונים של אשתו השנייה של ר׳ </w:t>
      </w:r>
      <w:proofErr w:type="spellStart"/>
      <w:r>
        <w:rPr>
          <w:rtl/>
        </w:rPr>
        <w:t>לייבל׳ה</w:t>
      </w:r>
      <w:proofErr w:type="spellEnd"/>
      <w:r>
        <w:rPr>
          <w:rtl/>
        </w:rPr>
        <w:t xml:space="preserve"> שפירא (תקמ״ז–תרי״ג), רבה המפורסם של קובנה</w:t>
      </w:r>
      <w:bookmarkStart w:id="583" w:name="_fnr333"/>
      <w:r>
        <w:rPr>
          <w:rStyle w:val="a5"/>
        </w:rPr>
        <w:footnoteReference w:id="333" w:customMarkFollows="0"/>
      </w:r>
      <w:bookmarkEnd w:id="583"/>
      <w:r>
        <w:rPr>
          <w:rtl/>
        </w:rPr>
        <w:t xml:space="preserve">, תלמיד ר׳ חיים </w:t>
      </w:r>
      <w:proofErr w:type="spellStart"/>
      <w:r>
        <w:rPr>
          <w:rtl/>
        </w:rPr>
        <w:t>מוולוז׳ין</w:t>
      </w:r>
      <w:proofErr w:type="spellEnd"/>
      <w:r>
        <w:rPr>
          <w:rtl/>
        </w:rPr>
        <w:t xml:space="preserve"> ואביו של ר׳ רפאל שפירא. בשנת תרנ״ט ירש ר׳ רפאל את מקום חותנו, ר׳ </w:t>
      </w:r>
      <w:proofErr w:type="spellStart"/>
      <w:r>
        <w:rPr>
          <w:rtl/>
        </w:rPr>
        <w:t>נפתלי־צבי־יהודה</w:t>
      </w:r>
      <w:proofErr w:type="spellEnd"/>
      <w:r>
        <w:rPr>
          <w:rtl/>
        </w:rPr>
        <w:t xml:space="preserve"> ברלין (</w:t>
      </w:r>
      <w:proofErr w:type="spellStart"/>
      <w:r>
        <w:rPr>
          <w:rtl/>
        </w:rPr>
        <w:t>הנצי״ב</w:t>
      </w:r>
      <w:proofErr w:type="spellEnd"/>
      <w:r>
        <w:rPr>
          <w:rtl/>
        </w:rPr>
        <w:t xml:space="preserve">), כרב </w:t>
      </w:r>
      <w:proofErr w:type="spellStart"/>
      <w:r>
        <w:rPr>
          <w:rtl/>
        </w:rPr>
        <w:t>וולוז׳ין</w:t>
      </w:r>
      <w:proofErr w:type="spellEnd"/>
      <w:r>
        <w:rPr>
          <w:rtl/>
        </w:rPr>
        <w:t xml:space="preserve"> וכראש ישיבת </w:t>
      </w:r>
      <w:proofErr w:type="spellStart"/>
      <w:r>
        <w:rPr>
          <w:rtl/>
        </w:rPr>
        <w:t>וולוז׳ין</w:t>
      </w:r>
      <w:proofErr w:type="spellEnd"/>
      <w:r>
        <w:rPr>
          <w:rtl/>
        </w:rPr>
        <w:t xml:space="preserve"> שחודשה (שנסגרה שבע שנים קודם לכן). </w:t>
      </w:r>
      <w:proofErr w:type="spellStart"/>
      <w:r>
        <w:rPr>
          <w:rtl/>
        </w:rPr>
        <w:t>הנצי״ב</w:t>
      </w:r>
      <w:proofErr w:type="spellEnd"/>
      <w:r>
        <w:rPr>
          <w:rtl/>
        </w:rPr>
        <w:t xml:space="preserve"> (תקע״ז–תרנ״ג) ירש את מקום חותנו, ר׳ </w:t>
      </w:r>
      <w:proofErr w:type="spellStart"/>
      <w:r>
        <w:rPr>
          <w:rtl/>
        </w:rPr>
        <w:t>איצל׳ה</w:t>
      </w:r>
      <w:bookmarkStart w:id="584" w:name="_fnr334"/>
      <w:bookmarkEnd w:id="584"/>
      <w:proofErr w:type="spellEnd"/>
      <w:r>
        <w:rPr>
          <w:rStyle w:val="a5"/>
        </w:rPr>
        <w:t/>
      </w:r>
      <w:bookmarkStart w:id="6991" w:name="_TranslatorNote_5368"/>
      <w:r>
        <w:rPr>
          <w:rStyle w:val="a5"/>
          <w:vertAlign w:val="superscript"/>
          <w:rtl/>
        </w:rPr>
        <w:footnoteReference w:id="334" w:customMarkFollows="1"/>
        <w:t>*</w:t>
      </w:r>
      <w:bookmarkEnd w:id="6991"/>
      <w:r>
        <w:rPr>
          <w:rtl/>
        </w:rPr>
        <w:t xml:space="preserve">, שירש את מקום אביו, מייסד ישיבת </w:t>
      </w:r>
      <w:proofErr w:type="spellStart"/>
      <w:r>
        <w:rPr>
          <w:rtl/>
        </w:rPr>
        <w:t>וולוז׳ין</w:t>
      </w:r>
      <w:proofErr w:type="spellEnd"/>
      <w:r>
        <w:rPr>
          <w:rtl/>
        </w:rPr>
        <w:t xml:space="preserve">, </w:t>
      </w:r>
      <w:bookmarkStart w:id="585" w:name="_Hlk243579977"/>
      <w:r>
        <w:rPr>
          <w:rtl/>
        </w:rPr>
        <w:t xml:space="preserve">ר׳ חיים </w:t>
      </w:r>
      <w:proofErr w:type="spellStart"/>
      <w:r w:rsidR="00AB485B">
        <w:rPr>
          <w:rtl/>
        </w:rPr>
        <w:t>איצקוביץ</w:t>
      </w:r>
      <w:proofErr w:type="spellEnd"/>
      <w:r w:rsidR="00AB485B">
        <w:rPr>
          <w:rtl/>
        </w:rPr>
        <w:t>'</w:t>
      </w:r>
      <w:bookmarkEnd w:id="585"/>
      <w:r>
        <w:rPr>
          <w:rtl/>
        </w:rPr>
        <w:t xml:space="preserve">. מכאן שבני </w:t>
      </w:r>
      <w:proofErr w:type="spellStart"/>
      <w:r>
        <w:rPr>
          <w:rtl/>
        </w:rPr>
        <w:t>קמינצקי</w:t>
      </w:r>
      <w:proofErr w:type="spellEnd"/>
      <w:r>
        <w:rPr>
          <w:rtl/>
        </w:rPr>
        <w:t xml:space="preserve"> קשורים בקשר רחוק למשפחתו של ר׳ חיים </w:t>
      </w:r>
      <w:proofErr w:type="spellStart"/>
      <w:r>
        <w:rPr>
          <w:rtl/>
        </w:rPr>
        <w:t>מוולוז׳ין</w:t>
      </w:r>
      <w:bookmarkStart w:id="586" w:name="_fnr335"/>
      <w:proofErr w:type="spellEnd"/>
      <w:r>
        <w:rPr>
          <w:rStyle w:val="a5"/>
        </w:rPr>
        <w:footnoteReference w:id="335" w:customMarkFollows="0"/>
      </w:r>
      <w:bookmarkEnd w:id="586"/>
      <w:r>
        <w:rPr>
          <w:rtl/>
        </w:rPr>
        <w:t>.</w:t>
      </w:r>
    </w:p>
    <w:p w14:paraId="2C247A29" w14:textId="77777777" w:rsidR="00AB3647" w:rsidRDefault="00000000" w:rsidP="007923E9">
      <w:pPr>
        <w:pStyle w:val="4"/>
        <w:spacing w:line="276" w:lineRule="auto"/>
      </w:pPr>
      <w:r>
        <w:t>· הפסקה השנייה ·</w:t>
      </w:r>
    </w:p>
    <w:p w14:paraId="0E6F3B15" w14:textId="77777777" w:rsidR="00AB3647" w:rsidRDefault="00000000" w:rsidP="007923E9">
      <w:pPr>
        <w:pStyle w:val="5"/>
        <w:spacing w:line="276" w:lineRule="auto"/>
      </w:pPr>
      <w:r>
        <w:t xml:space="preserve">ר׳ אליהו מבקר אצל ר׳ </w:t>
      </w:r>
      <w:proofErr w:type="spellStart"/>
      <w:r>
        <w:t>לייבל׳ה</w:t>
      </w:r>
      <w:proofErr w:type="spellEnd"/>
      <w:r>
        <w:t xml:space="preserve"> – ר׳ אליהו ידוע כמתנגד – ר׳ </w:t>
      </w:r>
      <w:proofErr w:type="spellStart"/>
      <w:r>
        <w:t>לייבל׳ה</w:t>
      </w:r>
      <w:proofErr w:type="spellEnd"/>
      <w:r>
        <w:t xml:space="preserve"> מתחמק מר׳ אליהו כמה פעמים – האחרון מספר מדוע – ר׳ </w:t>
      </w:r>
      <w:proofErr w:type="spellStart"/>
      <w:r>
        <w:t>לייבל׳ה</w:t>
      </w:r>
      <w:proofErr w:type="spellEnd"/>
      <w:r>
        <w:t xml:space="preserve"> הוא מופת האמת</w:t>
      </w:r>
    </w:p>
    <w:p w14:paraId="5C3A5358" w14:textId="77777777" w:rsidR="00AB3647" w:rsidRDefault="00000000" w:rsidP="007923E9">
      <w:pPr>
        <w:spacing w:after="120" w:line="276" w:lineRule="auto"/>
        <w:ind w:firstLine="283"/>
        <w:jc w:val="both"/>
      </w:pPr>
      <w:r>
        <w:rPr>
          <w:rtl/>
        </w:rPr>
        <w:t xml:space="preserve">בעל נכדתו של אבי, ר׳ נתן שטרן, רשם רשימות מתוארכות של דברים מעניינים ששמע מפי רבנו בעיר מגוריהם המשותפת, </w:t>
      </w:r>
      <w:proofErr w:type="spellStart"/>
      <w:r>
        <w:rPr>
          <w:rtl/>
        </w:rPr>
        <w:t>מונסי</w:t>
      </w:r>
      <w:proofErr w:type="spellEnd"/>
      <w:r>
        <w:rPr>
          <w:rtl/>
        </w:rPr>
        <w:t xml:space="preserve">. בסתיו </w:t>
      </w:r>
      <w:proofErr w:type="spellStart"/>
      <w:r>
        <w:rPr>
          <w:rtl/>
        </w:rPr>
        <w:t>תש״ם</w:t>
      </w:r>
      <w:proofErr w:type="spellEnd"/>
      <w:r>
        <w:rPr>
          <w:rtl/>
        </w:rPr>
        <w:t xml:space="preserve"> סיפר אבי את המעשה הבא על ר׳ אליהו שיק, כפי שר׳ אליהו עצמו סיפרו.</w:t>
      </w:r>
    </w:p>
    <w:p w14:paraId="449C3215" w14:textId="77777777" w:rsidR="00AB3647" w:rsidRDefault="00000000" w:rsidP="007923E9">
      <w:pPr>
        <w:spacing w:after="120" w:line="276" w:lineRule="auto"/>
        <w:ind w:firstLine="283"/>
        <w:jc w:val="both"/>
      </w:pPr>
      <w:r>
        <w:rPr>
          <w:rtl/>
        </w:rPr>
        <w:t xml:space="preserve">בזמן המעשה היה ר׳ אליהו רב </w:t>
      </w:r>
      <w:proofErr w:type="spellStart"/>
      <w:r>
        <w:rPr>
          <w:rtl/>
        </w:rPr>
        <w:t>בדרעטשין</w:t>
      </w:r>
      <w:proofErr w:type="spellEnd"/>
      <w:r>
        <w:rPr>
          <w:rtl/>
        </w:rPr>
        <w:t xml:space="preserve">, ובא </w:t>
      </w:r>
      <w:proofErr w:type="spellStart"/>
      <w:r>
        <w:rPr>
          <w:rtl/>
        </w:rPr>
        <w:t>לסמורגון</w:t>
      </w:r>
      <w:proofErr w:type="spellEnd"/>
      <w:r>
        <w:rPr>
          <w:rtl/>
        </w:rPr>
        <w:t xml:space="preserve">, שבה כיהן כרב קרובו מצד הנישואין ר׳ </w:t>
      </w:r>
      <w:proofErr w:type="spellStart"/>
      <w:r>
        <w:rPr>
          <w:rtl/>
        </w:rPr>
        <w:t>לייבל׳ה</w:t>
      </w:r>
      <w:proofErr w:type="spellEnd"/>
      <w:r>
        <w:rPr>
          <w:rtl/>
        </w:rPr>
        <w:t xml:space="preserve"> שפירא, כדי לאסוף תרומות לקהילת </w:t>
      </w:r>
      <w:proofErr w:type="spellStart"/>
      <w:r>
        <w:rPr>
          <w:rtl/>
        </w:rPr>
        <w:t>דרעטשין</w:t>
      </w:r>
      <w:proofErr w:type="spellEnd"/>
      <w:r>
        <w:rPr>
          <w:rtl/>
        </w:rPr>
        <w:t xml:space="preserve">, שנפגעה בשריפה הרסנית. ר׳ </w:t>
      </w:r>
      <w:proofErr w:type="spellStart"/>
      <w:r>
        <w:rPr>
          <w:rtl/>
        </w:rPr>
        <w:t>לייבל׳ה</w:t>
      </w:r>
      <w:proofErr w:type="spellEnd"/>
      <w:r>
        <w:rPr>
          <w:rtl/>
        </w:rPr>
        <w:t xml:space="preserve"> ליווה אותו בסיוריו. כשהגיעו לפני ביתו של חסיד חב״ד עשיר, אמר לו ר׳ </w:t>
      </w:r>
      <w:proofErr w:type="spellStart"/>
      <w:r>
        <w:rPr>
          <w:rtl/>
        </w:rPr>
        <w:t>לייבל׳ה</w:t>
      </w:r>
      <w:proofErr w:type="spellEnd"/>
      <w:r>
        <w:rPr>
          <w:rtl/>
        </w:rPr>
        <w:t xml:space="preserve"> שאין טעם להיכנס לבית זה, משום שבעליו לא יתרום לשום דבר </w:t>
      </w:r>
      <w:proofErr w:type="spellStart"/>
      <w:r>
        <w:rPr>
          <w:rtl/>
        </w:rPr>
        <w:t>בדרעטשין</w:t>
      </w:r>
      <w:proofErr w:type="spellEnd"/>
      <w:r>
        <w:rPr>
          <w:rtl/>
        </w:rPr>
        <w:t>, עיירה הידועה כמרכז של מתנגדים מאז המחלוקת עם החסידים לפני יותר מחמישים שנה.</w:t>
      </w:r>
    </w:p>
    <w:p w14:paraId="373A24AC" w14:textId="77777777" w:rsidR="00AB3647" w:rsidRDefault="00000000" w:rsidP="007923E9">
      <w:pPr>
        <w:spacing w:after="120" w:line="276" w:lineRule="auto"/>
        <w:ind w:firstLine="283"/>
        <w:jc w:val="both"/>
      </w:pPr>
      <w:r>
        <w:rPr>
          <w:rtl/>
        </w:rPr>
        <w:t xml:space="preserve">אבי גילה בנקודה זו שגם ר׳ אליהו עצמו נחשב למתנגד נלהב, עד שחסידים האשימוהו שפסק הלכה בכוונה כדי לצערם. החסידים, שנמנעים מלאכול </w:t>
      </w:r>
      <w:proofErr w:type="spellStart"/>
      <w:r>
        <w:rPr>
          <w:rtl/>
        </w:rPr>
        <w:t>געבראקטס</w:t>
      </w:r>
      <w:proofErr w:type="spellEnd"/>
      <w:r>
        <w:rPr>
          <w:rtl/>
        </w:rPr>
        <w:t xml:space="preserve"> בפסח, נהגו להתענג על </w:t>
      </w:r>
      <w:proofErr w:type="spellStart"/>
      <w:r>
        <w:rPr>
          <w:rtl/>
        </w:rPr>
        <w:t>קניידלעך</w:t>
      </w:r>
      <w:proofErr w:type="spellEnd"/>
      <w:r>
        <w:rPr>
          <w:rtl/>
        </w:rPr>
        <w:t xml:space="preserve"> של מצה ביום הנוסף של החג, אחרון של פסח.</w:t>
      </w:r>
    </w:p>
    <w:p w14:paraId="4C9DBA8B" w14:textId="77777777" w:rsidR="00AB3647" w:rsidRDefault="00000000" w:rsidP="007923E9">
      <w:pPr>
        <w:spacing w:after="120" w:line="276" w:lineRule="auto"/>
        <w:ind w:firstLine="283"/>
        <w:jc w:val="both"/>
      </w:pPr>
      <w:r>
        <w:rPr>
          <w:rtl/>
        </w:rPr>
        <w:t xml:space="preserve">בשנת תרל״ג, כשחל פסח בשבת, אסר ר׳ אליהו להכין </w:t>
      </w:r>
      <w:proofErr w:type="spellStart"/>
      <w:r>
        <w:rPr>
          <w:rtl/>
        </w:rPr>
        <w:t>קניידלעך</w:t>
      </w:r>
      <w:proofErr w:type="spellEnd"/>
      <w:r>
        <w:rPr>
          <w:rtl/>
        </w:rPr>
        <w:t xml:space="preserve"> ביום שישי ליום האחרון של פסח, משום שסבר שמותר לבשל ביום טוב לצורך שבת רק מאכל שמותר לאכלו ביום טוב עצמו</w:t>
      </w:r>
      <w:bookmarkStart w:id="587" w:name="_fnr336"/>
      <w:r>
        <w:rPr>
          <w:rStyle w:val="a5"/>
        </w:rPr>
        <w:footnoteReference w:id="336" w:customMarkFollows="0"/>
      </w:r>
      <w:bookmarkEnd w:id="587"/>
      <w:r>
        <w:rPr>
          <w:rtl/>
        </w:rPr>
        <w:t xml:space="preserve">. כשנפטר ר׳ אליהו כעבור שנה וחצי, באלול תרל״ד, טענו החסידים שנענש מן השמים, משום שפסקו מנע מהם ליהנות </w:t>
      </w:r>
      <w:proofErr w:type="spellStart"/>
      <w:r>
        <w:rPr>
          <w:rtl/>
        </w:rPr>
        <w:t>מקניידלעך</w:t>
      </w:r>
      <w:proofErr w:type="spellEnd"/>
      <w:r>
        <w:rPr>
          <w:rtl/>
        </w:rPr>
        <w:t xml:space="preserve"> ביום היחיד בכל החג שבו הותר להם, לחסידים, לאכלם</w:t>
      </w:r>
      <w:bookmarkStart w:id="588" w:name="_fnr337"/>
      <w:r>
        <w:rPr>
          <w:rStyle w:val="a5"/>
        </w:rPr>
        <w:footnoteReference w:id="337" w:customMarkFollows="0"/>
      </w:r>
      <w:bookmarkEnd w:id="588"/>
      <w:r>
        <w:rPr>
          <w:rtl/>
        </w:rPr>
        <w:t>. ראה גם “רבותינו שבגולה”</w:t>
      </w:r>
      <w:bookmarkStart w:id="589" w:name="_fnr338"/>
      <w:r>
        <w:rPr>
          <w:rStyle w:val="a5"/>
        </w:rPr>
        <w:footnoteReference w:id="338" w:customMarkFollows="0"/>
      </w:r>
      <w:bookmarkEnd w:id="589"/>
      <w:r>
        <w:rPr>
          <w:rtl/>
        </w:rPr>
        <w:t xml:space="preserve">, שם נאמר </w:t>
      </w:r>
      <w:proofErr w:type="spellStart"/>
      <w:r>
        <w:rPr>
          <w:rtl/>
        </w:rPr>
        <w:t>ש“יש</w:t>
      </w:r>
      <w:proofErr w:type="spellEnd"/>
      <w:r>
        <w:rPr>
          <w:rtl/>
        </w:rPr>
        <w:t xml:space="preserve"> אומרים” שעזב את </w:t>
      </w:r>
      <w:r>
        <w:rPr>
          <w:rtl/>
        </w:rPr>
        <w:lastRenderedPageBreak/>
        <w:t xml:space="preserve">רבנות העיר הגדולה לידה בשנת תרכ״ד ועבר לעיירה הקטנה </w:t>
      </w:r>
      <w:proofErr w:type="spellStart"/>
      <w:r>
        <w:rPr>
          <w:rtl/>
        </w:rPr>
        <w:t>זאגר</w:t>
      </w:r>
      <w:proofErr w:type="spellEnd"/>
      <w:r>
        <w:rPr>
          <w:rtl/>
        </w:rPr>
        <w:t xml:space="preserve"> משום שהיה מעורב במחלוקת בין חסידים למתנגדים בלידה.</w:t>
      </w:r>
    </w:p>
    <w:p w14:paraId="5A0A3B17" w14:textId="77777777" w:rsidR="00AB3647" w:rsidRDefault="00000000" w:rsidP="007923E9">
      <w:pPr>
        <w:spacing w:after="120" w:line="276" w:lineRule="auto"/>
        <w:ind w:firstLine="283"/>
        <w:jc w:val="both"/>
      </w:pPr>
      <w:r>
        <w:rPr>
          <w:rtl/>
        </w:rPr>
        <w:t xml:space="preserve">מחוץ לביתו של החסיד </w:t>
      </w:r>
      <w:proofErr w:type="spellStart"/>
      <w:r>
        <w:rPr>
          <w:rtl/>
        </w:rPr>
        <w:t>החב״די</w:t>
      </w:r>
      <w:proofErr w:type="spellEnd"/>
      <w:r>
        <w:rPr>
          <w:rtl/>
        </w:rPr>
        <w:t xml:space="preserve"> טען ר׳ אליהו בתוקף באוזני ר׳ </w:t>
      </w:r>
      <w:proofErr w:type="spellStart"/>
      <w:r>
        <w:rPr>
          <w:rtl/>
        </w:rPr>
        <w:t>לייבל׳ה</w:t>
      </w:r>
      <w:proofErr w:type="spellEnd"/>
      <w:r>
        <w:rPr>
          <w:rtl/>
        </w:rPr>
        <w:t xml:space="preserve"> שהוא יוציא תרומה מבעל הבית, ואף התערב עמו על “רובל לישיבת </w:t>
      </w:r>
      <w:proofErr w:type="spellStart"/>
      <w:r>
        <w:rPr>
          <w:rtl/>
        </w:rPr>
        <w:t>וולוז׳ין</w:t>
      </w:r>
      <w:proofErr w:type="spellEnd"/>
      <w:r>
        <w:rPr>
          <w:rtl/>
        </w:rPr>
        <w:t xml:space="preserve">” שיצליח בדבר. ר׳ אליהו נכנס לבית החסיד לבדו ויצא עם תרומה של שלושה רובל. שאל אותו ר׳ </w:t>
      </w:r>
      <w:proofErr w:type="spellStart"/>
      <w:r>
        <w:rPr>
          <w:rtl/>
        </w:rPr>
        <w:t>לייבל׳ה</w:t>
      </w:r>
      <w:proofErr w:type="spellEnd"/>
      <w:r>
        <w:rPr>
          <w:rtl/>
        </w:rPr>
        <w:t xml:space="preserve">, המבוגר ממנו בעשרים ושתיים שנה, כיצד עשה זאת, והוא השיב: “סיפרתי לו מעשה על </w:t>
      </w:r>
      <w:proofErr w:type="spellStart"/>
      <w:r>
        <w:rPr>
          <w:rtl/>
        </w:rPr>
        <w:t>האלטער</w:t>
      </w:r>
      <w:proofErr w:type="spellEnd"/>
      <w:r>
        <w:rPr>
          <w:rtl/>
        </w:rPr>
        <w:t xml:space="preserve"> רבי”. אמר לו ר׳ </w:t>
      </w:r>
      <w:proofErr w:type="spellStart"/>
      <w:r>
        <w:rPr>
          <w:rtl/>
        </w:rPr>
        <w:t>לייבל׳ה</w:t>
      </w:r>
      <w:proofErr w:type="spellEnd"/>
      <w:r>
        <w:rPr>
          <w:rtl/>
        </w:rPr>
        <w:t xml:space="preserve">: “זכית [זוכה </w:t>
      </w:r>
      <w:proofErr w:type="spellStart"/>
      <w:r>
        <w:rPr>
          <w:rtl/>
        </w:rPr>
        <w:t>געווען</w:t>
      </w:r>
      <w:proofErr w:type="spellEnd"/>
      <w:r>
        <w:rPr>
          <w:rtl/>
        </w:rPr>
        <w:t xml:space="preserve">] בשלושה רובל, והרי לך הרובל שלי </w:t>
      </w:r>
      <w:proofErr w:type="spellStart"/>
      <w:r>
        <w:rPr>
          <w:rtl/>
        </w:rPr>
        <w:t>לוולוז׳ין</w:t>
      </w:r>
      <w:proofErr w:type="spellEnd"/>
      <w:r>
        <w:rPr>
          <w:rtl/>
        </w:rPr>
        <w:t>, אבל איני יכול ללוות אותך עוד, משום [שהתורה מצווה] ‘מדבר שקר תרחק’</w:t>
      </w:r>
      <w:bookmarkStart w:id="590" w:name="_fnr339"/>
      <w:r>
        <w:rPr>
          <w:rStyle w:val="a5"/>
        </w:rPr>
        <w:footnoteReference w:id="339" w:customMarkFollows="0"/>
      </w:r>
      <w:bookmarkEnd w:id="590"/>
      <w:r>
        <w:rPr>
          <w:rtl/>
        </w:rPr>
        <w:t>”.</w:t>
      </w:r>
    </w:p>
    <w:p w14:paraId="5589BDF7" w14:textId="77777777" w:rsidR="00AB3647" w:rsidRDefault="00000000" w:rsidP="007923E9">
      <w:pPr>
        <w:spacing w:after="120" w:line="276" w:lineRule="auto"/>
        <w:ind w:firstLine="283"/>
        <w:jc w:val="both"/>
      </w:pPr>
      <w:r>
        <w:rPr>
          <w:rtl/>
        </w:rPr>
        <w:t xml:space="preserve">כעבור זמן בא ר׳ אליהו לבקר את ר׳ </w:t>
      </w:r>
      <w:proofErr w:type="spellStart"/>
      <w:r>
        <w:rPr>
          <w:rtl/>
        </w:rPr>
        <w:t>לייבל׳ה</w:t>
      </w:r>
      <w:proofErr w:type="spellEnd"/>
      <w:r>
        <w:rPr>
          <w:rtl/>
        </w:rPr>
        <w:t xml:space="preserve">, שהיה כבר אז רב קובנה, ומיד כשנכנס ר׳ אליהו בדלת אחת, יצא ר׳ </w:t>
      </w:r>
      <w:proofErr w:type="spellStart"/>
      <w:r>
        <w:rPr>
          <w:rtl/>
        </w:rPr>
        <w:t>לייבל׳ה</w:t>
      </w:r>
      <w:proofErr w:type="spellEnd"/>
      <w:r>
        <w:rPr>
          <w:rtl/>
        </w:rPr>
        <w:t xml:space="preserve"> בדלת האחרת. פעם אחרת התאכסן ר׳ </w:t>
      </w:r>
      <w:proofErr w:type="spellStart"/>
      <w:r>
        <w:rPr>
          <w:rtl/>
        </w:rPr>
        <w:t>לייבל׳ה</w:t>
      </w:r>
      <w:proofErr w:type="spellEnd"/>
      <w:r>
        <w:rPr>
          <w:rtl/>
        </w:rPr>
        <w:t xml:space="preserve"> בפונדק כשהגיע ר׳ אליהו, ור׳ </w:t>
      </w:r>
      <w:proofErr w:type="spellStart"/>
      <w:r>
        <w:rPr>
          <w:rtl/>
        </w:rPr>
        <w:t>לייבל׳ה</w:t>
      </w:r>
      <w:proofErr w:type="spellEnd"/>
      <w:r>
        <w:rPr>
          <w:rtl/>
        </w:rPr>
        <w:t xml:space="preserve"> עזב מיד את הפונדק. אבי סיים את הסיפור בלי לבאר: “נראה שאחר כך עשו שלום”.</w:t>
      </w:r>
    </w:p>
    <w:p w14:paraId="20499A0E" w14:textId="77777777" w:rsidR="00AB3647" w:rsidRDefault="00000000" w:rsidP="007923E9">
      <w:pPr>
        <w:spacing w:after="120" w:line="276" w:lineRule="auto"/>
        <w:ind w:firstLine="283"/>
        <w:jc w:val="both"/>
      </w:pPr>
      <w:r>
        <w:rPr>
          <w:rtl/>
        </w:rPr>
        <w:t xml:space="preserve">רבנו סיפר גם באילו נסיבות סיפר ר׳ אליהו את המעשה הנזכר: “כשנעשה ר׳ אליהו רב </w:t>
      </w:r>
      <w:proofErr w:type="spellStart"/>
      <w:r>
        <w:rPr>
          <w:rtl/>
        </w:rPr>
        <w:t>בקוברין</w:t>
      </w:r>
      <w:bookmarkStart w:id="591" w:name="_fnr340"/>
      <w:proofErr w:type="spellEnd"/>
      <w:r>
        <w:rPr>
          <w:rStyle w:val="a5"/>
        </w:rPr>
        <w:footnoteReference w:id="340" w:customMarkFollows="0"/>
      </w:r>
      <w:bookmarkEnd w:id="591"/>
      <w:r>
        <w:rPr>
          <w:rtl/>
        </w:rPr>
        <w:t xml:space="preserve"> ובא אצלו רבי חסידי לבקרו</w:t>
      </w:r>
      <w:bookmarkStart w:id="592" w:name="_fnr341"/>
      <w:r>
        <w:rPr>
          <w:rStyle w:val="a5"/>
        </w:rPr>
        <w:footnoteReference w:id="341" w:customMarkFollows="0"/>
      </w:r>
      <w:bookmarkEnd w:id="592"/>
      <w:r>
        <w:rPr>
          <w:rtl/>
        </w:rPr>
        <w:t xml:space="preserve">, חייב היה מצד הנימוס להחזיר לו ביקור. בשעה שהמתין להיכנס לחדרו של הרבי, סיפר למלווהו על התקרית שאירעה לו עם ר׳ </w:t>
      </w:r>
      <w:proofErr w:type="spellStart"/>
      <w:r>
        <w:rPr>
          <w:rtl/>
        </w:rPr>
        <w:t>לייבל׳ה</w:t>
      </w:r>
      <w:proofErr w:type="spellEnd"/>
      <w:r>
        <w:rPr>
          <w:rtl/>
        </w:rPr>
        <w:t xml:space="preserve"> שפירא, והוסיף: ‘וואו </w:t>
      </w:r>
      <w:proofErr w:type="spellStart"/>
      <w:r>
        <w:rPr>
          <w:rtl/>
        </w:rPr>
        <w:t>נעמט</w:t>
      </w:r>
      <w:proofErr w:type="spellEnd"/>
      <w:r>
        <w:rPr>
          <w:rtl/>
        </w:rPr>
        <w:t xml:space="preserve"> מען </w:t>
      </w:r>
      <w:proofErr w:type="spellStart"/>
      <w:r>
        <w:rPr>
          <w:rtl/>
        </w:rPr>
        <w:t>דאס</w:t>
      </w:r>
      <w:proofErr w:type="spellEnd"/>
      <w:r>
        <w:rPr>
          <w:rtl/>
        </w:rPr>
        <w:t xml:space="preserve"> </w:t>
      </w:r>
      <w:proofErr w:type="spellStart"/>
      <w:r>
        <w:rPr>
          <w:rtl/>
        </w:rPr>
        <w:t>דעם</w:t>
      </w:r>
      <w:proofErr w:type="spellEnd"/>
      <w:r>
        <w:rPr>
          <w:rtl/>
        </w:rPr>
        <w:t xml:space="preserve"> </w:t>
      </w:r>
      <w:proofErr w:type="spellStart"/>
      <w:r>
        <w:rPr>
          <w:rtl/>
        </w:rPr>
        <w:t>אמאליגען</w:t>
      </w:r>
      <w:proofErr w:type="spellEnd"/>
      <w:r>
        <w:rPr>
          <w:rtl/>
        </w:rPr>
        <w:t xml:space="preserve"> אמת [היכן משיגים את האמת של פעם]?! לא הרבי מחזיק ממני, ולא אני מחזיק ממנו – ובכל זאת אנו מבקרים זה את זה’</w:t>
      </w:r>
      <w:bookmarkStart w:id="593" w:name="_fnr342"/>
      <w:r>
        <w:rPr>
          <w:rStyle w:val="a5"/>
        </w:rPr>
        <w:footnoteReference w:id="342" w:customMarkFollows="0"/>
      </w:r>
      <w:bookmarkEnd w:id="593"/>
      <w:r>
        <w:rPr>
          <w:rtl/>
        </w:rPr>
        <w:t>”.</w:t>
      </w:r>
    </w:p>
    <w:p w14:paraId="42A7BF16" w14:textId="77777777" w:rsidR="00AB3647" w:rsidRDefault="00000000" w:rsidP="007923E9">
      <w:pPr>
        <w:spacing w:after="120" w:line="276" w:lineRule="auto"/>
        <w:ind w:firstLine="283"/>
        <w:jc w:val="both"/>
      </w:pPr>
      <w:r>
        <w:rPr>
          <w:rtl/>
        </w:rPr>
        <w:t xml:space="preserve">בעניין מידת האמת של ר׳ </w:t>
      </w:r>
      <w:proofErr w:type="spellStart"/>
      <w:r>
        <w:rPr>
          <w:rtl/>
        </w:rPr>
        <w:t>לייבל׳ה</w:t>
      </w:r>
      <w:proofErr w:type="spellEnd"/>
      <w:r>
        <w:rPr>
          <w:rtl/>
        </w:rPr>
        <w:t xml:space="preserve"> שפירא, סיפר נכד נכדו ר׳ אלחנן שפירא</w:t>
      </w:r>
      <w:bookmarkStart w:id="594" w:name="_fnr343"/>
      <w:r>
        <w:rPr>
          <w:rStyle w:val="a5"/>
        </w:rPr>
        <w:footnoteReference w:id="343" w:customMarkFollows="0"/>
      </w:r>
      <w:bookmarkEnd w:id="594"/>
      <w:r>
        <w:rPr>
          <w:rtl/>
        </w:rPr>
        <w:t xml:space="preserve"> בשם בן נכדתו של ר׳ </w:t>
      </w:r>
      <w:proofErr w:type="spellStart"/>
      <w:r>
        <w:rPr>
          <w:rtl/>
        </w:rPr>
        <w:t>לייבל׳ה</w:t>
      </w:r>
      <w:proofErr w:type="spellEnd"/>
      <w:r>
        <w:rPr>
          <w:rtl/>
        </w:rPr>
        <w:t xml:space="preserve">, ר׳ ישראל ריף, שר׳ ישראל </w:t>
      </w:r>
      <w:proofErr w:type="spellStart"/>
      <w:r>
        <w:rPr>
          <w:rtl/>
        </w:rPr>
        <w:t>סלנטר</w:t>
      </w:r>
      <w:proofErr w:type="spellEnd"/>
      <w:r>
        <w:rPr>
          <w:rtl/>
        </w:rPr>
        <w:t xml:space="preserve"> הספיד את ר׳ </w:t>
      </w:r>
      <w:proofErr w:type="spellStart"/>
      <w:r>
        <w:rPr>
          <w:rtl/>
        </w:rPr>
        <w:t>לייבל׳ה</w:t>
      </w:r>
      <w:proofErr w:type="spellEnd"/>
      <w:r>
        <w:rPr>
          <w:rtl/>
        </w:rPr>
        <w:t xml:space="preserve"> במילים: “הפסוק בספר דניאל</w:t>
      </w:r>
      <w:bookmarkStart w:id="595" w:name="_fnr344"/>
      <w:r>
        <w:rPr>
          <w:rStyle w:val="a5"/>
        </w:rPr>
        <w:footnoteReference w:id="344" w:customMarkFollows="0"/>
      </w:r>
      <w:bookmarkEnd w:id="595"/>
      <w:r>
        <w:rPr>
          <w:rtl/>
        </w:rPr>
        <w:t xml:space="preserve"> מתאר ‘ותשלך אמת ארצה’. ומה שאנו עושים עתה הוא לקבור את ‘האמת’ באדמה”.</w:t>
      </w:r>
    </w:p>
    <w:p w14:paraId="385A8B14" w14:textId="77777777" w:rsidR="00AB3647" w:rsidRDefault="00000000" w:rsidP="007923E9">
      <w:pPr>
        <w:spacing w:after="120" w:line="276" w:lineRule="auto"/>
        <w:ind w:firstLine="283"/>
        <w:jc w:val="both"/>
      </w:pPr>
      <w:r>
        <w:rPr>
          <w:rtl/>
        </w:rPr>
        <w:t xml:space="preserve">עוד אמר ר׳ אלחנן שבמשפחת </w:t>
      </w:r>
      <w:proofErr w:type="spellStart"/>
      <w:r>
        <w:rPr>
          <w:rtl/>
        </w:rPr>
        <w:t>סולובייצ׳יק</w:t>
      </w:r>
      <w:proofErr w:type="spellEnd"/>
      <w:r>
        <w:rPr>
          <w:rtl/>
        </w:rPr>
        <w:t xml:space="preserve"> יש מסורת שר׳ </w:t>
      </w:r>
      <w:proofErr w:type="spellStart"/>
      <w:r>
        <w:rPr>
          <w:rtl/>
        </w:rPr>
        <w:t>לייבל׳ה</w:t>
      </w:r>
      <w:proofErr w:type="spellEnd"/>
      <w:r>
        <w:rPr>
          <w:rtl/>
        </w:rPr>
        <w:t xml:space="preserve"> סירב להניח </w:t>
      </w:r>
      <w:proofErr w:type="spellStart"/>
      <w:r>
        <w:rPr>
          <w:rtl/>
        </w:rPr>
        <w:t>לר</w:t>
      </w:r>
      <w:proofErr w:type="spellEnd"/>
      <w:r>
        <w:rPr>
          <w:rtl/>
        </w:rPr>
        <w:t xml:space="preserve">׳ ישראל לבקרו על ערש דווי, משום שהתנגד לתנועת המוסר של ר׳ ישראל. כששאלוהו: “עד כדי כך אתה מתנגד למוסר, שאינך מניח למנהיג התנועה לבקרך?” – השיב בחיוב. ר׳ אלחנן העיר שאביו, ר׳ </w:t>
      </w:r>
      <w:proofErr w:type="spellStart"/>
      <w:r>
        <w:rPr>
          <w:rtl/>
        </w:rPr>
        <w:t>אליהו־חיים</w:t>
      </w:r>
      <w:proofErr w:type="spellEnd"/>
      <w:r>
        <w:rPr>
          <w:rtl/>
        </w:rPr>
        <w:t xml:space="preserve"> שפירא, לא האמין שסיפור זה אמת. גם אני פקפקתי בו, משום שאילו זו הייתה עמדתו של ר׳ </w:t>
      </w:r>
      <w:proofErr w:type="spellStart"/>
      <w:r>
        <w:rPr>
          <w:rtl/>
        </w:rPr>
        <w:t>לייבל׳ה</w:t>
      </w:r>
      <w:proofErr w:type="spellEnd"/>
      <w:r>
        <w:rPr>
          <w:rtl/>
        </w:rPr>
        <w:t xml:space="preserve"> ברגעיו האחרונים, לא הייתה המשפחה מתירה </w:t>
      </w:r>
      <w:proofErr w:type="spellStart"/>
      <w:r>
        <w:rPr>
          <w:rtl/>
        </w:rPr>
        <w:t>לר</w:t>
      </w:r>
      <w:proofErr w:type="spellEnd"/>
      <w:r>
        <w:rPr>
          <w:rtl/>
        </w:rPr>
        <w:t xml:space="preserve">׳ ישראל להספידו. אבל השווה גם פרק 5, סוף הפסקה השנייה של נספח ב, שהתנגדותו של ר׳ </w:t>
      </w:r>
      <w:proofErr w:type="spellStart"/>
      <w:r>
        <w:rPr>
          <w:rtl/>
        </w:rPr>
        <w:t>לייבל׳ה</w:t>
      </w:r>
      <w:proofErr w:type="spellEnd"/>
      <w:r>
        <w:rPr>
          <w:rtl/>
        </w:rPr>
        <w:t xml:space="preserve"> שפירא למוסר לא מנעה ממנו לנהוג כבוד רב בר׳ ישראל </w:t>
      </w:r>
      <w:proofErr w:type="spellStart"/>
      <w:r>
        <w:rPr>
          <w:rtl/>
        </w:rPr>
        <w:t>סלנטר</w:t>
      </w:r>
      <w:proofErr w:type="spellEnd"/>
      <w:r>
        <w:rPr>
          <w:rtl/>
        </w:rPr>
        <w:t>.</w:t>
      </w:r>
    </w:p>
    <w:p w14:paraId="0496612D" w14:textId="77777777" w:rsidR="00AB3647" w:rsidRDefault="00000000" w:rsidP="007923E9">
      <w:pPr>
        <w:spacing w:after="120" w:line="276" w:lineRule="auto"/>
        <w:ind w:firstLine="283"/>
        <w:jc w:val="both"/>
      </w:pPr>
      <w:r>
        <w:rPr>
          <w:rtl/>
        </w:rPr>
        <w:lastRenderedPageBreak/>
        <w:t xml:space="preserve">מעשה זה שסיפר ר׳ אלחנן נרשם גם בספר “עובדות והנהגות לבית </w:t>
      </w:r>
      <w:proofErr w:type="spellStart"/>
      <w:r>
        <w:rPr>
          <w:rtl/>
        </w:rPr>
        <w:t>בריסק</w:t>
      </w:r>
      <w:proofErr w:type="spellEnd"/>
      <w:r>
        <w:rPr>
          <w:rtl/>
        </w:rPr>
        <w:t xml:space="preserve">” מאת שמעון יוסף מילר</w:t>
      </w:r>
      <w:bookmarkStart w:id="596" w:name="_fnr345"/>
      <w:r>
        <w:rPr>
          <w:rStyle w:val="a5"/>
        </w:rPr>
        <w:footnoteReference w:id="345" w:customMarkFollows="0"/>
      </w:r>
      <w:bookmarkEnd w:id="596"/>
      <w:r>
        <w:rPr>
          <w:rtl/>
        </w:rPr>
        <w:t xml:space="preserve">, כמו שסיפרו ר׳ </w:t>
      </w:r>
      <w:proofErr w:type="spellStart"/>
      <w:r>
        <w:rPr>
          <w:rtl/>
        </w:rPr>
        <w:t>משולם־דוד</w:t>
      </w:r>
      <w:proofErr w:type="spellEnd"/>
      <w:r>
        <w:rPr>
          <w:rtl/>
        </w:rPr>
        <w:t xml:space="preserve"> </w:t>
      </w:r>
      <w:proofErr w:type="spellStart"/>
      <w:r>
        <w:rPr>
          <w:rtl/>
        </w:rPr>
        <w:t>סולובייצ׳יק</w:t>
      </w:r>
      <w:proofErr w:type="spellEnd"/>
      <w:r>
        <w:rPr>
          <w:rtl/>
        </w:rPr>
        <w:t xml:space="preserve"> בשם אביו. חילופי הדברים המדויקים עם ר׳ </w:t>
      </w:r>
      <w:proofErr w:type="spellStart"/>
      <w:r>
        <w:rPr>
          <w:rtl/>
        </w:rPr>
        <w:t>לייבל׳ה</w:t>
      </w:r>
      <w:proofErr w:type="spellEnd"/>
      <w:r>
        <w:rPr>
          <w:rtl/>
        </w:rPr>
        <w:t xml:space="preserve"> הגוסס היו כך: “וכי זו העת לנהל מחלוקת?”, והוא השיב: “אם לא עכשיו, אימתי? הלא בעוד זמן קצר אלך לעולם האמת?!” נמצא שהסיפור מבוסס היטב.</w:t>
      </w:r>
    </w:p>
    <w:p w14:paraId="181AA5D6" w14:textId="77777777" w:rsidR="00AB3647" w:rsidRDefault="00000000" w:rsidP="007923E9">
      <w:pPr>
        <w:spacing w:after="120" w:line="276" w:lineRule="auto"/>
        <w:ind w:firstLine="283"/>
        <w:jc w:val="both"/>
      </w:pPr>
      <w:r>
        <w:rPr>
          <w:rtl/>
        </w:rPr>
        <w:t xml:space="preserve">כשאמר ר׳ ישראל בהספדו שר׳ </w:t>
      </w:r>
      <w:proofErr w:type="spellStart"/>
      <w:r>
        <w:rPr>
          <w:rtl/>
        </w:rPr>
        <w:t>לייבל׳ה</w:t>
      </w:r>
      <w:proofErr w:type="spellEnd"/>
      <w:r>
        <w:rPr>
          <w:rtl/>
        </w:rPr>
        <w:t xml:space="preserve"> שפירא היה התגלמות האמת, ודאי התכוון גם לעקביותו של ר׳ </w:t>
      </w:r>
      <w:proofErr w:type="spellStart"/>
      <w:r>
        <w:rPr>
          <w:rtl/>
        </w:rPr>
        <w:t>לייבל׳ה</w:t>
      </w:r>
      <w:proofErr w:type="spellEnd"/>
      <w:r>
        <w:rPr>
          <w:rtl/>
        </w:rPr>
        <w:t xml:space="preserve"> בהתנגדותו לשיטתו של ר׳ ישראל עצמו. ר׳ ישראל ראה ביריבו איש אמת – אף שהוא טועה – משום שהוא </w:t>
      </w:r>
      <w:r>
        <w:rPr>
          <w:b/>
          <w:bCs/>
          <w:rtl/>
        </w:rPr>
        <w:t>עקבי</w:t>
      </w:r>
      <w:r>
        <w:rPr>
          <w:rtl/>
        </w:rPr>
        <w:t xml:space="preserve"> בהשקפתו (המשובשת). יכולת זו מלמדת שר׳ ישראל עצמו היה דבק באמת בלי פשרות, עד כדי כך שהעריך את מי שהיה איש אמת יותר ממי שהסכים לדרך המוסר שלו. ואומנם ר׳ ישראל נחשב למי שהעריך במיוחד את מידת האמת, ועל כך מעידה השורה שעל מצבתו: “למותו תקונן האמת כי נעדרה”</w:t>
      </w:r>
      <w:bookmarkStart w:id="597" w:name="_fnr346"/>
      <w:bookmarkStart w:id="598" w:name="pr_f_277"/>
      <w:r>
        <w:rPr>
          <w:rStyle w:val="a5"/>
        </w:rPr>
        <w:footnoteReference w:id="346" w:customMarkFollows="0"/>
      </w:r>
      <w:bookmarkEnd w:id="597"/>
      <w:bookmarkEnd w:id="598"/>
      <w:r>
        <w:rPr>
          <w:rtl/>
        </w:rPr>
        <w:t>.</w:t>
      </w:r>
    </w:p>
    <w:p w14:paraId="5158B5D8" w14:textId="77777777" w:rsidR="00AB3647" w:rsidRDefault="00000000" w:rsidP="007923E9">
      <w:pPr>
        <w:pStyle w:val="4"/>
        <w:spacing w:line="276" w:lineRule="auto"/>
      </w:pPr>
      <w:r>
        <w:t>· הפסקה השלישית ·</w:t>
      </w:r>
    </w:p>
    <w:p w14:paraId="5344F4A9" w14:textId="77777777" w:rsidR="00AB3647" w:rsidRDefault="00000000" w:rsidP="007923E9">
      <w:pPr>
        <w:pStyle w:val="5"/>
        <w:spacing w:line="276" w:lineRule="auto"/>
      </w:pPr>
      <w:r>
        <w:t>ייחוס משפחת שיק – רב הונגרי נוהג במנהגי ליטא</w:t>
      </w:r>
    </w:p>
    <w:p w14:paraId="176AE564" w14:textId="77777777" w:rsidR="00AB3647" w:rsidRDefault="00000000" w:rsidP="007923E9">
      <w:pPr>
        <w:spacing w:after="120" w:line="276" w:lineRule="auto"/>
        <w:ind w:firstLine="283"/>
        <w:jc w:val="both"/>
      </w:pPr>
      <w:proofErr w:type="spellStart"/>
      <w:r>
        <w:rPr>
          <w:rtl/>
        </w:rPr>
        <w:t>המהר״ם</w:t>
      </w:r>
      <w:proofErr w:type="spellEnd"/>
      <w:r>
        <w:rPr>
          <w:rtl/>
        </w:rPr>
        <w:t xml:space="preserve"> שיק, רב </w:t>
      </w:r>
      <w:proofErr w:type="spellStart"/>
      <w:r>
        <w:rPr>
          <w:rtl/>
        </w:rPr>
        <w:t>חוסט</w:t>
      </w:r>
      <w:proofErr w:type="spellEnd"/>
      <w:r>
        <w:rPr>
          <w:rtl/>
        </w:rPr>
        <w:t xml:space="preserve">, מגדולי תלמידיו של </w:t>
      </w:r>
      <w:proofErr w:type="spellStart"/>
      <w:r>
        <w:rPr>
          <w:rtl/>
        </w:rPr>
        <w:t>החתם־סופר</w:t>
      </w:r>
      <w:proofErr w:type="spellEnd"/>
      <w:r>
        <w:rPr>
          <w:rtl/>
        </w:rPr>
        <w:t xml:space="preserve">, היה בן דודו של ר׳ אליהו בדרגה השלישית. אביהם הקדמון המשותף היה ר׳ </w:t>
      </w:r>
      <w:proofErr w:type="spellStart"/>
      <w:r>
        <w:rPr>
          <w:rtl/>
        </w:rPr>
        <w:t>חנוך־העניך</w:t>
      </w:r>
      <w:proofErr w:type="spellEnd"/>
      <w:r>
        <w:rPr>
          <w:rtl/>
        </w:rPr>
        <w:t xml:space="preserve"> שיק, רב העיר הבלארוסית שקלוב. המשפחה ייחסה את עצמה </w:t>
      </w:r>
      <w:proofErr w:type="spellStart"/>
      <w:r>
        <w:rPr>
          <w:rtl/>
        </w:rPr>
        <w:t>לר</w:t>
      </w:r>
      <w:proofErr w:type="spellEnd"/>
      <w:r>
        <w:rPr>
          <w:rtl/>
        </w:rPr>
        <w:t xml:space="preserve">׳ </w:t>
      </w:r>
      <w:proofErr w:type="spellStart"/>
      <w:r>
        <w:rPr>
          <w:rtl/>
        </w:rPr>
        <w:t>יום־טוב־ליפמן</w:t>
      </w:r>
      <w:proofErr w:type="spellEnd"/>
      <w:r>
        <w:rPr>
          <w:rtl/>
        </w:rPr>
        <w:t xml:space="preserve"> </w:t>
      </w:r>
      <w:proofErr w:type="spellStart"/>
      <w:r>
        <w:rPr>
          <w:rtl/>
        </w:rPr>
        <w:t xml:space="preserve">וולרשטיין־הלר</w:t>
      </w:r>
      <w:proofErr w:type="spellEnd"/>
      <w:r>
        <w:rPr>
          <w:rtl/>
        </w:rPr>
        <w:t>, בעל “תוספות יום טוב”</w:t>
      </w:r>
      <w:bookmarkStart w:id="599" w:name="_fnr347"/>
      <w:r>
        <w:rPr>
          <w:rStyle w:val="a5"/>
        </w:rPr>
        <w:footnoteReference w:id="347" w:customMarkFollows="0"/>
      </w:r>
      <w:bookmarkEnd w:id="599"/>
      <w:r>
        <w:rPr>
          <w:rtl/>
        </w:rPr>
        <w:t xml:space="preserve">, </w:t>
      </w:r>
      <w:proofErr w:type="spellStart"/>
      <w:r>
        <w:rPr>
          <w:rtl/>
        </w:rPr>
        <w:t>לר</w:t>
      </w:r>
      <w:proofErr w:type="spellEnd"/>
      <w:r>
        <w:rPr>
          <w:rtl/>
        </w:rPr>
        <w:t xml:space="preserve">׳ שאול </w:t>
      </w:r>
      <w:proofErr w:type="spellStart"/>
      <w:r>
        <w:rPr>
          <w:rtl/>
        </w:rPr>
        <w:t>וואהל</w:t>
      </w:r>
      <w:proofErr w:type="spellEnd"/>
      <w:r>
        <w:rPr>
          <w:rtl/>
        </w:rPr>
        <w:t xml:space="preserve"> ולרש״י. משפחת שיק קרויה על שם ראשי התיבות של אבי המשפחה, ר׳ </w:t>
      </w:r>
      <w:proofErr w:type="spellStart"/>
      <w:r>
        <w:rPr>
          <w:rtl/>
        </w:rPr>
        <w:t>שמואל־יהודה</w:t>
      </w:r>
      <w:proofErr w:type="spellEnd"/>
      <w:r>
        <w:rPr>
          <w:rtl/>
        </w:rPr>
        <w:t xml:space="preserve"> </w:t>
      </w:r>
      <w:proofErr w:type="spellStart"/>
      <w:r>
        <w:rPr>
          <w:rtl/>
        </w:rPr>
        <w:t>קצנלנבוגן</w:t>
      </w:r>
      <w:proofErr w:type="spellEnd"/>
      <w:r>
        <w:rPr>
          <w:rtl/>
        </w:rPr>
        <w:t xml:space="preserve">, חתנו של נכד </w:t>
      </w:r>
      <w:proofErr w:type="spellStart"/>
      <w:r>
        <w:rPr>
          <w:rtl/>
        </w:rPr>
        <w:t>ה“תוספות</w:t>
      </w:r>
      <w:proofErr w:type="spellEnd"/>
      <w:r>
        <w:rPr>
          <w:rtl/>
        </w:rPr>
        <w:t xml:space="preserve"> יום טוב”, שהיה גם נכדו של ר׳ שאול </w:t>
      </w:r>
      <w:proofErr w:type="spellStart"/>
      <w:r>
        <w:rPr>
          <w:rtl/>
        </w:rPr>
        <w:t>וואהל</w:t>
      </w:r>
      <w:bookmarkStart w:id="600" w:name="_fnr348"/>
      <w:proofErr w:type="spellEnd"/>
      <w:r>
        <w:rPr>
          <w:rStyle w:val="a5"/>
        </w:rPr>
        <w:footnoteReference w:id="348" w:customMarkFollows="0"/>
      </w:r>
      <w:bookmarkEnd w:id="600"/>
      <w:r>
        <w:rPr>
          <w:rtl/>
        </w:rPr>
        <w:t xml:space="preserve">. </w:t>
      </w:r>
      <w:proofErr w:type="spellStart"/>
      <w:r>
        <w:rPr>
          <w:rtl/>
        </w:rPr>
        <w:t>אמם</w:t>
      </w:r>
      <w:proofErr w:type="spellEnd"/>
      <w:r>
        <w:rPr>
          <w:rtl/>
        </w:rPr>
        <w:t xml:space="preserve"> של ר׳ אליהו שיק ושל אחותו (שהייתה סבתה של סבתו של רבנו) הייתה מצאצאי </w:t>
      </w:r>
      <w:proofErr w:type="spellStart"/>
      <w:r>
        <w:rPr>
          <w:rtl/>
        </w:rPr>
        <w:t>המהרש״א</w:t>
      </w:r>
      <w:proofErr w:type="spellEnd"/>
      <w:r>
        <w:rPr>
          <w:rtl/>
        </w:rPr>
        <w:t xml:space="preserve"> וחתנו, בעל “</w:t>
      </w:r>
      <w:proofErr w:type="spellStart"/>
      <w:r>
        <w:rPr>
          <w:rtl/>
        </w:rPr>
        <w:t>מהדורא</w:t>
      </w:r>
      <w:proofErr w:type="spellEnd"/>
      <w:r>
        <w:rPr>
          <w:rtl/>
        </w:rPr>
        <w:t xml:space="preserve"> </w:t>
      </w:r>
      <w:proofErr w:type="spellStart"/>
      <w:r>
        <w:rPr>
          <w:rtl/>
        </w:rPr>
        <w:t>בתרא</w:t>
      </w:r>
      <w:proofErr w:type="spellEnd"/>
      <w:r>
        <w:rPr>
          <w:rtl/>
        </w:rPr>
        <w:t>”</w:t>
      </w:r>
      <w:bookmarkStart w:id="601" w:name="_fnr349"/>
      <w:r>
        <w:rPr>
          <w:rStyle w:val="a5"/>
        </w:rPr>
        <w:footnoteReference w:id="349" w:customMarkFollows="0"/>
      </w:r>
      <w:bookmarkEnd w:id="601"/>
      <w:r>
        <w:rPr>
          <w:rtl/>
        </w:rPr>
        <w:t>.</w:t>
      </w:r>
    </w:p>
    <w:p w14:paraId="7AEEF9AD" w14:textId="77777777" w:rsidR="00AB3647" w:rsidRDefault="00000000" w:rsidP="007923E9">
      <w:pPr>
        <w:spacing w:after="120" w:line="276" w:lineRule="auto"/>
        <w:ind w:firstLine="283"/>
        <w:jc w:val="both"/>
      </w:pPr>
      <w:r>
        <w:rPr>
          <w:rtl/>
        </w:rPr>
        <w:t xml:space="preserve">אבי אמר פעם שיהודי העיר ההונגרית </w:t>
      </w:r>
      <w:proofErr w:type="spellStart"/>
      <w:r>
        <w:rPr>
          <w:rtl/>
        </w:rPr>
        <w:t>חוסט</w:t>
      </w:r>
      <w:proofErr w:type="spellEnd"/>
      <w:r>
        <w:rPr>
          <w:rtl/>
        </w:rPr>
        <w:t xml:space="preserve"> תמהו על כמה ממנהגיו של </w:t>
      </w:r>
      <w:proofErr w:type="spellStart"/>
      <w:r>
        <w:rPr>
          <w:rtl/>
        </w:rPr>
        <w:t>המהר״ם</w:t>
      </w:r>
      <w:proofErr w:type="spellEnd"/>
      <w:r>
        <w:rPr>
          <w:rtl/>
        </w:rPr>
        <w:t xml:space="preserve"> שיק</w:t>
      </w:r>
      <w:bookmarkStart w:id="602" w:name="_fnr350"/>
      <w:r>
        <w:rPr>
          <w:rStyle w:val="a5"/>
        </w:rPr>
        <w:footnoteReference w:id="350" w:customMarkFollows="0"/>
      </w:r>
      <w:bookmarkEnd w:id="602"/>
      <w:r>
        <w:rPr>
          <w:rtl/>
        </w:rPr>
        <w:t>. הם לא ידעו שהמנהגים הגיעו לרבם מאבי סבו, שמוצאו היה בארץ שבה רווחו מנהגים אלה – ליטא.</w:t>
      </w:r>
    </w:p>
    <w:bookmarkStart w:id="603" w:name="b1_excC"/>
    <w:p w14:paraId="3CED6592" w14:textId="77777777" w:rsidR="00AB3647" w:rsidRDefault="00000000" w:rsidP="007923E9">
      <w:pPr>
        <w:pStyle w:val="3"/>
        <w:spacing w:line="276" w:lineRule="auto"/>
      </w:pPr>
      <w:r>
        <w:lastRenderedPageBreak/>
        <w:fldChar w:fldCharType="begin" w:dirty="true"/>
      </w:r>
      <w:r>
        <w:rPr>
          <w:rtl w:val="0"/>
        </w:rPr>
        <w:instrText>HYPERLINK \l "b1_note53</w:instrText>
      </w:r>
      <w:r>
        <w:instrText>"</w:instrText>
      </w:r>
      <w:r>
        <w:fldChar w:fldCharType="separate"/>
      </w:r>
      <w:r>
        <w:t>נספח ג</w:t>
      </w:r>
      <w:r>
        <w:fldChar w:fldCharType="end"/>
      </w:r>
      <w:bookmarkEnd w:id="603"/>
    </w:p>
    <w:p w14:paraId="7A5E7876" w14:textId="77777777" w:rsidR="00AB3647" w:rsidRDefault="00000000" w:rsidP="007923E9">
      <w:pPr>
        <w:pStyle w:val="af"/>
        <w:spacing w:line="276" w:lineRule="auto"/>
      </w:pPr>
      <w:r>
        <w:t>על הליכה לבתי המדרש בערי ליטא בלילות שבת ובהשכמת בוקר השבת</w:t>
      </w:r>
    </w:p>
    <w:p w14:paraId="154052B0" w14:textId="77777777" w:rsidR="00AB3647" w:rsidRDefault="00000000" w:rsidP="007923E9">
      <w:pPr>
        <w:pStyle w:val="4"/>
        <w:spacing w:line="276" w:lineRule="auto"/>
      </w:pPr>
      <w:r>
        <w:t>· הפסקה הראשונה ·</w:t>
      </w:r>
    </w:p>
    <w:p w14:paraId="5FB0DB50" w14:textId="77777777" w:rsidR="00AB3647" w:rsidRDefault="00000000" w:rsidP="007923E9">
      <w:pPr>
        <w:pStyle w:val="5"/>
        <w:spacing w:line="276" w:lineRule="auto"/>
      </w:pPr>
      <w:r>
        <w:t>הטעם לתפילה המאוחרת בבוקר שבת – הגאונים מתארים את צימאונם של גולי בבל לתורה – רבנו מנסה להביא את יהודי טורונטו לבית המדרש ללמוד תורה בשבת</w:t>
      </w:r>
    </w:p>
    <w:p w14:paraId="1EDA80CE" w14:textId="77777777" w:rsidR="00AB3647" w:rsidRDefault="00000000" w:rsidP="007923E9">
      <w:pPr>
        <w:spacing w:after="120" w:line="276" w:lineRule="auto"/>
        <w:ind w:firstLine="283"/>
        <w:jc w:val="both"/>
      </w:pPr>
      <w:r>
        <w:rPr>
          <w:rtl/>
        </w:rPr>
        <w:t>“</w:t>
      </w:r>
      <w:proofErr w:type="spellStart"/>
      <w:r>
        <w:rPr>
          <w:rtl/>
        </w:rPr>
        <w:t>זכרון</w:t>
      </w:r>
      <w:proofErr w:type="spellEnd"/>
      <w:r>
        <w:rPr>
          <w:rtl/>
        </w:rPr>
        <w:t xml:space="preserve"> יעקב”</w:t>
      </w:r>
      <w:bookmarkStart w:id="604" w:name="_fnr351"/>
      <w:r>
        <w:rPr>
          <w:rStyle w:val="a5"/>
        </w:rPr>
        <w:footnoteReference w:id="351" w:customMarkFollows="0"/>
      </w:r>
      <w:bookmarkEnd w:id="604"/>
      <w:r>
        <w:rPr>
          <w:rtl/>
        </w:rPr>
        <w:t xml:space="preserve"> כותב שזה היה המנהג הרווח בעיירות ליטא בימי נעוריו של אותו מחבר, ארבעים שנה לפני ימי נעוריו של אבי. כשתיאר אבי את לילות השבת </w:t>
      </w:r>
      <w:proofErr w:type="spellStart"/>
      <w:r>
        <w:rPr>
          <w:rtl/>
        </w:rPr>
        <w:t>בדולהינוב</w:t>
      </w:r>
      <w:proofErr w:type="spellEnd"/>
      <w:r>
        <w:rPr>
          <w:rtl/>
        </w:rPr>
        <w:t xml:space="preserve">, אמר שרב </w:t>
      </w:r>
      <w:proofErr w:type="spellStart"/>
      <w:r>
        <w:rPr>
          <w:rtl/>
        </w:rPr>
        <w:t>נטרונאי</w:t>
      </w:r>
      <w:proofErr w:type="spellEnd"/>
      <w:r>
        <w:rPr>
          <w:rtl/>
        </w:rPr>
        <w:t xml:space="preserve"> גאון כותב שכאשר גלו ישראל לבבל, התאוננו שיש להם פחות זמן ללמוד תורה מאשר בארץ ישראל, והנביאים שביניהם תיקנו שילמדו בלילות שבת מחצות ואילך. רב </w:t>
      </w:r>
      <w:proofErr w:type="spellStart"/>
      <w:r>
        <w:rPr>
          <w:rtl/>
        </w:rPr>
        <w:t>נטרונאי</w:t>
      </w:r>
      <w:proofErr w:type="spellEnd"/>
      <w:r>
        <w:rPr>
          <w:rtl/>
        </w:rPr>
        <w:t xml:space="preserve"> הביא תקנה עתיקה זו כטעם למנהג להתחיל את התפילה בבוקר שבת מאוחר יותר מבימות החול: האנשים היו שקועים כל כך בלימודם, שלא עברו לתפילה עד שנאלצו לכך מפני קרבת סוף זמן קריאת שמע</w:t>
      </w:r>
      <w:bookmarkStart w:id="605" w:name="_fnr352"/>
      <w:r>
        <w:rPr>
          <w:rStyle w:val="a5"/>
        </w:rPr>
        <w:footnoteReference w:id="352" w:customMarkFollows="0"/>
      </w:r>
      <w:bookmarkEnd w:id="605"/>
      <w:r>
        <w:rPr>
          <w:rtl/>
        </w:rPr>
        <w:t>.</w:t>
      </w:r>
    </w:p>
    <w:p w14:paraId="3F8C122A" w14:textId="77777777" w:rsidR="00AB3647" w:rsidRDefault="00000000" w:rsidP="007923E9">
      <w:pPr>
        <w:spacing w:after="120" w:line="276" w:lineRule="auto"/>
        <w:ind w:firstLine="283"/>
        <w:jc w:val="both"/>
      </w:pPr>
      <w:r>
        <w:rPr>
          <w:rtl/>
        </w:rPr>
        <w:t xml:space="preserve">טעם זה לתפילה המאוחרת בשבת שונה מזה שמביא </w:t>
      </w:r>
      <w:proofErr w:type="spellStart"/>
      <w:r>
        <w:rPr>
          <w:rtl/>
        </w:rPr>
        <w:t>הרמ״א</w:t>
      </w:r>
      <w:proofErr w:type="spellEnd"/>
      <w:r>
        <w:rPr>
          <w:rtl/>
        </w:rPr>
        <w:t xml:space="preserve"> </w:t>
      </w:r>
      <w:proofErr w:type="spellStart"/>
      <w:r>
        <w:rPr>
          <w:rtl/>
        </w:rPr>
        <w:t>בשו״ע</w:t>
      </w:r>
      <w:proofErr w:type="spellEnd"/>
      <w:r>
        <w:rPr>
          <w:rtl/>
        </w:rPr>
        <w:t xml:space="preserve"> </w:t>
      </w:r>
      <w:proofErr w:type="spellStart"/>
      <w:r>
        <w:rPr>
          <w:rtl/>
        </w:rPr>
        <w:t>או״ח</w:t>
      </w:r>
      <w:proofErr w:type="spellEnd"/>
      <w:r>
        <w:rPr>
          <w:rtl/>
        </w:rPr>
        <w:t xml:space="preserve"> סי׳ רפ״א, שאף הוא מתקופת הגאונים. מקור דבריו של אבי הוא בקובץ תשובות הגאונים, הוצאת ליק</w:t>
      </w:r>
      <w:bookmarkStart w:id="606" w:name="_fnr353"/>
      <w:r>
        <w:rPr>
          <w:rStyle w:val="a5"/>
        </w:rPr>
        <w:footnoteReference w:id="353" w:customMarkFollows="0"/>
      </w:r>
      <w:bookmarkEnd w:id="606"/>
      <w:r>
        <w:rPr>
          <w:rtl/>
        </w:rPr>
        <w:t xml:space="preserve">, מדברי רב </w:t>
      </w:r>
      <w:proofErr w:type="spellStart"/>
      <w:r>
        <w:rPr>
          <w:rtl/>
        </w:rPr>
        <w:t>נטרונאי</w:t>
      </w:r>
      <w:proofErr w:type="spellEnd"/>
      <w:r>
        <w:rPr>
          <w:rtl/>
        </w:rPr>
        <w:t xml:space="preserve"> לרב שמואל הנגיד</w:t>
      </w:r>
      <w:bookmarkStart w:id="607" w:name="_fnr354"/>
      <w:bookmarkEnd w:id="607"/>
      <w:r>
        <w:rPr>
          <w:rStyle w:val="a5"/>
        </w:rPr>
        <w:t/>
      </w:r>
      <w:bookmarkStart w:id="6992" w:name="_TranslatorNote_354"/>
      <w:r>
        <w:rPr>
          <w:rStyle w:val="a5"/>
          <w:vertAlign w:val="superscript"/>
          <w:rtl/>
        </w:rPr>
        <w:footnoteReference w:id="354" w:customMarkFollows="1"/>
        <w:t>*</w:t>
      </w:r>
      <w:bookmarkEnd w:id="6992"/>
      <w:r>
        <w:rPr>
          <w:rtl/>
        </w:rPr>
        <w:t xml:space="preserve">: וששאלתם שיש בתי כנסיות שמתקבצים הצבור ואומרים פרשיות שבספר תהלים בשבת ויו״ט, ובר״ה ויוה״כ </w:t>
      </w:r>
      <w:proofErr w:type="spellStart"/>
      <w:r>
        <w:rPr>
          <w:rtl/>
        </w:rPr>
        <w:t>מוסיפין</w:t>
      </w:r>
      <w:proofErr w:type="spellEnd"/>
      <w:r>
        <w:rPr>
          <w:rtl/>
        </w:rPr>
        <w:t xml:space="preserve"> פרשיות, ועד שהציבור </w:t>
      </w:r>
      <w:proofErr w:type="spellStart"/>
      <w:r>
        <w:rPr>
          <w:rtl/>
        </w:rPr>
        <w:t>מזמרין</w:t>
      </w:r>
      <w:proofErr w:type="spellEnd"/>
      <w:r>
        <w:rPr>
          <w:rtl/>
        </w:rPr>
        <w:t xml:space="preserve"> </w:t>
      </w:r>
      <w:proofErr w:type="spellStart"/>
      <w:r>
        <w:rPr>
          <w:rtl/>
        </w:rPr>
        <w:t>מתחילין</w:t>
      </w:r>
      <w:proofErr w:type="spellEnd"/>
      <w:r>
        <w:rPr>
          <w:rtl/>
        </w:rPr>
        <w:t xml:space="preserve"> תלמידים </w:t>
      </w:r>
      <w:proofErr w:type="spellStart"/>
      <w:r>
        <w:rPr>
          <w:rtl/>
        </w:rPr>
        <w:t>ועוסקין</w:t>
      </w:r>
      <w:proofErr w:type="spellEnd"/>
      <w:r>
        <w:rPr>
          <w:rtl/>
        </w:rPr>
        <w:t xml:space="preserve"> בתורה עד קרוב לב׳ שעות ואח״כ </w:t>
      </w:r>
      <w:proofErr w:type="spellStart"/>
      <w:r>
        <w:rPr>
          <w:rtl/>
        </w:rPr>
        <w:t>מתפללין</w:t>
      </w:r>
      <w:proofErr w:type="spellEnd"/>
      <w:r>
        <w:rPr>
          <w:rtl/>
        </w:rPr>
        <w:t xml:space="preserve">, מהו לעשות כן מאחר שהגיע זמן ק״ש, מותר להתחיל ולשנות קודם שקבל עליו מלכות שמים, או לא. [תשובה:] כך הראונו מן השמים, שישראל </w:t>
      </w:r>
      <w:proofErr w:type="spellStart"/>
      <w:r>
        <w:rPr>
          <w:rtl/>
        </w:rPr>
        <w:t>שמשכימין</w:t>
      </w:r>
      <w:proofErr w:type="spellEnd"/>
      <w:r>
        <w:rPr>
          <w:rtl/>
        </w:rPr>
        <w:t xml:space="preserve"> ובאין בבית הכנסת בשבתות ביו״ט ולומדים, מדה יפה הן </w:t>
      </w:r>
      <w:proofErr w:type="spellStart"/>
      <w:r>
        <w:rPr>
          <w:rtl/>
        </w:rPr>
        <w:t>עושין</w:t>
      </w:r>
      <w:proofErr w:type="spellEnd"/>
      <w:r>
        <w:rPr>
          <w:rtl/>
        </w:rPr>
        <w:t xml:space="preserve">, וכך מנהג בבבל </w:t>
      </w:r>
      <w:proofErr w:type="spellStart"/>
      <w:r>
        <w:rPr>
          <w:rtl/>
        </w:rPr>
        <w:t>מתחלת</w:t>
      </w:r>
      <w:proofErr w:type="spellEnd"/>
      <w:r>
        <w:rPr>
          <w:rtl/>
        </w:rPr>
        <w:t xml:space="preserve"> גלות ראשונה, שכיון שגלו לבבל ונמעט התלמוד ובטלו המלמדים מצער גלות, </w:t>
      </w:r>
      <w:proofErr w:type="spellStart"/>
      <w:r>
        <w:rPr>
          <w:rtl/>
        </w:rPr>
        <w:t>נתקבצו</w:t>
      </w:r>
      <w:proofErr w:type="spellEnd"/>
      <w:r>
        <w:rPr>
          <w:rtl/>
        </w:rPr>
        <w:t xml:space="preserve"> בני ישראל אצל נביאים ובעלי תורה, אמרו להם אנו אין בידינו לא משנה ולא תלמוד ללמוד בלילה, ויש עלינו טורח מחיה ופרנסה, בשבתות ויו״ט </w:t>
      </w:r>
      <w:proofErr w:type="spellStart"/>
      <w:r>
        <w:rPr>
          <w:rtl/>
        </w:rPr>
        <w:t>מיהא</w:t>
      </w:r>
      <w:proofErr w:type="spellEnd"/>
      <w:r>
        <w:rPr>
          <w:rtl/>
        </w:rPr>
        <w:t xml:space="preserve"> שיש לנו פנאי נשב בטלים ונישן כל הלילה? תקנו להשכים לבית הכנסת ולומדים עד שחרית, והסמיכו על מנהג דוד המלך ע״ה, שאמר [</w:t>
      </w:r>
      <w:proofErr w:type="spellStart"/>
      <w:r>
        <w:rPr>
          <w:rtl/>
        </w:rPr>
        <w:t>בתמניא</w:t>
      </w:r>
      <w:proofErr w:type="spellEnd"/>
      <w:r>
        <w:rPr>
          <w:rtl/>
        </w:rPr>
        <w:t xml:space="preserve"> אפי] חצות לילה אקום להודות לך.</w:t>
      </w:r>
    </w:p>
    <w:p w14:paraId="7BA198FD" w14:textId="77777777" w:rsidR="00AB3647" w:rsidRDefault="00000000" w:rsidP="007923E9">
      <w:pPr>
        <w:spacing w:after="120" w:line="276" w:lineRule="auto"/>
        <w:ind w:firstLine="283"/>
        <w:jc w:val="both"/>
      </w:pPr>
      <w:r>
        <w:rPr>
          <w:rtl/>
        </w:rPr>
        <w:t xml:space="preserve">ר׳ פרץ </w:t>
      </w:r>
      <w:proofErr w:type="spellStart"/>
      <w:r>
        <w:rPr>
          <w:rtl/>
        </w:rPr>
        <w:t>פוזן</w:t>
      </w:r>
      <w:bookmarkStart w:id="608" w:name="_fnr355"/>
      <w:proofErr w:type="spellEnd"/>
      <w:r>
        <w:rPr>
          <w:rStyle w:val="a5"/>
        </w:rPr>
        <w:footnoteReference w:id="355" w:customMarkFollows="0"/>
      </w:r>
      <w:bookmarkEnd w:id="608"/>
      <w:r>
        <w:rPr>
          <w:rtl/>
        </w:rPr>
        <w:t xml:space="preserve"> זכר נאום רועם שנשא רבנו בטורונטו בשביעי של פסח. רבנו נהג לדרוש באריכות בסוף כל יום טוב ראשון, כדי שהנשים לא יתחילו לבשל את סעודת בעליהן לפני צאת הכוכבים, בשעה שהדבר אסור על פי ההלכה.</w:t>
      </w:r>
    </w:p>
    <w:p w14:paraId="017729E9" w14:textId="77777777" w:rsidR="00AB3647" w:rsidRDefault="00000000" w:rsidP="007923E9">
      <w:pPr>
        <w:spacing w:after="120" w:line="276" w:lineRule="auto"/>
        <w:ind w:firstLine="283"/>
        <w:jc w:val="both"/>
      </w:pPr>
      <w:r>
        <w:rPr>
          <w:rtl/>
        </w:rPr>
        <w:lastRenderedPageBreak/>
        <w:t xml:space="preserve">הוא אמר: “מדוע יש מחללי שבת ברחוב </w:t>
      </w:r>
      <w:proofErr w:type="spellStart"/>
      <w:r>
        <w:rPr>
          <w:rtl/>
        </w:rPr>
        <w:t>קנזינגטון</w:t>
      </w:r>
      <w:proofErr w:type="spellEnd"/>
      <w:r>
        <w:rPr>
          <w:rtl/>
        </w:rPr>
        <w:t xml:space="preserve">” – זה היה אזור עגלות הרוכלים במרכז טורונטו – “ואין מחללי יום כיפור? ביום כיפור פשוט אינם יכולים להשאיר את חנויותיהם פתוחות כשבמרחק כמה רחובות עומדים יהודים בתפילה כל היום. אילו הייתה השבת בעינינו כיום כיפור, לא היו מחללים גם את השבת. אני ‘מתיר’ לכם לעשות קידוש כשאתם באים הביתה מבית הכנסת, על יין, ולא על יי״ש” – שהיה מנהגם החסידי של יהודי טורונטו – “כדי שלא תהיו כל כך ישנוניים. אחרי האוכל אפשר לנוח מעט, אבל לא כל היום. אחרי חורבן בית ראשון אמרו היהודים לנביאים שבארץ ישראל היה להם זמן ללמוד, ובבבל אין; הם אמרו: ‘נישן כל הלילה בשבתות?!’ הם ביקשו, וקיבלו, רשות לקום אחרי חצות וללמוד תורה, ולהתחיל להתפלל מעט מאוחר יותר בבוקר. אנו הגענו למצב שעלינו לשאול את עצמנו: נישן כל </w:t>
      </w:r>
      <w:r>
        <w:rPr>
          <w:b/>
          <w:bCs/>
          <w:rtl/>
        </w:rPr>
        <w:t>היום</w:t>
      </w:r>
      <w:r>
        <w:rPr>
          <w:rtl/>
        </w:rPr>
        <w:t xml:space="preserve">?! מי שיכול – יפתח גמרא, ומי שאינו יכול – יאמר תהלים. תראו כיצד תדלג הקדושה </w:t>
      </w:r>
      <w:proofErr w:type="spellStart"/>
      <w:r>
        <w:rPr>
          <w:rtl/>
        </w:rPr>
        <w:t>לקנזינגטון</w:t>
      </w:r>
      <w:proofErr w:type="spellEnd"/>
      <w:r>
        <w:rPr>
          <w:rtl/>
        </w:rPr>
        <w:t>”.</w:t>
      </w:r>
    </w:p>
    <w:p w14:paraId="538F76D5" w14:textId="77777777" w:rsidR="00AB3647" w:rsidRDefault="00000000" w:rsidP="007923E9">
      <w:pPr>
        <w:spacing w:after="120" w:line="276" w:lineRule="auto"/>
        <w:ind w:firstLine="283"/>
        <w:jc w:val="both"/>
      </w:pPr>
      <w:r>
        <w:rPr>
          <w:rtl/>
        </w:rPr>
        <w:t>השווה גם “</w:t>
      </w:r>
      <w:proofErr w:type="spellStart"/>
      <w:r>
        <w:rPr>
          <w:rtl/>
        </w:rPr>
        <w:t>זכרון</w:t>
      </w:r>
      <w:proofErr w:type="spellEnd"/>
      <w:r>
        <w:rPr>
          <w:rtl/>
        </w:rPr>
        <w:t xml:space="preserve"> יעקב”</w:t>
      </w:r>
      <w:bookmarkStart w:id="609" w:name="_fnr356"/>
      <w:r>
        <w:rPr>
          <w:rStyle w:val="a5"/>
        </w:rPr>
        <w:footnoteReference w:id="356" w:customMarkFollows="0"/>
      </w:r>
      <w:bookmarkEnd w:id="609"/>
      <w:r>
        <w:rPr>
          <w:rtl/>
        </w:rPr>
        <w:t xml:space="preserve">, </w:t>
      </w:r>
      <w:proofErr w:type="spellStart"/>
      <w:r>
        <w:rPr>
          <w:rtl/>
        </w:rPr>
        <w:t>שבתארו</w:t>
      </w:r>
      <w:proofErr w:type="spellEnd"/>
      <w:r>
        <w:rPr>
          <w:rtl/>
        </w:rPr>
        <w:t xml:space="preserve"> את השבת בעיירה הוא כותב: “הולכים הביתה ומקדשים על היין – אך אינם מחללים את קדושת היום בשכרות. שמחים במטעמים הרבים שהוכנו בערב שבת – הם, נשיהם וילדיהם, </w:t>
      </w:r>
      <w:proofErr w:type="spellStart"/>
      <w:r>
        <w:rPr>
          <w:rtl/>
        </w:rPr>
        <w:t>וה‘אורים־בחור</w:t>
      </w:r>
      <w:proofErr w:type="spellEnd"/>
      <w:r>
        <w:rPr>
          <w:rtl/>
        </w:rPr>
        <w:t>’</w:t>
      </w:r>
      <w:bookmarkStart w:id="610" w:name="_fnr357"/>
      <w:bookmarkStart w:id="611" w:name="pr_f_287"/>
      <w:r>
        <w:rPr>
          <w:rStyle w:val="a5"/>
        </w:rPr>
        <w:footnoteReference w:id="357" w:customMarkFollows="0"/>
      </w:r>
      <w:bookmarkEnd w:id="610"/>
      <w:bookmarkEnd w:id="611"/>
      <w:r>
        <w:rPr>
          <w:rtl/>
        </w:rPr>
        <w:t xml:space="preserve"> או העובר והשב. ונחים על מיטותיהם מעט בשנת </w:t>
      </w:r>
      <w:proofErr w:type="spellStart"/>
      <w:r>
        <w:rPr>
          <w:rtl/>
        </w:rPr>
        <w:t>צהריים</w:t>
      </w:r>
      <w:proofErr w:type="spellEnd"/>
      <w:r>
        <w:rPr>
          <w:rtl/>
        </w:rPr>
        <w:t>, שגם היא נחשבת מעונג שבת, וחוזרים לבית המדרש ללמוד תורה”.</w:t>
      </w:r>
    </w:p>
    <w:p w14:paraId="41CEA325" w14:textId="77777777" w:rsidR="00AB3647" w:rsidRDefault="00000000" w:rsidP="007923E9">
      <w:pPr>
        <w:pStyle w:val="4"/>
        <w:spacing w:line="276" w:lineRule="auto"/>
      </w:pPr>
      <w:r>
        <w:t>· הפסקה השנייה ·</w:t>
      </w:r>
    </w:p>
    <w:p w14:paraId="2F55989C" w14:textId="77777777" w:rsidR="00AB3647" w:rsidRDefault="00000000" w:rsidP="007923E9">
      <w:pPr>
        <w:pStyle w:val="5"/>
        <w:spacing w:line="276" w:lineRule="auto"/>
      </w:pPr>
      <w:r>
        <w:t xml:space="preserve">לילות שבת בעיר הולדתו של ר׳ </w:t>
      </w:r>
      <w:proofErr w:type="spellStart"/>
      <w:r>
        <w:t>אלעזר־מנחם־מן</w:t>
      </w:r>
      <w:proofErr w:type="spellEnd"/>
      <w:r>
        <w:t xml:space="preserve"> שך, </w:t>
      </w:r>
      <w:proofErr w:type="spellStart"/>
      <w:r>
        <w:t>וואבולניק</w:t>
      </w:r>
      <w:proofErr w:type="spellEnd"/>
      <w:r>
        <w:t xml:space="preserve"> – לילות שבת בעיר הולדתו של ר׳ </w:t>
      </w:r>
      <w:proofErr w:type="spellStart"/>
      <w:r>
        <w:t>אליהו־אליעזר</w:t>
      </w:r>
      <w:proofErr w:type="spellEnd"/>
      <w:r>
        <w:t xml:space="preserve"> </w:t>
      </w:r>
      <w:proofErr w:type="spellStart"/>
      <w:r>
        <w:t>דסלר</w:t>
      </w:r>
      <w:proofErr w:type="spellEnd"/>
      <w:r>
        <w:t xml:space="preserve">, </w:t>
      </w:r>
      <w:proofErr w:type="spellStart"/>
      <w:r>
        <w:t>הומל</w:t>
      </w:r>
      <w:proofErr w:type="spellEnd"/>
    </w:p>
    <w:p w14:paraId="01CC6E2B" w14:textId="77777777" w:rsidR="00AB3647" w:rsidRDefault="00000000" w:rsidP="007923E9">
      <w:pPr>
        <w:spacing w:after="120" w:line="276" w:lineRule="auto"/>
        <w:ind w:firstLine="283"/>
        <w:jc w:val="both"/>
      </w:pPr>
      <w:r>
        <w:rPr>
          <w:rtl/>
        </w:rPr>
        <w:t xml:space="preserve">כמו </w:t>
      </w:r>
      <w:proofErr w:type="spellStart"/>
      <w:r>
        <w:rPr>
          <w:rtl/>
        </w:rPr>
        <w:t>בדולהינוב</w:t>
      </w:r>
      <w:proofErr w:type="spellEnd"/>
      <w:r>
        <w:rPr>
          <w:rtl/>
        </w:rPr>
        <w:t xml:space="preserve"> של ימי ילדותו של אבי, רווח מנהג הלימוד בלילות שבת בכל קהילות ליטא באותה תקופה, כמו שמראות שתי הדוגמאות הבאות.</w:t>
      </w:r>
    </w:p>
    <w:p w14:paraId="1AAB24C4" w14:textId="77777777" w:rsidR="00AB3647" w:rsidRDefault="00000000" w:rsidP="007923E9">
      <w:pPr>
        <w:spacing w:after="120" w:line="276" w:lineRule="auto"/>
        <w:ind w:firstLine="283"/>
        <w:jc w:val="both"/>
      </w:pPr>
      <w:r>
        <w:rPr>
          <w:rtl/>
        </w:rPr>
        <w:t xml:space="preserve">ר׳ </w:t>
      </w:r>
      <w:proofErr w:type="spellStart"/>
      <w:r>
        <w:rPr>
          <w:rtl/>
        </w:rPr>
        <w:t>אלעזר־מנחם־מן</w:t>
      </w:r>
      <w:proofErr w:type="spellEnd"/>
      <w:r>
        <w:rPr>
          <w:rtl/>
        </w:rPr>
        <w:t xml:space="preserve"> שך</w:t>
      </w:r>
      <w:bookmarkStart w:id="612" w:name="_fnr358"/>
      <w:r>
        <w:rPr>
          <w:rStyle w:val="a5"/>
        </w:rPr>
        <w:footnoteReference w:id="358" w:customMarkFollows="0"/>
      </w:r>
      <w:bookmarkEnd w:id="612"/>
      <w:r>
        <w:rPr>
          <w:rtl/>
        </w:rPr>
        <w:t xml:space="preserve"> סיפר כמה מבני המקום למדו בישיבות בתחילת שנות </w:t>
      </w:r>
      <w:proofErr w:type="spellStart"/>
      <w:r>
        <w:rPr>
          <w:rtl/>
        </w:rPr>
        <w:t>הת״ר־ע</w:t>
      </w:r>
      <w:proofErr w:type="spellEnd"/>
      <w:r>
        <w:rPr>
          <w:rtl/>
        </w:rPr>
        <w:t xml:space="preserve">׳, ותיאר את לילות השבת של החורף בעיר הולדתו </w:t>
      </w:r>
      <w:proofErr w:type="spellStart"/>
      <w:r>
        <w:rPr>
          <w:rtl/>
        </w:rPr>
        <w:t>וואבולניק</w:t>
      </w:r>
      <w:proofErr w:type="spellEnd"/>
      <w:r>
        <w:rPr>
          <w:rtl/>
        </w:rPr>
        <w:t xml:space="preserve">, </w:t>
      </w:r>
      <w:r>
        <w:rPr>
          <w:b/>
          <w:bCs/>
          <w:rtl/>
        </w:rPr>
        <w:t xml:space="preserve">280 קילומטרים </w:t>
      </w:r>
      <w:proofErr w:type="spellStart"/>
      <w:r>
        <w:rPr>
          <w:b/>
          <w:bCs/>
          <w:rtl/>
        </w:rPr>
        <w:t>צפונית־מערבית</w:t>
      </w:r>
      <w:proofErr w:type="spellEnd"/>
      <w:r>
        <w:rPr>
          <w:b/>
          <w:bCs/>
          <w:rtl/>
        </w:rPr>
        <w:t xml:space="preserve"> </w:t>
      </w:r>
      <w:proofErr w:type="spellStart"/>
      <w:r>
        <w:rPr>
          <w:b/>
          <w:bCs/>
          <w:rtl/>
        </w:rPr>
        <w:t>לדולהינוב</w:t>
      </w:r>
      <w:proofErr w:type="spellEnd"/>
      <w:r>
        <w:rPr>
          <w:rtl/>
        </w:rPr>
        <w:t xml:space="preserve">. הוא אמר: “היו לנו שבעה בחורים שלמדו </w:t>
      </w:r>
      <w:proofErr w:type="spellStart"/>
      <w:r>
        <w:rPr>
          <w:rtl/>
        </w:rPr>
        <w:t>בסלבודקה</w:t>
      </w:r>
      <w:proofErr w:type="spellEnd"/>
      <w:r>
        <w:rPr>
          <w:rtl/>
        </w:rPr>
        <w:t xml:space="preserve">, שבעה </w:t>
      </w:r>
      <w:proofErr w:type="spellStart"/>
      <w:r>
        <w:rPr>
          <w:rtl/>
        </w:rPr>
        <w:t>בטלז</w:t>
      </w:r>
      <w:proofErr w:type="spellEnd"/>
      <w:r>
        <w:rPr>
          <w:rtl/>
        </w:rPr>
        <w:t xml:space="preserve"> וארבעה בלידה. כיצד הגיעו ללידה?” – שבה כללה תוכנית הלימודים של הישיבה לימודי חול, והאווירה הייתה ציונית (כמו רבה, ר׳ </w:t>
      </w:r>
      <w:proofErr w:type="spellStart"/>
      <w:r>
        <w:rPr>
          <w:rtl/>
        </w:rPr>
        <w:t>יצחק־יעקב</w:t>
      </w:r>
      <w:proofErr w:type="spellEnd"/>
      <w:r>
        <w:rPr>
          <w:rtl/>
        </w:rPr>
        <w:t xml:space="preserve"> ריינס, ממייסדי המזרחי</w:t>
      </w:r>
      <w:bookmarkStart w:id="613" w:name="_fnr359"/>
      <w:r>
        <w:rPr>
          <w:rStyle w:val="a5"/>
        </w:rPr>
        <w:footnoteReference w:id="359" w:customMarkFollows="0"/>
      </w:r>
      <w:bookmarkEnd w:id="613"/>
      <w:r>
        <w:rPr>
          <w:rtl/>
        </w:rPr>
        <w:t>). “עורך העיתון ‘</w:t>
      </w:r>
      <w:proofErr w:type="spellStart"/>
      <w:r>
        <w:rPr>
          <w:rtl/>
        </w:rPr>
        <w:t>היינט</w:t>
      </w:r>
      <w:proofErr w:type="spellEnd"/>
      <w:r>
        <w:rPr>
          <w:rtl/>
        </w:rPr>
        <w:t xml:space="preserve">’ היה </w:t>
      </w:r>
      <w:proofErr w:type="spellStart"/>
      <w:r>
        <w:rPr>
          <w:rtl/>
        </w:rPr>
        <w:t>מוואבולניק</w:t>
      </w:r>
      <w:proofErr w:type="spellEnd"/>
      <w:r>
        <w:rPr>
          <w:rtl/>
        </w:rPr>
        <w:t xml:space="preserve">, והוא תרם פנס גבוה לאמצע השוק, שהיה חשוך לגמרי בלילות כמו שאר העיירה. אני זוכר שבלילות שבת גמרו כולם את סעודת השבת עד 5:30. אחר כך הלכו לישון וקמו ב־2:00 לפנות בוקר ללכת ללמוד בבית המדרש. בית המדרש היה מלא אנשים, </w:t>
      </w:r>
      <w:r>
        <w:rPr>
          <w:rtl/>
        </w:rPr>
        <w:lastRenderedPageBreak/>
        <w:t>כולם יושבים ולומדים בחבורות שונות; כל הצעירים כמוני היו שם גם כן. כשעברנו בשוק החשוך היינו נתקלים בפרות ובחזירים ובכל מיני בהמות – עד שהוצב אותו פנס. בדרך זו קנה לו עורך ‘</w:t>
      </w:r>
      <w:proofErr w:type="spellStart"/>
      <w:r>
        <w:rPr>
          <w:rtl/>
        </w:rPr>
        <w:t>היינט</w:t>
      </w:r>
      <w:proofErr w:type="spellEnd"/>
      <w:r>
        <w:rPr>
          <w:rtl/>
        </w:rPr>
        <w:t>’ יוקרה בעיירתנו, ועודד נערים ללכת ל[ישיבה המודרנית של] לידה”.</w:t>
      </w:r>
    </w:p>
    <w:p w14:paraId="32AE2F13" w14:textId="77777777" w:rsidR="00AB3647" w:rsidRDefault="00000000" w:rsidP="007923E9">
      <w:pPr>
        <w:spacing w:after="120" w:line="276" w:lineRule="auto"/>
        <w:ind w:firstLine="283"/>
        <w:jc w:val="both"/>
      </w:pPr>
      <w:r>
        <w:rPr>
          <w:rtl/>
        </w:rPr>
        <w:t xml:space="preserve">השווה גם “מכתב מאליהו”, ח״א, מאת מרן אליהו אליעזר </w:t>
      </w:r>
      <w:proofErr w:type="spellStart"/>
      <w:r>
        <w:rPr>
          <w:rtl/>
        </w:rPr>
        <w:t>דסלר</w:t>
      </w:r>
      <w:bookmarkStart w:id="614" w:name="_fnr360"/>
      <w:proofErr w:type="spellEnd"/>
      <w:r>
        <w:rPr>
          <w:rStyle w:val="a5"/>
        </w:rPr>
        <w:footnoteReference w:id="360" w:customMarkFollows="0"/>
      </w:r>
      <w:bookmarkEnd w:id="614"/>
      <w:r>
        <w:rPr>
          <w:rtl/>
        </w:rPr>
        <w:t xml:space="preserve">, שבו מתאר ר׳ </w:t>
      </w:r>
      <w:proofErr w:type="spellStart"/>
      <w:r>
        <w:rPr>
          <w:rtl/>
        </w:rPr>
        <w:t>אליהו־אליעזר</w:t>
      </w:r>
      <w:proofErr w:type="spellEnd"/>
      <w:r>
        <w:rPr>
          <w:rtl/>
        </w:rPr>
        <w:t xml:space="preserve"> </w:t>
      </w:r>
      <w:proofErr w:type="spellStart"/>
      <w:r>
        <w:rPr>
          <w:rtl/>
        </w:rPr>
        <w:t>דסלר</w:t>
      </w:r>
      <w:proofErr w:type="spellEnd"/>
      <w:r>
        <w:rPr>
          <w:rtl/>
        </w:rPr>
        <w:t xml:space="preserve"> את לילות השבת שלו בעיר </w:t>
      </w:r>
      <w:proofErr w:type="spellStart"/>
      <w:r>
        <w:rPr>
          <w:rtl/>
        </w:rPr>
        <w:t>הומל</w:t>
      </w:r>
      <w:proofErr w:type="spellEnd"/>
      <w:r>
        <w:rPr>
          <w:rtl/>
        </w:rPr>
        <w:t xml:space="preserve">, </w:t>
      </w:r>
      <w:r>
        <w:rPr>
          <w:b/>
          <w:bCs/>
          <w:rtl/>
        </w:rPr>
        <w:t xml:space="preserve">320 קילומטרים </w:t>
      </w:r>
      <w:proofErr w:type="spellStart"/>
      <w:r>
        <w:rPr>
          <w:b/>
          <w:bCs/>
          <w:rtl/>
        </w:rPr>
        <w:t>דרומית־מזרחית</w:t>
      </w:r>
      <w:proofErr w:type="spellEnd"/>
      <w:r>
        <w:rPr>
          <w:b/>
          <w:bCs/>
          <w:rtl/>
        </w:rPr>
        <w:t xml:space="preserve"> </w:t>
      </w:r>
      <w:proofErr w:type="spellStart"/>
      <w:r>
        <w:rPr>
          <w:b/>
          <w:bCs/>
          <w:rtl/>
        </w:rPr>
        <w:t>לדולהינוב</w:t>
      </w:r>
      <w:proofErr w:type="spellEnd"/>
      <w:r>
        <w:rPr>
          <w:rtl/>
        </w:rPr>
        <w:t xml:space="preserve">, כך: “אני זוכר מגיל תשע שאבי [ר׳ </w:t>
      </w:r>
      <w:proofErr w:type="spellStart"/>
      <w:r>
        <w:rPr>
          <w:rtl/>
        </w:rPr>
        <w:t>ראובן־בער</w:t>
      </w:r>
      <w:proofErr w:type="spellEnd"/>
      <w:r>
        <w:rPr>
          <w:rtl/>
        </w:rPr>
        <w:t xml:space="preserve">] ודודי [ר׳ גדליה] [שניהם תלמידי </w:t>
      </w:r>
      <w:proofErr w:type="spellStart"/>
      <w:r>
        <w:rPr>
          <w:rtl/>
        </w:rPr>
        <w:t>גרובין</w:t>
      </w:r>
      <w:proofErr w:type="spellEnd"/>
      <w:r>
        <w:rPr>
          <w:rtl/>
        </w:rPr>
        <w:t xml:space="preserve"> וקלם</w:t>
      </w:r>
      <w:bookmarkStart w:id="615" w:name="_fnr361"/>
      <w:r>
        <w:rPr>
          <w:rStyle w:val="a5"/>
        </w:rPr>
        <w:footnoteReference w:id="361" w:customMarkFollows="0"/>
      </w:r>
      <w:bookmarkEnd w:id="615"/>
      <w:r>
        <w:rPr>
          <w:rtl/>
        </w:rPr>
        <w:t>] היו קמים בלילות שבת בחצות ולומדים יחד עד תפילת שחרית, כתשע שעות. גם אני הייתי קם ללמוד עם מלמדי כמה שעות. אמי</w:t>
      </w:r>
      <w:bookmarkStart w:id="616" w:name="_fnr362"/>
      <w:r>
        <w:rPr>
          <w:rStyle w:val="a5"/>
        </w:rPr>
        <w:footnoteReference w:id="362" w:customMarkFollows="0"/>
      </w:r>
      <w:bookmarkEnd w:id="616"/>
      <w:r>
        <w:rPr>
          <w:rtl/>
        </w:rPr>
        <w:t xml:space="preserve"> הצדקת הייתה קמה גם היא ולומדת מדרש, רמב״ן </w:t>
      </w:r>
      <w:proofErr w:type="spellStart"/>
      <w:r>
        <w:rPr>
          <w:rtl/>
        </w:rPr>
        <w:t>ומלבי״ם</w:t>
      </w:r>
      <w:proofErr w:type="spellEnd"/>
      <w:r>
        <w:rPr>
          <w:rtl/>
        </w:rPr>
        <w:t xml:space="preserve"> על פרשת השבוע. וכשהייתה קמה, היה הדבר בעיניי כיום טוב, משום שהגישה לפנינו קפה חם ולביבות אפויות בתנור, שהיו נפלאות מאוד בטעמן”.</w:t>
      </w:r>
    </w:p>
    <w:p w14:paraId="5F50BB66" w14:textId="77777777" w:rsidR="00AB3647" w:rsidRDefault="00000000" w:rsidP="007923E9">
      <w:pPr>
        <w:pStyle w:val="4"/>
        <w:spacing w:line="276" w:lineRule="auto"/>
      </w:pPr>
      <w:r>
        <w:t>· הפסקה השלישית ·</w:t>
      </w:r>
    </w:p>
    <w:p w14:paraId="37322D8B" w14:textId="77777777" w:rsidR="00AB3647" w:rsidRDefault="00000000" w:rsidP="007923E9">
      <w:pPr>
        <w:pStyle w:val="5"/>
        <w:spacing w:line="276" w:lineRule="auto"/>
      </w:pPr>
      <w:r>
        <w:t xml:space="preserve">לא הכול מושלם </w:t>
      </w:r>
      <w:proofErr w:type="spellStart"/>
      <w:r>
        <w:t>בדולהינוב</w:t>
      </w:r>
      <w:proofErr w:type="spellEnd"/>
    </w:p>
    <w:p w14:paraId="1B0A0025" w14:textId="77777777" w:rsidR="00AB3647" w:rsidRDefault="00000000" w:rsidP="007923E9">
      <w:pPr>
        <w:spacing w:after="120" w:line="276" w:lineRule="auto"/>
        <w:ind w:firstLine="283"/>
        <w:jc w:val="both"/>
      </w:pPr>
      <w:r>
        <w:rPr>
          <w:rtl/>
        </w:rPr>
        <w:t xml:space="preserve">כדי שלא יטעה הקורא לחשוב </w:t>
      </w:r>
      <w:proofErr w:type="spellStart"/>
      <w:r>
        <w:rPr>
          <w:rtl/>
        </w:rPr>
        <w:t>שדולהינוב</w:t>
      </w:r>
      <w:proofErr w:type="spellEnd"/>
      <w:r>
        <w:rPr>
          <w:rtl/>
        </w:rPr>
        <w:t xml:space="preserve"> הייתה עיר של קדושים, אחזור על סיפור שסיפר ר׳ יששכר </w:t>
      </w:r>
      <w:proofErr w:type="spellStart"/>
      <w:r>
        <w:rPr>
          <w:rtl/>
        </w:rPr>
        <w:t>פרנד</w:t>
      </w:r>
      <w:bookmarkStart w:id="617" w:name="_fnr363"/>
      <w:bookmarkStart w:id="618" w:name="pr_f_293"/>
      <w:proofErr w:type="spellEnd"/>
      <w:r>
        <w:rPr>
          <w:rStyle w:val="a5"/>
        </w:rPr>
        <w:footnoteReference w:id="363" w:customMarkFollows="0"/>
      </w:r>
      <w:bookmarkEnd w:id="617"/>
      <w:bookmarkEnd w:id="618"/>
      <w:r>
        <w:rPr>
          <w:rtl/>
        </w:rPr>
        <w:t xml:space="preserve">: “רבי, ר׳ </w:t>
      </w:r>
      <w:proofErr w:type="spellStart"/>
      <w:r>
        <w:rPr>
          <w:rtl/>
        </w:rPr>
        <w:t>יעקב־יצחק</w:t>
      </w:r>
      <w:proofErr w:type="spellEnd"/>
      <w:r>
        <w:rPr>
          <w:rtl/>
        </w:rPr>
        <w:t xml:space="preserve"> </w:t>
      </w:r>
      <w:proofErr w:type="spellStart"/>
      <w:r>
        <w:rPr>
          <w:rtl/>
        </w:rPr>
        <w:t>רודרמן</w:t>
      </w:r>
      <w:proofErr w:type="spellEnd"/>
      <w:r>
        <w:rPr>
          <w:rtl/>
        </w:rPr>
        <w:t>, קרא לישיבה שייסד ‘נר ישראל’</w:t>
      </w:r>
      <w:bookmarkStart w:id="619" w:name="_fnr364"/>
      <w:r>
        <w:rPr>
          <w:rStyle w:val="a5"/>
        </w:rPr>
        <w:footnoteReference w:id="364" w:customMarkFollows="0"/>
      </w:r>
      <w:bookmarkEnd w:id="619"/>
      <w:r>
        <w:rPr>
          <w:rtl/>
        </w:rPr>
        <w:t xml:space="preserve"> על שם בעל המוסר הגדול ר׳ ישראל </w:t>
      </w:r>
      <w:proofErr w:type="spellStart"/>
      <w:r>
        <w:rPr>
          <w:rtl/>
        </w:rPr>
        <w:t>סלנטר</w:t>
      </w:r>
      <w:proofErr w:type="spellEnd"/>
      <w:r>
        <w:rPr>
          <w:rtl/>
        </w:rPr>
        <w:t xml:space="preserve">. ר׳ </w:t>
      </w:r>
      <w:proofErr w:type="spellStart"/>
      <w:r>
        <w:rPr>
          <w:rtl/>
        </w:rPr>
        <w:t>יעקב־יצחק</w:t>
      </w:r>
      <w:proofErr w:type="spellEnd"/>
      <w:r>
        <w:rPr>
          <w:rtl/>
        </w:rPr>
        <w:t xml:space="preserve"> סיפר שכשהיה בן תשע שכח השמש </w:t>
      </w:r>
      <w:proofErr w:type="spellStart"/>
      <w:r>
        <w:rPr>
          <w:rtl/>
        </w:rPr>
        <w:t>בדולהינוב</w:t>
      </w:r>
      <w:proofErr w:type="spellEnd"/>
      <w:r>
        <w:rPr>
          <w:rtl/>
        </w:rPr>
        <w:t xml:space="preserve"> להכין לחזן את </w:t>
      </w:r>
      <w:proofErr w:type="spellStart"/>
      <w:r>
        <w:rPr>
          <w:rtl/>
        </w:rPr>
        <w:t>הקיטל</w:t>
      </w:r>
      <w:proofErr w:type="spellEnd"/>
      <w:r>
        <w:rPr>
          <w:rtl/>
        </w:rPr>
        <w:t xml:space="preserve"> ללבוש בהושענא רבה. הוא ראה כיצד אחד מנכבדי העיירה נזף בשמש בפומבי וביישו ביזיון נורא, והעד הצעיר התחיל לתהות אם גם ר׳ ישראל היה מבייש יהודי ברבים, כשכל מה שעשה היה להתעלם ממנהג שאפילו אינו נוהג בכל מקום</w:t>
      </w:r>
      <w:bookmarkStart w:id="620" w:name="_fnr365"/>
      <w:r>
        <w:rPr>
          <w:rStyle w:val="a5"/>
        </w:rPr>
        <w:footnoteReference w:id="365" w:customMarkFollows="0"/>
      </w:r>
      <w:bookmarkEnd w:id="620"/>
      <w:r>
        <w:rPr>
          <w:rtl/>
        </w:rPr>
        <w:t>”.</w:t>
      </w:r>
    </w:p>
    <w:bookmarkStart w:id="621" w:name="b1_excD"/>
    <w:p w14:paraId="69B44C54" w14:textId="77777777" w:rsidR="00AB3647" w:rsidRDefault="00000000" w:rsidP="007923E9">
      <w:pPr>
        <w:pStyle w:val="3"/>
        <w:spacing w:line="276" w:lineRule="auto"/>
      </w:pPr>
      <w:r>
        <w:lastRenderedPageBreak/>
        <w:fldChar w:fldCharType="begin" w:dirty="true"/>
      </w:r>
      <w:r>
        <w:rPr>
          <w:rtl w:val="0"/>
        </w:rPr>
        <w:instrText>HYPERLINK \l "b1_note54</w:instrText>
      </w:r>
      <w:r>
        <w:instrText>"</w:instrText>
      </w:r>
      <w:r>
        <w:fldChar w:fldCharType="separate"/>
      </w:r>
      <w:r>
        <w:t>נספח ד</w:t>
      </w:r>
      <w:r>
        <w:fldChar w:fldCharType="end"/>
      </w:r>
      <w:bookmarkEnd w:id="621"/>
    </w:p>
    <w:p w14:paraId="44E117E5" w14:textId="77777777" w:rsidR="00AB3647" w:rsidRDefault="00000000" w:rsidP="007923E9">
      <w:pPr>
        <w:pStyle w:val="af"/>
        <w:spacing w:line="276" w:lineRule="auto"/>
      </w:pPr>
      <w:r>
        <w:t>על הקפדתו של רבנו על המנהגים</w:t>
      </w:r>
    </w:p>
    <w:p w14:paraId="0A5E7CD1" w14:textId="77777777" w:rsidR="00AB3647" w:rsidRDefault="00000000" w:rsidP="007923E9">
      <w:pPr>
        <w:pStyle w:val="4"/>
        <w:spacing w:line="276" w:lineRule="auto"/>
      </w:pPr>
      <w:r>
        <w:t>· הפסקה הראשונה ·</w:t>
      </w:r>
    </w:p>
    <w:p w14:paraId="65E7227C" w14:textId="77777777" w:rsidR="00AB3647" w:rsidRDefault="00000000" w:rsidP="007923E9">
      <w:pPr>
        <w:pStyle w:val="5"/>
        <w:spacing w:line="276" w:lineRule="auto"/>
      </w:pPr>
      <w:r>
        <w:t>רבנו מוקיר את מנהגי המשפחה – הוא אינו אוכל גבינה בערבי שבתות – הוא מעריך את טרחת אשתו בהכנת מאכלים מיוחדים – התחשבותו באשתו השנייה – בעלת הבית זוכה לשבחיו</w:t>
      </w:r>
    </w:p>
    <w:p w14:paraId="6F22D09A" w14:textId="77777777" w:rsidR="00AB3647" w:rsidRDefault="00000000" w:rsidP="007923E9">
      <w:pPr>
        <w:spacing w:after="120" w:line="276" w:lineRule="auto"/>
        <w:ind w:firstLine="283"/>
        <w:jc w:val="both"/>
      </w:pPr>
      <w:r>
        <w:rPr>
          <w:rtl/>
        </w:rPr>
        <w:t xml:space="preserve">אבי כיבד מאוד את המנהגים שראה בבית הוריו. ר׳ אלחנן </w:t>
      </w:r>
      <w:proofErr w:type="spellStart"/>
      <w:r>
        <w:rPr>
          <w:rtl/>
        </w:rPr>
        <w:t>שיינרמן</w:t>
      </w:r>
      <w:proofErr w:type="spellEnd"/>
      <w:r>
        <w:rPr>
          <w:rtl/>
        </w:rPr>
        <w:t xml:space="preserve">, ששמע את אבי מלמד משנה ברורה </w:t>
      </w:r>
      <w:proofErr w:type="spellStart"/>
      <w:r>
        <w:rPr>
          <w:rtl/>
        </w:rPr>
        <w:t>ב“מנין</w:t>
      </w:r>
      <w:proofErr w:type="spellEnd"/>
      <w:r>
        <w:rPr>
          <w:rtl/>
        </w:rPr>
        <w:t xml:space="preserve"> </w:t>
      </w:r>
      <w:proofErr w:type="spellStart"/>
      <w:r>
        <w:rPr>
          <w:rtl/>
        </w:rPr>
        <w:t>מיר</w:t>
      </w:r>
      <w:proofErr w:type="spellEnd"/>
      <w:r>
        <w:rPr>
          <w:rtl/>
        </w:rPr>
        <w:t xml:space="preserve">” </w:t>
      </w:r>
      <w:proofErr w:type="spellStart"/>
      <w:r>
        <w:rPr>
          <w:rtl/>
        </w:rPr>
        <w:t>שבוויליאמסבורג</w:t>
      </w:r>
      <w:proofErr w:type="spellEnd"/>
      <w:r>
        <w:rPr>
          <w:rtl/>
        </w:rPr>
        <w:t xml:space="preserve"> בשבתות, סיפר</w:t>
      </w:r>
      <w:bookmarkStart w:id="622" w:name="_fnr366"/>
      <w:r>
        <w:rPr>
          <w:rStyle w:val="a5"/>
        </w:rPr>
        <w:footnoteReference w:id="366" w:customMarkFollows="0"/>
      </w:r>
      <w:bookmarkEnd w:id="622"/>
      <w:r>
        <w:rPr>
          <w:rtl/>
        </w:rPr>
        <w:t xml:space="preserve"> שלפעמים היה אבי אומר: “פסק </w:t>
      </w:r>
      <w:proofErr w:type="spellStart"/>
      <w:r>
        <w:rPr>
          <w:rtl/>
        </w:rPr>
        <w:t>החפץ־חיים</w:t>
      </w:r>
      <w:proofErr w:type="spellEnd"/>
      <w:r>
        <w:rPr>
          <w:rtl/>
        </w:rPr>
        <w:t xml:space="preserve"> בעניין זה אינו מקובל”. כשנשאל על סמך מה הוא חולק על המשנה ברורה, היה אומר שיש לו מקור חזק למחלוקת, ומביא את המנהג שראה בבית אביו</w:t>
      </w:r>
      <w:bookmarkStart w:id="623" w:name="_fnr367"/>
      <w:bookmarkStart w:id="624" w:name="pr_f_297"/>
      <w:r>
        <w:rPr>
          <w:rStyle w:val="a5"/>
        </w:rPr>
        <w:footnoteReference w:id="367" w:customMarkFollows="0"/>
      </w:r>
      <w:bookmarkEnd w:id="623"/>
      <w:bookmarkEnd w:id="624"/>
      <w:r>
        <w:rPr>
          <w:rtl/>
        </w:rPr>
        <w:t>.</w:t>
      </w:r>
    </w:p>
    <w:p w14:paraId="25A990D1" w14:textId="77777777" w:rsidR="00AB3647" w:rsidRDefault="00000000" w:rsidP="007923E9">
      <w:pPr>
        <w:spacing w:after="120" w:line="276" w:lineRule="auto"/>
        <w:ind w:firstLine="283"/>
        <w:jc w:val="both"/>
      </w:pPr>
      <w:r>
        <w:rPr>
          <w:rtl/>
        </w:rPr>
        <w:t xml:space="preserve">עוד סיפר ר׳ אלחנן שבשעה </w:t>
      </w:r>
      <w:proofErr w:type="spellStart"/>
      <w:r>
        <w:rPr>
          <w:rtl/>
        </w:rPr>
        <w:t>שאמו</w:t>
      </w:r>
      <w:proofErr w:type="spellEnd"/>
      <w:r>
        <w:rPr>
          <w:rtl/>
        </w:rPr>
        <w:t xml:space="preserve"> ואחיו ואחיותיו גרו </w:t>
      </w:r>
      <w:proofErr w:type="spellStart"/>
      <w:r>
        <w:rPr>
          <w:rtl/>
        </w:rPr>
        <w:t>בוויליאמסבורג</w:t>
      </w:r>
      <w:proofErr w:type="spellEnd"/>
      <w:r>
        <w:rPr>
          <w:rtl/>
        </w:rPr>
        <w:t xml:space="preserve">, היה עסקו של אביו בוושינגטון הבירה. אביו היה יוצא מניו יורק בהשכמת בוקר יום ראשון וחוזר ביום שישי שלאחריו, וכך לא ראה ר׳ אלחנן מעולם את אביו בימות החול ובחול המועד. כשנסע לאירופה ללמוד בישיבת </w:t>
      </w:r>
      <w:proofErr w:type="spellStart"/>
      <w:r>
        <w:rPr>
          <w:rtl/>
        </w:rPr>
        <w:t>מיר</w:t>
      </w:r>
      <w:proofErr w:type="spellEnd"/>
      <w:r>
        <w:rPr>
          <w:rtl/>
        </w:rPr>
        <w:t xml:space="preserve"> בשנת תרצ״ה, לא ידע מה מנהג אביו בהנחת תפילין בחול המועד, והניחן כמו התלמידים (הליטאים) של ישיבת </w:t>
      </w:r>
      <w:proofErr w:type="spellStart"/>
      <w:r>
        <w:rPr>
          <w:rtl/>
        </w:rPr>
        <w:t>מיר</w:t>
      </w:r>
      <w:proofErr w:type="spellEnd"/>
      <w:r>
        <w:rPr>
          <w:rtl/>
        </w:rPr>
        <w:t xml:space="preserve">. כשחזר לארצות הברית עם פרוץ מלחמת העולם השנייה, נודע לו שאביו </w:t>
      </w:r>
      <w:r>
        <w:rPr>
          <w:b/>
          <w:bCs/>
          <w:rtl/>
        </w:rPr>
        <w:t>אינו</w:t>
      </w:r>
      <w:r>
        <w:rPr>
          <w:rtl/>
        </w:rPr>
        <w:t xml:space="preserve"> מניח תפילין בחול המועד. הוא שאל את ר׳ משה </w:t>
      </w:r>
      <w:proofErr w:type="spellStart"/>
      <w:r>
        <w:rPr>
          <w:rtl/>
        </w:rPr>
        <w:t>פיינשטיין</w:t>
      </w:r>
      <w:proofErr w:type="spellEnd"/>
      <w:r>
        <w:rPr>
          <w:rtl/>
        </w:rPr>
        <w:t xml:space="preserve"> מה לעשות מעתה, ונאמר לו להמשיך להניחן בחול המועד כפי שעשה בישיבת </w:t>
      </w:r>
      <w:proofErr w:type="spellStart"/>
      <w:r>
        <w:rPr>
          <w:rtl/>
        </w:rPr>
        <w:t>מיר</w:t>
      </w:r>
      <w:proofErr w:type="spellEnd"/>
      <w:r>
        <w:rPr>
          <w:rtl/>
        </w:rPr>
        <w:t>.</w:t>
      </w:r>
    </w:p>
    <w:p w14:paraId="752578EA" w14:textId="77777777" w:rsidR="00AB3647" w:rsidRDefault="00000000" w:rsidP="007923E9">
      <w:pPr>
        <w:spacing w:after="120" w:line="276" w:lineRule="auto"/>
        <w:ind w:firstLine="283"/>
        <w:jc w:val="both"/>
      </w:pPr>
      <w:r>
        <w:rPr>
          <w:rtl/>
        </w:rPr>
        <w:t>כשהגיע בנו של ר׳ אלחנן לגיל בר מצווה, סיפר ר׳ אלחנן לרבנו מה נהג עד כה ושאל מה יעשה הבן. השיב אבי: “לגבי עצמך – ‘כבר הורה זקן’</w:t>
      </w:r>
      <w:bookmarkStart w:id="625" w:name="_fnr368"/>
      <w:r>
        <w:rPr>
          <w:rStyle w:val="a5"/>
        </w:rPr>
        <w:footnoteReference w:id="368" w:customMarkFollows="0"/>
      </w:r>
      <w:bookmarkEnd w:id="625"/>
      <w:r>
        <w:rPr>
          <w:rtl/>
        </w:rPr>
        <w:t xml:space="preserve">, אבל בנך ראוי לו שישוב למנהג המשפחה המקורי שלכם”. מדבריו עלה שאילו שאל ר׳ אלחנן את רבנו על </w:t>
      </w:r>
      <w:r>
        <w:rPr>
          <w:b/>
          <w:bCs/>
          <w:rtl/>
        </w:rPr>
        <w:t>עצמו</w:t>
      </w:r>
      <w:r>
        <w:rPr>
          <w:rtl/>
        </w:rPr>
        <w:t xml:space="preserve">, היה פוסק גם לו שישוב למנהג אביו; אלא שלא רצה לחלוק על פסק שכבר יצא מלפני הרב </w:t>
      </w:r>
      <w:proofErr w:type="spellStart"/>
      <w:r>
        <w:rPr>
          <w:rtl/>
        </w:rPr>
        <w:t>פיינשטיין</w:t>
      </w:r>
      <w:proofErr w:type="spellEnd"/>
      <w:r>
        <w:rPr>
          <w:rtl/>
        </w:rPr>
        <w:t>.</w:t>
      </w:r>
    </w:p>
    <w:p w14:paraId="399CA4CA" w14:textId="77777777" w:rsidR="00AB3647" w:rsidRDefault="00000000" w:rsidP="007923E9">
      <w:pPr>
        <w:spacing w:after="120" w:line="276" w:lineRule="auto"/>
        <w:ind w:firstLine="283"/>
        <w:jc w:val="both"/>
      </w:pPr>
      <w:r>
        <w:rPr>
          <w:rtl/>
        </w:rPr>
        <w:t>הדברים הבאים ימחישו עד כמה הקפיד אבי לשמור את מנהגי המשפחה. הוריו לא אכלו מאכלי חלב בערבי שבתות, ואף שלא ידע טעם למנהג זה (ראה להלן), נהג בו כל ימי חייו.</w:t>
      </w:r>
    </w:p>
    <w:p w14:paraId="496AB5EB" w14:textId="77777777" w:rsidR="00AB3647" w:rsidRDefault="00000000" w:rsidP="007923E9">
      <w:pPr>
        <w:spacing w:after="120" w:line="276" w:lineRule="auto"/>
        <w:ind w:firstLine="283"/>
        <w:jc w:val="both"/>
      </w:pPr>
      <w:r>
        <w:rPr>
          <w:rtl/>
        </w:rPr>
        <w:t xml:space="preserve">אבי נשא אישה שנייה בראש חודש כסלו תשי״ט, וחג השבועות הראשון אחרי נישואיו השניים חל ביום שישי. כשחזר הביתה מתפילת </w:t>
      </w:r>
      <w:proofErr w:type="spellStart"/>
      <w:r>
        <w:rPr>
          <w:rtl/>
        </w:rPr>
        <w:t>הוותיקין</w:t>
      </w:r>
      <w:proofErr w:type="spellEnd"/>
      <w:r>
        <w:rPr>
          <w:rtl/>
        </w:rPr>
        <w:t xml:space="preserve"> במתיבתא תורה ודעת בלוויית שלושה תלמידים, הגישה הרבנית עוגת גבינה לקידוש. אבי העיר שאף על פי שהיום שבועות, עדיין יום שישי הוא, והיא חזרה למטבח ואכזבה ניכרת על פניה. בטרם הספיקה לחזור עם עוגה מסוג אחר לבעלה, הביא אבי את פסק המגן אברהם </w:t>
      </w:r>
      <w:proofErr w:type="spellStart"/>
      <w:r>
        <w:rPr>
          <w:rtl/>
        </w:rPr>
        <w:t>בשו״ע</w:t>
      </w:r>
      <w:proofErr w:type="spellEnd"/>
      <w:r>
        <w:rPr>
          <w:rtl/>
        </w:rPr>
        <w:t xml:space="preserve"> </w:t>
      </w:r>
      <w:proofErr w:type="spellStart"/>
      <w:r>
        <w:rPr>
          <w:rtl/>
        </w:rPr>
        <w:t>או״ח</w:t>
      </w:r>
      <w:proofErr w:type="spellEnd"/>
      <w:r>
        <w:rPr>
          <w:rtl/>
        </w:rPr>
        <w:t xml:space="preserve"> סי׳ שמ״א בעניין התרת נדרים בשבת, קם וביקש מן התלמידים “להתיר לו את נדרו” שלא לאכול גבינה בערבי שבתות. </w:t>
      </w:r>
      <w:r>
        <w:rPr>
          <w:rtl/>
        </w:rPr>
        <w:lastRenderedPageBreak/>
        <w:t>כשטעם פרוסה מעוגת הגבינה העיר: “כשם שקשה לי שידחו שיעור שהכנתי היטב, כך קשה לה שידחו עוגת גבינה שאפתה היטב”</w:t>
      </w:r>
      <w:bookmarkStart w:id="626" w:name="_fnr369"/>
      <w:r>
        <w:rPr>
          <w:rStyle w:val="a5"/>
        </w:rPr>
        <w:footnoteReference w:id="369" w:customMarkFollows="0"/>
      </w:r>
      <w:bookmarkEnd w:id="626"/>
      <w:r>
        <w:rPr>
          <w:rtl/>
        </w:rPr>
        <w:t>.</w:t>
      </w:r>
    </w:p>
    <w:p w14:paraId="1DD1DEBA" w14:textId="77777777" w:rsidR="00AB3647" w:rsidRDefault="00000000" w:rsidP="007923E9">
      <w:pPr>
        <w:spacing w:after="120" w:line="276" w:lineRule="auto"/>
        <w:ind w:firstLine="283"/>
        <w:jc w:val="both"/>
      </w:pPr>
      <w:r>
        <w:rPr>
          <w:rtl/>
        </w:rPr>
        <w:t xml:space="preserve">כמה מן המרואיינים ציינו את התחשבותו בטרחת אשתו בהכנת האוכל ואת הערכתו אותה. ר׳ שלמה </w:t>
      </w:r>
      <w:proofErr w:type="spellStart"/>
      <w:r>
        <w:rPr>
          <w:rtl/>
        </w:rPr>
        <w:t>גיסינגר</w:t>
      </w:r>
      <w:bookmarkStart w:id="627" w:name="_fnr370"/>
      <w:proofErr w:type="spellEnd"/>
      <w:r>
        <w:rPr>
          <w:rStyle w:val="a5"/>
        </w:rPr>
        <w:footnoteReference w:id="370" w:customMarkFollows="0"/>
      </w:r>
      <w:bookmarkEnd w:id="627"/>
      <w:r>
        <w:rPr>
          <w:rtl/>
        </w:rPr>
        <w:t xml:space="preserve"> סיפר שביקר את אבי בשבת יחד עם שני חברים, והרבנית הגישה תה. אחד האורחים, שלא אהב תה, אמר בנימוס: “לא, תודה”. כשיצאה הרבנית מן החדר, פנה אליו אבי ואמר: “תאר לעצמך שהכנת חבורה למסור, ונכנסת לחדר שבו ישבו החברים, ומישהו קם ואמר בנימוס רב: ‘לא, תודה’. איך היית מרגיש? מכיוון שהרבנית נכנסה עם התה מוכן, היה עליך לקבלו. אילו באה </w:t>
      </w:r>
      <w:r>
        <w:rPr>
          <w:b/>
          <w:bCs/>
          <w:rtl/>
        </w:rPr>
        <w:t>קודם</w:t>
      </w:r>
      <w:r>
        <w:rPr>
          <w:rtl/>
        </w:rPr>
        <w:t xml:space="preserve"> ושאלה אם תרצה תה – הרי זה עניין אחר. עליך להבין שהתה הוא </w:t>
      </w:r>
      <w:proofErr w:type="spellStart"/>
      <w:r>
        <w:rPr>
          <w:rtl/>
        </w:rPr>
        <w:t>ה‘שטיקעל</w:t>
      </w:r>
      <w:proofErr w:type="spellEnd"/>
      <w:r>
        <w:rPr>
          <w:rtl/>
        </w:rPr>
        <w:t xml:space="preserve"> תורה’ שלה”</w:t>
      </w:r>
      <w:bookmarkStart w:id="628" w:name="_fnr371"/>
      <w:r>
        <w:rPr>
          <w:rStyle w:val="a5"/>
        </w:rPr>
        <w:footnoteReference w:id="371" w:customMarkFollows="0"/>
      </w:r>
      <w:bookmarkEnd w:id="628"/>
      <w:r>
        <w:rPr>
          <w:rtl/>
        </w:rPr>
        <w:t>, הסביר.</w:t>
      </w:r>
    </w:p>
    <w:p w14:paraId="175A3DB2" w14:textId="77777777" w:rsidR="00AB3647" w:rsidRDefault="00000000" w:rsidP="007923E9">
      <w:pPr>
        <w:spacing w:after="120" w:line="276" w:lineRule="auto"/>
        <w:ind w:firstLine="283"/>
        <w:jc w:val="both"/>
      </w:pPr>
      <w:r>
        <w:rPr>
          <w:rtl/>
        </w:rPr>
        <w:t>גם ר׳ אפרים גרינבאום סיפר</w:t>
      </w:r>
      <w:bookmarkStart w:id="629" w:name="_fnr372"/>
      <w:r>
        <w:rPr>
          <w:rStyle w:val="a5"/>
        </w:rPr>
        <w:footnoteReference w:id="372" w:customMarkFollows="0"/>
      </w:r>
      <w:bookmarkEnd w:id="629"/>
      <w:r>
        <w:rPr>
          <w:rtl/>
        </w:rPr>
        <w:t xml:space="preserve"> שפעם נסע </w:t>
      </w:r>
      <w:proofErr w:type="spellStart"/>
      <w:r>
        <w:rPr>
          <w:rtl/>
        </w:rPr>
        <w:t>למונסי</w:t>
      </w:r>
      <w:proofErr w:type="spellEnd"/>
      <w:r>
        <w:rPr>
          <w:rtl/>
        </w:rPr>
        <w:t xml:space="preserve"> לבקש עצה מאבי. כשהביאה הרבנית פירות לשולחן, נמנע מלברך בפני ראש הישיבה, ואבי אמר לו שמאחר שטרחה הרבנית להביא לו את הפירות, עליו להראות את הערכתו בכך שיטעם מהם.</w:t>
      </w:r>
    </w:p>
    <w:p w14:paraId="7BFD8B02" w14:textId="77777777" w:rsidR="00AB3647" w:rsidRDefault="00000000" w:rsidP="007923E9">
      <w:pPr>
        <w:spacing w:after="120" w:line="276" w:lineRule="auto"/>
        <w:ind w:firstLine="283"/>
        <w:jc w:val="both"/>
      </w:pPr>
      <w:r>
        <w:rPr>
          <w:rtl/>
        </w:rPr>
        <w:t xml:space="preserve">אבי אף ויתר על דקדוקי הלכה מתוך התחשבות באשתו. אחייני ר׳ פסח </w:t>
      </w:r>
      <w:proofErr w:type="spellStart"/>
      <w:r>
        <w:rPr>
          <w:rtl/>
        </w:rPr>
        <w:t>דיסקינד</w:t>
      </w:r>
      <w:proofErr w:type="spellEnd"/>
      <w:r>
        <w:rPr>
          <w:rtl/>
        </w:rPr>
        <w:t xml:space="preserve"> סיפר</w:t>
      </w:r>
      <w:bookmarkStart w:id="630" w:name="_fnr373"/>
      <w:r>
        <w:rPr>
          <w:rStyle w:val="a5"/>
        </w:rPr>
        <w:footnoteReference w:id="373" w:customMarkFollows="0"/>
      </w:r>
      <w:bookmarkEnd w:id="630"/>
      <w:r>
        <w:rPr>
          <w:rtl/>
        </w:rPr>
        <w:t xml:space="preserve"> שבביקור </w:t>
      </w:r>
      <w:proofErr w:type="spellStart"/>
      <w:r>
        <w:rPr>
          <w:rtl/>
        </w:rPr>
        <w:t>במונסי</w:t>
      </w:r>
      <w:proofErr w:type="spellEnd"/>
      <w:r>
        <w:rPr>
          <w:rtl/>
        </w:rPr>
        <w:t xml:space="preserve"> ראה שבמקום מנהגו הקודם של סבו</w:t>
      </w:r>
      <w:bookmarkStart w:id="631" w:name="_fnr374"/>
      <w:r>
        <w:rPr>
          <w:rStyle w:val="a5"/>
        </w:rPr>
        <w:footnoteReference w:id="374" w:customMarkFollows="0"/>
      </w:r>
      <w:bookmarkEnd w:id="631"/>
      <w:r>
        <w:rPr>
          <w:rtl/>
        </w:rPr>
        <w:t xml:space="preserve"> ליטול ידיים על לחם משנה מיד אחרי הקידוש בבוקר שבת, הוא אוכל עוגה. כשבירר את הדבר, הוסבר לו שסבו עושה כן למען הרבנית: הוא לא רצה למנוע ממנה “במה למסור את שיעורה”.</w:t>
      </w:r>
    </w:p>
    <w:p w14:paraId="48CAD884" w14:textId="77777777" w:rsidR="00AB3647" w:rsidRDefault="00000000" w:rsidP="007923E9">
      <w:pPr>
        <w:spacing w:after="120" w:line="276" w:lineRule="auto"/>
        <w:ind w:firstLine="283"/>
        <w:jc w:val="both"/>
      </w:pPr>
      <w:r>
        <w:rPr>
          <w:rtl/>
        </w:rPr>
        <w:t xml:space="preserve">ר׳ </w:t>
      </w:r>
      <w:proofErr w:type="spellStart"/>
      <w:r>
        <w:rPr>
          <w:rtl/>
        </w:rPr>
        <w:t>לייבל</w:t>
      </w:r>
      <w:proofErr w:type="spellEnd"/>
      <w:r>
        <w:rPr>
          <w:rtl/>
        </w:rPr>
        <w:t xml:space="preserve"> </w:t>
      </w:r>
      <w:proofErr w:type="spellStart"/>
      <w:r>
        <w:rPr>
          <w:rtl/>
        </w:rPr>
        <w:t>פרלשטיין</w:t>
      </w:r>
      <w:bookmarkStart w:id="632" w:name="_fnr375"/>
      <w:proofErr w:type="spellEnd"/>
      <w:r>
        <w:rPr>
          <w:rStyle w:val="a5"/>
        </w:rPr>
        <w:footnoteReference w:id="375" w:customMarkFollows="0"/>
      </w:r>
      <w:bookmarkEnd w:id="632"/>
      <w:r>
        <w:rPr>
          <w:rtl/>
        </w:rPr>
        <w:t>, שהיה עם אבי בכמה לילות סדר של פסח, ציין שמארחו האריך באמירת ההגדה כדי לצאת ידי חובת המצווה, אבל את דברי התורה הנוספים השאיר לאמצע הסעודה. רבנו נימק זאת: “וכי למה תהיה התורה שלי חשובה משלה?”</w:t>
      </w:r>
      <w:bookmarkStart w:id="633" w:name="_fnr376"/>
      <w:r>
        <w:rPr>
          <w:rStyle w:val="a5"/>
        </w:rPr>
        <w:footnoteReference w:id="376" w:customMarkFollows="0"/>
      </w:r>
      <w:bookmarkEnd w:id="633"/>
    </w:p>
    <w:p w14:paraId="28E1257C" w14:textId="77777777" w:rsidR="00AB3647" w:rsidRDefault="00000000" w:rsidP="007923E9">
      <w:pPr>
        <w:spacing w:after="120" w:line="276" w:lineRule="auto"/>
        <w:ind w:firstLine="283"/>
        <w:jc w:val="both"/>
      </w:pPr>
      <w:r>
        <w:rPr>
          <w:rtl/>
        </w:rPr>
        <w:t>מעשה נוסף בעניין זה סיפר ר׳ זאב לב</w:t>
      </w:r>
      <w:bookmarkStart w:id="634" w:name="_fnr377"/>
      <w:r>
        <w:rPr>
          <w:rStyle w:val="a5"/>
        </w:rPr>
        <w:footnoteReference w:id="377" w:customMarkFollows="0"/>
      </w:r>
      <w:bookmarkEnd w:id="634"/>
      <w:r>
        <w:rPr>
          <w:rtl/>
        </w:rPr>
        <w:t>. כשאכל אצלנו בטורונטו, הניחה אמי לפניו מנת חמין גדולה מדי. כשיצאה מן החדר, אמר לו אבי שמוטב שיגמור את כל הצלחת, שמא תיפגע בעלת הבית, והוסיף שזה שנים רבות הוא “סובל את אותם הייסורים” של גמירת כל האוכל שבצלחתו.</w:t>
      </w:r>
    </w:p>
    <w:p w14:paraId="6067BE3E" w14:textId="77777777" w:rsidR="00AB3647" w:rsidRDefault="00000000" w:rsidP="007923E9">
      <w:pPr>
        <w:spacing w:after="120" w:line="276" w:lineRule="auto"/>
        <w:ind w:firstLine="283"/>
        <w:jc w:val="both"/>
      </w:pPr>
      <w:bookmarkStart w:id="635" w:name="_Hlk243581576"/>
      <w:r>
        <w:rPr>
          <w:rtl/>
        </w:rPr>
        <w:lastRenderedPageBreak/>
        <w:t>אדם שלא נזכר בשמו סיפר</w:t>
      </w:r>
      <w:bookmarkStart w:id="636" w:name="_fnr378"/>
      <w:bookmarkEnd w:id="635"/>
      <w:r>
        <w:rPr>
          <w:rStyle w:val="a5"/>
        </w:rPr>
        <w:footnoteReference w:id="378" w:customMarkFollows="0"/>
      </w:r>
      <w:bookmarkEnd w:id="636"/>
      <w:r>
        <w:rPr>
          <w:rtl/>
        </w:rPr>
        <w:t xml:space="preserve"> שאבי היה נואם אורח במסיבת חנוכה בביתו של ר׳ </w:t>
      </w:r>
      <w:proofErr w:type="spellStart"/>
      <w:r>
        <w:rPr>
          <w:rtl/>
        </w:rPr>
        <w:t>משה־מענדל</w:t>
      </w:r>
      <w:proofErr w:type="spellEnd"/>
      <w:r>
        <w:rPr>
          <w:rtl/>
        </w:rPr>
        <w:t xml:space="preserve"> סימון. כשנסתיימה המסיבה, נכנס אבי למטבח לשבח את בעלת הבית על המאפים שהגישה, ואמר: “איני יודע עד כמה היה נאומי טוב, אבל הלביבות שלך היו מצוינות ללא ספק”.</w:t>
      </w:r>
    </w:p>
    <w:p w14:paraId="06FA3335" w14:textId="77777777" w:rsidR="00AB3647" w:rsidRDefault="00000000" w:rsidP="007923E9">
      <w:pPr>
        <w:pStyle w:val="4"/>
        <w:spacing w:line="276" w:lineRule="auto"/>
      </w:pPr>
      <w:r>
        <w:t>· הפסקה השנייה ·</w:t>
      </w:r>
    </w:p>
    <w:p w14:paraId="478B3432" w14:textId="77777777" w:rsidR="00AB3647" w:rsidRDefault="00000000" w:rsidP="007923E9">
      <w:pPr>
        <w:pStyle w:val="5"/>
        <w:spacing w:line="276" w:lineRule="auto"/>
      </w:pPr>
      <w:r>
        <w:t xml:space="preserve">אבי אינו בטוח מדוע אינו אוכל גבינה בערבי שבתות – מקור המנהג – </w:t>
      </w:r>
      <w:proofErr w:type="spellStart"/>
      <w:r>
        <w:t>החזון־איש</w:t>
      </w:r>
      <w:proofErr w:type="spellEnd"/>
      <w:r>
        <w:t xml:space="preserve"> מקיים מנהג משפחתי – ביטול מנהג נתקל בהתנגדות חריפה</w:t>
      </w:r>
    </w:p>
    <w:p w14:paraId="425E47FE" w14:textId="77777777" w:rsidR="00AB3647" w:rsidRDefault="00000000" w:rsidP="007923E9">
      <w:pPr>
        <w:spacing w:after="120" w:line="276" w:lineRule="auto"/>
        <w:ind w:firstLine="283"/>
        <w:jc w:val="both"/>
      </w:pPr>
      <w:r>
        <w:rPr>
          <w:rtl/>
        </w:rPr>
        <w:t xml:space="preserve">אבי אמר שאף שלא ידע מקור מוסמך למנהג הוריו, שיער שאפשר שהוא קשור לדברי מר </w:t>
      </w:r>
      <w:proofErr w:type="spellStart"/>
      <w:r>
        <w:rPr>
          <w:rtl/>
        </w:rPr>
        <w:t>עוקבא</w:t>
      </w:r>
      <w:proofErr w:type="spellEnd"/>
      <w:r>
        <w:rPr>
          <w:rtl/>
        </w:rPr>
        <w:t xml:space="preserve"> במסכת חולין</w:t>
      </w:r>
      <w:bookmarkStart w:id="637" w:name="_fnr379"/>
      <w:r>
        <w:rPr>
          <w:rStyle w:val="a5"/>
        </w:rPr>
        <w:footnoteReference w:id="379" w:customMarkFollows="0"/>
      </w:r>
      <w:bookmarkEnd w:id="637"/>
      <w:r>
        <w:rPr>
          <w:rtl/>
        </w:rPr>
        <w:t xml:space="preserve">: אביו של האמורא הקפיד כל כך בהפרדת בשר וחלב, שהמתין עשרים וארבע שעות אחרי אכילת בשר קודם שאכל גבינה. אם נניח שאביו של מר </w:t>
      </w:r>
      <w:proofErr w:type="spellStart"/>
      <w:r>
        <w:rPr>
          <w:rtl/>
        </w:rPr>
        <w:t>עוקבא</w:t>
      </w:r>
      <w:proofErr w:type="spellEnd"/>
      <w:r>
        <w:rPr>
          <w:rtl/>
        </w:rPr>
        <w:t xml:space="preserve"> נהג אותה הרחקה גם אחרי אכילת </w:t>
      </w:r>
      <w:r>
        <w:rPr>
          <w:b/>
          <w:bCs/>
          <w:rtl/>
        </w:rPr>
        <w:t>גבינה</w:t>
      </w:r>
      <w:r>
        <w:rPr>
          <w:rtl/>
        </w:rPr>
        <w:t xml:space="preserve"> קודם אכילת </w:t>
      </w:r>
      <w:r>
        <w:rPr>
          <w:b/>
          <w:bCs/>
          <w:rtl/>
        </w:rPr>
        <w:t>בשר</w:t>
      </w:r>
      <w:r>
        <w:rPr>
          <w:rtl/>
        </w:rPr>
        <w:t>, ייתכן שהיו אנשים שהחליטו להימנע מגבינה בערבי שבתות, כדי שאם יחליטו לפתע לנהוג באותן חומרות של החכם הקדמון, לא יימנעו מלכבד את השבת בסעודת בשר</w:t>
      </w:r>
      <w:bookmarkStart w:id="638" w:name="_fnr380"/>
      <w:r>
        <w:rPr>
          <w:rStyle w:val="a5"/>
        </w:rPr>
        <w:footnoteReference w:id="380" w:customMarkFollows="0"/>
      </w:r>
      <w:bookmarkEnd w:id="638"/>
      <w:r>
        <w:rPr>
          <w:rtl/>
        </w:rPr>
        <w:t>.</w:t>
      </w:r>
    </w:p>
    <w:p w14:paraId="35FCAF58" w14:textId="77777777" w:rsidR="00AB3647" w:rsidRDefault="00000000" w:rsidP="007923E9">
      <w:pPr>
        <w:spacing w:after="120" w:line="276" w:lineRule="auto"/>
        <w:ind w:firstLine="283"/>
        <w:jc w:val="both"/>
      </w:pPr>
      <w:r>
        <w:rPr>
          <w:rtl/>
        </w:rPr>
        <w:t xml:space="preserve">כעבור כמה שנים מצאתי אזכור של המנהג, בקשר פשוט יותר לסעודת הבשר של ליל שבת, </w:t>
      </w:r>
      <w:proofErr w:type="spellStart"/>
      <w:r>
        <w:rPr>
          <w:rtl/>
        </w:rPr>
        <w:t>ב“ספר</w:t>
      </w:r>
      <w:proofErr w:type="spellEnd"/>
      <w:r>
        <w:rPr>
          <w:rtl/>
        </w:rPr>
        <w:t xml:space="preserve"> מטעמים” מקורות טובים על מנהגי ישראל קדושים, מאת יצחק </w:t>
      </w:r>
      <w:proofErr w:type="spellStart"/>
      <w:r>
        <w:rPr>
          <w:rtl/>
        </w:rPr>
        <w:t>ליפיעץ</w:t>
      </w:r>
      <w:proofErr w:type="spellEnd"/>
      <w:r>
        <w:rPr>
          <w:rtl/>
        </w:rPr>
        <w:t xml:space="preserve"> מעיר </w:t>
      </w:r>
      <w:proofErr w:type="spellStart"/>
      <w:r>
        <w:rPr>
          <w:rtl/>
        </w:rPr>
        <w:t>שעדליץ</w:t>
      </w:r>
      <w:bookmarkStart w:id="639" w:name="_fnr381"/>
      <w:proofErr w:type="spellEnd"/>
      <w:r>
        <w:rPr>
          <w:rStyle w:val="a5"/>
        </w:rPr>
        <w:footnoteReference w:id="381" w:customMarkFollows="0"/>
      </w:r>
      <w:bookmarkEnd w:id="639"/>
      <w:r>
        <w:rPr>
          <w:rtl/>
        </w:rPr>
        <w:t xml:space="preserve">: טעם למנהג שאין </w:t>
      </w:r>
      <w:proofErr w:type="spellStart"/>
      <w:r>
        <w:rPr>
          <w:rtl/>
        </w:rPr>
        <w:t>אוכלין</w:t>
      </w:r>
      <w:proofErr w:type="spellEnd"/>
      <w:r>
        <w:rPr>
          <w:rtl/>
        </w:rPr>
        <w:t xml:space="preserve"> בערב שבת גבינה משום שבלילה ודאי יאכל בשר לכבוד שבת וגזרו משום ימים הקצרים בחורף שלא יוכל להמתין אחריו שש שעות באם יאכל גבינה ישנה וימנע עצמו מסעודת שבת, או ישכח ויאכל, ועל כן עשו הרחקה שלא יאכלו בשום ערב שבת אפי׳ בקיץ</w:t>
      </w:r>
      <w:bookmarkStart w:id="640" w:name="_fnr382"/>
      <w:r>
        <w:rPr>
          <w:rStyle w:val="a5"/>
        </w:rPr>
        <w:footnoteReference w:id="382" w:customMarkFollows="0"/>
      </w:r>
      <w:bookmarkEnd w:id="640"/>
      <w:r>
        <w:rPr>
          <w:rtl/>
        </w:rPr>
        <w:t>.</w:t>
      </w:r>
    </w:p>
    <w:p w14:paraId="39DF952A" w14:textId="77777777" w:rsidR="00AB3647" w:rsidRDefault="00000000" w:rsidP="007923E9">
      <w:pPr>
        <w:spacing w:after="120" w:line="276" w:lineRule="auto"/>
        <w:ind w:firstLine="283"/>
        <w:jc w:val="both"/>
      </w:pPr>
      <w:r>
        <w:rPr>
          <w:rtl/>
        </w:rPr>
        <w:t>רבנו אמר עוד שכעבור זמן מצא בספר חסידים שאין ללעוג למנהג “אפילו אם הוא סתום כמו שלא לאכול מאכלי חלב בערבי שבתות”</w:t>
      </w:r>
      <w:bookmarkStart w:id="641" w:name="_fnr383"/>
      <w:r>
        <w:rPr>
          <w:rStyle w:val="a5"/>
        </w:rPr>
        <w:footnoteReference w:id="383" w:customMarkFollows="0"/>
      </w:r>
      <w:bookmarkEnd w:id="641"/>
      <w:r>
        <w:rPr>
          <w:rtl/>
        </w:rPr>
        <w:t>.</w:t>
      </w:r>
    </w:p>
    <w:p w14:paraId="516A5010" w14:textId="77777777" w:rsidR="00AB3647" w:rsidRDefault="00000000" w:rsidP="007923E9">
      <w:pPr>
        <w:spacing w:after="120" w:line="276" w:lineRule="auto"/>
        <w:ind w:firstLine="283"/>
        <w:jc w:val="both"/>
      </w:pPr>
      <w:r>
        <w:rPr>
          <w:rtl/>
        </w:rPr>
        <w:t xml:space="preserve">ר׳ </w:t>
      </w:r>
      <w:proofErr w:type="spellStart"/>
      <w:r>
        <w:rPr>
          <w:rtl/>
        </w:rPr>
        <w:t>אברהם־ישראל</w:t>
      </w:r>
      <w:proofErr w:type="spellEnd"/>
      <w:r>
        <w:rPr>
          <w:rtl/>
        </w:rPr>
        <w:t xml:space="preserve"> </w:t>
      </w:r>
      <w:proofErr w:type="spellStart"/>
      <w:r>
        <w:rPr>
          <w:rtl/>
        </w:rPr>
        <w:t>געליס</w:t>
      </w:r>
      <w:proofErr w:type="spellEnd"/>
      <w:r>
        <w:rPr>
          <w:rtl/>
        </w:rPr>
        <w:t xml:space="preserve"> סיפר</w:t>
      </w:r>
      <w:bookmarkStart w:id="642" w:name="_fnr384"/>
      <w:r>
        <w:rPr>
          <w:rStyle w:val="a5"/>
        </w:rPr>
        <w:footnoteReference w:id="384" w:customMarkFollows="0"/>
      </w:r>
      <w:bookmarkEnd w:id="642"/>
      <w:r>
        <w:rPr>
          <w:rtl/>
        </w:rPr>
        <w:t xml:space="preserve"> מעשה </w:t>
      </w:r>
      <w:proofErr w:type="spellStart"/>
      <w:r>
        <w:rPr>
          <w:rtl/>
        </w:rPr>
        <w:t>בחזון־איש</w:t>
      </w:r>
      <w:proofErr w:type="spellEnd"/>
      <w:r>
        <w:rPr>
          <w:rtl/>
        </w:rPr>
        <w:t xml:space="preserve">, המלמד עד כמה הרחיק לכת בשמירת מנהגי משפחתו. בביתו של </w:t>
      </w:r>
      <w:proofErr w:type="spellStart"/>
      <w:r>
        <w:rPr>
          <w:rtl/>
        </w:rPr>
        <w:t>החזון־איש</w:t>
      </w:r>
      <w:proofErr w:type="spellEnd"/>
      <w:r>
        <w:rPr>
          <w:rtl/>
        </w:rPr>
        <w:t xml:space="preserve"> היה מנין, ובו קרא בתורה ר׳ אפרים </w:t>
      </w:r>
      <w:proofErr w:type="spellStart"/>
      <w:r>
        <w:rPr>
          <w:rtl/>
        </w:rPr>
        <w:t>געליס</w:t>
      </w:r>
      <w:proofErr w:type="spellEnd"/>
      <w:r>
        <w:rPr>
          <w:rtl/>
        </w:rPr>
        <w:t>, בן דודו של המרואיין. “</w:t>
      </w:r>
      <w:proofErr w:type="spellStart"/>
      <w:r>
        <w:rPr>
          <w:rtl/>
        </w:rPr>
        <w:t>החזון־איש</w:t>
      </w:r>
      <w:proofErr w:type="spellEnd"/>
      <w:r>
        <w:rPr>
          <w:rtl/>
        </w:rPr>
        <w:t xml:space="preserve"> נהנה מן ההגייה המדויקת על פי הדקדוק של אותו ירושלמי בכל מילה </w:t>
      </w:r>
      <w:r>
        <w:rPr>
          <w:rtl/>
        </w:rPr>
        <w:lastRenderedPageBreak/>
        <w:t xml:space="preserve">ומילה ובכל טעם וטעם”, אמר המרואיין. באחד מימי קריאת התורה הבחין ר׳ אפרים </w:t>
      </w:r>
      <w:proofErr w:type="spellStart"/>
      <w:r>
        <w:rPr>
          <w:rtl/>
        </w:rPr>
        <w:t>שהחזון־איש</w:t>
      </w:r>
      <w:proofErr w:type="spellEnd"/>
      <w:r>
        <w:rPr>
          <w:rtl/>
        </w:rPr>
        <w:t xml:space="preserve"> לבוש חולצה וחלוק נאים יותר מאשר בימות החול הרגילים, והרהיב עוז לשאול מה הטעם. </w:t>
      </w:r>
      <w:proofErr w:type="spellStart"/>
      <w:r>
        <w:rPr>
          <w:rtl/>
        </w:rPr>
        <w:t>החזון־איש</w:t>
      </w:r>
      <w:proofErr w:type="spellEnd"/>
      <w:r>
        <w:rPr>
          <w:rtl/>
        </w:rPr>
        <w:t xml:space="preserve"> השיב תשובה מדהימה: באותו תאריך הטיל הגאון מווילנה את החרם על החסידים, ובמשפחתו היה מנהג לציין את היום מדי שנה.</w:t>
      </w:r>
    </w:p>
    <w:p w14:paraId="768E4D8D" w14:textId="77777777" w:rsidR="00AB3647" w:rsidRDefault="00000000" w:rsidP="007923E9">
      <w:pPr>
        <w:spacing w:after="120" w:line="276" w:lineRule="auto"/>
        <w:ind w:firstLine="283"/>
        <w:jc w:val="both"/>
      </w:pPr>
      <w:r>
        <w:rPr>
          <w:rtl/>
        </w:rPr>
        <w:t xml:space="preserve">על חגיגה </w:t>
      </w:r>
      <w:proofErr w:type="spellStart"/>
      <w:r>
        <w:rPr>
          <w:rtl/>
        </w:rPr>
        <w:t>מתנגדית</w:t>
      </w:r>
      <w:proofErr w:type="spellEnd"/>
      <w:r>
        <w:rPr>
          <w:rtl/>
        </w:rPr>
        <w:t xml:space="preserve"> קנאית כביכול כזו, השווה “פנקס </w:t>
      </w:r>
      <w:proofErr w:type="spellStart"/>
      <w:r>
        <w:rPr>
          <w:rtl/>
        </w:rPr>
        <w:t>סלוצק</w:t>
      </w:r>
      <w:proofErr w:type="spellEnd"/>
      <w:r>
        <w:rPr>
          <w:rtl/>
        </w:rPr>
        <w:t xml:space="preserve"> ובנותיה”</w:t>
      </w:r>
      <w:bookmarkStart w:id="643" w:name="_fnr385"/>
      <w:r>
        <w:rPr>
          <w:rStyle w:val="a5"/>
        </w:rPr>
        <w:footnoteReference w:id="385" w:customMarkFollows="0"/>
      </w:r>
      <w:bookmarkEnd w:id="643"/>
      <w:r>
        <w:rPr>
          <w:rtl/>
        </w:rPr>
        <w:t xml:space="preserve">: </w:t>
      </w:r>
      <w:proofErr w:type="spellStart"/>
      <w:r>
        <w:rPr>
          <w:rtl/>
        </w:rPr>
        <w:t>קוסובה</w:t>
      </w:r>
      <w:proofErr w:type="spellEnd"/>
      <w:r>
        <w:rPr>
          <w:rtl/>
        </w:rPr>
        <w:t xml:space="preserve">, עיר הולדתו של </w:t>
      </w:r>
      <w:proofErr w:type="spellStart"/>
      <w:r>
        <w:rPr>
          <w:rtl/>
        </w:rPr>
        <w:t>החזון־איש</w:t>
      </w:r>
      <w:proofErr w:type="spellEnd"/>
      <w:r>
        <w:rPr>
          <w:rtl/>
        </w:rPr>
        <w:t>, הייתה אחת מארבע הערים – הידועות בראשי התיבות “כרפס”</w:t>
      </w:r>
      <w:bookmarkStart w:id="644" w:name="_fnr386"/>
      <w:r>
        <w:rPr>
          <w:rStyle w:val="a5"/>
        </w:rPr>
        <w:footnoteReference w:id="386" w:customMarkFollows="0"/>
      </w:r>
      <w:bookmarkEnd w:id="644"/>
      <w:r>
        <w:rPr>
          <w:rtl/>
        </w:rPr>
        <w:t xml:space="preserve"> – שבהן מעולם לא הצליחו החסידים להיאחז. הן </w:t>
      </w:r>
      <w:proofErr w:type="spellStart"/>
      <w:r>
        <w:rPr>
          <w:b/>
          <w:bCs/>
          <w:rtl/>
        </w:rPr>
        <w:t>ק</w:t>
      </w:r>
      <w:r>
        <w:rPr>
          <w:rtl/>
        </w:rPr>
        <w:t>וסובה</w:t>
      </w:r>
      <w:proofErr w:type="spellEnd"/>
      <w:r>
        <w:rPr>
          <w:rtl/>
        </w:rPr>
        <w:t xml:space="preserve">, </w:t>
      </w:r>
      <w:proofErr w:type="spellStart"/>
      <w:r>
        <w:rPr>
          <w:b/>
          <w:bCs/>
          <w:rtl/>
        </w:rPr>
        <w:t>ר</w:t>
      </w:r>
      <w:r>
        <w:rPr>
          <w:rtl/>
        </w:rPr>
        <w:t>וז׳ינאי</w:t>
      </w:r>
      <w:proofErr w:type="spellEnd"/>
      <w:r>
        <w:rPr>
          <w:rtl/>
        </w:rPr>
        <w:t xml:space="preserve"> (שבה כיהן ר׳ </w:t>
      </w:r>
      <w:proofErr w:type="spellStart"/>
      <w:r>
        <w:rPr>
          <w:rtl/>
        </w:rPr>
        <w:t>מרדכי־גימפל</w:t>
      </w:r>
      <w:proofErr w:type="spellEnd"/>
      <w:r>
        <w:rPr>
          <w:rtl/>
        </w:rPr>
        <w:t xml:space="preserve"> יפה כרב), </w:t>
      </w:r>
      <w:proofErr w:type="spellStart"/>
      <w:r>
        <w:rPr>
          <w:b/>
          <w:bCs/>
          <w:rtl/>
        </w:rPr>
        <w:t>פ</w:t>
      </w:r>
      <w:r>
        <w:rPr>
          <w:rtl/>
        </w:rPr>
        <w:t>רוז׳ני</w:t>
      </w:r>
      <w:proofErr w:type="spellEnd"/>
      <w:r>
        <w:rPr>
          <w:rtl/>
        </w:rPr>
        <w:t xml:space="preserve"> (שבה כיהן כרב ר׳ אליהו </w:t>
      </w:r>
      <w:proofErr w:type="spellStart"/>
      <w:r>
        <w:rPr>
          <w:rtl/>
        </w:rPr>
        <w:t>פיינשטיין</w:t>
      </w:r>
      <w:proofErr w:type="spellEnd"/>
      <w:r>
        <w:rPr>
          <w:rtl/>
        </w:rPr>
        <w:t xml:space="preserve">, חותנו של ר׳ משה </w:t>
      </w:r>
      <w:proofErr w:type="spellStart"/>
      <w:r>
        <w:rPr>
          <w:rtl/>
        </w:rPr>
        <w:t>סולובייצ׳יק</w:t>
      </w:r>
      <w:proofErr w:type="spellEnd"/>
      <w:r>
        <w:rPr>
          <w:rtl/>
        </w:rPr>
        <w:t xml:space="preserve">) </w:t>
      </w:r>
      <w:proofErr w:type="spellStart"/>
      <w:r>
        <w:rPr>
          <w:rtl/>
        </w:rPr>
        <w:t>ו</w:t>
      </w:r>
      <w:r>
        <w:rPr>
          <w:b/>
          <w:bCs/>
          <w:rtl/>
        </w:rPr>
        <w:t>ס</w:t>
      </w:r>
      <w:r>
        <w:rPr>
          <w:rtl/>
        </w:rPr>
        <w:t>לוצק</w:t>
      </w:r>
      <w:proofErr w:type="spellEnd"/>
      <w:r>
        <w:rPr>
          <w:rtl/>
        </w:rPr>
        <w:t>.</w:t>
      </w:r>
    </w:p>
    <w:p w14:paraId="4C420EF6" w14:textId="77777777" w:rsidR="00AB3647" w:rsidRDefault="00000000" w:rsidP="007923E9">
      <w:pPr>
        <w:spacing w:after="120" w:line="276" w:lineRule="auto"/>
        <w:ind w:firstLine="283"/>
        <w:jc w:val="both"/>
      </w:pPr>
      <w:r>
        <w:rPr>
          <w:rtl/>
        </w:rPr>
        <w:t xml:space="preserve">“פנקס </w:t>
      </w:r>
      <w:proofErr w:type="spellStart"/>
      <w:r>
        <w:rPr>
          <w:rtl/>
        </w:rPr>
        <w:t>סלוצק</w:t>
      </w:r>
      <w:proofErr w:type="spellEnd"/>
      <w:r>
        <w:rPr>
          <w:rtl/>
        </w:rPr>
        <w:t xml:space="preserve">” מביא “אגדה חסידית” הנוגעת </w:t>
      </w:r>
      <w:proofErr w:type="spellStart"/>
      <w:r>
        <w:rPr>
          <w:rtl/>
        </w:rPr>
        <w:t>לסלוצק</w:t>
      </w:r>
      <w:proofErr w:type="spellEnd"/>
      <w:r>
        <w:rPr>
          <w:rtl/>
        </w:rPr>
        <w:t xml:space="preserve">. כשקיבל עליו </w:t>
      </w:r>
      <w:proofErr w:type="spellStart"/>
      <w:r>
        <w:rPr>
          <w:rtl/>
        </w:rPr>
        <w:t>הבעש״ט</w:t>
      </w:r>
      <w:proofErr w:type="spellEnd"/>
      <w:r>
        <w:rPr>
          <w:rtl/>
        </w:rPr>
        <w:t xml:space="preserve"> תשובת “גלות” ונדד ממקום למקום, הגיע </w:t>
      </w:r>
      <w:proofErr w:type="spellStart"/>
      <w:r>
        <w:rPr>
          <w:rtl/>
        </w:rPr>
        <w:t>לסלוצק</w:t>
      </w:r>
      <w:proofErr w:type="spellEnd"/>
      <w:r>
        <w:rPr>
          <w:rtl/>
        </w:rPr>
        <w:t xml:space="preserve">, ותושביה לא קיבלוהו יפה. מפני שהתפלל בנוסח החסידים, הלקו אותו על אבן גדולה מחוץ לבית הכנסת, וכעבור מאה וחמישים שנה עדיין זיהו את האבן שלפני בית הכנסת </w:t>
      </w:r>
      <w:proofErr w:type="spellStart"/>
      <w:r>
        <w:rPr>
          <w:rtl/>
        </w:rPr>
        <w:t>ה“קר</w:t>
      </w:r>
      <w:proofErr w:type="spellEnd"/>
      <w:r>
        <w:rPr>
          <w:rtl/>
        </w:rPr>
        <w:t>”</w:t>
      </w:r>
      <w:bookmarkStart w:id="645" w:name="_fnr387"/>
      <w:r>
        <w:rPr>
          <w:rStyle w:val="a5"/>
        </w:rPr>
        <w:footnoteReference w:id="387" w:customMarkFollows="0"/>
      </w:r>
      <w:bookmarkEnd w:id="645"/>
      <w:r>
        <w:rPr>
          <w:rtl/>
        </w:rPr>
        <w:t xml:space="preserve"> עם מעשה זה. אז “קילל” </w:t>
      </w:r>
      <w:proofErr w:type="spellStart"/>
      <w:r>
        <w:rPr>
          <w:rtl/>
        </w:rPr>
        <w:t>הבעש״ט</w:t>
      </w:r>
      <w:proofErr w:type="spellEnd"/>
      <w:r>
        <w:rPr>
          <w:rtl/>
        </w:rPr>
        <w:t xml:space="preserve"> את העיר שלא ישבו בה חסידים לעולם. שלוש הערים האחרות נשארו כנראה בלי חסידים מסיבה דומה: החסידים היו שם בלתי רצויים, כשם שהיה מייסד תנועתם </w:t>
      </w:r>
      <w:proofErr w:type="spellStart"/>
      <w:r>
        <w:rPr>
          <w:rtl/>
        </w:rPr>
        <w:t>בסלוצק</w:t>
      </w:r>
      <w:proofErr w:type="spellEnd"/>
      <w:r>
        <w:rPr>
          <w:rtl/>
        </w:rPr>
        <w:t>.</w:t>
      </w:r>
    </w:p>
    <w:p w14:paraId="1D44CD35" w14:textId="77777777" w:rsidR="00AB3647" w:rsidRDefault="00000000" w:rsidP="007923E9">
      <w:pPr>
        <w:spacing w:after="120" w:line="276" w:lineRule="auto"/>
        <w:ind w:firstLine="283"/>
        <w:jc w:val="both"/>
      </w:pPr>
      <w:r>
        <w:rPr>
          <w:rtl/>
        </w:rPr>
        <w:t xml:space="preserve">ועיין </w:t>
      </w:r>
      <w:proofErr w:type="spellStart"/>
      <w:r>
        <w:rPr>
          <w:rtl/>
        </w:rPr>
        <w:t>בשו״ע</w:t>
      </w:r>
      <w:proofErr w:type="spellEnd"/>
      <w:r>
        <w:rPr>
          <w:rtl/>
        </w:rPr>
        <w:t xml:space="preserve"> </w:t>
      </w:r>
      <w:proofErr w:type="spellStart"/>
      <w:r>
        <w:rPr>
          <w:rtl/>
        </w:rPr>
        <w:t>או״ח</w:t>
      </w:r>
      <w:proofErr w:type="spellEnd"/>
      <w:r>
        <w:rPr>
          <w:rtl/>
        </w:rPr>
        <w:t xml:space="preserve"> סי׳ תר״צ </w:t>
      </w:r>
      <w:proofErr w:type="spellStart"/>
      <w:r>
        <w:rPr>
          <w:rtl/>
        </w:rPr>
        <w:t>סי״ז</w:t>
      </w:r>
      <w:proofErr w:type="spellEnd"/>
      <w:r>
        <w:rPr>
          <w:rtl/>
        </w:rPr>
        <w:t xml:space="preserve"> בהגה “ואין לבטל שום מנהג או ללעוג עליו כי לא לחנם </w:t>
      </w:r>
      <w:proofErr w:type="spellStart"/>
      <w:r>
        <w:rPr>
          <w:rtl/>
        </w:rPr>
        <w:t>הוקבע</w:t>
      </w:r>
      <w:proofErr w:type="spellEnd"/>
      <w:r>
        <w:rPr>
          <w:rtl/>
        </w:rPr>
        <w:t xml:space="preserve">” </w:t>
      </w:r>
      <w:proofErr w:type="spellStart"/>
      <w:r>
        <w:rPr>
          <w:rtl/>
        </w:rPr>
        <w:t>ובמג״א</w:t>
      </w:r>
      <w:proofErr w:type="spellEnd"/>
      <w:r>
        <w:rPr>
          <w:rtl/>
        </w:rPr>
        <w:t>.</w:t>
      </w:r>
    </w:p>
    <w:p w14:paraId="73813BEC" w14:textId="77777777" w:rsidR="00AB3647" w:rsidRDefault="00000000" w:rsidP="007923E9">
      <w:pPr>
        <w:spacing w:after="120" w:line="276" w:lineRule="auto"/>
        <w:ind w:firstLine="283"/>
        <w:jc w:val="both"/>
      </w:pPr>
      <w:r>
        <w:rPr>
          <w:rtl/>
        </w:rPr>
        <w:t>וראה בספר “הצדיק רבי שלמה”</w:t>
      </w:r>
      <w:bookmarkStart w:id="646" w:name="_fnr388"/>
      <w:r>
        <w:rPr>
          <w:rStyle w:val="a5"/>
        </w:rPr>
        <w:footnoteReference w:id="388" w:customMarkFollows="0"/>
      </w:r>
      <w:bookmarkEnd w:id="646"/>
      <w:r>
        <w:rPr>
          <w:rtl/>
        </w:rPr>
        <w:t xml:space="preserve"> דבר נורא: החפץ חיים שח פעם </w:t>
      </w:r>
      <w:proofErr w:type="spellStart"/>
      <w:r>
        <w:rPr>
          <w:rtl/>
        </w:rPr>
        <w:t>לר</w:t>
      </w:r>
      <w:proofErr w:type="spellEnd"/>
      <w:r>
        <w:rPr>
          <w:rtl/>
        </w:rPr>
        <w:t xml:space="preserve">׳ אלחנן, למה ירקדו הבחורים כ״כ בשמחת תורה כי הרי בני עניים הם והנעליים משתפשפות, וכשענה ר׳ אלחנן שהרי מצווה היא, הראה לו במשנה ברורה שאסור לרקוד ביו״ט, ומעיקרא </w:t>
      </w:r>
      <w:proofErr w:type="spellStart"/>
      <w:r>
        <w:rPr>
          <w:rtl/>
        </w:rPr>
        <w:t>דדינא</w:t>
      </w:r>
      <w:proofErr w:type="spellEnd"/>
      <w:r>
        <w:rPr>
          <w:rtl/>
        </w:rPr>
        <w:t xml:space="preserve"> גם </w:t>
      </w:r>
      <w:proofErr w:type="spellStart"/>
      <w:r>
        <w:rPr>
          <w:rtl/>
        </w:rPr>
        <w:t>בש״ת</w:t>
      </w:r>
      <w:proofErr w:type="spellEnd"/>
      <w:r>
        <w:rPr>
          <w:rtl/>
        </w:rPr>
        <w:t xml:space="preserve"> אסור, אך לבטל מנהג ישראל ג״כ אסור </w:t>
      </w:r>
      <w:proofErr w:type="spellStart"/>
      <w:r>
        <w:rPr>
          <w:rtl/>
        </w:rPr>
        <w:t>דמנהגי</w:t>
      </w:r>
      <w:proofErr w:type="spellEnd"/>
      <w:r>
        <w:rPr>
          <w:rtl/>
        </w:rPr>
        <w:t xml:space="preserve"> ישראל קדושים הם, ורק משום טעם זה פסק בסימן תרס״ט </w:t>
      </w:r>
      <w:proofErr w:type="spellStart"/>
      <w:r>
        <w:rPr>
          <w:rtl/>
        </w:rPr>
        <w:t>סק״ה</w:t>
      </w:r>
      <w:proofErr w:type="spellEnd"/>
      <w:r>
        <w:rPr>
          <w:rtl/>
        </w:rPr>
        <w:t xml:space="preserve"> שלכבוד התורה מותר לרקוד ביו״ט.</w:t>
      </w:r>
    </w:p>
    <w:p w14:paraId="3FE4CC7D" w14:textId="77777777" w:rsidR="00AB3647" w:rsidRDefault="00000000" w:rsidP="007923E9">
      <w:pPr>
        <w:spacing w:after="120" w:line="276" w:lineRule="auto"/>
        <w:ind w:firstLine="283"/>
        <w:jc w:val="both"/>
      </w:pPr>
      <w:r>
        <w:rPr>
          <w:rtl/>
        </w:rPr>
        <w:t xml:space="preserve">ועיין במוסף ערב שבת של “יתד נאמן” (פרשת אמור תשנ״ז, עמ׳ ז), שהחתם סופר יצא לנופש בעיירה יערגן שע״י עירו </w:t>
      </w:r>
      <w:proofErr w:type="spellStart"/>
      <w:r>
        <w:rPr>
          <w:rtl/>
        </w:rPr>
        <w:t>פרשבורג</w:t>
      </w:r>
      <w:proofErr w:type="spellEnd"/>
      <w:r>
        <w:rPr>
          <w:rtl/>
        </w:rPr>
        <w:t xml:space="preserve"> ושכר שם דירה אצל יהודי </w:t>
      </w:r>
      <w:proofErr w:type="spellStart"/>
      <w:r>
        <w:rPr>
          <w:rtl/>
        </w:rPr>
        <w:t>עם־הארץ</w:t>
      </w:r>
      <w:proofErr w:type="spellEnd"/>
      <w:r>
        <w:rPr>
          <w:rtl/>
        </w:rPr>
        <w:t xml:space="preserve"> והלה הוציא עליו קול שאינו מדקדק במצוות משום שלא עשה קידוש על היין לפני סעודת יום השבת – בלי שידע שמותר לעשות קידוש על פת הבא </w:t>
      </w:r>
      <w:proofErr w:type="spellStart"/>
      <w:r>
        <w:rPr>
          <w:rtl/>
        </w:rPr>
        <w:t>בכיסנין</w:t>
      </w:r>
      <w:proofErr w:type="spellEnd"/>
      <w:r>
        <w:rPr>
          <w:rtl/>
        </w:rPr>
        <w:t xml:space="preserve"> בבקר ולאכול הסעודה אח״כ בלי </w:t>
      </w:r>
      <w:proofErr w:type="spellStart"/>
      <w:r>
        <w:rPr>
          <w:rtl/>
        </w:rPr>
        <w:t>קידושא</w:t>
      </w:r>
      <w:proofErr w:type="spellEnd"/>
      <w:r>
        <w:rPr>
          <w:rtl/>
        </w:rPr>
        <w:t xml:space="preserve"> רבא. כשנודע הדבר </w:t>
      </w:r>
      <w:proofErr w:type="spellStart"/>
      <w:r>
        <w:rPr>
          <w:rtl/>
        </w:rPr>
        <w:t>לחת״ס</w:t>
      </w:r>
      <w:proofErr w:type="spellEnd"/>
      <w:r>
        <w:rPr>
          <w:rtl/>
        </w:rPr>
        <w:t xml:space="preserve"> הי׳ נסער ממה שנשכח ממנו האיסור לדור בשכנות של עם הארץ חסיד</w:t>
      </w:r>
      <w:bookmarkStart w:id="647" w:name="_fnr389"/>
      <w:r>
        <w:rPr>
          <w:rStyle w:val="a5"/>
        </w:rPr>
        <w:footnoteReference w:id="389" w:customMarkFollows="0"/>
      </w:r>
      <w:bookmarkEnd w:id="647"/>
      <w:r>
        <w:rPr>
          <w:rtl/>
        </w:rPr>
        <w:t xml:space="preserve">, ואחר זמן רב הגיע למסקנה שנכשל בזה כדי ללמוד מוסר השכל שעיקר קיום אמונת </w:t>
      </w:r>
      <w:r>
        <w:rPr>
          <w:rtl/>
        </w:rPr>
        <w:lastRenderedPageBreak/>
        <w:t>בית ישראל הוא ע״י מסורת אבות “שיאמינו לאבותיהם יותר מאשר לרבניהם”, וזה חסד מן השמים שלא ימשך כלל ישראל אחר המחדשים למיניהם</w:t>
      </w:r>
      <w:bookmarkStart w:id="648" w:name="_fnr390"/>
      <w:r>
        <w:rPr>
          <w:rStyle w:val="a5"/>
        </w:rPr>
        <w:footnoteReference w:id="390" w:customMarkFollows="0"/>
      </w:r>
      <w:bookmarkEnd w:id="648"/>
      <w:r>
        <w:rPr>
          <w:rtl/>
        </w:rPr>
        <w:t>.</w:t>
      </w:r>
    </w:p>
    <w:p w14:paraId="4785A5B6" w14:textId="77777777" w:rsidR="00AB3647" w:rsidRDefault="00000000" w:rsidP="007923E9">
      <w:pPr>
        <w:pStyle w:val="4"/>
        <w:spacing w:line="276" w:lineRule="auto"/>
      </w:pPr>
      <w:r>
        <w:t>· הפסקה השלישית ·</w:t>
      </w:r>
    </w:p>
    <w:p w14:paraId="6D3309D6" w14:textId="77777777" w:rsidR="00AB3647" w:rsidRDefault="00000000" w:rsidP="007923E9">
      <w:pPr>
        <w:pStyle w:val="5"/>
        <w:spacing w:line="276" w:lineRule="auto"/>
      </w:pPr>
      <w:r>
        <w:t xml:space="preserve">ר׳ ישראל </w:t>
      </w:r>
      <w:proofErr w:type="spellStart"/>
      <w:r>
        <w:t>סלנטר</w:t>
      </w:r>
      <w:proofErr w:type="spellEnd"/>
      <w:r>
        <w:t xml:space="preserve"> מקיים מנהג קל – הוא מניח למנהג הרווח לגבור על ההלכה – ר׳ </w:t>
      </w:r>
      <w:proofErr w:type="spellStart"/>
      <w:r>
        <w:t>שלמה־זלמן</w:t>
      </w:r>
      <w:proofErr w:type="spellEnd"/>
      <w:r>
        <w:t xml:space="preserve"> </w:t>
      </w:r>
      <w:proofErr w:type="spellStart"/>
      <w:r>
        <w:t xml:space="preserve">אוירבך</w:t>
      </w:r>
      <w:proofErr w:type="spellEnd"/>
      <w:r>
        <w:t xml:space="preserve"> אומר לילד לנהוג כמנהג שהרב סבור שהוא שגוי על פי ההלכה – יש המקיימים מנהגים בחומרה יתרה משל דינים ממש</w:t>
      </w:r>
    </w:p>
    <w:p w14:paraId="5A0D44F6" w14:textId="104FB38C" w:rsidR="00AB3647" w:rsidRDefault="00000000" w:rsidP="007923E9">
      <w:pPr>
        <w:spacing w:after="120" w:line="276" w:lineRule="auto"/>
        <w:ind w:firstLine="283"/>
        <w:jc w:val="both"/>
      </w:pPr>
      <w:bookmarkStart w:id="649" w:name="pr_b_349"/>
      <w:bookmarkEnd w:id="649"/>
      <w:r>
        <w:rPr>
          <w:rtl/>
        </w:rPr>
        <w:t xml:space="preserve">השקפה על מנהגים, הדומה לזו של רבנו, מצויה </w:t>
      </w:r>
      <w:proofErr w:type="spellStart"/>
      <w:r>
        <w:rPr>
          <w:rtl/>
        </w:rPr>
        <w:t>ב“כתבי</w:t>
      </w:r>
      <w:proofErr w:type="spellEnd"/>
      <w:r>
        <w:rPr>
          <w:rtl/>
        </w:rPr>
        <w:t xml:space="preserve"> הסבא ותלמידיו מקלם”</w:t>
      </w:r>
      <w:bookmarkStart w:id="650" w:name="_fnr391"/>
      <w:r>
        <w:rPr>
          <w:rStyle w:val="a5"/>
        </w:rPr>
        <w:footnoteReference w:id="391" w:customMarkFollows="0"/>
      </w:r>
      <w:bookmarkEnd w:id="650"/>
      <w:r>
        <w:rPr>
          <w:rtl/>
        </w:rPr>
        <w:t xml:space="preserve">, המביא את המעשה הבא בשם ר׳ גרשון </w:t>
      </w:r>
      <w:proofErr w:type="spellStart"/>
      <w:r>
        <w:rPr>
          <w:rtl/>
        </w:rPr>
        <w:t>מיאדניק</w:t>
      </w:r>
      <w:bookmarkStart w:id="651" w:name="_fnr392"/>
      <w:proofErr w:type="spellEnd"/>
      <w:r>
        <w:rPr>
          <w:rStyle w:val="a5"/>
        </w:rPr>
        <w:footnoteReference w:id="392" w:customMarkFollows="0"/>
      </w:r>
      <w:bookmarkEnd w:id="651"/>
      <w:r>
        <w:rPr>
          <w:rtl/>
        </w:rPr>
        <w:t xml:space="preserve">. תלמידי ר׳ ישראל </w:t>
      </w:r>
      <w:proofErr w:type="spellStart"/>
      <w:r>
        <w:rPr>
          <w:rtl/>
        </w:rPr>
        <w:t>סלנטר</w:t>
      </w:r>
      <w:proofErr w:type="spellEnd"/>
      <w:r>
        <w:rPr>
          <w:rtl/>
        </w:rPr>
        <w:t xml:space="preserve"> התפללו עם רבם בשמיני עצרת ושלחו מישהו להביא </w:t>
      </w:r>
      <w:proofErr w:type="spellStart"/>
      <w:r>
        <w:rPr>
          <w:rtl/>
        </w:rPr>
        <w:t>קיטל</w:t>
      </w:r>
      <w:proofErr w:type="spellEnd"/>
      <w:r>
        <w:rPr>
          <w:rtl/>
        </w:rPr>
        <w:t xml:space="preserve"> לחזן לאמירת תפילת הגשם, כמנהג. כשהשליח התמהמה, שאל אחד מן החבורה את ר׳ ישראל אם צריך להמתין זמן רב כל כך </w:t>
      </w:r>
      <w:proofErr w:type="spellStart"/>
      <w:r>
        <w:rPr>
          <w:rtl/>
        </w:rPr>
        <w:t>לקיטל</w:t>
      </w:r>
      <w:proofErr w:type="spellEnd"/>
      <w:r>
        <w:rPr>
          <w:rtl/>
        </w:rPr>
        <w:t xml:space="preserve">, והשיב: “מה נשאר לנו מלבד </w:t>
      </w:r>
      <w:proofErr w:type="spellStart"/>
      <w:r>
        <w:rPr>
          <w:rtl/>
        </w:rPr>
        <w:t>הקיטל</w:t>
      </w:r>
      <w:proofErr w:type="spellEnd"/>
      <w:r>
        <w:rPr>
          <w:rtl/>
        </w:rPr>
        <w:t xml:space="preserve">?!” כוונתו הייתה ששמירת מנהגי ישראל היא הכרחית כדי שנשמור על היהדות. והשווה גם פרק 4, סוף </w:t>
      </w:r>
      <w:r>
        <w:rPr>
          <w:rtl/>
        </w:rPr>
        <w:fldChar w:fldCharType="begin" w:dirty="true"/>
      </w:r>
      <w:r>
        <w:rPr>
          <w:rtl/>
        </w:rPr>
        <w:instrText xml:space="preserve"> REF b4_excA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א</w:t>
      </w:r>
      <w:r>
        <w:rPr>
          <w:rtl/>
        </w:rPr>
        <w:fldChar w:fldCharType="end"/>
      </w:r>
      <w:r>
        <w:rPr>
          <w:rtl/>
        </w:rPr>
        <w:t xml:space="preserve">, בשם מאמרו של ר׳ </w:t>
      </w:r>
      <w:proofErr w:type="spellStart"/>
      <w:r>
        <w:rPr>
          <w:rtl/>
        </w:rPr>
        <w:t>מנחם־מנדל</w:t>
      </w:r>
      <w:proofErr w:type="spellEnd"/>
      <w:r>
        <w:rPr>
          <w:rtl/>
        </w:rPr>
        <w:t xml:space="preserve"> שוק </w:t>
      </w:r>
      <w:proofErr w:type="spellStart"/>
      <w:r>
        <w:rPr>
          <w:rtl/>
        </w:rPr>
        <w:t>ב“מוריה</w:t>
      </w:r>
      <w:proofErr w:type="spellEnd"/>
      <w:r>
        <w:rPr>
          <w:rtl/>
        </w:rPr>
        <w:t>”.</w:t>
      </w:r>
    </w:p>
    <w:p w14:paraId="4A1B72B3" w14:textId="77777777" w:rsidR="00AB3647" w:rsidRDefault="00000000" w:rsidP="007923E9">
      <w:pPr>
        <w:spacing w:after="120" w:line="276" w:lineRule="auto"/>
        <w:ind w:firstLine="283"/>
        <w:jc w:val="both"/>
      </w:pPr>
      <w:r>
        <w:rPr>
          <w:rtl/>
        </w:rPr>
        <w:t xml:space="preserve">דומה לגישתו של ר׳ ישראל בעניין </w:t>
      </w:r>
      <w:proofErr w:type="spellStart"/>
      <w:r>
        <w:rPr>
          <w:rtl/>
        </w:rPr>
        <w:t>הקיטל</w:t>
      </w:r>
      <w:proofErr w:type="spellEnd"/>
      <w:r>
        <w:rPr>
          <w:rtl/>
        </w:rPr>
        <w:t xml:space="preserve"> מעשה המובא בספרו של כץ, “תנועת המוסר”, כרך א</w:t>
      </w:r>
      <w:bookmarkStart w:id="652" w:name="_fnr393"/>
      <w:r>
        <w:rPr>
          <w:rStyle w:val="a5"/>
        </w:rPr>
        <w:footnoteReference w:id="393" w:customMarkFollows="0"/>
      </w:r>
      <w:bookmarkEnd w:id="652"/>
      <w:r>
        <w:rPr>
          <w:rtl/>
        </w:rPr>
        <w:t xml:space="preserve">, וזה עניינו: ר׳ ישראל </w:t>
      </w:r>
      <w:proofErr w:type="spellStart"/>
      <w:r>
        <w:rPr>
          <w:rtl/>
        </w:rPr>
        <w:t>סלנטר</w:t>
      </w:r>
      <w:proofErr w:type="spellEnd"/>
      <w:r>
        <w:rPr>
          <w:rtl/>
        </w:rPr>
        <w:t xml:space="preserve"> כינס אספה בווילנה בעניין מצב שאיים על יהדות רוסיה, ונכחו בה “כמה מגאוני הדור, ובהם ר׳ אליהו שיק</w:t>
      </w:r>
      <w:bookmarkStart w:id="653" w:name="_fnr394"/>
      <w:r>
        <w:rPr>
          <w:rStyle w:val="a5"/>
        </w:rPr>
        <w:footnoteReference w:id="394" w:customMarkFollows="0"/>
      </w:r>
      <w:bookmarkEnd w:id="653"/>
      <w:r>
        <w:rPr>
          <w:rtl/>
        </w:rPr>
        <w:t xml:space="preserve">”. כשהגיע זמן מנחה קם ר׳ ישראל להתפלל, אבל ר׳ אליהו טען שלא זו בלבד שהם פטורים מן התפילה, אלא אף </w:t>
      </w:r>
      <w:r>
        <w:rPr>
          <w:b/>
          <w:bCs/>
          <w:rtl/>
        </w:rPr>
        <w:t>אסור</w:t>
      </w:r>
      <w:r>
        <w:rPr>
          <w:rtl/>
        </w:rPr>
        <w:t xml:space="preserve"> להם להפסיק אספה מעין זו לשם תפילה. השיב ר׳ ישראל שאף שמן הדין צדק ר׳ אליהו, צרות רבות כל כך פוקדות את ישראל שוב ושוב, שאילו נהגו בהלכה זו בזמן הזה היינו נשארים “בלי תורה ובלי תפילה” – והתפלל ביחידות. אחר כך אמר “בחיוך” ששניהם, הוא ור׳ אליהו, עשו כהלכה: “יחד נהגנו לפי הכלל אלו ואלו דברי </w:t>
      </w:r>
      <w:proofErr w:type="spellStart"/>
      <w:r>
        <w:rPr>
          <w:rtl/>
        </w:rPr>
        <w:t>א־להים</w:t>
      </w:r>
      <w:proofErr w:type="spellEnd"/>
      <w:r>
        <w:rPr>
          <w:rtl/>
        </w:rPr>
        <w:t xml:space="preserve"> חיים</w:t>
      </w:r>
      <w:bookmarkStart w:id="654" w:name="_fnr395"/>
      <w:r>
        <w:rPr>
          <w:rStyle w:val="a5"/>
        </w:rPr>
        <w:footnoteReference w:id="395" w:customMarkFollows="0"/>
      </w:r>
      <w:bookmarkEnd w:id="654"/>
      <w:r>
        <w:rPr>
          <w:rtl/>
        </w:rPr>
        <w:t>: ר׳ אליהו היה צריך להורות שפיקוח נפשות</w:t>
      </w:r>
      <w:bookmarkStart w:id="655" w:name="_fnr396"/>
      <w:r>
        <w:rPr>
          <w:rStyle w:val="a5"/>
        </w:rPr>
        <w:footnoteReference w:id="396" w:customMarkFollows="0"/>
      </w:r>
      <w:bookmarkEnd w:id="655"/>
      <w:r>
        <w:rPr>
          <w:rtl/>
        </w:rPr>
        <w:t xml:space="preserve"> דוחה הכול, ואני הייתי צריך להראות שאין לעשות זאת דבר קבוע – כדי שלא תתבטל לגמרי התפילה בזמנה”.</w:t>
      </w:r>
    </w:p>
    <w:p w14:paraId="1A0C14FF" w14:textId="77777777" w:rsidR="00AB3647" w:rsidRDefault="00000000" w:rsidP="007923E9">
      <w:pPr>
        <w:spacing w:after="120" w:line="276" w:lineRule="auto"/>
        <w:ind w:firstLine="283"/>
        <w:jc w:val="both"/>
      </w:pPr>
      <w:r>
        <w:rPr>
          <w:rtl/>
        </w:rPr>
        <w:t xml:space="preserve">במקרה זה הרחיק ר׳ ישראל לכת יותר מן התביעה הפשוטה לשמור על מנהג, כפי שעשה במעשה </w:t>
      </w:r>
      <w:proofErr w:type="spellStart"/>
      <w:r>
        <w:rPr>
          <w:rtl/>
        </w:rPr>
        <w:t>הקיטל</w:t>
      </w:r>
      <w:proofErr w:type="spellEnd"/>
      <w:r>
        <w:rPr>
          <w:rtl/>
        </w:rPr>
        <w:t xml:space="preserve">. הוא הניח למנהג הרווח של תפילת מנחה לגבור על הדין ככתבו, שבמצב מיוחד זה היה </w:t>
      </w:r>
      <w:r>
        <w:rPr>
          <w:b/>
          <w:bCs/>
          <w:rtl/>
        </w:rPr>
        <w:t>שלא</w:t>
      </w:r>
      <w:r>
        <w:rPr>
          <w:rtl/>
        </w:rPr>
        <w:t xml:space="preserve"> להתפלל.</w:t>
      </w:r>
    </w:p>
    <w:p w14:paraId="5C8E378D" w14:textId="77777777" w:rsidR="00AB3647" w:rsidRDefault="00000000" w:rsidP="007923E9">
      <w:pPr>
        <w:spacing w:after="120" w:line="276" w:lineRule="auto"/>
        <w:ind w:firstLine="283"/>
        <w:jc w:val="both"/>
      </w:pPr>
      <w:r>
        <w:rPr>
          <w:rtl/>
        </w:rPr>
        <w:lastRenderedPageBreak/>
        <w:t xml:space="preserve">מעניין לציין גם את מעמדם המכריע של המנהגים בעיני ר׳ </w:t>
      </w:r>
      <w:proofErr w:type="spellStart"/>
      <w:r>
        <w:rPr>
          <w:rtl/>
        </w:rPr>
        <w:t>שלמה־זלמן</w:t>
      </w:r>
      <w:proofErr w:type="spellEnd"/>
      <w:r>
        <w:rPr>
          <w:rtl/>
        </w:rPr>
        <w:t xml:space="preserve"> </w:t>
      </w:r>
      <w:proofErr w:type="spellStart"/>
      <w:r>
        <w:rPr>
          <w:rtl/>
        </w:rPr>
        <w:t xml:space="preserve">אוירבך</w:t>
      </w:r>
      <w:proofErr w:type="spellEnd"/>
      <w:r>
        <w:rPr>
          <w:rtl/>
        </w:rPr>
        <w:t>. אחיו ר׳ בערל סיפר</w:t>
      </w:r>
      <w:bookmarkStart w:id="656" w:name="_fnr397"/>
      <w:r>
        <w:rPr>
          <w:rStyle w:val="a5"/>
        </w:rPr>
        <w:footnoteReference w:id="397" w:customMarkFollows="0"/>
      </w:r>
      <w:bookmarkEnd w:id="656"/>
      <w:r>
        <w:rPr>
          <w:rtl/>
        </w:rPr>
        <w:t xml:space="preserve"> שר׳ </w:t>
      </w:r>
      <w:proofErr w:type="spellStart"/>
      <w:r>
        <w:rPr>
          <w:rtl/>
        </w:rPr>
        <w:t>שלמה־זלמן</w:t>
      </w:r>
      <w:proofErr w:type="spellEnd"/>
      <w:r>
        <w:rPr>
          <w:rtl/>
        </w:rPr>
        <w:t xml:space="preserve"> נהג לפי פסקו שבכתב, שעל שוקולד מברכים בורא פרי העץ: “זו הייתה הברכה שבירך הוא עצמו כשאכל שוקולד”. [המרואיין הוסיף בדרך אגב: “אחי היה חלש בגופו מן הייסורים והרעב שסבל בצעירותו, והיה צריך לצבור כוח באכילת דבר מתוק קודם שמסר שיעור”.] “ואולם כשנכד שאל אותו איזו ברכה לברך על שוקולד שנתן לו בביקור במוצאי שבת, השיב: ‘שאל את סבתך’. כשחזר הילד תמה ואמר לסבו שהיא אמרה ‘ברך את הברכה הרגילה על ממתקים, </w:t>
      </w:r>
      <w:proofErr w:type="spellStart"/>
      <w:r>
        <w:rPr>
          <w:rtl/>
        </w:rPr>
        <w:t>שהכל</w:t>
      </w:r>
      <w:proofErr w:type="spellEnd"/>
      <w:r>
        <w:rPr>
          <w:rtl/>
        </w:rPr>
        <w:t xml:space="preserve"> נהיה בדברו’, השיב ר׳ </w:t>
      </w:r>
      <w:proofErr w:type="spellStart"/>
      <w:r>
        <w:rPr>
          <w:rtl/>
        </w:rPr>
        <w:t>שלמה־זלמן</w:t>
      </w:r>
      <w:proofErr w:type="spellEnd"/>
      <w:r>
        <w:rPr>
          <w:rtl/>
        </w:rPr>
        <w:t xml:space="preserve">: ‘אם כן, למה אתה חוזר אלי שוב?’” נראה שר׳ </w:t>
      </w:r>
      <w:proofErr w:type="spellStart"/>
      <w:r>
        <w:rPr>
          <w:rtl/>
        </w:rPr>
        <w:t>שלמה־זלמן</w:t>
      </w:r>
      <w:proofErr w:type="spellEnd"/>
      <w:r>
        <w:rPr>
          <w:rtl/>
        </w:rPr>
        <w:t xml:space="preserve"> סבר ש</w:t>
      </w:r>
      <w:r>
        <w:rPr>
          <w:b/>
          <w:bCs/>
          <w:rtl/>
        </w:rPr>
        <w:t>אפילו בהלכה</w:t>
      </w:r>
      <w:r>
        <w:rPr>
          <w:rtl/>
        </w:rPr>
        <w:t xml:space="preserve"> המנהג הוא הקובע, עד שאדם משתכנע </w:t>
      </w:r>
      <w:r>
        <w:rPr>
          <w:b/>
          <w:bCs/>
          <w:rtl/>
        </w:rPr>
        <w:t>בעצמו</w:t>
      </w:r>
      <w:r>
        <w:rPr>
          <w:rtl/>
        </w:rPr>
        <w:t xml:space="preserve"> שהמנהג הרווח משובש</w:t>
      </w:r>
      <w:bookmarkStart w:id="657" w:name="_fnr398"/>
      <w:r>
        <w:rPr>
          <w:rStyle w:val="a5"/>
        </w:rPr>
        <w:footnoteReference w:id="398" w:customMarkFollows="0"/>
      </w:r>
      <w:bookmarkEnd w:id="657"/>
      <w:r>
        <w:rPr>
          <w:rtl/>
        </w:rPr>
        <w:t>.</w:t>
      </w:r>
    </w:p>
    <w:p w14:paraId="56F60FE9" w14:textId="77777777" w:rsidR="00AB3647" w:rsidRDefault="00000000" w:rsidP="007923E9">
      <w:pPr>
        <w:spacing w:after="120" w:line="276" w:lineRule="auto"/>
        <w:ind w:firstLine="283"/>
        <w:jc w:val="both"/>
      </w:pPr>
      <w:r>
        <w:rPr>
          <w:rtl/>
        </w:rPr>
        <w:t xml:space="preserve">ובעניין רבנו: גיליתי לאחרונה שהיה מברך רק על תפילין של יד [ולא על תפילין של ראש], כפסק הגאון מווילנה. אבל כשלימד אותי לפני בר המצווה שלי כיצד מניחים תפילין, הורה לי לברך שתי ברכות, כמנהג הרווח. בזה הרחיק לכת יותר מר׳ </w:t>
      </w:r>
      <w:proofErr w:type="spellStart"/>
      <w:r>
        <w:rPr>
          <w:rtl/>
        </w:rPr>
        <w:t>שלמה־זלמן</w:t>
      </w:r>
      <w:proofErr w:type="spellEnd"/>
      <w:r>
        <w:rPr>
          <w:rtl/>
        </w:rPr>
        <w:t xml:space="preserve">, שהרי בברכה על שוקולד ודאי יצא ידי חובת ברכה באמירת </w:t>
      </w:r>
      <w:proofErr w:type="spellStart"/>
      <w:r>
        <w:rPr>
          <w:rtl/>
        </w:rPr>
        <w:t>שהכל</w:t>
      </w:r>
      <w:proofErr w:type="spellEnd"/>
      <w:r>
        <w:rPr>
          <w:rtl/>
        </w:rPr>
        <w:t xml:space="preserve"> נהיה בדברו על פרי, ואילו בתפילין, אם הברכה השנייה מיותרת, הרי היא ברכה לבטלה, ויש בה עבירה. ואף על פי כן הדריך אותי אבי לברך מה שנחשב בעיניו ברכה לבטלה, כדי לנהוג כמנהג הכללי</w:t>
      </w:r>
      <w:bookmarkStart w:id="658" w:name="_fnr399"/>
      <w:r>
        <w:rPr>
          <w:rStyle w:val="a5"/>
        </w:rPr>
        <w:footnoteReference w:id="399" w:customMarkFollows="0"/>
      </w:r>
      <w:bookmarkEnd w:id="658"/>
      <w:r>
        <w:rPr>
          <w:rtl/>
        </w:rPr>
        <w:t>!</w:t>
      </w:r>
    </w:p>
    <w:p w14:paraId="38CD48DE" w14:textId="77777777" w:rsidR="00AB3647" w:rsidRDefault="00000000" w:rsidP="007923E9">
      <w:pPr>
        <w:spacing w:after="120" w:line="276" w:lineRule="auto"/>
        <w:ind w:firstLine="283"/>
        <w:jc w:val="both"/>
      </w:pPr>
      <w:r>
        <w:rPr>
          <w:rtl/>
        </w:rPr>
        <w:t xml:space="preserve">והשווה גם תשובה משנת תל״ד </w:t>
      </w:r>
      <w:proofErr w:type="spellStart"/>
      <w:r>
        <w:rPr>
          <w:rtl/>
        </w:rPr>
        <w:t>בשו״ת</w:t>
      </w:r>
      <w:proofErr w:type="spellEnd"/>
      <w:r>
        <w:rPr>
          <w:rtl/>
        </w:rPr>
        <w:t xml:space="preserve"> “נחלת שבעה” (תש׳ עז), המעירה שאפשר להפריז בשמירת המנהגים. וזו לשונה: “ראשי הקהל כמעט מוסרים </w:t>
      </w:r>
      <w:proofErr w:type="spellStart"/>
      <w:r>
        <w:rPr>
          <w:rtl/>
        </w:rPr>
        <w:t>נפשותם</w:t>
      </w:r>
      <w:proofErr w:type="spellEnd"/>
      <w:r>
        <w:rPr>
          <w:rtl/>
        </w:rPr>
        <w:t xml:space="preserve"> שלא לעבור על מנהג – אפילו מנהג שאין לו שחר ויסוד כל עיקר – יותר משהם עושים על גופי תורה”.</w:t>
      </w:r>
    </w:p>
    <w:bookmarkStart w:id="659" w:name="b1_excE"/>
    <w:p w14:paraId="367143B7" w14:textId="77777777" w:rsidR="00AB3647" w:rsidRDefault="00000000" w:rsidP="007923E9">
      <w:pPr>
        <w:pStyle w:val="3"/>
        <w:spacing w:line="276" w:lineRule="auto"/>
      </w:pPr>
      <w:r>
        <w:lastRenderedPageBreak/>
        <w:fldChar w:fldCharType="begin" w:dirty="true"/>
      </w:r>
      <w:r>
        <w:rPr>
          <w:rtl w:val="0"/>
        </w:rPr>
        <w:instrText>HYPERLINK \l "b1_note65</w:instrText>
      </w:r>
      <w:r>
        <w:instrText>"</w:instrText>
      </w:r>
      <w:r>
        <w:fldChar w:fldCharType="separate"/>
      </w:r>
      <w:r>
        <w:t>נספח ה</w:t>
      </w:r>
      <w:r>
        <w:fldChar w:fldCharType="end"/>
      </w:r>
      <w:bookmarkEnd w:id="659"/>
    </w:p>
    <w:p w14:paraId="323F9FDE" w14:textId="77777777" w:rsidR="00AB3647" w:rsidRDefault="00000000" w:rsidP="007923E9">
      <w:pPr>
        <w:pStyle w:val="af"/>
        <w:spacing w:line="276" w:lineRule="auto"/>
      </w:pPr>
      <w:r>
        <w:t>על טעויות של תלמידים צעירים שמקורן במלמדיהם, ועל הרעיונות הדמיוניים של הילדים להצדקת טעויות מלמדיהם – ועל היעשותם מחנכים טובים יותר מתוך כך</w:t>
      </w:r>
    </w:p>
    <w:p w14:paraId="4DE4E010" w14:textId="77777777" w:rsidR="00AB3647" w:rsidRDefault="00000000" w:rsidP="007923E9">
      <w:pPr>
        <w:pStyle w:val="4"/>
        <w:spacing w:line="276" w:lineRule="auto"/>
      </w:pPr>
      <w:r>
        <w:t>· הפסקה הראשונה ·</w:t>
      </w:r>
    </w:p>
    <w:p w14:paraId="6074AC8A" w14:textId="77777777" w:rsidR="00AB3647" w:rsidRDefault="00000000" w:rsidP="007923E9">
      <w:pPr>
        <w:pStyle w:val="5"/>
        <w:spacing w:line="276" w:lineRule="auto"/>
      </w:pPr>
      <w:r>
        <w:t xml:space="preserve">ילד מן החווה אינו מבין את קריאת המלמד במשנה – רבנו נזכר </w:t>
      </w:r>
      <w:proofErr w:type="spellStart"/>
      <w:r>
        <w:t>באמו</w:t>
      </w:r>
      <w:proofErr w:type="spellEnd"/>
      <w:r>
        <w:t xml:space="preserve"> הקוראת </w:t>
      </w:r>
      <w:proofErr w:type="spellStart"/>
      <w:r>
        <w:t>ב“צאינה</w:t>
      </w:r>
      <w:proofErr w:type="spellEnd"/>
      <w:r>
        <w:t xml:space="preserve"> וראינה” – לתלמידים בזמננו גישה אחרת ללימודם מאשר בזמנים קודמים</w:t>
      </w:r>
    </w:p>
    <w:p w14:paraId="770C0518" w14:textId="77777777" w:rsidR="00AB3647" w:rsidRDefault="00000000" w:rsidP="007923E9">
      <w:pPr>
        <w:spacing w:after="120" w:line="276" w:lineRule="auto"/>
        <w:ind w:firstLine="283"/>
        <w:jc w:val="both"/>
      </w:pPr>
      <w:r>
        <w:rPr>
          <w:rtl/>
        </w:rPr>
        <w:t>בגיל עשר היה לאבי מלמד גמרא, שלימד את תלמידיו את החלק השני של המשנה הראשונה בפרק החמישי של מסכת בבא קמא. המשנה מתארת דין נזיקין: התובע תובע חצי נזק שהזיקה לשורו פרתו הנוגחת של הנתבע, שהיא תם. תשלום חצי נזק מוגבל לשוויה של הבהמה הנוגחת (“מגופו”), והפרה שווה פחות מסכום חצי הנזק – ולכן נחלקים הנתבע והתובע מתי אירעה הנגיחה. התובע טוען שהפרה המליטה אחרי המעשה, ושהעגל היה אף הוא חלק מן הבהמה הנוגחת, ואילו הנתבע טוען שהנגיחה אירעה אחרי הלידה, ושהעגל לא היה מעורב בתגרה.</w:t>
      </w:r>
    </w:p>
    <w:p w14:paraId="232C5731" w14:textId="77777777" w:rsidR="00AB3647" w:rsidRDefault="00000000" w:rsidP="007923E9">
      <w:pPr>
        <w:spacing w:after="120" w:line="276" w:lineRule="auto"/>
        <w:ind w:firstLine="283"/>
        <w:jc w:val="both"/>
      </w:pPr>
      <w:r>
        <w:rPr>
          <w:rtl/>
        </w:rPr>
        <w:t xml:space="preserve">המלמד סירס את המשנה וקרא את הוויכוח בין שני בעלי הדין להפך: התובע טוען שהעגל נולד </w:t>
      </w:r>
      <w:r>
        <w:rPr>
          <w:b/>
          <w:bCs/>
          <w:rtl/>
        </w:rPr>
        <w:t>קודם</w:t>
      </w:r>
      <w:r>
        <w:rPr>
          <w:rtl/>
        </w:rPr>
        <w:t xml:space="preserve"> והשתתף במעשה בפני עצמו, בלא תלות </w:t>
      </w:r>
      <w:proofErr w:type="spellStart"/>
      <w:r>
        <w:rPr>
          <w:rtl/>
        </w:rPr>
        <w:t>באמו</w:t>
      </w:r>
      <w:proofErr w:type="spellEnd"/>
      <w:r>
        <w:rPr>
          <w:rtl/>
        </w:rPr>
        <w:t xml:space="preserve"> הנוגחת, ולפיכך חייב גם הוא, והנתבע טוען שהעגל נולד </w:t>
      </w:r>
      <w:r>
        <w:rPr>
          <w:b/>
          <w:bCs/>
          <w:rtl/>
        </w:rPr>
        <w:t>אחר כך</w:t>
      </w:r>
      <w:r>
        <w:rPr>
          <w:rtl/>
        </w:rPr>
        <w:t xml:space="preserve"> ולא השתתף במעשה (כבריה בפני עצמה). אבי גר פעם באחוזת סבו וביקר בה פעמים רבות, ולכן ידע שעגל שזה עתה נולד בקושי עומד על רגליו, ואינו יכול בשום אופן לנגוח בהמה אחרת. לפיכך לא הבין את טענת התובע.</w:t>
      </w:r>
    </w:p>
    <w:p w14:paraId="7719B4CF" w14:textId="77777777" w:rsidR="00AB3647" w:rsidRDefault="00000000" w:rsidP="007923E9">
      <w:pPr>
        <w:spacing w:after="120" w:line="276" w:lineRule="auto"/>
        <w:ind w:firstLine="283"/>
        <w:jc w:val="both"/>
      </w:pPr>
      <w:bookmarkStart w:id="660" w:name="pr_b_359"/>
      <w:bookmarkEnd w:id="660"/>
      <w:r>
        <w:rPr>
          <w:rtl/>
        </w:rPr>
        <w:t xml:space="preserve">אבי לא חשב שקריאת מלמדו שגויה, אלא הסיק שהמשנה הדמיונית ודאי עוסקת באיזה דין ודברים מן התקופה שלפני המבול</w:t>
      </w:r>
      <w:bookmarkStart w:id="661" w:name="_fnr400"/>
      <w:r>
        <w:rPr>
          <w:rStyle w:val="a5"/>
        </w:rPr>
        <w:footnoteReference w:id="400" w:customMarkFollows="0"/>
      </w:r>
      <w:bookmarkEnd w:id="661"/>
      <w:r>
        <w:rPr>
          <w:rtl/>
        </w:rPr>
        <w:t xml:space="preserve">. באותה תקופה, לפי מה שציטטה </w:t>
      </w:r>
      <w:proofErr w:type="spellStart"/>
      <w:r>
        <w:rPr>
          <w:rtl/>
        </w:rPr>
        <w:t>אמו</w:t>
      </w:r>
      <w:proofErr w:type="spellEnd"/>
      <w:r>
        <w:rPr>
          <w:rtl/>
        </w:rPr>
        <w:t xml:space="preserve"> בקריאתה </w:t>
      </w:r>
      <w:proofErr w:type="spellStart"/>
      <w:r>
        <w:rPr>
          <w:rtl/>
        </w:rPr>
        <w:t>ב“צאינה</w:t>
      </w:r>
      <w:proofErr w:type="spellEnd"/>
      <w:r>
        <w:rPr>
          <w:rtl/>
        </w:rPr>
        <w:t xml:space="preserve"> וראינה”, היו הנולדים חזקים מבריות בוגרות של ימינו, ויכלו להתגבר אפילו על שדים. אבי סיפר על השערת ילדות זו, וכינה אותה בבדיחות הדעת “חידוש התורה” הראשון שלו, כדי להראות כיצד למדו פעם תורה כמקצוע קדוש, וכל המאורעות המתוארים בה, אפילו </w:t>
      </w:r>
      <w:proofErr w:type="spellStart"/>
      <w:r>
        <w:rPr>
          <w:rtl/>
        </w:rPr>
        <w:t>בנזיקין</w:t>
      </w:r>
      <w:proofErr w:type="spellEnd"/>
      <w:r>
        <w:rPr>
          <w:rtl/>
        </w:rPr>
        <w:t>, נחשבו נשגבים.</w:t>
      </w:r>
    </w:p>
    <w:p w14:paraId="303A6A60" w14:textId="77777777" w:rsidR="00AB3647" w:rsidRDefault="00000000" w:rsidP="007923E9">
      <w:pPr>
        <w:spacing w:after="120" w:line="276" w:lineRule="auto"/>
        <w:ind w:firstLine="283"/>
        <w:jc w:val="both"/>
      </w:pPr>
      <w:r>
        <w:rPr>
          <w:rtl/>
        </w:rPr>
        <w:t xml:space="preserve">ר׳ פרץ </w:t>
      </w:r>
      <w:proofErr w:type="spellStart"/>
      <w:r>
        <w:rPr>
          <w:rtl/>
        </w:rPr>
        <w:t>פוזן</w:t>
      </w:r>
      <w:bookmarkStart w:id="662" w:name="_fnr401"/>
      <w:proofErr w:type="spellEnd"/>
      <w:r>
        <w:rPr>
          <w:rStyle w:val="a5"/>
        </w:rPr>
        <w:footnoteReference w:id="401" w:customMarkFollows="0"/>
      </w:r>
      <w:bookmarkEnd w:id="662"/>
      <w:r>
        <w:rPr>
          <w:rtl/>
        </w:rPr>
        <w:t xml:space="preserve"> מסר שרבנו סיפר שעוד לפני שהגיע לביאורו מן התקופה שלפני המבול, שאל את מלמדו כיצד ייתכן שעגל שזה עתה נולד </w:t>
      </w:r>
      <w:proofErr w:type="spellStart"/>
      <w:r>
        <w:rPr>
          <w:rtl/>
        </w:rPr>
        <w:t>ינגח</w:t>
      </w:r>
      <w:proofErr w:type="spellEnd"/>
      <w:r>
        <w:rPr>
          <w:rtl/>
        </w:rPr>
        <w:t>. המלמד צעק עליו והשתיקו: “איך אתה מעז להתווכח עם משנה כמו אפיקורוס? משאלות כאלה, אני בטוח שיום אחד תצא לתרבות רעה”.</w:t>
      </w:r>
    </w:p>
    <w:p w14:paraId="4C0FC468" w14:textId="77777777" w:rsidR="00AB3647" w:rsidRDefault="00000000" w:rsidP="007923E9">
      <w:pPr>
        <w:spacing w:after="120" w:line="276" w:lineRule="auto"/>
        <w:ind w:firstLine="283"/>
        <w:jc w:val="both"/>
      </w:pPr>
      <w:r>
        <w:rPr>
          <w:rtl/>
        </w:rPr>
        <w:t xml:space="preserve">אבי העמיד את יחסו שלו בימים ההם מול גישתם של התלמידים בזמן הזה, הבוחנים בעין ביקורתית כל מאמר שבתלמוד. לדברי ר׳ </w:t>
      </w:r>
      <w:proofErr w:type="spellStart"/>
      <w:r>
        <w:rPr>
          <w:rtl/>
        </w:rPr>
        <w:t>מיכאל־יוסף</w:t>
      </w:r>
      <w:proofErr w:type="spellEnd"/>
      <w:r>
        <w:rPr>
          <w:rtl/>
        </w:rPr>
        <w:t xml:space="preserve"> </w:t>
      </w:r>
      <w:proofErr w:type="spellStart"/>
      <w:r>
        <w:rPr>
          <w:rtl/>
        </w:rPr>
        <w:t>וולפין</w:t>
      </w:r>
      <w:bookmarkStart w:id="663" w:name="_fnr402"/>
      <w:proofErr w:type="spellEnd"/>
      <w:r>
        <w:rPr>
          <w:rStyle w:val="a5"/>
        </w:rPr>
        <w:footnoteReference w:id="402" w:customMarkFollows="0"/>
      </w:r>
      <w:bookmarkEnd w:id="663"/>
      <w:r>
        <w:rPr>
          <w:rtl/>
        </w:rPr>
        <w:t xml:space="preserve">, להבדל זה התכוון רבנו </w:t>
      </w:r>
      <w:r>
        <w:rPr>
          <w:rtl/>
        </w:rPr>
        <w:lastRenderedPageBreak/>
        <w:t xml:space="preserve">כשאחד מאנשי הסגל במתיבתא תורה ודעת התנגד להכניס את מסכת סוכה למחזור הלימודים של הישיבה, בטענה שבאירופה למדו בישיבות רק מסכתות מסדרי נשים </w:t>
      </w:r>
      <w:proofErr w:type="spellStart"/>
      <w:r>
        <w:rPr>
          <w:rtl/>
        </w:rPr>
        <w:t>ונזיקין</w:t>
      </w:r>
      <w:proofErr w:type="spellEnd"/>
      <w:r>
        <w:rPr>
          <w:rtl/>
        </w:rPr>
        <w:t xml:space="preserve"> שבש״ס. השיב לו אבי שלהבדיל ממה שרווח באירופה, בגישה לתורה בזמן הזה יש צורך באמצעים מלאכותיים כדי לעורר בתלמידים יראת שמים, וסדר מועד יספק זאת ביתר קלות.</w:t>
      </w:r>
    </w:p>
    <w:p w14:paraId="13EEBA54" w14:textId="77777777" w:rsidR="00AB3647" w:rsidRDefault="00000000" w:rsidP="007923E9">
      <w:pPr>
        <w:spacing w:after="120" w:line="276" w:lineRule="auto"/>
        <w:ind w:firstLine="283"/>
        <w:jc w:val="both"/>
      </w:pPr>
      <w:r>
        <w:rPr>
          <w:rtl/>
        </w:rPr>
        <w:t xml:space="preserve">לדברי ר׳ יהושע </w:t>
      </w:r>
      <w:bookmarkStart w:id="664" w:name="_Hlk243582017"/>
      <w:proofErr w:type="spellStart"/>
      <w:r>
        <w:rPr>
          <w:rtl/>
        </w:rPr>
        <w:t xml:space="preserve">גלדצהלר</w:t>
      </w:r>
      <w:bookmarkStart w:id="665" w:name="_fnr403"/>
      <w:bookmarkEnd w:id="664"/>
      <w:proofErr w:type="spellEnd"/>
      <w:r>
        <w:rPr>
          <w:rStyle w:val="a5"/>
        </w:rPr>
        <w:footnoteReference w:id="403" w:customMarkFollows="0"/>
      </w:r>
      <w:bookmarkEnd w:id="665"/>
      <w:r>
        <w:rPr>
          <w:rtl/>
        </w:rPr>
        <w:t>, מאותו טעם סבר אבי שבזמן הזה ראוי להתחיל ללמד תלמידים צעירים גמרא בסדר מועד, ולא בפרק אלו מציאות, הפרק השני של מסכת בבא מציעא, כמסורת.</w:t>
      </w:r>
    </w:p>
    <w:p w14:paraId="486ED53F" w14:textId="77777777" w:rsidR="00AB3647" w:rsidRDefault="00000000" w:rsidP="007923E9">
      <w:pPr>
        <w:pStyle w:val="4"/>
        <w:spacing w:line="276" w:lineRule="auto"/>
      </w:pPr>
      <w:r>
        <w:t>· הפסקה השנייה ·</w:t>
      </w:r>
    </w:p>
    <w:p w14:paraId="5EF7BC95" w14:textId="77777777" w:rsidR="00AB3647" w:rsidRDefault="00000000" w:rsidP="007923E9">
      <w:pPr>
        <w:pStyle w:val="5"/>
        <w:spacing w:line="276" w:lineRule="auto"/>
      </w:pPr>
      <w:r>
        <w:t xml:space="preserve">המדרש מספר מעשה מסתורי – המעשה נמחק ממהדורת </w:t>
      </w:r>
      <w:proofErr w:type="spellStart"/>
      <w:r>
        <w:t>ה“צאינה</w:t>
      </w:r>
      <w:proofErr w:type="spellEnd"/>
      <w:r>
        <w:t xml:space="preserve"> וראינה” שבידינו – הסבא מביא את המדרש</w:t>
      </w:r>
    </w:p>
    <w:p w14:paraId="610A9324" w14:textId="77777777" w:rsidR="00AB3647" w:rsidRDefault="00000000" w:rsidP="007923E9">
      <w:pPr>
        <w:spacing w:after="120" w:line="276" w:lineRule="auto"/>
        <w:ind w:firstLine="283"/>
        <w:jc w:val="both"/>
      </w:pPr>
      <w:r>
        <w:rPr>
          <w:rtl/>
        </w:rPr>
        <w:t xml:space="preserve">בעזרת ר׳ משה־מנחם קוזק מירושלים, המבאר והמתרגם לעברית של </w:t>
      </w:r>
      <w:proofErr w:type="spellStart"/>
      <w:r>
        <w:rPr>
          <w:rtl/>
        </w:rPr>
        <w:t>ה“צאינה</w:t>
      </w:r>
      <w:proofErr w:type="spellEnd"/>
      <w:r>
        <w:rPr>
          <w:rtl/>
        </w:rPr>
        <w:t xml:space="preserve"> וראינה”</w:t>
      </w:r>
      <w:bookmarkStart w:id="666" w:name="_fnr404"/>
      <w:r>
        <w:rPr>
          <w:rStyle w:val="a5"/>
        </w:rPr>
        <w:footnoteReference w:id="404" w:customMarkFollows="0"/>
      </w:r>
      <w:bookmarkEnd w:id="666"/>
      <w:r>
        <w:rPr>
          <w:rtl/>
        </w:rPr>
        <w:t xml:space="preserve">, מצאתי את הקטע </w:t>
      </w:r>
      <w:proofErr w:type="spellStart"/>
      <w:r>
        <w:rPr>
          <w:rtl/>
        </w:rPr>
        <w:t>שב“צאינה</w:t>
      </w:r>
      <w:proofErr w:type="spellEnd"/>
      <w:r>
        <w:rPr>
          <w:rtl/>
        </w:rPr>
        <w:t xml:space="preserve"> וראינה” שאליו התכוון רבנו. הוא נמצא בפרשת נח, בחלק העוסק בדור הפלגה</w:t>
      </w:r>
      <w:bookmarkStart w:id="667" w:name="_fnr405"/>
      <w:r>
        <w:rPr>
          <w:rStyle w:val="a5"/>
        </w:rPr>
        <w:footnoteReference w:id="405" w:customMarkFollows="0"/>
      </w:r>
      <w:bookmarkEnd w:id="667"/>
      <w:r>
        <w:rPr>
          <w:rtl/>
        </w:rPr>
        <w:t xml:space="preserve">. המקור </w:t>
      </w:r>
      <w:r>
        <w:rPr>
          <w:b/>
          <w:bCs/>
          <w:rtl/>
        </w:rPr>
        <w:t>שבדברי חז״ל</w:t>
      </w:r>
      <w:r>
        <w:rPr>
          <w:rtl/>
        </w:rPr>
        <w:t xml:space="preserve"> למעשה על מפגש בין תינוק שזה עתה נולד ובין שד הוא מדרש רבה</w:t>
      </w:r>
      <w:bookmarkStart w:id="668" w:name="_fnr406"/>
      <w:r>
        <w:rPr>
          <w:rStyle w:val="a5"/>
        </w:rPr>
        <w:footnoteReference w:id="406" w:customMarkFollows="0"/>
      </w:r>
      <w:bookmarkEnd w:id="668"/>
      <w:r>
        <w:rPr>
          <w:rtl/>
        </w:rPr>
        <w:t xml:space="preserve">. מסופר שם שבימי דור המבול שלחה אם את בנה שזה עתה נולד להביא נר, כדי שתוכל לחתוך את טבורו. בדרך פגע בו שר השדים. בעודם מתעסקים זה עם זה קרא התרנגול, ואמר השד לתינוק: “אזיל </w:t>
      </w:r>
      <w:proofErr w:type="spellStart"/>
      <w:r>
        <w:rPr>
          <w:rtl/>
        </w:rPr>
        <w:t>גלוג</w:t>
      </w:r>
      <w:proofErr w:type="spellEnd"/>
      <w:r>
        <w:rPr>
          <w:rtl/>
        </w:rPr>
        <w:t xml:space="preserve"> </w:t>
      </w:r>
      <w:proofErr w:type="spellStart"/>
      <w:r>
        <w:rPr>
          <w:rtl/>
        </w:rPr>
        <w:t>לאמך</w:t>
      </w:r>
      <w:proofErr w:type="spellEnd"/>
      <w:r>
        <w:rPr>
          <w:rtl/>
        </w:rPr>
        <w:t xml:space="preserve"> ואמר לה </w:t>
      </w:r>
      <w:proofErr w:type="spellStart"/>
      <w:r>
        <w:rPr>
          <w:rtl/>
        </w:rPr>
        <w:t>אלולי</w:t>
      </w:r>
      <w:proofErr w:type="spellEnd"/>
      <w:r>
        <w:rPr>
          <w:rtl/>
        </w:rPr>
        <w:t xml:space="preserve"> </w:t>
      </w:r>
      <w:proofErr w:type="spellStart"/>
      <w:r>
        <w:rPr>
          <w:rtl/>
        </w:rPr>
        <w:t>דקרא</w:t>
      </w:r>
      <w:proofErr w:type="spellEnd"/>
      <w:r>
        <w:rPr>
          <w:rtl/>
        </w:rPr>
        <w:t xml:space="preserve"> </w:t>
      </w:r>
      <w:proofErr w:type="spellStart"/>
      <w:r>
        <w:rPr>
          <w:rtl/>
        </w:rPr>
        <w:t>תרנגולא</w:t>
      </w:r>
      <w:proofErr w:type="spellEnd"/>
      <w:r>
        <w:rPr>
          <w:rtl/>
        </w:rPr>
        <w:t xml:space="preserve"> </w:t>
      </w:r>
      <w:proofErr w:type="spellStart"/>
      <w:r>
        <w:rPr>
          <w:rtl/>
        </w:rPr>
        <w:t>הוינא</w:t>
      </w:r>
      <w:proofErr w:type="spellEnd"/>
      <w:r>
        <w:rPr>
          <w:rtl/>
        </w:rPr>
        <w:t xml:space="preserve"> </w:t>
      </w:r>
      <w:proofErr w:type="spellStart"/>
      <w:r>
        <w:rPr>
          <w:rtl/>
        </w:rPr>
        <w:t>קטיל</w:t>
      </w:r>
      <w:proofErr w:type="spellEnd"/>
      <w:r>
        <w:rPr>
          <w:rtl/>
        </w:rPr>
        <w:t xml:space="preserve"> בך”. השיב לו הילד: “אזיל </w:t>
      </w:r>
      <w:proofErr w:type="spellStart"/>
      <w:r>
        <w:rPr>
          <w:rtl/>
        </w:rPr>
        <w:t>גלוג</w:t>
      </w:r>
      <w:proofErr w:type="spellEnd"/>
      <w:r>
        <w:rPr>
          <w:rtl/>
        </w:rPr>
        <w:t xml:space="preserve"> לאמא </w:t>
      </w:r>
      <w:proofErr w:type="spellStart"/>
      <w:r>
        <w:rPr>
          <w:rtl/>
        </w:rPr>
        <w:t>דאמך</w:t>
      </w:r>
      <w:proofErr w:type="spellEnd"/>
      <w:r>
        <w:rPr>
          <w:rtl/>
        </w:rPr>
        <w:t xml:space="preserve"> דלא קטעת אמי שורי, דאי קטעת אמי שורי </w:t>
      </w:r>
      <w:proofErr w:type="spellStart"/>
      <w:r>
        <w:rPr>
          <w:rtl/>
        </w:rPr>
        <w:t>הוינא</w:t>
      </w:r>
      <w:proofErr w:type="spellEnd"/>
      <w:r>
        <w:rPr>
          <w:rtl/>
        </w:rPr>
        <w:t xml:space="preserve"> </w:t>
      </w:r>
      <w:proofErr w:type="spellStart"/>
      <w:r>
        <w:rPr>
          <w:rtl/>
        </w:rPr>
        <w:t>קטיל</w:t>
      </w:r>
      <w:proofErr w:type="spellEnd"/>
      <w:r>
        <w:rPr>
          <w:rtl/>
        </w:rPr>
        <w:t xml:space="preserve"> </w:t>
      </w:r>
      <w:r>
        <w:rPr>
          <w:b/>
          <w:bCs/>
          <w:rtl/>
        </w:rPr>
        <w:t>לך</w:t>
      </w:r>
      <w:r>
        <w:rPr>
          <w:rtl/>
        </w:rPr>
        <w:t>”.</w:t>
      </w:r>
    </w:p>
    <w:p w14:paraId="6DBBC54F" w14:textId="77777777" w:rsidR="00AB3647" w:rsidRDefault="00000000" w:rsidP="007923E9">
      <w:pPr>
        <w:spacing w:after="120" w:line="276" w:lineRule="auto"/>
        <w:ind w:firstLine="283"/>
        <w:jc w:val="both"/>
      </w:pPr>
      <w:r>
        <w:rPr>
          <w:rtl/>
        </w:rPr>
        <w:t xml:space="preserve">מסיבה שאינה ידועה העביר </w:t>
      </w:r>
      <w:proofErr w:type="spellStart"/>
      <w:r>
        <w:rPr>
          <w:rtl/>
        </w:rPr>
        <w:t>ה“צאינה</w:t>
      </w:r>
      <w:proofErr w:type="spellEnd"/>
      <w:r>
        <w:rPr>
          <w:rtl/>
        </w:rPr>
        <w:t xml:space="preserve"> וראינה” את המעשה מדור המבול שבמדרש לדור הפלגה. אבי ודאי שמע אותו מאמו בנוסח </w:t>
      </w:r>
      <w:proofErr w:type="spellStart"/>
      <w:r>
        <w:rPr>
          <w:rtl/>
        </w:rPr>
        <w:t>ה“צאינה</w:t>
      </w:r>
      <w:proofErr w:type="spellEnd"/>
      <w:r>
        <w:rPr>
          <w:rtl/>
        </w:rPr>
        <w:t xml:space="preserve"> וראינה”, וכשגדל וקרא בעצמו את מקור המעשה, החזירו למסגרת הזמן הנכונה, דור המבול, וכך היה מספרו.</w:t>
      </w:r>
    </w:p>
    <w:p w14:paraId="578D63DB" w14:textId="77777777" w:rsidR="00AB3647" w:rsidRDefault="00000000" w:rsidP="007923E9">
      <w:pPr>
        <w:spacing w:after="120" w:line="276" w:lineRule="auto"/>
        <w:ind w:firstLine="283"/>
        <w:jc w:val="both"/>
      </w:pPr>
      <w:proofErr w:type="spellStart"/>
      <w:r>
        <w:rPr>
          <w:rtl/>
        </w:rPr>
        <w:t>ה“צאינה</w:t>
      </w:r>
      <w:proofErr w:type="spellEnd"/>
      <w:r>
        <w:rPr>
          <w:rtl/>
        </w:rPr>
        <w:t xml:space="preserve"> וראינה” מקדים למעשה זה את הדברים הבאים: “דור הפלגה נעשו רעים מפני שהיו עשירים מדי ושטופי הנאות”. אחר כך הוא מביא את המדרש, וזה לשונו: “רבי לוי אמר שאשה ילדה ילד לשלושה ימים. ורבנן אומרים שילדה ליום אחד, והילד הלך באותו יום והייתה בו דעת ללכת למקום שנשלח אליו”. אחרי מעשה התינוק והשד מסיים </w:t>
      </w:r>
      <w:proofErr w:type="spellStart"/>
      <w:r>
        <w:rPr>
          <w:rtl/>
        </w:rPr>
        <w:t>ה“צאינה</w:t>
      </w:r>
      <w:proofErr w:type="spellEnd"/>
      <w:r>
        <w:rPr>
          <w:rtl/>
        </w:rPr>
        <w:t xml:space="preserve"> וראינה” בדרך מוסר: “ממעשה זה יש ללמוד שאין לשוטט בלילה עד שקראו התרנגולים, שכן מיד כשהם קוראים אין עוד כוח לשדים. ועוד יש ללמוד מן המעשה שקודם שנחתך טבורו של הנולד, הילד בסכנה”.</w:t>
      </w:r>
    </w:p>
    <w:p w14:paraId="663CA1A5" w14:textId="77777777" w:rsidR="00AB3647" w:rsidRDefault="00000000" w:rsidP="007923E9">
      <w:pPr>
        <w:spacing w:after="120" w:line="276" w:lineRule="auto"/>
        <w:ind w:firstLine="283"/>
        <w:jc w:val="both"/>
      </w:pPr>
      <w:r>
        <w:rPr>
          <w:rtl/>
        </w:rPr>
        <w:t xml:space="preserve">בדקתי עשרים ושש מהדורות של </w:t>
      </w:r>
      <w:proofErr w:type="spellStart"/>
      <w:r>
        <w:rPr>
          <w:rtl/>
        </w:rPr>
        <w:t>ה“צאינה</w:t>
      </w:r>
      <w:proofErr w:type="spellEnd"/>
      <w:r>
        <w:rPr>
          <w:rtl/>
        </w:rPr>
        <w:t xml:space="preserve"> וראינה” בבית הספרים הלאומי בירושלים (לדברי הרב קוזק היו יותר משישים מהדורות בין שנת שע״ה לשנת ת״ש). מצאתי שכמה </w:t>
      </w:r>
      <w:r>
        <w:rPr>
          <w:rtl/>
        </w:rPr>
        <w:lastRenderedPageBreak/>
        <w:t xml:space="preserve">מהדורות משנות </w:t>
      </w:r>
      <w:proofErr w:type="spellStart"/>
      <w:r>
        <w:rPr>
          <w:rtl/>
        </w:rPr>
        <w:t>הת״ר־ל</w:t>
      </w:r>
      <w:proofErr w:type="spellEnd"/>
      <w:r>
        <w:rPr>
          <w:rtl/>
        </w:rPr>
        <w:t xml:space="preserve">׳ השמיטו לגמרי את המעשה יחד עם ההקדמה לו, ובאחרות מאותה תקופה הוא מצוי. במהדורות של העשור שאחריו, שנות </w:t>
      </w:r>
      <w:proofErr w:type="spellStart"/>
      <w:r>
        <w:rPr>
          <w:rtl/>
        </w:rPr>
        <w:t>הת״ר־מ</w:t>
      </w:r>
      <w:proofErr w:type="spellEnd"/>
      <w:r>
        <w:rPr>
          <w:rtl/>
        </w:rPr>
        <w:t>׳, נעלם החלק כולו. במהדורה משנת תרפ״ה נשארה ההקדמה המנמקת את נפילתו של דור הפלגה, אבל מעשה ההתמודדות עם השד נמחק. נראה שהספר כוון לציבור קוראים מודרני יותר, שלא האמין בסיפורי שדים</w:t>
      </w:r>
      <w:bookmarkStart w:id="669" w:name="_fnr407"/>
      <w:r>
        <w:rPr>
          <w:rStyle w:val="a5"/>
        </w:rPr>
        <w:footnoteReference w:id="407" w:customMarkFollows="0"/>
      </w:r>
      <w:bookmarkEnd w:id="669"/>
      <w:r>
        <w:rPr>
          <w:rtl/>
        </w:rPr>
        <w:t>.</w:t>
      </w:r>
    </w:p>
    <w:p w14:paraId="3F123605" w14:textId="77777777" w:rsidR="00AB3647" w:rsidRDefault="00000000" w:rsidP="007923E9">
      <w:pPr>
        <w:spacing w:after="120" w:line="276" w:lineRule="auto"/>
        <w:ind w:firstLine="283"/>
        <w:jc w:val="both"/>
      </w:pPr>
      <w:r>
        <w:rPr>
          <w:rtl/>
        </w:rPr>
        <w:t xml:space="preserve">מעניין שאחד </w:t>
      </w:r>
      <w:proofErr w:type="spellStart"/>
      <w:r>
        <w:rPr>
          <w:rtl/>
        </w:rPr>
        <w:t>מ“שני</w:t>
      </w:r>
      <w:proofErr w:type="spellEnd"/>
      <w:r>
        <w:rPr>
          <w:rtl/>
        </w:rPr>
        <w:t xml:space="preserve"> המכתבים היחידים שנמצאו” של הסבא </w:t>
      </w:r>
      <w:proofErr w:type="spellStart"/>
      <w:r>
        <w:rPr>
          <w:rtl/>
        </w:rPr>
        <w:t>מסלבודקה</w:t>
      </w:r>
      <w:bookmarkStart w:id="670" w:name="_fnr408"/>
      <w:proofErr w:type="spellEnd"/>
      <w:r>
        <w:rPr>
          <w:rStyle w:val="a5"/>
        </w:rPr>
        <w:footnoteReference w:id="408" w:customMarkFollows="0"/>
      </w:r>
      <w:bookmarkEnd w:id="670"/>
      <w:r>
        <w:rPr>
          <w:rtl/>
        </w:rPr>
        <w:t xml:space="preserve">, שנכתב לבנו ר׳ </w:t>
      </w:r>
      <w:proofErr w:type="spellStart"/>
      <w:r>
        <w:rPr>
          <w:rtl/>
        </w:rPr>
        <w:t>לייזר־יודל</w:t>
      </w:r>
      <w:proofErr w:type="spellEnd"/>
      <w:r>
        <w:rPr>
          <w:rtl/>
        </w:rPr>
        <w:t xml:space="preserve"> </w:t>
      </w:r>
      <w:proofErr w:type="spellStart"/>
      <w:r>
        <w:rPr>
          <w:rtl/>
        </w:rPr>
        <w:t>פינקל</w:t>
      </w:r>
      <w:proofErr w:type="spellEnd"/>
      <w:r>
        <w:rPr>
          <w:rtl/>
        </w:rPr>
        <w:t>, מביא את המדרש הנ״ל כדי ללמד דבר מוסר, וזו לשונו: “צריך הבנה עמוקה ודקה כדי לראות את מדת היום בתוך חשכת הלילה, כשם ש[מנקודת המבט של] מעלה, מה שנראה כשחור הלילה וכחושך נחשב יום מחצות ואילך, כשהתרנגול קורא, ואין עוד שליטה לשדים [לפי המדרש הנ״ל]. אנו רואים את מעשיהם של הרשעים וחושבים שהם תכלית החטא ומשולים ללילה, כדרשת הפסוק</w:t>
      </w:r>
      <w:bookmarkStart w:id="671" w:name="_fnr409"/>
      <w:r>
        <w:rPr>
          <w:rStyle w:val="a5"/>
        </w:rPr>
        <w:footnoteReference w:id="409" w:customMarkFollows="0"/>
      </w:r>
      <w:bookmarkEnd w:id="671"/>
      <w:r>
        <w:rPr>
          <w:rtl/>
        </w:rPr>
        <w:t xml:space="preserve"> ולחשך קרא לילה, אלו מעשיהם של רשעים</w:t>
      </w:r>
      <w:bookmarkStart w:id="672" w:name="_fnr410"/>
      <w:r>
        <w:rPr>
          <w:rStyle w:val="a5"/>
        </w:rPr>
        <w:footnoteReference w:id="410" w:customMarkFollows="0"/>
      </w:r>
      <w:bookmarkEnd w:id="672"/>
      <w:r>
        <w:rPr>
          <w:rtl/>
        </w:rPr>
        <w:t>; ואולם למעלה ייתכן שייחשבו המעשים טובים [משום שהם הולכים לקראת ‘יום’</w:t>
      </w:r>
      <w:bookmarkStart w:id="673" w:name="_fnr411"/>
      <w:r>
        <w:rPr>
          <w:rStyle w:val="a5"/>
        </w:rPr>
        <w:footnoteReference w:id="411" w:customMarkFollows="0"/>
      </w:r>
      <w:bookmarkEnd w:id="673"/>
      <w:r>
        <w:rPr>
          <w:rtl/>
        </w:rPr>
        <w:t>]”.</w:t>
      </w:r>
    </w:p>
    <w:p w14:paraId="38AF3A0E" w14:textId="77777777" w:rsidR="00AB3647" w:rsidRDefault="00000000" w:rsidP="007923E9">
      <w:pPr>
        <w:pStyle w:val="4"/>
        <w:spacing w:line="276" w:lineRule="auto"/>
      </w:pPr>
      <w:r>
        <w:t>· הפסקה השלישית ·</w:t>
      </w:r>
    </w:p>
    <w:p w14:paraId="3552F591" w14:textId="77777777" w:rsidR="00AB3647" w:rsidRDefault="00000000" w:rsidP="007923E9">
      <w:pPr>
        <w:pStyle w:val="5"/>
        <w:spacing w:line="276" w:lineRule="auto"/>
      </w:pPr>
      <w:r>
        <w:t>הזוכר את חוויות ילדותו נעשה מחנך טוב יותר</w:t>
      </w:r>
    </w:p>
    <w:p w14:paraId="4AA38448" w14:textId="77777777" w:rsidR="00AB3647" w:rsidRDefault="00000000" w:rsidP="007923E9">
      <w:pPr>
        <w:spacing w:after="120" w:line="276" w:lineRule="auto"/>
        <w:ind w:firstLine="283"/>
        <w:jc w:val="both"/>
      </w:pPr>
      <w:r>
        <w:rPr>
          <w:rtl/>
        </w:rPr>
        <w:t xml:space="preserve">ראוי לציין כיצד זכרו מחנכים כמו אבי ור׳ </w:t>
      </w:r>
      <w:proofErr w:type="spellStart"/>
      <w:r>
        <w:rPr>
          <w:rtl/>
        </w:rPr>
        <w:t>אברהם־אליהו</w:t>
      </w:r>
      <w:proofErr w:type="spellEnd"/>
      <w:r>
        <w:rPr>
          <w:rtl/>
        </w:rPr>
        <w:t xml:space="preserve"> קפלן מאורעות מחינוכם בראשית ילדותם. אפשר לומר שזיכרונותיהם מחוויות הלימוד הם </w:t>
      </w:r>
      <w:r>
        <w:rPr>
          <w:b/>
          <w:bCs/>
          <w:rtl/>
        </w:rPr>
        <w:t>שעשו אותם</w:t>
      </w:r>
      <w:r>
        <w:rPr>
          <w:rtl/>
        </w:rPr>
        <w:t xml:space="preserve"> למחנכים המעולים שהיו. השווה בספר “בעקבות היראה” (מהדורה מורחבת)</w:t>
      </w:r>
      <w:bookmarkStart w:id="674" w:name="_fnr412"/>
      <w:r>
        <w:rPr>
          <w:rStyle w:val="a5"/>
        </w:rPr>
        <w:footnoteReference w:id="412" w:customMarkFollows="0"/>
      </w:r>
      <w:bookmarkEnd w:id="674"/>
      <w:r>
        <w:rPr>
          <w:rtl/>
        </w:rPr>
        <w:t xml:space="preserve"> כיצד ליווה את הרב קפלן “שנים רבות של ילדות(ו)” פשט שקלט בילדותו במשנה הראשונה במסכת בבא מציעא. המשנה דנה בטלית ששני אנשים אוחזים בה וכל אחד טוען שהיא שלו, וההלכה פוסקת שיחלוקו בה אחרי שכל אחד מהם נשבע שאין לו בה פחות מחציה.</w:t>
      </w:r>
    </w:p>
    <w:p w14:paraId="7E16985E" w14:textId="77777777" w:rsidR="00AB3647" w:rsidRDefault="00000000" w:rsidP="007923E9">
      <w:pPr>
        <w:spacing w:after="120" w:line="276" w:lineRule="auto"/>
        <w:ind w:firstLine="283"/>
        <w:jc w:val="both"/>
      </w:pPr>
      <w:r>
        <w:rPr>
          <w:rtl/>
        </w:rPr>
        <w:t xml:space="preserve">המחבר לא שמע מעולם את המילה “טלית” משמשת לבגד של חול, ומלמדו לא הסביר לו שהמילה משמשת גם לבגד של חול, ולכן הניח שהמשנה מדברת בטלית שלובשים בבית הכנסת. לפיכך הניח גם שבעלי הדין “צריכים להתעטף בה” </w:t>
      </w:r>
      <w:r>
        <w:rPr>
          <w:b/>
          <w:bCs/>
          <w:rtl/>
        </w:rPr>
        <w:t>בשעת השבועה</w:t>
      </w:r>
      <w:r>
        <w:rPr>
          <w:rtl/>
        </w:rPr>
        <w:t>. הרב קפלן לא האשים את מלמדו במפורש בפירוש המשובש שנשא עמו שנים רבות כל כך. כשם שהמלמד אהב אותו, כך העריץ הוא את האיש חשוך הילדים, ואף נהג לציין את יום פטירתו של מלמדו.</w:t>
      </w:r>
    </w:p>
    <w:p w14:paraId="43E042A9" w14:textId="77777777" w:rsidR="00AB3647" w:rsidRDefault="00000000" w:rsidP="007923E9">
      <w:pPr>
        <w:spacing w:after="120" w:line="276" w:lineRule="auto"/>
        <w:ind w:firstLine="283"/>
        <w:jc w:val="both"/>
      </w:pPr>
      <w:r>
        <w:rPr>
          <w:rtl/>
        </w:rPr>
        <w:lastRenderedPageBreak/>
        <w:t>הרב קפלן כותב בפשטות: “מורי לא הרגיש כלל שאני טועה, וחשב שהבנתי את המשנה כראוי”. המחבר ראה במאורע זה דבר חשוב דיו לרושמו ברשימותיו האוטוביוגרפיות (שלא הושלמו), ומכאן שהמאורע השפיע עליו לאורך ימים. אפשר לומר שהרב קפלן הבין שהדבר עשה אותו למחנך טוב יותר.</w:t>
      </w:r>
    </w:p>
    <w:bookmarkStart w:id="675" w:name="b1_excF"/>
    <w:p w14:paraId="0D6A389F" w14:textId="77777777" w:rsidR="00AB3647" w:rsidRDefault="00000000" w:rsidP="007923E9">
      <w:pPr>
        <w:pStyle w:val="3"/>
        <w:spacing w:line="276" w:lineRule="auto"/>
      </w:pPr>
      <w:r>
        <w:lastRenderedPageBreak/>
        <w:fldChar w:fldCharType="begin" w:dirty="true"/>
      </w:r>
      <w:r>
        <w:rPr>
          <w:rtl w:val="0"/>
        </w:rPr>
        <w:instrText>HYPERLINK \l "b1_note96</w:instrText>
      </w:r>
      <w:r>
        <w:instrText>"</w:instrText>
      </w:r>
      <w:r>
        <w:fldChar w:fldCharType="separate"/>
      </w:r>
      <w:r>
        <w:t>נספח ו</w:t>
      </w:r>
      <w:r>
        <w:fldChar w:fldCharType="end"/>
      </w:r>
      <w:bookmarkEnd w:id="675"/>
    </w:p>
    <w:p w14:paraId="3F0ADC77" w14:textId="77777777" w:rsidR="00AB3647" w:rsidRDefault="00000000" w:rsidP="007923E9">
      <w:pPr>
        <w:pStyle w:val="af"/>
        <w:spacing w:line="276" w:lineRule="auto"/>
      </w:pPr>
      <w:r>
        <w:t>על התואר יוצא הדופן של רבני מינסק, ועל כמה כינויים משונים לבני העיירות</w:t>
      </w:r>
    </w:p>
    <w:p w14:paraId="1EB89D9F" w14:textId="77777777" w:rsidR="00AB3647" w:rsidRDefault="00000000" w:rsidP="007923E9">
      <w:pPr>
        <w:pStyle w:val="4"/>
        <w:spacing w:line="276" w:lineRule="auto"/>
      </w:pPr>
      <w:r>
        <w:t>· הפסקה הראשונה ·</w:t>
      </w:r>
    </w:p>
    <w:p w14:paraId="2B838ED1" w14:textId="77777777" w:rsidR="00AB3647" w:rsidRDefault="00000000" w:rsidP="007923E9">
      <w:pPr>
        <w:pStyle w:val="5"/>
        <w:spacing w:line="276" w:lineRule="auto"/>
      </w:pPr>
      <w:r>
        <w:t xml:space="preserve">רבה של מינסק, ר׳ </w:t>
      </w:r>
      <w:proofErr w:type="spellStart"/>
      <w:r>
        <w:t>ירוחם־יהודה־לייב</w:t>
      </w:r>
      <w:proofErr w:type="spellEnd"/>
      <w:r>
        <w:t xml:space="preserve"> פרלמן, מכונה “גדול” – אחד ממבקריו הראשונים בעיר מתרשם ממנו מאוד</w:t>
      </w:r>
    </w:p>
    <w:p w14:paraId="710AA849" w14:textId="77777777" w:rsidR="00AB3647" w:rsidRDefault="00000000" w:rsidP="007923E9">
      <w:pPr>
        <w:spacing w:after="120" w:line="276" w:lineRule="auto"/>
        <w:ind w:firstLine="283"/>
        <w:jc w:val="both"/>
      </w:pPr>
      <w:r>
        <w:rPr>
          <w:rtl/>
        </w:rPr>
        <w:t xml:space="preserve">רבה של מינסק באותו זמן היה ר׳ לייזר </w:t>
      </w:r>
      <w:proofErr w:type="spellStart"/>
      <w:r>
        <w:rPr>
          <w:rtl/>
        </w:rPr>
        <w:t>רבינוביץ</w:t>
      </w:r>
      <w:proofErr w:type="spellEnd"/>
      <w:r>
        <w:rPr>
          <w:rtl/>
        </w:rPr>
        <w:t xml:space="preserve"> (תרי״ט–תרפ״ד). בשנת תרנ״ז בא במקום חותנו, ר׳ </w:t>
      </w:r>
      <w:proofErr w:type="spellStart"/>
      <w:r>
        <w:rPr>
          <w:rtl/>
        </w:rPr>
        <w:t>ירוחם־יהודה־לייב</w:t>
      </w:r>
      <w:proofErr w:type="spellEnd"/>
      <w:r>
        <w:rPr>
          <w:rtl/>
        </w:rPr>
        <w:t xml:space="preserve"> פרלמן, הידוע בכינוי “הגדול ממינסק”</w:t>
      </w:r>
      <w:bookmarkStart w:id="676" w:name="_fnr413"/>
      <w:r>
        <w:rPr>
          <w:rStyle w:val="a5"/>
        </w:rPr>
        <w:footnoteReference w:id="413" w:customMarkFollows="0"/>
      </w:r>
      <w:bookmarkEnd w:id="676"/>
      <w:r>
        <w:rPr>
          <w:rtl/>
        </w:rPr>
        <w:t xml:space="preserve">. יש הסברים שונים לכך שהרב פרלמן נקרא “הגדול”. לפי “סדר אליהו”</w:t>
      </w:r>
      <w:bookmarkStart w:id="677" w:name="_fnr414"/>
      <w:r>
        <w:rPr>
          <w:rStyle w:val="a5"/>
        </w:rPr>
        <w:footnoteReference w:id="414" w:customMarkFollows="0"/>
      </w:r>
      <w:bookmarkEnd w:id="677"/>
      <w:r>
        <w:rPr>
          <w:rtl/>
        </w:rPr>
        <w:t>, הייתה מחלוקת בעיר איזה רב לקבל – אדם בעל השכלה כללית (משכיל) או גדול בתורה – וכשהוחלט על האחרון, כונה “הרב, הגדול”.</w:t>
      </w:r>
    </w:p>
    <w:p w14:paraId="40E6F9D9" w14:textId="77777777" w:rsidR="00AB3647" w:rsidRDefault="00000000" w:rsidP="007923E9">
      <w:pPr>
        <w:spacing w:after="120" w:line="276" w:lineRule="auto"/>
        <w:ind w:firstLine="283"/>
        <w:jc w:val="both"/>
      </w:pPr>
      <w:r>
        <w:rPr>
          <w:rtl/>
        </w:rPr>
        <w:t xml:space="preserve">דעה אחרת המובאת שם היא שהרב פרלמן לא אהב שיקראו לו בשם הסתמי “המרא דאתרא של מינסק”, כפי שנקראו הרבנים שלפניו, ולכן </w:t>
      </w:r>
      <w:r>
        <w:rPr>
          <w:b/>
          <w:bCs/>
          <w:rtl/>
        </w:rPr>
        <w:t>בחר</w:t>
      </w:r>
      <w:r>
        <w:rPr>
          <w:rtl/>
        </w:rPr>
        <w:t xml:space="preserve"> שיקראו לו “הגדול של מינסק”. התואר “רב של מינסק” בוטל זמן רב קודם לכן, כפי שיבואר בפסקה הבאה. שתי האפשרויות שהזכיר בעל היומן נרשמו שנתיים לפני מותו של “הגדול”.</w:t>
      </w:r>
    </w:p>
    <w:p w14:paraId="780BC116" w14:textId="77777777" w:rsidR="00AB3647" w:rsidRDefault="00000000" w:rsidP="007923E9">
      <w:pPr>
        <w:spacing w:after="120" w:line="276" w:lineRule="auto"/>
        <w:ind w:firstLine="283"/>
        <w:jc w:val="both"/>
      </w:pPr>
      <w:r>
        <w:rPr>
          <w:rtl/>
        </w:rPr>
        <w:t xml:space="preserve">בביוגרפיה הקלסית של “הגדול”, שכתב איש סודו מאיר </w:t>
      </w:r>
      <w:proofErr w:type="spellStart"/>
      <w:r>
        <w:rPr>
          <w:rtl/>
        </w:rPr>
        <w:t>היילפרין</w:t>
      </w:r>
      <w:proofErr w:type="spellEnd"/>
      <w:r>
        <w:rPr>
          <w:rtl/>
        </w:rPr>
        <w:t xml:space="preserve"> </w:t>
      </w:r>
      <w:proofErr w:type="spellStart"/>
      <w:r>
        <w:rPr>
          <w:rtl/>
        </w:rPr>
        <w:t>חמש־עשרה</w:t>
      </w:r>
      <w:proofErr w:type="spellEnd"/>
      <w:r>
        <w:rPr>
          <w:rtl/>
        </w:rPr>
        <w:t xml:space="preserve"> שנה אחרי פטירתו, יש הסבר הצריך עיון. הספר</w:t>
      </w:r>
      <w:bookmarkStart w:id="678" w:name="_fnr415"/>
      <w:r>
        <w:rPr>
          <w:rStyle w:val="a5"/>
        </w:rPr>
        <w:footnoteReference w:id="415" w:customMarkFollows="0"/>
      </w:r>
      <w:bookmarkEnd w:id="678"/>
      <w:r>
        <w:rPr>
          <w:rtl/>
        </w:rPr>
        <w:t>, “הגדול ממינסק”</w:t>
      </w:r>
      <w:bookmarkStart w:id="679" w:name="_fnr416"/>
      <w:r>
        <w:rPr>
          <w:rStyle w:val="a5"/>
        </w:rPr>
        <w:footnoteReference w:id="416" w:customMarkFollows="0"/>
      </w:r>
      <w:bookmarkEnd w:id="679"/>
      <w:r>
        <w:rPr>
          <w:rtl/>
        </w:rPr>
        <w:t>, טוען שאחד מחשובי מינסק ביקר אצל הרב החדש בימים הראשונים אחרי עלותו על כס הרבנות, וכשיצא מן הבית העיר: “אה, זהו אדם גדול!” – והכינוי דבק בו. אומנם מוזר שתיאור פשוט מפי מבקר ייעשה תוארו של הרב החדש.</w:t>
      </w:r>
    </w:p>
    <w:p w14:paraId="75FB5F3A" w14:textId="77777777" w:rsidR="00AB3647" w:rsidRDefault="00000000" w:rsidP="007923E9">
      <w:pPr>
        <w:spacing w:after="120" w:line="276" w:lineRule="auto"/>
        <w:ind w:firstLine="283"/>
        <w:jc w:val="both"/>
      </w:pPr>
      <w:r>
        <w:rPr>
          <w:rtl/>
        </w:rPr>
        <w:t>אבל בני ר׳ יוסף מסר</w:t>
      </w:r>
      <w:bookmarkStart w:id="680" w:name="_fnr417"/>
      <w:r>
        <w:rPr>
          <w:rStyle w:val="a5"/>
        </w:rPr>
        <w:footnoteReference w:id="417" w:customMarkFollows="0"/>
      </w:r>
      <w:bookmarkEnd w:id="680"/>
      <w:r>
        <w:rPr>
          <w:rtl/>
        </w:rPr>
        <w:t xml:space="preserve"> שרבנו אמר שהרב פרלמן קיבל את התואר “גדול” משום שקודמו היה גדול ממנו הרבה, והתואר נועד לנחם את העיר. קודמו זה היה ר׳ </w:t>
      </w:r>
      <w:proofErr w:type="spellStart"/>
      <w:r>
        <w:rPr>
          <w:rtl/>
        </w:rPr>
        <w:t>דוד־טעביל</w:t>
      </w:r>
      <w:proofErr w:type="spellEnd"/>
      <w:r>
        <w:rPr>
          <w:rtl/>
        </w:rPr>
        <w:t xml:space="preserve">, תלמידו של ר׳ חיים </w:t>
      </w:r>
      <w:proofErr w:type="spellStart"/>
      <w:r>
        <w:rPr>
          <w:rtl/>
        </w:rPr>
        <w:t>מוולוז׳ין</w:t>
      </w:r>
      <w:proofErr w:type="spellEnd"/>
      <w:r>
        <w:rPr>
          <w:rtl/>
        </w:rPr>
        <w:t xml:space="preserve"> ומחבר “נחלת דוד”. לאור גילוי זה אפשר לשער שהאיש החשוב שביקר את הרב החדש התכוון לומר שהעיר צריכה להיות מרוצה במי שמינתה, שכן אף שאינו שווה </w:t>
      </w:r>
      <w:proofErr w:type="spellStart"/>
      <w:r>
        <w:rPr>
          <w:rtl/>
        </w:rPr>
        <w:t>לר</w:t>
      </w:r>
      <w:proofErr w:type="spellEnd"/>
      <w:r>
        <w:rPr>
          <w:rtl/>
        </w:rPr>
        <w:t xml:space="preserve">׳ </w:t>
      </w:r>
      <w:proofErr w:type="spellStart"/>
      <w:r>
        <w:rPr>
          <w:rtl/>
        </w:rPr>
        <w:t>דוד־טעביל</w:t>
      </w:r>
      <w:proofErr w:type="spellEnd"/>
      <w:r>
        <w:rPr>
          <w:rtl/>
        </w:rPr>
        <w:t>, מכל מקום “אדם גדול” הוא. מחבר “הגדול ממינסק” היה קרוב במיוחד לרב פרלמן ואהב אותו, ולכן לא רצה לכתוב במפורש שהעיר הייתה צריכה תנחומים על מינוי רבה.</w:t>
      </w:r>
    </w:p>
    <w:p w14:paraId="47812630" w14:textId="77777777" w:rsidR="00AB3647" w:rsidRDefault="00000000" w:rsidP="007923E9">
      <w:pPr>
        <w:pStyle w:val="4"/>
        <w:spacing w:line="276" w:lineRule="auto"/>
      </w:pPr>
      <w:r>
        <w:lastRenderedPageBreak/>
        <w:t>· הפסקה השנייה ·</w:t>
      </w:r>
    </w:p>
    <w:p w14:paraId="40A2CB7D" w14:textId="77777777" w:rsidR="00AB3647" w:rsidRDefault="00000000" w:rsidP="007923E9">
      <w:pPr>
        <w:pStyle w:val="5"/>
        <w:spacing w:line="276" w:lineRule="auto"/>
      </w:pPr>
      <w:r>
        <w:t>התואר הרשמי לרבה של מינסק הוא “מרא דאתרא” הנדיר – העיר מתכחשת לחובה – תושבי מינסק זוכים לכינוי גס</w:t>
      </w:r>
    </w:p>
    <w:p w14:paraId="40656243" w14:textId="77777777" w:rsidR="00AB3647" w:rsidRDefault="00000000" w:rsidP="007923E9">
      <w:pPr>
        <w:spacing w:after="120" w:line="276" w:lineRule="auto"/>
        <w:ind w:firstLine="283"/>
        <w:jc w:val="both"/>
      </w:pPr>
      <w:r>
        <w:rPr>
          <w:rtl/>
        </w:rPr>
        <w:t xml:space="preserve">בשנת תקע״ג נפטר רבה של מינסק, ר׳ ישראל </w:t>
      </w:r>
      <w:proofErr w:type="spellStart"/>
      <w:r>
        <w:rPr>
          <w:rtl/>
        </w:rPr>
        <w:t>מירקיס</w:t>
      </w:r>
      <w:proofErr w:type="spellEnd"/>
      <w:r>
        <w:rPr>
          <w:rtl/>
        </w:rPr>
        <w:t xml:space="preserve">, עמיתו הנערץ של ר׳ חיים </w:t>
      </w:r>
      <w:proofErr w:type="spellStart"/>
      <w:r>
        <w:rPr>
          <w:rtl/>
        </w:rPr>
        <w:t>מוולוז׳ין</w:t>
      </w:r>
      <w:proofErr w:type="spellEnd"/>
      <w:r>
        <w:rPr>
          <w:rtl/>
        </w:rPr>
        <w:t xml:space="preserve">, ואחרי פטירתו הוחלף התואר הרשמי של רבני מינסק </w:t>
      </w:r>
      <w:proofErr w:type="spellStart"/>
      <w:r>
        <w:rPr>
          <w:rtl/>
        </w:rPr>
        <w:t>מ“רב</w:t>
      </w:r>
      <w:proofErr w:type="spellEnd"/>
      <w:r>
        <w:rPr>
          <w:rtl/>
        </w:rPr>
        <w:t xml:space="preserve">” </w:t>
      </w:r>
      <w:proofErr w:type="spellStart"/>
      <w:r>
        <w:rPr>
          <w:rtl/>
        </w:rPr>
        <w:t>ל“מרא</w:t>
      </w:r>
      <w:proofErr w:type="spellEnd"/>
      <w:r>
        <w:rPr>
          <w:rtl/>
        </w:rPr>
        <w:t xml:space="preserve"> דאתרא”. ר׳ חיים שפירא מבולטימור סיפר</w:t>
      </w:r>
      <w:bookmarkStart w:id="681" w:name="_fnr418"/>
      <w:r>
        <w:rPr>
          <w:rStyle w:val="a5"/>
        </w:rPr>
        <w:footnoteReference w:id="418" w:customMarkFollows="0"/>
      </w:r>
      <w:bookmarkEnd w:id="681"/>
      <w:r>
        <w:rPr>
          <w:rtl/>
        </w:rPr>
        <w:t xml:space="preserve"> שר׳ </w:t>
      </w:r>
      <w:proofErr w:type="spellStart"/>
      <w:r>
        <w:rPr>
          <w:rtl/>
        </w:rPr>
        <w:t>יעקב־יצחק</w:t>
      </w:r>
      <w:proofErr w:type="spellEnd"/>
      <w:r>
        <w:rPr>
          <w:rtl/>
        </w:rPr>
        <w:t xml:space="preserve"> </w:t>
      </w:r>
      <w:proofErr w:type="spellStart"/>
      <w:r>
        <w:rPr>
          <w:rtl/>
        </w:rPr>
        <w:t>רודרמן</w:t>
      </w:r>
      <w:proofErr w:type="spellEnd"/>
      <w:r>
        <w:rPr>
          <w:rtl/>
        </w:rPr>
        <w:t xml:space="preserve"> הסביר לו את הטעם לכך, “ו(רבנו) הביע את הסכמתו”. השלטון המקומי הטיל מס על מינוי רב, וכדי להימנע מתשלום המס השרירותי החליטה הקהילה לבטל את התואר כשקיבלה את ר׳ שמואל סגל לממלא מקומו של הרב </w:t>
      </w:r>
      <w:proofErr w:type="spellStart"/>
      <w:r>
        <w:rPr>
          <w:rtl/>
        </w:rPr>
        <w:t>מירקיס</w:t>
      </w:r>
      <w:proofErr w:type="spellEnd"/>
      <w:r>
        <w:rPr>
          <w:rtl/>
        </w:rPr>
        <w:t>.</w:t>
      </w:r>
    </w:p>
    <w:p w14:paraId="0C7774BE" w14:textId="77777777" w:rsidR="00AB3647" w:rsidRDefault="00000000" w:rsidP="007923E9">
      <w:pPr>
        <w:spacing w:after="120" w:line="276" w:lineRule="auto"/>
        <w:ind w:firstLine="283"/>
        <w:jc w:val="both"/>
      </w:pPr>
      <w:r>
        <w:rPr>
          <w:rtl/>
        </w:rPr>
        <w:t>גזירת המס בוטלה כעבור זמן קצר, והרב סגל נפטר אחרי שש שנים בכהונתו, ובכל זאת אי אפשר היה להחזיר את התואר “רב”, שמא ייראה הדבר כאילו חולק לממלא מקומו של הרב סגל כבוד גדול משלו. כך בוטל התואר “רב של מינסק” לעולמים.</w:t>
      </w:r>
    </w:p>
    <w:p w14:paraId="5DC64CAD" w14:textId="77777777" w:rsidR="00AB3647" w:rsidRDefault="00000000" w:rsidP="007923E9">
      <w:pPr>
        <w:spacing w:after="120" w:line="276" w:lineRule="auto"/>
        <w:ind w:firstLine="283"/>
        <w:jc w:val="both"/>
      </w:pPr>
      <w:r>
        <w:rPr>
          <w:rtl/>
        </w:rPr>
        <w:t xml:space="preserve">אבל </w:t>
      </w:r>
      <w:proofErr w:type="spellStart"/>
      <w:r>
        <w:rPr>
          <w:rtl/>
        </w:rPr>
        <w:t>ב“מינסק</w:t>
      </w:r>
      <w:proofErr w:type="spellEnd"/>
      <w:r>
        <w:rPr>
          <w:rtl/>
        </w:rPr>
        <w:t xml:space="preserve"> עיר ואם א”</w:t>
      </w:r>
      <w:bookmarkStart w:id="682" w:name="_fnr419"/>
      <w:r>
        <w:rPr>
          <w:rStyle w:val="a5"/>
        </w:rPr>
        <w:footnoteReference w:id="419" w:customMarkFollows="0"/>
      </w:r>
      <w:bookmarkEnd w:id="682"/>
      <w:r>
        <w:rPr>
          <w:rtl/>
        </w:rPr>
        <w:t xml:space="preserve"> יש הסבר אחר. הרב </w:t>
      </w:r>
      <w:proofErr w:type="spellStart"/>
      <w:r>
        <w:rPr>
          <w:rtl/>
        </w:rPr>
        <w:t>מירקיס</w:t>
      </w:r>
      <w:proofErr w:type="spellEnd"/>
      <w:r>
        <w:rPr>
          <w:rtl/>
        </w:rPr>
        <w:t xml:space="preserve"> היה בעל הון משלו, ובעשרים שנות כהונתו ברבנות הלווה סכומי כסף עצומים לצורכי הקהילה (השווה “אבי הישיבות”</w:t>
      </w:r>
      <w:bookmarkStart w:id="683" w:name="_fnr420"/>
      <w:r>
        <w:rPr>
          <w:rStyle w:val="a5"/>
        </w:rPr>
        <w:footnoteReference w:id="420" w:customMarkFollows="0"/>
      </w:r>
      <w:bookmarkEnd w:id="683"/>
      <w:r>
        <w:rPr>
          <w:rtl/>
        </w:rPr>
        <w:t xml:space="preserve"> על דין התורה שניהל הרב בניסיונו לגבות את החוב). על ערש דווי הוציא מזקני מינסק הבטחה שלא יקבלו רב אחר לעירם עד שייפרע החוב, וכך קיווה להבטיח את התשלום ליורשיו. מינסק עקפה את התחייבותה בכך שהחליפה את התואר של הרבנים שבאו אחרי הרב </w:t>
      </w:r>
      <w:proofErr w:type="spellStart"/>
      <w:r>
        <w:rPr>
          <w:rtl/>
        </w:rPr>
        <w:t>מירקיס</w:t>
      </w:r>
      <w:proofErr w:type="spellEnd"/>
      <w:r>
        <w:rPr>
          <w:rtl/>
        </w:rPr>
        <w:t>. לפי דיווח זה, לא ממס ממשלתי ביקשו להתחמק בביטול התואר, אלא מפירעון חוב!</w:t>
      </w:r>
    </w:p>
    <w:p w14:paraId="1B7876C5" w14:textId="77777777" w:rsidR="00AB3647" w:rsidRDefault="00000000" w:rsidP="007923E9">
      <w:pPr>
        <w:spacing w:after="120" w:line="276" w:lineRule="auto"/>
        <w:ind w:firstLine="283"/>
        <w:jc w:val="both"/>
      </w:pPr>
      <w:r>
        <w:rPr>
          <w:rtl/>
        </w:rPr>
        <w:t xml:space="preserve">ר׳ ישראל </w:t>
      </w:r>
      <w:proofErr w:type="spellStart"/>
      <w:r>
        <w:rPr>
          <w:rtl/>
        </w:rPr>
        <w:t>שורין</w:t>
      </w:r>
      <w:bookmarkStart w:id="684" w:name="_fnr421"/>
      <w:proofErr w:type="spellEnd"/>
      <w:r>
        <w:rPr>
          <w:rStyle w:val="a5"/>
        </w:rPr>
        <w:footnoteReference w:id="421" w:customMarkFollows="0"/>
      </w:r>
      <w:bookmarkEnd w:id="684"/>
      <w:r>
        <w:rPr>
          <w:rtl/>
        </w:rPr>
        <w:t xml:space="preserve"> ציין שאבי הסכים לנוסח זה – ולא לנוסחו של ר׳ </w:t>
      </w:r>
      <w:proofErr w:type="spellStart"/>
      <w:r>
        <w:rPr>
          <w:rtl/>
        </w:rPr>
        <w:t>יעקב־יצחק</w:t>
      </w:r>
      <w:proofErr w:type="spellEnd"/>
      <w:r>
        <w:rPr>
          <w:rtl/>
        </w:rPr>
        <w:t xml:space="preserve"> </w:t>
      </w:r>
      <w:proofErr w:type="spellStart"/>
      <w:r>
        <w:rPr>
          <w:rtl/>
        </w:rPr>
        <w:t>רודרמן</w:t>
      </w:r>
      <w:proofErr w:type="spellEnd"/>
      <w:r>
        <w:rPr>
          <w:rtl/>
        </w:rPr>
        <w:t xml:space="preserve">, כפי שהבין ר׳ חיים שפירא. אגב, לערובה מסוג זה נזקקה גם משפחת </w:t>
      </w:r>
      <w:proofErr w:type="spellStart"/>
      <w:r>
        <w:rPr>
          <w:rtl/>
        </w:rPr>
        <w:t>סולובייצ׳יק</w:t>
      </w:r>
      <w:proofErr w:type="spellEnd"/>
      <w:r>
        <w:rPr>
          <w:rtl/>
        </w:rPr>
        <w:t xml:space="preserve"> כשניסתה לגבות חוב מעיר קובנה </w:t>
      </w:r>
      <w:r>
        <w:rPr>
          <w:b/>
          <w:bCs/>
          <w:rtl/>
        </w:rPr>
        <w:t>באותה תקופה</w:t>
      </w:r>
      <w:bookmarkStart w:id="685" w:name="_fnr422"/>
      <w:bookmarkStart w:id="686" w:name="pr_f_352"/>
      <w:r>
        <w:rPr>
          <w:rStyle w:val="a5"/>
        </w:rPr>
        <w:footnoteReference w:id="422" w:customMarkFollows="0"/>
      </w:r>
      <w:bookmarkEnd w:id="685"/>
      <w:bookmarkEnd w:id="686"/>
      <w:r>
        <w:rPr>
          <w:rtl/>
        </w:rPr>
        <w:t>.</w:t>
      </w:r>
    </w:p>
    <w:p w14:paraId="777128F2" w14:textId="77777777" w:rsidR="00AB3647" w:rsidRDefault="00000000" w:rsidP="007923E9">
      <w:pPr>
        <w:spacing w:after="120" w:line="276" w:lineRule="auto"/>
        <w:ind w:firstLine="283"/>
        <w:jc w:val="both"/>
      </w:pPr>
      <w:r>
        <w:rPr>
          <w:rtl/>
        </w:rPr>
        <w:t xml:space="preserve">בני העיירות במזרח אירופה כונו בכינויים בפי שכניהם מן העיירות הסמוכות. בני </w:t>
      </w:r>
      <w:proofErr w:type="spellStart"/>
      <w:r>
        <w:rPr>
          <w:rtl/>
        </w:rPr>
        <w:t>דולהינוב</w:t>
      </w:r>
      <w:proofErr w:type="spellEnd"/>
      <w:r>
        <w:rPr>
          <w:rtl/>
        </w:rPr>
        <w:t>, למשל, נקראו “</w:t>
      </w:r>
      <w:proofErr w:type="spellStart"/>
      <w:r>
        <w:rPr>
          <w:rtl/>
        </w:rPr>
        <w:t>דאלהינאווער</w:t>
      </w:r>
      <w:proofErr w:type="spellEnd"/>
      <w:r>
        <w:rPr>
          <w:rtl/>
        </w:rPr>
        <w:t xml:space="preserve"> </w:t>
      </w:r>
      <w:proofErr w:type="spellStart"/>
      <w:r>
        <w:rPr>
          <w:rtl/>
        </w:rPr>
        <w:t>פלעצלעך</w:t>
      </w:r>
      <w:proofErr w:type="spellEnd"/>
      <w:r>
        <w:rPr>
          <w:rtl/>
        </w:rPr>
        <w:t xml:space="preserve"> [רקיקים]”, מסיבה שאינה ידועה. בני </w:t>
      </w:r>
      <w:proofErr w:type="spellStart"/>
      <w:r>
        <w:rPr>
          <w:rtl/>
        </w:rPr>
        <w:t>סלנט</w:t>
      </w:r>
      <w:proofErr w:type="spellEnd"/>
      <w:r>
        <w:rPr>
          <w:rtl/>
        </w:rPr>
        <w:t xml:space="preserve"> נקראו, בפשטות יותר, “</w:t>
      </w:r>
      <w:proofErr w:type="spellStart"/>
      <w:r>
        <w:rPr>
          <w:rtl/>
        </w:rPr>
        <w:t>סאלאנטער</w:t>
      </w:r>
      <w:proofErr w:type="spellEnd"/>
      <w:r>
        <w:rPr>
          <w:rtl/>
        </w:rPr>
        <w:t xml:space="preserve"> בעלי גאוה”</w:t>
      </w:r>
      <w:bookmarkStart w:id="687" w:name="_fnr423"/>
      <w:r>
        <w:rPr>
          <w:rStyle w:val="a5"/>
        </w:rPr>
        <w:footnoteReference w:id="423" w:customMarkFollows="0"/>
      </w:r>
      <w:bookmarkEnd w:id="687"/>
      <w:r>
        <w:rPr>
          <w:rtl/>
        </w:rPr>
        <w:t xml:space="preserve">. בני </w:t>
      </w:r>
      <w:proofErr w:type="spellStart"/>
      <w:r>
        <w:rPr>
          <w:rtl/>
        </w:rPr>
        <w:t>רוביז׳ביץ</w:t>
      </w:r>
      <w:proofErr w:type="spellEnd"/>
      <w:r>
        <w:rPr>
          <w:rtl/>
        </w:rPr>
        <w:t>׳ נקראו “</w:t>
      </w:r>
      <w:proofErr w:type="spellStart"/>
      <w:r>
        <w:rPr>
          <w:rtl/>
        </w:rPr>
        <w:t>רוביזשעוויצער</w:t>
      </w:r>
      <w:proofErr w:type="spellEnd"/>
      <w:r>
        <w:rPr>
          <w:rtl/>
        </w:rPr>
        <w:t xml:space="preserve"> </w:t>
      </w:r>
      <w:proofErr w:type="spellStart"/>
      <w:r>
        <w:rPr>
          <w:rtl/>
        </w:rPr>
        <w:t>פעלצלעך</w:t>
      </w:r>
      <w:proofErr w:type="spellEnd"/>
      <w:r>
        <w:rPr>
          <w:rtl/>
        </w:rPr>
        <w:t xml:space="preserve"> [קליפות]”, משום שלפי “ספר </w:t>
      </w:r>
      <w:proofErr w:type="spellStart"/>
      <w:r>
        <w:rPr>
          <w:rtl/>
        </w:rPr>
        <w:t>זכרון</w:t>
      </w:r>
      <w:proofErr w:type="spellEnd"/>
      <w:r>
        <w:rPr>
          <w:rtl/>
        </w:rPr>
        <w:t xml:space="preserve"> </w:t>
      </w:r>
      <w:proofErr w:type="spellStart"/>
      <w:r>
        <w:rPr>
          <w:rtl/>
        </w:rPr>
        <w:t>רוביז׳ביץ</w:t>
      </w:r>
      <w:proofErr w:type="spellEnd"/>
      <w:r>
        <w:rPr>
          <w:rtl/>
        </w:rPr>
        <w:t xml:space="preserve"> דרבנה והסביבה”</w:t>
      </w:r>
      <w:bookmarkStart w:id="688" w:name="_fnr424"/>
      <w:r>
        <w:rPr>
          <w:rStyle w:val="a5"/>
        </w:rPr>
        <w:footnoteReference w:id="424" w:customMarkFollows="0"/>
      </w:r>
      <w:bookmarkEnd w:id="688"/>
      <w:r>
        <w:rPr>
          <w:rtl/>
        </w:rPr>
        <w:t xml:space="preserve"> “היו עניים ולא בררנים </w:t>
      </w:r>
      <w:r>
        <w:rPr>
          <w:rtl/>
        </w:rPr>
        <w:lastRenderedPageBreak/>
        <w:t>במאכלם, ולעתים קרובות אכלו את תפוחי האדמה המבושלים שלהם בלי לקלפם, בקליפתם”. לבני מינסק דבק, משום מה, הכינוי הגס במיוחד “</w:t>
      </w:r>
      <w:proofErr w:type="spellStart"/>
      <w:r>
        <w:rPr>
          <w:rtl/>
        </w:rPr>
        <w:t>מינסקער</w:t>
      </w:r>
      <w:proofErr w:type="spellEnd"/>
      <w:r>
        <w:rPr>
          <w:rtl/>
        </w:rPr>
        <w:t xml:space="preserve"> חזירים”</w:t>
      </w:r>
      <w:bookmarkStart w:id="689" w:name="_fnr425"/>
      <w:r>
        <w:rPr>
          <w:rStyle w:val="a5"/>
        </w:rPr>
        <w:footnoteReference w:id="425" w:customMarkFollows="0"/>
      </w:r>
      <w:bookmarkEnd w:id="689"/>
      <w:r>
        <w:rPr>
          <w:rtl/>
        </w:rPr>
        <w:t>.</w:t>
      </w:r>
    </w:p>
    <w:p w14:paraId="4B3CD3C2" w14:textId="77777777" w:rsidR="00AB3647" w:rsidRDefault="00000000" w:rsidP="007923E9">
      <w:pPr>
        <w:spacing w:after="120" w:line="276" w:lineRule="auto"/>
        <w:ind w:firstLine="283"/>
        <w:jc w:val="both"/>
      </w:pPr>
      <w:r>
        <w:rPr>
          <w:rtl/>
        </w:rPr>
        <w:t xml:space="preserve">יש מי שמציע שמעשה החוב של הרב </w:t>
      </w:r>
      <w:proofErr w:type="spellStart"/>
      <w:r>
        <w:rPr>
          <w:rtl/>
        </w:rPr>
        <w:t>מירקיס</w:t>
      </w:r>
      <w:proofErr w:type="spellEnd"/>
      <w:r>
        <w:rPr>
          <w:rtl/>
        </w:rPr>
        <w:t xml:space="preserve"> הוא שורש הכינוי שאינו מחמיא, שכן אדם מכובד בדרך כלל שמתחמק בתחבולה מהתחייבות כספית נקשר – ועדיין נקשר – בלשון הדיבור בבהמה הטמאה. הקשר בין טיפוס כזה לחזיר נובע כנראה מדברי רש״י בבראשית </w:t>
      </w:r>
      <w:proofErr w:type="spellStart"/>
      <w:r>
        <w:rPr>
          <w:rtl/>
        </w:rPr>
        <w:t>כו:לד</w:t>
      </w:r>
      <w:proofErr w:type="spellEnd"/>
      <w:r>
        <w:rPr>
          <w:rtl/>
        </w:rPr>
        <w:t xml:space="preserve">: החזיר פושט את </w:t>
      </w:r>
      <w:proofErr w:type="spellStart"/>
      <w:r>
        <w:rPr>
          <w:rtl/>
        </w:rPr>
        <w:t>טלפיו</w:t>
      </w:r>
      <w:proofErr w:type="spellEnd"/>
      <w:r>
        <w:rPr>
          <w:rtl/>
        </w:rPr>
        <w:t xml:space="preserve"> להראות את סימן הטהרה היחיד שלו, פרסות סדוקות, כטענת שקר שהוא בהמה טהורה. גם הביטוי היידי להראות “חזיר </w:t>
      </w:r>
      <w:proofErr w:type="spellStart"/>
      <w:r>
        <w:rPr>
          <w:rtl/>
        </w:rPr>
        <w:t>פיסעל</w:t>
      </w:r>
      <w:proofErr w:type="spellEnd"/>
      <w:r>
        <w:rPr>
          <w:rtl/>
        </w:rPr>
        <w:t>” [רגל חזיר] מיוסד על מקור זה. כך, על מי ש</w:t>
      </w:r>
      <w:r>
        <w:rPr>
          <w:b/>
          <w:bCs/>
          <w:rtl/>
        </w:rPr>
        <w:t>מעמיד פנים</w:t>
      </w:r>
      <w:r>
        <w:rPr>
          <w:rtl/>
        </w:rPr>
        <w:t xml:space="preserve"> שהוא ישר ובאמת הוא עקום – כפי שעשתה קהילת מינסק במינוי “מרא דאתרא”, “רב” בשם אחר – אומרים שהוא “מראה רגל חזיר”.</w:t>
      </w:r>
    </w:p>
    <w:p w14:paraId="77949F73" w14:textId="77777777" w:rsidR="00AB3647" w:rsidRDefault="00000000" w:rsidP="007923E9">
      <w:pPr>
        <w:pStyle w:val="4"/>
        <w:spacing w:line="276" w:lineRule="auto"/>
      </w:pPr>
      <w:r>
        <w:t>· הפסקה השלישית ·</w:t>
      </w:r>
    </w:p>
    <w:p w14:paraId="1BB60726" w14:textId="77777777" w:rsidR="00AB3647" w:rsidRDefault="00000000" w:rsidP="007923E9">
      <w:pPr>
        <w:pStyle w:val="5"/>
        <w:spacing w:line="276" w:lineRule="auto"/>
      </w:pPr>
      <w:r>
        <w:t xml:space="preserve">עגלון </w:t>
      </w:r>
      <w:proofErr w:type="spellStart"/>
      <w:r>
        <w:t>נכרי</w:t>
      </w:r>
      <w:proofErr w:type="spellEnd"/>
      <w:r>
        <w:t xml:space="preserve"> מגיע באיחור </w:t>
      </w:r>
      <w:proofErr w:type="spellStart"/>
      <w:r>
        <w:t>לקלם</w:t>
      </w:r>
      <w:proofErr w:type="spellEnd"/>
      <w:r>
        <w:t xml:space="preserve"> – קולות לילה מפחידים מבית המדרש של קלם</w:t>
      </w:r>
    </w:p>
    <w:p w14:paraId="313D06C3" w14:textId="77777777" w:rsidR="00AB3647" w:rsidRDefault="00000000" w:rsidP="007923E9">
      <w:pPr>
        <w:spacing w:after="120" w:line="276" w:lineRule="auto"/>
        <w:ind w:firstLine="283"/>
        <w:jc w:val="both"/>
      </w:pPr>
      <w:r>
        <w:rPr>
          <w:rtl/>
        </w:rPr>
        <w:t>הקורא ימצא עניין בסיפור שמאחורי הכינוי שהודבק לתושבי קלם, עיירה שתופסת מקום מיוחד בתולדות תנועת המוסר</w:t>
      </w:r>
      <w:bookmarkStart w:id="690" w:name="_fnr426"/>
      <w:r>
        <w:rPr>
          <w:rStyle w:val="a5"/>
        </w:rPr>
        <w:footnoteReference w:id="426" w:customMarkFollows="0"/>
      </w:r>
      <w:bookmarkEnd w:id="690"/>
      <w:r>
        <w:rPr>
          <w:rtl/>
        </w:rPr>
        <w:t>: הם נקראו “</w:t>
      </w:r>
      <w:proofErr w:type="spellStart"/>
      <w:r>
        <w:rPr>
          <w:rtl/>
        </w:rPr>
        <w:t>קעלמער</w:t>
      </w:r>
      <w:proofErr w:type="spellEnd"/>
      <w:r>
        <w:rPr>
          <w:rtl/>
        </w:rPr>
        <w:t xml:space="preserve"> </w:t>
      </w:r>
      <w:proofErr w:type="spellStart"/>
      <w:r>
        <w:rPr>
          <w:rtl/>
        </w:rPr>
        <w:t>שלאפער</w:t>
      </w:r>
      <w:proofErr w:type="spellEnd"/>
      <w:r>
        <w:rPr>
          <w:rtl/>
        </w:rPr>
        <w:t xml:space="preserve"> [ישנוני קלם]”. לפי מאמר מאת הרב חיים </w:t>
      </w:r>
      <w:proofErr w:type="spellStart"/>
      <w:r>
        <w:rPr>
          <w:rtl/>
        </w:rPr>
        <w:t xml:space="preserve">קרלינסקי</w:t>
      </w:r>
      <w:proofErr w:type="spellEnd"/>
      <w:r>
        <w:rPr>
          <w:rtl/>
        </w:rPr>
        <w:t xml:space="preserve"> </w:t>
      </w:r>
      <w:proofErr w:type="spellStart"/>
      <w:r>
        <w:rPr>
          <w:rtl/>
        </w:rPr>
        <w:t>ב“ליטע</w:t>
      </w:r>
      <w:proofErr w:type="spellEnd"/>
      <w:r>
        <w:rPr>
          <w:rtl/>
        </w:rPr>
        <w:t>”</w:t>
      </w:r>
      <w:bookmarkStart w:id="691" w:name="_fnr427"/>
      <w:r>
        <w:rPr>
          <w:rStyle w:val="a5"/>
        </w:rPr>
        <w:footnoteReference w:id="427" w:customMarkFollows="0"/>
      </w:r>
      <w:bookmarkEnd w:id="691"/>
      <w:r>
        <w:rPr>
          <w:rtl/>
        </w:rPr>
        <w:t>, יש שתי אגדות מאחורי הכינוי.</w:t>
      </w:r>
    </w:p>
    <w:p w14:paraId="0D392509" w14:textId="77777777" w:rsidR="00AB3647" w:rsidRDefault="00000000" w:rsidP="007923E9">
      <w:pPr>
        <w:spacing w:after="120" w:line="276" w:lineRule="auto"/>
        <w:ind w:firstLine="283"/>
        <w:jc w:val="both"/>
      </w:pPr>
      <w:r>
        <w:rPr>
          <w:rtl/>
        </w:rPr>
        <w:t xml:space="preserve">לפי האחת, בחג סוכות אחד לא יכלה העיירה להרשות לעצמה אתרוג משלה, ושילמה לקהילה הגדולה של </w:t>
      </w:r>
      <w:proofErr w:type="spellStart"/>
      <w:r>
        <w:rPr>
          <w:rtl/>
        </w:rPr>
        <w:t>ראסיין</w:t>
      </w:r>
      <w:proofErr w:type="spellEnd"/>
      <w:r>
        <w:rPr>
          <w:rtl/>
        </w:rPr>
        <w:t xml:space="preserve"> כדי להיות שותפה באתרוג שלה. בחול המועד היו מתפללים מוקדם </w:t>
      </w:r>
      <w:proofErr w:type="spellStart"/>
      <w:r>
        <w:rPr>
          <w:rtl/>
        </w:rPr>
        <w:t>בראסיין</w:t>
      </w:r>
      <w:proofErr w:type="spellEnd"/>
      <w:r>
        <w:rPr>
          <w:rtl/>
        </w:rPr>
        <w:t xml:space="preserve"> ושולחים את האתרוג עם עגלון </w:t>
      </w:r>
      <w:proofErr w:type="spellStart"/>
      <w:r>
        <w:rPr>
          <w:rtl/>
        </w:rPr>
        <w:t>נכרי</w:t>
      </w:r>
      <w:proofErr w:type="spellEnd"/>
      <w:r>
        <w:rPr>
          <w:rtl/>
        </w:rPr>
        <w:t xml:space="preserve"> </w:t>
      </w:r>
      <w:proofErr w:type="spellStart"/>
      <w:r>
        <w:rPr>
          <w:rtl/>
        </w:rPr>
        <w:t>לקלם</w:t>
      </w:r>
      <w:proofErr w:type="spellEnd"/>
      <w:r>
        <w:rPr>
          <w:rtl/>
        </w:rPr>
        <w:t>, המרוחקת שלושים וחמישה קילומטרים.</w:t>
      </w:r>
    </w:p>
    <w:p w14:paraId="644E749A" w14:textId="77777777" w:rsidR="00AB3647" w:rsidRDefault="00000000" w:rsidP="007923E9">
      <w:pPr>
        <w:spacing w:after="120" w:line="276" w:lineRule="auto"/>
        <w:ind w:firstLine="283"/>
        <w:jc w:val="both"/>
      </w:pPr>
      <w:r>
        <w:rPr>
          <w:rtl/>
        </w:rPr>
        <w:t xml:space="preserve">באחד מימי חול המועד החליט הגוי לעצור בדרך לשתות משקה חריף. הוא שתה כוסית אחת, שנייה ושלישית, ונרדם. עד שהגיע בעגלתו </w:t>
      </w:r>
      <w:proofErr w:type="spellStart"/>
      <w:r>
        <w:rPr>
          <w:rtl/>
        </w:rPr>
        <w:t>לקלם</w:t>
      </w:r>
      <w:proofErr w:type="spellEnd"/>
      <w:r>
        <w:rPr>
          <w:rtl/>
        </w:rPr>
        <w:t xml:space="preserve">, כבר ירד הלילה מזמן. הוא ראה שהיהודים שהיה עליו למסור להם את האתרוג כבר הלכו לישון, סובב את עגלתו ויצא בחזרה </w:t>
      </w:r>
      <w:proofErr w:type="spellStart"/>
      <w:r>
        <w:rPr>
          <w:rtl/>
        </w:rPr>
        <w:t>לראסיין</w:t>
      </w:r>
      <w:proofErr w:type="spellEnd"/>
      <w:r>
        <w:rPr>
          <w:rtl/>
        </w:rPr>
        <w:t xml:space="preserve">, ואמר לשולחיו שלא עלה בידו למלא את שליחותו משום </w:t>
      </w:r>
      <w:proofErr w:type="spellStart"/>
      <w:r>
        <w:rPr>
          <w:rtl/>
        </w:rPr>
        <w:t>ש“בקלם</w:t>
      </w:r>
      <w:proofErr w:type="spellEnd"/>
      <w:r>
        <w:rPr>
          <w:rtl/>
        </w:rPr>
        <w:t xml:space="preserve"> ישנים”. וכך נולד “</w:t>
      </w:r>
      <w:proofErr w:type="spellStart"/>
      <w:r>
        <w:rPr>
          <w:rtl/>
        </w:rPr>
        <w:t>קעלמער</w:t>
      </w:r>
      <w:proofErr w:type="spellEnd"/>
      <w:r>
        <w:rPr>
          <w:rtl/>
        </w:rPr>
        <w:t xml:space="preserve"> </w:t>
      </w:r>
      <w:proofErr w:type="spellStart"/>
      <w:r>
        <w:rPr>
          <w:rtl/>
        </w:rPr>
        <w:t>שלאפער</w:t>
      </w:r>
      <w:proofErr w:type="spellEnd"/>
      <w:r>
        <w:rPr>
          <w:rtl/>
        </w:rPr>
        <w:t>”.</w:t>
      </w:r>
    </w:p>
    <w:p w14:paraId="30DC29D6" w14:textId="77777777" w:rsidR="00AB3647" w:rsidRDefault="00000000" w:rsidP="007923E9">
      <w:pPr>
        <w:spacing w:after="120" w:line="276" w:lineRule="auto"/>
        <w:ind w:firstLine="283"/>
        <w:jc w:val="both"/>
      </w:pPr>
      <w:r>
        <w:rPr>
          <w:rtl/>
        </w:rPr>
        <w:t xml:space="preserve">האגדה האחרת קשורה ברבה של קלם, ר׳ אליעזר גוטמן (שנכדתו נישאה לימים לסבא </w:t>
      </w:r>
      <w:proofErr w:type="spellStart"/>
      <w:r>
        <w:rPr>
          <w:rtl/>
        </w:rPr>
        <w:t>מסלבודקה</w:t>
      </w:r>
      <w:proofErr w:type="spellEnd"/>
      <w:r>
        <w:rPr>
          <w:rtl/>
        </w:rPr>
        <w:t xml:space="preserve">). באחת משנות כהונתו, </w:t>
      </w:r>
      <w:proofErr w:type="spellStart"/>
      <w:r>
        <w:rPr>
          <w:rtl/>
        </w:rPr>
        <w:t>מתק״ע</w:t>
      </w:r>
      <w:proofErr w:type="spellEnd"/>
      <w:r>
        <w:rPr>
          <w:rtl/>
        </w:rPr>
        <w:t xml:space="preserve"> עד תקצ״א, שמעו בני העיירה לילה אחד יללות מרות עולות מבית המדרש המואר. בטוחים שהמתים חזרו להתפלל</w:t>
      </w:r>
      <w:bookmarkStart w:id="692" w:name="_fnr428"/>
      <w:r>
        <w:rPr>
          <w:rStyle w:val="a5"/>
        </w:rPr>
        <w:footnoteReference w:id="428" w:customMarkFollows="0"/>
      </w:r>
      <w:bookmarkEnd w:id="692"/>
      <w:r>
        <w:rPr>
          <w:rtl/>
        </w:rPr>
        <w:t xml:space="preserve">, קמו כולם, קטן וגדול, ורצו באימה אל בית הרב. </w:t>
      </w:r>
      <w:proofErr w:type="spellStart"/>
      <w:r>
        <w:rPr>
          <w:rtl/>
        </w:rPr>
        <w:t>כשלא</w:t>
      </w:r>
      <w:proofErr w:type="spellEnd"/>
      <w:r>
        <w:rPr>
          <w:rtl/>
        </w:rPr>
        <w:t xml:space="preserve"> הצליח הרב לשכנע את ההמון שיש לדבר הסבר המתקבל יותר על הדעת, אמר לראש החברה קדישא של העיירה ללכת לבית המדרש ולצוות על המתים לשוב לקבריהם.</w:t>
      </w:r>
    </w:p>
    <w:p w14:paraId="093DD42E" w14:textId="77777777" w:rsidR="00AB3647" w:rsidRDefault="00000000" w:rsidP="007923E9">
      <w:pPr>
        <w:spacing w:after="120" w:line="276" w:lineRule="auto"/>
        <w:ind w:firstLine="283"/>
        <w:jc w:val="both"/>
      </w:pPr>
      <w:r>
        <w:rPr>
          <w:rtl/>
        </w:rPr>
        <w:lastRenderedPageBreak/>
        <w:t>הגבאי נכנס לבית הכנסת רועד, על קצות אצבעותיו, ובפיו פסוקי התהלים</w:t>
      </w:r>
      <w:bookmarkStart w:id="693" w:name="_fnr429"/>
      <w:r>
        <w:rPr>
          <w:rStyle w:val="a5"/>
        </w:rPr>
        <w:footnoteReference w:id="429" w:customMarkFollows="0"/>
      </w:r>
      <w:bookmarkEnd w:id="693"/>
      <w:r>
        <w:rPr>
          <w:rtl/>
        </w:rPr>
        <w:t xml:space="preserve"> המתאימים, וראה דמות עטופה תכריכים עומדת על הדוכן וראשה בתוך ארון הקודש הפתוח. הוא התגנב, תפס בחגורת התכריכים וצעק את הלחש המסורתי: “גיי צו דיין </w:t>
      </w:r>
      <w:proofErr w:type="spellStart"/>
      <w:r>
        <w:rPr>
          <w:rtl/>
        </w:rPr>
        <w:t>רוה</w:t>
      </w:r>
      <w:proofErr w:type="spellEnd"/>
      <w:r>
        <w:rPr>
          <w:rtl/>
        </w:rPr>
        <w:t xml:space="preserve"> [לך למנוחתך]!” הדמות שלפה את ראשה מבין ספרי התורה, והנה לא הייתה זו אלא המשוגעת של העיירה. היא התחבאה בין הספסלים האחוריים כשיצאו כולם מתפילת ערבית, המתינה עד חצות, הדליקה את האורות בבית הכנסת ולבשה את תכריכיה, כדי להתחנן לפני הבורא שייקח אותה אליו, או שיגרום לבני העיירה לחדול מלקרוא לה משוגעת.</w:t>
      </w:r>
    </w:p>
    <w:p w14:paraId="2401AF98" w14:textId="77777777" w:rsidR="00AB3647" w:rsidRDefault="00000000" w:rsidP="007923E9">
      <w:pPr>
        <w:spacing w:after="120" w:line="276" w:lineRule="auto"/>
        <w:ind w:firstLine="283"/>
        <w:jc w:val="both"/>
      </w:pPr>
      <w:r>
        <w:rPr>
          <w:rtl/>
        </w:rPr>
        <w:t xml:space="preserve">בשבת שלאחר מכן נשא ר׳ אליעזר דרשה ואמר: “בעיירות אחרות יש אנשים הנשארים בבית המדרש ללמוד תורה אחרי ערבית, ואחרים משכימים בבוקר ללמוד תורה לפני </w:t>
      </w:r>
      <w:proofErr w:type="spellStart"/>
      <w:r>
        <w:rPr>
          <w:rtl/>
        </w:rPr>
        <w:t>המנין</w:t>
      </w:r>
      <w:proofErr w:type="spellEnd"/>
      <w:r>
        <w:rPr>
          <w:rtl/>
        </w:rPr>
        <w:t xml:space="preserve"> הראשון</w:t>
      </w:r>
      <w:bookmarkStart w:id="694" w:name="_fnr430"/>
      <w:r>
        <w:rPr>
          <w:rStyle w:val="a5"/>
        </w:rPr>
        <w:footnoteReference w:id="430" w:customMarkFollows="0"/>
      </w:r>
      <w:bookmarkEnd w:id="694"/>
      <w:r>
        <w:rPr>
          <w:rtl/>
        </w:rPr>
        <w:t xml:space="preserve">. בעיירות ההן נשארים המתים בקבריהם. אבל </w:t>
      </w:r>
      <w:proofErr w:type="spellStart"/>
      <w:r>
        <w:rPr>
          <w:rtl/>
        </w:rPr>
        <w:t>בקלם</w:t>
      </w:r>
      <w:proofErr w:type="spellEnd"/>
      <w:r>
        <w:rPr>
          <w:rtl/>
        </w:rPr>
        <w:t xml:space="preserve"> החיים ישנים; ולכן באים במקומם </w:t>
      </w:r>
      <w:proofErr w:type="spellStart"/>
      <w:r>
        <w:rPr>
          <w:rtl/>
        </w:rPr>
        <w:t>ה‘מתים</w:t>
      </w:r>
      <w:proofErr w:type="spellEnd"/>
      <w:r>
        <w:rPr>
          <w:rtl/>
        </w:rPr>
        <w:t>’ לבית המדרש”. וכך, על פי הודאת רבם עצמו, נודעו בשם “</w:t>
      </w:r>
      <w:proofErr w:type="spellStart"/>
      <w:r>
        <w:rPr>
          <w:rtl/>
        </w:rPr>
        <w:t>קעלמער</w:t>
      </w:r>
      <w:proofErr w:type="spellEnd"/>
      <w:r>
        <w:rPr>
          <w:rtl/>
        </w:rPr>
        <w:t xml:space="preserve"> </w:t>
      </w:r>
      <w:proofErr w:type="spellStart"/>
      <w:r>
        <w:rPr>
          <w:rtl/>
        </w:rPr>
        <w:t>שלאפער</w:t>
      </w:r>
      <w:proofErr w:type="spellEnd"/>
      <w:r>
        <w:rPr>
          <w:rtl/>
        </w:rPr>
        <w:t>”.</w:t>
      </w:r>
    </w:p>
    <w:p w14:paraId="6FBA2D9D" w14:textId="77777777" w:rsidR="00AB3647" w:rsidRDefault="00000000" w:rsidP="007923E9">
      <w:pPr>
        <w:pStyle w:val="4"/>
        <w:spacing w:line="276" w:lineRule="auto"/>
      </w:pPr>
      <w:r>
        <w:t>· הפסקה הרביעית ·</w:t>
      </w:r>
    </w:p>
    <w:p w14:paraId="5474C03E" w14:textId="77777777" w:rsidR="00AB3647" w:rsidRDefault="00000000" w:rsidP="007923E9">
      <w:pPr>
        <w:pStyle w:val="5"/>
        <w:spacing w:line="276" w:lineRule="auto"/>
      </w:pPr>
      <w:r>
        <w:t xml:space="preserve">הכינוי לתושבי </w:t>
      </w:r>
      <w:proofErr w:type="spellStart"/>
      <w:r>
        <w:t>סאלאק</w:t>
      </w:r>
      <w:proofErr w:type="spellEnd"/>
      <w:r>
        <w:t xml:space="preserve"> – רב ליטאי מגלה עולם מחוץ לעיירתו</w:t>
      </w:r>
    </w:p>
    <w:p w14:paraId="1DFFED0E" w14:textId="77777777" w:rsidR="00AB3647" w:rsidRDefault="00000000" w:rsidP="007923E9">
      <w:pPr>
        <w:spacing w:after="120" w:line="276" w:lineRule="auto"/>
        <w:ind w:firstLine="283"/>
        <w:jc w:val="both"/>
      </w:pPr>
      <w:r>
        <w:rPr>
          <w:rtl/>
        </w:rPr>
        <w:t xml:space="preserve">ר׳ אביגדור </w:t>
      </w:r>
      <w:proofErr w:type="spellStart"/>
      <w:r>
        <w:rPr>
          <w:rtl/>
        </w:rPr>
        <w:t>אפען</w:t>
      </w:r>
      <w:proofErr w:type="spellEnd"/>
      <w:r>
        <w:rPr>
          <w:rtl/>
        </w:rPr>
        <w:t xml:space="preserve"> סיפר</w:t>
      </w:r>
      <w:bookmarkStart w:id="695" w:name="_fnr431"/>
      <w:r>
        <w:rPr>
          <w:rStyle w:val="a5"/>
        </w:rPr>
        <w:footnoteReference w:id="431" w:customMarkFollows="0"/>
      </w:r>
      <w:bookmarkEnd w:id="695"/>
      <w:r>
        <w:rPr>
          <w:rtl/>
        </w:rPr>
        <w:t xml:space="preserve"> שהיה בליטא הכבושה בידי הרוסים בשנים ת״ש–תש״א, כשישיבת </w:t>
      </w:r>
      <w:proofErr w:type="spellStart"/>
      <w:r>
        <w:rPr>
          <w:rtl/>
        </w:rPr>
        <w:t>קלצק</w:t>
      </w:r>
      <w:proofErr w:type="spellEnd"/>
      <w:r>
        <w:rPr>
          <w:rtl/>
        </w:rPr>
        <w:t xml:space="preserve">, שגלתה לשם מפני הפלישה הגרמנית לפולין, נחלקה לשלוש קבוצות כדי להימלט מעיניהם הפקוחות של הקומוניסטים, שעלו אז לשלטון. התלמידים המבוגרים למדו בפני עצמם, כקבוצה עצמאית, </w:t>
      </w:r>
      <w:proofErr w:type="spellStart"/>
      <w:r>
        <w:rPr>
          <w:rtl/>
        </w:rPr>
        <w:t>בדוקשט</w:t>
      </w:r>
      <w:proofErr w:type="spellEnd"/>
      <w:r>
        <w:rPr>
          <w:rtl/>
        </w:rPr>
        <w:t xml:space="preserve">. המשגיח, ר׳ </w:t>
      </w:r>
      <w:proofErr w:type="spellStart"/>
      <w:r>
        <w:rPr>
          <w:rtl/>
        </w:rPr>
        <w:t>יוסף־לייב</w:t>
      </w:r>
      <w:proofErr w:type="spellEnd"/>
      <w:r>
        <w:rPr>
          <w:rtl/>
        </w:rPr>
        <w:t xml:space="preserve"> </w:t>
      </w:r>
      <w:proofErr w:type="spellStart"/>
      <w:r>
        <w:rPr>
          <w:rtl/>
        </w:rPr>
        <w:t>ננדניק</w:t>
      </w:r>
      <w:proofErr w:type="spellEnd"/>
      <w:r>
        <w:rPr>
          <w:rtl/>
        </w:rPr>
        <w:t xml:space="preserve">, היה עם קבוצה אחרת </w:t>
      </w:r>
      <w:proofErr w:type="spellStart"/>
      <w:r>
        <w:rPr>
          <w:rtl/>
        </w:rPr>
        <w:t>בדושאט</w:t>
      </w:r>
      <w:proofErr w:type="spellEnd"/>
      <w:r>
        <w:rPr>
          <w:rtl/>
        </w:rPr>
        <w:t xml:space="preserve">, ור׳ אהרן קוטלר, ראש הישיבה, היה עם קבוצה שלישית </w:t>
      </w:r>
      <w:proofErr w:type="spellStart"/>
      <w:r>
        <w:rPr>
          <w:rtl/>
        </w:rPr>
        <w:t>בסאלאק</w:t>
      </w:r>
      <w:proofErr w:type="spellEnd"/>
      <w:r>
        <w:rPr>
          <w:rtl/>
        </w:rPr>
        <w:t>, ובה המרואיין.</w:t>
      </w:r>
    </w:p>
    <w:p w14:paraId="7E360674" w14:textId="77777777" w:rsidR="00AB3647" w:rsidRDefault="00000000" w:rsidP="007923E9">
      <w:pPr>
        <w:spacing w:after="120" w:line="276" w:lineRule="auto"/>
        <w:ind w:firstLine="283"/>
        <w:jc w:val="both"/>
      </w:pPr>
      <w:r>
        <w:rPr>
          <w:rtl/>
        </w:rPr>
        <w:t xml:space="preserve">תושבי העיירה שבה שהתה קבוצתו כונו “ירחי </w:t>
      </w:r>
      <w:proofErr w:type="spellStart"/>
      <w:r>
        <w:rPr>
          <w:rtl/>
        </w:rPr>
        <w:t>סאלאק</w:t>
      </w:r>
      <w:proofErr w:type="spellEnd"/>
      <w:r>
        <w:rPr>
          <w:rtl/>
        </w:rPr>
        <w:t xml:space="preserve">”. אומרים שהשם נולד כשאישה צעירה, שמעולם לא יצאה מעיירתה, נלקחה פעם לעיר </w:t>
      </w:r>
      <w:proofErr w:type="spellStart"/>
      <w:r>
        <w:rPr>
          <w:rtl/>
        </w:rPr>
        <w:t>דווינסק</w:t>
      </w:r>
      <w:proofErr w:type="spellEnd"/>
      <w:r>
        <w:rPr>
          <w:rtl/>
        </w:rPr>
        <w:t xml:space="preserve">, המרוחקת ארבעים קילומטרים, וכשראתה שהלבנה זורחת שם כמו בעיירתה, קראה: “ראו, הרי זו הלבנה של </w:t>
      </w:r>
      <w:proofErr w:type="spellStart"/>
      <w:r>
        <w:rPr>
          <w:rtl/>
        </w:rPr>
        <w:t>סאלאק</w:t>
      </w:r>
      <w:proofErr w:type="spellEnd"/>
      <w:r>
        <w:rPr>
          <w:rtl/>
        </w:rPr>
        <w:t>!”</w:t>
      </w:r>
    </w:p>
    <w:p w14:paraId="79A27E35" w14:textId="77777777" w:rsidR="00AB3647" w:rsidRDefault="00000000" w:rsidP="007923E9">
      <w:pPr>
        <w:spacing w:after="120" w:line="276" w:lineRule="auto"/>
        <w:ind w:firstLine="283"/>
        <w:jc w:val="both"/>
      </w:pPr>
      <w:r>
        <w:rPr>
          <w:rtl/>
        </w:rPr>
        <w:t>דבר זה מזכיר את מה שסיפר ר׳ שמעון הירש</w:t>
      </w:r>
      <w:bookmarkStart w:id="696" w:name="_fnr432"/>
      <w:r>
        <w:rPr>
          <w:rStyle w:val="a5"/>
        </w:rPr>
        <w:footnoteReference w:id="432" w:customMarkFollows="0"/>
      </w:r>
      <w:bookmarkEnd w:id="696"/>
      <w:r>
        <w:rPr>
          <w:rtl/>
        </w:rPr>
        <w:t xml:space="preserve"> על נסיעה של אבי עם ר׳ שמחה </w:t>
      </w:r>
      <w:proofErr w:type="spellStart"/>
      <w:r>
        <w:rPr>
          <w:rtl/>
        </w:rPr>
        <w:t>שוסטל</w:t>
      </w:r>
      <w:proofErr w:type="spellEnd"/>
      <w:r>
        <w:rPr>
          <w:rtl/>
        </w:rPr>
        <w:t xml:space="preserve"> בשדרת פארק בניו יורק. ר׳ שמעון שמע את ר׳ שמחה ממעט בשיחתו עם רבנו בערכו של הרחוב, המפורסם בעולם כולו. רבנו, שלא היה מן השוללים את העולם הרחב</w:t>
      </w:r>
      <w:bookmarkStart w:id="697" w:name="_fnr433"/>
      <w:r>
        <w:rPr>
          <w:rStyle w:val="a5"/>
        </w:rPr>
        <w:footnoteReference w:id="433" w:customMarkFollows="0"/>
      </w:r>
      <w:bookmarkEnd w:id="697"/>
      <w:r>
        <w:rPr>
          <w:rtl/>
        </w:rPr>
        <w:t>, השיב בסיפור על רב “תמים”, שכיהן בעיירה ליטאית שישים שנה ומעולם לא יצא ממנה כל אותו זמן. בני העיירה החליטו לכבד אותו בנסיעה בעגלה אל מחוץ לעיירה, וכשנסעו כמה קילומטרים בדרך, העיר: “פלא! יש עולם גם כאן בחוץ”.</w:t>
      </w:r>
    </w:p>
    <w:p w14:paraId="69D0B103" w14:textId="77777777" w:rsidR="00AB3647" w:rsidRDefault="00000000" w:rsidP="007923E9">
      <w:pPr>
        <w:spacing w:after="120" w:line="276" w:lineRule="auto"/>
        <w:ind w:firstLine="283"/>
        <w:jc w:val="both"/>
      </w:pPr>
      <w:r>
        <w:rPr>
          <w:rtl/>
        </w:rPr>
        <w:lastRenderedPageBreak/>
        <w:t xml:space="preserve">יחס דומה הביע רבו של אבי, הסבא </w:t>
      </w:r>
      <w:proofErr w:type="spellStart"/>
      <w:r>
        <w:rPr>
          <w:rtl/>
        </w:rPr>
        <w:t>מסלבודקה</w:t>
      </w:r>
      <w:proofErr w:type="spellEnd"/>
      <w:r>
        <w:rPr>
          <w:rtl/>
        </w:rPr>
        <w:t>, כשתלמיד העיר לו פעם: “מה זה איינשטיין? כלום!” השיב לו הסבא בחריפות: “שוטה אתה!”</w:t>
      </w:r>
      <w:bookmarkStart w:id="698" w:name="_fnr434"/>
      <w:bookmarkStart w:id="699" w:name="pr_f_365"/>
      <w:r>
        <w:rPr>
          <w:rStyle w:val="a5"/>
        </w:rPr>
        <w:footnoteReference w:id="434" w:customMarkFollows="0"/>
      </w:r>
      <w:bookmarkStart w:id="700" w:name="_fnr435"/>
      <w:bookmarkStart w:id="701" w:name="pr_f_366"/>
      <w:bookmarkEnd w:id="698"/>
      <w:bookmarkEnd w:id="699"/>
      <w:r>
        <w:rPr>
          <w:rStyle w:val="a5"/>
        </w:rPr>
        <w:footnoteReference w:id="435" w:customMarkFollows="0"/>
      </w:r>
      <w:bookmarkEnd w:id="700"/>
      <w:bookmarkEnd w:id="701"/>
    </w:p>
    <w:p w14:paraId="0623A060" w14:textId="77777777" w:rsidR="00AB3647" w:rsidRDefault="00AB3647" w:rsidP="007923E9">
      <w:pPr>
        <w:spacing w:line="276" w:lineRule="auto"/>
        <w:sectPr w:rsidR="00AB3647">
          <w:footerReference w:type="default" r:id="rId12"/>
          <w:footnotePr>
            <w:pos w:val="pageBottom"/>
            <w:numRestart w:val="eachSect"/>
          </w:footnotePr>
          <w:pgSz w:w="9638" w:h="13606"/>
          <w:pgMar w:top="1134" w:right="1077" w:bottom="1134" w:left="1077" w:header="567" w:footer="567" w:gutter="0"/>
          <w:cols w:space="720"/>
          <w:bidi/>
          <w:docGrid w:linePitch="360"/>
        </w:sectPr>
      </w:pPr>
    </w:p>
    <w:p w14:paraId="1FCC4603" w14:textId="77777777" w:rsidR="00AB3647" w:rsidRDefault="00000000" w:rsidP="007923E9">
      <w:pPr>
        <w:pStyle w:val="ae"/>
        <w:spacing w:line="276" w:lineRule="auto"/>
      </w:pPr>
      <w:bookmarkStart w:id="702" w:name="b2_chapter"/>
      <w:r>
        <w:lastRenderedPageBreak/>
        <w:t>פרק שני</w:t>
      </w:r>
      <w:bookmarkEnd w:id="702"/>
    </w:p>
    <w:p w14:paraId="7AA6B156" w14:textId="77777777" w:rsidR="00AB3647" w:rsidRDefault="00000000" w:rsidP="007923E9">
      <w:pPr>
        <w:pStyle w:val="1"/>
        <w:spacing w:line="276" w:lineRule="auto"/>
      </w:pPr>
      <w:r>
        <w:t>העשור השני – א: מינסק</w:t>
      </w:r>
    </w:p>
    <w:p w14:paraId="67EE1EAF" w14:textId="77777777" w:rsidR="00AB3647" w:rsidRDefault="00000000" w:rsidP="007923E9">
      <w:pPr>
        <w:pStyle w:val="2"/>
        <w:spacing w:line="276" w:lineRule="auto"/>
      </w:pPr>
      <w:bookmarkStart w:id="703" w:name="b2_notes"/>
      <w:r>
        <w:t>הסיפור וההערות</w:t>
      </w:r>
      <w:bookmarkEnd w:id="703"/>
    </w:p>
    <w:p w14:paraId="351C15E3" w14:textId="77777777" w:rsidR="00AB3647" w:rsidRDefault="00000000" w:rsidP="007923E9">
      <w:pPr>
        <w:pStyle w:val="2"/>
        <w:spacing w:line="276" w:lineRule="auto"/>
      </w:pPr>
      <w:bookmarkStart w:id="704" w:name="b2_sec1"/>
      <w:r>
        <w:t>1.</w:t>
      </w:r>
      <w:bookmarkEnd w:id="704"/>
    </w:p>
    <w:p w14:paraId="1180780A" w14:textId="28CA9714"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מינסק שוכנת על כמה גבעות משני עברי נהר </w:t>
      </w:r>
      <w:proofErr w:type="spellStart"/>
      <w:r>
        <w:rPr>
          <w:rtl/>
        </w:rPr>
        <w:t>סביסלוץ</w:t>
      </w:r>
      <w:proofErr w:type="spellEnd"/>
      <w:r>
        <w:rPr>
          <w:rtl/>
        </w:rPr>
        <w:t xml:space="preserve">׳ המתפתל. לפי התעודות ההיסטוריות נוסדה העיר בסביבות שנת </w:t>
      </w:r>
      <w:proofErr w:type="spellStart"/>
      <w:r>
        <w:rPr>
          <w:rtl/>
        </w:rPr>
        <w:t>ה׳י</w:t>
      </w:r>
      <w:proofErr w:type="spellEnd"/>
      <w:r>
        <w:rPr>
          <w:rtl/>
        </w:rPr>
        <w:t>׳</w:t>
      </w:r>
      <w:bookmarkStart w:id="705" w:name="_fnr436"/>
      <w:bookmarkEnd w:id="705"/>
      <w:r>
        <w:rPr>
          <w:rStyle w:val="a5"/>
        </w:rPr>
        <w:t/>
      </w:r>
      <w:bookmarkStart w:id="6993" w:name="_TranslatorNote_436"/>
      <w:r>
        <w:rPr>
          <w:rStyle w:val="a5"/>
          <w:vertAlign w:val="superscript"/>
          <w:rtl/>
        </w:rPr>
        <w:footnoteReference w:id="436" w:customMarkFollows="1"/>
        <w:t>*</w:t>
      </w:r>
      <w:bookmarkEnd w:id="6993"/>
      <w:r>
        <w:rPr>
          <w:rtl/>
        </w:rPr>
        <w:t>. יהודים ישבו בה מימי גירוש ספרד, כשהייתה בתחומי ממלכת ליטא. גם ממינסק לא נחסכו שריפות,</w:t>
      </w:r>
      <w:bookmarkStart w:id="706" w:name="b2_ref1"/>
      <w:bookmarkEnd w:id="706"/>
      <w:r>
        <w:rPr>
          <w:vertAlign w:val="superscript"/>
          <w:rtl/>
        </w:rPr>
        <w:fldChar w:fldCharType="begin" w:dirty="true"/>
      </w:r>
      <w:r>
        <w:rPr>
          <w:vertAlign w:val="superscript"/>
          <w:rtl/>
        </w:rPr>
        <w:instrText xml:space="preserve"> REF b2_note1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w:t>
      </w:r>
      <w:r>
        <w:rPr>
          <w:vertAlign w:val="superscript"/>
          <w:rtl/>
        </w:rPr>
        <w:fldChar w:fldCharType="end"/>
      </w:r>
      <w:r>
        <w:rPr>
          <w:rtl/>
        </w:rPr>
        <w:t xml:space="preserve"> והמוני </w:t>
      </w:r>
      <w:proofErr w:type="spellStart"/>
      <w:r>
        <w:rPr>
          <w:rtl/>
        </w:rPr>
        <w:t>הטטרים</w:t>
      </w:r>
      <w:proofErr w:type="spellEnd"/>
      <w:r>
        <w:rPr>
          <w:rtl/>
        </w:rPr>
        <w:t xml:space="preserve"> החריבוה בשנות </w:t>
      </w:r>
      <w:proofErr w:type="spellStart"/>
      <w:r>
        <w:rPr>
          <w:rtl/>
        </w:rPr>
        <w:t>ה׳ש</w:t>
      </w:r>
      <w:proofErr w:type="spellEnd"/>
      <w:r>
        <w:rPr>
          <w:rtl/>
        </w:rPr>
        <w:t>׳. בשנת שכ״ט, כשהתאחדו ממלכות ליטא ופולין, גברה התרבות הפולנית בעיר ובסביבותיה.</w:t>
      </w:r>
      <w:bookmarkStart w:id="707" w:name="b2_ref2"/>
      <w:bookmarkEnd w:id="707"/>
      <w:r>
        <w:rPr>
          <w:vertAlign w:val="superscript"/>
          <w:rtl/>
        </w:rPr>
        <w:fldChar w:fldCharType="begin" w:dirty="true"/>
      </w:r>
      <w:r>
        <w:rPr>
          <w:vertAlign w:val="superscript"/>
          <w:rtl/>
        </w:rPr>
        <w:instrText xml:space="preserve"> REF b2_note2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w:t>
      </w:r>
      <w:r>
        <w:rPr>
          <w:vertAlign w:val="superscript"/>
          <w:rtl/>
        </w:rPr>
        <w:fldChar w:fldCharType="end"/>
      </w:r>
    </w:p>
    <w:bookmarkStart w:id="708" w:name="b2_note1"/>
    <w:p w14:paraId="0889D18E" w14:textId="77777777" w:rsidR="00AB3647" w:rsidRDefault="00000000" w:rsidP="007923E9">
      <w:pPr>
        <w:spacing w:before="120" w:after="100" w:line="276" w:lineRule="auto"/>
        <w:jc w:val="both"/>
      </w:pPr>
      <w:r>
        <w:fldChar w:fldCharType="begin" w:dirty="true"/>
      </w:r>
      <w:r>
        <w:instrText>HYPERLINK \l "b2_ref1"</w:instrText>
      </w:r>
      <w:r>
        <w:fldChar w:fldCharType="separate"/>
      </w:r>
      <w:r>
        <w:rPr>
          <w:b/>
          <w:bCs/>
          <w:rtl/>
        </w:rPr>
        <w:t>1</w:t>
      </w:r>
      <w:r>
        <w:rPr>
          <w:b/>
          <w:bCs/>
        </w:rPr>
        <w:fldChar w:fldCharType="end"/>
      </w:r>
      <w:bookmarkEnd w:id="708"/>
      <w:r>
        <w:rPr>
          <w:rtl/>
        </w:rPr>
        <w:t xml:space="preserve"> יהודי מינסק תלו את השריפות שפרצו בעיר מתחילת שנות </w:t>
      </w:r>
      <w:proofErr w:type="spellStart"/>
      <w:r>
        <w:rPr>
          <w:rtl/>
        </w:rPr>
        <w:t>הת״ק</w:t>
      </w:r>
      <w:proofErr w:type="spellEnd"/>
      <w:r>
        <w:rPr>
          <w:rtl/>
        </w:rPr>
        <w:t xml:space="preserve"> ואילך בקללה שקילל אותה השאגת אריה כשגורש ממנה בעגלה רתומה לשוורים. מלבד עלבון הגירוש מן העיר, ספג גם את החרפה שבדרך נסיעה זו, במקום העגלה המכובדת יותר הרתומה לסוסים. מסופר שכשהגיע לגבול העיר הפנה את ראשו, הביט במינסק ואמר: “מה, מינסק עדיין אינה בוערת?”, ומאז לא עברה שנה בלי שריפה בעיר.</w:t>
      </w:r>
      <w:bookmarkStart w:id="709" w:name="_fnr438"/>
      <w:r>
        <w:rPr>
          <w:rStyle w:val="a5"/>
        </w:rPr>
        <w:footnoteReference w:id="437" w:customMarkFollows="0"/>
      </w:r>
      <w:bookmarkEnd w:id="709"/>
      <w:r>
        <w:rPr>
          <w:rtl/>
        </w:rPr>
        <w:t xml:space="preserve"> ויש לשער שהמנהג, הקיים עד היום, שנער בר מצווה דורש את דרשתו אך ורק בעניין </w:t>
      </w:r>
      <w:proofErr w:type="spellStart"/>
      <w:r>
        <w:rPr>
          <w:rtl/>
        </w:rPr>
        <w:t>משו״ת</w:t>
      </w:r>
      <w:proofErr w:type="spellEnd"/>
      <w:r>
        <w:rPr>
          <w:rtl/>
        </w:rPr>
        <w:t xml:space="preserve"> שאגת אריה,</w:t>
      </w:r>
      <w:bookmarkStart w:id="710" w:name="_fnr439"/>
      <w:r>
        <w:rPr>
          <w:rStyle w:val="a5"/>
        </w:rPr>
        <w:footnoteReference w:id="438" w:customMarkFollows="0"/>
      </w:r>
      <w:bookmarkEnd w:id="710"/>
      <w:r>
        <w:rPr>
          <w:rtl/>
        </w:rPr>
        <w:t xml:space="preserve"> הוא דרך לבקש מחילה מן הגאון על העוול שנעשה לו.</w:t>
      </w:r>
    </w:p>
    <w:p w14:paraId="2A38F7B9" w14:textId="77777777" w:rsidR="00AB3647" w:rsidRDefault="00000000" w:rsidP="007923E9">
      <w:pPr>
        <w:spacing w:before="120" w:after="100" w:line="276" w:lineRule="auto"/>
        <w:jc w:val="both"/>
      </w:pPr>
      <w:r>
        <w:rPr>
          <w:rtl/>
        </w:rPr>
        <w:lastRenderedPageBreak/>
        <w:t xml:space="preserve">ר׳ ישראל </w:t>
      </w:r>
      <w:proofErr w:type="spellStart"/>
      <w:r>
        <w:rPr>
          <w:rtl/>
        </w:rPr>
        <w:t>שורין</w:t>
      </w:r>
      <w:proofErr w:type="spellEnd"/>
      <w:r>
        <w:rPr>
          <w:rtl/>
        </w:rPr>
        <w:t xml:space="preserve"> סיפר גם</w:t>
      </w:r>
      <w:bookmarkStart w:id="711" w:name="_fnr440"/>
      <w:r>
        <w:rPr>
          <w:rStyle w:val="a5"/>
        </w:rPr>
        <w:footnoteReference w:id="439" w:customMarkFollows="0"/>
      </w:r>
      <w:bookmarkEnd w:id="711"/>
      <w:r>
        <w:rPr>
          <w:rtl/>
        </w:rPr>
        <w:t xml:space="preserve"> ששמע מפי מקור נאמן שנער בר מצווה דרש פעם חידוש של ר׳ חיים </w:t>
      </w:r>
      <w:proofErr w:type="spellStart"/>
      <w:r>
        <w:rPr>
          <w:rtl/>
        </w:rPr>
        <w:t>סולובייצ׳יק</w:t>
      </w:r>
      <w:proofErr w:type="spellEnd"/>
      <w:r>
        <w:rPr>
          <w:rtl/>
        </w:rPr>
        <w:t xml:space="preserve"> במקום ביאור בשאגת אריה, ור׳ </w:t>
      </w:r>
      <w:proofErr w:type="spellStart"/>
      <w:r>
        <w:rPr>
          <w:rtl/>
        </w:rPr>
        <w:t>ברוך־בער</w:t>
      </w:r>
      <w:proofErr w:type="spellEnd"/>
      <w:r>
        <w:rPr>
          <w:rtl/>
        </w:rPr>
        <w:t xml:space="preserve"> </w:t>
      </w:r>
      <w:proofErr w:type="spellStart"/>
      <w:r>
        <w:rPr>
          <w:rtl/>
        </w:rPr>
        <w:t>ליבוביץ</w:t>
      </w:r>
      <w:proofErr w:type="spellEnd"/>
      <w:r>
        <w:rPr>
          <w:rtl/>
        </w:rPr>
        <w:t xml:space="preserve"> הקפיד עליו מאוד. לנוכח דבקותו יוצאת הדופן של ר׳ </w:t>
      </w:r>
      <w:proofErr w:type="spellStart"/>
      <w:r>
        <w:rPr>
          <w:rtl/>
        </w:rPr>
        <w:t>ברוך־בער</w:t>
      </w:r>
      <w:proofErr w:type="spellEnd"/>
      <w:r>
        <w:rPr>
          <w:rtl/>
        </w:rPr>
        <w:t xml:space="preserve"> בר׳ חיים,</w:t>
      </w:r>
      <w:bookmarkStart w:id="712" w:name="_fnr441"/>
      <w:r>
        <w:rPr>
          <w:rStyle w:val="a5"/>
        </w:rPr>
        <w:footnoteReference w:id="440" w:customMarkFollows="0"/>
      </w:r>
      <w:bookmarkEnd w:id="712"/>
      <w:r>
        <w:rPr>
          <w:rtl/>
        </w:rPr>
        <w:t xml:space="preserve"> אנו רואים כמה איתן היה מנהג בר המצווה הזה בעיניו. נין של ר׳ </w:t>
      </w:r>
      <w:proofErr w:type="spellStart"/>
      <w:r>
        <w:rPr>
          <w:rtl/>
        </w:rPr>
        <w:t>ברוך־בער</w:t>
      </w:r>
      <w:proofErr w:type="spellEnd"/>
      <w:r>
        <w:rPr>
          <w:rtl/>
        </w:rPr>
        <w:t xml:space="preserve"> אישר שבמשפחה ידוע על הקפדת אבי אבותיהם שנער בר מצווה ידרוש רק דבר מן השאגת אריה.</w:t>
      </w:r>
    </w:p>
    <w:p w14:paraId="66844474" w14:textId="1C2574E0" w:rsidR="00AB3647" w:rsidRDefault="00000000" w:rsidP="007923E9">
      <w:pPr>
        <w:spacing w:after="100" w:line="276" w:lineRule="auto"/>
        <w:ind w:firstLine="340"/>
        <w:jc w:val="both"/>
      </w:pPr>
      <w:r>
        <w:rPr>
          <w:rtl/>
        </w:rPr>
        <w:t xml:space="preserve">אבל “עובדות והנהגות לבית </w:t>
      </w:r>
      <w:proofErr w:type="spellStart"/>
      <w:r>
        <w:rPr>
          <w:rtl/>
        </w:rPr>
        <w:t>בריסק</w:t>
      </w:r>
      <w:proofErr w:type="spellEnd"/>
      <w:r>
        <w:rPr>
          <w:rtl/>
        </w:rPr>
        <w:t>”</w:t>
      </w:r>
      <w:bookmarkStart w:id="713" w:name="_fnr442"/>
      <w:r>
        <w:rPr>
          <w:rStyle w:val="a5"/>
        </w:rPr>
        <w:footnoteReference w:id="441" w:customMarkFollows="0"/>
      </w:r>
      <w:bookmarkEnd w:id="713"/>
      <w:r>
        <w:rPr>
          <w:rtl/>
        </w:rPr>
        <w:t xml:space="preserve"> מספר שכאשר חזר בנו של ר׳ </w:t>
      </w:r>
      <w:proofErr w:type="spellStart"/>
      <w:r>
        <w:rPr>
          <w:rtl/>
        </w:rPr>
        <w:t>ברוך־בער</w:t>
      </w:r>
      <w:proofErr w:type="spellEnd"/>
      <w:r>
        <w:rPr>
          <w:rtl/>
        </w:rPr>
        <w:t xml:space="preserve">, ר׳ </w:t>
      </w:r>
      <w:proofErr w:type="spellStart"/>
      <w:r>
        <w:rPr>
          <w:rtl/>
        </w:rPr>
        <w:t>חיים־שלמה</w:t>
      </w:r>
      <w:proofErr w:type="spellEnd"/>
      <w:r>
        <w:rPr>
          <w:rtl/>
        </w:rPr>
        <w:t xml:space="preserve">, לפני ר׳ חיים </w:t>
      </w:r>
      <w:proofErr w:type="spellStart"/>
      <w:r>
        <w:rPr>
          <w:rtl/>
        </w:rPr>
        <w:t>סולובייצ׳יק</w:t>
      </w:r>
      <w:proofErr w:type="spellEnd"/>
      <w:r>
        <w:rPr>
          <w:rtl/>
        </w:rPr>
        <w:t xml:space="preserve"> על הדרשה שהכין לבר המצווה שלו – מן השאגת אריה, כמובן – אמר לו ר׳ חיים טעם לכבוד שחולקים לשאגת אריה, שונה מן הטעם שהוצע לעיל: “משום </w:t>
      </w:r>
      <w:proofErr w:type="spellStart"/>
      <w:r>
        <w:rPr>
          <w:rtl/>
        </w:rPr>
        <w:t>שהשאגת</w:t>
      </w:r>
      <w:proofErr w:type="spellEnd"/>
      <w:r>
        <w:rPr>
          <w:rtl/>
        </w:rPr>
        <w:t xml:space="preserve"> אריה פתח דרך חדשה בלימוד שהתקבלה”. אך נראה שאילו סבר ר׳ </w:t>
      </w:r>
      <w:proofErr w:type="spellStart"/>
      <w:r>
        <w:rPr>
          <w:rtl/>
        </w:rPr>
        <w:t>ברוך־בער</w:t>
      </w:r>
      <w:proofErr w:type="spellEnd"/>
      <w:r>
        <w:rPr>
          <w:rtl/>
        </w:rPr>
        <w:t xml:space="preserve"> שזהו הטעם האמיתי, ודאי לא היה מתנגד לאמירת חידוש של רבו, שהרי גם ר׳ חיים </w:t>
      </w:r>
      <w:proofErr w:type="spellStart"/>
      <w:r>
        <w:rPr>
          <w:rtl/>
        </w:rPr>
        <w:t>סולובייצ׳יק</w:t>
      </w:r>
      <w:proofErr w:type="spellEnd"/>
      <w:r>
        <w:rPr>
          <w:rtl/>
        </w:rPr>
        <w:t xml:space="preserve"> “פתח דרך חדשה בלימוד שהתקבלה”.</w:t>
      </w:r>
      <w:bookmarkStart w:id="714" w:name="_fnr443"/>
      <w:r>
        <w:rPr>
          <w:rStyle w:val="a5"/>
        </w:rPr>
        <w:footnoteReference w:id="442" w:customMarkFollows="0"/>
      </w:r>
      <w:bookmarkEnd w:id="714"/>
    </w:p>
    <w:bookmarkStart w:id="715" w:name="b2_note2"/>
    <w:p w14:paraId="7B430495" w14:textId="77777777" w:rsidR="00AB3647" w:rsidRDefault="00000000" w:rsidP="007923E9">
      <w:pPr>
        <w:spacing w:before="120" w:after="100" w:line="276" w:lineRule="auto"/>
        <w:jc w:val="both"/>
      </w:pPr>
      <w:r>
        <w:fldChar w:fldCharType="begin" w:dirty="true"/>
      </w:r>
      <w:r>
        <w:instrText>HYPERLINK \l "b2_ref2"</w:instrText>
      </w:r>
      <w:r>
        <w:fldChar w:fldCharType="separate"/>
      </w:r>
      <w:r>
        <w:rPr>
          <w:b/>
          <w:bCs/>
          <w:rtl/>
        </w:rPr>
        <w:t>2</w:t>
      </w:r>
      <w:r>
        <w:rPr>
          <w:b/>
          <w:bCs/>
        </w:rPr>
        <w:fldChar w:fldCharType="end"/>
      </w:r>
      <w:bookmarkEnd w:id="715"/>
      <w:r>
        <w:rPr>
          <w:rtl/>
        </w:rPr>
        <w:t xml:space="preserve"> בכל ליטא, עד השואה, היה הביטוי היידי לדבר עתיק שהוא קיים “פון </w:t>
      </w:r>
      <w:proofErr w:type="spellStart"/>
      <w:r>
        <w:rPr>
          <w:rtl/>
        </w:rPr>
        <w:t>יאן</w:t>
      </w:r>
      <w:proofErr w:type="spellEnd"/>
      <w:r>
        <w:rPr>
          <w:rtl/>
        </w:rPr>
        <w:t xml:space="preserve"> </w:t>
      </w:r>
      <w:proofErr w:type="spellStart"/>
      <w:r>
        <w:rPr>
          <w:rtl/>
        </w:rPr>
        <w:t>סאביעצקי׳ס</w:t>
      </w:r>
      <w:proofErr w:type="spellEnd"/>
      <w:r>
        <w:rPr>
          <w:rtl/>
        </w:rPr>
        <w:t xml:space="preserve"> </w:t>
      </w:r>
      <w:proofErr w:type="spellStart"/>
      <w:r>
        <w:rPr>
          <w:rtl/>
        </w:rPr>
        <w:t>יאהרען</w:t>
      </w:r>
      <w:proofErr w:type="spellEnd"/>
      <w:r>
        <w:rPr>
          <w:rtl/>
        </w:rPr>
        <w:t xml:space="preserve">” [מימי </w:t>
      </w:r>
      <w:proofErr w:type="spellStart"/>
      <w:r>
        <w:rPr>
          <w:rtl/>
        </w:rPr>
        <w:t>יאן</w:t>
      </w:r>
      <w:proofErr w:type="spellEnd"/>
      <w:r>
        <w:rPr>
          <w:rtl/>
        </w:rPr>
        <w:t xml:space="preserve"> </w:t>
      </w:r>
      <w:proofErr w:type="spellStart"/>
      <w:r>
        <w:rPr>
          <w:rtl/>
        </w:rPr>
        <w:t>סובייסקי</w:t>
      </w:r>
      <w:proofErr w:type="spellEnd"/>
      <w:r>
        <w:rPr>
          <w:rtl/>
        </w:rPr>
        <w:t xml:space="preserve">]. הביטוי נטבע כדי להנציח את זכרו של המלך הפולני </w:t>
      </w:r>
      <w:proofErr w:type="spellStart"/>
      <w:r>
        <w:rPr>
          <w:rtl/>
        </w:rPr>
        <w:t xml:space="preserve">יאן סובייסקי (שמלך בשנים תל״ד–תנ״ו)</w:t>
      </w:r>
      <w:proofErr w:type="spellEnd"/>
      <w:r>
        <w:rPr>
          <w:rtl/>
        </w:rPr>
        <w:t xml:space="preserve"/>
      </w:r>
      <w:proofErr w:type="spellStart"/>
      <w:r>
        <w:rPr>
          <w:rtl/>
        </w:rPr>
        <w:t xml:space="preserve"/>
      </w:r>
      <w:proofErr w:type="spellEnd"/>
      <w:r>
        <w:rPr>
          <w:rtl/>
        </w:rPr>
        <w:t xml:space="preserve">, שהיטיב עם היהודים: הוא אישר את זכויות היהודים במינסק בשנת תל״ט, ודיכא פוגרום </w:t>
      </w:r>
      <w:proofErr w:type="spellStart"/>
      <w:r>
        <w:rPr>
          <w:rtl/>
        </w:rPr>
        <w:t>בבריסק</w:t>
      </w:r>
      <w:proofErr w:type="spellEnd"/>
      <w:r>
        <w:rPr>
          <w:rtl/>
        </w:rPr>
        <w:t xml:space="preserve"> ארבע שנים לאחר מכן. הוא גם הורה לסיים, הפרלמנט הפולני, לערער על עלילות הדם, שהועלו תדיר, ולהיאבק בהן באופן פעיל.</w:t>
      </w:r>
    </w:p>
    <w:p w14:paraId="5513BE4A" w14:textId="58A88355"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עם חלוקת פולין בין פרוסיה, אוסטריה ורוסיה בשנת תקנ״ג</w:t>
      </w:r>
      <w:bookmarkStart w:id="716" w:name="_fnr437"/>
      <w:bookmarkEnd w:id="716"/>
      <w:r>
        <w:rPr>
          <w:rStyle w:val="a5"/>
        </w:rPr>
        <w:t/>
      </w:r>
      <w:bookmarkStart w:id="6994" w:name="_TranslatorNote_443"/>
      <w:r>
        <w:rPr>
          <w:rStyle w:val="a5"/>
          <w:vertAlign w:val="superscript"/>
          <w:rtl/>
        </w:rPr>
        <w:footnoteReference w:id="443" w:customMarkFollows="1"/>
        <w:t>*</w:t>
      </w:r>
      <w:bookmarkEnd w:id="6994"/>
      <w:r>
        <w:rPr>
          <w:rtl/>
        </w:rPr>
        <w:t xml:space="preserve"> נפלה מינסק, יחד עם כל בלארוס, תחת שלטון הצאר, והוכרזה עיר בירה של פלך. מפקד שנערך כעבור מאה שנה הראה ש־300,000 מתוך כמעט חמישה מיליון היהודים שבגבולות רוסיה ישבו באותו פלך.</w:t>
      </w:r>
      <w:bookmarkStart w:id="717" w:name="b2_ref3"/>
      <w:bookmarkEnd w:id="717"/>
      <w:r>
        <w:rPr>
          <w:vertAlign w:val="superscript"/>
          <w:rtl/>
        </w:rPr>
        <w:fldChar w:fldCharType="begin" w:dirty="true"/>
      </w:r>
      <w:r>
        <w:rPr>
          <w:vertAlign w:val="superscript"/>
          <w:rtl/>
        </w:rPr>
        <w:instrText xml:space="preserve"> REF b2_note3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w:t>
      </w:r>
      <w:r>
        <w:rPr>
          <w:vertAlign w:val="superscript"/>
          <w:rtl/>
        </w:rPr>
        <w:fldChar w:fldCharType="end"/>
      </w:r>
      <w:r>
        <w:rPr>
          <w:rtl/>
        </w:rPr>
        <w:t xml:space="preserve"> אוכלוסיית העיר זינקה בשנות </w:t>
      </w:r>
      <w:proofErr w:type="spellStart"/>
      <w:r>
        <w:rPr>
          <w:rtl/>
        </w:rPr>
        <w:t>הת״ר־ל</w:t>
      </w:r>
      <w:proofErr w:type="spellEnd"/>
      <w:r>
        <w:rPr>
          <w:rtl/>
        </w:rPr>
        <w:t>׳, כשהופעת מסילת הברזל הפכה את מינסק למרכז תעשייה ולצומת של מסחר ארצי ובינלאומי. בשעה שהגיע לשם רבנו, מנתה האוכלוסייה היהודית</w:t>
      </w:r>
      <w:bookmarkStart w:id="718" w:name="b2_ref4"/>
      <w:bookmarkEnd w:id="718"/>
      <w:r>
        <w:rPr>
          <w:vertAlign w:val="superscript"/>
          <w:rtl/>
        </w:rPr>
        <w:fldChar w:fldCharType="begin" w:dirty="true"/>
      </w:r>
      <w:r>
        <w:rPr>
          <w:vertAlign w:val="superscript"/>
          <w:rtl/>
        </w:rPr>
        <w:instrText xml:space="preserve"> REF b2_note4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w:t>
      </w:r>
      <w:r>
        <w:rPr>
          <w:vertAlign w:val="superscript"/>
          <w:rtl/>
        </w:rPr>
        <w:fldChar w:fldCharType="end"/>
      </w:r>
      <w:r>
        <w:rPr>
          <w:rtl/>
        </w:rPr>
        <w:t xml:space="preserve"> של העיר</w:t>
      </w:r>
      <w:bookmarkStart w:id="719" w:name="b2_ref5"/>
      <w:bookmarkEnd w:id="719"/>
      <w:r>
        <w:rPr>
          <w:vertAlign w:val="superscript"/>
          <w:rtl/>
        </w:rPr>
        <w:fldChar w:fldCharType="begin" w:dirty="true"/>
      </w:r>
      <w:r>
        <w:rPr>
          <w:vertAlign w:val="superscript"/>
          <w:rtl/>
        </w:rPr>
        <w:instrText xml:space="preserve"> REF b2_note5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w:t>
      </w:r>
      <w:r>
        <w:rPr>
          <w:vertAlign w:val="superscript"/>
          <w:rtl/>
        </w:rPr>
        <w:fldChar w:fldCharType="end"/>
      </w:r>
      <w:r>
        <w:rPr>
          <w:rtl/>
        </w:rPr>
        <w:t xml:space="preserve"> יותר ממחצית 102,000 תושביה.</w:t>
      </w:r>
      <w:bookmarkStart w:id="720" w:name="b2_ref6"/>
      <w:bookmarkEnd w:id="720"/>
      <w:r>
        <w:rPr>
          <w:vertAlign w:val="superscript"/>
          <w:rtl/>
        </w:rPr>
        <w:fldChar w:fldCharType="begin" w:dirty="true"/>
      </w:r>
      <w:r>
        <w:rPr>
          <w:vertAlign w:val="superscript"/>
          <w:rtl/>
        </w:rPr>
        <w:instrText xml:space="preserve"> REF b2_note6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w:t>
      </w:r>
      <w:r>
        <w:rPr>
          <w:vertAlign w:val="superscript"/>
          <w:rtl/>
        </w:rPr>
        <w:fldChar w:fldCharType="end"/>
      </w:r>
    </w:p>
    <w:bookmarkStart w:id="721" w:name="b2_note3"/>
    <w:p w14:paraId="717807F4" w14:textId="77777777" w:rsidR="00AB3647" w:rsidRDefault="00000000" w:rsidP="007923E9">
      <w:pPr>
        <w:spacing w:before="120" w:after="100" w:line="276" w:lineRule="auto"/>
        <w:jc w:val="both"/>
      </w:pPr>
      <w:r>
        <w:fldChar w:fldCharType="begin" w:dirty="true"/>
      </w:r>
      <w:r>
        <w:instrText>HYPERLINK \l "b2_ref3"</w:instrText>
      </w:r>
      <w:r>
        <w:fldChar w:fldCharType="separate"/>
      </w:r>
      <w:r>
        <w:rPr>
          <w:b/>
          <w:bCs/>
          <w:rtl/>
        </w:rPr>
        <w:t>3</w:t>
      </w:r>
      <w:r>
        <w:rPr>
          <w:b/>
          <w:bCs/>
        </w:rPr>
        <w:fldChar w:fldCharType="end"/>
      </w:r>
      <w:bookmarkEnd w:id="721"/>
      <w:r>
        <w:rPr>
          <w:rtl/>
        </w:rPr>
        <w:t xml:space="preserve"> האוכלוסייה התחלקה מבחינה אתנית כך: 60% </w:t>
      </w:r>
      <w:proofErr w:type="spellStart"/>
      <w:r>
        <w:rPr>
          <w:rtl/>
        </w:rPr>
        <w:t>בלארוסים</w:t>
      </w:r>
      <w:proofErr w:type="spellEnd"/>
      <w:r>
        <w:rPr>
          <w:rtl/>
        </w:rPr>
        <w:t xml:space="preserve">, 20% פולנים, 18% יהודים, 2% אחרים, ובהם </w:t>
      </w:r>
      <w:proofErr w:type="spellStart"/>
      <w:r>
        <w:rPr>
          <w:rtl/>
        </w:rPr>
        <w:t>הטטרים</w:t>
      </w:r>
      <w:proofErr w:type="spellEnd"/>
      <w:r>
        <w:rPr>
          <w:rtl/>
        </w:rPr>
        <w:t xml:space="preserve"> המוסלמים.</w:t>
      </w:r>
      <w:bookmarkStart w:id="722" w:name="_fnr444"/>
      <w:r>
        <w:rPr>
          <w:rStyle w:val="a5"/>
        </w:rPr>
        <w:footnoteReference w:id="444" w:customMarkFollows="0"/>
      </w:r>
      <w:bookmarkEnd w:id="722"/>
    </w:p>
    <w:bookmarkStart w:id="723" w:name="b2_note4"/>
    <w:p w14:paraId="24D60B23" w14:textId="77777777" w:rsidR="00AB3647" w:rsidRDefault="00000000" w:rsidP="007923E9">
      <w:pPr>
        <w:spacing w:before="120" w:after="100" w:line="276" w:lineRule="auto"/>
        <w:jc w:val="both"/>
      </w:pPr>
      <w:r>
        <w:fldChar w:fldCharType="begin" w:dirty="true"/>
      </w:r>
      <w:r>
        <w:instrText>HYPERLINK \l "b2_ref4"</w:instrText>
      </w:r>
      <w:r>
        <w:fldChar w:fldCharType="separate"/>
      </w:r>
      <w:r>
        <w:rPr>
          <w:b/>
          <w:bCs/>
          <w:rtl/>
        </w:rPr>
        <w:t>4</w:t>
      </w:r>
      <w:r>
        <w:rPr>
          <w:b/>
          <w:bCs/>
        </w:rPr>
        <w:fldChar w:fldCharType="end"/>
      </w:r>
      <w:bookmarkEnd w:id="723"/>
      <w:r>
        <w:rPr>
          <w:rtl/>
        </w:rPr>
        <w:t xml:space="preserve"> בניית רשת מסילות הברזל סביב מינסק החריבה את </w:t>
      </w:r>
      <w:proofErr w:type="spellStart"/>
      <w:r>
        <w:rPr>
          <w:rtl/>
        </w:rPr>
        <w:t>פרנסותיהם</w:t>
      </w:r>
      <w:proofErr w:type="spellEnd"/>
      <w:r>
        <w:rPr>
          <w:rtl/>
        </w:rPr>
        <w:t xml:space="preserve"> המסורתיות של היהודים, החזקת אכסניות ועגלונות. אבל יהודים אמידים השקיעו הון רב בהנחת המסילות וגרפו רווחים עצומים. הבדחן המפורסם והמשורר העממי </w:t>
      </w:r>
      <w:proofErr w:type="spellStart"/>
      <w:r>
        <w:rPr>
          <w:rtl/>
        </w:rPr>
        <w:t>אליקום</w:t>
      </w:r>
      <w:proofErr w:type="spellEnd"/>
      <w:r>
        <w:rPr>
          <w:rtl/>
        </w:rPr>
        <w:t xml:space="preserve"> </w:t>
      </w:r>
      <w:proofErr w:type="spellStart"/>
      <w:r>
        <w:rPr>
          <w:rtl/>
        </w:rPr>
        <w:t>צונזער</w:t>
      </w:r>
      <w:proofErr w:type="spellEnd"/>
      <w:r>
        <w:rPr>
          <w:rtl/>
        </w:rPr>
        <w:t xml:space="preserve"> (נולד תקצ״ו) חיבר שיר המברך </w:t>
      </w:r>
      <w:r>
        <w:rPr>
          <w:rtl/>
        </w:rPr>
        <w:lastRenderedPageBreak/>
        <w:t>על מזלם הטוב של העשירים החדשים, אילי מסילות הברזל, שהסתירו את כספם מעיני הציבור – ומצרכיו – עד שנקרתה להם הזדמנות ההשקעה במסילה. וכך כתב:</w:t>
      </w:r>
      <w:bookmarkStart w:id="724" w:name="_fnr445"/>
      <w:r>
        <w:rPr>
          <w:rStyle w:val="a5"/>
        </w:rPr>
        <w:footnoteReference w:id="445" w:customMarkFollows="0"/>
      </w:r>
      <w:bookmarkEnd w:id="724"/>
    </w:p>
    <w:p w14:paraId="4275FBFB" w14:textId="77777777" w:rsidR="00AB3647" w:rsidRDefault="00000000" w:rsidP="007923E9">
      <w:pPr>
        <w:pStyle w:val="af1"/>
        <w:spacing w:line="276" w:lineRule="auto"/>
      </w:pPr>
      <w:r>
        <w:t>נרדמה הבירה שינה ארוכה וקשה –</w:t>
      </w:r>
    </w:p>
    <w:p w14:paraId="4350A3DA" w14:textId="77777777" w:rsidR="00AB3647" w:rsidRDefault="00000000" w:rsidP="007923E9">
      <w:pPr>
        <w:pStyle w:val="af1"/>
        <w:spacing w:line="276" w:lineRule="auto"/>
      </w:pPr>
      <w:r>
        <w:t>איש על תריסיה לא נקש;</w:t>
      </w:r>
    </w:p>
    <w:p w14:paraId="07AAA99B" w14:textId="77777777" w:rsidR="00AB3647" w:rsidRDefault="00000000" w:rsidP="007923E9">
      <w:pPr>
        <w:pStyle w:val="af1"/>
        <w:spacing w:line="276" w:lineRule="auto"/>
      </w:pPr>
      <w:r>
        <w:t>ומשריקת הקטר הרועשת</w:t>
      </w:r>
    </w:p>
    <w:p w14:paraId="393956C2" w14:textId="77777777" w:rsidR="00AB3647" w:rsidRDefault="00000000" w:rsidP="007923E9">
      <w:pPr>
        <w:pStyle w:val="af1"/>
        <w:spacing w:line="276" w:lineRule="auto"/>
      </w:pPr>
      <w:r>
        <w:t>התעוררה מינסק לפתע בבהלה.</w:t>
      </w:r>
    </w:p>
    <w:p w14:paraId="67C213D6" w14:textId="77777777" w:rsidR="00AB3647" w:rsidRDefault="00000000" w:rsidP="007923E9">
      <w:pPr>
        <w:spacing w:after="100" w:line="276" w:lineRule="auto"/>
        <w:ind w:firstLine="340"/>
        <w:jc w:val="both"/>
      </w:pPr>
      <w:r>
        <w:rPr>
          <w:rtl/>
        </w:rPr>
        <w:t xml:space="preserve">יעניין אולי את הקורא שבאוטוביוגרפיה שלו, הכלולה </w:t>
      </w:r>
      <w:proofErr w:type="spellStart"/>
      <w:r>
        <w:rPr>
          <w:rtl/>
        </w:rPr>
        <w:t>ב“אליקום</w:t>
      </w:r>
      <w:proofErr w:type="spellEnd"/>
      <w:r>
        <w:rPr>
          <w:rtl/>
        </w:rPr>
        <w:t xml:space="preserve"> </w:t>
      </w:r>
      <w:proofErr w:type="spellStart"/>
      <w:r>
        <w:rPr>
          <w:rtl/>
        </w:rPr>
        <w:t>צונזערס</w:t>
      </w:r>
      <w:proofErr w:type="spellEnd"/>
      <w:r>
        <w:rPr>
          <w:rtl/>
        </w:rPr>
        <w:t xml:space="preserve"> </w:t>
      </w:r>
      <w:proofErr w:type="spellStart"/>
      <w:r>
        <w:rPr>
          <w:rtl/>
        </w:rPr>
        <w:t>ווערק</w:t>
      </w:r>
      <w:proofErr w:type="spellEnd"/>
      <w:r>
        <w:rPr>
          <w:rtl/>
        </w:rPr>
        <w:t xml:space="preserve">, </w:t>
      </w:r>
      <w:proofErr w:type="spellStart"/>
      <w:r>
        <w:rPr>
          <w:rtl/>
        </w:rPr>
        <w:t>באנד</w:t>
      </w:r>
      <w:proofErr w:type="spellEnd"/>
      <w:r>
        <w:rPr>
          <w:rtl/>
        </w:rPr>
        <w:t xml:space="preserve"> צווי”,</w:t>
      </w:r>
      <w:bookmarkStart w:id="725" w:name="_fnr446"/>
      <w:r>
        <w:rPr>
          <w:rStyle w:val="a5"/>
        </w:rPr>
        <w:footnoteReference w:id="446" w:customMarkFollows="0"/>
      </w:r>
      <w:bookmarkEnd w:id="725"/>
      <w:r>
        <w:rPr>
          <w:rtl/>
        </w:rPr>
        <w:t xml:space="preserve"> מספר </w:t>
      </w:r>
      <w:proofErr w:type="spellStart"/>
      <w:r>
        <w:rPr>
          <w:rtl/>
        </w:rPr>
        <w:t>צונזער</w:t>
      </w:r>
      <w:proofErr w:type="spellEnd"/>
      <w:r>
        <w:rPr>
          <w:rtl/>
        </w:rPr>
        <w:t xml:space="preserve"> שכאשר מתו שלושת ילדיו הרכים בווילנה במגפת הכולרה של תרל״א, ציווה עליו ר׳ ישראל </w:t>
      </w:r>
      <w:proofErr w:type="spellStart"/>
      <w:r>
        <w:rPr>
          <w:rtl/>
        </w:rPr>
        <w:t>סלנטר</w:t>
      </w:r>
      <w:proofErr w:type="spellEnd"/>
      <w:r>
        <w:rPr>
          <w:rtl/>
        </w:rPr>
        <w:t xml:space="preserve"> לעזוב את העיר מיד.</w:t>
      </w:r>
      <w:bookmarkStart w:id="726" w:name="_fnr447"/>
      <w:r>
        <w:rPr>
          <w:rStyle w:val="a5"/>
        </w:rPr>
        <w:footnoteReference w:id="447" w:customMarkFollows="0"/>
      </w:r>
      <w:bookmarkEnd w:id="726"/>
      <w:r>
        <w:rPr>
          <w:rtl/>
        </w:rPr>
        <w:t xml:space="preserve"> אז עבר למינסק, והיה לאחת מדמויותיה של העיר. אחרי שהפסיד את כספו בעסק, היגר לאמריקה </w:t>
      </w:r>
      <w:proofErr w:type="spellStart"/>
      <w:r>
        <w:rPr>
          <w:rtl/>
        </w:rPr>
        <w:t>בתרנ״ט</w:t>
      </w:r>
      <w:bookmarkStart w:id="727" w:name="_fnr448"/>
      <w:bookmarkEnd w:id="727"/>
      <w:proofErr w:type="spellEnd"/>
      <w:r>
        <w:rPr>
          <w:rStyle w:val="a5"/>
        </w:rPr>
        <w:t/>
      </w:r>
      <w:bookmarkStart w:id="6995" w:name="_TranslatorNote_448"/>
      <w:r>
        <w:rPr>
          <w:rStyle w:val="a5"/>
          <w:vertAlign w:val="superscript"/>
          <w:rtl/>
        </w:rPr>
        <w:footnoteReference w:id="448" w:customMarkFollows="1"/>
        <w:t>*</w:t>
      </w:r>
      <w:bookmarkEnd w:id="6995"/>
      <w:r>
        <w:rPr>
          <w:rtl/>
        </w:rPr>
        <w:t xml:space="preserve"> ומת שם </w:t>
      </w:r>
      <w:proofErr w:type="spellStart"/>
      <w:r>
        <w:rPr>
          <w:rtl/>
        </w:rPr>
        <w:t>בתרע״ג</w:t>
      </w:r>
      <w:proofErr w:type="spellEnd"/>
      <w:r>
        <w:rPr>
          <w:rtl/>
        </w:rPr>
        <w:t>.</w:t>
      </w:r>
    </w:p>
    <w:p w14:paraId="1B7FDDE6" w14:textId="77777777" w:rsidR="00AB3647" w:rsidRDefault="00000000" w:rsidP="007923E9">
      <w:pPr>
        <w:spacing w:after="100" w:line="276" w:lineRule="auto"/>
        <w:ind w:firstLine="340"/>
        <w:jc w:val="both"/>
      </w:pPr>
      <w:r>
        <w:rPr>
          <w:rtl/>
        </w:rPr>
        <w:t xml:space="preserve">“פון </w:t>
      </w:r>
      <w:proofErr w:type="spellStart"/>
      <w:r>
        <w:rPr>
          <w:rtl/>
        </w:rPr>
        <w:t>וואלאזין</w:t>
      </w:r>
      <w:proofErr w:type="spellEnd"/>
      <w:r>
        <w:rPr>
          <w:rtl/>
        </w:rPr>
        <w:t xml:space="preserve"> </w:t>
      </w:r>
      <w:proofErr w:type="spellStart"/>
      <w:r>
        <w:rPr>
          <w:rtl/>
        </w:rPr>
        <w:t>ביז</w:t>
      </w:r>
      <w:proofErr w:type="spellEnd"/>
      <w:r>
        <w:rPr>
          <w:rtl/>
        </w:rPr>
        <w:t xml:space="preserve"> ירושלים” [</w:t>
      </w:r>
      <w:proofErr w:type="spellStart"/>
      <w:r>
        <w:rPr>
          <w:rtl/>
        </w:rPr>
        <w:t>מוואלוז׳ין</w:t>
      </w:r>
      <w:proofErr w:type="spellEnd"/>
      <w:r>
        <w:rPr>
          <w:rtl/>
        </w:rPr>
        <w:t xml:space="preserve"> עד ירושלים]</w:t>
      </w:r>
      <w:bookmarkStart w:id="728" w:name="_fnr449"/>
      <w:r>
        <w:rPr>
          <w:rStyle w:val="a5"/>
        </w:rPr>
        <w:footnoteReference w:id="449" w:customMarkFollows="0"/>
      </w:r>
      <w:bookmarkEnd w:id="728"/>
      <w:r>
        <w:rPr>
          <w:rtl/>
        </w:rPr>
        <w:t xml:space="preserve"> מספר שבשנים הראשונות של חדירת מסילת הברזל לחברה היהודית השלווה, היה סבו של מחבר הספר, ר׳ </w:t>
      </w:r>
      <w:proofErr w:type="spellStart"/>
      <w:r>
        <w:rPr>
          <w:rtl/>
        </w:rPr>
        <w:t>יחיאל־מיכל</w:t>
      </w:r>
      <w:proofErr w:type="spellEnd"/>
      <w:r>
        <w:rPr>
          <w:rtl/>
        </w:rPr>
        <w:t xml:space="preserve"> אפשטיין, בעל “ערוך השולחן”, אומר כשראה את הקטר מתקרב: “הנה בא האפיקורס”. הוא הבין שהניידות שמעניקה הנסיעה ברכבת תערער את אורח החיים והמנהגים בני מאות השנים של העיירות היהודיות. מן הסתם אמר זאת בשנים תרכ״ה–תרל״ד, כשכיהן כרב בעיר הגדולה </w:t>
      </w:r>
      <w:proofErr w:type="spellStart"/>
      <w:r>
        <w:rPr>
          <w:rtl/>
        </w:rPr>
        <w:t>נובוזיבקוב</w:t>
      </w:r>
      <w:proofErr w:type="spellEnd"/>
      <w:r>
        <w:rPr>
          <w:rtl/>
        </w:rPr>
        <w:t>, שדרכה עברה מסילת מוסקבה–מינסק–ורשה</w:t>
      </w:r>
      <w:bookmarkStart w:id="729" w:name="_fnr450"/>
      <w:bookmarkEnd w:id="729"/>
      <w:r>
        <w:rPr>
          <w:rStyle w:val="a5"/>
        </w:rPr>
        <w:t/>
      </w:r>
      <w:bookmarkStart w:id="6996" w:name="_TranslatorNote_5369"/>
      <w:r>
        <w:rPr>
          <w:rStyle w:val="a5"/>
          <w:vertAlign w:val="superscript"/>
          <w:rtl/>
        </w:rPr>
        <w:footnoteReference w:id="450" w:customMarkFollows="1"/>
        <w:t>*</w:t>
      </w:r>
      <w:bookmarkEnd w:id="6996"/>
      <w:r>
        <w:rPr>
          <w:rtl/>
        </w:rPr>
        <w:t xml:space="preserve">. </w:t>
      </w:r>
      <w:proofErr w:type="spellStart"/>
      <w:r>
        <w:rPr>
          <w:rtl/>
        </w:rPr>
        <w:t>בנובהרדוק</w:t>
      </w:r>
      <w:proofErr w:type="spellEnd"/>
      <w:r>
        <w:rPr>
          <w:rtl/>
        </w:rPr>
        <w:t xml:space="preserve">, שבה כיהן שלושים וארבע השנים הבאות ושעמה נקשר שמו – בהיסטוריה הוא ידוע </w:t>
      </w:r>
      <w:proofErr w:type="spellStart"/>
      <w:r>
        <w:rPr>
          <w:rtl/>
        </w:rPr>
        <w:t>כ“רב</w:t>
      </w:r>
      <w:proofErr w:type="spellEnd"/>
      <w:r>
        <w:rPr>
          <w:rtl/>
        </w:rPr>
        <w:t xml:space="preserve"> </w:t>
      </w:r>
      <w:proofErr w:type="spellStart"/>
      <w:r>
        <w:rPr>
          <w:rtl/>
        </w:rPr>
        <w:t>מנובהרדוק</w:t>
      </w:r>
      <w:proofErr w:type="spellEnd"/>
      <w:r>
        <w:rPr>
          <w:rtl/>
        </w:rPr>
        <w:t>” – לא הייתה תחנת רכבת.</w:t>
      </w:r>
      <w:bookmarkStart w:id="730" w:name="_fnr451"/>
      <w:r>
        <w:rPr>
          <w:rStyle w:val="a5"/>
        </w:rPr>
        <w:footnoteReference w:id="451" w:customMarkFollows="0"/>
      </w:r>
      <w:bookmarkEnd w:id="730"/>
    </w:p>
    <w:p w14:paraId="13707C47" w14:textId="77777777" w:rsidR="00AB3647" w:rsidRDefault="00000000" w:rsidP="007923E9">
      <w:pPr>
        <w:spacing w:after="100" w:line="276" w:lineRule="auto"/>
        <w:ind w:firstLine="340"/>
        <w:jc w:val="both"/>
      </w:pPr>
      <w:r>
        <w:rPr>
          <w:rtl/>
        </w:rPr>
        <w:t>לפי “</w:t>
      </w:r>
      <w:proofErr w:type="spellStart"/>
      <w:r>
        <w:rPr>
          <w:rtl/>
        </w:rPr>
        <w:t>זכרון</w:t>
      </w:r>
      <w:proofErr w:type="spellEnd"/>
      <w:r>
        <w:rPr>
          <w:rtl/>
        </w:rPr>
        <w:t xml:space="preserve"> יעקב”,</w:t>
      </w:r>
      <w:bookmarkStart w:id="731" w:name="_fnr452"/>
      <w:r>
        <w:rPr>
          <w:rStyle w:val="a5"/>
        </w:rPr>
        <w:footnoteReference w:id="452" w:customMarkFollows="0"/>
      </w:r>
      <w:bookmarkEnd w:id="731"/>
      <w:r>
        <w:rPr>
          <w:rtl/>
        </w:rPr>
        <w:t xml:space="preserve"> הכביש הראשון לכרכרות ולעגלות, </w:t>
      </w:r>
      <w:proofErr w:type="spellStart"/>
      <w:r>
        <w:rPr>
          <w:rtl/>
        </w:rPr>
        <w:t>מסנקט</w:t>
      </w:r>
      <w:proofErr w:type="spellEnd"/>
      <w:r>
        <w:rPr>
          <w:rtl/>
        </w:rPr>
        <w:t xml:space="preserve"> פטרבורג לוורשה, נסלל בימי הצאר ניקולאי הראשון, בשנת ת״ר; הוא עבר דרך </w:t>
      </w:r>
      <w:proofErr w:type="spellStart"/>
      <w:r>
        <w:rPr>
          <w:rtl/>
        </w:rPr>
        <w:t>וילקומיר</w:t>
      </w:r>
      <w:proofErr w:type="spellEnd"/>
      <w:r>
        <w:rPr>
          <w:rtl/>
        </w:rPr>
        <w:t xml:space="preserve"> וקובנה, ולא דרך וילנה. אבל מסילת הברזל הראשונה – אף היא </w:t>
      </w:r>
      <w:proofErr w:type="spellStart"/>
      <w:r>
        <w:rPr>
          <w:rtl/>
        </w:rPr>
        <w:t>מסנקט</w:t>
      </w:r>
      <w:proofErr w:type="spellEnd"/>
      <w:r>
        <w:rPr>
          <w:rtl/>
        </w:rPr>
        <w:t xml:space="preserve"> פטרבורג לוורשה – לא נבנתה עד שנת תר״כ. “</w:t>
      </w:r>
      <w:proofErr w:type="spellStart"/>
      <w:r>
        <w:rPr>
          <w:rtl/>
        </w:rPr>
        <w:t>זכרון</w:t>
      </w:r>
      <w:proofErr w:type="spellEnd"/>
      <w:r>
        <w:rPr>
          <w:rtl/>
        </w:rPr>
        <w:t xml:space="preserve"> יעקב”</w:t>
      </w:r>
      <w:bookmarkStart w:id="732" w:name="_fnr453"/>
      <w:r>
        <w:rPr>
          <w:rStyle w:val="a5"/>
        </w:rPr>
        <w:footnoteReference w:id="453" w:customMarkFollows="0"/>
      </w:r>
      <w:bookmarkEnd w:id="732"/>
      <w:r>
        <w:rPr>
          <w:rtl/>
        </w:rPr>
        <w:t xml:space="preserve"> מציין גם שפיתוחה המלא של המדינה “במסילות ברזל, בטלגרף ובחשמל” נעשה אחרי תרנ״ד, בימי הצאר ניקולאי השני, אבל “עם כל זה, כל הסופרים מתארים פה אחד את כל האוכלוסייה הרוסית כאסירים הכלואים בבית סוהר גדול, אפל ואכזרי”.</w:t>
      </w:r>
    </w:p>
    <w:p w14:paraId="5D5C5A5A" w14:textId="77777777" w:rsidR="00AB3647" w:rsidRDefault="00000000" w:rsidP="007923E9">
      <w:pPr>
        <w:spacing w:after="100" w:line="276" w:lineRule="auto"/>
        <w:ind w:firstLine="340"/>
        <w:jc w:val="both"/>
      </w:pPr>
      <w:r>
        <w:rPr>
          <w:rtl/>
        </w:rPr>
        <w:t xml:space="preserve">ועוד הוא מוסיף: “קל להבין עד כמה נורא היה בית הסוהר הכללי הזה פי מאה בימי ניקולאי הראשון, ואז פי מאות רבות לעם אומלל, אומת ישראל. ברוסיה ידעו להשתמש </w:t>
      </w:r>
      <w:r>
        <w:rPr>
          <w:rtl/>
        </w:rPr>
        <w:lastRenderedPageBreak/>
        <w:t>בהמצאות האירופיות החדשות רק למטרות עריצות, לחזק את כוח המאסר הכללי בכוחם של הטלגרף, הטלפון, החשמל וכיוצא בהם.” דוגמה לתנאי בית הסוהר מביא שם:</w:t>
      </w:r>
      <w:bookmarkStart w:id="733" w:name="_fnr454"/>
      <w:r>
        <w:rPr>
          <w:rStyle w:val="a5"/>
        </w:rPr>
        <w:footnoteReference w:id="454" w:customMarkFollows="0"/>
      </w:r>
      <w:bookmarkEnd w:id="733"/>
      <w:r>
        <w:rPr>
          <w:rtl/>
        </w:rPr>
        <w:t xml:space="preserve"> עשרה אנשים לא יכלו לשלוח עצומה אחת לבירה, משום שהדבר היה מעיד שהתכנסו יחד, והתקהלות כזו הייתה אסורה בלי היתר מיוחד מראש.</w:t>
      </w:r>
    </w:p>
    <w:bookmarkStart w:id="734" w:name="b2_note5"/>
    <w:p w14:paraId="3B030F21" w14:textId="77777777" w:rsidR="00AB3647" w:rsidRDefault="00000000" w:rsidP="007923E9">
      <w:pPr>
        <w:spacing w:before="120" w:after="100" w:line="276" w:lineRule="auto"/>
        <w:jc w:val="both"/>
      </w:pPr>
      <w:r>
        <w:fldChar w:fldCharType="begin" w:dirty="true"/>
      </w:r>
      <w:r>
        <w:instrText>HYPERLINK \l "b2_ref5"</w:instrText>
      </w:r>
      <w:r>
        <w:fldChar w:fldCharType="separate"/>
      </w:r>
      <w:r>
        <w:rPr>
          <w:b/>
          <w:bCs/>
          <w:rtl/>
        </w:rPr>
        <w:t>5</w:t>
      </w:r>
      <w:r>
        <w:rPr>
          <w:b/>
          <w:bCs/>
        </w:rPr>
        <w:fldChar w:fldCharType="end"/>
      </w:r>
      <w:bookmarkEnd w:id="734"/>
      <w:r>
        <w:rPr>
          <w:rtl/>
        </w:rPr>
        <w:t xml:space="preserve"> אף שבמינסק היו רק 53,000 יהודים ובווילנה 70,000, הייתה וילנה עיר יהודית </w:t>
      </w:r>
      <w:r>
        <w:rPr>
          <w:b/>
          <w:bCs/>
          <w:rtl/>
        </w:rPr>
        <w:t>פחות</w:t>
      </w:r>
      <w:r>
        <w:rPr>
          <w:rtl/>
        </w:rPr>
        <w:t xml:space="preserve"> ממינסק מבחינת הרכב אוכלוסייתה, שכן רוב אוכלוסיית מינסק היה יהודי, ואילו יהודי וילנה היו מיעוט, קצת יותר מ־40% מאוכלוסייתה.</w:t>
      </w:r>
      <w:bookmarkStart w:id="735" w:name="_fnr455"/>
      <w:r>
        <w:rPr>
          <w:rStyle w:val="a5"/>
        </w:rPr>
        <w:footnoteReference w:id="455" w:customMarkFollows="0"/>
      </w:r>
      <w:bookmarkEnd w:id="735"/>
      <w:r>
        <w:rPr>
          <w:rtl/>
        </w:rPr>
        <w:t xml:space="preserve"> אנציקלופדיה יודאיקה</w:t>
      </w:r>
      <w:bookmarkStart w:id="736" w:name="_fnr456"/>
      <w:r>
        <w:rPr>
          <w:rStyle w:val="a5"/>
        </w:rPr>
        <w:footnoteReference w:id="456" w:customMarkFollows="0"/>
      </w:r>
      <w:bookmarkEnd w:id="736"/>
      <w:r>
        <w:rPr>
          <w:rtl/>
        </w:rPr>
        <w:t xml:space="preserve"> מונה את מינסק כקהילה היהודית השישית בגודלה בעולם בשנת 1897 (תרנ״ז) – אחרי ורשה, אודסה, </w:t>
      </w:r>
      <w:proofErr w:type="spellStart"/>
      <w:r>
        <w:rPr>
          <w:rtl/>
        </w:rPr>
        <w:t>לודז</w:t>
      </w:r>
      <w:proofErr w:type="spellEnd"/>
      <w:r>
        <w:rPr>
          <w:rtl/>
        </w:rPr>
        <w:t>׳, וילנה וקישינב. מחצית יהודי העולם ישבו אז ברוסיה.</w:t>
      </w:r>
    </w:p>
    <w:bookmarkStart w:id="737" w:name="b2_note6"/>
    <w:p w14:paraId="7F68360F" w14:textId="77777777" w:rsidR="00AB3647" w:rsidRDefault="00000000" w:rsidP="007923E9">
      <w:pPr>
        <w:spacing w:before="120" w:after="100" w:line="276" w:lineRule="auto"/>
        <w:jc w:val="both"/>
      </w:pPr>
      <w:r>
        <w:fldChar w:fldCharType="begin" w:dirty="true"/>
      </w:r>
      <w:r>
        <w:instrText>HYPERLINK \l "b2_ref6"</w:instrText>
      </w:r>
      <w:r>
        <w:fldChar w:fldCharType="separate"/>
      </w:r>
      <w:r>
        <w:rPr>
          <w:b/>
          <w:bCs/>
          <w:rtl/>
        </w:rPr>
        <w:t>6</w:t>
      </w:r>
      <w:r>
        <w:rPr>
          <w:b/>
          <w:bCs/>
        </w:rPr>
        <w:fldChar w:fldCharType="end"/>
      </w:r>
      <w:bookmarkEnd w:id="737"/>
      <w:r>
        <w:rPr>
          <w:rtl/>
        </w:rPr>
        <w:t xml:space="preserve"> המהפכה הכושלת של 1905, שהיו מעורבים בה יהודים רבים, גרמה לרבים מן המשתתפים ומן האוהדים לברוח מן העיר או להגר לגמרי. עד מלחמת העולם הראשונה ירדה האוכלוסייה היהודית של מינסק ל־45,000 מתוך 105,000 תושבים בסך הכול.</w:t>
      </w:r>
      <w:bookmarkStart w:id="738" w:name="_fnr457"/>
      <w:r>
        <w:rPr>
          <w:rStyle w:val="a5"/>
        </w:rPr>
        <w:footnoteReference w:id="457" w:customMarkFollows="0"/>
      </w:r>
      <w:bookmarkEnd w:id="738"/>
    </w:p>
    <w:p w14:paraId="5BEECBD1" w14:textId="0566D35C"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מינסק נודעה כעיר של תורה וגמילות חסדים. בשנות </w:t>
      </w:r>
      <w:proofErr w:type="spellStart"/>
      <w:r>
        <w:rPr>
          <w:rtl/>
        </w:rPr>
        <w:t>הת״ס</w:t>
      </w:r>
      <w:proofErr w:type="spellEnd"/>
      <w:r>
        <w:rPr>
          <w:rtl/>
        </w:rPr>
        <w:t xml:space="preserve"> היה רבה ר׳ לייב בעל התוספות, שכונה כך בשל בקיאותו המופלגת בכל התוספות שבש״ס. אחריו בא ר׳ יחיאל </w:t>
      </w:r>
      <w:proofErr w:type="spellStart"/>
      <w:r>
        <w:rPr>
          <w:rtl/>
        </w:rPr>
        <w:t>היילפרין</w:t>
      </w:r>
      <w:proofErr w:type="spellEnd"/>
      <w:r>
        <w:rPr>
          <w:rtl/>
        </w:rPr>
        <w:t xml:space="preserve"> הנערץ,</w:t>
      </w:r>
      <w:bookmarkStart w:id="739" w:name="b2_ref7"/>
      <w:bookmarkEnd w:id="739"/>
      <w:r>
        <w:rPr>
          <w:vertAlign w:val="superscript"/>
          <w:rtl/>
        </w:rPr>
        <w:fldChar w:fldCharType="begin" w:dirty="true"/>
      </w:r>
      <w:r>
        <w:rPr>
          <w:vertAlign w:val="superscript"/>
          <w:rtl/>
        </w:rPr>
        <w:instrText xml:space="preserve"> REF b2_note7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w:t>
      </w:r>
      <w:r>
        <w:rPr>
          <w:vertAlign w:val="superscript"/>
          <w:rtl/>
        </w:rPr>
        <w:fldChar w:fldCharType="end"/>
      </w:r>
      <w:r>
        <w:rPr>
          <w:rtl/>
        </w:rPr>
        <w:t xml:space="preserve"> מחבר החיבור ההיסטורי האנציקלופדי “סדר הדורות”,</w:t>
      </w:r>
      <w:bookmarkStart w:id="740" w:name="b2_ref8"/>
      <w:bookmarkEnd w:id="740"/>
      <w:r>
        <w:rPr>
          <w:vertAlign w:val="superscript"/>
          <w:rtl/>
        </w:rPr>
        <w:fldChar w:fldCharType="begin" w:dirty="true"/>
      </w:r>
      <w:r>
        <w:rPr>
          <w:vertAlign w:val="superscript"/>
          <w:rtl/>
        </w:rPr>
        <w:instrText xml:space="preserve"> REF b2_note8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w:t>
      </w:r>
      <w:r>
        <w:rPr>
          <w:vertAlign w:val="superscript"/>
          <w:rtl/>
        </w:rPr>
        <w:fldChar w:fldCharType="end"/>
      </w:r>
      <w:r>
        <w:rPr>
          <w:rtl/>
        </w:rPr>
        <w:t xml:space="preserve"> שכיהן ברבנות שלושים וחמש שנה.</w:t>
      </w:r>
    </w:p>
    <w:bookmarkStart w:id="741" w:name="b2_note7"/>
    <w:p w14:paraId="730E0031" w14:textId="77777777" w:rsidR="00AB3647" w:rsidRDefault="00000000" w:rsidP="007923E9">
      <w:pPr>
        <w:spacing w:before="120" w:after="100" w:line="276" w:lineRule="auto"/>
        <w:jc w:val="both"/>
      </w:pPr>
      <w:r>
        <w:fldChar w:fldCharType="begin" w:dirty="true"/>
      </w:r>
      <w:r>
        <w:instrText>HYPERLINK \l "b2_ref7"</w:instrText>
      </w:r>
      <w:r>
        <w:fldChar w:fldCharType="separate"/>
      </w:r>
      <w:r>
        <w:rPr>
          <w:b/>
          <w:bCs/>
          <w:rtl/>
        </w:rPr>
        <w:t>7</w:t>
      </w:r>
      <w:r>
        <w:rPr>
          <w:b/>
          <w:bCs/>
        </w:rPr>
        <w:fldChar w:fldCharType="end"/>
      </w:r>
      <w:bookmarkEnd w:id="741"/>
      <w:r>
        <w:rPr>
          <w:rtl/>
        </w:rPr>
        <w:t xml:space="preserve"> הכבוד שרחשו לאיש גדול זה האריך ימים אחריו מאתיים שנה: בכל שנה, ביום היארצייט שלו, יצאה משלחת להתפלל באוהל שעל קברו בבית הקברות הישן.</w:t>
      </w:r>
      <w:bookmarkStart w:id="742" w:name="_fnr458"/>
      <w:r>
        <w:rPr>
          <w:rStyle w:val="a5"/>
        </w:rPr>
        <w:footnoteReference w:id="458" w:customMarkFollows="0"/>
      </w:r>
      <w:bookmarkEnd w:id="742"/>
      <w:r>
        <w:rPr>
          <w:rtl/>
        </w:rPr>
        <w:t xml:space="preserve"> והמופלא מכול: כשהשלטון הסובייטי הכופר החריב את בית הקברות העתיק ובנה במקומו קריה אוניברסיטאית, נשאר האוהל עומד על מקומו, מגודר מסביב.</w:t>
      </w:r>
      <w:bookmarkStart w:id="743" w:name="_fnr459"/>
      <w:r>
        <w:rPr>
          <w:rStyle w:val="a5"/>
        </w:rPr>
        <w:footnoteReference w:id="459" w:customMarkFollows="0"/>
      </w:r>
      <w:bookmarkEnd w:id="743"/>
      <w:r>
        <w:rPr>
          <w:rtl/>
        </w:rPr>
        <w:t xml:space="preserve"> רחל חדש נזכרה</w:t>
      </w:r>
      <w:bookmarkStart w:id="744" w:name="_fnr460"/>
      <w:r>
        <w:rPr>
          <w:rStyle w:val="a5"/>
        </w:rPr>
        <w:footnoteReference w:id="460" w:customMarkFollows="0"/>
      </w:r>
      <w:bookmarkEnd w:id="744"/>
      <w:r>
        <w:rPr>
          <w:rtl/>
        </w:rPr>
        <w:t xml:space="preserve"> שכאשר חולל בית הקברות הישן ושרידי אדם הושלכו בו לכל עבר, השתתפה עם כל הנשים הדתיות הצעירות שבעיר בתפירת שקיקי בד, שבהם נאספו העצמות לקבורה מחדש בבית הקברות החדש.</w:t>
      </w:r>
    </w:p>
    <w:bookmarkStart w:id="745" w:name="b2_note8"/>
    <w:p w14:paraId="7B2A4DE2" w14:textId="77777777" w:rsidR="00AB3647" w:rsidRDefault="00000000" w:rsidP="007923E9">
      <w:pPr>
        <w:spacing w:before="120" w:after="100" w:line="276" w:lineRule="auto"/>
        <w:jc w:val="both"/>
      </w:pPr>
      <w:r>
        <w:fldChar w:fldCharType="begin" w:dirty="true"/>
      </w:r>
      <w:r>
        <w:instrText>HYPERLINK \l "b2_ref8"</w:instrText>
      </w:r>
      <w:r>
        <w:fldChar w:fldCharType="separate"/>
      </w:r>
      <w:r>
        <w:rPr>
          <w:b/>
          <w:bCs/>
          <w:rtl/>
        </w:rPr>
        <w:t>8</w:t>
      </w:r>
      <w:r>
        <w:rPr>
          <w:b/>
          <w:bCs/>
        </w:rPr>
        <w:fldChar w:fldCharType="end"/>
      </w:r>
      <w:bookmarkEnd w:id="745"/>
      <w:r>
        <w:rPr>
          <w:rtl/>
        </w:rPr>
        <w:t xml:space="preserve"> ספר זה הוא תולדות העולם בקיצור מאז הבריאה, ובו פרקים מיוחדים על התנאים והאמוראים, המונים כל חכם הנזכר בש״ס ובמדרשים. הגאון הגדול, הפוסק ומחבר יותר מחמישים ספרים, ר׳ </w:t>
      </w:r>
      <w:proofErr w:type="spellStart"/>
      <w:r>
        <w:rPr>
          <w:rtl/>
        </w:rPr>
        <w:t>חיים־יוסף־דוד</w:t>
      </w:r>
      <w:proofErr w:type="spellEnd"/>
      <w:r>
        <w:rPr>
          <w:rtl/>
        </w:rPr>
        <w:t xml:space="preserve"> אזולאי (</w:t>
      </w:r>
      <w:proofErr w:type="spellStart"/>
      <w:r>
        <w:rPr>
          <w:rtl/>
        </w:rPr>
        <w:t>החיד״א</w:t>
      </w:r>
      <w:proofErr w:type="spellEnd"/>
      <w:r>
        <w:rPr>
          <w:rtl/>
        </w:rPr>
        <w:t xml:space="preserve">; נולד תפ״ד, נפטר תקס״ו), כותב על חיבור זה בחיבורו הביבליוגרפי “שם הגדולים” שהוא “מבהיל את הרעיון”. ר׳ חיים </w:t>
      </w:r>
      <w:proofErr w:type="spellStart"/>
      <w:r>
        <w:rPr>
          <w:rtl/>
        </w:rPr>
        <w:t>ליבשאי</w:t>
      </w:r>
      <w:proofErr w:type="spellEnd"/>
      <w:r>
        <w:rPr>
          <w:rtl/>
        </w:rPr>
        <w:t xml:space="preserve">, </w:t>
      </w:r>
      <w:r>
        <w:rPr>
          <w:rtl/>
        </w:rPr>
        <w:lastRenderedPageBreak/>
        <w:t>יליד מינסק היושב בבני ברק, סיפר</w:t>
      </w:r>
      <w:bookmarkStart w:id="746" w:name="_fnr461"/>
      <w:r>
        <w:rPr>
          <w:rStyle w:val="a5"/>
        </w:rPr>
        <w:footnoteReference w:id="461" w:customMarkFollows="0"/>
      </w:r>
      <w:bookmarkEnd w:id="746"/>
      <w:r>
        <w:rPr>
          <w:rtl/>
        </w:rPr>
        <w:t xml:space="preserve"> שהתירוץ של הקומוניסטים להימנע מהריסת קברו של הרב </w:t>
      </w:r>
      <w:proofErr w:type="spellStart"/>
      <w:r>
        <w:rPr>
          <w:rtl/>
        </w:rPr>
        <w:t>היילפרין</w:t>
      </w:r>
      <w:bookmarkStart w:id="747" w:name="_fnr462"/>
      <w:proofErr w:type="spellEnd"/>
      <w:r>
        <w:rPr>
          <w:rStyle w:val="a5"/>
        </w:rPr>
        <w:footnoteReference w:id="462" w:customMarkFollows="0"/>
      </w:r>
      <w:bookmarkEnd w:id="747"/>
      <w:r>
        <w:rPr>
          <w:rtl/>
        </w:rPr>
        <w:t xml:space="preserve"> היה שהוא היה היסטוריון. הרב </w:t>
      </w:r>
      <w:proofErr w:type="spellStart"/>
      <w:r>
        <w:rPr>
          <w:rtl/>
        </w:rPr>
        <w:t>היילפרין</w:t>
      </w:r>
      <w:proofErr w:type="spellEnd"/>
      <w:r>
        <w:rPr>
          <w:rtl/>
        </w:rPr>
        <w:t xml:space="preserve"> נפטר בשנת תק״ז בן תשעים.</w:t>
      </w:r>
    </w:p>
    <w:p w14:paraId="20FAE17F" w14:textId="3BE99BEC"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כשנתמנה נכדו הצעיר של ר׳ לייב בעל התוספות, הקרוי על שמו, לעמוד בראש ישיבה בעיר,</w:t>
      </w:r>
      <w:bookmarkStart w:id="748" w:name="b2_ref9"/>
      <w:bookmarkEnd w:id="748"/>
      <w:r>
        <w:rPr>
          <w:vertAlign w:val="superscript"/>
          <w:rtl/>
        </w:rPr>
        <w:fldChar w:fldCharType="begin" w:dirty="true"/>
      </w:r>
      <w:r>
        <w:rPr>
          <w:vertAlign w:val="superscript"/>
          <w:rtl/>
        </w:rPr>
        <w:instrText xml:space="preserve"> REF b2_note9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w:t>
      </w:r>
      <w:r>
        <w:rPr>
          <w:vertAlign w:val="superscript"/>
          <w:rtl/>
        </w:rPr>
        <w:fldChar w:fldCharType="end"/>
      </w:r>
      <w:r>
        <w:rPr>
          <w:rtl/>
        </w:rPr>
        <w:t xml:space="preserve"> הפכו בקיאותו יוצאת הדופן ושיטתו המיוחדת</w:t>
      </w:r>
      <w:bookmarkStart w:id="749" w:name="b2_ref10"/>
      <w:bookmarkEnd w:id="749"/>
      <w:r>
        <w:rPr>
          <w:vertAlign w:val="superscript"/>
          <w:rtl/>
        </w:rPr>
        <w:fldChar w:fldCharType="begin" w:dirty="true"/>
      </w:r>
      <w:r>
        <w:rPr>
          <w:vertAlign w:val="superscript"/>
          <w:rtl/>
        </w:rPr>
        <w:instrText xml:space="preserve"> REF b2_note10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w:t>
      </w:r>
      <w:r>
        <w:rPr>
          <w:vertAlign w:val="superscript"/>
          <w:rtl/>
        </w:rPr>
        <w:fldChar w:fldCharType="end"/>
      </w:r>
      <w:r>
        <w:rPr>
          <w:rtl/>
        </w:rPr>
        <w:t xml:space="preserve"> את מינסק למוקד של לימוד תורה בכל ליטא. העילוי הצעיר, ר׳ לייב </w:t>
      </w:r>
      <w:proofErr w:type="spellStart"/>
      <w:r>
        <w:rPr>
          <w:rtl/>
        </w:rPr>
        <w:t>גינצבורג</w:t>
      </w:r>
      <w:proofErr w:type="spellEnd"/>
      <w:r>
        <w:rPr>
          <w:rtl/>
        </w:rPr>
        <w:t>, לא יצא מעולם מארבע אמותיה של תורה, וזכה לכינוי “ר׳ לייב ראש ישיבה”. אבל מפני שחלק על רבות מהוראותיו של הרב, ר׳ יחיאל, נפער קרע שאין לאחותו בין הגאון הזקן לראש הישיבה הצעיר, והאחרון גורש מן העיר.</w:t>
      </w:r>
      <w:bookmarkStart w:id="750" w:name="b2_ref11"/>
      <w:bookmarkEnd w:id="750"/>
      <w:r>
        <w:rPr>
          <w:vertAlign w:val="superscript"/>
          <w:rtl/>
        </w:rPr>
        <w:fldChar w:fldCharType="begin" w:dirty="true"/>
      </w:r>
      <w:r>
        <w:rPr>
          <w:vertAlign w:val="superscript"/>
          <w:rtl/>
        </w:rPr>
        <w:instrText xml:space="preserve"> REF b2_note11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11</w:t>
      </w:r>
      <w:r>
        <w:rPr>
          <w:vertAlign w:val="superscript"/>
          <w:rtl/>
        </w:rPr>
        <w:fldChar w:fldCharType="end"/>
      </w:r>
      <w:r>
        <w:rPr>
          <w:rtl/>
        </w:rPr>
        <w:t xml:space="preserve"> אף על פי כן נתמנה במקומו תלמיד מובהק שלו, ר׳ רפאל רפפורט,</w:t>
      </w:r>
      <w:bookmarkStart w:id="751" w:name="b2_ref12"/>
      <w:bookmarkEnd w:id="751"/>
      <w:r>
        <w:rPr>
          <w:vertAlign w:val="superscript"/>
          <w:rtl/>
        </w:rPr>
        <w:fldChar w:fldCharType="begin" w:dirty="true"/>
      </w:r>
      <w:r>
        <w:rPr>
          <w:vertAlign w:val="superscript"/>
          <w:rtl/>
        </w:rPr>
        <w:instrText xml:space="preserve"> REF b2_note12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12</w:t>
      </w:r>
      <w:r>
        <w:rPr>
          <w:vertAlign w:val="superscript"/>
          <w:rtl/>
        </w:rPr>
        <w:fldChar w:fldCharType="end"/>
      </w:r>
      <w:r>
        <w:rPr>
          <w:rtl/>
        </w:rPr>
        <w:t xml:space="preserve"> ובכך הובטח מעמדה של מינסק כמרכז תורה מן המעלה הראשונה.</w:t>
      </w:r>
    </w:p>
    <w:bookmarkStart w:id="752" w:name="b2_note9"/>
    <w:p w14:paraId="53A98B7E" w14:textId="77777777" w:rsidR="00AB3647" w:rsidRDefault="00000000" w:rsidP="007923E9">
      <w:pPr>
        <w:spacing w:before="120" w:after="100" w:line="276" w:lineRule="auto"/>
        <w:jc w:val="both"/>
      </w:pPr>
      <w:r>
        <w:fldChar w:fldCharType="begin" w:dirty="true"/>
      </w:r>
      <w:r>
        <w:instrText>HYPERLINK \l "b2_ref9"</w:instrText>
      </w:r>
      <w:r>
        <w:fldChar w:fldCharType="separate"/>
      </w:r>
      <w:r>
        <w:rPr>
          <w:b/>
          <w:bCs/>
          <w:rtl/>
        </w:rPr>
        <w:t>9</w:t>
      </w:r>
      <w:r>
        <w:rPr>
          <w:b/>
          <w:bCs/>
        </w:rPr>
        <w:fldChar w:fldCharType="end"/>
      </w:r>
      <w:bookmarkEnd w:id="752"/>
      <w:r>
        <w:rPr>
          <w:rtl/>
        </w:rPr>
        <w:t xml:space="preserve"> הוא נולד בשנת תנ״ה ונתמנה בשנת תפ״ג.</w:t>
      </w:r>
      <w:bookmarkStart w:id="753" w:name="_fnr463"/>
      <w:r>
        <w:rPr>
          <w:rStyle w:val="a5"/>
        </w:rPr>
        <w:footnoteReference w:id="463" w:customMarkFollows="0"/>
      </w:r>
      <w:bookmarkEnd w:id="753"/>
    </w:p>
    <w:bookmarkStart w:id="754" w:name="b2_note10"/>
    <w:p w14:paraId="2A59501E" w14:textId="77777777" w:rsidR="00AB3647" w:rsidRDefault="00000000" w:rsidP="007923E9">
      <w:pPr>
        <w:spacing w:before="120" w:after="100" w:line="276" w:lineRule="auto"/>
        <w:jc w:val="both"/>
      </w:pPr>
      <w:r>
        <w:fldChar w:fldCharType="begin" w:dirty="true"/>
      </w:r>
      <w:r>
        <w:instrText>HYPERLINK \l "b2_ref10"</w:instrText>
      </w:r>
      <w:r>
        <w:fldChar w:fldCharType="separate"/>
      </w:r>
      <w:r>
        <w:rPr>
          <w:b/>
          <w:bCs/>
          <w:rtl/>
        </w:rPr>
        <w:t>10</w:t>
      </w:r>
      <w:r>
        <w:rPr>
          <w:b/>
          <w:bCs/>
        </w:rPr>
        <w:fldChar w:fldCharType="end"/>
      </w:r>
      <w:bookmarkEnd w:id="754"/>
      <w:r>
        <w:rPr>
          <w:rtl/>
        </w:rPr>
        <w:t xml:space="preserve"> </w:t>
      </w:r>
      <w:proofErr w:type="spellStart"/>
      <w:r>
        <w:rPr>
          <w:rtl/>
        </w:rPr>
        <w:t>ב“שאגת</w:t>
      </w:r>
      <w:proofErr w:type="spellEnd"/>
      <w:r>
        <w:rPr>
          <w:rtl/>
        </w:rPr>
        <w:t xml:space="preserve"> אריה המפורש”</w:t>
      </w:r>
      <w:bookmarkStart w:id="755" w:name="_fnr464"/>
      <w:r>
        <w:rPr>
          <w:rStyle w:val="a5"/>
        </w:rPr>
        <w:footnoteReference w:id="464" w:customMarkFollows="0"/>
      </w:r>
      <w:bookmarkEnd w:id="755"/>
      <w:r>
        <w:rPr>
          <w:rtl/>
        </w:rPr>
        <w:t xml:space="preserve"> מובא מתוך “עליות אליהו” שהגאון מווילנה אמר עליו שכל התלמוד עם ראשונים ואחרונים היה שגור בפיו, ושהיה יכול לעיין בכל הש״ס בשעה אחת. עוד מובא </w:t>
      </w:r>
      <w:proofErr w:type="spellStart"/>
      <w:r>
        <w:rPr>
          <w:rtl/>
        </w:rPr>
        <w:t>ב“שאגת</w:t>
      </w:r>
      <w:proofErr w:type="spellEnd"/>
      <w:r>
        <w:rPr>
          <w:rtl/>
        </w:rPr>
        <w:t xml:space="preserve"> אריה המפורש”</w:t>
      </w:r>
      <w:bookmarkStart w:id="756" w:name="_fnr465"/>
      <w:r>
        <w:rPr>
          <w:rStyle w:val="a5"/>
        </w:rPr>
        <w:footnoteReference w:id="465" w:customMarkFollows="0"/>
      </w:r>
      <w:bookmarkEnd w:id="756"/>
      <w:r>
        <w:rPr>
          <w:rtl/>
        </w:rPr>
        <w:t xml:space="preserve"> שר׳ אלתר </w:t>
      </w:r>
      <w:proofErr w:type="spellStart"/>
      <w:r>
        <w:rPr>
          <w:rtl/>
        </w:rPr>
        <w:t>רבינוביץ־תאומים</w:t>
      </w:r>
      <w:proofErr w:type="spellEnd"/>
      <w:r>
        <w:rPr>
          <w:rtl/>
        </w:rPr>
        <w:t xml:space="preserve"> אמר שר׳ יצחק־זאב </w:t>
      </w:r>
      <w:proofErr w:type="spellStart"/>
      <w:r>
        <w:rPr>
          <w:rtl/>
        </w:rPr>
        <w:t>סולובייצ׳יק</w:t>
      </w:r>
      <w:proofErr w:type="spellEnd"/>
      <w:r>
        <w:rPr>
          <w:rtl/>
        </w:rPr>
        <w:t xml:space="preserve"> אמר משמו של אביו, ר׳ חיים, שהוא “עדיין אינו יכול להכריע מי היה גדול יותר, הגאון מווילנה או השאגת אריה”. את דבריו של אותו מחבר אישש ר׳ </w:t>
      </w:r>
      <w:proofErr w:type="spellStart"/>
      <w:r>
        <w:rPr>
          <w:rtl/>
        </w:rPr>
        <w:t>דב־צבי</w:t>
      </w:r>
      <w:proofErr w:type="spellEnd"/>
      <w:r>
        <w:rPr>
          <w:rtl/>
        </w:rPr>
        <w:t xml:space="preserve"> </w:t>
      </w:r>
      <w:proofErr w:type="spellStart"/>
      <w:r>
        <w:rPr>
          <w:rtl/>
        </w:rPr>
        <w:t>רוטשטיין</w:t>
      </w:r>
      <w:proofErr w:type="spellEnd"/>
      <w:r>
        <w:rPr>
          <w:rtl/>
        </w:rPr>
        <w:t>,</w:t>
      </w:r>
      <w:bookmarkStart w:id="757" w:name="_fnr466"/>
      <w:r>
        <w:rPr>
          <w:rStyle w:val="a5"/>
        </w:rPr>
        <w:footnoteReference w:id="466" w:customMarkFollows="0"/>
      </w:r>
      <w:bookmarkEnd w:id="757"/>
      <w:r>
        <w:rPr>
          <w:rtl/>
        </w:rPr>
        <w:t xml:space="preserve"> שאמר שבכל פעם שהזכיר ר׳ יצחק־זאב את השאגת אריה “זלגו עיניו דמעות”. המרואיין סבור שהתרגש עד כדי כך משום שחש שהעולם אינו מעריך כראוי את גדולתו של השאגת אריה.</w:t>
      </w:r>
    </w:p>
    <w:p w14:paraId="3F636597" w14:textId="77777777" w:rsidR="00AB3647" w:rsidRDefault="00000000" w:rsidP="007923E9">
      <w:pPr>
        <w:spacing w:before="120" w:after="100" w:line="276" w:lineRule="auto"/>
        <w:jc w:val="both"/>
      </w:pPr>
      <w:r>
        <w:rPr>
          <w:rtl/>
        </w:rPr>
        <w:t>והשווה גם “אבי הישיבות”</w:t>
      </w:r>
      <w:bookmarkStart w:id="758" w:name="_fnr467"/>
      <w:r>
        <w:rPr>
          <w:rStyle w:val="a5"/>
        </w:rPr>
        <w:footnoteReference w:id="467" w:customMarkFollows="0"/>
      </w:r>
      <w:bookmarkEnd w:id="758"/>
      <w:r>
        <w:rPr>
          <w:rtl/>
        </w:rPr>
        <w:t xml:space="preserve"> בעניין מקורות שנתגלו לאחרונה ומעידים על בקיאותו הן בהלכה הן בקבלה. והשווה גם “שמושה של תורה”,</w:t>
      </w:r>
      <w:bookmarkStart w:id="759" w:name="_fnr468"/>
      <w:r>
        <w:rPr>
          <w:rStyle w:val="a5"/>
        </w:rPr>
        <w:footnoteReference w:id="468" w:customMarkFollows="0"/>
      </w:r>
      <w:bookmarkEnd w:id="759"/>
      <w:r>
        <w:rPr>
          <w:rtl/>
        </w:rPr>
        <w:t xml:space="preserve"> שם מובא שר׳ </w:t>
      </w:r>
      <w:proofErr w:type="spellStart"/>
      <w:r>
        <w:rPr>
          <w:rtl/>
        </w:rPr>
        <w:t>ברוך־בער</w:t>
      </w:r>
      <w:proofErr w:type="spellEnd"/>
      <w:r>
        <w:rPr>
          <w:rtl/>
        </w:rPr>
        <w:t xml:space="preserve"> </w:t>
      </w:r>
      <w:proofErr w:type="spellStart"/>
      <w:r>
        <w:rPr>
          <w:rtl/>
        </w:rPr>
        <w:t>ליבוביץ</w:t>
      </w:r>
      <w:proofErr w:type="spellEnd"/>
      <w:r>
        <w:rPr>
          <w:rtl/>
        </w:rPr>
        <w:t xml:space="preserve"> אמר: “אומרים שהגאון מווילנה אמר: בנגלה – הוא ואני, בנסתר – אני והוא.” והשווה גם “החסידות”,</w:t>
      </w:r>
      <w:bookmarkStart w:id="760" w:name="_fnr469"/>
      <w:r>
        <w:rPr>
          <w:rStyle w:val="a5"/>
        </w:rPr>
        <w:footnoteReference w:id="469" w:customMarkFollows="0"/>
      </w:r>
      <w:bookmarkEnd w:id="760"/>
      <w:r>
        <w:rPr>
          <w:rtl/>
        </w:rPr>
        <w:t xml:space="preserve"> שלפיו ראו החסידים בשאגת אריה “התלמיד חכם בה״א הידיעה של הדור”; ויש להם אגדה </w:t>
      </w:r>
      <w:proofErr w:type="spellStart"/>
      <w:r>
        <w:rPr>
          <w:rtl/>
        </w:rPr>
        <w:t>שהבעש״ט</w:t>
      </w:r>
      <w:proofErr w:type="spellEnd"/>
      <w:r>
        <w:rPr>
          <w:rtl/>
        </w:rPr>
        <w:t xml:space="preserve"> חיפש אותו </w:t>
      </w:r>
      <w:proofErr w:type="spellStart"/>
      <w:r>
        <w:rPr>
          <w:rtl/>
        </w:rPr>
        <w:t>ו“שימש</w:t>
      </w:r>
      <w:proofErr w:type="spellEnd"/>
      <w:r>
        <w:rPr>
          <w:rtl/>
        </w:rPr>
        <w:t xml:space="preserve"> אותו בנעילת נעליו”.</w:t>
      </w:r>
    </w:p>
    <w:bookmarkStart w:id="761" w:name="b2_note11"/>
    <w:p w14:paraId="633D31C3" w14:textId="4C4B5452" w:rsidR="00AB3647" w:rsidRDefault="00000000" w:rsidP="007923E9">
      <w:pPr>
        <w:spacing w:before="120" w:after="100" w:line="276" w:lineRule="auto"/>
        <w:jc w:val="both"/>
      </w:pPr>
      <w:r>
        <w:lastRenderedPageBreak/>
        <w:fldChar w:fldCharType="begin" w:dirty="true"/>
      </w:r>
      <w:r>
        <w:instrText>HYPERLINK \l "b2_ref11"</w:instrText>
      </w:r>
      <w:r>
        <w:fldChar w:fldCharType="separate"/>
      </w:r>
      <w:r>
        <w:rPr>
          <w:b/>
          <w:bCs/>
          <w:rtl/>
        </w:rPr>
        <w:t>11</w:t>
      </w:r>
      <w:r>
        <w:rPr>
          <w:b/>
          <w:bCs/>
        </w:rPr>
        <w:fldChar w:fldCharType="end"/>
      </w:r>
      <w:bookmarkEnd w:id="761"/>
      <w:r>
        <w:rPr>
          <w:rtl/>
        </w:rPr>
        <w:t xml:space="preserve"> השווה הערה </w:t>
      </w:r>
      <w:r>
        <w:rPr>
          <w:rtl/>
        </w:rPr>
        <w:fldChar w:fldCharType="begin" w:dirty="true"/>
      </w:r>
      <w:r>
        <w:rPr>
          <w:rtl/>
        </w:rPr>
        <w:instrText xml:space="preserve"> REF b2_note1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w:t>
      </w:r>
      <w:r>
        <w:rPr>
          <w:rtl/>
        </w:rPr>
        <w:fldChar w:fldCharType="end"/>
      </w:r>
      <w:r>
        <w:rPr>
          <w:rtl/>
        </w:rPr>
        <w:t xml:space="preserve"> לעיל, והערה </w:t>
      </w:r>
      <w:r>
        <w:rPr>
          <w:rtl/>
        </w:rPr>
        <w:fldChar w:fldCharType="begin" w:dirty="true"/>
      </w:r>
      <w:r>
        <w:rPr>
          <w:rtl/>
        </w:rPr>
        <w:instrText xml:space="preserve"> REF b2_note33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33</w:t>
      </w:r>
      <w:r>
        <w:rPr>
          <w:rtl/>
        </w:rPr>
        <w:fldChar w:fldCharType="end"/>
      </w:r>
      <w:r>
        <w:rPr>
          <w:rtl/>
        </w:rPr>
        <w:t xml:space="preserve"> להלן. אחרי כמה שנות נדודים כיהן כרב </w:t>
      </w:r>
      <w:proofErr w:type="spellStart"/>
      <w:r>
        <w:rPr>
          <w:rtl/>
        </w:rPr>
        <w:t>וולוז׳ין</w:t>
      </w:r>
      <w:proofErr w:type="spellEnd"/>
      <w:r>
        <w:rPr>
          <w:rtl/>
        </w:rPr>
        <w:t xml:space="preserve"> משנת תק״י עד תקט״ז. אז הוציא לאור את החיבור שעל שמו הוא נקרא בדרך כלל, שו״ת שאגת אריה. בסביבות תק״כ שב למינסק לכהן כרב שותף עם ר׳ משה </w:t>
      </w:r>
      <w:proofErr w:type="spellStart"/>
      <w:r>
        <w:rPr>
          <w:rtl/>
        </w:rPr>
        <w:t>היילפרין</w:t>
      </w:r>
      <w:proofErr w:type="spellEnd"/>
      <w:r>
        <w:rPr>
          <w:rtl/>
        </w:rPr>
        <w:t xml:space="preserve">, בנו וממלא מקומו של יריבו לשעבר של ר׳ לייב. שוב פרצה מחלוקת בינו ובין חברו, ולמרות תמיכתם של כמה עשירים, ובהם המטרונה </w:t>
      </w:r>
      <w:proofErr w:type="spellStart"/>
      <w:r>
        <w:rPr>
          <w:rtl/>
        </w:rPr>
        <w:t>המינסקאית</w:t>
      </w:r>
      <w:proofErr w:type="spellEnd"/>
      <w:r>
        <w:rPr>
          <w:rtl/>
        </w:rPr>
        <w:t xml:space="preserve"> </w:t>
      </w:r>
      <w:proofErr w:type="spellStart"/>
      <w:r>
        <w:rPr>
          <w:rtl/>
        </w:rPr>
        <w:t>בלומקה</w:t>
      </w:r>
      <w:proofErr w:type="spellEnd"/>
      <w:r>
        <w:rPr>
          <w:rtl/>
        </w:rPr>
        <w:t xml:space="preserve"> </w:t>
      </w:r>
      <w:proofErr w:type="spellStart"/>
      <w:r>
        <w:rPr>
          <w:rtl/>
        </w:rPr>
        <w:t>וילנקין</w:t>
      </w:r>
      <w:proofErr w:type="spellEnd"/>
      <w:r>
        <w:rPr>
          <w:rtl/>
        </w:rPr>
        <w:t>,</w:t>
      </w:r>
      <w:bookmarkStart w:id="762" w:name="_fnr470"/>
      <w:r>
        <w:rPr>
          <w:rStyle w:val="a5"/>
        </w:rPr>
        <w:footnoteReference w:id="470" w:customMarkFollows="0"/>
      </w:r>
      <w:bookmarkEnd w:id="762"/>
      <w:r>
        <w:rPr>
          <w:rtl/>
        </w:rPr>
        <w:t xml:space="preserve"> נאלץ לעזוב שוב את העיר. בסביבות תקכ״ג שב </w:t>
      </w:r>
      <w:proofErr w:type="spellStart"/>
      <w:r>
        <w:rPr>
          <w:rtl/>
        </w:rPr>
        <w:t>לוולוז׳ין</w:t>
      </w:r>
      <w:proofErr w:type="spellEnd"/>
      <w:r>
        <w:rPr>
          <w:rtl/>
        </w:rPr>
        <w:t>.</w:t>
      </w:r>
    </w:p>
    <w:p w14:paraId="3DAAF2DC" w14:textId="591AFFDA" w:rsidR="00AB3647" w:rsidRDefault="00000000" w:rsidP="007923E9">
      <w:pPr>
        <w:spacing w:before="120" w:after="100" w:line="276" w:lineRule="auto"/>
        <w:jc w:val="both"/>
      </w:pPr>
      <w:r>
        <w:rPr>
          <w:rtl/>
        </w:rPr>
        <w:t xml:space="preserve">אגב, באותו זמן למד אצל השאגת אריה נער מקומי שנולד בשנת תק״ט, ר׳ חיים </w:t>
      </w:r>
      <w:proofErr w:type="spellStart"/>
      <w:r w:rsidR="00AB485B">
        <w:rPr>
          <w:rtl/>
        </w:rPr>
        <w:t xml:space="preserve">איצקוביץ׳,</w:t>
      </w:r>
      <w:proofErr w:type="spellEnd"/>
      <w:r w:rsidR="00AB485B">
        <w:rPr>
          <w:rtl/>
        </w:rPr>
        <w:t xml:space="preserve"/>
      </w:r>
      <w:r>
        <w:rPr>
          <w:rtl/>
        </w:rPr>
        <w:t xml:space="preserve"> שהיה לימים תלמידו המובהק של הגאון מווילנה. בשנת תקל״ו נעשה ר׳ חיים רבה של </w:t>
      </w:r>
      <w:proofErr w:type="spellStart"/>
      <w:r>
        <w:rPr>
          <w:rtl/>
        </w:rPr>
        <w:t>וולוז׳ין</w:t>
      </w:r>
      <w:proofErr w:type="spellEnd"/>
      <w:r>
        <w:rPr>
          <w:rtl/>
        </w:rPr>
        <w:t xml:space="preserve">, ובתחילת שנת תקס״ג ייסד שם את אם הישיבות של זמננו, ישיבת עץ חיים. ר׳ חיים </w:t>
      </w:r>
      <w:proofErr w:type="spellStart"/>
      <w:r>
        <w:rPr>
          <w:rtl/>
        </w:rPr>
        <w:t>מוולוז׳ין</w:t>
      </w:r>
      <w:proofErr w:type="spellEnd"/>
      <w:r>
        <w:rPr>
          <w:rtl/>
        </w:rPr>
        <w:t xml:space="preserve"> החזיק בעיירה בהוראת היתר יוצאת דופן שהורה השאגת אריה בעניין כשרות [</w:t>
      </w:r>
      <w:proofErr w:type="spellStart"/>
      <w:r>
        <w:rPr>
          <w:rtl/>
        </w:rPr>
        <w:t>סירכא</w:t>
      </w:r>
      <w:proofErr w:type="spellEnd"/>
      <w:r>
        <w:rPr>
          <w:rtl/>
        </w:rPr>
        <w:t xml:space="preserve"> עם מכה בדופן]. אבל בנו, ר׳ </w:t>
      </w:r>
      <w:proofErr w:type="spellStart"/>
      <w:r>
        <w:rPr>
          <w:rtl/>
        </w:rPr>
        <w:t>איצל׳ה</w:t>
      </w:r>
      <w:proofErr w:type="spellEnd"/>
      <w:r>
        <w:rPr>
          <w:rtl/>
        </w:rPr>
        <w:t>, שמילא את מקומו בשנת תקפ״א, סירב להורות לא כמנהג ההיתר המקומי ולא נגדו, ונאלצו להעביר את השאלה ההלכתית להכרעת רבני וילנה.</w:t>
      </w:r>
      <w:bookmarkStart w:id="763" w:name="_fnr471"/>
      <w:r>
        <w:rPr>
          <w:rStyle w:val="a5"/>
        </w:rPr>
        <w:footnoteReference w:id="471" w:customMarkFollows="0"/>
      </w:r>
      <w:bookmarkEnd w:id="763"/>
    </w:p>
    <w:p w14:paraId="6233C6C6" w14:textId="77777777" w:rsidR="00AB3647" w:rsidRDefault="00000000" w:rsidP="007923E9">
      <w:pPr>
        <w:spacing w:before="120" w:after="100" w:line="276" w:lineRule="auto"/>
        <w:jc w:val="both"/>
      </w:pPr>
      <w:r>
        <w:rPr>
          <w:rtl/>
        </w:rPr>
        <w:t xml:space="preserve">מכל מקום, לפי “עובדות והנהגות לבית </w:t>
      </w:r>
      <w:proofErr w:type="spellStart"/>
      <w:r>
        <w:rPr>
          <w:rtl/>
        </w:rPr>
        <w:t>בריסק</w:t>
      </w:r>
      <w:proofErr w:type="spellEnd"/>
      <w:r>
        <w:rPr>
          <w:rtl/>
        </w:rPr>
        <w:t>”,</w:t>
      </w:r>
      <w:bookmarkStart w:id="764" w:name="_fnr472"/>
      <w:r>
        <w:rPr>
          <w:rStyle w:val="a5"/>
        </w:rPr>
        <w:footnoteReference w:id="472" w:customMarkFollows="0"/>
      </w:r>
      <w:bookmarkEnd w:id="764"/>
      <w:r>
        <w:rPr>
          <w:rtl/>
        </w:rPr>
        <w:t xml:space="preserve"> סיפר ר׳ </w:t>
      </w:r>
      <w:proofErr w:type="spellStart"/>
      <w:r>
        <w:rPr>
          <w:rtl/>
        </w:rPr>
        <w:t>זלמן־סנדר</w:t>
      </w:r>
      <w:proofErr w:type="spellEnd"/>
      <w:r>
        <w:rPr>
          <w:rtl/>
        </w:rPr>
        <w:t xml:space="preserve"> </w:t>
      </w:r>
      <w:proofErr w:type="spellStart"/>
      <w:r>
        <w:rPr>
          <w:rtl/>
        </w:rPr>
        <w:t>כהנא־שפירא</w:t>
      </w:r>
      <w:proofErr w:type="spellEnd"/>
      <w:r>
        <w:rPr>
          <w:rtl/>
        </w:rPr>
        <w:t xml:space="preserve"> בשנים המעטות שחי בירושלים בסוף ימיו</w:t>
      </w:r>
      <w:bookmarkStart w:id="765" w:name="_fnr473"/>
      <w:r>
        <w:rPr>
          <w:rStyle w:val="a5"/>
        </w:rPr>
        <w:footnoteReference w:id="473" w:customMarkFollows="0"/>
      </w:r>
      <w:bookmarkEnd w:id="765"/>
      <w:r>
        <w:rPr>
          <w:rtl/>
        </w:rPr>
        <w:t xml:space="preserve"> </w:t>
      </w:r>
      <w:proofErr w:type="spellStart"/>
      <w:r>
        <w:rPr>
          <w:rtl/>
        </w:rPr>
        <w:t>שהשאגת</w:t>
      </w:r>
      <w:proofErr w:type="spellEnd"/>
      <w:r>
        <w:rPr>
          <w:rtl/>
        </w:rPr>
        <w:t xml:space="preserve"> אריה עזב את </w:t>
      </w:r>
      <w:proofErr w:type="spellStart"/>
      <w:r>
        <w:rPr>
          <w:rtl/>
        </w:rPr>
        <w:t>וולוז׳ין</w:t>
      </w:r>
      <w:proofErr w:type="spellEnd"/>
      <w:r>
        <w:rPr>
          <w:rtl/>
        </w:rPr>
        <w:t xml:space="preserve"> בנסיבות קשות, בעקבות פסק שפסק בדין ממון שהיה מעורב בו הפריץ המקומי. הוא יצא לדרך נדודים שהביאה אותו בפעם השלישית למינסק – ר׳ משה </w:t>
      </w:r>
      <w:proofErr w:type="spellStart"/>
      <w:r>
        <w:rPr>
          <w:rtl/>
        </w:rPr>
        <w:t>היילפרין</w:t>
      </w:r>
      <w:proofErr w:type="spellEnd"/>
      <w:r>
        <w:rPr>
          <w:rtl/>
        </w:rPr>
        <w:t xml:space="preserve"> נפטר בינתיים – ומשם למקומות אחרים. תחנתו האחרונה הייתה העיר מץ שבצרפת, ושם כיהן כרב בשני העשורים האחרונים לחייו, שהסתיימו בשנת תקמ״ה בגיל תשעים. קהילות מערב אירופה עוד לא נחרבו אז בידי ההשכלה ותנועות הרפורמה, וגאון ליטאי לא היה זר בצרפת.</w:t>
      </w:r>
      <w:bookmarkStart w:id="766" w:name="_fnr474"/>
      <w:bookmarkStart w:id="767" w:name="pr_f_401"/>
      <w:r>
        <w:rPr>
          <w:rStyle w:val="a5"/>
        </w:rPr>
        <w:footnoteReference w:id="474" w:customMarkFollows="0"/>
      </w:r>
      <w:bookmarkEnd w:id="766"/>
      <w:bookmarkEnd w:id="767"/>
    </w:p>
    <w:bookmarkStart w:id="768" w:name="b2_note12"/>
    <w:p w14:paraId="775D867F" w14:textId="77777777" w:rsidR="00AB3647" w:rsidRDefault="00000000" w:rsidP="007923E9">
      <w:pPr>
        <w:spacing w:before="120" w:after="100" w:line="276" w:lineRule="auto"/>
        <w:jc w:val="both"/>
      </w:pPr>
      <w:r>
        <w:fldChar w:fldCharType="begin" w:dirty="true"/>
      </w:r>
      <w:r>
        <w:instrText>HYPERLINK \l "b2_ref12"</w:instrText>
      </w:r>
      <w:r>
        <w:fldChar w:fldCharType="separate"/>
      </w:r>
      <w:r>
        <w:rPr>
          <w:b/>
          <w:bCs/>
          <w:rtl/>
        </w:rPr>
        <w:t>12</w:t>
      </w:r>
      <w:r>
        <w:rPr>
          <w:b/>
          <w:bCs/>
        </w:rPr>
        <w:fldChar w:fldCharType="end"/>
      </w:r>
      <w:bookmarkEnd w:id="768"/>
      <w:r>
        <w:rPr>
          <w:rtl/>
        </w:rPr>
        <w:t xml:space="preserve"> לאחר מכן כיהן כרב </w:t>
      </w:r>
      <w:proofErr w:type="spellStart"/>
      <w:r>
        <w:rPr>
          <w:rtl/>
        </w:rPr>
        <w:t>בראקוב</w:t>
      </w:r>
      <w:proofErr w:type="spellEnd"/>
      <w:r>
        <w:rPr>
          <w:rtl/>
        </w:rPr>
        <w:t xml:space="preserve"> </w:t>
      </w:r>
      <w:proofErr w:type="spellStart"/>
      <w:r>
        <w:rPr>
          <w:rtl/>
        </w:rPr>
        <w:t>ובווילקומיר</w:t>
      </w:r>
      <w:proofErr w:type="spellEnd"/>
      <w:r>
        <w:rPr>
          <w:rtl/>
        </w:rPr>
        <w:t xml:space="preserve"> שבליטא, אחר כך כרב הגליל של סביבת מינסק, אחר כך כרב </w:t>
      </w:r>
      <w:proofErr w:type="spellStart"/>
      <w:r>
        <w:rPr>
          <w:rtl/>
        </w:rPr>
        <w:t>בפינסק</w:t>
      </w:r>
      <w:proofErr w:type="spellEnd"/>
      <w:r>
        <w:rPr>
          <w:rtl/>
        </w:rPr>
        <w:t xml:space="preserve"> </w:t>
      </w:r>
      <w:proofErr w:type="spellStart"/>
      <w:r>
        <w:rPr>
          <w:rtl/>
        </w:rPr>
        <w:t>ובפוזנא</w:t>
      </w:r>
      <w:proofErr w:type="spellEnd"/>
      <w:r>
        <w:rPr>
          <w:rtl/>
        </w:rPr>
        <w:t xml:space="preserve">, ולבסוף, משנת תקל״ו, </w:t>
      </w:r>
      <w:proofErr w:type="spellStart"/>
      <w:r>
        <w:rPr>
          <w:rtl/>
        </w:rPr>
        <w:t>בהמבורג</w:t>
      </w:r>
      <w:proofErr w:type="spellEnd"/>
      <w:r>
        <w:rPr>
          <w:rtl/>
        </w:rPr>
        <w:t>.</w:t>
      </w:r>
      <w:bookmarkStart w:id="769" w:name="_fnr475"/>
      <w:r>
        <w:rPr>
          <w:rStyle w:val="a5"/>
        </w:rPr>
        <w:footnoteReference w:id="475" w:customMarkFollows="0"/>
      </w:r>
      <w:bookmarkEnd w:id="769"/>
      <w:r>
        <w:rPr>
          <w:rtl/>
        </w:rPr>
        <w:t xml:space="preserve"> ר׳ רפאל חיבר שני ספרי שו״ת, “תורת יקותיאל” </w:t>
      </w:r>
      <w:proofErr w:type="spellStart"/>
      <w:r>
        <w:rPr>
          <w:rtl/>
        </w:rPr>
        <w:t>ו“ושב</w:t>
      </w:r>
      <w:proofErr w:type="spellEnd"/>
      <w:r>
        <w:rPr>
          <w:rtl/>
        </w:rPr>
        <w:t xml:space="preserve"> הכהן”. הוא היה לוחם סמכותי ורב השפעה נגד ההשכלה, שהחלה להרים ראש בגרמניה בימיו, ולכן שכרו המשכילים את ר׳ שאול לוין, בנו המלומד מאוד של רב ברלין, הגאון ר׳ הירש לוין, שיכתוב בעילום שם השגה על כמה מפסקיו ההלכתיים של ר׳ רפאל, בשם “מצפה </w:t>
      </w:r>
      <w:proofErr w:type="spellStart"/>
      <w:r>
        <w:rPr>
          <w:rtl/>
        </w:rPr>
        <w:t>יקתאל</w:t>
      </w:r>
      <w:proofErr w:type="spellEnd"/>
      <w:r>
        <w:rPr>
          <w:rtl/>
        </w:rPr>
        <w:t>”.</w:t>
      </w:r>
      <w:bookmarkStart w:id="770" w:name="_fnr476"/>
      <w:r>
        <w:rPr>
          <w:rStyle w:val="a5"/>
        </w:rPr>
        <w:footnoteReference w:id="476" w:customMarkFollows="0"/>
      </w:r>
      <w:bookmarkEnd w:id="770"/>
    </w:p>
    <w:p w14:paraId="59FDBDE8" w14:textId="77777777" w:rsidR="00AB3647" w:rsidRDefault="00000000" w:rsidP="007923E9">
      <w:pPr>
        <w:spacing w:before="120" w:after="100" w:line="276" w:lineRule="auto"/>
        <w:jc w:val="both"/>
      </w:pPr>
      <w:r>
        <w:rPr>
          <w:rtl/>
        </w:rPr>
        <w:t xml:space="preserve">אותו מחבר הראה את פרצופו האמיתי מאוחר יותר, כשהוציא לאור ספר של “תשובות רבנו אשר שנתגלו מחדש”, בשם “בשמים ראש”. הספר היה זיוף שנעשה במומחיות, ועליו אמר </w:t>
      </w:r>
      <w:r>
        <w:rPr>
          <w:rtl/>
        </w:rPr>
        <w:lastRenderedPageBreak/>
        <w:t xml:space="preserve">אבי פעם: “אתה חושב שרק </w:t>
      </w:r>
      <w:r>
        <w:rPr>
          <w:b/>
          <w:bCs/>
          <w:rtl/>
        </w:rPr>
        <w:t>אנחנו</w:t>
      </w:r>
      <w:r>
        <w:rPr>
          <w:rtl/>
        </w:rPr>
        <w:t>” – כוונתו לאנשים בשיעור קומתו – “טעינו? אפילו ר׳ עקיבא איגר טעה!”</w:t>
      </w:r>
      <w:bookmarkStart w:id="771" w:name="_fnr477"/>
      <w:r>
        <w:rPr>
          <w:rStyle w:val="a5"/>
        </w:rPr>
        <w:footnoteReference w:id="477" w:customMarkFollows="0"/>
      </w:r>
      <w:bookmarkEnd w:id="771"/>
      <w:r>
        <w:rPr>
          <w:rtl/>
        </w:rPr>
        <w:t xml:space="preserve"> ר׳ רפאל עשה מעשה נדיר ביותר לרב: בשנת תקנ״ט, בהיותו בן שבעים ושש, פרש מן המשרה הציבורית כדי לבלות את שנותיו האחרונות כאדם פרטי בעיר שבה כיהן, המבורג. הוא נפטר כעבור חמש שנים.</w:t>
      </w:r>
    </w:p>
    <w:p w14:paraId="766B4C36" w14:textId="610021DF"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למרות השינויים שחלו בחברה היהודית ברוסיה במאה וחצי שאחר כך, בשעה שהגיע אליה אבי עדיין היו בעיר המוני תלמידים הוגים בתורה</w:t>
      </w:r>
      <w:bookmarkStart w:id="772" w:name="b2_ref13"/>
      <w:bookmarkEnd w:id="772"/>
      <w:r>
        <w:rPr>
          <w:vertAlign w:val="superscript"/>
          <w:rtl/>
        </w:rPr>
        <w:fldChar w:fldCharType="begin" w:dirty="true"/>
      </w:r>
      <w:r>
        <w:rPr>
          <w:vertAlign w:val="superscript"/>
          <w:rtl/>
        </w:rPr>
        <w:instrText xml:space="preserve"> REF b2_note13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13</w:t>
      </w:r>
      <w:r>
        <w:rPr>
          <w:vertAlign w:val="superscript"/>
          <w:rtl/>
        </w:rPr>
        <w:fldChar w:fldCharType="end"/>
      </w:r>
      <w:r>
        <w:rPr>
          <w:rtl/>
        </w:rPr>
        <w:t xml:space="preserve"> ברבים מבתי המדרש שלה</w:t>
      </w:r>
      <w:bookmarkStart w:id="773" w:name="b2_ref14"/>
      <w:bookmarkEnd w:id="773"/>
      <w:r>
        <w:rPr>
          <w:vertAlign w:val="superscript"/>
          <w:rtl/>
        </w:rPr>
        <w:fldChar w:fldCharType="begin" w:dirty="true"/>
      </w:r>
      <w:r>
        <w:rPr>
          <w:vertAlign w:val="superscript"/>
          <w:rtl/>
        </w:rPr>
        <w:instrText xml:space="preserve"> REF b2_note14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14</w:t>
      </w:r>
      <w:r>
        <w:rPr>
          <w:vertAlign w:val="superscript"/>
          <w:rtl/>
        </w:rPr>
        <w:fldChar w:fldCharType="end"/>
      </w:r>
      <w:r>
        <w:rPr>
          <w:rtl/>
        </w:rPr>
        <w:t xml:space="preserve">. נוסף על בני מינסק הרבים, אירחה העיר מספר גדול עוד יותר של צעירים מכל רחבי הפלך ומחוצה לו, שביקשו מקום נוח ללימוד תורה. גם </w:t>
      </w:r>
      <w:proofErr w:type="spellStart"/>
      <w:r>
        <w:rPr>
          <w:rtl/>
        </w:rPr>
        <w:t>הדולהינובר</w:t>
      </w:r>
      <w:proofErr w:type="spellEnd"/>
      <w:r>
        <w:rPr>
          <w:rtl/>
        </w:rPr>
        <w:t xml:space="preserve"> הצטרף לשורותיהם.</w:t>
      </w:r>
    </w:p>
    <w:bookmarkStart w:id="774" w:name="b2_note13"/>
    <w:p w14:paraId="0D57B925" w14:textId="77777777" w:rsidR="00AB3647" w:rsidRDefault="00000000" w:rsidP="007923E9">
      <w:pPr>
        <w:spacing w:before="120" w:after="100" w:line="276" w:lineRule="auto"/>
        <w:jc w:val="both"/>
      </w:pPr>
      <w:r>
        <w:fldChar w:fldCharType="begin" w:dirty="true"/>
      </w:r>
      <w:r>
        <w:instrText>HYPERLINK \l "b2_ref13"</w:instrText>
      </w:r>
      <w:r>
        <w:fldChar w:fldCharType="separate"/>
      </w:r>
      <w:r>
        <w:rPr>
          <w:b/>
          <w:bCs/>
          <w:rtl/>
        </w:rPr>
        <w:t>13</w:t>
      </w:r>
      <w:r>
        <w:rPr>
          <w:b/>
          <w:bCs/>
        </w:rPr>
        <w:fldChar w:fldCharType="end"/>
      </w:r>
      <w:bookmarkEnd w:id="774"/>
      <w:r>
        <w:rPr>
          <w:rtl/>
        </w:rPr>
        <w:t xml:space="preserve"> הרב אלכסנדר </w:t>
      </w:r>
      <w:proofErr w:type="spellStart"/>
      <w:r>
        <w:rPr>
          <w:rtl/>
        </w:rPr>
        <w:t>זיסקינד</w:t>
      </w:r>
      <w:proofErr w:type="spellEnd"/>
      <w:r>
        <w:rPr>
          <w:rtl/>
        </w:rPr>
        <w:t xml:space="preserve"> הורוביץ, שוחט בסן אנטוניו שבטקסס, מקדיש בספרו “</w:t>
      </w:r>
      <w:proofErr w:type="spellStart"/>
      <w:r>
        <w:rPr>
          <w:rtl/>
        </w:rPr>
        <w:t>זכרונות</w:t>
      </w:r>
      <w:proofErr w:type="spellEnd"/>
      <w:r>
        <w:rPr>
          <w:rtl/>
        </w:rPr>
        <w:t xml:space="preserve"> פון צווי דורות” (</w:t>
      </w:r>
      <w:proofErr w:type="spellStart"/>
      <w:r>
        <w:rPr>
          <w:rtl/>
        </w:rPr>
        <w:t>זכרונות</w:t>
      </w:r>
      <w:proofErr w:type="spellEnd"/>
      <w:r>
        <w:rPr>
          <w:rtl/>
        </w:rPr>
        <w:t xml:space="preserve"> של שני דורות)</w:t>
      </w:r>
      <w:bookmarkStart w:id="775" w:name="_fnr478"/>
      <w:r>
        <w:rPr>
          <w:rStyle w:val="a5"/>
        </w:rPr>
        <w:footnoteReference w:id="478" w:customMarkFollows="0"/>
      </w:r>
      <w:bookmarkEnd w:id="775"/>
      <w:r>
        <w:rPr>
          <w:rtl/>
        </w:rPr>
        <w:t xml:space="preserve"> פרק לשהותו במינסק משנת תרל״ד ואילך. </w:t>
      </w:r>
      <w:proofErr w:type="spellStart"/>
      <w:r>
        <w:rPr>
          <w:rtl/>
        </w:rPr>
        <w:t>ב“מינסק</w:t>
      </w:r>
      <w:proofErr w:type="spellEnd"/>
      <w:r>
        <w:rPr>
          <w:rtl/>
        </w:rPr>
        <w:t xml:space="preserve"> עיר ואם א”</w:t>
      </w:r>
      <w:bookmarkStart w:id="776" w:name="_fnr479"/>
      <w:r>
        <w:rPr>
          <w:rStyle w:val="a5"/>
        </w:rPr>
        <w:footnoteReference w:id="479" w:customMarkFollows="0"/>
      </w:r>
      <w:bookmarkEnd w:id="776"/>
      <w:r>
        <w:rPr>
          <w:rtl/>
        </w:rPr>
        <w:t xml:space="preserve"> מובא ממנו (בתרגום עברי) </w:t>
      </w:r>
      <w:proofErr w:type="spellStart"/>
      <w:r>
        <w:rPr>
          <w:rtl/>
        </w:rPr>
        <w:t>ש“אלפי</w:t>
      </w:r>
      <w:proofErr w:type="spellEnd"/>
      <w:r>
        <w:rPr>
          <w:rtl/>
        </w:rPr>
        <w:t xml:space="preserve"> תלמידי ישיבה היו מתפרנסים על חשבון העיר”.</w:t>
      </w:r>
    </w:p>
    <w:p w14:paraId="796667ED" w14:textId="77777777" w:rsidR="00AB3647" w:rsidRDefault="00000000" w:rsidP="007923E9">
      <w:pPr>
        <w:spacing w:before="120" w:after="100" w:line="276" w:lineRule="auto"/>
        <w:jc w:val="both"/>
      </w:pPr>
      <w:r>
        <w:rPr>
          <w:rtl/>
        </w:rPr>
        <w:t>אבל בעשור שבו הגיע אבי למינסק ירד מאוד מספר לומדי התורה שם. את ההידרדרות מתאר בדברים נוגעים ללב בהקדמה לספר “עולת שלמה”</w:t>
      </w:r>
      <w:bookmarkStart w:id="777" w:name="_fnr480"/>
      <w:r>
        <w:rPr>
          <w:rStyle w:val="a5"/>
        </w:rPr>
        <w:footnoteReference w:id="480" w:customMarkFollows="0"/>
      </w:r>
      <w:bookmarkEnd w:id="777"/>
      <w:r>
        <w:rPr>
          <w:rtl/>
        </w:rPr>
        <w:t xml:space="preserve"> מחברו, איש העסקים </w:t>
      </w:r>
      <w:proofErr w:type="spellStart"/>
      <w:r>
        <w:rPr>
          <w:rtl/>
        </w:rPr>
        <w:t>מגרודנא</w:t>
      </w:r>
      <w:proofErr w:type="spellEnd"/>
      <w:r>
        <w:rPr>
          <w:rtl/>
        </w:rPr>
        <w:t xml:space="preserve"> ר׳ </w:t>
      </w:r>
      <w:proofErr w:type="spellStart"/>
      <w:r>
        <w:rPr>
          <w:rtl/>
        </w:rPr>
        <w:t>שלמה־זלמן</w:t>
      </w:r>
      <w:proofErr w:type="spellEnd"/>
      <w:r>
        <w:rPr>
          <w:rtl/>
        </w:rPr>
        <w:t xml:space="preserve"> (בר׳ צבי הירש) ליפשיץ, בזו הלשון: “למי אני עמל? שאלה זו מנקרת במוחי ומפצחת את גולגלתי כשאני ניגש למלאכת הדפסת ספרי, בראותי שלומדי התורה מתמעטים מיום ליום. שערי בתי המדרש היו פעם פתוחים לרווחה לכול. בכל שעה ביום נכנסנו אליהם ומצאנו צעירים וזקנים שקועים בשקידה נפלאה בעיון עמוק בתורת ה׳. ועוד יותר היה הלימוד בערבים, כשכל שכבות העם נהרו לבית המדרש, אלה לשמוע את ‘דבר ה׳’ – זו הלכה</w:t>
      </w:r>
      <w:bookmarkStart w:id="778" w:name="_fnr481"/>
      <w:r>
        <w:rPr>
          <w:rStyle w:val="a5"/>
        </w:rPr>
        <w:footnoteReference w:id="481" w:customMarkFollows="0"/>
      </w:r>
      <w:bookmarkEnd w:id="778"/>
      <w:r>
        <w:rPr>
          <w:rtl/>
        </w:rPr>
        <w:t xml:space="preserve"> – מפי רבם ומורם, ואלה לשמוע דברי אגדה, עד שבית המדרש היה מלא מפה לפה ביושבים צפופים ודחוקים. עתה שערים אלה, המצוינים בהלכה, שוממים ונעולים. הספרים מונחים במקומם בשלום; אין מזיז אותם לעיין בהם, אין מפריע את מנוחתם. ספרי ראשונים ואחרונים, שבימי קדם לא משו מקרבתנו, שדבריהם שתינו בצמא ולחמם </w:t>
      </w:r>
      <w:proofErr w:type="spellStart"/>
      <w:r>
        <w:rPr>
          <w:rtl/>
        </w:rPr>
        <w:t>השמימי</w:t>
      </w:r>
      <w:proofErr w:type="spellEnd"/>
      <w:r>
        <w:rPr>
          <w:rtl/>
        </w:rPr>
        <w:t xml:space="preserve"> אכלנו, הולכים ונשכחים לאט </w:t>
      </w:r>
      <w:proofErr w:type="spellStart"/>
      <w:r>
        <w:rPr>
          <w:rtl/>
        </w:rPr>
        <w:t>לאט</w:t>
      </w:r>
      <w:proofErr w:type="spellEnd"/>
      <w:r>
        <w:rPr>
          <w:rtl/>
        </w:rPr>
        <w:t xml:space="preserve"> מן האומה. ועתה אני בא עם ספרי על קדשים, סדר שאף בעיני הבקיאים הוא ‘ספר החתום’!</w:t>
      </w:r>
      <w:bookmarkStart w:id="779" w:name="_fnr482"/>
      <w:r>
        <w:rPr>
          <w:rStyle w:val="a5"/>
        </w:rPr>
        <w:footnoteReference w:id="482" w:customMarkFollows="0"/>
      </w:r>
      <w:bookmarkEnd w:id="779"/>
      <w:r>
        <w:rPr>
          <w:rtl/>
        </w:rPr>
        <w:t xml:space="preserve"> מי ישים לב אליו, מי יפתחנו להתבונן בו? על כן אני משתומם על עצמי מה דוחפני להדפיסו. מה תועלת תצמח מהוצאת סכום עצום שאין לו תחליף?”</w:t>
      </w:r>
      <w:bookmarkStart w:id="780" w:name="_fnr483"/>
      <w:r>
        <w:rPr>
          <w:rStyle w:val="a5"/>
        </w:rPr>
        <w:footnoteReference w:id="483" w:customMarkFollows="0"/>
      </w:r>
      <w:bookmarkEnd w:id="780"/>
    </w:p>
    <w:p w14:paraId="68ADE4BC" w14:textId="77777777" w:rsidR="00AB3647" w:rsidRDefault="00000000" w:rsidP="007923E9">
      <w:pPr>
        <w:spacing w:before="120" w:after="100" w:line="276" w:lineRule="auto"/>
        <w:jc w:val="both"/>
      </w:pPr>
      <w:r>
        <w:rPr>
          <w:rtl/>
        </w:rPr>
        <w:lastRenderedPageBreak/>
        <w:t xml:space="preserve">סיפור מעניין מסופר </w:t>
      </w:r>
      <w:proofErr w:type="spellStart"/>
      <w:r>
        <w:rPr>
          <w:rtl/>
        </w:rPr>
        <w:t>בשאשקעס</w:t>
      </w:r>
      <w:bookmarkStart w:id="781" w:name="_fnr484"/>
      <w:proofErr w:type="spellEnd"/>
      <w:r>
        <w:rPr>
          <w:rStyle w:val="a5"/>
        </w:rPr>
        <w:footnoteReference w:id="484" w:customMarkFollows="0"/>
      </w:r>
      <w:bookmarkEnd w:id="781"/>
      <w:r>
        <w:rPr>
          <w:rtl/>
        </w:rPr>
        <w:t xml:space="preserve"> על “</w:t>
      </w:r>
      <w:proofErr w:type="spellStart"/>
      <w:r>
        <w:rPr>
          <w:rtl/>
        </w:rPr>
        <w:t>הלומדישער</w:t>
      </w:r>
      <w:proofErr w:type="spellEnd"/>
      <w:r>
        <w:rPr>
          <w:rtl/>
        </w:rPr>
        <w:t xml:space="preserve"> </w:t>
      </w:r>
      <w:proofErr w:type="spellStart"/>
      <w:r>
        <w:rPr>
          <w:rtl/>
        </w:rPr>
        <w:t>באלעבאס</w:t>
      </w:r>
      <w:proofErr w:type="spellEnd"/>
      <w:r>
        <w:rPr>
          <w:rtl/>
        </w:rPr>
        <w:t xml:space="preserve"> [בעל הבית הלמדן] שרבנים היו מפנים אליו שאלות הלכה, ר׳ </w:t>
      </w:r>
      <w:proofErr w:type="spellStart"/>
      <w:r>
        <w:rPr>
          <w:rtl/>
        </w:rPr>
        <w:t>לייב־זלמן</w:t>
      </w:r>
      <w:proofErr w:type="spellEnd"/>
      <w:r>
        <w:rPr>
          <w:rtl/>
        </w:rPr>
        <w:t xml:space="preserve"> ליפשיץ”. לפי התיאור סבור אני שאינו אלא ר׳ </w:t>
      </w:r>
      <w:proofErr w:type="spellStart"/>
      <w:r>
        <w:rPr>
          <w:rtl/>
        </w:rPr>
        <w:t>שלמה־זלמן</w:t>
      </w:r>
      <w:proofErr w:type="spellEnd"/>
      <w:r>
        <w:rPr>
          <w:rtl/>
        </w:rPr>
        <w:t xml:space="preserve"> בעל “עולת שלמה”, אף על פי שהשם שונה, כפי שיבואר להלן. מסופר שם: “כשאיש העסקים העשיר ר׳ </w:t>
      </w:r>
      <w:proofErr w:type="spellStart"/>
      <w:r>
        <w:rPr>
          <w:rtl/>
        </w:rPr>
        <w:t>חצקל</w:t>
      </w:r>
      <w:proofErr w:type="spellEnd"/>
      <w:r>
        <w:rPr>
          <w:rtl/>
        </w:rPr>
        <w:t xml:space="preserve"> </w:t>
      </w:r>
      <w:proofErr w:type="spellStart"/>
      <w:r>
        <w:rPr>
          <w:rtl/>
        </w:rPr>
        <w:t>ראטנער</w:t>
      </w:r>
      <w:proofErr w:type="spellEnd"/>
      <w:r>
        <w:rPr>
          <w:rtl/>
        </w:rPr>
        <w:t xml:space="preserve"> נטל על עצמו לבנות בעיר </w:t>
      </w:r>
      <w:proofErr w:type="spellStart"/>
      <w:r>
        <w:rPr>
          <w:rtl/>
        </w:rPr>
        <w:t>כאר־שול</w:t>
      </w:r>
      <w:proofErr w:type="spellEnd"/>
      <w:r>
        <w:rPr>
          <w:rtl/>
        </w:rPr>
        <w:t xml:space="preserve"> [בית כנסת מודרני עם מקהלה] והחלו לחפור את היסודות... בא ליפשיץ בריצה, גמרא בידו, וצעק אל ההמון שהתקבץ: ‘לעיני כולכם אשרוף את </w:t>
      </w:r>
      <w:proofErr w:type="spellStart"/>
      <w:r>
        <w:rPr>
          <w:rtl/>
        </w:rPr>
        <w:t>אביי</w:t>
      </w:r>
      <w:proofErr w:type="spellEnd"/>
      <w:r>
        <w:rPr>
          <w:rtl/>
        </w:rPr>
        <w:t xml:space="preserve"> ורבא</w:t>
      </w:r>
      <w:bookmarkStart w:id="782" w:name="_fnr485"/>
      <w:r>
        <w:rPr>
          <w:rStyle w:val="a5"/>
        </w:rPr>
        <w:footnoteReference w:id="485" w:customMarkFollows="0"/>
      </w:r>
      <w:bookmarkEnd w:id="782"/>
      <w:r>
        <w:rPr>
          <w:rtl/>
        </w:rPr>
        <w:t xml:space="preserve"> אם תמשיכו לחפור את היסוד לבית כנסת של חטא!’” כוונתו כנראה שבית הכנסת המתוכנן הוא חילול של כל הכתוב בספרים הקדושים. “ואכן הפסיקו לחפור”, ממשיך </w:t>
      </w:r>
      <w:proofErr w:type="spellStart"/>
      <w:r>
        <w:rPr>
          <w:rtl/>
        </w:rPr>
        <w:t>שאשקעס</w:t>
      </w:r>
      <w:proofErr w:type="spellEnd"/>
      <w:r>
        <w:rPr>
          <w:rtl/>
        </w:rPr>
        <w:t>. “</w:t>
      </w:r>
      <w:proofErr w:type="spellStart"/>
      <w:r>
        <w:rPr>
          <w:rtl/>
        </w:rPr>
        <w:t>בגרודנא</w:t>
      </w:r>
      <w:proofErr w:type="spellEnd"/>
      <w:r>
        <w:rPr>
          <w:rtl/>
        </w:rPr>
        <w:t xml:space="preserve"> [בשונה מערים גדולות אחרות] לא היה מעולם בית כנסת עם מקהלה [מאז]”.</w:t>
      </w:r>
    </w:p>
    <w:p w14:paraId="722CE107" w14:textId="77777777" w:rsidR="00AB3647" w:rsidRDefault="00000000" w:rsidP="007923E9">
      <w:pPr>
        <w:spacing w:before="120" w:after="100" w:line="276" w:lineRule="auto"/>
        <w:jc w:val="both"/>
      </w:pPr>
      <w:proofErr w:type="spellStart"/>
      <w:r>
        <w:rPr>
          <w:rtl/>
        </w:rPr>
        <w:t>אי־הדיוק</w:t>
      </w:r>
      <w:proofErr w:type="spellEnd"/>
      <w:r>
        <w:rPr>
          <w:rtl/>
        </w:rPr>
        <w:t xml:space="preserve"> של </w:t>
      </w:r>
      <w:proofErr w:type="spellStart"/>
      <w:r>
        <w:rPr>
          <w:rtl/>
        </w:rPr>
        <w:t>שאשקעס</w:t>
      </w:r>
      <w:proofErr w:type="spellEnd"/>
      <w:r>
        <w:rPr>
          <w:rtl/>
        </w:rPr>
        <w:t xml:space="preserve"> בשמו של ר׳ </w:t>
      </w:r>
      <w:proofErr w:type="spellStart"/>
      <w:r>
        <w:rPr>
          <w:rtl/>
        </w:rPr>
        <w:t>שלמה־זלמן</w:t>
      </w:r>
      <w:proofErr w:type="spellEnd"/>
      <w:r>
        <w:rPr>
          <w:rtl/>
        </w:rPr>
        <w:t xml:space="preserve"> מוסבר בכך שקראו לו – על שם סב או חותן – “זלמן [אריה־]</w:t>
      </w:r>
      <w:proofErr w:type="spellStart"/>
      <w:r>
        <w:rPr>
          <w:rtl/>
        </w:rPr>
        <w:t>לייב׳ס</w:t>
      </w:r>
      <w:proofErr w:type="spellEnd"/>
      <w:r>
        <w:rPr>
          <w:rtl/>
        </w:rPr>
        <w:t xml:space="preserve">”, ומחבר </w:t>
      </w:r>
      <w:proofErr w:type="spellStart"/>
      <w:r>
        <w:rPr>
          <w:rtl/>
        </w:rPr>
        <w:t>שאשקעס</w:t>
      </w:r>
      <w:proofErr w:type="spellEnd"/>
      <w:r>
        <w:rPr>
          <w:rtl/>
        </w:rPr>
        <w:t xml:space="preserve"> טעה וחשב שהוא </w:t>
      </w:r>
      <w:proofErr w:type="spellStart"/>
      <w:r>
        <w:rPr>
          <w:b/>
          <w:bCs/>
          <w:rtl/>
        </w:rPr>
        <w:t>לייב</w:t>
      </w:r>
      <w:r>
        <w:rPr>
          <w:rtl/>
        </w:rPr>
        <w:t>־זלמן</w:t>
      </w:r>
      <w:proofErr w:type="spellEnd"/>
      <w:r>
        <w:rPr>
          <w:rtl/>
        </w:rPr>
        <w:t xml:space="preserve">. יסוד השערתי הוא שר׳ </w:t>
      </w:r>
      <w:proofErr w:type="spellStart"/>
      <w:r>
        <w:rPr>
          <w:rtl/>
        </w:rPr>
        <w:t>שלמה־זלמן</w:t>
      </w:r>
      <w:proofErr w:type="spellEnd"/>
      <w:r>
        <w:rPr>
          <w:rtl/>
        </w:rPr>
        <w:t xml:space="preserve"> קרא לבנו הבכור, אביו של חותני, </w:t>
      </w:r>
      <w:proofErr w:type="spellStart"/>
      <w:r>
        <w:rPr>
          <w:rtl/>
        </w:rPr>
        <w:t>יעקב־</w:t>
      </w:r>
      <w:r>
        <w:rPr>
          <w:b/>
          <w:bCs/>
          <w:rtl/>
        </w:rPr>
        <w:t>אריה</w:t>
      </w:r>
      <w:proofErr w:type="spellEnd"/>
      <w:r>
        <w:rPr>
          <w:rtl/>
        </w:rPr>
        <w:t>.</w:t>
      </w:r>
    </w:p>
    <w:p w14:paraId="3EC1B67D" w14:textId="77777777" w:rsidR="00AB3647" w:rsidRDefault="00000000" w:rsidP="007923E9">
      <w:pPr>
        <w:spacing w:after="100" w:line="276" w:lineRule="auto"/>
        <w:ind w:firstLine="340"/>
        <w:jc w:val="both"/>
      </w:pPr>
      <w:r>
        <w:rPr>
          <w:rtl/>
        </w:rPr>
        <w:t xml:space="preserve">עוד תיאור חי של הירידה בלימוד התורה באותו עשור נמצא </w:t>
      </w:r>
      <w:proofErr w:type="spellStart"/>
      <w:r>
        <w:rPr>
          <w:rtl/>
        </w:rPr>
        <w:t>ב“זכרונות</w:t>
      </w:r>
      <w:proofErr w:type="spellEnd"/>
      <w:r>
        <w:rPr>
          <w:rtl/>
        </w:rPr>
        <w:t xml:space="preserve"> מחנך עברי, ח״א”.</w:t>
      </w:r>
      <w:bookmarkStart w:id="783" w:name="_fnr486"/>
      <w:r>
        <w:rPr>
          <w:rStyle w:val="a5"/>
        </w:rPr>
        <w:footnoteReference w:id="486" w:customMarkFollows="0"/>
      </w:r>
      <w:bookmarkEnd w:id="783"/>
      <w:r>
        <w:rPr>
          <w:rtl/>
        </w:rPr>
        <w:t xml:space="preserve"> מחברו, אריה ליב </w:t>
      </w:r>
      <w:proofErr w:type="spellStart"/>
      <w:r>
        <w:rPr>
          <w:rtl/>
        </w:rPr>
        <w:t>הורוויץ</w:t>
      </w:r>
      <w:proofErr w:type="spellEnd"/>
      <w:r>
        <w:rPr>
          <w:rtl/>
        </w:rPr>
        <w:t xml:space="preserve">, נזכר שם בביקורו האחרון בבית המדרש </w:t>
      </w:r>
      <w:proofErr w:type="spellStart"/>
      <w:r>
        <w:rPr>
          <w:rtl/>
        </w:rPr>
        <w:t>בסמורגון</w:t>
      </w:r>
      <w:proofErr w:type="spellEnd"/>
      <w:r>
        <w:rPr>
          <w:rtl/>
        </w:rPr>
        <w:t xml:space="preserve">, שהיה בו פעם “קיבוץ של שישים או שבעים לומדים”, וכך הוא כותב: “בית המדרש היה פתוח יומם ולילה, ומעולם לא ראיתיו ריק מלומדי תורה. בקיץ 1903 [תרס״ג], כשעמדתי לצאת לאמריקה, באתי מווילנה, מקום מגורי החדש, להיפרד מבני משפחתי [</w:t>
      </w:r>
      <w:proofErr w:type="spellStart"/>
      <w:r>
        <w:rPr>
          <w:rtl/>
        </w:rPr>
        <w:t>בסמורגון</w:t>
      </w:r>
      <w:proofErr w:type="spellEnd"/>
      <w:r>
        <w:rPr>
          <w:rtl/>
        </w:rPr>
        <w:t xml:space="preserve">]. אחר הצהריים באתי להיפרד מבית המדרש שנחרת במעמקי נפשי בשנות נעוריי. מצאתי את דלתו נעולה במנעול. התנועה הסוציאליסטית סחפה לשורותיה את אחרוני לומדי בית המדרש. בדמעות נפרדתי </w:t>
      </w:r>
      <w:proofErr w:type="spellStart"/>
      <w:r>
        <w:rPr>
          <w:rtl/>
        </w:rPr>
        <w:t>מסִפּו</w:t>
      </w:r>
      <w:proofErr w:type="spellEnd"/>
      <w:r>
        <w:rPr>
          <w:rtl/>
        </w:rPr>
        <w:t>ֹ.”</w:t>
      </w:r>
    </w:p>
    <w:p w14:paraId="2882B772" w14:textId="77777777" w:rsidR="00AB3647" w:rsidRDefault="00000000" w:rsidP="007923E9">
      <w:pPr>
        <w:spacing w:after="100" w:line="276" w:lineRule="auto"/>
        <w:ind w:firstLine="340"/>
        <w:jc w:val="both"/>
      </w:pPr>
      <w:r>
        <w:rPr>
          <w:rtl/>
        </w:rPr>
        <w:t>כבר בשנת תרל״ט</w:t>
      </w:r>
      <w:bookmarkStart w:id="784" w:name="_fnr487"/>
      <w:bookmarkEnd w:id="784"/>
      <w:r>
        <w:rPr>
          <w:rStyle w:val="a5"/>
        </w:rPr>
        <w:t/>
      </w:r>
      <w:bookmarkStart w:id="6997" w:name="_TranslatorNote_5370"/>
      <w:r>
        <w:rPr>
          <w:rStyle w:val="a5"/>
          <w:vertAlign w:val="superscript"/>
          <w:rtl/>
        </w:rPr>
        <w:footnoteReference w:id="487" w:customMarkFollows="1"/>
        <w:t>*</w:t>
      </w:r>
      <w:bookmarkEnd w:id="6997"/>
      <w:r>
        <w:rPr>
          <w:rtl/>
        </w:rPr>
        <w:t xml:space="preserve"> מקונן הכרוז הפותח את “עץ פרי”:</w:t>
      </w:r>
      <w:bookmarkStart w:id="785" w:name="_fnr488"/>
      <w:r>
        <w:rPr>
          <w:rStyle w:val="a5"/>
        </w:rPr>
        <w:footnoteReference w:id="488" w:customMarkFollows="0"/>
      </w:r>
      <w:bookmarkEnd w:id="785"/>
      <w:r>
        <w:rPr>
          <w:rtl/>
        </w:rPr>
        <w:t xml:space="preserve"> “בפנותנו אל בתי הכנסיות ובתי המדרשות, נראה את... הפרט והעוללות שהשאירה לנו המגפה... הנקראת... ‘הרוח החדשה’ או ‘הרוח החופשית’: שניים שלושה גרגרים בראש אמיר.” ואכן, “נחלת חיים”</w:t>
      </w:r>
      <w:bookmarkStart w:id="786" w:name="_fnr489"/>
      <w:r>
        <w:rPr>
          <w:rStyle w:val="a5"/>
        </w:rPr>
        <w:footnoteReference w:id="489" w:customMarkFollows="0"/>
      </w:r>
      <w:bookmarkEnd w:id="786"/>
      <w:r>
        <w:rPr>
          <w:rtl/>
        </w:rPr>
        <w:t xml:space="preserve"> מקדים את הבעיה לשנות </w:t>
      </w:r>
      <w:proofErr w:type="spellStart"/>
      <w:r>
        <w:rPr>
          <w:rtl/>
        </w:rPr>
        <w:t>התר״ל</w:t>
      </w:r>
      <w:proofErr w:type="spellEnd"/>
      <w:r>
        <w:rPr>
          <w:rtl/>
        </w:rPr>
        <w:t xml:space="preserve">, כשהוא אומר בדרשת שבת הגדול משנת תר״ס המובאת שם: “זה כשלושים שנה שכמעט כל בני הדור החדש מבני העשירים עזבו את התורה... ובכן במשך שלושים השנים האלה ירד כבוד התורה פלאים ונפלה עטרתה לארץ, ולולא קמו מעוררים בעלי רוח לחזק את צרכי הישיבות </w:t>
      </w:r>
      <w:proofErr w:type="spellStart"/>
      <w:r>
        <w:rPr>
          <w:rtl/>
        </w:rPr>
        <w:t>בטלז</w:t>
      </w:r>
      <w:proofErr w:type="spellEnd"/>
      <w:r>
        <w:rPr>
          <w:rtl/>
        </w:rPr>
        <w:t xml:space="preserve"> ובקובנה, מי יודע אם לא הייתה התורה, חלילה, נשכחת גם מבני העניים.”</w:t>
      </w:r>
    </w:p>
    <w:bookmarkStart w:id="787" w:name="b2_note14"/>
    <w:p w14:paraId="39C468AE" w14:textId="77777777" w:rsidR="00AB3647" w:rsidRDefault="00000000" w:rsidP="007923E9">
      <w:pPr>
        <w:spacing w:before="120" w:after="100" w:line="276" w:lineRule="auto"/>
        <w:jc w:val="both"/>
      </w:pPr>
      <w:r>
        <w:lastRenderedPageBreak/>
        <w:fldChar w:fldCharType="begin" w:dirty="true"/>
      </w:r>
      <w:r>
        <w:instrText>HYPERLINK \l "b2_ref14"</w:instrText>
      </w:r>
      <w:r>
        <w:fldChar w:fldCharType="separate"/>
      </w:r>
      <w:r>
        <w:rPr>
          <w:b/>
          <w:bCs/>
          <w:rtl/>
        </w:rPr>
        <w:t>14</w:t>
      </w:r>
      <w:r>
        <w:rPr>
          <w:b/>
          <w:bCs/>
        </w:rPr>
        <w:fldChar w:fldCharType="end"/>
      </w:r>
      <w:bookmarkEnd w:id="787"/>
      <w:r>
        <w:rPr>
          <w:rtl/>
        </w:rPr>
        <w:t xml:space="preserve"> במינסק היו שמונים ושלושה בתי כנסת, והם נמנים </w:t>
      </w:r>
      <w:proofErr w:type="spellStart"/>
      <w:r>
        <w:rPr>
          <w:rtl/>
        </w:rPr>
        <w:t>ב“מינסק</w:t>
      </w:r>
      <w:proofErr w:type="spellEnd"/>
      <w:r>
        <w:rPr>
          <w:rtl/>
        </w:rPr>
        <w:t xml:space="preserve"> עיר ואם א”.</w:t>
      </w:r>
      <w:bookmarkStart w:id="788" w:name="_fnr490"/>
      <w:r>
        <w:rPr>
          <w:rStyle w:val="a5"/>
        </w:rPr>
        <w:footnoteReference w:id="490" w:customMarkFollows="0"/>
      </w:r>
      <w:bookmarkEnd w:id="788"/>
      <w:r>
        <w:rPr>
          <w:rtl/>
        </w:rPr>
        <w:t xml:space="preserve"> מחבר “</w:t>
      </w:r>
      <w:proofErr w:type="spellStart"/>
      <w:r>
        <w:rPr>
          <w:rtl/>
        </w:rPr>
        <w:t>זכרונות</w:t>
      </w:r>
      <w:proofErr w:type="spellEnd"/>
      <w:r>
        <w:rPr>
          <w:rtl/>
        </w:rPr>
        <w:t xml:space="preserve"> פון צווי דורות” טוען </w:t>
      </w:r>
      <w:proofErr w:type="spellStart"/>
      <w:r>
        <w:rPr>
          <w:rtl/>
        </w:rPr>
        <w:t>ש“כמעט</w:t>
      </w:r>
      <w:proofErr w:type="spellEnd"/>
      <w:r>
        <w:rPr>
          <w:rtl/>
        </w:rPr>
        <w:t xml:space="preserve"> בכל בית כנסת לומדים בחורי ישיבה”. הוא מונה בשמותיהם בתי כנסת כאלה, ומוסיף “עוד בתי כנסת רבים”. ברשימתו שמונה בתי כנסת: </w:t>
      </w:r>
      <w:proofErr w:type="spellStart"/>
      <w:r>
        <w:rPr>
          <w:rtl/>
        </w:rPr>
        <w:t>הקלויז</w:t>
      </w:r>
      <w:proofErr w:type="spellEnd"/>
      <w:r>
        <w:rPr>
          <w:rtl/>
        </w:rPr>
        <w:t xml:space="preserve"> של </w:t>
      </w:r>
      <w:proofErr w:type="spellStart"/>
      <w:r>
        <w:rPr>
          <w:rtl/>
        </w:rPr>
        <w:t>בלומקה</w:t>
      </w:r>
      <w:proofErr w:type="spellEnd"/>
      <w:r>
        <w:rPr>
          <w:rtl/>
        </w:rPr>
        <w:t>, בית המדרש הקטן, בית הכנסת של שואבי המים, בית הכנסת של השחיטה הכשרה (</w:t>
      </w:r>
      <w:proofErr w:type="spellStart"/>
      <w:r>
        <w:rPr>
          <w:rtl/>
        </w:rPr>
        <w:t>הקצבים</w:t>
      </w:r>
      <w:proofErr w:type="spellEnd"/>
      <w:r>
        <w:rPr>
          <w:rtl/>
        </w:rPr>
        <w:t xml:space="preserve">), בית הכנסת של </w:t>
      </w:r>
      <w:proofErr w:type="spellStart"/>
      <w:r>
        <w:rPr>
          <w:rtl/>
        </w:rPr>
        <w:t>חטאייביץ׳־עטינגר</w:t>
      </w:r>
      <w:proofErr w:type="spellEnd"/>
      <w:r>
        <w:rPr>
          <w:rtl/>
        </w:rPr>
        <w:t>, בית הכנסת של השוליות, בית הכנסת של החייטים ובית הכנסת של הסנדלרים.</w:t>
      </w:r>
    </w:p>
    <w:p w14:paraId="3EF0B400" w14:textId="77777777" w:rsidR="00AB3647" w:rsidRDefault="00000000" w:rsidP="007923E9">
      <w:pPr>
        <w:spacing w:before="120" w:after="100" w:line="276" w:lineRule="auto"/>
        <w:jc w:val="both"/>
      </w:pPr>
      <w:r>
        <w:rPr>
          <w:rtl/>
        </w:rPr>
        <w:t xml:space="preserve">מצאתי עוד שלושה בתי כנסת מסוימים שהיו בהם ישיבות: בית הכנסת של הכובענים, בית הכנסת משכיל לאיתן ובית הכנסת של </w:t>
      </w:r>
      <w:proofErr w:type="spellStart"/>
      <w:r>
        <w:rPr>
          <w:rtl/>
        </w:rPr>
        <w:t>קומרובקה</w:t>
      </w:r>
      <w:proofErr w:type="spellEnd"/>
      <w:r>
        <w:rPr>
          <w:rtl/>
        </w:rPr>
        <w:t xml:space="preserve">. אבל טענתו של הורוביץ שהיו ישיבות כמעט בכל בית כנסת נראית מוגזמת – אלא אם כן לא כלל בחשבונו רבים מן המניינים הקטנים שבין השמונים ושלושה שנמנו </w:t>
      </w:r>
      <w:proofErr w:type="spellStart"/>
      <w:r>
        <w:rPr>
          <w:rtl/>
        </w:rPr>
        <w:t>ב“מינסק</w:t>
      </w:r>
      <w:proofErr w:type="spellEnd"/>
      <w:r>
        <w:rPr>
          <w:rtl/>
        </w:rPr>
        <w:t xml:space="preserve"> עיר ואם”.</w:t>
      </w:r>
      <w:bookmarkStart w:id="789" w:name="_fnr491"/>
      <w:r>
        <w:rPr>
          <w:rStyle w:val="a5"/>
        </w:rPr>
        <w:footnoteReference w:id="491" w:customMarkFollows="0"/>
      </w:r>
      <w:bookmarkEnd w:id="789"/>
    </w:p>
    <w:p w14:paraId="33364735" w14:textId="77777777" w:rsidR="00AB3647" w:rsidRDefault="00000000" w:rsidP="007923E9">
      <w:pPr>
        <w:spacing w:after="100" w:line="276" w:lineRule="auto"/>
        <w:ind w:firstLine="340"/>
        <w:jc w:val="both"/>
      </w:pPr>
      <w:r>
        <w:rPr>
          <w:rtl/>
        </w:rPr>
        <w:t>מרא דאתרא</w:t>
      </w:r>
      <w:bookmarkStart w:id="790" w:name="_fnr492"/>
      <w:r>
        <w:rPr>
          <w:rStyle w:val="a5"/>
        </w:rPr>
        <w:footnoteReference w:id="492" w:customMarkFollows="0"/>
      </w:r>
      <w:bookmarkEnd w:id="790"/>
      <w:r>
        <w:rPr>
          <w:rtl/>
        </w:rPr>
        <w:t xml:space="preserve"> של מינסק, ר׳ לייזר </w:t>
      </w:r>
      <w:proofErr w:type="spellStart"/>
      <w:r>
        <w:rPr>
          <w:rtl/>
        </w:rPr>
        <w:t>רבינוביץ</w:t>
      </w:r>
      <w:proofErr w:type="spellEnd"/>
      <w:r>
        <w:rPr>
          <w:rtl/>
        </w:rPr>
        <w:t>, התפלל בבית הכנסת הראשי, ששלט על חצר בתי הכנסת. הבניין היה בן שלוש מאות שנה, וכינוהו “בית הכנסת הגדול”, “בית הכנסת של העיר”, או “בית הכנסת הקר” – מפני שלא היה בו תנור לחמם את חללו העצום.</w:t>
      </w:r>
      <w:bookmarkStart w:id="791" w:name="_fnr493"/>
      <w:r>
        <w:rPr>
          <w:rStyle w:val="a5"/>
        </w:rPr>
        <w:footnoteReference w:id="493" w:customMarkFollows="0"/>
      </w:r>
      <w:bookmarkEnd w:id="791"/>
      <w:r>
        <w:rPr>
          <w:rtl/>
        </w:rPr>
        <w:t xml:space="preserve"> כדי לקיים את חובתה ההלכתית של העיר שיהיה בה בית כנסת פעיל,</w:t>
      </w:r>
      <w:bookmarkStart w:id="792" w:name="_fnr494"/>
      <w:r>
        <w:rPr>
          <w:rStyle w:val="a5"/>
        </w:rPr>
        <w:footnoteReference w:id="494" w:customMarkFollows="0"/>
      </w:r>
      <w:bookmarkEnd w:id="792"/>
      <w:r>
        <w:rPr>
          <w:rtl/>
        </w:rPr>
        <w:t xml:space="preserve"> שילם הציבור למניין יהודים שיסבלו את קור החורף ויתפללו בבית הכנסת הגדול.</w:t>
      </w:r>
      <w:bookmarkStart w:id="793" w:name="_fnr495"/>
      <w:r>
        <w:rPr>
          <w:rStyle w:val="a5"/>
        </w:rPr>
        <w:footnoteReference w:id="495" w:customMarkFollows="0"/>
      </w:r>
      <w:bookmarkEnd w:id="793"/>
      <w:r>
        <w:rPr>
          <w:rtl/>
        </w:rPr>
        <w:t xml:space="preserve"> כדין, לא הייתה מזוזה על פתחיו.</w:t>
      </w:r>
      <w:bookmarkStart w:id="794" w:name="_fnr496"/>
      <w:r>
        <w:rPr>
          <w:rStyle w:val="a5"/>
        </w:rPr>
        <w:footnoteReference w:id="496" w:customMarkFollows="0"/>
      </w:r>
      <w:bookmarkEnd w:id="794"/>
      <w:r>
        <w:rPr>
          <w:rtl/>
        </w:rPr>
        <w:t xml:space="preserve"> בשנות </w:t>
      </w:r>
      <w:proofErr w:type="spellStart"/>
      <w:r>
        <w:rPr>
          <w:rtl/>
        </w:rPr>
        <w:t>הת״ר־צ</w:t>
      </w:r>
      <w:proofErr w:type="spellEnd"/>
      <w:r>
        <w:rPr>
          <w:rtl/>
        </w:rPr>
        <w:t xml:space="preserve">׳ הרס השלטון הקומוניסטי את כל </w:t>
      </w:r>
      <w:proofErr w:type="spellStart"/>
      <w:r>
        <w:rPr>
          <w:rtl/>
        </w:rPr>
        <w:t>השולהויף</w:t>
      </w:r>
      <w:proofErr w:type="spellEnd"/>
      <w:r>
        <w:rPr>
          <w:rtl/>
        </w:rPr>
        <w:t xml:space="preserve"> מלבד בית הכנסת הגדול, באמתלה של הרחבת רחובות העיר.</w:t>
      </w:r>
    </w:p>
    <w:p w14:paraId="4456829D" w14:textId="7777777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בדרך כלל שימש רב בית הכנסת שבו שכנה ישיבה גם ראש הישיבה של החבורה שלמדה בו. כמה ישיבות שכרו גם משגיח מיוחד, שישהה עם התלמידים כל היום. הקהילה דאגה בנדיבות לפרנסתם של בני התורה הצעירים: פתחה לפניהם את מטבחיה וחדרי האוכל שלה, וגם שילמה את משכורותיהם (הדלות) של מוריהם.</w:t>
      </w:r>
    </w:p>
    <w:p w14:paraId="45DD8A04" w14:textId="5D204E3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בזמן הזה פנו חלקים רבים מיהדות מינסק עורף לשמירת המצוות, והמירו את נאמנותם ליהדות בנאמנות לסוציאליזם או לציונות, ולכן הכביד הנטל הכספי עוד יותר על הנאמנים שנותרו. אבל מפני שרבים מעשירי מינסק נשארו מסורים לתורה</w:t>
      </w:r>
      <w:bookmarkStart w:id="795" w:name="b2_ref15"/>
      <w:bookmarkEnd w:id="795"/>
      <w:r>
        <w:rPr>
          <w:vertAlign w:val="superscript"/>
          <w:rtl/>
        </w:rPr>
        <w:fldChar w:fldCharType="begin" w:dirty="true"/>
      </w:r>
      <w:r>
        <w:rPr>
          <w:vertAlign w:val="superscript"/>
          <w:rtl/>
        </w:rPr>
        <w:instrText xml:space="preserve"> REF b2_note15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15</w:t>
      </w:r>
      <w:r>
        <w:rPr>
          <w:vertAlign w:val="superscript"/>
          <w:rtl/>
        </w:rPr>
        <w:fldChar w:fldCharType="end"/>
      </w:r>
      <w:r>
        <w:rPr>
          <w:rtl/>
        </w:rPr>
        <w:t xml:space="preserve"> ולערכיה, לא נפגע מעמדה של העיר כמרכז ללימוד תורה.</w:t>
      </w:r>
    </w:p>
    <w:bookmarkStart w:id="796" w:name="b2_note15"/>
    <w:p w14:paraId="5F049225" w14:textId="3B656FFE" w:rsidR="00AB3647" w:rsidRDefault="00000000" w:rsidP="007923E9">
      <w:pPr>
        <w:spacing w:before="120" w:after="100" w:line="276" w:lineRule="auto"/>
        <w:jc w:val="both"/>
      </w:pPr>
      <w:r>
        <w:fldChar w:fldCharType="begin" w:dirty="true"/>
      </w:r>
      <w:r>
        <w:instrText>HYPERLINK \l "b2_ref15"</w:instrText>
      </w:r>
      <w:r>
        <w:fldChar w:fldCharType="separate"/>
      </w:r>
      <w:r>
        <w:rPr>
          <w:b/>
          <w:bCs/>
          <w:rtl/>
        </w:rPr>
        <w:t>15</w:t>
      </w:r>
      <w:r>
        <w:rPr>
          <w:b/>
          <w:bCs/>
        </w:rPr>
        <w:fldChar w:fldCharType="end"/>
      </w:r>
      <w:bookmarkEnd w:id="796"/>
      <w:r>
        <w:rPr>
          <w:rtl/>
        </w:rPr>
        <w:t xml:space="preserve"> ראה </w:t>
      </w:r>
      <w:r>
        <w:rPr>
          <w:rtl/>
        </w:rPr>
        <w:fldChar w:fldCharType="begin" w:dirty="true"/>
      </w:r>
      <w:r>
        <w:rPr>
          <w:rtl/>
        </w:rPr>
        <w:instrText xml:space="preserve"> REF b2_excA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א</w:t>
      </w:r>
      <w:r>
        <w:rPr>
          <w:rtl/>
        </w:rPr>
        <w:fldChar w:fldCharType="end"/>
      </w:r>
      <w:r>
        <w:rPr>
          <w:rtl/>
        </w:rPr>
        <w:t>.</w:t>
      </w:r>
    </w:p>
    <w:p w14:paraId="4D677559" w14:textId="3D863F36"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lastRenderedPageBreak/>
        <w:t>ההערכה שרחשו בעלי הבתים הדתיים לתורה לא הצטמצמה לתמיכה בלימודה: תושבי מינסק היהודית עסקו בעצמם בלימוד תורה. מלבד האנשים הרבים שנשותיהם פרנסו אותם בשעה שלמדו בבית המדרש כל היום, היה מקובל בכל בלארוס שאנשי עסקים ובעלי מלאכה שומרי מצוות יקדישו שעות רבות ללימוד תורה בבית המדרש בתום יום העבודה</w:t>
      </w:r>
      <w:bookmarkStart w:id="797" w:name="b2_ref16"/>
      <w:bookmarkEnd w:id="797"/>
      <w:r>
        <w:rPr>
          <w:vertAlign w:val="superscript"/>
          <w:rtl/>
        </w:rPr>
        <w:fldChar w:fldCharType="begin" w:dirty="true"/>
      </w:r>
      <w:r>
        <w:rPr>
          <w:vertAlign w:val="superscript"/>
          <w:rtl/>
        </w:rPr>
        <w:instrText xml:space="preserve"> REF b2_note16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16</w:t>
      </w:r>
      <w:r>
        <w:rPr>
          <w:vertAlign w:val="superscript"/>
          <w:rtl/>
        </w:rPr>
        <w:fldChar w:fldCharType="end"/>
      </w:r>
      <w:r>
        <w:rPr>
          <w:rtl/>
        </w:rPr>
        <w:t>.</w:t>
      </w:r>
    </w:p>
    <w:bookmarkStart w:id="798" w:name="b2_note16"/>
    <w:p w14:paraId="150DC45B" w14:textId="77777777" w:rsidR="00AB3647" w:rsidRDefault="00000000" w:rsidP="007923E9">
      <w:pPr>
        <w:spacing w:before="120" w:after="100" w:line="276" w:lineRule="auto"/>
        <w:jc w:val="both"/>
      </w:pPr>
      <w:r>
        <w:fldChar w:fldCharType="begin" w:dirty="true"/>
      </w:r>
      <w:r>
        <w:instrText>HYPERLINK \l "b2_ref16"</w:instrText>
      </w:r>
      <w:r>
        <w:fldChar w:fldCharType="separate"/>
      </w:r>
      <w:r>
        <w:rPr>
          <w:b/>
          <w:bCs/>
          <w:rtl/>
        </w:rPr>
        <w:t>16</w:t>
      </w:r>
      <w:r>
        <w:rPr>
          <w:b/>
          <w:bCs/>
        </w:rPr>
        <w:fldChar w:fldCharType="end"/>
      </w:r>
      <w:bookmarkEnd w:id="798"/>
      <w:r>
        <w:rPr>
          <w:rtl/>
        </w:rPr>
        <w:t xml:space="preserve"> מעניין התיאור הבא, מפי </w:t>
      </w:r>
      <w:r>
        <w:rPr>
          <w:b/>
          <w:bCs/>
          <w:rtl/>
        </w:rPr>
        <w:t>אדם מן החוץ</w:t>
      </w:r>
      <w:r>
        <w:rPr>
          <w:rtl/>
        </w:rPr>
        <w:t>: ד״ר אלכסנדר גולדשטיין היה פובליציסט בכמה לשונות, ולפי עדותו מעולם לא למד בחדר ולא נכנס לישיבה. הוא היה בוגר הפקולטה למשפטים באוניברסיטת פטרבורג</w:t>
      </w:r>
      <w:bookmarkStart w:id="799" w:name="_fnr497"/>
      <w:r>
        <w:rPr>
          <w:rStyle w:val="a5"/>
        </w:rPr>
        <w:footnoteReference w:id="497" w:customMarkFollows="0"/>
      </w:r>
      <w:bookmarkEnd w:id="799"/>
      <w:r>
        <w:rPr>
          <w:rtl/>
        </w:rPr>
        <w:t>.</w:t>
      </w:r>
    </w:p>
    <w:p w14:paraId="4C32958C" w14:textId="77777777" w:rsidR="00AB3647" w:rsidRDefault="00000000" w:rsidP="007923E9">
      <w:pPr>
        <w:spacing w:before="120" w:after="100" w:line="276" w:lineRule="auto"/>
        <w:jc w:val="both"/>
      </w:pPr>
      <w:r>
        <w:rPr>
          <w:rtl/>
        </w:rPr>
        <w:t>בזיכרונותיו</w:t>
      </w:r>
      <w:bookmarkStart w:id="800" w:name="_fnr498"/>
      <w:r>
        <w:rPr>
          <w:rStyle w:val="a5"/>
        </w:rPr>
        <w:footnoteReference w:id="498" w:customMarkFollows="0"/>
      </w:r>
      <w:bookmarkEnd w:id="800"/>
      <w:r>
        <w:rPr>
          <w:rtl/>
        </w:rPr>
        <w:t xml:space="preserve"> הוא כותב: “כמעט בכל רחוב היה בית כנסת, אבל בתי הכנסת העיקריים היו מרוכזים </w:t>
      </w:r>
      <w:proofErr w:type="spellStart"/>
      <w:r>
        <w:rPr>
          <w:rtl/>
        </w:rPr>
        <w:t>בשולהויף</w:t>
      </w:r>
      <w:proofErr w:type="spellEnd"/>
      <w:r>
        <w:rPr>
          <w:rtl/>
        </w:rPr>
        <w:t xml:space="preserve">. רובם היו לא רק בתי תפילה אלא גם בתי מדרש. יומם ולילה ישבו צעירים וזקנים ליד כרכים עבים וכבדים, שקועים בלימוד הגמרא. בכל פעם שיכולתי, השתדלתי לעבור דרך </w:t>
      </w:r>
      <w:proofErr w:type="spellStart"/>
      <w:r>
        <w:rPr>
          <w:rtl/>
        </w:rPr>
        <w:t>השולהויף</w:t>
      </w:r>
      <w:proofErr w:type="spellEnd"/>
      <w:r>
        <w:rPr>
          <w:rtl/>
        </w:rPr>
        <w:t xml:space="preserve">. ביום לא היה </w:t>
      </w:r>
      <w:proofErr w:type="spellStart"/>
      <w:r>
        <w:rPr>
          <w:rtl/>
        </w:rPr>
        <w:t>השולהויף</w:t>
      </w:r>
      <w:proofErr w:type="spellEnd"/>
      <w:r>
        <w:rPr>
          <w:rtl/>
        </w:rPr>
        <w:t xml:space="preserve"> ריק לעולם; לפני התפילה ואחריה שימש כמין מועדון – תמיד עמדו שם חבורות של יהודים ושוחחו על פוליטיקה או על הצרות שלא פסקו. אבל בערב אחרי ערבית, אחרי שהלכו לבתיהם אחרוני ‘חברי המועדון’, נעשתה החצר שקטה וריקה, ורק מתוך האפלולית של בתי הכנסת המוארים בנרות בקעו קולות דמויי שיר מלאי התלהבות ללימוד הגמרא. בעומק לבי השתוקקתי להשתתף בהתלהבותם, להכיר את עולמם המוזר שאשו משכה אותי אל קדושתו ואל מסתוריו – אבל מעולם לא מצאתי עוז להיכנס.”</w:t>
      </w:r>
    </w:p>
    <w:p w14:paraId="4BA0086E" w14:textId="6233CF96"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מוסד לימודי אחד, הידוע בשם “החדר של ר׳ איסר”, היה מיוחד למינסק. ר׳ יהושע </w:t>
      </w:r>
      <w:proofErr w:type="spellStart"/>
      <w:r>
        <w:rPr>
          <w:rtl/>
        </w:rPr>
        <w:t xml:space="preserve">הלר</w:t>
      </w:r>
      <w:proofErr w:type="spellEnd"/>
      <w:r>
        <w:rPr>
          <w:rtl/>
        </w:rPr>
        <w:t xml:space="preserve"> ייסד אותו בשנת תרי״ח</w:t>
      </w:r>
      <w:bookmarkStart w:id="801" w:name="b2_ref17"/>
      <w:bookmarkEnd w:id="801"/>
      <w:r>
        <w:rPr>
          <w:vertAlign w:val="superscript"/>
          <w:rtl/>
        </w:rPr>
        <w:fldChar w:fldCharType="begin" w:dirty="true"/>
      </w:r>
      <w:r>
        <w:rPr>
          <w:vertAlign w:val="superscript"/>
          <w:rtl/>
        </w:rPr>
        <w:instrText xml:space="preserve"> REF b2_note17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17</w:t>
      </w:r>
      <w:r>
        <w:rPr>
          <w:vertAlign w:val="superscript"/>
          <w:rtl/>
        </w:rPr>
        <w:fldChar w:fldCharType="end"/>
      </w:r>
      <w:r>
        <w:rPr>
          <w:rtl/>
        </w:rPr>
        <w:t xml:space="preserve"> כדי להרבות ידיעת תורה בקרב פועלים חסרי השכלה תורנית. הוא נוסד </w:t>
      </w:r>
      <w:proofErr w:type="spellStart"/>
      <w:r>
        <w:rPr>
          <w:rtl/>
        </w:rPr>
        <w:t>ב“שול</w:t>
      </w:r>
      <w:proofErr w:type="spellEnd"/>
      <w:r>
        <w:rPr>
          <w:rtl/>
        </w:rPr>
        <w:t xml:space="preserve"> הבוץ”, בשכונה הענייה ביותר בעיר. השול עמד בחלק נמוך וביצתי של העיר, שרחובותיו היו שקועים בבוץ וכמעט בלתי עבירים בימי הגשמים – ומכאן שמו. שם מסר הרב, ר׳ איסר </w:t>
      </w:r>
      <w:proofErr w:type="spellStart"/>
      <w:r>
        <w:rPr>
          <w:rtl/>
        </w:rPr>
        <w:t>חכלוביץ</w:t>
      </w:r>
      <w:proofErr w:type="spellEnd"/>
      <w:r>
        <w:rPr>
          <w:rtl/>
        </w:rPr>
        <w:t>, שיעורים למאות פועלים, עד חצות הלילה בקיץ ולפני עלות השחר בחורף. בניגוד למשתתפים בחבורות הלימוד הרגילות של בעלי הבתים, נדרשו תלמידיו של ר׳ איסר להכין את חומר השיעור ולהיבחן עליו אחר כך.</w:t>
      </w:r>
    </w:p>
    <w:bookmarkStart w:id="802" w:name="b2_note17"/>
    <w:p w14:paraId="5570455E" w14:textId="77777777" w:rsidR="00AB3647" w:rsidRDefault="00000000" w:rsidP="007923E9">
      <w:pPr>
        <w:spacing w:before="120" w:after="100" w:line="276" w:lineRule="auto"/>
        <w:jc w:val="both"/>
      </w:pPr>
      <w:r>
        <w:fldChar w:fldCharType="begin" w:dirty="true"/>
      </w:r>
      <w:r>
        <w:instrText>HYPERLINK \l "b2_ref17"</w:instrText>
      </w:r>
      <w:r>
        <w:fldChar w:fldCharType="separate"/>
      </w:r>
      <w:r>
        <w:rPr>
          <w:b/>
          <w:bCs/>
          <w:rtl/>
        </w:rPr>
        <w:t>17</w:t>
      </w:r>
      <w:r>
        <w:rPr>
          <w:b/>
          <w:bCs/>
        </w:rPr>
        <w:fldChar w:fldCharType="end"/>
      </w:r>
      <w:bookmarkEnd w:id="802"/>
      <w:r>
        <w:rPr>
          <w:rtl/>
        </w:rPr>
        <w:t xml:space="preserve"> נולד בשנת תקע״ד, והיה אחד מארבעה אחים שהיו גדולי תורה</w:t>
      </w:r>
      <w:bookmarkStart w:id="803" w:name="_fnr499"/>
      <w:r>
        <w:rPr>
          <w:rStyle w:val="a5"/>
        </w:rPr>
        <w:footnoteReference w:id="499" w:customMarkFollows="0"/>
      </w:r>
      <w:bookmarkEnd w:id="803"/>
      <w:r>
        <w:rPr>
          <w:rtl/>
        </w:rPr>
        <w:t xml:space="preserve">. הוא בא למינסק </w:t>
      </w:r>
      <w:proofErr w:type="spellStart"/>
      <w:r>
        <w:rPr>
          <w:rtl/>
        </w:rPr>
        <w:t>מגרודנא</w:t>
      </w:r>
      <w:proofErr w:type="spellEnd"/>
      <w:r>
        <w:rPr>
          <w:rtl/>
        </w:rPr>
        <w:t xml:space="preserve"> כדי לקבל מכתב המלצה מרבו, ר׳ </w:t>
      </w:r>
      <w:proofErr w:type="spellStart"/>
      <w:r>
        <w:rPr>
          <w:rtl/>
        </w:rPr>
        <w:t>דוד־טעביל</w:t>
      </w:r>
      <w:bookmarkStart w:id="804" w:name="_fnr500"/>
      <w:proofErr w:type="spellEnd"/>
      <w:r>
        <w:rPr>
          <w:rStyle w:val="a5"/>
        </w:rPr>
        <w:footnoteReference w:id="500" w:customMarkFollows="0"/>
      </w:r>
      <w:bookmarkEnd w:id="804"/>
      <w:r>
        <w:rPr>
          <w:rtl/>
        </w:rPr>
        <w:t>, על אחד מספרי המוסר שחיבר</w:t>
      </w:r>
      <w:bookmarkStart w:id="805" w:name="_fnr501"/>
      <w:r>
        <w:rPr>
          <w:rStyle w:val="a5"/>
        </w:rPr>
        <w:footnoteReference w:id="501" w:customMarkFollows="0"/>
      </w:r>
      <w:bookmarkEnd w:id="805"/>
      <w:r>
        <w:rPr>
          <w:rtl/>
        </w:rPr>
        <w:t>.</w:t>
      </w:r>
    </w:p>
    <w:p w14:paraId="4F220615" w14:textId="77777777" w:rsidR="00AB3647" w:rsidRDefault="00000000" w:rsidP="007923E9">
      <w:pPr>
        <w:spacing w:before="120" w:after="100" w:line="276" w:lineRule="auto"/>
        <w:jc w:val="both"/>
      </w:pPr>
      <w:r>
        <w:rPr>
          <w:rtl/>
        </w:rPr>
        <w:lastRenderedPageBreak/>
        <w:t xml:space="preserve">לרב </w:t>
      </w:r>
      <w:proofErr w:type="spellStart"/>
      <w:r>
        <w:rPr>
          <w:rtl/>
        </w:rPr>
        <w:t xml:space="preserve">הלר</w:t>
      </w:r>
      <w:proofErr w:type="spellEnd"/>
      <w:r>
        <w:rPr>
          <w:rtl/>
        </w:rPr>
        <w:t xml:space="preserve"> מוקדש הפרק השלושים של “תנועת המוסר”, </w:t>
      </w:r>
      <w:proofErr w:type="spellStart"/>
      <w:r>
        <w:rPr>
          <w:rtl/>
        </w:rPr>
        <w:t>ח״ב</w:t>
      </w:r>
      <w:proofErr w:type="spellEnd"/>
      <w:r>
        <w:rPr>
          <w:rtl/>
        </w:rPr>
        <w:t>, מאת הרב דב כץ</w:t>
      </w:r>
      <w:bookmarkStart w:id="806" w:name="_fnr502"/>
      <w:r>
        <w:rPr>
          <w:rStyle w:val="a5"/>
        </w:rPr>
        <w:footnoteReference w:id="502" w:customMarkFollows="0"/>
      </w:r>
      <w:bookmarkEnd w:id="806"/>
      <w:r>
        <w:rPr>
          <w:rtl/>
        </w:rPr>
        <w:t xml:space="preserve">. בעיירה הליטאית </w:t>
      </w:r>
      <w:proofErr w:type="spellStart"/>
      <w:r>
        <w:rPr>
          <w:rtl/>
        </w:rPr>
        <w:t>פאלאנגן</w:t>
      </w:r>
      <w:proofErr w:type="spellEnd"/>
      <w:r>
        <w:rPr>
          <w:rtl/>
        </w:rPr>
        <w:t xml:space="preserve"> שעל חוף הים הבלטי, שבה כיהן כרב משנת תרכ״ד עד תרל״ד</w:t>
      </w:r>
      <w:bookmarkStart w:id="807" w:name="_fnr503"/>
      <w:r>
        <w:rPr>
          <w:rStyle w:val="a5"/>
        </w:rPr>
        <w:footnoteReference w:id="503" w:customMarkFollows="0"/>
      </w:r>
      <w:bookmarkEnd w:id="807"/>
      <w:r>
        <w:rPr>
          <w:rtl/>
        </w:rPr>
        <w:t xml:space="preserve">, ארגן הרב </w:t>
      </w:r>
      <w:proofErr w:type="spellStart"/>
      <w:r>
        <w:rPr>
          <w:rtl/>
        </w:rPr>
        <w:t xml:space="preserve">הלר</w:t>
      </w:r>
      <w:proofErr w:type="spellEnd"/>
      <w:r>
        <w:rPr>
          <w:rtl/>
        </w:rPr>
        <w:t xml:space="preserve">, מתוך דאגתו לחינוך העובדים, שיעורים לפועלים, וציווה על בעלי בתי החרושת היהודים לשחרר את עובדיהם לשעה ביום לשיעורי תורה. בשנת תרל״ד נעשה רב </w:t>
      </w:r>
      <w:proofErr w:type="spellStart"/>
      <w:r>
        <w:rPr>
          <w:rtl/>
        </w:rPr>
        <w:t>טלז</w:t>
      </w:r>
      <w:proofErr w:type="spellEnd"/>
      <w:r>
        <w:rPr>
          <w:rtl/>
        </w:rPr>
        <w:t xml:space="preserve">, ובשנת </w:t>
      </w:r>
      <w:proofErr w:type="spellStart"/>
      <w:r>
        <w:rPr>
          <w:rtl/>
        </w:rPr>
        <w:t>תר״ם</w:t>
      </w:r>
      <w:proofErr w:type="spellEnd"/>
      <w:r>
        <w:rPr>
          <w:rtl/>
        </w:rPr>
        <w:t xml:space="preserve"> קיבל לבסוף את משרת המגיד העירוני בווילנה. אבל מעולם לא כיהן במשרה זו, שכן כשבא </w:t>
      </w:r>
      <w:proofErr w:type="spellStart"/>
      <w:r>
        <w:rPr>
          <w:rtl/>
        </w:rPr>
        <w:t>לטלז</w:t>
      </w:r>
      <w:proofErr w:type="spellEnd"/>
      <w:r>
        <w:rPr>
          <w:rtl/>
        </w:rPr>
        <w:t xml:space="preserve"> לקחת עמו את אשתו לווילנה, נפטר.</w:t>
      </w:r>
    </w:p>
    <w:p w14:paraId="675032C9" w14:textId="013A6CB6"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ר׳ איסר ישב על כיסא גבוה על הבימה שבאמצע בית הכנסת, ואנשים מכל הגילים ישבו צפופים סביב סביב, ספרים בידיהם. שקט מוחלט שרר כשר׳ איסר קרא בקול רם וברור את הקטע שלימד. הוא היכה בידו על הסטנדר לאות לקהל לחזור במקהלה על המשנה, הגמרא או הסעיף בשולחן ערוך, ורק אז המשיך לקטע הבא</w:t>
      </w:r>
      <w:bookmarkStart w:id="808" w:name="b2_ref18"/>
      <w:bookmarkEnd w:id="808"/>
      <w:r>
        <w:rPr>
          <w:vertAlign w:val="superscript"/>
          <w:rtl/>
        </w:rPr>
        <w:fldChar w:fldCharType="begin" w:dirty="true"/>
      </w:r>
      <w:r>
        <w:rPr>
          <w:vertAlign w:val="superscript"/>
          <w:rtl/>
        </w:rPr>
        <w:instrText xml:space="preserve"> REF b2_note18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18</w:t>
      </w:r>
      <w:r>
        <w:rPr>
          <w:vertAlign w:val="superscript"/>
          <w:rtl/>
        </w:rPr>
        <w:fldChar w:fldCharType="end"/>
      </w:r>
      <w:r>
        <w:rPr>
          <w:rtl/>
        </w:rPr>
        <w:t>. סיום נערך שנה אחר שנה, ורבים מתלמידי “החדר” נעשו לימים תלמידי חכמים מופלגים</w:t>
      </w:r>
      <w:bookmarkStart w:id="809" w:name="b2_ref19"/>
      <w:bookmarkEnd w:id="809"/>
      <w:r>
        <w:rPr>
          <w:vertAlign w:val="superscript"/>
          <w:rtl/>
        </w:rPr>
        <w:fldChar w:fldCharType="begin" w:dirty="true"/>
      </w:r>
      <w:r>
        <w:rPr>
          <w:vertAlign w:val="superscript"/>
          <w:rtl/>
        </w:rPr>
        <w:instrText xml:space="preserve"> REF b2_note19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19</w:t>
      </w:r>
      <w:r>
        <w:rPr>
          <w:vertAlign w:val="superscript"/>
          <w:rtl/>
        </w:rPr>
        <w:fldChar w:fldCharType="end"/>
      </w:r>
      <w:r>
        <w:rPr>
          <w:rtl/>
        </w:rPr>
        <w:t>. נוכחותם של המוני בחורי הישיבות במינסק היא שהפכה את העיר כולה למרכז תורה תוסס</w:t>
      </w:r>
      <w:bookmarkStart w:id="810" w:name="b2_ref20"/>
      <w:bookmarkEnd w:id="810"/>
      <w:r>
        <w:rPr>
          <w:vertAlign w:val="superscript"/>
          <w:rtl/>
        </w:rPr>
        <w:fldChar w:fldCharType="begin" w:dirty="true"/>
      </w:r>
      <w:r>
        <w:rPr>
          <w:vertAlign w:val="superscript"/>
          <w:rtl/>
        </w:rPr>
        <w:instrText xml:space="preserve"> REF b2_note20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20</w:t>
      </w:r>
      <w:r>
        <w:rPr>
          <w:vertAlign w:val="superscript"/>
          <w:rtl/>
        </w:rPr>
        <w:fldChar w:fldCharType="end"/>
      </w:r>
      <w:r>
        <w:rPr>
          <w:rtl/>
        </w:rPr>
        <w:t>.</w:t>
      </w:r>
    </w:p>
    <w:bookmarkStart w:id="811" w:name="b2_note18"/>
    <w:p w14:paraId="0AB93D16" w14:textId="77777777" w:rsidR="00AB3647" w:rsidRDefault="00000000" w:rsidP="007923E9">
      <w:pPr>
        <w:spacing w:before="120" w:after="100" w:line="276" w:lineRule="auto"/>
        <w:jc w:val="both"/>
      </w:pPr>
      <w:r>
        <w:fldChar w:fldCharType="begin" w:dirty="true"/>
      </w:r>
      <w:r>
        <w:instrText>HYPERLINK \l "b2_ref18"</w:instrText>
      </w:r>
      <w:r>
        <w:fldChar w:fldCharType="separate"/>
      </w:r>
      <w:r>
        <w:rPr>
          <w:b/>
          <w:bCs/>
          <w:rtl/>
        </w:rPr>
        <w:t>18</w:t>
      </w:r>
      <w:r>
        <w:rPr>
          <w:b/>
          <w:bCs/>
        </w:rPr>
        <w:fldChar w:fldCharType="end"/>
      </w:r>
      <w:bookmarkEnd w:id="811"/>
      <w:r>
        <w:rPr>
          <w:rtl/>
        </w:rPr>
        <w:t xml:space="preserve"> את שיטת הלימוד המיוחדת </w:t>
      </w:r>
      <w:proofErr w:type="spellStart"/>
      <w:r>
        <w:rPr>
          <w:rtl/>
        </w:rPr>
        <w:t>ב“חדר</w:t>
      </w:r>
      <w:proofErr w:type="spellEnd"/>
      <w:r>
        <w:rPr>
          <w:rtl/>
        </w:rPr>
        <w:t xml:space="preserve">” הנהיג המלמד הרב </w:t>
      </w:r>
      <w:proofErr w:type="spellStart"/>
      <w:r>
        <w:rPr>
          <w:rtl/>
        </w:rPr>
        <w:t>חכלוביץ</w:t>
      </w:r>
      <w:proofErr w:type="spellEnd"/>
      <w:r>
        <w:rPr>
          <w:rtl/>
        </w:rPr>
        <w:t xml:space="preserve"> ממינסק, ולא הרב </w:t>
      </w:r>
      <w:proofErr w:type="spellStart"/>
      <w:r>
        <w:rPr>
          <w:rtl/>
        </w:rPr>
        <w:t xml:space="preserve">הלר</w:t>
      </w:r>
      <w:proofErr w:type="spellEnd"/>
      <w:r>
        <w:rPr>
          <w:rtl/>
        </w:rPr>
        <w:t xml:space="preserve">, המייסד, שבא לביקור </w:t>
      </w:r>
      <w:proofErr w:type="spellStart"/>
      <w:r>
        <w:rPr>
          <w:rtl/>
        </w:rPr>
        <w:t>מגרודנא</w:t>
      </w:r>
      <w:proofErr w:type="spellEnd"/>
      <w:r>
        <w:rPr>
          <w:rtl/>
        </w:rPr>
        <w:t>. הקהל קרא לשול הבוץ “החדר של ר׳ איסר”, מפני שתפקד כבית ספר שאחרי שעות העבודה ולא כבית מדרש פשוט; ויש שקראו לו “שול החדר”.</w:t>
      </w:r>
    </w:p>
    <w:p w14:paraId="7F693653" w14:textId="77777777" w:rsidR="00AB3647" w:rsidRDefault="00000000" w:rsidP="007923E9">
      <w:pPr>
        <w:spacing w:after="100" w:line="276" w:lineRule="auto"/>
        <w:ind w:firstLine="340"/>
        <w:jc w:val="both"/>
      </w:pPr>
      <w:r>
        <w:rPr>
          <w:rtl/>
        </w:rPr>
        <w:t xml:space="preserve">סביר שאבי ראה את שיטת ההוראה של הרב </w:t>
      </w:r>
      <w:proofErr w:type="spellStart"/>
      <w:r>
        <w:rPr>
          <w:rtl/>
        </w:rPr>
        <w:t>חכלוביץ</w:t>
      </w:r>
      <w:proofErr w:type="spellEnd"/>
      <w:r>
        <w:rPr>
          <w:rtl/>
        </w:rPr>
        <w:t xml:space="preserve"> בזמן שהותו במינסק, שהרי השתמש באותן שיטות עצמן כשלימד בטורונטו בשנות מלחמת העולם השנייה, בישיבה שעמד בראשה – ישיבת </w:t>
      </w:r>
      <w:proofErr w:type="spellStart"/>
      <w:r>
        <w:rPr>
          <w:rtl/>
        </w:rPr>
        <w:t>מהרי״ל</w:t>
      </w:r>
      <w:proofErr w:type="spellEnd"/>
      <w:r>
        <w:rPr>
          <w:rtl/>
        </w:rPr>
        <w:t xml:space="preserve"> </w:t>
      </w:r>
      <w:proofErr w:type="spellStart"/>
      <w:r>
        <w:rPr>
          <w:rtl/>
        </w:rPr>
        <w:t>גראובארט</w:t>
      </w:r>
      <w:bookmarkStart w:id="812" w:name="_fnr504"/>
      <w:proofErr w:type="spellEnd"/>
      <w:r>
        <w:rPr>
          <w:rStyle w:val="a5"/>
        </w:rPr>
        <w:footnoteReference w:id="504" w:customMarkFollows="0"/>
      </w:r>
      <w:bookmarkEnd w:id="812"/>
      <w:r>
        <w:rPr>
          <w:rtl/>
        </w:rPr>
        <w:t xml:space="preserve">. ציבור תלמידיה היה מקביל לזה של “החדר של ר׳ איסר” בחלוקת זמן הלימוד היומי, אם כי לא בגיל, שכן התלמידים באו ללמוד בישיבה אחרי יום שלם בבתי הספר התיכוניים הציבוריים של טורונטו. בשני המקומות, בישיבת </w:t>
      </w:r>
      <w:proofErr w:type="spellStart"/>
      <w:r>
        <w:rPr>
          <w:rtl/>
        </w:rPr>
        <w:t>מהרי״ל</w:t>
      </w:r>
      <w:proofErr w:type="spellEnd"/>
      <w:r>
        <w:rPr>
          <w:rtl/>
        </w:rPr>
        <w:t xml:space="preserve"> </w:t>
      </w:r>
      <w:proofErr w:type="spellStart"/>
      <w:r>
        <w:rPr>
          <w:rtl/>
        </w:rPr>
        <w:t>גראובארט</w:t>
      </w:r>
      <w:proofErr w:type="spellEnd"/>
      <w:r>
        <w:rPr>
          <w:rtl/>
        </w:rPr>
        <w:t xml:space="preserve"> </w:t>
      </w:r>
      <w:proofErr w:type="spellStart"/>
      <w:r>
        <w:rPr>
          <w:rtl/>
        </w:rPr>
        <w:t>וב“חדר</w:t>
      </w:r>
      <w:proofErr w:type="spellEnd"/>
      <w:r>
        <w:rPr>
          <w:rtl/>
        </w:rPr>
        <w:t xml:space="preserve"> של ר׳ איסר”, למדו שלוש שעות ביום.</w:t>
      </w:r>
    </w:p>
    <w:p w14:paraId="02561D58" w14:textId="77777777" w:rsidR="00AB3647" w:rsidRDefault="00000000" w:rsidP="007923E9">
      <w:pPr>
        <w:spacing w:after="100" w:line="276" w:lineRule="auto"/>
        <w:ind w:firstLine="340"/>
        <w:jc w:val="both"/>
      </w:pPr>
      <w:r>
        <w:rPr>
          <w:rtl/>
        </w:rPr>
        <w:t xml:space="preserve">ר׳ איסר נפטר בשנת תרע״ב, אבל חתנו, ר׳ </w:t>
      </w:r>
      <w:proofErr w:type="spellStart"/>
      <w:r>
        <w:rPr>
          <w:rtl/>
        </w:rPr>
        <w:t>אריה־לייב</w:t>
      </w:r>
      <w:proofErr w:type="spellEnd"/>
      <w:r>
        <w:rPr>
          <w:rtl/>
        </w:rPr>
        <w:t xml:space="preserve"> דרדק, המשיך את מפעלו ואת דרכו החינוכית. “החדר של ר׳ איסר” פעל עד שנת תרפ״ח, עשור לאחר תחילת התקופה הבולשביקית.</w:t>
      </w:r>
    </w:p>
    <w:bookmarkStart w:id="813" w:name="b2_note19"/>
    <w:p w14:paraId="3CB070F1" w14:textId="77777777" w:rsidR="00AB3647" w:rsidRDefault="00000000" w:rsidP="007923E9">
      <w:pPr>
        <w:spacing w:before="120" w:after="100" w:line="276" w:lineRule="auto"/>
        <w:jc w:val="both"/>
      </w:pPr>
      <w:r>
        <w:fldChar w:fldCharType="begin" w:dirty="true"/>
      </w:r>
      <w:r>
        <w:instrText>HYPERLINK \l "b2_ref19"</w:instrText>
      </w:r>
      <w:r>
        <w:fldChar w:fldCharType="separate"/>
      </w:r>
      <w:r>
        <w:rPr>
          <w:b/>
          <w:bCs/>
          <w:rtl/>
        </w:rPr>
        <w:t>19</w:t>
      </w:r>
      <w:r>
        <w:rPr>
          <w:b/>
          <w:bCs/>
        </w:rPr>
        <w:fldChar w:fldCharType="end"/>
      </w:r>
      <w:bookmarkEnd w:id="813"/>
      <w:r>
        <w:rPr>
          <w:rtl/>
        </w:rPr>
        <w:t xml:space="preserve"> “מינסק עיר ואם א”</w:t>
      </w:r>
      <w:bookmarkStart w:id="814" w:name="_fnr505"/>
      <w:r>
        <w:rPr>
          <w:rStyle w:val="a5"/>
        </w:rPr>
        <w:footnoteReference w:id="505" w:customMarkFollows="0"/>
      </w:r>
      <w:bookmarkEnd w:id="814"/>
      <w:r>
        <w:rPr>
          <w:rtl/>
        </w:rPr>
        <w:t xml:space="preserve"> </w:t>
      </w:r>
      <w:proofErr w:type="spellStart"/>
      <w:r>
        <w:rPr>
          <w:rtl/>
        </w:rPr>
        <w:t>ו“מינסק</w:t>
      </w:r>
      <w:proofErr w:type="spellEnd"/>
      <w:r>
        <w:rPr>
          <w:rtl/>
        </w:rPr>
        <w:t xml:space="preserve"> עיר ואם ב”</w:t>
      </w:r>
      <w:bookmarkStart w:id="815" w:name="_fnr506"/>
      <w:r>
        <w:rPr>
          <w:rStyle w:val="a5"/>
        </w:rPr>
        <w:footnoteReference w:id="506" w:customMarkFollows="0"/>
      </w:r>
      <w:bookmarkEnd w:id="815"/>
      <w:r>
        <w:rPr>
          <w:rtl/>
        </w:rPr>
        <w:t>.</w:t>
      </w:r>
    </w:p>
    <w:bookmarkStart w:id="816" w:name="b2_note20"/>
    <w:p w14:paraId="57E99B54" w14:textId="77777777" w:rsidR="00AB3647" w:rsidRDefault="00000000" w:rsidP="007923E9">
      <w:pPr>
        <w:spacing w:before="120" w:after="100" w:line="276" w:lineRule="auto"/>
        <w:jc w:val="both"/>
      </w:pPr>
      <w:r>
        <w:fldChar w:fldCharType="begin" w:dirty="true"/>
      </w:r>
      <w:r>
        <w:instrText>HYPERLINK \l "b2_ref20"</w:instrText>
      </w:r>
      <w:r>
        <w:fldChar w:fldCharType="separate"/>
      </w:r>
      <w:r>
        <w:rPr>
          <w:b/>
          <w:bCs/>
          <w:rtl/>
        </w:rPr>
        <w:t>20</w:t>
      </w:r>
      <w:r>
        <w:rPr>
          <w:b/>
          <w:bCs/>
        </w:rPr>
        <w:fldChar w:fldCharType="end"/>
      </w:r>
      <w:bookmarkEnd w:id="816"/>
      <w:r>
        <w:rPr>
          <w:rtl/>
        </w:rPr>
        <w:t xml:space="preserve"> מופלא הדבר שמינסק נשארה מרכז תורה מחתרתי בעשור וחצי הראשונים של המשטר הקומוניסטי. השווה סעיף ח במאמרו של הרב משה </w:t>
      </w:r>
      <w:proofErr w:type="spellStart"/>
      <w:r>
        <w:rPr>
          <w:rtl/>
        </w:rPr>
        <w:t>גורדין</w:t>
      </w:r>
      <w:proofErr w:type="spellEnd"/>
      <w:r>
        <w:rPr>
          <w:rtl/>
        </w:rPr>
        <w:t xml:space="preserve"> בכתב העת “תבונה”</w:t>
      </w:r>
      <w:bookmarkStart w:id="817" w:name="_fnr507"/>
      <w:r>
        <w:rPr>
          <w:rStyle w:val="a5"/>
        </w:rPr>
        <w:footnoteReference w:id="507" w:customMarkFollows="0"/>
      </w:r>
      <w:bookmarkEnd w:id="817"/>
      <w:r>
        <w:rPr>
          <w:rtl/>
        </w:rPr>
        <w:t xml:space="preserve">. הוא מגלה </w:t>
      </w:r>
      <w:r>
        <w:rPr>
          <w:rtl/>
        </w:rPr>
        <w:lastRenderedPageBreak/>
        <w:t>שעל אף רדיפת ההורים ששלחו את ילדיהם ללמוד תורה (והשכר שניתן למלשינים עליהם), נרשמו בסתר לשיעורים בבתי כנסת יותר מ־400 ילדים “ועוד בחורי ישיבה רבים”.</w:t>
      </w:r>
    </w:p>
    <w:p w14:paraId="37F8C4D3" w14:textId="3969263C" w:rsidR="00AB3647" w:rsidRDefault="00000000" w:rsidP="007923E9">
      <w:pPr>
        <w:spacing w:before="120" w:after="100" w:line="276" w:lineRule="auto"/>
        <w:jc w:val="both"/>
      </w:pPr>
      <w:r>
        <w:rPr>
          <w:rtl/>
        </w:rPr>
        <w:t xml:space="preserve">הרב </w:t>
      </w:r>
      <w:proofErr w:type="spellStart"/>
      <w:r>
        <w:rPr>
          <w:rtl/>
        </w:rPr>
        <w:t>גורדין</w:t>
      </w:r>
      <w:proofErr w:type="spellEnd"/>
      <w:r>
        <w:rPr>
          <w:rtl/>
        </w:rPr>
        <w:t xml:space="preserve"> מציין </w:t>
      </w:r>
      <w:proofErr w:type="spellStart"/>
      <w:r>
        <w:rPr>
          <w:rtl/>
        </w:rPr>
        <w:t>ש“מלבד</w:t>
      </w:r>
      <w:proofErr w:type="spellEnd"/>
      <w:r>
        <w:rPr>
          <w:rtl/>
        </w:rPr>
        <w:t xml:space="preserve"> הנס הגדול שבניהול הלימודים – כיצד אפשר ללמד ילדים בסתר בלי שהילדים עצמם יגלו את הסוד? – היה כרוך בדבר נס נוסף. תושבי העיר לא יכלו לשלם למלמדים ולראשי הישיבות די מחייתם באופן קבוע, והיה צורך לשאת דרשות ונאומים בבתי הכנסת ולקרוא לכל אחד לתרום מהכנסתו הדלה. ובכל זאת נשאר הדבר נסתר מן הרשעים.” השווה גם מאמרים של הרב אשר </w:t>
      </w:r>
      <w:proofErr w:type="spellStart"/>
      <w:r>
        <w:rPr>
          <w:rtl/>
        </w:rPr>
        <w:t>קרשטיין</w:t>
      </w:r>
      <w:proofErr w:type="spellEnd"/>
      <w:r>
        <w:rPr>
          <w:rtl/>
        </w:rPr>
        <w:t xml:space="preserve"> ושל הרב משה צבי נריה </w:t>
      </w:r>
      <w:proofErr w:type="spellStart"/>
      <w:r>
        <w:rPr>
          <w:rtl/>
        </w:rPr>
        <w:t>ב“מינסק</w:t>
      </w:r>
      <w:proofErr w:type="spellEnd"/>
      <w:r>
        <w:rPr>
          <w:rtl/>
        </w:rPr>
        <w:t xml:space="preserve"> עיר ואם ב”</w:t>
      </w:r>
      <w:bookmarkStart w:id="818" w:name="_fnr508"/>
      <w:r>
        <w:rPr>
          <w:rStyle w:val="a5"/>
        </w:rPr>
        <w:footnoteReference w:id="508" w:customMarkFollows="0"/>
      </w:r>
      <w:bookmarkEnd w:id="818"/>
      <w:r>
        <w:rPr>
          <w:rtl/>
        </w:rPr>
        <w:t xml:space="preserve">, וכן </w:t>
      </w:r>
      <w:r>
        <w:rPr>
          <w:rtl/>
        </w:rPr>
        <w:fldChar w:fldCharType="begin" w:dirty="true"/>
      </w:r>
      <w:r>
        <w:rPr>
          <w:rtl/>
        </w:rPr>
        <w:instrText xml:space="preserve"> REF b2_excC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ג</w:t>
      </w:r>
      <w:r>
        <w:rPr>
          <w:rtl/>
        </w:rPr>
        <w:fldChar w:fldCharType="end"/>
      </w:r>
      <w:r>
        <w:rPr>
          <w:rtl/>
        </w:rPr>
        <w:t xml:space="preserve"> להלן.</w:t>
      </w:r>
    </w:p>
    <w:p w14:paraId="5DA3AE4A" w14:textId="77777777" w:rsidR="00AB3647" w:rsidRDefault="00000000" w:rsidP="007923E9">
      <w:pPr>
        <w:pStyle w:val="2"/>
        <w:spacing w:line="276" w:lineRule="auto"/>
      </w:pPr>
      <w:bookmarkStart w:id="819" w:name="b2_sec2"/>
      <w:r>
        <w:t>2.</w:t>
      </w:r>
      <w:bookmarkEnd w:id="819"/>
    </w:p>
    <w:p w14:paraId="6B622C57" w14:textId="7777777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proofErr w:type="spellStart"/>
      <w:r>
        <w:rPr>
          <w:rtl/>
        </w:rPr>
        <w:t>חיים־זרח</w:t>
      </w:r>
      <w:proofErr w:type="spellEnd"/>
      <w:r>
        <w:rPr>
          <w:rtl/>
        </w:rPr>
        <w:t xml:space="preserve"> הראה לאחיו את החדר שבו התאכסן, והבחור שזה עתה הגיע הבין מיד שאינו גדול דיו לשני אנשים. לישון באחד מבתי המדרש היה פתרון אחרון, ולכן החליטו האחים לבקש מאחד מדודיהם מקום לינה לבחור הישיבה שזה עתה הגיע. אחרי מה שעבר על </w:t>
      </w:r>
      <w:proofErr w:type="spellStart"/>
      <w:r>
        <w:rPr>
          <w:rtl/>
        </w:rPr>
        <w:t>חיים־זרח</w:t>
      </w:r>
      <w:proofErr w:type="spellEnd"/>
      <w:r>
        <w:rPr>
          <w:rtl/>
        </w:rPr>
        <w:t xml:space="preserve">, ביתה של הדודה דבורה </w:t>
      </w:r>
      <w:proofErr w:type="spellStart"/>
      <w:r>
        <w:rPr>
          <w:rtl/>
        </w:rPr>
        <w:t>במדס</w:t>
      </w:r>
      <w:proofErr w:type="spellEnd"/>
      <w:r>
        <w:rPr>
          <w:rtl/>
        </w:rPr>
        <w:t xml:space="preserve"> לא בא בחשבון, ופנו אל הדוד </w:t>
      </w:r>
      <w:proofErr w:type="spellStart"/>
      <w:r>
        <w:rPr>
          <w:rtl/>
        </w:rPr>
        <w:t>אברהם־משה</w:t>
      </w:r>
      <w:proofErr w:type="spellEnd"/>
      <w:r>
        <w:rPr>
          <w:rtl/>
        </w:rPr>
        <w:t xml:space="preserve">. הוא ואשתו </w:t>
      </w:r>
      <w:proofErr w:type="spellStart"/>
      <w:r>
        <w:rPr>
          <w:rtl/>
        </w:rPr>
        <w:t>עטיל</w:t>
      </w:r>
      <w:proofErr w:type="spellEnd"/>
      <w:r>
        <w:rPr>
          <w:rtl/>
        </w:rPr>
        <w:t xml:space="preserve"> – שני בניהם, לייזר ואהרן, היו בערך בגילו של רבנו – שמחו לתת לאחיינם מקום שינה בגומחה שליד פרוזדור בביתם.</w:t>
      </w:r>
    </w:p>
    <w:p w14:paraId="304BEF2E" w14:textId="11EC9FE8"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משהוסדר עניין זה, הלך הבא החדש, שהשתוקק להתחיל בלימודיו, אל שול הכובענים</w:t>
      </w:r>
      <w:bookmarkStart w:id="820" w:name="b2_ref21"/>
      <w:bookmarkEnd w:id="820"/>
      <w:r>
        <w:rPr>
          <w:vertAlign w:val="superscript"/>
          <w:rtl/>
        </w:rPr>
        <w:fldChar w:fldCharType="begin" w:dirty="true"/>
      </w:r>
      <w:r>
        <w:rPr>
          <w:vertAlign w:val="superscript"/>
          <w:rtl/>
        </w:rPr>
        <w:instrText xml:space="preserve"> REF b2_note21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21</w:t>
      </w:r>
      <w:r>
        <w:rPr>
          <w:vertAlign w:val="superscript"/>
          <w:rtl/>
        </w:rPr>
        <w:fldChar w:fldCharType="end"/>
      </w:r>
      <w:r>
        <w:rPr>
          <w:rtl/>
        </w:rPr>
        <w:t xml:space="preserve"> שברחוב </w:t>
      </w:r>
      <w:proofErr w:type="spellStart"/>
      <w:r>
        <w:rPr>
          <w:rtl/>
        </w:rPr>
        <w:t>יטקובר</w:t>
      </w:r>
      <w:proofErr w:type="spellEnd"/>
      <w:r>
        <w:rPr>
          <w:rtl/>
        </w:rPr>
        <w:t xml:space="preserve">, ששכנה בו ישיבה לנערים בני גילו, כדי להיבחן בבחינת הקבלה אצל רב השול וראש הישיבה שבו, ר׳ ראובן </w:t>
      </w:r>
      <w:proofErr w:type="spellStart"/>
      <w:r>
        <w:rPr>
          <w:rtl/>
        </w:rPr>
        <w:t>יודקובסקי</w:t>
      </w:r>
      <w:proofErr w:type="spellEnd"/>
      <w:r>
        <w:rPr>
          <w:rtl/>
        </w:rPr>
        <w:t>.</w:t>
      </w:r>
    </w:p>
    <w:bookmarkStart w:id="821" w:name="b2_note21"/>
    <w:p w14:paraId="6C238F00" w14:textId="77777777" w:rsidR="00AB3647" w:rsidRDefault="00000000" w:rsidP="007923E9">
      <w:pPr>
        <w:spacing w:before="120" w:after="100" w:line="276" w:lineRule="auto"/>
        <w:jc w:val="both"/>
      </w:pPr>
      <w:r>
        <w:fldChar w:fldCharType="begin" w:dirty="true"/>
      </w:r>
      <w:r>
        <w:instrText>HYPERLINK \l "b2_ref21"</w:instrText>
      </w:r>
      <w:r>
        <w:fldChar w:fldCharType="separate"/>
      </w:r>
      <w:r>
        <w:rPr>
          <w:b/>
          <w:bCs/>
          <w:rtl/>
        </w:rPr>
        <w:t>21</w:t>
      </w:r>
      <w:r>
        <w:rPr>
          <w:b/>
          <w:bCs/>
        </w:rPr>
        <w:fldChar w:fldCharType="end"/>
      </w:r>
      <w:bookmarkEnd w:id="821"/>
      <w:r>
        <w:rPr>
          <w:rtl/>
        </w:rPr>
        <w:t xml:space="preserve"> כל אגודת בעלי מלאכה בנתה לעצמה שול משלה, ובסך הכול היו </w:t>
      </w:r>
      <w:proofErr w:type="spellStart"/>
      <w:r>
        <w:rPr>
          <w:rtl/>
        </w:rPr>
        <w:t>שמונה־עשר</w:t>
      </w:r>
      <w:proofErr w:type="spellEnd"/>
      <w:r>
        <w:rPr>
          <w:rtl/>
        </w:rPr>
        <w:t xml:space="preserve"> כאלה. שני שולן נקראו שול הכובענים: אחד של עושי כובעי בד והאחר של עושי כובעי פרווה. ר׳ ראובן </w:t>
      </w:r>
      <w:proofErr w:type="spellStart"/>
      <w:r>
        <w:rPr>
          <w:rtl/>
        </w:rPr>
        <w:t>יודקובסקי</w:t>
      </w:r>
      <w:proofErr w:type="spellEnd"/>
      <w:r>
        <w:rPr>
          <w:rtl/>
        </w:rPr>
        <w:t xml:space="preserve"> היה רבם של עושי כובעי הבד. בשבת שביליתי במינסק, שבת פרשת וישב תשנ״א,</w:t>
      </w:r>
      <w:bookmarkStart w:id="822" w:name="_fnr509"/>
      <w:r>
        <w:rPr>
          <w:rStyle w:val="a5"/>
        </w:rPr>
        <w:footnoteReference w:id="509" w:customMarkFollows="0"/>
      </w:r>
      <w:bookmarkEnd w:id="822"/>
      <w:r>
        <w:rPr>
          <w:rtl/>
        </w:rPr>
        <w:t xml:space="preserve"> התפללתי בבית הכנסת היחיד שנותר בעיר, שול הבנאים שברחוב </w:t>
      </w:r>
      <w:proofErr w:type="spellStart"/>
      <w:r>
        <w:rPr>
          <w:rtl/>
        </w:rPr>
        <w:t>קרופוטקינה</w:t>
      </w:r>
      <w:proofErr w:type="spellEnd"/>
      <w:r>
        <w:rPr>
          <w:rtl/>
        </w:rPr>
        <w:t xml:space="preserve">. אבי לא הזכיר באוזני מראיינו, הרב א״ב </w:t>
      </w:r>
      <w:proofErr w:type="spellStart"/>
      <w:r>
        <w:rPr>
          <w:rtl/>
        </w:rPr>
        <w:t>שורין</w:t>
      </w:r>
      <w:proofErr w:type="spellEnd"/>
      <w:r>
        <w:rPr>
          <w:rtl/>
        </w:rPr>
        <w:t>,</w:t>
      </w:r>
      <w:bookmarkStart w:id="823" w:name="_fnr510"/>
      <w:r>
        <w:rPr>
          <w:rStyle w:val="a5"/>
        </w:rPr>
        <w:footnoteReference w:id="510" w:customMarkFollows="0"/>
      </w:r>
      <w:bookmarkEnd w:id="823"/>
      <w:r>
        <w:rPr>
          <w:rtl/>
        </w:rPr>
        <w:t xml:space="preserve"> את ישיבת שול הכובענים בין המקומות שלמד בהם, משום ששהה שם הרבה פחות מזמן אחד.</w:t>
      </w:r>
    </w:p>
    <w:p w14:paraId="2B31E44B" w14:textId="6B0D43DB"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ר׳ ראובן הושיב לפניו את המבקשים להתקבל לזמן הקיץ. הוא שאל כל אחד איזו מסכת למד בחורף, ואחר כך הציג לכל צעיר בתורו שאלה במסכת שלמד זה עתה. כשאחד המבקשים לא הצליח להוכיח מן המסכת שלמד, מסכת קידושין, מי מבין אב ורב קודם בכבוד, אמר אבי שהוא יכול להוכיח זאת ממסכת שלמד הוא, בבא מציעא.</w:t>
      </w:r>
      <w:bookmarkStart w:id="824" w:name="b2_ref22"/>
      <w:bookmarkEnd w:id="824"/>
      <w:r>
        <w:rPr>
          <w:vertAlign w:val="superscript"/>
          <w:rtl/>
        </w:rPr>
        <w:fldChar w:fldCharType="begin" w:dirty="true"/>
      </w:r>
      <w:r>
        <w:rPr>
          <w:vertAlign w:val="superscript"/>
          <w:rtl/>
        </w:rPr>
        <w:instrText xml:space="preserve"> REF b2_note22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22</w:t>
      </w:r>
      <w:r>
        <w:rPr>
          <w:vertAlign w:val="superscript"/>
          <w:rtl/>
        </w:rPr>
        <w:fldChar w:fldCharType="end"/>
      </w:r>
      <w:r>
        <w:rPr>
          <w:rtl/>
        </w:rPr>
        <w:t xml:space="preserve"> די היה בכך לשכנע את הרב שהנער </w:t>
      </w:r>
      <w:proofErr w:type="spellStart"/>
      <w:r>
        <w:rPr>
          <w:rtl/>
        </w:rPr>
        <w:lastRenderedPageBreak/>
        <w:t>הדולהינובר</w:t>
      </w:r>
      <w:proofErr w:type="spellEnd"/>
      <w:r>
        <w:rPr>
          <w:rtl/>
        </w:rPr>
        <w:t xml:space="preserve"> ראוי להתקבל לישיבתו.</w:t>
      </w:r>
      <w:bookmarkStart w:id="825" w:name="b2_ref23"/>
      <w:bookmarkEnd w:id="825"/>
      <w:r>
        <w:rPr>
          <w:vertAlign w:val="superscript"/>
          <w:rtl/>
        </w:rPr>
        <w:fldChar w:fldCharType="begin" w:dirty="true"/>
      </w:r>
      <w:r>
        <w:rPr>
          <w:vertAlign w:val="superscript"/>
          <w:rtl/>
        </w:rPr>
        <w:instrText xml:space="preserve"> REF b2_note23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23</w:t>
      </w:r>
      <w:r>
        <w:rPr>
          <w:vertAlign w:val="superscript"/>
          <w:rtl/>
        </w:rPr>
        <w:fldChar w:fldCharType="end"/>
      </w:r>
      <w:r>
        <w:rPr>
          <w:rtl/>
        </w:rPr>
        <w:t xml:space="preserve"> אבי הצטרף לשאר הנערים הצעירים בישיבת שול הכובענים והחל ללמוד בשקידתו הרגילה, ולא עשה דבר כדי להתהדר בכישרונותיו המעולים.</w:t>
      </w:r>
    </w:p>
    <w:bookmarkStart w:id="826" w:name="b2_note22"/>
    <w:p w14:paraId="340FDD4D" w14:textId="77777777" w:rsidR="00AB3647" w:rsidRDefault="00000000" w:rsidP="007923E9">
      <w:pPr>
        <w:spacing w:before="120" w:after="100" w:line="276" w:lineRule="auto"/>
        <w:jc w:val="both"/>
      </w:pPr>
      <w:r>
        <w:fldChar w:fldCharType="begin" w:dirty="true"/>
      </w:r>
      <w:r>
        <w:instrText>HYPERLINK \l "b2_ref22"</w:instrText>
      </w:r>
      <w:r>
        <w:fldChar w:fldCharType="separate"/>
      </w:r>
      <w:r>
        <w:rPr>
          <w:b/>
          <w:bCs/>
          <w:rtl/>
        </w:rPr>
        <w:t>22</w:t>
      </w:r>
      <w:r>
        <w:rPr>
          <w:b/>
          <w:bCs/>
        </w:rPr>
        <w:fldChar w:fldCharType="end"/>
      </w:r>
      <w:bookmarkEnd w:id="826"/>
      <w:r>
        <w:rPr>
          <w:rtl/>
        </w:rPr>
        <w:t xml:space="preserve"> הראיה הייתה מן המשנה בדף ל״ג ע״א. ר׳ ראובן </w:t>
      </w:r>
      <w:proofErr w:type="spellStart"/>
      <w:r>
        <w:rPr>
          <w:rtl/>
        </w:rPr>
        <w:t>יודקובסקי</w:t>
      </w:r>
      <w:proofErr w:type="spellEnd"/>
      <w:r>
        <w:rPr>
          <w:rtl/>
        </w:rPr>
        <w:t xml:space="preserve"> קבע שאין ראיה משם, אבל אבי, כשסיפר את המעשה, אמר שמעולם לא הבין מדוע אין הראיה מכרעת.</w:t>
      </w:r>
      <w:bookmarkStart w:id="827" w:name="_fnr511"/>
      <w:r>
        <w:rPr>
          <w:rStyle w:val="a5"/>
        </w:rPr>
        <w:footnoteReference w:id="511" w:customMarkFollows="0"/>
      </w:r>
      <w:bookmarkEnd w:id="827"/>
      <w:r>
        <w:rPr>
          <w:rtl/>
        </w:rPr>
        <w:t xml:space="preserve"> אני חושד שאבי עצמו הוא שנשאל להביא את הראיה ממסכת קידושין, שהרי זו המסכת שלמד בזמן הקודם.</w:t>
      </w:r>
      <w:bookmarkStart w:id="828" w:name="_fnr512"/>
      <w:r>
        <w:rPr>
          <w:rStyle w:val="a5"/>
        </w:rPr>
        <w:footnoteReference w:id="512" w:customMarkFollows="0"/>
      </w:r>
      <w:bookmarkEnd w:id="828"/>
      <w:r>
        <w:rPr>
          <w:rtl/>
        </w:rPr>
        <w:t xml:space="preserve"> ייתכן ששינה את הסיפור כדי שלא יצטרך להוסיף שלא מצא ראיה במסכת קידושין אלא רק במסכת בבא מציעא – גילוי שהיה מחריף את הבעיה שבבקיאותו של ר׳ ראובן.</w:t>
      </w:r>
    </w:p>
    <w:bookmarkStart w:id="829" w:name="b2_note23"/>
    <w:p w14:paraId="5FA99475" w14:textId="77777777" w:rsidR="00AB3647" w:rsidRDefault="00000000" w:rsidP="007923E9">
      <w:pPr>
        <w:spacing w:before="120" w:after="100" w:line="276" w:lineRule="auto"/>
        <w:jc w:val="both"/>
      </w:pPr>
      <w:r>
        <w:fldChar w:fldCharType="begin" w:dirty="true"/>
      </w:r>
      <w:r>
        <w:instrText>HYPERLINK \l "b2_ref23"</w:instrText>
      </w:r>
      <w:r>
        <w:fldChar w:fldCharType="separate"/>
      </w:r>
      <w:r>
        <w:rPr>
          <w:b/>
          <w:bCs/>
          <w:rtl/>
        </w:rPr>
        <w:t>23</w:t>
      </w:r>
      <w:r>
        <w:rPr>
          <w:b/>
          <w:bCs/>
        </w:rPr>
        <w:fldChar w:fldCharType="end"/>
      </w:r>
      <w:bookmarkEnd w:id="829"/>
      <w:r>
        <w:rPr>
          <w:rtl/>
        </w:rPr>
        <w:t xml:space="preserve"> אבי, שחוש הכרת הטובה שלו היה חד כל ימי חייו, זכה לגמול לאותו מיטיב כעבור ארבעה עשורים, בטורונטו: הוא עזר לבנו, ר׳ משה, שהיה אז מהגר שזה עתה בא מארץ ישראל. מלבד שמינה את ר׳ משה </w:t>
      </w:r>
      <w:proofErr w:type="spellStart"/>
      <w:r>
        <w:rPr>
          <w:rtl/>
        </w:rPr>
        <w:t>יודקובסקי</w:t>
      </w:r>
      <w:proofErr w:type="spellEnd"/>
      <w:r>
        <w:rPr>
          <w:rtl/>
        </w:rPr>
        <w:t xml:space="preserve"> למשרת הוראה בישיבת </w:t>
      </w:r>
      <w:proofErr w:type="spellStart"/>
      <w:r>
        <w:rPr>
          <w:rtl/>
        </w:rPr>
        <w:t>מהרי״ל</w:t>
      </w:r>
      <w:proofErr w:type="spellEnd"/>
      <w:r>
        <w:rPr>
          <w:rtl/>
        </w:rPr>
        <w:t xml:space="preserve"> </w:t>
      </w:r>
      <w:proofErr w:type="spellStart"/>
      <w:r>
        <w:rPr>
          <w:rtl/>
        </w:rPr>
        <w:t>גראובארט</w:t>
      </w:r>
      <w:proofErr w:type="spellEnd"/>
      <w:r>
        <w:rPr>
          <w:rtl/>
        </w:rPr>
        <w:t>, דחק – אם כי בלי הצלחה – בגבאי “</w:t>
      </w:r>
      <w:proofErr w:type="spellStart"/>
      <w:r>
        <w:rPr>
          <w:rtl/>
        </w:rPr>
        <w:t>המינסקער</w:t>
      </w:r>
      <w:proofErr w:type="spellEnd"/>
      <w:r>
        <w:rPr>
          <w:rtl/>
        </w:rPr>
        <w:t xml:space="preserve"> שול” בטורונטו לקבל את בן עירם שימסור להם שיעורים.</w:t>
      </w:r>
      <w:bookmarkStart w:id="830" w:name="_fnr513"/>
      <w:r>
        <w:rPr>
          <w:rStyle w:val="a5"/>
        </w:rPr>
        <w:footnoteReference w:id="513" w:customMarkFollows="0"/>
      </w:r>
      <w:bookmarkEnd w:id="830"/>
    </w:p>
    <w:p w14:paraId="07B14345" w14:textId="191DBBF9"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בתקופה זו קיבל את מזונותיו מקרוביו, מלבד </w:t>
      </w:r>
      <w:proofErr w:type="spellStart"/>
      <w:r>
        <w:rPr>
          <w:rtl/>
        </w:rPr>
        <w:t>ה“טעג</w:t>
      </w:r>
      <w:proofErr w:type="spellEnd"/>
      <w:r>
        <w:rPr>
          <w:rtl/>
        </w:rPr>
        <w:t xml:space="preserve">” שקבע לו הרב בבתי יהודים יראי שמים. כפי שציפו הוריו, השלים </w:t>
      </w:r>
      <w:proofErr w:type="spellStart"/>
      <w:r>
        <w:rPr>
          <w:rtl/>
        </w:rPr>
        <w:t>חיים־זרח</w:t>
      </w:r>
      <w:proofErr w:type="spellEnd"/>
      <w:r>
        <w:rPr>
          <w:rtl/>
        </w:rPr>
        <w:t xml:space="preserve"> את צורכי אחיו במתנות של כסף קטן. אבל סידורי הלינה של אבי, אף שהיו נסבלים, לא היו משביעי רצון. בני דודו, שבינתיים עזבו את הישיבה כדי ללמוד בבית ספר חילוני,</w:t>
      </w:r>
      <w:bookmarkStart w:id="831" w:name="b2_ref24"/>
      <w:bookmarkEnd w:id="831"/>
      <w:r>
        <w:rPr>
          <w:vertAlign w:val="superscript"/>
          <w:rtl/>
        </w:rPr>
        <w:fldChar w:fldCharType="begin" w:dirty="true"/>
      </w:r>
      <w:r>
        <w:rPr>
          <w:vertAlign w:val="superscript"/>
          <w:rtl/>
        </w:rPr>
        <w:instrText xml:space="preserve"> REF b2_note24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24</w:t>
      </w:r>
      <w:r>
        <w:rPr>
          <w:vertAlign w:val="superscript"/>
          <w:rtl/>
        </w:rPr>
        <w:fldChar w:fldCharType="end"/>
      </w:r>
      <w:r>
        <w:rPr>
          <w:rtl/>
        </w:rPr>
        <w:t xml:space="preserve"> הפריעו לו כשנאלצו לעבור בפרוזדור, שהיה פינת השינה שלו, כדי להגיע לחדרם. אבי, שהיה אורח בביתם, לא יכול היה למחות, אבל עשה עמם “עסקה”: לייזר ואהרן יפצו אותו בכך שירשו לו לקרוא בספריהם הרוסיים בשעות הפנאי שלו.</w:t>
      </w:r>
      <w:bookmarkStart w:id="832" w:name="b2_ref25"/>
      <w:bookmarkEnd w:id="832"/>
      <w:r>
        <w:rPr>
          <w:vertAlign w:val="superscript"/>
          <w:rtl/>
        </w:rPr>
        <w:fldChar w:fldCharType="begin" w:dirty="true"/>
      </w:r>
      <w:r>
        <w:rPr>
          <w:vertAlign w:val="superscript"/>
          <w:rtl/>
        </w:rPr>
        <w:instrText xml:space="preserve"> REF b2_note25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25</w:t>
      </w:r>
      <w:r>
        <w:rPr>
          <w:vertAlign w:val="superscript"/>
          <w:rtl/>
        </w:rPr>
        <w:fldChar w:fldCharType="end"/>
      </w:r>
    </w:p>
    <w:bookmarkStart w:id="833" w:name="b2_note24"/>
    <w:p w14:paraId="366E5DB9" w14:textId="77777777" w:rsidR="00AB3647" w:rsidRDefault="00000000" w:rsidP="007923E9">
      <w:pPr>
        <w:spacing w:before="120" w:after="100" w:line="276" w:lineRule="auto"/>
        <w:jc w:val="both"/>
      </w:pPr>
      <w:r>
        <w:fldChar w:fldCharType="begin" w:dirty="true"/>
      </w:r>
      <w:r>
        <w:instrText>HYPERLINK \l "b2_ref24"</w:instrText>
      </w:r>
      <w:r>
        <w:fldChar w:fldCharType="separate"/>
      </w:r>
      <w:r>
        <w:rPr>
          <w:b/>
          <w:bCs/>
          <w:rtl/>
        </w:rPr>
        <w:t>24</w:t>
      </w:r>
      <w:r>
        <w:rPr>
          <w:b/>
          <w:bCs/>
        </w:rPr>
        <w:fldChar w:fldCharType="end"/>
      </w:r>
      <w:bookmarkEnd w:id="833"/>
      <w:r>
        <w:rPr>
          <w:rtl/>
        </w:rPr>
        <w:t xml:space="preserve"> בגלל </w:t>
      </w:r>
      <w:proofErr w:type="spellStart"/>
      <w:r>
        <w:rPr>
          <w:rtl/>
        </w:rPr>
        <w:t>ה“נומרוס</w:t>
      </w:r>
      <w:proofErr w:type="spellEnd"/>
      <w:r>
        <w:rPr>
          <w:rtl/>
        </w:rPr>
        <w:t xml:space="preserve"> </w:t>
      </w:r>
      <w:proofErr w:type="spellStart"/>
      <w:r>
        <w:rPr>
          <w:rtl/>
        </w:rPr>
        <w:t>קלאוזוס</w:t>
      </w:r>
      <w:proofErr w:type="spellEnd"/>
      <w:r>
        <w:rPr>
          <w:rtl/>
        </w:rPr>
        <w:t>” (מכסת הקבלה) שהוטל על תלמידים יהודים לא רק באוניברסיטאות אלא גם בבתי הספר התיכוניים, הקימה הקהילה היהודית במינסק כמה בתי ספר תיכוניים שעמדו בפיקוח הממשלה.</w:t>
      </w:r>
      <w:bookmarkStart w:id="834" w:name="_fnr514"/>
      <w:r>
        <w:rPr>
          <w:rStyle w:val="a5"/>
        </w:rPr>
        <w:footnoteReference w:id="514" w:customMarkFollows="0"/>
      </w:r>
      <w:bookmarkStart w:id="835" w:name="_fnr515"/>
      <w:bookmarkStart w:id="836" w:name="pr_f_441"/>
      <w:bookmarkEnd w:id="834"/>
      <w:r>
        <w:rPr>
          <w:rStyle w:val="a5"/>
        </w:rPr>
        <w:footnoteReference w:id="515" w:customMarkFollows="0"/>
      </w:r>
      <w:bookmarkEnd w:id="835"/>
      <w:bookmarkEnd w:id="836"/>
    </w:p>
    <w:bookmarkStart w:id="838" w:name="b2_note25"/>
    <w:p w14:paraId="430E49C4" w14:textId="24C107EA" w:rsidR="00AB3647" w:rsidRDefault="00000000" w:rsidP="007923E9">
      <w:pPr>
        <w:spacing w:before="120" w:after="100" w:line="276" w:lineRule="auto"/>
        <w:jc w:val="both"/>
      </w:pPr>
      <w:r>
        <w:lastRenderedPageBreak/>
        <w:fldChar w:fldCharType="begin" w:dirty="true"/>
      </w:r>
      <w:r>
        <w:instrText>HYPERLINK \l "b2_ref25"</w:instrText>
      </w:r>
      <w:r>
        <w:fldChar w:fldCharType="separate"/>
      </w:r>
      <w:r>
        <w:rPr>
          <w:b/>
          <w:bCs/>
          <w:rtl/>
        </w:rPr>
        <w:t>25</w:t>
      </w:r>
      <w:r>
        <w:rPr>
          <w:b/>
          <w:bCs/>
        </w:rPr>
        <w:fldChar w:fldCharType="end"/>
      </w:r>
      <w:bookmarkEnd w:id="838"/>
      <w:r>
        <w:rPr>
          <w:rtl/>
        </w:rPr>
        <w:t xml:space="preserve"> ראה </w:t>
      </w:r>
      <w:r>
        <w:rPr>
          <w:rtl/>
        </w:rPr>
        <w:fldChar w:fldCharType="begin" w:dirty="true"/>
      </w:r>
      <w:r>
        <w:rPr>
          <w:rtl/>
        </w:rPr>
        <w:instrText xml:space="preserve"> REF b2_excB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w:t>
      </w:r>
    </w:p>
    <w:p w14:paraId="1630A997" w14:textId="2D028EEA"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proofErr w:type="spellStart"/>
      <w:r>
        <w:rPr>
          <w:rtl/>
        </w:rPr>
        <w:t>חיים־זרח</w:t>
      </w:r>
      <w:proofErr w:type="spellEnd"/>
      <w:r>
        <w:rPr>
          <w:rtl/>
        </w:rPr>
        <w:t xml:space="preserve"> לקח את אחיו הצעיר לסיור בכמה ממוסדות הצדקה השונים שבעיר, ובהם שניים שמעסיקיו היו מעורבים בהם במידה רבה.</w:t>
      </w:r>
      <w:bookmarkStart w:id="839" w:name="b2_ref26"/>
      <w:bookmarkEnd w:id="839"/>
      <w:r>
        <w:rPr>
          <w:vertAlign w:val="superscript"/>
          <w:rtl/>
        </w:rPr>
        <w:fldChar w:fldCharType="begin" w:dirty="true"/>
      </w:r>
      <w:r>
        <w:rPr>
          <w:vertAlign w:val="superscript"/>
          <w:rtl/>
        </w:rPr>
        <w:instrText xml:space="preserve"> REF b2_note26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26</w:t>
      </w:r>
      <w:r>
        <w:rPr>
          <w:vertAlign w:val="superscript"/>
          <w:rtl/>
        </w:rPr>
        <w:fldChar w:fldCharType="end"/>
      </w:r>
      <w:r>
        <w:rPr>
          <w:rtl/>
        </w:rPr>
        <w:t xml:space="preserve"> הוא הראה לו את בית החולים היהודי בן 250 המיטות, שהחברה שבה עבד סיפקה לו תרופות תמורת תשלום סמלי, וסיפר לו כיצד החברה שבה עבד מקצה תכשירי רפואה חינם לחולים העניים.</w:t>
      </w:r>
      <w:bookmarkStart w:id="840" w:name="b2_ref27"/>
      <w:bookmarkEnd w:id="840"/>
      <w:r>
        <w:rPr>
          <w:vertAlign w:val="superscript"/>
          <w:rtl/>
        </w:rPr>
        <w:fldChar w:fldCharType="begin" w:dirty="true"/>
      </w:r>
      <w:r>
        <w:rPr>
          <w:vertAlign w:val="superscript"/>
          <w:rtl/>
        </w:rPr>
        <w:instrText xml:space="preserve"> REF b2_note27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27</w:t>
      </w:r>
      <w:r>
        <w:rPr>
          <w:vertAlign w:val="superscript"/>
          <w:rtl/>
        </w:rPr>
        <w:fldChar w:fldCharType="end"/>
      </w:r>
    </w:p>
    <w:bookmarkStart w:id="841" w:name="b2_note26"/>
    <w:p w14:paraId="63E6C0F9" w14:textId="77777777" w:rsidR="00AB3647" w:rsidRDefault="00000000" w:rsidP="007923E9">
      <w:pPr>
        <w:spacing w:before="120" w:after="100" w:line="276" w:lineRule="auto"/>
        <w:jc w:val="both"/>
      </w:pPr>
      <w:r>
        <w:fldChar w:fldCharType="begin" w:dirty="true"/>
      </w:r>
      <w:r>
        <w:instrText>HYPERLINK \l "b2_ref26"</w:instrText>
      </w:r>
      <w:r>
        <w:fldChar w:fldCharType="separate"/>
      </w:r>
      <w:r>
        <w:rPr>
          <w:b/>
          <w:bCs/>
          <w:rtl/>
        </w:rPr>
        <w:t>26</w:t>
      </w:r>
      <w:r>
        <w:rPr>
          <w:b/>
          <w:bCs/>
        </w:rPr>
        <w:fldChar w:fldCharType="end"/>
      </w:r>
      <w:bookmarkEnd w:id="841"/>
      <w:r>
        <w:rPr>
          <w:rtl/>
        </w:rPr>
        <w:t xml:space="preserve"> בתקופה שבה הייתה הקהילה היהודית אוטונומית, הוטל על כל אחד מבני הקהילה, לפי הכנסתו, חלקו </w:t>
      </w:r>
      <w:proofErr w:type="spellStart"/>
      <w:r>
        <w:rPr>
          <w:rtl/>
        </w:rPr>
        <w:t>במסים</w:t>
      </w:r>
      <w:proofErr w:type="spellEnd"/>
      <w:r>
        <w:rPr>
          <w:rtl/>
        </w:rPr>
        <w:t xml:space="preserve"> </w:t>
      </w:r>
      <w:proofErr w:type="spellStart"/>
      <w:r>
        <w:rPr>
          <w:rtl/>
        </w:rPr>
        <w:t>ל“שבע</w:t>
      </w:r>
      <w:proofErr w:type="spellEnd"/>
      <w:r>
        <w:rPr>
          <w:rtl/>
        </w:rPr>
        <w:t xml:space="preserve"> הצדקות” (ז׳ צדקות, ובראשי תיבות: </w:t>
      </w:r>
      <w:proofErr w:type="spellStart"/>
      <w:r>
        <w:rPr>
          <w:rtl/>
        </w:rPr>
        <w:t>ז״ץ</w:t>
      </w:r>
      <w:proofErr w:type="spellEnd"/>
      <w:r>
        <w:rPr>
          <w:rtl/>
        </w:rPr>
        <w:t>): תומכי עניים, ביקור חולים, גמילות חסדים, פדיון שבויים,</w:t>
      </w:r>
      <w:bookmarkStart w:id="842" w:name="_fnr516"/>
      <w:r>
        <w:rPr>
          <w:rStyle w:val="a5"/>
        </w:rPr>
        <w:footnoteReference w:id="516" w:customMarkFollows="0"/>
      </w:r>
      <w:bookmarkEnd w:id="842"/>
      <w:r>
        <w:rPr>
          <w:rtl/>
        </w:rPr>
        <w:t xml:space="preserve"> הכנסת כלה, תלמוד תורה ומעות חיטים.</w:t>
      </w:r>
      <w:bookmarkStart w:id="843" w:name="_fnr517"/>
      <w:r>
        <w:rPr>
          <w:rStyle w:val="a5"/>
        </w:rPr>
        <w:footnoteReference w:id="517" w:customMarkFollows="0"/>
      </w:r>
      <w:bookmarkEnd w:id="843"/>
      <w:r>
        <w:rPr>
          <w:rtl/>
        </w:rPr>
        <w:t xml:space="preserve"> באותה תקופה, כשהתורמים והגבאים כאחד היו מתנדבים, שונו שמותיהן של כמה מן הצדקות, ולרוב התורמים העשירים היו צדקות חביבות עליהם במיוחד.</w:t>
      </w:r>
    </w:p>
    <w:p w14:paraId="2685F65D" w14:textId="77777777" w:rsidR="00AB3647" w:rsidRDefault="00000000" w:rsidP="007923E9">
      <w:pPr>
        <w:spacing w:before="120" w:after="100" w:line="276" w:lineRule="auto"/>
        <w:jc w:val="both"/>
      </w:pPr>
      <w:r>
        <w:rPr>
          <w:rtl/>
        </w:rPr>
        <w:t xml:space="preserve">עם חילופי </w:t>
      </w:r>
      <w:proofErr w:type="spellStart"/>
      <w:r>
        <w:rPr>
          <w:rtl/>
        </w:rPr>
        <w:t>העתים</w:t>
      </w:r>
      <w:proofErr w:type="spellEnd"/>
      <w:r>
        <w:rPr>
          <w:rtl/>
        </w:rPr>
        <w:t xml:space="preserve"> נעשתה חלוקת הסעד ממוסדת בחלקה. למשל, במקום עזרת ביקור חולים בבתיהם של החולים נבנה בית חולים יהודי בן 250 מיטות; ובמקום קרן תלמוד תורה, שמשלמת את שכר המלמדים של ילדים מבתים עניים, נוסד בית ספר מיוחד לילדים נזקקים, ומלבד החינוך קיבלו בו ארוחות חמות, ובגדים ונעליים לחורף. בית הספר נוסד בשנה שבה הגיע אבי לעיר, ונקרא “התלמוד תורה”. התלמוד תורה זכה לתמיכת הקהילה כולה, ובכלל זה של האורתודוקסים ביותר, אף שהכניס לתוכנית הלימודים לימודי חול.</w:t>
      </w:r>
      <w:bookmarkStart w:id="844" w:name="_fnr518"/>
      <w:r>
        <w:rPr>
          <w:rStyle w:val="a5"/>
        </w:rPr>
        <w:footnoteReference w:id="518" w:customMarkFollows="0"/>
      </w:r>
      <w:bookmarkEnd w:id="844"/>
      <w:r>
        <w:rPr>
          <w:rtl/>
        </w:rPr>
        <w:t xml:space="preserve"> ענף של קרן פדיון שבויים לשעבר היה קרן “</w:t>
      </w:r>
      <w:proofErr w:type="spellStart"/>
      <w:r>
        <w:rPr>
          <w:rtl/>
        </w:rPr>
        <w:t>כשר־קעסעל</w:t>
      </w:r>
      <w:proofErr w:type="spellEnd"/>
      <w:r>
        <w:rPr>
          <w:rtl/>
        </w:rPr>
        <w:t>” [הדוד הכשר], שסיפקה לחיילים יהודים מזון כשר.</w:t>
      </w:r>
      <w:bookmarkStart w:id="845" w:name="_fnr519"/>
      <w:r>
        <w:rPr>
          <w:rStyle w:val="a5"/>
        </w:rPr>
        <w:footnoteReference w:id="519" w:customMarkFollows="0"/>
      </w:r>
      <w:bookmarkEnd w:id="845"/>
    </w:p>
    <w:bookmarkStart w:id="846" w:name="b2_note27"/>
    <w:p w14:paraId="7C490275" w14:textId="77777777" w:rsidR="00AB3647" w:rsidRDefault="00000000" w:rsidP="007923E9">
      <w:pPr>
        <w:spacing w:before="120" w:after="100" w:line="276" w:lineRule="auto"/>
        <w:jc w:val="both"/>
      </w:pPr>
      <w:r>
        <w:fldChar w:fldCharType="begin" w:dirty="true"/>
      </w:r>
      <w:r>
        <w:instrText>HYPERLINK \l "b2_ref27"</w:instrText>
      </w:r>
      <w:r>
        <w:fldChar w:fldCharType="separate"/>
      </w:r>
      <w:r>
        <w:rPr>
          <w:b/>
          <w:bCs/>
          <w:rtl/>
        </w:rPr>
        <w:t>27</w:t>
      </w:r>
      <w:r>
        <w:rPr>
          <w:b/>
          <w:bCs/>
        </w:rPr>
        <w:fldChar w:fldCharType="end"/>
      </w:r>
      <w:bookmarkEnd w:id="846"/>
      <w:r>
        <w:rPr>
          <w:rtl/>
        </w:rPr>
        <w:t xml:space="preserve"> שאלתי בכתב את דודתי דבורה</w:t>
      </w:r>
      <w:bookmarkStart w:id="847" w:name="_fnr520"/>
      <w:r>
        <w:rPr>
          <w:rStyle w:val="a5"/>
        </w:rPr>
        <w:footnoteReference w:id="520" w:customMarkFollows="0"/>
      </w:r>
      <w:bookmarkEnd w:id="847"/>
      <w:r>
        <w:rPr>
          <w:rtl/>
        </w:rPr>
        <w:t xml:space="preserve"> אם </w:t>
      </w:r>
      <w:proofErr w:type="spellStart"/>
      <w:r>
        <w:rPr>
          <w:rtl/>
        </w:rPr>
        <w:t>חיים־זרח</w:t>
      </w:r>
      <w:proofErr w:type="spellEnd"/>
      <w:r>
        <w:rPr>
          <w:rtl/>
        </w:rPr>
        <w:t xml:space="preserve"> היה דתי, והיא השיבה במכתב מ־26 במרץ 1989: “אף יהודי [בחוגינו] לא עבד בשבת בשנים ההן, ובוודאי לא במשפחתנו. </w:t>
      </w:r>
      <w:proofErr w:type="spellStart"/>
      <w:r>
        <w:rPr>
          <w:rtl/>
        </w:rPr>
        <w:t>חיים־זרח</w:t>
      </w:r>
      <w:proofErr w:type="spellEnd"/>
      <w:r>
        <w:rPr>
          <w:rtl/>
        </w:rPr>
        <w:t xml:space="preserve"> לא הלך לשול בשבת בקביעות כלל, ותחת זאת ניצל את הזמן לארוז תרופות לעניים בשביל אגודת ‘לינת הצדק’,</w:t>
      </w:r>
      <w:bookmarkStart w:id="848" w:name="_fnr521"/>
      <w:r>
        <w:rPr>
          <w:rStyle w:val="a5"/>
        </w:rPr>
        <w:footnoteReference w:id="521" w:customMarkFollows="0"/>
      </w:r>
      <w:bookmarkEnd w:id="848"/>
      <w:r>
        <w:rPr>
          <w:rtl/>
        </w:rPr>
        <w:t xml:space="preserve"> שהיה חבר בה. אבינו אמר שכל עוד הוא עושה זאת לשם מצוה ולא לשם רווח או שכר, מותר לו.”</w:t>
      </w:r>
    </w:p>
    <w:p w14:paraId="17F036F2" w14:textId="77777777" w:rsidR="00AB3647" w:rsidRDefault="00000000" w:rsidP="007923E9">
      <w:pPr>
        <w:spacing w:before="120" w:after="100" w:line="276" w:lineRule="auto"/>
        <w:jc w:val="both"/>
      </w:pPr>
      <w:r>
        <w:rPr>
          <w:rtl/>
        </w:rPr>
        <w:t xml:space="preserve">כנראה לא הבינה המשיבה כראוי את דברי הנחמה שאמר אביה לעצמו: שחילול השבת של בנו מוקל במקצת משום שנעשה מתוך מסירות לזולת. לא מתקבל על הדעת שאכן סבר שפיקוח </w:t>
      </w:r>
      <w:r>
        <w:rPr>
          <w:rtl/>
        </w:rPr>
        <w:lastRenderedPageBreak/>
        <w:t>הנפש שבדבר דוחה את חובות השבת של בנו עד כדי כך, ובוודאי לא היה פוסק בעניין חמור כל כך בלי הסכמת רב, כפי שמשתמע מדברי המשיבה. אבי אמר יותר מפעם אחת שמבין אחיו ואחיותיו רק הוא נשאר שומר מצוות.</w:t>
      </w:r>
      <w:bookmarkStart w:id="849" w:name="_fnr522"/>
      <w:r>
        <w:rPr>
          <w:rStyle w:val="a5"/>
        </w:rPr>
        <w:footnoteReference w:id="522" w:customMarkFollows="0"/>
      </w:r>
      <w:bookmarkEnd w:id="849"/>
    </w:p>
    <w:p w14:paraId="75789FE0" w14:textId="7777777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בבוקר שבת אחד לקח את אבי אל “המטבח הזול” שברחוב </w:t>
      </w:r>
      <w:proofErr w:type="spellStart"/>
      <w:r>
        <w:rPr>
          <w:rtl/>
        </w:rPr>
        <w:t>רקובסקאיה</w:t>
      </w:r>
      <w:proofErr w:type="spellEnd"/>
      <w:r>
        <w:rPr>
          <w:rtl/>
        </w:rPr>
        <w:t xml:space="preserve">. שם קיבלו מרודים בימות החול פרוסת לחם שחור וצלחת מרק תמורת שתי </w:t>
      </w:r>
      <w:proofErr w:type="spellStart"/>
      <w:r>
        <w:rPr>
          <w:rtl/>
        </w:rPr>
        <w:t>קופיקות</w:t>
      </w:r>
      <w:proofErr w:type="spellEnd"/>
      <w:r>
        <w:rPr>
          <w:rtl/>
        </w:rPr>
        <w:t xml:space="preserve">, וחתיכת בשר במרק תמורת </w:t>
      </w:r>
      <w:proofErr w:type="spellStart"/>
      <w:r>
        <w:rPr>
          <w:rtl/>
        </w:rPr>
        <w:t>קופיקה</w:t>
      </w:r>
      <w:proofErr w:type="spellEnd"/>
      <w:r>
        <w:rPr>
          <w:rtl/>
        </w:rPr>
        <w:t xml:space="preserve"> נוספת, ובשבת קיבלו מאכלי שבת מיוחדים. מעסיקו של </w:t>
      </w:r>
      <w:proofErr w:type="spellStart"/>
      <w:r>
        <w:rPr>
          <w:rtl/>
        </w:rPr>
        <w:t>חיים־זרח</w:t>
      </w:r>
      <w:proofErr w:type="spellEnd"/>
      <w:r>
        <w:rPr>
          <w:rtl/>
        </w:rPr>
        <w:t xml:space="preserve">, </w:t>
      </w:r>
      <w:proofErr w:type="spellStart"/>
      <w:r>
        <w:rPr>
          <w:rtl/>
        </w:rPr>
        <w:t>דב־בער</w:t>
      </w:r>
      <w:proofErr w:type="spellEnd"/>
      <w:r>
        <w:rPr>
          <w:rtl/>
        </w:rPr>
        <w:t xml:space="preserve"> גולדברג, היה מן התורמים העיקריים למוסד צדקה זה. אחרי גמר התפילה בבית הכנסת הגדול היה סר לשם עם אשתו עטורת התכשיטים, בדרכם הביתה. הגבירה הייתה ניגשת עם תרווד אל דוד הטשולנט לטעום טעימה עדינה, ועגיליה המשתלשלים נצצו כשהנהנה בראשה לאות הסכמה – להראות לבעלה שהיא מרוצה מכך שהמזון שמקבלים האומללים מזין וטעים.</w:t>
      </w:r>
    </w:p>
    <w:p w14:paraId="2F9A5CE5" w14:textId="56316B0B"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עד מהרה הבין אבי שהוא מקדים את חבריו בישיבת שול הכובענים, והחליט לעבור לישיבה אחרת, בשול </w:t>
      </w:r>
      <w:proofErr w:type="spellStart"/>
      <w:r>
        <w:rPr>
          <w:rtl/>
        </w:rPr>
        <w:t>טטרשה</w:t>
      </w:r>
      <w:proofErr w:type="spellEnd"/>
      <w:r>
        <w:rPr>
          <w:rtl/>
        </w:rPr>
        <w:t xml:space="preserve"> שברחוב טטרשה.</w:t>
      </w:r>
      <w:bookmarkStart w:id="850" w:name="b2_ref28"/>
      <w:bookmarkEnd w:id="850"/>
      <w:r>
        <w:rPr>
          <w:vertAlign w:val="superscript"/>
          <w:rtl/>
        </w:rPr>
        <w:fldChar w:fldCharType="begin" w:dirty="true"/>
      </w:r>
      <w:r>
        <w:rPr>
          <w:vertAlign w:val="superscript"/>
          <w:rtl/>
        </w:rPr>
        <w:instrText xml:space="preserve"> REF b2_note28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28</w:t>
      </w:r>
      <w:r>
        <w:rPr>
          <w:vertAlign w:val="superscript"/>
          <w:rtl/>
        </w:rPr>
        <w:fldChar w:fldCharType="end"/>
      </w:r>
      <w:r>
        <w:rPr>
          <w:rtl/>
        </w:rPr>
        <w:t xml:space="preserve"> בישיבה החדשה שבחר איש לא עקב אחר התקדמותו בלימודים ואיש לא הדריך אותו בהתפתחותו, אבל הוא אהב את עצמאותו, ונשאר שם זמן רב יותר מאשר בישיבה הקודמת ובשתי הישיבות שאחריה.</w:t>
      </w:r>
    </w:p>
    <w:bookmarkStart w:id="851" w:name="b2_note28"/>
    <w:p w14:paraId="4FEA953B" w14:textId="77777777" w:rsidR="00AB3647" w:rsidRDefault="00000000" w:rsidP="007923E9">
      <w:pPr>
        <w:spacing w:before="120" w:after="100" w:line="276" w:lineRule="auto"/>
        <w:jc w:val="both"/>
      </w:pPr>
      <w:r>
        <w:fldChar w:fldCharType="begin" w:dirty="true"/>
      </w:r>
      <w:r>
        <w:instrText>HYPERLINK \l "b2_ref28"</w:instrText>
      </w:r>
      <w:r>
        <w:fldChar w:fldCharType="separate"/>
      </w:r>
      <w:r>
        <w:rPr>
          <w:b/>
          <w:bCs/>
          <w:rtl/>
        </w:rPr>
        <w:t>28</w:t>
      </w:r>
      <w:r>
        <w:rPr>
          <w:b/>
          <w:bCs/>
        </w:rPr>
        <w:fldChar w:fldCharType="end"/>
      </w:r>
      <w:bookmarkEnd w:id="851"/>
      <w:r>
        <w:rPr>
          <w:rtl/>
        </w:rPr>
        <w:t xml:space="preserve"> “הוא היה ברחוב הראשי של השכונה שבה גרו </w:t>
      </w:r>
      <w:proofErr w:type="spellStart"/>
      <w:r>
        <w:rPr>
          <w:rtl/>
        </w:rPr>
        <w:t>הטטרים</w:t>
      </w:r>
      <w:proofErr w:type="spellEnd"/>
      <w:r>
        <w:rPr>
          <w:rtl/>
        </w:rPr>
        <w:t>. רבים מהם היו עשירים, והיו להם בתים פרטיים עם גינות ירק ומטעים. הם היו מספקים לעיר את הפירות והירקות המובחרים. רבים מבניהם היו קצינים בצבא ופקידי ממשלה בכירים. היה להם מסגד מפואר.”</w:t>
      </w:r>
      <w:bookmarkStart w:id="852" w:name="_fnr523"/>
      <w:r>
        <w:rPr>
          <w:rStyle w:val="a5"/>
        </w:rPr>
        <w:footnoteReference w:id="523" w:customMarkFollows="0"/>
      </w:r>
      <w:bookmarkEnd w:id="852"/>
    </w:p>
    <w:p w14:paraId="756BE2AE" w14:textId="40E45C23"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דודו </w:t>
      </w:r>
      <w:proofErr w:type="spellStart"/>
      <w:r>
        <w:rPr>
          <w:rtl/>
        </w:rPr>
        <w:t>אברהם־משה</w:t>
      </w:r>
      <w:proofErr w:type="spellEnd"/>
      <w:r>
        <w:rPr>
          <w:rtl/>
        </w:rPr>
        <w:t xml:space="preserve"> ניסה לשכנעו שבגיל </w:t>
      </w:r>
      <w:proofErr w:type="spellStart"/>
      <w:r>
        <w:rPr>
          <w:rtl/>
        </w:rPr>
        <w:t>שתים־עשרה</w:t>
      </w:r>
      <w:proofErr w:type="spellEnd"/>
      <w:r>
        <w:rPr>
          <w:rtl/>
        </w:rPr>
        <w:t xml:space="preserve"> הגיעה העת שיפסיק ללמוד תורה ויפנה לדבר מעשי יותר, כפי שעשו בניו. כשרמז לו הדוד שלא יהיה עוד רצוי בביתו אם לא ישמע לעצת המארח, עזב אבי את הבית והחל לישון על רצפת שול </w:t>
      </w:r>
      <w:proofErr w:type="spellStart"/>
      <w:r>
        <w:rPr>
          <w:rtl/>
        </w:rPr>
        <w:t>טטרשה</w:t>
      </w:r>
      <w:proofErr w:type="spellEnd"/>
      <w:r>
        <w:rPr>
          <w:rtl/>
        </w:rPr>
        <w:t xml:space="preserve">. </w:t>
      </w:r>
      <w:proofErr w:type="spellStart"/>
      <w:r>
        <w:rPr>
          <w:rtl/>
        </w:rPr>
        <w:t>אברהם־משה</w:t>
      </w:r>
      <w:proofErr w:type="spellEnd"/>
      <w:r>
        <w:rPr>
          <w:rtl/>
        </w:rPr>
        <w:t xml:space="preserve"> השתכנע עתה שאחיינו החליט בתוקף להישאר בישיבה, והפציר בו שישוב לביתו,</w:t>
      </w:r>
      <w:bookmarkStart w:id="853" w:name="b2_ref29"/>
      <w:bookmarkEnd w:id="853"/>
      <w:r>
        <w:rPr>
          <w:vertAlign w:val="superscript"/>
          <w:rtl/>
        </w:rPr>
        <w:fldChar w:fldCharType="begin" w:dirty="true"/>
      </w:r>
      <w:r>
        <w:rPr>
          <w:vertAlign w:val="superscript"/>
          <w:rtl/>
        </w:rPr>
        <w:instrText xml:space="preserve"> REF b2_note29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29</w:t>
      </w:r>
      <w:r>
        <w:rPr>
          <w:vertAlign w:val="superscript"/>
          <w:rtl/>
        </w:rPr>
        <w:fldChar w:fldCharType="end"/>
      </w:r>
      <w:r>
        <w:rPr>
          <w:rtl/>
        </w:rPr>
        <w:t xml:space="preserve"> והנער שב.</w:t>
      </w:r>
    </w:p>
    <w:bookmarkStart w:id="854" w:name="b2_note29"/>
    <w:p w14:paraId="46E41CC7" w14:textId="77777777" w:rsidR="00AB3647" w:rsidRDefault="00000000" w:rsidP="007923E9">
      <w:pPr>
        <w:spacing w:before="120" w:after="100" w:line="276" w:lineRule="auto"/>
        <w:jc w:val="both"/>
      </w:pPr>
      <w:r>
        <w:fldChar w:fldCharType="begin" w:dirty="true"/>
      </w:r>
      <w:r>
        <w:instrText>HYPERLINK \l "b2_ref29"</w:instrText>
      </w:r>
      <w:r>
        <w:fldChar w:fldCharType="separate"/>
      </w:r>
      <w:r>
        <w:rPr>
          <w:b/>
          <w:bCs/>
          <w:rtl/>
        </w:rPr>
        <w:t>29</w:t>
      </w:r>
      <w:r>
        <w:rPr>
          <w:b/>
          <w:bCs/>
        </w:rPr>
        <w:fldChar w:fldCharType="end"/>
      </w:r>
      <w:bookmarkEnd w:id="854"/>
      <w:r>
        <w:rPr>
          <w:rtl/>
        </w:rPr>
        <w:t xml:space="preserve"> כך סיפר אבי לבחור השבת הוותיק שלו, ר׳ </w:t>
      </w:r>
      <w:proofErr w:type="spellStart"/>
      <w:r>
        <w:rPr>
          <w:rtl/>
        </w:rPr>
        <w:t>לייבל</w:t>
      </w:r>
      <w:proofErr w:type="spellEnd"/>
      <w:r>
        <w:rPr>
          <w:rtl/>
        </w:rPr>
        <w:t xml:space="preserve"> </w:t>
      </w:r>
      <w:proofErr w:type="spellStart"/>
      <w:r>
        <w:rPr>
          <w:rtl/>
        </w:rPr>
        <w:t>פרלשטיין</w:t>
      </w:r>
      <w:proofErr w:type="spellEnd"/>
      <w:r>
        <w:rPr>
          <w:rtl/>
        </w:rPr>
        <w:t>,</w:t>
      </w:r>
      <w:bookmarkStart w:id="855" w:name="_fnr524"/>
      <w:r>
        <w:rPr>
          <w:rStyle w:val="a5"/>
        </w:rPr>
        <w:footnoteReference w:id="524" w:customMarkFollows="0"/>
      </w:r>
      <w:bookmarkEnd w:id="855"/>
      <w:r>
        <w:rPr>
          <w:rtl/>
        </w:rPr>
        <w:t xml:space="preserve"> כפי שמסר אחייני ר׳ מרדכי </w:t>
      </w:r>
      <w:proofErr w:type="spellStart"/>
      <w:r>
        <w:rPr>
          <w:rtl/>
        </w:rPr>
        <w:t>קמינצקי</w:t>
      </w:r>
      <w:proofErr w:type="spellEnd"/>
      <w:r>
        <w:rPr>
          <w:rtl/>
        </w:rPr>
        <w:t>.</w:t>
      </w:r>
      <w:bookmarkStart w:id="856" w:name="_fnr525"/>
      <w:r>
        <w:rPr>
          <w:rStyle w:val="a5"/>
        </w:rPr>
        <w:footnoteReference w:id="525" w:customMarkFollows="0"/>
      </w:r>
      <w:bookmarkEnd w:id="856"/>
    </w:p>
    <w:p w14:paraId="3830E9F7" w14:textId="4060FE7B"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אחרי כמעט שנה שלמה בשול </w:t>
      </w:r>
      <w:proofErr w:type="spellStart"/>
      <w:r>
        <w:rPr>
          <w:rtl/>
        </w:rPr>
        <w:t>טטרשה</w:t>
      </w:r>
      <w:proofErr w:type="spellEnd"/>
      <w:r>
        <w:rPr>
          <w:rtl/>
        </w:rPr>
        <w:t xml:space="preserve"> עבר הנער הצעיר לישיבה נוספת, בשול “משכיל לאיתן”.</w:t>
      </w:r>
      <w:bookmarkStart w:id="857" w:name="b2_ref30"/>
      <w:bookmarkEnd w:id="857"/>
      <w:r>
        <w:rPr>
          <w:vertAlign w:val="superscript"/>
          <w:rtl/>
        </w:rPr>
        <w:fldChar w:fldCharType="begin" w:dirty="true"/>
      </w:r>
      <w:r>
        <w:rPr>
          <w:vertAlign w:val="superscript"/>
          <w:rtl/>
        </w:rPr>
        <w:instrText xml:space="preserve"> REF b2_note30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30</w:t>
      </w:r>
      <w:r>
        <w:rPr>
          <w:vertAlign w:val="superscript"/>
          <w:rtl/>
        </w:rPr>
        <w:fldChar w:fldCharType="end"/>
      </w:r>
      <w:r>
        <w:rPr>
          <w:rtl/>
        </w:rPr>
        <w:t xml:space="preserve"> הוא למד שם אצל ר׳ שלמה גולובנצ׳יץ,</w:t>
      </w:r>
      <w:bookmarkStart w:id="858" w:name="b2_ref31"/>
      <w:bookmarkEnd w:id="858"/>
      <w:r>
        <w:rPr>
          <w:vertAlign w:val="superscript"/>
          <w:rtl/>
        </w:rPr>
        <w:fldChar w:fldCharType="begin" w:dirty="true"/>
      </w:r>
      <w:r>
        <w:rPr>
          <w:vertAlign w:val="superscript"/>
          <w:rtl/>
        </w:rPr>
        <w:instrText xml:space="preserve"> REF b2_note31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31</w:t>
      </w:r>
      <w:r>
        <w:rPr>
          <w:vertAlign w:val="superscript"/>
          <w:rtl/>
        </w:rPr>
        <w:fldChar w:fldCharType="end"/>
      </w:r>
      <w:r>
        <w:rPr>
          <w:rtl/>
        </w:rPr>
        <w:t xml:space="preserve"> גיסו של רבו הראשון במינסק, ר׳ ראובן </w:t>
      </w:r>
      <w:proofErr w:type="spellStart"/>
      <w:r>
        <w:rPr>
          <w:rtl/>
        </w:rPr>
        <w:lastRenderedPageBreak/>
        <w:t>יודקובסקי</w:t>
      </w:r>
      <w:proofErr w:type="spellEnd"/>
      <w:r>
        <w:rPr>
          <w:rtl/>
        </w:rPr>
        <w:t>, וכשעברה הישיבה יחד עם רבה לבית המדרש הקטן שבחצר בית הכנסת, עבר עמה.</w:t>
      </w:r>
      <w:r>
        <w:rPr>
          <w:vertAlign w:val="superscript"/>
          <w:rtl/>
        </w:rPr>
        <w:fldChar w:fldCharType="begin" w:dirty="true"/>
      </w:r>
      <w:r>
        <w:rPr>
          <w:vertAlign w:val="superscript"/>
          <w:rtl/>
        </w:rPr>
        <w:instrText xml:space="preserve"> REF b2_note30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30</w:t>
      </w:r>
      <w:r>
        <w:rPr>
          <w:vertAlign w:val="superscript"/>
          <w:rtl/>
        </w:rPr>
        <w:fldChar w:fldCharType="end"/>
      </w:r>
    </w:p>
    <w:bookmarkStart w:id="859" w:name="b2_note30"/>
    <w:p w14:paraId="478C833E" w14:textId="77777777" w:rsidR="00AB3647" w:rsidRDefault="00000000" w:rsidP="007923E9">
      <w:pPr>
        <w:spacing w:before="120" w:after="100" w:line="276" w:lineRule="auto"/>
        <w:jc w:val="both"/>
      </w:pPr>
      <w:r>
        <w:fldChar w:fldCharType="begin" w:dirty="true"/>
      </w:r>
      <w:r>
        <w:instrText>HYPERLINK \l "b2_ref30"</w:instrText>
      </w:r>
      <w:r>
        <w:fldChar w:fldCharType="separate"/>
      </w:r>
      <w:r>
        <w:rPr>
          <w:b/>
          <w:bCs/>
          <w:rtl/>
        </w:rPr>
        <w:t>30</w:t>
      </w:r>
      <w:r>
        <w:rPr>
          <w:b/>
          <w:bCs/>
        </w:rPr>
        <w:fldChar w:fldCharType="end"/>
      </w:r>
      <w:bookmarkEnd w:id="859"/>
      <w:r>
        <w:rPr>
          <w:rtl/>
        </w:rPr>
        <w:t xml:space="preserve"> יש סתירה לכאורה בין שני מקורות </w:t>
      </w:r>
      <w:proofErr w:type="spellStart"/>
      <w:r>
        <w:rPr>
          <w:rtl/>
        </w:rPr>
        <w:t>ב“מינסק</w:t>
      </w:r>
      <w:proofErr w:type="spellEnd"/>
      <w:r>
        <w:rPr>
          <w:rtl/>
        </w:rPr>
        <w:t xml:space="preserve"> עיר ואם א” בשאלה היכן שכנה ישיבתו של ר׳ שלמה </w:t>
      </w:r>
      <w:proofErr w:type="spellStart"/>
      <w:r>
        <w:rPr>
          <w:rtl/>
        </w:rPr>
        <w:t>גולובנצ׳יץ</w:t>
      </w:r>
      <w:proofErr w:type="spellEnd"/>
      <w:r>
        <w:rPr>
          <w:rtl/>
        </w:rPr>
        <w:t xml:space="preserve">. בעמ׳ 99 – במאמר בן </w:t>
      </w:r>
      <w:proofErr w:type="spellStart"/>
      <w:r>
        <w:rPr>
          <w:rtl/>
        </w:rPr>
        <w:t>שישה־עשר</w:t>
      </w:r>
      <w:proofErr w:type="spellEnd"/>
      <w:r>
        <w:rPr>
          <w:rtl/>
        </w:rPr>
        <w:t xml:space="preserve"> עמודים, “היהדות הדתית, מוסדותיה ואישיה”, שליקט </w:t>
      </w:r>
      <w:proofErr w:type="spellStart"/>
      <w:r>
        <w:rPr>
          <w:rtl/>
        </w:rPr>
        <w:t>בן־ציון</w:t>
      </w:r>
      <w:proofErr w:type="spellEnd"/>
      <w:r>
        <w:rPr>
          <w:rtl/>
        </w:rPr>
        <w:t xml:space="preserve"> גרשוני ממקורות רבים – היא ממוקמת בבית המדרש הקטן </w:t>
      </w:r>
      <w:proofErr w:type="spellStart"/>
      <w:r>
        <w:rPr>
          <w:rtl/>
        </w:rPr>
        <w:t>שבשולהויף</w:t>
      </w:r>
      <w:proofErr w:type="spellEnd"/>
      <w:r>
        <w:rPr>
          <w:rtl/>
        </w:rPr>
        <w:t xml:space="preserve">. גרשוני היה “אסיר תודה במיוחד </w:t>
      </w:r>
      <w:proofErr w:type="spellStart"/>
      <w:r>
        <w:rPr>
          <w:rtl/>
        </w:rPr>
        <w:t>לר</w:t>
      </w:r>
      <w:proofErr w:type="spellEnd"/>
      <w:r>
        <w:rPr>
          <w:rtl/>
        </w:rPr>
        <w:t xml:space="preserve">׳ מרדכי </w:t>
      </w:r>
      <w:proofErr w:type="spellStart"/>
      <w:r>
        <w:rPr>
          <w:rtl/>
        </w:rPr>
        <w:t>סנדר</w:t>
      </w:r>
      <w:proofErr w:type="spellEnd"/>
      <w:r>
        <w:rPr>
          <w:rtl/>
        </w:rPr>
        <w:t xml:space="preserve"> </w:t>
      </w:r>
      <w:proofErr w:type="spellStart"/>
      <w:r>
        <w:rPr>
          <w:rtl/>
        </w:rPr>
        <w:t>צימבליסט</w:t>
      </w:r>
      <w:proofErr w:type="spellEnd"/>
      <w:r>
        <w:rPr>
          <w:rtl/>
        </w:rPr>
        <w:t xml:space="preserve"> על עזרתו בהזכרת הדברים שנשתכחו”. הוא נולד בשנת תר״ע וגדל במינסק בישיבות המחתרת שפעלו תחת השלטון הקומוניסטי, עד שנמלט לארץ ישראל בגיל עשרים ושתיים.</w:t>
      </w:r>
    </w:p>
    <w:p w14:paraId="7493CB8B" w14:textId="77777777" w:rsidR="00AB3647" w:rsidRDefault="00000000" w:rsidP="007923E9">
      <w:pPr>
        <w:spacing w:before="120" w:after="100" w:line="276" w:lineRule="auto"/>
        <w:jc w:val="both"/>
      </w:pPr>
      <w:r>
        <w:rPr>
          <w:rtl/>
        </w:rPr>
        <w:t xml:space="preserve">אבל בעמ׳ 635 היא ממוקמת בשול “משכיל לאיתן”, בדברי צבי גורדון, הטוען שלמד שם “בשנים 1902–1903” – בזמן שרבנו היה שם! – יחד עם הסופרים (שלימים לא היו דתיים) ב. </w:t>
      </w:r>
      <w:proofErr w:type="spellStart"/>
      <w:r>
        <w:rPr>
          <w:rtl/>
        </w:rPr>
        <w:t>ולאדק</w:t>
      </w:r>
      <w:proofErr w:type="spellEnd"/>
      <w:r>
        <w:rPr>
          <w:rtl/>
        </w:rPr>
        <w:t xml:space="preserve"> מניו יורק ודוד זכאי מארץ ישראל. גורדון מספר שבשעת ביקורו של </w:t>
      </w:r>
      <w:proofErr w:type="spellStart"/>
      <w:r>
        <w:rPr>
          <w:rtl/>
        </w:rPr>
        <w:t>ולאדק</w:t>
      </w:r>
      <w:proofErr w:type="spellEnd"/>
      <w:r>
        <w:rPr>
          <w:rtl/>
        </w:rPr>
        <w:t xml:space="preserve"> בארץ ישראל בשנת תש״ד ביקרו זכאי </w:t>
      </w:r>
      <w:proofErr w:type="spellStart"/>
      <w:r>
        <w:rPr>
          <w:rtl/>
        </w:rPr>
        <w:t>וולאדק</w:t>
      </w:r>
      <w:proofErr w:type="spellEnd"/>
      <w:r>
        <w:rPr>
          <w:rtl/>
        </w:rPr>
        <w:t xml:space="preserve"> אצל ראש ישיבתם לשעבר במינסק, ר׳ שלמה </w:t>
      </w:r>
      <w:proofErr w:type="spellStart"/>
      <w:r>
        <w:rPr>
          <w:rtl/>
        </w:rPr>
        <w:t>גולובנצ׳יץ</w:t>
      </w:r>
      <w:proofErr w:type="spellEnd"/>
      <w:r>
        <w:rPr>
          <w:rtl/>
        </w:rPr>
        <w:t xml:space="preserve">. אחר כך שאל גורדון את הרב </w:t>
      </w:r>
      <w:proofErr w:type="spellStart"/>
      <w:r>
        <w:rPr>
          <w:rtl/>
        </w:rPr>
        <w:t>גולובנצ׳יץ</w:t>
      </w:r>
      <w:proofErr w:type="spellEnd"/>
      <w:r>
        <w:rPr>
          <w:rtl/>
        </w:rPr>
        <w:t xml:space="preserve"> איזה רושם עשו עליו שני תלמידיו </w:t>
      </w:r>
      <w:proofErr w:type="spellStart"/>
      <w:r>
        <w:rPr>
          <w:rtl/>
        </w:rPr>
        <w:t>שנתפרסמו</w:t>
      </w:r>
      <w:proofErr w:type="spellEnd"/>
      <w:r>
        <w:rPr>
          <w:rtl/>
        </w:rPr>
        <w:t>, והוא השיב במילים שבהן פותחת תוכחתו של ישעיהו הנביא: “בנים גידלתי ורוממתי והם פשעו בי.”</w:t>
      </w:r>
    </w:p>
    <w:p w14:paraId="64F49485" w14:textId="640F8C1F" w:rsidR="00AB3647" w:rsidRDefault="00000000" w:rsidP="007923E9">
      <w:pPr>
        <w:spacing w:before="120" w:after="100" w:line="276" w:lineRule="auto"/>
        <w:jc w:val="both"/>
      </w:pPr>
      <w:r>
        <w:rPr>
          <w:rtl/>
        </w:rPr>
        <w:t>אין לפסול את המקור השני בעניין מקומה של הישיבה, שכן גורדון למד שם בעצמו ולא הסתמך על שמועה, כמו גרשוני – זאת אף שטעה גורדון ב</w:t>
      </w:r>
      <w:r>
        <w:rPr>
          <w:b/>
          <w:bCs/>
          <w:rtl/>
        </w:rPr>
        <w:t>תאריך</w:t>
      </w:r>
      <w:r>
        <w:rPr>
          <w:rtl/>
        </w:rPr>
        <w:t xml:space="preserve"> הביקור: ר׳ שלמה נפטר חמש שנים קודם לכן, </w:t>
      </w:r>
      <w:proofErr w:type="spellStart"/>
      <w:r>
        <w:rPr>
          <w:rtl/>
        </w:rPr>
        <w:t>וולאדק</w:t>
      </w:r>
      <w:proofErr w:type="spellEnd"/>
      <w:r>
        <w:rPr>
          <w:rtl/>
        </w:rPr>
        <w:t xml:space="preserve"> שש שנים קודם לכן. לפי מאמרו של הרב </w:t>
      </w:r>
      <w:proofErr w:type="spellStart"/>
      <w:r>
        <w:rPr>
          <w:rtl/>
        </w:rPr>
        <w:t>אהרן־בן־ציון</w:t>
      </w:r>
      <w:proofErr w:type="spellEnd"/>
      <w:r>
        <w:rPr>
          <w:rtl/>
        </w:rPr>
        <w:t xml:space="preserve"> </w:t>
      </w:r>
      <w:proofErr w:type="spellStart"/>
      <w:r>
        <w:rPr>
          <w:rtl/>
        </w:rPr>
        <w:t>שורין</w:t>
      </w:r>
      <w:proofErr w:type="spellEnd"/>
      <w:r>
        <w:rPr>
          <w:rtl/>
        </w:rPr>
        <w:t xml:space="preserve"> </w:t>
      </w:r>
      <w:proofErr w:type="spellStart"/>
      <w:r>
        <w:rPr>
          <w:rtl/>
        </w:rPr>
        <w:t>ב“פארווערטס</w:t>
      </w:r>
      <w:proofErr w:type="spellEnd"/>
      <w:r>
        <w:rPr>
          <w:rtl/>
        </w:rPr>
        <w:t>”</w:t>
      </w:r>
      <w:bookmarkStart w:id="860" w:name="_fnr526"/>
      <w:r>
        <w:rPr>
          <w:rStyle w:val="a5"/>
        </w:rPr>
        <w:footnoteReference w:id="526" w:customMarkFollows="0"/>
      </w:r>
      <w:bookmarkEnd w:id="860"/>
      <w:r>
        <w:rPr>
          <w:rtl/>
        </w:rPr>
        <w:t xml:space="preserve"> למד אבי בבית המדרש הקטן אחרי שעזב את שול </w:t>
      </w:r>
      <w:proofErr w:type="spellStart"/>
      <w:r>
        <w:rPr>
          <w:rtl/>
        </w:rPr>
        <w:t>טטרשה</w:t>
      </w:r>
      <w:proofErr w:type="spellEnd"/>
      <w:r>
        <w:rPr>
          <w:rtl/>
        </w:rPr>
        <w:t xml:space="preserve">. לכן סבור אני שר׳ שלמה העביר את ישיבתו ממקום למקום, משול “משכיל לאיתן” לבית המדרש הקטן, בזמן שאבי היה תלמיד בה “בשנים 1902–1903”. והשווה גם הערה </w:t>
      </w:r>
      <w:r>
        <w:rPr>
          <w:rtl/>
        </w:rPr>
        <w:fldChar w:fldCharType="begin" w:dirty="true"/>
      </w:r>
      <w:r>
        <w:rPr>
          <w:rtl/>
        </w:rPr>
        <w:instrText xml:space="preserve"> REF b2_note103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103</w:t>
      </w:r>
      <w:r>
        <w:rPr>
          <w:rtl/>
        </w:rPr>
        <w:fldChar w:fldCharType="end"/>
      </w:r>
      <w:r>
        <w:rPr>
          <w:rtl/>
        </w:rPr>
        <w:t xml:space="preserve"> להלן, עוד על הרב </w:t>
      </w:r>
      <w:proofErr w:type="spellStart"/>
      <w:r>
        <w:rPr>
          <w:rtl/>
        </w:rPr>
        <w:t>גולובנצ׳יץ</w:t>
      </w:r>
      <w:proofErr w:type="spellEnd"/>
      <w:r>
        <w:rPr>
          <w:rtl/>
        </w:rPr>
        <w:t>.</w:t>
      </w:r>
    </w:p>
    <w:bookmarkStart w:id="861" w:name="b2_note31"/>
    <w:p w14:paraId="15F2AA6E" w14:textId="77777777" w:rsidR="00AB3647" w:rsidRDefault="00000000" w:rsidP="007923E9">
      <w:pPr>
        <w:spacing w:before="120" w:after="100" w:line="276" w:lineRule="auto"/>
        <w:jc w:val="both"/>
      </w:pPr>
      <w:r>
        <w:fldChar w:fldCharType="begin" w:dirty="true"/>
      </w:r>
      <w:r>
        <w:instrText>HYPERLINK \l "b2_ref31"</w:instrText>
      </w:r>
      <w:r>
        <w:fldChar w:fldCharType="separate"/>
      </w:r>
      <w:r>
        <w:rPr>
          <w:b/>
          <w:bCs/>
          <w:rtl/>
        </w:rPr>
        <w:t>31</w:t>
      </w:r>
      <w:r>
        <w:rPr>
          <w:b/>
          <w:bCs/>
        </w:rPr>
        <w:fldChar w:fldCharType="end"/>
      </w:r>
      <w:bookmarkEnd w:id="861"/>
      <w:r>
        <w:rPr>
          <w:rtl/>
        </w:rPr>
        <w:t xml:space="preserve"> נכדיו, ר׳ אהרן ור׳ אריה </w:t>
      </w:r>
      <w:proofErr w:type="spellStart"/>
      <w:r>
        <w:rPr>
          <w:rtl/>
        </w:rPr>
        <w:t>גולובנצ׳יץ</w:t>
      </w:r>
      <w:proofErr w:type="spellEnd"/>
      <w:r>
        <w:rPr>
          <w:rtl/>
        </w:rPr>
        <w:t>, סיפרו</w:t>
      </w:r>
      <w:bookmarkStart w:id="862" w:name="_fnr527"/>
      <w:r>
        <w:rPr>
          <w:rStyle w:val="a5"/>
        </w:rPr>
        <w:footnoteReference w:id="527" w:customMarkFollows="0"/>
      </w:r>
      <w:bookmarkEnd w:id="862"/>
      <w:r>
        <w:rPr>
          <w:rtl/>
        </w:rPr>
        <w:t xml:space="preserve"> שאבי פגש בהם, כל אחד בתורו, בשני לילות רצופים בשעת ביקורו בירושלים בשנת תשמ״א. בלילה הראשון חזר על השאלה המדויקת שבה בחן אותו סבם לקבלתו לישיבה ועל תשובתו, ובלילה השני – על השאלה המדויקת ששאל סבם פעם את חברו אהרן פינס</w:t>
      </w:r>
      <w:bookmarkStart w:id="863" w:name="_fnr528"/>
      <w:r>
        <w:rPr>
          <w:rStyle w:val="a5"/>
        </w:rPr>
        <w:footnoteReference w:id="528" w:customMarkFollows="0"/>
      </w:r>
      <w:bookmarkEnd w:id="863"/>
      <w:r>
        <w:rPr>
          <w:rtl/>
        </w:rPr>
        <w:t>, ושנשארה בלי תשובה.</w:t>
      </w:r>
    </w:p>
    <w:p w14:paraId="1980F7F5" w14:textId="77777777" w:rsidR="00AB3647" w:rsidRDefault="00000000" w:rsidP="007923E9">
      <w:pPr>
        <w:spacing w:after="100" w:line="276" w:lineRule="auto"/>
        <w:ind w:firstLine="340"/>
        <w:jc w:val="both"/>
      </w:pPr>
      <w:r>
        <w:rPr>
          <w:rtl/>
        </w:rPr>
        <w:t xml:space="preserve">אחרי כהונתו במינסק נעשה ר׳ שלמה רבה של העיירה הקטנה </w:t>
      </w:r>
      <w:proofErr w:type="spellStart"/>
      <w:r>
        <w:rPr>
          <w:rtl/>
        </w:rPr>
        <w:t>מהילנה</w:t>
      </w:r>
      <w:proofErr w:type="spellEnd"/>
      <w:r>
        <w:rPr>
          <w:rtl/>
        </w:rPr>
        <w:t xml:space="preserve">, ואחר כך של העיר </w:t>
      </w:r>
      <w:proofErr w:type="spellStart"/>
      <w:r>
        <w:rPr>
          <w:rtl/>
        </w:rPr>
        <w:t>מוהילוב</w:t>
      </w:r>
      <w:proofErr w:type="spellEnd"/>
      <w:r>
        <w:rPr>
          <w:rtl/>
        </w:rPr>
        <w:t xml:space="preserve">, ונודע בכינוי “הרב החכם”. בתו, </w:t>
      </w:r>
      <w:proofErr w:type="spellStart"/>
      <w:r>
        <w:rPr>
          <w:rtl/>
        </w:rPr>
        <w:t>פייע</w:t>
      </w:r>
      <w:proofErr w:type="spellEnd"/>
      <w:r>
        <w:rPr>
          <w:rtl/>
        </w:rPr>
        <w:t xml:space="preserve"> פינס, גילתה</w:t>
      </w:r>
      <w:bookmarkStart w:id="864" w:name="_fnr529"/>
      <w:r>
        <w:rPr>
          <w:rStyle w:val="a5"/>
        </w:rPr>
        <w:footnoteReference w:id="529" w:customMarkFollows="0"/>
      </w:r>
      <w:bookmarkEnd w:id="864"/>
      <w:r>
        <w:rPr>
          <w:rtl/>
        </w:rPr>
        <w:t xml:space="preserve"> שחדל ממלאכת ההוראה משום שהרופאים אמרו שהוא “מאמץ את לבו” במסירת השיעורים. בעל נכדתו, ר׳ זאב </w:t>
      </w:r>
      <w:proofErr w:type="spellStart"/>
      <w:r>
        <w:rPr>
          <w:rtl/>
        </w:rPr>
        <w:t>גצל</w:t>
      </w:r>
      <w:proofErr w:type="spellEnd"/>
      <w:r>
        <w:rPr>
          <w:rtl/>
        </w:rPr>
        <w:t>, סיפר</w:t>
      </w:r>
      <w:bookmarkStart w:id="865" w:name="_fnr530"/>
      <w:r>
        <w:rPr>
          <w:rStyle w:val="a5"/>
        </w:rPr>
        <w:footnoteReference w:id="530" w:customMarkFollows="0"/>
      </w:r>
      <w:bookmarkEnd w:id="865"/>
      <w:r>
        <w:rPr>
          <w:rtl/>
        </w:rPr>
        <w:t xml:space="preserve"> שהרב </w:t>
      </w:r>
      <w:proofErr w:type="spellStart"/>
      <w:r>
        <w:rPr>
          <w:rtl/>
        </w:rPr>
        <w:t>גולובנצ׳יץ</w:t>
      </w:r>
      <w:proofErr w:type="spellEnd"/>
      <w:r>
        <w:rPr>
          <w:rtl/>
        </w:rPr>
        <w:t xml:space="preserve"> נשאר מורה נלהב גם אחרי שבא לירושלים. הוא מסר שיעורים לתלמידי </w:t>
      </w:r>
      <w:r>
        <w:rPr>
          <w:rtl/>
        </w:rPr>
        <w:lastRenderedPageBreak/>
        <w:t xml:space="preserve">ישיבה קטנה בישיבת מאה שערים בהתלהבות כזו, שאיש מן התלמידים הצעירים לא רצה להשאיל לו את הגמרא שלו לקרוא בה: בסערת רוחו היה מכה בידיו על הסטנדר, והספר היה בסכנת קריעה. הרב </w:t>
      </w:r>
      <w:proofErr w:type="spellStart"/>
      <w:r>
        <w:rPr>
          <w:rtl/>
        </w:rPr>
        <w:t>גולובנצ׳יץ</w:t>
      </w:r>
      <w:proofErr w:type="spellEnd"/>
      <w:r>
        <w:rPr>
          <w:rtl/>
        </w:rPr>
        <w:t xml:space="preserve"> נפטר בירושלים בשנת תרצ״ט.</w:t>
      </w:r>
    </w:p>
    <w:p w14:paraId="03B53C1D" w14:textId="437F807D"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מתוך סקרנותו הטבעית עבר על כל הספרים שבספריית שול “משכיל לאיתן” לפני שעזב, ונתקל בכרך של דרשות לבר מצווה. הוא חשב שיזדקק לדרשה לבר המצווה שלו, שחלה בעוד שבעה חודשים, ולכן שינן בעל פה אחת מן הדרשות הנדפסות. הוא למד אצל ר׳ שלמה בזמן הקיץ, לפני שהחליט לעבור לישיבה נוספת </w:t>
      </w:r>
      <w:proofErr w:type="spellStart"/>
      <w:r>
        <w:rPr>
          <w:rtl/>
        </w:rPr>
        <w:t>בשולהויף</w:t>
      </w:r>
      <w:proofErr w:type="spellEnd"/>
      <w:r>
        <w:rPr>
          <w:rtl/>
        </w:rPr>
        <w:t xml:space="preserve">, </w:t>
      </w:r>
      <w:proofErr w:type="spellStart"/>
      <w:r>
        <w:rPr>
          <w:rtl/>
        </w:rPr>
        <w:t>הקלויז</w:t>
      </w:r>
      <w:proofErr w:type="spellEnd"/>
      <w:r>
        <w:rPr>
          <w:rtl/>
        </w:rPr>
        <w:t xml:space="preserve"> של </w:t>
      </w:r>
      <w:proofErr w:type="spellStart"/>
      <w:r>
        <w:rPr>
          <w:rtl/>
        </w:rPr>
        <w:t>בלומקה</w:t>
      </w:r>
      <w:proofErr w:type="spellEnd"/>
      <w:r>
        <w:rPr>
          <w:rtl/>
        </w:rPr>
        <w:t xml:space="preserve"> הנודע.</w:t>
      </w:r>
      <w:bookmarkStart w:id="866" w:name="b2_ref32"/>
      <w:bookmarkEnd w:id="866"/>
      <w:r>
        <w:rPr>
          <w:vertAlign w:val="superscript"/>
          <w:rtl/>
        </w:rPr>
        <w:fldChar w:fldCharType="begin" w:dirty="true"/>
      </w:r>
      <w:r>
        <w:rPr>
          <w:vertAlign w:val="superscript"/>
          <w:rtl/>
        </w:rPr>
        <w:instrText xml:space="preserve"> REF b2_note32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32</w:t>
      </w:r>
      <w:r>
        <w:rPr>
          <w:vertAlign w:val="superscript"/>
          <w:rtl/>
        </w:rPr>
        <w:fldChar w:fldCharType="end"/>
      </w:r>
    </w:p>
    <w:bookmarkStart w:id="867" w:name="b2_note32"/>
    <w:p w14:paraId="5ACFCA4C" w14:textId="77777777" w:rsidR="00AB3647" w:rsidRDefault="00000000" w:rsidP="007923E9">
      <w:pPr>
        <w:spacing w:before="120" w:after="100" w:line="276" w:lineRule="auto"/>
        <w:jc w:val="both"/>
      </w:pPr>
      <w:r>
        <w:fldChar w:fldCharType="begin" w:dirty="true"/>
      </w:r>
      <w:r>
        <w:instrText>HYPERLINK \l "b2_ref32"</w:instrText>
      </w:r>
      <w:r>
        <w:fldChar w:fldCharType="separate"/>
      </w:r>
      <w:r>
        <w:rPr>
          <w:b/>
          <w:bCs/>
          <w:rtl/>
        </w:rPr>
        <w:t>32</w:t>
      </w:r>
      <w:r>
        <w:rPr>
          <w:b/>
          <w:bCs/>
        </w:rPr>
        <w:fldChar w:fldCharType="end"/>
      </w:r>
      <w:bookmarkEnd w:id="867"/>
      <w:r>
        <w:rPr>
          <w:rtl/>
        </w:rPr>
        <w:t xml:space="preserve"> כך סיפר אבי לבני ר׳ יוסף, בשעת ביקור בארץ ישראל, בסעודת שבת בכ״ג בטבת </w:t>
      </w:r>
      <w:proofErr w:type="spellStart"/>
      <w:r>
        <w:rPr>
          <w:rtl/>
        </w:rPr>
        <w:t>תש״ם</w:t>
      </w:r>
      <w:proofErr w:type="spellEnd"/>
      <w:r>
        <w:rPr>
          <w:rtl/>
        </w:rPr>
        <w:t>.</w:t>
      </w:r>
      <w:bookmarkStart w:id="868" w:name="_fnr531"/>
      <w:r>
        <w:rPr>
          <w:rStyle w:val="a5"/>
        </w:rPr>
        <w:footnoteReference w:id="531" w:customMarkFollows="0"/>
      </w:r>
      <w:bookmarkEnd w:id="868"/>
    </w:p>
    <w:p w14:paraId="7090B46D" w14:textId="0D712596"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proofErr w:type="spellStart"/>
      <w:r>
        <w:rPr>
          <w:rtl/>
        </w:rPr>
        <w:t>בלומקה</w:t>
      </w:r>
      <w:proofErr w:type="spellEnd"/>
      <w:r>
        <w:rPr>
          <w:rtl/>
        </w:rPr>
        <w:t xml:space="preserve"> </w:t>
      </w:r>
      <w:proofErr w:type="spellStart"/>
      <w:r>
        <w:rPr>
          <w:rtl/>
        </w:rPr>
        <w:t>וילנקין</w:t>
      </w:r>
      <w:proofErr w:type="spellEnd"/>
      <w:r>
        <w:rPr>
          <w:rtl/>
        </w:rPr>
        <w:t>, תושבת מינסק עשירה, תמכה בר׳ לייב ראש ישיבה</w:t>
      </w:r>
      <w:bookmarkStart w:id="869" w:name="b2_ref33"/>
      <w:bookmarkEnd w:id="869"/>
      <w:r>
        <w:rPr>
          <w:vertAlign w:val="superscript"/>
          <w:rtl/>
        </w:rPr>
        <w:fldChar w:fldCharType="begin" w:dirty="true"/>
      </w:r>
      <w:r>
        <w:rPr>
          <w:vertAlign w:val="superscript"/>
          <w:rtl/>
        </w:rPr>
        <w:instrText xml:space="preserve"> REF b2_note33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33</w:t>
      </w:r>
      <w:r>
        <w:rPr>
          <w:vertAlign w:val="superscript"/>
          <w:rtl/>
        </w:rPr>
        <w:fldChar w:fldCharType="end"/>
      </w:r>
      <w:r>
        <w:rPr>
          <w:rtl/>
        </w:rPr>
        <w:t xml:space="preserve"> אחרי שהקהילה הפסיקה את משכורתו בגלל מחלוקתו עם הרב. לפני שעזב החכם את העיר לצמיתות, בירך את </w:t>
      </w:r>
      <w:proofErr w:type="spellStart"/>
      <w:r>
        <w:rPr>
          <w:rtl/>
        </w:rPr>
        <w:t>בלומקה</w:t>
      </w:r>
      <w:proofErr w:type="spellEnd"/>
      <w:r>
        <w:rPr>
          <w:rtl/>
        </w:rPr>
        <w:t xml:space="preserve"> שתזכה לשתי טובות: שעירה מינסק תזכה לרב הגון, ושתשב בארץ ישראל יום אחד.</w:t>
      </w:r>
    </w:p>
    <w:bookmarkStart w:id="870" w:name="b2_note33"/>
    <w:p w14:paraId="7A66AC3C" w14:textId="77777777" w:rsidR="00AB3647" w:rsidRDefault="00000000" w:rsidP="007923E9">
      <w:pPr>
        <w:spacing w:before="120" w:after="100" w:line="276" w:lineRule="auto"/>
        <w:jc w:val="both"/>
      </w:pPr>
      <w:r>
        <w:fldChar w:fldCharType="begin" w:dirty="true"/>
      </w:r>
      <w:r>
        <w:instrText>HYPERLINK \l "b2_ref33"</w:instrText>
      </w:r>
      <w:r>
        <w:fldChar w:fldCharType="separate"/>
      </w:r>
      <w:r>
        <w:rPr>
          <w:b/>
          <w:bCs/>
          <w:rtl/>
        </w:rPr>
        <w:t>33</w:t>
      </w:r>
      <w:r>
        <w:rPr>
          <w:b/>
          <w:bCs/>
        </w:rPr>
        <w:fldChar w:fldCharType="end"/>
      </w:r>
      <w:bookmarkEnd w:id="870"/>
      <w:r>
        <w:rPr>
          <w:rtl/>
        </w:rPr>
        <w:t xml:space="preserve"> מן ההכרח שהדבר אירע בשהותו השנייה של השאגת אריה במינסק, ושהרב שהיה אז במחלוקת עמו היה ר׳ משה,</w:t>
      </w:r>
      <w:bookmarkStart w:id="871" w:name="_fnr532"/>
      <w:r>
        <w:rPr>
          <w:rStyle w:val="a5"/>
        </w:rPr>
        <w:footnoteReference w:id="532" w:customMarkFollows="0"/>
      </w:r>
      <w:bookmarkEnd w:id="871"/>
      <w:r>
        <w:rPr>
          <w:rtl/>
        </w:rPr>
        <w:t xml:space="preserve"> שהרי בשהותו הראשונה הייתה </w:t>
      </w:r>
      <w:proofErr w:type="spellStart"/>
      <w:r>
        <w:rPr>
          <w:rtl/>
        </w:rPr>
        <w:t>בלומקה</w:t>
      </w:r>
      <w:proofErr w:type="spellEnd"/>
      <w:r>
        <w:rPr>
          <w:rtl/>
        </w:rPr>
        <w:t>, כך מסופר, אישה ענייה שמכרה חלות ונרות לשבת. מסופר שכאשר הועלה השאגת אריה על עגלה וגורש מן העיר ביום שישי אחר הצהריים</w:t>
      </w:r>
      <w:bookmarkStart w:id="872" w:name="_fnr533"/>
      <w:r>
        <w:rPr>
          <w:rStyle w:val="a5"/>
        </w:rPr>
        <w:footnoteReference w:id="533" w:customMarkFollows="0"/>
      </w:r>
      <w:bookmarkEnd w:id="872"/>
      <w:r>
        <w:rPr>
          <w:rtl/>
        </w:rPr>
        <w:t xml:space="preserve"> בתום שהותו הראשונה במינסק, בסביבות תק״ב, רצה אליו והגישה לו את מרכולתה, ואז בירך אותה שתתעשר. עד ששב למינסק בפעם השנייה, הקצרה יותר, כבר נשאה ברכתו פרי.</w:t>
      </w:r>
    </w:p>
    <w:p w14:paraId="4FEA76B4" w14:textId="48BBADBB" w:rsidR="00AB3647" w:rsidRDefault="00000000" w:rsidP="007923E9">
      <w:pPr>
        <w:spacing w:before="120" w:after="100" w:line="276" w:lineRule="auto"/>
        <w:jc w:val="both"/>
      </w:pPr>
      <w:r>
        <w:rPr>
          <w:rtl/>
        </w:rPr>
        <w:t xml:space="preserve">במשפחת </w:t>
      </w:r>
      <w:proofErr w:type="spellStart"/>
      <w:r>
        <w:rPr>
          <w:rtl/>
        </w:rPr>
        <w:t>וילנקין</w:t>
      </w:r>
      <w:proofErr w:type="spellEnd"/>
      <w:r>
        <w:rPr>
          <w:rtl/>
        </w:rPr>
        <w:t xml:space="preserve"> הייתה מסורת שכאשר נתנה לו את החלות והנרות, בירך אותה הגאון אסיר התודה בברכה היידית המקובלת “</w:t>
      </w:r>
      <w:proofErr w:type="spellStart"/>
      <w:r>
        <w:rPr>
          <w:rtl/>
        </w:rPr>
        <w:t>לאנג</w:t>
      </w:r>
      <w:proofErr w:type="spellEnd"/>
      <w:r>
        <w:rPr>
          <w:rtl/>
        </w:rPr>
        <w:t xml:space="preserve"> </w:t>
      </w:r>
      <w:proofErr w:type="spellStart"/>
      <w:r>
        <w:rPr>
          <w:rtl/>
        </w:rPr>
        <w:t>לעבען</w:t>
      </w:r>
      <w:proofErr w:type="spellEnd"/>
      <w:r>
        <w:rPr>
          <w:rtl/>
        </w:rPr>
        <w:t xml:space="preserve"> </w:t>
      </w:r>
      <w:proofErr w:type="spellStart"/>
      <w:r>
        <w:rPr>
          <w:rtl/>
        </w:rPr>
        <w:t>זאלט</w:t>
      </w:r>
      <w:proofErr w:type="spellEnd"/>
      <w:r>
        <w:rPr>
          <w:rtl/>
        </w:rPr>
        <w:t xml:space="preserve"> איר” [שתאריכי ימים]. בשל כך האריכו כולן ימים מעבר למאה שנה – היא, בתה ונכדתה, שנפטרה בתל אביב. והשווה גם הערה </w:t>
      </w:r>
      <w:r>
        <w:rPr>
          <w:rtl/>
        </w:rPr>
        <w:fldChar w:fldCharType="begin" w:dirty="true"/>
      </w:r>
      <w:r>
        <w:rPr>
          <w:rtl/>
        </w:rPr>
        <w:instrText xml:space="preserve"> REF b2_note35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35</w:t>
      </w:r>
      <w:r>
        <w:rPr>
          <w:rtl/>
        </w:rPr>
        <w:fldChar w:fldCharType="end"/>
      </w:r>
      <w:r>
        <w:rPr>
          <w:rtl/>
        </w:rPr>
        <w:t xml:space="preserve"> להלן.</w:t>
      </w:r>
    </w:p>
    <w:p w14:paraId="70D8A96F" w14:textId="333C9ADC"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שנים רבות אחר כך, כששקלה הגבירה לעלות לארץ ישראל, אמר לה מי שהיה רב העיר באותה עת שתוכל לזכות </w:t>
      </w:r>
      <w:proofErr w:type="spellStart"/>
      <w:r>
        <w:rPr>
          <w:rtl/>
        </w:rPr>
        <w:t>ב“ארץ</w:t>
      </w:r>
      <w:proofErr w:type="spellEnd"/>
      <w:r>
        <w:rPr>
          <w:rtl/>
        </w:rPr>
        <w:t xml:space="preserve"> ישראל” </w:t>
      </w:r>
      <w:r>
        <w:rPr>
          <w:b/>
          <w:bCs/>
          <w:rtl/>
        </w:rPr>
        <w:t>בתוך</w:t>
      </w:r>
      <w:r>
        <w:rPr>
          <w:rtl/>
        </w:rPr>
        <w:t xml:space="preserve"> מינסק</w:t>
      </w:r>
      <w:bookmarkStart w:id="873" w:name="b2_ref34"/>
      <w:bookmarkEnd w:id="873"/>
      <w:r>
        <w:rPr>
          <w:vertAlign w:val="superscript"/>
          <w:rtl/>
        </w:rPr>
        <w:fldChar w:fldCharType="begin" w:dirty="true"/>
      </w:r>
      <w:r>
        <w:rPr>
          <w:vertAlign w:val="superscript"/>
          <w:rtl/>
        </w:rPr>
        <w:instrText xml:space="preserve"> REF b2_note34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34</w:t>
      </w:r>
      <w:r>
        <w:rPr>
          <w:vertAlign w:val="superscript"/>
          <w:rtl/>
        </w:rPr>
        <w:fldChar w:fldCharType="end"/>
      </w:r>
      <w:r>
        <w:rPr>
          <w:rtl/>
        </w:rPr>
        <w:t xml:space="preserve"> אם תבנה שם שול.</w:t>
      </w:r>
      <w:bookmarkStart w:id="874" w:name="b2_ref35"/>
      <w:bookmarkEnd w:id="874"/>
      <w:r>
        <w:rPr>
          <w:vertAlign w:val="superscript"/>
          <w:rtl/>
        </w:rPr>
        <w:fldChar w:fldCharType="begin" w:dirty="true"/>
      </w:r>
      <w:r>
        <w:rPr>
          <w:vertAlign w:val="superscript"/>
          <w:rtl/>
        </w:rPr>
        <w:instrText xml:space="preserve"> REF b2_note35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35</w:t>
      </w:r>
      <w:r>
        <w:rPr>
          <w:vertAlign w:val="superscript"/>
          <w:rtl/>
        </w:rPr>
        <w:fldChar w:fldCharType="end"/>
      </w:r>
      <w:r>
        <w:rPr>
          <w:rtl/>
        </w:rPr>
        <w:t xml:space="preserve"> היא קיבלה את הצעתו ובנתה את הקלויז,</w:t>
      </w:r>
      <w:bookmarkStart w:id="875" w:name="b2_ref36"/>
      <w:bookmarkEnd w:id="875"/>
      <w:r>
        <w:rPr>
          <w:vertAlign w:val="superscript"/>
          <w:rtl/>
        </w:rPr>
        <w:fldChar w:fldCharType="begin" w:dirty="true"/>
      </w:r>
      <w:r>
        <w:rPr>
          <w:vertAlign w:val="superscript"/>
          <w:rtl/>
        </w:rPr>
        <w:instrText xml:space="preserve"> REF b2_note36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36</w:t>
      </w:r>
      <w:r>
        <w:rPr>
          <w:vertAlign w:val="superscript"/>
          <w:rtl/>
        </w:rPr>
        <w:fldChar w:fldCharType="end"/>
      </w:r>
      <w:r>
        <w:rPr>
          <w:rtl/>
        </w:rPr>
        <w:t xml:space="preserve"> שנעשה לימים לשם דבר בעולם התורה, ויצאו ממנו מאות בני תורה ועשרות תלמידי חכמים גדולים. בימי זוהרה של ישיבת </w:t>
      </w:r>
      <w:proofErr w:type="spellStart"/>
      <w:r>
        <w:rPr>
          <w:rtl/>
        </w:rPr>
        <w:t>וולוז׳ין</w:t>
      </w:r>
      <w:proofErr w:type="spellEnd"/>
      <w:r>
        <w:rPr>
          <w:rtl/>
        </w:rPr>
        <w:t xml:space="preserve"> הגדולה, “עץ חיים”, שימש </w:t>
      </w:r>
      <w:proofErr w:type="spellStart"/>
      <w:r>
        <w:rPr>
          <w:rtl/>
        </w:rPr>
        <w:t>הקלויז</w:t>
      </w:r>
      <w:proofErr w:type="spellEnd"/>
      <w:r>
        <w:rPr>
          <w:rtl/>
        </w:rPr>
        <w:t xml:space="preserve"> של </w:t>
      </w:r>
      <w:proofErr w:type="spellStart"/>
      <w:r>
        <w:rPr>
          <w:rtl/>
        </w:rPr>
        <w:t>בלומקה</w:t>
      </w:r>
      <w:proofErr w:type="spellEnd"/>
      <w:r>
        <w:rPr>
          <w:rtl/>
        </w:rPr>
        <w:t xml:space="preserve"> מכינה לקראתה.</w:t>
      </w:r>
      <w:bookmarkStart w:id="876" w:name="b2_ref37"/>
      <w:bookmarkEnd w:id="876"/>
      <w:r>
        <w:rPr>
          <w:vertAlign w:val="superscript"/>
          <w:rtl/>
        </w:rPr>
        <w:fldChar w:fldCharType="begin" w:dirty="true"/>
      </w:r>
      <w:r>
        <w:rPr>
          <w:vertAlign w:val="superscript"/>
          <w:rtl/>
        </w:rPr>
        <w:instrText xml:space="preserve"> REF b2_note37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37</w:t>
      </w:r>
      <w:r>
        <w:rPr>
          <w:vertAlign w:val="superscript"/>
          <w:rtl/>
        </w:rPr>
        <w:fldChar w:fldCharType="end"/>
      </w:r>
      <w:r>
        <w:rPr>
          <w:rtl/>
        </w:rPr>
        <w:t xml:space="preserve"> שמה של הישיבה כראשונה במעלה הוא שמשך את אבי כשביקש שוב להחליף את מקום לימודו.</w:t>
      </w:r>
    </w:p>
    <w:bookmarkStart w:id="877" w:name="b2_note34"/>
    <w:p w14:paraId="42E9038E" w14:textId="77777777" w:rsidR="00AB3647" w:rsidRDefault="00000000" w:rsidP="007923E9">
      <w:pPr>
        <w:spacing w:before="120" w:after="100" w:line="276" w:lineRule="auto"/>
        <w:jc w:val="both"/>
      </w:pPr>
      <w:r>
        <w:lastRenderedPageBreak/>
        <w:fldChar w:fldCharType="begin" w:dirty="true"/>
      </w:r>
      <w:r>
        <w:instrText>HYPERLINK \l "b2_ref34"</w:instrText>
      </w:r>
      <w:r>
        <w:fldChar w:fldCharType="separate"/>
      </w:r>
      <w:r>
        <w:rPr>
          <w:b/>
          <w:bCs/>
          <w:rtl/>
        </w:rPr>
        <w:t>34</w:t>
      </w:r>
      <w:r>
        <w:rPr>
          <w:b/>
          <w:bCs/>
        </w:rPr>
        <w:fldChar w:fldCharType="end"/>
      </w:r>
      <w:bookmarkEnd w:id="877"/>
      <w:r>
        <w:rPr>
          <w:rtl/>
        </w:rPr>
        <w:t xml:space="preserve"> ע׳ </w:t>
      </w:r>
      <w:proofErr w:type="spellStart"/>
      <w:r>
        <w:rPr>
          <w:rtl/>
        </w:rPr>
        <w:t>מהרש״א</w:t>
      </w:r>
      <w:proofErr w:type="spellEnd"/>
      <w:r>
        <w:rPr>
          <w:rtl/>
        </w:rPr>
        <w:t xml:space="preserve"> ברכות ח׳ ע״א ד״ה הנוגעים בנחלה.</w:t>
      </w:r>
    </w:p>
    <w:bookmarkStart w:id="878" w:name="b2_note35"/>
    <w:p w14:paraId="003A3EB9" w14:textId="77777777" w:rsidR="00AB3647" w:rsidRDefault="00000000" w:rsidP="007923E9">
      <w:pPr>
        <w:spacing w:before="120" w:after="100" w:line="276" w:lineRule="auto"/>
        <w:jc w:val="both"/>
      </w:pPr>
      <w:r>
        <w:fldChar w:fldCharType="begin" w:dirty="true"/>
      </w:r>
      <w:r>
        <w:instrText>HYPERLINK \l "b2_ref35"</w:instrText>
      </w:r>
      <w:r>
        <w:fldChar w:fldCharType="separate"/>
      </w:r>
      <w:r>
        <w:rPr>
          <w:b/>
          <w:bCs/>
          <w:rtl/>
        </w:rPr>
        <w:t>35</w:t>
      </w:r>
      <w:r>
        <w:rPr>
          <w:b/>
          <w:bCs/>
        </w:rPr>
        <w:fldChar w:fldCharType="end"/>
      </w:r>
      <w:bookmarkEnd w:id="878"/>
      <w:r>
        <w:rPr>
          <w:rtl/>
        </w:rPr>
        <w:t xml:space="preserve"> רב אחד אמר לה גם שאין לה צורך למהר לעזוב את מינסק, שהרי ברכת השאגת אריה תתקיים בוודאי, ובימי חייה תגיע לארץ ישראל. לפי ר׳ שלום </w:t>
      </w:r>
      <w:proofErr w:type="spellStart"/>
      <w:r>
        <w:rPr>
          <w:rtl/>
        </w:rPr>
        <w:t>שבדרון</w:t>
      </w:r>
      <w:proofErr w:type="spellEnd"/>
      <w:r>
        <w:rPr>
          <w:rtl/>
        </w:rPr>
        <w:t xml:space="preserve"> היה זה ר׳ חיים </w:t>
      </w:r>
      <w:proofErr w:type="spellStart"/>
      <w:r>
        <w:rPr>
          <w:rtl/>
        </w:rPr>
        <w:t>מוולוז׳ין</w:t>
      </w:r>
      <w:proofErr w:type="spellEnd"/>
      <w:r>
        <w:rPr>
          <w:rtl/>
        </w:rPr>
        <w:t>,</w:t>
      </w:r>
      <w:bookmarkStart w:id="879" w:name="_fnr534"/>
      <w:r>
        <w:rPr>
          <w:rStyle w:val="a5"/>
        </w:rPr>
        <w:footnoteReference w:id="534" w:customMarkFollows="0"/>
      </w:r>
      <w:bookmarkEnd w:id="879"/>
      <w:r>
        <w:rPr>
          <w:rtl/>
        </w:rPr>
        <w:t xml:space="preserve"> אבל לפי “החוזה מליטא”</w:t>
      </w:r>
      <w:bookmarkStart w:id="880" w:name="_fnr535"/>
      <w:r>
        <w:rPr>
          <w:rStyle w:val="a5"/>
        </w:rPr>
        <w:footnoteReference w:id="535" w:customMarkFollows="0"/>
      </w:r>
      <w:bookmarkEnd w:id="880"/>
      <w:r>
        <w:rPr>
          <w:rtl/>
        </w:rPr>
        <w:t xml:space="preserve"> נתן עצה זו “רב מינסק”.</w:t>
      </w:r>
      <w:bookmarkStart w:id="881" w:name="_fnr536"/>
      <w:r>
        <w:rPr>
          <w:rStyle w:val="a5"/>
        </w:rPr>
        <w:footnoteReference w:id="536" w:customMarkFollows="0"/>
      </w:r>
      <w:bookmarkEnd w:id="881"/>
      <w:r>
        <w:rPr>
          <w:rtl/>
        </w:rPr>
        <w:t xml:space="preserve"> לבסוף עלתה </w:t>
      </w:r>
      <w:proofErr w:type="spellStart"/>
      <w:r>
        <w:rPr>
          <w:rtl/>
        </w:rPr>
        <w:t>בלומקה</w:t>
      </w:r>
      <w:proofErr w:type="spellEnd"/>
      <w:r>
        <w:rPr>
          <w:rtl/>
        </w:rPr>
        <w:t xml:space="preserve"> לארץ ישראל, אחרי שהעמידה מקור הכנסה קבוע לישיבת </w:t>
      </w:r>
      <w:proofErr w:type="spellStart"/>
      <w:r>
        <w:rPr>
          <w:rtl/>
        </w:rPr>
        <w:t>הקלויז</w:t>
      </w:r>
      <w:proofErr w:type="spellEnd"/>
      <w:r>
        <w:rPr>
          <w:rtl/>
        </w:rPr>
        <w:t xml:space="preserve"> של </w:t>
      </w:r>
      <w:proofErr w:type="spellStart"/>
      <w:r>
        <w:rPr>
          <w:rtl/>
        </w:rPr>
        <w:t>בלומקה</w:t>
      </w:r>
      <w:proofErr w:type="spellEnd"/>
      <w:r>
        <w:rPr>
          <w:rtl/>
        </w:rPr>
        <w:t xml:space="preserve"> במינסק,</w:t>
      </w:r>
      <w:bookmarkStart w:id="882" w:name="_fnr537"/>
      <w:r>
        <w:rPr>
          <w:rStyle w:val="a5"/>
        </w:rPr>
        <w:footnoteReference w:id="537" w:customMarkFollows="0"/>
      </w:r>
      <w:bookmarkEnd w:id="882"/>
      <w:r>
        <w:rPr>
          <w:rtl/>
        </w:rPr>
        <w:t xml:space="preserve"> ואחר כך בנתה גם בית כנסת בירושלים.</w:t>
      </w:r>
    </w:p>
    <w:p w14:paraId="5584F468" w14:textId="77777777" w:rsidR="00AB3647" w:rsidRDefault="00000000" w:rsidP="007923E9">
      <w:pPr>
        <w:spacing w:after="100" w:line="276" w:lineRule="auto"/>
        <w:ind w:firstLine="340"/>
        <w:jc w:val="both"/>
      </w:pPr>
      <w:r>
        <w:rPr>
          <w:rtl/>
        </w:rPr>
        <w:t xml:space="preserve">אחת מצאצאיה של </w:t>
      </w:r>
      <w:proofErr w:type="spellStart"/>
      <w:r>
        <w:rPr>
          <w:rtl/>
        </w:rPr>
        <w:t>בלומקה</w:t>
      </w:r>
      <w:proofErr w:type="spellEnd"/>
      <w:r>
        <w:rPr>
          <w:rtl/>
        </w:rPr>
        <w:t xml:space="preserve"> נישאה </w:t>
      </w:r>
      <w:proofErr w:type="spellStart"/>
      <w:r>
        <w:rPr>
          <w:rtl/>
        </w:rPr>
        <w:t>לר</w:t>
      </w:r>
      <w:proofErr w:type="spellEnd"/>
      <w:r>
        <w:rPr>
          <w:rtl/>
        </w:rPr>
        <w:t>׳ שמואל, בנו של ר׳ עקיבא איגר.</w:t>
      </w:r>
      <w:bookmarkStart w:id="883" w:name="_fnr538"/>
      <w:r>
        <w:rPr>
          <w:rStyle w:val="a5"/>
        </w:rPr>
        <w:footnoteReference w:id="538" w:customMarkFollows="0"/>
      </w:r>
      <w:bookmarkEnd w:id="883"/>
      <w:r>
        <w:rPr>
          <w:rtl/>
        </w:rPr>
        <w:t xml:space="preserve"> נראה שהחתונה נערכה במינסק בסביבות תקע״ד, כשש שנים לאחר ייסוד </w:t>
      </w:r>
      <w:proofErr w:type="spellStart"/>
      <w:r>
        <w:rPr>
          <w:rtl/>
        </w:rPr>
        <w:t>הקלויז</w:t>
      </w:r>
      <w:proofErr w:type="spellEnd"/>
      <w:r>
        <w:rPr>
          <w:rtl/>
        </w:rPr>
        <w:t xml:space="preserve">. בערך באותו זמן כתב ר׳ עקיבא איגר מכתב לאחיו, כדי להסביר מדוע אינו רואה תועלת בקבלת משרת הרבנות </w:t>
      </w:r>
      <w:proofErr w:type="spellStart"/>
      <w:r>
        <w:rPr>
          <w:rtl/>
        </w:rPr>
        <w:t>בפוזנא</w:t>
      </w:r>
      <w:proofErr w:type="spellEnd"/>
      <w:r>
        <w:rPr>
          <w:rtl/>
        </w:rPr>
        <w:t xml:space="preserve">, וגילה בו את גאוותו על שידוך זה: “ואם [סבור אתה] שלעניין שידוכים מוטב שייקראו בני רב </w:t>
      </w:r>
      <w:proofErr w:type="spellStart"/>
      <w:r>
        <w:rPr>
          <w:rtl/>
        </w:rPr>
        <w:t>פוזנא</w:t>
      </w:r>
      <w:proofErr w:type="spellEnd"/>
      <w:r>
        <w:rPr>
          <w:rtl/>
        </w:rPr>
        <w:t xml:space="preserve">, אני משבח את ה׳ שגם במשרתי הנוכחית בפרידלנד מתכבדים בני אדם להשתדך עמי. בשבוע שעבר קיבלתי מכתבים עם הצעות מווילנה </w:t>
      </w:r>
      <w:r>
        <w:rPr>
          <w:b/>
          <w:bCs/>
          <w:rtl/>
        </w:rPr>
        <w:t>וממינסק</w:t>
      </w:r>
      <w:r>
        <w:rPr>
          <w:rtl/>
        </w:rPr>
        <w:t>.”</w:t>
      </w:r>
      <w:bookmarkStart w:id="884" w:name="_fnr539"/>
      <w:r>
        <w:rPr>
          <w:rStyle w:val="a5"/>
        </w:rPr>
        <w:footnoteReference w:id="539" w:customMarkFollows="0"/>
      </w:r>
      <w:bookmarkEnd w:id="884"/>
    </w:p>
    <w:p w14:paraId="68A11245" w14:textId="77777777" w:rsidR="00AB3647" w:rsidRDefault="00000000" w:rsidP="007923E9">
      <w:pPr>
        <w:spacing w:after="100" w:line="276" w:lineRule="auto"/>
        <w:ind w:firstLine="340"/>
        <w:jc w:val="both"/>
      </w:pPr>
      <w:r>
        <w:rPr>
          <w:rtl/>
        </w:rPr>
        <w:t xml:space="preserve">עוד נראה שהכלה הייתה נכדתה או נינתה של </w:t>
      </w:r>
      <w:proofErr w:type="spellStart"/>
      <w:r>
        <w:rPr>
          <w:rtl/>
        </w:rPr>
        <w:t>בלומקה</w:t>
      </w:r>
      <w:proofErr w:type="spellEnd"/>
      <w:r>
        <w:rPr>
          <w:rtl/>
        </w:rPr>
        <w:t xml:space="preserve"> – ובוודאי לא בתה, שהרי </w:t>
      </w:r>
      <w:proofErr w:type="spellStart"/>
      <w:r>
        <w:rPr>
          <w:rtl/>
        </w:rPr>
        <w:t>בלומקה</w:t>
      </w:r>
      <w:proofErr w:type="spellEnd"/>
      <w:r>
        <w:rPr>
          <w:rtl/>
        </w:rPr>
        <w:t xml:space="preserve"> כבר הייתה רוכלת ברחוב בשנת תק״ב,</w:t>
      </w:r>
      <w:bookmarkStart w:id="885" w:name="_fnr540"/>
      <w:r>
        <w:rPr>
          <w:rStyle w:val="a5"/>
        </w:rPr>
        <w:footnoteReference w:id="540" w:customMarkFollows="0"/>
      </w:r>
      <w:bookmarkEnd w:id="885"/>
      <w:r>
        <w:rPr>
          <w:rtl/>
        </w:rPr>
        <w:t xml:space="preserve"> ולא ייתכן שהייתה לה בת שנישאה בשנת תקע״ד. במכתב מאת ר׳ שמואל איגר</w:t>
      </w:r>
      <w:bookmarkStart w:id="886" w:name="_fnr541"/>
      <w:r>
        <w:rPr>
          <w:rStyle w:val="a5"/>
        </w:rPr>
        <w:footnoteReference w:id="541" w:customMarkFollows="0"/>
      </w:r>
      <w:bookmarkEnd w:id="886"/>
      <w:r>
        <w:rPr>
          <w:rtl/>
        </w:rPr>
        <w:t xml:space="preserve"> הוא מכנה את “הגביר... יצחק </w:t>
      </w:r>
      <w:proofErr w:type="spellStart"/>
      <w:r>
        <w:rPr>
          <w:rtl/>
        </w:rPr>
        <w:t>וילנקין</w:t>
      </w:r>
      <w:proofErr w:type="spellEnd"/>
      <w:r>
        <w:rPr>
          <w:rtl/>
        </w:rPr>
        <w:t xml:space="preserve">” בשם </w:t>
      </w:r>
      <w:proofErr w:type="spellStart"/>
      <w:r>
        <w:rPr>
          <w:rtl/>
        </w:rPr>
        <w:t>ד״ז</w:t>
      </w:r>
      <w:proofErr w:type="spellEnd"/>
      <w:r>
        <w:rPr>
          <w:rtl/>
        </w:rPr>
        <w:t xml:space="preserve"> [דודי זקני]. לפי כל העדויות </w:t>
      </w:r>
      <w:proofErr w:type="spellStart"/>
      <w:r>
        <w:rPr>
          <w:rtl/>
        </w:rPr>
        <w:t>בלומקה</w:t>
      </w:r>
      <w:proofErr w:type="spellEnd"/>
      <w:r>
        <w:rPr>
          <w:rtl/>
        </w:rPr>
        <w:t xml:space="preserve"> היא שייסדה את הון משפחת </w:t>
      </w:r>
      <w:proofErr w:type="spellStart"/>
      <w:r>
        <w:rPr>
          <w:rtl/>
        </w:rPr>
        <w:t>וילנקין</w:t>
      </w:r>
      <w:proofErr w:type="spellEnd"/>
      <w:r>
        <w:rPr>
          <w:rtl/>
        </w:rPr>
        <w:t>, ולא היה כל טעם לכנות את אחי חמיה גביר</w:t>
      </w:r>
      <w:bookmarkStart w:id="887" w:name="_fnr542"/>
      <w:bookmarkEnd w:id="887"/>
      <w:r>
        <w:rPr>
          <w:rStyle w:val="a5"/>
        </w:rPr>
        <w:t/>
      </w:r>
      <w:bookmarkStart w:id="6998" w:name="_TranslatorNote_542"/>
      <w:r>
        <w:rPr>
          <w:rStyle w:val="a5"/>
          <w:vertAlign w:val="superscript"/>
          <w:rtl/>
        </w:rPr>
        <w:footnoteReference w:id="542" w:customMarkFollows="1"/>
        <w:t>*</w:t>
      </w:r>
      <w:bookmarkEnd w:id="6998"/>
      <w:r>
        <w:rPr>
          <w:rtl/>
        </w:rPr>
        <w:t xml:space="preserve">. מן ההכרח אם כן </w:t>
      </w:r>
      <w:proofErr w:type="spellStart"/>
      <w:r>
        <w:rPr>
          <w:rtl/>
        </w:rPr>
        <w:t>שבלומקה</w:t>
      </w:r>
      <w:proofErr w:type="spellEnd"/>
      <w:r>
        <w:rPr>
          <w:rtl/>
        </w:rPr>
        <w:t xml:space="preserve"> הכניסה לעסקיה בן מבני דורה, כלומר את אחי בעלה, ור׳ שמואל איגר נשא את נכדת אחיו, נכדתה של </w:t>
      </w:r>
      <w:proofErr w:type="spellStart"/>
      <w:r>
        <w:rPr>
          <w:rtl/>
        </w:rPr>
        <w:t>בלומקה</w:t>
      </w:r>
      <w:proofErr w:type="spellEnd"/>
      <w:r>
        <w:rPr>
          <w:rtl/>
        </w:rPr>
        <w:t xml:space="preserve">. וסביר עוד יותר שר׳ שמואל נשא את </w:t>
      </w:r>
      <w:r>
        <w:rPr>
          <w:b/>
          <w:bCs/>
          <w:rtl/>
        </w:rPr>
        <w:t>נינתה</w:t>
      </w:r>
      <w:r>
        <w:rPr>
          <w:rtl/>
        </w:rPr>
        <w:t xml:space="preserve"> של </w:t>
      </w:r>
      <w:proofErr w:type="spellStart"/>
      <w:r>
        <w:rPr>
          <w:rtl/>
        </w:rPr>
        <w:t>בלומקה</w:t>
      </w:r>
      <w:proofErr w:type="spellEnd"/>
      <w:r>
        <w:rPr>
          <w:rtl/>
        </w:rPr>
        <w:t xml:space="preserve">, </w:t>
      </w:r>
      <w:proofErr w:type="spellStart"/>
      <w:r>
        <w:rPr>
          <w:rtl/>
        </w:rPr>
        <w:t>ו“הגביר</w:t>
      </w:r>
      <w:proofErr w:type="spellEnd"/>
      <w:r>
        <w:rPr>
          <w:rtl/>
        </w:rPr>
        <w:t xml:space="preserve">” ר׳ יצחק </w:t>
      </w:r>
      <w:proofErr w:type="spellStart"/>
      <w:r>
        <w:rPr>
          <w:rtl/>
        </w:rPr>
        <w:t>וילנקין</w:t>
      </w:r>
      <w:proofErr w:type="spellEnd"/>
      <w:r>
        <w:rPr>
          <w:rtl/>
        </w:rPr>
        <w:t xml:space="preserve"> היה אחד מילדיה של </w:t>
      </w:r>
      <w:proofErr w:type="spellStart"/>
      <w:r>
        <w:rPr>
          <w:rtl/>
        </w:rPr>
        <w:t>בלומקה</w:t>
      </w:r>
      <w:proofErr w:type="spellEnd"/>
      <w:r>
        <w:rPr>
          <w:rtl/>
        </w:rPr>
        <w:t>.</w:t>
      </w:r>
    </w:p>
    <w:p w14:paraId="0646DD27" w14:textId="77777777" w:rsidR="00AB3647" w:rsidRDefault="00000000" w:rsidP="007923E9">
      <w:pPr>
        <w:spacing w:after="100" w:line="276" w:lineRule="auto"/>
        <w:ind w:firstLine="340"/>
        <w:jc w:val="both"/>
      </w:pPr>
      <w:r>
        <w:rPr>
          <w:rtl/>
        </w:rPr>
        <w:t xml:space="preserve">אפשר גם לשער </w:t>
      </w:r>
      <w:proofErr w:type="spellStart"/>
      <w:r>
        <w:rPr>
          <w:rtl/>
        </w:rPr>
        <w:t>ש“האלמנה</w:t>
      </w:r>
      <w:proofErr w:type="spellEnd"/>
      <w:r>
        <w:rPr>
          <w:rtl/>
        </w:rPr>
        <w:t xml:space="preserve"> העשירה והמיוחסת ממינסק” הנזכרת </w:t>
      </w:r>
      <w:proofErr w:type="spellStart"/>
      <w:r>
        <w:rPr>
          <w:rtl/>
        </w:rPr>
        <w:t>ב“זכרון</w:t>
      </w:r>
      <w:proofErr w:type="spellEnd"/>
      <w:r>
        <w:rPr>
          <w:rtl/>
        </w:rPr>
        <w:t xml:space="preserve"> יעקב”</w:t>
      </w:r>
      <w:bookmarkStart w:id="888" w:name="_fnr543"/>
      <w:r>
        <w:rPr>
          <w:rStyle w:val="a5"/>
        </w:rPr>
        <w:footnoteReference w:id="543" w:customMarkFollows="0"/>
      </w:r>
      <w:bookmarkEnd w:id="888"/>
      <w:r>
        <w:rPr>
          <w:rtl/>
        </w:rPr>
        <w:t xml:space="preserve"> – שחיזר אחריה “בסביבות תק״ע” בעל מופת, ר׳ בערך מגליציה, שר׳ חיים </w:t>
      </w:r>
      <w:proofErr w:type="spellStart"/>
      <w:r>
        <w:rPr>
          <w:rtl/>
        </w:rPr>
        <w:t>מוולוז׳ין</w:t>
      </w:r>
      <w:proofErr w:type="spellEnd"/>
      <w:r>
        <w:rPr>
          <w:rtl/>
        </w:rPr>
        <w:t xml:space="preserve"> חשף אותו כנוכל – אינה אלא </w:t>
      </w:r>
      <w:proofErr w:type="spellStart"/>
      <w:r>
        <w:rPr>
          <w:rtl/>
        </w:rPr>
        <w:t>בלומקה</w:t>
      </w:r>
      <w:proofErr w:type="spellEnd"/>
      <w:r>
        <w:rPr>
          <w:rtl/>
        </w:rPr>
        <w:t xml:space="preserve"> </w:t>
      </w:r>
      <w:proofErr w:type="spellStart"/>
      <w:r>
        <w:rPr>
          <w:rtl/>
        </w:rPr>
        <w:t>וילנקין</w:t>
      </w:r>
      <w:proofErr w:type="spellEnd"/>
      <w:r>
        <w:rPr>
          <w:rtl/>
        </w:rPr>
        <w:t xml:space="preserve">, שכבר הייתה אז בת שמונים. מעשהו של ר׳ בערך מסופר </w:t>
      </w:r>
      <w:r>
        <w:rPr>
          <w:rtl/>
        </w:rPr>
        <w:lastRenderedPageBreak/>
        <w:t>באריכות באחד מפרקי “אבי הישיבות”,</w:t>
      </w:r>
      <w:bookmarkStart w:id="889" w:name="_fnr544"/>
      <w:r>
        <w:rPr>
          <w:rStyle w:val="a5"/>
        </w:rPr>
        <w:footnoteReference w:id="544" w:customMarkFollows="0"/>
      </w:r>
      <w:bookmarkEnd w:id="889"/>
      <w:r>
        <w:rPr>
          <w:rtl/>
        </w:rPr>
        <w:t xml:space="preserve"> עם הערת פתיחה: “פרק זה הוא הפרסום המלא הראשון של המעשה.” הספר מונה את המקורות שמהם דלה מחברו את חומריו לשחזור המעשה, אבל אינו מנסה לזהות את האלמנה </w:t>
      </w:r>
      <w:proofErr w:type="spellStart"/>
      <w:r>
        <w:rPr>
          <w:rtl/>
        </w:rPr>
        <w:t>המינסקאית</w:t>
      </w:r>
      <w:proofErr w:type="spellEnd"/>
      <w:r>
        <w:rPr>
          <w:rtl/>
        </w:rPr>
        <w:t xml:space="preserve"> שלא נזכרה בשמה.</w:t>
      </w:r>
    </w:p>
    <w:bookmarkStart w:id="890" w:name="b2_note36"/>
    <w:p w14:paraId="679ECCD9" w14:textId="77777777" w:rsidR="00AB3647" w:rsidRDefault="00000000" w:rsidP="007923E9">
      <w:pPr>
        <w:spacing w:before="120" w:after="100" w:line="276" w:lineRule="auto"/>
        <w:jc w:val="both"/>
      </w:pPr>
      <w:r>
        <w:fldChar w:fldCharType="begin" w:dirty="true"/>
      </w:r>
      <w:r>
        <w:instrText>HYPERLINK \l "b2_ref36"</w:instrText>
      </w:r>
      <w:r>
        <w:fldChar w:fldCharType="separate"/>
      </w:r>
      <w:r>
        <w:rPr>
          <w:b/>
          <w:bCs/>
          <w:rtl/>
        </w:rPr>
        <w:t>36</w:t>
      </w:r>
      <w:r>
        <w:rPr>
          <w:b/>
          <w:bCs/>
        </w:rPr>
        <w:fldChar w:fldCharType="end"/>
      </w:r>
      <w:bookmarkEnd w:id="890"/>
      <w:r>
        <w:rPr>
          <w:rtl/>
        </w:rPr>
        <w:t xml:space="preserve"> מאמר מאת ילידת מינסק, רחל חדש.</w:t>
      </w:r>
      <w:bookmarkStart w:id="891" w:name="_fnr545"/>
      <w:r>
        <w:rPr>
          <w:rStyle w:val="a5"/>
        </w:rPr>
        <w:footnoteReference w:id="545" w:customMarkFollows="0"/>
      </w:r>
      <w:bookmarkEnd w:id="891"/>
      <w:r>
        <w:rPr>
          <w:rtl/>
        </w:rPr>
        <w:t xml:space="preserve"> סיפור אחר על המאורעות שהביאו לייסוד </w:t>
      </w:r>
      <w:proofErr w:type="spellStart"/>
      <w:r>
        <w:rPr>
          <w:rtl/>
        </w:rPr>
        <w:t>הקלויז</w:t>
      </w:r>
      <w:proofErr w:type="spellEnd"/>
      <w:r>
        <w:rPr>
          <w:rtl/>
        </w:rPr>
        <w:t xml:space="preserve"> של </w:t>
      </w:r>
      <w:proofErr w:type="spellStart"/>
      <w:r>
        <w:rPr>
          <w:rtl/>
        </w:rPr>
        <w:t>בלומקה</w:t>
      </w:r>
      <w:proofErr w:type="spellEnd"/>
      <w:r>
        <w:rPr>
          <w:rtl/>
        </w:rPr>
        <w:t xml:space="preserve"> רשום </w:t>
      </w:r>
      <w:proofErr w:type="spellStart"/>
      <w:r>
        <w:rPr>
          <w:rtl/>
        </w:rPr>
        <w:t>ב“תולדות</w:t>
      </w:r>
      <w:proofErr w:type="spellEnd"/>
      <w:r>
        <w:rPr>
          <w:rtl/>
        </w:rPr>
        <w:t xml:space="preserve"> רבי חיים </w:t>
      </w:r>
      <w:proofErr w:type="spellStart"/>
      <w:r>
        <w:rPr>
          <w:rtl/>
        </w:rPr>
        <w:t>מולוזין</w:t>
      </w:r>
      <w:proofErr w:type="spellEnd"/>
      <w:r>
        <w:rPr>
          <w:rtl/>
        </w:rPr>
        <w:t>”.</w:t>
      </w:r>
      <w:bookmarkStart w:id="892" w:name="_fnr546"/>
      <w:r>
        <w:rPr>
          <w:rStyle w:val="a5"/>
        </w:rPr>
        <w:footnoteReference w:id="546" w:customMarkFollows="0"/>
      </w:r>
      <w:bookmarkEnd w:id="892"/>
      <w:r>
        <w:rPr>
          <w:rtl/>
        </w:rPr>
        <w:t xml:space="preserve"> הספר מביא מכתב שכתב רב </w:t>
      </w:r>
      <w:proofErr w:type="spellStart"/>
      <w:r>
        <w:rPr>
          <w:rtl/>
        </w:rPr>
        <w:t>קרינק</w:t>
      </w:r>
      <w:proofErr w:type="spellEnd"/>
      <w:r>
        <w:rPr>
          <w:rtl/>
        </w:rPr>
        <w:t xml:space="preserve"> בשנת תרכ״ה, ובו ביקש תרומות לבנייתה מחדש של הישיבה שבה למד, ישיבת </w:t>
      </w:r>
      <w:proofErr w:type="spellStart"/>
      <w:r>
        <w:rPr>
          <w:rtl/>
        </w:rPr>
        <w:t>וולוז׳ין</w:t>
      </w:r>
      <w:proofErr w:type="spellEnd"/>
      <w:r>
        <w:rPr>
          <w:rtl/>
        </w:rPr>
        <w:t xml:space="preserve">, שחרבה בשריפה שאחזה בעיירה. בין השאר מספר המכתב על ר׳ מרדכי ממינסק, תלמיד ישיבת </w:t>
      </w:r>
      <w:proofErr w:type="spellStart"/>
      <w:r>
        <w:rPr>
          <w:rtl/>
        </w:rPr>
        <w:t>וולוז׳ין</w:t>
      </w:r>
      <w:proofErr w:type="spellEnd"/>
      <w:r>
        <w:rPr>
          <w:rtl/>
        </w:rPr>
        <w:t xml:space="preserve"> ששב לעיר הולדתו: בשעה שלמד עם שני בניה של </w:t>
      </w:r>
      <w:proofErr w:type="spellStart"/>
      <w:r>
        <w:rPr>
          <w:rtl/>
        </w:rPr>
        <w:t>בלומקה</w:t>
      </w:r>
      <w:proofErr w:type="spellEnd"/>
      <w:r>
        <w:rPr>
          <w:rtl/>
        </w:rPr>
        <w:t xml:space="preserve">, הציע להם שיבקשו </w:t>
      </w:r>
      <w:proofErr w:type="spellStart"/>
      <w:r>
        <w:rPr>
          <w:rtl/>
        </w:rPr>
        <w:t>מאמם</w:t>
      </w:r>
      <w:proofErr w:type="spellEnd"/>
      <w:r>
        <w:rPr>
          <w:rtl/>
        </w:rPr>
        <w:t xml:space="preserve"> לייסד </w:t>
      </w:r>
      <w:proofErr w:type="spellStart"/>
      <w:r>
        <w:rPr>
          <w:rtl/>
        </w:rPr>
        <w:t>קלויז</w:t>
      </w:r>
      <w:proofErr w:type="spellEnd"/>
      <w:r>
        <w:rPr>
          <w:rtl/>
        </w:rPr>
        <w:t>.</w:t>
      </w:r>
    </w:p>
    <w:p w14:paraId="52259D10" w14:textId="77777777" w:rsidR="00AB3647" w:rsidRDefault="00000000" w:rsidP="007923E9">
      <w:pPr>
        <w:spacing w:before="120" w:after="100" w:line="276" w:lineRule="auto"/>
        <w:jc w:val="both"/>
      </w:pPr>
      <w:r>
        <w:rPr>
          <w:rtl/>
        </w:rPr>
        <w:t xml:space="preserve">סיפור זה אינו סותר את המסורת שמסרה רחל חדש. ייתכן בהחלט </w:t>
      </w:r>
      <w:proofErr w:type="spellStart"/>
      <w:r>
        <w:rPr>
          <w:rtl/>
        </w:rPr>
        <w:t>שבלומקה</w:t>
      </w:r>
      <w:proofErr w:type="spellEnd"/>
      <w:r>
        <w:rPr>
          <w:rtl/>
        </w:rPr>
        <w:t xml:space="preserve"> דנה עם הרב בהוצאת התוכנית שהציעו בניה אל הפועל, ואמרה לו שדעתה נתונה להשתקע בארץ ישראל, ואז השיב לה שתוכל לזכות </w:t>
      </w:r>
      <w:proofErr w:type="spellStart"/>
      <w:r>
        <w:rPr>
          <w:rtl/>
        </w:rPr>
        <w:t>ב“ארץ</w:t>
      </w:r>
      <w:proofErr w:type="spellEnd"/>
      <w:r>
        <w:rPr>
          <w:rtl/>
        </w:rPr>
        <w:t xml:space="preserve"> ישראל בתוך מינסק”.</w:t>
      </w:r>
    </w:p>
    <w:p w14:paraId="08074ECD" w14:textId="370DBD2B" w:rsidR="00AB3647" w:rsidRDefault="00000000" w:rsidP="007923E9">
      <w:pPr>
        <w:spacing w:before="120" w:after="100" w:line="276" w:lineRule="auto"/>
        <w:jc w:val="both"/>
      </w:pPr>
      <w:r>
        <w:rPr>
          <w:rtl/>
        </w:rPr>
        <w:t xml:space="preserve">במכתב אנו מוצאים את התאריך המשוער של ייסוד </w:t>
      </w:r>
      <w:proofErr w:type="spellStart"/>
      <w:r>
        <w:rPr>
          <w:rtl/>
        </w:rPr>
        <w:t>הקלויז</w:t>
      </w:r>
      <w:proofErr w:type="spellEnd"/>
      <w:r>
        <w:rPr>
          <w:rtl/>
        </w:rPr>
        <w:t xml:space="preserve"> – “שנים אחדות אחרי ייסוד ישיבת </w:t>
      </w:r>
      <w:proofErr w:type="spellStart"/>
      <w:r>
        <w:rPr>
          <w:rtl/>
        </w:rPr>
        <w:t>וולוז׳ין</w:t>
      </w:r>
      <w:proofErr w:type="spellEnd"/>
      <w:r>
        <w:rPr>
          <w:rtl/>
        </w:rPr>
        <w:t xml:space="preserve">” – בסביבות תקס״ז. תאריך זה מפריך את הנחתו של </w:t>
      </w:r>
      <w:proofErr w:type="spellStart"/>
      <w:r>
        <w:rPr>
          <w:rtl/>
        </w:rPr>
        <w:t>בן־ציון</w:t>
      </w:r>
      <w:proofErr w:type="spellEnd"/>
      <w:r>
        <w:rPr>
          <w:rtl/>
        </w:rPr>
        <w:t xml:space="preserve"> גרשוני </w:t>
      </w:r>
      <w:proofErr w:type="spellStart"/>
      <w:r>
        <w:rPr>
          <w:rtl/>
        </w:rPr>
        <w:t>ב“מינסק</w:t>
      </w:r>
      <w:proofErr w:type="spellEnd"/>
      <w:r>
        <w:rPr>
          <w:rtl/>
        </w:rPr>
        <w:t xml:space="preserve"> עיר ואם א”</w:t>
      </w:r>
      <w:bookmarkStart w:id="893" w:name="_fnr547"/>
      <w:r>
        <w:rPr>
          <w:rStyle w:val="a5"/>
        </w:rPr>
        <w:footnoteReference w:id="547" w:customMarkFollows="0"/>
      </w:r>
      <w:bookmarkEnd w:id="893"/>
      <w:r>
        <w:rPr>
          <w:rtl/>
        </w:rPr>
        <w:t xml:space="preserve"> </w:t>
      </w:r>
      <w:proofErr w:type="spellStart"/>
      <w:r>
        <w:rPr>
          <w:rtl/>
        </w:rPr>
        <w:t>שבלומקה</w:t>
      </w:r>
      <w:proofErr w:type="spellEnd"/>
      <w:r>
        <w:rPr>
          <w:rtl/>
        </w:rPr>
        <w:t xml:space="preserve"> בנתה את </w:t>
      </w:r>
      <w:proofErr w:type="spellStart"/>
      <w:r>
        <w:rPr>
          <w:rtl/>
        </w:rPr>
        <w:t>הקלויז</w:t>
      </w:r>
      <w:proofErr w:type="spellEnd"/>
      <w:r>
        <w:rPr>
          <w:rtl/>
        </w:rPr>
        <w:t xml:space="preserve"> כדי לשכן בו את ישיבת השאגת אריה. </w:t>
      </w:r>
      <w:bookmarkStart w:id="894" w:name="_Hlk243586690"/>
      <w:r>
        <w:rPr>
          <w:rtl/>
        </w:rPr>
        <w:t xml:space="preserve">השאגת אריה היה נעדר מן הזירה כמה עשורים קודם לכן</w:t>
      </w:r>
      <w:bookmarkEnd w:id="894"/>
      <w:r>
        <w:rPr>
          <w:rtl/>
        </w:rPr>
        <w:t xml:space="preserve">: הוא עזב את מינסק סופית בין תקכ״ג </w:t>
      </w:r>
      <w:proofErr w:type="spellStart"/>
      <w:r>
        <w:rPr>
          <w:rtl/>
        </w:rPr>
        <w:t>לתקכ״ה</w:t>
      </w:r>
      <w:proofErr w:type="spellEnd"/>
      <w:r>
        <w:rPr>
          <w:rtl/>
        </w:rPr>
        <w:t xml:space="preserve">, ונפטר במץ בשנת תקמ״ה. אם הייתה </w:t>
      </w:r>
      <w:proofErr w:type="spellStart"/>
      <w:r>
        <w:rPr>
          <w:rtl/>
        </w:rPr>
        <w:t>בלומקה</w:t>
      </w:r>
      <w:proofErr w:type="spellEnd"/>
      <w:r>
        <w:rPr>
          <w:rtl/>
        </w:rPr>
        <w:t xml:space="preserve"> רק בת </w:t>
      </w:r>
      <w:proofErr w:type="spellStart"/>
      <w:r>
        <w:rPr>
          <w:rtl/>
        </w:rPr>
        <w:t>שתים־עשרה</w:t>
      </w:r>
      <w:proofErr w:type="spellEnd"/>
      <w:r>
        <w:rPr>
          <w:rtl/>
        </w:rPr>
        <w:t xml:space="preserve"> כשמכרה את חלותיה ונרותיה, כבר הייתה בת שבעים ושבע כשייסדה את </w:t>
      </w:r>
      <w:proofErr w:type="spellStart"/>
      <w:r>
        <w:rPr>
          <w:rtl/>
        </w:rPr>
        <w:t>הקלויז</w:t>
      </w:r>
      <w:proofErr w:type="spellEnd"/>
      <w:r>
        <w:rPr>
          <w:rtl/>
        </w:rPr>
        <w:t xml:space="preserve"> – גיל מופלג מכדי לעלות לארץ ישראל, אלמלא ההבטחה (מלפני כן) המובאת בתחילת הערה </w:t>
      </w:r>
      <w:r>
        <w:rPr>
          <w:rtl/>
        </w:rPr>
        <w:fldChar w:fldCharType="begin" w:dirty="true"/>
      </w:r>
      <w:r>
        <w:rPr>
          <w:rtl/>
        </w:rPr>
        <w:instrText xml:space="preserve"> REF b2_note35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35</w:t>
      </w:r>
      <w:r>
        <w:rPr>
          <w:rtl/>
        </w:rPr>
        <w:fldChar w:fldCharType="end"/>
      </w:r>
      <w:r>
        <w:rPr>
          <w:rtl/>
        </w:rPr>
        <w:t xml:space="preserve"> לעיל, שאין לה צורך למהר לעזוב את העיר. לפי שער “מסכת שקלים מן התלמוד הירושלמי” שנדפסה במינסק בשנת תקע״ב, כפי שהוא מובא </w:t>
      </w:r>
      <w:proofErr w:type="spellStart"/>
      <w:r>
        <w:rPr>
          <w:rtl/>
        </w:rPr>
        <w:t>ב“מינסק</w:t>
      </w:r>
      <w:proofErr w:type="spellEnd"/>
      <w:r>
        <w:rPr>
          <w:rtl/>
        </w:rPr>
        <w:t xml:space="preserve"> עיר ואם א”,</w:t>
      </w:r>
      <w:bookmarkStart w:id="895" w:name="_fnr548"/>
      <w:r>
        <w:rPr>
          <w:rStyle w:val="a5"/>
        </w:rPr>
        <w:footnoteReference w:id="548" w:customMarkFollows="0"/>
      </w:r>
      <w:bookmarkEnd w:id="895"/>
      <w:r>
        <w:rPr>
          <w:rtl/>
        </w:rPr>
        <w:t xml:space="preserve"> הלוו </w:t>
      </w:r>
      <w:proofErr w:type="spellStart"/>
      <w:r>
        <w:rPr>
          <w:rtl/>
        </w:rPr>
        <w:t>בלומקה</w:t>
      </w:r>
      <w:proofErr w:type="spellEnd"/>
      <w:r>
        <w:rPr>
          <w:rtl/>
        </w:rPr>
        <w:t xml:space="preserve"> ושני בניה, </w:t>
      </w:r>
      <w:proofErr w:type="spellStart"/>
      <w:r>
        <w:rPr>
          <w:rtl/>
        </w:rPr>
        <w:t>זאב־וולף</w:t>
      </w:r>
      <w:proofErr w:type="spellEnd"/>
      <w:r>
        <w:rPr>
          <w:rtl/>
        </w:rPr>
        <w:t xml:space="preserve"> ואלעזר, כסף להדפסת הספר. מכאן שנסיעתה לארץ ישראל נדחתה לגיל מאוחר עוד יותר, שמונים ושתיים ומעלה!</w:t>
      </w:r>
      <w:bookmarkStart w:id="896" w:name="_fnr549"/>
      <w:r>
        <w:rPr>
          <w:rStyle w:val="a5"/>
        </w:rPr>
        <w:footnoteReference w:id="549" w:customMarkFollows="0"/>
      </w:r>
      <w:bookmarkEnd w:id="896"/>
    </w:p>
    <w:p w14:paraId="1B66B5BD" w14:textId="289828CA" w:rsidR="00AB3647" w:rsidRDefault="00000000" w:rsidP="007923E9">
      <w:pPr>
        <w:spacing w:after="100" w:line="276" w:lineRule="auto"/>
        <w:ind w:firstLine="340"/>
        <w:jc w:val="both"/>
      </w:pPr>
      <w:r>
        <w:rPr>
          <w:rtl/>
        </w:rPr>
        <w:t xml:space="preserve">במכתבו </w:t>
      </w:r>
      <w:r w:rsidR="00EE1289">
        <w:rPr>
          <w:rFonts w:hint="cs"/>
          <w:rtl/>
        </w:rPr>
        <w:t xml:space="preserve">גם </w:t>
      </w:r>
      <w:r>
        <w:rPr>
          <w:rtl/>
        </w:rPr>
        <w:t xml:space="preserve">כותב רב </w:t>
      </w:r>
      <w:proofErr w:type="spellStart"/>
      <w:r>
        <w:rPr>
          <w:rtl/>
        </w:rPr>
        <w:t>קרינק</w:t>
      </w:r>
      <w:proofErr w:type="spellEnd"/>
      <w:r>
        <w:rPr>
          <w:rtl/>
        </w:rPr>
        <w:t xml:space="preserve"> שרבו, ר׳ חיים </w:t>
      </w:r>
      <w:proofErr w:type="spellStart"/>
      <w:r>
        <w:rPr>
          <w:rtl/>
        </w:rPr>
        <w:t>מוולוז׳ין</w:t>
      </w:r>
      <w:proofErr w:type="spellEnd"/>
      <w:r>
        <w:rPr>
          <w:rtl/>
        </w:rPr>
        <w:t xml:space="preserve">, ייחס לעצמו את מלוא הזכות לייסוד הישיבות במינסק – הראשונה שבהן </w:t>
      </w:r>
      <w:proofErr w:type="spellStart"/>
      <w:r>
        <w:rPr>
          <w:rtl/>
        </w:rPr>
        <w:t>הקלויז</w:t>
      </w:r>
      <w:proofErr w:type="spellEnd"/>
      <w:r>
        <w:rPr>
          <w:rtl/>
        </w:rPr>
        <w:t xml:space="preserve"> של </w:t>
      </w:r>
      <w:proofErr w:type="spellStart"/>
      <w:r>
        <w:rPr>
          <w:rtl/>
        </w:rPr>
        <w:t>בלומקה</w:t>
      </w:r>
      <w:proofErr w:type="spellEnd"/>
      <w:r>
        <w:rPr>
          <w:rtl/>
        </w:rPr>
        <w:t xml:space="preserve"> – באמרו: “יש לי נחת רוח מן הישיבות שבמינסק יותר מישיבתי, שכן זו האחרונה מטרידה את זמני בצרכיה הפרטיים, ואילו </w:t>
      </w:r>
      <w:r>
        <w:rPr>
          <w:rtl/>
        </w:rPr>
        <w:lastRenderedPageBreak/>
        <w:t>אלו אינן מטריחות אותי כלל – אף על פי ש</w:t>
      </w:r>
      <w:r>
        <w:rPr>
          <w:b/>
          <w:bCs/>
          <w:rtl/>
        </w:rPr>
        <w:t>כולן שלי</w:t>
      </w:r>
      <w:r>
        <w:rPr>
          <w:rtl/>
        </w:rPr>
        <w:t xml:space="preserve"> (ההדגשה שלי).” לפי “אישים וקהילות” מאת הרב משה </w:t>
      </w:r>
      <w:proofErr w:type="spellStart"/>
      <w:r>
        <w:rPr>
          <w:rtl/>
        </w:rPr>
        <w:t>צינוביץ</w:t>
      </w:r>
      <w:proofErr w:type="spellEnd"/>
      <w:r>
        <w:rPr>
          <w:rtl/>
        </w:rPr>
        <w:t>,</w:t>
      </w:r>
      <w:bookmarkStart w:id="897" w:name="_fnr550"/>
      <w:r>
        <w:rPr>
          <w:rStyle w:val="a5"/>
        </w:rPr>
        <w:footnoteReference w:id="550" w:customMarkFollows="0"/>
      </w:r>
      <w:bookmarkEnd w:id="897"/>
      <w:r>
        <w:rPr>
          <w:rtl/>
        </w:rPr>
        <w:t xml:space="preserve"> שלח ר׳ חיים </w:t>
      </w:r>
      <w:proofErr w:type="spellStart"/>
      <w:r>
        <w:rPr>
          <w:rtl/>
        </w:rPr>
        <w:t>מוולוז׳ין</w:t>
      </w:r>
      <w:proofErr w:type="spellEnd"/>
      <w:r>
        <w:rPr>
          <w:rtl/>
        </w:rPr>
        <w:t xml:space="preserve"> עשרה מטובי תלמידיו לעזור בייסוד ישיבת </w:t>
      </w:r>
      <w:proofErr w:type="spellStart"/>
      <w:r>
        <w:rPr>
          <w:rtl/>
        </w:rPr>
        <w:t>הקלויז</w:t>
      </w:r>
      <w:proofErr w:type="spellEnd"/>
      <w:r>
        <w:rPr>
          <w:rtl/>
        </w:rPr>
        <w:t xml:space="preserve"> של </w:t>
      </w:r>
      <w:proofErr w:type="spellStart"/>
      <w:r>
        <w:rPr>
          <w:rtl/>
        </w:rPr>
        <w:t>בלומקה</w:t>
      </w:r>
      <w:proofErr w:type="spellEnd"/>
      <w:r>
        <w:rPr>
          <w:rtl/>
        </w:rPr>
        <w:t>.</w:t>
      </w:r>
    </w:p>
    <w:p w14:paraId="4E56CE07" w14:textId="251EECE5" w:rsidR="00AB3647" w:rsidRDefault="00000000" w:rsidP="007923E9">
      <w:pPr>
        <w:spacing w:after="100" w:line="276" w:lineRule="auto"/>
        <w:ind w:firstLine="340"/>
        <w:jc w:val="both"/>
      </w:pPr>
      <w:r>
        <w:rPr>
          <w:rtl/>
        </w:rPr>
        <w:t xml:space="preserve">יש לשער שרב </w:t>
      </w:r>
      <w:proofErr w:type="spellStart"/>
      <w:r>
        <w:rPr>
          <w:rtl/>
        </w:rPr>
        <w:t>קרינק</w:t>
      </w:r>
      <w:proofErr w:type="spellEnd"/>
      <w:r>
        <w:rPr>
          <w:rtl/>
        </w:rPr>
        <w:t xml:space="preserve"> הדגיש את התפקיד המכריע שמילאה ישיבת </w:t>
      </w:r>
      <w:proofErr w:type="spellStart"/>
      <w:r>
        <w:rPr>
          <w:rtl/>
        </w:rPr>
        <w:t>וולוז׳ין</w:t>
      </w:r>
      <w:proofErr w:type="spellEnd"/>
      <w:r>
        <w:rPr>
          <w:rtl/>
        </w:rPr>
        <w:t xml:space="preserve"> בהרבצת התורה במינסק מפני שרצה שקהילת עשירי מינסק</w:t>
      </w:r>
      <w:bookmarkStart w:id="898" w:name="_fnr551"/>
      <w:r>
        <w:rPr>
          <w:rStyle w:val="a5"/>
        </w:rPr>
        <w:footnoteReference w:id="551" w:customMarkFollows="0"/>
      </w:r>
      <w:bookmarkEnd w:id="898"/>
      <w:r>
        <w:rPr>
          <w:rtl/>
        </w:rPr>
        <w:t xml:space="preserve"> תיטול על עצמה חלק גדול מהוצאות הבנייה מחדש, מתוך הכרת טובה על מה שעשתה הישיבה להגדלת לימוד התורה בעירם. והשווה גם פרק 4, תחילת </w:t>
      </w:r>
      <w:r>
        <w:rPr>
          <w:rtl/>
        </w:rPr>
        <w:fldChar w:fldCharType="begin" w:dirty="true"/>
      </w:r>
      <w:r>
        <w:rPr>
          <w:rtl/>
        </w:rPr>
        <w:instrText xml:space="preserve"> REF b4_excT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כ</w:t>
      </w:r>
      <w:r>
        <w:rPr>
          <w:rtl/>
        </w:rPr>
        <w:fldChar w:fldCharType="end"/>
      </w:r>
      <w:r>
        <w:rPr>
          <w:rtl/>
        </w:rPr>
        <w:t xml:space="preserve">, כיצד תמכו עשירי מינסק בישיבת </w:t>
      </w:r>
      <w:proofErr w:type="spellStart"/>
      <w:r>
        <w:rPr>
          <w:rtl/>
        </w:rPr>
        <w:t>וולוז׳ין</w:t>
      </w:r>
      <w:proofErr w:type="spellEnd"/>
      <w:r>
        <w:rPr>
          <w:rtl/>
        </w:rPr>
        <w:t xml:space="preserve"> בתקופה מאוחרת יותר.</w:t>
      </w:r>
    </w:p>
    <w:bookmarkStart w:id="899" w:name="b2_note37"/>
    <w:p w14:paraId="732ACF7C" w14:textId="77777777" w:rsidR="00AB3647" w:rsidRDefault="00000000" w:rsidP="007923E9">
      <w:pPr>
        <w:spacing w:before="120" w:after="100" w:line="276" w:lineRule="auto"/>
        <w:jc w:val="both"/>
      </w:pPr>
      <w:r>
        <w:fldChar w:fldCharType="begin" w:dirty="true"/>
      </w:r>
      <w:r>
        <w:instrText>HYPERLINK \l "b2_ref37"</w:instrText>
      </w:r>
      <w:r>
        <w:fldChar w:fldCharType="separate"/>
      </w:r>
      <w:r>
        <w:rPr>
          <w:b/>
          <w:bCs/>
          <w:rtl/>
        </w:rPr>
        <w:t>37</w:t>
      </w:r>
      <w:r>
        <w:rPr>
          <w:b/>
          <w:bCs/>
        </w:rPr>
        <w:fldChar w:fldCharType="end"/>
      </w:r>
      <w:bookmarkEnd w:id="899"/>
      <w:r>
        <w:rPr>
          <w:rtl/>
        </w:rPr>
        <w:t xml:space="preserve"> “הראשון לשושלת </w:t>
      </w:r>
      <w:proofErr w:type="spellStart"/>
      <w:r>
        <w:rPr>
          <w:rtl/>
        </w:rPr>
        <w:t>בריסק</w:t>
      </w:r>
      <w:proofErr w:type="spellEnd"/>
      <w:r>
        <w:rPr>
          <w:rtl/>
        </w:rPr>
        <w:t>”.</w:t>
      </w:r>
      <w:bookmarkStart w:id="900" w:name="_fnr552"/>
      <w:r>
        <w:rPr>
          <w:rStyle w:val="a5"/>
        </w:rPr>
        <w:footnoteReference w:id="552" w:customMarkFollows="0"/>
      </w:r>
      <w:bookmarkEnd w:id="900"/>
    </w:p>
    <w:p w14:paraId="4C66CC4B" w14:textId="05DFD492"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את בחינת הקבלה </w:t>
      </w:r>
      <w:proofErr w:type="spellStart"/>
      <w:r>
        <w:rPr>
          <w:rtl/>
        </w:rPr>
        <w:t>לקלויז</w:t>
      </w:r>
      <w:proofErr w:type="spellEnd"/>
      <w:r>
        <w:rPr>
          <w:rtl/>
        </w:rPr>
        <w:t xml:space="preserve"> של </w:t>
      </w:r>
      <w:proofErr w:type="spellStart"/>
      <w:r>
        <w:rPr>
          <w:rtl/>
        </w:rPr>
        <w:t>בלומקה</w:t>
      </w:r>
      <w:proofErr w:type="spellEnd"/>
      <w:r>
        <w:rPr>
          <w:rtl/>
        </w:rPr>
        <w:t xml:space="preserve"> עבר בקיץ תרס״ג. הוא השיב בהצטיינות על כל השאלות שהציג לו ראש הישיבה, ר׳ בנימין שימונוביץ,</w:t>
      </w:r>
      <w:bookmarkStart w:id="901" w:name="b2_ref38"/>
      <w:bookmarkEnd w:id="901"/>
      <w:r>
        <w:rPr>
          <w:vertAlign w:val="superscript"/>
          <w:rtl/>
        </w:rPr>
        <w:fldChar w:fldCharType="begin" w:dirty="true"/>
      </w:r>
      <w:r>
        <w:rPr>
          <w:vertAlign w:val="superscript"/>
          <w:rtl/>
        </w:rPr>
        <w:instrText xml:space="preserve"> REF b2_note38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38</w:t>
      </w:r>
      <w:r>
        <w:rPr>
          <w:vertAlign w:val="superscript"/>
          <w:rtl/>
        </w:rPr>
        <w:fldChar w:fldCharType="end"/>
      </w:r>
      <w:r>
        <w:rPr>
          <w:rtl/>
        </w:rPr>
        <w:t xml:space="preserve"> אבל לפתע הטרידה את ראש הישיבה קומתו הנמוכה של אבי, והוא שאל לגילו. כשענה הנער: “קרוב </w:t>
      </w:r>
      <w:proofErr w:type="spellStart"/>
      <w:r>
        <w:rPr>
          <w:rtl/>
        </w:rPr>
        <w:t>לשלוש־עשרה</w:t>
      </w:r>
      <w:proofErr w:type="spellEnd"/>
      <w:r>
        <w:rPr>
          <w:rtl/>
        </w:rPr>
        <w:t xml:space="preserve">”, השיב ראש הישיבה: “הצלחת יפה מאוד בבחינה, אבל אתה פחות מבר מצווה”. רצונו העז להתעלות בתורה דחף את אבי להשיב בעזות שלא הייתה מדרכו: “אינני נחוץ כאן להשלים מניין; למה </w:t>
      </w:r>
      <w:bookmarkStart w:id="902" w:name="_Hlk243587066"/>
      <w:r>
        <w:rPr>
          <w:rtl/>
        </w:rPr>
        <w:t>אם כן עלי להיות בר מצווה?!”</w:t>
      </w:r>
      <w:bookmarkEnd w:id="902"/>
      <w:r>
        <w:rPr>
          <w:vertAlign w:val="superscript"/>
          <w:rtl/>
        </w:rPr>
        <w:fldChar w:fldCharType="begin" w:dirty="true"/>
      </w:r>
      <w:r>
        <w:rPr>
          <w:vertAlign w:val="superscript"/>
          <w:rtl/>
        </w:rPr>
        <w:instrText xml:space="preserve"> REF b2_note32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32</w:t>
      </w:r>
      <w:r>
        <w:rPr>
          <w:vertAlign w:val="superscript"/>
          <w:rtl/>
        </w:rPr>
        <w:fldChar w:fldCharType="end"/>
      </w:r>
      <w:r>
        <w:rPr>
          <w:rtl/>
        </w:rPr>
        <w:t xml:space="preserve"> ראש הישיבה אהב את התשובה הנחרצת, והצעיר נתקבל.</w:t>
      </w:r>
    </w:p>
    <w:bookmarkStart w:id="903" w:name="b2_note38"/>
    <w:p w14:paraId="1EB84A04" w14:textId="77777777" w:rsidR="00AB3647" w:rsidRDefault="00000000" w:rsidP="007923E9">
      <w:pPr>
        <w:spacing w:before="120" w:after="100" w:line="276" w:lineRule="auto"/>
        <w:jc w:val="both"/>
      </w:pPr>
      <w:r>
        <w:fldChar w:fldCharType="begin" w:dirty="true"/>
      </w:r>
      <w:r>
        <w:instrText>HYPERLINK \l "b2_ref38"</w:instrText>
      </w:r>
      <w:r>
        <w:fldChar w:fldCharType="separate"/>
      </w:r>
      <w:r>
        <w:rPr>
          <w:b/>
          <w:bCs/>
          <w:rtl/>
        </w:rPr>
        <w:t>38</w:t>
      </w:r>
      <w:r>
        <w:rPr>
          <w:b/>
          <w:bCs/>
        </w:rPr>
        <w:fldChar w:fldCharType="end"/>
      </w:r>
      <w:bookmarkEnd w:id="903"/>
      <w:r>
        <w:rPr>
          <w:rtl/>
        </w:rPr>
        <w:t xml:space="preserve"> נולד בשנת תרכ״א, נפטר בשנת תרפ״א.</w:t>
      </w:r>
    </w:p>
    <w:p w14:paraId="1EFC3D18" w14:textId="046688DA"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proofErr w:type="spellStart"/>
      <w:r>
        <w:rPr>
          <w:rtl/>
        </w:rPr>
        <w:t>הקלויז</w:t>
      </w:r>
      <w:proofErr w:type="spellEnd"/>
      <w:r>
        <w:rPr>
          <w:rtl/>
        </w:rPr>
        <w:t xml:space="preserve"> היה בניין לבנים קטן בן שתי קומות, ותריסר מדרגות עלו אל פתחו. במרתף התפלל מניין של מגלגלי סיגריות,</w:t>
      </w:r>
      <w:bookmarkStart w:id="904" w:name="b2_ref39"/>
      <w:bookmarkEnd w:id="904"/>
      <w:r>
        <w:rPr>
          <w:vertAlign w:val="superscript"/>
          <w:rtl/>
        </w:rPr>
        <w:fldChar w:fldCharType="begin" w:dirty="true"/>
      </w:r>
      <w:r>
        <w:rPr>
          <w:vertAlign w:val="superscript"/>
          <w:rtl/>
        </w:rPr>
        <w:instrText xml:space="preserve"> REF b2_note39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39</w:t>
      </w:r>
      <w:r>
        <w:rPr>
          <w:vertAlign w:val="superscript"/>
          <w:rtl/>
        </w:rPr>
        <w:fldChar w:fldCharType="end"/>
      </w:r>
      <w:r>
        <w:rPr>
          <w:rtl/>
        </w:rPr>
        <w:t xml:space="preserve"> ובקומה העליונה הייתה עזרת נשים. הבימה לא הייתה מוגבהת. זה היה היכל לימוד טיפוסי של ישיבה, אף שבעלי בתים רבים, רובם למדנים, היו באים להתפלל שם, ואחר כך עומדים סביב הבימה ומשוחחים על ענייני העולם.</w:t>
      </w:r>
      <w:bookmarkStart w:id="905" w:name="b2_ref40"/>
      <w:bookmarkEnd w:id="905"/>
      <w:r>
        <w:rPr>
          <w:vertAlign w:val="superscript"/>
          <w:rtl/>
        </w:rPr>
        <w:fldChar w:fldCharType="begin" w:dirty="true"/>
      </w:r>
      <w:r>
        <w:rPr>
          <w:vertAlign w:val="superscript"/>
          <w:rtl/>
        </w:rPr>
        <w:instrText xml:space="preserve"> REF b2_note40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40</w:t>
      </w:r>
      <w:r>
        <w:rPr>
          <w:vertAlign w:val="superscript"/>
          <w:rtl/>
        </w:rPr>
        <w:fldChar w:fldCharType="end"/>
      </w:r>
      <w:r>
        <w:rPr>
          <w:rtl/>
        </w:rPr>
        <w:t xml:space="preserve"> בלילה הפך בית המדרש לפנימייה לרבים מן התלמידים: הם היו מקרבים ספסלים זה לזה ומכסים אותם במזרני קש, וככל שהתלמיד היה מבוגר יותר, כן היה מקומו באולם מובחר יותר.</w:t>
      </w:r>
      <w:bookmarkStart w:id="906" w:name="b2_ref41"/>
      <w:bookmarkEnd w:id="906"/>
      <w:r>
        <w:rPr>
          <w:vertAlign w:val="superscript"/>
          <w:rtl/>
        </w:rPr>
        <w:fldChar w:fldCharType="begin" w:dirty="true"/>
      </w:r>
      <w:r>
        <w:rPr>
          <w:vertAlign w:val="superscript"/>
          <w:rtl/>
        </w:rPr>
        <w:instrText xml:space="preserve"> REF b2_note41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41</w:t>
      </w:r>
      <w:r>
        <w:rPr>
          <w:vertAlign w:val="superscript"/>
          <w:rtl/>
        </w:rPr>
        <w:fldChar w:fldCharType="end"/>
      </w:r>
    </w:p>
    <w:bookmarkStart w:id="907" w:name="b2_note39"/>
    <w:p w14:paraId="4DC079B1" w14:textId="77777777" w:rsidR="00AB3647" w:rsidRDefault="00000000" w:rsidP="007923E9">
      <w:pPr>
        <w:spacing w:before="120" w:after="100" w:line="276" w:lineRule="auto"/>
        <w:jc w:val="both"/>
      </w:pPr>
      <w:r>
        <w:fldChar w:fldCharType="begin" w:dirty="true"/>
      </w:r>
      <w:r>
        <w:instrText>HYPERLINK \l "b2_ref39"</w:instrText>
      </w:r>
      <w:r>
        <w:fldChar w:fldCharType="separate"/>
      </w:r>
      <w:r>
        <w:rPr>
          <w:b/>
          <w:bCs/>
          <w:rtl/>
        </w:rPr>
        <w:t>39</w:t>
      </w:r>
      <w:r>
        <w:rPr>
          <w:b/>
          <w:bCs/>
        </w:rPr>
        <w:fldChar w:fldCharType="end"/>
      </w:r>
      <w:bookmarkEnd w:id="907"/>
      <w:r>
        <w:rPr>
          <w:rtl/>
        </w:rPr>
        <w:t xml:space="preserve"> תיאור זה לקוח </w:t>
      </w:r>
      <w:proofErr w:type="spellStart"/>
      <w:r>
        <w:rPr>
          <w:rtl/>
        </w:rPr>
        <w:t>מ“זכרונות</w:t>
      </w:r>
      <w:proofErr w:type="spellEnd"/>
      <w:r>
        <w:rPr>
          <w:rtl/>
        </w:rPr>
        <w:t xml:space="preserve"> פון צווי דורות”, המובא </w:t>
      </w:r>
      <w:proofErr w:type="spellStart"/>
      <w:r>
        <w:rPr>
          <w:rtl/>
        </w:rPr>
        <w:t>ב“מינסק</w:t>
      </w:r>
      <w:proofErr w:type="spellEnd"/>
      <w:r>
        <w:rPr>
          <w:rtl/>
        </w:rPr>
        <w:t xml:space="preserve"> עיר ואם א”,</w:t>
      </w:r>
      <w:bookmarkStart w:id="908" w:name="_fnr553"/>
      <w:r>
        <w:rPr>
          <w:rStyle w:val="a5"/>
        </w:rPr>
        <w:footnoteReference w:id="553" w:customMarkFollows="0"/>
      </w:r>
      <w:bookmarkEnd w:id="908"/>
      <w:r>
        <w:rPr>
          <w:rtl/>
        </w:rPr>
        <w:t xml:space="preserve"> עם ההבהרה הבאה של רחל חדש:</w:t>
      </w:r>
      <w:bookmarkStart w:id="909" w:name="_fnr554"/>
      <w:r>
        <w:rPr>
          <w:rStyle w:val="a5"/>
        </w:rPr>
        <w:footnoteReference w:id="554" w:customMarkFollows="0"/>
      </w:r>
      <w:bookmarkEnd w:id="909"/>
      <w:r>
        <w:rPr>
          <w:rtl/>
        </w:rPr>
        <w:t xml:space="preserve"> בעלי בתי החרושת היו מספקים לפועליהם מכונות קטנות המופעלות ביד למילוי טבק בנייר סיגריות בבתיהם. ר׳ אשר </w:t>
      </w:r>
      <w:proofErr w:type="spellStart"/>
      <w:r>
        <w:rPr>
          <w:rtl/>
        </w:rPr>
        <w:t>קרשטיין</w:t>
      </w:r>
      <w:bookmarkStart w:id="910" w:name="_fnr555"/>
      <w:proofErr w:type="spellEnd"/>
      <w:r>
        <w:rPr>
          <w:rStyle w:val="a5"/>
        </w:rPr>
        <w:footnoteReference w:id="555" w:customMarkFollows="0"/>
      </w:r>
      <w:bookmarkEnd w:id="910"/>
      <w:r>
        <w:rPr>
          <w:rtl/>
        </w:rPr>
        <w:t xml:space="preserve"> נזכר שבקומת המרתף פעל תלמוד תורה לילדים קטנים.</w:t>
      </w:r>
    </w:p>
    <w:bookmarkStart w:id="911" w:name="b2_note40"/>
    <w:p w14:paraId="6C094913" w14:textId="77777777" w:rsidR="00AB3647" w:rsidRDefault="00000000" w:rsidP="007923E9">
      <w:pPr>
        <w:spacing w:before="120" w:after="100" w:line="276" w:lineRule="auto"/>
        <w:jc w:val="both"/>
      </w:pPr>
      <w:r>
        <w:lastRenderedPageBreak/>
        <w:fldChar w:fldCharType="begin" w:dirty="true"/>
      </w:r>
      <w:r>
        <w:instrText>HYPERLINK \l "b2_ref40"</w:instrText>
      </w:r>
      <w:r>
        <w:fldChar w:fldCharType="separate"/>
      </w:r>
      <w:r>
        <w:rPr>
          <w:b/>
          <w:bCs/>
          <w:rtl/>
        </w:rPr>
        <w:t>40</w:t>
      </w:r>
      <w:r>
        <w:rPr>
          <w:b/>
          <w:bCs/>
        </w:rPr>
        <w:fldChar w:fldCharType="end"/>
      </w:r>
      <w:bookmarkEnd w:id="911"/>
      <w:r>
        <w:rPr>
          <w:rtl/>
        </w:rPr>
        <w:t xml:space="preserve"> “מינסק עיר ואם א”.</w:t>
      </w:r>
      <w:bookmarkStart w:id="912" w:name="_fnr556"/>
      <w:r>
        <w:rPr>
          <w:rStyle w:val="a5"/>
        </w:rPr>
        <w:footnoteReference w:id="556" w:customMarkFollows="0"/>
      </w:r>
      <w:bookmarkEnd w:id="912"/>
      <w:r>
        <w:rPr>
          <w:rtl/>
        </w:rPr>
        <w:t xml:space="preserve"> בבית הכנסת היה בעל קורא מצוין, ר׳ אברהם ליפשיץ, שאף שהיה שומר מצוות, נשמע עליו שהוא אוהד את המשכילים. בשל כך ניסה קנאי אחד, ר׳ שמואל לוריא, להביא לפיטוריו זמן קצר לפני פורים. הוא נכשל, משום שבקיאותו של ליפשיץ בדקדוק העברי הוערכה מאוד </w:t>
      </w:r>
      <w:proofErr w:type="spellStart"/>
      <w:r>
        <w:rPr>
          <w:rtl/>
        </w:rPr>
        <w:t>בקלויז</w:t>
      </w:r>
      <w:proofErr w:type="spellEnd"/>
      <w:r>
        <w:rPr>
          <w:rtl/>
        </w:rPr>
        <w:t>. כשהמריבה עוד הייתה טרייה בזיכרון הקהל, הגביר הבעל קורא את שמחת הפורים שלהם: כשהשמיע את דברי המגילה (ז, ה) “מי הוא זה ואיזה הוא אשר מלאו לבו לעשות כן”, הצביע על יריבו. העובדה שהכתוב מדבר בהמן הבהירה היטב לשומעים כמה נפגע ליפשיץ מן הניסיון להדיחו.</w:t>
      </w:r>
      <w:bookmarkStart w:id="913" w:name="_fnr557"/>
      <w:r>
        <w:rPr>
          <w:rStyle w:val="a5"/>
        </w:rPr>
        <w:footnoteReference w:id="557" w:customMarkFollows="0"/>
      </w:r>
      <w:bookmarkEnd w:id="913"/>
    </w:p>
    <w:bookmarkStart w:id="914" w:name="b2_note41"/>
    <w:p w14:paraId="3B454C92" w14:textId="77777777" w:rsidR="00AB3647" w:rsidRDefault="00000000" w:rsidP="007923E9">
      <w:pPr>
        <w:spacing w:before="120" w:after="100" w:line="276" w:lineRule="auto"/>
        <w:jc w:val="both"/>
      </w:pPr>
      <w:r>
        <w:fldChar w:fldCharType="begin" w:dirty="true"/>
      </w:r>
      <w:r>
        <w:instrText>HYPERLINK \l "b2_ref41"</w:instrText>
      </w:r>
      <w:r>
        <w:fldChar w:fldCharType="separate"/>
      </w:r>
      <w:r>
        <w:rPr>
          <w:b/>
          <w:bCs/>
          <w:rtl/>
        </w:rPr>
        <w:t>41</w:t>
      </w:r>
      <w:r>
        <w:rPr>
          <w:b/>
          <w:bCs/>
        </w:rPr>
        <w:fldChar w:fldCharType="end"/>
      </w:r>
      <w:bookmarkEnd w:id="914"/>
      <w:r>
        <w:rPr>
          <w:rtl/>
        </w:rPr>
        <w:t xml:space="preserve"> </w:t>
      </w:r>
      <w:proofErr w:type="spellStart"/>
      <w:r>
        <w:rPr>
          <w:rtl/>
        </w:rPr>
        <w:t>ה“זכות</w:t>
      </w:r>
      <w:proofErr w:type="spellEnd"/>
      <w:r>
        <w:rPr>
          <w:rtl/>
        </w:rPr>
        <w:t>” על מקום מסוים ללימוד או לשינה נקראה במונח התלמודי “חזקה”.</w:t>
      </w:r>
      <w:bookmarkStart w:id="915" w:name="_fnr558"/>
      <w:r>
        <w:rPr>
          <w:rStyle w:val="a5"/>
        </w:rPr>
        <w:footnoteReference w:id="558" w:customMarkFollows="0"/>
      </w:r>
      <w:bookmarkEnd w:id="915"/>
      <w:r>
        <w:rPr>
          <w:rtl/>
        </w:rPr>
        <w:t xml:space="preserve"> לא רק שהתלמידים האחרים לא היו פוגעים בחזקת חבריהם; גם בעלי הבתים המתפללים כיבדו את זכויותיהם.</w:t>
      </w:r>
      <w:bookmarkStart w:id="916" w:name="_fnr559"/>
      <w:r>
        <w:rPr>
          <w:rStyle w:val="a5"/>
        </w:rPr>
        <w:footnoteReference w:id="559" w:customMarkFollows="0"/>
      </w:r>
      <w:bookmarkEnd w:id="916"/>
      <w:r>
        <w:rPr>
          <w:rtl/>
        </w:rPr>
        <w:t xml:space="preserve"> במקומות אחדים חילקו ביניהן קבוצות שונות, הן של בעלי בתים הן של תלמידים, את שעות הלימוד, כך שבבית המדרש למדו תורה מסביב לשעון. זה היה גם המנהג שהנהיג ר׳ חיים בישיבת </w:t>
      </w:r>
      <w:proofErr w:type="spellStart"/>
      <w:r>
        <w:rPr>
          <w:rtl/>
        </w:rPr>
        <w:t>וולוז׳ין</w:t>
      </w:r>
      <w:proofErr w:type="spellEnd"/>
      <w:r>
        <w:rPr>
          <w:rtl/>
        </w:rPr>
        <w:t>.</w:t>
      </w:r>
      <w:bookmarkStart w:id="917" w:name="_fnr560"/>
      <w:r>
        <w:rPr>
          <w:rStyle w:val="a5"/>
        </w:rPr>
        <w:footnoteReference w:id="560" w:customMarkFollows="0"/>
      </w:r>
      <w:bookmarkEnd w:id="917"/>
      <w:r>
        <w:rPr>
          <w:rtl/>
        </w:rPr>
        <w:t xml:space="preserve"> אבל “אפילו בעלי בתים עשירים, </w:t>
      </w:r>
      <w:proofErr w:type="spellStart"/>
      <w:r>
        <w:rPr>
          <w:rtl/>
        </w:rPr>
        <w:t>בידעם</w:t>
      </w:r>
      <w:proofErr w:type="spellEnd"/>
      <w:r>
        <w:rPr>
          <w:rtl/>
        </w:rPr>
        <w:t xml:space="preserve"> שבני הישיבה לומדים עד חצות – ובין התלמידים היו מתמידים שלמדו אף מאוחר יותר – לא העזו להעיר בחור ישיבה כדי לפנות מקום לעצמם. הם הסכימו להניח לבחור הישיבה ולא להפריע את מנוחתו.”</w:t>
      </w:r>
      <w:bookmarkStart w:id="918" w:name="_fnr561"/>
      <w:r>
        <w:rPr>
          <w:rStyle w:val="a5"/>
        </w:rPr>
        <w:footnoteReference w:id="561" w:customMarkFollows="0"/>
      </w:r>
      <w:bookmarkEnd w:id="918"/>
    </w:p>
    <w:p w14:paraId="6C9761D1" w14:textId="6C9CB7E8"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מאבי נחסך הסבל שהיה בדרך כלל מנת חלקו של תלמיד חדש – ובפרט של תלמיד חדש שלא הגיע לגיל מצוות – משום שהחזיק </w:t>
      </w:r>
      <w:proofErr w:type="spellStart"/>
      <w:r>
        <w:rPr>
          <w:rtl/>
        </w:rPr>
        <w:t>ב“חדרו</w:t>
      </w:r>
      <w:proofErr w:type="spellEnd"/>
      <w:r>
        <w:rPr>
          <w:rtl/>
        </w:rPr>
        <w:t xml:space="preserve">” שבבית דודו. הוא היה צעיר מדי וחסר ניסיון מכדי לתפוס שהחשיפה המתמשכת לבני דודו ולספריהם עלולה לסכן את עתידו. הוא נשאר </w:t>
      </w:r>
      <w:proofErr w:type="spellStart"/>
      <w:r>
        <w:rPr>
          <w:rtl/>
        </w:rPr>
        <w:t>בקלויז</w:t>
      </w:r>
      <w:proofErr w:type="spellEnd"/>
      <w:r>
        <w:rPr>
          <w:rtl/>
        </w:rPr>
        <w:t xml:space="preserve"> של </w:t>
      </w:r>
      <w:proofErr w:type="spellStart"/>
      <w:r>
        <w:rPr>
          <w:rtl/>
        </w:rPr>
        <w:t>בלומקה</w:t>
      </w:r>
      <w:proofErr w:type="spellEnd"/>
      <w:r>
        <w:rPr>
          <w:rtl/>
        </w:rPr>
        <w:t xml:space="preserve"> והמשיך בסידור זה חצי שנה, עד פסח תרס״ד. שלושה שבועות קודם לכן נעשה בר מצווה, שלא בנוכחות הוריו: ביום חמישי בבוקר עלה לתורה, ואחר כך אמר, בפני הקרובים המעטים שהיו לו בעיר ושהתאספו בבית סבו, את הדרשה שמצא בשעה שלמד בשול “משכיל לאיתן”.</w:t>
      </w:r>
      <w:bookmarkStart w:id="919" w:name="b2_ref42"/>
      <w:bookmarkEnd w:id="919"/>
      <w:r>
        <w:rPr>
          <w:vertAlign w:val="superscript"/>
          <w:rtl/>
        </w:rPr>
        <w:fldChar w:fldCharType="begin" w:dirty="true"/>
      </w:r>
      <w:r>
        <w:rPr>
          <w:vertAlign w:val="superscript"/>
          <w:rtl/>
        </w:rPr>
        <w:instrText xml:space="preserve"> REF b2_note42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42</w:t>
      </w:r>
      <w:r>
        <w:rPr>
          <w:vertAlign w:val="superscript"/>
          <w:rtl/>
        </w:rPr>
        <w:fldChar w:fldCharType="end"/>
      </w:r>
    </w:p>
    <w:bookmarkStart w:id="920" w:name="b2_note42"/>
    <w:p w14:paraId="06907488" w14:textId="77777777" w:rsidR="00AB3647" w:rsidRDefault="00000000" w:rsidP="007923E9">
      <w:pPr>
        <w:spacing w:before="120" w:after="100" w:line="276" w:lineRule="auto"/>
        <w:jc w:val="both"/>
      </w:pPr>
      <w:r>
        <w:fldChar w:fldCharType="begin" w:dirty="true"/>
      </w:r>
      <w:r>
        <w:instrText>HYPERLINK \l "b2_ref42"</w:instrText>
      </w:r>
      <w:r>
        <w:fldChar w:fldCharType="separate"/>
      </w:r>
      <w:r>
        <w:rPr>
          <w:b/>
          <w:bCs/>
          <w:rtl/>
        </w:rPr>
        <w:t>42</w:t>
      </w:r>
      <w:r>
        <w:rPr>
          <w:b/>
          <w:bCs/>
        </w:rPr>
        <w:fldChar w:fldCharType="end"/>
      </w:r>
      <w:bookmarkEnd w:id="920"/>
      <w:r>
        <w:rPr>
          <w:rtl/>
        </w:rPr>
        <w:t xml:space="preserve"> עם בר המצווה שלו החל בהרגל שנמשך כל ימי חייו: לסיים בכל שנה (בלי מפרשים) את עשרים וארבעה ספרי התנ״ך.</w:t>
      </w:r>
      <w:bookmarkStart w:id="921" w:name="_fnr562"/>
      <w:r>
        <w:rPr>
          <w:rStyle w:val="a5"/>
        </w:rPr>
        <w:footnoteReference w:id="562" w:customMarkFollows="0"/>
      </w:r>
      <w:bookmarkEnd w:id="921"/>
    </w:p>
    <w:p w14:paraId="6ED34491" w14:textId="3680A4E3"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אבי היה מהיר תפיסה, ומוחו פעל בלי הפסק בשנות התעצבותו אלה; הוא לא בזבז אף רגע לבטלה. כוח זיכרונו היה יוצא מן הכלל, אבל לא החשיב את עצמו לגאון.</w:t>
      </w:r>
      <w:bookmarkStart w:id="922" w:name="b2_ref43"/>
      <w:bookmarkEnd w:id="922"/>
      <w:r>
        <w:rPr>
          <w:vertAlign w:val="superscript"/>
          <w:rtl/>
        </w:rPr>
        <w:fldChar w:fldCharType="begin" w:dirty="true"/>
      </w:r>
      <w:r>
        <w:rPr>
          <w:vertAlign w:val="superscript"/>
          <w:rtl/>
        </w:rPr>
        <w:instrText xml:space="preserve"> REF b2_note43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43</w:t>
      </w:r>
      <w:r>
        <w:rPr>
          <w:vertAlign w:val="superscript"/>
          <w:rtl/>
        </w:rPr>
        <w:fldChar w:fldCharType="end"/>
      </w:r>
      <w:r>
        <w:rPr>
          <w:rtl/>
        </w:rPr>
        <w:t xml:space="preserve"> הוא פשוט תמה על כך שחבריו שוכחים לפעמים דבר שלמדו או נתקלו בו – תופעה שהייתה זרה לו </w:t>
      </w:r>
      <w:r>
        <w:rPr>
          <w:rtl/>
        </w:rPr>
        <w:lastRenderedPageBreak/>
        <w:t>לגמרי.</w:t>
      </w:r>
      <w:bookmarkStart w:id="923" w:name="b2_ref44"/>
      <w:bookmarkEnd w:id="923"/>
      <w:r>
        <w:rPr>
          <w:vertAlign w:val="superscript"/>
          <w:rtl/>
        </w:rPr>
        <w:fldChar w:fldCharType="begin" w:dirty="true"/>
      </w:r>
      <w:r>
        <w:rPr>
          <w:vertAlign w:val="superscript"/>
          <w:rtl/>
        </w:rPr>
        <w:instrText xml:space="preserve"> REF b2_note44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44</w:t>
      </w:r>
      <w:r>
        <w:rPr>
          <w:vertAlign w:val="superscript"/>
          <w:rtl/>
        </w:rPr>
        <w:fldChar w:fldCharType="end"/>
      </w:r>
      <w:r>
        <w:rPr>
          <w:rtl/>
        </w:rPr>
        <w:t xml:space="preserve"> שכלו הער קלט גם קטעים </w:t>
      </w:r>
      <w:proofErr w:type="spellStart"/>
      <w:r>
        <w:rPr>
          <w:rtl/>
        </w:rPr>
        <w:t>מ“מושבי</w:t>
      </w:r>
      <w:proofErr w:type="spellEnd"/>
      <w:r>
        <w:rPr>
          <w:rtl/>
        </w:rPr>
        <w:t>” החדשות שהתקיימו סביב הבימה אחרי התפילה, והרחיב את תחומי התעניינותו.</w:t>
      </w:r>
      <w:bookmarkStart w:id="924" w:name="b2_ref45"/>
      <w:bookmarkEnd w:id="924"/>
      <w:r>
        <w:rPr>
          <w:vertAlign w:val="superscript"/>
          <w:rtl/>
        </w:rPr>
        <w:fldChar w:fldCharType="begin" w:dirty="true"/>
      </w:r>
      <w:r>
        <w:rPr>
          <w:vertAlign w:val="superscript"/>
          <w:rtl/>
        </w:rPr>
        <w:instrText xml:space="preserve"> REF b2_note45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45</w:t>
      </w:r>
      <w:r>
        <w:rPr>
          <w:vertAlign w:val="superscript"/>
          <w:rtl/>
        </w:rPr>
        <w:fldChar w:fldCharType="end"/>
      </w:r>
    </w:p>
    <w:bookmarkStart w:id="925" w:name="b2_note43"/>
    <w:p w14:paraId="39FA7399" w14:textId="77777777" w:rsidR="00AB3647" w:rsidRDefault="00000000" w:rsidP="007923E9">
      <w:pPr>
        <w:spacing w:before="120" w:after="100" w:line="276" w:lineRule="auto"/>
        <w:jc w:val="both"/>
      </w:pPr>
      <w:r>
        <w:fldChar w:fldCharType="begin" w:dirty="true"/>
      </w:r>
      <w:r>
        <w:instrText>HYPERLINK \l "b2_ref43"</w:instrText>
      </w:r>
      <w:r>
        <w:fldChar w:fldCharType="separate"/>
      </w:r>
      <w:r>
        <w:rPr>
          <w:b/>
          <w:bCs/>
          <w:rtl/>
        </w:rPr>
        <w:t>43</w:t>
      </w:r>
      <w:r>
        <w:rPr>
          <w:b/>
          <w:bCs/>
        </w:rPr>
        <w:fldChar w:fldCharType="end"/>
      </w:r>
      <w:bookmarkEnd w:id="925"/>
      <w:r>
        <w:rPr>
          <w:rtl/>
        </w:rPr>
        <w:t xml:space="preserve"> הדבר הפתיע אותו לגמרי כעבור כמה שנים, כשאחיו אהרן, שלמד אז זמן קצר בישיבת </w:t>
      </w:r>
      <w:proofErr w:type="spellStart"/>
      <w:r>
        <w:rPr>
          <w:rtl/>
        </w:rPr>
        <w:t>סלבודקה</w:t>
      </w:r>
      <w:proofErr w:type="spellEnd"/>
      <w:r>
        <w:rPr>
          <w:rtl/>
        </w:rPr>
        <w:t xml:space="preserve">, גילה לו שבישיבה מכנים אותו “העילוי </w:t>
      </w:r>
      <w:proofErr w:type="spellStart"/>
      <w:r>
        <w:rPr>
          <w:rtl/>
        </w:rPr>
        <w:t>הדולהינובר</w:t>
      </w:r>
      <w:proofErr w:type="spellEnd"/>
      <w:r>
        <w:rPr>
          <w:rtl/>
        </w:rPr>
        <w:t>”. אהרן הביא אז את הבשורה הטובה להוריהם.</w:t>
      </w:r>
    </w:p>
    <w:bookmarkStart w:id="926" w:name="b2_note44"/>
    <w:p w14:paraId="58319769" w14:textId="77777777" w:rsidR="00AB3647" w:rsidRDefault="00000000" w:rsidP="007923E9">
      <w:pPr>
        <w:spacing w:before="120" w:after="100" w:line="276" w:lineRule="auto"/>
        <w:jc w:val="both"/>
      </w:pPr>
      <w:r>
        <w:fldChar w:fldCharType="begin" w:dirty="true"/>
      </w:r>
      <w:r>
        <w:instrText>HYPERLINK \l "b2_ref44"</w:instrText>
      </w:r>
      <w:r>
        <w:fldChar w:fldCharType="separate"/>
      </w:r>
      <w:r>
        <w:rPr>
          <w:b/>
          <w:bCs/>
          <w:rtl/>
        </w:rPr>
        <w:t>44</w:t>
      </w:r>
      <w:r>
        <w:rPr>
          <w:b/>
          <w:bCs/>
        </w:rPr>
        <w:fldChar w:fldCharType="end"/>
      </w:r>
      <w:bookmarkEnd w:id="926"/>
      <w:r>
        <w:rPr>
          <w:rtl/>
        </w:rPr>
        <w:t xml:space="preserve"> “עד אמצע ימיי היה מושג השכחה בלתי מובן לי כמו צבע לסומא,” אמר אבי. בשנותיו הראשונות לא הבין מדוע חבריו שואלים אותו לפעמים היכן נמצא קטע גמרא שלמדו כמוהו. גם לא הבין את המציאות שבה עוסק פסק השולחן ערוך</w:t>
      </w:r>
      <w:bookmarkStart w:id="927" w:name="_fnr563"/>
      <w:r>
        <w:rPr>
          <w:rStyle w:val="a5"/>
        </w:rPr>
        <w:footnoteReference w:id="563" w:customMarkFollows="0"/>
      </w:r>
      <w:bookmarkEnd w:id="927"/>
      <w:r>
        <w:rPr>
          <w:rtl/>
        </w:rPr>
        <w:t xml:space="preserve"> – מי שמסופק אם אמר בתפילת העמידה את הנוסח הנכון לפי עונת השנה: כיצד יכול אדם להסתפק במה שאמר הוא עצמו? הוא סיפר גם כמה היה מתרגז כששאלו אותו איך מאייתים מילה רוסית, כשידע שהשואל ראה אותה פעם כמוהו </w:t>
      </w:r>
      <w:r>
        <w:rPr>
          <w:b/>
          <w:bCs/>
          <w:rtl/>
        </w:rPr>
        <w:t>בעצמו</w:t>
      </w:r>
      <w:r>
        <w:rPr>
          <w:rtl/>
        </w:rPr>
        <w:t>. “וכי אני הגוי, שיש להחשיב אותי כבקי במילה יותר ממך?” מחה עוד.</w:t>
      </w:r>
    </w:p>
    <w:p w14:paraId="018A8764" w14:textId="77777777" w:rsidR="00AB3647" w:rsidRDefault="00000000" w:rsidP="007923E9">
      <w:pPr>
        <w:spacing w:before="120" w:after="100" w:line="276" w:lineRule="auto"/>
        <w:jc w:val="both"/>
      </w:pPr>
      <w:r>
        <w:rPr>
          <w:rtl/>
        </w:rPr>
        <w:t xml:space="preserve">ביום טוב אחד </w:t>
      </w:r>
      <w:proofErr w:type="spellStart"/>
      <w:r>
        <w:rPr>
          <w:rtl/>
        </w:rPr>
        <w:t>במונסי</w:t>
      </w:r>
      <w:proofErr w:type="spellEnd"/>
      <w:r>
        <w:rPr>
          <w:rtl/>
        </w:rPr>
        <w:t xml:space="preserve"> נזכר אבי שתלמיד אחר </w:t>
      </w:r>
      <w:proofErr w:type="spellStart"/>
      <w:r>
        <w:rPr>
          <w:rtl/>
        </w:rPr>
        <w:t>בסלבודקה</w:t>
      </w:r>
      <w:proofErr w:type="spellEnd"/>
      <w:r>
        <w:rPr>
          <w:rtl/>
        </w:rPr>
        <w:t>, שגר בכפר נידח, קיבל הוראות כיצד לנסוע הביתה לפסח – היכן להחליף את כלי הרכב הרבים כדי להגיע לעיר הולדתו. בשנה שלאחר מכן, כשביקש שוב הוראות, הוכיח אותו אבי: “הרי נסעת הביתה בשנה שעברה! מדוע אתה שואל?”</w:t>
      </w:r>
      <w:bookmarkStart w:id="928" w:name="_fnr564"/>
      <w:r>
        <w:rPr>
          <w:rStyle w:val="a5"/>
        </w:rPr>
        <w:footnoteReference w:id="564" w:customMarkFollows="0"/>
      </w:r>
      <w:bookmarkEnd w:id="928"/>
    </w:p>
    <w:p w14:paraId="3A78BE8D" w14:textId="1A5E9327" w:rsidR="00AB3647" w:rsidRDefault="00000000" w:rsidP="007923E9">
      <w:pPr>
        <w:spacing w:before="120" w:after="100" w:line="276" w:lineRule="auto"/>
        <w:jc w:val="both"/>
      </w:pPr>
      <w:r>
        <w:rPr>
          <w:rtl/>
        </w:rPr>
        <w:t xml:space="preserve">אני זוכר כיצד </w:t>
      </w:r>
      <w:r w:rsidR="00EE1289">
        <w:rPr>
          <w:rFonts w:hint="cs"/>
          <w:rtl/>
        </w:rPr>
        <w:t>אבי</w:t>
      </w:r>
      <w:r>
        <w:rPr>
          <w:rtl/>
        </w:rPr>
        <w:t xml:space="preserve">, כבר באמצע שנות החמישים לחייו, היה משעשע אורח בודד שהרבה לבוא לביתו בברוקלין, ר׳ פרץ </w:t>
      </w:r>
      <w:proofErr w:type="spellStart"/>
      <w:r>
        <w:rPr>
          <w:rtl/>
        </w:rPr>
        <w:t>יוגל</w:t>
      </w:r>
      <w:proofErr w:type="spellEnd"/>
      <w:r>
        <w:rPr>
          <w:rtl/>
        </w:rPr>
        <w:t>: הם התחרו בציון המקום המדויק בש״ס של מאמרים תלמודיים נדירים, או באמירת דפי גמרא בעל פה לפי בחירת האורח.</w:t>
      </w:r>
    </w:p>
    <w:bookmarkStart w:id="929" w:name="b2_note45"/>
    <w:p w14:paraId="4532FC0B" w14:textId="77777777" w:rsidR="00AB3647" w:rsidRDefault="00000000" w:rsidP="007923E9">
      <w:pPr>
        <w:spacing w:before="120" w:after="100" w:line="276" w:lineRule="auto"/>
        <w:jc w:val="both"/>
      </w:pPr>
      <w:r>
        <w:fldChar w:fldCharType="begin" w:dirty="true"/>
      </w:r>
      <w:r>
        <w:instrText>HYPERLINK \l "b2_ref45"</w:instrText>
      </w:r>
      <w:r>
        <w:fldChar w:fldCharType="separate"/>
      </w:r>
      <w:r>
        <w:rPr>
          <w:b/>
          <w:bCs/>
          <w:rtl/>
        </w:rPr>
        <w:t>45</w:t>
      </w:r>
      <w:r>
        <w:rPr>
          <w:b/>
          <w:bCs/>
        </w:rPr>
        <w:fldChar w:fldCharType="end"/>
      </w:r>
      <w:bookmarkEnd w:id="929"/>
      <w:r>
        <w:rPr>
          <w:rtl/>
        </w:rPr>
        <w:t xml:space="preserve"> בית המדרש היה בדרך כלל המקום “שאליו היו פונים לשמוע חדשות בעלות חשיבות היסטורית ומאורעות השעה הנוגעים לאומה היהודית”.</w:t>
      </w:r>
      <w:bookmarkStart w:id="930" w:name="_fnr565"/>
      <w:r>
        <w:rPr>
          <w:rStyle w:val="a5"/>
        </w:rPr>
        <w:footnoteReference w:id="565" w:customMarkFollows="0"/>
      </w:r>
      <w:bookmarkEnd w:id="930"/>
    </w:p>
    <w:p w14:paraId="4FFC089D" w14:textId="00426353" w:rsidR="00AB3647" w:rsidRDefault="00000000" w:rsidP="007923E9">
      <w:pPr>
        <w:spacing w:after="100" w:line="276" w:lineRule="auto"/>
        <w:ind w:firstLine="340"/>
        <w:jc w:val="both"/>
      </w:pPr>
      <w:r>
        <w:rPr>
          <w:rtl/>
        </w:rPr>
        <w:t xml:space="preserve">בשעות שמחוץ לסדרים עבר רבנו מספרות קלה (השווה </w:t>
      </w:r>
      <w:r>
        <w:rPr>
          <w:rtl/>
        </w:rPr>
        <w:fldChar w:fldCharType="begin" w:dirty="true"/>
      </w:r>
      <w:r>
        <w:rPr>
          <w:rtl/>
        </w:rPr>
        <w:instrText xml:space="preserve"> REF b2_excB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 xml:space="preserve"> להלן) לספרים רציניים. הוא עיין בספרי המתמטיקה והפיזיקה של בני דודו וקיבל מושג במקצועות אלה. ר׳ </w:t>
      </w:r>
      <w:proofErr w:type="spellStart"/>
      <w:r>
        <w:rPr>
          <w:rtl/>
        </w:rPr>
        <w:t>לייבל</w:t>
      </w:r>
      <w:proofErr w:type="spellEnd"/>
      <w:r>
        <w:rPr>
          <w:rtl/>
        </w:rPr>
        <w:t xml:space="preserve"> </w:t>
      </w:r>
      <w:proofErr w:type="spellStart"/>
      <w:r>
        <w:rPr>
          <w:rtl/>
        </w:rPr>
        <w:t>פרלשטיין</w:t>
      </w:r>
      <w:bookmarkStart w:id="931" w:name="_fnr566"/>
      <w:proofErr w:type="spellEnd"/>
      <w:r>
        <w:rPr>
          <w:rStyle w:val="a5"/>
        </w:rPr>
        <w:footnoteReference w:id="566" w:customMarkFollows="0"/>
      </w:r>
      <w:bookmarkEnd w:id="931"/>
      <w:r>
        <w:rPr>
          <w:rtl/>
        </w:rPr>
        <w:t xml:space="preserve"> סיפר שאחד מבני הדודים למד הנדסה, ואבי קרא גם את ספריו הטכניים בתחום זה. המרואיין סיפר </w:t>
      </w:r>
      <w:proofErr w:type="spellStart"/>
      <w:r>
        <w:rPr>
          <w:rtl/>
        </w:rPr>
        <w:t>שבהיותו</w:t>
      </w:r>
      <w:proofErr w:type="spellEnd"/>
      <w:r>
        <w:rPr>
          <w:rtl/>
        </w:rPr>
        <w:t xml:space="preserve"> תלמיד צעיר </w:t>
      </w:r>
      <w:proofErr w:type="spellStart"/>
      <w:r>
        <w:rPr>
          <w:rtl/>
        </w:rPr>
        <w:t>בסלבודקה</w:t>
      </w:r>
      <w:proofErr w:type="spellEnd"/>
      <w:r>
        <w:rPr>
          <w:rtl/>
        </w:rPr>
        <w:t xml:space="preserve"> לא האמין אבי שר׳ </w:t>
      </w:r>
      <w:proofErr w:type="spellStart"/>
      <w:r>
        <w:rPr>
          <w:rtl/>
        </w:rPr>
        <w:t>אברהם־אליהו</w:t>
      </w:r>
      <w:proofErr w:type="spellEnd"/>
      <w:r>
        <w:rPr>
          <w:rtl/>
        </w:rPr>
        <w:t xml:space="preserve"> קפלן</w:t>
      </w:r>
      <w:bookmarkStart w:id="932" w:name="_fnr567"/>
      <w:r>
        <w:rPr>
          <w:rStyle w:val="a5"/>
        </w:rPr>
        <w:footnoteReference w:id="567" w:customMarkFollows="0"/>
      </w:r>
      <w:bookmarkEnd w:id="932"/>
      <w:r>
        <w:rPr>
          <w:rtl/>
        </w:rPr>
        <w:t xml:space="preserve"> יגדל להיות גאון, משום שהיה חלש במתמטיקה! “אבל,” סיים, “התבדיתי.” רבנו הניח שההיגיון שאדם זקוק לו למתמטיקה הוא אותו כוח עצמו הנדרש לפתרון בעיות תלמודיות.</w:t>
      </w:r>
    </w:p>
    <w:p w14:paraId="12E347FA" w14:textId="77777777" w:rsidR="00AB3647" w:rsidRDefault="00000000" w:rsidP="007923E9">
      <w:pPr>
        <w:spacing w:after="100" w:line="276" w:lineRule="auto"/>
        <w:ind w:firstLine="340"/>
        <w:jc w:val="both"/>
      </w:pPr>
      <w:r>
        <w:rPr>
          <w:rtl/>
        </w:rPr>
        <w:lastRenderedPageBreak/>
        <w:t xml:space="preserve">שמא יתפלא הקורא על כך שאבי קשר את לימוד התורה למקצועות עזר ולמקצועות חול, אספר מעשה </w:t>
      </w:r>
      <w:proofErr w:type="spellStart"/>
      <w:r>
        <w:rPr>
          <w:rtl/>
        </w:rPr>
        <w:t>בחזון־איש</w:t>
      </w:r>
      <w:proofErr w:type="spellEnd"/>
      <w:r>
        <w:rPr>
          <w:rtl/>
        </w:rPr>
        <w:t xml:space="preserve"> המדגים את אותה גישה. ר׳ </w:t>
      </w:r>
      <w:proofErr w:type="spellStart"/>
      <w:r>
        <w:rPr>
          <w:rtl/>
        </w:rPr>
        <w:t>צבי־הירש</w:t>
      </w:r>
      <w:proofErr w:type="spellEnd"/>
      <w:r>
        <w:rPr>
          <w:rtl/>
        </w:rPr>
        <w:t xml:space="preserve"> </w:t>
      </w:r>
      <w:proofErr w:type="spellStart"/>
      <w:r>
        <w:rPr>
          <w:rtl/>
        </w:rPr>
        <w:t>אפלבוים</w:t>
      </w:r>
      <w:proofErr w:type="spellEnd"/>
      <w:r>
        <w:rPr>
          <w:rtl/>
        </w:rPr>
        <w:t xml:space="preserve">, תלמיד חכם וסוחר אריגים </w:t>
      </w:r>
      <w:proofErr w:type="spellStart"/>
      <w:r>
        <w:rPr>
          <w:rtl/>
        </w:rPr>
        <w:t>מבריסק</w:t>
      </w:r>
      <w:proofErr w:type="spellEnd"/>
      <w:r>
        <w:rPr>
          <w:rtl/>
        </w:rPr>
        <w:t xml:space="preserve">, הוגלה </w:t>
      </w:r>
      <w:proofErr w:type="spellStart"/>
      <w:r>
        <w:rPr>
          <w:rtl/>
        </w:rPr>
        <w:t>לסטויבץ</w:t>
      </w:r>
      <w:proofErr w:type="spellEnd"/>
      <w:r>
        <w:rPr>
          <w:rtl/>
        </w:rPr>
        <w:t xml:space="preserve"> במלחמת העולם הראשונה, כמו </w:t>
      </w:r>
      <w:proofErr w:type="spellStart"/>
      <w:r>
        <w:rPr>
          <w:rtl/>
        </w:rPr>
        <w:t>החזון־איש</w:t>
      </w:r>
      <w:proofErr w:type="spellEnd"/>
      <w:r>
        <w:rPr>
          <w:rtl/>
        </w:rPr>
        <w:t xml:space="preserve">. הוא עזר לרבנית של </w:t>
      </w:r>
      <w:proofErr w:type="spellStart"/>
      <w:r>
        <w:rPr>
          <w:rtl/>
        </w:rPr>
        <w:t>החזון־איש</w:t>
      </w:r>
      <w:proofErr w:type="spellEnd"/>
      <w:r>
        <w:rPr>
          <w:rtl/>
        </w:rPr>
        <w:t xml:space="preserve">, בתיה, בקניית סחורה לחנותה, ואף קיבל רשות מן </w:t>
      </w:r>
      <w:proofErr w:type="spellStart"/>
      <w:r>
        <w:rPr>
          <w:rtl/>
        </w:rPr>
        <w:t>החזון־איש</w:t>
      </w:r>
      <w:proofErr w:type="spellEnd"/>
      <w:r>
        <w:rPr>
          <w:rtl/>
        </w:rPr>
        <w:t xml:space="preserve"> לפתוח עסק אריגים מתחרה, ונעשה </w:t>
      </w:r>
      <w:proofErr w:type="spellStart"/>
      <w:r>
        <w:rPr>
          <w:rtl/>
        </w:rPr>
        <w:t>תלמיד־חבר</w:t>
      </w:r>
      <w:proofErr w:type="spellEnd"/>
      <w:r>
        <w:rPr>
          <w:rtl/>
        </w:rPr>
        <w:t xml:space="preserve"> שלו. בליל קיץ אחד הזמין </w:t>
      </w:r>
      <w:proofErr w:type="spellStart"/>
      <w:r>
        <w:rPr>
          <w:rtl/>
        </w:rPr>
        <w:t>החזון־איש</w:t>
      </w:r>
      <w:proofErr w:type="spellEnd"/>
      <w:r>
        <w:rPr>
          <w:rtl/>
        </w:rPr>
        <w:t xml:space="preserve"> את ר׳ </w:t>
      </w:r>
      <w:proofErr w:type="spellStart"/>
      <w:r>
        <w:rPr>
          <w:rtl/>
        </w:rPr>
        <w:t>צבי־הירש</w:t>
      </w:r>
      <w:proofErr w:type="spellEnd"/>
      <w:r>
        <w:rPr>
          <w:rtl/>
        </w:rPr>
        <w:t xml:space="preserve"> להצטרף אליו לשחייה בנהר </w:t>
      </w:r>
      <w:proofErr w:type="spellStart"/>
      <w:r>
        <w:rPr>
          <w:rtl/>
        </w:rPr>
        <w:t>הנמן</w:t>
      </w:r>
      <w:proofErr w:type="spellEnd"/>
      <w:r>
        <w:rPr>
          <w:rtl/>
        </w:rPr>
        <w:t xml:space="preserve"> למחרת בארבע לפנות בוקר.</w:t>
      </w:r>
      <w:bookmarkStart w:id="933" w:name="_fnr568"/>
      <w:r>
        <w:rPr>
          <w:rStyle w:val="a5"/>
        </w:rPr>
        <w:footnoteReference w:id="568" w:customMarkFollows="0"/>
      </w:r>
      <w:bookmarkEnd w:id="933"/>
      <w:r>
        <w:rPr>
          <w:rtl/>
        </w:rPr>
        <w:t xml:space="preserve"> כשהיו במים החל </w:t>
      </w:r>
      <w:proofErr w:type="spellStart"/>
      <w:r>
        <w:rPr>
          <w:rtl/>
        </w:rPr>
        <w:t>החזון־איש</w:t>
      </w:r>
      <w:proofErr w:type="spellEnd"/>
      <w:r>
        <w:rPr>
          <w:rtl/>
        </w:rPr>
        <w:t xml:space="preserve"> להתיז מים על חברו בשובבות, ור׳ </w:t>
      </w:r>
      <w:proofErr w:type="spellStart"/>
      <w:r>
        <w:rPr>
          <w:rtl/>
        </w:rPr>
        <w:t>צבי־הירש</w:t>
      </w:r>
      <w:proofErr w:type="spellEnd"/>
      <w:r>
        <w:rPr>
          <w:rtl/>
        </w:rPr>
        <w:t xml:space="preserve"> שאל אותו: “רבי, מה קורה כאן?” השיב הרב: “אויב מען </w:t>
      </w:r>
      <w:proofErr w:type="spellStart"/>
      <w:r>
        <w:rPr>
          <w:rtl/>
        </w:rPr>
        <w:t>קען</w:t>
      </w:r>
      <w:proofErr w:type="spellEnd"/>
      <w:r>
        <w:rPr>
          <w:rtl/>
        </w:rPr>
        <w:t xml:space="preserve"> </w:t>
      </w:r>
      <w:proofErr w:type="spellStart"/>
      <w:r>
        <w:rPr>
          <w:rtl/>
        </w:rPr>
        <w:t>שטיפען</w:t>
      </w:r>
      <w:proofErr w:type="spellEnd"/>
      <w:r>
        <w:rPr>
          <w:rtl/>
        </w:rPr>
        <w:t xml:space="preserve">, </w:t>
      </w:r>
      <w:proofErr w:type="spellStart"/>
      <w:r>
        <w:rPr>
          <w:rtl/>
        </w:rPr>
        <w:t>קען</w:t>
      </w:r>
      <w:proofErr w:type="spellEnd"/>
      <w:r>
        <w:rPr>
          <w:rtl/>
        </w:rPr>
        <w:t xml:space="preserve"> מען מחדש זיין [אם אפשר להשתובב, אפשר לחדש – חידושי תורה].”</w:t>
      </w:r>
      <w:bookmarkStart w:id="934" w:name="_fnr569"/>
      <w:r>
        <w:rPr>
          <w:rStyle w:val="a5"/>
        </w:rPr>
        <w:footnoteReference w:id="569" w:customMarkFollows="0"/>
      </w:r>
      <w:bookmarkEnd w:id="934"/>
    </w:p>
    <w:p w14:paraId="344D0C9A" w14:textId="77777777" w:rsidR="00AB3647" w:rsidRDefault="00000000" w:rsidP="007923E9">
      <w:pPr>
        <w:spacing w:after="100" w:line="276" w:lineRule="auto"/>
        <w:ind w:firstLine="340"/>
        <w:jc w:val="both"/>
      </w:pPr>
      <w:r>
        <w:rPr>
          <w:rtl/>
        </w:rPr>
        <w:t xml:space="preserve">מעשה שובבות אחר </w:t>
      </w:r>
      <w:proofErr w:type="spellStart"/>
      <w:r>
        <w:rPr>
          <w:rtl/>
        </w:rPr>
        <w:t>בחזון־איש</w:t>
      </w:r>
      <w:proofErr w:type="spellEnd"/>
      <w:r>
        <w:rPr>
          <w:rtl/>
        </w:rPr>
        <w:t xml:space="preserve"> קשור </w:t>
      </w:r>
      <w:bookmarkStart w:id="935" w:name="_Hlk243587554"/>
      <w:r>
        <w:rPr>
          <w:rtl/>
        </w:rPr>
        <w:t xml:space="preserve">בר׳ </w:t>
      </w:r>
      <w:proofErr w:type="spellStart"/>
      <w:r>
        <w:rPr>
          <w:rtl/>
        </w:rPr>
        <w:t>יענקל</w:t>
      </w:r>
      <w:proofErr w:type="spellEnd"/>
      <w:r>
        <w:rPr>
          <w:rtl/>
        </w:rPr>
        <w:t xml:space="preserve"> </w:t>
      </w:r>
      <w:proofErr w:type="spellStart"/>
      <w:r>
        <w:rPr>
          <w:rtl/>
        </w:rPr>
        <w:t>ראדישקוביצער</w:t>
      </w:r>
      <w:proofErr w:type="spellEnd"/>
      <w:r>
        <w:rPr>
          <w:rtl/>
        </w:rPr>
        <w:t xml:space="preserve">, בחור ישיבה מבוגר ורווק, אהוב על הבריות, בארץ ישראל בשנות </w:t>
      </w:r>
      <w:proofErr w:type="spellStart"/>
      <w:r>
        <w:rPr>
          <w:rtl/>
        </w:rPr>
        <w:t>הת״ש־י</w:t>
      </w:r>
      <w:proofErr w:type="spellEnd"/>
      <w:r>
        <w:rPr>
          <w:rtl/>
        </w:rPr>
        <w:t>׳, שאהב “לדבר בלימוד” עם החכם הגדול</w:t>
      </w:r>
      <w:bookmarkEnd w:id="935"/>
      <w:r>
        <w:rPr>
          <w:rtl/>
        </w:rPr>
        <w:t xml:space="preserve">. </w:t>
      </w:r>
      <w:bookmarkStart w:id="936" w:name="_Hlk243587530"/>
      <w:r>
        <w:rPr>
          <w:rtl/>
        </w:rPr>
        <w:t xml:space="preserve">פעם אמר </w:t>
      </w:r>
      <w:proofErr w:type="spellStart"/>
      <w:r>
        <w:rPr>
          <w:rtl/>
        </w:rPr>
        <w:t>הראדישקוביצער</w:t>
      </w:r>
      <w:proofErr w:type="spellEnd"/>
      <w:r>
        <w:rPr>
          <w:rtl/>
        </w:rPr>
        <w:t xml:space="preserve"> </w:t>
      </w:r>
      <w:proofErr w:type="spellStart"/>
      <w:r>
        <w:rPr>
          <w:rtl/>
        </w:rPr>
        <w:t>לחזון־איש</w:t>
      </w:r>
      <w:proofErr w:type="spellEnd"/>
      <w:r>
        <w:rPr>
          <w:rtl/>
        </w:rPr>
        <w:t xml:space="preserve">: “אילו הייתם בריא וחזק יותר, הייתי בא לדבר עמכם לעתים קרובות יותר.” השיב לו </w:t>
      </w:r>
      <w:proofErr w:type="spellStart"/>
      <w:r>
        <w:rPr>
          <w:rtl/>
        </w:rPr>
        <w:t>החזון־איש</w:t>
      </w:r>
      <w:proofErr w:type="spellEnd"/>
      <w:r>
        <w:rPr>
          <w:rtl/>
        </w:rPr>
        <w:t>: “אילו הייתי בריא וחזק יותר, הייתי יכול לתפוס אותך בעורפך ולזרוק אותך החוצה לגמרי</w:t>
      </w:r>
      <w:bookmarkEnd w:id="936"/>
      <w:r>
        <w:rPr>
          <w:rtl/>
        </w:rPr>
        <w:t>!”</w:t>
      </w:r>
      <w:bookmarkStart w:id="937" w:name="_fnr570"/>
      <w:r>
        <w:rPr>
          <w:rStyle w:val="a5"/>
        </w:rPr>
        <w:footnoteReference w:id="570" w:customMarkFollows="0"/>
      </w:r>
      <w:bookmarkEnd w:id="937"/>
    </w:p>
    <w:p w14:paraId="0AE92E10" w14:textId="0DE905E0" w:rsidR="00AB3647" w:rsidRDefault="00000000" w:rsidP="007923E9">
      <w:pPr>
        <w:spacing w:after="100" w:line="276" w:lineRule="auto"/>
        <w:ind w:firstLine="340"/>
        <w:jc w:val="both"/>
      </w:pPr>
      <w:r>
        <w:rPr>
          <w:rtl/>
        </w:rPr>
        <w:t xml:space="preserve">אבי עיין גם ברומנים הרוסיים של בני דודו, מאת סופרים כגון פושקין, </w:t>
      </w:r>
      <w:proofErr w:type="spellStart"/>
      <w:r>
        <w:rPr>
          <w:rtl/>
        </w:rPr>
        <w:t>לרמונטוב</w:t>
      </w:r>
      <w:proofErr w:type="spellEnd"/>
      <w:r>
        <w:rPr>
          <w:rtl/>
        </w:rPr>
        <w:t xml:space="preserve">, </w:t>
      </w:r>
      <w:proofErr w:type="spellStart"/>
      <w:r>
        <w:rPr>
          <w:rtl/>
        </w:rPr>
        <w:t>דוסטויבסקי</w:t>
      </w:r>
      <w:proofErr w:type="spellEnd"/>
      <w:r>
        <w:rPr>
          <w:rtl/>
        </w:rPr>
        <w:t xml:space="preserve"> </w:t>
      </w:r>
      <w:proofErr w:type="spellStart"/>
      <w:r>
        <w:rPr>
          <w:rtl/>
        </w:rPr>
        <w:t>וטולסטוי</w:t>
      </w:r>
      <w:proofErr w:type="spellEnd"/>
      <w:r>
        <w:rPr>
          <w:rtl/>
        </w:rPr>
        <w:t xml:space="preserve"> בן הזמן. אבל הבנת חומר כבד כזה דורשת לימוד וריכוז מתמשכים, ולכן הייתה ידיעתו בספרות הרוסית שטחית לכל היותר.</w:t>
      </w:r>
      <w:bookmarkStart w:id="938" w:name="_fnr571"/>
      <w:r>
        <w:rPr>
          <w:rStyle w:val="a5"/>
        </w:rPr>
        <w:footnoteReference w:id="571" w:customMarkFollows="0"/>
      </w:r>
      <w:bookmarkEnd w:id="938"/>
      <w:r>
        <w:rPr>
          <w:rtl/>
        </w:rPr>
        <w:t xml:space="preserve"> במתיבתא תורה ודעת, שבה כיהן אבי כראש ישיבה,</w:t>
      </w:r>
      <w:bookmarkStart w:id="939" w:name="_fnr572"/>
      <w:r>
        <w:rPr>
          <w:rStyle w:val="a5"/>
        </w:rPr>
        <w:footnoteReference w:id="572" w:customMarkFollows="0"/>
      </w:r>
      <w:bookmarkEnd w:id="939"/>
      <w:r>
        <w:rPr>
          <w:rtl/>
        </w:rPr>
        <w:t xml:space="preserve"> מספרים שפעם הזכיר את הספר “אנה </w:t>
      </w:r>
      <w:proofErr w:type="spellStart"/>
      <w:r>
        <w:rPr>
          <w:rtl/>
        </w:rPr>
        <w:t>קרנינה</w:t>
      </w:r>
      <w:proofErr w:type="spellEnd"/>
      <w:r>
        <w:rPr>
          <w:rtl/>
        </w:rPr>
        <w:t>” בשיחה עם קבוצת תלמידים, ונתקל במבטים ריקים. אמר להם: “מה, גם את זה אינכם יודעים [</w:t>
      </w:r>
      <w:proofErr w:type="spellStart"/>
      <w:r>
        <w:rPr>
          <w:rtl/>
        </w:rPr>
        <w:t>דאס</w:t>
      </w:r>
      <w:proofErr w:type="spellEnd"/>
      <w:r>
        <w:rPr>
          <w:rtl/>
        </w:rPr>
        <w:t xml:space="preserve"> </w:t>
      </w:r>
      <w:proofErr w:type="spellStart"/>
      <w:r>
        <w:rPr>
          <w:rtl/>
        </w:rPr>
        <w:t>אויך</w:t>
      </w:r>
      <w:proofErr w:type="spellEnd"/>
      <w:r>
        <w:rPr>
          <w:rtl/>
        </w:rPr>
        <w:t xml:space="preserve"> ניט]?!” – כלומר, ציפה שפיסת ידיעה כזו תהיה בגדר ידע בסיסי. והשווה גם את הפסקה השנייה ב</w:t>
      </w:r>
      <w:r>
        <w:rPr>
          <w:rtl/>
        </w:rPr>
        <w:fldChar w:fldCharType="begin" w:dirty="true"/>
      </w:r>
      <w:r>
        <w:rPr>
          <w:rtl/>
        </w:rPr>
        <w:instrText xml:space="preserve"> REF b2_excB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 xml:space="preserve"> להלן: שקרא את שייקספיר ואת ורן בתרגום רוסי, ושקרא חלק מספרות זו יותר מפעם אחת.</w:t>
      </w:r>
    </w:p>
    <w:p w14:paraId="2E98E58B" w14:textId="77777777" w:rsidR="00AB3647" w:rsidRDefault="00000000" w:rsidP="007923E9">
      <w:pPr>
        <w:spacing w:after="100" w:line="276" w:lineRule="auto"/>
        <w:ind w:firstLine="340"/>
        <w:jc w:val="both"/>
      </w:pPr>
      <w:r>
        <w:rPr>
          <w:rtl/>
        </w:rPr>
        <w:t xml:space="preserve">לפי ר׳ </w:t>
      </w:r>
      <w:proofErr w:type="spellStart"/>
      <w:r>
        <w:rPr>
          <w:rtl/>
        </w:rPr>
        <w:t>לייבל</w:t>
      </w:r>
      <w:proofErr w:type="spellEnd"/>
      <w:r>
        <w:rPr>
          <w:rtl/>
        </w:rPr>
        <w:t xml:space="preserve"> </w:t>
      </w:r>
      <w:proofErr w:type="spellStart"/>
      <w:r>
        <w:rPr>
          <w:rtl/>
        </w:rPr>
        <w:t>פרלשטיין</w:t>
      </w:r>
      <w:proofErr w:type="spellEnd"/>
      <w:r>
        <w:rPr>
          <w:rtl/>
        </w:rPr>
        <w:t>, בשלב כלשהו בחייו קרא אבי גם את כתביהם הפילוסופיים של אריסטו, אפלטון וקאנט.</w:t>
      </w:r>
      <w:bookmarkStart w:id="940" w:name="_fnr573"/>
      <w:r>
        <w:rPr>
          <w:rStyle w:val="a5"/>
        </w:rPr>
        <w:footnoteReference w:id="573" w:customMarkFollows="0"/>
      </w:r>
      <w:bookmarkEnd w:id="940"/>
      <w:r>
        <w:rPr>
          <w:rtl/>
        </w:rPr>
        <w:t xml:space="preserve"> ר׳ </w:t>
      </w:r>
      <w:proofErr w:type="spellStart"/>
      <w:r>
        <w:rPr>
          <w:rtl/>
        </w:rPr>
        <w:t>לייבל</w:t>
      </w:r>
      <w:proofErr w:type="spellEnd"/>
      <w:r>
        <w:rPr>
          <w:rtl/>
        </w:rPr>
        <w:t xml:space="preserve"> הוסיף שפעם הזכיר את הפילוסופים האנגלים הובס ולוק, ואבי לא הכיר את שמותיהם. זמן קצר לאחר מכן, כשתכנן ר׳ </w:t>
      </w:r>
      <w:proofErr w:type="spellStart"/>
      <w:r>
        <w:rPr>
          <w:rtl/>
        </w:rPr>
        <w:t>לייבל</w:t>
      </w:r>
      <w:proofErr w:type="spellEnd"/>
      <w:r>
        <w:rPr>
          <w:rtl/>
        </w:rPr>
        <w:t xml:space="preserve"> לבלות חופשה של שבועיים כאורח בביתו של אבי </w:t>
      </w:r>
      <w:proofErr w:type="spellStart"/>
      <w:r>
        <w:rPr>
          <w:rtl/>
        </w:rPr>
        <w:t>במונסי</w:t>
      </w:r>
      <w:proofErr w:type="spellEnd"/>
      <w:r>
        <w:rPr>
          <w:rtl/>
        </w:rPr>
        <w:t xml:space="preserve">, התבקש להביא עמו ספרים המבארים את רעיונותיהם של השניים. ליד שולחן בחצר האחורית קרא ר׳ </w:t>
      </w:r>
      <w:proofErr w:type="spellStart"/>
      <w:r>
        <w:rPr>
          <w:rtl/>
        </w:rPr>
        <w:t>לייבל</w:t>
      </w:r>
      <w:proofErr w:type="spellEnd"/>
      <w:r>
        <w:rPr>
          <w:rtl/>
        </w:rPr>
        <w:t xml:space="preserve"> באוזני רבנו מן הספרים, וקיבל ממנו הערות שוטפות: “בזה הוא צודק,” </w:t>
      </w:r>
      <w:proofErr w:type="spellStart"/>
      <w:r>
        <w:rPr>
          <w:rtl/>
        </w:rPr>
        <w:t>ו“בזה</w:t>
      </w:r>
      <w:proofErr w:type="spellEnd"/>
      <w:r>
        <w:rPr>
          <w:rtl/>
        </w:rPr>
        <w:t xml:space="preserve"> הוא טועה.”</w:t>
      </w:r>
    </w:p>
    <w:p w14:paraId="3AAAD525" w14:textId="27CFEFCD"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lastRenderedPageBreak/>
        <w:t xml:space="preserve">בתקופת לימודים אחת בלבד שהה בקלויז</w:t>
      </w:r>
      <w:proofErr w:type="spellStart"/>
      <w:r>
        <w:rPr>
          <w:rtl/>
        </w:rPr>
        <w:t xml:space="preserve"/>
      </w:r>
      <w:proofErr w:type="spellEnd"/>
      <w:r>
        <w:rPr>
          <w:rtl/>
        </w:rPr>
        <w:t>, כשלמדה הכיתה מסכת כתובות, שאל אבי קושיה שהמלמד לא ידע להשיב עליה, והרבי אמר כנביא: “זה הקטן גדול יהיה.”</w:t>
      </w:r>
      <w:bookmarkStart w:id="941" w:name="b2_ref46"/>
      <w:bookmarkEnd w:id="941"/>
      <w:r>
        <w:rPr>
          <w:vertAlign w:val="superscript"/>
          <w:rtl/>
        </w:rPr>
        <w:fldChar w:fldCharType="begin" w:dirty="true"/>
      </w:r>
      <w:r>
        <w:rPr>
          <w:vertAlign w:val="superscript"/>
          <w:rtl/>
        </w:rPr>
        <w:instrText xml:space="preserve"> REF b2_note46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46</w:t>
      </w:r>
      <w:r>
        <w:rPr>
          <w:vertAlign w:val="superscript"/>
          <w:rtl/>
        </w:rPr>
        <w:fldChar w:fldCharType="end"/>
      </w:r>
      <w:r>
        <w:rPr>
          <w:rtl/>
        </w:rPr>
        <w:t xml:space="preserve"> בתקופה זו גם שמע לראשונה דרשה מפי אחד מגדולי תנועת המוסר: תלמידו של ר׳ ישראל </w:t>
      </w:r>
      <w:proofErr w:type="spellStart"/>
      <w:r>
        <w:rPr>
          <w:rtl/>
        </w:rPr>
        <w:t>סלנטר</w:t>
      </w:r>
      <w:proofErr w:type="spellEnd"/>
      <w:r>
        <w:rPr>
          <w:rtl/>
        </w:rPr>
        <w:t xml:space="preserve"> (ליפקין), הדרשן הנודע ר׳ </w:t>
      </w:r>
      <w:proofErr w:type="spellStart"/>
      <w:r>
        <w:rPr>
          <w:rtl/>
        </w:rPr>
        <w:t>איצל׳ה</w:t>
      </w:r>
      <w:proofErr w:type="spellEnd"/>
      <w:r>
        <w:rPr>
          <w:rtl/>
        </w:rPr>
        <w:t xml:space="preserve"> </w:t>
      </w:r>
      <w:proofErr w:type="spellStart"/>
      <w:r>
        <w:rPr>
          <w:rtl/>
        </w:rPr>
        <w:t>פטרבורגר</w:t>
      </w:r>
      <w:proofErr w:type="spellEnd"/>
      <w:r>
        <w:rPr>
          <w:rtl/>
        </w:rPr>
        <w:t xml:space="preserve"> (</w:t>
      </w:r>
      <w:proofErr w:type="spellStart"/>
      <w:r>
        <w:rPr>
          <w:rtl/>
        </w:rPr>
        <w:t>בלאזר</w:t>
      </w:r>
      <w:proofErr w:type="spellEnd"/>
      <w:r>
        <w:rPr>
          <w:rtl/>
        </w:rPr>
        <w:t>),</w:t>
      </w:r>
      <w:bookmarkStart w:id="942" w:name="b2_ref47"/>
      <w:bookmarkEnd w:id="942"/>
      <w:r>
        <w:rPr>
          <w:vertAlign w:val="superscript"/>
          <w:rtl/>
        </w:rPr>
        <w:fldChar w:fldCharType="begin" w:dirty="true"/>
      </w:r>
      <w:r>
        <w:rPr>
          <w:vertAlign w:val="superscript"/>
          <w:rtl/>
        </w:rPr>
        <w:instrText xml:space="preserve"> REF b2_note47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47</w:t>
      </w:r>
      <w:r>
        <w:rPr>
          <w:vertAlign w:val="superscript"/>
          <w:rtl/>
        </w:rPr>
        <w:fldChar w:fldCharType="end"/>
      </w:r>
      <w:r>
        <w:rPr>
          <w:rtl/>
        </w:rPr>
        <w:t xml:space="preserve"> נשא דרשה מלהיבה במינסק כשעבר בעיר בדרכו לארץ ישראל.</w:t>
      </w:r>
      <w:bookmarkStart w:id="943" w:name="b2_ref48"/>
      <w:bookmarkEnd w:id="943"/>
      <w:r>
        <w:rPr>
          <w:vertAlign w:val="superscript"/>
          <w:rtl/>
        </w:rPr>
        <w:fldChar w:fldCharType="begin" w:dirty="true"/>
      </w:r>
      <w:r>
        <w:rPr>
          <w:vertAlign w:val="superscript"/>
          <w:rtl/>
        </w:rPr>
        <w:instrText xml:space="preserve"> REF b2_note48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48</w:t>
      </w:r>
      <w:r>
        <w:rPr>
          <w:vertAlign w:val="superscript"/>
          <w:rtl/>
        </w:rPr>
        <w:fldChar w:fldCharType="end"/>
      </w:r>
    </w:p>
    <w:bookmarkStart w:id="944" w:name="b2_note46"/>
    <w:p w14:paraId="46BFC981" w14:textId="77777777" w:rsidR="00AB3647" w:rsidRDefault="00000000" w:rsidP="007923E9">
      <w:pPr>
        <w:spacing w:before="120" w:after="100" w:line="276" w:lineRule="auto"/>
        <w:jc w:val="both"/>
      </w:pPr>
      <w:r>
        <w:fldChar w:fldCharType="begin" w:dirty="true"/>
      </w:r>
      <w:r>
        <w:instrText>HYPERLINK \l "b2_ref46"</w:instrText>
      </w:r>
      <w:r>
        <w:fldChar w:fldCharType="separate"/>
      </w:r>
      <w:r>
        <w:rPr>
          <w:b/>
          <w:bCs/>
          <w:rtl/>
        </w:rPr>
        <w:t>46</w:t>
      </w:r>
      <w:r>
        <w:rPr>
          <w:b/>
          <w:bCs/>
        </w:rPr>
        <w:fldChar w:fldCharType="end"/>
      </w:r>
      <w:bookmarkEnd w:id="944"/>
      <w:r>
        <w:rPr>
          <w:rtl/>
        </w:rPr>
        <w:t xml:space="preserve"> כשסיפר זאת אבי לנכדו ר׳ יצחק </w:t>
      </w:r>
      <w:proofErr w:type="spellStart"/>
      <w:r>
        <w:rPr>
          <w:rtl/>
        </w:rPr>
        <w:t>שורין</w:t>
      </w:r>
      <w:bookmarkStart w:id="945" w:name="_fnr574"/>
      <w:proofErr w:type="spellEnd"/>
      <w:r>
        <w:rPr>
          <w:rStyle w:val="a5"/>
        </w:rPr>
        <w:footnoteReference w:id="574" w:customMarkFollows="0"/>
      </w:r>
      <w:bookmarkEnd w:id="945"/>
      <w:r>
        <w:rPr>
          <w:rtl/>
        </w:rPr>
        <w:t xml:space="preserve"> בשנת תשל״ג, הוסיף </w:t>
      </w:r>
      <w:proofErr w:type="spellStart"/>
      <w:r>
        <w:rPr>
          <w:rtl/>
        </w:rPr>
        <w:t>ש“עד</w:t>
      </w:r>
      <w:proofErr w:type="spellEnd"/>
      <w:r>
        <w:rPr>
          <w:rtl/>
        </w:rPr>
        <w:t xml:space="preserve"> לא מכבר עוד זכר מה הייתה קושייתו”.</w:t>
      </w:r>
    </w:p>
    <w:p w14:paraId="46A22444" w14:textId="77777777" w:rsidR="00AB3647" w:rsidRDefault="00000000" w:rsidP="007923E9">
      <w:pPr>
        <w:spacing w:after="100" w:line="276" w:lineRule="auto"/>
        <w:ind w:firstLine="340"/>
        <w:jc w:val="both"/>
      </w:pPr>
      <w:r>
        <w:rPr>
          <w:rtl/>
        </w:rPr>
        <w:t xml:space="preserve">הנוסח “זה הקטן </w:t>
      </w:r>
      <w:proofErr w:type="spellStart"/>
      <w:r>
        <w:rPr>
          <w:rtl/>
        </w:rPr>
        <w:t>וכו</w:t>
      </w:r>
      <w:proofErr w:type="spellEnd"/>
      <w:r>
        <w:rPr>
          <w:rtl/>
        </w:rPr>
        <w:t>׳” נאמר בסיום טקס הברית כברכה לתינוק הנימול. כשחזר אבי על המעשה, פירש את המילה “קטן”, שבה תיאר אותו רבו, כמוסבת על קומתו הנמוכה, ולא על היותו קטין בגילו. בשעת ביקורי במינסק בתחילת תשנ״א</w:t>
      </w:r>
      <w:bookmarkStart w:id="946" w:name="_fnr575"/>
      <w:r>
        <w:rPr>
          <w:rStyle w:val="a5"/>
        </w:rPr>
        <w:footnoteReference w:id="575" w:customMarkFollows="0"/>
      </w:r>
      <w:bookmarkEnd w:id="946"/>
      <w:r>
        <w:rPr>
          <w:rtl/>
        </w:rPr>
        <w:t xml:space="preserve"> סיפרה לי דודתי ששלושת הילדים הבכורים במשפחת </w:t>
      </w:r>
      <w:proofErr w:type="spellStart"/>
      <w:r>
        <w:rPr>
          <w:rtl/>
        </w:rPr>
        <w:t>קמינצקי</w:t>
      </w:r>
      <w:proofErr w:type="spellEnd"/>
      <w:r>
        <w:rPr>
          <w:rtl/>
        </w:rPr>
        <w:t xml:space="preserve"> היו נמוכי קומה </w:t>
      </w:r>
      <w:proofErr w:type="spellStart"/>
      <w:r>
        <w:rPr>
          <w:rtl/>
        </w:rPr>
        <w:t>כאמם</w:t>
      </w:r>
      <w:proofErr w:type="spellEnd"/>
      <w:r>
        <w:rPr>
          <w:rtl/>
        </w:rPr>
        <w:t>, ושלושת הצעירים – גבוהים כאביהם.</w:t>
      </w:r>
    </w:p>
    <w:bookmarkStart w:id="947" w:name="b2_note47"/>
    <w:p w14:paraId="55562CB4" w14:textId="6F2F526D" w:rsidR="00AB3647" w:rsidRDefault="00000000" w:rsidP="007923E9">
      <w:pPr>
        <w:spacing w:before="120" w:after="100" w:line="276" w:lineRule="auto"/>
        <w:jc w:val="both"/>
      </w:pPr>
      <w:r>
        <w:fldChar w:fldCharType="begin" w:dirty="true"/>
      </w:r>
      <w:r>
        <w:instrText>HYPERLINK \l "b2_ref47"</w:instrText>
      </w:r>
      <w:r>
        <w:fldChar w:fldCharType="separate"/>
      </w:r>
      <w:r>
        <w:rPr>
          <w:b/>
          <w:bCs/>
          <w:rtl/>
        </w:rPr>
        <w:t>47</w:t>
      </w:r>
      <w:r>
        <w:rPr>
          <w:b/>
          <w:bCs/>
        </w:rPr>
        <w:fldChar w:fldCharType="end"/>
      </w:r>
      <w:bookmarkEnd w:id="947"/>
      <w:r>
        <w:rPr>
          <w:rtl/>
        </w:rPr>
        <w:t xml:space="preserve"> השווה פרק 3, </w:t>
      </w:r>
      <w:r>
        <w:rPr>
          <w:rtl/>
        </w:rPr>
        <w:fldChar w:fldCharType="begin" w:dirty="true"/>
      </w:r>
      <w:r>
        <w:rPr>
          <w:rtl/>
        </w:rPr>
        <w:instrText xml:space="preserve"> REF b3_excB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w:t>
      </w:r>
    </w:p>
    <w:bookmarkStart w:id="948" w:name="b2_note48"/>
    <w:p w14:paraId="65FDD3B9" w14:textId="77777777" w:rsidR="00AB3647" w:rsidRDefault="00000000" w:rsidP="007923E9">
      <w:pPr>
        <w:spacing w:before="120" w:after="100" w:line="276" w:lineRule="auto"/>
        <w:jc w:val="both"/>
      </w:pPr>
      <w:r>
        <w:fldChar w:fldCharType="begin" w:dirty="true"/>
      </w:r>
      <w:r>
        <w:instrText>HYPERLINK \l "b2_ref48"</w:instrText>
      </w:r>
      <w:r>
        <w:fldChar w:fldCharType="separate"/>
      </w:r>
      <w:r>
        <w:rPr>
          <w:b/>
          <w:bCs/>
          <w:rtl/>
        </w:rPr>
        <w:t>48</w:t>
      </w:r>
      <w:r>
        <w:rPr>
          <w:b/>
          <w:bCs/>
        </w:rPr>
        <w:fldChar w:fldCharType="end"/>
      </w:r>
      <w:bookmarkEnd w:id="948"/>
      <w:r>
        <w:rPr>
          <w:rtl/>
        </w:rPr>
        <w:t xml:space="preserve"> מתוך דרשה בבית הכנסת בית ישראל במיאמי </w:t>
      </w:r>
      <w:proofErr w:type="spellStart"/>
      <w:r>
        <w:rPr>
          <w:rtl/>
        </w:rPr>
        <w:t>ביץ</w:t>
      </w:r>
      <w:proofErr w:type="spellEnd"/>
      <w:r>
        <w:rPr>
          <w:rtl/>
        </w:rPr>
        <w:t xml:space="preserve">׳, שהוקלטה בקלטת שמסר לי רב בית הכנסת, ר׳ מרדכי שפירא. בכך ששמע את ר׳ </w:t>
      </w:r>
      <w:proofErr w:type="spellStart"/>
      <w:r>
        <w:rPr>
          <w:rtl/>
        </w:rPr>
        <w:t>איצל׳ה</w:t>
      </w:r>
      <w:proofErr w:type="spellEnd"/>
      <w:r>
        <w:rPr>
          <w:rtl/>
        </w:rPr>
        <w:t xml:space="preserve"> </w:t>
      </w:r>
      <w:proofErr w:type="spellStart"/>
      <w:r>
        <w:rPr>
          <w:rtl/>
        </w:rPr>
        <w:t>בלאזר</w:t>
      </w:r>
      <w:proofErr w:type="spellEnd"/>
      <w:r>
        <w:rPr>
          <w:rtl/>
        </w:rPr>
        <w:t xml:space="preserve"> בפעם אחת ויחידה זו, זכה אבי לראות בימי חייו שניים משלושת תלמידיו הגדולים של ר׳ ישראל. השני שראה היה ר׳ נפתלי אמסטרדם – ראה פרק 4.2.</w:t>
      </w:r>
    </w:p>
    <w:p w14:paraId="55B05458" w14:textId="77777777" w:rsidR="00AB3647" w:rsidRDefault="00000000" w:rsidP="007923E9">
      <w:pPr>
        <w:pStyle w:val="2"/>
        <w:spacing w:line="276" w:lineRule="auto"/>
      </w:pPr>
      <w:bookmarkStart w:id="949" w:name="b2_sec3"/>
      <w:r>
        <w:t>3.</w:t>
      </w:r>
      <w:bookmarkEnd w:id="949"/>
    </w:p>
    <w:p w14:paraId="68A0A2A3" w14:textId="057A2054"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עד בר המצווה שלו כבר עלה אבי על חבריו </w:t>
      </w:r>
      <w:proofErr w:type="spellStart"/>
      <w:r>
        <w:rPr>
          <w:rtl/>
        </w:rPr>
        <w:t>בקלויז</w:t>
      </w:r>
      <w:proofErr w:type="spellEnd"/>
      <w:r>
        <w:rPr>
          <w:rtl/>
        </w:rPr>
        <w:t xml:space="preserve">, שהיו מבוגרים ממנו בשנה או שנתיים, והיה מוכן להתקדם לישיבה ברמה גבוהה יותר, הנקראת “קיבוץ”, שבה היו התלמידים עצמאיים יותר. אחרי פסח תרס״ד הצטרף לקיבוץ שבשול “זבחי צדק”, או שול </w:t>
      </w:r>
      <w:proofErr w:type="spellStart"/>
      <w:r>
        <w:rPr>
          <w:rtl/>
        </w:rPr>
        <w:t>הקצבים</w:t>
      </w:r>
      <w:proofErr w:type="spellEnd"/>
      <w:r>
        <w:rPr>
          <w:rtl/>
        </w:rPr>
        <w:t>, ולמד שם שנתיים. רבני מינסק היו מתנדבים למסור שיעורים בישיבה נחשבת זו, וכן רבנים חשובים שביקרו בעיר.</w:t>
      </w:r>
      <w:bookmarkStart w:id="950" w:name="b2_ref49"/>
      <w:bookmarkEnd w:id="950"/>
      <w:r>
        <w:rPr>
          <w:vertAlign w:val="superscript"/>
          <w:rtl/>
        </w:rPr>
        <w:fldChar w:fldCharType="begin" w:dirty="true"/>
      </w:r>
      <w:r>
        <w:rPr>
          <w:vertAlign w:val="superscript"/>
          <w:rtl/>
        </w:rPr>
        <w:instrText xml:space="preserve"> REF b2_note49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49</w:t>
      </w:r>
      <w:r>
        <w:rPr>
          <w:vertAlign w:val="superscript"/>
          <w:rtl/>
        </w:rPr>
        <w:fldChar w:fldCharType="end"/>
      </w:r>
    </w:p>
    <w:bookmarkStart w:id="951" w:name="b2_note49"/>
    <w:p w14:paraId="758C2BEA" w14:textId="77777777" w:rsidR="00AB3647" w:rsidRDefault="00000000" w:rsidP="007923E9">
      <w:pPr>
        <w:spacing w:before="120" w:after="100" w:line="276" w:lineRule="auto"/>
        <w:jc w:val="both"/>
      </w:pPr>
      <w:r>
        <w:fldChar w:fldCharType="begin" w:dirty="true"/>
      </w:r>
      <w:r>
        <w:instrText>HYPERLINK \l "b2_ref49"</w:instrText>
      </w:r>
      <w:r>
        <w:fldChar w:fldCharType="separate"/>
      </w:r>
      <w:r>
        <w:rPr>
          <w:b/>
          <w:bCs/>
          <w:rtl/>
        </w:rPr>
        <w:t>49</w:t>
      </w:r>
      <w:r>
        <w:rPr>
          <w:b/>
          <w:bCs/>
        </w:rPr>
        <w:fldChar w:fldCharType="end"/>
      </w:r>
      <w:bookmarkEnd w:id="951"/>
      <w:r>
        <w:rPr>
          <w:rtl/>
        </w:rPr>
        <w:t xml:space="preserve"> מאמר מאת רחל חדש </w:t>
      </w:r>
      <w:proofErr w:type="spellStart"/>
      <w:r>
        <w:rPr>
          <w:rtl/>
        </w:rPr>
        <w:t>ב“מינסק</w:t>
      </w:r>
      <w:proofErr w:type="spellEnd"/>
      <w:r>
        <w:rPr>
          <w:rtl/>
        </w:rPr>
        <w:t xml:space="preserve"> עיר ואם א”.</w:t>
      </w:r>
      <w:bookmarkStart w:id="952" w:name="_fnr576"/>
      <w:r>
        <w:rPr>
          <w:rStyle w:val="a5"/>
        </w:rPr>
        <w:footnoteReference w:id="576" w:customMarkFollows="0"/>
      </w:r>
      <w:bookmarkEnd w:id="952"/>
      <w:r>
        <w:rPr>
          <w:rtl/>
        </w:rPr>
        <w:t xml:space="preserve"> היא כותבת: “כל תלמיד בישיבת שול </w:t>
      </w:r>
      <w:proofErr w:type="spellStart"/>
      <w:r>
        <w:rPr>
          <w:rtl/>
        </w:rPr>
        <w:t>הקצבים</w:t>
      </w:r>
      <w:proofErr w:type="spellEnd"/>
      <w:r>
        <w:rPr>
          <w:rtl/>
        </w:rPr>
        <w:t xml:space="preserve"> היה בחזקת מי שעתיד להיות גדול בתורה. הלימוד בישיבה זו היה סימן טוב לזכות בשידוך מן המעלה הראשונה. רבים מבוגריה נשאו בנות משפחות עשירות, ונכנסו לעסקי חותניהם, נעשו רבנים או המשיכו ללמוד תורה לשמה כשחותניהם מפרנסים אותם.”</w:t>
      </w:r>
    </w:p>
    <w:p w14:paraId="1D7DB502" w14:textId="3BDC46FE"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lastRenderedPageBreak/>
        <w:t xml:space="preserve">ר׳ </w:t>
      </w:r>
      <w:proofErr w:type="spellStart"/>
      <w:r>
        <w:rPr>
          <w:rtl/>
        </w:rPr>
        <w:t>יעקב־נח</w:t>
      </w:r>
      <w:proofErr w:type="spellEnd"/>
      <w:r>
        <w:rPr>
          <w:rtl/>
        </w:rPr>
        <w:t xml:space="preserve"> </w:t>
      </w:r>
      <w:proofErr w:type="spellStart"/>
      <w:r>
        <w:rPr>
          <w:rtl/>
        </w:rPr>
        <w:t>אוקסנקרוג</w:t>
      </w:r>
      <w:proofErr w:type="spellEnd"/>
      <w:r>
        <w:rPr>
          <w:rtl/>
        </w:rPr>
        <w:t>, קצב עשיר ובעל בתים, היה ממונה על השגת התקציב לישיבה,</w:t>
      </w:r>
      <w:bookmarkStart w:id="953" w:name="b2_ref50"/>
      <w:bookmarkEnd w:id="953"/>
      <w:r>
        <w:rPr>
          <w:vertAlign w:val="superscript"/>
          <w:rtl/>
        </w:rPr>
        <w:fldChar w:fldCharType="begin" w:dirty="true"/>
      </w:r>
      <w:r>
        <w:rPr>
          <w:vertAlign w:val="superscript"/>
          <w:rtl/>
        </w:rPr>
        <w:instrText xml:space="preserve"> REF b2_note50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50</w:t>
      </w:r>
      <w:r>
        <w:rPr>
          <w:vertAlign w:val="superscript"/>
          <w:rtl/>
        </w:rPr>
        <w:fldChar w:fldCharType="end"/>
      </w:r>
      <w:r>
        <w:rPr>
          <w:rtl/>
        </w:rPr>
        <w:t xml:space="preserve"> שלמדו בה מאתיים תלמידים. בעל הצדקה, שכונה בחיבה “ר׳ </w:t>
      </w:r>
      <w:proofErr w:type="spellStart"/>
      <w:r>
        <w:rPr>
          <w:rtl/>
        </w:rPr>
        <w:t>יענקל</w:t>
      </w:r>
      <w:proofErr w:type="spellEnd"/>
      <w:r>
        <w:rPr>
          <w:rtl/>
        </w:rPr>
        <w:t xml:space="preserve"> הקצב”,</w:t>
      </w:r>
      <w:bookmarkStart w:id="954" w:name="b2_ref51"/>
      <w:bookmarkEnd w:id="954"/>
      <w:r>
        <w:rPr>
          <w:vertAlign w:val="superscript"/>
          <w:rtl/>
        </w:rPr>
        <w:fldChar w:fldCharType="begin" w:dirty="true"/>
      </w:r>
      <w:r>
        <w:rPr>
          <w:vertAlign w:val="superscript"/>
          <w:rtl/>
        </w:rPr>
        <w:instrText xml:space="preserve"> REF b2_note51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51</w:t>
      </w:r>
      <w:r>
        <w:rPr>
          <w:vertAlign w:val="superscript"/>
          <w:rtl/>
        </w:rPr>
        <w:fldChar w:fldCharType="end"/>
      </w:r>
      <w:r>
        <w:rPr>
          <w:rtl/>
        </w:rPr>
        <w:t xml:space="preserve"> הקדיש לטובת הישיבה את כל דמי השכירות שגבה מבתיו. אבל כדי לספק לכל תלמיד את הקצבה החודשית המזערית של שני רובל,</w:t>
      </w:r>
      <w:bookmarkStart w:id="955" w:name="b2_ref52"/>
      <w:bookmarkEnd w:id="955"/>
      <w:r>
        <w:rPr>
          <w:vertAlign w:val="superscript"/>
          <w:rtl/>
        </w:rPr>
        <w:fldChar w:fldCharType="begin" w:dirty="true"/>
      </w:r>
      <w:r>
        <w:rPr>
          <w:vertAlign w:val="superscript"/>
          <w:rtl/>
        </w:rPr>
        <w:instrText xml:space="preserve"> REF b2_note52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52</w:t>
      </w:r>
      <w:r>
        <w:rPr>
          <w:vertAlign w:val="superscript"/>
          <w:rtl/>
        </w:rPr>
        <w:fldChar w:fldCharType="end"/>
      </w:r>
      <w:r>
        <w:rPr>
          <w:rtl/>
        </w:rPr>
        <w:t xml:space="preserve"> נזקק גם לתרומות מן הציבור הרחב. הוא גייס את חבריו למקצוע ללכת בדרכו ולתרום </w:t>
      </w:r>
      <w:proofErr w:type="spellStart"/>
      <w:r>
        <w:rPr>
          <w:rtl/>
        </w:rPr>
        <w:t>קופיקה</w:t>
      </w:r>
      <w:proofErr w:type="spellEnd"/>
      <w:r>
        <w:rPr>
          <w:rtl/>
        </w:rPr>
        <w:t xml:space="preserve"> מכל ליטרת בשר שמכרו.</w:t>
      </w:r>
      <w:bookmarkStart w:id="956" w:name="b2_ref53"/>
      <w:bookmarkEnd w:id="956"/>
      <w:r>
        <w:rPr>
          <w:vertAlign w:val="superscript"/>
          <w:rtl/>
        </w:rPr>
        <w:fldChar w:fldCharType="begin" w:dirty="true"/>
      </w:r>
      <w:r>
        <w:rPr>
          <w:vertAlign w:val="superscript"/>
          <w:rtl/>
        </w:rPr>
        <w:instrText xml:space="preserve"> REF b2_note53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53</w:t>
      </w:r>
      <w:r>
        <w:rPr>
          <w:vertAlign w:val="superscript"/>
          <w:rtl/>
        </w:rPr>
        <w:fldChar w:fldCharType="end"/>
      </w:r>
      <w:r>
        <w:rPr>
          <w:rtl/>
        </w:rPr>
        <w:t xml:space="preserve"> גזבר ישיבת שול </w:t>
      </w:r>
      <w:proofErr w:type="spellStart"/>
      <w:r>
        <w:rPr>
          <w:rtl/>
        </w:rPr>
        <w:t>הקצבים</w:t>
      </w:r>
      <w:proofErr w:type="spellEnd"/>
      <w:r>
        <w:rPr>
          <w:rtl/>
        </w:rPr>
        <w:t xml:space="preserve"> היה ר׳ יהושע </w:t>
      </w:r>
      <w:proofErr w:type="spellStart"/>
      <w:r>
        <w:rPr>
          <w:rtl/>
        </w:rPr>
        <w:t>צימבליסט</w:t>
      </w:r>
      <w:proofErr w:type="spellEnd"/>
      <w:r>
        <w:rPr>
          <w:rtl/>
        </w:rPr>
        <w:t xml:space="preserve">, הידוע יותר בשם ר׳ </w:t>
      </w:r>
      <w:proofErr w:type="spellStart"/>
      <w:r>
        <w:rPr>
          <w:rtl/>
        </w:rPr>
        <w:t>יהושע׳לה</w:t>
      </w:r>
      <w:proofErr w:type="spellEnd"/>
      <w:r>
        <w:rPr>
          <w:rtl/>
        </w:rPr>
        <w:t xml:space="preserve"> הורודנער,</w:t>
      </w:r>
      <w:bookmarkStart w:id="957" w:name="b2_ref54"/>
      <w:bookmarkEnd w:id="957"/>
      <w:r>
        <w:rPr>
          <w:vertAlign w:val="superscript"/>
          <w:rtl/>
        </w:rPr>
        <w:fldChar w:fldCharType="begin" w:dirty="true"/>
      </w:r>
      <w:r>
        <w:rPr>
          <w:vertAlign w:val="superscript"/>
          <w:rtl/>
        </w:rPr>
        <w:instrText xml:space="preserve"> REF b2_note54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54</w:t>
      </w:r>
      <w:r>
        <w:rPr>
          <w:vertAlign w:val="superscript"/>
          <w:rtl/>
        </w:rPr>
        <w:fldChar w:fldCharType="end"/>
      </w:r>
      <w:r>
        <w:rPr>
          <w:rtl/>
        </w:rPr>
        <w:t xml:space="preserve"> שהייתה לו ישיבה משלו בשול “שואבי מים”;</w:t>
      </w:r>
      <w:bookmarkStart w:id="958" w:name="b2_ref55"/>
      <w:bookmarkEnd w:id="958"/>
      <w:r>
        <w:rPr>
          <w:vertAlign w:val="superscript"/>
          <w:rtl/>
        </w:rPr>
        <w:fldChar w:fldCharType="begin" w:dirty="true"/>
      </w:r>
      <w:r>
        <w:rPr>
          <w:vertAlign w:val="superscript"/>
          <w:rtl/>
        </w:rPr>
        <w:instrText xml:space="preserve"> REF b2_note55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55</w:t>
      </w:r>
      <w:r>
        <w:rPr>
          <w:vertAlign w:val="superscript"/>
          <w:rtl/>
        </w:rPr>
        <w:fldChar w:fldCharType="end"/>
      </w:r>
      <w:r>
        <w:rPr>
          <w:rtl/>
        </w:rPr>
        <w:t xml:space="preserve"> הוא גם עזר באיסוף כספים לישיבת שול </w:t>
      </w:r>
      <w:proofErr w:type="spellStart"/>
      <w:r>
        <w:rPr>
          <w:rtl/>
        </w:rPr>
        <w:t>הקצבים</w:t>
      </w:r>
      <w:proofErr w:type="spellEnd"/>
      <w:r>
        <w:rPr>
          <w:rtl/>
        </w:rPr>
        <w:t xml:space="preserve"> בעת הצורך.</w:t>
      </w:r>
      <w:bookmarkStart w:id="959" w:name="b2_ref56"/>
      <w:bookmarkEnd w:id="959"/>
      <w:r>
        <w:rPr>
          <w:vertAlign w:val="superscript"/>
          <w:rtl/>
        </w:rPr>
        <w:fldChar w:fldCharType="begin" w:dirty="true"/>
      </w:r>
      <w:r>
        <w:rPr>
          <w:vertAlign w:val="superscript"/>
          <w:rtl/>
        </w:rPr>
        <w:instrText xml:space="preserve"> REF b2_note56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56</w:t>
      </w:r>
      <w:r>
        <w:rPr>
          <w:vertAlign w:val="superscript"/>
          <w:rtl/>
        </w:rPr>
        <w:fldChar w:fldCharType="end"/>
      </w:r>
    </w:p>
    <w:bookmarkStart w:id="960" w:name="b2_note50"/>
    <w:p w14:paraId="7A95D115" w14:textId="77777777" w:rsidR="00AB3647" w:rsidRDefault="00000000" w:rsidP="007923E9">
      <w:pPr>
        <w:spacing w:before="120" w:after="100" w:line="276" w:lineRule="auto"/>
        <w:jc w:val="both"/>
      </w:pPr>
      <w:r>
        <w:fldChar w:fldCharType="begin" w:dirty="true"/>
      </w:r>
      <w:r>
        <w:instrText>HYPERLINK \l "b2_ref50"</w:instrText>
      </w:r>
      <w:r>
        <w:fldChar w:fldCharType="separate"/>
      </w:r>
      <w:r>
        <w:rPr>
          <w:b/>
          <w:bCs/>
          <w:rtl/>
        </w:rPr>
        <w:t>50</w:t>
      </w:r>
      <w:r>
        <w:rPr>
          <w:b/>
          <w:bCs/>
        </w:rPr>
        <w:fldChar w:fldCharType="end"/>
      </w:r>
      <w:bookmarkEnd w:id="960"/>
      <w:r>
        <w:rPr>
          <w:rtl/>
        </w:rPr>
        <w:t xml:space="preserve"> נכדו הירושלמי, ר׳ </w:t>
      </w:r>
      <w:proofErr w:type="spellStart"/>
      <w:r>
        <w:rPr>
          <w:rtl/>
        </w:rPr>
        <w:t>משה־דב</w:t>
      </w:r>
      <w:proofErr w:type="spellEnd"/>
      <w:r>
        <w:rPr>
          <w:rtl/>
        </w:rPr>
        <w:t xml:space="preserve"> </w:t>
      </w:r>
      <w:proofErr w:type="spellStart"/>
      <w:r>
        <w:rPr>
          <w:rtl/>
        </w:rPr>
        <w:t>אוקסנקרוג</w:t>
      </w:r>
      <w:proofErr w:type="spellEnd"/>
      <w:r>
        <w:rPr>
          <w:rtl/>
        </w:rPr>
        <w:t xml:space="preserve"> (בנו של ר׳ יהודה, שהיה העשירי מבין </w:t>
      </w:r>
      <w:proofErr w:type="spellStart"/>
      <w:r>
        <w:rPr>
          <w:rtl/>
        </w:rPr>
        <w:t>אחד־עשר</w:t>
      </w:r>
      <w:proofErr w:type="spellEnd"/>
      <w:r>
        <w:rPr>
          <w:rtl/>
        </w:rPr>
        <w:t xml:space="preserve"> אחים ואחיות).</w:t>
      </w:r>
      <w:bookmarkStart w:id="961" w:name="_fnr577"/>
      <w:r>
        <w:rPr>
          <w:rStyle w:val="a5"/>
        </w:rPr>
        <w:footnoteReference w:id="577" w:customMarkFollows="0"/>
      </w:r>
      <w:bookmarkEnd w:id="961"/>
      <w:r>
        <w:rPr>
          <w:rtl/>
        </w:rPr>
        <w:t xml:space="preserve"> חנה, אשתו של ר׳ </w:t>
      </w:r>
      <w:proofErr w:type="spellStart"/>
      <w:r>
        <w:rPr>
          <w:rtl/>
        </w:rPr>
        <w:t>משה־דב</w:t>
      </w:r>
      <w:proofErr w:type="spellEnd"/>
      <w:r>
        <w:rPr>
          <w:rtl/>
        </w:rPr>
        <w:t xml:space="preserve">, סיפרה גם שסבתו של בעלה סיפרה לה שבכל סעודה בשרית היו יושבים ליד שולחנם כמה אורחים עניים, משום שר׳ </w:t>
      </w:r>
      <w:proofErr w:type="spellStart"/>
      <w:r>
        <w:rPr>
          <w:rtl/>
        </w:rPr>
        <w:t>יעקב־נח</w:t>
      </w:r>
      <w:proofErr w:type="spellEnd"/>
      <w:r>
        <w:rPr>
          <w:rtl/>
        </w:rPr>
        <w:t xml:space="preserve"> אמר שהוא ומשפחתו הגדולה אינם יכולים לבלוע את נתחי הבשר המובחרים ששמר לעצמו בשעה שעני אוכל רק לחם שחור ודג מלוח.</w:t>
      </w:r>
    </w:p>
    <w:p w14:paraId="60831E25" w14:textId="77777777" w:rsidR="00AB3647" w:rsidRDefault="00000000" w:rsidP="007923E9">
      <w:pPr>
        <w:spacing w:before="120" w:after="100" w:line="276" w:lineRule="auto"/>
        <w:jc w:val="both"/>
      </w:pPr>
      <w:r>
        <w:rPr>
          <w:rtl/>
        </w:rPr>
        <w:t>במלחמת העולם הראשונה, כשהוצפה מינסק פליטים,</w:t>
      </w:r>
      <w:bookmarkStart w:id="962" w:name="_fnr578"/>
      <w:r>
        <w:rPr>
          <w:rStyle w:val="a5"/>
        </w:rPr>
        <w:footnoteReference w:id="578" w:customMarkFollows="0"/>
      </w:r>
      <w:bookmarkEnd w:id="962"/>
      <w:r>
        <w:rPr>
          <w:rtl/>
        </w:rPr>
        <w:t xml:space="preserve"> אכסן ר׳ </w:t>
      </w:r>
      <w:proofErr w:type="spellStart"/>
      <w:r>
        <w:rPr>
          <w:rtl/>
        </w:rPr>
        <w:t>יעקב־נח</w:t>
      </w:r>
      <w:proofErr w:type="spellEnd"/>
      <w:r>
        <w:rPr>
          <w:rtl/>
        </w:rPr>
        <w:t xml:space="preserve"> בביתו את משפחותיהם של ר׳ רפאל שפירא ובנו ר׳ יעקב.</w:t>
      </w:r>
      <w:bookmarkStart w:id="963" w:name="_fnr579"/>
      <w:r>
        <w:rPr>
          <w:rStyle w:val="a5"/>
        </w:rPr>
        <w:footnoteReference w:id="579" w:customMarkFollows="0"/>
      </w:r>
      <w:bookmarkEnd w:id="963"/>
      <w:r>
        <w:rPr>
          <w:rtl/>
        </w:rPr>
        <w:t xml:space="preserve"> </w:t>
      </w:r>
      <w:proofErr w:type="spellStart"/>
      <w:r>
        <w:rPr>
          <w:rtl/>
        </w:rPr>
        <w:t>שבע־עשרה</w:t>
      </w:r>
      <w:proofErr w:type="spellEnd"/>
      <w:r>
        <w:rPr>
          <w:rtl/>
        </w:rPr>
        <w:t xml:space="preserve"> שנה עמד ר׳ </w:t>
      </w:r>
      <w:proofErr w:type="spellStart"/>
      <w:r>
        <w:rPr>
          <w:rtl/>
        </w:rPr>
        <w:t>יעקב־נח</w:t>
      </w:r>
      <w:proofErr w:type="spellEnd"/>
      <w:r>
        <w:rPr>
          <w:rtl/>
        </w:rPr>
        <w:t xml:space="preserve"> בראש הנהלתה החומרית של הישיבה, עד שסגרו אותה הבולשביקים זמן קצר אחרי המהפכה הקומוניסטית. בשנת תרצ״ג יצא מרוסיה והשתקע בתל אביב, ושם נפטר בשנת תשכ״א, בגיל תשעים ושש.</w:t>
      </w:r>
    </w:p>
    <w:p w14:paraId="212853AD" w14:textId="77777777" w:rsidR="00AB3647" w:rsidRDefault="00000000" w:rsidP="007923E9">
      <w:pPr>
        <w:spacing w:after="100" w:line="276" w:lineRule="auto"/>
        <w:ind w:firstLine="340"/>
        <w:jc w:val="both"/>
      </w:pPr>
      <w:r>
        <w:rPr>
          <w:rtl/>
        </w:rPr>
        <w:t xml:space="preserve">ר׳ מרדכי שפירא ממיאמי פגש באקראי את ר׳ </w:t>
      </w:r>
      <w:proofErr w:type="spellStart"/>
      <w:r>
        <w:rPr>
          <w:rtl/>
        </w:rPr>
        <w:t>יעקב־נח</w:t>
      </w:r>
      <w:proofErr w:type="spellEnd"/>
      <w:r>
        <w:rPr>
          <w:rtl/>
        </w:rPr>
        <w:t xml:space="preserve"> בתל אביב בשנת תשי״ב, ואת הפגישה ראוי לתאר בלשונו של ר׳ מרדכי שפירא,</w:t>
      </w:r>
      <w:bookmarkStart w:id="964" w:name="_fnr580"/>
      <w:r>
        <w:rPr>
          <w:rStyle w:val="a5"/>
        </w:rPr>
        <w:footnoteReference w:id="580" w:customMarkFollows="0"/>
      </w:r>
      <w:bookmarkEnd w:id="964"/>
      <w:r>
        <w:rPr>
          <w:rtl/>
        </w:rPr>
        <w:t xml:space="preserve"> כדי להשלים את תמונתנו של הקצב </w:t>
      </w:r>
      <w:proofErr w:type="spellStart"/>
      <w:r>
        <w:rPr>
          <w:rtl/>
        </w:rPr>
        <w:t>המינסקאי</w:t>
      </w:r>
      <w:proofErr w:type="spellEnd"/>
      <w:r>
        <w:rPr>
          <w:rtl/>
        </w:rPr>
        <w:t xml:space="preserve"> הזה: “ביום שישי אחד בצהריים הלכתי ברחוב אלנבי בתל אביב, וראיתי מעבר לרחוב קיוסק זעיר, ובו יהודי זקן בעל זקן לבנבן יושב מאחורי דוכן, ראשו מורכן, והוא מתנועע הלוך ושוב על ספר. כשקנו אנשים דבר מה, היה נותן להם עודף בלי להסיר את עיניו מן הספר. עברתי את הרחוב כדי להתבונן מקרוב, ובאותה שעה ניגש מישהו לקיוסק וביקש לקנות סיגריות. השיב הזקן: ‘אמור לי מה השעה,’ וכששמע: ‘</w:t>
      </w:r>
      <w:proofErr w:type="spellStart"/>
      <w:r>
        <w:rPr>
          <w:rtl/>
        </w:rPr>
        <w:t>שתים־עשרה</w:t>
      </w:r>
      <w:proofErr w:type="spellEnd"/>
      <w:r>
        <w:rPr>
          <w:rtl/>
        </w:rPr>
        <w:t xml:space="preserve"> ועשר דקות,’ אמר: ‘אינני מוכר סיגריות אחרי חצות היום בערב שבת.’ כשניגשתי לדוכן ראיתי שהאיש לומד משניות מעשר שני. הצגתי את עצמי לפני האיש יוצא הדופן הזה כאמריקני מן הישיבה </w:t>
      </w:r>
      <w:proofErr w:type="spellStart"/>
      <w:r>
        <w:rPr>
          <w:rtl/>
        </w:rPr>
        <w:t>בלייקווד</w:t>
      </w:r>
      <w:proofErr w:type="spellEnd"/>
      <w:r>
        <w:rPr>
          <w:rtl/>
        </w:rPr>
        <w:t xml:space="preserve">, והוא שאל מי ראש ישיבתי. כשעניתי: ‘ר׳ אהרן קוטלר,’ אמר הזקן שהוא גרם לכך שר׳ אהרן ונער נוסף נסעו יחד </w:t>
      </w:r>
      <w:proofErr w:type="spellStart"/>
      <w:r>
        <w:rPr>
          <w:rtl/>
        </w:rPr>
        <w:t>לסלבודקה</w:t>
      </w:r>
      <w:proofErr w:type="spellEnd"/>
      <w:r>
        <w:rPr>
          <w:rtl/>
        </w:rPr>
        <w:t>.”</w:t>
      </w:r>
      <w:bookmarkStart w:id="965" w:name="_fnr581"/>
      <w:r>
        <w:rPr>
          <w:rStyle w:val="a5"/>
        </w:rPr>
        <w:footnoteReference w:id="581" w:customMarkFollows="0"/>
      </w:r>
      <w:bookmarkEnd w:id="965"/>
    </w:p>
    <w:p w14:paraId="231ECC58" w14:textId="77777777" w:rsidR="00AB3647" w:rsidRDefault="00000000" w:rsidP="007923E9">
      <w:pPr>
        <w:spacing w:after="100" w:line="276" w:lineRule="auto"/>
        <w:ind w:firstLine="340"/>
        <w:jc w:val="both"/>
      </w:pPr>
      <w:r>
        <w:rPr>
          <w:rtl/>
        </w:rPr>
        <w:lastRenderedPageBreak/>
        <w:t xml:space="preserve">ר׳ </w:t>
      </w:r>
      <w:proofErr w:type="spellStart"/>
      <w:r>
        <w:rPr>
          <w:rtl/>
        </w:rPr>
        <w:t>יעקב־יהודה</w:t>
      </w:r>
      <w:proofErr w:type="spellEnd"/>
      <w:r>
        <w:rPr>
          <w:rtl/>
        </w:rPr>
        <w:t xml:space="preserve"> פולק, שגר בתל אביב עד נישואיו בשנת תשי״ג, זכר</w:t>
      </w:r>
      <w:bookmarkStart w:id="966" w:name="_fnr582"/>
      <w:r>
        <w:rPr>
          <w:rStyle w:val="a5"/>
        </w:rPr>
        <w:footnoteReference w:id="582" w:customMarkFollows="0"/>
      </w:r>
      <w:bookmarkEnd w:id="966"/>
      <w:r>
        <w:rPr>
          <w:rtl/>
        </w:rPr>
        <w:t xml:space="preserve"> את ר׳ </w:t>
      </w:r>
      <w:proofErr w:type="spellStart"/>
      <w:r>
        <w:rPr>
          <w:rtl/>
        </w:rPr>
        <w:t>יעקב־נח</w:t>
      </w:r>
      <w:proofErr w:type="spellEnd"/>
      <w:r>
        <w:rPr>
          <w:rtl/>
        </w:rPr>
        <w:t xml:space="preserve"> מן השנים תש״ב–תש״ד, לפני שעזב המרואיין את בית הוריו כדי לגור בפנימיית ישיבה. “הוא התפלל בשול </w:t>
      </w:r>
      <w:proofErr w:type="spellStart"/>
      <w:r>
        <w:rPr>
          <w:rtl/>
        </w:rPr>
        <w:t>הגר״א</w:t>
      </w:r>
      <w:proofErr w:type="spellEnd"/>
      <w:r>
        <w:rPr>
          <w:rtl/>
        </w:rPr>
        <w:t xml:space="preserve"> שליד נהר הירקון, והיה </w:t>
      </w:r>
      <w:proofErr w:type="spellStart"/>
      <w:r>
        <w:rPr>
          <w:rtl/>
        </w:rPr>
        <w:t>ש״ס־איד</w:t>
      </w:r>
      <w:proofErr w:type="spellEnd"/>
      <w:r>
        <w:rPr>
          <w:rtl/>
        </w:rPr>
        <w:t xml:space="preserve"> – תמיד ישב ליד גמרא פתוחה,” אמר הרב פולק. ר׳ </w:t>
      </w:r>
      <w:proofErr w:type="spellStart"/>
      <w:r>
        <w:rPr>
          <w:rtl/>
        </w:rPr>
        <w:t>משה־דב</w:t>
      </w:r>
      <w:proofErr w:type="spellEnd"/>
      <w:r>
        <w:rPr>
          <w:rtl/>
        </w:rPr>
        <w:t xml:space="preserve"> גילה</w:t>
      </w:r>
      <w:bookmarkStart w:id="967" w:name="_fnr583"/>
      <w:r>
        <w:rPr>
          <w:rStyle w:val="a5"/>
        </w:rPr>
        <w:footnoteReference w:id="583" w:customMarkFollows="0"/>
      </w:r>
      <w:bookmarkEnd w:id="967"/>
      <w:r>
        <w:rPr>
          <w:rtl/>
        </w:rPr>
        <w:t xml:space="preserve"> דוגמה לאהבתו של סבו ללימוד התורה: “כשסבי היה מבקר בבית אבי ורואה מישהו קורא עיתון, היה מעיר: ‘מה עניינך לדעת מה קורה באמריקה?’ – בעיניו זה היה הדבר המעניין היחיד שיכול להיות בעיתון – ‘מוטב שתפתח ספר!’” באותו ריאיון גילה ר׳ </w:t>
      </w:r>
      <w:proofErr w:type="spellStart"/>
      <w:r>
        <w:rPr>
          <w:rtl/>
        </w:rPr>
        <w:t>משה־דב</w:t>
      </w:r>
      <w:proofErr w:type="spellEnd"/>
      <w:r>
        <w:rPr>
          <w:rtl/>
        </w:rPr>
        <w:t xml:space="preserve"> גם שסבו הוכיח אותו על שגילח את זקנו.</w:t>
      </w:r>
      <w:bookmarkStart w:id="968" w:name="_fnr584"/>
      <w:r>
        <w:rPr>
          <w:rStyle w:val="a5"/>
        </w:rPr>
        <w:footnoteReference w:id="584" w:customMarkFollows="0"/>
      </w:r>
      <w:bookmarkEnd w:id="968"/>
    </w:p>
    <w:bookmarkStart w:id="969" w:name="b2_note51"/>
    <w:p w14:paraId="6F922428" w14:textId="77777777" w:rsidR="00AB3647" w:rsidRDefault="00000000" w:rsidP="007923E9">
      <w:pPr>
        <w:spacing w:before="120" w:after="100" w:line="276" w:lineRule="auto"/>
        <w:jc w:val="both"/>
      </w:pPr>
      <w:r>
        <w:fldChar w:fldCharType="begin" w:dirty="true"/>
      </w:r>
      <w:r>
        <w:instrText>HYPERLINK \l "b2_ref51"</w:instrText>
      </w:r>
      <w:r>
        <w:fldChar w:fldCharType="separate"/>
      </w:r>
      <w:r>
        <w:rPr>
          <w:b/>
          <w:bCs/>
          <w:rtl/>
        </w:rPr>
        <w:t>51</w:t>
      </w:r>
      <w:r>
        <w:rPr>
          <w:b/>
          <w:bCs/>
        </w:rPr>
        <w:fldChar w:fldCharType="end"/>
      </w:r>
      <w:bookmarkEnd w:id="969"/>
      <w:r>
        <w:rPr>
          <w:rtl/>
        </w:rPr>
        <w:t xml:space="preserve"> בפעם הראשונה סיפר ר׳ מרדכי שפירא לאבי את סיפור פגישתו המקרית עם </w:t>
      </w:r>
      <w:proofErr w:type="spellStart"/>
      <w:r>
        <w:rPr>
          <w:rtl/>
        </w:rPr>
        <w:t>אוקסנקרוג</w:t>
      </w:r>
      <w:proofErr w:type="spellEnd"/>
      <w:r>
        <w:rPr>
          <w:rtl/>
        </w:rPr>
        <w:t xml:space="preserve"> הזקן עם שובו מארץ ישראל בשנת תשי״ג</w:t>
      </w:r>
      <w:bookmarkStart w:id="970" w:name="_fnr585"/>
      <w:r>
        <w:rPr>
          <w:rStyle w:val="a5"/>
        </w:rPr>
        <w:footnoteReference w:id="585" w:customMarkFollows="0"/>
      </w:r>
      <w:bookmarkEnd w:id="970"/>
      <w:r>
        <w:rPr>
          <w:rtl/>
        </w:rPr>
        <w:t xml:space="preserve">, וכעבור שלושה עשורים, בחורף תשמ״ג, חזר עליו לפניו. אביו הזקן של ר׳ מרדכי, שביקר אז בפלורידה, נכח במעמד, והדבר עורר את רבנו להעלות זיכרונות ולדבר באריכות על הקצב </w:t>
      </w:r>
      <w:proofErr w:type="spellStart"/>
      <w:r>
        <w:rPr>
          <w:rtl/>
        </w:rPr>
        <w:t>המינסקאי</w:t>
      </w:r>
      <w:proofErr w:type="spellEnd"/>
      <w:r>
        <w:rPr>
          <w:rtl/>
        </w:rPr>
        <w:t xml:space="preserve"> ועל עניינים הקשורים בו.</w:t>
      </w:r>
      <w:bookmarkStart w:id="971" w:name="_fnr586"/>
      <w:r>
        <w:rPr>
          <w:rStyle w:val="a5"/>
        </w:rPr>
        <w:footnoteReference w:id="586" w:customMarkFollows="0"/>
      </w:r>
      <w:bookmarkEnd w:id="971"/>
      <w:r>
        <w:rPr>
          <w:rtl/>
        </w:rPr>
        <w:t xml:space="preserve"> באותה שעה כינה אבי את ר׳ </w:t>
      </w:r>
      <w:proofErr w:type="spellStart"/>
      <w:r>
        <w:rPr>
          <w:rtl/>
        </w:rPr>
        <w:t>יעקב־נח</w:t>
      </w:r>
      <w:proofErr w:type="spellEnd"/>
      <w:r>
        <w:rPr>
          <w:rtl/>
        </w:rPr>
        <w:t xml:space="preserve">: ר׳ </w:t>
      </w:r>
      <w:proofErr w:type="spellStart"/>
      <w:r>
        <w:rPr>
          <w:rtl/>
        </w:rPr>
        <w:t>יענקל</w:t>
      </w:r>
      <w:proofErr w:type="spellEnd"/>
      <w:r>
        <w:rPr>
          <w:rtl/>
        </w:rPr>
        <w:t xml:space="preserve"> הקצב.</w:t>
      </w:r>
    </w:p>
    <w:bookmarkStart w:id="972" w:name="b2_note52"/>
    <w:p w14:paraId="54820AB7" w14:textId="65ECF6B2" w:rsidR="00AB3647" w:rsidRDefault="00000000" w:rsidP="007923E9">
      <w:pPr>
        <w:spacing w:before="120" w:after="100" w:line="276" w:lineRule="auto"/>
        <w:jc w:val="both"/>
      </w:pPr>
      <w:r>
        <w:fldChar w:fldCharType="begin" w:dirty="true"/>
      </w:r>
      <w:r>
        <w:instrText>HYPERLINK \l "b2_ref52"</w:instrText>
      </w:r>
      <w:r>
        <w:fldChar w:fldCharType="separate"/>
      </w:r>
      <w:r>
        <w:rPr>
          <w:b/>
          <w:bCs/>
          <w:rtl/>
        </w:rPr>
        <w:t>52</w:t>
      </w:r>
      <w:r>
        <w:rPr>
          <w:b/>
          <w:bCs/>
        </w:rPr>
        <w:fldChar w:fldCharType="end"/>
      </w:r>
      <w:bookmarkEnd w:id="972"/>
      <w:r>
        <w:rPr>
          <w:rtl/>
        </w:rPr>
        <w:t xml:space="preserve"> השווה תחילת </w:t>
      </w:r>
      <w:r>
        <w:rPr>
          <w:rtl/>
        </w:rPr>
        <w:fldChar w:fldCharType="begin" w:dirty="true"/>
      </w:r>
      <w:r>
        <w:rPr>
          <w:rtl/>
        </w:rPr>
        <w:instrText xml:space="preserve"> REF b2_excE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ה</w:t>
      </w:r>
      <w:r>
        <w:rPr>
          <w:rtl/>
        </w:rPr>
        <w:fldChar w:fldCharType="end"/>
      </w:r>
      <w:r>
        <w:rPr>
          <w:rtl/>
        </w:rPr>
        <w:t xml:space="preserve"> להלן. נראה שבשול </w:t>
      </w:r>
      <w:proofErr w:type="spellStart"/>
      <w:r>
        <w:rPr>
          <w:rtl/>
        </w:rPr>
        <w:t>הקצבים</w:t>
      </w:r>
      <w:proofErr w:type="spellEnd"/>
      <w:r>
        <w:rPr>
          <w:rtl/>
        </w:rPr>
        <w:t xml:space="preserve"> פגש אבי את ר׳ </w:t>
      </w:r>
      <w:proofErr w:type="spellStart"/>
      <w:r>
        <w:rPr>
          <w:rtl/>
        </w:rPr>
        <w:t>יצחק־יחיאל</w:t>
      </w:r>
      <w:proofErr w:type="spellEnd"/>
      <w:r>
        <w:rPr>
          <w:rtl/>
        </w:rPr>
        <w:t xml:space="preserve"> </w:t>
      </w:r>
      <w:proofErr w:type="spellStart"/>
      <w:r>
        <w:rPr>
          <w:rtl/>
        </w:rPr>
        <w:t>זוננזון</w:t>
      </w:r>
      <w:proofErr w:type="spellEnd"/>
      <w:r>
        <w:rPr>
          <w:rtl/>
        </w:rPr>
        <w:t xml:space="preserve">: באוזני נכדו של הרב </w:t>
      </w:r>
      <w:proofErr w:type="spellStart"/>
      <w:r>
        <w:rPr>
          <w:rtl/>
        </w:rPr>
        <w:t>זוננזון</w:t>
      </w:r>
      <w:proofErr w:type="spellEnd"/>
      <w:r>
        <w:rPr>
          <w:rtl/>
        </w:rPr>
        <w:t xml:space="preserve"> הזכיר אבי שהלה היה משגיח באחת הישיבות שלמד בהן במינסק. לפי </w:t>
      </w:r>
      <w:proofErr w:type="spellStart"/>
      <w:r>
        <w:rPr>
          <w:rtl/>
        </w:rPr>
        <w:t>נינו</w:t>
      </w:r>
      <w:proofErr w:type="spellEnd"/>
      <w:r>
        <w:rPr>
          <w:rtl/>
        </w:rPr>
        <w:t xml:space="preserve">, ר׳ משה </w:t>
      </w:r>
      <w:proofErr w:type="spellStart"/>
      <w:r>
        <w:rPr>
          <w:rtl/>
        </w:rPr>
        <w:t>זוננזון</w:t>
      </w:r>
      <w:proofErr w:type="spellEnd"/>
      <w:r>
        <w:rPr>
          <w:rtl/>
        </w:rPr>
        <w:t xml:space="preserve">, הביא ר׳ </w:t>
      </w:r>
      <w:proofErr w:type="spellStart"/>
      <w:r>
        <w:rPr>
          <w:rtl/>
        </w:rPr>
        <w:t>יצחק־יחיאל</w:t>
      </w:r>
      <w:proofErr w:type="spellEnd"/>
      <w:r>
        <w:rPr>
          <w:rtl/>
        </w:rPr>
        <w:t xml:space="preserve"> את סבו ממיר למינסק בגיל שנתיים, בשנת תרס״ד – הוא הזמן שבו למד רבנו בשול </w:t>
      </w:r>
      <w:proofErr w:type="spellStart"/>
      <w:r>
        <w:rPr>
          <w:rtl/>
        </w:rPr>
        <w:t>הקצבים</w:t>
      </w:r>
      <w:proofErr w:type="spellEnd"/>
      <w:r>
        <w:rPr>
          <w:rtl/>
        </w:rPr>
        <w:t>. על תפקידיו של “משגיח” בישיבות שאינן ישיבות מוסר השווה פרק 3, הפסקה השנייה ב</w:t>
      </w:r>
      <w:r>
        <w:rPr>
          <w:rtl/>
        </w:rPr>
        <w:fldChar w:fldCharType="begin" w:dirty="true"/>
      </w:r>
      <w:r>
        <w:rPr>
          <w:rtl/>
        </w:rPr>
        <w:instrText xml:space="preserve"> REF b3_excP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טז</w:t>
      </w:r>
      <w:proofErr w:type="spellEnd"/>
      <w:r>
        <w:rPr>
          <w:rtl/>
        </w:rPr>
        <w:fldChar w:fldCharType="end"/>
      </w:r>
      <w:r>
        <w:rPr>
          <w:rtl/>
        </w:rPr>
        <w:t xml:space="preserve">. לפי זה, תפקידו של ר׳ </w:t>
      </w:r>
      <w:proofErr w:type="spellStart"/>
      <w:r>
        <w:rPr>
          <w:rtl/>
        </w:rPr>
        <w:t>יצחק־יחיאל</w:t>
      </w:r>
      <w:proofErr w:type="spellEnd"/>
      <w:r>
        <w:rPr>
          <w:rtl/>
        </w:rPr>
        <w:t xml:space="preserve"> היה לדווח </w:t>
      </w:r>
      <w:proofErr w:type="spellStart"/>
      <w:r>
        <w:rPr>
          <w:rtl/>
        </w:rPr>
        <w:t>לר</w:t>
      </w:r>
      <w:proofErr w:type="spellEnd"/>
      <w:r>
        <w:rPr>
          <w:rtl/>
        </w:rPr>
        <w:t xml:space="preserve">׳ </w:t>
      </w:r>
      <w:proofErr w:type="spellStart"/>
      <w:r>
        <w:rPr>
          <w:rtl/>
        </w:rPr>
        <w:t>יעקב־נח</w:t>
      </w:r>
      <w:proofErr w:type="spellEnd"/>
      <w:r>
        <w:rPr>
          <w:rtl/>
        </w:rPr>
        <w:t xml:space="preserve"> </w:t>
      </w:r>
      <w:proofErr w:type="spellStart"/>
      <w:r>
        <w:rPr>
          <w:rtl/>
        </w:rPr>
        <w:t>אוקסנקרוג</w:t>
      </w:r>
      <w:proofErr w:type="spellEnd"/>
      <w:r>
        <w:rPr>
          <w:rtl/>
        </w:rPr>
        <w:t xml:space="preserve"> אם התלמידים המקבלים קצבה נוכחים ולומדים בשקידה.</w:t>
      </w:r>
    </w:p>
    <w:p w14:paraId="1BE1F5CF" w14:textId="77777777" w:rsidR="00AB3647" w:rsidRDefault="00000000" w:rsidP="007923E9">
      <w:pPr>
        <w:spacing w:after="100" w:line="276" w:lineRule="auto"/>
        <w:ind w:firstLine="340"/>
        <w:jc w:val="both"/>
      </w:pPr>
      <w:r>
        <w:rPr>
          <w:rtl/>
        </w:rPr>
        <w:t xml:space="preserve">אבי סיפר לאביו של ר׳ משה את המעשה המופלא כיצד נפגשו ונישאו סבו וסבתו של זה. סבתו, רווקה בת עשרים ושש שלא הייתה נאה למראה, עבדה כספרנית בעיירה </w:t>
      </w:r>
      <w:proofErr w:type="spellStart"/>
      <w:r>
        <w:rPr>
          <w:rtl/>
        </w:rPr>
        <w:t>מיר</w:t>
      </w:r>
      <w:proofErr w:type="spellEnd"/>
      <w:r>
        <w:rPr>
          <w:rtl/>
        </w:rPr>
        <w:t xml:space="preserve">. כשראתה שבן זוגה המיועד מן השמים אינו מופיע, כתבה מכתב לה׳ והודיעה שרצונה להינשא לבחור “יושב ולומד”, וחתמה: “בתך </w:t>
      </w:r>
      <w:proofErr w:type="spellStart"/>
      <w:r>
        <w:rPr>
          <w:rtl/>
        </w:rPr>
        <w:t>חיענה־מרים</w:t>
      </w:r>
      <w:proofErr w:type="spellEnd"/>
      <w:r>
        <w:rPr>
          <w:rtl/>
        </w:rPr>
        <w:t>.” את המכתב הכניסה למעטפה, כתבה עליה “לאבינו שבשמים”, והשליכה אותה אל הרוח שנשבה מחוץ לחלון הספרייה.</w:t>
      </w:r>
    </w:p>
    <w:p w14:paraId="469FCC2F" w14:textId="77777777" w:rsidR="00AB3647" w:rsidRDefault="00000000" w:rsidP="007923E9">
      <w:pPr>
        <w:spacing w:after="100" w:line="276" w:lineRule="auto"/>
        <w:ind w:firstLine="340"/>
        <w:jc w:val="both"/>
      </w:pPr>
      <w:r>
        <w:rPr>
          <w:rtl/>
        </w:rPr>
        <w:t xml:space="preserve">ר׳ </w:t>
      </w:r>
      <w:proofErr w:type="spellStart"/>
      <w:r>
        <w:rPr>
          <w:rtl/>
        </w:rPr>
        <w:t>יצחק־יחיאל</w:t>
      </w:r>
      <w:proofErr w:type="spellEnd"/>
      <w:r>
        <w:rPr>
          <w:rtl/>
        </w:rPr>
        <w:t xml:space="preserve"> </w:t>
      </w:r>
      <w:proofErr w:type="spellStart"/>
      <w:r>
        <w:rPr>
          <w:rtl/>
        </w:rPr>
        <w:t>זוננזון</w:t>
      </w:r>
      <w:proofErr w:type="spellEnd"/>
      <w:r>
        <w:rPr>
          <w:rtl/>
        </w:rPr>
        <w:t xml:space="preserve">, שהיה אז רק בן עשרים ולמד בישיבת </w:t>
      </w:r>
      <w:proofErr w:type="spellStart"/>
      <w:r>
        <w:rPr>
          <w:rtl/>
        </w:rPr>
        <w:t>מיר</w:t>
      </w:r>
      <w:proofErr w:type="spellEnd"/>
      <w:r>
        <w:rPr>
          <w:rtl/>
        </w:rPr>
        <w:t xml:space="preserve">, טייל בגן העירוני, מצא בעשב את המעטפה בעלת הכתובת המשונה, והחליט לפתוח אותה. הוא ראה שהוא עונה על דרישותיה של הנערה מבן זוגה לעתיד, ולכן בירר מי היא החותמת, </w:t>
      </w:r>
      <w:proofErr w:type="spellStart"/>
      <w:r>
        <w:rPr>
          <w:rtl/>
        </w:rPr>
        <w:t>חיענה־מרים</w:t>
      </w:r>
      <w:proofErr w:type="spellEnd"/>
      <w:r>
        <w:rPr>
          <w:rtl/>
        </w:rPr>
        <w:t xml:space="preserve">, והחליט </w:t>
      </w:r>
      <w:r>
        <w:rPr>
          <w:rtl/>
        </w:rPr>
        <w:lastRenderedPageBreak/>
        <w:t xml:space="preserve">שהוא רוצה לשאת אותה. הוא דן בדבר עם ר׳ </w:t>
      </w:r>
      <w:proofErr w:type="spellStart"/>
      <w:r>
        <w:rPr>
          <w:rtl/>
        </w:rPr>
        <w:t>חיים־לייב</w:t>
      </w:r>
      <w:proofErr w:type="spellEnd"/>
      <w:r>
        <w:rPr>
          <w:rtl/>
        </w:rPr>
        <w:t xml:space="preserve"> </w:t>
      </w:r>
      <w:proofErr w:type="spellStart"/>
      <w:r>
        <w:rPr>
          <w:rtl/>
        </w:rPr>
        <w:t>טיקטינסקי</w:t>
      </w:r>
      <w:proofErr w:type="spellEnd"/>
      <w:r>
        <w:rPr>
          <w:rtl/>
        </w:rPr>
        <w:t>, ראש הישיבה, וזה אמר לו להמשיך בשידוך שנעשה בשמים.</w:t>
      </w:r>
      <w:bookmarkStart w:id="973" w:name="_fnr587"/>
      <w:r>
        <w:rPr>
          <w:rStyle w:val="a5"/>
        </w:rPr>
        <w:footnoteReference w:id="587" w:customMarkFollows="0"/>
      </w:r>
      <w:bookmarkEnd w:id="973"/>
    </w:p>
    <w:bookmarkStart w:id="974" w:name="b2_note53"/>
    <w:p w14:paraId="7B68F393" w14:textId="77777777" w:rsidR="00AB3647" w:rsidRDefault="00000000" w:rsidP="007923E9">
      <w:pPr>
        <w:spacing w:before="120" w:after="100" w:line="276" w:lineRule="auto"/>
        <w:jc w:val="both"/>
      </w:pPr>
      <w:r>
        <w:fldChar w:fldCharType="begin" w:dirty="true"/>
      </w:r>
      <w:r>
        <w:instrText>HYPERLINK \l "b2_ref53"</w:instrText>
      </w:r>
      <w:r>
        <w:fldChar w:fldCharType="separate"/>
      </w:r>
      <w:r>
        <w:rPr>
          <w:b/>
          <w:bCs/>
          <w:rtl/>
        </w:rPr>
        <w:t>53</w:t>
      </w:r>
      <w:r>
        <w:rPr>
          <w:b/>
          <w:bCs/>
        </w:rPr>
        <w:fldChar w:fldCharType="end"/>
      </w:r>
      <w:bookmarkEnd w:id="974"/>
      <w:r>
        <w:rPr>
          <w:rtl/>
        </w:rPr>
        <w:t xml:space="preserve"> מתוך השיחה המוקלטת עם ר׳ מרדכי שפירא. על כך </w:t>
      </w:r>
      <w:proofErr w:type="spellStart"/>
      <w:r>
        <w:rPr>
          <w:rtl/>
        </w:rPr>
        <w:t>שהקצבים</w:t>
      </w:r>
      <w:proofErr w:type="spellEnd"/>
      <w:r>
        <w:rPr>
          <w:rtl/>
        </w:rPr>
        <w:t xml:space="preserve"> הפרישו לישיבתם 5% ויותר מהכנסתם אפשר ללמוד משיחה אחרת של אבי, שהוקלטה בסביבות אלול תשל״ג. אבי מסר אז שיעור בתנ״ך על מלכים ב </w:t>
      </w:r>
      <w:proofErr w:type="spellStart"/>
      <w:r>
        <w:rPr>
          <w:rtl/>
        </w:rPr>
        <w:t>יב</w:t>
      </w:r>
      <w:proofErr w:type="spellEnd"/>
      <w:r>
        <w:rPr>
          <w:rtl/>
        </w:rPr>
        <w:t xml:space="preserve">, </w:t>
      </w:r>
      <w:proofErr w:type="spellStart"/>
      <w:r>
        <w:rPr>
          <w:rtl/>
        </w:rPr>
        <w:t>יב</w:t>
      </w:r>
      <w:proofErr w:type="spellEnd"/>
      <w:r>
        <w:rPr>
          <w:rtl/>
        </w:rPr>
        <w:t>–</w:t>
      </w:r>
      <w:proofErr w:type="spellStart"/>
      <w:r>
        <w:rPr>
          <w:rtl/>
        </w:rPr>
        <w:t>יג</w:t>
      </w:r>
      <w:proofErr w:type="spellEnd"/>
      <w:r>
        <w:rPr>
          <w:rtl/>
        </w:rPr>
        <w:t xml:space="preserve">, המספר שהכסף שנאסף במקדש שימש לקניית חומרים ולתשלום לפועלים “לחזק את בדק בית ה׳”. באותה שעה דיבר גם על “אוצר בית ה׳” (הנזכר ביהושע ו, כד ובדברי הימים א </w:t>
      </w:r>
      <w:proofErr w:type="spellStart"/>
      <w:r>
        <w:rPr>
          <w:rtl/>
        </w:rPr>
        <w:t>כט</w:t>
      </w:r>
      <w:proofErr w:type="spellEnd"/>
      <w:r>
        <w:rPr>
          <w:rtl/>
        </w:rPr>
        <w:t>, ח), ועל שתי לשכות שהיו במקדש:</w:t>
      </w:r>
      <w:bookmarkStart w:id="975" w:name="_fnr588"/>
      <w:r>
        <w:rPr>
          <w:rStyle w:val="a5"/>
        </w:rPr>
        <w:footnoteReference w:id="588" w:customMarkFollows="0"/>
      </w:r>
      <w:bookmarkEnd w:id="975"/>
      <w:r>
        <w:rPr>
          <w:rtl/>
        </w:rPr>
        <w:t xml:space="preserve"> לשכת השקלים, שבה הופקדו כספים לקניית </w:t>
      </w:r>
      <w:proofErr w:type="spellStart"/>
      <w:r>
        <w:rPr>
          <w:rtl/>
        </w:rPr>
        <w:t>קרבנות</w:t>
      </w:r>
      <w:proofErr w:type="spellEnd"/>
      <w:r>
        <w:rPr>
          <w:rtl/>
        </w:rPr>
        <w:t xml:space="preserve"> הציבור, ומותר הלשכה שימש לצרכי הקהל הרבים; ולשכה מיוחדת, “לשכת חשאים”, </w:t>
      </w:r>
      <w:proofErr w:type="spellStart"/>
      <w:r>
        <w:rPr>
          <w:rtl/>
        </w:rPr>
        <w:t>ש“יראי</w:t>
      </w:r>
      <w:proofErr w:type="spellEnd"/>
      <w:r>
        <w:rPr>
          <w:rtl/>
        </w:rPr>
        <w:t xml:space="preserve"> חטא נותנים לתוכה </w:t>
      </w:r>
      <w:r>
        <w:rPr>
          <w:b/>
          <w:bCs/>
          <w:rtl/>
        </w:rPr>
        <w:t>בחשאי</w:t>
      </w:r>
      <w:r>
        <w:rPr>
          <w:rtl/>
        </w:rPr>
        <w:t xml:space="preserve">, ועניים בני טובים מתפרנסים מתוכה </w:t>
      </w:r>
      <w:r>
        <w:rPr>
          <w:b/>
          <w:bCs/>
          <w:rtl/>
        </w:rPr>
        <w:t>בחשאי</w:t>
      </w:r>
      <w:r>
        <w:rPr>
          <w:rtl/>
        </w:rPr>
        <w:t>” – הצדקה מן המין המעולה – וכספיה שימשו רק לעזרת העניים.</w:t>
      </w:r>
    </w:p>
    <w:p w14:paraId="045539B4" w14:textId="77777777" w:rsidR="00AB3647" w:rsidRDefault="00000000" w:rsidP="007923E9">
      <w:pPr>
        <w:spacing w:before="120" w:after="100" w:line="276" w:lineRule="auto"/>
        <w:jc w:val="both"/>
      </w:pPr>
      <w:r>
        <w:rPr>
          <w:rtl/>
        </w:rPr>
        <w:t xml:space="preserve">אחר כך סיפר: “בליטא היה מס של </w:t>
      </w:r>
      <w:proofErr w:type="spellStart"/>
      <w:r>
        <w:rPr>
          <w:rtl/>
        </w:rPr>
        <w:t>קופיקה</w:t>
      </w:r>
      <w:proofErr w:type="spellEnd"/>
      <w:r>
        <w:rPr>
          <w:rtl/>
        </w:rPr>
        <w:t xml:space="preserve"> על כל ליטרת בשר, שנקרא </w:t>
      </w:r>
      <w:proofErr w:type="spellStart"/>
      <w:r>
        <w:rPr>
          <w:rtl/>
        </w:rPr>
        <w:t>קאראפקע</w:t>
      </w:r>
      <w:proofErr w:type="spellEnd"/>
      <w:r>
        <w:rPr>
          <w:rtl/>
        </w:rPr>
        <w:t>,</w:t>
      </w:r>
      <w:bookmarkStart w:id="976" w:name="_fnr589"/>
      <w:r>
        <w:rPr>
          <w:rStyle w:val="a5"/>
        </w:rPr>
        <w:footnoteReference w:id="589" w:customMarkFollows="0"/>
      </w:r>
      <w:bookmarkEnd w:id="976"/>
      <w:r>
        <w:rPr>
          <w:rtl/>
        </w:rPr>
        <w:t xml:space="preserve"> וכשהוציאו את </w:t>
      </w:r>
      <w:proofErr w:type="spellStart"/>
      <w:r>
        <w:rPr>
          <w:rtl/>
        </w:rPr>
        <w:t>הקופיקה</w:t>
      </w:r>
      <w:proofErr w:type="spellEnd"/>
      <w:r>
        <w:rPr>
          <w:rtl/>
        </w:rPr>
        <w:t xml:space="preserve"> היו אומרים: ‘</w:t>
      </w:r>
      <w:proofErr w:type="spellStart"/>
      <w:r>
        <w:rPr>
          <w:rtl/>
        </w:rPr>
        <w:t>עס</w:t>
      </w:r>
      <w:proofErr w:type="spellEnd"/>
      <w:r>
        <w:rPr>
          <w:rtl/>
        </w:rPr>
        <w:t xml:space="preserve"> </w:t>
      </w:r>
      <w:proofErr w:type="spellStart"/>
      <w:r>
        <w:rPr>
          <w:rtl/>
        </w:rPr>
        <w:t>געהט</w:t>
      </w:r>
      <w:proofErr w:type="spellEnd"/>
      <w:r>
        <w:rPr>
          <w:rtl/>
        </w:rPr>
        <w:t xml:space="preserve"> אין </w:t>
      </w:r>
      <w:proofErr w:type="spellStart"/>
      <w:r>
        <w:rPr>
          <w:rtl/>
        </w:rPr>
        <w:t>קאראפקע</w:t>
      </w:r>
      <w:proofErr w:type="spellEnd"/>
      <w:r>
        <w:rPr>
          <w:rtl/>
        </w:rPr>
        <w:t xml:space="preserve">’ [זה הולך לקופה]. הקהילה, שלא ידעה מה אמצעיה של כל משפחה, </w:t>
      </w:r>
      <w:proofErr w:type="spellStart"/>
      <w:r>
        <w:rPr>
          <w:rtl/>
        </w:rPr>
        <w:t>אמדה</w:t>
      </w:r>
      <w:proofErr w:type="spellEnd"/>
      <w:r>
        <w:rPr>
          <w:rtl/>
        </w:rPr>
        <w:t xml:space="preserve"> שכל מי שיש לו די כסף לקנות ליטרת בשר יכול להרשות לעצמו </w:t>
      </w:r>
      <w:proofErr w:type="spellStart"/>
      <w:r>
        <w:rPr>
          <w:rtl/>
        </w:rPr>
        <w:t>קופיקה</w:t>
      </w:r>
      <w:proofErr w:type="spellEnd"/>
      <w:r>
        <w:rPr>
          <w:rtl/>
        </w:rPr>
        <w:t xml:space="preserve"> לצדקה. </w:t>
      </w:r>
      <w:proofErr w:type="spellStart"/>
      <w:r>
        <w:rPr>
          <w:rtl/>
        </w:rPr>
        <w:t>הקופיקה</w:t>
      </w:r>
      <w:proofErr w:type="spellEnd"/>
      <w:r>
        <w:rPr>
          <w:rtl/>
        </w:rPr>
        <w:t xml:space="preserve"> הזאת הלכה לכל צרכי העיר, ובכלל זה לתמיכה בעניים. </w:t>
      </w:r>
      <w:proofErr w:type="spellStart"/>
      <w:r>
        <w:rPr>
          <w:rtl/>
        </w:rPr>
        <w:t>קופיקה</w:t>
      </w:r>
      <w:proofErr w:type="spellEnd"/>
      <w:r>
        <w:rPr>
          <w:rtl/>
        </w:rPr>
        <w:t xml:space="preserve"> הייתה חצי סנט, וליטרת בשר עלתה בערך </w:t>
      </w:r>
      <w:proofErr w:type="spellStart"/>
      <w:r>
        <w:rPr>
          <w:rtl/>
        </w:rPr>
        <w:t>שמונה־עשרה</w:t>
      </w:r>
      <w:proofErr w:type="spellEnd"/>
      <w:r>
        <w:rPr>
          <w:rtl/>
        </w:rPr>
        <w:t xml:space="preserve"> עד עשרים </w:t>
      </w:r>
      <w:proofErr w:type="spellStart"/>
      <w:r>
        <w:rPr>
          <w:rtl/>
        </w:rPr>
        <w:t>קופיקות</w:t>
      </w:r>
      <w:proofErr w:type="spellEnd"/>
      <w:r>
        <w:rPr>
          <w:rtl/>
        </w:rPr>
        <w:t>,” אמר אבי.</w:t>
      </w:r>
      <w:bookmarkStart w:id="977" w:name="_fnr590"/>
      <w:r>
        <w:rPr>
          <w:rStyle w:val="a5"/>
        </w:rPr>
        <w:footnoteReference w:id="590" w:customMarkFollows="0"/>
      </w:r>
      <w:bookmarkEnd w:id="977"/>
    </w:p>
    <w:bookmarkStart w:id="978" w:name="b2_note54"/>
    <w:p w14:paraId="54936610" w14:textId="4EC0F4E9" w:rsidR="00AB3647" w:rsidRDefault="00000000" w:rsidP="007923E9">
      <w:pPr>
        <w:spacing w:before="120" w:after="100" w:line="276" w:lineRule="auto"/>
        <w:jc w:val="both"/>
      </w:pPr>
      <w:r>
        <w:fldChar w:fldCharType="begin" w:dirty="true"/>
      </w:r>
      <w:r>
        <w:instrText>HYPERLINK \l "b2_ref54"</w:instrText>
      </w:r>
      <w:r>
        <w:fldChar w:fldCharType="separate"/>
      </w:r>
      <w:r>
        <w:rPr>
          <w:b/>
          <w:bCs/>
          <w:rtl/>
        </w:rPr>
        <w:t>54</w:t>
      </w:r>
      <w:r>
        <w:rPr>
          <w:b/>
          <w:bCs/>
        </w:rPr>
        <w:fldChar w:fldCharType="end"/>
      </w:r>
      <w:bookmarkEnd w:id="978"/>
      <w:r>
        <w:rPr>
          <w:rtl/>
        </w:rPr>
        <w:t xml:space="preserve"> ראה </w:t>
      </w:r>
      <w:r>
        <w:rPr>
          <w:rtl/>
        </w:rPr>
        <w:fldChar w:fldCharType="begin" w:dirty="true"/>
      </w:r>
      <w:r>
        <w:rPr>
          <w:rtl/>
        </w:rPr>
        <w:instrText xml:space="preserve"> REF b2_excC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ג</w:t>
      </w:r>
      <w:r>
        <w:rPr>
          <w:rtl/>
        </w:rPr>
        <w:fldChar w:fldCharType="end"/>
      </w:r>
      <w:r>
        <w:rPr>
          <w:rtl/>
        </w:rPr>
        <w:t>.</w:t>
      </w:r>
    </w:p>
    <w:bookmarkStart w:id="979" w:name="b2_note55"/>
    <w:p w14:paraId="35BF4C14" w14:textId="77777777" w:rsidR="00AB3647" w:rsidRDefault="00000000" w:rsidP="007923E9">
      <w:pPr>
        <w:spacing w:before="120" w:after="100" w:line="276" w:lineRule="auto"/>
        <w:jc w:val="both"/>
      </w:pPr>
      <w:r>
        <w:fldChar w:fldCharType="begin" w:dirty="true"/>
      </w:r>
      <w:r>
        <w:instrText>HYPERLINK \l "b2_ref55"</w:instrText>
      </w:r>
      <w:r>
        <w:fldChar w:fldCharType="separate"/>
      </w:r>
      <w:r>
        <w:rPr>
          <w:b/>
          <w:bCs/>
          <w:rtl/>
        </w:rPr>
        <w:t>55</w:t>
      </w:r>
      <w:r>
        <w:rPr>
          <w:b/>
          <w:bCs/>
        </w:rPr>
        <w:fldChar w:fldCharType="end"/>
      </w:r>
      <w:bookmarkEnd w:id="979"/>
      <w:r>
        <w:rPr>
          <w:rtl/>
        </w:rPr>
        <w:t xml:space="preserve"> העם קרא לבית הכנסת “</w:t>
      </w:r>
      <w:proofErr w:type="spellStart"/>
      <w:r>
        <w:rPr>
          <w:rtl/>
        </w:rPr>
        <w:t>שעוועמאיים</w:t>
      </w:r>
      <w:proofErr w:type="spellEnd"/>
      <w:r>
        <w:rPr>
          <w:rtl/>
        </w:rPr>
        <w:t xml:space="preserve"> שול”, בבליעת שמו הרשמי, או בשיבוש, “שמיים שול”.</w:t>
      </w:r>
      <w:bookmarkStart w:id="980" w:name="_fnr591"/>
      <w:r>
        <w:rPr>
          <w:rStyle w:val="a5"/>
        </w:rPr>
        <w:footnoteReference w:id="591" w:customMarkFollows="0"/>
      </w:r>
      <w:bookmarkEnd w:id="980"/>
      <w:r>
        <w:rPr>
          <w:rtl/>
        </w:rPr>
        <w:t xml:space="preserve"> הוא שכן ברחוב </w:t>
      </w:r>
      <w:proofErr w:type="spellStart"/>
      <w:r>
        <w:rPr>
          <w:rtl/>
        </w:rPr>
        <w:t>זאמקאווע</w:t>
      </w:r>
      <w:proofErr w:type="spellEnd"/>
      <w:r>
        <w:rPr>
          <w:rtl/>
        </w:rPr>
        <w:t xml:space="preserve"> והתקיים משנת תקצ״ד. שואבי המים, שעסקו במשלח היד הנמוך ביותר בסולם הכלכלי, ייסדו חברה פרטית חמש שנים קודם לכן. בתחילה התפללו בבית שכור, וגבו מן החברים דמי חבר שבועיים לבניית שול משלהם. את תוכניתם הצליחו להגשים רק כשהצטרפה אליהם “חברת חיי אדם”, קבוצה שעסקה בלימוד “חיי אדם”.</w:t>
      </w:r>
      <w:bookmarkStart w:id="981" w:name="_fnr592"/>
      <w:r>
        <w:rPr>
          <w:rStyle w:val="a5"/>
        </w:rPr>
        <w:footnoteReference w:id="592" w:customMarkFollows="0"/>
      </w:r>
      <w:bookmarkEnd w:id="981"/>
    </w:p>
    <w:p w14:paraId="06D6740F" w14:textId="77777777" w:rsidR="00AB3647" w:rsidRDefault="00000000" w:rsidP="007923E9">
      <w:pPr>
        <w:spacing w:before="120" w:after="100" w:line="276" w:lineRule="auto"/>
        <w:jc w:val="both"/>
      </w:pPr>
      <w:r>
        <w:rPr>
          <w:rtl/>
        </w:rPr>
        <w:t>תחילה בנו בידיהם צריף עץ, ואחר כך בניין לבנים.</w:t>
      </w:r>
      <w:bookmarkStart w:id="982" w:name="_fnr593"/>
      <w:r>
        <w:rPr>
          <w:rStyle w:val="a5"/>
        </w:rPr>
        <w:footnoteReference w:id="593" w:customMarkFollows="0"/>
      </w:r>
      <w:bookmarkEnd w:id="982"/>
      <w:r>
        <w:rPr>
          <w:rtl/>
        </w:rPr>
        <w:t xml:space="preserve"> את ההיתר הנדרש לבנות את בית הכנסת שלהם מלבנים קיבלו מראשי הקהילה, בתנאי שלא ישנו את מטרתה הדתית של חברתם ולא יהפכוה לאיגוד שמטרתו עשויה להיות העלאת מחיר אספקת המים.</w:t>
      </w:r>
      <w:bookmarkStart w:id="983" w:name="_fnr594"/>
      <w:r>
        <w:rPr>
          <w:rStyle w:val="a5"/>
        </w:rPr>
        <w:footnoteReference w:id="594" w:customMarkFollows="0"/>
      </w:r>
      <w:bookmarkEnd w:id="983"/>
      <w:r>
        <w:rPr>
          <w:rtl/>
        </w:rPr>
        <w:t xml:space="preserve"> במינסק הייתה מסורת </w:t>
      </w:r>
      <w:r>
        <w:rPr>
          <w:rtl/>
        </w:rPr>
        <w:lastRenderedPageBreak/>
        <w:t xml:space="preserve">שכאשר נוסדה החברה לראשונה ונרקמו התוכניות לבניית שול, התירו הרבנים לשואבים לכסות את ההוצאה בגביית חצי </w:t>
      </w:r>
      <w:proofErr w:type="spellStart"/>
      <w:r>
        <w:rPr>
          <w:rtl/>
        </w:rPr>
        <w:t>קופיקה</w:t>
      </w:r>
      <w:proofErr w:type="spellEnd"/>
      <w:r>
        <w:rPr>
          <w:rtl/>
        </w:rPr>
        <w:t xml:space="preserve"> נוספת על שני הדליים שנשאו בכל משלוח.</w:t>
      </w:r>
      <w:bookmarkStart w:id="984" w:name="_fnr595"/>
      <w:r>
        <w:rPr>
          <w:rStyle w:val="a5"/>
        </w:rPr>
        <w:footnoteReference w:id="595" w:customMarkFollows="0"/>
      </w:r>
      <w:bookmarkEnd w:id="984"/>
    </w:p>
    <w:p w14:paraId="6C2F204A" w14:textId="77777777" w:rsidR="00AB3647" w:rsidRDefault="00000000" w:rsidP="007923E9">
      <w:pPr>
        <w:spacing w:after="100" w:line="276" w:lineRule="auto"/>
        <w:ind w:firstLine="340"/>
        <w:jc w:val="both"/>
      </w:pPr>
      <w:r>
        <w:rPr>
          <w:rtl/>
        </w:rPr>
        <w:t>החברה ניהלה רישום מצוין של שלושים ושמונה שנות פעולתה הראשונות, ופנקסה שמור כיום בספרייה הלאומית בירושלים.</w:t>
      </w:r>
      <w:bookmarkStart w:id="985" w:name="_fnr596"/>
      <w:r>
        <w:rPr>
          <w:rStyle w:val="a5"/>
        </w:rPr>
        <w:footnoteReference w:id="596" w:customMarkFollows="0"/>
      </w:r>
      <w:bookmarkEnd w:id="985"/>
      <w:r>
        <w:rPr>
          <w:rtl/>
        </w:rPr>
        <w:t xml:space="preserve"> בפנקס רשומות התקנות המקוריות, שקבעו בין השאר קנסות לחברים שלא באו לתפילה בציבור, וכן נוסח ההיתר הנזכר. בהיתר משבחים זקני העיר את מטרותיה הנעלות של החברה, ובהצדקת היתרם לעניים לבנות בית כנסת ראוי מלבנים מסיימים הראשים במאמר חז״ל</w:t>
      </w:r>
      <w:bookmarkStart w:id="986" w:name="_fnr597"/>
      <w:r>
        <w:rPr>
          <w:rStyle w:val="a5"/>
        </w:rPr>
        <w:footnoteReference w:id="597" w:customMarkFollows="0"/>
      </w:r>
      <w:bookmarkEnd w:id="986"/>
      <w:r>
        <w:rPr>
          <w:rtl/>
        </w:rPr>
        <w:t xml:space="preserve"> “הזהרו בבני עניים שמהם תצא תורה”.</w:t>
      </w:r>
    </w:p>
    <w:p w14:paraId="66F6A39A" w14:textId="77777777" w:rsidR="00AB3647" w:rsidRDefault="00000000" w:rsidP="007923E9">
      <w:pPr>
        <w:spacing w:after="100" w:line="276" w:lineRule="auto"/>
        <w:ind w:firstLine="340"/>
        <w:jc w:val="both"/>
      </w:pPr>
      <w:r>
        <w:rPr>
          <w:rtl/>
        </w:rPr>
        <w:t xml:space="preserve">השואבים הכניסו ישיבה לשול שלהם, והתגאו בבוגריה הרבים שנעשו תלמידי חכמים גדולים, ובהם רב עירם, ר׳ לייזר </w:t>
      </w:r>
      <w:proofErr w:type="spellStart"/>
      <w:r>
        <w:rPr>
          <w:rtl/>
        </w:rPr>
        <w:t>רבינוביץ</w:t>
      </w:r>
      <w:proofErr w:type="spellEnd"/>
      <w:r>
        <w:rPr>
          <w:rtl/>
        </w:rPr>
        <w:t>.</w:t>
      </w:r>
      <w:bookmarkStart w:id="987" w:name="_fnr598"/>
      <w:r>
        <w:rPr>
          <w:rStyle w:val="a5"/>
        </w:rPr>
        <w:footnoteReference w:id="598" w:customMarkFollows="0"/>
      </w:r>
      <w:bookmarkEnd w:id="987"/>
    </w:p>
    <w:bookmarkStart w:id="988" w:name="b2_note56"/>
    <w:p w14:paraId="1EEF3A5E" w14:textId="77777777" w:rsidR="00AB3647" w:rsidRDefault="00000000" w:rsidP="007923E9">
      <w:pPr>
        <w:spacing w:before="120" w:after="100" w:line="276" w:lineRule="auto"/>
        <w:jc w:val="both"/>
      </w:pPr>
      <w:r>
        <w:fldChar w:fldCharType="begin" w:dirty="true"/>
      </w:r>
      <w:r>
        <w:instrText>HYPERLINK \l "b2_ref56"</w:instrText>
      </w:r>
      <w:r>
        <w:fldChar w:fldCharType="separate"/>
      </w:r>
      <w:r>
        <w:rPr>
          <w:b/>
          <w:bCs/>
          <w:rtl/>
        </w:rPr>
        <w:t>56</w:t>
      </w:r>
      <w:r>
        <w:rPr>
          <w:b/>
          <w:bCs/>
        </w:rPr>
        <w:fldChar w:fldCharType="end"/>
      </w:r>
      <w:bookmarkEnd w:id="988"/>
      <w:r>
        <w:rPr>
          <w:rtl/>
        </w:rPr>
        <w:t xml:space="preserve"> “מינסק עיר ואם א”.</w:t>
      </w:r>
      <w:bookmarkStart w:id="989" w:name="_fnr599"/>
      <w:r>
        <w:rPr>
          <w:rStyle w:val="a5"/>
        </w:rPr>
        <w:footnoteReference w:id="599" w:customMarkFollows="0"/>
      </w:r>
      <w:bookmarkEnd w:id="989"/>
      <w:r>
        <w:rPr>
          <w:rtl/>
        </w:rPr>
        <w:t xml:space="preserve"> עובדה זו אינה נזכרת במפורש </w:t>
      </w:r>
      <w:proofErr w:type="spellStart"/>
      <w:r>
        <w:rPr>
          <w:rtl/>
        </w:rPr>
        <w:t>ב“קובץ</w:t>
      </w:r>
      <w:proofErr w:type="spellEnd"/>
      <w:r>
        <w:rPr>
          <w:rtl/>
        </w:rPr>
        <w:t xml:space="preserve"> </w:t>
      </w:r>
      <w:proofErr w:type="spellStart"/>
      <w:r>
        <w:rPr>
          <w:rtl/>
        </w:rPr>
        <w:t>לרי״ה</w:t>
      </w:r>
      <w:proofErr w:type="spellEnd"/>
      <w:r>
        <w:rPr>
          <w:rtl/>
        </w:rPr>
        <w:t>”, והמחברים כללו אותה כנראה בהצהרתם הכללית שהוא “היה גבאי ונאמן בכמה מוסדות חסד”.</w:t>
      </w:r>
      <w:bookmarkStart w:id="990" w:name="_fnr600"/>
      <w:r>
        <w:rPr>
          <w:rStyle w:val="a5"/>
        </w:rPr>
        <w:footnoteReference w:id="600" w:customMarkFollows="0"/>
      </w:r>
      <w:bookmarkEnd w:id="990"/>
      <w:r>
        <w:rPr>
          <w:rtl/>
        </w:rPr>
        <w:t xml:space="preserve"> כפי שסיפר אחד המעורבים,</w:t>
      </w:r>
      <w:bookmarkStart w:id="991" w:name="_fnr601"/>
      <w:r>
        <w:rPr>
          <w:rStyle w:val="a5"/>
        </w:rPr>
        <w:footnoteReference w:id="601" w:customMarkFollows="0"/>
      </w:r>
      <w:bookmarkEnd w:id="991"/>
      <w:r>
        <w:rPr>
          <w:rtl/>
        </w:rPr>
        <w:t xml:space="preserve"> בסוף ביקור אצל ר׳ </w:t>
      </w:r>
      <w:proofErr w:type="spellStart"/>
      <w:r>
        <w:rPr>
          <w:rtl/>
        </w:rPr>
        <w:t xml:space="preserve">יושע־בערל</w:t>
      </w:r>
      <w:proofErr w:type="spellEnd"/>
      <w:r>
        <w:rPr>
          <w:rtl/>
        </w:rPr>
        <w:t xml:space="preserve"> </w:t>
      </w:r>
      <w:proofErr w:type="spellStart"/>
      <w:r>
        <w:rPr>
          <w:rtl/>
        </w:rPr>
        <w:t>סולובייצ׳יק</w:t>
      </w:r>
      <w:proofErr w:type="spellEnd"/>
      <w:r>
        <w:rPr>
          <w:rtl/>
        </w:rPr>
        <w:t xml:space="preserve"> בירושלים בשנת תשט״ז נשאר אבי כמה דקות נוספות, והסביר: “עכשיו אני מבקר אצל הרבנית שלך, משום שלמדתי אצל סבה ר׳ </w:t>
      </w:r>
      <w:proofErr w:type="spellStart"/>
      <w:r>
        <w:rPr>
          <w:rtl/>
        </w:rPr>
        <w:t>יהושע׳לה</w:t>
      </w:r>
      <w:proofErr w:type="spellEnd"/>
      <w:r>
        <w:rPr>
          <w:rtl/>
        </w:rPr>
        <w:t xml:space="preserve"> במינסק.” מאחר שאבי מעולם לא למד בשול “שואבי מים”, ודאי הביע בכך הכרת טובה </w:t>
      </w:r>
      <w:proofErr w:type="spellStart"/>
      <w:r>
        <w:rPr>
          <w:rtl/>
        </w:rPr>
        <w:t>לר</w:t>
      </w:r>
      <w:proofErr w:type="spellEnd"/>
      <w:r>
        <w:rPr>
          <w:rtl/>
        </w:rPr>
        <w:t xml:space="preserve">׳ </w:t>
      </w:r>
      <w:proofErr w:type="spellStart"/>
      <w:r>
        <w:rPr>
          <w:rtl/>
        </w:rPr>
        <w:t>יהושע׳לה</w:t>
      </w:r>
      <w:proofErr w:type="spellEnd"/>
      <w:r>
        <w:rPr>
          <w:rtl/>
        </w:rPr>
        <w:t xml:space="preserve"> על העזרה שהגיש לישיבה שבשול </w:t>
      </w:r>
      <w:proofErr w:type="spellStart"/>
      <w:r>
        <w:rPr>
          <w:rtl/>
        </w:rPr>
        <w:t>הקצבים</w:t>
      </w:r>
      <w:proofErr w:type="spellEnd"/>
      <w:r>
        <w:rPr>
          <w:rtl/>
        </w:rPr>
        <w:t>.</w:t>
      </w:r>
    </w:p>
    <w:p w14:paraId="5A9EDF72" w14:textId="6DEA58CF"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מלבד המשך לימוד התורה בשקידה בסביבתו החדשה, מצא אבי זמן לקרוא מעט מן הספרות העברית החדשה שעברה בחשאי מיד ליד בין תלמידי הישיבה המבוגרים, כגון “אהבת ציון” </w:t>
      </w:r>
      <w:proofErr w:type="spellStart"/>
      <w:r>
        <w:rPr>
          <w:rtl/>
        </w:rPr>
        <w:t xml:space="preserve">ו“אשמת שומרון” של אברהם מאפו</w:t>
      </w:r>
      <w:proofErr w:type="spellEnd"/>
      <w:r>
        <w:rPr>
          <w:rtl/>
        </w:rPr>
        <w:t xml:space="preserve">.</w:t>
      </w:r>
      <w:bookmarkStart w:id="992" w:name="b2_ref57"/>
      <w:bookmarkEnd w:id="992"/>
      <w:r>
        <w:rPr>
          <w:vertAlign w:val="superscript"/>
          <w:rtl/>
        </w:rPr>
        <w:fldChar w:fldCharType="begin" w:dirty="true"/>
      </w:r>
      <w:r>
        <w:rPr>
          <w:vertAlign w:val="superscript"/>
          <w:rtl/>
        </w:rPr>
        <w:instrText xml:space="preserve"> REF b2_note57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57</w:t>
      </w:r>
      <w:r>
        <w:rPr>
          <w:vertAlign w:val="superscript"/>
          <w:rtl/>
        </w:rPr>
        <w:fldChar w:fldCharType="end"/>
      </w:r>
      <w:r>
        <w:rPr>
          <w:rtl/>
        </w:rPr>
        <w:t xml:space="preserve"> הוא גם המשיך לקרוא בספרי הגאומטריה והטריגונומטריה של בני דודו,</w:t>
      </w:r>
      <w:r>
        <w:rPr>
          <w:vertAlign w:val="superscript"/>
          <w:rtl/>
        </w:rPr>
        <w:fldChar w:fldCharType="begin" w:dirty="true"/>
      </w:r>
      <w:r>
        <w:rPr>
          <w:vertAlign w:val="superscript"/>
          <w:rtl/>
        </w:rPr>
        <w:instrText xml:space="preserve"> REF b2_note57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57</w:t>
      </w:r>
      <w:r>
        <w:rPr>
          <w:vertAlign w:val="superscript"/>
          <w:rtl/>
        </w:rPr>
        <w:fldChar w:fldCharType="end"/>
      </w:r>
      <w:r>
        <w:rPr>
          <w:rtl/>
        </w:rPr>
        <w:t xml:space="preserve"> ועמל על ספר דקדוק עברי מסובך ביותר של </w:t>
      </w:r>
      <w:proofErr w:type="spellStart"/>
      <w:r>
        <w:rPr>
          <w:rtl/>
        </w:rPr>
        <w:t>חיים־צבי</w:t>
      </w:r>
      <w:proofErr w:type="spellEnd"/>
      <w:r>
        <w:rPr>
          <w:rtl/>
        </w:rPr>
        <w:t xml:space="preserve"> לרנר (</w:t>
      </w:r>
      <w:proofErr w:type="spellStart"/>
      <w:r>
        <w:rPr>
          <w:rtl/>
        </w:rPr>
        <w:t>חצ״ל</w:t>
      </w:r>
      <w:proofErr w:type="spellEnd"/>
      <w:r>
        <w:rPr>
          <w:rtl/>
        </w:rPr>
        <w:t>),</w:t>
      </w:r>
      <w:bookmarkStart w:id="993" w:name="b2_ref58"/>
      <w:bookmarkEnd w:id="993"/>
      <w:r>
        <w:rPr>
          <w:vertAlign w:val="superscript"/>
          <w:rtl/>
        </w:rPr>
        <w:fldChar w:fldCharType="begin" w:dirty="true"/>
      </w:r>
      <w:r>
        <w:rPr>
          <w:vertAlign w:val="superscript"/>
          <w:rtl/>
        </w:rPr>
        <w:instrText xml:space="preserve"> REF b2_note58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58</w:t>
      </w:r>
      <w:r>
        <w:rPr>
          <w:vertAlign w:val="superscript"/>
          <w:rtl/>
        </w:rPr>
        <w:fldChar w:fldCharType="end"/>
      </w:r>
      <w:r>
        <w:rPr>
          <w:rtl/>
        </w:rPr>
        <w:t xml:space="preserve"> וכן על ספרו הקשה של אותו מחבר על טעמי המקרא.</w:t>
      </w:r>
      <w:bookmarkStart w:id="994" w:name="b2_ref59"/>
      <w:bookmarkEnd w:id="994"/>
      <w:r>
        <w:rPr>
          <w:vertAlign w:val="superscript"/>
          <w:rtl/>
        </w:rPr>
        <w:fldChar w:fldCharType="begin" w:dirty="true"/>
      </w:r>
      <w:r>
        <w:rPr>
          <w:vertAlign w:val="superscript"/>
          <w:rtl/>
        </w:rPr>
        <w:instrText xml:space="preserve"> REF b2_note59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59</w:t>
      </w:r>
      <w:r>
        <w:rPr>
          <w:vertAlign w:val="superscript"/>
          <w:rtl/>
        </w:rPr>
        <w:fldChar w:fldCharType="end"/>
      </w:r>
      <w:r>
        <w:rPr>
          <w:rtl/>
        </w:rPr>
        <w:t xml:space="preserve"> אבל ככל שהתבגר </w:t>
      </w:r>
      <w:proofErr w:type="spellStart"/>
      <w:r>
        <w:rPr>
          <w:rtl/>
        </w:rPr>
        <w:t>הדולהינובר</w:t>
      </w:r>
      <w:proofErr w:type="spellEnd"/>
      <w:r>
        <w:rPr>
          <w:rtl/>
        </w:rPr>
        <w:t>, הבין שחברת בני דודו, ולו רק בלילות, טומנת בחובה סכנה רוחנית, והחליט לעזוב את הגומחה שבבית דודו</w:t>
      </w:r>
      <w:bookmarkStart w:id="995" w:name="b2_ref60"/>
      <w:bookmarkEnd w:id="995"/>
      <w:r>
        <w:rPr>
          <w:vertAlign w:val="superscript"/>
          <w:rtl/>
        </w:rPr>
        <w:fldChar w:fldCharType="begin" w:dirty="true"/>
      </w:r>
      <w:r>
        <w:rPr>
          <w:vertAlign w:val="superscript"/>
          <w:rtl/>
        </w:rPr>
        <w:instrText xml:space="preserve"> REF b2_note60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60</w:t>
      </w:r>
      <w:r>
        <w:rPr>
          <w:vertAlign w:val="superscript"/>
          <w:rtl/>
        </w:rPr>
        <w:fldChar w:fldCharType="end"/>
      </w:r>
      <w:r>
        <w:rPr>
          <w:rtl/>
        </w:rPr>
        <w:t xml:space="preserve"> ולעבור לשול </w:t>
      </w:r>
      <w:proofErr w:type="spellStart"/>
      <w:r>
        <w:rPr>
          <w:rtl/>
        </w:rPr>
        <w:t>הקצבים</w:t>
      </w:r>
      <w:proofErr w:type="spellEnd"/>
      <w:r>
        <w:rPr>
          <w:rtl/>
        </w:rPr>
        <w:t>.</w:t>
      </w:r>
    </w:p>
    <w:bookmarkStart w:id="996" w:name="b2_note57"/>
    <w:p w14:paraId="1BEEF434" w14:textId="77777777" w:rsidR="00AB3647" w:rsidRDefault="00000000" w:rsidP="007923E9">
      <w:pPr>
        <w:spacing w:before="120" w:after="100" w:line="276" w:lineRule="auto"/>
        <w:jc w:val="both"/>
      </w:pPr>
      <w:r>
        <w:fldChar w:fldCharType="begin" w:dirty="true"/>
      </w:r>
      <w:r>
        <w:instrText>HYPERLINK \l "b2_ref57"</w:instrText>
      </w:r>
      <w:r>
        <w:fldChar w:fldCharType="separate"/>
      </w:r>
      <w:r>
        <w:rPr>
          <w:b/>
          <w:bCs/>
          <w:rtl/>
        </w:rPr>
        <w:t>57</w:t>
      </w:r>
      <w:r>
        <w:rPr>
          <w:b/>
          <w:bCs/>
        </w:rPr>
        <w:fldChar w:fldCharType="end"/>
      </w:r>
      <w:bookmarkEnd w:id="996"/>
      <w:r>
        <w:rPr>
          <w:rtl/>
        </w:rPr>
        <w:t xml:space="preserve"> ר׳ אשר </w:t>
      </w:r>
      <w:proofErr w:type="spellStart"/>
      <w:r>
        <w:rPr>
          <w:rtl/>
        </w:rPr>
        <w:t>קצמן</w:t>
      </w:r>
      <w:proofErr w:type="spellEnd"/>
      <w:r>
        <w:rPr>
          <w:rtl/>
        </w:rPr>
        <w:t>.</w:t>
      </w:r>
      <w:bookmarkStart w:id="997" w:name="_fnr602"/>
      <w:r>
        <w:rPr>
          <w:rStyle w:val="a5"/>
        </w:rPr>
        <w:footnoteReference w:id="602" w:customMarkFollows="0"/>
      </w:r>
      <w:bookmarkEnd w:id="997"/>
      <w:r>
        <w:rPr>
          <w:rtl/>
        </w:rPr>
        <w:t xml:space="preserve"> ר׳ ישראל </w:t>
      </w:r>
      <w:proofErr w:type="spellStart"/>
      <w:r>
        <w:rPr>
          <w:rtl/>
        </w:rPr>
        <w:t>שורין</w:t>
      </w:r>
      <w:proofErr w:type="spellEnd"/>
      <w:r>
        <w:rPr>
          <w:rtl/>
        </w:rPr>
        <w:t xml:space="preserve"> סיפר</w:t>
      </w:r>
      <w:bookmarkStart w:id="998" w:name="_fnr603"/>
      <w:r>
        <w:rPr>
          <w:rStyle w:val="a5"/>
        </w:rPr>
        <w:footnoteReference w:id="603" w:customMarkFollows="0"/>
      </w:r>
      <w:bookmarkEnd w:id="998"/>
      <w:r>
        <w:rPr>
          <w:rtl/>
        </w:rPr>
        <w:t xml:space="preserve"> דבר שאם הוא אמת, יישאר בלתי ייאמן בעיני מי שהכירו את רבנו בשנות בגרותו בכלל – ובפרט בעיני מי שיודעים את הכבוד שנהג בספרי קודש: הוא לא היה סומך אפילו את מרפקו על ספר! ר׳ </w:t>
      </w:r>
      <w:proofErr w:type="spellStart"/>
      <w:r>
        <w:rPr>
          <w:rtl/>
        </w:rPr>
        <w:t>אברהם־שמעון</w:t>
      </w:r>
      <w:proofErr w:type="spellEnd"/>
      <w:r>
        <w:rPr>
          <w:rtl/>
        </w:rPr>
        <w:t xml:space="preserve"> גפן (“עילוי עצום, בנו </w:t>
      </w:r>
      <w:r>
        <w:rPr>
          <w:rtl/>
        </w:rPr>
        <w:lastRenderedPageBreak/>
        <w:t xml:space="preserve">של רב </w:t>
      </w:r>
      <w:proofErr w:type="spellStart"/>
      <w:r>
        <w:rPr>
          <w:rtl/>
        </w:rPr>
        <w:t>ריטובה</w:t>
      </w:r>
      <w:proofErr w:type="spellEnd"/>
      <w:r>
        <w:rPr>
          <w:rtl/>
        </w:rPr>
        <w:t xml:space="preserve"> [עיר הולדתו של ר׳ ישראל </w:t>
      </w:r>
      <w:proofErr w:type="spellStart"/>
      <w:r>
        <w:rPr>
          <w:rtl/>
        </w:rPr>
        <w:t>שורין</w:t>
      </w:r>
      <w:proofErr w:type="spellEnd"/>
      <w:r>
        <w:rPr>
          <w:rtl/>
        </w:rPr>
        <w:t xml:space="preserve">] ותלמיד </w:t>
      </w:r>
      <w:proofErr w:type="spellStart"/>
      <w:r>
        <w:rPr>
          <w:rtl/>
        </w:rPr>
        <w:t>טלז</w:t>
      </w:r>
      <w:proofErr w:type="spellEnd"/>
      <w:r>
        <w:rPr>
          <w:rtl/>
        </w:rPr>
        <w:t xml:space="preserve"> אצל ר׳ לייזר גורדון”) סיפר שבישיבת </w:t>
      </w:r>
      <w:proofErr w:type="spellStart"/>
      <w:r>
        <w:rPr>
          <w:rtl/>
        </w:rPr>
        <w:t>סלבודקה</w:t>
      </w:r>
      <w:proofErr w:type="spellEnd"/>
      <w:r>
        <w:rPr>
          <w:rtl/>
        </w:rPr>
        <w:t xml:space="preserve"> אמרו שרבנו היה רושם “</w:t>
      </w:r>
      <w:proofErr w:type="spellStart"/>
      <w:r>
        <w:rPr>
          <w:rtl/>
        </w:rPr>
        <w:t>זאדאטשעס</w:t>
      </w:r>
      <w:proofErr w:type="spellEnd"/>
      <w:r>
        <w:rPr>
          <w:rtl/>
        </w:rPr>
        <w:t>” (תרגילים) אלגבריים בשולי הגמרא שלו.</w:t>
      </w:r>
    </w:p>
    <w:p w14:paraId="391B35EC" w14:textId="77777777" w:rsidR="00AB3647" w:rsidRDefault="00000000" w:rsidP="007923E9">
      <w:pPr>
        <w:spacing w:before="120" w:after="100" w:line="276" w:lineRule="auto"/>
        <w:jc w:val="both"/>
      </w:pPr>
      <w:r>
        <w:rPr>
          <w:rtl/>
        </w:rPr>
        <w:t xml:space="preserve">וכך תיאר ר׳ ישראל </w:t>
      </w:r>
      <w:proofErr w:type="spellStart"/>
      <w:r>
        <w:rPr>
          <w:rtl/>
        </w:rPr>
        <w:t>שורין</w:t>
      </w:r>
      <w:proofErr w:type="spellEnd"/>
      <w:r>
        <w:rPr>
          <w:rtl/>
        </w:rPr>
        <w:t xml:space="preserve"> את ר׳ </w:t>
      </w:r>
      <w:proofErr w:type="spellStart"/>
      <w:r>
        <w:rPr>
          <w:rtl/>
        </w:rPr>
        <w:t>אברהם־שמעון</w:t>
      </w:r>
      <w:proofErr w:type="spellEnd"/>
      <w:r>
        <w:rPr>
          <w:rtl/>
        </w:rPr>
        <w:t xml:space="preserve">: “ר׳ </w:t>
      </w:r>
      <w:proofErr w:type="spellStart"/>
      <w:r>
        <w:rPr>
          <w:rtl/>
        </w:rPr>
        <w:t>אברהם־שמעון</w:t>
      </w:r>
      <w:proofErr w:type="spellEnd"/>
      <w:r>
        <w:rPr>
          <w:rtl/>
        </w:rPr>
        <w:t xml:space="preserve"> היה מודרני במקצת ולא גידל זקן. אחרי שנכשל בעסקי הפשתן באירופה, נעשה משולח של ישיבת </w:t>
      </w:r>
      <w:proofErr w:type="spellStart"/>
      <w:r>
        <w:rPr>
          <w:rtl/>
        </w:rPr>
        <w:t>סלבודקה</w:t>
      </w:r>
      <w:proofErr w:type="spellEnd"/>
      <w:r>
        <w:rPr>
          <w:rtl/>
        </w:rPr>
        <w:t xml:space="preserve"> באמריקה. לפי בנו, ר׳ שלום גפן, נולד בשנת תרמ״ב, ואחרי </w:t>
      </w:r>
      <w:proofErr w:type="spellStart"/>
      <w:r>
        <w:rPr>
          <w:rtl/>
        </w:rPr>
        <w:t>טלז</w:t>
      </w:r>
      <w:proofErr w:type="spellEnd"/>
      <w:r>
        <w:rPr>
          <w:rtl/>
        </w:rPr>
        <w:t xml:space="preserve"> למד </w:t>
      </w:r>
      <w:proofErr w:type="spellStart"/>
      <w:r>
        <w:rPr>
          <w:rtl/>
        </w:rPr>
        <w:t>בסלבודקה</w:t>
      </w:r>
      <w:proofErr w:type="spellEnd"/>
      <w:r>
        <w:rPr>
          <w:rtl/>
        </w:rPr>
        <w:t xml:space="preserve"> ‘שנים רבות החל משנת תרס״א׳.”</w:t>
      </w:r>
    </w:p>
    <w:bookmarkStart w:id="999" w:name="b2_note58"/>
    <w:p w14:paraId="63F08010" w14:textId="77777777" w:rsidR="00AB3647" w:rsidRDefault="00000000" w:rsidP="007923E9">
      <w:pPr>
        <w:spacing w:before="120" w:after="100" w:line="276" w:lineRule="auto"/>
        <w:jc w:val="both"/>
      </w:pPr>
      <w:r>
        <w:fldChar w:fldCharType="begin" w:dirty="true"/>
      </w:r>
      <w:r>
        <w:instrText>HYPERLINK \l "b2_ref58"</w:instrText>
      </w:r>
      <w:r>
        <w:fldChar w:fldCharType="separate"/>
      </w:r>
      <w:r>
        <w:rPr>
          <w:b/>
          <w:bCs/>
          <w:rtl/>
        </w:rPr>
        <w:t>58</w:t>
      </w:r>
      <w:r>
        <w:rPr>
          <w:b/>
          <w:bCs/>
        </w:rPr>
        <w:fldChar w:fldCharType="end"/>
      </w:r>
      <w:bookmarkEnd w:id="999"/>
      <w:r>
        <w:rPr>
          <w:rtl/>
        </w:rPr>
        <w:t xml:space="preserve"> ר׳ ישראל </w:t>
      </w:r>
      <w:proofErr w:type="spellStart"/>
      <w:r>
        <w:rPr>
          <w:rtl/>
        </w:rPr>
        <w:t>שורין</w:t>
      </w:r>
      <w:proofErr w:type="spellEnd"/>
      <w:r>
        <w:rPr>
          <w:rtl/>
        </w:rPr>
        <w:t>.</w:t>
      </w:r>
      <w:bookmarkStart w:id="1000" w:name="_fnr604"/>
      <w:r>
        <w:rPr>
          <w:rStyle w:val="a5"/>
        </w:rPr>
        <w:footnoteReference w:id="604" w:customMarkFollows="0"/>
      </w:r>
      <w:bookmarkEnd w:id="1000"/>
      <w:r>
        <w:rPr>
          <w:rtl/>
        </w:rPr>
        <w:t xml:space="preserve"> בספרייתו של ר׳ ישראל </w:t>
      </w:r>
      <w:proofErr w:type="spellStart"/>
      <w:r>
        <w:rPr>
          <w:rtl/>
        </w:rPr>
        <w:t>שורין</w:t>
      </w:r>
      <w:proofErr w:type="spellEnd"/>
      <w:r>
        <w:rPr>
          <w:rtl/>
        </w:rPr>
        <w:t xml:space="preserve"> היה הספר “מורה הלשון: נתיב חדש בדקדוק לשון עבר”. כשהבחין אבי בכרך על המדף, נטל אותו מתוך סקרנות לראות מה דעתו עליו שישים שנה אחרי שלמד אותו ביסודיות. הוא הביע השתוממות על הסבלנות שגייס בנעוריו כדי לפלס את דרכו בפרטיו המסובכים.</w:t>
      </w:r>
    </w:p>
    <w:p w14:paraId="1C6DE425" w14:textId="77777777" w:rsidR="00AB3647" w:rsidRDefault="00000000" w:rsidP="007923E9">
      <w:pPr>
        <w:spacing w:after="100" w:line="276" w:lineRule="auto"/>
        <w:ind w:firstLine="340"/>
        <w:jc w:val="both"/>
      </w:pPr>
      <w:r>
        <w:rPr>
          <w:rtl/>
        </w:rPr>
        <w:t xml:space="preserve">רבנו, שהתעניינותו בדקדוק ניכרת בכל כתביו, אמר פעם לנכדו ר׳ יצחק </w:t>
      </w:r>
      <w:proofErr w:type="spellStart"/>
      <w:r>
        <w:rPr>
          <w:rtl/>
        </w:rPr>
        <w:t>שורין</w:t>
      </w:r>
      <w:bookmarkStart w:id="1001" w:name="_fnr605"/>
      <w:proofErr w:type="spellEnd"/>
      <w:r>
        <w:rPr>
          <w:rStyle w:val="a5"/>
        </w:rPr>
        <w:footnoteReference w:id="605" w:customMarkFollows="0"/>
      </w:r>
      <w:bookmarkEnd w:id="1001"/>
      <w:r>
        <w:rPr>
          <w:rtl/>
        </w:rPr>
        <w:t xml:space="preserve"> שהדקדוק העברי אינו מקצוע חילוני, משום שאי אפשר להגיע להבנה ברורה של כתבי הקודש בלי ידיעת כלליו. השווה גם את הסכמותיי לשני ספרים שחיבר יצחק פרנק, “דקדוק לגמרא”</w:t>
      </w:r>
      <w:bookmarkStart w:id="1002" w:name="_fnr606"/>
      <w:r>
        <w:rPr>
          <w:rStyle w:val="a5"/>
        </w:rPr>
        <w:footnoteReference w:id="606" w:customMarkFollows="0"/>
      </w:r>
      <w:bookmarkEnd w:id="1002"/>
      <w:r>
        <w:rPr>
          <w:rtl/>
        </w:rPr>
        <w:t xml:space="preserve"> </w:t>
      </w:r>
      <w:proofErr w:type="spellStart"/>
      <w:r>
        <w:rPr>
          <w:rtl/>
        </w:rPr>
        <w:t>ו“דיקא</w:t>
      </w:r>
      <w:proofErr w:type="spellEnd"/>
      <w:r>
        <w:rPr>
          <w:rtl/>
        </w:rPr>
        <w:t xml:space="preserve"> נמי”,</w:t>
      </w:r>
      <w:bookmarkStart w:id="1003" w:name="_fnr607"/>
      <w:r>
        <w:rPr>
          <w:rStyle w:val="a5"/>
        </w:rPr>
        <w:footnoteReference w:id="607" w:customMarkFollows="0"/>
      </w:r>
      <w:bookmarkEnd w:id="1003"/>
      <w:r>
        <w:rPr>
          <w:rtl/>
        </w:rPr>
        <w:t xml:space="preserve"> המביאים את דברי רבנו שהדקדוק נכלל במצוות תלמוד תורה “משום שידיעתו חיונית להגעה למסקנות הלכתיות נכונות”. אבי הביא דוגמה כיצד טעות דקדוקית הביאה אדם לפסק מוטעה בדבר חמור.</w:t>
      </w:r>
    </w:p>
    <w:bookmarkStart w:id="1004" w:name="b2_note59"/>
    <w:p w14:paraId="3ED61C5C" w14:textId="77777777" w:rsidR="00AB3647" w:rsidRDefault="00000000" w:rsidP="007923E9">
      <w:pPr>
        <w:spacing w:before="120" w:after="100" w:line="276" w:lineRule="auto"/>
        <w:jc w:val="both"/>
      </w:pPr>
      <w:r>
        <w:fldChar w:fldCharType="begin" w:dirty="true"/>
      </w:r>
      <w:r>
        <w:instrText>HYPERLINK \l "b2_ref59"</w:instrText>
      </w:r>
      <w:r>
        <w:fldChar w:fldCharType="separate"/>
      </w:r>
      <w:r>
        <w:rPr>
          <w:b/>
          <w:bCs/>
          <w:rtl/>
        </w:rPr>
        <w:t>59</w:t>
      </w:r>
      <w:r>
        <w:rPr>
          <w:b/>
          <w:bCs/>
        </w:rPr>
        <w:fldChar w:fldCharType="end"/>
      </w:r>
      <w:bookmarkEnd w:id="1004"/>
      <w:r>
        <w:rPr>
          <w:rtl/>
        </w:rPr>
        <w:t xml:space="preserve"> לפי ר׳ אשר </w:t>
      </w:r>
      <w:proofErr w:type="spellStart"/>
      <w:r>
        <w:rPr>
          <w:rtl/>
        </w:rPr>
        <w:t>קצמן</w:t>
      </w:r>
      <w:proofErr w:type="spellEnd"/>
      <w:r>
        <w:rPr>
          <w:rtl/>
        </w:rPr>
        <w:t xml:space="preserve"> אמר אבי: “אפילו פרופסורים יתקשו בספר הזה.” ר׳ יצחק </w:t>
      </w:r>
      <w:proofErr w:type="spellStart"/>
      <w:r>
        <w:rPr>
          <w:rtl/>
        </w:rPr>
        <w:t>שורין</w:t>
      </w:r>
      <w:proofErr w:type="spellEnd"/>
      <w:r>
        <w:rPr>
          <w:rtl/>
        </w:rPr>
        <w:t xml:space="preserve"> סיפר שסבו, רבנו, אמר: “כיום ודאי יש ספרים טובים יותר בנושא זה.” ר׳ יצחק שאל בתמימות אם המחבר היה שומר מצוות, ואבי צחק ואמר: “כנראה לא; הוא היה מן המשכילים.”</w:t>
      </w:r>
    </w:p>
    <w:p w14:paraId="370AC2C0" w14:textId="77777777" w:rsidR="00AB3647" w:rsidRDefault="00000000" w:rsidP="007923E9">
      <w:pPr>
        <w:spacing w:before="120" w:after="100" w:line="276" w:lineRule="auto"/>
        <w:jc w:val="both"/>
      </w:pPr>
      <w:r>
        <w:rPr>
          <w:rtl/>
        </w:rPr>
        <w:t xml:space="preserve">המידע הבא על </w:t>
      </w:r>
      <w:proofErr w:type="spellStart"/>
      <w:r>
        <w:rPr>
          <w:rtl/>
        </w:rPr>
        <w:t>חיים־צבי</w:t>
      </w:r>
      <w:proofErr w:type="spellEnd"/>
      <w:r>
        <w:rPr>
          <w:rtl/>
        </w:rPr>
        <w:t xml:space="preserve"> לרנר נמצא באנציקלופדיה יודאיקה </w:t>
      </w:r>
      <w:proofErr w:type="spellStart"/>
      <w:r>
        <w:rPr>
          <w:rtl/>
        </w:rPr>
        <w:t>וב־ג׳ואיש</w:t>
      </w:r>
      <w:proofErr w:type="spellEnd"/>
      <w:r>
        <w:rPr>
          <w:rtl/>
        </w:rPr>
        <w:t xml:space="preserve"> אנציקלופדיה. מדקדק ומחנך עברי זה נולד בשנת 1815 בדובנו ונפטר בשנת 1889. את חינוכו במקרא ובתלמוד קיבל מאביו, ונישא בגיל </w:t>
      </w:r>
      <w:proofErr w:type="spellStart"/>
      <w:r>
        <w:rPr>
          <w:rtl/>
        </w:rPr>
        <w:t>שלוש־עשרה</w:t>
      </w:r>
      <w:proofErr w:type="spellEnd"/>
      <w:r>
        <w:rPr>
          <w:rtl/>
        </w:rPr>
        <w:t xml:space="preserve">. בשנת 1833 בא המלומד הנודע </w:t>
      </w:r>
      <w:proofErr w:type="spellStart"/>
      <w:r>
        <w:rPr>
          <w:rtl/>
        </w:rPr>
        <w:t>זאב־וולף</w:t>
      </w:r>
      <w:proofErr w:type="spellEnd"/>
      <w:r>
        <w:rPr>
          <w:rtl/>
        </w:rPr>
        <w:t xml:space="preserve"> </w:t>
      </w:r>
      <w:proofErr w:type="spellStart"/>
      <w:r>
        <w:rPr>
          <w:rtl/>
        </w:rPr>
        <w:t>אדלזון</w:t>
      </w:r>
      <w:proofErr w:type="spellEnd"/>
      <w:r>
        <w:rPr>
          <w:rtl/>
        </w:rPr>
        <w:t xml:space="preserve"> לדובנו וקיבץ סביבו חוג משכילים שלימד אותם דקדוק עברי ופילוסופיה; לרנר נעשה לתלמידו, ולמד אצלו לימודי עברית ולימודי חול. לרנר עבד כמורה פרטי לעברית, ובשנת 1849 נעשה מורה בבית הספר הממשלתי היהודי </w:t>
      </w:r>
      <w:proofErr w:type="spellStart"/>
      <w:r>
        <w:rPr>
          <w:rtl/>
        </w:rPr>
        <w:t>בברדיצ׳ב</w:t>
      </w:r>
      <w:proofErr w:type="spellEnd"/>
      <w:r>
        <w:rPr>
          <w:rtl/>
        </w:rPr>
        <w:t xml:space="preserve">. כעבור שנתיים נעשה מורה ללשון העברית ולדקדוקה בבית המדרש לרבנים </w:t>
      </w:r>
      <w:proofErr w:type="spellStart"/>
      <w:r>
        <w:rPr>
          <w:rtl/>
        </w:rPr>
        <w:t>בז׳יטומיר</w:t>
      </w:r>
      <w:proofErr w:type="spellEnd"/>
      <w:r>
        <w:rPr>
          <w:rtl/>
        </w:rPr>
        <w:t>, עד שנסגר המוסד בגזירת הממשלה בשנת 1873. את שארית ימיו עשה בעוני, נתמך בידי תלמידיו לשעבר.</w:t>
      </w:r>
    </w:p>
    <w:p w14:paraId="32DE049C" w14:textId="77777777" w:rsidR="00AB3647" w:rsidRDefault="00000000" w:rsidP="007923E9">
      <w:pPr>
        <w:spacing w:before="120" w:after="100" w:line="276" w:lineRule="auto"/>
        <w:jc w:val="both"/>
      </w:pPr>
      <w:r>
        <w:rPr>
          <w:rtl/>
        </w:rPr>
        <w:t xml:space="preserve">חיבורו החשוב ביותר היה “מורה הלשון”, המיוסד על עקרונות שקבע מורו ש. </w:t>
      </w:r>
      <w:proofErr w:type="spellStart"/>
      <w:r>
        <w:rPr>
          <w:rtl/>
        </w:rPr>
        <w:t>פינסקר</w:t>
      </w:r>
      <w:proofErr w:type="spellEnd"/>
      <w:r>
        <w:rPr>
          <w:rtl/>
        </w:rPr>
        <w:t xml:space="preserve">. הספר יצא לאור לראשונה בשנת 1859 ונדפס בשבע מהדורות בחייו; מן המהדורה הרביעית ואילך הוסיף לו הערות. מהדורה שמינית נדפסה אחרי מותו, בשנת 1893, עם נספח, “ילקוט חז״ל”, </w:t>
      </w:r>
      <w:r>
        <w:rPr>
          <w:rtl/>
        </w:rPr>
        <w:lastRenderedPageBreak/>
        <w:t xml:space="preserve">ובו ביאורים לפסוקים קשים במקרא ופירושים עליהם. בסך הכול יצאו לאור </w:t>
      </w:r>
      <w:proofErr w:type="spellStart"/>
      <w:r>
        <w:rPr>
          <w:rtl/>
        </w:rPr>
        <w:t>שלוש־עשרה</w:t>
      </w:r>
      <w:proofErr w:type="spellEnd"/>
      <w:r>
        <w:rPr>
          <w:rtl/>
        </w:rPr>
        <w:t xml:space="preserve"> מהדורות, האחרונה בשנת 1909. לרנר כתב גם ספר על ברייתא </w:t>
      </w:r>
      <w:proofErr w:type="spellStart"/>
      <w:r>
        <w:rPr>
          <w:rtl/>
        </w:rPr>
        <w:t>דל״ב</w:t>
      </w:r>
      <w:proofErr w:type="spellEnd"/>
      <w:r>
        <w:rPr>
          <w:rtl/>
        </w:rPr>
        <w:t xml:space="preserve"> מידות.</w:t>
      </w:r>
      <w:bookmarkStart w:id="1005" w:name="_fnr608"/>
      <w:r>
        <w:rPr>
          <w:rStyle w:val="a5"/>
        </w:rPr>
        <w:footnoteReference w:id="608" w:customMarkFollows="0"/>
      </w:r>
      <w:bookmarkEnd w:id="1005"/>
      <w:r>
        <w:rPr>
          <w:rtl/>
        </w:rPr>
        <w:t xml:space="preserve"> אבי השתמש כנראה במהדורה שלאחר מותו, האחרונה שהייתה בזמנו, מהדורת תרנ״ג.</w:t>
      </w:r>
    </w:p>
    <w:p w14:paraId="0A63ABBE" w14:textId="77777777" w:rsidR="00AB3647" w:rsidRDefault="00000000" w:rsidP="007923E9">
      <w:pPr>
        <w:spacing w:after="100" w:line="276" w:lineRule="auto"/>
        <w:ind w:firstLine="340"/>
        <w:jc w:val="both"/>
      </w:pPr>
      <w:r>
        <w:rPr>
          <w:rtl/>
        </w:rPr>
        <w:t xml:space="preserve">אבי קרא גם את התנ״ך של משה מנדלסון עם </w:t>
      </w:r>
      <w:proofErr w:type="spellStart"/>
      <w:r>
        <w:rPr>
          <w:rtl/>
        </w:rPr>
        <w:t>ה“ביאור</w:t>
      </w:r>
      <w:proofErr w:type="spellEnd"/>
      <w:r>
        <w:rPr>
          <w:rtl/>
        </w:rPr>
        <w:t xml:space="preserve">” – כך סיפר </w:t>
      </w:r>
      <w:proofErr w:type="spellStart"/>
      <w:r>
        <w:rPr>
          <w:rtl/>
        </w:rPr>
        <w:t>לר</w:t>
      </w:r>
      <w:proofErr w:type="spellEnd"/>
      <w:r>
        <w:rPr>
          <w:rtl/>
        </w:rPr>
        <w:t xml:space="preserve">׳ </w:t>
      </w:r>
      <w:proofErr w:type="spellStart"/>
      <w:r>
        <w:rPr>
          <w:rtl/>
        </w:rPr>
        <w:t>לייבל</w:t>
      </w:r>
      <w:proofErr w:type="spellEnd"/>
      <w:r>
        <w:rPr>
          <w:rtl/>
        </w:rPr>
        <w:t xml:space="preserve"> </w:t>
      </w:r>
      <w:proofErr w:type="spellStart"/>
      <w:r>
        <w:rPr>
          <w:rtl/>
        </w:rPr>
        <w:t>פרלשטיין</w:t>
      </w:r>
      <w:proofErr w:type="spellEnd"/>
      <w:r>
        <w:rPr>
          <w:rtl/>
        </w:rPr>
        <w:t>.</w:t>
      </w:r>
      <w:bookmarkStart w:id="1006" w:name="_fnr609"/>
      <w:r>
        <w:rPr>
          <w:rStyle w:val="a5"/>
        </w:rPr>
        <w:footnoteReference w:id="609" w:customMarkFollows="0"/>
      </w:r>
      <w:bookmarkEnd w:id="1006"/>
      <w:r>
        <w:rPr>
          <w:rtl/>
        </w:rPr>
        <w:t xml:space="preserve"> אבל סבורים שהיה זה בזמן מאוחר יותר, כנראה בתקופת כהונתו כרב </w:t>
      </w:r>
      <w:proofErr w:type="spellStart"/>
      <w:r>
        <w:rPr>
          <w:rtl/>
        </w:rPr>
        <w:t>ציטוביאן</w:t>
      </w:r>
      <w:proofErr w:type="spellEnd"/>
      <w:r>
        <w:rPr>
          <w:rtl/>
        </w:rPr>
        <w:t>.</w:t>
      </w:r>
    </w:p>
    <w:bookmarkStart w:id="1007" w:name="b2_note60"/>
    <w:p w14:paraId="2CC04E0C" w14:textId="77777777" w:rsidR="00AB3647" w:rsidRDefault="00000000" w:rsidP="007923E9">
      <w:pPr>
        <w:spacing w:before="120" w:after="100" w:line="276" w:lineRule="auto"/>
        <w:jc w:val="both"/>
      </w:pPr>
      <w:r>
        <w:fldChar w:fldCharType="begin" w:dirty="true"/>
      </w:r>
      <w:r>
        <w:instrText>HYPERLINK \l "b2_ref60"</w:instrText>
      </w:r>
      <w:r>
        <w:fldChar w:fldCharType="separate"/>
      </w:r>
      <w:r>
        <w:rPr>
          <w:b/>
          <w:bCs/>
          <w:rtl/>
        </w:rPr>
        <w:t>60</w:t>
      </w:r>
      <w:r>
        <w:rPr>
          <w:b/>
          <w:bCs/>
        </w:rPr>
        <w:fldChar w:fldCharType="end"/>
      </w:r>
      <w:bookmarkEnd w:id="1007"/>
      <w:r>
        <w:rPr>
          <w:rtl/>
        </w:rPr>
        <w:t xml:space="preserve"> המשיבה במכתב, הדודה דבורה.</w:t>
      </w:r>
      <w:bookmarkStart w:id="1008" w:name="_fnr610"/>
      <w:r>
        <w:rPr>
          <w:rStyle w:val="a5"/>
        </w:rPr>
        <w:footnoteReference w:id="610" w:customMarkFollows="0"/>
      </w:r>
      <w:bookmarkEnd w:id="1008"/>
      <w:r>
        <w:rPr>
          <w:rtl/>
        </w:rPr>
        <w:t xml:space="preserve"> לפי ר׳ </w:t>
      </w:r>
      <w:proofErr w:type="spellStart"/>
      <w:r>
        <w:rPr>
          <w:rtl/>
        </w:rPr>
        <w:t>לייבל</w:t>
      </w:r>
      <w:proofErr w:type="spellEnd"/>
      <w:r>
        <w:rPr>
          <w:rtl/>
        </w:rPr>
        <w:t xml:space="preserve"> </w:t>
      </w:r>
      <w:proofErr w:type="spellStart"/>
      <w:r>
        <w:rPr>
          <w:rtl/>
        </w:rPr>
        <w:t>פרלשטיין</w:t>
      </w:r>
      <w:proofErr w:type="spellEnd"/>
      <w:r>
        <w:rPr>
          <w:rtl/>
        </w:rPr>
        <w:t>, אבי עוד המשיך לבקר מפעם לפעם בבית בני דודו, עד שסיים את ספרייתם.</w:t>
      </w:r>
    </w:p>
    <w:p w14:paraId="687EFAC6" w14:textId="77777777" w:rsidR="00AB3647" w:rsidRDefault="00000000" w:rsidP="007923E9">
      <w:pPr>
        <w:spacing w:after="100" w:line="276" w:lineRule="auto"/>
        <w:ind w:firstLine="340"/>
        <w:jc w:val="both"/>
      </w:pPr>
      <w:r>
        <w:rPr>
          <w:rtl/>
        </w:rPr>
        <w:t xml:space="preserve">הדודה דבורה לא ידעה מתי בדיוק נפלה החלטתו לעבור לשול </w:t>
      </w:r>
      <w:proofErr w:type="spellStart"/>
      <w:r>
        <w:rPr>
          <w:rtl/>
        </w:rPr>
        <w:t>הקצבים</w:t>
      </w:r>
      <w:proofErr w:type="spellEnd"/>
      <w:r>
        <w:rPr>
          <w:rtl/>
        </w:rPr>
        <w:t xml:space="preserve">. אם היה זה אחרי שבא אהרן פינס לביקור בשול </w:t>
      </w:r>
      <w:proofErr w:type="spellStart"/>
      <w:r>
        <w:rPr>
          <w:rtl/>
        </w:rPr>
        <w:t>הקצבים</w:t>
      </w:r>
      <w:proofErr w:type="spellEnd"/>
      <w:r>
        <w:rPr>
          <w:rtl/>
        </w:rPr>
        <w:t xml:space="preserve">, כמסופר בסעיף 3 בפרק זה, בפסקה הפותחת “בשול </w:t>
      </w:r>
      <w:proofErr w:type="spellStart"/>
      <w:r>
        <w:rPr>
          <w:rtl/>
        </w:rPr>
        <w:t>הקצבים</w:t>
      </w:r>
      <w:proofErr w:type="spellEnd"/>
      <w:r>
        <w:rPr>
          <w:rtl/>
        </w:rPr>
        <w:t xml:space="preserve"> התיידד אבי”, נוכל לשער בבטחה שפגישתו של אבי עם ר׳ אהרן הייתה גורם בהחלטתו. ייתכן שהנער סיפר לו כיצד לקחו אותו קרוביו </w:t>
      </w:r>
      <w:proofErr w:type="spellStart"/>
      <w:r>
        <w:rPr>
          <w:rtl/>
        </w:rPr>
        <w:t>לקרינק</w:t>
      </w:r>
      <w:proofErr w:type="spellEnd"/>
      <w:r>
        <w:rPr>
          <w:rtl/>
        </w:rPr>
        <w:t xml:space="preserve"> אחרי שנפטר אביו, הרחק מאחיו ואחיותיו שאינם דתיים (ראה שם, בהמשך), ורבנו החליט שגם הוא חייב להתרחק מקרוביו שסרו מן הדרך.</w:t>
      </w:r>
    </w:p>
    <w:p w14:paraId="6A6764A7" w14:textId="241C9E85"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עד סוף זמן הקיץ של תרס״ד כבר קנה לו אבי די כבוד בישיבת שול </w:t>
      </w:r>
      <w:proofErr w:type="spellStart"/>
      <w:r>
        <w:rPr>
          <w:rtl/>
        </w:rPr>
        <w:t>הקצבים</w:t>
      </w:r>
      <w:proofErr w:type="spellEnd"/>
      <w:r>
        <w:rPr>
          <w:rtl/>
        </w:rPr>
        <w:t xml:space="preserve"> כדי לזכות ב“חזקה”</w:t>
      </w:r>
      <w:bookmarkStart w:id="1009" w:name="b2_ref61"/>
      <w:bookmarkEnd w:id="1009"/>
      <w:r>
        <w:rPr>
          <w:vertAlign w:val="superscript"/>
          <w:rtl/>
        </w:rPr>
        <w:fldChar w:fldCharType="begin" w:dirty="true"/>
      </w:r>
      <w:r>
        <w:rPr>
          <w:vertAlign w:val="superscript"/>
          <w:rtl/>
        </w:rPr>
        <w:instrText xml:space="preserve"> REF b2_note61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61</w:t>
      </w:r>
      <w:r>
        <w:rPr>
          <w:vertAlign w:val="superscript"/>
          <w:rtl/>
        </w:rPr>
        <w:fldChar w:fldCharType="end"/>
      </w:r>
      <w:r>
        <w:rPr>
          <w:rtl/>
        </w:rPr>
        <w:t xml:space="preserve"> מן המעלה הראשונה על המדף שליד התנור – מקום מבוקש בסתיו </w:t>
      </w:r>
      <w:proofErr w:type="spellStart"/>
      <w:r>
        <w:rPr>
          <w:rtl/>
        </w:rPr>
        <w:t>הבלארוסי</w:t>
      </w:r>
      <w:proofErr w:type="spellEnd"/>
      <w:r>
        <w:rPr>
          <w:rtl/>
        </w:rPr>
        <w:t xml:space="preserve"> הקר. בלילה צונן אחד, כשהוסק התנור, נדלקו כלי מיטתו, אך למרבה המזל יצא בלי פגע. במקום הסדין והשמיכה שנשרפו השיג כמה שקים משומשים.</w:t>
      </w:r>
      <w:bookmarkStart w:id="1010" w:name="b2_ref62"/>
      <w:bookmarkEnd w:id="1010"/>
      <w:r>
        <w:rPr>
          <w:vertAlign w:val="superscript"/>
          <w:rtl/>
        </w:rPr>
        <w:fldChar w:fldCharType="begin" w:dirty="true"/>
      </w:r>
      <w:r>
        <w:rPr>
          <w:vertAlign w:val="superscript"/>
          <w:rtl/>
        </w:rPr>
        <w:instrText xml:space="preserve"> REF b2_note62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62</w:t>
      </w:r>
      <w:r>
        <w:rPr>
          <w:vertAlign w:val="superscript"/>
          <w:rtl/>
        </w:rPr>
        <w:fldChar w:fldCharType="end"/>
      </w:r>
      <w:r>
        <w:rPr>
          <w:rtl/>
        </w:rPr>
        <w:t xml:space="preserve"> בחורף של השנה המעוברת שבאה אחר כך למדה הישיבה את כל מסכת יבמות.</w:t>
      </w:r>
      <w:bookmarkStart w:id="1011" w:name="b2_ref63"/>
      <w:bookmarkEnd w:id="1011"/>
      <w:r>
        <w:rPr>
          <w:vertAlign w:val="superscript"/>
          <w:rtl/>
        </w:rPr>
        <w:fldChar w:fldCharType="begin" w:dirty="true"/>
      </w:r>
      <w:r>
        <w:rPr>
          <w:vertAlign w:val="superscript"/>
          <w:rtl/>
        </w:rPr>
        <w:instrText xml:space="preserve"> REF b2_note63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63</w:t>
      </w:r>
      <w:r>
        <w:rPr>
          <w:vertAlign w:val="superscript"/>
          <w:rtl/>
        </w:rPr>
        <w:fldChar w:fldCharType="end"/>
      </w:r>
    </w:p>
    <w:bookmarkStart w:id="1012" w:name="b2_note61"/>
    <w:p w14:paraId="1B8D5BFF" w14:textId="78FA1893" w:rsidR="00AB3647" w:rsidRDefault="00000000" w:rsidP="007923E9">
      <w:pPr>
        <w:spacing w:before="120" w:after="100" w:line="276" w:lineRule="auto"/>
        <w:jc w:val="both"/>
      </w:pPr>
      <w:r>
        <w:fldChar w:fldCharType="begin" w:dirty="true"/>
      </w:r>
      <w:r>
        <w:instrText>HYPERLINK \l "b2_ref61"</w:instrText>
      </w:r>
      <w:r>
        <w:fldChar w:fldCharType="separate"/>
      </w:r>
      <w:r>
        <w:rPr>
          <w:b/>
          <w:bCs/>
          <w:rtl/>
        </w:rPr>
        <w:t>61</w:t>
      </w:r>
      <w:r>
        <w:rPr>
          <w:b/>
          <w:bCs/>
        </w:rPr>
        <w:fldChar w:fldCharType="end"/>
      </w:r>
      <w:bookmarkEnd w:id="1012"/>
      <w:r>
        <w:rPr>
          <w:rtl/>
        </w:rPr>
        <w:t xml:space="preserve"> השווה הערה </w:t>
      </w:r>
      <w:r>
        <w:rPr>
          <w:rtl/>
        </w:rPr>
        <w:fldChar w:fldCharType="begin" w:dirty="true"/>
      </w:r>
      <w:r>
        <w:rPr>
          <w:rtl/>
        </w:rPr>
        <w:instrText xml:space="preserve"> REF b2_note41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41</w:t>
      </w:r>
      <w:r>
        <w:rPr>
          <w:rtl/>
        </w:rPr>
        <w:fldChar w:fldCharType="end"/>
      </w:r>
      <w:r>
        <w:rPr>
          <w:rtl/>
        </w:rPr>
        <w:t xml:space="preserve"> לעיל.</w:t>
      </w:r>
    </w:p>
    <w:bookmarkStart w:id="1013" w:name="b2_note62"/>
    <w:p w14:paraId="190F0CBF" w14:textId="77777777" w:rsidR="00AB3647" w:rsidRDefault="00000000" w:rsidP="007923E9">
      <w:pPr>
        <w:spacing w:before="120" w:after="100" w:line="276" w:lineRule="auto"/>
        <w:jc w:val="both"/>
      </w:pPr>
      <w:r>
        <w:fldChar w:fldCharType="begin" w:dirty="true"/>
      </w:r>
      <w:r>
        <w:instrText>HYPERLINK \l "b2_ref62"</w:instrText>
      </w:r>
      <w:r>
        <w:fldChar w:fldCharType="separate"/>
      </w:r>
      <w:r>
        <w:rPr>
          <w:b/>
          <w:bCs/>
          <w:rtl/>
        </w:rPr>
        <w:t>62</w:t>
      </w:r>
      <w:r>
        <w:rPr>
          <w:b/>
          <w:bCs/>
        </w:rPr>
        <w:fldChar w:fldCharType="end"/>
      </w:r>
      <w:bookmarkEnd w:id="1013"/>
      <w:r>
        <w:rPr>
          <w:rtl/>
        </w:rPr>
        <w:t xml:space="preserve"> כך לפי הדודה דבורה. אני משער שלתקופה זו בחייו התכוון אבי כשהעיר פעם: “אנו מפונקים, ישנים בפיג׳מות. פעם היו אנשים פשוט חולצים את נעליהם וישנים בבגדיהם.”</w:t>
      </w:r>
      <w:bookmarkStart w:id="1014" w:name="_fnr611"/>
      <w:r>
        <w:rPr>
          <w:rStyle w:val="a5"/>
        </w:rPr>
        <w:footnoteReference w:id="611" w:customMarkFollows="0"/>
      </w:r>
      <w:bookmarkEnd w:id="1014"/>
    </w:p>
    <w:bookmarkStart w:id="1015" w:name="b2_note63"/>
    <w:p w14:paraId="7168BD52" w14:textId="77777777" w:rsidR="00AB3647" w:rsidRDefault="00000000" w:rsidP="007923E9">
      <w:pPr>
        <w:spacing w:before="120" w:after="100" w:line="276" w:lineRule="auto"/>
        <w:jc w:val="both"/>
      </w:pPr>
      <w:r>
        <w:fldChar w:fldCharType="begin" w:dirty="true"/>
      </w:r>
      <w:r>
        <w:instrText>HYPERLINK \l "b2_ref63"</w:instrText>
      </w:r>
      <w:r>
        <w:fldChar w:fldCharType="separate"/>
      </w:r>
      <w:r>
        <w:rPr>
          <w:b/>
          <w:bCs/>
          <w:rtl/>
        </w:rPr>
        <w:t>63</w:t>
      </w:r>
      <w:r>
        <w:rPr>
          <w:b/>
          <w:bCs/>
        </w:rPr>
        <w:fldChar w:fldCharType="end"/>
      </w:r>
      <w:bookmarkEnd w:id="1015"/>
      <w:r>
        <w:rPr>
          <w:rtl/>
        </w:rPr>
        <w:t xml:space="preserve"> בני ר׳ יוסף.</w:t>
      </w:r>
      <w:bookmarkStart w:id="1016" w:name="_fnr612"/>
      <w:r>
        <w:rPr>
          <w:rStyle w:val="a5"/>
        </w:rPr>
        <w:footnoteReference w:id="612" w:customMarkFollows="0"/>
      </w:r>
      <w:bookmarkEnd w:id="1016"/>
      <w:r>
        <w:rPr>
          <w:rtl/>
        </w:rPr>
        <w:t xml:space="preserve"> כשסיפר לו אבי זאת השתומם בני, ושאל: “האם עם כל התוספות?” רבנו צחק ואמר: “ודאי שלא. בגיל </w:t>
      </w:r>
      <w:proofErr w:type="spellStart"/>
      <w:r>
        <w:rPr>
          <w:rtl/>
        </w:rPr>
        <w:t>ארבע־עשרה</w:t>
      </w:r>
      <w:proofErr w:type="spellEnd"/>
      <w:r>
        <w:rPr>
          <w:rtl/>
        </w:rPr>
        <w:t xml:space="preserve"> למדנו רק תוספות אחד פה ואחד שם.”</w:t>
      </w:r>
    </w:p>
    <w:p w14:paraId="5A33ECFF" w14:textId="7777777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בתחילת החורף אירעה התפתחות חשובה בחיי אבי. </w:t>
      </w:r>
      <w:proofErr w:type="spellStart"/>
      <w:r>
        <w:rPr>
          <w:rtl/>
        </w:rPr>
        <w:t>אחד־עשר</w:t>
      </w:r>
      <w:proofErr w:type="spellEnd"/>
      <w:r>
        <w:rPr>
          <w:rtl/>
        </w:rPr>
        <w:t xml:space="preserve"> חודשים אחרי שעבר ר׳ </w:t>
      </w:r>
      <w:proofErr w:type="spellStart"/>
      <w:r>
        <w:rPr>
          <w:rtl/>
        </w:rPr>
        <w:t>שמואל־הירש</w:t>
      </w:r>
      <w:proofErr w:type="spellEnd"/>
      <w:r>
        <w:rPr>
          <w:rtl/>
        </w:rPr>
        <w:t xml:space="preserve"> למינסק, החליטו ר׳ בנימין </w:t>
      </w:r>
      <w:proofErr w:type="spellStart"/>
      <w:r>
        <w:rPr>
          <w:rtl/>
        </w:rPr>
        <w:t>ועטיל</w:t>
      </w:r>
      <w:proofErr w:type="spellEnd"/>
      <w:r>
        <w:rPr>
          <w:rtl/>
        </w:rPr>
        <w:t xml:space="preserve"> לעבור גם הם לשם. לא הייתה להם עוד פרנסה שתחזיק אותם </w:t>
      </w:r>
      <w:proofErr w:type="spellStart"/>
      <w:r>
        <w:rPr>
          <w:rtl/>
        </w:rPr>
        <w:t>בדולהינוב</w:t>
      </w:r>
      <w:proofErr w:type="spellEnd"/>
      <w:r>
        <w:rPr>
          <w:rtl/>
        </w:rPr>
        <w:t xml:space="preserve">, והם הבינו שסופם להיאלץ לשלוח את כל ילדיהם לעיר הגדולה. הם הודיעו </w:t>
      </w:r>
      <w:proofErr w:type="spellStart"/>
      <w:r>
        <w:rPr>
          <w:rtl/>
        </w:rPr>
        <w:t>לחיים־זרח</w:t>
      </w:r>
      <w:proofErr w:type="spellEnd"/>
      <w:r>
        <w:rPr>
          <w:rtl/>
        </w:rPr>
        <w:t xml:space="preserve"> על החלטתם, והוא מצא בשבילם בית לשכור ברחוב </w:t>
      </w:r>
      <w:proofErr w:type="spellStart"/>
      <w:r>
        <w:rPr>
          <w:rtl/>
        </w:rPr>
        <w:t>בוגדלניה</w:t>
      </w:r>
      <w:proofErr w:type="spellEnd"/>
      <w:r>
        <w:rPr>
          <w:rtl/>
        </w:rPr>
        <w:t>.</w:t>
      </w:r>
    </w:p>
    <w:p w14:paraId="1517D65F" w14:textId="7777777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lastRenderedPageBreak/>
        <w:t xml:space="preserve">במשך כמעט שנתיים וחצי ששהה אבי בעיר הגדולה לא ראו אותו הוריו, כי לא יכלו לעמוד בהוצאות הנסיעה בין מינסק </w:t>
      </w:r>
      <w:proofErr w:type="spellStart"/>
      <w:r>
        <w:rPr>
          <w:rtl/>
        </w:rPr>
        <w:t>לדולהינוב</w:t>
      </w:r>
      <w:proofErr w:type="spellEnd"/>
      <w:r>
        <w:rPr>
          <w:rtl/>
        </w:rPr>
        <w:t xml:space="preserve"> כדי להביאו הביתה לביקור. הם שמחו לראות כיצד צמח מילד לנער מתבגר. הוא העביר את מעט חפציו מן </w:t>
      </w:r>
      <w:proofErr w:type="spellStart"/>
      <w:r>
        <w:rPr>
          <w:rtl/>
        </w:rPr>
        <w:t>ה“חזקה</w:t>
      </w:r>
      <w:proofErr w:type="spellEnd"/>
      <w:r>
        <w:rPr>
          <w:rtl/>
        </w:rPr>
        <w:t xml:space="preserve">” שלו בשול </w:t>
      </w:r>
      <w:proofErr w:type="spellStart"/>
      <w:r>
        <w:rPr>
          <w:rtl/>
        </w:rPr>
        <w:t>הקצבים</w:t>
      </w:r>
      <w:proofErr w:type="spellEnd"/>
      <w:r>
        <w:rPr>
          <w:rtl/>
        </w:rPr>
        <w:t xml:space="preserve"> לבית הוריו, והשאלה הראשונה ששאלה </w:t>
      </w:r>
      <w:proofErr w:type="spellStart"/>
      <w:r>
        <w:rPr>
          <w:rtl/>
        </w:rPr>
        <w:t>אמו</w:t>
      </w:r>
      <w:proofErr w:type="spellEnd"/>
      <w:r>
        <w:rPr>
          <w:rtl/>
        </w:rPr>
        <w:t xml:space="preserve"> הייתה היכן כלי מיטתו. כשגילה לה שנשרפו באש, פרצה בבכי ויבבה במרירות: “הלא יכולת להיפגע!”</w:t>
      </w:r>
    </w:p>
    <w:p w14:paraId="4E87A4EC" w14:textId="2D8DAB73"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כדי להשתכר כמה רובלים החלה </w:t>
      </w:r>
      <w:proofErr w:type="spellStart"/>
      <w:r>
        <w:rPr>
          <w:rtl/>
        </w:rPr>
        <w:t>עטיל</w:t>
      </w:r>
      <w:proofErr w:type="spellEnd"/>
      <w:r>
        <w:rPr>
          <w:rtl/>
        </w:rPr>
        <w:t xml:space="preserve"> לבשל ארוחות לבני הקהל הגדול של הסטודנטים החילונים שבעיר. מעולם לא דחתה סטודנט, גם אם יכול היה לשלם בעד האוכל רק בכך שנתן שיעור חינם לאחד מילדיה הצעירים. גם </w:t>
      </w:r>
      <w:proofErr w:type="spellStart"/>
      <w:r>
        <w:rPr>
          <w:rtl/>
        </w:rPr>
        <w:t>חיים־זרח</w:t>
      </w:r>
      <w:proofErr w:type="spellEnd"/>
      <w:r>
        <w:rPr>
          <w:rtl/>
        </w:rPr>
        <w:t xml:space="preserve"> חזר לגור בבית ותרם את כל שכרו לקופת המשפחה, וכך גם הבוגרת שבבנות, דבורה, שהתחילה באותו זמן לעבוד כרוקמת.</w:t>
      </w:r>
      <w:bookmarkStart w:id="1017" w:name="b2_ref64"/>
      <w:bookmarkEnd w:id="1017"/>
      <w:r>
        <w:rPr>
          <w:vertAlign w:val="superscript"/>
          <w:rtl/>
        </w:rPr>
        <w:fldChar w:fldCharType="begin" w:dirty="true"/>
      </w:r>
      <w:r>
        <w:rPr>
          <w:vertAlign w:val="superscript"/>
          <w:rtl/>
        </w:rPr>
        <w:instrText xml:space="preserve"> REF b2_note64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64</w:t>
      </w:r>
      <w:r>
        <w:rPr>
          <w:vertAlign w:val="superscript"/>
          <w:rtl/>
        </w:rPr>
        <w:fldChar w:fldCharType="end"/>
      </w:r>
    </w:p>
    <w:bookmarkStart w:id="1018" w:name="b2_note64"/>
    <w:p w14:paraId="44CEC43B" w14:textId="77777777" w:rsidR="00AB3647" w:rsidRDefault="00000000" w:rsidP="007923E9">
      <w:pPr>
        <w:spacing w:before="120" w:after="100" w:line="276" w:lineRule="auto"/>
        <w:jc w:val="both"/>
      </w:pPr>
      <w:r>
        <w:fldChar w:fldCharType="begin" w:dirty="true"/>
      </w:r>
      <w:r>
        <w:instrText>HYPERLINK \l "b2_ref64"</w:instrText>
      </w:r>
      <w:r>
        <w:fldChar w:fldCharType="separate"/>
      </w:r>
      <w:r>
        <w:rPr>
          <w:b/>
          <w:bCs/>
          <w:rtl/>
        </w:rPr>
        <w:t>64</w:t>
      </w:r>
      <w:r>
        <w:rPr>
          <w:b/>
          <w:bCs/>
        </w:rPr>
        <w:fldChar w:fldCharType="end"/>
      </w:r>
      <w:bookmarkEnd w:id="1018"/>
      <w:r>
        <w:rPr>
          <w:rtl/>
        </w:rPr>
        <w:t xml:space="preserve"> הדודה דבורה.</w:t>
      </w:r>
      <w:bookmarkStart w:id="1019" w:name="_fnr613"/>
      <w:r>
        <w:rPr>
          <w:rStyle w:val="a5"/>
        </w:rPr>
        <w:footnoteReference w:id="613" w:customMarkFollows="0"/>
      </w:r>
      <w:bookmarkEnd w:id="1019"/>
    </w:p>
    <w:p w14:paraId="4B4AE4BF" w14:textId="2EF731EC"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אפילו ילדיה הצעירים של משפחת </w:t>
      </w:r>
      <w:proofErr w:type="spellStart"/>
      <w:r>
        <w:rPr>
          <w:rtl/>
        </w:rPr>
        <w:t>קמינצקי</w:t>
      </w:r>
      <w:proofErr w:type="spellEnd"/>
      <w:r>
        <w:rPr>
          <w:rtl/>
        </w:rPr>
        <w:t xml:space="preserve"> ידעו מעצמם שהם עניים בהרבה מקרוביהם שבמינסק, ושמביטים עליהם מלמעלה משום שקיבלו על עצמם עבודות פשוטות.</w:t>
      </w:r>
      <w:bookmarkStart w:id="1020" w:name="b2_ref65"/>
      <w:bookmarkEnd w:id="1020"/>
      <w:r>
        <w:rPr>
          <w:vertAlign w:val="superscript"/>
          <w:rtl/>
        </w:rPr>
        <w:fldChar w:fldCharType="begin" w:dirty="true"/>
      </w:r>
      <w:r>
        <w:rPr>
          <w:vertAlign w:val="superscript"/>
          <w:rtl/>
        </w:rPr>
        <w:instrText xml:space="preserve"> REF b2_note65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65</w:t>
      </w:r>
      <w:r>
        <w:rPr>
          <w:vertAlign w:val="superscript"/>
          <w:rtl/>
        </w:rPr>
        <w:fldChar w:fldCharType="end"/>
      </w:r>
      <w:r>
        <w:rPr>
          <w:rtl/>
        </w:rPr>
        <w:t xml:space="preserve"> ואף על פי כן קינאו הקרובים האמידים בהרבה באווירה ששררה בבית </w:t>
      </w:r>
      <w:r>
        <w:rPr>
          <w:b/>
          <w:bCs/>
          <w:rtl/>
        </w:rPr>
        <w:t xml:space="preserve">משפחת </w:t>
      </w:r>
      <w:proofErr w:type="spellStart"/>
      <w:r>
        <w:rPr>
          <w:b/>
          <w:bCs/>
          <w:rtl/>
        </w:rPr>
        <w:t>קמינצקי</w:t>
      </w:r>
      <w:proofErr w:type="spellEnd"/>
      <w:r>
        <w:rPr>
          <w:rtl/>
        </w:rPr>
        <w:t xml:space="preserve">: </w:t>
      </w:r>
      <w:proofErr w:type="spellStart"/>
      <w:r>
        <w:rPr>
          <w:rtl/>
        </w:rPr>
        <w:t>אי־ציות</w:t>
      </w:r>
      <w:proofErr w:type="spellEnd"/>
      <w:r>
        <w:rPr>
          <w:rtl/>
        </w:rPr>
        <w:t xml:space="preserve"> להורים לא עלה על הדעת, ואפילו מריבות בין הילדים היו נדירות ביותר. אבי ישב בשול </w:t>
      </w:r>
      <w:proofErr w:type="spellStart"/>
      <w:r>
        <w:rPr>
          <w:rtl/>
        </w:rPr>
        <w:t>הקצבים</w:t>
      </w:r>
      <w:proofErr w:type="spellEnd"/>
      <w:r>
        <w:rPr>
          <w:rtl/>
        </w:rPr>
        <w:t xml:space="preserve"> עד שעה מאוחרת בלילה, וחזר הביתה מאוחר מדי לארוחת הערב; </w:t>
      </w:r>
      <w:proofErr w:type="spellStart"/>
      <w:r>
        <w:rPr>
          <w:rtl/>
        </w:rPr>
        <w:t>אמו</w:t>
      </w:r>
      <w:proofErr w:type="spellEnd"/>
      <w:r>
        <w:rPr>
          <w:rtl/>
        </w:rPr>
        <w:t xml:space="preserve"> הייתה מניחה לו קערת תפוחים, או ענבים ותפוזים, שהיו דבר נדיר, כדי שייהנה מהם – והילדים העובדים לא התלוננו. הם לא נגעו בפירות היקרים, אף שעמלם הוא שסיפק את רוב הכנסת הבית. בין אבי ובין אחיו ואחיותיו ניכר קשר חם, למרות הפער שהלך וגדל בין השקפותיהם.</w:t>
      </w:r>
    </w:p>
    <w:bookmarkStart w:id="1021" w:name="b2_note65"/>
    <w:p w14:paraId="13366103" w14:textId="77777777" w:rsidR="00AB3647" w:rsidRDefault="00000000" w:rsidP="007923E9">
      <w:pPr>
        <w:spacing w:before="120" w:after="100" w:line="276" w:lineRule="auto"/>
        <w:jc w:val="both"/>
      </w:pPr>
      <w:r>
        <w:fldChar w:fldCharType="begin" w:dirty="true"/>
      </w:r>
      <w:r>
        <w:instrText>HYPERLINK \l "b2_ref65"</w:instrText>
      </w:r>
      <w:r>
        <w:fldChar w:fldCharType="separate"/>
      </w:r>
      <w:r>
        <w:rPr>
          <w:b/>
          <w:bCs/>
          <w:rtl/>
        </w:rPr>
        <w:t>65</w:t>
      </w:r>
      <w:r>
        <w:rPr>
          <w:b/>
          <w:bCs/>
        </w:rPr>
        <w:fldChar w:fldCharType="end"/>
      </w:r>
      <w:bookmarkEnd w:id="1021"/>
      <w:r>
        <w:rPr>
          <w:rtl/>
        </w:rPr>
        <w:t xml:space="preserve"> הדודה דבורה כתבה:</w:t>
      </w:r>
      <w:bookmarkStart w:id="1022" w:name="_fnr614"/>
      <w:r>
        <w:rPr>
          <w:rStyle w:val="a5"/>
        </w:rPr>
        <w:footnoteReference w:id="614" w:customMarkFollows="0"/>
      </w:r>
      <w:bookmarkEnd w:id="1022"/>
      <w:r>
        <w:rPr>
          <w:rtl/>
        </w:rPr>
        <w:t xml:space="preserve"> “כשהייתי מבקרת אצל דודתנו העשירה, דבורה [</w:t>
      </w:r>
      <w:proofErr w:type="spellStart"/>
      <w:r>
        <w:rPr>
          <w:rtl/>
        </w:rPr>
        <w:t>במדס</w:t>
      </w:r>
      <w:proofErr w:type="spellEnd"/>
      <w:r>
        <w:rPr>
          <w:rtl/>
        </w:rPr>
        <w:t xml:space="preserve">], באותו זמן שביקרה שם בת דודי שהייתה בת גילי, היו מכבדים את האורחת האחרת הרבה יותר ממני; לכן חדלתי לבקר שם.” לא הפתיע אותה לגמרי שאחיה הצעיר, יודל, נעשה קומוניסט נלהב בגיל </w:t>
      </w:r>
      <w:proofErr w:type="spellStart"/>
      <w:r>
        <w:rPr>
          <w:rtl/>
        </w:rPr>
        <w:t>שמונה־עשרה</w:t>
      </w:r>
      <w:proofErr w:type="spellEnd"/>
      <w:r>
        <w:rPr>
          <w:rtl/>
        </w:rPr>
        <w:t>, והאמין בתמימות שהוא נלחם לבנות עולם צודק על חורבות הסדר הישן. בפגישתי עם הדודה דבורה סיפרה לי שהיא, “הנאמנה לכל שלטון שהיה באותה עת”,</w:t>
      </w:r>
      <w:bookmarkStart w:id="1023" w:name="_fnr615"/>
      <w:r>
        <w:rPr>
          <w:rStyle w:val="a5"/>
        </w:rPr>
        <w:footnoteReference w:id="615" w:customMarkFollows="0"/>
      </w:r>
      <w:bookmarkEnd w:id="1023"/>
      <w:r>
        <w:rPr>
          <w:rtl/>
        </w:rPr>
        <w:t xml:space="preserve"> הזהירה את יודל לפני הפלת המלוכה: “יום אחד עוד נמצא את עצמנו נלחמים משני צדי המתרסים.”</w:t>
      </w:r>
    </w:p>
    <w:p w14:paraId="2834599A" w14:textId="0C3FEF23"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בשול </w:t>
      </w:r>
      <w:proofErr w:type="spellStart"/>
      <w:r>
        <w:rPr>
          <w:rtl/>
        </w:rPr>
        <w:t>הקצבים</w:t>
      </w:r>
      <w:proofErr w:type="spellEnd"/>
      <w:r>
        <w:rPr>
          <w:rtl/>
        </w:rPr>
        <w:t xml:space="preserve"> התיידד אבי עם נער מבריק מאוד שבא לשם לתקופת ביקור בתחילת שנת תרס״ה. היה זה היתום אהרן פינס,</w:t>
      </w:r>
      <w:bookmarkStart w:id="1024" w:name="b2_ref66"/>
      <w:bookmarkEnd w:id="1024"/>
      <w:r>
        <w:rPr>
          <w:vertAlign w:val="superscript"/>
          <w:rtl/>
        </w:rPr>
        <w:fldChar w:fldCharType="begin" w:dirty="true"/>
      </w:r>
      <w:r>
        <w:rPr>
          <w:vertAlign w:val="superscript"/>
          <w:rtl/>
        </w:rPr>
        <w:instrText xml:space="preserve"> REF b2_note66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66</w:t>
      </w:r>
      <w:r>
        <w:rPr>
          <w:vertAlign w:val="superscript"/>
          <w:rtl/>
        </w:rPr>
        <w:fldChar w:fldCharType="end"/>
      </w:r>
      <w:r>
        <w:rPr>
          <w:rtl/>
        </w:rPr>
        <w:t xml:space="preserve"> הצעיר ממנו בעשרה חודשים,</w:t>
      </w:r>
      <w:bookmarkStart w:id="1025" w:name="b2_ref67"/>
      <w:bookmarkEnd w:id="1025"/>
      <w:r>
        <w:rPr>
          <w:vertAlign w:val="superscript"/>
          <w:rtl/>
        </w:rPr>
        <w:fldChar w:fldCharType="begin" w:dirty="true"/>
      </w:r>
      <w:r>
        <w:rPr>
          <w:vertAlign w:val="superscript"/>
          <w:rtl/>
        </w:rPr>
        <w:instrText xml:space="preserve"> REF b2_note67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67</w:t>
      </w:r>
      <w:r>
        <w:rPr>
          <w:vertAlign w:val="superscript"/>
          <w:rtl/>
        </w:rPr>
        <w:fldChar w:fldCharType="end"/>
      </w:r>
      <w:r>
        <w:rPr>
          <w:rtl/>
        </w:rPr>
        <w:t xml:space="preserve"> ורבנו היה מביא אותו לביתו לארוחה קבועה ולפעמים למשחק שחמט.</w:t>
      </w:r>
      <w:bookmarkStart w:id="1026" w:name="b2_ref68"/>
      <w:bookmarkEnd w:id="1026"/>
      <w:r>
        <w:rPr>
          <w:vertAlign w:val="superscript"/>
          <w:rtl/>
        </w:rPr>
        <w:fldChar w:fldCharType="begin" w:dirty="true"/>
      </w:r>
      <w:r>
        <w:rPr>
          <w:vertAlign w:val="superscript"/>
          <w:rtl/>
        </w:rPr>
        <w:instrText xml:space="preserve"> REF b2_note68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68</w:t>
      </w:r>
      <w:r>
        <w:rPr>
          <w:vertAlign w:val="superscript"/>
          <w:rtl/>
        </w:rPr>
        <w:fldChar w:fldCharType="end"/>
      </w:r>
      <w:r>
        <w:rPr>
          <w:rtl/>
        </w:rPr>
        <w:t xml:space="preserve"> אהרן היה יתום מאביו ומאמו:</w:t>
      </w:r>
      <w:bookmarkStart w:id="1027" w:name="b2_ref69"/>
      <w:bookmarkEnd w:id="1027"/>
      <w:r>
        <w:rPr>
          <w:vertAlign w:val="superscript"/>
          <w:rtl/>
        </w:rPr>
        <w:fldChar w:fldCharType="begin" w:dirty="true"/>
      </w:r>
      <w:r>
        <w:rPr>
          <w:vertAlign w:val="superscript"/>
          <w:rtl/>
        </w:rPr>
        <w:instrText xml:space="preserve"> REF b2_note69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69</w:t>
      </w:r>
      <w:r>
        <w:rPr>
          <w:vertAlign w:val="superscript"/>
          <w:rtl/>
        </w:rPr>
        <w:fldChar w:fldCharType="end"/>
      </w:r>
      <w:r>
        <w:rPr>
          <w:rtl/>
        </w:rPr>
        <w:t xml:space="preserve"> </w:t>
      </w:r>
      <w:proofErr w:type="spellStart"/>
      <w:r>
        <w:rPr>
          <w:rtl/>
        </w:rPr>
        <w:t>אמו</w:t>
      </w:r>
      <w:proofErr w:type="spellEnd"/>
      <w:r>
        <w:rPr>
          <w:rtl/>
        </w:rPr>
        <w:t xml:space="preserve"> </w:t>
      </w:r>
      <w:r>
        <w:rPr>
          <w:rtl/>
        </w:rPr>
        <w:lastRenderedPageBreak/>
        <w:t xml:space="preserve">נפטרה כשהיה בן שלוש, ואביו, ר׳ </w:t>
      </w:r>
      <w:proofErr w:type="spellStart"/>
      <w:r>
        <w:rPr>
          <w:rtl/>
        </w:rPr>
        <w:t>שניאור־זלמן</w:t>
      </w:r>
      <w:proofErr w:type="spellEnd"/>
      <w:r>
        <w:rPr>
          <w:rtl/>
        </w:rPr>
        <w:t xml:space="preserve"> פינס, רב סיסלוביץ׳,</w:t>
      </w:r>
      <w:bookmarkStart w:id="1028" w:name="b2_ref70"/>
      <w:bookmarkEnd w:id="1028"/>
      <w:r>
        <w:rPr>
          <w:vertAlign w:val="superscript"/>
          <w:rtl/>
        </w:rPr>
        <w:fldChar w:fldCharType="begin" w:dirty="true"/>
      </w:r>
      <w:r>
        <w:rPr>
          <w:vertAlign w:val="superscript"/>
          <w:rtl/>
        </w:rPr>
        <w:instrText xml:space="preserve"> REF b2_note70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70</w:t>
      </w:r>
      <w:r>
        <w:rPr>
          <w:vertAlign w:val="superscript"/>
          <w:rtl/>
        </w:rPr>
        <w:fldChar w:fldCharType="end"/>
      </w:r>
      <w:r>
        <w:rPr>
          <w:rtl/>
        </w:rPr>
        <w:t xml:space="preserve"> כשהיה בן אחת־עשרה.</w:t>
      </w:r>
      <w:bookmarkStart w:id="1029" w:name="b2_ref71"/>
      <w:bookmarkEnd w:id="1029"/>
      <w:r>
        <w:rPr>
          <w:vertAlign w:val="superscript"/>
          <w:rtl/>
        </w:rPr>
        <w:fldChar w:fldCharType="begin" w:dirty="true"/>
      </w:r>
      <w:r>
        <w:rPr>
          <w:vertAlign w:val="superscript"/>
          <w:rtl/>
        </w:rPr>
        <w:instrText xml:space="preserve"> REF b2_note71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71</w:t>
      </w:r>
      <w:r>
        <w:rPr>
          <w:vertAlign w:val="superscript"/>
          <w:rtl/>
        </w:rPr>
        <w:fldChar w:fldCharType="end"/>
      </w:r>
      <w:r>
        <w:rPr>
          <w:rtl/>
        </w:rPr>
        <w:t xml:space="preserve"> מיד כשהתייתם החליטו קרובי אביו לשלוח אותו מן הבית, כדי לגונן עליו מפני השפעתם המשחיתה של שני אחיו ואחותו הבוגרים ממנו שעזבו את הדת. כמו בבתים יהודיים רבים, ואפילו בבתי רבנים, גבתה ההשכלה את </w:t>
      </w:r>
      <w:proofErr w:type="spellStart"/>
      <w:r>
        <w:rPr>
          <w:rtl/>
        </w:rPr>
        <w:t>קרבנותיה</w:t>
      </w:r>
      <w:proofErr w:type="spellEnd"/>
      <w:r>
        <w:rPr>
          <w:rtl/>
        </w:rPr>
        <w:t xml:space="preserve"> גם בבית פינס.</w:t>
      </w:r>
      <w:bookmarkStart w:id="1030" w:name="b2_ref72"/>
      <w:bookmarkEnd w:id="1030"/>
      <w:r>
        <w:rPr>
          <w:vertAlign w:val="superscript"/>
          <w:rtl/>
        </w:rPr>
        <w:fldChar w:fldCharType="begin" w:dirty="true"/>
      </w:r>
      <w:r>
        <w:rPr>
          <w:vertAlign w:val="superscript"/>
          <w:rtl/>
        </w:rPr>
        <w:instrText xml:space="preserve"> REF b2_note72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72</w:t>
      </w:r>
      <w:r>
        <w:rPr>
          <w:vertAlign w:val="superscript"/>
          <w:rtl/>
        </w:rPr>
        <w:fldChar w:fldCharType="end"/>
      </w:r>
    </w:p>
    <w:bookmarkStart w:id="1031" w:name="b2_note66"/>
    <w:p w14:paraId="7B5E348B" w14:textId="77777777" w:rsidR="00AB3647" w:rsidRDefault="00000000" w:rsidP="007923E9">
      <w:pPr>
        <w:spacing w:before="120" w:after="100" w:line="276" w:lineRule="auto"/>
        <w:jc w:val="both"/>
      </w:pPr>
      <w:r>
        <w:fldChar w:fldCharType="begin" w:dirty="true"/>
      </w:r>
      <w:r>
        <w:instrText>HYPERLINK \l "b2_ref66"</w:instrText>
      </w:r>
      <w:r>
        <w:fldChar w:fldCharType="separate"/>
      </w:r>
      <w:r>
        <w:rPr>
          <w:b/>
          <w:bCs/>
          <w:rtl/>
        </w:rPr>
        <w:t>66</w:t>
      </w:r>
      <w:r>
        <w:rPr>
          <w:b/>
          <w:bCs/>
        </w:rPr>
        <w:fldChar w:fldCharType="end"/>
      </w:r>
      <w:bookmarkEnd w:id="1031"/>
      <w:r>
        <w:rPr>
          <w:rtl/>
        </w:rPr>
        <w:t xml:space="preserve"> זהו ר׳ אהרן קוטלר המפורסם. שם משפחתו שונה מאוחר יותר בהשתדלות חותנו לעתיד, ר׳ </w:t>
      </w:r>
      <w:proofErr w:type="spellStart"/>
      <w:r>
        <w:rPr>
          <w:rtl/>
        </w:rPr>
        <w:t>איסר־זלמן</w:t>
      </w:r>
      <w:proofErr w:type="spellEnd"/>
      <w:r>
        <w:rPr>
          <w:rtl/>
        </w:rPr>
        <w:t xml:space="preserve"> מלצר,</w:t>
      </w:r>
      <w:bookmarkStart w:id="1032" w:name="_fnr616"/>
      <w:r>
        <w:rPr>
          <w:rStyle w:val="a5"/>
        </w:rPr>
        <w:footnoteReference w:id="616" w:customMarkFollows="0"/>
      </w:r>
      <w:bookmarkEnd w:id="1032"/>
      <w:r>
        <w:rPr>
          <w:rtl/>
        </w:rPr>
        <w:t xml:space="preserve"> כדי להשתמט מגיוס לצבא הצאר.</w:t>
      </w:r>
    </w:p>
    <w:p w14:paraId="6812C343" w14:textId="77777777" w:rsidR="00AB3647" w:rsidRDefault="00000000" w:rsidP="007923E9">
      <w:pPr>
        <w:spacing w:after="100" w:line="276" w:lineRule="auto"/>
        <w:ind w:firstLine="340"/>
        <w:jc w:val="both"/>
      </w:pPr>
      <w:r>
        <w:rPr>
          <w:rtl/>
        </w:rPr>
        <w:t xml:space="preserve">החלפת זהות – קבלת שמו ודרכונו של אדם הפטור מגיוס – הייתה תחבולה מקובלת להשתמטות מן הצבא בתקופה שלפני מלחמת העולם הראשונה. בהערת אגב בשיעור הדף היומי שלמד אבי עם כמה תלמידים, שהוקלטה בז׳ בשבט תשל״ו, הזכיר אבי ששר רוסי שאל פעם את ר׳ </w:t>
      </w:r>
      <w:proofErr w:type="spellStart"/>
      <w:r>
        <w:rPr>
          <w:rtl/>
        </w:rPr>
        <w:t>צבי־הירש</w:t>
      </w:r>
      <w:proofErr w:type="spellEnd"/>
      <w:r>
        <w:rPr>
          <w:rtl/>
        </w:rPr>
        <w:t xml:space="preserve"> </w:t>
      </w:r>
      <w:proofErr w:type="spellStart"/>
      <w:r>
        <w:rPr>
          <w:rtl/>
        </w:rPr>
        <w:t>רבינוביץ</w:t>
      </w:r>
      <w:proofErr w:type="spellEnd"/>
      <w:r>
        <w:rPr>
          <w:rtl/>
        </w:rPr>
        <w:t xml:space="preserve">, בנו וממלא מקומו של ר׳ </w:t>
      </w:r>
      <w:proofErr w:type="spellStart"/>
      <w:r>
        <w:rPr>
          <w:rtl/>
        </w:rPr>
        <w:t>יצחק־אלחנן</w:t>
      </w:r>
      <w:proofErr w:type="spellEnd"/>
      <w:r>
        <w:rPr>
          <w:rtl/>
        </w:rPr>
        <w:t xml:space="preserve"> </w:t>
      </w:r>
      <w:proofErr w:type="spellStart"/>
      <w:r>
        <w:rPr>
          <w:rtl/>
        </w:rPr>
        <w:t>ספקטור</w:t>
      </w:r>
      <w:proofErr w:type="spellEnd"/>
      <w:r>
        <w:rPr>
          <w:rtl/>
        </w:rPr>
        <w:t>,</w:t>
      </w:r>
      <w:bookmarkStart w:id="1033" w:name="_fnr617"/>
      <w:r>
        <w:rPr>
          <w:rStyle w:val="a5"/>
        </w:rPr>
        <w:footnoteReference w:id="617" w:customMarkFollows="0"/>
      </w:r>
      <w:bookmarkEnd w:id="1033"/>
      <w:r>
        <w:rPr>
          <w:rtl/>
        </w:rPr>
        <w:t xml:space="preserve"> מדוע אינו נקרא </w:t>
      </w:r>
      <w:proofErr w:type="spellStart"/>
      <w:r>
        <w:rPr>
          <w:rtl/>
        </w:rPr>
        <w:t>ספקטור</w:t>
      </w:r>
      <w:proofErr w:type="spellEnd"/>
      <w:r>
        <w:rPr>
          <w:rtl/>
        </w:rPr>
        <w:t xml:space="preserve"> כאביו. “מאחר שלא יכול היה לומר, כפי האמת, שהסיבה היא הגיוס,” אמר אבי, “השיב שמאחר שאביו היה גדול הרבנים שבדור, הוא נקרא </w:t>
      </w:r>
      <w:proofErr w:type="spellStart"/>
      <w:r>
        <w:rPr>
          <w:rtl/>
        </w:rPr>
        <w:t>רבינוביץ</w:t>
      </w:r>
      <w:proofErr w:type="spellEnd"/>
      <w:r>
        <w:rPr>
          <w:rtl/>
        </w:rPr>
        <w:t>, ‘בן [ה]רב’ ברוסית.”</w:t>
      </w:r>
    </w:p>
    <w:bookmarkStart w:id="1034" w:name="b2_note67"/>
    <w:p w14:paraId="32D9CA77" w14:textId="77777777" w:rsidR="00AB3647" w:rsidRDefault="00000000" w:rsidP="007923E9">
      <w:pPr>
        <w:spacing w:before="120" w:after="100" w:line="276" w:lineRule="auto"/>
        <w:jc w:val="both"/>
      </w:pPr>
      <w:r>
        <w:fldChar w:fldCharType="begin" w:dirty="true"/>
      </w:r>
      <w:r>
        <w:instrText>HYPERLINK \l "b2_ref67"</w:instrText>
      </w:r>
      <w:r>
        <w:fldChar w:fldCharType="separate"/>
      </w:r>
      <w:r>
        <w:rPr>
          <w:b/>
          <w:bCs/>
          <w:rtl/>
        </w:rPr>
        <w:t>67</w:t>
      </w:r>
      <w:r>
        <w:rPr>
          <w:b/>
          <w:bCs/>
        </w:rPr>
        <w:fldChar w:fldCharType="end"/>
      </w:r>
      <w:bookmarkEnd w:id="1034"/>
      <w:r>
        <w:rPr>
          <w:rtl/>
        </w:rPr>
        <w:t xml:space="preserve"> את הפרש הגילים המדויק הזה הזכיר אבי פעמים רבות.</w:t>
      </w:r>
    </w:p>
    <w:bookmarkStart w:id="1035" w:name="b2_note68"/>
    <w:p w14:paraId="68390B00" w14:textId="77777777" w:rsidR="00AB3647" w:rsidRDefault="00000000" w:rsidP="007923E9">
      <w:pPr>
        <w:spacing w:before="120" w:after="100" w:line="276" w:lineRule="auto"/>
        <w:jc w:val="both"/>
      </w:pPr>
      <w:r>
        <w:fldChar w:fldCharType="begin" w:dirty="true"/>
      </w:r>
      <w:r>
        <w:instrText>HYPERLINK \l "b2_ref68"</w:instrText>
      </w:r>
      <w:r>
        <w:fldChar w:fldCharType="separate"/>
      </w:r>
      <w:r>
        <w:rPr>
          <w:b/>
          <w:bCs/>
          <w:rtl/>
        </w:rPr>
        <w:t>68</w:t>
      </w:r>
      <w:r>
        <w:rPr>
          <w:b/>
          <w:bCs/>
        </w:rPr>
        <w:fldChar w:fldCharType="end"/>
      </w:r>
      <w:bookmarkEnd w:id="1035"/>
      <w:r>
        <w:rPr>
          <w:rtl/>
        </w:rPr>
        <w:t xml:space="preserve"> ר׳ ישראל ברגר</w:t>
      </w:r>
      <w:bookmarkStart w:id="1036" w:name="_fnr618"/>
      <w:r>
        <w:rPr>
          <w:rStyle w:val="a5"/>
        </w:rPr>
        <w:footnoteReference w:id="618" w:customMarkFollows="0"/>
      </w:r>
      <w:bookmarkEnd w:id="1036"/>
      <w:r>
        <w:rPr>
          <w:rtl/>
        </w:rPr>
        <w:t xml:space="preserve"> סיפר שאחרי פטירתו של ר׳ אהרן העיר אבי: “שיחקנו יחד כשהיינו ילדים.” תלמיד אחר, ר׳ צבי </w:t>
      </w:r>
      <w:proofErr w:type="spellStart"/>
      <w:r>
        <w:rPr>
          <w:rtl/>
        </w:rPr>
        <w:t>טרס</w:t>
      </w:r>
      <w:proofErr w:type="spellEnd"/>
      <w:r>
        <w:rPr>
          <w:rtl/>
        </w:rPr>
        <w:t>, סיפר</w:t>
      </w:r>
      <w:bookmarkStart w:id="1037" w:name="_fnr619"/>
      <w:r>
        <w:rPr>
          <w:rStyle w:val="a5"/>
        </w:rPr>
        <w:footnoteReference w:id="619" w:customMarkFollows="0"/>
      </w:r>
      <w:bookmarkEnd w:id="1037"/>
      <w:r>
        <w:rPr>
          <w:rtl/>
        </w:rPr>
        <w:t xml:space="preserve"> ששאל את רבנו אם למד בילדותו בחברותא עם ר׳ אהרן קוטלר, והוא השיב: “לא, רק שיחקתי </w:t>
      </w:r>
      <w:proofErr w:type="spellStart"/>
      <w:r>
        <w:rPr>
          <w:rtl/>
        </w:rPr>
        <w:t>איתו</w:t>
      </w:r>
      <w:proofErr w:type="spellEnd"/>
      <w:r>
        <w:rPr>
          <w:rtl/>
        </w:rPr>
        <w:t xml:space="preserve"> שחמט.” אבי התכוון רק לתקופת מינסק, כשעוד היו “ילדים”.</w:t>
      </w:r>
      <w:bookmarkStart w:id="1038" w:name="_fnr620"/>
      <w:r>
        <w:rPr>
          <w:rStyle w:val="a5"/>
        </w:rPr>
        <w:footnoteReference w:id="620" w:customMarkFollows="0"/>
      </w:r>
      <w:bookmarkEnd w:id="1038"/>
    </w:p>
    <w:p w14:paraId="6F67DBAF" w14:textId="77777777" w:rsidR="00AB3647" w:rsidRDefault="00000000" w:rsidP="007923E9">
      <w:pPr>
        <w:spacing w:after="100" w:line="276" w:lineRule="auto"/>
        <w:ind w:firstLine="340"/>
        <w:jc w:val="both"/>
      </w:pPr>
      <w:r>
        <w:rPr>
          <w:rtl/>
        </w:rPr>
        <w:t xml:space="preserve">בהספדו על ר׳ אהרן סיפר אבי על הפעם הראשונה שראתה </w:t>
      </w:r>
      <w:proofErr w:type="spellStart"/>
      <w:r>
        <w:rPr>
          <w:rtl/>
        </w:rPr>
        <w:t>אמו</w:t>
      </w:r>
      <w:proofErr w:type="spellEnd"/>
      <w:r>
        <w:rPr>
          <w:rtl/>
        </w:rPr>
        <w:t xml:space="preserve"> את הנער בביתה, כשעוד לא הגיע לגיל בר מצווה. היא התפעלה כל כך ממראהו של חבר בנה, שלקחה את אבי הצדה ושאלה: “בני, מי הוא הילד הקטן הזה? די שכינה רוהט </w:t>
      </w:r>
      <w:proofErr w:type="spellStart"/>
      <w:r>
        <w:rPr>
          <w:rtl/>
        </w:rPr>
        <w:t>אויף</w:t>
      </w:r>
      <w:proofErr w:type="spellEnd"/>
      <w:r>
        <w:rPr>
          <w:rtl/>
        </w:rPr>
        <w:t xml:space="preserve"> </w:t>
      </w:r>
      <w:proofErr w:type="spellStart"/>
      <w:r>
        <w:rPr>
          <w:rtl/>
        </w:rPr>
        <w:t>אים</w:t>
      </w:r>
      <w:proofErr w:type="spellEnd"/>
      <w:r>
        <w:rPr>
          <w:rtl/>
        </w:rPr>
        <w:t xml:space="preserve"> [השכינה שורה עליו]!” ר׳ </w:t>
      </w:r>
      <w:proofErr w:type="spellStart"/>
      <w:r>
        <w:rPr>
          <w:rtl/>
        </w:rPr>
        <w:t>ליפא</w:t>
      </w:r>
      <w:proofErr w:type="spellEnd"/>
      <w:r>
        <w:rPr>
          <w:rtl/>
        </w:rPr>
        <w:t xml:space="preserve"> </w:t>
      </w:r>
      <w:proofErr w:type="spellStart"/>
      <w:r>
        <w:rPr>
          <w:rtl/>
        </w:rPr>
        <w:t>גלדוורט</w:t>
      </w:r>
      <w:proofErr w:type="spellEnd"/>
      <w:r>
        <w:rPr>
          <w:rtl/>
        </w:rPr>
        <w:t xml:space="preserve"> מסר</w:t>
      </w:r>
      <w:bookmarkStart w:id="1039" w:name="_fnr621"/>
      <w:r>
        <w:rPr>
          <w:rStyle w:val="a5"/>
        </w:rPr>
        <w:footnoteReference w:id="621" w:customMarkFollows="0"/>
      </w:r>
      <w:bookmarkEnd w:id="1039"/>
      <w:r>
        <w:rPr>
          <w:rtl/>
        </w:rPr>
        <w:t xml:space="preserve"> שאבי ציין במדויק מתי אירע הדבר: “כשאני כבר הייתי בר מצווה, ור׳ אהרן עוד לא.” היה זה זמן קצר אחרי שעברו הורי אבי למינסק, בתקופת שהותו הקצרה של ר׳ אהרן במינסק לפני שנסע </w:t>
      </w:r>
      <w:proofErr w:type="spellStart"/>
      <w:r>
        <w:rPr>
          <w:rtl/>
        </w:rPr>
        <w:t>לסלבודקה</w:t>
      </w:r>
      <w:proofErr w:type="spellEnd"/>
      <w:r>
        <w:rPr>
          <w:rtl/>
        </w:rPr>
        <w:t>, כמסופר להלן בנספח ד.</w:t>
      </w:r>
    </w:p>
    <w:p w14:paraId="7E63BCDC" w14:textId="77777777" w:rsidR="00AB3647" w:rsidRDefault="00000000" w:rsidP="007923E9">
      <w:pPr>
        <w:spacing w:after="100" w:line="276" w:lineRule="auto"/>
        <w:ind w:firstLine="340"/>
        <w:jc w:val="both"/>
      </w:pPr>
      <w:r>
        <w:rPr>
          <w:rtl/>
        </w:rPr>
        <w:t>אחרי שלא ראו זה את זה יותר מעשרים ושמונה שנים, נפגשו אבי ור׳ אהרן בשנת תש״א במעלית שעלתה למשרדי “עזרת תורה” ברחוב נסאו בניו יורק, ואבי הכיר את ר׳ אהרן לפני שזה הכיר אותו. לימים אמר אבי שמראהו המיוחד של ר׳ אהרן הסגיר אותו.</w:t>
      </w:r>
      <w:bookmarkStart w:id="1040" w:name="_fnr622"/>
      <w:r>
        <w:rPr>
          <w:rStyle w:val="a5"/>
        </w:rPr>
        <w:footnoteReference w:id="622" w:customMarkFollows="0"/>
      </w:r>
      <w:bookmarkEnd w:id="1040"/>
    </w:p>
    <w:bookmarkStart w:id="1041" w:name="b2_note69"/>
    <w:p w14:paraId="53514087" w14:textId="77777777" w:rsidR="00AB3647" w:rsidRDefault="00000000" w:rsidP="007923E9">
      <w:pPr>
        <w:spacing w:before="120" w:after="100" w:line="276" w:lineRule="auto"/>
        <w:jc w:val="both"/>
      </w:pPr>
      <w:r>
        <w:lastRenderedPageBreak/>
        <w:fldChar w:fldCharType="begin" w:dirty="true"/>
      </w:r>
      <w:r>
        <w:instrText>HYPERLINK \l "b2_ref69"</w:instrText>
      </w:r>
      <w:r>
        <w:fldChar w:fldCharType="separate"/>
      </w:r>
      <w:r>
        <w:rPr>
          <w:b/>
          <w:bCs/>
          <w:rtl/>
        </w:rPr>
        <w:t>69</w:t>
      </w:r>
      <w:r>
        <w:rPr>
          <w:b/>
          <w:bCs/>
        </w:rPr>
        <w:fldChar w:fldCharType="end"/>
      </w:r>
      <w:bookmarkEnd w:id="1041"/>
      <w:r>
        <w:rPr>
          <w:rtl/>
        </w:rPr>
        <w:t xml:space="preserve"> התייתמות משני ההורים הייתה שכיחה דיה ברוסיה היהודית לפני מאה שנה כדי שתזכה לביטוי משלה: ילד אומלל כזה לא נקרא “יתום שלם” אלא “א </w:t>
      </w:r>
      <w:proofErr w:type="spellStart"/>
      <w:r>
        <w:rPr>
          <w:rtl/>
        </w:rPr>
        <w:t>קיילעכדיגער</w:t>
      </w:r>
      <w:proofErr w:type="spellEnd"/>
      <w:r>
        <w:rPr>
          <w:rtl/>
        </w:rPr>
        <w:t xml:space="preserve"> יתום” [יתום </w:t>
      </w:r>
      <w:r>
        <w:rPr>
          <w:b/>
          <w:bCs/>
          <w:rtl/>
        </w:rPr>
        <w:t>עגול</w:t>
      </w:r>
      <w:r>
        <w:rPr>
          <w:rtl/>
        </w:rPr>
        <w:t>] – וכך כינה אבי את אהרן פינס הצעיר.</w:t>
      </w:r>
    </w:p>
    <w:bookmarkStart w:id="1042" w:name="b2_note70"/>
    <w:p w14:paraId="6F255794" w14:textId="77777777" w:rsidR="00AB3647" w:rsidRDefault="00000000" w:rsidP="007923E9">
      <w:pPr>
        <w:spacing w:before="120" w:after="100" w:line="276" w:lineRule="auto"/>
        <w:jc w:val="both"/>
      </w:pPr>
      <w:r>
        <w:fldChar w:fldCharType="begin" w:dirty="true"/>
      </w:r>
      <w:r>
        <w:instrText>HYPERLINK \l "b2_ref70"</w:instrText>
      </w:r>
      <w:r>
        <w:fldChar w:fldCharType="separate"/>
      </w:r>
      <w:r>
        <w:rPr>
          <w:b/>
          <w:bCs/>
          <w:rtl/>
        </w:rPr>
        <w:t>70</w:t>
      </w:r>
      <w:r>
        <w:rPr>
          <w:b/>
          <w:bCs/>
        </w:rPr>
        <w:fldChar w:fldCharType="end"/>
      </w:r>
      <w:bookmarkEnd w:id="1042"/>
      <w:r>
        <w:rPr>
          <w:rtl/>
        </w:rPr>
        <w:t xml:space="preserve"> שמה הרשמי של העיר היה </w:t>
      </w:r>
      <w:proofErr w:type="spellStart"/>
      <w:r>
        <w:rPr>
          <w:rtl/>
        </w:rPr>
        <w:t>סביסלוץ</w:t>
      </w:r>
      <w:proofErr w:type="spellEnd"/>
      <w:r>
        <w:rPr>
          <w:rtl/>
        </w:rPr>
        <w:t xml:space="preserve">׳, אבל היהודים קראו לה </w:t>
      </w:r>
      <w:proofErr w:type="spellStart"/>
      <w:r>
        <w:rPr>
          <w:rtl/>
        </w:rPr>
        <w:t>סיסלוביץ</w:t>
      </w:r>
      <w:proofErr w:type="spellEnd"/>
      <w:r>
        <w:rPr>
          <w:rtl/>
        </w:rPr>
        <w:t xml:space="preserve">׳ – שמה ביידיש היה בעצם </w:t>
      </w:r>
      <w:proofErr w:type="spellStart"/>
      <w:r>
        <w:rPr>
          <w:rtl/>
        </w:rPr>
        <w:t>שטשיסלוביץ</w:t>
      </w:r>
      <w:proofErr w:type="spellEnd"/>
      <w:r>
        <w:rPr>
          <w:rtl/>
        </w:rPr>
        <w:t xml:space="preserve">׳, לפי </w:t>
      </w:r>
      <w:proofErr w:type="spellStart"/>
      <w:r>
        <w:rPr>
          <w:rtl/>
        </w:rPr>
        <w:t>שאשקעס</w:t>
      </w:r>
      <w:proofErr w:type="spellEnd"/>
      <w:r>
        <w:rPr>
          <w:rtl/>
        </w:rPr>
        <w:t>,</w:t>
      </w:r>
      <w:bookmarkStart w:id="1043" w:name="_fnr623"/>
      <w:r>
        <w:rPr>
          <w:rStyle w:val="a5"/>
        </w:rPr>
        <w:footnoteReference w:id="623" w:customMarkFollows="0"/>
      </w:r>
      <w:bookmarkEnd w:id="1043"/>
      <w:r>
        <w:rPr>
          <w:rtl/>
        </w:rPr>
        <w:t xml:space="preserve"> אלא שביידיש הליטאית הומר הצליל “ש” ב“ס”, ועל ידי כך נעשה השם </w:t>
      </w:r>
      <w:proofErr w:type="spellStart"/>
      <w:r>
        <w:rPr>
          <w:rtl/>
        </w:rPr>
        <w:t>סטסיסלוביץ</w:t>
      </w:r>
      <w:proofErr w:type="spellEnd"/>
      <w:r>
        <w:rPr>
          <w:rtl/>
        </w:rPr>
        <w:t xml:space="preserve">׳, ומשם </w:t>
      </w:r>
      <w:proofErr w:type="spellStart"/>
      <w:r>
        <w:rPr>
          <w:rtl/>
        </w:rPr>
        <w:t>סיסלוביץ</w:t>
      </w:r>
      <w:proofErr w:type="spellEnd"/>
      <w:r>
        <w:rPr>
          <w:rtl/>
        </w:rPr>
        <w:t>׳.</w:t>
      </w:r>
    </w:p>
    <w:bookmarkStart w:id="1044" w:name="b2_note71"/>
    <w:p w14:paraId="069DAF1F" w14:textId="0BC5DB13" w:rsidR="00AB3647" w:rsidRDefault="00000000" w:rsidP="007923E9">
      <w:pPr>
        <w:spacing w:before="120" w:after="100" w:line="276" w:lineRule="auto"/>
        <w:jc w:val="both"/>
      </w:pPr>
      <w:r>
        <w:fldChar w:fldCharType="begin" w:dirty="true"/>
      </w:r>
      <w:r>
        <w:instrText>HYPERLINK \l "b2_ref71"</w:instrText>
      </w:r>
      <w:r>
        <w:fldChar w:fldCharType="separate"/>
      </w:r>
      <w:r>
        <w:rPr>
          <w:b/>
          <w:bCs/>
          <w:rtl/>
        </w:rPr>
        <w:t>71</w:t>
      </w:r>
      <w:r>
        <w:rPr>
          <w:b/>
          <w:bCs/>
        </w:rPr>
        <w:fldChar w:fldCharType="end"/>
      </w:r>
      <w:bookmarkEnd w:id="1044"/>
      <w:r>
        <w:rPr>
          <w:rtl/>
        </w:rPr>
        <w:t xml:space="preserve"> ראה </w:t>
      </w:r>
      <w:r>
        <w:rPr>
          <w:rtl/>
        </w:rPr>
        <w:fldChar w:fldCharType="begin" w:dirty="true"/>
      </w:r>
      <w:r>
        <w:rPr>
          <w:rtl/>
        </w:rPr>
        <w:instrText xml:space="preserve"> REF b2_excD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ד</w:t>
      </w:r>
      <w:r>
        <w:rPr>
          <w:rtl/>
        </w:rPr>
        <w:fldChar w:fldCharType="end"/>
      </w:r>
      <w:r>
        <w:rPr>
          <w:rtl/>
        </w:rPr>
        <w:t>.</w:t>
      </w:r>
    </w:p>
    <w:bookmarkStart w:id="1045" w:name="b2_note72"/>
    <w:p w14:paraId="6A53F088" w14:textId="77777777" w:rsidR="00AB3647" w:rsidRDefault="00000000" w:rsidP="007923E9">
      <w:pPr>
        <w:spacing w:before="120" w:after="100" w:line="276" w:lineRule="auto"/>
        <w:jc w:val="both"/>
      </w:pPr>
      <w:r>
        <w:fldChar w:fldCharType="begin" w:dirty="true"/>
      </w:r>
      <w:r>
        <w:instrText>HYPERLINK \l "b2_ref72"</w:instrText>
      </w:r>
      <w:r>
        <w:fldChar w:fldCharType="separate"/>
      </w:r>
      <w:r>
        <w:rPr>
          <w:b/>
          <w:bCs/>
          <w:rtl/>
        </w:rPr>
        <w:t>72</w:t>
      </w:r>
      <w:r>
        <w:rPr>
          <w:b/>
          <w:bCs/>
        </w:rPr>
        <w:fldChar w:fldCharType="end"/>
      </w:r>
      <w:bookmarkEnd w:id="1045"/>
      <w:r>
        <w:rPr>
          <w:rtl/>
        </w:rPr>
        <w:t xml:space="preserve"> השווה את צוואתו המוסרית של ר׳ </w:t>
      </w:r>
      <w:proofErr w:type="spellStart"/>
      <w:r>
        <w:rPr>
          <w:rtl/>
        </w:rPr>
        <w:t>יצחק־אייזיק</w:t>
      </w:r>
      <w:proofErr w:type="spellEnd"/>
      <w:r>
        <w:rPr>
          <w:rtl/>
        </w:rPr>
        <w:t xml:space="preserve"> </w:t>
      </w:r>
      <w:proofErr w:type="spellStart"/>
      <w:r>
        <w:rPr>
          <w:rtl/>
        </w:rPr>
        <w:t>הירשוביץ</w:t>
      </w:r>
      <w:proofErr w:type="spellEnd"/>
      <w:r>
        <w:rPr>
          <w:rtl/>
        </w:rPr>
        <w:t>,</w:t>
      </w:r>
      <w:bookmarkStart w:id="1046" w:name="_fnr624"/>
      <w:r>
        <w:rPr>
          <w:rStyle w:val="a5"/>
        </w:rPr>
        <w:footnoteReference w:id="624" w:customMarkFollows="0"/>
      </w:r>
      <w:bookmarkEnd w:id="1046"/>
      <w:r>
        <w:rPr>
          <w:rtl/>
        </w:rPr>
        <w:t xml:space="preserve"> שבה הוא מתאר את נעוריו </w:t>
      </w:r>
      <w:proofErr w:type="spellStart"/>
      <w:r>
        <w:rPr>
          <w:rtl/>
        </w:rPr>
        <w:t>בליבאו</w:t>
      </w:r>
      <w:proofErr w:type="spellEnd"/>
      <w:r>
        <w:rPr>
          <w:rtl/>
        </w:rPr>
        <w:t xml:space="preserve"> בדברים נוקבים אלה: “גם אני, ככל חברי ובני גילי, עמדתי בילדותי ובנעורי על שפת פי הבור, ופעמים רבות נפרשה רשת לרגלי וכמעט נטיתי לרע. אבל בכל פעם הצילני ה׳ ברחמיו ובחסדו הגדול בנפלאות רבות מלהילכד בפח ומלהימשך אחר המינות לצורותיה השונות ומלהתפתות בדמיונותיה הרבים. אבי מורי ורבי ז״ל, אשר אחרי שכל אחי </w:t>
      </w:r>
      <w:proofErr w:type="spellStart"/>
      <w:r>
        <w:rPr>
          <w:rtl/>
        </w:rPr>
        <w:t>ואחיותי</w:t>
      </w:r>
      <w:proofErr w:type="spellEnd"/>
      <w:r>
        <w:rPr>
          <w:rtl/>
        </w:rPr>
        <w:t xml:space="preserve"> כבר נסחפו בזרם הימים ההם – ואני, הצעיר שבבית הורי, קרוב הייתי להימשך אחריהם – הבין כיצד לעמוד מול הרעה, ויגע וטרח בחכמה רבה ובתחבולות להטותני מדרכי המינות וההפקרות אל דרך התורה”.</w:t>
      </w:r>
    </w:p>
    <w:p w14:paraId="313F7B0E" w14:textId="647B4721"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תחילה נשלח אהרן ללמוד </w:t>
      </w:r>
      <w:proofErr w:type="spellStart"/>
      <w:r>
        <w:rPr>
          <w:rtl/>
        </w:rPr>
        <w:t>בקרינק</w:t>
      </w:r>
      <w:proofErr w:type="spellEnd"/>
      <w:r>
        <w:rPr>
          <w:rtl/>
        </w:rPr>
        <w:t xml:space="preserve">, בישיבה שייסד חצי שנה קודם לכן רבה החדש של העיירה, ר׳ </w:t>
      </w:r>
      <w:proofErr w:type="spellStart"/>
      <w:r>
        <w:rPr>
          <w:rtl/>
        </w:rPr>
        <w:t>זלמן־סנדר</w:t>
      </w:r>
      <w:proofErr w:type="spellEnd"/>
      <w:r>
        <w:rPr>
          <w:rtl/>
        </w:rPr>
        <w:t xml:space="preserve"> </w:t>
      </w:r>
      <w:proofErr w:type="spellStart"/>
      <w:r>
        <w:rPr>
          <w:rtl/>
        </w:rPr>
        <w:t>כהנא־שפירא</w:t>
      </w:r>
      <w:proofErr w:type="spellEnd"/>
      <w:r>
        <w:rPr>
          <w:rtl/>
        </w:rPr>
        <w:t xml:space="preserve">, חברו של ר׳ חיים </w:t>
      </w:r>
      <w:proofErr w:type="spellStart"/>
      <w:r>
        <w:rPr>
          <w:rtl/>
        </w:rPr>
        <w:t>סולובייצ׳יק</w:t>
      </w:r>
      <w:proofErr w:type="spellEnd"/>
      <w:r>
        <w:rPr>
          <w:rtl/>
        </w:rPr>
        <w:t xml:space="preserve"> מבריסק.</w:t>
      </w:r>
      <w:bookmarkStart w:id="1047" w:name="b2_ref73"/>
      <w:bookmarkEnd w:id="1047"/>
      <w:r>
        <w:rPr>
          <w:vertAlign w:val="superscript"/>
          <w:rtl/>
        </w:rPr>
        <w:fldChar w:fldCharType="begin" w:dirty="true"/>
      </w:r>
      <w:r>
        <w:rPr>
          <w:vertAlign w:val="superscript"/>
          <w:rtl/>
        </w:rPr>
        <w:instrText xml:space="preserve"> REF b2_note73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73</w:t>
      </w:r>
      <w:r>
        <w:rPr>
          <w:vertAlign w:val="superscript"/>
          <w:rtl/>
        </w:rPr>
        <w:fldChar w:fldCharType="end"/>
      </w:r>
      <w:r>
        <w:rPr>
          <w:rtl/>
        </w:rPr>
        <w:t xml:space="preserve"> אחרי שנה שם</w:t>
      </w:r>
      <w:r>
        <w:rPr>
          <w:vertAlign w:val="superscript"/>
          <w:rtl/>
        </w:rPr>
        <w:fldChar w:fldCharType="begin" w:dirty="true"/>
      </w:r>
      <w:r>
        <w:rPr>
          <w:vertAlign w:val="superscript"/>
          <w:rtl/>
        </w:rPr>
        <w:instrText xml:space="preserve"> REF b2_note71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71</w:t>
      </w:r>
      <w:r>
        <w:rPr>
          <w:vertAlign w:val="superscript"/>
          <w:rtl/>
        </w:rPr>
        <w:fldChar w:fldCharType="end"/>
      </w:r>
      <w:r>
        <w:rPr>
          <w:rtl/>
        </w:rPr>
        <w:t xml:space="preserve"> בא למינסק, שבה ישבו אז כמה מקרוביו, ופגש את רבנו ואת הוריו. אבל שוב נשלח אהרן מן העיר, הפעם לסלבודקה,</w:t>
      </w:r>
      <w:r>
        <w:rPr>
          <w:vertAlign w:val="superscript"/>
          <w:rtl/>
        </w:rPr>
        <w:fldChar w:fldCharType="begin" w:dirty="true"/>
      </w:r>
      <w:r>
        <w:rPr>
          <w:vertAlign w:val="superscript"/>
          <w:rtl/>
        </w:rPr>
        <w:instrText xml:space="preserve"> REF b2_note71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71</w:t>
      </w:r>
      <w:r>
        <w:rPr>
          <w:vertAlign w:val="superscript"/>
          <w:rtl/>
        </w:rPr>
        <w:fldChar w:fldCharType="end"/>
      </w:r>
      <w:r>
        <w:rPr>
          <w:rtl/>
        </w:rPr>
        <w:t xml:space="preserve"> פרבר של העיר הגדולה קובנה, לישיבת כנסת בית יצחק,</w:t>
      </w:r>
      <w:bookmarkStart w:id="1048" w:name="b2_ref74"/>
      <w:bookmarkEnd w:id="1048"/>
      <w:r>
        <w:rPr>
          <w:vertAlign w:val="superscript"/>
          <w:rtl/>
        </w:rPr>
        <w:fldChar w:fldCharType="begin" w:dirty="true"/>
      </w:r>
      <w:r>
        <w:rPr>
          <w:vertAlign w:val="superscript"/>
          <w:rtl/>
        </w:rPr>
        <w:instrText xml:space="preserve"> REF b2_note74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74</w:t>
      </w:r>
      <w:r>
        <w:rPr>
          <w:vertAlign w:val="superscript"/>
          <w:rtl/>
        </w:rPr>
        <w:fldChar w:fldCharType="end"/>
      </w:r>
      <w:r>
        <w:rPr>
          <w:rtl/>
        </w:rPr>
        <w:t xml:space="preserve"> שבראשה נתמנה זה עתה תלמידו המסור של ר׳ חיים </w:t>
      </w:r>
      <w:proofErr w:type="spellStart"/>
      <w:r>
        <w:rPr>
          <w:rtl/>
        </w:rPr>
        <w:t>סולובייצ׳יק</w:t>
      </w:r>
      <w:proofErr w:type="spellEnd"/>
      <w:r>
        <w:rPr>
          <w:rtl/>
        </w:rPr>
        <w:t xml:space="preserve">, ר׳ </w:t>
      </w:r>
      <w:proofErr w:type="spellStart"/>
      <w:r>
        <w:rPr>
          <w:rtl/>
        </w:rPr>
        <w:t>ברוך־בער</w:t>
      </w:r>
      <w:proofErr w:type="spellEnd"/>
      <w:r>
        <w:rPr>
          <w:rtl/>
        </w:rPr>
        <w:t xml:space="preserve"> </w:t>
      </w:r>
      <w:proofErr w:type="spellStart"/>
      <w:r>
        <w:rPr>
          <w:rtl/>
        </w:rPr>
        <w:t>ליבוביץ</w:t>
      </w:r>
      <w:proofErr w:type="spellEnd"/>
      <w:r>
        <w:rPr>
          <w:rtl/>
        </w:rPr>
        <w:t>, איש שחסידותו יצאה לה מוניטין.</w:t>
      </w:r>
      <w:bookmarkStart w:id="1049" w:name="b2_ref75"/>
      <w:bookmarkEnd w:id="1049"/>
      <w:r>
        <w:rPr>
          <w:vertAlign w:val="superscript"/>
          <w:rtl/>
        </w:rPr>
        <w:fldChar w:fldCharType="begin" w:dirty="true"/>
      </w:r>
      <w:r>
        <w:rPr>
          <w:vertAlign w:val="superscript"/>
          <w:rtl/>
        </w:rPr>
        <w:instrText xml:space="preserve"> REF b2_note75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75</w:t>
      </w:r>
      <w:r>
        <w:rPr>
          <w:vertAlign w:val="superscript"/>
          <w:rtl/>
        </w:rPr>
        <w:fldChar w:fldCharType="end"/>
      </w:r>
      <w:r>
        <w:rPr>
          <w:rtl/>
        </w:rPr>
        <w:t xml:space="preserve"> שם נעשה אהרן בר מצווה, ושמעו כעילוי יצא בכל העיר, וגם בישיבה האחרת </w:t>
      </w:r>
      <w:proofErr w:type="spellStart"/>
      <w:r>
        <w:rPr>
          <w:rtl/>
        </w:rPr>
        <w:t>שבסלבודקה</w:t>
      </w:r>
      <w:proofErr w:type="spellEnd"/>
      <w:r>
        <w:rPr>
          <w:rtl/>
        </w:rPr>
        <w:t>, כנסת ישראל.</w:t>
      </w:r>
      <w:bookmarkStart w:id="1050" w:name="b2_ref76"/>
      <w:bookmarkEnd w:id="1050"/>
      <w:r>
        <w:rPr>
          <w:vertAlign w:val="superscript"/>
          <w:rtl/>
        </w:rPr>
        <w:fldChar w:fldCharType="begin" w:dirty="true"/>
      </w:r>
      <w:r>
        <w:rPr>
          <w:vertAlign w:val="superscript"/>
          <w:rtl/>
        </w:rPr>
        <w:instrText xml:space="preserve"> REF b2_note76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76</w:t>
      </w:r>
      <w:r>
        <w:rPr>
          <w:vertAlign w:val="superscript"/>
          <w:rtl/>
        </w:rPr>
        <w:fldChar w:fldCharType="end"/>
      </w:r>
    </w:p>
    <w:bookmarkStart w:id="1051" w:name="b2_note73"/>
    <w:p w14:paraId="6B60A645" w14:textId="77777777" w:rsidR="00AB3647" w:rsidRDefault="00000000" w:rsidP="007923E9">
      <w:pPr>
        <w:spacing w:before="120" w:after="100" w:line="276" w:lineRule="auto"/>
        <w:jc w:val="both"/>
      </w:pPr>
      <w:r>
        <w:fldChar w:fldCharType="begin" w:dirty="true"/>
      </w:r>
      <w:r>
        <w:instrText>HYPERLINK \l "b2_ref73"</w:instrText>
      </w:r>
      <w:r>
        <w:fldChar w:fldCharType="separate"/>
      </w:r>
      <w:r>
        <w:rPr>
          <w:b/>
          <w:bCs/>
          <w:rtl/>
        </w:rPr>
        <w:t>73</w:t>
      </w:r>
      <w:r>
        <w:rPr>
          <w:b/>
          <w:bCs/>
        </w:rPr>
        <w:fldChar w:fldCharType="end"/>
      </w:r>
      <w:bookmarkEnd w:id="1051"/>
      <w:r>
        <w:rPr>
          <w:rtl/>
        </w:rPr>
        <w:t xml:space="preserve"> השווה פרק 5, הערות 22, 23 ו־24.</w:t>
      </w:r>
    </w:p>
    <w:bookmarkStart w:id="1052" w:name="b2_note74"/>
    <w:p w14:paraId="75D78B44" w14:textId="77777777" w:rsidR="00AB3647" w:rsidRDefault="00000000" w:rsidP="007923E9">
      <w:pPr>
        <w:spacing w:before="120" w:after="100" w:line="276" w:lineRule="auto"/>
        <w:jc w:val="both"/>
      </w:pPr>
      <w:r>
        <w:fldChar w:fldCharType="begin" w:dirty="true"/>
      </w:r>
      <w:r>
        <w:instrText>HYPERLINK \l "b2_ref74"</w:instrText>
      </w:r>
      <w:r>
        <w:fldChar w:fldCharType="separate"/>
      </w:r>
      <w:r>
        <w:rPr>
          <w:b/>
          <w:bCs/>
          <w:rtl/>
        </w:rPr>
        <w:t>74</w:t>
      </w:r>
      <w:r>
        <w:rPr>
          <w:b/>
          <w:bCs/>
        </w:rPr>
        <w:fldChar w:fldCharType="end"/>
      </w:r>
      <w:bookmarkEnd w:id="1052"/>
      <w:r>
        <w:rPr>
          <w:rtl/>
        </w:rPr>
        <w:t xml:space="preserve"> ראה פרק 3.1, הפסקאות השלישית והרביעית מהסוף, על סיפור ייסודה ועל ראשי הישיבה שלה.</w:t>
      </w:r>
    </w:p>
    <w:bookmarkStart w:id="1053" w:name="b2_note75"/>
    <w:p w14:paraId="6906A69D" w14:textId="6864B6F8" w:rsidR="00AB3647" w:rsidRDefault="00000000" w:rsidP="007923E9">
      <w:pPr>
        <w:spacing w:before="120" w:after="100" w:line="276" w:lineRule="auto"/>
        <w:jc w:val="both"/>
      </w:pPr>
      <w:r>
        <w:fldChar w:fldCharType="begin" w:dirty="true"/>
      </w:r>
      <w:r>
        <w:instrText>HYPERLINK \l "b2_ref75"</w:instrText>
      </w:r>
      <w:r>
        <w:fldChar w:fldCharType="separate"/>
      </w:r>
      <w:r>
        <w:rPr>
          <w:b/>
          <w:bCs/>
          <w:rtl/>
        </w:rPr>
        <w:t>75</w:t>
      </w:r>
      <w:r>
        <w:rPr>
          <w:b/>
          <w:bCs/>
        </w:rPr>
        <w:fldChar w:fldCharType="end"/>
      </w:r>
      <w:bookmarkEnd w:id="1053"/>
      <w:r>
        <w:rPr>
          <w:rtl/>
        </w:rPr>
        <w:t xml:space="preserve"> השווה פרק 3, </w:t>
      </w:r>
      <w:r>
        <w:rPr>
          <w:rtl/>
        </w:rPr>
        <w:fldChar w:fldCharType="begin" w:dirty="true"/>
      </w:r>
      <w:r>
        <w:rPr>
          <w:rtl/>
        </w:rPr>
        <w:instrText xml:space="preserve"> REF b3_excR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יח</w:t>
      </w:r>
      <w:proofErr w:type="spellEnd"/>
      <w:r>
        <w:rPr>
          <w:rtl/>
        </w:rPr>
        <w:fldChar w:fldCharType="end"/>
      </w:r>
      <w:r>
        <w:rPr>
          <w:rtl/>
        </w:rPr>
        <w:t>.</w:t>
      </w:r>
    </w:p>
    <w:bookmarkStart w:id="1054" w:name="b2_note76"/>
    <w:p w14:paraId="3F32B911" w14:textId="77777777" w:rsidR="00AB3647" w:rsidRDefault="00000000" w:rsidP="007923E9">
      <w:pPr>
        <w:spacing w:before="120" w:after="100" w:line="276" w:lineRule="auto"/>
        <w:jc w:val="both"/>
      </w:pPr>
      <w:r>
        <w:fldChar w:fldCharType="begin" w:dirty="true"/>
      </w:r>
      <w:r>
        <w:instrText>HYPERLINK \l "b2_ref76"</w:instrText>
      </w:r>
      <w:r>
        <w:fldChar w:fldCharType="separate"/>
      </w:r>
      <w:r>
        <w:rPr>
          <w:b/>
          <w:bCs/>
          <w:rtl/>
        </w:rPr>
        <w:t>76</w:t>
      </w:r>
      <w:r>
        <w:rPr>
          <w:b/>
          <w:bCs/>
        </w:rPr>
        <w:fldChar w:fldCharType="end"/>
      </w:r>
      <w:bookmarkEnd w:id="1054"/>
      <w:r>
        <w:rPr>
          <w:rtl/>
        </w:rPr>
        <w:t xml:space="preserve"> על הסיפור כיצד באו שתי ישיבות להתקיים זו בצד זו באותה עיר, השווה את הפסקה השישית בפרק 3.1.</w:t>
      </w:r>
    </w:p>
    <w:p w14:paraId="17F28776" w14:textId="694239EA"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lastRenderedPageBreak/>
        <w:t>אחרי פחות מחצי שנה בסלבודקה</w:t>
      </w:r>
      <w:r>
        <w:rPr>
          <w:vertAlign w:val="superscript"/>
          <w:rtl/>
        </w:rPr>
        <w:fldChar w:fldCharType="begin" w:dirty="true"/>
      </w:r>
      <w:r>
        <w:rPr>
          <w:vertAlign w:val="superscript"/>
          <w:rtl/>
        </w:rPr>
        <w:instrText xml:space="preserve"> REF b2_note71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71</w:t>
      </w:r>
      <w:r>
        <w:rPr>
          <w:vertAlign w:val="superscript"/>
          <w:rtl/>
        </w:rPr>
        <w:fldChar w:fldCharType="end"/>
      </w:r>
      <w:r>
        <w:rPr>
          <w:rtl/>
        </w:rPr>
        <w:t xml:space="preserve"> הוחזר אהרן הצעיר למינסק, העיר שבה כיהן פעם סבו של סבו כרב נכבד,</w:t>
      </w:r>
      <w:bookmarkStart w:id="1055" w:name="b2_ref77"/>
      <w:bookmarkEnd w:id="1055"/>
      <w:r>
        <w:rPr>
          <w:vertAlign w:val="superscript"/>
          <w:rtl/>
        </w:rPr>
        <w:fldChar w:fldCharType="begin" w:dirty="true"/>
      </w:r>
      <w:r>
        <w:rPr>
          <w:vertAlign w:val="superscript"/>
          <w:rtl/>
        </w:rPr>
        <w:instrText xml:space="preserve"> REF b2_note77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77</w:t>
      </w:r>
      <w:r>
        <w:rPr>
          <w:vertAlign w:val="superscript"/>
          <w:rtl/>
        </w:rPr>
        <w:fldChar w:fldCharType="end"/>
      </w:r>
      <w:r>
        <w:rPr>
          <w:rtl/>
        </w:rPr>
        <w:t xml:space="preserve"> כדי שיירשם אחרי פסח תרס״ה בקיבוץ שבשול הקצבים.</w:t>
      </w:r>
      <w:bookmarkStart w:id="1056" w:name="b2_ref78"/>
      <w:bookmarkEnd w:id="1056"/>
      <w:r>
        <w:rPr>
          <w:vertAlign w:val="superscript"/>
          <w:rtl/>
        </w:rPr>
        <w:fldChar w:fldCharType="begin" w:dirty="true"/>
      </w:r>
      <w:r>
        <w:rPr>
          <w:vertAlign w:val="superscript"/>
          <w:rtl/>
        </w:rPr>
        <w:instrText xml:space="preserve"> REF b2_note78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78</w:t>
      </w:r>
      <w:r>
        <w:rPr>
          <w:vertAlign w:val="superscript"/>
          <w:rtl/>
        </w:rPr>
        <w:fldChar w:fldCharType="end"/>
      </w:r>
      <w:r>
        <w:rPr>
          <w:rtl/>
        </w:rPr>
        <w:t xml:space="preserve"> התלמיד החדש והמבריק</w:t>
      </w:r>
      <w:bookmarkStart w:id="1057" w:name="b2_ref79"/>
      <w:bookmarkEnd w:id="1057"/>
      <w:r>
        <w:rPr>
          <w:vertAlign w:val="superscript"/>
          <w:rtl/>
        </w:rPr>
        <w:fldChar w:fldCharType="begin" w:dirty="true"/>
      </w:r>
      <w:r>
        <w:rPr>
          <w:vertAlign w:val="superscript"/>
          <w:rtl/>
        </w:rPr>
        <w:instrText xml:space="preserve"> REF b2_note79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79</w:t>
      </w:r>
      <w:r>
        <w:rPr>
          <w:vertAlign w:val="superscript"/>
          <w:rtl/>
        </w:rPr>
        <w:fldChar w:fldCharType="end"/>
      </w:r>
      <w:r>
        <w:rPr>
          <w:rtl/>
        </w:rPr>
        <w:t xml:space="preserve"> התאים היטב בלימודו לחברו הוותיק, ונקשרה ביניהם ידידות אמיצה.</w:t>
      </w:r>
      <w:bookmarkStart w:id="1058" w:name="b2_ref80"/>
      <w:bookmarkEnd w:id="1058"/>
      <w:r>
        <w:rPr>
          <w:vertAlign w:val="superscript"/>
          <w:rtl/>
        </w:rPr>
        <w:fldChar w:fldCharType="begin" w:dirty="true"/>
      </w:r>
      <w:r>
        <w:rPr>
          <w:vertAlign w:val="superscript"/>
          <w:rtl/>
        </w:rPr>
        <w:instrText xml:space="preserve"> REF b2_note80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80</w:t>
      </w:r>
      <w:r>
        <w:rPr>
          <w:vertAlign w:val="superscript"/>
          <w:rtl/>
        </w:rPr>
        <w:fldChar w:fldCharType="end"/>
      </w:r>
      <w:r>
        <w:rPr>
          <w:rtl/>
        </w:rPr>
        <w:t xml:space="preserve"> בני משפחת </w:t>
      </w:r>
      <w:proofErr w:type="spellStart"/>
      <w:r>
        <w:rPr>
          <w:rtl/>
        </w:rPr>
        <w:t>קמינצקי</w:t>
      </w:r>
      <w:proofErr w:type="spellEnd"/>
      <w:r>
        <w:rPr>
          <w:rtl/>
        </w:rPr>
        <w:t xml:space="preserve"> הביטו על שניהם בכבוד, בשל רדיפתם הבלתי פוסקת אחרי החכמה.</w:t>
      </w:r>
    </w:p>
    <w:bookmarkStart w:id="1059" w:name="b2_note77"/>
    <w:p w14:paraId="4E437BE1" w14:textId="77777777" w:rsidR="00AB3647" w:rsidRDefault="00000000" w:rsidP="007923E9">
      <w:pPr>
        <w:spacing w:before="120" w:after="100" w:line="276" w:lineRule="auto"/>
        <w:jc w:val="both"/>
      </w:pPr>
      <w:r>
        <w:fldChar w:fldCharType="begin" w:dirty="true"/>
      </w:r>
      <w:r>
        <w:instrText>HYPERLINK \l "b2_ref77"</w:instrText>
      </w:r>
      <w:r>
        <w:fldChar w:fldCharType="separate"/>
      </w:r>
      <w:r>
        <w:rPr>
          <w:b/>
          <w:bCs/>
          <w:rtl/>
        </w:rPr>
        <w:t>77</w:t>
      </w:r>
      <w:r>
        <w:rPr>
          <w:b/>
          <w:bCs/>
        </w:rPr>
        <w:fldChar w:fldCharType="end"/>
      </w:r>
      <w:bookmarkEnd w:id="1059"/>
      <w:r>
        <w:rPr>
          <w:rtl/>
        </w:rPr>
        <w:t xml:space="preserve"> לפי כתב היוחסין שכתב אביו של ר׳ אהרן, כפי שנרשם </w:t>
      </w:r>
      <w:proofErr w:type="spellStart"/>
      <w:r>
        <w:rPr>
          <w:rtl/>
        </w:rPr>
        <w:t>ב“אוסף</w:t>
      </w:r>
      <w:proofErr w:type="spellEnd"/>
      <w:r>
        <w:rPr>
          <w:rtl/>
        </w:rPr>
        <w:t xml:space="preserve"> חידושי תורה ממרן </w:t>
      </w:r>
      <w:proofErr w:type="spellStart"/>
      <w:r>
        <w:rPr>
          <w:rtl/>
        </w:rPr>
        <w:t>הגר״א</w:t>
      </w:r>
      <w:proofErr w:type="spellEnd"/>
      <w:r>
        <w:rPr>
          <w:rtl/>
        </w:rPr>
        <w:t xml:space="preserve"> קוטלר”,</w:t>
      </w:r>
      <w:bookmarkStart w:id="1060" w:name="_fnr625"/>
      <w:r>
        <w:rPr>
          <w:rStyle w:val="a5"/>
        </w:rPr>
        <w:footnoteReference w:id="625" w:customMarkFollows="0"/>
      </w:r>
      <w:bookmarkEnd w:id="1060"/>
      <w:r>
        <w:rPr>
          <w:rtl/>
        </w:rPr>
        <w:t xml:space="preserve"> סבו של ר׳ אהרן היה ר׳ משה פינס, ואבי אבותיו ר׳ יצחק פינס היה “רב אב בית דין </w:t>
      </w:r>
      <w:proofErr w:type="spellStart"/>
      <w:r>
        <w:rPr>
          <w:rtl/>
        </w:rPr>
        <w:t>ראב״ד</w:t>
      </w:r>
      <w:proofErr w:type="spellEnd"/>
      <w:r>
        <w:rPr>
          <w:rtl/>
        </w:rPr>
        <w:t xml:space="preserve">” של מינסק </w:t>
      </w:r>
      <w:proofErr w:type="spellStart"/>
      <w:r>
        <w:rPr>
          <w:rtl/>
        </w:rPr>
        <w:t>שבע־עשרה</w:t>
      </w:r>
      <w:proofErr w:type="spellEnd"/>
      <w:r>
        <w:rPr>
          <w:rtl/>
        </w:rPr>
        <w:t xml:space="preserve"> שנה, </w:t>
      </w:r>
      <w:proofErr w:type="spellStart"/>
      <w:r>
        <w:rPr>
          <w:rtl/>
        </w:rPr>
        <w:t>מתקע״ט</w:t>
      </w:r>
      <w:proofErr w:type="spellEnd"/>
      <w:r>
        <w:rPr>
          <w:rtl/>
        </w:rPr>
        <w:t xml:space="preserve"> עד תקצ״ו. אבל טענה זו, הנראית מהימנה, נסתרת </w:t>
      </w:r>
      <w:proofErr w:type="spellStart"/>
      <w:r>
        <w:rPr>
          <w:rtl/>
        </w:rPr>
        <w:t>ב“מינסק</w:t>
      </w:r>
      <w:proofErr w:type="spellEnd"/>
      <w:r>
        <w:rPr>
          <w:rtl/>
        </w:rPr>
        <w:t xml:space="preserve"> עיר ואם א”,</w:t>
      </w:r>
      <w:bookmarkStart w:id="1061" w:name="_fnr626"/>
      <w:r>
        <w:rPr>
          <w:rStyle w:val="a5"/>
        </w:rPr>
        <w:footnoteReference w:id="626" w:customMarkFollows="0"/>
      </w:r>
      <w:bookmarkEnd w:id="1061"/>
      <w:r>
        <w:rPr>
          <w:rtl/>
        </w:rPr>
        <w:t xml:space="preserve"> האומר שהרב האחרון של מינסק היה ר׳ ישראל </w:t>
      </w:r>
      <w:proofErr w:type="spellStart"/>
      <w:r>
        <w:rPr>
          <w:rtl/>
        </w:rPr>
        <w:t>מירקיס</w:t>
      </w:r>
      <w:proofErr w:type="spellEnd"/>
      <w:r>
        <w:rPr>
          <w:rtl/>
        </w:rPr>
        <w:t xml:space="preserve">, שנפטר בשנת תקע״ג, ושאחריו נקרא ראשה הרוחני של העיר בתואר הנמוך יותר “מרא דאתרא”. יתר על כן, הספר מביא את ר׳ ישראל </w:t>
      </w:r>
      <w:proofErr w:type="spellStart"/>
      <w:r>
        <w:rPr>
          <w:rtl/>
        </w:rPr>
        <w:t>היילפרין</w:t>
      </w:r>
      <w:proofErr w:type="spellEnd"/>
      <w:r>
        <w:rPr>
          <w:rtl/>
        </w:rPr>
        <w:t xml:space="preserve"> </w:t>
      </w:r>
      <w:proofErr w:type="spellStart"/>
      <w:r>
        <w:rPr>
          <w:rtl/>
        </w:rPr>
        <w:t>כמרא</w:t>
      </w:r>
      <w:proofErr w:type="spellEnd"/>
      <w:r>
        <w:rPr>
          <w:rtl/>
        </w:rPr>
        <w:t xml:space="preserve"> דאתרא של העיר בשנים תקע״ט עד תקצ״ו.</w:t>
      </w:r>
      <w:bookmarkStart w:id="1062" w:name="_fnr627"/>
      <w:r>
        <w:rPr>
          <w:rStyle w:val="a5"/>
        </w:rPr>
        <w:footnoteReference w:id="627" w:customMarkFollows="0"/>
      </w:r>
      <w:bookmarkEnd w:id="1062"/>
    </w:p>
    <w:p w14:paraId="0DF4418E" w14:textId="77777777" w:rsidR="00AB3647" w:rsidRDefault="00000000" w:rsidP="007923E9">
      <w:pPr>
        <w:spacing w:before="120" w:after="100" w:line="276" w:lineRule="auto"/>
        <w:jc w:val="both"/>
      </w:pPr>
      <w:r>
        <w:rPr>
          <w:rtl/>
        </w:rPr>
        <w:t>“מינסק עיר ואם א”</w:t>
      </w:r>
      <w:bookmarkStart w:id="1063" w:name="_fnr628"/>
      <w:r>
        <w:rPr>
          <w:rStyle w:val="a5"/>
        </w:rPr>
        <w:footnoteReference w:id="628" w:customMarkFollows="0"/>
      </w:r>
      <w:bookmarkEnd w:id="1063"/>
      <w:r>
        <w:rPr>
          <w:rtl/>
        </w:rPr>
        <w:t xml:space="preserve"> מזכיר את שמו של ר׳ יצחק פינס רק ברשימה של שבעים רבנים שכיהנו בעיר בתקופות שונות בתולדותיה, שאינן מפורטות – “</w:t>
      </w:r>
      <w:r>
        <w:rPr>
          <w:b/>
          <w:bCs/>
          <w:rtl/>
        </w:rPr>
        <w:t>לא</w:t>
      </w:r>
      <w:r>
        <w:rPr>
          <w:rtl/>
        </w:rPr>
        <w:t xml:space="preserve"> כרבנים נבחרים או כמרי דאתרא”, אלא רק כרבנים שכיהנו בעיר.</w:t>
      </w:r>
    </w:p>
    <w:bookmarkStart w:id="1064" w:name="b2_note78"/>
    <w:p w14:paraId="6E839DC1" w14:textId="77777777" w:rsidR="00AB3647" w:rsidRDefault="00000000" w:rsidP="007923E9">
      <w:pPr>
        <w:spacing w:before="120" w:after="100" w:line="276" w:lineRule="auto"/>
        <w:jc w:val="both"/>
      </w:pPr>
      <w:r>
        <w:fldChar w:fldCharType="begin" w:dirty="true"/>
      </w:r>
      <w:r>
        <w:instrText>HYPERLINK \l "b2_ref78"</w:instrText>
      </w:r>
      <w:r>
        <w:fldChar w:fldCharType="separate"/>
      </w:r>
      <w:r>
        <w:rPr>
          <w:b/>
          <w:bCs/>
          <w:rtl/>
        </w:rPr>
        <w:t>78</w:t>
      </w:r>
      <w:r>
        <w:rPr>
          <w:b/>
          <w:bCs/>
        </w:rPr>
        <w:fldChar w:fldCharType="end"/>
      </w:r>
      <w:bookmarkEnd w:id="1064"/>
      <w:r>
        <w:rPr>
          <w:rtl/>
        </w:rPr>
        <w:t xml:space="preserve"> ר׳ חיים </w:t>
      </w:r>
      <w:proofErr w:type="spellStart"/>
      <w:r>
        <w:rPr>
          <w:rtl/>
        </w:rPr>
        <w:t>גרוזובסקי</w:t>
      </w:r>
      <w:bookmarkStart w:id="1065" w:name="_fnr629"/>
      <w:proofErr w:type="spellEnd"/>
      <w:r>
        <w:rPr>
          <w:rStyle w:val="a5"/>
        </w:rPr>
        <w:footnoteReference w:id="629" w:customMarkFollows="0"/>
      </w:r>
      <w:bookmarkEnd w:id="1065"/>
      <w:r>
        <w:rPr>
          <w:rtl/>
        </w:rPr>
        <w:t xml:space="preserve"> סבר ששניהם נעשו ידידים </w:t>
      </w:r>
      <w:proofErr w:type="spellStart"/>
      <w:r>
        <w:rPr>
          <w:rtl/>
        </w:rPr>
        <w:t>בקלויז</w:t>
      </w:r>
      <w:proofErr w:type="spellEnd"/>
      <w:r>
        <w:rPr>
          <w:rtl/>
        </w:rPr>
        <w:t xml:space="preserve"> של </w:t>
      </w:r>
      <w:proofErr w:type="spellStart"/>
      <w:r>
        <w:rPr>
          <w:rtl/>
        </w:rPr>
        <w:t>בלומקה</w:t>
      </w:r>
      <w:proofErr w:type="spellEnd"/>
      <w:r>
        <w:rPr>
          <w:rtl/>
        </w:rPr>
        <w:t>, שבו למד אבי קודם לכן. דעתו נדחית, משום שאבי אמר במפורש</w:t>
      </w:r>
      <w:bookmarkStart w:id="1066" w:name="_fnr630"/>
      <w:r>
        <w:rPr>
          <w:rStyle w:val="a5"/>
        </w:rPr>
        <w:footnoteReference w:id="630" w:customMarkFollows="0"/>
      </w:r>
      <w:bookmarkEnd w:id="1066"/>
      <w:r>
        <w:rPr>
          <w:rtl/>
        </w:rPr>
        <w:t xml:space="preserve"> שהדבר היה בשול </w:t>
      </w:r>
      <w:proofErr w:type="spellStart"/>
      <w:r>
        <w:rPr>
          <w:rtl/>
        </w:rPr>
        <w:t>הקצבים</w:t>
      </w:r>
      <w:proofErr w:type="spellEnd"/>
      <w:r>
        <w:rPr>
          <w:rtl/>
        </w:rPr>
        <w:t>.</w:t>
      </w:r>
    </w:p>
    <w:bookmarkStart w:id="1067" w:name="b2_note79"/>
    <w:p w14:paraId="4A47E5A8" w14:textId="2CB4A59E" w:rsidR="00AB3647" w:rsidRDefault="00000000" w:rsidP="007923E9">
      <w:pPr>
        <w:spacing w:before="120" w:after="100" w:line="276" w:lineRule="auto"/>
        <w:jc w:val="both"/>
      </w:pPr>
      <w:r>
        <w:fldChar w:fldCharType="begin" w:dirty="true"/>
      </w:r>
      <w:r>
        <w:instrText>HYPERLINK \l "b2_ref79"</w:instrText>
      </w:r>
      <w:r>
        <w:fldChar w:fldCharType="separate"/>
      </w:r>
      <w:r>
        <w:rPr>
          <w:b/>
          <w:bCs/>
          <w:rtl/>
        </w:rPr>
        <w:t>79</w:t>
      </w:r>
      <w:r>
        <w:rPr>
          <w:b/>
          <w:bCs/>
        </w:rPr>
        <w:fldChar w:fldCharType="end"/>
      </w:r>
      <w:bookmarkEnd w:id="1067"/>
      <w:r>
        <w:rPr>
          <w:rtl/>
        </w:rPr>
        <w:t xml:space="preserve"> ראה </w:t>
      </w:r>
      <w:r>
        <w:rPr>
          <w:rtl/>
        </w:rPr>
        <w:fldChar w:fldCharType="begin" w:dirty="true"/>
      </w:r>
      <w:r>
        <w:rPr>
          <w:rtl/>
        </w:rPr>
        <w:instrText xml:space="preserve"> REF b2_excE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ה</w:t>
      </w:r>
      <w:r>
        <w:rPr>
          <w:rtl/>
        </w:rPr>
        <w:fldChar w:fldCharType="end"/>
      </w:r>
      <w:r>
        <w:rPr>
          <w:rtl/>
        </w:rPr>
        <w:t>.</w:t>
      </w:r>
    </w:p>
    <w:bookmarkStart w:id="1068" w:name="b2_note80"/>
    <w:p w14:paraId="43423147" w14:textId="77777777" w:rsidR="00AB3647" w:rsidRDefault="00000000" w:rsidP="007923E9">
      <w:pPr>
        <w:spacing w:before="120" w:after="100" w:line="276" w:lineRule="auto"/>
        <w:jc w:val="both"/>
      </w:pPr>
      <w:r>
        <w:fldChar w:fldCharType="begin" w:dirty="true"/>
      </w:r>
      <w:r>
        <w:instrText>HYPERLINK \l "b2_ref80"</w:instrText>
      </w:r>
      <w:r>
        <w:fldChar w:fldCharType="separate"/>
      </w:r>
      <w:r>
        <w:rPr>
          <w:b/>
          <w:bCs/>
          <w:rtl/>
        </w:rPr>
        <w:t>80</w:t>
      </w:r>
      <w:r>
        <w:rPr>
          <w:b/>
          <w:bCs/>
        </w:rPr>
        <w:fldChar w:fldCharType="end"/>
      </w:r>
      <w:bookmarkEnd w:id="1068"/>
      <w:r>
        <w:rPr>
          <w:rtl/>
        </w:rPr>
        <w:t xml:space="preserve"> הידידות בין שני בוגרי שול </w:t>
      </w:r>
      <w:proofErr w:type="spellStart"/>
      <w:r>
        <w:rPr>
          <w:rtl/>
        </w:rPr>
        <w:t>הקצבים</w:t>
      </w:r>
      <w:proofErr w:type="spellEnd"/>
      <w:r>
        <w:rPr>
          <w:rtl/>
        </w:rPr>
        <w:t xml:space="preserve"> שבמינסק עתידה הייתה להימשך בלי הפסק עד תרע״ב, כשעזב ר׳ אהרן קוטלר את </w:t>
      </w:r>
      <w:proofErr w:type="spellStart"/>
      <w:r>
        <w:rPr>
          <w:rtl/>
        </w:rPr>
        <w:t>סלבודקה</w:t>
      </w:r>
      <w:proofErr w:type="spellEnd"/>
      <w:r>
        <w:rPr>
          <w:rtl/>
        </w:rPr>
        <w:t xml:space="preserve"> </w:t>
      </w:r>
      <w:proofErr w:type="spellStart"/>
      <w:r>
        <w:rPr>
          <w:rtl/>
        </w:rPr>
        <w:t>לסלוצק</w:t>
      </w:r>
      <w:proofErr w:type="spellEnd"/>
      <w:r>
        <w:rPr>
          <w:rtl/>
        </w:rPr>
        <w:t xml:space="preserve">, ושם נשא אישה והשתקע. היא חודשה בארצות הברית כעבור שלושים שנה, ונמשכה עד פטירת ר׳ אהרן בתחילת תשכ״ג. לפי ר׳ ניסן </w:t>
      </w:r>
      <w:proofErr w:type="spellStart"/>
      <w:r>
        <w:rPr>
          <w:rtl/>
        </w:rPr>
        <w:t>וולפין</w:t>
      </w:r>
      <w:proofErr w:type="spellEnd"/>
      <w:r>
        <w:rPr>
          <w:rtl/>
        </w:rPr>
        <w:t>,</w:t>
      </w:r>
      <w:bookmarkStart w:id="1069" w:name="_fnr631"/>
      <w:r>
        <w:rPr>
          <w:rStyle w:val="a5"/>
        </w:rPr>
        <w:footnoteReference w:id="631" w:customMarkFollows="0"/>
      </w:r>
      <w:bookmarkEnd w:id="1069"/>
      <w:r>
        <w:rPr>
          <w:rtl/>
        </w:rPr>
        <w:t xml:space="preserve"> הגדיר אבי את רגשותיו כלפי ר׳ אהרן כשדיבר לפני התלמידים במתיבתא תורה ודעת באמצע שנות </w:t>
      </w:r>
      <w:proofErr w:type="spellStart"/>
      <w:r>
        <w:rPr>
          <w:rtl/>
        </w:rPr>
        <w:t>הת״ש־י</w:t>
      </w:r>
      <w:proofErr w:type="spellEnd"/>
      <w:r>
        <w:rPr>
          <w:rtl/>
        </w:rPr>
        <w:t xml:space="preserve">׳, ובדבריו ביקר את ההתקפות האישיות שליוו את המחלוקות האידאולוגיות שסערו אז בין </w:t>
      </w:r>
      <w:proofErr w:type="spellStart"/>
      <w:r>
        <w:rPr>
          <w:rtl/>
        </w:rPr>
        <w:t>סאטמר</w:t>
      </w:r>
      <w:proofErr w:type="spellEnd"/>
      <w:r>
        <w:rPr>
          <w:rtl/>
        </w:rPr>
        <w:t xml:space="preserve">, בעלז </w:t>
      </w:r>
      <w:proofErr w:type="spellStart"/>
      <w:r>
        <w:rPr>
          <w:rtl/>
        </w:rPr>
        <w:t>וליובאוויטש</w:t>
      </w:r>
      <w:proofErr w:type="spellEnd"/>
      <w:r>
        <w:rPr>
          <w:rtl/>
        </w:rPr>
        <w:t xml:space="preserve">. הוא הזכיר את חילוקי הדעות שלו עצמו עם ר׳ אהרן בעניין “חינוך עצמאי”, שבו “עמדו (זה מול זה) </w:t>
      </w:r>
      <w:proofErr w:type="spellStart"/>
      <w:r>
        <w:rPr>
          <w:rtl/>
        </w:rPr>
        <w:t>אויף</w:t>
      </w:r>
      <w:proofErr w:type="spellEnd"/>
      <w:r>
        <w:rPr>
          <w:rtl/>
        </w:rPr>
        <w:t xml:space="preserve"> </w:t>
      </w:r>
      <w:proofErr w:type="spellStart"/>
      <w:r>
        <w:rPr>
          <w:rtl/>
        </w:rPr>
        <w:t>מעסערס</w:t>
      </w:r>
      <w:proofErr w:type="spellEnd"/>
      <w:r>
        <w:rPr>
          <w:rtl/>
        </w:rPr>
        <w:t xml:space="preserve"> [בסכינים]” – אבל רק בשאלות של מדיניות, ואילו ביחסיהם האישיים “אהבו זה את זה כאחים”.</w:t>
      </w:r>
    </w:p>
    <w:p w14:paraId="5D694310" w14:textId="77777777" w:rsidR="00AB3647" w:rsidRDefault="00000000" w:rsidP="007923E9">
      <w:pPr>
        <w:spacing w:before="120" w:after="100" w:line="276" w:lineRule="auto"/>
        <w:jc w:val="both"/>
      </w:pPr>
      <w:r>
        <w:rPr>
          <w:rtl/>
        </w:rPr>
        <w:t xml:space="preserve">האהבה שרחש אבי </w:t>
      </w:r>
      <w:proofErr w:type="spellStart"/>
      <w:r>
        <w:rPr>
          <w:rtl/>
        </w:rPr>
        <w:t>לר</w:t>
      </w:r>
      <w:proofErr w:type="spellEnd"/>
      <w:r>
        <w:rPr>
          <w:rtl/>
        </w:rPr>
        <w:t xml:space="preserve">׳ אהרן בעשרות שנות האחווה ההן עברה גם לבניו ולנכדיו. בשנת תשל״ט, בהספד על נכדו של ר׳ אהרן, ר׳ מאיר קוטלר, הכריז רבנו בלב שבור שמעולם לא </w:t>
      </w:r>
      <w:r>
        <w:rPr>
          <w:rtl/>
        </w:rPr>
        <w:lastRenderedPageBreak/>
        <w:t xml:space="preserve">העלה על דעתו שיחיה ויסבול את הצער להספיד ארבעה דורות זה אחר זה: ר׳ </w:t>
      </w:r>
      <w:proofErr w:type="spellStart"/>
      <w:r>
        <w:rPr>
          <w:rtl/>
        </w:rPr>
        <w:t>איסר־זלמן</w:t>
      </w:r>
      <w:proofErr w:type="spellEnd"/>
      <w:r>
        <w:rPr>
          <w:rtl/>
        </w:rPr>
        <w:t xml:space="preserve"> מלצר (חותנו של ר׳ אהרן), ר׳ אהרן, ר׳ שניאור ור׳ מאיר.</w:t>
      </w:r>
      <w:bookmarkStart w:id="1070" w:name="_fnr632"/>
      <w:bookmarkEnd w:id="1070"/>
      <w:r>
        <w:rPr>
          <w:rStyle w:val="a5"/>
        </w:rPr>
        <w:t/>
      </w:r>
      <w:bookmarkStart w:id="6999" w:name="_TranslatorNote_632"/>
      <w:r>
        <w:rPr>
          <w:rStyle w:val="a5"/>
          <w:vertAlign w:val="superscript"/>
          <w:rtl/>
        </w:rPr>
        <w:footnoteReference w:id="632" w:customMarkFollows="1"/>
        <w:t>*</w:t>
      </w:r>
      <w:bookmarkEnd w:id="6999"/>
    </w:p>
    <w:p w14:paraId="2A3EA796" w14:textId="29426F8C"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עם מעבר הוריו למינסק זכה אבי לנוחות גופנית, אבל היא לא שקלה כנגד צער הנפש שנגרם לו כשהוריו, בדאגתם לעתידו של בנם בעולם המשתנה במהירות, נתנו בשתיקה את הסכמתם למאמציה של אחות ר׳ בנימין, ראשה, “לחנך” את אחיינה. ראשה, אוהבת ההנאות,</w:t>
      </w:r>
      <w:bookmarkStart w:id="1071" w:name="b2_ref81"/>
      <w:bookmarkEnd w:id="1071"/>
      <w:r>
        <w:rPr>
          <w:vertAlign w:val="superscript"/>
          <w:rtl/>
        </w:rPr>
        <w:fldChar w:fldCharType="begin" w:dirty="true"/>
      </w:r>
      <w:r>
        <w:rPr>
          <w:vertAlign w:val="superscript"/>
          <w:rtl/>
        </w:rPr>
        <w:instrText xml:space="preserve"> REF b2_note81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81</w:t>
      </w:r>
      <w:r>
        <w:rPr>
          <w:vertAlign w:val="superscript"/>
          <w:rtl/>
        </w:rPr>
        <w:fldChar w:fldCharType="end"/>
      </w:r>
      <w:r>
        <w:rPr>
          <w:rtl/>
        </w:rPr>
        <w:t xml:space="preserve"> שכרה מורה בשם אשכנזי שייתן לרבנו שיעורים פרטיים.</w:t>
      </w:r>
    </w:p>
    <w:bookmarkStart w:id="1072" w:name="b2_note81"/>
    <w:p w14:paraId="40AFF91D" w14:textId="77777777" w:rsidR="00AB3647" w:rsidRDefault="00000000" w:rsidP="007923E9">
      <w:pPr>
        <w:spacing w:before="120" w:after="100" w:line="276" w:lineRule="auto"/>
        <w:jc w:val="both"/>
      </w:pPr>
      <w:r>
        <w:fldChar w:fldCharType="begin" w:dirty="true"/>
      </w:r>
      <w:r>
        <w:instrText>HYPERLINK \l "b2_ref81"</w:instrText>
      </w:r>
      <w:r>
        <w:fldChar w:fldCharType="separate"/>
      </w:r>
      <w:r>
        <w:rPr>
          <w:b/>
          <w:bCs/>
          <w:rtl/>
        </w:rPr>
        <w:t>81</w:t>
      </w:r>
      <w:r>
        <w:rPr>
          <w:b/>
          <w:bCs/>
        </w:rPr>
        <w:fldChar w:fldCharType="end"/>
      </w:r>
      <w:bookmarkEnd w:id="1072"/>
      <w:r>
        <w:rPr>
          <w:rtl/>
        </w:rPr>
        <w:t xml:space="preserve"> השווה פרק 1.4, הפסקה השלישית.</w:t>
      </w:r>
    </w:p>
    <w:p w14:paraId="39F49C49" w14:textId="6B3A4C90"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אשכנזי השתומם על שכלו המעולה של תלמידו, ומסר לראשה שבעוד חצי שנה יהיה הנער מוכן לבחינות לתעודת בגרות. הוא אמר עוד שמעולם לא נתקל בשכל חריף כזה, ושעתיד מזהיר מצפה לנער כאיש אקדמיה באוניברסיטה רוסית – אילו רק נטש את אמונתו הדתית. השיעורים נמשכו כמה חודשים, והמורה התלהב מן ההזדמנות להכשיר את מי שראה בו פרופסור לעתיד.</w:t>
      </w:r>
      <w:bookmarkStart w:id="1073" w:name="b2_ref82"/>
      <w:bookmarkEnd w:id="1073"/>
      <w:r>
        <w:rPr>
          <w:vertAlign w:val="superscript"/>
          <w:rtl/>
        </w:rPr>
        <w:fldChar w:fldCharType="begin" w:dirty="true"/>
      </w:r>
      <w:r>
        <w:rPr>
          <w:vertAlign w:val="superscript"/>
          <w:rtl/>
        </w:rPr>
        <w:instrText xml:space="preserve"> REF b2_note82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82</w:t>
      </w:r>
      <w:r>
        <w:rPr>
          <w:vertAlign w:val="superscript"/>
          <w:rtl/>
        </w:rPr>
        <w:fldChar w:fldCharType="end"/>
      </w:r>
      <w:r>
        <w:rPr>
          <w:rtl/>
        </w:rPr>
        <w:t xml:space="preserve"> כשהחלה הדודה ראשה לפתות את אבי לעזוב את לימוד התורה לגמרי, והוא הבין שאשכנזי מוליך אותו לאותו כיוון, סירב להמשיך</w:t>
      </w:r>
      <w:bookmarkStart w:id="1074" w:name="b2_ref83"/>
      <w:bookmarkEnd w:id="1074"/>
      <w:r>
        <w:rPr>
          <w:vertAlign w:val="superscript"/>
          <w:rtl/>
        </w:rPr>
        <w:fldChar w:fldCharType="begin" w:dirty="true"/>
      </w:r>
      <w:r>
        <w:rPr>
          <w:vertAlign w:val="superscript"/>
          <w:rtl/>
        </w:rPr>
        <w:instrText xml:space="preserve"> REF b2_note83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83</w:t>
      </w:r>
      <w:r>
        <w:rPr>
          <w:vertAlign w:val="superscript"/>
          <w:rtl/>
        </w:rPr>
        <w:fldChar w:fldCharType="end"/>
      </w:r>
      <w:r>
        <w:rPr>
          <w:rtl/>
        </w:rPr>
        <w:t xml:space="preserve"> בשיעורים.</w:t>
      </w:r>
      <w:bookmarkStart w:id="1075" w:name="b2_ref84"/>
      <w:bookmarkEnd w:id="1075"/>
      <w:r>
        <w:rPr>
          <w:vertAlign w:val="superscript"/>
          <w:rtl/>
        </w:rPr>
        <w:fldChar w:fldCharType="begin" w:dirty="true"/>
      </w:r>
      <w:r>
        <w:rPr>
          <w:vertAlign w:val="superscript"/>
          <w:rtl/>
        </w:rPr>
        <w:instrText xml:space="preserve"> REF b2_note84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84</w:t>
      </w:r>
      <w:r>
        <w:rPr>
          <w:vertAlign w:val="superscript"/>
          <w:rtl/>
        </w:rPr>
        <w:fldChar w:fldCharType="end"/>
      </w:r>
      <w:r>
        <w:rPr>
          <w:rtl/>
        </w:rPr>
        <w:t xml:space="preserve"> באותו זמן התקוטט אהרן </w:t>
      </w:r>
      <w:proofErr w:type="spellStart"/>
      <w:r>
        <w:rPr>
          <w:rtl/>
        </w:rPr>
        <w:t>מסיסלוביץ</w:t>
      </w:r>
      <w:proofErr w:type="spellEnd"/>
      <w:r>
        <w:rPr>
          <w:rtl/>
        </w:rPr>
        <w:t>׳ עם אחותו הבוגרת, מלכה, שאהדה את הקומוניסטים ואף היא החלה ללחוץ על אחיה המבריק לעזוב את הקיבוץ לטובת תוכנית של לימודי חול.</w:t>
      </w:r>
      <w:bookmarkStart w:id="1076" w:name="b2_ref85"/>
      <w:bookmarkEnd w:id="1076"/>
      <w:r>
        <w:rPr>
          <w:vertAlign w:val="superscript"/>
          <w:rtl/>
        </w:rPr>
        <w:fldChar w:fldCharType="begin" w:dirty="true"/>
      </w:r>
      <w:r>
        <w:rPr>
          <w:vertAlign w:val="superscript"/>
          <w:rtl/>
        </w:rPr>
        <w:instrText xml:space="preserve"> REF b2_note85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85</w:t>
      </w:r>
      <w:r>
        <w:rPr>
          <w:vertAlign w:val="superscript"/>
          <w:rtl/>
        </w:rPr>
        <w:fldChar w:fldCharType="end"/>
      </w:r>
    </w:p>
    <w:bookmarkStart w:id="1077" w:name="b2_note82"/>
    <w:p w14:paraId="781C72AF" w14:textId="77777777" w:rsidR="00AB3647" w:rsidRDefault="00000000" w:rsidP="007923E9">
      <w:pPr>
        <w:spacing w:before="120" w:after="100" w:line="276" w:lineRule="auto"/>
        <w:jc w:val="both"/>
      </w:pPr>
      <w:r>
        <w:fldChar w:fldCharType="begin" w:dirty="true"/>
      </w:r>
      <w:r>
        <w:instrText>HYPERLINK \l "b2_ref82"</w:instrText>
      </w:r>
      <w:r>
        <w:fldChar w:fldCharType="separate"/>
      </w:r>
      <w:r>
        <w:rPr>
          <w:b/>
          <w:bCs/>
          <w:rtl/>
        </w:rPr>
        <w:t>82</w:t>
      </w:r>
      <w:r>
        <w:rPr>
          <w:b/>
          <w:bCs/>
        </w:rPr>
        <w:fldChar w:fldCharType="end"/>
      </w:r>
      <w:bookmarkEnd w:id="1077"/>
      <w:r>
        <w:rPr>
          <w:rtl/>
        </w:rPr>
        <w:t xml:space="preserve"> הדודה דבורה.</w:t>
      </w:r>
      <w:bookmarkStart w:id="1078" w:name="_fnr633"/>
      <w:r>
        <w:rPr>
          <w:rStyle w:val="a5"/>
        </w:rPr>
        <w:footnoteReference w:id="633" w:customMarkFollows="0"/>
      </w:r>
      <w:bookmarkEnd w:id="1078"/>
      <w:r>
        <w:rPr>
          <w:rtl/>
        </w:rPr>
        <w:t xml:space="preserve"> דודתי לא זכרה את שמו הפרטי של המורה, אשכנזי. אבי לא סיפר מעולם לילדיו על השיעורים הפרטיים האלה, אבל אין סיבה לפקפק באמיתות הדיווחים שלרבנו היו שיעורים סדירים </w:t>
      </w:r>
      <w:proofErr w:type="spellStart"/>
      <w:r>
        <w:rPr>
          <w:rtl/>
        </w:rPr>
        <w:t>ב“</w:t>
      </w:r>
      <w:r>
        <w:rPr>
          <w:b/>
          <w:bCs/>
          <w:rtl/>
        </w:rPr>
        <w:t>לימודי</w:t>
      </w:r>
      <w:proofErr w:type="spellEnd"/>
      <w:r>
        <w:rPr>
          <w:rtl/>
        </w:rPr>
        <w:t xml:space="preserve"> חול”.</w:t>
      </w:r>
      <w:bookmarkStart w:id="1079" w:name="_fnr634"/>
      <w:r>
        <w:rPr>
          <w:rStyle w:val="a5"/>
        </w:rPr>
        <w:footnoteReference w:id="634" w:customMarkFollows="0"/>
      </w:r>
      <w:bookmarkEnd w:id="1079"/>
      <w:r>
        <w:rPr>
          <w:rtl/>
        </w:rPr>
        <w:t xml:space="preserve"> ר׳ </w:t>
      </w:r>
      <w:proofErr w:type="spellStart"/>
      <w:r>
        <w:rPr>
          <w:rtl/>
        </w:rPr>
        <w:t>לייבל</w:t>
      </w:r>
      <w:proofErr w:type="spellEnd"/>
      <w:r>
        <w:rPr>
          <w:rtl/>
        </w:rPr>
        <w:t xml:space="preserve"> </w:t>
      </w:r>
      <w:proofErr w:type="spellStart"/>
      <w:r>
        <w:rPr>
          <w:rtl/>
        </w:rPr>
        <w:t>פרלשטיין</w:t>
      </w:r>
      <w:bookmarkStart w:id="1080" w:name="_fnr635"/>
      <w:proofErr w:type="spellEnd"/>
      <w:r>
        <w:rPr>
          <w:rStyle w:val="a5"/>
        </w:rPr>
        <w:footnoteReference w:id="635" w:customMarkFollows="0"/>
      </w:r>
      <w:bookmarkEnd w:id="1080"/>
      <w:r>
        <w:rPr>
          <w:rtl/>
        </w:rPr>
        <w:t xml:space="preserve"> אישר עובדה זו כשסיפר</w:t>
      </w:r>
      <w:bookmarkStart w:id="1081" w:name="_fnr636"/>
      <w:bookmarkStart w:id="1082" w:name="pr_f_561"/>
      <w:r>
        <w:rPr>
          <w:rStyle w:val="a5"/>
        </w:rPr>
        <w:footnoteReference w:id="636" w:customMarkFollows="0"/>
      </w:r>
      <w:bookmarkEnd w:id="1081"/>
      <w:bookmarkEnd w:id="1082"/>
      <w:r>
        <w:rPr>
          <w:rtl/>
        </w:rPr>
        <w:t xml:space="preserve"> שרבנו אמר לו שבנעוריו היו לו שיעורים פרטיים בלימודי חול.</w:t>
      </w:r>
      <w:bookmarkStart w:id="1083" w:name="_fnr637"/>
      <w:r>
        <w:rPr>
          <w:rStyle w:val="a5"/>
        </w:rPr>
        <w:footnoteReference w:id="637" w:customMarkFollows="0"/>
      </w:r>
      <w:bookmarkEnd w:id="1083"/>
    </w:p>
    <w:bookmarkStart w:id="1084" w:name="b2_note83"/>
    <w:p w14:paraId="76689F6D" w14:textId="77777777" w:rsidR="00AB3647" w:rsidRDefault="00000000" w:rsidP="007923E9">
      <w:pPr>
        <w:spacing w:before="120" w:after="100" w:line="276" w:lineRule="auto"/>
        <w:jc w:val="both"/>
      </w:pPr>
      <w:r>
        <w:fldChar w:fldCharType="begin" w:dirty="true"/>
      </w:r>
      <w:r>
        <w:instrText>HYPERLINK \l "b2_ref83"</w:instrText>
      </w:r>
      <w:r>
        <w:fldChar w:fldCharType="separate"/>
      </w:r>
      <w:r>
        <w:rPr>
          <w:b/>
          <w:bCs/>
          <w:rtl/>
        </w:rPr>
        <w:t>83</w:t>
      </w:r>
      <w:r>
        <w:rPr>
          <w:b/>
          <w:bCs/>
        </w:rPr>
        <w:fldChar w:fldCharType="end"/>
      </w:r>
      <w:bookmarkEnd w:id="1084"/>
      <w:r>
        <w:rPr>
          <w:rtl/>
        </w:rPr>
        <w:t xml:space="preserve"> הטעם שבגללו פיטר את מורו נרשם כאן לפי גרסתו של ר׳ </w:t>
      </w:r>
      <w:proofErr w:type="spellStart"/>
      <w:r>
        <w:rPr>
          <w:rtl/>
        </w:rPr>
        <w:t>לייבל</w:t>
      </w:r>
      <w:proofErr w:type="spellEnd"/>
      <w:r>
        <w:rPr>
          <w:rtl/>
        </w:rPr>
        <w:t xml:space="preserve"> </w:t>
      </w:r>
      <w:proofErr w:type="spellStart"/>
      <w:r>
        <w:rPr>
          <w:rtl/>
        </w:rPr>
        <w:t>פרלשטיין</w:t>
      </w:r>
      <w:proofErr w:type="spellEnd"/>
      <w:r>
        <w:rPr>
          <w:rtl/>
        </w:rPr>
        <w:t>.</w:t>
      </w:r>
      <w:bookmarkStart w:id="1085" w:name="_fnr638"/>
      <w:r>
        <w:rPr>
          <w:rStyle w:val="a5"/>
        </w:rPr>
        <w:footnoteReference w:id="638" w:customMarkFollows="0"/>
      </w:r>
      <w:bookmarkEnd w:id="1085"/>
      <w:r>
        <w:rPr>
          <w:rtl/>
        </w:rPr>
        <w:t xml:space="preserve"> בפגישתנו האישית סיפרה הדודה דבורה שכאשר אחיה “ראה שמורו מנסה בסתר להרחיקו מן הדת”, עזב אותו.</w:t>
      </w:r>
    </w:p>
    <w:bookmarkStart w:id="1086" w:name="b2_note84"/>
    <w:p w14:paraId="26B9228B" w14:textId="36982A39" w:rsidR="00AB3647" w:rsidRDefault="00000000" w:rsidP="007923E9">
      <w:pPr>
        <w:spacing w:before="120" w:after="100" w:line="276" w:lineRule="auto"/>
        <w:jc w:val="both"/>
      </w:pPr>
      <w:r>
        <w:lastRenderedPageBreak/>
        <w:fldChar w:fldCharType="begin" w:dirty="true"/>
      </w:r>
      <w:r>
        <w:instrText>HYPERLINK \l "b2_ref84"</w:instrText>
      </w:r>
      <w:r>
        <w:fldChar w:fldCharType="separate"/>
      </w:r>
      <w:r>
        <w:rPr>
          <w:b/>
          <w:bCs/>
          <w:rtl/>
        </w:rPr>
        <w:t>84</w:t>
      </w:r>
      <w:r>
        <w:rPr>
          <w:b/>
          <w:bCs/>
        </w:rPr>
        <w:fldChar w:fldCharType="end"/>
      </w:r>
      <w:bookmarkEnd w:id="1086"/>
      <w:r>
        <w:rPr>
          <w:rtl/>
        </w:rPr>
        <w:t xml:space="preserve"> בפגישה עם הדודה דבורה סיפרה שאחרי שנפרד אבי מאשכנזי המשיך ללמוד בכוחות עצמו, ניגש לבחינות חיצוניות וקיבל תעודת בגרות רוסית. היא השתוממה כשסיפרתי לה שאבי מעולם לא אמר לילדיו שקיבל תעודה. אם צדקה הדודה דבורה, יש ללמוד הרבה מן הסודיות המכוונת של אבי בעניין זה. השווה פרק 4, </w:t>
      </w:r>
      <w:r>
        <w:rPr>
          <w:rtl/>
        </w:rPr>
        <w:fldChar w:fldCharType="begin" w:dirty="true"/>
      </w:r>
      <w:r>
        <w:rPr>
          <w:rtl/>
        </w:rPr>
        <w:instrText xml:space="preserve"> REF b4_excB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 xml:space="preserve">, שם מובאים דברי רבנו על מישהו שהשיג תעודת בגרות, שזה “דבר </w:t>
      </w:r>
      <w:proofErr w:type="spellStart"/>
      <w:r>
        <w:rPr>
          <w:rtl/>
        </w:rPr>
        <w:t>שסלבודקה</w:t>
      </w:r>
      <w:proofErr w:type="spellEnd"/>
      <w:r>
        <w:rPr>
          <w:rtl/>
        </w:rPr>
        <w:t xml:space="preserve"> לא ראתה בעין יפה”. אולי הסתייגות זו מחקה את מעשהו שלו, אם לא מתודעתו, לפחות מלשונו.</w:t>
      </w:r>
    </w:p>
    <w:p w14:paraId="276EF169" w14:textId="77777777" w:rsidR="00AB3647" w:rsidRDefault="00000000" w:rsidP="007923E9">
      <w:pPr>
        <w:spacing w:after="100" w:line="276" w:lineRule="auto"/>
        <w:ind w:firstLine="340"/>
        <w:jc w:val="both"/>
      </w:pPr>
      <w:r>
        <w:rPr>
          <w:rtl/>
        </w:rPr>
        <w:t>בתשובה לשאלה מאוחרת יותר כתבה הדודה דבורה</w:t>
      </w:r>
      <w:bookmarkStart w:id="1087" w:name="_fnr639"/>
      <w:r>
        <w:rPr>
          <w:rStyle w:val="a5"/>
        </w:rPr>
        <w:footnoteReference w:id="639" w:customMarkFollows="0"/>
      </w:r>
      <w:bookmarkEnd w:id="1087"/>
      <w:r>
        <w:rPr>
          <w:rtl/>
        </w:rPr>
        <w:t xml:space="preserve"> שהוריה כיבדו את החלטת בנם לעזוב את אשכנזי ולא ניסו להניאו ממנה. עוד כתבה שלדעתה עזרו לבנם להשיג את הספרים שנזקק להם כדי להתכונן לבחינות הבגרות. דבריה אינם סותרים את מה שאמר ר׳ </w:t>
      </w:r>
      <w:proofErr w:type="spellStart"/>
      <w:r>
        <w:rPr>
          <w:rtl/>
        </w:rPr>
        <w:t>לייבל</w:t>
      </w:r>
      <w:proofErr w:type="spellEnd"/>
      <w:r>
        <w:rPr>
          <w:rtl/>
        </w:rPr>
        <w:t xml:space="preserve"> </w:t>
      </w:r>
      <w:proofErr w:type="spellStart"/>
      <w:r>
        <w:rPr>
          <w:rtl/>
        </w:rPr>
        <w:t>פרלשטיין</w:t>
      </w:r>
      <w:bookmarkStart w:id="1088" w:name="_fnr640"/>
      <w:proofErr w:type="spellEnd"/>
      <w:r>
        <w:rPr>
          <w:rStyle w:val="a5"/>
        </w:rPr>
        <w:footnoteReference w:id="640" w:customMarkFollows="0"/>
      </w:r>
      <w:bookmarkEnd w:id="1088"/>
      <w:r>
        <w:rPr>
          <w:rtl/>
        </w:rPr>
        <w:t xml:space="preserve"> ששמע מפי רבנו עצמו: מורו, אשכנזי, אמר לו שיוכל לרשום אותו בעצמו לאוניברסיטה, ואף כתב מסמך המופנה אליה ומעיד על הישגיו הלימודיים של תלמידו. מבחינת ידיעותיו אפשר שהיה מוכן להיכנס לאוניברסיטה לפני שסיים בפועל את בחינות הבגרות, ואשכנזי היה מוכן לרשום אותו כבר בזמן המוקדם יותר.</w:t>
      </w:r>
    </w:p>
    <w:p w14:paraId="6630047C" w14:textId="77777777" w:rsidR="00AB3647" w:rsidRDefault="00000000" w:rsidP="007923E9">
      <w:pPr>
        <w:spacing w:after="100" w:line="276" w:lineRule="auto"/>
        <w:ind w:firstLine="340"/>
        <w:jc w:val="both"/>
      </w:pPr>
      <w:r>
        <w:rPr>
          <w:rtl/>
        </w:rPr>
        <w:t xml:space="preserve">בשעת ביקורי אצל הדודה דבורה העירה כמה יפה היה כתב ידו הרוסי של אבי במכתבים שהחליפו אחרי שמצאו זה את זה בראשית שנות </w:t>
      </w:r>
      <w:proofErr w:type="spellStart"/>
      <w:r>
        <w:rPr>
          <w:rtl/>
        </w:rPr>
        <w:t>הת״ש־כ</w:t>
      </w:r>
      <w:proofErr w:type="spellEnd"/>
      <w:r>
        <w:rPr>
          <w:rtl/>
        </w:rPr>
        <w:t>׳. היא אמרה שאף על פי שלא השתמש בשפה עשרות שנים, שגיאותיו הדקדוקיות היו מעטות וקלות. גם כתב ידו העברי של רבנו ניחן בחן ויופי</w:t>
      </w:r>
      <w:bookmarkStart w:id="1089" w:name="_fnr641"/>
      <w:r>
        <w:rPr>
          <w:rStyle w:val="a5"/>
        </w:rPr>
        <w:footnoteReference w:id="641" w:customMarkFollows="0"/>
      </w:r>
      <w:bookmarkEnd w:id="1089"/>
      <w:r>
        <w:rPr>
          <w:rtl/>
        </w:rPr>
        <w:t>, ודקדוקו היה ללא דופי, כמובן.</w:t>
      </w:r>
    </w:p>
    <w:p w14:paraId="5B2903DA" w14:textId="77777777" w:rsidR="00AB3647" w:rsidRDefault="00000000" w:rsidP="007923E9">
      <w:pPr>
        <w:spacing w:after="100" w:line="276" w:lineRule="auto"/>
        <w:ind w:firstLine="340"/>
        <w:jc w:val="both"/>
      </w:pPr>
      <w:r>
        <w:rPr>
          <w:rtl/>
        </w:rPr>
        <w:t xml:space="preserve">אחרי ביקור אצל רבנו בשנת תשל״ב סיפר ר׳ מיכל זילבר שאבי ראה בהשכלה תיכונית דבר הכרחי ליהודים היושבים באמריקה בימיו. אבי סיפר לו שכאשר שאל אותו משגיח ידוע אם לשלוח את בנו לבית הספר, השיב בחיוב, והוסיף הערכה </w:t>
      </w:r>
      <w:proofErr w:type="spellStart"/>
      <w:r>
        <w:rPr>
          <w:rtl/>
        </w:rPr>
        <w:t>ש“כל</w:t>
      </w:r>
      <w:proofErr w:type="spellEnd"/>
      <w:r>
        <w:rPr>
          <w:rtl/>
        </w:rPr>
        <w:t xml:space="preserve"> אלה שלא הלכו לבית הספר לא היו מצליחים גם בלימוד (התורה)”.</w:t>
      </w:r>
      <w:bookmarkStart w:id="1090" w:name="_fnr642"/>
      <w:r>
        <w:rPr>
          <w:rStyle w:val="a5"/>
        </w:rPr>
        <w:footnoteReference w:id="642" w:customMarkFollows="0"/>
      </w:r>
      <w:bookmarkEnd w:id="1090"/>
      <w:r>
        <w:rPr>
          <w:rtl/>
        </w:rPr>
        <w:t xml:space="preserve"> אבל ליהודים היושבים בארץ ישראל ראה בהשכלה חילונית דבר פסול, וסיכם לרב זילבר: “באמריקה – חייבים, ובארץ ישראל – </w:t>
      </w:r>
      <w:r>
        <w:rPr>
          <w:b/>
          <w:bCs/>
          <w:rtl/>
        </w:rPr>
        <w:t>אסור</w:t>
      </w:r>
      <w:r>
        <w:rPr>
          <w:rtl/>
        </w:rPr>
        <w:t>”.</w:t>
      </w:r>
    </w:p>
    <w:bookmarkStart w:id="1091" w:name="b2_note85"/>
    <w:p w14:paraId="4F85B73C" w14:textId="77777777" w:rsidR="00AB3647" w:rsidRDefault="00000000" w:rsidP="007923E9">
      <w:pPr>
        <w:spacing w:before="120" w:after="100" w:line="276" w:lineRule="auto"/>
        <w:jc w:val="both"/>
      </w:pPr>
      <w:r>
        <w:fldChar w:fldCharType="begin" w:dirty="true"/>
      </w:r>
      <w:r>
        <w:instrText>HYPERLINK \l "b2_ref85"</w:instrText>
      </w:r>
      <w:r>
        <w:fldChar w:fldCharType="separate"/>
      </w:r>
      <w:r>
        <w:rPr>
          <w:b/>
          <w:bCs/>
          <w:rtl/>
        </w:rPr>
        <w:t>85</w:t>
      </w:r>
      <w:r>
        <w:rPr>
          <w:b/>
          <w:bCs/>
        </w:rPr>
        <w:fldChar w:fldCharType="end"/>
      </w:r>
      <w:bookmarkEnd w:id="1091"/>
      <w:r>
        <w:rPr>
          <w:rtl/>
        </w:rPr>
        <w:t xml:space="preserve"> ר׳ </w:t>
      </w:r>
      <w:proofErr w:type="spellStart"/>
      <w:r>
        <w:rPr>
          <w:rtl/>
        </w:rPr>
        <w:t>יעקב־אליעזר</w:t>
      </w:r>
      <w:proofErr w:type="spellEnd"/>
      <w:r>
        <w:rPr>
          <w:rtl/>
        </w:rPr>
        <w:t xml:space="preserve"> שוורצמן, נכדו של ר׳ אהרן, גילה</w:t>
      </w:r>
      <w:bookmarkStart w:id="1092" w:name="_fnr643"/>
      <w:r>
        <w:rPr>
          <w:rStyle w:val="a5"/>
        </w:rPr>
        <w:footnoteReference w:id="643" w:customMarkFollows="0"/>
      </w:r>
      <w:bookmarkEnd w:id="1092"/>
      <w:r>
        <w:rPr>
          <w:rtl/>
        </w:rPr>
        <w:t xml:space="preserve"> שבמשפחת קוטלר יש מסורת ש</w:t>
      </w:r>
      <w:r>
        <w:rPr>
          <w:b/>
          <w:bCs/>
          <w:rtl/>
        </w:rPr>
        <w:t>אחרי</w:t>
      </w:r>
      <w:r>
        <w:rPr>
          <w:rtl/>
        </w:rPr>
        <w:t xml:space="preserve"> שהיה סבו </w:t>
      </w:r>
      <w:proofErr w:type="spellStart"/>
      <w:r>
        <w:rPr>
          <w:rtl/>
        </w:rPr>
        <w:t>בסלבודקה</w:t>
      </w:r>
      <w:proofErr w:type="spellEnd"/>
      <w:r>
        <w:rPr>
          <w:rtl/>
        </w:rPr>
        <w:t xml:space="preserve"> חזר למינסק לבקשת אחותו הגדולה שישבה שם, ושר׳ </w:t>
      </w:r>
      <w:proofErr w:type="spellStart"/>
      <w:r>
        <w:rPr>
          <w:rtl/>
        </w:rPr>
        <w:t>נתן־צבי</w:t>
      </w:r>
      <w:proofErr w:type="spellEnd"/>
      <w:r>
        <w:rPr>
          <w:rtl/>
        </w:rPr>
        <w:t xml:space="preserve"> </w:t>
      </w:r>
      <w:proofErr w:type="spellStart"/>
      <w:r>
        <w:rPr>
          <w:rtl/>
        </w:rPr>
        <w:t>פינקל</w:t>
      </w:r>
      <w:proofErr w:type="spellEnd"/>
      <w:r>
        <w:rPr>
          <w:rtl/>
        </w:rPr>
        <w:t xml:space="preserve">, הסבא, שלח את ר׳ ראובן </w:t>
      </w:r>
      <w:proofErr w:type="spellStart"/>
      <w:r>
        <w:rPr>
          <w:rtl/>
        </w:rPr>
        <w:t>גרוזובסקי</w:t>
      </w:r>
      <w:proofErr w:type="spellEnd"/>
      <w:r>
        <w:rPr>
          <w:rtl/>
        </w:rPr>
        <w:t xml:space="preserve"> להחזירו. בהתאם למה שנדפס </w:t>
      </w:r>
      <w:proofErr w:type="spellStart"/>
      <w:r>
        <w:rPr>
          <w:rtl/>
        </w:rPr>
        <w:t>ב“אוסף</w:t>
      </w:r>
      <w:proofErr w:type="spellEnd"/>
      <w:r>
        <w:rPr>
          <w:rtl/>
        </w:rPr>
        <w:t xml:space="preserve"> חידושי תורה ממרן </w:t>
      </w:r>
      <w:proofErr w:type="spellStart"/>
      <w:r>
        <w:rPr>
          <w:rtl/>
        </w:rPr>
        <w:t>הגר״א</w:t>
      </w:r>
      <w:proofErr w:type="spellEnd"/>
      <w:r>
        <w:rPr>
          <w:rtl/>
        </w:rPr>
        <w:t xml:space="preserve"> קוטלר”,</w:t>
      </w:r>
      <w:bookmarkStart w:id="1093" w:name="_fnr644"/>
      <w:r>
        <w:rPr>
          <w:rStyle w:val="a5"/>
        </w:rPr>
        <w:footnoteReference w:id="644" w:customMarkFollows="0"/>
      </w:r>
      <w:bookmarkEnd w:id="1093"/>
      <w:r>
        <w:rPr>
          <w:rtl/>
        </w:rPr>
        <w:t xml:space="preserve"> שיער ר׳ </w:t>
      </w:r>
      <w:proofErr w:type="spellStart"/>
      <w:r>
        <w:rPr>
          <w:rtl/>
        </w:rPr>
        <w:t>יעקב־אליעזר</w:t>
      </w:r>
      <w:proofErr w:type="spellEnd"/>
      <w:r>
        <w:rPr>
          <w:rtl/>
        </w:rPr>
        <w:t xml:space="preserve"> שהדבר אירע כשר׳ אהרן היה צעיר יותר משהיה באמת, ושמישיבת כנסת ישראל של הסבא חזר למינסק – שכן המרואיין היה סבור בטעות שהישיבה היחידה </w:t>
      </w:r>
      <w:proofErr w:type="spellStart"/>
      <w:r>
        <w:rPr>
          <w:rtl/>
        </w:rPr>
        <w:t>בסלבודקה</w:t>
      </w:r>
      <w:proofErr w:type="spellEnd"/>
      <w:r>
        <w:rPr>
          <w:rtl/>
        </w:rPr>
        <w:t xml:space="preserve"> שבה למד סבו הייתה כנסת ישראל.</w:t>
      </w:r>
    </w:p>
    <w:p w14:paraId="57D347FF" w14:textId="06989491" w:rsidR="00AB3647" w:rsidRDefault="00000000" w:rsidP="007923E9">
      <w:pPr>
        <w:spacing w:before="120" w:after="100" w:line="276" w:lineRule="auto"/>
        <w:jc w:val="both"/>
      </w:pPr>
      <w:r>
        <w:rPr>
          <w:rtl/>
        </w:rPr>
        <w:lastRenderedPageBreak/>
        <w:t xml:space="preserve">הישיבה </w:t>
      </w:r>
      <w:proofErr w:type="spellStart"/>
      <w:r>
        <w:rPr>
          <w:rtl/>
        </w:rPr>
        <w:t>הסלבודקאית</w:t>
      </w:r>
      <w:proofErr w:type="spellEnd"/>
      <w:r>
        <w:rPr>
          <w:rtl/>
        </w:rPr>
        <w:t xml:space="preserve"> שעזב באמת הייתה כנסת בית יצחק, אחרי שלמד בה פחות מחצי שנה – כמבואר ב</w:t>
      </w:r>
      <w:r>
        <w:rPr>
          <w:rtl/>
        </w:rPr>
        <w:fldChar w:fldCharType="begin" w:dirty="true"/>
      </w:r>
      <w:r>
        <w:rPr>
          <w:rtl/>
        </w:rPr>
        <w:instrText xml:space="preserve"> REF b2_excD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ד</w:t>
      </w:r>
      <w:r>
        <w:rPr>
          <w:rtl/>
        </w:rPr>
        <w:fldChar w:fldCharType="end"/>
      </w:r>
      <w:r>
        <w:rPr>
          <w:rtl/>
        </w:rPr>
        <w:t xml:space="preserve"> להלן – ואף על פי כן שלח הסבא </w:t>
      </w:r>
      <w:proofErr w:type="spellStart"/>
      <w:r>
        <w:rPr>
          <w:rtl/>
        </w:rPr>
        <w:t>מסלבודקה</w:t>
      </w:r>
      <w:proofErr w:type="spellEnd"/>
      <w:r>
        <w:rPr>
          <w:rtl/>
        </w:rPr>
        <w:t xml:space="preserve">, המשגיח של הישיבה האחרת </w:t>
      </w:r>
      <w:proofErr w:type="spellStart"/>
      <w:r>
        <w:rPr>
          <w:rtl/>
        </w:rPr>
        <w:t>שבסלבודקה</w:t>
      </w:r>
      <w:proofErr w:type="spellEnd"/>
      <w:r>
        <w:rPr>
          <w:rtl/>
        </w:rPr>
        <w:t>, את ר׳ ראובן אחריו, כדלהלן בהערה 94.</w:t>
      </w:r>
    </w:p>
    <w:p w14:paraId="5F7DDB40" w14:textId="26883992" w:rsidR="00AB3647" w:rsidRDefault="00000000" w:rsidP="007923E9">
      <w:pPr>
        <w:spacing w:after="100" w:line="276" w:lineRule="auto"/>
        <w:ind w:firstLine="340"/>
        <w:jc w:val="both"/>
      </w:pPr>
      <w:r>
        <w:rPr>
          <w:rtl/>
        </w:rPr>
        <w:t xml:space="preserve">ר׳ זרח </w:t>
      </w:r>
      <w:proofErr w:type="spellStart"/>
      <w:r>
        <w:rPr>
          <w:rtl/>
        </w:rPr>
        <w:t>ורהפטיג</w:t>
      </w:r>
      <w:bookmarkStart w:id="1094" w:name="_fnr645"/>
      <w:proofErr w:type="spellEnd"/>
      <w:r>
        <w:rPr>
          <w:rStyle w:val="a5"/>
        </w:rPr>
        <w:footnoteReference w:id="645" w:customMarkFollows="0"/>
      </w:r>
      <w:bookmarkEnd w:id="1094"/>
      <w:r>
        <w:rPr>
          <w:rtl/>
        </w:rPr>
        <w:t xml:space="preserve"> אמר</w:t>
      </w:r>
      <w:bookmarkStart w:id="1095" w:name="_fnr646"/>
      <w:r>
        <w:rPr>
          <w:rStyle w:val="a5"/>
        </w:rPr>
        <w:footnoteReference w:id="646" w:customMarkFollows="0"/>
      </w:r>
      <w:bookmarkEnd w:id="1095"/>
      <w:r>
        <w:rPr>
          <w:rtl/>
        </w:rPr>
        <w:t xml:space="preserve"> שעל מלחמותיו החריפות של ר׳ אהרן</w:t>
      </w:r>
      <w:bookmarkStart w:id="1096" w:name="_fnr647"/>
      <w:r>
        <w:rPr>
          <w:rStyle w:val="a5"/>
        </w:rPr>
        <w:footnoteReference w:id="647" w:customMarkFollows="0"/>
      </w:r>
      <w:bookmarkEnd w:id="1096"/>
      <w:r>
        <w:rPr>
          <w:rtl/>
        </w:rPr>
        <w:t xml:space="preserve"> נגד החוגים שאינם דתיים בפולין שלפני המלחמה אמרו אז שמניען היה “שבנעוריו היה במידת מה </w:t>
      </w:r>
      <w:proofErr w:type="spellStart"/>
      <w:r>
        <w:rPr>
          <w:rtl/>
        </w:rPr>
        <w:t>געכאפט</w:t>
      </w:r>
      <w:proofErr w:type="spellEnd"/>
      <w:r>
        <w:rPr>
          <w:rtl/>
        </w:rPr>
        <w:t xml:space="preserve"> </w:t>
      </w:r>
      <w:proofErr w:type="spellStart"/>
      <w:r>
        <w:rPr>
          <w:rtl/>
        </w:rPr>
        <w:t>אויף</w:t>
      </w:r>
      <w:proofErr w:type="spellEnd"/>
      <w:r>
        <w:rPr>
          <w:rtl/>
        </w:rPr>
        <w:t xml:space="preserve"> [נתפס ל]השכלה, ולכן היה מודע יותר לסכנותיה”. את היסוד לשמועות אלה סביר לייחס להשפעה שהייתה לאחותו עליו בזמן ההוא ואחר כך (השווה הערה </w:t>
      </w:r>
      <w:r>
        <w:rPr>
          <w:rtl/>
        </w:rPr>
        <w:fldChar w:fldCharType="begin" w:dirty="true"/>
      </w:r>
      <w:r>
        <w:rPr>
          <w:rtl/>
        </w:rPr>
        <w:instrText xml:space="preserve"> REF b2_note106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106</w:t>
      </w:r>
      <w:r>
        <w:rPr>
          <w:rtl/>
        </w:rPr>
        <w:fldChar w:fldCharType="end"/>
      </w:r>
      <w:r>
        <w:rPr>
          <w:rtl/>
        </w:rPr>
        <w:t xml:space="preserve"> להלן), אבל לומר </w:t>
      </w:r>
      <w:proofErr w:type="spellStart"/>
      <w:r>
        <w:rPr>
          <w:rtl/>
        </w:rPr>
        <w:t>ש“</w:t>
      </w:r>
      <w:r>
        <w:rPr>
          <w:b/>
          <w:bCs/>
          <w:rtl/>
        </w:rPr>
        <w:t>נתפס</w:t>
      </w:r>
      <w:proofErr w:type="spellEnd"/>
      <w:r>
        <w:rPr>
          <w:b/>
          <w:bCs/>
          <w:rtl/>
        </w:rPr>
        <w:t xml:space="preserve"> להשכלה</w:t>
      </w:r>
      <w:r>
        <w:rPr>
          <w:rtl/>
        </w:rPr>
        <w:t>” נראה מוגזם.</w:t>
      </w:r>
    </w:p>
    <w:p w14:paraId="7A510960" w14:textId="77777777" w:rsidR="00AB3647" w:rsidRDefault="00000000" w:rsidP="007923E9">
      <w:pPr>
        <w:spacing w:after="100" w:line="276" w:lineRule="auto"/>
        <w:ind w:firstLine="340"/>
        <w:jc w:val="both"/>
      </w:pPr>
      <w:r>
        <w:rPr>
          <w:rtl/>
        </w:rPr>
        <w:t xml:space="preserve">ר׳ חיים </w:t>
      </w:r>
      <w:proofErr w:type="spellStart"/>
      <w:r>
        <w:rPr>
          <w:rtl/>
        </w:rPr>
        <w:t>גרוזובסקי</w:t>
      </w:r>
      <w:proofErr w:type="spellEnd"/>
      <w:r>
        <w:rPr>
          <w:rtl/>
        </w:rPr>
        <w:t xml:space="preserve"> סיפר</w:t>
      </w:r>
      <w:bookmarkStart w:id="1097" w:name="_fnr648"/>
      <w:r>
        <w:rPr>
          <w:rStyle w:val="a5"/>
        </w:rPr>
        <w:footnoteReference w:id="648" w:customMarkFollows="0"/>
      </w:r>
      <w:bookmarkEnd w:id="1097"/>
      <w:r>
        <w:rPr>
          <w:rtl/>
        </w:rPr>
        <w:t xml:space="preserve"> על רחמי הקודש שגילה ר׳ אהרן כלפי אחותו, למרות המכשולים שהציבה בדרכו הרוחנית בשנותיו הראשונות. היא שרדה את מלחמת העולם השנייה בפריז, ושם הייתה פרופסור למתמטיקה. אחר כך הביאה ר׳ אהרן לארצות הברית, ושם הייתה חברת סגל באוניברסיטת קולומביה בניו יורק. לימים סידר שתתקבל לבית אבות – היא לא נישאה מעולם – ושם חיה בבדידות. הוא ציווה על בנו, ר׳ שניאור, לבקרה. לפי הרב </w:t>
      </w:r>
      <w:proofErr w:type="spellStart"/>
      <w:r>
        <w:rPr>
          <w:rtl/>
        </w:rPr>
        <w:t>גרוזובסקי</w:t>
      </w:r>
      <w:proofErr w:type="spellEnd"/>
      <w:r>
        <w:rPr>
          <w:rtl/>
        </w:rPr>
        <w:t xml:space="preserve">, היא לא ידעה מה מעמדו של אחיה בעולם היהודי כשאמרה לרב בית האבות שיש לה אח בעל שכל מעולה בהרבה משלה, שהיה נעשה מגדולי המתמטיקאים בעולם “אלמלא מישהו בשם </w:t>
      </w:r>
      <w:proofErr w:type="spellStart"/>
      <w:r>
        <w:rPr>
          <w:rtl/>
        </w:rPr>
        <w:t>גרוזובסקי</w:t>
      </w:r>
      <w:proofErr w:type="spellEnd"/>
      <w:r>
        <w:rPr>
          <w:rtl/>
        </w:rPr>
        <w:t xml:space="preserve"> שגייס אותו לענייני דת”.</w:t>
      </w:r>
    </w:p>
    <w:p w14:paraId="11E1B3FE" w14:textId="77777777" w:rsidR="00AB3647" w:rsidRDefault="00000000" w:rsidP="007923E9">
      <w:pPr>
        <w:spacing w:after="100" w:line="276" w:lineRule="auto"/>
        <w:ind w:firstLine="340"/>
        <w:jc w:val="both"/>
      </w:pPr>
      <w:r>
        <w:rPr>
          <w:rtl/>
        </w:rPr>
        <w:t xml:space="preserve">אבל מחקר נוסף העלה שהאישה הנבונה מאוד ידעה שר׳ אהרן היה מנהיג גדול בישראל, ואף על פי כן הצטערה שלא נעשה מדען. כפי שסיפר ר׳ </w:t>
      </w:r>
      <w:proofErr w:type="spellStart"/>
      <w:r>
        <w:rPr>
          <w:rtl/>
        </w:rPr>
        <w:t>פביאן</w:t>
      </w:r>
      <w:proofErr w:type="spellEnd"/>
      <w:r>
        <w:rPr>
          <w:rtl/>
        </w:rPr>
        <w:t xml:space="preserve"> </w:t>
      </w:r>
      <w:proofErr w:type="spellStart"/>
      <w:r>
        <w:rPr>
          <w:rtl/>
        </w:rPr>
        <w:t>שנפלד</w:t>
      </w:r>
      <w:proofErr w:type="spellEnd"/>
      <w:r>
        <w:rPr>
          <w:rtl/>
        </w:rPr>
        <w:t>,</w:t>
      </w:r>
      <w:bookmarkStart w:id="1098" w:name="_fnr649"/>
      <w:r>
        <w:rPr>
          <w:rStyle w:val="a5"/>
        </w:rPr>
        <w:footnoteReference w:id="649" w:customMarkFollows="0"/>
      </w:r>
      <w:bookmarkEnd w:id="1098"/>
      <w:r>
        <w:rPr>
          <w:rtl/>
        </w:rPr>
        <w:t xml:space="preserve"> שביקר תדיר בבית האבות, כשביקר אותה פעם עם ידיד צעיר שאלה את הצעיר באיזה מקצוע הוא מתכוון לעסוק, וכשהשיב “ברבנות”, אמרה שאחיה “האט </w:t>
      </w:r>
      <w:proofErr w:type="spellStart"/>
      <w:r>
        <w:rPr>
          <w:rtl/>
        </w:rPr>
        <w:t>זיך</w:t>
      </w:r>
      <w:proofErr w:type="spellEnd"/>
      <w:r>
        <w:rPr>
          <w:rtl/>
        </w:rPr>
        <w:t xml:space="preserve"> </w:t>
      </w:r>
      <w:proofErr w:type="spellStart"/>
      <w:r>
        <w:rPr>
          <w:rtl/>
        </w:rPr>
        <w:t>באנארישט</w:t>
      </w:r>
      <w:proofErr w:type="spellEnd"/>
      <w:r>
        <w:rPr>
          <w:rtl/>
        </w:rPr>
        <w:t xml:space="preserve"> [עשה שטות]” כשנעשה רב ולא מתמטיקאי.</w:t>
      </w:r>
    </w:p>
    <w:p w14:paraId="1AC2E487" w14:textId="77777777" w:rsidR="00AB3647" w:rsidRDefault="00000000" w:rsidP="007923E9">
      <w:pPr>
        <w:spacing w:after="100" w:line="276" w:lineRule="auto"/>
        <w:ind w:firstLine="340"/>
        <w:jc w:val="both"/>
      </w:pPr>
      <w:r>
        <w:rPr>
          <w:rtl/>
        </w:rPr>
        <w:t xml:space="preserve">ר׳ שלום שפירא, הרב של בית החולים </w:t>
      </w:r>
      <w:proofErr w:type="spellStart"/>
      <w:r>
        <w:rPr>
          <w:rtl/>
        </w:rPr>
        <w:t>קינגס</w:t>
      </w:r>
      <w:proofErr w:type="spellEnd"/>
      <w:r>
        <w:rPr>
          <w:rtl/>
        </w:rPr>
        <w:t xml:space="preserve"> </w:t>
      </w:r>
      <w:proofErr w:type="spellStart"/>
      <w:r>
        <w:rPr>
          <w:rtl/>
        </w:rPr>
        <w:t>קאונטי</w:t>
      </w:r>
      <w:proofErr w:type="spellEnd"/>
      <w:r>
        <w:rPr>
          <w:rtl/>
        </w:rPr>
        <w:t xml:space="preserve"> בברוקלין, שר׳ אהרן התקשר אליו להודיע שאחותו אושפזה שם, הוסיף</w:t>
      </w:r>
      <w:bookmarkStart w:id="1099" w:name="_fnr650"/>
      <w:r>
        <w:rPr>
          <w:rStyle w:val="a5"/>
        </w:rPr>
        <w:footnoteReference w:id="650" w:customMarkFollows="0"/>
      </w:r>
      <w:bookmarkEnd w:id="1099"/>
      <w:r>
        <w:rPr>
          <w:rtl/>
        </w:rPr>
        <w:t xml:space="preserve"> על דברי ר׳ חיים </w:t>
      </w:r>
      <w:proofErr w:type="spellStart"/>
      <w:r>
        <w:rPr>
          <w:rtl/>
        </w:rPr>
        <w:t>גרוזובסקי</w:t>
      </w:r>
      <w:proofErr w:type="spellEnd"/>
      <w:r>
        <w:rPr>
          <w:rtl/>
        </w:rPr>
        <w:t xml:space="preserve"> שהיא הזכירה גם ידיד בשם “יעקב” – רבנו, כמובן – שהשפיע על אחיה שלא ילך בדרך החיים של לימודי חול. עוד סיפר ר׳ שלום: “ר׳ אהרן וגם הרבנית שלו היו באים להאכיל את הזקנה. בעדינות היה מדבר אליה ואומר: ‘</w:t>
      </w:r>
      <w:proofErr w:type="spellStart"/>
      <w:r>
        <w:rPr>
          <w:rtl/>
        </w:rPr>
        <w:t>מלכה׳לה</w:t>
      </w:r>
      <w:proofErr w:type="spellEnd"/>
      <w:r>
        <w:rPr>
          <w:rtl/>
        </w:rPr>
        <w:t>, את צריכה לאכול’. הוא נהג בה כבוד רב ביותר, ואמר: ‘הלא היא אחותי הגדולה’”.</w:t>
      </w:r>
    </w:p>
    <w:p w14:paraId="41C5CCEF" w14:textId="77777777" w:rsidR="00AB3647" w:rsidRDefault="00000000" w:rsidP="007923E9">
      <w:pPr>
        <w:spacing w:after="100" w:line="276" w:lineRule="auto"/>
        <w:ind w:firstLine="340"/>
        <w:jc w:val="both"/>
      </w:pPr>
      <w:r>
        <w:rPr>
          <w:rtl/>
        </w:rPr>
        <w:t xml:space="preserve">ר׳ שלום זכר שביום שבו פורסמה פטירתו של ר׳ אהרן לא הביא לה את </w:t>
      </w:r>
      <w:proofErr w:type="spellStart"/>
      <w:r>
        <w:rPr>
          <w:rtl/>
        </w:rPr>
        <w:t>ה“ניו</w:t>
      </w:r>
      <w:proofErr w:type="spellEnd"/>
      <w:r>
        <w:rPr>
          <w:rtl/>
        </w:rPr>
        <w:t xml:space="preserve"> יורק טיימס” היומי שלה, כדי שלא תראה את מודעת האבל. אבל היא חשה שמשהו אינו כשורה, וכשביקר </w:t>
      </w:r>
      <w:r>
        <w:rPr>
          <w:rtl/>
        </w:rPr>
        <w:lastRenderedPageBreak/>
        <w:t xml:space="preserve">אותה למחרת החלה לבכות ואמרה: “אהרן איננו עוד! מתי זה קרה?” לפי מה שסיפרה </w:t>
      </w:r>
      <w:proofErr w:type="spellStart"/>
      <w:r>
        <w:rPr>
          <w:rtl/>
        </w:rPr>
        <w:t>לר</w:t>
      </w:r>
      <w:proofErr w:type="spellEnd"/>
      <w:r>
        <w:rPr>
          <w:rtl/>
        </w:rPr>
        <w:t>׳ שלום שפירא, עבודתה באירופה הייתה הדרכת דוקטורנטים בכתיבת עבודותיהם, תחילה באוניברסיטת ברלין ואחר כך בסורבון שבפריז.</w:t>
      </w:r>
    </w:p>
    <w:p w14:paraId="5C53C803" w14:textId="0B57C6CC"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בחורף שלאחר מכן, בשנת תרס״ו, התרחשה פגישה גורלית נוספת: אבי וידידו החדש הוצגו לפני ראובן, בנו של ר׳ שמשון </w:t>
      </w:r>
      <w:proofErr w:type="spellStart"/>
      <w:r>
        <w:rPr>
          <w:rtl/>
        </w:rPr>
        <w:t>גרוזובסקי</w:t>
      </w:r>
      <w:proofErr w:type="spellEnd"/>
      <w:r>
        <w:rPr>
          <w:rtl/>
        </w:rPr>
        <w:t>, רב שכונת תחנת הרכבת של וילנה במינסק.</w:t>
      </w:r>
      <w:bookmarkStart w:id="1100" w:name="b2_ref86"/>
      <w:bookmarkEnd w:id="1100"/>
      <w:r>
        <w:rPr>
          <w:vertAlign w:val="superscript"/>
          <w:rtl/>
        </w:rPr>
        <w:fldChar w:fldCharType="begin" w:dirty="true"/>
      </w:r>
      <w:r>
        <w:rPr>
          <w:vertAlign w:val="superscript"/>
          <w:rtl/>
        </w:rPr>
        <w:instrText xml:space="preserve"> REF b2_note86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86</w:t>
      </w:r>
      <w:r>
        <w:rPr>
          <w:vertAlign w:val="superscript"/>
          <w:rtl/>
        </w:rPr>
        <w:fldChar w:fldCharType="end"/>
      </w:r>
      <w:r>
        <w:rPr>
          <w:rtl/>
        </w:rPr>
        <w:t xml:space="preserve"> את ראובן, בן </w:t>
      </w:r>
      <w:proofErr w:type="spellStart"/>
      <w:r>
        <w:rPr>
          <w:rtl/>
        </w:rPr>
        <w:t>שמונה־עשרה</w:t>
      </w:r>
      <w:proofErr w:type="spellEnd"/>
      <w:r>
        <w:rPr>
          <w:rtl/>
        </w:rPr>
        <w:t>, אפפה הילה של קדושה. שלא כשאר תלמידי הישיבות בימים ההם, לא גילח את זקנו,</w:t>
      </w:r>
      <w:bookmarkStart w:id="1101" w:name="b2_ref87"/>
      <w:bookmarkEnd w:id="1101"/>
      <w:r>
        <w:rPr>
          <w:vertAlign w:val="superscript"/>
          <w:rtl/>
        </w:rPr>
        <w:fldChar w:fldCharType="begin" w:dirty="true"/>
      </w:r>
      <w:r>
        <w:rPr>
          <w:vertAlign w:val="superscript"/>
          <w:rtl/>
        </w:rPr>
        <w:instrText xml:space="preserve"> REF b2_note87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87</w:t>
      </w:r>
      <w:r>
        <w:rPr>
          <w:vertAlign w:val="superscript"/>
          <w:rtl/>
        </w:rPr>
        <w:fldChar w:fldCharType="end"/>
      </w:r>
      <w:r>
        <w:rPr>
          <w:rtl/>
        </w:rPr>
        <w:t xml:space="preserve"> ולא עסק בשום עניין של חול אפילו כלאחר יד.</w:t>
      </w:r>
      <w:bookmarkStart w:id="1102" w:name="b2_ref88"/>
      <w:bookmarkEnd w:id="1102"/>
      <w:r>
        <w:rPr>
          <w:vertAlign w:val="superscript"/>
          <w:rtl/>
        </w:rPr>
        <w:fldChar w:fldCharType="begin" w:dirty="true"/>
      </w:r>
      <w:r>
        <w:rPr>
          <w:vertAlign w:val="superscript"/>
          <w:rtl/>
        </w:rPr>
        <w:instrText xml:space="preserve"> REF b2_note88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88</w:t>
      </w:r>
      <w:r>
        <w:rPr>
          <w:vertAlign w:val="superscript"/>
          <w:rtl/>
        </w:rPr>
        <w:fldChar w:fldCharType="end"/>
      </w:r>
      <w:r>
        <w:rPr>
          <w:rtl/>
        </w:rPr>
        <w:t xml:space="preserve"> להיטותו יוצאת הדופן לתורה הקנתה לו שם במינסק. כמו אביו,</w:t>
      </w:r>
      <w:bookmarkStart w:id="1103" w:name="b2_ref89"/>
      <w:bookmarkEnd w:id="1103"/>
      <w:r>
        <w:rPr>
          <w:vertAlign w:val="superscript"/>
          <w:rtl/>
        </w:rPr>
        <w:fldChar w:fldCharType="begin" w:dirty="true"/>
      </w:r>
      <w:r>
        <w:rPr>
          <w:vertAlign w:val="superscript"/>
          <w:rtl/>
        </w:rPr>
        <w:instrText xml:space="preserve"> REF b2_note89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89</w:t>
      </w:r>
      <w:r>
        <w:rPr>
          <w:vertAlign w:val="superscript"/>
          <w:rtl/>
        </w:rPr>
        <w:fldChar w:fldCharType="end"/>
      </w:r>
      <w:r>
        <w:rPr>
          <w:rtl/>
        </w:rPr>
        <w:t xml:space="preserve"> נלחם בהתפשטות הציונות המדינית, וניסה להטות את מרצם של צעירי העיר ממנה אל לימוד התורה.</w:t>
      </w:r>
      <w:bookmarkStart w:id="1104" w:name="b2_ref90"/>
      <w:bookmarkEnd w:id="1104"/>
      <w:r>
        <w:rPr>
          <w:vertAlign w:val="superscript"/>
          <w:rtl/>
        </w:rPr>
        <w:fldChar w:fldCharType="begin" w:dirty="true"/>
      </w:r>
      <w:r>
        <w:rPr>
          <w:vertAlign w:val="superscript"/>
          <w:rtl/>
        </w:rPr>
        <w:instrText xml:space="preserve"> REF b2_note90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90</w:t>
      </w:r>
      <w:r>
        <w:rPr>
          <w:vertAlign w:val="superscript"/>
          <w:rtl/>
        </w:rPr>
        <w:fldChar w:fldCharType="end"/>
      </w:r>
    </w:p>
    <w:bookmarkStart w:id="1105" w:name="b2_note86"/>
    <w:p w14:paraId="152CF71B" w14:textId="77777777" w:rsidR="00AB3647" w:rsidRDefault="00000000" w:rsidP="007923E9">
      <w:pPr>
        <w:spacing w:before="120" w:after="100" w:line="276" w:lineRule="auto"/>
        <w:jc w:val="both"/>
      </w:pPr>
      <w:r>
        <w:fldChar w:fldCharType="begin" w:dirty="true"/>
      </w:r>
      <w:r>
        <w:instrText>HYPERLINK \l "b2_ref86"</w:instrText>
      </w:r>
      <w:r>
        <w:fldChar w:fldCharType="separate"/>
      </w:r>
      <w:r>
        <w:rPr>
          <w:b/>
          <w:bCs/>
          <w:rtl/>
        </w:rPr>
        <w:t>86</w:t>
      </w:r>
      <w:r>
        <w:rPr>
          <w:b/>
          <w:bCs/>
        </w:rPr>
        <w:fldChar w:fldCharType="end"/>
      </w:r>
      <w:bookmarkEnd w:id="1105"/>
      <w:r>
        <w:rPr>
          <w:rtl/>
        </w:rPr>
        <w:t xml:space="preserve"> השווה “סיפור ר׳ </w:t>
      </w:r>
      <w:proofErr w:type="spellStart"/>
      <w:r>
        <w:rPr>
          <w:rtl/>
        </w:rPr>
        <w:t>ברוך־בער</w:t>
      </w:r>
      <w:proofErr w:type="spellEnd"/>
      <w:r>
        <w:rPr>
          <w:rtl/>
        </w:rPr>
        <w:t>”</w:t>
      </w:r>
      <w:bookmarkStart w:id="1106" w:name="_fnr651"/>
      <w:r>
        <w:rPr>
          <w:rStyle w:val="a5"/>
        </w:rPr>
        <w:footnoteReference w:id="651" w:customMarkFollows="0"/>
      </w:r>
      <w:bookmarkEnd w:id="1106"/>
      <w:r>
        <w:rPr>
          <w:rtl/>
        </w:rPr>
        <w:t>, שלפיו ר׳ שמשון “ייחס את שורשיו, דרך דורות של תלמידי חכמים ומנהיגים רבניים, עד רש״י”. דבורה אפשטיין, נכדתו, סיפרה</w:t>
      </w:r>
      <w:bookmarkStart w:id="1107" w:name="_fnr652"/>
      <w:r>
        <w:rPr>
          <w:rStyle w:val="a5"/>
        </w:rPr>
        <w:footnoteReference w:id="652" w:customMarkFollows="0"/>
      </w:r>
      <w:bookmarkEnd w:id="1107"/>
      <w:r>
        <w:rPr>
          <w:rtl/>
        </w:rPr>
        <w:t xml:space="preserve"> על ייחוסה, והראתה לי העתק מרשימותיו של דודה ר׳ ראובן, המגלות שאביו היה דור עשרים ושניים של רבנים. אמה הייתה בתו הבכורה, </w:t>
      </w:r>
      <w:proofErr w:type="spellStart"/>
      <w:r>
        <w:rPr>
          <w:rtl/>
        </w:rPr>
        <w:t>ביילה־צירל</w:t>
      </w:r>
      <w:proofErr w:type="spellEnd"/>
      <w:r>
        <w:rPr>
          <w:rtl/>
        </w:rPr>
        <w:t xml:space="preserve">, שנישאה </w:t>
      </w:r>
      <w:proofErr w:type="spellStart"/>
      <w:r>
        <w:rPr>
          <w:rtl/>
        </w:rPr>
        <w:t>לר</w:t>
      </w:r>
      <w:proofErr w:type="spellEnd"/>
      <w:r>
        <w:rPr>
          <w:rtl/>
        </w:rPr>
        <w:t xml:space="preserve">׳ אליהו הלפרין, “רב, דרשן, דיין ומגיד שיעור בישיבת </w:t>
      </w:r>
      <w:proofErr w:type="spellStart"/>
      <w:r>
        <w:rPr>
          <w:rtl/>
        </w:rPr>
        <w:t>רמיילעס</w:t>
      </w:r>
      <w:proofErr w:type="spellEnd"/>
      <w:r>
        <w:rPr>
          <w:rtl/>
        </w:rPr>
        <w:t xml:space="preserve"> בווילנה”. ר׳ ראובן היה השביעי מבין שמונה ילדים, והבן השני. כמו ברוב משפחות הרבנים בימים ההם, לא כל ילדי </w:t>
      </w:r>
      <w:proofErr w:type="spellStart"/>
      <w:r>
        <w:rPr>
          <w:rtl/>
        </w:rPr>
        <w:t>גרוזובסקי</w:t>
      </w:r>
      <w:proofErr w:type="spellEnd"/>
      <w:r>
        <w:rPr>
          <w:rtl/>
        </w:rPr>
        <w:t xml:space="preserve"> הלכו בדרך אבותיהם: לפי נכדה זו, אפילו במשפחה מפוארת זו לא היה הבן הבכור, </w:t>
      </w:r>
      <w:proofErr w:type="spellStart"/>
      <w:r>
        <w:rPr>
          <w:rtl/>
        </w:rPr>
        <w:t>שמואל־אברהם</w:t>
      </w:r>
      <w:proofErr w:type="spellEnd"/>
      <w:r>
        <w:rPr>
          <w:rtl/>
        </w:rPr>
        <w:t>, “זהיר במצוות”.</w:t>
      </w:r>
    </w:p>
    <w:bookmarkStart w:id="1108" w:name="b2_note87"/>
    <w:p w14:paraId="79107C61" w14:textId="4172372F" w:rsidR="00AB3647" w:rsidRDefault="00000000" w:rsidP="007923E9">
      <w:pPr>
        <w:spacing w:before="120" w:after="100" w:line="276" w:lineRule="auto"/>
        <w:jc w:val="both"/>
      </w:pPr>
      <w:r>
        <w:fldChar w:fldCharType="begin" w:dirty="true"/>
      </w:r>
      <w:r>
        <w:instrText>HYPERLINK \l "b2_ref87"</w:instrText>
      </w:r>
      <w:r>
        <w:fldChar w:fldCharType="separate"/>
      </w:r>
      <w:r>
        <w:rPr>
          <w:b/>
          <w:bCs/>
          <w:rtl/>
        </w:rPr>
        <w:t>87</w:t>
      </w:r>
      <w:r>
        <w:rPr>
          <w:b/>
          <w:bCs/>
        </w:rPr>
        <w:fldChar w:fldCharType="end"/>
      </w:r>
      <w:bookmarkEnd w:id="1108"/>
      <w:r>
        <w:rPr>
          <w:rtl/>
        </w:rPr>
        <w:t xml:space="preserve"> השווה פרק 5, </w:t>
      </w:r>
      <w:r>
        <w:rPr>
          <w:rtl/>
        </w:rPr>
        <w:fldChar w:fldCharType="begin" w:dirty="true"/>
      </w:r>
      <w:r>
        <w:rPr>
          <w:rtl/>
        </w:rPr>
        <w:instrText xml:space="preserve"> REF b5_excA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א</w:t>
      </w:r>
      <w:r>
        <w:rPr>
          <w:rtl/>
        </w:rPr>
        <w:fldChar w:fldCharType="end"/>
      </w:r>
      <w:r>
        <w:rPr>
          <w:rtl/>
        </w:rPr>
        <w:t>.</w:t>
      </w:r>
    </w:p>
    <w:bookmarkStart w:id="1109" w:name="b2_note88"/>
    <w:p w14:paraId="08809093" w14:textId="77777777" w:rsidR="00AB3647" w:rsidRDefault="00000000" w:rsidP="007923E9">
      <w:pPr>
        <w:spacing w:before="120" w:after="100" w:line="276" w:lineRule="auto"/>
        <w:jc w:val="both"/>
      </w:pPr>
      <w:r>
        <w:fldChar w:fldCharType="begin" w:dirty="true"/>
      </w:r>
      <w:r>
        <w:instrText>HYPERLINK \l "b2_ref88"</w:instrText>
      </w:r>
      <w:r>
        <w:fldChar w:fldCharType="separate"/>
      </w:r>
      <w:r>
        <w:rPr>
          <w:b/>
          <w:bCs/>
          <w:rtl/>
        </w:rPr>
        <w:t>88</w:t>
      </w:r>
      <w:r>
        <w:rPr>
          <w:b/>
          <w:bCs/>
        </w:rPr>
        <w:fldChar w:fldCharType="end"/>
      </w:r>
      <w:bookmarkEnd w:id="1109"/>
      <w:r>
        <w:rPr>
          <w:rtl/>
        </w:rPr>
        <w:t xml:space="preserve"> בהספדו על ר׳ ראובן </w:t>
      </w:r>
      <w:proofErr w:type="spellStart"/>
      <w:r>
        <w:rPr>
          <w:rtl/>
        </w:rPr>
        <w:t>גרוזובסקי</w:t>
      </w:r>
      <w:proofErr w:type="spellEnd"/>
      <w:r>
        <w:rPr>
          <w:rtl/>
        </w:rPr>
        <w:t>, בשנת תשי״ח, העמיד אבי את רצינותו התמידית של המנוח מול קלות הדעת של נעוריו שלו ושל ר׳ אהרן קוטלר. ר׳ מלכיאל קוטלר סיפר</w:t>
      </w:r>
      <w:bookmarkStart w:id="1110" w:name="_fnr653"/>
      <w:r>
        <w:rPr>
          <w:rStyle w:val="a5"/>
        </w:rPr>
        <w:footnoteReference w:id="653" w:customMarkFollows="0"/>
      </w:r>
      <w:bookmarkEnd w:id="1110"/>
      <w:r>
        <w:rPr>
          <w:rtl/>
        </w:rPr>
        <w:t xml:space="preserve"> שסבו, ר׳ אהרן, לא יכול היה להשתתף בהלווייתו של ר׳ ראובן מחמת חוליו, וביקש מרבנו לומר בשמו: “ר׳ ראובן היה גדול מאתנו”.</w:t>
      </w:r>
    </w:p>
    <w:bookmarkStart w:id="1111" w:name="b2_note89"/>
    <w:p w14:paraId="47370A47" w14:textId="77777777" w:rsidR="00AB3647" w:rsidRDefault="00000000" w:rsidP="007923E9">
      <w:pPr>
        <w:spacing w:before="120" w:after="100" w:line="276" w:lineRule="auto"/>
        <w:jc w:val="both"/>
      </w:pPr>
      <w:r>
        <w:fldChar w:fldCharType="begin" w:dirty="true"/>
      </w:r>
      <w:r>
        <w:instrText>HYPERLINK \l "b2_ref89"</w:instrText>
      </w:r>
      <w:r>
        <w:fldChar w:fldCharType="separate"/>
      </w:r>
      <w:r>
        <w:rPr>
          <w:b/>
          <w:bCs/>
          <w:rtl/>
        </w:rPr>
        <w:t>89</w:t>
      </w:r>
      <w:r>
        <w:rPr>
          <w:b/>
          <w:bCs/>
        </w:rPr>
        <w:fldChar w:fldCharType="end"/>
      </w:r>
      <w:bookmarkEnd w:id="1111"/>
      <w:r>
        <w:rPr>
          <w:rtl/>
        </w:rPr>
        <w:t xml:space="preserve"> השווה “סיפור ר׳ </w:t>
      </w:r>
      <w:proofErr w:type="spellStart"/>
      <w:r>
        <w:rPr>
          <w:rtl/>
        </w:rPr>
        <w:t>ברוך־בער</w:t>
      </w:r>
      <w:proofErr w:type="spellEnd"/>
      <w:r>
        <w:rPr>
          <w:rtl/>
        </w:rPr>
        <w:t>”,</w:t>
      </w:r>
      <w:bookmarkStart w:id="1112" w:name="_fnr654"/>
      <w:r>
        <w:rPr>
          <w:rStyle w:val="a5"/>
        </w:rPr>
        <w:footnoteReference w:id="654" w:customMarkFollows="0"/>
      </w:r>
      <w:bookmarkEnd w:id="1112"/>
      <w:r>
        <w:rPr>
          <w:rtl/>
        </w:rPr>
        <w:t xml:space="preserve"> המביא כמה סיפורים המדגימים הן את מנהיגותו הנועזת של ר׳ שמשון והן את בקיאותו הרחבה.</w:t>
      </w:r>
    </w:p>
    <w:bookmarkStart w:id="1113" w:name="b2_note90"/>
    <w:p w14:paraId="25922C72" w14:textId="77777777" w:rsidR="00AB3647" w:rsidRDefault="00000000" w:rsidP="007923E9">
      <w:pPr>
        <w:spacing w:before="120" w:after="100" w:line="276" w:lineRule="auto"/>
        <w:jc w:val="both"/>
      </w:pPr>
      <w:r>
        <w:fldChar w:fldCharType="begin" w:dirty="true"/>
      </w:r>
      <w:r>
        <w:instrText>HYPERLINK \l "b2_ref90"</w:instrText>
      </w:r>
      <w:r>
        <w:fldChar w:fldCharType="separate"/>
      </w:r>
      <w:r>
        <w:rPr>
          <w:b/>
          <w:bCs/>
          <w:rtl/>
        </w:rPr>
        <w:t>90</w:t>
      </w:r>
      <w:r>
        <w:rPr>
          <w:b/>
          <w:bCs/>
        </w:rPr>
        <w:fldChar w:fldCharType="end"/>
      </w:r>
      <w:bookmarkEnd w:id="1113"/>
      <w:r>
        <w:rPr>
          <w:rtl/>
        </w:rPr>
        <w:t xml:space="preserve"> ריאיון עם בנו ר׳ חיים.</w:t>
      </w:r>
      <w:bookmarkStart w:id="1114" w:name="_fnr655"/>
      <w:r>
        <w:rPr>
          <w:rStyle w:val="a5"/>
        </w:rPr>
        <w:footnoteReference w:id="655" w:customMarkFollows="0"/>
      </w:r>
      <w:bookmarkEnd w:id="1114"/>
      <w:r>
        <w:rPr>
          <w:rtl/>
        </w:rPr>
        <w:t xml:space="preserve"> הוא סיפר שאביו, אף שהיה צעיר לימים, הזמין פעם נואם ציוני לוויכוח פומבי, ועמד בכבוד על השקפת הדת.</w:t>
      </w:r>
    </w:p>
    <w:p w14:paraId="73BFE568" w14:textId="77777777" w:rsidR="00AB3647" w:rsidRDefault="00000000" w:rsidP="007923E9">
      <w:pPr>
        <w:spacing w:after="100" w:line="276" w:lineRule="auto"/>
        <w:ind w:firstLine="340"/>
        <w:jc w:val="both"/>
      </w:pPr>
      <w:r>
        <w:rPr>
          <w:rtl/>
        </w:rPr>
        <w:t xml:space="preserve">במכתב בלתי מתוארך מחורף תשנ״ד סיפר מרואיין זה שבן מינסק ובן גילו של רבנו, אליעזר קפלן, לימים שר האוצר הראשון של מדינת ישראל הצעירה, “ניסה לארגן את נוער מינסק במועדוני נוער ציוניים. כשגילה שר׳ ראובן מנסה לשכנע את הצעירים להקים במקום </w:t>
      </w:r>
      <w:r>
        <w:rPr>
          <w:rtl/>
        </w:rPr>
        <w:lastRenderedPageBreak/>
        <w:t xml:space="preserve">זאת חבורות ללימוד תורה, סטר לו קפלן על שהפריע לעבודתו”. ר׳ חיים לא ידע מתי אירע הדבר. אני נוטה לחשוב שאירע מאוחר יותר מן הזמן המתואר כאן – לא בזמן שאבי ור׳ אהרן למדו </w:t>
      </w:r>
      <w:proofErr w:type="spellStart"/>
      <w:r>
        <w:rPr>
          <w:rtl/>
        </w:rPr>
        <w:t>בקלויז</w:t>
      </w:r>
      <w:proofErr w:type="spellEnd"/>
      <w:r>
        <w:rPr>
          <w:rtl/>
        </w:rPr>
        <w:t xml:space="preserve"> </w:t>
      </w:r>
      <w:proofErr w:type="spellStart"/>
      <w:r>
        <w:rPr>
          <w:rtl/>
        </w:rPr>
        <w:t>הקצבים</w:t>
      </w:r>
      <w:proofErr w:type="spellEnd"/>
      <w:r>
        <w:rPr>
          <w:rtl/>
        </w:rPr>
        <w:t xml:space="preserve">, אלא בערך בשנת תרס״ח, כשהשניים כבר היו </w:t>
      </w:r>
      <w:proofErr w:type="spellStart"/>
      <w:r>
        <w:rPr>
          <w:rtl/>
        </w:rPr>
        <w:t>בסלבודקה</w:t>
      </w:r>
      <w:proofErr w:type="spellEnd"/>
      <w:r>
        <w:rPr>
          <w:rtl/>
        </w:rPr>
        <w:t>.</w:t>
      </w:r>
    </w:p>
    <w:p w14:paraId="23D0B860" w14:textId="77777777" w:rsidR="00AB3647" w:rsidRDefault="00000000" w:rsidP="007923E9">
      <w:pPr>
        <w:spacing w:after="100" w:line="276" w:lineRule="auto"/>
        <w:ind w:firstLine="340"/>
        <w:jc w:val="both"/>
      </w:pPr>
      <w:r>
        <w:rPr>
          <w:rtl/>
        </w:rPr>
        <w:t>באותו זמן, לפי “מינסק עיר ואם א”,</w:t>
      </w:r>
      <w:bookmarkStart w:id="1115" w:name="_fnr656"/>
      <w:r>
        <w:rPr>
          <w:rStyle w:val="a5"/>
        </w:rPr>
        <w:footnoteReference w:id="656" w:customMarkFollows="0"/>
      </w:r>
      <w:bookmarkEnd w:id="1115"/>
      <w:r>
        <w:rPr>
          <w:rtl/>
        </w:rPr>
        <w:t xml:space="preserve"> ארגן קפלן את “‘צעירי ציון’ על חורבות ההסתדרות הציונית שהתפרקה, ‘התחיה’”. ההסתדרות האחרונה, “שכינתה את עצמה אגודה עממית, הייתה מורכבת ממורים, סטודנטים, פקידים, מנהלי חשבונות, פועלים מקצועיים ובלתי מקצועיים, וסתם נוער – ‘עמך’”. קבוצה עממית שהורכבה מצעירים כאלה הייתה כוללת מן הסתם חברים רבים שאפשר היה לשכנעם להפנות את מרצם ללימוד תורה במקום זאת. ר׳ ראובן כבר היה אז בן עשרים ואחת, ומבוגר מאליעזר קפלן.</w:t>
      </w:r>
    </w:p>
    <w:p w14:paraId="193DFC71" w14:textId="42B604CF"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בחורף הקודם, כשאהרן פינס היה שם, למד ראובן בסלבודקה</w:t>
      </w:r>
      <w:bookmarkStart w:id="1116" w:name="b2_ref91"/>
      <w:bookmarkEnd w:id="1116"/>
      <w:r>
        <w:rPr>
          <w:vertAlign w:val="superscript"/>
          <w:rtl/>
        </w:rPr>
        <w:fldChar w:fldCharType="begin" w:dirty="true"/>
      </w:r>
      <w:r>
        <w:rPr>
          <w:vertAlign w:val="superscript"/>
          <w:rtl/>
        </w:rPr>
        <w:instrText xml:space="preserve"> REF b2_note91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91</w:t>
      </w:r>
      <w:r>
        <w:rPr>
          <w:vertAlign w:val="superscript"/>
          <w:rtl/>
        </w:rPr>
        <w:fldChar w:fldCharType="end"/>
      </w:r>
      <w:r>
        <w:rPr>
          <w:rtl/>
        </w:rPr>
        <w:t xml:space="preserve"> – אבל לא בישיבתו של ר׳ </w:t>
      </w:r>
      <w:proofErr w:type="spellStart"/>
      <w:r>
        <w:rPr>
          <w:rtl/>
        </w:rPr>
        <w:t>ברוך־בער</w:t>
      </w:r>
      <w:proofErr w:type="spellEnd"/>
      <w:r>
        <w:rPr>
          <w:rtl/>
        </w:rPr>
        <w:t xml:space="preserve">, שבה נרשם הנער </w:t>
      </w:r>
      <w:proofErr w:type="spellStart"/>
      <w:r>
        <w:rPr>
          <w:rtl/>
        </w:rPr>
        <w:t>הסיסלוביצ׳ר</w:t>
      </w:r>
      <w:proofErr w:type="spellEnd"/>
      <w:r>
        <w:rPr>
          <w:rtl/>
        </w:rPr>
        <w:t>, אלא בישיבה המתחרה, כנסת ישראל,</w:t>
      </w:r>
      <w:bookmarkStart w:id="1117" w:name="b2_ref92"/>
      <w:bookmarkEnd w:id="1117"/>
      <w:r>
        <w:rPr>
          <w:vertAlign w:val="superscript"/>
          <w:rtl/>
        </w:rPr>
        <w:fldChar w:fldCharType="begin" w:dirty="true"/>
      </w:r>
      <w:r>
        <w:rPr>
          <w:vertAlign w:val="superscript"/>
          <w:rtl/>
        </w:rPr>
        <w:instrText xml:space="preserve"> REF b2_note92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92</w:t>
      </w:r>
      <w:r>
        <w:rPr>
          <w:vertAlign w:val="superscript"/>
          <w:rtl/>
        </w:rPr>
        <w:fldChar w:fldCharType="end"/>
      </w:r>
      <w:r>
        <w:rPr>
          <w:rtl/>
        </w:rPr>
        <w:t xml:space="preserve"> שבראשה עמד ר׳ </w:t>
      </w:r>
      <w:proofErr w:type="spellStart"/>
      <w:r>
        <w:rPr>
          <w:rtl/>
        </w:rPr>
        <w:t>משה־מרדכי</w:t>
      </w:r>
      <w:proofErr w:type="spellEnd"/>
      <w:r>
        <w:rPr>
          <w:rtl/>
        </w:rPr>
        <w:t xml:space="preserve"> אפשטיין.</w:t>
      </w:r>
      <w:r>
        <w:rPr>
          <w:vertAlign w:val="superscript"/>
          <w:rtl/>
        </w:rPr>
        <w:fldChar w:fldCharType="begin" w:dirty="true"/>
      </w:r>
      <w:r>
        <w:rPr>
          <w:vertAlign w:val="superscript"/>
          <w:rtl/>
        </w:rPr>
        <w:instrText xml:space="preserve"> REF b2_note92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92</w:t>
      </w:r>
      <w:r>
        <w:rPr>
          <w:vertAlign w:val="superscript"/>
          <w:rtl/>
        </w:rPr>
        <w:fldChar w:fldCharType="end"/>
      </w:r>
      <w:r>
        <w:rPr>
          <w:rtl/>
        </w:rPr>
        <w:t xml:space="preserve"> כשיצא ראובן לביתו, הורה לו המשגיח הוותיק</w:t>
      </w:r>
      <w:bookmarkStart w:id="1118" w:name="b2_ref93"/>
      <w:bookmarkEnd w:id="1118"/>
      <w:r>
        <w:rPr>
          <w:vertAlign w:val="superscript"/>
          <w:rtl/>
        </w:rPr>
        <w:fldChar w:fldCharType="begin" w:dirty="true"/>
      </w:r>
      <w:r>
        <w:rPr>
          <w:vertAlign w:val="superscript"/>
          <w:rtl/>
        </w:rPr>
        <w:instrText xml:space="preserve"> REF b2_note93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93</w:t>
      </w:r>
      <w:r>
        <w:rPr>
          <w:vertAlign w:val="superscript"/>
          <w:rtl/>
        </w:rPr>
        <w:fldChar w:fldCharType="end"/>
      </w:r>
      <w:r>
        <w:rPr>
          <w:rtl/>
        </w:rPr>
        <w:t xml:space="preserve"> של כנסת ישראל, ר׳ </w:t>
      </w:r>
      <w:proofErr w:type="spellStart"/>
      <w:r>
        <w:rPr>
          <w:rtl/>
        </w:rPr>
        <w:t>נתן־צבי</w:t>
      </w:r>
      <w:proofErr w:type="spellEnd"/>
      <w:r>
        <w:rPr>
          <w:rtl/>
        </w:rPr>
        <w:t xml:space="preserve"> פינקל,</w:t>
      </w:r>
      <w:r>
        <w:rPr>
          <w:vertAlign w:val="superscript"/>
          <w:rtl/>
        </w:rPr>
        <w:fldChar w:fldCharType="begin" w:dirty="true"/>
      </w:r>
      <w:r>
        <w:rPr>
          <w:vertAlign w:val="superscript"/>
          <w:rtl/>
        </w:rPr>
        <w:instrText xml:space="preserve"> REF b2_note92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92</w:t>
      </w:r>
      <w:r>
        <w:rPr>
          <w:vertAlign w:val="superscript"/>
          <w:rtl/>
        </w:rPr>
        <w:fldChar w:fldCharType="end"/>
      </w:r>
      <w:r>
        <w:rPr>
          <w:rtl/>
        </w:rPr>
        <w:t xml:space="preserve"> לשים עין על אהרן פינס הצעיר בשעה שישהה ראובן בעיר הולדתו, ולנסות להביאו לישיבתו שבסלבודקה.</w:t>
      </w:r>
      <w:bookmarkStart w:id="1119" w:name="b2_ref94"/>
      <w:bookmarkEnd w:id="1119"/>
      <w:r>
        <w:rPr>
          <w:vertAlign w:val="superscript"/>
          <w:rtl/>
        </w:rPr>
        <w:fldChar w:fldCharType="begin" w:dirty="true"/>
      </w:r>
      <w:r>
        <w:rPr>
          <w:vertAlign w:val="superscript"/>
          <w:rtl/>
        </w:rPr>
        <w:instrText xml:space="preserve"> REF b2_note94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94</w:t>
      </w:r>
      <w:r>
        <w:rPr>
          <w:vertAlign w:val="superscript"/>
          <w:rtl/>
        </w:rPr>
        <w:fldChar w:fldCharType="end"/>
      </w:r>
      <w:r>
        <w:rPr>
          <w:rtl/>
        </w:rPr>
        <w:t xml:space="preserve"> עם שובו למינסק נקשר ראובן בידידות קרובה עם </w:t>
      </w:r>
      <w:proofErr w:type="spellStart"/>
      <w:r>
        <w:rPr>
          <w:rtl/>
        </w:rPr>
        <w:t>הסיסלוביצ׳ר</w:t>
      </w:r>
      <w:proofErr w:type="spellEnd"/>
      <w:r>
        <w:rPr>
          <w:rtl/>
        </w:rPr>
        <w:t xml:space="preserve"> ועם ידידו </w:t>
      </w:r>
      <w:proofErr w:type="spellStart"/>
      <w:r>
        <w:rPr>
          <w:rtl/>
        </w:rPr>
        <w:t>הדולהינובר</w:t>
      </w:r>
      <w:proofErr w:type="spellEnd"/>
      <w:r>
        <w:rPr>
          <w:rtl/>
        </w:rPr>
        <w:t>.</w:t>
      </w:r>
    </w:p>
    <w:bookmarkStart w:id="1120" w:name="b2_note91"/>
    <w:p w14:paraId="7A0A2C0D" w14:textId="5BE35B2B" w:rsidR="00AB3647" w:rsidRDefault="00000000" w:rsidP="007923E9">
      <w:pPr>
        <w:spacing w:before="120" w:after="100" w:line="276" w:lineRule="auto"/>
        <w:jc w:val="both"/>
      </w:pPr>
      <w:r>
        <w:fldChar w:fldCharType="begin" w:dirty="true"/>
      </w:r>
      <w:r>
        <w:instrText>HYPERLINK \l "b2_ref91"</w:instrText>
      </w:r>
      <w:r>
        <w:fldChar w:fldCharType="separate"/>
      </w:r>
      <w:r>
        <w:rPr>
          <w:b/>
          <w:bCs/>
          <w:rtl/>
        </w:rPr>
        <w:t>91</w:t>
      </w:r>
      <w:r>
        <w:rPr>
          <w:b/>
          <w:bCs/>
        </w:rPr>
        <w:fldChar w:fldCharType="end"/>
      </w:r>
      <w:bookmarkEnd w:id="1120"/>
      <w:r>
        <w:rPr>
          <w:rtl/>
        </w:rPr>
        <w:t xml:space="preserve"> ר׳ מרדכי שיין</w:t>
      </w:r>
      <w:bookmarkStart w:id="1121" w:name="_fnr657"/>
      <w:r>
        <w:rPr>
          <w:rStyle w:val="a5"/>
        </w:rPr>
        <w:footnoteReference w:id="657" w:customMarkFollows="0"/>
      </w:r>
      <w:bookmarkEnd w:id="1121"/>
      <w:r>
        <w:rPr>
          <w:rtl/>
        </w:rPr>
        <w:t xml:space="preserve"> אמר בשם רבנו שר׳ ראובן בא </w:t>
      </w:r>
      <w:proofErr w:type="spellStart"/>
      <w:r>
        <w:rPr>
          <w:rtl/>
        </w:rPr>
        <w:t>לסלבודקה</w:t>
      </w:r>
      <w:proofErr w:type="spellEnd"/>
      <w:r>
        <w:rPr>
          <w:rtl/>
        </w:rPr>
        <w:t xml:space="preserve"> </w:t>
      </w:r>
      <w:r>
        <w:rPr>
          <w:b/>
          <w:bCs/>
          <w:rtl/>
        </w:rPr>
        <w:t>אחרי</w:t>
      </w:r>
      <w:r>
        <w:rPr>
          <w:rtl/>
        </w:rPr>
        <w:t xml:space="preserve"> שהוא ור׳ אהרן הגיעו לשם, באביב תרס״ו. כדי ליישב זאת עם המקורות המהימנים לחלוטין המעידים שר׳ ראובן היה </w:t>
      </w:r>
      <w:proofErr w:type="spellStart"/>
      <w:r>
        <w:rPr>
          <w:rtl/>
        </w:rPr>
        <w:t>בסלבודקה</w:t>
      </w:r>
      <w:proofErr w:type="spellEnd"/>
      <w:r>
        <w:rPr>
          <w:rtl/>
        </w:rPr>
        <w:t xml:space="preserve"> בזמן מוקדם יותר,</w:t>
      </w:r>
      <w:bookmarkStart w:id="1122" w:name="_fnr658"/>
      <w:r>
        <w:rPr>
          <w:rStyle w:val="a5"/>
        </w:rPr>
        <w:footnoteReference w:id="658" w:customMarkFollows="0"/>
      </w:r>
      <w:bookmarkEnd w:id="1122"/>
      <w:r>
        <w:rPr>
          <w:rtl/>
        </w:rPr>
        <w:t xml:space="preserve"> עלינו לומר שר׳ ראובן למד </w:t>
      </w:r>
      <w:proofErr w:type="spellStart"/>
      <w:r>
        <w:rPr>
          <w:rtl/>
        </w:rPr>
        <w:t>בסלבודקה</w:t>
      </w:r>
      <w:proofErr w:type="spellEnd"/>
      <w:r>
        <w:rPr>
          <w:rtl/>
        </w:rPr>
        <w:t xml:space="preserve"> בחורף תרס״ה, כשהיה בן </w:t>
      </w:r>
      <w:proofErr w:type="spellStart"/>
      <w:r>
        <w:rPr>
          <w:rtl/>
        </w:rPr>
        <w:t>שמונה־עשרה</w:t>
      </w:r>
      <w:proofErr w:type="spellEnd"/>
      <w:r>
        <w:rPr>
          <w:rtl/>
        </w:rPr>
        <w:t xml:space="preserve">, ואולי גם בקיץ שאחריו, ואחר כך חזר למינסק מסיבות שאינן ידועות. לאחר מכן </w:t>
      </w:r>
      <w:r>
        <w:rPr>
          <w:b/>
          <w:bCs/>
          <w:rtl/>
        </w:rPr>
        <w:t>חזר</w:t>
      </w:r>
      <w:r>
        <w:rPr>
          <w:rtl/>
        </w:rPr>
        <w:t xml:space="preserve"> </w:t>
      </w:r>
      <w:proofErr w:type="spellStart"/>
      <w:r>
        <w:rPr>
          <w:rtl/>
        </w:rPr>
        <w:t>לסלבודקה</w:t>
      </w:r>
      <w:proofErr w:type="spellEnd"/>
      <w:r>
        <w:rPr>
          <w:rtl/>
        </w:rPr>
        <w:t xml:space="preserve"> </w:t>
      </w:r>
      <w:r>
        <w:rPr>
          <w:b/>
          <w:bCs/>
          <w:rtl/>
        </w:rPr>
        <w:t>אחרי</w:t>
      </w:r>
      <w:r>
        <w:rPr>
          <w:rtl/>
        </w:rPr>
        <w:t xml:space="preserve"> ששני ידידיו הצעירים כבר הגיעו לשם – מן הסתם זמן לא רב אחרי בואם (השווה הערה </w:t>
      </w:r>
      <w:r>
        <w:rPr>
          <w:rtl/>
        </w:rPr>
        <w:fldChar w:fldCharType="begin" w:dirty="true"/>
      </w:r>
      <w:r>
        <w:rPr>
          <w:rtl/>
        </w:rPr>
        <w:instrText xml:space="preserve"> REF b2_note106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106</w:t>
      </w:r>
      <w:r>
        <w:rPr>
          <w:rtl/>
        </w:rPr>
        <w:fldChar w:fldCharType="end"/>
      </w:r>
      <w:r>
        <w:rPr>
          <w:rtl/>
        </w:rPr>
        <w:t xml:space="preserve"> להלן).</w:t>
      </w:r>
    </w:p>
    <w:p w14:paraId="7348E6FB" w14:textId="3C2D5A3C" w:rsidR="00AB3647" w:rsidRDefault="00000000" w:rsidP="007923E9">
      <w:pPr>
        <w:spacing w:before="120" w:after="100" w:line="276" w:lineRule="auto"/>
        <w:jc w:val="both"/>
      </w:pPr>
      <w:r>
        <w:rPr>
          <w:rtl/>
        </w:rPr>
        <w:t>בהתחשב בדרכיו הנעלמות של הסבא,</w:t>
      </w:r>
      <w:bookmarkStart w:id="1123" w:name="_fnr659"/>
      <w:r>
        <w:rPr>
          <w:rStyle w:val="a5"/>
        </w:rPr>
        <w:footnoteReference w:id="659" w:customMarkFollows="0"/>
      </w:r>
      <w:bookmarkEnd w:id="1123"/>
      <w:r>
        <w:rPr>
          <w:rtl/>
        </w:rPr>
        <w:t xml:space="preserve"> אפשר שחזרתו של ר׳ ראובן למינסק תוכננה במיוחד לשם החזרת ר׳ אהרן </w:t>
      </w:r>
      <w:proofErr w:type="spellStart"/>
      <w:r>
        <w:rPr>
          <w:rtl/>
        </w:rPr>
        <w:t>לסלבודקה</w:t>
      </w:r>
      <w:proofErr w:type="spellEnd"/>
      <w:r>
        <w:rPr>
          <w:rtl/>
        </w:rPr>
        <w:t xml:space="preserve">, כאמור בהערה </w:t>
      </w:r>
      <w:r>
        <w:rPr>
          <w:rtl/>
        </w:rPr>
        <w:fldChar w:fldCharType="begin" w:dirty="true"/>
      </w:r>
      <w:r>
        <w:rPr>
          <w:rtl/>
        </w:rPr>
        <w:instrText xml:space="preserve"> REF b2_note94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94</w:t>
      </w:r>
      <w:r>
        <w:rPr>
          <w:rtl/>
        </w:rPr>
        <w:fldChar w:fldCharType="end"/>
      </w:r>
      <w:r>
        <w:rPr>
          <w:rtl/>
        </w:rPr>
        <w:t xml:space="preserve"> להלן. ולפי זה, משנתמלאה השליחות, החזיר הסבא את תלמידו הנאמן, ראובן, </w:t>
      </w:r>
      <w:proofErr w:type="spellStart"/>
      <w:r>
        <w:rPr>
          <w:rtl/>
        </w:rPr>
        <w:t>לסלבודקה</w:t>
      </w:r>
      <w:proofErr w:type="spellEnd"/>
      <w:r>
        <w:rPr>
          <w:rtl/>
        </w:rPr>
        <w:t>.</w:t>
      </w:r>
    </w:p>
    <w:bookmarkStart w:id="1124" w:name="b2_note92"/>
    <w:p w14:paraId="4ED2198D" w14:textId="77777777" w:rsidR="00AB3647" w:rsidRDefault="00000000" w:rsidP="007923E9">
      <w:pPr>
        <w:spacing w:before="120" w:after="100" w:line="276" w:lineRule="auto"/>
        <w:jc w:val="both"/>
      </w:pPr>
      <w:r>
        <w:fldChar w:fldCharType="begin" w:dirty="true"/>
      </w:r>
      <w:r>
        <w:instrText>HYPERLINK \l "b2_ref92"</w:instrText>
      </w:r>
      <w:r>
        <w:fldChar w:fldCharType="separate"/>
      </w:r>
      <w:r>
        <w:rPr>
          <w:b/>
          <w:bCs/>
          <w:rtl/>
        </w:rPr>
        <w:t>92</w:t>
      </w:r>
      <w:r>
        <w:rPr>
          <w:b/>
          <w:bCs/>
        </w:rPr>
        <w:fldChar w:fldCharType="end"/>
      </w:r>
      <w:bookmarkEnd w:id="1124"/>
      <w:r>
        <w:rPr>
          <w:rtl/>
        </w:rPr>
        <w:t xml:space="preserve"> ראה פרק 3.1.</w:t>
      </w:r>
    </w:p>
    <w:bookmarkStart w:id="1125" w:name="b2_note93"/>
    <w:p w14:paraId="6D2B257D" w14:textId="77777777" w:rsidR="00AB3647" w:rsidRDefault="00000000" w:rsidP="007923E9">
      <w:pPr>
        <w:spacing w:before="120" w:after="100" w:line="276" w:lineRule="auto"/>
        <w:jc w:val="both"/>
      </w:pPr>
      <w:r>
        <w:fldChar w:fldCharType="begin" w:dirty="true"/>
      </w:r>
      <w:r>
        <w:instrText>HYPERLINK \l "b2_ref93"</w:instrText>
      </w:r>
      <w:r>
        <w:fldChar w:fldCharType="separate"/>
      </w:r>
      <w:r>
        <w:rPr>
          <w:b/>
          <w:bCs/>
          <w:rtl/>
        </w:rPr>
        <w:t>93</w:t>
      </w:r>
      <w:r>
        <w:rPr>
          <w:b/>
          <w:bCs/>
        </w:rPr>
        <w:fldChar w:fldCharType="end"/>
      </w:r>
      <w:bookmarkEnd w:id="1125"/>
      <w:r>
        <w:rPr>
          <w:rtl/>
        </w:rPr>
        <w:t xml:space="preserve"> אבי אמר</w:t>
      </w:r>
      <w:bookmarkStart w:id="1126" w:name="_fnr660"/>
      <w:r>
        <w:rPr>
          <w:rStyle w:val="a5"/>
        </w:rPr>
        <w:footnoteReference w:id="660" w:customMarkFollows="0"/>
      </w:r>
      <w:bookmarkEnd w:id="1126"/>
      <w:r>
        <w:rPr>
          <w:rtl/>
        </w:rPr>
        <w:t xml:space="preserve"> שכשהגיע </w:t>
      </w:r>
      <w:proofErr w:type="spellStart"/>
      <w:r>
        <w:rPr>
          <w:rtl/>
        </w:rPr>
        <w:t>לסלבודקה</w:t>
      </w:r>
      <w:proofErr w:type="spellEnd"/>
      <w:r>
        <w:rPr>
          <w:rtl/>
        </w:rPr>
        <w:t xml:space="preserve"> כבר נקרא ר׳ </w:t>
      </w:r>
      <w:proofErr w:type="spellStart"/>
      <w:r>
        <w:rPr>
          <w:rtl/>
        </w:rPr>
        <w:t>נתן־צבי</w:t>
      </w:r>
      <w:proofErr w:type="spellEnd"/>
      <w:r>
        <w:rPr>
          <w:rtl/>
        </w:rPr>
        <w:t xml:space="preserve"> </w:t>
      </w:r>
      <w:proofErr w:type="spellStart"/>
      <w:r>
        <w:rPr>
          <w:rtl/>
        </w:rPr>
        <w:t>פינקל</w:t>
      </w:r>
      <w:proofErr w:type="spellEnd"/>
      <w:r>
        <w:rPr>
          <w:rtl/>
        </w:rPr>
        <w:t xml:space="preserve"> “</w:t>
      </w:r>
      <w:proofErr w:type="spellStart"/>
      <w:r>
        <w:rPr>
          <w:rtl/>
        </w:rPr>
        <w:t>דער</w:t>
      </w:r>
      <w:proofErr w:type="spellEnd"/>
      <w:r>
        <w:rPr>
          <w:rtl/>
        </w:rPr>
        <w:t xml:space="preserve"> </w:t>
      </w:r>
      <w:proofErr w:type="spellStart"/>
      <w:r>
        <w:rPr>
          <w:rtl/>
        </w:rPr>
        <w:t>אלטער</w:t>
      </w:r>
      <w:proofErr w:type="spellEnd"/>
      <w:r>
        <w:rPr>
          <w:rtl/>
        </w:rPr>
        <w:t xml:space="preserve">” (הזקן; הסבא), והכינוי הובן בבירור במובן “המשגיח הזקן”. התואר בא להבחין בינו לבין המשגיח הצעיר, ר׳ </w:t>
      </w:r>
      <w:proofErr w:type="spellStart"/>
      <w:r>
        <w:rPr>
          <w:rtl/>
        </w:rPr>
        <w:t xml:space="preserve">בער־הירש</w:t>
      </w:r>
      <w:proofErr w:type="spellEnd"/>
      <w:r>
        <w:rPr>
          <w:rtl/>
        </w:rPr>
        <w:t xml:space="preserve"> </w:t>
      </w:r>
      <w:proofErr w:type="spellStart"/>
      <w:r>
        <w:rPr>
          <w:rtl/>
        </w:rPr>
        <w:t xml:space="preserve">הלר</w:t>
      </w:r>
      <w:proofErr w:type="spellEnd"/>
      <w:r>
        <w:rPr>
          <w:rtl/>
        </w:rPr>
        <w:t xml:space="preserve">, שבתו, </w:t>
      </w:r>
      <w:proofErr w:type="spellStart"/>
      <w:r>
        <w:rPr>
          <w:rtl/>
        </w:rPr>
        <w:t>עטיל</w:t>
      </w:r>
      <w:proofErr w:type="spellEnd"/>
      <w:r>
        <w:rPr>
          <w:rtl/>
        </w:rPr>
        <w:t xml:space="preserve">, נישאה לימים לאבי, והיא אמי הצדקת. ר׳ מאיר </w:t>
      </w:r>
      <w:r>
        <w:rPr>
          <w:rtl/>
        </w:rPr>
        <w:lastRenderedPageBreak/>
        <w:t>ליברמן סיפר</w:t>
      </w:r>
      <w:bookmarkStart w:id="1127" w:name="_fnr661"/>
      <w:r>
        <w:rPr>
          <w:rStyle w:val="a5"/>
        </w:rPr>
        <w:footnoteReference w:id="661" w:customMarkFollows="0"/>
      </w:r>
      <w:bookmarkEnd w:id="1127"/>
      <w:r>
        <w:rPr>
          <w:rtl/>
        </w:rPr>
        <w:t xml:space="preserve"> שאחיו, תלמיד </w:t>
      </w:r>
      <w:proofErr w:type="spellStart"/>
      <w:r>
        <w:rPr>
          <w:rtl/>
        </w:rPr>
        <w:t>סלבודקה</w:t>
      </w:r>
      <w:proofErr w:type="spellEnd"/>
      <w:r>
        <w:rPr>
          <w:rtl/>
        </w:rPr>
        <w:t xml:space="preserve"> ר׳ שאול,</w:t>
      </w:r>
      <w:bookmarkStart w:id="1128" w:name="_fnr662"/>
      <w:r>
        <w:rPr>
          <w:rStyle w:val="a5"/>
        </w:rPr>
        <w:footnoteReference w:id="662" w:customMarkFollows="0"/>
      </w:r>
      <w:bookmarkEnd w:id="1128"/>
      <w:r>
        <w:rPr>
          <w:rtl/>
        </w:rPr>
        <w:t xml:space="preserve"> אמר לו שההבחנה הייתה נחוצה משום ששני המשגיחים נקראו “הירש”: ר׳ </w:t>
      </w:r>
      <w:proofErr w:type="spellStart"/>
      <w:r>
        <w:rPr>
          <w:rtl/>
        </w:rPr>
        <w:t>נטע־</w:t>
      </w:r>
      <w:r>
        <w:rPr>
          <w:b/>
          <w:bCs/>
          <w:rtl/>
        </w:rPr>
        <w:t>הירש</w:t>
      </w:r>
      <w:proofErr w:type="spellEnd"/>
      <w:r>
        <w:rPr>
          <w:rtl/>
        </w:rPr>
        <w:t xml:space="preserve"> ור׳ </w:t>
      </w:r>
      <w:proofErr w:type="spellStart"/>
      <w:r>
        <w:rPr>
          <w:rtl/>
        </w:rPr>
        <w:t xml:space="preserve">בער־</w:t>
      </w:r>
      <w:r>
        <w:rPr>
          <w:b/>
          <w:bCs/>
          <w:rtl/>
        </w:rPr>
        <w:t>הירש</w:t>
      </w:r>
      <w:proofErr w:type="spellEnd"/>
      <w:r>
        <w:rPr>
          <w:rtl/>
        </w:rPr>
        <w:t>.</w:t>
      </w:r>
    </w:p>
    <w:p w14:paraId="2B4A2280" w14:textId="77777777" w:rsidR="00AB3647" w:rsidRDefault="00000000" w:rsidP="007923E9">
      <w:pPr>
        <w:spacing w:before="120" w:after="100" w:line="276" w:lineRule="auto"/>
        <w:jc w:val="both"/>
      </w:pPr>
      <w:r>
        <w:rPr>
          <w:rtl/>
        </w:rPr>
        <w:t xml:space="preserve">העיתונאי הירש ליב גורדון, המתנגד לתנועת המוסר, פרסם בהמשכים בכמה גיליונות של “הדואר” (תשכ״ה) מאמר בשם “על גדות </w:t>
      </w:r>
      <w:proofErr w:type="spellStart"/>
      <w:r>
        <w:rPr>
          <w:rtl/>
        </w:rPr>
        <w:t>הויליה</w:t>
      </w:r>
      <w:proofErr w:type="spellEnd"/>
      <w:r>
        <w:rPr>
          <w:rtl/>
        </w:rPr>
        <w:t xml:space="preserve"> </w:t>
      </w:r>
      <w:proofErr w:type="spellStart"/>
      <w:r>
        <w:rPr>
          <w:rtl/>
        </w:rPr>
        <w:t>והנימן</w:t>
      </w:r>
      <w:proofErr w:type="spellEnd"/>
      <w:r>
        <w:rPr>
          <w:rtl/>
        </w:rPr>
        <w:t>”, ושם הוא אומר:</w:t>
      </w:r>
      <w:bookmarkStart w:id="1129" w:name="_fnr663"/>
      <w:r>
        <w:rPr>
          <w:rStyle w:val="a5"/>
        </w:rPr>
        <w:footnoteReference w:id="663" w:customMarkFollows="0"/>
      </w:r>
      <w:bookmarkEnd w:id="1129"/>
      <w:r>
        <w:rPr>
          <w:rtl/>
        </w:rPr>
        <w:t xml:space="preserve"> “ר׳ </w:t>
      </w:r>
      <w:proofErr w:type="spellStart"/>
      <w:r>
        <w:rPr>
          <w:rtl/>
        </w:rPr>
        <w:t>נתן־צבי</w:t>
      </w:r>
      <w:proofErr w:type="spellEnd"/>
      <w:r>
        <w:rPr>
          <w:rtl/>
        </w:rPr>
        <w:t xml:space="preserve"> </w:t>
      </w:r>
      <w:proofErr w:type="spellStart"/>
      <w:r>
        <w:rPr>
          <w:rtl/>
        </w:rPr>
        <w:t>פינקל</w:t>
      </w:r>
      <w:proofErr w:type="spellEnd"/>
      <w:r>
        <w:rPr>
          <w:rtl/>
        </w:rPr>
        <w:t>, שבזמני עדיין לא כינוהו ‘הסבא’, היה מטייל בישיבה בענווה חיצונית, אבל הכול ידעו כי העוז והממשלה</w:t>
      </w:r>
      <w:bookmarkStart w:id="1130" w:name="_fnr664"/>
      <w:r>
        <w:rPr>
          <w:rStyle w:val="a5"/>
        </w:rPr>
        <w:footnoteReference w:id="664" w:customMarkFollows="0"/>
      </w:r>
      <w:bookmarkEnd w:id="1130"/>
      <w:r>
        <w:rPr>
          <w:rtl/>
        </w:rPr>
        <w:t xml:space="preserve"> שלו הם”. גורדון הגיע </w:t>
      </w:r>
      <w:proofErr w:type="spellStart"/>
      <w:r>
        <w:rPr>
          <w:rtl/>
        </w:rPr>
        <w:t>לסלבודקה</w:t>
      </w:r>
      <w:proofErr w:type="spellEnd"/>
      <w:r>
        <w:rPr>
          <w:rtl/>
        </w:rPr>
        <w:t xml:space="preserve"> </w:t>
      </w:r>
      <w:proofErr w:type="spellStart"/>
      <w:r>
        <w:rPr>
          <w:rtl/>
        </w:rPr>
        <w:t>בתרס״ה</w:t>
      </w:r>
      <w:proofErr w:type="spellEnd"/>
      <w:r>
        <w:rPr>
          <w:rtl/>
        </w:rPr>
        <w:t xml:space="preserve"> ו</w:t>
      </w:r>
      <w:r>
        <w:rPr>
          <w:b/>
          <w:bCs/>
          <w:rtl/>
        </w:rPr>
        <w:t>סיים</w:t>
      </w:r>
      <w:r>
        <w:rPr>
          <w:rtl/>
        </w:rPr>
        <w:t xml:space="preserve"> את שהותו שם </w:t>
      </w:r>
      <w:proofErr w:type="spellStart"/>
      <w:r>
        <w:rPr>
          <w:rtl/>
        </w:rPr>
        <w:t>בתרס״ז</w:t>
      </w:r>
      <w:proofErr w:type="spellEnd"/>
      <w:r>
        <w:rPr>
          <w:rtl/>
        </w:rPr>
        <w:t xml:space="preserve">, שנה אחרי בואו של רבנו. אף על פי כן ודאי לא ידע על כינויו של הסבא </w:t>
      </w:r>
      <w:proofErr w:type="spellStart"/>
      <w:r>
        <w:rPr>
          <w:rtl/>
        </w:rPr>
        <w:t>מסלבודקה</w:t>
      </w:r>
      <w:proofErr w:type="spellEnd"/>
      <w:r>
        <w:rPr>
          <w:rtl/>
        </w:rPr>
        <w:t xml:space="preserve">, משום שלמד לא בישיבת הסבא אלא בישיבתו של ר׳ </w:t>
      </w:r>
      <w:proofErr w:type="spellStart"/>
      <w:r>
        <w:rPr>
          <w:rtl/>
        </w:rPr>
        <w:t>ברוך־בער</w:t>
      </w:r>
      <w:proofErr w:type="spellEnd"/>
      <w:r>
        <w:rPr>
          <w:rtl/>
        </w:rPr>
        <w:t xml:space="preserve">. תלמיד אחר של ר׳ </w:t>
      </w:r>
      <w:proofErr w:type="spellStart"/>
      <w:r>
        <w:rPr>
          <w:rtl/>
        </w:rPr>
        <w:t>ברוך־בער</w:t>
      </w:r>
      <w:proofErr w:type="spellEnd"/>
      <w:r>
        <w:rPr>
          <w:rtl/>
        </w:rPr>
        <w:t xml:space="preserve">, ר׳ קופל </w:t>
      </w:r>
      <w:proofErr w:type="spellStart"/>
      <w:r>
        <w:rPr>
          <w:rtl/>
        </w:rPr>
        <w:t>וולפרט</w:t>
      </w:r>
      <w:proofErr w:type="spellEnd"/>
      <w:r>
        <w:rPr>
          <w:rtl/>
        </w:rPr>
        <w:t xml:space="preserve">, שבא </w:t>
      </w:r>
      <w:proofErr w:type="spellStart"/>
      <w:r>
        <w:rPr>
          <w:rtl/>
        </w:rPr>
        <w:t>לסלבודקה</w:t>
      </w:r>
      <w:proofErr w:type="spellEnd"/>
      <w:r>
        <w:rPr>
          <w:rtl/>
        </w:rPr>
        <w:t xml:space="preserve"> בדיוק באותו זמן שבא גורדון,</w:t>
      </w:r>
      <w:bookmarkStart w:id="1131" w:name="_fnr665"/>
      <w:r>
        <w:rPr>
          <w:rStyle w:val="a5"/>
        </w:rPr>
        <w:footnoteReference w:id="665" w:customMarkFollows="0"/>
      </w:r>
      <w:bookmarkEnd w:id="1131"/>
      <w:r>
        <w:rPr>
          <w:rtl/>
        </w:rPr>
        <w:t xml:space="preserve"> אכן זכר את הכינוי “</w:t>
      </w:r>
      <w:proofErr w:type="spellStart"/>
      <w:r>
        <w:rPr>
          <w:rtl/>
        </w:rPr>
        <w:t>אלטער</w:t>
      </w:r>
      <w:proofErr w:type="spellEnd"/>
      <w:r>
        <w:rPr>
          <w:rtl/>
        </w:rPr>
        <w:t xml:space="preserve">” (יחד עם כינוי נוסף) מזמן בואו, שנה לפני אבי. ולמעשה, ר׳ קופל שמע לראשונה שהסבא </w:t>
      </w:r>
      <w:proofErr w:type="spellStart"/>
      <w:r>
        <w:rPr>
          <w:rtl/>
        </w:rPr>
        <w:t>מסלבודקה</w:t>
      </w:r>
      <w:proofErr w:type="spellEnd"/>
      <w:r>
        <w:rPr>
          <w:rtl/>
        </w:rPr>
        <w:t xml:space="preserve"> נקרא “הסבא” </w:t>
      </w:r>
      <w:r>
        <w:rPr>
          <w:b/>
          <w:bCs/>
          <w:rtl/>
        </w:rPr>
        <w:t>בביקור בישיבת הסבא</w:t>
      </w:r>
      <w:r>
        <w:rPr>
          <w:rtl/>
        </w:rPr>
        <w:t>.</w:t>
      </w:r>
      <w:bookmarkStart w:id="1132" w:name="_fnr666"/>
      <w:r>
        <w:rPr>
          <w:rStyle w:val="a5"/>
        </w:rPr>
        <w:footnoteReference w:id="666" w:customMarkFollows="0"/>
      </w:r>
      <w:bookmarkEnd w:id="1132"/>
    </w:p>
    <w:p w14:paraId="561A462A" w14:textId="127073DA" w:rsidR="00AB3647" w:rsidRDefault="00000000" w:rsidP="007923E9">
      <w:pPr>
        <w:spacing w:before="120" w:after="100" w:line="276" w:lineRule="auto"/>
        <w:jc w:val="both"/>
      </w:pPr>
      <w:r>
        <w:rPr>
          <w:rtl/>
        </w:rPr>
        <w:t xml:space="preserve">בגיליון זיכרון לרגל היארצייט הראשון של ר׳ </w:t>
      </w:r>
      <w:proofErr w:type="spellStart"/>
      <w:r>
        <w:rPr>
          <w:rtl/>
        </w:rPr>
        <w:t>נתן־צבי</w:t>
      </w:r>
      <w:proofErr w:type="spellEnd"/>
      <w:r>
        <w:rPr>
          <w:rtl/>
        </w:rPr>
        <w:t xml:space="preserve"> </w:t>
      </w:r>
      <w:proofErr w:type="spellStart"/>
      <w:r>
        <w:rPr>
          <w:rtl/>
        </w:rPr>
        <w:t>פינקל</w:t>
      </w:r>
      <w:bookmarkStart w:id="1133" w:name="_fnr667"/>
      <w:proofErr w:type="spellEnd"/>
      <w:r>
        <w:rPr>
          <w:rStyle w:val="a5"/>
        </w:rPr>
        <w:footnoteReference w:id="667" w:customMarkFollows="0"/>
      </w:r>
      <w:bookmarkEnd w:id="1133"/>
      <w:r>
        <w:rPr>
          <w:rtl/>
        </w:rPr>
        <w:t xml:space="preserve"> כותב העורך, ר׳ </w:t>
      </w:r>
      <w:proofErr w:type="spellStart"/>
      <w:r>
        <w:rPr>
          <w:rtl/>
        </w:rPr>
        <w:t>ישראל־זיסל</w:t>
      </w:r>
      <w:proofErr w:type="spellEnd"/>
      <w:r>
        <w:rPr>
          <w:rtl/>
        </w:rPr>
        <w:t xml:space="preserve"> </w:t>
      </w:r>
      <w:proofErr w:type="spellStart"/>
      <w:r>
        <w:rPr>
          <w:rtl/>
        </w:rPr>
        <w:t>דבורץ</w:t>
      </w:r>
      <w:proofErr w:type="spellEnd"/>
      <w:r>
        <w:rPr>
          <w:rtl/>
        </w:rPr>
        <w:t>, במאמר ביוגרפי,</w:t>
      </w:r>
      <w:bookmarkStart w:id="1134" w:name="_fnr668"/>
      <w:r>
        <w:rPr>
          <w:rStyle w:val="a5"/>
        </w:rPr>
        <w:footnoteReference w:id="668" w:customMarkFollows="0"/>
      </w:r>
      <w:bookmarkEnd w:id="1134"/>
      <w:r>
        <w:rPr>
          <w:rtl/>
        </w:rPr>
        <w:t xml:space="preserve"> </w:t>
      </w:r>
      <w:proofErr w:type="spellStart"/>
      <w:r>
        <w:rPr>
          <w:rtl/>
        </w:rPr>
        <w:t>ש“בתקופות</w:t>
      </w:r>
      <w:proofErr w:type="spellEnd"/>
      <w:r>
        <w:rPr>
          <w:rtl/>
        </w:rPr>
        <w:t xml:space="preserve"> שונות” נודע </w:t>
      </w:r>
      <w:proofErr w:type="spellStart"/>
      <w:r>
        <w:rPr>
          <w:rtl/>
        </w:rPr>
        <w:t>פינקל</w:t>
      </w:r>
      <w:proofErr w:type="spellEnd"/>
      <w:r>
        <w:rPr>
          <w:rtl/>
        </w:rPr>
        <w:t xml:space="preserve"> בתארים שונים – משגיח, משגיח עליון, מנהל. ר׳ </w:t>
      </w:r>
      <w:proofErr w:type="spellStart"/>
      <w:r>
        <w:rPr>
          <w:rtl/>
        </w:rPr>
        <w:t>ישראל־זיסל</w:t>
      </w:r>
      <w:proofErr w:type="spellEnd"/>
      <w:r>
        <w:rPr>
          <w:rtl/>
        </w:rPr>
        <w:t xml:space="preserve">, שהיה מזכיר הישיבה בזמן בואו של אבי, ודאי מתכוון </w:t>
      </w:r>
      <w:proofErr w:type="spellStart"/>
      <w:r>
        <w:rPr>
          <w:rtl/>
        </w:rPr>
        <w:t>ל“תקופות</w:t>
      </w:r>
      <w:proofErr w:type="spellEnd"/>
      <w:r>
        <w:rPr>
          <w:rtl/>
        </w:rPr>
        <w:t xml:space="preserve"> שונות” מוקדמות מזו שתיאר רבנו. התואר “משגיח עליון”, המורה על כך שהיה בישיבה משגיח אחר, “תחתון”, קדם כנראה לתואר “הסבא”, שנקלט. יש להציע שהסבא עצמו, בהתאם לאופיו</w:t>
      </w:r>
      <w:bookmarkStart w:id="1135" w:name="_fnr669"/>
      <w:r>
        <w:rPr>
          <w:rStyle w:val="a5"/>
        </w:rPr>
        <w:footnoteReference w:id="669" w:customMarkFollows="0"/>
      </w:r>
      <w:bookmarkEnd w:id="1135"/>
      <w:r>
        <w:rPr>
          <w:rtl/>
        </w:rPr>
        <w:t>, גרם לתלמידים להחליף את התואר ההיררכי “עליון” בתואר המקרי “</w:t>
      </w:r>
      <w:proofErr w:type="spellStart"/>
      <w:r>
        <w:rPr>
          <w:rtl/>
        </w:rPr>
        <w:t>אלטער</w:t>
      </w:r>
      <w:proofErr w:type="spellEnd"/>
      <w:r>
        <w:rPr>
          <w:rtl/>
        </w:rPr>
        <w:t xml:space="preserve">” (זקן), וכך לרמוז על הבדל בגיל בין משגיח אחד למשנהו, ולא על הבדל במעמד. השווה גם פרק 3, הערה </w:t>
      </w:r>
      <w:r>
        <w:rPr>
          <w:rtl/>
        </w:rPr>
        <w:fldChar w:fldCharType="begin" w:dirty="true"/>
      </w:r>
      <w:r>
        <w:rPr>
          <w:rtl/>
        </w:rPr>
        <w:instrText xml:space="preserve"> REF b3_note102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102</w:t>
      </w:r>
      <w:r>
        <w:rPr>
          <w:rtl/>
        </w:rPr>
        <w:fldChar w:fldCharType="end"/>
      </w:r>
      <w:r>
        <w:rPr>
          <w:rtl/>
        </w:rPr>
        <w:t xml:space="preserve">. על תואר נוסף לסבא, שבו השתמש אדם מבחוץ, השווה הפסקה הראשונה בפרק 3, </w:t>
      </w:r>
      <w:r>
        <w:rPr>
          <w:rtl/>
        </w:rPr>
        <w:fldChar w:fldCharType="begin" w:dirty="true"/>
      </w:r>
      <w:r>
        <w:rPr>
          <w:rtl/>
        </w:rPr>
        <w:instrText xml:space="preserve"> REF b3_excGG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לג</w:t>
      </w:r>
      <w:r>
        <w:rPr>
          <w:rtl/>
        </w:rPr>
        <w:fldChar w:fldCharType="end"/>
      </w:r>
      <w:r>
        <w:rPr>
          <w:rtl/>
        </w:rPr>
        <w:t>.</w:t>
      </w:r>
    </w:p>
    <w:p w14:paraId="4902A5E7" w14:textId="77777777" w:rsidR="00AB3647" w:rsidRDefault="00000000" w:rsidP="007923E9">
      <w:pPr>
        <w:spacing w:after="100" w:line="276" w:lineRule="auto"/>
        <w:ind w:firstLine="340"/>
        <w:jc w:val="both"/>
      </w:pPr>
      <w:r>
        <w:rPr>
          <w:rtl/>
        </w:rPr>
        <w:t>בעניין התואר “</w:t>
      </w:r>
      <w:proofErr w:type="spellStart"/>
      <w:r>
        <w:rPr>
          <w:rtl/>
        </w:rPr>
        <w:t>אלטער</w:t>
      </w:r>
      <w:proofErr w:type="spellEnd"/>
      <w:r>
        <w:rPr>
          <w:rtl/>
        </w:rPr>
        <w:t xml:space="preserve">” שניתן </w:t>
      </w:r>
      <w:proofErr w:type="spellStart"/>
      <w:r>
        <w:rPr>
          <w:rtl/>
        </w:rPr>
        <w:t>לר</w:t>
      </w:r>
      <w:proofErr w:type="spellEnd"/>
      <w:r>
        <w:rPr>
          <w:rtl/>
        </w:rPr>
        <w:t xml:space="preserve">׳ </w:t>
      </w:r>
      <w:proofErr w:type="spellStart"/>
      <w:r>
        <w:rPr>
          <w:rtl/>
        </w:rPr>
        <w:t>שמחה־זיסל</w:t>
      </w:r>
      <w:proofErr w:type="spellEnd"/>
      <w:r>
        <w:rPr>
          <w:rtl/>
        </w:rPr>
        <w:t xml:space="preserve"> זיו מקלם, טוען דיווח </w:t>
      </w:r>
      <w:proofErr w:type="spellStart"/>
      <w:r>
        <w:rPr>
          <w:rtl/>
        </w:rPr>
        <w:t>ב“תודעה</w:t>
      </w:r>
      <w:proofErr w:type="spellEnd"/>
      <w:r>
        <w:rPr>
          <w:rtl/>
        </w:rPr>
        <w:t>”</w:t>
      </w:r>
      <w:bookmarkStart w:id="1136" w:name="_fnr670"/>
      <w:r>
        <w:rPr>
          <w:rStyle w:val="a5"/>
        </w:rPr>
        <w:footnoteReference w:id="670" w:customMarkFollows="0"/>
      </w:r>
      <w:bookmarkEnd w:id="1136"/>
      <w:r>
        <w:rPr>
          <w:rtl/>
        </w:rPr>
        <w:t xml:space="preserve"> שתלמידיו השתמשו בכינוי זה משום שחשו שאינם ספוגים די הצורך בתורתו כדי לקרוא לו פשוט “רבי” (שלהם) ולראות את עצמם תלמידיו – כשם שרבם עצמו נמנע מלקרוא לעצמו תלמידו של ר׳ ישראל </w:t>
      </w:r>
      <w:proofErr w:type="spellStart"/>
      <w:r>
        <w:rPr>
          <w:rtl/>
        </w:rPr>
        <w:t>סלנטר</w:t>
      </w:r>
      <w:proofErr w:type="spellEnd"/>
      <w:r>
        <w:rPr>
          <w:rtl/>
        </w:rPr>
        <w:t>.</w:t>
      </w:r>
      <w:bookmarkStart w:id="1137" w:name="_fnr671"/>
      <w:r>
        <w:rPr>
          <w:rStyle w:val="a5"/>
        </w:rPr>
        <w:footnoteReference w:id="671" w:customMarkFollows="0"/>
      </w:r>
      <w:bookmarkEnd w:id="1137"/>
    </w:p>
    <w:bookmarkStart w:id="1138" w:name="b2_note94"/>
    <w:p w14:paraId="05A3774C" w14:textId="069E1CEE" w:rsidR="00AB3647" w:rsidRDefault="00000000" w:rsidP="007923E9">
      <w:pPr>
        <w:spacing w:before="120" w:after="100" w:line="276" w:lineRule="auto"/>
        <w:jc w:val="both"/>
      </w:pPr>
      <w:r>
        <w:lastRenderedPageBreak/>
        <w:fldChar w:fldCharType="begin" w:dirty="true"/>
      </w:r>
      <w:r>
        <w:instrText>HYPERLINK \l "b2_ref94"</w:instrText>
      </w:r>
      <w:r>
        <w:fldChar w:fldCharType="separate"/>
      </w:r>
      <w:r>
        <w:rPr>
          <w:b/>
          <w:bCs/>
          <w:rtl/>
        </w:rPr>
        <w:t>94</w:t>
      </w:r>
      <w:r>
        <w:rPr>
          <w:b/>
          <w:bCs/>
        </w:rPr>
        <w:fldChar w:fldCharType="end"/>
      </w:r>
      <w:bookmarkEnd w:id="1138"/>
      <w:r>
        <w:rPr>
          <w:rtl/>
        </w:rPr>
        <w:t xml:space="preserve"> השווה ראש הערה </w:t>
      </w:r>
      <w:r>
        <w:rPr>
          <w:rtl/>
        </w:rPr>
        <w:fldChar w:fldCharType="begin" w:dirty="true"/>
      </w:r>
      <w:r>
        <w:rPr>
          <w:rtl/>
        </w:rPr>
        <w:instrText xml:space="preserve"> REF b2_note85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85</w:t>
      </w:r>
      <w:r>
        <w:rPr>
          <w:rtl/>
        </w:rPr>
        <w:fldChar w:fldCharType="end"/>
      </w:r>
      <w:r>
        <w:rPr>
          <w:rtl/>
        </w:rPr>
        <w:t xml:space="preserve"> לעיל. ר׳ </w:t>
      </w:r>
      <w:proofErr w:type="spellStart"/>
      <w:r>
        <w:rPr>
          <w:rtl/>
        </w:rPr>
        <w:t>אלעזר־מנחם־מן</w:t>
      </w:r>
      <w:proofErr w:type="spellEnd"/>
      <w:r>
        <w:rPr>
          <w:rtl/>
        </w:rPr>
        <w:t xml:space="preserve"> שך סיפר</w:t>
      </w:r>
      <w:bookmarkStart w:id="1139" w:name="_fnr672"/>
      <w:r>
        <w:rPr>
          <w:rStyle w:val="a5"/>
        </w:rPr>
        <w:footnoteReference w:id="672" w:customMarkFollows="0"/>
      </w:r>
      <w:bookmarkEnd w:id="1139"/>
      <w:r>
        <w:rPr>
          <w:rtl/>
        </w:rPr>
        <w:t xml:space="preserve"> </w:t>
      </w:r>
      <w:proofErr w:type="spellStart"/>
      <w:r>
        <w:rPr>
          <w:rtl/>
        </w:rPr>
        <w:t>ש“הסבא</w:t>
      </w:r>
      <w:proofErr w:type="spellEnd"/>
      <w:r>
        <w:rPr>
          <w:rtl/>
        </w:rPr>
        <w:t xml:space="preserve"> </w:t>
      </w:r>
      <w:proofErr w:type="spellStart"/>
      <w:r>
        <w:rPr>
          <w:rtl/>
        </w:rPr>
        <w:t>מסלבודקה</w:t>
      </w:r>
      <w:proofErr w:type="spellEnd"/>
      <w:r>
        <w:rPr>
          <w:rtl/>
        </w:rPr>
        <w:t xml:space="preserve"> שמע </w:t>
      </w:r>
      <w:r>
        <w:rPr>
          <w:b/>
          <w:bCs/>
          <w:rtl/>
        </w:rPr>
        <w:t>שיש נער טוב מבית פינס במינסק</w:t>
      </w:r>
      <w:r>
        <w:rPr>
          <w:rtl/>
        </w:rPr>
        <w:t xml:space="preserve">, ושלח שליחים </w:t>
      </w:r>
      <w:r>
        <w:rPr>
          <w:b/>
          <w:bCs/>
          <w:rtl/>
        </w:rPr>
        <w:t xml:space="preserve">להביאו </w:t>
      </w:r>
      <w:proofErr w:type="spellStart"/>
      <w:r>
        <w:rPr>
          <w:b/>
          <w:bCs/>
          <w:rtl/>
        </w:rPr>
        <w:t>לסלבודקה</w:t>
      </w:r>
      <w:proofErr w:type="spellEnd"/>
      <w:r>
        <w:rPr>
          <w:rtl/>
        </w:rPr>
        <w:t xml:space="preserve"> (ההדגשה שלי)”. קרוב לוודאי ששמעו של ר׳ אהרן כעילוי צעיר הגיע לאוזני הסבא </w:t>
      </w:r>
      <w:r>
        <w:rPr>
          <w:b/>
          <w:bCs/>
          <w:rtl/>
        </w:rPr>
        <w:t>בזמן</w:t>
      </w:r>
      <w:r>
        <w:rPr>
          <w:rtl/>
        </w:rPr>
        <w:t xml:space="preserve"> שלמד בכנסת בית יצחק, ובפרט שר׳ אהרן היה בא לישיבת הסבא, כנסת ישראל, לדבר בלימוד (לפחות עם ר׳ </w:t>
      </w:r>
      <w:proofErr w:type="spellStart"/>
      <w:r>
        <w:rPr>
          <w:rtl/>
        </w:rPr>
        <w:t>יחיאל־יעקב</w:t>
      </w:r>
      <w:proofErr w:type="spellEnd"/>
      <w:r>
        <w:rPr>
          <w:rtl/>
        </w:rPr>
        <w:t xml:space="preserve"> ויינברג, כאמור בסוף נספח ד בפרק זה). מעברו למינסק רק </w:t>
      </w:r>
      <w:proofErr w:type="spellStart"/>
      <w:r>
        <w:rPr>
          <w:rtl/>
        </w:rPr>
        <w:t>איפשר</w:t>
      </w:r>
      <w:proofErr w:type="spellEnd"/>
      <w:r>
        <w:rPr>
          <w:rtl/>
        </w:rPr>
        <w:t xml:space="preserve"> לסבא לרדוף אחריו לטובת ישיבתו שלו, כמבואר בפרק 3, </w:t>
      </w:r>
      <w:r>
        <w:rPr>
          <w:rtl/>
        </w:rPr>
        <w:fldChar w:fldCharType="begin" w:dirty="true"/>
      </w:r>
      <w:r>
        <w:rPr>
          <w:rtl/>
        </w:rPr>
        <w:instrText xml:space="preserve"> REF b3_excII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לה</w:t>
      </w:r>
      <w:r>
        <w:rPr>
          <w:rtl/>
        </w:rPr>
        <w:fldChar w:fldCharType="end"/>
      </w:r>
      <w:r>
        <w:rPr>
          <w:rtl/>
        </w:rPr>
        <w:t xml:space="preserve">. אם כן, ניסוח מדויק יותר של ציוויו של הסבא </w:t>
      </w:r>
      <w:proofErr w:type="spellStart"/>
      <w:r>
        <w:rPr>
          <w:rtl/>
        </w:rPr>
        <w:t>ל“שליחיו</w:t>
      </w:r>
      <w:proofErr w:type="spellEnd"/>
      <w:r>
        <w:rPr>
          <w:rtl/>
        </w:rPr>
        <w:t xml:space="preserve">” (במקום הצירופים המודגשים במשפט המצוטט לעיל) יהיה: “הנער הטוב מבית פינס נמצא במינסק”, </w:t>
      </w:r>
      <w:proofErr w:type="spellStart"/>
      <w:r>
        <w:rPr>
          <w:rtl/>
        </w:rPr>
        <w:t>ו“</w:t>
      </w:r>
      <w:r>
        <w:rPr>
          <w:b/>
          <w:bCs/>
          <w:rtl/>
        </w:rPr>
        <w:t>להחזירו</w:t>
      </w:r>
      <w:proofErr w:type="spellEnd"/>
      <w:r>
        <w:rPr>
          <w:rtl/>
        </w:rPr>
        <w:t xml:space="preserve"> </w:t>
      </w:r>
      <w:proofErr w:type="spellStart"/>
      <w:r>
        <w:rPr>
          <w:rtl/>
        </w:rPr>
        <w:t>לסלבודקה</w:t>
      </w:r>
      <w:proofErr w:type="spellEnd"/>
      <w:r>
        <w:rPr>
          <w:rtl/>
        </w:rPr>
        <w:t>”.</w:t>
      </w:r>
      <w:bookmarkStart w:id="1140" w:name="_fnr673"/>
      <w:r>
        <w:rPr>
          <w:rStyle w:val="a5"/>
        </w:rPr>
        <w:footnoteReference w:id="673" w:customMarkFollows="0"/>
      </w:r>
      <w:bookmarkEnd w:id="1140"/>
    </w:p>
    <w:p w14:paraId="6B24530F" w14:textId="77777777" w:rsidR="00AB3647" w:rsidRDefault="00000000" w:rsidP="007923E9">
      <w:pPr>
        <w:spacing w:before="120" w:after="100" w:line="276" w:lineRule="auto"/>
        <w:jc w:val="both"/>
      </w:pPr>
      <w:r>
        <w:rPr>
          <w:rtl/>
        </w:rPr>
        <w:t xml:space="preserve">ר׳ </w:t>
      </w:r>
      <w:proofErr w:type="spellStart"/>
      <w:r>
        <w:rPr>
          <w:rtl/>
        </w:rPr>
        <w:t>אלעזר־מנחם־מן</w:t>
      </w:r>
      <w:proofErr w:type="spellEnd"/>
      <w:r>
        <w:rPr>
          <w:rtl/>
        </w:rPr>
        <w:t xml:space="preserve"> שך סיפר לי שחגג את בר המצווה שלו בשנת תרע״א, כשעדיין למד בישיבה הקטנה </w:t>
      </w:r>
      <w:proofErr w:type="spellStart"/>
      <w:r>
        <w:rPr>
          <w:rtl/>
        </w:rPr>
        <w:t>שבפוניבז</w:t>
      </w:r>
      <w:proofErr w:type="spellEnd"/>
      <w:r>
        <w:rPr>
          <w:rtl/>
        </w:rPr>
        <w:t xml:space="preserve">׳, כלומר </w:t>
      </w:r>
      <w:r>
        <w:rPr>
          <w:b/>
          <w:bCs/>
          <w:rtl/>
        </w:rPr>
        <w:t>לפני</w:t>
      </w:r>
      <w:r>
        <w:rPr>
          <w:rtl/>
        </w:rPr>
        <w:t xml:space="preserve"> שבא </w:t>
      </w:r>
      <w:proofErr w:type="spellStart"/>
      <w:r>
        <w:rPr>
          <w:rtl/>
        </w:rPr>
        <w:t>לסלבודקה</w:t>
      </w:r>
      <w:bookmarkStart w:id="1141" w:name="_fnr674"/>
      <w:proofErr w:type="spellEnd"/>
      <w:r>
        <w:rPr>
          <w:rStyle w:val="a5"/>
        </w:rPr>
        <w:footnoteReference w:id="674" w:customMarkFollows="0"/>
      </w:r>
      <w:bookmarkEnd w:id="1141"/>
      <w:r>
        <w:rPr>
          <w:rtl/>
        </w:rPr>
        <w:t xml:space="preserve">. מכאן ששמע את סיפור בואו של “הנער מבית פינס” לישיבת כנסת ישראל </w:t>
      </w:r>
      <w:proofErr w:type="spellStart"/>
      <w:r>
        <w:rPr>
          <w:rtl/>
        </w:rPr>
        <w:t>שבסלבודקה</w:t>
      </w:r>
      <w:proofErr w:type="spellEnd"/>
      <w:r>
        <w:rPr>
          <w:rtl/>
        </w:rPr>
        <w:t xml:space="preserve"> חמש שנים לפחות אחרי שאירע, והניסוח שקלט לא היה מדויק. ר׳ </w:t>
      </w:r>
      <w:proofErr w:type="spellStart"/>
      <w:r>
        <w:rPr>
          <w:rtl/>
        </w:rPr>
        <w:t>אלעזר־מנחם־מן</w:t>
      </w:r>
      <w:proofErr w:type="spellEnd"/>
      <w:r>
        <w:rPr>
          <w:rtl/>
        </w:rPr>
        <w:t xml:space="preserve"> לא נקב בשמות שליחיו של הסבא, אבל אחד מהם היה ודאי העסקן ר׳ ראובן </w:t>
      </w:r>
      <w:proofErr w:type="spellStart"/>
      <w:r>
        <w:rPr>
          <w:rtl/>
        </w:rPr>
        <w:t>גרוזובסקי</w:t>
      </w:r>
      <w:proofErr w:type="spellEnd"/>
      <w:r>
        <w:rPr>
          <w:rtl/>
        </w:rPr>
        <w:t>,</w:t>
      </w:r>
      <w:bookmarkStart w:id="1142" w:name="_fnr675"/>
      <w:r>
        <w:rPr>
          <w:rStyle w:val="a5"/>
        </w:rPr>
        <w:footnoteReference w:id="675" w:customMarkFollows="0"/>
      </w:r>
      <w:bookmarkEnd w:id="1142"/>
      <w:r>
        <w:rPr>
          <w:rtl/>
        </w:rPr>
        <w:t xml:space="preserve"> והשני ר׳ אשר </w:t>
      </w:r>
      <w:proofErr w:type="spellStart"/>
      <w:r>
        <w:rPr>
          <w:rtl/>
        </w:rPr>
        <w:t>קרשטיין</w:t>
      </w:r>
      <w:proofErr w:type="spellEnd"/>
      <w:r>
        <w:rPr>
          <w:rtl/>
        </w:rPr>
        <w:t>, כדלהלן.</w:t>
      </w:r>
    </w:p>
    <w:p w14:paraId="6B9345FB" w14:textId="7ED9470E"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דאגתו של ראובן לאהרן ניכרה כבר בעת ההיא. ר׳ שמחה </w:t>
      </w:r>
      <w:proofErr w:type="spellStart"/>
      <w:r>
        <w:rPr>
          <w:rtl/>
        </w:rPr>
        <w:t>סולובייצ׳יק</w:t>
      </w:r>
      <w:proofErr w:type="spellEnd"/>
      <w:r>
        <w:rPr>
          <w:rtl/>
        </w:rPr>
        <w:t xml:space="preserve">, בנו הצעיר של רב </w:t>
      </w:r>
      <w:proofErr w:type="spellStart"/>
      <w:r>
        <w:rPr>
          <w:rtl/>
        </w:rPr>
        <w:t>בריסק</w:t>
      </w:r>
      <w:proofErr w:type="spellEnd"/>
      <w:r>
        <w:rPr>
          <w:rtl/>
        </w:rPr>
        <w:t xml:space="preserve"> המנוח, ר׳ יוסף־דב,</w:t>
      </w:r>
      <w:bookmarkStart w:id="1143" w:name="b2_ref95"/>
      <w:bookmarkEnd w:id="1143"/>
      <w:r>
        <w:rPr>
          <w:vertAlign w:val="superscript"/>
          <w:rtl/>
        </w:rPr>
        <w:fldChar w:fldCharType="begin" w:dirty="true"/>
      </w:r>
      <w:r>
        <w:rPr>
          <w:vertAlign w:val="superscript"/>
          <w:rtl/>
        </w:rPr>
        <w:instrText xml:space="preserve"> REF b2_note95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95</w:t>
      </w:r>
      <w:r>
        <w:rPr>
          <w:vertAlign w:val="superscript"/>
          <w:rtl/>
        </w:rPr>
        <w:fldChar w:fldCharType="end"/>
      </w:r>
      <w:r>
        <w:rPr>
          <w:rtl/>
        </w:rPr>
        <w:t xml:space="preserve"> נשא זה לא מכבר את בתו של ר׳ יצחק ליפשיץ, תלמיד חכם עשיר </w:t>
      </w:r>
      <w:proofErr w:type="spellStart"/>
      <w:r>
        <w:rPr>
          <w:rtl/>
        </w:rPr>
        <w:t>בקרוצ׳ה</w:t>
      </w:r>
      <w:proofErr w:type="spellEnd"/>
      <w:r>
        <w:rPr>
          <w:rtl/>
        </w:rPr>
        <w:t xml:space="preserve"> הסמוכה למינסק. בימי בין הזמנים קבע לו ר׳ שמחה סדר לימוד עם ראובן </w:t>
      </w:r>
      <w:proofErr w:type="spellStart"/>
      <w:r>
        <w:rPr>
          <w:rtl/>
        </w:rPr>
        <w:t>גרוזובסקי</w:t>
      </w:r>
      <w:proofErr w:type="spellEnd"/>
      <w:r>
        <w:rPr>
          <w:rtl/>
        </w:rPr>
        <w:t xml:space="preserve">, הצעיר ממנו בשמונה שנים. כשהחליט ראובן שאינו רוצה עוד לשהות בכפר הבודד, ביקש ממנו ר׳ שמחה לסדר לו במקומו כחברותא את אהרן </w:t>
      </w:r>
      <w:proofErr w:type="spellStart"/>
      <w:r>
        <w:rPr>
          <w:rtl/>
        </w:rPr>
        <w:t>הסיסלוביצ׳ר</w:t>
      </w:r>
      <w:proofErr w:type="spellEnd"/>
      <w:r>
        <w:rPr>
          <w:rtl/>
        </w:rPr>
        <w:t xml:space="preserve"> הצעיר. הנער אך זה מלאו לו </w:t>
      </w:r>
      <w:proofErr w:type="spellStart"/>
      <w:r>
        <w:rPr>
          <w:rtl/>
        </w:rPr>
        <w:t>ארבע־עשרה</w:t>
      </w:r>
      <w:proofErr w:type="spellEnd"/>
      <w:r>
        <w:rPr>
          <w:rtl/>
        </w:rPr>
        <w:t>, אבל שמעו כעילוי כבר יצא בכל חוגי התורה של מינסק.</w:t>
      </w:r>
      <w:bookmarkStart w:id="1144" w:name="b2_ref96"/>
      <w:bookmarkEnd w:id="1144"/>
      <w:r>
        <w:rPr>
          <w:vertAlign w:val="superscript"/>
          <w:rtl/>
        </w:rPr>
        <w:fldChar w:fldCharType="begin" w:dirty="true"/>
      </w:r>
      <w:r>
        <w:rPr>
          <w:vertAlign w:val="superscript"/>
          <w:rtl/>
        </w:rPr>
        <w:instrText xml:space="preserve"> REF b2_note96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96</w:t>
      </w:r>
      <w:r>
        <w:rPr>
          <w:vertAlign w:val="superscript"/>
          <w:rtl/>
        </w:rPr>
        <w:fldChar w:fldCharType="end"/>
      </w:r>
      <w:r>
        <w:rPr>
          <w:rtl/>
        </w:rPr>
        <w:t xml:space="preserve"> ראובן דחה בנועם את הבקשה. הוא הסביר שהוא עצמו יכול לעמוד על שלו בוויכוחים עם אחיה ואחיותיה של הכלה הצעירה, שנטו לסוציאליזם, אבל אינו בטוח שאהרן הצעיר לא יימשך</w:t>
      </w:r>
      <w:bookmarkStart w:id="1145" w:name="b2_ref97"/>
      <w:bookmarkEnd w:id="1145"/>
      <w:r>
        <w:rPr>
          <w:vertAlign w:val="superscript"/>
          <w:rtl/>
        </w:rPr>
        <w:fldChar w:fldCharType="begin" w:dirty="true"/>
      </w:r>
      <w:r>
        <w:rPr>
          <w:vertAlign w:val="superscript"/>
          <w:rtl/>
        </w:rPr>
        <w:instrText xml:space="preserve"> REF b2_note97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97</w:t>
      </w:r>
      <w:r>
        <w:rPr>
          <w:vertAlign w:val="superscript"/>
          <w:rtl/>
        </w:rPr>
        <w:fldChar w:fldCharType="end"/>
      </w:r>
      <w:r>
        <w:rPr>
          <w:rtl/>
        </w:rPr>
        <w:t xml:space="preserve"> אל </w:t>
      </w:r>
      <w:proofErr w:type="spellStart"/>
      <w:r>
        <w:rPr>
          <w:rtl/>
        </w:rPr>
        <w:t>צדם</w:t>
      </w:r>
      <w:proofErr w:type="spellEnd"/>
      <w:r>
        <w:rPr>
          <w:rtl/>
        </w:rPr>
        <w:t>, צד שונאי התורה.</w:t>
      </w:r>
      <w:bookmarkStart w:id="1146" w:name="b2_ref98"/>
      <w:bookmarkEnd w:id="1146"/>
      <w:r>
        <w:rPr>
          <w:vertAlign w:val="superscript"/>
          <w:rtl/>
        </w:rPr>
        <w:fldChar w:fldCharType="begin" w:dirty="true"/>
      </w:r>
      <w:r>
        <w:rPr>
          <w:vertAlign w:val="superscript"/>
          <w:rtl/>
        </w:rPr>
        <w:instrText xml:space="preserve"> REF b2_note98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98</w:t>
      </w:r>
      <w:r>
        <w:rPr>
          <w:vertAlign w:val="superscript"/>
          <w:rtl/>
        </w:rPr>
        <w:fldChar w:fldCharType="end"/>
      </w:r>
    </w:p>
    <w:bookmarkStart w:id="1147" w:name="b2_note95"/>
    <w:p w14:paraId="0BF09ECE" w14:textId="77777777" w:rsidR="00AB3647" w:rsidRDefault="00000000" w:rsidP="007923E9">
      <w:pPr>
        <w:spacing w:before="120" w:after="100" w:line="276" w:lineRule="auto"/>
        <w:jc w:val="both"/>
      </w:pPr>
      <w:r>
        <w:fldChar w:fldCharType="begin" w:dirty="true"/>
      </w:r>
      <w:r>
        <w:instrText>HYPERLINK \l "b2_ref95"</w:instrText>
      </w:r>
      <w:r>
        <w:fldChar w:fldCharType="separate"/>
      </w:r>
      <w:r>
        <w:rPr>
          <w:b/>
          <w:bCs/>
          <w:rtl/>
        </w:rPr>
        <w:t>95</w:t>
      </w:r>
      <w:r>
        <w:rPr>
          <w:b/>
          <w:bCs/>
        </w:rPr>
        <w:fldChar w:fldCharType="end"/>
      </w:r>
      <w:bookmarkEnd w:id="1147"/>
      <w:r>
        <w:rPr>
          <w:rtl/>
        </w:rPr>
        <w:t xml:space="preserve"> ר׳ שמחה </w:t>
      </w:r>
      <w:proofErr w:type="spellStart"/>
      <w:r>
        <w:rPr>
          <w:rtl/>
        </w:rPr>
        <w:t>סולובייצ׳יק</w:t>
      </w:r>
      <w:proofErr w:type="spellEnd"/>
      <w:r>
        <w:rPr>
          <w:rtl/>
        </w:rPr>
        <w:t xml:space="preserve"> נולד בשנת תר״מ (כשהיה אביו בן חמישים ותשע), והיה מבוגר מר׳ ראובן בשבע שנים</w:t>
      </w:r>
      <w:bookmarkStart w:id="1148" w:name="_fnr676"/>
      <w:bookmarkEnd w:id="1148"/>
      <w:r>
        <w:rPr>
          <w:rStyle w:val="a5"/>
        </w:rPr>
        <w:t/>
      </w:r>
      <w:bookmarkStart w:id="7000" w:name="_TranslatorNote_5371"/>
      <w:r>
        <w:rPr>
          <w:rStyle w:val="a5"/>
          <w:vertAlign w:val="superscript"/>
          <w:rtl/>
        </w:rPr>
        <w:footnoteReference w:id="676" w:customMarkFollows="1"/>
        <w:t>*</w:t>
      </w:r>
      <w:bookmarkEnd w:id="7000"/>
      <w:r>
        <w:rPr>
          <w:rtl/>
        </w:rPr>
        <w:t xml:space="preserve">. ר׳ שמחה נתמנה לרב </w:t>
      </w:r>
      <w:proofErr w:type="spellStart"/>
      <w:r>
        <w:rPr>
          <w:rtl/>
        </w:rPr>
        <w:t>במוהילוב</w:t>
      </w:r>
      <w:proofErr w:type="spellEnd"/>
      <w:r>
        <w:rPr>
          <w:rtl/>
        </w:rPr>
        <w:t xml:space="preserve"> בשנת תרע״א, היגר לארצות הברית בשנת </w:t>
      </w:r>
      <w:r>
        <w:rPr>
          <w:rtl/>
        </w:rPr>
        <w:lastRenderedPageBreak/>
        <w:t xml:space="preserve">תרפ״ג כדי לכהן כרב </w:t>
      </w:r>
      <w:proofErr w:type="spellStart"/>
      <w:r>
        <w:rPr>
          <w:rtl/>
        </w:rPr>
        <w:t>בבריסקער</w:t>
      </w:r>
      <w:proofErr w:type="spellEnd"/>
      <w:r>
        <w:rPr>
          <w:rtl/>
        </w:rPr>
        <w:t xml:space="preserve"> שול בברוקלין, ונפטר בשנת תש״ב.</w:t>
      </w:r>
      <w:bookmarkStart w:id="1149" w:name="_fnr677"/>
      <w:r>
        <w:rPr>
          <w:rStyle w:val="a5"/>
        </w:rPr>
        <w:footnoteReference w:id="677" w:customMarkFollows="0"/>
      </w:r>
      <w:bookmarkEnd w:id="1149"/>
      <w:r>
        <w:rPr>
          <w:rtl/>
        </w:rPr>
        <w:t xml:space="preserve"> רבנו קבור בבית הקברות </w:t>
      </w:r>
      <w:proofErr w:type="spellStart"/>
      <w:r>
        <w:rPr>
          <w:rtl/>
        </w:rPr>
        <w:t>מאונט</w:t>
      </w:r>
      <w:proofErr w:type="spellEnd"/>
      <w:r>
        <w:rPr>
          <w:rtl/>
        </w:rPr>
        <w:t xml:space="preserve"> </w:t>
      </w:r>
      <w:proofErr w:type="spellStart"/>
      <w:r>
        <w:rPr>
          <w:rtl/>
        </w:rPr>
        <w:t>ג׳ודה</w:t>
      </w:r>
      <w:proofErr w:type="spellEnd"/>
      <w:r>
        <w:rPr>
          <w:rtl/>
        </w:rPr>
        <w:t xml:space="preserve"> בברוקלין, בסמוך </w:t>
      </w:r>
      <w:proofErr w:type="spellStart"/>
      <w:r>
        <w:rPr>
          <w:rtl/>
        </w:rPr>
        <w:t>לר</w:t>
      </w:r>
      <w:proofErr w:type="spellEnd"/>
      <w:r>
        <w:rPr>
          <w:rtl/>
        </w:rPr>
        <w:t>׳ שמחה.</w:t>
      </w:r>
    </w:p>
    <w:bookmarkStart w:id="1150" w:name="b2_note96"/>
    <w:p w14:paraId="2908F89D" w14:textId="77777777" w:rsidR="00AB3647" w:rsidRDefault="00000000" w:rsidP="007923E9">
      <w:pPr>
        <w:spacing w:before="120" w:after="100" w:line="276" w:lineRule="auto"/>
        <w:jc w:val="both"/>
      </w:pPr>
      <w:r>
        <w:fldChar w:fldCharType="begin" w:dirty="true"/>
      </w:r>
      <w:r>
        <w:instrText>HYPERLINK \l "b2_ref96"</w:instrText>
      </w:r>
      <w:r>
        <w:fldChar w:fldCharType="separate"/>
      </w:r>
      <w:r>
        <w:rPr>
          <w:b/>
          <w:bCs/>
          <w:rtl/>
        </w:rPr>
        <w:t>96</w:t>
      </w:r>
      <w:r>
        <w:rPr>
          <w:b/>
          <w:bCs/>
        </w:rPr>
        <w:fldChar w:fldCharType="end"/>
      </w:r>
      <w:bookmarkEnd w:id="1150"/>
      <w:r>
        <w:rPr>
          <w:rtl/>
        </w:rPr>
        <w:t xml:space="preserve"> אבי סיפר לנכדו ר׳ יצחק </w:t>
      </w:r>
      <w:proofErr w:type="spellStart"/>
      <w:r>
        <w:rPr>
          <w:rtl/>
        </w:rPr>
        <w:t>שורין</w:t>
      </w:r>
      <w:bookmarkStart w:id="1151" w:name="_fnr678"/>
      <w:proofErr w:type="spellEnd"/>
      <w:r>
        <w:rPr>
          <w:rStyle w:val="a5"/>
        </w:rPr>
        <w:footnoteReference w:id="678" w:customMarkFollows="0"/>
      </w:r>
      <w:bookmarkEnd w:id="1151"/>
      <w:r>
        <w:rPr>
          <w:rtl/>
        </w:rPr>
        <w:t xml:space="preserve"> שהוא זוכר מלימודו עם ר׳ אהרן קוטלר במינסק שהיה </w:t>
      </w:r>
      <w:proofErr w:type="spellStart"/>
      <w:r>
        <w:rPr>
          <w:rtl/>
        </w:rPr>
        <w:t>לר</w:t>
      </w:r>
      <w:proofErr w:type="spellEnd"/>
      <w:r>
        <w:rPr>
          <w:rtl/>
        </w:rPr>
        <w:t>׳ אהרן “זיכרון של ברזל”. כששאל אותו ר׳ יצחק אם כוונתו לזיכרון צילומי, השיב: “לא, סתם זיכרון של ברזל. הזיכרון של ר׳ דוד רפפורט היה צילומי</w:t>
      </w:r>
      <w:bookmarkStart w:id="1152" w:name="_fnr679"/>
      <w:r>
        <w:rPr>
          <w:rStyle w:val="a5"/>
        </w:rPr>
        <w:footnoteReference w:id="679" w:customMarkFollows="0"/>
      </w:r>
      <w:bookmarkEnd w:id="1152"/>
      <w:r>
        <w:rPr>
          <w:rtl/>
        </w:rPr>
        <w:t>”.</w:t>
      </w:r>
    </w:p>
    <w:bookmarkStart w:id="1153" w:name="b2_note97"/>
    <w:p w14:paraId="58366637" w14:textId="7087DE84" w:rsidR="00AB3647" w:rsidRDefault="00000000" w:rsidP="007923E9">
      <w:pPr>
        <w:spacing w:before="120" w:after="100" w:line="276" w:lineRule="auto"/>
        <w:jc w:val="both"/>
      </w:pPr>
      <w:r>
        <w:fldChar w:fldCharType="begin" w:dirty="true"/>
      </w:r>
      <w:r>
        <w:instrText>HYPERLINK \l "b2_ref97"</w:instrText>
      </w:r>
      <w:r>
        <w:fldChar w:fldCharType="separate"/>
      </w:r>
      <w:r>
        <w:rPr>
          <w:b/>
          <w:bCs/>
          <w:rtl/>
        </w:rPr>
        <w:t>97</w:t>
      </w:r>
      <w:r>
        <w:rPr>
          <w:b/>
          <w:bCs/>
        </w:rPr>
        <w:fldChar w:fldCharType="end"/>
      </w:r>
      <w:bookmarkEnd w:id="1153"/>
      <w:r>
        <w:rPr>
          <w:rtl/>
        </w:rPr>
        <w:t xml:space="preserve"> השווה פרק 4, הערה </w:t>
      </w:r>
      <w:r>
        <w:rPr>
          <w:rtl/>
        </w:rPr>
        <w:fldChar w:fldCharType="begin" w:dirty="true"/>
      </w:r>
      <w:r>
        <w:rPr>
          <w:rtl/>
        </w:rPr>
        <w:instrText xml:space="preserve"> REF b4_note42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42</w:t>
      </w:r>
      <w:r>
        <w:rPr>
          <w:rtl/>
        </w:rPr>
        <w:fldChar w:fldCharType="end"/>
      </w:r>
      <w:r>
        <w:rPr>
          <w:rtl/>
        </w:rPr>
        <w:t>, והערה 106 להלן.</w:t>
      </w:r>
    </w:p>
    <w:bookmarkStart w:id="1154" w:name="b2_note98"/>
    <w:p w14:paraId="39FC3B40" w14:textId="77777777" w:rsidR="00AB3647" w:rsidRDefault="00000000" w:rsidP="007923E9">
      <w:pPr>
        <w:spacing w:before="120" w:after="100" w:line="276" w:lineRule="auto"/>
        <w:jc w:val="both"/>
      </w:pPr>
      <w:r>
        <w:fldChar w:fldCharType="begin" w:dirty="true"/>
      </w:r>
      <w:r>
        <w:instrText>HYPERLINK \l "b2_ref98"</w:instrText>
      </w:r>
      <w:r>
        <w:fldChar w:fldCharType="separate"/>
      </w:r>
      <w:r>
        <w:rPr>
          <w:b/>
          <w:bCs/>
          <w:rtl/>
        </w:rPr>
        <w:t>98</w:t>
      </w:r>
      <w:r>
        <w:rPr>
          <w:b/>
          <w:bCs/>
        </w:rPr>
        <w:fldChar w:fldCharType="end"/>
      </w:r>
      <w:bookmarkEnd w:id="1154"/>
      <w:r>
        <w:rPr>
          <w:rtl/>
        </w:rPr>
        <w:t xml:space="preserve"> ריאיון עם ר׳ חיים </w:t>
      </w:r>
      <w:proofErr w:type="spellStart"/>
      <w:r>
        <w:rPr>
          <w:rtl/>
        </w:rPr>
        <w:t>גרוזובסקי</w:t>
      </w:r>
      <w:proofErr w:type="spellEnd"/>
      <w:r>
        <w:rPr>
          <w:rtl/>
        </w:rPr>
        <w:t>.</w:t>
      </w:r>
      <w:bookmarkStart w:id="1155" w:name="_fnr680"/>
      <w:r>
        <w:rPr>
          <w:rStyle w:val="a5"/>
        </w:rPr>
        <w:footnoteReference w:id="680" w:customMarkFollows="0"/>
      </w:r>
      <w:bookmarkEnd w:id="1155"/>
      <w:r>
        <w:rPr>
          <w:rtl/>
        </w:rPr>
        <w:t xml:space="preserve"> בשנת 1905 שרצו ברחובות היהודיים מסיתים סוציאליסטים. ב־18 באוקטובר, חצי שנה אחרי המאורעות המתוארים, ערכו צבא הצאר והז׳נדרמריה טבח בהמון שיצא מאספה ציבורית שקיבלה היתר רשמי: מאות נפצעו, ונהרגו 42 יהודים ו־15 </w:t>
      </w:r>
      <w:proofErr w:type="spellStart"/>
      <w:r>
        <w:rPr>
          <w:rtl/>
        </w:rPr>
        <w:t>לא־יהודים</w:t>
      </w:r>
      <w:proofErr w:type="spellEnd"/>
      <w:r>
        <w:rPr>
          <w:rtl/>
        </w:rPr>
        <w:t>, “מקצתם ודגלים אדומים בידיהם”.</w:t>
      </w:r>
      <w:bookmarkStart w:id="1156" w:name="_fnr681"/>
      <w:r>
        <w:rPr>
          <w:rStyle w:val="a5"/>
        </w:rPr>
        <w:footnoteReference w:id="681" w:customMarkFollows="0"/>
      </w:r>
      <w:bookmarkEnd w:id="1156"/>
    </w:p>
    <w:p w14:paraId="1C79D5FA" w14:textId="77777777" w:rsidR="00AB3647" w:rsidRDefault="00000000" w:rsidP="007923E9">
      <w:pPr>
        <w:spacing w:after="100" w:line="276" w:lineRule="auto"/>
        <w:ind w:firstLine="340"/>
        <w:jc w:val="both"/>
      </w:pPr>
      <w:r>
        <w:rPr>
          <w:rtl/>
        </w:rPr>
        <w:t xml:space="preserve">בהספד ביום השנה הראשון לפטירת ר׳ ראובן </w:t>
      </w:r>
      <w:proofErr w:type="spellStart"/>
      <w:r>
        <w:rPr>
          <w:rtl/>
        </w:rPr>
        <w:t>גרוזובסקי</w:t>
      </w:r>
      <w:proofErr w:type="spellEnd"/>
      <w:r>
        <w:rPr>
          <w:rtl/>
        </w:rPr>
        <w:t xml:space="preserve"> כינה אבי את מינסק “עיר מהפכנית, לא דתית”: הוא הכריז שמינסק, למרות האווירה ששררה בה, התהדרה בקבוצת התלמידים הגדולה ביותר </w:t>
      </w:r>
      <w:proofErr w:type="spellStart"/>
      <w:r>
        <w:rPr>
          <w:rtl/>
        </w:rPr>
        <w:t>בסלבודקה</w:t>
      </w:r>
      <w:proofErr w:type="spellEnd"/>
      <w:r>
        <w:rPr>
          <w:rtl/>
        </w:rPr>
        <w:t xml:space="preserve"> מכל עיר אחרת “משום שר׳ ראובן </w:t>
      </w:r>
      <w:proofErr w:type="spellStart"/>
      <w:r>
        <w:rPr>
          <w:rtl/>
        </w:rPr>
        <w:t>גרוזובסקי</w:t>
      </w:r>
      <w:proofErr w:type="spellEnd"/>
      <w:r>
        <w:rPr>
          <w:rtl/>
        </w:rPr>
        <w:t xml:space="preserve"> </w:t>
      </w:r>
      <w:r>
        <w:rPr>
          <w:b/>
          <w:bCs/>
          <w:rtl/>
        </w:rPr>
        <w:t>עמל</w:t>
      </w:r>
      <w:r>
        <w:rPr>
          <w:rtl/>
        </w:rPr>
        <w:t xml:space="preserve"> להביא בחורים לישיבה</w:t>
      </w:r>
      <w:bookmarkStart w:id="1157" w:name="_fnr682"/>
      <w:r>
        <w:rPr>
          <w:rStyle w:val="a5"/>
        </w:rPr>
        <w:footnoteReference w:id="682" w:customMarkFollows="0"/>
      </w:r>
      <w:bookmarkEnd w:id="1157"/>
      <w:r>
        <w:rPr>
          <w:rtl/>
        </w:rPr>
        <w:t>”.</w:t>
      </w:r>
    </w:p>
    <w:p w14:paraId="0912957D" w14:textId="277066AA"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ראובן ראה את הסכנות האורבות לאהרן פינס ולרבנו, וידע שהקרבה למשפחותיהם רק מחריפה את הסכנה. לכן החליט להתקדם בשליחותו של ר׳ </w:t>
      </w:r>
      <w:proofErr w:type="spellStart"/>
      <w:r>
        <w:rPr>
          <w:rtl/>
        </w:rPr>
        <w:t>נתן־צבי</w:t>
      </w:r>
      <w:proofErr w:type="spellEnd"/>
      <w:r>
        <w:rPr>
          <w:rtl/>
        </w:rPr>
        <w:t xml:space="preserve"> </w:t>
      </w:r>
      <w:proofErr w:type="spellStart"/>
      <w:r>
        <w:rPr>
          <w:rtl/>
        </w:rPr>
        <w:t>פינקל</w:t>
      </w:r>
      <w:proofErr w:type="spellEnd"/>
      <w:r>
        <w:rPr>
          <w:rtl/>
        </w:rPr>
        <w:t xml:space="preserve"> ולהביא את אהרן, יחד עם ידידו, לעזוב את מינסק אל מקום בטוח יותר מבחינה רוחנית. כדי לשכנעם בנימוקים שכליים, הצביע לפניהם על האפשרויות להתעלות בתורה שהיו פתוחות לפניהם </w:t>
      </w:r>
      <w:proofErr w:type="spellStart"/>
      <w:r>
        <w:rPr>
          <w:rtl/>
        </w:rPr>
        <w:t>בסלבודקה</w:t>
      </w:r>
      <w:proofErr w:type="spellEnd"/>
      <w:r>
        <w:rPr>
          <w:rtl/>
        </w:rPr>
        <w:t xml:space="preserve">, וחזר באוזניהם על </w:t>
      </w:r>
      <w:proofErr w:type="spellStart"/>
      <w:r>
        <w:rPr>
          <w:rtl/>
        </w:rPr>
        <w:t>סברא</w:t>
      </w:r>
      <w:proofErr w:type="spellEnd"/>
      <w:r>
        <w:rPr>
          <w:rtl/>
        </w:rPr>
        <w:t xml:space="preserve"> חריפה ששמע שם.</w:t>
      </w:r>
      <w:bookmarkStart w:id="1158" w:name="b2_ref99"/>
      <w:bookmarkEnd w:id="1158"/>
      <w:r>
        <w:rPr>
          <w:vertAlign w:val="superscript"/>
          <w:rtl/>
        </w:rPr>
        <w:fldChar w:fldCharType="begin" w:dirty="true"/>
      </w:r>
      <w:r>
        <w:rPr>
          <w:vertAlign w:val="superscript"/>
          <w:rtl/>
        </w:rPr>
        <w:instrText xml:space="preserve"> REF b2_note99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99</w:t>
      </w:r>
      <w:r>
        <w:rPr>
          <w:vertAlign w:val="superscript"/>
          <w:rtl/>
        </w:rPr>
        <w:fldChar w:fldCharType="end"/>
      </w:r>
    </w:p>
    <w:bookmarkStart w:id="1159" w:name="b2_note99"/>
    <w:p w14:paraId="28FDA2B2" w14:textId="1E1F5337" w:rsidR="00AB3647" w:rsidRDefault="00000000" w:rsidP="007923E9">
      <w:pPr>
        <w:spacing w:before="120" w:after="100" w:line="276" w:lineRule="auto"/>
        <w:jc w:val="both"/>
      </w:pPr>
      <w:r>
        <w:fldChar w:fldCharType="begin" w:dirty="true"/>
      </w:r>
      <w:r>
        <w:instrText>HYPERLINK \l "b2_ref99"</w:instrText>
      </w:r>
      <w:r>
        <w:fldChar w:fldCharType="separate"/>
      </w:r>
      <w:r>
        <w:rPr>
          <w:b/>
          <w:bCs/>
          <w:rtl/>
        </w:rPr>
        <w:t>99</w:t>
      </w:r>
      <w:r>
        <w:rPr>
          <w:b/>
          <w:bCs/>
        </w:rPr>
        <w:fldChar w:fldCharType="end"/>
      </w:r>
      <w:bookmarkEnd w:id="1159"/>
      <w:r>
        <w:rPr>
          <w:rtl/>
        </w:rPr>
        <w:t xml:space="preserve"> ראה </w:t>
      </w:r>
      <w:r>
        <w:rPr>
          <w:rtl/>
        </w:rPr>
        <w:fldChar w:fldCharType="begin" w:dirty="true"/>
      </w:r>
      <w:r>
        <w:rPr>
          <w:rtl/>
        </w:rPr>
        <w:instrText xml:space="preserve"> REF b2_excF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ו</w:t>
      </w:r>
      <w:r>
        <w:rPr>
          <w:rtl/>
        </w:rPr>
        <w:fldChar w:fldCharType="end"/>
      </w:r>
      <w:r>
        <w:rPr>
          <w:rtl/>
        </w:rPr>
        <w:t>.</w:t>
      </w:r>
    </w:p>
    <w:p w14:paraId="255748AE" w14:textId="77777777" w:rsidR="00AB3647" w:rsidRDefault="00AB3647" w:rsidP="007923E9">
      <w:pPr>
        <w:spacing w:line="276" w:lineRule="auto"/>
      </w:pPr>
    </w:p>
    <w:p w14:paraId="208BEFAA" w14:textId="40DDB7FF"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בעל ברית במערכה זו מצא ראובן בבן מינסק המבוגר ממנו בשנה, אשר קרשטיין,</w:t>
      </w:r>
      <w:bookmarkStart w:id="1160" w:name="b2_ref100"/>
      <w:bookmarkEnd w:id="1160"/>
      <w:r>
        <w:rPr>
          <w:vertAlign w:val="superscript"/>
          <w:rtl/>
        </w:rPr>
        <w:fldChar w:fldCharType="begin" w:dirty="true"/>
      </w:r>
      <w:r>
        <w:rPr>
          <w:vertAlign w:val="superscript"/>
          <w:rtl/>
        </w:rPr>
        <w:instrText xml:space="preserve"> REF b2_note100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100</w:t>
      </w:r>
      <w:r>
        <w:rPr>
          <w:vertAlign w:val="superscript"/>
          <w:rtl/>
        </w:rPr>
        <w:fldChar w:fldCharType="end"/>
      </w:r>
      <w:r>
        <w:rPr>
          <w:rtl/>
        </w:rPr>
        <w:t xml:space="preserve"> שלמד אז כבר שנתיים באותה ישיבה שבה למד גם הוא, כנסת ישראל, ובא למינסק לביקור קצר. אשר </w:t>
      </w:r>
      <w:r>
        <w:rPr>
          <w:rtl/>
        </w:rPr>
        <w:lastRenderedPageBreak/>
        <w:t xml:space="preserve">התנדב לעזור לנערים הצעירים כשיחליטו להצטרף אליו </w:t>
      </w:r>
      <w:proofErr w:type="spellStart"/>
      <w:r>
        <w:rPr>
          <w:rtl/>
        </w:rPr>
        <w:t>בסלבודקה</w:t>
      </w:r>
      <w:proofErr w:type="spellEnd"/>
      <w:r>
        <w:rPr>
          <w:rtl/>
        </w:rPr>
        <w:t xml:space="preserve">. גם בחור </w:t>
      </w:r>
      <w:proofErr w:type="spellStart"/>
      <w:r>
        <w:rPr>
          <w:rtl/>
        </w:rPr>
        <w:t>מינסקאי</w:t>
      </w:r>
      <w:proofErr w:type="spellEnd"/>
      <w:r>
        <w:rPr>
          <w:rtl/>
        </w:rPr>
        <w:t xml:space="preserve"> נוסף, מבוגר אף מראובן ומאשר, </w:t>
      </w:r>
      <w:proofErr w:type="spellStart"/>
      <w:r>
        <w:rPr>
          <w:rtl/>
        </w:rPr>
        <w:t>זלמן־יוסף</w:t>
      </w:r>
      <w:proofErr w:type="spellEnd"/>
      <w:r>
        <w:rPr>
          <w:rtl/>
        </w:rPr>
        <w:t xml:space="preserve"> </w:t>
      </w:r>
      <w:proofErr w:type="spellStart"/>
      <w:r>
        <w:rPr>
          <w:rtl/>
        </w:rPr>
        <w:t>בייניסון</w:t>
      </w:r>
      <w:proofErr w:type="spellEnd"/>
      <w:r>
        <w:rPr>
          <w:rtl/>
        </w:rPr>
        <w:t>, נטל חלק בשכנוע הנערים המחוננים לעזוב את מינסק.</w:t>
      </w:r>
      <w:bookmarkStart w:id="1161" w:name="b2_ref101"/>
      <w:bookmarkEnd w:id="1161"/>
      <w:r>
        <w:rPr>
          <w:vertAlign w:val="superscript"/>
          <w:rtl/>
        </w:rPr>
        <w:fldChar w:fldCharType="begin" w:dirty="true"/>
      </w:r>
      <w:r>
        <w:rPr>
          <w:vertAlign w:val="superscript"/>
          <w:rtl/>
        </w:rPr>
        <w:instrText xml:space="preserve"> REF b2_note101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101</w:t>
      </w:r>
      <w:r>
        <w:rPr>
          <w:vertAlign w:val="superscript"/>
          <w:rtl/>
        </w:rPr>
        <w:fldChar w:fldCharType="end"/>
      </w:r>
    </w:p>
    <w:bookmarkStart w:id="1162" w:name="b2_note100"/>
    <w:p w14:paraId="337605EE" w14:textId="77777777" w:rsidR="00AB3647" w:rsidRDefault="00000000" w:rsidP="007923E9">
      <w:pPr>
        <w:spacing w:before="120" w:after="100" w:line="276" w:lineRule="auto"/>
        <w:jc w:val="both"/>
      </w:pPr>
      <w:r>
        <w:fldChar w:fldCharType="begin" w:dirty="true"/>
      </w:r>
      <w:r>
        <w:instrText>HYPERLINK \l "b2_ref100"</w:instrText>
      </w:r>
      <w:r>
        <w:fldChar w:fldCharType="separate"/>
      </w:r>
      <w:r>
        <w:rPr>
          <w:b/>
          <w:bCs/>
          <w:rtl/>
        </w:rPr>
        <w:t>100</w:t>
      </w:r>
      <w:r>
        <w:rPr>
          <w:b/>
          <w:bCs/>
        </w:rPr>
        <w:fldChar w:fldCharType="end"/>
      </w:r>
      <w:bookmarkEnd w:id="1162"/>
      <w:r>
        <w:rPr>
          <w:rtl/>
        </w:rPr>
        <w:t xml:space="preserve"> לפי </w:t>
      </w:r>
      <w:proofErr w:type="spellStart"/>
      <w:r>
        <w:rPr>
          <w:rtl/>
        </w:rPr>
        <w:t>חיה־מרים</w:t>
      </w:r>
      <w:proofErr w:type="spellEnd"/>
      <w:r>
        <w:rPr>
          <w:rtl/>
        </w:rPr>
        <w:t xml:space="preserve"> </w:t>
      </w:r>
      <w:proofErr w:type="spellStart"/>
      <w:r>
        <w:rPr>
          <w:rtl/>
        </w:rPr>
        <w:t>שולמן</w:t>
      </w:r>
      <w:proofErr w:type="spellEnd"/>
      <w:r>
        <w:rPr>
          <w:rtl/>
        </w:rPr>
        <w:t>.</w:t>
      </w:r>
      <w:bookmarkStart w:id="1163" w:name="_fnr683"/>
      <w:r>
        <w:rPr>
          <w:rStyle w:val="a5"/>
        </w:rPr>
        <w:footnoteReference w:id="683" w:customMarkFollows="0"/>
      </w:r>
      <w:bookmarkEnd w:id="1163"/>
    </w:p>
    <w:bookmarkStart w:id="1164" w:name="b2_note101"/>
    <w:p w14:paraId="51CE45A4" w14:textId="77777777" w:rsidR="00AB3647" w:rsidRDefault="00000000" w:rsidP="007923E9">
      <w:pPr>
        <w:spacing w:before="120" w:after="100" w:line="276" w:lineRule="auto"/>
        <w:jc w:val="both"/>
      </w:pPr>
      <w:r>
        <w:fldChar w:fldCharType="begin" w:dirty="true"/>
      </w:r>
      <w:r>
        <w:instrText>HYPERLINK \l "b2_ref101"</w:instrText>
      </w:r>
      <w:r>
        <w:fldChar w:fldCharType="separate"/>
      </w:r>
      <w:r>
        <w:rPr>
          <w:b/>
          <w:bCs/>
          <w:rtl/>
        </w:rPr>
        <w:t>101</w:t>
      </w:r>
      <w:r>
        <w:rPr>
          <w:b/>
          <w:bCs/>
        </w:rPr>
        <w:fldChar w:fldCharType="end"/>
      </w:r>
      <w:bookmarkEnd w:id="1164"/>
      <w:r>
        <w:rPr>
          <w:rtl/>
        </w:rPr>
        <w:t xml:space="preserve"> מתוך השיחה המוקלטת עם ר׳ מרדכי שפירא.</w:t>
      </w:r>
      <w:bookmarkStart w:id="1165" w:name="_fnr684"/>
      <w:r>
        <w:rPr>
          <w:rStyle w:val="a5"/>
        </w:rPr>
        <w:footnoteReference w:id="684" w:customMarkFollows="0"/>
      </w:r>
      <w:bookmarkEnd w:id="1165"/>
      <w:r>
        <w:rPr>
          <w:rtl/>
        </w:rPr>
        <w:t xml:space="preserve"> משפחת </w:t>
      </w:r>
      <w:proofErr w:type="spellStart"/>
      <w:r>
        <w:rPr>
          <w:rtl/>
        </w:rPr>
        <w:t>בייניסון</w:t>
      </w:r>
      <w:proofErr w:type="spellEnd"/>
      <w:r>
        <w:rPr>
          <w:rtl/>
        </w:rPr>
        <w:t xml:space="preserve"> נזכרת </w:t>
      </w:r>
      <w:proofErr w:type="spellStart"/>
      <w:r>
        <w:rPr>
          <w:rtl/>
        </w:rPr>
        <w:t>ב“מינסק</w:t>
      </w:r>
      <w:proofErr w:type="spellEnd"/>
      <w:r>
        <w:rPr>
          <w:rtl/>
        </w:rPr>
        <w:t xml:space="preserve"> עיר ואם” כמשפחה שישבה במינסק. עוד אני סבור </w:t>
      </w:r>
      <w:proofErr w:type="spellStart"/>
      <w:r>
        <w:rPr>
          <w:rtl/>
        </w:rPr>
        <w:t>שזלמן־יוסף</w:t>
      </w:r>
      <w:proofErr w:type="spellEnd"/>
      <w:r>
        <w:rPr>
          <w:rtl/>
        </w:rPr>
        <w:t xml:space="preserve"> היה אחיו של המנהיג הציוני הנודע יהושע </w:t>
      </w:r>
      <w:proofErr w:type="spellStart"/>
      <w:r>
        <w:rPr>
          <w:rtl/>
        </w:rPr>
        <w:t>בייניסון</w:t>
      </w:r>
      <w:proofErr w:type="spellEnd"/>
      <w:r>
        <w:rPr>
          <w:rtl/>
        </w:rPr>
        <w:t xml:space="preserve">, תלמיד </w:t>
      </w:r>
      <w:proofErr w:type="spellStart"/>
      <w:r>
        <w:rPr>
          <w:rtl/>
        </w:rPr>
        <w:t>וולוז׳ין</w:t>
      </w:r>
      <w:proofErr w:type="spellEnd"/>
      <w:r>
        <w:rPr>
          <w:rtl/>
        </w:rPr>
        <w:t xml:space="preserve">, שנזכר כמה פעמים </w:t>
      </w:r>
      <w:proofErr w:type="spellStart"/>
      <w:r>
        <w:rPr>
          <w:rtl/>
        </w:rPr>
        <w:t>ב“מינסק</w:t>
      </w:r>
      <w:proofErr w:type="spellEnd"/>
      <w:r>
        <w:rPr>
          <w:rtl/>
        </w:rPr>
        <w:t xml:space="preserve"> עיר ואם א” בשל פעילותו </w:t>
      </w:r>
      <w:proofErr w:type="spellStart"/>
      <w:r>
        <w:rPr>
          <w:rtl/>
        </w:rPr>
        <w:t>ב“חיבת</w:t>
      </w:r>
      <w:proofErr w:type="spellEnd"/>
      <w:r>
        <w:rPr>
          <w:rtl/>
        </w:rPr>
        <w:t xml:space="preserve"> ציון”. יהושע </w:t>
      </w:r>
      <w:proofErr w:type="spellStart"/>
      <w:r>
        <w:rPr>
          <w:rtl/>
        </w:rPr>
        <w:t>בייניסון</w:t>
      </w:r>
      <w:proofErr w:type="spellEnd"/>
      <w:r>
        <w:rPr>
          <w:rtl/>
        </w:rPr>
        <w:t xml:space="preserve"> היה חתנו הסורר במקצת של ר׳ מוניה לוין, ראש הישיבה </w:t>
      </w:r>
      <w:proofErr w:type="spellStart"/>
      <w:r>
        <w:rPr>
          <w:rtl/>
        </w:rPr>
        <w:t>בקלויז</w:t>
      </w:r>
      <w:proofErr w:type="spellEnd"/>
      <w:r>
        <w:rPr>
          <w:rtl/>
        </w:rPr>
        <w:t xml:space="preserve"> של </w:t>
      </w:r>
      <w:proofErr w:type="spellStart"/>
      <w:r>
        <w:rPr>
          <w:rtl/>
        </w:rPr>
        <w:t>בלומקה</w:t>
      </w:r>
      <w:proofErr w:type="spellEnd"/>
      <w:r>
        <w:rPr>
          <w:rtl/>
        </w:rPr>
        <w:t xml:space="preserve">. הוא עלה לארץ ישראל ונעשה שם מזכיר היקב בראשון לציון, באותה שנה שבה יצא רבנו </w:t>
      </w:r>
      <w:proofErr w:type="spellStart"/>
      <w:r>
        <w:rPr>
          <w:rtl/>
        </w:rPr>
        <w:t>לסלבודקה</w:t>
      </w:r>
      <w:proofErr w:type="spellEnd"/>
      <w:r>
        <w:rPr>
          <w:rtl/>
        </w:rPr>
        <w:t>.</w:t>
      </w:r>
    </w:p>
    <w:p w14:paraId="715277AC" w14:textId="77777777" w:rsidR="00AB3647" w:rsidRDefault="00000000" w:rsidP="007923E9">
      <w:pPr>
        <w:spacing w:before="120" w:after="100" w:line="276" w:lineRule="auto"/>
        <w:jc w:val="both"/>
      </w:pPr>
      <w:proofErr w:type="spellStart"/>
      <w:r>
        <w:rPr>
          <w:rtl/>
        </w:rPr>
        <w:t>מ“מינסק</w:t>
      </w:r>
      <w:proofErr w:type="spellEnd"/>
      <w:r>
        <w:rPr>
          <w:rtl/>
        </w:rPr>
        <w:t xml:space="preserve"> עיר ואם א”</w:t>
      </w:r>
      <w:bookmarkStart w:id="1166" w:name="_fnr685"/>
      <w:r>
        <w:rPr>
          <w:rStyle w:val="a5"/>
        </w:rPr>
        <w:footnoteReference w:id="685" w:customMarkFollows="0"/>
      </w:r>
      <w:bookmarkEnd w:id="1166"/>
      <w:r>
        <w:rPr>
          <w:rtl/>
        </w:rPr>
        <w:t xml:space="preserve"> עולה שהיו ליהושע אחים: שם מסופר </w:t>
      </w:r>
      <w:proofErr w:type="spellStart"/>
      <w:r>
        <w:rPr>
          <w:rtl/>
        </w:rPr>
        <w:t>ש“אחרי</w:t>
      </w:r>
      <w:proofErr w:type="spellEnd"/>
      <w:r>
        <w:rPr>
          <w:rtl/>
        </w:rPr>
        <w:t xml:space="preserve"> מות הוריו במגפת טיפוס בעיר הולדתם </w:t>
      </w:r>
      <w:proofErr w:type="spellStart"/>
      <w:r>
        <w:rPr>
          <w:rtl/>
        </w:rPr>
        <w:t>בוריסוב</w:t>
      </w:r>
      <w:proofErr w:type="spellEnd"/>
      <w:r>
        <w:rPr>
          <w:rtl/>
        </w:rPr>
        <w:t xml:space="preserve">, עבר יהושע למינסק עם משפחתו ועם </w:t>
      </w:r>
      <w:r>
        <w:rPr>
          <w:b/>
          <w:bCs/>
          <w:rtl/>
        </w:rPr>
        <w:t>שני אחיו</w:t>
      </w:r>
      <w:r>
        <w:rPr>
          <w:rtl/>
        </w:rPr>
        <w:t xml:space="preserve"> ואחותו חסיה”. באותה שיחה אמר אבי: “איני יודע מה עלה לבסוף בגורלו של ר׳ </w:t>
      </w:r>
      <w:proofErr w:type="spellStart"/>
      <w:r>
        <w:rPr>
          <w:rtl/>
        </w:rPr>
        <w:t>זלמן־יוסף</w:t>
      </w:r>
      <w:proofErr w:type="spellEnd"/>
      <w:r>
        <w:rPr>
          <w:rtl/>
        </w:rPr>
        <w:t xml:space="preserve"> תחת הבולשביקים. קראתי </w:t>
      </w:r>
      <w:proofErr w:type="spellStart"/>
      <w:r>
        <w:rPr>
          <w:rtl/>
        </w:rPr>
        <w:t>ב‘פארווערטס</w:t>
      </w:r>
      <w:proofErr w:type="spellEnd"/>
      <w:r>
        <w:rPr>
          <w:rtl/>
        </w:rPr>
        <w:t xml:space="preserve">’ או </w:t>
      </w:r>
      <w:proofErr w:type="spellStart"/>
      <w:r>
        <w:rPr>
          <w:rtl/>
        </w:rPr>
        <w:t>ב‘מארגן</w:t>
      </w:r>
      <w:proofErr w:type="spellEnd"/>
      <w:r>
        <w:rPr>
          <w:rtl/>
        </w:rPr>
        <w:t xml:space="preserve"> </w:t>
      </w:r>
      <w:proofErr w:type="spellStart"/>
      <w:r>
        <w:rPr>
          <w:rtl/>
        </w:rPr>
        <w:t>זשורנאל</w:t>
      </w:r>
      <w:proofErr w:type="spellEnd"/>
      <w:r>
        <w:rPr>
          <w:rtl/>
        </w:rPr>
        <w:t>’</w:t>
      </w:r>
      <w:bookmarkStart w:id="1167" w:name="_fnr686"/>
      <w:r>
        <w:rPr>
          <w:rStyle w:val="a5"/>
        </w:rPr>
        <w:footnoteReference w:id="686" w:customMarkFollows="0"/>
      </w:r>
      <w:bookmarkEnd w:id="1167"/>
      <w:r>
        <w:rPr>
          <w:rtl/>
        </w:rPr>
        <w:t xml:space="preserve"> על רב באוקראינה שחשדתי שהוא הוא. באותה כתבה הוא נקרא בשם משפחה אחר, אבל ברוסיה אין בכך כדי לשלול שהיה זה באמת </w:t>
      </w:r>
      <w:proofErr w:type="spellStart"/>
      <w:r>
        <w:rPr>
          <w:rtl/>
        </w:rPr>
        <w:t>בייניסון</w:t>
      </w:r>
      <w:proofErr w:type="spellEnd"/>
      <w:r>
        <w:rPr>
          <w:rtl/>
        </w:rPr>
        <w:t xml:space="preserve">”. לפי ההשערה האמורה, ייתכן שהחליף את שם המשפחה </w:t>
      </w:r>
      <w:proofErr w:type="spellStart"/>
      <w:r>
        <w:rPr>
          <w:rtl/>
        </w:rPr>
        <w:t>בייניסון</w:t>
      </w:r>
      <w:proofErr w:type="spellEnd"/>
      <w:r>
        <w:rPr>
          <w:rtl/>
        </w:rPr>
        <w:t xml:space="preserve"> מפחד הבולשביקים, שעלולים היו לקשור אותו </w:t>
      </w:r>
      <w:proofErr w:type="spellStart"/>
      <w:r>
        <w:rPr>
          <w:rtl/>
        </w:rPr>
        <w:t>ל“פשע</w:t>
      </w:r>
      <w:proofErr w:type="spellEnd"/>
      <w:r>
        <w:rPr>
          <w:rtl/>
        </w:rPr>
        <w:t>” הציוני של אחיו המהגר.</w:t>
      </w:r>
    </w:p>
    <w:p w14:paraId="03C5EC30" w14:textId="09A4E478"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בלהיטות האופיינית לו לא השאיר ראובן </w:t>
      </w:r>
      <w:proofErr w:type="spellStart"/>
      <w:r>
        <w:rPr>
          <w:rtl/>
        </w:rPr>
        <w:t>גרוזובסקי</w:t>
      </w:r>
      <w:proofErr w:type="spellEnd"/>
      <w:r>
        <w:rPr>
          <w:rtl/>
        </w:rPr>
        <w:t xml:space="preserve"> דבר ליד המקרה. לא זו בלבד שדיבר ישירות עם הנוגעים בדבר, אלא אף תיאר את הבעיות הנובעות מהמשך שהותם במינסק לפני אחד מראשי הישיבה הקודמים של אבי – ושל אשר</w:t>
      </w:r>
      <w:bookmarkStart w:id="1168" w:name="b2_ref102"/>
      <w:bookmarkEnd w:id="1168"/>
      <w:r>
        <w:rPr>
          <w:vertAlign w:val="superscript"/>
          <w:rtl/>
        </w:rPr>
        <w:fldChar w:fldCharType="begin" w:dirty="true"/>
      </w:r>
      <w:r>
        <w:rPr>
          <w:vertAlign w:val="superscript"/>
          <w:rtl/>
        </w:rPr>
        <w:instrText xml:space="preserve"> REF b2_note102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102</w:t>
      </w:r>
      <w:r>
        <w:rPr>
          <w:vertAlign w:val="superscript"/>
          <w:rtl/>
        </w:rPr>
        <w:fldChar w:fldCharType="end"/>
      </w:r>
      <w:r>
        <w:rPr>
          <w:rtl/>
        </w:rPr>
        <w:t xml:space="preserve"> – ר׳ שלמה גולובנצ׳יץ.</w:t>
      </w:r>
      <w:bookmarkStart w:id="1169" w:name="b2_ref103"/>
      <w:bookmarkEnd w:id="1169"/>
      <w:r>
        <w:rPr>
          <w:vertAlign w:val="superscript"/>
          <w:rtl/>
        </w:rPr>
        <w:fldChar w:fldCharType="begin" w:dirty="true"/>
      </w:r>
      <w:r>
        <w:rPr>
          <w:vertAlign w:val="superscript"/>
          <w:rtl/>
        </w:rPr>
        <w:instrText xml:space="preserve"> REF b2_note103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103</w:t>
      </w:r>
      <w:r>
        <w:rPr>
          <w:vertAlign w:val="superscript"/>
          <w:rtl/>
        </w:rPr>
        <w:fldChar w:fldCharType="end"/>
      </w:r>
      <w:r>
        <w:rPr>
          <w:rtl/>
        </w:rPr>
        <w:t xml:space="preserve"> ר׳ שלמה, מצדו, סידר שאוהב התורה ר׳ </w:t>
      </w:r>
      <w:proofErr w:type="spellStart"/>
      <w:r>
        <w:rPr>
          <w:rtl/>
        </w:rPr>
        <w:t>יעקב־נח</w:t>
      </w:r>
      <w:proofErr w:type="spellEnd"/>
      <w:r>
        <w:rPr>
          <w:rtl/>
        </w:rPr>
        <w:t xml:space="preserve"> אוקסנקרוג</w:t>
      </w:r>
      <w:bookmarkStart w:id="1170" w:name="b2_ref104"/>
      <w:bookmarkEnd w:id="1170"/>
      <w:r>
        <w:rPr>
          <w:vertAlign w:val="superscript"/>
          <w:rtl/>
        </w:rPr>
        <w:fldChar w:fldCharType="begin" w:dirty="true"/>
      </w:r>
      <w:r>
        <w:rPr>
          <w:vertAlign w:val="superscript"/>
          <w:rtl/>
        </w:rPr>
        <w:instrText xml:space="preserve"> REF b2_note104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104</w:t>
      </w:r>
      <w:r>
        <w:rPr>
          <w:vertAlign w:val="superscript"/>
          <w:rtl/>
        </w:rPr>
        <w:fldChar w:fldCharType="end"/>
      </w:r>
      <w:r>
        <w:rPr>
          <w:rtl/>
        </w:rPr>
        <w:t xml:space="preserve"> יממן את דמי הנסיעה ברכבת ואת ההוצאות הראשונות</w:t>
      </w:r>
      <w:bookmarkStart w:id="1171" w:name="b2_ref105"/>
      <w:bookmarkEnd w:id="1171"/>
      <w:r>
        <w:rPr>
          <w:vertAlign w:val="superscript"/>
          <w:rtl/>
        </w:rPr>
        <w:fldChar w:fldCharType="begin" w:dirty="true"/>
      </w:r>
      <w:r>
        <w:rPr>
          <w:vertAlign w:val="superscript"/>
          <w:rtl/>
        </w:rPr>
        <w:instrText xml:space="preserve"> REF b2_note105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105</w:t>
      </w:r>
      <w:r>
        <w:rPr>
          <w:vertAlign w:val="superscript"/>
          <w:rtl/>
        </w:rPr>
        <w:fldChar w:fldCharType="end"/>
      </w:r>
      <w:r>
        <w:rPr>
          <w:rtl/>
        </w:rPr>
        <w:t xml:space="preserve"> של שני</w:t>
      </w:r>
      <w:r>
        <w:rPr>
          <w:vertAlign w:val="superscript"/>
          <w:rtl/>
        </w:rPr>
        <w:fldChar w:fldCharType="begin" w:dirty="true"/>
      </w:r>
      <w:r>
        <w:rPr>
          <w:vertAlign w:val="superscript"/>
          <w:rtl/>
        </w:rPr>
        <w:instrText xml:space="preserve"> REF b2_note103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103</w:t>
      </w:r>
      <w:r>
        <w:rPr>
          <w:vertAlign w:val="superscript"/>
          <w:rtl/>
        </w:rPr>
        <w:fldChar w:fldCharType="end"/>
      </w:r>
      <w:r>
        <w:rPr>
          <w:rtl/>
        </w:rPr>
        <w:t xml:space="preserve"> תלמידי החכמים הצעירים המבטיחים, אם יסכימו לעזוב את מינסק. משהוסר מכשול זה, שב ראובן להסתערות חזיתית, ודחק בשני הנערים שלא ידחו עוד את יציאתם ממינסק.</w:t>
      </w:r>
      <w:bookmarkStart w:id="1172" w:name="b2_ref106"/>
      <w:bookmarkEnd w:id="1172"/>
      <w:r>
        <w:rPr>
          <w:vertAlign w:val="superscript"/>
          <w:rtl/>
        </w:rPr>
        <w:fldChar w:fldCharType="begin" w:dirty="true"/>
      </w:r>
      <w:r>
        <w:rPr>
          <w:vertAlign w:val="superscript"/>
          <w:rtl/>
        </w:rPr>
        <w:instrText xml:space="preserve"> REF b2_note106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106</w:t>
      </w:r>
      <w:r>
        <w:rPr>
          <w:vertAlign w:val="superscript"/>
          <w:rtl/>
        </w:rPr>
        <w:fldChar w:fldCharType="end"/>
      </w:r>
    </w:p>
    <w:bookmarkStart w:id="1173" w:name="b2_note102"/>
    <w:p w14:paraId="5B0293B9" w14:textId="77777777" w:rsidR="00AB3647" w:rsidRDefault="00000000" w:rsidP="007923E9">
      <w:pPr>
        <w:spacing w:before="120" w:after="100" w:line="276" w:lineRule="auto"/>
        <w:jc w:val="both"/>
      </w:pPr>
      <w:r>
        <w:fldChar w:fldCharType="begin" w:dirty="true"/>
      </w:r>
      <w:r>
        <w:instrText>HYPERLINK \l "b2_ref102"</w:instrText>
      </w:r>
      <w:r>
        <w:fldChar w:fldCharType="separate"/>
      </w:r>
      <w:r>
        <w:rPr>
          <w:b/>
          <w:bCs/>
          <w:rtl/>
        </w:rPr>
        <w:t>102</w:t>
      </w:r>
      <w:r>
        <w:rPr>
          <w:b/>
          <w:bCs/>
        </w:rPr>
        <w:fldChar w:fldCharType="end"/>
      </w:r>
      <w:bookmarkEnd w:id="1173"/>
      <w:r>
        <w:rPr>
          <w:rtl/>
        </w:rPr>
        <w:t xml:space="preserve"> מאמר אוטוביוגרפי </w:t>
      </w:r>
      <w:proofErr w:type="spellStart"/>
      <w:r>
        <w:rPr>
          <w:rtl/>
        </w:rPr>
        <w:t>ב“מינסק</w:t>
      </w:r>
      <w:proofErr w:type="spellEnd"/>
      <w:r>
        <w:rPr>
          <w:rtl/>
        </w:rPr>
        <w:t xml:space="preserve"> עיר ואם ב”.</w:t>
      </w:r>
      <w:bookmarkStart w:id="1174" w:name="_fnr687"/>
      <w:r>
        <w:rPr>
          <w:rStyle w:val="a5"/>
        </w:rPr>
        <w:footnoteReference w:id="687" w:customMarkFollows="0"/>
      </w:r>
      <w:bookmarkEnd w:id="1174"/>
      <w:r>
        <w:rPr>
          <w:rtl/>
        </w:rPr>
        <w:t xml:space="preserve"> שם הוא מספר שלפני שבא </w:t>
      </w:r>
      <w:proofErr w:type="spellStart"/>
      <w:r>
        <w:rPr>
          <w:rtl/>
        </w:rPr>
        <w:t>לסלבודקה</w:t>
      </w:r>
      <w:proofErr w:type="spellEnd"/>
      <w:r>
        <w:rPr>
          <w:rtl/>
        </w:rPr>
        <w:t xml:space="preserve"> – שנה לפני אבי – למד שנתיים </w:t>
      </w:r>
      <w:proofErr w:type="spellStart"/>
      <w:r>
        <w:rPr>
          <w:rtl/>
        </w:rPr>
        <w:t>בראדין</w:t>
      </w:r>
      <w:proofErr w:type="spellEnd"/>
      <w:r>
        <w:rPr>
          <w:rtl/>
        </w:rPr>
        <w:t xml:space="preserve">, ומגיל </w:t>
      </w:r>
      <w:proofErr w:type="spellStart"/>
      <w:r>
        <w:rPr>
          <w:rtl/>
        </w:rPr>
        <w:t>שבע־עשרה</w:t>
      </w:r>
      <w:proofErr w:type="spellEnd"/>
      <w:r>
        <w:rPr>
          <w:rtl/>
        </w:rPr>
        <w:t xml:space="preserve"> היה שם “סופר החידושים של </w:t>
      </w:r>
      <w:proofErr w:type="spellStart"/>
      <w:r>
        <w:rPr>
          <w:rtl/>
        </w:rPr>
        <w:t>החפץ־חיים</w:t>
      </w:r>
      <w:proofErr w:type="spellEnd"/>
      <w:r>
        <w:rPr>
          <w:rtl/>
        </w:rPr>
        <w:t xml:space="preserve"> (ר׳ </w:t>
      </w:r>
      <w:proofErr w:type="spellStart"/>
      <w:r>
        <w:rPr>
          <w:rtl/>
        </w:rPr>
        <w:t>ישראל־מאיר</w:t>
      </w:r>
      <w:proofErr w:type="spellEnd"/>
      <w:r>
        <w:rPr>
          <w:rtl/>
        </w:rPr>
        <w:t xml:space="preserve"> כגן), שנכתבו לימים </w:t>
      </w:r>
      <w:proofErr w:type="spellStart"/>
      <w:r>
        <w:rPr>
          <w:rtl/>
        </w:rPr>
        <w:t>ב‘משנה</w:t>
      </w:r>
      <w:proofErr w:type="spellEnd"/>
      <w:r>
        <w:rPr>
          <w:rtl/>
        </w:rPr>
        <w:t xml:space="preserve"> ברורה’”.</w:t>
      </w:r>
    </w:p>
    <w:bookmarkStart w:id="1175" w:name="b2_note103"/>
    <w:p w14:paraId="0CEA1972" w14:textId="15DD791B" w:rsidR="00AB3647" w:rsidRDefault="00000000" w:rsidP="007923E9">
      <w:pPr>
        <w:spacing w:before="120" w:after="100" w:line="276" w:lineRule="auto"/>
        <w:jc w:val="both"/>
      </w:pPr>
      <w:r>
        <w:lastRenderedPageBreak/>
        <w:fldChar w:fldCharType="begin" w:dirty="true"/>
      </w:r>
      <w:r>
        <w:instrText>HYPERLINK \l "b2_ref103"</w:instrText>
      </w:r>
      <w:r>
        <w:fldChar w:fldCharType="separate"/>
      </w:r>
      <w:r>
        <w:rPr>
          <w:b/>
          <w:bCs/>
          <w:rtl/>
        </w:rPr>
        <w:t>103</w:t>
      </w:r>
      <w:r>
        <w:rPr>
          <w:b/>
          <w:bCs/>
        </w:rPr>
        <w:fldChar w:fldCharType="end"/>
      </w:r>
      <w:bookmarkEnd w:id="1175"/>
      <w:r>
        <w:rPr>
          <w:rtl/>
        </w:rPr>
        <w:t xml:space="preserve"> כשהספיד אבי את ר׳ ראובן </w:t>
      </w:r>
      <w:proofErr w:type="spellStart"/>
      <w:r>
        <w:rPr>
          <w:rtl/>
        </w:rPr>
        <w:t>גרוזובסקי</w:t>
      </w:r>
      <w:proofErr w:type="spellEnd"/>
      <w:r>
        <w:rPr>
          <w:rtl/>
        </w:rPr>
        <w:t xml:space="preserve"> על שהציל אותו ואת ר׳ אהרן קוטלר מציפורני ההשכלה בכך ששכנע אותם ללכת </w:t>
      </w:r>
      <w:proofErr w:type="spellStart"/>
      <w:r>
        <w:rPr>
          <w:rtl/>
        </w:rPr>
        <w:t>לסלבודקה</w:t>
      </w:r>
      <w:proofErr w:type="spellEnd"/>
      <w:r>
        <w:rPr>
          <w:rtl/>
        </w:rPr>
        <w:t xml:space="preserve">, הזכיר גם את ר׳ שלמה </w:t>
      </w:r>
      <w:proofErr w:type="spellStart"/>
      <w:r>
        <w:rPr>
          <w:rtl/>
        </w:rPr>
        <w:t>גולובנצ׳יץ</w:t>
      </w:r>
      <w:proofErr w:type="spellEnd"/>
      <w:r>
        <w:rPr>
          <w:rtl/>
        </w:rPr>
        <w:t xml:space="preserve"> כמי ששלח </w:t>
      </w:r>
      <w:r>
        <w:rPr>
          <w:b/>
          <w:bCs/>
          <w:rtl/>
        </w:rPr>
        <w:t>אותם</w:t>
      </w:r>
      <w:r>
        <w:rPr>
          <w:rtl/>
        </w:rPr>
        <w:t xml:space="preserve"> (ההדגשה שלי, לצורך הדיון להלן) לשם. הוא הביע הכרת טובה </w:t>
      </w:r>
      <w:proofErr w:type="spellStart"/>
      <w:r>
        <w:rPr>
          <w:rtl/>
        </w:rPr>
        <w:t>לר</w:t>
      </w:r>
      <w:proofErr w:type="spellEnd"/>
      <w:r>
        <w:rPr>
          <w:rtl/>
        </w:rPr>
        <w:t xml:space="preserve">׳ שלמה גם כשהוצג לפני נכדו, ר׳ אהרן </w:t>
      </w:r>
      <w:proofErr w:type="spellStart"/>
      <w:r>
        <w:rPr>
          <w:rtl/>
        </w:rPr>
        <w:t>גולובנצ׳יץ</w:t>
      </w:r>
      <w:proofErr w:type="spellEnd"/>
      <w:r>
        <w:rPr>
          <w:rtl/>
        </w:rPr>
        <w:t>, בביקור בבויז טאון בירושלים בחורף תשמ״א.</w:t>
      </w:r>
      <w:bookmarkStart w:id="1176" w:name="_fnr688"/>
      <w:r>
        <w:rPr>
          <w:rStyle w:val="a5"/>
        </w:rPr>
        <w:footnoteReference w:id="688" w:customMarkFollows="0"/>
      </w:r>
      <w:bookmarkEnd w:id="1176"/>
      <w:r>
        <w:rPr>
          <w:rtl/>
        </w:rPr>
        <w:t xml:space="preserve"> השווה גם פרק 3, הערה </w:t>
      </w:r>
      <w:r>
        <w:rPr>
          <w:rtl/>
        </w:rPr>
        <w:fldChar w:fldCharType="begin" w:dirty="true"/>
      </w:r>
      <w:r>
        <w:rPr>
          <w:rtl/>
        </w:rPr>
        <w:instrText xml:space="preserve"> REF b3_note1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w:t>
      </w:r>
      <w:r>
        <w:rPr>
          <w:rtl/>
        </w:rPr>
        <w:fldChar w:fldCharType="end"/>
      </w:r>
      <w:r>
        <w:rPr>
          <w:rtl/>
        </w:rPr>
        <w:t xml:space="preserve">, שאחיינו היתום של ר׳ שלמה, </w:t>
      </w:r>
      <w:proofErr w:type="spellStart"/>
      <w:r>
        <w:rPr>
          <w:rtl/>
        </w:rPr>
        <w:t>נחום־מאיר</w:t>
      </w:r>
      <w:proofErr w:type="spellEnd"/>
      <w:r>
        <w:rPr>
          <w:rtl/>
        </w:rPr>
        <w:t xml:space="preserve">, שלמד אצלו וגר עמו, נשלח גם הוא </w:t>
      </w:r>
      <w:proofErr w:type="spellStart"/>
      <w:r>
        <w:rPr>
          <w:rtl/>
        </w:rPr>
        <w:t>לסלבודקה</w:t>
      </w:r>
      <w:proofErr w:type="spellEnd"/>
      <w:r>
        <w:rPr>
          <w:rtl/>
        </w:rPr>
        <w:t xml:space="preserve"> באותו זמן. ר׳ </w:t>
      </w:r>
      <w:proofErr w:type="spellStart"/>
      <w:r>
        <w:rPr>
          <w:rtl/>
        </w:rPr>
        <w:t>אברהם־ישעיה</w:t>
      </w:r>
      <w:proofErr w:type="spellEnd"/>
      <w:r>
        <w:rPr>
          <w:rtl/>
        </w:rPr>
        <w:t xml:space="preserve"> </w:t>
      </w:r>
      <w:proofErr w:type="spellStart"/>
      <w:r>
        <w:rPr>
          <w:rtl/>
        </w:rPr>
        <w:t>קרליץ</w:t>
      </w:r>
      <w:proofErr w:type="spellEnd"/>
      <w:r>
        <w:rPr>
          <w:rtl/>
        </w:rPr>
        <w:t xml:space="preserve">, נכדו של ר׳ </w:t>
      </w:r>
      <w:proofErr w:type="spellStart"/>
      <w:r>
        <w:rPr>
          <w:rtl/>
        </w:rPr>
        <w:t>נחום־מאיר</w:t>
      </w:r>
      <w:proofErr w:type="spellEnd"/>
      <w:r>
        <w:rPr>
          <w:rtl/>
        </w:rPr>
        <w:t>,</w:t>
      </w:r>
      <w:bookmarkStart w:id="1177" w:name="_fnr689"/>
      <w:r>
        <w:rPr>
          <w:rStyle w:val="a5"/>
        </w:rPr>
        <w:footnoteReference w:id="689" w:customMarkFollows="0"/>
      </w:r>
      <w:bookmarkEnd w:id="1177"/>
      <w:r>
        <w:rPr>
          <w:rtl/>
        </w:rPr>
        <w:t xml:space="preserve"> סיפר שסבו נסע יחד עם אבי, ורק ברכבת פגשו את ר׳ אהרן קוטלר.</w:t>
      </w:r>
    </w:p>
    <w:p w14:paraId="0BDED9D9" w14:textId="6C7BCC69" w:rsidR="00AB3647" w:rsidRDefault="00000000" w:rsidP="007923E9">
      <w:pPr>
        <w:spacing w:before="120" w:after="100" w:line="276" w:lineRule="auto"/>
        <w:jc w:val="both"/>
      </w:pPr>
      <w:r>
        <w:rPr>
          <w:rtl/>
        </w:rPr>
        <w:t xml:space="preserve">נראה אם כן שר׳ שלמה </w:t>
      </w:r>
      <w:proofErr w:type="spellStart"/>
      <w:r>
        <w:rPr>
          <w:rtl/>
        </w:rPr>
        <w:t>גולובנצ׳יץ</w:t>
      </w:r>
      <w:proofErr w:type="spellEnd"/>
      <w:r>
        <w:rPr>
          <w:rtl/>
        </w:rPr>
        <w:t xml:space="preserve"> השיג מר׳ </w:t>
      </w:r>
      <w:proofErr w:type="spellStart"/>
      <w:r>
        <w:rPr>
          <w:rtl/>
        </w:rPr>
        <w:t>יעקב־נח</w:t>
      </w:r>
      <w:proofErr w:type="spellEnd"/>
      <w:r>
        <w:rPr>
          <w:rtl/>
        </w:rPr>
        <w:t xml:space="preserve"> </w:t>
      </w:r>
      <w:proofErr w:type="spellStart"/>
      <w:r>
        <w:rPr>
          <w:rtl/>
        </w:rPr>
        <w:t>אוקסנקרוג</w:t>
      </w:r>
      <w:proofErr w:type="spellEnd"/>
      <w:r>
        <w:rPr>
          <w:rtl/>
        </w:rPr>
        <w:t xml:space="preserve"> את המימון לאבי (ואולי גם לאחיינו שלו ולאחרים – ראה הערה </w:t>
      </w:r>
      <w:r>
        <w:rPr>
          <w:rtl/>
        </w:rPr>
        <w:fldChar w:fldCharType="begin" w:dirty="true"/>
      </w:r>
      <w:r>
        <w:rPr>
          <w:rtl/>
        </w:rPr>
        <w:instrText xml:space="preserve"> REF b2_note105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105</w:t>
      </w:r>
      <w:r>
        <w:rPr>
          <w:rtl/>
        </w:rPr>
        <w:fldChar w:fldCharType="end"/>
      </w:r>
      <w:r>
        <w:rPr>
          <w:rtl/>
        </w:rPr>
        <w:t xml:space="preserve"> להלן) ושלח אותו בעצמו, ואילו את הסידורים לאהרן פינס עשה ר׳ </w:t>
      </w:r>
      <w:proofErr w:type="spellStart"/>
      <w:r>
        <w:rPr>
          <w:rtl/>
        </w:rPr>
        <w:t>יעקב־נח</w:t>
      </w:r>
      <w:proofErr w:type="spellEnd"/>
      <w:r>
        <w:rPr>
          <w:rtl/>
        </w:rPr>
        <w:t xml:space="preserve"> לבדו. רק בדרך נוכחו שתי קבוצות הנוסעים שהן נוסעות באותה רכבת. זאת ועוד: אהרן פינס לא למד אצל ר׳ שלמה מעולם, ולכן מסתבר שר׳ שלמה לא הכירו כלל, או הכירו רק בשטחיות,</w:t>
      </w:r>
      <w:bookmarkStart w:id="1178" w:name="_fnr690"/>
      <w:r>
        <w:rPr>
          <w:rStyle w:val="a5"/>
        </w:rPr>
        <w:footnoteReference w:id="690" w:customMarkFollows="0"/>
      </w:r>
      <w:bookmarkEnd w:id="1178"/>
      <w:r>
        <w:rPr>
          <w:rtl/>
        </w:rPr>
        <w:t xml:space="preserve"> </w:t>
      </w:r>
      <w:proofErr w:type="spellStart"/>
      <w:r>
        <w:rPr>
          <w:rtl/>
        </w:rPr>
        <w:t>ושאוקסנקרוג</w:t>
      </w:r>
      <w:proofErr w:type="spellEnd"/>
      <w:r>
        <w:rPr>
          <w:rtl/>
        </w:rPr>
        <w:t xml:space="preserve"> הוא שהחליט מדעת עצמו לשלוח את ר׳ אהרן.</w:t>
      </w:r>
    </w:p>
    <w:p w14:paraId="7F580C7B" w14:textId="77777777" w:rsidR="00AB3647" w:rsidRDefault="00000000" w:rsidP="007923E9">
      <w:pPr>
        <w:spacing w:before="120" w:after="100" w:line="276" w:lineRule="auto"/>
        <w:jc w:val="both"/>
      </w:pPr>
      <w:r>
        <w:rPr>
          <w:rtl/>
        </w:rPr>
        <w:t xml:space="preserve">אפשר שר׳ </w:t>
      </w:r>
      <w:proofErr w:type="spellStart"/>
      <w:r>
        <w:rPr>
          <w:rtl/>
        </w:rPr>
        <w:t>יעקב־נח</w:t>
      </w:r>
      <w:proofErr w:type="spellEnd"/>
      <w:r>
        <w:rPr>
          <w:rtl/>
        </w:rPr>
        <w:t xml:space="preserve"> העלה רעיון זה אחרי שפנה אליו ר׳ שלמה וביקש ממנו לממן את נסיעתו של תלמיד אחר משול </w:t>
      </w:r>
      <w:proofErr w:type="spellStart"/>
      <w:r>
        <w:rPr>
          <w:rtl/>
        </w:rPr>
        <w:t>הקצבים</w:t>
      </w:r>
      <w:proofErr w:type="spellEnd"/>
      <w:r>
        <w:rPr>
          <w:rtl/>
        </w:rPr>
        <w:t xml:space="preserve"> של הקצב </w:t>
      </w:r>
      <w:proofErr w:type="spellStart"/>
      <w:r>
        <w:rPr>
          <w:rtl/>
        </w:rPr>
        <w:t>אוקסנקרוג</w:t>
      </w:r>
      <w:proofErr w:type="spellEnd"/>
      <w:r>
        <w:rPr>
          <w:rtl/>
        </w:rPr>
        <w:t xml:space="preserve"> – ידידו של פינס, אבי. גם לפי תרחיש משוער זה באה פעולתו של ר׳ </w:t>
      </w:r>
      <w:proofErr w:type="spellStart"/>
      <w:r>
        <w:rPr>
          <w:rtl/>
        </w:rPr>
        <w:t>יעקב־נח</w:t>
      </w:r>
      <w:proofErr w:type="spellEnd"/>
      <w:r>
        <w:rPr>
          <w:rtl/>
        </w:rPr>
        <w:t xml:space="preserve"> בעקבות צעד של הרב </w:t>
      </w:r>
      <w:proofErr w:type="spellStart"/>
      <w:r>
        <w:rPr>
          <w:rtl/>
        </w:rPr>
        <w:t>גולובנצ׳יץ</w:t>
      </w:r>
      <w:proofErr w:type="spellEnd"/>
      <w:r>
        <w:rPr>
          <w:rtl/>
        </w:rPr>
        <w:t xml:space="preserve">, ולכן יש לזקוף לזכות האחרון גם את מעברו של ר׳ אהרן </w:t>
      </w:r>
      <w:proofErr w:type="spellStart"/>
      <w:r>
        <w:rPr>
          <w:rtl/>
        </w:rPr>
        <w:t>לסלבודקה</w:t>
      </w:r>
      <w:proofErr w:type="spellEnd"/>
      <w:r>
        <w:rPr>
          <w:rtl/>
        </w:rPr>
        <w:t xml:space="preserve"> – כפי שאכן זקף לו רבנו, כמודגש בראש הערה זו. ר׳ </w:t>
      </w:r>
      <w:proofErr w:type="spellStart"/>
      <w:r>
        <w:rPr>
          <w:rtl/>
        </w:rPr>
        <w:t>יעקב־נח</w:t>
      </w:r>
      <w:proofErr w:type="spellEnd"/>
      <w:r>
        <w:rPr>
          <w:rtl/>
        </w:rPr>
        <w:t xml:space="preserve"> בירר אז אצל ר׳ שלמה באיזו רכבת ייסע אבי (ואחיינו של ר׳ שלמה), והעלה עליה גם את אהרן פינס. הסידורים לנסיעה נעשו בבין הזמנים של פסח, ולכן לא היו ר׳ אהרן ואבי בקשר זה עם זה, ולא ידעו זה על תוכניות הנסיעה המדויקות של זה עד שנפגשו ברכבת. משנפגשו, דבקו שני הידידים זה בזה לאורך כל הנסיעה, ועברו יחד הרפתקה בווילנה בדרכם לקובנה, כמוזכר בראש פרק 3.</w:t>
      </w:r>
    </w:p>
    <w:p w14:paraId="6FE3C2CB" w14:textId="77777777" w:rsidR="00AB3647" w:rsidRDefault="00000000" w:rsidP="007923E9">
      <w:pPr>
        <w:spacing w:after="100" w:line="276" w:lineRule="auto"/>
        <w:ind w:firstLine="340"/>
        <w:jc w:val="both"/>
      </w:pPr>
      <w:r>
        <w:rPr>
          <w:rtl/>
        </w:rPr>
        <w:t xml:space="preserve">הרב </w:t>
      </w:r>
      <w:proofErr w:type="spellStart"/>
      <w:r>
        <w:rPr>
          <w:rtl/>
        </w:rPr>
        <w:t>גולובנצ׳יץ</w:t>
      </w:r>
      <w:proofErr w:type="spellEnd"/>
      <w:r>
        <w:rPr>
          <w:rtl/>
        </w:rPr>
        <w:t xml:space="preserve"> הבין את חשיבות היציאה מן הבית לישיבה בעיר אחרת מניסיונו שלו בנעוריו. לפי חתנו, ר׳ מאיר פינס,</w:t>
      </w:r>
      <w:bookmarkStart w:id="1179" w:name="_fnr691"/>
      <w:r>
        <w:rPr>
          <w:rStyle w:val="a5"/>
        </w:rPr>
        <w:footnoteReference w:id="691" w:customMarkFollows="0"/>
      </w:r>
      <w:bookmarkEnd w:id="1179"/>
      <w:r>
        <w:rPr>
          <w:rtl/>
        </w:rPr>
        <w:t xml:space="preserve"> אביו של ר׳ שלמה, תלמיד חכם, רצה שיישאר בבית וילמד אצלו, אבל בגיל </w:t>
      </w:r>
      <w:proofErr w:type="spellStart"/>
      <w:r>
        <w:rPr>
          <w:rtl/>
        </w:rPr>
        <w:t>שתים־עשרה</w:t>
      </w:r>
      <w:proofErr w:type="spellEnd"/>
      <w:r>
        <w:rPr>
          <w:rtl/>
        </w:rPr>
        <w:t xml:space="preserve"> ברח שלמה לישיבת </w:t>
      </w:r>
      <w:proofErr w:type="spellStart"/>
      <w:r>
        <w:rPr>
          <w:rtl/>
        </w:rPr>
        <w:t>וולוז׳ין</w:t>
      </w:r>
      <w:proofErr w:type="spellEnd"/>
      <w:r>
        <w:rPr>
          <w:rtl/>
        </w:rPr>
        <w:t xml:space="preserve">. היה זה מעשה נועז במיוחד, משום שהיה גיבן – כך סיפר בן מינסק ר׳ לייזר </w:t>
      </w:r>
      <w:proofErr w:type="spellStart"/>
      <w:r>
        <w:rPr>
          <w:rtl/>
        </w:rPr>
        <w:t>ברזין</w:t>
      </w:r>
      <w:proofErr w:type="spellEnd"/>
      <w:r>
        <w:rPr>
          <w:rtl/>
        </w:rPr>
        <w:t>,</w:t>
      </w:r>
      <w:bookmarkStart w:id="1180" w:name="_fnr692"/>
      <w:r>
        <w:rPr>
          <w:rStyle w:val="a5"/>
        </w:rPr>
        <w:footnoteReference w:id="692" w:customMarkFollows="0"/>
      </w:r>
      <w:bookmarkEnd w:id="1180"/>
      <w:r>
        <w:rPr>
          <w:rtl/>
        </w:rPr>
        <w:t xml:space="preserve"> שהרב </w:t>
      </w:r>
      <w:proofErr w:type="spellStart"/>
      <w:r>
        <w:rPr>
          <w:rtl/>
        </w:rPr>
        <w:t>גולובנצ׳יץ</w:t>
      </w:r>
      <w:proofErr w:type="spellEnd"/>
      <w:r>
        <w:rPr>
          <w:rtl/>
        </w:rPr>
        <w:t xml:space="preserve"> סידר את קידושיו בארץ ישראל זמן קצר לפני פטירתו.</w:t>
      </w:r>
      <w:bookmarkStart w:id="1181" w:name="_fnr693"/>
      <w:r>
        <w:rPr>
          <w:rStyle w:val="a5"/>
        </w:rPr>
        <w:footnoteReference w:id="693" w:customMarkFollows="0"/>
      </w:r>
      <w:bookmarkEnd w:id="1181"/>
      <w:r>
        <w:rPr>
          <w:rtl/>
        </w:rPr>
        <w:t xml:space="preserve"> נכד אחר של ר׳ שלמה, ר׳ אריה </w:t>
      </w:r>
      <w:proofErr w:type="spellStart"/>
      <w:r>
        <w:rPr>
          <w:rtl/>
        </w:rPr>
        <w:t>גולובנצ׳יץ</w:t>
      </w:r>
      <w:proofErr w:type="spellEnd"/>
      <w:r>
        <w:rPr>
          <w:rtl/>
        </w:rPr>
        <w:t>, סיפר</w:t>
      </w:r>
      <w:bookmarkStart w:id="1182" w:name="_fnr694"/>
      <w:r>
        <w:rPr>
          <w:rStyle w:val="a5"/>
        </w:rPr>
        <w:footnoteReference w:id="694" w:customMarkFollows="0"/>
      </w:r>
      <w:bookmarkEnd w:id="1182"/>
      <w:r>
        <w:rPr>
          <w:rtl/>
        </w:rPr>
        <w:t xml:space="preserve"> שתלמיד מובהק של </w:t>
      </w:r>
      <w:proofErr w:type="spellStart"/>
      <w:r>
        <w:rPr>
          <w:rtl/>
        </w:rPr>
        <w:t>סלבודקה</w:t>
      </w:r>
      <w:proofErr w:type="spellEnd"/>
      <w:r>
        <w:rPr>
          <w:rtl/>
        </w:rPr>
        <w:t xml:space="preserve">, ר׳ </w:t>
      </w:r>
      <w:proofErr w:type="spellStart"/>
      <w:r>
        <w:rPr>
          <w:rtl/>
        </w:rPr>
        <w:t>חצקל</w:t>
      </w:r>
      <w:proofErr w:type="spellEnd"/>
      <w:r>
        <w:rPr>
          <w:rtl/>
        </w:rPr>
        <w:t xml:space="preserve"> </w:t>
      </w:r>
      <w:proofErr w:type="spellStart"/>
      <w:r>
        <w:rPr>
          <w:rtl/>
        </w:rPr>
        <w:t>סרנא</w:t>
      </w:r>
      <w:proofErr w:type="spellEnd"/>
      <w:r>
        <w:rPr>
          <w:rtl/>
        </w:rPr>
        <w:t xml:space="preserve">, אמר בסעודת שבע ברכות משפחתית שישיבתו של ר׳ שלמה הייתה מכינה לישיבת </w:t>
      </w:r>
      <w:proofErr w:type="spellStart"/>
      <w:r>
        <w:rPr>
          <w:rtl/>
        </w:rPr>
        <w:t>סלבודקה</w:t>
      </w:r>
      <w:proofErr w:type="spellEnd"/>
      <w:r>
        <w:rPr>
          <w:rtl/>
        </w:rPr>
        <w:t>, ושבוגריה הצטיינו שם.</w:t>
      </w:r>
    </w:p>
    <w:bookmarkStart w:id="1183" w:name="b2_note104"/>
    <w:p w14:paraId="0FB4C62F" w14:textId="77777777" w:rsidR="00AB3647" w:rsidRDefault="00000000" w:rsidP="007923E9">
      <w:pPr>
        <w:spacing w:before="120" w:after="100" w:line="276" w:lineRule="auto"/>
        <w:jc w:val="both"/>
      </w:pPr>
      <w:r>
        <w:lastRenderedPageBreak/>
        <w:fldChar w:fldCharType="begin" w:dirty="true"/>
      </w:r>
      <w:r>
        <w:instrText>HYPERLINK \l "b2_ref104"</w:instrText>
      </w:r>
      <w:r>
        <w:fldChar w:fldCharType="separate"/>
      </w:r>
      <w:r>
        <w:rPr>
          <w:b/>
          <w:bCs/>
          <w:rtl/>
        </w:rPr>
        <w:t>104</w:t>
      </w:r>
      <w:r>
        <w:rPr>
          <w:b/>
          <w:bCs/>
        </w:rPr>
        <w:fldChar w:fldCharType="end"/>
      </w:r>
      <w:bookmarkEnd w:id="1183"/>
      <w:r>
        <w:rPr>
          <w:rtl/>
        </w:rPr>
        <w:t xml:space="preserve"> אבי סיפר:</w:t>
      </w:r>
      <w:bookmarkStart w:id="1184" w:name="_fnr695"/>
      <w:r>
        <w:rPr>
          <w:rStyle w:val="a5"/>
        </w:rPr>
        <w:footnoteReference w:id="695" w:customMarkFollows="0"/>
      </w:r>
      <w:bookmarkEnd w:id="1184"/>
      <w:r>
        <w:rPr>
          <w:rtl/>
        </w:rPr>
        <w:t xml:space="preserve"> “</w:t>
      </w:r>
      <w:proofErr w:type="spellStart"/>
      <w:r>
        <w:rPr>
          <w:rtl/>
        </w:rPr>
        <w:t>ליענקל</w:t>
      </w:r>
      <w:proofErr w:type="spellEnd"/>
      <w:r>
        <w:rPr>
          <w:rtl/>
        </w:rPr>
        <w:t xml:space="preserve"> הקצב היה רבי בשול </w:t>
      </w:r>
      <w:proofErr w:type="spellStart"/>
      <w:r>
        <w:rPr>
          <w:rtl/>
        </w:rPr>
        <w:t>הקצבים</w:t>
      </w:r>
      <w:proofErr w:type="spellEnd"/>
      <w:r>
        <w:rPr>
          <w:rtl/>
        </w:rPr>
        <w:t>, והוא היה מטריד את הרבנים האורחים שיסבירו לו את הסברות שבגמרא. לא היה זה כדי לקנטר; הוא רק רצה ‘</w:t>
      </w:r>
      <w:proofErr w:type="spellStart"/>
      <w:r>
        <w:rPr>
          <w:rtl/>
        </w:rPr>
        <w:t>אנטאפען</w:t>
      </w:r>
      <w:proofErr w:type="spellEnd"/>
      <w:r>
        <w:rPr>
          <w:rtl/>
        </w:rPr>
        <w:t xml:space="preserve">’ א </w:t>
      </w:r>
      <w:proofErr w:type="spellStart"/>
      <w:r>
        <w:rPr>
          <w:rtl/>
        </w:rPr>
        <w:t>סברא</w:t>
      </w:r>
      <w:proofErr w:type="spellEnd"/>
      <w:r>
        <w:rPr>
          <w:rtl/>
        </w:rPr>
        <w:t xml:space="preserve"> [למשש – לבדוק ולנתח – </w:t>
      </w:r>
      <w:proofErr w:type="spellStart"/>
      <w:r>
        <w:rPr>
          <w:rtl/>
        </w:rPr>
        <w:t>סברא</w:t>
      </w:r>
      <w:proofErr w:type="spellEnd"/>
      <w:r>
        <w:rPr>
          <w:rtl/>
        </w:rPr>
        <w:t xml:space="preserve">]. את אחד הרבנים – איני זוכר מי היה – הטריד כל כך שיסביר את הפלוגתא בין </w:t>
      </w:r>
      <w:proofErr w:type="spellStart"/>
      <w:r>
        <w:rPr>
          <w:rtl/>
        </w:rPr>
        <w:t>אביי</w:t>
      </w:r>
      <w:proofErr w:type="spellEnd"/>
      <w:r>
        <w:rPr>
          <w:rtl/>
        </w:rPr>
        <w:t xml:space="preserve"> </w:t>
      </w:r>
      <w:proofErr w:type="spellStart"/>
      <w:r>
        <w:rPr>
          <w:rtl/>
        </w:rPr>
        <w:t>לרבא</w:t>
      </w:r>
      <w:proofErr w:type="spellEnd"/>
      <w:r>
        <w:rPr>
          <w:rtl/>
        </w:rPr>
        <w:t xml:space="preserve"> בעניין ‘מיפוך והזמה’</w:t>
      </w:r>
      <w:bookmarkStart w:id="1185" w:name="_fnr696"/>
      <w:r>
        <w:rPr>
          <w:rStyle w:val="a5"/>
        </w:rPr>
        <w:footnoteReference w:id="696" w:customMarkFollows="0"/>
      </w:r>
      <w:bookmarkEnd w:id="1185"/>
      <w:r>
        <w:rPr>
          <w:rtl/>
        </w:rPr>
        <w:t>, עד שקרא הרב בכעס: ‘וכי אם איני יודע את סוגיית “מיפוך והזמה” איני יכול להיות רב?!’</w:t>
      </w:r>
      <w:bookmarkStart w:id="1186" w:name="_fnr697"/>
      <w:r>
        <w:rPr>
          <w:rStyle w:val="a5"/>
        </w:rPr>
        <w:footnoteReference w:id="697" w:customMarkFollows="0"/>
      </w:r>
      <w:bookmarkEnd w:id="1186"/>
      <w:r>
        <w:rPr>
          <w:rtl/>
        </w:rPr>
        <w:t xml:space="preserve">”. דברי אבי מתיישבים עם מה שאמר נכדו של ר׳ </w:t>
      </w:r>
      <w:proofErr w:type="spellStart"/>
      <w:r>
        <w:rPr>
          <w:rtl/>
        </w:rPr>
        <w:t>יעקב־נח</w:t>
      </w:r>
      <w:proofErr w:type="spellEnd"/>
      <w:r>
        <w:rPr>
          <w:rtl/>
        </w:rPr>
        <w:t xml:space="preserve"> בריאיון עמו</w:t>
      </w:r>
      <w:bookmarkStart w:id="1187" w:name="_fnr698"/>
      <w:r>
        <w:rPr>
          <w:rStyle w:val="a5"/>
        </w:rPr>
        <w:footnoteReference w:id="698" w:customMarkFollows="0"/>
      </w:r>
      <w:bookmarkEnd w:id="1187"/>
      <w:r>
        <w:rPr>
          <w:rtl/>
        </w:rPr>
        <w:t>: אם לא הבין סבו דבר מה בגמרא, לא היה עובר לסוגיה אחרת ימים רבים.</w:t>
      </w:r>
    </w:p>
    <w:bookmarkStart w:id="1188" w:name="b2_note105"/>
    <w:p w14:paraId="2523A3DC" w14:textId="4398AA51" w:rsidR="00AB3647" w:rsidRDefault="00000000" w:rsidP="007923E9">
      <w:pPr>
        <w:spacing w:before="120" w:after="100" w:line="276" w:lineRule="auto"/>
        <w:jc w:val="both"/>
      </w:pPr>
      <w:r>
        <w:fldChar w:fldCharType="begin" w:dirty="true"/>
      </w:r>
      <w:r>
        <w:instrText>HYPERLINK \l "b2_ref105"</w:instrText>
      </w:r>
      <w:r>
        <w:fldChar w:fldCharType="separate"/>
      </w:r>
      <w:r>
        <w:rPr>
          <w:b/>
          <w:bCs/>
          <w:rtl/>
        </w:rPr>
        <w:t>105</w:t>
      </w:r>
      <w:r>
        <w:rPr>
          <w:b/>
          <w:bCs/>
        </w:rPr>
        <w:fldChar w:fldCharType="end"/>
      </w:r>
      <w:bookmarkEnd w:id="1188"/>
      <w:r>
        <w:rPr>
          <w:rtl/>
        </w:rPr>
        <w:t xml:space="preserve"> ראה הערה </w:t>
      </w:r>
      <w:r>
        <w:rPr>
          <w:rtl/>
        </w:rPr>
        <w:fldChar w:fldCharType="begin" w:dirty="true"/>
      </w:r>
      <w:r>
        <w:rPr>
          <w:rtl/>
        </w:rPr>
        <w:instrText xml:space="preserve"> REF b2_note50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50</w:t>
      </w:r>
      <w:r>
        <w:rPr>
          <w:rtl/>
        </w:rPr>
        <w:fldChar w:fldCharType="end"/>
      </w:r>
      <w:r>
        <w:rPr>
          <w:rtl/>
        </w:rPr>
        <w:t xml:space="preserve"> לעיל. כשחזר ר׳ מרדכי שפירא מביקורו בארץ ישראל, חזר לפני אבי על הסיפור ששמע מפי ר׳ </w:t>
      </w:r>
      <w:proofErr w:type="spellStart"/>
      <w:r>
        <w:rPr>
          <w:rtl/>
        </w:rPr>
        <w:t>יעקב־נח</w:t>
      </w:r>
      <w:proofErr w:type="spellEnd"/>
      <w:r>
        <w:rPr>
          <w:rtl/>
        </w:rPr>
        <w:t xml:space="preserve"> </w:t>
      </w:r>
      <w:proofErr w:type="spellStart"/>
      <w:r>
        <w:rPr>
          <w:rtl/>
        </w:rPr>
        <w:t>אוקסנקרוג</w:t>
      </w:r>
      <w:proofErr w:type="spellEnd"/>
      <w:r>
        <w:rPr>
          <w:rtl/>
        </w:rPr>
        <w:t xml:space="preserve">. אבי אישר לא רק שר׳ </w:t>
      </w:r>
      <w:proofErr w:type="spellStart"/>
      <w:r>
        <w:rPr>
          <w:rtl/>
        </w:rPr>
        <w:t>יעקב־נח</w:t>
      </w:r>
      <w:proofErr w:type="spellEnd"/>
      <w:r>
        <w:rPr>
          <w:rtl/>
        </w:rPr>
        <w:t xml:space="preserve"> הוא שהביא את ר׳ אהרן </w:t>
      </w:r>
      <w:proofErr w:type="spellStart"/>
      <w:r>
        <w:rPr>
          <w:rtl/>
        </w:rPr>
        <w:t>לסלבודקה</w:t>
      </w:r>
      <w:proofErr w:type="spellEnd"/>
      <w:r>
        <w:rPr>
          <w:rtl/>
        </w:rPr>
        <w:t xml:space="preserve">, אלא גם </w:t>
      </w:r>
      <w:proofErr w:type="spellStart"/>
      <w:r>
        <w:rPr>
          <w:rtl/>
        </w:rPr>
        <w:t>שה“נער</w:t>
      </w:r>
      <w:proofErr w:type="spellEnd"/>
      <w:r>
        <w:rPr>
          <w:rtl/>
        </w:rPr>
        <w:t xml:space="preserve"> האחר”, שאת שמו לא זכר </w:t>
      </w:r>
      <w:proofErr w:type="spellStart"/>
      <w:r>
        <w:rPr>
          <w:rtl/>
        </w:rPr>
        <w:t>אוקסנקרוג</w:t>
      </w:r>
      <w:proofErr w:type="spellEnd"/>
      <w:r>
        <w:rPr>
          <w:rtl/>
        </w:rPr>
        <w:t xml:space="preserve">, לא היה אלא הוא עצמו. ראה פרק 3, הערה </w:t>
      </w:r>
      <w:r>
        <w:rPr>
          <w:rtl/>
        </w:rPr>
        <w:fldChar w:fldCharType="begin" w:dirty="true"/>
      </w:r>
      <w:r>
        <w:rPr>
          <w:rtl/>
        </w:rPr>
        <w:instrText xml:space="preserve"> REF b3_note1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w:t>
      </w:r>
      <w:r>
        <w:rPr>
          <w:rtl/>
        </w:rPr>
        <w:fldChar w:fldCharType="end"/>
      </w:r>
      <w:r>
        <w:rPr>
          <w:rtl/>
        </w:rPr>
        <w:t xml:space="preserve"> (והערה </w:t>
      </w:r>
      <w:r>
        <w:rPr>
          <w:rtl/>
        </w:rPr>
        <w:fldChar w:fldCharType="begin" w:dirty="true"/>
      </w:r>
      <w:r>
        <w:rPr>
          <w:rtl/>
        </w:rPr>
        <w:instrText xml:space="preserve"> REF b2_note103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103</w:t>
      </w:r>
      <w:r>
        <w:rPr>
          <w:rtl/>
        </w:rPr>
        <w:fldChar w:fldCharType="end"/>
      </w:r>
      <w:r>
        <w:rPr>
          <w:rtl/>
        </w:rPr>
        <w:t xml:space="preserve"> לעיל), שהיו עוד נוסעים </w:t>
      </w:r>
      <w:proofErr w:type="spellStart"/>
      <w:r>
        <w:rPr>
          <w:rtl/>
        </w:rPr>
        <w:t>לסלבודקה</w:t>
      </w:r>
      <w:proofErr w:type="spellEnd"/>
      <w:r>
        <w:rPr>
          <w:rtl/>
        </w:rPr>
        <w:t xml:space="preserve">; אבל הם לא היו תלמידים בשול </w:t>
      </w:r>
      <w:proofErr w:type="spellStart"/>
      <w:r>
        <w:rPr>
          <w:rtl/>
        </w:rPr>
        <w:t>הקצבים</w:t>
      </w:r>
      <w:proofErr w:type="spellEnd"/>
      <w:r>
        <w:rPr>
          <w:rtl/>
        </w:rPr>
        <w:t xml:space="preserve"> שלו, ולכן לא זכר </w:t>
      </w:r>
      <w:proofErr w:type="spellStart"/>
      <w:r>
        <w:rPr>
          <w:rtl/>
        </w:rPr>
        <w:t>אוקסנקרוג</w:t>
      </w:r>
      <w:proofErr w:type="spellEnd"/>
      <w:r>
        <w:rPr>
          <w:rtl/>
        </w:rPr>
        <w:t xml:space="preserve"> </w:t>
      </w:r>
      <w:proofErr w:type="spellStart"/>
      <w:r>
        <w:rPr>
          <w:rtl/>
        </w:rPr>
        <w:t>ש“שלח</w:t>
      </w:r>
      <w:proofErr w:type="spellEnd"/>
      <w:r>
        <w:rPr>
          <w:rtl/>
        </w:rPr>
        <w:t xml:space="preserve">” יותר </w:t>
      </w:r>
      <w:proofErr w:type="spellStart"/>
      <w:r>
        <w:rPr>
          <w:rtl/>
        </w:rPr>
        <w:t>מ“נער</w:t>
      </w:r>
      <w:proofErr w:type="spellEnd"/>
      <w:r>
        <w:rPr>
          <w:rtl/>
        </w:rPr>
        <w:t xml:space="preserve"> אחר” אחד. בהתחשב באהבתו של ר׳ </w:t>
      </w:r>
      <w:proofErr w:type="spellStart"/>
      <w:r>
        <w:rPr>
          <w:rtl/>
        </w:rPr>
        <w:t>יעקב־נח</w:t>
      </w:r>
      <w:proofErr w:type="spellEnd"/>
      <w:r>
        <w:rPr>
          <w:rtl/>
        </w:rPr>
        <w:t xml:space="preserve"> לתורה ובנדיבותו, ייתכן מאוד שמימן גם את האחרים, לפי המלצתו של ר׳ שלמה </w:t>
      </w:r>
      <w:proofErr w:type="spellStart"/>
      <w:r>
        <w:rPr>
          <w:rtl/>
        </w:rPr>
        <w:t>גולובנצ׳יץ</w:t>
      </w:r>
      <w:proofErr w:type="spellEnd"/>
      <w:r>
        <w:rPr>
          <w:rtl/>
        </w:rPr>
        <w:t>.</w:t>
      </w:r>
    </w:p>
    <w:bookmarkStart w:id="1189" w:name="b2_note106"/>
    <w:p w14:paraId="6351FDE5" w14:textId="77777777" w:rsidR="00AB3647" w:rsidRDefault="00000000" w:rsidP="007923E9">
      <w:pPr>
        <w:spacing w:before="120" w:after="100" w:line="276" w:lineRule="auto"/>
        <w:jc w:val="both"/>
      </w:pPr>
      <w:r>
        <w:fldChar w:fldCharType="begin" w:dirty="true"/>
      </w:r>
      <w:r>
        <w:instrText>HYPERLINK \l "b2_ref106"</w:instrText>
      </w:r>
      <w:r>
        <w:fldChar w:fldCharType="separate"/>
      </w:r>
      <w:r>
        <w:rPr>
          <w:b/>
          <w:bCs/>
          <w:rtl/>
        </w:rPr>
        <w:t>106</w:t>
      </w:r>
      <w:r>
        <w:rPr>
          <w:b/>
          <w:bCs/>
        </w:rPr>
        <w:fldChar w:fldCharType="end"/>
      </w:r>
      <w:bookmarkEnd w:id="1189"/>
      <w:r>
        <w:rPr>
          <w:rtl/>
        </w:rPr>
        <w:t xml:space="preserve"> ר׳ ישראל </w:t>
      </w:r>
      <w:proofErr w:type="spellStart"/>
      <w:r>
        <w:rPr>
          <w:rtl/>
        </w:rPr>
        <w:t>בלסקי</w:t>
      </w:r>
      <w:bookmarkStart w:id="1190" w:name="_fnr699"/>
      <w:proofErr w:type="spellEnd"/>
      <w:r>
        <w:rPr>
          <w:rStyle w:val="a5"/>
        </w:rPr>
        <w:footnoteReference w:id="699" w:customMarkFollows="0"/>
      </w:r>
      <w:bookmarkEnd w:id="1190"/>
      <w:r>
        <w:rPr>
          <w:rtl/>
        </w:rPr>
        <w:t xml:space="preserve"> סיפר שר׳ אהרן קוטלר קם להספיד את ר׳ ראובן בעצרת זיכרון, אבל נחנק כל כך מדמעות עד שלא יכול היה להוציא מילה מפיו. הוא רק עמד שם ובכה עשר דקות, וישב. אז עלה אבי ופתח את הספדו במילים: “אסביר מדוע ראש ישיבת </w:t>
      </w:r>
      <w:proofErr w:type="spellStart"/>
      <w:r>
        <w:rPr>
          <w:rtl/>
        </w:rPr>
        <w:t>קלצק</w:t>
      </w:r>
      <w:proofErr w:type="spellEnd"/>
      <w:r>
        <w:rPr>
          <w:rtl/>
        </w:rPr>
        <w:t xml:space="preserve"> מרגיש כך”, וסיפר על חלקו המכריע של ר׳ ראובן בהבאת שניהם ממינסק </w:t>
      </w:r>
      <w:proofErr w:type="spellStart"/>
      <w:r>
        <w:rPr>
          <w:rtl/>
        </w:rPr>
        <w:t>לסלבודקה</w:t>
      </w:r>
      <w:proofErr w:type="spellEnd"/>
      <w:r>
        <w:rPr>
          <w:rtl/>
        </w:rPr>
        <w:t>, ולעולם התורה.</w:t>
      </w:r>
    </w:p>
    <w:p w14:paraId="5B862543" w14:textId="77777777" w:rsidR="00AB3647" w:rsidRDefault="00000000" w:rsidP="007923E9">
      <w:pPr>
        <w:spacing w:after="100" w:line="276" w:lineRule="auto"/>
        <w:ind w:firstLine="340"/>
        <w:jc w:val="both"/>
      </w:pPr>
      <w:bookmarkStart w:id="1191" w:name="pr_b_565"/>
      <w:bookmarkEnd w:id="1191"/>
      <w:r>
        <w:rPr>
          <w:rtl/>
        </w:rPr>
        <w:t>ר׳ שלום שפירא</w:t>
      </w:r>
      <w:bookmarkStart w:id="1192" w:name="_fnr700"/>
      <w:r>
        <w:rPr>
          <w:rStyle w:val="a5"/>
        </w:rPr>
        <w:footnoteReference w:id="700" w:customMarkFollows="0"/>
      </w:r>
      <w:bookmarkEnd w:id="1192"/>
      <w:r>
        <w:rPr>
          <w:rtl/>
        </w:rPr>
        <w:t xml:space="preserve"> סיפר גם שר׳ אהרן אמר פעם: “ר׳ ראובן הוציא אותי מהרבה </w:t>
      </w:r>
      <w:proofErr w:type="spellStart"/>
      <w:r>
        <w:rPr>
          <w:rtl/>
        </w:rPr>
        <w:t>בלאטעס</w:t>
      </w:r>
      <w:proofErr w:type="spellEnd"/>
      <w:r>
        <w:rPr>
          <w:rtl/>
        </w:rPr>
        <w:t xml:space="preserve"> [ביצות]”. סבורים שר׳ אהרן התכוון להצלחתו של הרב </w:t>
      </w:r>
      <w:proofErr w:type="spellStart"/>
      <w:r>
        <w:rPr>
          <w:rtl/>
        </w:rPr>
        <w:t>גרוזובסקי</w:t>
      </w:r>
      <w:proofErr w:type="spellEnd"/>
      <w:r>
        <w:rPr>
          <w:rtl/>
        </w:rPr>
        <w:t xml:space="preserve"> לעמוד מול ההשפעות הרעות שארבו לו בנעוריו, הן במינסק והן לאחר מכן </w:t>
      </w:r>
      <w:proofErr w:type="spellStart"/>
      <w:r>
        <w:rPr>
          <w:rtl/>
        </w:rPr>
        <w:t>בסלבודקה</w:t>
      </w:r>
      <w:proofErr w:type="spellEnd"/>
      <w:r>
        <w:rPr>
          <w:rtl/>
        </w:rPr>
        <w:t>.</w:t>
      </w:r>
    </w:p>
    <w:p w14:paraId="44506AD5" w14:textId="77777777" w:rsidR="00AB3647" w:rsidRDefault="00000000" w:rsidP="007923E9">
      <w:pPr>
        <w:spacing w:after="100" w:line="276" w:lineRule="auto"/>
        <w:ind w:firstLine="340"/>
        <w:jc w:val="both"/>
      </w:pPr>
      <w:r>
        <w:rPr>
          <w:rtl/>
        </w:rPr>
        <w:t xml:space="preserve">לפי ר׳ חיים </w:t>
      </w:r>
      <w:proofErr w:type="spellStart"/>
      <w:r>
        <w:rPr>
          <w:rtl/>
        </w:rPr>
        <w:t>גרוזובסקי</w:t>
      </w:r>
      <w:proofErr w:type="spellEnd"/>
      <w:r>
        <w:rPr>
          <w:rtl/>
        </w:rPr>
        <w:t>,</w:t>
      </w:r>
      <w:bookmarkStart w:id="1193" w:name="_fnr701"/>
      <w:r>
        <w:rPr>
          <w:rStyle w:val="a5"/>
        </w:rPr>
        <w:footnoteReference w:id="701" w:customMarkFollows="0"/>
      </w:r>
      <w:bookmarkEnd w:id="1193"/>
      <w:r>
        <w:rPr>
          <w:rtl/>
        </w:rPr>
        <w:t xml:space="preserve"> התחיל אביו, ר׳ ראובן, לצנזר את הדואר של אהרן פינס הצעיר</w:t>
      </w:r>
      <w:bookmarkStart w:id="1194" w:name="_fnr702"/>
      <w:r>
        <w:rPr>
          <w:rStyle w:val="a5"/>
        </w:rPr>
        <w:footnoteReference w:id="702" w:customMarkFollows="0"/>
      </w:r>
      <w:bookmarkEnd w:id="1194"/>
      <w:r>
        <w:rPr>
          <w:rtl/>
        </w:rPr>
        <w:t xml:space="preserve"> בפקודת הסבא, מיד כששב ממינסק </w:t>
      </w:r>
      <w:proofErr w:type="spellStart"/>
      <w:r>
        <w:rPr>
          <w:rtl/>
        </w:rPr>
        <w:t>לסלבודקה</w:t>
      </w:r>
      <w:proofErr w:type="spellEnd"/>
      <w:r>
        <w:rPr>
          <w:rtl/>
        </w:rPr>
        <w:t xml:space="preserve"> (כנראה לא אחרי אלול תרס״ו</w:t>
      </w:r>
      <w:bookmarkStart w:id="1195" w:name="_fnr703"/>
      <w:r>
        <w:rPr>
          <w:rStyle w:val="a5"/>
        </w:rPr>
        <w:footnoteReference w:id="703" w:customMarkFollows="0"/>
      </w:r>
      <w:bookmarkEnd w:id="1195"/>
      <w:r>
        <w:rPr>
          <w:rtl/>
        </w:rPr>
        <w:t xml:space="preserve">). הסבא סידר זאת כדי למנוע חתירה נוספת מצד אחותו של ר׳ אהרן (ראה בסעיף זה, סוף הפסקה הפותחת “אשכנזי השתומם”). את נוהג צנזור הדואר אימץ הסבא אולי משנותיו </w:t>
      </w:r>
      <w:proofErr w:type="spellStart"/>
      <w:r>
        <w:rPr>
          <w:rtl/>
        </w:rPr>
        <w:t>בגרובין</w:t>
      </w:r>
      <w:proofErr w:type="spellEnd"/>
      <w:r>
        <w:rPr>
          <w:rtl/>
        </w:rPr>
        <w:t>,</w:t>
      </w:r>
      <w:bookmarkStart w:id="1196" w:name="_fnr704"/>
      <w:r>
        <w:rPr>
          <w:rStyle w:val="a5"/>
        </w:rPr>
        <w:footnoteReference w:id="704" w:customMarkFollows="0"/>
      </w:r>
      <w:bookmarkEnd w:id="1196"/>
      <w:r>
        <w:rPr>
          <w:rtl/>
        </w:rPr>
        <w:t xml:space="preserve"> אף שבית ספר זה עסק בתלמידים צעירים בהרבה. </w:t>
      </w:r>
      <w:proofErr w:type="spellStart"/>
      <w:r>
        <w:rPr>
          <w:rtl/>
        </w:rPr>
        <w:t>בגרובין</w:t>
      </w:r>
      <w:proofErr w:type="spellEnd"/>
      <w:r>
        <w:rPr>
          <w:rtl/>
        </w:rPr>
        <w:t xml:space="preserve">, לפי זיכרונותיו של ישראל </w:t>
      </w:r>
      <w:r>
        <w:rPr>
          <w:rtl/>
        </w:rPr>
        <w:lastRenderedPageBreak/>
        <w:t>אלישיב,</w:t>
      </w:r>
      <w:bookmarkStart w:id="1197" w:name="_fnr705"/>
      <w:r>
        <w:rPr>
          <w:rStyle w:val="a5"/>
        </w:rPr>
        <w:footnoteReference w:id="705" w:customMarkFollows="0"/>
      </w:r>
      <w:bookmarkEnd w:id="1197"/>
      <w:r>
        <w:rPr>
          <w:rtl/>
        </w:rPr>
        <w:t xml:space="preserve"> “המכתבים שקיבלו הילדים מבתי הוריהם, </w:t>
      </w:r>
      <w:r>
        <w:rPr>
          <w:b/>
          <w:bCs/>
          <w:rtl/>
        </w:rPr>
        <w:t>ובפרט אלה שכתבו אחיהם או אחיותיהם</w:t>
      </w:r>
      <w:r>
        <w:rPr>
          <w:rtl/>
        </w:rPr>
        <w:t xml:space="preserve"> [ההדגשה שלי], נקראו תחילה בידי המשגיחים, ואותם מכתבים שנראו להם מזיקים לא נמסרו לילדים כלל. במקום זאת היה אבי הילד מקבל מיד מכתב </w:t>
      </w:r>
      <w:proofErr w:type="spellStart"/>
      <w:r>
        <w:rPr>
          <w:rtl/>
        </w:rPr>
        <w:t>מגרובין</w:t>
      </w:r>
      <w:proofErr w:type="spellEnd"/>
      <w:r>
        <w:rPr>
          <w:rtl/>
        </w:rPr>
        <w:t>, ובו הציעו לו להקפיד שילדיו שבבית לא יבלבלו את מוח אחיהם בדברי הבל</w:t>
      </w:r>
      <w:bookmarkStart w:id="1198" w:name="_fnr706"/>
      <w:r>
        <w:rPr>
          <w:rStyle w:val="a5"/>
        </w:rPr>
        <w:footnoteReference w:id="706" w:customMarkFollows="0"/>
      </w:r>
      <w:bookmarkEnd w:id="1198"/>
      <w:r>
        <w:rPr>
          <w:rtl/>
        </w:rPr>
        <w:t>”.</w:t>
      </w:r>
    </w:p>
    <w:p w14:paraId="5C1F5202" w14:textId="77777777" w:rsidR="00AB3647" w:rsidRDefault="00000000" w:rsidP="007923E9">
      <w:pPr>
        <w:spacing w:after="100" w:line="276" w:lineRule="auto"/>
        <w:ind w:firstLine="340"/>
        <w:jc w:val="both"/>
      </w:pPr>
      <w:r>
        <w:rPr>
          <w:rtl/>
        </w:rPr>
        <w:t xml:space="preserve">אחרי סוכות תרס״ז, חודשיים אחרי שובו המשוער </w:t>
      </w:r>
      <w:proofErr w:type="spellStart"/>
      <w:r>
        <w:rPr>
          <w:rtl/>
        </w:rPr>
        <w:t>לסלבודקה</w:t>
      </w:r>
      <w:proofErr w:type="spellEnd"/>
      <w:r>
        <w:rPr>
          <w:rtl/>
        </w:rPr>
        <w:t xml:space="preserve">, נשלח ר׳ ראובן לישיבת </w:t>
      </w:r>
      <w:proofErr w:type="spellStart"/>
      <w:r>
        <w:rPr>
          <w:rtl/>
        </w:rPr>
        <w:t>מיר</w:t>
      </w:r>
      <w:proofErr w:type="spellEnd"/>
      <w:r>
        <w:rPr>
          <w:rtl/>
        </w:rPr>
        <w:t xml:space="preserve"> בקבוצה שבראשה עמד ר׳ זלמן </w:t>
      </w:r>
      <w:proofErr w:type="spellStart"/>
      <w:r>
        <w:rPr>
          <w:rtl/>
        </w:rPr>
        <w:t>דולינסקי</w:t>
      </w:r>
      <w:proofErr w:type="spellEnd"/>
      <w:r>
        <w:rPr>
          <w:rtl/>
        </w:rPr>
        <w:t>,</w:t>
      </w:r>
      <w:bookmarkStart w:id="1199" w:name="_fnr707"/>
      <w:r>
        <w:rPr>
          <w:rStyle w:val="a5"/>
        </w:rPr>
        <w:footnoteReference w:id="707" w:customMarkFollows="0"/>
      </w:r>
      <w:bookmarkEnd w:id="1199"/>
      <w:r>
        <w:rPr>
          <w:rtl/>
        </w:rPr>
        <w:t xml:space="preserve"> כדי לחזק את לימוד המוסר באותה ישיבה, שמאז ומתמיד התנגדה לו.</w:t>
      </w:r>
      <w:bookmarkStart w:id="1200" w:name="_fnr708"/>
      <w:r>
        <w:rPr>
          <w:rStyle w:val="a5"/>
        </w:rPr>
        <w:footnoteReference w:id="708" w:customMarkFollows="0"/>
      </w:r>
      <w:bookmarkEnd w:id="1200"/>
      <w:r>
        <w:rPr>
          <w:rtl/>
        </w:rPr>
        <w:t xml:space="preserve"> בשיחה עם אברכי הכולל של ישיבת רבנו ישראל מאיר הכהן בסתיו 1980 אמר רבנו (בעניין מעורבותו של הסבא בישיבות שאינן </w:t>
      </w:r>
      <w:proofErr w:type="spellStart"/>
      <w:r>
        <w:rPr>
          <w:rtl/>
        </w:rPr>
        <w:t>סלבודקה</w:t>
      </w:r>
      <w:proofErr w:type="spellEnd"/>
      <w:r>
        <w:rPr>
          <w:rtl/>
        </w:rPr>
        <w:t xml:space="preserve">): “בישיבת </w:t>
      </w:r>
      <w:proofErr w:type="spellStart"/>
      <w:r>
        <w:rPr>
          <w:rtl/>
        </w:rPr>
        <w:t>מיר</w:t>
      </w:r>
      <w:proofErr w:type="spellEnd"/>
      <w:r>
        <w:rPr>
          <w:rtl/>
        </w:rPr>
        <w:t xml:space="preserve"> היו ‘</w:t>
      </w:r>
      <w:proofErr w:type="spellStart"/>
      <w:r>
        <w:rPr>
          <w:rtl/>
        </w:rPr>
        <w:t>האפקעס</w:t>
      </w:r>
      <w:proofErr w:type="spellEnd"/>
      <w:r>
        <w:rPr>
          <w:rtl/>
        </w:rPr>
        <w:t>’ [ריקודי קפיצה, מרידות] גדולים, עם שבירת חלונות וכדומה, ו</w:t>
      </w:r>
      <w:r>
        <w:rPr>
          <w:b/>
          <w:bCs/>
          <w:rtl/>
        </w:rPr>
        <w:t>בזמני</w:t>
      </w:r>
      <w:r>
        <w:rPr>
          <w:rtl/>
        </w:rPr>
        <w:t xml:space="preserve"> שלח הסבא לשם </w:t>
      </w:r>
      <w:r>
        <w:rPr>
          <w:b/>
          <w:bCs/>
          <w:rtl/>
        </w:rPr>
        <w:t>בחורים טובים</w:t>
      </w:r>
      <w:r>
        <w:rPr>
          <w:rtl/>
        </w:rPr>
        <w:t xml:space="preserve"> (ההדגשה שלי)”. נוכל לשער שרבנו רמז, בין השאר, </w:t>
      </w:r>
      <w:proofErr w:type="spellStart"/>
      <w:r>
        <w:rPr>
          <w:rtl/>
        </w:rPr>
        <w:t>לר</w:t>
      </w:r>
      <w:proofErr w:type="spellEnd"/>
      <w:r>
        <w:rPr>
          <w:rtl/>
        </w:rPr>
        <w:t xml:space="preserve">׳ ראובן </w:t>
      </w:r>
      <w:proofErr w:type="spellStart"/>
      <w:r>
        <w:rPr>
          <w:rtl/>
        </w:rPr>
        <w:t>גרוזובסקי</w:t>
      </w:r>
      <w:proofErr w:type="spellEnd"/>
      <w:r>
        <w:rPr>
          <w:rtl/>
        </w:rPr>
        <w:t xml:space="preserve">, מן הנשלחים </w:t>
      </w:r>
      <w:proofErr w:type="spellStart"/>
      <w:r>
        <w:rPr>
          <w:rtl/>
        </w:rPr>
        <w:t>למיר</w:t>
      </w:r>
      <w:proofErr w:type="spellEnd"/>
      <w:r>
        <w:rPr>
          <w:rtl/>
        </w:rPr>
        <w:t xml:space="preserve">. בזמן היעדרו של ר׳ ראובן </w:t>
      </w:r>
      <w:proofErr w:type="spellStart"/>
      <w:r>
        <w:rPr>
          <w:rtl/>
        </w:rPr>
        <w:t>מסלבודקה</w:t>
      </w:r>
      <w:proofErr w:type="spellEnd"/>
      <w:r>
        <w:rPr>
          <w:rtl/>
        </w:rPr>
        <w:t xml:space="preserve"> הוטל על תלמיד נאמן אחר ליירט את הדואר של ר׳ אהרן. כעבור שנה, בתחילת תרס״ח,</w:t>
      </w:r>
      <w:bookmarkStart w:id="1201" w:name="_fnr709"/>
      <w:bookmarkStart w:id="1202" w:name="pr_f_635"/>
      <w:r>
        <w:rPr>
          <w:rStyle w:val="a5"/>
        </w:rPr>
        <w:footnoteReference w:id="709" w:customMarkFollows="0"/>
      </w:r>
      <w:bookmarkEnd w:id="1201"/>
      <w:bookmarkEnd w:id="1202"/>
      <w:r>
        <w:rPr>
          <w:rtl/>
        </w:rPr>
        <w:t xml:space="preserve"> שב ר׳ ראובן </w:t>
      </w:r>
      <w:proofErr w:type="spellStart"/>
      <w:r>
        <w:rPr>
          <w:rtl/>
        </w:rPr>
        <w:t>לסלבודקה</w:t>
      </w:r>
      <w:proofErr w:type="spellEnd"/>
      <w:r>
        <w:rPr>
          <w:rtl/>
        </w:rPr>
        <w:t xml:space="preserve"> (וכן הרב </w:t>
      </w:r>
      <w:proofErr w:type="spellStart"/>
      <w:r>
        <w:rPr>
          <w:rtl/>
        </w:rPr>
        <w:t>דולינסקי</w:t>
      </w:r>
      <w:bookmarkStart w:id="1203" w:name="_fnr710"/>
      <w:proofErr w:type="spellEnd"/>
      <w:r>
        <w:rPr>
          <w:rStyle w:val="a5"/>
        </w:rPr>
        <w:footnoteReference w:id="710" w:customMarkFollows="0"/>
      </w:r>
      <w:bookmarkEnd w:id="1203"/>
      <w:r>
        <w:rPr>
          <w:rtl/>
        </w:rPr>
        <w:t xml:space="preserve">) וחידש את צנזור הדואר לחצי שנה נוספת. בסופה כבר קרב ר׳ אהרן לגיל </w:t>
      </w:r>
      <w:proofErr w:type="spellStart"/>
      <w:r>
        <w:rPr>
          <w:rtl/>
        </w:rPr>
        <w:t>שבע־עשרה</w:t>
      </w:r>
      <w:proofErr w:type="spellEnd"/>
      <w:r>
        <w:rPr>
          <w:rtl/>
        </w:rPr>
        <w:t xml:space="preserve">, ולפי הערכת הסבא כבר עבר את הסכנה. משך הצנזור כולו היה אם כן שנתיים – המספר שהזכיר ר׳ חיים </w:t>
      </w:r>
      <w:proofErr w:type="spellStart"/>
      <w:r>
        <w:rPr>
          <w:rtl/>
        </w:rPr>
        <w:t>גרוזובסקי</w:t>
      </w:r>
      <w:proofErr w:type="spellEnd"/>
      <w:r>
        <w:rPr>
          <w:rtl/>
        </w:rPr>
        <w:t xml:space="preserve"> כשגילה הן את המשימה שהוטלה על אביו בעניין הדואר והן את שנת לימודו </w:t>
      </w:r>
      <w:proofErr w:type="spellStart"/>
      <w:r>
        <w:rPr>
          <w:rtl/>
        </w:rPr>
        <w:t>במיר</w:t>
      </w:r>
      <w:proofErr w:type="spellEnd"/>
      <w:r>
        <w:rPr>
          <w:rtl/>
        </w:rPr>
        <w:t>.</w:t>
      </w:r>
    </w:p>
    <w:p w14:paraId="3899EE65" w14:textId="77777777" w:rsidR="00AB3647" w:rsidRDefault="00000000" w:rsidP="007923E9">
      <w:pPr>
        <w:spacing w:after="100" w:line="276" w:lineRule="auto"/>
        <w:ind w:firstLine="340"/>
        <w:jc w:val="both"/>
      </w:pPr>
      <w:r>
        <w:rPr>
          <w:rtl/>
        </w:rPr>
        <w:t xml:space="preserve">מלבד הסכנה שמכתביה המזיקים של אחותו ירחיקו את ר׳ אהרן מן התורה, היה גם חשש שיגלה שהדואר שלו מצונזר, דבר שוודאי לא היה מקבל ברצון. לפי דיווח </w:t>
      </w:r>
      <w:proofErr w:type="spellStart"/>
      <w:r>
        <w:rPr>
          <w:rtl/>
        </w:rPr>
        <w:t>ב“עובדות</w:t>
      </w:r>
      <w:proofErr w:type="spellEnd"/>
      <w:r>
        <w:rPr>
          <w:rtl/>
        </w:rPr>
        <w:t xml:space="preserve"> והנהגות לבית </w:t>
      </w:r>
      <w:proofErr w:type="spellStart"/>
      <w:r>
        <w:rPr>
          <w:rtl/>
        </w:rPr>
        <w:t>בריסק</w:t>
      </w:r>
      <w:proofErr w:type="spellEnd"/>
      <w:r>
        <w:rPr>
          <w:rtl/>
        </w:rPr>
        <w:t>”,</w:t>
      </w:r>
      <w:bookmarkStart w:id="1204" w:name="_fnr711"/>
      <w:r>
        <w:rPr>
          <w:rStyle w:val="a5"/>
        </w:rPr>
        <w:footnoteReference w:id="711" w:customMarkFollows="0"/>
      </w:r>
      <w:bookmarkEnd w:id="1204"/>
      <w:r>
        <w:rPr>
          <w:rtl/>
        </w:rPr>
        <w:t xml:space="preserve"> אכן גילה ר׳ אהרן מה נעשה בדואר שלו, ושכמה ממכתביו הושמדו. הוא התרגז וארז את חפציו כדי לעזוב את </w:t>
      </w:r>
      <w:proofErr w:type="spellStart"/>
      <w:r>
        <w:rPr>
          <w:rtl/>
        </w:rPr>
        <w:t>סלבודקה</w:t>
      </w:r>
      <w:proofErr w:type="spellEnd"/>
      <w:r>
        <w:rPr>
          <w:rtl/>
        </w:rPr>
        <w:t xml:space="preserve">. הבחורים שידעו מה אירע התייאשו מלשנות את דעתו, אבל הסבא רץ לתחנת הרכבת בקובנה ומצא את תלמידו יושב ברכבת שעמדה לצאת. ר׳ </w:t>
      </w:r>
      <w:proofErr w:type="spellStart"/>
      <w:r>
        <w:rPr>
          <w:rtl/>
        </w:rPr>
        <w:t>נתן־צבי</w:t>
      </w:r>
      <w:proofErr w:type="spellEnd"/>
      <w:r>
        <w:rPr>
          <w:rtl/>
        </w:rPr>
        <w:t xml:space="preserve"> דיבר אליו “בדברי ריצוי” ושכנע אותו לחזור לישיבה.</w:t>
      </w:r>
      <w:bookmarkStart w:id="1205" w:name="_fnr712"/>
      <w:r>
        <w:rPr>
          <w:rStyle w:val="a5"/>
        </w:rPr>
        <w:footnoteReference w:id="712" w:customMarkFollows="0"/>
      </w:r>
      <w:bookmarkEnd w:id="1205"/>
    </w:p>
    <w:p w14:paraId="045B601A" w14:textId="77777777" w:rsidR="00AB3647" w:rsidRDefault="00000000" w:rsidP="007923E9">
      <w:pPr>
        <w:spacing w:after="100" w:line="276" w:lineRule="auto"/>
        <w:ind w:firstLine="340"/>
        <w:jc w:val="both"/>
      </w:pPr>
      <w:r>
        <w:rPr>
          <w:rtl/>
        </w:rPr>
        <w:t>ר׳ מיכאל בודנהיימר מסר</w:t>
      </w:r>
      <w:bookmarkStart w:id="1206" w:name="_fnr713"/>
      <w:r>
        <w:rPr>
          <w:rStyle w:val="a5"/>
        </w:rPr>
        <w:footnoteReference w:id="713" w:customMarkFollows="0"/>
      </w:r>
      <w:bookmarkEnd w:id="1206"/>
      <w:r>
        <w:rPr>
          <w:rtl/>
        </w:rPr>
        <w:t xml:space="preserve"> שתלמיד </w:t>
      </w:r>
      <w:proofErr w:type="spellStart"/>
      <w:r>
        <w:rPr>
          <w:rtl/>
        </w:rPr>
        <w:t>סלבודקה</w:t>
      </w:r>
      <w:proofErr w:type="spellEnd"/>
      <w:r>
        <w:rPr>
          <w:rtl/>
        </w:rPr>
        <w:t xml:space="preserve"> אחר, אייזיק </w:t>
      </w:r>
      <w:proofErr w:type="spellStart"/>
      <w:r>
        <w:rPr>
          <w:rtl/>
        </w:rPr>
        <w:t>רבינוביץ</w:t>
      </w:r>
      <w:proofErr w:type="spellEnd"/>
      <w:r>
        <w:rPr>
          <w:rtl/>
        </w:rPr>
        <w:t xml:space="preserve">, היה מעורב בכך שר׳ אהרן נשאר </w:t>
      </w:r>
      <w:proofErr w:type="spellStart"/>
      <w:r>
        <w:rPr>
          <w:rtl/>
        </w:rPr>
        <w:t>בסלבודקה</w:t>
      </w:r>
      <w:proofErr w:type="spellEnd"/>
      <w:r>
        <w:rPr>
          <w:rtl/>
        </w:rPr>
        <w:t xml:space="preserve"> אחרי שגילה שהתערבו בדואר שלו. אולי אייזיק </w:t>
      </w:r>
      <w:proofErr w:type="spellStart"/>
      <w:r>
        <w:rPr>
          <w:rtl/>
        </w:rPr>
        <w:t>רבינוביץ</w:t>
      </w:r>
      <w:proofErr w:type="spellEnd"/>
      <w:r>
        <w:rPr>
          <w:rtl/>
        </w:rPr>
        <w:t xml:space="preserve"> הוא שהודיע לסבא ברגע האחרון שר׳ אהרן ארז את חפציו ויצא. ר׳ אייזיק השתקע לימים בארץ ישראל, ובשנים מאוחרות יותר, בכל פעם שביקר ר׳ אהרן קוטלר בארץ, היה ר׳ אייזיק הראשון שאליו בא. אגב, ר׳ יצחק־זאב </w:t>
      </w:r>
      <w:proofErr w:type="spellStart"/>
      <w:r>
        <w:rPr>
          <w:rtl/>
        </w:rPr>
        <w:t>סולובייצ׳יק</w:t>
      </w:r>
      <w:proofErr w:type="spellEnd"/>
      <w:r>
        <w:rPr>
          <w:rtl/>
        </w:rPr>
        <w:t xml:space="preserve"> היה שולח את ילדיו להתברך מפי ר׳ אייזיק בכל </w:t>
      </w:r>
      <w:r>
        <w:rPr>
          <w:rtl/>
        </w:rPr>
        <w:lastRenderedPageBreak/>
        <w:t>ערב יום הכיפורים, אבל כנראה לא בשל חלקו בהצלת ר׳ אהרן לעם ישראל, אלא בשל מעשה קדוש אחר או מעשים אחרים.</w:t>
      </w:r>
    </w:p>
    <w:p w14:paraId="40827CE4" w14:textId="77777777" w:rsidR="00AB3647" w:rsidRDefault="00000000" w:rsidP="007923E9">
      <w:pPr>
        <w:spacing w:after="100" w:line="276" w:lineRule="auto"/>
        <w:ind w:firstLine="340"/>
        <w:jc w:val="both"/>
      </w:pPr>
      <w:r>
        <w:rPr>
          <w:rtl/>
        </w:rPr>
        <w:t xml:space="preserve">יש להוסיף שלמרות חלקו של ר׳ ראובן </w:t>
      </w:r>
      <w:proofErr w:type="spellStart"/>
      <w:r>
        <w:rPr>
          <w:rtl/>
        </w:rPr>
        <w:t>ב“הוצאת</w:t>
      </w:r>
      <w:proofErr w:type="spellEnd"/>
      <w:r>
        <w:rPr>
          <w:rtl/>
        </w:rPr>
        <w:t xml:space="preserve"> ר׳ אהרן מהרבה ביצות”, סיפר תלמיד קרוב מאוד</w:t>
      </w:r>
      <w:bookmarkStart w:id="1207" w:name="_fnr714"/>
      <w:r>
        <w:rPr>
          <w:rStyle w:val="a5"/>
        </w:rPr>
        <w:footnoteReference w:id="714" w:customMarkFollows="0"/>
      </w:r>
      <w:bookmarkEnd w:id="1207"/>
      <w:r>
        <w:rPr>
          <w:rtl/>
        </w:rPr>
        <w:t xml:space="preserve"> שהוא “כיבד את ר׳ אהרן בלי גבול; היה פשוט מדהים לראות עד כמה כיבד אותו ר׳ ראובן”.</w:t>
      </w:r>
    </w:p>
    <w:p w14:paraId="68FE208D" w14:textId="48F678E4"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תיאור הישיבה הרחוקה מפי הבחורים המבוגרים והמכובדים עורר את </w:t>
      </w:r>
      <w:proofErr w:type="spellStart"/>
      <w:r>
        <w:rPr>
          <w:rtl/>
        </w:rPr>
        <w:t>תיאבונם</w:t>
      </w:r>
      <w:proofErr w:type="spellEnd"/>
      <w:r>
        <w:rPr>
          <w:rtl/>
        </w:rPr>
        <w:t xml:space="preserve">, והנערים הודיעו שהם מוכנים לעבור </w:t>
      </w:r>
      <w:proofErr w:type="spellStart"/>
      <w:r>
        <w:rPr>
          <w:rtl/>
        </w:rPr>
        <w:t>לסלבודקה</w:t>
      </w:r>
      <w:proofErr w:type="spellEnd"/>
      <w:r>
        <w:rPr>
          <w:rtl/>
        </w:rPr>
        <w:t xml:space="preserve">. אבי ביקש מאביו של ראובן, ר׳ שמשון </w:t>
      </w:r>
      <w:proofErr w:type="spellStart"/>
      <w:r>
        <w:rPr>
          <w:rtl/>
        </w:rPr>
        <w:t>גרוזובסקי</w:t>
      </w:r>
      <w:proofErr w:type="spellEnd"/>
      <w:r>
        <w:rPr>
          <w:rtl/>
        </w:rPr>
        <w:t xml:space="preserve"> הנכבד, שיעזור לו להציג את תוכניותיו החדשות לפני הוריו,</w:t>
      </w:r>
      <w:bookmarkStart w:id="1208" w:name="b2_ref107"/>
      <w:bookmarkEnd w:id="1208"/>
      <w:r>
        <w:rPr>
          <w:vertAlign w:val="superscript"/>
          <w:rtl/>
        </w:rPr>
        <w:fldChar w:fldCharType="begin" w:dirty="true"/>
      </w:r>
      <w:r>
        <w:rPr>
          <w:vertAlign w:val="superscript"/>
          <w:rtl/>
        </w:rPr>
        <w:instrText xml:space="preserve"> REF b2_note107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107</w:t>
      </w:r>
      <w:r>
        <w:rPr>
          <w:vertAlign w:val="superscript"/>
          <w:rtl/>
        </w:rPr>
        <w:fldChar w:fldCharType="end"/>
      </w:r>
      <w:r>
        <w:rPr>
          <w:rtl/>
        </w:rPr>
        <w:t xml:space="preserve"> ור׳ בנימין </w:t>
      </w:r>
      <w:proofErr w:type="spellStart"/>
      <w:r>
        <w:rPr>
          <w:rtl/>
        </w:rPr>
        <w:t>קמינצקי</w:t>
      </w:r>
      <w:proofErr w:type="spellEnd"/>
      <w:r>
        <w:rPr>
          <w:rtl/>
        </w:rPr>
        <w:t xml:space="preserve"> נועץ באביו, ר׳ שמואל־הירש,</w:t>
      </w:r>
      <w:bookmarkStart w:id="1209" w:name="b2_ref108"/>
      <w:bookmarkEnd w:id="1209"/>
      <w:r>
        <w:rPr>
          <w:vertAlign w:val="superscript"/>
          <w:rtl/>
        </w:rPr>
        <w:fldChar w:fldCharType="begin" w:dirty="true"/>
      </w:r>
      <w:r>
        <w:rPr>
          <w:vertAlign w:val="superscript"/>
          <w:rtl/>
        </w:rPr>
        <w:instrText xml:space="preserve"> REF b2_note108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108</w:t>
      </w:r>
      <w:r>
        <w:rPr>
          <w:vertAlign w:val="superscript"/>
          <w:rtl/>
        </w:rPr>
        <w:fldChar w:fldCharType="end"/>
      </w:r>
      <w:r>
        <w:rPr>
          <w:rtl/>
        </w:rPr>
        <w:t xml:space="preserve"> מה לעשות. ר׳ </w:t>
      </w:r>
      <w:proofErr w:type="spellStart"/>
      <w:r>
        <w:rPr>
          <w:rtl/>
        </w:rPr>
        <w:t>שמואל־הירש</w:t>
      </w:r>
      <w:proofErr w:type="spellEnd"/>
      <w:r>
        <w:rPr>
          <w:rtl/>
        </w:rPr>
        <w:t xml:space="preserve"> תמך בלב שלם</w:t>
      </w:r>
      <w:bookmarkStart w:id="1210" w:name="b2_ref109"/>
      <w:bookmarkEnd w:id="1210"/>
      <w:r>
        <w:rPr>
          <w:vertAlign w:val="superscript"/>
          <w:rtl/>
        </w:rPr>
        <w:fldChar w:fldCharType="begin" w:dirty="true"/>
      </w:r>
      <w:r>
        <w:rPr>
          <w:vertAlign w:val="superscript"/>
          <w:rtl/>
        </w:rPr>
        <w:instrText xml:space="preserve"> REF b2_note109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109</w:t>
      </w:r>
      <w:r>
        <w:rPr>
          <w:vertAlign w:val="superscript"/>
          <w:rtl/>
        </w:rPr>
        <w:fldChar w:fldCharType="end"/>
      </w:r>
      <w:r>
        <w:rPr>
          <w:rtl/>
        </w:rPr>
        <w:t xml:space="preserve"> בכך שיניחו לנכדו הנלהב ללכת לישיבה שבסביבות קובנה, ואף נתן לו מכתב המלצה להביא עמו אל ר׳ </w:t>
      </w:r>
      <w:proofErr w:type="spellStart"/>
      <w:r>
        <w:rPr>
          <w:rtl/>
        </w:rPr>
        <w:t>ברוך־בער</w:t>
      </w:r>
      <w:proofErr w:type="spellEnd"/>
      <w:r>
        <w:rPr>
          <w:rtl/>
        </w:rPr>
        <w:t xml:space="preserve"> </w:t>
      </w:r>
      <w:proofErr w:type="spellStart"/>
      <w:r>
        <w:rPr>
          <w:rtl/>
        </w:rPr>
        <w:t>ליבוביץ</w:t>
      </w:r>
      <w:proofErr w:type="spellEnd"/>
      <w:r>
        <w:rPr>
          <w:rtl/>
        </w:rPr>
        <w:t>, שהיה קרובו הרחוק. ההחלטה נפלה: אבי ייצא לקובנה מיד אחרי פסח.</w:t>
      </w:r>
    </w:p>
    <w:bookmarkStart w:id="1211" w:name="b2_note107"/>
    <w:p w14:paraId="7833A65F" w14:textId="77777777" w:rsidR="00AB3647" w:rsidRDefault="00000000" w:rsidP="007923E9">
      <w:pPr>
        <w:spacing w:before="120" w:after="100" w:line="276" w:lineRule="auto"/>
        <w:jc w:val="both"/>
      </w:pPr>
      <w:r>
        <w:fldChar w:fldCharType="begin" w:dirty="true"/>
      </w:r>
      <w:r>
        <w:instrText>HYPERLINK \l "b2_ref107"</w:instrText>
      </w:r>
      <w:r>
        <w:fldChar w:fldCharType="separate"/>
      </w:r>
      <w:r>
        <w:rPr>
          <w:b/>
          <w:bCs/>
          <w:rtl/>
        </w:rPr>
        <w:t>107</w:t>
      </w:r>
      <w:r>
        <w:rPr>
          <w:b/>
          <w:bCs/>
        </w:rPr>
        <w:fldChar w:fldCharType="end"/>
      </w:r>
      <w:bookmarkEnd w:id="1211"/>
      <w:r>
        <w:rPr>
          <w:rtl/>
        </w:rPr>
        <w:t xml:space="preserve"> בבר המצווה של נכדו של ר׳ ראובן, שמשון </w:t>
      </w:r>
      <w:proofErr w:type="spellStart"/>
      <w:r>
        <w:rPr>
          <w:rtl/>
        </w:rPr>
        <w:t>אונגרישער</w:t>
      </w:r>
      <w:proofErr w:type="spellEnd"/>
      <w:r>
        <w:rPr>
          <w:rtl/>
        </w:rPr>
        <w:t xml:space="preserve">, באדר תשכ״ז, הכריז אבי שהתודה על הליכתו </w:t>
      </w:r>
      <w:proofErr w:type="spellStart"/>
      <w:r>
        <w:rPr>
          <w:rtl/>
        </w:rPr>
        <w:t>לסלבודקה</w:t>
      </w:r>
      <w:proofErr w:type="spellEnd"/>
      <w:r>
        <w:rPr>
          <w:rtl/>
        </w:rPr>
        <w:t xml:space="preserve"> מגיעה </w:t>
      </w:r>
      <w:proofErr w:type="spellStart"/>
      <w:r>
        <w:rPr>
          <w:rtl/>
        </w:rPr>
        <w:t>לר</w:t>
      </w:r>
      <w:proofErr w:type="spellEnd"/>
      <w:r>
        <w:rPr>
          <w:rtl/>
        </w:rPr>
        <w:t xml:space="preserve">׳ שמשון </w:t>
      </w:r>
      <w:proofErr w:type="spellStart"/>
      <w:r>
        <w:rPr>
          <w:rtl/>
        </w:rPr>
        <w:t>גרוזובסקי</w:t>
      </w:r>
      <w:proofErr w:type="spellEnd"/>
      <w:r>
        <w:rPr>
          <w:rtl/>
        </w:rPr>
        <w:t>, אביו של ר׳ ראובן, שעל שמו נקרא חתן בר המצווה.</w:t>
      </w:r>
      <w:bookmarkStart w:id="1212" w:name="_fnr715"/>
      <w:r>
        <w:rPr>
          <w:rStyle w:val="a5"/>
        </w:rPr>
        <w:footnoteReference w:id="715" w:customMarkFollows="0"/>
      </w:r>
      <w:bookmarkEnd w:id="1212"/>
      <w:r>
        <w:rPr>
          <w:rtl/>
        </w:rPr>
        <w:t xml:space="preserve"> אני משער שר׳ ראובן חש שהוא, נער בלבד, אולי לא יצליח לשכנע את הורי אבי להניח לבנם לצאת לדרך שידעו שעלולה להביאו לוותר על חיי החולין, ולכן גייס את עזרת אביו, הרב ועסקן הציבור הנכבד מאוד, כדי להשלים את המשימה.</w:t>
      </w:r>
    </w:p>
    <w:bookmarkStart w:id="1213" w:name="b2_note108"/>
    <w:p w14:paraId="708292F4" w14:textId="3288A00A" w:rsidR="00AB3647" w:rsidRDefault="00000000" w:rsidP="007923E9">
      <w:pPr>
        <w:spacing w:before="120" w:after="100" w:line="276" w:lineRule="auto"/>
        <w:jc w:val="both"/>
      </w:pPr>
      <w:r>
        <w:fldChar w:fldCharType="begin" w:dirty="true"/>
      </w:r>
      <w:r>
        <w:instrText>HYPERLINK \l "b2_ref108"</w:instrText>
      </w:r>
      <w:r>
        <w:fldChar w:fldCharType="separate"/>
      </w:r>
      <w:r>
        <w:rPr>
          <w:b/>
          <w:bCs/>
          <w:rtl/>
        </w:rPr>
        <w:t>108</w:t>
      </w:r>
      <w:r>
        <w:rPr>
          <w:b/>
          <w:bCs/>
        </w:rPr>
        <w:fldChar w:fldCharType="end"/>
      </w:r>
      <w:bookmarkEnd w:id="1213"/>
      <w:r>
        <w:rPr>
          <w:rtl/>
        </w:rPr>
        <w:t xml:space="preserve"> השווה פרק 1, הערה </w:t>
      </w:r>
      <w:r>
        <w:rPr>
          <w:rtl/>
        </w:rPr>
        <w:fldChar w:fldCharType="begin" w:dirty="true"/>
      </w:r>
      <w:r>
        <w:rPr>
          <w:rtl/>
        </w:rPr>
        <w:instrText xml:space="preserve"> REF b1_note92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92</w:t>
      </w:r>
      <w:r>
        <w:rPr>
          <w:rtl/>
        </w:rPr>
        <w:fldChar w:fldCharType="end"/>
      </w:r>
      <w:r>
        <w:rPr>
          <w:rtl/>
        </w:rPr>
        <w:t>.</w:t>
      </w:r>
    </w:p>
    <w:bookmarkStart w:id="1214" w:name="pr_b_569"/>
    <w:bookmarkStart w:id="1215" w:name="b2_note109"/>
    <w:bookmarkEnd w:id="1214"/>
    <w:p w14:paraId="5C4C9200" w14:textId="77777777" w:rsidR="00AB3647" w:rsidRDefault="00000000" w:rsidP="007923E9">
      <w:pPr>
        <w:spacing w:before="120" w:after="100" w:line="276" w:lineRule="auto"/>
        <w:jc w:val="both"/>
      </w:pPr>
      <w:r>
        <w:fldChar w:fldCharType="begin" w:dirty="true"/>
      </w:r>
      <w:r>
        <w:instrText>HYPERLINK \l "b2_ref109"</w:instrText>
      </w:r>
      <w:r>
        <w:fldChar w:fldCharType="separate"/>
      </w:r>
      <w:r>
        <w:rPr>
          <w:b/>
          <w:bCs/>
          <w:rtl/>
        </w:rPr>
        <w:t>109</w:t>
      </w:r>
      <w:r>
        <w:rPr>
          <w:b/>
          <w:bCs/>
        </w:rPr>
        <w:fldChar w:fldCharType="end"/>
      </w:r>
      <w:bookmarkEnd w:id="1215"/>
      <w:r>
        <w:rPr>
          <w:rtl/>
        </w:rPr>
        <w:t xml:space="preserve"> השווה ראש פרק 1.2.</w:t>
      </w:r>
    </w:p>
    <w:p w14:paraId="0089F17B" w14:textId="77777777" w:rsidR="00AB3647" w:rsidRDefault="00000000" w:rsidP="007923E9">
      <w:pPr>
        <w:pStyle w:val="2"/>
        <w:pageBreakBefore/>
        <w:spacing w:line="276" w:lineRule="auto"/>
      </w:pPr>
      <w:bookmarkStart w:id="1216" w:name="b2_excursuses"/>
      <w:r>
        <w:lastRenderedPageBreak/>
        <w:t>נספחים</w:t>
      </w:r>
      <w:bookmarkEnd w:id="1216"/>
    </w:p>
    <w:bookmarkStart w:id="1217" w:name="b2_excA"/>
    <w:p w14:paraId="4701A93D" w14:textId="77777777" w:rsidR="00AB3647" w:rsidRDefault="00000000" w:rsidP="007923E9">
      <w:pPr>
        <w:pStyle w:val="3"/>
        <w:pageBreakBefore w:val="0"/>
        <w:spacing w:line="276" w:lineRule="auto"/>
      </w:pPr>
      <w:r>
        <w:fldChar w:fldCharType="begin" w:dirty="true"/>
      </w:r>
      <w:r>
        <w:rPr>
          <w:rtl w:val="0"/>
        </w:rPr>
        <w:instrText>HYPERLINK \l "b2_note15</w:instrText>
      </w:r>
      <w:r>
        <w:instrText>"</w:instrText>
      </w:r>
      <w:r>
        <w:fldChar w:fldCharType="separate"/>
      </w:r>
      <w:r>
        <w:t>נספח א</w:t>
      </w:r>
      <w:r>
        <w:fldChar w:fldCharType="end"/>
      </w:r>
      <w:bookmarkEnd w:id="1217"/>
    </w:p>
    <w:p w14:paraId="25C673C9" w14:textId="77777777" w:rsidR="00AB3647" w:rsidRDefault="00000000" w:rsidP="007923E9">
      <w:pPr>
        <w:pStyle w:val="af"/>
        <w:spacing w:line="276" w:lineRule="auto"/>
      </w:pPr>
      <w:r>
        <w:t xml:space="preserve">על מינסק כעיר המוקירה את לימוד התורה, ועל ר׳ </w:t>
      </w:r>
      <w:proofErr w:type="spellStart"/>
      <w:r>
        <w:t>דוד־טעביל</w:t>
      </w:r>
      <w:proofErr w:type="spellEnd"/>
      <w:r>
        <w:t xml:space="preserve"> המוקיר את מינסק, ועל פעולתו של ד״ר מקס </w:t>
      </w:r>
      <w:proofErr w:type="spellStart"/>
      <w:r>
        <w:t>ליליינטל</w:t>
      </w:r>
      <w:proofErr w:type="spellEnd"/>
      <w:r>
        <w:t xml:space="preserve"> בשליחות משרד ההשכלה הרוסי, ביקורו </w:t>
      </w:r>
      <w:proofErr w:type="spellStart"/>
      <w:r>
        <w:t>בוולוז׳ין</w:t>
      </w:r>
      <w:proofErr w:type="spellEnd"/>
      <w:r>
        <w:t xml:space="preserve"> ובריחתו הבלתי צפויה לאמריקה לאחר מכן</w:t>
      </w:r>
    </w:p>
    <w:p w14:paraId="4954B72B" w14:textId="77777777" w:rsidR="00AB3647" w:rsidRDefault="00000000" w:rsidP="007923E9">
      <w:pPr>
        <w:pStyle w:val="4"/>
        <w:spacing w:line="276" w:lineRule="auto"/>
      </w:pPr>
      <w:r>
        <w:t>· הפסקה הראשונה ·</w:t>
      </w:r>
    </w:p>
    <w:p w14:paraId="5203BB98" w14:textId="77777777" w:rsidR="00AB3647" w:rsidRDefault="00000000" w:rsidP="007923E9">
      <w:pPr>
        <w:pStyle w:val="5"/>
        <w:spacing w:line="276" w:lineRule="auto"/>
      </w:pPr>
      <w:r>
        <w:t xml:space="preserve">מינסק מוציאה יותר תלמידי ישיבה מווילנה</w:t>
      </w:r>
    </w:p>
    <w:p w14:paraId="7440A14A" w14:textId="77777777" w:rsidR="00AB3647" w:rsidRDefault="00000000" w:rsidP="007923E9">
      <w:pPr>
        <w:spacing w:after="120" w:line="276" w:lineRule="auto"/>
        <w:ind w:firstLine="283"/>
        <w:jc w:val="both"/>
      </w:pPr>
      <w:r>
        <w:rPr>
          <w:rtl/>
        </w:rPr>
        <w:t xml:space="preserve">אבי ציין שבזמן שלמד בישיבת </w:t>
      </w:r>
      <w:proofErr w:type="spellStart"/>
      <w:r>
        <w:rPr>
          <w:rtl/>
        </w:rPr>
        <w:t>סלבודקה</w:t>
      </w:r>
      <w:proofErr w:type="spellEnd"/>
      <w:r>
        <w:rPr>
          <w:rtl/>
        </w:rPr>
        <w:t xml:space="preserve"> היו בה שלושים ושלושה תלמידים ממינסק, המרוחקת שמונה שעות נסיעה, ורק </w:t>
      </w:r>
      <w:proofErr w:type="spellStart"/>
      <w:r>
        <w:rPr>
          <w:rtl/>
        </w:rPr>
        <w:t>אחד־עשר</w:t>
      </w:r>
      <w:proofErr w:type="spellEnd"/>
      <w:r>
        <w:rPr>
          <w:rtl/>
        </w:rPr>
        <w:t xml:space="preserve"> מווילנה, המרוחקת שלוש שעות בלבד. הוא תלה זאת בעיקר בהבדל בשמירת המצוות בין השכבות העליונות של שתי הקהילות. במינסק נתנו המשפחות העשירות ביותר לילדיהן חינוך ישיבתי, ואילו עשירי וילנה היו ברובם המכריע רחוקים מן הדת; ובשתי הערים הלך פשוט העם אחר הנהגת בעלי הבתים החשובים.</w:t>
      </w:r>
      <w:bookmarkStart w:id="1218" w:name="_fnr716"/>
      <w:r>
        <w:rPr>
          <w:rStyle w:val="a5"/>
        </w:rPr>
        <w:footnoteReference w:id="716" w:customMarkFollows="0"/>
      </w:r>
      <w:bookmarkEnd w:id="1218"/>
    </w:p>
    <w:p w14:paraId="6E788360" w14:textId="77777777" w:rsidR="00AB3647" w:rsidRDefault="00000000" w:rsidP="007923E9">
      <w:pPr>
        <w:pStyle w:val="4"/>
        <w:spacing w:line="276" w:lineRule="auto"/>
      </w:pPr>
      <w:r>
        <w:t>· הפסקה השנייה ·</w:t>
      </w:r>
    </w:p>
    <w:p w14:paraId="2054DE82" w14:textId="77777777" w:rsidR="00AB3647" w:rsidRDefault="00000000" w:rsidP="007923E9">
      <w:pPr>
        <w:pStyle w:val="5"/>
        <w:spacing w:line="276" w:lineRule="auto"/>
      </w:pPr>
      <w:r>
        <w:t xml:space="preserve">ר׳ </w:t>
      </w:r>
      <w:proofErr w:type="spellStart"/>
      <w:r>
        <w:t>דוד־טעביל</w:t>
      </w:r>
      <w:proofErr w:type="spellEnd"/>
      <w:r>
        <w:t xml:space="preserve"> מעריך את אנשי מינסק – ר׳ חיים </w:t>
      </w:r>
      <w:proofErr w:type="spellStart"/>
      <w:r>
        <w:t>מוולוז׳ין</w:t>
      </w:r>
      <w:proofErr w:type="spellEnd"/>
      <w:r>
        <w:t xml:space="preserve"> צופה שהתורה תעבור לאמריקה – </w:t>
      </w:r>
      <w:proofErr w:type="spellStart"/>
      <w:r>
        <w:t>הנצי״ב</w:t>
      </w:r>
      <w:proofErr w:type="spellEnd"/>
      <w:r>
        <w:t xml:space="preserve"> מתכנן את פרישתו הצפויה לארץ ישראל – ר׳ חיים </w:t>
      </w:r>
      <w:proofErr w:type="spellStart"/>
      <w:r>
        <w:t>מוולוז׳ין</w:t>
      </w:r>
      <w:proofErr w:type="spellEnd"/>
      <w:r>
        <w:t xml:space="preserve"> משער שעיר גדולה תעריך רב למרות גמגומו</w:t>
      </w:r>
    </w:p>
    <w:p w14:paraId="72E8D29A" w14:textId="77777777" w:rsidR="00AB3647" w:rsidRDefault="00000000" w:rsidP="007923E9">
      <w:pPr>
        <w:spacing w:after="120" w:line="276" w:lineRule="auto"/>
        <w:ind w:firstLine="283"/>
        <w:jc w:val="both"/>
      </w:pPr>
      <w:r>
        <w:rPr>
          <w:rtl/>
        </w:rPr>
        <w:t xml:space="preserve">עשירי מינסק היו מאז ומעולם מוקירי תורה. בהקדמה </w:t>
      </w:r>
      <w:proofErr w:type="spellStart"/>
      <w:r>
        <w:rPr>
          <w:rtl/>
        </w:rPr>
        <w:t>ל“בית</w:t>
      </w:r>
      <w:proofErr w:type="spellEnd"/>
      <w:r>
        <w:rPr>
          <w:rtl/>
        </w:rPr>
        <w:t xml:space="preserve"> דוד”,</w:t>
      </w:r>
      <w:bookmarkStart w:id="1219" w:name="_fnr717"/>
      <w:r>
        <w:rPr>
          <w:rStyle w:val="a5"/>
        </w:rPr>
        <w:footnoteReference w:id="717" w:customMarkFollows="0"/>
      </w:r>
      <w:bookmarkEnd w:id="1219"/>
      <w:r>
        <w:rPr>
          <w:rtl/>
        </w:rPr>
        <w:t xml:space="preserve"> ספר דרשות עיוניות מאת ר׳ </w:t>
      </w:r>
      <w:proofErr w:type="spellStart"/>
      <w:r>
        <w:rPr>
          <w:rtl/>
        </w:rPr>
        <w:t>דוד־טעביל</w:t>
      </w:r>
      <w:proofErr w:type="spellEnd"/>
      <w:r>
        <w:rPr>
          <w:rtl/>
        </w:rPr>
        <w:t>,</w:t>
      </w:r>
      <w:bookmarkStart w:id="1220" w:name="_fnr718"/>
      <w:r>
        <w:rPr>
          <w:rStyle w:val="a5"/>
        </w:rPr>
        <w:footnoteReference w:id="718" w:customMarkFollows="0"/>
      </w:r>
      <w:bookmarkEnd w:id="1220"/>
      <w:r>
        <w:rPr>
          <w:rtl/>
        </w:rPr>
        <w:t xml:space="preserve"> תלמיד מובהק של ישיבת </w:t>
      </w:r>
      <w:proofErr w:type="spellStart"/>
      <w:r>
        <w:rPr>
          <w:rtl/>
        </w:rPr>
        <w:t>וולוז׳ין</w:t>
      </w:r>
      <w:proofErr w:type="spellEnd"/>
      <w:r>
        <w:rPr>
          <w:rtl/>
        </w:rPr>
        <w:t xml:space="preserve"> </w:t>
      </w:r>
      <w:proofErr w:type="spellStart"/>
      <w:r>
        <w:rPr>
          <w:rtl/>
        </w:rPr>
        <w:t>ומרא</w:t>
      </w:r>
      <w:proofErr w:type="spellEnd"/>
      <w:r>
        <w:rPr>
          <w:rtl/>
        </w:rPr>
        <w:t xml:space="preserve"> דאתרא של מינסק (תר״ט–תרכ״א), כותב המחבר: “חפצתי להדפיס את החידושים בהלכה ובאגדה שחנני ה׳, אך לא היה לאל ידי אפילו להתחיל במקצת, כי ישבתי </w:t>
      </w:r>
      <w:proofErr w:type="spellStart"/>
      <w:r>
        <w:rPr>
          <w:rtl/>
        </w:rPr>
        <w:t>בסטויבץ</w:t>
      </w:r>
      <w:proofErr w:type="spellEnd"/>
      <w:r>
        <w:rPr>
          <w:rtl/>
        </w:rPr>
        <w:t xml:space="preserve">, ושם לא יכלו לסייע בזה. ויהי כאשר ארכו לי שם </w:t>
      </w:r>
      <w:proofErr w:type="spellStart"/>
      <w:r>
        <w:rPr>
          <w:rtl/>
        </w:rPr>
        <w:t>בסטויבץ</w:t>
      </w:r>
      <w:proofErr w:type="spellEnd"/>
      <w:r>
        <w:rPr>
          <w:rtl/>
        </w:rPr>
        <w:t xml:space="preserve"> כשלושים ושתיים שנה, הרים ה׳ את קרני. לא בזכותי, כי אם בזכות </w:t>
      </w:r>
      <w:proofErr w:type="spellStart"/>
      <w:r>
        <w:rPr>
          <w:rtl/>
        </w:rPr>
        <w:t>אבותי</w:t>
      </w:r>
      <w:proofErr w:type="spellEnd"/>
      <w:r>
        <w:rPr>
          <w:rtl/>
        </w:rPr>
        <w:t xml:space="preserve"> ו</w:t>
      </w:r>
      <w:r>
        <w:rPr>
          <w:b/>
          <w:bCs/>
          <w:rtl/>
        </w:rPr>
        <w:t xml:space="preserve">זכות מורי ורבי ר׳ חיים </w:t>
      </w:r>
      <w:proofErr w:type="spellStart"/>
      <w:r>
        <w:rPr>
          <w:b/>
          <w:bCs/>
          <w:rtl/>
        </w:rPr>
        <w:t>מוולוז׳ין</w:t>
      </w:r>
      <w:proofErr w:type="spellEnd"/>
      <w:r>
        <w:rPr>
          <w:rtl/>
        </w:rPr>
        <w:t xml:space="preserve"> [ההדגשה שלי, לצורך הדיון להלן], נשאני והושיבני על </w:t>
      </w:r>
      <w:proofErr w:type="spellStart"/>
      <w:r>
        <w:rPr>
          <w:rtl/>
        </w:rPr>
        <w:t>כסא</w:t>
      </w:r>
      <w:proofErr w:type="spellEnd"/>
      <w:r>
        <w:rPr>
          <w:rtl/>
        </w:rPr>
        <w:t xml:space="preserve"> ההוראה לשרת בקודש, להיות </w:t>
      </w:r>
      <w:proofErr w:type="spellStart"/>
      <w:r>
        <w:rPr>
          <w:rtl/>
        </w:rPr>
        <w:t>מ״ץ</w:t>
      </w:r>
      <w:proofErr w:type="spellEnd"/>
      <w:r>
        <w:rPr>
          <w:rtl/>
        </w:rPr>
        <w:t xml:space="preserve"> </w:t>
      </w:r>
      <w:proofErr w:type="spellStart"/>
      <w:r>
        <w:rPr>
          <w:rtl/>
        </w:rPr>
        <w:t>ומרא</w:t>
      </w:r>
      <w:proofErr w:type="spellEnd"/>
      <w:r>
        <w:rPr>
          <w:rtl/>
        </w:rPr>
        <w:t xml:space="preserve"> דאתרא בקהילת מינסק, השמחה והמפוארת בעדי תורה ועושר, שגביריה גדולים ואדירים בתורה וביראת ה׳, וחכמיה ורבניה מאירים כל חדרי תורה. אמרתי אז </w:t>
      </w:r>
      <w:proofErr w:type="spellStart"/>
      <w:r>
        <w:rPr>
          <w:rtl/>
        </w:rPr>
        <w:t>בלבי</w:t>
      </w:r>
      <w:proofErr w:type="spellEnd"/>
      <w:r>
        <w:rPr>
          <w:rtl/>
        </w:rPr>
        <w:t xml:space="preserve"> כי מאת ה׳ </w:t>
      </w:r>
      <w:proofErr w:type="spellStart"/>
      <w:r>
        <w:rPr>
          <w:rtl/>
        </w:rPr>
        <w:t>היתה</w:t>
      </w:r>
      <w:proofErr w:type="spellEnd"/>
      <w:r>
        <w:rPr>
          <w:rtl/>
        </w:rPr>
        <w:t xml:space="preserve"> זאת, שעתה אוכל להוציא את מחשבותיי אל הפועל.”</w:t>
      </w:r>
    </w:p>
    <w:p w14:paraId="68E452AE" w14:textId="3E7077F9" w:rsidR="00AB3647" w:rsidRDefault="00000000" w:rsidP="007923E9">
      <w:pPr>
        <w:spacing w:after="120" w:line="276" w:lineRule="auto"/>
        <w:ind w:firstLine="283"/>
        <w:jc w:val="both"/>
      </w:pPr>
      <w:r>
        <w:rPr>
          <w:rtl/>
        </w:rPr>
        <w:t xml:space="preserve">את גאוותו של ר׳ </w:t>
      </w:r>
      <w:proofErr w:type="spellStart"/>
      <w:r>
        <w:rPr>
          <w:rtl/>
        </w:rPr>
        <w:t>דוד־טעביל</w:t>
      </w:r>
      <w:proofErr w:type="spellEnd"/>
      <w:r>
        <w:rPr>
          <w:rtl/>
        </w:rPr>
        <w:t xml:space="preserve"> בבני מינסק מדגים הסיפור הבא:</w:t>
      </w:r>
      <w:bookmarkStart w:id="1221" w:name="_fnr719"/>
      <w:r>
        <w:rPr>
          <w:rStyle w:val="a5"/>
        </w:rPr>
        <w:footnoteReference w:id="719" w:customMarkFollows="0"/>
      </w:r>
      <w:bookmarkEnd w:id="1221"/>
      <w:r>
        <w:rPr>
          <w:rtl/>
        </w:rPr>
        <w:t xml:space="preserve"> ר׳ </w:t>
      </w:r>
      <w:proofErr w:type="spellStart"/>
      <w:r>
        <w:rPr>
          <w:rtl/>
        </w:rPr>
        <w:t>דוד־טעביל</w:t>
      </w:r>
      <w:proofErr w:type="spellEnd"/>
      <w:r>
        <w:rPr>
          <w:rtl/>
        </w:rPr>
        <w:t xml:space="preserve">, שהיה מגמגם, אמר לקהל במינסק זמן קצר אחרי שנתקבל לרבנות: “במה תוכלו להתגאות ברב </w:t>
      </w:r>
      <w:r>
        <w:rPr>
          <w:rtl/>
        </w:rPr>
        <w:lastRenderedPageBreak/>
        <w:t xml:space="preserve">שקיבלתם? שהוא למדן? יש עוד רבנים למדנים. שהוא נואם? אתם רואים שאינני. אבל מה אני? אני מוצלח! יהודי מינסק יכולים להתגאות שיש להם עתה רב מוצלח!” לדוגמאות לחיבה ההדדית בין הקהילה </w:t>
      </w:r>
      <w:proofErr w:type="spellStart"/>
      <w:r>
        <w:rPr>
          <w:rtl/>
        </w:rPr>
        <w:t>לר</w:t>
      </w:r>
      <w:proofErr w:type="spellEnd"/>
      <w:r>
        <w:rPr>
          <w:rtl/>
        </w:rPr>
        <w:t xml:space="preserve">׳ </w:t>
      </w:r>
      <w:proofErr w:type="spellStart"/>
      <w:r>
        <w:rPr>
          <w:rtl/>
        </w:rPr>
        <w:t>דוד־טעביל</w:t>
      </w:r>
      <w:proofErr w:type="spellEnd"/>
      <w:r>
        <w:rPr>
          <w:rtl/>
        </w:rPr>
        <w:t xml:space="preserve"> השווה פרק 5, סוף הפסקה החמישית ב</w:t>
      </w:r>
      <w:r>
        <w:rPr>
          <w:rtl/>
        </w:rPr>
        <w:fldChar w:fldCharType="begin" w:dirty="true"/>
      </w:r>
      <w:r>
        <w:rPr>
          <w:rtl/>
        </w:rPr>
        <w:instrText xml:space="preserve"> REF b5_excF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ו</w:t>
      </w:r>
      <w:r>
        <w:rPr>
          <w:rtl/>
        </w:rPr>
        <w:fldChar w:fldCharType="end"/>
      </w:r>
      <w:r>
        <w:rPr>
          <w:rtl/>
        </w:rPr>
        <w:t>.</w:t>
      </w:r>
    </w:p>
    <w:p w14:paraId="1A44DD6A" w14:textId="77777777" w:rsidR="00AB3647" w:rsidRDefault="00000000" w:rsidP="007923E9">
      <w:pPr>
        <w:spacing w:after="120" w:line="276" w:lineRule="auto"/>
        <w:ind w:firstLine="283"/>
        <w:jc w:val="both"/>
      </w:pPr>
      <w:r>
        <w:rPr>
          <w:rtl/>
        </w:rPr>
        <w:t xml:space="preserve">את המסורת הידועה שר׳ חיים </w:t>
      </w:r>
      <w:proofErr w:type="spellStart"/>
      <w:r>
        <w:rPr>
          <w:rtl/>
        </w:rPr>
        <w:t>מוולוז׳ין</w:t>
      </w:r>
      <w:proofErr w:type="spellEnd"/>
      <w:r>
        <w:rPr>
          <w:rtl/>
        </w:rPr>
        <w:t xml:space="preserve"> חזה שמרכז לימוד התורה יהיה יום אחד באמריקה סיפר גיסי, ר׳ ישראל </w:t>
      </w:r>
      <w:proofErr w:type="spellStart"/>
      <w:r>
        <w:rPr>
          <w:rtl/>
        </w:rPr>
        <w:t>שורין</w:t>
      </w:r>
      <w:proofErr w:type="spellEnd"/>
      <w:r>
        <w:rPr>
          <w:rtl/>
        </w:rPr>
        <w:t xml:space="preserve">, כפי ששמע אותה מגיסו, ר׳ אהרן </w:t>
      </w:r>
      <w:proofErr w:type="spellStart"/>
      <w:r>
        <w:rPr>
          <w:rtl/>
        </w:rPr>
        <w:t>סולובייצ׳יק</w:t>
      </w:r>
      <w:proofErr w:type="spellEnd"/>
      <w:r>
        <w:rPr>
          <w:rtl/>
        </w:rPr>
        <w:t xml:space="preserve">. בסיפורו הזכיר ר׳ אהרן אגב אורחא שר׳ </w:t>
      </w:r>
      <w:proofErr w:type="spellStart"/>
      <w:r>
        <w:rPr>
          <w:rtl/>
        </w:rPr>
        <w:t>דוד־טעביל</w:t>
      </w:r>
      <w:proofErr w:type="spellEnd"/>
      <w:r>
        <w:rPr>
          <w:rtl/>
        </w:rPr>
        <w:t xml:space="preserve"> סבל מליקוי הדיבור הנזכר. וזה הסיפור: “בבר </w:t>
      </w:r>
      <w:proofErr w:type="spellStart"/>
      <w:r>
        <w:rPr>
          <w:rtl/>
        </w:rPr>
        <w:t>המצוה</w:t>
      </w:r>
      <w:proofErr w:type="spellEnd"/>
      <w:r>
        <w:rPr>
          <w:rtl/>
        </w:rPr>
        <w:t xml:space="preserve"> של אבי [ר׳ משה </w:t>
      </w:r>
      <w:proofErr w:type="spellStart"/>
      <w:r>
        <w:rPr>
          <w:rtl/>
        </w:rPr>
        <w:t>סולובייצ׳יק</w:t>
      </w:r>
      <w:proofErr w:type="spellEnd"/>
      <w:r>
        <w:rPr>
          <w:rtl/>
        </w:rPr>
        <w:t xml:space="preserve">] אמר זקני ר׳ </w:t>
      </w:r>
      <w:proofErr w:type="spellStart"/>
      <w:r>
        <w:rPr>
          <w:rtl/>
        </w:rPr>
        <w:t>נפתלי־צבי־יהודה</w:t>
      </w:r>
      <w:proofErr w:type="spellEnd"/>
      <w:r>
        <w:rPr>
          <w:rtl/>
        </w:rPr>
        <w:t xml:space="preserve"> ברלין [</w:t>
      </w:r>
      <w:proofErr w:type="spellStart"/>
      <w:r>
        <w:rPr>
          <w:rtl/>
        </w:rPr>
        <w:t>הנצי״ב</w:t>
      </w:r>
      <w:proofErr w:type="spellEnd"/>
      <w:r>
        <w:rPr>
          <w:rtl/>
        </w:rPr>
        <w:t>]</w:t>
      </w:r>
      <w:bookmarkStart w:id="1222" w:name="_fnr720"/>
      <w:r>
        <w:rPr>
          <w:rStyle w:val="a5"/>
        </w:rPr>
        <w:footnoteReference w:id="720" w:customMarkFollows="0"/>
      </w:r>
      <w:bookmarkEnd w:id="1222"/>
      <w:r>
        <w:rPr>
          <w:rtl/>
        </w:rPr>
        <w:t xml:space="preserve"> שסבה של אשתו, ר׳ חיים </w:t>
      </w:r>
      <w:proofErr w:type="spellStart"/>
      <w:r>
        <w:rPr>
          <w:rtl/>
        </w:rPr>
        <w:t>מוולוז׳ין</w:t>
      </w:r>
      <w:proofErr w:type="spellEnd"/>
      <w:r>
        <w:rPr>
          <w:rtl/>
        </w:rPr>
        <w:t>, דיבר פעם לפני תלמידיו בסעודה שלישית ואמר להם שעד ביאת המשיח צריכה התורה לעבור עשרה מסעות.</w:t>
      </w:r>
      <w:bookmarkStart w:id="1223" w:name="_fnr721"/>
      <w:r>
        <w:rPr>
          <w:rStyle w:val="a5"/>
        </w:rPr>
        <w:footnoteReference w:id="721" w:customMarkFollows="0"/>
      </w:r>
      <w:bookmarkEnd w:id="1223"/>
      <w:r>
        <w:rPr>
          <w:rtl/>
        </w:rPr>
        <w:t xml:space="preserve"> אחד התלמידים, ר׳ אהרן </w:t>
      </w:r>
      <w:proofErr w:type="spellStart"/>
      <w:r>
        <w:rPr>
          <w:rtl/>
        </w:rPr>
        <w:t>סמולנסקר</w:t>
      </w:r>
      <w:proofErr w:type="spellEnd"/>
      <w:r>
        <w:rPr>
          <w:rtl/>
        </w:rPr>
        <w:t xml:space="preserve">, שאל את רבו היכן תהיה התחנה האחרונה, והשיב: ‘אמריקה’ – והרב פרץ בבכי. לאחר מכן התאזר ר׳ </w:t>
      </w:r>
      <w:proofErr w:type="spellStart"/>
      <w:r>
        <w:rPr>
          <w:rtl/>
        </w:rPr>
        <w:t>דוד־טעביל</w:t>
      </w:r>
      <w:proofErr w:type="spellEnd"/>
      <w:r>
        <w:rPr>
          <w:rtl/>
        </w:rPr>
        <w:t xml:space="preserve">, </w:t>
      </w:r>
      <w:r>
        <w:rPr>
          <w:b/>
          <w:bCs/>
          <w:rtl/>
        </w:rPr>
        <w:t>שהיה מגמגם מעט [ההדגשה שלי],</w:t>
      </w:r>
      <w:r>
        <w:rPr>
          <w:rtl/>
        </w:rPr>
        <w:t xml:space="preserve"> אומץ ושאל את רבו מדוע בכה. ר׳ חיים השיב שהוא צופה את הקשיים שיעמדו לפני אלה שיהיה עליהם לנטוע את התורה שם – ושוב בכה.”</w:t>
      </w:r>
    </w:p>
    <w:p w14:paraId="5EEEFD2E" w14:textId="77777777" w:rsidR="00AB3647" w:rsidRDefault="00000000" w:rsidP="007923E9">
      <w:pPr>
        <w:spacing w:after="120" w:line="276" w:lineRule="auto"/>
        <w:ind w:firstLine="283"/>
        <w:jc w:val="both"/>
      </w:pPr>
      <w:r>
        <w:rPr>
          <w:rtl/>
        </w:rPr>
        <w:t>והשווה גם “אבי הישיבות”,</w:t>
      </w:r>
      <w:bookmarkStart w:id="1224" w:name="_fnr722"/>
      <w:r>
        <w:rPr>
          <w:rStyle w:val="a5"/>
        </w:rPr>
        <w:footnoteReference w:id="722" w:customMarkFollows="0"/>
      </w:r>
      <w:bookmarkEnd w:id="1224"/>
      <w:r>
        <w:rPr>
          <w:rtl/>
        </w:rPr>
        <w:t xml:space="preserve"> המביא את עיקר הסיפור, כפי שהוא נוגע </w:t>
      </w:r>
      <w:proofErr w:type="spellStart"/>
      <w:r>
        <w:rPr>
          <w:rtl/>
        </w:rPr>
        <w:t>לר</w:t>
      </w:r>
      <w:proofErr w:type="spellEnd"/>
      <w:r>
        <w:rPr>
          <w:rtl/>
        </w:rPr>
        <w:t xml:space="preserve">׳ חיים </w:t>
      </w:r>
      <w:proofErr w:type="spellStart"/>
      <w:r>
        <w:rPr>
          <w:rtl/>
        </w:rPr>
        <w:t>מוולוז׳ין</w:t>
      </w:r>
      <w:proofErr w:type="spellEnd"/>
      <w:r>
        <w:rPr>
          <w:rtl/>
        </w:rPr>
        <w:t xml:space="preserve"> </w:t>
      </w:r>
      <w:proofErr w:type="spellStart"/>
      <w:r>
        <w:rPr>
          <w:rtl/>
        </w:rPr>
        <w:t>ולר</w:t>
      </w:r>
      <w:proofErr w:type="spellEnd"/>
      <w:r>
        <w:rPr>
          <w:rtl/>
        </w:rPr>
        <w:t xml:space="preserve">׳ </w:t>
      </w:r>
      <w:proofErr w:type="spellStart"/>
      <w:r>
        <w:rPr>
          <w:rtl/>
        </w:rPr>
        <w:t>דוד־טעביל</w:t>
      </w:r>
      <w:proofErr w:type="spellEnd"/>
      <w:r>
        <w:rPr>
          <w:rtl/>
        </w:rPr>
        <w:t xml:space="preserve">, ממקורות אחרים. בין המקורות האלה חותני, ר׳ דוד ליפשיץ, ששמעו בחוגו של ר׳ </w:t>
      </w:r>
      <w:proofErr w:type="spellStart"/>
      <w:r>
        <w:rPr>
          <w:rtl/>
        </w:rPr>
        <w:t>חיים־עוזר</w:t>
      </w:r>
      <w:proofErr w:type="spellEnd"/>
      <w:r>
        <w:rPr>
          <w:rtl/>
        </w:rPr>
        <w:t xml:space="preserve"> </w:t>
      </w:r>
      <w:proofErr w:type="spellStart"/>
      <w:r>
        <w:rPr>
          <w:rtl/>
        </w:rPr>
        <w:t>גרודזנסקי</w:t>
      </w:r>
      <w:proofErr w:type="spellEnd"/>
      <w:r>
        <w:rPr>
          <w:rtl/>
        </w:rPr>
        <w:t xml:space="preserve"> בווילנה, שאליה ברח </w:t>
      </w:r>
      <w:proofErr w:type="spellStart"/>
      <w:r>
        <w:rPr>
          <w:rtl/>
        </w:rPr>
        <w:t>מסובאלק</w:t>
      </w:r>
      <w:proofErr w:type="spellEnd"/>
      <w:r>
        <w:rPr>
          <w:rtl/>
        </w:rPr>
        <w:t xml:space="preserve"> אחרי פרוץ מלחמת העולם השנייה. “אבי הישיבות” קושר את החלטתם של כמה ממנהיגי התורה באירופה לפנות לאמריקה, כשהמצב באירופה נעשה קריטי, להכרזתו של ר׳ חיים </w:t>
      </w:r>
      <w:proofErr w:type="spellStart"/>
      <w:r>
        <w:rPr>
          <w:rtl/>
        </w:rPr>
        <w:t>מוולוז׳ין</w:t>
      </w:r>
      <w:proofErr w:type="spellEnd"/>
      <w:r>
        <w:rPr>
          <w:rtl/>
        </w:rPr>
        <w:t xml:space="preserve"> – וכך הנבואה הגשימה את עצמה.</w:t>
      </w:r>
    </w:p>
    <w:p w14:paraId="1173A71B" w14:textId="7BB76B36" w:rsidR="00AB3647" w:rsidRDefault="00000000" w:rsidP="007923E9">
      <w:pPr>
        <w:spacing w:after="120" w:line="276" w:lineRule="auto"/>
        <w:ind w:firstLine="283"/>
        <w:jc w:val="both"/>
      </w:pPr>
      <w:r>
        <w:rPr>
          <w:rtl/>
        </w:rPr>
        <w:t xml:space="preserve">והשווה גם “נימוקי </w:t>
      </w:r>
      <w:proofErr w:type="spellStart"/>
      <w:r>
        <w:rPr>
          <w:rtl/>
        </w:rPr>
        <w:t>הרידב״ז</w:t>
      </w:r>
      <w:proofErr w:type="spellEnd"/>
      <w:r>
        <w:rPr>
          <w:rtl/>
        </w:rPr>
        <w:t xml:space="preserve"> על התורה”,</w:t>
      </w:r>
      <w:bookmarkStart w:id="1225" w:name="_fnr723"/>
      <w:bookmarkStart w:id="1226" w:name="pr_f_649"/>
      <w:r>
        <w:rPr>
          <w:rStyle w:val="a5"/>
        </w:rPr>
        <w:footnoteReference w:id="723" w:customMarkFollows="0"/>
      </w:r>
      <w:bookmarkEnd w:id="1225"/>
      <w:bookmarkEnd w:id="1226"/>
      <w:r>
        <w:rPr>
          <w:rtl/>
        </w:rPr>
        <w:t xml:space="preserve"> שיצא לאור לראשונה בשנת תרס״ד באמריקה. שם כותב ר׳ </w:t>
      </w:r>
      <w:proofErr w:type="spellStart"/>
      <w:r>
        <w:rPr>
          <w:rtl/>
        </w:rPr>
        <w:t>יענקל־דוד</w:t>
      </w:r>
      <w:proofErr w:type="spellEnd"/>
      <w:r>
        <w:rPr>
          <w:rtl/>
        </w:rPr>
        <w:t xml:space="preserve"> </w:t>
      </w:r>
      <w:proofErr w:type="spellStart"/>
      <w:r>
        <w:rPr>
          <w:rtl/>
        </w:rPr>
        <w:t>ווילובסקי</w:t>
      </w:r>
      <w:proofErr w:type="spellEnd"/>
      <w:r>
        <w:rPr>
          <w:rtl/>
        </w:rPr>
        <w:t xml:space="preserve">, </w:t>
      </w:r>
      <w:proofErr w:type="spellStart"/>
      <w:r>
        <w:rPr>
          <w:rtl/>
        </w:rPr>
        <w:t>הרידב״ז</w:t>
      </w:r>
      <w:proofErr w:type="spellEnd"/>
      <w:r>
        <w:rPr>
          <w:rtl/>
        </w:rPr>
        <w:t xml:space="preserve"> (ראה פרק 3, </w:t>
      </w:r>
      <w:r>
        <w:rPr>
          <w:rtl/>
        </w:rPr>
        <w:fldChar w:fldCharType="begin" w:dirty="true"/>
      </w:r>
      <w:r>
        <w:rPr>
          <w:rtl/>
        </w:rPr>
        <w:instrText xml:space="preserve"> REF b3_excO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טו</w:t>
      </w:r>
      <w:r>
        <w:rPr>
          <w:rtl/>
        </w:rPr>
        <w:fldChar w:fldCharType="end"/>
      </w:r>
      <w:r>
        <w:rPr>
          <w:rtl/>
        </w:rPr>
        <w:t xml:space="preserve">), אז בשיקגו: “מי יודע אם לא ברבות הימים יתאכסן התורה ברצון יודע תעלומות בזאת המדינה?!” ייתכן שר׳ </w:t>
      </w:r>
      <w:proofErr w:type="spellStart"/>
      <w:r>
        <w:rPr>
          <w:rtl/>
        </w:rPr>
        <w:t>יענקל־דוד</w:t>
      </w:r>
      <w:proofErr w:type="spellEnd"/>
      <w:r>
        <w:rPr>
          <w:rtl/>
        </w:rPr>
        <w:t xml:space="preserve"> ידע על המסורת של </w:t>
      </w:r>
      <w:proofErr w:type="spellStart"/>
      <w:r>
        <w:rPr>
          <w:rtl/>
        </w:rPr>
        <w:t>וולוז׳ין</w:t>
      </w:r>
      <w:proofErr w:type="spellEnd"/>
      <w:r>
        <w:rPr>
          <w:rtl/>
        </w:rPr>
        <w:t>, אף שכיסוד להשערתו הזכיר רק את התקדים ההיסטורי: נטיעת התורה בפולין שנים רבות אחרי שארץ זו נודעה לגנאי כמקום שבו היו היהודים רפויים במסירותם ליידישקייט.</w:t>
      </w:r>
      <w:bookmarkStart w:id="1227" w:name="_fnr724"/>
      <w:r>
        <w:rPr>
          <w:rStyle w:val="a5"/>
        </w:rPr>
        <w:footnoteReference w:id="724" w:customMarkFollows="0"/>
      </w:r>
      <w:bookmarkEnd w:id="1227"/>
    </w:p>
    <w:p w14:paraId="1CDE5EAC" w14:textId="77777777" w:rsidR="00AB3647" w:rsidRDefault="00000000" w:rsidP="007923E9">
      <w:pPr>
        <w:spacing w:after="120" w:line="276" w:lineRule="auto"/>
        <w:ind w:firstLine="283"/>
        <w:jc w:val="both"/>
      </w:pPr>
      <w:r>
        <w:rPr>
          <w:rtl/>
        </w:rPr>
        <w:t xml:space="preserve">ר׳ אהרן </w:t>
      </w:r>
      <w:proofErr w:type="spellStart"/>
      <w:r>
        <w:rPr>
          <w:rtl/>
        </w:rPr>
        <w:t>סולובייצ׳יק</w:t>
      </w:r>
      <w:proofErr w:type="spellEnd"/>
      <w:r>
        <w:rPr>
          <w:rtl/>
        </w:rPr>
        <w:t xml:space="preserve"> לא ידע באיזה הקשר חזר </w:t>
      </w:r>
      <w:proofErr w:type="spellStart"/>
      <w:r>
        <w:rPr>
          <w:rtl/>
        </w:rPr>
        <w:t>הנצי״ב</w:t>
      </w:r>
      <w:proofErr w:type="spellEnd"/>
      <w:r>
        <w:rPr>
          <w:rtl/>
        </w:rPr>
        <w:t xml:space="preserve"> על נבואתו של ר׳ חיים </w:t>
      </w:r>
      <w:proofErr w:type="spellStart"/>
      <w:r>
        <w:rPr>
          <w:rtl/>
        </w:rPr>
        <w:t>מוולוז׳ין</w:t>
      </w:r>
      <w:proofErr w:type="spellEnd"/>
      <w:r>
        <w:rPr>
          <w:rtl/>
        </w:rPr>
        <w:t xml:space="preserve">. בר המצווה של ר׳ משה </w:t>
      </w:r>
      <w:proofErr w:type="spellStart"/>
      <w:r>
        <w:rPr>
          <w:rtl/>
        </w:rPr>
        <w:t>סולובייצ׳יק</w:t>
      </w:r>
      <w:proofErr w:type="spellEnd"/>
      <w:r>
        <w:rPr>
          <w:rtl/>
        </w:rPr>
        <w:t xml:space="preserve"> נערכה בתמוז תרנ״א, כחצי שנה לפני סגירת ישיבת </w:t>
      </w:r>
      <w:proofErr w:type="spellStart"/>
      <w:r>
        <w:rPr>
          <w:rtl/>
        </w:rPr>
        <w:t>וולוז׳ין</w:t>
      </w:r>
      <w:proofErr w:type="spellEnd"/>
      <w:r>
        <w:rPr>
          <w:rtl/>
        </w:rPr>
        <w:t>,</w:t>
      </w:r>
      <w:bookmarkStart w:id="1228" w:name="_fnr725"/>
      <w:r>
        <w:rPr>
          <w:rStyle w:val="a5"/>
        </w:rPr>
        <w:footnoteReference w:id="725" w:customMarkFollows="0"/>
      </w:r>
      <w:bookmarkEnd w:id="1228"/>
      <w:r>
        <w:rPr>
          <w:rtl/>
        </w:rPr>
        <w:t xml:space="preserve"> ולכן יש לשער </w:t>
      </w:r>
      <w:proofErr w:type="spellStart"/>
      <w:r>
        <w:rPr>
          <w:rtl/>
        </w:rPr>
        <w:t>שהנצי״ב</w:t>
      </w:r>
      <w:proofErr w:type="spellEnd"/>
      <w:r>
        <w:rPr>
          <w:rtl/>
        </w:rPr>
        <w:t xml:space="preserve"> מסר את נבואת מייסד הישיבה משום שראה את האסון הזה באופק. ייתכן גם </w:t>
      </w:r>
      <w:proofErr w:type="spellStart"/>
      <w:r>
        <w:rPr>
          <w:rtl/>
        </w:rPr>
        <w:t>שהנצי״ב</w:t>
      </w:r>
      <w:proofErr w:type="spellEnd"/>
      <w:r>
        <w:rPr>
          <w:rtl/>
        </w:rPr>
        <w:t xml:space="preserve"> רמז בכך למחלוקת העזה שהתנהלה אז בין תלמידי הישיבה </w:t>
      </w:r>
      <w:r>
        <w:rPr>
          <w:rtl/>
        </w:rPr>
        <w:lastRenderedPageBreak/>
        <w:t xml:space="preserve">בשאלה מי יבוא במקומו של </w:t>
      </w:r>
      <w:proofErr w:type="spellStart"/>
      <w:r>
        <w:rPr>
          <w:rtl/>
        </w:rPr>
        <w:t>הנצי״ב</w:t>
      </w:r>
      <w:proofErr w:type="spellEnd"/>
      <w:r>
        <w:rPr>
          <w:rtl/>
        </w:rPr>
        <w:t xml:space="preserve">, שתכנן לפרוש ולעלות לארץ ישראל. רוב התלמידים רצו שר׳ חיים </w:t>
      </w:r>
      <w:proofErr w:type="spellStart"/>
      <w:r>
        <w:rPr>
          <w:rtl/>
        </w:rPr>
        <w:t>סולובייצ׳יק</w:t>
      </w:r>
      <w:proofErr w:type="spellEnd"/>
      <w:r>
        <w:rPr>
          <w:rtl/>
        </w:rPr>
        <w:t xml:space="preserve"> יחליף את ראש הישיבה הפורש, ולא כרצון </w:t>
      </w:r>
      <w:proofErr w:type="spellStart"/>
      <w:r>
        <w:rPr>
          <w:rtl/>
        </w:rPr>
        <w:t>הנצי״ב</w:t>
      </w:r>
      <w:proofErr w:type="spellEnd"/>
      <w:r>
        <w:rPr>
          <w:rtl/>
        </w:rPr>
        <w:t xml:space="preserve"> שבנו, ר׳ חיים ברלין, יבוא במקומו.</w:t>
      </w:r>
    </w:p>
    <w:p w14:paraId="19E2B83D" w14:textId="760ADEFB" w:rsidR="00AB3647" w:rsidRDefault="00000000" w:rsidP="007923E9">
      <w:pPr>
        <w:spacing w:after="120" w:line="276" w:lineRule="auto"/>
        <w:ind w:firstLine="283"/>
        <w:jc w:val="both"/>
      </w:pPr>
      <w:r>
        <w:rPr>
          <w:rtl/>
        </w:rPr>
        <w:t xml:space="preserve">ייתכן </w:t>
      </w:r>
      <w:proofErr w:type="spellStart"/>
      <w:r>
        <w:rPr>
          <w:rtl/>
        </w:rPr>
        <w:t>שהנצי״ב</w:t>
      </w:r>
      <w:proofErr w:type="spellEnd"/>
      <w:r>
        <w:rPr>
          <w:rtl/>
        </w:rPr>
        <w:t xml:space="preserve"> כיוון את דבריו לאחד משני </w:t>
      </w:r>
      <w:proofErr w:type="spellStart"/>
      <w:r>
        <w:rPr>
          <w:rtl/>
        </w:rPr>
        <w:t>החיימים</w:t>
      </w:r>
      <w:proofErr w:type="spellEnd"/>
      <w:r>
        <w:rPr>
          <w:rtl/>
        </w:rPr>
        <w:t xml:space="preserve"> – שניהם קרויים על שם מייסד ישיבת </w:t>
      </w:r>
      <w:proofErr w:type="spellStart"/>
      <w:r>
        <w:rPr>
          <w:rtl/>
        </w:rPr>
        <w:t>וולוז׳ין</w:t>
      </w:r>
      <w:proofErr w:type="spellEnd"/>
      <w:r>
        <w:rPr>
          <w:rtl/>
        </w:rPr>
        <w:t xml:space="preserve"> – </w:t>
      </w:r>
      <w:proofErr w:type="spellStart"/>
      <w:r>
        <w:rPr>
          <w:rtl/>
        </w:rPr>
        <w:t>לר</w:t>
      </w:r>
      <w:proofErr w:type="spellEnd"/>
      <w:r>
        <w:rPr>
          <w:rtl/>
        </w:rPr>
        <w:t xml:space="preserve">׳ חיים </w:t>
      </w:r>
      <w:proofErr w:type="spellStart"/>
      <w:r>
        <w:rPr>
          <w:rtl/>
        </w:rPr>
        <w:t>סולובייצ׳יק</w:t>
      </w:r>
      <w:proofErr w:type="spellEnd"/>
      <w:r>
        <w:rPr>
          <w:rtl/>
        </w:rPr>
        <w:t xml:space="preserve">, אביו של בחור בר המצווה, או לבנו שלו, שישקול לעבור לאמריקה. לא סביר שכיוון לבנו: לא רק משום שרצה שיישאר </w:t>
      </w:r>
      <w:proofErr w:type="spellStart"/>
      <w:r>
        <w:rPr>
          <w:rtl/>
        </w:rPr>
        <w:t>בוולוז׳ין</w:t>
      </w:r>
      <w:proofErr w:type="spellEnd"/>
      <w:r>
        <w:rPr>
          <w:rtl/>
        </w:rPr>
        <w:t>, אלא גם משום שר׳ חיים ברלין כבר דחה ארבע שנים קודם לכן הצעה להיות הרב הראשי של ניו יורק,</w:t>
      </w:r>
      <w:bookmarkStart w:id="1229" w:name="_fnr726"/>
      <w:r>
        <w:rPr>
          <w:rStyle w:val="a5"/>
        </w:rPr>
        <w:footnoteReference w:id="726" w:customMarkFollows="0"/>
      </w:r>
      <w:bookmarkEnd w:id="1229"/>
      <w:r>
        <w:rPr>
          <w:rtl/>
        </w:rPr>
        <w:t xml:space="preserve"> </w:t>
      </w:r>
      <w:r>
        <w:rPr>
          <w:b/>
          <w:bCs/>
          <w:rtl/>
        </w:rPr>
        <w:t>אחרי שנועץ בעניין באביו</w:t>
      </w:r>
      <w:r>
        <w:rPr>
          <w:rtl/>
        </w:rPr>
        <w:t>!</w:t>
      </w:r>
      <w:bookmarkStart w:id="1230" w:name="_fnr727"/>
      <w:r>
        <w:rPr>
          <w:rStyle w:val="a5"/>
        </w:rPr>
        <w:footnoteReference w:id="727" w:customMarkFollows="0"/>
      </w:r>
      <w:bookmarkEnd w:id="1230"/>
      <w:r>
        <w:rPr>
          <w:rtl/>
        </w:rPr>
        <w:t xml:space="preserve"> נמצא </w:t>
      </w:r>
      <w:proofErr w:type="spellStart"/>
      <w:r>
        <w:rPr>
          <w:rtl/>
        </w:rPr>
        <w:t>שלר</w:t>
      </w:r>
      <w:proofErr w:type="spellEnd"/>
      <w:r>
        <w:rPr>
          <w:rtl/>
        </w:rPr>
        <w:t xml:space="preserve">׳ חיים </w:t>
      </w:r>
      <w:proofErr w:type="spellStart"/>
      <w:r>
        <w:rPr>
          <w:rtl/>
        </w:rPr>
        <w:t>סולובייצ׳יק</w:t>
      </w:r>
      <w:proofErr w:type="spellEnd"/>
      <w:r>
        <w:rPr>
          <w:rtl/>
        </w:rPr>
        <w:t xml:space="preserve"> הראה </w:t>
      </w:r>
      <w:proofErr w:type="spellStart"/>
      <w:r>
        <w:rPr>
          <w:rtl/>
        </w:rPr>
        <w:t>הנצי״ב</w:t>
      </w:r>
      <w:proofErr w:type="spellEnd"/>
      <w:r>
        <w:rPr>
          <w:rtl/>
        </w:rPr>
        <w:t xml:space="preserve"> </w:t>
      </w:r>
      <w:proofErr w:type="spellStart"/>
      <w:r>
        <w:rPr>
          <w:rtl/>
        </w:rPr>
        <w:t>שוולוז׳ין</w:t>
      </w:r>
      <w:proofErr w:type="spellEnd"/>
      <w:r>
        <w:rPr>
          <w:rtl/>
        </w:rPr>
        <w:t xml:space="preserve"> לא תהיה הישיבה הגדולה האחרונה לפני ביאת המשיח. ייתכן שרצה שר׳ חיים </w:t>
      </w:r>
      <w:proofErr w:type="spellStart"/>
      <w:r>
        <w:rPr>
          <w:rtl/>
        </w:rPr>
        <w:t>סולובייצ׳יק</w:t>
      </w:r>
      <w:proofErr w:type="spellEnd"/>
      <w:r>
        <w:rPr>
          <w:rtl/>
        </w:rPr>
        <w:t xml:space="preserve"> ישקול חלופה למשרה שחלק גדול מתלמידי </w:t>
      </w:r>
      <w:proofErr w:type="spellStart"/>
      <w:r>
        <w:rPr>
          <w:rtl/>
        </w:rPr>
        <w:t>וולוז׳ין</w:t>
      </w:r>
      <w:proofErr w:type="spellEnd"/>
      <w:r>
        <w:rPr>
          <w:rtl/>
        </w:rPr>
        <w:t xml:space="preserve"> פעלו להושיבו בה. השווה פרק 3, </w:t>
      </w:r>
      <w:r>
        <w:rPr>
          <w:rtl/>
        </w:rPr>
        <w:fldChar w:fldCharType="begin" w:dirty="true"/>
      </w:r>
      <w:r>
        <w:rPr>
          <w:rtl/>
        </w:rPr>
        <w:instrText xml:space="preserve"> REF b3_excK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יא</w:t>
      </w:r>
      <w:r>
        <w:rPr>
          <w:rtl/>
        </w:rPr>
        <w:fldChar w:fldCharType="end"/>
      </w:r>
      <w:r>
        <w:rPr>
          <w:rtl/>
        </w:rPr>
        <w:t>, ושם דעתי על מחלוקת זו ועל הקשר בינה לבין סגירת הישיבה. והשווה גם פרק 4, הפסקה החמישית ב</w:t>
      </w:r>
      <w:r>
        <w:rPr>
          <w:rtl/>
        </w:rPr>
        <w:fldChar w:fldCharType="begin" w:dirty="true"/>
      </w:r>
      <w:r>
        <w:rPr>
          <w:rtl/>
        </w:rPr>
        <w:instrText xml:space="preserve"> REF b4_excI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xml:space="preserve">, שר׳ חיים </w:t>
      </w:r>
      <w:proofErr w:type="spellStart"/>
      <w:r>
        <w:rPr>
          <w:rtl/>
        </w:rPr>
        <w:t>סולובייצ׳יק</w:t>
      </w:r>
      <w:proofErr w:type="spellEnd"/>
      <w:r>
        <w:rPr>
          <w:rtl/>
        </w:rPr>
        <w:t xml:space="preserve"> אכן סבר, אם כי עשרים ואחת שנה לאחר מכן, שתלמידי חכמים בעלי יכולת צריכים לעבור לאמריקה, שכבר הוצפה אז במהגרים יהודים.</w:t>
      </w:r>
    </w:p>
    <w:p w14:paraId="29C2C824" w14:textId="77777777" w:rsidR="00AB3647" w:rsidRDefault="00000000" w:rsidP="007923E9">
      <w:pPr>
        <w:spacing w:after="120" w:line="276" w:lineRule="auto"/>
        <w:ind w:firstLine="283"/>
        <w:jc w:val="both"/>
      </w:pPr>
      <w:r>
        <w:rPr>
          <w:rtl/>
        </w:rPr>
        <w:t xml:space="preserve">ייתכן גם </w:t>
      </w:r>
      <w:proofErr w:type="spellStart"/>
      <w:r>
        <w:rPr>
          <w:rtl/>
        </w:rPr>
        <w:t>שהנצי״ב</w:t>
      </w:r>
      <w:proofErr w:type="spellEnd"/>
      <w:r>
        <w:rPr>
          <w:rtl/>
        </w:rPr>
        <w:t xml:space="preserve"> הזכיר את נבואתו של ר׳ חיים </w:t>
      </w:r>
      <w:proofErr w:type="spellStart"/>
      <w:r>
        <w:rPr>
          <w:rtl/>
        </w:rPr>
        <w:t>מוולוז׳ין</w:t>
      </w:r>
      <w:proofErr w:type="spellEnd"/>
      <w:r>
        <w:rPr>
          <w:rtl/>
        </w:rPr>
        <w:t xml:space="preserve"> בהקשר של מוסר השכל לנער בר המצווה על חשיבות לימוד התורה בלי הפסק. ראה “אבי הישיבות”,</w:t>
      </w:r>
      <w:bookmarkStart w:id="1231" w:name="_fnr728"/>
      <w:r>
        <w:rPr>
          <w:rStyle w:val="a5"/>
        </w:rPr>
        <w:footnoteReference w:id="728" w:customMarkFollows="0"/>
      </w:r>
      <w:bookmarkEnd w:id="1231"/>
      <w:r>
        <w:rPr>
          <w:rtl/>
        </w:rPr>
        <w:t xml:space="preserve"> הקושר את “גילוי אמריקה ו</w:t>
      </w:r>
      <w:r>
        <w:rPr>
          <w:b/>
          <w:bCs/>
          <w:rtl/>
        </w:rPr>
        <w:t>מעבר התורה לעולם החדש</w:t>
      </w:r>
      <w:r>
        <w:rPr>
          <w:rtl/>
        </w:rPr>
        <w:t xml:space="preserve">” לכך שעצם קיומו של העולם תלוי בלימוד התורה בכל רגע ביום ובלילה, במקום כלשהו על פני הכדור. ר׳ חיים </w:t>
      </w:r>
      <w:proofErr w:type="spellStart"/>
      <w:r>
        <w:rPr>
          <w:rtl/>
        </w:rPr>
        <w:t>מוולוז׳ין</w:t>
      </w:r>
      <w:proofErr w:type="spellEnd"/>
      <w:r>
        <w:rPr>
          <w:rtl/>
        </w:rPr>
        <w:t xml:space="preserve"> הפיץ רעיון זה בספרו “נפש החיים”.</w:t>
      </w:r>
      <w:bookmarkStart w:id="1232" w:name="_fnr729"/>
      <w:r>
        <w:rPr>
          <w:rStyle w:val="a5"/>
        </w:rPr>
        <w:footnoteReference w:id="729" w:customMarkFollows="0"/>
      </w:r>
      <w:bookmarkEnd w:id="1232"/>
    </w:p>
    <w:p w14:paraId="3084C799" w14:textId="1A1935FA" w:rsidR="00AB3647" w:rsidRDefault="00000000" w:rsidP="007923E9">
      <w:pPr>
        <w:spacing w:after="120" w:line="276" w:lineRule="auto"/>
        <w:ind w:firstLine="283"/>
        <w:jc w:val="both"/>
      </w:pPr>
      <w:r>
        <w:rPr>
          <w:rtl/>
        </w:rPr>
        <w:t>והשווה גם פרק 4, אמצע הפסקה הראשונה ב</w:t>
      </w:r>
      <w:r>
        <w:rPr>
          <w:rtl/>
        </w:rPr>
        <w:fldChar w:fldCharType="begin" w:dirty="true"/>
      </w:r>
      <w:r>
        <w:rPr>
          <w:rtl/>
        </w:rPr>
        <w:instrText xml:space="preserve"> REF b4_excQ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יז</w:t>
      </w:r>
      <w:proofErr w:type="spellEnd"/>
      <w:r>
        <w:rPr>
          <w:rtl/>
        </w:rPr>
        <w:fldChar w:fldCharType="end"/>
      </w:r>
      <w:r>
        <w:rPr>
          <w:rtl/>
        </w:rPr>
        <w:t xml:space="preserve">, בעניין ברכתו של ר׳ חיים </w:t>
      </w:r>
      <w:proofErr w:type="spellStart"/>
      <w:r>
        <w:rPr>
          <w:rtl/>
        </w:rPr>
        <w:t>מוולוז׳ין</w:t>
      </w:r>
      <w:proofErr w:type="spellEnd"/>
      <w:r>
        <w:rPr>
          <w:rtl/>
        </w:rPr>
        <w:t xml:space="preserve"> </w:t>
      </w:r>
      <w:proofErr w:type="spellStart"/>
      <w:r>
        <w:rPr>
          <w:rtl/>
        </w:rPr>
        <w:t>לר</w:t>
      </w:r>
      <w:proofErr w:type="spellEnd"/>
      <w:r>
        <w:rPr>
          <w:rtl/>
        </w:rPr>
        <w:t xml:space="preserve">׳ </w:t>
      </w:r>
      <w:proofErr w:type="spellStart"/>
      <w:r>
        <w:rPr>
          <w:rtl/>
        </w:rPr>
        <w:t>דוד־טעביל</w:t>
      </w:r>
      <w:proofErr w:type="spellEnd"/>
      <w:r>
        <w:rPr>
          <w:rtl/>
        </w:rPr>
        <w:t xml:space="preserve"> שיהיה ברבות הימים רב בעיר בירה של פלך. ייתכן מאוד </w:t>
      </w:r>
      <w:proofErr w:type="spellStart"/>
      <w:r>
        <w:rPr>
          <w:rtl/>
        </w:rPr>
        <w:t>שחכמתו</w:t>
      </w:r>
      <w:proofErr w:type="spellEnd"/>
      <w:r>
        <w:rPr>
          <w:rtl/>
        </w:rPr>
        <w:t xml:space="preserve"> של ר׳ חיים אמרה לו שרק עיר במעמד של בירת פלך תגלה די ביטחון עצמי לוותר על הזוהר החיצוני שבהעמדת נואם מזהיר כרבה, לטובת גדול התורה המובהק שהיה ר׳ </w:t>
      </w:r>
      <w:proofErr w:type="spellStart"/>
      <w:r>
        <w:rPr>
          <w:rtl/>
        </w:rPr>
        <w:t>דוד־טעביל</w:t>
      </w:r>
      <w:proofErr w:type="spellEnd"/>
      <w:r>
        <w:rPr>
          <w:rtl/>
        </w:rPr>
        <w:t>.</w:t>
      </w:r>
      <w:bookmarkStart w:id="1233" w:name="_fnr730"/>
      <w:r>
        <w:rPr>
          <w:rStyle w:val="a5"/>
        </w:rPr>
        <w:footnoteReference w:id="730" w:customMarkFollows="0"/>
      </w:r>
      <w:bookmarkEnd w:id="1233"/>
    </w:p>
    <w:p w14:paraId="70EA0D19" w14:textId="77777777" w:rsidR="00AB3647" w:rsidRDefault="00000000" w:rsidP="007923E9">
      <w:pPr>
        <w:pStyle w:val="4"/>
        <w:spacing w:line="276" w:lineRule="auto"/>
      </w:pPr>
      <w:r>
        <w:t>· הפסקה השלישית ·</w:t>
      </w:r>
    </w:p>
    <w:p w14:paraId="5E057416" w14:textId="77777777" w:rsidR="00AB3647" w:rsidRDefault="00000000" w:rsidP="007923E9">
      <w:pPr>
        <w:pStyle w:val="5"/>
        <w:spacing w:line="276" w:lineRule="auto"/>
      </w:pPr>
      <w:r>
        <w:t>וילנה פתוחה להשכלה יותר ממינסק</w:t>
      </w:r>
    </w:p>
    <w:p w14:paraId="12436183" w14:textId="77777777" w:rsidR="00AB3647" w:rsidRDefault="00000000" w:rsidP="007923E9">
      <w:pPr>
        <w:spacing w:after="120" w:line="276" w:lineRule="auto"/>
        <w:ind w:firstLine="283"/>
        <w:jc w:val="both"/>
      </w:pPr>
      <w:r>
        <w:rPr>
          <w:rtl/>
        </w:rPr>
        <w:t xml:space="preserve">באופן כללי, וילנה הייתה עיר של עילית, ובה אנשי רוח רבים, ואילו מינסק הייתה עיר של המונים. ההשכלה, ועמה ההתבוללות שבאה בעקבותיה, חדרה לווילנה הרבה יותר מאשר למינסק.</w:t>
      </w:r>
    </w:p>
    <w:p w14:paraId="3E00992F" w14:textId="77777777" w:rsidR="00AB3647" w:rsidRDefault="00000000" w:rsidP="007923E9">
      <w:pPr>
        <w:spacing w:after="120" w:line="276" w:lineRule="auto"/>
        <w:ind w:firstLine="283"/>
        <w:jc w:val="both"/>
      </w:pPr>
      <w:r>
        <w:rPr>
          <w:rtl/>
        </w:rPr>
        <w:lastRenderedPageBreak/>
        <w:t xml:space="preserve">“מקס </w:t>
      </w:r>
      <w:proofErr w:type="spellStart"/>
      <w:r>
        <w:rPr>
          <w:rtl/>
        </w:rPr>
        <w:t>ליליינטל</w:t>
      </w:r>
      <w:proofErr w:type="spellEnd"/>
      <w:r>
        <w:rPr>
          <w:rtl/>
        </w:rPr>
        <w:t xml:space="preserve">: רב אמריקאי”, מאת דוד </w:t>
      </w:r>
      <w:proofErr w:type="spellStart"/>
      <w:r>
        <w:rPr>
          <w:rtl/>
        </w:rPr>
        <w:t>פיליפסון</w:t>
      </w:r>
      <w:proofErr w:type="spellEnd"/>
      <w:r>
        <w:rPr>
          <w:rtl/>
        </w:rPr>
        <w:t>,</w:t>
      </w:r>
      <w:bookmarkStart w:id="1234" w:name="_fnr731"/>
      <w:r>
        <w:rPr>
          <w:rStyle w:val="a5"/>
        </w:rPr>
        <w:footnoteReference w:id="731" w:customMarkFollows="0"/>
      </w:r>
      <w:bookmarkEnd w:id="1234"/>
      <w:r>
        <w:rPr>
          <w:rtl/>
        </w:rPr>
        <w:t xml:space="preserve"> המצטט את יומנו של </w:t>
      </w:r>
      <w:proofErr w:type="spellStart"/>
      <w:r>
        <w:rPr>
          <w:rtl/>
        </w:rPr>
        <w:t>ליליינטל</w:t>
      </w:r>
      <w:proofErr w:type="spellEnd"/>
      <w:r>
        <w:rPr>
          <w:rtl/>
        </w:rPr>
        <w:t>,</w:t>
      </w:r>
      <w:bookmarkStart w:id="1235" w:name="_fnr732"/>
      <w:r>
        <w:rPr>
          <w:rStyle w:val="a5"/>
        </w:rPr>
        <w:footnoteReference w:id="732" w:customMarkFollows="0"/>
      </w:r>
      <w:bookmarkEnd w:id="1235"/>
      <w:r>
        <w:rPr>
          <w:rtl/>
        </w:rPr>
        <w:t xml:space="preserve"> מספר שבשנת תר״א הטיל עליו הרוזן סרגיי </w:t>
      </w:r>
      <w:proofErr w:type="spellStart"/>
      <w:r>
        <w:rPr>
          <w:rtl/>
        </w:rPr>
        <w:t>אוברוב</w:t>
      </w:r>
      <w:proofErr w:type="spellEnd"/>
      <w:r>
        <w:rPr>
          <w:rtl/>
        </w:rPr>
        <w:t xml:space="preserve">, שר ההשכלה בממשלת רוסיה, לשכנע את היהודים “לשפץ” את מערכת החינוך שלהם. ד״ר </w:t>
      </w:r>
      <w:proofErr w:type="spellStart"/>
      <w:r>
        <w:rPr>
          <w:rtl/>
        </w:rPr>
        <w:t>ליליינטל</w:t>
      </w:r>
      <w:proofErr w:type="spellEnd"/>
      <w:r>
        <w:rPr>
          <w:rtl/>
        </w:rPr>
        <w:t xml:space="preserve"> כיהן כדרשן וכמנהל בית ספר יהודי בריגה מאז ת״ר, ומינויו הממשלתי הביא אותו משם לבקר הן בווילנה הן במינסק. יליד מינכן זה</w:t>
      </w:r>
      <w:bookmarkStart w:id="1236" w:name="_fnr733"/>
      <w:r>
        <w:rPr>
          <w:rStyle w:val="a5"/>
        </w:rPr>
        <w:footnoteReference w:id="733" w:customMarkFollows="0"/>
      </w:r>
      <w:bookmarkEnd w:id="1236"/>
      <w:r>
        <w:rPr>
          <w:rtl/>
        </w:rPr>
        <w:t xml:space="preserve"> תיאר את ההבדל בין שתי הערים כך:</w:t>
      </w:r>
      <w:bookmarkStart w:id="1237" w:name="_fnr734"/>
      <w:r>
        <w:rPr>
          <w:rStyle w:val="a5"/>
        </w:rPr>
        <w:footnoteReference w:id="734" w:customMarkFollows="0"/>
      </w:r>
      <w:bookmarkEnd w:id="1237"/>
      <w:r>
        <w:rPr>
          <w:rtl/>
        </w:rPr>
        <w:t xml:space="preserve"> “מינסק הייתה אחד ממבצרי </w:t>
      </w:r>
      <w:proofErr w:type="spellStart"/>
      <w:r>
        <w:rPr>
          <w:rtl/>
        </w:rPr>
        <w:t>הרבניזם</w:t>
      </w:r>
      <w:proofErr w:type="spellEnd"/>
      <w:r>
        <w:rPr>
          <w:rtl/>
        </w:rPr>
        <w:t xml:space="preserve"> ברוסיה. קרני הציוויליזציה[!] הראשונות עוד לא החלו להפציע על קהילה זו. בשעה שבווילנה היו מאות צעירים בקיאים בספרות החדשה ותומכים בתיקון שיטות החינוך, במינסק לא נמצאו אפילו עשרה הנוטים לקדם את העניין שאני עמל למענו.”</w:t>
      </w:r>
    </w:p>
    <w:p w14:paraId="38017B90" w14:textId="77777777" w:rsidR="00AB3647" w:rsidRDefault="00000000" w:rsidP="007923E9">
      <w:pPr>
        <w:pStyle w:val="4"/>
        <w:spacing w:line="276" w:lineRule="auto"/>
      </w:pPr>
      <w:r>
        <w:t>· הפסקה הרביעית ·</w:t>
      </w:r>
    </w:p>
    <w:p w14:paraId="2BEE14D6" w14:textId="77777777" w:rsidR="00AB3647" w:rsidRDefault="00000000" w:rsidP="007923E9">
      <w:pPr>
        <w:pStyle w:val="5"/>
        <w:spacing w:line="276" w:lineRule="auto"/>
      </w:pPr>
      <w:r>
        <w:t xml:space="preserve">רבנו מדבר על מקס </w:t>
      </w:r>
      <w:proofErr w:type="spellStart"/>
      <w:r>
        <w:t>ליליינטל</w:t>
      </w:r>
      <w:proofErr w:type="spellEnd"/>
      <w:r>
        <w:t xml:space="preserve"> – כיצד השיג </w:t>
      </w:r>
      <w:proofErr w:type="spellStart"/>
      <w:r>
        <w:t>ליליינטל</w:t>
      </w:r>
      <w:proofErr w:type="spellEnd"/>
      <w:r>
        <w:t xml:space="preserve"> את המינוי בריגה – משרד ההשכלה הרוסי מטיל עליו שליחות</w:t>
      </w:r>
    </w:p>
    <w:p w14:paraId="67A22131" w14:textId="77777777" w:rsidR="00AB3647" w:rsidRDefault="00000000" w:rsidP="007923E9">
      <w:pPr>
        <w:spacing w:after="120" w:line="276" w:lineRule="auto"/>
        <w:ind w:firstLine="283"/>
        <w:jc w:val="both"/>
      </w:pPr>
      <w:r>
        <w:rPr>
          <w:rtl/>
        </w:rPr>
        <w:t xml:space="preserve">בפלורידה, בשנת תשכ״ו, ביקר אבי עם ר׳ אשר </w:t>
      </w:r>
      <w:proofErr w:type="spellStart"/>
      <w:r>
        <w:rPr>
          <w:rtl/>
        </w:rPr>
        <w:t>קצמן</w:t>
      </w:r>
      <w:bookmarkStart w:id="1238" w:name="_fnr735"/>
      <w:proofErr w:type="spellEnd"/>
      <w:r>
        <w:rPr>
          <w:rStyle w:val="a5"/>
        </w:rPr>
        <w:footnoteReference w:id="735" w:customMarkFollows="0"/>
      </w:r>
      <w:bookmarkEnd w:id="1238"/>
      <w:r>
        <w:rPr>
          <w:rtl/>
        </w:rPr>
        <w:t xml:space="preserve"> אצל האדמו״ר </w:t>
      </w:r>
      <w:proofErr w:type="spellStart"/>
      <w:r>
        <w:rPr>
          <w:rtl/>
        </w:rPr>
        <w:t>מבויאן</w:t>
      </w:r>
      <w:proofErr w:type="spellEnd"/>
      <w:r>
        <w:rPr>
          <w:rtl/>
        </w:rPr>
        <w:t xml:space="preserve">, ר׳ </w:t>
      </w:r>
      <w:proofErr w:type="spellStart"/>
      <w:r>
        <w:rPr>
          <w:rtl/>
        </w:rPr>
        <w:t>מרדכי־שלמה</w:t>
      </w:r>
      <w:proofErr w:type="spellEnd"/>
      <w:r>
        <w:rPr>
          <w:rtl/>
        </w:rPr>
        <w:t xml:space="preserve"> פרידמן, וגילה שם דבר חדש על ד״ר מקס </w:t>
      </w:r>
      <w:proofErr w:type="spellStart"/>
      <w:r>
        <w:rPr>
          <w:rtl/>
        </w:rPr>
        <w:t>ליליינטל</w:t>
      </w:r>
      <w:proofErr w:type="spellEnd"/>
      <w:r>
        <w:rPr>
          <w:rtl/>
        </w:rPr>
        <w:t>.</w:t>
      </w:r>
      <w:bookmarkStart w:id="1239" w:name="_fnr736"/>
      <w:r>
        <w:rPr>
          <w:rStyle w:val="a5"/>
        </w:rPr>
        <w:footnoteReference w:id="736" w:customMarkFollows="0"/>
      </w:r>
      <w:bookmarkEnd w:id="1239"/>
      <w:r>
        <w:rPr>
          <w:rtl/>
        </w:rPr>
        <w:t xml:space="preserve"> וכך אמר: “כאשר ד״ר מקס </w:t>
      </w:r>
      <w:proofErr w:type="spellStart"/>
      <w:r>
        <w:rPr>
          <w:rtl/>
        </w:rPr>
        <w:t>ליליינטל</w:t>
      </w:r>
      <w:proofErr w:type="spellEnd"/>
      <w:r>
        <w:rPr>
          <w:rtl/>
        </w:rPr>
        <w:t xml:space="preserve">, מקורב למלכות, הציע שהישיבות יוסיפו לתוכניתן שעתיים של לימודי חול, קם רב זקן” – אבי לא נקב בשמו – “ואמר: ‘אלף שנה לא היה לנו דבר כזה, ואין לנו צורך </w:t>
      </w:r>
      <w:proofErr w:type="spellStart"/>
      <w:r>
        <w:rPr>
          <w:rtl/>
        </w:rPr>
        <w:t>בנייע</w:t>
      </w:r>
      <w:proofErr w:type="spellEnd"/>
      <w:r>
        <w:rPr>
          <w:rtl/>
        </w:rPr>
        <w:t xml:space="preserve"> מנהגים [מנהגים חדשים]’.” ייתכן שהרב הזקן לא היה אלא מרא דאתרא של מינסק בשעת פלישתו של </w:t>
      </w:r>
      <w:proofErr w:type="spellStart"/>
      <w:r>
        <w:rPr>
          <w:rtl/>
        </w:rPr>
        <w:t>ליליינטל</w:t>
      </w:r>
      <w:proofErr w:type="spellEnd"/>
      <w:r>
        <w:rPr>
          <w:rtl/>
        </w:rPr>
        <w:t xml:space="preserve">, ר׳ לייב </w:t>
      </w:r>
      <w:proofErr w:type="spellStart"/>
      <w:r>
        <w:rPr>
          <w:rtl/>
        </w:rPr>
        <w:t>דבוטין</w:t>
      </w:r>
      <w:proofErr w:type="spellEnd"/>
      <w:r>
        <w:rPr>
          <w:rtl/>
        </w:rPr>
        <w:t xml:space="preserve">, שכיהן </w:t>
      </w:r>
      <w:proofErr w:type="spellStart"/>
      <w:r>
        <w:rPr>
          <w:rtl/>
        </w:rPr>
        <w:t>מתקצ״ו</w:t>
      </w:r>
      <w:proofErr w:type="spellEnd"/>
      <w:r>
        <w:rPr>
          <w:rtl/>
        </w:rPr>
        <w:t xml:space="preserve">. בשנת תר״ט, מחמת זקנה, מסר את כס הרבנות לממלא מקומו, ר׳ </w:t>
      </w:r>
      <w:proofErr w:type="spellStart"/>
      <w:r>
        <w:rPr>
          <w:rtl/>
        </w:rPr>
        <w:t>דוד־טעביל</w:t>
      </w:r>
      <w:proofErr w:type="spellEnd"/>
      <w:r>
        <w:rPr>
          <w:rtl/>
        </w:rPr>
        <w:t>.</w:t>
      </w:r>
      <w:bookmarkStart w:id="1240" w:name="_fnr737"/>
      <w:r>
        <w:rPr>
          <w:rStyle w:val="a5"/>
        </w:rPr>
        <w:footnoteReference w:id="737" w:customMarkFollows="0"/>
      </w:r>
      <w:bookmarkEnd w:id="1240"/>
    </w:p>
    <w:p w14:paraId="51E051A1" w14:textId="77777777" w:rsidR="00AB3647" w:rsidRDefault="00000000" w:rsidP="007923E9">
      <w:pPr>
        <w:spacing w:after="120" w:line="276" w:lineRule="auto"/>
        <w:ind w:firstLine="283"/>
        <w:jc w:val="both"/>
      </w:pPr>
      <w:r>
        <w:rPr>
          <w:rtl/>
        </w:rPr>
        <w:t xml:space="preserve">את ראשית פרשת </w:t>
      </w:r>
      <w:proofErr w:type="spellStart"/>
      <w:r>
        <w:rPr>
          <w:rtl/>
        </w:rPr>
        <w:t>ליליינטל</w:t>
      </w:r>
      <w:proofErr w:type="spellEnd"/>
      <w:r>
        <w:rPr>
          <w:rtl/>
        </w:rPr>
        <w:t xml:space="preserve"> אפשר למצוא </w:t>
      </w:r>
      <w:proofErr w:type="spellStart"/>
      <w:r>
        <w:rPr>
          <w:rtl/>
        </w:rPr>
        <w:t>ב“מקור</w:t>
      </w:r>
      <w:proofErr w:type="spellEnd"/>
      <w:r>
        <w:rPr>
          <w:rtl/>
        </w:rPr>
        <w:t xml:space="preserve"> ברוך”</w:t>
      </w:r>
      <w:bookmarkStart w:id="1241" w:name="_fnr738"/>
      <w:r>
        <w:rPr>
          <w:rStyle w:val="a5"/>
        </w:rPr>
        <w:footnoteReference w:id="738" w:customMarkFollows="0"/>
      </w:r>
      <w:bookmarkEnd w:id="1241"/>
      <w:r>
        <w:rPr>
          <w:rtl/>
        </w:rPr>
        <w:t xml:space="preserve"> מאת ברוך הלוי אפשטיין. הוא מספר</w:t>
      </w:r>
      <w:bookmarkStart w:id="1242" w:name="_fnr739"/>
      <w:r>
        <w:rPr>
          <w:rStyle w:val="a5"/>
        </w:rPr>
        <w:footnoteReference w:id="739" w:customMarkFollows="0"/>
      </w:r>
      <w:bookmarkEnd w:id="1242"/>
      <w:r>
        <w:rPr>
          <w:rtl/>
        </w:rPr>
        <w:t xml:space="preserve"> שמקס </w:t>
      </w:r>
      <w:proofErr w:type="spellStart"/>
      <w:r>
        <w:rPr>
          <w:rtl/>
        </w:rPr>
        <w:t>ליליינטל</w:t>
      </w:r>
      <w:proofErr w:type="spellEnd"/>
      <w:r>
        <w:rPr>
          <w:rtl/>
        </w:rPr>
        <w:t xml:space="preserve"> הכיר בני משפחת המלוכה הרוסית שלמדו במינכן, והם ביקשו מחתן הצאר, </w:t>
      </w:r>
      <w:proofErr w:type="spellStart"/>
      <w:r>
        <w:rPr>
          <w:rtl/>
        </w:rPr>
        <w:t>מקסימיליאן</w:t>
      </w:r>
      <w:proofErr w:type="spellEnd"/>
      <w:r>
        <w:rPr>
          <w:rtl/>
        </w:rPr>
        <w:t xml:space="preserve">, דוכס </w:t>
      </w:r>
      <w:proofErr w:type="spellStart"/>
      <w:r>
        <w:rPr>
          <w:rtl/>
        </w:rPr>
        <w:t>לויכטנברג</w:t>
      </w:r>
      <w:proofErr w:type="spellEnd"/>
      <w:r>
        <w:rPr>
          <w:rtl/>
        </w:rPr>
        <w:t xml:space="preserve"> מבוואריה, לכתוב מכתב המלצה על ליליינטל</w:t>
      </w:r>
      <w:proofErr w:type="spellStart"/>
      <w:r>
        <w:rPr>
          <w:rtl/>
        </w:rPr>
        <w:t xml:space="preserve"/>
      </w:r>
      <w:proofErr w:type="spellEnd"/>
      <w:r>
        <w:rPr>
          <w:rtl/>
        </w:rPr>
        <w:t xml:space="preserve"> אל פקידים בבירת רוסיה, </w:t>
      </w:r>
      <w:proofErr w:type="spellStart"/>
      <w:r>
        <w:rPr>
          <w:rtl/>
        </w:rPr>
        <w:t>סנקט</w:t>
      </w:r>
      <w:proofErr w:type="spellEnd"/>
      <w:r>
        <w:rPr>
          <w:rtl/>
        </w:rPr>
        <w:t xml:space="preserve"> פטרבורג. ברוסיה הצארית הרודנית סלל מכתב כזה את הדרך למינוי כשתיקרה ההזדמנות.</w:t>
      </w:r>
    </w:p>
    <w:p w14:paraId="25A87EDB" w14:textId="77777777" w:rsidR="00AB3647" w:rsidRDefault="00000000" w:rsidP="007923E9">
      <w:pPr>
        <w:spacing w:after="120" w:line="276" w:lineRule="auto"/>
        <w:ind w:firstLine="283"/>
        <w:jc w:val="both"/>
      </w:pPr>
      <w:r>
        <w:rPr>
          <w:rtl/>
        </w:rPr>
        <w:t>“הצאר ניקולאי הראשון והיהודים”, מאת מיכאל סטניסלבסקי,</w:t>
      </w:r>
      <w:bookmarkStart w:id="1243" w:name="_fnr740"/>
      <w:r>
        <w:rPr>
          <w:rStyle w:val="a5"/>
        </w:rPr>
        <w:footnoteReference w:id="740" w:customMarkFollows="0"/>
      </w:r>
      <w:bookmarkEnd w:id="1243"/>
      <w:r>
        <w:rPr>
          <w:rtl/>
        </w:rPr>
        <w:t xml:space="preserve"> מגלה </w:t>
      </w:r>
      <w:proofErr w:type="spellStart"/>
      <w:r>
        <w:rPr>
          <w:rtl/>
        </w:rPr>
        <w:t>שליליינטל</w:t>
      </w:r>
      <w:proofErr w:type="spellEnd"/>
      <w:r>
        <w:rPr>
          <w:rtl/>
        </w:rPr>
        <w:t xml:space="preserve"> “ביקש להתמנות לרב בכמה קהילות אך נדחה בגלל אהדתו הידועה לזרם הרפורמה, (שהיה) אז שנוא </w:t>
      </w:r>
      <w:r>
        <w:rPr>
          <w:rtl/>
        </w:rPr>
        <w:lastRenderedPageBreak/>
        <w:t>על השלטונות בבוואריה”,</w:t>
      </w:r>
      <w:bookmarkStart w:id="1244" w:name="_fnr741"/>
      <w:r>
        <w:rPr>
          <w:rStyle w:val="a5"/>
        </w:rPr>
        <w:footnoteReference w:id="741" w:customMarkFollows="0"/>
      </w:r>
      <w:bookmarkEnd w:id="1244"/>
      <w:r>
        <w:rPr>
          <w:rtl/>
        </w:rPr>
        <w:t xml:space="preserve"> ובבוא העת נעשה מנהל בית ספר יהודי בריגה, שהייתה אז חלק מרוסיה, בשנת תקצ״ח</w:t>
      </w:r>
      <w:bookmarkStart w:id="1245" w:name="_fnr742"/>
      <w:bookmarkEnd w:id="1245"/>
      <w:r>
        <w:rPr>
          <w:rStyle w:val="a5"/>
        </w:rPr>
        <w:t/>
      </w:r>
      <w:bookmarkStart w:id="7001" w:name="_TranslatorNote_5372"/>
      <w:r>
        <w:rPr>
          <w:rStyle w:val="a5"/>
          <w:vertAlign w:val="superscript"/>
          <w:rtl/>
        </w:rPr>
        <w:footnoteReference w:id="742" w:customMarkFollows="1"/>
        <w:t>*</w:t>
      </w:r>
      <w:bookmarkEnd w:id="7001"/>
      <w:r>
        <w:rPr>
          <w:rtl/>
        </w:rPr>
        <w:t>.</w:t>
      </w:r>
      <w:bookmarkStart w:id="1246" w:name="_fnr743"/>
      <w:r>
        <w:rPr>
          <w:rStyle w:val="a5"/>
        </w:rPr>
        <w:footnoteReference w:id="743" w:customMarkFollows="0"/>
      </w:r>
      <w:bookmarkEnd w:id="1246"/>
      <w:r>
        <w:rPr>
          <w:rtl/>
        </w:rPr>
        <w:t xml:space="preserve"> לפי אנציקלופדיה יודאיקה</w:t>
      </w:r>
      <w:bookmarkStart w:id="1247" w:name="_fnr744"/>
      <w:r>
        <w:rPr>
          <w:rStyle w:val="a5"/>
        </w:rPr>
        <w:footnoteReference w:id="744" w:customMarkFollows="0"/>
      </w:r>
      <w:bookmarkEnd w:id="1247"/>
      <w:r>
        <w:rPr>
          <w:rtl/>
        </w:rPr>
        <w:t xml:space="preserve"> דרש גם בגרמנית בבית הכנסת של ריגה. למשרה המליץ עליו לודוויג </w:t>
      </w:r>
      <w:proofErr w:type="spellStart"/>
      <w:r>
        <w:rPr>
          <w:rtl/>
        </w:rPr>
        <w:t>פיליפסון</w:t>
      </w:r>
      <w:proofErr w:type="spellEnd"/>
      <w:r>
        <w:rPr>
          <w:rtl/>
        </w:rPr>
        <w:t xml:space="preserve"> (תקע״א–תרמ״ט), מייסדו ועורכו של </w:t>
      </w:r>
      <w:proofErr w:type="spellStart"/>
      <w:r>
        <w:rPr>
          <w:rtl/>
        </w:rPr>
        <w:t>האלגמיינע</w:t>
      </w:r>
      <w:proofErr w:type="spellEnd"/>
      <w:r>
        <w:rPr>
          <w:rtl/>
        </w:rPr>
        <w:t xml:space="preserve"> </w:t>
      </w:r>
      <w:proofErr w:type="spellStart"/>
      <w:r>
        <w:rPr>
          <w:rtl/>
        </w:rPr>
        <w:t>צייטונג</w:t>
      </w:r>
      <w:proofErr w:type="spellEnd"/>
      <w:r>
        <w:rPr>
          <w:rtl/>
        </w:rPr>
        <w:t xml:space="preserve"> </w:t>
      </w:r>
      <w:proofErr w:type="spellStart"/>
      <w:r>
        <w:rPr>
          <w:rtl/>
        </w:rPr>
        <w:t>דעס</w:t>
      </w:r>
      <w:proofErr w:type="spellEnd"/>
      <w:r>
        <w:rPr>
          <w:rtl/>
        </w:rPr>
        <w:t xml:space="preserve"> </w:t>
      </w:r>
      <w:proofErr w:type="spellStart"/>
      <w:r>
        <w:rPr>
          <w:rtl/>
        </w:rPr>
        <w:t>יודנטומס</w:t>
      </w:r>
      <w:proofErr w:type="spellEnd"/>
      <w:r>
        <w:rPr>
          <w:rtl/>
        </w:rPr>
        <w:t>.</w:t>
      </w:r>
      <w:bookmarkStart w:id="1248" w:name="_fnr745"/>
      <w:r>
        <w:rPr>
          <w:rStyle w:val="a5"/>
        </w:rPr>
        <w:footnoteReference w:id="745" w:customMarkFollows="0"/>
      </w:r>
      <w:bookmarkEnd w:id="1248"/>
      <w:bookmarkStart w:id="7002" w:name="_TranslatorNote_5373"/>
      <w:r>
        <w:rPr>
          <w:rStyle w:val="a5"/>
          <w:vertAlign w:val="superscript"/>
          <w:rtl/>
        </w:rPr>
        <w:footnoteReference w:id="746" w:customMarkFollows="1"/>
        <w:t>*</w:t>
      </w:r>
      <w:bookmarkEnd w:id="7002"/>
    </w:p>
    <w:p w14:paraId="4C176A94" w14:textId="77777777" w:rsidR="00AB3647" w:rsidRDefault="00000000" w:rsidP="007923E9">
      <w:pPr>
        <w:spacing w:after="120" w:line="276" w:lineRule="auto"/>
        <w:ind w:firstLine="283"/>
        <w:jc w:val="both"/>
      </w:pPr>
      <w:r>
        <w:rPr>
          <w:rtl/>
        </w:rPr>
        <w:t xml:space="preserve">בשנת תר״א הטיל השר </w:t>
      </w:r>
      <w:proofErr w:type="spellStart"/>
      <w:r>
        <w:rPr>
          <w:rtl/>
        </w:rPr>
        <w:t>אוברוב</w:t>
      </w:r>
      <w:proofErr w:type="spellEnd"/>
      <w:r>
        <w:rPr>
          <w:rtl/>
        </w:rPr>
        <w:t>, שלמד במערב אירופה ונחשב לאיש תרבות,</w:t>
      </w:r>
      <w:bookmarkStart w:id="1249" w:name="_fnr746"/>
      <w:r>
        <w:rPr>
          <w:rStyle w:val="a5"/>
        </w:rPr>
        <w:footnoteReference w:id="747" w:customMarkFollows="0"/>
      </w:r>
      <w:bookmarkEnd w:id="1249"/>
      <w:r>
        <w:rPr>
          <w:rtl/>
        </w:rPr>
        <w:t xml:space="preserve"> על </w:t>
      </w:r>
      <w:proofErr w:type="spellStart"/>
      <w:r>
        <w:rPr>
          <w:rtl/>
        </w:rPr>
        <w:t>ליליינטל</w:t>
      </w:r>
      <w:proofErr w:type="spellEnd"/>
      <w:r>
        <w:rPr>
          <w:rtl/>
        </w:rPr>
        <w:t xml:space="preserve"> לשכנע את הקהילות היהודיות להקים בתי ספר מודרניים. חוק שעמד בתוקף כמעט ארבעים שנה התיר לילדים יהודים ללמוד בבתי ספר לא יהודיים, אבל מעטים מאוד מן היהודים ניצלו אותו. השאלה שעמדה אז על הפרק הייתה אם אפשר לשנות את בתי הספר היהודיים מבפנים כך שיכללו לימודי חול.</w:t>
      </w:r>
    </w:p>
    <w:p w14:paraId="3960937F" w14:textId="77777777" w:rsidR="00AB3647" w:rsidRDefault="00000000" w:rsidP="007923E9">
      <w:pPr>
        <w:spacing w:after="120" w:line="276" w:lineRule="auto"/>
        <w:ind w:firstLine="283"/>
        <w:jc w:val="both"/>
      </w:pPr>
      <w:r>
        <w:rPr>
          <w:rtl/>
        </w:rPr>
        <w:t xml:space="preserve">ארבע שנים קודם לכן נצטוו הפקידים הרוסים הראשיים בפלכים שבהם ישבו יהודים – תחום המושב – להקים ועדות (של לא יהודים) שיגישו דוחות על מצב החינוך היהודי, וכך נעשתה הממשלה מעורבת בחיים היהודיים הפנימיים. תזכיר לצאר מאת הוועדה הממשלתית לענייני יהודים טען שלימוד התלמוד מזיק להיטמעות היהודים באוכלוסייה הרוסית, משום שהוא מעודד אותם לראות את עצמם תושבים ארעיים בגולה. </w:t>
      </w:r>
      <w:proofErr w:type="spellStart"/>
      <w:r>
        <w:rPr>
          <w:rtl/>
        </w:rPr>
        <w:t>אוברוב</w:t>
      </w:r>
      <w:proofErr w:type="spellEnd"/>
      <w:r>
        <w:rPr>
          <w:rtl/>
        </w:rPr>
        <w:t xml:space="preserve"> נשא נאום סודי לפני הוועדה, ובו אמר שמפתח הפתרון לשאלה היהודית טמון בחינוך “הנכון” של הנוער היהודי, שיסיט את תשומת לבו מן התלמוד אל המקרא והלשון יחד עם מקצועות החול.</w:t>
      </w:r>
      <w:bookmarkStart w:id="1250" w:name="_fnr747"/>
      <w:r>
        <w:rPr>
          <w:rStyle w:val="a5"/>
        </w:rPr>
        <w:footnoteReference w:id="748" w:customMarkFollows="0"/>
      </w:r>
      <w:bookmarkEnd w:id="1250"/>
      <w:r>
        <w:rPr>
          <w:rtl/>
        </w:rPr>
        <w:t xml:space="preserve"> </w:t>
      </w:r>
      <w:proofErr w:type="spellStart"/>
      <w:r>
        <w:rPr>
          <w:rtl/>
        </w:rPr>
        <w:t>ליליינטל</w:t>
      </w:r>
      <w:proofErr w:type="spellEnd"/>
      <w:r>
        <w:rPr>
          <w:rtl/>
        </w:rPr>
        <w:t xml:space="preserve"> הוא שהחדיר </w:t>
      </w:r>
      <w:proofErr w:type="spellStart"/>
      <w:r>
        <w:rPr>
          <w:rtl/>
        </w:rPr>
        <w:t>באוברוב</w:t>
      </w:r>
      <w:proofErr w:type="spellEnd"/>
      <w:r>
        <w:rPr>
          <w:rtl/>
        </w:rPr>
        <w:t xml:space="preserve"> את הרעיון שיש לבטל את “הבלעדיות” של התלמוד בחינוך היהודי.</w:t>
      </w:r>
      <w:bookmarkStart w:id="1251" w:name="_fnr748"/>
      <w:r>
        <w:rPr>
          <w:rStyle w:val="a5"/>
        </w:rPr>
        <w:footnoteReference w:id="749" w:customMarkFollows="0"/>
      </w:r>
      <w:bookmarkEnd w:id="1251"/>
    </w:p>
    <w:p w14:paraId="49073FE9" w14:textId="77777777" w:rsidR="00AB3647" w:rsidRDefault="00000000" w:rsidP="007923E9">
      <w:pPr>
        <w:spacing w:after="120" w:line="276" w:lineRule="auto"/>
        <w:ind w:firstLine="283"/>
        <w:jc w:val="both"/>
      </w:pPr>
      <w:r>
        <w:rPr>
          <w:rtl/>
        </w:rPr>
        <w:t xml:space="preserve">ברור שהפקידים הרוסים חזרו על מה ששמעו על התלמוד מפי המשכילים. ואכן, תזכיר המובא </w:t>
      </w:r>
      <w:proofErr w:type="spellStart"/>
      <w:r>
        <w:rPr>
          <w:rtl/>
        </w:rPr>
        <w:t>ב“זכרון</w:t>
      </w:r>
      <w:proofErr w:type="spellEnd"/>
      <w:r>
        <w:rPr>
          <w:rtl/>
        </w:rPr>
        <w:t xml:space="preserve"> יעקב”, כרך 2,</w:t>
      </w:r>
      <w:bookmarkStart w:id="1252" w:name="_fnr749"/>
      <w:r>
        <w:rPr>
          <w:rStyle w:val="a5"/>
        </w:rPr>
        <w:footnoteReference w:id="750" w:customMarkFollows="0"/>
      </w:r>
      <w:bookmarkEnd w:id="1252"/>
      <w:r>
        <w:rPr>
          <w:rtl/>
        </w:rPr>
        <w:t xml:space="preserve"> ששלחו מהגרים יהודים מרוסיה לאנגליה עשרות שנים </w:t>
      </w:r>
      <w:r>
        <w:rPr>
          <w:rtl/>
        </w:rPr>
        <w:lastRenderedPageBreak/>
        <w:t xml:space="preserve">לאחר מכן, בשנת תרמ״ב, אל </w:t>
      </w:r>
      <w:proofErr w:type="spellStart"/>
      <w:r>
        <w:rPr>
          <w:rtl/>
        </w:rPr>
        <w:t>הפרוקורור</w:t>
      </w:r>
      <w:proofErr w:type="spellEnd"/>
      <w:r>
        <w:rPr>
          <w:rtl/>
        </w:rPr>
        <w:t xml:space="preserve"> של </w:t>
      </w:r>
      <w:proofErr w:type="spellStart"/>
      <w:r>
        <w:rPr>
          <w:rtl/>
        </w:rPr>
        <w:t>הסינוד</w:t>
      </w:r>
      <w:proofErr w:type="spellEnd"/>
      <w:r>
        <w:rPr>
          <w:rtl/>
        </w:rPr>
        <w:t xml:space="preserve"> הקדוש של רוסיה, ק״פ </w:t>
      </w:r>
      <w:proofErr w:type="spellStart"/>
      <w:r>
        <w:rPr>
          <w:rtl/>
        </w:rPr>
        <w:t>פובדונוסצב</w:t>
      </w:r>
      <w:proofErr w:type="spellEnd"/>
      <w:r>
        <w:rPr>
          <w:rtl/>
        </w:rPr>
        <w:t xml:space="preserve">, מאשים בגלוי את “המשכילים הגרמנים” שהרעילו ארבעים שנה קודם לכן את דעתו של השר </w:t>
      </w:r>
      <w:proofErr w:type="spellStart"/>
      <w:r>
        <w:rPr>
          <w:rtl/>
        </w:rPr>
        <w:t>אוברוב</w:t>
      </w:r>
      <w:proofErr w:type="spellEnd"/>
      <w:r>
        <w:rPr>
          <w:rtl/>
        </w:rPr>
        <w:t xml:space="preserve"> נגד התלמוד, “שבלעדיו אי אפשר לקיומה של האמונה העברית”. לפי התזכיר גרמו המשכילים בהרעלה זו לצמיחתו של דור צעיר “המצטיין בכפירה”, שהיה תועבה גם בעיני הכנסייה הרוסית.</w:t>
      </w:r>
    </w:p>
    <w:p w14:paraId="362BA024" w14:textId="77777777" w:rsidR="00AB3647" w:rsidRDefault="00000000" w:rsidP="007923E9">
      <w:pPr>
        <w:pStyle w:val="4"/>
        <w:spacing w:line="276" w:lineRule="auto"/>
      </w:pPr>
      <w:r>
        <w:t>· הפסקה החמישית ·</w:t>
      </w:r>
    </w:p>
    <w:p w14:paraId="42AB5E65" w14:textId="77777777" w:rsidR="00AB3647" w:rsidRDefault="00000000" w:rsidP="007923E9">
      <w:pPr>
        <w:pStyle w:val="5"/>
        <w:spacing w:line="276" w:lineRule="auto"/>
      </w:pPr>
      <w:proofErr w:type="spellStart"/>
      <w:r>
        <w:t>ליליינטל</w:t>
      </w:r>
      <w:proofErr w:type="spellEnd"/>
      <w:r>
        <w:t xml:space="preserve"> זר בווילנה – הוא מעמיד פנים שאינו אלא משיא עצות טובות – מבקרים אותו על שהוא מנסה לחולל שינוי בחברה שאינו מכיר</w:t>
      </w:r>
    </w:p>
    <w:p w14:paraId="43510FF3" w14:textId="77777777" w:rsidR="00AB3647" w:rsidRDefault="00000000" w:rsidP="007923E9">
      <w:pPr>
        <w:spacing w:after="120" w:line="276" w:lineRule="auto"/>
        <w:ind w:firstLine="283"/>
        <w:jc w:val="both"/>
      </w:pPr>
      <w:r>
        <w:rPr>
          <w:rtl/>
        </w:rPr>
        <w:t xml:space="preserve">ד״ר </w:t>
      </w:r>
      <w:proofErr w:type="spellStart"/>
      <w:r>
        <w:rPr>
          <w:rtl/>
        </w:rPr>
        <w:t>ליליינטל</w:t>
      </w:r>
      <w:proofErr w:type="spellEnd"/>
      <w:r>
        <w:rPr>
          <w:rtl/>
        </w:rPr>
        <w:t xml:space="preserve"> נסע תחילה לווילנה, ואחר כך לערים אחרות שבהן אוכלוסייה יהודית ניכרת, כדי להיפגש עם ראשי הקהילות ולשכנע אותם לתמוך בשינוי תוכנית הלימודים בבתי הספר היהודיים. בפגישותיו עם ראשי יהודי וילנה הבטיח להם שהקמת בתי ספר מודרניים לא תפגע כלל בדת היהודית, ושמטרתם היחידה היא לתת לילדי ישראל השכלה רחבה יותר, כדי שיצליחו יותר כשיגדלו. אבל לא האמינו לו.</w:t>
      </w:r>
    </w:p>
    <w:p w14:paraId="17DDAD27" w14:textId="77777777" w:rsidR="00AB3647" w:rsidRDefault="00000000" w:rsidP="007923E9">
      <w:pPr>
        <w:spacing w:after="120" w:line="276" w:lineRule="auto"/>
        <w:ind w:firstLine="283"/>
        <w:jc w:val="both"/>
      </w:pPr>
      <w:r>
        <w:rPr>
          <w:rtl/>
        </w:rPr>
        <w:t>סטניסלבסקי אומר:</w:t>
      </w:r>
      <w:bookmarkStart w:id="1253" w:name="_fnr750"/>
      <w:r>
        <w:rPr>
          <w:rStyle w:val="a5"/>
        </w:rPr>
        <w:footnoteReference w:id="751" w:customMarkFollows="0"/>
      </w:r>
      <w:bookmarkEnd w:id="1253"/>
      <w:r>
        <w:rPr>
          <w:rtl/>
        </w:rPr>
        <w:t xml:space="preserve"> “כהד לדברי נפוליאון כשנכנס לווילנה ביום שישי אחר הצהריים בשנת 1812, ‘רבותיי, נדמה לי שאנו בירושלים’, כתב </w:t>
      </w:r>
      <w:proofErr w:type="spellStart"/>
      <w:r>
        <w:rPr>
          <w:rtl/>
        </w:rPr>
        <w:t>ליליינטל</w:t>
      </w:r>
      <w:proofErr w:type="spellEnd"/>
      <w:r>
        <w:rPr>
          <w:rtl/>
        </w:rPr>
        <w:t xml:space="preserve"> [ביומנו]: ‘מעולם לא ראיתי מספר כה גדול של יהודים, כמעט בלי שום נוצרים. לאן שהבטתי, מכל פינה, מכל בית, יצאו יהודים, מהם חוזרים מבית המדרש עם טלית ותפילין, ומהם ממהרים לעסקיהם... בבואי מגרמניה, שבה היהודים מיעוט בכל הערים הגדולות... לא ידעתי מה לחשוב על כוורת היהודים השוקקת הזאת. גם אני חשבתי שאני בארץ ישראל ולא ברוסיה...’”</w:t>
      </w:r>
    </w:p>
    <w:p w14:paraId="2E487CC6" w14:textId="77777777" w:rsidR="00AB3647" w:rsidRDefault="00000000" w:rsidP="007923E9">
      <w:pPr>
        <w:spacing w:after="120" w:line="276" w:lineRule="auto"/>
        <w:ind w:firstLine="283"/>
        <w:jc w:val="both"/>
      </w:pPr>
      <w:r>
        <w:rPr>
          <w:rtl/>
        </w:rPr>
        <w:t xml:space="preserve">ביקורו הראשון בווילנה היה כשנסע לשם בהוראת </w:t>
      </w:r>
      <w:proofErr w:type="spellStart"/>
      <w:r>
        <w:rPr>
          <w:rtl/>
        </w:rPr>
        <w:t>אוברוב</w:t>
      </w:r>
      <w:proofErr w:type="spellEnd"/>
      <w:r>
        <w:rPr>
          <w:rtl/>
        </w:rPr>
        <w:t xml:space="preserve"> לסייע למשכיל הוילנאי ניסן רוזנטל, שביקש אישור ממשלתי להקים שם בית ספר מודרני. רוזנטל נטל את היוזמה אחרי שהוועדה המקומית (הלא יהודית) עודדה אותו לכך. רק לאחר מכן קיבל </w:t>
      </w:r>
      <w:proofErr w:type="spellStart"/>
      <w:r>
        <w:rPr>
          <w:rtl/>
        </w:rPr>
        <w:t>ליליינטל</w:t>
      </w:r>
      <w:proofErr w:type="spellEnd"/>
      <w:r>
        <w:rPr>
          <w:rtl/>
        </w:rPr>
        <w:t xml:space="preserve"> על עצמו משימה שאפתנית יותר: לשכנע ראשי ציבור אחרים, בווילנה ובערים אחרות, שלא הביעו עניין כזה, לנהוג כמותו. לפני ראשי וילנה הציג את עצמו כמי שרק מייעץ להם ליצור תוכנית מודרניזציה משלהם, שאם לא כן יעוררו את חמת הממשלה, והיא תפתח בתוכניות משלה, רפורמיות יותר, לבתי הספר היהודיים.</w:t>
      </w:r>
    </w:p>
    <w:p w14:paraId="2DE775F9" w14:textId="77777777" w:rsidR="00AB3647" w:rsidRDefault="00000000" w:rsidP="007923E9">
      <w:pPr>
        <w:spacing w:after="120" w:line="276" w:lineRule="auto"/>
        <w:ind w:firstLine="283"/>
        <w:jc w:val="both"/>
      </w:pPr>
      <w:r>
        <w:rPr>
          <w:rtl/>
        </w:rPr>
        <w:t>סטניסלבסקי קובע:</w:t>
      </w:r>
      <w:bookmarkStart w:id="1254" w:name="_fnr751"/>
      <w:r>
        <w:rPr>
          <w:rStyle w:val="a5"/>
        </w:rPr>
        <w:footnoteReference w:id="752" w:customMarkFollows="0"/>
      </w:r>
      <w:bookmarkEnd w:id="1254"/>
      <w:r>
        <w:rPr>
          <w:rtl/>
        </w:rPr>
        <w:t xml:space="preserve"> “</w:t>
      </w:r>
      <w:proofErr w:type="spellStart"/>
      <w:r>
        <w:rPr>
          <w:rtl/>
        </w:rPr>
        <w:t>אי־היכרותו</w:t>
      </w:r>
      <w:proofErr w:type="spellEnd"/>
      <w:r>
        <w:rPr>
          <w:rtl/>
        </w:rPr>
        <w:t xml:space="preserve"> עם [יהדות] רוסיה לא מנעה </w:t>
      </w:r>
      <w:proofErr w:type="spellStart"/>
      <w:r>
        <w:rPr>
          <w:rtl/>
        </w:rPr>
        <w:t>מליליינטל</w:t>
      </w:r>
      <w:proofErr w:type="spellEnd"/>
      <w:r>
        <w:rPr>
          <w:rtl/>
        </w:rPr>
        <w:t xml:space="preserve"> להורות [לה] כיצד לתקן את חייה. זקני [וילנה]... ניסו לשכנע אותו שכזר אינו מבין... את המניעים האמיתיים – כלומר, המיסיונריים – של המשטר.” עוד אומר סטניסלבסקי</w:t>
      </w:r>
      <w:bookmarkStart w:id="1255" w:name="_fnr752"/>
      <w:r>
        <w:rPr>
          <w:rStyle w:val="a5"/>
        </w:rPr>
        <w:footnoteReference w:id="753" w:customMarkFollows="0"/>
      </w:r>
      <w:bookmarkEnd w:id="1255"/>
      <w:r>
        <w:rPr>
          <w:rtl/>
        </w:rPr>
        <w:t xml:space="preserve"> שאפילו המשכילים “שתמכו לגמרי במדיניות הממשלה של ‘השכלה מלמעלה’ (קרי: ‘השכלה’ בכפייה)” רטנו על כך </w:t>
      </w:r>
      <w:proofErr w:type="spellStart"/>
      <w:r>
        <w:rPr>
          <w:rtl/>
        </w:rPr>
        <w:t>שליליינטל</w:t>
      </w:r>
      <w:proofErr w:type="spellEnd"/>
      <w:r>
        <w:rPr>
          <w:rtl/>
        </w:rPr>
        <w:t xml:space="preserve"> עשוי מחומר אחר.</w:t>
      </w:r>
    </w:p>
    <w:p w14:paraId="23A59438" w14:textId="77777777" w:rsidR="00AB3647" w:rsidRDefault="00000000" w:rsidP="007923E9">
      <w:pPr>
        <w:spacing w:after="120" w:line="276" w:lineRule="auto"/>
        <w:ind w:firstLine="283"/>
        <w:jc w:val="both"/>
      </w:pPr>
      <w:proofErr w:type="spellStart"/>
      <w:r>
        <w:rPr>
          <w:rtl/>
        </w:rPr>
        <w:lastRenderedPageBreak/>
        <w:t>מרדכי־אהרן</w:t>
      </w:r>
      <w:proofErr w:type="spellEnd"/>
      <w:r>
        <w:rPr>
          <w:rtl/>
        </w:rPr>
        <w:t xml:space="preserve"> </w:t>
      </w:r>
      <w:proofErr w:type="spellStart"/>
      <w:r>
        <w:rPr>
          <w:rtl/>
        </w:rPr>
        <w:t>גינצבורג</w:t>
      </w:r>
      <w:proofErr w:type="spellEnd"/>
      <w:r>
        <w:rPr>
          <w:rtl/>
        </w:rPr>
        <w:t xml:space="preserve"> מווילנה כתב בשנת תר״ג בחוברת בשם “מגיד אמת”</w:t>
      </w:r>
      <w:bookmarkStart w:id="1256" w:name="_fnr753"/>
      <w:r>
        <w:rPr>
          <w:rStyle w:val="a5"/>
        </w:rPr>
        <w:footnoteReference w:id="754" w:customMarkFollows="0"/>
      </w:r>
      <w:bookmarkEnd w:id="1256"/>
      <w:r>
        <w:rPr>
          <w:rtl/>
        </w:rPr>
        <w:t xml:space="preserve">: “ה׳ ברחמיו יסלח לאחינו הגרמנים, כי רבניהם עברו על חוקי התורה כשם שעברו יושבי פולין [רוסיה] על חוקי החכמה בגלל רבניהם הזקנים. לא זה האיש שאנו צריכים לו; הוא יודע תורה פחות מתלמידים צעירים, ואף ידיעתו הפילוסופית אינה רבה.” בשל חריפות התקפתה על </w:t>
      </w:r>
      <w:proofErr w:type="spellStart"/>
      <w:r>
        <w:rPr>
          <w:rtl/>
        </w:rPr>
        <w:t>ליליינטל</w:t>
      </w:r>
      <w:proofErr w:type="spellEnd"/>
      <w:r>
        <w:rPr>
          <w:rtl/>
        </w:rPr>
        <w:t>, שליח הממשלה, לא יכלה החוברת לעבור את הצנזורה, ונאלצה לצאת לאור בשם בדוי בלייפציג שבגרמניה.</w:t>
      </w:r>
    </w:p>
    <w:p w14:paraId="2233FC1E" w14:textId="77777777" w:rsidR="00AB3647" w:rsidRDefault="00000000" w:rsidP="007923E9">
      <w:pPr>
        <w:spacing w:after="120" w:line="276" w:lineRule="auto"/>
        <w:ind w:firstLine="283"/>
        <w:jc w:val="both"/>
      </w:pPr>
      <w:r>
        <w:rPr>
          <w:rtl/>
        </w:rPr>
        <w:t xml:space="preserve">השווה גם מאמרו של דוד כהנא </w:t>
      </w:r>
      <w:proofErr w:type="spellStart"/>
      <w:r>
        <w:rPr>
          <w:rtl/>
        </w:rPr>
        <w:t>ב“השלח</w:t>
      </w:r>
      <w:proofErr w:type="spellEnd"/>
      <w:r>
        <w:rPr>
          <w:rtl/>
        </w:rPr>
        <w:t xml:space="preserve"> – ירחון לספרות למדע </w:t>
      </w:r>
      <w:proofErr w:type="spellStart"/>
      <w:r>
        <w:rPr>
          <w:rtl/>
        </w:rPr>
        <w:t>ולעניני</w:t>
      </w:r>
      <w:proofErr w:type="spellEnd"/>
      <w:r>
        <w:rPr>
          <w:rtl/>
        </w:rPr>
        <w:t xml:space="preserve"> החיים”,</w:t>
      </w:r>
      <w:bookmarkStart w:id="1257" w:name="_fnr754"/>
      <w:r>
        <w:rPr>
          <w:rStyle w:val="a5"/>
        </w:rPr>
        <w:footnoteReference w:id="755" w:customMarkFollows="0"/>
      </w:r>
      <w:bookmarkEnd w:id="1257"/>
      <w:r>
        <w:rPr>
          <w:rtl/>
        </w:rPr>
        <w:t xml:space="preserve"> ולפיו אמרו </w:t>
      </w:r>
      <w:proofErr w:type="spellStart"/>
      <w:r>
        <w:rPr>
          <w:rtl/>
        </w:rPr>
        <w:t>לליליינטל</w:t>
      </w:r>
      <w:proofErr w:type="spellEnd"/>
      <w:r>
        <w:rPr>
          <w:rtl/>
        </w:rPr>
        <w:t xml:space="preserve"> במסעו לאודסה אחרי </w:t>
      </w:r>
      <w:proofErr w:type="spellStart"/>
      <w:r>
        <w:rPr>
          <w:rtl/>
        </w:rPr>
        <w:t>וולוז׳ין</w:t>
      </w:r>
      <w:proofErr w:type="spellEnd"/>
      <w:r>
        <w:rPr>
          <w:rtl/>
        </w:rPr>
        <w:t xml:space="preserve"> (ראה הפסקה </w:t>
      </w:r>
      <w:proofErr w:type="spellStart"/>
      <w:r>
        <w:rPr>
          <w:rtl/>
        </w:rPr>
        <w:t>השתים־עשרה</w:t>
      </w:r>
      <w:proofErr w:type="spellEnd"/>
      <w:r>
        <w:rPr>
          <w:rtl/>
        </w:rPr>
        <w:t xml:space="preserve"> להלן): “אף אם יביאו רופא מומחה מחוץ לארץ וינסה לרפא את החולים כדרכו [בארצו], לא יצליח כל זמן שאינו מכיר את אקלים ארצנו.” והשווה גם “</w:t>
      </w:r>
      <w:proofErr w:type="spellStart"/>
      <w:r>
        <w:rPr>
          <w:rtl/>
        </w:rPr>
        <w:t>זכרון</w:t>
      </w:r>
      <w:proofErr w:type="spellEnd"/>
      <w:r>
        <w:rPr>
          <w:rtl/>
        </w:rPr>
        <w:t xml:space="preserve"> יעקב”,</w:t>
      </w:r>
      <w:bookmarkStart w:id="1258" w:name="_fnr755"/>
      <w:r>
        <w:rPr>
          <w:rStyle w:val="a5"/>
        </w:rPr>
        <w:footnoteReference w:id="756" w:customMarkFollows="0"/>
      </w:r>
      <w:bookmarkEnd w:id="1258"/>
      <w:r>
        <w:rPr>
          <w:rtl/>
        </w:rPr>
        <w:t xml:space="preserve"> ושם סיפר ר׳ חיים ברלין שבאחת משיחותיהם אמר ר׳ </w:t>
      </w:r>
      <w:proofErr w:type="spellStart"/>
      <w:r>
        <w:rPr>
          <w:rtl/>
        </w:rPr>
        <w:t>איצל׳ה</w:t>
      </w:r>
      <w:proofErr w:type="spellEnd"/>
      <w:r>
        <w:rPr>
          <w:rtl/>
        </w:rPr>
        <w:t xml:space="preserve"> </w:t>
      </w:r>
      <w:proofErr w:type="spellStart"/>
      <w:r>
        <w:rPr>
          <w:rtl/>
        </w:rPr>
        <w:t>מוולוז׳ין</w:t>
      </w:r>
      <w:proofErr w:type="spellEnd"/>
      <w:r>
        <w:rPr>
          <w:rtl/>
        </w:rPr>
        <w:t xml:space="preserve"> </w:t>
      </w:r>
      <w:proofErr w:type="spellStart"/>
      <w:r>
        <w:rPr>
          <w:rtl/>
        </w:rPr>
        <w:t>לליליינטל</w:t>
      </w:r>
      <w:proofErr w:type="spellEnd"/>
      <w:r>
        <w:rPr>
          <w:rtl/>
        </w:rPr>
        <w:t xml:space="preserve"> שאכן מוזר שהממשלה בחרה בזר, ביהודי, באלמוני, ובאדם צעיר (בן עשרים ושבע) ורווק (קרי: חסר שורשים) כדי לבצע רפורמה במערכת החינוך היהודית. “המוזרות הזאת לבדה די בה כדי לחשוד בממשלה שהיא משתמשת בו ככלי לביצוע מזימות זדוניות”, אמר ר׳ </w:t>
      </w:r>
      <w:proofErr w:type="spellStart"/>
      <w:r>
        <w:rPr>
          <w:rtl/>
        </w:rPr>
        <w:t>איצל׳ה</w:t>
      </w:r>
      <w:proofErr w:type="spellEnd"/>
      <w:r>
        <w:rPr>
          <w:rtl/>
        </w:rPr>
        <w:t>.</w:t>
      </w:r>
      <w:bookmarkStart w:id="1259" w:name="_fnr756"/>
      <w:r>
        <w:rPr>
          <w:rStyle w:val="a5"/>
        </w:rPr>
        <w:footnoteReference w:id="757" w:customMarkFollows="0"/>
      </w:r>
      <w:bookmarkEnd w:id="1259"/>
    </w:p>
    <w:p w14:paraId="3F5BC139" w14:textId="77777777" w:rsidR="00AB3647" w:rsidRDefault="00000000" w:rsidP="007923E9">
      <w:pPr>
        <w:pStyle w:val="4"/>
        <w:spacing w:line="276" w:lineRule="auto"/>
      </w:pPr>
      <w:r>
        <w:t>· הפסקה השישית ·</w:t>
      </w:r>
    </w:p>
    <w:p w14:paraId="3E1075A2" w14:textId="77777777" w:rsidR="00AB3647" w:rsidRDefault="00000000" w:rsidP="007923E9">
      <w:pPr>
        <w:pStyle w:val="5"/>
        <w:spacing w:line="276" w:lineRule="auto"/>
      </w:pPr>
      <w:proofErr w:type="spellStart"/>
      <w:r>
        <w:t>ליליינטל</w:t>
      </w:r>
      <w:proofErr w:type="spellEnd"/>
      <w:r>
        <w:t xml:space="preserve"> נשאל שאלות קשות בווילנה – המשכילים כופים את השקפותיהם על הרוב היהודי בעזרת קשריהם בממשלה – יהירותם מביאה אותם להלעיז על עמם – </w:t>
      </w:r>
      <w:proofErr w:type="spellStart"/>
      <w:r>
        <w:t>ליליינטל</w:t>
      </w:r>
      <w:proofErr w:type="spellEnd"/>
      <w:r>
        <w:t xml:space="preserve"> נאלץ לברוח ממינסק – הנאמנים מתלכדים בווילנה – הוא נתפס כמסוכן</w:t>
      </w:r>
    </w:p>
    <w:p w14:paraId="187D9E19" w14:textId="77777777" w:rsidR="00AB3647" w:rsidRDefault="00000000" w:rsidP="007923E9">
      <w:pPr>
        <w:spacing w:after="120" w:line="276" w:lineRule="auto"/>
        <w:ind w:firstLine="283"/>
        <w:jc w:val="both"/>
      </w:pPr>
      <w:r>
        <w:rPr>
          <w:rtl/>
        </w:rPr>
        <w:t xml:space="preserve">מסעו הראשון של </w:t>
      </w:r>
      <w:proofErr w:type="spellStart"/>
      <w:r>
        <w:rPr>
          <w:rtl/>
        </w:rPr>
        <w:t>ליליינטל</w:t>
      </w:r>
      <w:proofErr w:type="spellEnd"/>
      <w:r>
        <w:rPr>
          <w:rtl/>
        </w:rPr>
        <w:t xml:space="preserve"> בקהילות היהודיות, בחורף תר״ב, נתקל בהתנגדות עזה בכמה מן הערים שביקר בהן. “מקור ברוך”</w:t>
      </w:r>
      <w:bookmarkStart w:id="1260" w:name="_fnr757"/>
      <w:r>
        <w:rPr>
          <w:rStyle w:val="a5"/>
        </w:rPr>
        <w:footnoteReference w:id="758" w:customMarkFollows="0"/>
      </w:r>
      <w:bookmarkEnd w:id="1260"/>
      <w:r>
        <w:rPr>
          <w:rtl/>
        </w:rPr>
        <w:t xml:space="preserve"> מסכם כך את קבלת הפנים שזכה לה: “הוא ראה והרגיש... דחייה נחרצת ועקיצות חריפות הן מצד ראשי העם וזקניו הן מצד פשוטי העם.”</w:t>
      </w:r>
    </w:p>
    <w:p w14:paraId="2626DB2F" w14:textId="77777777" w:rsidR="00AB3647" w:rsidRDefault="00000000" w:rsidP="007923E9">
      <w:pPr>
        <w:spacing w:after="120" w:line="276" w:lineRule="auto"/>
        <w:ind w:firstLine="283"/>
        <w:jc w:val="both"/>
      </w:pPr>
      <w:r>
        <w:rPr>
          <w:rtl/>
        </w:rPr>
        <w:lastRenderedPageBreak/>
        <w:t xml:space="preserve">בווילנה</w:t>
      </w:r>
      <w:bookmarkStart w:id="1261" w:name="_fnr758"/>
      <w:r>
        <w:rPr>
          <w:rStyle w:val="a5"/>
        </w:rPr>
        <w:footnoteReference w:id="759" w:customMarkFollows="0"/>
      </w:r>
      <w:bookmarkEnd w:id="1261"/>
      <w:r>
        <w:rPr>
          <w:rtl/>
        </w:rPr>
        <w:t xml:space="preserve"> תמה ר׳ </w:t>
      </w:r>
      <w:proofErr w:type="spellStart"/>
      <w:r>
        <w:rPr>
          <w:rtl/>
        </w:rPr>
        <w:t>חיים־נחמן</w:t>
      </w:r>
      <w:proofErr w:type="spellEnd"/>
      <w:r>
        <w:rPr>
          <w:rtl/>
        </w:rPr>
        <w:t xml:space="preserve"> פרנס, מזקני הקהילה,</w:t>
      </w:r>
      <w:bookmarkStart w:id="1262" w:name="_fnr759"/>
      <w:r>
        <w:rPr>
          <w:rStyle w:val="a5"/>
        </w:rPr>
        <w:footnoteReference w:id="760" w:customMarkFollows="0"/>
      </w:r>
      <w:bookmarkEnd w:id="1262"/>
      <w:r>
        <w:rPr>
          <w:rtl/>
        </w:rPr>
        <w:t xml:space="preserve"> מדוע הממשלה מוטרדת מחינוך היהודים יותר מחינוך הגויים, בשעה שרוב התושבים הנוצרים ברוסיה אינם יודעים קרוא וכתוב, וכמעט כל היהודים יודעים. זקן אחר אמר שהיהודים עצמם יודעים שמערכת החינוך שלהם צריכה תיקון, אך טען שכשיקבלו חירות אזרחית רחבה יותר, יוכלו לעשות את התיקונים בלי עזרה מבחוץ. על הטענה השנייה השיב </w:t>
      </w:r>
      <w:proofErr w:type="spellStart"/>
      <w:r>
        <w:rPr>
          <w:rtl/>
        </w:rPr>
        <w:t>ליליינטל</w:t>
      </w:r>
      <w:proofErr w:type="spellEnd"/>
      <w:r>
        <w:rPr>
          <w:rtl/>
        </w:rPr>
        <w:t xml:space="preserve"> </w:t>
      </w:r>
      <w:proofErr w:type="spellStart"/>
      <w:r>
        <w:rPr>
          <w:rtl/>
        </w:rPr>
        <w:t>שאוברוב</w:t>
      </w:r>
      <w:proofErr w:type="spellEnd"/>
      <w:r>
        <w:rPr>
          <w:rtl/>
        </w:rPr>
        <w:t xml:space="preserve"> הבטיח: מיד כשיעשו היהודים את הצעד הראשון בהקמת בתי הספר בחסות הממשלה, תעשה הממשלה את הצעד הבא ותקל את העול הכבד מעל האזרחים היהודים, ובכך ייטב מצבם.</w:t>
      </w:r>
    </w:p>
    <w:p w14:paraId="3BB35318" w14:textId="77777777" w:rsidR="00AB3647" w:rsidRDefault="00000000" w:rsidP="007923E9">
      <w:pPr>
        <w:spacing w:after="120" w:line="276" w:lineRule="auto"/>
        <w:ind w:firstLine="283"/>
        <w:jc w:val="both"/>
      </w:pPr>
      <w:proofErr w:type="spellStart"/>
      <w:r>
        <w:rPr>
          <w:rtl/>
        </w:rPr>
        <w:t>ליליינטל</w:t>
      </w:r>
      <w:proofErr w:type="spellEnd"/>
      <w:r>
        <w:rPr>
          <w:rtl/>
        </w:rPr>
        <w:t xml:space="preserve"> חזר ואמר שאינו אלא מזהיר את הקהילה: אם יסרבו היהודים לעשות את תיקוניהם בעצמם, יעוררו את חמת הממשלה, ומצבם ילך ויחמיר. אנציקלופדיה יודאיקה כותבת: “פגישותיו של </w:t>
      </w:r>
      <w:proofErr w:type="spellStart"/>
      <w:r>
        <w:rPr>
          <w:rtl/>
        </w:rPr>
        <w:t>ליליינטל</w:t>
      </w:r>
      <w:proofErr w:type="spellEnd"/>
      <w:r>
        <w:rPr>
          <w:rtl/>
        </w:rPr>
        <w:t xml:space="preserve"> עם נציגי יהודי וילנה הסתיימו בכישלון. ניסיונותיו להשמיע איומים בשם הממשלה – אין זה ברור אם הוסמך לכך – עוררו סלידה.”</w:t>
      </w:r>
    </w:p>
    <w:p w14:paraId="6987A252" w14:textId="77777777" w:rsidR="00AB3647" w:rsidRDefault="00000000" w:rsidP="007923E9">
      <w:pPr>
        <w:spacing w:after="120" w:line="276" w:lineRule="auto"/>
        <w:ind w:firstLine="283"/>
        <w:jc w:val="both"/>
      </w:pPr>
      <w:r>
        <w:rPr>
          <w:rtl/>
        </w:rPr>
        <w:t xml:space="preserve">למעשה חשדו בקהילה </w:t>
      </w:r>
      <w:proofErr w:type="spellStart"/>
      <w:r>
        <w:rPr>
          <w:rtl/>
        </w:rPr>
        <w:t>שליליינטל</w:t>
      </w:r>
      <w:proofErr w:type="spellEnd"/>
      <w:r>
        <w:rPr>
          <w:rtl/>
        </w:rPr>
        <w:t xml:space="preserve"> לא נשלח לווילנה בידי הממשלה הרוסית כלל, אלא בא ביוזמת המשכילים. הם לא היו אלא מיעוט קטן מאוד, שניסה לכפות על יהדות רוסיה – שרובה המכריע נאמן ושומר מסורת – ללכת בעקבות הרפורמה הגרמנית.</w:t>
      </w:r>
    </w:p>
    <w:p w14:paraId="136B257E" w14:textId="77777777" w:rsidR="00AB3647" w:rsidRDefault="00000000" w:rsidP="007923E9">
      <w:pPr>
        <w:spacing w:after="120" w:line="276" w:lineRule="auto"/>
        <w:ind w:firstLine="283"/>
        <w:jc w:val="both"/>
      </w:pPr>
      <w:r>
        <w:rPr>
          <w:rtl/>
        </w:rPr>
        <w:t xml:space="preserve">היו משכילים מובילים שלא ניסו להסתיר שהם מבקשים לרתום את כוחו של השלטון כדי לכפות את השקפתם על הרוב הגדול של אחיהם לאמונה. כזה היה </w:t>
      </w:r>
      <w:proofErr w:type="spellStart"/>
      <w:r>
        <w:rPr>
          <w:rtl/>
        </w:rPr>
        <w:t>יצחק־בער</w:t>
      </w:r>
      <w:proofErr w:type="spellEnd"/>
      <w:r>
        <w:rPr>
          <w:rtl/>
        </w:rPr>
        <w:t xml:space="preserve"> </w:t>
      </w:r>
      <w:proofErr w:type="spellStart"/>
      <w:r>
        <w:rPr>
          <w:rtl/>
        </w:rPr>
        <w:t>לוינזון</w:t>
      </w:r>
      <w:proofErr w:type="spellEnd"/>
      <w:r>
        <w:rPr>
          <w:rtl/>
        </w:rPr>
        <w:t xml:space="preserve"> </w:t>
      </w:r>
      <w:proofErr w:type="spellStart"/>
      <w:r>
        <w:rPr>
          <w:rtl/>
        </w:rPr>
        <w:t>מווהלין</w:t>
      </w:r>
      <w:proofErr w:type="spellEnd"/>
      <w:r>
        <w:rPr>
          <w:rtl/>
        </w:rPr>
        <w:t>, שהציף את הממשלה במכתבים שהשמיצו את היהודים כנחשלים ומושחתים, וטען שהיהודים משפיעים על האוכלוסייה הנוכרית שלא תהיה נאמנה לכתר. הצאר ניקולאי, שונא היהודים, שמח מאוד להאמין להאשמות כאלה.</w:t>
      </w:r>
    </w:p>
    <w:p w14:paraId="108A165D" w14:textId="77777777" w:rsidR="00AB3647" w:rsidRDefault="00000000" w:rsidP="007923E9">
      <w:pPr>
        <w:spacing w:after="120" w:line="276" w:lineRule="auto"/>
        <w:ind w:firstLine="283"/>
        <w:jc w:val="both"/>
      </w:pPr>
      <w:r>
        <w:rPr>
          <w:rtl/>
        </w:rPr>
        <w:t xml:space="preserve">אין לומר שמשכילים אלה לא </w:t>
      </w:r>
      <w:proofErr w:type="spellStart"/>
      <w:r>
        <w:rPr>
          <w:rtl/>
        </w:rPr>
        <w:t>נתכוונו</w:t>
      </w:r>
      <w:proofErr w:type="spellEnd"/>
      <w:r>
        <w:rPr>
          <w:rtl/>
        </w:rPr>
        <w:t xml:space="preserve"> אלא להתחנף, ושלא היה להם עניין אמיתי בשיפור מצבם של אחיהם היהודים. ביהירותם הם פשוט האמינו שדרכם היא הדרך הנכונה היחידה שעם ישראל צריך ללכת בה.</w:t>
      </w:r>
      <w:bookmarkStart w:id="1263" w:name="_fnr760"/>
      <w:bookmarkStart w:id="1264" w:name="pr_f_685"/>
      <w:r>
        <w:rPr>
          <w:rStyle w:val="a5"/>
        </w:rPr>
        <w:footnoteReference w:id="761" w:customMarkFollows="0"/>
      </w:r>
      <w:bookmarkEnd w:id="1263"/>
      <w:bookmarkEnd w:id="1264"/>
      <w:r>
        <w:rPr>
          <w:rtl/>
        </w:rPr>
        <w:t xml:space="preserve"> ואם נדון את המשכילים הראשונים לכף זכות כאנשים כנים, הרי שאת השאלה כיצד יכלו לראות את עמם באור שלילי כל כך, בלי בסיס עובדתי, יש לברר בתחום הפסיכולוגיה.</w:t>
      </w:r>
    </w:p>
    <w:p w14:paraId="1C889B1F" w14:textId="77777777" w:rsidR="00AB3647" w:rsidRDefault="00000000" w:rsidP="007923E9">
      <w:pPr>
        <w:spacing w:after="120" w:line="276" w:lineRule="auto"/>
        <w:ind w:firstLine="283"/>
        <w:jc w:val="both"/>
      </w:pPr>
      <w:r>
        <w:rPr>
          <w:rtl/>
        </w:rPr>
        <w:lastRenderedPageBreak/>
        <w:t>והשווה גם “</w:t>
      </w:r>
      <w:proofErr w:type="spellStart"/>
      <w:r>
        <w:rPr>
          <w:rtl/>
        </w:rPr>
        <w:t>זכרון</w:t>
      </w:r>
      <w:proofErr w:type="spellEnd"/>
      <w:r>
        <w:rPr>
          <w:rtl/>
        </w:rPr>
        <w:t xml:space="preserve"> יעקב”</w:t>
      </w:r>
      <w:bookmarkStart w:id="1265" w:name="_fnr761"/>
      <w:r>
        <w:rPr>
          <w:rStyle w:val="a5"/>
        </w:rPr>
        <w:footnoteReference w:id="762" w:customMarkFollows="0"/>
      </w:r>
      <w:bookmarkEnd w:id="1265"/>
      <w:r>
        <w:rPr>
          <w:rtl/>
        </w:rPr>
        <w:t xml:space="preserve">: הדור הראשון של המשכילים ברוסיה, שמצא באחיו פגמים, אמיתיים או מדומים, האשים את דיכוי השלטון בכך שדחף את היהודים למצב המוסרי העלוב – המדומה. ואילו הדור השני, אחרי תר״כ, “החליט </w:t>
      </w:r>
      <w:proofErr w:type="spellStart"/>
      <w:r>
        <w:rPr>
          <w:rtl/>
        </w:rPr>
        <w:t>שמצוה</w:t>
      </w:r>
      <w:proofErr w:type="spellEnd"/>
      <w:r>
        <w:rPr>
          <w:rtl/>
        </w:rPr>
        <w:t xml:space="preserve"> וחובה לחפור ולחשוף בכוח הספרות את המומים והפגמים שבעמנו, עד שנעשה הדבר לכלל ספרותי: כל המרבה לגלות את חרפת אומתנו ולהוקיע את מגרעותיה בספרות – הרי זה אוהב את עמו ביותר, כי כל זה מקרב את זכויות היהודים! וכך התירו לעצמם סופרים רבים – המטרה מקדשת את האמצעים – לבדות שקרים וכזבים מגונים ולפרסמם אפילו בספרות הנוכרית, והכול לשם קידום זכויותינו.” כך הידרדרו המשכילים היהירים בחשיבתם המעוותת, בעודם כופים את השקפת המיעוט שלהם על הרוב הנאמן העצום – והכול בשם השאיפה להיטיב עם עמם.</w:t>
      </w:r>
    </w:p>
    <w:p w14:paraId="3FB3A39E" w14:textId="77777777" w:rsidR="00AB3647" w:rsidRDefault="00000000" w:rsidP="007923E9">
      <w:pPr>
        <w:spacing w:after="120" w:line="276" w:lineRule="auto"/>
        <w:ind w:firstLine="283"/>
        <w:jc w:val="both"/>
      </w:pPr>
      <w:r>
        <w:rPr>
          <w:rtl/>
        </w:rPr>
        <w:t xml:space="preserve">בזיכרונות אישיים שנדפסו מחדש </w:t>
      </w:r>
      <w:proofErr w:type="spellStart"/>
      <w:r>
        <w:rPr>
          <w:rtl/>
        </w:rPr>
        <w:t>ב“מינסק</w:t>
      </w:r>
      <w:proofErr w:type="spellEnd"/>
      <w:r>
        <w:rPr>
          <w:rtl/>
        </w:rPr>
        <w:t xml:space="preserve"> עיר ואם א”</w:t>
      </w:r>
      <w:bookmarkStart w:id="1266" w:name="_fnr762"/>
      <w:r>
        <w:rPr>
          <w:rStyle w:val="a5"/>
        </w:rPr>
        <w:footnoteReference w:id="763" w:customMarkFollows="0"/>
      </w:r>
      <w:bookmarkEnd w:id="1266"/>
      <w:r>
        <w:rPr>
          <w:rtl/>
        </w:rPr>
        <w:t xml:space="preserve"> נזכר הסופר </w:t>
      </w:r>
      <w:proofErr w:type="spellStart"/>
      <w:r>
        <w:rPr>
          <w:rtl/>
        </w:rPr>
        <w:t>הרוסי־יידי</w:t>
      </w:r>
      <w:proofErr w:type="spellEnd"/>
      <w:r>
        <w:rPr>
          <w:rtl/>
        </w:rPr>
        <w:t xml:space="preserve"> לייב </w:t>
      </w:r>
      <w:proofErr w:type="spellStart"/>
      <w:r>
        <w:rPr>
          <w:rtl/>
        </w:rPr>
        <w:t>לבנדה</w:t>
      </w:r>
      <w:proofErr w:type="spellEnd"/>
      <w:r>
        <w:rPr>
          <w:rtl/>
        </w:rPr>
        <w:t xml:space="preserve"> שבשעת סיורו של </w:t>
      </w:r>
      <w:proofErr w:type="spellStart"/>
      <w:r>
        <w:rPr>
          <w:rtl/>
        </w:rPr>
        <w:t>ליליינטל</w:t>
      </w:r>
      <w:proofErr w:type="spellEnd"/>
      <w:r>
        <w:rPr>
          <w:rtl/>
        </w:rPr>
        <w:t xml:space="preserve"> במינסק, שאליה נסע אחרי וילנה, היה הוא עצמו בין ילדי החדר שרצו אחרי מזחלתו של </w:t>
      </w:r>
      <w:proofErr w:type="spellStart"/>
      <w:r>
        <w:rPr>
          <w:rtl/>
        </w:rPr>
        <w:t>ליליינטל</w:t>
      </w:r>
      <w:proofErr w:type="spellEnd"/>
      <w:r>
        <w:rPr>
          <w:rtl/>
        </w:rPr>
        <w:t xml:space="preserve"> ורגמו אותה בכדורי שלג. </w:t>
      </w:r>
      <w:proofErr w:type="spellStart"/>
      <w:r>
        <w:rPr>
          <w:rtl/>
        </w:rPr>
        <w:t>צינוביץ</w:t>
      </w:r>
      <w:proofErr w:type="spellEnd"/>
      <w:r>
        <w:rPr>
          <w:rtl/>
        </w:rPr>
        <w:t>, “עץ חיים”</w:t>
      </w:r>
      <w:bookmarkStart w:id="1267" w:name="_fnr763"/>
      <w:r>
        <w:rPr>
          <w:rStyle w:val="a5"/>
        </w:rPr>
        <w:footnoteReference w:id="764" w:customMarkFollows="0"/>
      </w:r>
      <w:bookmarkEnd w:id="1267"/>
      <w:r>
        <w:rPr>
          <w:rtl/>
        </w:rPr>
        <w:t xml:space="preserve">, מתאר את פגישתו של </w:t>
      </w:r>
      <w:proofErr w:type="spellStart"/>
      <w:r>
        <w:rPr>
          <w:rtl/>
        </w:rPr>
        <w:t>ליליינטל</w:t>
      </w:r>
      <w:proofErr w:type="spellEnd"/>
      <w:r>
        <w:rPr>
          <w:rtl/>
        </w:rPr>
        <w:t xml:space="preserve"> עם זקני מינסק בחריפות רבה יותר: “</w:t>
      </w:r>
      <w:proofErr w:type="spellStart"/>
      <w:r>
        <w:rPr>
          <w:rtl/>
        </w:rPr>
        <w:t>ליליינטל</w:t>
      </w:r>
      <w:proofErr w:type="spellEnd"/>
      <w:r>
        <w:rPr>
          <w:rtl/>
        </w:rPr>
        <w:t xml:space="preserve"> שמע דברים קשים ומרים מפי הנאספים. לא נהגו בו כבוד כלל, ונשמעו קריאות ‘בוגד!’ מתוסכל יצא בחיפזון מאולם האספה, ונתקל בהמון גדול של פשוטי עם שחיכו לו בחוץ להטיח בו קללות ועלבונות. הם צעקו קריאת גנאי שנעשתה לסיסמה [בשפה הרוסית]: ‘זה לא מעניין אותנו; איננו רוצים בתי ספר!’ כמה מן הפרחחים הרימו אבנים בכוונה לתקוף אותו, ורק בעזרת שוטרים הצליח להימלט. הוא עזב את העיר באותו לילה.”</w:t>
      </w:r>
    </w:p>
    <w:p w14:paraId="6998B671" w14:textId="77777777" w:rsidR="00AB3647" w:rsidRDefault="00000000" w:rsidP="007923E9">
      <w:pPr>
        <w:spacing w:after="120" w:line="276" w:lineRule="auto"/>
        <w:ind w:firstLine="283"/>
        <w:jc w:val="both"/>
      </w:pPr>
      <w:r>
        <w:rPr>
          <w:rtl/>
        </w:rPr>
        <w:t xml:space="preserve">מינסק, בשונה מווילנה, בחרה להתעלם לגמרי </w:t>
      </w:r>
      <w:proofErr w:type="spellStart"/>
      <w:r>
        <w:rPr>
          <w:rtl/>
        </w:rPr>
        <w:t>מ“עצתו</w:t>
      </w:r>
      <w:proofErr w:type="spellEnd"/>
      <w:r>
        <w:rPr>
          <w:rtl/>
        </w:rPr>
        <w:t xml:space="preserve">” של </w:t>
      </w:r>
      <w:proofErr w:type="spellStart"/>
      <w:r>
        <w:rPr>
          <w:rtl/>
        </w:rPr>
        <w:t>ליליינטל</w:t>
      </w:r>
      <w:proofErr w:type="spellEnd"/>
      <w:r>
        <w:rPr>
          <w:rtl/>
        </w:rPr>
        <w:t xml:space="preserve">, ואמרה בפירוש שתעדיף להסתכן ברפורמות שהממשלה עלולה לכפות עליה ולא לערוך תיקונים משלה. גם במינסק פקפקו האנשים בכך </w:t>
      </w:r>
      <w:proofErr w:type="spellStart"/>
      <w:r>
        <w:rPr>
          <w:rtl/>
        </w:rPr>
        <w:t>שליליינטל</w:t>
      </w:r>
      <w:proofErr w:type="spellEnd"/>
      <w:r>
        <w:rPr>
          <w:rtl/>
        </w:rPr>
        <w:t xml:space="preserve"> הוא שליח הממשלה, וכמה מן המנהיגים אף אמרו לו זאת בפניו.</w:t>
      </w:r>
    </w:p>
    <w:p w14:paraId="229C0949" w14:textId="77777777" w:rsidR="00AB3647" w:rsidRDefault="00000000" w:rsidP="007923E9">
      <w:pPr>
        <w:spacing w:after="120" w:line="276" w:lineRule="auto"/>
        <w:ind w:firstLine="283"/>
        <w:jc w:val="both"/>
      </w:pPr>
      <w:r>
        <w:rPr>
          <w:rtl/>
        </w:rPr>
        <w:t xml:space="preserve">תגובת מינסק עודדה את אנשי וילנה לנקוט עמדה לוחמנית יותר נגד תומכי </w:t>
      </w:r>
      <w:proofErr w:type="spellStart"/>
      <w:r>
        <w:rPr>
          <w:rtl/>
        </w:rPr>
        <w:t>ליליינטל</w:t>
      </w:r>
      <w:proofErr w:type="spellEnd"/>
      <w:r>
        <w:rPr>
          <w:rtl/>
        </w:rPr>
        <w:t xml:space="preserve"> מקרב המשכילים. אספת עם, שבה היו אמורים להצביע על תוכניתו של </w:t>
      </w:r>
      <w:proofErr w:type="spellStart"/>
      <w:r>
        <w:rPr>
          <w:rtl/>
        </w:rPr>
        <w:t>ליליינטל</w:t>
      </w:r>
      <w:proofErr w:type="spellEnd"/>
      <w:r>
        <w:rPr>
          <w:rtl/>
        </w:rPr>
        <w:t xml:space="preserve">, נקבעה ליום הראשון של חול המועד פסח תר״ב. המשכילים קיוו להבריח את המתנגדים בכך שקבעו שכל אחד יצביע </w:t>
      </w:r>
      <w:r>
        <w:rPr>
          <w:b/>
          <w:bCs/>
          <w:rtl/>
        </w:rPr>
        <w:t>בכתב</w:t>
      </w:r>
      <w:r>
        <w:rPr>
          <w:rtl/>
        </w:rPr>
        <w:t>. אבל אלפי אנשים באו להביע את התנגדותם, וההמון יצא משליטה. אפילו נוכחותו של מפקד המשטרה לא מנעה מן הקהל לקרוא בקצב: “לא חפצנו! לא חפצנו!”, ולבסוף נאלץ המפקד להפעיל צינורות מים כדי לפזר את העצרת.</w:t>
      </w:r>
      <w:bookmarkStart w:id="1268" w:name="_fnr764"/>
      <w:r>
        <w:rPr>
          <w:rStyle w:val="a5"/>
        </w:rPr>
        <w:footnoteReference w:id="765" w:customMarkFollows="0"/>
      </w:r>
      <w:bookmarkEnd w:id="1268"/>
    </w:p>
    <w:p w14:paraId="571CEF23" w14:textId="77777777" w:rsidR="00AB3647" w:rsidRDefault="00000000" w:rsidP="007923E9">
      <w:pPr>
        <w:spacing w:after="120" w:line="276" w:lineRule="auto"/>
        <w:ind w:firstLine="283"/>
        <w:jc w:val="both"/>
      </w:pPr>
      <w:r>
        <w:rPr>
          <w:rtl/>
        </w:rPr>
        <w:lastRenderedPageBreak/>
        <w:t>יעקב מארק</w:t>
      </w:r>
      <w:bookmarkStart w:id="1269" w:name="_fnr765"/>
      <w:r>
        <w:rPr>
          <w:rStyle w:val="a5"/>
        </w:rPr>
        <w:footnoteReference w:id="766" w:customMarkFollows="0"/>
      </w:r>
      <w:bookmarkEnd w:id="1269"/>
      <w:r>
        <w:rPr>
          <w:rtl/>
        </w:rPr>
        <w:t xml:space="preserve"> טוען שבתחילת שליחותו של </w:t>
      </w:r>
      <w:proofErr w:type="spellStart"/>
      <w:r>
        <w:rPr>
          <w:rtl/>
        </w:rPr>
        <w:t>ליליינטל</w:t>
      </w:r>
      <w:proofErr w:type="spellEnd"/>
      <w:r>
        <w:rPr>
          <w:rtl/>
        </w:rPr>
        <w:t xml:space="preserve">, “מיד </w:t>
      </w:r>
      <w:proofErr w:type="spellStart"/>
      <w:r>
        <w:rPr>
          <w:rtl/>
        </w:rPr>
        <w:t>כש</w:t>
      </w:r>
      <w:proofErr w:type="spellEnd"/>
      <w:r>
        <w:rPr>
          <w:rtl/>
        </w:rPr>
        <w:t xml:space="preserve">(הוא) בא לרוסיה... האדמו״ר </w:t>
      </w:r>
      <w:proofErr w:type="spellStart"/>
      <w:r>
        <w:rPr>
          <w:rtl/>
        </w:rPr>
        <w:t>מליובאוויטש</w:t>
      </w:r>
      <w:proofErr w:type="spellEnd"/>
      <w:r>
        <w:rPr>
          <w:rtl/>
        </w:rPr>
        <w:t xml:space="preserve"> ור׳ </w:t>
      </w:r>
      <w:proofErr w:type="spellStart"/>
      <w:r>
        <w:rPr>
          <w:rtl/>
        </w:rPr>
        <w:t>איצל׳ה</w:t>
      </w:r>
      <w:proofErr w:type="spellEnd"/>
      <w:r>
        <w:rPr>
          <w:rtl/>
        </w:rPr>
        <w:t>, שכמובן לא יכלו לעשות זאת בגלוי, שלחו שליחים חשאיים אל המשכילים” – מן הסתם, אל המעטים שהייתה להם השפעה עליהם – “</w:t>
      </w:r>
      <w:proofErr w:type="spellStart"/>
      <w:r>
        <w:rPr>
          <w:rtl/>
        </w:rPr>
        <w:t>שליליינטל</w:t>
      </w:r>
      <w:proofErr w:type="spellEnd"/>
      <w:r>
        <w:rPr>
          <w:rtl/>
        </w:rPr>
        <w:t xml:space="preserve"> בחר בהם להיות עוזריו, ופקחו את עיניהם” לסכנה שהוא מביא.</w:t>
      </w:r>
    </w:p>
    <w:p w14:paraId="0C0F05B5" w14:textId="77777777" w:rsidR="00AB3647" w:rsidRDefault="00000000" w:rsidP="007923E9">
      <w:pPr>
        <w:pStyle w:val="4"/>
        <w:spacing w:line="276" w:lineRule="auto"/>
      </w:pPr>
      <w:r>
        <w:t>· הפסקה השביעית ·</w:t>
      </w:r>
    </w:p>
    <w:p w14:paraId="375AAB20" w14:textId="77777777" w:rsidR="00AB3647" w:rsidRDefault="00000000" w:rsidP="007923E9">
      <w:pPr>
        <w:pStyle w:val="5"/>
        <w:spacing w:line="276" w:lineRule="auto"/>
      </w:pPr>
      <w:r>
        <w:t>המודרניזציה המוצעת נתפסת כדרך להמרת דתם של יהודים – הממשלה מקימה ועדה רבנית מייעצת</w:t>
      </w:r>
    </w:p>
    <w:p w14:paraId="2C63B135" w14:textId="77777777" w:rsidR="00AB3647" w:rsidRDefault="00000000" w:rsidP="007923E9">
      <w:pPr>
        <w:spacing w:after="120" w:line="276" w:lineRule="auto"/>
        <w:ind w:firstLine="283"/>
        <w:jc w:val="both"/>
      </w:pPr>
      <w:r>
        <w:rPr>
          <w:rtl/>
        </w:rPr>
        <w:t xml:space="preserve">מסעו הראשון של </w:t>
      </w:r>
      <w:proofErr w:type="spellStart"/>
      <w:r>
        <w:rPr>
          <w:rtl/>
        </w:rPr>
        <w:t>ליליינטל</w:t>
      </w:r>
      <w:proofErr w:type="spellEnd"/>
      <w:r>
        <w:rPr>
          <w:rtl/>
        </w:rPr>
        <w:t xml:space="preserve"> לא הועיל, משום שענן החשד שריחף מעל ראשו היה כבד מנשוא. המאמר </w:t>
      </w:r>
      <w:proofErr w:type="spellStart"/>
      <w:r>
        <w:rPr>
          <w:rtl/>
        </w:rPr>
        <w:t>ב“השלח</w:t>
      </w:r>
      <w:proofErr w:type="spellEnd"/>
      <w:r>
        <w:rPr>
          <w:rtl/>
        </w:rPr>
        <w:t>” משנת 1912</w:t>
      </w:r>
      <w:bookmarkStart w:id="1270" w:name="_fnr766"/>
      <w:r>
        <w:rPr>
          <w:rStyle w:val="a5"/>
        </w:rPr>
        <w:footnoteReference w:id="767" w:customMarkFollows="0"/>
      </w:r>
      <w:bookmarkEnd w:id="1270"/>
      <w:r>
        <w:rPr>
          <w:rtl/>
        </w:rPr>
        <w:t xml:space="preserve"> מספר על ויכוח אופייני בין כמה משכילים באודסה ובין דיין אחד שם, בשאלה מדוע בתי הספר הממשלתיים אינם רצויים בעיני החסידים, אף שהילדים לומדים בהם “בראשית ברא </w:t>
      </w:r>
      <w:proofErr w:type="spellStart"/>
      <w:r>
        <w:rPr>
          <w:rtl/>
        </w:rPr>
        <w:t>א־להים</w:t>
      </w:r>
      <w:proofErr w:type="spellEnd"/>
      <w:r>
        <w:rPr>
          <w:rtl/>
        </w:rPr>
        <w:t xml:space="preserve"> את”, </w:t>
      </w:r>
      <w:proofErr w:type="spellStart"/>
      <w:r>
        <w:rPr>
          <w:rtl/>
        </w:rPr>
        <w:t>וכו</w:t>
      </w:r>
      <w:proofErr w:type="spellEnd"/>
      <w:r>
        <w:rPr>
          <w:rtl/>
        </w:rPr>
        <w:t>׳, כמו בכל החדרים. השיב הדיין: “אינכם רואים את כוונת הממשלה? ‘בראשית’ – המר את דתך [לנצרות]; ‘ברא’ – המר את דתך; ‘</w:t>
      </w:r>
      <w:proofErr w:type="spellStart"/>
      <w:r>
        <w:rPr>
          <w:rtl/>
        </w:rPr>
        <w:t>א־להים</w:t>
      </w:r>
      <w:proofErr w:type="spellEnd"/>
      <w:r>
        <w:rPr>
          <w:rtl/>
        </w:rPr>
        <w:t>’ – המר את דתך; וגם ‘את’ – המר את דתך!”</w:t>
      </w:r>
    </w:p>
    <w:p w14:paraId="07921C25" w14:textId="77777777" w:rsidR="00AB3647" w:rsidRDefault="00000000" w:rsidP="007923E9">
      <w:pPr>
        <w:spacing w:after="120" w:line="276" w:lineRule="auto"/>
        <w:ind w:firstLine="283"/>
        <w:jc w:val="both"/>
      </w:pPr>
      <w:r>
        <w:rPr>
          <w:rtl/>
        </w:rPr>
        <w:t xml:space="preserve">אנציקלופדיה יודאיקה ממשיכה: “תגובתו [של </w:t>
      </w:r>
      <w:proofErr w:type="spellStart"/>
      <w:r>
        <w:rPr>
          <w:rtl/>
        </w:rPr>
        <w:t>ליליינטל</w:t>
      </w:r>
      <w:proofErr w:type="spellEnd"/>
      <w:r>
        <w:rPr>
          <w:rtl/>
        </w:rPr>
        <w:t xml:space="preserve"> על כישלונו] בשנת 1842 הייתה פנייה </w:t>
      </w:r>
      <w:proofErr w:type="spellStart"/>
      <w:r>
        <w:rPr>
          <w:rtl/>
        </w:rPr>
        <w:t>לאוברוב</w:t>
      </w:r>
      <w:proofErr w:type="spellEnd"/>
      <w:r>
        <w:rPr>
          <w:rtl/>
        </w:rPr>
        <w:t xml:space="preserve"> שיכפה ‘רפורמה חינוכית’ על היהודים בסדרת חוקים. שר ההשכלה סירב לעשות זאת, אבל באמצעות צו [</w:t>
      </w:r>
      <w:proofErr w:type="spellStart"/>
      <w:r>
        <w:rPr>
          <w:rtl/>
        </w:rPr>
        <w:t>האוקאז</w:t>
      </w:r>
      <w:proofErr w:type="spellEnd"/>
      <w:r>
        <w:rPr>
          <w:rtl/>
        </w:rPr>
        <w:t xml:space="preserve"> מ־22 ביוני 1842] רמז ליהודים שהצאר עצמו מצדד ברפורמה.”</w:t>
      </w:r>
    </w:p>
    <w:p w14:paraId="0B4E5B69" w14:textId="77777777" w:rsidR="00AB3647" w:rsidRDefault="00000000" w:rsidP="007923E9">
      <w:pPr>
        <w:spacing w:after="120" w:line="276" w:lineRule="auto"/>
        <w:ind w:firstLine="283"/>
        <w:jc w:val="both"/>
      </w:pPr>
      <w:r>
        <w:rPr>
          <w:rtl/>
        </w:rPr>
        <w:t xml:space="preserve">אז, בקיץ תר״ב, הוקמה ועדה רבנית רשמית. היו בה שני רבנים, שייצגו את הציבור שומר המצוות הכללי ואת החסידים – ר׳ </w:t>
      </w:r>
      <w:proofErr w:type="spellStart"/>
      <w:r>
        <w:rPr>
          <w:rtl/>
        </w:rPr>
        <w:t>איצל׳ה</w:t>
      </w:r>
      <w:proofErr w:type="spellEnd"/>
      <w:r>
        <w:rPr>
          <w:rtl/>
        </w:rPr>
        <w:t xml:space="preserve">, ראש ישיבת </w:t>
      </w:r>
      <w:proofErr w:type="spellStart"/>
      <w:r>
        <w:rPr>
          <w:rtl/>
        </w:rPr>
        <w:t>וולוז׳ין</w:t>
      </w:r>
      <w:proofErr w:type="spellEnd"/>
      <w:r>
        <w:rPr>
          <w:rtl/>
        </w:rPr>
        <w:t xml:space="preserve"> ובנו של מייסדה, ור׳ </w:t>
      </w:r>
      <w:proofErr w:type="spellStart"/>
      <w:r>
        <w:rPr>
          <w:rtl/>
        </w:rPr>
        <w:t>מנחם־מנדל</w:t>
      </w:r>
      <w:proofErr w:type="spellEnd"/>
      <w:r>
        <w:rPr>
          <w:rtl/>
        </w:rPr>
        <w:t xml:space="preserve"> שניאורסון, האדמו״ר </w:t>
      </w:r>
      <w:proofErr w:type="spellStart"/>
      <w:r>
        <w:rPr>
          <w:rtl/>
        </w:rPr>
        <w:t>מליובאוויטש</w:t>
      </w:r>
      <w:proofErr w:type="spellEnd"/>
      <w:r>
        <w:rPr>
          <w:rtl/>
        </w:rPr>
        <w:t xml:space="preserve">, הנודע על שם ספרו </w:t>
      </w:r>
      <w:proofErr w:type="spellStart"/>
      <w:r>
        <w:rPr>
          <w:rtl/>
        </w:rPr>
        <w:t>כ“צמח</w:t>
      </w:r>
      <w:proofErr w:type="spellEnd"/>
      <w:r>
        <w:rPr>
          <w:rtl/>
        </w:rPr>
        <w:t xml:space="preserve"> צדק”</w:t>
      </w:r>
      <w:bookmarkStart w:id="1271" w:name="_fnr767"/>
      <w:r>
        <w:rPr>
          <w:rStyle w:val="a5"/>
        </w:rPr>
        <w:footnoteReference w:id="768" w:customMarkFollows="0"/>
      </w:r>
      <w:bookmarkEnd w:id="1271"/>
      <w:r>
        <w:rPr>
          <w:rtl/>
        </w:rPr>
        <w:t xml:space="preserve"> – ועמם שני מנהיגים מודרניים יותר. הוועדה נועדה להתכנס </w:t>
      </w:r>
      <w:proofErr w:type="spellStart"/>
      <w:r>
        <w:rPr>
          <w:rtl/>
        </w:rPr>
        <w:t>בסנקט</w:t>
      </w:r>
      <w:proofErr w:type="spellEnd"/>
      <w:r>
        <w:rPr>
          <w:rtl/>
        </w:rPr>
        <w:t xml:space="preserve"> פטרבורג ולייעץ לשר </w:t>
      </w:r>
      <w:proofErr w:type="spellStart"/>
      <w:r>
        <w:rPr>
          <w:rtl/>
        </w:rPr>
        <w:t>אוברוב</w:t>
      </w:r>
      <w:proofErr w:type="spellEnd"/>
      <w:r>
        <w:rPr>
          <w:rtl/>
        </w:rPr>
        <w:t xml:space="preserve"> בתוכנית הרפורמה בבתי הספר היהודיים.</w:t>
      </w:r>
      <w:bookmarkStart w:id="1272" w:name="_fnr768"/>
      <w:r>
        <w:rPr>
          <w:rStyle w:val="a5"/>
        </w:rPr>
        <w:footnoteReference w:id="769" w:customMarkFollows="0"/>
      </w:r>
      <w:bookmarkEnd w:id="1272"/>
    </w:p>
    <w:p w14:paraId="581585D0" w14:textId="77777777" w:rsidR="00AB3647" w:rsidRDefault="00000000" w:rsidP="007923E9">
      <w:pPr>
        <w:pStyle w:val="4"/>
        <w:spacing w:line="276" w:lineRule="auto"/>
      </w:pPr>
      <w:r>
        <w:lastRenderedPageBreak/>
        <w:t>· הפסקה השמינית ·</w:t>
      </w:r>
    </w:p>
    <w:p w14:paraId="4CBB5F05" w14:textId="77777777" w:rsidR="00AB3647" w:rsidRDefault="00000000" w:rsidP="007923E9">
      <w:pPr>
        <w:pStyle w:val="5"/>
        <w:spacing w:line="276" w:lineRule="auto"/>
      </w:pPr>
      <w:r>
        <w:t xml:space="preserve">מזלו של </w:t>
      </w:r>
      <w:proofErr w:type="spellStart"/>
      <w:r>
        <w:t>ליליינטל</w:t>
      </w:r>
      <w:proofErr w:type="spellEnd"/>
      <w:r>
        <w:t xml:space="preserve"> מתהפך – הוא מבקר אצל ר׳ </w:t>
      </w:r>
      <w:proofErr w:type="spellStart"/>
      <w:r>
        <w:t>איצל׳ה</w:t>
      </w:r>
      <w:proofErr w:type="spellEnd"/>
      <w:r>
        <w:t xml:space="preserve">, ראש ישיבת </w:t>
      </w:r>
      <w:proofErr w:type="spellStart"/>
      <w:r>
        <w:t>וולוז׳ין</w:t>
      </w:r>
      <w:proofErr w:type="spellEnd"/>
      <w:r>
        <w:t xml:space="preserve"> – יש שתי גרסאות על הזמן המדויק שבו נפגשו</w:t>
      </w:r>
    </w:p>
    <w:p w14:paraId="4B391038" w14:textId="77777777" w:rsidR="00AB3647" w:rsidRDefault="00000000" w:rsidP="007923E9">
      <w:pPr>
        <w:spacing w:after="120" w:line="276" w:lineRule="auto"/>
        <w:ind w:firstLine="283"/>
        <w:jc w:val="both"/>
      </w:pPr>
      <w:proofErr w:type="spellStart"/>
      <w:r>
        <w:rPr>
          <w:rtl/>
        </w:rPr>
        <w:t>ליליינטל</w:t>
      </w:r>
      <w:proofErr w:type="spellEnd"/>
      <w:r>
        <w:rPr>
          <w:rtl/>
        </w:rPr>
        <w:t xml:space="preserve"> יצא למסע שני בתחום המושב בסתיו תר״ב–תר״ג, חצי שנה אחרי מסעו הראשון. “מקור ברוך”</w:t>
      </w:r>
      <w:bookmarkStart w:id="1273" w:name="_fnr769"/>
      <w:r>
        <w:rPr>
          <w:rStyle w:val="a5"/>
        </w:rPr>
        <w:footnoteReference w:id="770" w:customMarkFollows="0"/>
      </w:r>
      <w:bookmarkEnd w:id="1273"/>
      <w:r>
        <w:rPr>
          <w:rtl/>
        </w:rPr>
        <w:t xml:space="preserve"> מפליג בלשון פיוטית בתארו עד כמה שונה הייתה קבלת הפנים שזכה לה </w:t>
      </w:r>
      <w:proofErr w:type="spellStart"/>
      <w:r>
        <w:rPr>
          <w:rtl/>
        </w:rPr>
        <w:t>ליליינטל</w:t>
      </w:r>
      <w:proofErr w:type="spellEnd"/>
      <w:r>
        <w:rPr>
          <w:rtl/>
        </w:rPr>
        <w:t xml:space="preserve"> במסע השני מזו שבמסע הראשון: “שונה כקרח מאש, כאור מחושך, כאבל משמחה, כמעט שאין להאמין.” המאמר </w:t>
      </w:r>
      <w:proofErr w:type="spellStart"/>
      <w:r>
        <w:rPr>
          <w:rtl/>
        </w:rPr>
        <w:t>ב“השלח</w:t>
      </w:r>
      <w:proofErr w:type="spellEnd"/>
      <w:r>
        <w:rPr>
          <w:rtl/>
        </w:rPr>
        <w:t>” משנת 1912</w:t>
      </w:r>
      <w:bookmarkStart w:id="1274" w:name="_fnr770"/>
      <w:r>
        <w:rPr>
          <w:rStyle w:val="a5"/>
        </w:rPr>
        <w:footnoteReference w:id="771" w:customMarkFollows="0"/>
      </w:r>
      <w:bookmarkEnd w:id="1274"/>
      <w:r>
        <w:rPr>
          <w:rtl/>
        </w:rPr>
        <w:t xml:space="preserve"> תולה את השינוי בשלושה גורמים: </w:t>
      </w:r>
      <w:proofErr w:type="spellStart"/>
      <w:r>
        <w:rPr>
          <w:rtl/>
        </w:rPr>
        <w:t>ליליינטל</w:t>
      </w:r>
      <w:proofErr w:type="spellEnd"/>
      <w:r>
        <w:rPr>
          <w:rtl/>
        </w:rPr>
        <w:t xml:space="preserve"> היה עתה שליח קיסרי רשמי, ובידו מכתב מן הצאר הממנה אותו למשימה, ודבר זה עורר אימת מלכות; החוברת “מגיד ישועה” שחיבר </w:t>
      </w:r>
      <w:proofErr w:type="spellStart"/>
      <w:r>
        <w:rPr>
          <w:rtl/>
        </w:rPr>
        <w:t>ליליינטל</w:t>
      </w:r>
      <w:bookmarkStart w:id="1275" w:name="_fnr771"/>
      <w:proofErr w:type="spellEnd"/>
      <w:r>
        <w:rPr>
          <w:rStyle w:val="a5"/>
        </w:rPr>
        <w:footnoteReference w:id="772" w:customMarkFollows="0"/>
      </w:r>
      <w:bookmarkEnd w:id="1275"/>
      <w:r>
        <w:rPr>
          <w:rtl/>
        </w:rPr>
        <w:t xml:space="preserve"> הפיגה את ספקות היהודים; ומינוי הוועדה הרבנית להנחות את הקמת התוכנית הרגיע את חששותיהם.</w:t>
      </w:r>
    </w:p>
    <w:p w14:paraId="6730002B" w14:textId="77777777" w:rsidR="00AB3647" w:rsidRDefault="00000000" w:rsidP="007923E9">
      <w:pPr>
        <w:spacing w:after="120" w:line="276" w:lineRule="auto"/>
        <w:ind w:firstLine="283"/>
        <w:jc w:val="both"/>
      </w:pPr>
      <w:r>
        <w:rPr>
          <w:rtl/>
        </w:rPr>
        <w:t>אבל לפי “מקור ברוך”</w:t>
      </w:r>
      <w:bookmarkStart w:id="1276" w:name="_fnr772"/>
      <w:r>
        <w:rPr>
          <w:rStyle w:val="a5"/>
        </w:rPr>
        <w:footnoteReference w:id="773" w:customMarkFollows="0"/>
      </w:r>
      <w:bookmarkEnd w:id="1276"/>
      <w:r>
        <w:rPr>
          <w:rtl/>
        </w:rPr>
        <w:t xml:space="preserve"> נבע השינוי מפגישתו של </w:t>
      </w:r>
      <w:proofErr w:type="spellStart"/>
      <w:r>
        <w:rPr>
          <w:rtl/>
        </w:rPr>
        <w:t>ליליינטל</w:t>
      </w:r>
      <w:proofErr w:type="spellEnd"/>
      <w:r>
        <w:rPr>
          <w:rtl/>
        </w:rPr>
        <w:t xml:space="preserve"> עם ר׳ </w:t>
      </w:r>
      <w:proofErr w:type="spellStart"/>
      <w:r>
        <w:rPr>
          <w:rtl/>
        </w:rPr>
        <w:t>איצל׳ה</w:t>
      </w:r>
      <w:proofErr w:type="spellEnd"/>
      <w:r>
        <w:rPr>
          <w:rtl/>
        </w:rPr>
        <w:t xml:space="preserve"> </w:t>
      </w:r>
      <w:proofErr w:type="spellStart"/>
      <w:r>
        <w:rPr>
          <w:rtl/>
        </w:rPr>
        <w:t>בוולוז׳ין</w:t>
      </w:r>
      <w:proofErr w:type="spellEnd"/>
      <w:r>
        <w:rPr>
          <w:rtl/>
        </w:rPr>
        <w:t xml:space="preserve">, בשבוע של יום הכיפורים תר״ג, שבה שכנע את ר׳ </w:t>
      </w:r>
      <w:proofErr w:type="spellStart"/>
      <w:r>
        <w:rPr>
          <w:rtl/>
        </w:rPr>
        <w:t>איצל׳ה</w:t>
      </w:r>
      <w:proofErr w:type="spellEnd"/>
      <w:r>
        <w:rPr>
          <w:rtl/>
        </w:rPr>
        <w:t xml:space="preserve"> בתום כוונותיו. גרסת “מקור ברוך” נתמכת במכתבו של </w:t>
      </w:r>
      <w:proofErr w:type="spellStart"/>
      <w:r>
        <w:rPr>
          <w:rtl/>
        </w:rPr>
        <w:t>ליליינטל</w:t>
      </w:r>
      <w:proofErr w:type="spellEnd"/>
      <w:r>
        <w:rPr>
          <w:rtl/>
        </w:rPr>
        <w:t xml:space="preserve"> לרוזנטל, המובא להלן. שם הוא מזכיר </w:t>
      </w:r>
      <w:proofErr w:type="spellStart"/>
      <w:r>
        <w:rPr>
          <w:rtl/>
        </w:rPr>
        <w:t>ש“השליחים</w:t>
      </w:r>
      <w:proofErr w:type="spellEnd"/>
      <w:r>
        <w:rPr>
          <w:rtl/>
        </w:rPr>
        <w:t xml:space="preserve"> מווילנה וממינסק” – שמן הסתם ליוו אותו </w:t>
      </w:r>
      <w:proofErr w:type="spellStart"/>
      <w:r>
        <w:rPr>
          <w:rtl/>
        </w:rPr>
        <w:t>לוולוז׳ין</w:t>
      </w:r>
      <w:proofErr w:type="spellEnd"/>
      <w:r>
        <w:rPr>
          <w:rtl/>
        </w:rPr>
        <w:t xml:space="preserve"> כדי לעמוד על יחסו של ר׳ </w:t>
      </w:r>
      <w:proofErr w:type="spellStart"/>
      <w:r>
        <w:rPr>
          <w:rtl/>
        </w:rPr>
        <w:t>איצל׳ה</w:t>
      </w:r>
      <w:proofErr w:type="spellEnd"/>
      <w:r>
        <w:rPr>
          <w:rtl/>
        </w:rPr>
        <w:t xml:space="preserve"> אליו – “התקרבו (אליו) גם הם”, והם הפיצו בקהילות היהודיות הגדולות את הידיעה ששליחותו קיבלה את אישורו של מנהיג ישראל הגדול ר׳ </w:t>
      </w:r>
      <w:proofErr w:type="spellStart"/>
      <w:r>
        <w:rPr>
          <w:rtl/>
        </w:rPr>
        <w:t>איצל׳ה</w:t>
      </w:r>
      <w:proofErr w:type="spellEnd"/>
      <w:r>
        <w:rPr>
          <w:rtl/>
        </w:rPr>
        <w:t>.</w:t>
      </w:r>
    </w:p>
    <w:p w14:paraId="37836AEE" w14:textId="77777777" w:rsidR="00AB3647" w:rsidRDefault="00000000" w:rsidP="007923E9">
      <w:pPr>
        <w:spacing w:after="120" w:line="276" w:lineRule="auto"/>
        <w:ind w:firstLine="283"/>
        <w:jc w:val="both"/>
      </w:pPr>
      <w:r>
        <w:rPr>
          <w:rtl/>
        </w:rPr>
        <w:t xml:space="preserve">ראיה נוספת לשיטת “מקור ברוך”: בערב יום הכיפורים, בעוד </w:t>
      </w:r>
      <w:proofErr w:type="spellStart"/>
      <w:r>
        <w:rPr>
          <w:rtl/>
        </w:rPr>
        <w:t>ליליינטל</w:t>
      </w:r>
      <w:proofErr w:type="spellEnd"/>
      <w:r>
        <w:rPr>
          <w:rtl/>
        </w:rPr>
        <w:t xml:space="preserve"> </w:t>
      </w:r>
      <w:proofErr w:type="spellStart"/>
      <w:r>
        <w:rPr>
          <w:rtl/>
        </w:rPr>
        <w:t>בוולוז׳ין</w:t>
      </w:r>
      <w:proofErr w:type="spellEnd"/>
      <w:r>
        <w:rPr>
          <w:rtl/>
        </w:rPr>
        <w:t xml:space="preserve">, הייתה ההתנגדות לו עדיין חריפה כל כך – למרות חלוף חצי השנה ושלושת הגורמים המיטיבים שמנה המאמר </w:t>
      </w:r>
      <w:proofErr w:type="spellStart"/>
      <w:r>
        <w:rPr>
          <w:rtl/>
        </w:rPr>
        <w:t>ב“השלח</w:t>
      </w:r>
      <w:proofErr w:type="spellEnd"/>
      <w:r>
        <w:rPr>
          <w:rtl/>
        </w:rPr>
        <w:t xml:space="preserve">” – עד שאספה של עשרה מחשובי יהודי מינסק, ובהם בנו של ר׳ עקיבא איגר, הטילה חרם על ד״ר </w:t>
      </w:r>
      <w:proofErr w:type="spellStart"/>
      <w:r>
        <w:rPr>
          <w:rtl/>
        </w:rPr>
        <w:t>ליליינטל</w:t>
      </w:r>
      <w:proofErr w:type="spellEnd"/>
      <w:r>
        <w:rPr>
          <w:rtl/>
        </w:rPr>
        <w:t xml:space="preserve"> ושלחה מכתבים לערים אחרות להזהיר מפניו. ואף על פי כן, כעבור ימים אחדים התקבל </w:t>
      </w:r>
      <w:proofErr w:type="spellStart"/>
      <w:r>
        <w:rPr>
          <w:rtl/>
        </w:rPr>
        <w:t>ליליינטל</w:t>
      </w:r>
      <w:proofErr w:type="spellEnd"/>
      <w:r>
        <w:rPr>
          <w:rtl/>
        </w:rPr>
        <w:t xml:space="preserve"> במינסק בכבוד. המאורע היחיד בעל המשמעות שאירע באותם ימים מעטים היה שיחתו בארבע עיניים עם ר׳ </w:t>
      </w:r>
      <w:proofErr w:type="spellStart"/>
      <w:r>
        <w:rPr>
          <w:rtl/>
        </w:rPr>
        <w:t>איצל׳ה</w:t>
      </w:r>
      <w:proofErr w:type="spellEnd"/>
      <w:r>
        <w:rPr>
          <w:rtl/>
        </w:rPr>
        <w:t>.</w:t>
      </w:r>
      <w:bookmarkStart w:id="1277" w:name="_fnr773"/>
      <w:r>
        <w:rPr>
          <w:rStyle w:val="a5"/>
        </w:rPr>
        <w:footnoteReference w:id="774" w:customMarkFollows="0"/>
      </w:r>
      <w:bookmarkEnd w:id="1277"/>
    </w:p>
    <w:p w14:paraId="47AA0939" w14:textId="77777777" w:rsidR="00AB3647" w:rsidRDefault="00000000" w:rsidP="007923E9">
      <w:pPr>
        <w:spacing w:after="120" w:line="276" w:lineRule="auto"/>
        <w:ind w:firstLine="283"/>
        <w:jc w:val="both"/>
      </w:pPr>
      <w:r>
        <w:rPr>
          <w:rtl/>
        </w:rPr>
        <w:lastRenderedPageBreak/>
        <w:t xml:space="preserve">הערת שוליים </w:t>
      </w:r>
      <w:proofErr w:type="spellStart"/>
      <w:r>
        <w:rPr>
          <w:rtl/>
        </w:rPr>
        <w:t>ב“מקור</w:t>
      </w:r>
      <w:proofErr w:type="spellEnd"/>
      <w:r>
        <w:rPr>
          <w:rtl/>
        </w:rPr>
        <w:t xml:space="preserve"> ברוך”</w:t>
      </w:r>
      <w:bookmarkStart w:id="1278" w:name="_fnr774"/>
      <w:r>
        <w:rPr>
          <w:rStyle w:val="a5"/>
        </w:rPr>
        <w:footnoteReference w:id="775" w:customMarkFollows="0"/>
      </w:r>
      <w:bookmarkEnd w:id="1278"/>
      <w:r>
        <w:rPr>
          <w:rtl/>
        </w:rPr>
        <w:t xml:space="preserve"> מספרת שאביו של המחבר, ר׳ </w:t>
      </w:r>
      <w:proofErr w:type="spellStart"/>
      <w:r>
        <w:rPr>
          <w:rtl/>
        </w:rPr>
        <w:t>יחיאל־מיכל</w:t>
      </w:r>
      <w:proofErr w:type="spellEnd"/>
      <w:r>
        <w:rPr>
          <w:rtl/>
        </w:rPr>
        <w:t xml:space="preserve"> אפשטיין, בעל ערוך השולחן,</w:t>
      </w:r>
      <w:bookmarkStart w:id="1279" w:name="_fnr775"/>
      <w:r>
        <w:rPr>
          <w:rStyle w:val="a5"/>
        </w:rPr>
        <w:footnoteReference w:id="776" w:customMarkFollows="0"/>
      </w:r>
      <w:bookmarkEnd w:id="1279"/>
      <w:r>
        <w:rPr>
          <w:rtl/>
        </w:rPr>
        <w:t xml:space="preserve"> היה תלמיד בישיבת </w:t>
      </w:r>
      <w:proofErr w:type="spellStart"/>
      <w:r>
        <w:rPr>
          <w:rtl/>
        </w:rPr>
        <w:t>וולוז׳ין</w:t>
      </w:r>
      <w:proofErr w:type="spellEnd"/>
      <w:r>
        <w:rPr>
          <w:rtl/>
        </w:rPr>
        <w:t xml:space="preserve"> בשעת ביקורו של </w:t>
      </w:r>
      <w:proofErr w:type="spellStart"/>
      <w:r>
        <w:rPr>
          <w:rtl/>
        </w:rPr>
        <w:t>ליליינטל</w:t>
      </w:r>
      <w:proofErr w:type="spellEnd"/>
      <w:r>
        <w:rPr>
          <w:rtl/>
        </w:rPr>
        <w:t>. הוא סיפר לבנו: “</w:t>
      </w:r>
      <w:r>
        <w:rPr>
          <w:b/>
          <w:bCs/>
          <w:rtl/>
        </w:rPr>
        <w:t xml:space="preserve">למחרת יום בואו של </w:t>
      </w:r>
      <w:proofErr w:type="spellStart"/>
      <w:r>
        <w:rPr>
          <w:b/>
          <w:bCs/>
          <w:rtl/>
        </w:rPr>
        <w:t>ליליענטהאל</w:t>
      </w:r>
      <w:proofErr w:type="spellEnd"/>
      <w:r>
        <w:rPr>
          <w:rtl/>
        </w:rPr>
        <w:t xml:space="preserve"> שהי׳ יום הקריאה (יום ב׳ או יום ה׳)” – ודאי היה זה יום שני, שכן יום הכיפורים באותה שנה, תר״ג, חל ביום רביעי – “לאחר תפלת </w:t>
      </w:r>
      <w:proofErr w:type="spellStart"/>
      <w:r>
        <w:rPr>
          <w:rtl/>
        </w:rPr>
        <w:t>שמונה־עשרה</w:t>
      </w:r>
      <w:proofErr w:type="spellEnd"/>
      <w:r>
        <w:rPr>
          <w:rtl/>
        </w:rPr>
        <w:t xml:space="preserve"> של שחרית שלחו מביהמ״ד שני אנשים נכבדים אליו </w:t>
      </w:r>
      <w:proofErr w:type="spellStart"/>
      <w:r>
        <w:rPr>
          <w:b/>
          <w:bCs/>
          <w:rtl/>
        </w:rPr>
        <w:t>לאכסניא</w:t>
      </w:r>
      <w:proofErr w:type="spellEnd"/>
      <w:r>
        <w:rPr>
          <w:b/>
          <w:bCs/>
          <w:rtl/>
        </w:rPr>
        <w:t xml:space="preserve"> שלו</w:t>
      </w:r>
      <w:r>
        <w:rPr>
          <w:rtl/>
        </w:rPr>
        <w:t xml:space="preserve"> להגיד לו, כי מחכים עליו ‘לקריאת התורה’; ויתרגש מאוד לרגשי כבוד מצוין כזה, ויודה להם על הכבוד הזה ויתנצל על כי לא יוכל להשתמש בכבוד נעלה זה, מפני </w:t>
      </w:r>
      <w:proofErr w:type="spellStart"/>
      <w:r>
        <w:rPr>
          <w:rtl/>
        </w:rPr>
        <w:t>עיפותו</w:t>
      </w:r>
      <w:proofErr w:type="spellEnd"/>
      <w:r>
        <w:rPr>
          <w:rtl/>
        </w:rPr>
        <w:t xml:space="preserve"> מדרכו, וביקש להודות לכל המתפללים” (ההדגשות שלי).</w:t>
      </w:r>
    </w:p>
    <w:p w14:paraId="6130A499" w14:textId="77777777" w:rsidR="00AB3647" w:rsidRDefault="00000000" w:rsidP="007923E9">
      <w:pPr>
        <w:spacing w:after="120" w:line="276" w:lineRule="auto"/>
        <w:ind w:firstLine="283"/>
        <w:jc w:val="both"/>
      </w:pPr>
      <w:r>
        <w:rPr>
          <w:rtl/>
        </w:rPr>
        <w:t xml:space="preserve">בעניין זה טעה </w:t>
      </w:r>
      <w:proofErr w:type="spellStart"/>
      <w:r>
        <w:rPr>
          <w:rtl/>
        </w:rPr>
        <w:t>אברהם־יעקב</w:t>
      </w:r>
      <w:proofErr w:type="spellEnd"/>
      <w:r>
        <w:rPr>
          <w:rtl/>
        </w:rPr>
        <w:t xml:space="preserve"> </w:t>
      </w:r>
      <w:proofErr w:type="spellStart"/>
      <w:r>
        <w:rPr>
          <w:rtl/>
        </w:rPr>
        <w:t>פפירנא</w:t>
      </w:r>
      <w:bookmarkStart w:id="1280" w:name="_fnr776"/>
      <w:proofErr w:type="spellEnd"/>
      <w:r>
        <w:rPr>
          <w:rStyle w:val="a5"/>
        </w:rPr>
        <w:footnoteReference w:id="777" w:customMarkFollows="0"/>
      </w:r>
      <w:bookmarkEnd w:id="1280"/>
      <w:r>
        <w:rPr>
          <w:rtl/>
        </w:rPr>
        <w:t xml:space="preserve">, שכתב, כמובא בספרו של </w:t>
      </w:r>
      <w:proofErr w:type="spellStart"/>
      <w:r>
        <w:rPr>
          <w:rtl/>
        </w:rPr>
        <w:t>צינוביץ</w:t>
      </w:r>
      <w:proofErr w:type="spellEnd"/>
      <w:r>
        <w:rPr>
          <w:rtl/>
        </w:rPr>
        <w:t>, “עץ חיים”</w:t>
      </w:r>
      <w:bookmarkStart w:id="1281" w:name="_fnr777"/>
      <w:r>
        <w:rPr>
          <w:rStyle w:val="a5"/>
        </w:rPr>
        <w:footnoteReference w:id="778" w:customMarkFollows="0"/>
      </w:r>
      <w:bookmarkEnd w:id="1281"/>
      <w:r>
        <w:rPr>
          <w:rtl/>
        </w:rPr>
        <w:t>, בניגוד לשני הפרטים המודגשים לעיל: “[</w:t>
      </w:r>
      <w:proofErr w:type="spellStart"/>
      <w:r>
        <w:rPr>
          <w:rtl/>
        </w:rPr>
        <w:t>ליליינטל</w:t>
      </w:r>
      <w:proofErr w:type="spellEnd"/>
      <w:r>
        <w:rPr>
          <w:rtl/>
        </w:rPr>
        <w:t xml:space="preserve">] היה </w:t>
      </w:r>
      <w:r>
        <w:rPr>
          <w:b/>
          <w:bCs/>
          <w:rtl/>
        </w:rPr>
        <w:t>אורח בביתו</w:t>
      </w:r>
      <w:r>
        <w:rPr>
          <w:rtl/>
        </w:rPr>
        <w:t xml:space="preserve"> של ר׳ </w:t>
      </w:r>
      <w:proofErr w:type="spellStart"/>
      <w:r>
        <w:rPr>
          <w:rtl/>
        </w:rPr>
        <w:t>איצל׳ה</w:t>
      </w:r>
      <w:proofErr w:type="spellEnd"/>
      <w:r>
        <w:rPr>
          <w:rtl/>
        </w:rPr>
        <w:t xml:space="preserve">. </w:t>
      </w:r>
      <w:r>
        <w:rPr>
          <w:b/>
          <w:bCs/>
          <w:rtl/>
        </w:rPr>
        <w:t>שלושה ימים ושלושה לילות לפני יום הכיפורים</w:t>
      </w:r>
      <w:r>
        <w:rPr>
          <w:rtl/>
        </w:rPr>
        <w:t xml:space="preserve"> דנו שני האנשים הגדולים [ר׳ </w:t>
      </w:r>
      <w:proofErr w:type="spellStart"/>
      <w:r>
        <w:rPr>
          <w:rtl/>
        </w:rPr>
        <w:t>איצל׳ה</w:t>
      </w:r>
      <w:proofErr w:type="spellEnd"/>
      <w:r>
        <w:rPr>
          <w:rtl/>
        </w:rPr>
        <w:t xml:space="preserve"> </w:t>
      </w:r>
      <w:proofErr w:type="spellStart"/>
      <w:r>
        <w:rPr>
          <w:rtl/>
        </w:rPr>
        <w:t>וליליינטל</w:t>
      </w:r>
      <w:proofErr w:type="spellEnd"/>
      <w:r>
        <w:rPr>
          <w:rtl/>
        </w:rPr>
        <w:t>] בהצעת הממשלה.” מחבר “מקור ברוך” מספר</w:t>
      </w:r>
      <w:bookmarkStart w:id="1282" w:name="_fnr778"/>
      <w:r>
        <w:rPr>
          <w:rStyle w:val="a5"/>
        </w:rPr>
        <w:footnoteReference w:id="779" w:customMarkFollows="0"/>
      </w:r>
      <w:bookmarkEnd w:id="1282"/>
      <w:r>
        <w:rPr>
          <w:rtl/>
        </w:rPr>
        <w:t xml:space="preserve"> </w:t>
      </w:r>
      <w:proofErr w:type="spellStart"/>
      <w:r>
        <w:rPr>
          <w:rtl/>
        </w:rPr>
        <w:t>שליליינטל</w:t>
      </w:r>
      <w:proofErr w:type="spellEnd"/>
      <w:r>
        <w:rPr>
          <w:rtl/>
        </w:rPr>
        <w:t xml:space="preserve"> ערך </w:t>
      </w:r>
      <w:proofErr w:type="spellStart"/>
      <w:r>
        <w:rPr>
          <w:rtl/>
        </w:rPr>
        <w:t>לר</w:t>
      </w:r>
      <w:proofErr w:type="spellEnd"/>
      <w:r>
        <w:rPr>
          <w:rtl/>
        </w:rPr>
        <w:t xml:space="preserve">׳ </w:t>
      </w:r>
      <w:proofErr w:type="spellStart"/>
      <w:r>
        <w:rPr>
          <w:rtl/>
        </w:rPr>
        <w:t>איצל׳ה</w:t>
      </w:r>
      <w:proofErr w:type="spellEnd"/>
      <w:r>
        <w:rPr>
          <w:rtl/>
        </w:rPr>
        <w:t xml:space="preserve"> רק ביקור נימוסין לפני יום הכיפורים, ושיחותיהם של ממש התקיימו רק </w:t>
      </w:r>
      <w:r>
        <w:rPr>
          <w:b/>
          <w:bCs/>
          <w:rtl/>
        </w:rPr>
        <w:t>אחרי</w:t>
      </w:r>
      <w:r>
        <w:rPr>
          <w:rtl/>
        </w:rPr>
        <w:t xml:space="preserve"> החג.</w:t>
      </w:r>
      <w:bookmarkStart w:id="1283" w:name="_fnr779"/>
      <w:r>
        <w:rPr>
          <w:rStyle w:val="a5"/>
        </w:rPr>
        <w:footnoteReference w:id="780" w:customMarkFollows="0"/>
      </w:r>
      <w:bookmarkEnd w:id="1283"/>
      <w:r>
        <w:rPr>
          <w:rtl/>
        </w:rPr>
        <w:t xml:space="preserve"> הוא טוען שאת כל סיפור שהותו של </w:t>
      </w:r>
      <w:proofErr w:type="spellStart"/>
      <w:r>
        <w:rPr>
          <w:rtl/>
        </w:rPr>
        <w:t>ליליינטל</w:t>
      </w:r>
      <w:proofErr w:type="spellEnd"/>
      <w:r>
        <w:rPr>
          <w:rtl/>
        </w:rPr>
        <w:t xml:space="preserve"> </w:t>
      </w:r>
      <w:proofErr w:type="spellStart"/>
      <w:r>
        <w:rPr>
          <w:rtl/>
        </w:rPr>
        <w:t>בוולוז׳ין</w:t>
      </w:r>
      <w:proofErr w:type="spellEnd"/>
      <w:r>
        <w:rPr>
          <w:rtl/>
        </w:rPr>
        <w:t xml:space="preserve"> שמע שנים רבות לאחר מכן מפי ר׳ </w:t>
      </w:r>
      <w:proofErr w:type="spellStart"/>
      <w:r>
        <w:rPr>
          <w:rtl/>
        </w:rPr>
        <w:t>נפתלי־צבי־יהודה</w:t>
      </w:r>
      <w:proofErr w:type="spellEnd"/>
      <w:r>
        <w:rPr>
          <w:rtl/>
        </w:rPr>
        <w:t xml:space="preserve"> ברלין (</w:t>
      </w:r>
      <w:proofErr w:type="spellStart"/>
      <w:r>
        <w:rPr>
          <w:rtl/>
        </w:rPr>
        <w:t>הנצי״ב</w:t>
      </w:r>
      <w:proofErr w:type="spellEnd"/>
      <w:r>
        <w:rPr>
          <w:rtl/>
        </w:rPr>
        <w:t xml:space="preserve">), חתנו של ר׳ </w:t>
      </w:r>
      <w:proofErr w:type="spellStart"/>
      <w:r>
        <w:rPr>
          <w:rtl/>
        </w:rPr>
        <w:t>איצל׳ה</w:t>
      </w:r>
      <w:proofErr w:type="spellEnd"/>
      <w:r>
        <w:rPr>
          <w:rtl/>
        </w:rPr>
        <w:t xml:space="preserve">, שנכח בשיחות. </w:t>
      </w:r>
      <w:proofErr w:type="spellStart"/>
      <w:r>
        <w:rPr>
          <w:rtl/>
        </w:rPr>
        <w:t>הנצי״ב</w:t>
      </w:r>
      <w:proofErr w:type="spellEnd"/>
      <w:r>
        <w:rPr>
          <w:rtl/>
        </w:rPr>
        <w:t xml:space="preserve"> היה צעיר בשנתיים </w:t>
      </w:r>
      <w:proofErr w:type="spellStart"/>
      <w:r>
        <w:rPr>
          <w:rtl/>
        </w:rPr>
        <w:t>מליליינטל</w:t>
      </w:r>
      <w:proofErr w:type="spellEnd"/>
      <w:r>
        <w:rPr>
          <w:rtl/>
        </w:rPr>
        <w:t>, שהיה אז בן עשרים ושמונה</w:t>
      </w:r>
      <w:bookmarkStart w:id="1284" w:name="_fnr780"/>
      <w:bookmarkEnd w:id="1284"/>
      <w:r>
        <w:rPr>
          <w:rStyle w:val="a5"/>
        </w:rPr>
        <w:t/>
      </w:r>
      <w:bookmarkStart w:id="7003" w:name="_TranslatorNote_780"/>
      <w:r>
        <w:rPr>
          <w:rStyle w:val="a5"/>
          <w:vertAlign w:val="superscript"/>
          <w:rtl/>
        </w:rPr>
        <w:footnoteReference w:id="781" w:customMarkFollows="1"/>
        <w:t>*</w:t>
      </w:r>
      <w:bookmarkEnd w:id="7003"/>
      <w:r>
        <w:rPr>
          <w:rtl/>
        </w:rPr>
        <w:t>.</w:t>
      </w:r>
    </w:p>
    <w:p w14:paraId="22277A12" w14:textId="77777777" w:rsidR="00AB3647" w:rsidRDefault="00000000" w:rsidP="007923E9">
      <w:pPr>
        <w:spacing w:after="120" w:line="276" w:lineRule="auto"/>
        <w:ind w:firstLine="283"/>
        <w:jc w:val="both"/>
      </w:pPr>
      <w:r>
        <w:rPr>
          <w:rtl/>
        </w:rPr>
        <w:t xml:space="preserve">אין חשיבות רבה לשאלה אם הגיע ד״ר </w:t>
      </w:r>
      <w:proofErr w:type="spellStart"/>
      <w:r>
        <w:rPr>
          <w:rtl/>
        </w:rPr>
        <w:t>ליליינטל</w:t>
      </w:r>
      <w:proofErr w:type="spellEnd"/>
      <w:r>
        <w:rPr>
          <w:rtl/>
        </w:rPr>
        <w:t xml:space="preserve"> </w:t>
      </w:r>
      <w:proofErr w:type="spellStart"/>
      <w:r>
        <w:rPr>
          <w:rtl/>
        </w:rPr>
        <w:t>לוולוז׳ין</w:t>
      </w:r>
      <w:proofErr w:type="spellEnd"/>
      <w:r>
        <w:rPr>
          <w:rtl/>
        </w:rPr>
        <w:t xml:space="preserve"> יום אחד, יומיים או שלושה ימים לפני יום הכיפורים. אבל יש הבדל מכריע בשאלה אם </w:t>
      </w:r>
      <w:r>
        <w:rPr>
          <w:b/>
          <w:bCs/>
          <w:rtl/>
        </w:rPr>
        <w:t>השיחות</w:t>
      </w:r>
      <w:r>
        <w:rPr>
          <w:rtl/>
        </w:rPr>
        <w:t xml:space="preserve"> בין ר׳ </w:t>
      </w:r>
      <w:proofErr w:type="spellStart"/>
      <w:r>
        <w:rPr>
          <w:rtl/>
        </w:rPr>
        <w:t>איצל׳ה</w:t>
      </w:r>
      <w:proofErr w:type="spellEnd"/>
      <w:r>
        <w:rPr>
          <w:rtl/>
        </w:rPr>
        <w:t xml:space="preserve"> לד״ר </w:t>
      </w:r>
      <w:proofErr w:type="spellStart"/>
      <w:r>
        <w:rPr>
          <w:rtl/>
        </w:rPr>
        <w:t>ליליינטל</w:t>
      </w:r>
      <w:proofErr w:type="spellEnd"/>
      <w:r>
        <w:rPr>
          <w:rtl/>
        </w:rPr>
        <w:t xml:space="preserve"> התקיימו </w:t>
      </w:r>
      <w:r>
        <w:rPr>
          <w:b/>
          <w:bCs/>
          <w:rtl/>
        </w:rPr>
        <w:t>לפני</w:t>
      </w:r>
      <w:r>
        <w:rPr>
          <w:rtl/>
        </w:rPr>
        <w:t xml:space="preserve"> יום הכיפורים, כדברי </w:t>
      </w:r>
      <w:proofErr w:type="spellStart"/>
      <w:r>
        <w:rPr>
          <w:rtl/>
        </w:rPr>
        <w:t>צינוביץ</w:t>
      </w:r>
      <w:proofErr w:type="spellEnd"/>
      <w:r>
        <w:rPr>
          <w:rtl/>
        </w:rPr>
        <w:t xml:space="preserve"> בשם </w:t>
      </w:r>
      <w:proofErr w:type="spellStart"/>
      <w:r>
        <w:rPr>
          <w:rtl/>
        </w:rPr>
        <w:t>פפירנא</w:t>
      </w:r>
      <w:proofErr w:type="spellEnd"/>
      <w:r>
        <w:rPr>
          <w:rtl/>
        </w:rPr>
        <w:t xml:space="preserve">, או אחריו, כמו שמספר “מקור ברוך” בשם </w:t>
      </w:r>
      <w:proofErr w:type="spellStart"/>
      <w:r>
        <w:rPr>
          <w:rtl/>
        </w:rPr>
        <w:t>הנצי״ב</w:t>
      </w:r>
      <w:proofErr w:type="spellEnd"/>
      <w:r>
        <w:rPr>
          <w:rtl/>
        </w:rPr>
        <w:t xml:space="preserve">. שהרי ודאי הוא שבדרשתו בליל כל נדרי הבהיר ר׳ </w:t>
      </w:r>
      <w:proofErr w:type="spellStart"/>
      <w:r>
        <w:rPr>
          <w:rtl/>
        </w:rPr>
        <w:t>איצל׳ה</w:t>
      </w:r>
      <w:proofErr w:type="spellEnd"/>
      <w:r>
        <w:rPr>
          <w:rtl/>
        </w:rPr>
        <w:t xml:space="preserve"> שאין לתת אמון </w:t>
      </w:r>
      <w:proofErr w:type="spellStart"/>
      <w:r>
        <w:rPr>
          <w:rtl/>
        </w:rPr>
        <w:t>בליליינטל</w:t>
      </w:r>
      <w:proofErr w:type="spellEnd"/>
      <w:r>
        <w:rPr>
          <w:rtl/>
        </w:rPr>
        <w:t xml:space="preserve">. לפי </w:t>
      </w:r>
      <w:proofErr w:type="spellStart"/>
      <w:r>
        <w:rPr>
          <w:rtl/>
        </w:rPr>
        <w:t>צינוביץ</w:t>
      </w:r>
      <w:proofErr w:type="spellEnd"/>
      <w:r>
        <w:rPr>
          <w:rtl/>
        </w:rPr>
        <w:t xml:space="preserve">, שיחותיהם הארוכות, כביכול, לפני יום הכיפורים </w:t>
      </w:r>
      <w:r>
        <w:rPr>
          <w:b/>
          <w:bCs/>
          <w:rtl/>
        </w:rPr>
        <w:t>לא</w:t>
      </w:r>
      <w:r>
        <w:rPr>
          <w:rtl/>
        </w:rPr>
        <w:t xml:space="preserve"> הפיגו את החשדות </w:t>
      </w:r>
      <w:proofErr w:type="spellStart"/>
      <w:r>
        <w:rPr>
          <w:rtl/>
        </w:rPr>
        <w:t>בליליינטל</w:t>
      </w:r>
      <w:proofErr w:type="spellEnd"/>
      <w:r>
        <w:rPr>
          <w:rtl/>
        </w:rPr>
        <w:t xml:space="preserve">; ואילו לפי “מקור ברוך” יש מקום לאפשרות ששיחותיהם </w:t>
      </w:r>
      <w:r>
        <w:rPr>
          <w:b/>
          <w:bCs/>
          <w:rtl/>
        </w:rPr>
        <w:t>שאחרי</w:t>
      </w:r>
      <w:r>
        <w:rPr>
          <w:rtl/>
        </w:rPr>
        <w:t xml:space="preserve"> יום הכיפורים טיהרו את </w:t>
      </w:r>
      <w:proofErr w:type="spellStart"/>
      <w:r>
        <w:rPr>
          <w:rtl/>
        </w:rPr>
        <w:t>ליליינטל</w:t>
      </w:r>
      <w:proofErr w:type="spellEnd"/>
      <w:r>
        <w:rPr>
          <w:rtl/>
        </w:rPr>
        <w:t xml:space="preserve"> מכל חשד.</w:t>
      </w:r>
    </w:p>
    <w:p w14:paraId="5F82BB03" w14:textId="77777777" w:rsidR="00AB3647" w:rsidRDefault="00000000" w:rsidP="007923E9">
      <w:pPr>
        <w:spacing w:after="120" w:line="276" w:lineRule="auto"/>
        <w:ind w:firstLine="283"/>
        <w:jc w:val="both"/>
      </w:pPr>
      <w:r>
        <w:rPr>
          <w:rtl/>
        </w:rPr>
        <w:t xml:space="preserve">מכל מקום, בכל זמן שהתקיימו השיחות, יש לדחות את טענתו של </w:t>
      </w:r>
      <w:proofErr w:type="spellStart"/>
      <w:r>
        <w:rPr>
          <w:rtl/>
        </w:rPr>
        <w:t>ליליינטל</w:t>
      </w:r>
      <w:proofErr w:type="spellEnd"/>
      <w:r>
        <w:rPr>
          <w:rtl/>
        </w:rPr>
        <w:t xml:space="preserve"> בזיכרונותיו </w:t>
      </w:r>
      <w:proofErr w:type="spellStart"/>
      <w:r>
        <w:rPr>
          <w:rtl/>
        </w:rPr>
        <w:t>ש“ר</w:t>
      </w:r>
      <w:proofErr w:type="spellEnd"/>
      <w:r>
        <w:rPr>
          <w:rtl/>
        </w:rPr>
        <w:t xml:space="preserve">׳ </w:t>
      </w:r>
      <w:proofErr w:type="spellStart"/>
      <w:r>
        <w:rPr>
          <w:rtl/>
        </w:rPr>
        <w:t>איצל׳ה</w:t>
      </w:r>
      <w:proofErr w:type="spellEnd"/>
      <w:r>
        <w:rPr>
          <w:rtl/>
        </w:rPr>
        <w:t xml:space="preserve"> העדיף לקיים את השיחה בשעה (שהם) מטיילים מחוץ לעיר, הרחק מאוזני אדם, (</w:t>
      </w:r>
      <w:proofErr w:type="spellStart"/>
      <w:r>
        <w:rPr>
          <w:rtl/>
        </w:rPr>
        <w:t>כש</w:t>
      </w:r>
      <w:proofErr w:type="spellEnd"/>
      <w:r>
        <w:rPr>
          <w:rtl/>
        </w:rPr>
        <w:t xml:space="preserve">)רק חתנו, ר׳ </w:t>
      </w:r>
      <w:proofErr w:type="spellStart"/>
      <w:r>
        <w:rPr>
          <w:rtl/>
        </w:rPr>
        <w:t>לייבל</w:t>
      </w:r>
      <w:proofErr w:type="spellEnd"/>
      <w:r>
        <w:rPr>
          <w:rtl/>
        </w:rPr>
        <w:t xml:space="preserve"> (</w:t>
      </w:r>
      <w:proofErr w:type="spellStart"/>
      <w:r>
        <w:rPr>
          <w:rtl/>
        </w:rPr>
        <w:t>הנצי״ב</w:t>
      </w:r>
      <w:proofErr w:type="spellEnd"/>
      <w:r>
        <w:rPr>
          <w:rtl/>
        </w:rPr>
        <w:t xml:space="preserve">), נוכח”. טענה זו אינה מתיישבת עם דיווחו של </w:t>
      </w:r>
      <w:proofErr w:type="spellStart"/>
      <w:r>
        <w:rPr>
          <w:rtl/>
        </w:rPr>
        <w:t>פפירנא</w:t>
      </w:r>
      <w:proofErr w:type="spellEnd"/>
      <w:r>
        <w:rPr>
          <w:rtl/>
        </w:rPr>
        <w:t xml:space="preserve"> על “שלושה ימים ושלושה לילות” של שיחות אינטנסיביות, וגם </w:t>
      </w:r>
      <w:proofErr w:type="spellStart"/>
      <w:r>
        <w:rPr>
          <w:rtl/>
        </w:rPr>
        <w:t>הנצי״ב</w:t>
      </w:r>
      <w:proofErr w:type="spellEnd"/>
      <w:r>
        <w:rPr>
          <w:rtl/>
        </w:rPr>
        <w:t xml:space="preserve"> לא הזכיר דבר כזה למחבר “מקור ברוך”. (ראה להלן על חוסר האמינות של דיווחי </w:t>
      </w:r>
      <w:proofErr w:type="spellStart"/>
      <w:r>
        <w:rPr>
          <w:rtl/>
        </w:rPr>
        <w:t>ליליינטל</w:t>
      </w:r>
      <w:proofErr w:type="spellEnd"/>
      <w:r>
        <w:rPr>
          <w:rtl/>
        </w:rPr>
        <w:t>.)</w:t>
      </w:r>
    </w:p>
    <w:p w14:paraId="354D3DF4" w14:textId="77777777" w:rsidR="00AB3647" w:rsidRDefault="00000000" w:rsidP="007923E9">
      <w:pPr>
        <w:pStyle w:val="4"/>
        <w:spacing w:line="276" w:lineRule="auto"/>
      </w:pPr>
      <w:r>
        <w:lastRenderedPageBreak/>
        <w:t>· הפסקה התשיעית ·</w:t>
      </w:r>
    </w:p>
    <w:p w14:paraId="6F4E87A3" w14:textId="77777777" w:rsidR="00AB3647" w:rsidRDefault="00000000" w:rsidP="007923E9">
      <w:pPr>
        <w:pStyle w:val="5"/>
        <w:spacing w:line="276" w:lineRule="auto"/>
      </w:pPr>
      <w:r>
        <w:t xml:space="preserve">ר׳ </w:t>
      </w:r>
      <w:proofErr w:type="spellStart"/>
      <w:r>
        <w:t>איצל׳ה</w:t>
      </w:r>
      <w:proofErr w:type="spellEnd"/>
      <w:r>
        <w:t xml:space="preserve"> מכוון את דרשת כל נדרי שלו אל האורח </w:t>
      </w:r>
      <w:proofErr w:type="spellStart"/>
      <w:r>
        <w:t>ליליינטל</w:t>
      </w:r>
      <w:proofErr w:type="spellEnd"/>
      <w:r>
        <w:t xml:space="preserve"> – ר׳ </w:t>
      </w:r>
      <w:proofErr w:type="spellStart"/>
      <w:r>
        <w:t>איצל׳ה</w:t>
      </w:r>
      <w:proofErr w:type="spellEnd"/>
      <w:r>
        <w:t xml:space="preserve"> שוקל בצעירותו קריירה ברפואה ולומד לשונות – </w:t>
      </w:r>
      <w:proofErr w:type="spellStart"/>
      <w:r>
        <w:t>ליליינטל</w:t>
      </w:r>
      <w:proofErr w:type="spellEnd"/>
      <w:r>
        <w:t xml:space="preserve"> מצהיר כביכול על נאמנותו ליהדות – שבועת האמונים שלו בווילנה</w:t>
      </w:r>
    </w:p>
    <w:p w14:paraId="32B67BCA" w14:textId="77777777" w:rsidR="00AB3647" w:rsidRDefault="00000000" w:rsidP="007923E9">
      <w:pPr>
        <w:spacing w:after="120" w:line="276" w:lineRule="auto"/>
        <w:ind w:firstLine="283"/>
        <w:jc w:val="both"/>
      </w:pPr>
      <w:proofErr w:type="spellStart"/>
      <w:r>
        <w:rPr>
          <w:rtl/>
        </w:rPr>
        <w:t>צינוביץ</w:t>
      </w:r>
      <w:proofErr w:type="spellEnd"/>
      <w:r>
        <w:rPr>
          <w:rtl/>
        </w:rPr>
        <w:t xml:space="preserve">, “עץ חיים”, שם, מתאר כיצד נכנס ר׳ </w:t>
      </w:r>
      <w:proofErr w:type="spellStart"/>
      <w:r>
        <w:rPr>
          <w:rtl/>
        </w:rPr>
        <w:t>איצל׳ה</w:t>
      </w:r>
      <w:proofErr w:type="spellEnd"/>
      <w:r>
        <w:rPr>
          <w:rtl/>
        </w:rPr>
        <w:t xml:space="preserve"> לבית הכנסת לכל נדרי מלווה באורחו “מגולח הזקן”. לפי </w:t>
      </w:r>
      <w:proofErr w:type="spellStart"/>
      <w:r>
        <w:rPr>
          <w:rtl/>
        </w:rPr>
        <w:t>צינוביץ</w:t>
      </w:r>
      <w:proofErr w:type="spellEnd"/>
      <w:r>
        <w:rPr>
          <w:rtl/>
        </w:rPr>
        <w:t xml:space="preserve"> ולפי “מקור ברוך” גם יחד, נשא אז ר׳ </w:t>
      </w:r>
      <w:proofErr w:type="spellStart"/>
      <w:r>
        <w:rPr>
          <w:rtl/>
        </w:rPr>
        <w:t>איצל׳ה</w:t>
      </w:r>
      <w:proofErr w:type="spellEnd"/>
      <w:r>
        <w:rPr>
          <w:rtl/>
        </w:rPr>
        <w:t xml:space="preserve"> דרשה שכוונה אל </w:t>
      </w:r>
      <w:proofErr w:type="spellStart"/>
      <w:r>
        <w:rPr>
          <w:rtl/>
        </w:rPr>
        <w:t>ליליינטל</w:t>
      </w:r>
      <w:proofErr w:type="spellEnd"/>
      <w:r>
        <w:rPr>
          <w:rtl/>
        </w:rPr>
        <w:t xml:space="preserve"> ואל שליחותו. הדרשה נסמכה על המשנה במסכת יומא</w:t>
      </w:r>
      <w:bookmarkStart w:id="1285" w:name="_fnr781"/>
      <w:r>
        <w:rPr>
          <w:rStyle w:val="a5"/>
        </w:rPr>
        <w:footnoteReference w:id="782" w:customMarkFollows="0"/>
      </w:r>
      <w:bookmarkEnd w:id="1285"/>
      <w:r>
        <w:rPr>
          <w:rtl/>
        </w:rPr>
        <w:t xml:space="preserve"> המתארת כיצד השביעו זקני הכהונה את הכהן הגדול שלא ישנה מסדר העבודה המקובל כשהוא לבדו בקודש הקדשים ביום הכיפורים – ואז פרש הכהן הגדול ובכה, משום שחשדוהו שהוא (רפורמי־)צדוקי.</w:t>
      </w:r>
    </w:p>
    <w:p w14:paraId="1DB7CCBA" w14:textId="77777777" w:rsidR="00AB3647" w:rsidRDefault="00000000" w:rsidP="007923E9">
      <w:pPr>
        <w:spacing w:after="120" w:line="276" w:lineRule="auto"/>
        <w:ind w:firstLine="283"/>
        <w:jc w:val="both"/>
      </w:pPr>
      <w:r>
        <w:rPr>
          <w:rtl/>
        </w:rPr>
        <w:t>אבל “מקור ברוך”</w:t>
      </w:r>
      <w:bookmarkStart w:id="1286" w:name="_fnr782"/>
      <w:r>
        <w:rPr>
          <w:rStyle w:val="a5"/>
        </w:rPr>
        <w:footnoteReference w:id="783" w:customMarkFollows="0"/>
      </w:r>
      <w:bookmarkEnd w:id="1286"/>
      <w:r>
        <w:rPr>
          <w:rtl/>
        </w:rPr>
        <w:t xml:space="preserve"> </w:t>
      </w:r>
      <w:proofErr w:type="spellStart"/>
      <w:r>
        <w:rPr>
          <w:rtl/>
        </w:rPr>
        <w:t>וצינוביץ</w:t>
      </w:r>
      <w:bookmarkStart w:id="1287" w:name="_fnr783"/>
      <w:proofErr w:type="spellEnd"/>
      <w:r>
        <w:rPr>
          <w:rStyle w:val="a5"/>
        </w:rPr>
        <w:footnoteReference w:id="784" w:customMarkFollows="0"/>
      </w:r>
      <w:bookmarkEnd w:id="1287"/>
      <w:r>
        <w:rPr>
          <w:rtl/>
        </w:rPr>
        <w:t xml:space="preserve"> חלוקים במה שאמר ר׳ </w:t>
      </w:r>
      <w:proofErr w:type="spellStart"/>
      <w:r>
        <w:rPr>
          <w:rtl/>
        </w:rPr>
        <w:t>איצל׳ה</w:t>
      </w:r>
      <w:proofErr w:type="spellEnd"/>
      <w:r>
        <w:rPr>
          <w:rtl/>
        </w:rPr>
        <w:t xml:space="preserve"> על המשנה הזאת. מאחר שאין סתירה גלויה בין שתי הגרסאות, ייתכן מאוד שר׳ </w:t>
      </w:r>
      <w:proofErr w:type="spellStart"/>
      <w:r>
        <w:rPr>
          <w:rtl/>
        </w:rPr>
        <w:t>איצל׳ה</w:t>
      </w:r>
      <w:proofErr w:type="spellEnd"/>
      <w:r>
        <w:rPr>
          <w:rtl/>
        </w:rPr>
        <w:t xml:space="preserve"> אמר את </w:t>
      </w:r>
      <w:r>
        <w:rPr>
          <w:b/>
          <w:bCs/>
          <w:rtl/>
        </w:rPr>
        <w:t>שני</w:t>
      </w:r>
      <w:r>
        <w:rPr>
          <w:rtl/>
        </w:rPr>
        <w:t xml:space="preserve"> הדברים, בסדר שלהלן. לפי “מקור ברוך” שאל ר׳ </w:t>
      </w:r>
      <w:proofErr w:type="spellStart"/>
      <w:r>
        <w:rPr>
          <w:rtl/>
        </w:rPr>
        <w:t>איצל׳ה</w:t>
      </w:r>
      <w:proofErr w:type="spellEnd"/>
      <w:r>
        <w:rPr>
          <w:rtl/>
        </w:rPr>
        <w:t xml:space="preserve"> מדוע בכה הכהן הגדול כשחשדו בו הזקנים, שהרי ידע שהוא נקי. ר׳ </w:t>
      </w:r>
      <w:proofErr w:type="spellStart"/>
      <w:r>
        <w:rPr>
          <w:rtl/>
        </w:rPr>
        <w:t>איצל׳ה</w:t>
      </w:r>
      <w:proofErr w:type="spellEnd"/>
      <w:r>
        <w:rPr>
          <w:rtl/>
        </w:rPr>
        <w:t xml:space="preserve"> השיב, על פי הגמרא במסכת מועד קטן,</w:t>
      </w:r>
      <w:bookmarkStart w:id="1288" w:name="_fnr784"/>
      <w:r>
        <w:rPr>
          <w:rStyle w:val="a5"/>
        </w:rPr>
        <w:footnoteReference w:id="785" w:customMarkFollows="0"/>
      </w:r>
      <w:bookmarkEnd w:id="1288"/>
      <w:r>
        <w:rPr>
          <w:rtl/>
        </w:rPr>
        <w:t xml:space="preserve"> שכל מי שחושדים בו בדבר עבירה – או שעשה אותה, או שהרהר לעשותה, או שראה אחרים עושים אותה ושמח. בכך רמז ר׳ </w:t>
      </w:r>
      <w:proofErr w:type="spellStart"/>
      <w:r>
        <w:rPr>
          <w:rtl/>
        </w:rPr>
        <w:t>איצל׳ה</w:t>
      </w:r>
      <w:proofErr w:type="spellEnd"/>
      <w:r>
        <w:rPr>
          <w:rtl/>
        </w:rPr>
        <w:t xml:space="preserve"> שמאחר שבכל תחום המושב חשדו </w:t>
      </w:r>
      <w:proofErr w:type="spellStart"/>
      <w:r>
        <w:rPr>
          <w:rtl/>
        </w:rPr>
        <w:t>בליליינטל</w:t>
      </w:r>
      <w:proofErr w:type="spellEnd"/>
      <w:r>
        <w:rPr>
          <w:rtl/>
        </w:rPr>
        <w:t xml:space="preserve"> שהוא מבקש לערער את האמונה היהודית באמצעות בתי הספר </w:t>
      </w:r>
      <w:proofErr w:type="spellStart"/>
      <w:r>
        <w:rPr>
          <w:rtl/>
        </w:rPr>
        <w:t>ה“נאורים</w:t>
      </w:r>
      <w:proofErr w:type="spellEnd"/>
      <w:r>
        <w:rPr>
          <w:rtl/>
        </w:rPr>
        <w:t>” שקידם, ודאי היה יסוד כלשהו לחשד.</w:t>
      </w:r>
    </w:p>
    <w:p w14:paraId="2F35B4F7" w14:textId="77777777" w:rsidR="00AB3647" w:rsidRDefault="00000000" w:rsidP="007923E9">
      <w:pPr>
        <w:spacing w:after="120" w:line="276" w:lineRule="auto"/>
        <w:ind w:firstLine="283"/>
        <w:jc w:val="both"/>
      </w:pPr>
      <w:r>
        <w:rPr>
          <w:rtl/>
        </w:rPr>
        <w:t xml:space="preserve">לפי </w:t>
      </w:r>
      <w:proofErr w:type="spellStart"/>
      <w:r>
        <w:rPr>
          <w:rtl/>
        </w:rPr>
        <w:t>צינוביץ</w:t>
      </w:r>
      <w:proofErr w:type="spellEnd"/>
      <w:r>
        <w:rPr>
          <w:rtl/>
        </w:rPr>
        <w:t xml:space="preserve">, “עץ חיים”, לא תקף ר׳ </w:t>
      </w:r>
      <w:proofErr w:type="spellStart"/>
      <w:r>
        <w:rPr>
          <w:rtl/>
        </w:rPr>
        <w:t>איצל׳ה</w:t>
      </w:r>
      <w:proofErr w:type="spellEnd"/>
      <w:r>
        <w:rPr>
          <w:rtl/>
        </w:rPr>
        <w:t xml:space="preserve"> את </w:t>
      </w:r>
      <w:proofErr w:type="spellStart"/>
      <w:r>
        <w:rPr>
          <w:rtl/>
        </w:rPr>
        <w:t>ליליינטל</w:t>
      </w:r>
      <w:proofErr w:type="spellEnd"/>
      <w:r>
        <w:rPr>
          <w:rtl/>
        </w:rPr>
        <w:t>, אלא דיבר בלשון מתנצלת. הוא שאל מדוע חשדו הזקנים בכהן הגדול, בניגוד לכלל שיש לדון כל אדם לכף זכות,</w:t>
      </w:r>
      <w:bookmarkStart w:id="1289" w:name="_fnr785"/>
      <w:r>
        <w:rPr>
          <w:rStyle w:val="a5"/>
        </w:rPr>
        <w:footnoteReference w:id="786" w:customMarkFollows="0"/>
      </w:r>
      <w:bookmarkEnd w:id="1289"/>
      <w:r>
        <w:rPr>
          <w:rtl/>
        </w:rPr>
        <w:t xml:space="preserve"> והשיב: רק אדם העוסק בענייניו הפרטיים יש להחזיקו כשר עד שיתגלה יסוד לחשד; אבל מי שנוטל על עצמו לפעול בשם הציבור כולו – לא זו בלבד שמותר לחשוד בו, אלא יש לבודקו היטב, כדי לברר אם כוונותיו לשם שמים ואם מעשיו עלולים באמת להביא תקלה לכלל ישראל.</w:t>
      </w:r>
    </w:p>
    <w:p w14:paraId="3A6C46D1" w14:textId="77777777" w:rsidR="00AB3647" w:rsidRDefault="00000000" w:rsidP="007923E9">
      <w:pPr>
        <w:spacing w:after="120" w:line="276" w:lineRule="auto"/>
        <w:ind w:firstLine="283"/>
        <w:jc w:val="both"/>
      </w:pPr>
      <w:r>
        <w:rPr>
          <w:rtl/>
        </w:rPr>
        <w:t xml:space="preserve">ר׳ אהרן </w:t>
      </w:r>
      <w:proofErr w:type="spellStart"/>
      <w:r>
        <w:rPr>
          <w:rtl/>
        </w:rPr>
        <w:t>סולובייצ׳יק</w:t>
      </w:r>
      <w:proofErr w:type="spellEnd"/>
      <w:r>
        <w:rPr>
          <w:rtl/>
        </w:rPr>
        <w:t xml:space="preserve">, צאצא של ר׳ </w:t>
      </w:r>
      <w:proofErr w:type="spellStart"/>
      <w:r>
        <w:rPr>
          <w:rtl/>
        </w:rPr>
        <w:t>איצל׳ה</w:t>
      </w:r>
      <w:proofErr w:type="spellEnd"/>
      <w:r>
        <w:rPr>
          <w:rtl/>
        </w:rPr>
        <w:t xml:space="preserve"> בדור החמישי, נימק</w:t>
      </w:r>
      <w:bookmarkStart w:id="1290" w:name="_fnr786"/>
      <w:bookmarkStart w:id="1291" w:name="pr_f_710"/>
      <w:r>
        <w:rPr>
          <w:rStyle w:val="a5"/>
        </w:rPr>
        <w:footnoteReference w:id="787" w:customMarkFollows="0"/>
      </w:r>
      <w:bookmarkEnd w:id="1290"/>
      <w:bookmarkEnd w:id="1291"/>
      <w:r>
        <w:rPr>
          <w:rtl/>
        </w:rPr>
        <w:t xml:space="preserve"> את הצורך בבדיקה ובחשדנות יסודיות כאלה. הוא אמר: “עניינים הנוגעים לכלל ישראל דומים לענייני פיקוח נפש. זקני ר׳ חיים </w:t>
      </w:r>
      <w:proofErr w:type="spellStart"/>
      <w:r>
        <w:rPr>
          <w:rtl/>
        </w:rPr>
        <w:t>סולובייצ׳יק</w:t>
      </w:r>
      <w:proofErr w:type="spellEnd"/>
      <w:r>
        <w:rPr>
          <w:rtl/>
        </w:rPr>
        <w:t xml:space="preserve"> אמר לגבי חייו של יחיד שמחללים את השבת אפילו אם יש רק סיכוי אחד למיליון שהחיים יאבדו [ספק פיקוח נפשות]. וכך גם אפילו סיכוי אחד למיליון שטובת כלל ישראל תיפגע, יש להביאו בחשבון.”</w:t>
      </w:r>
    </w:p>
    <w:p w14:paraId="66E586A8" w14:textId="77777777" w:rsidR="00AB3647" w:rsidRDefault="00000000" w:rsidP="007923E9">
      <w:pPr>
        <w:spacing w:after="120" w:line="276" w:lineRule="auto"/>
        <w:ind w:firstLine="283"/>
        <w:jc w:val="both"/>
      </w:pPr>
      <w:r>
        <w:rPr>
          <w:rtl/>
        </w:rPr>
        <w:t xml:space="preserve">השווה גם “תורת חיים, חידושים וביאורים עובדות והנהגות וכו׳ ממרן רבנו חיים הלוי </w:t>
      </w:r>
      <w:proofErr w:type="spellStart"/>
      <w:r>
        <w:rPr>
          <w:rtl/>
        </w:rPr>
        <w:t>סאלאווייציק</w:t>
      </w:r>
      <w:proofErr w:type="spellEnd"/>
      <w:r>
        <w:rPr>
          <w:rtl/>
        </w:rPr>
        <w:t>”</w:t>
      </w:r>
      <w:bookmarkStart w:id="1292" w:name="_fnr787"/>
      <w:r>
        <w:rPr>
          <w:rStyle w:val="a5"/>
        </w:rPr>
        <w:footnoteReference w:id="788" w:customMarkFollows="0"/>
      </w:r>
      <w:bookmarkEnd w:id="1292"/>
      <w:r>
        <w:rPr>
          <w:rtl/>
        </w:rPr>
        <w:t xml:space="preserve">, שמביא את דברי ר׳ חיים: “כשהעניין נוגע להצלת נפשות, אין להסתפק </w:t>
      </w:r>
      <w:r>
        <w:rPr>
          <w:rtl/>
        </w:rPr>
        <w:lastRenderedPageBreak/>
        <w:t>בשכל הישר, אלא יש לעשות כל מה שאפשר, אפילו את מה שאינו הגיוני.” “תורת חיים” ממשיך ומביא סיפור בן שישה עמודים על האופן שבו פעל ר׳ חיים לפי עיקרון זה.</w:t>
      </w:r>
    </w:p>
    <w:p w14:paraId="0E6BC6DB" w14:textId="77777777" w:rsidR="00AB3647" w:rsidRDefault="00000000" w:rsidP="007923E9">
      <w:pPr>
        <w:spacing w:after="120" w:line="276" w:lineRule="auto"/>
        <w:ind w:firstLine="283"/>
        <w:jc w:val="both"/>
      </w:pPr>
      <w:r>
        <w:rPr>
          <w:rtl/>
        </w:rPr>
        <w:t>והשווה גם “</w:t>
      </w:r>
      <w:proofErr w:type="spellStart"/>
      <w:r>
        <w:rPr>
          <w:rtl/>
        </w:rPr>
        <w:t>ארחות</w:t>
      </w:r>
      <w:proofErr w:type="spellEnd"/>
      <w:r>
        <w:rPr>
          <w:rtl/>
        </w:rPr>
        <w:t xml:space="preserve"> חסידיך”,</w:t>
      </w:r>
      <w:bookmarkStart w:id="1293" w:name="_fnr788"/>
      <w:r>
        <w:rPr>
          <w:rStyle w:val="a5"/>
        </w:rPr>
        <w:footnoteReference w:id="789" w:customMarkFollows="0"/>
      </w:r>
      <w:bookmarkEnd w:id="1293"/>
      <w:r>
        <w:rPr>
          <w:rtl/>
        </w:rPr>
        <w:t xml:space="preserve"> המביא את הבנתו של ר׳ יצחק־זאב </w:t>
      </w:r>
      <w:proofErr w:type="spellStart"/>
      <w:r>
        <w:rPr>
          <w:rtl/>
        </w:rPr>
        <w:t>סולובייצ׳יק</w:t>
      </w:r>
      <w:proofErr w:type="spellEnd"/>
      <w:r>
        <w:rPr>
          <w:rtl/>
        </w:rPr>
        <w:t xml:space="preserve"> במאמר חז״ל</w:t>
      </w:r>
      <w:bookmarkStart w:id="1294" w:name="_fnr789"/>
      <w:r>
        <w:rPr>
          <w:rStyle w:val="a5"/>
        </w:rPr>
        <w:footnoteReference w:id="790" w:customMarkFollows="0"/>
      </w:r>
      <w:bookmarkEnd w:id="1294"/>
      <w:r>
        <w:rPr>
          <w:rtl/>
        </w:rPr>
        <w:t xml:space="preserve"> “אפילו חרב חדה מונחת על </w:t>
      </w:r>
      <w:proofErr w:type="spellStart"/>
      <w:r>
        <w:rPr>
          <w:rtl/>
        </w:rPr>
        <w:t>צוארו</w:t>
      </w:r>
      <w:proofErr w:type="spellEnd"/>
      <w:r>
        <w:rPr>
          <w:rtl/>
        </w:rPr>
        <w:t xml:space="preserve"> של אדם אל ימנע עצמו מן הרחמים”: אפילו אם הצלת חייו היא </w:t>
      </w:r>
      <w:r>
        <w:rPr>
          <w:b/>
          <w:bCs/>
          <w:rtl/>
        </w:rPr>
        <w:t>נגד כל היגיון</w:t>
      </w:r>
      <w:r>
        <w:rPr>
          <w:rtl/>
        </w:rPr>
        <w:t xml:space="preserve">, אל לו להתייאש. לשיטתו של ר׳ אהרן </w:t>
      </w:r>
      <w:proofErr w:type="spellStart"/>
      <w:r>
        <w:rPr>
          <w:rtl/>
        </w:rPr>
        <w:t>סולובייצ׳יק</w:t>
      </w:r>
      <w:proofErr w:type="spellEnd"/>
      <w:r>
        <w:rPr>
          <w:rtl/>
        </w:rPr>
        <w:t xml:space="preserve">, אם כן, בעניינים </w:t>
      </w:r>
      <w:r>
        <w:rPr>
          <w:b/>
          <w:bCs/>
          <w:rtl/>
        </w:rPr>
        <w:t>הנוגעים לכלל ישראל</w:t>
      </w:r>
      <w:r>
        <w:rPr>
          <w:rtl/>
        </w:rPr>
        <w:t xml:space="preserve"> יש להביא בחשבון אפילו תוצאות שנראות בלתי הגיוניות, כמו בענייני פיקוח נפש. “עובדות והנהגות לבית </w:t>
      </w:r>
      <w:proofErr w:type="spellStart"/>
      <w:r>
        <w:rPr>
          <w:rtl/>
        </w:rPr>
        <w:t>בריסק</w:t>
      </w:r>
      <w:proofErr w:type="spellEnd"/>
      <w:r>
        <w:rPr>
          <w:rtl/>
        </w:rPr>
        <w:t>”</w:t>
      </w:r>
      <w:bookmarkStart w:id="1295" w:name="_fnr790"/>
      <w:r>
        <w:rPr>
          <w:rStyle w:val="a5"/>
        </w:rPr>
        <w:footnoteReference w:id="791" w:customMarkFollows="0"/>
      </w:r>
      <w:bookmarkEnd w:id="1295"/>
      <w:r>
        <w:rPr>
          <w:rtl/>
        </w:rPr>
        <w:t xml:space="preserve"> מביא בשם ר׳ יצחק־זאב שגם הוא סבר שבענייני ציבור אין “לעשות חשבונות” מה יצליח ומה לא, ויש “לצאת מגדר </w:t>
      </w:r>
      <w:proofErr w:type="spellStart"/>
      <w:r>
        <w:rPr>
          <w:rtl/>
        </w:rPr>
        <w:t>ההגיון</w:t>
      </w:r>
      <w:proofErr w:type="spellEnd"/>
      <w:r>
        <w:rPr>
          <w:rtl/>
        </w:rPr>
        <w:t xml:space="preserve"> והטבע”.</w:t>
      </w:r>
      <w:bookmarkStart w:id="1296" w:name="_fnr791"/>
      <w:r>
        <w:rPr>
          <w:rStyle w:val="a5"/>
        </w:rPr>
        <w:footnoteReference w:id="792" w:customMarkFollows="0"/>
      </w:r>
      <w:bookmarkEnd w:id="1296"/>
    </w:p>
    <w:p w14:paraId="57B881A5" w14:textId="77777777" w:rsidR="00AB3647" w:rsidRDefault="00000000" w:rsidP="007923E9">
      <w:pPr>
        <w:spacing w:after="120" w:line="276" w:lineRule="auto"/>
        <w:ind w:firstLine="283"/>
        <w:jc w:val="both"/>
      </w:pPr>
      <w:r>
        <w:rPr>
          <w:rtl/>
        </w:rPr>
        <w:t xml:space="preserve">ר׳ אהרן </w:t>
      </w:r>
      <w:proofErr w:type="spellStart"/>
      <w:r>
        <w:rPr>
          <w:rtl/>
        </w:rPr>
        <w:t>סולובייצ׳יק</w:t>
      </w:r>
      <w:proofErr w:type="spellEnd"/>
      <w:r>
        <w:rPr>
          <w:rtl/>
        </w:rPr>
        <w:t xml:space="preserve"> העיר עוד: “ר׳ </w:t>
      </w:r>
      <w:proofErr w:type="spellStart"/>
      <w:r>
        <w:rPr>
          <w:rtl/>
        </w:rPr>
        <w:t>איצל׳ה</w:t>
      </w:r>
      <w:proofErr w:type="spellEnd"/>
      <w:r>
        <w:rPr>
          <w:rtl/>
        </w:rPr>
        <w:t xml:space="preserve"> לא היה בטלן. בצעירותו רצה ללמוד רפואה כדי לרפא את חולי ישראל. מאחר שבתי הספר לרפואה היו באיטליה, למד ושלט באיטלקית ובלטינית מתוך תרגומי התנ״ך. כשנודע לאביו על מחשבתו הנלוזה של הנער, סיפר זאת לגאון מווילנה” – ר׳ </w:t>
      </w:r>
      <w:proofErr w:type="spellStart"/>
      <w:r>
        <w:rPr>
          <w:rtl/>
        </w:rPr>
        <w:t>איצל׳ה</w:t>
      </w:r>
      <w:proofErr w:type="spellEnd"/>
      <w:r>
        <w:rPr>
          <w:rtl/>
        </w:rPr>
        <w:t xml:space="preserve"> היה בן </w:t>
      </w:r>
      <w:proofErr w:type="spellStart"/>
      <w:r>
        <w:rPr>
          <w:rtl/>
        </w:rPr>
        <w:t>שבע־עשרה</w:t>
      </w:r>
      <w:proofErr w:type="spellEnd"/>
      <w:r>
        <w:rPr>
          <w:rtl/>
        </w:rPr>
        <w:t xml:space="preserve"> כשנפטר הגאון – “שיעץ </w:t>
      </w:r>
      <w:proofErr w:type="spellStart"/>
      <w:r>
        <w:rPr>
          <w:rtl/>
        </w:rPr>
        <w:t>לר</w:t>
      </w:r>
      <w:proofErr w:type="spellEnd"/>
      <w:r>
        <w:rPr>
          <w:rtl/>
        </w:rPr>
        <w:t>׳ חיים להקים ישיבה. לימים היה ר׳ חיים אומר: ‘</w:t>
      </w:r>
      <w:proofErr w:type="spellStart"/>
      <w:r>
        <w:rPr>
          <w:rtl/>
        </w:rPr>
        <w:t>איינגעמויערט</w:t>
      </w:r>
      <w:proofErr w:type="spellEnd"/>
      <w:r>
        <w:rPr>
          <w:rtl/>
        </w:rPr>
        <w:t xml:space="preserve"> [ביצרתי בחומה] את </w:t>
      </w:r>
      <w:proofErr w:type="spellStart"/>
      <w:r>
        <w:rPr>
          <w:rtl/>
        </w:rPr>
        <w:t>איצל׳ה</w:t>
      </w:r>
      <w:proofErr w:type="spellEnd"/>
      <w:r>
        <w:rPr>
          <w:rtl/>
        </w:rPr>
        <w:t xml:space="preserve"> שלי בישיבה’.”</w:t>
      </w:r>
    </w:p>
    <w:p w14:paraId="5C5278B9" w14:textId="77777777" w:rsidR="00AB3647" w:rsidRDefault="00000000" w:rsidP="007923E9">
      <w:pPr>
        <w:spacing w:after="120" w:line="276" w:lineRule="auto"/>
        <w:ind w:firstLine="283"/>
        <w:jc w:val="both"/>
      </w:pPr>
      <w:r>
        <w:rPr>
          <w:rtl/>
        </w:rPr>
        <w:t xml:space="preserve">הביוגרפיה העדכנית והמוסמכת ביותר של ר׳ חיים </w:t>
      </w:r>
      <w:proofErr w:type="spellStart"/>
      <w:r>
        <w:rPr>
          <w:rtl/>
        </w:rPr>
        <w:t>מוולוז׳ין</w:t>
      </w:r>
      <w:proofErr w:type="spellEnd"/>
      <w:r>
        <w:rPr>
          <w:rtl/>
        </w:rPr>
        <w:t>, “אבי הישיבות”, טוענת</w:t>
      </w:r>
      <w:bookmarkStart w:id="1297" w:name="_fnr792"/>
      <w:r>
        <w:rPr>
          <w:rStyle w:val="a5"/>
        </w:rPr>
        <w:footnoteReference w:id="793" w:customMarkFollows="0"/>
      </w:r>
      <w:bookmarkEnd w:id="1297"/>
      <w:r>
        <w:rPr>
          <w:rtl/>
        </w:rPr>
        <w:t xml:space="preserve"> שר׳ חיים </w:t>
      </w:r>
      <w:proofErr w:type="spellStart"/>
      <w:r>
        <w:rPr>
          <w:rtl/>
        </w:rPr>
        <w:t>מוולוז׳ין</w:t>
      </w:r>
      <w:proofErr w:type="spellEnd"/>
      <w:r>
        <w:rPr>
          <w:rtl/>
        </w:rPr>
        <w:t xml:space="preserve"> הוא שהגה את רעיון הקמת הישיבה, ולא הגאון, ואין בה כל זכר לשאיפותיו של ר׳ </w:t>
      </w:r>
      <w:proofErr w:type="spellStart"/>
      <w:r>
        <w:rPr>
          <w:rtl/>
        </w:rPr>
        <w:t>איצל׳ה</w:t>
      </w:r>
      <w:proofErr w:type="spellEnd"/>
      <w:r>
        <w:rPr>
          <w:rtl/>
        </w:rPr>
        <w:t xml:space="preserve"> בצעירותו כרקע לרעיון. שם</w:t>
      </w:r>
      <w:bookmarkStart w:id="1298" w:name="_fnr793"/>
      <w:r>
        <w:rPr>
          <w:rStyle w:val="a5"/>
        </w:rPr>
        <w:footnoteReference w:id="794" w:customMarkFollows="0"/>
      </w:r>
      <w:bookmarkEnd w:id="1298"/>
      <w:r>
        <w:rPr>
          <w:rtl/>
        </w:rPr>
        <w:t xml:space="preserve"> מובאים גם דברי ר׳ </w:t>
      </w:r>
      <w:proofErr w:type="spellStart"/>
      <w:r>
        <w:rPr>
          <w:rtl/>
        </w:rPr>
        <w:t>אלעזר־מנחם־מן</w:t>
      </w:r>
      <w:proofErr w:type="spellEnd"/>
      <w:r>
        <w:rPr>
          <w:rtl/>
        </w:rPr>
        <w:t xml:space="preserve"> שך, שמן הזמן ש</w:t>
      </w:r>
      <w:r>
        <w:rPr>
          <w:b/>
          <w:bCs/>
          <w:rtl/>
        </w:rPr>
        <w:t>הציע</w:t>
      </w:r>
      <w:r>
        <w:rPr>
          <w:rtl/>
        </w:rPr>
        <w:t xml:space="preserve"> ר׳ חיים את רעיון הקמת הישיבה ועד שהסכים הגאון עברו שלוש שנים. אילו התבסס המפעל על תוכניותיו של ר׳ </w:t>
      </w:r>
      <w:proofErr w:type="spellStart"/>
      <w:r>
        <w:rPr>
          <w:rtl/>
        </w:rPr>
        <w:t>איצל׳ה</w:t>
      </w:r>
      <w:proofErr w:type="spellEnd"/>
      <w:r>
        <w:rPr>
          <w:rtl/>
        </w:rPr>
        <w:t xml:space="preserve"> ללמוד רפואה, היה ר׳ </w:t>
      </w:r>
      <w:proofErr w:type="spellStart"/>
      <w:r>
        <w:rPr>
          <w:rtl/>
        </w:rPr>
        <w:t>איצל׳ה</w:t>
      </w:r>
      <w:proofErr w:type="spellEnd"/>
      <w:r>
        <w:rPr>
          <w:rtl/>
        </w:rPr>
        <w:t xml:space="preserve"> לכל היותר בן </w:t>
      </w:r>
      <w:proofErr w:type="spellStart"/>
      <w:r>
        <w:rPr>
          <w:rtl/>
        </w:rPr>
        <w:t>ארבע־עשרה</w:t>
      </w:r>
      <w:proofErr w:type="spellEnd"/>
      <w:r>
        <w:rPr>
          <w:rtl/>
        </w:rPr>
        <w:t xml:space="preserve"> כשהעלה אביו את הבעיה לפני הגאון מווילנה!</w:t>
      </w:r>
    </w:p>
    <w:p w14:paraId="62EE2C9E" w14:textId="77777777" w:rsidR="00AB3647" w:rsidRDefault="00000000" w:rsidP="007923E9">
      <w:pPr>
        <w:spacing w:after="120" w:line="276" w:lineRule="auto"/>
        <w:ind w:firstLine="283"/>
        <w:jc w:val="both"/>
      </w:pPr>
      <w:r>
        <w:rPr>
          <w:rtl/>
        </w:rPr>
        <w:t xml:space="preserve">לפי </w:t>
      </w:r>
      <w:proofErr w:type="spellStart"/>
      <w:r>
        <w:rPr>
          <w:rtl/>
        </w:rPr>
        <w:t>פיליפסון</w:t>
      </w:r>
      <w:bookmarkStart w:id="1299" w:name="_fnr794"/>
      <w:proofErr w:type="spellEnd"/>
      <w:r>
        <w:rPr>
          <w:rStyle w:val="a5"/>
        </w:rPr>
        <w:footnoteReference w:id="795" w:customMarkFollows="0"/>
      </w:r>
      <w:bookmarkEnd w:id="1299"/>
      <w:r>
        <w:rPr>
          <w:rtl/>
        </w:rPr>
        <w:t xml:space="preserve"> טען </w:t>
      </w:r>
      <w:proofErr w:type="spellStart"/>
      <w:r>
        <w:rPr>
          <w:rtl/>
        </w:rPr>
        <w:t>ליליינטל</w:t>
      </w:r>
      <w:proofErr w:type="spellEnd"/>
      <w:r>
        <w:rPr>
          <w:rtl/>
        </w:rPr>
        <w:t xml:space="preserve"> שר׳ </w:t>
      </w:r>
      <w:proofErr w:type="spellStart"/>
      <w:r>
        <w:rPr>
          <w:rtl/>
        </w:rPr>
        <w:t>איצל׳ה</w:t>
      </w:r>
      <w:proofErr w:type="spellEnd"/>
      <w:r>
        <w:rPr>
          <w:rtl/>
        </w:rPr>
        <w:t xml:space="preserve"> “דיבר גרמנית, רוסית ופולנית על </w:t>
      </w:r>
      <w:proofErr w:type="spellStart"/>
      <w:r>
        <w:rPr>
          <w:rtl/>
        </w:rPr>
        <w:t>בוריין</w:t>
      </w:r>
      <w:proofErr w:type="spellEnd"/>
      <w:r>
        <w:rPr>
          <w:rtl/>
        </w:rPr>
        <w:t xml:space="preserve">”. כפי שנראה להלן, </w:t>
      </w:r>
      <w:proofErr w:type="spellStart"/>
      <w:r>
        <w:rPr>
          <w:rtl/>
        </w:rPr>
        <w:t>ליליינטל</w:t>
      </w:r>
      <w:proofErr w:type="spellEnd"/>
      <w:r>
        <w:rPr>
          <w:rtl/>
        </w:rPr>
        <w:t xml:space="preserve"> אינו מהימן – וספק אם </w:t>
      </w:r>
      <w:proofErr w:type="spellStart"/>
      <w:r>
        <w:rPr>
          <w:rtl/>
        </w:rPr>
        <w:t>ליליינטל</w:t>
      </w:r>
      <w:proofErr w:type="spellEnd"/>
      <w:r>
        <w:rPr>
          <w:rtl/>
        </w:rPr>
        <w:t xml:space="preserve"> עצמו ידע פולנית. לפי יעקב מארק</w:t>
      </w:r>
      <w:bookmarkStart w:id="1300" w:name="_fnr795"/>
      <w:r>
        <w:rPr>
          <w:rStyle w:val="a5"/>
        </w:rPr>
        <w:footnoteReference w:id="796" w:customMarkFollows="0"/>
      </w:r>
      <w:bookmarkEnd w:id="1300"/>
      <w:r>
        <w:rPr>
          <w:rtl/>
        </w:rPr>
        <w:t xml:space="preserve"> אף הוא “לא הבין מילה אחת ברוסית”, ומן הסתם שוחח עם </w:t>
      </w:r>
      <w:proofErr w:type="spellStart"/>
      <w:r>
        <w:rPr>
          <w:rtl/>
        </w:rPr>
        <w:t>אוברוב</w:t>
      </w:r>
      <w:proofErr w:type="spellEnd"/>
      <w:r>
        <w:rPr>
          <w:rtl/>
        </w:rPr>
        <w:t xml:space="preserve"> בגרמנית – ראה הפסקה הרביעית לעיל, </w:t>
      </w:r>
      <w:proofErr w:type="spellStart"/>
      <w:r>
        <w:rPr>
          <w:rtl/>
        </w:rPr>
        <w:t>שאוברוב</w:t>
      </w:r>
      <w:proofErr w:type="spellEnd"/>
      <w:r>
        <w:rPr>
          <w:rtl/>
        </w:rPr>
        <w:t xml:space="preserve"> התחנך במערב אירופה. אבל לכך שר׳ </w:t>
      </w:r>
      <w:proofErr w:type="spellStart"/>
      <w:r>
        <w:rPr>
          <w:rtl/>
        </w:rPr>
        <w:t>איצל׳ה</w:t>
      </w:r>
      <w:proofErr w:type="spellEnd"/>
      <w:r>
        <w:rPr>
          <w:rtl/>
        </w:rPr>
        <w:t xml:space="preserve"> דיבר פולנית יש סימוכין </w:t>
      </w:r>
      <w:proofErr w:type="spellStart"/>
      <w:r>
        <w:rPr>
          <w:rtl/>
        </w:rPr>
        <w:t>ב“פון</w:t>
      </w:r>
      <w:proofErr w:type="spellEnd"/>
      <w:r>
        <w:rPr>
          <w:rtl/>
        </w:rPr>
        <w:t xml:space="preserve"> </w:t>
      </w:r>
      <w:proofErr w:type="spellStart"/>
      <w:r>
        <w:rPr>
          <w:rtl/>
        </w:rPr>
        <w:t>וואלאזין</w:t>
      </w:r>
      <w:proofErr w:type="spellEnd"/>
      <w:r>
        <w:rPr>
          <w:rtl/>
        </w:rPr>
        <w:t xml:space="preserve"> </w:t>
      </w:r>
      <w:proofErr w:type="spellStart"/>
      <w:r>
        <w:rPr>
          <w:rtl/>
        </w:rPr>
        <w:t>ביז</w:t>
      </w:r>
      <w:proofErr w:type="spellEnd"/>
      <w:r>
        <w:rPr>
          <w:rtl/>
        </w:rPr>
        <w:t xml:space="preserve"> ירושלים”,</w:t>
      </w:r>
      <w:bookmarkStart w:id="1301" w:name="_fnr796"/>
      <w:r>
        <w:rPr>
          <w:rStyle w:val="a5"/>
        </w:rPr>
        <w:footnoteReference w:id="797" w:customMarkFollows="0"/>
      </w:r>
      <w:bookmarkEnd w:id="1301"/>
      <w:r>
        <w:rPr>
          <w:rtl/>
        </w:rPr>
        <w:t xml:space="preserve"> האומר: “</w:t>
      </w:r>
      <w:proofErr w:type="spellStart"/>
      <w:r>
        <w:rPr>
          <w:rtl/>
        </w:rPr>
        <w:t>בוולוז׳ין</w:t>
      </w:r>
      <w:proofErr w:type="spellEnd"/>
      <w:r>
        <w:rPr>
          <w:rtl/>
        </w:rPr>
        <w:t xml:space="preserve"> אמרו שר׳ </w:t>
      </w:r>
      <w:proofErr w:type="spellStart"/>
      <w:r>
        <w:rPr>
          <w:rtl/>
        </w:rPr>
        <w:t>איצל׳ה</w:t>
      </w:r>
      <w:proofErr w:type="spellEnd"/>
      <w:r>
        <w:rPr>
          <w:rtl/>
        </w:rPr>
        <w:t xml:space="preserve"> ידע היטב את השפה הפולנית; שפה זו דוברה בימיו ובשנים שלאחר מכן בפלך וילנה [שבו שכנה </w:t>
      </w:r>
      <w:proofErr w:type="spellStart"/>
      <w:r>
        <w:rPr>
          <w:rtl/>
        </w:rPr>
        <w:t>וולוז׳ין</w:t>
      </w:r>
      <w:proofErr w:type="spellEnd"/>
      <w:r>
        <w:rPr>
          <w:rtl/>
        </w:rPr>
        <w:t>]. עוד אמרו שנמצאו ספרים פולניים [בספרייתו] כשנפטר.” והשווה גם “</w:t>
      </w:r>
      <w:proofErr w:type="spellStart"/>
      <w:r>
        <w:rPr>
          <w:rtl/>
        </w:rPr>
        <w:t>זכרון</w:t>
      </w:r>
      <w:proofErr w:type="spellEnd"/>
      <w:r>
        <w:rPr>
          <w:rtl/>
        </w:rPr>
        <w:t xml:space="preserve"> יעקב”</w:t>
      </w:r>
      <w:bookmarkStart w:id="1302" w:name="_fnr797"/>
      <w:r>
        <w:rPr>
          <w:rStyle w:val="a5"/>
        </w:rPr>
        <w:footnoteReference w:id="798" w:customMarkFollows="0"/>
      </w:r>
      <w:bookmarkEnd w:id="1302"/>
      <w:r>
        <w:rPr>
          <w:rtl/>
        </w:rPr>
        <w:t xml:space="preserve">: בדרך </w:t>
      </w:r>
      <w:r>
        <w:rPr>
          <w:rtl/>
        </w:rPr>
        <w:lastRenderedPageBreak/>
        <w:t xml:space="preserve">כלל היו פקידי הדרג הנמוך בכל בלארוס פולנים, שהשתמשו בלשונם במגעם עם ההמונים. לכן </w:t>
      </w:r>
      <w:r>
        <w:rPr>
          <w:b/>
          <w:bCs/>
          <w:rtl/>
        </w:rPr>
        <w:t>רוב</w:t>
      </w:r>
      <w:r>
        <w:rPr>
          <w:rtl/>
        </w:rPr>
        <w:t xml:space="preserve"> היהודים ידעו לדבר מעט פולנית, וודאי טוב יותר מרוסית.</w:t>
      </w:r>
    </w:p>
    <w:p w14:paraId="66329A50" w14:textId="77777777" w:rsidR="00AB3647" w:rsidRDefault="00000000" w:rsidP="007923E9">
      <w:pPr>
        <w:spacing w:after="120" w:line="276" w:lineRule="auto"/>
        <w:ind w:firstLine="283"/>
        <w:jc w:val="both"/>
      </w:pPr>
      <w:r>
        <w:rPr>
          <w:rtl/>
        </w:rPr>
        <w:t xml:space="preserve">יש להניח ששמו של ר׳ </w:t>
      </w:r>
      <w:proofErr w:type="spellStart"/>
      <w:r>
        <w:rPr>
          <w:rtl/>
        </w:rPr>
        <w:t>איצל׳ה</w:t>
      </w:r>
      <w:proofErr w:type="spellEnd"/>
      <w:r>
        <w:rPr>
          <w:rtl/>
        </w:rPr>
        <w:t xml:space="preserve"> כמי שאינו “בטלן” הוא שהביא את </w:t>
      </w:r>
      <w:proofErr w:type="spellStart"/>
      <w:r>
        <w:rPr>
          <w:rtl/>
        </w:rPr>
        <w:t>ליליינטל</w:t>
      </w:r>
      <w:proofErr w:type="spellEnd"/>
      <w:r>
        <w:rPr>
          <w:rtl/>
        </w:rPr>
        <w:t xml:space="preserve"> </w:t>
      </w:r>
      <w:proofErr w:type="spellStart"/>
      <w:r>
        <w:rPr>
          <w:rtl/>
        </w:rPr>
        <w:t>לוולוז׳ין</w:t>
      </w:r>
      <w:proofErr w:type="spellEnd"/>
      <w:r>
        <w:rPr>
          <w:rtl/>
        </w:rPr>
        <w:t xml:space="preserve"> מלכתחילה. והוא שגרם, שלושה חודשים קודם לכן, שר׳ </w:t>
      </w:r>
      <w:proofErr w:type="spellStart"/>
      <w:r>
        <w:rPr>
          <w:rtl/>
        </w:rPr>
        <w:t>איצל׳ה</w:t>
      </w:r>
      <w:proofErr w:type="spellEnd"/>
      <w:r>
        <w:rPr>
          <w:rtl/>
        </w:rPr>
        <w:t xml:space="preserve"> ייבחר מבין עשרות רבני המתנגדים הגדולים לייצג את הציבור האורתודוקסי (יחד עם האדמו״ר </w:t>
      </w:r>
      <w:proofErr w:type="spellStart"/>
      <w:r>
        <w:rPr>
          <w:rtl/>
        </w:rPr>
        <w:t>מליובאוויטש</w:t>
      </w:r>
      <w:proofErr w:type="spellEnd"/>
      <w:r>
        <w:rPr>
          <w:rtl/>
        </w:rPr>
        <w:t>), כאמור לעיל בסוף הפסקה השביעית.</w:t>
      </w:r>
    </w:p>
    <w:p w14:paraId="3E56E500" w14:textId="77777777" w:rsidR="00AB3647" w:rsidRDefault="00000000" w:rsidP="007923E9">
      <w:pPr>
        <w:spacing w:after="120" w:line="276" w:lineRule="auto"/>
        <w:ind w:firstLine="283"/>
        <w:jc w:val="both"/>
      </w:pPr>
      <w:bookmarkStart w:id="1303" w:name="pr_b_617"/>
      <w:bookmarkEnd w:id="1303"/>
      <w:r>
        <w:rPr>
          <w:rtl/>
        </w:rPr>
        <w:t>לפי “מקור ברוך”,</w:t>
      </w:r>
      <w:bookmarkStart w:id="1304" w:name="_fnr798"/>
      <w:r>
        <w:rPr>
          <w:rStyle w:val="a5"/>
        </w:rPr>
        <w:footnoteReference w:id="799" w:customMarkFollows="0"/>
      </w:r>
      <w:bookmarkEnd w:id="1304"/>
      <w:r>
        <w:rPr>
          <w:rtl/>
        </w:rPr>
        <w:t xml:space="preserve"> דרשתו של ר׳ </w:t>
      </w:r>
      <w:proofErr w:type="spellStart"/>
      <w:r>
        <w:rPr>
          <w:rtl/>
        </w:rPr>
        <w:t>איצל׳ה</w:t>
      </w:r>
      <w:proofErr w:type="spellEnd"/>
      <w:r>
        <w:rPr>
          <w:rtl/>
        </w:rPr>
        <w:t xml:space="preserve"> פגעה בד״ר </w:t>
      </w:r>
      <w:proofErr w:type="spellStart"/>
      <w:r>
        <w:rPr>
          <w:rtl/>
        </w:rPr>
        <w:t>ליליינטל</w:t>
      </w:r>
      <w:proofErr w:type="spellEnd"/>
      <w:r>
        <w:rPr>
          <w:rtl/>
        </w:rPr>
        <w:t xml:space="preserve">, </w:t>
      </w:r>
      <w:proofErr w:type="spellStart"/>
      <w:r>
        <w:rPr>
          <w:rtl/>
        </w:rPr>
        <w:t>ו“האנשים</w:t>
      </w:r>
      <w:proofErr w:type="spellEnd"/>
      <w:r>
        <w:rPr>
          <w:rtl/>
        </w:rPr>
        <w:t xml:space="preserve"> שליד הפינה של </w:t>
      </w:r>
      <w:proofErr w:type="spellStart"/>
      <w:r>
        <w:rPr>
          <w:rtl/>
        </w:rPr>
        <w:t>ליליינטל</w:t>
      </w:r>
      <w:proofErr w:type="spellEnd"/>
      <w:r>
        <w:rPr>
          <w:rtl/>
        </w:rPr>
        <w:t>, שבה ישב כשטליתו על ראשו, שמעו אותו בוכה חרש”, משום שהותקף שלא בצדק.</w:t>
      </w:r>
    </w:p>
    <w:p w14:paraId="269C0718" w14:textId="77777777" w:rsidR="00AB3647" w:rsidRDefault="00000000" w:rsidP="007923E9">
      <w:pPr>
        <w:spacing w:after="120" w:line="276" w:lineRule="auto"/>
        <w:ind w:firstLine="283"/>
        <w:jc w:val="both"/>
      </w:pPr>
      <w:r>
        <w:rPr>
          <w:rtl/>
        </w:rPr>
        <w:t xml:space="preserve">לפי </w:t>
      </w:r>
      <w:proofErr w:type="spellStart"/>
      <w:r>
        <w:rPr>
          <w:rtl/>
        </w:rPr>
        <w:t>צינוביץ</w:t>
      </w:r>
      <w:proofErr w:type="spellEnd"/>
      <w:r>
        <w:rPr>
          <w:rtl/>
        </w:rPr>
        <w:t>,</w:t>
      </w:r>
      <w:bookmarkStart w:id="1305" w:name="_fnr799"/>
      <w:r>
        <w:rPr>
          <w:rStyle w:val="a5"/>
        </w:rPr>
        <w:footnoteReference w:id="800" w:customMarkFollows="0"/>
      </w:r>
      <w:bookmarkEnd w:id="1305"/>
      <w:r>
        <w:rPr>
          <w:rtl/>
        </w:rPr>
        <w:t xml:space="preserve"> המספר, כאמור לעיל, שהדרשה לא תקפה את </w:t>
      </w:r>
      <w:proofErr w:type="spellStart"/>
      <w:r>
        <w:rPr>
          <w:rtl/>
        </w:rPr>
        <w:t>ליליינטל</w:t>
      </w:r>
      <w:proofErr w:type="spellEnd"/>
      <w:r>
        <w:rPr>
          <w:rtl/>
        </w:rPr>
        <w:t xml:space="preserve"> במישרין – אף שייתכן מאוד שזה היה רק </w:t>
      </w:r>
      <w:r>
        <w:rPr>
          <w:b/>
          <w:bCs/>
          <w:rtl/>
        </w:rPr>
        <w:t>חלק</w:t>
      </w:r>
      <w:r>
        <w:rPr>
          <w:rtl/>
        </w:rPr>
        <w:t xml:space="preserve"> מדרשתו של ר׳ </w:t>
      </w:r>
      <w:proofErr w:type="spellStart"/>
      <w:r>
        <w:rPr>
          <w:rtl/>
        </w:rPr>
        <w:t>איצל׳ה</w:t>
      </w:r>
      <w:proofErr w:type="spellEnd"/>
      <w:r>
        <w:rPr>
          <w:rtl/>
        </w:rPr>
        <w:t>, כפי שהוצע לעיל – “[</w:t>
      </w:r>
      <w:proofErr w:type="spellStart"/>
      <w:r>
        <w:rPr>
          <w:rtl/>
        </w:rPr>
        <w:t>ליליינטל</w:t>
      </w:r>
      <w:proofErr w:type="spellEnd"/>
      <w:r>
        <w:rPr>
          <w:rtl/>
        </w:rPr>
        <w:t>] עלה על הבימה ואמר בין השאר: ‘אתם רשאים לחשוד ברעיונותיי ובמעשיי. אולם אני נשבע’ – והוציא ספר תורה – ‘</w:t>
      </w:r>
      <w:proofErr w:type="spellStart"/>
      <w:r>
        <w:rPr>
          <w:rtl/>
        </w:rPr>
        <w:t>באלקים</w:t>
      </w:r>
      <w:proofErr w:type="spellEnd"/>
      <w:r>
        <w:rPr>
          <w:rtl/>
        </w:rPr>
        <w:t xml:space="preserve"> ובספר הזה שכוונותיי לשם שמים ולטובת עם ישראל, ואני מאמין שמטרת הממשלה בתיקונים שהיא מכינה... אינה אלא לטובת עמנו, בלי כוונות זרות. עוד אני נשבע שאם אשתכנע שטעיתי ואראה במעשי השר פגיעה כלשהי בדתנו הקדושה, אסתלק מן העניין כולו.’”</w:t>
      </w:r>
    </w:p>
    <w:p w14:paraId="4AC8F23E" w14:textId="77777777" w:rsidR="00AB3647" w:rsidRDefault="00000000" w:rsidP="007923E9">
      <w:pPr>
        <w:spacing w:after="120" w:line="276" w:lineRule="auto"/>
        <w:ind w:firstLine="283"/>
        <w:jc w:val="both"/>
      </w:pPr>
      <w:r>
        <w:rPr>
          <w:rtl/>
        </w:rPr>
        <w:t>“מקור ברוך”,</w:t>
      </w:r>
      <w:bookmarkStart w:id="1306" w:name="_fnr800"/>
      <w:r>
        <w:rPr>
          <w:rStyle w:val="a5"/>
        </w:rPr>
        <w:footnoteReference w:id="801" w:customMarkFollows="0"/>
      </w:r>
      <w:bookmarkEnd w:id="1306"/>
      <w:r>
        <w:rPr>
          <w:rtl/>
        </w:rPr>
        <w:t xml:space="preserve"> המובא להלן, מזכיר גם הוא </w:t>
      </w:r>
      <w:proofErr w:type="spellStart"/>
      <w:r>
        <w:rPr>
          <w:rtl/>
        </w:rPr>
        <w:t>שהנצי״ב</w:t>
      </w:r>
      <w:proofErr w:type="spellEnd"/>
      <w:r>
        <w:rPr>
          <w:rtl/>
        </w:rPr>
        <w:t xml:space="preserve"> סיפר </w:t>
      </w:r>
      <w:proofErr w:type="spellStart"/>
      <w:r>
        <w:rPr>
          <w:rtl/>
        </w:rPr>
        <w:t>שליליינטל</w:t>
      </w:r>
      <w:proofErr w:type="spellEnd"/>
      <w:r>
        <w:rPr>
          <w:rtl/>
        </w:rPr>
        <w:t xml:space="preserve"> נשבע שבועה כזו, </w:t>
      </w:r>
      <w:r>
        <w:rPr>
          <w:b/>
          <w:bCs/>
          <w:rtl/>
        </w:rPr>
        <w:t xml:space="preserve">אלא שלא </w:t>
      </w:r>
      <w:proofErr w:type="spellStart"/>
      <w:r>
        <w:rPr>
          <w:b/>
          <w:bCs/>
          <w:rtl/>
        </w:rPr>
        <w:t>בוולוז׳ין</w:t>
      </w:r>
      <w:proofErr w:type="spellEnd"/>
      <w:r>
        <w:rPr>
          <w:rtl/>
        </w:rPr>
        <w:t>, כי אם “</w:t>
      </w:r>
      <w:proofErr w:type="spellStart"/>
      <w:r>
        <w:rPr>
          <w:rtl/>
        </w:rPr>
        <w:t>בווילנא</w:t>
      </w:r>
      <w:proofErr w:type="spellEnd"/>
      <w:r>
        <w:rPr>
          <w:rtl/>
        </w:rPr>
        <w:t xml:space="preserve"> בפני גדולי העם”. אם אכן נשבעה השבועה הנטענת בווילנה, ודאי נשבעה </w:t>
      </w:r>
      <w:r>
        <w:rPr>
          <w:b/>
          <w:bCs/>
          <w:rtl/>
        </w:rPr>
        <w:t>לפני</w:t>
      </w:r>
      <w:r>
        <w:rPr>
          <w:rtl/>
        </w:rPr>
        <w:t xml:space="preserve"> שבא </w:t>
      </w:r>
      <w:proofErr w:type="spellStart"/>
      <w:r>
        <w:rPr>
          <w:rtl/>
        </w:rPr>
        <w:t>ליליינטל</w:t>
      </w:r>
      <w:proofErr w:type="spellEnd"/>
      <w:r>
        <w:rPr>
          <w:rtl/>
        </w:rPr>
        <w:t xml:space="preserve"> </w:t>
      </w:r>
      <w:proofErr w:type="spellStart"/>
      <w:r>
        <w:rPr>
          <w:rtl/>
        </w:rPr>
        <w:t>לוולוז׳ין</w:t>
      </w:r>
      <w:proofErr w:type="spellEnd"/>
      <w:r>
        <w:rPr>
          <w:rtl/>
        </w:rPr>
        <w:t xml:space="preserve">. שהרי בביקורו בווילנה אחרי </w:t>
      </w:r>
      <w:proofErr w:type="spellStart"/>
      <w:r>
        <w:rPr>
          <w:rtl/>
        </w:rPr>
        <w:t>וולוז׳ין</w:t>
      </w:r>
      <w:proofErr w:type="spellEnd"/>
      <w:r>
        <w:rPr>
          <w:rtl/>
        </w:rPr>
        <w:t xml:space="preserve"> לא היה לו צורך להישבע, משום שכבר הוכשר בידי ר׳ </w:t>
      </w:r>
      <w:proofErr w:type="spellStart"/>
      <w:r>
        <w:rPr>
          <w:rtl/>
        </w:rPr>
        <w:t>איצל׳ה</w:t>
      </w:r>
      <w:proofErr w:type="spellEnd"/>
      <w:r>
        <w:rPr>
          <w:rtl/>
        </w:rPr>
        <w:t>, כפי שיתברר בהמשך. מכאן ש</w:t>
      </w:r>
      <w:r>
        <w:rPr>
          <w:b/>
          <w:bCs/>
          <w:rtl/>
        </w:rPr>
        <w:t>לדעת “מקור ברוך”</w:t>
      </w:r>
      <w:r>
        <w:rPr>
          <w:rtl/>
        </w:rPr>
        <w:t xml:space="preserve"> לא הספיקה שבועתו הקודמת של </w:t>
      </w:r>
      <w:proofErr w:type="spellStart"/>
      <w:r>
        <w:rPr>
          <w:rtl/>
        </w:rPr>
        <w:t>ליליינטל</w:t>
      </w:r>
      <w:proofErr w:type="spellEnd"/>
      <w:r>
        <w:rPr>
          <w:rtl/>
        </w:rPr>
        <w:t xml:space="preserve"> כדי לפזר את ענן החשד שהיה נתון בו בשעה </w:t>
      </w:r>
      <w:r>
        <w:rPr>
          <w:b/>
          <w:bCs/>
          <w:rtl/>
        </w:rPr>
        <w:t>שהגיע</w:t>
      </w:r>
      <w:r>
        <w:rPr>
          <w:rtl/>
        </w:rPr>
        <w:t xml:space="preserve"> </w:t>
      </w:r>
      <w:proofErr w:type="spellStart"/>
      <w:r>
        <w:rPr>
          <w:rtl/>
        </w:rPr>
        <w:t>לוולוז׳ין</w:t>
      </w:r>
      <w:proofErr w:type="spellEnd"/>
      <w:r>
        <w:rPr>
          <w:rtl/>
        </w:rPr>
        <w:t>.</w:t>
      </w:r>
    </w:p>
    <w:p w14:paraId="1A021C27" w14:textId="77777777" w:rsidR="00AB3647" w:rsidRDefault="00000000" w:rsidP="007923E9">
      <w:pPr>
        <w:spacing w:after="120" w:line="276" w:lineRule="auto"/>
        <w:ind w:firstLine="283"/>
        <w:jc w:val="both"/>
      </w:pPr>
      <w:r>
        <w:rPr>
          <w:rtl/>
        </w:rPr>
        <w:t xml:space="preserve">השמועות על שבועה בווילנה קשורות ודאי בדיווח של ש.ל. </w:t>
      </w:r>
      <w:proofErr w:type="spellStart"/>
      <w:r>
        <w:rPr>
          <w:rtl/>
        </w:rPr>
        <w:t>ציטראן</w:t>
      </w:r>
      <w:proofErr w:type="spellEnd"/>
      <w:r>
        <w:rPr>
          <w:rtl/>
        </w:rPr>
        <w:t xml:space="preserve">, המובא </w:t>
      </w:r>
      <w:proofErr w:type="spellStart"/>
      <w:r>
        <w:rPr>
          <w:rtl/>
        </w:rPr>
        <w:t>ב“זכרון</w:t>
      </w:r>
      <w:proofErr w:type="spellEnd"/>
      <w:r>
        <w:rPr>
          <w:rtl/>
        </w:rPr>
        <w:t xml:space="preserve"> יעקב”,</w:t>
      </w:r>
      <w:bookmarkStart w:id="1307" w:name="_fnr801"/>
      <w:r>
        <w:rPr>
          <w:rStyle w:val="a5"/>
        </w:rPr>
        <w:footnoteReference w:id="802" w:customMarkFollows="0"/>
      </w:r>
      <w:bookmarkEnd w:id="1307"/>
      <w:r>
        <w:rPr>
          <w:rtl/>
        </w:rPr>
        <w:t xml:space="preserve"> שכאשר הציג </w:t>
      </w:r>
      <w:proofErr w:type="spellStart"/>
      <w:r>
        <w:rPr>
          <w:rtl/>
        </w:rPr>
        <w:t>ליליינטל</w:t>
      </w:r>
      <w:proofErr w:type="spellEnd"/>
      <w:r>
        <w:rPr>
          <w:rtl/>
        </w:rPr>
        <w:t xml:space="preserve"> את תוכניתו של </w:t>
      </w:r>
      <w:proofErr w:type="spellStart"/>
      <w:r>
        <w:rPr>
          <w:rtl/>
        </w:rPr>
        <w:t>אוברוב</w:t>
      </w:r>
      <w:proofErr w:type="spellEnd"/>
      <w:r>
        <w:rPr>
          <w:rtl/>
        </w:rPr>
        <w:t xml:space="preserve"> בווילנה, “</w:t>
      </w:r>
      <w:r>
        <w:rPr>
          <w:b/>
          <w:bCs/>
          <w:rtl/>
        </w:rPr>
        <w:t>באחרונה</w:t>
      </w:r>
      <w:r>
        <w:rPr>
          <w:rtl/>
        </w:rPr>
        <w:t xml:space="preserve"> (ההדגשה שלי) קם ראש המדברים ממקומו, וישאל את ה׳ </w:t>
      </w:r>
      <w:proofErr w:type="spellStart"/>
      <w:r>
        <w:rPr>
          <w:rtl/>
        </w:rPr>
        <w:t>לילענטהאל</w:t>
      </w:r>
      <w:proofErr w:type="spellEnd"/>
      <w:r>
        <w:rPr>
          <w:rtl/>
        </w:rPr>
        <w:t xml:space="preserve"> בשם כל הנאספים כבאי </w:t>
      </w:r>
      <w:proofErr w:type="spellStart"/>
      <w:r>
        <w:rPr>
          <w:rtl/>
        </w:rPr>
        <w:t>כח</w:t>
      </w:r>
      <w:proofErr w:type="spellEnd"/>
      <w:r>
        <w:rPr>
          <w:rtl/>
        </w:rPr>
        <w:t xml:space="preserve"> העם, אם החדשה שהממשלה אומרת לברוא בקרב היהודים, איננה במחשבה תחלה לעשותה ברבות הימים לרועץ ולמקל חובלים,</w:t>
      </w:r>
      <w:bookmarkStart w:id="1308" w:name="_fnr802"/>
      <w:r>
        <w:rPr>
          <w:rStyle w:val="a5"/>
        </w:rPr>
        <w:footnoteReference w:id="803" w:customMarkFollows="0"/>
      </w:r>
      <w:bookmarkEnd w:id="1308"/>
      <w:r>
        <w:rPr>
          <w:rtl/>
        </w:rPr>
        <w:t xml:space="preserve"> להכות בה לרסיסים אמוני מוורשה קהלת יעקב, כאשר כן ינבא להם קול סתר בעמקי בתי נפשם”. לפי המסופר השיב </w:t>
      </w:r>
      <w:proofErr w:type="spellStart"/>
      <w:r>
        <w:rPr>
          <w:rtl/>
        </w:rPr>
        <w:t>ליליינטל</w:t>
      </w:r>
      <w:proofErr w:type="spellEnd"/>
      <w:r>
        <w:rPr>
          <w:rtl/>
        </w:rPr>
        <w:t xml:space="preserve">: “אתם כילידי </w:t>
      </w:r>
      <w:proofErr w:type="spellStart"/>
      <w:r>
        <w:rPr>
          <w:rtl/>
        </w:rPr>
        <w:t>רוסיא</w:t>
      </w:r>
      <w:proofErr w:type="spellEnd"/>
      <w:r>
        <w:rPr>
          <w:rtl/>
        </w:rPr>
        <w:t xml:space="preserve"> אל נכון תטיבו לדעת ממני, כי אין ביכולתי להשיג לכם ערובה על איזה ענין שיהיה, כי לב מלכים ושרים ביד ה׳</w:t>
      </w:r>
      <w:bookmarkStart w:id="1309" w:name="_fnr803"/>
      <w:r>
        <w:rPr>
          <w:rStyle w:val="a5"/>
        </w:rPr>
        <w:footnoteReference w:id="804" w:customMarkFollows="0"/>
      </w:r>
      <w:bookmarkEnd w:id="1309"/>
      <w:r>
        <w:rPr>
          <w:rtl/>
        </w:rPr>
        <w:t xml:space="preserve"> – ואיככה אוכל אני, גר אומלל יליד ארץ </w:t>
      </w:r>
      <w:proofErr w:type="spellStart"/>
      <w:r>
        <w:rPr>
          <w:rtl/>
        </w:rPr>
        <w:t>נכריה</w:t>
      </w:r>
      <w:proofErr w:type="spellEnd"/>
      <w:r>
        <w:rPr>
          <w:rtl/>
        </w:rPr>
        <w:t xml:space="preserve">, ונתתי לכם ערובה”. אחרי </w:t>
      </w:r>
      <w:r>
        <w:rPr>
          <w:rtl/>
        </w:rPr>
        <w:lastRenderedPageBreak/>
        <w:t xml:space="preserve">התנצלות כזו ודאי הייתה שבועה במקומה, ואז נשבע </w:t>
      </w:r>
      <w:proofErr w:type="spellStart"/>
      <w:r>
        <w:rPr>
          <w:rtl/>
        </w:rPr>
        <w:t>ליליינטל</w:t>
      </w:r>
      <w:proofErr w:type="spellEnd"/>
      <w:r>
        <w:rPr>
          <w:rtl/>
        </w:rPr>
        <w:t xml:space="preserve"> לנתק את קשריו עם הממשלה אם “יראה במעשי השר פגיעה כלשהי בדתנו הקדושה”.</w:t>
      </w:r>
    </w:p>
    <w:p w14:paraId="5DFEBFA9" w14:textId="77777777" w:rsidR="00AB3647" w:rsidRDefault="00000000" w:rsidP="007923E9">
      <w:pPr>
        <w:pStyle w:val="4"/>
        <w:spacing w:line="276" w:lineRule="auto"/>
      </w:pPr>
      <w:r>
        <w:t>· הפסקה העשירית ·</w:t>
      </w:r>
    </w:p>
    <w:p w14:paraId="110B98C7" w14:textId="77777777" w:rsidR="00AB3647" w:rsidRDefault="00000000" w:rsidP="007923E9">
      <w:pPr>
        <w:pStyle w:val="5"/>
        <w:spacing w:line="276" w:lineRule="auto"/>
      </w:pPr>
      <w:proofErr w:type="spellStart"/>
      <w:r>
        <w:t>ליליינטל</w:t>
      </w:r>
      <w:proofErr w:type="spellEnd"/>
      <w:r>
        <w:t xml:space="preserve"> מוציא פרוטוקול סודי בפגישתו </w:t>
      </w:r>
      <w:proofErr w:type="spellStart"/>
      <w:r>
        <w:t>בוולוז׳ין</w:t>
      </w:r>
      <w:proofErr w:type="spellEnd"/>
    </w:p>
    <w:p w14:paraId="04F0D0BB" w14:textId="77777777" w:rsidR="00AB3647" w:rsidRDefault="00000000" w:rsidP="007923E9">
      <w:pPr>
        <w:spacing w:after="120" w:line="276" w:lineRule="auto"/>
        <w:ind w:firstLine="283"/>
        <w:jc w:val="both"/>
      </w:pPr>
      <w:r>
        <w:rPr>
          <w:rtl/>
        </w:rPr>
        <w:t>לפי “מקור ברוך”,</w:t>
      </w:r>
      <w:bookmarkStart w:id="1310" w:name="_fnr804"/>
      <w:r>
        <w:rPr>
          <w:rStyle w:val="a5"/>
        </w:rPr>
        <w:footnoteReference w:id="805" w:customMarkFollows="0"/>
      </w:r>
      <w:bookmarkEnd w:id="1310"/>
      <w:r>
        <w:rPr>
          <w:rtl/>
        </w:rPr>
        <w:t xml:space="preserve"> גילה </w:t>
      </w:r>
      <w:proofErr w:type="spellStart"/>
      <w:r>
        <w:rPr>
          <w:rtl/>
        </w:rPr>
        <w:t>ליליינטל</w:t>
      </w:r>
      <w:proofErr w:type="spellEnd"/>
      <w:r>
        <w:rPr>
          <w:rtl/>
        </w:rPr>
        <w:t xml:space="preserve"> </w:t>
      </w:r>
      <w:proofErr w:type="spellStart"/>
      <w:r>
        <w:rPr>
          <w:rtl/>
        </w:rPr>
        <w:t>לר</w:t>
      </w:r>
      <w:proofErr w:type="spellEnd"/>
      <w:r>
        <w:rPr>
          <w:rtl/>
        </w:rPr>
        <w:t xml:space="preserve">׳ </w:t>
      </w:r>
      <w:proofErr w:type="spellStart"/>
      <w:r>
        <w:rPr>
          <w:rtl/>
        </w:rPr>
        <w:t>איצל׳ה</w:t>
      </w:r>
      <w:proofErr w:type="spellEnd"/>
      <w:r>
        <w:rPr>
          <w:rtl/>
        </w:rPr>
        <w:t xml:space="preserve"> במהלך שיחותיהם את תוכנה של ישיבה סודית שקיימו השרים עם הצאר. הוא הציג “העתק מאושר” של פרוטוקול הישיבה, ובו נאמר: “היהודים מסרבים להשתלב בחיים האזרחיים של המדינה, אינם רוצים לדעת את לשונה ולהתחבר עמה, ונרתעים מכל תנועה לקראת ההשכלה וההתאזרחות. הצאר ורוב השרים סבורים שיש להכריז על כל היהודים ‘מגויסים’ ולשלחם </w:t>
      </w:r>
      <w:proofErr w:type="spellStart"/>
      <w:r>
        <w:rPr>
          <w:rtl/>
        </w:rPr>
        <w:t>כ‘גולי</w:t>
      </w:r>
      <w:proofErr w:type="spellEnd"/>
      <w:r>
        <w:rPr>
          <w:rtl/>
        </w:rPr>
        <w:t xml:space="preserve"> צבא’ אל קצווי הארץ הרחוקים. רק הרוזן </w:t>
      </w:r>
      <w:proofErr w:type="spellStart"/>
      <w:r>
        <w:rPr>
          <w:rtl/>
        </w:rPr>
        <w:t>אוברוב</w:t>
      </w:r>
      <w:proofErr w:type="spellEnd"/>
      <w:r>
        <w:rPr>
          <w:rtl/>
        </w:rPr>
        <w:t xml:space="preserve"> ושר אחד נוסף [ששמו נזכר] סבורים שזהו צעד קשה מדי למדינה נאורה, וכדי לפייס את הצאר קיבלו שני השרים על עצמם את המשא להטות את לב היהודים להשכלה ולאזרחות הגונה. ולזה הסכים הצאר.”</w:t>
      </w:r>
    </w:p>
    <w:p w14:paraId="25843F85" w14:textId="77777777" w:rsidR="00AB3647" w:rsidRDefault="00000000" w:rsidP="007923E9">
      <w:pPr>
        <w:spacing w:after="120" w:line="276" w:lineRule="auto"/>
        <w:ind w:firstLine="283"/>
        <w:jc w:val="both"/>
      </w:pPr>
      <w:proofErr w:type="spellStart"/>
      <w:r>
        <w:rPr>
          <w:rtl/>
        </w:rPr>
        <w:t>ליליינטל</w:t>
      </w:r>
      <w:proofErr w:type="spellEnd"/>
      <w:r>
        <w:rPr>
          <w:rtl/>
        </w:rPr>
        <w:t xml:space="preserve"> הודיע שנשלח לבצע בשם </w:t>
      </w:r>
      <w:proofErr w:type="spellStart"/>
      <w:r>
        <w:rPr>
          <w:rtl/>
        </w:rPr>
        <w:t>אוברוב</w:t>
      </w:r>
      <w:proofErr w:type="spellEnd"/>
      <w:r>
        <w:rPr>
          <w:rtl/>
        </w:rPr>
        <w:t xml:space="preserve"> את מה שהשר התחייב לפני הצאר, ושאם יידחה הוא עצמו בעניין הקמת בתי הספר המודרניים, ייאלץ </w:t>
      </w:r>
      <w:proofErr w:type="spellStart"/>
      <w:r>
        <w:rPr>
          <w:rtl/>
        </w:rPr>
        <w:t>אוברוב</w:t>
      </w:r>
      <w:proofErr w:type="spellEnd"/>
      <w:r>
        <w:rPr>
          <w:rtl/>
        </w:rPr>
        <w:t xml:space="preserve"> להיכנע לנטיות הצאר ורוב השרים, וגורל היהודים יהיה נורא. האורח הוסיף שלא פרסם את </w:t>
      </w:r>
      <w:proofErr w:type="spellStart"/>
      <w:r>
        <w:rPr>
          <w:rtl/>
        </w:rPr>
        <w:t>ה“העתק</w:t>
      </w:r>
      <w:proofErr w:type="spellEnd"/>
      <w:r>
        <w:rPr>
          <w:rtl/>
        </w:rPr>
        <w:t xml:space="preserve">” הזה בערים שביקר בהן קודם לכן, משום שחשש שהיהודים ייפלו לייאוש גמור. מוזר הוא שבמקום אחר </w:t>
      </w:r>
      <w:proofErr w:type="spellStart"/>
      <w:r>
        <w:rPr>
          <w:rtl/>
        </w:rPr>
        <w:t>ב“מקור</w:t>
      </w:r>
      <w:proofErr w:type="spellEnd"/>
      <w:r>
        <w:rPr>
          <w:rtl/>
        </w:rPr>
        <w:t xml:space="preserve"> ברוך”</w:t>
      </w:r>
      <w:bookmarkStart w:id="1311" w:name="_fnr805"/>
      <w:r>
        <w:rPr>
          <w:rStyle w:val="a5"/>
        </w:rPr>
        <w:footnoteReference w:id="806" w:customMarkFollows="0"/>
      </w:r>
      <w:bookmarkEnd w:id="1311"/>
      <w:r>
        <w:rPr>
          <w:rtl/>
        </w:rPr>
        <w:t xml:space="preserve"> הטעם לכך </w:t>
      </w:r>
      <w:proofErr w:type="spellStart"/>
      <w:r>
        <w:rPr>
          <w:rtl/>
        </w:rPr>
        <w:t>שליליינטל</w:t>
      </w:r>
      <w:proofErr w:type="spellEnd"/>
      <w:r>
        <w:rPr>
          <w:rtl/>
        </w:rPr>
        <w:t xml:space="preserve"> לא פרסם את </w:t>
      </w:r>
      <w:proofErr w:type="spellStart"/>
      <w:r>
        <w:rPr>
          <w:rtl/>
        </w:rPr>
        <w:t>ה“העתק</w:t>
      </w:r>
      <w:proofErr w:type="spellEnd"/>
      <w:r>
        <w:rPr>
          <w:rtl/>
        </w:rPr>
        <w:t xml:space="preserve">” משתנה: שם מגלה המחבר בלשון סתומה </w:t>
      </w:r>
      <w:proofErr w:type="spellStart"/>
      <w:r>
        <w:rPr>
          <w:rtl/>
        </w:rPr>
        <w:t>שלליליינטל</w:t>
      </w:r>
      <w:proofErr w:type="spellEnd"/>
      <w:r>
        <w:rPr>
          <w:rtl/>
        </w:rPr>
        <w:t xml:space="preserve"> היה “טעם אישי, נסתר” שלא לגלות לאיש את דבר קיומו של פרוטוקול זה לפני פגישתו עם ר׳ </w:t>
      </w:r>
      <w:proofErr w:type="spellStart"/>
      <w:r>
        <w:rPr>
          <w:rtl/>
        </w:rPr>
        <w:t>איצל׳ה</w:t>
      </w:r>
      <w:proofErr w:type="spellEnd"/>
      <w:r>
        <w:rPr>
          <w:rtl/>
        </w:rPr>
        <w:t>.</w:t>
      </w:r>
    </w:p>
    <w:p w14:paraId="5D85A3E3" w14:textId="77777777" w:rsidR="00AB3647" w:rsidRDefault="00000000" w:rsidP="007923E9">
      <w:pPr>
        <w:pStyle w:val="4"/>
        <w:spacing w:line="276" w:lineRule="auto"/>
      </w:pPr>
      <w:r>
        <w:t xml:space="preserve">· הפסקה </w:t>
      </w:r>
      <w:proofErr w:type="spellStart"/>
      <w:r>
        <w:t>האחת־עשרה</w:t>
      </w:r>
      <w:proofErr w:type="spellEnd"/>
      <w:r>
        <w:t xml:space="preserve"> ·</w:t>
      </w:r>
    </w:p>
    <w:p w14:paraId="6AED1BBF" w14:textId="77777777" w:rsidR="00AB3647" w:rsidRDefault="00000000" w:rsidP="007923E9">
      <w:pPr>
        <w:pStyle w:val="5"/>
        <w:spacing w:line="276" w:lineRule="auto"/>
      </w:pPr>
      <w:r>
        <w:t xml:space="preserve">ר׳ </w:t>
      </w:r>
      <w:proofErr w:type="spellStart"/>
      <w:r>
        <w:t>איצל׳ה</w:t>
      </w:r>
      <w:proofErr w:type="spellEnd"/>
      <w:r>
        <w:t xml:space="preserve"> מתחיל לשתף פעולה עם </w:t>
      </w:r>
      <w:proofErr w:type="spellStart"/>
      <w:r>
        <w:t>ליליינטל</w:t>
      </w:r>
      <w:proofErr w:type="spellEnd"/>
    </w:p>
    <w:p w14:paraId="254E57E3" w14:textId="77777777" w:rsidR="00AB3647" w:rsidRDefault="00000000" w:rsidP="007923E9">
      <w:pPr>
        <w:spacing w:after="120" w:line="276" w:lineRule="auto"/>
        <w:ind w:firstLine="283"/>
        <w:jc w:val="both"/>
      </w:pPr>
      <w:r>
        <w:rPr>
          <w:rtl/>
        </w:rPr>
        <w:t>“מקור ברוך” אומר</w:t>
      </w:r>
      <w:bookmarkStart w:id="1312" w:name="_fnr806"/>
      <w:r>
        <w:rPr>
          <w:rStyle w:val="a5"/>
        </w:rPr>
        <w:footnoteReference w:id="807" w:customMarkFollows="0"/>
      </w:r>
      <w:bookmarkEnd w:id="1312"/>
      <w:r>
        <w:rPr>
          <w:rtl/>
        </w:rPr>
        <w:t xml:space="preserve"> </w:t>
      </w:r>
      <w:proofErr w:type="spellStart"/>
      <w:r>
        <w:rPr>
          <w:rtl/>
        </w:rPr>
        <w:t>ש“כאשר</w:t>
      </w:r>
      <w:proofErr w:type="spellEnd"/>
      <w:r>
        <w:rPr>
          <w:rtl/>
        </w:rPr>
        <w:t xml:space="preserve"> הוכחה </w:t>
      </w:r>
      <w:proofErr w:type="spellStart"/>
      <w:r>
        <w:rPr>
          <w:rtl/>
        </w:rPr>
        <w:t>לר</w:t>
      </w:r>
      <w:proofErr w:type="spellEnd"/>
      <w:r>
        <w:rPr>
          <w:rtl/>
        </w:rPr>
        <w:t xml:space="preserve">׳ </w:t>
      </w:r>
      <w:proofErr w:type="spellStart"/>
      <w:r>
        <w:rPr>
          <w:rtl/>
        </w:rPr>
        <w:t>איצל׳ה</w:t>
      </w:r>
      <w:proofErr w:type="spellEnd"/>
      <w:r>
        <w:rPr>
          <w:rtl/>
        </w:rPr>
        <w:t xml:space="preserve"> האמת על הסכנה הנשקפת ליהודי רוסיה, שלח שליחים (להורות ל)ערים שבדרכו של </w:t>
      </w:r>
      <w:proofErr w:type="spellStart"/>
      <w:r>
        <w:rPr>
          <w:rtl/>
        </w:rPr>
        <w:t>ליליינטל</w:t>
      </w:r>
      <w:proofErr w:type="spellEnd"/>
      <w:r>
        <w:rPr>
          <w:rtl/>
        </w:rPr>
        <w:t xml:space="preserve"> לקבל אותו בסבר פנים יפות” – וכך אכן התקבל מאז והלאה, במסעו השני.</w:t>
      </w:r>
    </w:p>
    <w:p w14:paraId="498E6FB6" w14:textId="77777777" w:rsidR="00AB3647" w:rsidRDefault="00000000" w:rsidP="007923E9">
      <w:pPr>
        <w:spacing w:after="120" w:line="276" w:lineRule="auto"/>
        <w:ind w:firstLine="283"/>
        <w:jc w:val="both"/>
      </w:pPr>
      <w:r>
        <w:rPr>
          <w:rtl/>
        </w:rPr>
        <w:t xml:space="preserve">לפי דיווחו של </w:t>
      </w:r>
      <w:proofErr w:type="spellStart"/>
      <w:r>
        <w:rPr>
          <w:rtl/>
        </w:rPr>
        <w:t>פפירנא</w:t>
      </w:r>
      <w:proofErr w:type="spellEnd"/>
      <w:r>
        <w:rPr>
          <w:rtl/>
        </w:rPr>
        <w:t xml:space="preserve"> נשאר </w:t>
      </w:r>
      <w:proofErr w:type="spellStart"/>
      <w:r>
        <w:rPr>
          <w:rtl/>
        </w:rPr>
        <w:t>ליליינטל</w:t>
      </w:r>
      <w:proofErr w:type="spellEnd"/>
      <w:r>
        <w:rPr>
          <w:rtl/>
        </w:rPr>
        <w:t xml:space="preserve"> חשוד גם </w:t>
      </w:r>
      <w:r>
        <w:rPr>
          <w:b/>
          <w:bCs/>
          <w:rtl/>
        </w:rPr>
        <w:t>אחרי</w:t>
      </w:r>
      <w:r>
        <w:rPr>
          <w:rtl/>
        </w:rPr>
        <w:t xml:space="preserve"> השיחה המרתונית שנמשכה “שלושה ימים ושלושה לילות” </w:t>
      </w:r>
      <w:r>
        <w:rPr>
          <w:b/>
          <w:bCs/>
          <w:rtl/>
        </w:rPr>
        <w:t>לפני</w:t>
      </w:r>
      <w:r>
        <w:rPr>
          <w:rtl/>
        </w:rPr>
        <w:t xml:space="preserve"> יום הכיפורים, כאמור לעיל, ואין הוא מזכיר כלל גילוי של “העתק” ממשלתי כלשהו. </w:t>
      </w:r>
      <w:r>
        <w:rPr>
          <w:b/>
          <w:bCs/>
          <w:rtl/>
        </w:rPr>
        <w:t xml:space="preserve">לדעת </w:t>
      </w:r>
      <w:proofErr w:type="spellStart"/>
      <w:r>
        <w:rPr>
          <w:b/>
          <w:bCs/>
          <w:rtl/>
        </w:rPr>
        <w:t>פפירנא</w:t>
      </w:r>
      <w:proofErr w:type="spellEnd"/>
      <w:r>
        <w:rPr>
          <w:rtl/>
        </w:rPr>
        <w:t xml:space="preserve">, השינוי </w:t>
      </w:r>
      <w:proofErr w:type="spellStart"/>
      <w:r>
        <w:rPr>
          <w:rtl/>
        </w:rPr>
        <w:t>בלבו</w:t>
      </w:r>
      <w:proofErr w:type="spellEnd"/>
      <w:r>
        <w:rPr>
          <w:rtl/>
        </w:rPr>
        <w:t xml:space="preserve"> של ר׳ </w:t>
      </w:r>
      <w:proofErr w:type="spellStart"/>
      <w:r>
        <w:rPr>
          <w:rtl/>
        </w:rPr>
        <w:t>איצל׳ה</w:t>
      </w:r>
      <w:proofErr w:type="spellEnd"/>
      <w:r>
        <w:rPr>
          <w:rtl/>
        </w:rPr>
        <w:t xml:space="preserve"> כלפי אורחו בא ודאי בעקבות שבועתו הדרמטית של </w:t>
      </w:r>
      <w:proofErr w:type="spellStart"/>
      <w:r>
        <w:rPr>
          <w:rtl/>
        </w:rPr>
        <w:t>ליליינטל</w:t>
      </w:r>
      <w:proofErr w:type="spellEnd"/>
      <w:r>
        <w:rPr>
          <w:rtl/>
        </w:rPr>
        <w:t xml:space="preserve"> בליל כל נדרי. אך כפי שהוכח לעיל, “מקור ברוך” </w:t>
      </w:r>
      <w:r>
        <w:rPr>
          <w:rtl/>
        </w:rPr>
        <w:lastRenderedPageBreak/>
        <w:t xml:space="preserve">לא ראה בשבועתו של </w:t>
      </w:r>
      <w:proofErr w:type="spellStart"/>
      <w:r>
        <w:rPr>
          <w:rtl/>
        </w:rPr>
        <w:t>ליליינטל</w:t>
      </w:r>
      <w:proofErr w:type="spellEnd"/>
      <w:r>
        <w:rPr>
          <w:rtl/>
        </w:rPr>
        <w:t xml:space="preserve"> – שלדעתו נשבעה בווילנה – דבר משכנע די הצורך להסיר ממנו את החשד.</w:t>
      </w:r>
    </w:p>
    <w:p w14:paraId="7860878F" w14:textId="77777777" w:rsidR="00AB3647" w:rsidRDefault="00000000" w:rsidP="007923E9">
      <w:pPr>
        <w:pStyle w:val="4"/>
        <w:spacing w:line="276" w:lineRule="auto"/>
      </w:pPr>
      <w:r>
        <w:t xml:space="preserve">· הפסקה </w:t>
      </w:r>
      <w:proofErr w:type="spellStart"/>
      <w:r>
        <w:t>השתים־עשרה</w:t>
      </w:r>
      <w:proofErr w:type="spellEnd"/>
      <w:r>
        <w:t xml:space="preserve"> ·</w:t>
      </w:r>
    </w:p>
    <w:p w14:paraId="2A3D6F1D" w14:textId="77777777" w:rsidR="00AB3647" w:rsidRDefault="00000000" w:rsidP="007923E9">
      <w:pPr>
        <w:pStyle w:val="5"/>
        <w:spacing w:line="276" w:lineRule="auto"/>
      </w:pPr>
      <w:proofErr w:type="spellStart"/>
      <w:r>
        <w:t>ליליינטל</w:t>
      </w:r>
      <w:proofErr w:type="spellEnd"/>
      <w:r>
        <w:t xml:space="preserve"> נוסע בקהילות היהודיות ברוסיה – הוא מתאר את ביקורו המוצלח אצל ר׳ </w:t>
      </w:r>
      <w:proofErr w:type="spellStart"/>
      <w:r>
        <w:t>איצל׳ה</w:t>
      </w:r>
      <w:proofErr w:type="spellEnd"/>
      <w:r>
        <w:t xml:space="preserve"> לפני חברו המשכיל ניסן רוזנטל – זה מעורר גזירה ממשלתית נגד הלבוש היהודי – המשכילים אינם סובלים את מגיני האמונה</w:t>
      </w:r>
    </w:p>
    <w:p w14:paraId="11DC703F" w14:textId="77777777" w:rsidR="00AB3647" w:rsidRDefault="00000000" w:rsidP="007923E9">
      <w:pPr>
        <w:spacing w:after="120" w:line="276" w:lineRule="auto"/>
        <w:ind w:firstLine="283"/>
        <w:jc w:val="both"/>
      </w:pPr>
      <w:r>
        <w:rPr>
          <w:rtl/>
        </w:rPr>
        <w:t xml:space="preserve">אחרי שהותו </w:t>
      </w:r>
      <w:proofErr w:type="spellStart"/>
      <w:r>
        <w:rPr>
          <w:rtl/>
        </w:rPr>
        <w:t>בוולוז׳ין</w:t>
      </w:r>
      <w:proofErr w:type="spellEnd"/>
      <w:r>
        <w:rPr>
          <w:rtl/>
        </w:rPr>
        <w:t xml:space="preserve"> פתח </w:t>
      </w:r>
      <w:proofErr w:type="spellStart"/>
      <w:r>
        <w:rPr>
          <w:rtl/>
        </w:rPr>
        <w:t>ליליינטל</w:t>
      </w:r>
      <w:proofErr w:type="spellEnd"/>
      <w:r>
        <w:rPr>
          <w:rtl/>
        </w:rPr>
        <w:t xml:space="preserve"> בסדרת מסעות במימון הממשלה ברחבי תחום המושב: מריגה, קובנה, וילנה, מינסק, </w:t>
      </w:r>
      <w:proofErr w:type="spellStart"/>
      <w:r>
        <w:rPr>
          <w:rtl/>
        </w:rPr>
        <w:t>גרודנא</w:t>
      </w:r>
      <w:proofErr w:type="spellEnd"/>
      <w:r>
        <w:rPr>
          <w:rtl/>
        </w:rPr>
        <w:t xml:space="preserve">, </w:t>
      </w:r>
      <w:proofErr w:type="spellStart"/>
      <w:r>
        <w:rPr>
          <w:rtl/>
        </w:rPr>
        <w:t>ביאליסטוק</w:t>
      </w:r>
      <w:proofErr w:type="spellEnd"/>
      <w:r>
        <w:rPr>
          <w:rtl/>
        </w:rPr>
        <w:t xml:space="preserve"> </w:t>
      </w:r>
      <w:proofErr w:type="spellStart"/>
      <w:r>
        <w:rPr>
          <w:rtl/>
        </w:rPr>
        <w:t>ומוהילוב</w:t>
      </w:r>
      <w:proofErr w:type="spellEnd"/>
      <w:r>
        <w:rPr>
          <w:rtl/>
        </w:rPr>
        <w:t xml:space="preserve"> בצפון, עד </w:t>
      </w:r>
      <w:proofErr w:type="spellStart"/>
      <w:r>
        <w:rPr>
          <w:rtl/>
        </w:rPr>
        <w:t>ז׳יטומיר</w:t>
      </w:r>
      <w:proofErr w:type="spellEnd"/>
      <w:r>
        <w:rPr>
          <w:rtl/>
        </w:rPr>
        <w:t xml:space="preserve">, </w:t>
      </w:r>
      <w:proofErr w:type="spellStart"/>
      <w:r>
        <w:rPr>
          <w:rtl/>
        </w:rPr>
        <w:t>ברדיצ׳ב</w:t>
      </w:r>
      <w:proofErr w:type="spellEnd"/>
      <w:r>
        <w:rPr>
          <w:rtl/>
        </w:rPr>
        <w:t xml:space="preserve">, </w:t>
      </w:r>
      <w:proofErr w:type="spellStart"/>
      <w:r>
        <w:rPr>
          <w:rtl/>
        </w:rPr>
        <w:t>קמניץ־פודולסק</w:t>
      </w:r>
      <w:proofErr w:type="spellEnd"/>
      <w:r>
        <w:rPr>
          <w:rtl/>
        </w:rPr>
        <w:t xml:space="preserve">, קייב, אומן, </w:t>
      </w:r>
      <w:proofErr w:type="spellStart"/>
      <w:r>
        <w:rPr>
          <w:rtl/>
        </w:rPr>
        <w:t>צ׳רניגוב</w:t>
      </w:r>
      <w:proofErr w:type="spellEnd"/>
      <w:r>
        <w:rPr>
          <w:rtl/>
        </w:rPr>
        <w:t xml:space="preserve">, קישינב, </w:t>
      </w:r>
      <w:proofErr w:type="spellStart"/>
      <w:r>
        <w:rPr>
          <w:rtl/>
        </w:rPr>
        <w:t>חרסון</w:t>
      </w:r>
      <w:proofErr w:type="spellEnd"/>
      <w:r>
        <w:rPr>
          <w:rtl/>
        </w:rPr>
        <w:t xml:space="preserve"> ואודסה בדרום. תחילה נסע למינסק, 50 קילומטר </w:t>
      </w:r>
      <w:proofErr w:type="spellStart"/>
      <w:r>
        <w:rPr>
          <w:rtl/>
        </w:rPr>
        <w:t>מוולוז׳ין</w:t>
      </w:r>
      <w:bookmarkStart w:id="1313" w:name="_fnr807"/>
      <w:bookmarkEnd w:id="1313"/>
      <w:proofErr w:type="spellEnd"/>
      <w:r>
        <w:rPr>
          <w:rStyle w:val="a5"/>
        </w:rPr>
        <w:t/>
      </w:r>
      <w:bookmarkStart w:id="7004" w:name="_TranslatorNote_5374"/>
      <w:r>
        <w:rPr>
          <w:rStyle w:val="a5"/>
          <w:vertAlign w:val="superscript"/>
          <w:rtl/>
        </w:rPr>
        <w:footnoteReference w:id="808" w:customMarkFollows="1"/>
        <w:t>*</w:t>
      </w:r>
      <w:bookmarkEnd w:id="7004"/>
      <w:r>
        <w:rPr>
          <w:rtl/>
        </w:rPr>
        <w:t>. שם התקבל עתה בכבוד, ואף ביקשו ממנו מחילה על האופן שבו קיבלו אותו בביקורו הקודם.</w:t>
      </w:r>
      <w:bookmarkStart w:id="1314" w:name="_fnr808"/>
      <w:r>
        <w:rPr>
          <w:rStyle w:val="a5"/>
        </w:rPr>
        <w:footnoteReference w:id="809" w:customMarkFollows="0"/>
      </w:r>
      <w:bookmarkEnd w:id="1314"/>
      <w:r>
        <w:rPr>
          <w:rtl/>
        </w:rPr>
        <w:t xml:space="preserve"> משם רכב 270 קילומטר </w:t>
      </w:r>
      <w:proofErr w:type="spellStart"/>
      <w:r>
        <w:rPr>
          <w:rtl/>
        </w:rPr>
        <w:t>לגרודנא</w:t>
      </w:r>
      <w:proofErr w:type="spellEnd"/>
      <w:r>
        <w:rPr>
          <w:rtl/>
        </w:rPr>
        <w:t xml:space="preserve">, ועבר בדרכו דרך </w:t>
      </w:r>
      <w:proofErr w:type="spellStart"/>
      <w:r>
        <w:rPr>
          <w:rtl/>
        </w:rPr>
        <w:t>מיר</w:t>
      </w:r>
      <w:proofErr w:type="spellEnd"/>
      <w:r>
        <w:rPr>
          <w:rtl/>
        </w:rPr>
        <w:t xml:space="preserve"> </w:t>
      </w:r>
      <w:proofErr w:type="spellStart"/>
      <w:r>
        <w:rPr>
          <w:rtl/>
        </w:rPr>
        <w:t>ונובהרדוק</w:t>
      </w:r>
      <w:proofErr w:type="spellEnd"/>
      <w:r>
        <w:rPr>
          <w:rtl/>
        </w:rPr>
        <w:t>.</w:t>
      </w:r>
    </w:p>
    <w:p w14:paraId="50CAEA04" w14:textId="77777777" w:rsidR="00AB3647" w:rsidRDefault="00000000" w:rsidP="007923E9">
      <w:pPr>
        <w:spacing w:after="120" w:line="276" w:lineRule="auto"/>
        <w:ind w:firstLine="283"/>
        <w:jc w:val="both"/>
      </w:pPr>
      <w:r>
        <w:rPr>
          <w:rtl/>
        </w:rPr>
        <w:t xml:space="preserve">את רשמיו מן הפגישה עם ר׳ </w:t>
      </w:r>
      <w:proofErr w:type="spellStart"/>
      <w:r>
        <w:rPr>
          <w:rtl/>
        </w:rPr>
        <w:t>איצל׳ה</w:t>
      </w:r>
      <w:proofErr w:type="spellEnd"/>
      <w:r>
        <w:rPr>
          <w:rtl/>
        </w:rPr>
        <w:t xml:space="preserve"> ומן המאורעות שאחריה מסר </w:t>
      </w:r>
      <w:proofErr w:type="spellStart"/>
      <w:r>
        <w:rPr>
          <w:rtl/>
        </w:rPr>
        <w:t>ליליינטל</w:t>
      </w:r>
      <w:proofErr w:type="spellEnd"/>
      <w:r>
        <w:rPr>
          <w:rtl/>
        </w:rPr>
        <w:t xml:space="preserve"> במכתב ששלח </w:t>
      </w:r>
      <w:proofErr w:type="spellStart"/>
      <w:r>
        <w:rPr>
          <w:rtl/>
        </w:rPr>
        <w:t>מגרודנא</w:t>
      </w:r>
      <w:proofErr w:type="spellEnd"/>
      <w:r>
        <w:rPr>
          <w:rtl/>
        </w:rPr>
        <w:t xml:space="preserve"> לניסן רוזנטל, המשכיל הוילנאי. רוזנטל סייע לו מאוד בביקורו הראשון בווילנה, אך התאכזב ממנו לאחר מכן, משום </w:t>
      </w:r>
      <w:proofErr w:type="spellStart"/>
      <w:r>
        <w:rPr>
          <w:rtl/>
        </w:rPr>
        <w:t>שליליינטל</w:t>
      </w:r>
      <w:proofErr w:type="spellEnd"/>
      <w:r>
        <w:rPr>
          <w:rtl/>
        </w:rPr>
        <w:t xml:space="preserve"> כתב חוברת בשם “מגיד ישועה” בלי לייחס לרוזנטל שום “זכות” שהיא, ואף בלי להזכיר את שמו.</w:t>
      </w:r>
      <w:bookmarkStart w:id="1315" w:name="_fnr809"/>
      <w:r>
        <w:rPr>
          <w:rStyle w:val="a5"/>
        </w:rPr>
        <w:footnoteReference w:id="810" w:customMarkFollows="0"/>
      </w:r>
      <w:bookmarkEnd w:id="1315"/>
      <w:r>
        <w:rPr>
          <w:rtl/>
        </w:rPr>
        <w:t xml:space="preserve"> החוברת, שיצאה לאור סמוך לפני ביקורו </w:t>
      </w:r>
      <w:proofErr w:type="spellStart"/>
      <w:r>
        <w:rPr>
          <w:rtl/>
        </w:rPr>
        <w:t>בוולוז׳ין</w:t>
      </w:r>
      <w:proofErr w:type="spellEnd"/>
      <w:r>
        <w:rPr>
          <w:rtl/>
        </w:rPr>
        <w:t xml:space="preserve">, מתארת את פעולתו ותוכניותיו, ומשבחת את הצאר ניקולאי על שהואיל </w:t>
      </w:r>
      <w:proofErr w:type="spellStart"/>
      <w:r>
        <w:rPr>
          <w:rtl/>
        </w:rPr>
        <w:t>ב“טוב</w:t>
      </w:r>
      <w:proofErr w:type="spellEnd"/>
      <w:r>
        <w:rPr>
          <w:rtl/>
        </w:rPr>
        <w:t xml:space="preserve"> לבו” להתיר את רפורמת בתי הספר היהודיים ולתמוך בה.</w:t>
      </w:r>
    </w:p>
    <w:p w14:paraId="13808016" w14:textId="77777777" w:rsidR="00AB3647" w:rsidRDefault="00000000" w:rsidP="007923E9">
      <w:pPr>
        <w:spacing w:after="120" w:line="276" w:lineRule="auto"/>
        <w:ind w:firstLine="283"/>
        <w:jc w:val="both"/>
      </w:pPr>
      <w:r>
        <w:rPr>
          <w:rtl/>
        </w:rPr>
        <w:t xml:space="preserve">להלן קטעים ממכתבו של </w:t>
      </w:r>
      <w:proofErr w:type="spellStart"/>
      <w:r>
        <w:rPr>
          <w:rtl/>
        </w:rPr>
        <w:t>ליליינטל</w:t>
      </w:r>
      <w:proofErr w:type="spellEnd"/>
      <w:r>
        <w:rPr>
          <w:rtl/>
        </w:rPr>
        <w:t xml:space="preserve"> לרוזנטל, כפי שנרשם מילה במילה </w:t>
      </w:r>
      <w:proofErr w:type="spellStart"/>
      <w:r>
        <w:rPr>
          <w:rtl/>
        </w:rPr>
        <w:t>ב“מקור</w:t>
      </w:r>
      <w:proofErr w:type="spellEnd"/>
      <w:r>
        <w:rPr>
          <w:rtl/>
        </w:rPr>
        <w:t xml:space="preserve"> ברוך”</w:t>
      </w:r>
      <w:bookmarkStart w:id="1316" w:name="_fnr810"/>
      <w:r>
        <w:rPr>
          <w:rStyle w:val="a5"/>
        </w:rPr>
        <w:footnoteReference w:id="811" w:customMarkFollows="0"/>
      </w:r>
      <w:bookmarkEnd w:id="1316"/>
      <w:r>
        <w:rPr>
          <w:rtl/>
        </w:rPr>
        <w:t>, ועמם פירוש שוטף בסוגריים על חלק מתוכנו. המכתב מתוארך 13 בספטמבר</w:t>
      </w:r>
      <w:bookmarkStart w:id="1317" w:name="_fnr811"/>
      <w:r>
        <w:rPr>
          <w:rStyle w:val="a5"/>
        </w:rPr>
        <w:footnoteReference w:id="812" w:customMarkFollows="0"/>
      </w:r>
      <w:bookmarkEnd w:id="1317"/>
      <w:r>
        <w:rPr>
          <w:rtl/>
        </w:rPr>
        <w:t xml:space="preserve"> 1842, וזו לשונו: “ששתי כעל כל הון להיות מקובל ממנו [מר׳ </w:t>
      </w:r>
      <w:proofErr w:type="spellStart"/>
      <w:r>
        <w:rPr>
          <w:rtl/>
        </w:rPr>
        <w:t>איצל׳ה</w:t>
      </w:r>
      <w:proofErr w:type="spellEnd"/>
      <w:r>
        <w:rPr>
          <w:rtl/>
        </w:rPr>
        <w:t xml:space="preserve">] כבן אהוב ונחמד, כי קראתיו ‘אבי </w:t>
      </w:r>
      <w:proofErr w:type="spellStart"/>
      <w:r>
        <w:rPr>
          <w:rtl/>
        </w:rPr>
        <w:t>אבי</w:t>
      </w:r>
      <w:proofErr w:type="spellEnd"/>
      <w:r>
        <w:rPr>
          <w:rtl/>
        </w:rPr>
        <w:t xml:space="preserve"> רכב ישראל ופרשיו’ (דברי הנביא אלישע</w:t>
      </w:r>
      <w:bookmarkStart w:id="1318" w:name="_fnr812"/>
      <w:r>
        <w:rPr>
          <w:rStyle w:val="a5"/>
        </w:rPr>
        <w:footnoteReference w:id="813" w:customMarkFollows="0"/>
      </w:r>
      <w:bookmarkEnd w:id="1318"/>
      <w:r>
        <w:rPr>
          <w:rtl/>
        </w:rPr>
        <w:t>).”</w:t>
      </w:r>
    </w:p>
    <w:p w14:paraId="43BE7D4C" w14:textId="77777777" w:rsidR="00AB3647" w:rsidRDefault="00000000" w:rsidP="007923E9">
      <w:pPr>
        <w:spacing w:after="120" w:line="276" w:lineRule="auto"/>
        <w:ind w:firstLine="283"/>
        <w:jc w:val="both"/>
      </w:pPr>
      <w:r>
        <w:rPr>
          <w:rtl/>
        </w:rPr>
        <w:t xml:space="preserve">(ר׳ </w:t>
      </w:r>
      <w:proofErr w:type="spellStart"/>
      <w:r>
        <w:rPr>
          <w:rtl/>
        </w:rPr>
        <w:t>נפתלי־צבי־יהודה</w:t>
      </w:r>
      <w:proofErr w:type="spellEnd"/>
      <w:r>
        <w:rPr>
          <w:rtl/>
        </w:rPr>
        <w:t xml:space="preserve"> ברלין, </w:t>
      </w:r>
      <w:proofErr w:type="spellStart"/>
      <w:r>
        <w:rPr>
          <w:rtl/>
        </w:rPr>
        <w:t>הנצי״ב</w:t>
      </w:r>
      <w:proofErr w:type="spellEnd"/>
      <w:r>
        <w:rPr>
          <w:rtl/>
        </w:rPr>
        <w:t xml:space="preserve">, הבין </w:t>
      </w:r>
      <w:proofErr w:type="spellStart"/>
      <w:r>
        <w:rPr>
          <w:rtl/>
        </w:rPr>
        <w:t>שליליינטל</w:t>
      </w:r>
      <w:proofErr w:type="spellEnd"/>
      <w:r>
        <w:rPr>
          <w:rtl/>
        </w:rPr>
        <w:t xml:space="preserve"> התכוון לומר שהעריץ את ר׳ </w:t>
      </w:r>
      <w:proofErr w:type="spellStart"/>
      <w:r>
        <w:rPr>
          <w:rtl/>
        </w:rPr>
        <w:t>איצל׳ה</w:t>
      </w:r>
      <w:proofErr w:type="spellEnd"/>
      <w:r>
        <w:rPr>
          <w:rtl/>
        </w:rPr>
        <w:t xml:space="preserve"> כמנהיג נעלה, כאב – כמו שאלישע המקראי העריץ את רבו, אליהו הנביא. אבל אפשר באותה מידה לפרש את המשפט כך: </w:t>
      </w:r>
      <w:proofErr w:type="spellStart"/>
      <w:r>
        <w:rPr>
          <w:rtl/>
        </w:rPr>
        <w:t>ליליינטל</w:t>
      </w:r>
      <w:proofErr w:type="spellEnd"/>
      <w:r>
        <w:rPr>
          <w:rtl/>
        </w:rPr>
        <w:t xml:space="preserve"> סיפר לחברו המשכיל כיצד, לדעתו, הצליח לגרום </w:t>
      </w:r>
      <w:proofErr w:type="spellStart"/>
      <w:r>
        <w:rPr>
          <w:rtl/>
        </w:rPr>
        <w:t>לר</w:t>
      </w:r>
      <w:proofErr w:type="spellEnd"/>
      <w:r>
        <w:rPr>
          <w:rtl/>
        </w:rPr>
        <w:t xml:space="preserve">׳ </w:t>
      </w:r>
      <w:proofErr w:type="spellStart"/>
      <w:r>
        <w:rPr>
          <w:rtl/>
        </w:rPr>
        <w:t>איצל׳ה</w:t>
      </w:r>
      <w:proofErr w:type="spellEnd"/>
      <w:r>
        <w:rPr>
          <w:rtl/>
        </w:rPr>
        <w:t xml:space="preserve"> </w:t>
      </w:r>
      <w:proofErr w:type="spellStart"/>
      <w:r>
        <w:rPr>
          <w:rtl/>
        </w:rPr>
        <w:t>ה“בלתי</w:t>
      </w:r>
      <w:proofErr w:type="spellEnd"/>
      <w:r>
        <w:rPr>
          <w:rtl/>
        </w:rPr>
        <w:t xml:space="preserve"> נאור” לנהוג בו </w:t>
      </w:r>
      <w:proofErr w:type="spellStart"/>
      <w:r>
        <w:rPr>
          <w:rtl/>
        </w:rPr>
        <w:t>כ“בן</w:t>
      </w:r>
      <w:proofErr w:type="spellEnd"/>
      <w:r>
        <w:rPr>
          <w:rtl/>
        </w:rPr>
        <w:t xml:space="preserve"> אהוב ונחמד” </w:t>
      </w:r>
      <w:r>
        <w:rPr>
          <w:b/>
          <w:bCs/>
          <w:rtl/>
        </w:rPr>
        <w:t>בכך שהרעיף עליו הערצה כוזבת</w:t>
      </w:r>
      <w:r>
        <w:rPr>
          <w:rtl/>
        </w:rPr>
        <w:t xml:space="preserve">. אגב, </w:t>
      </w:r>
      <w:proofErr w:type="spellStart"/>
      <w:r>
        <w:rPr>
          <w:rtl/>
        </w:rPr>
        <w:t>ליליינטל</w:t>
      </w:r>
      <w:proofErr w:type="spellEnd"/>
      <w:r>
        <w:rPr>
          <w:rtl/>
        </w:rPr>
        <w:t xml:space="preserve"> אכן העריץ בחנופה </w:t>
      </w:r>
      <w:r>
        <w:rPr>
          <w:b/>
          <w:bCs/>
          <w:rtl/>
        </w:rPr>
        <w:t xml:space="preserve">את השר סרגיי </w:t>
      </w:r>
      <w:proofErr w:type="spellStart"/>
      <w:r>
        <w:rPr>
          <w:b/>
          <w:bCs/>
          <w:rtl/>
        </w:rPr>
        <w:t>אוברוב</w:t>
      </w:r>
      <w:proofErr w:type="spellEnd"/>
      <w:r>
        <w:rPr>
          <w:rtl/>
        </w:rPr>
        <w:t xml:space="preserve"> כדמות אב, כפי שתיאר את היחסים </w:t>
      </w:r>
      <w:r>
        <w:rPr>
          <w:rtl/>
        </w:rPr>
        <w:lastRenderedPageBreak/>
        <w:t xml:space="preserve">במכתב הפרטי לאביו, שחלקו מובא בפסקה </w:t>
      </w:r>
      <w:proofErr w:type="spellStart"/>
      <w:r>
        <w:rPr>
          <w:rtl/>
        </w:rPr>
        <w:t>הארבע־עשרה</w:t>
      </w:r>
      <w:proofErr w:type="spellEnd"/>
      <w:r>
        <w:rPr>
          <w:rtl/>
        </w:rPr>
        <w:t xml:space="preserve"> וחלקו בפסקה העשרים ואחת להלן.) “וכאשר ראו משולחי </w:t>
      </w:r>
      <w:proofErr w:type="spellStart"/>
      <w:r>
        <w:rPr>
          <w:rtl/>
        </w:rPr>
        <w:t>ווילנא</w:t>
      </w:r>
      <w:proofErr w:type="spellEnd"/>
      <w:r>
        <w:rPr>
          <w:rtl/>
        </w:rPr>
        <w:t xml:space="preserve"> ומינסק” – נראה שבאו גם הם </w:t>
      </w:r>
      <w:proofErr w:type="spellStart"/>
      <w:r>
        <w:rPr>
          <w:rtl/>
        </w:rPr>
        <w:t>לוולוז׳ין</w:t>
      </w:r>
      <w:proofErr w:type="spellEnd"/>
      <w:r>
        <w:rPr>
          <w:rtl/>
        </w:rPr>
        <w:t xml:space="preserve"> כדי לראות כיצד יגיב ר׳ </w:t>
      </w:r>
      <w:proofErr w:type="spellStart"/>
      <w:r>
        <w:rPr>
          <w:rtl/>
        </w:rPr>
        <w:t>איצל׳ה</w:t>
      </w:r>
      <w:proofErr w:type="spellEnd"/>
      <w:r>
        <w:rPr>
          <w:rtl/>
        </w:rPr>
        <w:t xml:space="preserve"> על אורחו, כאמור לעיל בפסקה השמינית – “כי הוא, הגדול בישראל, שם פניו אלי ולא הסיר ממני אהבתו, כאותם הצבועים אשר רוממות אל בגרונם ובידם חרב פיפיות –</w:t>
      </w:r>
      <w:bookmarkStart w:id="1319" w:name="_fnr813"/>
      <w:r>
        <w:rPr>
          <w:rStyle w:val="a5"/>
        </w:rPr>
        <w:footnoteReference w:id="814" w:customMarkFollows="0"/>
      </w:r>
      <w:bookmarkEnd w:id="1319"/>
      <w:r>
        <w:rPr>
          <w:rtl/>
        </w:rPr>
        <w:t xml:space="preserve"> התקרבו גם הם [המשולחים] אלי, כרתו עמי ברית אהבה, ו</w:t>
      </w:r>
      <w:r>
        <w:rPr>
          <w:b/>
          <w:bCs/>
          <w:rtl/>
        </w:rPr>
        <w:t>שנינו נשבענו</w:t>
      </w:r>
      <w:r>
        <w:rPr>
          <w:rtl/>
        </w:rPr>
        <w:t xml:space="preserve"> בשם ה׳ </w:t>
      </w:r>
      <w:proofErr w:type="spellStart"/>
      <w:r>
        <w:rPr>
          <w:rtl/>
        </w:rPr>
        <w:t>אלהי</w:t>
      </w:r>
      <w:proofErr w:type="spellEnd"/>
      <w:r>
        <w:rPr>
          <w:rtl/>
        </w:rPr>
        <w:t xml:space="preserve"> אבותינו להיות לנצח אוהבים נאמנים, </w:t>
      </w:r>
      <w:r>
        <w:rPr>
          <w:b/>
          <w:bCs/>
          <w:rtl/>
        </w:rPr>
        <w:t>ולבלתי נבגוד איש באחיו</w:t>
      </w:r>
      <w:r>
        <w:rPr>
          <w:rtl/>
        </w:rPr>
        <w:t xml:space="preserve"> (ההדגשות שלי) לחלל ברית האהבה, </w:t>
      </w:r>
      <w:proofErr w:type="spellStart"/>
      <w:r>
        <w:rPr>
          <w:rtl/>
        </w:rPr>
        <w:t>האחוה</w:t>
      </w:r>
      <w:proofErr w:type="spellEnd"/>
      <w:r>
        <w:rPr>
          <w:rtl/>
        </w:rPr>
        <w:t xml:space="preserve"> ומרעות.”</w:t>
      </w:r>
    </w:p>
    <w:p w14:paraId="7DD99403" w14:textId="77777777" w:rsidR="00AB3647" w:rsidRDefault="00000000" w:rsidP="007923E9">
      <w:pPr>
        <w:spacing w:after="120" w:line="276" w:lineRule="auto"/>
        <w:ind w:firstLine="283"/>
        <w:jc w:val="both"/>
      </w:pPr>
      <w:r>
        <w:rPr>
          <w:rtl/>
        </w:rPr>
        <w:t xml:space="preserve">(מחמת השוויון שייחס </w:t>
      </w:r>
      <w:proofErr w:type="spellStart"/>
      <w:r>
        <w:rPr>
          <w:rtl/>
        </w:rPr>
        <w:t>ליליינטל</w:t>
      </w:r>
      <w:proofErr w:type="spellEnd"/>
      <w:r>
        <w:rPr>
          <w:rtl/>
        </w:rPr>
        <w:t xml:space="preserve"> לשני הצדדים בשבועה, כמודגש, יש להניח שהוא מתאר בדיווחו את הקרבה שנוצרה בינו לבין “המשולחים”. אבל “מקור ברוך”,</w:t>
      </w:r>
      <w:bookmarkStart w:id="1320" w:name="_fnr814"/>
      <w:r>
        <w:rPr>
          <w:rStyle w:val="a5"/>
        </w:rPr>
        <w:footnoteReference w:id="815" w:customMarkFollows="0"/>
      </w:r>
      <w:bookmarkEnd w:id="1320"/>
      <w:r>
        <w:rPr>
          <w:rtl/>
        </w:rPr>
        <w:t xml:space="preserve"> כמובא להלן, מבין כנראה </w:t>
      </w:r>
      <w:proofErr w:type="spellStart"/>
      <w:r>
        <w:rPr>
          <w:rtl/>
        </w:rPr>
        <w:t>שליליינטל</w:t>
      </w:r>
      <w:proofErr w:type="spellEnd"/>
      <w:r>
        <w:rPr>
          <w:rtl/>
        </w:rPr>
        <w:t xml:space="preserve"> התכוון לשבועה שנכרתה בינו </w:t>
      </w:r>
      <w:r>
        <w:rPr>
          <w:b/>
          <w:bCs/>
          <w:rtl/>
        </w:rPr>
        <w:t xml:space="preserve">לבין ר׳ </w:t>
      </w:r>
      <w:proofErr w:type="spellStart"/>
      <w:r>
        <w:rPr>
          <w:b/>
          <w:bCs/>
          <w:rtl/>
        </w:rPr>
        <w:t>איצל׳ה</w:t>
      </w:r>
      <w:proofErr w:type="spellEnd"/>
      <w:r>
        <w:rPr>
          <w:rtl/>
        </w:rPr>
        <w:t xml:space="preserve">. אם כן, טענת </w:t>
      </w:r>
      <w:proofErr w:type="spellStart"/>
      <w:r>
        <w:rPr>
          <w:rtl/>
        </w:rPr>
        <w:t>ליליינטל</w:t>
      </w:r>
      <w:proofErr w:type="spellEnd"/>
      <w:r>
        <w:rPr>
          <w:rtl/>
        </w:rPr>
        <w:t xml:space="preserve"> שר׳ </w:t>
      </w:r>
      <w:proofErr w:type="spellStart"/>
      <w:r>
        <w:rPr>
          <w:rtl/>
        </w:rPr>
        <w:t>איצל׳ה</w:t>
      </w:r>
      <w:proofErr w:type="spellEnd"/>
      <w:r>
        <w:rPr>
          <w:rtl/>
        </w:rPr>
        <w:t xml:space="preserve"> “נשבע בשם ה׳ </w:t>
      </w:r>
      <w:proofErr w:type="spellStart"/>
      <w:r>
        <w:rPr>
          <w:rtl/>
        </w:rPr>
        <w:t>אלהי</w:t>
      </w:r>
      <w:proofErr w:type="spellEnd"/>
      <w:r>
        <w:rPr>
          <w:rtl/>
        </w:rPr>
        <w:t xml:space="preserve"> אבותינו” על דבר כלשהו שקרית בעליל, שהרי ראש הישיבה ורב </w:t>
      </w:r>
      <w:proofErr w:type="spellStart"/>
      <w:r>
        <w:rPr>
          <w:rtl/>
        </w:rPr>
        <w:t>וולוז׳ין</w:t>
      </w:r>
      <w:proofErr w:type="spellEnd"/>
      <w:r>
        <w:rPr>
          <w:rtl/>
        </w:rPr>
        <w:t xml:space="preserve"> לא היה “נושא את שם ה׳ </w:t>
      </w:r>
      <w:proofErr w:type="spellStart"/>
      <w:r>
        <w:rPr>
          <w:rtl/>
        </w:rPr>
        <w:t>לשוא</w:t>
      </w:r>
      <w:proofErr w:type="spellEnd"/>
      <w:r>
        <w:rPr>
          <w:rtl/>
        </w:rPr>
        <w:t xml:space="preserve">”. ואם השבועה שהוא מביא אינה אלא מליצה, הרי </w:t>
      </w:r>
      <w:proofErr w:type="spellStart"/>
      <w:r>
        <w:rPr>
          <w:rtl/>
        </w:rPr>
        <w:t>שליליינטל</w:t>
      </w:r>
      <w:proofErr w:type="spellEnd"/>
      <w:r>
        <w:rPr>
          <w:rtl/>
        </w:rPr>
        <w:t xml:space="preserve"> מגלה את קלות ראשו בענייני שבועות! איזו “בגידה” מנע </w:t>
      </w:r>
      <w:proofErr w:type="spellStart"/>
      <w:r>
        <w:rPr>
          <w:rtl/>
        </w:rPr>
        <w:t>ליליינטל</w:t>
      </w:r>
      <w:proofErr w:type="spellEnd"/>
      <w:r>
        <w:rPr>
          <w:rtl/>
        </w:rPr>
        <w:t xml:space="preserve"> </w:t>
      </w:r>
      <w:proofErr w:type="spellStart"/>
      <w:r>
        <w:rPr>
          <w:rtl/>
        </w:rPr>
        <w:t>ב“ברית</w:t>
      </w:r>
      <w:proofErr w:type="spellEnd"/>
      <w:r>
        <w:rPr>
          <w:rtl/>
        </w:rPr>
        <w:t xml:space="preserve"> האהבה” הנזכרת בסוף המשפט – אין הוא מגלה, אבל יש להניח שהנמען, ניסן רוזנטל, הבין את המסר שניסה להעביר. ייתכן מאוד שכל ההמחזה הזאת הייתה דרכו של </w:t>
      </w:r>
      <w:proofErr w:type="spellStart"/>
      <w:r>
        <w:rPr>
          <w:rtl/>
        </w:rPr>
        <w:t>ליליינטל</w:t>
      </w:r>
      <w:proofErr w:type="spellEnd"/>
      <w:r>
        <w:rPr>
          <w:rtl/>
        </w:rPr>
        <w:t xml:space="preserve"> להחדיר ב</w:t>
      </w:r>
      <w:r>
        <w:rPr>
          <w:b/>
          <w:bCs/>
          <w:rtl/>
        </w:rPr>
        <w:t>נמען</w:t>
      </w:r>
      <w:r>
        <w:rPr>
          <w:rtl/>
        </w:rPr>
        <w:t xml:space="preserve"> את ההכרה שאל לו להעלות על דעתו לבגוד בו – לא כלפי הציבור הדתי בשל כפירתו, ולא כלפי הממשלה בשל כישלונותיו – כשם שהוא, </w:t>
      </w:r>
      <w:proofErr w:type="spellStart"/>
      <w:r>
        <w:rPr>
          <w:rtl/>
        </w:rPr>
        <w:t>ליליינטל</w:t>
      </w:r>
      <w:proofErr w:type="spellEnd"/>
      <w:r>
        <w:rPr>
          <w:rtl/>
        </w:rPr>
        <w:t>, בגד למעשה ברוזנטל בחוברת “מגיד ישועה”, כאמור לעיל.)</w:t>
      </w:r>
    </w:p>
    <w:p w14:paraId="1F103B44" w14:textId="77777777" w:rsidR="00AB3647" w:rsidRDefault="00000000" w:rsidP="007923E9">
      <w:pPr>
        <w:spacing w:after="120" w:line="276" w:lineRule="auto"/>
        <w:ind w:firstLine="283"/>
        <w:jc w:val="both"/>
      </w:pPr>
      <w:r>
        <w:rPr>
          <w:rtl/>
        </w:rPr>
        <w:t xml:space="preserve">עוד מספר </w:t>
      </w:r>
      <w:proofErr w:type="spellStart"/>
      <w:r>
        <w:rPr>
          <w:rtl/>
        </w:rPr>
        <w:t>ליליינטל</w:t>
      </w:r>
      <w:proofErr w:type="spellEnd"/>
      <w:r>
        <w:rPr>
          <w:rtl/>
        </w:rPr>
        <w:t xml:space="preserve"> במכתב שאחרי יום הכיפורים שלו </w:t>
      </w:r>
      <w:proofErr w:type="spellStart"/>
      <w:r>
        <w:rPr>
          <w:rtl/>
        </w:rPr>
        <w:t>בוולוז׳ין</w:t>
      </w:r>
      <w:proofErr w:type="spellEnd"/>
      <w:r>
        <w:rPr>
          <w:rtl/>
        </w:rPr>
        <w:t xml:space="preserve"> עשה את יום טוב ואת חול המועד במינסק, ובכל מקום שהתפלל העלו אותו לתורה בעליות המכובדות ביותר. וזו לשונו: “ושלישים על כלו”</w:t>
      </w:r>
      <w:bookmarkStart w:id="1321" w:name="_fnr815"/>
      <w:r>
        <w:rPr>
          <w:rStyle w:val="a5"/>
        </w:rPr>
        <w:footnoteReference w:id="816" w:customMarkFollows="0"/>
      </w:r>
      <w:bookmarkEnd w:id="1321"/>
      <w:r>
        <w:rPr>
          <w:rtl/>
        </w:rPr>
        <w:t xml:space="preserve"> [בכל מקום – השלישי, החשוב מכולם].</w:t>
      </w:r>
    </w:p>
    <w:p w14:paraId="4CBE6310" w14:textId="77777777" w:rsidR="00AB3647" w:rsidRDefault="00000000" w:rsidP="007923E9">
      <w:pPr>
        <w:spacing w:after="120" w:line="276" w:lineRule="auto"/>
        <w:ind w:firstLine="283"/>
        <w:jc w:val="both"/>
      </w:pPr>
      <w:r>
        <w:rPr>
          <w:rtl/>
        </w:rPr>
        <w:t xml:space="preserve">לפני שנמשיך לנתח את חליפת המכתבים, נעמוד על כמה מתכונותיו של מקבל מכתבו של </w:t>
      </w:r>
      <w:proofErr w:type="spellStart"/>
      <w:r>
        <w:rPr>
          <w:rtl/>
        </w:rPr>
        <w:t>ליליינטל</w:t>
      </w:r>
      <w:proofErr w:type="spellEnd"/>
      <w:r>
        <w:rPr>
          <w:rtl/>
        </w:rPr>
        <w:t xml:space="preserve">, שיסבירו מדוע יש לחשוד בו שקשר קשר עם </w:t>
      </w:r>
      <w:proofErr w:type="spellStart"/>
      <w:r>
        <w:rPr>
          <w:rtl/>
        </w:rPr>
        <w:t>ליליינטל</w:t>
      </w:r>
      <w:proofErr w:type="spellEnd"/>
      <w:r>
        <w:rPr>
          <w:rtl/>
        </w:rPr>
        <w:t xml:space="preserve"> להוליך שולל את ר׳ </w:t>
      </w:r>
      <w:proofErr w:type="spellStart"/>
      <w:r>
        <w:rPr>
          <w:rtl/>
        </w:rPr>
        <w:t>איצל׳ה</w:t>
      </w:r>
      <w:proofErr w:type="spellEnd"/>
      <w:r>
        <w:rPr>
          <w:rtl/>
        </w:rPr>
        <w:t>, כפי שהוצע. “</w:t>
      </w:r>
      <w:proofErr w:type="spellStart"/>
      <w:r>
        <w:rPr>
          <w:rtl/>
        </w:rPr>
        <w:t>זכרון</w:t>
      </w:r>
      <w:proofErr w:type="spellEnd"/>
      <w:r>
        <w:rPr>
          <w:rtl/>
        </w:rPr>
        <w:t xml:space="preserve"> יעקב”</w:t>
      </w:r>
      <w:bookmarkStart w:id="1322" w:name="_fnr816"/>
      <w:r>
        <w:rPr>
          <w:rStyle w:val="a5"/>
        </w:rPr>
        <w:footnoteReference w:id="817" w:customMarkFollows="0"/>
      </w:r>
      <w:bookmarkEnd w:id="1322"/>
      <w:r>
        <w:rPr>
          <w:rtl/>
        </w:rPr>
        <w:t xml:space="preserve"> מספר כיצד נפגשו ניסן רוזנטל ושני משכילים אחרים עם </w:t>
      </w:r>
      <w:proofErr w:type="spellStart"/>
      <w:r>
        <w:rPr>
          <w:rtl/>
        </w:rPr>
        <w:t>אוברוב</w:t>
      </w:r>
      <w:proofErr w:type="spellEnd"/>
      <w:r>
        <w:rPr>
          <w:rtl/>
        </w:rPr>
        <w:t xml:space="preserve">, כשביקר בווילנה זמן מה אחרי פרשת </w:t>
      </w:r>
      <w:proofErr w:type="spellStart"/>
      <w:r>
        <w:rPr>
          <w:rtl/>
        </w:rPr>
        <w:t>ליליינטל</w:t>
      </w:r>
      <w:proofErr w:type="spellEnd"/>
      <w:r>
        <w:rPr>
          <w:rtl/>
        </w:rPr>
        <w:t xml:space="preserve">, וניסו לשכנעו שאם יכפו על היהודים לשנות את דרך לבושם ולסדר את שערם כגויים, יהיו נוחים יותר </w:t>
      </w:r>
      <w:proofErr w:type="spellStart"/>
      <w:r>
        <w:rPr>
          <w:rtl/>
        </w:rPr>
        <w:t>ל“השכלה</w:t>
      </w:r>
      <w:proofErr w:type="spellEnd"/>
      <w:r>
        <w:rPr>
          <w:rtl/>
        </w:rPr>
        <w:t xml:space="preserve">”. כשסירב </w:t>
      </w:r>
      <w:proofErr w:type="spellStart"/>
      <w:r>
        <w:rPr>
          <w:rtl/>
        </w:rPr>
        <w:t>אוברוב</w:t>
      </w:r>
      <w:proofErr w:type="spellEnd"/>
      <w:r>
        <w:rPr>
          <w:rtl/>
        </w:rPr>
        <w:t xml:space="preserve"> להוציא צו כזה, נסעו בסתר </w:t>
      </w:r>
      <w:proofErr w:type="spellStart"/>
      <w:r>
        <w:rPr>
          <w:rtl/>
        </w:rPr>
        <w:t>לסנקט</w:t>
      </w:r>
      <w:proofErr w:type="spellEnd"/>
      <w:r>
        <w:rPr>
          <w:rtl/>
        </w:rPr>
        <w:t xml:space="preserve"> פטרבורג כדי ללחוץ עליו עוד בעניין זה. הם הטילו על היהודים חשד של חוסר נאמנות לכתר, וטענו שבשל השוני בלבושם היהודים הם אומה נפרדת בתוך הרוסים. השר אמר להם לעתור בעניין זה למשרד הפנים, ולא למשרד ההשכלה.</w:t>
      </w:r>
    </w:p>
    <w:p w14:paraId="3EEB41F7" w14:textId="77777777" w:rsidR="00AB3647" w:rsidRDefault="00000000" w:rsidP="007923E9">
      <w:pPr>
        <w:spacing w:after="120" w:line="276" w:lineRule="auto"/>
        <w:ind w:firstLine="283"/>
        <w:jc w:val="both"/>
      </w:pPr>
      <w:r>
        <w:rPr>
          <w:rtl/>
        </w:rPr>
        <w:t xml:space="preserve">הם שבו לווילנה וארגנו מסע מכתבים בקרב חבריהם לדעה ובקרב יהודים אחרים, פשוטים, שלא ידעו לקרוא רוסית והוטעו באשר לתוכנם של מכתבי העצומה שרוזנטל ושותפיו ביקשו מהם לחתום עליהם. נשלחו יותר מאלף מכתבים, “וכך יצאה בשנת תר״ד הפקודה לפעול בכל </w:t>
      </w:r>
      <w:r>
        <w:rPr>
          <w:rtl/>
        </w:rPr>
        <w:lastRenderedPageBreak/>
        <w:t>החומרה והתוקף של גזרות הממשלה, (ו)נמסרה לידי הפקידים ואנשי המשטרה, ‘החיות הטורפות’, לבצעה בכל הכוח שבידם”.</w:t>
      </w:r>
      <w:bookmarkStart w:id="1323" w:name="_fnr817"/>
      <w:r>
        <w:rPr>
          <w:rStyle w:val="a5"/>
        </w:rPr>
        <w:footnoteReference w:id="818" w:customMarkFollows="0"/>
      </w:r>
      <w:bookmarkEnd w:id="1323"/>
    </w:p>
    <w:p w14:paraId="624E82CF" w14:textId="77777777" w:rsidR="00AB3647" w:rsidRDefault="00000000" w:rsidP="007923E9">
      <w:pPr>
        <w:spacing w:after="120" w:line="276" w:lineRule="auto"/>
        <w:ind w:firstLine="283"/>
        <w:jc w:val="both"/>
      </w:pPr>
      <w:r>
        <w:rPr>
          <w:rtl/>
        </w:rPr>
        <w:t>“</w:t>
      </w:r>
      <w:proofErr w:type="spellStart"/>
      <w:r>
        <w:rPr>
          <w:rtl/>
        </w:rPr>
        <w:t>זכרון</w:t>
      </w:r>
      <w:proofErr w:type="spellEnd"/>
      <w:r>
        <w:rPr>
          <w:rtl/>
        </w:rPr>
        <w:t xml:space="preserve"> יעקב” מתאר</w:t>
      </w:r>
      <w:bookmarkStart w:id="1324" w:name="_fnr818"/>
      <w:r>
        <w:rPr>
          <w:rStyle w:val="a5"/>
        </w:rPr>
        <w:footnoteReference w:id="819" w:customMarkFollows="0"/>
      </w:r>
      <w:bookmarkEnd w:id="1324"/>
      <w:r>
        <w:rPr>
          <w:rtl/>
        </w:rPr>
        <w:t xml:space="preserve"> התנפלות על מלמד יהודי עני </w:t>
      </w:r>
      <w:proofErr w:type="spellStart"/>
      <w:r>
        <w:rPr>
          <w:rtl/>
        </w:rPr>
        <w:t>בווילקומיר</w:t>
      </w:r>
      <w:proofErr w:type="spellEnd"/>
      <w:r>
        <w:rPr>
          <w:rtl/>
        </w:rPr>
        <w:t xml:space="preserve">, עיר הולדתו של מחברו – </w:t>
      </w:r>
      <w:proofErr w:type="spellStart"/>
      <w:r>
        <w:rPr>
          <w:rtl/>
        </w:rPr>
        <w:t>לייבל׳ה</w:t>
      </w:r>
      <w:proofErr w:type="spellEnd"/>
      <w:r>
        <w:rPr>
          <w:rtl/>
        </w:rPr>
        <w:t xml:space="preserve"> </w:t>
      </w:r>
      <w:proofErr w:type="spellStart"/>
      <w:r>
        <w:rPr>
          <w:rtl/>
        </w:rPr>
        <w:t>מאלאטער</w:t>
      </w:r>
      <w:proofErr w:type="spellEnd"/>
      <w:r>
        <w:rPr>
          <w:rtl/>
        </w:rPr>
        <w:t xml:space="preserve">, “שהיה מן הסוג שעליו אמרו שנולד </w:t>
      </w:r>
      <w:proofErr w:type="spellStart"/>
      <w:r>
        <w:rPr>
          <w:rtl/>
        </w:rPr>
        <w:t>בשולהויף</w:t>
      </w:r>
      <w:proofErr w:type="spellEnd"/>
      <w:r>
        <w:rPr>
          <w:rtl/>
        </w:rPr>
        <w:t xml:space="preserve">, חי </w:t>
      </w:r>
      <w:proofErr w:type="spellStart"/>
      <w:r>
        <w:rPr>
          <w:rtl/>
        </w:rPr>
        <w:t>בשולהויף</w:t>
      </w:r>
      <w:proofErr w:type="spellEnd"/>
      <w:r>
        <w:rPr>
          <w:rtl/>
        </w:rPr>
        <w:t xml:space="preserve"> ומת </w:t>
      </w:r>
      <w:proofErr w:type="spellStart"/>
      <w:r>
        <w:rPr>
          <w:rtl/>
        </w:rPr>
        <w:t>בשולהויף</w:t>
      </w:r>
      <w:proofErr w:type="spellEnd"/>
      <w:r>
        <w:rPr>
          <w:rtl/>
        </w:rPr>
        <w:t>”. השכיבוהו על גדם עץ וקצצו את פאותיו בגרזן – יחד עם חתיכה מאוזנו.</w:t>
      </w:r>
    </w:p>
    <w:p w14:paraId="78FD367B" w14:textId="77777777" w:rsidR="00AB3647" w:rsidRDefault="00000000" w:rsidP="007923E9">
      <w:pPr>
        <w:spacing w:after="120" w:line="276" w:lineRule="auto"/>
        <w:ind w:firstLine="283"/>
        <w:jc w:val="both"/>
      </w:pPr>
      <w:r>
        <w:rPr>
          <w:rtl/>
        </w:rPr>
        <w:t>“</w:t>
      </w:r>
      <w:proofErr w:type="spellStart"/>
      <w:r>
        <w:rPr>
          <w:rtl/>
        </w:rPr>
        <w:t>זכרון</w:t>
      </w:r>
      <w:proofErr w:type="spellEnd"/>
      <w:r>
        <w:rPr>
          <w:rtl/>
        </w:rPr>
        <w:t xml:space="preserve"> יעקב” מסכם</w:t>
      </w:r>
      <w:bookmarkStart w:id="1325" w:name="_fnr819"/>
      <w:r>
        <w:rPr>
          <w:rStyle w:val="a5"/>
        </w:rPr>
        <w:footnoteReference w:id="820" w:customMarkFollows="0"/>
      </w:r>
      <w:bookmarkEnd w:id="1325"/>
      <w:r>
        <w:rPr>
          <w:rtl/>
        </w:rPr>
        <w:t xml:space="preserve"> כך את מעשי האכזריות שנעשו ליהודים במקומות רבים ברוסיה, שבהם לא יכלו היהודים לפדות את עצמם מיד השוטרים המקומיים: “מעשי אכזריות אלה ורעים מהם נעשו בכל תחום המושב לעם ממושך ומורט</w:t>
      </w:r>
      <w:bookmarkStart w:id="1326" w:name="_fnr820"/>
      <w:r>
        <w:rPr>
          <w:rStyle w:val="a5"/>
        </w:rPr>
        <w:footnoteReference w:id="821" w:customMarkFollows="0"/>
      </w:r>
      <w:bookmarkEnd w:id="1326"/>
      <w:r>
        <w:rPr>
          <w:rtl/>
        </w:rPr>
        <w:t xml:space="preserve"> בלי שעשה כל רע – לא מתוך שנאת אויבים מבחוץ, אלא מתוך אהבת השקר של ידידינו מבפנים, שנעשו ‘</w:t>
      </w:r>
      <w:proofErr w:type="spellStart"/>
      <w:r>
        <w:rPr>
          <w:rtl/>
        </w:rPr>
        <w:t>מיטיבינו</w:t>
      </w:r>
      <w:proofErr w:type="spellEnd"/>
      <w:r>
        <w:rPr>
          <w:rtl/>
        </w:rPr>
        <w:t xml:space="preserve">’ בעל כורחנו. וסופרי המשכילים ותלמידיהם במשך </w:t>
      </w:r>
      <w:r>
        <w:rPr>
          <w:b/>
          <w:bCs/>
          <w:rtl/>
        </w:rPr>
        <w:t>שבעים שנה</w:t>
      </w:r>
      <w:r>
        <w:rPr>
          <w:rtl/>
        </w:rPr>
        <w:t xml:space="preserve"> (ההדגשה שלי) שפכו את עלבונם </w:t>
      </w:r>
      <w:proofErr w:type="spellStart"/>
      <w:r>
        <w:rPr>
          <w:rtl/>
        </w:rPr>
        <w:t>ובוזם</w:t>
      </w:r>
      <w:proofErr w:type="spellEnd"/>
      <w:r>
        <w:rPr>
          <w:rtl/>
        </w:rPr>
        <w:t xml:space="preserve"> על הרבנים, ואת שקריהם וכזביהם על המלמדים והחדרים ועל כל מפיצי התורה, במאמריהם הביקורתיים החריפים, בסיפורי לעג ובליצנות נאה</w:t>
      </w:r>
      <w:bookmarkStart w:id="1327" w:name="_fnr821"/>
      <w:r>
        <w:rPr>
          <w:rStyle w:val="a5"/>
        </w:rPr>
        <w:footnoteReference w:id="822" w:customMarkFollows="0"/>
      </w:r>
      <w:bookmarkEnd w:id="1327"/>
      <w:r>
        <w:rPr>
          <w:rtl/>
        </w:rPr>
        <w:t xml:space="preserve"> על כל קדשי בני ישראל – והכול לטובת ישראל... אבל עצמו עיניהם </w:t>
      </w:r>
      <w:proofErr w:type="spellStart"/>
      <w:r>
        <w:rPr>
          <w:rtl/>
        </w:rPr>
        <w:t>בספרותם</w:t>
      </w:r>
      <w:proofErr w:type="spellEnd"/>
      <w:r>
        <w:rPr>
          <w:rtl/>
        </w:rPr>
        <w:t xml:space="preserve"> מכל מעשי האכזריות שהביאו עלינו משכילינו, ‘</w:t>
      </w:r>
      <w:proofErr w:type="spellStart"/>
      <w:r>
        <w:rPr>
          <w:rtl/>
        </w:rPr>
        <w:t>מיטיבינו</w:t>
      </w:r>
      <w:proofErr w:type="spellEnd"/>
      <w:r>
        <w:rPr>
          <w:rtl/>
        </w:rPr>
        <w:t>’ שנדחקו עלינו!” שבעים שנות הטיוח שמזכיר ר׳ יעקב הלוי ליפשיץ מביאות אותנו כמעט עד זמן צאת ספרו “</w:t>
      </w:r>
      <w:proofErr w:type="spellStart"/>
      <w:r>
        <w:rPr>
          <w:rtl/>
        </w:rPr>
        <w:t>זכרון</w:t>
      </w:r>
      <w:proofErr w:type="spellEnd"/>
      <w:r>
        <w:rPr>
          <w:rtl/>
        </w:rPr>
        <w:t xml:space="preserve"> יעקב”.</w:t>
      </w:r>
    </w:p>
    <w:p w14:paraId="2520137B" w14:textId="77777777" w:rsidR="00AB3647" w:rsidRDefault="00000000" w:rsidP="007923E9">
      <w:pPr>
        <w:spacing w:after="120" w:line="276" w:lineRule="auto"/>
        <w:ind w:firstLine="283"/>
        <w:jc w:val="both"/>
      </w:pPr>
      <w:r>
        <w:rPr>
          <w:rtl/>
        </w:rPr>
        <w:t>המחבר מתאר גם</w:t>
      </w:r>
      <w:bookmarkStart w:id="1328" w:name="_fnr822"/>
      <w:r>
        <w:rPr>
          <w:rStyle w:val="a5"/>
        </w:rPr>
        <w:footnoteReference w:id="823" w:customMarkFollows="0"/>
      </w:r>
      <w:bookmarkEnd w:id="1328"/>
      <w:r>
        <w:rPr>
          <w:rtl/>
        </w:rPr>
        <w:t xml:space="preserve"> את חוסר הסובלנות שהפגינו המשכילים כלפי מבקריהם. על שנות </w:t>
      </w:r>
      <w:proofErr w:type="spellStart"/>
      <w:r>
        <w:rPr>
          <w:rtl/>
        </w:rPr>
        <w:t>הת״ר־כ</w:t>
      </w:r>
      <w:proofErr w:type="spellEnd"/>
      <w:r>
        <w:rPr>
          <w:rtl/>
        </w:rPr>
        <w:t xml:space="preserve">׳ הוא כותב: “שיא </w:t>
      </w:r>
      <w:proofErr w:type="spellStart"/>
      <w:r>
        <w:rPr>
          <w:rtl/>
        </w:rPr>
        <w:t>ה‘סובלנות</w:t>
      </w:r>
      <w:proofErr w:type="spellEnd"/>
      <w:r>
        <w:rPr>
          <w:rtl/>
        </w:rPr>
        <w:t>’ שבה התפארו המשכילים נתגלה כשהתלוננו וזעקו חמס על החרדים – שאין בהם סובלנות והם ‘ישועים’</w:t>
      </w:r>
      <w:bookmarkStart w:id="1329" w:name="_fnr823"/>
      <w:r>
        <w:rPr>
          <w:rStyle w:val="a5"/>
        </w:rPr>
        <w:footnoteReference w:id="824" w:customMarkFollows="0"/>
      </w:r>
      <w:bookmarkEnd w:id="1329"/>
      <w:r>
        <w:rPr>
          <w:rtl/>
        </w:rPr>
        <w:t xml:space="preserve"> הרוצים לכפות את רעיונותיהם ומחשבותיהם בכוח על רעיהם ועל אלה [המשכילים] העומדים כביכול תחת דגל הסובלנות וחופש המחשבה. אבל מיד כשראו שהחרדים חוגרים עוז להגן על רעיונותיהם ולהטביעם בעם, לא בכוח האגרוף חלילה, אלא בכוח הספרות וההיגיון, שכחו את מידת הסובלנות. פנו עורף לחופש המחשבה והדיבור ואחזו בחרב המלשינות.”</w:t>
      </w:r>
    </w:p>
    <w:p w14:paraId="5A9826D4" w14:textId="77777777" w:rsidR="00AB3647" w:rsidRDefault="00000000" w:rsidP="007923E9">
      <w:pPr>
        <w:spacing w:after="120" w:line="276" w:lineRule="auto"/>
        <w:ind w:firstLine="283"/>
        <w:jc w:val="both"/>
      </w:pPr>
      <w:r>
        <w:rPr>
          <w:rtl/>
        </w:rPr>
        <w:t xml:space="preserve">ר׳ יעקב הלוי ליפשיץ התפלמס עם </w:t>
      </w:r>
      <w:proofErr w:type="spellStart"/>
      <w:r>
        <w:rPr>
          <w:rtl/>
        </w:rPr>
        <w:t>יל״ג</w:t>
      </w:r>
      <w:bookmarkStart w:id="1330" w:name="_fnr824"/>
      <w:proofErr w:type="spellEnd"/>
      <w:r>
        <w:rPr>
          <w:rStyle w:val="a5"/>
        </w:rPr>
        <w:footnoteReference w:id="825" w:customMarkFollows="0"/>
      </w:r>
      <w:bookmarkEnd w:id="1330"/>
      <w:r>
        <w:rPr>
          <w:rtl/>
        </w:rPr>
        <w:t xml:space="preserve"> על שדחף לשינויים בשולחן ערוך. </w:t>
      </w:r>
      <w:proofErr w:type="spellStart"/>
      <w:r>
        <w:rPr>
          <w:rtl/>
        </w:rPr>
        <w:t>יל״ג</w:t>
      </w:r>
      <w:proofErr w:type="spellEnd"/>
      <w:r>
        <w:rPr>
          <w:rtl/>
        </w:rPr>
        <w:t xml:space="preserve"> תקף את הרבנים בשם בדוי בעיתון “המליץ”, וליפשיץ, במקום להרכין את ראשו האורתודוקסי, השיב לו במאמר בשם בדוי </w:t>
      </w:r>
      <w:proofErr w:type="spellStart"/>
      <w:r>
        <w:rPr>
          <w:rtl/>
        </w:rPr>
        <w:t>ב“הלבנון</w:t>
      </w:r>
      <w:proofErr w:type="spellEnd"/>
      <w:r>
        <w:rPr>
          <w:rtl/>
        </w:rPr>
        <w:t>” היוצא בפריז.</w:t>
      </w:r>
      <w:bookmarkStart w:id="1331" w:name="_fnr825"/>
      <w:r>
        <w:rPr>
          <w:rStyle w:val="a5"/>
        </w:rPr>
        <w:footnoteReference w:id="826" w:customMarkFollows="0"/>
      </w:r>
      <w:bookmarkEnd w:id="1331"/>
      <w:r>
        <w:rPr>
          <w:rtl/>
        </w:rPr>
        <w:t xml:space="preserve"> </w:t>
      </w:r>
      <w:proofErr w:type="spellStart"/>
      <w:r>
        <w:rPr>
          <w:rtl/>
        </w:rPr>
        <w:t>יל״ג</w:t>
      </w:r>
      <w:proofErr w:type="spellEnd"/>
      <w:r>
        <w:rPr>
          <w:rtl/>
        </w:rPr>
        <w:t xml:space="preserve"> הוא שגירה מתחילה את הרבנים להשיב, כשהטיח בהם את ההאשמה “כל המדבר אל הרבנים כמדבר אל העצים ואל האבנים”; </w:t>
      </w:r>
      <w:r>
        <w:rPr>
          <w:rtl/>
        </w:rPr>
        <w:lastRenderedPageBreak/>
        <w:t xml:space="preserve">ועל תשובתו של ליפשיץ השיב באיום להביא את הממשלה הרוסית לאסור את ייבוא כתב העת הזר. המשכילים </w:t>
      </w:r>
      <w:proofErr w:type="spellStart"/>
      <w:r>
        <w:rPr>
          <w:rtl/>
        </w:rPr>
        <w:t>ה“סובלניים</w:t>
      </w:r>
      <w:proofErr w:type="spellEnd"/>
      <w:r>
        <w:rPr>
          <w:rtl/>
        </w:rPr>
        <w:t>” לא יכלו לשאת את “הטלאים הדוממים החוגרים עוז אריות”.</w:t>
      </w:r>
      <w:bookmarkStart w:id="1332" w:name="_fnr826"/>
      <w:r>
        <w:rPr>
          <w:rStyle w:val="a5"/>
        </w:rPr>
        <w:footnoteReference w:id="827" w:customMarkFollows="0"/>
      </w:r>
      <w:bookmarkEnd w:id="1332"/>
    </w:p>
    <w:p w14:paraId="1A16885B" w14:textId="77777777" w:rsidR="00AB3647" w:rsidRDefault="00000000" w:rsidP="007923E9">
      <w:pPr>
        <w:pStyle w:val="4"/>
        <w:spacing w:line="276" w:lineRule="auto"/>
      </w:pPr>
      <w:r>
        <w:t xml:space="preserve">· הפסקה </w:t>
      </w:r>
      <w:proofErr w:type="spellStart"/>
      <w:r>
        <w:t>השלוש־עשרה</w:t>
      </w:r>
      <w:proofErr w:type="spellEnd"/>
      <w:r>
        <w:t xml:space="preserve"> ·</w:t>
      </w:r>
    </w:p>
    <w:p w14:paraId="6D79CFC4" w14:textId="77777777" w:rsidR="00AB3647" w:rsidRDefault="00000000" w:rsidP="007923E9">
      <w:pPr>
        <w:pStyle w:val="5"/>
        <w:spacing w:line="276" w:lineRule="auto"/>
      </w:pPr>
      <w:r>
        <w:t xml:space="preserve">קושי בכותרת מכתבו של </w:t>
      </w:r>
      <w:proofErr w:type="spellStart"/>
      <w:r>
        <w:t>ליליינטל</w:t>
      </w:r>
      <w:proofErr w:type="spellEnd"/>
      <w:r>
        <w:t xml:space="preserve"> – מוצע פתרון משוער – יש קשיים בפתרון זה</w:t>
      </w:r>
    </w:p>
    <w:p w14:paraId="752481B2" w14:textId="77777777" w:rsidR="00AB3647" w:rsidRDefault="00000000" w:rsidP="007923E9">
      <w:pPr>
        <w:spacing w:after="120" w:line="276" w:lineRule="auto"/>
        <w:ind w:firstLine="283"/>
        <w:jc w:val="both"/>
      </w:pPr>
      <w:r>
        <w:rPr>
          <w:rtl/>
        </w:rPr>
        <w:t xml:space="preserve">בשלוש הפסקאות הבאות ננתח מתי והיכן נכתב מכתבו של </w:t>
      </w:r>
      <w:proofErr w:type="spellStart"/>
      <w:r>
        <w:rPr>
          <w:rtl/>
        </w:rPr>
        <w:t>ליליינטל</w:t>
      </w:r>
      <w:proofErr w:type="spellEnd"/>
      <w:r>
        <w:rPr>
          <w:rtl/>
        </w:rPr>
        <w:t xml:space="preserve"> לרוזנטל. לשם כך דרוש תקציר, פסקה אחר פסקה, של תוכן המכתב הנוגע לעניין. הניתוח יוכיח עד כמה דו־פרצופי היה ד״ר </w:t>
      </w:r>
      <w:proofErr w:type="spellStart"/>
      <w:r>
        <w:rPr>
          <w:rtl/>
        </w:rPr>
        <w:t>ליליינטל</w:t>
      </w:r>
      <w:proofErr w:type="spellEnd"/>
      <w:r>
        <w:rPr>
          <w:rtl/>
        </w:rPr>
        <w:t>.</w:t>
      </w:r>
    </w:p>
    <w:p w14:paraId="14906E4C" w14:textId="77777777" w:rsidR="00AB3647" w:rsidRDefault="00000000" w:rsidP="007923E9">
      <w:pPr>
        <w:spacing w:after="120" w:line="276" w:lineRule="auto"/>
        <w:ind w:firstLine="283"/>
        <w:jc w:val="both"/>
      </w:pPr>
      <w:r>
        <w:rPr>
          <w:rtl/>
        </w:rPr>
        <w:t xml:space="preserve">פסקה 1: מתי יצא </w:t>
      </w:r>
      <w:proofErr w:type="spellStart"/>
      <w:r>
        <w:rPr>
          <w:rtl/>
        </w:rPr>
        <w:t>לוולוז׳ין</w:t>
      </w:r>
      <w:proofErr w:type="spellEnd"/>
    </w:p>
    <w:p w14:paraId="03E40AFE" w14:textId="77777777" w:rsidR="00AB3647" w:rsidRDefault="00000000" w:rsidP="007923E9">
      <w:pPr>
        <w:spacing w:after="120" w:line="276" w:lineRule="auto"/>
        <w:ind w:firstLine="283"/>
        <w:jc w:val="both"/>
      </w:pPr>
      <w:r>
        <w:rPr>
          <w:rtl/>
        </w:rPr>
        <w:t xml:space="preserve">פסקה 2: רושמו מר׳ </w:t>
      </w:r>
      <w:proofErr w:type="spellStart"/>
      <w:r>
        <w:rPr>
          <w:rtl/>
        </w:rPr>
        <w:t>איצל׳ה</w:t>
      </w:r>
      <w:proofErr w:type="spellEnd"/>
      <w:r>
        <w:rPr>
          <w:rtl/>
        </w:rPr>
        <w:t xml:space="preserve">, והרושם שעשה כביכול על ר׳ </w:t>
      </w:r>
      <w:proofErr w:type="spellStart"/>
      <w:r>
        <w:rPr>
          <w:rtl/>
        </w:rPr>
        <w:t>איצל׳ה</w:t>
      </w:r>
      <w:proofErr w:type="spellEnd"/>
    </w:p>
    <w:p w14:paraId="5E865A49" w14:textId="77777777" w:rsidR="00AB3647" w:rsidRDefault="00000000" w:rsidP="007923E9">
      <w:pPr>
        <w:spacing w:after="120" w:line="276" w:lineRule="auto"/>
        <w:ind w:firstLine="283"/>
        <w:jc w:val="both"/>
      </w:pPr>
      <w:r>
        <w:rPr>
          <w:rtl/>
        </w:rPr>
        <w:t xml:space="preserve">פסקה 3: יחסם של “השליחים” מווילנה וממינסק, </w:t>
      </w:r>
      <w:proofErr w:type="spellStart"/>
      <w:r>
        <w:rPr>
          <w:rtl/>
        </w:rPr>
        <w:t>ו“ברית</w:t>
      </w:r>
      <w:proofErr w:type="spellEnd"/>
      <w:r>
        <w:rPr>
          <w:rtl/>
        </w:rPr>
        <w:t xml:space="preserve"> האהבה”</w:t>
      </w:r>
    </w:p>
    <w:p w14:paraId="63427C35" w14:textId="77777777" w:rsidR="00AB3647" w:rsidRDefault="00000000" w:rsidP="007923E9">
      <w:pPr>
        <w:spacing w:after="120" w:line="276" w:lineRule="auto"/>
        <w:ind w:firstLine="283"/>
        <w:jc w:val="both"/>
      </w:pPr>
      <w:r>
        <w:rPr>
          <w:rtl/>
        </w:rPr>
        <w:t>פסקה 4: נסיעתו למינסק, וכיצד התקבל בבואו לשם</w:t>
      </w:r>
    </w:p>
    <w:p w14:paraId="08A3E75B" w14:textId="77777777" w:rsidR="00AB3647" w:rsidRDefault="00000000" w:rsidP="007923E9">
      <w:pPr>
        <w:spacing w:after="120" w:line="276" w:lineRule="auto"/>
        <w:ind w:firstLine="283"/>
        <w:jc w:val="both"/>
      </w:pPr>
      <w:r>
        <w:rPr>
          <w:rtl/>
        </w:rPr>
        <w:t xml:space="preserve">פסקה 5: א. יחסו הסלחני ליהודי מינסק בבואו; ב. היכן במינסק עשה את שני הימים הראשונים של חג הסוכות ואת כל חול המועד; ג. כיצד עשה את שמחת תורה </w:t>
      </w:r>
      <w:proofErr w:type="spellStart"/>
      <w:r>
        <w:rPr>
          <w:rtl/>
        </w:rPr>
        <w:t>בקלויז</w:t>
      </w:r>
      <w:proofErr w:type="spellEnd"/>
      <w:r>
        <w:rPr>
          <w:rtl/>
        </w:rPr>
        <w:t xml:space="preserve"> של חב״ד במינסק</w:t>
      </w:r>
      <w:bookmarkStart w:id="1333" w:name="_fnr827"/>
      <w:r>
        <w:rPr>
          <w:rStyle w:val="a5"/>
        </w:rPr>
        <w:footnoteReference w:id="828" w:customMarkFollows="0"/>
      </w:r>
      <w:bookmarkEnd w:id="1333"/>
    </w:p>
    <w:p w14:paraId="12EF4954" w14:textId="77777777" w:rsidR="00AB3647" w:rsidRDefault="00000000" w:rsidP="007923E9">
      <w:pPr>
        <w:spacing w:after="120" w:line="276" w:lineRule="auto"/>
        <w:ind w:firstLine="283"/>
        <w:jc w:val="both"/>
      </w:pPr>
      <w:r>
        <w:rPr>
          <w:rtl/>
        </w:rPr>
        <w:t>פסקה 6: תיאור האספה במינסק ביום הראשון של חול המועד, ומחלת הקיבה שלו ששינתה את תוכניות נסיעתו</w:t>
      </w:r>
    </w:p>
    <w:p w14:paraId="00DCE8FF" w14:textId="77777777" w:rsidR="00AB3647" w:rsidRDefault="00000000" w:rsidP="007923E9">
      <w:pPr>
        <w:spacing w:after="120" w:line="276" w:lineRule="auto"/>
        <w:ind w:firstLine="283"/>
        <w:jc w:val="both"/>
      </w:pPr>
      <w:r>
        <w:rPr>
          <w:rtl/>
        </w:rPr>
        <w:t xml:space="preserve">פסקה 7: מתי יצא ממינסק </w:t>
      </w:r>
      <w:proofErr w:type="spellStart"/>
      <w:r>
        <w:rPr>
          <w:rtl/>
        </w:rPr>
        <w:t>לגרודנא</w:t>
      </w:r>
      <w:proofErr w:type="spellEnd"/>
      <w:r>
        <w:rPr>
          <w:rtl/>
        </w:rPr>
        <w:t>, נסיעתו וקבלת הפנים שם</w:t>
      </w:r>
    </w:p>
    <w:p w14:paraId="35E32B12" w14:textId="77777777" w:rsidR="00AB3647" w:rsidRDefault="00000000" w:rsidP="007923E9">
      <w:pPr>
        <w:spacing w:after="120" w:line="276" w:lineRule="auto"/>
        <w:ind w:firstLine="283"/>
        <w:jc w:val="both"/>
      </w:pPr>
      <w:r>
        <w:rPr>
          <w:rtl/>
        </w:rPr>
        <w:t xml:space="preserve">פסקה 8: תוכניתו לנסוע </w:t>
      </w:r>
      <w:proofErr w:type="spellStart"/>
      <w:r>
        <w:rPr>
          <w:rtl/>
        </w:rPr>
        <w:t>לביאליסטוק</w:t>
      </w:r>
      <w:proofErr w:type="spellEnd"/>
    </w:p>
    <w:p w14:paraId="66F8205D" w14:textId="77777777" w:rsidR="00AB3647" w:rsidRDefault="00000000" w:rsidP="007923E9">
      <w:pPr>
        <w:spacing w:after="120" w:line="276" w:lineRule="auto"/>
        <w:ind w:firstLine="283"/>
        <w:jc w:val="both"/>
      </w:pPr>
      <w:r>
        <w:rPr>
          <w:rtl/>
        </w:rPr>
        <w:lastRenderedPageBreak/>
        <w:t>לפי התאריך והמקום שבראש המכתב, “</w:t>
      </w:r>
      <w:proofErr w:type="spellStart"/>
      <w:r>
        <w:rPr>
          <w:rtl/>
        </w:rPr>
        <w:t>גרודנא</w:t>
      </w:r>
      <w:proofErr w:type="spellEnd"/>
      <w:r>
        <w:rPr>
          <w:rtl/>
        </w:rPr>
        <w:t xml:space="preserve"> d. [</w:t>
      </w:r>
      <w:proofErr w:type="spellStart"/>
      <w:r>
        <w:rPr>
          <w:rtl/>
        </w:rPr>
        <w:t>datus</w:t>
      </w:r>
      <w:proofErr w:type="spellEnd"/>
      <w:r>
        <w:rPr>
          <w:rtl/>
        </w:rPr>
        <w:t xml:space="preserve">] 13.9.42”, הוא נכתב ביום ראשון, הושענא רבה, כ״א בתשרי תר״ג. הדבר מתיישב עם ראשית המכתב (פסקה 1): “הנה זה </w:t>
      </w:r>
      <w:proofErr w:type="spellStart"/>
      <w:r>
        <w:rPr>
          <w:rtl/>
        </w:rPr>
        <w:t>שבועים</w:t>
      </w:r>
      <w:proofErr w:type="spellEnd"/>
      <w:r>
        <w:rPr>
          <w:rtl/>
        </w:rPr>
        <w:t xml:space="preserve"> ששמתי פעמי לק׳ (לקהילת) </w:t>
      </w:r>
      <w:proofErr w:type="spellStart"/>
      <w:r>
        <w:rPr>
          <w:rtl/>
        </w:rPr>
        <w:t>וולוזין</w:t>
      </w:r>
      <w:proofErr w:type="spellEnd"/>
      <w:r>
        <w:rPr>
          <w:rtl/>
        </w:rPr>
        <w:t xml:space="preserve">”. זה מחזיר אותנו ליום ראשון, ז׳ בתשרי: </w:t>
      </w:r>
      <w:proofErr w:type="spellStart"/>
      <w:r>
        <w:rPr>
          <w:rtl/>
        </w:rPr>
        <w:t>ליליינטל</w:t>
      </w:r>
      <w:proofErr w:type="spellEnd"/>
      <w:r>
        <w:rPr>
          <w:rtl/>
        </w:rPr>
        <w:t xml:space="preserve"> יצא לדרך של 160 קילומטר מווילנה </w:t>
      </w:r>
      <w:proofErr w:type="spellStart"/>
      <w:r>
        <w:rPr>
          <w:rtl/>
        </w:rPr>
        <w:t>לוולוז׳ין</w:t>
      </w:r>
      <w:proofErr w:type="spellEnd"/>
      <w:r>
        <w:rPr>
          <w:rtl/>
        </w:rPr>
        <w:t xml:space="preserve"> ביום ראשון בבוקר (או במוצאי שבת), שבועיים בדיוק לפני הושענא רבה, והגיע ביום ראשון בלילה. למחרת בבוקר, ביום שני, סירב לבוא לבית הכנסת לעלות לתורה בשעת קריאת התורה, כפי שזכר ר׳ </w:t>
      </w:r>
      <w:proofErr w:type="spellStart"/>
      <w:r>
        <w:rPr>
          <w:rtl/>
        </w:rPr>
        <w:t>יחיאל־מיכל</w:t>
      </w:r>
      <w:proofErr w:type="spellEnd"/>
      <w:r>
        <w:rPr>
          <w:rtl/>
        </w:rPr>
        <w:t xml:space="preserve"> אפשטיין, בעל ערוך השולחן, וכאמור לעיל בפסקה השמינית.</w:t>
      </w:r>
    </w:p>
    <w:p w14:paraId="57FE7862" w14:textId="77777777" w:rsidR="00AB3647" w:rsidRDefault="00000000" w:rsidP="007923E9">
      <w:pPr>
        <w:spacing w:after="120" w:line="276" w:lineRule="auto"/>
        <w:ind w:firstLine="283"/>
        <w:jc w:val="both"/>
      </w:pPr>
      <w:r>
        <w:rPr>
          <w:rtl/>
        </w:rPr>
        <w:t xml:space="preserve">המכתב ממשיך ומספר (פסקה 4) </w:t>
      </w:r>
      <w:proofErr w:type="spellStart"/>
      <w:r>
        <w:rPr>
          <w:rtl/>
        </w:rPr>
        <w:t>ש“מהעיר</w:t>
      </w:r>
      <w:proofErr w:type="spellEnd"/>
      <w:r>
        <w:rPr>
          <w:rtl/>
        </w:rPr>
        <w:t xml:space="preserve"> הזאת הלכתי בערב יו״ט למינסק” (ביום ראשון), ושם, לפי פסקה 6, השתתף ביום הראשון של חול המועד (יום רביעי) בערב באספה שלשמה בא. אחרי האספה חלה כל כך במחלת קיבה עד </w:t>
      </w:r>
      <w:proofErr w:type="spellStart"/>
      <w:r>
        <w:rPr>
          <w:rtl/>
        </w:rPr>
        <w:t>ש“נצרכתי</w:t>
      </w:r>
      <w:proofErr w:type="spellEnd"/>
      <w:r>
        <w:rPr>
          <w:rtl/>
        </w:rPr>
        <w:t xml:space="preserve"> לרופאים ולרפואות”, ומצבו נשאר כך ארבעה ימים, “עוד היום”, כלומר עד הושענא רבה. אבל ב</w:t>
      </w:r>
      <w:r>
        <w:rPr>
          <w:b/>
          <w:bCs/>
          <w:rtl/>
        </w:rPr>
        <w:t>פסקה מוקדמת יותר</w:t>
      </w:r>
      <w:r>
        <w:rPr>
          <w:rtl/>
        </w:rPr>
        <w:t xml:space="preserve"> (פסקה 5) מספר המכתב גם את מאורעות </w:t>
      </w:r>
      <w:r>
        <w:rPr>
          <w:b/>
          <w:bCs/>
          <w:rtl/>
        </w:rPr>
        <w:t>ימי חול המועד ושמחת תורה בעודו במינסק</w:t>
      </w:r>
      <w:r>
        <w:rPr>
          <w:rtl/>
        </w:rPr>
        <w:t>. כבר מכאן אנו רואים שהמכתב לא נכתב בהושענא רבה, 13 בספטמבר, כתאריכו, אלא לכל המוקדם אחרי שמחת תורה, 15 בספטמבר!</w:t>
      </w:r>
    </w:p>
    <w:p w14:paraId="585D3752" w14:textId="77777777" w:rsidR="00AB3647" w:rsidRDefault="00000000" w:rsidP="007923E9">
      <w:pPr>
        <w:spacing w:after="120" w:line="276" w:lineRule="auto"/>
        <w:ind w:firstLine="283"/>
        <w:jc w:val="both"/>
      </w:pPr>
      <w:r>
        <w:rPr>
          <w:rtl/>
        </w:rPr>
        <w:t>ב</w:t>
      </w:r>
      <w:r>
        <w:rPr>
          <w:b/>
          <w:bCs/>
          <w:rtl/>
        </w:rPr>
        <w:t>פסקה מאוחרת יותר</w:t>
      </w:r>
      <w:r>
        <w:rPr>
          <w:rtl/>
        </w:rPr>
        <w:t xml:space="preserve"> (פסקה 7) מספר המכתב שממינסק “במוצאי יום טוב </w:t>
      </w:r>
      <w:proofErr w:type="spellStart"/>
      <w:r>
        <w:rPr>
          <w:rtl/>
        </w:rPr>
        <w:t>מהרתי</w:t>
      </w:r>
      <w:proofErr w:type="spellEnd"/>
      <w:r>
        <w:rPr>
          <w:rtl/>
        </w:rPr>
        <w:t xml:space="preserve"> לבוא </w:t>
      </w:r>
      <w:proofErr w:type="spellStart"/>
      <w:r>
        <w:rPr>
          <w:rtl/>
        </w:rPr>
        <w:t>לגראדנא</w:t>
      </w:r>
      <w:proofErr w:type="spellEnd"/>
      <w:r>
        <w:rPr>
          <w:rtl/>
        </w:rPr>
        <w:t xml:space="preserve">”, כלומר ביום שלישי בלילה, </w:t>
      </w:r>
      <w:proofErr w:type="spellStart"/>
      <w:r>
        <w:rPr>
          <w:rtl/>
        </w:rPr>
        <w:t>ו“באתי</w:t>
      </w:r>
      <w:proofErr w:type="spellEnd"/>
      <w:r>
        <w:rPr>
          <w:rtl/>
        </w:rPr>
        <w:t xml:space="preserve"> לשם יום ו׳ בערב”. זמנו המדויק של בואו יידון בפסקה הבאה, אבל ודאי היה זה בסוף השבוע. נמצא שהמכתב נכתב לפחות יומיים נוספים </w:t>
      </w:r>
      <w:r>
        <w:rPr>
          <w:b/>
          <w:bCs/>
          <w:rtl/>
        </w:rPr>
        <w:t>אחרי</w:t>
      </w:r>
      <w:r>
        <w:rPr>
          <w:rtl/>
        </w:rPr>
        <w:t xml:space="preserve"> שמחת תורה, כלומר לא לפני 17 בספטמבר, ארבעה ימים אחרי הושענא רבה! מדוע, אם כן, מתנוסס בראש המכתב התאריך 13 בספטמבר?</w:t>
      </w:r>
    </w:p>
    <w:p w14:paraId="0B2017F7" w14:textId="77777777" w:rsidR="00AB3647" w:rsidRDefault="00000000" w:rsidP="007923E9">
      <w:pPr>
        <w:spacing w:after="120" w:line="276" w:lineRule="auto"/>
        <w:ind w:firstLine="283"/>
        <w:jc w:val="both"/>
      </w:pPr>
      <w:r>
        <w:rPr>
          <w:rtl/>
        </w:rPr>
        <w:t xml:space="preserve">יש שתי דרכים אפשריות לפתור קושיה זו. האחת: לשער </w:t>
      </w:r>
      <w:proofErr w:type="spellStart"/>
      <w:r>
        <w:rPr>
          <w:rtl/>
        </w:rPr>
        <w:t>שליליינטל</w:t>
      </w:r>
      <w:proofErr w:type="spellEnd"/>
      <w:r>
        <w:rPr>
          <w:rtl/>
        </w:rPr>
        <w:t xml:space="preserve"> החל את מכתבו ב־13 בספטמבר, הושענא רבה, </w:t>
      </w:r>
      <w:r>
        <w:rPr>
          <w:b/>
          <w:bCs/>
          <w:rtl/>
        </w:rPr>
        <w:t>במינסק</w:t>
      </w:r>
      <w:r>
        <w:rPr>
          <w:rtl/>
        </w:rPr>
        <w:t xml:space="preserve">, וכתב את פסקאות 1, 2, 3, 4, את חלקים א </w:t>
      </w:r>
      <w:proofErr w:type="spellStart"/>
      <w:r>
        <w:rPr>
          <w:rtl/>
        </w:rPr>
        <w:t>ו־ב</w:t>
      </w:r>
      <w:proofErr w:type="spellEnd"/>
      <w:r>
        <w:rPr>
          <w:rtl/>
        </w:rPr>
        <w:t xml:space="preserve"> של פסקה 5 ואת פסקה 6 במלואה. פסקאות אלו כיסו את כל המאורעות עד יום הכתיבה, כלומר הושענא רבה, ובראש המכתב רשם </w:t>
      </w:r>
      <w:r>
        <w:rPr>
          <w:b/>
          <w:bCs/>
          <w:rtl/>
        </w:rPr>
        <w:t>תאריך בלבד</w:t>
      </w:r>
      <w:r>
        <w:rPr>
          <w:rtl/>
        </w:rPr>
        <w:t>.</w:t>
      </w:r>
    </w:p>
    <w:p w14:paraId="694403AB" w14:textId="77777777" w:rsidR="00AB3647" w:rsidRDefault="00000000" w:rsidP="007923E9">
      <w:pPr>
        <w:spacing w:after="120" w:line="276" w:lineRule="auto"/>
        <w:ind w:firstLine="283"/>
        <w:jc w:val="both"/>
      </w:pPr>
      <w:r>
        <w:rPr>
          <w:rtl/>
        </w:rPr>
        <w:t xml:space="preserve">אחר כך, בסוף השבוע, </w:t>
      </w:r>
      <w:r>
        <w:rPr>
          <w:b/>
          <w:bCs/>
          <w:rtl/>
        </w:rPr>
        <w:t xml:space="preserve">כבר </w:t>
      </w:r>
      <w:proofErr w:type="spellStart"/>
      <w:r>
        <w:rPr>
          <w:b/>
          <w:bCs/>
          <w:rtl/>
        </w:rPr>
        <w:t>בגרודנא</w:t>
      </w:r>
      <w:proofErr w:type="spellEnd"/>
      <w:r>
        <w:rPr>
          <w:rtl/>
        </w:rPr>
        <w:t xml:space="preserve">, הוסיף לפסקה 5 את חלק ג. בו פירט מה אירע </w:t>
      </w:r>
      <w:r>
        <w:rPr>
          <w:b/>
          <w:bCs/>
          <w:rtl/>
        </w:rPr>
        <w:t>אחרי הושענא רבה</w:t>
      </w:r>
      <w:r>
        <w:rPr>
          <w:rtl/>
        </w:rPr>
        <w:t xml:space="preserve">, בשמחת תורה (שעד אז הוטב מצב קיבתו), ושיכול היה להשלים את הזמן שהפסיד בגלל המחלה </w:t>
      </w:r>
      <w:proofErr w:type="spellStart"/>
      <w:r>
        <w:rPr>
          <w:rtl/>
        </w:rPr>
        <w:t>ב“מהירות</w:t>
      </w:r>
      <w:proofErr w:type="spellEnd"/>
      <w:r>
        <w:rPr>
          <w:rtl/>
        </w:rPr>
        <w:t xml:space="preserve">” נסיעתו </w:t>
      </w:r>
      <w:proofErr w:type="spellStart"/>
      <w:r>
        <w:rPr>
          <w:rtl/>
        </w:rPr>
        <w:t>לגרודנא</w:t>
      </w:r>
      <w:proofErr w:type="spellEnd"/>
      <w:r>
        <w:rPr>
          <w:rtl/>
        </w:rPr>
        <w:t xml:space="preserve"> במוצאי יום טוב (יום שלישי בלילה). כמו כן הוסיף </w:t>
      </w:r>
      <w:r>
        <w:rPr>
          <w:b/>
          <w:bCs/>
          <w:rtl/>
        </w:rPr>
        <w:t>שתי פסקאות חדשות</w:t>
      </w:r>
      <w:r>
        <w:rPr>
          <w:rtl/>
        </w:rPr>
        <w:t xml:space="preserve">, 7 ו־8, על הנסיעה </w:t>
      </w:r>
      <w:proofErr w:type="spellStart"/>
      <w:r>
        <w:rPr>
          <w:rtl/>
        </w:rPr>
        <w:t>לגרודנא</w:t>
      </w:r>
      <w:proofErr w:type="spellEnd"/>
      <w:r>
        <w:rPr>
          <w:rtl/>
        </w:rPr>
        <w:t xml:space="preserve"> ועל תוכניותיו הבאות. אז, בסוף השבוע, הוסיף בראש הדף, לתאריך המקורי שבו </w:t>
      </w:r>
      <w:r>
        <w:rPr>
          <w:b/>
          <w:bCs/>
          <w:rtl/>
        </w:rPr>
        <w:t>פתח</w:t>
      </w:r>
      <w:r>
        <w:rPr>
          <w:rtl/>
        </w:rPr>
        <w:t xml:space="preserve"> את המכתב, את המילה “</w:t>
      </w:r>
      <w:proofErr w:type="spellStart"/>
      <w:r>
        <w:rPr>
          <w:rtl/>
        </w:rPr>
        <w:t>גרודנא</w:t>
      </w:r>
      <w:proofErr w:type="spellEnd"/>
      <w:r>
        <w:rPr>
          <w:rtl/>
        </w:rPr>
        <w:t xml:space="preserve">”, כמקום שבו </w:t>
      </w:r>
      <w:r>
        <w:rPr>
          <w:b/>
          <w:bCs/>
          <w:rtl/>
        </w:rPr>
        <w:t>סיים</w:t>
      </w:r>
      <w:r>
        <w:rPr>
          <w:rtl/>
        </w:rPr>
        <w:t xml:space="preserve"> אותו. לפי זה, כותרת המכתב, “</w:t>
      </w:r>
      <w:proofErr w:type="spellStart"/>
      <w:r>
        <w:rPr>
          <w:rtl/>
        </w:rPr>
        <w:t>גרודנא</w:t>
      </w:r>
      <w:proofErr w:type="spellEnd"/>
      <w:r>
        <w:rPr>
          <w:rtl/>
        </w:rPr>
        <w:t xml:space="preserve"> d. 13.9.42”, מלמדת על </w:t>
      </w:r>
      <w:r>
        <w:rPr>
          <w:b/>
          <w:bCs/>
          <w:rtl/>
        </w:rPr>
        <w:t>שני פרטים</w:t>
      </w:r>
      <w:r>
        <w:rPr>
          <w:rtl/>
        </w:rPr>
        <w:t>: האחד, מתי התחיל (13 בספטמבר); השני, ה</w:t>
      </w:r>
      <w:r>
        <w:rPr>
          <w:b/>
          <w:bCs/>
          <w:rtl/>
        </w:rPr>
        <w:t>מקום</w:t>
      </w:r>
      <w:r>
        <w:rPr>
          <w:rtl/>
        </w:rPr>
        <w:t xml:space="preserve"> שבו הושלם, </w:t>
      </w:r>
      <w:proofErr w:type="spellStart"/>
      <w:r>
        <w:rPr>
          <w:rtl/>
        </w:rPr>
        <w:t>בגרודנא</w:t>
      </w:r>
      <w:proofErr w:type="spellEnd"/>
      <w:r>
        <w:rPr>
          <w:rtl/>
        </w:rPr>
        <w:t xml:space="preserve"> (17–18 בספטמבר).</w:t>
      </w:r>
    </w:p>
    <w:p w14:paraId="714DA603" w14:textId="77777777" w:rsidR="00AB3647" w:rsidRDefault="00000000" w:rsidP="007923E9">
      <w:pPr>
        <w:spacing w:after="120" w:line="276" w:lineRule="auto"/>
        <w:ind w:firstLine="283"/>
        <w:jc w:val="both"/>
      </w:pPr>
      <w:r>
        <w:rPr>
          <w:rtl/>
        </w:rPr>
        <w:t xml:space="preserve">קושי אחד בפתרון זה הוא, כמובן, המוזרות שבכתיבת כותרת למכתב מלכתחילה עם תאריך בלי מקום. קושי אחר: יש להניח </w:t>
      </w:r>
      <w:proofErr w:type="spellStart"/>
      <w:r>
        <w:rPr>
          <w:rtl/>
        </w:rPr>
        <w:t>שליליינטל</w:t>
      </w:r>
      <w:proofErr w:type="spellEnd"/>
      <w:r>
        <w:rPr>
          <w:rtl/>
        </w:rPr>
        <w:t xml:space="preserve"> השאיר מקום ריק בסוף פסקה 5, כדי שיוכל להוסיף לה את חלק ג </w:t>
      </w:r>
      <w:r>
        <w:rPr>
          <w:b/>
          <w:bCs/>
          <w:rtl/>
        </w:rPr>
        <w:t>אחרי</w:t>
      </w:r>
      <w:r>
        <w:rPr>
          <w:rtl/>
        </w:rPr>
        <w:t xml:space="preserve"> שכבר כתב את פסקה 6. קושי שלישי: פתרון זה אינו מיישב מדוע פסקה 6 אינה במקומה הנכון, שכן מבחינה כרונולוגית מקומה אחרי חלק א של פסקה 5.</w:t>
      </w:r>
    </w:p>
    <w:p w14:paraId="4AE6BAB3" w14:textId="77777777" w:rsidR="00AB3647" w:rsidRDefault="00000000" w:rsidP="007923E9">
      <w:pPr>
        <w:pStyle w:val="4"/>
        <w:spacing w:line="276" w:lineRule="auto"/>
      </w:pPr>
      <w:r>
        <w:lastRenderedPageBreak/>
        <w:t xml:space="preserve">· הפסקה </w:t>
      </w:r>
      <w:proofErr w:type="spellStart"/>
      <w:r>
        <w:t>הארבע־עשרה</w:t>
      </w:r>
      <w:proofErr w:type="spellEnd"/>
      <w:r>
        <w:t xml:space="preserve"> ·</w:t>
      </w:r>
    </w:p>
    <w:p w14:paraId="10953760" w14:textId="77777777" w:rsidR="00AB3647" w:rsidRDefault="00000000" w:rsidP="007923E9">
      <w:pPr>
        <w:pStyle w:val="5"/>
        <w:spacing w:line="276" w:lineRule="auto"/>
      </w:pPr>
      <w:r>
        <w:t xml:space="preserve">פתרון אחר לבעיה שבמכתב </w:t>
      </w:r>
      <w:proofErr w:type="spellStart"/>
      <w:r>
        <w:t>ליליינטל</w:t>
      </w:r>
      <w:proofErr w:type="spellEnd"/>
      <w:r>
        <w:t xml:space="preserve"> – </w:t>
      </w:r>
      <w:proofErr w:type="spellStart"/>
      <w:r>
        <w:t>ליליינטל</w:t>
      </w:r>
      <w:proofErr w:type="spellEnd"/>
      <w:r>
        <w:t xml:space="preserve"> מבקש להאדיר את עצמו – המשכילים מאשימים אותו ברדיפת כבוד</w:t>
      </w:r>
    </w:p>
    <w:p w14:paraId="477A2941" w14:textId="77777777" w:rsidR="00AB3647" w:rsidRDefault="00000000" w:rsidP="007923E9">
      <w:pPr>
        <w:spacing w:after="120" w:line="276" w:lineRule="auto"/>
        <w:ind w:firstLine="283"/>
        <w:jc w:val="both"/>
      </w:pPr>
      <w:r>
        <w:rPr>
          <w:rtl/>
        </w:rPr>
        <w:t xml:space="preserve">פתרון אחר לבעיית הכותרת: </w:t>
      </w:r>
      <w:proofErr w:type="spellStart"/>
      <w:r>
        <w:rPr>
          <w:rtl/>
        </w:rPr>
        <w:t>ליליינטל</w:t>
      </w:r>
      <w:proofErr w:type="spellEnd"/>
      <w:r>
        <w:rPr>
          <w:rtl/>
        </w:rPr>
        <w:t xml:space="preserve"> כתב את </w:t>
      </w:r>
      <w:r>
        <w:rPr>
          <w:b/>
          <w:bCs/>
          <w:rtl/>
        </w:rPr>
        <w:t>הכותרת כולה</w:t>
      </w:r>
      <w:r>
        <w:rPr>
          <w:rtl/>
        </w:rPr>
        <w:t xml:space="preserve"> במינסק ביום רביעי, היום הראשון של חול המועד – לפני האספה הפומבית שלו שם באותו ערב – יחד עם פסקאות 1, 2, 3 ו־4, שכיסו את המאורעות </w:t>
      </w:r>
      <w:proofErr w:type="spellStart"/>
      <w:r>
        <w:rPr>
          <w:rtl/>
        </w:rPr>
        <w:t>בוולוז׳ין</w:t>
      </w:r>
      <w:proofErr w:type="spellEnd"/>
      <w:r>
        <w:rPr>
          <w:rtl/>
        </w:rPr>
        <w:t xml:space="preserve"> ואת נסיעתו למינסק. הוא ציפה לצאת ממינסק בבוקר שלאחר האספה, כלומר ביום חמישי בבוקר, היום השני של חול המועד, ולנסוע באותו יום </w:t>
      </w:r>
      <w:proofErr w:type="spellStart"/>
      <w:r>
        <w:rPr>
          <w:rtl/>
        </w:rPr>
        <w:t>ולמחרתו</w:t>
      </w:r>
      <w:proofErr w:type="spellEnd"/>
      <w:r>
        <w:rPr>
          <w:rtl/>
        </w:rPr>
        <w:t xml:space="preserve">: להגיע ביום שישי אחר הצהריים, ולעשות את שבת חול המועד ואת יום ראשון, הושענא רבה, כבר </w:t>
      </w:r>
      <w:proofErr w:type="spellStart"/>
      <w:r>
        <w:rPr>
          <w:rtl/>
        </w:rPr>
        <w:t>בגרודנא</w:t>
      </w:r>
      <w:proofErr w:type="spellEnd"/>
      <w:r>
        <w:rPr>
          <w:rtl/>
        </w:rPr>
        <w:t xml:space="preserve">. לכן קבע למכתב תאריך ומקום מאוחרים – הזמן והמקום שבהם </w:t>
      </w:r>
      <w:r>
        <w:rPr>
          <w:b/>
          <w:bCs/>
          <w:rtl/>
        </w:rPr>
        <w:t>ציפה לסיימו</w:t>
      </w:r>
      <w:r>
        <w:rPr>
          <w:rtl/>
        </w:rPr>
        <w:t>.</w:t>
      </w:r>
    </w:p>
    <w:p w14:paraId="348D721D" w14:textId="77777777" w:rsidR="00AB3647" w:rsidRDefault="00000000" w:rsidP="007923E9">
      <w:pPr>
        <w:spacing w:after="120" w:line="276" w:lineRule="auto"/>
        <w:ind w:firstLine="283"/>
        <w:jc w:val="both"/>
      </w:pPr>
      <w:r>
        <w:rPr>
          <w:rtl/>
        </w:rPr>
        <w:t>כשמחלת הקיבה שתקפה אותו אחרי האספה של יום רביעי</w:t>
      </w:r>
      <w:bookmarkStart w:id="1334" w:name="_fnr828"/>
      <w:r>
        <w:rPr>
          <w:rStyle w:val="a5"/>
        </w:rPr>
        <w:footnoteReference w:id="829" w:customMarkFollows="0"/>
      </w:r>
      <w:bookmarkEnd w:id="1334"/>
      <w:r>
        <w:rPr>
          <w:rtl/>
        </w:rPr>
        <w:t xml:space="preserve"> אילצה אותו להישאר במינסק עד אחרי שמחת תורה, השאיר את הכותרת כמות שהיא. בפועל השלים את המכתב, על פסקאות 5, 6, 7 ו־8 כולן, אומנם </w:t>
      </w:r>
      <w:proofErr w:type="spellStart"/>
      <w:r>
        <w:rPr>
          <w:rtl/>
        </w:rPr>
        <w:t>בגרודנא</w:t>
      </w:r>
      <w:proofErr w:type="spellEnd"/>
      <w:r>
        <w:rPr>
          <w:rtl/>
        </w:rPr>
        <w:t xml:space="preserve">, אבל רק </w:t>
      </w:r>
      <w:r>
        <w:rPr>
          <w:b/>
          <w:bCs/>
          <w:rtl/>
        </w:rPr>
        <w:t>בסוף השבוע שהתחיל בהושענא רבה</w:t>
      </w:r>
      <w:r>
        <w:rPr>
          <w:rtl/>
        </w:rPr>
        <w:t xml:space="preserve">. לפי הסבר זה, בריאותו לא הוטבה במינסק, ועדיין לא החלים לגמרי כשהשלים את המכתב (“עוד היום”) </w:t>
      </w:r>
      <w:proofErr w:type="spellStart"/>
      <w:r>
        <w:rPr>
          <w:b/>
          <w:bCs/>
          <w:rtl/>
        </w:rPr>
        <w:t>בגרודנא</w:t>
      </w:r>
      <w:proofErr w:type="spellEnd"/>
      <w:r>
        <w:rPr>
          <w:rtl/>
        </w:rPr>
        <w:t xml:space="preserve">. מחלתו, שנמשכה עשרה ימים, גרמה לו להגיע </w:t>
      </w:r>
      <w:proofErr w:type="spellStart"/>
      <w:r>
        <w:rPr>
          <w:rtl/>
        </w:rPr>
        <w:t>לגרודנא</w:t>
      </w:r>
      <w:proofErr w:type="spellEnd"/>
      <w:r>
        <w:rPr>
          <w:rtl/>
        </w:rPr>
        <w:t xml:space="preserve"> לא </w:t>
      </w:r>
      <w:r>
        <w:rPr>
          <w:b/>
          <w:bCs/>
          <w:rtl/>
        </w:rPr>
        <w:t>לפני שבת חול המועד</w:t>
      </w:r>
      <w:r>
        <w:rPr>
          <w:rtl/>
        </w:rPr>
        <w:t xml:space="preserve">, כפי שקיווה כשהתחיל את המכתב, אלא שבוע שלם אחר כך. נמצא שהמכתב מלמד על </w:t>
      </w:r>
      <w:r>
        <w:rPr>
          <w:b/>
          <w:bCs/>
          <w:rtl/>
        </w:rPr>
        <w:t>שלושה מועדים</w:t>
      </w:r>
      <w:r>
        <w:rPr>
          <w:rtl/>
        </w:rPr>
        <w:t>: האחד, מתי התחיל את המכתב (9 בספטמבר); השני, מתי ציפה לסיימו (13 בספטמבר); השלישי, מתי סיים אותו בפועל (17–18 בספטמבר</w:t>
      </w:r>
      <w:bookmarkStart w:id="1335" w:name="_fnr829"/>
      <w:r>
        <w:rPr>
          <w:rStyle w:val="a5"/>
        </w:rPr>
        <w:footnoteReference w:id="830" w:customMarkFollows="0"/>
      </w:r>
      <w:bookmarkEnd w:id="1335"/>
      <w:r>
        <w:rPr>
          <w:rtl/>
        </w:rPr>
        <w:t>).</w:t>
      </w:r>
    </w:p>
    <w:p w14:paraId="315F91A9" w14:textId="77777777" w:rsidR="00AB3647" w:rsidRDefault="00000000" w:rsidP="007923E9">
      <w:pPr>
        <w:spacing w:after="120" w:line="276" w:lineRule="auto"/>
        <w:ind w:firstLine="283"/>
        <w:jc w:val="both"/>
      </w:pPr>
      <w:r>
        <w:rPr>
          <w:rtl/>
        </w:rPr>
        <w:t xml:space="preserve">הסבר זה מיישב את חוסר הסדר הכרונולוגי שהוזכר לעיל. המחצית השנייה של המכתב, מפסקה 5 ואילך, היא סיכום של כל מה שאירע מעשרה ימים לפני שנכתב חלק זה ועד שעת הכתיבה, כלומר מן היום הראשון של חול המועד במינסק ועד סוף השבוע שלאחריו </w:t>
      </w:r>
      <w:proofErr w:type="spellStart"/>
      <w:r>
        <w:rPr>
          <w:rtl/>
        </w:rPr>
        <w:t>בגרודנא</w:t>
      </w:r>
      <w:proofErr w:type="spellEnd"/>
      <w:r>
        <w:rPr>
          <w:rtl/>
        </w:rPr>
        <w:t xml:space="preserve">. לכן פתח </w:t>
      </w:r>
      <w:proofErr w:type="spellStart"/>
      <w:r>
        <w:rPr>
          <w:rtl/>
        </w:rPr>
        <w:t>ליליינטל</w:t>
      </w:r>
      <w:proofErr w:type="spellEnd"/>
      <w:r>
        <w:rPr>
          <w:rtl/>
        </w:rPr>
        <w:t xml:space="preserve"> חלק זה של מכתבו במאורעות מינסק שבלטו בזיכרונו (ושאולי היו החשובים ביותר למסור לנמענו), כלומר </w:t>
      </w:r>
      <w:r>
        <w:rPr>
          <w:b/>
          <w:bCs/>
          <w:rtl/>
        </w:rPr>
        <w:t>הכבוד שהורעף עליו</w:t>
      </w:r>
      <w:r>
        <w:rPr>
          <w:rtl/>
        </w:rPr>
        <w:t xml:space="preserve"> שם (פסקה 5), ואחר כך חזר אל העניינים שסידר שם (פסקה 6).</w:t>
      </w:r>
    </w:p>
    <w:p w14:paraId="3A63D30B" w14:textId="77777777" w:rsidR="00AB3647" w:rsidRDefault="00000000" w:rsidP="007923E9">
      <w:pPr>
        <w:spacing w:after="120" w:line="276" w:lineRule="auto"/>
        <w:ind w:firstLine="283"/>
        <w:jc w:val="both"/>
      </w:pPr>
      <w:r>
        <w:rPr>
          <w:rtl/>
        </w:rPr>
        <w:t>סטניסלבסקי</w:t>
      </w:r>
      <w:bookmarkStart w:id="1336" w:name="_fnr830"/>
      <w:r>
        <w:rPr>
          <w:rStyle w:val="a5"/>
        </w:rPr>
        <w:footnoteReference w:id="831" w:customMarkFollows="0"/>
      </w:r>
      <w:bookmarkEnd w:id="1336"/>
      <w:r>
        <w:rPr>
          <w:rtl/>
        </w:rPr>
        <w:t xml:space="preserve"> כבר מציין שמשכילים רוסים האשימו את </w:t>
      </w:r>
      <w:proofErr w:type="spellStart"/>
      <w:r>
        <w:rPr>
          <w:rtl/>
        </w:rPr>
        <w:t>ליליינטל</w:t>
      </w:r>
      <w:proofErr w:type="spellEnd"/>
      <w:r>
        <w:rPr>
          <w:rtl/>
        </w:rPr>
        <w:t xml:space="preserve"> שהוא “מכוון רק להאדרת שמו בעיני השרים”. הוא גם מראה</w:t>
      </w:r>
      <w:bookmarkStart w:id="1337" w:name="_fnr831"/>
      <w:r>
        <w:rPr>
          <w:rStyle w:val="a5"/>
        </w:rPr>
        <w:footnoteReference w:id="832" w:customMarkFollows="0"/>
      </w:r>
      <w:bookmarkEnd w:id="1337"/>
      <w:r>
        <w:rPr>
          <w:rtl/>
        </w:rPr>
        <w:t xml:space="preserve"> </w:t>
      </w:r>
      <w:proofErr w:type="spellStart"/>
      <w:r>
        <w:rPr>
          <w:rtl/>
        </w:rPr>
        <w:t>שליליינטל</w:t>
      </w:r>
      <w:proofErr w:type="spellEnd"/>
      <w:r>
        <w:rPr>
          <w:rtl/>
        </w:rPr>
        <w:t xml:space="preserve"> דאג לכבודו יותר מן האמת, ומזהיר: “זיכרונותיו של </w:t>
      </w:r>
      <w:proofErr w:type="spellStart"/>
      <w:r>
        <w:rPr>
          <w:rtl/>
        </w:rPr>
        <w:t>ליליינטל</w:t>
      </w:r>
      <w:proofErr w:type="spellEnd"/>
      <w:r>
        <w:rPr>
          <w:rtl/>
        </w:rPr>
        <w:t xml:space="preserve"> בכללם מלאים קישוטים שנועדו להצדיק את עצמו ורישומי שיחות מפוקפקים ביותר, ולכן אין להשתמש בהם אלא בזהירות.”</w:t>
      </w:r>
    </w:p>
    <w:p w14:paraId="22A40DE3" w14:textId="77777777" w:rsidR="00AB3647" w:rsidRDefault="00000000" w:rsidP="007923E9">
      <w:pPr>
        <w:spacing w:after="120" w:line="276" w:lineRule="auto"/>
        <w:ind w:firstLine="283"/>
        <w:jc w:val="both"/>
      </w:pPr>
      <w:r>
        <w:rPr>
          <w:rtl/>
        </w:rPr>
        <w:t>סטניסלבסקי מביא גם</w:t>
      </w:r>
      <w:bookmarkStart w:id="1338" w:name="_fnr832"/>
      <w:r>
        <w:rPr>
          <w:rStyle w:val="a5"/>
        </w:rPr>
        <w:footnoteReference w:id="833" w:customMarkFollows="0"/>
      </w:r>
      <w:bookmarkEnd w:id="1338"/>
      <w:r>
        <w:rPr>
          <w:rtl/>
        </w:rPr>
        <w:t xml:space="preserve"> מכתב </w:t>
      </w:r>
      <w:proofErr w:type="spellStart"/>
      <w:r>
        <w:rPr>
          <w:rtl/>
        </w:rPr>
        <w:t>מליליינטל</w:t>
      </w:r>
      <w:proofErr w:type="spellEnd"/>
      <w:r>
        <w:rPr>
          <w:rtl/>
        </w:rPr>
        <w:t xml:space="preserve"> לאביו, שמראה עד כמה היה </w:t>
      </w:r>
      <w:proofErr w:type="spellStart"/>
      <w:r>
        <w:rPr>
          <w:rtl/>
        </w:rPr>
        <w:t>ליליינטל</w:t>
      </w:r>
      <w:proofErr w:type="spellEnd"/>
      <w:r>
        <w:rPr>
          <w:rtl/>
        </w:rPr>
        <w:t xml:space="preserve"> החנפן רעב לכבוד. וזו לשונו: “כשאני חושב על יחסיי עם השלטונות, על החסד שהשר מראה לי ועל </w:t>
      </w:r>
      <w:r>
        <w:rPr>
          <w:b/>
          <w:bCs/>
          <w:rtl/>
        </w:rPr>
        <w:lastRenderedPageBreak/>
        <w:t>החסד האבהי</w:t>
      </w:r>
      <w:r>
        <w:rPr>
          <w:rtl/>
        </w:rPr>
        <w:t xml:space="preserve"> של ממש שהוא נוהג בי (ההדגשה שלי); כשאני נזכר באיזו התחשבות אדיבה שופטים אותי, אותי היהודי, ובאיזה מאמץ משתדלים לעודדני; כשאני מהרהר במה שעשוי העתיד לצפון לי – לא הייתי מחליף אז את מצבי במצבו של אף אחד מבני ארצי בגרמניה, ואני חש שאני עשיר מהם בכבוד ובשם טוב.”</w:t>
      </w:r>
      <w:bookmarkStart w:id="1339" w:name="_fnr833"/>
      <w:r>
        <w:rPr>
          <w:rStyle w:val="a5"/>
        </w:rPr>
        <w:footnoteReference w:id="834" w:customMarkFollows="0"/>
      </w:r>
      <w:bookmarkEnd w:id="1339"/>
      <w:bookmarkStart w:id="7005" w:name="_TranslatorNote_5375"/>
      <w:r>
        <w:rPr>
          <w:rStyle w:val="a5"/>
          <w:vertAlign w:val="superscript"/>
          <w:rtl/>
        </w:rPr>
        <w:footnoteReference w:id="835" w:customMarkFollows="1"/>
        <w:t>*</w:t>
      </w:r>
      <w:bookmarkEnd w:id="7005"/>
    </w:p>
    <w:p w14:paraId="0AB57C7C" w14:textId="77777777" w:rsidR="00AB3647" w:rsidRDefault="00000000" w:rsidP="007923E9">
      <w:pPr>
        <w:pStyle w:val="4"/>
        <w:spacing w:line="276" w:lineRule="auto"/>
      </w:pPr>
      <w:r>
        <w:t xml:space="preserve">· הפסקה </w:t>
      </w:r>
      <w:proofErr w:type="spellStart"/>
      <w:r>
        <w:t>החמש־עשרה</w:t>
      </w:r>
      <w:proofErr w:type="spellEnd"/>
      <w:r>
        <w:t xml:space="preserve"> ·</w:t>
      </w:r>
    </w:p>
    <w:p w14:paraId="6F754B4E" w14:textId="77777777" w:rsidR="00AB3647" w:rsidRDefault="00000000" w:rsidP="007923E9">
      <w:pPr>
        <w:pStyle w:val="5"/>
        <w:spacing w:line="276" w:lineRule="auto"/>
      </w:pPr>
      <w:proofErr w:type="spellStart"/>
      <w:r>
        <w:t>ליליינטל</w:t>
      </w:r>
      <w:proofErr w:type="spellEnd"/>
      <w:r>
        <w:t xml:space="preserve"> מחלל את השבת בהסתר בחדרו שבמלון – קיום המצוות הצבוע שלו כשהוא בין יהודים דתיים</w:t>
      </w:r>
    </w:p>
    <w:p w14:paraId="01D6DA43" w14:textId="77777777" w:rsidR="00AB3647" w:rsidRDefault="00000000" w:rsidP="007923E9">
      <w:pPr>
        <w:spacing w:after="120" w:line="276" w:lineRule="auto"/>
        <w:ind w:firstLine="283"/>
        <w:jc w:val="both"/>
      </w:pPr>
      <w:r>
        <w:rPr>
          <w:rtl/>
        </w:rPr>
        <w:t xml:space="preserve">שאלה נוספת מתעוררת: כמה זמן לפני מוצאי שבת סיים </w:t>
      </w:r>
      <w:proofErr w:type="spellStart"/>
      <w:r>
        <w:rPr>
          <w:rtl/>
        </w:rPr>
        <w:t>ליליינטל</w:t>
      </w:r>
      <w:proofErr w:type="spellEnd"/>
      <w:r>
        <w:rPr>
          <w:rtl/>
        </w:rPr>
        <w:t xml:space="preserve"> את המכתב </w:t>
      </w:r>
      <w:proofErr w:type="spellStart"/>
      <w:r>
        <w:rPr>
          <w:rtl/>
        </w:rPr>
        <w:t>בגרודנא</w:t>
      </w:r>
      <w:proofErr w:type="spellEnd"/>
      <w:r>
        <w:rPr>
          <w:rtl/>
        </w:rPr>
        <w:t xml:space="preserve">? ודאי היה זה </w:t>
      </w:r>
      <w:r>
        <w:rPr>
          <w:b/>
          <w:bCs/>
          <w:rtl/>
        </w:rPr>
        <w:t>לפני מוצאי שבת</w:t>
      </w:r>
      <w:r>
        <w:rPr>
          <w:rtl/>
        </w:rPr>
        <w:t xml:space="preserve">, שהרי בפסקה 8 הזכיר את מוצאי שבת כזמן עתידי שבו תכנן לצאת </w:t>
      </w:r>
      <w:proofErr w:type="spellStart"/>
      <w:r>
        <w:rPr>
          <w:rtl/>
        </w:rPr>
        <w:t>לביאליסטוק</w:t>
      </w:r>
      <w:proofErr w:type="spellEnd"/>
      <w:r>
        <w:rPr>
          <w:rtl/>
        </w:rPr>
        <w:t xml:space="preserve"> (“והנה במוצאי שבת אלך </w:t>
      </w:r>
      <w:proofErr w:type="spellStart"/>
      <w:r>
        <w:rPr>
          <w:rtl/>
        </w:rPr>
        <w:t>לביאלוסטאק</w:t>
      </w:r>
      <w:proofErr w:type="spellEnd"/>
      <w:r>
        <w:rPr>
          <w:rtl/>
        </w:rPr>
        <w:t>”)</w:t>
      </w:r>
      <w:bookmarkStart w:id="1340" w:name="_fnr834"/>
      <w:r>
        <w:rPr>
          <w:rStyle w:val="a5"/>
        </w:rPr>
        <w:footnoteReference w:id="836" w:customMarkFollows="0"/>
      </w:r>
      <w:bookmarkEnd w:id="1340"/>
      <w:r>
        <w:rPr>
          <w:rtl/>
        </w:rPr>
        <w:t xml:space="preserve">. אם כן, המכתב נגמר בזמן כלשהו בין בואו </w:t>
      </w:r>
      <w:proofErr w:type="spellStart"/>
      <w:r>
        <w:rPr>
          <w:rtl/>
        </w:rPr>
        <w:t>לגרודנא</w:t>
      </w:r>
      <w:proofErr w:type="spellEnd"/>
      <w:r>
        <w:rPr>
          <w:rtl/>
        </w:rPr>
        <w:t xml:space="preserve"> (17–18 בספטמבר) למוצאי שבת (19 בספטמבר). מכאן אנו באים לשאלה אחרת: מתי בדיוק הגיע </w:t>
      </w:r>
      <w:proofErr w:type="spellStart"/>
      <w:r>
        <w:rPr>
          <w:rtl/>
        </w:rPr>
        <w:t>ליליינטל</w:t>
      </w:r>
      <w:proofErr w:type="spellEnd"/>
      <w:r>
        <w:rPr>
          <w:rtl/>
        </w:rPr>
        <w:t xml:space="preserve"> </w:t>
      </w:r>
      <w:proofErr w:type="spellStart"/>
      <w:r>
        <w:rPr>
          <w:rtl/>
        </w:rPr>
        <w:t>לגרודנא</w:t>
      </w:r>
      <w:proofErr w:type="spellEnd"/>
      <w:r>
        <w:rPr>
          <w:rtl/>
        </w:rPr>
        <w:t>?</w:t>
      </w:r>
    </w:p>
    <w:p w14:paraId="2A7FF79C" w14:textId="77777777" w:rsidR="00AB3647" w:rsidRDefault="00000000" w:rsidP="007923E9">
      <w:pPr>
        <w:spacing w:after="120" w:line="276" w:lineRule="auto"/>
        <w:ind w:firstLine="283"/>
        <w:jc w:val="both"/>
      </w:pPr>
      <w:r>
        <w:rPr>
          <w:rtl/>
        </w:rPr>
        <w:t xml:space="preserve">בפסקה שלפני האחרונה במכתב נאמר במפורש: “באתי </w:t>
      </w:r>
      <w:proofErr w:type="spellStart"/>
      <w:r>
        <w:rPr>
          <w:rtl/>
        </w:rPr>
        <w:t>לגרודנא</w:t>
      </w:r>
      <w:proofErr w:type="spellEnd"/>
      <w:r>
        <w:rPr>
          <w:rtl/>
        </w:rPr>
        <w:t xml:space="preserve"> יום ו׳ בערב... ובשעה הראשונה לבואי נאספו אליי ראשי העיר </w:t>
      </w:r>
      <w:proofErr w:type="spellStart"/>
      <w:r>
        <w:rPr>
          <w:rtl/>
        </w:rPr>
        <w:t>ונכבדיה</w:t>
      </w:r>
      <w:proofErr w:type="spellEnd"/>
      <w:r>
        <w:rPr>
          <w:rtl/>
        </w:rPr>
        <w:t xml:space="preserve">, ושתי שעות דיברתי על לבם.” לפי פירושו של המאמר </w:t>
      </w:r>
      <w:proofErr w:type="spellStart"/>
      <w:r>
        <w:rPr>
          <w:rtl/>
        </w:rPr>
        <w:t>ב“השלח</w:t>
      </w:r>
      <w:proofErr w:type="spellEnd"/>
      <w:r>
        <w:rPr>
          <w:rtl/>
        </w:rPr>
        <w:t>” משנת 1912</w:t>
      </w:r>
      <w:bookmarkStart w:id="1341" w:name="_fnr835"/>
      <w:r>
        <w:rPr>
          <w:rStyle w:val="a5"/>
        </w:rPr>
        <w:footnoteReference w:id="837" w:customMarkFollows="0"/>
      </w:r>
      <w:bookmarkEnd w:id="1341"/>
      <w:r>
        <w:rPr>
          <w:rtl/>
        </w:rPr>
        <w:t xml:space="preserve"> </w:t>
      </w:r>
      <w:proofErr w:type="spellStart"/>
      <w:r>
        <w:rPr>
          <w:rtl/>
        </w:rPr>
        <w:t>ל“יום</w:t>
      </w:r>
      <w:proofErr w:type="spellEnd"/>
      <w:r>
        <w:rPr>
          <w:rtl/>
        </w:rPr>
        <w:t xml:space="preserve"> ו׳ בערב” – “ערב שבת בין השמשות” – מוכח בבירור שד״ר </w:t>
      </w:r>
      <w:proofErr w:type="spellStart"/>
      <w:r>
        <w:rPr>
          <w:rtl/>
        </w:rPr>
        <w:t>ליליינטל</w:t>
      </w:r>
      <w:proofErr w:type="spellEnd"/>
      <w:r>
        <w:rPr>
          <w:rtl/>
        </w:rPr>
        <w:t xml:space="preserve"> כתב את המכתב בשבת, בזמן כלשהו אחרי האספה של ליל שבת ולפני בוא “מוצאי שבת”! אבל באמת אבסורד לדמיין שהגיע </w:t>
      </w:r>
      <w:proofErr w:type="spellStart"/>
      <w:r>
        <w:rPr>
          <w:rtl/>
        </w:rPr>
        <w:t>לגרודנא</w:t>
      </w:r>
      <w:proofErr w:type="spellEnd"/>
      <w:r>
        <w:rPr>
          <w:rtl/>
        </w:rPr>
        <w:t xml:space="preserve"> “ערב שבת בין השמשות” ואחר כך נועד שעות עם מנהיגיה.</w:t>
      </w:r>
    </w:p>
    <w:p w14:paraId="0A4AE927" w14:textId="77777777" w:rsidR="00AB3647" w:rsidRDefault="00000000" w:rsidP="007923E9">
      <w:pPr>
        <w:spacing w:after="120" w:line="276" w:lineRule="auto"/>
        <w:ind w:firstLine="283"/>
        <w:jc w:val="both"/>
      </w:pPr>
      <w:r>
        <w:rPr>
          <w:rtl/>
        </w:rPr>
        <w:t xml:space="preserve">עלינו לפרש את הביטוי “יום ו׳ בערב”, אף שהלשון אינה רגילה, כיום </w:t>
      </w:r>
      <w:r>
        <w:rPr>
          <w:b/>
          <w:bCs/>
          <w:rtl/>
        </w:rPr>
        <w:t>חמישי</w:t>
      </w:r>
      <w:r>
        <w:rPr>
          <w:rtl/>
        </w:rPr>
        <w:t xml:space="preserve"> בלילה. זה זמן הגעה סביר למי שיצא ממינסק ביום שלישי בלילה, אחרי שמחת תורה (15 בספטמבר), בכרכרה, ונסע 270 קילומטר, כולל עצירות קצרות בדרך, </w:t>
      </w:r>
      <w:proofErr w:type="spellStart"/>
      <w:r>
        <w:rPr>
          <w:rtl/>
        </w:rPr>
        <w:t>במיר</w:t>
      </w:r>
      <w:proofErr w:type="spellEnd"/>
      <w:r>
        <w:rPr>
          <w:rtl/>
        </w:rPr>
        <w:t xml:space="preserve"> </w:t>
      </w:r>
      <w:proofErr w:type="spellStart"/>
      <w:r>
        <w:rPr>
          <w:rtl/>
        </w:rPr>
        <w:t>ובנובהרדוק</w:t>
      </w:r>
      <w:proofErr w:type="spellEnd"/>
      <w:r>
        <w:rPr>
          <w:rtl/>
        </w:rPr>
        <w:t>, שעליהן הוא מספר בפסקה זו של מכתבו</w:t>
      </w:r>
      <w:bookmarkStart w:id="1342" w:name="_fnr836"/>
      <w:r>
        <w:rPr>
          <w:rStyle w:val="a5"/>
        </w:rPr>
        <w:footnoteReference w:id="838" w:customMarkFollows="0"/>
      </w:r>
      <w:bookmarkEnd w:id="1342"/>
      <w:bookmarkStart w:id="7006" w:name="_TranslatorNote_5376"/>
      <w:r>
        <w:rPr>
          <w:rStyle w:val="a5"/>
          <w:vertAlign w:val="superscript"/>
          <w:rtl/>
        </w:rPr>
        <w:footnoteReference w:id="839" w:customMarkFollows="1"/>
        <w:t>*</w:t>
      </w:r>
      <w:bookmarkEnd w:id="7006"/>
      <w:r>
        <w:rPr>
          <w:rtl/>
        </w:rPr>
        <w:t xml:space="preserve">. לכאורה, אם כן, ייתכן שסיים את המכתב ביום שישי. אבל מי </w:t>
      </w:r>
      <w:r>
        <w:rPr>
          <w:rtl/>
        </w:rPr>
        <w:lastRenderedPageBreak/>
        <w:t xml:space="preserve">שכותב ביום שישי </w:t>
      </w:r>
      <w:r>
        <w:rPr>
          <w:b/>
          <w:bCs/>
          <w:rtl/>
        </w:rPr>
        <w:t>ביום</w:t>
      </w:r>
      <w:r>
        <w:rPr>
          <w:rtl/>
        </w:rPr>
        <w:t xml:space="preserve"> (“יום ו׳”) על מאורע שאירע בלילה הקודם לא היה אומר שאירע “יום ו׳ בערב”, אלא “אמש” או “אתמול בערב”. נמצא שעדיין אפשר להוכיח </w:t>
      </w:r>
      <w:proofErr w:type="spellStart"/>
      <w:r>
        <w:rPr>
          <w:rtl/>
        </w:rPr>
        <w:t>שליליינטל</w:t>
      </w:r>
      <w:proofErr w:type="spellEnd"/>
      <w:r>
        <w:rPr>
          <w:rtl/>
        </w:rPr>
        <w:t xml:space="preserve"> סיים את המכתב בשבת קודש, ולכן קרא ליום חמישי בלילה “יום ו׳ בערב”.</w:t>
      </w:r>
    </w:p>
    <w:p w14:paraId="76DF409A" w14:textId="77777777" w:rsidR="00AB3647" w:rsidRDefault="00000000" w:rsidP="007923E9">
      <w:pPr>
        <w:spacing w:after="120" w:line="276" w:lineRule="auto"/>
        <w:ind w:firstLine="283"/>
        <w:jc w:val="both"/>
      </w:pPr>
      <w:r>
        <w:rPr>
          <w:rtl/>
        </w:rPr>
        <w:t xml:space="preserve">מאחר </w:t>
      </w:r>
      <w:proofErr w:type="spellStart"/>
      <w:r>
        <w:rPr>
          <w:rtl/>
        </w:rPr>
        <w:t>שליליינטל</w:t>
      </w:r>
      <w:proofErr w:type="spellEnd"/>
      <w:r>
        <w:rPr>
          <w:rtl/>
        </w:rPr>
        <w:t xml:space="preserve"> חילל את השבת בהסתר בחדרו שבמלון, הלעג שהורעף עליו בחוברת “מגיד אמת”</w:t>
      </w:r>
      <w:bookmarkStart w:id="1343" w:name="_fnr837"/>
      <w:r>
        <w:rPr>
          <w:rStyle w:val="a5"/>
        </w:rPr>
        <w:footnoteReference w:id="840" w:customMarkFollows="0"/>
      </w:r>
      <w:bookmarkEnd w:id="1343"/>
      <w:r>
        <w:rPr>
          <w:rtl/>
        </w:rPr>
        <w:t xml:space="preserve">, כפי שמסר המאמר </w:t>
      </w:r>
      <w:proofErr w:type="spellStart"/>
      <w:r>
        <w:rPr>
          <w:rtl/>
        </w:rPr>
        <w:t>ב“השלח</w:t>
      </w:r>
      <w:proofErr w:type="spellEnd"/>
      <w:r>
        <w:rPr>
          <w:rtl/>
        </w:rPr>
        <w:t>” משנת 1912</w:t>
      </w:r>
      <w:bookmarkStart w:id="1344" w:name="_fnr838"/>
      <w:r>
        <w:rPr>
          <w:rStyle w:val="a5"/>
        </w:rPr>
        <w:footnoteReference w:id="841" w:customMarkFollows="0"/>
      </w:r>
      <w:bookmarkEnd w:id="1344"/>
      <w:r>
        <w:rPr>
          <w:rtl/>
        </w:rPr>
        <w:t xml:space="preserve">, מקבל עוקץ חריף עוד יותר. “מגיד אמת” מתאר עד היכן הגיע </w:t>
      </w:r>
      <w:proofErr w:type="spellStart"/>
      <w:r>
        <w:rPr>
          <w:rtl/>
        </w:rPr>
        <w:t>ליליינטל</w:t>
      </w:r>
      <w:proofErr w:type="spellEnd"/>
      <w:r>
        <w:rPr>
          <w:rtl/>
        </w:rPr>
        <w:t xml:space="preserve"> כדי להרשים את הציבור החרדי, שאת “קרבתו רצה בכל מאודו ובכל כוחו”. וזו לשונו: “[בהיותו בווילנה בדרכו </w:t>
      </w:r>
      <w:proofErr w:type="spellStart"/>
      <w:r>
        <w:rPr>
          <w:rtl/>
        </w:rPr>
        <w:t>לוולוז׳ין</w:t>
      </w:r>
      <w:proofErr w:type="spellEnd"/>
      <w:r>
        <w:rPr>
          <w:rtl/>
        </w:rPr>
        <w:t>] אמר סליחות בכל בוקר לפני עלות השחר בבית הכנסת הגדול. לא החסיר קוצו של יו״ד מכל המנהגים הרבים שאף המדקדקים בזים להם בקרב לבם, כי קיים גם את ‘מצוות’ התשליך וסיבובי הכפרות ומלקות ערב יום הכיפורים כמדקדק שבמדקדקים.”</w:t>
      </w:r>
      <w:bookmarkStart w:id="1345" w:name="_fnr839"/>
      <w:r>
        <w:rPr>
          <w:rStyle w:val="a5"/>
        </w:rPr>
        <w:footnoteReference w:id="842" w:customMarkFollows="0"/>
      </w:r>
      <w:bookmarkEnd w:id="1345"/>
      <w:r>
        <w:rPr>
          <w:rtl/>
        </w:rPr>
        <w:t xml:space="preserve"> ועכשיו הוא נוטל עט בידו וכותב מכתב בשבת!</w:t>
      </w:r>
    </w:p>
    <w:p w14:paraId="6DBE4010" w14:textId="77777777" w:rsidR="00AB3647" w:rsidRDefault="00000000" w:rsidP="007923E9">
      <w:pPr>
        <w:spacing w:after="120" w:line="276" w:lineRule="auto"/>
        <w:ind w:firstLine="283"/>
        <w:jc w:val="both"/>
      </w:pPr>
      <w:r>
        <w:rPr>
          <w:rtl/>
        </w:rPr>
        <w:t xml:space="preserve">על חסידותו האישית של </w:t>
      </w:r>
      <w:proofErr w:type="spellStart"/>
      <w:r>
        <w:rPr>
          <w:rtl/>
        </w:rPr>
        <w:t>ליליינטל</w:t>
      </w:r>
      <w:proofErr w:type="spellEnd"/>
      <w:r>
        <w:rPr>
          <w:rtl/>
        </w:rPr>
        <w:t xml:space="preserve"> סיפר ר׳ אהרן </w:t>
      </w:r>
      <w:proofErr w:type="spellStart"/>
      <w:r>
        <w:rPr>
          <w:rtl/>
        </w:rPr>
        <w:t>סולובייצ׳יק</w:t>
      </w:r>
      <w:proofErr w:type="spellEnd"/>
      <w:r>
        <w:rPr>
          <w:rtl/>
        </w:rPr>
        <w:t xml:space="preserve"> שקרא </w:t>
      </w:r>
      <w:proofErr w:type="spellStart"/>
      <w:r>
        <w:rPr>
          <w:rtl/>
        </w:rPr>
        <w:t>ש“יהודי</w:t>
      </w:r>
      <w:proofErr w:type="spellEnd"/>
      <w:r>
        <w:rPr>
          <w:rtl/>
        </w:rPr>
        <w:t xml:space="preserve"> בטמפל שבו כיהן </w:t>
      </w:r>
      <w:proofErr w:type="spellStart"/>
      <w:r>
        <w:rPr>
          <w:rtl/>
        </w:rPr>
        <w:t>ליליינטל</w:t>
      </w:r>
      <w:proofErr w:type="spellEnd"/>
      <w:r>
        <w:rPr>
          <w:rtl/>
        </w:rPr>
        <w:t xml:space="preserve"> היה לו יארצייט ביום חול, כשהיו נוכחים רק תשעה יהודים, אבל </w:t>
      </w:r>
      <w:proofErr w:type="spellStart"/>
      <w:r>
        <w:rPr>
          <w:rtl/>
        </w:rPr>
        <w:t>ה‘רב</w:t>
      </w:r>
      <w:proofErr w:type="spellEnd"/>
      <w:r>
        <w:rPr>
          <w:rtl/>
        </w:rPr>
        <w:t>’ עצמו סירב לבוא ולהשלים את המניין”</w:t>
      </w:r>
      <w:bookmarkStart w:id="1346" w:name="_fnr840"/>
      <w:r>
        <w:rPr>
          <w:rStyle w:val="a5"/>
        </w:rPr>
        <w:footnoteReference w:id="843" w:customMarkFollows="0"/>
      </w:r>
      <w:bookmarkEnd w:id="1346"/>
      <w:r>
        <w:rPr>
          <w:rtl/>
        </w:rPr>
        <w:t>.</w:t>
      </w:r>
    </w:p>
    <w:p w14:paraId="36ACAA36" w14:textId="77777777" w:rsidR="00AB3647" w:rsidRDefault="00000000" w:rsidP="007923E9">
      <w:pPr>
        <w:pStyle w:val="4"/>
        <w:spacing w:line="276" w:lineRule="auto"/>
      </w:pPr>
      <w:r>
        <w:t xml:space="preserve">· הפסקה </w:t>
      </w:r>
      <w:proofErr w:type="spellStart"/>
      <w:r>
        <w:t>השש־עשרה</w:t>
      </w:r>
      <w:proofErr w:type="spellEnd"/>
      <w:r>
        <w:t xml:space="preserve"> ·</w:t>
      </w:r>
    </w:p>
    <w:p w14:paraId="190AB1F6" w14:textId="77777777" w:rsidR="00AB3647" w:rsidRDefault="00000000" w:rsidP="007923E9">
      <w:pPr>
        <w:pStyle w:val="5"/>
        <w:spacing w:line="276" w:lineRule="auto"/>
      </w:pPr>
      <w:proofErr w:type="spellStart"/>
      <w:r>
        <w:t>הנצי״ב</w:t>
      </w:r>
      <w:proofErr w:type="spellEnd"/>
      <w:r>
        <w:t xml:space="preserve"> הצעיר נותן אמון </w:t>
      </w:r>
      <w:proofErr w:type="spellStart"/>
      <w:r>
        <w:t>בליליינטל</w:t>
      </w:r>
      <w:proofErr w:type="spellEnd"/>
      <w:r>
        <w:t xml:space="preserve"> – ביקורת על בעל “מקור ברוך” – </w:t>
      </w:r>
      <w:proofErr w:type="spellStart"/>
      <w:r>
        <w:t>ליליינטל</w:t>
      </w:r>
      <w:proofErr w:type="spellEnd"/>
      <w:r>
        <w:t xml:space="preserve"> נעשה רב רפורמי באמריקה – יחד עם ידיד נפשו </w:t>
      </w:r>
      <w:proofErr w:type="spellStart"/>
      <w:r>
        <w:t>יצחק־מאיר</w:t>
      </w:r>
      <w:proofErr w:type="spellEnd"/>
      <w:r>
        <w:t xml:space="preserve"> </w:t>
      </w:r>
      <w:proofErr w:type="spellStart"/>
      <w:r>
        <w:t>וייז</w:t>
      </w:r>
      <w:proofErr w:type="spellEnd"/>
      <w:r>
        <w:t xml:space="preserve"> הוא מקים את התנועה הרפורמית האמריקנית בראשיתה ומשרת אותה – </w:t>
      </w:r>
      <w:proofErr w:type="spellStart"/>
      <w:r>
        <w:t>הנצי״ב</w:t>
      </w:r>
      <w:proofErr w:type="spellEnd"/>
      <w:r>
        <w:t xml:space="preserve"> מסביר מדוע נעלם </w:t>
      </w:r>
      <w:proofErr w:type="spellStart"/>
      <w:r>
        <w:t>ליליינטל</w:t>
      </w:r>
      <w:proofErr w:type="spellEnd"/>
      <w:r>
        <w:t xml:space="preserve"> פתאום מן הזירה הרוסית – יש המשערים </w:t>
      </w:r>
      <w:proofErr w:type="spellStart"/>
      <w:r>
        <w:t>שליליינטל</w:t>
      </w:r>
      <w:proofErr w:type="spellEnd"/>
      <w:r>
        <w:t xml:space="preserve"> גילה את סודו </w:t>
      </w:r>
      <w:proofErr w:type="spellStart"/>
      <w:r>
        <w:t>לר</w:t>
      </w:r>
      <w:proofErr w:type="spellEnd"/>
      <w:r>
        <w:t xml:space="preserve">׳ </w:t>
      </w:r>
      <w:proofErr w:type="spellStart"/>
      <w:r>
        <w:t>איצל׳ה</w:t>
      </w:r>
      <w:proofErr w:type="spellEnd"/>
      <w:r>
        <w:t xml:space="preserve"> – האם הועילה דרשת כל נדרי של ר׳ </w:t>
      </w:r>
      <w:proofErr w:type="spellStart"/>
      <w:r>
        <w:t>איצל׳ה</w:t>
      </w:r>
      <w:proofErr w:type="spellEnd"/>
      <w:r>
        <w:t>?</w:t>
      </w:r>
    </w:p>
    <w:p w14:paraId="4A59E3C3" w14:textId="77777777" w:rsidR="00AB3647" w:rsidRDefault="00000000" w:rsidP="007923E9">
      <w:pPr>
        <w:spacing w:after="120" w:line="276" w:lineRule="auto"/>
        <w:ind w:firstLine="283"/>
        <w:jc w:val="both"/>
      </w:pPr>
      <w:r>
        <w:rPr>
          <w:rtl/>
        </w:rPr>
        <w:t>לדברי בעל “מקור ברוך”</w:t>
      </w:r>
      <w:bookmarkStart w:id="1347" w:name="_fnr841"/>
      <w:r>
        <w:rPr>
          <w:rStyle w:val="a5"/>
        </w:rPr>
        <w:footnoteReference w:id="844" w:customMarkFollows="0"/>
      </w:r>
      <w:bookmarkEnd w:id="1347"/>
      <w:r>
        <w:rPr>
          <w:rtl/>
        </w:rPr>
        <w:t xml:space="preserve">, ועל סמך דעת </w:t>
      </w:r>
      <w:proofErr w:type="spellStart"/>
      <w:r>
        <w:rPr>
          <w:rtl/>
        </w:rPr>
        <w:t>הנצי״ב</w:t>
      </w:r>
      <w:proofErr w:type="spellEnd"/>
      <w:r>
        <w:rPr>
          <w:rtl/>
        </w:rPr>
        <w:t xml:space="preserve">, היה ר׳ </w:t>
      </w:r>
      <w:proofErr w:type="spellStart"/>
      <w:r>
        <w:rPr>
          <w:rtl/>
        </w:rPr>
        <w:t>איצל׳ה</w:t>
      </w:r>
      <w:proofErr w:type="spellEnd"/>
      <w:r>
        <w:rPr>
          <w:rtl/>
        </w:rPr>
        <w:t xml:space="preserve"> בטוח, כבר בתום ביקורו של </w:t>
      </w:r>
      <w:proofErr w:type="spellStart"/>
      <w:r>
        <w:rPr>
          <w:rtl/>
        </w:rPr>
        <w:t>ליליינטל</w:t>
      </w:r>
      <w:proofErr w:type="spellEnd"/>
      <w:r>
        <w:rPr>
          <w:rtl/>
        </w:rPr>
        <w:t xml:space="preserve"> </w:t>
      </w:r>
      <w:proofErr w:type="spellStart"/>
      <w:r>
        <w:rPr>
          <w:rtl/>
        </w:rPr>
        <w:t>בוולוז׳ין</w:t>
      </w:r>
      <w:proofErr w:type="spellEnd"/>
      <w:r>
        <w:rPr>
          <w:rtl/>
        </w:rPr>
        <w:t xml:space="preserve">, שהלה דובר אמת בעניין שליחותו. דרשתו של ר׳ </w:t>
      </w:r>
      <w:proofErr w:type="spellStart"/>
      <w:r>
        <w:rPr>
          <w:rtl/>
        </w:rPr>
        <w:t>איצל׳ה</w:t>
      </w:r>
      <w:proofErr w:type="spellEnd"/>
      <w:r>
        <w:rPr>
          <w:rtl/>
        </w:rPr>
        <w:t xml:space="preserve"> בליל כל נדרי, שבה הטיל דופי </w:t>
      </w:r>
      <w:proofErr w:type="spellStart"/>
      <w:r>
        <w:rPr>
          <w:rtl/>
        </w:rPr>
        <w:t>בליליינטל</w:t>
      </w:r>
      <w:proofErr w:type="spellEnd"/>
      <w:r>
        <w:rPr>
          <w:rtl/>
        </w:rPr>
        <w:t xml:space="preserve"> כמי שעומד בחשד, נאמרה לפני שהספיק לדבר עמו ולהשתכנע בטוהר כוונותיו של אורחו. המחבר מוסר עוד</w:t>
      </w:r>
      <w:bookmarkStart w:id="1348" w:name="_fnr842"/>
      <w:r>
        <w:rPr>
          <w:rStyle w:val="a5"/>
        </w:rPr>
        <w:footnoteReference w:id="845" w:customMarkFollows="0"/>
      </w:r>
      <w:bookmarkEnd w:id="1348"/>
      <w:r>
        <w:rPr>
          <w:rtl/>
        </w:rPr>
        <w:t>: “</w:t>
      </w:r>
      <w:proofErr w:type="spellStart"/>
      <w:r>
        <w:rPr>
          <w:rtl/>
        </w:rPr>
        <w:t>הנצי״ב</w:t>
      </w:r>
      <w:proofErr w:type="spellEnd"/>
      <w:r>
        <w:rPr>
          <w:rtl/>
        </w:rPr>
        <w:t xml:space="preserve"> אמר שהצטער מאוד </w:t>
      </w:r>
      <w:r>
        <w:rPr>
          <w:b/>
          <w:bCs/>
          <w:rtl/>
        </w:rPr>
        <w:t>באותה שעה</w:t>
      </w:r>
      <w:r>
        <w:rPr>
          <w:rtl/>
        </w:rPr>
        <w:t xml:space="preserve"> [של ליל כל נדרי] (ההדגשה שלי) על שחותנו פגע, אף כי ברמז דק בלבד, בכבוד </w:t>
      </w:r>
      <w:r>
        <w:rPr>
          <w:rtl/>
        </w:rPr>
        <w:lastRenderedPageBreak/>
        <w:t xml:space="preserve">– או נכון יותר, בנאמנות – לבו של </w:t>
      </w:r>
      <w:proofErr w:type="spellStart"/>
      <w:r>
        <w:rPr>
          <w:rtl/>
        </w:rPr>
        <w:t>ליליינטל</w:t>
      </w:r>
      <w:proofErr w:type="spellEnd"/>
      <w:r>
        <w:rPr>
          <w:rtl/>
        </w:rPr>
        <w:t xml:space="preserve">.” </w:t>
      </w:r>
      <w:proofErr w:type="spellStart"/>
      <w:r>
        <w:rPr>
          <w:rtl/>
        </w:rPr>
        <w:t>לר</w:t>
      </w:r>
      <w:proofErr w:type="spellEnd"/>
      <w:r>
        <w:rPr>
          <w:rtl/>
        </w:rPr>
        <w:t xml:space="preserve">׳ </w:t>
      </w:r>
      <w:proofErr w:type="spellStart"/>
      <w:r>
        <w:rPr>
          <w:rtl/>
        </w:rPr>
        <w:t>נפתלי־צבי־יהודה</w:t>
      </w:r>
      <w:proofErr w:type="spellEnd"/>
      <w:r>
        <w:rPr>
          <w:rtl/>
        </w:rPr>
        <w:t xml:space="preserve"> ברלין ודאי לא היו מלכתחילה שום ספקות בצדקתו של </w:t>
      </w:r>
      <w:proofErr w:type="spellStart"/>
      <w:r>
        <w:rPr>
          <w:rtl/>
        </w:rPr>
        <w:t>ליליינטל</w:t>
      </w:r>
      <w:proofErr w:type="spellEnd"/>
      <w:r>
        <w:rPr>
          <w:rtl/>
        </w:rPr>
        <w:t>!</w:t>
      </w:r>
    </w:p>
    <w:p w14:paraId="75838EEC" w14:textId="77777777" w:rsidR="00AB3647" w:rsidRDefault="00000000" w:rsidP="007923E9">
      <w:pPr>
        <w:spacing w:after="120" w:line="276" w:lineRule="auto"/>
        <w:ind w:firstLine="283"/>
        <w:jc w:val="both"/>
      </w:pPr>
      <w:r>
        <w:rPr>
          <w:rtl/>
        </w:rPr>
        <w:t>המחבר רושם עוד</w:t>
      </w:r>
      <w:bookmarkStart w:id="1349" w:name="_fnr843"/>
      <w:r>
        <w:rPr>
          <w:rStyle w:val="a5"/>
        </w:rPr>
        <w:footnoteReference w:id="846" w:customMarkFollows="0"/>
      </w:r>
      <w:bookmarkEnd w:id="1349"/>
      <w:r>
        <w:rPr>
          <w:rtl/>
        </w:rPr>
        <w:t xml:space="preserve"> </w:t>
      </w:r>
      <w:proofErr w:type="spellStart"/>
      <w:r>
        <w:rPr>
          <w:rtl/>
        </w:rPr>
        <w:t>שהנצי״ב</w:t>
      </w:r>
      <w:proofErr w:type="spellEnd"/>
      <w:r>
        <w:rPr>
          <w:rtl/>
        </w:rPr>
        <w:t xml:space="preserve"> אמר כי אחרי שנפגש עם </w:t>
      </w:r>
      <w:proofErr w:type="spellStart"/>
      <w:r>
        <w:rPr>
          <w:rtl/>
        </w:rPr>
        <w:t>ליליינטל</w:t>
      </w:r>
      <w:proofErr w:type="spellEnd"/>
      <w:r>
        <w:rPr>
          <w:rtl/>
        </w:rPr>
        <w:t xml:space="preserve"> עמד היטב על נטיותיו, “הכיר היטב את ל״ט ולמד </w:t>
      </w:r>
      <w:proofErr w:type="spellStart"/>
      <w:r>
        <w:rPr>
          <w:rtl/>
        </w:rPr>
        <w:t>לדיעותיו</w:t>
      </w:r>
      <w:proofErr w:type="spellEnd"/>
      <w:r>
        <w:rPr>
          <w:rtl/>
        </w:rPr>
        <w:t xml:space="preserve"> וירד לסוף דעתו באמונה ודת”, </w:t>
      </w:r>
      <w:proofErr w:type="spellStart"/>
      <w:r>
        <w:rPr>
          <w:rtl/>
        </w:rPr>
        <w:t>ו“בטוח</w:t>
      </w:r>
      <w:proofErr w:type="spellEnd"/>
      <w:r>
        <w:rPr>
          <w:rtl/>
        </w:rPr>
        <w:t xml:space="preserve"> הוא כי באמת ובתמים הי׳ נקי מכל חשד זה” – החשד שהתכוון לסייע לממשלה הרוסית להמיר יהודים לנצרות. </w:t>
      </w:r>
      <w:proofErr w:type="spellStart"/>
      <w:r>
        <w:rPr>
          <w:rtl/>
        </w:rPr>
        <w:t>הנצי״ב</w:t>
      </w:r>
      <w:proofErr w:type="spellEnd"/>
      <w:r>
        <w:rPr>
          <w:rtl/>
        </w:rPr>
        <w:t xml:space="preserve"> האמין </w:t>
      </w:r>
      <w:proofErr w:type="spellStart"/>
      <w:r>
        <w:rPr>
          <w:rtl/>
        </w:rPr>
        <w:t>ש“לא</w:t>
      </w:r>
      <w:proofErr w:type="spellEnd"/>
      <w:r>
        <w:rPr>
          <w:rtl/>
        </w:rPr>
        <w:t xml:space="preserve"> הי׳ </w:t>
      </w:r>
      <w:proofErr w:type="spellStart"/>
      <w:r>
        <w:rPr>
          <w:rtl/>
        </w:rPr>
        <w:t>בלבו</w:t>
      </w:r>
      <w:proofErr w:type="spellEnd"/>
      <w:r>
        <w:rPr>
          <w:rtl/>
        </w:rPr>
        <w:t xml:space="preserve"> כל מחשבת פיגול מאשר חשדוהו ומאשר הלשינו עליו”.</w:t>
      </w:r>
      <w:bookmarkStart w:id="1350" w:name="_fnr844"/>
      <w:r>
        <w:rPr>
          <w:rStyle w:val="a5"/>
        </w:rPr>
        <w:footnoteReference w:id="847" w:customMarkFollows="0"/>
      </w:r>
      <w:bookmarkEnd w:id="1350"/>
    </w:p>
    <w:p w14:paraId="530EE0D4" w14:textId="77777777" w:rsidR="00AB3647" w:rsidRDefault="00000000" w:rsidP="007923E9">
      <w:pPr>
        <w:spacing w:after="120" w:line="276" w:lineRule="auto"/>
        <w:ind w:firstLine="283"/>
        <w:jc w:val="both"/>
      </w:pPr>
      <w:r>
        <w:rPr>
          <w:rtl/>
        </w:rPr>
        <w:t>“מקור ברוך”</w:t>
      </w:r>
      <w:bookmarkStart w:id="1351" w:name="_fnr845"/>
      <w:r>
        <w:rPr>
          <w:rStyle w:val="a5"/>
        </w:rPr>
        <w:footnoteReference w:id="848" w:customMarkFollows="0"/>
      </w:r>
      <w:bookmarkEnd w:id="1351"/>
      <w:r>
        <w:rPr>
          <w:rtl/>
        </w:rPr>
        <w:t xml:space="preserve"> מספר </w:t>
      </w:r>
      <w:proofErr w:type="spellStart"/>
      <w:r>
        <w:rPr>
          <w:rtl/>
        </w:rPr>
        <w:t>שהנצי״ב</w:t>
      </w:r>
      <w:proofErr w:type="spellEnd"/>
      <w:r>
        <w:rPr>
          <w:rtl/>
        </w:rPr>
        <w:t xml:space="preserve"> הוסיף: “מה שעשה [</w:t>
      </w:r>
      <w:proofErr w:type="spellStart"/>
      <w:r>
        <w:rPr>
          <w:rtl/>
        </w:rPr>
        <w:t>ליליינטל</w:t>
      </w:r>
      <w:proofErr w:type="spellEnd"/>
      <w:r>
        <w:rPr>
          <w:rtl/>
        </w:rPr>
        <w:t>] באחרונה מראה על תמימות נפשו ואימון רוחו לה׳ ולעמו. כי בתוך הפעולה שקיבל על עצמו מטעם הממשלה בשליחות זו, נשמט פתאום מרוסיה – או נכון יותר, נס ונמלט על נפשו – וברח לשבת מחוץ למדינה. ואחרי שהלך לגור באמריקה, לא נודעו עקבותיו שנים רבות.”</w:t>
      </w:r>
    </w:p>
    <w:p w14:paraId="7CD410D6" w14:textId="77777777" w:rsidR="00AB3647" w:rsidRDefault="00000000" w:rsidP="007923E9">
      <w:pPr>
        <w:spacing w:after="120" w:line="276" w:lineRule="auto"/>
        <w:ind w:firstLine="283"/>
        <w:jc w:val="both"/>
      </w:pPr>
      <w:r>
        <w:rPr>
          <w:rtl/>
        </w:rPr>
        <w:t xml:space="preserve">בעל “מקור ברוך”, ר׳ ברוך אפשטיין, למד </w:t>
      </w:r>
      <w:proofErr w:type="spellStart"/>
      <w:r>
        <w:rPr>
          <w:rtl/>
        </w:rPr>
        <w:t>בוולוז׳ין</w:t>
      </w:r>
      <w:proofErr w:type="spellEnd"/>
      <w:r>
        <w:rPr>
          <w:rtl/>
        </w:rPr>
        <w:t xml:space="preserve"> משנת תרל״ג עד תרל״ח, ויש להניח שבאותן שנים שמע מפי </w:t>
      </w:r>
      <w:proofErr w:type="spellStart"/>
      <w:r>
        <w:rPr>
          <w:rtl/>
        </w:rPr>
        <w:t>הנצי״ב</w:t>
      </w:r>
      <w:proofErr w:type="spellEnd"/>
      <w:r>
        <w:rPr>
          <w:rtl/>
        </w:rPr>
        <w:t xml:space="preserve">, דודו וראש ישיבתו, את סיפור ביקורו של </w:t>
      </w:r>
      <w:proofErr w:type="spellStart"/>
      <w:r>
        <w:rPr>
          <w:rtl/>
        </w:rPr>
        <w:t>ליליינטל</w:t>
      </w:r>
      <w:proofErr w:type="spellEnd"/>
      <w:r>
        <w:rPr>
          <w:rtl/>
        </w:rPr>
        <w:t xml:space="preserve"> </w:t>
      </w:r>
      <w:proofErr w:type="spellStart"/>
      <w:r>
        <w:rPr>
          <w:rtl/>
        </w:rPr>
        <w:t>בוולוז׳ין</w:t>
      </w:r>
      <w:proofErr w:type="spellEnd"/>
      <w:r>
        <w:rPr>
          <w:rtl/>
        </w:rPr>
        <w:t xml:space="preserve">. כשסיפר לו </w:t>
      </w:r>
      <w:proofErr w:type="spellStart"/>
      <w:r>
        <w:rPr>
          <w:rtl/>
        </w:rPr>
        <w:t>הנצי״ב</w:t>
      </w:r>
      <w:proofErr w:type="spellEnd"/>
      <w:r>
        <w:rPr>
          <w:rtl/>
        </w:rPr>
        <w:t xml:space="preserve"> על מאורעות העשור הראשון של שנות </w:t>
      </w:r>
      <w:proofErr w:type="spellStart"/>
      <w:r>
        <w:rPr>
          <w:rtl/>
        </w:rPr>
        <w:t>הת״ר</w:t>
      </w:r>
      <w:proofErr w:type="spellEnd"/>
      <w:r>
        <w:rPr>
          <w:rtl/>
        </w:rPr>
        <w:t xml:space="preserve">, כינה את מנהיגי החרדים שחשדו אז בכוונות הממשלה “אבותינו”, כפי שהודגש בציטוט שלהלן. מכאן שהסיפור סופר </w:t>
      </w:r>
      <w:r>
        <w:rPr>
          <w:rtl/>
        </w:rPr>
        <w:lastRenderedPageBreak/>
        <w:t xml:space="preserve">כשלושים שנה אחרי שאירע. מפליא ששלושים שנה אחרי היעלמו של </w:t>
      </w:r>
      <w:proofErr w:type="spellStart"/>
      <w:r>
        <w:rPr>
          <w:rtl/>
        </w:rPr>
        <w:t>ליליינטל</w:t>
      </w:r>
      <w:proofErr w:type="spellEnd"/>
      <w:r>
        <w:rPr>
          <w:rtl/>
        </w:rPr>
        <w:t xml:space="preserve"> לא ידע הרב ברלין לאן הובילו “עקבותיו”, כלומר שנעשה רב רפורמי חשוב בארצות הברית.</w:t>
      </w:r>
    </w:p>
    <w:p w14:paraId="6E96CA31" w14:textId="77777777" w:rsidR="00AB3647" w:rsidRDefault="00000000" w:rsidP="007923E9">
      <w:pPr>
        <w:spacing w:after="120" w:line="276" w:lineRule="auto"/>
        <w:ind w:firstLine="283"/>
        <w:jc w:val="both"/>
      </w:pPr>
      <w:r>
        <w:rPr>
          <w:rtl/>
        </w:rPr>
        <w:t xml:space="preserve">הערת שוליים </w:t>
      </w:r>
      <w:proofErr w:type="spellStart"/>
      <w:r>
        <w:rPr>
          <w:rtl/>
        </w:rPr>
        <w:t>ב“מקור</w:t>
      </w:r>
      <w:proofErr w:type="spellEnd"/>
      <w:r>
        <w:rPr>
          <w:rtl/>
        </w:rPr>
        <w:t xml:space="preserve"> ברוך”</w:t>
      </w:r>
      <w:bookmarkStart w:id="1352" w:name="_fnr846"/>
      <w:r>
        <w:rPr>
          <w:rStyle w:val="a5"/>
        </w:rPr>
        <w:footnoteReference w:id="849" w:customMarkFollows="0"/>
      </w:r>
      <w:bookmarkEnd w:id="1352"/>
      <w:r>
        <w:rPr>
          <w:rtl/>
        </w:rPr>
        <w:t xml:space="preserve"> מגלה “תגלית”: “ואחרי </w:t>
      </w:r>
      <w:r>
        <w:rPr>
          <w:b/>
          <w:bCs/>
          <w:rtl/>
        </w:rPr>
        <w:t>שנים רבות, רבות</w:t>
      </w:r>
      <w:r>
        <w:rPr>
          <w:rtl/>
        </w:rPr>
        <w:t xml:space="preserve"> (ההדגשה שלי) נודע כי </w:t>
      </w:r>
      <w:proofErr w:type="spellStart"/>
      <w:r>
        <w:rPr>
          <w:rtl/>
        </w:rPr>
        <w:t>ליליינטל</w:t>
      </w:r>
      <w:proofErr w:type="spellEnd"/>
      <w:r>
        <w:rPr>
          <w:rtl/>
        </w:rPr>
        <w:t xml:space="preserve"> השתקע </w:t>
      </w:r>
      <w:proofErr w:type="spellStart"/>
      <w:r>
        <w:rPr>
          <w:rtl/>
        </w:rPr>
        <w:t>בסינסינטי</w:t>
      </w:r>
      <w:proofErr w:type="spellEnd"/>
      <w:r>
        <w:rPr>
          <w:rtl/>
        </w:rPr>
        <w:t xml:space="preserve"> ושימש שם ברבנות (כך במקור) עשרים ושבע שנים, ומת בשנת תרמ״ב.” ההערה נכתבה זמן מה אחרי תרע״ו, לפי ההקדמה </w:t>
      </w:r>
      <w:proofErr w:type="spellStart"/>
      <w:r>
        <w:rPr>
          <w:rtl/>
        </w:rPr>
        <w:t>ל“מקור</w:t>
      </w:r>
      <w:proofErr w:type="spellEnd"/>
      <w:r>
        <w:rPr>
          <w:rtl/>
        </w:rPr>
        <w:t xml:space="preserve"> ברוך”, והקורא בה אינו יודע ממנה מתי נודע למחבר לאן הובילו “עקבותיו הבלתי נודעים” של </w:t>
      </w:r>
      <w:proofErr w:type="spellStart"/>
      <w:r>
        <w:rPr>
          <w:rtl/>
        </w:rPr>
        <w:t>ליליינטל</w:t>
      </w:r>
      <w:proofErr w:type="spellEnd"/>
      <w:r>
        <w:rPr>
          <w:rtl/>
        </w:rPr>
        <w:t xml:space="preserve">. אבל המחבר ודאי ידע בשעת כתיבתה באיזה סוג של “רבנות” כיהן </w:t>
      </w:r>
      <w:proofErr w:type="spellStart"/>
      <w:r>
        <w:rPr>
          <w:rtl/>
        </w:rPr>
        <w:t>ליליינטל</w:t>
      </w:r>
      <w:proofErr w:type="spellEnd"/>
      <w:r>
        <w:rPr>
          <w:rtl/>
        </w:rPr>
        <w:t xml:space="preserve">, שהרי שלוש שנים קודם לכן כתב המאמר </w:t>
      </w:r>
      <w:proofErr w:type="spellStart"/>
      <w:r>
        <w:rPr>
          <w:rtl/>
        </w:rPr>
        <w:t>ב“השלח</w:t>
      </w:r>
      <w:proofErr w:type="spellEnd"/>
      <w:r>
        <w:rPr>
          <w:rtl/>
        </w:rPr>
        <w:t>” משנת 1912</w:t>
      </w:r>
      <w:bookmarkStart w:id="1353" w:name="_fnr847"/>
      <w:r>
        <w:rPr>
          <w:rStyle w:val="a5"/>
        </w:rPr>
        <w:footnoteReference w:id="850" w:customMarkFollows="0"/>
      </w:r>
      <w:bookmarkEnd w:id="1353"/>
      <w:r>
        <w:rPr>
          <w:rtl/>
        </w:rPr>
        <w:t xml:space="preserve"> </w:t>
      </w:r>
      <w:proofErr w:type="spellStart"/>
      <w:r>
        <w:rPr>
          <w:rtl/>
        </w:rPr>
        <w:t>שליליינטל</w:t>
      </w:r>
      <w:proofErr w:type="spellEnd"/>
      <w:r>
        <w:rPr>
          <w:rtl/>
        </w:rPr>
        <w:t xml:space="preserve"> “היה הרב הראשון בקהילה הרפורמית עדת בני ישראל בניו יורק, ובשנת 1850 עזב ויסד בית ספר לילדים </w:t>
      </w:r>
      <w:proofErr w:type="spellStart"/>
      <w:r>
        <w:rPr>
          <w:rtl/>
        </w:rPr>
        <w:t>בסינסינטי</w:t>
      </w:r>
      <w:proofErr w:type="spellEnd"/>
      <w:r>
        <w:rPr>
          <w:rtl/>
        </w:rPr>
        <w:t>, ושם הוציא עיתון בשפה הגרמנית, ‘דבורה’”. השווה גם “גשמי ברכה”, ספרו של ר׳ ברוך אפשטיין על המגילות</w:t>
      </w:r>
      <w:bookmarkStart w:id="1354" w:name="_fnr848"/>
      <w:r>
        <w:rPr>
          <w:rStyle w:val="a5"/>
        </w:rPr>
        <w:footnoteReference w:id="851" w:customMarkFollows="0"/>
      </w:r>
      <w:bookmarkEnd w:id="1354"/>
      <w:r>
        <w:rPr>
          <w:rtl/>
        </w:rPr>
        <w:t>: הוא מביא החלטה של אספת הרבנים הרפורמים בפילדלפיה בשנת 1879</w:t>
      </w:r>
      <w:bookmarkStart w:id="1355" w:name="_fnr849"/>
      <w:bookmarkEnd w:id="1355"/>
      <w:r>
        <w:rPr>
          <w:rStyle w:val="a5"/>
        </w:rPr>
        <w:t/>
      </w:r>
      <w:bookmarkStart w:id="7007" w:name="_TranslatorNote_849"/>
      <w:r>
        <w:rPr>
          <w:rStyle w:val="a5"/>
          <w:vertAlign w:val="superscript"/>
          <w:rtl/>
        </w:rPr>
        <w:footnoteReference w:id="852" w:customMarkFollows="1"/>
        <w:t>*</w:t>
      </w:r>
      <w:bookmarkEnd w:id="7007"/>
      <w:r>
        <w:rPr>
          <w:rtl/>
        </w:rPr>
        <w:t xml:space="preserve">, “כפי שמסרו העיתונים באותה עת”, </w:t>
      </w:r>
      <w:proofErr w:type="spellStart"/>
      <w:r>
        <w:rPr>
          <w:rtl/>
        </w:rPr>
        <w:t>ש“אין</w:t>
      </w:r>
      <w:proofErr w:type="spellEnd"/>
      <w:r>
        <w:rPr>
          <w:rtl/>
        </w:rPr>
        <w:t xml:space="preserve"> תקווה לקיבוץ גלויות, כי פיזורם של ישראל בכל העולם מכוון מאת ההשגחה למנותם למורים ולמדריכים לכל אומות הארץ”, ומעיר על כך: “אמונה וכפירה כאחת”. ברור </w:t>
      </w:r>
      <w:proofErr w:type="spellStart"/>
      <w:r>
        <w:rPr>
          <w:rtl/>
        </w:rPr>
        <w:t>ש“מקור</w:t>
      </w:r>
      <w:proofErr w:type="spellEnd"/>
      <w:r>
        <w:rPr>
          <w:rtl/>
        </w:rPr>
        <w:t xml:space="preserve"> ברוך” ניסה בכל כוחו להסתיר את האמת המאכזבת על מי שדודו נתן בו את אמונו.</w:t>
      </w:r>
    </w:p>
    <w:p w14:paraId="29D79BBC" w14:textId="77777777" w:rsidR="00AB3647" w:rsidRDefault="00000000" w:rsidP="007923E9">
      <w:pPr>
        <w:spacing w:after="120" w:line="276" w:lineRule="auto"/>
        <w:ind w:firstLine="283"/>
        <w:jc w:val="both"/>
      </w:pPr>
      <w:r>
        <w:rPr>
          <w:rtl/>
        </w:rPr>
        <w:t xml:space="preserve">אנציקלופדיה יודאיקה מדויקת ומפורטת יותר מן המאמר </w:t>
      </w:r>
      <w:proofErr w:type="spellStart"/>
      <w:r>
        <w:rPr>
          <w:rtl/>
        </w:rPr>
        <w:t>ב“השלח</w:t>
      </w:r>
      <w:proofErr w:type="spellEnd"/>
      <w:r>
        <w:rPr>
          <w:rtl/>
        </w:rPr>
        <w:t xml:space="preserve">” משנת 1912 בתיאור דרכו של </w:t>
      </w:r>
      <w:proofErr w:type="spellStart"/>
      <w:r>
        <w:rPr>
          <w:rtl/>
        </w:rPr>
        <w:t>ליליינטל</w:t>
      </w:r>
      <w:proofErr w:type="spellEnd"/>
      <w:r>
        <w:rPr>
          <w:rtl/>
        </w:rPr>
        <w:t xml:space="preserve"> באמריקה: “משהשתקע בעיר ניו יורק ניהל במשך שנים אחדות פנימייה פרטית. בשנת 1849 נעשה רבו של איחוד קצר ימים של הקהילות הגרמניות שבעיר וניהל את בתי הספר היומיים שלהן [כלומר, תלמודי התורה שלהן שאחרי שעות בית הספר]. משנת 1855 ועד מותו היה רבה של קהילת בני ישראל </w:t>
      </w:r>
      <w:proofErr w:type="spellStart"/>
      <w:r>
        <w:rPr>
          <w:rtl/>
        </w:rPr>
        <w:t>בסינסינטי</w:t>
      </w:r>
      <w:proofErr w:type="spellEnd"/>
      <w:r>
        <w:rPr>
          <w:rtl/>
        </w:rPr>
        <w:t xml:space="preserve">, והוביל אותה לכיוון של רפורמה מתונה. הוא פעל במרץ יחד עם בן עירו </w:t>
      </w:r>
      <w:proofErr w:type="spellStart"/>
      <w:r>
        <w:rPr>
          <w:rtl/>
        </w:rPr>
        <w:t>יצחק־מאיר</w:t>
      </w:r>
      <w:proofErr w:type="spellEnd"/>
      <w:r>
        <w:rPr>
          <w:rtl/>
        </w:rPr>
        <w:t xml:space="preserve"> </w:t>
      </w:r>
      <w:proofErr w:type="spellStart"/>
      <w:r>
        <w:rPr>
          <w:rtl/>
        </w:rPr>
        <w:t>וייז</w:t>
      </w:r>
      <w:proofErr w:type="spellEnd"/>
      <w:r>
        <w:rPr>
          <w:rtl/>
        </w:rPr>
        <w:t xml:space="preserve"> לקידום היהדות הרפורמית בכל רחבי המערב, ולימד </w:t>
      </w:r>
      <w:proofErr w:type="spellStart"/>
      <w:r>
        <w:rPr>
          <w:rtl/>
        </w:rPr>
        <w:t>בהיברו</w:t>
      </w:r>
      <w:proofErr w:type="spellEnd"/>
      <w:r>
        <w:rPr>
          <w:rtl/>
        </w:rPr>
        <w:t xml:space="preserve"> יוניון קולג׳ מפתיחתו בשנת 1875.” </w:t>
      </w:r>
      <w:proofErr w:type="spellStart"/>
      <w:r>
        <w:rPr>
          <w:rtl/>
        </w:rPr>
        <w:t>ליליינטל</w:t>
      </w:r>
      <w:proofErr w:type="spellEnd"/>
      <w:r>
        <w:rPr>
          <w:rtl/>
        </w:rPr>
        <w:t xml:space="preserve"> מת שנה לפני טקס הסיום הראשון של </w:t>
      </w:r>
      <w:proofErr w:type="spellStart"/>
      <w:r>
        <w:rPr>
          <w:rtl/>
        </w:rPr>
        <w:t>הקולג</w:t>
      </w:r>
      <w:proofErr w:type="spellEnd"/>
      <w:r>
        <w:rPr>
          <w:rtl/>
        </w:rPr>
        <w:t>׳, שבו הוגשה סעודה של צדפות, שרימפס, רגלי צפרדעים, בשר בקר וגלידה</w:t>
      </w:r>
      <w:bookmarkStart w:id="1356" w:name="_fnr850"/>
      <w:r>
        <w:rPr>
          <w:rStyle w:val="a5"/>
        </w:rPr>
        <w:footnoteReference w:id="853" w:customMarkFollows="0"/>
      </w:r>
      <w:bookmarkEnd w:id="1356"/>
      <w:r>
        <w:rPr>
          <w:rtl/>
        </w:rPr>
        <w:t>.</w:t>
      </w:r>
    </w:p>
    <w:p w14:paraId="4F7E3E5B" w14:textId="77777777" w:rsidR="00AB3647" w:rsidRDefault="00000000" w:rsidP="007923E9">
      <w:pPr>
        <w:spacing w:after="120" w:line="276" w:lineRule="auto"/>
        <w:ind w:firstLine="283"/>
        <w:jc w:val="both"/>
      </w:pPr>
      <w:r>
        <w:rPr>
          <w:rtl/>
        </w:rPr>
        <w:t>אנציקלופדיה יודאיקה</w:t>
      </w:r>
      <w:bookmarkStart w:id="1357" w:name="_fnr851"/>
      <w:r>
        <w:rPr>
          <w:rStyle w:val="a5"/>
        </w:rPr>
        <w:footnoteReference w:id="854" w:customMarkFollows="0"/>
      </w:r>
      <w:bookmarkEnd w:id="1357"/>
      <w:r>
        <w:rPr>
          <w:rtl/>
        </w:rPr>
        <w:t xml:space="preserve"> מוסיפה ממד נוסף לפעילותו של </w:t>
      </w:r>
      <w:proofErr w:type="spellStart"/>
      <w:r>
        <w:rPr>
          <w:rtl/>
        </w:rPr>
        <w:t>ליליינטל</w:t>
      </w:r>
      <w:proofErr w:type="spellEnd"/>
      <w:r>
        <w:rPr>
          <w:rtl/>
        </w:rPr>
        <w:t xml:space="preserve"> בניו יורק: </w:t>
      </w:r>
      <w:proofErr w:type="spellStart"/>
      <w:r>
        <w:rPr>
          <w:rtl/>
        </w:rPr>
        <w:t>וייז</w:t>
      </w:r>
      <w:proofErr w:type="spellEnd"/>
      <w:r>
        <w:rPr>
          <w:rtl/>
        </w:rPr>
        <w:t xml:space="preserve">, הצעיר ממנו בארבע שנים, הגיע לניו יורק ממשרת </w:t>
      </w:r>
      <w:proofErr w:type="spellStart"/>
      <w:r>
        <w:rPr>
          <w:rtl/>
        </w:rPr>
        <w:t>רבנותו</w:t>
      </w:r>
      <w:proofErr w:type="spellEnd"/>
      <w:r>
        <w:rPr>
          <w:rtl/>
        </w:rPr>
        <w:t xml:space="preserve"> בבוהמיה </w:t>
      </w:r>
      <w:r>
        <w:rPr>
          <w:b/>
          <w:bCs/>
          <w:rtl/>
        </w:rPr>
        <w:t xml:space="preserve">שנה אחרי </w:t>
      </w:r>
      <w:proofErr w:type="spellStart"/>
      <w:r>
        <w:rPr>
          <w:b/>
          <w:bCs/>
          <w:rtl/>
        </w:rPr>
        <w:t>ליליינטל</w:t>
      </w:r>
      <w:proofErr w:type="spellEnd"/>
      <w:r>
        <w:rPr>
          <w:rtl/>
        </w:rPr>
        <w:t xml:space="preserve">, </w:t>
      </w:r>
      <w:proofErr w:type="spellStart"/>
      <w:r>
        <w:rPr>
          <w:rtl/>
        </w:rPr>
        <w:t>ו“הצטרף</w:t>
      </w:r>
      <w:proofErr w:type="spellEnd"/>
      <w:r>
        <w:rPr>
          <w:rtl/>
        </w:rPr>
        <w:t xml:space="preserve"> </w:t>
      </w:r>
      <w:proofErr w:type="spellStart"/>
      <w:r>
        <w:rPr>
          <w:rtl/>
        </w:rPr>
        <w:t>ל‘בית</w:t>
      </w:r>
      <w:proofErr w:type="spellEnd"/>
      <w:r>
        <w:rPr>
          <w:rtl/>
        </w:rPr>
        <w:t xml:space="preserve"> דין’ שבראשו עמד (</w:t>
      </w:r>
      <w:proofErr w:type="spellStart"/>
      <w:r>
        <w:rPr>
          <w:rtl/>
        </w:rPr>
        <w:t>ליליינטל</w:t>
      </w:r>
      <w:proofErr w:type="spellEnd"/>
      <w:r>
        <w:rPr>
          <w:rtl/>
        </w:rPr>
        <w:t>)”. לפי אנציקלופדיה יודאיקה, “</w:t>
      </w:r>
      <w:proofErr w:type="spellStart"/>
      <w:r>
        <w:rPr>
          <w:rtl/>
        </w:rPr>
        <w:t>וייז</w:t>
      </w:r>
      <w:proofErr w:type="spellEnd"/>
      <w:r>
        <w:rPr>
          <w:rtl/>
        </w:rPr>
        <w:t xml:space="preserve"> הלך </w:t>
      </w:r>
      <w:proofErr w:type="spellStart"/>
      <w:r>
        <w:rPr>
          <w:rtl/>
        </w:rPr>
        <w:t>לסינסינטי</w:t>
      </w:r>
      <w:proofErr w:type="spellEnd"/>
      <w:r>
        <w:rPr>
          <w:rtl/>
        </w:rPr>
        <w:t xml:space="preserve"> כרב קהילת בני ישורון בשנת 1854, ונשאר שם עד סוף ימיו”. בתוך חודשים אחדים מבואו התחיל להוציא את דה </w:t>
      </w:r>
      <w:proofErr w:type="spellStart"/>
      <w:r>
        <w:rPr>
          <w:rtl/>
        </w:rPr>
        <w:t>ישראלייט</w:t>
      </w:r>
      <w:proofErr w:type="spellEnd"/>
      <w:r>
        <w:rPr>
          <w:rtl/>
        </w:rPr>
        <w:t xml:space="preserve">, שבו נדפס יומנו של </w:t>
      </w:r>
      <w:proofErr w:type="spellStart"/>
      <w:r>
        <w:rPr>
          <w:rtl/>
        </w:rPr>
        <w:t>ליליינטל</w:t>
      </w:r>
      <w:proofErr w:type="spellEnd"/>
      <w:r>
        <w:rPr>
          <w:rtl/>
        </w:rPr>
        <w:t xml:space="preserve">; העיתון נודע לימים בשם דה אמריקן </w:t>
      </w:r>
      <w:proofErr w:type="spellStart"/>
      <w:r>
        <w:rPr>
          <w:rtl/>
        </w:rPr>
        <w:t>ישראלייט</w:t>
      </w:r>
      <w:proofErr w:type="spellEnd"/>
      <w:r>
        <w:rPr>
          <w:rtl/>
        </w:rPr>
        <w:t xml:space="preserve">, עם מוסף בשפה הגרמנית, </w:t>
      </w:r>
      <w:proofErr w:type="spellStart"/>
      <w:r>
        <w:rPr>
          <w:rtl/>
        </w:rPr>
        <w:t>דיא</w:t>
      </w:r>
      <w:proofErr w:type="spellEnd"/>
      <w:r>
        <w:rPr>
          <w:rtl/>
        </w:rPr>
        <w:t xml:space="preserve"> דבורה. נראה </w:t>
      </w:r>
      <w:proofErr w:type="spellStart"/>
      <w:r>
        <w:rPr>
          <w:rtl/>
        </w:rPr>
        <w:t>שליליינטל</w:t>
      </w:r>
      <w:proofErr w:type="spellEnd"/>
      <w:r>
        <w:rPr>
          <w:rtl/>
        </w:rPr>
        <w:t xml:space="preserve"> הביא את </w:t>
      </w:r>
      <w:proofErr w:type="spellStart"/>
      <w:r>
        <w:rPr>
          <w:rtl/>
        </w:rPr>
        <w:t>וייז</w:t>
      </w:r>
      <w:proofErr w:type="spellEnd"/>
      <w:r>
        <w:rPr>
          <w:rtl/>
        </w:rPr>
        <w:t xml:space="preserve">, “ידיד לכל החיים”, לניו יורק, </w:t>
      </w:r>
      <w:proofErr w:type="spellStart"/>
      <w:r>
        <w:rPr>
          <w:rtl/>
        </w:rPr>
        <w:t>ווייז</w:t>
      </w:r>
      <w:proofErr w:type="spellEnd"/>
      <w:r>
        <w:rPr>
          <w:rtl/>
        </w:rPr>
        <w:t xml:space="preserve"> גמל לו כשהביא את </w:t>
      </w:r>
      <w:proofErr w:type="spellStart"/>
      <w:r>
        <w:rPr>
          <w:rtl/>
        </w:rPr>
        <w:t>ליליינטל</w:t>
      </w:r>
      <w:proofErr w:type="spellEnd"/>
      <w:r>
        <w:rPr>
          <w:rtl/>
        </w:rPr>
        <w:t xml:space="preserve"> </w:t>
      </w:r>
      <w:proofErr w:type="spellStart"/>
      <w:r>
        <w:rPr>
          <w:rtl/>
        </w:rPr>
        <w:t>לסינסינטי</w:t>
      </w:r>
      <w:proofErr w:type="spellEnd"/>
      <w:r>
        <w:rPr>
          <w:rtl/>
        </w:rPr>
        <w:t xml:space="preserve"> כעבור שמונה שנים.</w:t>
      </w:r>
    </w:p>
    <w:p w14:paraId="392B18B4" w14:textId="77777777" w:rsidR="00AB3647" w:rsidRDefault="00000000" w:rsidP="007923E9">
      <w:pPr>
        <w:spacing w:after="120" w:line="276" w:lineRule="auto"/>
        <w:ind w:firstLine="283"/>
        <w:jc w:val="both"/>
      </w:pPr>
      <w:r>
        <w:rPr>
          <w:rtl/>
        </w:rPr>
        <w:lastRenderedPageBreak/>
        <w:t xml:space="preserve">עוד על ידידו של </w:t>
      </w:r>
      <w:proofErr w:type="spellStart"/>
      <w:r>
        <w:rPr>
          <w:rtl/>
        </w:rPr>
        <w:t>ליליינטל</w:t>
      </w:r>
      <w:proofErr w:type="spellEnd"/>
      <w:r>
        <w:rPr>
          <w:rtl/>
        </w:rPr>
        <w:t>, מתוך אנציקלופדיה יודאיקה: “</w:t>
      </w:r>
      <w:proofErr w:type="spellStart"/>
      <w:r>
        <w:rPr>
          <w:rtl/>
        </w:rPr>
        <w:t>וייז</w:t>
      </w:r>
      <w:proofErr w:type="spellEnd"/>
      <w:r>
        <w:rPr>
          <w:rtl/>
        </w:rPr>
        <w:t xml:space="preserve">, הידוע </w:t>
      </w:r>
      <w:proofErr w:type="spellStart"/>
      <w:r>
        <w:rPr>
          <w:rtl/>
        </w:rPr>
        <w:t>כ‘האב</w:t>
      </w:r>
      <w:proofErr w:type="spellEnd"/>
      <w:r>
        <w:rPr>
          <w:rtl/>
        </w:rPr>
        <w:t xml:space="preserve"> המייסד’ של התנועה הרפורמית באמריקה, הצליח לארגן ועידת רבנים </w:t>
      </w:r>
      <w:proofErr w:type="spellStart"/>
      <w:r>
        <w:rPr>
          <w:rtl/>
        </w:rPr>
        <w:t>בקליבלנד</w:t>
      </w:r>
      <w:proofErr w:type="spellEnd"/>
      <w:r>
        <w:rPr>
          <w:rtl/>
        </w:rPr>
        <w:t xml:space="preserve">, שהסכימה לכנס </w:t>
      </w:r>
      <w:proofErr w:type="spellStart"/>
      <w:r>
        <w:rPr>
          <w:rtl/>
        </w:rPr>
        <w:t>סינוד</w:t>
      </w:r>
      <w:proofErr w:type="spellEnd"/>
      <w:r>
        <w:rPr>
          <w:rtl/>
        </w:rPr>
        <w:t xml:space="preserve"> ואימצה מצע שהכיר בתנ״ך כאלוהי והכריז שיש ‘לפרשו ולקיימו על פי פירושי התלמוד’. האורתודוקסים, </w:t>
      </w:r>
      <w:proofErr w:type="spellStart"/>
      <w:r>
        <w:rPr>
          <w:rtl/>
        </w:rPr>
        <w:t>שאייזק</w:t>
      </w:r>
      <w:proofErr w:type="spellEnd"/>
      <w:r>
        <w:rPr>
          <w:rtl/>
        </w:rPr>
        <w:t xml:space="preserve"> </w:t>
      </w:r>
      <w:proofErr w:type="spellStart"/>
      <w:r>
        <w:rPr>
          <w:rtl/>
        </w:rPr>
        <w:t>ליסר</w:t>
      </w:r>
      <w:proofErr w:type="spellEnd"/>
      <w:r>
        <w:rPr>
          <w:rtl/>
        </w:rPr>
        <w:t xml:space="preserve"> ייצג אותם, היו מרוצים בתחילה, אבל עד מהרה התחילו לחשוד בכוונותיו של </w:t>
      </w:r>
      <w:proofErr w:type="spellStart"/>
      <w:r>
        <w:rPr>
          <w:rtl/>
        </w:rPr>
        <w:t>וייז</w:t>
      </w:r>
      <w:proofErr w:type="spellEnd"/>
      <w:r>
        <w:rPr>
          <w:rtl/>
        </w:rPr>
        <w:t xml:space="preserve">. גרוע מזה, דוד </w:t>
      </w:r>
      <w:proofErr w:type="spellStart"/>
      <w:r>
        <w:rPr>
          <w:rtl/>
        </w:rPr>
        <w:t>איינהורן</w:t>
      </w:r>
      <w:proofErr w:type="spellEnd"/>
      <w:r>
        <w:rPr>
          <w:rtl/>
        </w:rPr>
        <w:t xml:space="preserve">, הרדיקל הגרמני שנעשה זה עתה רב בבולטימור, תקף בחריפות את מצע </w:t>
      </w:r>
      <w:proofErr w:type="spellStart"/>
      <w:r>
        <w:rPr>
          <w:rtl/>
        </w:rPr>
        <w:t>קליבלנד</w:t>
      </w:r>
      <w:proofErr w:type="spellEnd"/>
      <w:r>
        <w:rPr>
          <w:rtl/>
        </w:rPr>
        <w:t xml:space="preserve"> וכינה אותו בגידה בעניין הרפורמה.” </w:t>
      </w:r>
      <w:proofErr w:type="spellStart"/>
      <w:r>
        <w:rPr>
          <w:rtl/>
        </w:rPr>
        <w:t>אייזק</w:t>
      </w:r>
      <w:proofErr w:type="spellEnd"/>
      <w:r>
        <w:rPr>
          <w:rtl/>
        </w:rPr>
        <w:t xml:space="preserve"> </w:t>
      </w:r>
      <w:proofErr w:type="spellStart"/>
      <w:r>
        <w:rPr>
          <w:rtl/>
        </w:rPr>
        <w:t>ליסר</w:t>
      </w:r>
      <w:proofErr w:type="spellEnd"/>
      <w:r>
        <w:rPr>
          <w:rtl/>
        </w:rPr>
        <w:t xml:space="preserve"> היה עורך הירחון דה </w:t>
      </w:r>
      <w:proofErr w:type="spellStart"/>
      <w:r>
        <w:rPr>
          <w:rtl/>
        </w:rPr>
        <w:t>אוקסידנט</w:t>
      </w:r>
      <w:proofErr w:type="spellEnd"/>
      <w:r>
        <w:rPr>
          <w:rtl/>
        </w:rPr>
        <w:t xml:space="preserve"> אנד אמריקן </w:t>
      </w:r>
      <w:proofErr w:type="spellStart"/>
      <w:r>
        <w:rPr>
          <w:rtl/>
        </w:rPr>
        <w:t>ג׳ואיש</w:t>
      </w:r>
      <w:proofErr w:type="spellEnd"/>
      <w:r>
        <w:rPr>
          <w:rtl/>
        </w:rPr>
        <w:t xml:space="preserve"> </w:t>
      </w:r>
      <w:proofErr w:type="spellStart"/>
      <w:r>
        <w:rPr>
          <w:rtl/>
        </w:rPr>
        <w:t>אדבוקייט</w:t>
      </w:r>
      <w:proofErr w:type="spellEnd"/>
      <w:r>
        <w:rPr>
          <w:rtl/>
        </w:rPr>
        <w:t xml:space="preserve">. את הוועידה מתאר גם אחד המשתתפים בה, ר׳ </w:t>
      </w:r>
      <w:proofErr w:type="spellStart"/>
      <w:r>
        <w:rPr>
          <w:rtl/>
        </w:rPr>
        <w:t>יששכר־דוב</w:t>
      </w:r>
      <w:proofErr w:type="spellEnd"/>
      <w:r>
        <w:rPr>
          <w:rtl/>
        </w:rPr>
        <w:t xml:space="preserve"> </w:t>
      </w:r>
      <w:proofErr w:type="spellStart"/>
      <w:r>
        <w:rPr>
          <w:rtl/>
        </w:rPr>
        <w:t>אילווי</w:t>
      </w:r>
      <w:proofErr w:type="spellEnd"/>
      <w:r>
        <w:rPr>
          <w:rtl/>
        </w:rPr>
        <w:t xml:space="preserve">, בספרו “שו״ת מלחמות </w:t>
      </w:r>
      <w:proofErr w:type="spellStart"/>
      <w:r>
        <w:rPr>
          <w:rtl/>
        </w:rPr>
        <w:t>א־להים</w:t>
      </w:r>
      <w:proofErr w:type="spellEnd"/>
      <w:r>
        <w:rPr>
          <w:rtl/>
        </w:rPr>
        <w:t>” – ברלין, 1914</w:t>
      </w:r>
      <w:bookmarkStart w:id="1358" w:name="_fnr852"/>
      <w:r>
        <w:rPr>
          <w:rStyle w:val="a5"/>
        </w:rPr>
        <w:t/>
      </w:r>
      <w:bookmarkStart w:id="7008" w:name="_TranslatorNote_852"/>
      <w:r>
        <w:rPr>
          <w:rStyle w:val="a5"/>
          <w:vertAlign w:val="superscript"/>
          <w:rtl/>
        </w:rPr>
        <w:footnoteReference w:id="855" w:customMarkFollows="1"/>
        <w:t>*</w:t>
      </w:r>
      <w:bookmarkEnd w:id="7008"/>
      <w:bookmarkEnd w:id="1358"/>
      <w:r>
        <w:rPr>
          <w:rtl/>
        </w:rPr>
        <w:t xml:space="preserve">. הרב </w:t>
      </w:r>
      <w:proofErr w:type="spellStart"/>
      <w:r>
        <w:rPr>
          <w:rtl/>
        </w:rPr>
        <w:t>אילווי</w:t>
      </w:r>
      <w:proofErr w:type="spellEnd"/>
      <w:r>
        <w:rPr>
          <w:rtl/>
        </w:rPr>
        <w:t xml:space="preserve"> היה תלמידו של רבה הגדול של </w:t>
      </w:r>
      <w:proofErr w:type="spellStart"/>
      <w:r>
        <w:rPr>
          <w:rtl/>
        </w:rPr>
        <w:t>פרשבורג</w:t>
      </w:r>
      <w:proofErr w:type="spellEnd"/>
      <w:r>
        <w:rPr>
          <w:rtl/>
        </w:rPr>
        <w:t xml:space="preserve"> והלוחם העז ברפורמה, ר׳ משה סופר, ושימש ברבנות האורתודוקסית בארצות הברית.</w:t>
      </w:r>
    </w:p>
    <w:p w14:paraId="455F7D98" w14:textId="77777777" w:rsidR="00AB3647" w:rsidRDefault="00000000" w:rsidP="007923E9">
      <w:pPr>
        <w:spacing w:after="120" w:line="276" w:lineRule="auto"/>
        <w:ind w:firstLine="283"/>
        <w:jc w:val="both"/>
      </w:pPr>
      <w:r>
        <w:rPr>
          <w:rtl/>
        </w:rPr>
        <w:t xml:space="preserve">“מקור ברוך” ממשיך: “איש לא ידע את הסיבה לבריחתו הפתאומית של </w:t>
      </w:r>
      <w:proofErr w:type="spellStart"/>
      <w:r>
        <w:rPr>
          <w:rtl/>
        </w:rPr>
        <w:t>ליליינטל</w:t>
      </w:r>
      <w:proofErr w:type="spellEnd"/>
      <w:r>
        <w:rPr>
          <w:rtl/>
        </w:rPr>
        <w:t xml:space="preserve">, שנודעה כמו בהיסח הדעת, ונראה לי – הביע </w:t>
      </w:r>
      <w:proofErr w:type="spellStart"/>
      <w:r>
        <w:rPr>
          <w:rtl/>
        </w:rPr>
        <w:t>הנצי״ב</w:t>
      </w:r>
      <w:proofErr w:type="spellEnd"/>
      <w:r>
        <w:rPr>
          <w:rtl/>
        </w:rPr>
        <w:t xml:space="preserve"> את </w:t>
      </w:r>
      <w:r>
        <w:rPr>
          <w:b/>
          <w:bCs/>
          <w:rtl/>
        </w:rPr>
        <w:t>השערתו</w:t>
      </w:r>
      <w:r>
        <w:rPr>
          <w:rtl/>
        </w:rPr>
        <w:t xml:space="preserve"> – שגם עד היום אין רבים יודעים אותה. בזמנו ואחריו השמיעו הבריות השערות, חקירות ורעיונות רבים כדי להסביר מאורע מוזר זה. חקרו ודרשו וְחָדוּ חידות ולא מצאו דבר הגון כסיבה, והעניין נעבר כטמון במצולות ים. אבל אני – המשיך </w:t>
      </w:r>
      <w:proofErr w:type="spellStart"/>
      <w:r>
        <w:rPr>
          <w:rtl/>
        </w:rPr>
        <w:t>הנצי״ב</w:t>
      </w:r>
      <w:proofErr w:type="spellEnd"/>
      <w:r>
        <w:rPr>
          <w:rtl/>
        </w:rPr>
        <w:t xml:space="preserve"> וסיפר – יודע אני בבירור ובבטחה</w:t>
      </w:r>
      <w:bookmarkStart w:id="1359" w:name="_fnr853"/>
      <w:r>
        <w:rPr>
          <w:rStyle w:val="a5"/>
        </w:rPr>
        <w:footnoteReference w:id="856" w:customMarkFollows="0"/>
      </w:r>
      <w:bookmarkEnd w:id="1359"/>
      <w:r>
        <w:rPr>
          <w:rtl/>
        </w:rPr>
        <w:t xml:space="preserve"> את שורש הסיבה, והיא מדברת כולה בשבחו של </w:t>
      </w:r>
      <w:proofErr w:type="spellStart"/>
      <w:r>
        <w:rPr>
          <w:rtl/>
        </w:rPr>
        <w:t>ליליינטל</w:t>
      </w:r>
      <w:proofErr w:type="spellEnd"/>
      <w:r>
        <w:rPr>
          <w:rtl/>
        </w:rPr>
        <w:t xml:space="preserve"> ומעידה על תום נפשו ויושר דרכיו לאמונה ודת. וזה הדבר: במשך הזמן התקרב </w:t>
      </w:r>
      <w:proofErr w:type="spellStart"/>
      <w:r>
        <w:rPr>
          <w:rtl/>
        </w:rPr>
        <w:t>ליליינטל</w:t>
      </w:r>
      <w:proofErr w:type="spellEnd"/>
      <w:r>
        <w:rPr>
          <w:rtl/>
        </w:rPr>
        <w:t xml:space="preserve"> יותר ויותר אל מפקדו ושולחו השר </w:t>
      </w:r>
      <w:proofErr w:type="spellStart"/>
      <w:r>
        <w:rPr>
          <w:rtl/>
        </w:rPr>
        <w:t>אוברוב</w:t>
      </w:r>
      <w:proofErr w:type="spellEnd"/>
      <w:r>
        <w:rPr>
          <w:rtl/>
        </w:rPr>
        <w:t xml:space="preserve"> ואל השרים האחרים ומקורביהם, ועמד על טיבם האמיתי, על דעתם והשקפתם בענייני היהודים ועל תוכניותיהם, רעיונותיהם וחזונותיהם בדבר עתידם של היהודים. אז ראה ונוכח שאכן יש בלב הממשלה מחשבות ורעיונות נחרצים לפגוע – באמצעות </w:t>
      </w:r>
      <w:proofErr w:type="spellStart"/>
      <w:r>
        <w:rPr>
          <w:rtl/>
        </w:rPr>
        <w:t>ה‘השכלה</w:t>
      </w:r>
      <w:proofErr w:type="spellEnd"/>
      <w:r>
        <w:rPr>
          <w:rtl/>
        </w:rPr>
        <w:t>’ שרצתה לטעת בהם – בעיקרי הדת היהודית וביסודות אמונתם, ולהדפם מעט מעט עד שייפלו וייעקרו לעולם. וראה [</w:t>
      </w:r>
      <w:proofErr w:type="spellStart"/>
      <w:r>
        <w:rPr>
          <w:rtl/>
        </w:rPr>
        <w:t>ליליינטל</w:t>
      </w:r>
      <w:proofErr w:type="spellEnd"/>
      <w:r>
        <w:rPr>
          <w:rtl/>
        </w:rPr>
        <w:t>] ש</w:t>
      </w:r>
      <w:r>
        <w:rPr>
          <w:b/>
          <w:bCs/>
          <w:rtl/>
        </w:rPr>
        <w:t>אבותינו</w:t>
      </w:r>
      <w:bookmarkStart w:id="1360" w:name="_fnr854"/>
      <w:r>
        <w:rPr>
          <w:rStyle w:val="a5"/>
        </w:rPr>
        <w:footnoteReference w:id="857" w:customMarkFollows="0"/>
      </w:r>
      <w:bookmarkEnd w:id="1360"/>
      <w:r>
        <w:rPr>
          <w:rtl/>
        </w:rPr>
        <w:t xml:space="preserve"> צדקו באמת בפחדם הנורא מפני האמצעי של תוכנית מבעיתה זו, ההשכלה, ושלא לשווא, לא בלי יסוד ולא שלא בצדק תלו בו ‘מחשבות פיגול’ של חשד נתעב. הוא נזכר בשבועה שנשבע בווילנה לפני ראשי העם, לאמור: ‘אם רק אגלה שמץ מחשבת פיגול מצד הממשלה, שתוכניתה באמת לפרוש רשת על עיקרי יסודות האמונה היהודית, ארחץ בניקיון כפיי מכל רעיון השליחות.’ וכשראה ונזכר בכל זה נבהל ונרתע מאוד, ואמר </w:t>
      </w:r>
      <w:proofErr w:type="spellStart"/>
      <w:r>
        <w:rPr>
          <w:rtl/>
        </w:rPr>
        <w:t>בלבו</w:t>
      </w:r>
      <w:proofErr w:type="spellEnd"/>
      <w:r>
        <w:rPr>
          <w:rtl/>
        </w:rPr>
        <w:t xml:space="preserve">: ‘אל תהי ידי בכל העניין הזה, בכל עניין </w:t>
      </w:r>
      <w:proofErr w:type="spellStart"/>
      <w:r>
        <w:rPr>
          <w:rtl/>
        </w:rPr>
        <w:t>ה“השכלה</w:t>
      </w:r>
      <w:proofErr w:type="spellEnd"/>
      <w:r>
        <w:rPr>
          <w:rtl/>
        </w:rPr>
        <w:t>” החיצונית שהממשלה רוצה להנהיג על ידי. כי ההשכלה משכלת</w:t>
      </w:r>
      <w:bookmarkStart w:id="1361" w:name="_fnr855"/>
      <w:r>
        <w:rPr>
          <w:rStyle w:val="a5"/>
        </w:rPr>
        <w:footnoteReference w:id="858" w:customMarkFollows="0"/>
      </w:r>
      <w:bookmarkEnd w:id="1361"/>
      <w:r>
        <w:rPr>
          <w:rtl/>
        </w:rPr>
        <w:t xml:space="preserve">, ומי יודע מה תהיה אחריתה?’ ומשידע שאם יישאר במדינה לא יינצל מלהמשיך בעבודתו בעניין זה, החליט לעזוב את המדינה כולה </w:t>
      </w:r>
      <w:r>
        <w:rPr>
          <w:b/>
          <w:bCs/>
          <w:rtl/>
        </w:rPr>
        <w:t>ולא לשוב אליה עוד</w:t>
      </w:r>
      <w:r>
        <w:rPr>
          <w:rtl/>
        </w:rPr>
        <w:t xml:space="preserve">. </w:t>
      </w:r>
      <w:proofErr w:type="spellStart"/>
      <w:r>
        <w:rPr>
          <w:rtl/>
        </w:rPr>
        <w:t>ליליינטל</w:t>
      </w:r>
      <w:proofErr w:type="spellEnd"/>
      <w:r>
        <w:rPr>
          <w:rtl/>
        </w:rPr>
        <w:t xml:space="preserve"> לא רצה לדבר על בריחתו עם מכריו וידידיו ולא להודיעם עליה, כי חשש שמא </w:t>
      </w:r>
      <w:r>
        <w:rPr>
          <w:rtl/>
        </w:rPr>
        <w:lastRenderedPageBreak/>
        <w:t>ישדלוהו לחזור בו</w:t>
      </w:r>
      <w:bookmarkStart w:id="1362" w:name="_fnr856"/>
      <w:r>
        <w:rPr>
          <w:rStyle w:val="a5"/>
        </w:rPr>
        <w:footnoteReference w:id="859" w:customMarkFollows="0"/>
      </w:r>
      <w:bookmarkEnd w:id="1362"/>
      <w:r>
        <w:rPr>
          <w:rtl/>
        </w:rPr>
        <w:t xml:space="preserve">. וכך ברח פתאום ונמלט מרוסיה </w:t>
      </w:r>
      <w:r>
        <w:rPr>
          <w:b/>
          <w:bCs/>
          <w:rtl/>
        </w:rPr>
        <w:t>ולא שב אליה עוד</w:t>
      </w:r>
      <w:bookmarkStart w:id="1363" w:name="_fnr857"/>
      <w:r>
        <w:rPr>
          <w:rStyle w:val="a5"/>
        </w:rPr>
        <w:footnoteReference w:id="860" w:customMarkFollows="0"/>
      </w:r>
      <w:bookmarkEnd w:id="1363"/>
      <w:r>
        <w:rPr>
          <w:rtl/>
        </w:rPr>
        <w:t xml:space="preserve">. ובמנוסה זו </w:t>
      </w:r>
      <w:r>
        <w:rPr>
          <w:b/>
          <w:bCs/>
          <w:rtl/>
        </w:rPr>
        <w:t>הודיע בגלוי</w:t>
      </w:r>
      <w:r>
        <w:rPr>
          <w:rtl/>
        </w:rPr>
        <w:t xml:space="preserve"> לכל [היהודים] ברוסיה את תוכנית הממשלה לגביהם, </w:t>
      </w:r>
      <w:r>
        <w:rPr>
          <w:b/>
          <w:bCs/>
          <w:rtl/>
        </w:rPr>
        <w:t>והתכוון לפרסם</w:t>
      </w:r>
      <w:r>
        <w:rPr>
          <w:rtl/>
        </w:rPr>
        <w:t xml:space="preserve"> (ההדגשות שלי) זאת לידיעתם כדי שידעו למה עליהם לצפות...</w:t>
      </w:r>
      <w:bookmarkStart w:id="1364" w:name="_fnr858"/>
      <w:r>
        <w:rPr>
          <w:rStyle w:val="a5"/>
        </w:rPr>
        <w:footnoteReference w:id="861" w:customMarkFollows="0"/>
      </w:r>
      <w:bookmarkEnd w:id="1364"/>
      <w:r>
        <w:rPr>
          <w:rtl/>
        </w:rPr>
        <w:t>”</w:t>
      </w:r>
    </w:p>
    <w:p w14:paraId="7B61FFA4" w14:textId="77777777" w:rsidR="00AB3647" w:rsidRDefault="00000000" w:rsidP="007923E9">
      <w:pPr>
        <w:spacing w:after="120" w:line="276" w:lineRule="auto"/>
        <w:ind w:firstLine="283"/>
        <w:jc w:val="both"/>
      </w:pPr>
      <w:r>
        <w:rPr>
          <w:rtl/>
        </w:rPr>
        <w:t>“מקור ברוך” ממשיך: “</w:t>
      </w:r>
      <w:proofErr w:type="spellStart"/>
      <w:r>
        <w:rPr>
          <w:rtl/>
        </w:rPr>
        <w:t>הנצי״ב</w:t>
      </w:r>
      <w:proofErr w:type="spellEnd"/>
      <w:r>
        <w:rPr>
          <w:rtl/>
        </w:rPr>
        <w:t xml:space="preserve"> לא סיפר כיצד ידע את הסוד הכמוס הזה כשסיפר את כל זה, והשומעים לא מצאו בהם עוז לשאול אותו [כיצד ידע]. היו שמשערים שמאחר שהיחסים בין </w:t>
      </w:r>
      <w:proofErr w:type="spellStart"/>
      <w:r>
        <w:rPr>
          <w:rtl/>
        </w:rPr>
        <w:t>ליליינטל</w:t>
      </w:r>
      <w:proofErr w:type="spellEnd"/>
      <w:r>
        <w:rPr>
          <w:rtl/>
        </w:rPr>
        <w:t xml:space="preserve"> ובין ר׳ </w:t>
      </w:r>
      <w:proofErr w:type="spellStart"/>
      <w:r>
        <w:rPr>
          <w:rtl/>
        </w:rPr>
        <w:t>איצל׳ה</w:t>
      </w:r>
      <w:proofErr w:type="spellEnd"/>
      <w:r>
        <w:rPr>
          <w:rtl/>
        </w:rPr>
        <w:t xml:space="preserve"> היו טובים וקרובים מאוד, והוא היה מסור לו</w:t>
      </w:r>
      <w:bookmarkStart w:id="1365" w:name="_fnr859"/>
      <w:r>
        <w:rPr>
          <w:rStyle w:val="a5"/>
        </w:rPr>
        <w:footnoteReference w:id="862" w:customMarkFollows="0"/>
      </w:r>
      <w:bookmarkEnd w:id="1365"/>
      <w:r>
        <w:rPr>
          <w:rtl/>
        </w:rPr>
        <w:t xml:space="preserve"> בכל לבו ובכל נפשו, כפי שנראה במפורש מן המכתב הנ״ל</w:t>
      </w:r>
      <w:bookmarkStart w:id="1366" w:name="_fnr860"/>
      <w:r>
        <w:rPr>
          <w:rStyle w:val="a5"/>
        </w:rPr>
        <w:footnoteReference w:id="863" w:customMarkFollows="0"/>
      </w:r>
      <w:bookmarkEnd w:id="1366"/>
      <w:r>
        <w:rPr>
          <w:rtl/>
        </w:rPr>
        <w:t>, הודיע [</w:t>
      </w:r>
      <w:proofErr w:type="spellStart"/>
      <w:r>
        <w:rPr>
          <w:rtl/>
        </w:rPr>
        <w:t>ליליינטל</w:t>
      </w:r>
      <w:proofErr w:type="spellEnd"/>
      <w:r>
        <w:rPr>
          <w:rtl/>
        </w:rPr>
        <w:t xml:space="preserve">] על כך </w:t>
      </w:r>
      <w:proofErr w:type="spellStart"/>
      <w:r>
        <w:rPr>
          <w:rtl/>
        </w:rPr>
        <w:t>לר</w:t>
      </w:r>
      <w:proofErr w:type="spellEnd"/>
      <w:r>
        <w:rPr>
          <w:rtl/>
        </w:rPr>
        <w:t xml:space="preserve">׳ </w:t>
      </w:r>
      <w:proofErr w:type="spellStart"/>
      <w:r>
        <w:rPr>
          <w:rtl/>
        </w:rPr>
        <w:t>איצל׳ה</w:t>
      </w:r>
      <w:proofErr w:type="spellEnd"/>
      <w:r>
        <w:rPr>
          <w:rtl/>
        </w:rPr>
        <w:t xml:space="preserve"> בשעת בריחתו או אחריה, וחתנו של ר׳ </w:t>
      </w:r>
      <w:proofErr w:type="spellStart"/>
      <w:r>
        <w:rPr>
          <w:rtl/>
        </w:rPr>
        <w:t>איצל׳ה</w:t>
      </w:r>
      <w:proofErr w:type="spellEnd"/>
      <w:r>
        <w:rPr>
          <w:rtl/>
        </w:rPr>
        <w:t xml:space="preserve">, </w:t>
      </w:r>
      <w:proofErr w:type="spellStart"/>
      <w:r>
        <w:rPr>
          <w:rtl/>
        </w:rPr>
        <w:t>הנצי״ב</w:t>
      </w:r>
      <w:proofErr w:type="spellEnd"/>
      <w:r>
        <w:rPr>
          <w:rtl/>
        </w:rPr>
        <w:t>, שמע זאת ממנו. אבל קשה לאשש השערה זו.”</w:t>
      </w:r>
    </w:p>
    <w:p w14:paraId="79992518" w14:textId="77777777" w:rsidR="00AB3647" w:rsidRDefault="00000000" w:rsidP="007923E9">
      <w:pPr>
        <w:spacing w:after="120" w:line="276" w:lineRule="auto"/>
        <w:ind w:firstLine="283"/>
        <w:jc w:val="both"/>
      </w:pPr>
      <w:r>
        <w:rPr>
          <w:rtl/>
        </w:rPr>
        <w:t xml:space="preserve">“מקור ברוך” מעלה אחר כך רעיון חדש: דרשתו של ר׳ </w:t>
      </w:r>
      <w:proofErr w:type="spellStart"/>
      <w:r>
        <w:rPr>
          <w:rtl/>
        </w:rPr>
        <w:t>איצל׳ה</w:t>
      </w:r>
      <w:proofErr w:type="spellEnd"/>
      <w:r>
        <w:rPr>
          <w:rtl/>
        </w:rPr>
        <w:t xml:space="preserve"> בליל כל נדרי היא שהניעה את </w:t>
      </w:r>
      <w:proofErr w:type="spellStart"/>
      <w:r>
        <w:rPr>
          <w:rtl/>
        </w:rPr>
        <w:t>ליליינטל</w:t>
      </w:r>
      <w:proofErr w:type="spellEnd"/>
      <w:r>
        <w:rPr>
          <w:rtl/>
        </w:rPr>
        <w:t xml:space="preserve"> לבדוק את החשדות שהפנה הציבור היהודי כלפי השר </w:t>
      </w:r>
      <w:proofErr w:type="spellStart"/>
      <w:r>
        <w:rPr>
          <w:rtl/>
        </w:rPr>
        <w:t>אוברוב</w:t>
      </w:r>
      <w:proofErr w:type="spellEnd"/>
      <w:r>
        <w:rPr>
          <w:rtl/>
        </w:rPr>
        <w:t>. וזו לשונו</w:t>
      </w:r>
      <w:bookmarkStart w:id="1367" w:name="_fnr861"/>
      <w:r>
        <w:rPr>
          <w:rStyle w:val="a5"/>
        </w:rPr>
        <w:footnoteReference w:id="864" w:customMarkFollows="0"/>
      </w:r>
      <w:bookmarkEnd w:id="1367"/>
      <w:r>
        <w:rPr>
          <w:rtl/>
        </w:rPr>
        <w:t xml:space="preserve">: “ומי יודע אם ההתראה או האזהרה הזאת” – שהשמיע ר׳ </w:t>
      </w:r>
      <w:proofErr w:type="spellStart"/>
      <w:r>
        <w:rPr>
          <w:rtl/>
        </w:rPr>
        <w:t>איצל׳ה</w:t>
      </w:r>
      <w:proofErr w:type="spellEnd"/>
      <w:r>
        <w:rPr>
          <w:rtl/>
        </w:rPr>
        <w:t xml:space="preserve"> כשהביא את הגמרא במסכת מועד קטן שהובאה לעיל, שכל חשד יש לו יסוד – “לא עוררה את </w:t>
      </w:r>
      <w:proofErr w:type="spellStart"/>
      <w:r>
        <w:rPr>
          <w:rtl/>
        </w:rPr>
        <w:t>ליליינטל</w:t>
      </w:r>
      <w:proofErr w:type="spellEnd"/>
      <w:r>
        <w:rPr>
          <w:rtl/>
        </w:rPr>
        <w:t xml:space="preserve"> להכיר את טיב שליחותו ואת יחסם וכוונתם של שולחיו בעניין זה? והתחיל לחקור, והוסיף לחקור עד שמצא את הנקודה השחורה שהייתה מתחת לשורש שליחותו, ובא לידי ראייה והכרה שדרכו עקלקלה, מלאה פחתים, מכשולים ואבני נגף. אז עשה חשבון הנפש ועשה מה שעשה לעזוב את עסקיו, את מקום מושבו ואת המדינה כולה.”</w:t>
      </w:r>
    </w:p>
    <w:p w14:paraId="033106EE" w14:textId="77777777" w:rsidR="00AB3647" w:rsidRDefault="00000000" w:rsidP="007923E9">
      <w:pPr>
        <w:spacing w:after="120" w:line="276" w:lineRule="auto"/>
        <w:ind w:firstLine="283"/>
        <w:jc w:val="both"/>
      </w:pPr>
      <w:r>
        <w:rPr>
          <w:rtl/>
        </w:rPr>
        <w:t xml:space="preserve">“מקור ברוך” אינו מציין </w:t>
      </w:r>
      <w:proofErr w:type="spellStart"/>
      <w:r>
        <w:rPr>
          <w:rtl/>
        </w:rPr>
        <w:t>שליליינטל</w:t>
      </w:r>
      <w:proofErr w:type="spellEnd"/>
      <w:r>
        <w:rPr>
          <w:rtl/>
        </w:rPr>
        <w:t xml:space="preserve"> שירת במסירות את עניינו של </w:t>
      </w:r>
      <w:proofErr w:type="spellStart"/>
      <w:r>
        <w:rPr>
          <w:rtl/>
        </w:rPr>
        <w:t>אוברוב</w:t>
      </w:r>
      <w:proofErr w:type="spellEnd"/>
      <w:r>
        <w:rPr>
          <w:rtl/>
        </w:rPr>
        <w:t xml:space="preserve"> כמעט שלוש שנים </w:t>
      </w:r>
      <w:r>
        <w:rPr>
          <w:b/>
          <w:bCs/>
          <w:rtl/>
        </w:rPr>
        <w:t>אחרי</w:t>
      </w:r>
      <w:r>
        <w:rPr>
          <w:rtl/>
        </w:rPr>
        <w:t xml:space="preserve"> ביקורו </w:t>
      </w:r>
      <w:proofErr w:type="spellStart"/>
      <w:r>
        <w:rPr>
          <w:rtl/>
        </w:rPr>
        <w:t>בוולוז׳ין</w:t>
      </w:r>
      <w:proofErr w:type="spellEnd"/>
      <w:r>
        <w:rPr>
          <w:rtl/>
        </w:rPr>
        <w:t xml:space="preserve">, לפני </w:t>
      </w:r>
      <w:proofErr w:type="spellStart"/>
      <w:r>
        <w:rPr>
          <w:rtl/>
        </w:rPr>
        <w:t>ש“מצא</w:t>
      </w:r>
      <w:proofErr w:type="spellEnd"/>
      <w:r>
        <w:rPr>
          <w:rtl/>
        </w:rPr>
        <w:t xml:space="preserve"> את הנקודה השחורה” ונעלם מן התמונה בנסיעתו לאמריקה.</w:t>
      </w:r>
    </w:p>
    <w:p w14:paraId="0AE379A8" w14:textId="77777777" w:rsidR="00AB3647" w:rsidRDefault="00000000" w:rsidP="007923E9">
      <w:pPr>
        <w:pStyle w:val="4"/>
        <w:spacing w:line="276" w:lineRule="auto"/>
      </w:pPr>
      <w:r>
        <w:t xml:space="preserve">· הפסקה </w:t>
      </w:r>
      <w:proofErr w:type="spellStart"/>
      <w:r>
        <w:t>השבע־עשרה</w:t>
      </w:r>
      <w:proofErr w:type="spellEnd"/>
      <w:r>
        <w:t xml:space="preserve"> ·</w:t>
      </w:r>
    </w:p>
    <w:p w14:paraId="53BEE76B" w14:textId="77777777" w:rsidR="00AB3647" w:rsidRDefault="00000000" w:rsidP="007923E9">
      <w:pPr>
        <w:pStyle w:val="5"/>
        <w:spacing w:line="276" w:lineRule="auto"/>
      </w:pPr>
      <w:proofErr w:type="spellStart"/>
      <w:r>
        <w:t>ליליינטל</w:t>
      </w:r>
      <w:proofErr w:type="spellEnd"/>
      <w:r>
        <w:t xml:space="preserve"> מביא את מה שאמר לו כביכול ר׳ </w:t>
      </w:r>
      <w:proofErr w:type="spellStart"/>
      <w:r>
        <w:t>איצל׳ה</w:t>
      </w:r>
      <w:proofErr w:type="spellEnd"/>
    </w:p>
    <w:p w14:paraId="5DC0C5FB" w14:textId="77777777" w:rsidR="00AB3647" w:rsidRDefault="00000000" w:rsidP="007923E9">
      <w:pPr>
        <w:spacing w:after="120" w:line="276" w:lineRule="auto"/>
        <w:ind w:firstLine="283"/>
        <w:jc w:val="both"/>
      </w:pPr>
      <w:r>
        <w:rPr>
          <w:rtl/>
        </w:rPr>
        <w:t>ביומנו</w:t>
      </w:r>
      <w:bookmarkStart w:id="1368" w:name="_fnr862"/>
      <w:r>
        <w:rPr>
          <w:rStyle w:val="a5"/>
        </w:rPr>
        <w:footnoteReference w:id="865" w:customMarkFollows="0"/>
      </w:r>
      <w:bookmarkEnd w:id="1368"/>
      <w:r>
        <w:rPr>
          <w:rtl/>
        </w:rPr>
        <w:t xml:space="preserve">, שנדפס </w:t>
      </w:r>
      <w:proofErr w:type="spellStart"/>
      <w:r>
        <w:rPr>
          <w:rtl/>
        </w:rPr>
        <w:t>חמש־עשרה</w:t>
      </w:r>
      <w:proofErr w:type="spellEnd"/>
      <w:r>
        <w:rPr>
          <w:rtl/>
        </w:rPr>
        <w:t xml:space="preserve"> שנה אחרי המאורעות ומסתיים – למרבה הנוחות – כשהוא נוסע למינסק בפעם השנייה, לסוכות תר״ג, מתאר </w:t>
      </w:r>
      <w:proofErr w:type="spellStart"/>
      <w:r>
        <w:rPr>
          <w:rtl/>
        </w:rPr>
        <w:t>ליליינטל</w:t>
      </w:r>
      <w:proofErr w:type="spellEnd"/>
      <w:r>
        <w:rPr>
          <w:rtl/>
        </w:rPr>
        <w:t xml:space="preserve"> את רגשותיו של ר׳ </w:t>
      </w:r>
      <w:proofErr w:type="spellStart"/>
      <w:r>
        <w:rPr>
          <w:rtl/>
        </w:rPr>
        <w:t>איצל׳ה</w:t>
      </w:r>
      <w:proofErr w:type="spellEnd"/>
      <w:r>
        <w:rPr>
          <w:rtl/>
        </w:rPr>
        <w:t xml:space="preserve"> כלפיו </w:t>
      </w:r>
      <w:r>
        <w:rPr>
          <w:rtl/>
        </w:rPr>
        <w:lastRenderedPageBreak/>
        <w:t xml:space="preserve">בלשון מאופקת הרבה יותר מאשר במכתבו לניסן רוזנטל. הוא מוסר שר׳ </w:t>
      </w:r>
      <w:proofErr w:type="spellStart"/>
      <w:r>
        <w:rPr>
          <w:rtl/>
        </w:rPr>
        <w:t>איצל׳ה</w:t>
      </w:r>
      <w:proofErr w:type="spellEnd"/>
      <w:r>
        <w:rPr>
          <w:rtl/>
        </w:rPr>
        <w:t xml:space="preserve"> אמר לו: “אני רואה בך </w:t>
      </w:r>
      <w:r>
        <w:rPr>
          <w:b/>
          <w:bCs/>
          <w:rtl/>
        </w:rPr>
        <w:t>יהודי טוב באמת</w:t>
      </w:r>
      <w:r>
        <w:rPr>
          <w:rtl/>
        </w:rPr>
        <w:t xml:space="preserve"> (ההדגשה שלי), שטובת עמו על לבו והעושה כל מאמץ לקדם את שגשוגו.” רב המרחק בין “בן אהוב ויקר (</w:t>
      </w:r>
      <w:proofErr w:type="spellStart"/>
      <w:r>
        <w:rPr>
          <w:rtl/>
        </w:rPr>
        <w:t>לר</w:t>
      </w:r>
      <w:proofErr w:type="spellEnd"/>
      <w:r>
        <w:rPr>
          <w:rtl/>
        </w:rPr>
        <w:t xml:space="preserve">׳ </w:t>
      </w:r>
      <w:proofErr w:type="spellStart"/>
      <w:r>
        <w:rPr>
          <w:rtl/>
        </w:rPr>
        <w:t>איצל׳ה</w:t>
      </w:r>
      <w:proofErr w:type="spellEnd"/>
      <w:r>
        <w:rPr>
          <w:rtl/>
        </w:rPr>
        <w:t>)” ובין “יהודי טוב באמת” גרידא.</w:t>
      </w:r>
    </w:p>
    <w:p w14:paraId="47782219" w14:textId="77777777" w:rsidR="00AB3647" w:rsidRDefault="00000000" w:rsidP="007923E9">
      <w:pPr>
        <w:spacing w:after="120" w:line="276" w:lineRule="auto"/>
        <w:ind w:firstLine="283"/>
        <w:jc w:val="both"/>
      </w:pPr>
      <w:r>
        <w:rPr>
          <w:rtl/>
        </w:rPr>
        <w:t xml:space="preserve">אבל בדרך כלל </w:t>
      </w:r>
      <w:proofErr w:type="spellStart"/>
      <w:r>
        <w:rPr>
          <w:rtl/>
        </w:rPr>
        <w:t>ליליינטל</w:t>
      </w:r>
      <w:proofErr w:type="spellEnd"/>
      <w:r>
        <w:rPr>
          <w:rtl/>
        </w:rPr>
        <w:t xml:space="preserve"> מציג ביומנו את תוצאות פגישתם באופן העולה בקנה אחד עם המכתב שכתב ארבעה או שמונה ימים</w:t>
      </w:r>
      <w:bookmarkStart w:id="1369" w:name="_fnr863"/>
      <w:r>
        <w:rPr>
          <w:rStyle w:val="a5"/>
        </w:rPr>
        <w:footnoteReference w:id="866" w:customMarkFollows="0"/>
      </w:r>
      <w:bookmarkEnd w:id="1369"/>
      <w:r>
        <w:rPr>
          <w:rtl/>
        </w:rPr>
        <w:t xml:space="preserve"> אחרי שנפרד מר׳ </w:t>
      </w:r>
      <w:proofErr w:type="spellStart"/>
      <w:r>
        <w:rPr>
          <w:rtl/>
        </w:rPr>
        <w:t>איצל׳ה</w:t>
      </w:r>
      <w:proofErr w:type="spellEnd"/>
      <w:r>
        <w:rPr>
          <w:rtl/>
        </w:rPr>
        <w:t xml:space="preserve">. וכך הוא כותב: “ר׳ </w:t>
      </w:r>
      <w:proofErr w:type="spellStart"/>
      <w:r>
        <w:rPr>
          <w:rtl/>
        </w:rPr>
        <w:t>איצל׳ה</w:t>
      </w:r>
      <w:proofErr w:type="spellEnd"/>
      <w:r>
        <w:rPr>
          <w:rtl/>
        </w:rPr>
        <w:t xml:space="preserve"> הבין היטב שאי אפשר עוד לדחות את תיקון בתי הספר, ואף שחש </w:t>
      </w:r>
      <w:proofErr w:type="spellStart"/>
      <w:r>
        <w:rPr>
          <w:rtl/>
        </w:rPr>
        <w:t>אי־נוחות</w:t>
      </w:r>
      <w:proofErr w:type="spellEnd"/>
      <w:r>
        <w:rPr>
          <w:rtl/>
        </w:rPr>
        <w:t xml:space="preserve"> מסוימת בדבר הגורל העלול לפקוד את ישיבתו כשיבוצעו תיקונים אלה, לא היסס מעולם להמליץ על שינוי שיטת החינוך.”</w:t>
      </w:r>
    </w:p>
    <w:p w14:paraId="66C0F2D8" w14:textId="77777777" w:rsidR="00AB3647" w:rsidRDefault="00000000" w:rsidP="007923E9">
      <w:pPr>
        <w:spacing w:after="120" w:line="276" w:lineRule="auto"/>
        <w:ind w:firstLine="283"/>
        <w:jc w:val="both"/>
      </w:pPr>
      <w:r>
        <w:rPr>
          <w:rtl/>
        </w:rPr>
        <w:t xml:space="preserve">לא ברור ממה נבעה הסכנה לכאורה לישיבת </w:t>
      </w:r>
      <w:proofErr w:type="spellStart"/>
      <w:r>
        <w:rPr>
          <w:rtl/>
        </w:rPr>
        <w:t>וולוז׳ין</w:t>
      </w:r>
      <w:proofErr w:type="spellEnd"/>
      <w:r>
        <w:rPr>
          <w:rtl/>
        </w:rPr>
        <w:t xml:space="preserve">. ייתכן שנבעה מן התיקון האחר שתכננה הממשלה, הקמת בתי מדרש לרבנים, </w:t>
      </w:r>
      <w:proofErr w:type="spellStart"/>
      <w:r>
        <w:rPr>
          <w:rtl/>
        </w:rPr>
        <w:t>שליליינטל</w:t>
      </w:r>
      <w:proofErr w:type="spellEnd"/>
      <w:r>
        <w:rPr>
          <w:rtl/>
        </w:rPr>
        <w:t xml:space="preserve"> ראה בהם מתחרים שימשכו אליהם את מי שעתידים היו ללמוד </w:t>
      </w:r>
      <w:proofErr w:type="spellStart"/>
      <w:r>
        <w:rPr>
          <w:rtl/>
        </w:rPr>
        <w:t>בוולוז׳ין</w:t>
      </w:r>
      <w:proofErr w:type="spellEnd"/>
      <w:r>
        <w:rPr>
          <w:rtl/>
        </w:rPr>
        <w:t xml:space="preserve">. לפי הבנתו של </w:t>
      </w:r>
      <w:proofErr w:type="spellStart"/>
      <w:r>
        <w:rPr>
          <w:rtl/>
        </w:rPr>
        <w:t>ליליינטל</w:t>
      </w:r>
      <w:proofErr w:type="spellEnd"/>
      <w:r>
        <w:rPr>
          <w:rtl/>
        </w:rPr>
        <w:t xml:space="preserve"> את תפקידה של ישיבה, ישיבת </w:t>
      </w:r>
      <w:proofErr w:type="spellStart"/>
      <w:r>
        <w:rPr>
          <w:rtl/>
        </w:rPr>
        <w:t>וולוז׳ין</w:t>
      </w:r>
      <w:proofErr w:type="spellEnd"/>
      <w:r>
        <w:rPr>
          <w:rtl/>
        </w:rPr>
        <w:t xml:space="preserve"> לא הייתה אלא עוד בית מדרש לרבנים בעל תוכנית לימודים מיושנת. ואפשר שנבעה מן התוכנית להפוך את החדרים לבתי ספר, שהייתה סוגרת למעשה את “מוסדות ההזנה” של </w:t>
      </w:r>
      <w:proofErr w:type="spellStart"/>
      <w:r>
        <w:rPr>
          <w:rtl/>
        </w:rPr>
        <w:t>וולוז׳ין</w:t>
      </w:r>
      <w:proofErr w:type="spellEnd"/>
      <w:r>
        <w:rPr>
          <w:rtl/>
        </w:rPr>
        <w:t xml:space="preserve">. אבל לא יעלה על הדעת </w:t>
      </w:r>
      <w:proofErr w:type="spellStart"/>
      <w:r>
        <w:rPr>
          <w:rtl/>
        </w:rPr>
        <w:t>שליליינטל</w:t>
      </w:r>
      <w:proofErr w:type="spellEnd"/>
      <w:r>
        <w:rPr>
          <w:rtl/>
        </w:rPr>
        <w:t xml:space="preserve"> יראה את ר׳ </w:t>
      </w:r>
      <w:proofErr w:type="spellStart"/>
      <w:r>
        <w:rPr>
          <w:rtl/>
        </w:rPr>
        <w:t>איצל׳ה</w:t>
      </w:r>
      <w:proofErr w:type="spellEnd"/>
      <w:r>
        <w:rPr>
          <w:rtl/>
        </w:rPr>
        <w:t xml:space="preserve"> רק “חש </w:t>
      </w:r>
      <w:proofErr w:type="spellStart"/>
      <w:r>
        <w:rPr>
          <w:rtl/>
        </w:rPr>
        <w:t>אי־נוחות</w:t>
      </w:r>
      <w:proofErr w:type="spellEnd"/>
      <w:r>
        <w:rPr>
          <w:rtl/>
        </w:rPr>
        <w:t xml:space="preserve"> מסוימת”, ולא “מודאג מאוד”, מפני הסכנה. יש לנו כאן עוד דוגמה </w:t>
      </w:r>
      <w:proofErr w:type="spellStart"/>
      <w:r>
        <w:rPr>
          <w:rtl/>
        </w:rPr>
        <w:t>ל“רישומי</w:t>
      </w:r>
      <w:proofErr w:type="spellEnd"/>
      <w:r>
        <w:rPr>
          <w:rtl/>
        </w:rPr>
        <w:t xml:space="preserve"> שיחות מפוקפקים ביותר” שבזיכרונותיו של </w:t>
      </w:r>
      <w:proofErr w:type="spellStart"/>
      <w:r>
        <w:rPr>
          <w:rtl/>
        </w:rPr>
        <w:t>ליליינטל</w:t>
      </w:r>
      <w:proofErr w:type="spellEnd"/>
      <w:r>
        <w:rPr>
          <w:rtl/>
        </w:rPr>
        <w:t>, שמפניהם מזהיר אותנו סטניסלבסקי</w:t>
      </w:r>
      <w:bookmarkStart w:id="1370" w:name="_fnr864"/>
      <w:r>
        <w:rPr>
          <w:rStyle w:val="a5"/>
        </w:rPr>
        <w:footnoteReference w:id="867" w:customMarkFollows="0"/>
      </w:r>
      <w:bookmarkEnd w:id="1370"/>
      <w:r>
        <w:rPr>
          <w:rtl/>
        </w:rPr>
        <w:t>.</w:t>
      </w:r>
    </w:p>
    <w:p w14:paraId="1331398A" w14:textId="77777777" w:rsidR="00AB3647" w:rsidRDefault="00000000" w:rsidP="007923E9">
      <w:pPr>
        <w:pStyle w:val="4"/>
        <w:spacing w:line="276" w:lineRule="auto"/>
      </w:pPr>
      <w:r>
        <w:t xml:space="preserve">· הפסקה </w:t>
      </w:r>
      <w:proofErr w:type="spellStart"/>
      <w:r>
        <w:t>השמונה־עשרה</w:t>
      </w:r>
      <w:proofErr w:type="spellEnd"/>
      <w:r>
        <w:t xml:space="preserve"> ·</w:t>
      </w:r>
    </w:p>
    <w:p w14:paraId="62791A47" w14:textId="77777777" w:rsidR="00AB3647" w:rsidRDefault="00000000" w:rsidP="007923E9">
      <w:pPr>
        <w:pStyle w:val="5"/>
        <w:spacing w:line="276" w:lineRule="auto"/>
      </w:pPr>
      <w:r>
        <w:t xml:space="preserve">שתי הגרסאות בדבר הסיבה שבגללה נתן ר׳ </w:t>
      </w:r>
      <w:proofErr w:type="spellStart"/>
      <w:r>
        <w:t>איצל׳ה</w:t>
      </w:r>
      <w:proofErr w:type="spellEnd"/>
      <w:r>
        <w:t xml:space="preserve"> את הסכמתו </w:t>
      </w:r>
      <w:proofErr w:type="spellStart"/>
      <w:r>
        <w:t>לליליינטל</w:t>
      </w:r>
      <w:proofErr w:type="spellEnd"/>
      <w:r>
        <w:t xml:space="preserve"> אחרי ביקורו </w:t>
      </w:r>
      <w:proofErr w:type="spellStart"/>
      <w:r>
        <w:t>בוולוז׳ין</w:t>
      </w:r>
      <w:proofErr w:type="spellEnd"/>
      <w:r>
        <w:t xml:space="preserve"> – </w:t>
      </w:r>
      <w:proofErr w:type="spellStart"/>
      <w:r>
        <w:t>ליליינטל</w:t>
      </w:r>
      <w:proofErr w:type="spellEnd"/>
      <w:r>
        <w:t xml:space="preserve"> מאיים – ר׳ </w:t>
      </w:r>
      <w:proofErr w:type="spellStart"/>
      <w:r>
        <w:t>איצל׳ה</w:t>
      </w:r>
      <w:proofErr w:type="spellEnd"/>
      <w:r>
        <w:t xml:space="preserve"> חושש ממה </w:t>
      </w:r>
      <w:proofErr w:type="spellStart"/>
      <w:r>
        <w:t>שליליינטל</w:t>
      </w:r>
      <w:proofErr w:type="spellEnd"/>
      <w:r>
        <w:t xml:space="preserve"> עלול לעשות – הרוזן </w:t>
      </w:r>
      <w:proofErr w:type="spellStart"/>
      <w:r>
        <w:t>אוברוב</w:t>
      </w:r>
      <w:proofErr w:type="spellEnd"/>
      <w:r>
        <w:t xml:space="preserve"> נבוך מול סוגיה תלמודית – לביקורו של ר׳ </w:t>
      </w:r>
      <w:proofErr w:type="spellStart"/>
      <w:r>
        <w:t>איצל׳ה</w:t>
      </w:r>
      <w:proofErr w:type="spellEnd"/>
      <w:r>
        <w:t xml:space="preserve"> בפטרבורג נודעת חשיבות רבה – הוא דואג לעתידה של יהדות רוסיה</w:t>
      </w:r>
    </w:p>
    <w:p w14:paraId="5AF20A01" w14:textId="77777777" w:rsidR="00AB3647" w:rsidRDefault="00000000" w:rsidP="007923E9">
      <w:pPr>
        <w:spacing w:after="120" w:line="276" w:lineRule="auto"/>
        <w:ind w:firstLine="283"/>
        <w:jc w:val="both"/>
      </w:pPr>
      <w:r>
        <w:rPr>
          <w:rtl/>
        </w:rPr>
        <w:t xml:space="preserve">לפני שנעסוק בבריחתו הבלתי צפויה של </w:t>
      </w:r>
      <w:proofErr w:type="spellStart"/>
      <w:r>
        <w:rPr>
          <w:rtl/>
        </w:rPr>
        <w:t>ליליינטל</w:t>
      </w:r>
      <w:proofErr w:type="spellEnd"/>
      <w:r>
        <w:rPr>
          <w:rtl/>
        </w:rPr>
        <w:t xml:space="preserve">, יש לנתח במלואו את סיפור מעשיו </w:t>
      </w:r>
      <w:proofErr w:type="spellStart"/>
      <w:r>
        <w:rPr>
          <w:rtl/>
        </w:rPr>
        <w:t>בוולוז׳ין</w:t>
      </w:r>
      <w:proofErr w:type="spellEnd"/>
      <w:r>
        <w:rPr>
          <w:rtl/>
        </w:rPr>
        <w:t xml:space="preserve">, כדי להבין מה אירע שם באמת. כפי שהובא לעיל, הוא תואר בשתי דרכים שונות: זו של </w:t>
      </w:r>
      <w:proofErr w:type="spellStart"/>
      <w:r>
        <w:rPr>
          <w:rtl/>
        </w:rPr>
        <w:t>צינוביץ</w:t>
      </w:r>
      <w:proofErr w:type="spellEnd"/>
      <w:r>
        <w:rPr>
          <w:rtl/>
        </w:rPr>
        <w:t xml:space="preserve">, “עץ חיים” (כפי שכתב אותה </w:t>
      </w:r>
      <w:proofErr w:type="spellStart"/>
      <w:r>
        <w:rPr>
          <w:rtl/>
        </w:rPr>
        <w:t>אברהם־יעקב</w:t>
      </w:r>
      <w:proofErr w:type="spellEnd"/>
      <w:r>
        <w:rPr>
          <w:rtl/>
        </w:rPr>
        <w:t xml:space="preserve"> </w:t>
      </w:r>
      <w:proofErr w:type="spellStart"/>
      <w:r>
        <w:rPr>
          <w:rtl/>
        </w:rPr>
        <w:t>פפירנא</w:t>
      </w:r>
      <w:proofErr w:type="spellEnd"/>
      <w:r>
        <w:rPr>
          <w:rtl/>
        </w:rPr>
        <w:t xml:space="preserve">), שנכנה אותה “גרסת השמועה”, וזו של “מקור ברוך” (כפי שנשמעה, לדבריו, מפי </w:t>
      </w:r>
      <w:proofErr w:type="spellStart"/>
      <w:r>
        <w:rPr>
          <w:rtl/>
        </w:rPr>
        <w:t>הנצי״ב</w:t>
      </w:r>
      <w:proofErr w:type="spellEnd"/>
      <w:r>
        <w:rPr>
          <w:rtl/>
        </w:rPr>
        <w:t xml:space="preserve">), שנכנה אותה “גרסת עד הראייה”. שתי הגרסאות ניסו להשיב על שאלה יסודית: מה גרם </w:t>
      </w:r>
      <w:proofErr w:type="spellStart"/>
      <w:r>
        <w:rPr>
          <w:rtl/>
        </w:rPr>
        <w:t>לר</w:t>
      </w:r>
      <w:proofErr w:type="spellEnd"/>
      <w:r>
        <w:rPr>
          <w:rtl/>
        </w:rPr>
        <w:t xml:space="preserve">׳ </w:t>
      </w:r>
      <w:proofErr w:type="spellStart"/>
      <w:r>
        <w:rPr>
          <w:rtl/>
        </w:rPr>
        <w:t>איצל׳ה</w:t>
      </w:r>
      <w:proofErr w:type="spellEnd"/>
      <w:r>
        <w:rPr>
          <w:rtl/>
        </w:rPr>
        <w:t xml:space="preserve"> להודיע לקהילות שאליהן פנה </w:t>
      </w:r>
      <w:proofErr w:type="spellStart"/>
      <w:r>
        <w:rPr>
          <w:rtl/>
        </w:rPr>
        <w:t>ליליינטל</w:t>
      </w:r>
      <w:proofErr w:type="spellEnd"/>
      <w:r>
        <w:rPr>
          <w:rtl/>
        </w:rPr>
        <w:t xml:space="preserve"> אחרי ביקורו </w:t>
      </w:r>
      <w:proofErr w:type="spellStart"/>
      <w:r>
        <w:rPr>
          <w:rtl/>
        </w:rPr>
        <w:t>בוולוז׳ין</w:t>
      </w:r>
      <w:proofErr w:type="spellEnd"/>
      <w:r>
        <w:rPr>
          <w:rtl/>
        </w:rPr>
        <w:t xml:space="preserve"> שיקבלו את האויב </w:t>
      </w:r>
      <w:proofErr w:type="spellStart"/>
      <w:r>
        <w:rPr>
          <w:rtl/>
        </w:rPr>
        <w:t>ה“נדחה</w:t>
      </w:r>
      <w:proofErr w:type="spellEnd"/>
      <w:r>
        <w:rPr>
          <w:rtl/>
        </w:rPr>
        <w:t xml:space="preserve"> בתוקף” בידידות “שאין להאמין בה כלל”?</w:t>
      </w:r>
    </w:p>
    <w:p w14:paraId="1276BE01" w14:textId="77777777" w:rsidR="00AB3647" w:rsidRDefault="00000000" w:rsidP="007923E9">
      <w:pPr>
        <w:spacing w:after="120" w:line="276" w:lineRule="auto"/>
        <w:ind w:firstLine="283"/>
        <w:jc w:val="both"/>
      </w:pPr>
      <w:r>
        <w:rPr>
          <w:rtl/>
        </w:rPr>
        <w:t xml:space="preserve">נוסחו שתי תשובות, וכל אחת מהן נדחתה בידי מחזיקי האחרת. גרסת השמועה טענה </w:t>
      </w:r>
      <w:proofErr w:type="spellStart"/>
      <w:r>
        <w:rPr>
          <w:rtl/>
        </w:rPr>
        <w:t>שליליינטל</w:t>
      </w:r>
      <w:proofErr w:type="spellEnd"/>
      <w:r>
        <w:rPr>
          <w:rtl/>
        </w:rPr>
        <w:t xml:space="preserve"> הוכיח בכוח שבועתו שמעלילים עליו. לגרסה זו נוסף צבע כשתיארו אותו עומד לפני ארון הקודש הפתוח וספר תורה בידו – סיפור </w:t>
      </w:r>
      <w:proofErr w:type="spellStart"/>
      <w:r>
        <w:rPr>
          <w:rtl/>
        </w:rPr>
        <w:t>שהנצי״ב</w:t>
      </w:r>
      <w:proofErr w:type="spellEnd"/>
      <w:r>
        <w:rPr>
          <w:rtl/>
        </w:rPr>
        <w:t xml:space="preserve"> הכחישו למעשה בכך שהשמיטו מעדותו כעד ראייה. גרסת עד הראייה טענה </w:t>
      </w:r>
      <w:proofErr w:type="spellStart"/>
      <w:r>
        <w:rPr>
          <w:rtl/>
        </w:rPr>
        <w:t>שליליינטל</w:t>
      </w:r>
      <w:proofErr w:type="spellEnd"/>
      <w:r>
        <w:rPr>
          <w:rtl/>
        </w:rPr>
        <w:t xml:space="preserve"> שכנע את ר׳ </w:t>
      </w:r>
      <w:proofErr w:type="spellStart"/>
      <w:r>
        <w:rPr>
          <w:rtl/>
        </w:rPr>
        <w:t>איצל׳ה</w:t>
      </w:r>
      <w:proofErr w:type="spellEnd"/>
      <w:r>
        <w:rPr>
          <w:rtl/>
        </w:rPr>
        <w:t xml:space="preserve"> ביושרו במהלך </w:t>
      </w:r>
      <w:r>
        <w:rPr>
          <w:rtl/>
        </w:rPr>
        <w:lastRenderedPageBreak/>
        <w:t xml:space="preserve">שיחותיהם. מחזיקי גרסת השמועה סברו שהשיחות לא הזיזו את ר׳ </w:t>
      </w:r>
      <w:proofErr w:type="spellStart"/>
      <w:r>
        <w:rPr>
          <w:rtl/>
        </w:rPr>
        <w:t>איצל׳ה</w:t>
      </w:r>
      <w:proofErr w:type="spellEnd"/>
      <w:r>
        <w:rPr>
          <w:rtl/>
        </w:rPr>
        <w:t xml:space="preserve">, שכן לא יכלו לדמיין מה יכול היה </w:t>
      </w:r>
      <w:proofErr w:type="spellStart"/>
      <w:r>
        <w:rPr>
          <w:rtl/>
        </w:rPr>
        <w:t>ליליינטל</w:t>
      </w:r>
      <w:proofErr w:type="spellEnd"/>
      <w:r>
        <w:rPr>
          <w:rtl/>
        </w:rPr>
        <w:t xml:space="preserve"> לומר לו שיוכיח לו משהו; ומחזיקי גרסת עד הראייה הבינו ששבועתו של </w:t>
      </w:r>
      <w:proofErr w:type="spellStart"/>
      <w:r>
        <w:rPr>
          <w:rtl/>
        </w:rPr>
        <w:t>ליליינטל</w:t>
      </w:r>
      <w:proofErr w:type="spellEnd"/>
      <w:r>
        <w:rPr>
          <w:rtl/>
        </w:rPr>
        <w:t xml:space="preserve"> לא הייתה משכנעת. לכן סביר לטעון שמבחינה זו אין אף אחת מן הגרסאות שוגה: לא טיעוניו של </w:t>
      </w:r>
      <w:proofErr w:type="spellStart"/>
      <w:r>
        <w:rPr>
          <w:rtl/>
        </w:rPr>
        <w:t>ליליינטל</w:t>
      </w:r>
      <w:proofErr w:type="spellEnd"/>
      <w:r>
        <w:rPr>
          <w:rtl/>
        </w:rPr>
        <w:t xml:space="preserve"> ולא שבועתו גרמו </w:t>
      </w:r>
      <w:proofErr w:type="spellStart"/>
      <w:r>
        <w:rPr>
          <w:rtl/>
        </w:rPr>
        <w:t>לר</w:t>
      </w:r>
      <w:proofErr w:type="spellEnd"/>
      <w:r>
        <w:rPr>
          <w:rtl/>
        </w:rPr>
        <w:t xml:space="preserve">׳ </w:t>
      </w:r>
      <w:proofErr w:type="spellStart"/>
      <w:r>
        <w:rPr>
          <w:rtl/>
        </w:rPr>
        <w:t>איצל׳ה</w:t>
      </w:r>
      <w:proofErr w:type="spellEnd"/>
      <w:r>
        <w:rPr>
          <w:rtl/>
        </w:rPr>
        <w:t xml:space="preserve"> לשנות את דעתו השלילית על שליחותו.</w:t>
      </w:r>
    </w:p>
    <w:p w14:paraId="7063E694" w14:textId="77777777" w:rsidR="00AB3647" w:rsidRDefault="00000000" w:rsidP="007923E9">
      <w:pPr>
        <w:spacing w:after="120" w:line="276" w:lineRule="auto"/>
        <w:ind w:firstLine="283"/>
        <w:jc w:val="both"/>
      </w:pPr>
      <w:r>
        <w:rPr>
          <w:rtl/>
        </w:rPr>
        <w:t xml:space="preserve">ומכאן, התשובות שהציעה כל אחת מן הגרסאות לשאלה, ושנדחו בידי האחרת, שתיהן שגויות: ר׳ </w:t>
      </w:r>
      <w:proofErr w:type="spellStart"/>
      <w:r>
        <w:rPr>
          <w:rtl/>
        </w:rPr>
        <w:t>איצל׳ה</w:t>
      </w:r>
      <w:proofErr w:type="spellEnd"/>
      <w:r>
        <w:rPr>
          <w:rtl/>
        </w:rPr>
        <w:t xml:space="preserve"> לא השתכנע מכל מה שאמר </w:t>
      </w:r>
      <w:proofErr w:type="spellStart"/>
      <w:r>
        <w:rPr>
          <w:rtl/>
        </w:rPr>
        <w:t>ליליינטל</w:t>
      </w:r>
      <w:proofErr w:type="spellEnd"/>
      <w:r>
        <w:rPr>
          <w:rtl/>
        </w:rPr>
        <w:t xml:space="preserve"> </w:t>
      </w:r>
      <w:proofErr w:type="spellStart"/>
      <w:r>
        <w:rPr>
          <w:rtl/>
        </w:rPr>
        <w:t>בוולוז׳ין</w:t>
      </w:r>
      <w:proofErr w:type="spellEnd"/>
      <w:r>
        <w:rPr>
          <w:rtl/>
        </w:rPr>
        <w:t xml:space="preserve"> שמניעיו ותוכניותיו ראויים להתקבל. סימן לכך שר׳ </w:t>
      </w:r>
      <w:proofErr w:type="spellStart"/>
      <w:r>
        <w:rPr>
          <w:rtl/>
        </w:rPr>
        <w:t>איצל׳ה</w:t>
      </w:r>
      <w:proofErr w:type="spellEnd"/>
      <w:r>
        <w:rPr>
          <w:rtl/>
        </w:rPr>
        <w:t xml:space="preserve"> לא שינה את השקפתו על </w:t>
      </w:r>
      <w:proofErr w:type="spellStart"/>
      <w:r>
        <w:rPr>
          <w:rtl/>
        </w:rPr>
        <w:t>ליליינטל</w:t>
      </w:r>
      <w:proofErr w:type="spellEnd"/>
      <w:r>
        <w:rPr>
          <w:rtl/>
        </w:rPr>
        <w:t xml:space="preserve"> הוא טענתו של יעקב מארק, שהובאה לעיל בפסקה השישית, שר׳ </w:t>
      </w:r>
      <w:proofErr w:type="spellStart"/>
      <w:r>
        <w:rPr>
          <w:rtl/>
        </w:rPr>
        <w:t>איצל׳ה</w:t>
      </w:r>
      <w:proofErr w:type="spellEnd"/>
      <w:r>
        <w:rPr>
          <w:rtl/>
        </w:rPr>
        <w:t xml:space="preserve"> שלח שליחים, זמן רב לפני ביקורו של </w:t>
      </w:r>
      <w:proofErr w:type="spellStart"/>
      <w:r>
        <w:rPr>
          <w:rtl/>
        </w:rPr>
        <w:t>ליליינטל</w:t>
      </w:r>
      <w:proofErr w:type="spellEnd"/>
      <w:r>
        <w:rPr>
          <w:rtl/>
        </w:rPr>
        <w:t xml:space="preserve"> </w:t>
      </w:r>
      <w:proofErr w:type="spellStart"/>
      <w:r>
        <w:rPr>
          <w:rtl/>
        </w:rPr>
        <w:t>בוולוז׳ין</w:t>
      </w:r>
      <w:proofErr w:type="spellEnd"/>
      <w:r>
        <w:rPr>
          <w:rtl/>
        </w:rPr>
        <w:t xml:space="preserve">, להזהיר מפניו. גדול בישראל אינו מעמיד את אמינותו בסכנה בדרך כזו אלא אם כן הוא בטוח לגמרי בדעתו, ולא היה משנה את דעתו מן הקצה אל הקצה בגלל מה שאמר </w:t>
      </w:r>
      <w:proofErr w:type="spellStart"/>
      <w:r>
        <w:rPr>
          <w:rtl/>
        </w:rPr>
        <w:t>ליליינטל</w:t>
      </w:r>
      <w:proofErr w:type="spellEnd"/>
      <w:r>
        <w:rPr>
          <w:rtl/>
        </w:rPr>
        <w:t xml:space="preserve"> בביקורו.</w:t>
      </w:r>
    </w:p>
    <w:p w14:paraId="4391C123" w14:textId="77777777" w:rsidR="00AB3647" w:rsidRDefault="00000000" w:rsidP="007923E9">
      <w:pPr>
        <w:spacing w:after="120" w:line="276" w:lineRule="auto"/>
        <w:ind w:firstLine="283"/>
        <w:jc w:val="both"/>
      </w:pPr>
      <w:r>
        <w:rPr>
          <w:rtl/>
        </w:rPr>
        <w:t xml:space="preserve">דעתי היא </w:t>
      </w:r>
      <w:proofErr w:type="spellStart"/>
      <w:r>
        <w:rPr>
          <w:rtl/>
        </w:rPr>
        <w:t>ש“ההעתק</w:t>
      </w:r>
      <w:proofErr w:type="spellEnd"/>
      <w:r>
        <w:rPr>
          <w:rtl/>
        </w:rPr>
        <w:t xml:space="preserve">” של הפרוטוקול הממשלתי, </w:t>
      </w:r>
      <w:proofErr w:type="spellStart"/>
      <w:r>
        <w:rPr>
          <w:rtl/>
        </w:rPr>
        <w:t>שליליינטל</w:t>
      </w:r>
      <w:proofErr w:type="spellEnd"/>
      <w:r>
        <w:rPr>
          <w:rtl/>
        </w:rPr>
        <w:t xml:space="preserve"> שמר בסוד עד פגישתו עם ר׳ </w:t>
      </w:r>
      <w:proofErr w:type="spellStart"/>
      <w:r>
        <w:rPr>
          <w:rtl/>
        </w:rPr>
        <w:t>איצל׳ה</w:t>
      </w:r>
      <w:proofErr w:type="spellEnd"/>
      <w:r>
        <w:rPr>
          <w:rtl/>
        </w:rPr>
        <w:t xml:space="preserve">, הוא ששכנע את ר׳ </w:t>
      </w:r>
      <w:proofErr w:type="spellStart"/>
      <w:r>
        <w:rPr>
          <w:rtl/>
        </w:rPr>
        <w:t>איצל׳ה</w:t>
      </w:r>
      <w:proofErr w:type="spellEnd"/>
      <w:r>
        <w:rPr>
          <w:rtl/>
        </w:rPr>
        <w:t xml:space="preserve"> שעל הציבור היהודי לשתף פעולה עם </w:t>
      </w:r>
      <w:proofErr w:type="spellStart"/>
      <w:r>
        <w:rPr>
          <w:rtl/>
        </w:rPr>
        <w:t>ליליינטל</w:t>
      </w:r>
      <w:proofErr w:type="spellEnd"/>
      <w:r>
        <w:rPr>
          <w:rtl/>
        </w:rPr>
        <w:t xml:space="preserve">. אין זאת אומרת שר׳ </w:t>
      </w:r>
      <w:proofErr w:type="spellStart"/>
      <w:r>
        <w:rPr>
          <w:rtl/>
        </w:rPr>
        <w:t>איצל׳ה</w:t>
      </w:r>
      <w:proofErr w:type="spellEnd"/>
      <w:r>
        <w:rPr>
          <w:rtl/>
        </w:rPr>
        <w:t xml:space="preserve"> האמין </w:t>
      </w:r>
      <w:proofErr w:type="spellStart"/>
      <w:r>
        <w:rPr>
          <w:rtl/>
        </w:rPr>
        <w:t>שה“העתק</w:t>
      </w:r>
      <w:proofErr w:type="spellEnd"/>
      <w:r>
        <w:rPr>
          <w:rtl/>
        </w:rPr>
        <w:t xml:space="preserve">” אמיתי, או שקיבל את הסברו הרופס של </w:t>
      </w:r>
      <w:proofErr w:type="spellStart"/>
      <w:r>
        <w:rPr>
          <w:rtl/>
        </w:rPr>
        <w:t>ליליינטל</w:t>
      </w:r>
      <w:proofErr w:type="spellEnd"/>
      <w:r>
        <w:rPr>
          <w:rtl/>
        </w:rPr>
        <w:t xml:space="preserve"> – או העדר הסברו – מדוע לא גילה קודם לכן את קיומו של פרוטוקול כזה. ר׳ </w:t>
      </w:r>
      <w:proofErr w:type="spellStart"/>
      <w:r>
        <w:rPr>
          <w:rtl/>
        </w:rPr>
        <w:t>איצל׳ה</w:t>
      </w:r>
      <w:proofErr w:type="spellEnd"/>
      <w:r>
        <w:rPr>
          <w:rtl/>
        </w:rPr>
        <w:t xml:space="preserve">, שנודע </w:t>
      </w:r>
      <w:proofErr w:type="spellStart"/>
      <w:r>
        <w:rPr>
          <w:rtl/>
        </w:rPr>
        <w:t>כ“חכימא</w:t>
      </w:r>
      <w:proofErr w:type="spellEnd"/>
      <w:r>
        <w:rPr>
          <w:rtl/>
        </w:rPr>
        <w:t xml:space="preserve"> </w:t>
      </w:r>
      <w:proofErr w:type="spellStart"/>
      <w:r>
        <w:rPr>
          <w:rtl/>
        </w:rPr>
        <w:t>דיהודאי</w:t>
      </w:r>
      <w:proofErr w:type="spellEnd"/>
      <w:r>
        <w:rPr>
          <w:rtl/>
        </w:rPr>
        <w:t>”</w:t>
      </w:r>
      <w:bookmarkStart w:id="1371" w:name="_fnr865"/>
      <w:r>
        <w:rPr>
          <w:rStyle w:val="a5"/>
        </w:rPr>
        <w:footnoteReference w:id="868" w:customMarkFollows="0"/>
      </w:r>
      <w:bookmarkEnd w:id="1371"/>
      <w:r>
        <w:rPr>
          <w:rtl/>
        </w:rPr>
        <w:t xml:space="preserve">, ראה בפרוטוקול על גיוס היהודים והגלייתם, שבדה בן שיחו, איום מוסווה מצד </w:t>
      </w:r>
      <w:proofErr w:type="spellStart"/>
      <w:r>
        <w:rPr>
          <w:rtl/>
        </w:rPr>
        <w:t>ליליינטל</w:t>
      </w:r>
      <w:proofErr w:type="spellEnd"/>
      <w:r>
        <w:rPr>
          <w:rtl/>
        </w:rPr>
        <w:t xml:space="preserve"> ש</w:t>
      </w:r>
      <w:r>
        <w:rPr>
          <w:b/>
          <w:bCs/>
          <w:rtl/>
        </w:rPr>
        <w:t>הוא</w:t>
      </w:r>
      <w:r>
        <w:rPr>
          <w:rtl/>
        </w:rPr>
        <w:t xml:space="preserve"> יביא על יהדות רוסיה את החורבן המנוסח </w:t>
      </w:r>
      <w:proofErr w:type="spellStart"/>
      <w:r>
        <w:rPr>
          <w:rtl/>
        </w:rPr>
        <w:t>ב“העתק</w:t>
      </w:r>
      <w:proofErr w:type="spellEnd"/>
      <w:r>
        <w:rPr>
          <w:rtl/>
        </w:rPr>
        <w:t>” הממשלתי כביכול, אם ימשיכו לנהוג בו כפי שנהגו עד אז!</w:t>
      </w:r>
    </w:p>
    <w:p w14:paraId="49AB41D8" w14:textId="77777777" w:rsidR="00AB3647" w:rsidRDefault="00000000" w:rsidP="007923E9">
      <w:pPr>
        <w:spacing w:after="120" w:line="276" w:lineRule="auto"/>
        <w:ind w:firstLine="283"/>
        <w:jc w:val="both"/>
      </w:pPr>
      <w:r>
        <w:rPr>
          <w:rtl/>
        </w:rPr>
        <w:t xml:space="preserve">ר׳ </w:t>
      </w:r>
      <w:proofErr w:type="spellStart"/>
      <w:r>
        <w:rPr>
          <w:rtl/>
        </w:rPr>
        <w:t>איצל׳ה</w:t>
      </w:r>
      <w:proofErr w:type="spellEnd"/>
      <w:r>
        <w:rPr>
          <w:rtl/>
        </w:rPr>
        <w:t xml:space="preserve"> ראה </w:t>
      </w:r>
      <w:proofErr w:type="spellStart"/>
      <w:r>
        <w:rPr>
          <w:rtl/>
        </w:rPr>
        <w:t>שליליינטל</w:t>
      </w:r>
      <w:proofErr w:type="spellEnd"/>
      <w:r>
        <w:rPr>
          <w:rtl/>
        </w:rPr>
        <w:t xml:space="preserve"> הולך בנאמנות בדרך שהתווה בביקורו הראשון בווילנה, שבו – כאמור בפסקה השישית של נספח זה – “השמיע איומים”, ושעכשיו, באופן שיטתי יותר, הוא מציג “הוכחה” לאסון העומד לפני יהדות רוסיה. משראה זאת, נאלץ לסלול דרך לקבלות פנים “ידידותיות” בכל מקום </w:t>
      </w:r>
      <w:proofErr w:type="spellStart"/>
      <w:r>
        <w:rPr>
          <w:rtl/>
        </w:rPr>
        <w:t>שליליינטל</w:t>
      </w:r>
      <w:proofErr w:type="spellEnd"/>
      <w:r>
        <w:rPr>
          <w:rtl/>
        </w:rPr>
        <w:t xml:space="preserve"> עתיד היה לבוא אליו. </w:t>
      </w:r>
      <w:proofErr w:type="spellStart"/>
      <w:r>
        <w:rPr>
          <w:rtl/>
        </w:rPr>
        <w:t>ליליינטל</w:t>
      </w:r>
      <w:proofErr w:type="spellEnd"/>
      <w:r>
        <w:rPr>
          <w:rtl/>
        </w:rPr>
        <w:t xml:space="preserve"> עצמו ידע באמת, או לפחות חשד, שבן שיחו רואה בו “מוסר”, אבל נאלץ להעמיד פנים במכתבו לרוזנטל שר׳ </w:t>
      </w:r>
      <w:proofErr w:type="spellStart"/>
      <w:r>
        <w:rPr>
          <w:rtl/>
        </w:rPr>
        <w:t>איצל׳ה</w:t>
      </w:r>
      <w:proofErr w:type="spellEnd"/>
      <w:r>
        <w:rPr>
          <w:rtl/>
        </w:rPr>
        <w:t xml:space="preserve"> מאוהב בו – אפילו משכיל מווילנה לא היה סובל איום של מסירה נגד הציבור היהודי מצד איש דת רפורמי גרמני. כדי לכסות על איומו נקט </w:t>
      </w:r>
      <w:proofErr w:type="spellStart"/>
      <w:r>
        <w:rPr>
          <w:rtl/>
        </w:rPr>
        <w:t>ליליינטל</w:t>
      </w:r>
      <w:proofErr w:type="spellEnd"/>
      <w:r>
        <w:rPr>
          <w:rtl/>
        </w:rPr>
        <w:t xml:space="preserve"> את שיטת “השקר הגדול”: הוא בדה ופרסם אהבה גדולה בין ר׳ </w:t>
      </w:r>
      <w:proofErr w:type="spellStart"/>
      <w:r>
        <w:rPr>
          <w:rtl/>
        </w:rPr>
        <w:t>איצל׳ה</w:t>
      </w:r>
      <w:proofErr w:type="spellEnd"/>
      <w:r>
        <w:rPr>
          <w:rtl/>
        </w:rPr>
        <w:t xml:space="preserve"> ובינו!</w:t>
      </w:r>
    </w:p>
    <w:p w14:paraId="4A09C50C" w14:textId="77777777" w:rsidR="00AB3647" w:rsidRDefault="00000000" w:rsidP="007923E9">
      <w:pPr>
        <w:spacing w:after="120" w:line="276" w:lineRule="auto"/>
        <w:ind w:firstLine="283"/>
        <w:jc w:val="both"/>
      </w:pPr>
      <w:r>
        <w:rPr>
          <w:rtl/>
        </w:rPr>
        <w:t xml:space="preserve">יתר על כן, אני סבור שר׳ </w:t>
      </w:r>
      <w:proofErr w:type="spellStart"/>
      <w:r>
        <w:rPr>
          <w:rtl/>
        </w:rPr>
        <w:t>איצל׳ה</w:t>
      </w:r>
      <w:proofErr w:type="spellEnd"/>
      <w:r>
        <w:rPr>
          <w:rtl/>
        </w:rPr>
        <w:t xml:space="preserve"> שיער </w:t>
      </w:r>
      <w:proofErr w:type="spellStart"/>
      <w:r>
        <w:rPr>
          <w:rtl/>
        </w:rPr>
        <w:t>שליליינטל</w:t>
      </w:r>
      <w:proofErr w:type="spellEnd"/>
      <w:r>
        <w:rPr>
          <w:rtl/>
        </w:rPr>
        <w:t xml:space="preserve"> יודע היטב שהוא (</w:t>
      </w:r>
      <w:proofErr w:type="spellStart"/>
      <w:r>
        <w:rPr>
          <w:rtl/>
        </w:rPr>
        <w:t>ליליינטל</w:t>
      </w:r>
      <w:proofErr w:type="spellEnd"/>
      <w:r>
        <w:rPr>
          <w:rtl/>
        </w:rPr>
        <w:t>) עדיין אינו זוכה לאמון, כמקודם ויותר מזה! סמך לסברה זו נמצא בדיווח של “</w:t>
      </w:r>
      <w:proofErr w:type="spellStart"/>
      <w:r>
        <w:rPr>
          <w:rtl/>
        </w:rPr>
        <w:t>זכרון</w:t>
      </w:r>
      <w:proofErr w:type="spellEnd"/>
      <w:r>
        <w:rPr>
          <w:rtl/>
        </w:rPr>
        <w:t xml:space="preserve"> יעקב”</w:t>
      </w:r>
      <w:bookmarkStart w:id="1372" w:name="_fnr866"/>
      <w:r>
        <w:rPr>
          <w:rStyle w:val="a5"/>
        </w:rPr>
        <w:footnoteReference w:id="869" w:customMarkFollows="0"/>
      </w:r>
      <w:bookmarkEnd w:id="1372"/>
      <w:r>
        <w:rPr>
          <w:rtl/>
        </w:rPr>
        <w:t xml:space="preserve">: “המקורבים </w:t>
      </w:r>
      <w:proofErr w:type="spellStart"/>
      <w:r>
        <w:rPr>
          <w:rtl/>
        </w:rPr>
        <w:t>לר</w:t>
      </w:r>
      <w:proofErr w:type="spellEnd"/>
      <w:r>
        <w:rPr>
          <w:rtl/>
        </w:rPr>
        <w:t xml:space="preserve">׳ </w:t>
      </w:r>
      <w:proofErr w:type="spellStart"/>
      <w:r>
        <w:rPr>
          <w:rtl/>
        </w:rPr>
        <w:t>איצל׳ה</w:t>
      </w:r>
      <w:proofErr w:type="spellEnd"/>
      <w:r>
        <w:rPr>
          <w:rtl/>
        </w:rPr>
        <w:t xml:space="preserve">” סיפרו שהוא “ביקש להכניס פרוות כבשים בין צרור החפצים” שלקח עמו לאספת הוועדה הרבנית בפטרבורג, </w:t>
      </w:r>
      <w:r>
        <w:rPr>
          <w:b/>
          <w:bCs/>
          <w:rtl/>
        </w:rPr>
        <w:t>שכונסה לקיץ הבא</w:t>
      </w:r>
      <w:r>
        <w:rPr>
          <w:rtl/>
        </w:rPr>
        <w:t xml:space="preserve"> </w:t>
      </w:r>
      <w:proofErr w:type="spellStart"/>
      <w:r>
        <w:rPr>
          <w:rtl/>
        </w:rPr>
        <w:t>ושליליינטל</w:t>
      </w:r>
      <w:proofErr w:type="spellEnd"/>
      <w:r>
        <w:rPr>
          <w:rtl/>
        </w:rPr>
        <w:t xml:space="preserve"> השתתף בה, “שמא יוגלה לסיביר הקפואה”.</w:t>
      </w:r>
    </w:p>
    <w:p w14:paraId="73D9456F" w14:textId="77777777" w:rsidR="00AB3647" w:rsidRDefault="00000000" w:rsidP="007923E9">
      <w:pPr>
        <w:spacing w:after="120" w:line="276" w:lineRule="auto"/>
        <w:ind w:firstLine="283"/>
        <w:jc w:val="both"/>
      </w:pPr>
      <w:r>
        <w:rPr>
          <w:rtl/>
        </w:rPr>
        <w:lastRenderedPageBreak/>
        <w:t xml:space="preserve">הוועדה הוקמה רשמית בקיץ שלפני ביקורו של </w:t>
      </w:r>
      <w:proofErr w:type="spellStart"/>
      <w:r>
        <w:rPr>
          <w:rtl/>
        </w:rPr>
        <w:t>ליליינטל</w:t>
      </w:r>
      <w:proofErr w:type="spellEnd"/>
      <w:r>
        <w:rPr>
          <w:rtl/>
        </w:rPr>
        <w:t xml:space="preserve"> </w:t>
      </w:r>
      <w:proofErr w:type="spellStart"/>
      <w:r>
        <w:rPr>
          <w:rtl/>
        </w:rPr>
        <w:t>בוולוז׳ין</w:t>
      </w:r>
      <w:proofErr w:type="spellEnd"/>
      <w:r>
        <w:rPr>
          <w:rtl/>
        </w:rPr>
        <w:t xml:space="preserve">, כאמור לעיל, </w:t>
      </w:r>
      <w:proofErr w:type="spellStart"/>
      <w:r>
        <w:rPr>
          <w:rtl/>
        </w:rPr>
        <w:t>וליליינטל</w:t>
      </w:r>
      <w:proofErr w:type="spellEnd"/>
      <w:r>
        <w:rPr>
          <w:rtl/>
        </w:rPr>
        <w:t xml:space="preserve"> ודאי דיבר עליה עם ר׳ </w:t>
      </w:r>
      <w:proofErr w:type="spellStart"/>
      <w:r>
        <w:rPr>
          <w:rtl/>
        </w:rPr>
        <w:t>איצל׳ה</w:t>
      </w:r>
      <w:proofErr w:type="spellEnd"/>
      <w:r>
        <w:rPr>
          <w:rtl/>
        </w:rPr>
        <w:t xml:space="preserve"> כשנפגשו </w:t>
      </w:r>
      <w:proofErr w:type="spellStart"/>
      <w:r>
        <w:rPr>
          <w:rtl/>
        </w:rPr>
        <w:t>בוולוז׳ין</w:t>
      </w:r>
      <w:proofErr w:type="spellEnd"/>
      <w:r>
        <w:rPr>
          <w:rtl/>
        </w:rPr>
        <w:t xml:space="preserve">. אילו ציפה ר׳ </w:t>
      </w:r>
      <w:proofErr w:type="spellStart"/>
      <w:r>
        <w:rPr>
          <w:rtl/>
        </w:rPr>
        <w:t>איצל׳ה</w:t>
      </w:r>
      <w:proofErr w:type="spellEnd"/>
      <w:r>
        <w:rPr>
          <w:rtl/>
        </w:rPr>
        <w:t xml:space="preserve"> </w:t>
      </w:r>
      <w:proofErr w:type="spellStart"/>
      <w:r>
        <w:rPr>
          <w:rtl/>
        </w:rPr>
        <w:t>שליליינטל</w:t>
      </w:r>
      <w:proofErr w:type="spellEnd"/>
      <w:r>
        <w:rPr>
          <w:rtl/>
        </w:rPr>
        <w:t xml:space="preserve"> ימסור </w:t>
      </w:r>
      <w:proofErr w:type="spellStart"/>
      <w:r>
        <w:rPr>
          <w:rtl/>
        </w:rPr>
        <w:t>לאוברוב</w:t>
      </w:r>
      <w:proofErr w:type="spellEnd"/>
      <w:r>
        <w:rPr>
          <w:rtl/>
        </w:rPr>
        <w:t xml:space="preserve"> דיווח אוהד עליו, כמו שכתב </w:t>
      </w:r>
      <w:proofErr w:type="spellStart"/>
      <w:r>
        <w:rPr>
          <w:rtl/>
        </w:rPr>
        <w:t>ליליינטל</w:t>
      </w:r>
      <w:proofErr w:type="spellEnd"/>
      <w:r>
        <w:rPr>
          <w:rtl/>
        </w:rPr>
        <w:t xml:space="preserve"> לרוזנטל, לא היה טעם שיראה בנסיעתו לפטרבורג כנציג רבני סכנה לו עצמו. ר׳ </w:t>
      </w:r>
      <w:proofErr w:type="spellStart"/>
      <w:r>
        <w:rPr>
          <w:rtl/>
        </w:rPr>
        <w:t>איצל׳ה</w:t>
      </w:r>
      <w:proofErr w:type="spellEnd"/>
      <w:r>
        <w:rPr>
          <w:rtl/>
        </w:rPr>
        <w:t xml:space="preserve"> ודאי חשש </w:t>
      </w:r>
      <w:proofErr w:type="spellStart"/>
      <w:r>
        <w:rPr>
          <w:rtl/>
        </w:rPr>
        <w:t>שליליינטל</w:t>
      </w:r>
      <w:proofErr w:type="spellEnd"/>
      <w:r>
        <w:rPr>
          <w:rtl/>
        </w:rPr>
        <w:t xml:space="preserve"> סיפר </w:t>
      </w:r>
      <w:proofErr w:type="spellStart"/>
      <w:r>
        <w:rPr>
          <w:rtl/>
        </w:rPr>
        <w:t>לאוברוב</w:t>
      </w:r>
      <w:proofErr w:type="spellEnd"/>
      <w:r>
        <w:rPr>
          <w:rtl/>
        </w:rPr>
        <w:t xml:space="preserve"> שהרב משתף פעולה רק מפני שהוא ירא מן הממשלה, ושיש לאסור אותו ולשלחו לסיביר!</w:t>
      </w:r>
    </w:p>
    <w:p w14:paraId="714998A0" w14:textId="77777777" w:rsidR="00AB3647" w:rsidRDefault="00000000" w:rsidP="007923E9">
      <w:pPr>
        <w:spacing w:after="120" w:line="276" w:lineRule="auto"/>
        <w:ind w:firstLine="283"/>
        <w:jc w:val="both"/>
      </w:pPr>
      <w:proofErr w:type="spellStart"/>
      <w:r>
        <w:rPr>
          <w:rtl/>
        </w:rPr>
        <w:t>ב“פון</w:t>
      </w:r>
      <w:proofErr w:type="spellEnd"/>
      <w:r>
        <w:rPr>
          <w:rtl/>
        </w:rPr>
        <w:t xml:space="preserve"> </w:t>
      </w:r>
      <w:proofErr w:type="spellStart"/>
      <w:r>
        <w:rPr>
          <w:rtl/>
        </w:rPr>
        <w:t>וואלאזין</w:t>
      </w:r>
      <w:proofErr w:type="spellEnd"/>
      <w:r>
        <w:rPr>
          <w:rtl/>
        </w:rPr>
        <w:t xml:space="preserve"> </w:t>
      </w:r>
      <w:proofErr w:type="spellStart"/>
      <w:r>
        <w:rPr>
          <w:rtl/>
        </w:rPr>
        <w:t>ביז</w:t>
      </w:r>
      <w:proofErr w:type="spellEnd"/>
      <w:r>
        <w:rPr>
          <w:rtl/>
        </w:rPr>
        <w:t xml:space="preserve"> ירושלים”</w:t>
      </w:r>
      <w:bookmarkStart w:id="1373" w:name="_fnr867"/>
      <w:r>
        <w:rPr>
          <w:rStyle w:val="a5"/>
        </w:rPr>
        <w:footnoteReference w:id="870" w:customMarkFollows="0"/>
      </w:r>
      <w:bookmarkEnd w:id="1373"/>
      <w:r>
        <w:rPr>
          <w:rtl/>
        </w:rPr>
        <w:t xml:space="preserve"> יש סיפור מעניין על פריט לבוש אחר שלקח עמו ר׳ </w:t>
      </w:r>
      <w:proofErr w:type="spellStart"/>
      <w:r>
        <w:rPr>
          <w:rtl/>
        </w:rPr>
        <w:t>איצל׳ה</w:t>
      </w:r>
      <w:proofErr w:type="spellEnd"/>
      <w:r>
        <w:rPr>
          <w:rtl/>
        </w:rPr>
        <w:t xml:space="preserve"> לפטרבורג. וזו לשונו: “לפני כמה עשרות שנים עוד אפשר היה לראות בבית נכדיו של ר׳ </w:t>
      </w:r>
      <w:proofErr w:type="spellStart"/>
      <w:r>
        <w:rPr>
          <w:rtl/>
        </w:rPr>
        <w:t>איצל׳ה</w:t>
      </w:r>
      <w:proofErr w:type="spellEnd"/>
      <w:r>
        <w:rPr>
          <w:rtl/>
        </w:rPr>
        <w:t xml:space="preserve">, ר׳ </w:t>
      </w:r>
      <w:proofErr w:type="spellStart"/>
      <w:r>
        <w:rPr>
          <w:rtl/>
        </w:rPr>
        <w:t>חיים־הלל</w:t>
      </w:r>
      <w:proofErr w:type="spellEnd"/>
      <w:r>
        <w:rPr>
          <w:rtl/>
        </w:rPr>
        <w:t xml:space="preserve"> פריד ורעייתו המפורסמת, הרבנית ביילה, את הבגד שלבש ר׳ </w:t>
      </w:r>
      <w:proofErr w:type="spellStart"/>
      <w:r>
        <w:rPr>
          <w:rtl/>
        </w:rPr>
        <w:t>איצל׳ה</w:t>
      </w:r>
      <w:proofErr w:type="spellEnd"/>
      <w:r>
        <w:rPr>
          <w:rtl/>
        </w:rPr>
        <w:t xml:space="preserve"> כשהיה אצל הצאר ניקולאי הראשון. הוא היה עשוי משי נאה, בצבע צהבהב, ובחלקו הקדמי חתיכה גדולה מעוטרת בכסף. הוא היה ארוך ובעל ארבע כנפות, וציציות הוטלו ב[</w:t>
      </w:r>
      <w:proofErr w:type="spellStart"/>
      <w:r>
        <w:rPr>
          <w:rtl/>
        </w:rPr>
        <w:t>כנפותיו</w:t>
      </w:r>
      <w:proofErr w:type="spellEnd"/>
      <w:r>
        <w:rPr>
          <w:rtl/>
        </w:rPr>
        <w:t xml:space="preserve">]. מסופר שהשר </w:t>
      </w:r>
      <w:proofErr w:type="spellStart"/>
      <w:r>
        <w:rPr>
          <w:rtl/>
        </w:rPr>
        <w:t>אוברוב</w:t>
      </w:r>
      <w:proofErr w:type="spellEnd"/>
      <w:r>
        <w:rPr>
          <w:rtl/>
        </w:rPr>
        <w:t xml:space="preserve"> דאז, שאמרו עליו שהיה ‘יודע ספר’” – ודאי הגזמה – “כשראה את ר׳ </w:t>
      </w:r>
      <w:proofErr w:type="spellStart"/>
      <w:r>
        <w:rPr>
          <w:rtl/>
        </w:rPr>
        <w:t>איצל׳ה</w:t>
      </w:r>
      <w:proofErr w:type="spellEnd"/>
      <w:r>
        <w:rPr>
          <w:rtl/>
        </w:rPr>
        <w:t xml:space="preserve"> מקושט כך, שאל כיצד הוא עובר על הפסוק ‘אל תתהדר לפני מלך׳</w:t>
      </w:r>
      <w:bookmarkStart w:id="1374" w:name="_fnr868"/>
      <w:r>
        <w:rPr>
          <w:rStyle w:val="a5"/>
        </w:rPr>
        <w:footnoteReference w:id="871" w:customMarkFollows="0"/>
      </w:r>
      <w:bookmarkEnd w:id="1374"/>
      <w:r>
        <w:rPr>
          <w:rtl/>
        </w:rPr>
        <w:t xml:space="preserve">, וגם על מאמר חז״ל ‘יאה </w:t>
      </w:r>
      <w:proofErr w:type="spellStart"/>
      <w:r>
        <w:rPr>
          <w:rtl/>
        </w:rPr>
        <w:t>עניותא</w:t>
      </w:r>
      <w:proofErr w:type="spellEnd"/>
      <w:r>
        <w:rPr>
          <w:rtl/>
        </w:rPr>
        <w:t xml:space="preserve"> </w:t>
      </w:r>
      <w:proofErr w:type="spellStart"/>
      <w:r>
        <w:rPr>
          <w:rtl/>
        </w:rPr>
        <w:t>ליהודאי</w:t>
      </w:r>
      <w:proofErr w:type="spellEnd"/>
      <w:r>
        <w:rPr>
          <w:rtl/>
        </w:rPr>
        <w:t>’</w:t>
      </w:r>
      <w:bookmarkStart w:id="1375" w:name="_fnr869"/>
      <w:r>
        <w:rPr>
          <w:rStyle w:val="a5"/>
        </w:rPr>
        <w:footnoteReference w:id="872" w:customMarkFollows="0"/>
      </w:r>
      <w:bookmarkEnd w:id="1375"/>
      <w:r>
        <w:rPr>
          <w:rtl/>
        </w:rPr>
        <w:t xml:space="preserve">. ר׳ </w:t>
      </w:r>
      <w:proofErr w:type="spellStart"/>
      <w:r>
        <w:rPr>
          <w:rtl/>
        </w:rPr>
        <w:t>איצל׳ה</w:t>
      </w:r>
      <w:proofErr w:type="spellEnd"/>
      <w:r>
        <w:rPr>
          <w:rtl/>
        </w:rPr>
        <w:t xml:space="preserve"> השיב לו, כביכול: ‘משום כך בדיוק אני לובש בגד נאה: מאחר </w:t>
      </w:r>
      <w:proofErr w:type="spellStart"/>
      <w:r>
        <w:rPr>
          <w:rtl/>
        </w:rPr>
        <w:t>ש“יאה</w:t>
      </w:r>
      <w:proofErr w:type="spellEnd"/>
      <w:r>
        <w:rPr>
          <w:rtl/>
        </w:rPr>
        <w:t xml:space="preserve"> </w:t>
      </w:r>
      <w:proofErr w:type="spellStart"/>
      <w:r>
        <w:rPr>
          <w:rtl/>
        </w:rPr>
        <w:t>עניותא</w:t>
      </w:r>
      <w:proofErr w:type="spellEnd"/>
      <w:r>
        <w:rPr>
          <w:rtl/>
        </w:rPr>
        <w:t xml:space="preserve"> </w:t>
      </w:r>
      <w:proofErr w:type="spellStart"/>
      <w:r>
        <w:rPr>
          <w:rtl/>
        </w:rPr>
        <w:t>ליהודאי</w:t>
      </w:r>
      <w:proofErr w:type="spellEnd"/>
      <w:r>
        <w:rPr>
          <w:rtl/>
        </w:rPr>
        <w:t>”, ומאחר שנצטווינו “אל תתהדר לפני מלך”, לא הותר לי להתהדר ביופיי היהודי, שהוא העוני.’”</w:t>
      </w:r>
    </w:p>
    <w:p w14:paraId="2F712225" w14:textId="77777777" w:rsidR="00AB3647" w:rsidRDefault="00000000" w:rsidP="007923E9">
      <w:pPr>
        <w:spacing w:after="120" w:line="276" w:lineRule="auto"/>
        <w:ind w:firstLine="283"/>
        <w:jc w:val="both"/>
      </w:pPr>
      <w:r>
        <w:rPr>
          <w:rtl/>
        </w:rPr>
        <w:t xml:space="preserve">מה הייתה הסיבה האמיתית לבחירת הלבוש המוזרה של ר׳ </w:t>
      </w:r>
      <w:proofErr w:type="spellStart"/>
      <w:r>
        <w:rPr>
          <w:rtl/>
        </w:rPr>
        <w:t>איצל׳ה</w:t>
      </w:r>
      <w:proofErr w:type="spellEnd"/>
      <w:r>
        <w:rPr>
          <w:rtl/>
        </w:rPr>
        <w:t xml:space="preserve"> – אפשר רק לשער. אני משער שרצה להיראות מלכותי במיוחד, בדיוק כפי שחשב </w:t>
      </w:r>
      <w:proofErr w:type="spellStart"/>
      <w:r>
        <w:rPr>
          <w:rtl/>
        </w:rPr>
        <w:t>אוברוב</w:t>
      </w:r>
      <w:proofErr w:type="spellEnd"/>
      <w:r>
        <w:rPr>
          <w:rtl/>
        </w:rPr>
        <w:t xml:space="preserve"> שנראה בבגד זה. הוא רצה להיראות שונה מרבנים אחרים שפקידי פטרבורג, ואולי הצאר עצמו, ראו מסיבה זו או אחרת, כדי שיראו בו מעין רב </w:t>
      </w:r>
      <w:r>
        <w:rPr>
          <w:b/>
          <w:bCs/>
          <w:rtl/>
        </w:rPr>
        <w:t>ראשי</w:t>
      </w:r>
      <w:r>
        <w:rPr>
          <w:rtl/>
        </w:rPr>
        <w:t xml:space="preserve"> במדים. אפשר שחש שיהיה בטוח יותר אם ייתפס כמנהיג כריזמטי, שמעצרו עלול לעורר תסיסה בכל האוכלוסייה היהודית ברוסיה.</w:t>
      </w:r>
    </w:p>
    <w:p w14:paraId="2237AE33" w14:textId="77777777" w:rsidR="00AB3647" w:rsidRDefault="00000000" w:rsidP="007923E9">
      <w:pPr>
        <w:spacing w:after="120" w:line="276" w:lineRule="auto"/>
        <w:ind w:firstLine="283"/>
        <w:jc w:val="both"/>
      </w:pPr>
      <w:r>
        <w:rPr>
          <w:rtl/>
        </w:rPr>
        <w:t xml:space="preserve">כנראה על הבגד החיצון בעל הציציות של ר׳ </w:t>
      </w:r>
      <w:proofErr w:type="spellStart"/>
      <w:r>
        <w:rPr>
          <w:rtl/>
        </w:rPr>
        <w:t>איצל׳ה</w:t>
      </w:r>
      <w:proofErr w:type="spellEnd"/>
      <w:r>
        <w:rPr>
          <w:rtl/>
        </w:rPr>
        <w:t xml:space="preserve"> מסופר</w:t>
      </w:r>
      <w:bookmarkStart w:id="1376" w:name="_fnr870"/>
      <w:r>
        <w:rPr>
          <w:rStyle w:val="a5"/>
        </w:rPr>
        <w:footnoteReference w:id="873" w:customMarkFollows="0"/>
      </w:r>
      <w:bookmarkEnd w:id="1376"/>
      <w:r>
        <w:rPr>
          <w:rtl/>
        </w:rPr>
        <w:t xml:space="preserve"> שבאספה בפטרבורג שאל </w:t>
      </w:r>
      <w:proofErr w:type="spellStart"/>
      <w:r>
        <w:rPr>
          <w:rtl/>
        </w:rPr>
        <w:t>אוברוב</w:t>
      </w:r>
      <w:proofErr w:type="spellEnd"/>
      <w:r>
        <w:rPr>
          <w:rtl/>
        </w:rPr>
        <w:t xml:space="preserve"> את ר׳ </w:t>
      </w:r>
      <w:proofErr w:type="spellStart"/>
      <w:r>
        <w:rPr>
          <w:rtl/>
        </w:rPr>
        <w:t>איצל׳ה</w:t>
      </w:r>
      <w:proofErr w:type="spellEnd"/>
      <w:r>
        <w:rPr>
          <w:rtl/>
        </w:rPr>
        <w:t xml:space="preserve"> מדוע ציציותיו מגיעות עד הארץ, ואילו ציציותיו של </w:t>
      </w:r>
      <w:proofErr w:type="spellStart"/>
      <w:r>
        <w:rPr>
          <w:rtl/>
        </w:rPr>
        <w:t>ליליינטל</w:t>
      </w:r>
      <w:proofErr w:type="spellEnd"/>
      <w:r>
        <w:rPr>
          <w:rtl/>
        </w:rPr>
        <w:t xml:space="preserve">, “שגם הוא רב, ובוודאי לובש אותן, אינן נראות מבחוץ כלל”. ר׳ </w:t>
      </w:r>
      <w:proofErr w:type="spellStart"/>
      <w:r>
        <w:rPr>
          <w:rtl/>
        </w:rPr>
        <w:t>איצל׳ה</w:t>
      </w:r>
      <w:proofErr w:type="spellEnd"/>
      <w:r>
        <w:rPr>
          <w:rtl/>
        </w:rPr>
        <w:t xml:space="preserve"> השיב: “תכלית הציצית היא להזכיר לנו את מצוות ה׳. איש צעיר וחריף כמו ד״ר </w:t>
      </w:r>
      <w:proofErr w:type="spellStart"/>
      <w:r>
        <w:rPr>
          <w:rtl/>
        </w:rPr>
        <w:t>ליליינטל</w:t>
      </w:r>
      <w:proofErr w:type="spellEnd"/>
      <w:r>
        <w:rPr>
          <w:rtl/>
        </w:rPr>
        <w:t xml:space="preserve"> זוכר דברים בקלות, אבל אני כבר זקן וזיכרוני חלש, ולכן אני צריך ציציות ארוכות כדי להיזכר.” סיפור אגדי נוסף רשום בספרו של </w:t>
      </w:r>
      <w:proofErr w:type="spellStart"/>
      <w:r>
        <w:rPr>
          <w:rtl/>
        </w:rPr>
        <w:t>צינוביץ</w:t>
      </w:r>
      <w:proofErr w:type="spellEnd"/>
      <w:r>
        <w:rPr>
          <w:rtl/>
        </w:rPr>
        <w:t>, “עץ חיים”</w:t>
      </w:r>
      <w:bookmarkStart w:id="1377" w:name="_fnr871"/>
      <w:r>
        <w:rPr>
          <w:rStyle w:val="a5"/>
        </w:rPr>
        <w:footnoteReference w:id="874" w:customMarkFollows="0"/>
      </w:r>
      <w:bookmarkEnd w:id="1377"/>
      <w:r>
        <w:rPr>
          <w:rtl/>
        </w:rPr>
        <w:t xml:space="preserve">, וזו לשונו: “מספרים שהשר התפעל כל כך משכלו </w:t>
      </w:r>
      <w:proofErr w:type="spellStart"/>
      <w:r>
        <w:rPr>
          <w:rtl/>
        </w:rPr>
        <w:t>ומחכמתו</w:t>
      </w:r>
      <w:proofErr w:type="spellEnd"/>
      <w:r>
        <w:rPr>
          <w:rtl/>
        </w:rPr>
        <w:t xml:space="preserve"> של ר׳ </w:t>
      </w:r>
      <w:proofErr w:type="spellStart"/>
      <w:r>
        <w:rPr>
          <w:rtl/>
        </w:rPr>
        <w:t>איצל׳ה</w:t>
      </w:r>
      <w:proofErr w:type="spellEnd"/>
      <w:r>
        <w:rPr>
          <w:rtl/>
        </w:rPr>
        <w:t xml:space="preserve"> עד שאמר </w:t>
      </w:r>
      <w:proofErr w:type="spellStart"/>
      <w:r>
        <w:rPr>
          <w:rtl/>
        </w:rPr>
        <w:t>לר</w:t>
      </w:r>
      <w:proofErr w:type="spellEnd"/>
      <w:r>
        <w:rPr>
          <w:rtl/>
        </w:rPr>
        <w:t xml:space="preserve">׳ </w:t>
      </w:r>
      <w:proofErr w:type="spellStart"/>
      <w:r>
        <w:rPr>
          <w:rtl/>
        </w:rPr>
        <w:t>איצל׳ה</w:t>
      </w:r>
      <w:proofErr w:type="spellEnd"/>
      <w:r>
        <w:rPr>
          <w:rtl/>
        </w:rPr>
        <w:t xml:space="preserve">: ‘אילו לא היית רב, יכולת להגיע למשרת שר׳, והשיב ר׳ </w:t>
      </w:r>
      <w:proofErr w:type="spellStart"/>
      <w:r>
        <w:rPr>
          <w:rtl/>
        </w:rPr>
        <w:t>איצל׳ה</w:t>
      </w:r>
      <w:proofErr w:type="spellEnd"/>
      <w:r>
        <w:rPr>
          <w:rtl/>
        </w:rPr>
        <w:t>: ‘אדוני הרוזן, אילו לא היית שר, ודאי יכולת להיות רב.’”</w:t>
      </w:r>
      <w:bookmarkStart w:id="1378" w:name="_fnr872"/>
      <w:bookmarkStart w:id="1379" w:name="pr_f_793"/>
      <w:r>
        <w:rPr>
          <w:rStyle w:val="a5"/>
        </w:rPr>
        <w:footnoteReference w:id="875" w:customMarkFollows="0"/>
      </w:r>
      <w:bookmarkEnd w:id="1378"/>
      <w:bookmarkEnd w:id="1379"/>
    </w:p>
    <w:p w14:paraId="4D229C50" w14:textId="77777777" w:rsidR="00AB3647" w:rsidRDefault="00000000" w:rsidP="007923E9">
      <w:pPr>
        <w:spacing w:after="120" w:line="276" w:lineRule="auto"/>
        <w:ind w:firstLine="283"/>
        <w:jc w:val="both"/>
      </w:pPr>
      <w:r>
        <w:rPr>
          <w:rtl/>
        </w:rPr>
        <w:lastRenderedPageBreak/>
        <w:t xml:space="preserve">על התעניינותו של </w:t>
      </w:r>
      <w:proofErr w:type="spellStart"/>
      <w:r>
        <w:rPr>
          <w:rtl/>
        </w:rPr>
        <w:t>אוברוב</w:t>
      </w:r>
      <w:proofErr w:type="spellEnd"/>
      <w:r>
        <w:rPr>
          <w:rtl/>
        </w:rPr>
        <w:t xml:space="preserve"> בספרות היהודית</w:t>
      </w:r>
      <w:bookmarkStart w:id="1380" w:name="_fnr873"/>
      <w:r>
        <w:rPr>
          <w:rStyle w:val="a5"/>
        </w:rPr>
        <w:footnoteReference w:id="876" w:customMarkFollows="0"/>
      </w:r>
      <w:bookmarkEnd w:id="1380"/>
      <w:r>
        <w:rPr>
          <w:rtl/>
        </w:rPr>
        <w:t xml:space="preserve"> השווה “מקור ברוך”</w:t>
      </w:r>
      <w:bookmarkStart w:id="1381" w:name="_fnr874"/>
      <w:r>
        <w:rPr>
          <w:rStyle w:val="a5"/>
        </w:rPr>
        <w:footnoteReference w:id="877" w:customMarkFollows="0"/>
      </w:r>
      <w:bookmarkEnd w:id="1381"/>
      <w:r>
        <w:rPr>
          <w:rtl/>
        </w:rPr>
        <w:t xml:space="preserve">, ובו סיפור מרגש שסיפר </w:t>
      </w:r>
      <w:proofErr w:type="spellStart"/>
      <w:r>
        <w:rPr>
          <w:rtl/>
        </w:rPr>
        <w:t>הנצי״ב</w:t>
      </w:r>
      <w:proofErr w:type="spellEnd"/>
      <w:r>
        <w:rPr>
          <w:rtl/>
        </w:rPr>
        <w:t xml:space="preserve"> משמו של </w:t>
      </w:r>
      <w:proofErr w:type="spellStart"/>
      <w:r>
        <w:rPr>
          <w:rtl/>
        </w:rPr>
        <w:t>ליליינטל</w:t>
      </w:r>
      <w:proofErr w:type="spellEnd"/>
      <w:r>
        <w:rPr>
          <w:rtl/>
        </w:rPr>
        <w:t xml:space="preserve">. </w:t>
      </w:r>
      <w:proofErr w:type="spellStart"/>
      <w:r>
        <w:rPr>
          <w:rtl/>
        </w:rPr>
        <w:t>אוברוב</w:t>
      </w:r>
      <w:proofErr w:type="spellEnd"/>
      <w:r>
        <w:rPr>
          <w:rtl/>
        </w:rPr>
        <w:t xml:space="preserve"> ביקש ללמוד סוגיה “עמוקה וחריפה” בתלמוד, </w:t>
      </w:r>
      <w:proofErr w:type="spellStart"/>
      <w:r>
        <w:rPr>
          <w:rtl/>
        </w:rPr>
        <w:t>וליליינטל</w:t>
      </w:r>
      <w:proofErr w:type="spellEnd"/>
      <w:r>
        <w:rPr>
          <w:rtl/>
        </w:rPr>
        <w:t xml:space="preserve"> התכונן זמן רב, בעזרת שני תלמידי חכמים שישבו בפטרבורג, ללמד את הגוי את סוגיית “תגרי לוד”</w:t>
      </w:r>
      <w:bookmarkStart w:id="1382" w:name="_fnr875"/>
      <w:r>
        <w:rPr>
          <w:rStyle w:val="a5"/>
        </w:rPr>
        <w:footnoteReference w:id="878" w:customMarkFollows="0"/>
      </w:r>
      <w:bookmarkEnd w:id="1382"/>
      <w:r>
        <w:rPr>
          <w:rtl/>
        </w:rPr>
        <w:t xml:space="preserve">. גם השר ניגש ללימוד </w:t>
      </w:r>
      <w:proofErr w:type="spellStart"/>
      <w:r>
        <w:rPr>
          <w:rtl/>
        </w:rPr>
        <w:t>הסוגיה</w:t>
      </w:r>
      <w:proofErr w:type="spellEnd"/>
      <w:r>
        <w:rPr>
          <w:rtl/>
        </w:rPr>
        <w:t xml:space="preserve"> רק אחרי שהקדיש ימים אחדים לסיום ענייני ממשלה דחופים, כדי שיוכל להתרכז בה לגמרי.</w:t>
      </w:r>
    </w:p>
    <w:p w14:paraId="43D39555" w14:textId="77777777" w:rsidR="00AB3647" w:rsidRDefault="00000000" w:rsidP="007923E9">
      <w:pPr>
        <w:spacing w:after="120" w:line="276" w:lineRule="auto"/>
        <w:ind w:firstLine="283"/>
        <w:jc w:val="both"/>
      </w:pPr>
      <w:r>
        <w:rPr>
          <w:rtl/>
        </w:rPr>
        <w:t xml:space="preserve">אבל אחרי שניסה לרדת לסוף </w:t>
      </w:r>
      <w:proofErr w:type="spellStart"/>
      <w:r>
        <w:rPr>
          <w:rtl/>
        </w:rPr>
        <w:t>הסוגיה</w:t>
      </w:r>
      <w:proofErr w:type="spellEnd"/>
      <w:r>
        <w:rPr>
          <w:rtl/>
        </w:rPr>
        <w:t xml:space="preserve"> פעם ופעמיים, “קם [</w:t>
      </w:r>
      <w:proofErr w:type="spellStart"/>
      <w:r>
        <w:rPr>
          <w:rtl/>
        </w:rPr>
        <w:t>אוברוב</w:t>
      </w:r>
      <w:proofErr w:type="spellEnd"/>
      <w:r>
        <w:rPr>
          <w:rtl/>
        </w:rPr>
        <w:t xml:space="preserve">] ממקומו... שפשף את כפות ידיו זו בזו בחוזקה וברגש כן, כאדם השטוף ייסורים ומבוכה, שנפשו נפגעה מאסון מר, וברוח נכאה ובתדהמה עמוקה, כמי שנואש מדבר שקיווה להשיגו, השמיע לעצמו את המילים הנוראות: ‘אינני מבין.’ </w:t>
      </w:r>
      <w:proofErr w:type="spellStart"/>
      <w:r>
        <w:rPr>
          <w:rtl/>
        </w:rPr>
        <w:t>ליליינטל</w:t>
      </w:r>
      <w:proofErr w:type="spellEnd"/>
      <w:r>
        <w:rPr>
          <w:rtl/>
        </w:rPr>
        <w:t xml:space="preserve"> סיפר שלא היה קץ לצערו של </w:t>
      </w:r>
      <w:proofErr w:type="spellStart"/>
      <w:r>
        <w:rPr>
          <w:rtl/>
        </w:rPr>
        <w:t>אוברוב</w:t>
      </w:r>
      <w:proofErr w:type="spellEnd"/>
      <w:r>
        <w:rPr>
          <w:rtl/>
        </w:rPr>
        <w:t xml:space="preserve"> על כך, בפרט מפני שקודם לכן שמע </w:t>
      </w:r>
      <w:proofErr w:type="spellStart"/>
      <w:r>
        <w:rPr>
          <w:rtl/>
        </w:rPr>
        <w:t>מליליינטל</w:t>
      </w:r>
      <w:proofErr w:type="spellEnd"/>
      <w:r>
        <w:rPr>
          <w:rtl/>
        </w:rPr>
        <w:t xml:space="preserve">, דרך אגב, שכל בחור ישיבה בעל כישרון מסוגל להקיף את הפלפול כולו ולהבינו כראוי. מכאן הסיק </w:t>
      </w:r>
      <w:proofErr w:type="spellStart"/>
      <w:r>
        <w:rPr>
          <w:rtl/>
        </w:rPr>
        <w:t>אוברוב</w:t>
      </w:r>
      <w:proofErr w:type="spellEnd"/>
      <w:r>
        <w:rPr>
          <w:rtl/>
        </w:rPr>
        <w:t xml:space="preserve"> שהוא, שר ההשכלה המצוין בין החכמים, אף אחרי שהקדיש את כל כוח כשרונו ואת כל כוח מחשבתו... לא הגיע למדרגתו של אחד מבחורי הישיבה. גם </w:t>
      </w:r>
      <w:proofErr w:type="spellStart"/>
      <w:r>
        <w:rPr>
          <w:rtl/>
        </w:rPr>
        <w:t>ליליינטל</w:t>
      </w:r>
      <w:proofErr w:type="spellEnd"/>
      <w:r>
        <w:rPr>
          <w:rtl/>
        </w:rPr>
        <w:t xml:space="preserve"> היה ממורמר מאוד, ובמשך ימים אחדים אחר כך לא יכלו להיפגש זה עם זה בלי צער, [ואף ש]לא אמרו דבר על העניין, הרגישו ‘נזופים ונכלמים’.”</w:t>
      </w:r>
    </w:p>
    <w:p w14:paraId="2714C9C7" w14:textId="77777777" w:rsidR="00AB3647" w:rsidRDefault="00000000" w:rsidP="007923E9">
      <w:pPr>
        <w:spacing w:after="120" w:line="276" w:lineRule="auto"/>
        <w:ind w:firstLine="283"/>
        <w:jc w:val="both"/>
      </w:pPr>
      <w:r>
        <w:rPr>
          <w:rtl/>
        </w:rPr>
        <w:t xml:space="preserve">לביקורו של ר׳ </w:t>
      </w:r>
      <w:proofErr w:type="spellStart"/>
      <w:r>
        <w:rPr>
          <w:rtl/>
        </w:rPr>
        <w:t>איצל׳ה</w:t>
      </w:r>
      <w:proofErr w:type="spellEnd"/>
      <w:r>
        <w:rPr>
          <w:rtl/>
        </w:rPr>
        <w:t xml:space="preserve"> בפטרבורג נודעה בעיני היהודים חשיבות כה רבה, שיותר משש שנים אחר כך תואר באריכות על מצבתו. הכתובת נפתחת בשיר אקרוסטיכון בן </w:t>
      </w:r>
      <w:proofErr w:type="spellStart"/>
      <w:r>
        <w:rPr>
          <w:rtl/>
        </w:rPr>
        <w:t>חמש־עשרה</w:t>
      </w:r>
      <w:proofErr w:type="spellEnd"/>
      <w:r>
        <w:rPr>
          <w:rtl/>
        </w:rPr>
        <w:t xml:space="preserve"> שורות (מלא רמזים מקראיים). אחריו באה שורה אחת על תפקידו של הנפטר, שעדיין לא נזכר בשמו, כראש ישיבה, ואחריה ארבע שורות שמוקדשות לביקור בפטרבורג. וזו לשון חמש השורות:</w:t>
      </w:r>
    </w:p>
    <w:p w14:paraId="638DA059" w14:textId="77777777" w:rsidR="00AB3647" w:rsidRDefault="00000000" w:rsidP="007923E9">
      <w:pPr>
        <w:pStyle w:val="af1"/>
        <w:spacing w:line="276" w:lineRule="auto"/>
      </w:pPr>
      <w:r>
        <w:t>נהרו רבים לישיבתו בעירו/ ומידו להם קרנים</w:t>
      </w:r>
      <w:bookmarkStart w:id="1383" w:name="_fnr876"/>
      <w:r>
        <w:rPr>
          <w:rStyle w:val="a5"/>
        </w:rPr>
        <w:footnoteReference w:id="879" w:customMarkFollows="0"/>
      </w:r>
      <w:bookmarkEnd w:id="1383"/>
    </w:p>
    <w:p w14:paraId="4B4D53FE" w14:textId="77777777" w:rsidR="00AB3647" w:rsidRDefault="00000000" w:rsidP="007923E9">
      <w:pPr>
        <w:pStyle w:val="af1"/>
        <w:spacing w:line="276" w:lineRule="auto"/>
      </w:pPr>
      <w:r>
        <w:t xml:space="preserve">ונקרא למושל ארצו </w:t>
      </w:r>
      <w:proofErr w:type="spellStart"/>
      <w:r>
        <w:t>בחירו</w:t>
      </w:r>
      <w:proofErr w:type="spellEnd"/>
      <w:r>
        <w:t>/ להיות איש הבינים</w:t>
      </w:r>
      <w:bookmarkStart w:id="1384" w:name="_fnr877"/>
      <w:r>
        <w:rPr>
          <w:rStyle w:val="a5"/>
        </w:rPr>
        <w:footnoteReference w:id="880" w:customMarkFollows="0"/>
      </w:r>
      <w:bookmarkEnd w:id="1384"/>
    </w:p>
    <w:p w14:paraId="709C130F" w14:textId="77777777" w:rsidR="00AB3647" w:rsidRDefault="00000000" w:rsidP="007923E9">
      <w:pPr>
        <w:pStyle w:val="af1"/>
        <w:spacing w:line="276" w:lineRule="auto"/>
      </w:pPr>
      <w:proofErr w:type="spellStart"/>
      <w:r>
        <w:t>חכמתו</w:t>
      </w:r>
      <w:proofErr w:type="spellEnd"/>
      <w:r>
        <w:t xml:space="preserve"> וצדקתו היו בעזרו/ ויכבדו במלא חפנים</w:t>
      </w:r>
    </w:p>
    <w:p w14:paraId="2E9413D9" w14:textId="77777777" w:rsidR="00AB3647" w:rsidRDefault="00000000" w:rsidP="007923E9">
      <w:pPr>
        <w:pStyle w:val="af1"/>
        <w:spacing w:line="276" w:lineRule="auto"/>
      </w:pPr>
      <w:r>
        <w:t>יגע בעד עמו להאדירו/ ולהסיר לזות שפתים</w:t>
      </w:r>
    </w:p>
    <w:p w14:paraId="01CA26CE" w14:textId="77777777" w:rsidR="00AB3647" w:rsidRDefault="00000000" w:rsidP="007923E9">
      <w:pPr>
        <w:pStyle w:val="af1"/>
        <w:spacing w:line="276" w:lineRule="auto"/>
      </w:pPr>
      <w:r>
        <w:t xml:space="preserve">ידע לבקש די מחסורו/ ולפתוח לעמו </w:t>
      </w:r>
      <w:proofErr w:type="spellStart"/>
      <w:r>
        <w:t>דלתים</w:t>
      </w:r>
      <w:proofErr w:type="spellEnd"/>
    </w:p>
    <w:p w14:paraId="433F5E70" w14:textId="77777777" w:rsidR="00AB3647" w:rsidRDefault="00000000" w:rsidP="007923E9">
      <w:pPr>
        <w:spacing w:after="120" w:line="276" w:lineRule="auto"/>
        <w:ind w:firstLine="283"/>
        <w:jc w:val="both"/>
      </w:pPr>
      <w:r>
        <w:rPr>
          <w:rtl/>
        </w:rPr>
        <w:t xml:space="preserve">נראה שהביקור נחשב לאירוע מכונן בחייו של ר׳ </w:t>
      </w:r>
      <w:proofErr w:type="spellStart"/>
      <w:r>
        <w:rPr>
          <w:rtl/>
        </w:rPr>
        <w:t>איצל׳ה</w:t>
      </w:r>
      <w:proofErr w:type="spellEnd"/>
      <w:r>
        <w:rPr>
          <w:rtl/>
        </w:rPr>
        <w:t xml:space="preserve">, שהגדיר את אישיותו, עד שנרמז גם בשורות החותמות של הכתובת, המזכירות את שם הנפטר ואת תאריו. וזו לשונן: “ה״ה הרב הגאון צדיק ועניו החכם הכולל </w:t>
      </w:r>
      <w:r>
        <w:rPr>
          <w:b/>
          <w:bCs/>
          <w:rtl/>
        </w:rPr>
        <w:t>לפני שרי</w:t>
      </w:r>
      <w:bookmarkStart w:id="1385" w:name="_fnr878"/>
      <w:bookmarkStart w:id="1386" w:name="pr_f_799"/>
      <w:r>
        <w:rPr>
          <w:rStyle w:val="a5"/>
        </w:rPr>
        <w:footnoteReference w:id="881" w:customMarkFollows="0"/>
      </w:r>
      <w:bookmarkEnd w:id="1385"/>
      <w:bookmarkEnd w:id="1386"/>
      <w:r>
        <w:rPr>
          <w:b/>
          <w:bCs/>
          <w:rtl/>
        </w:rPr>
        <w:t xml:space="preserve"> מלוכה </w:t>
      </w:r>
      <w:proofErr w:type="spellStart"/>
      <w:r>
        <w:rPr>
          <w:b/>
          <w:bCs/>
          <w:rtl/>
        </w:rPr>
        <w:t>התיצב</w:t>
      </w:r>
      <w:proofErr w:type="spellEnd"/>
      <w:r>
        <w:rPr>
          <w:b/>
          <w:bCs/>
          <w:rtl/>
        </w:rPr>
        <w:t xml:space="preserve"> לטובת עמו</w:t>
      </w:r>
      <w:r>
        <w:rPr>
          <w:rtl/>
        </w:rPr>
        <w:t xml:space="preserve"> (ההדגשה שלי) </w:t>
      </w:r>
      <w:r>
        <w:rPr>
          <w:rtl/>
        </w:rPr>
        <w:lastRenderedPageBreak/>
        <w:t xml:space="preserve">חכם הרזים מרן יצחק זצ״ל בן הגאון החסיד מאור הגולה רבנו חיים זצ״ל </w:t>
      </w:r>
      <w:proofErr w:type="spellStart"/>
      <w:r>
        <w:rPr>
          <w:rtl/>
        </w:rPr>
        <w:t>האב״ד</w:t>
      </w:r>
      <w:proofErr w:type="spellEnd"/>
      <w:r>
        <w:rPr>
          <w:rtl/>
        </w:rPr>
        <w:t xml:space="preserve"> ור״מ </w:t>
      </w:r>
      <w:proofErr w:type="spellStart"/>
      <w:r>
        <w:rPr>
          <w:rtl/>
        </w:rPr>
        <w:t>דק״ק</w:t>
      </w:r>
      <w:proofErr w:type="spellEnd"/>
      <w:r>
        <w:rPr>
          <w:rtl/>
        </w:rPr>
        <w:t xml:space="preserve"> </w:t>
      </w:r>
      <w:proofErr w:type="spellStart"/>
      <w:r>
        <w:rPr>
          <w:rtl/>
        </w:rPr>
        <w:t>וואלאזין</w:t>
      </w:r>
      <w:proofErr w:type="spellEnd"/>
      <w:r>
        <w:rPr>
          <w:rtl/>
        </w:rPr>
        <w:t xml:space="preserve"> עלה למרום ביום הששי כ״ו אייר שנת תר״ט”.</w:t>
      </w:r>
      <w:bookmarkStart w:id="1387" w:name="_fnr879"/>
      <w:r>
        <w:rPr>
          <w:rStyle w:val="a5"/>
        </w:rPr>
        <w:footnoteReference w:id="882" w:customMarkFollows="0"/>
      </w:r>
      <w:bookmarkEnd w:id="1387"/>
    </w:p>
    <w:p w14:paraId="7116D1F8" w14:textId="77777777" w:rsidR="00AB3647" w:rsidRDefault="00000000" w:rsidP="007923E9">
      <w:pPr>
        <w:spacing w:after="120" w:line="276" w:lineRule="auto"/>
        <w:ind w:firstLine="283"/>
        <w:jc w:val="both"/>
      </w:pPr>
      <w:r>
        <w:rPr>
          <w:rtl/>
        </w:rPr>
        <w:t>עוד מספר “</w:t>
      </w:r>
      <w:proofErr w:type="spellStart"/>
      <w:r>
        <w:rPr>
          <w:rtl/>
        </w:rPr>
        <w:t>זכרון</w:t>
      </w:r>
      <w:proofErr w:type="spellEnd"/>
      <w:r>
        <w:rPr>
          <w:rtl/>
        </w:rPr>
        <w:t xml:space="preserve"> יעקב”</w:t>
      </w:r>
      <w:bookmarkStart w:id="1388" w:name="_fnr880"/>
      <w:r>
        <w:rPr>
          <w:rStyle w:val="a5"/>
        </w:rPr>
        <w:footnoteReference w:id="883" w:customMarkFollows="0"/>
      </w:r>
      <w:bookmarkEnd w:id="1388"/>
      <w:r>
        <w:rPr>
          <w:rtl/>
        </w:rPr>
        <w:t xml:space="preserve"> שבדרכו חזרה מפטרבורג שבת ר׳ </w:t>
      </w:r>
      <w:proofErr w:type="spellStart"/>
      <w:r>
        <w:rPr>
          <w:rtl/>
        </w:rPr>
        <w:t>איצל׳ה</w:t>
      </w:r>
      <w:proofErr w:type="spellEnd"/>
      <w:r>
        <w:rPr>
          <w:rtl/>
        </w:rPr>
        <w:t xml:space="preserve"> </w:t>
      </w:r>
      <w:proofErr w:type="spellStart"/>
      <w:r>
        <w:rPr>
          <w:rtl/>
        </w:rPr>
        <w:t>בווילקומיר</w:t>
      </w:r>
      <w:bookmarkStart w:id="1389" w:name="_fnr881"/>
      <w:proofErr w:type="spellEnd"/>
      <w:r>
        <w:rPr>
          <w:rStyle w:val="a5"/>
        </w:rPr>
        <w:footnoteReference w:id="884" w:customMarkFollows="0"/>
      </w:r>
      <w:bookmarkEnd w:id="1389"/>
      <w:r>
        <w:rPr>
          <w:rtl/>
        </w:rPr>
        <w:t>. כשנשאל מה יש לו לספר על הפגישה בבירת רוסיה, הוציא את כל האנשים מן החדר, “ואמר לזקנים הנכבדים המעטים שנשארו: ‘רוח קטב נושבת על עמנו. צריכים אנו לתפילה ולרחמים מן השמים’”.</w:t>
      </w:r>
    </w:p>
    <w:p w14:paraId="1381FB6D" w14:textId="77777777" w:rsidR="00AB3647" w:rsidRDefault="00000000" w:rsidP="007923E9">
      <w:pPr>
        <w:spacing w:after="120" w:line="276" w:lineRule="auto"/>
        <w:ind w:firstLine="283"/>
        <w:jc w:val="both"/>
      </w:pPr>
      <w:r>
        <w:rPr>
          <w:rtl/>
        </w:rPr>
        <w:t xml:space="preserve">ר׳ </w:t>
      </w:r>
      <w:proofErr w:type="spellStart"/>
      <w:r>
        <w:rPr>
          <w:rtl/>
        </w:rPr>
        <w:t>איצל׳ה</w:t>
      </w:r>
      <w:proofErr w:type="spellEnd"/>
      <w:r>
        <w:rPr>
          <w:rtl/>
        </w:rPr>
        <w:t xml:space="preserve"> ודאי היה מודע היטב לסכנה שריחפה עליו עצמו ולסכנה שנשקפה לכל הציבור שייצג, והתייחס לאיומו של ליליינטל בכובד ראש רב</w:t>
      </w:r>
      <w:proofErr w:type="spellStart"/>
      <w:r>
        <w:rPr>
          <w:rtl/>
        </w:rPr>
        <w:t xml:space="preserve"/>
      </w:r>
      <w:proofErr w:type="spellEnd"/>
      <w:r>
        <w:rPr>
          <w:rtl/>
        </w:rPr>
        <w:t xml:space="preserve">. הוא הסכים </w:t>
      </w:r>
      <w:proofErr w:type="spellStart"/>
      <w:r>
        <w:rPr>
          <w:rtl/>
        </w:rPr>
        <w:t>לדכא</w:t>
      </w:r>
      <w:proofErr w:type="spellEnd"/>
      <w:r>
        <w:rPr>
          <w:rtl/>
        </w:rPr>
        <w:t xml:space="preserve"> את האיבה שרחש הציבור הדתי </w:t>
      </w:r>
      <w:proofErr w:type="spellStart"/>
      <w:r>
        <w:rPr>
          <w:rtl/>
        </w:rPr>
        <w:t>לליליינטל</w:t>
      </w:r>
      <w:proofErr w:type="spellEnd"/>
      <w:r>
        <w:rPr>
          <w:rtl/>
        </w:rPr>
        <w:t xml:space="preserve"> לא משום </w:t>
      </w:r>
      <w:proofErr w:type="spellStart"/>
      <w:r>
        <w:rPr>
          <w:rtl/>
        </w:rPr>
        <w:t>ש“ר</w:t>
      </w:r>
      <w:proofErr w:type="spellEnd"/>
      <w:r>
        <w:rPr>
          <w:rtl/>
        </w:rPr>
        <w:t xml:space="preserve">׳ </w:t>
      </w:r>
      <w:proofErr w:type="spellStart"/>
      <w:r>
        <w:rPr>
          <w:rtl/>
        </w:rPr>
        <w:t>איצל׳ה</w:t>
      </w:r>
      <w:proofErr w:type="spellEnd"/>
      <w:r>
        <w:rPr>
          <w:rtl/>
        </w:rPr>
        <w:t xml:space="preserve"> הבין היטב שאי אפשר עוד לדחות את תיקון בתי הספר”, כפי שהלה רוצה שנאמין</w:t>
      </w:r>
      <w:bookmarkStart w:id="1390" w:name="_fnr882"/>
      <w:r>
        <w:rPr>
          <w:rStyle w:val="a5"/>
        </w:rPr>
        <w:footnoteReference w:id="885" w:customMarkFollows="0"/>
      </w:r>
      <w:bookmarkEnd w:id="1390"/>
      <w:r>
        <w:rPr>
          <w:rtl/>
        </w:rPr>
        <w:t>, אלא משום שהרגיש שאין לו ברירה.</w:t>
      </w:r>
    </w:p>
    <w:p w14:paraId="7C974076" w14:textId="77777777" w:rsidR="00AB3647" w:rsidRDefault="00000000" w:rsidP="007923E9">
      <w:pPr>
        <w:pStyle w:val="4"/>
        <w:spacing w:line="276" w:lineRule="auto"/>
      </w:pPr>
      <w:r>
        <w:t xml:space="preserve">· הפסקה </w:t>
      </w:r>
      <w:proofErr w:type="spellStart"/>
      <w:r>
        <w:t>התשע־עשרה</w:t>
      </w:r>
      <w:proofErr w:type="spellEnd"/>
      <w:r>
        <w:t xml:space="preserve"> ·</w:t>
      </w:r>
    </w:p>
    <w:p w14:paraId="5190F417" w14:textId="77777777" w:rsidR="00AB3647" w:rsidRDefault="00000000" w:rsidP="007923E9">
      <w:pPr>
        <w:pStyle w:val="5"/>
        <w:spacing w:line="276" w:lineRule="auto"/>
      </w:pPr>
      <w:proofErr w:type="spellStart"/>
      <w:r>
        <w:t>הנצי״ב</w:t>
      </w:r>
      <w:proofErr w:type="spellEnd"/>
      <w:r>
        <w:t xml:space="preserve"> מתפתה בתמימותו אחר </w:t>
      </w:r>
      <w:proofErr w:type="spellStart"/>
      <w:r>
        <w:t>ליליינטל</w:t>
      </w:r>
      <w:proofErr w:type="spellEnd"/>
      <w:r>
        <w:t xml:space="preserve"> – </w:t>
      </w:r>
      <w:proofErr w:type="spellStart"/>
      <w:r>
        <w:t>הנצי״ב</w:t>
      </w:r>
      <w:proofErr w:type="spellEnd"/>
      <w:r>
        <w:t xml:space="preserve"> נרדף בבית חותנו – ר׳ דוד לוריא מעודד את ר׳ </w:t>
      </w:r>
      <w:proofErr w:type="spellStart"/>
      <w:r>
        <w:t>נפתלי־צבי־יהודה</w:t>
      </w:r>
      <w:proofErr w:type="spellEnd"/>
      <w:r>
        <w:t xml:space="preserve"> ברלין להמשיך בלימודו – ר׳ </w:t>
      </w:r>
      <w:proofErr w:type="spellStart"/>
      <w:r>
        <w:t>נפתלי־צבי־יהודה</w:t>
      </w:r>
      <w:proofErr w:type="spellEnd"/>
      <w:r>
        <w:t xml:space="preserve"> מחמיץ את ההזדמנות לעמוד על מחשבותיו של ר׳ </w:t>
      </w:r>
      <w:proofErr w:type="spellStart"/>
      <w:r>
        <w:t>איצל׳ה</w:t>
      </w:r>
      <w:proofErr w:type="spellEnd"/>
    </w:p>
    <w:p w14:paraId="40F0EEB2" w14:textId="77777777" w:rsidR="00AB3647" w:rsidRDefault="00000000" w:rsidP="007923E9">
      <w:pPr>
        <w:spacing w:after="120" w:line="276" w:lineRule="auto"/>
        <w:ind w:firstLine="283"/>
        <w:jc w:val="both"/>
      </w:pPr>
      <w:proofErr w:type="spellStart"/>
      <w:r>
        <w:rPr>
          <w:rtl/>
        </w:rPr>
        <w:t>הנצי״ב</w:t>
      </w:r>
      <w:proofErr w:type="spellEnd"/>
      <w:r>
        <w:rPr>
          <w:rtl/>
        </w:rPr>
        <w:t xml:space="preserve"> הניח, כמו כל היהודים, שהסכמתו של ר׳ </w:t>
      </w:r>
      <w:proofErr w:type="spellStart"/>
      <w:r>
        <w:rPr>
          <w:rtl/>
        </w:rPr>
        <w:t>איצל׳ה</w:t>
      </w:r>
      <w:proofErr w:type="spellEnd"/>
      <w:r>
        <w:rPr>
          <w:rtl/>
        </w:rPr>
        <w:t xml:space="preserve"> </w:t>
      </w:r>
      <w:proofErr w:type="spellStart"/>
      <w:r>
        <w:rPr>
          <w:rtl/>
        </w:rPr>
        <w:t>לליליינטל</w:t>
      </w:r>
      <w:proofErr w:type="spellEnd"/>
      <w:r>
        <w:rPr>
          <w:rtl/>
        </w:rPr>
        <w:t xml:space="preserve"> הייתה כנה. בתמימותו הטבעית</w:t>
      </w:r>
      <w:bookmarkStart w:id="1391" w:name="_fnr883"/>
      <w:r>
        <w:rPr>
          <w:rStyle w:val="a5"/>
        </w:rPr>
        <w:footnoteReference w:id="886" w:customMarkFollows="0"/>
      </w:r>
      <w:bookmarkEnd w:id="1391"/>
      <w:r>
        <w:rPr>
          <w:rtl/>
        </w:rPr>
        <w:t xml:space="preserve"> הלך בתום לב צעד אחד הלאה, והצטער “באותה שעה על שחותנו פגע... בנאמנות לבו של </w:t>
      </w:r>
      <w:proofErr w:type="spellStart"/>
      <w:r>
        <w:rPr>
          <w:rtl/>
        </w:rPr>
        <w:t>ליליינטל</w:t>
      </w:r>
      <w:proofErr w:type="spellEnd"/>
      <w:r>
        <w:rPr>
          <w:rtl/>
        </w:rPr>
        <w:t>”. הוא חשב שהכיר את הרב הרפורמי הגרמני די הצורך כדי “לרדת לסוף דעתו באמונה ודת”, ומצא אותו “באמת ובתמים נקי מכל... חשד”.</w:t>
      </w:r>
    </w:p>
    <w:p w14:paraId="7602026B" w14:textId="77777777" w:rsidR="00AB3647" w:rsidRDefault="00000000" w:rsidP="007923E9">
      <w:pPr>
        <w:spacing w:after="120" w:line="276" w:lineRule="auto"/>
        <w:ind w:firstLine="283"/>
        <w:jc w:val="both"/>
      </w:pPr>
      <w:r>
        <w:rPr>
          <w:rtl/>
        </w:rPr>
        <w:t xml:space="preserve">אבל נראה </w:t>
      </w:r>
      <w:proofErr w:type="spellStart"/>
      <w:r>
        <w:rPr>
          <w:rtl/>
        </w:rPr>
        <w:t>שהנצי״ב</w:t>
      </w:r>
      <w:proofErr w:type="spellEnd"/>
      <w:r>
        <w:rPr>
          <w:rtl/>
        </w:rPr>
        <w:t xml:space="preserve"> הרבה לדון כל אדם לכף זכות יותר מן הראוי. השווה “פון </w:t>
      </w:r>
      <w:proofErr w:type="spellStart"/>
      <w:r>
        <w:rPr>
          <w:rtl/>
        </w:rPr>
        <w:t>וואלאזין</w:t>
      </w:r>
      <w:proofErr w:type="spellEnd"/>
      <w:r>
        <w:rPr>
          <w:rtl/>
        </w:rPr>
        <w:t xml:space="preserve"> </w:t>
      </w:r>
      <w:proofErr w:type="spellStart"/>
      <w:r>
        <w:rPr>
          <w:rtl/>
        </w:rPr>
        <w:t>ביז</w:t>
      </w:r>
      <w:proofErr w:type="spellEnd"/>
      <w:r>
        <w:rPr>
          <w:rtl/>
        </w:rPr>
        <w:t xml:space="preserve"> ירושלים”</w:t>
      </w:r>
      <w:bookmarkStart w:id="1392" w:name="_fnr884"/>
      <w:r>
        <w:rPr>
          <w:rStyle w:val="a5"/>
        </w:rPr>
        <w:footnoteReference w:id="887" w:customMarkFollows="0"/>
      </w:r>
      <w:bookmarkEnd w:id="1392"/>
      <w:r>
        <w:rPr>
          <w:rtl/>
        </w:rPr>
        <w:t xml:space="preserve">, המספר: “אף על פי שהיה עליו... לשאת רגעים לא נעימים רבים מ[ימי שהותו ב]בית חותנו ועד </w:t>
      </w:r>
      <w:proofErr w:type="spellStart"/>
      <w:r>
        <w:rPr>
          <w:rtl/>
        </w:rPr>
        <w:t>ה‘מלחמות</w:t>
      </w:r>
      <w:proofErr w:type="spellEnd"/>
      <w:r>
        <w:rPr>
          <w:rtl/>
        </w:rPr>
        <w:t>’ השונות שנלחמו בו כראש ישיבה</w:t>
      </w:r>
      <w:bookmarkStart w:id="1393" w:name="_fnr885"/>
      <w:r>
        <w:rPr>
          <w:rStyle w:val="a5"/>
        </w:rPr>
        <w:footnoteReference w:id="888" w:customMarkFollows="0"/>
      </w:r>
      <w:bookmarkEnd w:id="1393"/>
      <w:r>
        <w:rPr>
          <w:rtl/>
        </w:rPr>
        <w:t xml:space="preserve">, </w:t>
      </w:r>
      <w:proofErr w:type="spellStart"/>
      <w:r>
        <w:rPr>
          <w:rtl/>
        </w:rPr>
        <w:t>הנצי״ב</w:t>
      </w:r>
      <w:proofErr w:type="spellEnd"/>
      <w:r>
        <w:rPr>
          <w:rtl/>
        </w:rPr>
        <w:t xml:space="preserve"> דן את כל האדם לכף זכות.”</w:t>
      </w:r>
    </w:p>
    <w:p w14:paraId="4623C851" w14:textId="77777777" w:rsidR="00AB3647" w:rsidRDefault="00000000" w:rsidP="007923E9">
      <w:pPr>
        <w:spacing w:after="120" w:line="276" w:lineRule="auto"/>
        <w:ind w:firstLine="283"/>
        <w:jc w:val="both"/>
      </w:pPr>
      <w:r>
        <w:rPr>
          <w:rtl/>
        </w:rPr>
        <w:t xml:space="preserve">מדוע לא גילה ר׳ </w:t>
      </w:r>
      <w:proofErr w:type="spellStart"/>
      <w:r>
        <w:rPr>
          <w:rtl/>
        </w:rPr>
        <w:t>איצל׳ה</w:t>
      </w:r>
      <w:proofErr w:type="spellEnd"/>
      <w:r>
        <w:rPr>
          <w:rtl/>
        </w:rPr>
        <w:t xml:space="preserve"> </w:t>
      </w:r>
      <w:proofErr w:type="spellStart"/>
      <w:r>
        <w:rPr>
          <w:rtl/>
        </w:rPr>
        <w:t>לר</w:t>
      </w:r>
      <w:proofErr w:type="spellEnd"/>
      <w:r>
        <w:rPr>
          <w:rtl/>
        </w:rPr>
        <w:t xml:space="preserve">׳ </w:t>
      </w:r>
      <w:proofErr w:type="spellStart"/>
      <w:r>
        <w:rPr>
          <w:rtl/>
        </w:rPr>
        <w:t>נפתלי־צבי־יהודה</w:t>
      </w:r>
      <w:proofErr w:type="spellEnd"/>
      <w:r>
        <w:rPr>
          <w:rtl/>
        </w:rPr>
        <w:t xml:space="preserve"> את חשדותיו בעניין </w:t>
      </w:r>
      <w:proofErr w:type="spellStart"/>
      <w:r>
        <w:rPr>
          <w:rtl/>
        </w:rPr>
        <w:t>ליליינטל</w:t>
      </w:r>
      <w:proofErr w:type="spellEnd"/>
      <w:r>
        <w:rPr>
          <w:rtl/>
        </w:rPr>
        <w:t xml:space="preserve">? אפשר להבין זאת לאור היחסים המורכבים שבין החותן לחתנו. בנו של </w:t>
      </w:r>
      <w:proofErr w:type="spellStart"/>
      <w:r>
        <w:rPr>
          <w:rtl/>
        </w:rPr>
        <w:t>הנצי״ב</w:t>
      </w:r>
      <w:proofErr w:type="spellEnd"/>
      <w:r>
        <w:rPr>
          <w:rtl/>
        </w:rPr>
        <w:t xml:space="preserve">, מחבר “פון </w:t>
      </w:r>
      <w:proofErr w:type="spellStart"/>
      <w:r>
        <w:rPr>
          <w:rtl/>
        </w:rPr>
        <w:t>וואלאזין</w:t>
      </w:r>
      <w:proofErr w:type="spellEnd"/>
      <w:r>
        <w:rPr>
          <w:rtl/>
        </w:rPr>
        <w:t xml:space="preserve"> </w:t>
      </w:r>
      <w:proofErr w:type="spellStart"/>
      <w:r>
        <w:rPr>
          <w:rtl/>
        </w:rPr>
        <w:t>ביז</w:t>
      </w:r>
      <w:proofErr w:type="spellEnd"/>
      <w:r>
        <w:rPr>
          <w:rtl/>
        </w:rPr>
        <w:t xml:space="preserve"> </w:t>
      </w:r>
      <w:r>
        <w:rPr>
          <w:rtl/>
        </w:rPr>
        <w:lastRenderedPageBreak/>
        <w:t>ירושלים”, מספר</w:t>
      </w:r>
      <w:bookmarkStart w:id="1394" w:name="_fnr886"/>
      <w:r>
        <w:rPr>
          <w:rStyle w:val="a5"/>
        </w:rPr>
        <w:footnoteReference w:id="889" w:customMarkFollows="0"/>
      </w:r>
      <w:bookmarkEnd w:id="1394"/>
      <w:r>
        <w:rPr>
          <w:rtl/>
        </w:rPr>
        <w:t xml:space="preserve"> כיצד אביו, שהיה בן לסוחר עשיר ונשא אישה בגיל </w:t>
      </w:r>
      <w:proofErr w:type="spellStart"/>
      <w:r>
        <w:rPr>
          <w:rtl/>
        </w:rPr>
        <w:t>שלוש־עשרה</w:t>
      </w:r>
      <w:proofErr w:type="spellEnd"/>
      <w:r>
        <w:rPr>
          <w:rtl/>
        </w:rPr>
        <w:t xml:space="preserve"> וחצי, “לא הרגיש בבית בסביבתו החדשה... בבית שבו לבנות, לחתנים, לבנים ולנכדים... [היו] עניינים שונים </w:t>
      </w:r>
      <w:proofErr w:type="spellStart"/>
      <w:r>
        <w:rPr>
          <w:rtl/>
        </w:rPr>
        <w:t>ו‘עסקי</w:t>
      </w:r>
      <w:proofErr w:type="spellEnd"/>
      <w:r>
        <w:rPr>
          <w:rtl/>
        </w:rPr>
        <w:t xml:space="preserve"> משפחה’. היו שנים שהקרע [בין ר׳ </w:t>
      </w:r>
      <w:proofErr w:type="spellStart"/>
      <w:r>
        <w:rPr>
          <w:rtl/>
        </w:rPr>
        <w:t>איצל׳ה</w:t>
      </w:r>
      <w:proofErr w:type="spellEnd"/>
      <w:r>
        <w:rPr>
          <w:rtl/>
        </w:rPr>
        <w:t xml:space="preserve"> לחתנו] היה גדול, [אף ש]התבטא כולו בשתיקה, ואף שידע שאנשים מסוימים מבקשים לרכל ולהרחיק בין ר׳ </w:t>
      </w:r>
      <w:proofErr w:type="spellStart"/>
      <w:r>
        <w:rPr>
          <w:rtl/>
        </w:rPr>
        <w:t>איצל׳ה</w:t>
      </w:r>
      <w:proofErr w:type="spellEnd"/>
      <w:r>
        <w:rPr>
          <w:rtl/>
        </w:rPr>
        <w:t xml:space="preserve"> ובינו, </w:t>
      </w:r>
      <w:proofErr w:type="spellStart"/>
      <w:r>
        <w:rPr>
          <w:rtl/>
        </w:rPr>
        <w:t>הנצי״ב</w:t>
      </w:r>
      <w:proofErr w:type="spellEnd"/>
      <w:r>
        <w:rPr>
          <w:rtl/>
        </w:rPr>
        <w:t xml:space="preserve"> לא [השיב מלחמה] מעולם.”</w:t>
      </w:r>
    </w:p>
    <w:p w14:paraId="65C8B898" w14:textId="77777777" w:rsidR="00AB3647" w:rsidRDefault="00000000" w:rsidP="007923E9">
      <w:pPr>
        <w:spacing w:after="120" w:line="276" w:lineRule="auto"/>
        <w:ind w:firstLine="283"/>
        <w:jc w:val="both"/>
      </w:pPr>
      <w:r>
        <w:rPr>
          <w:rtl/>
        </w:rPr>
        <w:t xml:space="preserve">השווה “הראשון לשושלת </w:t>
      </w:r>
      <w:proofErr w:type="spellStart"/>
      <w:r>
        <w:rPr>
          <w:rtl/>
        </w:rPr>
        <w:t>בריסק</w:t>
      </w:r>
      <w:proofErr w:type="spellEnd"/>
      <w:r>
        <w:rPr>
          <w:rtl/>
        </w:rPr>
        <w:t>”</w:t>
      </w:r>
      <w:bookmarkStart w:id="1395" w:name="_fnr887"/>
      <w:r>
        <w:rPr>
          <w:rStyle w:val="a5"/>
        </w:rPr>
        <w:footnoteReference w:id="890" w:customMarkFollows="0"/>
      </w:r>
      <w:bookmarkEnd w:id="1395"/>
      <w:r>
        <w:rPr>
          <w:rtl/>
        </w:rPr>
        <w:t xml:space="preserve">, האומר: “מסתבר שבעלי מחלוקת ניסו למשוך את ר׳ </w:t>
      </w:r>
      <w:proofErr w:type="spellStart"/>
      <w:r>
        <w:rPr>
          <w:rtl/>
        </w:rPr>
        <w:t xml:space="preserve">יושע־בער</w:t>
      </w:r>
      <w:proofErr w:type="spellEnd"/>
      <w:r>
        <w:rPr>
          <w:rtl/>
        </w:rPr>
        <w:t xml:space="preserve"> </w:t>
      </w:r>
      <w:proofErr w:type="spellStart"/>
      <w:r>
        <w:rPr>
          <w:rtl/>
        </w:rPr>
        <w:t>סולובייצ׳יק</w:t>
      </w:r>
      <w:proofErr w:type="spellEnd"/>
      <w:r>
        <w:rPr>
          <w:rtl/>
        </w:rPr>
        <w:t xml:space="preserve"> [שהיה אז תלמיד בישיבה, ש]היה חביב ומקובל על ראשי הישיבה ר׳ </w:t>
      </w:r>
      <w:proofErr w:type="spellStart"/>
      <w:r>
        <w:rPr>
          <w:rtl/>
        </w:rPr>
        <w:t>איצל׳ה</w:t>
      </w:r>
      <w:proofErr w:type="spellEnd"/>
      <w:r>
        <w:rPr>
          <w:rtl/>
        </w:rPr>
        <w:t xml:space="preserve"> ועוזרו [החתן הבכור] ר׳ </w:t>
      </w:r>
      <w:proofErr w:type="spellStart"/>
      <w:r>
        <w:rPr>
          <w:rtl/>
        </w:rPr>
        <w:t>אליעזר־יצחק</w:t>
      </w:r>
      <w:proofErr w:type="spellEnd"/>
      <w:r>
        <w:rPr>
          <w:rtl/>
        </w:rPr>
        <w:t xml:space="preserve"> [פריד], לתוך רשת קשריהם נגד ר׳ </w:t>
      </w:r>
      <w:proofErr w:type="spellStart"/>
      <w:r>
        <w:rPr>
          <w:rtl/>
        </w:rPr>
        <w:t>נפתלי־צבי־יהודה</w:t>
      </w:r>
      <w:proofErr w:type="spellEnd"/>
      <w:r>
        <w:rPr>
          <w:rtl/>
        </w:rPr>
        <w:t xml:space="preserve"> ברלין. אבל מפני שסירב לצדד בהם במחלוקת, התחילו לרדוף גם אותו ולבקש עליו עלילות.”</w:t>
      </w:r>
    </w:p>
    <w:p w14:paraId="605E9202" w14:textId="77777777" w:rsidR="00AB3647" w:rsidRDefault="00000000" w:rsidP="007923E9">
      <w:pPr>
        <w:spacing w:after="120" w:line="276" w:lineRule="auto"/>
        <w:ind w:firstLine="283"/>
        <w:jc w:val="both"/>
      </w:pPr>
      <w:r>
        <w:rPr>
          <w:rtl/>
        </w:rPr>
        <w:t xml:space="preserve">“פון </w:t>
      </w:r>
      <w:proofErr w:type="spellStart"/>
      <w:r>
        <w:rPr>
          <w:rtl/>
        </w:rPr>
        <w:t>וואלאזין</w:t>
      </w:r>
      <w:proofErr w:type="spellEnd"/>
      <w:r>
        <w:rPr>
          <w:rtl/>
        </w:rPr>
        <w:t xml:space="preserve"> </w:t>
      </w:r>
      <w:proofErr w:type="spellStart"/>
      <w:r>
        <w:rPr>
          <w:rtl/>
        </w:rPr>
        <w:t>ביז</w:t>
      </w:r>
      <w:proofErr w:type="spellEnd"/>
      <w:r>
        <w:rPr>
          <w:rtl/>
        </w:rPr>
        <w:t xml:space="preserve"> ירושלים” ממשיך: “</w:t>
      </w:r>
      <w:proofErr w:type="spellStart"/>
      <w:r>
        <w:rPr>
          <w:rtl/>
        </w:rPr>
        <w:t>הנצי״ב</w:t>
      </w:r>
      <w:proofErr w:type="spellEnd"/>
      <w:r>
        <w:rPr>
          <w:rtl/>
        </w:rPr>
        <w:t xml:space="preserve"> החליט אז שלא להתערב בשום דבר ולהישאר סגור </w:t>
      </w:r>
      <w:proofErr w:type="spellStart"/>
      <w:r>
        <w:rPr>
          <w:rtl/>
        </w:rPr>
        <w:t>ב‘אהלה</w:t>
      </w:r>
      <w:proofErr w:type="spellEnd"/>
      <w:r>
        <w:rPr>
          <w:rtl/>
        </w:rPr>
        <w:t xml:space="preserve"> של תורה’ שלו בלי להתחשב במי שיבקר אותו (ההדגשה שלי) – ואפילו גיסים מבוגרים ממנו ואפילו חותנו עצמו. התבדלותו מכל סביבתו הביאה לידי חילוקי דעות בינו ובין ר׳ </w:t>
      </w:r>
      <w:proofErr w:type="spellStart"/>
      <w:r>
        <w:rPr>
          <w:rtl/>
        </w:rPr>
        <w:t>איצל׳ה</w:t>
      </w:r>
      <w:proofErr w:type="spellEnd"/>
      <w:r>
        <w:rPr>
          <w:rtl/>
        </w:rPr>
        <w:t xml:space="preserve">... הדבר נראה כשני עולמות: העולם האחד, שכלל את חותנו, גדול, הומה, מסועף, עם בני משפחה אחת רבים בעלי עניינים רבים... בענייני הציבור היהודי; ומן הצד השני, איש צעיר השקוע כולו </w:t>
      </w:r>
      <w:proofErr w:type="spellStart"/>
      <w:r>
        <w:rPr>
          <w:rtl/>
        </w:rPr>
        <w:t>ב‘ארבע</w:t>
      </w:r>
      <w:proofErr w:type="spellEnd"/>
      <w:r>
        <w:rPr>
          <w:rtl/>
        </w:rPr>
        <w:t xml:space="preserve"> אמות של הלכה’. אף שדרו בבית אחד וחיו יחד, לא ידע ר׳ </w:t>
      </w:r>
      <w:proofErr w:type="spellStart"/>
      <w:r>
        <w:rPr>
          <w:rtl/>
        </w:rPr>
        <w:t>איצל׳ה</w:t>
      </w:r>
      <w:proofErr w:type="spellEnd"/>
      <w:r>
        <w:rPr>
          <w:rtl/>
        </w:rPr>
        <w:t xml:space="preserve"> את גדולתו של אבא עד ש... התחיל שמו להישמע למרחוק בזכות התכתבותו עם הגאון הזקן והמפורסם, איש העולם, ר׳ דוד לוריא. הקרבה הרוחנית [של הרב לוריא </w:t>
      </w:r>
      <w:proofErr w:type="spellStart"/>
      <w:r>
        <w:rPr>
          <w:rtl/>
        </w:rPr>
        <w:t>והנצי״ב</w:t>
      </w:r>
      <w:proofErr w:type="spellEnd"/>
      <w:r>
        <w:rPr>
          <w:rtl/>
        </w:rPr>
        <w:t xml:space="preserve">, בשיטת חקר כתבי היד העתיקים] הביאה [לידי התופעה המוזרה] שבשעה שר׳ </w:t>
      </w:r>
      <w:proofErr w:type="spellStart"/>
      <w:r>
        <w:rPr>
          <w:rtl/>
        </w:rPr>
        <w:t>איצל׳ה</w:t>
      </w:r>
      <w:proofErr w:type="spellEnd"/>
      <w:r>
        <w:rPr>
          <w:rtl/>
        </w:rPr>
        <w:t xml:space="preserve">, חותנו של אבא, לא הכיר את חתנו, כתב </w:t>
      </w:r>
      <w:proofErr w:type="spellStart"/>
      <w:r>
        <w:rPr>
          <w:rtl/>
        </w:rPr>
        <w:t>הרד״ל</w:t>
      </w:r>
      <w:proofErr w:type="spellEnd"/>
      <w:r>
        <w:rPr>
          <w:rtl/>
        </w:rPr>
        <w:t xml:space="preserve"> לאבא מכתבים נלהבים מרחוק. רק ממכתביו של הרב לוריא, שנודעו </w:t>
      </w:r>
      <w:proofErr w:type="spellStart"/>
      <w:r>
        <w:rPr>
          <w:rtl/>
        </w:rPr>
        <w:t>לר</w:t>
      </w:r>
      <w:proofErr w:type="spellEnd"/>
      <w:r>
        <w:rPr>
          <w:rtl/>
        </w:rPr>
        <w:t xml:space="preserve">׳ </w:t>
      </w:r>
      <w:proofErr w:type="spellStart"/>
      <w:r>
        <w:rPr>
          <w:rtl/>
        </w:rPr>
        <w:t>איצל׳ה</w:t>
      </w:r>
      <w:proofErr w:type="spellEnd"/>
      <w:r>
        <w:rPr>
          <w:rtl/>
        </w:rPr>
        <w:t xml:space="preserve"> במקרה, התחיל להבין מי הוא חתנו ומה אפשר לצפות ממנו. גם אז לא התאימו אופיו של החותן ואופיו של החתן זה לזה, אבל בוז[!] החותן לחתנו פג.”</w:t>
      </w:r>
    </w:p>
    <w:p w14:paraId="27143B0F" w14:textId="77777777" w:rsidR="00AB3647" w:rsidRDefault="00000000" w:rsidP="007923E9">
      <w:pPr>
        <w:spacing w:after="120" w:line="276" w:lineRule="auto"/>
        <w:ind w:firstLine="283"/>
        <w:jc w:val="both"/>
      </w:pPr>
      <w:r>
        <w:rPr>
          <w:rtl/>
        </w:rPr>
        <w:t>השווה גם “מקור ברוך”</w:t>
      </w:r>
      <w:bookmarkStart w:id="1396" w:name="_fnr888"/>
      <w:r>
        <w:rPr>
          <w:rStyle w:val="a5"/>
        </w:rPr>
        <w:footnoteReference w:id="891" w:customMarkFollows="0"/>
      </w:r>
      <w:bookmarkEnd w:id="1396"/>
      <w:r>
        <w:rPr>
          <w:rtl/>
        </w:rPr>
        <w:t>, האומר: “</w:t>
      </w:r>
      <w:proofErr w:type="spellStart"/>
      <w:r>
        <w:rPr>
          <w:rtl/>
        </w:rPr>
        <w:t>הנצי״ב</w:t>
      </w:r>
      <w:proofErr w:type="spellEnd"/>
      <w:r>
        <w:rPr>
          <w:rtl/>
        </w:rPr>
        <w:t xml:space="preserve"> סבל ונשא לא מעט מן הבוז שבו נהגו בו גדולי החכמים שסביבו” – לשון נקייה לבני המשפחה, ובכללם חותנו עצמו – “שהביטו עליו מלמעלה למטה והתייחסו אליו כאל מי שעומד רחוק מתחומם ומשיעור קומתם.”</w:t>
      </w:r>
    </w:p>
    <w:p w14:paraId="4E2A6A3E" w14:textId="77777777" w:rsidR="00AB3647" w:rsidRDefault="00000000" w:rsidP="007923E9">
      <w:pPr>
        <w:spacing w:after="120" w:line="276" w:lineRule="auto"/>
        <w:ind w:firstLine="283"/>
        <w:jc w:val="both"/>
      </w:pPr>
      <w:r>
        <w:rPr>
          <w:rtl/>
        </w:rPr>
        <w:t xml:space="preserve">שלא </w:t>
      </w:r>
      <w:proofErr w:type="spellStart"/>
      <w:r>
        <w:rPr>
          <w:rtl/>
        </w:rPr>
        <w:t>כ“פון</w:t>
      </w:r>
      <w:proofErr w:type="spellEnd"/>
      <w:r>
        <w:rPr>
          <w:rtl/>
        </w:rPr>
        <w:t xml:space="preserve"> </w:t>
      </w:r>
      <w:proofErr w:type="spellStart"/>
      <w:r>
        <w:rPr>
          <w:rtl/>
        </w:rPr>
        <w:t>וואלאזין</w:t>
      </w:r>
      <w:proofErr w:type="spellEnd"/>
      <w:r>
        <w:rPr>
          <w:rtl/>
        </w:rPr>
        <w:t xml:space="preserve"> </w:t>
      </w:r>
      <w:proofErr w:type="spellStart"/>
      <w:r>
        <w:rPr>
          <w:rtl/>
        </w:rPr>
        <w:t>ביז</w:t>
      </w:r>
      <w:proofErr w:type="spellEnd"/>
      <w:r>
        <w:rPr>
          <w:rtl/>
        </w:rPr>
        <w:t xml:space="preserve"> ירושלים”, טוען “מקור ברוך”</w:t>
      </w:r>
      <w:bookmarkStart w:id="1397" w:name="_fnr889"/>
      <w:r>
        <w:rPr>
          <w:rStyle w:val="a5"/>
        </w:rPr>
        <w:footnoteReference w:id="892" w:customMarkFollows="0"/>
      </w:r>
      <w:bookmarkEnd w:id="1397"/>
      <w:r>
        <w:rPr>
          <w:rtl/>
        </w:rPr>
        <w:t xml:space="preserve"> שר׳ </w:t>
      </w:r>
      <w:proofErr w:type="spellStart"/>
      <w:r>
        <w:rPr>
          <w:rtl/>
        </w:rPr>
        <w:t>איצל׳ה</w:t>
      </w:r>
      <w:proofErr w:type="spellEnd"/>
      <w:r>
        <w:rPr>
          <w:rtl/>
        </w:rPr>
        <w:t xml:space="preserve"> עמד על כך שחתנו תלמיד חכם גדול כשנזדמן לידו פירושו של </w:t>
      </w:r>
      <w:proofErr w:type="spellStart"/>
      <w:r>
        <w:rPr>
          <w:rtl/>
        </w:rPr>
        <w:t>הנצי״ב</w:t>
      </w:r>
      <w:proofErr w:type="spellEnd"/>
      <w:r>
        <w:rPr>
          <w:rtl/>
        </w:rPr>
        <w:t xml:space="preserve"> על הספרי: “בהתרגשות וברגשי שמחה עמוקה החיל אז על חתנו את הפסוק ‘אבן </w:t>
      </w:r>
      <w:r>
        <w:rPr>
          <w:b/>
          <w:bCs/>
          <w:rtl/>
        </w:rPr>
        <w:t>מאסו</w:t>
      </w:r>
      <w:r>
        <w:rPr>
          <w:rtl/>
        </w:rPr>
        <w:t xml:space="preserve"> (ההדגשה שלי) הבונים </w:t>
      </w:r>
      <w:proofErr w:type="spellStart"/>
      <w:r>
        <w:rPr>
          <w:rtl/>
        </w:rPr>
        <w:t>היתה</w:t>
      </w:r>
      <w:proofErr w:type="spellEnd"/>
      <w:r>
        <w:rPr>
          <w:rtl/>
        </w:rPr>
        <w:t xml:space="preserve"> לראש פנה’</w:t>
      </w:r>
      <w:bookmarkStart w:id="1398" w:name="_fnr890"/>
      <w:r>
        <w:rPr>
          <w:rStyle w:val="a5"/>
        </w:rPr>
        <w:footnoteReference w:id="893" w:customMarkFollows="0"/>
      </w:r>
      <w:bookmarkEnd w:id="1398"/>
      <w:r>
        <w:rPr>
          <w:rtl/>
        </w:rPr>
        <w:t>.”</w:t>
      </w:r>
    </w:p>
    <w:p w14:paraId="4C3AA46A" w14:textId="77777777" w:rsidR="00AB3647" w:rsidRDefault="00000000" w:rsidP="007923E9">
      <w:pPr>
        <w:spacing w:after="120" w:line="276" w:lineRule="auto"/>
        <w:ind w:firstLine="283"/>
        <w:jc w:val="both"/>
      </w:pPr>
      <w:r>
        <w:rPr>
          <w:rtl/>
        </w:rPr>
        <w:lastRenderedPageBreak/>
        <w:t>לפי “מקור ברוך”</w:t>
      </w:r>
      <w:bookmarkStart w:id="1399" w:name="_fnr891"/>
      <w:r>
        <w:rPr>
          <w:rStyle w:val="a5"/>
        </w:rPr>
        <w:footnoteReference w:id="894" w:customMarkFollows="0"/>
      </w:r>
      <w:bookmarkEnd w:id="1399"/>
      <w:r>
        <w:rPr>
          <w:rtl/>
        </w:rPr>
        <w:t xml:space="preserve">, תפקידו של ר׳ דוד לוריא נתגלה כשסיפר </w:t>
      </w:r>
      <w:proofErr w:type="spellStart"/>
      <w:r>
        <w:rPr>
          <w:rtl/>
        </w:rPr>
        <w:t>הנצי״ב</w:t>
      </w:r>
      <w:proofErr w:type="spellEnd"/>
      <w:r>
        <w:rPr>
          <w:rtl/>
        </w:rPr>
        <w:t xml:space="preserve"> למחבר הספר שבגלל הבוז שנהגו בו גדולי התורה שקל “לצאת ממחנה הלומדים” לגמרי, אבל ניצל בזכות עידודו של הרב לוריא, “מלאכו הגואל”. </w:t>
      </w:r>
      <w:proofErr w:type="spellStart"/>
      <w:r>
        <w:rPr>
          <w:rtl/>
        </w:rPr>
        <w:t>הרד״ל</w:t>
      </w:r>
      <w:proofErr w:type="spellEnd"/>
      <w:r>
        <w:rPr>
          <w:rtl/>
        </w:rPr>
        <w:t xml:space="preserve"> שכנע אותו </w:t>
      </w:r>
      <w:proofErr w:type="spellStart"/>
      <w:r>
        <w:rPr>
          <w:rtl/>
        </w:rPr>
        <w:t>ש“הסיבה</w:t>
      </w:r>
      <w:proofErr w:type="spellEnd"/>
      <w:r>
        <w:rPr>
          <w:rtl/>
        </w:rPr>
        <w:t xml:space="preserve"> שחבריו הציקו לו היא שקינאו בשקידתו העצומה, שהבטיחה לו עתיד מזהיר ואדיר”</w:t>
      </w:r>
      <w:bookmarkStart w:id="1400" w:name="_fnr892"/>
      <w:r>
        <w:rPr>
          <w:rStyle w:val="a5"/>
        </w:rPr>
        <w:footnoteReference w:id="895" w:customMarkFollows="0"/>
      </w:r>
      <w:bookmarkEnd w:id="1400"/>
      <w:r>
        <w:rPr>
          <w:rtl/>
        </w:rPr>
        <w:t>.</w:t>
      </w:r>
    </w:p>
    <w:p w14:paraId="00C252D3" w14:textId="77777777" w:rsidR="00AB3647" w:rsidRDefault="00000000" w:rsidP="007923E9">
      <w:pPr>
        <w:spacing w:after="120" w:line="276" w:lineRule="auto"/>
        <w:ind w:firstLine="283"/>
        <w:jc w:val="both"/>
      </w:pPr>
      <w:r>
        <w:rPr>
          <w:rtl/>
        </w:rPr>
        <w:t xml:space="preserve">על אף כל “הביקורת” </w:t>
      </w:r>
      <w:proofErr w:type="spellStart"/>
      <w:r>
        <w:rPr>
          <w:rtl/>
        </w:rPr>
        <w:t>וה“בוז</w:t>
      </w:r>
      <w:proofErr w:type="spellEnd"/>
      <w:r>
        <w:rPr>
          <w:rtl/>
        </w:rPr>
        <w:t xml:space="preserve">” של ר׳ </w:t>
      </w:r>
      <w:proofErr w:type="spellStart"/>
      <w:r>
        <w:rPr>
          <w:rtl/>
        </w:rPr>
        <w:t>איצל׳ה</w:t>
      </w:r>
      <w:proofErr w:type="spellEnd"/>
      <w:r>
        <w:rPr>
          <w:rtl/>
        </w:rPr>
        <w:t xml:space="preserve"> כלפי חתנו </w:t>
      </w:r>
      <w:proofErr w:type="spellStart"/>
      <w:r>
        <w:rPr>
          <w:rtl/>
        </w:rPr>
        <w:t>ה“מתבודד</w:t>
      </w:r>
      <w:proofErr w:type="spellEnd"/>
      <w:r>
        <w:rPr>
          <w:rtl/>
        </w:rPr>
        <w:t xml:space="preserve">” </w:t>
      </w:r>
      <w:proofErr w:type="spellStart"/>
      <w:r>
        <w:rPr>
          <w:rtl/>
        </w:rPr>
        <w:t>וה“נמאס</w:t>
      </w:r>
      <w:proofErr w:type="spellEnd"/>
      <w:r>
        <w:rPr>
          <w:rtl/>
        </w:rPr>
        <w:t xml:space="preserve">”, מפתיע לגמרי שהזמין את </w:t>
      </w:r>
      <w:proofErr w:type="spellStart"/>
      <w:r>
        <w:rPr>
          <w:rtl/>
        </w:rPr>
        <w:t>הנצי״ב</w:t>
      </w:r>
      <w:proofErr w:type="spellEnd"/>
      <w:r>
        <w:rPr>
          <w:rtl/>
        </w:rPr>
        <w:t xml:space="preserve"> להשתתף בשיחותיו עם </w:t>
      </w:r>
      <w:proofErr w:type="spellStart"/>
      <w:r>
        <w:rPr>
          <w:rtl/>
        </w:rPr>
        <w:t>ליליינטל</w:t>
      </w:r>
      <w:proofErr w:type="spellEnd"/>
      <w:r>
        <w:rPr>
          <w:rtl/>
        </w:rPr>
        <w:t xml:space="preserve"> – וכך להיות עד להצגת “ההעתק” של פרוטוקול השרים בידי </w:t>
      </w:r>
      <w:proofErr w:type="spellStart"/>
      <w:r>
        <w:rPr>
          <w:rtl/>
        </w:rPr>
        <w:t>ליליינטל</w:t>
      </w:r>
      <w:proofErr w:type="spellEnd"/>
      <w:r>
        <w:rPr>
          <w:rtl/>
        </w:rPr>
        <w:t xml:space="preserve">! מאחר שאין ביכולתנו לקבוע מתי יורטה חליפת המכתבים בין ר׳ דוד לוריא </w:t>
      </w:r>
      <w:proofErr w:type="spellStart"/>
      <w:r>
        <w:rPr>
          <w:rtl/>
        </w:rPr>
        <w:t>לר</w:t>
      </w:r>
      <w:proofErr w:type="spellEnd"/>
      <w:r>
        <w:rPr>
          <w:rtl/>
        </w:rPr>
        <w:t xml:space="preserve">׳ </w:t>
      </w:r>
      <w:proofErr w:type="spellStart"/>
      <w:r>
        <w:rPr>
          <w:rtl/>
        </w:rPr>
        <w:t>נפתלי־צבי־יהודה</w:t>
      </w:r>
      <w:proofErr w:type="spellEnd"/>
      <w:r>
        <w:rPr>
          <w:rtl/>
        </w:rPr>
        <w:t xml:space="preserve"> ברלין (או, לחלופין, מתי ראה חותנו של </w:t>
      </w:r>
      <w:proofErr w:type="spellStart"/>
      <w:r>
        <w:rPr>
          <w:rtl/>
        </w:rPr>
        <w:t>הנצי״ב</w:t>
      </w:r>
      <w:proofErr w:type="spellEnd"/>
      <w:r>
        <w:rPr>
          <w:rtl/>
        </w:rPr>
        <w:t xml:space="preserve"> את כתב ידו על הספרי), נוכל להציע שהדבר אירע לפני ביקורו של </w:t>
      </w:r>
      <w:proofErr w:type="spellStart"/>
      <w:r>
        <w:rPr>
          <w:rtl/>
        </w:rPr>
        <w:t>ליליינטל</w:t>
      </w:r>
      <w:proofErr w:type="spellEnd"/>
      <w:r>
        <w:rPr>
          <w:rtl/>
        </w:rPr>
        <w:t xml:space="preserve"> </w:t>
      </w:r>
      <w:proofErr w:type="spellStart"/>
      <w:r>
        <w:rPr>
          <w:rtl/>
        </w:rPr>
        <w:t>בוולוז׳ין</w:t>
      </w:r>
      <w:proofErr w:type="spellEnd"/>
      <w:r>
        <w:rPr>
          <w:rtl/>
        </w:rPr>
        <w:t xml:space="preserve">, ושהוא ששם קץ ל “בוזו” של ר׳ </w:t>
      </w:r>
      <w:proofErr w:type="spellStart"/>
      <w:r>
        <w:rPr>
          <w:rtl/>
        </w:rPr>
        <w:t>איצל׳ה</w:t>
      </w:r>
      <w:proofErr w:type="spellEnd"/>
      <w:r>
        <w:rPr>
          <w:rtl/>
        </w:rPr>
        <w:t xml:space="preserve"> </w:t>
      </w:r>
      <w:proofErr w:type="spellStart"/>
      <w:r>
        <w:rPr>
          <w:rtl/>
        </w:rPr>
        <w:t>לנצי״ב</w:t>
      </w:r>
      <w:bookmarkStart w:id="1401" w:name="_fnr893"/>
      <w:proofErr w:type="spellEnd"/>
      <w:r>
        <w:rPr>
          <w:rStyle w:val="a5"/>
        </w:rPr>
        <w:footnoteReference w:id="896" w:customMarkFollows="0"/>
      </w:r>
      <w:bookmarkEnd w:id="1401"/>
      <w:r>
        <w:rPr>
          <w:rtl/>
        </w:rPr>
        <w:t xml:space="preserve">. משום כך נתן לחתנו את ההזדמנות להיכנס </w:t>
      </w:r>
      <w:proofErr w:type="spellStart"/>
      <w:r>
        <w:rPr>
          <w:rtl/>
        </w:rPr>
        <w:t>ל“עולם</w:t>
      </w:r>
      <w:proofErr w:type="spellEnd"/>
      <w:r>
        <w:rPr>
          <w:rtl/>
        </w:rPr>
        <w:t xml:space="preserve"> ענייני הציבור היהודי”, והרשה לו להשתתף בשיחות עם </w:t>
      </w:r>
      <w:proofErr w:type="spellStart"/>
      <w:r>
        <w:rPr>
          <w:rtl/>
        </w:rPr>
        <w:t>ליליינטל</w:t>
      </w:r>
      <w:proofErr w:type="spellEnd"/>
      <w:r>
        <w:rPr>
          <w:rtl/>
        </w:rPr>
        <w:t>.</w:t>
      </w:r>
    </w:p>
    <w:p w14:paraId="39F013BD" w14:textId="77777777" w:rsidR="00AB3647" w:rsidRDefault="00000000" w:rsidP="007923E9">
      <w:pPr>
        <w:spacing w:after="120" w:line="276" w:lineRule="auto"/>
        <w:ind w:firstLine="283"/>
        <w:jc w:val="both"/>
      </w:pPr>
      <w:r>
        <w:rPr>
          <w:rtl/>
        </w:rPr>
        <w:t xml:space="preserve">אבל כשראה ר׳ </w:t>
      </w:r>
      <w:proofErr w:type="spellStart"/>
      <w:r>
        <w:rPr>
          <w:rtl/>
        </w:rPr>
        <w:t>איצל׳ה</w:t>
      </w:r>
      <w:proofErr w:type="spellEnd"/>
      <w:r>
        <w:rPr>
          <w:rtl/>
        </w:rPr>
        <w:t xml:space="preserve"> שחתנו בולע בתמימות את דבריו של </w:t>
      </w:r>
      <w:proofErr w:type="spellStart"/>
      <w:r>
        <w:rPr>
          <w:rtl/>
        </w:rPr>
        <w:t>ליליינטל</w:t>
      </w:r>
      <w:proofErr w:type="spellEnd"/>
      <w:r>
        <w:rPr>
          <w:rtl/>
        </w:rPr>
        <w:t xml:space="preserve">, הבין שר׳ </w:t>
      </w:r>
      <w:proofErr w:type="spellStart"/>
      <w:r>
        <w:rPr>
          <w:rtl/>
        </w:rPr>
        <w:t>נפתלי־צבי־יהודה</w:t>
      </w:r>
      <w:proofErr w:type="spellEnd"/>
      <w:r>
        <w:rPr>
          <w:rtl/>
        </w:rPr>
        <w:t xml:space="preserve"> עדיין אינו מוכן לקבל עליו את תפקיד ההנהגה של כלל ישראל, והחליט שלא לגלות לו את דעתו על כוונות אורחו ואת חששותיו שלו. מותו של ר׳ </w:t>
      </w:r>
      <w:proofErr w:type="spellStart"/>
      <w:r>
        <w:rPr>
          <w:rtl/>
        </w:rPr>
        <w:t>איצל׳ה</w:t>
      </w:r>
      <w:proofErr w:type="spellEnd"/>
      <w:r>
        <w:rPr>
          <w:rtl/>
        </w:rPr>
        <w:t xml:space="preserve"> כעבור שבע שנים הותיר את </w:t>
      </w:r>
      <w:proofErr w:type="spellStart"/>
      <w:r>
        <w:rPr>
          <w:rtl/>
        </w:rPr>
        <w:t>הנצי״ב</w:t>
      </w:r>
      <w:proofErr w:type="spellEnd"/>
      <w:r>
        <w:rPr>
          <w:rtl/>
        </w:rPr>
        <w:t xml:space="preserve"> בלי שידע על כך לעולם.</w:t>
      </w:r>
    </w:p>
    <w:p w14:paraId="4A31FE25" w14:textId="77777777" w:rsidR="00AB3647" w:rsidRDefault="00000000" w:rsidP="007923E9">
      <w:pPr>
        <w:pStyle w:val="4"/>
        <w:spacing w:line="276" w:lineRule="auto"/>
      </w:pPr>
      <w:r>
        <w:t>· הפסקה העשרים ·</w:t>
      </w:r>
    </w:p>
    <w:p w14:paraId="7AEFB77E" w14:textId="77777777" w:rsidR="00AB3647" w:rsidRDefault="00000000" w:rsidP="007923E9">
      <w:pPr>
        <w:pStyle w:val="5"/>
        <w:spacing w:line="276" w:lineRule="auto"/>
      </w:pPr>
      <w:r>
        <w:t xml:space="preserve">השערות שונות מוצעות לסיבת בריחתו של </w:t>
      </w:r>
      <w:proofErr w:type="spellStart"/>
      <w:r>
        <w:t>ליליינטל</w:t>
      </w:r>
      <w:proofErr w:type="spellEnd"/>
      <w:r>
        <w:t xml:space="preserve"> – הן מופרכות</w:t>
      </w:r>
    </w:p>
    <w:p w14:paraId="595F45BF" w14:textId="77777777" w:rsidR="00AB3647" w:rsidRDefault="00000000" w:rsidP="007923E9">
      <w:pPr>
        <w:spacing w:after="120" w:line="276" w:lineRule="auto"/>
        <w:ind w:firstLine="283"/>
        <w:jc w:val="both"/>
      </w:pPr>
      <w:r>
        <w:rPr>
          <w:rtl/>
        </w:rPr>
        <w:t xml:space="preserve">לפי דברי </w:t>
      </w:r>
      <w:proofErr w:type="spellStart"/>
      <w:r>
        <w:rPr>
          <w:rtl/>
        </w:rPr>
        <w:t>הנצי״ב</w:t>
      </w:r>
      <w:proofErr w:type="spellEnd"/>
      <w:r>
        <w:rPr>
          <w:rtl/>
        </w:rPr>
        <w:t xml:space="preserve"> שהובאו לעיל, הסיבה לבריחתו של </w:t>
      </w:r>
      <w:proofErr w:type="spellStart"/>
      <w:r>
        <w:rPr>
          <w:rtl/>
        </w:rPr>
        <w:t>ליליינטל</w:t>
      </w:r>
      <w:proofErr w:type="spellEnd"/>
      <w:r>
        <w:rPr>
          <w:rtl/>
        </w:rPr>
        <w:t xml:space="preserve"> מתפקידו לא הייתה ידועה בשעה שאירעה, ונשארה בלתי ידועה גם כשדיבר </w:t>
      </w:r>
      <w:proofErr w:type="spellStart"/>
      <w:r>
        <w:rPr>
          <w:rtl/>
        </w:rPr>
        <w:t>הנצי״ב</w:t>
      </w:r>
      <w:proofErr w:type="spellEnd"/>
      <w:r>
        <w:rPr>
          <w:rtl/>
        </w:rPr>
        <w:t xml:space="preserve"> על העניין עם בן אחותו, כשלושים שנה אחר כך. לדברי ר׳ </w:t>
      </w:r>
      <w:proofErr w:type="spellStart"/>
      <w:r>
        <w:rPr>
          <w:rtl/>
        </w:rPr>
        <w:t>נפתלי־צבי־יהודה</w:t>
      </w:r>
      <w:proofErr w:type="spellEnd"/>
      <w:r>
        <w:rPr>
          <w:rtl/>
        </w:rPr>
        <w:t xml:space="preserve"> ברלין, במשך שלושת העשורים האלה הועלו “השערות, חקירות ורעיונות” רבים בלי להגיע לאמת, והעניין “נעבר כטמון במצולות ים” – עד שהציע </w:t>
      </w:r>
      <w:proofErr w:type="spellStart"/>
      <w:r>
        <w:rPr>
          <w:rtl/>
        </w:rPr>
        <w:t>הנצי״ב</w:t>
      </w:r>
      <w:proofErr w:type="spellEnd"/>
      <w:r>
        <w:rPr>
          <w:rtl/>
        </w:rPr>
        <w:t xml:space="preserve"> עצמו את הסברו, שבריחתו של </w:t>
      </w:r>
      <w:proofErr w:type="spellStart"/>
      <w:r>
        <w:rPr>
          <w:rtl/>
        </w:rPr>
        <w:t>ליליינטל</w:t>
      </w:r>
      <w:proofErr w:type="spellEnd"/>
      <w:r>
        <w:rPr>
          <w:rtl/>
        </w:rPr>
        <w:t xml:space="preserve"> לא הייתה אלא ביטוי לנאמנותו לאמונתו.</w:t>
      </w:r>
    </w:p>
    <w:p w14:paraId="37039CA9" w14:textId="77777777" w:rsidR="00AB3647" w:rsidRDefault="00000000" w:rsidP="007923E9">
      <w:pPr>
        <w:spacing w:after="120" w:line="276" w:lineRule="auto"/>
        <w:ind w:firstLine="283"/>
        <w:jc w:val="both"/>
      </w:pPr>
      <w:r>
        <w:rPr>
          <w:rtl/>
        </w:rPr>
        <w:t xml:space="preserve">בחיפוש אחר הסיבה לבריחתו של </w:t>
      </w:r>
      <w:proofErr w:type="spellStart"/>
      <w:r>
        <w:rPr>
          <w:rtl/>
        </w:rPr>
        <w:t>ליליינטל</w:t>
      </w:r>
      <w:proofErr w:type="spellEnd"/>
      <w:r>
        <w:rPr>
          <w:rtl/>
        </w:rPr>
        <w:t xml:space="preserve"> מציע המאמר </w:t>
      </w:r>
      <w:proofErr w:type="spellStart"/>
      <w:r>
        <w:rPr>
          <w:rtl/>
        </w:rPr>
        <w:t>ב“השלח</w:t>
      </w:r>
      <w:proofErr w:type="spellEnd"/>
      <w:r>
        <w:rPr>
          <w:rtl/>
        </w:rPr>
        <w:t>” משנת 1912</w:t>
      </w:r>
      <w:bookmarkStart w:id="1402" w:name="_fnr894"/>
      <w:r>
        <w:rPr>
          <w:rStyle w:val="a5"/>
        </w:rPr>
        <w:footnoteReference w:id="897" w:customMarkFollows="0"/>
      </w:r>
      <w:bookmarkEnd w:id="1402"/>
      <w:r>
        <w:rPr>
          <w:rtl/>
        </w:rPr>
        <w:t xml:space="preserve"> שלוש סיבות להחלטתו: “שחזה צרות רבות וקשות שיבואו על יהודי רוסיה, וחשש שהיהודים ישפכו עליו את חמתם על שהטעה אותם בשקרים; שממשלת רוסיה לא נענתה לדרישתו התקיפה להביא לבתי הספר מורים שהוכשרו בגרמניה; ושערכו ירד בעיני רבים בעקבות פרסום </w:t>
      </w:r>
      <w:r>
        <w:rPr>
          <w:rtl/>
        </w:rPr>
        <w:lastRenderedPageBreak/>
        <w:t xml:space="preserve">החוברת ‘מגיד אמת’.” המאמר מודה שכל סיבה לעצמה אינה מכרעת, אבל מציע </w:t>
      </w:r>
      <w:proofErr w:type="spellStart"/>
      <w:r>
        <w:rPr>
          <w:rtl/>
        </w:rPr>
        <w:t>ש“כולן</w:t>
      </w:r>
      <w:proofErr w:type="spellEnd"/>
      <w:r>
        <w:rPr>
          <w:rtl/>
        </w:rPr>
        <w:t xml:space="preserve"> (יחד)” הביאו את </w:t>
      </w:r>
      <w:proofErr w:type="spellStart"/>
      <w:r>
        <w:rPr>
          <w:rtl/>
        </w:rPr>
        <w:t>ליליינטל</w:t>
      </w:r>
      <w:proofErr w:type="spellEnd"/>
      <w:r>
        <w:rPr>
          <w:rtl/>
        </w:rPr>
        <w:t xml:space="preserve"> לעזוב “בסתר ובחיפזון”.</w:t>
      </w:r>
    </w:p>
    <w:p w14:paraId="209DC4EE" w14:textId="77777777" w:rsidR="00AB3647" w:rsidRDefault="00000000" w:rsidP="007923E9">
      <w:pPr>
        <w:spacing w:after="120" w:line="276" w:lineRule="auto"/>
        <w:ind w:firstLine="283"/>
        <w:jc w:val="both"/>
      </w:pPr>
      <w:r>
        <w:rPr>
          <w:rtl/>
        </w:rPr>
        <w:t>סטניסלבסקי</w:t>
      </w:r>
      <w:bookmarkStart w:id="1403" w:name="_fnr895"/>
      <w:r>
        <w:rPr>
          <w:rStyle w:val="a5"/>
        </w:rPr>
        <w:footnoteReference w:id="898" w:customMarkFollows="0"/>
      </w:r>
      <w:bookmarkEnd w:id="1403"/>
      <w:r>
        <w:rPr>
          <w:rtl/>
        </w:rPr>
        <w:t xml:space="preserve"> מספר </w:t>
      </w:r>
      <w:proofErr w:type="spellStart"/>
      <w:r>
        <w:rPr>
          <w:rtl/>
        </w:rPr>
        <w:t>ש“מקס</w:t>
      </w:r>
      <w:proofErr w:type="spellEnd"/>
      <w:r>
        <w:rPr>
          <w:rtl/>
        </w:rPr>
        <w:t xml:space="preserve"> </w:t>
      </w:r>
      <w:proofErr w:type="spellStart"/>
      <w:r>
        <w:rPr>
          <w:rtl/>
        </w:rPr>
        <w:t>ליליינטל</w:t>
      </w:r>
      <w:proofErr w:type="spellEnd"/>
      <w:r>
        <w:rPr>
          <w:rtl/>
        </w:rPr>
        <w:t xml:space="preserve"> עזב את רוסיה ב(קיץ 1845), שהה זמן קצר בגרמניה ויצא לארצות הברית, שם נעשה למנהיג חשוב של התנועה הרפורמית”, וקובע: “מאז [ואילך]” – כלומר, יותר ממאה שנה אחרי שהכריז </w:t>
      </w:r>
      <w:proofErr w:type="spellStart"/>
      <w:r>
        <w:rPr>
          <w:rtl/>
        </w:rPr>
        <w:t>הנצי״ב</w:t>
      </w:r>
      <w:proofErr w:type="spellEnd"/>
      <w:r>
        <w:rPr>
          <w:rtl/>
        </w:rPr>
        <w:t xml:space="preserve"> שבריחתו של </w:t>
      </w:r>
      <w:proofErr w:type="spellStart"/>
      <w:r>
        <w:rPr>
          <w:rtl/>
        </w:rPr>
        <w:t>ליליינטל</w:t>
      </w:r>
      <w:proofErr w:type="spellEnd"/>
      <w:r>
        <w:rPr>
          <w:rtl/>
        </w:rPr>
        <w:t xml:space="preserve"> היא תעלומה – “הרהרו היסטוריונים ופרשנים במעשיו של </w:t>
      </w:r>
      <w:proofErr w:type="spellStart"/>
      <w:r>
        <w:rPr>
          <w:rtl/>
        </w:rPr>
        <w:t>ליליינטל</w:t>
      </w:r>
      <w:proofErr w:type="spellEnd"/>
      <w:r>
        <w:rPr>
          <w:rtl/>
        </w:rPr>
        <w:t xml:space="preserve"> והעלו עשר השערות שונות כדי להסבירם.” הוא ממשיך ומונה את ההשערות השונות, דוחה רבות מהן על הסף, ומוכיח שגם האחרות אינן נכונות.</w:t>
      </w:r>
    </w:p>
    <w:p w14:paraId="5F98A784" w14:textId="77777777" w:rsidR="00AB3647" w:rsidRDefault="00000000" w:rsidP="007923E9">
      <w:pPr>
        <w:spacing w:after="120" w:line="276" w:lineRule="auto"/>
        <w:ind w:firstLine="283"/>
        <w:jc w:val="both"/>
      </w:pPr>
      <w:r>
        <w:rPr>
          <w:rtl/>
        </w:rPr>
        <w:t>סטניסלבסקי דוחה בצדק</w:t>
      </w:r>
      <w:bookmarkStart w:id="1404" w:name="_fnr896"/>
      <w:r>
        <w:rPr>
          <w:rStyle w:val="a5"/>
        </w:rPr>
        <w:footnoteReference w:id="899" w:customMarkFollows="0"/>
      </w:r>
      <w:bookmarkEnd w:id="1404"/>
      <w:r>
        <w:rPr>
          <w:rtl/>
        </w:rPr>
        <w:t xml:space="preserve"> את ההשערות (א) </w:t>
      </w:r>
      <w:proofErr w:type="spellStart"/>
      <w:r>
        <w:rPr>
          <w:rtl/>
        </w:rPr>
        <w:t>שליליינטל</w:t>
      </w:r>
      <w:proofErr w:type="spellEnd"/>
      <w:r>
        <w:rPr>
          <w:rtl/>
        </w:rPr>
        <w:t xml:space="preserve"> חשש מזעם ההמונים היהודיים (כפי שהציע המאמר </w:t>
      </w:r>
      <w:proofErr w:type="spellStart"/>
      <w:r>
        <w:rPr>
          <w:rtl/>
        </w:rPr>
        <w:t>ב“השלח</w:t>
      </w:r>
      <w:proofErr w:type="spellEnd"/>
      <w:r>
        <w:rPr>
          <w:rtl/>
        </w:rPr>
        <w:t xml:space="preserve">” משנת 1912 הנ״ל), (ב) שלא היה שבע רצון מתוכנית הלימודים נטולת התלמוד שקבע </w:t>
      </w:r>
      <w:proofErr w:type="spellStart"/>
      <w:r>
        <w:rPr>
          <w:rtl/>
        </w:rPr>
        <w:t>האוקאז</w:t>
      </w:r>
      <w:proofErr w:type="spellEnd"/>
      <w:r>
        <w:rPr>
          <w:rtl/>
        </w:rPr>
        <w:t xml:space="preserve">, (ג) שהמורים הגרמנים שהמליץ עליהם נדחו (שוב, כפי שהציע המאמר </w:t>
      </w:r>
      <w:proofErr w:type="spellStart"/>
      <w:r>
        <w:rPr>
          <w:rtl/>
        </w:rPr>
        <w:t>ב“השלח</w:t>
      </w:r>
      <w:proofErr w:type="spellEnd"/>
      <w:r>
        <w:rPr>
          <w:rtl/>
        </w:rPr>
        <w:t>”), ו־(ד) שנפגע מפני שהרוסים ניסו להמיר אותו לנצרות – מהלך שהיה פוגע במאמציהם לשפר את החינוך היהודי.</w:t>
      </w:r>
    </w:p>
    <w:p w14:paraId="7E5F509C" w14:textId="77777777" w:rsidR="00AB3647" w:rsidRDefault="00000000" w:rsidP="007923E9">
      <w:pPr>
        <w:spacing w:after="120" w:line="276" w:lineRule="auto"/>
        <w:ind w:firstLine="283"/>
        <w:jc w:val="both"/>
      </w:pPr>
      <w:r>
        <w:rPr>
          <w:rtl/>
        </w:rPr>
        <w:t>סטניסלבסקי</w:t>
      </w:r>
      <w:bookmarkStart w:id="1405" w:name="_fnr897"/>
      <w:r>
        <w:rPr>
          <w:rStyle w:val="a5"/>
        </w:rPr>
        <w:footnoteReference w:id="900" w:customMarkFollows="0"/>
      </w:r>
      <w:bookmarkEnd w:id="1405"/>
      <w:r>
        <w:rPr>
          <w:rtl/>
        </w:rPr>
        <w:t xml:space="preserve"> שולל גם את “התזה הנפוצה ביותר”, </w:t>
      </w:r>
      <w:proofErr w:type="spellStart"/>
      <w:r>
        <w:rPr>
          <w:rtl/>
        </w:rPr>
        <w:t>שהנצי״ב</w:t>
      </w:r>
      <w:proofErr w:type="spellEnd"/>
      <w:r>
        <w:rPr>
          <w:rtl/>
        </w:rPr>
        <w:t xml:space="preserve">, ביסודו של דבר, החזיק בה: </w:t>
      </w:r>
      <w:proofErr w:type="spellStart"/>
      <w:r>
        <w:rPr>
          <w:rtl/>
        </w:rPr>
        <w:t>ש“ליליינטל</w:t>
      </w:r>
      <w:proofErr w:type="spellEnd"/>
      <w:r>
        <w:rPr>
          <w:rtl/>
        </w:rPr>
        <w:t xml:space="preserve"> התפכח ממטרות הממשלה והבין שהולך שולל בידי משטר צבוע שחתר להחליש את הדת היהודית, ולא להיטיב עם היהודים</w:t>
      </w:r>
      <w:bookmarkStart w:id="1406" w:name="_fnr898"/>
      <w:r>
        <w:rPr>
          <w:rStyle w:val="a5"/>
        </w:rPr>
        <w:footnoteReference w:id="901" w:customMarkFollows="0"/>
      </w:r>
      <w:bookmarkEnd w:id="1406"/>
      <w:r>
        <w:rPr>
          <w:rtl/>
        </w:rPr>
        <w:t xml:space="preserve">”; או, בגרסה חריפה יותר של אותה תזה, “שנשתכנע שמטרת בתי הספר היא להמיר את היהודים לנצרות”; או “שנודע לו על התזכיר הסודי כביכול (שפורסם לבסוף בשנת 1866 [יחד עם מסמכים אחרים של המשרד מן השנים 1814–1864]), שבו גילה </w:t>
      </w:r>
      <w:proofErr w:type="spellStart"/>
      <w:r>
        <w:rPr>
          <w:rtl/>
        </w:rPr>
        <w:t>אוברוב</w:t>
      </w:r>
      <w:proofErr w:type="spellEnd"/>
      <w:r>
        <w:rPr>
          <w:rtl/>
        </w:rPr>
        <w:t>, שר הדתות וההשכלה, את מניעיו המיסיונריים האמיתיים, וחשף ש(הוא) דיבר עם הצאר על החשיבות שבהקמת בתי המדרש לרבנים ‘כדי שעל ידי בוגריהם יתחילו היהודים לבוז לתלמוד, שהוא המכשול בדרך המרתם לנצרות’</w:t>
      </w:r>
      <w:bookmarkStart w:id="1407" w:name="_fnr899"/>
      <w:r>
        <w:rPr>
          <w:rStyle w:val="a5"/>
        </w:rPr>
        <w:footnoteReference w:id="902" w:customMarkFollows="0"/>
      </w:r>
      <w:bookmarkEnd w:id="1407"/>
      <w:r>
        <w:rPr>
          <w:rtl/>
        </w:rPr>
        <w:t>”.</w:t>
      </w:r>
    </w:p>
    <w:p w14:paraId="29A472D3" w14:textId="77777777" w:rsidR="00AB3647" w:rsidRDefault="00000000" w:rsidP="007923E9">
      <w:pPr>
        <w:spacing w:after="120" w:line="276" w:lineRule="auto"/>
        <w:ind w:firstLine="283"/>
        <w:jc w:val="both"/>
      </w:pPr>
      <w:r>
        <w:rPr>
          <w:rtl/>
        </w:rPr>
        <w:t>סטניסלבסקי</w:t>
      </w:r>
      <w:bookmarkStart w:id="1408" w:name="_fnr900"/>
      <w:r>
        <w:rPr>
          <w:rStyle w:val="a5"/>
        </w:rPr>
        <w:footnoteReference w:id="903" w:customMarkFollows="0"/>
      </w:r>
      <w:bookmarkEnd w:id="1408"/>
      <w:r>
        <w:rPr>
          <w:rtl/>
        </w:rPr>
        <w:t xml:space="preserve"> מוכיח שהתזה </w:t>
      </w:r>
      <w:proofErr w:type="spellStart"/>
      <w:r>
        <w:rPr>
          <w:rtl/>
        </w:rPr>
        <w:t>שליליינטל</w:t>
      </w:r>
      <w:proofErr w:type="spellEnd"/>
      <w:r>
        <w:rPr>
          <w:rtl/>
        </w:rPr>
        <w:t xml:space="preserve"> עזב את רוסיה מפני שנודע לו על התזכיר הסודי מופרכת, שכן “מלבד העובדה שלא הזכיר מסמך זה אפילו פעם אחת, לא היה בתזכיר דבר שהיה מפתיע אותו כלל. אדרבה, </w:t>
      </w:r>
      <w:proofErr w:type="spellStart"/>
      <w:r>
        <w:rPr>
          <w:rtl/>
        </w:rPr>
        <w:t>ליליינטל</w:t>
      </w:r>
      <w:proofErr w:type="spellEnd"/>
      <w:r>
        <w:rPr>
          <w:rtl/>
        </w:rPr>
        <w:t xml:space="preserve"> היה שותף במידה רבה לנטייתו האידאולוגית והאינטלקטואלית של </w:t>
      </w:r>
      <w:proofErr w:type="spellStart"/>
      <w:r>
        <w:rPr>
          <w:rtl/>
        </w:rPr>
        <w:t>אוברוב</w:t>
      </w:r>
      <w:bookmarkStart w:id="1409" w:name="_fnr901"/>
      <w:proofErr w:type="spellEnd"/>
      <w:r>
        <w:rPr>
          <w:rStyle w:val="a5"/>
        </w:rPr>
        <w:footnoteReference w:id="904" w:customMarkFollows="0"/>
      </w:r>
      <w:bookmarkEnd w:id="1409"/>
      <w:r>
        <w:rPr>
          <w:rtl/>
        </w:rPr>
        <w:t xml:space="preserve">. עד שעזב את רוסיה לא הביע מעולם דבר מלבד אמון גמור ומוחלט במטרות הממשלה ובמדיניותה. רק כמה שנים אחרי שבא לאמריקה הביע לראשונה רגשות שליליים, ואף מלאי ארס, כלפי ניקולאי ומשטרו. בסדרת מאמרים סקר את כל תולדות היהודים ברוסיה כרצף של רדיפות וסבל בלי הפוגה, והסיק שאין שום תקווה ליהודי רוסיה. אולם מעולם לא קשר את ההכרה המאוחרת הזאת לנטישת שליחותו הרוסית, ולא הייתה לו </w:t>
      </w:r>
      <w:r>
        <w:rPr>
          <w:rtl/>
        </w:rPr>
        <w:lastRenderedPageBreak/>
        <w:t>שום סיבה לשתוק בעניין זה. למעשה קשר את חוסר התקווה שבמצב יהודי רוסיה לשינוי במדיניות הקיסרית, שלדבריו המפורשים אירע ב־13 בנובמבר 1845 – חמישה חודשים אחרי שכבר עזב את המדינה.</w:t>
      </w:r>
      <w:bookmarkStart w:id="1410" w:name="_fnr902"/>
      <w:r>
        <w:rPr>
          <w:rStyle w:val="a5"/>
        </w:rPr>
        <w:footnoteReference w:id="905" w:customMarkFollows="0"/>
      </w:r>
      <w:bookmarkEnd w:id="1410"/>
      <w:r>
        <w:rPr>
          <w:rtl/>
        </w:rPr>
        <w:t>”</w:t>
      </w:r>
    </w:p>
    <w:p w14:paraId="24D5CFC3" w14:textId="77777777" w:rsidR="00AB3647" w:rsidRDefault="00000000" w:rsidP="007923E9">
      <w:pPr>
        <w:pStyle w:val="4"/>
        <w:spacing w:line="276" w:lineRule="auto"/>
      </w:pPr>
      <w:r>
        <w:t>· הפסקה העשרים ואחת ·</w:t>
      </w:r>
    </w:p>
    <w:p w14:paraId="39902DC7" w14:textId="77777777" w:rsidR="00AB3647" w:rsidRDefault="00000000" w:rsidP="007923E9">
      <w:pPr>
        <w:pStyle w:val="5"/>
        <w:spacing w:line="276" w:lineRule="auto"/>
      </w:pPr>
      <w:proofErr w:type="spellStart"/>
      <w:r>
        <w:t>ליליינטל</w:t>
      </w:r>
      <w:proofErr w:type="spellEnd"/>
      <w:r>
        <w:t xml:space="preserve"> מפרסם סיבה כוזבת לעזיבתו את רוסיה</w:t>
      </w:r>
    </w:p>
    <w:p w14:paraId="6B38FF23" w14:textId="77777777" w:rsidR="00AB3647" w:rsidRDefault="00000000" w:rsidP="007923E9">
      <w:pPr>
        <w:spacing w:after="120" w:line="276" w:lineRule="auto"/>
        <w:ind w:firstLine="283"/>
        <w:jc w:val="both"/>
      </w:pPr>
      <w:proofErr w:type="spellStart"/>
      <w:r>
        <w:rPr>
          <w:rtl/>
        </w:rPr>
        <w:t>ליליינטל</w:t>
      </w:r>
      <w:proofErr w:type="spellEnd"/>
      <w:r>
        <w:rPr>
          <w:rtl/>
        </w:rPr>
        <w:t xml:space="preserve"> עצמו פרסם מאמר</w:t>
      </w:r>
      <w:bookmarkStart w:id="1411" w:name="_fnr903"/>
      <w:r>
        <w:rPr>
          <w:rStyle w:val="a5"/>
        </w:rPr>
        <w:footnoteReference w:id="906" w:customMarkFollows="0"/>
      </w:r>
      <w:bookmarkEnd w:id="1411"/>
      <w:r>
        <w:rPr>
          <w:rtl/>
        </w:rPr>
        <w:t xml:space="preserve"> עשרים וחמש שנה אחרי שעזב את רוסיה, ובו טען שכשהוציא הצאר ניקולאי את הגזרה מ־20 באפריל 1843, האוסרת על יהודים לגור בתחום 50 </w:t>
      </w:r>
      <w:proofErr w:type="spellStart"/>
      <w:r>
        <w:rPr>
          <w:rtl/>
        </w:rPr>
        <w:t>ורסטאות</w:t>
      </w:r>
      <w:proofErr w:type="spellEnd"/>
      <w:r>
        <w:rPr>
          <w:rtl/>
        </w:rPr>
        <w:t xml:space="preserve"> מגבולות פרוסיה ואוסטריה, “החליט (</w:t>
      </w:r>
      <w:proofErr w:type="spellStart"/>
      <w:r>
        <w:rPr>
          <w:rtl/>
        </w:rPr>
        <w:t>בלבו</w:t>
      </w:r>
      <w:proofErr w:type="spellEnd"/>
      <w:r>
        <w:rPr>
          <w:rtl/>
        </w:rPr>
        <w:t xml:space="preserve">) לעזוב את השירות הקיסרי, וביולי 1845 (כעבור שנתיים, הוא) יצא מפטרבורג אל חופי ארץ זכויות האדם והחירות (ארצות הברית)”. סטניסלבסקי מוכיח </w:t>
      </w:r>
      <w:proofErr w:type="spellStart"/>
      <w:r>
        <w:rPr>
          <w:rtl/>
        </w:rPr>
        <w:t>שליליינטל</w:t>
      </w:r>
      <w:proofErr w:type="spellEnd"/>
      <w:r>
        <w:rPr>
          <w:rtl/>
        </w:rPr>
        <w:t xml:space="preserve"> שיקר, שהרי אפילו </w:t>
      </w:r>
      <w:proofErr w:type="spellStart"/>
      <w:r>
        <w:rPr>
          <w:rtl/>
        </w:rPr>
        <w:t>חמישה־עשר</w:t>
      </w:r>
      <w:proofErr w:type="spellEnd"/>
      <w:r>
        <w:rPr>
          <w:rtl/>
        </w:rPr>
        <w:t xml:space="preserve"> חודשים אחרי שפורסמה הגזרה, ושישה חודשים אחרי שנדחה ערעור </w:t>
      </w:r>
      <w:r>
        <w:rPr>
          <w:b/>
          <w:bCs/>
          <w:rtl/>
        </w:rPr>
        <w:t>נגד</w:t>
      </w:r>
      <w:r>
        <w:rPr>
          <w:rtl/>
        </w:rPr>
        <w:t xml:space="preserve"> הגזרה (ב־10 בינואר 1844), כתב </w:t>
      </w:r>
      <w:proofErr w:type="spellStart"/>
      <w:r>
        <w:rPr>
          <w:rtl/>
        </w:rPr>
        <w:t>ליליינטל</w:t>
      </w:r>
      <w:proofErr w:type="spellEnd"/>
      <w:r>
        <w:rPr>
          <w:rtl/>
        </w:rPr>
        <w:t xml:space="preserve"> לאבי ארוסתו מכתב (מיום 6 ביולי 1844), ובו “ניבא עתיד מזהיר (לעצמו) ברוסיה”.</w:t>
      </w:r>
    </w:p>
    <w:p w14:paraId="04A0C560" w14:textId="77777777" w:rsidR="00AB3647" w:rsidRDefault="00000000" w:rsidP="007923E9">
      <w:pPr>
        <w:spacing w:after="120" w:line="276" w:lineRule="auto"/>
        <w:ind w:firstLine="283"/>
        <w:jc w:val="both"/>
      </w:pPr>
      <w:r>
        <w:rPr>
          <w:rtl/>
        </w:rPr>
        <w:t xml:space="preserve">אחרי שהזכיר את אכזבתו מגזרת 50 </w:t>
      </w:r>
      <w:proofErr w:type="spellStart"/>
      <w:r>
        <w:rPr>
          <w:rtl/>
        </w:rPr>
        <w:t>הוורסטאות</w:t>
      </w:r>
      <w:bookmarkStart w:id="1412" w:name="_fnr904"/>
      <w:proofErr w:type="spellEnd"/>
      <w:r>
        <w:rPr>
          <w:rStyle w:val="a5"/>
        </w:rPr>
        <w:footnoteReference w:id="907" w:customMarkFollows="0"/>
      </w:r>
      <w:bookmarkEnd w:id="1412"/>
      <w:r>
        <w:rPr>
          <w:rtl/>
        </w:rPr>
        <w:t>, כתב</w:t>
      </w:r>
      <w:bookmarkStart w:id="1413" w:name="_fnr905"/>
      <w:r>
        <w:rPr>
          <w:rStyle w:val="a5"/>
        </w:rPr>
        <w:footnoteReference w:id="908" w:customMarkFollows="0"/>
      </w:r>
      <w:bookmarkEnd w:id="1413"/>
      <w:r>
        <w:rPr>
          <w:rtl/>
        </w:rPr>
        <w:t xml:space="preserve">: “נראה ודאי שהחקיקה היהודית החדשה [בעניין בתי הספר] תושלם עד סוף השנה... לכן אני יכול לחזור ולומר לך כאן מה שהודעתי לך קודם לכן, דהיינו שמובטחת לי משרה שמשכורתה 1,000 רובל.” חמישה חודשים אחר כך, בדצמבר 1844, ושוב כעבור שלושה חודשים, ב־19 בפברואר 1845, כתב לארוסתו שכשיבוא למינכן במאי ישהה שם שלושה שבועות בלבד, מפני שעליו למהר ולחזור למשרתו בפטרבורג, ושבינתיים עליה להכין את נדונייתה. ברור אם כן שעשרים ושניים חודשים אחרי </w:t>
      </w:r>
      <w:proofErr w:type="spellStart"/>
      <w:r>
        <w:rPr>
          <w:rtl/>
        </w:rPr>
        <w:t>שליליינטל</w:t>
      </w:r>
      <w:proofErr w:type="spellEnd"/>
      <w:r>
        <w:rPr>
          <w:rtl/>
        </w:rPr>
        <w:t xml:space="preserve"> טען שהחליט “לעזוב את השירות הקיסרי” עדיין תכנן להישאר במשרתו.</w:t>
      </w:r>
    </w:p>
    <w:p w14:paraId="26C09778" w14:textId="77777777" w:rsidR="00AB3647" w:rsidRDefault="00000000" w:rsidP="007923E9">
      <w:pPr>
        <w:pStyle w:val="4"/>
        <w:spacing w:line="276" w:lineRule="auto"/>
      </w:pPr>
      <w:r>
        <w:t>· הפסקה העשרים ושתיים ·</w:t>
      </w:r>
    </w:p>
    <w:p w14:paraId="457F94C9" w14:textId="77777777" w:rsidR="00AB3647" w:rsidRDefault="00000000" w:rsidP="007923E9">
      <w:pPr>
        <w:pStyle w:val="5"/>
        <w:spacing w:line="276" w:lineRule="auto"/>
      </w:pPr>
      <w:r>
        <w:t xml:space="preserve">השאלה מדוע עזב </w:t>
      </w:r>
      <w:proofErr w:type="spellStart"/>
      <w:r>
        <w:t>ליליינטל</w:t>
      </w:r>
      <w:proofErr w:type="spellEnd"/>
      <w:r>
        <w:t xml:space="preserve"> את רוסיה נשארת פתוחה – הוא נוטה להגזמה דרמטית – הסיבה שהוא בודה אינה קשורה לעבודתו בשביל </w:t>
      </w:r>
      <w:proofErr w:type="spellStart"/>
      <w:r>
        <w:t>אוברוב</w:t>
      </w:r>
      <w:proofErr w:type="spellEnd"/>
    </w:p>
    <w:p w14:paraId="4A7BB3B8" w14:textId="77777777" w:rsidR="00AB3647" w:rsidRDefault="00000000" w:rsidP="007923E9">
      <w:pPr>
        <w:spacing w:after="120" w:line="276" w:lineRule="auto"/>
        <w:ind w:firstLine="283"/>
        <w:jc w:val="both"/>
      </w:pPr>
      <w:r>
        <w:rPr>
          <w:rtl/>
        </w:rPr>
        <w:t>סטניסלבסקי</w:t>
      </w:r>
      <w:bookmarkStart w:id="1414" w:name="_fnr906"/>
      <w:r>
        <w:rPr>
          <w:rStyle w:val="a5"/>
        </w:rPr>
        <w:footnoteReference w:id="909" w:customMarkFollows="0"/>
      </w:r>
      <w:bookmarkEnd w:id="1414"/>
      <w:r>
        <w:rPr>
          <w:rtl/>
        </w:rPr>
        <w:t xml:space="preserve"> נשאר עם השאלות: “מדוע לא [נשאר </w:t>
      </w:r>
      <w:proofErr w:type="spellStart"/>
      <w:r>
        <w:rPr>
          <w:rtl/>
        </w:rPr>
        <w:t>ליליינטל</w:t>
      </w:r>
      <w:proofErr w:type="spellEnd"/>
      <w:r>
        <w:rPr>
          <w:rtl/>
        </w:rPr>
        <w:t xml:space="preserve"> ברוסיה], ומדוע לא גילה מעולם מדוע?” נעמיק אם כן בעניין זה.</w:t>
      </w:r>
    </w:p>
    <w:p w14:paraId="06AA6560" w14:textId="77777777" w:rsidR="00AB3647" w:rsidRDefault="00000000" w:rsidP="007923E9">
      <w:pPr>
        <w:spacing w:after="120" w:line="276" w:lineRule="auto"/>
        <w:ind w:firstLine="283"/>
        <w:jc w:val="both"/>
      </w:pPr>
      <w:r>
        <w:rPr>
          <w:rtl/>
        </w:rPr>
        <w:lastRenderedPageBreak/>
        <w:t xml:space="preserve">כפי שעולה ממכתביו, </w:t>
      </w:r>
      <w:proofErr w:type="spellStart"/>
      <w:r>
        <w:rPr>
          <w:rtl/>
        </w:rPr>
        <w:t>ליליינטל</w:t>
      </w:r>
      <w:proofErr w:type="spellEnd"/>
      <w:r>
        <w:rPr>
          <w:rtl/>
        </w:rPr>
        <w:t xml:space="preserve"> היה חנפן ואופורטוניסט. כך, למשל, כתב לאחיו שמואל</w:t>
      </w:r>
      <w:bookmarkStart w:id="1415" w:name="_fnr907"/>
      <w:r>
        <w:rPr>
          <w:rStyle w:val="a5"/>
        </w:rPr>
        <w:footnoteReference w:id="910" w:customMarkFollows="0"/>
      </w:r>
      <w:bookmarkEnd w:id="1415"/>
      <w:r>
        <w:rPr>
          <w:rtl/>
        </w:rPr>
        <w:t xml:space="preserve"> כיצד התוודע </w:t>
      </w:r>
      <w:proofErr w:type="spellStart"/>
      <w:r>
        <w:rPr>
          <w:rtl/>
        </w:rPr>
        <w:t>לאוברוב</w:t>
      </w:r>
      <w:proofErr w:type="spellEnd"/>
      <w:r>
        <w:rPr>
          <w:rtl/>
        </w:rPr>
        <w:t xml:space="preserve">: “הצגתי את עצמי לפני השר [בהגשת תוכנית להקמת </w:t>
      </w:r>
      <w:proofErr w:type="spellStart"/>
      <w:r>
        <w:rPr>
          <w:rtl/>
        </w:rPr>
        <w:t>קונסיסטוריות</w:t>
      </w:r>
      <w:proofErr w:type="spellEnd"/>
      <w:r>
        <w:rPr>
          <w:rtl/>
        </w:rPr>
        <w:t xml:space="preserve">] – לעולם אין להניח לשעה </w:t>
      </w:r>
      <w:proofErr w:type="spellStart"/>
      <w:r>
        <w:rPr>
          <w:rtl/>
        </w:rPr>
        <w:t>הכושרת</w:t>
      </w:r>
      <w:proofErr w:type="spellEnd"/>
      <w:r>
        <w:rPr>
          <w:rtl/>
        </w:rPr>
        <w:t xml:space="preserve"> לחלוף בלי לנצלה.” מוזר, אבל הוא היה גם מאמין וגם רמאי.</w:t>
      </w:r>
    </w:p>
    <w:p w14:paraId="51FFCAF2" w14:textId="77777777" w:rsidR="00AB3647" w:rsidRDefault="00000000" w:rsidP="007923E9">
      <w:pPr>
        <w:spacing w:after="120" w:line="276" w:lineRule="auto"/>
        <w:ind w:firstLine="283"/>
        <w:jc w:val="both"/>
      </w:pPr>
      <w:r>
        <w:rPr>
          <w:rtl/>
        </w:rPr>
        <w:t>כשלחץ עליו אביו לוותר על משרתו בריגה אחרי חצי שנה בה, כתב לו</w:t>
      </w:r>
      <w:bookmarkStart w:id="1416" w:name="_fnr908"/>
      <w:r>
        <w:rPr>
          <w:rStyle w:val="a5"/>
        </w:rPr>
        <w:footnoteReference w:id="911" w:customMarkFollows="0"/>
      </w:r>
      <w:bookmarkEnd w:id="1416"/>
      <w:r>
        <w:rPr>
          <w:rtl/>
        </w:rPr>
        <w:t>: “היכן הן המשרות הפנויות הרבות? היכן המקומות שבהם אפשר למצוא תעסוקה מיד? ועוד, האם אוותר על הקריירה שבחרתי בה כל כך מהר? האם אאמין שה׳ במצב רוח של קפריזה גרידא נטל אותי, בובה עיוורת בידי הגורל, והשליך אותי לרוסיה כדי להשליכני ממנה שוב כשיבוא עליו מצב רוח אחר?”</w:t>
      </w:r>
    </w:p>
    <w:p w14:paraId="5D199328" w14:textId="77777777" w:rsidR="00AB3647" w:rsidRDefault="00000000" w:rsidP="007923E9">
      <w:pPr>
        <w:spacing w:after="120" w:line="276" w:lineRule="auto"/>
        <w:ind w:firstLine="283"/>
        <w:jc w:val="both"/>
      </w:pPr>
      <w:r>
        <w:rPr>
          <w:rtl/>
        </w:rPr>
        <w:t xml:space="preserve">ללודוויג </w:t>
      </w:r>
      <w:proofErr w:type="spellStart"/>
      <w:r>
        <w:rPr>
          <w:rtl/>
        </w:rPr>
        <w:t>פיליפסון</w:t>
      </w:r>
      <w:proofErr w:type="spellEnd"/>
      <w:r>
        <w:rPr>
          <w:rtl/>
        </w:rPr>
        <w:t xml:space="preserve"> כתב זמן קצר אחרי בואו לאמריקה: “ה׳, שלו הקרבתי את משרתי ברוסיה, שלמען שמו הקדוש ויתרתי על פרנסה, על כבוד ועל משרה לכל ימי חיי, הוא, אבי הכול, שבידו הפקדתי את גורלי, ושאינו עוזב את כל הבוטחים בו, עזר לי ברחמיו ונתן לי תחום פעולה שני.” סטניסלבסקי</w:t>
      </w:r>
      <w:bookmarkStart w:id="1417" w:name="_fnr909"/>
      <w:r>
        <w:rPr>
          <w:rStyle w:val="a5"/>
        </w:rPr>
        <w:footnoteReference w:id="912" w:customMarkFollows="0"/>
      </w:r>
      <w:bookmarkEnd w:id="1417"/>
      <w:r>
        <w:rPr>
          <w:rtl/>
        </w:rPr>
        <w:t xml:space="preserve"> מתאר מכתב אחרון זה כך: “הצהרה זו דרמטית ביותר – </w:t>
      </w:r>
      <w:proofErr w:type="spellStart"/>
      <w:r>
        <w:rPr>
          <w:rtl/>
        </w:rPr>
        <w:t>ודו־משמעית</w:t>
      </w:r>
      <w:proofErr w:type="spellEnd"/>
      <w:r>
        <w:rPr>
          <w:rtl/>
        </w:rPr>
        <w:t xml:space="preserve"> ביותר. ויתור על משרה או הקרבת משרה לה׳ יכולים להתפרש בדרכים שונות, במיוחד מפי רב רפורמי גרמני הנוטה להפרזות גסות.”</w:t>
      </w:r>
    </w:p>
    <w:p w14:paraId="392F5F4A" w14:textId="77777777" w:rsidR="00AB3647" w:rsidRDefault="00000000" w:rsidP="007923E9">
      <w:pPr>
        <w:spacing w:after="120" w:line="276" w:lineRule="auto"/>
        <w:ind w:firstLine="283"/>
        <w:jc w:val="both"/>
      </w:pPr>
      <w:r>
        <w:rPr>
          <w:rtl/>
        </w:rPr>
        <w:t xml:space="preserve">בעיקרו של דבר אומר המכתב </w:t>
      </w:r>
      <w:proofErr w:type="spellStart"/>
      <w:r>
        <w:rPr>
          <w:rtl/>
        </w:rPr>
        <w:t>שליליינטל</w:t>
      </w:r>
      <w:proofErr w:type="spellEnd"/>
      <w:r>
        <w:rPr>
          <w:rtl/>
        </w:rPr>
        <w:t xml:space="preserve"> עזב את רוסיה לשם שמים, אבל למעשה אין הוא אלא מתהדר לקראת משרתו החדשה בתנועה הרפורמית, שבאותה עת עדיין האמינה באלוהות. הוא מנסה לשכנע את מנהיגי התנועה שוויתר על משרתו ברוסיה כדי לשרת </w:t>
      </w:r>
      <w:proofErr w:type="spellStart"/>
      <w:r>
        <w:rPr>
          <w:rtl/>
        </w:rPr>
        <w:t>ב“שליחות</w:t>
      </w:r>
      <w:proofErr w:type="spellEnd"/>
      <w:r>
        <w:rPr>
          <w:rtl/>
        </w:rPr>
        <w:t xml:space="preserve"> הנעלה” של רב רפורמי.</w:t>
      </w:r>
    </w:p>
    <w:p w14:paraId="69677A17" w14:textId="77777777" w:rsidR="00AB3647" w:rsidRDefault="00000000" w:rsidP="007923E9">
      <w:pPr>
        <w:spacing w:after="120" w:line="276" w:lineRule="auto"/>
        <w:ind w:firstLine="283"/>
        <w:jc w:val="both"/>
      </w:pPr>
      <w:r>
        <w:rPr>
          <w:rtl/>
        </w:rPr>
        <w:t xml:space="preserve">במאמרו </w:t>
      </w:r>
      <w:proofErr w:type="spellStart"/>
      <w:r>
        <w:rPr>
          <w:rtl/>
        </w:rPr>
        <w:t>בג׳ואיש</w:t>
      </w:r>
      <w:proofErr w:type="spellEnd"/>
      <w:r>
        <w:rPr>
          <w:rtl/>
        </w:rPr>
        <w:t xml:space="preserve"> טיימס, עשרים וחמש שנה אחר כך, הרב הרפורמי אינו רק מפריז: הוא משקר בגלוי, כשהוא מציג בכזב את סיפור גזרת 50 </w:t>
      </w:r>
      <w:proofErr w:type="spellStart"/>
      <w:r>
        <w:rPr>
          <w:rtl/>
        </w:rPr>
        <w:t>הוורסטאות</w:t>
      </w:r>
      <w:proofErr w:type="spellEnd"/>
      <w:r>
        <w:rPr>
          <w:rtl/>
        </w:rPr>
        <w:t xml:space="preserve"> כסיבת עזיבתו. האם רק ניסה להיראות כמי שדואג ליחס שזוכים לו אחיו היהודים? הרי היה מצטייר באור טוב באותה מידה אילו טען את התזה הנפוצה ביותר בעניין בריחתו לאמריקה (כמובא לעיל בפסקה העשרים), כלומר “התפכחות ממטרות הממשלה ו[הכרה שה]משטר הצבוע [חתר] להחליש את הדת היהודית, ולא להיטיב עם היהודים”; או “שנשתכנע שמטרת בתי הספר היא להמיר את היהודים לנצרות”; או “שנודע לו על התזכיר הסודי כביכול שבו גילה </w:t>
      </w:r>
      <w:proofErr w:type="spellStart"/>
      <w:r>
        <w:rPr>
          <w:rtl/>
        </w:rPr>
        <w:t>אוברוב</w:t>
      </w:r>
      <w:proofErr w:type="spellEnd"/>
      <w:r>
        <w:rPr>
          <w:rtl/>
        </w:rPr>
        <w:t>... את מניעיו המיסיונריים האמיתיים”.</w:t>
      </w:r>
    </w:p>
    <w:p w14:paraId="41C3A6E3" w14:textId="77777777" w:rsidR="00AB3647" w:rsidRDefault="00000000" w:rsidP="007923E9">
      <w:pPr>
        <w:spacing w:after="120" w:line="276" w:lineRule="auto"/>
        <w:ind w:firstLine="283"/>
        <w:jc w:val="both"/>
      </w:pPr>
      <w:r>
        <w:rPr>
          <w:rtl/>
        </w:rPr>
        <w:t xml:space="preserve">אין זה סביר שנמנע מלהשתמש בהסברים אלה מפני שחשב שאיש לא יאמין להם לנוכח הזדהותו הגמורה בפועל עם “נטייתו האידאולוגית והאינטלקטואלית של </w:t>
      </w:r>
      <w:proofErr w:type="spellStart"/>
      <w:r>
        <w:rPr>
          <w:rtl/>
        </w:rPr>
        <w:t>אוברוב</w:t>
      </w:r>
      <w:proofErr w:type="spellEnd"/>
      <w:r>
        <w:rPr>
          <w:rtl/>
        </w:rPr>
        <w:t xml:space="preserve">”. כבר קם דור חדש, שהיה עשוי לקבל סיבות אלה כתקפות לא פחות מבדותו על “התפכחותו” בגלל גזרת 50 </w:t>
      </w:r>
      <w:proofErr w:type="spellStart"/>
      <w:r>
        <w:rPr>
          <w:rtl/>
        </w:rPr>
        <w:t>הוורסטאות</w:t>
      </w:r>
      <w:proofErr w:type="spellEnd"/>
      <w:r>
        <w:rPr>
          <w:rtl/>
        </w:rPr>
        <w:t>.</w:t>
      </w:r>
    </w:p>
    <w:p w14:paraId="09E626D6" w14:textId="77777777" w:rsidR="00AB3647" w:rsidRDefault="00000000" w:rsidP="007923E9">
      <w:pPr>
        <w:spacing w:after="120" w:line="276" w:lineRule="auto"/>
        <w:ind w:firstLine="283"/>
        <w:jc w:val="both"/>
      </w:pPr>
      <w:r>
        <w:rPr>
          <w:rtl/>
        </w:rPr>
        <w:lastRenderedPageBreak/>
        <w:t xml:space="preserve">נשארנו אם כן לא רק עם שאלותיו של סטניסלבסקי – מדוע עזב את רוסיה ומדוע לא אמר מעולם מדוע? – אלא גם עם השאלה: מדוע, כשפרסם לבסוף סיבה, בדה </w:t>
      </w:r>
      <w:proofErr w:type="spellStart"/>
      <w:r>
        <w:rPr>
          <w:rtl/>
        </w:rPr>
        <w:t>ליליינטל</w:t>
      </w:r>
      <w:proofErr w:type="spellEnd"/>
      <w:r>
        <w:rPr>
          <w:rtl/>
        </w:rPr>
        <w:t xml:space="preserve"> סיבה שאין לה שום קשר לתפקידי משרתו? אם לא רצה להציג את עצמו כמי שטעה בתחילת כהונתו בהערכת המשטר הרוסי, ודאי יכול היה לטעון שגילה את התזכיר הסודי, שאכן פורסם בשנת תרכ״ו, </w:t>
      </w:r>
      <w:r>
        <w:rPr>
          <w:b/>
          <w:bCs/>
          <w:rtl/>
        </w:rPr>
        <w:t>ארבע שנים לפני שכתב את מאמרו</w:t>
      </w:r>
      <w:r>
        <w:rPr>
          <w:rtl/>
        </w:rPr>
        <w:t>!</w:t>
      </w:r>
    </w:p>
    <w:p w14:paraId="5D6CA772" w14:textId="77777777" w:rsidR="00AB3647" w:rsidRDefault="00000000" w:rsidP="007923E9">
      <w:pPr>
        <w:pStyle w:val="4"/>
        <w:spacing w:line="276" w:lineRule="auto"/>
      </w:pPr>
      <w:r>
        <w:t>· הפסקה העשרים ושלוש ·</w:t>
      </w:r>
    </w:p>
    <w:p w14:paraId="2C60BA19" w14:textId="77777777" w:rsidR="00AB3647" w:rsidRDefault="00000000" w:rsidP="007923E9">
      <w:pPr>
        <w:pStyle w:val="5"/>
        <w:spacing w:line="276" w:lineRule="auto"/>
      </w:pPr>
      <w:r>
        <w:t xml:space="preserve">נראה </w:t>
      </w:r>
      <w:proofErr w:type="spellStart"/>
      <w:r>
        <w:t>שליליינטל</w:t>
      </w:r>
      <w:proofErr w:type="spellEnd"/>
      <w:r>
        <w:t xml:space="preserve"> לא עזב את רוסיה בסתר – מחבר אחד מציע השערה שסיבות אישיות עמדו מאחורי החלטתו – יש פרצות בהשערה</w:t>
      </w:r>
    </w:p>
    <w:p w14:paraId="15D02A53" w14:textId="77777777" w:rsidR="00AB3647" w:rsidRDefault="00000000" w:rsidP="007923E9">
      <w:pPr>
        <w:spacing w:after="120" w:line="276" w:lineRule="auto"/>
        <w:ind w:firstLine="283"/>
        <w:jc w:val="both"/>
      </w:pPr>
      <w:r>
        <w:rPr>
          <w:rtl/>
        </w:rPr>
        <w:t xml:space="preserve">בעניין פרטי עזיבתו של </w:t>
      </w:r>
      <w:proofErr w:type="spellStart"/>
      <w:r>
        <w:rPr>
          <w:rtl/>
        </w:rPr>
        <w:t>ליליינטל</w:t>
      </w:r>
      <w:proofErr w:type="spellEnd"/>
      <w:r>
        <w:rPr>
          <w:rtl/>
        </w:rPr>
        <w:t xml:space="preserve"> מביא סטניסלבסקי</w:t>
      </w:r>
      <w:bookmarkStart w:id="1418" w:name="_fnr910"/>
      <w:r>
        <w:rPr>
          <w:rStyle w:val="a5"/>
        </w:rPr>
        <w:footnoteReference w:id="913" w:customMarkFollows="0"/>
      </w:r>
      <w:bookmarkEnd w:id="1418"/>
      <w:r>
        <w:rPr>
          <w:rtl/>
        </w:rPr>
        <w:t xml:space="preserve"> מאמר של ההיסטוריון יולי </w:t>
      </w:r>
      <w:proofErr w:type="spellStart"/>
      <w:r>
        <w:rPr>
          <w:rtl/>
        </w:rPr>
        <w:t>גסן</w:t>
      </w:r>
      <w:proofErr w:type="spellEnd"/>
      <w:r>
        <w:rPr>
          <w:rtl/>
        </w:rPr>
        <w:t xml:space="preserve"> </w:t>
      </w:r>
      <w:proofErr w:type="spellStart"/>
      <w:r>
        <w:rPr>
          <w:rtl/>
        </w:rPr>
        <w:t>בווסחוד</w:t>
      </w:r>
      <w:proofErr w:type="spellEnd"/>
      <w:r>
        <w:rPr>
          <w:rtl/>
        </w:rPr>
        <w:t xml:space="preserve"> 25 (1905), האומר שעזב את רוסיה “בסתר” – כפי שכתב המאמר </w:t>
      </w:r>
      <w:proofErr w:type="spellStart"/>
      <w:r>
        <w:rPr>
          <w:rtl/>
        </w:rPr>
        <w:t>ב“השלח</w:t>
      </w:r>
      <w:proofErr w:type="spellEnd"/>
      <w:r>
        <w:rPr>
          <w:rtl/>
        </w:rPr>
        <w:t xml:space="preserve">” משנת 1912 וכפי שהרחיב “מקור ברוך” בשם </w:t>
      </w:r>
      <w:proofErr w:type="spellStart"/>
      <w:r>
        <w:rPr>
          <w:rtl/>
        </w:rPr>
        <w:t>הנצי״ב</w:t>
      </w:r>
      <w:proofErr w:type="spellEnd"/>
      <w:r>
        <w:rPr>
          <w:rtl/>
        </w:rPr>
        <w:t>. אבל סטניסלבסקי</w:t>
      </w:r>
      <w:bookmarkStart w:id="1419" w:name="_fnr911"/>
      <w:r>
        <w:rPr>
          <w:rStyle w:val="a5"/>
        </w:rPr>
        <w:footnoteReference w:id="914" w:customMarkFollows="0"/>
      </w:r>
      <w:bookmarkEnd w:id="1419"/>
      <w:r>
        <w:rPr>
          <w:rtl/>
        </w:rPr>
        <w:t xml:space="preserve"> מראה שלמעשה קיבל </w:t>
      </w:r>
      <w:proofErr w:type="spellStart"/>
      <w:r>
        <w:rPr>
          <w:rtl/>
        </w:rPr>
        <w:t>ליליינטל</w:t>
      </w:r>
      <w:proofErr w:type="spellEnd"/>
      <w:r>
        <w:rPr>
          <w:rtl/>
        </w:rPr>
        <w:t xml:space="preserve"> בדצמבר 1844 רשות מן הממשלה הרוסית לצאת לחופשה של שלושה שבועות בגרמניה.</w:t>
      </w:r>
    </w:p>
    <w:p w14:paraId="6DF47270" w14:textId="77777777" w:rsidR="00AB3647" w:rsidRDefault="00000000" w:rsidP="007923E9">
      <w:pPr>
        <w:spacing w:after="120" w:line="276" w:lineRule="auto"/>
        <w:ind w:firstLine="283"/>
        <w:jc w:val="both"/>
      </w:pPr>
      <w:r>
        <w:rPr>
          <w:rtl/>
        </w:rPr>
        <w:t xml:space="preserve">בתחילה תכנן </w:t>
      </w:r>
      <w:proofErr w:type="spellStart"/>
      <w:r>
        <w:rPr>
          <w:rtl/>
        </w:rPr>
        <w:t>ליליינטל</w:t>
      </w:r>
      <w:proofErr w:type="spellEnd"/>
      <w:r>
        <w:rPr>
          <w:rtl/>
        </w:rPr>
        <w:t xml:space="preserve"> לצאת לחופשתו במאי, אבל אחר כך דחה אותה עד יולי 1845. אחרי שהגיע לגרמניה כתב אביו </w:t>
      </w:r>
      <w:proofErr w:type="spellStart"/>
      <w:r>
        <w:rPr>
          <w:rtl/>
        </w:rPr>
        <w:t>לאוברוב</w:t>
      </w:r>
      <w:proofErr w:type="spellEnd"/>
      <w:r>
        <w:rPr>
          <w:rtl/>
        </w:rPr>
        <w:t xml:space="preserve"> וביקש להאריך את חופשת בנו מפני מצב בריאותו הרעוע. אחר כך נשא </w:t>
      </w:r>
      <w:proofErr w:type="spellStart"/>
      <w:r>
        <w:rPr>
          <w:rtl/>
        </w:rPr>
        <w:t>ליליינטל</w:t>
      </w:r>
      <w:proofErr w:type="spellEnd"/>
      <w:r>
        <w:rPr>
          <w:rtl/>
        </w:rPr>
        <w:t xml:space="preserve"> אישה במינכן ב־27 באוגוסט, וכעבור חודשיים, ב־25 באוקטובר, שלח </w:t>
      </w:r>
      <w:proofErr w:type="spellStart"/>
      <w:r>
        <w:rPr>
          <w:rtl/>
        </w:rPr>
        <w:t>לאוברוב</w:t>
      </w:r>
      <w:proofErr w:type="spellEnd"/>
      <w:r>
        <w:rPr>
          <w:rtl/>
        </w:rPr>
        <w:t xml:space="preserve"> את מכתב התפטרותו ויצא מיד לאמריקה.</w:t>
      </w:r>
    </w:p>
    <w:p w14:paraId="55D72D0B" w14:textId="77777777" w:rsidR="00AB3647" w:rsidRDefault="00000000" w:rsidP="007923E9">
      <w:pPr>
        <w:spacing w:after="120" w:line="276" w:lineRule="auto"/>
        <w:ind w:firstLine="283"/>
        <w:jc w:val="both"/>
      </w:pPr>
      <w:r>
        <w:rPr>
          <w:rtl/>
        </w:rPr>
        <w:t xml:space="preserve">סטניסלבסקי משער שמשפחתו של </w:t>
      </w:r>
      <w:proofErr w:type="spellStart"/>
      <w:r>
        <w:rPr>
          <w:rtl/>
        </w:rPr>
        <w:t>ליליינטל</w:t>
      </w:r>
      <w:proofErr w:type="spellEnd"/>
      <w:r>
        <w:rPr>
          <w:rtl/>
        </w:rPr>
        <w:t xml:space="preserve"> לא רצתה שיישאר במשרה, מאחר שמשכורתו ברוסיה לא הועלתה מאז מינויו. וכך הוא כותב</w:t>
      </w:r>
      <w:bookmarkStart w:id="1420" w:name="_fnr912"/>
      <w:r>
        <w:rPr>
          <w:rStyle w:val="a5"/>
        </w:rPr>
        <w:footnoteReference w:id="915" w:customMarkFollows="0"/>
      </w:r>
      <w:bookmarkEnd w:id="1420"/>
      <w:r>
        <w:rPr>
          <w:rtl/>
        </w:rPr>
        <w:t>: “אף שמשכורתו הייתה מכובדת למדי – שקולה בערך לזו של פועל מקצועי במפעל בפטרבורג באותה עת – היא לא הועלתה מעולם מזמן שהצטרף לשירות ועד שעזב, ולא הלמה כלל את שאיפותיו וציפיותיו או את חיי החברה בבירה שאליהם שאף.</w:t>
      </w:r>
      <w:bookmarkStart w:id="1421" w:name="_fnr913"/>
      <w:r>
        <w:rPr>
          <w:rStyle w:val="a5"/>
        </w:rPr>
        <w:footnoteReference w:id="916" w:customMarkFollows="0"/>
      </w:r>
      <w:bookmarkEnd w:id="1421"/>
      <w:r>
        <w:rPr>
          <w:rtl/>
        </w:rPr>
        <w:t>”</w:t>
      </w:r>
    </w:p>
    <w:p w14:paraId="3AE7F0AA" w14:textId="77777777" w:rsidR="00AB3647" w:rsidRDefault="00000000" w:rsidP="007923E9">
      <w:pPr>
        <w:spacing w:after="120" w:line="276" w:lineRule="auto"/>
        <w:ind w:firstLine="283"/>
        <w:jc w:val="both"/>
      </w:pPr>
      <w:r>
        <w:rPr>
          <w:rtl/>
        </w:rPr>
        <w:t xml:space="preserve">גם אם נניח שהמחבר יודע איזו משכורת קיבל </w:t>
      </w:r>
      <w:proofErr w:type="spellStart"/>
      <w:r>
        <w:rPr>
          <w:rtl/>
        </w:rPr>
        <w:t>ליליינטל</w:t>
      </w:r>
      <w:proofErr w:type="spellEnd"/>
      <w:r>
        <w:rPr>
          <w:rtl/>
        </w:rPr>
        <w:t xml:space="preserve">, אין הוא מביא מקור לכך שפועל מקצועי השתכר משכורת גבוהה כזו. ועוד, קשה אומנם להשוות משכורות של פועלים מקצועיים לאלה של רבנים, אבל נוכל להשוות משכורות של פקידים, כמו </w:t>
      </w:r>
      <w:proofErr w:type="spellStart"/>
      <w:r>
        <w:rPr>
          <w:rtl/>
        </w:rPr>
        <w:t>ליליינטל</w:t>
      </w:r>
      <w:proofErr w:type="spellEnd"/>
      <w:r>
        <w:rPr>
          <w:rtl/>
        </w:rPr>
        <w:t xml:space="preserve">, לאלה של רבנים באותה עת. ונמצא שרב כמו ר׳ </w:t>
      </w:r>
      <w:proofErr w:type="spellStart"/>
      <w:r>
        <w:rPr>
          <w:rtl/>
        </w:rPr>
        <w:t>לייבל׳ה</w:t>
      </w:r>
      <w:proofErr w:type="spellEnd"/>
      <w:r>
        <w:rPr>
          <w:rtl/>
        </w:rPr>
        <w:t xml:space="preserve"> שפירא</w:t>
      </w:r>
      <w:bookmarkStart w:id="1422" w:name="_fnr914"/>
      <w:r>
        <w:rPr>
          <w:rStyle w:val="a5"/>
        </w:rPr>
        <w:footnoteReference w:id="917" w:customMarkFollows="0"/>
      </w:r>
      <w:bookmarkEnd w:id="1422"/>
      <w:r>
        <w:rPr>
          <w:rtl/>
        </w:rPr>
        <w:t xml:space="preserve"> קיבל 75 רובל [!] לשנה </w:t>
      </w:r>
      <w:proofErr w:type="spellStart"/>
      <w:r>
        <w:rPr>
          <w:rtl/>
        </w:rPr>
        <w:t>בקלווריה</w:t>
      </w:r>
      <w:proofErr w:type="spellEnd"/>
      <w:r>
        <w:rPr>
          <w:rtl/>
        </w:rPr>
        <w:t xml:space="preserve"> בסוף כהונתו שם בת שש השנים, שנסתיימה בשנת תר״ט, לפי בערל </w:t>
      </w:r>
      <w:proofErr w:type="spellStart"/>
      <w:r>
        <w:rPr>
          <w:rtl/>
        </w:rPr>
        <w:t>קגן</w:t>
      </w:r>
      <w:bookmarkStart w:id="1423" w:name="_fnr915"/>
      <w:proofErr w:type="spellEnd"/>
      <w:r>
        <w:rPr>
          <w:rStyle w:val="a5"/>
        </w:rPr>
        <w:footnoteReference w:id="918" w:customMarkFollows="0"/>
      </w:r>
      <w:bookmarkEnd w:id="1423"/>
      <w:r>
        <w:rPr>
          <w:rtl/>
        </w:rPr>
        <w:t xml:space="preserve">. ולמעשה, במכתב </w:t>
      </w:r>
      <w:r>
        <w:rPr>
          <w:rtl/>
        </w:rPr>
        <w:lastRenderedPageBreak/>
        <w:t xml:space="preserve">שכתב לאבי ארוסתו בדיוק שנה לפני ששב לגרמניה – שהובא לעיל בפסקה העשרים ואחת – הביע </w:t>
      </w:r>
      <w:proofErr w:type="spellStart"/>
      <w:r>
        <w:rPr>
          <w:rtl/>
        </w:rPr>
        <w:t>ליליינטל</w:t>
      </w:r>
      <w:proofErr w:type="spellEnd"/>
      <w:r>
        <w:rPr>
          <w:rtl/>
        </w:rPr>
        <w:t xml:space="preserve"> גאווה במשכורת שקיבל!</w:t>
      </w:r>
    </w:p>
    <w:p w14:paraId="6F087249" w14:textId="77777777" w:rsidR="00AB3647" w:rsidRDefault="00000000" w:rsidP="007923E9">
      <w:pPr>
        <w:spacing w:after="120" w:line="276" w:lineRule="auto"/>
        <w:ind w:firstLine="283"/>
        <w:jc w:val="both"/>
      </w:pPr>
      <w:r>
        <w:rPr>
          <w:rtl/>
        </w:rPr>
        <w:t>סטניסלבסקי מסכם</w:t>
      </w:r>
      <w:bookmarkStart w:id="1424" w:name="_fnr916"/>
      <w:r>
        <w:rPr>
          <w:rStyle w:val="a5"/>
        </w:rPr>
        <w:footnoteReference w:id="919" w:customMarkFollows="0"/>
      </w:r>
      <w:bookmarkEnd w:id="1424"/>
      <w:r>
        <w:rPr>
          <w:rtl/>
        </w:rPr>
        <w:t xml:space="preserve">: “מה אירע באמת בזמן שהותו בגרמניה – אין יודעים. אי אפשר לברר מה הייתה המחלה שלדברי אביו </w:t>
      </w:r>
      <w:proofErr w:type="spellStart"/>
      <w:r>
        <w:rPr>
          <w:rtl/>
        </w:rPr>
        <w:t>לאוברוב</w:t>
      </w:r>
      <w:proofErr w:type="spellEnd"/>
      <w:r>
        <w:rPr>
          <w:rtl/>
        </w:rPr>
        <w:t xml:space="preserve"> חייבה חופשה נוספת בבית, או אם הארכה זו – או אפילו נטישת השליחות הרוסית – הייתה תנאי מוקדם לנישואי </w:t>
      </w:r>
      <w:proofErr w:type="spellStart"/>
      <w:r>
        <w:rPr>
          <w:rtl/>
        </w:rPr>
        <w:t>ליליינטל</w:t>
      </w:r>
      <w:proofErr w:type="spellEnd"/>
      <w:r>
        <w:rPr>
          <w:rtl/>
        </w:rPr>
        <w:t xml:space="preserve"> </w:t>
      </w:r>
      <w:proofErr w:type="spellStart"/>
      <w:r>
        <w:rPr>
          <w:rtl/>
        </w:rPr>
        <w:t>ופפי</w:t>
      </w:r>
      <w:proofErr w:type="spellEnd"/>
      <w:r>
        <w:rPr>
          <w:rtl/>
        </w:rPr>
        <w:t xml:space="preserve"> נטרה. אין יודעים אפילו אם </w:t>
      </w:r>
      <w:proofErr w:type="spellStart"/>
      <w:r>
        <w:rPr>
          <w:rtl/>
        </w:rPr>
        <w:t>ליליינטל</w:t>
      </w:r>
      <w:proofErr w:type="spellEnd"/>
      <w:r>
        <w:rPr>
          <w:rtl/>
        </w:rPr>
        <w:t xml:space="preserve"> עצמו החליט שמוטב לו שלא לשוב לרוסיה, או שההחלטה נכפתה עליו בלחץ המשפחה. מה שנשאר, אם כן, הוא השערה פשוטה, אף שאי אפשר להוכיחה: משהכיר בכישלונו ליצור לעצמו ברוסיה את העתיד שחזה, נכנע לדרישות היסוד של חייו האישיים והמשפחתיים, ונטש את השליחות הרוסית – בדלת האחורית. מובן ש</w:t>
      </w:r>
      <w:r>
        <w:rPr>
          <w:b/>
          <w:bCs/>
          <w:rtl/>
        </w:rPr>
        <w:t>אפילו אם השערה זו נכונה</w:t>
      </w:r>
      <w:r>
        <w:rPr>
          <w:rtl/>
        </w:rPr>
        <w:t xml:space="preserve"> (ההדגשה שלי), אי אפשר היה לצפות </w:t>
      </w:r>
      <w:proofErr w:type="spellStart"/>
      <w:r>
        <w:rPr>
          <w:rtl/>
        </w:rPr>
        <w:t>שליליינטל</w:t>
      </w:r>
      <w:proofErr w:type="spellEnd"/>
      <w:r>
        <w:rPr>
          <w:rtl/>
        </w:rPr>
        <w:t xml:space="preserve"> יביא סיבות כאלה להחלטתו. לפיכך ניסה לקשור את צעדו בחוק 50 </w:t>
      </w:r>
      <w:proofErr w:type="spellStart"/>
      <w:r>
        <w:rPr>
          <w:rtl/>
        </w:rPr>
        <w:t>הוורסטאות</w:t>
      </w:r>
      <w:proofErr w:type="spellEnd"/>
      <w:r>
        <w:rPr>
          <w:rtl/>
        </w:rPr>
        <w:t xml:space="preserve">. אי אפשר היה לצפות </w:t>
      </w:r>
      <w:proofErr w:type="spellStart"/>
      <w:r>
        <w:rPr>
          <w:rtl/>
        </w:rPr>
        <w:t>שליליינטל</w:t>
      </w:r>
      <w:proofErr w:type="spellEnd"/>
      <w:r>
        <w:rPr>
          <w:rtl/>
        </w:rPr>
        <w:t xml:space="preserve"> יביא סיבות [אישיות] כאלה להחלטתו.</w:t>
      </w:r>
      <w:bookmarkStart w:id="1425" w:name="_fnr917"/>
      <w:r>
        <w:rPr>
          <w:rStyle w:val="a5"/>
        </w:rPr>
        <w:footnoteReference w:id="920" w:customMarkFollows="0"/>
      </w:r>
      <w:bookmarkEnd w:id="1425"/>
      <w:r>
        <w:rPr>
          <w:rtl/>
        </w:rPr>
        <w:t>”</w:t>
      </w:r>
    </w:p>
    <w:p w14:paraId="32155421" w14:textId="77777777" w:rsidR="00AB3647" w:rsidRDefault="00000000" w:rsidP="007923E9">
      <w:pPr>
        <w:spacing w:after="120" w:line="276" w:lineRule="auto"/>
        <w:ind w:firstLine="283"/>
        <w:jc w:val="both"/>
      </w:pPr>
      <w:r>
        <w:rPr>
          <w:rtl/>
        </w:rPr>
        <w:t xml:space="preserve">בהעדר כל הסבר מתקבל על הדעת מדוע יצא </w:t>
      </w:r>
      <w:proofErr w:type="spellStart"/>
      <w:r>
        <w:rPr>
          <w:rtl/>
        </w:rPr>
        <w:t>ליליינטל</w:t>
      </w:r>
      <w:proofErr w:type="spellEnd"/>
      <w:r>
        <w:rPr>
          <w:rtl/>
        </w:rPr>
        <w:t xml:space="preserve"> מן התמונה הרוסית, אין לאותו מחבר ברירה אלא להניח שבזמן שהותו בגרמניה צץ בינו ובין משפחתו משהו “שאי אפשר להוכיחו” </w:t>
      </w:r>
      <w:proofErr w:type="spellStart"/>
      <w:r>
        <w:rPr>
          <w:rtl/>
        </w:rPr>
        <w:t>ו“שאי</w:t>
      </w:r>
      <w:proofErr w:type="spellEnd"/>
      <w:r>
        <w:rPr>
          <w:rtl/>
        </w:rPr>
        <w:t xml:space="preserve"> אפשר להביאו”, הקשור לכישלון מקצועי משוער אך בלתי מבוסס. סטניסלבסקי עצמו אינו בטוח שהשערתו נכונה (כפי שהודגש לעיל). הוא גם לא חקר מה הייתה הסיבה לדחיית נסיעתו </w:t>
      </w:r>
      <w:r>
        <w:rPr>
          <w:b/>
          <w:bCs/>
          <w:rtl/>
        </w:rPr>
        <w:t>אל</w:t>
      </w:r>
      <w:r>
        <w:rPr>
          <w:rtl/>
        </w:rPr>
        <w:t xml:space="preserve"> גרמניה בחודשיים – ממאי, כפי שתוכנן בתחילה, ליולי – ולא התמודד עם הבעיה שהעליתי בעניין השקר שבחר בו </w:t>
      </w:r>
      <w:proofErr w:type="spellStart"/>
      <w:r>
        <w:rPr>
          <w:rtl/>
        </w:rPr>
        <w:t>ליליינטל</w:t>
      </w:r>
      <w:proofErr w:type="spellEnd"/>
      <w:r>
        <w:rPr>
          <w:rtl/>
        </w:rPr>
        <w:t xml:space="preserve"> במאמרו משנת 1870.</w:t>
      </w:r>
    </w:p>
    <w:p w14:paraId="77494855" w14:textId="77777777" w:rsidR="00AB3647" w:rsidRDefault="00000000" w:rsidP="007923E9">
      <w:pPr>
        <w:spacing w:after="120" w:line="276" w:lineRule="auto"/>
        <w:ind w:firstLine="283"/>
        <w:jc w:val="both"/>
      </w:pPr>
      <w:r>
        <w:rPr>
          <w:rtl/>
        </w:rPr>
        <w:t xml:space="preserve">ועוד, קשה מעיקרה לקבל את השערתו של סטניסלבסקי. מדוע תרצה משפחתו של </w:t>
      </w:r>
      <w:proofErr w:type="spellStart"/>
      <w:r>
        <w:rPr>
          <w:rtl/>
        </w:rPr>
        <w:t>ליליינטל</w:t>
      </w:r>
      <w:proofErr w:type="spellEnd"/>
      <w:r>
        <w:rPr>
          <w:rtl/>
        </w:rPr>
        <w:t xml:space="preserve"> </w:t>
      </w:r>
      <w:proofErr w:type="spellStart"/>
      <w:r>
        <w:rPr>
          <w:rtl/>
        </w:rPr>
        <w:t>שינטוש</w:t>
      </w:r>
      <w:proofErr w:type="spellEnd"/>
      <w:r>
        <w:rPr>
          <w:rtl/>
        </w:rPr>
        <w:t xml:space="preserve"> משרה קיימת ברוסיה הקרובה יחסית – משרה שהיה לה ודאי עתיד, גם אם לא “העתיד המזהיר” שחזה רק שנה קודם לכן – לטובת משרה בלתי נודעת באמריקה שמעבר לים? במבט לאחור, שליחותו של </w:t>
      </w:r>
      <w:proofErr w:type="spellStart"/>
      <w:r>
        <w:rPr>
          <w:rtl/>
        </w:rPr>
        <w:t>ליליינטל</w:t>
      </w:r>
      <w:proofErr w:type="spellEnd"/>
      <w:r>
        <w:rPr>
          <w:rtl/>
        </w:rPr>
        <w:t xml:space="preserve"> ברוסיה הצליחה הצלחה עצומה: שני בתי מדרש לרבנים נוסדו כמעט מיד, ובתוך עשור נוסדו </w:t>
      </w:r>
      <w:r>
        <w:rPr>
          <w:b/>
          <w:bCs/>
          <w:rtl/>
        </w:rPr>
        <w:t>קרוב למאה בתי ספר</w:t>
      </w:r>
      <w:r>
        <w:rPr>
          <w:rtl/>
        </w:rPr>
        <w:t xml:space="preserve"> מן הסוג שהוא יזם. האם יכלו </w:t>
      </w:r>
      <w:proofErr w:type="spellStart"/>
      <w:r>
        <w:rPr>
          <w:rtl/>
        </w:rPr>
        <w:t>ליליינטל</w:t>
      </w:r>
      <w:proofErr w:type="spellEnd"/>
      <w:r>
        <w:rPr>
          <w:rtl/>
        </w:rPr>
        <w:t xml:space="preserve"> ו/או משפחתו לראות באותה עת במשרתו ברוסיה אכזבה כזאת, כפי שסטניסלבסקי רוצה שנאמין?</w:t>
      </w:r>
    </w:p>
    <w:p w14:paraId="5168D69F" w14:textId="77777777" w:rsidR="00AB3647" w:rsidRDefault="00000000" w:rsidP="007923E9">
      <w:pPr>
        <w:pStyle w:val="4"/>
        <w:spacing w:line="276" w:lineRule="auto"/>
      </w:pPr>
      <w:r>
        <w:lastRenderedPageBreak/>
        <w:t>· הפסקה העשרים וארבע ·</w:t>
      </w:r>
    </w:p>
    <w:p w14:paraId="3DFE6169" w14:textId="77777777" w:rsidR="00AB3647" w:rsidRDefault="00000000" w:rsidP="007923E9">
      <w:pPr>
        <w:pStyle w:val="5"/>
        <w:spacing w:line="276" w:lineRule="auto"/>
      </w:pPr>
      <w:r>
        <w:t xml:space="preserve">בפלורידה רבנו מבקר אצל האדמו״ר </w:t>
      </w:r>
      <w:proofErr w:type="spellStart"/>
      <w:r>
        <w:t>מבויאן</w:t>
      </w:r>
      <w:proofErr w:type="spellEnd"/>
      <w:r>
        <w:t xml:space="preserve"> – אבי מגלה את הסיבה להיעלמו של </w:t>
      </w:r>
      <w:proofErr w:type="spellStart"/>
      <w:r>
        <w:t>ליליינטל</w:t>
      </w:r>
      <w:proofErr w:type="spellEnd"/>
      <w:r>
        <w:t xml:space="preserve"> מרוסיה – יש מקור לטענה – לכל צד בסוד יש מניע משלו להסתירו – </w:t>
      </w:r>
      <w:proofErr w:type="spellStart"/>
      <w:r>
        <w:t>ליליינטל</w:t>
      </w:r>
      <w:proofErr w:type="spellEnd"/>
      <w:r>
        <w:t xml:space="preserve"> מלקה נער על גניבה – הוא מרשים את המבקר אצלו – הוא בשל למפלתו – מוטל בספק אם הביע אי פעם דאגה ליהדות רוסיה לפני ממוניו</w:t>
      </w:r>
    </w:p>
    <w:p w14:paraId="62EBD634" w14:textId="77777777" w:rsidR="00AB3647" w:rsidRDefault="00000000" w:rsidP="007923E9">
      <w:pPr>
        <w:spacing w:after="120" w:line="276" w:lineRule="auto"/>
        <w:ind w:firstLine="283"/>
        <w:jc w:val="both"/>
      </w:pPr>
      <w:r>
        <w:rPr>
          <w:rtl/>
        </w:rPr>
        <w:t xml:space="preserve">לאבי הייתה גרסה אחרת לסיבה שבגללה ברח </w:t>
      </w:r>
      <w:proofErr w:type="spellStart"/>
      <w:r>
        <w:rPr>
          <w:rtl/>
        </w:rPr>
        <w:t>ליליינטל</w:t>
      </w:r>
      <w:proofErr w:type="spellEnd"/>
      <w:r>
        <w:rPr>
          <w:rtl/>
        </w:rPr>
        <w:t xml:space="preserve"> מרוסיה – ואכן ברח – והוא גילה אותה בזמן הביקור</w:t>
      </w:r>
      <w:bookmarkStart w:id="1426" w:name="_fnr918"/>
      <w:r>
        <w:rPr>
          <w:rStyle w:val="a5"/>
        </w:rPr>
        <w:footnoteReference w:id="921" w:customMarkFollows="0"/>
      </w:r>
      <w:bookmarkEnd w:id="1426"/>
      <w:r>
        <w:rPr>
          <w:rtl/>
        </w:rPr>
        <w:t xml:space="preserve"> אצל ר׳ </w:t>
      </w:r>
      <w:proofErr w:type="spellStart"/>
      <w:r>
        <w:rPr>
          <w:rtl/>
        </w:rPr>
        <w:t>מרדכי־שלמה</w:t>
      </w:r>
      <w:proofErr w:type="spellEnd"/>
      <w:r>
        <w:rPr>
          <w:rtl/>
        </w:rPr>
        <w:t xml:space="preserve"> פרידמן, האדמו״ר </w:t>
      </w:r>
      <w:proofErr w:type="spellStart"/>
      <w:r>
        <w:rPr>
          <w:rtl/>
        </w:rPr>
        <w:t>מבויאן</w:t>
      </w:r>
      <w:proofErr w:type="spellEnd"/>
      <w:r>
        <w:rPr>
          <w:rtl/>
        </w:rPr>
        <w:t>. הנסיבות שבהן גילה אבי את הדבר יעניינו את הקורא.</w:t>
      </w:r>
    </w:p>
    <w:p w14:paraId="0C8579A9" w14:textId="77777777" w:rsidR="00AB3647" w:rsidRDefault="00000000" w:rsidP="007923E9">
      <w:pPr>
        <w:spacing w:after="120" w:line="276" w:lineRule="auto"/>
        <w:ind w:firstLine="283"/>
        <w:jc w:val="both"/>
      </w:pPr>
      <w:r>
        <w:rPr>
          <w:rtl/>
        </w:rPr>
        <w:t xml:space="preserve">רשימותיו של ר׳ אשר </w:t>
      </w:r>
      <w:proofErr w:type="spellStart"/>
      <w:r>
        <w:rPr>
          <w:rtl/>
        </w:rPr>
        <w:t>קצמן</w:t>
      </w:r>
      <w:proofErr w:type="spellEnd"/>
      <w:r>
        <w:rPr>
          <w:rtl/>
        </w:rPr>
        <w:t xml:space="preserve"> משיחותיו עם אבי בפלורידה</w:t>
      </w:r>
      <w:bookmarkStart w:id="1427" w:name="_fnr919"/>
      <w:r>
        <w:rPr>
          <w:rStyle w:val="a5"/>
        </w:rPr>
        <w:footnoteReference w:id="922" w:customMarkFollows="0"/>
      </w:r>
      <w:bookmarkEnd w:id="1427"/>
      <w:r>
        <w:rPr>
          <w:rtl/>
        </w:rPr>
        <w:t xml:space="preserve"> מתעדות את הדברים הבאים: “בי״ז אדר [פרשת כי </w:t>
      </w:r>
      <w:proofErr w:type="spellStart"/>
      <w:r>
        <w:rPr>
          <w:rtl/>
        </w:rPr>
        <w:t>תשא</w:t>
      </w:r>
      <w:proofErr w:type="spellEnd"/>
      <w:r>
        <w:rPr>
          <w:rtl/>
        </w:rPr>
        <w:t>]</w:t>
      </w:r>
      <w:bookmarkStart w:id="1428" w:name="_fnr920"/>
      <w:r>
        <w:rPr>
          <w:rStyle w:val="a5"/>
        </w:rPr>
        <w:footnoteReference w:id="923" w:customMarkFollows="0"/>
      </w:r>
      <w:bookmarkEnd w:id="1428"/>
      <w:r>
        <w:rPr>
          <w:rtl/>
        </w:rPr>
        <w:t xml:space="preserve"> התפללנו יחד עם האדמו״ר </w:t>
      </w:r>
      <w:proofErr w:type="spellStart"/>
      <w:r>
        <w:rPr>
          <w:rtl/>
        </w:rPr>
        <w:t>מבויאן</w:t>
      </w:r>
      <w:proofErr w:type="spellEnd"/>
      <w:r>
        <w:rPr>
          <w:rtl/>
        </w:rPr>
        <w:t xml:space="preserve">, שהיה לו יארצייט על אביו באותו יום, ואחר כך עלינו, ראש הישיבה [רבנו] ואני, לבקרו. אמר לנו האדמו״ר: ‘כשבאו חסידים לשאול את אבי אם להצטרף למהפכה הסוציאליסטית, היה אומר: “חס ושלום! מהפכה פירושה שפיכות דמים; חיי אדם הפקר. אל תעלו זאת אפילו על דעתכם.” ואכן, המהפכה לא פרצה עד תרע״ח [סוף 1917], אחרי שנפטר.’ סיפר האדמו״ר </w:t>
      </w:r>
      <w:proofErr w:type="spellStart"/>
      <w:r>
        <w:rPr>
          <w:rtl/>
        </w:rPr>
        <w:t>שהרידב״ז</w:t>
      </w:r>
      <w:bookmarkStart w:id="1429" w:name="_fnr921"/>
      <w:proofErr w:type="spellEnd"/>
      <w:r>
        <w:rPr>
          <w:rStyle w:val="a5"/>
        </w:rPr>
        <w:footnoteReference w:id="924" w:customMarkFollows="0"/>
      </w:r>
      <w:bookmarkEnd w:id="1429"/>
      <w:r>
        <w:rPr>
          <w:rtl/>
        </w:rPr>
        <w:t xml:space="preserve"> שלח את חתנו, ר׳ יוסף </w:t>
      </w:r>
      <w:proofErr w:type="spellStart"/>
      <w:r>
        <w:rPr>
          <w:rtl/>
        </w:rPr>
        <w:t>קונוויץ</w:t>
      </w:r>
      <w:proofErr w:type="spellEnd"/>
      <w:r>
        <w:rPr>
          <w:rtl/>
        </w:rPr>
        <w:t xml:space="preserve">, לימים נשיא אגודת הרבנים של ארצות הברית וקנדה, לאסוף כסף אצל החסידים העשירים </w:t>
      </w:r>
      <w:proofErr w:type="spellStart"/>
      <w:r>
        <w:rPr>
          <w:rtl/>
        </w:rPr>
        <w:t>בבויאן</w:t>
      </w:r>
      <w:proofErr w:type="spellEnd"/>
      <w:r>
        <w:rPr>
          <w:rtl/>
        </w:rPr>
        <w:t xml:space="preserve"> להדפסת ספרו על התלמוד הירושלמי</w:t>
      </w:r>
      <w:bookmarkStart w:id="1430" w:name="_fnr922"/>
      <w:r>
        <w:rPr>
          <w:rStyle w:val="a5"/>
        </w:rPr>
        <w:footnoteReference w:id="925" w:customMarkFollows="0"/>
      </w:r>
      <w:bookmarkEnd w:id="1430"/>
      <w:r>
        <w:rPr>
          <w:rtl/>
        </w:rPr>
        <w:t xml:space="preserve">. ‘הוא ראה שם׳, המשיך האדמו״ר, ‘ר׳ דוד אחד, עשיר גדול ולמדן, יושב בין כל </w:t>
      </w:r>
      <w:proofErr w:type="spellStart"/>
      <w:r>
        <w:rPr>
          <w:rtl/>
        </w:rPr>
        <w:t>ה“יושבים</w:t>
      </w:r>
      <w:proofErr w:type="spellEnd"/>
      <w:r>
        <w:rPr>
          <w:rtl/>
        </w:rPr>
        <w:t xml:space="preserve">” העניים בחצר האדמו״ר. ר׳ יוסף </w:t>
      </w:r>
      <w:proofErr w:type="spellStart"/>
      <w:r>
        <w:rPr>
          <w:rtl/>
        </w:rPr>
        <w:t>קונוויץ</w:t>
      </w:r>
      <w:proofErr w:type="spellEnd"/>
      <w:r>
        <w:rPr>
          <w:rtl/>
        </w:rPr>
        <w:t xml:space="preserve"> סיפר לי שאז למד מהי חסידות: להיות כאחד, העשיר והעני, הלמדן והיהודי הפשוט.’ ראש הישיבה העיר שזו בדיוק הייתה מטרתה של אותה תנועה.</w:t>
      </w:r>
    </w:p>
    <w:p w14:paraId="77990A07" w14:textId="77777777" w:rsidR="00AB3647" w:rsidRDefault="00000000" w:rsidP="007923E9">
      <w:pPr>
        <w:spacing w:after="120" w:line="276" w:lineRule="auto"/>
        <w:ind w:firstLine="283"/>
        <w:jc w:val="both"/>
      </w:pPr>
      <w:r>
        <w:rPr>
          <w:rtl/>
        </w:rPr>
        <w:t xml:space="preserve">“לפני מנחה ביקרנו שוב אצל האדמו״ר – שנינו התאכסנו באותו מלון דירות במיאמי – והוא העלה את עניין המשכילים, ושאל אם רבנו יודע משהו על </w:t>
      </w:r>
      <w:proofErr w:type="spellStart"/>
      <w:r>
        <w:rPr>
          <w:rtl/>
        </w:rPr>
        <w:t>יל״ג</w:t>
      </w:r>
      <w:bookmarkStart w:id="1431" w:name="_fnr923"/>
      <w:proofErr w:type="spellEnd"/>
      <w:r>
        <w:rPr>
          <w:rStyle w:val="a5"/>
        </w:rPr>
        <w:footnoteReference w:id="926" w:customMarkFollows="0"/>
      </w:r>
      <w:bookmarkEnd w:id="1431"/>
      <w:r>
        <w:rPr>
          <w:rtl/>
        </w:rPr>
        <w:t xml:space="preserve"> ועל מאפו</w:t>
      </w:r>
      <w:bookmarkStart w:id="1432" w:name="_fnr924"/>
      <w:r>
        <w:rPr>
          <w:rStyle w:val="a5"/>
        </w:rPr>
        <w:footnoteReference w:id="927" w:customMarkFollows="0"/>
      </w:r>
      <w:bookmarkEnd w:id="1432"/>
      <w:r>
        <w:rPr>
          <w:rtl/>
        </w:rPr>
        <w:t xml:space="preserve">, וראש הישיבה אמר שבילדותו קרא את הרומן של מאפו ‘אהבת ציון’. אז סיפר מה שידע על </w:t>
      </w:r>
      <w:proofErr w:type="spellStart"/>
      <w:r>
        <w:rPr>
          <w:rtl/>
        </w:rPr>
        <w:t>ליליינטל</w:t>
      </w:r>
      <w:proofErr w:type="spellEnd"/>
      <w:r>
        <w:rPr>
          <w:rtl/>
        </w:rPr>
        <w:t xml:space="preserve">, וסיים: ‘איך </w:t>
      </w:r>
      <w:r>
        <w:rPr>
          <w:b/>
          <w:bCs/>
          <w:rtl/>
        </w:rPr>
        <w:t>נפטרנו</w:t>
      </w:r>
      <w:r>
        <w:rPr>
          <w:rtl/>
        </w:rPr>
        <w:t xml:space="preserve"> (ההדגשה שלי</w:t>
      </w:r>
      <w:bookmarkStart w:id="1433" w:name="_fnr925"/>
      <w:r>
        <w:rPr>
          <w:rStyle w:val="a5"/>
        </w:rPr>
        <w:footnoteReference w:id="928" w:customMarkFollows="0"/>
      </w:r>
      <w:bookmarkEnd w:id="1433"/>
      <w:r>
        <w:rPr>
          <w:rtl/>
        </w:rPr>
        <w:t xml:space="preserve">) </w:t>
      </w:r>
      <w:proofErr w:type="spellStart"/>
      <w:r>
        <w:rPr>
          <w:rtl/>
        </w:rPr>
        <w:t>מליליינטל</w:t>
      </w:r>
      <w:proofErr w:type="spellEnd"/>
      <w:r>
        <w:rPr>
          <w:rtl/>
        </w:rPr>
        <w:t xml:space="preserve">? הוטל עליו מטעם הממשלה להדפיס חומשים עם תרגום רוסי. הוא הדפיס בשוליים רחבים וברווחים גדולים במיוחד, וטען שהוא צריך הרבה נייר. בעקבות השערורייה שפרצה’” – בשל ניפוח ההוצאות – “‘נאלץ לעזוב את רוסיה. הוא ברח לאמריקה, ושם עזר לייסד את בית המדרש לרבנים הרפורמי </w:t>
      </w:r>
      <w:proofErr w:type="spellStart"/>
      <w:r>
        <w:rPr>
          <w:rtl/>
        </w:rPr>
        <w:t>בסינסינטי</w:t>
      </w:r>
      <w:proofErr w:type="spellEnd"/>
      <w:r>
        <w:rPr>
          <w:rtl/>
        </w:rPr>
        <w:t>.’”</w:t>
      </w:r>
    </w:p>
    <w:p w14:paraId="4522B33E" w14:textId="77777777" w:rsidR="00AB3647" w:rsidRDefault="00000000" w:rsidP="007923E9">
      <w:pPr>
        <w:spacing w:after="120" w:line="276" w:lineRule="auto"/>
        <w:ind w:firstLine="283"/>
        <w:jc w:val="both"/>
      </w:pPr>
      <w:r>
        <w:rPr>
          <w:rtl/>
        </w:rPr>
        <w:lastRenderedPageBreak/>
        <w:t xml:space="preserve">הסבר דומה מפי רבנו מסר ר׳ דוד </w:t>
      </w:r>
      <w:proofErr w:type="spellStart"/>
      <w:r>
        <w:rPr>
          <w:rtl/>
        </w:rPr>
        <w:t>צימט</w:t>
      </w:r>
      <w:bookmarkStart w:id="1434" w:name="_fnr926"/>
      <w:proofErr w:type="spellEnd"/>
      <w:r>
        <w:rPr>
          <w:rStyle w:val="a5"/>
        </w:rPr>
        <w:footnoteReference w:id="929" w:customMarkFollows="0"/>
      </w:r>
      <w:bookmarkEnd w:id="1434"/>
      <w:r>
        <w:rPr>
          <w:rtl/>
        </w:rPr>
        <w:t xml:space="preserve">. הוא זכר שאבי הזכיר פעם את מקס </w:t>
      </w:r>
      <w:proofErr w:type="spellStart"/>
      <w:r>
        <w:rPr>
          <w:rtl/>
        </w:rPr>
        <w:t>ליליינטל</w:t>
      </w:r>
      <w:proofErr w:type="spellEnd"/>
      <w:r>
        <w:rPr>
          <w:rtl/>
        </w:rPr>
        <w:t xml:space="preserve"> בשולחן השבת, ואחרי שאמר שמינויו בא מפני שהצאר ראה בגרמניה דגם לשינויים בחינוך ברוסיה, סיים: “יום בהיר אחד קם </w:t>
      </w:r>
      <w:proofErr w:type="spellStart"/>
      <w:r>
        <w:rPr>
          <w:rtl/>
        </w:rPr>
        <w:t>ליליינטל</w:t>
      </w:r>
      <w:proofErr w:type="spellEnd"/>
      <w:r>
        <w:rPr>
          <w:rtl/>
        </w:rPr>
        <w:t xml:space="preserve"> ונסע פתאום לאמריקה, ושם הצטרף לחוגים הרפורמיים והיה מקורב ל[</w:t>
      </w:r>
      <w:proofErr w:type="spellStart"/>
      <w:r>
        <w:rPr>
          <w:rtl/>
        </w:rPr>
        <w:t>יצחק־מאיר</w:t>
      </w:r>
      <w:proofErr w:type="spellEnd"/>
      <w:r>
        <w:rPr>
          <w:rtl/>
        </w:rPr>
        <w:t xml:space="preserve">] </w:t>
      </w:r>
      <w:proofErr w:type="spellStart"/>
      <w:r>
        <w:rPr>
          <w:rtl/>
        </w:rPr>
        <w:t>וייז</w:t>
      </w:r>
      <w:proofErr w:type="spellEnd"/>
      <w:r>
        <w:rPr>
          <w:rtl/>
        </w:rPr>
        <w:t xml:space="preserve"> </w:t>
      </w:r>
      <w:proofErr w:type="spellStart"/>
      <w:r>
        <w:rPr>
          <w:rtl/>
        </w:rPr>
        <w:t>מסינסינטי</w:t>
      </w:r>
      <w:proofErr w:type="spellEnd"/>
      <w:r>
        <w:rPr>
          <w:rtl/>
        </w:rPr>
        <w:t>. הוא נאלץ לברוח מרוסיה מפני שהיה ממונה על הדפסת ספרי הלימוד לילדים, והיו הוראות בכמה נייר יש להשתמש ומה יהיה גודל השוליים. הוא הקטין את השוליים כדי לרמות בנייר. הוא היה בסכנת מעצר על גניבה מן הממשלה.”</w:t>
      </w:r>
    </w:p>
    <w:p w14:paraId="5F431F5F" w14:textId="77777777" w:rsidR="00AB3647" w:rsidRDefault="00000000" w:rsidP="007923E9">
      <w:pPr>
        <w:spacing w:after="120" w:line="276" w:lineRule="auto"/>
        <w:ind w:firstLine="283"/>
        <w:jc w:val="both"/>
      </w:pPr>
      <w:r>
        <w:rPr>
          <w:rtl/>
        </w:rPr>
        <w:t xml:space="preserve">אף שנראה שגרסת </w:t>
      </w:r>
      <w:proofErr w:type="spellStart"/>
      <w:r>
        <w:rPr>
          <w:rtl/>
        </w:rPr>
        <w:t>קצמן</w:t>
      </w:r>
      <w:proofErr w:type="spellEnd"/>
      <w:r>
        <w:rPr>
          <w:rtl/>
        </w:rPr>
        <w:t xml:space="preserve"> וגרסת </w:t>
      </w:r>
      <w:proofErr w:type="spellStart"/>
      <w:r>
        <w:rPr>
          <w:rtl/>
        </w:rPr>
        <w:t>צימט</w:t>
      </w:r>
      <w:proofErr w:type="spellEnd"/>
      <w:r>
        <w:rPr>
          <w:rtl/>
        </w:rPr>
        <w:t xml:space="preserve"> שונות בשני פרטים – כיצד הרוויח מן הנייר (בהזמנת נייר רב מן הדרוש או בשימוש בפחות נייר ממה שהוקצב לו, בהתאמה), ומה הודפס מטעם הממשלה (חומשים בלשון רוסית או ספרי לימוד לילדים, בהתאמה) – הסיבה להיעלמו זהה: נתגלה שהוא מרמה את הממשלה הרוסית.</w:t>
      </w:r>
    </w:p>
    <w:p w14:paraId="2D177527" w14:textId="77777777" w:rsidR="00AB3647" w:rsidRDefault="00000000" w:rsidP="007923E9">
      <w:pPr>
        <w:spacing w:after="120" w:line="276" w:lineRule="auto"/>
        <w:ind w:firstLine="283"/>
        <w:jc w:val="both"/>
      </w:pPr>
      <w:r>
        <w:rPr>
          <w:rtl/>
        </w:rPr>
        <w:t xml:space="preserve">אבי לא גילה את מקורו, אבל הוא נמצא </w:t>
      </w:r>
      <w:proofErr w:type="spellStart"/>
      <w:r>
        <w:rPr>
          <w:rtl/>
        </w:rPr>
        <w:t>ב“זכרון</w:t>
      </w:r>
      <w:proofErr w:type="spellEnd"/>
      <w:r>
        <w:rPr>
          <w:rtl/>
        </w:rPr>
        <w:t xml:space="preserve"> יעקב”</w:t>
      </w:r>
      <w:bookmarkStart w:id="1435" w:name="_fnr927"/>
      <w:r>
        <w:rPr>
          <w:rStyle w:val="a5"/>
        </w:rPr>
        <w:footnoteReference w:id="930" w:customMarkFollows="0"/>
      </w:r>
      <w:bookmarkEnd w:id="1435"/>
      <w:r>
        <w:rPr>
          <w:rtl/>
        </w:rPr>
        <w:t xml:space="preserve"> – אף </w:t>
      </w:r>
      <w:proofErr w:type="spellStart"/>
      <w:r>
        <w:rPr>
          <w:rtl/>
        </w:rPr>
        <w:t>ש“זכרון</w:t>
      </w:r>
      <w:proofErr w:type="spellEnd"/>
      <w:r>
        <w:rPr>
          <w:rtl/>
        </w:rPr>
        <w:t xml:space="preserve"> יעקב”, שלא כרבנו, נוטה לסבור</w:t>
      </w:r>
      <w:bookmarkStart w:id="1436" w:name="_fnr928"/>
      <w:r>
        <w:rPr>
          <w:rStyle w:val="a5"/>
        </w:rPr>
        <w:footnoteReference w:id="931" w:customMarkFollows="0"/>
      </w:r>
      <w:bookmarkEnd w:id="1436"/>
      <w:r>
        <w:rPr>
          <w:rtl/>
        </w:rPr>
        <w:t xml:space="preserve"> שסיבה זו </w:t>
      </w:r>
      <w:proofErr w:type="spellStart"/>
      <w:r>
        <w:rPr>
          <w:rtl/>
        </w:rPr>
        <w:t>נצטרפה</w:t>
      </w:r>
      <w:proofErr w:type="spellEnd"/>
      <w:r>
        <w:rPr>
          <w:rtl/>
        </w:rPr>
        <w:t xml:space="preserve"> לסיבות שונות אחרות (שהוזכרו לעיל בנספח זה). הוא מונה את הספרים שבאמצעותם נעשתה התרמית: תנ״ך ופרקים נבחרים מן הרמב״ם – ולדבריו תרגמו אותם המשכילים לגרמנית, ולא לרוסית, “מפני שהממשלה עצמה הכירה שהגרמנית תהיה מקובלת יותר על היהודים” – וכן “ספרי דקדוק (עברי), ספרי תרגילים וספרים ללימוד השפה הרוסית”. את התרמית הוא מתאר כך: לא חיוב על נייר נוסף, אלא שימוש בשוליים רחבים במיוחד (ובאותיות גדולות) כדי ליצור עודף גיליונות – שכן המתרגמים קיבלו שכר לפי גיליון – וממילא שכר גבוה יותר למתרגמים שהעסיק. </w:t>
      </w:r>
      <w:proofErr w:type="spellStart"/>
      <w:r>
        <w:rPr>
          <w:rtl/>
        </w:rPr>
        <w:t>ליליינטל</w:t>
      </w:r>
      <w:proofErr w:type="spellEnd"/>
      <w:r>
        <w:rPr>
          <w:rtl/>
        </w:rPr>
        <w:t xml:space="preserve"> דאג מן הסתם לקבל מהם חלק בשלל.</w:t>
      </w:r>
    </w:p>
    <w:p w14:paraId="77F61362" w14:textId="77777777" w:rsidR="00AB3647" w:rsidRDefault="00000000" w:rsidP="007923E9">
      <w:pPr>
        <w:spacing w:after="120" w:line="276" w:lineRule="auto"/>
        <w:ind w:firstLine="283"/>
        <w:jc w:val="both"/>
      </w:pPr>
      <w:r>
        <w:rPr>
          <w:rtl/>
        </w:rPr>
        <w:t xml:space="preserve">על כל פנים, אם תרמית היא שגרמה להיעלמו של </w:t>
      </w:r>
      <w:proofErr w:type="spellStart"/>
      <w:r>
        <w:rPr>
          <w:rtl/>
        </w:rPr>
        <w:t>ליליינטל</w:t>
      </w:r>
      <w:proofErr w:type="spellEnd"/>
      <w:r>
        <w:rPr>
          <w:rtl/>
        </w:rPr>
        <w:t xml:space="preserve"> מן הזירה הרוסית, מובן מדוע לא גילה את הסיבה בשעת עזיבתו – ומדוע, כשפרסם לבסוף סיבה כלשהי לעזיבת רוסיה, בחר בדבר שקרי לגמרי ושאין לו כל קשר לעבודתו ברוסיה. הוא לא רצה שהקוראים יעמיקו לחקור במה עסק ברוסיה בשעה שהחליט לעזוב, פן תתגלה גניבתו.</w:t>
      </w:r>
    </w:p>
    <w:p w14:paraId="36529BFA" w14:textId="77777777" w:rsidR="00AB3647" w:rsidRDefault="00000000" w:rsidP="007923E9">
      <w:pPr>
        <w:spacing w:after="120" w:line="276" w:lineRule="auto"/>
        <w:ind w:firstLine="283"/>
        <w:jc w:val="both"/>
      </w:pPr>
      <w:r>
        <w:rPr>
          <w:rtl/>
        </w:rPr>
        <w:t xml:space="preserve">אלה מן הציבור היהודי שידעו את הסיבה האמיתית להסתלקותו של </w:t>
      </w:r>
      <w:proofErr w:type="spellStart"/>
      <w:r>
        <w:rPr>
          <w:rtl/>
        </w:rPr>
        <w:t>ליליינטל</w:t>
      </w:r>
      <w:proofErr w:type="spellEnd"/>
      <w:r>
        <w:rPr>
          <w:rtl/>
        </w:rPr>
        <w:t xml:space="preserve"> שמרו את הדבר בסוד, מפני שפרסומו היה מוציא שם רע על </w:t>
      </w:r>
      <w:r>
        <w:rPr>
          <w:b/>
          <w:bCs/>
          <w:rtl/>
        </w:rPr>
        <w:t>כל</w:t>
      </w:r>
      <w:r>
        <w:rPr>
          <w:rtl/>
        </w:rPr>
        <w:t xml:space="preserve"> היהודים: אין ספק שחוגים אנטישמיים ברוסיה היו משתמשים במעשה מעין זה כראיה לכך שכל היהודים גנבים. וכן היה משרדו של השר </w:t>
      </w:r>
      <w:proofErr w:type="spellStart"/>
      <w:r>
        <w:rPr>
          <w:rtl/>
        </w:rPr>
        <w:t>אוברוב</w:t>
      </w:r>
      <w:proofErr w:type="spellEnd"/>
      <w:r>
        <w:rPr>
          <w:rtl/>
        </w:rPr>
        <w:t xml:space="preserve"> משתיק את העניין, מפני שגילויו היה מעיד על שיקול דעת לקוי של השר, שבחר ברמאי לעבודה רגישה.</w:t>
      </w:r>
    </w:p>
    <w:p w14:paraId="1A368596" w14:textId="77777777" w:rsidR="00AB3647" w:rsidRDefault="00000000" w:rsidP="007923E9">
      <w:pPr>
        <w:spacing w:after="120" w:line="276" w:lineRule="auto"/>
        <w:ind w:firstLine="283"/>
        <w:jc w:val="both"/>
      </w:pPr>
      <w:r>
        <w:rPr>
          <w:rtl/>
        </w:rPr>
        <w:t xml:space="preserve">אפשר אפילו לשער שחופשתו של </w:t>
      </w:r>
      <w:proofErr w:type="spellStart"/>
      <w:r>
        <w:rPr>
          <w:rtl/>
        </w:rPr>
        <w:t>ליליינטל</w:t>
      </w:r>
      <w:proofErr w:type="spellEnd"/>
      <w:r>
        <w:rPr>
          <w:rtl/>
        </w:rPr>
        <w:t xml:space="preserve"> בגרמניה נדחתה, כאמור בפסקה הקודמת, אם מפני הסיבוכים שבהשלמת הגניבה, ואם – וזה מסתבר יותר – מפני שהממשלה כבר גילתה את תחבולותיו. נדרש זמן עד שהגיע </w:t>
      </w:r>
      <w:proofErr w:type="spellStart"/>
      <w:r>
        <w:rPr>
          <w:rtl/>
        </w:rPr>
        <w:t>ליליינטל</w:t>
      </w:r>
      <w:proofErr w:type="spellEnd"/>
      <w:r>
        <w:rPr>
          <w:rtl/>
        </w:rPr>
        <w:t xml:space="preserve"> להסדר עם הממונה עליו: הממונה ישתיק את </w:t>
      </w:r>
      <w:r>
        <w:rPr>
          <w:rtl/>
        </w:rPr>
        <w:lastRenderedPageBreak/>
        <w:t xml:space="preserve">העניין ויאפשר לו לחזור לגרמניה, ושם יעמיד </w:t>
      </w:r>
      <w:proofErr w:type="spellStart"/>
      <w:r>
        <w:rPr>
          <w:rtl/>
        </w:rPr>
        <w:t>ליליינטל</w:t>
      </w:r>
      <w:proofErr w:type="spellEnd"/>
      <w:r>
        <w:rPr>
          <w:rtl/>
        </w:rPr>
        <w:t xml:space="preserve"> פנים כמבקש להאריך את שהותו, ואחר כך יתפטר רשמית. אם הסתיר את מעלליו גם ממשפחתו, ובפרט ממשפחת ארוסתו, כמסתבר, נתנה לו ההפוגה במינכן הזדמנות לבדות סיבה כלשהי כדי “להוכיח” להם שבסופו של דבר לא כדאי להחזיק במשרה בפטרבורג, שעליה דיבר בהתלהבות כה רבה.</w:t>
      </w:r>
      <w:bookmarkStart w:id="1437" w:name="_fnr929"/>
      <w:r>
        <w:rPr>
          <w:rStyle w:val="a5"/>
        </w:rPr>
        <w:footnoteReference w:id="932" w:customMarkFollows="0"/>
      </w:r>
      <w:bookmarkEnd w:id="1437"/>
    </w:p>
    <w:p w14:paraId="38AF9513" w14:textId="77777777" w:rsidR="00AB3647" w:rsidRDefault="00000000" w:rsidP="007923E9">
      <w:pPr>
        <w:spacing w:after="120" w:line="276" w:lineRule="auto"/>
        <w:ind w:firstLine="283"/>
        <w:jc w:val="both"/>
      </w:pPr>
      <w:r>
        <w:rPr>
          <w:rtl/>
        </w:rPr>
        <w:t xml:space="preserve">יש אירוניה בכך </w:t>
      </w:r>
      <w:proofErr w:type="spellStart"/>
      <w:r>
        <w:rPr>
          <w:rtl/>
        </w:rPr>
        <w:t>שליליינטל</w:t>
      </w:r>
      <w:proofErr w:type="spellEnd"/>
      <w:r>
        <w:rPr>
          <w:rtl/>
        </w:rPr>
        <w:t xml:space="preserve"> נפל לאותה מלכודת שמפניה הזהיר את חניכיו הצעירים בהיותו בריגה. לדברי ר׳ יהונתן </w:t>
      </w:r>
      <w:proofErr w:type="spellStart"/>
      <w:r>
        <w:rPr>
          <w:rtl/>
        </w:rPr>
        <w:t xml:space="preserve">אליאשברג</w:t>
      </w:r>
      <w:proofErr w:type="spellEnd"/>
      <w:r>
        <w:rPr>
          <w:rtl/>
        </w:rPr>
        <w:t xml:space="preserve"> בהקדמה הביוגרפית לספר אביו “שביל הזהב”</w:t>
      </w:r>
      <w:bookmarkStart w:id="1438" w:name="_fnr930"/>
      <w:r>
        <w:rPr>
          <w:rStyle w:val="a5"/>
        </w:rPr>
        <w:footnoteReference w:id="933" w:customMarkFollows="0"/>
      </w:r>
      <w:bookmarkEnd w:id="1438"/>
      <w:r>
        <w:rPr>
          <w:rtl/>
        </w:rPr>
        <w:t xml:space="preserve">, אביו, ר׳ מרדכי </w:t>
      </w:r>
      <w:proofErr w:type="spellStart"/>
      <w:r>
        <w:rPr>
          <w:rtl/>
        </w:rPr>
        <w:t>מבויסק</w:t>
      </w:r>
      <w:proofErr w:type="spellEnd"/>
      <w:r>
        <w:rPr>
          <w:rtl/>
        </w:rPr>
        <w:t xml:space="preserve">, היה בריגה בעניין מסחרי כלשהו וביקר בבית ספרו של ד״ר </w:t>
      </w:r>
      <w:proofErr w:type="spellStart"/>
      <w:r>
        <w:rPr>
          <w:rtl/>
        </w:rPr>
        <w:t>ליליינטל</w:t>
      </w:r>
      <w:proofErr w:type="spellEnd"/>
      <w:r>
        <w:rPr>
          <w:rtl/>
        </w:rPr>
        <w:t>, ומצא אותו מלקה נער שגנב כסף מחברו לספסל הלימודים.</w:t>
      </w:r>
    </w:p>
    <w:p w14:paraId="42F6BB9D" w14:textId="77777777" w:rsidR="00AB3647" w:rsidRDefault="00000000" w:rsidP="007923E9">
      <w:pPr>
        <w:spacing w:after="120" w:line="276" w:lineRule="auto"/>
        <w:ind w:firstLine="283"/>
        <w:jc w:val="both"/>
      </w:pPr>
      <w:r>
        <w:rPr>
          <w:rtl/>
        </w:rPr>
        <w:t>“שמעתי את תוכחתו והכרתי את אהבתו לעמו”, סיפר ר׳ מרדכי. “וכך אמר לנער: ‘כשתגדל ותהיה גנב, יאמרו [הגויים] שכל היהודים גנבים. נמצא שאתה מטיל כתם שחור על שמי ישראל, ומסכן את כל עם ישראל במעשיך.’” הצבוע</w:t>
      </w:r>
      <w:bookmarkStart w:id="1439" w:name="_fnr931"/>
      <w:r>
        <w:rPr>
          <w:rStyle w:val="a5"/>
        </w:rPr>
        <w:footnoteReference w:id="934" w:customMarkFollows="0"/>
      </w:r>
      <w:bookmarkEnd w:id="1439"/>
      <w:r>
        <w:rPr>
          <w:rtl/>
        </w:rPr>
        <w:t xml:space="preserve"> הניח בצד שיקולים אלה כשחשב </w:t>
      </w:r>
      <w:proofErr w:type="spellStart"/>
      <w:r>
        <w:rPr>
          <w:rtl/>
        </w:rPr>
        <w:t>שנזדמנה</w:t>
      </w:r>
      <w:proofErr w:type="spellEnd"/>
      <w:r>
        <w:rPr>
          <w:rtl/>
        </w:rPr>
        <w:t xml:space="preserve"> לו הזדמנות לעשוק את אדוניו הרוסים – אבל לזכותו ייאמר שעזב את המדינה כדי לבלום את הנזק שמעשהו עלול היה לגרום.</w:t>
      </w:r>
    </w:p>
    <w:p w14:paraId="0E885B57" w14:textId="77777777" w:rsidR="00AB3647" w:rsidRDefault="00000000" w:rsidP="007923E9">
      <w:pPr>
        <w:spacing w:after="120" w:line="276" w:lineRule="auto"/>
        <w:ind w:firstLine="283"/>
        <w:jc w:val="both"/>
      </w:pPr>
      <w:r>
        <w:rPr>
          <w:rtl/>
        </w:rPr>
        <w:t xml:space="preserve">אבל </w:t>
      </w:r>
      <w:proofErr w:type="spellStart"/>
      <w:r>
        <w:rPr>
          <w:rtl/>
        </w:rPr>
        <w:t>ליליינטל</w:t>
      </w:r>
      <w:proofErr w:type="spellEnd"/>
      <w:r>
        <w:rPr>
          <w:rtl/>
        </w:rPr>
        <w:t xml:space="preserve"> הצליח לעשות רושם חיובי על הרב </w:t>
      </w:r>
      <w:proofErr w:type="spellStart"/>
      <w:r>
        <w:rPr>
          <w:rtl/>
        </w:rPr>
        <w:t xml:space="preserve">אליאשברג</w:t>
      </w:r>
      <w:proofErr w:type="spellEnd"/>
      <w:r>
        <w:rPr>
          <w:rtl/>
        </w:rPr>
        <w:t xml:space="preserve">, כמו שעשה על </w:t>
      </w:r>
      <w:proofErr w:type="spellStart"/>
      <w:r>
        <w:rPr>
          <w:rtl/>
        </w:rPr>
        <w:t>הנצי״ב</w:t>
      </w:r>
      <w:bookmarkStart w:id="1440" w:name="_fnr932"/>
      <w:bookmarkStart w:id="1441" w:name="pr_f_853"/>
      <w:proofErr w:type="spellEnd"/>
      <w:r>
        <w:rPr>
          <w:rStyle w:val="a5"/>
        </w:rPr>
        <w:footnoteReference w:id="935" w:customMarkFollows="0"/>
      </w:r>
      <w:bookmarkEnd w:id="1440"/>
      <w:bookmarkEnd w:id="1441"/>
      <w:r>
        <w:rPr>
          <w:rtl/>
        </w:rPr>
        <w:t xml:space="preserve">. כפי שסיפר ר׳ מרדכי: “אחרי [שגמר </w:t>
      </w:r>
      <w:proofErr w:type="spellStart"/>
      <w:r>
        <w:rPr>
          <w:rtl/>
        </w:rPr>
        <w:t>ליליינטל</w:t>
      </w:r>
      <w:proofErr w:type="spellEnd"/>
      <w:r>
        <w:rPr>
          <w:rtl/>
        </w:rPr>
        <w:t xml:space="preserve"> להוכיח ולהעניש את הנער] ראני נתן לי שלום ויבקש ממני להמתין עד יגמור שעות </w:t>
      </w:r>
      <w:proofErr w:type="spellStart"/>
      <w:r>
        <w:rPr>
          <w:rtl/>
        </w:rPr>
        <w:t>למודו</w:t>
      </w:r>
      <w:proofErr w:type="spellEnd"/>
      <w:r>
        <w:rPr>
          <w:rtl/>
        </w:rPr>
        <w:t xml:space="preserve"> אשר ימשך עוד מחצית שעה, המתנתי והלכנו אחרי כן לחדרו, וכאשר שאלתי מה שלום מצב אחינו הכלל, </w:t>
      </w:r>
      <w:proofErr w:type="spellStart"/>
      <w:r>
        <w:rPr>
          <w:rtl/>
        </w:rPr>
        <w:t>ויגד</w:t>
      </w:r>
      <w:proofErr w:type="spellEnd"/>
      <w:r>
        <w:rPr>
          <w:rtl/>
        </w:rPr>
        <w:t xml:space="preserve"> לי את כל אשר חשב השר </w:t>
      </w:r>
      <w:proofErr w:type="spellStart"/>
      <w:r>
        <w:rPr>
          <w:rtl/>
        </w:rPr>
        <w:t>אובאראוו</w:t>
      </w:r>
      <w:proofErr w:type="spellEnd"/>
      <w:r>
        <w:rPr>
          <w:rtl/>
        </w:rPr>
        <w:t xml:space="preserve"> לעשות למען ההשכלה”. הרב </w:t>
      </w:r>
      <w:proofErr w:type="spellStart"/>
      <w:r>
        <w:rPr>
          <w:rtl/>
        </w:rPr>
        <w:t xml:space="preserve">אליאשברג</w:t>
      </w:r>
      <w:proofErr w:type="spellEnd"/>
      <w:r>
        <w:rPr>
          <w:rtl/>
        </w:rPr>
        <w:t xml:space="preserve"> העיר אז שההשכלה עשויה להיות פתרון </w:t>
      </w:r>
      <w:proofErr w:type="spellStart"/>
      <w:r>
        <w:rPr>
          <w:rtl/>
        </w:rPr>
        <w:t>ל“ענף</w:t>
      </w:r>
      <w:proofErr w:type="spellEnd"/>
      <w:r>
        <w:rPr>
          <w:rtl/>
        </w:rPr>
        <w:t xml:space="preserve"> מענפי החיים”, אבל הבעיה החמורה היא שהממשלה כולאת את היהודים, ובכך אינה מניחה להם להתפרנס.</w:t>
      </w:r>
    </w:p>
    <w:p w14:paraId="2024E243" w14:textId="77777777" w:rsidR="00AB3647" w:rsidRDefault="00000000" w:rsidP="007923E9">
      <w:pPr>
        <w:spacing w:after="120" w:line="276" w:lineRule="auto"/>
        <w:ind w:firstLine="283"/>
        <w:jc w:val="both"/>
      </w:pPr>
      <w:r>
        <w:rPr>
          <w:rtl/>
        </w:rPr>
        <w:t>“</w:t>
      </w:r>
      <w:proofErr w:type="spellStart"/>
      <w:r>
        <w:rPr>
          <w:rtl/>
        </w:rPr>
        <w:t>ליליענטהאל</w:t>
      </w:r>
      <w:proofErr w:type="spellEnd"/>
      <w:r>
        <w:rPr>
          <w:rtl/>
        </w:rPr>
        <w:t xml:space="preserve"> שמע בקר רוח את דברי (הרב) ועיניו זלגו דמעות”. הוא הסביר שזה בדיוק מה שאמר </w:t>
      </w:r>
      <w:proofErr w:type="spellStart"/>
      <w:r>
        <w:rPr>
          <w:rtl/>
        </w:rPr>
        <w:t>לאוברוב</w:t>
      </w:r>
      <w:proofErr w:type="spellEnd"/>
      <w:r>
        <w:rPr>
          <w:rtl/>
        </w:rPr>
        <w:t>, והמשיל את היהודים ברוסיה לשוורים בשדה סגור: כשאינם מוצאים עוד עשב, הם כועסים ומתחילים לנגח זה את זה. “</w:t>
      </w:r>
      <w:proofErr w:type="spellStart"/>
      <w:r>
        <w:rPr>
          <w:rtl/>
        </w:rPr>
        <w:t>לוא</w:t>
      </w:r>
      <w:proofErr w:type="spellEnd"/>
      <w:r>
        <w:rPr>
          <w:rtl/>
        </w:rPr>
        <w:t xml:space="preserve"> יתנו להם </w:t>
      </w:r>
      <w:proofErr w:type="spellStart"/>
      <w:r>
        <w:rPr>
          <w:rtl/>
        </w:rPr>
        <w:t>ריוח</w:t>
      </w:r>
      <w:proofErr w:type="spellEnd"/>
      <w:r>
        <w:rPr>
          <w:rtl/>
        </w:rPr>
        <w:t xml:space="preserve"> ללכת כאשר יחפצו ממרעה למרעה אז תשוב האדמה </w:t>
      </w:r>
      <w:proofErr w:type="spellStart"/>
      <w:r>
        <w:rPr>
          <w:rtl/>
        </w:rPr>
        <w:t>להכסות</w:t>
      </w:r>
      <w:proofErr w:type="spellEnd"/>
      <w:r>
        <w:rPr>
          <w:rtl/>
        </w:rPr>
        <w:t xml:space="preserve"> בנאות דשא והם לא יסבו בלכתן להרע זה לזה או לשום שמות בהאדמה אשר תחת רגליהם”, טען </w:t>
      </w:r>
      <w:proofErr w:type="spellStart"/>
      <w:r>
        <w:rPr>
          <w:rtl/>
        </w:rPr>
        <w:t>ליליינטל</w:t>
      </w:r>
      <w:proofErr w:type="spellEnd"/>
      <w:r>
        <w:rPr>
          <w:rtl/>
        </w:rPr>
        <w:t xml:space="preserve"> שאמר </w:t>
      </w:r>
      <w:proofErr w:type="spellStart"/>
      <w:r>
        <w:rPr>
          <w:rtl/>
        </w:rPr>
        <w:t>לאוברוב</w:t>
      </w:r>
      <w:proofErr w:type="spellEnd"/>
      <w:r>
        <w:rPr>
          <w:rtl/>
        </w:rPr>
        <w:t>.</w:t>
      </w:r>
    </w:p>
    <w:p w14:paraId="4208ED05" w14:textId="77777777" w:rsidR="00AB3647" w:rsidRDefault="00000000" w:rsidP="007923E9">
      <w:pPr>
        <w:spacing w:after="120" w:line="276" w:lineRule="auto"/>
        <w:ind w:firstLine="283"/>
        <w:jc w:val="both"/>
      </w:pPr>
      <w:r>
        <w:rPr>
          <w:rtl/>
        </w:rPr>
        <w:lastRenderedPageBreak/>
        <w:t xml:space="preserve">הרב </w:t>
      </w:r>
      <w:proofErr w:type="spellStart"/>
      <w:r>
        <w:rPr>
          <w:rtl/>
        </w:rPr>
        <w:t xml:space="preserve">אליאשברג</w:t>
      </w:r>
      <w:proofErr w:type="spellEnd"/>
      <w:r>
        <w:rPr>
          <w:rtl/>
        </w:rPr>
        <w:t xml:space="preserve"> המשיך ומסר מה שסיפר לו </w:t>
      </w:r>
      <w:proofErr w:type="spellStart"/>
      <w:r>
        <w:rPr>
          <w:rtl/>
        </w:rPr>
        <w:t>ליליינטל</w:t>
      </w:r>
      <w:proofErr w:type="spellEnd"/>
      <w:r>
        <w:rPr>
          <w:rtl/>
        </w:rPr>
        <w:t xml:space="preserve"> אז: “התשובה המחוכמת מצא חן בעיני </w:t>
      </w:r>
      <w:proofErr w:type="spellStart"/>
      <w:r>
        <w:rPr>
          <w:rtl/>
        </w:rPr>
        <w:t>המיניסטער</w:t>
      </w:r>
      <w:proofErr w:type="spellEnd"/>
      <w:r>
        <w:rPr>
          <w:rtl/>
        </w:rPr>
        <w:t xml:space="preserve"> ויעמוד לפני הקיסר האדיר </w:t>
      </w:r>
      <w:proofErr w:type="spellStart"/>
      <w:r>
        <w:rPr>
          <w:rtl/>
        </w:rPr>
        <w:t>ניקאלי</w:t>
      </w:r>
      <w:proofErr w:type="spellEnd"/>
      <w:r>
        <w:rPr>
          <w:rtl/>
        </w:rPr>
        <w:t xml:space="preserve">, ויאמר: כי עצת </w:t>
      </w:r>
      <w:proofErr w:type="spellStart"/>
      <w:r>
        <w:rPr>
          <w:rtl/>
        </w:rPr>
        <w:t>ליליענטהאל</w:t>
      </w:r>
      <w:proofErr w:type="spellEnd"/>
      <w:r>
        <w:rPr>
          <w:rtl/>
        </w:rPr>
        <w:t xml:space="preserve"> לפתוח את מרחבי </w:t>
      </w:r>
      <w:proofErr w:type="spellStart"/>
      <w:r>
        <w:rPr>
          <w:rtl/>
        </w:rPr>
        <w:t>רוסיא</w:t>
      </w:r>
      <w:proofErr w:type="spellEnd"/>
      <w:r>
        <w:rPr>
          <w:rtl/>
        </w:rPr>
        <w:t xml:space="preserve"> לפני בני ישראל ובזה </w:t>
      </w:r>
      <w:proofErr w:type="spellStart"/>
      <w:r>
        <w:rPr>
          <w:rtl/>
        </w:rPr>
        <w:t>ירוח</w:t>
      </w:r>
      <w:proofErr w:type="spellEnd"/>
      <w:r>
        <w:rPr>
          <w:rtl/>
        </w:rPr>
        <w:t xml:space="preserve"> להם ויסורו כל רוע </w:t>
      </w:r>
      <w:proofErr w:type="spellStart"/>
      <w:r>
        <w:rPr>
          <w:rtl/>
        </w:rPr>
        <w:t>מדותיהם</w:t>
      </w:r>
      <w:proofErr w:type="spellEnd"/>
      <w:r>
        <w:rPr>
          <w:rtl/>
        </w:rPr>
        <w:t xml:space="preserve">. תשובת הקיסר </w:t>
      </w:r>
      <w:proofErr w:type="spellStart"/>
      <w:r>
        <w:rPr>
          <w:rtl/>
        </w:rPr>
        <w:t>היתה</w:t>
      </w:r>
      <w:proofErr w:type="spellEnd"/>
      <w:r>
        <w:rPr>
          <w:rtl/>
        </w:rPr>
        <w:t xml:space="preserve">: כי שאלת היהודים נמסרה לו בתור שר ההשכלה לפותרה על דרך ההשכלה ואין לו להציע הצעות השייכות לשר הפנים”. ר׳ יהונתן מסיים: “עוד החליף [אבי] עם </w:t>
      </w:r>
      <w:proofErr w:type="spellStart"/>
      <w:r>
        <w:rPr>
          <w:rtl/>
        </w:rPr>
        <w:t>ליליענטאל</w:t>
      </w:r>
      <w:proofErr w:type="spellEnd"/>
      <w:r>
        <w:rPr>
          <w:rtl/>
        </w:rPr>
        <w:t xml:space="preserve"> שאלות ותשובות שונות וכן התמו”.</w:t>
      </w:r>
    </w:p>
    <w:p w14:paraId="6B79B9FF" w14:textId="77777777" w:rsidR="00AB3647" w:rsidRDefault="00000000" w:rsidP="007923E9">
      <w:pPr>
        <w:spacing w:after="120" w:line="276" w:lineRule="auto"/>
        <w:ind w:firstLine="283"/>
        <w:jc w:val="both"/>
      </w:pPr>
      <w:proofErr w:type="spellStart"/>
      <w:r>
        <w:rPr>
          <w:rtl/>
        </w:rPr>
        <w:t>מ“שביל</w:t>
      </w:r>
      <w:proofErr w:type="spellEnd"/>
      <w:r>
        <w:rPr>
          <w:rtl/>
        </w:rPr>
        <w:t xml:space="preserve"> הזהב” לא ברור מתי בדיוק נפגשו ר׳ מרדכי </w:t>
      </w:r>
      <w:proofErr w:type="spellStart"/>
      <w:r>
        <w:rPr>
          <w:rtl/>
        </w:rPr>
        <w:t xml:space="preserve">אליאשברג</w:t>
      </w:r>
      <w:proofErr w:type="spellEnd"/>
      <w:r>
        <w:rPr>
          <w:rtl/>
        </w:rPr>
        <w:t xml:space="preserve"> </w:t>
      </w:r>
      <w:proofErr w:type="spellStart"/>
      <w:r>
        <w:rPr>
          <w:rtl/>
        </w:rPr>
        <w:t>וליליינטל</w:t>
      </w:r>
      <w:proofErr w:type="spellEnd"/>
      <w:r>
        <w:rPr>
          <w:rtl/>
        </w:rPr>
        <w:t xml:space="preserve">, ועלינו לנסות לברר היכן משתלב ביקור זה בכרונולוגיה של שהות </w:t>
      </w:r>
      <w:proofErr w:type="spellStart"/>
      <w:r>
        <w:rPr>
          <w:rtl/>
        </w:rPr>
        <w:t>ליליינטל</w:t>
      </w:r>
      <w:proofErr w:type="spellEnd"/>
      <w:r>
        <w:rPr>
          <w:rtl/>
        </w:rPr>
        <w:t xml:space="preserve"> ברוסיה. לא ייתכן שהביקור אירע לפני שליחותו הראשונה של </w:t>
      </w:r>
      <w:proofErr w:type="spellStart"/>
      <w:r>
        <w:rPr>
          <w:rtl/>
        </w:rPr>
        <w:t>ליליינטל</w:t>
      </w:r>
      <w:proofErr w:type="spellEnd"/>
      <w:r>
        <w:rPr>
          <w:rtl/>
        </w:rPr>
        <w:t xml:space="preserve"> בווילנה, פשוט משום שאילו כן, היה </w:t>
      </w:r>
      <w:proofErr w:type="spellStart"/>
      <w:r>
        <w:rPr>
          <w:rtl/>
        </w:rPr>
        <w:t>ליליינטל</w:t>
      </w:r>
      <w:proofErr w:type="spellEnd"/>
      <w:r>
        <w:rPr>
          <w:rtl/>
        </w:rPr>
        <w:t xml:space="preserve"> משיב לטענתו של מנהיג יהודי וילנה, שהובאה לעיל בפסקה השישית – שקודם כול צריכים היהודים לקבל חירות אזרחית רבה יותר – באותו סיפור שאין עליו תשובה שהציג לפני הרב </w:t>
      </w:r>
      <w:proofErr w:type="spellStart"/>
      <w:r>
        <w:rPr>
          <w:rtl/>
        </w:rPr>
        <w:t xml:space="preserve">אליאשברג</w:t>
      </w:r>
      <w:proofErr w:type="spellEnd"/>
      <w:r>
        <w:rPr>
          <w:rtl/>
        </w:rPr>
        <w:t xml:space="preserve">. כלומר, היה אומר שגם הוא וגם השר סבורים בדיוק כאותו מנהיג וילנאי, אבל מה יעשו אם הצאר דוחה זאת?</w:t>
      </w:r>
    </w:p>
    <w:p w14:paraId="37E15C08" w14:textId="77777777" w:rsidR="00AB3647" w:rsidRDefault="00000000" w:rsidP="007923E9">
      <w:pPr>
        <w:spacing w:after="120" w:line="276" w:lineRule="auto"/>
        <w:ind w:firstLine="283"/>
        <w:jc w:val="both"/>
      </w:pPr>
      <w:r>
        <w:rPr>
          <w:rtl/>
        </w:rPr>
        <w:t xml:space="preserve">הביקור בריגה ודאי אירע </w:t>
      </w:r>
      <w:r>
        <w:rPr>
          <w:b/>
          <w:bCs/>
          <w:rtl/>
        </w:rPr>
        <w:t>אחרי</w:t>
      </w:r>
      <w:r>
        <w:rPr>
          <w:rtl/>
        </w:rPr>
        <w:t xml:space="preserve"> </w:t>
      </w:r>
      <w:proofErr w:type="spellStart"/>
      <w:r>
        <w:rPr>
          <w:rtl/>
        </w:rPr>
        <w:t>שליליינטל</w:t>
      </w:r>
      <w:proofErr w:type="spellEnd"/>
      <w:r>
        <w:rPr>
          <w:rtl/>
        </w:rPr>
        <w:t xml:space="preserve"> נתקל בהתנגדות בווילנה. הייתה לו אז הזדמנות להרהר בטענתו של המנהיג הוילנאי ולהחליט שהיא חזקה כל כך שראוי לו לאמצה כשלו, ואף להעמיד את </w:t>
      </w:r>
      <w:proofErr w:type="spellStart"/>
      <w:r>
        <w:rPr>
          <w:rtl/>
        </w:rPr>
        <w:t>אוברוב</w:t>
      </w:r>
      <w:proofErr w:type="spellEnd"/>
      <w:r>
        <w:rPr>
          <w:rtl/>
        </w:rPr>
        <w:t xml:space="preserve"> כמצדד בה! הוא גם הבין שתשובתו בווילנה (בשם </w:t>
      </w:r>
      <w:proofErr w:type="spellStart"/>
      <w:r>
        <w:rPr>
          <w:rtl/>
        </w:rPr>
        <w:t>אוברוב</w:t>
      </w:r>
      <w:proofErr w:type="spellEnd"/>
      <w:r>
        <w:rPr>
          <w:rtl/>
        </w:rPr>
        <w:t>) הייתה חלשה למדי – כפי שזוכר הקורא מן הפסקה השישית לעיל – ושעליו למצוא סיבה טובה יותר לדחיית הטענה, כלומר לגלגל את האשמה על הצאר, שאין לרדת לסוף דעתו.</w:t>
      </w:r>
    </w:p>
    <w:p w14:paraId="5B946410" w14:textId="77777777" w:rsidR="00AB3647" w:rsidRDefault="00000000" w:rsidP="007923E9">
      <w:pPr>
        <w:spacing w:after="120" w:line="276" w:lineRule="auto"/>
        <w:ind w:firstLine="283"/>
        <w:jc w:val="both"/>
      </w:pPr>
      <w:r>
        <w:rPr>
          <w:rtl/>
        </w:rPr>
        <w:t xml:space="preserve">ועוד, יש להניח שלפני ביקורו של </w:t>
      </w:r>
      <w:proofErr w:type="spellStart"/>
      <w:r>
        <w:rPr>
          <w:rtl/>
        </w:rPr>
        <w:t>ליליינטל</w:t>
      </w:r>
      <w:proofErr w:type="spellEnd"/>
      <w:r>
        <w:rPr>
          <w:rtl/>
        </w:rPr>
        <w:t xml:space="preserve"> </w:t>
      </w:r>
      <w:proofErr w:type="spellStart"/>
      <w:r>
        <w:rPr>
          <w:rtl/>
        </w:rPr>
        <w:t>בוולוז׳ין</w:t>
      </w:r>
      <w:proofErr w:type="spellEnd"/>
      <w:r>
        <w:rPr>
          <w:rtl/>
        </w:rPr>
        <w:t xml:space="preserve"> ולפני מסעו </w:t>
      </w:r>
      <w:r>
        <w:rPr>
          <w:b/>
          <w:bCs/>
          <w:rtl/>
        </w:rPr>
        <w:t>השני</w:t>
      </w:r>
      <w:r>
        <w:rPr>
          <w:rtl/>
        </w:rPr>
        <w:t xml:space="preserve"> במרכזי היהודים לא היה מפורסם די צורכו, וגם לא “כשר” די צורכו, כדי שאישיות רבנית כמו הרב </w:t>
      </w:r>
      <w:proofErr w:type="spellStart"/>
      <w:r>
        <w:rPr>
          <w:rtl/>
        </w:rPr>
        <w:t xml:space="preserve">אליאשברג</w:t>
      </w:r>
      <w:proofErr w:type="spellEnd"/>
      <w:r>
        <w:rPr>
          <w:rtl/>
        </w:rPr>
        <w:t xml:space="preserve"> תרצה לבקרו. מסתבר, אם כן, שהפגישה עם הרב </w:t>
      </w:r>
      <w:proofErr w:type="spellStart"/>
      <w:r>
        <w:rPr>
          <w:rtl/>
        </w:rPr>
        <w:t xml:space="preserve">אליאשברג</w:t>
      </w:r>
      <w:proofErr w:type="spellEnd"/>
      <w:r>
        <w:rPr>
          <w:rtl/>
        </w:rPr>
        <w:t xml:space="preserve"> אירעה עוד מאוחר יותר: אחרי שהתכנסה הוועדה הרבנית בפטרבורג בקיץ תר״ג, כלומר בזמן כלשהו בשנת תר״ד.</w:t>
      </w:r>
    </w:p>
    <w:p w14:paraId="66CFACC0" w14:textId="77777777" w:rsidR="00AB3647" w:rsidRDefault="00000000" w:rsidP="007923E9">
      <w:pPr>
        <w:spacing w:after="120" w:line="276" w:lineRule="auto"/>
        <w:ind w:firstLine="283"/>
        <w:jc w:val="both"/>
      </w:pPr>
      <w:r>
        <w:rPr>
          <w:rtl/>
        </w:rPr>
        <w:t xml:space="preserve">באותה עת פנה ניסן רוזנטל לממונה על </w:t>
      </w:r>
      <w:proofErr w:type="spellStart"/>
      <w:r>
        <w:rPr>
          <w:rtl/>
        </w:rPr>
        <w:t>ליליינטל</w:t>
      </w:r>
      <w:proofErr w:type="spellEnd"/>
      <w:r>
        <w:rPr>
          <w:rtl/>
        </w:rPr>
        <w:t xml:space="preserve">, </w:t>
      </w:r>
      <w:proofErr w:type="spellStart"/>
      <w:r>
        <w:rPr>
          <w:rtl/>
        </w:rPr>
        <w:t>אוברוב</w:t>
      </w:r>
      <w:proofErr w:type="spellEnd"/>
      <w:r>
        <w:rPr>
          <w:rtl/>
        </w:rPr>
        <w:t xml:space="preserve">, וביקש שיאסור את הלבוש היהודי, כמסופר לעיל בפסקה </w:t>
      </w:r>
      <w:proofErr w:type="spellStart"/>
      <w:r>
        <w:rPr>
          <w:rtl/>
        </w:rPr>
        <w:t>השתים־עשרה</w:t>
      </w:r>
      <w:proofErr w:type="spellEnd"/>
      <w:r>
        <w:rPr>
          <w:rtl/>
        </w:rPr>
        <w:t xml:space="preserve">. שר ההשכלה השיב לו שעליו להפנות את מאמציו לשר הפנים – בדיוק מה שטען </w:t>
      </w:r>
      <w:proofErr w:type="spellStart"/>
      <w:r>
        <w:rPr>
          <w:rtl/>
        </w:rPr>
        <w:t>ליליינטל</w:t>
      </w:r>
      <w:proofErr w:type="spellEnd"/>
      <w:r>
        <w:rPr>
          <w:rtl/>
        </w:rPr>
        <w:t xml:space="preserve"> שאמר הצאר </w:t>
      </w:r>
      <w:proofErr w:type="spellStart"/>
      <w:r>
        <w:rPr>
          <w:rtl/>
        </w:rPr>
        <w:t>לאוברוב</w:t>
      </w:r>
      <w:proofErr w:type="spellEnd"/>
      <w:r>
        <w:rPr>
          <w:rtl/>
        </w:rPr>
        <w:t xml:space="preserve">. את הרעיון לשים טענה זו בפי הצאר קיבל </w:t>
      </w:r>
      <w:proofErr w:type="spellStart"/>
      <w:r>
        <w:rPr>
          <w:rtl/>
        </w:rPr>
        <w:t>ליליינטל</w:t>
      </w:r>
      <w:proofErr w:type="spellEnd"/>
      <w:r>
        <w:rPr>
          <w:rtl/>
        </w:rPr>
        <w:t xml:space="preserve"> ממאורע שאירע באמת באותה עת. בשלב זה הגיעו פרסומו והצלחתו של </w:t>
      </w:r>
      <w:proofErr w:type="spellStart"/>
      <w:r>
        <w:rPr>
          <w:rtl/>
        </w:rPr>
        <w:t>ליליינטל</w:t>
      </w:r>
      <w:proofErr w:type="spellEnd"/>
      <w:r>
        <w:rPr>
          <w:rtl/>
        </w:rPr>
        <w:t xml:space="preserve"> לשיאם, ותוכנית הנייר שלו עדיין לא נרקמה. הוא היה אז כמעט בשל להתחיל בירידתו ובמפלתו, שהובילו לבריחתו מרוסיה. כלשון החכם מכל אדם: “לפני שבר גאון ולפני כשלון גבה רוח”</w:t>
      </w:r>
      <w:bookmarkStart w:id="1442" w:name="_fnr933"/>
      <w:r>
        <w:rPr>
          <w:rStyle w:val="a5"/>
        </w:rPr>
        <w:footnoteReference w:id="936" w:customMarkFollows="0"/>
      </w:r>
      <w:bookmarkEnd w:id="1442"/>
      <w:r>
        <w:rPr>
          <w:rtl/>
        </w:rPr>
        <w:t>.</w:t>
      </w:r>
    </w:p>
    <w:p w14:paraId="48233404" w14:textId="77777777" w:rsidR="00AB3647" w:rsidRDefault="00000000" w:rsidP="007923E9">
      <w:pPr>
        <w:spacing w:after="120" w:line="276" w:lineRule="auto"/>
        <w:ind w:firstLine="283"/>
        <w:jc w:val="both"/>
      </w:pPr>
      <w:r>
        <w:rPr>
          <w:rtl/>
        </w:rPr>
        <w:t xml:space="preserve">לעולם לא נדע אם ניסה </w:t>
      </w:r>
      <w:proofErr w:type="spellStart"/>
      <w:r>
        <w:rPr>
          <w:rtl/>
        </w:rPr>
        <w:t>ליליינטל</w:t>
      </w:r>
      <w:proofErr w:type="spellEnd"/>
      <w:r>
        <w:rPr>
          <w:rtl/>
        </w:rPr>
        <w:t xml:space="preserve"> באמת להפנות את מאמציו של </w:t>
      </w:r>
      <w:proofErr w:type="spellStart"/>
      <w:r>
        <w:rPr>
          <w:rtl/>
        </w:rPr>
        <w:t>אוברוב</w:t>
      </w:r>
      <w:proofErr w:type="spellEnd"/>
      <w:r>
        <w:rPr>
          <w:rtl/>
        </w:rPr>
        <w:t xml:space="preserve"> לשיפור מצבם הכללי של היהודים, שהרי אין לכך שום ראיה מלבד הסיפור שסיפר לרב </w:t>
      </w:r>
      <w:proofErr w:type="spellStart"/>
      <w:r>
        <w:rPr>
          <w:rtl/>
        </w:rPr>
        <w:t xml:space="preserve">אליאשברג</w:t>
      </w:r>
      <w:proofErr w:type="spellEnd"/>
      <w:r>
        <w:rPr>
          <w:rtl/>
        </w:rPr>
        <w:t>, ומלבד יומנו שלו, שאינו מהימן</w:t>
      </w:r>
      <w:bookmarkStart w:id="1443" w:name="_fnr934"/>
      <w:r>
        <w:rPr>
          <w:rStyle w:val="a5"/>
        </w:rPr>
        <w:footnoteReference w:id="937" w:customMarkFollows="0"/>
      </w:r>
      <w:bookmarkEnd w:id="1443"/>
      <w:r>
        <w:rPr>
          <w:rtl/>
        </w:rPr>
        <w:t xml:space="preserve"> – שם הוא טוען</w:t>
      </w:r>
      <w:bookmarkStart w:id="1444" w:name="_fnr935"/>
      <w:r>
        <w:rPr>
          <w:rStyle w:val="a5"/>
        </w:rPr>
        <w:footnoteReference w:id="938" w:customMarkFollows="0"/>
      </w:r>
      <w:bookmarkEnd w:id="1444"/>
      <w:r>
        <w:rPr>
          <w:rtl/>
        </w:rPr>
        <w:t xml:space="preserve"> שהציע </w:t>
      </w:r>
      <w:proofErr w:type="spellStart"/>
      <w:r>
        <w:rPr>
          <w:rtl/>
        </w:rPr>
        <w:t>לאוברוב</w:t>
      </w:r>
      <w:proofErr w:type="spellEnd"/>
      <w:r>
        <w:rPr>
          <w:rtl/>
        </w:rPr>
        <w:t xml:space="preserve"> להעניק ליהודים שוויון זכויות. </w:t>
      </w:r>
      <w:r>
        <w:rPr>
          <w:rtl/>
        </w:rPr>
        <w:lastRenderedPageBreak/>
        <w:t xml:space="preserve">מסתבר יותר שהיה משרת נאמן </w:t>
      </w:r>
      <w:proofErr w:type="spellStart"/>
      <w:r>
        <w:rPr>
          <w:rtl/>
        </w:rPr>
        <w:t>לאוברוב</w:t>
      </w:r>
      <w:proofErr w:type="spellEnd"/>
      <w:r>
        <w:rPr>
          <w:rtl/>
        </w:rPr>
        <w:t xml:space="preserve"> בעניינים שבתחום סמכותו של משרד ההשכלה, ומעולם לא התערב בענייני משרד הפנים – חלוקת תפקידים </w:t>
      </w:r>
      <w:proofErr w:type="spellStart"/>
      <w:r>
        <w:rPr>
          <w:rtl/>
        </w:rPr>
        <w:t>שאוברוב</w:t>
      </w:r>
      <w:proofErr w:type="spellEnd"/>
      <w:r>
        <w:rPr>
          <w:rtl/>
        </w:rPr>
        <w:t xml:space="preserve"> עצמו שרטט לפני רוזנטל, </w:t>
      </w:r>
      <w:proofErr w:type="spellStart"/>
      <w:r>
        <w:rPr>
          <w:rtl/>
        </w:rPr>
        <w:t>וליליינטל</w:t>
      </w:r>
      <w:proofErr w:type="spellEnd"/>
      <w:r>
        <w:rPr>
          <w:rtl/>
        </w:rPr>
        <w:t xml:space="preserve"> שם בפי הצאר.</w:t>
      </w:r>
    </w:p>
    <w:p w14:paraId="098F575F" w14:textId="77777777" w:rsidR="00AB3647" w:rsidRDefault="00000000" w:rsidP="007923E9">
      <w:pPr>
        <w:spacing w:after="120" w:line="276" w:lineRule="auto"/>
        <w:ind w:firstLine="283"/>
        <w:jc w:val="both"/>
      </w:pPr>
      <w:proofErr w:type="spellStart"/>
      <w:r>
        <w:rPr>
          <w:rtl/>
        </w:rPr>
        <w:t>ליליינטל</w:t>
      </w:r>
      <w:proofErr w:type="spellEnd"/>
      <w:r>
        <w:rPr>
          <w:rtl/>
        </w:rPr>
        <w:t xml:space="preserve"> בדה שיחה בינו ובין </w:t>
      </w:r>
      <w:proofErr w:type="spellStart"/>
      <w:r>
        <w:rPr>
          <w:rtl/>
        </w:rPr>
        <w:t>אוברוב</w:t>
      </w:r>
      <w:proofErr w:type="spellEnd"/>
      <w:r>
        <w:rPr>
          <w:rtl/>
        </w:rPr>
        <w:t xml:space="preserve"> על מצבם הכללי של יהודי רוסיה כדי לעשות רושם טוב על ר׳ מרדכי </w:t>
      </w:r>
      <w:proofErr w:type="spellStart"/>
      <w:r>
        <w:rPr>
          <w:rtl/>
        </w:rPr>
        <w:t xml:space="preserve">אליאשברג</w:t>
      </w:r>
      <w:proofErr w:type="spellEnd"/>
      <w:r>
        <w:rPr>
          <w:rtl/>
        </w:rPr>
        <w:t xml:space="preserve">, ולימים על קוראי יומנו – כשם שבדה את הסיפור שגזרת 50 </w:t>
      </w:r>
      <w:proofErr w:type="spellStart"/>
      <w:r>
        <w:rPr>
          <w:rtl/>
        </w:rPr>
        <w:t>הוורסטאות</w:t>
      </w:r>
      <w:proofErr w:type="spellEnd"/>
      <w:r>
        <w:rPr>
          <w:rtl/>
        </w:rPr>
        <w:t xml:space="preserve"> הממה אותו לגמרי, כאמור לעיל בפסקה העשרים ואחת.</w:t>
      </w:r>
    </w:p>
    <w:p w14:paraId="5B1789CA" w14:textId="77777777" w:rsidR="00AB3647" w:rsidRDefault="00000000" w:rsidP="007923E9">
      <w:pPr>
        <w:pStyle w:val="4"/>
        <w:spacing w:line="276" w:lineRule="auto"/>
      </w:pPr>
      <w:r>
        <w:t>· הפסקה העשרים וחמש ·</w:t>
      </w:r>
    </w:p>
    <w:p w14:paraId="310DDFA7" w14:textId="77777777" w:rsidR="00AB3647" w:rsidRDefault="00000000" w:rsidP="007923E9">
      <w:pPr>
        <w:pStyle w:val="5"/>
        <w:spacing w:line="276" w:lineRule="auto"/>
      </w:pPr>
      <w:r>
        <w:t xml:space="preserve">הוועדה הרבנית דוחה את ההצעה ללמד בבתי הספר היסודיים חומש עם ביאורו של משה מנדלסון – ביאורו של מנדלסון אינו נמאס </w:t>
      </w:r>
      <w:proofErr w:type="spellStart"/>
      <w:r>
        <w:t>בוולוז׳ין</w:t>
      </w:r>
      <w:proofErr w:type="spellEnd"/>
      <w:r>
        <w:t xml:space="preserve"> – הממשלה הרוסית מדפיסה חומשים עם תרגומו הגרמני של מנדלסון</w:t>
      </w:r>
    </w:p>
    <w:p w14:paraId="7C49D844" w14:textId="77777777" w:rsidR="00AB3647" w:rsidRDefault="00000000" w:rsidP="007923E9">
      <w:pPr>
        <w:spacing w:after="120" w:line="276" w:lineRule="auto"/>
        <w:ind w:firstLine="283"/>
        <w:jc w:val="both"/>
      </w:pPr>
      <w:r>
        <w:rPr>
          <w:rtl/>
        </w:rPr>
        <w:t>ראויה לתשומת לב ידיעה של יעקב מארק</w:t>
      </w:r>
      <w:bookmarkStart w:id="1445" w:name="_fnr936"/>
      <w:r>
        <w:rPr>
          <w:rStyle w:val="a5"/>
        </w:rPr>
        <w:footnoteReference w:id="939" w:customMarkFollows="0"/>
      </w:r>
      <w:bookmarkEnd w:id="1445"/>
      <w:r>
        <w:rPr>
          <w:rtl/>
        </w:rPr>
        <w:t xml:space="preserve"> בעניין החומשים המתורגמים לרוסית. וזו לשונה: “</w:t>
      </w:r>
      <w:proofErr w:type="spellStart"/>
      <w:r>
        <w:rPr>
          <w:rtl/>
        </w:rPr>
        <w:t>ליליינטל</w:t>
      </w:r>
      <w:proofErr w:type="spellEnd"/>
      <w:r>
        <w:rPr>
          <w:rtl/>
        </w:rPr>
        <w:t xml:space="preserve"> דרש בוועדה הרבנית, שבה השתתפו ר׳ </w:t>
      </w:r>
      <w:proofErr w:type="spellStart"/>
      <w:r>
        <w:rPr>
          <w:rtl/>
        </w:rPr>
        <w:t>איצל׳ה</w:t>
      </w:r>
      <w:proofErr w:type="spellEnd"/>
      <w:r>
        <w:rPr>
          <w:rtl/>
        </w:rPr>
        <w:t xml:space="preserve"> ור׳ </w:t>
      </w:r>
      <w:proofErr w:type="spellStart"/>
      <w:r>
        <w:rPr>
          <w:rtl/>
        </w:rPr>
        <w:t>מנחם־מנדל</w:t>
      </w:r>
      <w:proofErr w:type="spellEnd"/>
      <w:r>
        <w:rPr>
          <w:rtl/>
        </w:rPr>
        <w:t xml:space="preserve"> [שניאורסון], שהממשלה תחייב את מלמדי החדרים ללמד חומש עם </w:t>
      </w:r>
      <w:proofErr w:type="spellStart"/>
      <w:r>
        <w:rPr>
          <w:rtl/>
        </w:rPr>
        <w:t>ה‘ביאור</w:t>
      </w:r>
      <w:proofErr w:type="spellEnd"/>
      <w:r>
        <w:rPr>
          <w:rtl/>
        </w:rPr>
        <w:t>’</w:t>
      </w:r>
      <w:bookmarkStart w:id="1446" w:name="_fnr937"/>
      <w:r>
        <w:rPr>
          <w:rStyle w:val="a5"/>
        </w:rPr>
        <w:footnoteReference w:id="940" w:customMarkFollows="0"/>
      </w:r>
      <w:bookmarkEnd w:id="1446"/>
      <w:r>
        <w:rPr>
          <w:rtl/>
        </w:rPr>
        <w:t xml:space="preserve"> ותרגומו הגרמני של משה מנדלסון. השר הסכים כמובן עם </w:t>
      </w:r>
      <w:proofErr w:type="spellStart"/>
      <w:r>
        <w:rPr>
          <w:rtl/>
        </w:rPr>
        <w:t>ליליינטל</w:t>
      </w:r>
      <w:proofErr w:type="spellEnd"/>
      <w:r>
        <w:rPr>
          <w:rtl/>
        </w:rPr>
        <w:t xml:space="preserve">, אבל </w:t>
      </w:r>
      <w:r>
        <w:rPr>
          <w:b/>
          <w:bCs/>
          <w:rtl/>
        </w:rPr>
        <w:t xml:space="preserve">האדמו״ר </w:t>
      </w:r>
      <w:proofErr w:type="spellStart"/>
      <w:r>
        <w:rPr>
          <w:b/>
          <w:bCs/>
          <w:rtl/>
        </w:rPr>
        <w:t>מליובאוויטש</w:t>
      </w:r>
      <w:proofErr w:type="spellEnd"/>
      <w:r>
        <w:rPr>
          <w:rtl/>
        </w:rPr>
        <w:t xml:space="preserve"> מצא המצאה, והציע לשר: ‘אם יש ללמד חומש בלשון זרה ליהודים, מוטב – במקום ללמדו בלשון שאינה ידועה לא למלמדים ולא לילדים – ללמדו בלשון המדינה, רוסית. אבל השר מבין שהדבר אינו אפשרי, שהרי הדור הנוכחי של היהודים אינו יודע רוסית די הצורך כדי ללמוד בה תנ״ך. אין ברירה, אם כן, אלא לחכות לדור הבא. בינתיים, כמובן, ימשיכו ללמוד תנ״ך ביידיש, שפת האם של יהודי רוסיה זה כמה מאות שנים.’ לאישור אמיתות </w:t>
      </w:r>
      <w:r>
        <w:rPr>
          <w:b/>
          <w:bCs/>
          <w:rtl/>
        </w:rPr>
        <w:t>דבריהם</w:t>
      </w:r>
      <w:r>
        <w:rPr>
          <w:rtl/>
        </w:rPr>
        <w:t xml:space="preserve"> הביאו </w:t>
      </w:r>
      <w:r>
        <w:rPr>
          <w:b/>
          <w:bCs/>
          <w:rtl/>
        </w:rPr>
        <w:t>הם</w:t>
      </w:r>
      <w:r>
        <w:rPr>
          <w:rtl/>
        </w:rPr>
        <w:t xml:space="preserve"> את ספר הכוזרי” – </w:t>
      </w:r>
      <w:proofErr w:type="spellStart"/>
      <w:r>
        <w:rPr>
          <w:rtl/>
        </w:rPr>
        <w:t>שאוברוב</w:t>
      </w:r>
      <w:proofErr w:type="spellEnd"/>
      <w:r>
        <w:rPr>
          <w:rtl/>
        </w:rPr>
        <w:t>, שהיה בקי במקצת בספרות היהודית, אולי ידע עליו – “האומר</w:t>
      </w:r>
      <w:bookmarkStart w:id="1447" w:name="_fnr938"/>
      <w:r>
        <w:rPr>
          <w:rStyle w:val="a5"/>
        </w:rPr>
        <w:footnoteReference w:id="941" w:customMarkFollows="0"/>
      </w:r>
      <w:bookmarkEnd w:id="1447"/>
      <w:r>
        <w:rPr>
          <w:rtl/>
        </w:rPr>
        <w:t xml:space="preserve"> שאין דבר מאוס יותר מאומה שחדלה לדבר בלשון שדיברה בה דורות. השר הסכים </w:t>
      </w:r>
      <w:r>
        <w:rPr>
          <w:b/>
          <w:bCs/>
          <w:rtl/>
        </w:rPr>
        <w:t>עמהם</w:t>
      </w:r>
      <w:r>
        <w:rPr>
          <w:rtl/>
        </w:rPr>
        <w:t xml:space="preserve"> (ההדגשות שלי) והגזרה הונחה בארכיון.”</w:t>
      </w:r>
    </w:p>
    <w:p w14:paraId="37FA974C" w14:textId="77777777" w:rsidR="00AB3647" w:rsidRDefault="00000000" w:rsidP="007923E9">
      <w:pPr>
        <w:spacing w:after="120" w:line="276" w:lineRule="auto"/>
        <w:ind w:firstLine="283"/>
        <w:jc w:val="both"/>
      </w:pPr>
      <w:r>
        <w:rPr>
          <w:rtl/>
        </w:rPr>
        <w:t xml:space="preserve">ההדגשות מראות שיעקב מארק עובר מהצעה של האדמו״ר </w:t>
      </w:r>
      <w:proofErr w:type="spellStart"/>
      <w:r>
        <w:rPr>
          <w:rtl/>
        </w:rPr>
        <w:t>מליובאוויטש</w:t>
      </w:r>
      <w:proofErr w:type="spellEnd"/>
      <w:r>
        <w:rPr>
          <w:rtl/>
        </w:rPr>
        <w:t xml:space="preserve"> לבדו, שבה פתח את הסיפור, לדעה ברבים: של ר׳ </w:t>
      </w:r>
      <w:proofErr w:type="spellStart"/>
      <w:r>
        <w:rPr>
          <w:rtl/>
        </w:rPr>
        <w:t>מנחם־מנדל</w:t>
      </w:r>
      <w:proofErr w:type="spellEnd"/>
      <w:r>
        <w:rPr>
          <w:rtl/>
        </w:rPr>
        <w:t xml:space="preserve"> שניאורסון </w:t>
      </w:r>
      <w:r>
        <w:rPr>
          <w:b/>
          <w:bCs/>
          <w:rtl/>
        </w:rPr>
        <w:t>ושל</w:t>
      </w:r>
      <w:r>
        <w:rPr>
          <w:rtl/>
        </w:rPr>
        <w:t xml:space="preserve"> ר׳ </w:t>
      </w:r>
      <w:proofErr w:type="spellStart"/>
      <w:r>
        <w:rPr>
          <w:rtl/>
        </w:rPr>
        <w:t>איצל׳ה</w:t>
      </w:r>
      <w:proofErr w:type="spellEnd"/>
      <w:r>
        <w:rPr>
          <w:rtl/>
        </w:rPr>
        <w:t xml:space="preserve">. ייתכן שהאדמו״ר הגה את הנימוק לדחייה, ור׳ </w:t>
      </w:r>
      <w:proofErr w:type="spellStart"/>
      <w:r>
        <w:rPr>
          <w:rtl/>
        </w:rPr>
        <w:t>איצל׳ה</w:t>
      </w:r>
      <w:proofErr w:type="spellEnd"/>
      <w:r>
        <w:rPr>
          <w:rtl/>
        </w:rPr>
        <w:t xml:space="preserve"> הוסיף את המקור הלמדני מספר הכוזרי. ועוד, ייתכן שר׳ </w:t>
      </w:r>
      <w:proofErr w:type="spellStart"/>
      <w:r>
        <w:rPr>
          <w:rtl/>
        </w:rPr>
        <w:t>מנחם־מנדל</w:t>
      </w:r>
      <w:proofErr w:type="spellEnd"/>
      <w:r>
        <w:rPr>
          <w:rtl/>
        </w:rPr>
        <w:t xml:space="preserve"> היה מלכתחילה תקיף יותר מר׳ </w:t>
      </w:r>
      <w:proofErr w:type="spellStart"/>
      <w:r>
        <w:rPr>
          <w:rtl/>
        </w:rPr>
        <w:t>איצל׳ה</w:t>
      </w:r>
      <w:proofErr w:type="spellEnd"/>
      <w:r>
        <w:rPr>
          <w:rtl/>
        </w:rPr>
        <w:t xml:space="preserve"> בדחיית לימוד החומש עם </w:t>
      </w:r>
      <w:proofErr w:type="spellStart"/>
      <w:r>
        <w:rPr>
          <w:rtl/>
        </w:rPr>
        <w:t>ה“ביאור</w:t>
      </w:r>
      <w:proofErr w:type="spellEnd"/>
      <w:r>
        <w:rPr>
          <w:rtl/>
        </w:rPr>
        <w:t>”.</w:t>
      </w:r>
    </w:p>
    <w:p w14:paraId="238B1C59" w14:textId="77777777" w:rsidR="00AB3647" w:rsidRDefault="00000000" w:rsidP="007923E9">
      <w:pPr>
        <w:spacing w:after="120" w:line="276" w:lineRule="auto"/>
        <w:ind w:firstLine="283"/>
        <w:jc w:val="both"/>
      </w:pPr>
      <w:r>
        <w:rPr>
          <w:rtl/>
        </w:rPr>
        <w:t xml:space="preserve">הצעה זו מבוססת על הידיעה </w:t>
      </w:r>
      <w:proofErr w:type="spellStart"/>
      <w:r>
        <w:rPr>
          <w:rtl/>
        </w:rPr>
        <w:t>בפיליפסון</w:t>
      </w:r>
      <w:bookmarkStart w:id="1448" w:name="_fnr939"/>
      <w:proofErr w:type="spellEnd"/>
      <w:r>
        <w:rPr>
          <w:rStyle w:val="a5"/>
        </w:rPr>
        <w:footnoteReference w:id="942" w:customMarkFollows="0"/>
      </w:r>
      <w:bookmarkEnd w:id="1448"/>
      <w:r>
        <w:rPr>
          <w:rtl/>
        </w:rPr>
        <w:t xml:space="preserve"> שר׳ </w:t>
      </w:r>
      <w:proofErr w:type="spellStart"/>
      <w:r>
        <w:rPr>
          <w:rtl/>
        </w:rPr>
        <w:t>איצל׳ה</w:t>
      </w:r>
      <w:proofErr w:type="spellEnd"/>
      <w:r>
        <w:rPr>
          <w:rtl/>
        </w:rPr>
        <w:t xml:space="preserve"> אמר </w:t>
      </w:r>
      <w:proofErr w:type="spellStart"/>
      <w:r>
        <w:rPr>
          <w:rtl/>
        </w:rPr>
        <w:t>לליליינטל</w:t>
      </w:r>
      <w:proofErr w:type="spellEnd"/>
      <w:r>
        <w:rPr>
          <w:rtl/>
        </w:rPr>
        <w:t xml:space="preserve"> בביקורו </w:t>
      </w:r>
      <w:proofErr w:type="spellStart"/>
      <w:r>
        <w:rPr>
          <w:rtl/>
        </w:rPr>
        <w:t>בוולוז׳ין</w:t>
      </w:r>
      <w:proofErr w:type="spellEnd"/>
      <w:r>
        <w:rPr>
          <w:rtl/>
        </w:rPr>
        <w:t xml:space="preserve">: “אחרי תפילת שחרית אני מלמד חלקים מן הפרשה עם רש״י ומוסיף כמה ביאורים חופשיים משלי, ובתוכם אני משלב כמה הערות מביאורו של משה מנדלסון.” יומנו של </w:t>
      </w:r>
      <w:proofErr w:type="spellStart"/>
      <w:r>
        <w:rPr>
          <w:rtl/>
        </w:rPr>
        <w:t>ליליינטל</w:t>
      </w:r>
      <w:proofErr w:type="spellEnd"/>
      <w:r>
        <w:rPr>
          <w:rtl/>
        </w:rPr>
        <w:t xml:space="preserve"> אומנם </w:t>
      </w:r>
      <w:r>
        <w:rPr>
          <w:rtl/>
        </w:rPr>
        <w:lastRenderedPageBreak/>
        <w:t>אינו מהימן</w:t>
      </w:r>
      <w:bookmarkStart w:id="1449" w:name="_fnr940"/>
      <w:r>
        <w:rPr>
          <w:rStyle w:val="a5"/>
        </w:rPr>
        <w:footnoteReference w:id="943" w:customMarkFollows="0"/>
      </w:r>
      <w:bookmarkEnd w:id="1449"/>
      <w:r>
        <w:rPr>
          <w:rtl/>
        </w:rPr>
        <w:t>, אבל גם “</w:t>
      </w:r>
      <w:proofErr w:type="spellStart"/>
      <w:r>
        <w:rPr>
          <w:rtl/>
        </w:rPr>
        <w:t>וולוזין</w:t>
      </w:r>
      <w:proofErr w:type="spellEnd"/>
      <w:r>
        <w:rPr>
          <w:rtl/>
        </w:rPr>
        <w:t xml:space="preserve"> – ספרה של העיר ושל ישיבת ‘עץ חיים’”</w:t>
      </w:r>
      <w:bookmarkStart w:id="1450" w:name="_fnr941"/>
      <w:r>
        <w:rPr>
          <w:rStyle w:val="a5"/>
        </w:rPr>
        <w:footnoteReference w:id="944" w:customMarkFollows="0"/>
      </w:r>
      <w:bookmarkEnd w:id="1450"/>
      <w:r>
        <w:rPr>
          <w:rtl/>
        </w:rPr>
        <w:t xml:space="preserve"> מספר</w:t>
      </w:r>
      <w:bookmarkStart w:id="1451" w:name="_fnr942"/>
      <w:r>
        <w:rPr>
          <w:rStyle w:val="a5"/>
        </w:rPr>
        <w:footnoteReference w:id="945" w:customMarkFollows="0"/>
      </w:r>
      <w:bookmarkEnd w:id="1451"/>
      <w:r>
        <w:rPr>
          <w:rtl/>
        </w:rPr>
        <w:t xml:space="preserve">: “כדי למשוך אליו תלמידים” – במאבקו עם </w:t>
      </w:r>
      <w:proofErr w:type="spellStart"/>
      <w:r>
        <w:rPr>
          <w:rtl/>
        </w:rPr>
        <w:t>הנצי״ב</w:t>
      </w:r>
      <w:proofErr w:type="spellEnd"/>
      <w:r>
        <w:rPr>
          <w:rtl/>
        </w:rPr>
        <w:t xml:space="preserve"> בשנת תר״י – “התחיל ר׳ </w:t>
      </w:r>
      <w:proofErr w:type="spellStart"/>
      <w:r>
        <w:rPr>
          <w:rtl/>
        </w:rPr>
        <w:t xml:space="preserve">יהושע־העשיל</w:t>
      </w:r>
      <w:proofErr w:type="spellEnd"/>
      <w:r>
        <w:rPr>
          <w:rtl/>
        </w:rPr>
        <w:t xml:space="preserve"> לוין ללמד בביתו בכל יום... בין מנחה לערבית פרק בתנ״ך עם </w:t>
      </w:r>
      <w:proofErr w:type="spellStart"/>
      <w:r>
        <w:rPr>
          <w:rtl/>
        </w:rPr>
        <w:t>ה‘ביאור</w:t>
      </w:r>
      <w:proofErr w:type="spellEnd"/>
      <w:r>
        <w:rPr>
          <w:rtl/>
        </w:rPr>
        <w:t>’ של מנדלסון.” לימוד אותו פירוש ודאי לא נאסר בחוגים הליטאיים באותם ימים</w:t>
      </w:r>
      <w:bookmarkStart w:id="1452" w:name="_fnr943"/>
      <w:r>
        <w:rPr>
          <w:rStyle w:val="a5"/>
        </w:rPr>
        <w:footnoteReference w:id="946" w:customMarkFollows="0"/>
      </w:r>
      <w:bookmarkEnd w:id="1452"/>
      <w:r>
        <w:rPr>
          <w:rtl/>
        </w:rPr>
        <w:t>.</w:t>
      </w:r>
    </w:p>
    <w:p w14:paraId="2ACB3EBA" w14:textId="77777777" w:rsidR="00AB3647" w:rsidRDefault="00000000" w:rsidP="007923E9">
      <w:pPr>
        <w:spacing w:after="120" w:line="276" w:lineRule="auto"/>
        <w:ind w:firstLine="283"/>
        <w:jc w:val="both"/>
      </w:pPr>
      <w:r>
        <w:rPr>
          <w:rtl/>
        </w:rPr>
        <w:t>השווה גם “</w:t>
      </w:r>
      <w:proofErr w:type="spellStart"/>
      <w:r>
        <w:rPr>
          <w:rtl/>
        </w:rPr>
        <w:t>זכרון</w:t>
      </w:r>
      <w:proofErr w:type="spellEnd"/>
      <w:r>
        <w:rPr>
          <w:rtl/>
        </w:rPr>
        <w:t xml:space="preserve"> יעקב”</w:t>
      </w:r>
      <w:bookmarkStart w:id="1453" w:name="_fnr944"/>
      <w:r>
        <w:rPr>
          <w:rStyle w:val="a5"/>
        </w:rPr>
        <w:footnoteReference w:id="947" w:customMarkFollows="0"/>
      </w:r>
      <w:bookmarkEnd w:id="1453"/>
      <w:r>
        <w:rPr>
          <w:rtl/>
        </w:rPr>
        <w:t xml:space="preserve">: בימי יורשו של </w:t>
      </w:r>
      <w:proofErr w:type="spellStart"/>
      <w:r>
        <w:rPr>
          <w:rtl/>
        </w:rPr>
        <w:t>אוברוב</w:t>
      </w:r>
      <w:proofErr w:type="spellEnd"/>
      <w:r>
        <w:rPr>
          <w:rtl/>
        </w:rPr>
        <w:t xml:space="preserve"> מימנה הממשלה את הדפסת התנ״ך עם </w:t>
      </w:r>
      <w:proofErr w:type="spellStart"/>
      <w:r>
        <w:rPr>
          <w:rtl/>
        </w:rPr>
        <w:t>ה“ביאור</w:t>
      </w:r>
      <w:proofErr w:type="spellEnd"/>
      <w:r>
        <w:rPr>
          <w:rtl/>
        </w:rPr>
        <w:t xml:space="preserve">” של מנדלסון, אבל המשכיל הממונה, לאון </w:t>
      </w:r>
      <w:proofErr w:type="spellStart"/>
      <w:r>
        <w:rPr>
          <w:rtl/>
        </w:rPr>
        <w:t>מנדלשטם</w:t>
      </w:r>
      <w:proofErr w:type="spellEnd"/>
      <w:r>
        <w:rPr>
          <w:rtl/>
        </w:rPr>
        <w:t>, “הוסיף על הנוסח המקורי את ספקנותו הכופרת בהתגלות ואת כפירתו הגלויה בנסים ובנבואות הנביאים. המשרד עצמו, כשראה זאת” – כסותר את האמונה הנוצרית שלו – “ציווה עליו להסיר דברים אלה ורבים כמותם מן ההוצאה, ושרף את דבריו המושחתים. הם הכריחוהו להמיר את הוספותיו בנושאים מקובלים יותר.”</w:t>
      </w:r>
    </w:p>
    <w:p w14:paraId="5232287B" w14:textId="77777777" w:rsidR="00AB3647" w:rsidRDefault="00000000" w:rsidP="007923E9">
      <w:pPr>
        <w:spacing w:after="120" w:line="276" w:lineRule="auto"/>
        <w:ind w:firstLine="283"/>
        <w:jc w:val="both"/>
      </w:pPr>
      <w:r>
        <w:rPr>
          <w:rtl/>
        </w:rPr>
        <w:t xml:space="preserve">יעקב מארק אינו מדייק לגמרי כשהוא מוסר שתוכנית הממשלה לצוות על לימוד החומש בלשון זרה “הונחה בארכיון” בעקבות טענתם של האדמו״ר </w:t>
      </w:r>
      <w:proofErr w:type="spellStart"/>
      <w:r>
        <w:rPr>
          <w:rtl/>
        </w:rPr>
        <w:t>מליובאוויטש</w:t>
      </w:r>
      <w:proofErr w:type="spellEnd"/>
      <w:r>
        <w:rPr>
          <w:rtl/>
        </w:rPr>
        <w:t xml:space="preserve"> ור׳ </w:t>
      </w:r>
      <w:proofErr w:type="spellStart"/>
      <w:r>
        <w:rPr>
          <w:rtl/>
        </w:rPr>
        <w:t>איצל׳ה</w:t>
      </w:r>
      <w:proofErr w:type="spellEnd"/>
      <w:r>
        <w:rPr>
          <w:rtl/>
        </w:rPr>
        <w:t xml:space="preserve"> בוועדה הרבנית, שהתכנסה בקיץ תר״ג. מאחר שלפי דברי אבי פרשת הנייר של </w:t>
      </w:r>
      <w:proofErr w:type="spellStart"/>
      <w:r>
        <w:rPr>
          <w:rtl/>
        </w:rPr>
        <w:t>ליליינטל</w:t>
      </w:r>
      <w:proofErr w:type="spellEnd"/>
      <w:r>
        <w:rPr>
          <w:rtl/>
        </w:rPr>
        <w:t xml:space="preserve">, שאירעה בשנת תר״ה, נגעה להדפסת חומשים מתורגמים לרוסית, ודאי התחיל </w:t>
      </w:r>
      <w:proofErr w:type="spellStart"/>
      <w:r>
        <w:rPr>
          <w:rtl/>
        </w:rPr>
        <w:t>ליליינטל</w:t>
      </w:r>
      <w:proofErr w:type="spellEnd"/>
      <w:r>
        <w:rPr>
          <w:rtl/>
        </w:rPr>
        <w:t xml:space="preserve"> לעבוד על תוכנית החומשים בלשון זרה זמן קצר דיו אחרי הוועדה הרבנית, כך שכעבור שנה וחצי כבר הגיעה התוכנית לשלב שבו היה צריך להזמין נייר להדפסה.</w:t>
      </w:r>
    </w:p>
    <w:p w14:paraId="6947D863" w14:textId="77777777" w:rsidR="00AB3647" w:rsidRDefault="00000000" w:rsidP="007923E9">
      <w:pPr>
        <w:spacing w:after="120" w:line="276" w:lineRule="auto"/>
        <w:ind w:firstLine="283"/>
        <w:jc w:val="both"/>
      </w:pPr>
      <w:r>
        <w:rPr>
          <w:rtl/>
        </w:rPr>
        <w:t xml:space="preserve">ייתכן שטענת הרבנים נגד הצעת </w:t>
      </w:r>
      <w:proofErr w:type="spellStart"/>
      <w:r>
        <w:rPr>
          <w:rtl/>
        </w:rPr>
        <w:t>ליליינטל</w:t>
      </w:r>
      <w:proofErr w:type="spellEnd"/>
      <w:r>
        <w:rPr>
          <w:rtl/>
        </w:rPr>
        <w:t xml:space="preserve"> </w:t>
      </w:r>
      <w:proofErr w:type="spellStart"/>
      <w:r>
        <w:rPr>
          <w:rtl/>
        </w:rPr>
        <w:t>ואוברוב</w:t>
      </w:r>
      <w:proofErr w:type="spellEnd"/>
      <w:r>
        <w:rPr>
          <w:rtl/>
        </w:rPr>
        <w:t xml:space="preserve"> היא אגדה גמורה, שנבדתה כדי לחפות על הסיבה האמיתית לביטול התוכנית: תחבולותיו של </w:t>
      </w:r>
      <w:proofErr w:type="spellStart"/>
      <w:r>
        <w:rPr>
          <w:rtl/>
        </w:rPr>
        <w:t>ליליינטל</w:t>
      </w:r>
      <w:proofErr w:type="spellEnd"/>
      <w:r>
        <w:rPr>
          <w:rtl/>
        </w:rPr>
        <w:t xml:space="preserve">, שהכול רצו להשתיק, כאמור לעיל בפסקה הקודמת. ועוד, הטענה שמוסר יעקב מארק בשם האדמו״ר </w:t>
      </w:r>
      <w:proofErr w:type="spellStart"/>
      <w:r>
        <w:rPr>
          <w:rtl/>
        </w:rPr>
        <w:t>מליובאוויטש</w:t>
      </w:r>
      <w:proofErr w:type="spellEnd"/>
      <w:r>
        <w:rPr>
          <w:rtl/>
        </w:rPr>
        <w:t xml:space="preserve"> נגד התרגום ה</w:t>
      </w:r>
      <w:r>
        <w:rPr>
          <w:b/>
          <w:bCs/>
          <w:rtl/>
        </w:rPr>
        <w:t>גרמני</w:t>
      </w:r>
      <w:r>
        <w:rPr>
          <w:rtl/>
        </w:rPr>
        <w:t xml:space="preserve">, אם אכן נאמרה, אולי גם לא נתקבלה לגמרי על דעת </w:t>
      </w:r>
      <w:proofErr w:type="spellStart"/>
      <w:r>
        <w:rPr>
          <w:rtl/>
        </w:rPr>
        <w:t>אוברוב</w:t>
      </w:r>
      <w:proofErr w:type="spellEnd"/>
      <w:r>
        <w:rPr>
          <w:rtl/>
        </w:rPr>
        <w:t xml:space="preserve">. שהרי הממשלה הרוסית מימנה את הדפסת החומש עם התרגום הגרמני </w:t>
      </w:r>
      <w:proofErr w:type="spellStart"/>
      <w:r>
        <w:rPr>
          <w:rtl/>
        </w:rPr>
        <w:t>וה“ביאור</w:t>
      </w:r>
      <w:proofErr w:type="spellEnd"/>
      <w:r>
        <w:rPr>
          <w:rtl/>
        </w:rPr>
        <w:t xml:space="preserve">” בשנת תרי״ב, בפיקוחו של יורשו של </w:t>
      </w:r>
      <w:proofErr w:type="spellStart"/>
      <w:r>
        <w:rPr>
          <w:rtl/>
        </w:rPr>
        <w:t>ליליינטל</w:t>
      </w:r>
      <w:proofErr w:type="spellEnd"/>
      <w:r>
        <w:rPr>
          <w:rtl/>
        </w:rPr>
        <w:t xml:space="preserve"> בפטרבורג, לאון </w:t>
      </w:r>
      <w:proofErr w:type="spellStart"/>
      <w:r>
        <w:rPr>
          <w:rtl/>
        </w:rPr>
        <w:t>מנדלשטם</w:t>
      </w:r>
      <w:proofErr w:type="spellEnd"/>
      <w:r>
        <w:rPr>
          <w:rtl/>
        </w:rPr>
        <w:t xml:space="preserve"> – אם כי הדבר היה אחרי שהסתיימה כהונתו של </w:t>
      </w:r>
      <w:proofErr w:type="spellStart"/>
      <w:r>
        <w:rPr>
          <w:rtl/>
        </w:rPr>
        <w:t>אוברוב</w:t>
      </w:r>
      <w:proofErr w:type="spellEnd"/>
      <w:r>
        <w:rPr>
          <w:rtl/>
        </w:rPr>
        <w:t xml:space="preserve"> בשנת תר״ט.</w:t>
      </w:r>
    </w:p>
    <w:p w14:paraId="044548C7" w14:textId="77777777" w:rsidR="00AB3647" w:rsidRDefault="00000000" w:rsidP="007923E9">
      <w:pPr>
        <w:pStyle w:val="4"/>
        <w:spacing w:line="276" w:lineRule="auto"/>
      </w:pPr>
      <w:r>
        <w:t>· הפסקה העשרים ושש ·</w:t>
      </w:r>
    </w:p>
    <w:p w14:paraId="7105A29A" w14:textId="77777777" w:rsidR="00AB3647" w:rsidRDefault="00000000" w:rsidP="007923E9">
      <w:pPr>
        <w:pStyle w:val="5"/>
        <w:spacing w:line="276" w:lineRule="auto"/>
      </w:pPr>
      <w:proofErr w:type="spellStart"/>
      <w:r>
        <w:t>ליליינטל</w:t>
      </w:r>
      <w:proofErr w:type="spellEnd"/>
      <w:r>
        <w:t xml:space="preserve"> מצליח להכניס לימודי חול לבתי הספר היהודיים – ר׳ ישראל </w:t>
      </w:r>
      <w:proofErr w:type="spellStart"/>
      <w:r>
        <w:t>סלנטר</w:t>
      </w:r>
      <w:proofErr w:type="spellEnd"/>
      <w:r>
        <w:t xml:space="preserve"> מזהיר את ר׳ </w:t>
      </w:r>
      <w:proofErr w:type="spellStart"/>
      <w:r>
        <w:t>איצל׳ה</w:t>
      </w:r>
      <w:proofErr w:type="spellEnd"/>
      <w:r>
        <w:t xml:space="preserve"> מפני חומרת גזרת הממשלה – </w:t>
      </w:r>
      <w:proofErr w:type="spellStart"/>
      <w:r>
        <w:t>אוברוב</w:t>
      </w:r>
      <w:proofErr w:type="spellEnd"/>
      <w:r>
        <w:t xml:space="preserve"> מפתה את ר׳ ישראל בעושר</w:t>
      </w:r>
    </w:p>
    <w:p w14:paraId="003BE383" w14:textId="77777777" w:rsidR="00AB3647" w:rsidRDefault="00000000" w:rsidP="007923E9">
      <w:pPr>
        <w:spacing w:after="120" w:line="276" w:lineRule="auto"/>
        <w:ind w:firstLine="283"/>
        <w:jc w:val="both"/>
      </w:pPr>
      <w:r>
        <w:rPr>
          <w:rtl/>
        </w:rPr>
        <w:t>יש אירוניה בכך שלפי “מינסק עיר ואם א”</w:t>
      </w:r>
      <w:bookmarkStart w:id="1454" w:name="_fnr945"/>
      <w:r>
        <w:rPr>
          <w:rStyle w:val="a5"/>
        </w:rPr>
        <w:footnoteReference w:id="948" w:customMarkFollows="0"/>
      </w:r>
      <w:bookmarkEnd w:id="1454"/>
      <w:r>
        <w:rPr>
          <w:rtl/>
        </w:rPr>
        <w:t xml:space="preserve">, בית הספר היהודי הממשלתי הראשון בכל רוסיה נפתח בידי משרד הדתות וההשכלה במינסק, העיר שגילתה בתחילה את ההתנגדות החריפה ביותר </w:t>
      </w:r>
      <w:proofErr w:type="spellStart"/>
      <w:r>
        <w:rPr>
          <w:rtl/>
        </w:rPr>
        <w:t>לליליינטל</w:t>
      </w:r>
      <w:proofErr w:type="spellEnd"/>
      <w:r>
        <w:rPr>
          <w:rtl/>
        </w:rPr>
        <w:t xml:space="preserve">. על אף התנגדותם של רוב בני הקהילה, שיתפה ההנהגה פעולה עם </w:t>
      </w:r>
      <w:r>
        <w:rPr>
          <w:rtl/>
        </w:rPr>
        <w:lastRenderedPageBreak/>
        <w:t xml:space="preserve">השלטונות בפתיחת בית ספר ממלכתי, ובו לימודי חול ולימודי קודש, בבית יתומים יהודי בשנת תר״ו. ראשי הקהילה סברו שהם ממלאים את חובתם האזרחית כשהם מקריבים כמה עשרות ילדים יתומים </w:t>
      </w:r>
      <w:proofErr w:type="spellStart"/>
      <w:r>
        <w:rPr>
          <w:rtl/>
        </w:rPr>
        <w:t>ל“שטן</w:t>
      </w:r>
      <w:proofErr w:type="spellEnd"/>
      <w:r>
        <w:rPr>
          <w:rtl/>
        </w:rPr>
        <w:t>” – כך נתפסה גזרת “בתי הספר”.</w:t>
      </w:r>
    </w:p>
    <w:p w14:paraId="1493CBEB" w14:textId="77777777" w:rsidR="00AB3647" w:rsidRDefault="00000000" w:rsidP="007923E9">
      <w:pPr>
        <w:spacing w:after="120" w:line="276" w:lineRule="auto"/>
        <w:ind w:firstLine="283"/>
        <w:jc w:val="both"/>
      </w:pPr>
      <w:r>
        <w:rPr>
          <w:rtl/>
        </w:rPr>
        <w:t>אבל עד שנת תר״ז כבר השלימו יהודי מינסק עם מתן לימודי חול לילדים בכלל, ועד שנת תרכ״ה היו כל כך הרבה בוגרי בתי ספר תיכוניים יהודים, שהממשלה המוטה נאלצה להגביל את מספר הבוגרים האלה שהתקבלו לאוניברסיטאות</w:t>
      </w:r>
      <w:bookmarkStart w:id="1455" w:name="_fnr946"/>
      <w:bookmarkEnd w:id="1455"/>
      <w:r>
        <w:rPr>
          <w:rStyle w:val="a5"/>
        </w:rPr>
        <w:t/>
      </w:r>
      <w:bookmarkStart w:id="7009" w:name="_TranslatorNote_5377"/>
      <w:r>
        <w:rPr>
          <w:rStyle w:val="a5"/>
          <w:vertAlign w:val="superscript"/>
          <w:rtl/>
        </w:rPr>
        <w:footnoteReference w:id="949" w:customMarkFollows="1"/>
        <w:t>*</w:t>
      </w:r>
      <w:bookmarkEnd w:id="7009"/>
      <w:r>
        <w:rPr>
          <w:rtl/>
        </w:rPr>
        <w:t xml:space="preserve">. “אכן, בתוך דור אחד בלבד מזמן ביקורו של </w:t>
      </w:r>
      <w:proofErr w:type="spellStart"/>
      <w:r>
        <w:rPr>
          <w:rtl/>
        </w:rPr>
        <w:t>ליליינטל</w:t>
      </w:r>
      <w:proofErr w:type="spellEnd"/>
      <w:r>
        <w:rPr>
          <w:rtl/>
        </w:rPr>
        <w:t xml:space="preserve"> במינסק </w:t>
      </w:r>
      <w:proofErr w:type="spellStart"/>
      <w:r>
        <w:rPr>
          <w:rtl/>
        </w:rPr>
        <w:t>נשתנו</w:t>
      </w:r>
      <w:proofErr w:type="spellEnd"/>
      <w:r>
        <w:rPr>
          <w:rtl/>
        </w:rPr>
        <w:t xml:space="preserve"> הדעות על החינוך מן הקצה אל הקצה, עד שרק התערבות הממשלה יכלה לעצור את גל הנוער היהודי הצמא לדעת ולחינוך מודרני.</w:t>
      </w:r>
      <w:bookmarkStart w:id="1456" w:name="_fnr947"/>
      <w:r>
        <w:rPr>
          <w:rStyle w:val="a5"/>
        </w:rPr>
        <w:footnoteReference w:id="950" w:customMarkFollows="0"/>
      </w:r>
      <w:bookmarkEnd w:id="1456"/>
      <w:r>
        <w:rPr>
          <w:rtl/>
        </w:rPr>
        <w:t xml:space="preserve">” נראה שהרעל שהשקה ד״ר </w:t>
      </w:r>
      <w:proofErr w:type="spellStart"/>
      <w:r>
        <w:rPr>
          <w:rtl/>
        </w:rPr>
        <w:t>ליליינטל</w:t>
      </w:r>
      <w:proofErr w:type="spellEnd"/>
      <w:r>
        <w:rPr>
          <w:rtl/>
        </w:rPr>
        <w:t xml:space="preserve"> פעל את מלוא פעולתו בפחות מרבע מאה. גם בתי המדרש לרבנים שתמך בהם הוקמו בווילנה </w:t>
      </w:r>
      <w:proofErr w:type="spellStart"/>
      <w:r>
        <w:rPr>
          <w:rtl/>
        </w:rPr>
        <w:t>ובז׳יטומיר</w:t>
      </w:r>
      <w:proofErr w:type="spellEnd"/>
      <w:r>
        <w:rPr>
          <w:rtl/>
        </w:rPr>
        <w:t>, אבל לא האריכו ימים</w:t>
      </w:r>
      <w:bookmarkStart w:id="1457" w:name="_fnr948"/>
      <w:r>
        <w:rPr>
          <w:rStyle w:val="a5"/>
        </w:rPr>
        <w:footnoteReference w:id="951" w:customMarkFollows="0"/>
      </w:r>
      <w:bookmarkEnd w:id="1457"/>
      <w:r>
        <w:rPr>
          <w:rtl/>
        </w:rPr>
        <w:t>.</w:t>
      </w:r>
    </w:p>
    <w:p w14:paraId="0502BA1D" w14:textId="77777777" w:rsidR="00AB3647" w:rsidRDefault="00000000" w:rsidP="007923E9">
      <w:pPr>
        <w:spacing w:after="120" w:line="276" w:lineRule="auto"/>
        <w:ind w:firstLine="283"/>
        <w:jc w:val="both"/>
      </w:pPr>
      <w:r>
        <w:rPr>
          <w:rtl/>
        </w:rPr>
        <w:t xml:space="preserve">תיאורו של אבי, שהנאמנים “נפטרו” </w:t>
      </w:r>
      <w:proofErr w:type="spellStart"/>
      <w:r>
        <w:rPr>
          <w:rtl/>
        </w:rPr>
        <w:t>מליליינטל</w:t>
      </w:r>
      <w:proofErr w:type="spellEnd"/>
      <w:r>
        <w:rPr>
          <w:rtl/>
        </w:rPr>
        <w:t xml:space="preserve"> בהיעלמו מרוסיה, טעון הסתייגות, שכן אף </w:t>
      </w:r>
      <w:proofErr w:type="spellStart"/>
      <w:r>
        <w:rPr>
          <w:rtl/>
        </w:rPr>
        <w:t>שליליינטל</w:t>
      </w:r>
      <w:proofErr w:type="spellEnd"/>
      <w:r>
        <w:rPr>
          <w:rtl/>
        </w:rPr>
        <w:t xml:space="preserve"> עצמו הלך, הנזק שגרם – במישרין, ובעקיפין בפתיחת שערי הממשלה הרוסית לפני המשכילים, כמתואר לעיל בפסקה השישית לפי מאמרו של </w:t>
      </w:r>
      <w:proofErr w:type="spellStart"/>
      <w:r>
        <w:rPr>
          <w:rtl/>
        </w:rPr>
        <w:t>אטקס</w:t>
      </w:r>
      <w:proofErr w:type="spellEnd"/>
      <w:r>
        <w:rPr>
          <w:rtl/>
        </w:rPr>
        <w:t xml:space="preserve"> על “ההשכלה מטעם” </w:t>
      </w:r>
      <w:proofErr w:type="spellStart"/>
      <w:r>
        <w:rPr>
          <w:rtl/>
        </w:rPr>
        <w:t>ב“ציון</w:t>
      </w:r>
      <w:proofErr w:type="spellEnd"/>
      <w:r>
        <w:rPr>
          <w:rtl/>
        </w:rPr>
        <w:t>” – האריך ימים, למרבה הצער.</w:t>
      </w:r>
    </w:p>
    <w:p w14:paraId="54AA8DCF" w14:textId="77777777" w:rsidR="00AB3647" w:rsidRDefault="00000000" w:rsidP="007923E9">
      <w:pPr>
        <w:spacing w:after="120" w:line="276" w:lineRule="auto"/>
        <w:ind w:firstLine="283"/>
        <w:jc w:val="both"/>
      </w:pPr>
      <w:r>
        <w:rPr>
          <w:rtl/>
        </w:rPr>
        <w:t xml:space="preserve">אפשר שר׳ ישראל </w:t>
      </w:r>
      <w:proofErr w:type="spellStart"/>
      <w:r>
        <w:rPr>
          <w:rtl/>
        </w:rPr>
        <w:t>סלנטר</w:t>
      </w:r>
      <w:proofErr w:type="spellEnd"/>
      <w:r>
        <w:rPr>
          <w:rtl/>
        </w:rPr>
        <w:t xml:space="preserve"> חזה את תוצאות מסע הממשלה, שהרי </w:t>
      </w:r>
      <w:proofErr w:type="spellStart"/>
      <w:r>
        <w:rPr>
          <w:rtl/>
        </w:rPr>
        <w:t>צינוביץ</w:t>
      </w:r>
      <w:proofErr w:type="spellEnd"/>
      <w:r>
        <w:rPr>
          <w:rtl/>
        </w:rPr>
        <w:t>, “עץ חיים”</w:t>
      </w:r>
      <w:bookmarkStart w:id="1458" w:name="_fnr949"/>
      <w:r>
        <w:rPr>
          <w:rStyle w:val="a5"/>
        </w:rPr>
        <w:footnoteReference w:id="952" w:customMarkFollows="0"/>
      </w:r>
      <w:bookmarkEnd w:id="1458"/>
      <w:r>
        <w:rPr>
          <w:rtl/>
        </w:rPr>
        <w:t xml:space="preserve">, מוסר מפי עד ראייה שכששב ר׳ </w:t>
      </w:r>
      <w:proofErr w:type="spellStart"/>
      <w:r>
        <w:rPr>
          <w:rtl/>
        </w:rPr>
        <w:t>איצל׳ה</w:t>
      </w:r>
      <w:proofErr w:type="spellEnd"/>
      <w:r>
        <w:rPr>
          <w:rtl/>
        </w:rPr>
        <w:t xml:space="preserve"> מן הוועדה הרבנית בפטרבורג בשנת תר״ג, סר לווילנה (אחרי ששבת </w:t>
      </w:r>
      <w:proofErr w:type="spellStart"/>
      <w:r>
        <w:rPr>
          <w:rtl/>
        </w:rPr>
        <w:t>בווילקומיר</w:t>
      </w:r>
      <w:proofErr w:type="spellEnd"/>
      <w:r>
        <w:rPr>
          <w:rtl/>
        </w:rPr>
        <w:t xml:space="preserve">, כאמור לעיל בסוף הפסקה </w:t>
      </w:r>
      <w:proofErr w:type="spellStart"/>
      <w:r>
        <w:rPr>
          <w:rtl/>
        </w:rPr>
        <w:t>השמונה־עשרה</w:t>
      </w:r>
      <w:proofErr w:type="spellEnd"/>
      <w:r>
        <w:rPr>
          <w:rtl/>
        </w:rPr>
        <w:t xml:space="preserve">) ונפגש עם ר׳ ישראל, הצעיר ממנו בשלושים שנה, שלימד אז בפרבר </w:t>
      </w:r>
      <w:proofErr w:type="spellStart"/>
      <w:r>
        <w:rPr>
          <w:rtl/>
        </w:rPr>
        <w:t>זארעטשע</w:t>
      </w:r>
      <w:proofErr w:type="spellEnd"/>
      <w:r>
        <w:rPr>
          <w:rtl/>
        </w:rPr>
        <w:t xml:space="preserve">: “ר׳ </w:t>
      </w:r>
      <w:proofErr w:type="spellStart"/>
      <w:r>
        <w:rPr>
          <w:rtl/>
        </w:rPr>
        <w:t>איצל׳ה</w:t>
      </w:r>
      <w:proofErr w:type="spellEnd"/>
      <w:r>
        <w:rPr>
          <w:rtl/>
        </w:rPr>
        <w:t xml:space="preserve"> עמד על רגליו מפני הכבוד עד שגמר ר׳ ישראל לומר את שיעורו, וכולנו [התלמידים] עמדנו. אחר כך נתנו זה לזה ‘שלום עליכם’ ונכנסו לחדר מיוחד וסגרו את הדלת אחריהם. נפשי הומה וכלתה לשמוע את דברי החכמים, אבל הם דיברו בלחש ולא יכולתי לקלוט דבר ממה שאמר ר׳ ישראל מלבד המילים הבאות, שאמר בקול רם ובכעס: ‘ר׳ יצחק, אל תלך בדרך הזאת. שעת שמד היא, וצריכים אנו </w:t>
      </w:r>
      <w:proofErr w:type="spellStart"/>
      <w:r>
        <w:rPr>
          <w:rtl/>
        </w:rPr>
        <w:t>ליהרג</w:t>
      </w:r>
      <w:proofErr w:type="spellEnd"/>
      <w:r>
        <w:rPr>
          <w:rtl/>
        </w:rPr>
        <w:t xml:space="preserve"> ולא לעבור, בין על דבר קטן ובין על דבר גדול. כוונת הממשלה הקיסרית היא לערב את הדור החדש שלנו בין [הרוסים]...’”</w:t>
      </w:r>
    </w:p>
    <w:p w14:paraId="2E0F0EBB" w14:textId="543875C9" w:rsidR="00AB3647" w:rsidRDefault="00000000" w:rsidP="007923E9">
      <w:pPr>
        <w:spacing w:after="120" w:line="276" w:lineRule="auto"/>
        <w:ind w:firstLine="283"/>
        <w:jc w:val="both"/>
      </w:pPr>
      <w:r>
        <w:rPr>
          <w:rtl/>
        </w:rPr>
        <w:t xml:space="preserve">אבל ייתכן שהשיחה בין שני גדולי התורה לא הייתה קשורה לפגיעת הממשלה בבתי הספר היהודיים בכלל, אלא לבית המדרש לרבנים שתוכנן בווילנה בפרט</w:t>
      </w:r>
      <w:bookmarkStart w:id="1459" w:name="_fnr950"/>
      <w:r>
        <w:rPr>
          <w:rStyle w:val="a5"/>
        </w:rPr>
        <w:footnoteReference w:id="953" w:customMarkFollows="0"/>
      </w:r>
      <w:bookmarkEnd w:id="1459"/>
      <w:r>
        <w:rPr>
          <w:rtl/>
        </w:rPr>
        <w:t>. לפי כץ, “תנועת המוסר”, כרך א</w:t>
      </w:r>
      <w:bookmarkStart w:id="1460" w:name="_fnr951"/>
      <w:r>
        <w:rPr>
          <w:rStyle w:val="a5"/>
        </w:rPr>
        <w:footnoteReference w:id="954" w:customMarkFollows="0"/>
      </w:r>
      <w:bookmarkEnd w:id="1460"/>
      <w:r>
        <w:rPr>
          <w:rtl/>
        </w:rPr>
        <w:t xml:space="preserve">, ביקר השר </w:t>
      </w:r>
      <w:proofErr w:type="spellStart"/>
      <w:r>
        <w:rPr>
          <w:rtl/>
        </w:rPr>
        <w:t>אוברוב</w:t>
      </w:r>
      <w:proofErr w:type="spellEnd"/>
      <w:r>
        <w:rPr>
          <w:rtl/>
        </w:rPr>
        <w:t xml:space="preserve"> בעצמו אצל ר׳ ישראל </w:t>
      </w:r>
      <w:proofErr w:type="spellStart"/>
      <w:r>
        <w:rPr>
          <w:rtl/>
        </w:rPr>
        <w:t>בקלויז</w:t>
      </w:r>
      <w:proofErr w:type="spellEnd"/>
      <w:r>
        <w:rPr>
          <w:rtl/>
        </w:rPr>
        <w:t xml:space="preserve"> של </w:t>
      </w:r>
      <w:proofErr w:type="spellStart"/>
      <w:r>
        <w:rPr>
          <w:rtl/>
        </w:rPr>
        <w:t>זארעטשע</w:t>
      </w:r>
      <w:proofErr w:type="spellEnd"/>
      <w:r>
        <w:rPr>
          <w:rtl/>
        </w:rPr>
        <w:t xml:space="preserve"> (יחד עם </w:t>
      </w:r>
      <w:proofErr w:type="spellStart"/>
      <w:r>
        <w:rPr>
          <w:rtl/>
        </w:rPr>
        <w:t>צבי־הירש</w:t>
      </w:r>
      <w:proofErr w:type="spellEnd"/>
      <w:r>
        <w:rPr>
          <w:rtl/>
        </w:rPr>
        <w:t xml:space="preserve"> </w:t>
      </w:r>
      <w:proofErr w:type="spellStart"/>
      <w:r>
        <w:rPr>
          <w:rtl/>
        </w:rPr>
        <w:t>קצנלנבוגן</w:t>
      </w:r>
      <w:proofErr w:type="spellEnd"/>
      <w:r>
        <w:rPr>
          <w:rtl/>
        </w:rPr>
        <w:t xml:space="preserve">) והציע לו את משרת מנהל בית המדרש לרבנים, ובשבילה “(יתמכהו) </w:t>
      </w:r>
      <w:r>
        <w:rPr>
          <w:rtl/>
        </w:rPr>
        <w:lastRenderedPageBreak/>
        <w:t xml:space="preserve">בעושר” (השווה פרק 4, הערה </w:t>
      </w:r>
      <w:r>
        <w:rPr>
          <w:rtl/>
        </w:rPr>
        <w:fldChar w:fldCharType="begin" w:dirty="true"/>
      </w:r>
      <w:r>
        <w:rPr>
          <w:rtl/>
        </w:rPr>
        <w:instrText xml:space="preserve"> REF b4_note75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75</w:t>
      </w:r>
      <w:r>
        <w:rPr>
          <w:rtl/>
        </w:rPr>
        <w:fldChar w:fldCharType="end"/>
      </w:r>
      <w:r>
        <w:rPr>
          <w:rtl/>
        </w:rPr>
        <w:t>: מה הייתה משמעותה של הצעת עושר בסולם הערכים של ר׳ ישראל</w:t>
      </w:r>
      <w:bookmarkStart w:id="1461" w:name="_fnr952"/>
      <w:r>
        <w:rPr>
          <w:rStyle w:val="a5"/>
        </w:rPr>
        <w:footnoteReference w:id="955" w:customMarkFollows="0"/>
      </w:r>
      <w:bookmarkEnd w:id="1461"/>
      <w:r>
        <w:rPr>
          <w:rtl/>
        </w:rPr>
        <w:t>). ר׳ ישראל “נמנע מלהשיב לו, ולא דיבר עמו מטוב עד רע”</w:t>
      </w:r>
      <w:bookmarkStart w:id="1462" w:name="_fnr953"/>
      <w:r>
        <w:rPr>
          <w:rStyle w:val="a5"/>
        </w:rPr>
        <w:footnoteReference w:id="956" w:customMarkFollows="0"/>
      </w:r>
      <w:bookmarkEnd w:id="1462"/>
      <w:r>
        <w:rPr>
          <w:rtl/>
        </w:rPr>
        <w:t>.</w:t>
      </w:r>
    </w:p>
    <w:p w14:paraId="12B4E165" w14:textId="77777777" w:rsidR="00AB3647" w:rsidRDefault="00000000" w:rsidP="007923E9">
      <w:pPr>
        <w:spacing w:after="120" w:line="276" w:lineRule="auto"/>
        <w:ind w:firstLine="283"/>
        <w:jc w:val="both"/>
      </w:pPr>
      <w:r>
        <w:rPr>
          <w:rtl/>
        </w:rPr>
        <w:t xml:space="preserve">כץ אינו מציין את תאריך ביקורו של </w:t>
      </w:r>
      <w:proofErr w:type="spellStart"/>
      <w:r>
        <w:rPr>
          <w:rtl/>
        </w:rPr>
        <w:t>אוברוב</w:t>
      </w:r>
      <w:proofErr w:type="spellEnd"/>
      <w:r>
        <w:rPr>
          <w:rtl/>
        </w:rPr>
        <w:t xml:space="preserve">, אבל מוסר שאחר כך ביקש השר מר׳ </w:t>
      </w:r>
      <w:proofErr w:type="spellStart"/>
      <w:r>
        <w:rPr>
          <w:rtl/>
        </w:rPr>
        <w:t>איצל׳ה</w:t>
      </w:r>
      <w:proofErr w:type="spellEnd"/>
      <w:r>
        <w:rPr>
          <w:rtl/>
        </w:rPr>
        <w:t xml:space="preserve"> להשפיע על ר׳ ישראל שיקבל את המינוי. אין בידינו שום עדות על פגישה של </w:t>
      </w:r>
      <w:proofErr w:type="spellStart"/>
      <w:r>
        <w:rPr>
          <w:rtl/>
        </w:rPr>
        <w:t>אוברוב</w:t>
      </w:r>
      <w:proofErr w:type="spellEnd"/>
      <w:r>
        <w:rPr>
          <w:rtl/>
        </w:rPr>
        <w:t xml:space="preserve"> עם ר׳ </w:t>
      </w:r>
      <w:proofErr w:type="spellStart"/>
      <w:r>
        <w:rPr>
          <w:rtl/>
        </w:rPr>
        <w:t>איצל׳ה</w:t>
      </w:r>
      <w:proofErr w:type="spellEnd"/>
      <w:r>
        <w:rPr>
          <w:rtl/>
        </w:rPr>
        <w:t xml:space="preserve"> בזמן כלשהו </w:t>
      </w:r>
      <w:r>
        <w:rPr>
          <w:b/>
          <w:bCs/>
          <w:rtl/>
        </w:rPr>
        <w:t>אחרי</w:t>
      </w:r>
      <w:r>
        <w:rPr>
          <w:rtl/>
        </w:rPr>
        <w:t xml:space="preserve"> ביקורו של ר׳ </w:t>
      </w:r>
      <w:proofErr w:type="spellStart"/>
      <w:r>
        <w:rPr>
          <w:rtl/>
        </w:rPr>
        <w:t>איצל׳ה</w:t>
      </w:r>
      <w:proofErr w:type="spellEnd"/>
      <w:r>
        <w:rPr>
          <w:rtl/>
        </w:rPr>
        <w:t xml:space="preserve"> בפטרבורג כחבר הוועדה הרבנית. לכן יש להניח שכבר באותה עת חיפשו השר </w:t>
      </w:r>
      <w:proofErr w:type="spellStart"/>
      <w:r>
        <w:rPr>
          <w:rtl/>
        </w:rPr>
        <w:t>וליליינטל</w:t>
      </w:r>
      <w:proofErr w:type="spellEnd"/>
      <w:r>
        <w:rPr>
          <w:rtl/>
        </w:rPr>
        <w:t xml:space="preserve"> את האיש המתאים לעמוד בראש בית המדרש לרבנים, ושמו של ר׳ ישראל הועלה – אף שבית המדרש היה אז רק בשלב התכנון, ונפתח רק כעבור שלוש שנים וחצי</w:t>
      </w:r>
      <w:bookmarkStart w:id="1463" w:name="_fnr954"/>
      <w:r>
        <w:rPr>
          <w:rStyle w:val="a5"/>
        </w:rPr>
        <w:footnoteReference w:id="957" w:customMarkFollows="0"/>
      </w:r>
      <w:bookmarkEnd w:id="1463"/>
      <w:r>
        <w:rPr>
          <w:rtl/>
        </w:rPr>
        <w:t>.</w:t>
      </w:r>
    </w:p>
    <w:p w14:paraId="4037A1C7" w14:textId="77777777" w:rsidR="00AB3647" w:rsidRDefault="00000000" w:rsidP="007923E9">
      <w:pPr>
        <w:spacing w:after="120" w:line="276" w:lineRule="auto"/>
        <w:ind w:firstLine="283"/>
        <w:jc w:val="both"/>
      </w:pPr>
      <w:r>
        <w:rPr>
          <w:rtl/>
        </w:rPr>
        <w:t xml:space="preserve">ייתכן מאוד שבדרכו חזרה מפטרבורג ניסה ר׳ </w:t>
      </w:r>
      <w:proofErr w:type="spellStart"/>
      <w:r>
        <w:rPr>
          <w:rtl/>
        </w:rPr>
        <w:t>איצל׳ה</w:t>
      </w:r>
      <w:proofErr w:type="spellEnd"/>
      <w:r>
        <w:rPr>
          <w:rtl/>
        </w:rPr>
        <w:t xml:space="preserve"> לשכנע את ר׳ ישראל לקבל את המשרה, ור׳ ישראל השיב לו בכעס, כאמור לעיל. המלווה של </w:t>
      </w:r>
      <w:proofErr w:type="spellStart"/>
      <w:r>
        <w:rPr>
          <w:rtl/>
        </w:rPr>
        <w:t>אוברוב</w:t>
      </w:r>
      <w:proofErr w:type="spellEnd"/>
      <w:r>
        <w:rPr>
          <w:rtl/>
        </w:rPr>
        <w:t xml:space="preserve">, </w:t>
      </w:r>
      <w:proofErr w:type="spellStart"/>
      <w:r>
        <w:rPr>
          <w:rtl/>
        </w:rPr>
        <w:t>קצנלנבוגן</w:t>
      </w:r>
      <w:proofErr w:type="spellEnd"/>
      <w:r>
        <w:rPr>
          <w:rtl/>
        </w:rPr>
        <w:t xml:space="preserve">, קיבל את המשרה בעצמו כשעזב ר׳ ישראל את וילנה לקובנה, </w:t>
      </w:r>
      <w:proofErr w:type="spellStart"/>
      <w:r>
        <w:rPr>
          <w:rtl/>
        </w:rPr>
        <w:t>שלושה־עשר</w:t>
      </w:r>
      <w:proofErr w:type="spellEnd"/>
      <w:r>
        <w:rPr>
          <w:rtl/>
        </w:rPr>
        <w:t xml:space="preserve"> חודשים אחרי שנפתח בית המדרש לרבנים.</w:t>
      </w:r>
    </w:p>
    <w:p w14:paraId="31463113" w14:textId="150B822E" w:rsidR="00AB3647" w:rsidRDefault="00000000" w:rsidP="007923E9">
      <w:pPr>
        <w:spacing w:after="120" w:line="276" w:lineRule="auto"/>
        <w:ind w:firstLine="283"/>
        <w:jc w:val="both"/>
      </w:pPr>
      <w:r>
        <w:rPr>
          <w:rtl/>
        </w:rPr>
        <w:t>לסיום נספח זה ראוי להביא את דברי “</w:t>
      </w:r>
      <w:proofErr w:type="spellStart"/>
      <w:r>
        <w:rPr>
          <w:rtl/>
        </w:rPr>
        <w:t>זכרון</w:t>
      </w:r>
      <w:proofErr w:type="spellEnd"/>
      <w:r>
        <w:rPr>
          <w:rtl/>
        </w:rPr>
        <w:t xml:space="preserve"> יעקב”</w:t>
      </w:r>
      <w:bookmarkStart w:id="1464" w:name="_fnr955"/>
      <w:r>
        <w:rPr>
          <w:rStyle w:val="a5"/>
        </w:rPr>
        <w:footnoteReference w:id="958" w:customMarkFollows="0"/>
      </w:r>
      <w:bookmarkEnd w:id="1464"/>
      <w:r>
        <w:rPr>
          <w:rtl/>
        </w:rPr>
        <w:t xml:space="preserve"> על ר׳ </w:t>
      </w:r>
      <w:proofErr w:type="spellStart"/>
      <w:r>
        <w:rPr>
          <w:rtl/>
        </w:rPr>
        <w:t>איצל׳ה</w:t>
      </w:r>
      <w:proofErr w:type="spellEnd"/>
      <w:r>
        <w:rPr>
          <w:rtl/>
        </w:rPr>
        <w:t xml:space="preserve">: “בדור שאחרי ר׳ חיים </w:t>
      </w:r>
      <w:proofErr w:type="spellStart"/>
      <w:r>
        <w:rPr>
          <w:rtl/>
        </w:rPr>
        <w:t>מוולוז׳ין</w:t>
      </w:r>
      <w:proofErr w:type="spellEnd"/>
      <w:r>
        <w:rPr>
          <w:rtl/>
        </w:rPr>
        <w:t xml:space="preserve"> היה </w:t>
      </w:r>
      <w:proofErr w:type="spellStart"/>
      <w:r>
        <w:rPr>
          <w:rtl/>
        </w:rPr>
        <w:t>מדברנא</w:t>
      </w:r>
      <w:proofErr w:type="spellEnd"/>
      <w:r>
        <w:rPr>
          <w:rtl/>
        </w:rPr>
        <w:t xml:space="preserve"> </w:t>
      </w:r>
      <w:proofErr w:type="spellStart"/>
      <w:r>
        <w:rPr>
          <w:rtl/>
        </w:rPr>
        <w:t>דאומתא</w:t>
      </w:r>
      <w:proofErr w:type="spellEnd"/>
      <w:r>
        <w:rPr>
          <w:rtl/>
        </w:rPr>
        <w:t xml:space="preserve"> בנו, הגאון הצדיק החכם הכולל ר׳ </w:t>
      </w:r>
      <w:proofErr w:type="spellStart"/>
      <w:r>
        <w:rPr>
          <w:rtl/>
        </w:rPr>
        <w:t>איצל׳ה</w:t>
      </w:r>
      <w:proofErr w:type="spellEnd"/>
      <w:r>
        <w:rPr>
          <w:rtl/>
        </w:rPr>
        <w:t xml:space="preserve">, שהיה כמין דמות </w:t>
      </w:r>
      <w:proofErr w:type="spellStart"/>
      <w:r>
        <w:rPr>
          <w:rtl/>
        </w:rPr>
        <w:t>דיוקנא</w:t>
      </w:r>
      <w:proofErr w:type="spellEnd"/>
      <w:r>
        <w:rPr>
          <w:rtl/>
        </w:rPr>
        <w:t xml:space="preserve"> קטנה של אביו הגאון ר׳ חיים. גם הוא נקרא בכל פלך וילנה פשוט ‘הרב’</w:t>
      </w:r>
      <w:bookmarkStart w:id="1465" w:name="_fnr956"/>
      <w:r>
        <w:rPr>
          <w:rStyle w:val="a5"/>
        </w:rPr>
        <w:footnoteReference w:id="959" w:customMarkFollows="0"/>
      </w:r>
      <w:bookmarkEnd w:id="1465"/>
      <w:r>
        <w:rPr>
          <w:rtl/>
        </w:rPr>
        <w:t xml:space="preserve">. כל מחשבותיו והגיגיו היו תמיד רק לטובת הכלל.” השווה גם פרק 4, הפסקה השנייה של </w:t>
      </w:r>
      <w:r>
        <w:rPr>
          <w:rtl/>
        </w:rPr>
        <w:fldChar w:fldCharType="begin" w:dirty="true"/>
      </w:r>
      <w:r>
        <w:rPr>
          <w:rtl/>
        </w:rPr>
        <w:instrText xml:space="preserve"> REF b4_excT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כ</w:t>
      </w:r>
      <w:r>
        <w:rPr>
          <w:rtl/>
        </w:rPr>
        <w:fldChar w:fldCharType="end"/>
      </w:r>
      <w:r>
        <w:rPr>
          <w:rtl/>
        </w:rPr>
        <w:t xml:space="preserve">, כיצד שיבחוהו אחרים, ושאף בין תלמידי אביו לא היה ר׳ </w:t>
      </w:r>
      <w:proofErr w:type="spellStart"/>
      <w:r>
        <w:rPr>
          <w:rtl/>
        </w:rPr>
        <w:t>איצל׳ה</w:t>
      </w:r>
      <w:proofErr w:type="spellEnd"/>
      <w:r>
        <w:rPr>
          <w:rtl/>
        </w:rPr>
        <w:t xml:space="preserve"> מקובל על הכול.</w:t>
      </w:r>
    </w:p>
    <w:bookmarkStart w:id="1466" w:name="b2_excB"/>
    <w:p w14:paraId="6CD58150" w14:textId="77777777" w:rsidR="00AB3647" w:rsidRDefault="00000000" w:rsidP="007923E9">
      <w:pPr>
        <w:pStyle w:val="3"/>
        <w:spacing w:line="276" w:lineRule="auto"/>
      </w:pPr>
      <w:r>
        <w:lastRenderedPageBreak/>
        <w:fldChar w:fldCharType="begin" w:dirty="true"/>
      </w:r>
      <w:r>
        <w:rPr>
          <w:rtl w:val="0"/>
        </w:rPr>
        <w:instrText>HYPERLINK \l "b2_note25</w:instrText>
      </w:r>
      <w:r>
        <w:instrText>"</w:instrText>
      </w:r>
      <w:r>
        <w:fldChar w:fldCharType="separate"/>
      </w:r>
      <w:r>
        <w:t>נספח ב</w:t>
      </w:r>
      <w:r>
        <w:fldChar w:fldCharType="end"/>
      </w:r>
      <w:bookmarkEnd w:id="1466"/>
    </w:p>
    <w:p w14:paraId="55CECAFA" w14:textId="77777777" w:rsidR="00AB3647" w:rsidRDefault="00000000" w:rsidP="007923E9">
      <w:pPr>
        <w:pStyle w:val="af"/>
        <w:spacing w:line="276" w:lineRule="auto"/>
      </w:pPr>
      <w:r>
        <w:t>על קריאת ספרות חול ועל הסכנה שאיימה על צעירים מחוננים לפני מאה שנה ויותר</w:t>
      </w:r>
    </w:p>
    <w:p w14:paraId="794DCED4" w14:textId="77777777" w:rsidR="00AB3647" w:rsidRDefault="00000000" w:rsidP="007923E9">
      <w:pPr>
        <w:pStyle w:val="4"/>
        <w:spacing w:line="276" w:lineRule="auto"/>
      </w:pPr>
      <w:r>
        <w:t>· הפסקה הראשונה ·</w:t>
      </w:r>
    </w:p>
    <w:p w14:paraId="39049E71" w14:textId="77777777" w:rsidR="00AB3647" w:rsidRDefault="00000000" w:rsidP="007923E9">
      <w:pPr>
        <w:pStyle w:val="5"/>
        <w:spacing w:line="276" w:lineRule="auto"/>
      </w:pPr>
      <w:r>
        <w:t>השערה מה היה עולה בגורלו של רבנו – הסכנות הרוחניות שאיימו על בחור ישיבה צעיר במינסק</w:t>
      </w:r>
    </w:p>
    <w:p w14:paraId="013F1F9C" w14:textId="77777777" w:rsidR="00AB3647" w:rsidRDefault="00000000" w:rsidP="007923E9">
      <w:pPr>
        <w:spacing w:after="120" w:line="276" w:lineRule="auto"/>
        <w:ind w:firstLine="283"/>
        <w:jc w:val="both"/>
      </w:pPr>
      <w:r>
        <w:rPr>
          <w:rtl/>
        </w:rPr>
        <w:t>אילו זכה אבי להדרכה אישית, במקום שיושלך לבדו אל עולם הישיבות של מינסק, אפשר שהיה נמנע מלקרוא את הספרים החילוניים שקראו בני דודו, שהרי ראשי הישיבות אסרו על תלמידיהם לשוטט, אפילו דרך אגב, בתחום המסוכן של לימודי החול. מאידך גיסא, בהתחשב בסקרנותו האינטלקטואלית של אבי, יש מקום לשער שאילו נאלץ לעצום את עיניו מן הספרים החילוניים המעניינים שקראו בני דודו, היה עלול למרוד</w:t>
      </w:r>
      <w:bookmarkStart w:id="1467" w:name="_fnr957"/>
      <w:r>
        <w:rPr>
          <w:rStyle w:val="a5"/>
        </w:rPr>
        <w:footnoteReference w:id="960" w:customMarkFollows="0"/>
      </w:r>
      <w:bookmarkEnd w:id="1467"/>
      <w:r>
        <w:rPr>
          <w:rtl/>
        </w:rPr>
        <w:t xml:space="preserve"> ולמאוס בחינוך התורני, חס ושלום. ואכן, הוא סיפר </w:t>
      </w:r>
      <w:proofErr w:type="spellStart"/>
      <w:r>
        <w:rPr>
          <w:rtl/>
        </w:rPr>
        <w:t>לר</w:t>
      </w:r>
      <w:proofErr w:type="spellEnd"/>
      <w:r>
        <w:rPr>
          <w:rtl/>
        </w:rPr>
        <w:t xml:space="preserve">׳ </w:t>
      </w:r>
      <w:proofErr w:type="spellStart"/>
      <w:r>
        <w:rPr>
          <w:rtl/>
        </w:rPr>
        <w:t>לייבל</w:t>
      </w:r>
      <w:proofErr w:type="spellEnd"/>
      <w:r>
        <w:rPr>
          <w:rtl/>
        </w:rPr>
        <w:t xml:space="preserve"> </w:t>
      </w:r>
      <w:proofErr w:type="spellStart"/>
      <w:r>
        <w:rPr>
          <w:rtl/>
        </w:rPr>
        <w:t>פרלשטיין</w:t>
      </w:r>
      <w:bookmarkStart w:id="1468" w:name="_fnr958"/>
      <w:proofErr w:type="spellEnd"/>
      <w:r>
        <w:rPr>
          <w:rStyle w:val="a5"/>
        </w:rPr>
        <w:footnoteReference w:id="961" w:customMarkFollows="0"/>
      </w:r>
      <w:bookmarkEnd w:id="1468"/>
      <w:r>
        <w:rPr>
          <w:rtl/>
        </w:rPr>
        <w:t xml:space="preserve"> שמאז נעוריו הייתה בו תשוקה עצומה לדעת כל דבר חכמה שנקרה בדרכו.</w:t>
      </w:r>
    </w:p>
    <w:p w14:paraId="6DAC4CE1" w14:textId="77777777" w:rsidR="00AB3647" w:rsidRDefault="00000000" w:rsidP="007923E9">
      <w:pPr>
        <w:spacing w:after="120" w:line="276" w:lineRule="auto"/>
        <w:ind w:firstLine="283"/>
        <w:jc w:val="both"/>
      </w:pPr>
      <w:r>
        <w:rPr>
          <w:rtl/>
        </w:rPr>
        <w:t>לתלמידו ר׳ ישראל ברגר אמר: “קשה לתאר כיום את עוצמת דליקת ההשכלה בסביבה שבה גדלתי. לא ייאמן כיצד שאבה אליה אנשים. אני הייתי היחיד מבין אחיי ואחיותיי שנשאר שומר מצוות (פרום).”</w:t>
      </w:r>
      <w:bookmarkStart w:id="1469" w:name="_fnr959"/>
      <w:r>
        <w:rPr>
          <w:rStyle w:val="a5"/>
        </w:rPr>
        <w:footnoteReference w:id="962" w:customMarkFollows="0"/>
      </w:r>
      <w:bookmarkEnd w:id="1469"/>
    </w:p>
    <w:p w14:paraId="060E5033" w14:textId="77777777" w:rsidR="00AB3647" w:rsidRDefault="00000000" w:rsidP="007923E9">
      <w:pPr>
        <w:spacing w:after="120" w:line="276" w:lineRule="auto"/>
        <w:ind w:firstLine="283"/>
        <w:jc w:val="both"/>
      </w:pPr>
      <w:r>
        <w:rPr>
          <w:rtl/>
        </w:rPr>
        <w:t>והשווה גם מה שאמר מנשה המלך (</w:t>
      </w:r>
      <w:proofErr w:type="spellStart"/>
      <w:r>
        <w:rPr>
          <w:rtl/>
        </w:rPr>
        <w:t>ג׳רט״ז</w:t>
      </w:r>
      <w:proofErr w:type="spellEnd"/>
      <w:r>
        <w:rPr>
          <w:rtl/>
        </w:rPr>
        <w:t>–</w:t>
      </w:r>
      <w:proofErr w:type="spellStart"/>
      <w:r>
        <w:rPr>
          <w:rtl/>
        </w:rPr>
        <w:t>ג׳רפ״ג</w:t>
      </w:r>
      <w:proofErr w:type="spellEnd"/>
      <w:r>
        <w:rPr>
          <w:rtl/>
        </w:rPr>
        <w:t>, 544–477 לפני הספירה) לרב אשי (</w:t>
      </w:r>
      <w:proofErr w:type="spellStart"/>
      <w:r>
        <w:rPr>
          <w:rtl/>
        </w:rPr>
        <w:t>ד׳צ״ח</w:t>
      </w:r>
      <w:proofErr w:type="spellEnd"/>
      <w:r>
        <w:rPr>
          <w:rtl/>
        </w:rPr>
        <w:t>–</w:t>
      </w:r>
      <w:proofErr w:type="spellStart"/>
      <w:r>
        <w:rPr>
          <w:rtl/>
        </w:rPr>
        <w:t>ד׳קפ״ז</w:t>
      </w:r>
      <w:bookmarkStart w:id="1470" w:name="_fnr960"/>
      <w:bookmarkStart w:id="1471" w:name="pr_f_880"/>
      <w:proofErr w:type="spellEnd"/>
      <w:r>
        <w:rPr>
          <w:rStyle w:val="a5"/>
        </w:rPr>
        <w:footnoteReference w:id="963" w:customMarkFollows="0"/>
      </w:r>
      <w:bookmarkEnd w:id="1470"/>
      <w:bookmarkEnd w:id="1471"/>
      <w:r>
        <w:rPr>
          <w:rtl/>
        </w:rPr>
        <w:t xml:space="preserve">, 338–427) בחלום, כשרב אשי לא הבין כיצד יכול היה המלך המלומד לעבוד עבודה זרה: “אי </w:t>
      </w:r>
      <w:proofErr w:type="spellStart"/>
      <w:r>
        <w:rPr>
          <w:rtl/>
        </w:rPr>
        <w:t>הות</w:t>
      </w:r>
      <w:proofErr w:type="spellEnd"/>
      <w:r>
        <w:rPr>
          <w:rtl/>
        </w:rPr>
        <w:t xml:space="preserve"> התם [בדורנו], </w:t>
      </w:r>
      <w:proofErr w:type="spellStart"/>
      <w:r>
        <w:rPr>
          <w:rtl/>
        </w:rPr>
        <w:t>הות</w:t>
      </w:r>
      <w:proofErr w:type="spellEnd"/>
      <w:r>
        <w:rPr>
          <w:rtl/>
        </w:rPr>
        <w:t xml:space="preserve"> נקיטת בשיפולי </w:t>
      </w:r>
      <w:proofErr w:type="spellStart"/>
      <w:r>
        <w:rPr>
          <w:rtl/>
        </w:rPr>
        <w:t>גלימא</w:t>
      </w:r>
      <w:proofErr w:type="spellEnd"/>
      <w:r>
        <w:rPr>
          <w:rtl/>
        </w:rPr>
        <w:t xml:space="preserve"> </w:t>
      </w:r>
      <w:proofErr w:type="spellStart"/>
      <w:r>
        <w:rPr>
          <w:rtl/>
        </w:rPr>
        <w:t>ורהטת</w:t>
      </w:r>
      <w:proofErr w:type="spellEnd"/>
      <w:r>
        <w:rPr>
          <w:rtl/>
        </w:rPr>
        <w:t xml:space="preserve"> </w:t>
      </w:r>
      <w:proofErr w:type="spellStart"/>
      <w:r>
        <w:rPr>
          <w:rtl/>
        </w:rPr>
        <w:t>אבתראי</w:t>
      </w:r>
      <w:proofErr w:type="spellEnd"/>
      <w:r>
        <w:rPr>
          <w:rtl/>
        </w:rPr>
        <w:t>.”</w:t>
      </w:r>
      <w:bookmarkStart w:id="1472" w:name="_fnr961"/>
      <w:r>
        <w:rPr>
          <w:rStyle w:val="a5"/>
        </w:rPr>
        <w:footnoteReference w:id="964" w:customMarkFollows="0"/>
      </w:r>
      <w:bookmarkEnd w:id="1472"/>
      <w:r>
        <w:rPr>
          <w:rtl/>
        </w:rPr>
        <w:t xml:space="preserve"> מאמר חז״ל זה הביא ר׳ דוד </w:t>
      </w:r>
      <w:proofErr w:type="spellStart"/>
      <w:r>
        <w:rPr>
          <w:rtl/>
        </w:rPr>
        <w:t>פוברסקי</w:t>
      </w:r>
      <w:proofErr w:type="spellEnd"/>
      <w:r>
        <w:rPr>
          <w:rtl/>
        </w:rPr>
        <w:t xml:space="preserve">, ראש ישיבה בישיבת </w:t>
      </w:r>
      <w:proofErr w:type="spellStart"/>
      <w:r>
        <w:rPr>
          <w:rtl/>
        </w:rPr>
        <w:t>פוניבז</w:t>
      </w:r>
      <w:proofErr w:type="spellEnd"/>
      <w:r>
        <w:rPr>
          <w:rtl/>
        </w:rPr>
        <w:t>׳ שבבני ברק, כשאמר לכמה תלמידים: “אי אפשר לתאר כיום איזו תחושת הישג הייתה לבחור באותם ימים [שלפני מלחמת העולם הראשונה] אם היה מסוגל לכתוב משפט בלשון העברית.”</w:t>
      </w:r>
      <w:bookmarkStart w:id="1473" w:name="_fnr962"/>
      <w:r>
        <w:rPr>
          <w:rStyle w:val="a5"/>
        </w:rPr>
        <w:footnoteReference w:id="965" w:customMarkFollows="0"/>
      </w:r>
      <w:bookmarkEnd w:id="1473"/>
    </w:p>
    <w:p w14:paraId="6E27684D" w14:textId="77777777" w:rsidR="00AB3647" w:rsidRDefault="00000000" w:rsidP="007923E9">
      <w:pPr>
        <w:pStyle w:val="4"/>
        <w:spacing w:line="276" w:lineRule="auto"/>
      </w:pPr>
      <w:r>
        <w:t>· הפסקה השנייה ·</w:t>
      </w:r>
    </w:p>
    <w:p w14:paraId="78D93F84" w14:textId="77777777" w:rsidR="00AB3647" w:rsidRDefault="00000000" w:rsidP="007923E9">
      <w:pPr>
        <w:pStyle w:val="5"/>
        <w:spacing w:line="276" w:lineRule="auto"/>
      </w:pPr>
      <w:r>
        <w:t xml:space="preserve">רבנו מתיר קריאת ספרות חול – לדעתו הקריאה מפתחת את שכלו של הילד – המשכילים מנסים ללכוד אותו ברשתם – הם יוצאים ללכוד את </w:t>
      </w:r>
      <w:proofErr w:type="spellStart"/>
      <w:r>
        <w:t>החפץ־חיים</w:t>
      </w:r>
      <w:proofErr w:type="spellEnd"/>
      <w:r>
        <w:t xml:space="preserve"> בנעוריו</w:t>
      </w:r>
    </w:p>
    <w:p w14:paraId="41669A5F" w14:textId="77777777" w:rsidR="00AB3647" w:rsidRDefault="00000000" w:rsidP="007923E9">
      <w:pPr>
        <w:spacing w:after="120" w:line="276" w:lineRule="auto"/>
        <w:ind w:firstLine="283"/>
        <w:jc w:val="both"/>
      </w:pPr>
      <w:r>
        <w:rPr>
          <w:rtl/>
        </w:rPr>
        <w:t xml:space="preserve">כשנשאל אבי, בהיותו בן שמונים ומעלה, אם מותר להרשות לתלמידים צעירים בישיבה </w:t>
      </w:r>
      <w:proofErr w:type="spellStart"/>
      <w:r>
        <w:rPr>
          <w:rtl/>
        </w:rPr>
        <w:t>במונסי</w:t>
      </w:r>
      <w:proofErr w:type="spellEnd"/>
      <w:r>
        <w:rPr>
          <w:rtl/>
        </w:rPr>
        <w:t xml:space="preserve"> לקרוא ספרות קלה באנגלית (שתעבור את צנזורת הסגל), הסתמך על ניסיונו שלו כדי להוכיח שקריאה כזו אינה מזיקה – בהסתייגות שבשל פסק זה “ייחשב לשמאלני”. הוא הזכיר </w:t>
      </w:r>
      <w:r>
        <w:rPr>
          <w:rtl/>
        </w:rPr>
        <w:lastRenderedPageBreak/>
        <w:t xml:space="preserve">שקרא תרגומים רוסיים של יצירות קלאסיות, כגון סיפורי המדע הבדיוני של </w:t>
      </w:r>
      <w:proofErr w:type="spellStart"/>
      <w:r>
        <w:rPr>
          <w:rtl/>
        </w:rPr>
        <w:t>ז׳ול</w:t>
      </w:r>
      <w:proofErr w:type="spellEnd"/>
      <w:r>
        <w:rPr>
          <w:rtl/>
        </w:rPr>
        <w:t xml:space="preserve"> ורן וסיפורי שרלוק הולמס של סר ארתור קונן </w:t>
      </w:r>
      <w:proofErr w:type="spellStart"/>
      <w:r>
        <w:rPr>
          <w:rtl/>
        </w:rPr>
        <w:t>דויל</w:t>
      </w:r>
      <w:proofErr w:type="spellEnd"/>
      <w:r>
        <w:rPr>
          <w:rtl/>
        </w:rPr>
        <w:t>.</w:t>
      </w:r>
      <w:bookmarkStart w:id="1474" w:name="_fnr963"/>
      <w:r>
        <w:rPr>
          <w:rStyle w:val="a5"/>
        </w:rPr>
        <w:footnoteReference w:id="966" w:customMarkFollows="0"/>
      </w:r>
      <w:bookmarkEnd w:id="1474"/>
      <w:r>
        <w:rPr>
          <w:rtl/>
        </w:rPr>
        <w:t xml:space="preserve"> ועוד הוסיף שהפריצות של החברה והספרות בימינו מחייבת לבדוק בקפידה ספרי חול בני זמננו לפני שמכניסים אותם לרשימת הקריאה המותרת.</w:t>
      </w:r>
    </w:p>
    <w:p w14:paraId="183D0C40" w14:textId="77777777" w:rsidR="00AB3647" w:rsidRDefault="00000000" w:rsidP="007923E9">
      <w:pPr>
        <w:spacing w:after="120" w:line="276" w:lineRule="auto"/>
        <w:ind w:firstLine="283"/>
        <w:jc w:val="both"/>
      </w:pPr>
      <w:r>
        <w:rPr>
          <w:rtl/>
        </w:rPr>
        <w:t xml:space="preserve">מנהל המחלקה הכללית במתיבתא תורה ודעת, ר׳ משה </w:t>
      </w:r>
      <w:proofErr w:type="spellStart"/>
      <w:r>
        <w:rPr>
          <w:rtl/>
        </w:rPr>
        <w:t>לונר</w:t>
      </w:r>
      <w:proofErr w:type="spellEnd"/>
      <w:r>
        <w:rPr>
          <w:rtl/>
        </w:rPr>
        <w:t>, סיפר</w:t>
      </w:r>
      <w:bookmarkStart w:id="1475" w:name="_fnr964"/>
      <w:r>
        <w:rPr>
          <w:rStyle w:val="a5"/>
        </w:rPr>
        <w:footnoteReference w:id="967" w:customMarkFollows="0"/>
      </w:r>
      <w:bookmarkEnd w:id="1475"/>
      <w:r>
        <w:rPr>
          <w:rtl/>
        </w:rPr>
        <w:t xml:space="preserve"> שאבי הציע שהתלמידים ילמדו כמה ממחזותיו של שייקספיר, “משום שבימים קדומים היו פחות התייחסויות לנושאים שאין לחשוף אליהם בחורי ישיבה”, והזכיר שהוא עצמו קרא יצירות קלאסיות אלה ברוסית. אז הוסיף שאל לנו לחשוב שבני התקופה </w:t>
      </w:r>
      <w:proofErr w:type="spellStart"/>
      <w:r>
        <w:rPr>
          <w:rtl/>
        </w:rPr>
        <w:t>האליזבתנית</w:t>
      </w:r>
      <w:proofErr w:type="spellEnd"/>
      <w:r>
        <w:rPr>
          <w:rtl/>
        </w:rPr>
        <w:t xml:space="preserve"> והוויקטוריאנית היו טובים מבני הדורות המאוחרים – “פשוט הייתה אז יותר בושה”.</w:t>
      </w:r>
    </w:p>
    <w:p w14:paraId="790BAFA4" w14:textId="77777777" w:rsidR="00AB3647" w:rsidRDefault="00000000" w:rsidP="007923E9">
      <w:pPr>
        <w:spacing w:after="120" w:line="276" w:lineRule="auto"/>
        <w:ind w:firstLine="283"/>
        <w:jc w:val="both"/>
      </w:pPr>
      <w:r>
        <w:rPr>
          <w:rtl/>
        </w:rPr>
        <w:t>מרואיין אחר, ר׳ אברהם פישמן,</w:t>
      </w:r>
      <w:bookmarkStart w:id="1476" w:name="_fnr965"/>
      <w:r>
        <w:rPr>
          <w:rStyle w:val="a5"/>
        </w:rPr>
        <w:footnoteReference w:id="968" w:customMarkFollows="0"/>
      </w:r>
      <w:bookmarkEnd w:id="1476"/>
      <w:r>
        <w:rPr>
          <w:rtl/>
        </w:rPr>
        <w:t xml:space="preserve"> סיפר ששאל את אבי כיצד להתייחס לילד שהוא קורא נלהב. אבי השיב שבדרך כלל הוא רואה בקריאה בספרים חיצוניים, תחת פיקוח, דבר בריא “מסיבות רבות”, ומנה אותן: משעה שילד נמשך לקריאה, אפשר לנתב אותו לנושאים “כשרים, בפרט בימינו [שיש הרבה חומר קריאה דתי]” – ובלי שקידה בקריאה, גם הספרים הקדושים, להבדיל, היו מוזנחים; הקריאה מרחיבה את אופקיו של הילד; והיא מפתחת את שכלו – “מה רע באגתה כריסטי?” שאל, בשאלה רטורית. הוא הזכיר את מה שקרא בנעוריו, אבל הוסיף: “קראתי הרבה מאוד – ואינני יודע אם מותר.”</w:t>
      </w:r>
    </w:p>
    <w:p w14:paraId="505E0FDA" w14:textId="77777777" w:rsidR="00AB3647" w:rsidRDefault="00000000" w:rsidP="007923E9">
      <w:pPr>
        <w:spacing w:after="120" w:line="276" w:lineRule="auto"/>
        <w:ind w:firstLine="283"/>
        <w:jc w:val="both"/>
      </w:pPr>
      <w:r>
        <w:rPr>
          <w:rtl/>
        </w:rPr>
        <w:t xml:space="preserve">על קריאתו אמר פעם </w:t>
      </w:r>
      <w:proofErr w:type="spellStart"/>
      <w:r>
        <w:rPr>
          <w:rtl/>
        </w:rPr>
        <w:t>לר</w:t>
      </w:r>
      <w:proofErr w:type="spellEnd"/>
      <w:r>
        <w:rPr>
          <w:rtl/>
        </w:rPr>
        <w:t xml:space="preserve">׳ מרדכי שיין </w:t>
      </w:r>
      <w:proofErr w:type="spellStart"/>
      <w:r>
        <w:rPr>
          <w:rtl/>
        </w:rPr>
        <w:t>במונסי</w:t>
      </w:r>
      <w:proofErr w:type="spellEnd"/>
      <w:r>
        <w:rPr>
          <w:rtl/>
        </w:rPr>
        <w:t>:</w:t>
      </w:r>
      <w:bookmarkStart w:id="1477" w:name="_fnr966"/>
      <w:r>
        <w:rPr>
          <w:rStyle w:val="a5"/>
        </w:rPr>
        <w:footnoteReference w:id="969" w:customMarkFollows="0"/>
      </w:r>
      <w:bookmarkEnd w:id="1477"/>
      <w:r>
        <w:rPr>
          <w:rtl/>
        </w:rPr>
        <w:t xml:space="preserve"> “המשכילים </w:t>
      </w:r>
      <w:r>
        <w:rPr>
          <w:b/>
          <w:bCs/>
          <w:rtl/>
        </w:rPr>
        <w:t>רדפו</w:t>
      </w:r>
      <w:r>
        <w:rPr>
          <w:rtl/>
        </w:rPr>
        <w:t xml:space="preserve"> אחריי במינסק. את חטאי אני מזכיר היום:</w:t>
      </w:r>
      <w:bookmarkStart w:id="1478" w:name="_fnr967"/>
      <w:r>
        <w:rPr>
          <w:rStyle w:val="a5"/>
        </w:rPr>
        <w:footnoteReference w:id="970" w:customMarkFollows="0"/>
      </w:r>
      <w:bookmarkEnd w:id="1478"/>
      <w:r>
        <w:rPr>
          <w:rtl/>
        </w:rPr>
        <w:t xml:space="preserve"> אחרי שקראתי את החומר פעם אחת, קראתי אותו פעם שנייה – אז יודעים מי הוא מי ומתענגים עליו, ואז הוא נשאר בראש.”</w:t>
      </w:r>
      <w:bookmarkStart w:id="1479" w:name="_fnr968"/>
      <w:r>
        <w:rPr>
          <w:rStyle w:val="a5"/>
        </w:rPr>
        <w:footnoteReference w:id="971" w:customMarkFollows="0"/>
      </w:r>
      <w:bookmarkEnd w:id="1479"/>
      <w:r>
        <w:rPr>
          <w:rtl/>
        </w:rPr>
        <w:t xml:space="preserve"> אני סבור </w:t>
      </w:r>
      <w:proofErr w:type="spellStart"/>
      <w:r>
        <w:rPr>
          <w:rtl/>
        </w:rPr>
        <w:t>ש“המשכילים</w:t>
      </w:r>
      <w:proofErr w:type="spellEnd"/>
      <w:r>
        <w:rPr>
          <w:rtl/>
        </w:rPr>
        <w:t xml:space="preserve">” </w:t>
      </w:r>
      <w:proofErr w:type="spellStart"/>
      <w:r>
        <w:rPr>
          <w:rtl/>
        </w:rPr>
        <w:t>ש“רדפו</w:t>
      </w:r>
      <w:proofErr w:type="spellEnd"/>
      <w:r>
        <w:rPr>
          <w:rtl/>
        </w:rPr>
        <w:t>” אחריו לא היו זרים, אלא קרוביו: דודו ובני דודו, שבביתם התאכסן באותו זמן, וגם דודתו ראשה (ראה סעיף 3 בפרק זה).</w:t>
      </w:r>
      <w:bookmarkStart w:id="1480" w:name="_fnr969"/>
      <w:r>
        <w:rPr>
          <w:rStyle w:val="a5"/>
        </w:rPr>
        <w:footnoteReference w:id="972" w:customMarkFollows="0"/>
      </w:r>
      <w:bookmarkEnd w:id="1480"/>
    </w:p>
    <w:p w14:paraId="4392FFFA" w14:textId="77777777" w:rsidR="00AB3647" w:rsidRDefault="00000000" w:rsidP="007923E9">
      <w:pPr>
        <w:spacing w:after="120" w:line="276" w:lineRule="auto"/>
        <w:ind w:firstLine="283"/>
        <w:jc w:val="both"/>
      </w:pPr>
      <w:r>
        <w:rPr>
          <w:rtl/>
        </w:rPr>
        <w:t xml:space="preserve">הקורא ימצא עניין בדיווחו של ר׳ אשר </w:t>
      </w:r>
      <w:proofErr w:type="spellStart"/>
      <w:r>
        <w:rPr>
          <w:rtl/>
        </w:rPr>
        <w:t>רבינסקי</w:t>
      </w:r>
      <w:proofErr w:type="spellEnd"/>
      <w:r>
        <w:rPr>
          <w:rtl/>
        </w:rPr>
        <w:t xml:space="preserve">, תלמיד </w:t>
      </w:r>
      <w:proofErr w:type="spellStart"/>
      <w:r>
        <w:rPr>
          <w:rtl/>
        </w:rPr>
        <w:t>בראדין</w:t>
      </w:r>
      <w:proofErr w:type="spellEnd"/>
      <w:r>
        <w:rPr>
          <w:rtl/>
        </w:rPr>
        <w:t xml:space="preserve"> באמצע שנות </w:t>
      </w:r>
      <w:proofErr w:type="spellStart"/>
      <w:r>
        <w:rPr>
          <w:rtl/>
        </w:rPr>
        <w:t>הת״ר־פ</w:t>
      </w:r>
      <w:proofErr w:type="spellEnd"/>
      <w:r>
        <w:rPr>
          <w:rtl/>
        </w:rPr>
        <w:t>׳, בספר “מאיר עיני ישראל”</w:t>
      </w:r>
      <w:bookmarkStart w:id="1481" w:name="_fnr970"/>
      <w:r>
        <w:rPr>
          <w:rStyle w:val="a5"/>
        </w:rPr>
        <w:footnoteReference w:id="973" w:customMarkFollows="0"/>
      </w:r>
      <w:bookmarkEnd w:id="1481"/>
      <w:r>
        <w:rPr>
          <w:rtl/>
        </w:rPr>
        <w:t xml:space="preserve">, על הסכנה המשכילית שעמד מולה </w:t>
      </w:r>
      <w:proofErr w:type="spellStart"/>
      <w:r>
        <w:rPr>
          <w:rtl/>
        </w:rPr>
        <w:t>החפץ־חיים</w:t>
      </w:r>
      <w:proofErr w:type="spellEnd"/>
      <w:r>
        <w:rPr>
          <w:rtl/>
        </w:rPr>
        <w:t xml:space="preserve"> חצי מאה קודם לכן! </w:t>
      </w:r>
      <w:proofErr w:type="spellStart"/>
      <w:r>
        <w:rPr>
          <w:rtl/>
        </w:rPr>
        <w:t>רבינסקי</w:t>
      </w:r>
      <w:proofErr w:type="spellEnd"/>
      <w:r>
        <w:rPr>
          <w:rtl/>
        </w:rPr>
        <w:t xml:space="preserve"> מספר שאחרי שלמד אצל ר׳ </w:t>
      </w:r>
      <w:proofErr w:type="spellStart"/>
      <w:r>
        <w:rPr>
          <w:rtl/>
        </w:rPr>
        <w:t>ברוך־בער</w:t>
      </w:r>
      <w:proofErr w:type="spellEnd"/>
      <w:r>
        <w:rPr>
          <w:rtl/>
        </w:rPr>
        <w:t xml:space="preserve"> </w:t>
      </w:r>
      <w:proofErr w:type="spellStart"/>
      <w:r>
        <w:rPr>
          <w:rtl/>
        </w:rPr>
        <w:t>ליבוביץ</w:t>
      </w:r>
      <w:proofErr w:type="spellEnd"/>
      <w:r>
        <w:rPr>
          <w:rtl/>
        </w:rPr>
        <w:t xml:space="preserve"> בווילנה אחרי מלחמת העולם הראשונה, הגיע </w:t>
      </w:r>
      <w:proofErr w:type="spellStart"/>
      <w:r>
        <w:rPr>
          <w:rtl/>
        </w:rPr>
        <w:t>לראדין</w:t>
      </w:r>
      <w:proofErr w:type="spellEnd"/>
      <w:r>
        <w:rPr>
          <w:rtl/>
        </w:rPr>
        <w:t xml:space="preserve"> לחודש אלול ושמע שיחה של </w:t>
      </w:r>
      <w:proofErr w:type="spellStart"/>
      <w:r>
        <w:rPr>
          <w:rtl/>
        </w:rPr>
        <w:t>החפץ־חיים</w:t>
      </w:r>
      <w:proofErr w:type="spellEnd"/>
      <w:r>
        <w:rPr>
          <w:rtl/>
        </w:rPr>
        <w:t xml:space="preserve">. בשיחה הזכיר </w:t>
      </w:r>
      <w:proofErr w:type="spellStart"/>
      <w:r>
        <w:rPr>
          <w:rtl/>
        </w:rPr>
        <w:t>החפץ־חיים</w:t>
      </w:r>
      <w:proofErr w:type="spellEnd"/>
      <w:r>
        <w:rPr>
          <w:rtl/>
        </w:rPr>
        <w:t xml:space="preserve"> אדם בשם “</w:t>
      </w:r>
      <w:proofErr w:type="spellStart"/>
      <w:r>
        <w:rPr>
          <w:rtl/>
        </w:rPr>
        <w:t>בערקע</w:t>
      </w:r>
      <w:proofErr w:type="spellEnd"/>
      <w:r>
        <w:rPr>
          <w:rtl/>
        </w:rPr>
        <w:t xml:space="preserve"> </w:t>
      </w:r>
      <w:proofErr w:type="spellStart"/>
      <w:r>
        <w:rPr>
          <w:rtl/>
        </w:rPr>
        <w:t>מיכאלישקער</w:t>
      </w:r>
      <w:proofErr w:type="spellEnd"/>
      <w:r>
        <w:rPr>
          <w:rtl/>
        </w:rPr>
        <w:t>” והוסיף את הקללה “</w:t>
      </w:r>
      <w:proofErr w:type="spellStart"/>
      <w:r>
        <w:rPr>
          <w:rtl/>
        </w:rPr>
        <w:t>ימח</w:t>
      </w:r>
      <w:proofErr w:type="spellEnd"/>
      <w:r>
        <w:rPr>
          <w:rtl/>
        </w:rPr>
        <w:t xml:space="preserve"> שמו וזכרו”. </w:t>
      </w:r>
      <w:proofErr w:type="spellStart"/>
      <w:r>
        <w:rPr>
          <w:rtl/>
        </w:rPr>
        <w:t>רבינסקי</w:t>
      </w:r>
      <w:proofErr w:type="spellEnd"/>
      <w:r>
        <w:rPr>
          <w:rtl/>
        </w:rPr>
        <w:t xml:space="preserve"> תמה על כך </w:t>
      </w:r>
      <w:proofErr w:type="spellStart"/>
      <w:r>
        <w:rPr>
          <w:rtl/>
        </w:rPr>
        <w:t>שהחפץ־חיים</w:t>
      </w:r>
      <w:proofErr w:type="spellEnd"/>
      <w:r>
        <w:rPr>
          <w:rtl/>
        </w:rPr>
        <w:t xml:space="preserve"> מדבר כך על יהודי, הביט בשאר התלמידים וראה שאיש מהם לא הזדעזע כמותו.</w:t>
      </w:r>
    </w:p>
    <w:p w14:paraId="7972F53B" w14:textId="77777777" w:rsidR="00AB3647" w:rsidRDefault="00000000" w:rsidP="007923E9">
      <w:pPr>
        <w:spacing w:after="120" w:line="276" w:lineRule="auto"/>
        <w:ind w:firstLine="283"/>
        <w:jc w:val="both"/>
      </w:pPr>
      <w:r>
        <w:rPr>
          <w:rtl/>
        </w:rPr>
        <w:lastRenderedPageBreak/>
        <w:t xml:space="preserve">אחרי שנסתיימה השיחה ניגש לאחד האברכים ושאל מי הוא אותו ארור שהוזכר, וקיבל תשובה: “אינך יודע? זה הסופר המשכיל </w:t>
      </w:r>
      <w:proofErr w:type="spellStart"/>
      <w:r>
        <w:rPr>
          <w:rtl/>
        </w:rPr>
        <w:t>אד״ם</w:t>
      </w:r>
      <w:proofErr w:type="spellEnd"/>
      <w:r>
        <w:rPr>
          <w:rtl/>
        </w:rPr>
        <w:t xml:space="preserve"> הכהן [</w:t>
      </w:r>
      <w:proofErr w:type="spellStart"/>
      <w:r>
        <w:rPr>
          <w:rtl/>
        </w:rPr>
        <w:t>אברהם־דובער</w:t>
      </w:r>
      <w:proofErr w:type="spellEnd"/>
      <w:r>
        <w:rPr>
          <w:rtl/>
        </w:rPr>
        <w:t xml:space="preserve"> (</w:t>
      </w:r>
      <w:proofErr w:type="spellStart"/>
      <w:r>
        <w:rPr>
          <w:rtl/>
        </w:rPr>
        <w:t>לבנזון</w:t>
      </w:r>
      <w:proofErr w:type="spellEnd"/>
      <w:r>
        <w:rPr>
          <w:rtl/>
        </w:rPr>
        <w:t xml:space="preserve">) </w:t>
      </w:r>
      <w:proofErr w:type="spellStart"/>
      <w:r>
        <w:rPr>
          <w:rtl/>
        </w:rPr>
        <w:t>ממיכאלישוק</w:t>
      </w:r>
      <w:proofErr w:type="spellEnd"/>
      <w:r>
        <w:rPr>
          <w:rtl/>
        </w:rPr>
        <w:t xml:space="preserve">], </w:t>
      </w:r>
      <w:proofErr w:type="spellStart"/>
      <w:r>
        <w:rPr>
          <w:rtl/>
        </w:rPr>
        <w:t>והחפץ־חיים</w:t>
      </w:r>
      <w:proofErr w:type="spellEnd"/>
      <w:r>
        <w:rPr>
          <w:rtl/>
        </w:rPr>
        <w:t xml:space="preserve"> מקללו מחדש בכל שנה בזמן הזה.”</w:t>
      </w:r>
    </w:p>
    <w:p w14:paraId="4A36C95A" w14:textId="77777777" w:rsidR="00AB3647" w:rsidRDefault="00000000" w:rsidP="007923E9">
      <w:pPr>
        <w:spacing w:after="120" w:line="276" w:lineRule="auto"/>
        <w:ind w:firstLine="283"/>
        <w:jc w:val="both"/>
      </w:pPr>
      <w:r>
        <w:rPr>
          <w:rtl/>
        </w:rPr>
        <w:t xml:space="preserve">הטעם להנהגה זו היה </w:t>
      </w:r>
      <w:proofErr w:type="spellStart"/>
      <w:r>
        <w:rPr>
          <w:rtl/>
        </w:rPr>
        <w:t>שלבנזון</w:t>
      </w:r>
      <w:proofErr w:type="spellEnd"/>
      <w:r>
        <w:rPr>
          <w:rtl/>
        </w:rPr>
        <w:t xml:space="preserve"> הכיר את </w:t>
      </w:r>
      <w:proofErr w:type="spellStart"/>
      <w:r>
        <w:rPr>
          <w:rtl/>
        </w:rPr>
        <w:t>החפץ־חיים</w:t>
      </w:r>
      <w:proofErr w:type="spellEnd"/>
      <w:r>
        <w:rPr>
          <w:rtl/>
        </w:rPr>
        <w:t xml:space="preserve"> כשזה, יתום צעיר ומבריק, למד לבדו </w:t>
      </w:r>
      <w:proofErr w:type="spellStart"/>
      <w:r>
        <w:rPr>
          <w:rtl/>
        </w:rPr>
        <w:t>בקלויז</w:t>
      </w:r>
      <w:proofErr w:type="spellEnd"/>
      <w:r>
        <w:rPr>
          <w:rtl/>
        </w:rPr>
        <w:t xml:space="preserve"> בווילנה. </w:t>
      </w:r>
      <w:proofErr w:type="spellStart"/>
      <w:r>
        <w:rPr>
          <w:rtl/>
        </w:rPr>
        <w:t>לבנזון</w:t>
      </w:r>
      <w:proofErr w:type="spellEnd"/>
      <w:r>
        <w:rPr>
          <w:rtl/>
        </w:rPr>
        <w:t xml:space="preserve"> בילה שעות בשיחה עמו בניסיון להביא את </w:t>
      </w:r>
      <w:proofErr w:type="spellStart"/>
      <w:r>
        <w:rPr>
          <w:rtl/>
        </w:rPr>
        <w:t>ישראל־מאיר</w:t>
      </w:r>
      <w:proofErr w:type="spellEnd"/>
      <w:r>
        <w:rPr>
          <w:rtl/>
        </w:rPr>
        <w:t xml:space="preserve"> הצעיר להצטרף לבית המדרש לרבנים המשכילי בווילנה,</w:t>
      </w:r>
      <w:bookmarkStart w:id="1482" w:name="_fnr971"/>
      <w:r>
        <w:rPr>
          <w:rStyle w:val="a5"/>
        </w:rPr>
        <w:footnoteReference w:id="974" w:customMarkFollows="0"/>
      </w:r>
      <w:bookmarkEnd w:id="1482"/>
      <w:r>
        <w:rPr>
          <w:rtl/>
        </w:rPr>
        <w:t xml:space="preserve"> </w:t>
      </w:r>
      <w:proofErr w:type="spellStart"/>
      <w:r>
        <w:rPr>
          <w:rtl/>
        </w:rPr>
        <w:t>שלבנזון</w:t>
      </w:r>
      <w:proofErr w:type="spellEnd"/>
      <w:r>
        <w:rPr>
          <w:rtl/>
        </w:rPr>
        <w:t xml:space="preserve"> היה מנהלו</w:t>
      </w:r>
      <w:bookmarkStart w:id="1483" w:name="_fnr972"/>
      <w:bookmarkEnd w:id="1483"/>
      <w:r>
        <w:rPr>
          <w:rStyle w:val="a5"/>
        </w:rPr>
        <w:t/>
      </w:r>
      <w:bookmarkStart w:id="7010" w:name="_TranslatorNote_5378"/>
      <w:r>
        <w:rPr>
          <w:rStyle w:val="a5"/>
          <w:vertAlign w:val="superscript"/>
          <w:rtl/>
        </w:rPr>
        <w:footnoteReference w:id="975" w:customMarkFollows="1"/>
        <w:t>*</w:t>
      </w:r>
      <w:bookmarkEnd w:id="7010"/>
      <w:r>
        <w:rPr>
          <w:rtl/>
        </w:rPr>
        <w:t xml:space="preserve">. אלמלא הזהירו שואב מים שבן שיחו איש רשע ושאין לו לבוא עמו בדברים, אפשר שהנער היה נלכד ברשת. בעקבות הסכנה שניצל ממנה בקושי בווילנה, ברח </w:t>
      </w:r>
      <w:proofErr w:type="spellStart"/>
      <w:r>
        <w:rPr>
          <w:rtl/>
        </w:rPr>
        <w:t>החפץ־חיים</w:t>
      </w:r>
      <w:proofErr w:type="spellEnd"/>
      <w:r>
        <w:rPr>
          <w:rtl/>
        </w:rPr>
        <w:t xml:space="preserve"> מן העיר כליל.</w:t>
      </w:r>
      <w:bookmarkStart w:id="1484" w:name="_fnr973"/>
      <w:r>
        <w:rPr>
          <w:rStyle w:val="a5"/>
        </w:rPr>
        <w:footnoteReference w:id="976" w:customMarkFollows="0"/>
      </w:r>
      <w:bookmarkEnd w:id="1484"/>
    </w:p>
    <w:bookmarkStart w:id="1485" w:name="b2_excC"/>
    <w:p w14:paraId="32D75158" w14:textId="77777777" w:rsidR="00AB3647" w:rsidRDefault="00000000" w:rsidP="007923E9">
      <w:pPr>
        <w:pStyle w:val="3"/>
        <w:spacing w:line="276" w:lineRule="auto"/>
      </w:pPr>
      <w:r>
        <w:lastRenderedPageBreak/>
        <w:fldChar w:fldCharType="begin" w:dirty="true"/>
      </w:r>
      <w:r>
        <w:rPr>
          <w:rtl w:val="0"/>
        </w:rPr>
        <w:instrText>HYPERLINK \l "b2_note54</w:instrText>
      </w:r>
      <w:r>
        <w:instrText>"</w:instrText>
      </w:r>
      <w:r>
        <w:fldChar w:fldCharType="separate"/>
      </w:r>
      <w:r>
        <w:t>נספח ג</w:t>
      </w:r>
      <w:r>
        <w:fldChar w:fldCharType="end"/>
      </w:r>
      <w:bookmarkEnd w:id="1485"/>
    </w:p>
    <w:p w14:paraId="09587A09" w14:textId="77777777" w:rsidR="00AB3647" w:rsidRDefault="00000000" w:rsidP="007923E9">
      <w:pPr>
        <w:pStyle w:val="af"/>
        <w:spacing w:line="276" w:lineRule="auto"/>
      </w:pPr>
      <w:r>
        <w:t xml:space="preserve">על פעולותיו של ר׳ </w:t>
      </w:r>
      <w:proofErr w:type="spellStart"/>
      <w:r>
        <w:t>יהושע׳לה</w:t>
      </w:r>
      <w:proofErr w:type="spellEnd"/>
      <w:r>
        <w:t xml:space="preserve"> </w:t>
      </w:r>
      <w:proofErr w:type="spellStart"/>
      <w:r>
        <w:t>הורודנער</w:t>
      </w:r>
      <w:proofErr w:type="spellEnd"/>
    </w:p>
    <w:p w14:paraId="224E4F50" w14:textId="77777777" w:rsidR="00AB3647" w:rsidRDefault="00000000" w:rsidP="007923E9">
      <w:pPr>
        <w:pStyle w:val="5"/>
        <w:spacing w:line="276" w:lineRule="auto"/>
      </w:pPr>
      <w:r>
        <w:t xml:space="preserve">ר׳ </w:t>
      </w:r>
      <w:proofErr w:type="spellStart"/>
      <w:r>
        <w:t>יהושע׳לה</w:t>
      </w:r>
      <w:proofErr w:type="spellEnd"/>
      <w:r>
        <w:t xml:space="preserve"> מקיים את ישיבתו תחת השלטון הקומוניסטי – הוא ניצל משום שעזר פעם </w:t>
      </w:r>
      <w:proofErr w:type="spellStart"/>
      <w:r>
        <w:t>לאמו</w:t>
      </w:r>
      <w:proofErr w:type="spellEnd"/>
      <w:r>
        <w:t xml:space="preserve"> של ראש המשטרה – הוא מרביץ תורה בעיר – מינסק אינה עוד מרכז תורה</w:t>
      </w:r>
    </w:p>
    <w:p w14:paraId="314571B3" w14:textId="77777777" w:rsidR="00AB3647" w:rsidRDefault="00000000" w:rsidP="007923E9">
      <w:pPr>
        <w:spacing w:after="120" w:line="276" w:lineRule="auto"/>
        <w:ind w:firstLine="283"/>
        <w:jc w:val="both"/>
      </w:pPr>
      <w:r>
        <w:rPr>
          <w:rtl/>
        </w:rPr>
        <w:t xml:space="preserve">ר׳ </w:t>
      </w:r>
      <w:proofErr w:type="spellStart"/>
      <w:r>
        <w:rPr>
          <w:rtl/>
        </w:rPr>
        <w:t>יהושע׳לה</w:t>
      </w:r>
      <w:proofErr w:type="spellEnd"/>
      <w:r>
        <w:rPr>
          <w:rtl/>
        </w:rPr>
        <w:t xml:space="preserve"> </w:t>
      </w:r>
      <w:proofErr w:type="spellStart"/>
      <w:r>
        <w:rPr>
          <w:rtl/>
        </w:rPr>
        <w:t>צימבליסט</w:t>
      </w:r>
      <w:proofErr w:type="spellEnd"/>
      <w:r>
        <w:rPr>
          <w:rtl/>
        </w:rPr>
        <w:t xml:space="preserve"> נולד </w:t>
      </w:r>
      <w:proofErr w:type="spellStart"/>
      <w:r>
        <w:rPr>
          <w:rtl/>
        </w:rPr>
        <w:t>בגרודנא</w:t>
      </w:r>
      <w:proofErr w:type="spellEnd"/>
      <w:r>
        <w:rPr>
          <w:rtl/>
        </w:rPr>
        <w:t xml:space="preserve"> (</w:t>
      </w:r>
      <w:proofErr w:type="spellStart"/>
      <w:r>
        <w:rPr>
          <w:rtl/>
        </w:rPr>
        <w:t>הורודנא</w:t>
      </w:r>
      <w:proofErr w:type="spellEnd"/>
      <w:r>
        <w:rPr>
          <w:rtl/>
        </w:rPr>
        <w:t xml:space="preserve">) – בשנת תרל״ד לפי ר׳ </w:t>
      </w:r>
      <w:proofErr w:type="spellStart"/>
      <w:r>
        <w:rPr>
          <w:rtl/>
        </w:rPr>
        <w:t>חצקל</w:t>
      </w:r>
      <w:proofErr w:type="spellEnd"/>
      <w:r>
        <w:rPr>
          <w:rtl/>
        </w:rPr>
        <w:t xml:space="preserve"> </w:t>
      </w:r>
      <w:proofErr w:type="spellStart"/>
      <w:r>
        <w:rPr>
          <w:rtl/>
        </w:rPr>
        <w:t>סרנא</w:t>
      </w:r>
      <w:proofErr w:type="spellEnd"/>
      <w:r>
        <w:rPr>
          <w:rtl/>
        </w:rPr>
        <w:t>, קרוב רחוק, או בשנת תרל״ז לפי בנו, ר׳ שלמה</w:t>
      </w:r>
      <w:bookmarkStart w:id="1486" w:name="_fnr974"/>
      <w:r>
        <w:rPr>
          <w:rStyle w:val="a5"/>
        </w:rPr>
        <w:footnoteReference w:id="977" w:customMarkFollows="0"/>
      </w:r>
      <w:bookmarkEnd w:id="1486"/>
      <w:r>
        <w:rPr>
          <w:rtl/>
        </w:rPr>
        <w:t xml:space="preserve"> – והיה פעיל בכל מוסדות התורה של מינסק. הוא נשאר ברוסיה תחת הקומוניסטים, והפעיל במחתרת את הישיבה בשול “שואבי מים”. בסוף שנות </w:t>
      </w:r>
      <w:proofErr w:type="spellStart"/>
      <w:r>
        <w:rPr>
          <w:rtl/>
        </w:rPr>
        <w:t>הת״ר־פ</w:t>
      </w:r>
      <w:proofErr w:type="spellEnd"/>
      <w:r>
        <w:rPr>
          <w:rtl/>
        </w:rPr>
        <w:t>׳, כשעוד למדו בישיבה מאה תלמידים והשיעורים נערכו למעלה, בעזרת הנשים, הוצבו למטה שומרים כדי להזהיר את התלמידים להסתיר את ספריהם אם עמדה לבוא פשיטה של המשטרה.</w:t>
      </w:r>
      <w:bookmarkStart w:id="1487" w:name="_fnr975"/>
      <w:r>
        <w:rPr>
          <w:rStyle w:val="a5"/>
        </w:rPr>
        <w:footnoteReference w:id="978" w:customMarkFollows="0"/>
      </w:r>
      <w:bookmarkEnd w:id="1487"/>
    </w:p>
    <w:p w14:paraId="5027BE5D" w14:textId="77777777" w:rsidR="00AB3647" w:rsidRDefault="00000000" w:rsidP="007923E9">
      <w:pPr>
        <w:spacing w:after="120" w:line="276" w:lineRule="auto"/>
        <w:ind w:firstLine="283"/>
        <w:jc w:val="both"/>
      </w:pPr>
      <w:r>
        <w:rPr>
          <w:rtl/>
        </w:rPr>
        <w:t xml:space="preserve">כשהתנאים ללימוד תורה, שהיו קשים, נעשו בלתי אפשריים, נעשה הרב </w:t>
      </w:r>
      <w:proofErr w:type="spellStart"/>
      <w:r>
        <w:rPr>
          <w:rtl/>
        </w:rPr>
        <w:t>צימבליסט</w:t>
      </w:r>
      <w:proofErr w:type="spellEnd"/>
      <w:r>
        <w:rPr>
          <w:rtl/>
        </w:rPr>
        <w:t xml:space="preserve"> לפעיל העיקרי בהברחת בחורי ישיבה אל מעבר לגבול הסמוך, לפולין.</w:t>
      </w:r>
      <w:bookmarkStart w:id="1488" w:name="_fnr976"/>
      <w:r>
        <w:rPr>
          <w:rStyle w:val="a5"/>
        </w:rPr>
        <w:footnoteReference w:id="979" w:customMarkFollows="0"/>
      </w:r>
      <w:bookmarkEnd w:id="1488"/>
      <w:r>
        <w:rPr>
          <w:rtl/>
        </w:rPr>
        <w:t xml:space="preserve"> </w:t>
      </w:r>
      <w:proofErr w:type="spellStart"/>
      <w:r>
        <w:rPr>
          <w:rtl/>
        </w:rPr>
        <w:t>החפץ־חיים</w:t>
      </w:r>
      <w:proofErr w:type="spellEnd"/>
      <w:r>
        <w:rPr>
          <w:rtl/>
        </w:rPr>
        <w:t xml:space="preserve"> פגש את ר׳ </w:t>
      </w:r>
      <w:proofErr w:type="spellStart"/>
      <w:r>
        <w:rPr>
          <w:rtl/>
        </w:rPr>
        <w:t>יהושע׳לה</w:t>
      </w:r>
      <w:proofErr w:type="spellEnd"/>
      <w:r>
        <w:rPr>
          <w:rtl/>
        </w:rPr>
        <w:t xml:space="preserve"> במלחמת העולם הראשונה, כששהה זמן מה במינסק, ובשיחות המוסר שאמר לאחר מכן כינה אותו “עבד ה׳”. </w:t>
      </w:r>
      <w:proofErr w:type="spellStart"/>
      <w:r>
        <w:rPr>
          <w:rtl/>
        </w:rPr>
        <w:t>החפץ־חיים</w:t>
      </w:r>
      <w:proofErr w:type="spellEnd"/>
      <w:r>
        <w:rPr>
          <w:rtl/>
        </w:rPr>
        <w:t xml:space="preserve"> אסר על הרב </w:t>
      </w:r>
      <w:proofErr w:type="spellStart"/>
      <w:r>
        <w:rPr>
          <w:rtl/>
        </w:rPr>
        <w:t>צימבליסט</w:t>
      </w:r>
      <w:proofErr w:type="spellEnd"/>
      <w:r>
        <w:rPr>
          <w:rtl/>
        </w:rPr>
        <w:t xml:space="preserve"> לעזוב את רוסיה עד שתכבה שם אבוקת התורה כליל.</w:t>
      </w:r>
      <w:bookmarkStart w:id="1489" w:name="_fnr977"/>
      <w:r>
        <w:rPr>
          <w:rStyle w:val="a5"/>
        </w:rPr>
        <w:footnoteReference w:id="980" w:customMarkFollows="0"/>
      </w:r>
      <w:bookmarkEnd w:id="1489"/>
    </w:p>
    <w:p w14:paraId="1FBEC390" w14:textId="77777777" w:rsidR="00AB3647" w:rsidRDefault="00000000" w:rsidP="007923E9">
      <w:pPr>
        <w:spacing w:after="120" w:line="276" w:lineRule="auto"/>
        <w:ind w:firstLine="283"/>
        <w:jc w:val="both"/>
      </w:pPr>
      <w:r>
        <w:rPr>
          <w:rtl/>
        </w:rPr>
        <w:t xml:space="preserve">אבי פתח את הסיפור שעמד לספר במילים “אתם, החיים בארצות הברית, אינכם יכולים לתאר לעצמכם מה פירוש ללמד תורה תחת השלטון הקומוניסטי”, ואחר כך סיפר: “התלמידים למדו בסתר, ור׳ </w:t>
      </w:r>
      <w:proofErr w:type="spellStart"/>
      <w:r>
        <w:rPr>
          <w:rtl/>
        </w:rPr>
        <w:t>יהושע׳לה</w:t>
      </w:r>
      <w:proofErr w:type="spellEnd"/>
      <w:r>
        <w:rPr>
          <w:rtl/>
        </w:rPr>
        <w:t xml:space="preserve"> עמד בחוץ, רוחץ את החלונות או מטאטא ומזמר ניגון. אם התקרב מי שנחשד כאיש המשטרה החשאית הסובייטית, היה שינוי הניגון של ר׳ </w:t>
      </w:r>
      <w:proofErr w:type="spellStart"/>
      <w:r>
        <w:rPr>
          <w:rtl/>
        </w:rPr>
        <w:t>יהושע׳לה</w:t>
      </w:r>
      <w:proofErr w:type="spellEnd"/>
      <w:r>
        <w:rPr>
          <w:rtl/>
        </w:rPr>
        <w:t xml:space="preserve"> מאותת לתלמידים לברוח דרך החלונות האחוריים ולהתפזר.” (ר׳ </w:t>
      </w:r>
      <w:proofErr w:type="spellStart"/>
      <w:r>
        <w:rPr>
          <w:rtl/>
        </w:rPr>
        <w:t>כתריאל־דוד</w:t>
      </w:r>
      <w:proofErr w:type="spellEnd"/>
      <w:r>
        <w:rPr>
          <w:rtl/>
        </w:rPr>
        <w:t xml:space="preserve"> קפלין סיפר</w:t>
      </w:r>
      <w:bookmarkStart w:id="1490" w:name="_fnr978"/>
      <w:r>
        <w:rPr>
          <w:rStyle w:val="a5"/>
        </w:rPr>
        <w:footnoteReference w:id="981" w:customMarkFollows="0"/>
      </w:r>
      <w:bookmarkEnd w:id="1490"/>
      <w:r>
        <w:rPr>
          <w:rtl/>
        </w:rPr>
        <w:t xml:space="preserve"> ששמע שהרב </w:t>
      </w:r>
      <w:proofErr w:type="spellStart"/>
      <w:r>
        <w:rPr>
          <w:rtl/>
        </w:rPr>
        <w:t>צימבליסט</w:t>
      </w:r>
      <w:proofErr w:type="spellEnd"/>
      <w:r>
        <w:rPr>
          <w:rtl/>
        </w:rPr>
        <w:t xml:space="preserve"> למד את “דמשק אליעזר”, ספר המרחיב במקורות “ביאור </w:t>
      </w:r>
      <w:proofErr w:type="spellStart"/>
      <w:r>
        <w:rPr>
          <w:rtl/>
        </w:rPr>
        <w:t>הגר״א</w:t>
      </w:r>
      <w:proofErr w:type="spellEnd"/>
      <w:r>
        <w:rPr>
          <w:rtl/>
        </w:rPr>
        <w:t>”, בשעה שעמד על המשמר מחוץ לישיבה.)</w:t>
      </w:r>
    </w:p>
    <w:p w14:paraId="7461339E" w14:textId="77777777" w:rsidR="00AB3647" w:rsidRDefault="00000000" w:rsidP="007923E9">
      <w:pPr>
        <w:spacing w:after="120" w:line="276" w:lineRule="auto"/>
        <w:ind w:firstLine="283"/>
        <w:jc w:val="both"/>
      </w:pPr>
      <w:r>
        <w:rPr>
          <w:rtl/>
        </w:rPr>
        <w:t xml:space="preserve">אבי המשיך: “יום אחד בשנת תרצ״ג קיבל הרב </w:t>
      </w:r>
      <w:proofErr w:type="spellStart"/>
      <w:r>
        <w:rPr>
          <w:rtl/>
        </w:rPr>
        <w:t>צימבליסט</w:t>
      </w:r>
      <w:proofErr w:type="spellEnd"/>
      <w:r>
        <w:rPr>
          <w:rtl/>
        </w:rPr>
        <w:t xml:space="preserve"> פקודה להתייצב במשרדים הראשיים של </w:t>
      </w:r>
      <w:proofErr w:type="spellStart"/>
      <w:r>
        <w:rPr>
          <w:rtl/>
        </w:rPr>
        <w:t>הנ.ק.וו.ד</w:t>
      </w:r>
      <w:proofErr w:type="spellEnd"/>
      <w:r>
        <w:rPr>
          <w:rtl/>
        </w:rPr>
        <w:t xml:space="preserve">. במוסקבה. דבר כזה בישר בדרך כלל ‘דרכון לסיביר’, אם לא גזר דין מוות. כשהגיע לשם ר׳ </w:t>
      </w:r>
      <w:proofErr w:type="spellStart"/>
      <w:r>
        <w:rPr>
          <w:rtl/>
        </w:rPr>
        <w:t>יהושע׳לה</w:t>
      </w:r>
      <w:proofErr w:type="spellEnd"/>
      <w:r>
        <w:rPr>
          <w:rtl/>
        </w:rPr>
        <w:t xml:space="preserve">, נאמר לו להמתין בחדר המתנה כמה שעות – היה זה נוהג קבוע להניח לחשוד להזיע ולהגביר את אימתו – עד שהקצין הראשי קרא לו ואמר: ‘אני יהודי. אני יודע על פעולותיך זמן רב, ויש לנו תיק עליך בגודל כזה.’ הוא פרש את ידיו לרווחה והוציא תיק תפוח כדי להוכיח זאת. ‘האם אתה זוכר את </w:t>
      </w:r>
      <w:proofErr w:type="spellStart"/>
      <w:r>
        <w:rPr>
          <w:rtl/>
        </w:rPr>
        <w:t>חייקה</w:t>
      </w:r>
      <w:proofErr w:type="spellEnd"/>
      <w:r>
        <w:rPr>
          <w:rtl/>
        </w:rPr>
        <w:t xml:space="preserve"> האלמנה מאזור תחנת הרכבת של </w:t>
      </w:r>
      <w:proofErr w:type="spellStart"/>
      <w:r>
        <w:rPr>
          <w:rtl/>
        </w:rPr>
        <w:lastRenderedPageBreak/>
        <w:t>בריסק</w:t>
      </w:r>
      <w:proofErr w:type="spellEnd"/>
      <w:r>
        <w:rPr>
          <w:rtl/>
        </w:rPr>
        <w:t xml:space="preserve">?’ ר׳ </w:t>
      </w:r>
      <w:proofErr w:type="spellStart"/>
      <w:r>
        <w:rPr>
          <w:rtl/>
        </w:rPr>
        <w:t>יהושע׳לה</w:t>
      </w:r>
      <w:proofErr w:type="spellEnd"/>
      <w:r>
        <w:rPr>
          <w:rtl/>
        </w:rPr>
        <w:t xml:space="preserve"> אמר בכנות שאינו זוכר; הוא עשה טובות לאנשים רבים כל כך, שהיה קשה לו לזכור את שמותיהם. ‘אין בכך כלום,’ אמר הקצין, ‘אבל אני בנה. היית מביא לנו בגדים, נעליים ומזון מזמן לזמן. אני זוכר שערב פסח אחד לא היה לנו די אוכל, והיא באה לביתך אחרי שכבר חילקת את כל מה שאספת לעניים. הוצאת מארונך כלי של כסף טהור ונתת לה למכור אותו כדי לקנות צורכי חג. מתוך כבוד והכרת טובה אשמיד את התיק הזה,</w:t>
      </w:r>
      <w:bookmarkStart w:id="1491" w:name="_fnr979"/>
      <w:r>
        <w:rPr>
          <w:rStyle w:val="a5"/>
        </w:rPr>
        <w:footnoteReference w:id="982" w:customMarkFollows="0"/>
      </w:r>
      <w:bookmarkEnd w:id="1491"/>
      <w:r>
        <w:rPr>
          <w:rtl/>
        </w:rPr>
        <w:t xml:space="preserve"> אבל עליך להפסיק את פעולותיך להפצת הדת, כי בעוד חצי שנה אקודם, ולא אוכל להגן עליך מפני מחליפי. העצה הטובה ביותר שאני יכול לתת לך היא שתנסה לצאת מן הארץ לפני שאעזוב את משרתי.’ בתוך שישה חודשים כבר היה הרב </w:t>
      </w:r>
      <w:proofErr w:type="spellStart"/>
      <w:r>
        <w:rPr>
          <w:rtl/>
        </w:rPr>
        <w:t>צימבליסט</w:t>
      </w:r>
      <w:proofErr w:type="spellEnd"/>
      <w:r>
        <w:rPr>
          <w:rtl/>
        </w:rPr>
        <w:t xml:space="preserve"> בארץ ישראל, לאחר שהשיג את אישורי היציאה שלו בעזרת קצין אחר, שאת משפחתו הנזקקת פרנס לפני המהפכה.”</w:t>
      </w:r>
      <w:bookmarkStart w:id="1492" w:name="_fnr980"/>
      <w:bookmarkStart w:id="1493" w:name="pr_f_899"/>
      <w:r>
        <w:rPr>
          <w:rStyle w:val="a5"/>
        </w:rPr>
        <w:footnoteReference w:id="983" w:customMarkFollows="0"/>
      </w:r>
      <w:bookmarkEnd w:id="1492"/>
      <w:bookmarkEnd w:id="1493"/>
    </w:p>
    <w:p w14:paraId="5006191A" w14:textId="77777777" w:rsidR="00AB3647" w:rsidRDefault="00000000" w:rsidP="007923E9">
      <w:pPr>
        <w:spacing w:after="120" w:line="276" w:lineRule="auto"/>
        <w:ind w:firstLine="283"/>
        <w:jc w:val="both"/>
      </w:pPr>
      <w:r>
        <w:rPr>
          <w:rtl/>
        </w:rPr>
        <w:t>לפי “ענבי פתחיה”, מאת משה צבי נריה,</w:t>
      </w:r>
      <w:bookmarkStart w:id="1494" w:name="_fnr981"/>
      <w:r>
        <w:rPr>
          <w:rStyle w:val="a5"/>
        </w:rPr>
        <w:footnoteReference w:id="984" w:customMarkFollows="0"/>
      </w:r>
      <w:bookmarkEnd w:id="1494"/>
      <w:r>
        <w:rPr>
          <w:rtl/>
        </w:rPr>
        <w:t xml:space="preserve"> קצין </w:t>
      </w:r>
      <w:proofErr w:type="spellStart"/>
      <w:r>
        <w:rPr>
          <w:rtl/>
        </w:rPr>
        <w:t>הנ.ק.וו.ד</w:t>
      </w:r>
      <w:proofErr w:type="spellEnd"/>
      <w:r>
        <w:rPr>
          <w:rtl/>
        </w:rPr>
        <w:t xml:space="preserve">. היה מפקד המשטרה קרול ממינסק (לא ממוסקבה). הספר מגלה גם שאחד </w:t>
      </w:r>
      <w:proofErr w:type="spellStart"/>
      <w:r>
        <w:rPr>
          <w:rtl/>
        </w:rPr>
        <w:t>הר״מים</w:t>
      </w:r>
      <w:proofErr w:type="spellEnd"/>
      <w:r>
        <w:rPr>
          <w:rtl/>
        </w:rPr>
        <w:t xml:space="preserve"> העוזרים בשול “שואבי מים” היה ר׳ </w:t>
      </w:r>
      <w:proofErr w:type="spellStart"/>
      <w:r>
        <w:rPr>
          <w:rtl/>
        </w:rPr>
        <w:t>ישראל־יהושע</w:t>
      </w:r>
      <w:proofErr w:type="spellEnd"/>
      <w:r>
        <w:rPr>
          <w:rtl/>
        </w:rPr>
        <w:t xml:space="preserve"> הכהן </w:t>
      </w:r>
      <w:proofErr w:type="spellStart"/>
      <w:r>
        <w:rPr>
          <w:rtl/>
        </w:rPr>
        <w:t>ליבוביץ</w:t>
      </w:r>
      <w:proofErr w:type="spellEnd"/>
      <w:r>
        <w:rPr>
          <w:rtl/>
        </w:rPr>
        <w:t xml:space="preserve">, מגדולי תלמידי </w:t>
      </w:r>
      <w:proofErr w:type="spellStart"/>
      <w:r>
        <w:rPr>
          <w:rtl/>
        </w:rPr>
        <w:t>סלבודקה</w:t>
      </w:r>
      <w:proofErr w:type="spellEnd"/>
      <w:r>
        <w:rPr>
          <w:rtl/>
        </w:rPr>
        <w:t xml:space="preserve">, פליט </w:t>
      </w:r>
      <w:proofErr w:type="spellStart"/>
      <w:r>
        <w:rPr>
          <w:rtl/>
        </w:rPr>
        <w:t>מראגאלע</w:t>
      </w:r>
      <w:proofErr w:type="spellEnd"/>
      <w:r>
        <w:rPr>
          <w:rtl/>
        </w:rPr>
        <w:t xml:space="preserve"> שבליטא, שנשאר במינסק אחרי מלחמת העולם הראשונה. לבסוף הוגלה לסיביר, “ושם אבדו עקבותיו”.</w:t>
      </w:r>
    </w:p>
    <w:p w14:paraId="14FDD915" w14:textId="77777777" w:rsidR="00AB3647" w:rsidRDefault="00000000" w:rsidP="007923E9">
      <w:pPr>
        <w:spacing w:after="120" w:line="276" w:lineRule="auto"/>
        <w:ind w:firstLine="283"/>
        <w:jc w:val="both"/>
      </w:pPr>
      <w:r>
        <w:rPr>
          <w:rtl/>
        </w:rPr>
        <w:t>נריה כותב גם:</w:t>
      </w:r>
      <w:bookmarkStart w:id="1495" w:name="_fnr982"/>
      <w:r>
        <w:rPr>
          <w:rStyle w:val="a5"/>
        </w:rPr>
        <w:footnoteReference w:id="985" w:customMarkFollows="0"/>
      </w:r>
      <w:bookmarkEnd w:id="1495"/>
      <w:r>
        <w:rPr>
          <w:rtl/>
        </w:rPr>
        <w:t xml:space="preserve"> “ר׳ </w:t>
      </w:r>
      <w:proofErr w:type="spellStart"/>
      <w:r>
        <w:rPr>
          <w:rtl/>
        </w:rPr>
        <w:t>יהושע׳לה</w:t>
      </w:r>
      <w:proofErr w:type="spellEnd"/>
      <w:r>
        <w:rPr>
          <w:rtl/>
        </w:rPr>
        <w:t xml:space="preserve"> חשש מאוד שמא תיסגר ישיבתו. יכולתי לחוש בדאגתו בכל בוקר, כשעמדתי סמוך לו בתפילת שחרית; כשאמר את הפסוק ‘אל תגעו </w:t>
      </w:r>
      <w:r>
        <w:rPr>
          <w:b/>
          <w:bCs/>
          <w:rtl/>
        </w:rPr>
        <w:t>במשיחי</w:t>
      </w:r>
      <w:r>
        <w:rPr>
          <w:rtl/>
        </w:rPr>
        <w:t xml:space="preserve"> </w:t>
      </w:r>
      <w:r>
        <w:rPr>
          <w:b/>
          <w:bCs/>
          <w:rtl/>
        </w:rPr>
        <w:t>ובנביאי</w:t>
      </w:r>
      <w:r>
        <w:rPr>
          <w:rtl/>
        </w:rPr>
        <w:t xml:space="preserve"> אל תרעו’</w:t>
      </w:r>
      <w:bookmarkStart w:id="1496" w:name="_fnr983"/>
      <w:r>
        <w:rPr>
          <w:rStyle w:val="a5"/>
        </w:rPr>
        <w:footnoteReference w:id="986" w:customMarkFollows="0"/>
      </w:r>
      <w:bookmarkEnd w:id="1496"/>
      <w:r>
        <w:rPr>
          <w:rtl/>
        </w:rPr>
        <w:t xml:space="preserve"> היה מוסיף ברטט את פירוש חז״ל למילים המודגשות,</w:t>
      </w:r>
      <w:bookmarkStart w:id="1497" w:name="_fnr984"/>
      <w:r>
        <w:rPr>
          <w:rStyle w:val="a5"/>
        </w:rPr>
        <w:footnoteReference w:id="987" w:customMarkFollows="0"/>
      </w:r>
      <w:bookmarkEnd w:id="1497"/>
      <w:r>
        <w:rPr>
          <w:rtl/>
        </w:rPr>
        <w:t xml:space="preserve"> לאמור: </w:t>
      </w:r>
      <w:r>
        <w:rPr>
          <w:b/>
          <w:bCs/>
          <w:rtl/>
        </w:rPr>
        <w:t>משיחי</w:t>
      </w:r>
      <w:r>
        <w:rPr>
          <w:rtl/>
        </w:rPr>
        <w:t xml:space="preserve"> אלו תינוקות של בית רבן, ו</w:t>
      </w:r>
      <w:r>
        <w:rPr>
          <w:b/>
          <w:bCs/>
          <w:rtl/>
        </w:rPr>
        <w:t>נביאי</w:t>
      </w:r>
      <w:r>
        <w:rPr>
          <w:rtl/>
        </w:rPr>
        <w:t xml:space="preserve"> אלו תלמידי חכמים.”</w:t>
      </w:r>
    </w:p>
    <w:p w14:paraId="697DBDEA" w14:textId="77777777" w:rsidR="00AB3647" w:rsidRDefault="00000000" w:rsidP="007923E9">
      <w:pPr>
        <w:spacing w:after="120" w:line="276" w:lineRule="auto"/>
        <w:ind w:firstLine="283"/>
        <w:jc w:val="both"/>
      </w:pPr>
      <w:r>
        <w:rPr>
          <w:rtl/>
        </w:rPr>
        <w:t xml:space="preserve">“ענבי פתחיה” רושם: “העובדה שלא פגעו בישיבה נטעה בר׳ </w:t>
      </w:r>
      <w:proofErr w:type="spellStart"/>
      <w:r>
        <w:rPr>
          <w:rtl/>
        </w:rPr>
        <w:t>יהושע׳לה</w:t>
      </w:r>
      <w:proofErr w:type="spellEnd"/>
      <w:r>
        <w:rPr>
          <w:rtl/>
        </w:rPr>
        <w:t xml:space="preserve"> אומץ להקים סניף לשלושים עד ארבעים תלמידים בני </w:t>
      </w:r>
      <w:proofErr w:type="spellStart"/>
      <w:r>
        <w:rPr>
          <w:rtl/>
        </w:rPr>
        <w:t>ארבע־עשרה</w:t>
      </w:r>
      <w:proofErr w:type="spellEnd"/>
      <w:r>
        <w:rPr>
          <w:rtl/>
        </w:rPr>
        <w:t xml:space="preserve"> </w:t>
      </w:r>
      <w:proofErr w:type="spellStart"/>
      <w:r>
        <w:rPr>
          <w:rtl/>
        </w:rPr>
        <w:t>וחמש־עשרה</w:t>
      </w:r>
      <w:proofErr w:type="spellEnd"/>
      <w:r>
        <w:rPr>
          <w:rtl/>
        </w:rPr>
        <w:t xml:space="preserve"> בעזרת הנשים של שול אחר, ‘החדר של ר׳ איסר’,</w:t>
      </w:r>
      <w:bookmarkStart w:id="1498" w:name="_fnr985"/>
      <w:r>
        <w:rPr>
          <w:rStyle w:val="a5"/>
        </w:rPr>
        <w:footnoteReference w:id="988" w:customMarkFollows="0"/>
      </w:r>
      <w:bookmarkEnd w:id="1498"/>
      <w:r>
        <w:rPr>
          <w:rtl/>
        </w:rPr>
        <w:t xml:space="preserve"> ובשנים תרפ״ח–תר״צ העז להפעיל קיבוץ מצוין של בחורים בני </w:t>
      </w:r>
      <w:proofErr w:type="spellStart"/>
      <w:r>
        <w:rPr>
          <w:rtl/>
        </w:rPr>
        <w:t>שבע־עשרה</w:t>
      </w:r>
      <w:proofErr w:type="spellEnd"/>
      <w:r>
        <w:rPr>
          <w:rtl/>
        </w:rPr>
        <w:t xml:space="preserve"> עד עשרים בשול ‘משכיל לאיתן’,</w:t>
      </w:r>
      <w:bookmarkStart w:id="1499" w:name="_fnr986"/>
      <w:r>
        <w:rPr>
          <w:rStyle w:val="a5"/>
        </w:rPr>
        <w:footnoteReference w:id="989" w:customMarkFollows="0"/>
      </w:r>
      <w:bookmarkEnd w:id="1499"/>
      <w:r>
        <w:rPr>
          <w:rtl/>
        </w:rPr>
        <w:t xml:space="preserve"> ואמרו להם שיעורים כלליים הלמדנים המצוינים ר׳ שמעון ירחי ור׳ </w:t>
      </w:r>
      <w:proofErr w:type="spellStart"/>
      <w:r>
        <w:rPr>
          <w:rtl/>
        </w:rPr>
        <w:t>אברהם־אליהו</w:t>
      </w:r>
      <w:proofErr w:type="spellEnd"/>
      <w:r>
        <w:rPr>
          <w:rtl/>
        </w:rPr>
        <w:t xml:space="preserve"> </w:t>
      </w:r>
      <w:proofErr w:type="spellStart"/>
      <w:r>
        <w:rPr>
          <w:rtl/>
        </w:rPr>
        <w:t>מייזעס</w:t>
      </w:r>
      <w:proofErr w:type="spellEnd"/>
      <w:r>
        <w:rPr>
          <w:rtl/>
        </w:rPr>
        <w:t>.” מחבר “ענבי פתחיה” היה אחד התלמידים שם, והוא עלה לארץ ישראל בשנת תר״צ.</w:t>
      </w:r>
    </w:p>
    <w:p w14:paraId="17EB9832" w14:textId="77777777" w:rsidR="00AB3647" w:rsidRDefault="00000000" w:rsidP="007923E9">
      <w:pPr>
        <w:spacing w:after="120" w:line="276" w:lineRule="auto"/>
        <w:ind w:firstLine="283"/>
        <w:jc w:val="both"/>
      </w:pPr>
      <w:r>
        <w:rPr>
          <w:rtl/>
        </w:rPr>
        <w:lastRenderedPageBreak/>
        <w:t>“אבל הצרות גברו,” סיים אבי את סיפורו, “וקם הכורת,</w:t>
      </w:r>
      <w:bookmarkStart w:id="1500" w:name="_fnr987"/>
      <w:r>
        <w:rPr>
          <w:rStyle w:val="a5"/>
        </w:rPr>
        <w:footnoteReference w:id="990" w:customMarkFollows="0"/>
      </w:r>
      <w:bookmarkEnd w:id="1500"/>
      <w:r>
        <w:rPr>
          <w:rtl/>
        </w:rPr>
        <w:t xml:space="preserve"> שהיה המשטר הקומוניסטי, על כל מקומות התורה האלה. ונדם קול התורה במינסק רבתי, הקהילה הקדושה </w:t>
      </w:r>
      <w:proofErr w:type="spellStart"/>
      <w:r>
        <w:rPr>
          <w:rtl/>
        </w:rPr>
        <w:t>ש‘מימיהן</w:t>
      </w:r>
      <w:proofErr w:type="spellEnd"/>
      <w:r>
        <w:rPr>
          <w:rtl/>
        </w:rPr>
        <w:t xml:space="preserve"> של אבותינו לא פרשה ישיבה מהן׳.”</w:t>
      </w:r>
      <w:bookmarkStart w:id="1501" w:name="_fnr988"/>
      <w:r>
        <w:rPr>
          <w:rStyle w:val="a5"/>
        </w:rPr>
        <w:footnoteReference w:id="991" w:customMarkFollows="0"/>
      </w:r>
      <w:bookmarkEnd w:id="1501"/>
      <w:r>
        <w:rPr>
          <w:rtl/>
        </w:rPr>
        <w:t xml:space="preserve"> ר׳ </w:t>
      </w:r>
      <w:proofErr w:type="spellStart"/>
      <w:r>
        <w:rPr>
          <w:rtl/>
        </w:rPr>
        <w:t>יהושע׳לה</w:t>
      </w:r>
      <w:proofErr w:type="spellEnd"/>
      <w:r>
        <w:rPr>
          <w:rtl/>
        </w:rPr>
        <w:t xml:space="preserve"> נפטר בירושלים בתחילת שנת תש״ח.</w:t>
      </w:r>
    </w:p>
    <w:bookmarkStart w:id="1502" w:name="b2_excD"/>
    <w:p w14:paraId="443A7601" w14:textId="77777777" w:rsidR="00AB3647" w:rsidRDefault="00000000" w:rsidP="007923E9">
      <w:pPr>
        <w:pStyle w:val="3"/>
        <w:spacing w:line="276" w:lineRule="auto"/>
      </w:pPr>
      <w:r>
        <w:lastRenderedPageBreak/>
        <w:fldChar w:fldCharType="begin" w:dirty="true"/>
      </w:r>
      <w:r>
        <w:rPr>
          <w:rtl w:val="0"/>
        </w:rPr>
        <w:instrText>HYPERLINK \l "b2_note71</w:instrText>
      </w:r>
      <w:r>
        <w:instrText>"</w:instrText>
      </w:r>
      <w:r>
        <w:fldChar w:fldCharType="separate"/>
      </w:r>
      <w:r>
        <w:t>נספח ד</w:t>
      </w:r>
      <w:r>
        <w:fldChar w:fldCharType="end"/>
      </w:r>
      <w:bookmarkEnd w:id="1502"/>
    </w:p>
    <w:p w14:paraId="11CDD4EA" w14:textId="77777777" w:rsidR="00AB3647" w:rsidRDefault="00000000" w:rsidP="007923E9">
      <w:pPr>
        <w:pStyle w:val="af"/>
        <w:spacing w:line="276" w:lineRule="auto"/>
      </w:pPr>
      <w:r>
        <w:t>על הישיבות שבהן למד ר׳ אהרן קוטלר בילדותו</w:t>
      </w:r>
    </w:p>
    <w:p w14:paraId="206DD29A" w14:textId="77777777" w:rsidR="00AB3647" w:rsidRDefault="00000000" w:rsidP="007923E9">
      <w:pPr>
        <w:pStyle w:val="5"/>
        <w:spacing w:line="276" w:lineRule="auto"/>
      </w:pPr>
      <w:r>
        <w:t xml:space="preserve">תולדות ילדותו של ר׳ אהרן כפי שנדפסו אינן מדויקות – הוא לומד אצל ר׳ </w:t>
      </w:r>
      <w:proofErr w:type="spellStart"/>
      <w:r>
        <w:t>ברוך־בער</w:t>
      </w:r>
      <w:proofErr w:type="spellEnd"/>
      <w:r>
        <w:t xml:space="preserve"> </w:t>
      </w:r>
      <w:proofErr w:type="spellStart"/>
      <w:r>
        <w:t>בסלבודקה</w:t>
      </w:r>
      <w:proofErr w:type="spellEnd"/>
      <w:r>
        <w:t xml:space="preserve"> – הוא שוהה זמן מה במינסק לפני שהוא חוזר </w:t>
      </w:r>
      <w:proofErr w:type="spellStart"/>
      <w:r>
        <w:t>לסלבודקה</w:t>
      </w:r>
      <w:proofErr w:type="spellEnd"/>
      <w:r>
        <w:t xml:space="preserve"> – המקומות המדויקים שבהם למד – קשריו עם ר׳ </w:t>
      </w:r>
      <w:proofErr w:type="spellStart"/>
      <w:r>
        <w:t>יחיאל־יעקב</w:t>
      </w:r>
      <w:proofErr w:type="spellEnd"/>
      <w:r>
        <w:t xml:space="preserve"> ויינברג</w:t>
      </w:r>
    </w:p>
    <w:p w14:paraId="30351D43" w14:textId="77777777" w:rsidR="00AB3647" w:rsidRDefault="00000000" w:rsidP="007923E9">
      <w:pPr>
        <w:spacing w:after="120" w:line="276" w:lineRule="auto"/>
        <w:ind w:firstLine="283"/>
        <w:jc w:val="both"/>
      </w:pPr>
      <w:r>
        <w:rPr>
          <w:rtl/>
        </w:rPr>
        <w:t xml:space="preserve">הפרטים על הזמן שבו התייתם ר׳ אהרן קוטלר ועל המקומות שבהם למד בשנותיו הראשונות, כפי שאישרו אותם נכדיו, נרשמו </w:t>
      </w:r>
      <w:proofErr w:type="spellStart"/>
      <w:r>
        <w:rPr>
          <w:rtl/>
        </w:rPr>
        <w:t>ב“אוסף</w:t>
      </w:r>
      <w:proofErr w:type="spellEnd"/>
      <w:r>
        <w:rPr>
          <w:rtl/>
        </w:rPr>
        <w:t xml:space="preserve"> חידושי תורה ממרן </w:t>
      </w:r>
      <w:proofErr w:type="spellStart"/>
      <w:r>
        <w:rPr>
          <w:rtl/>
        </w:rPr>
        <w:t>הגר״א</w:t>
      </w:r>
      <w:proofErr w:type="spellEnd"/>
      <w:r>
        <w:rPr>
          <w:rtl/>
        </w:rPr>
        <w:t xml:space="preserve"> קוטלר”.</w:t>
      </w:r>
      <w:bookmarkStart w:id="1503" w:name="_fnr989"/>
      <w:r>
        <w:rPr>
          <w:rStyle w:val="a5"/>
        </w:rPr>
        <w:footnoteReference w:id="992" w:customMarkFollows="0"/>
      </w:r>
      <w:bookmarkEnd w:id="1503"/>
      <w:r>
        <w:rPr>
          <w:rtl/>
        </w:rPr>
        <w:t xml:space="preserve"> אבל כמה מן הפרטים שם אינם נכונים, כלומר: (1) שהיה בן תשע כשהתייתם מאביו; (2) שלמד אצל ר׳ </w:t>
      </w:r>
      <w:proofErr w:type="spellStart"/>
      <w:r>
        <w:rPr>
          <w:rtl/>
        </w:rPr>
        <w:t>זלמן־סנדר</w:t>
      </w:r>
      <w:proofErr w:type="spellEnd"/>
      <w:r>
        <w:rPr>
          <w:rtl/>
        </w:rPr>
        <w:t xml:space="preserve"> </w:t>
      </w:r>
      <w:proofErr w:type="spellStart"/>
      <w:r>
        <w:rPr>
          <w:rtl/>
        </w:rPr>
        <w:t>כהנא־שפירא</w:t>
      </w:r>
      <w:proofErr w:type="spellEnd"/>
      <w:r>
        <w:rPr>
          <w:rtl/>
        </w:rPr>
        <w:t xml:space="preserve"> </w:t>
      </w:r>
      <w:proofErr w:type="spellStart"/>
      <w:r>
        <w:rPr>
          <w:rtl/>
        </w:rPr>
        <w:t>בקרינק</w:t>
      </w:r>
      <w:proofErr w:type="spellEnd"/>
      <w:r>
        <w:rPr>
          <w:rtl/>
        </w:rPr>
        <w:t xml:space="preserve"> “בערך מגיל עשר, אחרי שהתייתם, כשנתיים ימים”; (3) </w:t>
      </w:r>
      <w:proofErr w:type="spellStart"/>
      <w:r>
        <w:rPr>
          <w:rtl/>
        </w:rPr>
        <w:t>ש“נכנס</w:t>
      </w:r>
      <w:proofErr w:type="spellEnd"/>
      <w:r>
        <w:rPr>
          <w:rtl/>
        </w:rPr>
        <w:t xml:space="preserve"> ל</w:t>
      </w:r>
      <w:r>
        <w:rPr>
          <w:b/>
          <w:bCs/>
          <w:rtl/>
        </w:rPr>
        <w:t>ישיבת כנסת ישראל</w:t>
      </w:r>
      <w:r>
        <w:rPr>
          <w:rtl/>
        </w:rPr>
        <w:t xml:space="preserve"> </w:t>
      </w:r>
      <w:proofErr w:type="spellStart"/>
      <w:r>
        <w:rPr>
          <w:rtl/>
        </w:rPr>
        <w:t>בסלבודקה</w:t>
      </w:r>
      <w:proofErr w:type="spellEnd"/>
      <w:r>
        <w:rPr>
          <w:rtl/>
        </w:rPr>
        <w:t xml:space="preserve"> [ההדגשה שלי] כשהיה רק כבן </w:t>
      </w:r>
      <w:proofErr w:type="spellStart"/>
      <w:r>
        <w:rPr>
          <w:rtl/>
        </w:rPr>
        <w:t>שתים־עשרה</w:t>
      </w:r>
      <w:proofErr w:type="spellEnd"/>
      <w:r>
        <w:rPr>
          <w:rtl/>
        </w:rPr>
        <w:t>!”.</w:t>
      </w:r>
      <w:bookmarkStart w:id="1504" w:name="_fnr990"/>
      <w:r>
        <w:rPr>
          <w:rStyle w:val="a5"/>
        </w:rPr>
        <w:footnoteReference w:id="993" w:customMarkFollows="0"/>
      </w:r>
      <w:bookmarkEnd w:id="1504"/>
    </w:p>
    <w:p w14:paraId="00B0597A" w14:textId="77777777" w:rsidR="00AB3647" w:rsidRDefault="00000000" w:rsidP="007923E9">
      <w:pPr>
        <w:spacing w:after="120" w:line="276" w:lineRule="auto"/>
        <w:ind w:firstLine="283"/>
        <w:jc w:val="both"/>
      </w:pPr>
      <w:r>
        <w:rPr>
          <w:rtl/>
        </w:rPr>
        <w:t>(1) ר׳ אהרן ודאי היה צעיר מאבי בעשרה חודשים בלבד, כפי שהעיד אבי פעמים רבות, ויום פטירתו של אביו של ר׳ אהרן היה כ״ד באב תרס״ג</w:t>
      </w:r>
      <w:bookmarkStart w:id="1505" w:name="_fnr991"/>
      <w:r>
        <w:rPr>
          <w:rStyle w:val="a5"/>
        </w:rPr>
        <w:footnoteReference w:id="994" w:customMarkFollows="0"/>
      </w:r>
      <w:bookmarkEnd w:id="1505"/>
      <w:r>
        <w:rPr>
          <w:rtl/>
        </w:rPr>
        <w:t xml:space="preserve">; אם כן, היה בן יותר </w:t>
      </w:r>
      <w:proofErr w:type="spellStart"/>
      <w:r>
        <w:rPr>
          <w:rtl/>
        </w:rPr>
        <w:t>מאחת־עשרה</w:t>
      </w:r>
      <w:proofErr w:type="spellEnd"/>
      <w:r>
        <w:rPr>
          <w:rtl/>
        </w:rPr>
        <w:t xml:space="preserve"> וחצי כשהתייתם. (2) לא ייתכן שהיה רק בן עשר כשנשלח ללמוד </w:t>
      </w:r>
      <w:proofErr w:type="spellStart"/>
      <w:r>
        <w:rPr>
          <w:rtl/>
        </w:rPr>
        <w:t>בקרינק</w:t>
      </w:r>
      <w:proofErr w:type="spellEnd"/>
      <w:r>
        <w:rPr>
          <w:rtl/>
        </w:rPr>
        <w:t xml:space="preserve">, שכן לא זו בלבד שאביו עדיין היה בחיים כשהגיע לגיל זה, אלא שר׳ </w:t>
      </w:r>
      <w:proofErr w:type="spellStart"/>
      <w:r>
        <w:rPr>
          <w:rtl/>
        </w:rPr>
        <w:t>זלמן־סנדר</w:t>
      </w:r>
      <w:proofErr w:type="spellEnd"/>
      <w:r>
        <w:rPr>
          <w:rtl/>
        </w:rPr>
        <w:t xml:space="preserve"> בא </w:t>
      </w:r>
      <w:proofErr w:type="spellStart"/>
      <w:r>
        <w:rPr>
          <w:rtl/>
        </w:rPr>
        <w:t>לקרינק</w:t>
      </w:r>
      <w:proofErr w:type="spellEnd"/>
      <w:r>
        <w:rPr>
          <w:rtl/>
        </w:rPr>
        <w:t xml:space="preserve"> (</w:t>
      </w:r>
      <w:proofErr w:type="spellStart"/>
      <w:r>
        <w:rPr>
          <w:rtl/>
        </w:rPr>
        <w:t>ממאלטש</w:t>
      </w:r>
      <w:proofErr w:type="spellEnd"/>
      <w:r>
        <w:rPr>
          <w:rtl/>
        </w:rPr>
        <w:t>) רק בסוף חורף תרס״ג,</w:t>
      </w:r>
      <w:bookmarkStart w:id="1506" w:name="_fnr992"/>
      <w:r>
        <w:rPr>
          <w:rStyle w:val="a5"/>
        </w:rPr>
        <w:footnoteReference w:id="995" w:customMarkFollows="0"/>
      </w:r>
      <w:bookmarkEnd w:id="1506"/>
      <w:r>
        <w:rPr>
          <w:rtl/>
        </w:rPr>
        <w:t xml:space="preserve"> אחרי שכבר מלאו לנער </w:t>
      </w:r>
      <w:proofErr w:type="spellStart"/>
      <w:r>
        <w:rPr>
          <w:rtl/>
        </w:rPr>
        <w:t>אחת־עשרה</w:t>
      </w:r>
      <w:proofErr w:type="spellEnd"/>
      <w:r>
        <w:rPr>
          <w:rtl/>
        </w:rPr>
        <w:t xml:space="preserve">. (3) לכנסת ישראל </w:t>
      </w:r>
      <w:proofErr w:type="spellStart"/>
      <w:r>
        <w:rPr>
          <w:rtl/>
        </w:rPr>
        <w:t>שבסלבודקה</w:t>
      </w:r>
      <w:proofErr w:type="spellEnd"/>
      <w:r>
        <w:rPr>
          <w:rtl/>
        </w:rPr>
        <w:t xml:space="preserve"> הצטרף לראשונה רק כשהיה כבר בן </w:t>
      </w:r>
      <w:proofErr w:type="spellStart"/>
      <w:r>
        <w:rPr>
          <w:rtl/>
        </w:rPr>
        <w:t>ארבע־עשרה</w:t>
      </w:r>
      <w:proofErr w:type="spellEnd"/>
      <w:r>
        <w:rPr>
          <w:rtl/>
        </w:rPr>
        <w:t>, ונסע לשם באותה רכבת עם אבי.</w:t>
      </w:r>
      <w:bookmarkStart w:id="1507" w:name="_fnr993"/>
      <w:r>
        <w:rPr>
          <w:rStyle w:val="a5"/>
        </w:rPr>
        <w:footnoteReference w:id="996" w:customMarkFollows="0"/>
      </w:r>
      <w:bookmarkEnd w:id="1507"/>
      <w:r>
        <w:rPr>
          <w:rtl/>
        </w:rPr>
        <w:t xml:space="preserve"> טעות נוספת בפרטי תולדותיו </w:t>
      </w:r>
      <w:proofErr w:type="spellStart"/>
      <w:r>
        <w:rPr>
          <w:rtl/>
        </w:rPr>
        <w:t>שב“אוסף</w:t>
      </w:r>
      <w:proofErr w:type="spellEnd"/>
      <w:r>
        <w:rPr>
          <w:rtl/>
        </w:rPr>
        <w:t xml:space="preserve"> חידושי תורה ממרן </w:t>
      </w:r>
      <w:proofErr w:type="spellStart"/>
      <w:r>
        <w:rPr>
          <w:rtl/>
        </w:rPr>
        <w:t>הגר״א</w:t>
      </w:r>
      <w:proofErr w:type="spellEnd"/>
      <w:r>
        <w:rPr>
          <w:rtl/>
        </w:rPr>
        <w:t xml:space="preserve"> קוטלר” היא השמטת שהותו של ר׳ אהרן בשול </w:t>
      </w:r>
      <w:proofErr w:type="spellStart"/>
      <w:r>
        <w:rPr>
          <w:rtl/>
        </w:rPr>
        <w:t>הקצבים</w:t>
      </w:r>
      <w:proofErr w:type="spellEnd"/>
      <w:r>
        <w:rPr>
          <w:rtl/>
        </w:rPr>
        <w:t xml:space="preserve"> במינסק (יחד עם רבנו).</w:t>
      </w:r>
    </w:p>
    <w:p w14:paraId="08655166" w14:textId="77777777" w:rsidR="00AB3647" w:rsidRDefault="00000000" w:rsidP="007923E9">
      <w:pPr>
        <w:spacing w:after="120" w:line="276" w:lineRule="auto"/>
        <w:ind w:firstLine="283"/>
        <w:jc w:val="both"/>
      </w:pPr>
      <w:r>
        <w:rPr>
          <w:rtl/>
        </w:rPr>
        <w:t xml:space="preserve">אף על פי כן, הגיל הצעיר שבו עזב את </w:t>
      </w:r>
      <w:proofErr w:type="spellStart"/>
      <w:r>
        <w:rPr>
          <w:rtl/>
        </w:rPr>
        <w:t>קרינק</w:t>
      </w:r>
      <w:proofErr w:type="spellEnd"/>
      <w:r>
        <w:rPr>
          <w:rtl/>
        </w:rPr>
        <w:t xml:space="preserve"> ועבר ללמוד במקום אחר משקף מסורת משפחתית נכונה, אלא שלא לכנסת ישראל </w:t>
      </w:r>
      <w:proofErr w:type="spellStart"/>
      <w:r>
        <w:rPr>
          <w:rtl/>
        </w:rPr>
        <w:t>שבסלבודקה</w:t>
      </w:r>
      <w:proofErr w:type="spellEnd"/>
      <w:r>
        <w:rPr>
          <w:rtl/>
        </w:rPr>
        <w:t xml:space="preserve"> עבר, כי אם ל</w:t>
      </w:r>
      <w:r>
        <w:rPr>
          <w:b/>
          <w:bCs/>
          <w:rtl/>
        </w:rPr>
        <w:t>כנסת בית יצחק</w:t>
      </w:r>
      <w:r>
        <w:rPr>
          <w:rtl/>
        </w:rPr>
        <w:t>.</w:t>
      </w:r>
      <w:bookmarkStart w:id="1508" w:name="_fnr994"/>
      <w:r>
        <w:rPr>
          <w:rStyle w:val="a5"/>
        </w:rPr>
        <w:footnoteReference w:id="997" w:customMarkFollows="0"/>
      </w:r>
      <w:bookmarkEnd w:id="1508"/>
      <w:r>
        <w:rPr>
          <w:rtl/>
        </w:rPr>
        <w:t xml:space="preserve"> כשתיאר אבי את נסיעתו </w:t>
      </w:r>
      <w:proofErr w:type="spellStart"/>
      <w:r>
        <w:rPr>
          <w:rtl/>
        </w:rPr>
        <w:t>לסלבודקה</w:t>
      </w:r>
      <w:proofErr w:type="spellEnd"/>
      <w:r>
        <w:rPr>
          <w:rtl/>
        </w:rPr>
        <w:t xml:space="preserve"> יחד עם ר׳ אהרן,</w:t>
      </w:r>
      <w:bookmarkStart w:id="1509" w:name="_fnr995"/>
      <w:r>
        <w:rPr>
          <w:rStyle w:val="a5"/>
        </w:rPr>
        <w:footnoteReference w:id="998" w:customMarkFollows="0"/>
      </w:r>
      <w:bookmarkEnd w:id="1509"/>
      <w:r>
        <w:rPr>
          <w:rtl/>
        </w:rPr>
        <w:t xml:space="preserve"> אמר: “לפני השנה שעשה עמי במינסק למד ר׳ אהרן </w:t>
      </w:r>
      <w:proofErr w:type="spellStart"/>
      <w:r>
        <w:rPr>
          <w:rtl/>
        </w:rPr>
        <w:t>בסלבודקה</w:t>
      </w:r>
      <w:proofErr w:type="spellEnd"/>
      <w:r>
        <w:rPr>
          <w:rtl/>
        </w:rPr>
        <w:t xml:space="preserve"> – לא בישיבת הסבא, שאליה נסענו עתה, אלא בישיבה האחרת, אצל ר׳ </w:t>
      </w:r>
      <w:proofErr w:type="spellStart"/>
      <w:r>
        <w:rPr>
          <w:rtl/>
        </w:rPr>
        <w:t>ברוך־בער</w:t>
      </w:r>
      <w:proofErr w:type="spellEnd"/>
      <w:r>
        <w:rPr>
          <w:rtl/>
        </w:rPr>
        <w:t xml:space="preserve">. שם נעשה בר מצווה לפני </w:t>
      </w:r>
      <w:r>
        <w:rPr>
          <w:b/>
          <w:bCs/>
          <w:rtl/>
        </w:rPr>
        <w:t>שבא למינסק</w:t>
      </w:r>
      <w:r>
        <w:rPr>
          <w:rtl/>
        </w:rPr>
        <w:t>”.</w:t>
      </w:r>
    </w:p>
    <w:p w14:paraId="31F072C0" w14:textId="758DD03C" w:rsidR="00AB3647" w:rsidRDefault="00000000" w:rsidP="007923E9">
      <w:pPr>
        <w:spacing w:after="120" w:line="276" w:lineRule="auto"/>
        <w:ind w:firstLine="283"/>
        <w:jc w:val="both"/>
      </w:pPr>
      <w:r>
        <w:rPr>
          <w:rtl/>
        </w:rPr>
        <w:lastRenderedPageBreak/>
        <w:t xml:space="preserve">אבי התכוון לבואו של ר׳ אהרן לעיר כתלמיד מן המניין שם. ר׳ אהרן היה במינסק גם קודם לכן, לפני בר המצווה שלו, ואף פגש את אבי ואת סבתי, כפי שמובא מדברי רבנו בהערה </w:t>
      </w:r>
      <w:r>
        <w:rPr>
          <w:rtl/>
        </w:rPr>
        <w:fldChar w:fldCharType="begin" w:dirty="true"/>
      </w:r>
      <w:r>
        <w:rPr>
          <w:rtl/>
        </w:rPr>
        <w:instrText xml:space="preserve"> REF b2_note68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68</w:t>
      </w:r>
      <w:r>
        <w:rPr>
          <w:rtl/>
        </w:rPr>
        <w:fldChar w:fldCharType="end"/>
      </w:r>
      <w:r>
        <w:rPr>
          <w:rtl/>
        </w:rPr>
        <w:t xml:space="preserve"> לעיל.</w:t>
      </w:r>
    </w:p>
    <w:p w14:paraId="706EF3AB" w14:textId="77777777" w:rsidR="00AB3647" w:rsidRDefault="00000000" w:rsidP="007923E9">
      <w:pPr>
        <w:spacing w:after="120" w:line="276" w:lineRule="auto"/>
        <w:ind w:firstLine="283"/>
        <w:jc w:val="both"/>
      </w:pPr>
      <w:r>
        <w:rPr>
          <w:rtl/>
        </w:rPr>
        <w:t xml:space="preserve">שהותו של ר׳ אהרן במינסק לפני בר המצווה הייתה קצרה. יש לשער שקרוביו הביאוהו לעיר מתוך כוונה להשאירו שם ולסדר שילמד באחת מן הישיבות הרבות שבה. אבל כששמעו שר׳ </w:t>
      </w:r>
      <w:proofErr w:type="spellStart"/>
      <w:r>
        <w:rPr>
          <w:rtl/>
        </w:rPr>
        <w:t>ברוך־בער</w:t>
      </w:r>
      <w:proofErr w:type="spellEnd"/>
      <w:r>
        <w:rPr>
          <w:rtl/>
        </w:rPr>
        <w:t xml:space="preserve"> </w:t>
      </w:r>
      <w:proofErr w:type="spellStart"/>
      <w:r>
        <w:rPr>
          <w:rtl/>
        </w:rPr>
        <w:t>מהלוסק</w:t>
      </w:r>
      <w:proofErr w:type="spellEnd"/>
      <w:r>
        <w:rPr>
          <w:rtl/>
        </w:rPr>
        <w:t xml:space="preserve"> נתקבל בישיבת כנסת בית יצחק, החליטו לשלוח את הנער </w:t>
      </w:r>
      <w:proofErr w:type="spellStart"/>
      <w:r>
        <w:rPr>
          <w:rtl/>
        </w:rPr>
        <w:t>לסלבודקה</w:t>
      </w:r>
      <w:proofErr w:type="spellEnd"/>
      <w:r>
        <w:rPr>
          <w:rtl/>
        </w:rPr>
        <w:t xml:space="preserve"> במקום זאת, כדי להעמידו תחת השפעת יראת השמים של אותו צדיק.</w:t>
      </w:r>
      <w:bookmarkStart w:id="1510" w:name="_fnr996"/>
      <w:r>
        <w:rPr>
          <w:rStyle w:val="a5"/>
        </w:rPr>
        <w:footnoteReference w:id="999" w:customMarkFollows="0"/>
      </w:r>
      <w:bookmarkEnd w:id="1510"/>
    </w:p>
    <w:p w14:paraId="6B86ED5A" w14:textId="77777777" w:rsidR="00AB3647" w:rsidRDefault="00000000" w:rsidP="007923E9">
      <w:pPr>
        <w:spacing w:after="120" w:line="276" w:lineRule="auto"/>
        <w:ind w:firstLine="283"/>
        <w:jc w:val="both"/>
      </w:pPr>
      <w:r>
        <w:rPr>
          <w:rtl/>
        </w:rPr>
        <w:t xml:space="preserve">אבל לפי הדיווח </w:t>
      </w:r>
      <w:proofErr w:type="spellStart"/>
      <w:r>
        <w:rPr>
          <w:rtl/>
        </w:rPr>
        <w:t>ב“ארחות</w:t>
      </w:r>
      <w:proofErr w:type="spellEnd"/>
      <w:r>
        <w:rPr>
          <w:rtl/>
        </w:rPr>
        <w:t xml:space="preserve"> חסידיך” שיוזכר להלן, נראה שלא נשלח ישר אל ר׳ </w:t>
      </w:r>
      <w:proofErr w:type="spellStart"/>
      <w:r>
        <w:rPr>
          <w:rtl/>
        </w:rPr>
        <w:t>ברוך־בער</w:t>
      </w:r>
      <w:proofErr w:type="spellEnd"/>
      <w:r>
        <w:rPr>
          <w:rtl/>
        </w:rPr>
        <w:t xml:space="preserve"> אלא לישיבה קטנה </w:t>
      </w:r>
      <w:proofErr w:type="spellStart"/>
      <w:r>
        <w:rPr>
          <w:rtl/>
        </w:rPr>
        <w:t>בסלבודקה</w:t>
      </w:r>
      <w:proofErr w:type="spellEnd"/>
      <w:r>
        <w:rPr>
          <w:rtl/>
        </w:rPr>
        <w:t xml:space="preserve">. ואולי באמת נשלח ר׳ אהרן לכנסת בית יצחק ללמוד אצל ר׳ </w:t>
      </w:r>
      <w:proofErr w:type="spellStart"/>
      <w:r>
        <w:rPr>
          <w:rtl/>
        </w:rPr>
        <w:t>ברוך־בער</w:t>
      </w:r>
      <w:proofErr w:type="spellEnd"/>
      <w:r>
        <w:rPr>
          <w:rtl/>
        </w:rPr>
        <w:t xml:space="preserve">, אבל כשהגיע לשם ראתה ההנהלה שעדיין אינו בר מצווה. כנראה היה זה ר׳ משה </w:t>
      </w:r>
      <w:proofErr w:type="spellStart"/>
      <w:r>
        <w:rPr>
          <w:rtl/>
        </w:rPr>
        <w:t>פקרוביץ</w:t>
      </w:r>
      <w:proofErr w:type="spellEnd"/>
      <w:r>
        <w:rPr>
          <w:rtl/>
        </w:rPr>
        <w:t>׳, המשגיח, שבחן את ר׳ אהרן בבואו</w:t>
      </w:r>
      <w:bookmarkStart w:id="1511" w:name="_fnr997"/>
      <w:r>
        <w:rPr>
          <w:rStyle w:val="a5"/>
        </w:rPr>
        <w:footnoteReference w:id="1000" w:customMarkFollows="0"/>
      </w:r>
      <w:bookmarkEnd w:id="1511"/>
      <w:r>
        <w:rPr>
          <w:rtl/>
        </w:rPr>
        <w:t>. לפי השערה זו, הישיבה לא רצתה לקבלו</w:t>
      </w:r>
      <w:bookmarkStart w:id="1512" w:name="_fnr998"/>
      <w:r>
        <w:rPr>
          <w:rStyle w:val="a5"/>
        </w:rPr>
        <w:footnoteReference w:id="1001" w:customMarkFollows="0"/>
      </w:r>
      <w:bookmarkEnd w:id="1512"/>
      <w:r>
        <w:rPr>
          <w:rtl/>
        </w:rPr>
        <w:t xml:space="preserve"> והפנתה אותו לישיבה קטנה </w:t>
      </w:r>
      <w:proofErr w:type="spellStart"/>
      <w:r>
        <w:rPr>
          <w:rtl/>
        </w:rPr>
        <w:t>בסלבודקה</w:t>
      </w:r>
      <w:proofErr w:type="spellEnd"/>
      <w:r>
        <w:rPr>
          <w:rtl/>
        </w:rPr>
        <w:t xml:space="preserve">, ועד מהרה, כשהבינו אנשי הישיבה הקטנה שהוא עילוי, </w:t>
      </w:r>
      <w:r>
        <w:rPr>
          <w:b/>
          <w:bCs/>
          <w:rtl/>
        </w:rPr>
        <w:t>הוחזר</w:t>
      </w:r>
      <w:r>
        <w:rPr>
          <w:rtl/>
        </w:rPr>
        <w:t xml:space="preserve"> לכנסת בית יצחק.</w:t>
      </w:r>
      <w:bookmarkStart w:id="1513" w:name="_fnr999"/>
      <w:r>
        <w:rPr>
          <w:rStyle w:val="a5"/>
        </w:rPr>
        <w:footnoteReference w:id="1002" w:customMarkFollows="0"/>
      </w:r>
      <w:bookmarkEnd w:id="1513"/>
    </w:p>
    <w:p w14:paraId="324C9274" w14:textId="5C7A9078" w:rsidR="00AB3647" w:rsidRDefault="00000000" w:rsidP="007923E9">
      <w:pPr>
        <w:spacing w:after="120" w:line="276" w:lineRule="auto"/>
        <w:ind w:firstLine="283"/>
        <w:jc w:val="both"/>
      </w:pPr>
      <w:r>
        <w:rPr>
          <w:rtl/>
        </w:rPr>
        <w:t>מאחר שהייתה תוכנית שאהרן פינס יישאר במינסק, שהותו שם לא הייתה רק לימי בין הזמנים הקצרים שבין סוף זמן הקיץ (</w:t>
      </w:r>
      <w:proofErr w:type="spellStart"/>
      <w:r>
        <w:rPr>
          <w:rtl/>
        </w:rPr>
        <w:t>בקרינק</w:t>
      </w:r>
      <w:proofErr w:type="spellEnd"/>
      <w:r>
        <w:rPr>
          <w:rtl/>
        </w:rPr>
        <w:t>) לזמן החורף (</w:t>
      </w:r>
      <w:proofErr w:type="spellStart"/>
      <w:r>
        <w:rPr>
          <w:rtl/>
        </w:rPr>
        <w:t>בסלבודקה</w:t>
      </w:r>
      <w:proofErr w:type="spellEnd"/>
      <w:r>
        <w:rPr>
          <w:rtl/>
        </w:rPr>
        <w:t xml:space="preserve">). היא נמשכה זמן ארוך דיו כדי להקיף שלושה מאורעות חשובים בחיי </w:t>
      </w:r>
      <w:r>
        <w:rPr>
          <w:b/>
          <w:bCs/>
          <w:rtl/>
        </w:rPr>
        <w:t>אבי</w:t>
      </w:r>
      <w:r>
        <w:rPr>
          <w:rtl/>
        </w:rPr>
        <w:t xml:space="preserve">: א) מעברו מבית דודו לחזקה בשול </w:t>
      </w:r>
      <w:proofErr w:type="spellStart"/>
      <w:r>
        <w:rPr>
          <w:rtl/>
        </w:rPr>
        <w:t>הקצבים</w:t>
      </w:r>
      <w:bookmarkStart w:id="1514" w:name="_fnr1000"/>
      <w:proofErr w:type="spellEnd"/>
      <w:r>
        <w:rPr>
          <w:rStyle w:val="a5"/>
        </w:rPr>
        <w:footnoteReference w:id="1003" w:customMarkFollows="0"/>
      </w:r>
      <w:bookmarkEnd w:id="1514"/>
      <w:r>
        <w:rPr>
          <w:rtl/>
        </w:rPr>
        <w:t xml:space="preserve"> – מן הסתם בגלל מה שסיפר לו ר׳ אהרן על מצבו שלו, כמשוער בהערה </w:t>
      </w:r>
      <w:r>
        <w:rPr>
          <w:rtl/>
        </w:rPr>
        <w:fldChar w:fldCharType="begin" w:dirty="true"/>
      </w:r>
      <w:r>
        <w:rPr>
          <w:rtl/>
        </w:rPr>
        <w:instrText xml:space="preserve"> REF b2_note60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60</w:t>
      </w:r>
      <w:r>
        <w:rPr>
          <w:rtl/>
        </w:rPr>
        <w:fldChar w:fldCharType="end"/>
      </w:r>
      <w:r>
        <w:rPr>
          <w:rtl/>
        </w:rPr>
        <w:t xml:space="preserve"> לעיל; ב) הינצלותו כחוט השערה מן השריפה שכילתה את כלי מיטתו אחרי שעבר לשול </w:t>
      </w:r>
      <w:proofErr w:type="spellStart"/>
      <w:r>
        <w:rPr>
          <w:rtl/>
        </w:rPr>
        <w:t>הקצבים</w:t>
      </w:r>
      <w:proofErr w:type="spellEnd"/>
      <w:r>
        <w:rPr>
          <w:rtl/>
        </w:rPr>
        <w:t xml:space="preserve">; ג) מעבר הוריו </w:t>
      </w:r>
      <w:proofErr w:type="spellStart"/>
      <w:r>
        <w:rPr>
          <w:rtl/>
        </w:rPr>
        <w:t>מדולהינוב</w:t>
      </w:r>
      <w:proofErr w:type="spellEnd"/>
      <w:r>
        <w:rPr>
          <w:rtl/>
        </w:rPr>
        <w:t xml:space="preserve"> למינסק. נמצא שאפשר ששהה ר׳ אהרן במינסק עד חודשיים, ואחר כך נסע </w:t>
      </w:r>
      <w:proofErr w:type="spellStart"/>
      <w:r>
        <w:rPr>
          <w:rtl/>
        </w:rPr>
        <w:t>לסלבודקה</w:t>
      </w:r>
      <w:proofErr w:type="spellEnd"/>
      <w:r>
        <w:rPr>
          <w:rtl/>
        </w:rPr>
        <w:t xml:space="preserve"> ללמוד אצל ר׳ </w:t>
      </w:r>
      <w:proofErr w:type="spellStart"/>
      <w:r>
        <w:rPr>
          <w:rtl/>
        </w:rPr>
        <w:t>ברוך־בער</w:t>
      </w:r>
      <w:proofErr w:type="spellEnd"/>
      <w:r>
        <w:rPr>
          <w:rtl/>
        </w:rPr>
        <w:t>.</w:t>
      </w:r>
    </w:p>
    <w:p w14:paraId="3E9B3040" w14:textId="77777777" w:rsidR="00AB3647" w:rsidRDefault="00000000" w:rsidP="007923E9">
      <w:pPr>
        <w:spacing w:after="120" w:line="276" w:lineRule="auto"/>
        <w:ind w:firstLine="283"/>
        <w:jc w:val="both"/>
      </w:pPr>
      <w:r>
        <w:rPr>
          <w:rtl/>
        </w:rPr>
        <w:t xml:space="preserve">לפי הגילוי האמור, את תקופת שלושים ושניים החודשים – מן הזמן שהתייתם ר׳ אהרן, בגיל </w:t>
      </w:r>
      <w:proofErr w:type="spellStart"/>
      <w:r>
        <w:rPr>
          <w:rtl/>
        </w:rPr>
        <w:t>אחת־עשרה</w:t>
      </w:r>
      <w:proofErr w:type="spellEnd"/>
      <w:r>
        <w:rPr>
          <w:rtl/>
        </w:rPr>
        <w:t xml:space="preserve"> ושמונה חודשים, עד שהצטרף לכנסת ישראל, בגיל </w:t>
      </w:r>
      <w:proofErr w:type="spellStart"/>
      <w:r>
        <w:rPr>
          <w:rtl/>
        </w:rPr>
        <w:t>ארבע־עשרה</w:t>
      </w:r>
      <w:proofErr w:type="spellEnd"/>
      <w:r>
        <w:rPr>
          <w:rtl/>
        </w:rPr>
        <w:t xml:space="preserve"> וארבעה חודשים – יש לחלק כך: בחודשיים הראשונים אחרי פטירת אביו בקיץ תרס״ג נשאר בבית, </w:t>
      </w:r>
      <w:proofErr w:type="spellStart"/>
      <w:r>
        <w:rPr>
          <w:rtl/>
        </w:rPr>
        <w:t>ולקרינק</w:t>
      </w:r>
      <w:proofErr w:type="spellEnd"/>
      <w:r>
        <w:rPr>
          <w:rtl/>
        </w:rPr>
        <w:t xml:space="preserve"> יצא אחרי החגים, בתחילת זמן החורף תרס״ד, כשישיבתו של ר׳ </w:t>
      </w:r>
      <w:proofErr w:type="spellStart"/>
      <w:r>
        <w:rPr>
          <w:rtl/>
        </w:rPr>
        <w:t>זלמן־סנדר</w:t>
      </w:r>
      <w:proofErr w:type="spellEnd"/>
      <w:r>
        <w:rPr>
          <w:rtl/>
        </w:rPr>
        <w:t xml:space="preserve"> כבר פעלה </w:t>
      </w:r>
      <w:proofErr w:type="spellStart"/>
      <w:r>
        <w:rPr>
          <w:rtl/>
        </w:rPr>
        <w:t>בקרינק</w:t>
      </w:r>
      <w:proofErr w:type="spellEnd"/>
      <w:r>
        <w:rPr>
          <w:rtl/>
        </w:rPr>
        <w:t xml:space="preserve"> זמן אחד. את </w:t>
      </w:r>
      <w:proofErr w:type="spellStart"/>
      <w:r>
        <w:rPr>
          <w:rtl/>
        </w:rPr>
        <w:t>שנים־עשר</w:t>
      </w:r>
      <w:proofErr w:type="spellEnd"/>
      <w:r>
        <w:rPr>
          <w:rtl/>
        </w:rPr>
        <w:t xml:space="preserve"> החודשים האחרונים (מתוך שלושים ושניים החודשים) עשה בשול </w:t>
      </w:r>
      <w:proofErr w:type="spellStart"/>
      <w:r>
        <w:rPr>
          <w:rtl/>
        </w:rPr>
        <w:t>הקצבים</w:t>
      </w:r>
      <w:proofErr w:type="spellEnd"/>
      <w:r>
        <w:rPr>
          <w:rtl/>
        </w:rPr>
        <w:t xml:space="preserve"> במינסק. </w:t>
      </w:r>
      <w:proofErr w:type="spellStart"/>
      <w:r>
        <w:rPr>
          <w:rtl/>
        </w:rPr>
        <w:t>ושמונה־עשר</w:t>
      </w:r>
      <w:proofErr w:type="spellEnd"/>
      <w:r>
        <w:rPr>
          <w:rtl/>
        </w:rPr>
        <w:t xml:space="preserve"> החודשים שביניהם, שהם שלושה זמני ישיבה, נחלקו בין </w:t>
      </w:r>
      <w:proofErr w:type="spellStart"/>
      <w:r>
        <w:rPr>
          <w:rtl/>
        </w:rPr>
        <w:t>קרינק</w:t>
      </w:r>
      <w:proofErr w:type="spellEnd"/>
      <w:r>
        <w:rPr>
          <w:rtl/>
        </w:rPr>
        <w:t xml:space="preserve"> לכנסת בית יצחק.</w:t>
      </w:r>
    </w:p>
    <w:p w14:paraId="6296E55C" w14:textId="77777777" w:rsidR="00AB3647" w:rsidRDefault="00000000" w:rsidP="007923E9">
      <w:pPr>
        <w:spacing w:after="120" w:line="276" w:lineRule="auto"/>
        <w:ind w:firstLine="283"/>
        <w:jc w:val="both"/>
      </w:pPr>
      <w:r>
        <w:rPr>
          <w:rtl/>
        </w:rPr>
        <w:t xml:space="preserve">המסורת המשפחתית </w:t>
      </w:r>
      <w:proofErr w:type="spellStart"/>
      <w:r>
        <w:rPr>
          <w:rtl/>
        </w:rPr>
        <w:t>שב“אוסף</w:t>
      </w:r>
      <w:proofErr w:type="spellEnd"/>
      <w:r>
        <w:rPr>
          <w:rtl/>
        </w:rPr>
        <w:t xml:space="preserve"> חידושי תורה ממרן </w:t>
      </w:r>
      <w:proofErr w:type="spellStart"/>
      <w:r>
        <w:rPr>
          <w:rtl/>
        </w:rPr>
        <w:t>הגר״א</w:t>
      </w:r>
      <w:proofErr w:type="spellEnd"/>
      <w:r>
        <w:rPr>
          <w:rtl/>
        </w:rPr>
        <w:t xml:space="preserve"> קוטלר” מייחסת לשהותו של ר׳ אהרן </w:t>
      </w:r>
      <w:proofErr w:type="spellStart"/>
      <w:r>
        <w:rPr>
          <w:rtl/>
        </w:rPr>
        <w:t>בקרינק</w:t>
      </w:r>
      <w:proofErr w:type="spellEnd"/>
      <w:r>
        <w:rPr>
          <w:rtl/>
        </w:rPr>
        <w:t xml:space="preserve"> “כשנתיים ימים” – וזו, כפי שהוכח, הגזמה. אבל מסתבר שר׳ אהרן עשה </w:t>
      </w:r>
      <w:proofErr w:type="spellStart"/>
      <w:r>
        <w:rPr>
          <w:rtl/>
        </w:rPr>
        <w:lastRenderedPageBreak/>
        <w:t>בקרינק</w:t>
      </w:r>
      <w:proofErr w:type="spellEnd"/>
      <w:r>
        <w:rPr>
          <w:rtl/>
        </w:rPr>
        <w:t xml:space="preserve"> את </w:t>
      </w:r>
      <w:r>
        <w:rPr>
          <w:b/>
          <w:bCs/>
          <w:rtl/>
        </w:rPr>
        <w:t>רוב</w:t>
      </w:r>
      <w:r>
        <w:rPr>
          <w:rtl/>
        </w:rPr>
        <w:t xml:space="preserve"> שלושת הזמנים, כלומר שני זמנים, ואת הזמן האחד הנותר אצל ר׳ </w:t>
      </w:r>
      <w:proofErr w:type="spellStart"/>
      <w:r>
        <w:rPr>
          <w:rtl/>
        </w:rPr>
        <w:t>ברוך־בער</w:t>
      </w:r>
      <w:proofErr w:type="spellEnd"/>
      <w:r>
        <w:rPr>
          <w:rtl/>
        </w:rPr>
        <w:t>.</w:t>
      </w:r>
      <w:bookmarkStart w:id="1515" w:name="_fnr1001"/>
      <w:r>
        <w:rPr>
          <w:rStyle w:val="a5"/>
        </w:rPr>
        <w:footnoteReference w:id="1004" w:customMarkFollows="0"/>
      </w:r>
      <w:bookmarkEnd w:id="1515"/>
      <w:r>
        <w:rPr>
          <w:rtl/>
        </w:rPr>
        <w:t xml:space="preserve"> הסיפור </w:t>
      </w:r>
      <w:proofErr w:type="spellStart"/>
      <w:r>
        <w:rPr>
          <w:rtl/>
        </w:rPr>
        <w:t>ב“ארחות</w:t>
      </w:r>
      <w:proofErr w:type="spellEnd"/>
      <w:r>
        <w:rPr>
          <w:rtl/>
        </w:rPr>
        <w:t xml:space="preserve"> חסידיך”,</w:t>
      </w:r>
      <w:bookmarkStart w:id="1516" w:name="_fnr1002"/>
      <w:r>
        <w:rPr>
          <w:rStyle w:val="a5"/>
        </w:rPr>
        <w:footnoteReference w:id="1005" w:customMarkFollows="0"/>
      </w:r>
      <w:bookmarkEnd w:id="1516"/>
      <w:r>
        <w:rPr>
          <w:rtl/>
        </w:rPr>
        <w:t xml:space="preserve"> שר׳ אהרן בא לישיבה קטנה </w:t>
      </w:r>
      <w:proofErr w:type="spellStart"/>
      <w:r>
        <w:rPr>
          <w:rtl/>
        </w:rPr>
        <w:t>בסלבודקה</w:t>
      </w:r>
      <w:proofErr w:type="spellEnd"/>
      <w:r>
        <w:rPr>
          <w:rtl/>
        </w:rPr>
        <w:t xml:space="preserve"> “בגיל בר מצווה”, ומהר מאוד הכירו בו שראוי הוא לישיבה גדולה והעלוהו, ודאי אינו נכון לגבי נסיעתו </w:t>
      </w:r>
      <w:proofErr w:type="spellStart"/>
      <w:r>
        <w:rPr>
          <w:rtl/>
        </w:rPr>
        <w:t>לסלבודקה</w:t>
      </w:r>
      <w:proofErr w:type="spellEnd"/>
      <w:r>
        <w:rPr>
          <w:rtl/>
        </w:rPr>
        <w:t xml:space="preserve"> יחד עם אבי, שהרי באותה שעה לא היה ספק שילך לישיבה גדולה. המעשה אירע בשהותו הראשונה בעיר </w:t>
      </w:r>
      <w:proofErr w:type="spellStart"/>
      <w:r>
        <w:rPr>
          <w:rtl/>
        </w:rPr>
        <w:t>סלבודקה</w:t>
      </w:r>
      <w:proofErr w:type="spellEnd"/>
      <w:r>
        <w:rPr>
          <w:rtl/>
        </w:rPr>
        <w:t xml:space="preserve">, לפני בר המצווה, </w:t>
      </w:r>
      <w:proofErr w:type="spellStart"/>
      <w:r>
        <w:rPr>
          <w:rtl/>
        </w:rPr>
        <w:t>וה“ישיבה</w:t>
      </w:r>
      <w:proofErr w:type="spellEnd"/>
      <w:r>
        <w:rPr>
          <w:rtl/>
        </w:rPr>
        <w:t xml:space="preserve"> הגדולה” שאליה הועלה לא הייתה אלא כנסת בית יצחק.</w:t>
      </w:r>
      <w:bookmarkStart w:id="1517" w:name="_fnr1003"/>
      <w:r>
        <w:rPr>
          <w:rStyle w:val="a5"/>
        </w:rPr>
        <w:footnoteReference w:id="1006" w:customMarkFollows="0"/>
      </w:r>
      <w:bookmarkEnd w:id="1517"/>
    </w:p>
    <w:p w14:paraId="51E9D9A8" w14:textId="65054367" w:rsidR="00AB3647" w:rsidRDefault="00000000" w:rsidP="007923E9">
      <w:pPr>
        <w:spacing w:after="120" w:line="276" w:lineRule="auto"/>
        <w:ind w:firstLine="283"/>
        <w:jc w:val="both"/>
      </w:pPr>
      <w:proofErr w:type="spellStart"/>
      <w:r>
        <w:rPr>
          <w:rtl/>
        </w:rPr>
        <w:t>משמונה־עשר</w:t>
      </w:r>
      <w:proofErr w:type="spellEnd"/>
      <w:r>
        <w:rPr>
          <w:rtl/>
        </w:rPr>
        <w:t xml:space="preserve"> החודשים שבאמצע יש לנכות את הזמן שעשה במינסק </w:t>
      </w:r>
      <w:r>
        <w:rPr>
          <w:b/>
          <w:bCs/>
          <w:rtl/>
        </w:rPr>
        <w:t xml:space="preserve">בין שהותו </w:t>
      </w:r>
      <w:proofErr w:type="spellStart"/>
      <w:r>
        <w:rPr>
          <w:b/>
          <w:bCs/>
          <w:rtl/>
        </w:rPr>
        <w:t>בקרינק</w:t>
      </w:r>
      <w:proofErr w:type="spellEnd"/>
      <w:r>
        <w:rPr>
          <w:b/>
          <w:bCs/>
          <w:rtl/>
        </w:rPr>
        <w:t xml:space="preserve"> לשהותו בכנסת בית יצחק</w:t>
      </w:r>
      <w:r>
        <w:rPr>
          <w:rtl/>
        </w:rPr>
        <w:t xml:space="preserve">, כאמור לעיל – כנראה כחודשיים. אין עדות ישירה מדוע חזר ר׳ אהרן למינסק מכנסת בית יצחק. בפרק 3, הערה </w:t>
      </w:r>
      <w:r>
        <w:rPr>
          <w:rtl/>
        </w:rPr>
        <w:fldChar w:fldCharType="begin" w:dirty="true"/>
      </w:r>
      <w:r>
        <w:rPr>
          <w:rtl/>
        </w:rPr>
        <w:instrText xml:space="preserve"> REF b3_note138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138</w:t>
      </w:r>
      <w:r>
        <w:rPr>
          <w:rtl/>
        </w:rPr>
        <w:fldChar w:fldCharType="end"/>
      </w:r>
      <w:r>
        <w:rPr>
          <w:rtl/>
        </w:rPr>
        <w:t xml:space="preserve">, מוצע טעם, ואפשר לצרפו למה שמסר ר׳ </w:t>
      </w:r>
      <w:proofErr w:type="spellStart"/>
      <w:r>
        <w:rPr>
          <w:rtl/>
        </w:rPr>
        <w:t>יעקב־אליעזר</w:t>
      </w:r>
      <w:proofErr w:type="spellEnd"/>
      <w:r>
        <w:rPr>
          <w:rtl/>
        </w:rPr>
        <w:t xml:space="preserve"> שוורצמן ממסורת משפחתית, כמובא בהערה 85 בפרק זה.</w:t>
      </w:r>
      <w:bookmarkStart w:id="1518" w:name="_fnr1004"/>
      <w:r>
        <w:rPr>
          <w:rStyle w:val="a5"/>
        </w:rPr>
        <w:footnoteReference w:id="1007" w:customMarkFollows="0"/>
      </w:r>
      <w:bookmarkEnd w:id="1518"/>
    </w:p>
    <w:p w14:paraId="134FD6B4" w14:textId="77777777" w:rsidR="00AB3647" w:rsidRDefault="00000000" w:rsidP="007923E9">
      <w:pPr>
        <w:spacing w:after="120" w:line="276" w:lineRule="auto"/>
        <w:ind w:firstLine="283"/>
        <w:jc w:val="both"/>
      </w:pPr>
      <w:r>
        <w:rPr>
          <w:rtl/>
        </w:rPr>
        <w:t xml:space="preserve">שהותו של ר׳ אהרן בכנסת בית יצחק לא נמשכה זמן ארוך דיו כדי להשביע את רצונו של ר׳ </w:t>
      </w:r>
      <w:proofErr w:type="spellStart"/>
      <w:r>
        <w:rPr>
          <w:rtl/>
        </w:rPr>
        <w:t>ברוך־בער</w:t>
      </w:r>
      <w:proofErr w:type="spellEnd"/>
      <w:r>
        <w:rPr>
          <w:rtl/>
        </w:rPr>
        <w:t xml:space="preserve">. לפי ר׳ חיים </w:t>
      </w:r>
      <w:proofErr w:type="spellStart"/>
      <w:r>
        <w:rPr>
          <w:rtl/>
        </w:rPr>
        <w:t>צימבליסט</w:t>
      </w:r>
      <w:proofErr w:type="spellEnd"/>
      <w:r>
        <w:rPr>
          <w:rtl/>
        </w:rPr>
        <w:t>,</w:t>
      </w:r>
      <w:bookmarkStart w:id="1519" w:name="_fnr1005"/>
      <w:r>
        <w:rPr>
          <w:rStyle w:val="a5"/>
        </w:rPr>
        <w:footnoteReference w:id="1008" w:customMarkFollows="0"/>
      </w:r>
      <w:bookmarkEnd w:id="1519"/>
      <w:r>
        <w:rPr>
          <w:rtl/>
        </w:rPr>
        <w:t xml:space="preserve"> הסתייג ר׳ </w:t>
      </w:r>
      <w:proofErr w:type="spellStart"/>
      <w:r>
        <w:rPr>
          <w:rtl/>
        </w:rPr>
        <w:t>ברוך־בער</w:t>
      </w:r>
      <w:proofErr w:type="spellEnd"/>
      <w:r>
        <w:rPr>
          <w:rtl/>
        </w:rPr>
        <w:t xml:space="preserve"> במידת מה מדרך לימודו של ר׳ אהרן, ואמר: “מעט [</w:t>
      </w:r>
      <w:proofErr w:type="spellStart"/>
      <w:r>
        <w:rPr>
          <w:rtl/>
        </w:rPr>
        <w:t>ווינציג</w:t>
      </w:r>
      <w:proofErr w:type="spellEnd"/>
      <w:r>
        <w:rPr>
          <w:rtl/>
        </w:rPr>
        <w:t xml:space="preserve">] למד אצלי”. בזמן שלמד בכנסת בית יצחק הכיר ר׳ אהרן את תלמידו המפורסם של הסבא, הגאון הנודע ר׳ </w:t>
      </w:r>
      <w:proofErr w:type="spellStart"/>
      <w:r>
        <w:rPr>
          <w:rtl/>
        </w:rPr>
        <w:t>יחיאל־יעקב</w:t>
      </w:r>
      <w:proofErr w:type="spellEnd"/>
      <w:r>
        <w:rPr>
          <w:rtl/>
        </w:rPr>
        <w:t xml:space="preserve"> ויינברג,</w:t>
      </w:r>
      <w:bookmarkStart w:id="1520" w:name="_fnr1006"/>
      <w:r>
        <w:rPr>
          <w:rStyle w:val="a5"/>
        </w:rPr>
        <w:footnoteReference w:id="1009" w:customMarkFollows="0"/>
      </w:r>
      <w:bookmarkEnd w:id="1520"/>
      <w:r>
        <w:rPr>
          <w:rtl/>
        </w:rPr>
        <w:t xml:space="preserve"> שלמד בישיבה האחרת </w:t>
      </w:r>
      <w:proofErr w:type="spellStart"/>
      <w:r>
        <w:rPr>
          <w:rtl/>
        </w:rPr>
        <w:t>שבסלבודקה</w:t>
      </w:r>
      <w:proofErr w:type="spellEnd"/>
      <w:r>
        <w:rPr>
          <w:rtl/>
        </w:rPr>
        <w:t>, כנסת ישראל. אף שהיה צעיר לימים, כבר נדד אהרן פינס ממוסד תורה גדול אחד שבעיר לחברו בבקשת אתגרים בתורה – כדרכו בתקופה מאוחרת יותר בחייו, כשלמד בכנסת ישראל יחד עם רבנו.</w:t>
      </w:r>
    </w:p>
    <w:p w14:paraId="78EC749B" w14:textId="77777777" w:rsidR="00AB3647" w:rsidRDefault="00000000" w:rsidP="007923E9">
      <w:pPr>
        <w:spacing w:after="120" w:line="276" w:lineRule="auto"/>
        <w:ind w:firstLine="283"/>
        <w:jc w:val="both"/>
      </w:pPr>
      <w:r>
        <w:rPr>
          <w:rtl/>
        </w:rPr>
        <w:t xml:space="preserve">ר׳ אהרן ניצל, בלי שידע, את הזמן האחרון של ר׳ </w:t>
      </w:r>
      <w:proofErr w:type="spellStart"/>
      <w:r>
        <w:rPr>
          <w:rtl/>
        </w:rPr>
        <w:t>יחיאל־יעקב</w:t>
      </w:r>
      <w:proofErr w:type="spellEnd"/>
      <w:r>
        <w:rPr>
          <w:rtl/>
        </w:rPr>
        <w:t xml:space="preserve"> ויינברג </w:t>
      </w:r>
      <w:proofErr w:type="spellStart"/>
      <w:r>
        <w:rPr>
          <w:rtl/>
        </w:rPr>
        <w:t>בסלבודקה</w:t>
      </w:r>
      <w:proofErr w:type="spellEnd"/>
      <w:r>
        <w:rPr>
          <w:rtl/>
        </w:rPr>
        <w:t xml:space="preserve">, לפני שנסע </w:t>
      </w:r>
      <w:proofErr w:type="spellStart"/>
      <w:r>
        <w:rPr>
          <w:rtl/>
        </w:rPr>
        <w:t>למיר</w:t>
      </w:r>
      <w:proofErr w:type="spellEnd"/>
      <w:r>
        <w:rPr>
          <w:rtl/>
        </w:rPr>
        <w:t>,</w:t>
      </w:r>
      <w:bookmarkStart w:id="1521" w:name="_fnr1007"/>
      <w:r>
        <w:rPr>
          <w:rStyle w:val="a5"/>
        </w:rPr>
        <w:footnoteReference w:id="1010" w:customMarkFollows="0"/>
      </w:r>
      <w:bookmarkEnd w:id="1521"/>
      <w:r>
        <w:rPr>
          <w:rtl/>
        </w:rPr>
        <w:t xml:space="preserve"> כדי לקשור עמו היכרות שנמשכה כל ימי חייו. היה זה בחורף תרס״ה, כשנעשה ר׳ אהרן בר מצווה. על פגישתו עם ר׳ אהרן, הצעיר ממנו בשבע שנים, ועל “דיבורו בלימוד” עמו בזמן ההוא, היה ר׳ </w:t>
      </w:r>
      <w:proofErr w:type="spellStart"/>
      <w:r>
        <w:rPr>
          <w:rtl/>
        </w:rPr>
        <w:t>יחיאל־יעקב</w:t>
      </w:r>
      <w:proofErr w:type="spellEnd"/>
      <w:r>
        <w:rPr>
          <w:rtl/>
        </w:rPr>
        <w:t xml:space="preserve"> נהנה לומר:</w:t>
      </w:r>
      <w:bookmarkStart w:id="1522" w:name="_fnr1008"/>
      <w:r>
        <w:rPr>
          <w:rStyle w:val="a5"/>
        </w:rPr>
        <w:footnoteReference w:id="1011" w:customMarkFollows="0"/>
      </w:r>
      <w:bookmarkEnd w:id="1522"/>
      <w:r>
        <w:rPr>
          <w:rtl/>
        </w:rPr>
        <w:t xml:space="preserve"> “ר׳ אהרן קוטלר היה אחד מבחורי”.</w:t>
      </w:r>
    </w:p>
    <w:p w14:paraId="22424783" w14:textId="77777777" w:rsidR="00AB3647" w:rsidRDefault="00000000" w:rsidP="007923E9">
      <w:pPr>
        <w:spacing w:after="120" w:line="276" w:lineRule="auto"/>
        <w:ind w:firstLine="283"/>
        <w:jc w:val="both"/>
      </w:pPr>
      <w:r>
        <w:rPr>
          <w:rtl/>
        </w:rPr>
        <w:lastRenderedPageBreak/>
        <w:t xml:space="preserve">ר׳ גרשון </w:t>
      </w:r>
      <w:proofErr w:type="spellStart"/>
      <w:r>
        <w:rPr>
          <w:rtl/>
        </w:rPr>
        <w:t>קרויזר</w:t>
      </w:r>
      <w:bookmarkStart w:id="1523" w:name="_fnr1009"/>
      <w:proofErr w:type="spellEnd"/>
      <w:r>
        <w:rPr>
          <w:rStyle w:val="a5"/>
        </w:rPr>
        <w:footnoteReference w:id="1012" w:customMarkFollows="0"/>
      </w:r>
      <w:bookmarkEnd w:id="1523"/>
      <w:r>
        <w:rPr>
          <w:rtl/>
        </w:rPr>
        <w:t xml:space="preserve"> למד אצל ר׳ </w:t>
      </w:r>
      <w:proofErr w:type="spellStart"/>
      <w:r>
        <w:rPr>
          <w:rtl/>
        </w:rPr>
        <w:t>יחיאל־יעקב</w:t>
      </w:r>
      <w:proofErr w:type="spellEnd"/>
      <w:r>
        <w:rPr>
          <w:rtl/>
        </w:rPr>
        <w:t xml:space="preserve"> ויינברג </w:t>
      </w:r>
      <w:proofErr w:type="spellStart"/>
      <w:r>
        <w:rPr>
          <w:rtl/>
        </w:rPr>
        <w:t>במונטרה</w:t>
      </w:r>
      <w:proofErr w:type="spellEnd"/>
      <w:r>
        <w:rPr>
          <w:rtl/>
        </w:rPr>
        <w:t xml:space="preserve"> שבשווייץ בין קיץ תשט״ו לקיץ תשי״ז. לדבריו, אחרי המלחמה – לאחר שניצל מגטו ורשה ומן השבי שאחריו במחנה ריכוז סמוך לנירנברג – נמצא רבו אבוד בגרמניה. מצא אותו הרב הצבאי של צבא ארצות הברית, ר׳ אלכסנדר רוזנברג (מנהל מחלקת הכשרות של ה-OU). הרב רוזנברג סיפר </w:t>
      </w:r>
      <w:proofErr w:type="spellStart"/>
      <w:r>
        <w:rPr>
          <w:rtl/>
        </w:rPr>
        <w:t>לר</w:t>
      </w:r>
      <w:proofErr w:type="spellEnd"/>
      <w:r>
        <w:rPr>
          <w:rtl/>
        </w:rPr>
        <w:t xml:space="preserve">׳ אהרן קוטלר את מי מצא, והרב קוטלר דאג שהתלמיד חכם החולה והבודד יקבל טיפול רפואי. שלוש שנים עברו עד שהבריא ר׳ </w:t>
      </w:r>
      <w:proofErr w:type="spellStart"/>
      <w:r>
        <w:rPr>
          <w:rtl/>
        </w:rPr>
        <w:t>יחיאל־יעקב</w:t>
      </w:r>
      <w:proofErr w:type="spellEnd"/>
      <w:r>
        <w:rPr>
          <w:rtl/>
        </w:rPr>
        <w:t xml:space="preserve">, ואחר כך השתקע בשווייץ </w:t>
      </w:r>
      <w:proofErr w:type="spellStart"/>
      <w:r>
        <w:rPr>
          <w:rtl/>
        </w:rPr>
        <w:t>לשמונה־עשרה</w:t>
      </w:r>
      <w:proofErr w:type="spellEnd"/>
      <w:r>
        <w:rPr>
          <w:rtl/>
        </w:rPr>
        <w:t xml:space="preserve"> שנותיו האחרונות.</w:t>
      </w:r>
    </w:p>
    <w:p w14:paraId="63BE20F6" w14:textId="77777777" w:rsidR="00AB3647" w:rsidRDefault="00000000" w:rsidP="007923E9">
      <w:pPr>
        <w:spacing w:after="120" w:line="276" w:lineRule="auto"/>
        <w:ind w:firstLine="283"/>
        <w:jc w:val="both"/>
      </w:pPr>
      <w:r>
        <w:rPr>
          <w:rtl/>
        </w:rPr>
        <w:t xml:space="preserve">תלמיד של ר׳ אהרן ששהה יומיים עם ר׳ </w:t>
      </w:r>
      <w:proofErr w:type="spellStart"/>
      <w:r>
        <w:rPr>
          <w:rtl/>
        </w:rPr>
        <w:t>יחיאל־יעקב</w:t>
      </w:r>
      <w:proofErr w:type="spellEnd"/>
      <w:r>
        <w:rPr>
          <w:rtl/>
        </w:rPr>
        <w:t xml:space="preserve"> ויינברג </w:t>
      </w:r>
      <w:proofErr w:type="spellStart"/>
      <w:r>
        <w:rPr>
          <w:rtl/>
        </w:rPr>
        <w:t>במונטרה</w:t>
      </w:r>
      <w:proofErr w:type="spellEnd"/>
      <w:r>
        <w:rPr>
          <w:rtl/>
        </w:rPr>
        <w:t xml:space="preserve"> סיפר שר׳ אהרן היה חייב חוב תודה מיוחד </w:t>
      </w:r>
      <w:proofErr w:type="spellStart"/>
      <w:r>
        <w:rPr>
          <w:rtl/>
        </w:rPr>
        <w:t>לר</w:t>
      </w:r>
      <w:proofErr w:type="spellEnd"/>
      <w:r>
        <w:rPr>
          <w:rtl/>
        </w:rPr>
        <w:t xml:space="preserve">׳ </w:t>
      </w:r>
      <w:proofErr w:type="spellStart"/>
      <w:r>
        <w:rPr>
          <w:rtl/>
        </w:rPr>
        <w:t>יחיאל־יעקב</w:t>
      </w:r>
      <w:proofErr w:type="spellEnd"/>
      <w:r>
        <w:rPr>
          <w:rtl/>
        </w:rPr>
        <w:t xml:space="preserve">, משום שהלה היה עוזר לו לגייס כספים לישיבתו </w:t>
      </w:r>
      <w:proofErr w:type="spellStart"/>
      <w:r>
        <w:rPr>
          <w:rtl/>
        </w:rPr>
        <w:t>בקלצק</w:t>
      </w:r>
      <w:proofErr w:type="spellEnd"/>
      <w:r>
        <w:rPr>
          <w:rtl/>
        </w:rPr>
        <w:t xml:space="preserve">, בברלין שלפני מלחמת העולם השנייה. ר׳ </w:t>
      </w:r>
      <w:proofErr w:type="spellStart"/>
      <w:r>
        <w:rPr>
          <w:rtl/>
        </w:rPr>
        <w:t>יחיאל־יעקב</w:t>
      </w:r>
      <w:proofErr w:type="spellEnd"/>
      <w:r>
        <w:rPr>
          <w:rtl/>
        </w:rPr>
        <w:t xml:space="preserve"> ויינברג ישב בברלין מאז פרוץ מלחמת העולם הראשונה, ובחורף תרפ״ה נתמנה למשרה בבית המדרש לרבנים שם.</w:t>
      </w:r>
    </w:p>
    <w:bookmarkStart w:id="1524" w:name="b2_excE"/>
    <w:p w14:paraId="10037C4D" w14:textId="77777777" w:rsidR="00AB3647" w:rsidRDefault="00000000" w:rsidP="007923E9">
      <w:pPr>
        <w:pStyle w:val="3"/>
        <w:spacing w:line="276" w:lineRule="auto"/>
      </w:pPr>
      <w:r>
        <w:lastRenderedPageBreak/>
        <w:fldChar w:fldCharType="begin" w:dirty="true"/>
      </w:r>
      <w:r>
        <w:rPr>
          <w:rtl w:val="0"/>
        </w:rPr>
        <w:instrText>HYPERLINK \l "b2_note79</w:instrText>
      </w:r>
      <w:r>
        <w:instrText>"</w:instrText>
      </w:r>
      <w:r>
        <w:fldChar w:fldCharType="separate"/>
      </w:r>
      <w:r>
        <w:t>נספח ה</w:t>
      </w:r>
      <w:r>
        <w:fldChar w:fldCharType="end"/>
      </w:r>
      <w:bookmarkEnd w:id="1524"/>
    </w:p>
    <w:p w14:paraId="70C43DE8" w14:textId="77777777" w:rsidR="00AB3647" w:rsidRDefault="00000000" w:rsidP="007923E9">
      <w:pPr>
        <w:pStyle w:val="af"/>
        <w:spacing w:line="276" w:lineRule="auto"/>
      </w:pPr>
      <w:r>
        <w:t>על הצימאון לידיעות כלליות שגילו תלמידי ישיבה צעירים</w:t>
      </w:r>
    </w:p>
    <w:p w14:paraId="3387E65E" w14:textId="77777777" w:rsidR="00AB3647" w:rsidRDefault="00000000" w:rsidP="007923E9">
      <w:pPr>
        <w:pStyle w:val="4"/>
        <w:spacing w:line="276" w:lineRule="auto"/>
      </w:pPr>
      <w:r>
        <w:t>· הפסקה הראשונה ·</w:t>
      </w:r>
    </w:p>
    <w:p w14:paraId="7F9D6C00" w14:textId="77777777" w:rsidR="00AB3647" w:rsidRDefault="00000000" w:rsidP="007923E9">
      <w:pPr>
        <w:pStyle w:val="5"/>
        <w:spacing w:line="276" w:lineRule="auto"/>
      </w:pPr>
      <w:r>
        <w:t>ר׳ אהרן מקבל קצבה</w:t>
      </w:r>
    </w:p>
    <w:p w14:paraId="5545439F" w14:textId="77777777" w:rsidR="00AB3647" w:rsidRDefault="00000000" w:rsidP="007923E9">
      <w:pPr>
        <w:spacing w:after="120" w:line="276" w:lineRule="auto"/>
        <w:ind w:firstLine="283"/>
        <w:jc w:val="both"/>
      </w:pPr>
      <w:r>
        <w:rPr>
          <w:rtl/>
        </w:rPr>
        <w:t xml:space="preserve">משנודע ר׳ אהרן כעילוי – וגם יתום – קיבל משול </w:t>
      </w:r>
      <w:proofErr w:type="spellStart"/>
      <w:r>
        <w:rPr>
          <w:rtl/>
        </w:rPr>
        <w:t>הקצבים</w:t>
      </w:r>
      <w:proofErr w:type="spellEnd"/>
      <w:r>
        <w:rPr>
          <w:rtl/>
        </w:rPr>
        <w:t xml:space="preserve"> קצבה חודשית של חמישה רובל, במקום שני הרובל המקובלים או השלושה שניתנו לבחורים מצטיינים.</w:t>
      </w:r>
      <w:bookmarkStart w:id="1525" w:name="_fnr1010"/>
      <w:r>
        <w:rPr>
          <w:rStyle w:val="a5"/>
        </w:rPr>
        <w:footnoteReference w:id="1013" w:customMarkFollows="0"/>
      </w:r>
      <w:bookmarkEnd w:id="1525"/>
      <w:r>
        <w:rPr>
          <w:rtl/>
        </w:rPr>
        <w:t xml:space="preserve"> “מגד גבעות עולם” </w:t>
      </w:r>
      <w:proofErr w:type="spellStart"/>
      <w:r>
        <w:rPr>
          <w:rtl/>
        </w:rPr>
        <w:t>להרב</w:t>
      </w:r>
      <w:proofErr w:type="spellEnd"/>
      <w:r>
        <w:rPr>
          <w:rtl/>
        </w:rPr>
        <w:t xml:space="preserve"> מיכל זלמן </w:t>
      </w:r>
      <w:proofErr w:type="spellStart"/>
      <w:r>
        <w:rPr>
          <w:rtl/>
        </w:rPr>
        <w:t>שורקין</w:t>
      </w:r>
      <w:bookmarkStart w:id="1526" w:name="_fnr1011"/>
      <w:proofErr w:type="spellEnd"/>
      <w:r>
        <w:rPr>
          <w:rStyle w:val="a5"/>
        </w:rPr>
        <w:footnoteReference w:id="1014" w:customMarkFollows="0"/>
      </w:r>
      <w:bookmarkEnd w:id="1526"/>
      <w:r>
        <w:rPr>
          <w:rtl/>
        </w:rPr>
        <w:t xml:space="preserve"> מביא בשם ר׳ שמואל וילנסקי (</w:t>
      </w:r>
      <w:proofErr w:type="spellStart"/>
      <w:r>
        <w:rPr>
          <w:rtl/>
        </w:rPr>
        <w:t>חרקובר</w:t>
      </w:r>
      <w:proofErr w:type="spellEnd"/>
      <w:r>
        <w:rPr>
          <w:rtl/>
        </w:rPr>
        <w:t xml:space="preserve">) שבגיל </w:t>
      </w:r>
      <w:proofErr w:type="spellStart"/>
      <w:r>
        <w:rPr>
          <w:rtl/>
        </w:rPr>
        <w:t>ארבע־עשרה</w:t>
      </w:r>
      <w:proofErr w:type="spellEnd"/>
      <w:r>
        <w:rPr>
          <w:rtl/>
        </w:rPr>
        <w:t xml:space="preserve"> חיבר ר׳ אהרן קונטרס על מסכת מקוואות, “שהרעיש את עולם התורה”. אם אין זו אגדה בעלמא, נכתב הקונטרס בזמן שלמדו ר׳ אהרן ואבי יחד בשול </w:t>
      </w:r>
      <w:proofErr w:type="spellStart"/>
      <w:r>
        <w:rPr>
          <w:rtl/>
        </w:rPr>
        <w:t>הקצבים</w:t>
      </w:r>
      <w:proofErr w:type="spellEnd"/>
      <w:r>
        <w:rPr>
          <w:rtl/>
        </w:rPr>
        <w:t>.</w:t>
      </w:r>
      <w:bookmarkStart w:id="1527" w:name="_fnr1012"/>
      <w:bookmarkStart w:id="1528" w:name="pr_f_931"/>
      <w:r>
        <w:rPr>
          <w:rStyle w:val="a5"/>
        </w:rPr>
        <w:footnoteReference w:id="1015" w:customMarkFollows="0"/>
      </w:r>
      <w:bookmarkEnd w:id="1527"/>
      <w:bookmarkEnd w:id="1528"/>
    </w:p>
    <w:p w14:paraId="5D3FFBE8" w14:textId="5A58584A" w:rsidR="00AB3647" w:rsidRDefault="00000000" w:rsidP="007923E9">
      <w:pPr>
        <w:spacing w:after="120" w:line="276" w:lineRule="auto"/>
        <w:ind w:firstLine="283"/>
        <w:jc w:val="both"/>
      </w:pPr>
      <w:r>
        <w:rPr>
          <w:rtl/>
        </w:rPr>
        <w:t xml:space="preserve">השווה גם פרק 5, ראש </w:t>
      </w:r>
      <w:r>
        <w:rPr>
          <w:rtl/>
        </w:rPr>
        <w:fldChar w:fldCharType="begin" w:dirty="true"/>
      </w:r>
      <w:r>
        <w:rPr>
          <w:rtl/>
        </w:rPr>
        <w:instrText xml:space="preserve"> REF b5_excB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 xml:space="preserve">: אבי החשיב את שכלו שלו יותר משל ר׳ אהרן בשלב זה. אבל רבנו לא נודע ברבים כעילוי, משום שהיה מופנם יותר ולא הראה את </w:t>
      </w:r>
      <w:proofErr w:type="spellStart"/>
      <w:r>
        <w:rPr>
          <w:rtl/>
        </w:rPr>
        <w:t>כשרונותיו</w:t>
      </w:r>
      <w:proofErr w:type="spellEnd"/>
      <w:r>
        <w:rPr>
          <w:rtl/>
        </w:rPr>
        <w:t xml:space="preserve"> לראווה. ראה פרק 3, הפסקה השנייה ב</w:t>
      </w:r>
      <w:r>
        <w:rPr>
          <w:rtl/>
        </w:rPr>
        <w:fldChar w:fldCharType="begin" w:dirty="true"/>
      </w:r>
      <w:r>
        <w:rPr>
          <w:rtl/>
        </w:rPr>
        <w:instrText xml:space="preserve"> REF b3_excE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ה</w:t>
      </w:r>
      <w:r>
        <w:rPr>
          <w:rtl/>
        </w:rPr>
        <w:fldChar w:fldCharType="end"/>
      </w:r>
      <w:r>
        <w:rPr>
          <w:rtl/>
        </w:rPr>
        <w:t>: ר׳ אהרן עצמו אמר לאחד מבניו של רבנו שאביו “תמיד חשב שהוא יודע פחות ממה שידע באמת”.</w:t>
      </w:r>
    </w:p>
    <w:p w14:paraId="7AAFE89E" w14:textId="77777777" w:rsidR="00AB3647" w:rsidRDefault="00000000" w:rsidP="007923E9">
      <w:pPr>
        <w:pStyle w:val="4"/>
        <w:spacing w:line="276" w:lineRule="auto"/>
      </w:pPr>
      <w:r>
        <w:t>· הפסקה השנייה ·</w:t>
      </w:r>
    </w:p>
    <w:p w14:paraId="497BE079" w14:textId="77777777" w:rsidR="00AB3647" w:rsidRDefault="00000000" w:rsidP="007923E9">
      <w:pPr>
        <w:pStyle w:val="5"/>
        <w:spacing w:line="276" w:lineRule="auto"/>
      </w:pPr>
      <w:r>
        <w:t>שני עילויים לומדים נ״ך</w:t>
      </w:r>
    </w:p>
    <w:p w14:paraId="305F4B2A" w14:textId="77777777" w:rsidR="00AB3647" w:rsidRDefault="00000000" w:rsidP="007923E9">
      <w:pPr>
        <w:spacing w:after="120" w:line="276" w:lineRule="auto"/>
        <w:ind w:firstLine="283"/>
        <w:jc w:val="both"/>
      </w:pPr>
      <w:r>
        <w:rPr>
          <w:rtl/>
        </w:rPr>
        <w:t xml:space="preserve">כמו אבי, ידע ר׳ אהרן תנ״ך כבר בילדותו. </w:t>
      </w:r>
      <w:proofErr w:type="spellStart"/>
      <w:r>
        <w:rPr>
          <w:rtl/>
        </w:rPr>
        <w:t>ב“דאס</w:t>
      </w:r>
      <w:proofErr w:type="spellEnd"/>
      <w:r>
        <w:rPr>
          <w:rtl/>
        </w:rPr>
        <w:t xml:space="preserve"> אידישע </w:t>
      </w:r>
      <w:proofErr w:type="spellStart"/>
      <w:r>
        <w:rPr>
          <w:rtl/>
        </w:rPr>
        <w:t>ווארט</w:t>
      </w:r>
      <w:proofErr w:type="spellEnd"/>
      <w:r>
        <w:rPr>
          <w:rtl/>
        </w:rPr>
        <w:t>” [המילה היהודית]</w:t>
      </w:r>
      <w:bookmarkStart w:id="1529" w:name="_fnr1013"/>
      <w:r>
        <w:rPr>
          <w:rStyle w:val="a5"/>
        </w:rPr>
        <w:footnoteReference w:id="1016" w:customMarkFollows="0"/>
      </w:r>
      <w:bookmarkEnd w:id="1529"/>
      <w:r>
        <w:rPr>
          <w:rtl/>
        </w:rPr>
        <w:t xml:space="preserve"> מובאים זיכרונותיו של תושב </w:t>
      </w:r>
      <w:proofErr w:type="spellStart"/>
      <w:r>
        <w:rPr>
          <w:rtl/>
        </w:rPr>
        <w:t>סיסלוביץ</w:t>
      </w:r>
      <w:proofErr w:type="spellEnd"/>
      <w:r>
        <w:rPr>
          <w:rtl/>
        </w:rPr>
        <w:t>׳: “</w:t>
      </w:r>
      <w:proofErr w:type="spellStart"/>
      <w:r>
        <w:rPr>
          <w:rtl/>
        </w:rPr>
        <w:t>בסיסלוביץ</w:t>
      </w:r>
      <w:proofErr w:type="spellEnd"/>
      <w:r>
        <w:rPr>
          <w:rtl/>
        </w:rPr>
        <w:t xml:space="preserve">׳ היו מתפלאים על בנו הקטן של הרב, שזכר את כל התנ״ך בעל פה”. אבי סיפר </w:t>
      </w:r>
      <w:proofErr w:type="spellStart"/>
      <w:r>
        <w:rPr>
          <w:rtl/>
        </w:rPr>
        <w:t>לר</w:t>
      </w:r>
      <w:proofErr w:type="spellEnd"/>
      <w:r>
        <w:rPr>
          <w:rtl/>
        </w:rPr>
        <w:t xml:space="preserve">׳ </w:t>
      </w:r>
      <w:proofErr w:type="spellStart"/>
      <w:r>
        <w:rPr>
          <w:rtl/>
        </w:rPr>
        <w:t>לייבל</w:t>
      </w:r>
      <w:proofErr w:type="spellEnd"/>
      <w:r>
        <w:rPr>
          <w:rtl/>
        </w:rPr>
        <w:t xml:space="preserve"> </w:t>
      </w:r>
      <w:proofErr w:type="spellStart"/>
      <w:r>
        <w:rPr>
          <w:rtl/>
        </w:rPr>
        <w:t>פרלשטיין</w:t>
      </w:r>
      <w:bookmarkStart w:id="1530" w:name="_fnr1014"/>
      <w:proofErr w:type="spellEnd"/>
      <w:r>
        <w:rPr>
          <w:rStyle w:val="a5"/>
        </w:rPr>
        <w:footnoteReference w:id="1017" w:customMarkFollows="0"/>
      </w:r>
      <w:bookmarkEnd w:id="1530"/>
      <w:r>
        <w:rPr>
          <w:rtl/>
        </w:rPr>
        <w:t xml:space="preserve"> ש</w:t>
      </w:r>
      <w:r>
        <w:rPr>
          <w:b/>
          <w:bCs/>
          <w:rtl/>
        </w:rPr>
        <w:t>הוא</w:t>
      </w:r>
      <w:r>
        <w:rPr>
          <w:rtl/>
        </w:rPr>
        <w:t xml:space="preserve"> סיים את התנ״ך בגיל תשע,</w:t>
      </w:r>
      <w:bookmarkStart w:id="1531" w:name="_fnr1015"/>
      <w:r>
        <w:rPr>
          <w:rStyle w:val="a5"/>
        </w:rPr>
        <w:footnoteReference w:id="1018" w:customMarkFollows="0"/>
      </w:r>
      <w:bookmarkEnd w:id="1531"/>
      <w:r>
        <w:rPr>
          <w:rtl/>
        </w:rPr>
        <w:t xml:space="preserve"> והוסיף אז שר׳ אהרן היה צעיר ממנו עוד יותר כשסיים, רק בן שבע.</w:t>
      </w:r>
    </w:p>
    <w:p w14:paraId="52D34F7E" w14:textId="77777777" w:rsidR="00AB3647" w:rsidRDefault="00000000" w:rsidP="007923E9">
      <w:pPr>
        <w:pStyle w:val="4"/>
        <w:spacing w:line="276" w:lineRule="auto"/>
      </w:pPr>
      <w:r>
        <w:t>· הפסקה השלישית ·</w:t>
      </w:r>
    </w:p>
    <w:p w14:paraId="0F9D6852" w14:textId="77777777" w:rsidR="00AB3647" w:rsidRDefault="00000000" w:rsidP="007923E9">
      <w:pPr>
        <w:pStyle w:val="5"/>
        <w:spacing w:line="276" w:lineRule="auto"/>
      </w:pPr>
      <w:r>
        <w:t>אהרן פינס בקי בפושקין – ר׳ אהרן קוטלר משתמש בידיעותיו בהיסטוריה כדי להלהיב תלמידים</w:t>
      </w:r>
    </w:p>
    <w:p w14:paraId="24B7D993" w14:textId="77777777" w:rsidR="00AB3647" w:rsidRDefault="00000000" w:rsidP="007923E9">
      <w:pPr>
        <w:spacing w:after="120" w:line="276" w:lineRule="auto"/>
        <w:ind w:firstLine="283"/>
        <w:jc w:val="both"/>
      </w:pPr>
      <w:r>
        <w:rPr>
          <w:rtl/>
        </w:rPr>
        <w:t xml:space="preserve">גם ר׳ אהרן קוטלר, כמו אבי, נגע בזמן ההוא בלימודי חול. הספרות עניינה אותו יותר מן המדעים, שמשכו את לבו של אבי. אבי אמר לחתנו ר׳ ישראל </w:t>
      </w:r>
      <w:proofErr w:type="spellStart"/>
      <w:r>
        <w:rPr>
          <w:rtl/>
        </w:rPr>
        <w:t>שורין</w:t>
      </w:r>
      <w:proofErr w:type="spellEnd"/>
      <w:r>
        <w:rPr>
          <w:rtl/>
        </w:rPr>
        <w:t xml:space="preserve"> שר׳ אהרן היה בקי בכל </w:t>
      </w:r>
      <w:r>
        <w:rPr>
          <w:rtl/>
        </w:rPr>
        <w:lastRenderedPageBreak/>
        <w:t>הספרות הרוסית הקלאסית.</w:t>
      </w:r>
      <w:bookmarkStart w:id="1532" w:name="_fnr1016"/>
      <w:r>
        <w:rPr>
          <w:rStyle w:val="a5"/>
        </w:rPr>
        <w:footnoteReference w:id="1019" w:customMarkFollows="0"/>
      </w:r>
      <w:bookmarkEnd w:id="1532"/>
      <w:r>
        <w:rPr>
          <w:rtl/>
        </w:rPr>
        <w:t xml:space="preserve"> הדבר התאשר בביקור אצל בן חסותו של </w:t>
      </w:r>
      <w:proofErr w:type="spellStart"/>
      <w:r>
        <w:rPr>
          <w:rtl/>
        </w:rPr>
        <w:t>החזון־איש</w:t>
      </w:r>
      <w:proofErr w:type="spellEnd"/>
      <w:r>
        <w:rPr>
          <w:rtl/>
        </w:rPr>
        <w:t>, איש רוח צעיר שעמד בראש ישיבה ברמלה. נפלט אז מפיו של ר׳ אהרן: “זאת ביאר אלכסנדר פושקין” – כך סיפר לי ראש הישיבה.</w:t>
      </w:r>
      <w:bookmarkStart w:id="1533" w:name="_fnr1017"/>
      <w:r>
        <w:rPr>
          <w:rStyle w:val="a5"/>
        </w:rPr>
        <w:footnoteReference w:id="1020" w:customMarkFollows="0"/>
      </w:r>
      <w:bookmarkEnd w:id="1533"/>
    </w:p>
    <w:p w14:paraId="3C229054" w14:textId="77777777" w:rsidR="00AB3647" w:rsidRDefault="00000000" w:rsidP="007923E9">
      <w:pPr>
        <w:spacing w:after="120" w:line="276" w:lineRule="auto"/>
        <w:ind w:firstLine="283"/>
        <w:jc w:val="both"/>
      </w:pPr>
      <w:r>
        <w:rPr>
          <w:rtl/>
        </w:rPr>
        <w:t xml:space="preserve">ר׳ אהרן קוטלר, ר׳ שמואל </w:t>
      </w:r>
      <w:proofErr w:type="spellStart"/>
      <w:r>
        <w:rPr>
          <w:rtl/>
        </w:rPr>
        <w:t>גריינימן</w:t>
      </w:r>
      <w:proofErr w:type="spellEnd"/>
      <w:r>
        <w:rPr>
          <w:rtl/>
        </w:rPr>
        <w:t xml:space="preserve"> והאדמו״ר </w:t>
      </w:r>
      <w:proofErr w:type="spellStart"/>
      <w:r>
        <w:rPr>
          <w:rtl/>
        </w:rPr>
        <w:t>מקופיטשניץ</w:t>
      </w:r>
      <w:proofErr w:type="spellEnd"/>
      <w:r>
        <w:rPr>
          <w:rtl/>
        </w:rPr>
        <w:t xml:space="preserve">, ר׳ </w:t>
      </w:r>
      <w:proofErr w:type="spellStart"/>
      <w:r>
        <w:rPr>
          <w:rtl/>
        </w:rPr>
        <w:t>אברהם־יהושע</w:t>
      </w:r>
      <w:proofErr w:type="spellEnd"/>
      <w:r>
        <w:rPr>
          <w:rtl/>
        </w:rPr>
        <w:t xml:space="preserve"> </w:t>
      </w:r>
      <w:proofErr w:type="spellStart"/>
      <w:r>
        <w:rPr>
          <w:rtl/>
        </w:rPr>
        <w:t xml:space="preserve">העשיל</w:t>
      </w:r>
      <w:proofErr w:type="spellEnd"/>
      <w:r>
        <w:rPr>
          <w:rtl/>
        </w:rPr>
        <w:t xml:space="preserve">, ביקרו בישיבת רמלה בקיץ תשי״ד. באותה שעה נכנס לשם לכוס תה ולשיחה משה </w:t>
      </w:r>
      <w:proofErr w:type="spellStart"/>
      <w:r>
        <w:rPr>
          <w:rtl/>
        </w:rPr>
        <w:t>בר־סלע</w:t>
      </w:r>
      <w:proofErr w:type="spellEnd"/>
      <w:r>
        <w:rPr>
          <w:rtl/>
        </w:rPr>
        <w:t xml:space="preserve">, מנהל משרד העבודה והסעד וחובב פושקין – אנשים נהגו לעצור ברמלה בנסיעה מירושלים לתל אביב, שהייתה אז ארוכה. כשציטט </w:t>
      </w:r>
      <w:proofErr w:type="spellStart"/>
      <w:r>
        <w:rPr>
          <w:rtl/>
        </w:rPr>
        <w:t>בר־סלע</w:t>
      </w:r>
      <w:proofErr w:type="spellEnd"/>
      <w:r>
        <w:rPr>
          <w:rtl/>
        </w:rPr>
        <w:t xml:space="preserve"> שורה מן הפואמה “יבגני </w:t>
      </w:r>
      <w:proofErr w:type="spellStart"/>
      <w:r>
        <w:rPr>
          <w:rtl/>
        </w:rPr>
        <w:t>אונייגין</w:t>
      </w:r>
      <w:proofErr w:type="spellEnd"/>
      <w:r>
        <w:rPr>
          <w:rtl/>
        </w:rPr>
        <w:t>” בלי להזכיר את שם המחבר, הגיב ר׳ אהרן כמסופר.</w:t>
      </w:r>
    </w:p>
    <w:p w14:paraId="1507BBA3" w14:textId="77777777" w:rsidR="00AB3647" w:rsidRDefault="00000000" w:rsidP="007923E9">
      <w:pPr>
        <w:spacing w:after="120" w:line="276" w:lineRule="auto"/>
        <w:ind w:firstLine="283"/>
        <w:jc w:val="both"/>
      </w:pPr>
      <w:r>
        <w:rPr>
          <w:rtl/>
        </w:rPr>
        <w:t xml:space="preserve">פושקין היה סופר רוסי אהוד בחוגי האינטליגנציה היהודית. נתקלתי בריאיון שערך </w:t>
      </w:r>
      <w:proofErr w:type="spellStart"/>
      <w:r>
        <w:rPr>
          <w:rtl/>
        </w:rPr>
        <w:t>פרנסואה</w:t>
      </w:r>
      <w:proofErr w:type="spellEnd"/>
      <w:r>
        <w:rPr>
          <w:rtl/>
        </w:rPr>
        <w:t xml:space="preserve"> </w:t>
      </w:r>
      <w:proofErr w:type="spellStart"/>
      <w:r>
        <w:rPr>
          <w:rtl/>
        </w:rPr>
        <w:t>פואריה</w:t>
      </w:r>
      <w:proofErr w:type="spellEnd"/>
      <w:r>
        <w:rPr>
          <w:rtl/>
        </w:rPr>
        <w:t xml:space="preserve"> עם הפילוסוף היהודי הצרפתי עמנואל </w:t>
      </w:r>
      <w:proofErr w:type="spellStart"/>
      <w:r>
        <w:rPr>
          <w:rtl/>
        </w:rPr>
        <w:t>לוינס</w:t>
      </w:r>
      <w:proofErr w:type="spellEnd"/>
      <w:r>
        <w:rPr>
          <w:rtl/>
        </w:rPr>
        <w:t xml:space="preserve">, </w:t>
      </w:r>
      <w:proofErr w:type="spellStart"/>
      <w:r>
        <w:rPr>
          <w:rtl/>
        </w:rPr>
        <w:t>ב“עמנואל</w:t>
      </w:r>
      <w:proofErr w:type="spellEnd"/>
      <w:r>
        <w:rPr>
          <w:rtl/>
        </w:rPr>
        <w:t xml:space="preserve"> </w:t>
      </w:r>
      <w:proofErr w:type="spellStart"/>
      <w:r>
        <w:rPr>
          <w:rtl/>
        </w:rPr>
        <w:t>לוינס</w:t>
      </w:r>
      <w:proofErr w:type="spellEnd"/>
      <w:r>
        <w:rPr>
          <w:rtl/>
        </w:rPr>
        <w:t>, מי אתה?”,</w:t>
      </w:r>
      <w:bookmarkStart w:id="1534" w:name="_fnr1018"/>
      <w:r>
        <w:rPr>
          <w:rStyle w:val="a5"/>
        </w:rPr>
        <w:footnoteReference w:id="1021" w:customMarkFollows="0"/>
      </w:r>
      <w:bookmarkEnd w:id="1534"/>
      <w:r>
        <w:rPr>
          <w:rtl/>
        </w:rPr>
        <w:t xml:space="preserve"> ושם מספר ההוגה: “לפני כמה שנים ביקר אצלי ישראלי יליד מזרח אירופה. כשנכנס לביתי הבחין שעל מדפי הספרים עומדים כל כתבי פושקין. ‘מיד אפשר לראות’, אמר, ‘שזהו בית יהודי’”. השווה גם מסגרת במאמר “</w:t>
      </w:r>
      <w:proofErr w:type="spellStart"/>
      <w:r>
        <w:rPr>
          <w:rtl/>
        </w:rPr>
        <w:t>לפלגות</w:t>
      </w:r>
      <w:proofErr w:type="spellEnd"/>
      <w:r>
        <w:rPr>
          <w:rtl/>
        </w:rPr>
        <w:t xml:space="preserve"> ראובן” מאת ב. </w:t>
      </w:r>
      <w:proofErr w:type="spellStart"/>
      <w:r>
        <w:rPr>
          <w:rtl/>
        </w:rPr>
        <w:t>נהוראי</w:t>
      </w:r>
      <w:proofErr w:type="spellEnd"/>
      <w:r>
        <w:rPr>
          <w:rtl/>
        </w:rPr>
        <w:t xml:space="preserve"> </w:t>
      </w:r>
      <w:proofErr w:type="spellStart"/>
      <w:r>
        <w:rPr>
          <w:rtl/>
        </w:rPr>
        <w:t>ב“יתד</w:t>
      </w:r>
      <w:proofErr w:type="spellEnd"/>
      <w:r>
        <w:rPr>
          <w:rtl/>
        </w:rPr>
        <w:t xml:space="preserve"> נאמן”,</w:t>
      </w:r>
      <w:bookmarkStart w:id="1535" w:name="_fnr1019"/>
      <w:r>
        <w:rPr>
          <w:rStyle w:val="a5"/>
        </w:rPr>
        <w:footnoteReference w:id="1022" w:customMarkFollows="0"/>
      </w:r>
      <w:bookmarkEnd w:id="1535"/>
      <w:r>
        <w:rPr>
          <w:rtl/>
        </w:rPr>
        <w:t xml:space="preserve"> המספרת בשם ר׳ יוסף </w:t>
      </w:r>
      <w:proofErr w:type="spellStart"/>
      <w:r>
        <w:rPr>
          <w:rtl/>
        </w:rPr>
        <w:t>בוקסבוים</w:t>
      </w:r>
      <w:proofErr w:type="spellEnd"/>
      <w:r>
        <w:rPr>
          <w:rtl/>
        </w:rPr>
        <w:t xml:space="preserve"> מה שסיפר ר׳ ראובן </w:t>
      </w:r>
      <w:proofErr w:type="spellStart"/>
      <w:r>
        <w:rPr>
          <w:rtl/>
        </w:rPr>
        <w:t>בנגיס</w:t>
      </w:r>
      <w:proofErr w:type="spellEnd"/>
      <w:r>
        <w:rPr>
          <w:rtl/>
        </w:rPr>
        <w:t xml:space="preserve">: כשבא מפקח מטעם הממשלה הרוסית </w:t>
      </w:r>
      <w:proofErr w:type="spellStart"/>
      <w:r>
        <w:rPr>
          <w:rtl/>
        </w:rPr>
        <w:t>לוולוז׳ין</w:t>
      </w:r>
      <w:proofErr w:type="spellEnd"/>
      <w:r>
        <w:rPr>
          <w:rtl/>
        </w:rPr>
        <w:t xml:space="preserve"> לבדוק אם התלמידים יודעים לימודי חול, קרא </w:t>
      </w:r>
      <w:proofErr w:type="spellStart"/>
      <w:r>
        <w:rPr>
          <w:rtl/>
        </w:rPr>
        <w:t>הנצי״ב</w:t>
      </w:r>
      <w:proofErr w:type="spellEnd"/>
      <w:r>
        <w:rPr>
          <w:rtl/>
        </w:rPr>
        <w:t xml:space="preserve"> </w:t>
      </w:r>
      <w:proofErr w:type="spellStart"/>
      <w:r>
        <w:rPr>
          <w:rtl/>
        </w:rPr>
        <w:t>ל“תלמיד</w:t>
      </w:r>
      <w:proofErr w:type="spellEnd"/>
      <w:r>
        <w:rPr>
          <w:rtl/>
        </w:rPr>
        <w:t xml:space="preserve"> טיפוסי”, לראובן עצמו, לדקלם שיר של פושקין. [אבל הוא הגזים, כשהראה שלא בחכמה שהוא יכול לדקלם את השיר גם מן הסוף להתחלה, והמפקח הבין </w:t>
      </w:r>
      <w:proofErr w:type="spellStart"/>
      <w:r>
        <w:rPr>
          <w:rtl/>
        </w:rPr>
        <w:t>שבנגיס</w:t>
      </w:r>
      <w:proofErr w:type="spellEnd"/>
      <w:r>
        <w:rPr>
          <w:rtl/>
        </w:rPr>
        <w:t xml:space="preserve"> אינו תלמיד טיפוסי, כפי שהציגוהו.]</w:t>
      </w:r>
    </w:p>
    <w:p w14:paraId="64B61CE0" w14:textId="77777777" w:rsidR="00AB3647" w:rsidRDefault="00000000" w:rsidP="007923E9">
      <w:pPr>
        <w:spacing w:after="120" w:line="276" w:lineRule="auto"/>
        <w:ind w:firstLine="283"/>
        <w:jc w:val="both"/>
      </w:pPr>
      <w:r>
        <w:rPr>
          <w:rtl/>
        </w:rPr>
        <w:t xml:space="preserve">ר׳ בערל </w:t>
      </w:r>
      <w:proofErr w:type="spellStart"/>
      <w:r>
        <w:rPr>
          <w:rtl/>
        </w:rPr>
        <w:t>קרויזר</w:t>
      </w:r>
      <w:bookmarkStart w:id="1536" w:name="_fnr1020"/>
      <w:proofErr w:type="spellEnd"/>
      <w:r>
        <w:rPr>
          <w:rStyle w:val="a5"/>
        </w:rPr>
        <w:footnoteReference w:id="1023" w:customMarkFollows="0"/>
      </w:r>
      <w:bookmarkEnd w:id="1536"/>
      <w:r>
        <w:rPr>
          <w:rtl/>
        </w:rPr>
        <w:t xml:space="preserve"> סיפר שר׳ ראובן </w:t>
      </w:r>
      <w:proofErr w:type="spellStart"/>
      <w:r>
        <w:rPr>
          <w:rtl/>
        </w:rPr>
        <w:t>בנגיס</w:t>
      </w:r>
      <w:proofErr w:type="spellEnd"/>
      <w:r>
        <w:rPr>
          <w:rtl/>
        </w:rPr>
        <w:t>, שהיה מקורב אליו מאוד, סיפר לו בעצמו מה שנראה כהשלמה לסיפור זה. ר׳ ראובן לא ידע רוסית, ולקראת המבחן ביקש מתלמיד אחר שידע את השפה לקרוא לפניו עמוד מתוך ספר רוסי. הוא זכר את העמוד מילה במילה, וכשבחן אותו המפקח העמיד פנים שהוא קורא אותו מתוך הספר.</w:t>
      </w:r>
      <w:bookmarkStart w:id="1537" w:name="_fnr1021"/>
      <w:r>
        <w:rPr>
          <w:rStyle w:val="a5"/>
        </w:rPr>
        <w:footnoteReference w:id="1024" w:customMarkFollows="0"/>
      </w:r>
      <w:bookmarkEnd w:id="1537"/>
    </w:p>
    <w:p w14:paraId="397EB436" w14:textId="77777777" w:rsidR="00AB3647" w:rsidRDefault="00000000" w:rsidP="007923E9">
      <w:pPr>
        <w:spacing w:after="120" w:line="276" w:lineRule="auto"/>
        <w:ind w:firstLine="283"/>
        <w:jc w:val="both"/>
      </w:pPr>
      <w:r>
        <w:rPr>
          <w:rtl/>
        </w:rPr>
        <w:lastRenderedPageBreak/>
        <w:t xml:space="preserve">גם בתולדות ישראל היה ר׳ אהרן בקי מובהק. כך סיפר מי שעמד שנים רבות בראש “תורה ומסורה”, ד״ר יוסף </w:t>
      </w:r>
      <w:proofErr w:type="spellStart"/>
      <w:r>
        <w:rPr>
          <w:rtl/>
        </w:rPr>
        <w:t>קמינצקי</w:t>
      </w:r>
      <w:proofErr w:type="spellEnd"/>
      <w:r>
        <w:rPr>
          <w:rtl/>
        </w:rPr>
        <w:t>: הוא זכר</w:t>
      </w:r>
      <w:bookmarkStart w:id="1538" w:name="_fnr1022"/>
      <w:r>
        <w:rPr>
          <w:rStyle w:val="a5"/>
        </w:rPr>
        <w:footnoteReference w:id="1025" w:customMarkFollows="0"/>
      </w:r>
      <w:bookmarkEnd w:id="1538"/>
      <w:r>
        <w:rPr>
          <w:rtl/>
        </w:rPr>
        <w:t xml:space="preserve"> שפעמים רבות, כשליווה את הרב קוטלר, היו תולדות ישראל נושא שיחתם.</w:t>
      </w:r>
    </w:p>
    <w:p w14:paraId="4CD4589A" w14:textId="77777777" w:rsidR="00AB3647" w:rsidRDefault="00000000" w:rsidP="007923E9">
      <w:pPr>
        <w:spacing w:after="120" w:line="276" w:lineRule="auto"/>
        <w:ind w:firstLine="283"/>
        <w:jc w:val="both"/>
      </w:pPr>
      <w:r>
        <w:rPr>
          <w:rtl/>
        </w:rPr>
        <w:t xml:space="preserve">לפי ר׳ </w:t>
      </w:r>
      <w:proofErr w:type="spellStart"/>
      <w:r>
        <w:rPr>
          <w:rtl/>
        </w:rPr>
        <w:t>יענקל</w:t>
      </w:r>
      <w:proofErr w:type="spellEnd"/>
      <w:r>
        <w:rPr>
          <w:rtl/>
        </w:rPr>
        <w:t xml:space="preserve"> וייסברג,</w:t>
      </w:r>
      <w:bookmarkStart w:id="1539" w:name="_fnr1023"/>
      <w:r>
        <w:rPr>
          <w:rStyle w:val="a5"/>
        </w:rPr>
        <w:footnoteReference w:id="1026" w:customMarkFollows="0"/>
      </w:r>
      <w:bookmarkEnd w:id="1539"/>
      <w:r>
        <w:rPr>
          <w:rtl/>
        </w:rPr>
        <w:t xml:space="preserve"> השתמש ר׳ אהרן בידיעה זו </w:t>
      </w:r>
      <w:proofErr w:type="spellStart"/>
      <w:r>
        <w:rPr>
          <w:rtl/>
        </w:rPr>
        <w:t>ב“נאום</w:t>
      </w:r>
      <w:proofErr w:type="spellEnd"/>
      <w:r>
        <w:rPr>
          <w:rtl/>
        </w:rPr>
        <w:t xml:space="preserve"> סוער שנשא בכינוס של כל תלמידי התורה המבוגרים באמריקה, שמנו אז כמאה וחמישים, בשול ברחוב קלינטון בלואר </w:t>
      </w:r>
      <w:proofErr w:type="spellStart"/>
      <w:r>
        <w:rPr>
          <w:rtl/>
        </w:rPr>
        <w:t>איסט</w:t>
      </w:r>
      <w:proofErr w:type="spellEnd"/>
      <w:r>
        <w:rPr>
          <w:rtl/>
        </w:rPr>
        <w:t xml:space="preserve"> סייד שבניו יורק, בחורף תש״ג. ר׳ אהרן תיאר את שלשלת מסירת התורה מסיני עד אחרית הימים כמורכבת מחוליות שונות באיכותן, יש מחומר יקר ויש מחומר פשוט. הוא סקר את הסדר ההיסטורי של מוסרי התורה הגדולים, החל ברבן יוחנן בן זכאי, דרך הראשונים, ועד הדור האחרון באירופה. הוא סיים שהאחריות לחשל חוליה נוספת בשלשלת מוטלת עלינו לא פחות משהייתה מוטלת על קודמינו. הוא עורר כל אחד מן השומעים להקדיש עצמו ללימוד התורה. אותו נאום היה יריית הפתיחה להקמתו של בית מדרש גבוה </w:t>
      </w:r>
      <w:proofErr w:type="spellStart"/>
      <w:r>
        <w:rPr>
          <w:rtl/>
        </w:rPr>
        <w:t>בלייקווד</w:t>
      </w:r>
      <w:proofErr w:type="spellEnd"/>
      <w:r>
        <w:rPr>
          <w:rtl/>
        </w:rPr>
        <w:t>”.</w:t>
      </w:r>
    </w:p>
    <w:p w14:paraId="0957F5BF" w14:textId="77777777" w:rsidR="00AB3647" w:rsidRDefault="00000000" w:rsidP="007923E9">
      <w:pPr>
        <w:pStyle w:val="4"/>
        <w:spacing w:line="276" w:lineRule="auto"/>
      </w:pPr>
      <w:r>
        <w:t>· הפסקה הרביעית ·</w:t>
      </w:r>
    </w:p>
    <w:p w14:paraId="0E7B6626" w14:textId="77777777" w:rsidR="00AB3647" w:rsidRDefault="00000000" w:rsidP="007923E9">
      <w:pPr>
        <w:pStyle w:val="5"/>
        <w:spacing w:line="276" w:lineRule="auto"/>
      </w:pPr>
      <w:r>
        <w:t>קריאה בלימודי חול אפשר שלא תפריע להיעשות גדול בתורה</w:t>
      </w:r>
    </w:p>
    <w:p w14:paraId="2F0A7767" w14:textId="77777777" w:rsidR="00AB3647" w:rsidRDefault="00000000" w:rsidP="007923E9">
      <w:pPr>
        <w:spacing w:after="120" w:line="276" w:lineRule="auto"/>
        <w:ind w:firstLine="283"/>
        <w:jc w:val="both"/>
      </w:pPr>
      <w:r>
        <w:rPr>
          <w:rtl/>
        </w:rPr>
        <w:t xml:space="preserve">הדיון בעיסוקם של רבנו – ושל ר׳ אהרן – בלימודי חול אינו שלם אם אין הקורא יודע את דברי </w:t>
      </w:r>
      <w:proofErr w:type="spellStart"/>
      <w:r>
        <w:rPr>
          <w:rtl/>
        </w:rPr>
        <w:t>הנצי״ב</w:t>
      </w:r>
      <w:proofErr w:type="spellEnd"/>
      <w:r>
        <w:rPr>
          <w:rtl/>
        </w:rPr>
        <w:t xml:space="preserve"> </w:t>
      </w:r>
      <w:proofErr w:type="spellStart"/>
      <w:r>
        <w:rPr>
          <w:rtl/>
        </w:rPr>
        <w:t>בשו״ת</w:t>
      </w:r>
      <w:proofErr w:type="spellEnd"/>
      <w:r>
        <w:rPr>
          <w:rtl/>
        </w:rPr>
        <w:t xml:space="preserve"> “משיב דבר”, ח״א, סימן מ״ד. אחרי שקבע הנחיות ללימודי חול במקום שהשלטונות מחייבים אותם – “ואם יצטרכו </w:t>
      </w:r>
      <w:r>
        <w:rPr>
          <w:b/>
          <w:bCs/>
          <w:rtl/>
        </w:rPr>
        <w:t>עפ״י המלכות</w:t>
      </w:r>
      <w:r>
        <w:rPr>
          <w:rtl/>
        </w:rPr>
        <w:t xml:space="preserve"> (ההדגשה שלי) ללמוד לימודי חול, גם כן יהא בהשגחה מרב וראשי ישראל וכו׳ עפ״י המורה אשר יבחרו שלא יסורו מדרך התורה, וגם יהיו מפנים שעות מרווחים לעסק התורה, וזה </w:t>
      </w:r>
      <w:proofErr w:type="spellStart"/>
      <w:r>
        <w:rPr>
          <w:rtl/>
        </w:rPr>
        <w:t>וזה</w:t>
      </w:r>
      <w:proofErr w:type="spellEnd"/>
      <w:r>
        <w:rPr>
          <w:rtl/>
        </w:rPr>
        <w:t xml:space="preserve"> יתקיים בידם” – הוא מצרף הסתייגות זו: “האף שאין לקוות שיצא מלימודם בשעות כאלה להוראה וכו׳ וא״א להיות גדול בתורה בשעה שעוסק בדברים אחרים. וכל גדולי תורה שהמה גם חכמים בלימודי חול, אינו אלא </w:t>
      </w:r>
      <w:proofErr w:type="spellStart"/>
      <w:r>
        <w:rPr>
          <w:b/>
          <w:bCs/>
          <w:rtl/>
        </w:rPr>
        <w:t>שנתעסקו</w:t>
      </w:r>
      <w:proofErr w:type="spellEnd"/>
      <w:r>
        <w:rPr>
          <w:b/>
          <w:bCs/>
          <w:rtl/>
        </w:rPr>
        <w:t xml:space="preserve"> בלימודי חול קודם ששקעו ראשם בתורה</w:t>
      </w:r>
      <w:r>
        <w:rPr>
          <w:rtl/>
        </w:rPr>
        <w:t xml:space="preserve"> (ההדגשה שלי) או אחרי שכבר </w:t>
      </w:r>
      <w:proofErr w:type="spellStart"/>
      <w:r>
        <w:rPr>
          <w:rtl/>
        </w:rPr>
        <w:t>נתגדלו</w:t>
      </w:r>
      <w:proofErr w:type="spellEnd"/>
      <w:r>
        <w:rPr>
          <w:rtl/>
        </w:rPr>
        <w:t xml:space="preserve"> בתורה, אבל ביחד אי אפשר להגיע לתכלית הלימוד”.</w:t>
      </w:r>
    </w:p>
    <w:p w14:paraId="3F937BB7" w14:textId="77777777" w:rsidR="00AB3647" w:rsidRDefault="00000000" w:rsidP="007923E9">
      <w:pPr>
        <w:spacing w:after="120" w:line="276" w:lineRule="auto"/>
        <w:ind w:firstLine="283"/>
        <w:jc w:val="both"/>
      </w:pPr>
      <w:r>
        <w:rPr>
          <w:rtl/>
        </w:rPr>
        <w:t>אצל רבנו ור׳ אהרן, ההתעסקות בענייני חול הייתה שטחית בלבד – אי אפשר באמת לכנותה “</w:t>
      </w:r>
      <w:r>
        <w:rPr>
          <w:b/>
          <w:bCs/>
          <w:rtl/>
        </w:rPr>
        <w:t>לימודי</w:t>
      </w:r>
      <w:r>
        <w:rPr>
          <w:rtl/>
        </w:rPr>
        <w:t xml:space="preserve"> חול”. מלבד זאת, הם נהגו לפי הראשונה משתי הדרכים שבהוראת </w:t>
      </w:r>
      <w:proofErr w:type="spellStart"/>
      <w:r>
        <w:rPr>
          <w:rtl/>
        </w:rPr>
        <w:t>הנצי״ב</w:t>
      </w:r>
      <w:proofErr w:type="spellEnd"/>
      <w:r>
        <w:rPr>
          <w:rtl/>
        </w:rPr>
        <w:t xml:space="preserve"> (כמודגש במשפט המובא), והיא שאפשרה להם להיעשות “גדולי תורה” ולהגיע </w:t>
      </w:r>
      <w:proofErr w:type="spellStart"/>
      <w:r>
        <w:rPr>
          <w:rtl/>
        </w:rPr>
        <w:t>ל“תכלית</w:t>
      </w:r>
      <w:proofErr w:type="spellEnd"/>
      <w:r>
        <w:rPr>
          <w:rtl/>
        </w:rPr>
        <w:t xml:space="preserve"> הלימוד”.</w:t>
      </w:r>
    </w:p>
    <w:bookmarkStart w:id="1540" w:name="b2_excF"/>
    <w:p w14:paraId="17FDF865" w14:textId="77777777" w:rsidR="00AB3647" w:rsidRDefault="00000000" w:rsidP="007923E9">
      <w:pPr>
        <w:pStyle w:val="3"/>
        <w:spacing w:line="276" w:lineRule="auto"/>
      </w:pPr>
      <w:r>
        <w:lastRenderedPageBreak/>
        <w:fldChar w:fldCharType="begin" w:dirty="true"/>
      </w:r>
      <w:r>
        <w:rPr>
          <w:rtl w:val="0"/>
        </w:rPr>
        <w:instrText>HYPERLINK \l "b2_note99</w:instrText>
      </w:r>
      <w:r>
        <w:instrText>"</w:instrText>
      </w:r>
      <w:r>
        <w:fldChar w:fldCharType="separate"/>
      </w:r>
      <w:r>
        <w:t>נספח ו</w:t>
      </w:r>
      <w:r>
        <w:fldChar w:fldCharType="end"/>
      </w:r>
      <w:bookmarkEnd w:id="1540"/>
    </w:p>
    <w:p w14:paraId="052EF72A" w14:textId="77777777" w:rsidR="00AB3647" w:rsidRDefault="00000000" w:rsidP="007923E9">
      <w:pPr>
        <w:pStyle w:val="af"/>
        <w:spacing w:line="276" w:lineRule="auto"/>
      </w:pPr>
      <w:r>
        <w:t xml:space="preserve">על השתתפותם של תלמידי הישיבה האחרת </w:t>
      </w:r>
      <w:proofErr w:type="spellStart"/>
      <w:r>
        <w:t>בסלבודקה</w:t>
      </w:r>
      <w:proofErr w:type="spellEnd"/>
      <w:r>
        <w:t xml:space="preserve"> בשיעוריו של ר׳ </w:t>
      </w:r>
      <w:proofErr w:type="spellStart"/>
      <w:r>
        <w:t>ברוך־בער</w:t>
      </w:r>
      <w:proofErr w:type="spellEnd"/>
    </w:p>
    <w:p w14:paraId="75CCA9C5" w14:textId="77777777" w:rsidR="00AB3647" w:rsidRDefault="00000000" w:rsidP="007923E9">
      <w:pPr>
        <w:pStyle w:val="5"/>
        <w:spacing w:line="276" w:lineRule="auto"/>
      </w:pPr>
      <w:r>
        <w:t xml:space="preserve">ר׳ ראובן </w:t>
      </w:r>
      <w:proofErr w:type="spellStart"/>
      <w:r>
        <w:t>גרוזובסקי</w:t>
      </w:r>
      <w:proofErr w:type="spellEnd"/>
      <w:r>
        <w:t xml:space="preserve"> חוזר על שיעור של ר׳ </w:t>
      </w:r>
      <w:proofErr w:type="spellStart"/>
      <w:r>
        <w:t>ברוך־בער</w:t>
      </w:r>
      <w:proofErr w:type="spellEnd"/>
      <w:r>
        <w:t xml:space="preserve"> לפני המועמדים לישיבת </w:t>
      </w:r>
      <w:proofErr w:type="spellStart"/>
      <w:r>
        <w:t>סלבודקה</w:t>
      </w:r>
      <w:proofErr w:type="spellEnd"/>
      <w:r>
        <w:t xml:space="preserve"> – כנסת ישראל משנה את מדיניותה בעניין השתתפות בשיעורים בישיבה המתחרה – ר׳ ראובן דוחה הצעה לעבור מכנסת ישראל</w:t>
      </w:r>
    </w:p>
    <w:p w14:paraId="4799EE84" w14:textId="77777777" w:rsidR="00AB3647" w:rsidRDefault="00000000" w:rsidP="007923E9">
      <w:pPr>
        <w:spacing w:after="120" w:line="276" w:lineRule="auto"/>
        <w:ind w:firstLine="283"/>
        <w:jc w:val="both"/>
      </w:pPr>
      <w:r>
        <w:rPr>
          <w:rtl/>
        </w:rPr>
        <w:t xml:space="preserve">ר׳ חיים </w:t>
      </w:r>
      <w:proofErr w:type="spellStart"/>
      <w:r>
        <w:rPr>
          <w:rtl/>
        </w:rPr>
        <w:t>גרוזובסקי</w:t>
      </w:r>
      <w:proofErr w:type="spellEnd"/>
      <w:r>
        <w:rPr>
          <w:rtl/>
        </w:rPr>
        <w:t xml:space="preserve"> סיפר</w:t>
      </w:r>
      <w:bookmarkStart w:id="1541" w:name="_fnr1024"/>
      <w:r>
        <w:rPr>
          <w:rStyle w:val="a5"/>
        </w:rPr>
        <w:footnoteReference w:id="1027" w:customMarkFollows="0"/>
      </w:r>
      <w:bookmarkEnd w:id="1541"/>
      <w:r>
        <w:rPr>
          <w:rtl/>
        </w:rPr>
        <w:t xml:space="preserve"> בשם אביו שאחת הטענות שבהן השתמש כדי לשכנע את רבנו ואת ר׳ אהרן ללכת </w:t>
      </w:r>
      <w:proofErr w:type="spellStart"/>
      <w:r>
        <w:rPr>
          <w:rtl/>
        </w:rPr>
        <w:t>לסלבודקה</w:t>
      </w:r>
      <w:proofErr w:type="spellEnd"/>
      <w:r>
        <w:rPr>
          <w:rtl/>
        </w:rPr>
        <w:t xml:space="preserve"> הייתה שיוכלו ליהנות בה משתי ישיבותיה בבת אחת.</w:t>
      </w:r>
      <w:bookmarkStart w:id="1542" w:name="_fnr1025"/>
      <w:r>
        <w:rPr>
          <w:rStyle w:val="a5"/>
        </w:rPr>
        <w:footnoteReference w:id="1028" w:customMarkFollows="0"/>
      </w:r>
      <w:bookmarkEnd w:id="1542"/>
      <w:r>
        <w:rPr>
          <w:rtl/>
        </w:rPr>
        <w:t xml:space="preserve"> כדי להמחיש זאת חזר לפניהם על שיעור </w:t>
      </w:r>
      <w:proofErr w:type="spellStart"/>
      <w:r>
        <w:rPr>
          <w:rtl/>
        </w:rPr>
        <w:t>ב“עובר</w:t>
      </w:r>
      <w:proofErr w:type="spellEnd"/>
      <w:r>
        <w:rPr>
          <w:rtl/>
        </w:rPr>
        <w:t xml:space="preserve"> ירך </w:t>
      </w:r>
      <w:proofErr w:type="spellStart"/>
      <w:r>
        <w:rPr>
          <w:rtl/>
        </w:rPr>
        <w:t>אמו</w:t>
      </w:r>
      <w:proofErr w:type="spellEnd"/>
      <w:r>
        <w:rPr>
          <w:rtl/>
        </w:rPr>
        <w:t>” ששמע, בהיותו תלמיד ב</w:t>
      </w:r>
      <w:r>
        <w:rPr>
          <w:b/>
          <w:bCs/>
          <w:rtl/>
        </w:rPr>
        <w:t>כנסת ישראל</w:t>
      </w:r>
      <w:r>
        <w:rPr>
          <w:rtl/>
        </w:rPr>
        <w:t xml:space="preserve">, מפי ר׳ </w:t>
      </w:r>
      <w:proofErr w:type="spellStart"/>
      <w:r>
        <w:rPr>
          <w:rtl/>
        </w:rPr>
        <w:t>ברוך־בער</w:t>
      </w:r>
      <w:proofErr w:type="spellEnd"/>
      <w:r>
        <w:rPr>
          <w:rtl/>
        </w:rPr>
        <w:t xml:space="preserve"> ב</w:t>
      </w:r>
      <w:r>
        <w:rPr>
          <w:b/>
          <w:bCs/>
          <w:rtl/>
        </w:rPr>
        <w:t>כנסת בית יצחק</w:t>
      </w:r>
      <w:r>
        <w:rPr>
          <w:rtl/>
        </w:rPr>
        <w:t>.</w:t>
      </w:r>
    </w:p>
    <w:p w14:paraId="776012D8" w14:textId="77777777" w:rsidR="00AB3647" w:rsidRDefault="00000000" w:rsidP="007923E9">
      <w:pPr>
        <w:spacing w:after="120" w:line="276" w:lineRule="auto"/>
        <w:ind w:firstLine="283"/>
        <w:jc w:val="both"/>
      </w:pPr>
      <w:r>
        <w:rPr>
          <w:rtl/>
        </w:rPr>
        <w:t xml:space="preserve">ככל הנראה זהו השיעור בנושא זה שנדפס </w:t>
      </w:r>
      <w:proofErr w:type="spellStart"/>
      <w:r>
        <w:rPr>
          <w:rtl/>
        </w:rPr>
        <w:t>ב“ברכת</w:t>
      </w:r>
      <w:proofErr w:type="spellEnd"/>
      <w:r>
        <w:rPr>
          <w:rtl/>
        </w:rPr>
        <w:t xml:space="preserve"> שמואל, </w:t>
      </w:r>
      <w:proofErr w:type="spellStart"/>
      <w:r>
        <w:rPr>
          <w:rtl/>
        </w:rPr>
        <w:t>ח״ג</w:t>
      </w:r>
      <w:proofErr w:type="spellEnd"/>
      <w:r>
        <w:rPr>
          <w:rtl/>
        </w:rPr>
        <w:t xml:space="preserve">, על מסכתות גיטין ונדרים”. הספר הוכן לדפוס מכתבי היד של ר׳ </w:t>
      </w:r>
      <w:proofErr w:type="spellStart"/>
      <w:r>
        <w:rPr>
          <w:rtl/>
        </w:rPr>
        <w:t>ברוך־בער</w:t>
      </w:r>
      <w:proofErr w:type="spellEnd"/>
      <w:r>
        <w:rPr>
          <w:rtl/>
        </w:rPr>
        <w:t xml:space="preserve"> בשנת תשי״ז, לפי ההקדמה מאת אחיינו, ר׳ </w:t>
      </w:r>
      <w:proofErr w:type="spellStart"/>
      <w:r>
        <w:rPr>
          <w:rtl/>
        </w:rPr>
        <w:t>חיים־שלום</w:t>
      </w:r>
      <w:proofErr w:type="spellEnd"/>
      <w:r>
        <w:rPr>
          <w:rtl/>
        </w:rPr>
        <w:t xml:space="preserve"> </w:t>
      </w:r>
      <w:proofErr w:type="spellStart"/>
      <w:r>
        <w:rPr>
          <w:rtl/>
        </w:rPr>
        <w:t>ליבוביץ</w:t>
      </w:r>
      <w:proofErr w:type="spellEnd"/>
      <w:r>
        <w:rPr>
          <w:rtl/>
        </w:rPr>
        <w:t>. השיעור</w:t>
      </w:r>
      <w:bookmarkStart w:id="1543" w:name="_fnr1026"/>
      <w:r>
        <w:rPr>
          <w:rStyle w:val="a5"/>
        </w:rPr>
        <w:footnoteReference w:id="1029" w:customMarkFollows="0"/>
      </w:r>
      <w:bookmarkEnd w:id="1543"/>
      <w:r>
        <w:rPr>
          <w:rtl/>
        </w:rPr>
        <w:t xml:space="preserve"> הועלה על הכתב בידי מחברו אחרי תרע״ז, כמו שמעיד אזכורו של ר׳ </w:t>
      </w:r>
      <w:proofErr w:type="spellStart"/>
      <w:r>
        <w:rPr>
          <w:rtl/>
        </w:rPr>
        <w:t>אליהו־ברוך</w:t>
      </w:r>
      <w:proofErr w:type="spellEnd"/>
      <w:r>
        <w:rPr>
          <w:rtl/>
        </w:rPr>
        <w:t xml:space="preserve"> קמאי כמי שכבר נפטר; אבל הוא חובר הרבה קודם לכן, כמו שמעידות המילים “מימי חורפי” שבראש השיעור. כמה קודם </w:t>
      </w:r>
      <w:proofErr w:type="spellStart"/>
      <w:r>
        <w:rPr>
          <w:rtl/>
        </w:rPr>
        <w:t>לתרע״ז</w:t>
      </w:r>
      <w:proofErr w:type="spellEnd"/>
      <w:r>
        <w:rPr>
          <w:rtl/>
        </w:rPr>
        <w:t xml:space="preserve"> – הדבר ניכר מכך שהוא מביא קושיה </w:t>
      </w:r>
      <w:proofErr w:type="spellStart"/>
      <w:r>
        <w:rPr>
          <w:rtl/>
        </w:rPr>
        <w:t>ש“גאון</w:t>
      </w:r>
      <w:proofErr w:type="spellEnd"/>
      <w:r>
        <w:rPr>
          <w:rtl/>
        </w:rPr>
        <w:t xml:space="preserve"> אחד, יאריך ימים ושנים טובים, הקשה על יסודו” כשהיה מחברו, יליד תרכ״ו, “עול ימים”. מכאן שהשיעור חובר כשבא ר׳ </w:t>
      </w:r>
      <w:proofErr w:type="spellStart"/>
      <w:r>
        <w:rPr>
          <w:rtl/>
        </w:rPr>
        <w:t>ברוך־בער</w:t>
      </w:r>
      <w:proofErr w:type="spellEnd"/>
      <w:r>
        <w:rPr>
          <w:rtl/>
        </w:rPr>
        <w:t xml:space="preserve"> לראשונה ללמוד </w:t>
      </w:r>
      <w:proofErr w:type="spellStart"/>
      <w:r>
        <w:rPr>
          <w:rtl/>
        </w:rPr>
        <w:t>בוולוז׳ין</w:t>
      </w:r>
      <w:proofErr w:type="spellEnd"/>
      <w:r>
        <w:rPr>
          <w:rtl/>
        </w:rPr>
        <w:t>, או קודם לכן.</w:t>
      </w:r>
      <w:bookmarkStart w:id="1544" w:name="_fnr1027"/>
      <w:r>
        <w:rPr>
          <w:rStyle w:val="a5"/>
        </w:rPr>
        <w:footnoteReference w:id="1030" w:customMarkFollows="0"/>
      </w:r>
      <w:bookmarkEnd w:id="1544"/>
    </w:p>
    <w:p w14:paraId="3BBFE0F4" w14:textId="0A3FFFE1" w:rsidR="00AB3647" w:rsidRDefault="00000000" w:rsidP="007923E9">
      <w:pPr>
        <w:spacing w:after="120" w:line="276" w:lineRule="auto"/>
        <w:ind w:firstLine="283"/>
        <w:jc w:val="both"/>
      </w:pPr>
      <w:r>
        <w:rPr>
          <w:rtl/>
        </w:rPr>
        <w:t>מעניין שלפי “ר׳ ברוך בר”, מאת “הרב יצחק אדלשטיין”,</w:t>
      </w:r>
      <w:bookmarkStart w:id="1545" w:name="_fnr1028"/>
      <w:r>
        <w:rPr>
          <w:rStyle w:val="a5"/>
        </w:rPr>
        <w:footnoteReference w:id="1031" w:customMarkFollows="0"/>
      </w:r>
      <w:bookmarkEnd w:id="1545"/>
      <w:r>
        <w:rPr>
          <w:rtl/>
        </w:rPr>
        <w:t xml:space="preserve"> ר׳ </w:t>
      </w:r>
      <w:proofErr w:type="spellStart"/>
      <w:r>
        <w:rPr>
          <w:rtl/>
        </w:rPr>
        <w:t>ברוך־בער</w:t>
      </w:r>
      <w:proofErr w:type="spellEnd"/>
      <w:r>
        <w:rPr>
          <w:rtl/>
        </w:rPr>
        <w:t xml:space="preserve"> “תמיד אמר חידושי תורה בעניין עובר ירך </w:t>
      </w:r>
      <w:proofErr w:type="spellStart"/>
      <w:r>
        <w:rPr>
          <w:rtl/>
        </w:rPr>
        <w:t>אמו</w:t>
      </w:r>
      <w:proofErr w:type="spellEnd"/>
      <w:r>
        <w:rPr>
          <w:rtl/>
        </w:rPr>
        <w:t xml:space="preserve"> – [אבל] אחרי שנדפס ספרו של רבו ר׳ חיים </w:t>
      </w:r>
      <w:proofErr w:type="spellStart"/>
      <w:r>
        <w:rPr>
          <w:rtl/>
        </w:rPr>
        <w:t>סולובייצ׳יק</w:t>
      </w:r>
      <w:proofErr w:type="spellEnd"/>
      <w:r>
        <w:rPr>
          <w:rtl/>
        </w:rPr>
        <w:t>, ‘</w:t>
      </w:r>
      <w:proofErr w:type="spellStart"/>
      <w:r>
        <w:rPr>
          <w:rtl/>
        </w:rPr>
        <w:t>חדושי</w:t>
      </w:r>
      <w:proofErr w:type="spellEnd"/>
      <w:r>
        <w:rPr>
          <w:rtl/>
        </w:rPr>
        <w:t xml:space="preserve"> רבנו חיים הלוי’ [בשנת תרצ״ו], היה חוזר על מה שכתב ר׳ חיים בעניין זה שם,</w:t>
      </w:r>
      <w:bookmarkStart w:id="1546" w:name="_fnr1029"/>
      <w:r>
        <w:rPr>
          <w:rStyle w:val="a5"/>
        </w:rPr>
        <w:footnoteReference w:id="1032" w:customMarkFollows="0"/>
      </w:r>
      <w:bookmarkEnd w:id="1546"/>
      <w:r>
        <w:rPr>
          <w:rtl/>
        </w:rPr>
        <w:t xml:space="preserve"> ולא על חידושיו שלו”. השווה גם פרק 3, הפסקה השנייה ב</w:t>
      </w:r>
      <w:r>
        <w:rPr>
          <w:rtl/>
        </w:rPr>
        <w:fldChar w:fldCharType="begin" w:dirty="true"/>
      </w:r>
      <w:r>
        <w:rPr>
          <w:rtl/>
        </w:rPr>
        <w:instrText xml:space="preserve"> REF b3_excP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טז</w:t>
      </w:r>
      <w:proofErr w:type="spellEnd"/>
      <w:r>
        <w:rPr>
          <w:rtl/>
        </w:rPr>
        <w:fldChar w:fldCharType="end"/>
      </w:r>
      <w:r>
        <w:rPr>
          <w:rtl/>
        </w:rPr>
        <w:t xml:space="preserve">, על הערצתו של ר׳ </w:t>
      </w:r>
      <w:proofErr w:type="spellStart"/>
      <w:r>
        <w:rPr>
          <w:rtl/>
        </w:rPr>
        <w:t>ברוך־בער</w:t>
      </w:r>
      <w:proofErr w:type="spellEnd"/>
      <w:r>
        <w:rPr>
          <w:rtl/>
        </w:rPr>
        <w:t xml:space="preserve"> לספר שחיבר ר׳ חיים. והשווה גם אדלשטיין,</w:t>
      </w:r>
      <w:bookmarkStart w:id="1547" w:name="_fnr1030"/>
      <w:r>
        <w:rPr>
          <w:rStyle w:val="a5"/>
        </w:rPr>
        <w:footnoteReference w:id="1033" w:customMarkFollows="0"/>
      </w:r>
      <w:bookmarkEnd w:id="1547"/>
      <w:r>
        <w:rPr>
          <w:rtl/>
        </w:rPr>
        <w:t xml:space="preserve"> שבמקרים הנדירים שבהם אמר ר׳ </w:t>
      </w:r>
      <w:proofErr w:type="spellStart"/>
      <w:r>
        <w:rPr>
          <w:rtl/>
        </w:rPr>
        <w:t>ברוך־בער</w:t>
      </w:r>
      <w:proofErr w:type="spellEnd"/>
      <w:r>
        <w:rPr>
          <w:rtl/>
        </w:rPr>
        <w:t xml:space="preserve"> פשט שונה משל רבו, היה אומר: “הרבי אמר כך, ואני סברתי אחרת; ואזרתי מתניי ואמרתי שלא כרבי”.</w:t>
      </w:r>
    </w:p>
    <w:p w14:paraId="4B25CD7A" w14:textId="54480AEB" w:rsidR="00AB3647" w:rsidRDefault="00000000" w:rsidP="007923E9">
      <w:pPr>
        <w:spacing w:after="120" w:line="276" w:lineRule="auto"/>
        <w:ind w:firstLine="283"/>
        <w:jc w:val="both"/>
      </w:pPr>
      <w:r>
        <w:rPr>
          <w:rtl/>
        </w:rPr>
        <w:t xml:space="preserve">ר׳ ראובן הוא שגילה לשני הנערים שיוכלו לשמוע את השיעורים בכנסת בית יצחק בעודם לומדים בכנסת ישראל. מכאן נראה שגם ר׳ אהרן, כמו אבי, לא ידע שתלמידי כנסת ישראל יושבים עמו בין השומעים. אבי לא היה </w:t>
      </w:r>
      <w:proofErr w:type="spellStart"/>
      <w:r>
        <w:rPr>
          <w:rtl/>
        </w:rPr>
        <w:t>בסלבודקה</w:t>
      </w:r>
      <w:proofErr w:type="spellEnd"/>
      <w:r>
        <w:rPr>
          <w:rtl/>
        </w:rPr>
        <w:t xml:space="preserve"> מעולם, ואילו ר׳ אהרן השתתף בשיעוריו </w:t>
      </w:r>
      <w:r>
        <w:rPr>
          <w:rtl/>
        </w:rPr>
        <w:lastRenderedPageBreak/>
        <w:t xml:space="preserve">של ר׳ </w:t>
      </w:r>
      <w:proofErr w:type="spellStart"/>
      <w:r>
        <w:rPr>
          <w:rtl/>
        </w:rPr>
        <w:t>ברוך־בער</w:t>
      </w:r>
      <w:proofErr w:type="spellEnd"/>
      <w:r>
        <w:rPr>
          <w:rtl/>
        </w:rPr>
        <w:t xml:space="preserve"> במשך חצי השנה שלמד בכנסת בית יצחק.</w:t>
      </w:r>
      <w:bookmarkStart w:id="1548" w:name="_fnr1031"/>
      <w:r>
        <w:rPr>
          <w:rStyle w:val="a5"/>
        </w:rPr>
        <w:footnoteReference w:id="1034" w:customMarkFollows="0"/>
      </w:r>
      <w:bookmarkEnd w:id="1548"/>
      <w:r>
        <w:rPr>
          <w:rtl/>
        </w:rPr>
        <w:t xml:space="preserve"> אבל אין זה מתקבל על הדעת שאהרן פינס לא היה מבחין בנוכחותם של תלמידי כנסת ישראל אילו באמת היו שם, ובפרט שהיה לו קשר עמם באותו זמן, כמוזכר בסוף </w:t>
      </w:r>
      <w:r>
        <w:rPr>
          <w:rtl/>
        </w:rPr>
        <w:fldChar w:fldCharType="begin" w:dirty="true"/>
      </w:r>
      <w:r>
        <w:rPr>
          <w:rtl/>
        </w:rPr>
        <w:instrText xml:space="preserve"> REF b2_excD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ד</w:t>
      </w:r>
      <w:r>
        <w:rPr>
          <w:rtl/>
        </w:rPr>
        <w:fldChar w:fldCharType="end"/>
      </w:r>
      <w:r>
        <w:rPr>
          <w:rtl/>
        </w:rPr>
        <w:t xml:space="preserve"> לעיל. מוכרחים לומר שבזמן הראשון לכהונתו של ר׳ </w:t>
      </w:r>
      <w:proofErr w:type="spellStart"/>
      <w:r>
        <w:rPr>
          <w:rtl/>
        </w:rPr>
        <w:t>ברוך־בער</w:t>
      </w:r>
      <w:proofErr w:type="spellEnd"/>
      <w:r>
        <w:rPr>
          <w:rtl/>
        </w:rPr>
        <w:t xml:space="preserve"> בכנסת בית יצחק, הזמן שבו למד בה ר׳ אהרן, השתתפו בשיעוריו רק בחורים מעטים מכנסת ישראל.</w:t>
      </w:r>
    </w:p>
    <w:p w14:paraId="04489D30" w14:textId="6ED51DDE" w:rsidR="00AB3647" w:rsidRDefault="00000000" w:rsidP="007923E9">
      <w:pPr>
        <w:spacing w:after="120" w:line="276" w:lineRule="auto"/>
        <w:ind w:firstLine="283"/>
        <w:jc w:val="both"/>
      </w:pPr>
      <w:r>
        <w:rPr>
          <w:rtl/>
        </w:rPr>
        <w:t xml:space="preserve">לכאורה אפשר לתלות זאת בכך שר׳ </w:t>
      </w:r>
      <w:proofErr w:type="spellStart"/>
      <w:r>
        <w:rPr>
          <w:rtl/>
        </w:rPr>
        <w:t>ברוך־בער</w:t>
      </w:r>
      <w:proofErr w:type="spellEnd"/>
      <w:r>
        <w:rPr>
          <w:rtl/>
        </w:rPr>
        <w:t xml:space="preserve"> היה חדש במשרתו, ועדיין לא היה אהוד כמו כעבור שנה, כשהגיעו ר׳ אהרן ואבי </w:t>
      </w:r>
      <w:proofErr w:type="spellStart"/>
      <w:r>
        <w:rPr>
          <w:rtl/>
        </w:rPr>
        <w:t>לסלבודקה</w:t>
      </w:r>
      <w:proofErr w:type="spellEnd"/>
      <w:r>
        <w:rPr>
          <w:rtl/>
        </w:rPr>
        <w:t xml:space="preserve">. אבל אין זה נכון. כמה מתלמידיו של ר׳ </w:t>
      </w:r>
      <w:proofErr w:type="spellStart"/>
      <w:r>
        <w:rPr>
          <w:rtl/>
        </w:rPr>
        <w:t>ברוך־בער</w:t>
      </w:r>
      <w:proofErr w:type="spellEnd"/>
      <w:r>
        <w:rPr>
          <w:rtl/>
        </w:rPr>
        <w:t xml:space="preserve"> מתקופת כהונתו הקודמת, כרב העיירה </w:t>
      </w:r>
      <w:proofErr w:type="spellStart"/>
      <w:r>
        <w:rPr>
          <w:rtl/>
        </w:rPr>
        <w:t>הלוסק</w:t>
      </w:r>
      <w:proofErr w:type="spellEnd"/>
      <w:r>
        <w:rPr>
          <w:rtl/>
        </w:rPr>
        <w:t xml:space="preserve"> וכראש הישיבה של הקיבוץ שבה, כבר למדו בכנסת ישראל כשהגיע </w:t>
      </w:r>
      <w:proofErr w:type="spellStart"/>
      <w:r>
        <w:rPr>
          <w:rtl/>
        </w:rPr>
        <w:t>לסלבודקה</w:t>
      </w:r>
      <w:proofErr w:type="spellEnd"/>
      <w:r>
        <w:rPr>
          <w:rtl/>
        </w:rPr>
        <w:t xml:space="preserve">, ובוודאי הפיצו את שבח שיעורי רבם מיד בבואו לשם (אם לא קודם לכן, כמצוין בפרק 3, בראש הערה </w:t>
      </w:r>
      <w:r>
        <w:rPr>
          <w:rtl/>
        </w:rPr>
        <w:fldChar w:fldCharType="begin" w:dirty="true"/>
      </w:r>
      <w:r>
        <w:rPr>
          <w:rtl/>
        </w:rPr>
        <w:instrText xml:space="preserve"> REF b3_note134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134</w:t>
      </w:r>
      <w:r>
        <w:rPr>
          <w:rtl/>
        </w:rPr>
        <w:fldChar w:fldCharType="end"/>
      </w:r>
      <w:r>
        <w:rPr>
          <w:rtl/>
        </w:rPr>
        <w:t xml:space="preserve">). זאת ועוד: ישיבת </w:t>
      </w:r>
      <w:proofErr w:type="spellStart"/>
      <w:r>
        <w:rPr>
          <w:rtl/>
        </w:rPr>
        <w:t>טלז</w:t>
      </w:r>
      <w:proofErr w:type="spellEnd"/>
      <w:r>
        <w:rPr>
          <w:rtl/>
        </w:rPr>
        <w:t xml:space="preserve"> רצתה להעסיק את ר׳ </w:t>
      </w:r>
      <w:proofErr w:type="spellStart"/>
      <w:r>
        <w:rPr>
          <w:rtl/>
        </w:rPr>
        <w:t>ברוך־בער</w:t>
      </w:r>
      <w:proofErr w:type="spellEnd"/>
      <w:r>
        <w:rPr>
          <w:rtl/>
        </w:rPr>
        <w:t xml:space="preserve"> עוד לפני שהגיע </w:t>
      </w:r>
      <w:proofErr w:type="spellStart"/>
      <w:r>
        <w:rPr>
          <w:rtl/>
        </w:rPr>
        <w:t>לסלבודקה</w:t>
      </w:r>
      <w:proofErr w:type="spellEnd"/>
      <w:r>
        <w:rPr>
          <w:rtl/>
        </w:rPr>
        <w:t xml:space="preserve">, כדי למלא את החלל שהשאירה התפטרותו של ר׳ שמעון </w:t>
      </w:r>
      <w:proofErr w:type="spellStart"/>
      <w:r>
        <w:rPr>
          <w:rtl/>
        </w:rPr>
        <w:t>שקופ</w:t>
      </w:r>
      <w:proofErr w:type="spellEnd"/>
      <w:r>
        <w:rPr>
          <w:rtl/>
        </w:rPr>
        <w:t xml:space="preserve"> – ראה פרק 3, </w:t>
      </w:r>
      <w:r>
        <w:rPr>
          <w:rtl/>
        </w:rPr>
        <w:fldChar w:fldCharType="begin" w:dirty="true"/>
      </w:r>
      <w:r>
        <w:rPr>
          <w:rtl/>
        </w:rPr>
        <w:instrText xml:space="preserve"> REF b3_excI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xml:space="preserve"> – ועובדה זו מעידה על האהדה הכללית שזכה לה כבר קודם לכן.</w:t>
      </w:r>
    </w:p>
    <w:p w14:paraId="70C2E212" w14:textId="00E7B1D5" w:rsidR="00AB3647" w:rsidRDefault="00000000" w:rsidP="007923E9">
      <w:pPr>
        <w:spacing w:after="120" w:line="276" w:lineRule="auto"/>
        <w:ind w:firstLine="283"/>
        <w:jc w:val="both"/>
      </w:pPr>
      <w:r>
        <w:rPr>
          <w:rtl/>
        </w:rPr>
        <w:t xml:space="preserve">מה שהרתיע באמת את תלמידי כנסת ישראל מלהשתתף בשיעוריו של ר׳ </w:t>
      </w:r>
      <w:proofErr w:type="spellStart"/>
      <w:r>
        <w:rPr>
          <w:rtl/>
        </w:rPr>
        <w:t>ברוך־בער</w:t>
      </w:r>
      <w:proofErr w:type="spellEnd"/>
      <w:r>
        <w:rPr>
          <w:rtl/>
        </w:rPr>
        <w:t xml:space="preserve"> נודע לי מפי בתו של ר׳ ראובן, אסתר </w:t>
      </w:r>
      <w:proofErr w:type="spellStart"/>
      <w:r>
        <w:rPr>
          <w:rtl/>
        </w:rPr>
        <w:t>אונגרישער</w:t>
      </w:r>
      <w:proofErr w:type="spellEnd"/>
      <w:r>
        <w:rPr>
          <w:rtl/>
        </w:rPr>
        <w:t>,</w:t>
      </w:r>
      <w:bookmarkStart w:id="1549" w:name="_fnr1032"/>
      <w:r>
        <w:rPr>
          <w:rStyle w:val="a5"/>
        </w:rPr>
        <w:footnoteReference w:id="1035" w:customMarkFollows="0"/>
      </w:r>
      <w:bookmarkEnd w:id="1549"/>
      <w:r>
        <w:rPr>
          <w:rtl/>
        </w:rPr>
        <w:t xml:space="preserve"> שדיברה על השתתפות אביה בשיעוריו של מי שעתיד היה להיות חותנו, וסבה שלה. היא אמרה שפעם אחת נאסרה על אביה הכניסה “בידי </w:t>
      </w:r>
      <w:r>
        <w:rPr>
          <w:b/>
          <w:bCs/>
          <w:rtl/>
        </w:rPr>
        <w:t>אנשי כנסת בית יצחק</w:t>
      </w:r>
      <w:r>
        <w:rPr>
          <w:rtl/>
        </w:rPr>
        <w:t>”,</w:t>
      </w:r>
      <w:bookmarkStart w:id="1550" w:name="_fnr1033"/>
      <w:r>
        <w:rPr>
          <w:rStyle w:val="a5"/>
        </w:rPr>
        <w:footnoteReference w:id="1036" w:customMarkFollows="0"/>
      </w:r>
      <w:bookmarkEnd w:id="1550"/>
      <w:r>
        <w:rPr>
          <w:rtl/>
        </w:rPr>
        <w:t xml:space="preserve"> והוסיפה </w:t>
      </w:r>
      <w:proofErr w:type="spellStart"/>
      <w:r>
        <w:rPr>
          <w:rtl/>
        </w:rPr>
        <w:t>ש“לא</w:t>
      </w:r>
      <w:proofErr w:type="spellEnd"/>
      <w:r>
        <w:rPr>
          <w:rtl/>
        </w:rPr>
        <w:t xml:space="preserve"> היה זה בריא” לו </w:t>
      </w:r>
      <w:r>
        <w:rPr>
          <w:b/>
          <w:bCs/>
          <w:rtl/>
        </w:rPr>
        <w:t>לחזור</w:t>
      </w:r>
      <w:r>
        <w:rPr>
          <w:rtl/>
        </w:rPr>
        <w:t xml:space="preserve"> לישיבת הסבא אחרי שהשתתף בשיעור בישיבה המתחרה. כוונתה הייתה שספג ביקורת חריפה ב</w:t>
      </w:r>
      <w:r>
        <w:rPr>
          <w:b/>
          <w:bCs/>
          <w:rtl/>
        </w:rPr>
        <w:t>ישיבתו שלו</w:t>
      </w:r>
      <w:r>
        <w:rPr>
          <w:rtl/>
        </w:rPr>
        <w:t xml:space="preserve"> על שהשתתף בשיעורו של ר׳ </w:t>
      </w:r>
      <w:proofErr w:type="spellStart"/>
      <w:r>
        <w:rPr>
          <w:rtl/>
        </w:rPr>
        <w:t>ברוך־בער</w:t>
      </w:r>
      <w:proofErr w:type="spellEnd"/>
      <w:r>
        <w:rPr>
          <w:rtl/>
        </w:rPr>
        <w:t xml:space="preserve"> בישיבה האחרת. היא לא ידעה בדיוק מתי אירע הדבר, אבל מן ההכרח שאירע בזמן מוקדם יותר. שהרי בזמן שהגיע אבי </w:t>
      </w:r>
      <w:proofErr w:type="spellStart"/>
      <w:r>
        <w:rPr>
          <w:rtl/>
        </w:rPr>
        <w:t>לסלבודקה</w:t>
      </w:r>
      <w:proofErr w:type="spellEnd"/>
      <w:r>
        <w:rPr>
          <w:rtl/>
        </w:rPr>
        <w:t xml:space="preserve">, שנה וחצי אחרי שנתקבל ר׳ </w:t>
      </w:r>
      <w:proofErr w:type="spellStart"/>
      <w:r>
        <w:rPr>
          <w:rtl/>
        </w:rPr>
        <w:t>ברוך־בער</w:t>
      </w:r>
      <w:proofErr w:type="spellEnd"/>
      <w:r>
        <w:rPr>
          <w:rtl/>
        </w:rPr>
        <w:t xml:space="preserve"> לכנסת בית יצחק, לא זו בלבד שהותר לבחורי כנסת ישראל להשתתף בשיעוריו, אלא שהסבא אף עודד אותם לכך (כמצוין בפרק 3, הערה </w:t>
      </w:r>
      <w:r>
        <w:rPr>
          <w:rtl/>
        </w:rPr>
        <w:fldChar w:fldCharType="begin" w:dirty="true"/>
      </w:r>
      <w:r>
        <w:rPr>
          <w:rtl/>
        </w:rPr>
        <w:instrText xml:space="preserve"> REF b3_note133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133</w:t>
      </w:r>
      <w:r>
        <w:rPr>
          <w:rtl/>
        </w:rPr>
        <w:fldChar w:fldCharType="end"/>
      </w:r>
      <w:r>
        <w:rPr>
          <w:rtl/>
        </w:rPr>
        <w:t>).</w:t>
      </w:r>
    </w:p>
    <w:p w14:paraId="7F67D01C" w14:textId="77777777" w:rsidR="00AB3647" w:rsidRDefault="00000000" w:rsidP="007923E9">
      <w:pPr>
        <w:spacing w:after="120" w:line="276" w:lineRule="auto"/>
        <w:ind w:firstLine="283"/>
        <w:jc w:val="both"/>
      </w:pPr>
      <w:r>
        <w:rPr>
          <w:rtl/>
        </w:rPr>
        <w:t xml:space="preserve">ודאי היה זה בראשית כהונתו של ר׳ </w:t>
      </w:r>
      <w:proofErr w:type="spellStart"/>
      <w:r>
        <w:rPr>
          <w:rtl/>
        </w:rPr>
        <w:t>ברוך־בער</w:t>
      </w:r>
      <w:proofErr w:type="spellEnd"/>
      <w:r>
        <w:rPr>
          <w:rtl/>
        </w:rPr>
        <w:t xml:space="preserve"> שהסבא לא ראה בעין יפה את השתתפות תלמידיו בשיעוריו – וזאת אף על פי </w:t>
      </w:r>
      <w:proofErr w:type="spellStart"/>
      <w:r>
        <w:rPr>
          <w:rtl/>
        </w:rPr>
        <w:t>ש“לסבא</w:t>
      </w:r>
      <w:proofErr w:type="spellEnd"/>
      <w:r>
        <w:rPr>
          <w:rtl/>
        </w:rPr>
        <w:t xml:space="preserve"> (עצמו) הייתה יד נעלמה במינויו של ר׳ </w:t>
      </w:r>
      <w:proofErr w:type="spellStart"/>
      <w:r>
        <w:rPr>
          <w:rtl/>
        </w:rPr>
        <w:t>ברוך־בער</w:t>
      </w:r>
      <w:proofErr w:type="spellEnd"/>
      <w:r>
        <w:rPr>
          <w:rtl/>
        </w:rPr>
        <w:t>”.</w:t>
      </w:r>
      <w:bookmarkStart w:id="1551" w:name="_fnr1034"/>
      <w:r>
        <w:rPr>
          <w:rStyle w:val="a5"/>
        </w:rPr>
        <w:footnoteReference w:id="1037" w:customMarkFollows="0"/>
      </w:r>
      <w:bookmarkEnd w:id="1551"/>
      <w:r>
        <w:rPr>
          <w:rtl/>
        </w:rPr>
        <w:t xml:space="preserve"> לכן, בזמן שלמד ר׳ אהרן בכנסת בית יצחק לא היו למעשה בחורי כנסת ישראל בין השומעים בשיעורים בישיבה המתחרה, מלבד אנשים כר׳ ראובן. ר׳ ראובן, בלהיטותו האופיינית לתורה</w:t>
      </w:r>
      <w:bookmarkStart w:id="1552" w:name="_fnr1035"/>
      <w:r>
        <w:rPr>
          <w:rStyle w:val="a5"/>
        </w:rPr>
        <w:footnoteReference w:id="1038" w:customMarkFollows="0"/>
      </w:r>
      <w:bookmarkEnd w:id="1552"/>
      <w:r>
        <w:rPr>
          <w:rtl/>
        </w:rPr>
        <w:t xml:space="preserve">, היה מוכן לספוג צרות מהנהלות </w:t>
      </w:r>
      <w:r>
        <w:rPr>
          <w:b/>
          <w:bCs/>
          <w:rtl/>
        </w:rPr>
        <w:t>שתי</w:t>
      </w:r>
      <w:r>
        <w:rPr>
          <w:rtl/>
        </w:rPr>
        <w:t xml:space="preserve"> הישיבות כדי לשמוע את חידושי התורה של ר׳ </w:t>
      </w:r>
      <w:proofErr w:type="spellStart"/>
      <w:r>
        <w:rPr>
          <w:rtl/>
        </w:rPr>
        <w:t>ברוך־בער</w:t>
      </w:r>
      <w:proofErr w:type="spellEnd"/>
      <w:r>
        <w:rPr>
          <w:rtl/>
        </w:rPr>
        <w:t xml:space="preserve">. השינוי במדיניות הסבא, </w:t>
      </w:r>
      <w:proofErr w:type="spellStart"/>
      <w:r>
        <w:rPr>
          <w:rtl/>
        </w:rPr>
        <w:t>שאיפשר</w:t>
      </w:r>
      <w:proofErr w:type="spellEnd"/>
      <w:r>
        <w:rPr>
          <w:rtl/>
        </w:rPr>
        <w:t xml:space="preserve"> לאבי </w:t>
      </w:r>
      <w:proofErr w:type="spellStart"/>
      <w:r>
        <w:rPr>
          <w:rtl/>
        </w:rPr>
        <w:t>ולר</w:t>
      </w:r>
      <w:proofErr w:type="spellEnd"/>
      <w:r>
        <w:rPr>
          <w:rtl/>
        </w:rPr>
        <w:t xml:space="preserve">׳ אהרן ללכת ולשמוע את ר׳ </w:t>
      </w:r>
      <w:proofErr w:type="spellStart"/>
      <w:r>
        <w:rPr>
          <w:rtl/>
        </w:rPr>
        <w:t>ברוך־בער</w:t>
      </w:r>
      <w:proofErr w:type="spellEnd"/>
      <w:r>
        <w:rPr>
          <w:rtl/>
        </w:rPr>
        <w:t xml:space="preserve"> בלא הגבלה כעבור שנה, אירע ודאי בשנה שבה למד ר׳ אהרן עם אבי בקיבוץ </w:t>
      </w:r>
      <w:r>
        <w:rPr>
          <w:rtl/>
        </w:rPr>
        <w:lastRenderedPageBreak/>
        <w:t xml:space="preserve">שבשול </w:t>
      </w:r>
      <w:proofErr w:type="spellStart"/>
      <w:r>
        <w:rPr>
          <w:rtl/>
        </w:rPr>
        <w:t>הקצבים</w:t>
      </w:r>
      <w:proofErr w:type="spellEnd"/>
      <w:r>
        <w:rPr>
          <w:rtl/>
        </w:rPr>
        <w:t xml:space="preserve">. נמצא שכאשר אמר ר׳ ראובן לשני הנערים </w:t>
      </w:r>
      <w:proofErr w:type="spellStart"/>
      <w:r>
        <w:rPr>
          <w:rtl/>
        </w:rPr>
        <w:t>שבסלבודקה</w:t>
      </w:r>
      <w:proofErr w:type="spellEnd"/>
      <w:r>
        <w:rPr>
          <w:rtl/>
        </w:rPr>
        <w:t xml:space="preserve"> יוכלו “ליהנות משתי ישיבותיה בבת אחת”, היה הדבר חידוש גם </w:t>
      </w:r>
      <w:proofErr w:type="spellStart"/>
      <w:r>
        <w:rPr>
          <w:rtl/>
        </w:rPr>
        <w:t>לר</w:t>
      </w:r>
      <w:proofErr w:type="spellEnd"/>
      <w:r>
        <w:rPr>
          <w:rtl/>
        </w:rPr>
        <w:t>׳ אהרן.</w:t>
      </w:r>
    </w:p>
    <w:p w14:paraId="4CA7C0E0" w14:textId="6B994BCD" w:rsidR="00AB3647" w:rsidRDefault="00000000" w:rsidP="007923E9">
      <w:pPr>
        <w:spacing w:after="120" w:line="276" w:lineRule="auto"/>
        <w:ind w:firstLine="283"/>
        <w:jc w:val="both"/>
      </w:pPr>
      <w:r>
        <w:rPr>
          <w:rtl/>
        </w:rPr>
        <w:t xml:space="preserve">גם אחרי שהשתנתה מדיניות כנסת ישראל, עדיין לא הייתה כנסת בית יצחק שבעת רצון מבחורי כנסת ישראל שבאו לשמוע את ראש הישיבה שלה, כמובא בפרק 3, הערה </w:t>
      </w:r>
      <w:r>
        <w:rPr>
          <w:rtl/>
        </w:rPr>
        <w:fldChar w:fldCharType="begin" w:dirty="true"/>
      </w:r>
      <w:r>
        <w:rPr>
          <w:rtl/>
        </w:rPr>
        <w:instrText xml:space="preserve"> REF b3_note138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138</w:t>
      </w:r>
      <w:r>
        <w:rPr>
          <w:rtl/>
        </w:rPr>
        <w:fldChar w:fldCharType="end"/>
      </w:r>
      <w:r>
        <w:rPr>
          <w:rtl/>
        </w:rPr>
        <w:t xml:space="preserve">. אבל ר׳ ראובן היה בטוח שהצעירים יוכלו להתגבר על בעיה זו – וכך אכן עשו, בדרכים המתוארות בפרק 3, הערה </w:t>
      </w:r>
      <w:r>
        <w:rPr>
          <w:rtl/>
        </w:rPr>
        <w:fldChar w:fldCharType="begin" w:dirty="true"/>
      </w:r>
      <w:r>
        <w:rPr>
          <w:rtl/>
        </w:rPr>
        <w:instrText xml:space="preserve"> REF b3_note138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138</w:t>
      </w:r>
      <w:r>
        <w:rPr>
          <w:rtl/>
        </w:rPr>
        <w:fldChar w:fldCharType="end"/>
      </w:r>
      <w:r>
        <w:rPr>
          <w:rtl/>
        </w:rPr>
        <w:t>.</w:t>
      </w:r>
    </w:p>
    <w:p w14:paraId="5A9F3135" w14:textId="77777777" w:rsidR="00AB3647" w:rsidRDefault="00000000" w:rsidP="007923E9">
      <w:pPr>
        <w:spacing w:after="120" w:line="276" w:lineRule="auto"/>
        <w:ind w:firstLine="283"/>
        <w:jc w:val="both"/>
      </w:pPr>
      <w:r>
        <w:rPr>
          <w:rtl/>
        </w:rPr>
        <w:t xml:space="preserve">ר׳ ראובן עצמו השתתף בכל שיעוריו של ר׳ </w:t>
      </w:r>
      <w:proofErr w:type="spellStart"/>
      <w:r>
        <w:rPr>
          <w:rtl/>
        </w:rPr>
        <w:t>ברוך־בער</w:t>
      </w:r>
      <w:proofErr w:type="spellEnd"/>
      <w:r>
        <w:rPr>
          <w:rtl/>
        </w:rPr>
        <w:t xml:space="preserve"> וגם בשיחותיו שאחרי סעודה שלישית,</w:t>
      </w:r>
      <w:bookmarkStart w:id="1553" w:name="_fnr1036"/>
      <w:r>
        <w:rPr>
          <w:rStyle w:val="a5"/>
        </w:rPr>
        <w:footnoteReference w:id="1039" w:customMarkFollows="0"/>
      </w:r>
      <w:bookmarkEnd w:id="1553"/>
      <w:r>
        <w:rPr>
          <w:rtl/>
        </w:rPr>
        <w:t xml:space="preserve"> למרות כל הקשיים שנאלץ להתגבר עליהם. ר׳ חיים </w:t>
      </w:r>
      <w:proofErr w:type="spellStart"/>
      <w:r>
        <w:rPr>
          <w:rtl/>
        </w:rPr>
        <w:t>סרנא</w:t>
      </w:r>
      <w:proofErr w:type="spellEnd"/>
      <w:r>
        <w:rPr>
          <w:rtl/>
        </w:rPr>
        <w:t xml:space="preserve">, נכדו של ר׳ </w:t>
      </w:r>
      <w:proofErr w:type="spellStart"/>
      <w:r>
        <w:rPr>
          <w:rtl/>
        </w:rPr>
        <w:t>משה־מרדכי</w:t>
      </w:r>
      <w:proofErr w:type="spellEnd"/>
      <w:r>
        <w:rPr>
          <w:rtl/>
        </w:rPr>
        <w:t xml:space="preserve"> אפשטיין, סיפר</w:t>
      </w:r>
      <w:bookmarkStart w:id="1554" w:name="_fnr1037"/>
      <w:r>
        <w:rPr>
          <w:rStyle w:val="a5"/>
        </w:rPr>
        <w:footnoteReference w:id="1040" w:customMarkFollows="0"/>
      </w:r>
      <w:bookmarkEnd w:id="1554"/>
      <w:r>
        <w:rPr>
          <w:rtl/>
        </w:rPr>
        <w:t xml:space="preserve"> שהציעו </w:t>
      </w:r>
      <w:proofErr w:type="spellStart"/>
      <w:r>
        <w:rPr>
          <w:rtl/>
        </w:rPr>
        <w:t>לר</w:t>
      </w:r>
      <w:proofErr w:type="spellEnd"/>
      <w:r>
        <w:rPr>
          <w:rtl/>
        </w:rPr>
        <w:t xml:space="preserve">׳ ראובן, מאחר שהוא משתתף בשיעורי ר׳ </w:t>
      </w:r>
      <w:proofErr w:type="spellStart"/>
      <w:r>
        <w:rPr>
          <w:rtl/>
        </w:rPr>
        <w:t>ברוך־בער</w:t>
      </w:r>
      <w:proofErr w:type="spellEnd"/>
      <w:r>
        <w:rPr>
          <w:rtl/>
        </w:rPr>
        <w:t xml:space="preserve"> בקביעות כזאת, לעבור לגמרי מכנסת ישראל לישיבה האחות, והוא השיב שלעולם לא יעזוב את הסבא.</w:t>
      </w:r>
    </w:p>
    <w:p w14:paraId="282FA44F" w14:textId="77777777" w:rsidR="00AB3647" w:rsidRDefault="00000000" w:rsidP="007923E9">
      <w:pPr>
        <w:spacing w:after="120" w:line="276" w:lineRule="auto"/>
        <w:ind w:firstLine="283"/>
        <w:jc w:val="both"/>
      </w:pPr>
      <w:r>
        <w:rPr>
          <w:rtl/>
        </w:rPr>
        <w:t xml:space="preserve">ר׳ חיים </w:t>
      </w:r>
      <w:proofErr w:type="spellStart"/>
      <w:r>
        <w:rPr>
          <w:rtl/>
        </w:rPr>
        <w:t>סרנא</w:t>
      </w:r>
      <w:proofErr w:type="spellEnd"/>
      <w:r>
        <w:rPr>
          <w:rtl/>
        </w:rPr>
        <w:t xml:space="preserve"> לא אמר תחילה מי הציע זאת </w:t>
      </w:r>
      <w:proofErr w:type="spellStart"/>
      <w:r>
        <w:rPr>
          <w:rtl/>
        </w:rPr>
        <w:t>לר</w:t>
      </w:r>
      <w:proofErr w:type="spellEnd"/>
      <w:r>
        <w:rPr>
          <w:rtl/>
        </w:rPr>
        <w:t xml:space="preserve">׳ ראובן. ייתכן שההצעה באה מאנשי כנסת בית יצחק, שלא אהבו שאורחים מן המתחרים מנצלים את ראש הישיבה שלהם כדי “ליהנות (משתי) הישיבות בבת אחת”. לאור דברי אסתר </w:t>
      </w:r>
      <w:proofErr w:type="spellStart"/>
      <w:r>
        <w:rPr>
          <w:rtl/>
        </w:rPr>
        <w:t>אונגרישער</w:t>
      </w:r>
      <w:proofErr w:type="spellEnd"/>
      <w:r>
        <w:rPr>
          <w:rtl/>
        </w:rPr>
        <w:t xml:space="preserve"> נראה אפשרי גם שאנשי כנסת ישראל הם שהציעו זאת, בתקופה המוקדמת, </w:t>
      </w:r>
      <w:proofErr w:type="spellStart"/>
      <w:r>
        <w:rPr>
          <w:rtl/>
        </w:rPr>
        <w:t>כשלא</w:t>
      </w:r>
      <w:proofErr w:type="spellEnd"/>
      <w:r>
        <w:rPr>
          <w:rtl/>
        </w:rPr>
        <w:t xml:space="preserve"> ראה הסבא בעין יפה את השתתפות תלמידיו בשיעורים בישיבה האחרת. אם אכן באה ההצעה מאנשי כנסת ישראל, מן הסתם יצאה מן הסבא עצמו. שהרי הסבא השגיח על ישיבתו מקרוב כל כך, עד שאף תלמיד לא היה מעז מדעת עצמו להציע רעיון כזה לאחד מגדולי תלמידי הישיבה, כמו ר׳ ראובן </w:t>
      </w:r>
      <w:proofErr w:type="spellStart"/>
      <w:r>
        <w:rPr>
          <w:rtl/>
        </w:rPr>
        <w:t>גרוזובסקי</w:t>
      </w:r>
      <w:proofErr w:type="spellEnd"/>
      <w:r>
        <w:rPr>
          <w:rtl/>
        </w:rPr>
        <w:t>. לימים</w:t>
      </w:r>
      <w:bookmarkStart w:id="1555" w:name="_fnr1038"/>
      <w:r>
        <w:rPr>
          <w:rStyle w:val="a5"/>
        </w:rPr>
        <w:footnoteReference w:id="1041" w:customMarkFollows="0"/>
      </w:r>
      <w:bookmarkEnd w:id="1555"/>
      <w:r>
        <w:rPr>
          <w:rtl/>
        </w:rPr>
        <w:t xml:space="preserve"> אכן אישר ר׳ חיים </w:t>
      </w:r>
      <w:proofErr w:type="spellStart"/>
      <w:r>
        <w:rPr>
          <w:rtl/>
        </w:rPr>
        <w:t>סרנא</w:t>
      </w:r>
      <w:proofErr w:type="spellEnd"/>
      <w:r>
        <w:rPr>
          <w:rtl/>
        </w:rPr>
        <w:t xml:space="preserve"> שהדרישה מר׳ ראובן באה מתלמידי כנסת ישראל.</w:t>
      </w:r>
    </w:p>
    <w:p w14:paraId="46BF2D4F" w14:textId="77777777" w:rsidR="00AB3647" w:rsidRDefault="00000000" w:rsidP="007923E9">
      <w:pPr>
        <w:spacing w:after="120" w:line="276" w:lineRule="auto"/>
        <w:ind w:firstLine="283"/>
        <w:jc w:val="both"/>
      </w:pPr>
      <w:r>
        <w:rPr>
          <w:rtl/>
        </w:rPr>
        <w:t xml:space="preserve">לסיכום, נראה שבראשית כהונתו של ר׳ </w:t>
      </w:r>
      <w:proofErr w:type="spellStart"/>
      <w:r>
        <w:rPr>
          <w:rtl/>
        </w:rPr>
        <w:t>ברוך־בער</w:t>
      </w:r>
      <w:proofErr w:type="spellEnd"/>
      <w:r>
        <w:rPr>
          <w:rtl/>
        </w:rPr>
        <w:t xml:space="preserve"> </w:t>
      </w:r>
      <w:proofErr w:type="spellStart"/>
      <w:r>
        <w:rPr>
          <w:rtl/>
        </w:rPr>
        <w:t>בסלבודקה</w:t>
      </w:r>
      <w:proofErr w:type="spellEnd"/>
      <w:r>
        <w:rPr>
          <w:rtl/>
        </w:rPr>
        <w:t xml:space="preserve"> לא זו בלבד שהסבא לא עודד את תלמידיו ללכת לשמוע אותו (כפי שעשה לאחר מכן), ולא זו בלבד שמתח עליהם ביקורת אם הלכו לשמוע אותו, אלא שאף איים – באמצעות </w:t>
      </w:r>
      <w:proofErr w:type="spellStart"/>
      <w:r>
        <w:rPr>
          <w:rtl/>
        </w:rPr>
        <w:t>נאמניו</w:t>
      </w:r>
      <w:proofErr w:type="spellEnd"/>
      <w:r>
        <w:rPr>
          <w:rtl/>
        </w:rPr>
        <w:t xml:space="preserve"> – לגרש את מי שהלך!</w:t>
      </w:r>
    </w:p>
    <w:p w14:paraId="2F3A1BE6" w14:textId="77777777" w:rsidR="00AB3647" w:rsidRDefault="00AB3647" w:rsidP="007923E9">
      <w:pPr>
        <w:spacing w:line="276" w:lineRule="auto"/>
        <w:sectPr w:rsidR="00AB3647">
          <w:footerReference w:type="default" r:id="rId13"/>
          <w:footnotePr>
            <w:pos w:val="pageBottom"/>
            <w:numRestart w:val="eachSect"/>
          </w:footnotePr>
          <w:pgSz w:w="9638" w:h="13606"/>
          <w:pgMar w:top="1134" w:right="1077" w:bottom="1134" w:left="1077" w:header="567" w:footer="567" w:gutter="0"/>
          <w:cols w:space="720"/>
          <w:bidi/>
          <w:docGrid w:linePitch="360"/>
        </w:sectPr>
      </w:pPr>
    </w:p>
    <w:p w14:paraId="634D051E" w14:textId="77777777" w:rsidR="00AB3647" w:rsidRDefault="00000000" w:rsidP="007923E9">
      <w:pPr>
        <w:pStyle w:val="ae"/>
        <w:keepNext/>
        <w:spacing w:line="276" w:lineRule="auto"/>
      </w:pPr>
      <w:bookmarkStart w:id="1556" w:name="b3_chapter"/>
      <w:r>
        <w:lastRenderedPageBreak/>
        <w:t>פרק שלישי</w:t>
      </w:r>
      <w:bookmarkEnd w:id="1556"/>
    </w:p>
    <w:p w14:paraId="1CCA4371" w14:textId="77777777" w:rsidR="00AB3647" w:rsidRDefault="00000000" w:rsidP="007923E9">
      <w:pPr>
        <w:pStyle w:val="1"/>
        <w:spacing w:line="276" w:lineRule="auto"/>
      </w:pPr>
      <w:r>
        <w:t xml:space="preserve">העשור השני – ב: </w:t>
      </w:r>
      <w:proofErr w:type="spellStart"/>
      <w:r>
        <w:t>סלבודקה</w:t>
      </w:r>
      <w:proofErr w:type="spellEnd"/>
    </w:p>
    <w:p w14:paraId="1689FCFA" w14:textId="77777777" w:rsidR="00AB3647" w:rsidRDefault="00000000" w:rsidP="007923E9">
      <w:pPr>
        <w:pStyle w:val="2"/>
        <w:spacing w:line="276" w:lineRule="auto"/>
      </w:pPr>
      <w:bookmarkStart w:id="1557" w:name="b3_notes"/>
      <w:r>
        <w:t>הסיפור וההערות</w:t>
      </w:r>
      <w:bookmarkEnd w:id="1557"/>
    </w:p>
    <w:p w14:paraId="46BABBC4" w14:textId="77777777" w:rsidR="00AB3647" w:rsidRDefault="00000000" w:rsidP="007923E9">
      <w:pPr>
        <w:pStyle w:val="2"/>
        <w:spacing w:line="276" w:lineRule="auto"/>
      </w:pPr>
      <w:bookmarkStart w:id="1558" w:name="b3_sec1"/>
      <w:r>
        <w:t>1.</w:t>
      </w:r>
      <w:bookmarkEnd w:id="1558"/>
    </w:p>
    <w:p w14:paraId="04C229D8" w14:textId="0FAF8C1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שני בחורי הישיבה, </w:t>
      </w:r>
      <w:proofErr w:type="spellStart"/>
      <w:r>
        <w:rPr>
          <w:rtl/>
        </w:rPr>
        <w:t>הדולהינובר</w:t>
      </w:r>
      <w:proofErr w:type="spellEnd"/>
      <w:r>
        <w:rPr>
          <w:rtl/>
        </w:rPr>
        <w:t xml:space="preserve"> </w:t>
      </w:r>
      <w:proofErr w:type="spellStart"/>
      <w:r>
        <w:rPr>
          <w:rtl/>
        </w:rPr>
        <w:t>והסיסלוביצ׳ר</w:t>
      </w:r>
      <w:proofErr w:type="spellEnd"/>
      <w:r>
        <w:rPr>
          <w:rtl/>
        </w:rPr>
        <w:t>, ועמם מועמד שלישי</w:t>
      </w:r>
      <w:bookmarkStart w:id="1559" w:name="b3_ref1"/>
      <w:bookmarkEnd w:id="1559"/>
      <w:r>
        <w:rPr>
          <w:vertAlign w:val="superscript"/>
          <w:rtl/>
        </w:rPr>
        <w:fldChar w:fldCharType="begin" w:dirty="true"/>
      </w:r>
      <w:r>
        <w:rPr>
          <w:vertAlign w:val="superscript"/>
          <w:rtl/>
        </w:rPr>
        <w:instrText xml:space="preserve"> REF b3_note1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w:t>
      </w:r>
      <w:r>
        <w:rPr>
          <w:vertAlign w:val="superscript"/>
          <w:rtl/>
        </w:rPr>
        <w:fldChar w:fldCharType="end"/>
      </w:r>
      <w:r>
        <w:rPr>
          <w:rtl/>
        </w:rPr>
        <w:t xml:space="preserve"> לישיבת </w:t>
      </w:r>
      <w:proofErr w:type="spellStart"/>
      <w:r>
        <w:rPr>
          <w:rtl/>
        </w:rPr>
        <w:t>סלבודקה</w:t>
      </w:r>
      <w:proofErr w:type="spellEnd"/>
      <w:r>
        <w:rPr>
          <w:rtl/>
        </w:rPr>
        <w:t xml:space="preserve">, יצאו ממינסק באביב תרס״ו לנסיעה ברכבת בת 290 קילומטרים. מסלולם עבר </w:t>
      </w:r>
      <w:proofErr w:type="spellStart"/>
      <w:r>
        <w:rPr>
          <w:rtl/>
        </w:rPr>
        <w:t>צפונה־מערבה</w:t>
      </w:r>
      <w:proofErr w:type="spellEnd"/>
      <w:r>
        <w:rPr>
          <w:rtl/>
        </w:rPr>
        <w:t xml:space="preserve">, בכיוון הכללי של נהר </w:t>
      </w:r>
      <w:proofErr w:type="spellStart"/>
      <w:r>
        <w:rPr>
          <w:rtl/>
        </w:rPr>
        <w:t>הוויליה</w:t>
      </w:r>
      <w:proofErr w:type="spellEnd"/>
      <w:r>
        <w:rPr>
          <w:rtl/>
        </w:rPr>
        <w:t xml:space="preserve">, הנהר שהכיר אבי </w:t>
      </w:r>
      <w:proofErr w:type="spellStart"/>
      <w:r>
        <w:rPr>
          <w:rtl/>
        </w:rPr>
        <w:t>מקאליסקובקה</w:t>
      </w:r>
      <w:proofErr w:type="spellEnd"/>
      <w:r>
        <w:rPr>
          <w:rtl/>
        </w:rPr>
        <w:t xml:space="preserve"> מולדתו. בווילנה, לאחר שעברו שני שלישים מן הדרך אל מחוז חפצם, היו צריכים להחליף רכבת. </w:t>
      </w:r>
      <w:proofErr w:type="spellStart"/>
      <w:r>
        <w:rPr>
          <w:rtl/>
        </w:rPr>
        <w:t>הדולהינובר</w:t>
      </w:r>
      <w:proofErr w:type="spellEnd"/>
      <w:r>
        <w:rPr>
          <w:rtl/>
        </w:rPr>
        <w:t xml:space="preserve"> הסקרן וחברו הסיסלוביצ׳ר</w:t>
      </w:r>
      <w:bookmarkStart w:id="1560" w:name="b3_ref2"/>
      <w:bookmarkEnd w:id="1560"/>
      <w:r>
        <w:rPr>
          <w:vertAlign w:val="superscript"/>
          <w:rtl/>
        </w:rPr>
        <w:fldChar w:fldCharType="begin" w:dirty="true"/>
      </w:r>
      <w:r>
        <w:rPr>
          <w:vertAlign w:val="superscript"/>
          <w:rtl/>
        </w:rPr>
        <w:instrText xml:space="preserve"> REF b3_note2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w:t>
      </w:r>
      <w:r>
        <w:rPr>
          <w:vertAlign w:val="superscript"/>
          <w:rtl/>
        </w:rPr>
        <w:fldChar w:fldCharType="end"/>
      </w:r>
      <w:r>
        <w:rPr>
          <w:rtl/>
        </w:rPr>
        <w:t xml:space="preserve"> החליטו לנצל את שעות הפנאי המעטות שהיו להם כדי להעיף מבט בעיר.</w:t>
      </w:r>
    </w:p>
    <w:bookmarkStart w:id="1561" w:name="b3_note1"/>
    <w:p w14:paraId="27CBFC91" w14:textId="77777777" w:rsidR="00AB3647" w:rsidRDefault="00000000" w:rsidP="007923E9">
      <w:pPr>
        <w:spacing w:before="120" w:after="100" w:line="276" w:lineRule="auto"/>
        <w:jc w:val="both"/>
      </w:pPr>
      <w:r>
        <w:fldChar w:fldCharType="begin" w:dirty="true"/>
      </w:r>
      <w:r>
        <w:instrText>HYPERLINK \l "b3_ref1"</w:instrText>
      </w:r>
      <w:r>
        <w:fldChar w:fldCharType="separate"/>
      </w:r>
      <w:r>
        <w:rPr>
          <w:b/>
          <w:bCs/>
          <w:rtl/>
        </w:rPr>
        <w:t>1</w:t>
      </w:r>
      <w:r>
        <w:rPr>
          <w:b/>
          <w:bCs/>
        </w:rPr>
        <w:fldChar w:fldCharType="end"/>
      </w:r>
      <w:bookmarkEnd w:id="1561"/>
      <w:r>
        <w:rPr>
          <w:rtl/>
        </w:rPr>
        <w:t xml:space="preserve"> כפי שסיפר אבי לנכדו ר׳ יוסף בביקורו האחרון בארץ ישראל, בחור הישיבה השלישי למד עד אז בכנסת בית יצחק </w:t>
      </w:r>
      <w:proofErr w:type="spellStart"/>
      <w:r>
        <w:rPr>
          <w:rtl/>
        </w:rPr>
        <w:t>שבסלבודקה</w:t>
      </w:r>
      <w:proofErr w:type="spellEnd"/>
      <w:r>
        <w:rPr>
          <w:rtl/>
        </w:rPr>
        <w:t xml:space="preserve"> ותכנן לעבור לכנסת ישראל. אבי זיהה את הנוסע השלישי רק בשמו הפרטי – גם הוא יעקב – ואמר עליו שהיה בחור פשוט. אבי ור׳ אהרן נזקקו לעזרה כשהגיעו למחוז חפצם</w:t>
      </w:r>
      <w:bookmarkStart w:id="1562" w:name="_fnr1039"/>
      <w:r>
        <w:rPr>
          <w:rStyle w:val="a5"/>
        </w:rPr>
        <w:footnoteReference w:id="1042" w:customMarkFollows="0"/>
      </w:r>
      <w:bookmarkEnd w:id="1562"/>
      <w:r>
        <w:rPr>
          <w:rtl/>
        </w:rPr>
        <w:t xml:space="preserve">, אבל הבחור השלישי יכול היה להסתדר בכוחות עצמו, שכן עשה את הסידורים הדרושים לפני שיצא </w:t>
      </w:r>
      <w:proofErr w:type="spellStart"/>
      <w:r>
        <w:rPr>
          <w:rtl/>
        </w:rPr>
        <w:t>מסלבודקה</w:t>
      </w:r>
      <w:proofErr w:type="spellEnd"/>
      <w:r>
        <w:rPr>
          <w:rtl/>
        </w:rPr>
        <w:t>.</w:t>
      </w:r>
    </w:p>
    <w:p w14:paraId="57A509E3" w14:textId="77777777" w:rsidR="00AB3647" w:rsidRDefault="00000000" w:rsidP="007923E9">
      <w:pPr>
        <w:spacing w:after="100" w:line="276" w:lineRule="auto"/>
        <w:ind w:firstLine="340"/>
        <w:jc w:val="both"/>
      </w:pPr>
      <w:r>
        <w:rPr>
          <w:rtl/>
        </w:rPr>
        <w:t>ראה “פאר הדור”, ח״א,</w:t>
      </w:r>
      <w:bookmarkStart w:id="1563" w:name="_fnr1040"/>
      <w:r>
        <w:rPr>
          <w:rStyle w:val="a5"/>
        </w:rPr>
        <w:footnoteReference w:id="1043" w:customMarkFollows="0"/>
      </w:r>
      <w:bookmarkEnd w:id="1563"/>
      <w:r>
        <w:rPr>
          <w:rtl/>
        </w:rPr>
        <w:t xml:space="preserve"> על תלמיד נוסף ממינסק, </w:t>
      </w:r>
      <w:proofErr w:type="spellStart"/>
      <w:r>
        <w:rPr>
          <w:rtl/>
        </w:rPr>
        <w:t>נחום־מאיר</w:t>
      </w:r>
      <w:proofErr w:type="spellEnd"/>
      <w:r>
        <w:rPr>
          <w:rtl/>
        </w:rPr>
        <w:t xml:space="preserve"> </w:t>
      </w:r>
      <w:proofErr w:type="spellStart"/>
      <w:r>
        <w:rPr>
          <w:rtl/>
        </w:rPr>
        <w:t>ציבולניק</w:t>
      </w:r>
      <w:proofErr w:type="spellEnd"/>
      <w:r>
        <w:rPr>
          <w:rtl/>
        </w:rPr>
        <w:t xml:space="preserve">, המבוגר מאבי בשנתיים, בן אחותו של ר׳ שלמה </w:t>
      </w:r>
      <w:proofErr w:type="spellStart"/>
      <w:r>
        <w:rPr>
          <w:rtl/>
        </w:rPr>
        <w:t>גולובנצ׳יץ</w:t>
      </w:r>
      <w:proofErr w:type="spellEnd"/>
      <w:r>
        <w:rPr>
          <w:rtl/>
        </w:rPr>
        <w:t xml:space="preserve">, שיצא </w:t>
      </w:r>
      <w:proofErr w:type="spellStart"/>
      <w:r>
        <w:rPr>
          <w:rtl/>
        </w:rPr>
        <w:t>לסלבודקה</w:t>
      </w:r>
      <w:proofErr w:type="spellEnd"/>
      <w:r>
        <w:rPr>
          <w:rtl/>
        </w:rPr>
        <w:t xml:space="preserve"> באותו זמן שיצא ר׳ אהרן קוטלר. הרב </w:t>
      </w:r>
      <w:proofErr w:type="spellStart"/>
      <w:r>
        <w:rPr>
          <w:rtl/>
        </w:rPr>
        <w:t>ציבולניק</w:t>
      </w:r>
      <w:proofErr w:type="spellEnd"/>
      <w:r>
        <w:rPr>
          <w:rtl/>
        </w:rPr>
        <w:t xml:space="preserve"> נשא לימים את אחותו של </w:t>
      </w:r>
      <w:proofErr w:type="spellStart"/>
      <w:r>
        <w:rPr>
          <w:rtl/>
        </w:rPr>
        <w:t>החזון־איש</w:t>
      </w:r>
      <w:proofErr w:type="spellEnd"/>
      <w:r>
        <w:rPr>
          <w:rtl/>
        </w:rPr>
        <w:t xml:space="preserve">, והוא אביו של הדיין מבני ברק, ר׳ ניסים </w:t>
      </w:r>
      <w:proofErr w:type="spellStart"/>
      <w:r>
        <w:rPr>
          <w:rtl/>
        </w:rPr>
        <w:t>קרליץ</w:t>
      </w:r>
      <w:proofErr w:type="spellEnd"/>
      <w:r>
        <w:rPr>
          <w:rtl/>
        </w:rPr>
        <w:t xml:space="preserve">. אביו של </w:t>
      </w:r>
      <w:proofErr w:type="spellStart"/>
      <w:r>
        <w:rPr>
          <w:rtl/>
        </w:rPr>
        <w:t>נחום־מאיר</w:t>
      </w:r>
      <w:proofErr w:type="spellEnd"/>
      <w:r>
        <w:rPr>
          <w:rtl/>
        </w:rPr>
        <w:t xml:space="preserve"> נפטר כשהיה “בן חודשים אחדים”, </w:t>
      </w:r>
      <w:proofErr w:type="spellStart"/>
      <w:r>
        <w:rPr>
          <w:rtl/>
        </w:rPr>
        <w:t>ואמו</w:t>
      </w:r>
      <w:proofErr w:type="spellEnd"/>
      <w:r>
        <w:rPr>
          <w:rtl/>
        </w:rPr>
        <w:t xml:space="preserve"> שלחה אותו לבסוף לישיבת אחיה. אבי לא הזכיר אותו, ולכן נראה לי בתחילה </w:t>
      </w:r>
      <w:proofErr w:type="spellStart"/>
      <w:r>
        <w:rPr>
          <w:rtl/>
        </w:rPr>
        <w:t>ש“פאר</w:t>
      </w:r>
      <w:proofErr w:type="spellEnd"/>
      <w:r>
        <w:rPr>
          <w:rtl/>
        </w:rPr>
        <w:t xml:space="preserve"> הדור” טעה – </w:t>
      </w:r>
      <w:proofErr w:type="spellStart"/>
      <w:r>
        <w:rPr>
          <w:rtl/>
        </w:rPr>
        <w:t>שציבולניק</w:t>
      </w:r>
      <w:proofErr w:type="spellEnd"/>
      <w:r>
        <w:rPr>
          <w:rtl/>
        </w:rPr>
        <w:t xml:space="preserve"> לא היה ברכבת. גם נראה הגיוני שלא תיאמו ביניהם את תוכניות הנסיעה, מאחר </w:t>
      </w:r>
      <w:r>
        <w:rPr>
          <w:rtl/>
        </w:rPr>
        <w:lastRenderedPageBreak/>
        <w:t xml:space="preserve">שאבי ואהרן פינס למדו בשול </w:t>
      </w:r>
      <w:proofErr w:type="spellStart"/>
      <w:r>
        <w:rPr>
          <w:rtl/>
        </w:rPr>
        <w:t>הקצבים</w:t>
      </w:r>
      <w:proofErr w:type="spellEnd"/>
      <w:r>
        <w:rPr>
          <w:rtl/>
        </w:rPr>
        <w:t xml:space="preserve"> (ואת נסיעתם מימן ר׳ </w:t>
      </w:r>
      <w:proofErr w:type="spellStart"/>
      <w:r>
        <w:rPr>
          <w:rtl/>
        </w:rPr>
        <w:t>יעקב־נח</w:t>
      </w:r>
      <w:proofErr w:type="spellEnd"/>
      <w:r>
        <w:rPr>
          <w:rtl/>
        </w:rPr>
        <w:t xml:space="preserve"> </w:t>
      </w:r>
      <w:proofErr w:type="spellStart"/>
      <w:r>
        <w:rPr>
          <w:rtl/>
        </w:rPr>
        <w:t>אוקסנקרוג</w:t>
      </w:r>
      <w:proofErr w:type="spellEnd"/>
      <w:r>
        <w:rPr>
          <w:rtl/>
        </w:rPr>
        <w:t xml:space="preserve"> אוהב הצדקה</w:t>
      </w:r>
      <w:bookmarkStart w:id="1564" w:name="_fnr1041"/>
      <w:r>
        <w:rPr>
          <w:rStyle w:val="a5"/>
        </w:rPr>
        <w:footnoteReference w:id="1044" w:customMarkFollows="0"/>
      </w:r>
      <w:bookmarkEnd w:id="1564"/>
      <w:r>
        <w:rPr>
          <w:rtl/>
        </w:rPr>
        <w:t xml:space="preserve">), ואילו </w:t>
      </w:r>
      <w:proofErr w:type="spellStart"/>
      <w:r>
        <w:rPr>
          <w:rtl/>
        </w:rPr>
        <w:t>נחום־מאיר</w:t>
      </w:r>
      <w:proofErr w:type="spellEnd"/>
      <w:r>
        <w:rPr>
          <w:rtl/>
        </w:rPr>
        <w:t xml:space="preserve"> למד בישיבת דודו.</w:t>
      </w:r>
    </w:p>
    <w:p w14:paraId="717920AE" w14:textId="5C9E0188" w:rsidR="00AB3647" w:rsidRDefault="00000000" w:rsidP="007923E9">
      <w:pPr>
        <w:spacing w:after="100" w:line="276" w:lineRule="auto"/>
        <w:ind w:firstLine="340"/>
        <w:jc w:val="both"/>
      </w:pPr>
      <w:r>
        <w:rPr>
          <w:rtl/>
        </w:rPr>
        <w:t xml:space="preserve">אבל ר׳ </w:t>
      </w:r>
      <w:proofErr w:type="spellStart"/>
      <w:r>
        <w:rPr>
          <w:rtl/>
        </w:rPr>
        <w:t>אברהם־ישעיה</w:t>
      </w:r>
      <w:proofErr w:type="spellEnd"/>
      <w:r>
        <w:rPr>
          <w:rtl/>
        </w:rPr>
        <w:t xml:space="preserve"> </w:t>
      </w:r>
      <w:proofErr w:type="spellStart"/>
      <w:r>
        <w:rPr>
          <w:rtl/>
        </w:rPr>
        <w:t>קרליץ</w:t>
      </w:r>
      <w:proofErr w:type="spellEnd"/>
      <w:r>
        <w:rPr>
          <w:rtl/>
        </w:rPr>
        <w:t xml:space="preserve"> הבטיח לי</w:t>
      </w:r>
      <w:bookmarkStart w:id="1565" w:name="_fnr1042"/>
      <w:r>
        <w:rPr>
          <w:rStyle w:val="a5"/>
        </w:rPr>
        <w:footnoteReference w:id="1045" w:customMarkFollows="0"/>
      </w:r>
      <w:bookmarkEnd w:id="1565"/>
      <w:r>
        <w:rPr>
          <w:rtl/>
        </w:rPr>
        <w:t xml:space="preserve"> שבמשפחה יש מסורת שסבו, ר׳ </w:t>
      </w:r>
      <w:proofErr w:type="spellStart"/>
      <w:r>
        <w:rPr>
          <w:rtl/>
        </w:rPr>
        <w:t>נחום־מאיר</w:t>
      </w:r>
      <w:proofErr w:type="spellEnd"/>
      <w:r>
        <w:rPr>
          <w:rtl/>
        </w:rPr>
        <w:t xml:space="preserve">, נסע יחד עם אבי, ורק </w:t>
      </w:r>
      <w:r>
        <w:rPr>
          <w:b/>
          <w:bCs/>
          <w:rtl/>
        </w:rPr>
        <w:t>ברכבת</w:t>
      </w:r>
      <w:r>
        <w:rPr>
          <w:rtl/>
        </w:rPr>
        <w:t xml:space="preserve"> פגשו את ר׳ אהרן קוטלר. אם כן, הדיווח של “פאר הדור” מדויק. בפרק 2, הערה </w:t>
      </w:r>
      <w:r>
        <w:rPr>
          <w:rtl/>
        </w:rPr>
        <w:fldChar w:fldCharType="begin" w:dirty="true"/>
      </w:r>
      <w:r>
        <w:rPr>
          <w:rtl/>
        </w:rPr>
        <w:instrText xml:space="preserve"> REF b2_note103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103</w:t>
      </w:r>
      <w:r>
        <w:rPr>
          <w:rtl/>
        </w:rPr>
        <w:fldChar w:fldCharType="end"/>
      </w:r>
      <w:r>
        <w:rPr>
          <w:rtl/>
        </w:rPr>
        <w:t>, מוסבר איך יצא שסידורי הנסיעה היו כך.</w:t>
      </w:r>
    </w:p>
    <w:p w14:paraId="4EE79D89" w14:textId="77777777" w:rsidR="00AB3647" w:rsidRDefault="00000000" w:rsidP="007923E9">
      <w:pPr>
        <w:spacing w:after="100" w:line="276" w:lineRule="auto"/>
        <w:ind w:firstLine="340"/>
        <w:jc w:val="both"/>
      </w:pPr>
      <w:r>
        <w:rPr>
          <w:rtl/>
        </w:rPr>
        <w:t xml:space="preserve">את </w:t>
      </w:r>
      <w:proofErr w:type="spellStart"/>
      <w:r>
        <w:rPr>
          <w:rtl/>
        </w:rPr>
        <w:t>נחום־מאיר</w:t>
      </w:r>
      <w:proofErr w:type="spellEnd"/>
      <w:r>
        <w:rPr>
          <w:rtl/>
        </w:rPr>
        <w:t xml:space="preserve"> הכיר רבנו ממקומות לימוד קודמים אצל ר׳ שלמה </w:t>
      </w:r>
      <w:proofErr w:type="spellStart"/>
      <w:r>
        <w:rPr>
          <w:rtl/>
        </w:rPr>
        <w:t>גולובנצ׳יץ</w:t>
      </w:r>
      <w:proofErr w:type="spellEnd"/>
      <w:r>
        <w:rPr>
          <w:rtl/>
        </w:rPr>
        <w:t xml:space="preserve">, שול “משכיל לאיתן” ובית המדרש הקטן (כמסופר בפסקה השישית בפרק 2.2). אהרן פינס, לעומתו, היה ידידו החדש יותר – וכפי שהתברר, ידיד לכל ימי חייו. משום כך לא שם אבי לב לנוכחותו של </w:t>
      </w:r>
      <w:proofErr w:type="spellStart"/>
      <w:r>
        <w:rPr>
          <w:rtl/>
        </w:rPr>
        <w:t>ציבולניק</w:t>
      </w:r>
      <w:proofErr w:type="spellEnd"/>
      <w:r>
        <w:rPr>
          <w:rtl/>
        </w:rPr>
        <w:t>, ולא הזכיר אותו כמי שנסע יחד עם ר׳ אהרן ועמו. הנוסע הרביעי, יעקב הנזכר לעיל, ששם משפחתו אינו ידוע, היה ודאי מכר של ר׳ אהרן מחצי השנה שלמד בכנסת בית יצחק,</w:t>
      </w:r>
      <w:bookmarkStart w:id="1566" w:name="_fnr1043"/>
      <w:r>
        <w:rPr>
          <w:rStyle w:val="a5"/>
        </w:rPr>
        <w:footnoteReference w:id="1046" w:customMarkFollows="0"/>
      </w:r>
      <w:bookmarkEnd w:id="1566"/>
      <w:r>
        <w:rPr>
          <w:rtl/>
        </w:rPr>
        <w:t xml:space="preserve"> ואבי קשר אותו לחברו, וממילא גם לעצמו.</w:t>
      </w:r>
    </w:p>
    <w:bookmarkStart w:id="1567" w:name="b3_note2"/>
    <w:p w14:paraId="26936105" w14:textId="77777777" w:rsidR="00AB3647" w:rsidRDefault="00000000" w:rsidP="007923E9">
      <w:pPr>
        <w:spacing w:before="120" w:after="100" w:line="276" w:lineRule="auto"/>
        <w:jc w:val="both"/>
      </w:pPr>
      <w:r>
        <w:fldChar w:fldCharType="begin" w:dirty="true"/>
      </w:r>
      <w:r>
        <w:instrText>HYPERLINK \l "b3_ref2"</w:instrText>
      </w:r>
      <w:r>
        <w:fldChar w:fldCharType="separate"/>
      </w:r>
      <w:r>
        <w:rPr>
          <w:b/>
          <w:bCs/>
          <w:rtl/>
        </w:rPr>
        <w:t>2</w:t>
      </w:r>
      <w:r>
        <w:rPr>
          <w:b/>
          <w:bCs/>
        </w:rPr>
        <w:fldChar w:fldCharType="end"/>
      </w:r>
      <w:bookmarkEnd w:id="1567"/>
      <w:r>
        <w:rPr>
          <w:rtl/>
        </w:rPr>
        <w:t xml:space="preserve"> בן לוויתם </w:t>
      </w:r>
      <w:proofErr w:type="spellStart"/>
      <w:r>
        <w:rPr>
          <w:rtl/>
        </w:rPr>
        <w:t>ה“פשוט</w:t>
      </w:r>
      <w:proofErr w:type="spellEnd"/>
      <w:r>
        <w:rPr>
          <w:rtl/>
        </w:rPr>
        <w:t xml:space="preserve">”, יעקב, לא הצטרף אליהם. אולי כבר ראה את העיר באחת מנסיעותיו הקודמות לקובנה, או שלא היה קרוב די הצורך לשני האחרים כדי שיזמינו אותו להצטרף. גם </w:t>
      </w:r>
      <w:proofErr w:type="spellStart"/>
      <w:r>
        <w:rPr>
          <w:rtl/>
        </w:rPr>
        <w:t>נחום־מאיר</w:t>
      </w:r>
      <w:proofErr w:type="spellEnd"/>
      <w:r>
        <w:rPr>
          <w:rtl/>
        </w:rPr>
        <w:t xml:space="preserve"> </w:t>
      </w:r>
      <w:proofErr w:type="spellStart"/>
      <w:r>
        <w:rPr>
          <w:rtl/>
        </w:rPr>
        <w:t>ציבולניק</w:t>
      </w:r>
      <w:proofErr w:type="spellEnd"/>
      <w:r>
        <w:rPr>
          <w:rtl/>
        </w:rPr>
        <w:t xml:space="preserve"> (שלא הוזכר) לא נלקח עמם.</w:t>
      </w:r>
    </w:p>
    <w:p w14:paraId="7EFDC4E5" w14:textId="030F968E"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בטיולם תעו בדרך, כשנאלצו לעקוף דרך השכונה של רחוב </w:t>
      </w:r>
      <w:proofErr w:type="spellStart"/>
      <w:r>
        <w:rPr>
          <w:rtl/>
        </w:rPr>
        <w:t>אוסטרובראמה</w:t>
      </w:r>
      <w:proofErr w:type="spellEnd"/>
      <w:r>
        <w:rPr>
          <w:rtl/>
        </w:rPr>
        <w:t>. רחוב זה עבר בשער מקומר שבתוך כנסייה: הקתולים שנכנסו בשער כרעו והצטלבו, ואילו היהודים, להבדיל, נדרשו להסיר את כובעיהם.</w:t>
      </w:r>
      <w:bookmarkStart w:id="1568" w:name="b3_ref3"/>
      <w:bookmarkEnd w:id="1568"/>
      <w:r>
        <w:rPr>
          <w:vertAlign w:val="superscript"/>
          <w:rtl/>
        </w:rPr>
        <w:fldChar w:fldCharType="begin" w:dirty="true"/>
      </w:r>
      <w:r>
        <w:rPr>
          <w:vertAlign w:val="superscript"/>
          <w:rtl/>
        </w:rPr>
        <w:instrText xml:space="preserve"> REF b3_note3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w:t>
      </w:r>
      <w:r>
        <w:rPr>
          <w:vertAlign w:val="superscript"/>
          <w:rtl/>
        </w:rPr>
        <w:fldChar w:fldCharType="end"/>
      </w:r>
      <w:r>
        <w:rPr>
          <w:rtl/>
        </w:rPr>
        <w:t xml:space="preserve"> יהודי וילנאי טוב לב, שראה את שני הנערים מעיינים בשלטי הרחובות, הבין שתעו והוליכם בחזרה אל התחנה.</w:t>
      </w:r>
      <w:bookmarkStart w:id="1569" w:name="b3_ref4"/>
      <w:bookmarkEnd w:id="1569"/>
      <w:r>
        <w:rPr>
          <w:vertAlign w:val="superscript"/>
          <w:rtl/>
        </w:rPr>
        <w:fldChar w:fldCharType="begin" w:dirty="true"/>
      </w:r>
      <w:r>
        <w:rPr>
          <w:vertAlign w:val="superscript"/>
          <w:rtl/>
        </w:rPr>
        <w:instrText xml:space="preserve"> REF b3_note4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w:t>
      </w:r>
      <w:r>
        <w:rPr>
          <w:vertAlign w:val="superscript"/>
          <w:rtl/>
        </w:rPr>
        <w:fldChar w:fldCharType="end"/>
      </w:r>
    </w:p>
    <w:bookmarkStart w:id="1570" w:name="b3_note3"/>
    <w:p w14:paraId="68777B5A" w14:textId="77777777" w:rsidR="00AB3647" w:rsidRDefault="00000000" w:rsidP="007923E9">
      <w:pPr>
        <w:spacing w:before="120" w:after="100" w:line="276" w:lineRule="auto"/>
        <w:jc w:val="both"/>
      </w:pPr>
      <w:r>
        <w:fldChar w:fldCharType="begin" w:dirty="true"/>
      </w:r>
      <w:r>
        <w:instrText>HYPERLINK \l "b3_ref3"</w:instrText>
      </w:r>
      <w:r>
        <w:fldChar w:fldCharType="separate"/>
      </w:r>
      <w:r>
        <w:rPr>
          <w:b/>
          <w:bCs/>
          <w:rtl/>
        </w:rPr>
        <w:t>3</w:t>
      </w:r>
      <w:r>
        <w:rPr>
          <w:b/>
          <w:bCs/>
        </w:rPr>
        <w:fldChar w:fldCharType="end"/>
      </w:r>
      <w:bookmarkEnd w:id="1570"/>
      <w:r>
        <w:rPr>
          <w:rtl/>
        </w:rPr>
        <w:t xml:space="preserve"> בזיכרונותיו של ברוך צוקרמן</w:t>
      </w:r>
      <w:bookmarkStart w:id="1571" w:name="_fnr1044"/>
      <w:r>
        <w:rPr>
          <w:rStyle w:val="a5"/>
        </w:rPr>
        <w:footnoteReference w:id="1047" w:customMarkFollows="0"/>
      </w:r>
      <w:bookmarkEnd w:id="1571"/>
      <w:r>
        <w:rPr>
          <w:rtl/>
        </w:rPr>
        <w:t xml:space="preserve"> מעלה המחבר זיכרון ממאורע שאירע כשהיה בן </w:t>
      </w:r>
      <w:proofErr w:type="spellStart"/>
      <w:r>
        <w:rPr>
          <w:rtl/>
        </w:rPr>
        <w:t>ארבע־עשרה</w:t>
      </w:r>
      <w:proofErr w:type="spellEnd"/>
      <w:r>
        <w:rPr>
          <w:rtl/>
        </w:rPr>
        <w:t xml:space="preserve">. הוא ביקר אז את אביו, שעזב את ביתו לעבודה עונתית בקיץ (“אחרי שבועות עד לפני ראש השנה”) – שמירת פרדס בווילנה.</w:t>
      </w:r>
    </w:p>
    <w:p w14:paraId="4AC416C4" w14:textId="77777777" w:rsidR="00AB3647" w:rsidRDefault="00000000" w:rsidP="007923E9">
      <w:pPr>
        <w:spacing w:before="120" w:after="100" w:line="276" w:lineRule="auto"/>
        <w:jc w:val="both"/>
      </w:pPr>
      <w:r>
        <w:rPr>
          <w:rtl/>
        </w:rPr>
        <w:t xml:space="preserve">הוא מספר: “אבי היה הולך בכל שבת אחר הצהריים לשמוע את המגיד </w:t>
      </w:r>
      <w:proofErr w:type="spellStart"/>
      <w:r>
        <w:rPr>
          <w:rtl/>
        </w:rPr>
        <w:t>בקלויז</w:t>
      </w:r>
      <w:proofErr w:type="spellEnd"/>
      <w:r>
        <w:rPr>
          <w:rtl/>
        </w:rPr>
        <w:t xml:space="preserve"> שברחוב </w:t>
      </w:r>
      <w:proofErr w:type="spellStart"/>
      <w:r>
        <w:rPr>
          <w:rtl/>
        </w:rPr>
        <w:t>זוולנה</w:t>
      </w:r>
      <w:proofErr w:type="spellEnd"/>
      <w:r>
        <w:rPr>
          <w:rtl/>
        </w:rPr>
        <w:t xml:space="preserve">. הפרדס היה בקצה רחוב </w:t>
      </w:r>
      <w:proofErr w:type="spellStart"/>
      <w:r>
        <w:rPr>
          <w:rtl/>
        </w:rPr>
        <w:t>אוסטרובראמה</w:t>
      </w:r>
      <w:proofErr w:type="spellEnd"/>
      <w:r>
        <w:rPr>
          <w:rtl/>
        </w:rPr>
        <w:t xml:space="preserve">, וכדי ללכת לשמוע את המגיד היה צריך לעבור [בשער של] ‘כנסיית </w:t>
      </w:r>
      <w:proofErr w:type="spellStart"/>
      <w:r>
        <w:rPr>
          <w:rtl/>
        </w:rPr>
        <w:t>אוסטרובראמה</w:t>
      </w:r>
      <w:proofErr w:type="spellEnd"/>
      <w:r>
        <w:rPr>
          <w:rtl/>
        </w:rPr>
        <w:t xml:space="preserve">’, שהיו בה תשמישי ‘קדושה’ נוצריים מכל המינים. כל העובר שם היה חייב להסיר את כובעו. מאחר שהייתי בווילנה בפעם הראשונה, מובן שלא ידעתי על מנהג זה. באותה שבת לקח אותי אבי עמו לשמוע את המגיד. כשעבר בשער לא הסיר את כובעו – אם עשה כן משום שהיהודי שבו לא הניח לו, או שפשוט שכח, איני יודע. אני זוכר רק כיצד הלמו בראשו שני בחורים פולנים גדולים, עד שנפל כובעו ותפחה בליטה על מצחו. </w:t>
      </w:r>
      <w:r>
        <w:rPr>
          <w:rtl/>
        </w:rPr>
        <w:lastRenderedPageBreak/>
        <w:t xml:space="preserve">אבי אפילו לא הגיב על ההתנפלות. הוא רק הרים את כובעו, כיסה את הפצע במצחייה, אחז בידי והלך אל </w:t>
      </w:r>
      <w:proofErr w:type="spellStart"/>
      <w:r>
        <w:rPr>
          <w:rtl/>
        </w:rPr>
        <w:t>הקלויז</w:t>
      </w:r>
      <w:proofErr w:type="spellEnd"/>
      <w:r>
        <w:rPr>
          <w:rtl/>
        </w:rPr>
        <w:t xml:space="preserve"> לשמוע את המגיד – כאילו לא אירע דבר. איני יודע אם שמע את דרשת המגיד אם לאו, אבל אני יודע שאף מילה אחת לא נכנסה לראשי. חנקתי בקרבי את הכאב העמוק על שאבי הושפל כך. בדרך חזרה הוליך אותי אבי בסמטאות צדדיות שעקפו את שער </w:t>
      </w:r>
      <w:proofErr w:type="spellStart"/>
      <w:r>
        <w:rPr>
          <w:rtl/>
        </w:rPr>
        <w:t>אוסטרובראמה</w:t>
      </w:r>
      <w:proofErr w:type="spellEnd"/>
      <w:r>
        <w:rPr>
          <w:rtl/>
        </w:rPr>
        <w:t>.”</w:t>
      </w:r>
    </w:p>
    <w:bookmarkStart w:id="1572" w:name="b3_note4"/>
    <w:p w14:paraId="5FAA4CB2" w14:textId="77777777" w:rsidR="00AB3647" w:rsidRDefault="00000000" w:rsidP="007923E9">
      <w:pPr>
        <w:spacing w:before="120" w:after="100" w:line="276" w:lineRule="auto"/>
        <w:jc w:val="both"/>
      </w:pPr>
      <w:r>
        <w:fldChar w:fldCharType="begin" w:dirty="true"/>
      </w:r>
      <w:r>
        <w:instrText>HYPERLINK \l "b3_ref4"</w:instrText>
      </w:r>
      <w:r>
        <w:fldChar w:fldCharType="separate"/>
      </w:r>
      <w:r>
        <w:rPr>
          <w:b/>
          <w:bCs/>
          <w:rtl/>
        </w:rPr>
        <w:t>4</w:t>
      </w:r>
      <w:r>
        <w:rPr>
          <w:b/>
          <w:bCs/>
        </w:rPr>
        <w:fldChar w:fldCharType="end"/>
      </w:r>
      <w:bookmarkEnd w:id="1572"/>
      <w:r>
        <w:rPr>
          <w:rtl/>
        </w:rPr>
        <w:t xml:space="preserve"> הרפתקה זו סופרה בשיחה המוקלטת עם ר׳ מרדכי שפירא.</w:t>
      </w:r>
      <w:bookmarkStart w:id="1573" w:name="_fnr1045"/>
      <w:r>
        <w:rPr>
          <w:rStyle w:val="a5"/>
        </w:rPr>
        <w:footnoteReference w:id="1048" w:customMarkFollows="0"/>
      </w:r>
      <w:bookmarkEnd w:id="1573"/>
      <w:r>
        <w:rPr>
          <w:rtl/>
        </w:rPr>
        <w:t xml:space="preserve"> אבי סיפר שהם לא שאלו את היהודי איך מגיעים לתחנה; הוא הבין מהתנהגותם שתעו. בדרך לתחנה שאל אותם מאין הם, וכשענו לו: “אנו נוסעים ממינסק”, העיר: “האמנם כך הוא, שבמינסק, כששואלים אנשים לאן ללכת, אין הם מראים לך?!” בדרך עקיפין רמז היהודי הוילנאי שאילו באו מעיר שאנשיה עוזרים לזרים תועים, ודאי היו שואלים מישהו לדרך. אבי צחק כשסיפר את הערתו של היהודי הוילנאי. הוא ידע היטב עד כמה טובי לב ומכניסי אורחים היו יהודי מינסק: הנערים לא שאלו לדרך מתוך ביישנות גרידא.</w:t>
      </w:r>
    </w:p>
    <w:p w14:paraId="234D2D4B" w14:textId="52AD231E"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הנערים שמחו לשוב אל הרכבת, ולבסוף הגיעו לקובנה, עיר גדולה השוכנת בזווית שבמפגש </w:t>
      </w:r>
      <w:proofErr w:type="spellStart"/>
      <w:r>
        <w:rPr>
          <w:rtl/>
        </w:rPr>
        <w:t>הוויליה</w:t>
      </w:r>
      <w:proofErr w:type="spellEnd"/>
      <w:r>
        <w:rPr>
          <w:rtl/>
        </w:rPr>
        <w:t xml:space="preserve">, הפונה </w:t>
      </w:r>
      <w:proofErr w:type="spellStart"/>
      <w:r>
        <w:rPr>
          <w:rtl/>
        </w:rPr>
        <w:t>דרומה־מערבה</w:t>
      </w:r>
      <w:proofErr w:type="spellEnd"/>
      <w:r>
        <w:rPr>
          <w:rtl/>
        </w:rPr>
        <w:t xml:space="preserve">, עם נהר </w:t>
      </w:r>
      <w:proofErr w:type="spellStart"/>
      <w:r>
        <w:rPr>
          <w:rtl/>
        </w:rPr>
        <w:t>הנמן</w:t>
      </w:r>
      <w:proofErr w:type="spellEnd"/>
      <w:r>
        <w:rPr>
          <w:rtl/>
        </w:rPr>
        <w:t xml:space="preserve"> הרחב ממנו.</w:t>
      </w:r>
      <w:bookmarkStart w:id="1574" w:name="b3_ref5"/>
      <w:bookmarkEnd w:id="1574"/>
      <w:r>
        <w:rPr>
          <w:vertAlign w:val="superscript"/>
          <w:rtl/>
        </w:rPr>
        <w:fldChar w:fldCharType="begin" w:dirty="true"/>
      </w:r>
      <w:r>
        <w:rPr>
          <w:vertAlign w:val="superscript"/>
          <w:rtl/>
        </w:rPr>
        <w:instrText xml:space="preserve"> REF b3_note5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 xml:space="preserve">5 </w:t>
      </w:r>
      <w:r>
        <w:rPr>
          <w:vertAlign w:val="superscript"/>
          <w:rtl/>
        </w:rPr>
        <w:fldChar w:fldCharType="end"/>
      </w:r>
      <w:r>
        <w:rPr>
          <w:rtl/>
        </w:rPr>
        <w:t xml:space="preserve"> בכ״ט בניסן (24 באפריל) ראו הנוסעים את העיר, בת 75,000 תושבים, שיותר ממחציתם היו יהודים. קובנה הרשימה ביופי בנייניה ובהדר נופה, ואת שוליה תחמו גבעות, שעדיין היו חשופות כדרכן בעונה זו. רוב ימות השנה חיברו גשרים על </w:t>
      </w:r>
      <w:proofErr w:type="spellStart"/>
      <w:r>
        <w:rPr>
          <w:rtl/>
        </w:rPr>
        <w:t>הוויליה</w:t>
      </w:r>
      <w:proofErr w:type="spellEnd"/>
      <w:r>
        <w:rPr>
          <w:rtl/>
        </w:rPr>
        <w:t xml:space="preserve"> ועל </w:t>
      </w:r>
      <w:proofErr w:type="spellStart"/>
      <w:r>
        <w:rPr>
          <w:rtl/>
        </w:rPr>
        <w:t>הנמן</w:t>
      </w:r>
      <w:proofErr w:type="spellEnd"/>
      <w:r>
        <w:rPr>
          <w:rtl/>
        </w:rPr>
        <w:t xml:space="preserve"> את העיר אל הפרברים </w:t>
      </w:r>
      <w:proofErr w:type="spellStart"/>
      <w:r>
        <w:rPr>
          <w:rtl/>
        </w:rPr>
        <w:t>ויליאמפולה</w:t>
      </w:r>
      <w:proofErr w:type="spellEnd"/>
      <w:r>
        <w:rPr>
          <w:rtl/>
        </w:rPr>
        <w:t xml:space="preserve"> </w:t>
      </w:r>
      <w:proofErr w:type="spellStart"/>
      <w:r>
        <w:rPr>
          <w:rtl/>
        </w:rPr>
        <w:t>ואלקסוט</w:t>
      </w:r>
      <w:proofErr w:type="spellEnd"/>
      <w:r>
        <w:rPr>
          <w:rtl/>
        </w:rPr>
        <w:t>, בהתאמה.</w:t>
      </w:r>
      <w:bookmarkStart w:id="1575" w:name="b3_ref6"/>
      <w:bookmarkEnd w:id="1575"/>
      <w:r>
        <w:rPr>
          <w:vertAlign w:val="superscript"/>
          <w:rtl/>
        </w:rPr>
        <w:fldChar w:fldCharType="begin" w:dirty="true"/>
      </w:r>
      <w:r>
        <w:rPr>
          <w:vertAlign w:val="superscript"/>
          <w:rtl/>
        </w:rPr>
        <w:instrText xml:space="preserve"> REF b3_note6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w:t>
      </w:r>
      <w:r>
        <w:rPr>
          <w:vertAlign w:val="superscript"/>
          <w:rtl/>
        </w:rPr>
        <w:fldChar w:fldCharType="end"/>
      </w:r>
    </w:p>
    <w:bookmarkStart w:id="1576" w:name="b3_note5"/>
    <w:p w14:paraId="62CF6DE9" w14:textId="77777777" w:rsidR="00AB3647" w:rsidRDefault="00000000" w:rsidP="007923E9">
      <w:pPr>
        <w:spacing w:before="120" w:after="100" w:line="276" w:lineRule="auto"/>
        <w:jc w:val="both"/>
      </w:pPr>
      <w:r>
        <w:fldChar w:fldCharType="begin" w:dirty="true"/>
      </w:r>
      <w:r>
        <w:instrText>HYPERLINK \l "b3_ref5"</w:instrText>
      </w:r>
      <w:r>
        <w:fldChar w:fldCharType="separate"/>
      </w:r>
      <w:r>
        <w:rPr>
          <w:b/>
          <w:bCs/>
          <w:rtl/>
        </w:rPr>
        <w:t xml:space="preserve">5 </w:t>
      </w:r>
      <w:r>
        <w:rPr>
          <w:b/>
          <w:bCs/>
        </w:rPr>
        <w:fldChar w:fldCharType="end"/>
      </w:r>
      <w:bookmarkEnd w:id="1576"/>
      <w:r>
        <w:rPr>
          <w:rtl/>
        </w:rPr>
        <w:t>כדרכם של יהודים, נהגו למצוא קשרים בין שמות למקורות יהודיים. למשל, בשנים הראשונות, כשאמריקה נחשבה “טריפה”,</w:t>
      </w:r>
      <w:bookmarkStart w:id="1577" w:name="_fnr1046"/>
      <w:r>
        <w:rPr>
          <w:rStyle w:val="a5"/>
        </w:rPr>
        <w:footnoteReference w:id="1049" w:customMarkFollows="0"/>
      </w:r>
      <w:bookmarkEnd w:id="1577"/>
      <w:r>
        <w:rPr>
          <w:rtl/>
        </w:rPr>
        <w:t xml:space="preserve"> כינו אותה “עמא ריקא”, שפירושו בארמית: עם ריק. </w:t>
      </w:r>
      <w:proofErr w:type="spellStart"/>
      <w:r>
        <w:rPr>
          <w:rtl/>
        </w:rPr>
        <w:t>בשאשקעס</w:t>
      </w:r>
      <w:bookmarkStart w:id="1578" w:name="_fnr1047"/>
      <w:proofErr w:type="spellEnd"/>
      <w:r>
        <w:rPr>
          <w:rStyle w:val="a5"/>
        </w:rPr>
        <w:footnoteReference w:id="1050" w:customMarkFollows="0"/>
      </w:r>
      <w:bookmarkEnd w:id="1578"/>
      <w:r>
        <w:rPr>
          <w:rtl/>
        </w:rPr>
        <w:t xml:space="preserve"> מספר המחבר שאחי סבו גר </w:t>
      </w:r>
      <w:proofErr w:type="spellStart"/>
      <w:r>
        <w:rPr>
          <w:rtl/>
        </w:rPr>
        <w:t>בגרודנא</w:t>
      </w:r>
      <w:proofErr w:type="spellEnd"/>
      <w:r>
        <w:rPr>
          <w:rtl/>
        </w:rPr>
        <w:t xml:space="preserve"> על גדת נהר </w:t>
      </w:r>
      <w:proofErr w:type="spellStart"/>
      <w:r>
        <w:rPr>
          <w:rtl/>
        </w:rPr>
        <w:t>הנמן</w:t>
      </w:r>
      <w:proofErr w:type="spellEnd"/>
      <w:r>
        <w:rPr>
          <w:rtl/>
        </w:rPr>
        <w:t>, ותיאר את ביתו בפסוק</w:t>
      </w:r>
      <w:bookmarkStart w:id="1579" w:name="_fnr1048"/>
      <w:r>
        <w:rPr>
          <w:rStyle w:val="a5"/>
        </w:rPr>
        <w:footnoteReference w:id="1051" w:customMarkFollows="0"/>
      </w:r>
      <w:bookmarkEnd w:id="1579"/>
      <w:r>
        <w:rPr>
          <w:rtl/>
        </w:rPr>
        <w:t xml:space="preserve"> “בכל ביתי נאמן הוא” – כלומר, במובן מסוים: “(הנהר) </w:t>
      </w:r>
      <w:proofErr w:type="spellStart"/>
      <w:r>
        <w:rPr>
          <w:rtl/>
        </w:rPr>
        <w:t>נמן</w:t>
      </w:r>
      <w:proofErr w:type="spellEnd"/>
      <w:r>
        <w:rPr>
          <w:rtl/>
        </w:rPr>
        <w:t xml:space="preserve"> (זורם) סביב כל ביתי”.</w:t>
      </w:r>
    </w:p>
    <w:bookmarkStart w:id="1580" w:name="b3_note6"/>
    <w:p w14:paraId="4AB8716A" w14:textId="77777777" w:rsidR="00AB3647" w:rsidRDefault="00000000" w:rsidP="007923E9">
      <w:pPr>
        <w:spacing w:before="120" w:after="100" w:line="276" w:lineRule="auto"/>
        <w:jc w:val="both"/>
      </w:pPr>
      <w:r>
        <w:fldChar w:fldCharType="begin" w:dirty="true"/>
      </w:r>
      <w:r>
        <w:instrText>HYPERLINK \l "b3_ref6"</w:instrText>
      </w:r>
      <w:r>
        <w:fldChar w:fldCharType="separate"/>
      </w:r>
      <w:r>
        <w:rPr>
          <w:b/>
          <w:bCs/>
          <w:rtl/>
        </w:rPr>
        <w:t>6</w:t>
      </w:r>
      <w:r>
        <w:rPr>
          <w:b/>
          <w:bCs/>
        </w:rPr>
        <w:fldChar w:fldCharType="end"/>
      </w:r>
      <w:bookmarkEnd w:id="1580"/>
      <w:r>
        <w:rPr>
          <w:rtl/>
        </w:rPr>
        <w:t xml:space="preserve"> בן קלם ומתנגד המוסר אליעזר אליהו פרידמן מתאר </w:t>
      </w:r>
      <w:proofErr w:type="spellStart"/>
      <w:r>
        <w:rPr>
          <w:rtl/>
        </w:rPr>
        <w:t>ב“ספר</w:t>
      </w:r>
      <w:proofErr w:type="spellEnd"/>
      <w:r>
        <w:rPr>
          <w:rtl/>
        </w:rPr>
        <w:t xml:space="preserve"> </w:t>
      </w:r>
      <w:proofErr w:type="spellStart"/>
      <w:r>
        <w:rPr>
          <w:rtl/>
        </w:rPr>
        <w:t>הזכרונות</w:t>
      </w:r>
      <w:proofErr w:type="spellEnd"/>
      <w:r>
        <w:rPr>
          <w:rtl/>
        </w:rPr>
        <w:t xml:space="preserve"> (תרי״ח–תרפ״ו)”</w:t>
      </w:r>
      <w:bookmarkStart w:id="1581" w:name="_fnr1049"/>
      <w:r>
        <w:rPr>
          <w:rStyle w:val="a5"/>
        </w:rPr>
        <w:footnoteReference w:id="1052" w:customMarkFollows="0"/>
      </w:r>
      <w:bookmarkEnd w:id="1581"/>
      <w:r>
        <w:rPr>
          <w:rtl/>
        </w:rPr>
        <w:t xml:space="preserve"> שחיבר את אופיין השונה של </w:t>
      </w:r>
      <w:proofErr w:type="spellStart"/>
      <w:r>
        <w:rPr>
          <w:rtl/>
        </w:rPr>
        <w:t>ויליאמפולה</w:t>
      </w:r>
      <w:proofErr w:type="spellEnd"/>
      <w:r>
        <w:rPr>
          <w:rtl/>
        </w:rPr>
        <w:t xml:space="preserve"> (</w:t>
      </w:r>
      <w:proofErr w:type="spellStart"/>
      <w:r>
        <w:rPr>
          <w:rtl/>
        </w:rPr>
        <w:t>סלבודקה</w:t>
      </w:r>
      <w:proofErr w:type="spellEnd"/>
      <w:r>
        <w:rPr>
          <w:rtl/>
        </w:rPr>
        <w:t xml:space="preserve">) ושל </w:t>
      </w:r>
      <w:proofErr w:type="spellStart"/>
      <w:r>
        <w:rPr>
          <w:rtl/>
        </w:rPr>
        <w:t>אלקסוט</w:t>
      </w:r>
      <w:proofErr w:type="spellEnd"/>
      <w:r>
        <w:rPr>
          <w:rtl/>
        </w:rPr>
        <w:t xml:space="preserve">. פרידמן כותב: “קובנה בנויה על דלתא בין </w:t>
      </w:r>
      <w:proofErr w:type="spellStart"/>
      <w:r>
        <w:rPr>
          <w:rtl/>
        </w:rPr>
        <w:t>הוויליה</w:t>
      </w:r>
      <w:proofErr w:type="spellEnd"/>
      <w:r>
        <w:rPr>
          <w:rtl/>
        </w:rPr>
        <w:t xml:space="preserve"> </w:t>
      </w:r>
      <w:proofErr w:type="spellStart"/>
      <w:r>
        <w:rPr>
          <w:rtl/>
        </w:rPr>
        <w:t>לנמן</w:t>
      </w:r>
      <w:proofErr w:type="spellEnd"/>
      <w:r>
        <w:rPr>
          <w:rtl/>
        </w:rPr>
        <w:t>, המתחברים יחד בצדה המערבי</w:t>
      </w:r>
      <w:bookmarkStart w:id="1582" w:name="_fnr1050"/>
      <w:r>
        <w:rPr>
          <w:rStyle w:val="a5"/>
        </w:rPr>
        <w:footnoteReference w:id="1053" w:customMarkFollows="0"/>
      </w:r>
      <w:bookmarkEnd w:id="1582"/>
      <w:r>
        <w:rPr>
          <w:rtl/>
        </w:rPr>
        <w:t xml:space="preserve"> של העיר. מעבר </w:t>
      </w:r>
      <w:proofErr w:type="spellStart"/>
      <w:r>
        <w:rPr>
          <w:rtl/>
        </w:rPr>
        <w:t>לוויליה</w:t>
      </w:r>
      <w:proofErr w:type="spellEnd"/>
      <w:r>
        <w:rPr>
          <w:rtl/>
        </w:rPr>
        <w:t xml:space="preserve"> עומדת </w:t>
      </w:r>
      <w:proofErr w:type="spellStart"/>
      <w:r>
        <w:rPr>
          <w:rtl/>
        </w:rPr>
        <w:t>סלבודקה</w:t>
      </w:r>
      <w:proofErr w:type="spellEnd"/>
      <w:r>
        <w:rPr>
          <w:rtl/>
        </w:rPr>
        <w:t xml:space="preserve"> הליטאית, שרוח ליטא, חשכתה ועניותה שפוכות עליה. </w:t>
      </w:r>
      <w:r>
        <w:rPr>
          <w:b/>
          <w:bCs/>
          <w:rtl/>
        </w:rPr>
        <w:t>הקן</w:t>
      </w:r>
      <w:r>
        <w:rPr>
          <w:rtl/>
        </w:rPr>
        <w:t xml:space="preserve"> (ההדגשה שלי) של החרדיות הקפואה, חרדיות המגיעה עד כדי קנאות, נמצא שם. מעבר </w:t>
      </w:r>
      <w:proofErr w:type="spellStart"/>
      <w:r>
        <w:rPr>
          <w:rtl/>
        </w:rPr>
        <w:t>לנמן</w:t>
      </w:r>
      <w:proofErr w:type="spellEnd"/>
      <w:r>
        <w:rPr>
          <w:rtl/>
        </w:rPr>
        <w:t xml:space="preserve"> נמצאת </w:t>
      </w:r>
      <w:proofErr w:type="spellStart"/>
      <w:r>
        <w:rPr>
          <w:rtl/>
        </w:rPr>
        <w:t>אלקסוט</w:t>
      </w:r>
      <w:proofErr w:type="spellEnd"/>
      <w:r>
        <w:rPr>
          <w:rtl/>
        </w:rPr>
        <w:t xml:space="preserve">, הנחשבת לפלך </w:t>
      </w:r>
      <w:proofErr w:type="spellStart"/>
      <w:r>
        <w:rPr>
          <w:rtl/>
        </w:rPr>
        <w:t>סובאלק</w:t>
      </w:r>
      <w:proofErr w:type="spellEnd"/>
      <w:r>
        <w:rPr>
          <w:rtl/>
        </w:rPr>
        <w:t>, ורוח אירופה נושבת בה.”</w:t>
      </w:r>
    </w:p>
    <w:p w14:paraId="20E3CD52" w14:textId="77777777" w:rsidR="00AB3647" w:rsidRDefault="00000000" w:rsidP="007923E9">
      <w:pPr>
        <w:spacing w:before="120" w:after="100" w:line="276" w:lineRule="auto"/>
        <w:jc w:val="both"/>
      </w:pPr>
      <w:r>
        <w:rPr>
          <w:rtl/>
        </w:rPr>
        <w:lastRenderedPageBreak/>
        <w:t xml:space="preserve">תיאור זה בא כשהמחבר מצדיק את בחירתו לגייס את “רב </w:t>
      </w:r>
      <w:proofErr w:type="spellStart"/>
      <w:r>
        <w:rPr>
          <w:rtl/>
        </w:rPr>
        <w:t>אלקסוט</w:t>
      </w:r>
      <w:proofErr w:type="spellEnd"/>
      <w:r>
        <w:rPr>
          <w:rtl/>
        </w:rPr>
        <w:t xml:space="preserve"> (הנאורה), ר׳ </w:t>
      </w:r>
      <w:proofErr w:type="spellStart"/>
      <w:r>
        <w:rPr>
          <w:rtl/>
        </w:rPr>
        <w:t>מיישל</w:t>
      </w:r>
      <w:proofErr w:type="spellEnd"/>
      <w:r>
        <w:rPr>
          <w:rtl/>
        </w:rPr>
        <w:t xml:space="preserve">” למלחמתו באנשי המוסר בשנת תרל״ט. יש להדגיש שהמחבר המשוחד התעלם מכך שבזמן שהוא מתאר היה קיים “קן” מובהק של דבקי המוסר </w:t>
      </w:r>
      <w:proofErr w:type="spellStart"/>
      <w:r>
        <w:rPr>
          <w:b/>
          <w:bCs/>
          <w:rtl/>
        </w:rPr>
        <w:t>באלקסוט</w:t>
      </w:r>
      <w:proofErr w:type="spellEnd"/>
      <w:r>
        <w:rPr>
          <w:rtl/>
        </w:rPr>
        <w:t xml:space="preserve">, בביתו של ר׳ </w:t>
      </w:r>
      <w:proofErr w:type="spellStart"/>
      <w:r>
        <w:rPr>
          <w:rtl/>
        </w:rPr>
        <w:t>שרגא־פייבל</w:t>
      </w:r>
      <w:proofErr w:type="spellEnd"/>
      <w:r>
        <w:rPr>
          <w:rtl/>
        </w:rPr>
        <w:t xml:space="preserve"> פרנק.</w:t>
      </w:r>
      <w:bookmarkStart w:id="1583" w:name="_fnr1051"/>
      <w:r>
        <w:rPr>
          <w:rStyle w:val="a5"/>
        </w:rPr>
        <w:footnoteReference w:id="1054" w:customMarkFollows="0"/>
      </w:r>
      <w:bookmarkEnd w:id="1583"/>
    </w:p>
    <w:p w14:paraId="5E488626" w14:textId="57291E90"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קובנה נוסדה בשנת </w:t>
      </w:r>
      <w:proofErr w:type="spellStart"/>
      <w:r>
        <w:rPr>
          <w:rtl/>
        </w:rPr>
        <w:t>ד׳תש״צ</w:t>
      </w:r>
      <w:proofErr w:type="spellEnd"/>
      <w:r>
        <w:rPr>
          <w:rtl/>
        </w:rPr>
        <w:t xml:space="preserve"> בידי ליטאים עובדי אלילים, כיישוב שאין בו ייחוד. במשך מאות שנים עברה העיירה מיד ליד: פעם כבשוה לוחמים </w:t>
      </w:r>
      <w:proofErr w:type="spellStart"/>
      <w:r>
        <w:rPr>
          <w:rtl/>
        </w:rPr>
        <w:t>טבטונים</w:t>
      </w:r>
      <w:proofErr w:type="spellEnd"/>
      <w:r>
        <w:rPr>
          <w:rtl/>
        </w:rPr>
        <w:t xml:space="preserve"> פולשים, ופעם כבשוה מחדש שבטי הליטאים. בשנת ה׳ק״ע (1410), לאחר שהגיבור הליטאי </w:t>
      </w:r>
      <w:proofErr w:type="spellStart"/>
      <w:r>
        <w:rPr>
          <w:rtl/>
        </w:rPr>
        <w:t>ויטאוטס</w:t>
      </w:r>
      <w:proofErr w:type="spellEnd"/>
      <w:r>
        <w:rPr>
          <w:rtl/>
        </w:rPr>
        <w:t xml:space="preserve"> הביס סוף סוף את האבירים הגרמנים בטננברג,</w:t>
      </w:r>
      <w:bookmarkStart w:id="1584" w:name="b3_ref7"/>
      <w:bookmarkEnd w:id="1584"/>
      <w:r>
        <w:rPr>
          <w:vertAlign w:val="superscript"/>
          <w:rtl/>
        </w:rPr>
        <w:fldChar w:fldCharType="begin" w:dirty="true"/>
      </w:r>
      <w:r>
        <w:rPr>
          <w:vertAlign w:val="superscript"/>
          <w:rtl/>
        </w:rPr>
        <w:instrText xml:space="preserve"> REF b3_note7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w:t>
      </w:r>
      <w:r>
        <w:rPr>
          <w:vertAlign w:val="superscript"/>
          <w:rtl/>
        </w:rPr>
        <w:fldChar w:fldCharType="end"/>
      </w:r>
      <w:r>
        <w:rPr>
          <w:rtl/>
        </w:rPr>
        <w:t xml:space="preserve"> יצאה העיר לדרך התפתחות איטית, ובשלב זה התקבלו יהודים בברכה לאזור קובנה.</w:t>
      </w:r>
    </w:p>
    <w:bookmarkStart w:id="1585" w:name="b3_note7"/>
    <w:p w14:paraId="1F4F44F6" w14:textId="77777777" w:rsidR="00AB3647" w:rsidRDefault="00000000" w:rsidP="007923E9">
      <w:pPr>
        <w:spacing w:before="120" w:after="100" w:line="276" w:lineRule="auto"/>
        <w:jc w:val="both"/>
      </w:pPr>
      <w:r>
        <w:fldChar w:fldCharType="begin" w:dirty="true"/>
      </w:r>
      <w:r>
        <w:instrText>HYPERLINK \l "b3_ref7"</w:instrText>
      </w:r>
      <w:r>
        <w:fldChar w:fldCharType="separate"/>
      </w:r>
      <w:r>
        <w:rPr>
          <w:b/>
          <w:bCs/>
          <w:rtl/>
        </w:rPr>
        <w:t>7</w:t>
      </w:r>
      <w:r>
        <w:rPr>
          <w:b/>
          <w:bCs/>
        </w:rPr>
        <w:fldChar w:fldCharType="end"/>
      </w:r>
      <w:bookmarkEnd w:id="1585"/>
      <w:r>
        <w:rPr>
          <w:rtl/>
        </w:rPr>
        <w:t xml:space="preserve"> המזג הגרמני האיום לא הניח לתבוסה זו להישכח. בקרב הפתיחה של מלחמת העולם הראשונה (ה׳–ח׳ באלול תרע״ד, 27–30 באוגוסט 1914) הביסו הגרמנים, להפתעת הכול, כוח רוסי גדול בהרבה בערך באותו אזור של פרוסיה המזרחית, וקראו לקרב “קרב </w:t>
      </w:r>
      <w:proofErr w:type="spellStart"/>
      <w:r>
        <w:rPr>
          <w:rtl/>
        </w:rPr>
        <w:t>טננברג</w:t>
      </w:r>
      <w:proofErr w:type="spellEnd"/>
      <w:r>
        <w:rPr>
          <w:rtl/>
        </w:rPr>
        <w:t>”. הגנרלים הגרמנים התחרו זה בזה על הזכות להיחשב כמי שמצא את השם, שגאל את גאוותם הצבאית ממפלתם שם חצי אלף שנים קודם לכן.</w:t>
      </w:r>
      <w:bookmarkStart w:id="1586" w:name="_fnr1052"/>
      <w:r>
        <w:rPr>
          <w:rStyle w:val="a5"/>
        </w:rPr>
        <w:footnoteReference w:id="1055" w:customMarkFollows="0"/>
      </w:r>
      <w:bookmarkEnd w:id="1586"/>
    </w:p>
    <w:p w14:paraId="3F154D16" w14:textId="064F48B5"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במשך 370 השנים שלאחר מכן השלימו הבורגנים הנוצרים של קובנה</w:t>
      </w:r>
      <w:bookmarkStart w:id="1587" w:name="b3_ref8"/>
      <w:bookmarkEnd w:id="1587"/>
      <w:r>
        <w:rPr>
          <w:vertAlign w:val="superscript"/>
          <w:rtl/>
        </w:rPr>
        <w:fldChar w:fldCharType="begin" w:dirty="true"/>
      </w:r>
      <w:r>
        <w:rPr>
          <w:vertAlign w:val="superscript"/>
          <w:rtl/>
        </w:rPr>
        <w:instrText xml:space="preserve"> REF b3_note8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w:t>
      </w:r>
      <w:r>
        <w:rPr>
          <w:vertAlign w:val="superscript"/>
          <w:rtl/>
        </w:rPr>
        <w:fldChar w:fldCharType="end"/>
      </w:r>
      <w:r>
        <w:rPr>
          <w:rtl/>
        </w:rPr>
        <w:t xml:space="preserve"> רק עם נוכחותם של יהודים מעטים, גם בזמנים הטובים ביותר, ובתקופות מסוימות גורשו אפילו המעטים. אבל </w:t>
      </w:r>
      <w:proofErr w:type="spellStart"/>
      <w:r>
        <w:rPr>
          <w:rtl/>
        </w:rPr>
        <w:t>ויליאמפולה</w:t>
      </w:r>
      <w:proofErr w:type="spellEnd"/>
      <w:r>
        <w:rPr>
          <w:rtl/>
        </w:rPr>
        <w:t xml:space="preserve">, ממש מעבר </w:t>
      </w:r>
      <w:proofErr w:type="spellStart"/>
      <w:r>
        <w:rPr>
          <w:rtl/>
        </w:rPr>
        <w:t>לוויליה</w:t>
      </w:r>
      <w:proofErr w:type="spellEnd"/>
      <w:r>
        <w:rPr>
          <w:rtl/>
        </w:rPr>
        <w:t xml:space="preserve">, הייתה שייכת למשפחת האצילים הפולנית </w:t>
      </w:r>
      <w:proofErr w:type="spellStart"/>
      <w:r>
        <w:rPr>
          <w:rtl/>
        </w:rPr>
        <w:t>רדזיוויל</w:t>
      </w:r>
      <w:proofErr w:type="spellEnd"/>
      <w:r>
        <w:rPr>
          <w:rtl/>
        </w:rPr>
        <w:t xml:space="preserve">, ושם לא הוטלו הגבלות. </w:t>
      </w:r>
      <w:proofErr w:type="spellStart"/>
      <w:r>
        <w:rPr>
          <w:rtl/>
        </w:rPr>
        <w:t>ויליאמפולה</w:t>
      </w:r>
      <w:proofErr w:type="spellEnd"/>
      <w:r>
        <w:rPr>
          <w:rtl/>
        </w:rPr>
        <w:t xml:space="preserve"> נעשתה קהילה יהודית יציבה, ואליה היו יהודי קובנה בורחים בגלויותיהם החוזרות ונשנות.</w:t>
      </w:r>
      <w:bookmarkStart w:id="1588" w:name="b3_ref9"/>
      <w:bookmarkEnd w:id="1588"/>
      <w:r>
        <w:rPr>
          <w:vertAlign w:val="superscript"/>
          <w:rtl/>
        </w:rPr>
        <w:fldChar w:fldCharType="begin" w:dirty="true"/>
      </w:r>
      <w:r>
        <w:rPr>
          <w:vertAlign w:val="superscript"/>
          <w:rtl/>
        </w:rPr>
        <w:instrText xml:space="preserve"> REF b3_note9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w:t>
      </w:r>
      <w:r>
        <w:rPr>
          <w:vertAlign w:val="superscript"/>
          <w:rtl/>
        </w:rPr>
        <w:fldChar w:fldCharType="end"/>
      </w:r>
      <w:r>
        <w:rPr>
          <w:rtl/>
        </w:rPr>
        <w:t xml:space="preserve"> משום שהתפתחותה של קובנה כקהילה יהודית נבלמה, הופקדו צרכיה הדתיים בידי </w:t>
      </w:r>
      <w:proofErr w:type="spellStart"/>
      <w:r>
        <w:rPr>
          <w:rtl/>
        </w:rPr>
        <w:t>מ״ץ</w:t>
      </w:r>
      <w:proofErr w:type="spellEnd"/>
      <w:r>
        <w:rPr>
          <w:rtl/>
        </w:rPr>
        <w:t xml:space="preserve"> בלבד, ואילו </w:t>
      </w:r>
      <w:proofErr w:type="spellStart"/>
      <w:r>
        <w:rPr>
          <w:rtl/>
        </w:rPr>
        <w:t>בוויליאמפולה</w:t>
      </w:r>
      <w:proofErr w:type="spellEnd"/>
      <w:r>
        <w:rPr>
          <w:rtl/>
        </w:rPr>
        <w:t xml:space="preserve"> כיהן רב של ממש.</w:t>
      </w:r>
      <w:bookmarkStart w:id="1589" w:name="b3_ref10"/>
      <w:bookmarkEnd w:id="1589"/>
      <w:r>
        <w:rPr>
          <w:vertAlign w:val="superscript"/>
          <w:rtl/>
        </w:rPr>
        <w:fldChar w:fldCharType="begin" w:dirty="true"/>
      </w:r>
      <w:r>
        <w:rPr>
          <w:vertAlign w:val="superscript"/>
          <w:rtl/>
        </w:rPr>
        <w:instrText xml:space="preserve"> REF b3_note10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w:t>
      </w:r>
      <w:r>
        <w:rPr>
          <w:vertAlign w:val="superscript"/>
          <w:rtl/>
        </w:rPr>
        <w:fldChar w:fldCharType="end"/>
      </w:r>
    </w:p>
    <w:bookmarkStart w:id="1590" w:name="b3_note8"/>
    <w:p w14:paraId="2F3B15EB" w14:textId="77777777" w:rsidR="00AB3647" w:rsidRDefault="00000000" w:rsidP="007923E9">
      <w:pPr>
        <w:spacing w:before="120" w:after="100" w:line="276" w:lineRule="auto"/>
        <w:jc w:val="both"/>
      </w:pPr>
      <w:r>
        <w:fldChar w:fldCharType="begin" w:dirty="true"/>
      </w:r>
      <w:r>
        <w:instrText>HYPERLINK \l "b3_ref8"</w:instrText>
      </w:r>
      <w:r>
        <w:fldChar w:fldCharType="separate"/>
      </w:r>
      <w:r>
        <w:rPr>
          <w:b/>
          <w:bCs/>
          <w:rtl/>
        </w:rPr>
        <w:t>8</w:t>
      </w:r>
      <w:r>
        <w:rPr>
          <w:b/>
          <w:bCs/>
        </w:rPr>
        <w:fldChar w:fldCharType="end"/>
      </w:r>
      <w:bookmarkEnd w:id="1590"/>
      <w:r>
        <w:rPr>
          <w:rtl/>
        </w:rPr>
        <w:t xml:space="preserve"> הליטאים היו האחרונים מבין עמי אירופה שנטשו את עבודת האלילים לטובת הנצרות. הדבר אירע בשנת ה‘קמ״ו (1386).</w:t>
      </w:r>
      <w:bookmarkStart w:id="1591" w:name="_fnr1053"/>
      <w:r>
        <w:rPr>
          <w:rStyle w:val="a5"/>
        </w:rPr>
        <w:footnoteReference w:id="1056" w:customMarkFollows="0"/>
      </w:r>
      <w:bookmarkEnd w:id="1591"/>
    </w:p>
    <w:bookmarkStart w:id="1592" w:name="b3_note9"/>
    <w:p w14:paraId="08C49272" w14:textId="77777777" w:rsidR="00AB3647" w:rsidRDefault="00000000" w:rsidP="007923E9">
      <w:pPr>
        <w:spacing w:before="120" w:after="100" w:line="276" w:lineRule="auto"/>
        <w:jc w:val="both"/>
      </w:pPr>
      <w:r>
        <w:fldChar w:fldCharType="begin" w:dirty="true"/>
      </w:r>
      <w:r>
        <w:instrText>HYPERLINK \l "b3_ref9"</w:instrText>
      </w:r>
      <w:r>
        <w:fldChar w:fldCharType="separate"/>
      </w:r>
      <w:r>
        <w:rPr>
          <w:b/>
          <w:bCs/>
          <w:rtl/>
        </w:rPr>
        <w:t>9</w:t>
      </w:r>
      <w:r>
        <w:rPr>
          <w:b/>
          <w:bCs/>
        </w:rPr>
        <w:fldChar w:fldCharType="end"/>
      </w:r>
      <w:bookmarkEnd w:id="1592"/>
      <w:r>
        <w:rPr>
          <w:rtl/>
        </w:rPr>
        <w:t xml:space="preserve"> התקופה היחידה שבה הוסרו כל ההגבלות על מגורי יהודים בקובנה הייתה בחמישים השנים שהחלו בשנת ה‘שי״א, בימי מלכותו של המלך </w:t>
      </w:r>
      <w:proofErr w:type="spellStart"/>
      <w:r>
        <w:rPr>
          <w:rtl/>
        </w:rPr>
        <w:t>זיגמונט</w:t>
      </w:r>
      <w:proofErr w:type="spellEnd"/>
      <w:r>
        <w:rPr>
          <w:rtl/>
        </w:rPr>
        <w:t xml:space="preserve"> אוגוסט.</w:t>
      </w:r>
      <w:bookmarkStart w:id="1593" w:name="_fnr1054"/>
      <w:r>
        <w:rPr>
          <w:rStyle w:val="a5"/>
        </w:rPr>
        <w:footnoteReference w:id="1057" w:customMarkFollows="0"/>
      </w:r>
      <w:bookmarkEnd w:id="1593"/>
      <w:r>
        <w:rPr>
          <w:rtl/>
        </w:rPr>
        <w:t xml:space="preserve"> כמעט 400 שנה אחר כך, בשלוש השנים האחרונות לקיומה של הקהילה היהודית בקובנה, כשהליטאים והגרמנים השמידו את יהודי ליטא, נעשתה </w:t>
      </w:r>
      <w:proofErr w:type="spellStart"/>
      <w:r>
        <w:rPr>
          <w:rtl/>
        </w:rPr>
        <w:t>ויליאמפולה</w:t>
      </w:r>
      <w:proofErr w:type="spellEnd"/>
      <w:r>
        <w:rPr>
          <w:rtl/>
        </w:rPr>
        <w:t xml:space="preserve"> לגטו. ההיסטוריה חזרה על עצמה באירוניה מרה, אבל בזעם נורא לאין ערוך: כל יהודי קובנה גורשו שוב מעבר לגשר אל </w:t>
      </w:r>
      <w:proofErr w:type="spellStart"/>
      <w:r>
        <w:rPr>
          <w:rtl/>
        </w:rPr>
        <w:t>ויליאמפולה</w:t>
      </w:r>
      <w:proofErr w:type="spellEnd"/>
      <w:r>
        <w:rPr>
          <w:rtl/>
        </w:rPr>
        <w:t>. הגטו הוקם על רוב שטחו של הפרבר ונסגר בכ׳ בתמוז תש״א</w:t>
      </w:r>
      <w:bookmarkStart w:id="1594" w:name="_fnr1055"/>
      <w:bookmarkEnd w:id="1594"/>
      <w:r>
        <w:rPr>
          <w:rStyle w:val="a5"/>
        </w:rPr>
        <w:t/>
      </w:r>
      <w:bookmarkStart w:id="7011" w:name="_TranslatorNote_1055"/>
      <w:r>
        <w:rPr>
          <w:rStyle w:val="a5"/>
          <w:vertAlign w:val="superscript"/>
          <w:rtl/>
        </w:rPr>
        <w:footnoteReference w:id="1058" w:customMarkFollows="1"/>
        <w:t>*</w:t>
      </w:r>
      <w:bookmarkEnd w:id="7011"/>
      <w:r>
        <w:rPr>
          <w:rtl/>
        </w:rPr>
        <w:t xml:space="preserve">, ונדחסו בו 30,000 יהודים. </w:t>
      </w:r>
      <w:r>
        <w:rPr>
          <w:rtl/>
        </w:rPr>
        <w:lastRenderedPageBreak/>
        <w:t>אחרי ששטחו צומצם שוב ושוב ורבים מתושביו הושמדו, נהרס הגטו כעבור שלוש שנים בדיוק, בכ׳ בתמוז תש״ד.</w:t>
      </w:r>
    </w:p>
    <w:bookmarkStart w:id="1595" w:name="b3_note10"/>
    <w:p w14:paraId="7832CA1F" w14:textId="77777777" w:rsidR="00AB3647" w:rsidRDefault="00000000" w:rsidP="007923E9">
      <w:pPr>
        <w:spacing w:before="120" w:after="100" w:line="276" w:lineRule="auto"/>
        <w:jc w:val="both"/>
      </w:pPr>
      <w:r>
        <w:fldChar w:fldCharType="begin" w:dirty="true"/>
      </w:r>
      <w:r>
        <w:instrText>HYPERLINK \l "b3_ref10"</w:instrText>
      </w:r>
      <w:r>
        <w:fldChar w:fldCharType="separate"/>
      </w:r>
      <w:r>
        <w:rPr>
          <w:b/>
          <w:bCs/>
          <w:rtl/>
        </w:rPr>
        <w:t>10</w:t>
      </w:r>
      <w:r>
        <w:rPr>
          <w:b/>
          <w:bCs/>
        </w:rPr>
        <w:fldChar w:fldCharType="end"/>
      </w:r>
      <w:bookmarkEnd w:id="1595"/>
      <w:r>
        <w:rPr>
          <w:rtl/>
        </w:rPr>
        <w:t xml:space="preserve"> אחד המפורסמים שברבני </w:t>
      </w:r>
      <w:proofErr w:type="spellStart"/>
      <w:r>
        <w:rPr>
          <w:rtl/>
        </w:rPr>
        <w:t>ויליאמפולה</w:t>
      </w:r>
      <w:proofErr w:type="spellEnd"/>
      <w:r>
        <w:rPr>
          <w:rtl/>
        </w:rPr>
        <w:t xml:space="preserve"> (</w:t>
      </w:r>
      <w:proofErr w:type="spellStart"/>
      <w:r>
        <w:rPr>
          <w:rtl/>
        </w:rPr>
        <w:t>סלבודקה</w:t>
      </w:r>
      <w:proofErr w:type="spellEnd"/>
      <w:r>
        <w:rPr>
          <w:rtl/>
        </w:rPr>
        <w:t xml:space="preserve">) בשלהי שנות </w:t>
      </w:r>
      <w:proofErr w:type="spellStart"/>
      <w:r>
        <w:rPr>
          <w:rtl/>
        </w:rPr>
        <w:t>הת״ק</w:t>
      </w:r>
      <w:proofErr w:type="spellEnd"/>
      <w:r>
        <w:rPr>
          <w:rtl/>
        </w:rPr>
        <w:t xml:space="preserve"> היה ר׳ </w:t>
      </w:r>
      <w:proofErr w:type="spellStart"/>
      <w:r>
        <w:rPr>
          <w:rtl/>
        </w:rPr>
        <w:t xml:space="preserve">אלינקה רגולר</w:t>
      </w:r>
      <w:proofErr w:type="spellEnd"/>
      <w:r>
        <w:rPr>
          <w:rtl/>
        </w:rPr>
        <w:t xml:space="preserve"/>
      </w:r>
      <w:proofErr w:type="spellStart"/>
      <w:r>
        <w:rPr>
          <w:rtl/>
        </w:rPr>
        <w:t xml:space="preserve"/>
      </w:r>
      <w:proofErr w:type="spellEnd"/>
      <w:r>
        <w:rPr>
          <w:rtl/>
        </w:rPr>
        <w:t>, גאון קדוש שמסופר עליו שסיים את הש״ס ארבע מאות פעמים.</w:t>
      </w:r>
      <w:bookmarkStart w:id="1596" w:name="_fnr1056"/>
      <w:r>
        <w:rPr>
          <w:rStyle w:val="a5"/>
        </w:rPr>
        <w:footnoteReference w:id="1059" w:customMarkFollows="0"/>
      </w:r>
      <w:bookmarkEnd w:id="1596"/>
      <w:r>
        <w:rPr>
          <w:rtl/>
        </w:rPr>
        <w:t xml:space="preserve"> הוא כיהן שם </w:t>
      </w:r>
      <w:proofErr w:type="spellStart"/>
      <w:r>
        <w:rPr>
          <w:rtl/>
        </w:rPr>
        <w:t>שש־עשרה</w:t>
      </w:r>
      <w:proofErr w:type="spellEnd"/>
      <w:r>
        <w:rPr>
          <w:rtl/>
        </w:rPr>
        <w:t xml:space="preserve"> שנה (תקפ״ד–ת״ר), אחרי שהיה רב </w:t>
      </w:r>
      <w:proofErr w:type="spellStart"/>
      <w:r>
        <w:rPr>
          <w:rtl/>
        </w:rPr>
        <w:t>בשאט</w:t>
      </w:r>
      <w:proofErr w:type="spellEnd"/>
      <w:r>
        <w:rPr>
          <w:rtl/>
        </w:rPr>
        <w:t xml:space="preserve"> </w:t>
      </w:r>
      <w:proofErr w:type="spellStart"/>
      <w:r>
        <w:rPr>
          <w:rtl/>
        </w:rPr>
        <w:t>ובראגאלע</w:t>
      </w:r>
      <w:proofErr w:type="spellEnd"/>
      <w:r>
        <w:rPr>
          <w:rtl/>
        </w:rPr>
        <w:t xml:space="preserve">, ולפני שעבר לעיר </w:t>
      </w:r>
      <w:proofErr w:type="spellStart"/>
      <w:r>
        <w:rPr>
          <w:rtl/>
        </w:rPr>
        <w:t>קאליש</w:t>
      </w:r>
      <w:proofErr w:type="spellEnd"/>
      <w:r>
        <w:rPr>
          <w:rtl/>
        </w:rPr>
        <w:t xml:space="preserve">. </w:t>
      </w:r>
      <w:proofErr w:type="spellStart"/>
      <w:r>
        <w:rPr>
          <w:rtl/>
        </w:rPr>
        <w:t>בקאליש</w:t>
      </w:r>
      <w:proofErr w:type="spellEnd"/>
      <w:r>
        <w:rPr>
          <w:rtl/>
        </w:rPr>
        <w:t xml:space="preserve"> בא במקומו של ר׳ שלמה איגר, כשזה עבר </w:t>
      </w:r>
      <w:proofErr w:type="spellStart"/>
      <w:r>
        <w:rPr>
          <w:rtl/>
        </w:rPr>
        <w:t>לפוזנא</w:t>
      </w:r>
      <w:proofErr w:type="spellEnd"/>
      <w:r>
        <w:rPr>
          <w:rtl/>
        </w:rPr>
        <w:t xml:space="preserve"> לרשת את כס הרבנות של אביו, ר׳ עקיבא איגר. ר׳ </w:t>
      </w:r>
      <w:proofErr w:type="spellStart"/>
      <w:r>
        <w:rPr>
          <w:rtl/>
        </w:rPr>
        <w:t>אלינקה</w:t>
      </w:r>
      <w:proofErr w:type="spellEnd"/>
      <w:r>
        <w:rPr>
          <w:rtl/>
        </w:rPr>
        <w:t xml:space="preserve"> נפטר </w:t>
      </w:r>
      <w:proofErr w:type="spellStart"/>
      <w:r>
        <w:rPr>
          <w:rtl/>
        </w:rPr>
        <w:t>בקאליש</w:t>
      </w:r>
      <w:proofErr w:type="spellEnd"/>
      <w:r>
        <w:rPr>
          <w:rtl/>
        </w:rPr>
        <w:t xml:space="preserve"> בגיל חמישים ושש. בתקופת כהונתו </w:t>
      </w:r>
      <w:proofErr w:type="spellStart"/>
      <w:r>
        <w:rPr>
          <w:rtl/>
        </w:rPr>
        <w:t>בסלבודקה</w:t>
      </w:r>
      <w:proofErr w:type="spellEnd"/>
      <w:r>
        <w:rPr>
          <w:rtl/>
        </w:rPr>
        <w:t xml:space="preserve"> החזיק ישיבה – הישיבה הראשונה </w:t>
      </w:r>
      <w:proofErr w:type="spellStart"/>
      <w:r>
        <w:rPr>
          <w:rtl/>
        </w:rPr>
        <w:t>בסלבודקה</w:t>
      </w:r>
      <w:proofErr w:type="spellEnd"/>
      <w:r>
        <w:rPr>
          <w:rtl/>
        </w:rPr>
        <w:t xml:space="preserve"> – לתלמידים שנהרו ללמוד אצלו מעיירות רבות בליטא, ורבים מהם כיהנו לימים כרבנים חשובים בקהילות שונות. בין התלמידים היו ר׳ </w:t>
      </w:r>
      <w:proofErr w:type="spellStart"/>
      <w:r>
        <w:rPr>
          <w:rtl/>
        </w:rPr>
        <w:t>נחומק׳ה</w:t>
      </w:r>
      <w:proofErr w:type="spellEnd"/>
      <w:r>
        <w:rPr>
          <w:rtl/>
        </w:rPr>
        <w:t xml:space="preserve"> </w:t>
      </w:r>
      <w:proofErr w:type="spellStart"/>
      <w:r>
        <w:rPr>
          <w:rtl/>
        </w:rPr>
        <w:t>הורודנער</w:t>
      </w:r>
      <w:proofErr w:type="spellEnd"/>
      <w:r>
        <w:rPr>
          <w:rtl/>
        </w:rPr>
        <w:t xml:space="preserve"> (קפלן), מורו הקדוש של </w:t>
      </w:r>
      <w:proofErr w:type="spellStart"/>
      <w:r>
        <w:rPr>
          <w:rtl/>
        </w:rPr>
        <w:t>החפץ־חיים</w:t>
      </w:r>
      <w:proofErr w:type="spellEnd"/>
      <w:r>
        <w:rPr>
          <w:rtl/>
        </w:rPr>
        <w:t xml:space="preserve">, ור׳ </w:t>
      </w:r>
      <w:proofErr w:type="spellStart"/>
      <w:r>
        <w:rPr>
          <w:rtl/>
        </w:rPr>
        <w:t>אליהו־בער</w:t>
      </w:r>
      <w:proofErr w:type="spellEnd"/>
      <w:r>
        <w:rPr>
          <w:rtl/>
        </w:rPr>
        <w:t xml:space="preserve"> זרחי, הקדום ברבני </w:t>
      </w:r>
      <w:proofErr w:type="spellStart"/>
      <w:r>
        <w:rPr>
          <w:rtl/>
        </w:rPr>
        <w:t>ציטוביאן</w:t>
      </w:r>
      <w:proofErr w:type="spellEnd"/>
      <w:r>
        <w:rPr>
          <w:rtl/>
        </w:rPr>
        <w:t xml:space="preserve"> הידועים לנו – העיירה שבה כיהן אבי כרב כעבור מאה שנה.</w:t>
      </w:r>
      <w:bookmarkStart w:id="1597" w:name="_fnr1057"/>
      <w:r>
        <w:rPr>
          <w:rStyle w:val="a5"/>
        </w:rPr>
        <w:footnoteReference w:id="1060" w:customMarkFollows="0"/>
      </w:r>
      <w:bookmarkEnd w:id="1597"/>
    </w:p>
    <w:p w14:paraId="4F80F5A1" w14:textId="77777777" w:rsidR="00AB3647" w:rsidRDefault="00000000" w:rsidP="007923E9">
      <w:pPr>
        <w:spacing w:before="120" w:after="100" w:line="276" w:lineRule="auto"/>
        <w:jc w:val="both"/>
      </w:pPr>
      <w:r>
        <w:rPr>
          <w:rtl/>
        </w:rPr>
        <w:t>ליפמן</w:t>
      </w:r>
      <w:bookmarkStart w:id="1598" w:name="_fnr1058"/>
      <w:r>
        <w:rPr>
          <w:rStyle w:val="a5"/>
        </w:rPr>
        <w:footnoteReference w:id="1061" w:customMarkFollows="0"/>
      </w:r>
      <w:bookmarkEnd w:id="1598"/>
      <w:r>
        <w:rPr>
          <w:rtl/>
        </w:rPr>
        <w:t xml:space="preserve"> אומר: “מסופר שר׳ </w:t>
      </w:r>
      <w:proofErr w:type="spellStart"/>
      <w:r>
        <w:rPr>
          <w:rtl/>
        </w:rPr>
        <w:t>אלינקה</w:t>
      </w:r>
      <w:proofErr w:type="spellEnd"/>
      <w:r>
        <w:rPr>
          <w:rtl/>
        </w:rPr>
        <w:t xml:space="preserve"> הלך ברגל כל הדרך </w:t>
      </w:r>
      <w:proofErr w:type="spellStart"/>
      <w:r>
        <w:rPr>
          <w:rtl/>
        </w:rPr>
        <w:t>ללומז׳ה</w:t>
      </w:r>
      <w:proofErr w:type="spellEnd"/>
      <w:r>
        <w:rPr>
          <w:rtl/>
        </w:rPr>
        <w:t xml:space="preserve"> כדי לפגוש את ר׳ עקיבא איגר, שבתו נישאה שם. ר׳ עקיבא איגר התרשם מאוד מר׳ </w:t>
      </w:r>
      <w:proofErr w:type="spellStart"/>
      <w:r>
        <w:rPr>
          <w:rtl/>
        </w:rPr>
        <w:t>אלינקה</w:t>
      </w:r>
      <w:proofErr w:type="spellEnd"/>
      <w:r>
        <w:rPr>
          <w:rtl/>
        </w:rPr>
        <w:t xml:space="preserve">, ומאז היה שולח דרישות שלום באמצעות מבקרים מליטא שבאו </w:t>
      </w:r>
      <w:proofErr w:type="spellStart"/>
      <w:r>
        <w:rPr>
          <w:rtl/>
        </w:rPr>
        <w:t>לפוזנא</w:t>
      </w:r>
      <w:proofErr w:type="spellEnd"/>
      <w:r>
        <w:rPr>
          <w:rtl/>
        </w:rPr>
        <w:t xml:space="preserve"> ‘</w:t>
      </w:r>
      <w:proofErr w:type="spellStart"/>
      <w:r>
        <w:rPr>
          <w:rtl/>
        </w:rPr>
        <w:t>ליונגערמאן</w:t>
      </w:r>
      <w:proofErr w:type="spellEnd"/>
      <w:r>
        <w:rPr>
          <w:rtl/>
        </w:rPr>
        <w:t xml:space="preserve"> המצוין </w:t>
      </w:r>
      <w:proofErr w:type="spellStart"/>
      <w:r>
        <w:rPr>
          <w:rtl/>
        </w:rPr>
        <w:t>מסלבודקה</w:t>
      </w:r>
      <w:proofErr w:type="spellEnd"/>
      <w:r>
        <w:rPr>
          <w:rtl/>
        </w:rPr>
        <w:t xml:space="preserve">’.” יש טעות קלה בדיווח זה: הילד היחיד של ר׳ עקיבא איגר שנישא </w:t>
      </w:r>
      <w:proofErr w:type="spellStart"/>
      <w:r>
        <w:rPr>
          <w:rtl/>
        </w:rPr>
        <w:t>בלומז׳ה</w:t>
      </w:r>
      <w:proofErr w:type="spellEnd"/>
      <w:r>
        <w:rPr>
          <w:rtl/>
        </w:rPr>
        <w:t xml:space="preserve"> היה </w:t>
      </w:r>
      <w:r>
        <w:rPr>
          <w:b/>
          <w:bCs/>
          <w:rtl/>
        </w:rPr>
        <w:t>בנו</w:t>
      </w:r>
      <w:r>
        <w:rPr>
          <w:rtl/>
        </w:rPr>
        <w:t xml:space="preserve"> </w:t>
      </w:r>
      <w:proofErr w:type="spellStart"/>
      <w:r>
        <w:rPr>
          <w:rtl/>
        </w:rPr>
        <w:t>יצחק־לייב</w:t>
      </w:r>
      <w:proofErr w:type="spellEnd"/>
      <w:r>
        <w:rPr>
          <w:rtl/>
        </w:rPr>
        <w:t>, ולא בת.</w:t>
      </w:r>
      <w:bookmarkStart w:id="1599" w:name="_fnr1059"/>
      <w:r>
        <w:rPr>
          <w:rStyle w:val="a5"/>
        </w:rPr>
        <w:footnoteReference w:id="1062" w:customMarkFollows="0"/>
      </w:r>
      <w:bookmarkEnd w:id="1599"/>
      <w:r>
        <w:rPr>
          <w:rtl/>
        </w:rPr>
        <w:t xml:space="preserve"> החתונה התקיימה בשנת תקצ״ו, כשר׳ עקיבא איגר כבר היה בן שבעים וחמש. אין פלא שכינה את ר׳ </w:t>
      </w:r>
      <w:proofErr w:type="spellStart"/>
      <w:r>
        <w:rPr>
          <w:rtl/>
        </w:rPr>
        <w:t>אלינקה</w:t>
      </w:r>
      <w:proofErr w:type="spellEnd"/>
      <w:r>
        <w:rPr>
          <w:rtl/>
        </w:rPr>
        <w:t xml:space="preserve">, שהיה אז בן ארבעים ושתיים, </w:t>
      </w:r>
      <w:proofErr w:type="spellStart"/>
      <w:r>
        <w:rPr>
          <w:rtl/>
        </w:rPr>
        <w:t>יונגערמאן</w:t>
      </w:r>
      <w:proofErr w:type="spellEnd"/>
      <w:r>
        <w:rPr>
          <w:rtl/>
        </w:rPr>
        <w:t>.</w:t>
      </w:r>
    </w:p>
    <w:p w14:paraId="215C10C2" w14:textId="77777777" w:rsidR="00AB3647" w:rsidRDefault="00000000" w:rsidP="007923E9">
      <w:pPr>
        <w:spacing w:after="100" w:line="276" w:lineRule="auto"/>
        <w:ind w:firstLine="340"/>
        <w:jc w:val="both"/>
      </w:pPr>
      <w:r>
        <w:rPr>
          <w:rtl/>
        </w:rPr>
        <w:t xml:space="preserve">בערל </w:t>
      </w:r>
      <w:proofErr w:type="spellStart"/>
      <w:r>
        <w:rPr>
          <w:rtl/>
        </w:rPr>
        <w:t>קגן</w:t>
      </w:r>
      <w:bookmarkStart w:id="1600" w:name="_fnr1060"/>
      <w:proofErr w:type="spellEnd"/>
      <w:r>
        <w:rPr>
          <w:rStyle w:val="a5"/>
        </w:rPr>
        <w:footnoteReference w:id="1063" w:customMarkFollows="0"/>
      </w:r>
      <w:bookmarkEnd w:id="1600"/>
      <w:r>
        <w:rPr>
          <w:rtl/>
        </w:rPr>
        <w:t xml:space="preserve"> מספר שפעם גנב אורח בביתו של ר׳ </w:t>
      </w:r>
      <w:proofErr w:type="spellStart"/>
      <w:r>
        <w:rPr>
          <w:rtl/>
        </w:rPr>
        <w:t>אלינקה</w:t>
      </w:r>
      <w:proofErr w:type="spellEnd"/>
      <w:r>
        <w:rPr>
          <w:rtl/>
        </w:rPr>
        <w:t xml:space="preserve">, “גדול בעניות וגדול בהכנסת אורחים”, את “טבעת היהלום הקטנה” של הרבנית. היא רדפה אחרי הגנב והביאה לידי מעצרו. כשנודע הדבר </w:t>
      </w:r>
      <w:proofErr w:type="spellStart"/>
      <w:r>
        <w:rPr>
          <w:rtl/>
        </w:rPr>
        <w:t>לר</w:t>
      </w:r>
      <w:proofErr w:type="spellEnd"/>
      <w:r>
        <w:rPr>
          <w:rtl/>
        </w:rPr>
        <w:t xml:space="preserve">׳ </w:t>
      </w:r>
      <w:proofErr w:type="spellStart"/>
      <w:r>
        <w:rPr>
          <w:rtl/>
        </w:rPr>
        <w:t>אלינקה</w:t>
      </w:r>
      <w:proofErr w:type="spellEnd"/>
      <w:r>
        <w:rPr>
          <w:rtl/>
        </w:rPr>
        <w:t>, ביקש ממפקד המשטרה לשחרר את הנאשם. הוא הסביר שבכל לילה הוא מפקיר את כל מה שבביתו, כדי שלא להכשיל איש בעוון גניבה, והאיש ודאי שמע על מנהגו זה ונטל את הטבעת מן ההפקר. הוא גם אמר לרבנית לבקש מן היהודי מחילה על שחשדה בו שהוא גנב.</w:t>
      </w:r>
    </w:p>
    <w:p w14:paraId="63FBB233" w14:textId="77777777" w:rsidR="00AB3647" w:rsidRDefault="00000000" w:rsidP="007923E9">
      <w:pPr>
        <w:spacing w:after="100" w:line="276" w:lineRule="auto"/>
        <w:ind w:firstLine="340"/>
        <w:jc w:val="both"/>
      </w:pPr>
      <w:r>
        <w:rPr>
          <w:rtl/>
        </w:rPr>
        <w:t>השווה גם “רבותינו שבגולה”</w:t>
      </w:r>
      <w:bookmarkStart w:id="1601" w:name="_fnr1061"/>
      <w:r>
        <w:rPr>
          <w:rStyle w:val="a5"/>
        </w:rPr>
        <w:footnoteReference w:id="1064" w:customMarkFollows="0"/>
      </w:r>
      <w:bookmarkEnd w:id="1601"/>
      <w:r>
        <w:rPr>
          <w:rtl/>
        </w:rPr>
        <w:t xml:space="preserve"> על שקידתו המופלאה “למרות גופו החלש ומחלתו הקשה”. מסופר שם: “כל ימיו היה חובש את רקותיו בתחבושת של זבובים ספרדיים מפני כאבי ראש קשים, שעליהם אמר: ‘אילו סבלו קלי הדעת כאבים כאלה, היו מאבדים את עצמם לדעת.’” השווה גם שם</w:t>
      </w:r>
      <w:bookmarkStart w:id="1602" w:name="_fnr1062"/>
      <w:r>
        <w:rPr>
          <w:rStyle w:val="a5"/>
        </w:rPr>
        <w:footnoteReference w:id="1065" w:customMarkFollows="0"/>
      </w:r>
      <w:bookmarkEnd w:id="1602"/>
      <w:r>
        <w:rPr>
          <w:rtl/>
        </w:rPr>
        <w:t xml:space="preserve"> על שפסל ספר תורה שהיה נערץ </w:t>
      </w:r>
      <w:proofErr w:type="spellStart"/>
      <w:r>
        <w:rPr>
          <w:rtl/>
        </w:rPr>
        <w:t>בקאליש</w:t>
      </w:r>
      <w:proofErr w:type="spellEnd"/>
      <w:r>
        <w:rPr>
          <w:rtl/>
        </w:rPr>
        <w:t xml:space="preserve"> מימי בעל </w:t>
      </w:r>
      <w:proofErr w:type="spellStart"/>
      <w:r>
        <w:rPr>
          <w:rtl/>
        </w:rPr>
        <w:t>ה“מגן</w:t>
      </w:r>
      <w:proofErr w:type="spellEnd"/>
      <w:r>
        <w:rPr>
          <w:rtl/>
        </w:rPr>
        <w:t xml:space="preserve"> אברהם”, </w:t>
      </w:r>
      <w:r>
        <w:rPr>
          <w:rtl/>
        </w:rPr>
        <w:lastRenderedPageBreak/>
        <w:t>ועל כך</w:t>
      </w:r>
      <w:bookmarkStart w:id="1603" w:name="_fnr1063"/>
      <w:r>
        <w:rPr>
          <w:rStyle w:val="a5"/>
        </w:rPr>
        <w:footnoteReference w:id="1066" w:customMarkFollows="0"/>
      </w:r>
      <w:bookmarkEnd w:id="1603"/>
      <w:r>
        <w:rPr>
          <w:rtl/>
        </w:rPr>
        <w:t xml:space="preserve"> שאחד מרבני </w:t>
      </w:r>
      <w:proofErr w:type="spellStart"/>
      <w:r>
        <w:rPr>
          <w:rtl/>
        </w:rPr>
        <w:t>קאליש</w:t>
      </w:r>
      <w:proofErr w:type="spellEnd"/>
      <w:r>
        <w:rPr>
          <w:rtl/>
        </w:rPr>
        <w:t xml:space="preserve"> שבאו אחריו הפך את הפסק. כשנקרע הספר לגזרים בפוגרום זמן מה אחר כך, בשנת תרל״ח, ביקש אותו רב מחילה על קברו של ר׳ </w:t>
      </w:r>
      <w:proofErr w:type="spellStart"/>
      <w:r>
        <w:rPr>
          <w:rtl/>
        </w:rPr>
        <w:t>אלינקה</w:t>
      </w:r>
      <w:proofErr w:type="spellEnd"/>
      <w:r>
        <w:rPr>
          <w:rtl/>
        </w:rPr>
        <w:t>.</w:t>
      </w:r>
    </w:p>
    <w:p w14:paraId="49F0328E" w14:textId="3C53CF2D"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מצבה של הקהילה היהודית בקובנה התייצב כאשר רבה של </w:t>
      </w:r>
      <w:proofErr w:type="spellStart"/>
      <w:r>
        <w:rPr>
          <w:rtl/>
        </w:rPr>
        <w:t>ויליאמפולה</w:t>
      </w:r>
      <w:proofErr w:type="spellEnd"/>
      <w:r>
        <w:rPr>
          <w:rtl/>
        </w:rPr>
        <w:t>, ר׳ משה סולובייצ׳יק,</w:t>
      </w:r>
      <w:bookmarkStart w:id="1604" w:name="b3_ref11"/>
      <w:bookmarkEnd w:id="1604"/>
      <w:r>
        <w:rPr>
          <w:vertAlign w:val="superscript"/>
          <w:rtl/>
        </w:rPr>
        <w:fldChar w:fldCharType="begin" w:dirty="true"/>
      </w:r>
      <w:r>
        <w:rPr>
          <w:vertAlign w:val="superscript"/>
          <w:rtl/>
        </w:rPr>
        <w:instrText xml:space="preserve"> REF b3_note11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11</w:t>
      </w:r>
      <w:r>
        <w:rPr>
          <w:vertAlign w:val="superscript"/>
          <w:rtl/>
        </w:rPr>
        <w:fldChar w:fldCharType="end"/>
      </w:r>
      <w:r>
        <w:rPr>
          <w:rtl/>
        </w:rPr>
        <w:t xml:space="preserve"> שהיה עשיר מצד עצמו, ואחיו הגדול, איש העסקים ר׳ אברהם, פתחו בשנת תקכ״א בתביעה משפטית נגד ההגבלה השרירותית על מגורי יהודים. ההתדיינות נמשכה עשרים ואחת שנה ועלתה הון תועפות, אבל לבסוף זכו בדין.</w:t>
      </w:r>
      <w:bookmarkStart w:id="1605" w:name="b3_ref12"/>
      <w:bookmarkEnd w:id="1605"/>
      <w:r>
        <w:rPr>
          <w:vertAlign w:val="superscript"/>
          <w:rtl/>
        </w:rPr>
        <w:fldChar w:fldCharType="begin" w:dirty="true"/>
      </w:r>
      <w:r>
        <w:rPr>
          <w:vertAlign w:val="superscript"/>
          <w:rtl/>
        </w:rPr>
        <w:instrText xml:space="preserve"> REF b3_note12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12</w:t>
      </w:r>
      <w:r>
        <w:rPr>
          <w:vertAlign w:val="superscript"/>
          <w:rtl/>
        </w:rPr>
        <w:fldChar w:fldCharType="end"/>
      </w:r>
      <w:r>
        <w:rPr>
          <w:rtl/>
        </w:rPr>
        <w:t xml:space="preserve"> כתוצאה מכך יכלו היהודים האמידים של </w:t>
      </w:r>
      <w:proofErr w:type="spellStart"/>
      <w:r>
        <w:rPr>
          <w:rtl/>
        </w:rPr>
        <w:t>ויליאמפולה</w:t>
      </w:r>
      <w:proofErr w:type="spellEnd"/>
      <w:r>
        <w:rPr>
          <w:rtl/>
        </w:rPr>
        <w:t xml:space="preserve"> לעבור – או לחזור – אל מעבר לגשר, לקובנה, ולעזור לה להתפתח למרכז עירוני. לבסוף האפילה קובנה על </w:t>
      </w:r>
      <w:proofErr w:type="spellStart"/>
      <w:r>
        <w:rPr>
          <w:rtl/>
        </w:rPr>
        <w:t>ויליאמפולה</w:t>
      </w:r>
      <w:proofErr w:type="spellEnd"/>
      <w:r>
        <w:rPr>
          <w:rtl/>
        </w:rPr>
        <w:t xml:space="preserve"> והפכה אותה לפרבר שלה. </w:t>
      </w:r>
      <w:proofErr w:type="spellStart"/>
      <w:r>
        <w:rPr>
          <w:rtl/>
        </w:rPr>
        <w:t>ויליאמפולה</w:t>
      </w:r>
      <w:proofErr w:type="spellEnd"/>
      <w:r>
        <w:rPr>
          <w:rtl/>
        </w:rPr>
        <w:t xml:space="preserve"> נודעה בשם </w:t>
      </w:r>
      <w:proofErr w:type="spellStart"/>
      <w:r>
        <w:rPr>
          <w:rtl/>
        </w:rPr>
        <w:t>סלבודקה</w:t>
      </w:r>
      <w:proofErr w:type="spellEnd"/>
      <w:r>
        <w:rPr>
          <w:rtl/>
        </w:rPr>
        <w:t>, “הפרבר” בלשון הסלאבית.</w:t>
      </w:r>
      <w:bookmarkStart w:id="1606" w:name="b3_ref13"/>
      <w:bookmarkEnd w:id="1606"/>
      <w:r>
        <w:rPr>
          <w:vertAlign w:val="superscript"/>
          <w:rtl/>
        </w:rPr>
        <w:fldChar w:fldCharType="begin" w:dirty="true"/>
      </w:r>
      <w:r>
        <w:rPr>
          <w:vertAlign w:val="superscript"/>
          <w:rtl/>
        </w:rPr>
        <w:instrText xml:space="preserve"> REF b3_note13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13</w:t>
      </w:r>
      <w:r>
        <w:rPr>
          <w:vertAlign w:val="superscript"/>
          <w:rtl/>
        </w:rPr>
        <w:fldChar w:fldCharType="end"/>
      </w:r>
    </w:p>
    <w:bookmarkStart w:id="1607" w:name="b3_note11"/>
    <w:p w14:paraId="1ED05E3C" w14:textId="77777777" w:rsidR="00AB3647" w:rsidRDefault="00000000" w:rsidP="007923E9">
      <w:pPr>
        <w:spacing w:before="120" w:after="100" w:line="276" w:lineRule="auto"/>
        <w:jc w:val="both"/>
      </w:pPr>
      <w:r>
        <w:fldChar w:fldCharType="begin" w:dirty="true"/>
      </w:r>
      <w:r>
        <w:instrText>HYPERLINK \l "b3_ref11"</w:instrText>
      </w:r>
      <w:r>
        <w:fldChar w:fldCharType="separate"/>
      </w:r>
      <w:r>
        <w:rPr>
          <w:b/>
          <w:bCs/>
          <w:rtl/>
        </w:rPr>
        <w:t>11</w:t>
      </w:r>
      <w:r>
        <w:rPr>
          <w:b/>
          <w:bCs/>
        </w:rPr>
        <w:fldChar w:fldCharType="end"/>
      </w:r>
      <w:bookmarkEnd w:id="1607"/>
      <w:r>
        <w:rPr>
          <w:rtl/>
        </w:rPr>
        <w:t xml:space="preserve"> בנו של ר׳ משה, יוסף, נשא את </w:t>
      </w:r>
      <w:proofErr w:type="spellStart"/>
      <w:r>
        <w:rPr>
          <w:rtl/>
        </w:rPr>
        <w:t>רלקה</w:t>
      </w:r>
      <w:proofErr w:type="spellEnd"/>
      <w:r>
        <w:rPr>
          <w:rtl/>
        </w:rPr>
        <w:t xml:space="preserve">, בתו של ר׳ חיים </w:t>
      </w:r>
      <w:proofErr w:type="spellStart"/>
      <w:r>
        <w:rPr>
          <w:rtl/>
        </w:rPr>
        <w:t>מוולוז׳ין</w:t>
      </w:r>
      <w:proofErr w:type="spellEnd"/>
      <w:r>
        <w:rPr>
          <w:rtl/>
        </w:rPr>
        <w:t xml:space="preserve">, והוליד את ר׳ </w:t>
      </w:r>
      <w:proofErr w:type="spellStart"/>
      <w:r>
        <w:rPr>
          <w:rtl/>
        </w:rPr>
        <w:t>יצחק־זאב</w:t>
      </w:r>
      <w:proofErr w:type="spellEnd"/>
      <w:r>
        <w:rPr>
          <w:rtl/>
        </w:rPr>
        <w:t xml:space="preserve">, שהוליד את ר׳ יוסף־דב, רב </w:t>
      </w:r>
      <w:proofErr w:type="spellStart"/>
      <w:r>
        <w:rPr>
          <w:rtl/>
        </w:rPr>
        <w:t>בריסק</w:t>
      </w:r>
      <w:proofErr w:type="spellEnd"/>
      <w:r>
        <w:rPr>
          <w:rtl/>
        </w:rPr>
        <w:t xml:space="preserve"> ואביו של ר׳ חיים </w:t>
      </w:r>
      <w:proofErr w:type="spellStart"/>
      <w:r>
        <w:rPr>
          <w:rtl/>
        </w:rPr>
        <w:t>סולובייצ׳יק</w:t>
      </w:r>
      <w:proofErr w:type="spellEnd"/>
      <w:r>
        <w:rPr>
          <w:rtl/>
        </w:rPr>
        <w:t xml:space="preserve">. כך נמנית משפחת </w:t>
      </w:r>
      <w:proofErr w:type="spellStart"/>
      <w:r>
        <w:rPr>
          <w:rtl/>
        </w:rPr>
        <w:t>סולובייצ׳יק</w:t>
      </w:r>
      <w:proofErr w:type="spellEnd"/>
      <w:r>
        <w:rPr>
          <w:rtl/>
        </w:rPr>
        <w:t xml:space="preserve"> עם צאצאי “בית הרב”, תואר ייחוס לצאצאיו של ר׳ חיים </w:t>
      </w:r>
      <w:proofErr w:type="spellStart"/>
      <w:r>
        <w:rPr>
          <w:rtl/>
        </w:rPr>
        <w:t>מוולוז׳ין</w:t>
      </w:r>
      <w:proofErr w:type="spellEnd"/>
      <w:r>
        <w:rPr>
          <w:rtl/>
        </w:rPr>
        <w:t xml:space="preserve"> בחוגי התורה בליטא.</w:t>
      </w:r>
    </w:p>
    <w:bookmarkStart w:id="1608" w:name="b3_note12"/>
    <w:p w14:paraId="3ABBE5CF" w14:textId="77777777" w:rsidR="00AB3647" w:rsidRDefault="00000000" w:rsidP="007923E9">
      <w:pPr>
        <w:spacing w:before="120" w:after="100" w:line="276" w:lineRule="auto"/>
        <w:jc w:val="both"/>
      </w:pPr>
      <w:r>
        <w:fldChar w:fldCharType="begin" w:dirty="true"/>
      </w:r>
      <w:r>
        <w:instrText>HYPERLINK \l "b3_ref12"</w:instrText>
      </w:r>
      <w:r>
        <w:fldChar w:fldCharType="separate"/>
      </w:r>
      <w:r>
        <w:rPr>
          <w:b/>
          <w:bCs/>
          <w:rtl/>
        </w:rPr>
        <w:t>12</w:t>
      </w:r>
      <w:r>
        <w:rPr>
          <w:b/>
          <w:bCs/>
        </w:rPr>
        <w:fldChar w:fldCharType="end"/>
      </w:r>
      <w:bookmarkEnd w:id="1608"/>
      <w:r>
        <w:rPr>
          <w:rtl/>
        </w:rPr>
        <w:t xml:space="preserve"> השווה ליפמן</w:t>
      </w:r>
      <w:bookmarkStart w:id="1609" w:name="_fnr1064"/>
      <w:r>
        <w:rPr>
          <w:rStyle w:val="a5"/>
        </w:rPr>
        <w:footnoteReference w:id="1067" w:customMarkFollows="0"/>
      </w:r>
      <w:bookmarkEnd w:id="1609"/>
      <w:r>
        <w:rPr>
          <w:rtl/>
        </w:rPr>
        <w:t xml:space="preserve"> </w:t>
      </w:r>
      <w:proofErr w:type="spellStart"/>
      <w:r>
        <w:rPr>
          <w:rtl/>
        </w:rPr>
        <w:t>ו“הראשון</w:t>
      </w:r>
      <w:proofErr w:type="spellEnd"/>
      <w:r>
        <w:rPr>
          <w:rtl/>
        </w:rPr>
        <w:t xml:space="preserve"> לשושלת </w:t>
      </w:r>
      <w:proofErr w:type="spellStart"/>
      <w:r>
        <w:rPr>
          <w:rtl/>
        </w:rPr>
        <w:t>בריסק</w:t>
      </w:r>
      <w:proofErr w:type="spellEnd"/>
      <w:r>
        <w:rPr>
          <w:rtl/>
        </w:rPr>
        <w:t>”.</w:t>
      </w:r>
      <w:bookmarkStart w:id="1610" w:name="_fnr1065"/>
      <w:r>
        <w:rPr>
          <w:rStyle w:val="a5"/>
        </w:rPr>
        <w:footnoteReference w:id="1068" w:customMarkFollows="0"/>
      </w:r>
      <w:bookmarkEnd w:id="1610"/>
      <w:r>
        <w:rPr>
          <w:rtl/>
        </w:rPr>
        <w:t xml:space="preserve"> המקור האחרון מביא את “מגילת קובנה”, שחיבר סופר קהילת קובנה וכתב על קלף לזכר המאורע ולזכותם של שני האחים </w:t>
      </w:r>
      <w:proofErr w:type="spellStart"/>
      <w:r>
        <w:rPr>
          <w:rtl/>
        </w:rPr>
        <w:t>סולובייצ׳יק</w:t>
      </w:r>
      <w:proofErr w:type="spellEnd"/>
      <w:r>
        <w:rPr>
          <w:rtl/>
        </w:rPr>
        <w:t xml:space="preserve">, </w:t>
      </w:r>
      <w:proofErr w:type="spellStart"/>
      <w:r>
        <w:rPr>
          <w:rtl/>
        </w:rPr>
        <w:t>ש“כלוויים</w:t>
      </w:r>
      <w:proofErr w:type="spellEnd"/>
      <w:r>
        <w:rPr>
          <w:rtl/>
        </w:rPr>
        <w:t xml:space="preserve">, קיבלו עליהם לקיים את הכתוב ‘עבודת הקודש עליהם </w:t>
      </w:r>
      <w:r>
        <w:rPr>
          <w:b/>
          <w:bCs/>
          <w:rtl/>
        </w:rPr>
        <w:t>בכסף</w:t>
      </w:r>
      <w:r>
        <w:rPr>
          <w:rtl/>
        </w:rPr>
        <w:t xml:space="preserve"> </w:t>
      </w:r>
      <w:proofErr w:type="spellStart"/>
      <w:r>
        <w:rPr>
          <w:rtl/>
        </w:rPr>
        <w:t>ישאו</w:t>
      </w:r>
      <w:proofErr w:type="spellEnd"/>
      <w:r>
        <w:rPr>
          <w:rtl/>
        </w:rPr>
        <w:t xml:space="preserve">’” – משחק על לשון הכתוב “עבודת הקודש עליהם </w:t>
      </w:r>
      <w:r>
        <w:rPr>
          <w:b/>
          <w:bCs/>
          <w:rtl/>
        </w:rPr>
        <w:t>בכתף</w:t>
      </w:r>
      <w:r>
        <w:rPr>
          <w:rtl/>
        </w:rPr>
        <w:t xml:space="preserve"> </w:t>
      </w:r>
      <w:proofErr w:type="spellStart"/>
      <w:r>
        <w:rPr>
          <w:rtl/>
        </w:rPr>
        <w:t>ישאו</w:t>
      </w:r>
      <w:proofErr w:type="spellEnd"/>
      <w:r>
        <w:rPr>
          <w:rtl/>
        </w:rPr>
        <w:t>”</w:t>
      </w:r>
      <w:bookmarkStart w:id="1611" w:name="_fnr1066"/>
      <w:r>
        <w:rPr>
          <w:rStyle w:val="a5"/>
        </w:rPr>
        <w:footnoteReference w:id="1069" w:customMarkFollows="0"/>
      </w:r>
      <w:bookmarkEnd w:id="1611"/>
      <w:r>
        <w:rPr>
          <w:rtl/>
        </w:rPr>
        <w:t>. מגילה זו נקראה במשך שנים רבות בבית המדרש הישן של קובנה, בכל שנה בשושן פורים.</w:t>
      </w:r>
    </w:p>
    <w:bookmarkStart w:id="1612" w:name="b3_note13"/>
    <w:p w14:paraId="556C1103" w14:textId="77777777" w:rsidR="00AB3647" w:rsidRDefault="00000000" w:rsidP="007923E9">
      <w:pPr>
        <w:spacing w:before="120" w:after="100" w:line="276" w:lineRule="auto"/>
        <w:jc w:val="both"/>
      </w:pPr>
      <w:r>
        <w:fldChar w:fldCharType="begin" w:dirty="true"/>
      </w:r>
      <w:r>
        <w:instrText>HYPERLINK \l "b3_ref13"</w:instrText>
      </w:r>
      <w:r>
        <w:fldChar w:fldCharType="separate"/>
      </w:r>
      <w:r>
        <w:rPr>
          <w:b/>
          <w:bCs/>
          <w:rtl/>
        </w:rPr>
        <w:t>13</w:t>
      </w:r>
      <w:r>
        <w:rPr>
          <w:b/>
          <w:bCs/>
        </w:rPr>
        <w:fldChar w:fldCharType="end"/>
      </w:r>
      <w:bookmarkEnd w:id="1612"/>
      <w:r>
        <w:rPr>
          <w:rtl/>
        </w:rPr>
        <w:t xml:space="preserve"> ליפמן.</w:t>
      </w:r>
      <w:bookmarkStart w:id="1613" w:name="_fnr1067"/>
      <w:r>
        <w:rPr>
          <w:rStyle w:val="a5"/>
        </w:rPr>
        <w:footnoteReference w:id="1070" w:customMarkFollows="0"/>
      </w:r>
      <w:bookmarkEnd w:id="1613"/>
      <w:r>
        <w:rPr>
          <w:rtl/>
        </w:rPr>
        <w:t xml:space="preserve"> בליטאית שמר הפרבר על שמו המקורי, </w:t>
      </w:r>
      <w:proofErr w:type="spellStart"/>
      <w:r>
        <w:rPr>
          <w:rtl/>
        </w:rPr>
        <w:t>ויליאמפולה</w:t>
      </w:r>
      <w:proofErr w:type="spellEnd"/>
      <w:r>
        <w:rPr>
          <w:rtl/>
        </w:rPr>
        <w:t xml:space="preserve">, אבל כמו בערים רבות ברחבי הארץ, היה ליהודים שם משלהם לעיר. דוגמה לכך היא העיירה בליטא שבה כיהן אבי כרב: בליטאית נקראה </w:t>
      </w:r>
      <w:proofErr w:type="spellStart"/>
      <w:r>
        <w:rPr>
          <w:rtl/>
        </w:rPr>
        <w:t>טיטובנאי</w:t>
      </w:r>
      <w:proofErr w:type="spellEnd"/>
      <w:r>
        <w:rPr>
          <w:rtl/>
        </w:rPr>
        <w:t xml:space="preserve">, וביידיש – </w:t>
      </w:r>
      <w:proofErr w:type="spellStart"/>
      <w:r>
        <w:rPr>
          <w:rtl/>
        </w:rPr>
        <w:t>ציטוביאן</w:t>
      </w:r>
      <w:proofErr w:type="spellEnd"/>
      <w:r>
        <w:rPr>
          <w:rtl/>
        </w:rPr>
        <w:t>.</w:t>
      </w:r>
      <w:bookmarkStart w:id="1614" w:name="_fnr1068"/>
      <w:r>
        <w:rPr>
          <w:rStyle w:val="a5"/>
        </w:rPr>
        <w:footnoteReference w:id="1071" w:customMarkFollows="0"/>
      </w:r>
      <w:bookmarkEnd w:id="1614"/>
    </w:p>
    <w:p w14:paraId="2DD57FA0" w14:textId="763FCC02"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מאז ועד פרוץ מלחמת העולם הראשונה מלכה ידיעת התורה בכיפה בקהילה היהודית של </w:t>
      </w:r>
      <w:proofErr w:type="spellStart"/>
      <w:r>
        <w:rPr>
          <w:rtl/>
        </w:rPr>
        <w:t>קובנה־סלבודקה</w:t>
      </w:r>
      <w:proofErr w:type="spellEnd"/>
      <w:r>
        <w:rPr>
          <w:rtl/>
        </w:rPr>
        <w:t>. כולם למדו תורה, וכולם, אפילו אנשי עסקים ופועלים, היו בקיאים בה. נגרים, חייטים וסנדלרים, ואפילו בני המעמד הנמוך – נפחים ועגלונים – היו בקיאים בתלמוד ובפוסקים, ואין צריך לומר בתנ״ך ובמדרשים. קהילה גדולה כל כך של לומדים לא הייתה ידועה בכל ליטא</w:t>
      </w:r>
      <w:bookmarkStart w:id="1615" w:name="b3_ref14"/>
      <w:bookmarkEnd w:id="1615"/>
      <w:r>
        <w:rPr>
          <w:vertAlign w:val="superscript"/>
          <w:rtl/>
        </w:rPr>
        <w:fldChar w:fldCharType="begin" w:dirty="true"/>
      </w:r>
      <w:r>
        <w:rPr>
          <w:vertAlign w:val="superscript"/>
          <w:rtl/>
        </w:rPr>
        <w:instrText xml:space="preserve"> REF b3_note14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14</w:t>
      </w:r>
      <w:r>
        <w:rPr>
          <w:vertAlign w:val="superscript"/>
          <w:rtl/>
        </w:rPr>
        <w:fldChar w:fldCharType="end"/>
      </w:r>
      <w:r>
        <w:rPr>
          <w:rtl/>
        </w:rPr>
        <w:t xml:space="preserve"> ופולין.</w:t>
      </w:r>
    </w:p>
    <w:bookmarkStart w:id="1616" w:name="b3_note14"/>
    <w:p w14:paraId="728DE74D" w14:textId="77777777" w:rsidR="00AB3647" w:rsidRDefault="00000000" w:rsidP="007923E9">
      <w:pPr>
        <w:spacing w:before="120" w:after="100" w:line="276" w:lineRule="auto"/>
        <w:jc w:val="both"/>
      </w:pPr>
      <w:r>
        <w:lastRenderedPageBreak/>
        <w:fldChar w:fldCharType="begin" w:dirty="true"/>
      </w:r>
      <w:r>
        <w:instrText>HYPERLINK \l "b3_ref14"</w:instrText>
      </w:r>
      <w:r>
        <w:fldChar w:fldCharType="separate"/>
      </w:r>
      <w:r>
        <w:rPr>
          <w:b/>
          <w:bCs/>
          <w:rtl/>
        </w:rPr>
        <w:t>14</w:t>
      </w:r>
      <w:r>
        <w:rPr>
          <w:b/>
          <w:bCs/>
        </w:rPr>
        <w:fldChar w:fldCharType="end"/>
      </w:r>
      <w:bookmarkEnd w:id="1616"/>
      <w:r>
        <w:rPr>
          <w:rtl/>
        </w:rPr>
        <w:t xml:space="preserve"> במידע שבשני המשפטים הקודמים הסתמכתי על מאמר, “</w:t>
      </w:r>
      <w:proofErr w:type="spellStart"/>
      <w:r>
        <w:rPr>
          <w:rtl/>
        </w:rPr>
        <w:t>לייענט</w:t>
      </w:r>
      <w:proofErr w:type="spellEnd"/>
      <w:r>
        <w:rPr>
          <w:rtl/>
        </w:rPr>
        <w:t xml:space="preserve">, </w:t>
      </w:r>
      <w:proofErr w:type="spellStart"/>
      <w:r>
        <w:rPr>
          <w:rtl/>
        </w:rPr>
        <w:t>עס</w:t>
      </w:r>
      <w:proofErr w:type="spellEnd"/>
      <w:r>
        <w:rPr>
          <w:rtl/>
        </w:rPr>
        <w:t xml:space="preserve"> </w:t>
      </w:r>
      <w:proofErr w:type="spellStart"/>
      <w:r>
        <w:rPr>
          <w:rtl/>
        </w:rPr>
        <w:t>וועט</w:t>
      </w:r>
      <w:proofErr w:type="spellEnd"/>
      <w:r>
        <w:rPr>
          <w:rtl/>
        </w:rPr>
        <w:t xml:space="preserve"> אייך </w:t>
      </w:r>
      <w:proofErr w:type="spellStart"/>
      <w:r>
        <w:rPr>
          <w:rtl/>
        </w:rPr>
        <w:t>פאראינטערעסירען</w:t>
      </w:r>
      <w:proofErr w:type="spellEnd"/>
      <w:r>
        <w:rPr>
          <w:rtl/>
        </w:rPr>
        <w:t xml:space="preserve">” [קראו, זה יעניין אתכם], מאת ש. </w:t>
      </w:r>
      <w:proofErr w:type="spellStart"/>
      <w:r>
        <w:rPr>
          <w:rtl/>
        </w:rPr>
        <w:t>דייווידסאן</w:t>
      </w:r>
      <w:proofErr w:type="spellEnd"/>
      <w:r>
        <w:rPr>
          <w:rtl/>
        </w:rPr>
        <w:t xml:space="preserve"> (שם העט של ר׳ שמואל </w:t>
      </w:r>
      <w:proofErr w:type="spellStart"/>
      <w:r>
        <w:rPr>
          <w:rtl/>
        </w:rPr>
        <w:t>חאניס</w:t>
      </w:r>
      <w:proofErr w:type="spellEnd"/>
      <w:r>
        <w:rPr>
          <w:rtl/>
        </w:rPr>
        <w:t>), בשבועון היידי “</w:t>
      </w:r>
      <w:proofErr w:type="spellStart"/>
      <w:r>
        <w:rPr>
          <w:rtl/>
        </w:rPr>
        <w:t>דער</w:t>
      </w:r>
      <w:proofErr w:type="spellEnd"/>
      <w:r>
        <w:rPr>
          <w:rtl/>
        </w:rPr>
        <w:t xml:space="preserve"> איד”.</w:t>
      </w:r>
      <w:bookmarkStart w:id="1617" w:name="_fnr1069"/>
      <w:r>
        <w:rPr>
          <w:rStyle w:val="a5"/>
        </w:rPr>
        <w:footnoteReference w:id="1072" w:customMarkFollows="0"/>
      </w:r>
      <w:bookmarkEnd w:id="1617"/>
      <w:r>
        <w:rPr>
          <w:rtl/>
        </w:rPr>
        <w:t xml:space="preserve"> נאמר בו שאף ששמה של וילנה יצא </w:t>
      </w:r>
      <w:proofErr w:type="spellStart"/>
      <w:r>
        <w:rPr>
          <w:rtl/>
        </w:rPr>
        <w:t>כ“ירושלים</w:t>
      </w:r>
      <w:proofErr w:type="spellEnd"/>
      <w:r>
        <w:rPr>
          <w:rtl/>
        </w:rPr>
        <w:t xml:space="preserve"> </w:t>
      </w:r>
      <w:proofErr w:type="spellStart"/>
      <w:r>
        <w:rPr>
          <w:rtl/>
        </w:rPr>
        <w:t>דליטא</w:t>
      </w:r>
      <w:proofErr w:type="spellEnd"/>
      <w:r>
        <w:rPr>
          <w:rtl/>
        </w:rPr>
        <w:t>”, היה בקובנה לימוד תורה רב יותר.</w:t>
      </w:r>
    </w:p>
    <w:p w14:paraId="48EF6E6E" w14:textId="77777777" w:rsidR="00AB3647" w:rsidRDefault="00000000" w:rsidP="007923E9">
      <w:pPr>
        <w:spacing w:before="120" w:after="100" w:line="276" w:lineRule="auto"/>
        <w:jc w:val="both"/>
      </w:pPr>
      <w:r>
        <w:rPr>
          <w:rtl/>
        </w:rPr>
        <w:t xml:space="preserve">במאמר מסופר סיפור קטן ומשעשע על נוסעים בחשמלית בקובנה, שהתפעלו מזריזותו של הכרטיסן הגוי בדברים הרבים שעבודתו חייבה אותו לעשות בבת אחת: למכור את הכרטיסים, לנהוג בקרון ולהודיע לנוסעים היכן תחנותיהם. אחד הנוסעים קרא: “הוא השטן, הוא יצר הרע, הוא מלאך </w:t>
      </w:r>
      <w:proofErr w:type="spellStart"/>
      <w:r>
        <w:rPr>
          <w:rtl/>
        </w:rPr>
        <w:t>המות</w:t>
      </w:r>
      <w:proofErr w:type="spellEnd"/>
      <w:r>
        <w:rPr>
          <w:rtl/>
        </w:rPr>
        <w:t>!”, וכל היהודים פרצו בצחוק, שכן כולם הכירו את המאמר הזה של חז״ל</w:t>
      </w:r>
      <w:bookmarkStart w:id="1618" w:name="_fnr1070"/>
      <w:r>
        <w:rPr>
          <w:rStyle w:val="a5"/>
        </w:rPr>
        <w:footnoteReference w:id="1073" w:customMarkFollows="0"/>
      </w:r>
      <w:bookmarkEnd w:id="1618"/>
      <w:r>
        <w:rPr>
          <w:rtl/>
        </w:rPr>
        <w:t xml:space="preserve"> והבינו את ההשוואה.</w:t>
      </w:r>
    </w:p>
    <w:p w14:paraId="246C5CBC" w14:textId="590405A3"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רבה הראשון של קובנה היה ר׳ </w:t>
      </w:r>
      <w:proofErr w:type="spellStart"/>
      <w:r>
        <w:rPr>
          <w:rtl/>
        </w:rPr>
        <w:t>לייבל׳ה</w:t>
      </w:r>
      <w:proofErr w:type="spellEnd"/>
      <w:r>
        <w:rPr>
          <w:rtl/>
        </w:rPr>
        <w:t xml:space="preserve"> שפירא. הוא כיהן חמש שנים משנת תר״ח,</w:t>
      </w:r>
      <w:bookmarkStart w:id="1619" w:name="b3_ref15"/>
      <w:bookmarkEnd w:id="1619"/>
      <w:r>
        <w:rPr>
          <w:vertAlign w:val="superscript"/>
          <w:rtl/>
        </w:rPr>
        <w:fldChar w:fldCharType="begin" w:dirty="true"/>
      </w:r>
      <w:r>
        <w:rPr>
          <w:vertAlign w:val="superscript"/>
          <w:rtl/>
        </w:rPr>
        <w:instrText xml:space="preserve"> REF b3_note15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15</w:t>
      </w:r>
      <w:r>
        <w:rPr>
          <w:vertAlign w:val="superscript"/>
          <w:rtl/>
        </w:rPr>
        <w:fldChar w:fldCharType="end"/>
      </w:r>
      <w:r>
        <w:rPr>
          <w:rtl/>
        </w:rPr>
        <w:t xml:space="preserve"> יותר מחצי מאה לאחר שנעשתה ליטא פלך באימפריה הרוסית העצומה. אחרי פטירתו כיהן ר׳ </w:t>
      </w:r>
      <w:proofErr w:type="spellStart"/>
      <w:r>
        <w:rPr>
          <w:rtl/>
        </w:rPr>
        <w:t>משה־יצחק</w:t>
      </w:r>
      <w:proofErr w:type="spellEnd"/>
      <w:r>
        <w:rPr>
          <w:rtl/>
        </w:rPr>
        <w:t xml:space="preserve"> אביגדור ברבנות שבע שנים, ובא אחריו ר׳ </w:t>
      </w:r>
      <w:proofErr w:type="spellStart"/>
      <w:r>
        <w:rPr>
          <w:rtl/>
        </w:rPr>
        <w:t>יהושע־לייב</w:t>
      </w:r>
      <w:proofErr w:type="spellEnd"/>
      <w:r>
        <w:rPr>
          <w:rtl/>
        </w:rPr>
        <w:t xml:space="preserve"> דיסקין.</w:t>
      </w:r>
      <w:bookmarkStart w:id="1620" w:name="b3_ref16"/>
      <w:bookmarkEnd w:id="1620"/>
      <w:r>
        <w:rPr>
          <w:vertAlign w:val="superscript"/>
          <w:rtl/>
        </w:rPr>
        <w:fldChar w:fldCharType="begin" w:dirty="true"/>
      </w:r>
      <w:r>
        <w:rPr>
          <w:vertAlign w:val="superscript"/>
          <w:rtl/>
        </w:rPr>
        <w:instrText xml:space="preserve"> REF b3_note16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16</w:t>
      </w:r>
      <w:r>
        <w:rPr>
          <w:vertAlign w:val="superscript"/>
          <w:rtl/>
        </w:rPr>
        <w:fldChar w:fldCharType="end"/>
      </w:r>
      <w:r>
        <w:rPr>
          <w:rtl/>
        </w:rPr>
        <w:t xml:space="preserve"> אחרי כהונתו הקצרה של ר׳ </w:t>
      </w:r>
      <w:proofErr w:type="spellStart"/>
      <w:r>
        <w:rPr>
          <w:rtl/>
        </w:rPr>
        <w:t>יהושע־לייב</w:t>
      </w:r>
      <w:proofErr w:type="spellEnd"/>
      <w:r>
        <w:rPr>
          <w:rtl/>
        </w:rPr>
        <w:t xml:space="preserve"> באה בשנת תרכ״ד כהונתו הארוכה של ר׳ </w:t>
      </w:r>
      <w:proofErr w:type="spellStart"/>
      <w:r>
        <w:rPr>
          <w:rtl/>
        </w:rPr>
        <w:t>יצחק־אלחנן</w:t>
      </w:r>
      <w:proofErr w:type="spellEnd"/>
      <w:r>
        <w:rPr>
          <w:rtl/>
        </w:rPr>
        <w:t xml:space="preserve"> </w:t>
      </w:r>
      <w:proofErr w:type="spellStart"/>
      <w:r>
        <w:rPr>
          <w:rtl/>
        </w:rPr>
        <w:t>ספקטור</w:t>
      </w:r>
      <w:proofErr w:type="spellEnd"/>
      <w:r>
        <w:rPr>
          <w:rtl/>
        </w:rPr>
        <w:t>, האהוב והנערץ על הכול.</w:t>
      </w:r>
      <w:bookmarkStart w:id="1621" w:name="b3_ref17"/>
      <w:bookmarkEnd w:id="1621"/>
      <w:r>
        <w:rPr>
          <w:vertAlign w:val="superscript"/>
          <w:rtl/>
        </w:rPr>
        <w:fldChar w:fldCharType="begin" w:dirty="true"/>
      </w:r>
      <w:r>
        <w:rPr>
          <w:vertAlign w:val="superscript"/>
          <w:rtl/>
        </w:rPr>
        <w:instrText xml:space="preserve"> REF b3_note17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17</w:t>
      </w:r>
      <w:r>
        <w:rPr>
          <w:vertAlign w:val="superscript"/>
          <w:rtl/>
        </w:rPr>
        <w:fldChar w:fldCharType="end"/>
      </w:r>
    </w:p>
    <w:bookmarkStart w:id="1622" w:name="b3_note15"/>
    <w:p w14:paraId="6C2E6BEA" w14:textId="77777777" w:rsidR="00AB3647" w:rsidRDefault="00000000" w:rsidP="007923E9">
      <w:pPr>
        <w:spacing w:before="120" w:after="100" w:line="276" w:lineRule="auto"/>
        <w:jc w:val="both"/>
      </w:pPr>
      <w:r>
        <w:fldChar w:fldCharType="begin" w:dirty="true"/>
      </w:r>
      <w:r>
        <w:instrText>HYPERLINK \l "b3_ref15"</w:instrText>
      </w:r>
      <w:r>
        <w:fldChar w:fldCharType="separate"/>
      </w:r>
      <w:r>
        <w:rPr>
          <w:b/>
          <w:bCs/>
          <w:rtl/>
        </w:rPr>
        <w:t>15</w:t>
      </w:r>
      <w:r>
        <w:rPr>
          <w:b/>
          <w:bCs/>
        </w:rPr>
        <w:fldChar w:fldCharType="end"/>
      </w:r>
      <w:bookmarkEnd w:id="1622"/>
      <w:r>
        <w:rPr>
          <w:rtl/>
        </w:rPr>
        <w:t xml:space="preserve"> ר׳ </w:t>
      </w:r>
      <w:proofErr w:type="spellStart"/>
      <w:r>
        <w:rPr>
          <w:rtl/>
        </w:rPr>
        <w:t>לייבל׳ה</w:t>
      </w:r>
      <w:proofErr w:type="spellEnd"/>
      <w:r>
        <w:rPr>
          <w:rtl/>
        </w:rPr>
        <w:t xml:space="preserve"> נולד בשנת תקמ״ז, וכהונתו ברבנות קובנה נקטעה בפטירתו בשנת תרי״ג. הוא הוסמך בידי ר׳ חיים </w:t>
      </w:r>
      <w:proofErr w:type="spellStart"/>
      <w:r>
        <w:rPr>
          <w:rtl/>
        </w:rPr>
        <w:t>מוולוז׳ין</w:t>
      </w:r>
      <w:proofErr w:type="spellEnd"/>
      <w:r>
        <w:rPr>
          <w:rtl/>
        </w:rPr>
        <w:t>. “אבי הישיבות”</w:t>
      </w:r>
      <w:bookmarkStart w:id="1623" w:name="_fnr1071"/>
      <w:r>
        <w:rPr>
          <w:rStyle w:val="a5"/>
        </w:rPr>
        <w:footnoteReference w:id="1074" w:customMarkFollows="0"/>
      </w:r>
      <w:bookmarkEnd w:id="1623"/>
      <w:r>
        <w:rPr>
          <w:rtl/>
        </w:rPr>
        <w:t xml:space="preserve"> מביא שר׳ חיים </w:t>
      </w:r>
      <w:proofErr w:type="spellStart"/>
      <w:r>
        <w:rPr>
          <w:rtl/>
        </w:rPr>
        <w:t>סולובייצ׳יק</w:t>
      </w:r>
      <w:proofErr w:type="spellEnd"/>
      <w:r>
        <w:rPr>
          <w:rtl/>
        </w:rPr>
        <w:t xml:space="preserve"> סיפר שר׳ חיים </w:t>
      </w:r>
      <w:proofErr w:type="spellStart"/>
      <w:r>
        <w:rPr>
          <w:rtl/>
        </w:rPr>
        <w:t>מוולוז׳ין</w:t>
      </w:r>
      <w:proofErr w:type="spellEnd"/>
      <w:r>
        <w:rPr>
          <w:rtl/>
        </w:rPr>
        <w:t xml:space="preserve"> כתב בסמיכתו שר׳ </w:t>
      </w:r>
      <w:proofErr w:type="spellStart"/>
      <w:r>
        <w:rPr>
          <w:rtl/>
        </w:rPr>
        <w:t>לייבל׳ה</w:t>
      </w:r>
      <w:proofErr w:type="spellEnd"/>
      <w:r>
        <w:rPr>
          <w:rtl/>
        </w:rPr>
        <w:t xml:space="preserve"> “יכול לפסוק בכל הש״ס בלי לעיין בשולחן ערוך, ולכוון לאמיתה של הלכה”. לפני שנתקבל לרבה של קובנה כיהן כרב בארבע עיירות, ובהן </w:t>
      </w:r>
      <w:proofErr w:type="spellStart"/>
      <w:r>
        <w:rPr>
          <w:rtl/>
        </w:rPr>
        <w:t>שתים־עשרה</w:t>
      </w:r>
      <w:proofErr w:type="spellEnd"/>
      <w:r>
        <w:rPr>
          <w:rtl/>
        </w:rPr>
        <w:t xml:space="preserve"> שנה </w:t>
      </w:r>
      <w:proofErr w:type="spellStart"/>
      <w:r>
        <w:rPr>
          <w:rtl/>
        </w:rPr>
        <w:t>בסמורגון</w:t>
      </w:r>
      <w:proofErr w:type="spellEnd"/>
      <w:r>
        <w:rPr>
          <w:rtl/>
        </w:rPr>
        <w:t xml:space="preserve">. אף על פי כן הוא ידוע בשם “ר׳ </w:t>
      </w:r>
      <w:proofErr w:type="spellStart"/>
      <w:r>
        <w:rPr>
          <w:rtl/>
        </w:rPr>
        <w:t>לייבל׳ה</w:t>
      </w:r>
      <w:proofErr w:type="spellEnd"/>
      <w:r>
        <w:rPr>
          <w:rtl/>
        </w:rPr>
        <w:t xml:space="preserve"> </w:t>
      </w:r>
      <w:proofErr w:type="spellStart"/>
      <w:r>
        <w:rPr>
          <w:rtl/>
        </w:rPr>
        <w:t>קאוונער</w:t>
      </w:r>
      <w:proofErr w:type="spellEnd"/>
      <w:r>
        <w:rPr>
          <w:rtl/>
        </w:rPr>
        <w:t xml:space="preserve">”, משום שקובנה הייתה הגדולה בהרבה מכל הקהילות שבהן כיהן. בצעירותו, כשהיה יתום, עבד כחלבן, עד שר׳ מנשה מאיליה, מגדולי תלמידיו של הגאון מווילנה, הכיר בכישרונו יוצא הדופן של הנער ושכנע אותו להיעשות מלמד – מקצוע שהותיר לו שעות פנאי ללמוד אצל ר׳ מנשה.</w:t>
      </w:r>
      <w:bookmarkStart w:id="1624" w:name="_fnr1072"/>
      <w:r>
        <w:rPr>
          <w:rStyle w:val="a5"/>
        </w:rPr>
        <w:footnoteReference w:id="1075" w:customMarkFollows="0"/>
      </w:r>
      <w:bookmarkEnd w:id="1624"/>
    </w:p>
    <w:p w14:paraId="4BEEE51F" w14:textId="77777777" w:rsidR="00AB3647" w:rsidRDefault="00000000" w:rsidP="007923E9">
      <w:pPr>
        <w:spacing w:after="100" w:line="276" w:lineRule="auto"/>
        <w:ind w:firstLine="340"/>
        <w:jc w:val="both"/>
      </w:pPr>
      <w:r>
        <w:rPr>
          <w:rtl/>
        </w:rPr>
        <w:t xml:space="preserve">ר׳ חיים </w:t>
      </w:r>
      <w:proofErr w:type="spellStart"/>
      <w:r>
        <w:rPr>
          <w:rtl/>
        </w:rPr>
        <w:t>קרלינסקי</w:t>
      </w:r>
      <w:proofErr w:type="spellEnd"/>
      <w:r>
        <w:rPr>
          <w:rtl/>
        </w:rPr>
        <w:t xml:space="preserve"> מפתח בספרו “הראשון לשושלת </w:t>
      </w:r>
      <w:proofErr w:type="spellStart"/>
      <w:r>
        <w:rPr>
          <w:rtl/>
        </w:rPr>
        <w:t>בריסק</w:t>
      </w:r>
      <w:proofErr w:type="spellEnd"/>
      <w:r>
        <w:rPr>
          <w:rtl/>
        </w:rPr>
        <w:t>”</w:t>
      </w:r>
      <w:bookmarkStart w:id="1625" w:name="_fnr1073"/>
      <w:r>
        <w:rPr>
          <w:rStyle w:val="a5"/>
        </w:rPr>
        <w:footnoteReference w:id="1076" w:customMarkFollows="0"/>
      </w:r>
      <w:bookmarkEnd w:id="1625"/>
      <w:r>
        <w:rPr>
          <w:rtl/>
        </w:rPr>
        <w:t xml:space="preserve"> תאוריה מעניינת: מדוע לא מינתה קובנה רבנים באופן רשמי עד יותר משישים שנה אחרי שזכו היהודים ברשות לגור בה? לדבריו, בני משפחת </w:t>
      </w:r>
      <w:proofErr w:type="spellStart"/>
      <w:r>
        <w:rPr>
          <w:rtl/>
        </w:rPr>
        <w:t>סולובייצ׳יק</w:t>
      </w:r>
      <w:proofErr w:type="spellEnd"/>
      <w:r>
        <w:rPr>
          <w:rtl/>
        </w:rPr>
        <w:t xml:space="preserve"> עיכבו את זכותה של העיר למנות רב, כערובה לחוב הגדול שהעיר חבה להם על ההוצאות שהוציאו כדי לזכות במשפט על זכות המגורים החוקית של היהודים בעיר.</w:t>
      </w:r>
      <w:bookmarkStart w:id="1626" w:name="_fnr1074"/>
      <w:r>
        <w:rPr>
          <w:rStyle w:val="a5"/>
        </w:rPr>
        <w:footnoteReference w:id="1077" w:customMarkFollows="0"/>
      </w:r>
      <w:bookmarkEnd w:id="1626"/>
      <w:r>
        <w:rPr>
          <w:rtl/>
        </w:rPr>
        <w:t xml:space="preserve"> פתרון אחר ופשוט יותר לשאלה שהעלה הרב </w:t>
      </w:r>
      <w:proofErr w:type="spellStart"/>
      <w:r>
        <w:rPr>
          <w:rtl/>
        </w:rPr>
        <w:t>קרלינסקי</w:t>
      </w:r>
      <w:proofErr w:type="spellEnd"/>
      <w:r>
        <w:rPr>
          <w:rtl/>
        </w:rPr>
        <w:t xml:space="preserve"> אפשר למצוא בליפמן,</w:t>
      </w:r>
      <w:bookmarkStart w:id="1627" w:name="_fnr1075"/>
      <w:r>
        <w:rPr>
          <w:rStyle w:val="a5"/>
        </w:rPr>
        <w:footnoteReference w:id="1078" w:customMarkFollows="0"/>
      </w:r>
      <w:bookmarkEnd w:id="1627"/>
      <w:r>
        <w:rPr>
          <w:rtl/>
        </w:rPr>
        <w:t xml:space="preserve"> האומר (בלי לנמק): “רוב עשירי קובנה נשארו </w:t>
      </w:r>
      <w:proofErr w:type="spellStart"/>
      <w:r>
        <w:rPr>
          <w:rtl/>
        </w:rPr>
        <w:t>בוויליאמפולה</w:t>
      </w:r>
      <w:proofErr w:type="spellEnd"/>
      <w:r>
        <w:rPr>
          <w:rtl/>
        </w:rPr>
        <w:t xml:space="preserve"> עד שנת תר״ב בערך.” נמצא </w:t>
      </w:r>
      <w:r>
        <w:rPr>
          <w:rtl/>
        </w:rPr>
        <w:lastRenderedPageBreak/>
        <w:t>שתושבי קובנה העניים חסכו לעצמם את ההוצאה הכרוכה בהחזקת רב משלהם, כשהיה להם רב מעבר לגשר.</w:t>
      </w:r>
    </w:p>
    <w:bookmarkStart w:id="1628" w:name="b3_note16"/>
    <w:p w14:paraId="26D8AC82" w14:textId="77777777" w:rsidR="00AB3647" w:rsidRDefault="00000000" w:rsidP="007923E9">
      <w:pPr>
        <w:spacing w:before="120" w:after="100" w:line="276" w:lineRule="auto"/>
        <w:jc w:val="both"/>
      </w:pPr>
      <w:r>
        <w:fldChar w:fldCharType="begin" w:dirty="true"/>
      </w:r>
      <w:r>
        <w:instrText>HYPERLINK \l "b3_ref16"</w:instrText>
      </w:r>
      <w:r>
        <w:fldChar w:fldCharType="separate"/>
      </w:r>
      <w:r>
        <w:rPr>
          <w:b/>
          <w:bCs/>
          <w:rtl/>
        </w:rPr>
        <w:t>16</w:t>
      </w:r>
      <w:r>
        <w:rPr>
          <w:b/>
          <w:bCs/>
        </w:rPr>
        <w:fldChar w:fldCharType="end"/>
      </w:r>
      <w:bookmarkEnd w:id="1628"/>
      <w:r>
        <w:rPr>
          <w:rtl/>
        </w:rPr>
        <w:t xml:space="preserve"> נולד בשנת תקע״ז, נפטר בשנת תרנ״ח. הוא נאלץ לברוח מקובנה משום שהעז לעמוד מול משפחה רבת כוח שביקשה לשלוט בהכנסות הקהילה, וחזר לכהונתו כרב </w:t>
      </w:r>
      <w:proofErr w:type="spellStart"/>
      <w:r>
        <w:rPr>
          <w:rtl/>
        </w:rPr>
        <w:t>לומז׳ה</w:t>
      </w:r>
      <w:proofErr w:type="spellEnd"/>
      <w:r>
        <w:rPr>
          <w:rtl/>
        </w:rPr>
        <w:t>.</w:t>
      </w:r>
      <w:bookmarkStart w:id="1629" w:name="_fnr1076"/>
      <w:r>
        <w:rPr>
          <w:rStyle w:val="a5"/>
        </w:rPr>
        <w:footnoteReference w:id="1079" w:customMarkFollows="0"/>
      </w:r>
      <w:bookmarkEnd w:id="1629"/>
    </w:p>
    <w:bookmarkStart w:id="1630" w:name="b3_note17"/>
    <w:p w14:paraId="615EAD53" w14:textId="0A592BD7" w:rsidR="00AB3647" w:rsidRDefault="00000000" w:rsidP="007923E9">
      <w:pPr>
        <w:spacing w:before="120" w:after="100" w:line="276" w:lineRule="auto"/>
        <w:jc w:val="both"/>
      </w:pPr>
      <w:r>
        <w:fldChar w:fldCharType="begin" w:dirty="true"/>
      </w:r>
      <w:r>
        <w:instrText>HYPERLINK \l "b3_ref17"</w:instrText>
      </w:r>
      <w:r>
        <w:fldChar w:fldCharType="separate"/>
      </w:r>
      <w:r>
        <w:rPr>
          <w:b/>
          <w:bCs/>
          <w:rtl/>
        </w:rPr>
        <w:t>17</w:t>
      </w:r>
      <w:r>
        <w:rPr>
          <w:b/>
          <w:bCs/>
        </w:rPr>
        <w:fldChar w:fldCharType="end"/>
      </w:r>
      <w:bookmarkEnd w:id="1630"/>
      <w:r>
        <w:rPr>
          <w:rtl/>
        </w:rPr>
        <w:t xml:space="preserve"> נולד בשנת תקע״ז, והיה נערץ על המוני יהודי ליטא, שקראו לו בפשטות “הצדיק מקובנה”. אבי, שמלאו לו חמש שנים יום אחד לפני פטירתו של ר׳ </w:t>
      </w:r>
      <w:proofErr w:type="spellStart"/>
      <w:r>
        <w:rPr>
          <w:rtl/>
        </w:rPr>
        <w:t>יצחק־אלחנן</w:t>
      </w:r>
      <w:proofErr w:type="spellEnd"/>
      <w:r>
        <w:rPr>
          <w:rtl/>
        </w:rPr>
        <w:t xml:space="preserve"> </w:t>
      </w:r>
      <w:proofErr w:type="spellStart"/>
      <w:r>
        <w:rPr>
          <w:rtl/>
        </w:rPr>
        <w:t>ספקטור</w:t>
      </w:r>
      <w:proofErr w:type="spellEnd"/>
      <w:r>
        <w:rPr>
          <w:rtl/>
        </w:rPr>
        <w:t xml:space="preserve"> בכ״א באדר תרנ״ו, זכר איך התאבלו האנשים כשהגיעה הידיעה על מותו </w:t>
      </w:r>
      <w:proofErr w:type="spellStart"/>
      <w:r>
        <w:rPr>
          <w:rtl/>
        </w:rPr>
        <w:t>לדולהינוב</w:t>
      </w:r>
      <w:proofErr w:type="spellEnd"/>
      <w:r>
        <w:rPr>
          <w:rtl/>
        </w:rPr>
        <w:t xml:space="preserve"> הרחוקה.</w:t>
      </w:r>
      <w:bookmarkStart w:id="1631" w:name="_fnr1077"/>
      <w:r>
        <w:rPr>
          <w:rStyle w:val="a5"/>
        </w:rPr>
        <w:footnoteReference w:id="1080" w:customMarkFollows="0"/>
      </w:r>
      <w:bookmarkEnd w:id="1631"/>
      <w:r>
        <w:rPr>
          <w:rtl/>
        </w:rPr>
        <w:t xml:space="preserve"> ר׳ </w:t>
      </w:r>
      <w:proofErr w:type="spellStart"/>
      <w:r>
        <w:rPr>
          <w:rtl/>
        </w:rPr>
        <w:t>יצחק־אלחנן</w:t>
      </w:r>
      <w:proofErr w:type="spellEnd"/>
      <w:r>
        <w:rPr>
          <w:rtl/>
        </w:rPr>
        <w:t xml:space="preserve"> כיהן שלושים ושתיים שנה, והוא הרב שכיהן זמן רב מכולם בתולדותיה הרבניות של העיר, הקצרות יחסית – 94 שנים. הוא נודע בכינוי “אבי העגונות”, בזכות מומחיותו במציאת פתרונות הלכתיים להתרת נשים אומללות מכבלי בעליהן הנעדרים. לפי המאמר </w:t>
      </w:r>
      <w:proofErr w:type="spellStart"/>
      <w:r>
        <w:rPr>
          <w:rtl/>
        </w:rPr>
        <w:t>ב“דער</w:t>
      </w:r>
      <w:proofErr w:type="spellEnd"/>
      <w:r>
        <w:rPr>
          <w:rtl/>
        </w:rPr>
        <w:t xml:space="preserve"> איד”, הנזכר בהערה </w:t>
      </w:r>
      <w:r>
        <w:rPr>
          <w:rtl/>
        </w:rPr>
        <w:fldChar w:fldCharType="begin" w:dirty="true"/>
      </w:r>
      <w:r>
        <w:rPr>
          <w:rtl/>
        </w:rPr>
        <w:instrText xml:space="preserve"> REF b3_note14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14</w:t>
      </w:r>
      <w:r>
        <w:rPr>
          <w:rtl/>
        </w:rPr>
        <w:fldChar w:fldCharType="end"/>
      </w:r>
      <w:r>
        <w:rPr>
          <w:rtl/>
        </w:rPr>
        <w:t xml:space="preserve"> לעיל, מצא ר׳ </w:t>
      </w:r>
      <w:proofErr w:type="spellStart"/>
      <w:r>
        <w:rPr>
          <w:rtl/>
        </w:rPr>
        <w:t>יצחק־אלחנן</w:t>
      </w:r>
      <w:proofErr w:type="spellEnd"/>
      <w:r>
        <w:rPr>
          <w:rtl/>
        </w:rPr>
        <w:t xml:space="preserve"> פתרון לכל מקרי העגונות שהובאו לפניו לדין, מלבד 3 מתוך 158.</w:t>
      </w:r>
    </w:p>
    <w:p w14:paraId="082C288A" w14:textId="77777777" w:rsidR="00AB3647" w:rsidRDefault="00000000" w:rsidP="007923E9">
      <w:pPr>
        <w:spacing w:after="100" w:line="276" w:lineRule="auto"/>
        <w:ind w:firstLine="340"/>
        <w:jc w:val="both"/>
      </w:pPr>
      <w:r>
        <w:rPr>
          <w:rtl/>
        </w:rPr>
        <w:t xml:space="preserve">מעניין שהרב האחרון של קובנה, ר׳ </w:t>
      </w:r>
      <w:proofErr w:type="spellStart"/>
      <w:r>
        <w:rPr>
          <w:rtl/>
        </w:rPr>
        <w:t>אברהם־דובער</w:t>
      </w:r>
      <w:proofErr w:type="spellEnd"/>
      <w:r>
        <w:rPr>
          <w:rtl/>
        </w:rPr>
        <w:t xml:space="preserve"> </w:t>
      </w:r>
      <w:proofErr w:type="spellStart"/>
      <w:r>
        <w:rPr>
          <w:rtl/>
        </w:rPr>
        <w:t>כהנא־שפירא</w:t>
      </w:r>
      <w:proofErr w:type="spellEnd"/>
      <w:r>
        <w:rPr>
          <w:rtl/>
        </w:rPr>
        <w:t xml:space="preserve">, ניסה ללכת בעקבות קודמו המפורסם – כך מדווח אברהם תורי, מזכיר היודנרט, ביומן הגטו שלו, “גיטו </w:t>
      </w:r>
      <w:proofErr w:type="spellStart"/>
      <w:r>
        <w:rPr>
          <w:rtl/>
        </w:rPr>
        <w:t>יום־יום</w:t>
      </w:r>
      <w:proofErr w:type="spellEnd"/>
      <w:r>
        <w:rPr>
          <w:rtl/>
        </w:rPr>
        <w:t>”.</w:t>
      </w:r>
      <w:bookmarkStart w:id="1632" w:name="_fnr1078"/>
      <w:r>
        <w:rPr>
          <w:rStyle w:val="a5"/>
        </w:rPr>
        <w:footnoteReference w:id="1081" w:customMarkFollows="0"/>
      </w:r>
      <w:bookmarkEnd w:id="1632"/>
      <w:r>
        <w:rPr>
          <w:rtl/>
        </w:rPr>
        <w:t xml:space="preserve"> ר׳ </w:t>
      </w:r>
      <w:proofErr w:type="spellStart"/>
      <w:r>
        <w:rPr>
          <w:rtl/>
        </w:rPr>
        <w:t>אברהם־דובער</w:t>
      </w:r>
      <w:proofErr w:type="spellEnd"/>
      <w:r>
        <w:rPr>
          <w:rtl/>
        </w:rPr>
        <w:t xml:space="preserve"> כיהן שלושים שנה, משנת תרע״ג עד פטירתו בגטו </w:t>
      </w:r>
      <w:proofErr w:type="spellStart"/>
      <w:r>
        <w:rPr>
          <w:rtl/>
        </w:rPr>
        <w:t>שבסלבודקה</w:t>
      </w:r>
      <w:proofErr w:type="spellEnd"/>
      <w:r>
        <w:rPr>
          <w:rtl/>
        </w:rPr>
        <w:t xml:space="preserve"> בכ״ב באדר א׳ תש״ג. תורי כותב: “באחד מביקוריי אצל ר׳ </w:t>
      </w:r>
      <w:proofErr w:type="spellStart"/>
      <w:r>
        <w:rPr>
          <w:rtl/>
        </w:rPr>
        <w:t>אברהם־דובער</w:t>
      </w:r>
      <w:proofErr w:type="spellEnd"/>
      <w:r>
        <w:rPr>
          <w:rtl/>
        </w:rPr>
        <w:t xml:space="preserve"> </w:t>
      </w:r>
      <w:proofErr w:type="spellStart"/>
      <w:r>
        <w:rPr>
          <w:rtl/>
        </w:rPr>
        <w:t>כהנא־שפירא</w:t>
      </w:r>
      <w:proofErr w:type="spellEnd"/>
      <w:r>
        <w:rPr>
          <w:rtl/>
        </w:rPr>
        <w:t xml:space="preserve"> בדירתו שבגטו מצאתיו יושב במיטתו, עוטה כפפות צמר שאצבעותיהן סרוגות באופן שאפשר לו לכתוב. שאלתיו: ‘הרשאי אני לשאול את רבי מה הוא כותב?’ </w:t>
      </w:r>
      <w:r>
        <w:rPr>
          <w:b/>
          <w:bCs/>
          <w:rtl/>
        </w:rPr>
        <w:t>והרב ענה לי</w:t>
      </w:r>
      <w:r>
        <w:rPr>
          <w:rtl/>
        </w:rPr>
        <w:t xml:space="preserve"> (ההדגשה שלי, לדיון בהערת השוליים שבסוף הערה זו): ‘בני, אלפי נשים בגטו הן עגונות [כבר], ועוד אלפים יהיו עד שתסתיים המלחמה. לפי דיני העגונות הקיימים ייגזר על רבבות נשים לבלות את שארית ימיהן בעליבות, משום שמעולם לא הייתה בתולדותינו טרגדיה של השמדה נוראה כזו.’ הרב, אם כן, כתב ספר הלכה על התרת עגונות המלחמה הזאת, וכבר הצטברו בו 300 עמודים. לא אזרתי עוז לבקש רשות להעתיק את חיבורו רב ההיקף, וחבל חבל שלא נשאר ממנו זכר.</w:t>
      </w:r>
      <w:bookmarkStart w:id="1633" w:name="_fnr1079"/>
      <w:r>
        <w:rPr>
          <w:rStyle w:val="a5"/>
        </w:rPr>
        <w:footnoteReference w:id="1082" w:customMarkFollows="0"/>
      </w:r>
      <w:bookmarkEnd w:id="1633"/>
      <w:r>
        <w:rPr>
          <w:rtl/>
        </w:rPr>
        <w:t>”</w:t>
      </w:r>
    </w:p>
    <w:p w14:paraId="211BF261" w14:textId="77777777" w:rsidR="00AB3647" w:rsidRDefault="00000000" w:rsidP="007923E9">
      <w:pPr>
        <w:spacing w:after="100" w:line="276" w:lineRule="auto"/>
        <w:ind w:firstLine="340"/>
        <w:jc w:val="both"/>
      </w:pPr>
      <w:r>
        <w:rPr>
          <w:rtl/>
        </w:rPr>
        <w:t>אבל דיווחו של תורי עומד בסתירה לדברי ניצול הגטו ר׳ מרדכי צוקרמן, שסיפר:</w:t>
      </w:r>
      <w:bookmarkStart w:id="1634" w:name="_fnr1080"/>
      <w:r>
        <w:rPr>
          <w:rStyle w:val="a5"/>
        </w:rPr>
        <w:footnoteReference w:id="1083" w:customMarkFollows="0"/>
      </w:r>
      <w:bookmarkEnd w:id="1634"/>
      <w:r>
        <w:rPr>
          <w:rtl/>
        </w:rPr>
        <w:t xml:space="preserve"> “במשך השנה וחצי שהיה הרב מקובנה בגטו, היה עסוק בהכתבת ספר </w:t>
      </w:r>
      <w:proofErr w:type="spellStart"/>
      <w:r>
        <w:rPr>
          <w:rtl/>
        </w:rPr>
        <w:t>זכרונות</w:t>
      </w:r>
      <w:proofErr w:type="spellEnd"/>
      <w:r>
        <w:rPr>
          <w:rtl/>
        </w:rPr>
        <w:t>, ספר דרוש, והגהות על ספרו [של דברי תורה, שבו נתפרסם], ‘דבר אברהם’. אני זוכר שכתבתי את דברי הרב מפיו בחורף, כשהוא עטוף במעיל פרווה.”</w:t>
      </w:r>
      <w:bookmarkStart w:id="1635" w:name="_fnr1081"/>
      <w:r>
        <w:rPr>
          <w:rStyle w:val="a5"/>
        </w:rPr>
        <w:footnoteReference w:id="1084" w:customMarkFollows="0"/>
      </w:r>
      <w:bookmarkEnd w:id="1635"/>
      <w:r>
        <w:rPr>
          <w:rtl/>
        </w:rPr>
        <w:t xml:space="preserve"> אילו כתב ר׳ </w:t>
      </w:r>
      <w:proofErr w:type="spellStart"/>
      <w:r>
        <w:rPr>
          <w:rtl/>
        </w:rPr>
        <w:t>אברהם־דובער</w:t>
      </w:r>
      <w:proofErr w:type="spellEnd"/>
      <w:r>
        <w:rPr>
          <w:rtl/>
        </w:rPr>
        <w:t xml:space="preserve"> ספר על התרת עגונות, כפי שסבר תורי, ר׳ מרדכי – לא סופר בעלמא, אלא תלמיד חכם – ודאי היה יודע על כך.</w:t>
      </w:r>
    </w:p>
    <w:p w14:paraId="482E2836" w14:textId="77777777" w:rsidR="00AB3647" w:rsidRDefault="00000000" w:rsidP="007923E9">
      <w:pPr>
        <w:spacing w:after="100" w:line="276" w:lineRule="auto"/>
        <w:ind w:firstLine="340"/>
        <w:jc w:val="both"/>
      </w:pPr>
      <w:r>
        <w:rPr>
          <w:rtl/>
        </w:rPr>
        <w:lastRenderedPageBreak/>
        <w:t xml:space="preserve">אחד משלושת החיבורים שלפי ר׳ מרדכי צוקרמן עבד עליהם הרב מקובנה בגטו, ספר </w:t>
      </w:r>
      <w:proofErr w:type="spellStart"/>
      <w:r>
        <w:rPr>
          <w:rtl/>
        </w:rPr>
        <w:t>הזכרונות</w:t>
      </w:r>
      <w:proofErr w:type="spellEnd"/>
      <w:r>
        <w:rPr>
          <w:rtl/>
        </w:rPr>
        <w:t xml:space="preserve">, נזכר </w:t>
      </w:r>
      <w:proofErr w:type="spellStart"/>
      <w:r>
        <w:rPr>
          <w:rtl/>
        </w:rPr>
        <w:t>ב“גיטו</w:t>
      </w:r>
      <w:proofErr w:type="spellEnd"/>
      <w:r>
        <w:rPr>
          <w:rtl/>
        </w:rPr>
        <w:t xml:space="preserve"> </w:t>
      </w:r>
      <w:proofErr w:type="spellStart"/>
      <w:r>
        <w:rPr>
          <w:rtl/>
        </w:rPr>
        <w:t>יום־יום</w:t>
      </w:r>
      <w:proofErr w:type="spellEnd"/>
      <w:r>
        <w:rPr>
          <w:rtl/>
        </w:rPr>
        <w:t xml:space="preserve">” – אבל בהקשר של </w:t>
      </w:r>
      <w:r>
        <w:rPr>
          <w:b/>
          <w:bCs/>
          <w:rtl/>
        </w:rPr>
        <w:t>טרום המלחמה</w:t>
      </w:r>
      <w:r>
        <w:rPr>
          <w:rtl/>
        </w:rPr>
        <w:t xml:space="preserve">. נאמר שם: “הרב [כהנא־]שפירא היה חולה זה שנים רבות, ולא טיפל עוד בצורכי הקהילה – את זה הניח לאחרים. לפני המעבר לגטו היה עסוק בחדרו, במיטתו, ברישום </w:t>
      </w:r>
      <w:proofErr w:type="spellStart"/>
      <w:r>
        <w:rPr>
          <w:rtl/>
        </w:rPr>
        <w:t>זכרונות</w:t>
      </w:r>
      <w:proofErr w:type="spellEnd"/>
      <w:r>
        <w:rPr>
          <w:rtl/>
        </w:rPr>
        <w:t xml:space="preserve"> חייו העשירים.”</w:t>
      </w:r>
      <w:bookmarkStart w:id="1636" w:name="_fnr1082"/>
      <w:r>
        <w:rPr>
          <w:rStyle w:val="a5"/>
        </w:rPr>
        <w:footnoteReference w:id="1085" w:customMarkFollows="0"/>
      </w:r>
      <w:bookmarkEnd w:id="1636"/>
    </w:p>
    <w:p w14:paraId="2DC98991" w14:textId="19F3809E"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בימי חייו של ר׳ </w:t>
      </w:r>
      <w:proofErr w:type="spellStart"/>
      <w:r>
        <w:rPr>
          <w:rtl/>
        </w:rPr>
        <w:t>יצחק־אלחנן</w:t>
      </w:r>
      <w:proofErr w:type="spellEnd"/>
      <w:r>
        <w:rPr>
          <w:rtl/>
        </w:rPr>
        <w:t xml:space="preserve"> עלתה קובנה לגדולה ונעשתה כתובת לשאלות הלכה קשות ולבעיות ציבור, בכל מקום שצצו. תקופה זו באה לקצה עם פטירתו בשנת תרנ״ו – עשר שנים בדיוק לפני בואו של אבי – אבל העיר חזרה אל גדולתה כעבור שנה, כשנעשתה מקום מושבן של </w:t>
      </w:r>
      <w:r>
        <w:rPr>
          <w:b/>
          <w:bCs/>
          <w:rtl/>
        </w:rPr>
        <w:t>שתי</w:t>
      </w:r>
      <w:bookmarkStart w:id="1637" w:name="b3_ref18"/>
      <w:bookmarkEnd w:id="1637"/>
      <w:r>
        <w:rPr>
          <w:vertAlign w:val="superscript"/>
          <w:rtl/>
        </w:rPr>
        <w:fldChar w:fldCharType="begin" w:dirty="true"/>
      </w:r>
      <w:r>
        <w:rPr>
          <w:vertAlign w:val="superscript"/>
          <w:rtl/>
        </w:rPr>
        <w:instrText xml:space="preserve"> REF b3_note18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18</w:t>
      </w:r>
      <w:r>
        <w:rPr>
          <w:vertAlign w:val="superscript"/>
          <w:rtl/>
        </w:rPr>
        <w:fldChar w:fldCharType="end"/>
      </w:r>
      <w:r>
        <w:rPr>
          <w:rtl/>
        </w:rPr>
        <w:t xml:space="preserve"> ישיבות נודעות בפרברה.</w:t>
      </w:r>
    </w:p>
    <w:bookmarkStart w:id="1638" w:name="b3_note18"/>
    <w:p w14:paraId="27AF535F" w14:textId="77777777" w:rsidR="00AB3647" w:rsidRDefault="00000000" w:rsidP="007923E9">
      <w:pPr>
        <w:spacing w:before="120" w:after="100" w:line="276" w:lineRule="auto"/>
        <w:jc w:val="both"/>
      </w:pPr>
      <w:r>
        <w:fldChar w:fldCharType="begin" w:dirty="true"/>
      </w:r>
      <w:r>
        <w:instrText>HYPERLINK \l "b3_ref18"</w:instrText>
      </w:r>
      <w:r>
        <w:fldChar w:fldCharType="separate"/>
      </w:r>
      <w:r>
        <w:rPr>
          <w:b/>
          <w:bCs/>
          <w:rtl/>
        </w:rPr>
        <w:t>18</w:t>
      </w:r>
      <w:r>
        <w:rPr>
          <w:b/>
          <w:bCs/>
        </w:rPr>
        <w:fldChar w:fldCharType="end"/>
      </w:r>
      <w:bookmarkEnd w:id="1638"/>
      <w:r>
        <w:rPr>
          <w:rtl/>
        </w:rPr>
        <w:t xml:space="preserve"> “ר׳ ברוך בר” (אדלשטיין)</w:t>
      </w:r>
      <w:bookmarkStart w:id="1639" w:name="_fnr1083"/>
      <w:r>
        <w:rPr>
          <w:rStyle w:val="a5"/>
        </w:rPr>
        <w:footnoteReference w:id="1086" w:customMarkFollows="0"/>
      </w:r>
      <w:bookmarkEnd w:id="1639"/>
      <w:r>
        <w:rPr>
          <w:rtl/>
        </w:rPr>
        <w:t xml:space="preserve"> מביא בשם ר׳ </w:t>
      </w:r>
      <w:proofErr w:type="spellStart"/>
      <w:r>
        <w:rPr>
          <w:rtl/>
        </w:rPr>
        <w:t>ברוך־בער</w:t>
      </w:r>
      <w:proofErr w:type="spellEnd"/>
      <w:r>
        <w:rPr>
          <w:rtl/>
        </w:rPr>
        <w:t xml:space="preserve"> </w:t>
      </w:r>
      <w:proofErr w:type="spellStart"/>
      <w:r>
        <w:rPr>
          <w:rtl/>
        </w:rPr>
        <w:t>ליבוביץ</w:t>
      </w:r>
      <w:proofErr w:type="spellEnd"/>
      <w:r>
        <w:rPr>
          <w:rtl/>
        </w:rPr>
        <w:t xml:space="preserve"> שאמר: “אומרים </w:t>
      </w:r>
      <w:proofErr w:type="spellStart"/>
      <w:r>
        <w:rPr>
          <w:rtl/>
        </w:rPr>
        <w:t>שסלבודקה</w:t>
      </w:r>
      <w:proofErr w:type="spellEnd"/>
      <w:r>
        <w:rPr>
          <w:rtl/>
        </w:rPr>
        <w:t xml:space="preserve"> זכתה לשתי ישיבות משום שהיא סמוכה לגרמניה, שבבירתה, ברלין, פרצה ההשכלה – וההשגחה דאגה להקים מבצר של תורה בעיר ‘גבול’.</w:t>
      </w:r>
      <w:bookmarkStart w:id="1640" w:name="_fnr1084"/>
      <w:r>
        <w:rPr>
          <w:rStyle w:val="a5"/>
        </w:rPr>
        <w:footnoteReference w:id="1087" w:customMarkFollows="0"/>
      </w:r>
      <w:bookmarkEnd w:id="1640"/>
      <w:r>
        <w:rPr>
          <w:rtl/>
        </w:rPr>
        <w:t xml:space="preserve"> אבל האמת היא </w:t>
      </w:r>
      <w:proofErr w:type="spellStart"/>
      <w:r>
        <w:rPr>
          <w:rtl/>
        </w:rPr>
        <w:t>שסלבודקה</w:t>
      </w:r>
      <w:proofErr w:type="spellEnd"/>
      <w:r>
        <w:rPr>
          <w:rtl/>
        </w:rPr>
        <w:t xml:space="preserve"> זכתה לשתי ישיבות משום שאין בה בנייני כנסיות.”</w:t>
      </w:r>
      <w:bookmarkStart w:id="1641" w:name="_fnr1085"/>
      <w:r>
        <w:rPr>
          <w:rStyle w:val="a5"/>
        </w:rPr>
        <w:footnoteReference w:id="1088" w:customMarkFollows="0"/>
      </w:r>
      <w:bookmarkEnd w:id="1641"/>
    </w:p>
    <w:p w14:paraId="0C1E393C" w14:textId="4B0C8FBA"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תחילה היה בקובנה רק כולל. הוא נחנך בשנת תרל״ז, וכעבור ארבע שנים יצא לו שם עם פרסום “עץ פרי”, חוברת שהעלתה על נס את רעיון הכולל.</w:t>
      </w:r>
      <w:bookmarkStart w:id="1642" w:name="b3_ref19"/>
      <w:bookmarkEnd w:id="1642"/>
      <w:r>
        <w:rPr>
          <w:vertAlign w:val="superscript"/>
          <w:rtl/>
        </w:rPr>
        <w:fldChar w:fldCharType="begin" w:dirty="true"/>
      </w:r>
      <w:r>
        <w:rPr>
          <w:vertAlign w:val="superscript"/>
          <w:rtl/>
        </w:rPr>
        <w:instrText xml:space="preserve"> REF b3_note19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19</w:t>
      </w:r>
      <w:r>
        <w:rPr>
          <w:vertAlign w:val="superscript"/>
          <w:rtl/>
        </w:rPr>
        <w:fldChar w:fldCharType="end"/>
      </w:r>
      <w:r>
        <w:rPr>
          <w:rtl/>
        </w:rPr>
        <w:t xml:space="preserve"> אחד ממנהליו הראשונים של כולל קובנה,</w:t>
      </w:r>
      <w:bookmarkStart w:id="1643" w:name="b3_ref20"/>
      <w:bookmarkEnd w:id="1643"/>
      <w:r>
        <w:rPr>
          <w:vertAlign w:val="superscript"/>
          <w:rtl/>
        </w:rPr>
        <w:fldChar w:fldCharType="begin" w:dirty="true"/>
      </w:r>
      <w:r>
        <w:rPr>
          <w:vertAlign w:val="superscript"/>
          <w:rtl/>
        </w:rPr>
        <w:instrText xml:space="preserve"> REF b3_note20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20</w:t>
      </w:r>
      <w:r>
        <w:rPr>
          <w:vertAlign w:val="superscript"/>
          <w:rtl/>
        </w:rPr>
        <w:fldChar w:fldCharType="end"/>
      </w:r>
      <w:r>
        <w:rPr>
          <w:rtl/>
        </w:rPr>
        <w:t xml:space="preserve"> ר׳ </w:t>
      </w:r>
      <w:proofErr w:type="spellStart"/>
      <w:r>
        <w:rPr>
          <w:rtl/>
        </w:rPr>
        <w:t xml:space="preserve">אברמצ׳יק</w:t>
      </w:r>
      <w:proofErr w:type="spellEnd"/>
      <w:r>
        <w:rPr>
          <w:rtl/>
        </w:rPr>
        <w:t xml:space="preserve"> </w:t>
      </w:r>
      <w:proofErr w:type="spellStart"/>
      <w:r>
        <w:rPr>
          <w:rtl/>
        </w:rPr>
        <w:t>טנעס</w:t>
      </w:r>
      <w:proofErr w:type="spellEnd"/>
      <w:r>
        <w:rPr>
          <w:rtl/>
        </w:rPr>
        <w:t xml:space="preserve"> (שנקר),</w:t>
      </w:r>
      <w:bookmarkStart w:id="1644" w:name="b3_ref21"/>
      <w:bookmarkEnd w:id="1644"/>
      <w:r>
        <w:rPr>
          <w:vertAlign w:val="superscript"/>
          <w:rtl/>
        </w:rPr>
        <w:fldChar w:fldCharType="begin" w:dirty="true"/>
      </w:r>
      <w:r>
        <w:rPr>
          <w:vertAlign w:val="superscript"/>
          <w:rtl/>
        </w:rPr>
        <w:instrText xml:space="preserve"> REF b3_note21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21</w:t>
      </w:r>
      <w:r>
        <w:rPr>
          <w:vertAlign w:val="superscript"/>
          <w:rtl/>
        </w:rPr>
        <w:fldChar w:fldCharType="end"/>
      </w:r>
      <w:r>
        <w:rPr>
          <w:rtl/>
        </w:rPr>
        <w:t xml:space="preserve"> והמנהל שבא אחריו ושימש שנים רבות, ר׳ </w:t>
      </w:r>
      <w:proofErr w:type="spellStart"/>
      <w:r>
        <w:rPr>
          <w:rtl/>
        </w:rPr>
        <w:t>איצל׳ה</w:t>
      </w:r>
      <w:proofErr w:type="spellEnd"/>
      <w:r>
        <w:rPr>
          <w:rtl/>
        </w:rPr>
        <w:t xml:space="preserve"> </w:t>
      </w:r>
      <w:proofErr w:type="spellStart"/>
      <w:r>
        <w:rPr>
          <w:rtl/>
        </w:rPr>
        <w:t>בלאזר</w:t>
      </w:r>
      <w:proofErr w:type="spellEnd"/>
      <w:r>
        <w:rPr>
          <w:rtl/>
        </w:rPr>
        <w:t xml:space="preserve"> (</w:t>
      </w:r>
      <w:proofErr w:type="spellStart"/>
      <w:r>
        <w:rPr>
          <w:rtl/>
        </w:rPr>
        <w:t>פטרבורגר</w:t>
      </w:r>
      <w:proofErr w:type="spellEnd"/>
      <w:r>
        <w:rPr>
          <w:rtl/>
        </w:rPr>
        <w:t>),</w:t>
      </w:r>
      <w:bookmarkStart w:id="1645" w:name="b3_ref22"/>
      <w:bookmarkEnd w:id="1645"/>
      <w:r>
        <w:rPr>
          <w:vertAlign w:val="superscript"/>
          <w:rtl/>
        </w:rPr>
        <w:fldChar w:fldCharType="begin" w:dirty="true"/>
      </w:r>
      <w:r>
        <w:rPr>
          <w:vertAlign w:val="superscript"/>
          <w:rtl/>
        </w:rPr>
        <w:instrText xml:space="preserve"> REF b3_note22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22</w:t>
      </w:r>
      <w:r>
        <w:rPr>
          <w:vertAlign w:val="superscript"/>
          <w:rtl/>
        </w:rPr>
        <w:fldChar w:fldCharType="end"/>
      </w:r>
      <w:r>
        <w:rPr>
          <w:rtl/>
        </w:rPr>
        <w:t xml:space="preserve"> הביאו</w:t>
      </w:r>
      <w:bookmarkStart w:id="1646" w:name="b3_ref23"/>
      <w:bookmarkEnd w:id="1646"/>
      <w:r>
        <w:rPr>
          <w:vertAlign w:val="superscript"/>
          <w:rtl/>
        </w:rPr>
        <w:fldChar w:fldCharType="begin" w:dirty="true"/>
      </w:r>
      <w:r>
        <w:rPr>
          <w:vertAlign w:val="superscript"/>
          <w:rtl/>
        </w:rPr>
        <w:instrText xml:space="preserve"> REF b3_note23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23</w:t>
      </w:r>
      <w:r>
        <w:rPr>
          <w:vertAlign w:val="superscript"/>
          <w:rtl/>
        </w:rPr>
        <w:fldChar w:fldCharType="end"/>
      </w:r>
      <w:r>
        <w:rPr>
          <w:rtl/>
        </w:rPr>
        <w:t xml:space="preserve"> אל הנהלת הכולל חבר צעיר בתנועת המוסר, ר׳ </w:t>
      </w:r>
      <w:proofErr w:type="spellStart"/>
      <w:r>
        <w:rPr>
          <w:rtl/>
        </w:rPr>
        <w:t>נתן־צבי</w:t>
      </w:r>
      <w:proofErr w:type="spellEnd"/>
      <w:r>
        <w:rPr>
          <w:rtl/>
        </w:rPr>
        <w:t xml:space="preserve"> פינקל,</w:t>
      </w:r>
      <w:bookmarkStart w:id="1647" w:name="b3_ref24"/>
      <w:bookmarkEnd w:id="1647"/>
      <w:r>
        <w:rPr>
          <w:vertAlign w:val="superscript"/>
          <w:rtl/>
        </w:rPr>
        <w:fldChar w:fldCharType="begin" w:dirty="true"/>
      </w:r>
      <w:r>
        <w:rPr>
          <w:vertAlign w:val="superscript"/>
          <w:rtl/>
        </w:rPr>
        <w:instrText xml:space="preserve"> REF b3_note24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24</w:t>
      </w:r>
      <w:r>
        <w:rPr>
          <w:vertAlign w:val="superscript"/>
          <w:rtl/>
        </w:rPr>
        <w:fldChar w:fldCharType="end"/>
      </w:r>
      <w:r>
        <w:rPr>
          <w:rtl/>
        </w:rPr>
        <w:t xml:space="preserve"> אף שלא באופן רשמי.</w:t>
      </w:r>
      <w:bookmarkStart w:id="1648" w:name="b3_ref25"/>
      <w:bookmarkEnd w:id="1648"/>
      <w:r>
        <w:rPr>
          <w:vertAlign w:val="superscript"/>
          <w:rtl/>
        </w:rPr>
        <w:fldChar w:fldCharType="begin" w:dirty="true"/>
      </w:r>
      <w:r>
        <w:rPr>
          <w:vertAlign w:val="superscript"/>
          <w:rtl/>
        </w:rPr>
        <w:instrText xml:space="preserve"> REF b3_note25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25</w:t>
      </w:r>
      <w:r>
        <w:rPr>
          <w:vertAlign w:val="superscript"/>
          <w:rtl/>
        </w:rPr>
        <w:fldChar w:fldCharType="end"/>
      </w:r>
    </w:p>
    <w:bookmarkStart w:id="1649" w:name="b3_note19"/>
    <w:p w14:paraId="7E865E7A" w14:textId="3BF2AAE9" w:rsidR="00AB3647" w:rsidRDefault="00000000" w:rsidP="007923E9">
      <w:pPr>
        <w:spacing w:before="120" w:after="100" w:line="276" w:lineRule="auto"/>
        <w:jc w:val="both"/>
      </w:pPr>
      <w:r>
        <w:fldChar w:fldCharType="begin" w:dirty="true"/>
      </w:r>
      <w:r>
        <w:instrText>HYPERLINK \l "b3_ref19"</w:instrText>
      </w:r>
      <w:r>
        <w:fldChar w:fldCharType="separate"/>
      </w:r>
      <w:r>
        <w:rPr>
          <w:b/>
          <w:bCs/>
          <w:rtl/>
        </w:rPr>
        <w:t>19</w:t>
      </w:r>
      <w:r>
        <w:rPr>
          <w:b/>
          <w:bCs/>
        </w:rPr>
        <w:fldChar w:fldCharType="end"/>
      </w:r>
      <w:bookmarkEnd w:id="1649"/>
      <w:r>
        <w:rPr>
          <w:rtl/>
        </w:rPr>
        <w:t xml:space="preserve"> ראה </w:t>
      </w:r>
      <w:r>
        <w:rPr>
          <w:rtl/>
        </w:rPr>
        <w:fldChar w:fldCharType="begin" w:dirty="true"/>
      </w:r>
      <w:r>
        <w:rPr>
          <w:rtl/>
        </w:rPr>
        <w:instrText xml:space="preserve"> REF b3_excA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א</w:t>
      </w:r>
      <w:r>
        <w:rPr>
          <w:rtl/>
        </w:rPr>
        <w:fldChar w:fldCharType="end"/>
      </w:r>
      <w:r>
        <w:rPr>
          <w:rtl/>
        </w:rPr>
        <w:t>.</w:t>
      </w:r>
    </w:p>
    <w:bookmarkStart w:id="1650" w:name="b3_note20"/>
    <w:p w14:paraId="03E36A8E" w14:textId="77777777" w:rsidR="00AB3647" w:rsidRDefault="00000000" w:rsidP="007923E9">
      <w:pPr>
        <w:spacing w:before="120" w:after="100" w:line="276" w:lineRule="auto"/>
        <w:jc w:val="both"/>
      </w:pPr>
      <w:r>
        <w:fldChar w:fldCharType="begin" w:dirty="true"/>
      </w:r>
      <w:r>
        <w:instrText>HYPERLINK \l "b3_ref20"</w:instrText>
      </w:r>
      <w:r>
        <w:fldChar w:fldCharType="separate"/>
      </w:r>
      <w:r>
        <w:rPr>
          <w:b/>
          <w:bCs/>
          <w:rtl/>
        </w:rPr>
        <w:t>20</w:t>
      </w:r>
      <w:r>
        <w:rPr>
          <w:b/>
          <w:bCs/>
        </w:rPr>
        <w:fldChar w:fldCharType="end"/>
      </w:r>
      <w:bookmarkEnd w:id="1650"/>
      <w:r>
        <w:rPr>
          <w:rtl/>
        </w:rPr>
        <w:t xml:space="preserve"> אבי תיאר את כולל קובנה בריאיון המוקלט על הסבא </w:t>
      </w:r>
      <w:proofErr w:type="spellStart"/>
      <w:r>
        <w:rPr>
          <w:rtl/>
        </w:rPr>
        <w:t>מסלבודקה</w:t>
      </w:r>
      <w:proofErr w:type="spellEnd"/>
      <w:r>
        <w:rPr>
          <w:rtl/>
        </w:rPr>
        <w:t xml:space="preserve"> ובשיחה המוקלטת בשיקגו במילים אלה (בתרגום מיידיש): “כולל קובנה היה שונה במבנהו מן הכוללים של ימינו. היו שלושה אברכים לומדים בבית מדרש אחד ועוד שלושה באחר, וכן הלאה – ולא רק </w:t>
      </w:r>
      <w:r>
        <w:rPr>
          <w:rtl/>
        </w:rPr>
        <w:lastRenderedPageBreak/>
        <w:t xml:space="preserve">בקובנה אלא גם בערים אחרות בליטא – סך הכול כ־80 אברכים. חברי כל שלישייה לא למדו בהכרח בחברותא; כל </w:t>
      </w:r>
      <w:proofErr w:type="spellStart"/>
      <w:r>
        <w:rPr>
          <w:rtl/>
        </w:rPr>
        <w:t>יונגערמאן</w:t>
      </w:r>
      <w:proofErr w:type="spellEnd"/>
      <w:r>
        <w:rPr>
          <w:rtl/>
        </w:rPr>
        <w:t xml:space="preserve"> עשה לעצמו תוכנית לימודים משלו. אחד רצה לחזור על חושן משפט ואחר על יורה דעה. האברכים גם עסקו בהוראת מבוגרים בבתי המדרש שבהם ישבו, ובכך לא רק השלימו את מלגת הכולל אלא גם רכשו ניסיון </w:t>
      </w:r>
      <w:proofErr w:type="spellStart"/>
      <w:r>
        <w:rPr>
          <w:rtl/>
        </w:rPr>
        <w:t>ב‘רבנות</w:t>
      </w:r>
      <w:proofErr w:type="spellEnd"/>
      <w:r>
        <w:rPr>
          <w:rtl/>
        </w:rPr>
        <w:t xml:space="preserve"> מעשית’.</w:t>
      </w:r>
      <w:bookmarkStart w:id="1651" w:name="_fnr1086"/>
      <w:r>
        <w:rPr>
          <w:rStyle w:val="a5"/>
        </w:rPr>
        <w:footnoteReference w:id="1089" w:customMarkFollows="0"/>
      </w:r>
      <w:bookmarkEnd w:id="1651"/>
      <w:r>
        <w:rPr>
          <w:rtl/>
        </w:rPr>
        <w:t xml:space="preserve"> הם שיכללו עוד את כישוריהם בצפייה באופן שבו הרבנים בקהילותיהם מטפלים בשאלות ובהליכים הלכתיים. נשות חברי הכולל נשארו בעיירותיהן, בבתי הוריהן, בעוד בעליהן עוסקים בתוכנית מתקדמת זו ומתכוננים לקריירה במקום אחר. חבר כולל היה מוגבל לשלוש שנות תמיכה, ובמשך הזמן הזה או מיד לאחריו היה עליו להשיג לעצמו כיסא רבנות.”</w:t>
      </w:r>
    </w:p>
    <w:bookmarkStart w:id="1652" w:name="b3_note21"/>
    <w:p w14:paraId="467B835B" w14:textId="77777777" w:rsidR="00AB3647" w:rsidRDefault="00000000" w:rsidP="007923E9">
      <w:pPr>
        <w:spacing w:before="120" w:after="100" w:line="276" w:lineRule="auto"/>
        <w:jc w:val="both"/>
      </w:pPr>
      <w:r>
        <w:fldChar w:fldCharType="begin" w:dirty="true"/>
      </w:r>
      <w:r>
        <w:instrText>HYPERLINK \l "b3_ref21"</w:instrText>
      </w:r>
      <w:r>
        <w:fldChar w:fldCharType="separate"/>
      </w:r>
      <w:r>
        <w:rPr>
          <w:b/>
          <w:bCs/>
          <w:rtl/>
        </w:rPr>
        <w:t>21</w:t>
      </w:r>
      <w:r>
        <w:rPr>
          <w:b/>
          <w:bCs/>
        </w:rPr>
        <w:fldChar w:fldCharType="end"/>
      </w:r>
      <w:bookmarkEnd w:id="1652"/>
      <w:r>
        <w:rPr>
          <w:rtl/>
        </w:rPr>
        <w:t xml:space="preserve"> נולד בשנת תר״ט, היה תלמידו של ר׳ ישראל </w:t>
      </w:r>
      <w:proofErr w:type="spellStart"/>
      <w:r>
        <w:rPr>
          <w:rtl/>
        </w:rPr>
        <w:t>סלנטר</w:t>
      </w:r>
      <w:proofErr w:type="spellEnd"/>
      <w:r>
        <w:rPr>
          <w:rtl/>
        </w:rPr>
        <w:t>. “יש הסבורים שהיה גדול כשלושת תלמידיו הראשיים של ר׳ ישראל</w:t>
      </w:r>
      <w:bookmarkStart w:id="1653" w:name="_fnr1087"/>
      <w:r>
        <w:rPr>
          <w:rStyle w:val="a5"/>
        </w:rPr>
        <w:footnoteReference w:id="1090" w:customMarkFollows="0"/>
      </w:r>
      <w:bookmarkEnd w:id="1653"/>
      <w:r>
        <w:rPr>
          <w:rtl/>
        </w:rPr>
        <w:t xml:space="preserve"> ואולי אף בעל שכל חד יותר מהם. אבל מאחר שנפטר צעיר, בן 42, לא יצא לו שם כשם שלהם.”</w:t>
      </w:r>
      <w:bookmarkStart w:id="1654" w:name="_fnr1088"/>
      <w:r>
        <w:rPr>
          <w:rStyle w:val="a5"/>
        </w:rPr>
        <w:footnoteReference w:id="1091" w:customMarkFollows="0"/>
      </w:r>
      <w:bookmarkEnd w:id="1654"/>
    </w:p>
    <w:bookmarkStart w:id="1655" w:name="b3_note22"/>
    <w:p w14:paraId="0B6B15A0" w14:textId="67938C67" w:rsidR="00AB3647" w:rsidRDefault="00000000" w:rsidP="007923E9">
      <w:pPr>
        <w:spacing w:before="120" w:after="100" w:line="276" w:lineRule="auto"/>
        <w:jc w:val="both"/>
      </w:pPr>
      <w:r>
        <w:fldChar w:fldCharType="begin" w:dirty="true"/>
      </w:r>
      <w:r>
        <w:instrText>HYPERLINK \l "b3_ref22"</w:instrText>
      </w:r>
      <w:r>
        <w:fldChar w:fldCharType="separate"/>
      </w:r>
      <w:r>
        <w:rPr>
          <w:b/>
          <w:bCs/>
          <w:rtl/>
        </w:rPr>
        <w:t>22</w:t>
      </w:r>
      <w:r>
        <w:rPr>
          <w:b/>
          <w:bCs/>
        </w:rPr>
        <w:fldChar w:fldCharType="end"/>
      </w:r>
      <w:bookmarkEnd w:id="1655"/>
      <w:r>
        <w:rPr>
          <w:rtl/>
        </w:rPr>
        <w:t xml:space="preserve"> ראה </w:t>
      </w:r>
      <w:r>
        <w:rPr>
          <w:rtl/>
        </w:rPr>
        <w:fldChar w:fldCharType="begin" w:dirty="true"/>
      </w:r>
      <w:r>
        <w:rPr>
          <w:rtl/>
        </w:rPr>
        <w:instrText xml:space="preserve"> REF b3_excB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w:t>
      </w:r>
    </w:p>
    <w:bookmarkStart w:id="1656" w:name="b3_note23"/>
    <w:p w14:paraId="26294D41" w14:textId="227E2A81" w:rsidR="00AB3647" w:rsidRDefault="00000000" w:rsidP="007923E9">
      <w:pPr>
        <w:spacing w:before="120" w:after="100" w:line="276" w:lineRule="auto"/>
        <w:jc w:val="both"/>
      </w:pPr>
      <w:r>
        <w:fldChar w:fldCharType="begin" w:dirty="true"/>
      </w:r>
      <w:r>
        <w:instrText>HYPERLINK \l "b3_ref23"</w:instrText>
      </w:r>
      <w:r>
        <w:fldChar w:fldCharType="separate"/>
      </w:r>
      <w:r>
        <w:rPr>
          <w:b/>
          <w:bCs/>
          <w:rtl/>
        </w:rPr>
        <w:t>23</w:t>
      </w:r>
      <w:r>
        <w:rPr>
          <w:b/>
          <w:bCs/>
        </w:rPr>
        <w:fldChar w:fldCharType="end"/>
      </w:r>
      <w:bookmarkEnd w:id="1656"/>
      <w:r>
        <w:rPr>
          <w:rtl/>
        </w:rPr>
        <w:t xml:space="preserve"> ראה </w:t>
      </w:r>
      <w:r>
        <w:rPr>
          <w:rtl/>
        </w:rPr>
        <w:fldChar w:fldCharType="begin" w:dirty="true"/>
      </w:r>
      <w:r>
        <w:rPr>
          <w:rtl/>
        </w:rPr>
        <w:instrText xml:space="preserve"> REF b3_excC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ג</w:t>
      </w:r>
      <w:r>
        <w:rPr>
          <w:rtl/>
        </w:rPr>
        <w:fldChar w:fldCharType="end"/>
      </w:r>
      <w:r>
        <w:rPr>
          <w:rtl/>
        </w:rPr>
        <w:t>.</w:t>
      </w:r>
    </w:p>
    <w:bookmarkStart w:id="1657" w:name="b3_note24"/>
    <w:p w14:paraId="19857DF3" w14:textId="5D315D98" w:rsidR="00AB3647" w:rsidRDefault="00000000" w:rsidP="007923E9">
      <w:pPr>
        <w:spacing w:before="120" w:after="100" w:line="276" w:lineRule="auto"/>
        <w:jc w:val="both"/>
      </w:pPr>
      <w:r>
        <w:fldChar w:fldCharType="begin" w:dirty="true"/>
      </w:r>
      <w:r>
        <w:instrText>HYPERLINK \l "b3_ref24"</w:instrText>
      </w:r>
      <w:r>
        <w:fldChar w:fldCharType="separate"/>
      </w:r>
      <w:r>
        <w:rPr>
          <w:b/>
          <w:bCs/>
          <w:rtl/>
        </w:rPr>
        <w:t>24</w:t>
      </w:r>
      <w:r>
        <w:rPr>
          <w:b/>
          <w:bCs/>
        </w:rPr>
        <w:fldChar w:fldCharType="end"/>
      </w:r>
      <w:bookmarkEnd w:id="1657"/>
      <w:r>
        <w:rPr>
          <w:rtl/>
        </w:rPr>
        <w:t xml:space="preserve"> ראה </w:t>
      </w:r>
      <w:r>
        <w:rPr>
          <w:rtl/>
        </w:rPr>
        <w:fldChar w:fldCharType="begin" w:dirty="true"/>
      </w:r>
      <w:r>
        <w:rPr>
          <w:rtl/>
        </w:rPr>
        <w:instrText xml:space="preserve"> REF b3_excD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ד</w:t>
      </w:r>
      <w:r>
        <w:rPr>
          <w:rtl/>
        </w:rPr>
        <w:fldChar w:fldCharType="end"/>
      </w:r>
      <w:r>
        <w:rPr>
          <w:rtl/>
        </w:rPr>
        <w:t>.</w:t>
      </w:r>
    </w:p>
    <w:bookmarkStart w:id="1658" w:name="b3_note25"/>
    <w:p w14:paraId="313D83C2" w14:textId="49E07C0A" w:rsidR="00AB3647" w:rsidRDefault="00000000" w:rsidP="007923E9">
      <w:pPr>
        <w:spacing w:before="120" w:after="100" w:line="276" w:lineRule="auto"/>
        <w:jc w:val="both"/>
      </w:pPr>
      <w:r>
        <w:fldChar w:fldCharType="begin" w:dirty="true"/>
      </w:r>
      <w:r>
        <w:instrText>HYPERLINK \l "b3_ref25"</w:instrText>
      </w:r>
      <w:r>
        <w:fldChar w:fldCharType="separate"/>
      </w:r>
      <w:r>
        <w:rPr>
          <w:b/>
          <w:bCs/>
          <w:rtl/>
        </w:rPr>
        <w:t>25</w:t>
      </w:r>
      <w:r>
        <w:rPr>
          <w:b/>
          <w:bCs/>
        </w:rPr>
        <w:fldChar w:fldCharType="end"/>
      </w:r>
      <w:bookmarkEnd w:id="1658"/>
      <w:r>
        <w:rPr>
          <w:rtl/>
        </w:rPr>
        <w:t xml:space="preserve"> ראה </w:t>
      </w:r>
      <w:r>
        <w:rPr>
          <w:rtl/>
        </w:rPr>
        <w:fldChar w:fldCharType="begin" w:dirty="true"/>
      </w:r>
      <w:r>
        <w:rPr>
          <w:rtl/>
        </w:rPr>
        <w:instrText xml:space="preserve"> REF b3_excE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ה</w:t>
      </w:r>
      <w:r>
        <w:rPr>
          <w:rtl/>
        </w:rPr>
        <w:fldChar w:fldCharType="end"/>
      </w:r>
      <w:r>
        <w:rPr>
          <w:rtl/>
        </w:rPr>
        <w:t>.</w:t>
      </w:r>
    </w:p>
    <w:p w14:paraId="1FF470F6" w14:textId="5053368E"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ר׳ </w:t>
      </w:r>
      <w:proofErr w:type="spellStart"/>
      <w:r>
        <w:rPr>
          <w:rtl/>
        </w:rPr>
        <w:t>נתן־צבי</w:t>
      </w:r>
      <w:proofErr w:type="spellEnd"/>
      <w:r>
        <w:rPr>
          <w:rtl/>
        </w:rPr>
        <w:t xml:space="preserve"> טען שבסכום הדרוש להחזקת אברך אחד אפשר להחזיק, ביתר תועלת, ארבעה בחורים. טענתו שכנעה את המנהלים הרשמיים, ובמשך זמן מה, בכל פעם שאברך סיים את תקופת לימודו, הוקצבה מלגתו לארבעה בחורים.</w:t>
      </w:r>
      <w:bookmarkStart w:id="1659" w:name="b3_ref26"/>
      <w:bookmarkEnd w:id="1659"/>
      <w:r>
        <w:rPr>
          <w:vertAlign w:val="superscript"/>
          <w:rtl/>
        </w:rPr>
        <w:fldChar w:fldCharType="begin" w:dirty="true"/>
      </w:r>
      <w:r>
        <w:rPr>
          <w:vertAlign w:val="superscript"/>
          <w:rtl/>
        </w:rPr>
        <w:instrText xml:space="preserve"> REF b3_note26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26</w:t>
      </w:r>
      <w:r>
        <w:rPr>
          <w:vertAlign w:val="superscript"/>
          <w:rtl/>
        </w:rPr>
        <w:fldChar w:fldCharType="end"/>
      </w:r>
      <w:r>
        <w:rPr>
          <w:rtl/>
        </w:rPr>
        <w:t xml:space="preserve"> עד תרמ״ב כבר נכללה במסגרת כולל קובנה ישיבה שפעלה במלואה בבית המדרש הישן בסלבודקה.</w:t>
      </w:r>
      <w:bookmarkStart w:id="1660" w:name="b3_ref27"/>
      <w:bookmarkEnd w:id="1660"/>
      <w:r>
        <w:rPr>
          <w:vertAlign w:val="superscript"/>
          <w:rtl/>
        </w:rPr>
        <w:fldChar w:fldCharType="begin" w:dirty="true"/>
      </w:r>
      <w:r>
        <w:rPr>
          <w:vertAlign w:val="superscript"/>
          <w:rtl/>
        </w:rPr>
        <w:instrText xml:space="preserve"> REF b3_note27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27</w:t>
      </w:r>
      <w:r>
        <w:rPr>
          <w:vertAlign w:val="superscript"/>
          <w:rtl/>
        </w:rPr>
        <w:fldChar w:fldCharType="end"/>
      </w:r>
      <w:r>
        <w:rPr>
          <w:rtl/>
        </w:rPr>
        <w:t xml:space="preserve"> כדי לקדם את התפתחותם בתורה של האברכים ושל הבחורים כאחד, הטיל הסבא </w:t>
      </w:r>
      <w:proofErr w:type="spellStart"/>
      <w:r>
        <w:rPr>
          <w:rtl/>
        </w:rPr>
        <w:t>מסלבודקה</w:t>
      </w:r>
      <w:proofErr w:type="spellEnd"/>
      <w:r>
        <w:rPr>
          <w:rtl/>
        </w:rPr>
        <w:t xml:space="preserve"> על כמה מחברי הכולל הנשואים למסור שיעורים בתורם.</w:t>
      </w:r>
      <w:bookmarkStart w:id="1661" w:name="b3_ref28"/>
      <w:bookmarkEnd w:id="1661"/>
      <w:r>
        <w:rPr>
          <w:vertAlign w:val="superscript"/>
          <w:rtl/>
        </w:rPr>
        <w:fldChar w:fldCharType="begin" w:dirty="true"/>
      </w:r>
      <w:r>
        <w:rPr>
          <w:vertAlign w:val="superscript"/>
          <w:rtl/>
        </w:rPr>
        <w:instrText xml:space="preserve"> REF b3_note28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28</w:t>
      </w:r>
      <w:r>
        <w:rPr>
          <w:vertAlign w:val="superscript"/>
          <w:rtl/>
        </w:rPr>
        <w:fldChar w:fldCharType="end"/>
      </w:r>
    </w:p>
    <w:bookmarkStart w:id="1662" w:name="b3_note26"/>
    <w:p w14:paraId="7F9E4BC7" w14:textId="5511E270" w:rsidR="00AB3647" w:rsidRDefault="00000000" w:rsidP="007923E9">
      <w:pPr>
        <w:spacing w:before="120" w:after="100" w:line="276" w:lineRule="auto"/>
        <w:jc w:val="both"/>
      </w:pPr>
      <w:r>
        <w:fldChar w:fldCharType="begin" w:dirty="true"/>
      </w:r>
      <w:r>
        <w:instrText>HYPERLINK \l "b3_ref26"</w:instrText>
      </w:r>
      <w:r>
        <w:fldChar w:fldCharType="separate"/>
      </w:r>
      <w:r>
        <w:rPr>
          <w:b/>
          <w:bCs/>
          <w:rtl/>
        </w:rPr>
        <w:t>26</w:t>
      </w:r>
      <w:r>
        <w:rPr>
          <w:b/>
          <w:bCs/>
        </w:rPr>
        <w:fldChar w:fldCharType="end"/>
      </w:r>
      <w:bookmarkEnd w:id="1662"/>
      <w:r>
        <w:rPr>
          <w:rtl/>
        </w:rPr>
        <w:t xml:space="preserve"> </w:t>
      </w:r>
      <w:bookmarkStart w:id="1663" w:name="_fnr1089"/>
      <w:r>
        <w:rPr>
          <w:rStyle w:val="a5"/>
        </w:rPr>
        <w:footnoteReference w:id="1092" w:customMarkFollows="0"/>
      </w:r>
      <w:bookmarkEnd w:id="1663"/>
      <w:r>
        <w:rPr>
          <w:rtl/>
        </w:rPr>
        <w:t>השווה גם פרק 4, סוף הפסקה השביעית ב</w:t>
      </w:r>
      <w:r>
        <w:rPr>
          <w:rtl/>
        </w:rPr>
        <w:fldChar w:fldCharType="begin" w:dirty="true"/>
      </w:r>
      <w:r>
        <w:rPr>
          <w:rtl/>
        </w:rPr>
        <w:instrText xml:space="preserve"> REF b4_excI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xml:space="preserve">, שלאחר שר׳ </w:t>
      </w:r>
      <w:proofErr w:type="spellStart"/>
      <w:r>
        <w:rPr>
          <w:rtl/>
        </w:rPr>
        <w:t>איצל׳ה</w:t>
      </w:r>
      <w:proofErr w:type="spellEnd"/>
      <w:r>
        <w:rPr>
          <w:rtl/>
        </w:rPr>
        <w:t xml:space="preserve"> לא הצליח להכניס את המוסר לישיבת </w:t>
      </w:r>
      <w:proofErr w:type="spellStart"/>
      <w:r>
        <w:rPr>
          <w:rtl/>
        </w:rPr>
        <w:t>וולוז׳ין</w:t>
      </w:r>
      <w:proofErr w:type="spellEnd"/>
      <w:r>
        <w:rPr>
          <w:rtl/>
        </w:rPr>
        <w:t xml:space="preserve">, ייתכן שחבר </w:t>
      </w:r>
      <w:proofErr w:type="spellStart"/>
      <w:r>
        <w:rPr>
          <w:rtl/>
        </w:rPr>
        <w:t>לר</w:t>
      </w:r>
      <w:proofErr w:type="spellEnd"/>
      <w:r>
        <w:rPr>
          <w:rtl/>
        </w:rPr>
        <w:t xml:space="preserve">׳ </w:t>
      </w:r>
      <w:proofErr w:type="spellStart"/>
      <w:r>
        <w:rPr>
          <w:rtl/>
        </w:rPr>
        <w:t>נתן־צבי</w:t>
      </w:r>
      <w:proofErr w:type="spellEnd"/>
      <w:r>
        <w:rPr>
          <w:rtl/>
        </w:rPr>
        <w:t xml:space="preserve"> כדי ליצור </w:t>
      </w:r>
      <w:proofErr w:type="spellStart"/>
      <w:r>
        <w:rPr>
          <w:rtl/>
        </w:rPr>
        <w:t>בסלבודקה</w:t>
      </w:r>
      <w:proofErr w:type="spellEnd"/>
      <w:r>
        <w:rPr>
          <w:rtl/>
        </w:rPr>
        <w:t xml:space="preserve"> ישיבת מוסר שתתחרה </w:t>
      </w:r>
      <w:proofErr w:type="spellStart"/>
      <w:r>
        <w:rPr>
          <w:rtl/>
        </w:rPr>
        <w:t>בוולוז׳ין</w:t>
      </w:r>
      <w:proofErr w:type="spellEnd"/>
      <w:r>
        <w:rPr>
          <w:rtl/>
        </w:rPr>
        <w:t xml:space="preserve">. בשיחה המוקלטת בבית הכנסת “בית ישראל” במיאמי </w:t>
      </w:r>
      <w:proofErr w:type="spellStart"/>
      <w:r>
        <w:rPr>
          <w:rtl/>
        </w:rPr>
        <w:t>ביץ</w:t>
      </w:r>
      <w:proofErr w:type="spellEnd"/>
      <w:r>
        <w:rPr>
          <w:rtl/>
        </w:rPr>
        <w:t>׳</w:t>
      </w:r>
      <w:bookmarkStart w:id="1664" w:name="_fnr1090"/>
      <w:r>
        <w:rPr>
          <w:rStyle w:val="a5"/>
        </w:rPr>
        <w:footnoteReference w:id="1093" w:customMarkFollows="0"/>
      </w:r>
      <w:bookmarkEnd w:id="1664"/>
      <w:r>
        <w:rPr>
          <w:rtl/>
        </w:rPr>
        <w:t xml:space="preserve"> הוסיף אבי: “היו כנראה 70 חברים בכולל קובנה כשטען הסבא </w:t>
      </w:r>
      <w:proofErr w:type="spellStart"/>
      <w:r>
        <w:rPr>
          <w:rtl/>
        </w:rPr>
        <w:t>מסלבודקה</w:t>
      </w:r>
      <w:proofErr w:type="spellEnd"/>
      <w:r>
        <w:rPr>
          <w:rtl/>
        </w:rPr>
        <w:t xml:space="preserve"> שכולל קובנה צריך להכשיר לא רק רבנים אלא גם ראשי ישיבה; ולשם כך הם צריכים ניסיון במסירת שיעורים לתלמידים. מיד כשעזבו שלושה אברכים ובמקומם באו 12 בחורים, התחילו שניים מחברי הכולל הנשואים </w:t>
      </w:r>
      <w:r>
        <w:rPr>
          <w:rtl/>
        </w:rPr>
        <w:lastRenderedPageBreak/>
        <w:t>לומר להם שיעורים”.</w:t>
      </w:r>
      <w:bookmarkStart w:id="1665" w:name="_fnr1091"/>
      <w:r>
        <w:rPr>
          <w:rStyle w:val="a5"/>
        </w:rPr>
        <w:footnoteReference w:id="1094" w:customMarkFollows="0"/>
      </w:r>
      <w:bookmarkEnd w:id="1665"/>
      <w:r>
        <w:rPr>
          <w:rtl/>
        </w:rPr>
        <w:t xml:space="preserve"> אבל השווה הערה </w:t>
      </w:r>
      <w:r>
        <w:rPr>
          <w:rtl/>
        </w:rPr>
        <w:fldChar w:fldCharType="begin" w:dirty="true"/>
      </w:r>
      <w:r>
        <w:rPr>
          <w:rtl/>
        </w:rPr>
        <w:instrText xml:space="preserve"> REF b3_note31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31</w:t>
      </w:r>
      <w:r>
        <w:rPr>
          <w:rtl/>
        </w:rPr>
        <w:fldChar w:fldCharType="end"/>
      </w:r>
      <w:r>
        <w:rPr>
          <w:rtl/>
        </w:rPr>
        <w:t xml:space="preserve"> להלן, שלפיה טענתו של הסבא </w:t>
      </w:r>
      <w:proofErr w:type="spellStart"/>
      <w:r>
        <w:rPr>
          <w:rtl/>
        </w:rPr>
        <w:t>מסלבודקה</w:t>
      </w:r>
      <w:proofErr w:type="spellEnd"/>
      <w:r>
        <w:rPr>
          <w:rtl/>
        </w:rPr>
        <w:t xml:space="preserve"> לא התקבלה במלואה, ונדרשה השתדלות אצל ר׳ </w:t>
      </w:r>
      <w:proofErr w:type="spellStart"/>
      <w:r>
        <w:rPr>
          <w:rtl/>
        </w:rPr>
        <w:t>יצחק־אלחנן</w:t>
      </w:r>
      <w:proofErr w:type="spellEnd"/>
      <w:r>
        <w:rPr>
          <w:rtl/>
        </w:rPr>
        <w:t xml:space="preserve"> כדי לאפשר תמיכה כספית בבחורים.</w:t>
      </w:r>
    </w:p>
    <w:p w14:paraId="76CE1D42" w14:textId="77777777" w:rsidR="00AB3647" w:rsidRDefault="00000000" w:rsidP="007923E9">
      <w:pPr>
        <w:spacing w:before="120" w:after="100" w:line="276" w:lineRule="auto"/>
        <w:jc w:val="both"/>
      </w:pPr>
      <w:r>
        <w:rPr>
          <w:rtl/>
        </w:rPr>
        <w:t>השווה גם “אכסניות”,</w:t>
      </w:r>
      <w:bookmarkStart w:id="1666" w:name="_fnr1092"/>
      <w:r>
        <w:rPr>
          <w:rStyle w:val="a5"/>
        </w:rPr>
        <w:footnoteReference w:id="1095" w:customMarkFollows="0"/>
      </w:r>
      <w:bookmarkEnd w:id="1666"/>
      <w:r>
        <w:rPr>
          <w:rtl/>
        </w:rPr>
        <w:t xml:space="preserve"> המכנה את ישיבת </w:t>
      </w:r>
      <w:proofErr w:type="spellStart"/>
      <w:r>
        <w:rPr>
          <w:rtl/>
        </w:rPr>
        <w:t>סלבודקה</w:t>
      </w:r>
      <w:proofErr w:type="spellEnd"/>
      <w:r>
        <w:rPr>
          <w:rtl/>
        </w:rPr>
        <w:t xml:space="preserve"> “ישיבת הפרושים </w:t>
      </w:r>
      <w:proofErr w:type="spellStart"/>
      <w:r>
        <w:rPr>
          <w:rtl/>
        </w:rPr>
        <w:t>בקאוונא</w:t>
      </w:r>
      <w:proofErr w:type="spellEnd"/>
      <w:r>
        <w:rPr>
          <w:rtl/>
        </w:rPr>
        <w:t xml:space="preserve">”. אחר כך, בביקורתו, הוא מעיר בצדק שהצירוף “ישיבה” </w:t>
      </w:r>
      <w:proofErr w:type="spellStart"/>
      <w:r>
        <w:rPr>
          <w:rtl/>
        </w:rPr>
        <w:t>ו“פרושים</w:t>
      </w:r>
      <w:proofErr w:type="spellEnd"/>
      <w:r>
        <w:rPr>
          <w:rtl/>
        </w:rPr>
        <w:t xml:space="preserve">” הוא תרתי דסתרי, ושמטרתו המקורית של הכולל סוכלה. הוא גם עקבי בכך שהוא מכנה את ר׳ </w:t>
      </w:r>
      <w:proofErr w:type="spellStart"/>
      <w:r>
        <w:rPr>
          <w:rtl/>
        </w:rPr>
        <w:t>איצל׳ה</w:t>
      </w:r>
      <w:proofErr w:type="spellEnd"/>
      <w:r>
        <w:rPr>
          <w:rtl/>
        </w:rPr>
        <w:t xml:space="preserve"> </w:t>
      </w:r>
      <w:proofErr w:type="spellStart"/>
      <w:r>
        <w:rPr>
          <w:rtl/>
        </w:rPr>
        <w:t>בלאזר</w:t>
      </w:r>
      <w:proofErr w:type="spellEnd"/>
      <w:r>
        <w:rPr>
          <w:rtl/>
        </w:rPr>
        <w:t xml:space="preserve"> ראש הישיבה של המוסד, ולא מנהל הכולל.</w:t>
      </w:r>
    </w:p>
    <w:bookmarkStart w:id="1667" w:name="b3_note27"/>
    <w:p w14:paraId="5C455281" w14:textId="2A28B8C8" w:rsidR="00AB3647" w:rsidRDefault="00000000" w:rsidP="007923E9">
      <w:pPr>
        <w:spacing w:before="120" w:after="100" w:line="276" w:lineRule="auto"/>
        <w:jc w:val="both"/>
      </w:pPr>
      <w:r>
        <w:fldChar w:fldCharType="begin" w:dirty="true"/>
      </w:r>
      <w:r>
        <w:instrText>HYPERLINK \l "b3_ref27"</w:instrText>
      </w:r>
      <w:r>
        <w:fldChar w:fldCharType="separate"/>
      </w:r>
      <w:r>
        <w:rPr>
          <w:b/>
          <w:bCs/>
          <w:rtl/>
        </w:rPr>
        <w:t>27</w:t>
      </w:r>
      <w:r>
        <w:rPr>
          <w:b/>
          <w:bCs/>
        </w:rPr>
        <w:fldChar w:fldCharType="end"/>
      </w:r>
      <w:bookmarkEnd w:id="1667"/>
      <w:r>
        <w:rPr>
          <w:rtl/>
        </w:rPr>
        <w:t xml:space="preserve"> ראה </w:t>
      </w:r>
      <w:r>
        <w:rPr>
          <w:rtl/>
        </w:rPr>
        <w:fldChar w:fldCharType="begin" w:dirty="true"/>
      </w:r>
      <w:r>
        <w:rPr>
          <w:rtl/>
        </w:rPr>
        <w:instrText xml:space="preserve"> REF b3_excF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ו</w:t>
      </w:r>
      <w:r>
        <w:rPr>
          <w:rtl/>
        </w:rPr>
        <w:fldChar w:fldCharType="end"/>
      </w:r>
      <w:r>
        <w:rPr>
          <w:rtl/>
        </w:rPr>
        <w:t>.</w:t>
      </w:r>
    </w:p>
    <w:bookmarkStart w:id="1668" w:name="b3_note28"/>
    <w:p w14:paraId="6A7AFD7F" w14:textId="77459F2E" w:rsidR="00AB3647" w:rsidRDefault="00000000" w:rsidP="007923E9">
      <w:pPr>
        <w:spacing w:before="120" w:after="100" w:line="276" w:lineRule="auto"/>
        <w:jc w:val="both"/>
      </w:pPr>
      <w:r>
        <w:fldChar w:fldCharType="begin" w:dirty="true"/>
      </w:r>
      <w:r>
        <w:instrText>HYPERLINK \l "b3_ref28"</w:instrText>
      </w:r>
      <w:r>
        <w:fldChar w:fldCharType="separate"/>
      </w:r>
      <w:r>
        <w:rPr>
          <w:b/>
          <w:bCs/>
          <w:rtl/>
        </w:rPr>
        <w:t>28</w:t>
      </w:r>
      <w:r>
        <w:rPr>
          <w:b/>
          <w:bCs/>
        </w:rPr>
        <w:fldChar w:fldCharType="end"/>
      </w:r>
      <w:bookmarkEnd w:id="1668"/>
      <w:r>
        <w:rPr>
          <w:rtl/>
        </w:rPr>
        <w:t xml:space="preserve"> ראה </w:t>
      </w:r>
      <w:r>
        <w:rPr>
          <w:rtl/>
        </w:rPr>
        <w:fldChar w:fldCharType="begin" w:dirty="true"/>
      </w:r>
      <w:r>
        <w:rPr>
          <w:rtl/>
        </w:rPr>
        <w:instrText xml:space="preserve"> REF b3_excG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ז</w:t>
      </w:r>
      <w:r>
        <w:rPr>
          <w:rtl/>
        </w:rPr>
        <w:fldChar w:fldCharType="end"/>
      </w:r>
      <w:r>
        <w:rPr>
          <w:rtl/>
        </w:rPr>
        <w:t>.</w:t>
      </w:r>
    </w:p>
    <w:p w14:paraId="0B5BDACA" w14:textId="625CE9E8"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בשנת תרמ״ט</w:t>
      </w:r>
      <w:bookmarkStart w:id="1669" w:name="b3_ref29"/>
      <w:bookmarkEnd w:id="1669"/>
      <w:r>
        <w:rPr>
          <w:vertAlign w:val="superscript"/>
          <w:rtl/>
        </w:rPr>
        <w:fldChar w:fldCharType="begin" w:dirty="true"/>
      </w:r>
      <w:r>
        <w:rPr>
          <w:vertAlign w:val="superscript"/>
          <w:rtl/>
        </w:rPr>
        <w:instrText xml:space="preserve"> REF b3_note29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29</w:t>
      </w:r>
      <w:r>
        <w:rPr>
          <w:vertAlign w:val="superscript"/>
          <w:rtl/>
        </w:rPr>
        <w:fldChar w:fldCharType="end"/>
      </w:r>
      <w:r>
        <w:rPr>
          <w:rtl/>
        </w:rPr>
        <w:t xml:space="preserve"> נתקבל</w:t>
      </w:r>
      <w:bookmarkStart w:id="1670" w:name="b3_ref30"/>
      <w:bookmarkEnd w:id="1670"/>
      <w:r>
        <w:rPr>
          <w:vertAlign w:val="superscript"/>
          <w:rtl/>
        </w:rPr>
        <w:fldChar w:fldCharType="begin" w:dirty="true"/>
      </w:r>
      <w:r>
        <w:rPr>
          <w:vertAlign w:val="superscript"/>
          <w:rtl/>
        </w:rPr>
        <w:instrText xml:space="preserve"> REF b3_note30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30</w:t>
      </w:r>
      <w:r>
        <w:rPr>
          <w:vertAlign w:val="superscript"/>
          <w:rtl/>
        </w:rPr>
        <w:fldChar w:fldCharType="end"/>
      </w:r>
      <w:r>
        <w:rPr>
          <w:rtl/>
        </w:rPr>
        <w:t xml:space="preserve"> ר׳ </w:t>
      </w:r>
      <w:proofErr w:type="spellStart"/>
      <w:r>
        <w:rPr>
          <w:rtl/>
        </w:rPr>
        <w:t>איצל׳ה</w:t>
      </w:r>
      <w:proofErr w:type="spellEnd"/>
      <w:r>
        <w:rPr>
          <w:rtl/>
        </w:rPr>
        <w:t xml:space="preserve"> </w:t>
      </w:r>
      <w:proofErr w:type="spellStart"/>
      <w:r>
        <w:rPr>
          <w:rtl/>
        </w:rPr>
        <w:t>רבינוביץ</w:t>
      </w:r>
      <w:proofErr w:type="spellEnd"/>
      <w:r>
        <w:rPr>
          <w:rtl/>
        </w:rPr>
        <w:t xml:space="preserve"> לראש הישיבה במשרה מלאה.</w:t>
      </w:r>
      <w:bookmarkStart w:id="1671" w:name="b3_ref31"/>
      <w:bookmarkEnd w:id="1671"/>
      <w:r>
        <w:rPr>
          <w:vertAlign w:val="superscript"/>
          <w:rtl/>
        </w:rPr>
        <w:fldChar w:fldCharType="begin" w:dirty="true"/>
      </w:r>
      <w:r>
        <w:rPr>
          <w:vertAlign w:val="superscript"/>
          <w:rtl/>
        </w:rPr>
        <w:instrText xml:space="preserve"> REF b3_note31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31</w:t>
      </w:r>
      <w:r>
        <w:rPr>
          <w:vertAlign w:val="superscript"/>
          <w:rtl/>
        </w:rPr>
        <w:fldChar w:fldCharType="end"/>
      </w:r>
      <w:r>
        <w:rPr>
          <w:rtl/>
        </w:rPr>
        <w:t xml:space="preserve"> כשעזב בשנת תרנ״ד כדי לכהן כרב בעיירה ליטאית בינונית בגודלה,</w:t>
      </w:r>
      <w:bookmarkStart w:id="1672" w:name="b3_ref32"/>
      <w:bookmarkEnd w:id="1672"/>
      <w:r>
        <w:rPr>
          <w:vertAlign w:val="superscript"/>
          <w:rtl/>
        </w:rPr>
        <w:fldChar w:fldCharType="begin" w:dirty="true"/>
      </w:r>
      <w:r>
        <w:rPr>
          <w:vertAlign w:val="superscript"/>
          <w:rtl/>
        </w:rPr>
        <w:instrText xml:space="preserve"> REF b3_note32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32</w:t>
      </w:r>
      <w:r>
        <w:rPr>
          <w:vertAlign w:val="superscript"/>
          <w:rtl/>
        </w:rPr>
        <w:fldChar w:fldCharType="end"/>
      </w:r>
      <w:r>
        <w:rPr>
          <w:rtl/>
        </w:rPr>
        <w:t xml:space="preserve"> הובאו במקומו כמגידי שיעור שני צעירים מן המצטיינים שבבוגרי ישיבת </w:t>
      </w:r>
      <w:proofErr w:type="spellStart"/>
      <w:r>
        <w:rPr>
          <w:rtl/>
        </w:rPr>
        <w:t>וולוז׳ין</w:t>
      </w:r>
      <w:proofErr w:type="spellEnd"/>
      <w:r>
        <w:rPr>
          <w:rtl/>
        </w:rPr>
        <w:t xml:space="preserve">, שנעשו בני קובנה בנישואיהם: ר׳ </w:t>
      </w:r>
      <w:proofErr w:type="spellStart"/>
      <w:r>
        <w:rPr>
          <w:rtl/>
        </w:rPr>
        <w:t>איסר־זלמן</w:t>
      </w:r>
      <w:proofErr w:type="spellEnd"/>
      <w:r>
        <w:rPr>
          <w:rtl/>
        </w:rPr>
        <w:t xml:space="preserve"> מלצר וגיסו המבוגר ממנו, ר׳ </w:t>
      </w:r>
      <w:proofErr w:type="spellStart"/>
      <w:r>
        <w:rPr>
          <w:rtl/>
        </w:rPr>
        <w:t>משה־מרדכי</w:t>
      </w:r>
      <w:proofErr w:type="spellEnd"/>
      <w:r>
        <w:rPr>
          <w:rtl/>
        </w:rPr>
        <w:t xml:space="preserve"> אפשטיין.</w:t>
      </w:r>
      <w:bookmarkStart w:id="1673" w:name="b3_ref33"/>
      <w:bookmarkEnd w:id="1673"/>
      <w:r>
        <w:rPr>
          <w:vertAlign w:val="superscript"/>
          <w:rtl/>
        </w:rPr>
        <w:fldChar w:fldCharType="begin" w:dirty="true"/>
      </w:r>
      <w:r>
        <w:rPr>
          <w:vertAlign w:val="superscript"/>
          <w:rtl/>
        </w:rPr>
        <w:instrText xml:space="preserve"> REF b3_note33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33</w:t>
      </w:r>
      <w:r>
        <w:rPr>
          <w:vertAlign w:val="superscript"/>
          <w:rtl/>
        </w:rPr>
        <w:fldChar w:fldCharType="end"/>
      </w:r>
    </w:p>
    <w:bookmarkStart w:id="1674" w:name="b3_note29"/>
    <w:p w14:paraId="5DE52F34" w14:textId="77777777" w:rsidR="00AB3647" w:rsidRDefault="00000000" w:rsidP="007923E9">
      <w:pPr>
        <w:spacing w:before="120" w:after="100" w:line="276" w:lineRule="auto"/>
        <w:jc w:val="both"/>
      </w:pPr>
      <w:r>
        <w:fldChar w:fldCharType="begin" w:dirty="true"/>
      </w:r>
      <w:r>
        <w:instrText>HYPERLINK \l "b3_ref29"</w:instrText>
      </w:r>
      <w:r>
        <w:fldChar w:fldCharType="separate"/>
      </w:r>
      <w:r>
        <w:rPr>
          <w:b/>
          <w:bCs/>
          <w:rtl/>
        </w:rPr>
        <w:t>29</w:t>
      </w:r>
      <w:r>
        <w:rPr>
          <w:b/>
          <w:bCs/>
        </w:rPr>
        <w:fldChar w:fldCharType="end"/>
      </w:r>
      <w:bookmarkEnd w:id="1674"/>
      <w:r>
        <w:rPr>
          <w:rtl/>
        </w:rPr>
        <w:t xml:space="preserve"> המעבר ממסירת שיעורים לבחורים בידי חברי הכולל למינוי ראש ישיבה משלהם היה צעד מרכזי בהפיכת הישיבה לעצמאית מן הכולל. מעניין ששנתיים קודם לכן ביקש הסבא את עצת </w:t>
      </w:r>
      <w:proofErr w:type="spellStart"/>
      <w:r>
        <w:rPr>
          <w:rtl/>
        </w:rPr>
        <w:t>החפץ־חיים</w:t>
      </w:r>
      <w:proofErr w:type="spellEnd"/>
      <w:r>
        <w:rPr>
          <w:rtl/>
        </w:rPr>
        <w:t xml:space="preserve"> בעניין “ייסוד ישיבה”.</w:t>
      </w:r>
      <w:bookmarkStart w:id="1675" w:name="_fnr1093"/>
      <w:r>
        <w:rPr>
          <w:rStyle w:val="a5"/>
        </w:rPr>
        <w:footnoteReference w:id="1096" w:customMarkFollows="0"/>
      </w:r>
      <w:bookmarkEnd w:id="1675"/>
    </w:p>
    <w:p w14:paraId="3C50C418" w14:textId="77777777" w:rsidR="00AB3647" w:rsidRDefault="00000000" w:rsidP="007923E9">
      <w:pPr>
        <w:spacing w:before="120" w:after="100" w:line="276" w:lineRule="auto"/>
        <w:jc w:val="both"/>
      </w:pPr>
      <w:r>
        <w:rPr>
          <w:rtl/>
        </w:rPr>
        <w:t xml:space="preserve">בן </w:t>
      </w:r>
      <w:proofErr w:type="spellStart"/>
      <w:r>
        <w:rPr>
          <w:rtl/>
        </w:rPr>
        <w:t>החפץ־חיים</w:t>
      </w:r>
      <w:proofErr w:type="spellEnd"/>
      <w:r>
        <w:rPr>
          <w:rtl/>
        </w:rPr>
        <w:t xml:space="preserve"> מספר: “בראשית תרמ״ז באתי לבית אבי לחג הסוכות, ומצאתי בבית אבי אורח, אדם בגיל העמידה שחזותו חזות בן תורה וירא שמים, ואבי שוחח עמו בדברי תורה ויראת שמים. הוא חגג עמנו את כל החג. אבל התנהגותו הייתה לי חידה סתומה, שכן הבחנתי [בתחילת החג] שאינו מדבר. אף שאבי דיבר עמו בענייני מוסר ואהבת תורה, היה רק מנענע בראשו לאות הסכמה, ומפיו לא יצאה מילה. חשבתי שזה עניין מקרי – </w:t>
      </w:r>
      <w:proofErr w:type="spellStart"/>
      <w:r>
        <w:rPr>
          <w:rtl/>
        </w:rPr>
        <w:t>פומא</w:t>
      </w:r>
      <w:proofErr w:type="spellEnd"/>
      <w:r>
        <w:rPr>
          <w:rtl/>
        </w:rPr>
        <w:t xml:space="preserve"> הוא </w:t>
      </w:r>
      <w:proofErr w:type="spellStart"/>
      <w:r>
        <w:rPr>
          <w:rtl/>
        </w:rPr>
        <w:t>דכאיב</w:t>
      </w:r>
      <w:proofErr w:type="spellEnd"/>
      <w:r>
        <w:rPr>
          <w:rtl/>
        </w:rPr>
        <w:t xml:space="preserve"> ליה</w:t>
      </w:r>
      <w:bookmarkStart w:id="1676" w:name="_fnr1094"/>
      <w:r>
        <w:rPr>
          <w:rStyle w:val="a5"/>
        </w:rPr>
        <w:footnoteReference w:id="1097" w:customMarkFollows="0"/>
      </w:r>
      <w:bookmarkEnd w:id="1676"/>
      <w:r>
        <w:rPr>
          <w:rtl/>
        </w:rPr>
        <w:t xml:space="preserve"> – ואכן, למחרת דיבר עם אבי ודן עמו בכל דבר. אבל ביום השלישי חדל שוב מלדבר. כך התחלף הדבר במשך כל החג. מכיוון שהייתי עדיין צעיר, לעגתי לו אחר כך בפני אבי, וחשבתי אותו למשוגע. אבל אבי מחה והסביר את הדבר במשל.</w:t>
      </w:r>
      <w:bookmarkStart w:id="1677" w:name="_fnr1095"/>
      <w:r>
        <w:rPr>
          <w:rStyle w:val="a5"/>
        </w:rPr>
        <w:footnoteReference w:id="1098" w:customMarkFollows="0"/>
      </w:r>
      <w:bookmarkEnd w:id="1677"/>
      <w:r>
        <w:rPr>
          <w:rtl/>
        </w:rPr>
        <w:t xml:space="preserve"> כעבור שנים נודע לי שהאיש בא לבקש את עצת אבי </w:t>
      </w:r>
      <w:r>
        <w:rPr>
          <w:b/>
          <w:bCs/>
          <w:rtl/>
        </w:rPr>
        <w:t>על ישיבה שרצה לייסד</w:t>
      </w:r>
      <w:r>
        <w:rPr>
          <w:rtl/>
        </w:rPr>
        <w:t xml:space="preserve"> (ההדגשה שלי); ואורחנו אכן ייסד לאחר מכן ישיבה גדולה ומפורסמת, והיה מנהלה. האיש היה אדם מפורסם, ירא ה׳ ופיקח בהוויות העולם. יהי זכרו לברכה, כי נפטר לפני שנים אחדות בארץ הקודש”.</w:t>
      </w:r>
    </w:p>
    <w:p w14:paraId="017F9D45" w14:textId="77777777" w:rsidR="00AB3647" w:rsidRDefault="00000000" w:rsidP="007923E9">
      <w:pPr>
        <w:spacing w:before="120" w:after="100" w:line="276" w:lineRule="auto"/>
        <w:jc w:val="both"/>
      </w:pPr>
      <w:r>
        <w:rPr>
          <w:rtl/>
        </w:rPr>
        <w:lastRenderedPageBreak/>
        <w:t xml:space="preserve">אין ספק שבן </w:t>
      </w:r>
      <w:proofErr w:type="spellStart"/>
      <w:r>
        <w:rPr>
          <w:rtl/>
        </w:rPr>
        <w:t>החפץ־חיים</w:t>
      </w:r>
      <w:proofErr w:type="spellEnd"/>
      <w:r>
        <w:rPr>
          <w:rtl/>
        </w:rPr>
        <w:t xml:space="preserve">, הכותב בראשית שנות </w:t>
      </w:r>
      <w:proofErr w:type="spellStart"/>
      <w:r>
        <w:rPr>
          <w:rtl/>
        </w:rPr>
        <w:t>הת״ר־צ</w:t>
      </w:r>
      <w:proofErr w:type="spellEnd"/>
      <w:r>
        <w:rPr>
          <w:rtl/>
        </w:rPr>
        <w:t xml:space="preserve">׳, מדבר על ר׳ </w:t>
      </w:r>
      <w:proofErr w:type="spellStart"/>
      <w:r>
        <w:rPr>
          <w:rtl/>
        </w:rPr>
        <w:t>נתן־צבי</w:t>
      </w:r>
      <w:proofErr w:type="spellEnd"/>
      <w:r>
        <w:rPr>
          <w:rtl/>
        </w:rPr>
        <w:t xml:space="preserve"> </w:t>
      </w:r>
      <w:proofErr w:type="spellStart"/>
      <w:r>
        <w:rPr>
          <w:rtl/>
        </w:rPr>
        <w:t>פינקל</w:t>
      </w:r>
      <w:proofErr w:type="spellEnd"/>
      <w:r>
        <w:rPr>
          <w:rtl/>
        </w:rPr>
        <w:t xml:space="preserve">. הזמן שבו אירע הדבר – כשהישיבה </w:t>
      </w:r>
      <w:proofErr w:type="spellStart"/>
      <w:r>
        <w:rPr>
          <w:rtl/>
        </w:rPr>
        <w:t>בסלבודקה</w:t>
      </w:r>
      <w:proofErr w:type="spellEnd"/>
      <w:r>
        <w:rPr>
          <w:rtl/>
        </w:rPr>
        <w:t xml:space="preserve"> כבר פעלה, אך עדיין לא היה לה ראש ישיבה משלה – מביא אותי לשער שהסבא </w:t>
      </w:r>
      <w:proofErr w:type="spellStart"/>
      <w:r>
        <w:rPr>
          <w:rtl/>
        </w:rPr>
        <w:t>מסלבודקה</w:t>
      </w:r>
      <w:proofErr w:type="spellEnd"/>
      <w:r>
        <w:rPr>
          <w:rtl/>
        </w:rPr>
        <w:t xml:space="preserve"> בא </w:t>
      </w:r>
      <w:proofErr w:type="spellStart"/>
      <w:r>
        <w:rPr>
          <w:rtl/>
        </w:rPr>
        <w:t>לראדין</w:t>
      </w:r>
      <w:proofErr w:type="spellEnd"/>
      <w:r>
        <w:rPr>
          <w:rtl/>
        </w:rPr>
        <w:t xml:space="preserve"> כדי לבקש את עצת </w:t>
      </w:r>
      <w:proofErr w:type="spellStart"/>
      <w:r>
        <w:rPr>
          <w:rtl/>
        </w:rPr>
        <w:t>החפץ־חיים</w:t>
      </w:r>
      <w:proofErr w:type="spellEnd"/>
      <w:r>
        <w:rPr>
          <w:rtl/>
        </w:rPr>
        <w:t xml:space="preserve">, אדם שהעריכו עד כדי כך שביקש ממנו לכתוב את ההקדמה </w:t>
      </w:r>
      <w:proofErr w:type="spellStart"/>
      <w:r>
        <w:rPr>
          <w:rtl/>
        </w:rPr>
        <w:t>ל“עץ</w:t>
      </w:r>
      <w:proofErr w:type="spellEnd"/>
      <w:r>
        <w:rPr>
          <w:rtl/>
        </w:rPr>
        <w:t xml:space="preserve"> פרי” שש שנים קודם לכן.</w:t>
      </w:r>
      <w:bookmarkStart w:id="1678" w:name="_fnr1096"/>
      <w:r>
        <w:rPr>
          <w:rStyle w:val="a5"/>
        </w:rPr>
        <w:footnoteReference w:id="1099" w:customMarkFollows="0"/>
      </w:r>
      <w:bookmarkEnd w:id="1678"/>
      <w:r>
        <w:rPr>
          <w:rtl/>
        </w:rPr>
        <w:t xml:space="preserve"> זאת אף </w:t>
      </w:r>
      <w:proofErr w:type="spellStart"/>
      <w:r>
        <w:rPr>
          <w:rtl/>
        </w:rPr>
        <w:t>שהחפץ־חיים</w:t>
      </w:r>
      <w:proofErr w:type="spellEnd"/>
      <w:r>
        <w:rPr>
          <w:rtl/>
        </w:rPr>
        <w:t xml:space="preserve"> לא היה קשור לכולל קובנה, כר׳ </w:t>
      </w:r>
      <w:proofErr w:type="spellStart"/>
      <w:r>
        <w:rPr>
          <w:rtl/>
        </w:rPr>
        <w:t>אלכסנדר־משה</w:t>
      </w:r>
      <w:proofErr w:type="spellEnd"/>
      <w:r>
        <w:rPr>
          <w:rtl/>
        </w:rPr>
        <w:t xml:space="preserve"> לפידות, שכתב את המאמר האחר שבחוברת. הסבא נזקק לעצה אם וכיצד להיפרד מכולל קובנה.</w:t>
      </w:r>
    </w:p>
    <w:p w14:paraId="17C11DA9" w14:textId="21865EB2" w:rsidR="00AB3647" w:rsidRDefault="00000000" w:rsidP="007923E9">
      <w:pPr>
        <w:spacing w:after="100" w:line="276" w:lineRule="auto"/>
        <w:ind w:firstLine="340"/>
        <w:jc w:val="both"/>
      </w:pPr>
      <w:r>
        <w:rPr>
          <w:rtl/>
        </w:rPr>
        <w:t xml:space="preserve">אין אנו יודעים בדיוק מה היו השיקולים בעד ונגד. אבל אפשר לשער שאחת הנקודות שעלו בשיחות הייתה שכל עוד נתמכה הישיבה מתקציב הכולל, היה צורך לשמור את התקציב בסוד – השווה סוף </w:t>
      </w:r>
      <w:r>
        <w:rPr>
          <w:rtl/>
        </w:rPr>
        <w:fldChar w:fldCharType="begin" w:dirty="true"/>
      </w:r>
      <w:r>
        <w:rPr>
          <w:rtl/>
        </w:rPr>
        <w:instrText xml:space="preserve"> REF b3_excL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יב</w:t>
      </w:r>
      <w:proofErr w:type="spellEnd"/>
      <w:r>
        <w:rPr>
          <w:rtl/>
        </w:rPr>
        <w:fldChar w:fldCharType="end"/>
      </w:r>
      <w:r>
        <w:rPr>
          <w:rtl/>
        </w:rPr>
        <w:t xml:space="preserve"> להלן – והכולל עלול היה להיפגע מכך (ואכן כך נפגע בשנתיים שלאחר מכן, מן ההתקפות בעיתונות המשכילית שטענה שפנקסיו אינם מנוהלים כראוי); ולפיכך אולי כדאי להכין את הקרקע לעצמאותה הכלכלית של הישיבה בעתיד.</w:t>
      </w:r>
    </w:p>
    <w:p w14:paraId="669B9BB5" w14:textId="3AEB9E58" w:rsidR="00AB3647" w:rsidRDefault="00000000" w:rsidP="007923E9">
      <w:pPr>
        <w:spacing w:after="100" w:line="276" w:lineRule="auto"/>
        <w:ind w:firstLine="340"/>
        <w:jc w:val="both"/>
      </w:pPr>
      <w:r>
        <w:rPr>
          <w:rtl/>
        </w:rPr>
        <w:t xml:space="preserve">אין אנו יודעים גם מה יעץ </w:t>
      </w:r>
      <w:proofErr w:type="spellStart"/>
      <w:r>
        <w:rPr>
          <w:rtl/>
        </w:rPr>
        <w:t>החפץ־חיים</w:t>
      </w:r>
      <w:proofErr w:type="spellEnd"/>
      <w:r>
        <w:rPr>
          <w:rtl/>
        </w:rPr>
        <w:t xml:space="preserve"> לסבא </w:t>
      </w:r>
      <w:proofErr w:type="spellStart"/>
      <w:r>
        <w:rPr>
          <w:rtl/>
        </w:rPr>
        <w:t>מסלבודקה</w:t>
      </w:r>
      <w:proofErr w:type="spellEnd"/>
      <w:r>
        <w:rPr>
          <w:rtl/>
        </w:rPr>
        <w:t>, מלבד ההשערה המוצעת בתחילת נספח ח. כעבור עשר שנים נעשתה ישיבתו של הסבא לישיבת כנסת ישראל – לא רק עצמאית מבחינה ארגונית מהנהלת הכולל,</w:t>
      </w:r>
      <w:bookmarkStart w:id="1679" w:name="_fnr1097"/>
      <w:r>
        <w:rPr>
          <w:rStyle w:val="a5"/>
        </w:rPr>
        <w:footnoteReference w:id="1100" w:customMarkFollows="0"/>
      </w:r>
      <w:bookmarkEnd w:id="1679"/>
      <w:r>
        <w:rPr>
          <w:rtl/>
        </w:rPr>
        <w:t xml:space="preserve"> אלא אף מצויה בעימות עם עמדתה המתנגדת למוסר באותה עת. </w:t>
      </w:r>
      <w:proofErr w:type="spellStart"/>
      <w:r>
        <w:rPr>
          <w:rtl/>
        </w:rPr>
        <w:t>החפץ־חיים</w:t>
      </w:r>
      <w:proofErr w:type="spellEnd"/>
      <w:r>
        <w:rPr>
          <w:rtl/>
        </w:rPr>
        <w:t xml:space="preserve"> נתן לה אז תמיכה חומרית ראשונית יוצאת דופן, כמסופר בהערה </w:t>
      </w:r>
      <w:r>
        <w:rPr>
          <w:rtl/>
        </w:rPr>
        <w:fldChar w:fldCharType="begin" w:dirty="true"/>
      </w:r>
      <w:r>
        <w:rPr>
          <w:rtl/>
        </w:rPr>
        <w:instrText xml:space="preserve"> REF b3_note43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43</w:t>
      </w:r>
      <w:r>
        <w:rPr>
          <w:rtl/>
        </w:rPr>
        <w:fldChar w:fldCharType="end"/>
      </w:r>
      <w:r>
        <w:rPr>
          <w:rtl/>
        </w:rPr>
        <w:t xml:space="preserve"> להלן. אני מציע שעשה זאת מפני שחש שעצתו המכוננת, בחג הסוכות תרמ״ז, היא שהביאה לקושי שהסבא הסתבך בו. מאותו טעם, “במשך שנים רבות, במקומות שבהם היה (</w:t>
      </w:r>
      <w:proofErr w:type="spellStart"/>
      <w:r>
        <w:rPr>
          <w:rtl/>
        </w:rPr>
        <w:t>החפץ־חיים</w:t>
      </w:r>
      <w:proofErr w:type="spellEnd"/>
      <w:r>
        <w:rPr>
          <w:rtl/>
        </w:rPr>
        <w:t xml:space="preserve">) עורך מגבית למען ישיבתו שלו, היה אוסף עם סיום המגבית כספים גם למען ישיבת </w:t>
      </w:r>
      <w:proofErr w:type="spellStart"/>
      <w:r>
        <w:rPr>
          <w:rtl/>
        </w:rPr>
        <w:t>סלבודקה</w:t>
      </w:r>
      <w:proofErr w:type="spellEnd"/>
      <w:r>
        <w:rPr>
          <w:rtl/>
        </w:rPr>
        <w:t xml:space="preserve"> (של הסבא)”.</w:t>
      </w:r>
      <w:bookmarkStart w:id="1680" w:name="_fnr1098"/>
      <w:r>
        <w:rPr>
          <w:rStyle w:val="a5"/>
        </w:rPr>
        <w:footnoteReference w:id="1101" w:customMarkFollows="0"/>
      </w:r>
      <w:bookmarkEnd w:id="1680"/>
    </w:p>
    <w:p w14:paraId="7AB166C0" w14:textId="7C265AF9" w:rsidR="00AB3647" w:rsidRDefault="00000000" w:rsidP="007923E9">
      <w:pPr>
        <w:spacing w:after="100" w:line="276" w:lineRule="auto"/>
        <w:ind w:firstLine="340"/>
        <w:jc w:val="both"/>
      </w:pPr>
      <w:r>
        <w:rPr>
          <w:rtl/>
        </w:rPr>
        <w:t xml:space="preserve">תמיכת </w:t>
      </w:r>
      <w:proofErr w:type="spellStart"/>
      <w:r>
        <w:rPr>
          <w:rtl/>
        </w:rPr>
        <w:t>החפץ־חיים</w:t>
      </w:r>
      <w:proofErr w:type="spellEnd"/>
      <w:r>
        <w:rPr>
          <w:rtl/>
        </w:rPr>
        <w:t xml:space="preserve"> בישיבת המוסר החדשה ראויה לציון עוד יותר לנוכח הסתייגותו העקרונית מדרך המוסר, כפי שמוצע ב</w:t>
      </w:r>
      <w:r>
        <w:rPr>
          <w:rtl/>
        </w:rPr>
        <w:fldChar w:fldCharType="begin" w:dirty="true"/>
      </w:r>
      <w:r>
        <w:rPr>
          <w:rtl/>
        </w:rPr>
        <w:instrText xml:space="preserve"> REF b3_excU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כא</w:t>
      </w:r>
      <w:proofErr w:type="spellEnd"/>
      <w:r>
        <w:rPr>
          <w:rtl/>
        </w:rPr>
        <w:fldChar w:fldCharType="end"/>
      </w:r>
      <w:r>
        <w:rPr>
          <w:rtl/>
        </w:rPr>
        <w:t xml:space="preserve"> להלן. ודאי חש מחויב לסייע לסבא מתוך חוב אישי.</w:t>
      </w:r>
    </w:p>
    <w:p w14:paraId="02BFBCCE" w14:textId="77777777" w:rsidR="00AB3647" w:rsidRDefault="00000000" w:rsidP="007923E9">
      <w:pPr>
        <w:spacing w:after="100" w:line="276" w:lineRule="auto"/>
        <w:ind w:firstLine="340"/>
        <w:jc w:val="both"/>
      </w:pPr>
      <w:r>
        <w:rPr>
          <w:rtl/>
        </w:rPr>
        <w:t xml:space="preserve">גם התנהגות הסבא בביקורו </w:t>
      </w:r>
      <w:proofErr w:type="spellStart"/>
      <w:r>
        <w:rPr>
          <w:rtl/>
        </w:rPr>
        <w:t>בראדין</w:t>
      </w:r>
      <w:proofErr w:type="spellEnd"/>
      <w:r>
        <w:rPr>
          <w:rtl/>
        </w:rPr>
        <w:t xml:space="preserve"> בשנת תרמ״ז – לדבר יום אחד ולשתוק למחרת – אינה מתאימה לדמות שאנו מכירים כעבור </w:t>
      </w:r>
      <w:proofErr w:type="spellStart"/>
      <w:r>
        <w:rPr>
          <w:rtl/>
        </w:rPr>
        <w:t>חמש־עשרה</w:t>
      </w:r>
      <w:proofErr w:type="spellEnd"/>
      <w:r>
        <w:rPr>
          <w:rtl/>
        </w:rPr>
        <w:t xml:space="preserve"> שנה, ולדמותו ההיסטורית. אבל כמו שנאמר בפסקאות השנייה והשלישית מסוף סעיף זה, שיטת המוסר של הסבא השתנתה שינוי מרחיק לכת</w:t>
      </w:r>
      <w:bookmarkStart w:id="1681" w:name="_fnr1099"/>
      <w:r>
        <w:rPr>
          <w:rStyle w:val="a5"/>
        </w:rPr>
        <w:footnoteReference w:id="1102" w:customMarkFollows="0"/>
      </w:r>
      <w:bookmarkEnd w:id="1681"/>
      <w:r>
        <w:rPr>
          <w:rtl/>
        </w:rPr>
        <w:t xml:space="preserve"> במשך השנים. מאותו טעם ייתכן גם </w:t>
      </w:r>
      <w:proofErr w:type="spellStart"/>
      <w:r>
        <w:rPr>
          <w:rtl/>
        </w:rPr>
        <w:t>ש“הסתייגותו</w:t>
      </w:r>
      <w:proofErr w:type="spellEnd"/>
      <w:r>
        <w:rPr>
          <w:rtl/>
        </w:rPr>
        <w:t xml:space="preserve"> העקרונית מדרך המוסר” של </w:t>
      </w:r>
      <w:proofErr w:type="spellStart"/>
      <w:r>
        <w:rPr>
          <w:rtl/>
        </w:rPr>
        <w:t>החפץ־חיים</w:t>
      </w:r>
      <w:proofErr w:type="spellEnd"/>
      <w:r>
        <w:rPr>
          <w:rtl/>
        </w:rPr>
        <w:t>, שנזכרה לעיל, לא נגעה לדרך שבה נהגו במוסר בתקופה המוקדמת. ייתכן שתמך בישיבתו החדשה של הסבא גם מפני שהסכים למטרותיה בתחום המוסר, ואם כן, המניע לתמיכתו יוצאת הדופן בישיבה החדשה עשוי היה להיות רעיוני ולא אישי.</w:t>
      </w:r>
    </w:p>
    <w:p w14:paraId="10BAD16D" w14:textId="667D0DD2" w:rsidR="00AB3647" w:rsidRDefault="00000000" w:rsidP="007923E9">
      <w:pPr>
        <w:spacing w:after="100" w:line="276" w:lineRule="auto"/>
        <w:ind w:firstLine="340"/>
        <w:jc w:val="both"/>
      </w:pPr>
      <w:proofErr w:type="spellStart"/>
      <w:r>
        <w:rPr>
          <w:rtl/>
        </w:rPr>
        <w:t>כשסלבודקה</w:t>
      </w:r>
      <w:proofErr w:type="spellEnd"/>
      <w:r>
        <w:rPr>
          <w:rtl/>
        </w:rPr>
        <w:t xml:space="preserve"> כבר הייתה מבוססת היטב, </w:t>
      </w:r>
      <w:proofErr w:type="spellStart"/>
      <w:r>
        <w:rPr>
          <w:rtl/>
        </w:rPr>
        <w:t>נזדמנה</w:t>
      </w:r>
      <w:proofErr w:type="spellEnd"/>
      <w:r>
        <w:rPr>
          <w:rtl/>
        </w:rPr>
        <w:t xml:space="preserve"> לסבא אפשרות להשיב </w:t>
      </w:r>
      <w:proofErr w:type="spellStart"/>
      <w:r>
        <w:rPr>
          <w:rtl/>
        </w:rPr>
        <w:t>לחפץ־חיים</w:t>
      </w:r>
      <w:proofErr w:type="spellEnd"/>
      <w:r>
        <w:rPr>
          <w:rtl/>
        </w:rPr>
        <w:t xml:space="preserve"> על עזרתו. הוא הושיט לישיבתו </w:t>
      </w:r>
      <w:proofErr w:type="spellStart"/>
      <w:r>
        <w:rPr>
          <w:rtl/>
        </w:rPr>
        <w:t>בראדין</w:t>
      </w:r>
      <w:proofErr w:type="spellEnd"/>
      <w:r>
        <w:rPr>
          <w:rtl/>
        </w:rPr>
        <w:t xml:space="preserve"> עזרה רוחנית, ולא חומרית: השווה סוף </w:t>
      </w:r>
      <w:r>
        <w:rPr>
          <w:rtl/>
        </w:rPr>
        <w:fldChar w:fldCharType="begin" w:dirty="true"/>
      </w:r>
      <w:r>
        <w:rPr>
          <w:rtl/>
        </w:rPr>
        <w:instrText xml:space="preserve"> REF b3_excC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ג</w:t>
      </w:r>
      <w:r>
        <w:rPr>
          <w:rtl/>
        </w:rPr>
        <w:fldChar w:fldCharType="end"/>
      </w:r>
      <w:r>
        <w:rPr>
          <w:rtl/>
        </w:rPr>
        <w:t xml:space="preserve"> להלן, </w:t>
      </w:r>
      <w:r>
        <w:rPr>
          <w:rtl/>
        </w:rPr>
        <w:lastRenderedPageBreak/>
        <w:t xml:space="preserve">שהסבא שלח את אחד מגדולי מגידי השיעור שבדור, ר׳ נפתלי </w:t>
      </w:r>
      <w:proofErr w:type="spellStart"/>
      <w:r>
        <w:rPr>
          <w:rtl/>
        </w:rPr>
        <w:t>טרופ</w:t>
      </w:r>
      <w:proofErr w:type="spellEnd"/>
      <w:r>
        <w:rPr>
          <w:rtl/>
        </w:rPr>
        <w:t>, להיות ראש הישיבה שלה.</w:t>
      </w:r>
    </w:p>
    <w:bookmarkStart w:id="1682" w:name="b3_note30"/>
    <w:p w14:paraId="6A010AFA" w14:textId="66882BCB" w:rsidR="00AB3647" w:rsidRDefault="00000000" w:rsidP="007923E9">
      <w:pPr>
        <w:spacing w:before="120" w:after="100" w:line="276" w:lineRule="auto"/>
        <w:jc w:val="both"/>
      </w:pPr>
      <w:r>
        <w:fldChar w:fldCharType="begin" w:dirty="true"/>
      </w:r>
      <w:r>
        <w:instrText>HYPERLINK \l "b3_ref30"</w:instrText>
      </w:r>
      <w:r>
        <w:fldChar w:fldCharType="separate"/>
      </w:r>
      <w:r>
        <w:rPr>
          <w:b/>
          <w:bCs/>
          <w:rtl/>
        </w:rPr>
        <w:t>30</w:t>
      </w:r>
      <w:r>
        <w:rPr>
          <w:b/>
          <w:bCs/>
        </w:rPr>
        <w:fldChar w:fldCharType="end"/>
      </w:r>
      <w:bookmarkEnd w:id="1682"/>
      <w:r>
        <w:rPr>
          <w:rtl/>
        </w:rPr>
        <w:t xml:space="preserve"> ראה </w:t>
      </w:r>
      <w:r>
        <w:rPr>
          <w:rtl/>
        </w:rPr>
        <w:fldChar w:fldCharType="begin" w:dirty="true"/>
      </w:r>
      <w:r>
        <w:rPr>
          <w:rtl/>
        </w:rPr>
        <w:instrText xml:space="preserve"> REF b3_excH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ח</w:t>
      </w:r>
      <w:r>
        <w:rPr>
          <w:rtl/>
        </w:rPr>
        <w:fldChar w:fldCharType="end"/>
      </w:r>
      <w:r>
        <w:rPr>
          <w:rtl/>
        </w:rPr>
        <w:t>.</w:t>
      </w:r>
    </w:p>
    <w:bookmarkStart w:id="1683" w:name="b3_note31"/>
    <w:p w14:paraId="450F1B7F" w14:textId="77777777" w:rsidR="00AB3647" w:rsidRDefault="00000000" w:rsidP="007923E9">
      <w:pPr>
        <w:spacing w:before="120" w:after="100" w:line="276" w:lineRule="auto"/>
        <w:jc w:val="both"/>
      </w:pPr>
      <w:r>
        <w:fldChar w:fldCharType="begin" w:dirty="true"/>
      </w:r>
      <w:r>
        <w:instrText>HYPERLINK \l "b3_ref31"</w:instrText>
      </w:r>
      <w:r>
        <w:fldChar w:fldCharType="separate"/>
      </w:r>
      <w:r>
        <w:rPr>
          <w:b/>
          <w:bCs/>
          <w:rtl/>
        </w:rPr>
        <w:t>31</w:t>
      </w:r>
      <w:r>
        <w:rPr>
          <w:b/>
          <w:bCs/>
        </w:rPr>
        <w:fldChar w:fldCharType="end"/>
      </w:r>
      <w:bookmarkEnd w:id="1683"/>
      <w:r>
        <w:rPr>
          <w:rtl/>
        </w:rPr>
        <w:t xml:space="preserve"> יומנו של </w:t>
      </w:r>
      <w:proofErr w:type="spellStart"/>
      <w:r>
        <w:rPr>
          <w:rtl/>
        </w:rPr>
        <w:t>האדר״ת</w:t>
      </w:r>
      <w:proofErr w:type="spellEnd"/>
      <w:r>
        <w:rPr>
          <w:rtl/>
        </w:rPr>
        <w:t>, “סדר אליהו”,</w:t>
      </w:r>
      <w:bookmarkStart w:id="1684" w:name="_fnr1100"/>
      <w:r>
        <w:rPr>
          <w:rStyle w:val="a5"/>
        </w:rPr>
        <w:footnoteReference w:id="1103" w:customMarkFollows="0"/>
      </w:r>
      <w:bookmarkEnd w:id="1684"/>
      <w:r>
        <w:rPr>
          <w:rtl/>
        </w:rPr>
        <w:t xml:space="preserve"> מספר שהרבנים שהשתתפו באספה בקובנה באביב תרנ״ג פנו </w:t>
      </w:r>
      <w:proofErr w:type="spellStart"/>
      <w:r>
        <w:rPr>
          <w:rtl/>
        </w:rPr>
        <w:t>לר</w:t>
      </w:r>
      <w:proofErr w:type="spellEnd"/>
      <w:r>
        <w:rPr>
          <w:rtl/>
        </w:rPr>
        <w:t xml:space="preserve">׳ </w:t>
      </w:r>
      <w:proofErr w:type="spellStart"/>
      <w:r>
        <w:rPr>
          <w:rtl/>
        </w:rPr>
        <w:t>יצחק־אלחנן</w:t>
      </w:r>
      <w:proofErr w:type="spellEnd"/>
      <w:r>
        <w:rPr>
          <w:rtl/>
        </w:rPr>
        <w:t xml:space="preserve"> </w:t>
      </w:r>
      <w:proofErr w:type="spellStart"/>
      <w:r>
        <w:rPr>
          <w:rtl/>
        </w:rPr>
        <w:t>ספקטור</w:t>
      </w:r>
      <w:proofErr w:type="spellEnd"/>
      <w:r>
        <w:rPr>
          <w:rtl/>
        </w:rPr>
        <w:t xml:space="preserve"> “לבקשת ר׳ </w:t>
      </w:r>
      <w:proofErr w:type="spellStart"/>
      <w:r>
        <w:rPr>
          <w:rtl/>
        </w:rPr>
        <w:t>איצל׳ה</w:t>
      </w:r>
      <w:proofErr w:type="spellEnd"/>
      <w:r>
        <w:rPr>
          <w:rtl/>
        </w:rPr>
        <w:t xml:space="preserve"> </w:t>
      </w:r>
      <w:proofErr w:type="spellStart"/>
      <w:r>
        <w:rPr>
          <w:rtl/>
        </w:rPr>
        <w:t>בלאזר</w:t>
      </w:r>
      <w:proofErr w:type="spellEnd"/>
      <w:r>
        <w:rPr>
          <w:rtl/>
        </w:rPr>
        <w:t xml:space="preserve"> ור׳ </w:t>
      </w:r>
      <w:proofErr w:type="spellStart"/>
      <w:r>
        <w:rPr>
          <w:rtl/>
        </w:rPr>
        <w:t>איצל׳ה</w:t>
      </w:r>
      <w:proofErr w:type="spellEnd"/>
      <w:r>
        <w:rPr>
          <w:rtl/>
        </w:rPr>
        <w:t xml:space="preserve"> </w:t>
      </w:r>
      <w:proofErr w:type="spellStart"/>
      <w:r>
        <w:rPr>
          <w:rtl/>
        </w:rPr>
        <w:t>רבינוביץ</w:t>
      </w:r>
      <w:proofErr w:type="spellEnd"/>
      <w:r>
        <w:rPr>
          <w:rtl/>
        </w:rPr>
        <w:t xml:space="preserve"> (</w:t>
      </w:r>
      <w:proofErr w:type="spellStart"/>
      <w:r>
        <w:rPr>
          <w:rtl/>
        </w:rPr>
        <w:t>פוניבז׳ער</w:t>
      </w:r>
      <w:proofErr w:type="spellEnd"/>
      <w:r>
        <w:rPr>
          <w:rtl/>
        </w:rPr>
        <w:t xml:space="preserve">)”, כדי לבקש </w:t>
      </w:r>
      <w:proofErr w:type="spellStart"/>
      <w:r>
        <w:rPr>
          <w:rtl/>
        </w:rPr>
        <w:t>ש“מן</w:t>
      </w:r>
      <w:proofErr w:type="spellEnd"/>
      <w:r>
        <w:rPr>
          <w:rtl/>
        </w:rPr>
        <w:t xml:space="preserve"> הסכום הגדול הנאסף לתמיכת האברכים בכולל קובנה, ייתן מעט גם לתמיכת הבחורים בישיבת </w:t>
      </w:r>
      <w:proofErr w:type="spellStart"/>
      <w:r>
        <w:rPr>
          <w:rtl/>
        </w:rPr>
        <w:t>סלבודקה</w:t>
      </w:r>
      <w:proofErr w:type="spellEnd"/>
      <w:r>
        <w:rPr>
          <w:rtl/>
        </w:rPr>
        <w:t>, שמספרם [היה] יותר מ־150”.</w:t>
      </w:r>
      <w:bookmarkStart w:id="1685" w:name="_fnr1101"/>
      <w:bookmarkStart w:id="1686" w:name="pr_f_1020"/>
      <w:r>
        <w:rPr>
          <w:rStyle w:val="a5"/>
        </w:rPr>
        <w:footnoteReference w:id="1104" w:customMarkFollows="0"/>
      </w:r>
      <w:bookmarkEnd w:id="1685"/>
      <w:bookmarkEnd w:id="1686"/>
    </w:p>
    <w:bookmarkStart w:id="1687" w:name="b3_note32"/>
    <w:p w14:paraId="6F9EA895" w14:textId="11050A47" w:rsidR="00AB3647" w:rsidRDefault="00000000" w:rsidP="007923E9">
      <w:pPr>
        <w:spacing w:before="120" w:after="100" w:line="276" w:lineRule="auto"/>
        <w:jc w:val="both"/>
      </w:pPr>
      <w:r>
        <w:fldChar w:fldCharType="begin" w:dirty="true"/>
      </w:r>
      <w:r>
        <w:instrText>HYPERLINK \l "b3_ref32"</w:instrText>
      </w:r>
      <w:r>
        <w:fldChar w:fldCharType="separate"/>
      </w:r>
      <w:r>
        <w:rPr>
          <w:b/>
          <w:bCs/>
          <w:rtl/>
        </w:rPr>
        <w:t>32</w:t>
      </w:r>
      <w:r>
        <w:rPr>
          <w:b/>
          <w:bCs/>
        </w:rPr>
        <w:fldChar w:fldCharType="end"/>
      </w:r>
      <w:bookmarkEnd w:id="1687"/>
      <w:r>
        <w:rPr>
          <w:rtl/>
        </w:rPr>
        <w:t xml:space="preserve"> ראה </w:t>
      </w:r>
      <w:r>
        <w:rPr>
          <w:rtl/>
        </w:rPr>
        <w:fldChar w:fldCharType="begin" w:dirty="true"/>
      </w:r>
      <w:r>
        <w:rPr>
          <w:rtl/>
        </w:rPr>
        <w:instrText xml:space="preserve"> REF b3_excI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w:t>
      </w:r>
    </w:p>
    <w:bookmarkStart w:id="1688" w:name="b3_note33"/>
    <w:p w14:paraId="34B646FA" w14:textId="0967FF1E" w:rsidR="00AB3647" w:rsidRDefault="00000000" w:rsidP="007923E9">
      <w:pPr>
        <w:spacing w:before="120" w:after="100" w:line="276" w:lineRule="auto"/>
        <w:jc w:val="both"/>
      </w:pPr>
      <w:r>
        <w:fldChar w:fldCharType="begin" w:dirty="true"/>
      </w:r>
      <w:r>
        <w:instrText>HYPERLINK \l "b3_ref33"</w:instrText>
      </w:r>
      <w:r>
        <w:fldChar w:fldCharType="separate"/>
      </w:r>
      <w:r>
        <w:rPr>
          <w:b/>
          <w:bCs/>
          <w:rtl/>
        </w:rPr>
        <w:t>33</w:t>
      </w:r>
      <w:r>
        <w:rPr>
          <w:b/>
          <w:bCs/>
        </w:rPr>
        <w:fldChar w:fldCharType="end"/>
      </w:r>
      <w:bookmarkEnd w:id="1688"/>
      <w:r>
        <w:rPr>
          <w:rtl/>
        </w:rPr>
        <w:t xml:space="preserve"> ראה </w:t>
      </w:r>
      <w:r>
        <w:rPr>
          <w:rtl/>
        </w:rPr>
        <w:fldChar w:fldCharType="begin" w:dirty="true"/>
      </w:r>
      <w:r>
        <w:rPr>
          <w:rtl/>
        </w:rPr>
        <w:instrText xml:space="preserve"> REF b3_excJ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w:t>
      </w:r>
      <w:r>
        <w:rPr>
          <w:rtl/>
        </w:rPr>
        <w:fldChar w:fldCharType="end"/>
      </w:r>
      <w:r>
        <w:rPr>
          <w:rtl/>
        </w:rPr>
        <w:t>.</w:t>
      </w:r>
    </w:p>
    <w:p w14:paraId="4FCDBF8F" w14:textId="75B2D3A6"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אבל שלוותה של הישיבה, שגדלה במהירות, הופרה בתגובה לקנאותם של ר׳ </w:t>
      </w:r>
      <w:proofErr w:type="spellStart"/>
      <w:r>
        <w:rPr>
          <w:rtl/>
        </w:rPr>
        <w:t>איצל׳ה</w:t>
      </w:r>
      <w:proofErr w:type="spellEnd"/>
      <w:r>
        <w:rPr>
          <w:rtl/>
        </w:rPr>
        <w:t xml:space="preserve"> </w:t>
      </w:r>
      <w:proofErr w:type="spellStart"/>
      <w:r>
        <w:rPr>
          <w:rtl/>
        </w:rPr>
        <w:t>בלאזר</w:t>
      </w:r>
      <w:proofErr w:type="spellEnd"/>
      <w:r>
        <w:rPr>
          <w:rtl/>
        </w:rPr>
        <w:t xml:space="preserve"> והסבא </w:t>
      </w:r>
      <w:proofErr w:type="spellStart"/>
      <w:r>
        <w:rPr>
          <w:rtl/>
        </w:rPr>
        <w:t>מסלבודקה</w:t>
      </w:r>
      <w:proofErr w:type="spellEnd"/>
      <w:r>
        <w:rPr>
          <w:rtl/>
        </w:rPr>
        <w:t xml:space="preserve"> לשמירת לימוד המוסר כמרכיב חשוב בתוכנית הלימודים של הישיבה. בתחילה נשארו הקשיים בתוך חוג התלמידים.</w:t>
      </w:r>
      <w:bookmarkStart w:id="1689" w:name="b3_ref34"/>
      <w:bookmarkEnd w:id="1689"/>
      <w:r>
        <w:rPr>
          <w:vertAlign w:val="superscript"/>
          <w:rtl/>
        </w:rPr>
        <w:fldChar w:fldCharType="begin" w:dirty="true"/>
      </w:r>
      <w:r>
        <w:rPr>
          <w:vertAlign w:val="superscript"/>
          <w:rtl/>
        </w:rPr>
        <w:instrText xml:space="preserve"> REF b3_note34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34</w:t>
      </w:r>
      <w:r>
        <w:rPr>
          <w:vertAlign w:val="superscript"/>
          <w:rtl/>
        </w:rPr>
        <w:fldChar w:fldCharType="end"/>
      </w:r>
    </w:p>
    <w:bookmarkStart w:id="1690" w:name="b3_note34"/>
    <w:p w14:paraId="233AA984" w14:textId="686E7885" w:rsidR="00AB3647" w:rsidRDefault="00000000" w:rsidP="007923E9">
      <w:pPr>
        <w:spacing w:before="120" w:after="100" w:line="276" w:lineRule="auto"/>
        <w:jc w:val="both"/>
      </w:pPr>
      <w:r>
        <w:fldChar w:fldCharType="begin" w:dirty="true"/>
      </w:r>
      <w:r>
        <w:instrText>HYPERLINK \l "b3_ref34"</w:instrText>
      </w:r>
      <w:r>
        <w:fldChar w:fldCharType="separate"/>
      </w:r>
      <w:r>
        <w:rPr>
          <w:b/>
          <w:bCs/>
          <w:rtl/>
        </w:rPr>
        <w:t>34</w:t>
      </w:r>
      <w:r>
        <w:rPr>
          <w:b/>
          <w:bCs/>
        </w:rPr>
        <w:fldChar w:fldCharType="end"/>
      </w:r>
      <w:bookmarkEnd w:id="1690"/>
      <w:r>
        <w:rPr>
          <w:rtl/>
        </w:rPr>
        <w:t xml:space="preserve"> ראה </w:t>
      </w:r>
      <w:r>
        <w:rPr>
          <w:rtl/>
        </w:rPr>
        <w:fldChar w:fldCharType="begin" w:dirty="true"/>
      </w:r>
      <w:r>
        <w:rPr>
          <w:rtl/>
        </w:rPr>
        <w:instrText xml:space="preserve"> REF b3_excK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יא</w:t>
      </w:r>
      <w:r>
        <w:rPr>
          <w:rtl/>
        </w:rPr>
        <w:fldChar w:fldCharType="end"/>
      </w:r>
      <w:r>
        <w:rPr>
          <w:rtl/>
        </w:rPr>
        <w:t>.</w:t>
      </w:r>
    </w:p>
    <w:p w14:paraId="1C85FB41" w14:textId="40511241"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לאחר מכן, בשנת תרנ״ז, עלה על פני השטח זרם ההתנגדות הסמוי לתנועת המוסר</w:t>
      </w:r>
      <w:bookmarkStart w:id="1691" w:name="b3_ref35"/>
      <w:bookmarkEnd w:id="1691"/>
      <w:r>
        <w:rPr>
          <w:vertAlign w:val="superscript"/>
          <w:rtl/>
        </w:rPr>
        <w:fldChar w:fldCharType="begin" w:dirty="true"/>
      </w:r>
      <w:r>
        <w:rPr>
          <w:vertAlign w:val="superscript"/>
          <w:rtl/>
        </w:rPr>
        <w:instrText xml:space="preserve"> REF b3_note35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35</w:t>
      </w:r>
      <w:r>
        <w:rPr>
          <w:vertAlign w:val="superscript"/>
          <w:rtl/>
        </w:rPr>
        <w:fldChar w:fldCharType="end"/>
      </w:r>
      <w:r>
        <w:rPr>
          <w:rtl/>
        </w:rPr>
        <w:t xml:space="preserve"> בקרב רבני ליטא. אספה של רבנים ליטאיים מובילים</w:t>
      </w:r>
      <w:bookmarkStart w:id="1692" w:name="b3_ref36"/>
      <w:bookmarkEnd w:id="1692"/>
      <w:r>
        <w:rPr>
          <w:vertAlign w:val="superscript"/>
          <w:rtl/>
        </w:rPr>
        <w:fldChar w:fldCharType="begin" w:dirty="true"/>
      </w:r>
      <w:r>
        <w:rPr>
          <w:vertAlign w:val="superscript"/>
          <w:rtl/>
        </w:rPr>
        <w:instrText xml:space="preserve"> REF b3_note36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36</w:t>
      </w:r>
      <w:r>
        <w:rPr>
          <w:vertAlign w:val="superscript"/>
          <w:rtl/>
        </w:rPr>
        <w:fldChar w:fldCharType="end"/>
      </w:r>
      <w:r>
        <w:rPr>
          <w:rtl/>
        </w:rPr>
        <w:t xml:space="preserve">, בראשות בנו של ר׳ </w:t>
      </w:r>
      <w:proofErr w:type="spellStart"/>
      <w:r>
        <w:rPr>
          <w:rtl/>
        </w:rPr>
        <w:t>יצחק־אלחנן</w:t>
      </w:r>
      <w:proofErr w:type="spellEnd"/>
      <w:r>
        <w:rPr>
          <w:rtl/>
        </w:rPr>
        <w:t xml:space="preserve"> וממלא מקומו, ר׳ </w:t>
      </w:r>
      <w:proofErr w:type="spellStart"/>
      <w:r>
        <w:rPr>
          <w:rtl/>
        </w:rPr>
        <w:t>צבי־הירש</w:t>
      </w:r>
      <w:proofErr w:type="spellEnd"/>
      <w:r>
        <w:rPr>
          <w:rtl/>
        </w:rPr>
        <w:t xml:space="preserve"> רבינוביץ</w:t>
      </w:r>
      <w:bookmarkStart w:id="1693" w:name="b3_ref37"/>
      <w:bookmarkEnd w:id="1693"/>
      <w:r>
        <w:rPr>
          <w:vertAlign w:val="superscript"/>
          <w:rtl/>
        </w:rPr>
        <w:fldChar w:fldCharType="begin" w:dirty="true"/>
      </w:r>
      <w:r>
        <w:rPr>
          <w:vertAlign w:val="superscript"/>
          <w:rtl/>
        </w:rPr>
        <w:instrText xml:space="preserve"> REF b3_note37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37</w:t>
      </w:r>
      <w:r>
        <w:rPr>
          <w:vertAlign w:val="superscript"/>
          <w:rtl/>
        </w:rPr>
        <w:fldChar w:fldCharType="end"/>
      </w:r>
      <w:r>
        <w:rPr>
          <w:rtl/>
        </w:rPr>
        <w:t xml:space="preserve">, פסקה שר׳ </w:t>
      </w:r>
      <w:proofErr w:type="spellStart"/>
      <w:r>
        <w:rPr>
          <w:rtl/>
        </w:rPr>
        <w:t>נתן־צבי</w:t>
      </w:r>
      <w:proofErr w:type="spellEnd"/>
      <w:r>
        <w:rPr>
          <w:rtl/>
        </w:rPr>
        <w:t>, תומך המוסר, חייב להתנתק מכולל קובנה. מיד כשיצא פסק הרבנים</w:t>
      </w:r>
      <w:bookmarkStart w:id="1694" w:name="b3_ref38"/>
      <w:bookmarkEnd w:id="1694"/>
      <w:r>
        <w:rPr>
          <w:vertAlign w:val="superscript"/>
          <w:rtl/>
        </w:rPr>
        <w:fldChar w:fldCharType="begin" w:dirty="true"/>
      </w:r>
      <w:r>
        <w:rPr>
          <w:vertAlign w:val="superscript"/>
          <w:rtl/>
        </w:rPr>
        <w:instrText xml:space="preserve"> REF b3_note38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38</w:t>
      </w:r>
      <w:r>
        <w:rPr>
          <w:vertAlign w:val="superscript"/>
          <w:rtl/>
        </w:rPr>
        <w:fldChar w:fldCharType="end"/>
      </w:r>
      <w:r>
        <w:rPr>
          <w:rtl/>
        </w:rPr>
        <w:t xml:space="preserve"> נכנס הסבא </w:t>
      </w:r>
      <w:proofErr w:type="spellStart"/>
      <w:r>
        <w:rPr>
          <w:rtl/>
        </w:rPr>
        <w:t>מסלבודקה</w:t>
      </w:r>
      <w:proofErr w:type="spellEnd"/>
      <w:r>
        <w:rPr>
          <w:rtl/>
        </w:rPr>
        <w:t xml:space="preserve"> לבית המדרש הישן, והודיע ליותר ממאתיים התלמידים</w:t>
      </w:r>
      <w:bookmarkStart w:id="1695" w:name="b3_ref39"/>
      <w:bookmarkEnd w:id="1695"/>
      <w:r>
        <w:rPr>
          <w:vertAlign w:val="superscript"/>
          <w:rtl/>
        </w:rPr>
        <w:fldChar w:fldCharType="begin" w:dirty="true"/>
      </w:r>
      <w:r>
        <w:rPr>
          <w:vertAlign w:val="superscript"/>
          <w:rtl/>
        </w:rPr>
        <w:instrText xml:space="preserve"> REF b3_note39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39</w:t>
      </w:r>
      <w:r>
        <w:rPr>
          <w:vertAlign w:val="superscript"/>
          <w:rtl/>
        </w:rPr>
        <w:fldChar w:fldCharType="end"/>
      </w:r>
      <w:r>
        <w:rPr>
          <w:rtl/>
        </w:rPr>
        <w:t xml:space="preserve"> שהוא נאלץ לפתוח ישיבה אחרת, שתקדם את לימוד המוסר מראשית דרכה, מאחר שהרבנים פסקו שעליו לעזוב את ישיבת </w:t>
      </w:r>
      <w:proofErr w:type="spellStart"/>
      <w:r>
        <w:rPr>
          <w:rtl/>
        </w:rPr>
        <w:t>סלבודקה</w:t>
      </w:r>
      <w:proofErr w:type="spellEnd"/>
      <w:r>
        <w:rPr>
          <w:rtl/>
        </w:rPr>
        <w:t xml:space="preserve"> הקיימת. הוא הזמין את כל מי שיחפוץ ללכת בעקבותיו לעבור </w:t>
      </w:r>
      <w:proofErr w:type="spellStart"/>
      <w:r>
        <w:rPr>
          <w:rtl/>
        </w:rPr>
        <w:t>לקלויז</w:t>
      </w:r>
      <w:proofErr w:type="spellEnd"/>
      <w:r>
        <w:rPr>
          <w:rtl/>
        </w:rPr>
        <w:t xml:space="preserve"> הקצבים</w:t>
      </w:r>
      <w:bookmarkStart w:id="1696" w:name="b3_ref40"/>
      <w:bookmarkEnd w:id="1696"/>
      <w:r>
        <w:rPr>
          <w:vertAlign w:val="superscript"/>
          <w:rtl/>
        </w:rPr>
        <w:fldChar w:fldCharType="begin" w:dirty="true"/>
      </w:r>
      <w:r>
        <w:rPr>
          <w:vertAlign w:val="superscript"/>
          <w:rtl/>
        </w:rPr>
        <w:instrText xml:space="preserve"> REF b3_note40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40</w:t>
      </w:r>
      <w:r>
        <w:rPr>
          <w:vertAlign w:val="superscript"/>
          <w:rtl/>
        </w:rPr>
        <w:fldChar w:fldCharType="end"/>
      </w:r>
      <w:r>
        <w:rPr>
          <w:rtl/>
        </w:rPr>
        <w:t xml:space="preserve"> ולייסד את הישיבה החדשה.</w:t>
      </w:r>
    </w:p>
    <w:bookmarkStart w:id="1697" w:name="b3_note35"/>
    <w:p w14:paraId="5B04BF55" w14:textId="77777777" w:rsidR="00AB3647" w:rsidRDefault="00000000" w:rsidP="007923E9">
      <w:pPr>
        <w:spacing w:before="120" w:after="100" w:line="276" w:lineRule="auto"/>
        <w:jc w:val="both"/>
      </w:pPr>
      <w:r>
        <w:fldChar w:fldCharType="begin" w:dirty="true"/>
      </w:r>
      <w:r>
        <w:instrText>HYPERLINK \l "b3_ref35"</w:instrText>
      </w:r>
      <w:r>
        <w:fldChar w:fldCharType="separate"/>
      </w:r>
      <w:r>
        <w:rPr>
          <w:b/>
          <w:bCs/>
          <w:rtl/>
        </w:rPr>
        <w:t>35</w:t>
      </w:r>
      <w:r>
        <w:rPr>
          <w:b/>
          <w:bCs/>
        </w:rPr>
        <w:fldChar w:fldCharType="end"/>
      </w:r>
      <w:bookmarkEnd w:id="1697"/>
      <w:r>
        <w:rPr>
          <w:rtl/>
        </w:rPr>
        <w:t xml:space="preserve"> עיקר המחלוקת היה אם המוסר תורם לעולמו הדתי של בעל הבית בלבד, או שהוא חשוב גם לתלמיד החכם. השווה “פולמוס המוסר”,</w:t>
      </w:r>
      <w:bookmarkStart w:id="1698" w:name="_fnr1102"/>
      <w:r>
        <w:rPr>
          <w:rStyle w:val="a5"/>
        </w:rPr>
        <w:footnoteReference w:id="1105" w:customMarkFollows="0"/>
      </w:r>
      <w:bookmarkEnd w:id="1698"/>
      <w:r>
        <w:rPr>
          <w:rtl/>
        </w:rPr>
        <w:t xml:space="preserve"> ולפיו טען אחד מבני דורו של ר׳ ישראל </w:t>
      </w:r>
      <w:proofErr w:type="spellStart"/>
      <w:r>
        <w:rPr>
          <w:rtl/>
        </w:rPr>
        <w:t>סלנטר</w:t>
      </w:r>
      <w:proofErr w:type="spellEnd"/>
      <w:r>
        <w:rPr>
          <w:rtl/>
        </w:rPr>
        <w:t xml:space="preserve"> שהלה אמר לו במפורש שבתי המוסר – מקומות המיוחדים ללימוד מוסר בלבד, שהם יצירתו של ר׳ ישראל </w:t>
      </w:r>
      <w:proofErr w:type="spellStart"/>
      <w:r>
        <w:rPr>
          <w:rtl/>
        </w:rPr>
        <w:t>סלנטר</w:t>
      </w:r>
      <w:proofErr w:type="spellEnd"/>
      <w:r>
        <w:rPr>
          <w:rtl/>
        </w:rPr>
        <w:t xml:space="preserve"> – הוקמו אך ורק למען בעלי בתים. על ר׳ </w:t>
      </w:r>
      <w:proofErr w:type="spellStart"/>
      <w:r>
        <w:rPr>
          <w:rtl/>
        </w:rPr>
        <w:t>לייבל׳ה</w:t>
      </w:r>
      <w:proofErr w:type="spellEnd"/>
      <w:r>
        <w:rPr>
          <w:rtl/>
        </w:rPr>
        <w:t xml:space="preserve"> שפירא מקובנה, שהתנגד לחידושיו של ר׳ ישראל </w:t>
      </w:r>
      <w:proofErr w:type="spellStart"/>
      <w:r>
        <w:rPr>
          <w:rtl/>
        </w:rPr>
        <w:t>סלנטר</w:t>
      </w:r>
      <w:proofErr w:type="spellEnd"/>
      <w:r>
        <w:rPr>
          <w:rtl/>
        </w:rPr>
        <w:t xml:space="preserve"> בתחום המוסר,</w:t>
      </w:r>
      <w:bookmarkStart w:id="1699" w:name="_fnr1103"/>
      <w:r>
        <w:rPr>
          <w:rStyle w:val="a5"/>
        </w:rPr>
        <w:footnoteReference w:id="1106" w:customMarkFollows="0"/>
      </w:r>
      <w:bookmarkEnd w:id="1699"/>
      <w:r>
        <w:rPr>
          <w:rtl/>
        </w:rPr>
        <w:t xml:space="preserve"> מסופר שהעיר כי בתהלים </w:t>
      </w:r>
      <w:proofErr w:type="spellStart"/>
      <w:r>
        <w:rPr>
          <w:rtl/>
        </w:rPr>
        <w:t>קטו</w:t>
      </w:r>
      <w:proofErr w:type="spellEnd"/>
      <w:r>
        <w:rPr>
          <w:rtl/>
        </w:rPr>
        <w:t xml:space="preserve">, </w:t>
      </w:r>
      <w:proofErr w:type="spellStart"/>
      <w:r>
        <w:rPr>
          <w:rtl/>
        </w:rPr>
        <w:t>יב</w:t>
      </w:r>
      <w:proofErr w:type="spellEnd"/>
      <w:r>
        <w:rPr>
          <w:rtl/>
        </w:rPr>
        <w:t>–</w:t>
      </w:r>
      <w:proofErr w:type="spellStart"/>
      <w:r>
        <w:rPr>
          <w:rtl/>
        </w:rPr>
        <w:lastRenderedPageBreak/>
        <w:t>יג</w:t>
      </w:r>
      <w:proofErr w:type="spellEnd"/>
      <w:r>
        <w:rPr>
          <w:rtl/>
        </w:rPr>
        <w:t xml:space="preserve"> מייחס דוד המלך “בתים” </w:t>
      </w:r>
      <w:proofErr w:type="spellStart"/>
      <w:r>
        <w:rPr>
          <w:rtl/>
        </w:rPr>
        <w:t>ל“ישראל</w:t>
      </w:r>
      <w:proofErr w:type="spellEnd"/>
      <w:r>
        <w:rPr>
          <w:rtl/>
        </w:rPr>
        <w:t xml:space="preserve">” </w:t>
      </w:r>
      <w:proofErr w:type="spellStart"/>
      <w:r>
        <w:rPr>
          <w:rtl/>
        </w:rPr>
        <w:t>ול“אהרן</w:t>
      </w:r>
      <w:proofErr w:type="spellEnd"/>
      <w:r>
        <w:rPr>
          <w:rtl/>
        </w:rPr>
        <w:t>”, אך אינו עושה כן לקבוצה השלישית הנזכרת שם, “יראי ה׳”.</w:t>
      </w:r>
      <w:bookmarkStart w:id="1700" w:name="_fnr1104"/>
      <w:r>
        <w:rPr>
          <w:rStyle w:val="a5"/>
        </w:rPr>
        <w:footnoteReference w:id="1107" w:customMarkFollows="0"/>
      </w:r>
      <w:bookmarkEnd w:id="1700"/>
    </w:p>
    <w:bookmarkStart w:id="1701" w:name="b3_note36"/>
    <w:p w14:paraId="602D0E19" w14:textId="01360F8C" w:rsidR="00AB3647" w:rsidRDefault="00000000" w:rsidP="007923E9">
      <w:pPr>
        <w:spacing w:before="120" w:after="100" w:line="276" w:lineRule="auto"/>
        <w:jc w:val="both"/>
      </w:pPr>
      <w:r>
        <w:fldChar w:fldCharType="begin" w:dirty="true"/>
      </w:r>
      <w:r>
        <w:instrText>HYPERLINK \l "b3_ref36"</w:instrText>
      </w:r>
      <w:r>
        <w:fldChar w:fldCharType="separate"/>
      </w:r>
      <w:r>
        <w:rPr>
          <w:b/>
          <w:bCs/>
          <w:rtl/>
        </w:rPr>
        <w:t>36</w:t>
      </w:r>
      <w:r>
        <w:rPr>
          <w:b/>
          <w:bCs/>
        </w:rPr>
        <w:fldChar w:fldCharType="end"/>
      </w:r>
      <w:bookmarkEnd w:id="1701"/>
      <w:r>
        <w:rPr>
          <w:rtl/>
        </w:rPr>
        <w:t xml:space="preserve"> ראה </w:t>
      </w:r>
      <w:r>
        <w:rPr>
          <w:rtl/>
        </w:rPr>
        <w:fldChar w:fldCharType="begin" w:dirty="true"/>
      </w:r>
      <w:r>
        <w:rPr>
          <w:rtl/>
        </w:rPr>
        <w:instrText xml:space="preserve"> REF b3_excL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יב</w:t>
      </w:r>
      <w:proofErr w:type="spellEnd"/>
      <w:r>
        <w:rPr>
          <w:rtl/>
        </w:rPr>
        <w:fldChar w:fldCharType="end"/>
      </w:r>
      <w:r>
        <w:rPr>
          <w:rtl/>
        </w:rPr>
        <w:t>.</w:t>
      </w:r>
    </w:p>
    <w:bookmarkStart w:id="1702" w:name="b3_note37"/>
    <w:p w14:paraId="3B82B657" w14:textId="11FF2FB9" w:rsidR="00AB3647" w:rsidRDefault="00000000" w:rsidP="007923E9">
      <w:pPr>
        <w:spacing w:before="120" w:after="100" w:line="276" w:lineRule="auto"/>
        <w:jc w:val="both"/>
      </w:pPr>
      <w:r>
        <w:fldChar w:fldCharType="begin" w:dirty="true"/>
      </w:r>
      <w:r>
        <w:instrText>HYPERLINK \l "b3_ref37"</w:instrText>
      </w:r>
      <w:r>
        <w:fldChar w:fldCharType="separate"/>
      </w:r>
      <w:r>
        <w:rPr>
          <w:b/>
          <w:bCs/>
          <w:rtl/>
        </w:rPr>
        <w:t>37</w:t>
      </w:r>
      <w:r>
        <w:rPr>
          <w:b/>
          <w:bCs/>
        </w:rPr>
        <w:fldChar w:fldCharType="end"/>
      </w:r>
      <w:bookmarkEnd w:id="1702"/>
      <w:r>
        <w:rPr>
          <w:rtl/>
        </w:rPr>
        <w:t xml:space="preserve"> ראה </w:t>
      </w:r>
      <w:r>
        <w:rPr>
          <w:rtl/>
        </w:rPr>
        <w:fldChar w:fldCharType="begin" w:dirty="true"/>
      </w:r>
      <w:r>
        <w:rPr>
          <w:rtl/>
        </w:rPr>
        <w:instrText xml:space="preserve"> REF b3_excM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יג</w:t>
      </w:r>
      <w:proofErr w:type="spellEnd"/>
      <w:r>
        <w:rPr>
          <w:rtl/>
        </w:rPr>
        <w:fldChar w:fldCharType="end"/>
      </w:r>
      <w:r>
        <w:rPr>
          <w:rtl/>
        </w:rPr>
        <w:t>.</w:t>
      </w:r>
    </w:p>
    <w:bookmarkStart w:id="1703" w:name="b3_note38"/>
    <w:p w14:paraId="2099F89B" w14:textId="05D69917" w:rsidR="00AB3647" w:rsidRDefault="00000000" w:rsidP="007923E9">
      <w:pPr>
        <w:spacing w:before="120" w:after="100" w:line="276" w:lineRule="auto"/>
        <w:jc w:val="both"/>
      </w:pPr>
      <w:r>
        <w:fldChar w:fldCharType="begin" w:dirty="true"/>
      </w:r>
      <w:r>
        <w:instrText>HYPERLINK \l "b3_ref38"</w:instrText>
      </w:r>
      <w:r>
        <w:fldChar w:fldCharType="separate"/>
      </w:r>
      <w:r>
        <w:rPr>
          <w:b/>
          <w:bCs/>
          <w:rtl/>
        </w:rPr>
        <w:t>38</w:t>
      </w:r>
      <w:r>
        <w:rPr>
          <w:b/>
          <w:bCs/>
        </w:rPr>
        <w:fldChar w:fldCharType="end"/>
      </w:r>
      <w:bookmarkEnd w:id="1703"/>
      <w:r>
        <w:rPr>
          <w:rtl/>
        </w:rPr>
        <w:t xml:space="preserve"> ראה </w:t>
      </w:r>
      <w:r>
        <w:rPr>
          <w:rtl/>
        </w:rPr>
        <w:fldChar w:fldCharType="begin" w:dirty="true"/>
      </w:r>
      <w:r>
        <w:rPr>
          <w:rtl/>
        </w:rPr>
        <w:instrText xml:space="preserve"> REF b3_excN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יד</w:t>
      </w:r>
      <w:r>
        <w:rPr>
          <w:rtl/>
        </w:rPr>
        <w:fldChar w:fldCharType="end"/>
      </w:r>
      <w:r>
        <w:rPr>
          <w:rtl/>
        </w:rPr>
        <w:t>.</w:t>
      </w:r>
    </w:p>
    <w:bookmarkStart w:id="1704" w:name="b3_note39"/>
    <w:p w14:paraId="4DE31359" w14:textId="77777777" w:rsidR="00AB3647" w:rsidRDefault="00000000" w:rsidP="007923E9">
      <w:pPr>
        <w:spacing w:before="120" w:after="100" w:line="276" w:lineRule="auto"/>
        <w:jc w:val="both"/>
      </w:pPr>
      <w:r>
        <w:fldChar w:fldCharType="begin" w:dirty="true"/>
      </w:r>
      <w:r>
        <w:instrText>HYPERLINK \l "b3_ref39"</w:instrText>
      </w:r>
      <w:r>
        <w:fldChar w:fldCharType="separate"/>
      </w:r>
      <w:r>
        <w:rPr>
          <w:b/>
          <w:bCs/>
          <w:rtl/>
        </w:rPr>
        <w:t>39</w:t>
      </w:r>
      <w:r>
        <w:rPr>
          <w:b/>
          <w:bCs/>
        </w:rPr>
        <w:fldChar w:fldCharType="end"/>
      </w:r>
      <w:bookmarkEnd w:id="1704"/>
      <w:r>
        <w:rPr>
          <w:rtl/>
        </w:rPr>
        <w:t xml:space="preserve"> זה המספר שניתן לכלל התלמידים בכרוז “למען דעת”, כפי שצוטט </w:t>
      </w:r>
      <w:proofErr w:type="spellStart"/>
      <w:r>
        <w:rPr>
          <w:rtl/>
        </w:rPr>
        <w:t>ב“פולמוס</w:t>
      </w:r>
      <w:proofErr w:type="spellEnd"/>
      <w:r>
        <w:rPr>
          <w:rtl/>
        </w:rPr>
        <w:t xml:space="preserve"> המוסר”.</w:t>
      </w:r>
      <w:bookmarkStart w:id="1705" w:name="_fnr1105"/>
      <w:r>
        <w:rPr>
          <w:rStyle w:val="a5"/>
        </w:rPr>
        <w:footnoteReference w:id="1108" w:customMarkFollows="0"/>
      </w:r>
      <w:bookmarkEnd w:id="1705"/>
      <w:r>
        <w:rPr>
          <w:rtl/>
        </w:rPr>
        <w:t xml:space="preserve"> לא ברור מדוע במקום אחר </w:t>
      </w:r>
      <w:proofErr w:type="spellStart"/>
      <w:r>
        <w:rPr>
          <w:rtl/>
        </w:rPr>
        <w:t>ב“פולמוס</w:t>
      </w:r>
      <w:proofErr w:type="spellEnd"/>
      <w:r>
        <w:rPr>
          <w:rtl/>
        </w:rPr>
        <w:t xml:space="preserve"> המוסר”</w:t>
      </w:r>
      <w:bookmarkStart w:id="1706" w:name="_fnr1106"/>
      <w:r>
        <w:rPr>
          <w:rStyle w:val="a5"/>
        </w:rPr>
        <w:footnoteReference w:id="1109" w:customMarkFollows="0"/>
      </w:r>
      <w:bookmarkEnd w:id="1706"/>
      <w:r>
        <w:rPr>
          <w:rtl/>
        </w:rPr>
        <w:t xml:space="preserve"> המספר עולה לשלוש מאות. מספר זה מקטין עוד יותר את חלקם של התלמידים שהלכו אחרי הסבא לישיבה החדשה – “כשישים” לפי כץ, “תנועת המוסר”, כרך ג,</w:t>
      </w:r>
      <w:bookmarkStart w:id="1707" w:name="_fnr1107"/>
      <w:r>
        <w:rPr>
          <w:rStyle w:val="a5"/>
        </w:rPr>
        <w:footnoteReference w:id="1110" w:customMarkFollows="0"/>
      </w:r>
      <w:bookmarkEnd w:id="1707"/>
      <w:r>
        <w:rPr>
          <w:rtl/>
        </w:rPr>
        <w:t xml:space="preserve"> וכך גם בריאיון המוקלט על הסבא </w:t>
      </w:r>
      <w:proofErr w:type="spellStart"/>
      <w:r>
        <w:rPr>
          <w:rtl/>
        </w:rPr>
        <w:t>מסלבודקה</w:t>
      </w:r>
      <w:proofErr w:type="spellEnd"/>
      <w:r>
        <w:rPr>
          <w:rtl/>
        </w:rPr>
        <w:t xml:space="preserve"> – מתוך כלל התלמידים. “ס. רוזנפלד”,</w:t>
      </w:r>
      <w:bookmarkStart w:id="1708" w:name="_fnr1108"/>
      <w:r>
        <w:rPr>
          <w:rStyle w:val="a5"/>
        </w:rPr>
        <w:footnoteReference w:id="1111" w:customMarkFollows="0"/>
      </w:r>
      <w:bookmarkEnd w:id="1708"/>
      <w:r>
        <w:rPr>
          <w:rtl/>
        </w:rPr>
        <w:t xml:space="preserve"> כתב מתנגד למוסר ביומון העברי “המליץ”,</w:t>
      </w:r>
      <w:bookmarkStart w:id="1709" w:name="_fnr1109"/>
      <w:r>
        <w:rPr>
          <w:rStyle w:val="a5"/>
        </w:rPr>
        <w:footnoteReference w:id="1112" w:customMarkFollows="0"/>
      </w:r>
      <w:bookmarkEnd w:id="1709"/>
      <w:r>
        <w:rPr>
          <w:rtl/>
        </w:rPr>
        <w:t xml:space="preserve"> מציין שמספר חסידיו של הסבא היה “כארבעים” – דבר המקטין את חלקם לכדי פחות מחמישית התלמידים – או אף פחות משביעית!</w:t>
      </w:r>
    </w:p>
    <w:p w14:paraId="1B6A0A49" w14:textId="14BBADE9" w:rsidR="00AB3647" w:rsidRDefault="00000000" w:rsidP="007923E9">
      <w:pPr>
        <w:spacing w:before="120" w:after="100" w:line="276" w:lineRule="auto"/>
        <w:jc w:val="both"/>
      </w:pPr>
      <w:r>
        <w:rPr>
          <w:rtl/>
        </w:rPr>
        <w:t xml:space="preserve">הסבא </w:t>
      </w:r>
      <w:proofErr w:type="spellStart"/>
      <w:r>
        <w:rPr>
          <w:rtl/>
        </w:rPr>
        <w:t>מסלבודקה</w:t>
      </w:r>
      <w:proofErr w:type="spellEnd"/>
      <w:r>
        <w:rPr>
          <w:rtl/>
        </w:rPr>
        <w:t xml:space="preserve"> כלל לא היה בטוח שמישהו מן התלמידים ילך אחריו. כך עולה מן הדיווח של כץ, שם,</w:t>
      </w:r>
      <w:bookmarkStart w:id="1710" w:name="_fnr1110"/>
      <w:r>
        <w:rPr>
          <w:rStyle w:val="a5"/>
        </w:rPr>
        <w:footnoteReference w:id="1113" w:customMarkFollows="0"/>
      </w:r>
      <w:bookmarkEnd w:id="1710"/>
      <w:r>
        <w:rPr>
          <w:rtl/>
        </w:rPr>
        <w:t xml:space="preserve"> שלפיו “במקום שיזדעזע מהחלטת הרבנים, כצפוי, הייתה תגובתו הראשונה של הסבא לומר: ‘די בזכות שהייתה לי לשמש משגיח </w:t>
      </w:r>
      <w:proofErr w:type="spellStart"/>
      <w:r>
        <w:rPr>
          <w:rtl/>
        </w:rPr>
        <w:t>שבע־עשרה</w:t>
      </w:r>
      <w:proofErr w:type="spellEnd"/>
      <w:r>
        <w:rPr>
          <w:rtl/>
        </w:rPr>
        <w:t xml:space="preserve"> שנים’”. הוא חשש כנראה שדרכו הגיעה לקצה – אף שיועצו המבוגר והמכובד, ר׳ </w:t>
      </w:r>
      <w:proofErr w:type="spellStart"/>
      <w:r>
        <w:rPr>
          <w:rtl/>
        </w:rPr>
        <w:t>איצל׳ה</w:t>
      </w:r>
      <w:proofErr w:type="spellEnd"/>
      <w:r>
        <w:rPr>
          <w:rtl/>
        </w:rPr>
        <w:t xml:space="preserve"> </w:t>
      </w:r>
      <w:proofErr w:type="spellStart"/>
      <w:r>
        <w:rPr>
          <w:rtl/>
        </w:rPr>
        <w:t>בלאזר</w:t>
      </w:r>
      <w:proofErr w:type="spellEnd"/>
      <w:r>
        <w:rPr>
          <w:rtl/>
        </w:rPr>
        <w:t>, היה אופטימי יותר בנוגע להקמת ישיבה חדשה, כפי שנראה בציטוט שהובא בתחילת הפסקה השנייה ב</w:t>
      </w:r>
      <w:r>
        <w:rPr>
          <w:rtl/>
        </w:rPr>
        <w:fldChar w:fldCharType="begin" w:dirty="true"/>
      </w:r>
      <w:r>
        <w:rPr>
          <w:rtl/>
        </w:rPr>
        <w:instrText xml:space="preserve"> REF b3_excN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יד</w:t>
      </w:r>
      <w:r>
        <w:rPr>
          <w:rtl/>
        </w:rPr>
        <w:fldChar w:fldCharType="end"/>
      </w:r>
      <w:r>
        <w:rPr>
          <w:rtl/>
        </w:rPr>
        <w:t xml:space="preserve"> להלן.</w:t>
      </w:r>
    </w:p>
    <w:bookmarkStart w:id="1711" w:name="b3_note40"/>
    <w:p w14:paraId="4E195AE6" w14:textId="77777777" w:rsidR="00AB3647" w:rsidRDefault="00000000" w:rsidP="007923E9">
      <w:pPr>
        <w:spacing w:before="120" w:after="100" w:line="276" w:lineRule="auto"/>
        <w:jc w:val="both"/>
      </w:pPr>
      <w:r>
        <w:fldChar w:fldCharType="begin" w:dirty="true"/>
      </w:r>
      <w:r>
        <w:instrText>HYPERLINK \l "b3_ref40"</w:instrText>
      </w:r>
      <w:r>
        <w:fldChar w:fldCharType="separate"/>
      </w:r>
      <w:r>
        <w:rPr>
          <w:b/>
          <w:bCs/>
          <w:rtl/>
        </w:rPr>
        <w:t>40</w:t>
      </w:r>
      <w:r>
        <w:rPr>
          <w:b/>
          <w:bCs/>
        </w:rPr>
        <w:fldChar w:fldCharType="end"/>
      </w:r>
      <w:bookmarkEnd w:id="1711"/>
      <w:r>
        <w:rPr>
          <w:rtl/>
        </w:rPr>
        <w:t xml:space="preserve"> ר׳ מרדכי </w:t>
      </w:r>
      <w:proofErr w:type="spellStart"/>
      <w:r>
        <w:rPr>
          <w:rtl/>
        </w:rPr>
        <w:t>קרלינסקי</w:t>
      </w:r>
      <w:proofErr w:type="spellEnd"/>
      <w:r>
        <w:rPr>
          <w:rtl/>
        </w:rPr>
        <w:t xml:space="preserve"> סיפר:</w:t>
      </w:r>
      <w:bookmarkStart w:id="1712" w:name="_fnr1111"/>
      <w:r>
        <w:rPr>
          <w:rStyle w:val="a5"/>
        </w:rPr>
        <w:footnoteReference w:id="1114" w:customMarkFollows="0"/>
      </w:r>
      <w:bookmarkEnd w:id="1712"/>
      <w:r>
        <w:rPr>
          <w:rtl/>
        </w:rPr>
        <w:t xml:space="preserve"> “</w:t>
      </w:r>
      <w:proofErr w:type="spellStart"/>
      <w:r>
        <w:rPr>
          <w:rtl/>
        </w:rPr>
        <w:t>בסלבודקה</w:t>
      </w:r>
      <w:proofErr w:type="spellEnd"/>
      <w:r>
        <w:rPr>
          <w:rtl/>
        </w:rPr>
        <w:t xml:space="preserve"> היו בתי מטבחיים רבים, והם סיפקו בשר לכמעט כל ליטא. קצבים רבים גרו בעיירה, </w:t>
      </w:r>
      <w:proofErr w:type="spellStart"/>
      <w:r>
        <w:rPr>
          <w:rtl/>
        </w:rPr>
        <w:t>והקלויז</w:t>
      </w:r>
      <w:proofErr w:type="spellEnd"/>
      <w:r>
        <w:rPr>
          <w:rtl/>
        </w:rPr>
        <w:t xml:space="preserve"> שלהם היה גדול ומצויד היטב”.</w:t>
      </w:r>
    </w:p>
    <w:p w14:paraId="3DC1153A" w14:textId="256D5FFD"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כרבע מן התלמידים,</w:t>
      </w:r>
      <w:r>
        <w:rPr>
          <w:vertAlign w:val="superscript"/>
          <w:rtl/>
        </w:rPr>
        <w:fldChar w:fldCharType="begin" w:dirty="true"/>
      </w:r>
      <w:r>
        <w:rPr>
          <w:vertAlign w:val="superscript"/>
          <w:rtl/>
        </w:rPr>
        <w:instrText xml:space="preserve"> REF b3_note39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39</w:t>
      </w:r>
      <w:r>
        <w:rPr>
          <w:vertAlign w:val="superscript"/>
          <w:rtl/>
        </w:rPr>
        <w:fldChar w:fldCharType="end"/>
      </w:r>
      <w:r>
        <w:rPr>
          <w:rtl/>
        </w:rPr>
        <w:t xml:space="preserve"> יחד עם מגיד השיעור הצעיר שלהם, ר׳ </w:t>
      </w:r>
      <w:proofErr w:type="spellStart"/>
      <w:r>
        <w:rPr>
          <w:rtl/>
        </w:rPr>
        <w:t>משה־מרדכי</w:t>
      </w:r>
      <w:proofErr w:type="spellEnd"/>
      <w:r>
        <w:rPr>
          <w:rtl/>
        </w:rPr>
        <w:t xml:space="preserve"> – את מגיד השיעור האחר, ר׳ </w:t>
      </w:r>
      <w:proofErr w:type="spellStart"/>
      <w:r>
        <w:rPr>
          <w:rtl/>
        </w:rPr>
        <w:t>איסר־זלמן</w:t>
      </w:r>
      <w:proofErr w:type="spellEnd"/>
      <w:r>
        <w:rPr>
          <w:rtl/>
        </w:rPr>
        <w:t xml:space="preserve">, שלח ר׳ </w:t>
      </w:r>
      <w:proofErr w:type="spellStart"/>
      <w:r>
        <w:rPr>
          <w:rtl/>
        </w:rPr>
        <w:t>נתן־צבי</w:t>
      </w:r>
      <w:proofErr w:type="spellEnd"/>
      <w:r>
        <w:rPr>
          <w:rtl/>
        </w:rPr>
        <w:t xml:space="preserve"> לפתוח ישיבה בעיר </w:t>
      </w:r>
      <w:proofErr w:type="spellStart"/>
      <w:r>
        <w:rPr>
          <w:rtl/>
        </w:rPr>
        <w:t>סלוצק</w:t>
      </w:r>
      <w:proofErr w:type="spellEnd"/>
      <w:r>
        <w:rPr>
          <w:rtl/>
        </w:rPr>
        <w:t xml:space="preserve"> חצי שנה קודם לכן</w:t>
      </w:r>
      <w:bookmarkStart w:id="1713" w:name="b3_ref41"/>
      <w:bookmarkEnd w:id="1713"/>
      <w:r>
        <w:rPr>
          <w:vertAlign w:val="superscript"/>
          <w:rtl/>
        </w:rPr>
        <w:fldChar w:fldCharType="begin" w:dirty="true"/>
      </w:r>
      <w:r>
        <w:rPr>
          <w:vertAlign w:val="superscript"/>
          <w:rtl/>
        </w:rPr>
        <w:instrText xml:space="preserve"> REF b3_note41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41</w:t>
      </w:r>
      <w:r>
        <w:rPr>
          <w:vertAlign w:val="superscript"/>
          <w:rtl/>
        </w:rPr>
        <w:fldChar w:fldCharType="end"/>
      </w:r>
      <w:r>
        <w:rPr>
          <w:rtl/>
        </w:rPr>
        <w:t xml:space="preserve"> – קיבלו את ההזמנה</w:t>
      </w:r>
      <w:bookmarkStart w:id="1714" w:name="b3_ref42"/>
      <w:bookmarkEnd w:id="1714"/>
      <w:r>
        <w:rPr>
          <w:vertAlign w:val="superscript"/>
          <w:rtl/>
        </w:rPr>
        <w:fldChar w:fldCharType="begin" w:dirty="true"/>
      </w:r>
      <w:r>
        <w:rPr>
          <w:vertAlign w:val="superscript"/>
          <w:rtl/>
        </w:rPr>
        <w:instrText xml:space="preserve"> REF b3_note42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42</w:t>
      </w:r>
      <w:r>
        <w:rPr>
          <w:vertAlign w:val="superscript"/>
          <w:rtl/>
        </w:rPr>
        <w:fldChar w:fldCharType="end"/>
      </w:r>
      <w:r>
        <w:rPr>
          <w:rtl/>
        </w:rPr>
        <w:t xml:space="preserve">. ישיבה חדשה בשם “כנסת ישראל”, על שם ר׳ ישראל </w:t>
      </w:r>
      <w:proofErr w:type="spellStart"/>
      <w:r>
        <w:rPr>
          <w:rtl/>
        </w:rPr>
        <w:t>סלנטר</w:t>
      </w:r>
      <w:proofErr w:type="spellEnd"/>
      <w:r>
        <w:rPr>
          <w:rtl/>
        </w:rPr>
        <w:t xml:space="preserve">, נפתחה </w:t>
      </w:r>
      <w:r>
        <w:rPr>
          <w:rtl/>
        </w:rPr>
        <w:lastRenderedPageBreak/>
        <w:t>בסלבודקה</w:t>
      </w:r>
      <w:bookmarkStart w:id="1715" w:name="b3_ref43"/>
      <w:bookmarkEnd w:id="1715"/>
      <w:r>
        <w:rPr>
          <w:vertAlign w:val="superscript"/>
          <w:rtl/>
        </w:rPr>
        <w:fldChar w:fldCharType="begin" w:dirty="true"/>
      </w:r>
      <w:r>
        <w:rPr>
          <w:vertAlign w:val="superscript"/>
          <w:rtl/>
        </w:rPr>
        <w:instrText xml:space="preserve"> REF b3_note43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43</w:t>
      </w:r>
      <w:r>
        <w:rPr>
          <w:vertAlign w:val="superscript"/>
          <w:rtl/>
        </w:rPr>
        <w:fldChar w:fldCharType="end"/>
      </w:r>
      <w:r>
        <w:rPr>
          <w:rtl/>
        </w:rPr>
        <w:t xml:space="preserve">. ישיבת </w:t>
      </w:r>
      <w:proofErr w:type="spellStart"/>
      <w:r>
        <w:rPr>
          <w:rtl/>
        </w:rPr>
        <w:t>סלבודקה</w:t>
      </w:r>
      <w:proofErr w:type="spellEnd"/>
      <w:r>
        <w:rPr>
          <w:rtl/>
        </w:rPr>
        <w:t xml:space="preserve"> המקורית, שנשארה בבית המדרש הישן</w:t>
      </w:r>
      <w:bookmarkStart w:id="1716" w:name="b3_ref44"/>
      <w:bookmarkEnd w:id="1716"/>
      <w:r>
        <w:rPr>
          <w:vertAlign w:val="superscript"/>
          <w:rtl/>
        </w:rPr>
        <w:fldChar w:fldCharType="begin" w:dirty="true"/>
      </w:r>
      <w:r>
        <w:rPr>
          <w:vertAlign w:val="superscript"/>
          <w:rtl/>
        </w:rPr>
        <w:instrText xml:space="preserve"> REF b3_note44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44</w:t>
      </w:r>
      <w:r>
        <w:rPr>
          <w:vertAlign w:val="superscript"/>
          <w:rtl/>
        </w:rPr>
        <w:fldChar w:fldCharType="end"/>
      </w:r>
      <w:r>
        <w:rPr>
          <w:rtl/>
        </w:rPr>
        <w:t xml:space="preserve">, קיבלה את השם “כנסת בית יצחק”, על שם ר׳ </w:t>
      </w:r>
      <w:proofErr w:type="spellStart"/>
      <w:r>
        <w:rPr>
          <w:rtl/>
        </w:rPr>
        <w:t>יצחק־אלחנן</w:t>
      </w:r>
      <w:proofErr w:type="spellEnd"/>
      <w:r>
        <w:rPr>
          <w:rtl/>
        </w:rPr>
        <w:t xml:space="preserve"> המנוח</w:t>
      </w:r>
      <w:bookmarkStart w:id="1717" w:name="b3_ref45"/>
      <w:bookmarkEnd w:id="1717"/>
      <w:r>
        <w:rPr>
          <w:vertAlign w:val="superscript"/>
          <w:rtl/>
        </w:rPr>
        <w:fldChar w:fldCharType="begin" w:dirty="true"/>
      </w:r>
      <w:r>
        <w:rPr>
          <w:vertAlign w:val="superscript"/>
          <w:rtl/>
        </w:rPr>
        <w:instrText xml:space="preserve"> REF b3_note45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45</w:t>
      </w:r>
      <w:r>
        <w:rPr>
          <w:vertAlign w:val="superscript"/>
          <w:rtl/>
        </w:rPr>
        <w:fldChar w:fldCharType="end"/>
      </w:r>
      <w:r>
        <w:rPr>
          <w:rtl/>
        </w:rPr>
        <w:t xml:space="preserve">, ושתי הישיבות הוסיפו להתפתח זו לצד זו. התחרות ושיתוף הפעולה בין שני המוסדות המשגשגים ללימודי תורה גבוהים העניקו </w:t>
      </w:r>
      <w:proofErr w:type="spellStart"/>
      <w:r>
        <w:rPr>
          <w:rtl/>
        </w:rPr>
        <w:t>לסלבודקה</w:t>
      </w:r>
      <w:proofErr w:type="spellEnd"/>
      <w:r>
        <w:rPr>
          <w:rtl/>
        </w:rPr>
        <w:t xml:space="preserve"> מעמד ייחודי, כמעט עשור לפני בואם של אבי וחבריו למסע. לכך נוספה העובדה המופלאה שאדם אחד, ר׳ </w:t>
      </w:r>
      <w:proofErr w:type="spellStart"/>
      <w:r>
        <w:rPr>
          <w:rtl/>
        </w:rPr>
        <w:t>נתן־צבי</w:t>
      </w:r>
      <w:proofErr w:type="spellEnd"/>
      <w:r>
        <w:rPr>
          <w:rtl/>
        </w:rPr>
        <w:t xml:space="preserve"> </w:t>
      </w:r>
      <w:proofErr w:type="spellStart"/>
      <w:r>
        <w:rPr>
          <w:rtl/>
        </w:rPr>
        <w:t>פינקל</w:t>
      </w:r>
      <w:proofErr w:type="spellEnd"/>
      <w:r>
        <w:rPr>
          <w:rtl/>
        </w:rPr>
        <w:t xml:space="preserve"> – שנודע לימים </w:t>
      </w:r>
      <w:proofErr w:type="spellStart"/>
      <w:r>
        <w:rPr>
          <w:rtl/>
        </w:rPr>
        <w:t>כ“הסבא</w:t>
      </w:r>
      <w:proofErr w:type="spellEnd"/>
      <w:r>
        <w:rPr>
          <w:rtl/>
        </w:rPr>
        <w:t xml:space="preserve"> מסלבודקה”</w:t>
      </w:r>
      <w:bookmarkStart w:id="1718" w:name="b3_ref46"/>
      <w:bookmarkEnd w:id="1718"/>
      <w:r>
        <w:rPr>
          <w:vertAlign w:val="superscript"/>
          <w:rtl/>
        </w:rPr>
        <w:fldChar w:fldCharType="begin" w:dirty="true"/>
      </w:r>
      <w:r>
        <w:rPr>
          <w:vertAlign w:val="superscript"/>
          <w:rtl/>
        </w:rPr>
        <w:instrText xml:space="preserve"> REF b3_note46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46</w:t>
      </w:r>
      <w:r>
        <w:rPr>
          <w:vertAlign w:val="superscript"/>
          <w:rtl/>
        </w:rPr>
        <w:fldChar w:fldCharType="end"/>
      </w:r>
      <w:r>
        <w:rPr>
          <w:rtl/>
        </w:rPr>
        <w:t xml:space="preserve"> – היה אחראי ליצירת </w:t>
      </w:r>
      <w:r>
        <w:rPr>
          <w:b/>
          <w:bCs/>
          <w:rtl/>
        </w:rPr>
        <w:t>שתיהן</w:t>
      </w:r>
      <w:r>
        <w:rPr>
          <w:rtl/>
        </w:rPr>
        <w:t>.</w:t>
      </w:r>
      <w:bookmarkStart w:id="1719" w:name="b3_ref47"/>
      <w:bookmarkEnd w:id="1719"/>
      <w:r>
        <w:rPr>
          <w:vertAlign w:val="superscript"/>
          <w:rtl/>
        </w:rPr>
        <w:fldChar w:fldCharType="begin" w:dirty="true"/>
      </w:r>
      <w:r>
        <w:rPr>
          <w:vertAlign w:val="superscript"/>
          <w:rtl/>
        </w:rPr>
        <w:instrText xml:space="preserve"> REF b3_note47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47</w:t>
      </w:r>
      <w:r>
        <w:rPr>
          <w:vertAlign w:val="superscript"/>
          <w:rtl/>
        </w:rPr>
        <w:fldChar w:fldCharType="end"/>
      </w:r>
    </w:p>
    <w:bookmarkStart w:id="1720" w:name="b3_note41"/>
    <w:p w14:paraId="33582C96" w14:textId="700821CF" w:rsidR="00AB3647" w:rsidRDefault="00000000" w:rsidP="007923E9">
      <w:pPr>
        <w:spacing w:before="120" w:after="100" w:line="276" w:lineRule="auto"/>
        <w:jc w:val="both"/>
      </w:pPr>
      <w:r>
        <w:fldChar w:fldCharType="begin" w:dirty="true"/>
      </w:r>
      <w:r>
        <w:instrText>HYPERLINK \l "b3_ref41"</w:instrText>
      </w:r>
      <w:r>
        <w:fldChar w:fldCharType="separate"/>
      </w:r>
      <w:r>
        <w:rPr>
          <w:b/>
          <w:bCs/>
          <w:rtl/>
        </w:rPr>
        <w:t>41</w:t>
      </w:r>
      <w:r>
        <w:rPr>
          <w:b/>
          <w:bCs/>
        </w:rPr>
        <w:fldChar w:fldCharType="end"/>
      </w:r>
      <w:bookmarkEnd w:id="1720"/>
      <w:r>
        <w:rPr>
          <w:rtl/>
        </w:rPr>
        <w:t xml:space="preserve"> ראה </w:t>
      </w:r>
      <w:r>
        <w:rPr>
          <w:rtl/>
        </w:rPr>
        <w:fldChar w:fldCharType="begin" w:dirty="true"/>
      </w:r>
      <w:r>
        <w:rPr>
          <w:rtl/>
        </w:rPr>
        <w:instrText xml:space="preserve"> REF b3_excO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טו</w:t>
      </w:r>
      <w:r>
        <w:rPr>
          <w:rtl/>
        </w:rPr>
        <w:fldChar w:fldCharType="end"/>
      </w:r>
      <w:r>
        <w:rPr>
          <w:rtl/>
        </w:rPr>
        <w:t>.</w:t>
      </w:r>
    </w:p>
    <w:bookmarkStart w:id="1721" w:name="b3_note42"/>
    <w:p w14:paraId="58B33A27" w14:textId="0305E52F" w:rsidR="00AB3647" w:rsidRDefault="00000000" w:rsidP="007923E9">
      <w:pPr>
        <w:spacing w:before="120" w:after="100" w:line="276" w:lineRule="auto"/>
        <w:jc w:val="both"/>
      </w:pPr>
      <w:r>
        <w:fldChar w:fldCharType="begin" w:dirty="true"/>
      </w:r>
      <w:r>
        <w:instrText>HYPERLINK \l "b3_ref42"</w:instrText>
      </w:r>
      <w:r>
        <w:fldChar w:fldCharType="separate"/>
      </w:r>
      <w:r>
        <w:rPr>
          <w:b/>
          <w:bCs/>
          <w:rtl/>
        </w:rPr>
        <w:t>42</w:t>
      </w:r>
      <w:r>
        <w:rPr>
          <w:b/>
          <w:bCs/>
        </w:rPr>
        <w:fldChar w:fldCharType="end"/>
      </w:r>
      <w:bookmarkEnd w:id="1721"/>
      <w:r>
        <w:rPr>
          <w:rtl/>
        </w:rPr>
        <w:t xml:space="preserve"> השווה הערה </w:t>
      </w:r>
      <w:r>
        <w:rPr>
          <w:rtl/>
        </w:rPr>
        <w:fldChar w:fldCharType="begin" w:dirty="true"/>
      </w:r>
      <w:r>
        <w:rPr>
          <w:rtl/>
        </w:rPr>
        <w:instrText xml:space="preserve"> REF b3_note39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39</w:t>
      </w:r>
      <w:r>
        <w:rPr>
          <w:rtl/>
        </w:rPr>
        <w:fldChar w:fldCharType="end"/>
      </w:r>
      <w:r>
        <w:rPr>
          <w:rtl/>
        </w:rPr>
        <w:t xml:space="preserve"> לעיל. </w:t>
      </w:r>
      <w:proofErr w:type="spellStart"/>
      <w:r>
        <w:rPr>
          <w:rtl/>
        </w:rPr>
        <w:t>לר</w:t>
      </w:r>
      <w:proofErr w:type="spellEnd"/>
      <w:r>
        <w:rPr>
          <w:rtl/>
        </w:rPr>
        <w:t xml:space="preserve">׳ </w:t>
      </w:r>
      <w:proofErr w:type="spellStart"/>
      <w:r>
        <w:rPr>
          <w:rtl/>
        </w:rPr>
        <w:t>משה־מרדכי</w:t>
      </w:r>
      <w:proofErr w:type="spellEnd"/>
      <w:r>
        <w:rPr>
          <w:rtl/>
        </w:rPr>
        <w:t xml:space="preserve"> אפשטיין הוצע שכר גבוה מאוד, כדי לפתותו להישאר בישיבה הקיימת שבבית המדרש הישן, אך הוא דחה את ההצעה ואמר: “עלי ללכת אחר האמת; והאמת עם ר׳ </w:t>
      </w:r>
      <w:proofErr w:type="spellStart"/>
      <w:r>
        <w:rPr>
          <w:rtl/>
        </w:rPr>
        <w:t>נתן־צבי</w:t>
      </w:r>
      <w:proofErr w:type="spellEnd"/>
      <w:r>
        <w:rPr>
          <w:rtl/>
        </w:rPr>
        <w:t>.”</w:t>
      </w:r>
      <w:bookmarkStart w:id="1722" w:name="_fnr1112"/>
      <w:r>
        <w:rPr>
          <w:rStyle w:val="a5"/>
        </w:rPr>
        <w:footnoteReference w:id="1115" w:customMarkFollows="0"/>
      </w:r>
      <w:bookmarkEnd w:id="1722"/>
      <w:r>
        <w:rPr>
          <w:rtl/>
        </w:rPr>
        <w:t xml:space="preserve"> השווה גם הקדמת ר׳ </w:t>
      </w:r>
      <w:proofErr w:type="spellStart"/>
      <w:r>
        <w:rPr>
          <w:rtl/>
        </w:rPr>
        <w:t>משה־מרדכי</w:t>
      </w:r>
      <w:proofErr w:type="spellEnd"/>
      <w:r>
        <w:rPr>
          <w:rtl/>
        </w:rPr>
        <w:t xml:space="preserve"> אפשטיין </w:t>
      </w:r>
      <w:proofErr w:type="spellStart"/>
      <w:r>
        <w:rPr>
          <w:rtl/>
        </w:rPr>
        <w:t>ל“לבוש</w:t>
      </w:r>
      <w:proofErr w:type="spellEnd"/>
      <w:r>
        <w:rPr>
          <w:rtl/>
        </w:rPr>
        <w:t xml:space="preserve"> מרדכי” על מסכת בבא קמא</w:t>
      </w:r>
      <w:bookmarkStart w:id="1723" w:name="_fnr1113"/>
      <w:r>
        <w:rPr>
          <w:rStyle w:val="a5"/>
        </w:rPr>
        <w:footnoteReference w:id="1116" w:customMarkFollows="0"/>
      </w:r>
      <w:bookmarkEnd w:id="1723"/>
      <w:r>
        <w:rPr>
          <w:rtl/>
        </w:rPr>
        <w:t>, על החשיבות שייחס ללימוד המוסר</w:t>
      </w:r>
      <w:bookmarkStart w:id="1724" w:name="_fnr1114"/>
      <w:r>
        <w:rPr>
          <w:rStyle w:val="a5"/>
        </w:rPr>
        <w:footnoteReference w:id="1117" w:customMarkFollows="0"/>
      </w:r>
      <w:bookmarkEnd w:id="1724"/>
      <w:r>
        <w:rPr>
          <w:rtl/>
        </w:rPr>
        <w:t xml:space="preserve">. עם ייסוד כנסת ישראל הועלה ר׳ </w:t>
      </w:r>
      <w:proofErr w:type="spellStart"/>
      <w:r>
        <w:rPr>
          <w:rtl/>
        </w:rPr>
        <w:t>משה־מרדכי</w:t>
      </w:r>
      <w:proofErr w:type="spellEnd"/>
      <w:r>
        <w:rPr>
          <w:rtl/>
        </w:rPr>
        <w:t xml:space="preserve"> רשמית לדרגת ראש ישיבה</w:t>
      </w:r>
      <w:bookmarkStart w:id="1725" w:name="_fnr1115"/>
      <w:r>
        <w:rPr>
          <w:rStyle w:val="a5"/>
        </w:rPr>
        <w:footnoteReference w:id="1118" w:customMarkFollows="0"/>
      </w:r>
      <w:bookmarkEnd w:id="1725"/>
      <w:r>
        <w:rPr>
          <w:rtl/>
        </w:rPr>
        <w:t>.</w:t>
      </w:r>
    </w:p>
    <w:p w14:paraId="6ECAC4D4" w14:textId="77777777" w:rsidR="00AB3647" w:rsidRDefault="00000000" w:rsidP="007923E9">
      <w:pPr>
        <w:spacing w:after="100" w:line="276" w:lineRule="auto"/>
        <w:ind w:firstLine="340"/>
        <w:jc w:val="both"/>
      </w:pPr>
      <w:r>
        <w:rPr>
          <w:rtl/>
        </w:rPr>
        <w:t xml:space="preserve">החלטתו של הסבא </w:t>
      </w:r>
      <w:proofErr w:type="spellStart"/>
      <w:r>
        <w:rPr>
          <w:rtl/>
        </w:rPr>
        <w:t>מסלבודקה</w:t>
      </w:r>
      <w:proofErr w:type="spellEnd"/>
      <w:r>
        <w:rPr>
          <w:rtl/>
        </w:rPr>
        <w:t xml:space="preserve"> לפרוש מן הישיבה שייסד, בתקווה לבנות חדשה, הייתה מעשה מוסרי נעלה. מאחר ששיעור גבוה מתלמידי אותה ישיבה התנגד לו, היה צעדו בוודאי צעד נבון. ובכל זאת, נדרש כוח מוסרי רב כדי לוותר על המוסד הקיים שייסד ולהתחיל מחדש. אדם בעל שיעור קומה נמוך יותר היה אולי נשאר בפנים ונאבק במתנגדיו – ומעמיד את מעשה ידיו בסכנת הרס.</w:t>
      </w:r>
    </w:p>
    <w:bookmarkStart w:id="1726" w:name="b3_note43"/>
    <w:p w14:paraId="73EDF0F9" w14:textId="73E90942" w:rsidR="00AB3647" w:rsidRDefault="00000000" w:rsidP="007923E9">
      <w:pPr>
        <w:spacing w:before="120" w:after="100" w:line="276" w:lineRule="auto"/>
        <w:jc w:val="both"/>
      </w:pPr>
      <w:r>
        <w:fldChar w:fldCharType="begin" w:dirty="true"/>
      </w:r>
      <w:r>
        <w:instrText>HYPERLINK \l "b3_ref43"</w:instrText>
      </w:r>
      <w:r>
        <w:fldChar w:fldCharType="separate"/>
      </w:r>
      <w:r>
        <w:rPr>
          <w:b/>
          <w:bCs/>
          <w:rtl/>
        </w:rPr>
        <w:t>43</w:t>
      </w:r>
      <w:r>
        <w:rPr>
          <w:b/>
          <w:bCs/>
        </w:rPr>
        <w:fldChar w:fldCharType="end"/>
      </w:r>
      <w:bookmarkEnd w:id="1726"/>
      <w:r>
        <w:rPr>
          <w:rtl/>
        </w:rPr>
        <w:t xml:space="preserve"> אי הדיוק בספרו של כץ, “תנועת המוסר”, כרך ב</w:t>
      </w:r>
      <w:bookmarkStart w:id="1727" w:name="_fnr1116"/>
      <w:r>
        <w:rPr>
          <w:rStyle w:val="a5"/>
        </w:rPr>
        <w:footnoteReference w:id="1119" w:customMarkFollows="0"/>
      </w:r>
      <w:bookmarkEnd w:id="1727"/>
      <w:r>
        <w:rPr>
          <w:rtl/>
        </w:rPr>
        <w:t xml:space="preserve">, כאילו הישיבה נקראה “כנסת ישראל” עוד קודם לכן, תוקן </w:t>
      </w:r>
      <w:proofErr w:type="spellStart"/>
      <w:r>
        <w:rPr>
          <w:rtl/>
        </w:rPr>
        <w:t>ב“פולמוס</w:t>
      </w:r>
      <w:proofErr w:type="spellEnd"/>
      <w:r>
        <w:rPr>
          <w:rtl/>
        </w:rPr>
        <w:t xml:space="preserve"> המוסר”</w:t>
      </w:r>
      <w:bookmarkStart w:id="1728" w:name="_fnr1117"/>
      <w:r>
        <w:rPr>
          <w:rStyle w:val="a5"/>
        </w:rPr>
        <w:footnoteReference w:id="1120" w:customMarkFollows="0"/>
      </w:r>
      <w:bookmarkEnd w:id="1728"/>
      <w:r>
        <w:rPr>
          <w:rtl/>
        </w:rPr>
        <w:t xml:space="preserve"> של אותו מחבר. לישיבה החדשה לא היו מקורות הכנסה, והיא הייתה נסגרת זמן קצר לאחר פתיחתה, אלמלא תרומה </w:t>
      </w:r>
      <w:proofErr w:type="spellStart"/>
      <w:r>
        <w:rPr>
          <w:rtl/>
        </w:rPr>
        <w:t>עלומת</w:t>
      </w:r>
      <w:proofErr w:type="spellEnd"/>
      <w:r>
        <w:rPr>
          <w:rtl/>
        </w:rPr>
        <w:t xml:space="preserve"> שם של 300 רובל. התורם היה </w:t>
      </w:r>
      <w:proofErr w:type="spellStart"/>
      <w:r>
        <w:rPr>
          <w:rtl/>
        </w:rPr>
        <w:t>החפץ־חיים</w:t>
      </w:r>
      <w:bookmarkStart w:id="1729" w:name="_fnr1118"/>
      <w:proofErr w:type="spellEnd"/>
      <w:r>
        <w:rPr>
          <w:rStyle w:val="a5"/>
        </w:rPr>
        <w:footnoteReference w:id="1121" w:customMarkFollows="0"/>
      </w:r>
      <w:bookmarkEnd w:id="1729"/>
      <w:r>
        <w:rPr>
          <w:rtl/>
        </w:rPr>
        <w:t xml:space="preserve">. לנוכח יחסו השלילי לשיטת המוסר – ראה הפסקה השנייה של </w:t>
      </w:r>
      <w:r>
        <w:rPr>
          <w:rtl/>
        </w:rPr>
        <w:fldChar w:fldCharType="begin" w:dirty="true"/>
      </w:r>
      <w:r>
        <w:rPr>
          <w:rtl/>
        </w:rPr>
        <w:instrText xml:space="preserve"> REF b3_excU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כא</w:t>
      </w:r>
      <w:proofErr w:type="spellEnd"/>
      <w:r>
        <w:rPr>
          <w:rtl/>
        </w:rPr>
        <w:fldChar w:fldCharType="end"/>
      </w:r>
      <w:r>
        <w:rPr>
          <w:rtl/>
        </w:rPr>
        <w:t xml:space="preserve"> להלן – מפליא שתרם תרומה יוצאת דופן זו לישיבת </w:t>
      </w:r>
      <w:proofErr w:type="spellStart"/>
      <w:r>
        <w:rPr>
          <w:rtl/>
        </w:rPr>
        <w:t>סלבודקה</w:t>
      </w:r>
      <w:proofErr w:type="spellEnd"/>
      <w:r>
        <w:rPr>
          <w:rtl/>
        </w:rPr>
        <w:t xml:space="preserve"> הפורשת. אבל השווה הערה </w:t>
      </w:r>
      <w:r>
        <w:rPr>
          <w:rtl/>
        </w:rPr>
        <w:fldChar w:fldCharType="begin" w:dirty="true"/>
      </w:r>
      <w:r>
        <w:rPr>
          <w:rtl/>
        </w:rPr>
        <w:instrText xml:space="preserve"> REF b3_note29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29</w:t>
      </w:r>
      <w:r>
        <w:rPr>
          <w:rtl/>
        </w:rPr>
        <w:fldChar w:fldCharType="end"/>
      </w:r>
      <w:r>
        <w:rPr>
          <w:rtl/>
        </w:rPr>
        <w:t xml:space="preserve"> לעיל, המציעה הסבר לדבר.</w:t>
      </w:r>
    </w:p>
    <w:bookmarkStart w:id="1730" w:name="b3_note44"/>
    <w:p w14:paraId="0A427952" w14:textId="77777777" w:rsidR="00AB3647" w:rsidRDefault="00000000" w:rsidP="007923E9">
      <w:pPr>
        <w:spacing w:before="120" w:after="100" w:line="276" w:lineRule="auto"/>
        <w:jc w:val="both"/>
      </w:pPr>
      <w:r>
        <w:fldChar w:fldCharType="begin" w:dirty="true"/>
      </w:r>
      <w:r>
        <w:instrText>HYPERLINK \l "b3_ref44"</w:instrText>
      </w:r>
      <w:r>
        <w:fldChar w:fldCharType="separate"/>
      </w:r>
      <w:r>
        <w:rPr>
          <w:b/>
          <w:bCs/>
          <w:rtl/>
        </w:rPr>
        <w:t>44</w:t>
      </w:r>
      <w:r>
        <w:rPr>
          <w:b/>
          <w:bCs/>
        </w:rPr>
        <w:fldChar w:fldCharType="end"/>
      </w:r>
      <w:bookmarkEnd w:id="1730"/>
      <w:r>
        <w:rPr>
          <w:rtl/>
        </w:rPr>
        <w:t xml:space="preserve"> מאמרו של </w:t>
      </w:r>
      <w:proofErr w:type="spellStart"/>
      <w:r>
        <w:rPr>
          <w:rtl/>
        </w:rPr>
        <w:t>הירש־לייב</w:t>
      </w:r>
      <w:proofErr w:type="spellEnd"/>
      <w:r>
        <w:rPr>
          <w:rtl/>
        </w:rPr>
        <w:t xml:space="preserve"> גורדון “על גדות </w:t>
      </w:r>
      <w:proofErr w:type="spellStart"/>
      <w:r>
        <w:rPr>
          <w:rtl/>
        </w:rPr>
        <w:t>הוויליה</w:t>
      </w:r>
      <w:proofErr w:type="spellEnd"/>
      <w:r>
        <w:rPr>
          <w:rtl/>
        </w:rPr>
        <w:t xml:space="preserve"> </w:t>
      </w:r>
      <w:proofErr w:type="spellStart"/>
      <w:r>
        <w:rPr>
          <w:rtl/>
        </w:rPr>
        <w:t>והנימן</w:t>
      </w:r>
      <w:proofErr w:type="spellEnd"/>
      <w:r>
        <w:rPr>
          <w:rtl/>
        </w:rPr>
        <w:t xml:space="preserve">” </w:t>
      </w:r>
      <w:proofErr w:type="spellStart"/>
      <w:r>
        <w:rPr>
          <w:rtl/>
        </w:rPr>
        <w:t>ב“הדואר</w:t>
      </w:r>
      <w:proofErr w:type="spellEnd"/>
      <w:r>
        <w:rPr>
          <w:rtl/>
        </w:rPr>
        <w:t>”</w:t>
      </w:r>
      <w:bookmarkStart w:id="1731" w:name="_fnr1119"/>
      <w:r>
        <w:rPr>
          <w:rStyle w:val="a5"/>
        </w:rPr>
        <w:footnoteReference w:id="1122" w:customMarkFollows="0"/>
      </w:r>
      <w:bookmarkEnd w:id="1731"/>
      <w:r>
        <w:rPr>
          <w:rtl/>
        </w:rPr>
        <w:t xml:space="preserve"> אומר: “בית המדרש הישן שימש את הישיבה רק בימות החול; בשבתות ובמועדים שימש מקום תפילה ולימוד </w:t>
      </w:r>
      <w:r>
        <w:rPr>
          <w:rtl/>
        </w:rPr>
        <w:lastRenderedPageBreak/>
        <w:t>לקהל בעלי בתים שלא היו קשורים לישיבה, ובימים אלה נאלצו הבחורים להתפזר בבתי כנסת שונים.”</w:t>
      </w:r>
    </w:p>
    <w:p w14:paraId="3334F1D1" w14:textId="77777777" w:rsidR="00AB3647" w:rsidRDefault="00000000" w:rsidP="007923E9">
      <w:pPr>
        <w:spacing w:before="120" w:after="100" w:line="276" w:lineRule="auto"/>
        <w:jc w:val="both"/>
      </w:pPr>
      <w:r>
        <w:rPr>
          <w:rtl/>
        </w:rPr>
        <w:t xml:space="preserve">גורדון למד בכנסת בית יצחק בשנים תרס״ז </w:t>
      </w:r>
      <w:proofErr w:type="spellStart"/>
      <w:r>
        <w:rPr>
          <w:rtl/>
        </w:rPr>
        <w:t>ותרס״ח</w:t>
      </w:r>
      <w:proofErr w:type="spellEnd"/>
      <w:r>
        <w:rPr>
          <w:rtl/>
        </w:rPr>
        <w:t>, ולכן יש להניח שהסדר המתואר התקיים מאז ייסוד הישיבה כעשר שנים קודם לכן</w:t>
      </w:r>
      <w:bookmarkStart w:id="1732" w:name="_fnr1120"/>
      <w:r>
        <w:rPr>
          <w:rStyle w:val="a5"/>
        </w:rPr>
        <w:footnoteReference w:id="1123" w:customMarkFollows="0"/>
      </w:r>
      <w:bookmarkEnd w:id="1732"/>
      <w:r>
        <w:rPr>
          <w:rtl/>
        </w:rPr>
        <w:t xml:space="preserve"> (או מאז נעשה בית המדרש הישן צפוף מדי מרוב בעלי בתים), וכנראה נמשך כך עד מלחמת העולם הראשונה. </w:t>
      </w:r>
      <w:proofErr w:type="spellStart"/>
      <w:r>
        <w:rPr>
          <w:rtl/>
        </w:rPr>
        <w:t>בקצאווישע</w:t>
      </w:r>
      <w:proofErr w:type="spellEnd"/>
      <w:r>
        <w:rPr>
          <w:rtl/>
        </w:rPr>
        <w:t xml:space="preserve"> </w:t>
      </w:r>
      <w:proofErr w:type="spellStart"/>
      <w:r>
        <w:rPr>
          <w:rtl/>
        </w:rPr>
        <w:t>קלויז</w:t>
      </w:r>
      <w:proofErr w:type="spellEnd"/>
      <w:r>
        <w:rPr>
          <w:rtl/>
        </w:rPr>
        <w:t xml:space="preserve"> היה מצבה של כנסת ישראל קשה עוד יותר: שלוש שנים לאחר שנכנסה הישיבה לבית תפילתם, החלו גבאי בית הכנסת לדחוק בה למצוא מקום אחר. ר׳ </w:t>
      </w:r>
      <w:proofErr w:type="spellStart"/>
      <w:r>
        <w:rPr>
          <w:rtl/>
        </w:rPr>
        <w:t>משה־מרדכי</w:t>
      </w:r>
      <w:proofErr w:type="spellEnd"/>
      <w:r>
        <w:rPr>
          <w:rtl/>
        </w:rPr>
        <w:t xml:space="preserve"> גייס את הכספים לבנות לישיבה בניין משלה בשנת תר״ס</w:t>
      </w:r>
      <w:bookmarkStart w:id="1733" w:name="_fnr1121"/>
      <w:r>
        <w:rPr>
          <w:rStyle w:val="a5"/>
        </w:rPr>
        <w:footnoteReference w:id="1124" w:customMarkFollows="0"/>
      </w:r>
      <w:bookmarkEnd w:id="1733"/>
      <w:r>
        <w:rPr>
          <w:rtl/>
        </w:rPr>
        <w:t>.</w:t>
      </w:r>
    </w:p>
    <w:bookmarkStart w:id="1734" w:name="b3_note45"/>
    <w:p w14:paraId="112DAD27" w14:textId="4E15116D" w:rsidR="00AB3647" w:rsidRDefault="00000000" w:rsidP="007923E9">
      <w:pPr>
        <w:spacing w:before="120" w:after="100" w:line="276" w:lineRule="auto"/>
        <w:jc w:val="both"/>
      </w:pPr>
      <w:r>
        <w:fldChar w:fldCharType="begin" w:dirty="true"/>
      </w:r>
      <w:r>
        <w:instrText>HYPERLINK \l "b3_ref45"</w:instrText>
      </w:r>
      <w:r>
        <w:fldChar w:fldCharType="separate"/>
      </w:r>
      <w:r>
        <w:rPr>
          <w:b/>
          <w:bCs/>
          <w:rtl/>
        </w:rPr>
        <w:t>45</w:t>
      </w:r>
      <w:r>
        <w:rPr>
          <w:b/>
          <w:bCs/>
        </w:rPr>
        <w:fldChar w:fldCharType="end"/>
      </w:r>
      <w:bookmarkEnd w:id="1734"/>
      <w:r>
        <w:rPr>
          <w:rtl/>
        </w:rPr>
        <w:t xml:space="preserve"> ראה </w:t>
      </w:r>
      <w:r>
        <w:rPr>
          <w:rtl/>
        </w:rPr>
        <w:fldChar w:fldCharType="begin" w:dirty="true"/>
      </w:r>
      <w:r>
        <w:rPr>
          <w:rtl/>
        </w:rPr>
        <w:instrText xml:space="preserve"> REF b3_excP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טז</w:t>
      </w:r>
      <w:proofErr w:type="spellEnd"/>
      <w:r>
        <w:rPr>
          <w:rtl/>
        </w:rPr>
        <w:fldChar w:fldCharType="end"/>
      </w:r>
      <w:r>
        <w:rPr>
          <w:rtl/>
        </w:rPr>
        <w:t>.</w:t>
      </w:r>
    </w:p>
    <w:bookmarkStart w:id="1735" w:name="b3_note46"/>
    <w:p w14:paraId="20587CEC" w14:textId="194A6488" w:rsidR="00AB3647" w:rsidRDefault="00000000" w:rsidP="007923E9">
      <w:pPr>
        <w:spacing w:before="120" w:after="100" w:line="276" w:lineRule="auto"/>
        <w:jc w:val="both"/>
      </w:pPr>
      <w:r>
        <w:fldChar w:fldCharType="begin" w:dirty="true"/>
      </w:r>
      <w:r>
        <w:instrText>HYPERLINK \l "b3_ref46"</w:instrText>
      </w:r>
      <w:r>
        <w:fldChar w:fldCharType="separate"/>
      </w:r>
      <w:r>
        <w:rPr>
          <w:b/>
          <w:bCs/>
          <w:rtl/>
        </w:rPr>
        <w:t>46</w:t>
      </w:r>
      <w:r>
        <w:rPr>
          <w:b/>
          <w:bCs/>
        </w:rPr>
        <w:fldChar w:fldCharType="end"/>
      </w:r>
      <w:bookmarkEnd w:id="1735"/>
      <w:r>
        <w:rPr>
          <w:rtl/>
        </w:rPr>
        <w:t xml:space="preserve"> השווה פרק 2, הערה </w:t>
      </w:r>
      <w:r>
        <w:rPr>
          <w:rtl/>
        </w:rPr>
        <w:fldChar w:fldCharType="begin" w:dirty="true"/>
      </w:r>
      <w:r>
        <w:rPr>
          <w:rtl/>
        </w:rPr>
        <w:instrText xml:space="preserve"> REF b2_note93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93</w:t>
      </w:r>
      <w:r>
        <w:rPr>
          <w:rtl/>
        </w:rPr>
        <w:fldChar w:fldCharType="end"/>
      </w:r>
      <w:r>
        <w:rPr>
          <w:rtl/>
        </w:rPr>
        <w:t>.</w:t>
      </w:r>
    </w:p>
    <w:bookmarkStart w:id="1736" w:name="b3_note47"/>
    <w:p w14:paraId="7DBD35B5" w14:textId="55FF7864" w:rsidR="00AB3647" w:rsidRDefault="00000000" w:rsidP="007923E9">
      <w:pPr>
        <w:spacing w:before="120" w:after="100" w:line="276" w:lineRule="auto"/>
        <w:jc w:val="both"/>
      </w:pPr>
      <w:r>
        <w:fldChar w:fldCharType="begin" w:dirty="true"/>
      </w:r>
      <w:r>
        <w:instrText>HYPERLINK \l "b3_ref47"</w:instrText>
      </w:r>
      <w:r>
        <w:fldChar w:fldCharType="separate"/>
      </w:r>
      <w:r>
        <w:rPr>
          <w:b/>
          <w:bCs/>
          <w:rtl/>
        </w:rPr>
        <w:t>47</w:t>
      </w:r>
      <w:r>
        <w:rPr>
          <w:b/>
          <w:bCs/>
        </w:rPr>
        <w:fldChar w:fldCharType="end"/>
      </w:r>
      <w:bookmarkEnd w:id="1736"/>
      <w:r>
        <w:rPr>
          <w:rtl/>
        </w:rPr>
        <w:t xml:space="preserve"> ראה </w:t>
      </w:r>
      <w:r>
        <w:rPr>
          <w:rtl/>
        </w:rPr>
        <w:fldChar w:fldCharType="begin" w:dirty="true"/>
      </w:r>
      <w:r>
        <w:rPr>
          <w:rtl/>
        </w:rPr>
        <w:instrText xml:space="preserve"> REF b3_excQ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יז</w:t>
      </w:r>
      <w:proofErr w:type="spellEnd"/>
      <w:r>
        <w:rPr>
          <w:rtl/>
        </w:rPr>
        <w:fldChar w:fldCharType="end"/>
      </w:r>
      <w:r>
        <w:rPr>
          <w:rtl/>
        </w:rPr>
        <w:t>.</w:t>
      </w:r>
    </w:p>
    <w:p w14:paraId="5EC267FF" w14:textId="325A029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בעשור הראשון לקיומן עברו שתי הישיבות שינויים מכריעים. כנסת בית יצחק נעזרה בתחילה ברבה של </w:t>
      </w:r>
      <w:proofErr w:type="spellStart"/>
      <w:r>
        <w:rPr>
          <w:rtl/>
        </w:rPr>
        <w:t>סלבודקה</w:t>
      </w:r>
      <w:proofErr w:type="spellEnd"/>
      <w:r>
        <w:rPr>
          <w:rtl/>
        </w:rPr>
        <w:t xml:space="preserve">, ר׳ משה </w:t>
      </w:r>
      <w:proofErr w:type="spellStart"/>
      <w:r>
        <w:rPr>
          <w:rtl/>
        </w:rPr>
        <w:t>דנישבסקי</w:t>
      </w:r>
      <w:proofErr w:type="spellEnd"/>
      <w:r>
        <w:rPr>
          <w:rtl/>
        </w:rPr>
        <w:t xml:space="preserve">, כר״מ ראשי. אחר כך הזמינה את ר׳ חיים </w:t>
      </w:r>
      <w:proofErr w:type="spellStart"/>
      <w:r>
        <w:rPr>
          <w:rtl/>
        </w:rPr>
        <w:t>רבינוביץ</w:t>
      </w:r>
      <w:proofErr w:type="spellEnd"/>
      <w:r>
        <w:rPr>
          <w:rtl/>
        </w:rPr>
        <w:t>, רבה של מיאשאד,</w:t>
      </w:r>
      <w:bookmarkStart w:id="1737" w:name="b3_ref48"/>
      <w:bookmarkEnd w:id="1737"/>
      <w:r>
        <w:rPr>
          <w:vertAlign w:val="superscript"/>
          <w:rtl/>
        </w:rPr>
        <w:fldChar w:fldCharType="begin" w:dirty="true"/>
      </w:r>
      <w:r>
        <w:rPr>
          <w:vertAlign w:val="superscript"/>
          <w:rtl/>
        </w:rPr>
        <w:instrText xml:space="preserve"> REF b3_note48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48</w:t>
      </w:r>
      <w:r>
        <w:rPr>
          <w:vertAlign w:val="superscript"/>
          <w:rtl/>
        </w:rPr>
        <w:fldChar w:fldCharType="end"/>
      </w:r>
      <w:r>
        <w:rPr>
          <w:rtl/>
        </w:rPr>
        <w:t xml:space="preserve"> לעמוד בראשה. לבסוף שכרה את שירותיו של תלמידו המובהק של ר׳ חיים </w:t>
      </w:r>
      <w:proofErr w:type="spellStart"/>
      <w:r>
        <w:rPr>
          <w:rtl/>
        </w:rPr>
        <w:t>סולובייצ׳יק</w:t>
      </w:r>
      <w:proofErr w:type="spellEnd"/>
      <w:r>
        <w:rPr>
          <w:rtl/>
        </w:rPr>
        <w:t xml:space="preserve">, ר׳ </w:t>
      </w:r>
      <w:proofErr w:type="spellStart"/>
      <w:r>
        <w:rPr>
          <w:rtl/>
        </w:rPr>
        <w:t>ברוך־בער</w:t>
      </w:r>
      <w:proofErr w:type="spellEnd"/>
      <w:r>
        <w:rPr>
          <w:rtl/>
        </w:rPr>
        <w:t xml:space="preserve"> </w:t>
      </w:r>
      <w:proofErr w:type="spellStart"/>
      <w:r>
        <w:rPr>
          <w:rtl/>
        </w:rPr>
        <w:t>ליבוביץ</w:t>
      </w:r>
      <w:proofErr w:type="spellEnd"/>
      <w:r>
        <w:rPr>
          <w:rtl/>
        </w:rPr>
        <w:t xml:space="preserve"> הקדוש,</w:t>
      </w:r>
      <w:bookmarkStart w:id="1738" w:name="b3_ref49"/>
      <w:bookmarkEnd w:id="1738"/>
      <w:r>
        <w:rPr>
          <w:vertAlign w:val="superscript"/>
          <w:rtl/>
        </w:rPr>
        <w:fldChar w:fldCharType="begin" w:dirty="true"/>
      </w:r>
      <w:r>
        <w:rPr>
          <w:vertAlign w:val="superscript"/>
          <w:rtl/>
        </w:rPr>
        <w:instrText xml:space="preserve"> REF b3_note49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49</w:t>
      </w:r>
      <w:r>
        <w:rPr>
          <w:vertAlign w:val="superscript"/>
          <w:rtl/>
        </w:rPr>
        <w:fldChar w:fldCharType="end"/>
      </w:r>
      <w:r>
        <w:rPr>
          <w:rtl/>
        </w:rPr>
        <w:t xml:space="preserve"> בתרס״ה.</w:t>
      </w:r>
      <w:bookmarkStart w:id="1739" w:name="b3_ref50"/>
      <w:bookmarkEnd w:id="1739"/>
      <w:r>
        <w:rPr>
          <w:vertAlign w:val="superscript"/>
          <w:rtl/>
        </w:rPr>
        <w:fldChar w:fldCharType="begin" w:dirty="true"/>
      </w:r>
      <w:r>
        <w:rPr>
          <w:vertAlign w:val="superscript"/>
          <w:rtl/>
        </w:rPr>
        <w:instrText xml:space="preserve"> REF b3_note50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50</w:t>
      </w:r>
      <w:r>
        <w:rPr>
          <w:vertAlign w:val="superscript"/>
          <w:rtl/>
        </w:rPr>
        <w:fldChar w:fldCharType="end"/>
      </w:r>
      <w:r>
        <w:rPr>
          <w:rtl/>
        </w:rPr>
        <w:t xml:space="preserve"> בואו הביא לישיבה, לצד למדנות מעולה, גם מופת של יראת שמים</w:t>
      </w:r>
      <w:r>
        <w:rPr>
          <w:vertAlign w:val="superscript"/>
          <w:rtl/>
        </w:rPr>
        <w:fldChar w:fldCharType="begin" w:dirty="true"/>
      </w:r>
      <w:r>
        <w:rPr>
          <w:vertAlign w:val="superscript"/>
          <w:rtl/>
        </w:rPr>
        <w:instrText xml:space="preserve"> REF b3_note49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49</w:t>
      </w:r>
      <w:r>
        <w:rPr>
          <w:vertAlign w:val="superscript"/>
          <w:rtl/>
        </w:rPr>
        <w:fldChar w:fldCharType="end"/>
      </w:r>
      <w:r>
        <w:rPr>
          <w:rtl/>
        </w:rPr>
        <w:t xml:space="preserve"> שהתלמידים יכלו לחקותו.</w:t>
      </w:r>
    </w:p>
    <w:bookmarkStart w:id="1740" w:name="b3_note48"/>
    <w:p w14:paraId="631C9C98" w14:textId="77777777" w:rsidR="00AB3647" w:rsidRDefault="00000000" w:rsidP="007923E9">
      <w:pPr>
        <w:spacing w:before="120" w:after="100" w:line="276" w:lineRule="auto"/>
        <w:jc w:val="both"/>
      </w:pPr>
      <w:r>
        <w:fldChar w:fldCharType="begin" w:dirty="true"/>
      </w:r>
      <w:r>
        <w:instrText>HYPERLINK \l "b3_ref48"</w:instrText>
      </w:r>
      <w:r>
        <w:fldChar w:fldCharType="separate"/>
      </w:r>
      <w:r>
        <w:rPr>
          <w:b/>
          <w:bCs/>
          <w:rtl/>
        </w:rPr>
        <w:t>48</w:t>
      </w:r>
      <w:r>
        <w:rPr>
          <w:b/>
          <w:bCs/>
        </w:rPr>
        <w:fldChar w:fldCharType="end"/>
      </w:r>
      <w:bookmarkEnd w:id="1740"/>
      <w:r>
        <w:rPr>
          <w:rtl/>
        </w:rPr>
        <w:t xml:space="preserve"> ר׳ חיים </w:t>
      </w:r>
      <w:proofErr w:type="spellStart"/>
      <w:r>
        <w:rPr>
          <w:rtl/>
        </w:rPr>
        <w:t>רבינוביץ</w:t>
      </w:r>
      <w:proofErr w:type="spellEnd"/>
      <w:r>
        <w:rPr>
          <w:rtl/>
        </w:rPr>
        <w:t xml:space="preserve"> נולד </w:t>
      </w:r>
      <w:proofErr w:type="spellStart"/>
      <w:r>
        <w:rPr>
          <w:rtl/>
        </w:rPr>
        <w:t>בתר״ך</w:t>
      </w:r>
      <w:proofErr w:type="spellEnd"/>
      <w:r>
        <w:rPr>
          <w:rtl/>
        </w:rPr>
        <w:t xml:space="preserve">, ונתמנה לאחד </w:t>
      </w:r>
      <w:proofErr w:type="spellStart"/>
      <w:r>
        <w:rPr>
          <w:rtl/>
        </w:rPr>
        <w:t>הר״מים</w:t>
      </w:r>
      <w:proofErr w:type="spellEnd"/>
      <w:r>
        <w:rPr>
          <w:rtl/>
        </w:rPr>
        <w:t xml:space="preserve"> הראשונים בישיבת </w:t>
      </w:r>
      <w:proofErr w:type="spellStart"/>
      <w:r>
        <w:rPr>
          <w:rtl/>
        </w:rPr>
        <w:t>סלבודקה</w:t>
      </w:r>
      <w:proofErr w:type="spellEnd"/>
      <w:r>
        <w:rPr>
          <w:rtl/>
        </w:rPr>
        <w:t xml:space="preserve"> המקורית בהיותו בן עשרים ושש,</w:t>
      </w:r>
      <w:bookmarkStart w:id="1741" w:name="_fnr1122"/>
      <w:r>
        <w:rPr>
          <w:rStyle w:val="a5"/>
        </w:rPr>
        <w:footnoteReference w:id="1125" w:customMarkFollows="0"/>
      </w:r>
      <w:bookmarkEnd w:id="1741"/>
      <w:r>
        <w:rPr>
          <w:rtl/>
        </w:rPr>
        <w:t xml:space="preserve"> לפני שעבר </w:t>
      </w:r>
      <w:proofErr w:type="spellStart"/>
      <w:r>
        <w:rPr>
          <w:rtl/>
        </w:rPr>
        <w:t>למיאשאד</w:t>
      </w:r>
      <w:proofErr w:type="spellEnd"/>
      <w:r>
        <w:rPr>
          <w:rtl/>
        </w:rPr>
        <w:t xml:space="preserve">. לאחר ששימש בכנסת בית יצחק נעשה ר״מ בכיר </w:t>
      </w:r>
      <w:proofErr w:type="spellStart"/>
      <w:r>
        <w:rPr>
          <w:rtl/>
        </w:rPr>
        <w:t>בטלז</w:t>
      </w:r>
      <w:proofErr w:type="spellEnd"/>
      <w:r>
        <w:rPr>
          <w:rtl/>
        </w:rPr>
        <w:t xml:space="preserve">, ושם נודע כר׳ חיים </w:t>
      </w:r>
      <w:proofErr w:type="spellStart"/>
      <w:r>
        <w:rPr>
          <w:rtl/>
        </w:rPr>
        <w:t>טלזר</w:t>
      </w:r>
      <w:proofErr w:type="spellEnd"/>
      <w:r>
        <w:rPr>
          <w:rtl/>
        </w:rPr>
        <w:t>. הוא נפטר בראשית תרצ״א.</w:t>
      </w:r>
    </w:p>
    <w:p w14:paraId="5BB04FD4" w14:textId="77777777" w:rsidR="00AB3647" w:rsidRDefault="00000000" w:rsidP="007923E9">
      <w:pPr>
        <w:spacing w:after="100" w:line="276" w:lineRule="auto"/>
        <w:ind w:firstLine="340"/>
        <w:jc w:val="both"/>
      </w:pPr>
      <w:r>
        <w:rPr>
          <w:rtl/>
        </w:rPr>
        <w:t>לפי “תורת חיים”,</w:t>
      </w:r>
      <w:bookmarkStart w:id="1742" w:name="_fnr1123"/>
      <w:r>
        <w:rPr>
          <w:rStyle w:val="a5"/>
        </w:rPr>
        <w:footnoteReference w:id="1126" w:customMarkFollows="0"/>
      </w:r>
      <w:bookmarkEnd w:id="1742"/>
      <w:r>
        <w:rPr>
          <w:rtl/>
        </w:rPr>
        <w:t xml:space="preserve"> נקרא ר׳ </w:t>
      </w:r>
      <w:proofErr w:type="spellStart"/>
      <w:r>
        <w:rPr>
          <w:rtl/>
        </w:rPr>
        <w:t>זלמן־סנדר</w:t>
      </w:r>
      <w:proofErr w:type="spellEnd"/>
      <w:r>
        <w:rPr>
          <w:rtl/>
        </w:rPr>
        <w:t xml:space="preserve"> </w:t>
      </w:r>
      <w:proofErr w:type="spellStart"/>
      <w:r>
        <w:rPr>
          <w:rtl/>
        </w:rPr>
        <w:t>כהנא־שפירא</w:t>
      </w:r>
      <w:bookmarkStart w:id="1743" w:name="_fnr1124"/>
      <w:proofErr w:type="spellEnd"/>
      <w:r>
        <w:rPr>
          <w:rStyle w:val="a5"/>
        </w:rPr>
        <w:footnoteReference w:id="1127" w:customMarkFollows="0"/>
      </w:r>
      <w:bookmarkEnd w:id="1743"/>
      <w:r>
        <w:rPr>
          <w:rtl/>
        </w:rPr>
        <w:t xml:space="preserve"> לעמוד בראש כנסת בית יצחק עוד לפני שהובא אליה ר׳ חיים </w:t>
      </w:r>
      <w:proofErr w:type="spellStart"/>
      <w:r>
        <w:rPr>
          <w:rtl/>
        </w:rPr>
        <w:t>רבינוביץ</w:t>
      </w:r>
      <w:proofErr w:type="spellEnd"/>
      <w:r>
        <w:rPr>
          <w:rtl/>
        </w:rPr>
        <w:t xml:space="preserve"> – וזאת לפני שפתח, בעצת קרובו ר׳ חיים </w:t>
      </w:r>
      <w:proofErr w:type="spellStart"/>
      <w:r>
        <w:rPr>
          <w:rtl/>
        </w:rPr>
        <w:t>סולובייצ׳יק</w:t>
      </w:r>
      <w:proofErr w:type="spellEnd"/>
      <w:r>
        <w:rPr>
          <w:rtl/>
        </w:rPr>
        <w:t xml:space="preserve">, ישיבה בעיר שבה שימש רב, </w:t>
      </w:r>
      <w:proofErr w:type="spellStart"/>
      <w:r>
        <w:rPr>
          <w:rtl/>
        </w:rPr>
        <w:t>מאלטש</w:t>
      </w:r>
      <w:proofErr w:type="spellEnd"/>
      <w:r>
        <w:rPr>
          <w:rtl/>
        </w:rPr>
        <w:t>.</w:t>
      </w:r>
      <w:bookmarkStart w:id="1744" w:name="_fnr1125"/>
      <w:r>
        <w:rPr>
          <w:rStyle w:val="a5"/>
        </w:rPr>
        <w:footnoteReference w:id="1128" w:customMarkFollows="0"/>
      </w:r>
      <w:bookmarkEnd w:id="1744"/>
      <w:r>
        <w:rPr>
          <w:rtl/>
        </w:rPr>
        <w:t xml:space="preserve"> אבל מועמדותו נמשכה שבת אחת בלבד, מסיבה שלא נתבארה </w:t>
      </w:r>
      <w:proofErr w:type="spellStart"/>
      <w:r>
        <w:rPr>
          <w:rtl/>
        </w:rPr>
        <w:t>ב“תורת</w:t>
      </w:r>
      <w:proofErr w:type="spellEnd"/>
      <w:r>
        <w:rPr>
          <w:rtl/>
        </w:rPr>
        <w:t xml:space="preserve"> חיים”. אפשר לשער שביקש להנהיג לימוד של כל הש״ס, כפי שנהגו בישיבת </w:t>
      </w:r>
      <w:proofErr w:type="spellStart"/>
      <w:r>
        <w:rPr>
          <w:rtl/>
        </w:rPr>
        <w:lastRenderedPageBreak/>
        <w:t>וולוז׳ין</w:t>
      </w:r>
      <w:proofErr w:type="spellEnd"/>
      <w:r>
        <w:rPr>
          <w:rtl/>
        </w:rPr>
        <w:t>, שכבר נסגרה, ולא רק של מסכתות “</w:t>
      </w:r>
      <w:proofErr w:type="spellStart"/>
      <w:r>
        <w:rPr>
          <w:rtl/>
        </w:rPr>
        <w:t>ישיבתיות</w:t>
      </w:r>
      <w:proofErr w:type="spellEnd"/>
      <w:r>
        <w:rPr>
          <w:rtl/>
        </w:rPr>
        <w:t>”,</w:t>
      </w:r>
      <w:bookmarkStart w:id="1745" w:name="_fnr1126"/>
      <w:r>
        <w:rPr>
          <w:rStyle w:val="a5"/>
        </w:rPr>
        <w:footnoteReference w:id="1129" w:customMarkFollows="0"/>
      </w:r>
      <w:bookmarkEnd w:id="1745"/>
      <w:r>
        <w:rPr>
          <w:rtl/>
        </w:rPr>
        <w:t xml:space="preserve"> כפי שהנהיג הסבא</w:t>
      </w:r>
      <w:bookmarkStart w:id="1746" w:name="_fnr1127"/>
      <w:r>
        <w:rPr>
          <w:rStyle w:val="a5"/>
        </w:rPr>
        <w:footnoteReference w:id="1130" w:customMarkFollows="0"/>
      </w:r>
      <w:bookmarkEnd w:id="1746"/>
      <w:r>
        <w:rPr>
          <w:rtl/>
        </w:rPr>
        <w:t xml:space="preserve"> בישיבת </w:t>
      </w:r>
      <w:proofErr w:type="spellStart"/>
      <w:r>
        <w:rPr>
          <w:rtl/>
        </w:rPr>
        <w:t>סלבודקה</w:t>
      </w:r>
      <w:proofErr w:type="spellEnd"/>
      <w:r>
        <w:rPr>
          <w:rtl/>
        </w:rPr>
        <w:t xml:space="preserve">, שממנה צמחה כנסת בית יצחק. השינוי לא היה מקובל על גבאי כנסת בית יצחק, שהמשיכו את תוכנית החינוך המוצלחת של הישיבה האחת שהייתה קודם לכן </w:t>
      </w:r>
      <w:proofErr w:type="spellStart"/>
      <w:r>
        <w:rPr>
          <w:rtl/>
        </w:rPr>
        <w:t>בסלבודקה</w:t>
      </w:r>
      <w:proofErr w:type="spellEnd"/>
      <w:r>
        <w:rPr>
          <w:rtl/>
        </w:rPr>
        <w:t xml:space="preserve">, פרט למוסר; ור׳ </w:t>
      </w:r>
      <w:proofErr w:type="spellStart"/>
      <w:r>
        <w:rPr>
          <w:rtl/>
        </w:rPr>
        <w:t>זלמן־סנדר</w:t>
      </w:r>
      <w:proofErr w:type="spellEnd"/>
      <w:r>
        <w:rPr>
          <w:rtl/>
        </w:rPr>
        <w:t xml:space="preserve"> עזב מיד.</w:t>
      </w:r>
    </w:p>
    <w:p w14:paraId="15F36557" w14:textId="77777777" w:rsidR="00AB3647" w:rsidRDefault="00000000" w:rsidP="007923E9">
      <w:pPr>
        <w:spacing w:after="100" w:line="276" w:lineRule="auto"/>
        <w:ind w:firstLine="340"/>
        <w:jc w:val="both"/>
      </w:pPr>
      <w:r>
        <w:rPr>
          <w:rtl/>
        </w:rPr>
        <w:t xml:space="preserve">יתר על כן, אפשר שהדחייה </w:t>
      </w:r>
      <w:proofErr w:type="spellStart"/>
      <w:r>
        <w:rPr>
          <w:rtl/>
        </w:rPr>
        <w:t>בסלבודקה</w:t>
      </w:r>
      <w:proofErr w:type="spellEnd"/>
      <w:r>
        <w:rPr>
          <w:rtl/>
        </w:rPr>
        <w:t xml:space="preserve"> היא שהביאה את ר׳ חיים להציע </w:t>
      </w:r>
      <w:proofErr w:type="spellStart"/>
      <w:r>
        <w:rPr>
          <w:rtl/>
        </w:rPr>
        <w:t>לר</w:t>
      </w:r>
      <w:proofErr w:type="spellEnd"/>
      <w:r>
        <w:rPr>
          <w:rtl/>
        </w:rPr>
        <w:t xml:space="preserve">׳ </w:t>
      </w:r>
      <w:proofErr w:type="spellStart"/>
      <w:r>
        <w:rPr>
          <w:rtl/>
        </w:rPr>
        <w:t>זלמן־סנדר</w:t>
      </w:r>
      <w:proofErr w:type="spellEnd"/>
      <w:r>
        <w:rPr>
          <w:rtl/>
        </w:rPr>
        <w:t xml:space="preserve">, זמן קצר אחר כך, לפתוח ישיבה משלו </w:t>
      </w:r>
      <w:proofErr w:type="spellStart"/>
      <w:r>
        <w:rPr>
          <w:rtl/>
        </w:rPr>
        <w:t>במאלטש</w:t>
      </w:r>
      <w:proofErr w:type="spellEnd"/>
      <w:r>
        <w:rPr>
          <w:rtl/>
        </w:rPr>
        <w:t xml:space="preserve">, שבה יוכל ליישם את דרכה של </w:t>
      </w:r>
      <w:proofErr w:type="spellStart"/>
      <w:r>
        <w:rPr>
          <w:rtl/>
        </w:rPr>
        <w:t>וולוז׳ין</w:t>
      </w:r>
      <w:proofErr w:type="spellEnd"/>
      <w:r>
        <w:rPr>
          <w:rtl/>
        </w:rPr>
        <w:t xml:space="preserve">. אני משער שר׳ חיים </w:t>
      </w:r>
      <w:proofErr w:type="spellStart"/>
      <w:r>
        <w:rPr>
          <w:rtl/>
        </w:rPr>
        <w:t>סולובייצ׳יק</w:t>
      </w:r>
      <w:proofErr w:type="spellEnd"/>
      <w:r>
        <w:rPr>
          <w:rtl/>
        </w:rPr>
        <w:t xml:space="preserve"> הוא שהמליץ מלכתחילה למנהיגי קובנה על ר׳ </w:t>
      </w:r>
      <w:proofErr w:type="spellStart"/>
      <w:r>
        <w:rPr>
          <w:rtl/>
        </w:rPr>
        <w:t>זלמן־סנדר</w:t>
      </w:r>
      <w:proofErr w:type="spellEnd"/>
      <w:r>
        <w:rPr>
          <w:rtl/>
        </w:rPr>
        <w:t xml:space="preserve"> למשרת ראש כנסת בית יצחק – כשם שהמליץ אחר כך על ר׳ </w:t>
      </w:r>
      <w:proofErr w:type="spellStart"/>
      <w:r>
        <w:rPr>
          <w:rtl/>
        </w:rPr>
        <w:t>ברוך־בער</w:t>
      </w:r>
      <w:proofErr w:type="spellEnd"/>
      <w:r>
        <w:rPr>
          <w:rtl/>
        </w:rPr>
        <w:t xml:space="preserve"> </w:t>
      </w:r>
      <w:proofErr w:type="spellStart"/>
      <w:r>
        <w:rPr>
          <w:rtl/>
        </w:rPr>
        <w:t>ליבוביץ</w:t>
      </w:r>
      <w:proofErr w:type="spellEnd"/>
      <w:r>
        <w:rPr>
          <w:rtl/>
        </w:rPr>
        <w:t xml:space="preserve"> למשרה זו.</w:t>
      </w:r>
      <w:bookmarkStart w:id="1747" w:name="_fnr1128"/>
      <w:r>
        <w:rPr>
          <w:rStyle w:val="a5"/>
        </w:rPr>
        <w:footnoteReference w:id="1131" w:customMarkFollows="0"/>
      </w:r>
      <w:bookmarkEnd w:id="1747"/>
    </w:p>
    <w:bookmarkStart w:id="1748" w:name="b3_note49"/>
    <w:p w14:paraId="35836E9B" w14:textId="42221FDD" w:rsidR="00AB3647" w:rsidRDefault="00000000" w:rsidP="007923E9">
      <w:pPr>
        <w:spacing w:before="120" w:after="100" w:line="276" w:lineRule="auto"/>
        <w:jc w:val="both"/>
      </w:pPr>
      <w:r>
        <w:fldChar w:fldCharType="begin" w:dirty="true"/>
      </w:r>
      <w:r>
        <w:instrText>HYPERLINK \l "b3_ref49"</w:instrText>
      </w:r>
      <w:r>
        <w:fldChar w:fldCharType="separate"/>
      </w:r>
      <w:r>
        <w:rPr>
          <w:b/>
          <w:bCs/>
          <w:rtl/>
        </w:rPr>
        <w:t>49</w:t>
      </w:r>
      <w:r>
        <w:rPr>
          <w:b/>
          <w:bCs/>
        </w:rPr>
        <w:fldChar w:fldCharType="end"/>
      </w:r>
      <w:bookmarkEnd w:id="1748"/>
      <w:r>
        <w:rPr>
          <w:rtl/>
        </w:rPr>
        <w:t xml:space="preserve"> ראה </w:t>
      </w:r>
      <w:r>
        <w:rPr>
          <w:rtl/>
        </w:rPr>
        <w:fldChar w:fldCharType="begin" w:dirty="true"/>
      </w:r>
      <w:r>
        <w:rPr>
          <w:rtl/>
        </w:rPr>
        <w:instrText xml:space="preserve"> REF b3_excR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יח</w:t>
      </w:r>
      <w:proofErr w:type="spellEnd"/>
      <w:r>
        <w:rPr>
          <w:rtl/>
        </w:rPr>
        <w:fldChar w:fldCharType="end"/>
      </w:r>
      <w:r>
        <w:rPr>
          <w:rtl/>
        </w:rPr>
        <w:t>.</w:t>
      </w:r>
    </w:p>
    <w:bookmarkStart w:id="1749" w:name="b3_note50"/>
    <w:p w14:paraId="0E370C66" w14:textId="322D464A" w:rsidR="00AB3647" w:rsidRDefault="00000000" w:rsidP="007923E9">
      <w:pPr>
        <w:spacing w:before="120" w:after="100" w:line="276" w:lineRule="auto"/>
        <w:jc w:val="both"/>
      </w:pPr>
      <w:r>
        <w:fldChar w:fldCharType="begin" w:dirty="true"/>
      </w:r>
      <w:r>
        <w:instrText>HYPERLINK \l "b3_ref50"</w:instrText>
      </w:r>
      <w:r>
        <w:fldChar w:fldCharType="separate"/>
      </w:r>
      <w:r>
        <w:rPr>
          <w:b/>
          <w:bCs/>
          <w:rtl/>
        </w:rPr>
        <w:t>50</w:t>
      </w:r>
      <w:r>
        <w:rPr>
          <w:b/>
          <w:bCs/>
        </w:rPr>
        <w:fldChar w:fldCharType="end"/>
      </w:r>
      <w:bookmarkEnd w:id="1749"/>
      <w:r>
        <w:rPr>
          <w:rtl/>
        </w:rPr>
        <w:t xml:space="preserve"> ר׳ דוד שווי סיפר</w:t>
      </w:r>
      <w:bookmarkStart w:id="1750" w:name="_fnr1129"/>
      <w:r>
        <w:rPr>
          <w:rStyle w:val="a5"/>
        </w:rPr>
        <w:footnoteReference w:id="1132" w:customMarkFollows="0"/>
      </w:r>
      <w:bookmarkEnd w:id="1750"/>
      <w:r>
        <w:rPr>
          <w:rtl/>
        </w:rPr>
        <w:t xml:space="preserve"> שאביו, ר׳ </w:t>
      </w:r>
      <w:proofErr w:type="spellStart"/>
      <w:r>
        <w:rPr>
          <w:rtl/>
        </w:rPr>
        <w:t>שמואל־לייב</w:t>
      </w:r>
      <w:proofErr w:type="spellEnd"/>
      <w:r>
        <w:rPr>
          <w:rtl/>
        </w:rPr>
        <w:t xml:space="preserve">, אמר לו שבא </w:t>
      </w:r>
      <w:proofErr w:type="spellStart"/>
      <w:r>
        <w:rPr>
          <w:rtl/>
        </w:rPr>
        <w:t>לסלבודקה</w:t>
      </w:r>
      <w:proofErr w:type="spellEnd"/>
      <w:r>
        <w:rPr>
          <w:rtl/>
        </w:rPr>
        <w:t xml:space="preserve"> בהיותו בן </w:t>
      </w:r>
      <w:proofErr w:type="spellStart"/>
      <w:r>
        <w:rPr>
          <w:rtl/>
        </w:rPr>
        <w:t>שתים־עשרה</w:t>
      </w:r>
      <w:proofErr w:type="spellEnd"/>
      <w:r>
        <w:rPr>
          <w:rtl/>
        </w:rPr>
        <w:t xml:space="preserve"> – כלומר, </w:t>
      </w:r>
      <w:proofErr w:type="spellStart"/>
      <w:r>
        <w:rPr>
          <w:rtl/>
        </w:rPr>
        <w:t>בתרס״ב</w:t>
      </w:r>
      <w:proofErr w:type="spellEnd"/>
      <w:r>
        <w:rPr>
          <w:rtl/>
        </w:rPr>
        <w:t xml:space="preserve"> – ללמוד אצל ר׳ </w:t>
      </w:r>
      <w:proofErr w:type="spellStart"/>
      <w:r>
        <w:rPr>
          <w:rtl/>
        </w:rPr>
        <w:t>ברוך־בער</w:t>
      </w:r>
      <w:proofErr w:type="spellEnd"/>
      <w:r>
        <w:rPr>
          <w:rtl/>
        </w:rPr>
        <w:t xml:space="preserve">. אבל זהו תאריך מוקדם מדי לבואו של ר׳ </w:t>
      </w:r>
      <w:proofErr w:type="spellStart"/>
      <w:r>
        <w:rPr>
          <w:rtl/>
        </w:rPr>
        <w:t>ברוך־בער</w:t>
      </w:r>
      <w:proofErr w:type="spellEnd"/>
      <w:r>
        <w:rPr>
          <w:rtl/>
        </w:rPr>
        <w:t xml:space="preserve"> </w:t>
      </w:r>
      <w:proofErr w:type="spellStart"/>
      <w:r>
        <w:rPr>
          <w:rtl/>
        </w:rPr>
        <w:t>לסלבודקה</w:t>
      </w:r>
      <w:proofErr w:type="spellEnd"/>
      <w:r>
        <w:rPr>
          <w:rtl/>
        </w:rPr>
        <w:t>, כפי שנאמר ב</w:t>
      </w:r>
      <w:r>
        <w:rPr>
          <w:rtl/>
        </w:rPr>
        <w:fldChar w:fldCharType="begin" w:dirty="true"/>
      </w:r>
      <w:r>
        <w:rPr>
          <w:rtl/>
        </w:rPr>
        <w:instrText xml:space="preserve"> REF b3_excR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יח</w:t>
      </w:r>
      <w:proofErr w:type="spellEnd"/>
      <w:r>
        <w:rPr>
          <w:rtl/>
        </w:rPr>
        <w:fldChar w:fldCharType="end"/>
      </w:r>
      <w:r>
        <w:rPr>
          <w:rtl/>
        </w:rPr>
        <w:t xml:space="preserve"> להלן. לפי סיפור ר׳ </w:t>
      </w:r>
      <w:proofErr w:type="spellStart"/>
      <w:r>
        <w:rPr>
          <w:rtl/>
        </w:rPr>
        <w:t>ברוך־בער</w:t>
      </w:r>
      <w:bookmarkStart w:id="1751" w:name="_fnr1130"/>
      <w:proofErr w:type="spellEnd"/>
      <w:r>
        <w:rPr>
          <w:rStyle w:val="a5"/>
        </w:rPr>
        <w:footnoteReference w:id="1133" w:customMarkFollows="0"/>
      </w:r>
      <w:bookmarkEnd w:id="1751"/>
      <w:r>
        <w:rPr>
          <w:rtl/>
        </w:rPr>
        <w:t xml:space="preserve"> ומאמר זיכרון מאת הרב יצחק אדלשטיין,</w:t>
      </w:r>
      <w:bookmarkStart w:id="1752" w:name="_fnr1131"/>
      <w:r>
        <w:rPr>
          <w:rStyle w:val="a5"/>
        </w:rPr>
        <w:footnoteReference w:id="1134" w:customMarkFollows="0"/>
      </w:r>
      <w:bookmarkEnd w:id="1752"/>
      <w:r>
        <w:rPr>
          <w:rtl/>
        </w:rPr>
        <w:t xml:space="preserve"> הדבר אירע כפי שנאמר כאן.</w:t>
      </w:r>
      <w:bookmarkStart w:id="1753" w:name="_fnr1132"/>
      <w:r>
        <w:rPr>
          <w:rStyle w:val="a5"/>
        </w:rPr>
        <w:footnoteReference w:id="1135" w:customMarkFollows="0"/>
      </w:r>
      <w:bookmarkEnd w:id="1753"/>
    </w:p>
    <w:p w14:paraId="70E36198" w14:textId="0DEE5908" w:rsidR="00AB3647" w:rsidRDefault="00000000" w:rsidP="007923E9">
      <w:pPr>
        <w:spacing w:before="120" w:after="100" w:line="276" w:lineRule="auto"/>
        <w:jc w:val="both"/>
      </w:pPr>
      <w:r>
        <w:rPr>
          <w:rtl/>
        </w:rPr>
        <w:t xml:space="preserve">אפשר שר׳ </w:t>
      </w:r>
      <w:proofErr w:type="spellStart"/>
      <w:r>
        <w:rPr>
          <w:rtl/>
        </w:rPr>
        <w:t>שמואל־לייב</w:t>
      </w:r>
      <w:proofErr w:type="spellEnd"/>
      <w:r>
        <w:rPr>
          <w:rtl/>
        </w:rPr>
        <w:t xml:space="preserve"> בא ללמוד </w:t>
      </w:r>
      <w:proofErr w:type="spellStart"/>
      <w:r>
        <w:rPr>
          <w:rtl/>
        </w:rPr>
        <w:t>בסלבודקה</w:t>
      </w:r>
      <w:proofErr w:type="spellEnd"/>
      <w:r>
        <w:rPr>
          <w:rtl/>
        </w:rPr>
        <w:t xml:space="preserve"> בגיל </w:t>
      </w:r>
      <w:proofErr w:type="spellStart"/>
      <w:r>
        <w:rPr>
          <w:rtl/>
        </w:rPr>
        <w:t>שתים־עשרה</w:t>
      </w:r>
      <w:proofErr w:type="spellEnd"/>
      <w:r>
        <w:rPr>
          <w:rtl/>
        </w:rPr>
        <w:t xml:space="preserve">, ורק אחר כך הצטרף לישיבתו של ר׳ </w:t>
      </w:r>
      <w:proofErr w:type="spellStart"/>
      <w:r>
        <w:rPr>
          <w:rtl/>
        </w:rPr>
        <w:t>ברוך־בער</w:t>
      </w:r>
      <w:proofErr w:type="spellEnd"/>
      <w:r>
        <w:rPr>
          <w:rtl/>
        </w:rPr>
        <w:t xml:space="preserve">. בשנתיים שבינתיים למד במקום אחר בעיר – בישיבת ר׳ </w:t>
      </w:r>
      <w:proofErr w:type="spellStart"/>
      <w:r>
        <w:rPr>
          <w:rtl/>
        </w:rPr>
        <w:t>הירשל׳ה</w:t>
      </w:r>
      <w:proofErr w:type="spellEnd"/>
      <w:r>
        <w:rPr>
          <w:rtl/>
        </w:rPr>
        <w:t xml:space="preserve">, או, סביר יותר, אצל הסבא, ששם למדו שני אחיו הגדולים. כשסרו השניים מן הדרך, כפי שסופר בפסקה השנייה של </w:t>
      </w:r>
      <w:r>
        <w:rPr>
          <w:rtl/>
        </w:rPr>
        <w:fldChar w:fldCharType="begin" w:dirty="true"/>
      </w:r>
      <w:r>
        <w:rPr>
          <w:rtl/>
        </w:rPr>
        <w:instrText xml:space="preserve"> REF b3_excII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לה</w:t>
      </w:r>
      <w:r>
        <w:rPr>
          <w:rtl/>
        </w:rPr>
        <w:fldChar w:fldCharType="end"/>
      </w:r>
      <w:r>
        <w:rPr>
          <w:rtl/>
        </w:rPr>
        <w:t xml:space="preserve"> להלן, העבירו הוריו את </w:t>
      </w:r>
      <w:proofErr w:type="spellStart"/>
      <w:r>
        <w:rPr>
          <w:rtl/>
        </w:rPr>
        <w:t>שמואל־לייב</w:t>
      </w:r>
      <w:proofErr w:type="spellEnd"/>
      <w:r>
        <w:rPr>
          <w:rtl/>
        </w:rPr>
        <w:t xml:space="preserve"> לישיבתו של ר׳ </w:t>
      </w:r>
      <w:proofErr w:type="spellStart"/>
      <w:r>
        <w:rPr>
          <w:rtl/>
        </w:rPr>
        <w:t>ברוך־בער</w:t>
      </w:r>
      <w:proofErr w:type="spellEnd"/>
      <w:r>
        <w:rPr>
          <w:rtl/>
        </w:rPr>
        <w:t>.</w:t>
      </w:r>
    </w:p>
    <w:p w14:paraId="5E23FB6E" w14:textId="19A8CDCE"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בכנסת ישראל הייתה עתה ההכוונה החינוכית כולה ביד הסבא </w:t>
      </w:r>
      <w:proofErr w:type="spellStart"/>
      <w:r>
        <w:rPr>
          <w:rtl/>
        </w:rPr>
        <w:t>מסלבודקה</w:t>
      </w:r>
      <w:proofErr w:type="spellEnd"/>
      <w:r>
        <w:rPr>
          <w:rtl/>
        </w:rPr>
        <w:t xml:space="preserve">. דרך המוסר של ר׳ </w:t>
      </w:r>
      <w:proofErr w:type="spellStart"/>
      <w:r>
        <w:rPr>
          <w:rtl/>
        </w:rPr>
        <w:t>איצל׳ה</w:t>
      </w:r>
      <w:proofErr w:type="spellEnd"/>
      <w:r>
        <w:rPr>
          <w:rtl/>
        </w:rPr>
        <w:t xml:space="preserve"> </w:t>
      </w:r>
      <w:proofErr w:type="spellStart"/>
      <w:r>
        <w:rPr>
          <w:rtl/>
        </w:rPr>
        <w:t>בלאזר</w:t>
      </w:r>
      <w:proofErr w:type="spellEnd"/>
      <w:r>
        <w:rPr>
          <w:rtl/>
        </w:rPr>
        <w:t xml:space="preserve">, שעיקרה תוכחה עצמית ושלטה קודם לכן בקרב אנשי המוסר </w:t>
      </w:r>
      <w:proofErr w:type="spellStart"/>
      <w:r>
        <w:rPr>
          <w:rtl/>
        </w:rPr>
        <w:t>בסלבודקה</w:t>
      </w:r>
      <w:proofErr w:type="spellEnd"/>
      <w:r>
        <w:rPr>
          <w:rtl/>
        </w:rPr>
        <w:t>, השתנתה</w:t>
      </w:r>
      <w:bookmarkStart w:id="1754" w:name="b3_ref51"/>
      <w:bookmarkEnd w:id="1754"/>
      <w:r>
        <w:rPr>
          <w:vertAlign w:val="superscript"/>
          <w:rtl/>
        </w:rPr>
        <w:fldChar w:fldCharType="begin" w:dirty="true"/>
      </w:r>
      <w:r>
        <w:rPr>
          <w:vertAlign w:val="superscript"/>
          <w:rtl/>
        </w:rPr>
        <w:instrText xml:space="preserve"> REF b3_note51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51</w:t>
      </w:r>
      <w:r>
        <w:rPr>
          <w:vertAlign w:val="superscript"/>
          <w:rtl/>
        </w:rPr>
        <w:fldChar w:fldCharType="end"/>
      </w:r>
      <w:r>
        <w:rPr>
          <w:rtl/>
        </w:rPr>
        <w:t xml:space="preserve"> שם לדרך פילוסופית יותר.</w:t>
      </w:r>
      <w:bookmarkStart w:id="1755" w:name="b3_ref52"/>
      <w:bookmarkEnd w:id="1755"/>
      <w:r>
        <w:rPr>
          <w:vertAlign w:val="superscript"/>
          <w:rtl/>
        </w:rPr>
        <w:fldChar w:fldCharType="begin" w:dirty="true"/>
      </w:r>
      <w:r>
        <w:rPr>
          <w:vertAlign w:val="superscript"/>
          <w:rtl/>
        </w:rPr>
        <w:instrText xml:space="preserve"> REF b3_note52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52</w:t>
      </w:r>
      <w:r>
        <w:rPr>
          <w:vertAlign w:val="superscript"/>
          <w:rtl/>
        </w:rPr>
        <w:fldChar w:fldCharType="end"/>
      </w:r>
      <w:r>
        <w:rPr>
          <w:rtl/>
        </w:rPr>
        <w:t xml:space="preserve"> בישיבה החל לצמוח בן תורה מעמיק במחשבתו. כנסת ישראל גדלה גם במספר תלמידיה, השתוותה לכנסת בית יצחק ולבסוף אף עלתה עליה.</w:t>
      </w:r>
      <w:bookmarkStart w:id="1756" w:name="b3_ref53"/>
      <w:bookmarkEnd w:id="1756"/>
      <w:r>
        <w:rPr>
          <w:vertAlign w:val="superscript"/>
          <w:rtl/>
        </w:rPr>
        <w:fldChar w:fldCharType="begin" w:dirty="true"/>
      </w:r>
      <w:r>
        <w:rPr>
          <w:vertAlign w:val="superscript"/>
          <w:rtl/>
        </w:rPr>
        <w:instrText xml:space="preserve"> REF b3_note53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53</w:t>
      </w:r>
      <w:r>
        <w:rPr>
          <w:vertAlign w:val="superscript"/>
          <w:rtl/>
        </w:rPr>
        <w:fldChar w:fldCharType="end"/>
      </w:r>
    </w:p>
    <w:bookmarkStart w:id="1757" w:name="b3_note51"/>
    <w:p w14:paraId="25718481" w14:textId="77777777" w:rsidR="00AB3647" w:rsidRDefault="00000000" w:rsidP="007923E9">
      <w:pPr>
        <w:spacing w:before="120" w:after="100" w:line="276" w:lineRule="auto"/>
        <w:jc w:val="both"/>
      </w:pPr>
      <w:r>
        <w:fldChar w:fldCharType="begin" w:dirty="true"/>
      </w:r>
      <w:r>
        <w:instrText>HYPERLINK \l "b3_ref51"</w:instrText>
      </w:r>
      <w:r>
        <w:fldChar w:fldCharType="separate"/>
      </w:r>
      <w:r>
        <w:rPr>
          <w:b/>
          <w:bCs/>
          <w:rtl/>
        </w:rPr>
        <w:t>51</w:t>
      </w:r>
      <w:r>
        <w:rPr>
          <w:b/>
          <w:bCs/>
        </w:rPr>
        <w:fldChar w:fldCharType="end"/>
      </w:r>
      <w:bookmarkEnd w:id="1757"/>
      <w:r>
        <w:rPr>
          <w:rtl/>
        </w:rPr>
        <w:t xml:space="preserve"> אבי הגדיר את ההבדל באומרו שהסבא דחה את גישת ההתעוררות לטובת שיטה של לומדות. “שרידי אש” אומר:</w:t>
      </w:r>
      <w:bookmarkStart w:id="1758" w:name="_fnr1133"/>
      <w:r>
        <w:rPr>
          <w:rStyle w:val="a5"/>
        </w:rPr>
        <w:footnoteReference w:id="1136" w:customMarkFollows="0"/>
      </w:r>
      <w:bookmarkEnd w:id="1758"/>
      <w:r>
        <w:rPr>
          <w:rtl/>
        </w:rPr>
        <w:t xml:space="preserve"> “הסבא היה הראשון שמיזג לומדות ומוסר וקשר אותם יחד. </w:t>
      </w:r>
      <w:proofErr w:type="spellStart"/>
      <w:r>
        <w:rPr>
          <w:rtl/>
        </w:rPr>
        <w:lastRenderedPageBreak/>
        <w:t>ב‘שיחותיו</w:t>
      </w:r>
      <w:proofErr w:type="spellEnd"/>
      <w:r>
        <w:rPr>
          <w:rtl/>
        </w:rPr>
        <w:t>’ הנפלאות הרכיב מוסר בהלכה והלכה במוסר, והראה בראיות מאירות עיניים שלומדות ומוסר הן ‘שתים שהן אחת’, ולא זו בלבד שאינן מתחרות זו בזו, אלא שהן משלימות זו את זו. הסבא אמר:</w:t>
      </w:r>
      <w:bookmarkStart w:id="1759" w:name="_fnr1134"/>
      <w:bookmarkStart w:id="1760" w:name="pr_f_1053"/>
      <w:r>
        <w:rPr>
          <w:rStyle w:val="a5"/>
        </w:rPr>
        <w:footnoteReference w:id="1137" w:customMarkFollows="0"/>
      </w:r>
      <w:bookmarkEnd w:id="1759"/>
      <w:bookmarkEnd w:id="1760"/>
      <w:r>
        <w:rPr>
          <w:rtl/>
        </w:rPr>
        <w:t xml:space="preserve"> ‘המוסר אינו דבר של הפקר ואינו מסור לחופש הדמיון וההתלהטות הרגשית. עליו להיבנות על יסוד מוצק של ההיגיון הבריא והיציב של המחשבה ההלכתית. מוסר שאינו קשור </w:t>
      </w:r>
      <w:proofErr w:type="spellStart"/>
      <w:r>
        <w:rPr>
          <w:rtl/>
        </w:rPr>
        <w:t>בצינורותי</w:t>
      </w:r>
      <w:proofErr w:type="spellEnd"/>
      <w:r>
        <w:rPr>
          <w:rtl/>
        </w:rPr>
        <w:t>’ של ההלכה סופו להיות סוטה למדבר של ההזי’ הדמיונית.’”</w:t>
      </w:r>
    </w:p>
    <w:p w14:paraId="0EF4FEAA" w14:textId="77777777" w:rsidR="00AB3647" w:rsidRDefault="00000000" w:rsidP="007923E9">
      <w:pPr>
        <w:spacing w:before="120" w:after="100" w:line="276" w:lineRule="auto"/>
        <w:jc w:val="both"/>
      </w:pPr>
      <w:r>
        <w:rPr>
          <w:rtl/>
        </w:rPr>
        <w:t xml:space="preserve">אבי אמר בריאיון המוקלט על הסבא </w:t>
      </w:r>
      <w:proofErr w:type="spellStart"/>
      <w:r>
        <w:rPr>
          <w:rtl/>
        </w:rPr>
        <w:t>מסלבודקה</w:t>
      </w:r>
      <w:proofErr w:type="spellEnd"/>
      <w:r>
        <w:rPr>
          <w:rtl/>
        </w:rPr>
        <w:t xml:space="preserve"> שר׳ </w:t>
      </w:r>
      <w:proofErr w:type="spellStart"/>
      <w:r>
        <w:rPr>
          <w:rtl/>
        </w:rPr>
        <w:t>איצל׳ה</w:t>
      </w:r>
      <w:proofErr w:type="spellEnd"/>
      <w:r>
        <w:rPr>
          <w:rtl/>
        </w:rPr>
        <w:t xml:space="preserve"> </w:t>
      </w:r>
      <w:proofErr w:type="spellStart"/>
      <w:r>
        <w:rPr>
          <w:rtl/>
        </w:rPr>
        <w:t>בלאזר</w:t>
      </w:r>
      <w:proofErr w:type="spellEnd"/>
      <w:r>
        <w:rPr>
          <w:rtl/>
        </w:rPr>
        <w:t xml:space="preserve"> היה מפיץ רב השפעה של דרכו במוסר. הוא שהשפיע על ר׳ יוזל </w:t>
      </w:r>
      <w:proofErr w:type="spellStart"/>
      <w:r>
        <w:rPr>
          <w:rtl/>
        </w:rPr>
        <w:t>הורוויץ</w:t>
      </w:r>
      <w:proofErr w:type="spellEnd"/>
      <w:r>
        <w:rPr>
          <w:rtl/>
        </w:rPr>
        <w:t xml:space="preserve"> לעזוב את עסקיו – אף שהתנגד להתבודדות שגזר ר׳ יוזל על עצמו ונמשכה יותר מעשר שנים</w:t>
      </w:r>
      <w:bookmarkStart w:id="1761" w:name="_fnr1135"/>
      <w:r>
        <w:rPr>
          <w:rStyle w:val="a5"/>
        </w:rPr>
        <w:footnoteReference w:id="1138" w:customMarkFollows="0"/>
      </w:r>
      <w:bookmarkEnd w:id="1761"/>
      <w:r>
        <w:rPr>
          <w:rtl/>
        </w:rPr>
        <w:t xml:space="preserve"> – וליצור את דרך “מוסר </w:t>
      </w:r>
      <w:proofErr w:type="spellStart"/>
      <w:r>
        <w:rPr>
          <w:rtl/>
        </w:rPr>
        <w:t>נובהרדוק</w:t>
      </w:r>
      <w:proofErr w:type="spellEnd"/>
      <w:r>
        <w:rPr>
          <w:rtl/>
        </w:rPr>
        <w:t xml:space="preserve">”, </w:t>
      </w:r>
      <w:proofErr w:type="spellStart"/>
      <w:r>
        <w:rPr>
          <w:rtl/>
        </w:rPr>
        <w:t>שסלבודקה</w:t>
      </w:r>
      <w:proofErr w:type="spellEnd"/>
      <w:r>
        <w:rPr>
          <w:rtl/>
        </w:rPr>
        <w:t xml:space="preserve"> בזה לה. הסבא </w:t>
      </w:r>
      <w:proofErr w:type="spellStart"/>
      <w:r>
        <w:rPr>
          <w:rtl/>
        </w:rPr>
        <w:t>מסלבודקה</w:t>
      </w:r>
      <w:proofErr w:type="spellEnd"/>
      <w:r>
        <w:rPr>
          <w:rtl/>
        </w:rPr>
        <w:t xml:space="preserve"> השתמש בכינוי “</w:t>
      </w:r>
      <w:proofErr w:type="spellStart"/>
      <w:r>
        <w:rPr>
          <w:rtl/>
        </w:rPr>
        <w:t>נובהרדוקר</w:t>
      </w:r>
      <w:proofErr w:type="spellEnd"/>
      <w:r>
        <w:rPr>
          <w:rtl/>
        </w:rPr>
        <w:t>” כביטוי גנאי לנזיפה בתלמיד.</w:t>
      </w:r>
    </w:p>
    <w:p w14:paraId="67DA8344" w14:textId="77777777" w:rsidR="00AB3647" w:rsidRDefault="00000000" w:rsidP="007923E9">
      <w:pPr>
        <w:spacing w:before="120" w:after="100" w:line="276" w:lineRule="auto"/>
        <w:jc w:val="both"/>
      </w:pPr>
      <w:r>
        <w:rPr>
          <w:rtl/>
        </w:rPr>
        <w:t xml:space="preserve">גם יחסן של ישיבות </w:t>
      </w:r>
      <w:proofErr w:type="spellStart"/>
      <w:r>
        <w:rPr>
          <w:rtl/>
        </w:rPr>
        <w:t>נובהרדוק</w:t>
      </w:r>
      <w:proofErr w:type="spellEnd"/>
      <w:r>
        <w:rPr>
          <w:rtl/>
        </w:rPr>
        <w:t xml:space="preserve"> </w:t>
      </w:r>
      <w:proofErr w:type="spellStart"/>
      <w:r>
        <w:rPr>
          <w:rtl/>
        </w:rPr>
        <w:t>לסלבודקה</w:t>
      </w:r>
      <w:proofErr w:type="spellEnd"/>
      <w:r>
        <w:rPr>
          <w:rtl/>
        </w:rPr>
        <w:t xml:space="preserve"> היה שלילי. לא היה נדיר שתלמידים יעברו מישיבה לישיבה ברשות ראש ישיבתם, אפילו בין ישיבות מוסר </w:t>
      </w:r>
      <w:proofErr w:type="spellStart"/>
      <w:r>
        <w:rPr>
          <w:rtl/>
        </w:rPr>
        <w:t>שגישותיהן</w:t>
      </w:r>
      <w:proofErr w:type="spellEnd"/>
      <w:r>
        <w:rPr>
          <w:rtl/>
        </w:rPr>
        <w:t xml:space="preserve"> במוסר היו שונות זו מזו. ובכל זאת, שום תלמיד </w:t>
      </w:r>
      <w:proofErr w:type="spellStart"/>
      <w:r>
        <w:rPr>
          <w:rtl/>
        </w:rPr>
        <w:t>נובהרדוק</w:t>
      </w:r>
      <w:proofErr w:type="spellEnd"/>
      <w:r>
        <w:rPr>
          <w:rtl/>
        </w:rPr>
        <w:t xml:space="preserve"> לא היה מקבל מרבותיו רשות לעבור </w:t>
      </w:r>
      <w:proofErr w:type="spellStart"/>
      <w:r>
        <w:rPr>
          <w:rtl/>
        </w:rPr>
        <w:t>לסלבודקה</w:t>
      </w:r>
      <w:proofErr w:type="spellEnd"/>
      <w:r>
        <w:rPr>
          <w:rtl/>
        </w:rPr>
        <w:t>.</w:t>
      </w:r>
      <w:bookmarkStart w:id="1762" w:name="_fnr1136"/>
      <w:r>
        <w:rPr>
          <w:rStyle w:val="a5"/>
        </w:rPr>
        <w:footnoteReference w:id="1139" w:customMarkFollows="0"/>
      </w:r>
      <w:bookmarkEnd w:id="1762"/>
    </w:p>
    <w:p w14:paraId="44EABACB" w14:textId="77777777" w:rsidR="00AB3647" w:rsidRDefault="00000000" w:rsidP="007923E9">
      <w:pPr>
        <w:spacing w:after="100" w:line="276" w:lineRule="auto"/>
        <w:ind w:firstLine="340"/>
        <w:jc w:val="both"/>
      </w:pPr>
      <w:r>
        <w:rPr>
          <w:rtl/>
        </w:rPr>
        <w:t xml:space="preserve">רבנו הרחיק לכת עוד יותר ואמר שמאחר שר׳ </w:t>
      </w:r>
      <w:proofErr w:type="spellStart"/>
      <w:r>
        <w:rPr>
          <w:rtl/>
        </w:rPr>
        <w:t>איצל׳ה</w:t>
      </w:r>
      <w:proofErr w:type="spellEnd"/>
      <w:r>
        <w:rPr>
          <w:rtl/>
        </w:rPr>
        <w:t xml:space="preserve"> </w:t>
      </w:r>
      <w:proofErr w:type="spellStart"/>
      <w:r>
        <w:rPr>
          <w:rtl/>
        </w:rPr>
        <w:t>בלאזר</w:t>
      </w:r>
      <w:proofErr w:type="spellEnd"/>
      <w:r>
        <w:rPr>
          <w:rtl/>
        </w:rPr>
        <w:t xml:space="preserve"> היה גאון, ספרו “אור ישראל”</w:t>
      </w:r>
      <w:bookmarkStart w:id="1763" w:name="_fnr1137"/>
      <w:r>
        <w:rPr>
          <w:rStyle w:val="a5"/>
        </w:rPr>
        <w:footnoteReference w:id="1140" w:customMarkFollows="0"/>
      </w:r>
      <w:bookmarkEnd w:id="1763"/>
      <w:r>
        <w:rPr>
          <w:rtl/>
        </w:rPr>
        <w:t xml:space="preserve"> אינו מציג בהכרח את דרכו של ר׳ ישראל </w:t>
      </w:r>
      <w:proofErr w:type="spellStart"/>
      <w:r>
        <w:rPr>
          <w:rtl/>
        </w:rPr>
        <w:t>סלנטר</w:t>
      </w:r>
      <w:proofErr w:type="spellEnd"/>
      <w:r>
        <w:rPr>
          <w:rtl/>
        </w:rPr>
        <w:t xml:space="preserve"> במוסר, אלא רק את האופן שבו </w:t>
      </w:r>
      <w:r>
        <w:rPr>
          <w:b/>
          <w:bCs/>
          <w:rtl/>
        </w:rPr>
        <w:t xml:space="preserve">פירש אותה ר׳ </w:t>
      </w:r>
      <w:proofErr w:type="spellStart"/>
      <w:r>
        <w:rPr>
          <w:b/>
          <w:bCs/>
          <w:rtl/>
        </w:rPr>
        <w:t>איצל׳ה</w:t>
      </w:r>
      <w:proofErr w:type="spellEnd"/>
      <w:r>
        <w:rPr>
          <w:b/>
          <w:bCs/>
          <w:rtl/>
        </w:rPr>
        <w:t>.</w:t>
      </w:r>
      <w:r>
        <w:rPr>
          <w:rtl/>
        </w:rPr>
        <w:t xml:space="preserve"> במפגש ירוחם</w:t>
      </w:r>
      <w:bookmarkStart w:id="1764" w:name="_fnr1138"/>
      <w:r>
        <w:rPr>
          <w:rStyle w:val="a5"/>
        </w:rPr>
        <w:footnoteReference w:id="1141" w:customMarkFollows="0"/>
      </w:r>
      <w:bookmarkEnd w:id="1764"/>
      <w:r>
        <w:rPr>
          <w:rtl/>
        </w:rPr>
        <w:t xml:space="preserve"> הוסיף את המסקנה הנובעת מכך: “מה רצה ר׳ ישראל </w:t>
      </w:r>
      <w:proofErr w:type="spellStart"/>
      <w:r>
        <w:rPr>
          <w:rtl/>
        </w:rPr>
        <w:t>סלנטר</w:t>
      </w:r>
      <w:proofErr w:type="spellEnd"/>
      <w:r>
        <w:rPr>
          <w:rtl/>
        </w:rPr>
        <w:t xml:space="preserve"> עצמו באמת, אין אנו יכולים לדעת.” אבי השווה תופעה זו לחידושי התורה שביסס ר׳ </w:t>
      </w:r>
      <w:proofErr w:type="spellStart"/>
      <w:r>
        <w:rPr>
          <w:rtl/>
        </w:rPr>
        <w:t>ברוך־בער</w:t>
      </w:r>
      <w:proofErr w:type="spellEnd"/>
      <w:r>
        <w:rPr>
          <w:rtl/>
        </w:rPr>
        <w:t xml:space="preserve"> על דברי רבו ר׳ חיים </w:t>
      </w:r>
      <w:proofErr w:type="spellStart"/>
      <w:r>
        <w:rPr>
          <w:rtl/>
        </w:rPr>
        <w:t>סולובייצ׳יק</w:t>
      </w:r>
      <w:proofErr w:type="spellEnd"/>
      <w:r>
        <w:rPr>
          <w:rtl/>
        </w:rPr>
        <w:t xml:space="preserve">. תלמידים אחרים של ר׳ חיים, ובייחוד בני משפחתו, פירשו את הדברים בדרכים שונות לחלוטין מכפי שהבינם ר׳ </w:t>
      </w:r>
      <w:proofErr w:type="spellStart"/>
      <w:r>
        <w:rPr>
          <w:rtl/>
        </w:rPr>
        <w:t>ברוך־בער</w:t>
      </w:r>
      <w:proofErr w:type="spellEnd"/>
      <w:r>
        <w:rPr>
          <w:rtl/>
        </w:rPr>
        <w:t>.</w:t>
      </w:r>
    </w:p>
    <w:p w14:paraId="7C0CD795" w14:textId="77777777" w:rsidR="00AB3647" w:rsidRDefault="00000000" w:rsidP="007923E9">
      <w:pPr>
        <w:spacing w:after="100" w:line="276" w:lineRule="auto"/>
        <w:ind w:firstLine="340"/>
        <w:jc w:val="both"/>
      </w:pPr>
      <w:r>
        <w:rPr>
          <w:rtl/>
        </w:rPr>
        <w:t xml:space="preserve">ר׳ </w:t>
      </w:r>
      <w:proofErr w:type="spellStart"/>
      <w:r>
        <w:rPr>
          <w:rtl/>
        </w:rPr>
        <w:t>בערל־לייב</w:t>
      </w:r>
      <w:proofErr w:type="spellEnd"/>
      <w:r>
        <w:rPr>
          <w:rtl/>
        </w:rPr>
        <w:t xml:space="preserve"> ברזון סיפר</w:t>
      </w:r>
      <w:bookmarkStart w:id="1765" w:name="_fnr1139"/>
      <w:r>
        <w:rPr>
          <w:rStyle w:val="a5"/>
        </w:rPr>
        <w:footnoteReference w:id="1142" w:customMarkFollows="0"/>
      </w:r>
      <w:bookmarkEnd w:id="1765"/>
      <w:r>
        <w:rPr>
          <w:rtl/>
        </w:rPr>
        <w:t xml:space="preserve"> שבנו של ר׳ חיים, ר׳ משה, אמר שבני </w:t>
      </w:r>
      <w:proofErr w:type="spellStart"/>
      <w:r>
        <w:rPr>
          <w:rtl/>
        </w:rPr>
        <w:t>סולובייצ׳יק</w:t>
      </w:r>
      <w:proofErr w:type="spellEnd"/>
      <w:r>
        <w:rPr>
          <w:rtl/>
        </w:rPr>
        <w:t xml:space="preserve"> סבורים שר׳ </w:t>
      </w:r>
      <w:proofErr w:type="spellStart"/>
      <w:r>
        <w:rPr>
          <w:rtl/>
        </w:rPr>
        <w:t>ברוך־בער</w:t>
      </w:r>
      <w:proofErr w:type="spellEnd"/>
      <w:r>
        <w:rPr>
          <w:rtl/>
        </w:rPr>
        <w:t xml:space="preserve"> “גנב [מהם] את אביהם”. ועיין </w:t>
      </w:r>
      <w:proofErr w:type="spellStart"/>
      <w:r>
        <w:rPr>
          <w:rtl/>
        </w:rPr>
        <w:t>ב“אישים</w:t>
      </w:r>
      <w:proofErr w:type="spellEnd"/>
      <w:r>
        <w:rPr>
          <w:rtl/>
        </w:rPr>
        <w:t xml:space="preserve"> ושיטות” </w:t>
      </w:r>
      <w:proofErr w:type="spellStart"/>
      <w:r>
        <w:rPr>
          <w:rtl/>
        </w:rPr>
        <w:t>להרב</w:t>
      </w:r>
      <w:proofErr w:type="spellEnd"/>
      <w:r>
        <w:rPr>
          <w:rtl/>
        </w:rPr>
        <w:t xml:space="preserve"> שלמה יוסף </w:t>
      </w:r>
      <w:proofErr w:type="spellStart"/>
      <w:r>
        <w:rPr>
          <w:rtl/>
        </w:rPr>
        <w:t>זוין</w:t>
      </w:r>
      <w:proofErr w:type="spellEnd"/>
      <w:r>
        <w:rPr>
          <w:rtl/>
        </w:rPr>
        <w:t xml:space="preserve">, בסוף פרקו על ר׳ ברוך בר, שהביא את דברי הרב אברהם יצחק קוק ליישב את הסתירה בין הגמרא בסוכה דף כ״ח ע״א שרבי אליעזר העיד על עצמו שלא אמר דבר שלא שמע מפי רבו מעולם ובין המאמר באבות דרבי נתן פ״ו שרבי אליעזר ישב ודרש דברים שלא שמעתן אוזן מעולם, ופירש </w:t>
      </w:r>
      <w:proofErr w:type="spellStart"/>
      <w:r>
        <w:rPr>
          <w:rtl/>
        </w:rPr>
        <w:t>ראי״ק</w:t>
      </w:r>
      <w:proofErr w:type="spellEnd"/>
      <w:r>
        <w:rPr>
          <w:rtl/>
        </w:rPr>
        <w:t xml:space="preserve"> </w:t>
      </w:r>
      <w:proofErr w:type="spellStart"/>
      <w:r>
        <w:rPr>
          <w:rtl/>
        </w:rPr>
        <w:t>שר״א</w:t>
      </w:r>
      <w:proofErr w:type="spellEnd"/>
      <w:r>
        <w:rPr>
          <w:rtl/>
        </w:rPr>
        <w:t xml:space="preserve"> שמע [הבין] מפי רבו מה שלא שמעה אוזן של שום איש אחר הימנו.</w:t>
      </w:r>
    </w:p>
    <w:p w14:paraId="13B7672B" w14:textId="77777777" w:rsidR="00AB3647" w:rsidRDefault="00000000" w:rsidP="007923E9">
      <w:pPr>
        <w:spacing w:after="100" w:line="276" w:lineRule="auto"/>
        <w:ind w:firstLine="340"/>
        <w:jc w:val="both"/>
      </w:pPr>
      <w:r>
        <w:rPr>
          <w:rtl/>
        </w:rPr>
        <w:t>השווה גם כץ, “תנועת המוסר”, כרך ב,</w:t>
      </w:r>
      <w:bookmarkStart w:id="1766" w:name="_fnr1140"/>
      <w:r>
        <w:rPr>
          <w:rStyle w:val="a5"/>
        </w:rPr>
        <w:footnoteReference w:id="1143" w:customMarkFollows="0"/>
      </w:r>
      <w:bookmarkEnd w:id="1766"/>
      <w:r>
        <w:rPr>
          <w:rtl/>
        </w:rPr>
        <w:t xml:space="preserve"> האומר שתורת ר׳ ישראל קיבלה צורה שונה כשמסרה ר׳ </w:t>
      </w:r>
      <w:proofErr w:type="spellStart"/>
      <w:r>
        <w:rPr>
          <w:rtl/>
        </w:rPr>
        <w:t>שמחה־זיסל</w:t>
      </w:r>
      <w:proofErr w:type="spellEnd"/>
      <w:r>
        <w:rPr>
          <w:rtl/>
        </w:rPr>
        <w:t xml:space="preserve"> זיו מכפי שקיבלה כשמסרה ר׳ </w:t>
      </w:r>
      <w:proofErr w:type="spellStart"/>
      <w:r>
        <w:rPr>
          <w:rtl/>
        </w:rPr>
        <w:t>איצל׳ה</w:t>
      </w:r>
      <w:proofErr w:type="spellEnd"/>
      <w:r>
        <w:rPr>
          <w:rtl/>
        </w:rPr>
        <w:t xml:space="preserve"> </w:t>
      </w:r>
      <w:proofErr w:type="spellStart"/>
      <w:r>
        <w:rPr>
          <w:rtl/>
        </w:rPr>
        <w:t>בלאזר</w:t>
      </w:r>
      <w:proofErr w:type="spellEnd"/>
      <w:r>
        <w:rPr>
          <w:rtl/>
        </w:rPr>
        <w:t xml:space="preserve">: מן הראשון יצאה </w:t>
      </w:r>
      <w:r>
        <w:rPr>
          <w:rtl/>
        </w:rPr>
        <w:lastRenderedPageBreak/>
        <w:t xml:space="preserve">כהגות פילוסופית, ומן האחרון </w:t>
      </w:r>
      <w:proofErr w:type="spellStart"/>
      <w:r>
        <w:rPr>
          <w:rtl/>
        </w:rPr>
        <w:t>כ“התעוררויות</w:t>
      </w:r>
      <w:proofErr w:type="spellEnd"/>
      <w:r>
        <w:rPr>
          <w:rtl/>
        </w:rPr>
        <w:t xml:space="preserve"> מרגשות”. השווה גם </w:t>
      </w:r>
      <w:proofErr w:type="spellStart"/>
      <w:r>
        <w:rPr>
          <w:rtl/>
        </w:rPr>
        <w:t>אטקס</w:t>
      </w:r>
      <w:proofErr w:type="spellEnd"/>
      <w:r>
        <w:rPr>
          <w:rtl/>
        </w:rPr>
        <w:t xml:space="preserve">, “ר׳ ישראל </w:t>
      </w:r>
      <w:proofErr w:type="spellStart"/>
      <w:r>
        <w:rPr>
          <w:rtl/>
        </w:rPr>
        <w:t>סלנטר</w:t>
      </w:r>
      <w:proofErr w:type="spellEnd"/>
      <w:r>
        <w:rPr>
          <w:rtl/>
        </w:rPr>
        <w:t xml:space="preserve"> וראשיתה של תנועת המוסר”,</w:t>
      </w:r>
      <w:bookmarkStart w:id="1767" w:name="_fnr1141"/>
      <w:r>
        <w:rPr>
          <w:rStyle w:val="a5"/>
        </w:rPr>
        <w:footnoteReference w:id="1144" w:customMarkFollows="0"/>
      </w:r>
      <w:bookmarkEnd w:id="1767"/>
      <w:r>
        <w:rPr>
          <w:rtl/>
        </w:rPr>
        <w:t xml:space="preserve"> המביא הודעה “יוצאת דופן” של ר׳ ישראל </w:t>
      </w:r>
      <w:proofErr w:type="spellStart"/>
      <w:r>
        <w:rPr>
          <w:rtl/>
        </w:rPr>
        <w:t>סלנטר</w:t>
      </w:r>
      <w:proofErr w:type="spellEnd"/>
      <w:r>
        <w:rPr>
          <w:rtl/>
        </w:rPr>
        <w:t xml:space="preserve"> </w:t>
      </w:r>
      <w:proofErr w:type="spellStart"/>
      <w:r>
        <w:rPr>
          <w:rtl/>
        </w:rPr>
        <w:t>ב“הלבנון</w:t>
      </w:r>
      <w:proofErr w:type="spellEnd"/>
      <w:r>
        <w:rPr>
          <w:rtl/>
        </w:rPr>
        <w:t xml:space="preserve">” </w:t>
      </w:r>
      <w:proofErr w:type="spellStart"/>
      <w:r>
        <w:rPr>
          <w:rtl/>
        </w:rPr>
        <w:t>מתרל״ט</w:t>
      </w:r>
      <w:proofErr w:type="spellEnd"/>
      <w:r>
        <w:rPr>
          <w:rtl/>
        </w:rPr>
        <w:t xml:space="preserve">, </w:t>
      </w:r>
      <w:r>
        <w:rPr>
          <w:b/>
          <w:bCs/>
          <w:rtl/>
        </w:rPr>
        <w:t>ארבע שנים לפני פטירתו</w:t>
      </w:r>
      <w:r>
        <w:rPr>
          <w:rtl/>
        </w:rPr>
        <w:t>. בהודעה הזמין את “תלמידיו ומכיריו, יבורכו, לסלוח לו ולכתוב לו את כתובותיהם בבירור, אולי יעלה בידו להסביר להם את דבריו ומטרתו”. השווה גם כץ, כרך א,</w:t>
      </w:r>
      <w:bookmarkStart w:id="1768" w:name="_fnr1142"/>
      <w:r>
        <w:rPr>
          <w:rStyle w:val="a5"/>
        </w:rPr>
        <w:footnoteReference w:id="1145" w:customMarkFollows="0"/>
      </w:r>
      <w:bookmarkEnd w:id="1768"/>
      <w:r>
        <w:rPr>
          <w:rtl/>
        </w:rPr>
        <w:t xml:space="preserve"> המצטט מכתב שבו מאריך ר׳ </w:t>
      </w:r>
      <w:proofErr w:type="spellStart"/>
      <w:r>
        <w:rPr>
          <w:rtl/>
        </w:rPr>
        <w:t>שמחה־זיסל</w:t>
      </w:r>
      <w:proofErr w:type="spellEnd"/>
      <w:r>
        <w:rPr>
          <w:rtl/>
        </w:rPr>
        <w:t xml:space="preserve"> לתאר כמה מעט הבינו את ר׳ ישראל,</w:t>
      </w:r>
      <w:bookmarkStart w:id="1769" w:name="_fnr1143"/>
      <w:r>
        <w:rPr>
          <w:rStyle w:val="a5"/>
        </w:rPr>
        <w:footnoteReference w:id="1146" w:customMarkFollows="0"/>
      </w:r>
      <w:bookmarkEnd w:id="1769"/>
      <w:r>
        <w:rPr>
          <w:rtl/>
        </w:rPr>
        <w:t xml:space="preserve"> אפילו תלמידיו – והסבא מקלם מנה את עצמו עמהם.</w:t>
      </w:r>
    </w:p>
    <w:p w14:paraId="7DFD8FCB" w14:textId="77777777" w:rsidR="00AB3647" w:rsidRDefault="00000000" w:rsidP="007923E9">
      <w:pPr>
        <w:spacing w:after="100" w:line="276" w:lineRule="auto"/>
        <w:ind w:firstLine="340"/>
        <w:jc w:val="both"/>
      </w:pPr>
      <w:r>
        <w:rPr>
          <w:rtl/>
        </w:rPr>
        <w:t xml:space="preserve">ר׳ </w:t>
      </w:r>
      <w:proofErr w:type="spellStart"/>
      <w:r>
        <w:rPr>
          <w:rtl/>
        </w:rPr>
        <w:t>לייבל</w:t>
      </w:r>
      <w:proofErr w:type="spellEnd"/>
      <w:r>
        <w:rPr>
          <w:rtl/>
        </w:rPr>
        <w:t xml:space="preserve"> </w:t>
      </w:r>
      <w:proofErr w:type="spellStart"/>
      <w:r>
        <w:rPr>
          <w:rtl/>
        </w:rPr>
        <w:t>פרלשטיין</w:t>
      </w:r>
      <w:proofErr w:type="spellEnd"/>
      <w:r>
        <w:rPr>
          <w:rtl/>
        </w:rPr>
        <w:t xml:space="preserve"> סיפר</w:t>
      </w:r>
      <w:bookmarkStart w:id="1770" w:name="_fnr1144"/>
      <w:r>
        <w:rPr>
          <w:rStyle w:val="a5"/>
        </w:rPr>
        <w:footnoteReference w:id="1147" w:customMarkFollows="0"/>
      </w:r>
      <w:bookmarkEnd w:id="1770"/>
      <w:r>
        <w:rPr>
          <w:rtl/>
        </w:rPr>
        <w:t xml:space="preserve"> שאבי אמר לו: “ר׳ ישראל היה הוגה מקורי שעומק מחשבתו לא הובן בדורו; ואילו לא נדד” – הוא חי בשש ערים שונות במערב אירופה, ובשליש האחרון של חייו ביקר בליטא רק לפרקים – “היה גדל עוד הרבה יותר”. אני מציע שעזיבת ר׳ </w:t>
      </w:r>
      <w:proofErr w:type="spellStart"/>
      <w:r>
        <w:rPr>
          <w:rtl/>
        </w:rPr>
        <w:t>איצל׳ה</w:t>
      </w:r>
      <w:proofErr w:type="spellEnd"/>
      <w:r>
        <w:rPr>
          <w:rtl/>
        </w:rPr>
        <w:t xml:space="preserve"> את קובנה </w:t>
      </w:r>
      <w:proofErr w:type="spellStart"/>
      <w:r>
        <w:rPr>
          <w:rtl/>
        </w:rPr>
        <w:t>בתרס״ג</w:t>
      </w:r>
      <w:proofErr w:type="spellEnd"/>
      <w:r>
        <w:rPr>
          <w:rtl/>
        </w:rPr>
        <w:t xml:space="preserve"> ועלייתו לארץ ישראל שנה אחר כך הקלו על הסבא, שהיה בעבר בן חסותו, להינתק לגמרי מדרכו של </w:t>
      </w:r>
      <w:proofErr w:type="spellStart"/>
      <w:r>
        <w:rPr>
          <w:rtl/>
        </w:rPr>
        <w:t>בלאזר</w:t>
      </w:r>
      <w:proofErr w:type="spellEnd"/>
      <w:r>
        <w:rPr>
          <w:rtl/>
        </w:rPr>
        <w:t xml:space="preserve"> במוסר אחרי תרס״ה, כפי שנאמר בסוף סעיף 1 של פרק זה.</w:t>
      </w:r>
    </w:p>
    <w:bookmarkStart w:id="1771" w:name="b3_note52"/>
    <w:p w14:paraId="03826146" w14:textId="7BEC22B0" w:rsidR="00AB3647" w:rsidRDefault="00000000" w:rsidP="007923E9">
      <w:pPr>
        <w:spacing w:before="120" w:after="100" w:line="276" w:lineRule="auto"/>
        <w:jc w:val="both"/>
      </w:pPr>
      <w:r>
        <w:fldChar w:fldCharType="begin" w:dirty="true"/>
      </w:r>
      <w:r>
        <w:instrText>HYPERLINK \l "b3_ref52"</w:instrText>
      </w:r>
      <w:r>
        <w:fldChar w:fldCharType="separate"/>
      </w:r>
      <w:r>
        <w:rPr>
          <w:b/>
          <w:bCs/>
          <w:rtl/>
        </w:rPr>
        <w:t>52</w:t>
      </w:r>
      <w:r>
        <w:rPr>
          <w:b/>
          <w:bCs/>
        </w:rPr>
        <w:fldChar w:fldCharType="end"/>
      </w:r>
      <w:bookmarkEnd w:id="1771"/>
      <w:r>
        <w:rPr>
          <w:rtl/>
        </w:rPr>
        <w:t xml:space="preserve"> ראה סוף הערה </w:t>
      </w:r>
      <w:r>
        <w:rPr>
          <w:rtl/>
        </w:rPr>
        <w:fldChar w:fldCharType="begin" w:dirty="true"/>
      </w:r>
      <w:r>
        <w:rPr>
          <w:rtl/>
        </w:rPr>
        <w:instrText xml:space="preserve"> REF b3_note29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29</w:t>
      </w:r>
      <w:r>
        <w:rPr>
          <w:rtl/>
        </w:rPr>
        <w:fldChar w:fldCharType="end"/>
      </w:r>
      <w:r>
        <w:rPr>
          <w:rtl/>
        </w:rPr>
        <w:t xml:space="preserve"> לעיל.</w:t>
      </w:r>
    </w:p>
    <w:bookmarkStart w:id="1772" w:name="b3_note53"/>
    <w:p w14:paraId="3BDA7E17" w14:textId="77777777" w:rsidR="00AB3647" w:rsidRDefault="00000000" w:rsidP="007923E9">
      <w:pPr>
        <w:spacing w:before="120" w:after="100" w:line="276" w:lineRule="auto"/>
        <w:jc w:val="both"/>
      </w:pPr>
      <w:r>
        <w:fldChar w:fldCharType="begin" w:dirty="true"/>
      </w:r>
      <w:r>
        <w:instrText>HYPERLINK \l "b3_ref53"</w:instrText>
      </w:r>
      <w:r>
        <w:fldChar w:fldCharType="separate"/>
      </w:r>
      <w:r>
        <w:rPr>
          <w:b/>
          <w:bCs/>
          <w:rtl/>
        </w:rPr>
        <w:t>53</w:t>
      </w:r>
      <w:r>
        <w:rPr>
          <w:b/>
          <w:bCs/>
        </w:rPr>
        <w:fldChar w:fldCharType="end"/>
      </w:r>
      <w:bookmarkEnd w:id="1772"/>
      <w:r>
        <w:rPr>
          <w:rtl/>
        </w:rPr>
        <w:t xml:space="preserve"> בריאיון המוקלט על הסבא </w:t>
      </w:r>
      <w:proofErr w:type="spellStart"/>
      <w:r>
        <w:rPr>
          <w:rtl/>
        </w:rPr>
        <w:t>מסלבודקה</w:t>
      </w:r>
      <w:proofErr w:type="spellEnd"/>
      <w:r>
        <w:rPr>
          <w:rtl/>
        </w:rPr>
        <w:t xml:space="preserve"> השתמש אבי בביטוי: “הישיבה גדלה ור׳ </w:t>
      </w:r>
      <w:proofErr w:type="spellStart"/>
      <w:r>
        <w:rPr>
          <w:rtl/>
        </w:rPr>
        <w:t>משה־מרדכי</w:t>
      </w:r>
      <w:proofErr w:type="spellEnd"/>
      <w:r>
        <w:rPr>
          <w:rtl/>
        </w:rPr>
        <w:t xml:space="preserve"> גדל.”</w:t>
      </w:r>
      <w:bookmarkStart w:id="1773" w:name="_fnr1145"/>
      <w:r>
        <w:rPr>
          <w:rStyle w:val="a5"/>
        </w:rPr>
        <w:footnoteReference w:id="1148" w:customMarkFollows="0"/>
      </w:r>
      <w:bookmarkEnd w:id="1773"/>
    </w:p>
    <w:p w14:paraId="48241305" w14:textId="4D048CB9"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שינויים אלה באו בעקבות הסערה שהשתוללה בקרב תלמידי שתי הישיבות בראשית שנות </w:t>
      </w:r>
      <w:proofErr w:type="spellStart"/>
      <w:r>
        <w:rPr>
          <w:rtl/>
        </w:rPr>
        <w:t>הת״ר־ס</w:t>
      </w:r>
      <w:proofErr w:type="spellEnd"/>
      <w:r>
        <w:rPr>
          <w:rtl/>
        </w:rPr>
        <w:t xml:space="preserve">׳. בכנסת בית יצחק גרמו המאבקים בין התלמידים הציונים למתנגדי הציונות </w:t>
      </w:r>
      <w:proofErr w:type="spellStart"/>
      <w:r>
        <w:rPr>
          <w:rtl/>
        </w:rPr>
        <w:t>לר</w:t>
      </w:r>
      <w:proofErr w:type="spellEnd"/>
      <w:r>
        <w:rPr>
          <w:rtl/>
        </w:rPr>
        <w:t xml:space="preserve">׳ חיים </w:t>
      </w:r>
      <w:proofErr w:type="spellStart"/>
      <w:r>
        <w:rPr>
          <w:rtl/>
        </w:rPr>
        <w:t>רבינוביץ</w:t>
      </w:r>
      <w:proofErr w:type="spellEnd"/>
      <w:r>
        <w:rPr>
          <w:rtl/>
        </w:rPr>
        <w:t xml:space="preserve"> לעזוב את </w:t>
      </w:r>
      <w:proofErr w:type="spellStart"/>
      <w:r>
        <w:rPr>
          <w:rtl/>
        </w:rPr>
        <w:t>סלבודקה</w:t>
      </w:r>
      <w:proofErr w:type="spellEnd"/>
      <w:r>
        <w:rPr>
          <w:rtl/>
        </w:rPr>
        <w:t xml:space="preserve"> ולקבל משרת הוראה בישיבת טלז.</w:t>
      </w:r>
      <w:bookmarkStart w:id="1774" w:name="b3_ref54"/>
      <w:bookmarkEnd w:id="1774"/>
      <w:r>
        <w:rPr>
          <w:vertAlign w:val="superscript"/>
          <w:rtl/>
        </w:rPr>
        <w:fldChar w:fldCharType="begin" w:dirty="true"/>
      </w:r>
      <w:r>
        <w:rPr>
          <w:vertAlign w:val="superscript"/>
          <w:rtl/>
        </w:rPr>
        <w:instrText xml:space="preserve"> REF b3_note54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54</w:t>
      </w:r>
      <w:r>
        <w:rPr>
          <w:vertAlign w:val="superscript"/>
          <w:rtl/>
        </w:rPr>
        <w:fldChar w:fldCharType="end"/>
      </w:r>
      <w:r>
        <w:rPr>
          <w:rtl/>
        </w:rPr>
        <w:t xml:space="preserve"> בקרב תלמידי כנסת ישראל הייתה שאלת לימוד המוסר מקור מחלוקת מתמיד.</w:t>
      </w:r>
      <w:bookmarkStart w:id="1775" w:name="b3_ref55"/>
      <w:bookmarkEnd w:id="1775"/>
      <w:r>
        <w:rPr>
          <w:vertAlign w:val="superscript"/>
          <w:rtl/>
        </w:rPr>
        <w:fldChar w:fldCharType="begin" w:dirty="true"/>
      </w:r>
      <w:r>
        <w:rPr>
          <w:vertAlign w:val="superscript"/>
          <w:rtl/>
        </w:rPr>
        <w:instrText xml:space="preserve"> REF b3_note55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55</w:t>
      </w:r>
      <w:r>
        <w:rPr>
          <w:vertAlign w:val="superscript"/>
          <w:rtl/>
        </w:rPr>
        <w:fldChar w:fldCharType="end"/>
      </w:r>
    </w:p>
    <w:bookmarkStart w:id="1776" w:name="b3_note54"/>
    <w:p w14:paraId="2AFA786A" w14:textId="77777777" w:rsidR="00AB3647" w:rsidRDefault="00000000" w:rsidP="007923E9">
      <w:pPr>
        <w:spacing w:before="120" w:after="100" w:line="276" w:lineRule="auto"/>
        <w:jc w:val="both"/>
      </w:pPr>
      <w:r>
        <w:fldChar w:fldCharType="begin" w:dirty="true"/>
      </w:r>
      <w:r>
        <w:instrText>HYPERLINK \l "b3_ref54"</w:instrText>
      </w:r>
      <w:r>
        <w:fldChar w:fldCharType="separate"/>
      </w:r>
      <w:r>
        <w:rPr>
          <w:b/>
          <w:bCs/>
          <w:rtl/>
        </w:rPr>
        <w:t>54</w:t>
      </w:r>
      <w:r>
        <w:rPr>
          <w:b/>
          <w:bCs/>
        </w:rPr>
        <w:fldChar w:fldCharType="end"/>
      </w:r>
      <w:bookmarkEnd w:id="1776"/>
      <w:r>
        <w:rPr>
          <w:rtl/>
        </w:rPr>
        <w:t xml:space="preserve"> </w:t>
      </w:r>
      <w:proofErr w:type="spellStart"/>
      <w:r>
        <w:rPr>
          <w:rtl/>
        </w:rPr>
        <w:t>דבורץ</w:t>
      </w:r>
      <w:proofErr w:type="spellEnd"/>
      <w:r>
        <w:rPr>
          <w:rtl/>
        </w:rPr>
        <w:t>, “הגאון רבי משה מרדכי אפשטיין”.</w:t>
      </w:r>
      <w:bookmarkStart w:id="1777" w:name="_fnr1146"/>
      <w:r>
        <w:rPr>
          <w:rStyle w:val="a5"/>
        </w:rPr>
        <w:footnoteReference w:id="1149" w:customMarkFollows="0"/>
      </w:r>
      <w:bookmarkEnd w:id="1777"/>
      <w:r>
        <w:rPr>
          <w:rtl/>
        </w:rPr>
        <w:t xml:space="preserve"> </w:t>
      </w:r>
      <w:proofErr w:type="spellStart"/>
      <w:r>
        <w:rPr>
          <w:rtl/>
        </w:rPr>
        <w:t>טלז</w:t>
      </w:r>
      <w:proofErr w:type="spellEnd"/>
      <w:r>
        <w:rPr>
          <w:rtl/>
        </w:rPr>
        <w:t xml:space="preserve"> לא הייתה טובה מכנסת בית יצחק,</w:t>
      </w:r>
      <w:bookmarkStart w:id="1778" w:name="_fnr1147"/>
      <w:r>
        <w:rPr>
          <w:rStyle w:val="a5"/>
        </w:rPr>
        <w:footnoteReference w:id="1150" w:customMarkFollows="0"/>
      </w:r>
      <w:bookmarkEnd w:id="1778"/>
      <w:r>
        <w:rPr>
          <w:rtl/>
        </w:rPr>
        <w:t xml:space="preserve"> אבל שם היה ר׳ חיים </w:t>
      </w:r>
      <w:proofErr w:type="spellStart"/>
      <w:r>
        <w:rPr>
          <w:rtl/>
        </w:rPr>
        <w:t>רבינוביץ</w:t>
      </w:r>
      <w:proofErr w:type="spellEnd"/>
      <w:r>
        <w:rPr>
          <w:rtl/>
        </w:rPr>
        <w:t xml:space="preserve"> רק אחד מכמה חברי הצוות, ולא עוד ראש הישיבה הנושא באחריות הכוללת להתפתחות תלמידיה.</w:t>
      </w:r>
    </w:p>
    <w:bookmarkStart w:id="1779" w:name="b3_note55"/>
    <w:p w14:paraId="65EA4CED" w14:textId="77777777" w:rsidR="00AB3647" w:rsidRDefault="00000000" w:rsidP="007923E9">
      <w:pPr>
        <w:spacing w:before="120" w:after="100" w:line="276" w:lineRule="auto"/>
        <w:jc w:val="both"/>
      </w:pPr>
      <w:r>
        <w:fldChar w:fldCharType="begin" w:dirty="true"/>
      </w:r>
      <w:r>
        <w:instrText>HYPERLINK \l "b3_ref55"</w:instrText>
      </w:r>
      <w:r>
        <w:fldChar w:fldCharType="separate"/>
      </w:r>
      <w:r>
        <w:rPr>
          <w:b/>
          <w:bCs/>
          <w:rtl/>
        </w:rPr>
        <w:t>55</w:t>
      </w:r>
      <w:r>
        <w:rPr>
          <w:b/>
          <w:bCs/>
        </w:rPr>
        <w:fldChar w:fldCharType="end"/>
      </w:r>
      <w:bookmarkEnd w:id="1779"/>
      <w:r>
        <w:rPr>
          <w:rtl/>
        </w:rPr>
        <w:t xml:space="preserve"> האשמה מוטלת על הצטרפותם – בתוך גל התלמידים שנרשמו בראשית העשור – של “תלמידים שלא שמשו כל צרכם, שמקצתם כבר טעמו מן הזרמים החדשים שהחלו לחלחל לעולם היהודי”, שם.</w:t>
      </w:r>
      <w:bookmarkStart w:id="1780" w:name="_fnr1148"/>
      <w:r>
        <w:rPr>
          <w:rStyle w:val="a5"/>
        </w:rPr>
        <w:footnoteReference w:id="1151" w:customMarkFollows="0"/>
      </w:r>
      <w:bookmarkEnd w:id="1780"/>
    </w:p>
    <w:p w14:paraId="689618CE" w14:textId="77777777" w:rsidR="00AB3647" w:rsidRDefault="00000000" w:rsidP="007923E9">
      <w:pPr>
        <w:spacing w:before="120" w:after="100" w:line="276" w:lineRule="auto"/>
        <w:jc w:val="both"/>
      </w:pPr>
      <w:r>
        <w:rPr>
          <w:rtl/>
        </w:rPr>
        <w:t xml:space="preserve">המהומה תפחה לממדים עצומים כאשר “העמידו בראשם כמה מטובי תלמידי הישיבה, שהיו להם טענות נגד ההנהלה מתוך קנאה בכבוד שחלקה לחבריהם הפחות ראויים, שהיו קשורים </w:t>
      </w:r>
      <w:r>
        <w:rPr>
          <w:rtl/>
        </w:rPr>
        <w:lastRenderedPageBreak/>
        <w:t xml:space="preserve">למוסר, </w:t>
      </w:r>
      <w:r>
        <w:rPr>
          <w:b/>
          <w:bCs/>
          <w:rtl/>
        </w:rPr>
        <w:t>ומפני שהיו קשורים למוסר</w:t>
      </w:r>
      <w:r>
        <w:rPr>
          <w:rtl/>
        </w:rPr>
        <w:t>. המבקרים העמידו פנים שכל עניינם הוא להתקדם בתורה, ועל כן התנגדו ללימוד המוסר (ולבעלי המוסר), שלטענתם עיכב את לימוד התורה – טענתם הישנה והדחויה של מתנגדי המוסר משכבר הימים. הם לכדו ברשתם כמה מן התלמידים הבולטים בישיבה,</w:t>
      </w:r>
      <w:bookmarkStart w:id="1781" w:name="_fnr1149"/>
      <w:r>
        <w:rPr>
          <w:rStyle w:val="a5"/>
        </w:rPr>
        <w:footnoteReference w:id="1152" w:customMarkFollows="0"/>
      </w:r>
      <w:bookmarkEnd w:id="1781"/>
      <w:r>
        <w:rPr>
          <w:rtl/>
        </w:rPr>
        <w:t xml:space="preserve"> שעל ידי הרצאת חידושי תורה יום יום לפני התלמידים המוכשרים משכו גם אותם להתנגד למשטר המוסר של הישיבה. בדרך זו הצליחו למשוך </w:t>
      </w:r>
      <w:proofErr w:type="spellStart"/>
      <w:r>
        <w:rPr>
          <w:rtl/>
        </w:rPr>
        <w:t>לצדם</w:t>
      </w:r>
      <w:proofErr w:type="spellEnd"/>
      <w:r>
        <w:rPr>
          <w:rtl/>
        </w:rPr>
        <w:t xml:space="preserve"> את רוב התלמידים. הפילוג הגיע עד שכמעט נעשתה הישיבה לשתי ישיבות: בצד הדרומי ישבו מתנגדי המוסר, ובצד הצפוני אנשי המוסר.</w:t>
      </w:r>
      <w:bookmarkStart w:id="1782" w:name="_fnr1150"/>
      <w:r>
        <w:rPr>
          <w:rStyle w:val="a5"/>
        </w:rPr>
        <w:footnoteReference w:id="1153" w:customMarkFollows="0"/>
      </w:r>
      <w:bookmarkEnd w:id="1782"/>
      <w:r>
        <w:rPr>
          <w:rtl/>
        </w:rPr>
        <w:t xml:space="preserve"> בעלי המוסר כינו את הצד הדרומי ‘הסמטה הפולנית’, על שם רחוב מקומי שבו גרו גויים פולנים.”</w:t>
      </w:r>
      <w:bookmarkStart w:id="1783" w:name="_fnr1151"/>
      <w:r>
        <w:rPr>
          <w:rStyle w:val="a5"/>
        </w:rPr>
        <w:footnoteReference w:id="1154" w:customMarkFollows="0"/>
      </w:r>
      <w:bookmarkEnd w:id="1783"/>
    </w:p>
    <w:p w14:paraId="61428893" w14:textId="32CB5949"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כבר </w:t>
      </w:r>
      <w:proofErr w:type="spellStart"/>
      <w:r>
        <w:rPr>
          <w:rtl/>
        </w:rPr>
        <w:t>בתרס״ד</w:t>
      </w:r>
      <w:proofErr w:type="spellEnd"/>
      <w:r>
        <w:rPr>
          <w:rtl/>
        </w:rPr>
        <w:t xml:space="preserve">, עם תבוסתה המשפילה של רוסיה במלחמתה עם יפן, גברה עוצמתן של רוחות המהפכה הסוציאליסטית, שנשבו בערי רוסיה ובכפריה זה עשרות שנים. </w:t>
      </w:r>
      <w:proofErr w:type="spellStart"/>
      <w:r>
        <w:rPr>
          <w:rtl/>
        </w:rPr>
        <w:t>בתרס״ה</w:t>
      </w:r>
      <w:proofErr w:type="spellEnd"/>
      <w:r>
        <w:rPr>
          <w:rtl/>
        </w:rPr>
        <w:t xml:space="preserve"> הגיעו לעוצמה של סופה, וסחפו מספר ניכר של תלמידי ישיבות</w:t>
      </w:r>
      <w:bookmarkStart w:id="1784" w:name="b3_ref56"/>
      <w:bookmarkEnd w:id="1784"/>
      <w:r>
        <w:rPr>
          <w:vertAlign w:val="superscript"/>
          <w:rtl/>
        </w:rPr>
        <w:fldChar w:fldCharType="begin" w:dirty="true"/>
      </w:r>
      <w:r>
        <w:rPr>
          <w:vertAlign w:val="superscript"/>
          <w:rtl/>
        </w:rPr>
        <w:instrText xml:space="preserve"> REF b3_note56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56</w:t>
      </w:r>
      <w:r>
        <w:rPr>
          <w:vertAlign w:val="superscript"/>
          <w:rtl/>
        </w:rPr>
        <w:fldChar w:fldCharType="end"/>
      </w:r>
      <w:r>
        <w:rPr>
          <w:rtl/>
        </w:rPr>
        <w:t xml:space="preserve"> – ובהם בנו של ר׳ </w:t>
      </w:r>
      <w:proofErr w:type="spellStart"/>
      <w:r>
        <w:rPr>
          <w:rtl/>
        </w:rPr>
        <w:t>נתן־צבי</w:t>
      </w:r>
      <w:proofErr w:type="spellEnd"/>
      <w:r>
        <w:rPr>
          <w:rtl/>
        </w:rPr>
        <w:t>. מתנגדי המוסר חברו לגורמים המהפכניים וסיכנו את עצם קיומה של הישיבה.</w:t>
      </w:r>
      <w:bookmarkStart w:id="1785" w:name="b3_ref57"/>
      <w:bookmarkEnd w:id="1785"/>
      <w:r>
        <w:rPr>
          <w:vertAlign w:val="superscript"/>
          <w:rtl/>
        </w:rPr>
        <w:fldChar w:fldCharType="begin" w:dirty="true"/>
      </w:r>
      <w:r>
        <w:rPr>
          <w:vertAlign w:val="superscript"/>
          <w:rtl/>
        </w:rPr>
        <w:instrText xml:space="preserve"> REF b3_note57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57</w:t>
      </w:r>
      <w:r>
        <w:rPr>
          <w:vertAlign w:val="superscript"/>
          <w:rtl/>
        </w:rPr>
        <w:fldChar w:fldCharType="end"/>
      </w:r>
      <w:r>
        <w:rPr>
          <w:rtl/>
        </w:rPr>
        <w:t xml:space="preserve"> למזלן של שתי הישיבות, כשדוכאה המהפכה, טיהרו פעולות הדיכוי של הממשלה נגד כל אוהדי הסוציאליזם את הישיבות מן הגורמים שעשו בהן מהומות.</w:t>
      </w:r>
      <w:bookmarkStart w:id="1786" w:name="b3_ref58"/>
      <w:bookmarkEnd w:id="1786"/>
      <w:r>
        <w:rPr>
          <w:vertAlign w:val="superscript"/>
          <w:rtl/>
        </w:rPr>
        <w:fldChar w:fldCharType="begin" w:dirty="true"/>
      </w:r>
      <w:r>
        <w:rPr>
          <w:vertAlign w:val="superscript"/>
          <w:rtl/>
        </w:rPr>
        <w:instrText xml:space="preserve"> REF b3_note58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58</w:t>
      </w:r>
      <w:r>
        <w:rPr>
          <w:vertAlign w:val="superscript"/>
          <w:rtl/>
        </w:rPr>
        <w:fldChar w:fldCharType="end"/>
      </w:r>
    </w:p>
    <w:bookmarkStart w:id="1787" w:name="pr_b_857"/>
    <w:bookmarkStart w:id="1788" w:name="b3_note56"/>
    <w:bookmarkEnd w:id="1787"/>
    <w:p w14:paraId="507E6544" w14:textId="77777777" w:rsidR="00AB3647" w:rsidRDefault="00000000" w:rsidP="007923E9">
      <w:pPr>
        <w:spacing w:before="120" w:after="100" w:line="276" w:lineRule="auto"/>
        <w:jc w:val="both"/>
      </w:pPr>
      <w:r>
        <w:fldChar w:fldCharType="begin" w:dirty="true"/>
      </w:r>
      <w:r>
        <w:instrText>HYPERLINK \l "b3_ref56"</w:instrText>
      </w:r>
      <w:r>
        <w:fldChar w:fldCharType="separate"/>
      </w:r>
      <w:r>
        <w:rPr>
          <w:b/>
          <w:bCs/>
          <w:rtl/>
        </w:rPr>
        <w:t>56</w:t>
      </w:r>
      <w:r>
        <w:rPr>
          <w:b/>
          <w:bCs/>
        </w:rPr>
        <w:fldChar w:fldCharType="end"/>
      </w:r>
      <w:bookmarkEnd w:id="1788"/>
      <w:r>
        <w:rPr>
          <w:rtl/>
        </w:rPr>
        <w:t xml:space="preserve"> שלטונות רוסיה הפלו יהודים לרעה בקבלה לאוניברסיטאות. ומנגד, הורים שומרי מצוות לא העלו על דעתם להתיר לילדיהם – אפילו לאלה שנחשדו שאינם שומרי מצוות – ללמוד באוניברסיטה, שבה הייתה שבת יום לימודים רגיל והם היו מחללים בה שבת בפרהסיה. כך נותרו הישיבות המוסדות היחידים להתפתחות שכלית שהיו פתוחים לחלק גדול מן הנוער היהודי ומושכים אותו.</w:t>
      </w:r>
      <w:bookmarkStart w:id="1789" w:name="_fnr1152"/>
      <w:r>
        <w:rPr>
          <w:rStyle w:val="a5"/>
        </w:rPr>
        <w:footnoteReference w:id="1155" w:customMarkFollows="0"/>
      </w:r>
      <w:bookmarkEnd w:id="1789"/>
      <w:r>
        <w:rPr>
          <w:rtl/>
        </w:rPr>
        <w:t xml:space="preserve"> משום כך הצטרפו לשורות בחורי הישיבה האמיתיים צעירים רבים שמלכתחילה הייתה נטייתם למוסר ולדת </w:t>
      </w:r>
      <w:proofErr w:type="spellStart"/>
      <w:r>
        <w:rPr>
          <w:rtl/>
        </w:rPr>
        <w:t>מועטת</w:t>
      </w:r>
      <w:proofErr w:type="spellEnd"/>
      <w:r>
        <w:rPr>
          <w:rtl/>
        </w:rPr>
        <w:t xml:space="preserve">. מזעזע ככל שיישמע הדבר, היו מקרים שבהם התגלו בין הנרשמים מחללי שבת </w:t>
      </w:r>
      <w:proofErr w:type="spellStart"/>
      <w:r>
        <w:rPr>
          <w:rtl/>
        </w:rPr>
        <w:t>בצינעא</w:t>
      </w:r>
      <w:proofErr w:type="spellEnd"/>
      <w:r>
        <w:rPr>
          <w:rtl/>
        </w:rPr>
        <w:t xml:space="preserve"> ממש. מובן שהישיבה לא יכלה לסבול את נוכחותם.</w:t>
      </w:r>
      <w:bookmarkStart w:id="1790" w:name="_fnr1153"/>
      <w:r>
        <w:rPr>
          <w:rStyle w:val="a5"/>
        </w:rPr>
        <w:footnoteReference w:id="1156" w:customMarkFollows="0"/>
      </w:r>
      <w:bookmarkEnd w:id="1790"/>
    </w:p>
    <w:p w14:paraId="1BFFB0D4" w14:textId="77777777" w:rsidR="00AB3647" w:rsidRDefault="00000000" w:rsidP="007923E9">
      <w:pPr>
        <w:spacing w:before="120" w:after="100" w:line="276" w:lineRule="auto"/>
        <w:jc w:val="both"/>
      </w:pPr>
      <w:r>
        <w:rPr>
          <w:rtl/>
        </w:rPr>
        <w:t xml:space="preserve">לצד רוח האנרכיה שחלחלה אל הישיבות מבחוץ, החדירו גורמים זרים אלה השפעה חתרנית מבפנים. גל חדש וחריף של התנגדות למוסר עבר בישיבה </w:t>
      </w:r>
      <w:proofErr w:type="spellStart"/>
      <w:r>
        <w:rPr>
          <w:rtl/>
        </w:rPr>
        <w:t>בתרס״ג</w:t>
      </w:r>
      <w:proofErr w:type="spellEnd"/>
      <w:r>
        <w:rPr>
          <w:rtl/>
        </w:rPr>
        <w:t>. האנרכיה הפוליטית שמבחוץ חיזקה אותו, והוא נמשך שנתיים, עד שנכשלה המהפכה הפוליטית המתוכננת. המעשים נגד המוסר הגיעו לשפל מביש כשנמצאו ספרי מוסר שהושלכו לבית הכיסא,</w:t>
      </w:r>
      <w:bookmarkStart w:id="1791" w:name="_fnr1154"/>
      <w:r>
        <w:rPr>
          <w:rStyle w:val="a5"/>
        </w:rPr>
        <w:footnoteReference w:id="1157" w:customMarkFollows="0"/>
      </w:r>
      <w:bookmarkEnd w:id="1791"/>
      <w:r>
        <w:rPr>
          <w:rtl/>
        </w:rPr>
        <w:t xml:space="preserve"> “כדי להרגיז את מנהלי הישיבה”.</w:t>
      </w:r>
      <w:bookmarkStart w:id="1792" w:name="_fnr1155"/>
      <w:r>
        <w:rPr>
          <w:rStyle w:val="a5"/>
        </w:rPr>
        <w:footnoteReference w:id="1158" w:customMarkFollows="0"/>
      </w:r>
      <w:bookmarkEnd w:id="1792"/>
    </w:p>
    <w:p w14:paraId="3B2F87AA" w14:textId="77777777" w:rsidR="00AB3647" w:rsidRDefault="00000000" w:rsidP="007923E9">
      <w:pPr>
        <w:spacing w:before="120" w:after="100" w:line="276" w:lineRule="auto"/>
        <w:jc w:val="both"/>
      </w:pPr>
      <w:r>
        <w:rPr>
          <w:rtl/>
        </w:rPr>
        <w:lastRenderedPageBreak/>
        <w:t xml:space="preserve">השווה גם מאמרו של </w:t>
      </w:r>
      <w:proofErr w:type="spellStart"/>
      <w:r>
        <w:rPr>
          <w:rtl/>
        </w:rPr>
        <w:t>הירש־לייב</w:t>
      </w:r>
      <w:proofErr w:type="spellEnd"/>
      <w:r>
        <w:rPr>
          <w:rtl/>
        </w:rPr>
        <w:t xml:space="preserve"> גורדון “על גדות </w:t>
      </w:r>
      <w:proofErr w:type="spellStart"/>
      <w:r>
        <w:rPr>
          <w:rtl/>
        </w:rPr>
        <w:t>הוויליה</w:t>
      </w:r>
      <w:proofErr w:type="spellEnd"/>
      <w:r>
        <w:rPr>
          <w:rtl/>
        </w:rPr>
        <w:t xml:space="preserve"> </w:t>
      </w:r>
      <w:proofErr w:type="spellStart"/>
      <w:r>
        <w:rPr>
          <w:rtl/>
        </w:rPr>
        <w:t>והנימן</w:t>
      </w:r>
      <w:proofErr w:type="spellEnd"/>
      <w:r>
        <w:rPr>
          <w:rtl/>
        </w:rPr>
        <w:t xml:space="preserve">” </w:t>
      </w:r>
      <w:proofErr w:type="spellStart"/>
      <w:r>
        <w:rPr>
          <w:rtl/>
        </w:rPr>
        <w:t>ב“הדואר</w:t>
      </w:r>
      <w:proofErr w:type="spellEnd"/>
      <w:r>
        <w:rPr>
          <w:rtl/>
        </w:rPr>
        <w:t>”,</w:t>
      </w:r>
      <w:bookmarkStart w:id="1793" w:name="_fnr1156"/>
      <w:r>
        <w:rPr>
          <w:rStyle w:val="a5"/>
        </w:rPr>
        <w:footnoteReference w:id="1159" w:customMarkFollows="0"/>
      </w:r>
      <w:bookmarkEnd w:id="1793"/>
      <w:r>
        <w:rPr>
          <w:rtl/>
        </w:rPr>
        <w:t xml:space="preserve"> שבו מגלה גורדון, המתנגד למוסר, שבעלי המוסר בכנסת ישראל ניסו להפיג את קלונם בהטלת האשמה על תלמידי כנסת בית יצחק. גורדון היה נער צעיר בישיבת ר׳ </w:t>
      </w:r>
      <w:proofErr w:type="spellStart"/>
      <w:r>
        <w:rPr>
          <w:rtl/>
        </w:rPr>
        <w:t>הירשל׳ה</w:t>
      </w:r>
      <w:proofErr w:type="spellEnd"/>
      <w:r>
        <w:rPr>
          <w:rtl/>
        </w:rPr>
        <w:t xml:space="preserve"> בשעת מעשה חילול הקודש הזה. הוא מספר גם שב־1917 [תרע״ז], כשלמד באוניברסיטת ייל, היה מבקר בכל מוצאי שבת אצל רבה של ניו </w:t>
      </w:r>
      <w:proofErr w:type="spellStart"/>
      <w:r>
        <w:rPr>
          <w:rtl/>
        </w:rPr>
        <w:t>הייבן</w:t>
      </w:r>
      <w:proofErr w:type="spellEnd"/>
      <w:r>
        <w:rPr>
          <w:rtl/>
        </w:rPr>
        <w:t xml:space="preserve">, בעל המוסר ר׳ יהודה </w:t>
      </w:r>
      <w:proofErr w:type="spellStart"/>
      <w:r>
        <w:rPr>
          <w:rtl/>
        </w:rPr>
        <w:t>לוונברג</w:t>
      </w:r>
      <w:proofErr w:type="spellEnd"/>
      <w:r>
        <w:rPr>
          <w:rtl/>
        </w:rPr>
        <w:t xml:space="preserve">. הרב </w:t>
      </w:r>
      <w:proofErr w:type="spellStart"/>
      <w:r>
        <w:rPr>
          <w:rtl/>
        </w:rPr>
        <w:t>לוונברג</w:t>
      </w:r>
      <w:proofErr w:type="spellEnd"/>
      <w:r>
        <w:rPr>
          <w:rtl/>
        </w:rPr>
        <w:t xml:space="preserve"> גילה שמאחר שהיה בישיבה באותה שעה, ידע בדיוק מי היו העושים, “וכשיגיע הזמן המתאים הוא יגלה את שמותיהם”. גורדון מוסיף באכזבה: “אבל מי שידע את הסוד נפטר קודם שהגיע הזמן המתאים.”</w:t>
      </w:r>
    </w:p>
    <w:p w14:paraId="297445A6" w14:textId="77777777" w:rsidR="00AB3647" w:rsidRDefault="00000000" w:rsidP="007923E9">
      <w:pPr>
        <w:spacing w:before="120" w:after="100" w:line="276" w:lineRule="auto"/>
        <w:jc w:val="both"/>
      </w:pPr>
      <w:r>
        <w:rPr>
          <w:rtl/>
        </w:rPr>
        <w:t xml:space="preserve">ר׳ </w:t>
      </w:r>
      <w:proofErr w:type="spellStart"/>
      <w:r>
        <w:rPr>
          <w:rtl/>
        </w:rPr>
        <w:t>יוסף־שלמה</w:t>
      </w:r>
      <w:proofErr w:type="spellEnd"/>
      <w:r>
        <w:rPr>
          <w:rtl/>
        </w:rPr>
        <w:t xml:space="preserve"> ספסל סיפר</w:t>
      </w:r>
      <w:bookmarkStart w:id="1794" w:name="_fnr1157"/>
      <w:r>
        <w:rPr>
          <w:rStyle w:val="a5"/>
        </w:rPr>
        <w:footnoteReference w:id="1160" w:customMarkFollows="0"/>
      </w:r>
      <w:bookmarkEnd w:id="1794"/>
      <w:r>
        <w:rPr>
          <w:rtl/>
        </w:rPr>
        <w:t xml:space="preserve"> בשם אביו, ר׳ </w:t>
      </w:r>
      <w:proofErr w:type="spellStart"/>
      <w:r>
        <w:rPr>
          <w:rtl/>
        </w:rPr>
        <w:t>יעקב־דוב</w:t>
      </w:r>
      <w:proofErr w:type="spellEnd"/>
      <w:r>
        <w:rPr>
          <w:rtl/>
        </w:rPr>
        <w:t xml:space="preserve">, תלמיד כנסת בית יצחק שנודע כעילוי </w:t>
      </w:r>
      <w:proofErr w:type="spellStart"/>
      <w:r>
        <w:rPr>
          <w:rtl/>
        </w:rPr>
        <w:t>מווישקי</w:t>
      </w:r>
      <w:proofErr w:type="spellEnd"/>
      <w:r>
        <w:rPr>
          <w:rtl/>
        </w:rPr>
        <w:t xml:space="preserve">, שתלמידי ישיבתו לא הורשו להיכנס לכנסת ישראל, ורק הוא היה יוצא מן הכלל. הסבא אמר: “רק הצדיק </w:t>
      </w:r>
      <w:proofErr w:type="spellStart"/>
      <w:r>
        <w:rPr>
          <w:rtl/>
        </w:rPr>
        <w:t>יענקל</w:t>
      </w:r>
      <w:proofErr w:type="spellEnd"/>
      <w:r>
        <w:rPr>
          <w:rtl/>
        </w:rPr>
        <w:t xml:space="preserve"> </w:t>
      </w:r>
      <w:proofErr w:type="spellStart"/>
      <w:r>
        <w:rPr>
          <w:rtl/>
        </w:rPr>
        <w:t>ווישקער</w:t>
      </w:r>
      <w:proofErr w:type="spellEnd"/>
      <w:r>
        <w:rPr>
          <w:rtl/>
        </w:rPr>
        <w:t xml:space="preserve"> רשאי לבוא.” אפשר לשער שר׳ </w:t>
      </w:r>
      <w:proofErr w:type="spellStart"/>
      <w:r>
        <w:rPr>
          <w:rtl/>
        </w:rPr>
        <w:t>יעקב־דוב</w:t>
      </w:r>
      <w:proofErr w:type="spellEnd"/>
      <w:r>
        <w:rPr>
          <w:rtl/>
        </w:rPr>
        <w:t xml:space="preserve"> ספסל תיאר דווקא תקופה זו, שבה נחשדו תלמידי הישיבה שאינה ישיבת מוסר במעשה הנבלה. זו עשויה להיות הסיבה שהלוויית הספרים התקיימה לפני אותה ישיבה, כמסופר בעמ׳ </w:t>
      </w:r>
      <w:r>
        <w:rPr>
          <w:rtl/>
        </w:rPr>
        <w:fldChar w:fldCharType="begin" w:dirty="true"/>
      </w:r>
      <w:r>
        <w:rPr>
          <w:rtl/>
        </w:rPr>
        <w:instrText xml:space="preserve"> PAGEREF pr_b_1425 \h </w:instrText>
      </w:r>
      <w:r>
        <w:rPr>
          <w:rtl/>
        </w:rPr>
      </w:r>
      <w:r>
        <w:rPr>
          <w:rtl/>
        </w:rPr>
        <w:fldChar w:fldCharType="separate"/>
      </w:r>
      <w:r w:rsidR="007923E9">
        <w:rPr>
          <w:noProof/>
          <w:rtl/>
        </w:rPr>
        <w:t>1</w:t>
      </w:r>
      <w:r>
        <w:rPr>
          <w:rtl/>
        </w:rPr>
        <w:fldChar w:fldCharType="end"/>
      </w:r>
      <w:r>
        <w:rPr>
          <w:rtl/>
        </w:rPr>
        <w:t xml:space="preserve"> להלן.</w:t>
      </w:r>
    </w:p>
    <w:p w14:paraId="6CA0B051" w14:textId="5FB210CA" w:rsidR="00AB3647" w:rsidRDefault="00000000" w:rsidP="007923E9">
      <w:pPr>
        <w:spacing w:before="120" w:after="100" w:line="276" w:lineRule="auto"/>
        <w:jc w:val="both"/>
      </w:pPr>
      <w:proofErr w:type="spellStart"/>
      <w:r>
        <w:rPr>
          <w:rtl/>
        </w:rPr>
        <w:t>הווישקער</w:t>
      </w:r>
      <w:proofErr w:type="spellEnd"/>
      <w:r>
        <w:rPr>
          <w:rtl/>
        </w:rPr>
        <w:t xml:space="preserve"> סיפר לבנו שהיה הולך לכנסת ישראל כדי “לדבר בלימוד” עם הסבא </w:t>
      </w:r>
      <w:proofErr w:type="spellStart"/>
      <w:r>
        <w:rPr>
          <w:rtl/>
        </w:rPr>
        <w:t>מסלבודקה</w:t>
      </w:r>
      <w:proofErr w:type="spellEnd"/>
      <w:r>
        <w:rPr>
          <w:rtl/>
        </w:rPr>
        <w:t xml:space="preserve">. מאחר שהסבא לא נראה מעולם לומד ענייני הלכה – ראה פרק 4, הערה </w:t>
      </w:r>
      <w:r>
        <w:rPr>
          <w:rtl/>
        </w:rPr>
        <w:fldChar w:fldCharType="begin" w:dirty="true"/>
      </w:r>
      <w:r>
        <w:rPr>
          <w:rtl/>
        </w:rPr>
        <w:instrText xml:space="preserve"> REF b4_note2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2</w:t>
      </w:r>
      <w:r>
        <w:rPr>
          <w:rtl/>
        </w:rPr>
        <w:fldChar w:fldCharType="end"/>
      </w:r>
      <w:r>
        <w:rPr>
          <w:rtl/>
        </w:rPr>
        <w:t xml:space="preserve"> ו</w:t>
      </w:r>
      <w:r>
        <w:rPr>
          <w:rtl/>
        </w:rPr>
        <w:fldChar w:fldCharType="begin" w:dirty="true"/>
      </w:r>
      <w:r>
        <w:rPr>
          <w:rtl/>
        </w:rPr>
        <w:instrText xml:space="preserve"> REF b4_excA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א</w:t>
      </w:r>
      <w:r>
        <w:rPr>
          <w:rtl/>
        </w:rPr>
        <w:fldChar w:fldCharType="end"/>
      </w:r>
      <w:r>
        <w:rPr>
          <w:rtl/>
        </w:rPr>
        <w:t xml:space="preserve"> – סביר ששיחותיהם עסקו בענייני אגדה. אצל העילוי </w:t>
      </w:r>
      <w:proofErr w:type="spellStart"/>
      <w:r>
        <w:rPr>
          <w:rtl/>
        </w:rPr>
        <w:t>מווישקי</w:t>
      </w:r>
      <w:proofErr w:type="spellEnd"/>
      <w:r>
        <w:rPr>
          <w:rtl/>
        </w:rPr>
        <w:t>, שהיה בקי במידה שווה בכל חלקי הש״ס, גם זאת הייתה “שיחה בלימוד”.</w:t>
      </w:r>
    </w:p>
    <w:p w14:paraId="6B990A69" w14:textId="4D3AF2F8" w:rsidR="00AB3647" w:rsidRDefault="00000000" w:rsidP="007923E9">
      <w:pPr>
        <w:spacing w:before="120" w:after="100" w:line="276" w:lineRule="auto"/>
        <w:jc w:val="both"/>
      </w:pPr>
      <w:r>
        <w:rPr>
          <w:rtl/>
        </w:rPr>
        <w:t>לפי ר׳ חיים שפירא,</w:t>
      </w:r>
      <w:bookmarkStart w:id="1795" w:name="_fnr1158"/>
      <w:r>
        <w:rPr>
          <w:rStyle w:val="a5"/>
        </w:rPr>
        <w:footnoteReference w:id="1161" w:customMarkFollows="0"/>
      </w:r>
      <w:bookmarkEnd w:id="1795"/>
      <w:r>
        <w:rPr>
          <w:rtl/>
        </w:rPr>
        <w:t xml:space="preserve"> על תקופה זו אמר ר׳ </w:t>
      </w:r>
      <w:proofErr w:type="spellStart"/>
      <w:r>
        <w:rPr>
          <w:rtl/>
        </w:rPr>
        <w:t>חיים־עוזר</w:t>
      </w:r>
      <w:proofErr w:type="spellEnd"/>
      <w:r>
        <w:rPr>
          <w:rtl/>
        </w:rPr>
        <w:t xml:space="preserve"> </w:t>
      </w:r>
      <w:proofErr w:type="spellStart"/>
      <w:r>
        <w:rPr>
          <w:rtl/>
        </w:rPr>
        <w:t>גרודזנסקי</w:t>
      </w:r>
      <w:bookmarkStart w:id="1796" w:name="_fnr1159"/>
      <w:proofErr w:type="spellEnd"/>
      <w:r>
        <w:rPr>
          <w:rStyle w:val="a5"/>
        </w:rPr>
        <w:footnoteReference w:id="1162" w:customMarkFollows="0"/>
      </w:r>
      <w:bookmarkEnd w:id="1796"/>
      <w:r>
        <w:rPr>
          <w:rtl/>
        </w:rPr>
        <w:t xml:space="preserve"> שישיבה בלי משגיח היא “בור ברשות הרבים”. בכך רמז שלדעתו האחראים למעשה הרע היו תלמידי כנסת בית יצחק, שאינה ישיבת מוסר ואין בה משגיח – או שהסבא היה מרוחק מדי מן הישיבה באותה שעה, והפך את כנסת ישראל </w:t>
      </w:r>
      <w:proofErr w:type="spellStart"/>
      <w:r>
        <w:rPr>
          <w:rtl/>
        </w:rPr>
        <w:t>ל“ישיבה</w:t>
      </w:r>
      <w:proofErr w:type="spellEnd"/>
      <w:r>
        <w:rPr>
          <w:rtl/>
        </w:rPr>
        <w:t xml:space="preserve"> בלי משגיח”. ראה הערה 59 והפסקאות הראשונה והחמישית של </w:t>
      </w:r>
      <w:r>
        <w:rPr>
          <w:rtl/>
        </w:rPr>
        <w:fldChar w:fldCharType="begin" w:dirty="true"/>
      </w:r>
      <w:r>
        <w:rPr>
          <w:rtl/>
        </w:rPr>
        <w:instrText xml:space="preserve"> REF b3_excT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כ</w:t>
      </w:r>
      <w:r>
        <w:rPr>
          <w:rtl/>
        </w:rPr>
        <w:fldChar w:fldCharType="end"/>
      </w:r>
      <w:r>
        <w:rPr>
          <w:rtl/>
        </w:rPr>
        <w:t xml:space="preserve"> להלן.</w:t>
      </w:r>
    </w:p>
    <w:p w14:paraId="69314911" w14:textId="77777777" w:rsidR="00AB3647" w:rsidRDefault="00000000" w:rsidP="007923E9">
      <w:pPr>
        <w:spacing w:after="100" w:line="276" w:lineRule="auto"/>
        <w:ind w:firstLine="340"/>
        <w:jc w:val="both"/>
      </w:pPr>
      <w:r>
        <w:rPr>
          <w:rtl/>
        </w:rPr>
        <w:t>מעשה מעניין במיוחד, המעיד על עוצמת אישיותו של הסבא, אירע באותה שעה.</w:t>
      </w:r>
      <w:bookmarkStart w:id="1797" w:name="_fnr1160"/>
      <w:r>
        <w:rPr>
          <w:rStyle w:val="a5"/>
        </w:rPr>
        <w:footnoteReference w:id="1163" w:customMarkFollows="0"/>
      </w:r>
      <w:bookmarkEnd w:id="1797"/>
      <w:r>
        <w:rPr>
          <w:rtl/>
        </w:rPr>
        <w:t xml:space="preserve"> קבוצת מהפכנים בראשות מי שנטש את ישיבת </w:t>
      </w:r>
      <w:proofErr w:type="spellStart"/>
      <w:r>
        <w:rPr>
          <w:rtl/>
        </w:rPr>
        <w:t>סלבודקה</w:t>
      </w:r>
      <w:proofErr w:type="spellEnd"/>
      <w:r>
        <w:rPr>
          <w:rtl/>
        </w:rPr>
        <w:t xml:space="preserve"> באה לחדרו של הסבא, ובנשק שלוף דרשה שיחדל מפעילותו בישיבה. הסבא הביט בפניו של המנהיג ואמר: “ראה מה נהיה ממך בתוך ימים ספורים!” והקבוצה הסתלקה בבושת פנים.</w:t>
      </w:r>
    </w:p>
    <w:p w14:paraId="22CCF2CF" w14:textId="77777777" w:rsidR="00AB3647" w:rsidRDefault="00000000" w:rsidP="007923E9">
      <w:pPr>
        <w:spacing w:after="100" w:line="276" w:lineRule="auto"/>
        <w:ind w:firstLine="340"/>
        <w:jc w:val="both"/>
      </w:pPr>
      <w:r>
        <w:rPr>
          <w:rtl/>
        </w:rPr>
        <w:t xml:space="preserve">מ׳ </w:t>
      </w:r>
      <w:proofErr w:type="spellStart"/>
      <w:r>
        <w:rPr>
          <w:rtl/>
        </w:rPr>
        <w:t>גרץ</w:t>
      </w:r>
      <w:proofErr w:type="spellEnd"/>
      <w:r>
        <w:rPr>
          <w:rtl/>
        </w:rPr>
        <w:t xml:space="preserve"> – שם העט של העיתונאי היידי ותלמיד </w:t>
      </w:r>
      <w:proofErr w:type="spellStart"/>
      <w:r>
        <w:rPr>
          <w:rtl/>
        </w:rPr>
        <w:t>סלבודקה</w:t>
      </w:r>
      <w:proofErr w:type="spellEnd"/>
      <w:r>
        <w:rPr>
          <w:rtl/>
        </w:rPr>
        <w:t xml:space="preserve"> לשעבר גרשון </w:t>
      </w:r>
      <w:proofErr w:type="spellStart"/>
      <w:r>
        <w:rPr>
          <w:rtl/>
        </w:rPr>
        <w:t>מובשוביץ</w:t>
      </w:r>
      <w:proofErr w:type="spellEnd"/>
      <w:r>
        <w:rPr>
          <w:rtl/>
        </w:rPr>
        <w:t xml:space="preserve"> – מתאר כך את דרישות המהפכנים ואת תגובת הסבא </w:t>
      </w:r>
      <w:proofErr w:type="spellStart"/>
      <w:r>
        <w:rPr>
          <w:rtl/>
        </w:rPr>
        <w:t>מסלבודקה</w:t>
      </w:r>
      <w:proofErr w:type="spellEnd"/>
      <w:r>
        <w:rPr>
          <w:rtl/>
        </w:rPr>
        <w:t xml:space="preserve">, במאמר על הסבא (בתרגום מיידיש </w:t>
      </w:r>
      <w:proofErr w:type="spellStart"/>
      <w:r>
        <w:rPr>
          <w:rtl/>
        </w:rPr>
        <w:t>ב“המסורת</w:t>
      </w:r>
      <w:proofErr w:type="spellEnd"/>
      <w:r>
        <w:rPr>
          <w:rtl/>
        </w:rPr>
        <w:t xml:space="preserve"> המוזהבת” מאת </w:t>
      </w:r>
      <w:proofErr w:type="spellStart"/>
      <w:r>
        <w:rPr>
          <w:rtl/>
        </w:rPr>
        <w:t>לוסי</w:t>
      </w:r>
      <w:proofErr w:type="spellEnd"/>
      <w:r>
        <w:rPr>
          <w:rtl/>
        </w:rPr>
        <w:t xml:space="preserve"> ס׳ </w:t>
      </w:r>
      <w:proofErr w:type="spellStart"/>
      <w:r>
        <w:rPr>
          <w:rtl/>
        </w:rPr>
        <w:t>דווידוביץ</w:t>
      </w:r>
      <w:proofErr w:type="spellEnd"/>
      <w:r>
        <w:rPr>
          <w:rtl/>
        </w:rPr>
        <w:t>):</w:t>
      </w:r>
      <w:bookmarkStart w:id="1798" w:name="_fnr1161"/>
      <w:r>
        <w:rPr>
          <w:rStyle w:val="a5"/>
        </w:rPr>
        <w:footnoteReference w:id="1164" w:customMarkFollows="0"/>
      </w:r>
      <w:bookmarkEnd w:id="1798"/>
      <w:r>
        <w:rPr>
          <w:rtl/>
        </w:rPr>
        <w:t xml:space="preserve"> “ב־1905 מרדו התלמידים בישיבת </w:t>
      </w:r>
      <w:proofErr w:type="spellStart"/>
      <w:r>
        <w:rPr>
          <w:rtl/>
        </w:rPr>
        <w:t>סלבודקה</w:t>
      </w:r>
      <w:proofErr w:type="spellEnd"/>
      <w:r>
        <w:rPr>
          <w:rtl/>
        </w:rPr>
        <w:t xml:space="preserve">. מהפכנים יהודים מבחוץ הפיצו ביניהם את תעמולתם בהצלחה מסוימת. המרד סחף </w:t>
      </w:r>
      <w:r>
        <w:rPr>
          <w:rtl/>
        </w:rPr>
        <w:lastRenderedPageBreak/>
        <w:t>את הישיבה. המורדים דרשו חופש רב יותר, לימודי חול ורשות לקרוא ספרי חול ועיתונים. הסבא לא נרתע. כל היום בישיבה נערך למלחמה – זקנו המחודד מבצבץ ממחבואו,</w:t>
      </w:r>
      <w:bookmarkStart w:id="1799" w:name="_fnr1162"/>
      <w:r>
        <w:rPr>
          <w:rStyle w:val="a5"/>
        </w:rPr>
        <w:footnoteReference w:id="1165" w:customMarkFollows="0"/>
      </w:r>
      <w:bookmarkEnd w:id="1799"/>
      <w:r>
        <w:rPr>
          <w:rtl/>
        </w:rPr>
        <w:t xml:space="preserve"> ועיניו העדינות והצלולות נוצצות כחניתות בוערות. מי יכול היה לעמוד בפניהן? ביד איתנה הדף את ההתקפה. הוא החרים מקצת מן התלמידים: איש בעיר לא היה משכיר להם חדרים או מוכר להם מזון. מקצתם שכנע לבוא לצדו. אחרים, שלא נעתרו לו, נשלחו אל מחוץ לעיר בעזרת עגלונים ששיתפו פעולה. השאר נשברו והוכנעו. מי יכול היה לעמוד בפניו? בזמנים כאלה היה מלמד: ‘הבריות אומרות, כשאי אפשר לעבור מעל, עוברים מתחת. אבל בעלי המוסר אומרים, כשאי אפשר לעבור מעל, צריך להתרומם מעל.’”</w:t>
      </w:r>
      <w:bookmarkStart w:id="1800" w:name="_fnr1163"/>
      <w:r>
        <w:rPr>
          <w:rStyle w:val="a5"/>
        </w:rPr>
        <w:footnoteReference w:id="1166" w:customMarkFollows="0"/>
      </w:r>
      <w:bookmarkEnd w:id="1800"/>
    </w:p>
    <w:bookmarkStart w:id="1801" w:name="b3_note57"/>
    <w:p w14:paraId="2B8BBCAD" w14:textId="6987E8E9" w:rsidR="00AB3647" w:rsidRDefault="00000000" w:rsidP="007923E9">
      <w:pPr>
        <w:spacing w:before="120" w:after="100" w:line="276" w:lineRule="auto"/>
        <w:jc w:val="both"/>
      </w:pPr>
      <w:r>
        <w:fldChar w:fldCharType="begin" w:dirty="true"/>
      </w:r>
      <w:r>
        <w:instrText>HYPERLINK \l "b3_ref57"</w:instrText>
      </w:r>
      <w:r>
        <w:fldChar w:fldCharType="separate"/>
      </w:r>
      <w:r>
        <w:rPr>
          <w:b/>
          <w:bCs/>
          <w:rtl/>
        </w:rPr>
        <w:t>57</w:t>
      </w:r>
      <w:r>
        <w:rPr>
          <w:b/>
          <w:bCs/>
        </w:rPr>
        <w:fldChar w:fldCharType="end"/>
      </w:r>
      <w:bookmarkEnd w:id="1801"/>
      <w:r>
        <w:rPr>
          <w:rtl/>
        </w:rPr>
        <w:t xml:space="preserve"> השווה פרק 5, הערה </w:t>
      </w:r>
      <w:r>
        <w:rPr>
          <w:rtl/>
        </w:rPr>
        <w:fldChar w:fldCharType="begin" w:dirty="true"/>
      </w:r>
      <w:r>
        <w:rPr>
          <w:rtl/>
        </w:rPr>
        <w:instrText xml:space="preserve"> REF b5_note28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28</w:t>
      </w:r>
      <w:r>
        <w:rPr>
          <w:rtl/>
        </w:rPr>
        <w:fldChar w:fldCharType="end"/>
      </w:r>
      <w:r>
        <w:rPr>
          <w:rtl/>
        </w:rPr>
        <w:t>.</w:t>
      </w:r>
    </w:p>
    <w:bookmarkStart w:id="1802" w:name="b3_note58"/>
    <w:p w14:paraId="2AD20BA5" w14:textId="1DFF242A" w:rsidR="00AB3647" w:rsidRDefault="00000000" w:rsidP="007923E9">
      <w:pPr>
        <w:spacing w:before="120" w:after="100" w:line="276" w:lineRule="auto"/>
        <w:jc w:val="both"/>
      </w:pPr>
      <w:r>
        <w:fldChar w:fldCharType="begin" w:dirty="true"/>
      </w:r>
      <w:r>
        <w:instrText>HYPERLINK \l "b3_ref58"</w:instrText>
      </w:r>
      <w:r>
        <w:fldChar w:fldCharType="separate"/>
      </w:r>
      <w:r>
        <w:rPr>
          <w:b/>
          <w:bCs/>
          <w:rtl/>
        </w:rPr>
        <w:t>58</w:t>
      </w:r>
      <w:r>
        <w:rPr>
          <w:b/>
          <w:bCs/>
        </w:rPr>
        <w:fldChar w:fldCharType="end"/>
      </w:r>
      <w:bookmarkEnd w:id="1802"/>
      <w:r>
        <w:rPr>
          <w:rtl/>
        </w:rPr>
        <w:t xml:space="preserve"> ראה </w:t>
      </w:r>
      <w:r>
        <w:rPr>
          <w:rtl/>
        </w:rPr>
        <w:fldChar w:fldCharType="begin" w:dirty="true"/>
      </w:r>
      <w:r>
        <w:rPr>
          <w:rtl/>
        </w:rPr>
        <w:instrText xml:space="preserve"> REF b3_excS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יט</w:t>
      </w:r>
      <w:proofErr w:type="spellEnd"/>
      <w:r>
        <w:rPr>
          <w:rtl/>
        </w:rPr>
        <w:fldChar w:fldCharType="end"/>
      </w:r>
      <w:r>
        <w:rPr>
          <w:rtl/>
        </w:rPr>
        <w:t>.</w:t>
      </w:r>
    </w:p>
    <w:p w14:paraId="571587C4" w14:textId="460FEB4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עמדתו של הסבא </w:t>
      </w:r>
      <w:proofErr w:type="spellStart"/>
      <w:r>
        <w:rPr>
          <w:rtl/>
        </w:rPr>
        <w:t>מסלבודקה</w:t>
      </w:r>
      <w:proofErr w:type="spellEnd"/>
      <w:r>
        <w:rPr>
          <w:rtl/>
        </w:rPr>
        <w:t xml:space="preserve"> בשנות המשבר הראשונות</w:t>
      </w:r>
      <w:bookmarkStart w:id="1803" w:name="b3_ref59"/>
      <w:bookmarkEnd w:id="1803"/>
      <w:r>
        <w:rPr>
          <w:vertAlign w:val="superscript"/>
          <w:rtl/>
        </w:rPr>
        <w:fldChar w:fldCharType="begin" w:dirty="true"/>
      </w:r>
      <w:r>
        <w:rPr>
          <w:vertAlign w:val="superscript"/>
          <w:rtl/>
        </w:rPr>
        <w:instrText xml:space="preserve"> REF b3_note59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59</w:t>
      </w:r>
      <w:r>
        <w:rPr>
          <w:vertAlign w:val="superscript"/>
          <w:rtl/>
        </w:rPr>
        <w:fldChar w:fldCharType="end"/>
      </w:r>
      <w:r>
        <w:rPr>
          <w:rtl/>
        </w:rPr>
        <w:t xml:space="preserve"> נתפסה בעיני רבים כפסיבית וחלשה, ועוררה ביקורת חריפה</w:t>
      </w:r>
      <w:bookmarkStart w:id="1804" w:name="b3_ref60"/>
      <w:bookmarkEnd w:id="1804"/>
      <w:r>
        <w:rPr>
          <w:vertAlign w:val="superscript"/>
          <w:rtl/>
        </w:rPr>
        <w:fldChar w:fldCharType="begin" w:dirty="true"/>
      </w:r>
      <w:r>
        <w:rPr>
          <w:vertAlign w:val="superscript"/>
          <w:rtl/>
        </w:rPr>
        <w:instrText xml:space="preserve"> REF b3_note60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60</w:t>
      </w:r>
      <w:r>
        <w:rPr>
          <w:vertAlign w:val="superscript"/>
          <w:rtl/>
        </w:rPr>
        <w:fldChar w:fldCharType="end"/>
      </w:r>
      <w:r>
        <w:rPr>
          <w:rtl/>
        </w:rPr>
        <w:t xml:space="preserve"> בתוך ישיבתו</w:t>
      </w:r>
      <w:bookmarkStart w:id="1805" w:name="b3_ref61"/>
      <w:bookmarkEnd w:id="1805"/>
      <w:r>
        <w:rPr>
          <w:vertAlign w:val="superscript"/>
          <w:rtl/>
        </w:rPr>
        <w:fldChar w:fldCharType="begin" w:dirty="true"/>
      </w:r>
      <w:r>
        <w:rPr>
          <w:vertAlign w:val="superscript"/>
          <w:rtl/>
        </w:rPr>
        <w:instrText xml:space="preserve"> REF b3_note61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61</w:t>
      </w:r>
      <w:r>
        <w:rPr>
          <w:vertAlign w:val="superscript"/>
          <w:rtl/>
        </w:rPr>
        <w:fldChar w:fldCharType="end"/>
      </w:r>
      <w:r>
        <w:rPr>
          <w:rtl/>
        </w:rPr>
        <w:t>. אבל מאחורי הקיפאון שנראה כלפי חוץ התחוללו תמורות אדירות. הסבא שינה מן היסוד את שיטתו החינוכית</w:t>
      </w:r>
      <w:bookmarkStart w:id="1806" w:name="b3_ref62"/>
      <w:bookmarkEnd w:id="1806"/>
      <w:r>
        <w:rPr>
          <w:vertAlign w:val="superscript"/>
          <w:rtl/>
        </w:rPr>
        <w:fldChar w:fldCharType="begin" w:dirty="true"/>
      </w:r>
      <w:r>
        <w:rPr>
          <w:vertAlign w:val="superscript"/>
          <w:rtl/>
        </w:rPr>
        <w:instrText xml:space="preserve"> REF b3_note62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62</w:t>
      </w:r>
      <w:r>
        <w:rPr>
          <w:vertAlign w:val="superscript"/>
          <w:rtl/>
        </w:rPr>
        <w:fldChar w:fldCharType="end"/>
      </w:r>
      <w:r>
        <w:rPr>
          <w:rtl/>
        </w:rPr>
        <w:t>, ולבסוף, כשפקדה אותו עצמו הטרגדיה שבנו נטש את הדת, התגבשה בו גישה חדשה למוסר. הוא חדל להתעכב על חולשות האדם, ותחת זאת פנה להתבונן בכוחו של האדם להגיע לגדלות</w:t>
      </w:r>
      <w:bookmarkStart w:id="1807" w:name="b3_ref63"/>
      <w:bookmarkEnd w:id="1807"/>
      <w:r>
        <w:rPr>
          <w:vertAlign w:val="superscript"/>
          <w:rtl/>
        </w:rPr>
        <w:fldChar w:fldCharType="begin" w:dirty="true"/>
      </w:r>
      <w:r>
        <w:rPr>
          <w:vertAlign w:val="superscript"/>
          <w:rtl/>
        </w:rPr>
        <w:instrText xml:space="preserve"> REF b3_note63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63</w:t>
      </w:r>
      <w:r>
        <w:rPr>
          <w:vertAlign w:val="superscript"/>
          <w:rtl/>
        </w:rPr>
        <w:fldChar w:fldCharType="end"/>
      </w:r>
      <w:r>
        <w:rPr>
          <w:rtl/>
        </w:rPr>
        <w:t>. שיחותיו, ה“שמועסן”</w:t>
      </w:r>
      <w:bookmarkStart w:id="1808" w:name="b3_ref64"/>
      <w:bookmarkEnd w:id="1808"/>
      <w:r>
        <w:rPr>
          <w:vertAlign w:val="superscript"/>
          <w:rtl/>
        </w:rPr>
        <w:fldChar w:fldCharType="begin" w:dirty="true"/>
      </w:r>
      <w:r>
        <w:rPr>
          <w:vertAlign w:val="superscript"/>
          <w:rtl/>
        </w:rPr>
        <w:instrText xml:space="preserve"> REF b3_note64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64</w:t>
      </w:r>
      <w:r>
        <w:rPr>
          <w:vertAlign w:val="superscript"/>
          <w:rtl/>
        </w:rPr>
        <w:fldChar w:fldCharType="end"/>
      </w:r>
      <w:r>
        <w:rPr>
          <w:rtl/>
        </w:rPr>
        <w:t>, החלו להתרכז ברוממות אדם הראשון לפני החטא, בעליונות האבות, בגדלות דמויות המקרא, במעלת דור דעה ששמע את דבר ה׳ במדבר – ובדרך שבה יכול כל יחיד להגיע לאותם גבהים נשגבים</w:t>
      </w:r>
      <w:bookmarkStart w:id="1809" w:name="b3_ref65"/>
      <w:bookmarkEnd w:id="1809"/>
      <w:r>
        <w:rPr>
          <w:vertAlign w:val="superscript"/>
          <w:rtl/>
        </w:rPr>
        <w:fldChar w:fldCharType="begin" w:dirty="true"/>
      </w:r>
      <w:r>
        <w:rPr>
          <w:vertAlign w:val="superscript"/>
          <w:rtl/>
        </w:rPr>
        <w:instrText xml:space="preserve"> REF b3_note65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65</w:t>
      </w:r>
      <w:r>
        <w:rPr>
          <w:vertAlign w:val="superscript"/>
          <w:rtl/>
        </w:rPr>
        <w:fldChar w:fldCharType="end"/>
      </w:r>
      <w:r>
        <w:rPr>
          <w:rtl/>
        </w:rPr>
        <w:t>.</w:t>
      </w:r>
    </w:p>
    <w:bookmarkStart w:id="1810" w:name="b3_note59"/>
    <w:p w14:paraId="70064756" w14:textId="6BC1E685" w:rsidR="00AB3647" w:rsidRDefault="00000000" w:rsidP="007923E9">
      <w:pPr>
        <w:spacing w:before="120" w:after="100" w:line="276" w:lineRule="auto"/>
        <w:jc w:val="both"/>
      </w:pPr>
      <w:r>
        <w:fldChar w:fldCharType="begin" w:dirty="true"/>
      </w:r>
      <w:r>
        <w:instrText>HYPERLINK \l "b3_ref59"</w:instrText>
      </w:r>
      <w:r>
        <w:fldChar w:fldCharType="separate"/>
      </w:r>
      <w:r>
        <w:rPr>
          <w:b/>
          <w:bCs/>
          <w:rtl/>
        </w:rPr>
        <w:t>59</w:t>
      </w:r>
      <w:r>
        <w:rPr>
          <w:b/>
          <w:bCs/>
        </w:rPr>
        <w:fldChar w:fldCharType="end"/>
      </w:r>
      <w:bookmarkEnd w:id="1810"/>
      <w:r>
        <w:rPr>
          <w:rtl/>
        </w:rPr>
        <w:t xml:space="preserve"> איני מקבל את התיאור בספרו של </w:t>
      </w:r>
      <w:proofErr w:type="spellStart"/>
      <w:r>
        <w:rPr>
          <w:rtl/>
        </w:rPr>
        <w:t>דבורץ</w:t>
      </w:r>
      <w:proofErr w:type="spellEnd"/>
      <w:r>
        <w:rPr>
          <w:rtl/>
        </w:rPr>
        <w:t>, “הגאון רבי משה מרדכי אפשטיין”</w:t>
      </w:r>
      <w:bookmarkStart w:id="1811" w:name="_fnr1164"/>
      <w:r>
        <w:rPr>
          <w:rStyle w:val="a5"/>
        </w:rPr>
        <w:footnoteReference w:id="1167" w:customMarkFollows="0"/>
      </w:r>
      <w:bookmarkEnd w:id="1811"/>
      <w:r>
        <w:rPr>
          <w:rtl/>
        </w:rPr>
        <w:t xml:space="preserve">, שלפיו נתפס הסבא </w:t>
      </w:r>
      <w:proofErr w:type="spellStart"/>
      <w:r>
        <w:rPr>
          <w:rtl/>
        </w:rPr>
        <w:t>כ“רך</w:t>
      </w:r>
      <w:proofErr w:type="spellEnd"/>
      <w:r>
        <w:rPr>
          <w:rtl/>
        </w:rPr>
        <w:t xml:space="preserve"> לבב ופחדן” </w:t>
      </w:r>
      <w:r>
        <w:rPr>
          <w:b/>
          <w:bCs/>
          <w:rtl/>
        </w:rPr>
        <w:t>בכל</w:t>
      </w:r>
      <w:r>
        <w:rPr>
          <w:rtl/>
        </w:rPr>
        <w:t xml:space="preserve"> התקופה הסוערת. הדבר היה נכון רק עד שנחשפו פניהם האמיתיות של רבים ממתנגדי המוסר, כשחברו למהפכנים הסוציאליסטים. לאחר מכן נהג הסבא בגבורה, כפי שהודגם בהערה </w:t>
      </w:r>
      <w:r>
        <w:rPr>
          <w:rtl/>
        </w:rPr>
        <w:fldChar w:fldCharType="begin" w:dirty="true"/>
      </w:r>
      <w:r>
        <w:rPr>
          <w:rtl/>
        </w:rPr>
        <w:instrText xml:space="preserve"> REF b3_note56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56</w:t>
      </w:r>
      <w:r>
        <w:rPr>
          <w:rtl/>
        </w:rPr>
        <w:fldChar w:fldCharType="end"/>
      </w:r>
      <w:r>
        <w:rPr>
          <w:rtl/>
        </w:rPr>
        <w:t xml:space="preserve"> לעיל וכפי שהעיד הסופר </w:t>
      </w:r>
      <w:proofErr w:type="spellStart"/>
      <w:r>
        <w:rPr>
          <w:rtl/>
        </w:rPr>
        <w:t>מובשוביץ</w:t>
      </w:r>
      <w:proofErr w:type="spellEnd"/>
      <w:r>
        <w:rPr>
          <w:rtl/>
        </w:rPr>
        <w:t>, שדבריו הובאו שם</w:t>
      </w:r>
      <w:bookmarkStart w:id="1812" w:name="_fnr1165"/>
      <w:bookmarkEnd w:id="1812"/>
      <w:r>
        <w:rPr>
          <w:rtl/>
        </w:rPr>
        <w:t>.</w:t>
      </w:r>
    </w:p>
    <w:p w14:paraId="3BEBA5FA" w14:textId="341AFBCA" w:rsidR="00AB3647" w:rsidRDefault="00000000" w:rsidP="007923E9">
      <w:pPr>
        <w:spacing w:before="120" w:after="100" w:line="276" w:lineRule="auto"/>
        <w:jc w:val="both"/>
      </w:pPr>
      <w:r>
        <w:rPr>
          <w:rtl/>
        </w:rPr>
        <w:t xml:space="preserve">נסיגתו לביתו לאחר מעשה בית הכיסא – השווה הפסקה החמישית של </w:t>
      </w:r>
      <w:r>
        <w:rPr>
          <w:rtl/>
        </w:rPr>
        <w:fldChar w:fldCharType="begin" w:dirty="true"/>
      </w:r>
      <w:r>
        <w:rPr>
          <w:rtl/>
        </w:rPr>
        <w:instrText xml:space="preserve"> REF b3_excT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כ</w:t>
      </w:r>
      <w:r>
        <w:rPr>
          <w:rtl/>
        </w:rPr>
        <w:fldChar w:fldCharType="end"/>
      </w:r>
      <w:r>
        <w:rPr>
          <w:rtl/>
        </w:rPr>
        <w:t xml:space="preserve"> להלן – הייתה בבירור נסיגה טקטית, שנועדה לחזק את חסידיו לקראת התקפת הנגד. וזה בדיוק מה שהניבו התכנסויותיו הפרטיות בבית והתבודדותו (השווה תחילת הפסקה החמישית של </w:t>
      </w:r>
      <w:r>
        <w:rPr>
          <w:rtl/>
        </w:rPr>
        <w:fldChar w:fldCharType="begin" w:dirty="true"/>
      </w:r>
      <w:r>
        <w:rPr>
          <w:rtl/>
        </w:rPr>
        <w:instrText xml:space="preserve"> REF b3_excT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כ</w:t>
      </w:r>
      <w:r>
        <w:rPr>
          <w:rtl/>
        </w:rPr>
        <w:fldChar w:fldCharType="end"/>
      </w:r>
      <w:r>
        <w:rPr>
          <w:rtl/>
        </w:rPr>
        <w:t xml:space="preserve"> להלן). בהתנהגותו הסתומה הטביע בתלמידים המסורים את ההכרה בחשיבות המוסר </w:t>
      </w:r>
      <w:r>
        <w:rPr>
          <w:b/>
          <w:bCs/>
          <w:rtl/>
        </w:rPr>
        <w:t>בכל הנסיבות</w:t>
      </w:r>
      <w:r>
        <w:rPr>
          <w:rtl/>
        </w:rPr>
        <w:t xml:space="preserve"> ובצורך החיוני להשיבו למקומו המכובד בתוכנית הישיבה.</w:t>
      </w:r>
    </w:p>
    <w:bookmarkStart w:id="1813" w:name="b3_note60"/>
    <w:p w14:paraId="5A4B4BD9" w14:textId="77777777" w:rsidR="00AB3647" w:rsidRDefault="00000000" w:rsidP="007923E9">
      <w:pPr>
        <w:spacing w:before="120" w:after="100" w:line="276" w:lineRule="auto"/>
        <w:jc w:val="both"/>
      </w:pPr>
      <w:r>
        <w:lastRenderedPageBreak/>
        <w:fldChar w:fldCharType="begin" w:dirty="true"/>
      </w:r>
      <w:r>
        <w:instrText>HYPERLINK \l "b3_ref60"</w:instrText>
      </w:r>
      <w:r>
        <w:fldChar w:fldCharType="separate"/>
      </w:r>
      <w:r>
        <w:rPr>
          <w:b/>
          <w:bCs/>
          <w:rtl/>
        </w:rPr>
        <w:t>60</w:t>
      </w:r>
      <w:r>
        <w:rPr>
          <w:b/>
          <w:bCs/>
        </w:rPr>
        <w:fldChar w:fldCharType="end"/>
      </w:r>
      <w:bookmarkEnd w:id="1813"/>
      <w:r>
        <w:rPr>
          <w:rtl/>
        </w:rPr>
        <w:t xml:space="preserve"> החינוך </w:t>
      </w:r>
      <w:proofErr w:type="spellStart"/>
      <w:r>
        <w:rPr>
          <w:rtl/>
        </w:rPr>
        <w:t>בסלבודקה</w:t>
      </w:r>
      <w:proofErr w:type="spellEnd"/>
      <w:r>
        <w:rPr>
          <w:rtl/>
        </w:rPr>
        <w:t xml:space="preserve"> היה כזה, שמן התלמידים ציפו שלא לקבל את התנהגות הסבא בעיוורון, אלא לנתח אותה ואף לבקרה. אפילו בשנות </w:t>
      </w:r>
      <w:proofErr w:type="spellStart"/>
      <w:r>
        <w:rPr>
          <w:rtl/>
        </w:rPr>
        <w:t>הת״ר־פ</w:t>
      </w:r>
      <w:proofErr w:type="spellEnd"/>
      <w:r>
        <w:rPr>
          <w:rtl/>
        </w:rPr>
        <w:t xml:space="preserve">׳, כשהסבא </w:t>
      </w:r>
      <w:proofErr w:type="spellStart"/>
      <w:r>
        <w:rPr>
          <w:rtl/>
        </w:rPr>
        <w:t>מסלבודקה</w:t>
      </w:r>
      <w:proofErr w:type="spellEnd"/>
      <w:r>
        <w:rPr>
          <w:rtl/>
        </w:rPr>
        <w:t xml:space="preserve"> היה בשנות השבעים לחייו והקים את הישיבה בחברון, מתחו עליו ביקורת על שהעביר אישורי כניסה לארץ ישראל לתלמידי </w:t>
      </w:r>
      <w:proofErr w:type="spellStart"/>
      <w:r>
        <w:rPr>
          <w:rtl/>
        </w:rPr>
        <w:t>טלז</w:t>
      </w:r>
      <w:proofErr w:type="spellEnd"/>
      <w:r>
        <w:rPr>
          <w:rtl/>
        </w:rPr>
        <w:t xml:space="preserve">, במקום לשמור את כל האישורים לתלמידי </w:t>
      </w:r>
      <w:proofErr w:type="spellStart"/>
      <w:r>
        <w:rPr>
          <w:rtl/>
        </w:rPr>
        <w:t>סלבודקה</w:t>
      </w:r>
      <w:bookmarkStart w:id="1814" w:name="_fnr1166"/>
      <w:proofErr w:type="spellEnd"/>
      <w:r>
        <w:rPr>
          <w:rStyle w:val="a5"/>
        </w:rPr>
        <w:footnoteReference w:id="1168" w:customMarkFollows="0"/>
      </w:r>
      <w:bookmarkEnd w:id="1814"/>
      <w:r>
        <w:rPr>
          <w:rtl/>
        </w:rPr>
        <w:t>.</w:t>
      </w:r>
    </w:p>
    <w:bookmarkStart w:id="1815" w:name="b3_note61"/>
    <w:p w14:paraId="15A9B07B" w14:textId="0A3A3546" w:rsidR="00AB3647" w:rsidRDefault="00000000" w:rsidP="007923E9">
      <w:pPr>
        <w:spacing w:before="120" w:after="100" w:line="276" w:lineRule="auto"/>
        <w:jc w:val="both"/>
      </w:pPr>
      <w:r>
        <w:fldChar w:fldCharType="begin" w:dirty="true"/>
      </w:r>
      <w:r>
        <w:instrText>HYPERLINK \l "b3_ref61"</w:instrText>
      </w:r>
      <w:r>
        <w:fldChar w:fldCharType="separate"/>
      </w:r>
      <w:r>
        <w:rPr>
          <w:b/>
          <w:bCs/>
          <w:rtl/>
        </w:rPr>
        <w:t>61</w:t>
      </w:r>
      <w:r>
        <w:rPr>
          <w:b/>
          <w:bCs/>
        </w:rPr>
        <w:fldChar w:fldCharType="end"/>
      </w:r>
      <w:bookmarkEnd w:id="1815"/>
      <w:r>
        <w:rPr>
          <w:rtl/>
        </w:rPr>
        <w:t xml:space="preserve"> ראה </w:t>
      </w:r>
      <w:r>
        <w:rPr>
          <w:rtl/>
        </w:rPr>
        <w:fldChar w:fldCharType="begin" w:dirty="true"/>
      </w:r>
      <w:r>
        <w:rPr>
          <w:rtl/>
        </w:rPr>
        <w:instrText xml:space="preserve"> REF b3_excT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כ</w:t>
      </w:r>
      <w:r>
        <w:rPr>
          <w:rtl/>
        </w:rPr>
        <w:fldChar w:fldCharType="end"/>
      </w:r>
      <w:r>
        <w:rPr>
          <w:rtl/>
        </w:rPr>
        <w:t>.</w:t>
      </w:r>
    </w:p>
    <w:bookmarkStart w:id="1816" w:name="b3_note62"/>
    <w:p w14:paraId="29E420B2" w14:textId="761A7D71" w:rsidR="00AB3647" w:rsidRDefault="00000000" w:rsidP="007923E9">
      <w:pPr>
        <w:spacing w:before="120" w:after="100" w:line="276" w:lineRule="auto"/>
        <w:jc w:val="both"/>
      </w:pPr>
      <w:r>
        <w:fldChar w:fldCharType="begin" w:dirty="true"/>
      </w:r>
      <w:r>
        <w:instrText>HYPERLINK \l "b3_ref62"</w:instrText>
      </w:r>
      <w:r>
        <w:fldChar w:fldCharType="separate"/>
      </w:r>
      <w:r>
        <w:rPr>
          <w:b/>
          <w:bCs/>
          <w:rtl/>
        </w:rPr>
        <w:t>62</w:t>
      </w:r>
      <w:r>
        <w:rPr>
          <w:b/>
          <w:bCs/>
        </w:rPr>
        <w:fldChar w:fldCharType="end"/>
      </w:r>
      <w:bookmarkEnd w:id="1816"/>
      <w:r>
        <w:rPr>
          <w:rtl/>
        </w:rPr>
        <w:t xml:space="preserve"> ראה </w:t>
      </w:r>
      <w:r>
        <w:rPr>
          <w:rtl/>
        </w:rPr>
        <w:fldChar w:fldCharType="begin" w:dirty="true"/>
      </w:r>
      <w:r>
        <w:rPr>
          <w:rtl/>
        </w:rPr>
        <w:instrText xml:space="preserve"> REF b3_excU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כא</w:t>
      </w:r>
      <w:proofErr w:type="spellEnd"/>
      <w:r>
        <w:rPr>
          <w:rtl/>
        </w:rPr>
        <w:fldChar w:fldCharType="end"/>
      </w:r>
      <w:r>
        <w:rPr>
          <w:rtl/>
        </w:rPr>
        <w:t>.</w:t>
      </w:r>
    </w:p>
    <w:bookmarkStart w:id="1817" w:name="b3_note63"/>
    <w:p w14:paraId="2FC7277A" w14:textId="77777777" w:rsidR="00AB3647" w:rsidRDefault="00000000" w:rsidP="007923E9">
      <w:pPr>
        <w:spacing w:before="120" w:after="100" w:line="276" w:lineRule="auto"/>
        <w:jc w:val="both"/>
      </w:pPr>
      <w:r>
        <w:fldChar w:fldCharType="begin" w:dirty="true"/>
      </w:r>
      <w:r>
        <w:instrText>HYPERLINK \l "b3_ref63"</w:instrText>
      </w:r>
      <w:r>
        <w:fldChar w:fldCharType="separate"/>
      </w:r>
      <w:r>
        <w:rPr>
          <w:b/>
          <w:bCs/>
          <w:rtl/>
        </w:rPr>
        <w:t>63</w:t>
      </w:r>
      <w:r>
        <w:rPr>
          <w:b/>
          <w:bCs/>
        </w:rPr>
        <w:fldChar w:fldCharType="end"/>
      </w:r>
      <w:bookmarkEnd w:id="1817"/>
      <w:r>
        <w:rPr>
          <w:rtl/>
        </w:rPr>
        <w:t xml:space="preserve"> “שרי המאה”</w:t>
      </w:r>
      <w:bookmarkStart w:id="1818" w:name="_fnr1167"/>
      <w:r>
        <w:rPr>
          <w:rStyle w:val="a5"/>
        </w:rPr>
        <w:footnoteReference w:id="1169" w:customMarkFollows="0"/>
      </w:r>
      <w:bookmarkEnd w:id="1818"/>
      <w:r>
        <w:rPr>
          <w:rtl/>
        </w:rPr>
        <w:t xml:space="preserve"> מביא שיחה של הסבא </w:t>
      </w:r>
      <w:proofErr w:type="spellStart"/>
      <w:r>
        <w:rPr>
          <w:rtl/>
        </w:rPr>
        <w:t>מסלבודקה</w:t>
      </w:r>
      <w:proofErr w:type="spellEnd"/>
      <w:r>
        <w:rPr>
          <w:rtl/>
        </w:rPr>
        <w:t>, המגדירה את חטאו של משה רבנו במי מריבה כהחמצת ההזדמנות לרומם את העדה. השווה גם “שרי המאה”</w:t>
      </w:r>
      <w:bookmarkStart w:id="1819" w:name="_fnr1168"/>
      <w:r>
        <w:rPr>
          <w:rStyle w:val="a5"/>
        </w:rPr>
        <w:footnoteReference w:id="1170" w:customMarkFollows="0"/>
      </w:r>
      <w:bookmarkEnd w:id="1819"/>
      <w:r>
        <w:rPr>
          <w:rtl/>
        </w:rPr>
        <w:t xml:space="preserve">, המביא את הסבר הסבא למאמר “הקב״ה מדקדק עם </w:t>
      </w:r>
      <w:proofErr w:type="spellStart"/>
      <w:r>
        <w:rPr>
          <w:rtl/>
        </w:rPr>
        <w:t>סביביו</w:t>
      </w:r>
      <w:proofErr w:type="spellEnd"/>
      <w:r>
        <w:rPr>
          <w:rtl/>
        </w:rPr>
        <w:t xml:space="preserve"> כחוט השערה”</w:t>
      </w:r>
      <w:bookmarkStart w:id="1820" w:name="_fnr1169"/>
      <w:r>
        <w:rPr>
          <w:rStyle w:val="a5"/>
        </w:rPr>
        <w:footnoteReference w:id="1171" w:customMarkFollows="0"/>
      </w:r>
      <w:bookmarkEnd w:id="1820"/>
      <w:r>
        <w:rPr>
          <w:rtl/>
        </w:rPr>
        <w:t>: בעלי המעלה הקדושים נדרשים לחנך את ההמונים בהיותם דמויות מופת המעוררות אותם, ואם יש בהם פגם, ולו הקטן ביותר, לא יצליחו במשימה זו.</w:t>
      </w:r>
    </w:p>
    <w:p w14:paraId="064252DC" w14:textId="77777777" w:rsidR="00AB3647" w:rsidRDefault="00000000" w:rsidP="007923E9">
      <w:pPr>
        <w:spacing w:before="120" w:after="100" w:line="276" w:lineRule="auto"/>
        <w:jc w:val="both"/>
      </w:pPr>
      <w:r>
        <w:rPr>
          <w:rtl/>
        </w:rPr>
        <w:t>אופיינית לגישת המוסר המתוקנת היא אמירה של ר׳ אייזיק שר</w:t>
      </w:r>
      <w:bookmarkStart w:id="1821" w:name="_fnr1170"/>
      <w:r>
        <w:rPr>
          <w:rStyle w:val="a5"/>
        </w:rPr>
        <w:footnoteReference w:id="1172" w:customMarkFollows="0"/>
      </w:r>
      <w:bookmarkEnd w:id="1821"/>
      <w:r>
        <w:rPr>
          <w:rtl/>
        </w:rPr>
        <w:t>, המובאת שם</w:t>
      </w:r>
      <w:bookmarkStart w:id="1822" w:name="_fnr1171"/>
      <w:r>
        <w:rPr>
          <w:rStyle w:val="a5"/>
        </w:rPr>
        <w:footnoteReference w:id="1173" w:customMarkFollows="0"/>
      </w:r>
      <w:bookmarkEnd w:id="1822"/>
      <w:r>
        <w:rPr>
          <w:rtl/>
        </w:rPr>
        <w:t>: “חיטוט מופרז [בנבכי לבו של תלמיד מיוסר] הוא ביסודו פרי נטייה סדיסטית – מעין תאווה, רחמנא ליצלן, לראות נפש אדם בפרפוריה...”</w:t>
      </w:r>
      <w:bookmarkStart w:id="1823" w:name="_fnr1172"/>
      <w:r>
        <w:rPr>
          <w:rStyle w:val="a5"/>
        </w:rPr>
        <w:footnoteReference w:id="1174" w:customMarkFollows="0"/>
      </w:r>
      <w:bookmarkEnd w:id="1823"/>
    </w:p>
    <w:p w14:paraId="397165BD" w14:textId="77777777" w:rsidR="00AB3647" w:rsidRDefault="00000000" w:rsidP="007923E9">
      <w:pPr>
        <w:spacing w:before="120" w:after="100" w:line="276" w:lineRule="auto"/>
        <w:jc w:val="both"/>
      </w:pPr>
      <w:r>
        <w:rPr>
          <w:rtl/>
        </w:rPr>
        <w:t xml:space="preserve">השווה גם “החוזה מליטא” מאת חיים ע. </w:t>
      </w:r>
      <w:proofErr w:type="spellStart"/>
      <w:r>
        <w:rPr>
          <w:rtl/>
        </w:rPr>
        <w:t>קוליץ</w:t>
      </w:r>
      <w:bookmarkStart w:id="1824" w:name="_fnr1173"/>
      <w:proofErr w:type="spellEnd"/>
      <w:r>
        <w:rPr>
          <w:rStyle w:val="a5"/>
        </w:rPr>
        <w:footnoteReference w:id="1175" w:customMarkFollows="0"/>
      </w:r>
      <w:bookmarkEnd w:id="1824"/>
      <w:r>
        <w:rPr>
          <w:rtl/>
        </w:rPr>
        <w:t xml:space="preserve">, הממחיש כיצד השתלבה גישתו של הרב שר עם גישת </w:t>
      </w:r>
      <w:proofErr w:type="spellStart"/>
      <w:r>
        <w:rPr>
          <w:rtl/>
        </w:rPr>
        <w:t>החזון־איש</w:t>
      </w:r>
      <w:proofErr w:type="spellEnd"/>
      <w:r>
        <w:rPr>
          <w:rtl/>
        </w:rPr>
        <w:t>, שהתנגד למוסר: “רבנו [</w:t>
      </w:r>
      <w:proofErr w:type="spellStart"/>
      <w:r>
        <w:rPr>
          <w:rtl/>
        </w:rPr>
        <w:t>החזון־איש</w:t>
      </w:r>
      <w:proofErr w:type="spellEnd"/>
      <w:r>
        <w:rPr>
          <w:rtl/>
        </w:rPr>
        <w:t xml:space="preserve">] לא ייחס בדרך כלל חשיבות לדרישה </w:t>
      </w:r>
      <w:proofErr w:type="spellStart"/>
      <w:r>
        <w:rPr>
          <w:rtl/>
        </w:rPr>
        <w:t>ה‘מוסרית</w:t>
      </w:r>
      <w:proofErr w:type="spellEnd"/>
      <w:r>
        <w:rPr>
          <w:rtl/>
        </w:rPr>
        <w:t xml:space="preserve">’ </w:t>
      </w:r>
      <w:proofErr w:type="spellStart"/>
      <w:r>
        <w:rPr>
          <w:rtl/>
        </w:rPr>
        <w:t>ל‘שבירת</w:t>
      </w:r>
      <w:proofErr w:type="spellEnd"/>
      <w:r>
        <w:rPr>
          <w:rtl/>
        </w:rPr>
        <w:t xml:space="preserve"> המידות’ [של האישיות], ולא להתפעלות יתרה מכוחות הנפש, </w:t>
      </w:r>
      <w:r>
        <w:rPr>
          <w:b/>
          <w:bCs/>
          <w:rtl/>
        </w:rPr>
        <w:t>ופחות מכך לחיטוט בנפשו של הזולת</w:t>
      </w:r>
      <w:r>
        <w:rPr>
          <w:rtl/>
        </w:rPr>
        <w:t xml:space="preserve"> [ההדגשה שלי]. היה אומר: ‘אין אנו צריכים לומר לאדם כל מה שאנו יודעים עליו.’ לדעתו, מעשים טובים אינם נפסלים מפני שעושיהם מכוונים לתועלת עצמם; ואף לא סבר שטובת הנאה כלשהי – ‘נגיעה’ בלשון המוסר – היא נגע צרעת המחייב גירוד מתמיד. העושה כן נעשה נגוע מן הגירוד עצמו. רבנו חייך ולחש: ‘לבורא העולם ולתורתו יש יותר אמון באדם מאשר לבעלי המוסר </w:t>
      </w:r>
      <w:proofErr w:type="spellStart"/>
      <w:r>
        <w:rPr>
          <w:rtl/>
        </w:rPr>
        <w:t>מנובהרדוק</w:t>
      </w:r>
      <w:proofErr w:type="spellEnd"/>
      <w:r>
        <w:rPr>
          <w:rtl/>
        </w:rPr>
        <w:t>’</w:t>
      </w:r>
      <w:bookmarkStart w:id="1825" w:name="_fnr1174"/>
      <w:r>
        <w:rPr>
          <w:rStyle w:val="a5"/>
        </w:rPr>
        <w:footnoteReference w:id="1176" w:customMarkFollows="0"/>
      </w:r>
      <w:bookmarkEnd w:id="1825"/>
      <w:r>
        <w:rPr>
          <w:rtl/>
        </w:rPr>
        <w:t>.”</w:t>
      </w:r>
    </w:p>
    <w:bookmarkStart w:id="1826" w:name="b3_note64"/>
    <w:p w14:paraId="4E58D6C1" w14:textId="77777777" w:rsidR="00AB3647" w:rsidRDefault="00000000" w:rsidP="007923E9">
      <w:pPr>
        <w:spacing w:before="120" w:after="100" w:line="276" w:lineRule="auto"/>
        <w:jc w:val="both"/>
      </w:pPr>
      <w:r>
        <w:fldChar w:fldCharType="begin" w:dirty="true"/>
      </w:r>
      <w:r>
        <w:instrText>HYPERLINK \l "b3_ref64"</w:instrText>
      </w:r>
      <w:r>
        <w:fldChar w:fldCharType="separate"/>
      </w:r>
      <w:r>
        <w:rPr>
          <w:b/>
          <w:bCs/>
          <w:rtl/>
        </w:rPr>
        <w:t>64</w:t>
      </w:r>
      <w:r>
        <w:rPr>
          <w:b/>
          <w:bCs/>
        </w:rPr>
        <w:fldChar w:fldCharType="end"/>
      </w:r>
      <w:bookmarkEnd w:id="1826"/>
      <w:r>
        <w:rPr>
          <w:rtl/>
        </w:rPr>
        <w:t xml:space="preserve"> מעניין להשוות את הכינוי המקטין לכאורה שבפי בעלי המוסר לכינוי הנשגב שבו מכנים החסידים את שיחות רבותיהם: “דברי </w:t>
      </w:r>
      <w:proofErr w:type="spellStart"/>
      <w:r>
        <w:rPr>
          <w:rtl/>
        </w:rPr>
        <w:t>א־להים</w:t>
      </w:r>
      <w:proofErr w:type="spellEnd"/>
      <w:r>
        <w:rPr>
          <w:rtl/>
        </w:rPr>
        <w:t xml:space="preserve"> חיים”. הכינוי החסידי מדגיש את חשיבותם המכרעת והעצומה של דברי הרבי, ואילו המוסר נראה כמי שהופך את תורתו שלו לדבר חסר </w:t>
      </w:r>
      <w:r>
        <w:rPr>
          <w:rtl/>
        </w:rPr>
        <w:lastRenderedPageBreak/>
        <w:t xml:space="preserve">חשיבות. השווה גם “ספר </w:t>
      </w:r>
      <w:proofErr w:type="spellStart"/>
      <w:r>
        <w:rPr>
          <w:rtl/>
        </w:rPr>
        <w:t>הזכרון</w:t>
      </w:r>
      <w:proofErr w:type="spellEnd"/>
      <w:r>
        <w:rPr>
          <w:rtl/>
        </w:rPr>
        <w:t xml:space="preserve"> למרן בעל </w:t>
      </w:r>
      <w:proofErr w:type="spellStart"/>
      <w:r>
        <w:rPr>
          <w:rtl/>
        </w:rPr>
        <w:t>ה‘פחד</w:t>
      </w:r>
      <w:proofErr w:type="spellEnd"/>
      <w:r>
        <w:rPr>
          <w:rtl/>
        </w:rPr>
        <w:t xml:space="preserve"> יצחק’ זצ״ל”</w:t>
      </w:r>
      <w:bookmarkStart w:id="1827" w:name="_fnr1175"/>
      <w:r>
        <w:rPr>
          <w:rStyle w:val="a5"/>
        </w:rPr>
        <w:footnoteReference w:id="1177" w:customMarkFollows="0"/>
      </w:r>
      <w:bookmarkEnd w:id="1827"/>
      <w:r>
        <w:rPr>
          <w:rtl/>
        </w:rPr>
        <w:t xml:space="preserve">, המביא מפי ר׳ יצחק </w:t>
      </w:r>
      <w:proofErr w:type="spellStart"/>
      <w:r>
        <w:rPr>
          <w:rtl/>
        </w:rPr>
        <w:t>הוטנר</w:t>
      </w:r>
      <w:proofErr w:type="spellEnd"/>
      <w:r>
        <w:rPr>
          <w:rtl/>
        </w:rPr>
        <w:t xml:space="preserve"> משמעות נוספת, דחוקה, לכינוי “</w:t>
      </w:r>
      <w:proofErr w:type="spellStart"/>
      <w:r>
        <w:rPr>
          <w:rtl/>
        </w:rPr>
        <w:t>שמועס</w:t>
      </w:r>
      <w:proofErr w:type="spellEnd"/>
      <w:r>
        <w:rPr>
          <w:rtl/>
        </w:rPr>
        <w:t>”, כלומר שיחה.</w:t>
      </w:r>
    </w:p>
    <w:p w14:paraId="413394D0" w14:textId="77777777" w:rsidR="00AB3647" w:rsidRDefault="00000000" w:rsidP="007923E9">
      <w:pPr>
        <w:spacing w:before="120" w:after="100" w:line="276" w:lineRule="auto"/>
        <w:jc w:val="both"/>
      </w:pPr>
      <w:r>
        <w:rPr>
          <w:rtl/>
        </w:rPr>
        <w:t xml:space="preserve">ר׳ יצחק </w:t>
      </w:r>
      <w:proofErr w:type="spellStart"/>
      <w:r>
        <w:rPr>
          <w:rtl/>
        </w:rPr>
        <w:t>הוטנר</w:t>
      </w:r>
      <w:proofErr w:type="spellEnd"/>
      <w:r>
        <w:rPr>
          <w:rtl/>
        </w:rPr>
        <w:t xml:space="preserve"> משווה בין מהירות האור לבין המהירות שבה לקח </w:t>
      </w:r>
      <w:proofErr w:type="spellStart"/>
      <w:r>
        <w:rPr>
          <w:rtl/>
        </w:rPr>
        <w:t>מ“חכמת</w:t>
      </w:r>
      <w:proofErr w:type="spellEnd"/>
      <w:r>
        <w:rPr>
          <w:rtl/>
        </w:rPr>
        <w:t xml:space="preserve"> המצפון” משפיע במידה כלשהי על “כוחות הנפש”. על יסוד זה הוא מסביר שהכינוי “שיחה” אינו מכוון לדו־שיח בין המחנך לתלמידו, אלא למה שמתרחש בתוך המאזין עצמו: “שיחה עם נפשו כדי לעורר את עצמו ליישם את הלקח [השכלי] ברגע אמירתו”. את השיחות ששמע הרב </w:t>
      </w:r>
      <w:proofErr w:type="spellStart"/>
      <w:r>
        <w:rPr>
          <w:rtl/>
        </w:rPr>
        <w:t>הוטנר</w:t>
      </w:r>
      <w:proofErr w:type="spellEnd"/>
      <w:r>
        <w:rPr>
          <w:rtl/>
        </w:rPr>
        <w:t xml:space="preserve"> בימי לימודיו </w:t>
      </w:r>
      <w:proofErr w:type="spellStart"/>
      <w:r>
        <w:rPr>
          <w:rtl/>
        </w:rPr>
        <w:t>בסלבודקה</w:t>
      </w:r>
      <w:proofErr w:type="spellEnd"/>
      <w:r>
        <w:rPr>
          <w:rtl/>
        </w:rPr>
        <w:t xml:space="preserve"> מסרו הסבא ובכיר תלמידיו, ר׳ אברהם </w:t>
      </w:r>
      <w:proofErr w:type="spellStart"/>
      <w:r>
        <w:rPr>
          <w:rtl/>
        </w:rPr>
        <w:t>גרודזינסקי</w:t>
      </w:r>
      <w:proofErr w:type="spellEnd"/>
      <w:r>
        <w:rPr>
          <w:rtl/>
        </w:rPr>
        <w:t>, והן ניתנו כהרצאות ולא כדברי התעוררות</w:t>
      </w:r>
      <w:bookmarkStart w:id="1828" w:name="_fnr1176"/>
      <w:r>
        <w:rPr>
          <w:rStyle w:val="a5"/>
        </w:rPr>
        <w:footnoteReference w:id="1178" w:customMarkFollows="0"/>
      </w:r>
      <w:bookmarkEnd w:id="1828"/>
      <w:r>
        <w:rPr>
          <w:rtl/>
        </w:rPr>
        <w:t>. לפיכך ייחס את השפעותיהן על הנפש, מהירות ככל שהיו, לפעולתו של המאזין.</w:t>
      </w:r>
    </w:p>
    <w:p w14:paraId="72E0BC36" w14:textId="77777777" w:rsidR="00AB3647" w:rsidRDefault="00000000" w:rsidP="007923E9">
      <w:pPr>
        <w:spacing w:before="120" w:after="100" w:line="276" w:lineRule="auto"/>
        <w:jc w:val="both"/>
      </w:pPr>
      <w:r>
        <w:rPr>
          <w:rtl/>
        </w:rPr>
        <w:t>אבל אני סבור שהכינוי “</w:t>
      </w:r>
      <w:proofErr w:type="spellStart"/>
      <w:r>
        <w:rPr>
          <w:rtl/>
        </w:rPr>
        <w:t>שמועסן</w:t>
      </w:r>
      <w:proofErr w:type="spellEnd"/>
      <w:r>
        <w:rPr>
          <w:rtl/>
        </w:rPr>
        <w:t xml:space="preserve">” לשיחות מוסר, המשמש לא רק </w:t>
      </w:r>
      <w:proofErr w:type="spellStart"/>
      <w:r>
        <w:rPr>
          <w:rtl/>
        </w:rPr>
        <w:t>בסלבודקה</w:t>
      </w:r>
      <w:proofErr w:type="spellEnd"/>
      <w:r>
        <w:rPr>
          <w:rtl/>
        </w:rPr>
        <w:t xml:space="preserve"> אלא בכל ישיבות המוסר, הונהג כוויתור למתנגדי המוסר. הייתה בו אמירה שהמוסר משני ללימוד ההלכה בתוכנית הישיבה: הראשון נושא אופי בלתי רשמי יחסית – שיחה – ואילו השני הוא עיסוקו המחייב של המוסד, סדרו הקבוע – “שיעור”.</w:t>
      </w:r>
    </w:p>
    <w:bookmarkStart w:id="1829" w:name="b3_note65"/>
    <w:p w14:paraId="32A15CDA" w14:textId="714B4F09" w:rsidR="00AB3647" w:rsidRDefault="00000000" w:rsidP="007923E9">
      <w:pPr>
        <w:spacing w:before="120" w:after="100" w:line="276" w:lineRule="auto"/>
        <w:jc w:val="both"/>
      </w:pPr>
      <w:r>
        <w:fldChar w:fldCharType="begin" w:dirty="true"/>
      </w:r>
      <w:r>
        <w:instrText>HYPERLINK \l "b3_ref65"</w:instrText>
      </w:r>
      <w:r>
        <w:fldChar w:fldCharType="separate"/>
      </w:r>
      <w:r>
        <w:rPr>
          <w:b/>
          <w:bCs/>
          <w:rtl/>
        </w:rPr>
        <w:t>65</w:t>
      </w:r>
      <w:r>
        <w:rPr>
          <w:b/>
          <w:bCs/>
        </w:rPr>
        <w:fldChar w:fldCharType="end"/>
      </w:r>
      <w:bookmarkEnd w:id="1829"/>
      <w:r>
        <w:rPr>
          <w:rtl/>
        </w:rPr>
        <w:t xml:space="preserve"> ראה </w:t>
      </w:r>
      <w:r>
        <w:rPr>
          <w:rtl/>
        </w:rPr>
        <w:fldChar w:fldCharType="begin" w:dirty="true"/>
      </w:r>
      <w:r>
        <w:rPr>
          <w:rtl/>
        </w:rPr>
        <w:instrText xml:space="preserve"> REF b3_excV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כב</w:t>
      </w:r>
      <w:proofErr w:type="spellEnd"/>
      <w:r>
        <w:rPr>
          <w:rtl/>
        </w:rPr>
        <w:fldChar w:fldCharType="end"/>
      </w:r>
      <w:r>
        <w:rPr>
          <w:rtl/>
        </w:rPr>
        <w:t>.</w:t>
      </w:r>
    </w:p>
    <w:p w14:paraId="7373ED23" w14:textId="0BCEF470"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עד שבאו אבי וחבריו </w:t>
      </w:r>
      <w:proofErr w:type="spellStart"/>
      <w:r>
        <w:rPr>
          <w:rtl/>
        </w:rPr>
        <w:t>לסלבודקה</w:t>
      </w:r>
      <w:proofErr w:type="spellEnd"/>
      <w:r>
        <w:rPr>
          <w:rtl/>
        </w:rPr>
        <w:t>, כבר חלפו האירועים המטלטלים של תשע השנים הראשונות של הישיבות</w:t>
      </w:r>
      <w:bookmarkStart w:id="1830" w:name="b3_ref66"/>
      <w:bookmarkEnd w:id="1830"/>
      <w:r>
        <w:rPr>
          <w:vertAlign w:val="superscript"/>
          <w:rtl/>
        </w:rPr>
        <w:fldChar w:fldCharType="begin" w:dirty="true"/>
      </w:r>
      <w:r>
        <w:rPr>
          <w:vertAlign w:val="superscript"/>
          <w:rtl/>
        </w:rPr>
        <w:instrText xml:space="preserve"> REF b3_note66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66</w:t>
      </w:r>
      <w:r>
        <w:rPr>
          <w:vertAlign w:val="superscript"/>
          <w:rtl/>
        </w:rPr>
        <w:fldChar w:fldCharType="end"/>
      </w:r>
      <w:r>
        <w:rPr>
          <w:rtl/>
        </w:rPr>
        <w:t xml:space="preserve">. כנסת בית יצחק כבר קבעה את דרכה: התמסרות ללמדנות התורה מתוך יראת שמים. כנסת ישראל, לעומתה, בעלת הדפוס הייחודי ליצירת “תלמיד הסבא </w:t>
      </w:r>
      <w:proofErr w:type="spellStart"/>
      <w:r>
        <w:rPr>
          <w:rtl/>
        </w:rPr>
        <w:t>מסלבודקה</w:t>
      </w:r>
      <w:proofErr w:type="spellEnd"/>
      <w:r>
        <w:rPr>
          <w:rtl/>
        </w:rPr>
        <w:t>” גאה ומתבונן, נכנסה לתקופה המצליחה ביותר בתולדותיה</w:t>
      </w:r>
      <w:bookmarkStart w:id="1831" w:name="b3_ref67"/>
      <w:bookmarkEnd w:id="1831"/>
      <w:r>
        <w:rPr>
          <w:vertAlign w:val="superscript"/>
          <w:rtl/>
        </w:rPr>
        <w:fldChar w:fldCharType="begin" w:dirty="true"/>
      </w:r>
      <w:r>
        <w:rPr>
          <w:vertAlign w:val="superscript"/>
          <w:rtl/>
        </w:rPr>
        <w:instrText xml:space="preserve"> REF b3_note67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67</w:t>
      </w:r>
      <w:r>
        <w:rPr>
          <w:vertAlign w:val="superscript"/>
          <w:rtl/>
        </w:rPr>
        <w:fldChar w:fldCharType="end"/>
      </w:r>
      <w:r>
        <w:rPr>
          <w:rtl/>
        </w:rPr>
        <w:t xml:space="preserve"> – תקופה שנועדה להימשך עד פרוץ מלחמת העולם הראשונה.</w:t>
      </w:r>
    </w:p>
    <w:bookmarkStart w:id="1832" w:name="b3_note66"/>
    <w:p w14:paraId="415D3EAB" w14:textId="77777777" w:rsidR="00AB3647" w:rsidRDefault="00000000" w:rsidP="007923E9">
      <w:pPr>
        <w:spacing w:before="120" w:after="100" w:line="276" w:lineRule="auto"/>
        <w:jc w:val="both"/>
      </w:pPr>
      <w:r>
        <w:fldChar w:fldCharType="begin" w:dirty="true"/>
      </w:r>
      <w:r>
        <w:instrText>HYPERLINK \l "b3_ref66"</w:instrText>
      </w:r>
      <w:r>
        <w:fldChar w:fldCharType="separate"/>
      </w:r>
      <w:r>
        <w:rPr>
          <w:b/>
          <w:bCs/>
          <w:rtl/>
        </w:rPr>
        <w:t>66</w:t>
      </w:r>
      <w:r>
        <w:rPr>
          <w:b/>
          <w:bCs/>
        </w:rPr>
        <w:fldChar w:fldCharType="end"/>
      </w:r>
      <w:bookmarkEnd w:id="1832"/>
      <w:r>
        <w:rPr>
          <w:rtl/>
        </w:rPr>
        <w:t xml:space="preserve"> אבי הגיע בזמן שתקופת המרד, שהסתיימה זמן קצר קודם לכן, עוד הייתה חיה מאוד בזיכרונם של התלמידים המבוגרים. את התלמידים שהשתתפו במרד כינה “</w:t>
      </w:r>
      <w:proofErr w:type="spellStart"/>
      <w:r>
        <w:rPr>
          <w:rtl/>
        </w:rPr>
        <w:t>הבונטובצ׳יקים</w:t>
      </w:r>
      <w:proofErr w:type="spellEnd"/>
      <w:r>
        <w:rPr>
          <w:rtl/>
        </w:rPr>
        <w:t xml:space="preserve"> [הקושרים]”</w:t>
      </w:r>
      <w:bookmarkStart w:id="1833" w:name="_fnr1177"/>
      <w:r>
        <w:rPr>
          <w:rStyle w:val="a5"/>
        </w:rPr>
        <w:footnoteReference w:id="1179" w:customMarkFollows="0"/>
      </w:r>
      <w:bookmarkEnd w:id="1833"/>
      <w:r>
        <w:rPr>
          <w:rtl/>
        </w:rPr>
        <w:t>.</w:t>
      </w:r>
    </w:p>
    <w:bookmarkStart w:id="1834" w:name="b3_note67"/>
    <w:p w14:paraId="3139EFC7" w14:textId="77777777" w:rsidR="00AB3647" w:rsidRDefault="00000000" w:rsidP="007923E9">
      <w:pPr>
        <w:spacing w:before="120" w:after="100" w:line="276" w:lineRule="auto"/>
        <w:jc w:val="both"/>
      </w:pPr>
      <w:r>
        <w:fldChar w:fldCharType="begin" w:dirty="true"/>
      </w:r>
      <w:r>
        <w:instrText>HYPERLINK \l "b3_ref67"</w:instrText>
      </w:r>
      <w:r>
        <w:fldChar w:fldCharType="separate"/>
      </w:r>
      <w:r>
        <w:rPr>
          <w:b/>
          <w:bCs/>
          <w:rtl/>
        </w:rPr>
        <w:t>67</w:t>
      </w:r>
      <w:r>
        <w:rPr>
          <w:b/>
          <w:bCs/>
        </w:rPr>
        <w:fldChar w:fldCharType="end"/>
      </w:r>
      <w:bookmarkEnd w:id="1834"/>
      <w:r>
        <w:rPr>
          <w:rtl/>
        </w:rPr>
        <w:t xml:space="preserve"> רבנו אמר זאת בריאיון המוקלט על הסבא </w:t>
      </w:r>
      <w:proofErr w:type="spellStart"/>
      <w:r>
        <w:rPr>
          <w:rtl/>
        </w:rPr>
        <w:t>מסלבודקה</w:t>
      </w:r>
      <w:proofErr w:type="spellEnd"/>
      <w:r>
        <w:rPr>
          <w:rtl/>
        </w:rPr>
        <w:t>. אבל כץ, “תנועת המוסר”, כרך ג</w:t>
      </w:r>
      <w:bookmarkStart w:id="1835" w:name="_fnr1178"/>
      <w:r>
        <w:rPr>
          <w:rStyle w:val="a5"/>
        </w:rPr>
        <w:footnoteReference w:id="1180" w:customMarkFollows="0"/>
      </w:r>
      <w:bookmarkEnd w:id="1835"/>
      <w:r>
        <w:rPr>
          <w:rtl/>
        </w:rPr>
        <w:t xml:space="preserve">, טוען שראשית העשור שלאחר מלחמת העולם הראשונה הייתה “לדעת הבקיאים, אחת התקופות המפוארות ביותר של הישיבה מאז </w:t>
      </w:r>
      <w:proofErr w:type="spellStart"/>
      <w:r>
        <w:rPr>
          <w:rtl/>
        </w:rPr>
        <w:t>היווסדה</w:t>
      </w:r>
      <w:proofErr w:type="spellEnd"/>
      <w:r>
        <w:rPr>
          <w:rtl/>
        </w:rPr>
        <w:t>, הן בכמות הן באיכות”.</w:t>
      </w:r>
    </w:p>
    <w:p w14:paraId="16B06DFA" w14:textId="77777777" w:rsidR="00AB3647" w:rsidRDefault="00000000" w:rsidP="007923E9">
      <w:pPr>
        <w:pStyle w:val="2"/>
        <w:spacing w:line="276" w:lineRule="auto"/>
      </w:pPr>
      <w:bookmarkStart w:id="1836" w:name="b3_sec2"/>
      <w:r>
        <w:lastRenderedPageBreak/>
        <w:t>2.</w:t>
      </w:r>
      <w:bookmarkEnd w:id="1836"/>
    </w:p>
    <w:p w14:paraId="0977CAA5" w14:textId="009D4B3F"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כשהגיעו שלושת הנוסעים לקובנה, כבר לא עמד שם גשר העץ שחיבר את </w:t>
      </w:r>
      <w:proofErr w:type="spellStart"/>
      <w:r>
        <w:rPr>
          <w:rtl/>
        </w:rPr>
        <w:t>סלבודקה</w:t>
      </w:r>
      <w:proofErr w:type="spellEnd"/>
      <w:r>
        <w:rPr>
          <w:rtl/>
        </w:rPr>
        <w:t xml:space="preserve"> לעיר: חודש קודם לכן סחפו אותו מי הנהר בהפשרת הקרח. אבל שלושה בחורים מישיבת </w:t>
      </w:r>
      <w:proofErr w:type="spellStart"/>
      <w:r>
        <w:rPr>
          <w:rtl/>
        </w:rPr>
        <w:t>סלבודקה</w:t>
      </w:r>
      <w:proofErr w:type="spellEnd"/>
      <w:r>
        <w:rPr>
          <w:rtl/>
        </w:rPr>
        <w:t xml:space="preserve">, שעמדו על המשמר וציפו לתלמידים החדשים, באו לקראתם במעבורת קטנה מן העבר האחר של נהר </w:t>
      </w:r>
      <w:proofErr w:type="spellStart"/>
      <w:r>
        <w:rPr>
          <w:rtl/>
        </w:rPr>
        <w:t>הוויליה</w:t>
      </w:r>
      <w:proofErr w:type="spellEnd"/>
      <w:r>
        <w:rPr>
          <w:rtl/>
        </w:rPr>
        <w:t>, לקבל את פניהם ולהעבירם. ועדת קבלת הפנים</w:t>
      </w:r>
      <w:bookmarkStart w:id="1837" w:name="b3_ref68"/>
      <w:bookmarkEnd w:id="1837"/>
      <w:r>
        <w:rPr>
          <w:vertAlign w:val="superscript"/>
          <w:rtl/>
        </w:rPr>
        <w:fldChar w:fldCharType="begin" w:dirty="true"/>
      </w:r>
      <w:r>
        <w:rPr>
          <w:vertAlign w:val="superscript"/>
          <w:rtl/>
        </w:rPr>
        <w:instrText xml:space="preserve"> REF b3_note68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68</w:t>
      </w:r>
      <w:r>
        <w:rPr>
          <w:vertAlign w:val="superscript"/>
          <w:rtl/>
        </w:rPr>
        <w:fldChar w:fldCharType="end"/>
      </w:r>
      <w:r>
        <w:rPr>
          <w:rtl/>
        </w:rPr>
        <w:t xml:space="preserve"> כללה את מכרם של הנוסעים ממינסק, אשר </w:t>
      </w:r>
      <w:proofErr w:type="spellStart"/>
      <w:r>
        <w:rPr>
          <w:rtl/>
        </w:rPr>
        <w:t>קרשטיין</w:t>
      </w:r>
      <w:proofErr w:type="spellEnd"/>
      <w:r>
        <w:rPr>
          <w:rtl/>
        </w:rPr>
        <w:t>, את שותפו לחדר</w:t>
      </w:r>
      <w:bookmarkStart w:id="1838" w:name="b3_ref69"/>
      <w:bookmarkEnd w:id="1838"/>
      <w:r>
        <w:rPr>
          <w:vertAlign w:val="superscript"/>
          <w:rtl/>
        </w:rPr>
        <w:fldChar w:fldCharType="begin" w:dirty="true"/>
      </w:r>
      <w:r>
        <w:rPr>
          <w:vertAlign w:val="superscript"/>
          <w:rtl/>
        </w:rPr>
        <w:instrText xml:space="preserve"> REF b3_note69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69</w:t>
      </w:r>
      <w:r>
        <w:rPr>
          <w:vertAlign w:val="superscript"/>
          <w:rtl/>
        </w:rPr>
        <w:fldChar w:fldCharType="end"/>
      </w:r>
      <w:r>
        <w:rPr>
          <w:rtl/>
        </w:rPr>
        <w:t xml:space="preserve">, </w:t>
      </w:r>
      <w:proofErr w:type="spellStart"/>
      <w:r>
        <w:rPr>
          <w:rtl/>
        </w:rPr>
        <w:t xml:space="preserve">וועלוול</w:t>
      </w:r>
      <w:proofErr w:type="spellEnd"/>
      <w:r>
        <w:rPr>
          <w:rtl/>
        </w:rPr>
        <w:t xml:space="preserve"> </w:t>
      </w:r>
      <w:proofErr w:type="spellStart"/>
      <w:r>
        <w:rPr>
          <w:rtl/>
        </w:rPr>
        <w:t>צ׳חנוביצר</w:t>
      </w:r>
      <w:proofErr w:type="spellEnd"/>
      <w:r>
        <w:rPr>
          <w:rtl/>
        </w:rPr>
        <w:t xml:space="preserve"> (פרידמן)</w:t>
      </w:r>
      <w:bookmarkStart w:id="1839" w:name="b3_ref70"/>
      <w:bookmarkEnd w:id="1839"/>
      <w:r>
        <w:rPr>
          <w:vertAlign w:val="superscript"/>
          <w:rtl/>
        </w:rPr>
        <w:fldChar w:fldCharType="begin" w:dirty="true"/>
      </w:r>
      <w:r>
        <w:rPr>
          <w:vertAlign w:val="superscript"/>
          <w:rtl/>
        </w:rPr>
        <w:instrText xml:space="preserve"> REF b3_note70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70</w:t>
      </w:r>
      <w:r>
        <w:rPr>
          <w:vertAlign w:val="superscript"/>
          <w:rtl/>
        </w:rPr>
        <w:fldChar w:fldCharType="end"/>
      </w:r>
      <w:r>
        <w:rPr>
          <w:rtl/>
        </w:rPr>
        <w:t xml:space="preserve">, ואת </w:t>
      </w:r>
      <w:proofErr w:type="spellStart"/>
      <w:r>
        <w:rPr>
          <w:rtl/>
        </w:rPr>
        <w:t>יעקב־משה</w:t>
      </w:r>
      <w:proofErr w:type="spellEnd"/>
      <w:r>
        <w:rPr>
          <w:rtl/>
        </w:rPr>
        <w:t xml:space="preserve"> </w:t>
      </w:r>
      <w:proofErr w:type="spellStart"/>
      <w:r>
        <w:rPr>
          <w:rtl/>
        </w:rPr>
        <w:t>קאפוליער</w:t>
      </w:r>
      <w:proofErr w:type="spellEnd"/>
      <w:r>
        <w:rPr>
          <w:rtl/>
        </w:rPr>
        <w:t xml:space="preserve"> (לסין)</w:t>
      </w:r>
      <w:bookmarkStart w:id="1840" w:name="b3_ref71"/>
      <w:bookmarkEnd w:id="1840"/>
      <w:r>
        <w:rPr>
          <w:vertAlign w:val="superscript"/>
          <w:rtl/>
        </w:rPr>
        <w:fldChar w:fldCharType="begin" w:dirty="true"/>
      </w:r>
      <w:r>
        <w:rPr>
          <w:vertAlign w:val="superscript"/>
          <w:rtl/>
        </w:rPr>
        <w:instrText xml:space="preserve"> REF b3_note71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71</w:t>
      </w:r>
      <w:r>
        <w:rPr>
          <w:vertAlign w:val="superscript"/>
          <w:rtl/>
        </w:rPr>
        <w:fldChar w:fldCharType="end"/>
      </w:r>
      <w:r>
        <w:rPr>
          <w:rtl/>
        </w:rPr>
        <w:t xml:space="preserve">. הם שיכנו את אבי ואת אהרן </w:t>
      </w:r>
      <w:proofErr w:type="spellStart"/>
      <w:r>
        <w:rPr>
          <w:rtl/>
        </w:rPr>
        <w:t>סיסלוביצ׳ר</w:t>
      </w:r>
      <w:proofErr w:type="spellEnd"/>
      <w:r>
        <w:rPr>
          <w:rtl/>
        </w:rPr>
        <w:t xml:space="preserve"> באחת </w:t>
      </w:r>
      <w:proofErr w:type="spellStart"/>
      <w:r>
        <w:rPr>
          <w:rtl/>
        </w:rPr>
        <w:t>הסטנציות</w:t>
      </w:r>
      <w:proofErr w:type="spellEnd"/>
      <w:r>
        <w:rPr>
          <w:rtl/>
        </w:rPr>
        <w:t xml:space="preserve"> שלהם </w:t>
      </w:r>
      <w:proofErr w:type="spellStart"/>
      <w:r>
        <w:rPr>
          <w:rtl/>
        </w:rPr>
        <w:t>בסלבודקה</w:t>
      </w:r>
      <w:proofErr w:type="spellEnd"/>
      <w:r>
        <w:rPr>
          <w:rtl/>
        </w:rPr>
        <w:t>, עד שהצעירים ישובצו במגוריהם הקבועים.</w:t>
      </w:r>
    </w:p>
    <w:bookmarkStart w:id="1841" w:name="b3_note68"/>
    <w:p w14:paraId="53A5BF9B" w14:textId="77777777" w:rsidR="00AB3647" w:rsidRDefault="00000000" w:rsidP="007923E9">
      <w:pPr>
        <w:spacing w:before="120" w:after="100" w:line="276" w:lineRule="auto"/>
        <w:jc w:val="both"/>
      </w:pPr>
      <w:r>
        <w:fldChar w:fldCharType="begin" w:dirty="true"/>
      </w:r>
      <w:r>
        <w:instrText>HYPERLINK \l "b3_ref68"</w:instrText>
      </w:r>
      <w:r>
        <w:fldChar w:fldCharType="separate"/>
      </w:r>
      <w:r>
        <w:rPr>
          <w:b/>
          <w:bCs/>
          <w:rtl/>
        </w:rPr>
        <w:t>68</w:t>
      </w:r>
      <w:r>
        <w:rPr>
          <w:b/>
          <w:bCs/>
        </w:rPr>
        <w:fldChar w:fldCharType="end"/>
      </w:r>
      <w:bookmarkEnd w:id="1841"/>
      <w:r>
        <w:rPr>
          <w:rtl/>
        </w:rPr>
        <w:t xml:space="preserve"> בשיחה מוקלטת באירוסיו של ר׳ שלמה פולק, באדר תש״ל, סיפר אבי את הפרטים כך: “כשהנהר קפא, חששו שהגשר עלול להתמוטט בכל רגע, וחצו בין </w:t>
      </w:r>
      <w:proofErr w:type="spellStart"/>
      <w:r>
        <w:rPr>
          <w:rtl/>
        </w:rPr>
        <w:t>סלבודקה</w:t>
      </w:r>
      <w:proofErr w:type="spellEnd"/>
      <w:r>
        <w:rPr>
          <w:rtl/>
        </w:rPr>
        <w:t xml:space="preserve"> לקובנה על פני הקרח. כשהנהר הפשיר והקרח נסחף במורד הזרם יחד עם הגשר, עברו במעבורת במשך כארבעה שבועות, עד שנבנה גשר חדש. מכיוון שבין הזמנים חל בדרך כלל באותה תקופה, היו הבחורים שהגיעו אחרי פסח צריכים לעבור מקובנה בסירה. בחורים ותיקים נהגו לצפות מן הצד של </w:t>
      </w:r>
      <w:proofErr w:type="spellStart"/>
      <w:r>
        <w:rPr>
          <w:rtl/>
        </w:rPr>
        <w:t>סלבודקה</w:t>
      </w:r>
      <w:proofErr w:type="spellEnd"/>
      <w:r>
        <w:rPr>
          <w:rtl/>
        </w:rPr>
        <w:t xml:space="preserve"> אל עבר התלמיד החדש, לעבור במעבורת להביאו ולארח אותו בימים הראשונים אחרי בואו. מארחיי היו הרב לסין [ר׳ </w:t>
      </w:r>
      <w:proofErr w:type="spellStart"/>
      <w:r>
        <w:rPr>
          <w:rtl/>
        </w:rPr>
        <w:t>יעקב־משה</w:t>
      </w:r>
      <w:proofErr w:type="spellEnd"/>
      <w:r>
        <w:rPr>
          <w:rtl/>
        </w:rPr>
        <w:t xml:space="preserve"> </w:t>
      </w:r>
      <w:proofErr w:type="spellStart"/>
      <w:r>
        <w:rPr>
          <w:rtl/>
        </w:rPr>
        <w:t>קאפוליער</w:t>
      </w:r>
      <w:proofErr w:type="spellEnd"/>
      <w:r>
        <w:rPr>
          <w:rtl/>
        </w:rPr>
        <w:t xml:space="preserve">], שיהיה בריא; ר׳ אשר </w:t>
      </w:r>
      <w:proofErr w:type="spellStart"/>
      <w:r>
        <w:rPr>
          <w:rtl/>
        </w:rPr>
        <w:t>קרשטיין</w:t>
      </w:r>
      <w:proofErr w:type="spellEnd"/>
      <w:r>
        <w:rPr>
          <w:rtl/>
        </w:rPr>
        <w:t xml:space="preserve">, המבוגר מן השלושה; ור׳ </w:t>
      </w:r>
      <w:proofErr w:type="spellStart"/>
      <w:r>
        <w:rPr>
          <w:rtl/>
        </w:rPr>
        <w:t xml:space="preserve">וועלוול</w:t>
      </w:r>
      <w:proofErr w:type="spellEnd"/>
      <w:r>
        <w:rPr>
          <w:rtl/>
        </w:rPr>
        <w:t xml:space="preserve"> </w:t>
      </w:r>
      <w:proofErr w:type="spellStart"/>
      <w:r>
        <w:rPr>
          <w:rtl/>
        </w:rPr>
        <w:t>צ׳חנוביצר</w:t>
      </w:r>
      <w:proofErr w:type="spellEnd"/>
      <w:r>
        <w:rPr>
          <w:rtl/>
        </w:rPr>
        <w:t xml:space="preserve">, סבו של החתן. באתי יחד עם ר׳ אהרן קוטלר, ור׳ אשר </w:t>
      </w:r>
      <w:proofErr w:type="spellStart"/>
      <w:r>
        <w:rPr>
          <w:rtl/>
        </w:rPr>
        <w:t>קרשטיין</w:t>
      </w:r>
      <w:proofErr w:type="spellEnd"/>
      <w:r>
        <w:rPr>
          <w:rtl/>
        </w:rPr>
        <w:t xml:space="preserve"> לקח אותנו </w:t>
      </w:r>
      <w:proofErr w:type="spellStart"/>
      <w:r>
        <w:rPr>
          <w:rtl/>
        </w:rPr>
        <w:t>לסטנציה</w:t>
      </w:r>
      <w:proofErr w:type="spellEnd"/>
      <w:r>
        <w:rPr>
          <w:rtl/>
        </w:rPr>
        <w:t xml:space="preserve"> שלו עד אחרי שבת. אחר כך מצאנו לעצמנו </w:t>
      </w:r>
      <w:proofErr w:type="spellStart"/>
      <w:r>
        <w:rPr>
          <w:rtl/>
        </w:rPr>
        <w:t>סטנציות</w:t>
      </w:r>
      <w:proofErr w:type="spellEnd"/>
      <w:r>
        <w:rPr>
          <w:rtl/>
        </w:rPr>
        <w:t>.”</w:t>
      </w:r>
    </w:p>
    <w:p w14:paraId="18B488D5" w14:textId="77777777" w:rsidR="00AB3647" w:rsidRDefault="00000000" w:rsidP="007923E9">
      <w:pPr>
        <w:spacing w:after="100" w:line="276" w:lineRule="auto"/>
        <w:ind w:firstLine="340"/>
        <w:jc w:val="both"/>
      </w:pPr>
      <w:r>
        <w:rPr>
          <w:rtl/>
        </w:rPr>
        <w:t xml:space="preserve">בריאיון עם ר׳ </w:t>
      </w:r>
      <w:proofErr w:type="spellStart"/>
      <w:r>
        <w:rPr>
          <w:rtl/>
        </w:rPr>
        <w:t>אלעזר־מנחם־מן</w:t>
      </w:r>
      <w:proofErr w:type="spellEnd"/>
      <w:r>
        <w:rPr>
          <w:rtl/>
        </w:rPr>
        <w:t xml:space="preserve"> שך</w:t>
      </w:r>
      <w:bookmarkStart w:id="1842" w:name="_fnr1179"/>
      <w:r>
        <w:rPr>
          <w:rStyle w:val="a5"/>
        </w:rPr>
        <w:footnoteReference w:id="1181" w:customMarkFollows="0"/>
      </w:r>
      <w:bookmarkEnd w:id="1842"/>
      <w:r>
        <w:rPr>
          <w:rtl/>
        </w:rPr>
        <w:t xml:space="preserve"> הוא תיאר את שלוש השנים שבילה בכנסת ישראל </w:t>
      </w:r>
      <w:proofErr w:type="spellStart"/>
      <w:r>
        <w:rPr>
          <w:rtl/>
        </w:rPr>
        <w:t>בסלבודקה</w:t>
      </w:r>
      <w:proofErr w:type="spellEnd"/>
      <w:r>
        <w:rPr>
          <w:rtl/>
        </w:rPr>
        <w:t xml:space="preserve">, תרע״ב עד תרע״ד, והאיר באור מאלף את מצב הבחורים בשבתות שבהן לא היו גשר או קרח שיחברו בין </w:t>
      </w:r>
      <w:proofErr w:type="spellStart"/>
      <w:r>
        <w:rPr>
          <w:rtl/>
        </w:rPr>
        <w:t>סלבודקה</w:t>
      </w:r>
      <w:proofErr w:type="spellEnd"/>
      <w:r>
        <w:rPr>
          <w:rtl/>
        </w:rPr>
        <w:t xml:space="preserve"> לקובנה.</w:t>
      </w:r>
    </w:p>
    <w:p w14:paraId="60F21FF4" w14:textId="77777777" w:rsidR="00AB3647" w:rsidRDefault="00000000" w:rsidP="007923E9">
      <w:pPr>
        <w:spacing w:after="100" w:line="276" w:lineRule="auto"/>
        <w:ind w:firstLine="340"/>
        <w:jc w:val="both"/>
      </w:pPr>
      <w:r>
        <w:rPr>
          <w:rtl/>
        </w:rPr>
        <w:t xml:space="preserve">וכך אמר: “מכיוון שקובנה הייתה עיר מבצר, החוק הרוסי אסר לבנות בה גשרים מפלדה. משום כך, בכל שנה בסביבות פורים, כשהנהר הקפוא הפשיר, היה הגשר שבין </w:t>
      </w:r>
      <w:proofErr w:type="spellStart"/>
      <w:r>
        <w:rPr>
          <w:rtl/>
        </w:rPr>
        <w:t>סלבודקה</w:t>
      </w:r>
      <w:proofErr w:type="spellEnd"/>
      <w:r>
        <w:rPr>
          <w:rtl/>
        </w:rPr>
        <w:t xml:space="preserve"> לקובנה, שהיה עשוי עץ, מתפרק ונסחף, והתנועה ברגל נפסקה עד שנבנה גשר חדש. בחורי הישיבה אכלו בשבת בדרך כלל בבתי תושבי קובנה. בכל בית מדרש שם, בליל שבת אחרי התפילה, עמדה קבוצת בחורים והמתינה בשעה שהשמש סידר להם מקומות לסעודות שבת. היה זה בזיון התורה, שהתלמידים עמדו בפתח כקבצנים וחיכו להזמנה. מי שנותרו בלא הזמנה הלכו לבית הכנסת של שואבי המים, ושם ערך להם יהודי שולחן עם לחם משנה וחתיכת דג מלוח וכדומה. בשבתות שבין הריסת הגשר לבנייתו מחדש, כשהבחורים לא יכלו לשוב בסירה </w:t>
      </w:r>
      <w:proofErr w:type="spellStart"/>
      <w:r>
        <w:rPr>
          <w:rtl/>
        </w:rPr>
        <w:t>לסטנציות</w:t>
      </w:r>
      <w:proofErr w:type="spellEnd"/>
      <w:r>
        <w:rPr>
          <w:rtl/>
        </w:rPr>
        <w:t xml:space="preserve"> שלהם </w:t>
      </w:r>
      <w:proofErr w:type="spellStart"/>
      <w:r>
        <w:rPr>
          <w:rtl/>
        </w:rPr>
        <w:t>בסלבודקה</w:t>
      </w:r>
      <w:proofErr w:type="spellEnd"/>
      <w:r>
        <w:rPr>
          <w:rtl/>
        </w:rPr>
        <w:t>, כדרך שעשו בימות החול, הם ישנו על הספסלים בבתי המדרש.”</w:t>
      </w:r>
    </w:p>
    <w:p w14:paraId="43C0C5E8" w14:textId="77777777" w:rsidR="00AB3647" w:rsidRDefault="00000000" w:rsidP="007923E9">
      <w:pPr>
        <w:spacing w:after="100" w:line="276" w:lineRule="auto"/>
        <w:ind w:firstLine="340"/>
        <w:jc w:val="both"/>
      </w:pPr>
      <w:r>
        <w:rPr>
          <w:rtl/>
        </w:rPr>
        <w:lastRenderedPageBreak/>
        <w:t xml:space="preserve">ר׳ מאיר חדש, שהחל ללמוד </w:t>
      </w:r>
      <w:proofErr w:type="spellStart"/>
      <w:r>
        <w:rPr>
          <w:rtl/>
        </w:rPr>
        <w:t>בסלבודקה</w:t>
      </w:r>
      <w:proofErr w:type="spellEnd"/>
      <w:r>
        <w:rPr>
          <w:rtl/>
        </w:rPr>
        <w:t xml:space="preserve"> בזמן שהחל בה ר׳ </w:t>
      </w:r>
      <w:proofErr w:type="spellStart"/>
      <w:r>
        <w:rPr>
          <w:rtl/>
        </w:rPr>
        <w:t>אלעזר־מנחם־מן</w:t>
      </w:r>
      <w:proofErr w:type="spellEnd"/>
      <w:r>
        <w:rPr>
          <w:rtl/>
        </w:rPr>
        <w:t xml:space="preserve"> שך, סיפר</w:t>
      </w:r>
      <w:bookmarkStart w:id="1843" w:name="_fnr1180"/>
      <w:r>
        <w:rPr>
          <w:rStyle w:val="a5"/>
        </w:rPr>
        <w:footnoteReference w:id="1182" w:customMarkFollows="0"/>
      </w:r>
      <w:bookmarkEnd w:id="1843"/>
      <w:r>
        <w:rPr>
          <w:rtl/>
        </w:rPr>
        <w:t xml:space="preserve"> שתלמיד שלא נלקח לביתו של תושב קובנה קיבל סעודת שבת “באחד משני ‘מטבחים </w:t>
      </w:r>
      <w:proofErr w:type="spellStart"/>
      <w:r>
        <w:rPr>
          <w:rtl/>
        </w:rPr>
        <w:t>לקלויזניקעס</w:t>
      </w:r>
      <w:proofErr w:type="spellEnd"/>
      <w:r>
        <w:rPr>
          <w:rtl/>
        </w:rPr>
        <w:t xml:space="preserve">’ – את אחד מהם ניהל יהודי תלמיד חכם בשם חונה, ובו הגישו לו חתיכת דג וחתיכת נקניק”. הוא הוסיף: “היו בחורים מקפידים שהעדיפו לחלוק את הסעודה הדלה הזאת עם בחורים אחרים במטבח הציבורי, ולא להתארח בבית פרטי בלתי מוכר.”</w:t>
      </w:r>
    </w:p>
    <w:p w14:paraId="55752F32" w14:textId="77777777" w:rsidR="00AB3647" w:rsidRDefault="00000000" w:rsidP="007923E9">
      <w:pPr>
        <w:spacing w:after="100" w:line="276" w:lineRule="auto"/>
        <w:ind w:firstLine="340"/>
        <w:jc w:val="both"/>
      </w:pPr>
      <w:r>
        <w:rPr>
          <w:rtl/>
        </w:rPr>
        <w:t xml:space="preserve">גם מאמרו של </w:t>
      </w:r>
      <w:proofErr w:type="spellStart"/>
      <w:r>
        <w:rPr>
          <w:rtl/>
        </w:rPr>
        <w:t>הירש־לייב</w:t>
      </w:r>
      <w:proofErr w:type="spellEnd"/>
      <w:r>
        <w:rPr>
          <w:rtl/>
        </w:rPr>
        <w:t xml:space="preserve"> גורדון “על גדות </w:t>
      </w:r>
      <w:proofErr w:type="spellStart"/>
      <w:r>
        <w:rPr>
          <w:rtl/>
        </w:rPr>
        <w:t>הוויליה</w:t>
      </w:r>
      <w:proofErr w:type="spellEnd"/>
      <w:r>
        <w:rPr>
          <w:rtl/>
        </w:rPr>
        <w:t xml:space="preserve"> </w:t>
      </w:r>
      <w:proofErr w:type="spellStart"/>
      <w:r>
        <w:rPr>
          <w:rtl/>
        </w:rPr>
        <w:t>והנימן</w:t>
      </w:r>
      <w:proofErr w:type="spellEnd"/>
      <w:r>
        <w:rPr>
          <w:rtl/>
        </w:rPr>
        <w:t xml:space="preserve">” </w:t>
      </w:r>
      <w:proofErr w:type="spellStart"/>
      <w:r>
        <w:rPr>
          <w:rtl/>
        </w:rPr>
        <w:t>ב“הדואר</w:t>
      </w:r>
      <w:proofErr w:type="spellEnd"/>
      <w:r>
        <w:rPr>
          <w:rtl/>
        </w:rPr>
        <w:t>”</w:t>
      </w:r>
      <w:bookmarkStart w:id="1844" w:name="_fnr1181"/>
      <w:r>
        <w:rPr>
          <w:rStyle w:val="a5"/>
        </w:rPr>
        <w:footnoteReference w:id="1183" w:customMarkFollows="0"/>
      </w:r>
      <w:bookmarkEnd w:id="1844"/>
      <w:r>
        <w:rPr>
          <w:rtl/>
        </w:rPr>
        <w:t xml:space="preserve"> – גורדון היה תלמיד לשעבר של כנסת בית יצחק – מתאר ביקורים בבתי הכנסת בקובנה והמתנה להזמנה לסעודת שבת: “השמש הטוב והמיטיב של </w:t>
      </w:r>
      <w:proofErr w:type="spellStart"/>
      <w:r>
        <w:rPr>
          <w:rtl/>
        </w:rPr>
        <w:t>קלויז</w:t>
      </w:r>
      <w:proofErr w:type="spellEnd"/>
      <w:r>
        <w:rPr>
          <w:rtl/>
        </w:rPr>
        <w:t xml:space="preserve"> </w:t>
      </w:r>
      <w:proofErr w:type="spellStart"/>
      <w:r>
        <w:rPr>
          <w:rtl/>
        </w:rPr>
        <w:t>נביאזר</w:t>
      </w:r>
      <w:proofErr w:type="spellEnd"/>
      <w:r>
        <w:rPr>
          <w:rtl/>
        </w:rPr>
        <w:t xml:space="preserve"> היה מכריז אחרי תפילת ליל שבת בקול של כרוז במכירה פומבית: ‘קחו בחור לשבת!’”</w:t>
      </w:r>
    </w:p>
    <w:p w14:paraId="0BA069CF" w14:textId="77777777" w:rsidR="00AB3647" w:rsidRDefault="00000000" w:rsidP="007923E9">
      <w:pPr>
        <w:spacing w:after="100" w:line="276" w:lineRule="auto"/>
        <w:ind w:firstLine="340"/>
        <w:jc w:val="both"/>
      </w:pPr>
      <w:r>
        <w:rPr>
          <w:rtl/>
        </w:rPr>
        <w:t xml:space="preserve">על התקופה בחורף שבה קפא הנהר הוא מוסיף: “לחצות את </w:t>
      </w:r>
      <w:proofErr w:type="spellStart"/>
      <w:r>
        <w:rPr>
          <w:rtl/>
        </w:rPr>
        <w:t>הוויליה</w:t>
      </w:r>
      <w:proofErr w:type="spellEnd"/>
      <w:r>
        <w:rPr>
          <w:rtl/>
        </w:rPr>
        <w:t xml:space="preserve"> הקפואה בלילה, לילדים בגילי” – המחבר היה בן תשע בשנת תרס״ה, כשהגיע לישיבתו של ר׳ </w:t>
      </w:r>
      <w:proofErr w:type="spellStart"/>
      <w:r>
        <w:rPr>
          <w:rtl/>
        </w:rPr>
        <w:t>הירשעלע</w:t>
      </w:r>
      <w:proofErr w:type="spellEnd"/>
      <w:r>
        <w:rPr>
          <w:rtl/>
        </w:rPr>
        <w:t xml:space="preserve"> </w:t>
      </w:r>
      <w:proofErr w:type="spellStart"/>
      <w:r>
        <w:rPr>
          <w:rtl/>
        </w:rPr>
        <w:t>בסלבודקה</w:t>
      </w:r>
      <w:proofErr w:type="spellEnd"/>
      <w:r>
        <w:rPr>
          <w:rtl/>
        </w:rPr>
        <w:t xml:space="preserve"> – “היה בגדר ‘סכנת נפשות’, בייחוד מפני שהצד של </w:t>
      </w:r>
      <w:proofErr w:type="spellStart"/>
      <w:r>
        <w:rPr>
          <w:rtl/>
        </w:rPr>
        <w:t>סלבודקה</w:t>
      </w:r>
      <w:proofErr w:type="spellEnd"/>
      <w:r>
        <w:rPr>
          <w:rtl/>
        </w:rPr>
        <w:t xml:space="preserve"> היה שומם. בחורי הישיבה פחדו מן השדים והשודדים שארבו שם. אבל שום רעה לא אירעה לי, והאמנתי שמלאכי שמים מגינים עליי. אף על פי כן, שמחתי הייתה ללא גבול כאשר זכיתי לראות את האורות ברחוב </w:t>
      </w:r>
      <w:proofErr w:type="spellStart"/>
      <w:r>
        <w:rPr>
          <w:rtl/>
        </w:rPr>
        <w:t>יורבארק</w:t>
      </w:r>
      <w:proofErr w:type="spellEnd"/>
      <w:r>
        <w:rPr>
          <w:rtl/>
        </w:rPr>
        <w:t>.”</w:t>
      </w:r>
    </w:p>
    <w:bookmarkStart w:id="1845" w:name="b3_note69"/>
    <w:p w14:paraId="2407D91B" w14:textId="77777777" w:rsidR="00AB3647" w:rsidRDefault="00000000" w:rsidP="007923E9">
      <w:pPr>
        <w:spacing w:before="120" w:after="100" w:line="276" w:lineRule="auto"/>
        <w:jc w:val="both"/>
      </w:pPr>
      <w:r>
        <w:fldChar w:fldCharType="begin" w:dirty="true"/>
      </w:r>
      <w:r>
        <w:instrText>HYPERLINK \l "b3_ref69"</w:instrText>
      </w:r>
      <w:r>
        <w:fldChar w:fldCharType="separate"/>
      </w:r>
      <w:r>
        <w:rPr>
          <w:b/>
          <w:bCs/>
          <w:rtl/>
        </w:rPr>
        <w:t>69</w:t>
      </w:r>
      <w:r>
        <w:rPr>
          <w:b/>
          <w:bCs/>
        </w:rPr>
        <w:fldChar w:fldCharType="end"/>
      </w:r>
      <w:bookmarkEnd w:id="1845"/>
      <w:r>
        <w:rPr>
          <w:rtl/>
        </w:rPr>
        <w:t xml:space="preserve"> בהערת אגב מוקלטת בשיעור הדף היומי</w:t>
      </w:r>
      <w:bookmarkStart w:id="1846" w:name="_fnr1182"/>
      <w:r>
        <w:rPr>
          <w:rStyle w:val="a5"/>
        </w:rPr>
        <w:footnoteReference w:id="1184" w:customMarkFollows="0"/>
      </w:r>
      <w:bookmarkEnd w:id="1846"/>
      <w:r>
        <w:rPr>
          <w:rtl/>
        </w:rPr>
        <w:t xml:space="preserve"> אמר אבי: “הסבא אמר שהיו לו 400 ‘ראשי </w:t>
      </w:r>
      <w:proofErr w:type="spellStart"/>
      <w:r>
        <w:rPr>
          <w:rtl/>
        </w:rPr>
        <w:t>ישיבה׳לאך</w:t>
      </w:r>
      <w:proofErr w:type="spellEnd"/>
      <w:r>
        <w:rPr>
          <w:rtl/>
        </w:rPr>
        <w:t>’, אבל היו גם 400 ‘</w:t>
      </w:r>
      <w:proofErr w:type="spellStart"/>
      <w:r>
        <w:rPr>
          <w:rtl/>
        </w:rPr>
        <w:t>משגיחים׳לאך</w:t>
      </w:r>
      <w:proofErr w:type="spellEnd"/>
      <w:r>
        <w:rPr>
          <w:rtl/>
        </w:rPr>
        <w:t xml:space="preserve">’. בכל </w:t>
      </w:r>
      <w:proofErr w:type="spellStart"/>
      <w:r>
        <w:rPr>
          <w:rtl/>
        </w:rPr>
        <w:t>סטנציה</w:t>
      </w:r>
      <w:proofErr w:type="spellEnd"/>
      <w:r>
        <w:rPr>
          <w:rtl/>
        </w:rPr>
        <w:t xml:space="preserve"> היו בחור מבוגר, בחור בינוני ובחור צעיר. הבחור המבוגר פיקח</w:t>
      </w:r>
      <w:bookmarkStart w:id="1847" w:name="_fnr1183"/>
      <w:r>
        <w:rPr>
          <w:rStyle w:val="a5"/>
        </w:rPr>
        <w:footnoteReference w:id="1185" w:customMarkFollows="0"/>
      </w:r>
      <w:bookmarkEnd w:id="1847"/>
      <w:r>
        <w:rPr>
          <w:rtl/>
        </w:rPr>
        <w:t xml:space="preserve"> על לימודם והתנהגותם של המופקדים בידיו, וללא ספק הביא לסבא דיווחים על מצבם של חבריו לחדר. הסבא היה מסדיר בדרך כבוד שיהיה בחור מבוגר </w:t>
      </w:r>
      <w:proofErr w:type="spellStart"/>
      <w:r>
        <w:rPr>
          <w:rtl/>
        </w:rPr>
        <w:t>בסטנציה</w:t>
      </w:r>
      <w:proofErr w:type="spellEnd"/>
      <w:r>
        <w:rPr>
          <w:rtl/>
        </w:rPr>
        <w:t xml:space="preserve">, אבל הצעיר עדיין ידע שיש לו ‘בעל בית’. כל מי שרצה לקבל </w:t>
      </w:r>
      <w:proofErr w:type="spellStart"/>
      <w:r>
        <w:rPr>
          <w:rtl/>
        </w:rPr>
        <w:t>סטנציונר</w:t>
      </w:r>
      <w:proofErr w:type="spellEnd"/>
      <w:r>
        <w:rPr>
          <w:rtl/>
        </w:rPr>
        <w:t xml:space="preserve"> היה צריך לעשות זאת באמצעות הסבא. כמובן, בעל הבית לא היה רשאי להכניס אדם נוסף לחלוק חדר שכור בלי הסכמת הדייר. הסבא שיבץ את הבחורים במקום שהתאים להם ביותר. בשביל בעלי הבתים </w:t>
      </w:r>
      <w:proofErr w:type="spellStart"/>
      <w:r>
        <w:rPr>
          <w:rtl/>
        </w:rPr>
        <w:t>בסלבודקה</w:t>
      </w:r>
      <w:proofErr w:type="spellEnd"/>
      <w:r>
        <w:rPr>
          <w:rtl/>
        </w:rPr>
        <w:t xml:space="preserve"> השכרת חדרים לתלמידי הישיבה הייתה עסק. [בעלי הבתים] היו בונים את בתיהם עם חדרים נוספים לצורך זה. אצל אחדים היה חדר נוסף אחד לשלושה בחורים, ובמקרים אחרים – שני חדרים לחמישה, שבהם היו משכנים שני בחורים מבוגרים ושלושה צעירים. בכמה בתים היו לאורך הקיר ספסלים ארוכים שהפכו בלילה למיטות: הסירו את המכסה, ומתחתיו הייתה מיטה מוצעת. הדבר נקרא ‘</w:t>
      </w:r>
      <w:proofErr w:type="spellStart"/>
      <w:r>
        <w:rPr>
          <w:rtl/>
        </w:rPr>
        <w:t>שלאפבאנק</w:t>
      </w:r>
      <w:proofErr w:type="spellEnd"/>
      <w:r>
        <w:rPr>
          <w:rtl/>
        </w:rPr>
        <w:t xml:space="preserve">’ [ספסל שינה]. הישיבה נתנה לכל תלמיד קצבה (חלוקה), ובה השתמש לשכר דירה ולמזון. היו שקיבלו כסף מן הבית, ולעניים ביותר הייתה ‘ת״ת׳, ראשי תיבות של תומכי תורה, שנתנה רובל לחודש. התייחסו אל הבחורים בכבוד רב. בעל </w:t>
      </w:r>
      <w:proofErr w:type="spellStart"/>
      <w:r>
        <w:rPr>
          <w:rtl/>
        </w:rPr>
        <w:t>הבית׳טע</w:t>
      </w:r>
      <w:proofErr w:type="spellEnd"/>
      <w:r>
        <w:rPr>
          <w:rtl/>
        </w:rPr>
        <w:t xml:space="preserve"> [בעלת הבית] הייתה אוכלת במטבח, והבחורים היו אוכלים ליד שולחן חדר האוכל.”</w:t>
      </w:r>
    </w:p>
    <w:p w14:paraId="5C20AF68" w14:textId="77777777" w:rsidR="00AB3647" w:rsidRDefault="00000000" w:rsidP="007923E9">
      <w:pPr>
        <w:spacing w:after="100" w:line="276" w:lineRule="auto"/>
        <w:ind w:firstLine="340"/>
        <w:jc w:val="both"/>
      </w:pPr>
      <w:r>
        <w:rPr>
          <w:rtl/>
        </w:rPr>
        <w:lastRenderedPageBreak/>
        <w:t xml:space="preserve">בהשוואה לישיבות אמריקה סיכם אבי: “שיטת </w:t>
      </w:r>
      <w:proofErr w:type="spellStart"/>
      <w:r>
        <w:rPr>
          <w:rtl/>
        </w:rPr>
        <w:t>הסטנציות</w:t>
      </w:r>
      <w:proofErr w:type="spellEnd"/>
      <w:r>
        <w:rPr>
          <w:rtl/>
        </w:rPr>
        <w:t xml:space="preserve"> אינה מעשית באמריקה, מפני שלא בכל בית אפשר לאכול, כפי שהיה </w:t>
      </w:r>
      <w:proofErr w:type="spellStart"/>
      <w:r>
        <w:rPr>
          <w:rtl/>
        </w:rPr>
        <w:t>בסלבודקה</w:t>
      </w:r>
      <w:proofErr w:type="spellEnd"/>
      <w:r>
        <w:rPr>
          <w:rtl/>
        </w:rPr>
        <w:t>.” לדברי ר׳ זאב לב</w:t>
      </w:r>
      <w:bookmarkStart w:id="1848" w:name="_fnr1184"/>
      <w:r>
        <w:rPr>
          <w:rStyle w:val="a5"/>
        </w:rPr>
        <w:footnoteReference w:id="1186" w:customMarkFollows="0"/>
      </w:r>
      <w:bookmarkEnd w:id="1848"/>
      <w:r>
        <w:rPr>
          <w:rtl/>
        </w:rPr>
        <w:t xml:space="preserve">, הצטער רבנו על השיטה הרווחת באמריקה, מפני שתלמיד הנכנס לפנימייה בגיל </w:t>
      </w:r>
      <w:proofErr w:type="spellStart"/>
      <w:r>
        <w:rPr>
          <w:rtl/>
        </w:rPr>
        <w:t>חמש־עשרה</w:t>
      </w:r>
      <w:proofErr w:type="spellEnd"/>
      <w:r>
        <w:rPr>
          <w:rtl/>
        </w:rPr>
        <w:t xml:space="preserve"> בקירוב אינו רואה כיצד משפחה מתנהלת בחיי </w:t>
      </w:r>
      <w:proofErr w:type="spellStart"/>
      <w:r>
        <w:rPr>
          <w:rtl/>
        </w:rPr>
        <w:t>היום־יום</w:t>
      </w:r>
      <w:proofErr w:type="spellEnd"/>
      <w:r>
        <w:rPr>
          <w:rtl/>
        </w:rPr>
        <w:t>, וחסרונו של ניסיון זה גורם קשיים כשהוא ניגש להקים משפחה משלו.</w:t>
      </w:r>
    </w:p>
    <w:p w14:paraId="6CF6175F" w14:textId="77777777" w:rsidR="00AB3647" w:rsidRDefault="00000000" w:rsidP="007923E9">
      <w:pPr>
        <w:spacing w:after="100" w:line="276" w:lineRule="auto"/>
        <w:ind w:firstLine="340"/>
        <w:jc w:val="both"/>
      </w:pPr>
      <w:r>
        <w:rPr>
          <w:rtl/>
        </w:rPr>
        <w:t xml:space="preserve">בהערת אגב בשיעור הדף היומי הזכיר אבי רק </w:t>
      </w:r>
      <w:proofErr w:type="spellStart"/>
      <w:r>
        <w:rPr>
          <w:rtl/>
        </w:rPr>
        <w:t>סטנציות</w:t>
      </w:r>
      <w:proofErr w:type="spellEnd"/>
      <w:r>
        <w:rPr>
          <w:rtl/>
        </w:rPr>
        <w:t xml:space="preserve"> של שלושה ושל חמישה תלמידים. אבל בתיאור </w:t>
      </w:r>
      <w:proofErr w:type="spellStart"/>
      <w:r>
        <w:rPr>
          <w:rtl/>
        </w:rPr>
        <w:t>הסטנציה</w:t>
      </w:r>
      <w:proofErr w:type="spellEnd"/>
      <w:r>
        <w:rPr>
          <w:rtl/>
        </w:rPr>
        <w:t xml:space="preserve"> שלו נמנו </w:t>
      </w:r>
      <w:r>
        <w:rPr>
          <w:b/>
          <w:bCs/>
          <w:rtl/>
        </w:rPr>
        <w:t>ארבעה</w:t>
      </w:r>
      <w:r>
        <w:rPr>
          <w:rtl/>
        </w:rPr>
        <w:t xml:space="preserve"> בחורים, מן הטעם הפשוט שמחקרי העלה שלושה שותפים לחדרו של רבנו. כמובן, ייתכן שזו הייתה </w:t>
      </w:r>
      <w:proofErr w:type="spellStart"/>
      <w:r>
        <w:rPr>
          <w:rtl/>
        </w:rPr>
        <w:t>הסטנציה</w:t>
      </w:r>
      <w:proofErr w:type="spellEnd"/>
      <w:r>
        <w:rPr>
          <w:rtl/>
        </w:rPr>
        <w:t xml:space="preserve"> בת שני החדרים וחמשת התלמידים שהזכיר אבי, וזהותו של הדייר החמישי אינה ידועה.</w:t>
      </w:r>
    </w:p>
    <w:p w14:paraId="37EB9B9C" w14:textId="77777777" w:rsidR="00AB3647" w:rsidRDefault="00000000" w:rsidP="007923E9">
      <w:pPr>
        <w:spacing w:after="100" w:line="276" w:lineRule="auto"/>
        <w:ind w:firstLine="340"/>
        <w:jc w:val="both"/>
      </w:pPr>
      <w:r>
        <w:rPr>
          <w:rtl/>
        </w:rPr>
        <w:t>רבנים רבים בפולין היו גם חסידים של אדמו״רים שונים. כשנעשה רבנו רב בטורונטו ליהודים פולנים מרקע חסידי, הם שאלו אותו אם יש לו רבי, והוא השיב: “היה לי רבי שבחצרו אכלתי וישנתי; אבל רבי היה ‘</w:t>
      </w:r>
      <w:proofErr w:type="spellStart"/>
      <w:r>
        <w:rPr>
          <w:rtl/>
        </w:rPr>
        <w:t>ליטוואק</w:t>
      </w:r>
      <w:proofErr w:type="spellEnd"/>
      <w:r>
        <w:rPr>
          <w:rtl/>
        </w:rPr>
        <w:t>’!”</w:t>
      </w:r>
      <w:bookmarkStart w:id="1849" w:name="_fnr1185"/>
      <w:r>
        <w:rPr>
          <w:rStyle w:val="a5"/>
        </w:rPr>
        <w:footnoteReference w:id="1187" w:customMarkFollows="0"/>
      </w:r>
      <w:bookmarkEnd w:id="1849"/>
      <w:r>
        <w:rPr>
          <w:rtl/>
        </w:rPr>
        <w:t xml:space="preserve"> הוא התכוון לסבא, ורצה לומר שרבו פיקח על אכילתו ושנתו לא פחות משפיקחו אדמו״רים חסידיים על אכילתם ושנתם של חסידיהם, ושהוא היה קשור לסבא </w:t>
      </w:r>
      <w:proofErr w:type="spellStart"/>
      <w:r>
        <w:rPr>
          <w:rtl/>
        </w:rPr>
        <w:t>מסלבודקה</w:t>
      </w:r>
      <w:proofErr w:type="spellEnd"/>
      <w:r>
        <w:rPr>
          <w:rtl/>
        </w:rPr>
        <w:t xml:space="preserve"> לא פחות מחסיד לרבו. ר׳ </w:t>
      </w:r>
      <w:proofErr w:type="spellStart"/>
      <w:r>
        <w:rPr>
          <w:rtl/>
        </w:rPr>
        <w:t>לייבל</w:t>
      </w:r>
      <w:proofErr w:type="spellEnd"/>
      <w:r>
        <w:rPr>
          <w:rtl/>
        </w:rPr>
        <w:t xml:space="preserve"> </w:t>
      </w:r>
      <w:proofErr w:type="spellStart"/>
      <w:r>
        <w:rPr>
          <w:rtl/>
        </w:rPr>
        <w:t>פרלשטיין</w:t>
      </w:r>
      <w:bookmarkStart w:id="1850" w:name="_fnr1186"/>
      <w:proofErr w:type="spellEnd"/>
      <w:r>
        <w:rPr>
          <w:rStyle w:val="a5"/>
        </w:rPr>
        <w:footnoteReference w:id="1188" w:customMarkFollows="0"/>
      </w:r>
      <w:bookmarkEnd w:id="1850"/>
      <w:r>
        <w:rPr>
          <w:rtl/>
        </w:rPr>
        <w:t xml:space="preserve"> סיפר שכשאמר אבי שרבו היה “</w:t>
      </w:r>
      <w:proofErr w:type="spellStart"/>
      <w:r>
        <w:rPr>
          <w:rtl/>
        </w:rPr>
        <w:t>ליטוואק</w:t>
      </w:r>
      <w:proofErr w:type="spellEnd"/>
      <w:r>
        <w:rPr>
          <w:rtl/>
        </w:rPr>
        <w:t>”, הוסיף: “והוא לא ‘</w:t>
      </w:r>
      <w:proofErr w:type="spellStart"/>
      <w:r>
        <w:rPr>
          <w:rtl/>
        </w:rPr>
        <w:t>פראווע</w:t>
      </w:r>
      <w:proofErr w:type="spellEnd"/>
      <w:r>
        <w:rPr>
          <w:rtl/>
        </w:rPr>
        <w:t xml:space="preserve"> </w:t>
      </w:r>
      <w:proofErr w:type="spellStart"/>
      <w:r>
        <w:rPr>
          <w:rtl/>
        </w:rPr>
        <w:t>טישען</w:t>
      </w:r>
      <w:proofErr w:type="spellEnd"/>
      <w:r>
        <w:rPr>
          <w:rtl/>
        </w:rPr>
        <w:t xml:space="preserve">’ [ערך </w:t>
      </w:r>
      <w:proofErr w:type="spellStart"/>
      <w:r>
        <w:rPr>
          <w:rtl/>
        </w:rPr>
        <w:t>טישים</w:t>
      </w:r>
      <w:proofErr w:type="spellEnd"/>
      <w:r>
        <w:rPr>
          <w:rtl/>
        </w:rPr>
        <w:t>].”</w:t>
      </w:r>
    </w:p>
    <w:bookmarkStart w:id="1851" w:name="b3_note70"/>
    <w:p w14:paraId="64BD9280" w14:textId="77777777" w:rsidR="00AB3647" w:rsidRDefault="00000000" w:rsidP="007923E9">
      <w:pPr>
        <w:spacing w:before="120" w:after="100" w:line="276" w:lineRule="auto"/>
        <w:jc w:val="both"/>
      </w:pPr>
      <w:r>
        <w:fldChar w:fldCharType="begin" w:dirty="true"/>
      </w:r>
      <w:r>
        <w:instrText>HYPERLINK \l "b3_ref70"</w:instrText>
      </w:r>
      <w:r>
        <w:fldChar w:fldCharType="separate"/>
      </w:r>
      <w:r>
        <w:rPr>
          <w:b/>
          <w:bCs/>
          <w:rtl/>
        </w:rPr>
        <w:t>70</w:t>
      </w:r>
      <w:r>
        <w:rPr>
          <w:b/>
          <w:bCs/>
        </w:rPr>
        <w:fldChar w:fldCharType="end"/>
      </w:r>
      <w:bookmarkEnd w:id="1851"/>
      <w:r>
        <w:rPr>
          <w:rtl/>
        </w:rPr>
        <w:t xml:space="preserve"> מוצאו היה </w:t>
      </w:r>
      <w:proofErr w:type="spellStart"/>
      <w:r>
        <w:rPr>
          <w:rtl/>
        </w:rPr>
        <w:t>מצ׳חנוביץ</w:t>
      </w:r>
      <w:proofErr w:type="spellEnd"/>
      <w:r>
        <w:rPr>
          <w:rtl/>
        </w:rPr>
        <w:t xml:space="preserve">, עיירה </w:t>
      </w:r>
      <w:proofErr w:type="spellStart"/>
      <w:r>
        <w:rPr>
          <w:rtl/>
        </w:rPr>
        <w:t>מדרום־מערב</w:t>
      </w:r>
      <w:proofErr w:type="spellEnd"/>
      <w:r>
        <w:rPr>
          <w:rtl/>
        </w:rPr>
        <w:t xml:space="preserve"> </w:t>
      </w:r>
      <w:proofErr w:type="spellStart"/>
      <w:r>
        <w:rPr>
          <w:rtl/>
        </w:rPr>
        <w:t>לביאליסטוק</w:t>
      </w:r>
      <w:proofErr w:type="spellEnd"/>
      <w:r>
        <w:rPr>
          <w:rtl/>
        </w:rPr>
        <w:t xml:space="preserve">. ר׳ </w:t>
      </w:r>
      <w:proofErr w:type="spellStart"/>
      <w:r>
        <w:rPr>
          <w:rtl/>
        </w:rPr>
        <w:t xml:space="preserve">וועלוול</w:t>
      </w:r>
      <w:proofErr w:type="spellEnd"/>
      <w:r>
        <w:rPr>
          <w:rtl/>
        </w:rPr>
        <w:t xml:space="preserve"> היה מקורב </w:t>
      </w:r>
      <w:proofErr w:type="spellStart"/>
      <w:r>
        <w:rPr>
          <w:rtl/>
        </w:rPr>
        <w:t>לר</w:t>
      </w:r>
      <w:proofErr w:type="spellEnd"/>
      <w:r>
        <w:rPr>
          <w:rtl/>
        </w:rPr>
        <w:t xml:space="preserve">׳ </w:t>
      </w:r>
      <w:proofErr w:type="spellStart"/>
      <w:r>
        <w:rPr>
          <w:rtl/>
        </w:rPr>
        <w:t xml:space="preserve">בער־הירש</w:t>
      </w:r>
      <w:proofErr w:type="spellEnd"/>
      <w:r>
        <w:rPr>
          <w:rtl/>
        </w:rPr>
        <w:t xml:space="preserve"> </w:t>
      </w:r>
      <w:proofErr w:type="spellStart"/>
      <w:r>
        <w:rPr>
          <w:rtl/>
        </w:rPr>
        <w:t xml:space="preserve">הלר</w:t>
      </w:r>
      <w:proofErr w:type="spellEnd"/>
      <w:r>
        <w:rPr>
          <w:rtl/>
        </w:rPr>
        <w:t>, עוזר המשגיח</w:t>
      </w:r>
      <w:bookmarkStart w:id="1852" w:name="_fnr1187"/>
      <w:r>
        <w:rPr>
          <w:rStyle w:val="a5"/>
        </w:rPr>
        <w:footnoteReference w:id="1189" w:customMarkFollows="0"/>
      </w:r>
      <w:bookmarkEnd w:id="1852"/>
      <w:r>
        <w:rPr>
          <w:rtl/>
        </w:rPr>
        <w:t xml:space="preserve">, ואבי אמר שהיה תלמידו של המשגיח. בשל קשרי הנישואין שנקשרו לימים בין רבנו לבין משפחת </w:t>
      </w:r>
      <w:proofErr w:type="spellStart"/>
      <w:r>
        <w:rPr>
          <w:rtl/>
        </w:rPr>
        <w:t xml:space="preserve">הלר</w:t>
      </w:r>
      <w:bookmarkStart w:id="1853" w:name="_fnr1188"/>
      <w:proofErr w:type="spellEnd"/>
      <w:r>
        <w:rPr>
          <w:rStyle w:val="a5"/>
        </w:rPr>
        <w:footnoteReference w:id="1190" w:customMarkFollows="0"/>
      </w:r>
      <w:bookmarkEnd w:id="1853"/>
      <w:r>
        <w:rPr>
          <w:rtl/>
        </w:rPr>
        <w:t xml:space="preserve">, נשאר רבנו בקשר קרוב עם ר׳ </w:t>
      </w:r>
      <w:proofErr w:type="spellStart"/>
      <w:r>
        <w:rPr>
          <w:rtl/>
        </w:rPr>
        <w:t xml:space="preserve">וועלוול</w:t>
      </w:r>
      <w:proofErr w:type="spellEnd"/>
      <w:r>
        <w:rPr>
          <w:rtl/>
        </w:rPr>
        <w:t xml:space="preserve"> פרידמן עד שנפטר ר׳ </w:t>
      </w:r>
      <w:proofErr w:type="spellStart"/>
      <w:r>
        <w:rPr>
          <w:rtl/>
        </w:rPr>
        <w:t xml:space="preserve">וועלוול</w:t>
      </w:r>
      <w:proofErr w:type="spellEnd"/>
      <w:r>
        <w:rPr>
          <w:rtl/>
        </w:rPr>
        <w:t xml:space="preserve"> בגיל העמידה, בשנת תרצ״ט.</w:t>
      </w:r>
    </w:p>
    <w:p w14:paraId="57AA28BE" w14:textId="77777777" w:rsidR="00AB3647" w:rsidRDefault="00000000" w:rsidP="007923E9">
      <w:pPr>
        <w:spacing w:before="120" w:after="100" w:line="276" w:lineRule="auto"/>
        <w:jc w:val="both"/>
      </w:pPr>
      <w:r>
        <w:rPr>
          <w:rtl/>
        </w:rPr>
        <w:t xml:space="preserve">באירוסיו של נכדו של ר׳ </w:t>
      </w:r>
      <w:proofErr w:type="spellStart"/>
      <w:r>
        <w:rPr>
          <w:rtl/>
        </w:rPr>
        <w:t xml:space="preserve">וועלוול</w:t>
      </w:r>
      <w:proofErr w:type="spellEnd"/>
      <w:r>
        <w:rPr>
          <w:rtl/>
        </w:rPr>
        <w:t>, ר׳ שלמה פולק</w:t>
      </w:r>
      <w:bookmarkStart w:id="1854" w:name="_fnr1189"/>
      <w:r>
        <w:rPr>
          <w:rStyle w:val="a5"/>
        </w:rPr>
        <w:footnoteReference w:id="1191" w:customMarkFollows="0"/>
      </w:r>
      <w:bookmarkEnd w:id="1854"/>
      <w:r>
        <w:rPr>
          <w:rtl/>
        </w:rPr>
        <w:t xml:space="preserve">, המשיך אבי את שיחתו כך: “לימים נודע ר׳ </w:t>
      </w:r>
      <w:proofErr w:type="spellStart"/>
      <w:r>
        <w:rPr>
          <w:rtl/>
        </w:rPr>
        <w:t xml:space="preserve">וועלוול</w:t>
      </w:r>
      <w:proofErr w:type="spellEnd"/>
      <w:r>
        <w:rPr>
          <w:rtl/>
        </w:rPr>
        <w:t xml:space="preserve"> </w:t>
      </w:r>
      <w:proofErr w:type="spellStart"/>
      <w:r>
        <w:rPr>
          <w:rtl/>
        </w:rPr>
        <w:t>צ׳חנוביצר</w:t>
      </w:r>
      <w:proofErr w:type="spellEnd"/>
      <w:r>
        <w:rPr>
          <w:rtl/>
        </w:rPr>
        <w:t xml:space="preserve"> בשם הֶר פרידמן, והייתה בו תורה וגדולה במקום אחד</w:t>
      </w:r>
      <w:bookmarkStart w:id="1855" w:name="_fnr1190"/>
      <w:r>
        <w:rPr>
          <w:rStyle w:val="a5"/>
        </w:rPr>
        <w:footnoteReference w:id="1192" w:customMarkFollows="0"/>
      </w:r>
      <w:bookmarkEnd w:id="1855"/>
      <w:r>
        <w:rPr>
          <w:rtl/>
        </w:rPr>
        <w:t xml:space="preserve"> – פון די </w:t>
      </w:r>
      <w:proofErr w:type="spellStart"/>
      <w:r>
        <w:rPr>
          <w:rtl/>
        </w:rPr>
        <w:t>שענסטע</w:t>
      </w:r>
      <w:proofErr w:type="spellEnd"/>
      <w:r>
        <w:rPr>
          <w:rtl/>
        </w:rPr>
        <w:t xml:space="preserve"> </w:t>
      </w:r>
      <w:proofErr w:type="spellStart"/>
      <w:r>
        <w:rPr>
          <w:rtl/>
        </w:rPr>
        <w:t>אידען</w:t>
      </w:r>
      <w:proofErr w:type="spellEnd"/>
      <w:r>
        <w:rPr>
          <w:rtl/>
        </w:rPr>
        <w:t xml:space="preserve"> אין </w:t>
      </w:r>
      <w:proofErr w:type="spellStart"/>
      <w:r>
        <w:rPr>
          <w:rtl/>
        </w:rPr>
        <w:t>קאוונע</w:t>
      </w:r>
      <w:proofErr w:type="spellEnd"/>
      <w:r>
        <w:rPr>
          <w:rtl/>
        </w:rPr>
        <w:t xml:space="preserve"> [מן היהודים המעולים ביותר בקובנה]. הוא היה אדם עשיר מאוד, וניהל בית [באופן שהיה] קידוש השם. הוא היה מוקיר רבנן מופלא ובעל אהבת תורה שאין למעלה ממנה. לחתן [בעלה של בתו אידה] לקח אחד מיחידי סגולה, ר׳ שלמה טרכטנברג.”</w:t>
      </w:r>
      <w:bookmarkStart w:id="1856" w:name="_fnr1191"/>
      <w:r>
        <w:rPr>
          <w:rStyle w:val="a5"/>
        </w:rPr>
        <w:footnoteReference w:id="1193" w:customMarkFollows="0"/>
      </w:r>
      <w:bookmarkEnd w:id="1856"/>
    </w:p>
    <w:p w14:paraId="35E9DE9C" w14:textId="77777777" w:rsidR="00AB3647" w:rsidRDefault="00000000" w:rsidP="007923E9">
      <w:pPr>
        <w:spacing w:before="120" w:after="100" w:line="276" w:lineRule="auto"/>
        <w:jc w:val="both"/>
      </w:pPr>
      <w:r>
        <w:rPr>
          <w:rtl/>
        </w:rPr>
        <w:lastRenderedPageBreak/>
        <w:t xml:space="preserve">בט׳ בטבת תש״ז שלח אבי תצהירים לאלמנתו של ר׳ שלמה הי״ד, באמצעות ר׳ צבי </w:t>
      </w:r>
      <w:proofErr w:type="spellStart"/>
      <w:r>
        <w:rPr>
          <w:rtl/>
        </w:rPr>
        <w:t>מייזלס</w:t>
      </w:r>
      <w:proofErr w:type="spellEnd"/>
      <w:r>
        <w:rPr>
          <w:rtl/>
        </w:rPr>
        <w:t xml:space="preserve"> במחנה הריכוז המשוחרר </w:t>
      </w:r>
      <w:proofErr w:type="spellStart"/>
      <w:r>
        <w:rPr>
          <w:rtl/>
        </w:rPr>
        <w:t>ברגן־בלזן</w:t>
      </w:r>
      <w:proofErr w:type="spellEnd"/>
      <w:r>
        <w:rPr>
          <w:rtl/>
        </w:rPr>
        <w:t xml:space="preserve">. במכתב מצורף, שבו ביקש מר׳ צבי </w:t>
      </w:r>
      <w:proofErr w:type="spellStart"/>
      <w:r>
        <w:rPr>
          <w:rtl/>
        </w:rPr>
        <w:t>מייזלס</w:t>
      </w:r>
      <w:proofErr w:type="spellEnd"/>
      <w:r>
        <w:rPr>
          <w:rtl/>
        </w:rPr>
        <w:t xml:space="preserve"> לתת את דעתו במיוחד על הניצולה אידה, כתב: “אף על פי ש[אביה] נתברך בעושר, לא הטוהו הנכסים מדרך ה׳, והוא התנהג עד יומו האחרון כישראל כשר וזהיר במצוות”.</w:t>
      </w:r>
    </w:p>
    <w:p w14:paraId="680DDB7D" w14:textId="77777777" w:rsidR="00AB3647" w:rsidRDefault="00000000" w:rsidP="007923E9">
      <w:pPr>
        <w:spacing w:before="120" w:after="100" w:line="276" w:lineRule="auto"/>
        <w:jc w:val="both"/>
      </w:pPr>
      <w:r>
        <w:rPr>
          <w:rtl/>
        </w:rPr>
        <w:t xml:space="preserve">במכתב </w:t>
      </w:r>
      <w:proofErr w:type="spellStart"/>
      <w:r>
        <w:rPr>
          <w:rtl/>
        </w:rPr>
        <w:t>לאידה</w:t>
      </w:r>
      <w:proofErr w:type="spellEnd"/>
      <w:r>
        <w:rPr>
          <w:rtl/>
        </w:rPr>
        <w:t xml:space="preserve"> מב׳ בסיוון תש״ז נתגלה צד נוסף בר׳ </w:t>
      </w:r>
      <w:proofErr w:type="spellStart"/>
      <w:r>
        <w:rPr>
          <w:rtl/>
        </w:rPr>
        <w:t xml:space="preserve">וועלוול</w:t>
      </w:r>
      <w:proofErr w:type="spellEnd"/>
      <w:r>
        <w:rPr>
          <w:rtl/>
        </w:rPr>
        <w:t xml:space="preserve"> </w:t>
      </w:r>
      <w:proofErr w:type="spellStart"/>
      <w:r>
        <w:rPr>
          <w:rtl/>
        </w:rPr>
        <w:t>צ׳חנוביצר</w:t>
      </w:r>
      <w:proofErr w:type="spellEnd"/>
      <w:r>
        <w:rPr>
          <w:rtl/>
        </w:rPr>
        <w:t xml:space="preserve"> ובקשריו עם רבנו. המכתב נועד לקריאה גם בידי בעלה החדש, שאף הוא, כמותה, ניצול מחנות ריכוז, ואיבד את אשתו וילדיו בידי הגרמנים. אבי כתב: “אולי יכתוב גם בעלך [אליי]. הלא את גם</w:t>
      </w:r>
      <w:bookmarkStart w:id="1857" w:name="_fnr1192"/>
      <w:r>
        <w:rPr>
          <w:rStyle w:val="a5"/>
        </w:rPr>
        <w:footnoteReference w:id="1194" w:customMarkFollows="0"/>
      </w:r>
      <w:bookmarkEnd w:id="1857"/>
      <w:r>
        <w:rPr>
          <w:rtl/>
        </w:rPr>
        <w:t xml:space="preserve"> בת לאב שהיה ידידי מנעוריי ושפיקחותו הייתה נערצת בעיניי, ואף שהיה מבוגר מעט, לא הפריע הדבר לידידותנו הקרובה. מה עז רצוני להכיר את בעלך, ולו לפחות בהתכתבות!”</w:t>
      </w:r>
    </w:p>
    <w:bookmarkStart w:id="1858" w:name="b3_note71"/>
    <w:p w14:paraId="76AA3BEC" w14:textId="77777777" w:rsidR="00AB3647" w:rsidRDefault="00000000" w:rsidP="007923E9">
      <w:pPr>
        <w:spacing w:before="120" w:after="100" w:line="276" w:lineRule="auto"/>
        <w:jc w:val="both"/>
      </w:pPr>
      <w:r>
        <w:fldChar w:fldCharType="begin" w:dirty="true"/>
      </w:r>
      <w:r>
        <w:instrText>HYPERLINK \l "b3_ref71"</w:instrText>
      </w:r>
      <w:r>
        <w:fldChar w:fldCharType="separate"/>
      </w:r>
      <w:r>
        <w:rPr>
          <w:b/>
          <w:bCs/>
          <w:rtl/>
        </w:rPr>
        <w:t>71</w:t>
      </w:r>
      <w:r>
        <w:rPr>
          <w:b/>
          <w:bCs/>
        </w:rPr>
        <w:fldChar w:fldCharType="end"/>
      </w:r>
      <w:bookmarkEnd w:id="1858"/>
      <w:r>
        <w:rPr>
          <w:rtl/>
        </w:rPr>
        <w:t xml:space="preserve"> לדברי נכדו, ר׳ שלמה לסין</w:t>
      </w:r>
      <w:bookmarkStart w:id="1859" w:name="_fnr1193"/>
      <w:r>
        <w:rPr>
          <w:rStyle w:val="a5"/>
        </w:rPr>
        <w:footnoteReference w:id="1195" w:customMarkFollows="0"/>
      </w:r>
      <w:bookmarkEnd w:id="1859"/>
      <w:r>
        <w:rPr>
          <w:rtl/>
        </w:rPr>
        <w:t xml:space="preserve">, אף ר׳ </w:t>
      </w:r>
      <w:proofErr w:type="spellStart"/>
      <w:r>
        <w:rPr>
          <w:rtl/>
        </w:rPr>
        <w:t>יעקב־משה</w:t>
      </w:r>
      <w:proofErr w:type="spellEnd"/>
      <w:r>
        <w:rPr>
          <w:rtl/>
        </w:rPr>
        <w:t xml:space="preserve"> למד במינסק ואחר כך </w:t>
      </w:r>
      <w:proofErr w:type="spellStart"/>
      <w:r>
        <w:rPr>
          <w:rtl/>
        </w:rPr>
        <w:t>באיישישוק</w:t>
      </w:r>
      <w:proofErr w:type="spellEnd"/>
      <w:r>
        <w:rPr>
          <w:rtl/>
        </w:rPr>
        <w:t xml:space="preserve">, לפני שהגיע </w:t>
      </w:r>
      <w:proofErr w:type="spellStart"/>
      <w:r>
        <w:rPr>
          <w:rtl/>
        </w:rPr>
        <w:t>לסלבודקה</w:t>
      </w:r>
      <w:proofErr w:type="spellEnd"/>
      <w:r>
        <w:rPr>
          <w:rtl/>
        </w:rPr>
        <w:t xml:space="preserve">, שבה התגורר עם הסבא במשך שלוש שנים. לדברי בתו של ר׳ </w:t>
      </w:r>
      <w:proofErr w:type="spellStart"/>
      <w:r>
        <w:rPr>
          <w:rtl/>
        </w:rPr>
        <w:t>יעקב־משה</w:t>
      </w:r>
      <w:proofErr w:type="spellEnd"/>
      <w:r>
        <w:rPr>
          <w:rtl/>
        </w:rPr>
        <w:t xml:space="preserve"> לסין, </w:t>
      </w:r>
      <w:proofErr w:type="spellStart"/>
      <w:r>
        <w:rPr>
          <w:rtl/>
        </w:rPr>
        <w:t>עטיל</w:t>
      </w:r>
      <w:proofErr w:type="spellEnd"/>
      <w:r>
        <w:rPr>
          <w:rtl/>
        </w:rPr>
        <w:t xml:space="preserve"> מילר</w:t>
      </w:r>
      <w:bookmarkStart w:id="1860" w:name="_fnr1194"/>
      <w:r>
        <w:rPr>
          <w:rStyle w:val="a5"/>
        </w:rPr>
        <w:footnoteReference w:id="1196" w:customMarkFollows="0"/>
      </w:r>
      <w:bookmarkEnd w:id="1860"/>
      <w:r>
        <w:rPr>
          <w:rtl/>
        </w:rPr>
        <w:t xml:space="preserve">, “לימים היה רב </w:t>
      </w:r>
      <w:proofErr w:type="spellStart"/>
      <w:r>
        <w:rPr>
          <w:rtl/>
        </w:rPr>
        <w:t>באיישישוק</w:t>
      </w:r>
      <w:proofErr w:type="spellEnd"/>
      <w:r>
        <w:rPr>
          <w:rtl/>
        </w:rPr>
        <w:t xml:space="preserve"> </w:t>
      </w:r>
      <w:proofErr w:type="spellStart"/>
      <w:r>
        <w:rPr>
          <w:rtl/>
        </w:rPr>
        <w:t>ובניישטאט־טאבריג</w:t>
      </w:r>
      <w:proofErr w:type="spellEnd"/>
      <w:r>
        <w:rPr>
          <w:rtl/>
        </w:rPr>
        <w:t xml:space="preserve">, סמוך לגבול פרוסיה, ומשם נסע מדי קיץ לעיירת הנופש הגרמנית </w:t>
      </w:r>
      <w:proofErr w:type="spellStart"/>
      <w:r>
        <w:rPr>
          <w:rtl/>
        </w:rPr>
        <w:t>שוורצאורט</w:t>
      </w:r>
      <w:proofErr w:type="spellEnd"/>
      <w:r>
        <w:rPr>
          <w:rtl/>
        </w:rPr>
        <w:t xml:space="preserve">, כדי לשהות במחיצת הסבא שנפש שם. הרב לסין נמלט לארצות הברית בשנת ת״ש, ושימש רב בבוסטון עד תש״ה, אז הוזמן להיות משגיח בישיבת רבנו יצחק אלחנן בניו יורק, בהמלצת ר׳ </w:t>
      </w:r>
      <w:proofErr w:type="spellStart"/>
      <w:r>
        <w:rPr>
          <w:rtl/>
        </w:rPr>
        <w:t xml:space="preserve">יוסף־דב</w:t>
      </w:r>
      <w:proofErr w:type="spellEnd"/>
      <w:r>
        <w:rPr>
          <w:rtl/>
        </w:rPr>
        <w:t xml:space="preserve"> </w:t>
      </w:r>
      <w:proofErr w:type="spellStart"/>
      <w:r>
        <w:rPr>
          <w:rtl/>
        </w:rPr>
        <w:t>סולובייצ׳יק</w:t>
      </w:r>
      <w:proofErr w:type="spellEnd"/>
      <w:r>
        <w:rPr>
          <w:rtl/>
        </w:rPr>
        <w:t>, שאתו התוודע בבוסטון.”</w:t>
      </w:r>
    </w:p>
    <w:p w14:paraId="7BC9D40D" w14:textId="77777777" w:rsidR="00AB3647" w:rsidRDefault="00000000" w:rsidP="007923E9">
      <w:pPr>
        <w:spacing w:before="120" w:after="100" w:line="276" w:lineRule="auto"/>
        <w:jc w:val="both"/>
      </w:pPr>
      <w:r>
        <w:rPr>
          <w:rtl/>
        </w:rPr>
        <w:t xml:space="preserve">הרב לסין חיבר כרכים אחדים בענייני מוסר, ונפטר בשנת תשל״ה, בן שמונים ושבע. לארצות הברית הגיע לראשונה </w:t>
      </w:r>
      <w:proofErr w:type="spellStart"/>
      <w:r>
        <w:rPr>
          <w:rtl/>
        </w:rPr>
        <w:t>בתרפ״ד</w:t>
      </w:r>
      <w:proofErr w:type="spellEnd"/>
      <w:r>
        <w:rPr>
          <w:rtl/>
        </w:rPr>
        <w:t xml:space="preserve">, כשליווה משלחת רבנים לגיוס כספים, שכללה את ר׳ </w:t>
      </w:r>
      <w:proofErr w:type="spellStart"/>
      <w:r>
        <w:rPr>
          <w:rtl/>
        </w:rPr>
        <w:t>משה־מרדכי</w:t>
      </w:r>
      <w:proofErr w:type="spellEnd"/>
      <w:r>
        <w:rPr>
          <w:rtl/>
        </w:rPr>
        <w:t xml:space="preserve"> אפשטיין, ר׳ </w:t>
      </w:r>
      <w:proofErr w:type="spellStart"/>
      <w:r>
        <w:rPr>
          <w:rtl/>
        </w:rPr>
        <w:t>אברהם־דובער</w:t>
      </w:r>
      <w:proofErr w:type="spellEnd"/>
      <w:r>
        <w:rPr>
          <w:rtl/>
        </w:rPr>
        <w:t xml:space="preserve"> </w:t>
      </w:r>
      <w:proofErr w:type="spellStart"/>
      <w:r>
        <w:rPr>
          <w:rtl/>
        </w:rPr>
        <w:t>כהנא־שפירא</w:t>
      </w:r>
      <w:proofErr w:type="spellEnd"/>
      <w:r>
        <w:rPr>
          <w:rtl/>
        </w:rPr>
        <w:t xml:space="preserve"> ור׳ </w:t>
      </w:r>
      <w:proofErr w:type="spellStart"/>
      <w:r>
        <w:rPr>
          <w:rtl/>
        </w:rPr>
        <w:t>אברהם־יצחק</w:t>
      </w:r>
      <w:proofErr w:type="spellEnd"/>
      <w:r>
        <w:rPr>
          <w:rtl/>
        </w:rPr>
        <w:t xml:space="preserve"> קוק</w:t>
      </w:r>
      <w:bookmarkStart w:id="1861" w:name="_fnr1195"/>
      <w:r>
        <w:rPr>
          <w:rStyle w:val="a5"/>
        </w:rPr>
        <w:footnoteReference w:id="1197" w:customMarkFollows="0"/>
      </w:r>
      <w:bookmarkEnd w:id="1861"/>
      <w:r>
        <w:rPr>
          <w:rtl/>
        </w:rPr>
        <w:t xml:space="preserve">. ר׳ </w:t>
      </w:r>
      <w:proofErr w:type="spellStart"/>
      <w:r>
        <w:rPr>
          <w:rtl/>
        </w:rPr>
        <w:t>יעקב־משה</w:t>
      </w:r>
      <w:proofErr w:type="spellEnd"/>
      <w:r>
        <w:rPr>
          <w:rtl/>
        </w:rPr>
        <w:t xml:space="preserve"> היה מסור מאוד לישיבה שבה למד, ונודע בכל ליטא כמגייס כספים יעיל למען </w:t>
      </w:r>
      <w:proofErr w:type="spellStart"/>
      <w:r>
        <w:rPr>
          <w:rtl/>
        </w:rPr>
        <w:t>סלבודקה</w:t>
      </w:r>
      <w:proofErr w:type="spellEnd"/>
      <w:r>
        <w:rPr>
          <w:rtl/>
        </w:rPr>
        <w:t>. כשרב קובנה התגלה כחסר מיומנות בגיוס כספים באמריקה, הוצג לו הישגו של הרב לסין כדוגמה למה שאפשר להשיג אפילו בליטא הענייה</w:t>
      </w:r>
      <w:bookmarkStart w:id="1862" w:name="_fnr1196"/>
      <w:r>
        <w:rPr>
          <w:rStyle w:val="a5"/>
        </w:rPr>
        <w:footnoteReference w:id="1198" w:customMarkFollows="0"/>
      </w:r>
      <w:bookmarkEnd w:id="1862"/>
      <w:r>
        <w:rPr>
          <w:rtl/>
        </w:rPr>
        <w:t>.</w:t>
      </w:r>
    </w:p>
    <w:p w14:paraId="08D8F8BA" w14:textId="77777777" w:rsidR="00AB3647" w:rsidRDefault="00000000" w:rsidP="007923E9">
      <w:pPr>
        <w:spacing w:before="120" w:after="100" w:line="276" w:lineRule="auto"/>
        <w:jc w:val="both"/>
      </w:pPr>
      <w:r>
        <w:rPr>
          <w:rtl/>
        </w:rPr>
        <w:t xml:space="preserve">ר׳ גרשון </w:t>
      </w:r>
      <w:proofErr w:type="spellStart"/>
      <w:r>
        <w:rPr>
          <w:rtl/>
        </w:rPr>
        <w:t>קרויזר</w:t>
      </w:r>
      <w:proofErr w:type="spellEnd"/>
      <w:r>
        <w:rPr>
          <w:rtl/>
        </w:rPr>
        <w:t xml:space="preserve"> סיפר</w:t>
      </w:r>
      <w:bookmarkStart w:id="1863" w:name="_fnr1197"/>
      <w:r>
        <w:rPr>
          <w:rStyle w:val="a5"/>
        </w:rPr>
        <w:footnoteReference w:id="1199" w:customMarkFollows="0"/>
      </w:r>
      <w:bookmarkEnd w:id="1863"/>
      <w:r>
        <w:rPr>
          <w:rtl/>
        </w:rPr>
        <w:t xml:space="preserve">: “הרב לסין היה בעל מוסר אמיתי: בעל חסד מופלג, שהיה רץ עד קצה העולם כדי לעשות טובה – ואפילו למתנגדיו בעיירתו בליטא. הוא היה מכיר טובה גדול: כשמישהו דיבר נגד [מעסיקו] ד״ר </w:t>
      </w:r>
      <w:proofErr w:type="spellStart"/>
      <w:r>
        <w:rPr>
          <w:rtl/>
        </w:rPr>
        <w:t>בלקין</w:t>
      </w:r>
      <w:proofErr w:type="spellEnd"/>
      <w:r>
        <w:rPr>
          <w:rtl/>
        </w:rPr>
        <w:t xml:space="preserve">, נשיא ישיבה </w:t>
      </w:r>
      <w:proofErr w:type="spellStart"/>
      <w:r>
        <w:rPr>
          <w:rtl/>
        </w:rPr>
        <w:t>יוניברסיטי</w:t>
      </w:r>
      <w:proofErr w:type="spellEnd"/>
      <w:r>
        <w:rPr>
          <w:rtl/>
        </w:rPr>
        <w:t>, תקף אותו הרב לסין בחריפות.”</w:t>
      </w:r>
    </w:p>
    <w:p w14:paraId="06CAB0BF" w14:textId="2D5C5E58"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proofErr w:type="spellStart"/>
      <w:r>
        <w:rPr>
          <w:rtl/>
        </w:rPr>
        <w:lastRenderedPageBreak/>
        <w:t>בסלבודקה</w:t>
      </w:r>
      <w:proofErr w:type="spellEnd"/>
      <w:r>
        <w:rPr>
          <w:rtl/>
        </w:rPr>
        <w:t xml:space="preserve"> לא היו בניינים מפוארים כמו בקובנה, אבל רחובותיה שבסביבת הישיבה היו ישרים כמיתרים מתוחים בשני הכיוונים, ומצטלבים בזוויות ישרות. בצד הצפוני נמשך מתים </w:t>
      </w:r>
      <w:proofErr w:type="spellStart"/>
      <w:r>
        <w:rPr>
          <w:rtl/>
        </w:rPr>
        <w:t>גאס</w:t>
      </w:r>
      <w:proofErr w:type="spellEnd"/>
      <w:r>
        <w:rPr>
          <w:rtl/>
        </w:rPr>
        <w:t xml:space="preserve"> [רחוב המתים], שכנראה נקרא כך משום שהלוויות עברו בו. ברחוב זה שכנו הישיבה לנערים צעירים, שנודעה בשם “ישיבתו של ר׳ </w:t>
      </w:r>
      <w:proofErr w:type="spellStart"/>
      <w:r>
        <w:rPr>
          <w:rtl/>
        </w:rPr>
        <w:t>הירשעלע</w:t>
      </w:r>
      <w:proofErr w:type="spellEnd"/>
      <w:r>
        <w:rPr>
          <w:rtl/>
        </w:rPr>
        <w:t xml:space="preserve">”, שוק </w:t>
      </w:r>
      <w:proofErr w:type="spellStart"/>
      <w:r>
        <w:rPr>
          <w:rtl/>
        </w:rPr>
        <w:t>הקצבים</w:t>
      </w:r>
      <w:proofErr w:type="spellEnd"/>
      <w:r>
        <w:rPr>
          <w:rtl/>
        </w:rPr>
        <w:t xml:space="preserve"> וביתו של ר׳ </w:t>
      </w:r>
      <w:proofErr w:type="spellStart"/>
      <w:r>
        <w:rPr>
          <w:rtl/>
        </w:rPr>
        <w:t>ברוך־בער</w:t>
      </w:r>
      <w:proofErr w:type="spellEnd"/>
      <w:r>
        <w:rPr>
          <w:rtl/>
        </w:rPr>
        <w:t xml:space="preserve">. בצד הדרומי עבר רחוב </w:t>
      </w:r>
      <w:proofErr w:type="spellStart"/>
      <w:r>
        <w:rPr>
          <w:rtl/>
        </w:rPr>
        <w:t>יורבארק</w:t>
      </w:r>
      <w:proofErr w:type="spellEnd"/>
      <w:r>
        <w:rPr>
          <w:rtl/>
        </w:rPr>
        <w:t xml:space="preserve">, שהמשיך אל הגשר החוצה את </w:t>
      </w:r>
      <w:proofErr w:type="spellStart"/>
      <w:r>
        <w:rPr>
          <w:rtl/>
        </w:rPr>
        <w:t>הוויליה</w:t>
      </w:r>
      <w:proofErr w:type="spellEnd"/>
      <w:r>
        <w:rPr>
          <w:rtl/>
        </w:rPr>
        <w:t xml:space="preserve">, ובקצהו ניצבו בית המדרש הישן וחורבותיו של בית כנסת עתיק. בין שני הרחובות, במקביל להם, עבר רחוב גלזר, שנקרא ביידיש </w:t>
      </w:r>
      <w:proofErr w:type="spellStart"/>
      <w:r>
        <w:rPr>
          <w:rtl/>
        </w:rPr>
        <w:t>גלעזער</w:t>
      </w:r>
      <w:proofErr w:type="spellEnd"/>
      <w:r>
        <w:rPr>
          <w:rtl/>
        </w:rPr>
        <w:t xml:space="preserve"> </w:t>
      </w:r>
      <w:proofErr w:type="spellStart"/>
      <w:r>
        <w:rPr>
          <w:rtl/>
        </w:rPr>
        <w:t>גאס</w:t>
      </w:r>
      <w:proofErr w:type="spellEnd"/>
      <w:r>
        <w:rPr>
          <w:rtl/>
        </w:rPr>
        <w:t xml:space="preserve"> [רחוב הזגגים]. בקצהו עמד בניין העץ המרווח שבו שכנה כנסת ישראל</w:t>
      </w:r>
      <w:bookmarkStart w:id="1864" w:name="b3_ref72"/>
      <w:bookmarkEnd w:id="1864"/>
      <w:r>
        <w:rPr>
          <w:vertAlign w:val="superscript"/>
          <w:rtl/>
        </w:rPr>
        <w:fldChar w:fldCharType="begin" w:dirty="true"/>
      </w:r>
      <w:r>
        <w:rPr>
          <w:vertAlign w:val="superscript"/>
          <w:rtl/>
        </w:rPr>
        <w:instrText xml:space="preserve"> REF b3_note72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72</w:t>
      </w:r>
      <w:r>
        <w:rPr>
          <w:vertAlign w:val="superscript"/>
          <w:rtl/>
        </w:rPr>
        <w:fldChar w:fldCharType="end"/>
      </w:r>
      <w:r>
        <w:rPr>
          <w:rtl/>
        </w:rPr>
        <w:t>, ולשם ליוו את האורחים הצעירים.</w:t>
      </w:r>
    </w:p>
    <w:bookmarkStart w:id="1865" w:name="b3_note72"/>
    <w:p w14:paraId="28EB3334" w14:textId="77777777" w:rsidR="00AB3647" w:rsidRDefault="00000000" w:rsidP="007923E9">
      <w:pPr>
        <w:spacing w:before="120" w:after="100" w:line="276" w:lineRule="auto"/>
        <w:jc w:val="both"/>
      </w:pPr>
      <w:r>
        <w:fldChar w:fldCharType="begin" w:dirty="true"/>
      </w:r>
      <w:r>
        <w:instrText>HYPERLINK \l "b3_ref72"</w:instrText>
      </w:r>
      <w:r>
        <w:fldChar w:fldCharType="separate"/>
      </w:r>
      <w:r>
        <w:rPr>
          <w:b/>
          <w:bCs/>
          <w:rtl/>
        </w:rPr>
        <w:t>72</w:t>
      </w:r>
      <w:r>
        <w:rPr>
          <w:b/>
          <w:bCs/>
        </w:rPr>
        <w:fldChar w:fldCharType="end"/>
      </w:r>
      <w:bookmarkEnd w:id="1865"/>
      <w:r>
        <w:rPr>
          <w:rtl/>
        </w:rPr>
        <w:t xml:space="preserve"> תיאור </w:t>
      </w:r>
      <w:proofErr w:type="spellStart"/>
      <w:r>
        <w:rPr>
          <w:rtl/>
        </w:rPr>
        <w:t>סלבודקה</w:t>
      </w:r>
      <w:proofErr w:type="spellEnd"/>
      <w:r>
        <w:rPr>
          <w:rtl/>
        </w:rPr>
        <w:t xml:space="preserve"> נלקח ממאמרו של </w:t>
      </w:r>
      <w:proofErr w:type="spellStart"/>
      <w:r>
        <w:rPr>
          <w:rtl/>
        </w:rPr>
        <w:t>הירש־לייב</w:t>
      </w:r>
      <w:proofErr w:type="spellEnd"/>
      <w:r>
        <w:rPr>
          <w:rtl/>
        </w:rPr>
        <w:t xml:space="preserve"> גורדון “על גדות </w:t>
      </w:r>
      <w:proofErr w:type="spellStart"/>
      <w:r>
        <w:rPr>
          <w:rtl/>
        </w:rPr>
        <w:t>הוויליה</w:t>
      </w:r>
      <w:proofErr w:type="spellEnd"/>
      <w:r>
        <w:rPr>
          <w:rtl/>
        </w:rPr>
        <w:t xml:space="preserve"> </w:t>
      </w:r>
      <w:proofErr w:type="spellStart"/>
      <w:r>
        <w:rPr>
          <w:rtl/>
        </w:rPr>
        <w:t>והנימן</w:t>
      </w:r>
      <w:proofErr w:type="spellEnd"/>
      <w:r>
        <w:rPr>
          <w:rtl/>
        </w:rPr>
        <w:t xml:space="preserve">” </w:t>
      </w:r>
      <w:proofErr w:type="spellStart"/>
      <w:r>
        <w:rPr>
          <w:rtl/>
        </w:rPr>
        <w:t>ב“הדואר</w:t>
      </w:r>
      <w:proofErr w:type="spellEnd"/>
      <w:r>
        <w:rPr>
          <w:rtl/>
        </w:rPr>
        <w:t>”</w:t>
      </w:r>
      <w:bookmarkStart w:id="1866" w:name="_fnr1198"/>
      <w:r>
        <w:rPr>
          <w:rStyle w:val="a5"/>
        </w:rPr>
        <w:footnoteReference w:id="1200" w:customMarkFollows="0"/>
      </w:r>
      <w:bookmarkEnd w:id="1866"/>
      <w:r>
        <w:rPr>
          <w:rtl/>
        </w:rPr>
        <w:t>.</w:t>
      </w:r>
    </w:p>
    <w:p w14:paraId="621824FC" w14:textId="4D0312F1"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ביום הראשון בישיבה אירעו שני דברים בלתי צפויים, והם הבהירו לאבי שנכנס לסביבה שערכיה שונים מאלה שהשאיר מאחוריו במינסק. בזמן ששני הבאים החדשים המתינו בבית המדרש והתערבו בין הבחורים, רץ אשר </w:t>
      </w:r>
      <w:proofErr w:type="spellStart"/>
      <w:r>
        <w:rPr>
          <w:rtl/>
        </w:rPr>
        <w:t>קרשטיין</w:t>
      </w:r>
      <w:proofErr w:type="spellEnd"/>
      <w:r>
        <w:rPr>
          <w:rtl/>
        </w:rPr>
        <w:t xml:space="preserve"> אל בית ראש הישיבה, ר׳ </w:t>
      </w:r>
      <w:proofErr w:type="spellStart"/>
      <w:r>
        <w:rPr>
          <w:rtl/>
        </w:rPr>
        <w:t>משה־מרדכי</w:t>
      </w:r>
      <w:proofErr w:type="spellEnd"/>
      <w:r>
        <w:rPr>
          <w:rtl/>
        </w:rPr>
        <w:t xml:space="preserve"> אפשטיין, להסדיר מבחן קבלה לשני אורחיו. ר׳ </w:t>
      </w:r>
      <w:proofErr w:type="spellStart"/>
      <w:r>
        <w:rPr>
          <w:rtl/>
        </w:rPr>
        <w:t>משה־מרדכי</w:t>
      </w:r>
      <w:proofErr w:type="spellEnd"/>
      <w:r>
        <w:rPr>
          <w:rtl/>
        </w:rPr>
        <w:t xml:space="preserve"> גר בדירה בקומה העליונה, שנבנתה באגף הימני של בניין הישיבה</w:t>
      </w:r>
      <w:bookmarkStart w:id="1867" w:name="b3_ref73"/>
      <w:bookmarkEnd w:id="1867"/>
      <w:r>
        <w:rPr>
          <w:vertAlign w:val="superscript"/>
          <w:rtl/>
        </w:rPr>
        <w:fldChar w:fldCharType="begin" w:dirty="true"/>
      </w:r>
      <w:r>
        <w:rPr>
          <w:vertAlign w:val="superscript"/>
          <w:rtl/>
        </w:rPr>
        <w:instrText xml:space="preserve"> REF b3_note73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73</w:t>
      </w:r>
      <w:r>
        <w:rPr>
          <w:vertAlign w:val="superscript"/>
          <w:rtl/>
        </w:rPr>
        <w:fldChar w:fldCharType="end"/>
      </w:r>
      <w:r>
        <w:rPr>
          <w:rtl/>
        </w:rPr>
        <w:t xml:space="preserve">. ראש הישיבה קיבל את שני </w:t>
      </w:r>
      <w:proofErr w:type="spellStart"/>
      <w:r>
        <w:rPr>
          <w:rtl/>
        </w:rPr>
        <w:t>המינסקאים</w:t>
      </w:r>
      <w:proofErr w:type="spellEnd"/>
      <w:r>
        <w:rPr>
          <w:rtl/>
        </w:rPr>
        <w:t xml:space="preserve"> בסבר פנים יפות, ואמר להם להכין קטע </w:t>
      </w:r>
      <w:proofErr w:type="spellStart"/>
      <w:r>
        <w:rPr>
          <w:rtl/>
        </w:rPr>
        <w:t>ב“קצות</w:t>
      </w:r>
      <w:proofErr w:type="spellEnd"/>
      <w:r>
        <w:rPr>
          <w:rtl/>
        </w:rPr>
        <w:t xml:space="preserve"> החושן”</w:t>
      </w:r>
      <w:bookmarkStart w:id="1868" w:name="b3_ref74"/>
      <w:bookmarkEnd w:id="1868"/>
      <w:r>
        <w:rPr>
          <w:vertAlign w:val="superscript"/>
          <w:rtl/>
        </w:rPr>
        <w:fldChar w:fldCharType="begin" w:dirty="true"/>
      </w:r>
      <w:r>
        <w:rPr>
          <w:vertAlign w:val="superscript"/>
          <w:rtl/>
        </w:rPr>
        <w:instrText xml:space="preserve"> REF b3_note74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74</w:t>
      </w:r>
      <w:r>
        <w:rPr>
          <w:vertAlign w:val="superscript"/>
          <w:rtl/>
        </w:rPr>
        <w:fldChar w:fldCharType="end"/>
      </w:r>
      <w:r>
        <w:rPr>
          <w:rtl/>
        </w:rPr>
        <w:t xml:space="preserve"> ולשוב בעוד שעה עם </w:t>
      </w:r>
      <w:proofErr w:type="spellStart"/>
      <w:r>
        <w:rPr>
          <w:rtl/>
        </w:rPr>
        <w:t>פירכה</w:t>
      </w:r>
      <w:proofErr w:type="spellEnd"/>
      <w:r>
        <w:rPr>
          <w:rtl/>
        </w:rPr>
        <w:t xml:space="preserve"> על טיעונו של המחבר. זו הייתה ההפתעה הראשונה של אבי באותו יום: במינסק לא שמע מעולם שאפשר לבקר ולדחות חידוש של </w:t>
      </w:r>
      <w:proofErr w:type="spellStart"/>
      <w:r>
        <w:rPr>
          <w:rtl/>
        </w:rPr>
        <w:t>ה“קצות</w:t>
      </w:r>
      <w:proofErr w:type="spellEnd"/>
      <w:r>
        <w:rPr>
          <w:rtl/>
        </w:rPr>
        <w:t>” הנערץ</w:t>
      </w:r>
      <w:bookmarkStart w:id="1869" w:name="b3_ref75"/>
      <w:bookmarkEnd w:id="1869"/>
      <w:r>
        <w:rPr>
          <w:vertAlign w:val="superscript"/>
          <w:rtl/>
        </w:rPr>
        <w:fldChar w:fldCharType="begin" w:dirty="true"/>
      </w:r>
      <w:r>
        <w:rPr>
          <w:vertAlign w:val="superscript"/>
          <w:rtl/>
        </w:rPr>
        <w:instrText xml:space="preserve"> REF b3_note75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75</w:t>
      </w:r>
      <w:r>
        <w:rPr>
          <w:vertAlign w:val="superscript"/>
          <w:rtl/>
        </w:rPr>
        <w:fldChar w:fldCharType="end"/>
      </w:r>
      <w:r>
        <w:rPr>
          <w:rtl/>
        </w:rPr>
        <w:t>!</w:t>
      </w:r>
    </w:p>
    <w:bookmarkStart w:id="1870" w:name="b3_note73"/>
    <w:p w14:paraId="534FC23E" w14:textId="09FA8930" w:rsidR="00AB3647" w:rsidRDefault="00000000" w:rsidP="007923E9">
      <w:pPr>
        <w:spacing w:before="120" w:after="100" w:line="276" w:lineRule="auto"/>
        <w:jc w:val="both"/>
      </w:pPr>
      <w:r>
        <w:fldChar w:fldCharType="begin" w:dirty="true"/>
      </w:r>
      <w:r>
        <w:instrText>HYPERLINK \l "b3_ref73"</w:instrText>
      </w:r>
      <w:r>
        <w:fldChar w:fldCharType="separate"/>
      </w:r>
      <w:r>
        <w:rPr>
          <w:b/>
          <w:bCs/>
          <w:rtl/>
        </w:rPr>
        <w:t>73</w:t>
      </w:r>
      <w:r>
        <w:rPr>
          <w:b/>
          <w:bCs/>
        </w:rPr>
        <w:fldChar w:fldCharType="end"/>
      </w:r>
      <w:bookmarkEnd w:id="1870"/>
      <w:r>
        <w:rPr>
          <w:rtl/>
        </w:rPr>
        <w:t xml:space="preserve"> השווה פרק 4, סוף הערה </w:t>
      </w:r>
      <w:r>
        <w:rPr>
          <w:rtl/>
        </w:rPr>
        <w:fldChar w:fldCharType="begin" w:dirty="true"/>
      </w:r>
      <w:r>
        <w:rPr>
          <w:rtl/>
        </w:rPr>
        <w:instrText xml:space="preserve"> REF b4_note26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26</w:t>
      </w:r>
      <w:r>
        <w:rPr>
          <w:rtl/>
        </w:rPr>
        <w:fldChar w:fldCharType="end"/>
      </w:r>
      <w:r>
        <w:rPr>
          <w:rtl/>
        </w:rPr>
        <w:t>.</w:t>
      </w:r>
    </w:p>
    <w:bookmarkStart w:id="1871" w:name="b3_note74"/>
    <w:p w14:paraId="35DBB78A" w14:textId="77777777" w:rsidR="00AB3647" w:rsidRDefault="00000000" w:rsidP="007923E9">
      <w:pPr>
        <w:spacing w:before="120" w:after="100" w:line="276" w:lineRule="auto"/>
        <w:jc w:val="both"/>
      </w:pPr>
      <w:r>
        <w:fldChar w:fldCharType="begin" w:dirty="true"/>
      </w:r>
      <w:r>
        <w:instrText>HYPERLINK \l "b3_ref74"</w:instrText>
      </w:r>
      <w:r>
        <w:fldChar w:fldCharType="separate"/>
      </w:r>
      <w:r>
        <w:rPr>
          <w:b/>
          <w:bCs/>
          <w:rtl/>
        </w:rPr>
        <w:t>74</w:t>
      </w:r>
      <w:r>
        <w:rPr>
          <w:b/>
          <w:bCs/>
        </w:rPr>
        <w:fldChar w:fldCharType="end"/>
      </w:r>
      <w:bookmarkEnd w:id="1871"/>
      <w:r>
        <w:rPr>
          <w:rtl/>
        </w:rPr>
        <w:t xml:space="preserve"> מחברו הוא ר׳ </w:t>
      </w:r>
      <w:proofErr w:type="spellStart"/>
      <w:r>
        <w:rPr>
          <w:rtl/>
        </w:rPr>
        <w:t>אריה־לייב</w:t>
      </w:r>
      <w:proofErr w:type="spellEnd"/>
      <w:r>
        <w:rPr>
          <w:rtl/>
        </w:rPr>
        <w:t xml:space="preserve"> הכהן </w:t>
      </w:r>
      <w:proofErr w:type="spellStart"/>
      <w:r>
        <w:rPr>
          <w:rtl/>
        </w:rPr>
        <w:t xml:space="preserve">הלר</w:t>
      </w:r>
      <w:proofErr w:type="spellEnd"/>
      <w:r>
        <w:rPr>
          <w:rtl/>
        </w:rPr>
        <w:t xml:space="preserve">, שנולד בשנת תק״ה. הוא כתב את החיבור הקלאסי בהיותו רב </w:t>
      </w:r>
      <w:proofErr w:type="spellStart"/>
      <w:r>
        <w:rPr>
          <w:rtl/>
        </w:rPr>
        <w:t>ברוז׳ניאטוב</w:t>
      </w:r>
      <w:proofErr w:type="spellEnd"/>
      <w:r>
        <w:rPr>
          <w:rtl/>
        </w:rPr>
        <w:t xml:space="preserve"> (מדרום </w:t>
      </w:r>
      <w:proofErr w:type="spellStart"/>
      <w:r>
        <w:rPr>
          <w:rtl/>
        </w:rPr>
        <w:t>ללבוב</w:t>
      </w:r>
      <w:proofErr w:type="spellEnd"/>
      <w:r>
        <w:rPr>
          <w:rtl/>
        </w:rPr>
        <w:t xml:space="preserve">), ושם חי בעוני מחפיר. מסופר ששולחן הכתיבה שלו היה קרש שהונח בין שתי חביות, ובחורף, </w:t>
      </w:r>
      <w:proofErr w:type="spellStart"/>
      <w:r>
        <w:rPr>
          <w:rtl/>
        </w:rPr>
        <w:t>כשלא</w:t>
      </w:r>
      <w:proofErr w:type="spellEnd"/>
      <w:r>
        <w:rPr>
          <w:rtl/>
        </w:rPr>
        <w:t xml:space="preserve"> היו לו עצים להסיק את התנור, שכב במיטתו וכתב מתחת לשמיכה. גם את הדיו החזיק מתחת לשמיכה, כדי שחום גופו ימנע ממנו לקפוא.</w:t>
      </w:r>
    </w:p>
    <w:p w14:paraId="491CFC01" w14:textId="77777777" w:rsidR="00AB3647" w:rsidRDefault="00000000" w:rsidP="007923E9">
      <w:pPr>
        <w:spacing w:before="120" w:after="100" w:line="276" w:lineRule="auto"/>
        <w:jc w:val="both"/>
      </w:pPr>
      <w:r>
        <w:rPr>
          <w:rtl/>
        </w:rPr>
        <w:t xml:space="preserve">הספר הזה הפיץ את תהילת מחברו כתלמיד חכם מופלג, והביא להזמנתו לרבנות סטרי, הגדולה יותר, אף היא בגליציה, ושם התאספו מאות תלמידים לשמוע את שיעוריו. הוא נפטר בתחילת תקע״ג, לאחר שחיבר שני ספרים נוספים, “אבני מילואים” </w:t>
      </w:r>
      <w:proofErr w:type="spellStart"/>
      <w:r>
        <w:rPr>
          <w:rtl/>
        </w:rPr>
        <w:t>ו“שב</w:t>
      </w:r>
      <w:proofErr w:type="spellEnd"/>
      <w:r>
        <w:rPr>
          <w:rtl/>
        </w:rPr>
        <w:t xml:space="preserve"> </w:t>
      </w:r>
      <w:proofErr w:type="spellStart"/>
      <w:r>
        <w:rPr>
          <w:rtl/>
        </w:rPr>
        <w:t>שמעתתא</w:t>
      </w:r>
      <w:proofErr w:type="spellEnd"/>
      <w:r>
        <w:rPr>
          <w:rtl/>
        </w:rPr>
        <w:t>”, שגם הם נעשו ספרי יסוד וכבשו את הישיבות הליטאיות</w:t>
      </w:r>
      <w:bookmarkStart w:id="1872" w:name="_fnr1199"/>
      <w:r>
        <w:rPr>
          <w:rStyle w:val="a5"/>
        </w:rPr>
        <w:footnoteReference w:id="1201" w:customMarkFollows="0"/>
      </w:r>
      <w:bookmarkEnd w:id="1872"/>
      <w:r>
        <w:rPr>
          <w:rtl/>
        </w:rPr>
        <w:t>.</w:t>
      </w:r>
    </w:p>
    <w:p w14:paraId="77FC8827" w14:textId="77777777" w:rsidR="00AB3647" w:rsidRDefault="00000000" w:rsidP="007923E9">
      <w:pPr>
        <w:spacing w:after="100" w:line="276" w:lineRule="auto"/>
        <w:ind w:firstLine="340"/>
        <w:jc w:val="both"/>
      </w:pPr>
      <w:r>
        <w:rPr>
          <w:rtl/>
        </w:rPr>
        <w:t xml:space="preserve">לפי סיפור שמסר ר׳ </w:t>
      </w:r>
      <w:proofErr w:type="spellStart"/>
      <w:r>
        <w:rPr>
          <w:rtl/>
        </w:rPr>
        <w:t>שמואל־דוד</w:t>
      </w:r>
      <w:proofErr w:type="spellEnd"/>
      <w:r>
        <w:rPr>
          <w:rtl/>
        </w:rPr>
        <w:t xml:space="preserve"> </w:t>
      </w:r>
      <w:proofErr w:type="spellStart"/>
      <w:r>
        <w:rPr>
          <w:rtl/>
        </w:rPr>
        <w:t>מובשוביץ</w:t>
      </w:r>
      <w:bookmarkStart w:id="1873" w:name="_fnr1200"/>
      <w:proofErr w:type="spellEnd"/>
      <w:r>
        <w:rPr>
          <w:rStyle w:val="a5"/>
        </w:rPr>
        <w:footnoteReference w:id="1202" w:customMarkFollows="0"/>
      </w:r>
      <w:bookmarkEnd w:id="1873"/>
      <w:r>
        <w:rPr>
          <w:rtl/>
        </w:rPr>
        <w:t xml:space="preserve"> בשם ר׳ אפרים </w:t>
      </w:r>
      <w:proofErr w:type="spellStart"/>
      <w:r>
        <w:rPr>
          <w:rtl/>
        </w:rPr>
        <w:t>בורודיאנסקי</w:t>
      </w:r>
      <w:proofErr w:type="spellEnd"/>
      <w:r>
        <w:rPr>
          <w:rtl/>
        </w:rPr>
        <w:t xml:space="preserve">, בא ר׳ </w:t>
      </w:r>
      <w:proofErr w:type="spellStart"/>
      <w:r>
        <w:rPr>
          <w:rtl/>
        </w:rPr>
        <w:t>אריה־לייב</w:t>
      </w:r>
      <w:proofErr w:type="spellEnd"/>
      <w:r>
        <w:rPr>
          <w:rtl/>
        </w:rPr>
        <w:t xml:space="preserve"> הכהן לווילנה לבקש הסכמה </w:t>
      </w:r>
      <w:proofErr w:type="spellStart"/>
      <w:r>
        <w:rPr>
          <w:rtl/>
        </w:rPr>
        <w:t>ל“קצות</w:t>
      </w:r>
      <w:proofErr w:type="spellEnd"/>
      <w:r>
        <w:rPr>
          <w:rtl/>
        </w:rPr>
        <w:t xml:space="preserve"> החושן” שלו מאת ר׳ </w:t>
      </w:r>
      <w:proofErr w:type="spellStart"/>
      <w:r>
        <w:rPr>
          <w:rtl/>
        </w:rPr>
        <w:t>אברהם־אבל׳ה</w:t>
      </w:r>
      <w:proofErr w:type="spellEnd"/>
      <w:r>
        <w:rPr>
          <w:rtl/>
        </w:rPr>
        <w:t xml:space="preserve"> </w:t>
      </w:r>
      <w:proofErr w:type="spellStart"/>
      <w:r>
        <w:rPr>
          <w:rtl/>
        </w:rPr>
        <w:t>פוסבולר</w:t>
      </w:r>
      <w:proofErr w:type="spellEnd"/>
      <w:r>
        <w:rPr>
          <w:rtl/>
        </w:rPr>
        <w:t xml:space="preserve"> </w:t>
      </w:r>
      <w:r>
        <w:rPr>
          <w:rtl/>
        </w:rPr>
        <w:lastRenderedPageBreak/>
        <w:t xml:space="preserve">(הצעיר; תקכ״ד–תקצ״ו), ראש הדיינים בעיר משנת תקס״ב </w:t>
      </w:r>
      <w:proofErr w:type="spellStart"/>
      <w:r>
        <w:rPr>
          <w:rtl/>
        </w:rPr>
        <w:t>ו“אחד</w:t>
      </w:r>
      <w:proofErr w:type="spellEnd"/>
      <w:r>
        <w:rPr>
          <w:rtl/>
        </w:rPr>
        <w:t xml:space="preserve"> מגדולי המסכימים בזמנו”</w:t>
      </w:r>
      <w:bookmarkStart w:id="1874" w:name="_fnr1201"/>
      <w:r>
        <w:rPr>
          <w:rStyle w:val="a5"/>
        </w:rPr>
        <w:footnoteReference w:id="1203" w:customMarkFollows="0"/>
      </w:r>
      <w:bookmarkEnd w:id="1874"/>
      <w:r>
        <w:rPr>
          <w:rtl/>
        </w:rPr>
        <w:t>.</w:t>
      </w:r>
    </w:p>
    <w:p w14:paraId="2E003F8C" w14:textId="77777777" w:rsidR="00AB3647" w:rsidRDefault="00000000" w:rsidP="007923E9">
      <w:pPr>
        <w:spacing w:after="100" w:line="276" w:lineRule="auto"/>
        <w:ind w:firstLine="340"/>
        <w:jc w:val="both"/>
      </w:pPr>
      <w:r>
        <w:rPr>
          <w:rtl/>
        </w:rPr>
        <w:t xml:space="preserve">“ר׳ </w:t>
      </w:r>
      <w:proofErr w:type="spellStart"/>
      <w:r>
        <w:rPr>
          <w:rtl/>
        </w:rPr>
        <w:t>אריה־לייב</w:t>
      </w:r>
      <w:proofErr w:type="spellEnd"/>
      <w:r>
        <w:rPr>
          <w:rtl/>
        </w:rPr>
        <w:t xml:space="preserve"> הכהן נכנס לבית הדין בווילנה”, סיפר ר׳ אפרים, “בשעה שהדיינים עסקו בשאלת עגונה קשה מאוד, והוא ישב שם ולא אמר דבר. ר׳ </w:t>
      </w:r>
      <w:proofErr w:type="spellStart"/>
      <w:r>
        <w:rPr>
          <w:rtl/>
        </w:rPr>
        <w:t>אברהם־אבל׳ה</w:t>
      </w:r>
      <w:proofErr w:type="spellEnd"/>
      <w:r>
        <w:rPr>
          <w:rtl/>
        </w:rPr>
        <w:t xml:space="preserve"> אמר לו להשאיר את כתב היד ולשוב לביתו בבוקר. ר׳ </w:t>
      </w:r>
      <w:proofErr w:type="spellStart"/>
      <w:r>
        <w:rPr>
          <w:rtl/>
        </w:rPr>
        <w:t>אריה־לייב</w:t>
      </w:r>
      <w:proofErr w:type="spellEnd"/>
      <w:r>
        <w:rPr>
          <w:rtl/>
        </w:rPr>
        <w:t xml:space="preserve"> חזר בבוקר ודפק בדלת. איש לא ענה, אך הדלת הייתה פתוחה מעט” – ככל הנראה ר׳ </w:t>
      </w:r>
      <w:proofErr w:type="spellStart"/>
      <w:r>
        <w:rPr>
          <w:rtl/>
        </w:rPr>
        <w:t>אברהם־אבל׳ה</w:t>
      </w:r>
      <w:proofErr w:type="spellEnd"/>
      <w:r>
        <w:rPr>
          <w:rtl/>
        </w:rPr>
        <w:t xml:space="preserve"> מעולם לא נעל את דלתו, כדי שעניים יוכלו להיכנס לביתו בכל שעה; נודע שהיה נותן לצדקה את משכורתו הקטנה, ור׳ </w:t>
      </w:r>
      <w:proofErr w:type="spellStart"/>
      <w:r>
        <w:rPr>
          <w:rtl/>
        </w:rPr>
        <w:t>איצל׳ה</w:t>
      </w:r>
      <w:proofErr w:type="spellEnd"/>
      <w:r>
        <w:rPr>
          <w:rtl/>
        </w:rPr>
        <w:t xml:space="preserve"> </w:t>
      </w:r>
      <w:proofErr w:type="spellStart"/>
      <w:r>
        <w:rPr>
          <w:rtl/>
        </w:rPr>
        <w:t>מוולוז׳ין</w:t>
      </w:r>
      <w:proofErr w:type="spellEnd"/>
      <w:r>
        <w:rPr>
          <w:rtl/>
        </w:rPr>
        <w:t xml:space="preserve"> הספידו </w:t>
      </w:r>
      <w:proofErr w:type="spellStart"/>
      <w:r>
        <w:rPr>
          <w:rtl/>
        </w:rPr>
        <w:t>כ“חסד</w:t>
      </w:r>
      <w:proofErr w:type="spellEnd"/>
      <w:r>
        <w:rPr>
          <w:rtl/>
        </w:rPr>
        <w:t xml:space="preserve"> שבחסד”</w:t>
      </w:r>
      <w:bookmarkStart w:id="1875" w:name="_fnr1202"/>
      <w:r>
        <w:rPr>
          <w:rStyle w:val="a5"/>
        </w:rPr>
        <w:footnoteReference w:id="1204" w:customMarkFollows="0"/>
      </w:r>
      <w:bookmarkEnd w:id="1875"/>
      <w:r>
        <w:rPr>
          <w:rtl/>
        </w:rPr>
        <w:t xml:space="preserve"> – “ולכן ר׳ </w:t>
      </w:r>
      <w:proofErr w:type="spellStart"/>
      <w:r>
        <w:rPr>
          <w:rtl/>
        </w:rPr>
        <w:t>אריה־לייב</w:t>
      </w:r>
      <w:proofErr w:type="spellEnd"/>
      <w:r>
        <w:rPr>
          <w:rtl/>
        </w:rPr>
        <w:t xml:space="preserve"> נכנס ומצא את ר׳ </w:t>
      </w:r>
      <w:proofErr w:type="spellStart"/>
      <w:r>
        <w:rPr>
          <w:rtl/>
        </w:rPr>
        <w:t>אברהם־אבל׳ה</w:t>
      </w:r>
      <w:proofErr w:type="spellEnd"/>
      <w:r>
        <w:rPr>
          <w:rtl/>
        </w:rPr>
        <w:t xml:space="preserve"> עומד בראש סולם ליד מדפי ספריו, מעיין פעם בספר זה ופעם בספר אחר. כשהבחין לבסוף בר׳ </w:t>
      </w:r>
      <w:proofErr w:type="spellStart"/>
      <w:r>
        <w:rPr>
          <w:rtl/>
        </w:rPr>
        <w:t>אריה־לייב</w:t>
      </w:r>
      <w:proofErr w:type="spellEnd"/>
      <w:r>
        <w:rPr>
          <w:rtl/>
        </w:rPr>
        <w:t xml:space="preserve"> העומד למטה, אמר ר׳ </w:t>
      </w:r>
      <w:proofErr w:type="spellStart"/>
      <w:r>
        <w:rPr>
          <w:rtl/>
        </w:rPr>
        <w:t>אברהם־אבל׳ה</w:t>
      </w:r>
      <w:proofErr w:type="spellEnd"/>
      <w:r>
        <w:rPr>
          <w:rtl/>
        </w:rPr>
        <w:t xml:space="preserve">: ‘מה? כבר בוקר? לא ישנתי כל הלילה ועיינתי בספרך.’ המחבר השיב: ‘גם אני לא ישנתי כל הלילה, אלא עבדתי על שאלת העגונה של בית דינכם, והנה תשובתי.’ </w:t>
      </w:r>
      <w:proofErr w:type="spellStart"/>
      <w:r>
        <w:rPr>
          <w:rtl/>
        </w:rPr>
        <w:t>ופוסבולר</w:t>
      </w:r>
      <w:proofErr w:type="spellEnd"/>
      <w:r>
        <w:rPr>
          <w:rtl/>
        </w:rPr>
        <w:t xml:space="preserve"> הסכים לפתרונו של אורחו.”</w:t>
      </w:r>
    </w:p>
    <w:p w14:paraId="5A92AF9B" w14:textId="77777777" w:rsidR="00AB3647" w:rsidRDefault="00000000" w:rsidP="007923E9">
      <w:pPr>
        <w:spacing w:after="100" w:line="276" w:lineRule="auto"/>
        <w:ind w:firstLine="340"/>
        <w:jc w:val="both"/>
      </w:pPr>
      <w:r>
        <w:rPr>
          <w:rtl/>
        </w:rPr>
        <w:t xml:space="preserve">הרב </w:t>
      </w:r>
      <w:proofErr w:type="spellStart"/>
      <w:r>
        <w:rPr>
          <w:rtl/>
        </w:rPr>
        <w:t>מובשוביץ</w:t>
      </w:r>
      <w:proofErr w:type="spellEnd"/>
      <w:r>
        <w:rPr>
          <w:rtl/>
        </w:rPr>
        <w:t xml:space="preserve"> סיפר סיפור נוסף בשם ר׳ </w:t>
      </w:r>
      <w:proofErr w:type="spellStart"/>
      <w:r>
        <w:rPr>
          <w:rtl/>
        </w:rPr>
        <w:t>יוסף־שלום</w:t>
      </w:r>
      <w:proofErr w:type="spellEnd"/>
      <w:r>
        <w:rPr>
          <w:rtl/>
        </w:rPr>
        <w:t xml:space="preserve"> אלישיב: “ר׳ </w:t>
      </w:r>
      <w:proofErr w:type="spellStart"/>
      <w:r>
        <w:rPr>
          <w:rtl/>
        </w:rPr>
        <w:t>אריה־לייב</w:t>
      </w:r>
      <w:proofErr w:type="spellEnd"/>
      <w:r>
        <w:rPr>
          <w:rtl/>
        </w:rPr>
        <w:t xml:space="preserve"> הכהן ביקר בווילנה ודיבר בלימוד עם ר׳ </w:t>
      </w:r>
      <w:proofErr w:type="spellStart"/>
      <w:r>
        <w:rPr>
          <w:rtl/>
        </w:rPr>
        <w:t>אברהם־אבל׳ה</w:t>
      </w:r>
      <w:proofErr w:type="spellEnd"/>
      <w:r>
        <w:rPr>
          <w:rtl/>
        </w:rPr>
        <w:t xml:space="preserve">, והלה התרשם שאורחו אינו מסוגל לעמוד בקצב השיחה. כעבור שבועיים קיבל ר׳ </w:t>
      </w:r>
      <w:proofErr w:type="spellStart"/>
      <w:r>
        <w:rPr>
          <w:rtl/>
        </w:rPr>
        <w:t>אברהם־אבל׳ה</w:t>
      </w:r>
      <w:proofErr w:type="spellEnd"/>
      <w:r>
        <w:rPr>
          <w:rtl/>
        </w:rPr>
        <w:t xml:space="preserve"> מכתב ממחבר </w:t>
      </w:r>
      <w:proofErr w:type="spellStart"/>
      <w:r>
        <w:rPr>
          <w:rtl/>
        </w:rPr>
        <w:t>ה‘קצות</w:t>
      </w:r>
      <w:proofErr w:type="spellEnd"/>
      <w:r>
        <w:rPr>
          <w:rtl/>
        </w:rPr>
        <w:t xml:space="preserve">’, ובו דיון מפורט, עניין אחר עניין, בכל מה שנגעו בו, ור׳ </w:t>
      </w:r>
      <w:proofErr w:type="spellStart"/>
      <w:r>
        <w:rPr>
          <w:rtl/>
        </w:rPr>
        <w:t>אברהם־אבל׳ה</w:t>
      </w:r>
      <w:proofErr w:type="spellEnd"/>
      <w:r>
        <w:rPr>
          <w:rtl/>
        </w:rPr>
        <w:t xml:space="preserve"> העיר: ‘לאחר העיון – הוא טוב!’”</w:t>
      </w:r>
      <w:bookmarkStart w:id="1876" w:name="_fnr1203"/>
      <w:r>
        <w:rPr>
          <w:rStyle w:val="a5"/>
        </w:rPr>
        <w:footnoteReference w:id="1205" w:customMarkFollows="0"/>
      </w:r>
      <w:bookmarkEnd w:id="1876"/>
    </w:p>
    <w:p w14:paraId="4867ADAB" w14:textId="77777777" w:rsidR="00AB3647" w:rsidRDefault="00000000" w:rsidP="007923E9">
      <w:pPr>
        <w:spacing w:after="100" w:line="276" w:lineRule="auto"/>
        <w:ind w:firstLine="340"/>
        <w:jc w:val="both"/>
      </w:pPr>
      <w:r>
        <w:rPr>
          <w:rtl/>
        </w:rPr>
        <w:t xml:space="preserve">בעיני ר׳ </w:t>
      </w:r>
      <w:proofErr w:type="spellStart"/>
      <w:r>
        <w:rPr>
          <w:rtl/>
        </w:rPr>
        <w:t>משה־מרדכי</w:t>
      </w:r>
      <w:proofErr w:type="spellEnd"/>
      <w:r>
        <w:rPr>
          <w:rtl/>
        </w:rPr>
        <w:t xml:space="preserve"> היה “קצות החושן” דגם מובהק </w:t>
      </w:r>
      <w:proofErr w:type="spellStart"/>
      <w:r>
        <w:rPr>
          <w:rtl/>
        </w:rPr>
        <w:t>לסברא</w:t>
      </w:r>
      <w:proofErr w:type="spellEnd"/>
      <w:r>
        <w:rPr>
          <w:rtl/>
        </w:rPr>
        <w:t xml:space="preserve"> תלמודית, וכן “נתיבות המשפט”, מאת בן דורו של הרב </w:t>
      </w:r>
      <w:proofErr w:type="spellStart"/>
      <w:r>
        <w:rPr>
          <w:rtl/>
        </w:rPr>
        <w:t xml:space="preserve">הלר</w:t>
      </w:r>
      <w:proofErr w:type="spellEnd"/>
      <w:r>
        <w:rPr>
          <w:rtl/>
        </w:rPr>
        <w:t xml:space="preserve">, ר׳ יעקב </w:t>
      </w:r>
      <w:proofErr w:type="spellStart"/>
      <w:r>
        <w:rPr>
          <w:rtl/>
        </w:rPr>
        <w:t>לורברבוים</w:t>
      </w:r>
      <w:proofErr w:type="spellEnd"/>
      <w:r>
        <w:rPr>
          <w:rtl/>
        </w:rPr>
        <w:t xml:space="preserve">, רבה של </w:t>
      </w:r>
      <w:proofErr w:type="spellStart"/>
      <w:r>
        <w:rPr>
          <w:rtl/>
        </w:rPr>
        <w:t>ליסא</w:t>
      </w:r>
      <w:proofErr w:type="spellEnd"/>
      <w:r>
        <w:rPr>
          <w:rtl/>
        </w:rPr>
        <w:t>. בהקדמת “לבוש מרדכי”</w:t>
      </w:r>
      <w:bookmarkStart w:id="1877" w:name="_fnr1204"/>
      <w:r>
        <w:rPr>
          <w:rStyle w:val="a5"/>
        </w:rPr>
        <w:footnoteReference w:id="1206" w:customMarkFollows="0"/>
      </w:r>
      <w:bookmarkEnd w:id="1877"/>
      <w:r>
        <w:rPr>
          <w:rtl/>
        </w:rPr>
        <w:t xml:space="preserve"> הוא מדגיש את חשיבות הלימוד בספרי מוסר, מונה כמה ספרי יסוד המביאים ליראת שמים ולמידות טובות ולסילוק מידות רעות, ומסיים: “הספרים הללו הם לנו לעניין קיום ‘הלכות חובות הלבבות’ כפי </w:t>
      </w:r>
      <w:proofErr w:type="spellStart"/>
      <w:r>
        <w:rPr>
          <w:rtl/>
        </w:rPr>
        <w:t>שה‘קצות</w:t>
      </w:r>
      <w:proofErr w:type="spellEnd"/>
      <w:r>
        <w:rPr>
          <w:rtl/>
        </w:rPr>
        <w:t xml:space="preserve">’ </w:t>
      </w:r>
      <w:proofErr w:type="spellStart"/>
      <w:r>
        <w:rPr>
          <w:rtl/>
        </w:rPr>
        <w:t>וה‘נתיבות</w:t>
      </w:r>
      <w:proofErr w:type="spellEnd"/>
      <w:r>
        <w:rPr>
          <w:rtl/>
        </w:rPr>
        <w:t>’ הם בהלכה.”</w:t>
      </w:r>
    </w:p>
    <w:bookmarkStart w:id="1878" w:name="b3_note75"/>
    <w:p w14:paraId="4C7E433A" w14:textId="77777777" w:rsidR="00AB3647" w:rsidRDefault="00000000" w:rsidP="007923E9">
      <w:pPr>
        <w:spacing w:before="120" w:after="100" w:line="276" w:lineRule="auto"/>
        <w:jc w:val="both"/>
      </w:pPr>
      <w:r>
        <w:fldChar w:fldCharType="begin" w:dirty="true"/>
      </w:r>
      <w:r>
        <w:instrText>HYPERLINK \l "b3_ref75"</w:instrText>
      </w:r>
      <w:r>
        <w:fldChar w:fldCharType="separate"/>
      </w:r>
      <w:r>
        <w:rPr>
          <w:b/>
          <w:bCs/>
          <w:rtl/>
        </w:rPr>
        <w:t>75</w:t>
      </w:r>
      <w:r>
        <w:rPr>
          <w:b/>
          <w:bCs/>
        </w:rPr>
        <w:fldChar w:fldCharType="end"/>
      </w:r>
      <w:bookmarkEnd w:id="1878"/>
      <w:r>
        <w:rPr>
          <w:rtl/>
        </w:rPr>
        <w:t xml:space="preserve"> ריאיון עם ר׳ ישראל </w:t>
      </w:r>
      <w:proofErr w:type="spellStart"/>
      <w:r>
        <w:rPr>
          <w:rtl/>
        </w:rPr>
        <w:t>שורין</w:t>
      </w:r>
      <w:bookmarkStart w:id="1879" w:name="_fnr1205"/>
      <w:proofErr w:type="spellEnd"/>
      <w:r>
        <w:rPr>
          <w:rStyle w:val="a5"/>
        </w:rPr>
        <w:footnoteReference w:id="1207" w:customMarkFollows="0"/>
      </w:r>
      <w:bookmarkEnd w:id="1879"/>
      <w:r>
        <w:rPr>
          <w:rtl/>
        </w:rPr>
        <w:t xml:space="preserve">, וכמה פרטים השלים ר׳ יצחק </w:t>
      </w:r>
      <w:proofErr w:type="spellStart"/>
      <w:r>
        <w:rPr>
          <w:rtl/>
        </w:rPr>
        <w:t>קנובל</w:t>
      </w:r>
      <w:bookmarkStart w:id="1880" w:name="_fnr1206"/>
      <w:proofErr w:type="spellEnd"/>
      <w:r>
        <w:rPr>
          <w:rStyle w:val="a5"/>
        </w:rPr>
        <w:footnoteReference w:id="1208" w:customMarkFollows="0"/>
      </w:r>
      <w:bookmarkEnd w:id="1880"/>
      <w:r>
        <w:rPr>
          <w:rtl/>
        </w:rPr>
        <w:t xml:space="preserve">. ועי׳ ספר חסידים, סוף אות תתקפ״ד, שכשיש לחכם קושיא יאמר לתלמיד </w:t>
      </w:r>
      <w:proofErr w:type="spellStart"/>
      <w:r>
        <w:rPr>
          <w:rtl/>
        </w:rPr>
        <w:t>בכאן</w:t>
      </w:r>
      <w:proofErr w:type="spellEnd"/>
      <w:r>
        <w:rPr>
          <w:rtl/>
        </w:rPr>
        <w:t xml:space="preserve"> יש קושיא וישים התלמיד אל לבו שידע את </w:t>
      </w:r>
      <w:proofErr w:type="spellStart"/>
      <w:r>
        <w:rPr>
          <w:rtl/>
        </w:rPr>
        <w:t>הקושיא</w:t>
      </w:r>
      <w:proofErr w:type="spellEnd"/>
      <w:r>
        <w:rPr>
          <w:rtl/>
        </w:rPr>
        <w:t xml:space="preserve"> מעצמו, </w:t>
      </w:r>
      <w:proofErr w:type="spellStart"/>
      <w:r>
        <w:rPr>
          <w:rtl/>
        </w:rPr>
        <w:t>וכשלא</w:t>
      </w:r>
      <w:proofErr w:type="spellEnd"/>
      <w:r>
        <w:rPr>
          <w:rtl/>
        </w:rPr>
        <w:t xml:space="preserve"> ידע מעצמו אז הרב יגיד לו.</w:t>
      </w:r>
    </w:p>
    <w:p w14:paraId="22E5D433" w14:textId="6B6D9D8C"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כך או כך, הם מילאו את המשימה. שני הטירונים היו מרוצים – לדעתם מצאו בטיעון את החולשה שראש הישיבה ביקש שימצאו – ושבו אליו במועד שנקבע. בתום הדיון </w:t>
      </w:r>
      <w:proofErr w:type="spellStart"/>
      <w:r>
        <w:rPr>
          <w:rtl/>
        </w:rPr>
        <w:t>ב“קצות</w:t>
      </w:r>
      <w:proofErr w:type="spellEnd"/>
      <w:r>
        <w:rPr>
          <w:rtl/>
        </w:rPr>
        <w:t xml:space="preserve">” נאמר להם, לאכזבתם, שעליהם להמתין יום או יומיים עד שיידעו אם התקבלו. כשיצאו מבית ראש הישיבה, הפיג המבוגר משני הנערים את אכזבתו של אהרן. הוא הסביר </w:t>
      </w:r>
      <w:proofErr w:type="spellStart"/>
      <w:r>
        <w:rPr>
          <w:rtl/>
        </w:rPr>
        <w:t>שה“משגיח</w:t>
      </w:r>
      <w:proofErr w:type="spellEnd"/>
      <w:r>
        <w:rPr>
          <w:rtl/>
        </w:rPr>
        <w:t xml:space="preserve"> הזקן </w:t>
      </w:r>
      <w:r>
        <w:rPr>
          <w:rtl/>
        </w:rPr>
        <w:lastRenderedPageBreak/>
        <w:t xml:space="preserve">(הסבא)”, ר׳ </w:t>
      </w:r>
      <w:proofErr w:type="spellStart"/>
      <w:r>
        <w:rPr>
          <w:rtl/>
        </w:rPr>
        <w:t>נתן־צבי</w:t>
      </w:r>
      <w:proofErr w:type="spellEnd"/>
      <w:r>
        <w:rPr>
          <w:rtl/>
        </w:rPr>
        <w:t xml:space="preserve"> </w:t>
      </w:r>
      <w:proofErr w:type="spellStart"/>
      <w:r>
        <w:rPr>
          <w:rtl/>
        </w:rPr>
        <w:t>פינקל</w:t>
      </w:r>
      <w:proofErr w:type="spellEnd"/>
      <w:r>
        <w:rPr>
          <w:rtl/>
        </w:rPr>
        <w:t xml:space="preserve">, טרם חזר </w:t>
      </w:r>
      <w:proofErr w:type="spellStart"/>
      <w:r>
        <w:rPr>
          <w:rtl/>
        </w:rPr>
        <w:t>לסלבודקה</w:t>
      </w:r>
      <w:proofErr w:type="spellEnd"/>
      <w:r>
        <w:rPr>
          <w:rtl/>
        </w:rPr>
        <w:t xml:space="preserve"> לזמן החדש – את זה שמע בזמן שהמתין בבית המדרש – וראש הישיבה אינו מקבל מועמדים על סמך הערכתו שלו בלבד</w:t>
      </w:r>
      <w:bookmarkStart w:id="1881" w:name="b3_ref76"/>
      <w:bookmarkEnd w:id="1881"/>
      <w:r>
        <w:rPr>
          <w:vertAlign w:val="superscript"/>
          <w:rtl/>
        </w:rPr>
        <w:fldChar w:fldCharType="begin" w:dirty="true"/>
      </w:r>
      <w:r>
        <w:rPr>
          <w:vertAlign w:val="superscript"/>
          <w:rtl/>
        </w:rPr>
        <w:instrText xml:space="preserve"> REF b3_note76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76</w:t>
      </w:r>
      <w:r>
        <w:rPr>
          <w:vertAlign w:val="superscript"/>
          <w:rtl/>
        </w:rPr>
        <w:fldChar w:fldCharType="end"/>
      </w:r>
      <w:r>
        <w:rPr>
          <w:rtl/>
        </w:rPr>
        <w:t>.</w:t>
      </w:r>
    </w:p>
    <w:bookmarkStart w:id="1882" w:name="b3_note76"/>
    <w:p w14:paraId="660A70FB" w14:textId="77777777" w:rsidR="00AB3647" w:rsidRDefault="00000000" w:rsidP="007923E9">
      <w:pPr>
        <w:spacing w:before="120" w:after="100" w:line="276" w:lineRule="auto"/>
        <w:jc w:val="both"/>
      </w:pPr>
      <w:r>
        <w:fldChar w:fldCharType="begin" w:dirty="true"/>
      </w:r>
      <w:r>
        <w:instrText>HYPERLINK \l "b3_ref76"</w:instrText>
      </w:r>
      <w:r>
        <w:fldChar w:fldCharType="separate"/>
      </w:r>
      <w:r>
        <w:rPr>
          <w:b/>
          <w:bCs/>
          <w:rtl/>
        </w:rPr>
        <w:t>76</w:t>
      </w:r>
      <w:r>
        <w:rPr>
          <w:b/>
          <w:bCs/>
        </w:rPr>
        <w:fldChar w:fldCharType="end"/>
      </w:r>
      <w:bookmarkEnd w:id="1882"/>
      <w:r>
        <w:rPr>
          <w:rtl/>
        </w:rPr>
        <w:t xml:space="preserve"> ר׳ </w:t>
      </w:r>
      <w:proofErr w:type="spellStart"/>
      <w:r>
        <w:rPr>
          <w:rtl/>
        </w:rPr>
        <w:t>משה־מרדכי</w:t>
      </w:r>
      <w:proofErr w:type="spellEnd"/>
      <w:r>
        <w:rPr>
          <w:rtl/>
        </w:rPr>
        <w:t xml:space="preserve"> אפשטיין קיבל עליו את האחריות לקיום הישיבה שבע שנים קודם לכן. כמעט מיד לאחר שקיבל עליו את העול הכספי, הוא עצמו, בלי עזרת הסבא, גייס את הכספים להקמת בניין הישיבה בשנת תר״ס. אבל בכל פעם שעלתה שאלה בענייניה הפנימיים של הישיבה, הניח את ההכרעה לסבא ואמר: “הישיבה היא שלך.”</w:t>
      </w:r>
      <w:bookmarkStart w:id="1883" w:name="_fnr1207"/>
      <w:r>
        <w:rPr>
          <w:rStyle w:val="a5"/>
        </w:rPr>
        <w:footnoteReference w:id="1209" w:customMarkFollows="0"/>
      </w:r>
      <w:bookmarkEnd w:id="1883"/>
      <w:r>
        <w:rPr>
          <w:rtl/>
        </w:rPr>
        <w:t xml:space="preserve"> צדקותו של ר׳ </w:t>
      </w:r>
      <w:proofErr w:type="spellStart"/>
      <w:r>
        <w:rPr>
          <w:rtl/>
        </w:rPr>
        <w:t>משה־מרדכי</w:t>
      </w:r>
      <w:proofErr w:type="spellEnd"/>
      <w:r>
        <w:rPr>
          <w:rtl/>
        </w:rPr>
        <w:t xml:space="preserve"> ניכרת בכבוד שהעניק לסבא במשך כל חייו של הלה וגם לאחר פטירתו</w:t>
      </w:r>
      <w:bookmarkStart w:id="1884" w:name="_fnr1208"/>
      <w:r>
        <w:rPr>
          <w:rStyle w:val="a5"/>
        </w:rPr>
        <w:footnoteReference w:id="1210" w:customMarkFollows="0"/>
      </w:r>
      <w:bookmarkEnd w:id="1884"/>
      <w:r>
        <w:rPr>
          <w:rtl/>
        </w:rPr>
        <w:t>. להלן תרגום תחילתו של מכתב מעורר ששלח ראש הישיבה לתלמידים בחברון, כשהגיעה אליו בשורת פטירת הסבא בעת מסע לגיוס כספים באמריקה:</w:t>
      </w:r>
    </w:p>
    <w:p w14:paraId="399D3FD3" w14:textId="77777777" w:rsidR="00AB3647" w:rsidRDefault="00000000" w:rsidP="007923E9">
      <w:pPr>
        <w:spacing w:after="100" w:line="276" w:lineRule="auto"/>
        <w:ind w:firstLine="340"/>
        <w:jc w:val="both"/>
      </w:pPr>
      <w:r>
        <w:rPr>
          <w:rtl/>
        </w:rPr>
        <w:t xml:space="preserve">אוי, אחיי! נודע לי השבר הגדול שבא על האומה היהודית, כי ניטל מאור ישראל </w:t>
      </w:r>
      <w:proofErr w:type="spellStart"/>
      <w:r>
        <w:rPr>
          <w:rtl/>
        </w:rPr>
        <w:t>וקדושו</w:t>
      </w:r>
      <w:proofErr w:type="spellEnd"/>
      <w:r>
        <w:rPr>
          <w:rtl/>
        </w:rPr>
        <w:t xml:space="preserve"> – האיש אשר ברוחב לבו בדרכי ה׳ החזיק את השמים וחבק את זרועות הארץ. [היה זה] האיש אשר ברוחו הכבירה מנע את שכחת התורה מישראל והשיב את העטרה של התורה ליושנה, כשתורה ויראה הולכות שלובות זרוע ומעמידות גדולי תורה המצטיינים בתורה וביראה כאחת. [היה זה] האיש שכל חייו היו שרשרת קדושה של עבודת ה׳, המגדל שתילים לארזי הלבנון. הוא אשר רוחו מרחפת על כל מקומות התורה בליטא ובפולין, ופעולתו היא שאפשרה את הקמתם וחיזוקם. רוחו ונשמתו, בהתעלותן המיוחדת, הגיעו עד מרומי שמים, ובתבונה רחבה ירדו לעומק נבכי האדם, עמוק מן הים, כדי להורות לנו את הדרך שבה נלך ולהזהיר מפני עלילות ומכשולים.</w:t>
      </w:r>
    </w:p>
    <w:p w14:paraId="60A6580B" w14:textId="77777777" w:rsidR="00AB3647" w:rsidRDefault="00000000" w:rsidP="007923E9">
      <w:pPr>
        <w:spacing w:after="100" w:line="276" w:lineRule="auto"/>
        <w:ind w:firstLine="340"/>
        <w:jc w:val="both"/>
      </w:pPr>
      <w:r>
        <w:rPr>
          <w:rtl/>
        </w:rPr>
        <w:t xml:space="preserve">זה היה אבינו, מאורנו ומורנו, רכב ישראל, אדוננו ר׳ </w:t>
      </w:r>
      <w:proofErr w:type="spellStart"/>
      <w:r>
        <w:rPr>
          <w:rtl/>
        </w:rPr>
        <w:t>נתן־צבי</w:t>
      </w:r>
      <w:proofErr w:type="spellEnd"/>
      <w:r>
        <w:rPr>
          <w:rtl/>
        </w:rPr>
        <w:t xml:space="preserve"> </w:t>
      </w:r>
      <w:proofErr w:type="spellStart"/>
      <w:r>
        <w:rPr>
          <w:rtl/>
        </w:rPr>
        <w:t>פינקל</w:t>
      </w:r>
      <w:proofErr w:type="spellEnd"/>
      <w:r>
        <w:rPr>
          <w:rtl/>
        </w:rPr>
        <w:t>, זכר צדיק וקדוש לברכה. העמוד שעליו נשען בית ישראל התמוטט... מי יוכל להעריך את זכויותיו, שעמדו [להגן] על נחלת ישראל, ומי יוכל לשער את האבדן שסבל העם הקדוש?</w:t>
      </w:r>
    </w:p>
    <w:p w14:paraId="688C8864" w14:textId="77777777" w:rsidR="00AB3647" w:rsidRDefault="00000000" w:rsidP="007923E9">
      <w:pPr>
        <w:spacing w:after="100" w:line="276" w:lineRule="auto"/>
        <w:ind w:firstLine="340"/>
        <w:jc w:val="both"/>
      </w:pPr>
      <w:r>
        <w:rPr>
          <w:rtl/>
        </w:rPr>
        <w:t xml:space="preserve">כשהבעתי פעם את פליאתי על לשונו רבת ההערצה של מכתב זה, הגיב אבי: “זהו דבר פשוט מאוד; ר׳ </w:t>
      </w:r>
      <w:proofErr w:type="spellStart"/>
      <w:r>
        <w:rPr>
          <w:rtl/>
        </w:rPr>
        <w:t>משה־מרדכי</w:t>
      </w:r>
      <w:proofErr w:type="spellEnd"/>
      <w:r>
        <w:rPr>
          <w:rtl/>
        </w:rPr>
        <w:t xml:space="preserve"> היה כפוף לגמרי לסבא.”</w:t>
      </w:r>
      <w:bookmarkStart w:id="1885" w:name="_fnr1209"/>
      <w:r>
        <w:rPr>
          <w:rStyle w:val="a5"/>
        </w:rPr>
        <w:footnoteReference w:id="1211" w:customMarkFollows="0"/>
      </w:r>
      <w:bookmarkEnd w:id="1885"/>
      <w:r>
        <w:rPr>
          <w:rtl/>
        </w:rPr>
        <w:t xml:space="preserve"> בהזדמנות אחרת אמר רבנו דבר שהוא דוגמה נוקבת למקוריות רעיונותיו: גורם חשוב בהקמת ישיבת חברון בארץ ישראל היה שהסבא הרגיש שר׳ </w:t>
      </w:r>
      <w:proofErr w:type="spellStart"/>
      <w:r>
        <w:rPr>
          <w:rtl/>
        </w:rPr>
        <w:t>משה־מרדכי</w:t>
      </w:r>
      <w:proofErr w:type="spellEnd"/>
      <w:r>
        <w:rPr>
          <w:rtl/>
        </w:rPr>
        <w:t xml:space="preserve"> כבר גדל מכדי להמשיך בכפיפות הזאת, והיה צריך להיות עצמאי</w:t>
      </w:r>
      <w:bookmarkStart w:id="1886" w:name="_fnr1210"/>
      <w:r>
        <w:rPr>
          <w:rStyle w:val="a5"/>
        </w:rPr>
        <w:footnoteReference w:id="1212" w:customMarkFollows="0"/>
      </w:r>
      <w:bookmarkEnd w:id="1886"/>
      <w:r>
        <w:rPr>
          <w:rtl/>
        </w:rPr>
        <w:t>.</w:t>
      </w:r>
    </w:p>
    <w:p w14:paraId="725961D5" w14:textId="7FC18B95"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כשהתפללו הבאים החדשים מנחה בישיבה, ציפתה לאבי הפתעה נוספת. הוא ראה צעיר בעל זקן גזוז היטב, חבוש כובע </w:t>
      </w:r>
      <w:proofErr w:type="spellStart"/>
      <w:r>
        <w:rPr>
          <w:rtl/>
        </w:rPr>
        <w:t>הומבורג</w:t>
      </w:r>
      <w:proofErr w:type="spellEnd"/>
      <w:r>
        <w:rPr>
          <w:rtl/>
        </w:rPr>
        <w:t xml:space="preserve"> אופנתי ולבוש מקטורן קצר למדי. הצעיר, שעמד לעבור לפני התיבה, סטה מדרכו אל עמוד התפילה, ניגש למקום מושבו של ראש הישיבה וחיבק אותו. הטירון שיער שהצעיר המודרני הוא רופא, קרוב משפחה של ראש הישיבה. אחרי </w:t>
      </w:r>
      <w:r>
        <w:rPr>
          <w:rtl/>
        </w:rPr>
        <w:lastRenderedPageBreak/>
        <w:t>התפילה סיפר לו אשר שהחזן הוא תלמיד חכם גדול, חתנו של הסבא</w:t>
      </w:r>
      <w:bookmarkStart w:id="1887" w:name="b3_ref77"/>
      <w:bookmarkEnd w:id="1887"/>
      <w:r>
        <w:rPr>
          <w:vertAlign w:val="superscript"/>
          <w:rtl/>
        </w:rPr>
        <w:fldChar w:fldCharType="begin" w:dirty="true"/>
      </w:r>
      <w:r>
        <w:rPr>
          <w:vertAlign w:val="superscript"/>
          <w:rtl/>
        </w:rPr>
        <w:instrText xml:space="preserve"> REF b3_note77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77</w:t>
      </w:r>
      <w:r>
        <w:rPr>
          <w:vertAlign w:val="superscript"/>
          <w:rtl/>
        </w:rPr>
        <w:fldChar w:fldCharType="end"/>
      </w:r>
      <w:r>
        <w:rPr>
          <w:rtl/>
        </w:rPr>
        <w:t xml:space="preserve">. החתן בא זה עתה מקלם, יום לפני אשתו וילדתם התינוקת, שעתידות היו להגיע עם אביה</w:t>
      </w:r>
      <w:bookmarkStart w:id="1888" w:name="b3_ref78"/>
      <w:bookmarkEnd w:id="1888"/>
      <w:r>
        <w:rPr>
          <w:vertAlign w:val="superscript"/>
          <w:rtl/>
        </w:rPr>
        <w:fldChar w:fldCharType="begin" w:dirty="true"/>
      </w:r>
      <w:r>
        <w:rPr>
          <w:vertAlign w:val="superscript"/>
          <w:rtl/>
        </w:rPr>
        <w:instrText xml:space="preserve"> REF b3_note78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78</w:t>
      </w:r>
      <w:r>
        <w:rPr>
          <w:vertAlign w:val="superscript"/>
          <w:rtl/>
        </w:rPr>
        <w:fldChar w:fldCharType="end"/>
      </w:r>
      <w:r>
        <w:rPr>
          <w:rtl/>
        </w:rPr>
        <w:t xml:space="preserve"> באותו יום חמישי. “ובכן”, הרהר אבי, “במינסק, תלמידי חכמים אינם מקצרים את זקניהם כל כך, ואף אינם מתלבשים לפי האופנה; המקום הזה אינו כפי שדמיינתי</w:t>
      </w:r>
      <w:bookmarkStart w:id="1889" w:name="b3_ref79"/>
      <w:bookmarkEnd w:id="1889"/>
      <w:r>
        <w:rPr>
          <w:vertAlign w:val="superscript"/>
          <w:rtl/>
        </w:rPr>
        <w:fldChar w:fldCharType="begin" w:dirty="true"/>
      </w:r>
      <w:r>
        <w:rPr>
          <w:vertAlign w:val="superscript"/>
          <w:rtl/>
        </w:rPr>
        <w:instrText xml:space="preserve"> REF b3_note79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79</w:t>
      </w:r>
      <w:r>
        <w:rPr>
          <w:vertAlign w:val="superscript"/>
          <w:rtl/>
        </w:rPr>
        <w:fldChar w:fldCharType="end"/>
      </w:r>
      <w:r>
        <w:rPr>
          <w:rtl/>
        </w:rPr>
        <w:t>.”</w:t>
      </w:r>
    </w:p>
    <w:bookmarkStart w:id="1890" w:name="b3_note77"/>
    <w:p w14:paraId="6A0B0BBB" w14:textId="3F14C6BE" w:rsidR="00AB3647" w:rsidRDefault="00000000" w:rsidP="007923E9">
      <w:pPr>
        <w:spacing w:before="120" w:after="100" w:line="276" w:lineRule="auto"/>
        <w:jc w:val="both"/>
      </w:pPr>
      <w:r>
        <w:fldChar w:fldCharType="begin" w:dirty="true"/>
      </w:r>
      <w:r>
        <w:instrText>HYPERLINK \l "b3_ref77"</w:instrText>
      </w:r>
      <w:r>
        <w:fldChar w:fldCharType="separate"/>
      </w:r>
      <w:r>
        <w:rPr>
          <w:b/>
          <w:bCs/>
          <w:rtl/>
        </w:rPr>
        <w:t>77</w:t>
      </w:r>
      <w:r>
        <w:rPr>
          <w:b/>
          <w:bCs/>
        </w:rPr>
        <w:fldChar w:fldCharType="end"/>
      </w:r>
      <w:bookmarkEnd w:id="1890"/>
      <w:r>
        <w:rPr>
          <w:rtl/>
        </w:rPr>
        <w:t xml:space="preserve"> היה זה ר׳ אייזיק שר, שנשא את בת הסבא </w:t>
      </w:r>
      <w:proofErr w:type="spellStart"/>
      <w:r>
        <w:rPr>
          <w:rtl/>
        </w:rPr>
        <w:t>גוטל</w:t>
      </w:r>
      <w:proofErr w:type="spellEnd"/>
      <w:r>
        <w:rPr>
          <w:rtl/>
        </w:rPr>
        <w:t xml:space="preserve"> באלול תרס״ד, בהיותו בן עשרים ותשע. עד בואו </w:t>
      </w:r>
      <w:proofErr w:type="spellStart"/>
      <w:r>
        <w:rPr>
          <w:rtl/>
        </w:rPr>
        <w:t>לסלבודקה</w:t>
      </w:r>
      <w:proofErr w:type="spellEnd"/>
      <w:r>
        <w:rPr>
          <w:rtl/>
        </w:rPr>
        <w:t xml:space="preserve"> באותה עת היה סמוך על שולחן חותנו בבית הסבא </w:t>
      </w:r>
      <w:proofErr w:type="spellStart"/>
      <w:r>
        <w:rPr>
          <w:rtl/>
        </w:rPr>
        <w:t>בקלם</w:t>
      </w:r>
      <w:proofErr w:type="spellEnd"/>
      <w:r>
        <w:rPr>
          <w:rtl/>
        </w:rPr>
        <w:t xml:space="preserve"> – פרט לתקופה כשנה קודם לכן, שבה חיזק את המוסר </w:t>
      </w:r>
      <w:proofErr w:type="spellStart"/>
      <w:r>
        <w:rPr>
          <w:rtl/>
        </w:rPr>
        <w:t>במיר</w:t>
      </w:r>
      <w:proofErr w:type="spellEnd"/>
      <w:r>
        <w:rPr>
          <w:rtl/>
        </w:rPr>
        <w:t xml:space="preserve"> (כאמור בפסקה השנייה של </w:t>
      </w:r>
      <w:r>
        <w:rPr>
          <w:rtl/>
        </w:rPr>
        <w:fldChar w:fldCharType="begin" w:dirty="true"/>
      </w:r>
      <w:r>
        <w:rPr>
          <w:rtl/>
        </w:rPr>
        <w:instrText xml:space="preserve"> REF b3_excV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כב</w:t>
      </w:r>
      <w:proofErr w:type="spellEnd"/>
      <w:r>
        <w:rPr>
          <w:rtl/>
        </w:rPr>
        <w:fldChar w:fldCharType="end"/>
      </w:r>
      <w:r>
        <w:rPr>
          <w:rtl/>
        </w:rPr>
        <w:t xml:space="preserve"> להלן).</w:t>
      </w:r>
    </w:p>
    <w:bookmarkStart w:id="1891" w:name="b3_note78"/>
    <w:p w14:paraId="44CDFFBE" w14:textId="1B194B5B" w:rsidR="00AB3647" w:rsidRDefault="00000000" w:rsidP="007923E9">
      <w:pPr>
        <w:spacing w:before="120" w:after="100" w:line="276" w:lineRule="auto"/>
        <w:jc w:val="both"/>
      </w:pPr>
      <w:r>
        <w:fldChar w:fldCharType="begin" w:dirty="true"/>
      </w:r>
      <w:r>
        <w:instrText>HYPERLINK \l "b3_ref78"</w:instrText>
      </w:r>
      <w:r>
        <w:fldChar w:fldCharType="separate"/>
      </w:r>
      <w:r>
        <w:rPr>
          <w:b/>
          <w:bCs/>
          <w:rtl/>
        </w:rPr>
        <w:t>78</w:t>
      </w:r>
      <w:r>
        <w:rPr>
          <w:b/>
          <w:bCs/>
        </w:rPr>
        <w:fldChar w:fldCharType="end"/>
      </w:r>
      <w:bookmarkEnd w:id="1891"/>
      <w:r>
        <w:rPr>
          <w:rtl/>
        </w:rPr>
        <w:t xml:space="preserve"> ראה </w:t>
      </w:r>
      <w:r>
        <w:rPr>
          <w:rtl/>
        </w:rPr>
        <w:fldChar w:fldCharType="begin" w:dirty="true"/>
      </w:r>
      <w:r>
        <w:rPr>
          <w:rtl/>
        </w:rPr>
        <w:instrText xml:space="preserve"> REF b3_excW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כג</w:t>
      </w:r>
      <w:proofErr w:type="spellEnd"/>
      <w:r>
        <w:rPr>
          <w:rtl/>
        </w:rPr>
        <w:fldChar w:fldCharType="end"/>
      </w:r>
      <w:r>
        <w:rPr>
          <w:rtl/>
        </w:rPr>
        <w:t>.</w:t>
      </w:r>
    </w:p>
    <w:bookmarkStart w:id="1892" w:name="b3_note79"/>
    <w:p w14:paraId="2DD8EAB3" w14:textId="77777777" w:rsidR="00AB3647" w:rsidRDefault="00000000" w:rsidP="007923E9">
      <w:pPr>
        <w:spacing w:before="120" w:after="100" w:line="276" w:lineRule="auto"/>
        <w:jc w:val="both"/>
      </w:pPr>
      <w:r>
        <w:fldChar w:fldCharType="begin" w:dirty="true"/>
      </w:r>
      <w:r>
        <w:instrText>HYPERLINK \l "b3_ref79"</w:instrText>
      </w:r>
      <w:r>
        <w:fldChar w:fldCharType="separate"/>
      </w:r>
      <w:r>
        <w:rPr>
          <w:b/>
          <w:bCs/>
          <w:rtl/>
        </w:rPr>
        <w:t>79</w:t>
      </w:r>
      <w:r>
        <w:rPr>
          <w:b/>
          <w:bCs/>
        </w:rPr>
        <w:fldChar w:fldCharType="end"/>
      </w:r>
      <w:bookmarkEnd w:id="1892"/>
      <w:r>
        <w:rPr>
          <w:rtl/>
        </w:rPr>
        <w:t xml:space="preserve"> סיפרה </w:t>
      </w:r>
      <w:proofErr w:type="spellStart"/>
      <w:r>
        <w:rPr>
          <w:rtl/>
        </w:rPr>
        <w:t>חיה־מרים</w:t>
      </w:r>
      <w:proofErr w:type="spellEnd"/>
      <w:r>
        <w:rPr>
          <w:rtl/>
        </w:rPr>
        <w:t xml:space="preserve"> </w:t>
      </w:r>
      <w:proofErr w:type="spellStart"/>
      <w:r>
        <w:rPr>
          <w:rtl/>
        </w:rPr>
        <w:t>שולמן</w:t>
      </w:r>
      <w:proofErr w:type="spellEnd"/>
      <w:r>
        <w:rPr>
          <w:rtl/>
        </w:rPr>
        <w:t>, אותה תינוקת בת חצי שנה</w:t>
      </w:r>
      <w:bookmarkStart w:id="1893" w:name="_fnr1211"/>
      <w:r>
        <w:rPr>
          <w:rStyle w:val="a5"/>
        </w:rPr>
        <w:footnoteReference w:id="1213" w:customMarkFollows="0"/>
      </w:r>
      <w:bookmarkEnd w:id="1893"/>
      <w:r>
        <w:rPr>
          <w:rtl/>
        </w:rPr>
        <w:t xml:space="preserve">. אבי סיפר על המאורעות האלה ועל התרשמויותיו באחד מביקוריו הרבים אצל בעלה, ר׳ מרדכי </w:t>
      </w:r>
      <w:proofErr w:type="spellStart"/>
      <w:r>
        <w:rPr>
          <w:rtl/>
        </w:rPr>
        <w:t>שולמן</w:t>
      </w:r>
      <w:proofErr w:type="spellEnd"/>
      <w:r>
        <w:rPr>
          <w:rtl/>
        </w:rPr>
        <w:t xml:space="preserve">, ראש ישיבת </w:t>
      </w:r>
      <w:proofErr w:type="spellStart"/>
      <w:r>
        <w:rPr>
          <w:rtl/>
        </w:rPr>
        <w:t>סלבודקה</w:t>
      </w:r>
      <w:proofErr w:type="spellEnd"/>
      <w:r>
        <w:rPr>
          <w:rtl/>
        </w:rPr>
        <w:t xml:space="preserve"> בבני ברק.</w:t>
      </w:r>
    </w:p>
    <w:p w14:paraId="75B0A439" w14:textId="77777777" w:rsidR="00AB3647" w:rsidRDefault="00000000" w:rsidP="007923E9">
      <w:pPr>
        <w:spacing w:after="100" w:line="276" w:lineRule="auto"/>
        <w:ind w:firstLine="340"/>
        <w:jc w:val="both"/>
      </w:pPr>
      <w:proofErr w:type="spellStart"/>
      <w:r>
        <w:rPr>
          <w:rtl/>
        </w:rPr>
        <w:t>צבי־הירש</w:t>
      </w:r>
      <w:proofErr w:type="spellEnd"/>
      <w:r>
        <w:rPr>
          <w:rtl/>
        </w:rPr>
        <w:t xml:space="preserve"> </w:t>
      </w:r>
      <w:proofErr w:type="spellStart"/>
      <w:r>
        <w:rPr>
          <w:rtl/>
        </w:rPr>
        <w:t>מסליאנסקי</w:t>
      </w:r>
      <w:proofErr w:type="spellEnd"/>
      <w:r>
        <w:rPr>
          <w:rtl/>
        </w:rPr>
        <w:t xml:space="preserve">, נואם ציוני שנולד </w:t>
      </w:r>
      <w:proofErr w:type="spellStart"/>
      <w:r>
        <w:rPr>
          <w:rtl/>
        </w:rPr>
        <w:t>בתרט״ז</w:t>
      </w:r>
      <w:proofErr w:type="spellEnd"/>
      <w:r>
        <w:rPr>
          <w:rtl/>
        </w:rPr>
        <w:t xml:space="preserve">, סייר לאורכו ולרוחבו של היישוב היהודי ברוסיה במסע פרדה לפני שהיגר לאמריקה </w:t>
      </w:r>
      <w:proofErr w:type="spellStart"/>
      <w:r>
        <w:rPr>
          <w:rtl/>
        </w:rPr>
        <w:t>בתרנ״ה</w:t>
      </w:r>
      <w:proofErr w:type="spellEnd"/>
      <w:r>
        <w:rPr>
          <w:rtl/>
        </w:rPr>
        <w:t>.</w:t>
      </w:r>
    </w:p>
    <w:p w14:paraId="14991EB0" w14:textId="77777777" w:rsidR="00AB3647" w:rsidRDefault="00000000" w:rsidP="007923E9">
      <w:pPr>
        <w:spacing w:after="100" w:line="276" w:lineRule="auto"/>
        <w:ind w:firstLine="340"/>
        <w:jc w:val="both"/>
      </w:pPr>
      <w:r>
        <w:rPr>
          <w:rtl/>
        </w:rPr>
        <w:t xml:space="preserve">בזיכרונותיו, “כתבי צבי הירש </w:t>
      </w:r>
      <w:proofErr w:type="spellStart"/>
      <w:r>
        <w:rPr>
          <w:rtl/>
        </w:rPr>
        <w:t>מאסליאנסקי</w:t>
      </w:r>
      <w:proofErr w:type="spellEnd"/>
      <w:r>
        <w:rPr>
          <w:rtl/>
        </w:rPr>
        <w:t>”, כרך ג</w:t>
      </w:r>
      <w:bookmarkStart w:id="1894" w:name="_fnr1212"/>
      <w:r>
        <w:rPr>
          <w:rStyle w:val="a5"/>
        </w:rPr>
        <w:footnoteReference w:id="1214" w:customMarkFollows="0"/>
      </w:r>
      <w:bookmarkEnd w:id="1894"/>
      <w:r>
        <w:rPr>
          <w:rtl/>
        </w:rPr>
        <w:t xml:space="preserve">, הוא כותב: “מבין הערים הרבות שביקרתי בהן </w:t>
      </w:r>
      <w:proofErr w:type="spellStart"/>
      <w:r>
        <w:rPr>
          <w:rtl/>
        </w:rPr>
        <w:t>בבסרביה</w:t>
      </w:r>
      <w:proofErr w:type="spellEnd"/>
      <w:r>
        <w:rPr>
          <w:rtl/>
        </w:rPr>
        <w:t xml:space="preserve">, </w:t>
      </w:r>
      <w:proofErr w:type="spellStart"/>
      <w:r>
        <w:rPr>
          <w:rtl/>
        </w:rPr>
        <w:t>בווהלין</w:t>
      </w:r>
      <w:proofErr w:type="spellEnd"/>
      <w:r>
        <w:rPr>
          <w:rtl/>
        </w:rPr>
        <w:t xml:space="preserve">, בפולין ובליטא במסעותיי הרבים, עשתה עליי העיר קובנה רושם מיוחד. מיד עם כניסתך לעיר הרגשת שבאת לאזור אחר, לנוף אחר – אף שהשפה הרוסית והחוקים הרוסיים שלטו שם בכל תוקפם. ראית לפניך יהודים אחרים – פנים חדשות, שאין בהן לא הכיעור </w:t>
      </w:r>
      <w:proofErr w:type="spellStart"/>
      <w:r>
        <w:rPr>
          <w:rtl/>
        </w:rPr>
        <w:t>שבעונייה</w:t>
      </w:r>
      <w:proofErr w:type="spellEnd"/>
      <w:r>
        <w:rPr>
          <w:rtl/>
        </w:rPr>
        <w:t xml:space="preserve"> של ליטא, לא החומרנות הגסה של בסרביה, ולא האדיקות הקיצונית של פולין. איזה חן, איזו אצילות רוח הייתה נסוכה על פניהם ועל הליכותיהם של יהודי קובנה! החרדים, [אף] שהקפידו על כל מנהג, קל כחמור, לא לבשו בגדים ארוכים. הם קיצרו את זקניהם והקפידו על צווארונים חלקים. ייתכן שהדבר בא מהשפעת הגבול הפרוסי, הקרוב לקובנה, אך עובדה היא שיהודי קובנה התייחדו בניקיון בגדיהם ובנועם הליכותיהם.”</w:t>
      </w:r>
    </w:p>
    <w:p w14:paraId="513B02B4" w14:textId="7777777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למחרת הגיע הסבא </w:t>
      </w:r>
      <w:proofErr w:type="spellStart"/>
      <w:r>
        <w:rPr>
          <w:rtl/>
        </w:rPr>
        <w:t>מסלבודקה</w:t>
      </w:r>
      <w:proofErr w:type="spellEnd"/>
      <w:r>
        <w:rPr>
          <w:rtl/>
        </w:rPr>
        <w:t xml:space="preserve">. הוא פגש את שני המועמדים ואמר להם שהישיבה צפופה, ואינו יודע אם יוכל למצוא מקום בשבילם. “המתינו עד לאחר שבת; עד אז כבר יחזרו כל הבחורים מן הזמן שעבר שעתידים לשוב, ואז אומר לכם אם התקבלתם”, אמר. שני הצעירים יצאו בראש מורכן. האם באו כל הדרך ממינסק רק כדי להידחות לפני שניתנה להם הזדמנות להוכיח את עצמם?</w:t>
      </w:r>
    </w:p>
    <w:p w14:paraId="5FE39924" w14:textId="383B044E"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אהרן הבין שמשהו אינו כשורה</w:t>
      </w:r>
      <w:bookmarkStart w:id="1895" w:name="b3_ref80"/>
      <w:bookmarkEnd w:id="1895"/>
      <w:r>
        <w:rPr>
          <w:vertAlign w:val="superscript"/>
          <w:rtl/>
        </w:rPr>
        <w:fldChar w:fldCharType="begin" w:dirty="true"/>
      </w:r>
      <w:r>
        <w:rPr>
          <w:vertAlign w:val="superscript"/>
          <w:rtl/>
        </w:rPr>
        <w:instrText xml:space="preserve"> REF b3_note80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80</w:t>
      </w:r>
      <w:r>
        <w:rPr>
          <w:vertAlign w:val="superscript"/>
          <w:rtl/>
        </w:rPr>
        <w:fldChar w:fldCharType="end"/>
      </w:r>
      <w:r>
        <w:rPr>
          <w:rtl/>
        </w:rPr>
        <w:t xml:space="preserve">. כשהגיעו לטווח שמיעתו של אשר </w:t>
      </w:r>
      <w:proofErr w:type="spellStart"/>
      <w:r>
        <w:rPr>
          <w:rtl/>
        </w:rPr>
        <w:t>קרשטיין</w:t>
      </w:r>
      <w:proofErr w:type="spellEnd"/>
      <w:r>
        <w:rPr>
          <w:rtl/>
        </w:rPr>
        <w:t xml:space="preserve">, שותפם הזמני לחדר, אמר לחברו: “למה עלינו להמתין? </w:t>
      </w:r>
      <w:proofErr w:type="spellStart"/>
      <w:r>
        <w:rPr>
          <w:rtl/>
        </w:rPr>
        <w:t>בסלבודקה</w:t>
      </w:r>
      <w:proofErr w:type="spellEnd"/>
      <w:r>
        <w:rPr>
          <w:rtl/>
        </w:rPr>
        <w:t xml:space="preserve"> יש הישיבה האחרת, שבה למדתי לפני שבאתי למינסק, כנסת בית יצחק. נלך לשם ונלמד אצל ר׳ </w:t>
      </w:r>
      <w:proofErr w:type="spellStart"/>
      <w:r>
        <w:rPr>
          <w:rtl/>
        </w:rPr>
        <w:t>ברוך־בער</w:t>
      </w:r>
      <w:proofErr w:type="spellEnd"/>
      <w:r>
        <w:rPr>
          <w:rtl/>
        </w:rPr>
        <w:t xml:space="preserve">.” אבי זכר שסבו נתן </w:t>
      </w:r>
      <w:r>
        <w:rPr>
          <w:rtl/>
        </w:rPr>
        <w:lastRenderedPageBreak/>
        <w:t xml:space="preserve">לו מכתב המלצה אל ר׳ </w:t>
      </w:r>
      <w:proofErr w:type="spellStart"/>
      <w:r>
        <w:rPr>
          <w:rtl/>
        </w:rPr>
        <w:t>ברוך־בער</w:t>
      </w:r>
      <w:proofErr w:type="spellEnd"/>
      <w:r>
        <w:rPr>
          <w:rtl/>
        </w:rPr>
        <w:t>, והשיב: “למה לא?” אשר מיהר אל הסבא לספר מה ששמע, וזמן קצר מאוד אחר כך מסר להם את דברי הסבא: “אשר, לך אמור להם שהם כאן!</w:t>
      </w:r>
      <w:bookmarkStart w:id="1896" w:name="b3_ref81"/>
      <w:bookmarkEnd w:id="1896"/>
      <w:r>
        <w:rPr>
          <w:vertAlign w:val="superscript"/>
          <w:rtl/>
        </w:rPr>
        <w:fldChar w:fldCharType="begin" w:dirty="true"/>
      </w:r>
      <w:r>
        <w:rPr>
          <w:vertAlign w:val="superscript"/>
          <w:rtl/>
        </w:rPr>
        <w:instrText xml:space="preserve"> REF b3_note81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81</w:t>
      </w:r>
      <w:r>
        <w:rPr>
          <w:vertAlign w:val="superscript"/>
          <w:rtl/>
        </w:rPr>
        <w:fldChar w:fldCharType="end"/>
      </w:r>
      <w:r>
        <w:rPr>
          <w:rtl/>
        </w:rPr>
        <w:t xml:space="preserve">” אשר </w:t>
      </w:r>
      <w:proofErr w:type="spellStart"/>
      <w:r>
        <w:rPr>
          <w:rtl/>
        </w:rPr>
        <w:t>קרשטיין</w:t>
      </w:r>
      <w:proofErr w:type="spellEnd"/>
      <w:r>
        <w:rPr>
          <w:rtl/>
        </w:rPr>
        <w:t>, שעוד במינסק הפציר בהם ללכת רק לכנסת ישראל, הביא את העניין לסיום מוצלח</w:t>
      </w:r>
      <w:bookmarkStart w:id="1897" w:name="b3_ref82"/>
      <w:bookmarkEnd w:id="1897"/>
      <w:r>
        <w:rPr>
          <w:vertAlign w:val="superscript"/>
          <w:rtl/>
        </w:rPr>
        <w:fldChar w:fldCharType="begin" w:dirty="true"/>
      </w:r>
      <w:r>
        <w:rPr>
          <w:vertAlign w:val="superscript"/>
          <w:rtl/>
        </w:rPr>
        <w:instrText xml:space="preserve"> REF b3_note82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 xml:space="preserve">82 </w:t>
      </w:r>
      <w:r>
        <w:rPr>
          <w:vertAlign w:val="superscript"/>
          <w:rtl/>
        </w:rPr>
        <w:fldChar w:fldCharType="end"/>
      </w:r>
      <w:r>
        <w:rPr>
          <w:rtl/>
        </w:rPr>
        <w:t>.</w:t>
      </w:r>
    </w:p>
    <w:bookmarkStart w:id="1898" w:name="b3_note80"/>
    <w:p w14:paraId="3976ED8B" w14:textId="77777777" w:rsidR="00AB3647" w:rsidRDefault="00000000" w:rsidP="007923E9">
      <w:pPr>
        <w:spacing w:before="120" w:after="100" w:line="276" w:lineRule="auto"/>
        <w:jc w:val="both"/>
      </w:pPr>
      <w:r>
        <w:fldChar w:fldCharType="begin" w:dirty="true"/>
      </w:r>
      <w:r>
        <w:instrText>HYPERLINK \l "b3_ref80"</w:instrText>
      </w:r>
      <w:r>
        <w:fldChar w:fldCharType="separate"/>
      </w:r>
      <w:r>
        <w:rPr>
          <w:b/>
          <w:bCs/>
          <w:rtl/>
        </w:rPr>
        <w:t>80</w:t>
      </w:r>
      <w:r>
        <w:rPr>
          <w:b/>
          <w:bCs/>
        </w:rPr>
        <w:fldChar w:fldCharType="end"/>
      </w:r>
      <w:bookmarkEnd w:id="1898"/>
      <w:r>
        <w:rPr>
          <w:rtl/>
        </w:rPr>
        <w:t xml:space="preserve"> מה שהרגיז אותם עוד יותר היה </w:t>
      </w:r>
      <w:proofErr w:type="spellStart"/>
      <w:r>
        <w:rPr>
          <w:rtl/>
        </w:rPr>
        <w:t>שהמינסקאי</w:t>
      </w:r>
      <w:proofErr w:type="spellEnd"/>
      <w:r>
        <w:rPr>
          <w:rtl/>
        </w:rPr>
        <w:t xml:space="preserve"> השלישי, שותפם לנסיעה, התקבל בלי היסוס</w:t>
      </w:r>
      <w:bookmarkStart w:id="1899" w:name="_fnr1213"/>
      <w:r>
        <w:rPr>
          <w:rStyle w:val="a5"/>
        </w:rPr>
        <w:footnoteReference w:id="1215" w:customMarkFollows="0"/>
      </w:r>
      <w:bookmarkEnd w:id="1899"/>
      <w:r>
        <w:rPr>
          <w:rtl/>
        </w:rPr>
        <w:t>. כץ, “תנועת המוסר”, כרך ג</w:t>
      </w:r>
      <w:bookmarkStart w:id="1900" w:name="_fnr1214"/>
      <w:r>
        <w:rPr>
          <w:rStyle w:val="a5"/>
        </w:rPr>
        <w:footnoteReference w:id="1216" w:customMarkFollows="0"/>
      </w:r>
      <w:bookmarkEnd w:id="1900"/>
      <w:r>
        <w:rPr>
          <w:rtl/>
        </w:rPr>
        <w:t xml:space="preserve">, מספר שהסבא נהג להעמיד פנים שהוא מהסס לקבל מועמדים חדשים, בטענה שאין מקום: “רק לאחר שהשתכנע שהמועמד מתעקש ללמוד דווקא </w:t>
      </w:r>
      <w:proofErr w:type="spellStart"/>
      <w:r>
        <w:rPr>
          <w:rtl/>
        </w:rPr>
        <w:t>בסלבודקה</w:t>
      </w:r>
      <w:proofErr w:type="spellEnd"/>
      <w:r>
        <w:rPr>
          <w:rtl/>
        </w:rPr>
        <w:t>, או לאחר ששמע נימוקים סבירים נגד דחייתו, היה הסבא משנה לפתע את דעתו ומקבל אותו. לעיתים נמשכה הדחייה ימים רבים, ואף שבועות וחודשים. היו מקרים שהניח לתלמידים לשוב לביתם, ורק אחר כך הודיע להם שיוכלו לחזור.”</w:t>
      </w:r>
    </w:p>
    <w:p w14:paraId="2283C3D1" w14:textId="77777777" w:rsidR="00AB3647" w:rsidRDefault="00000000" w:rsidP="007923E9">
      <w:pPr>
        <w:spacing w:before="120" w:after="100" w:line="276" w:lineRule="auto"/>
        <w:jc w:val="both"/>
      </w:pPr>
      <w:r>
        <w:rPr>
          <w:rtl/>
        </w:rPr>
        <w:t>אין ספק שהסבא העמיד פנים שקשה לזכות בהסכמתו, כדי להמחיש שהלימוד בכנסת ישראל הוא זכות. ראה הפסקה השלישית מסוף פרק 2, המוכיחה שמעולם לא עלה בדעת הסבא לדחות את השניים – לפחות לא את ר׳ אהרן – ומוכרח שהיה לו מניע “פוליטי” כלשהו בהשהיית קבלתם של שני העילויים הצעירים שלנו.</w:t>
      </w:r>
    </w:p>
    <w:p w14:paraId="33FBE5FE" w14:textId="4B20F5C8" w:rsidR="00AB3647" w:rsidRDefault="00000000" w:rsidP="007923E9">
      <w:pPr>
        <w:spacing w:before="120" w:after="100" w:line="276" w:lineRule="auto"/>
        <w:jc w:val="both"/>
      </w:pPr>
      <w:r>
        <w:rPr>
          <w:rtl/>
        </w:rPr>
        <w:t xml:space="preserve">ייתכן שהניח שהשניים מודעים לעליונותם השכלית, וסבר שיראו את לימודיהם </w:t>
      </w:r>
      <w:proofErr w:type="spellStart"/>
      <w:r>
        <w:rPr>
          <w:rtl/>
        </w:rPr>
        <w:t>בסלבודקה</w:t>
      </w:r>
      <w:proofErr w:type="spellEnd"/>
      <w:r>
        <w:rPr>
          <w:rtl/>
        </w:rPr>
        <w:t xml:space="preserve"> כדבר מובן מאליו, ולכן לא יפיקו את מלוא התועלת ממה שהישיבה מציעה. אבל כשהעמידו את תכסיסו במבחן, נסוג הסבא מיד ולא הסתכן באובדן כוחות מבטיחים כאלה</w:t>
      </w:r>
      <w:bookmarkStart w:id="1901" w:name="_fnr1215"/>
      <w:r>
        <w:rPr>
          <w:rStyle w:val="a5"/>
        </w:rPr>
        <w:footnoteReference w:id="1217" w:customMarkFollows="0"/>
      </w:r>
      <w:bookmarkEnd w:id="1901"/>
      <w:r>
        <w:rPr>
          <w:rtl/>
        </w:rPr>
        <w:t xml:space="preserve">. ודאי נדרשו לסבא עצבים חזקים כדי לשחק כך בתלמיד </w:t>
      </w:r>
      <w:proofErr w:type="spellStart"/>
      <w:r>
        <w:rPr>
          <w:rtl/>
        </w:rPr>
        <w:t>ש“שלח</w:t>
      </w:r>
      <w:proofErr w:type="spellEnd"/>
      <w:r>
        <w:rPr>
          <w:rtl/>
        </w:rPr>
        <w:t xml:space="preserve"> שליחים להביאו </w:t>
      </w:r>
      <w:proofErr w:type="spellStart"/>
      <w:r>
        <w:rPr>
          <w:rtl/>
        </w:rPr>
        <w:t>לסלבודקה</w:t>
      </w:r>
      <w:proofErr w:type="spellEnd"/>
      <w:r>
        <w:rPr>
          <w:rtl/>
        </w:rPr>
        <w:t>”</w:t>
      </w:r>
      <w:bookmarkStart w:id="1902" w:name="_fnr1216"/>
      <w:r>
        <w:rPr>
          <w:rStyle w:val="a5"/>
        </w:rPr>
        <w:footnoteReference w:id="1218" w:customMarkFollows="0"/>
      </w:r>
      <w:bookmarkEnd w:id="1902"/>
      <w:r>
        <w:rPr>
          <w:rtl/>
        </w:rPr>
        <w:t xml:space="preserve">! אפשר גם שהסבא חשש שמא הגיע </w:t>
      </w:r>
      <w:proofErr w:type="spellStart"/>
      <w:r>
        <w:rPr>
          <w:rtl/>
        </w:rPr>
        <w:t>לר</w:t>
      </w:r>
      <w:proofErr w:type="spellEnd"/>
      <w:r>
        <w:rPr>
          <w:rtl/>
        </w:rPr>
        <w:t xml:space="preserve">׳ אהרן ולו רמז קל, מפי אותם שליחים, שר׳ </w:t>
      </w:r>
      <w:proofErr w:type="spellStart"/>
      <w:r>
        <w:rPr>
          <w:rtl/>
        </w:rPr>
        <w:t>נתן־צבי</w:t>
      </w:r>
      <w:proofErr w:type="spellEnd"/>
      <w:r>
        <w:rPr>
          <w:rtl/>
        </w:rPr>
        <w:t xml:space="preserve"> שלחם להביאו לישיבתו – אף שבפועל לא גילו לו השליחים דבר. מה עשוי לשכנעו בהפך יותר מהודעת הסבא לו (ולחברו שעמו) שאין כלל ודאות שיתקבל?! השווה גם זיכרונותיו של </w:t>
      </w:r>
      <w:proofErr w:type="spellStart"/>
      <w:r>
        <w:rPr>
          <w:rtl/>
        </w:rPr>
        <w:t>יהושע־לייב</w:t>
      </w:r>
      <w:proofErr w:type="spellEnd"/>
      <w:r>
        <w:rPr>
          <w:rtl/>
        </w:rPr>
        <w:t xml:space="preserve"> </w:t>
      </w:r>
      <w:proofErr w:type="spellStart"/>
      <w:r>
        <w:rPr>
          <w:rtl/>
        </w:rPr>
        <w:t>ראדוס</w:t>
      </w:r>
      <w:bookmarkStart w:id="1903" w:name="_fnr1217"/>
      <w:proofErr w:type="spellEnd"/>
      <w:r>
        <w:rPr>
          <w:rStyle w:val="a5"/>
        </w:rPr>
        <w:footnoteReference w:id="1219" w:customMarkFollows="0"/>
      </w:r>
      <w:bookmarkEnd w:id="1903"/>
      <w:r>
        <w:rPr>
          <w:rtl/>
        </w:rPr>
        <w:t>, המספרים שהסבא נהג באותה דרך – תחילה שלח שליחים להביא תלמיד, ואחר כך שאלו מדוע בא – זמן קצר לאחר שייסד את הישיבה, למעלה מעשרים שנה קודם לכן</w:t>
      </w:r>
      <w:bookmarkStart w:id="1904" w:name="_fnr1218"/>
      <w:r>
        <w:rPr>
          <w:rStyle w:val="a5"/>
        </w:rPr>
        <w:footnoteReference w:id="1220" w:customMarkFollows="0"/>
      </w:r>
      <w:bookmarkEnd w:id="1904"/>
      <w:r>
        <w:rPr>
          <w:rtl/>
        </w:rPr>
        <w:t>. השווה גם שם</w:t>
      </w:r>
      <w:bookmarkStart w:id="1905" w:name="_fnr1219"/>
      <w:r>
        <w:rPr>
          <w:rStyle w:val="a5"/>
        </w:rPr>
        <w:footnoteReference w:id="1221" w:customMarkFollows="0"/>
      </w:r>
      <w:bookmarkEnd w:id="1905"/>
      <w:r>
        <w:rPr>
          <w:rtl/>
        </w:rPr>
        <w:t xml:space="preserve"> כיצד נראו מעשי הסבא בלתי צפויים בעיני אותו מחבר, והשווה פרק 4, סוף הערה </w:t>
      </w:r>
      <w:r>
        <w:rPr>
          <w:rtl/>
        </w:rPr>
        <w:fldChar w:fldCharType="begin" w:dirty="true"/>
      </w:r>
      <w:r>
        <w:rPr>
          <w:rtl/>
        </w:rPr>
        <w:instrText xml:space="preserve"> REF b4_note111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111</w:t>
      </w:r>
      <w:r>
        <w:rPr>
          <w:rtl/>
        </w:rPr>
        <w:fldChar w:fldCharType="end"/>
      </w:r>
      <w:r>
        <w:rPr>
          <w:rtl/>
        </w:rPr>
        <w:t>, כיצד מצא רבנו שאי אפשר לרדת לסוף מחשבתו של הסבא.</w:t>
      </w:r>
    </w:p>
    <w:bookmarkStart w:id="1906" w:name="b3_note81"/>
    <w:p w14:paraId="61B31C89" w14:textId="4A81E481" w:rsidR="00AB3647" w:rsidRDefault="00000000" w:rsidP="007923E9">
      <w:pPr>
        <w:spacing w:before="120" w:after="100" w:line="276" w:lineRule="auto"/>
        <w:jc w:val="both"/>
      </w:pPr>
      <w:r>
        <w:fldChar w:fldCharType="begin" w:dirty="true"/>
      </w:r>
      <w:r>
        <w:instrText>HYPERLINK \l "b3_ref81"</w:instrText>
      </w:r>
      <w:r>
        <w:fldChar w:fldCharType="separate"/>
      </w:r>
      <w:r>
        <w:rPr>
          <w:b/>
          <w:bCs/>
          <w:rtl/>
        </w:rPr>
        <w:t>81</w:t>
      </w:r>
      <w:r>
        <w:rPr>
          <w:b/>
          <w:bCs/>
        </w:rPr>
        <w:fldChar w:fldCharType="end"/>
      </w:r>
      <w:bookmarkEnd w:id="1906"/>
      <w:r>
        <w:rPr>
          <w:rtl/>
        </w:rPr>
        <w:t xml:space="preserve"> ר׳ יצחק </w:t>
      </w:r>
      <w:proofErr w:type="spellStart"/>
      <w:r>
        <w:rPr>
          <w:rtl/>
        </w:rPr>
        <w:t>קרשטיין</w:t>
      </w:r>
      <w:bookmarkStart w:id="1907" w:name="_fnr1220"/>
      <w:proofErr w:type="spellEnd"/>
      <w:r>
        <w:rPr>
          <w:rStyle w:val="a5"/>
        </w:rPr>
        <w:footnoteReference w:id="1222" w:customMarkFollows="0"/>
      </w:r>
      <w:bookmarkEnd w:id="1907"/>
      <w:r>
        <w:rPr>
          <w:rtl/>
        </w:rPr>
        <w:t xml:space="preserve">. ר׳ </w:t>
      </w:r>
      <w:proofErr w:type="spellStart"/>
      <w:r>
        <w:rPr>
          <w:rtl/>
        </w:rPr>
        <w:t>אברהם־אליהו</w:t>
      </w:r>
      <w:proofErr w:type="spellEnd"/>
      <w:r>
        <w:rPr>
          <w:rtl/>
        </w:rPr>
        <w:t xml:space="preserve"> קפלן, מן התלמידים המובהקים של הסבא, למד </w:t>
      </w:r>
      <w:proofErr w:type="spellStart"/>
      <w:r>
        <w:rPr>
          <w:rtl/>
        </w:rPr>
        <w:t>בסלבודקה</w:t>
      </w:r>
      <w:proofErr w:type="spellEnd"/>
      <w:r>
        <w:rPr>
          <w:rtl/>
        </w:rPr>
        <w:t xml:space="preserve"> באותה תקופה שבה למד בה אבי</w:t>
      </w:r>
      <w:bookmarkStart w:id="1908" w:name="_fnr1221"/>
      <w:r>
        <w:rPr>
          <w:rStyle w:val="a5"/>
        </w:rPr>
        <w:footnoteReference w:id="1223" w:customMarkFollows="0"/>
      </w:r>
      <w:bookmarkEnd w:id="1908"/>
      <w:r>
        <w:rPr>
          <w:rtl/>
        </w:rPr>
        <w:t xml:space="preserve">. בין הקטעים מיומנו המובאים </w:t>
      </w:r>
      <w:proofErr w:type="spellStart"/>
      <w:r>
        <w:rPr>
          <w:rtl/>
        </w:rPr>
        <w:t>ב“בעקבות</w:t>
      </w:r>
      <w:proofErr w:type="spellEnd"/>
      <w:r>
        <w:rPr>
          <w:rtl/>
        </w:rPr>
        <w:t xml:space="preserve"> </w:t>
      </w:r>
      <w:r>
        <w:rPr>
          <w:rtl/>
        </w:rPr>
        <w:lastRenderedPageBreak/>
        <w:t>היראה”</w:t>
      </w:r>
      <w:bookmarkStart w:id="1909" w:name="_fnr1222"/>
      <w:r>
        <w:rPr>
          <w:rStyle w:val="a5"/>
        </w:rPr>
        <w:footnoteReference w:id="1224" w:customMarkFollows="0"/>
      </w:r>
      <w:bookmarkEnd w:id="1909"/>
      <w:r>
        <w:rPr>
          <w:rtl/>
        </w:rPr>
        <w:t xml:space="preserve"> יש רשומה מאלול תרע״ג. בה הוא מזכיר את “מערכת הדואר” שהביאה לידיעת הסבא </w:t>
      </w:r>
      <w:proofErr w:type="spellStart"/>
      <w:r>
        <w:rPr>
          <w:rtl/>
        </w:rPr>
        <w:t>מסלבודקה</w:t>
      </w:r>
      <w:proofErr w:type="spellEnd"/>
      <w:r>
        <w:rPr>
          <w:rtl/>
        </w:rPr>
        <w:t xml:space="preserve"> את שיחתו עם ר׳ אברהם </w:t>
      </w:r>
      <w:proofErr w:type="spellStart"/>
      <w:r>
        <w:rPr>
          <w:rtl/>
        </w:rPr>
        <w:t>גרודזינסקי</w:t>
      </w:r>
      <w:proofErr w:type="spellEnd"/>
      <w:r>
        <w:rPr>
          <w:rtl/>
        </w:rPr>
        <w:t xml:space="preserve">, שהיה אז תלמיד מבוגר ונשוי, ואת תשובתו הישירה של הלה </w:t>
      </w:r>
      <w:proofErr w:type="spellStart"/>
      <w:r>
        <w:rPr>
          <w:rtl/>
        </w:rPr>
        <w:t>לר</w:t>
      </w:r>
      <w:proofErr w:type="spellEnd"/>
      <w:r>
        <w:rPr>
          <w:rtl/>
        </w:rPr>
        <w:t xml:space="preserve">׳ </w:t>
      </w:r>
      <w:proofErr w:type="spellStart"/>
      <w:r>
        <w:rPr>
          <w:rtl/>
        </w:rPr>
        <w:t>אברהם־אליהו</w:t>
      </w:r>
      <w:proofErr w:type="spellEnd"/>
      <w:r>
        <w:rPr>
          <w:rtl/>
        </w:rPr>
        <w:t xml:space="preserve">. השווה גם תחילת הערה </w:t>
      </w:r>
      <w:r>
        <w:rPr>
          <w:rtl/>
        </w:rPr>
        <w:fldChar w:fldCharType="begin" w:dirty="true"/>
      </w:r>
      <w:r>
        <w:rPr>
          <w:rtl/>
        </w:rPr>
        <w:instrText xml:space="preserve"> REF b3_note69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69</w:t>
      </w:r>
      <w:r>
        <w:rPr>
          <w:rtl/>
        </w:rPr>
        <w:fldChar w:fldCharType="end"/>
      </w:r>
      <w:r>
        <w:rPr>
          <w:rtl/>
        </w:rPr>
        <w:t xml:space="preserve"> לעיל.</w:t>
      </w:r>
    </w:p>
    <w:p w14:paraId="2F5A96C0" w14:textId="77777777" w:rsidR="00AB3647" w:rsidRDefault="00000000" w:rsidP="007923E9">
      <w:pPr>
        <w:spacing w:after="100" w:line="276" w:lineRule="auto"/>
        <w:ind w:firstLine="340"/>
        <w:jc w:val="both"/>
      </w:pPr>
      <w:r>
        <w:rPr>
          <w:rtl/>
        </w:rPr>
        <w:t>ר׳ יונתן רוטשילד סיפר</w:t>
      </w:r>
      <w:bookmarkStart w:id="1910" w:name="_fnr1223"/>
      <w:r>
        <w:rPr>
          <w:rStyle w:val="a5"/>
        </w:rPr>
        <w:footnoteReference w:id="1225" w:customMarkFollows="0"/>
      </w:r>
      <w:bookmarkEnd w:id="1910"/>
      <w:r>
        <w:rPr>
          <w:rtl/>
        </w:rPr>
        <w:t xml:space="preserve"> ששמע שהסבא קרא לשני המועמדים ואמר להם שאם ילכו לישיבה האחרת, לא יגדלו להיות בני תורה. קשה להניח שדברים אלה מדויקים. תלמידים ותיקים כגון אשר </w:t>
      </w:r>
      <w:proofErr w:type="spellStart"/>
      <w:r>
        <w:rPr>
          <w:rtl/>
        </w:rPr>
        <w:t>קרשטיין</w:t>
      </w:r>
      <w:proofErr w:type="spellEnd"/>
      <w:r>
        <w:rPr>
          <w:rtl/>
        </w:rPr>
        <w:t xml:space="preserve"> אולי אמרו להם כך, ייתכן שבהוראת הסבא, אבל לא מסתבר שהסבא </w:t>
      </w:r>
      <w:proofErr w:type="spellStart"/>
      <w:r>
        <w:rPr>
          <w:rtl/>
        </w:rPr>
        <w:t>מסלבודקה</w:t>
      </w:r>
      <w:proofErr w:type="spellEnd"/>
      <w:r>
        <w:rPr>
          <w:rtl/>
        </w:rPr>
        <w:t xml:space="preserve"> היה מגנה את הישיבה האחרת </w:t>
      </w:r>
      <w:proofErr w:type="spellStart"/>
      <w:r>
        <w:rPr>
          <w:rtl/>
        </w:rPr>
        <w:t>בסלבודקה</w:t>
      </w:r>
      <w:proofErr w:type="spellEnd"/>
      <w:r>
        <w:rPr>
          <w:rtl/>
        </w:rPr>
        <w:t xml:space="preserve"> בעיני הצעירים המתחילים. גם לא מסתבר ששני הנערים הצעירים, שאחד מהם טרם התוודע לישיבה, ידעו מה פירוש להיות “בן תורה”. ואם המונח שבו השתמשו היה “דתי”, הרי שהגנאי שהטיח הסבא, כביכול, בישיבה המתחרה מזעזע עוד יותר, וסבירותו נמוכה עוד יותר.</w:t>
      </w:r>
    </w:p>
    <w:p w14:paraId="41561B91" w14:textId="77777777" w:rsidR="00AB3647" w:rsidRDefault="00000000" w:rsidP="007923E9">
      <w:pPr>
        <w:spacing w:after="100" w:line="276" w:lineRule="auto"/>
        <w:ind w:firstLine="340"/>
        <w:jc w:val="both"/>
      </w:pPr>
      <w:r>
        <w:rPr>
          <w:rtl/>
        </w:rPr>
        <w:t xml:space="preserve">רבנו סיים את סיפור הדחייה הראשונה, ואת הקבלה שבאה בעקבותיה הודות להערתו של חברו </w:t>
      </w:r>
      <w:proofErr w:type="spellStart"/>
      <w:r>
        <w:rPr>
          <w:rtl/>
        </w:rPr>
        <w:t>הסיסלוביצ׳ר</w:t>
      </w:r>
      <w:proofErr w:type="spellEnd"/>
      <w:r>
        <w:rPr>
          <w:rtl/>
        </w:rPr>
        <w:t xml:space="preserve"> </w:t>
      </w:r>
      <w:proofErr w:type="spellStart"/>
      <w:r>
        <w:rPr>
          <w:rtl/>
        </w:rPr>
        <w:t>ש“נשמעה</w:t>
      </w:r>
      <w:proofErr w:type="spellEnd"/>
      <w:r>
        <w:rPr>
          <w:rtl/>
        </w:rPr>
        <w:t xml:space="preserve"> באקראי”, באמירה רצינית למחצה: “ר׳ אהרן כבר אז היה פוליטיקאי טוב ממני.” לפי ר׳ ישראל </w:t>
      </w:r>
      <w:proofErr w:type="spellStart"/>
      <w:r>
        <w:rPr>
          <w:rtl/>
        </w:rPr>
        <w:t>שורין</w:t>
      </w:r>
      <w:bookmarkStart w:id="1911" w:name="_fnr1224"/>
      <w:proofErr w:type="spellEnd"/>
      <w:r>
        <w:rPr>
          <w:rStyle w:val="a5"/>
        </w:rPr>
        <w:footnoteReference w:id="1226" w:customMarkFollows="0"/>
      </w:r>
      <w:bookmarkEnd w:id="1911"/>
      <w:r>
        <w:rPr>
          <w:rtl/>
        </w:rPr>
        <w:t>, סיפר אבי שבהודעת הקבלה אמר להם הסבא: “באמת חשבתם שלא אקבל אתכם?” – ומכאן שידע בדיוק איזה משחק פוליטי משחקים הצעירים.</w:t>
      </w:r>
    </w:p>
    <w:bookmarkStart w:id="1912" w:name="b3_note82"/>
    <w:p w14:paraId="1F6C5F05" w14:textId="74280373" w:rsidR="00AB3647" w:rsidRDefault="00000000" w:rsidP="007923E9">
      <w:pPr>
        <w:spacing w:before="120" w:after="100" w:line="276" w:lineRule="auto"/>
        <w:jc w:val="both"/>
      </w:pPr>
      <w:r>
        <w:fldChar w:fldCharType="begin" w:dirty="true"/>
      </w:r>
      <w:r>
        <w:instrText>HYPERLINK \l "b3_ref82"</w:instrText>
      </w:r>
      <w:r>
        <w:fldChar w:fldCharType="separate"/>
      </w:r>
      <w:r>
        <w:rPr>
          <w:b/>
          <w:bCs/>
          <w:rtl/>
        </w:rPr>
        <w:t xml:space="preserve">82 </w:t>
      </w:r>
      <w:r>
        <w:rPr>
          <w:b/>
          <w:bCs/>
        </w:rPr>
        <w:fldChar w:fldCharType="end"/>
      </w:r>
      <w:bookmarkEnd w:id="1912"/>
      <w:r>
        <w:rPr>
          <w:rtl/>
        </w:rPr>
        <w:t xml:space="preserve">השווה (עמ׳ </w:t>
      </w:r>
      <w:r>
        <w:rPr>
          <w:rtl/>
        </w:rPr>
        <w:fldChar w:fldCharType="begin" w:dirty="true"/>
      </w:r>
      <w:r>
        <w:rPr>
          <w:rtl/>
        </w:rPr>
        <w:instrText xml:space="preserve"> PAGEREF pr_f_899 \h </w:instrText>
      </w:r>
      <w:r>
        <w:rPr>
          <w:rtl/>
        </w:rPr>
      </w:r>
      <w:r>
        <w:rPr>
          <w:rtl/>
        </w:rPr>
        <w:fldChar w:fldCharType="separate"/>
      </w:r>
      <w:r w:rsidR="007923E9">
        <w:rPr>
          <w:noProof/>
          <w:rtl/>
        </w:rPr>
        <w:t>1</w:t>
      </w:r>
      <w:r>
        <w:rPr>
          <w:rtl/>
        </w:rPr>
        <w:fldChar w:fldCharType="end"/>
      </w:r>
      <w:r>
        <w:rPr>
          <w:rtl/>
        </w:rPr>
        <w:t xml:space="preserve">, הערת שוליים </w:t>
      </w:r>
      <w:r>
        <w:rPr>
          <w:rtl/>
        </w:rPr>
        <w:fldChar w:fldCharType="begin" w:dirty="true"/>
      </w:r>
      <w:r>
        <w:rPr>
          <w:rtl/>
        </w:rPr>
        <w:instrText xml:space="preserve"> NOTEREF pr_f_899 \h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Pr>
          <w:rtl/>
        </w:rPr>
        <w:t>530</w:t>
      </w:r>
      <w:r>
        <w:rPr>
          <w:rtl/>
        </w:rPr>
        <w:fldChar w:fldCharType="end"/>
      </w:r>
      <w:hyperlink w:anchor="b3_ref82" w:history="1">
        <w:r w:rsidR="007923E9" w:rsidRPr="007923E9">
          <w:rPr>
            <w:rStyle w:val="Hyperlink"/>
          </w:rPr>
          <w:t xml:space="preserve"/>
        </w:r>
      </w:hyperlink>
      <w:r>
        <w:rPr>
          <w:rtl/>
        </w:rPr>
        <w:t>), על המקום שבו פגש אבי ידיד מסור זה למעלה מחצי מאה אחר כך.</w:t>
      </w:r>
    </w:p>
    <w:p w14:paraId="1B861863" w14:textId="56AAB36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proofErr w:type="spellStart"/>
      <w:r>
        <w:rPr>
          <w:rtl/>
        </w:rPr>
        <w:t>הדולהינובר</w:t>
      </w:r>
      <w:proofErr w:type="spellEnd"/>
      <w:r>
        <w:rPr>
          <w:rtl/>
        </w:rPr>
        <w:t xml:space="preserve"> הצעיר שובץ לאכסניה</w:t>
      </w:r>
      <w:bookmarkStart w:id="1913" w:name="b3_ref83"/>
      <w:bookmarkEnd w:id="1913"/>
      <w:r>
        <w:rPr>
          <w:vertAlign w:val="superscript"/>
          <w:rtl/>
        </w:rPr>
        <w:fldChar w:fldCharType="begin" w:dirty="true"/>
      </w:r>
      <w:r>
        <w:rPr>
          <w:vertAlign w:val="superscript"/>
          <w:rtl/>
        </w:rPr>
        <w:instrText xml:space="preserve"> REF b3_note83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83</w:t>
      </w:r>
      <w:r>
        <w:rPr>
          <w:vertAlign w:val="superscript"/>
          <w:rtl/>
        </w:rPr>
        <w:fldChar w:fldCharType="end"/>
      </w:r>
      <w:r>
        <w:rPr>
          <w:rtl/>
        </w:rPr>
        <w:t xml:space="preserve"> עם </w:t>
      </w:r>
      <w:proofErr w:type="spellStart"/>
      <w:r>
        <w:rPr>
          <w:rtl/>
        </w:rPr>
        <w:t>לייבל</w:t>
      </w:r>
      <w:proofErr w:type="spellEnd"/>
      <w:r>
        <w:rPr>
          <w:rtl/>
        </w:rPr>
        <w:t xml:space="preserve"> </w:t>
      </w:r>
      <w:proofErr w:type="spellStart"/>
      <w:r>
        <w:rPr>
          <w:rtl/>
        </w:rPr>
        <w:t>יאנובר</w:t>
      </w:r>
      <w:proofErr w:type="spellEnd"/>
      <w:r>
        <w:rPr>
          <w:rtl/>
        </w:rPr>
        <w:t xml:space="preserve"> (</w:t>
      </w:r>
      <w:proofErr w:type="spellStart"/>
      <w:r>
        <w:rPr>
          <w:rtl/>
        </w:rPr>
        <w:t>קגן</w:t>
      </w:r>
      <w:proofErr w:type="spellEnd"/>
      <w:r>
        <w:rPr>
          <w:rtl/>
        </w:rPr>
        <w:t>), בן עשרים ואחת</w:t>
      </w:r>
      <w:bookmarkStart w:id="1914" w:name="b3_ref84"/>
      <w:bookmarkEnd w:id="1914"/>
      <w:r>
        <w:rPr>
          <w:vertAlign w:val="superscript"/>
          <w:rtl/>
        </w:rPr>
        <w:fldChar w:fldCharType="begin" w:dirty="true"/>
      </w:r>
      <w:r>
        <w:rPr>
          <w:vertAlign w:val="superscript"/>
          <w:rtl/>
        </w:rPr>
        <w:instrText xml:space="preserve"> REF b3_note84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84</w:t>
      </w:r>
      <w:r>
        <w:rPr>
          <w:vertAlign w:val="superscript"/>
          <w:rtl/>
        </w:rPr>
        <w:fldChar w:fldCharType="end"/>
      </w:r>
      <w:r>
        <w:rPr>
          <w:rtl/>
        </w:rPr>
        <w:t xml:space="preserve">, ועם שני בני </w:t>
      </w:r>
      <w:proofErr w:type="spellStart"/>
      <w:r>
        <w:rPr>
          <w:rtl/>
        </w:rPr>
        <w:t>שמונה־עשרה</w:t>
      </w:r>
      <w:proofErr w:type="spellEnd"/>
      <w:r>
        <w:rPr>
          <w:rtl/>
        </w:rPr>
        <w:t xml:space="preserve">, אלתר </w:t>
      </w:r>
      <w:proofErr w:type="spellStart"/>
      <w:r>
        <w:rPr>
          <w:rtl/>
        </w:rPr>
        <w:t>אולקניקר</w:t>
      </w:r>
      <w:proofErr w:type="spellEnd"/>
      <w:r>
        <w:rPr>
          <w:rtl/>
        </w:rPr>
        <w:t xml:space="preserve"> (</w:t>
      </w:r>
      <w:proofErr w:type="spellStart"/>
      <w:r>
        <w:rPr>
          <w:rtl/>
        </w:rPr>
        <w:t>פופלק</w:t>
      </w:r>
      <w:proofErr w:type="spellEnd"/>
      <w:r>
        <w:rPr>
          <w:rtl/>
        </w:rPr>
        <w:t>)</w:t>
      </w:r>
      <w:bookmarkStart w:id="1915" w:name="b3_ref85"/>
      <w:bookmarkEnd w:id="1915"/>
      <w:r>
        <w:rPr>
          <w:vertAlign w:val="superscript"/>
          <w:rtl/>
        </w:rPr>
        <w:fldChar w:fldCharType="begin" w:dirty="true"/>
      </w:r>
      <w:r>
        <w:rPr>
          <w:vertAlign w:val="superscript"/>
          <w:rtl/>
        </w:rPr>
        <w:instrText xml:space="preserve"> REF b3_note85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85</w:t>
      </w:r>
      <w:r>
        <w:rPr>
          <w:vertAlign w:val="superscript"/>
          <w:rtl/>
        </w:rPr>
        <w:fldChar w:fldCharType="end"/>
      </w:r>
      <w:r>
        <w:rPr>
          <w:rtl/>
        </w:rPr>
        <w:t xml:space="preserve"> </w:t>
      </w:r>
      <w:proofErr w:type="spellStart"/>
      <w:r>
        <w:rPr>
          <w:rtl/>
        </w:rPr>
        <w:t>ויעקב־משה</w:t>
      </w:r>
      <w:proofErr w:type="spellEnd"/>
      <w:r>
        <w:rPr>
          <w:rtl/>
        </w:rPr>
        <w:t xml:space="preserve"> קאפוליער</w:t>
      </w:r>
      <w:bookmarkStart w:id="1916" w:name="b3_ref86"/>
      <w:bookmarkEnd w:id="1916"/>
      <w:r>
        <w:rPr>
          <w:vertAlign w:val="superscript"/>
          <w:rtl/>
        </w:rPr>
        <w:fldChar w:fldCharType="begin" w:dirty="true"/>
      </w:r>
      <w:r>
        <w:rPr>
          <w:vertAlign w:val="superscript"/>
          <w:rtl/>
        </w:rPr>
        <w:instrText xml:space="preserve"> REF b3_note86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86</w:t>
      </w:r>
      <w:r>
        <w:rPr>
          <w:vertAlign w:val="superscript"/>
          <w:rtl/>
        </w:rPr>
        <w:fldChar w:fldCharType="end"/>
      </w:r>
      <w:r>
        <w:rPr>
          <w:rtl/>
        </w:rPr>
        <w:t>. האחרון, שהיה מבין מקבלי פניו, עזר לו גם למצוא חברותות</w:t>
      </w:r>
      <w:bookmarkStart w:id="1917" w:name="b3_ref87"/>
      <w:bookmarkEnd w:id="1917"/>
      <w:r>
        <w:rPr>
          <w:vertAlign w:val="superscript"/>
          <w:rtl/>
        </w:rPr>
        <w:fldChar w:fldCharType="begin" w:dirty="true"/>
      </w:r>
      <w:r>
        <w:rPr>
          <w:vertAlign w:val="superscript"/>
          <w:rtl/>
        </w:rPr>
        <w:instrText xml:space="preserve"> REF b3_note87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87</w:t>
      </w:r>
      <w:r>
        <w:rPr>
          <w:vertAlign w:val="superscript"/>
          <w:rtl/>
        </w:rPr>
        <w:fldChar w:fldCharType="end"/>
      </w:r>
      <w:r>
        <w:rPr>
          <w:rtl/>
        </w:rPr>
        <w:t xml:space="preserve"> למסכת קידושין, שנלמדה בזמן הקיץ</w:t>
      </w:r>
      <w:bookmarkStart w:id="1918" w:name="b3_ref88"/>
      <w:bookmarkEnd w:id="1918"/>
      <w:r>
        <w:rPr>
          <w:vertAlign w:val="superscript"/>
          <w:rtl/>
        </w:rPr>
        <w:fldChar w:fldCharType="begin" w:dirty="true"/>
      </w:r>
      <w:r>
        <w:rPr>
          <w:vertAlign w:val="superscript"/>
          <w:rtl/>
        </w:rPr>
        <w:instrText xml:space="preserve"> REF b3_note88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88</w:t>
      </w:r>
      <w:r>
        <w:rPr>
          <w:vertAlign w:val="superscript"/>
          <w:rtl/>
        </w:rPr>
        <w:fldChar w:fldCharType="end"/>
      </w:r>
      <w:r>
        <w:rPr>
          <w:rtl/>
        </w:rPr>
        <w:t>. רבנו שקע מיד בלימודיו</w:t>
      </w:r>
      <w:bookmarkStart w:id="1919" w:name="b3_ref89"/>
      <w:bookmarkEnd w:id="1919"/>
      <w:r>
        <w:rPr>
          <w:vertAlign w:val="superscript"/>
          <w:rtl/>
        </w:rPr>
        <w:fldChar w:fldCharType="begin" w:dirty="true"/>
      </w:r>
      <w:r>
        <w:rPr>
          <w:vertAlign w:val="superscript"/>
          <w:rtl/>
        </w:rPr>
        <w:instrText xml:space="preserve"> REF b3_note89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89</w:t>
      </w:r>
      <w:r>
        <w:rPr>
          <w:vertAlign w:val="superscript"/>
          <w:rtl/>
        </w:rPr>
        <w:fldChar w:fldCharType="end"/>
      </w:r>
      <w:r>
        <w:rPr>
          <w:rtl/>
        </w:rPr>
        <w:t>.</w:t>
      </w:r>
    </w:p>
    <w:bookmarkStart w:id="1920" w:name="b3_note83"/>
    <w:p w14:paraId="02625214" w14:textId="6DB1519A" w:rsidR="00AB3647" w:rsidRDefault="00000000" w:rsidP="007923E9">
      <w:pPr>
        <w:spacing w:before="120" w:after="100" w:line="276" w:lineRule="auto"/>
        <w:jc w:val="both"/>
      </w:pPr>
      <w:r>
        <w:fldChar w:fldCharType="begin" w:dirty="true"/>
      </w:r>
      <w:r>
        <w:instrText>HYPERLINK \l "b3_ref83"</w:instrText>
      </w:r>
      <w:r>
        <w:fldChar w:fldCharType="separate"/>
      </w:r>
      <w:r>
        <w:rPr>
          <w:b/>
          <w:bCs/>
          <w:rtl/>
        </w:rPr>
        <w:t>83</w:t>
      </w:r>
      <w:r>
        <w:rPr>
          <w:b/>
          <w:bCs/>
        </w:rPr>
        <w:fldChar w:fldCharType="end"/>
      </w:r>
      <w:bookmarkEnd w:id="1920"/>
      <w:r>
        <w:rPr>
          <w:rtl/>
        </w:rPr>
        <w:t xml:space="preserve"> השווה הערה </w:t>
      </w:r>
      <w:r>
        <w:rPr>
          <w:rtl/>
        </w:rPr>
        <w:fldChar w:fldCharType="begin" w:dirty="true"/>
      </w:r>
      <w:r>
        <w:rPr>
          <w:rtl/>
        </w:rPr>
        <w:instrText xml:space="preserve"> REF b3_note69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69</w:t>
      </w:r>
      <w:r>
        <w:rPr>
          <w:rtl/>
        </w:rPr>
        <w:fldChar w:fldCharType="end"/>
      </w:r>
      <w:r>
        <w:rPr>
          <w:rtl/>
        </w:rPr>
        <w:t xml:space="preserve"> לעיל על אופן תשלום שכר הדירה. בחור צעיר בא ללמוד בדרך כלל בלי סכום מספיק משלו. אם ההנהלה לא ראתה אותו ראוי לקצבה חודשית, “חלוקה”, היה יכול למצוא לעצמו מקום לינה זול בחנות או בבית מלאכה, שנוכחותו בהם בלילה תרתיע גנבים.</w:t>
      </w:r>
    </w:p>
    <w:p w14:paraId="10F38104" w14:textId="77777777" w:rsidR="00AB3647" w:rsidRDefault="00000000" w:rsidP="007923E9">
      <w:pPr>
        <w:spacing w:before="120" w:after="100" w:line="276" w:lineRule="auto"/>
        <w:jc w:val="both"/>
      </w:pPr>
      <w:r>
        <w:rPr>
          <w:rtl/>
        </w:rPr>
        <w:t>ר׳ מאיר חדש</w:t>
      </w:r>
      <w:bookmarkStart w:id="1921" w:name="_fnr1225"/>
      <w:r>
        <w:rPr>
          <w:rStyle w:val="a5"/>
        </w:rPr>
        <w:footnoteReference w:id="1227" w:customMarkFollows="0"/>
      </w:r>
      <w:bookmarkEnd w:id="1921"/>
      <w:r>
        <w:rPr>
          <w:rtl/>
        </w:rPr>
        <w:t xml:space="preserve"> סיפר שכשהגיע </w:t>
      </w:r>
      <w:proofErr w:type="spellStart"/>
      <w:r>
        <w:rPr>
          <w:rtl/>
        </w:rPr>
        <w:t>לסלבודקה</w:t>
      </w:r>
      <w:proofErr w:type="spellEnd"/>
      <w:r>
        <w:rPr>
          <w:rtl/>
        </w:rPr>
        <w:t xml:space="preserve"> לפני בר המצווה, לא ניסה אפילו לבקש להתקבל ולקבל את הקצבה הנלווית. הוא ישן בבית מלאכה של סנדלר ושילם 80 </w:t>
      </w:r>
      <w:proofErr w:type="spellStart"/>
      <w:r>
        <w:rPr>
          <w:rtl/>
        </w:rPr>
        <w:t>קופיקות</w:t>
      </w:r>
      <w:proofErr w:type="spellEnd"/>
      <w:r>
        <w:rPr>
          <w:rtl/>
        </w:rPr>
        <w:t xml:space="preserve"> לחודש, במקום שניים עד שניים וחצי רובל שעלה חדר רגיל.</w:t>
      </w:r>
    </w:p>
    <w:p w14:paraId="68A92F53" w14:textId="77777777" w:rsidR="00AB3647" w:rsidRDefault="00000000" w:rsidP="007923E9">
      <w:pPr>
        <w:spacing w:before="120" w:after="100" w:line="276" w:lineRule="auto"/>
        <w:jc w:val="both"/>
      </w:pPr>
      <w:r>
        <w:rPr>
          <w:rtl/>
        </w:rPr>
        <w:t xml:space="preserve">ר׳ מאיר הוסיף: “שמונים </w:t>
      </w:r>
      <w:proofErr w:type="spellStart"/>
      <w:r>
        <w:rPr>
          <w:rtl/>
        </w:rPr>
        <w:t>קופיקות</w:t>
      </w:r>
      <w:proofErr w:type="spellEnd"/>
      <w:r>
        <w:rPr>
          <w:rtl/>
        </w:rPr>
        <w:t xml:space="preserve"> היו כמעט יותר ממה שיכולתי להרשות לעצמי. לפני שעזבתי את ביתי </w:t>
      </w:r>
      <w:proofErr w:type="spellStart"/>
      <w:r>
        <w:rPr>
          <w:rtl/>
        </w:rPr>
        <w:t>בפאריטש</w:t>
      </w:r>
      <w:proofErr w:type="spellEnd"/>
      <w:r>
        <w:rPr>
          <w:rtl/>
        </w:rPr>
        <w:t xml:space="preserve"> לנסיעה של עשרים וארבע שעות ברכבת לקובנה, נתנו לי הוריי </w:t>
      </w:r>
      <w:r>
        <w:rPr>
          <w:rtl/>
        </w:rPr>
        <w:lastRenderedPageBreak/>
        <w:t xml:space="preserve">שני רובל לכל החורף. קניתי כיכר לחם ושמינית ליטרה חמאה, והיה לי די אוכל לשבוע שלם. כעבור חודשים אחדים ראה ר׳ </w:t>
      </w:r>
      <w:proofErr w:type="spellStart"/>
      <w:r>
        <w:rPr>
          <w:rtl/>
        </w:rPr>
        <w:t xml:space="preserve">בער־הירש</w:t>
      </w:r>
      <w:bookmarkStart w:id="1922" w:name="_fnr1226"/>
      <w:proofErr w:type="spellEnd"/>
      <w:r>
        <w:rPr>
          <w:rStyle w:val="a5"/>
        </w:rPr>
        <w:footnoteReference w:id="1228" w:customMarkFollows="0"/>
      </w:r>
      <w:bookmarkEnd w:id="1922"/>
      <w:r>
        <w:rPr>
          <w:rtl/>
        </w:rPr>
        <w:t xml:space="preserve"> ילד קטן ובודד המסתובב בבית המדרש, ובחן אותי על שלושים או ארבעים דף במסכת שנלמדה בישיבה באותו זמן – כנראה בבא </w:t>
      </w:r>
      <w:proofErr w:type="spellStart"/>
      <w:r>
        <w:rPr>
          <w:rtl/>
        </w:rPr>
        <w:t>בתרא</w:t>
      </w:r>
      <w:proofErr w:type="spellEnd"/>
      <w:r>
        <w:rPr>
          <w:rtl/>
        </w:rPr>
        <w:t>, ואולי קידושין – ועמדתי במבחן בהצלחה יתרה. כששאל לגילי וגילה שרק זה עתה הייתה לי בר מצווה בחודש</w:t>
      </w:r>
      <w:r>
        <w:t xml:space="preserve"> </w:t>
      </w:r>
      <w:r>
        <w:rPr>
          <w:rtl/>
        </w:rPr>
        <w:t xml:space="preserve">שבט, הרגיש ר׳ </w:t>
      </w:r>
      <w:proofErr w:type="spellStart"/>
      <w:r>
        <w:rPr>
          <w:rtl/>
        </w:rPr>
        <w:t xml:space="preserve">בער־הירש</w:t>
      </w:r>
      <w:proofErr w:type="spellEnd"/>
      <w:r>
        <w:rPr>
          <w:rtl/>
        </w:rPr>
        <w:t xml:space="preserve"> אשם ואמר: ‘למה לא אמרת לנו?!’</w:t>
      </w:r>
      <w:bookmarkStart w:id="1923" w:name="_fnr1227"/>
      <w:bookmarkStart w:id="1924" w:name="pr_f_1145"/>
      <w:r>
        <w:rPr>
          <w:rStyle w:val="a5"/>
        </w:rPr>
        <w:footnoteReference w:id="1229" w:customMarkFollows="0"/>
      </w:r>
      <w:bookmarkEnd w:id="1923"/>
      <w:bookmarkEnd w:id="1924"/>
      <w:r>
        <w:rPr>
          <w:rtl/>
        </w:rPr>
        <w:t xml:space="preserve"> וסידר שאקרא לתורה בישיבה. אחר כך קצב לי רובל לחודש.”</w:t>
      </w:r>
    </w:p>
    <w:p w14:paraId="3D896ED3" w14:textId="77777777" w:rsidR="00AB3647" w:rsidRDefault="00000000" w:rsidP="007923E9">
      <w:pPr>
        <w:spacing w:before="120" w:after="100" w:line="276" w:lineRule="auto"/>
        <w:jc w:val="both"/>
      </w:pPr>
      <w:r>
        <w:rPr>
          <w:rtl/>
        </w:rPr>
        <w:t>“</w:t>
      </w:r>
      <w:proofErr w:type="spellStart"/>
      <w:r>
        <w:rPr>
          <w:rtl/>
        </w:rPr>
        <w:t>ארחות</w:t>
      </w:r>
      <w:proofErr w:type="spellEnd"/>
      <w:r>
        <w:rPr>
          <w:rtl/>
        </w:rPr>
        <w:t xml:space="preserve"> חסידיך”</w:t>
      </w:r>
      <w:bookmarkStart w:id="1925" w:name="_fnr1228"/>
      <w:r>
        <w:rPr>
          <w:rStyle w:val="a5"/>
        </w:rPr>
        <w:footnoteReference w:id="1230" w:customMarkFollows="0"/>
      </w:r>
      <w:bookmarkEnd w:id="1925"/>
      <w:r>
        <w:rPr>
          <w:rtl/>
        </w:rPr>
        <w:t xml:space="preserve"> מספר שר׳ מאיר אמר לתלמיד שמכיוון שנאלץ להירדם לקול עבודתו של הסנדלר עד שעה מאוחרת, אימן את עצמו שלא להיות מושפע מכל רעש סביבו, ולכן “לא הפריע לו רעשם של האנשים המסתובבים סביב [ביתו]”. ר׳ מאיר התגורר בשכונת גאולה בירושלים, בתוך בניין ישיבת חברון.</w:t>
      </w:r>
    </w:p>
    <w:bookmarkStart w:id="1926" w:name="b3_note84"/>
    <w:p w14:paraId="5C6D6F2A" w14:textId="77777777" w:rsidR="00AB3647" w:rsidRDefault="00000000" w:rsidP="007923E9">
      <w:pPr>
        <w:spacing w:before="120" w:after="100" w:line="276" w:lineRule="auto"/>
        <w:jc w:val="both"/>
      </w:pPr>
      <w:r>
        <w:fldChar w:fldCharType="begin" w:dirty="true"/>
      </w:r>
      <w:r>
        <w:instrText>HYPERLINK \l "b3_ref84"</w:instrText>
      </w:r>
      <w:r>
        <w:fldChar w:fldCharType="separate"/>
      </w:r>
      <w:r>
        <w:rPr>
          <w:b/>
          <w:bCs/>
          <w:rtl/>
        </w:rPr>
        <w:t>84</w:t>
      </w:r>
      <w:r>
        <w:rPr>
          <w:b/>
          <w:bCs/>
        </w:rPr>
        <w:fldChar w:fldCharType="end"/>
      </w:r>
      <w:bookmarkEnd w:id="1926"/>
      <w:r>
        <w:rPr>
          <w:rtl/>
        </w:rPr>
        <w:t xml:space="preserve"> הוא היה אחיו הגדול של ר׳ יהודה </w:t>
      </w:r>
      <w:proofErr w:type="spellStart"/>
      <w:r>
        <w:rPr>
          <w:rtl/>
        </w:rPr>
        <w:t>קגן</w:t>
      </w:r>
      <w:proofErr w:type="spellEnd"/>
      <w:r>
        <w:rPr>
          <w:rtl/>
        </w:rPr>
        <w:t xml:space="preserve">, ראש ישיבת רבי יעקב יוסף בלואר </w:t>
      </w:r>
      <w:proofErr w:type="spellStart"/>
      <w:r>
        <w:rPr>
          <w:rtl/>
        </w:rPr>
        <w:t>איסט</w:t>
      </w:r>
      <w:proofErr w:type="spellEnd"/>
      <w:r>
        <w:rPr>
          <w:rtl/>
        </w:rPr>
        <w:t xml:space="preserve"> סייד בניו יורק, ושמו המלא היה ר׳ </w:t>
      </w:r>
      <w:proofErr w:type="spellStart"/>
      <w:r>
        <w:rPr>
          <w:rtl/>
        </w:rPr>
        <w:t>יעקב־אריה</w:t>
      </w:r>
      <w:proofErr w:type="spellEnd"/>
      <w:r>
        <w:rPr>
          <w:rtl/>
        </w:rPr>
        <w:t xml:space="preserve"> </w:t>
      </w:r>
      <w:proofErr w:type="spellStart"/>
      <w:r>
        <w:rPr>
          <w:rtl/>
        </w:rPr>
        <w:t>גרשטיין</w:t>
      </w:r>
      <w:proofErr w:type="spellEnd"/>
      <w:r>
        <w:rPr>
          <w:rtl/>
        </w:rPr>
        <w:t xml:space="preserve">, לימים רב </w:t>
      </w:r>
      <w:proofErr w:type="spellStart"/>
      <w:r>
        <w:rPr>
          <w:rtl/>
        </w:rPr>
        <w:t>בלזדיי</w:t>
      </w:r>
      <w:proofErr w:type="spellEnd"/>
      <w:r>
        <w:rPr>
          <w:rtl/>
        </w:rPr>
        <w:t xml:space="preserve">. אבי הופתע כשהראו לו ספר שחיבר ר׳ יהודה </w:t>
      </w:r>
      <w:proofErr w:type="spellStart"/>
      <w:r>
        <w:rPr>
          <w:rtl/>
        </w:rPr>
        <w:t>קגן</w:t>
      </w:r>
      <w:proofErr w:type="spellEnd"/>
      <w:r>
        <w:rPr>
          <w:rtl/>
        </w:rPr>
        <w:t xml:space="preserve"> ובו נכתב שמו </w:t>
      </w:r>
      <w:proofErr w:type="spellStart"/>
      <w:r>
        <w:rPr>
          <w:rtl/>
        </w:rPr>
        <w:t>יהודה־לייב</w:t>
      </w:r>
      <w:proofErr w:type="spellEnd"/>
      <w:r>
        <w:rPr>
          <w:rtl/>
        </w:rPr>
        <w:t xml:space="preserve">, שהרי גם אחיו, שותפו לחדר, נקרא </w:t>
      </w:r>
      <w:proofErr w:type="spellStart"/>
      <w:r>
        <w:rPr>
          <w:rtl/>
        </w:rPr>
        <w:t>לייבל</w:t>
      </w:r>
      <w:proofErr w:type="spellEnd"/>
      <w:r>
        <w:rPr>
          <w:rtl/>
        </w:rPr>
        <w:t>.</w:t>
      </w:r>
    </w:p>
    <w:p w14:paraId="6D4E8847" w14:textId="77777777" w:rsidR="00AB3647" w:rsidRDefault="00000000" w:rsidP="007923E9">
      <w:pPr>
        <w:spacing w:before="120" w:after="100" w:line="276" w:lineRule="auto"/>
        <w:jc w:val="both"/>
      </w:pPr>
      <w:r>
        <w:rPr>
          <w:rtl/>
        </w:rPr>
        <w:t xml:space="preserve">אבל ר׳ שלום </w:t>
      </w:r>
      <w:proofErr w:type="spellStart"/>
      <w:r>
        <w:rPr>
          <w:rtl/>
        </w:rPr>
        <w:t>קמינצקי</w:t>
      </w:r>
      <w:proofErr w:type="spellEnd"/>
      <w:r>
        <w:rPr>
          <w:rtl/>
        </w:rPr>
        <w:t xml:space="preserve">, חתן נכדתו של הרב </w:t>
      </w:r>
      <w:proofErr w:type="spellStart"/>
      <w:r>
        <w:rPr>
          <w:rtl/>
        </w:rPr>
        <w:t>קגן</w:t>
      </w:r>
      <w:proofErr w:type="spellEnd"/>
      <w:r>
        <w:rPr>
          <w:rtl/>
        </w:rPr>
        <w:t>, אמר לי</w:t>
      </w:r>
      <w:bookmarkStart w:id="1927" w:name="_fnr1229"/>
      <w:r>
        <w:rPr>
          <w:rStyle w:val="a5"/>
        </w:rPr>
        <w:footnoteReference w:id="1231" w:customMarkFollows="0"/>
      </w:r>
      <w:bookmarkEnd w:id="1927"/>
      <w:r>
        <w:rPr>
          <w:rtl/>
        </w:rPr>
        <w:t xml:space="preserve"> ששמע בשם ר׳ יצחק־זאב </w:t>
      </w:r>
      <w:proofErr w:type="spellStart"/>
      <w:r>
        <w:rPr>
          <w:rtl/>
        </w:rPr>
        <w:t>סולובייצ׳יק</w:t>
      </w:r>
      <w:proofErr w:type="spellEnd"/>
      <w:r>
        <w:rPr>
          <w:rtl/>
        </w:rPr>
        <w:t xml:space="preserve"> שהשם הנלווה לאריה הוא לייב [אריה ביידיש], והשם הנלווה ליהודה הוא </w:t>
      </w:r>
      <w:proofErr w:type="spellStart"/>
      <w:r>
        <w:rPr>
          <w:rtl/>
        </w:rPr>
        <w:t>לויב</w:t>
      </w:r>
      <w:proofErr w:type="spellEnd"/>
      <w:r>
        <w:rPr>
          <w:rtl/>
        </w:rPr>
        <w:t xml:space="preserve"> [שבח ביידיש, על יסוד הפסוק “יהודה אתה </w:t>
      </w:r>
      <w:proofErr w:type="spellStart"/>
      <w:r>
        <w:rPr>
          <w:rtl/>
        </w:rPr>
        <w:t>יודוך</w:t>
      </w:r>
      <w:proofErr w:type="spellEnd"/>
      <w:r>
        <w:rPr>
          <w:rtl/>
        </w:rPr>
        <w:t xml:space="preserve"> אחיך”</w:t>
      </w:r>
      <w:bookmarkStart w:id="1928" w:name="_fnr1230"/>
      <w:r>
        <w:rPr>
          <w:rStyle w:val="a5"/>
        </w:rPr>
        <w:footnoteReference w:id="1232" w:customMarkFollows="0"/>
      </w:r>
      <w:bookmarkEnd w:id="1928"/>
      <w:r>
        <w:rPr>
          <w:rtl/>
        </w:rPr>
        <w:t xml:space="preserve">]. ההגייה </w:t>
      </w:r>
      <w:proofErr w:type="spellStart"/>
      <w:r>
        <w:rPr>
          <w:rtl/>
        </w:rPr>
        <w:t>הליטאית־היהודית</w:t>
      </w:r>
      <w:proofErr w:type="spellEnd"/>
      <w:r>
        <w:rPr>
          <w:rtl/>
        </w:rPr>
        <w:t xml:space="preserve"> (המשובשת) של הצליל החולם הופכת את שני השמות </w:t>
      </w:r>
      <w:proofErr w:type="spellStart"/>
      <w:r>
        <w:rPr>
          <w:rtl/>
        </w:rPr>
        <w:t>היידיים</w:t>
      </w:r>
      <w:proofErr w:type="spellEnd"/>
      <w:r>
        <w:rPr>
          <w:rtl/>
        </w:rPr>
        <w:t xml:space="preserve"> השונים זה מזה לשם אחד, “לייב”.</w:t>
      </w:r>
    </w:p>
    <w:p w14:paraId="78CF0CD1" w14:textId="77777777" w:rsidR="00AB3647" w:rsidRDefault="00000000" w:rsidP="007923E9">
      <w:pPr>
        <w:spacing w:before="120" w:after="100" w:line="276" w:lineRule="auto"/>
        <w:jc w:val="both"/>
      </w:pPr>
      <w:r>
        <w:rPr>
          <w:rtl/>
        </w:rPr>
        <w:t xml:space="preserve">נתקלתי בחידוש הזה בשם סבו מצד </w:t>
      </w:r>
      <w:proofErr w:type="spellStart"/>
      <w:r>
        <w:rPr>
          <w:rtl/>
        </w:rPr>
        <w:t>אמו</w:t>
      </w:r>
      <w:proofErr w:type="spellEnd"/>
      <w:r>
        <w:rPr>
          <w:rtl/>
        </w:rPr>
        <w:t xml:space="preserve"> של ר׳ יצחק־זאב, ר׳ רפאל שפירא. לפי “</w:t>
      </w:r>
      <w:proofErr w:type="spellStart"/>
      <w:r>
        <w:rPr>
          <w:rtl/>
        </w:rPr>
        <w:t>גליון</w:t>
      </w:r>
      <w:proofErr w:type="spellEnd"/>
      <w:r>
        <w:rPr>
          <w:rtl/>
        </w:rPr>
        <w:t xml:space="preserve"> מיוחד” של “מוסף ערב שבת” ביתד נאמן, שיצא במלאות מאה שנה לפטירת </w:t>
      </w:r>
      <w:proofErr w:type="spellStart"/>
      <w:r>
        <w:rPr>
          <w:rtl/>
        </w:rPr>
        <w:t>הנצי״ב</w:t>
      </w:r>
      <w:proofErr w:type="spellEnd"/>
      <w:r>
        <w:rPr>
          <w:rtl/>
        </w:rPr>
        <w:t xml:space="preserve"> (ר׳ </w:t>
      </w:r>
      <w:proofErr w:type="spellStart"/>
      <w:r>
        <w:rPr>
          <w:rtl/>
        </w:rPr>
        <w:t>נפתלי־צבי־הירש־יהודה־לייב</w:t>
      </w:r>
      <w:proofErr w:type="spellEnd"/>
      <w:r>
        <w:rPr>
          <w:rtl/>
        </w:rPr>
        <w:t xml:space="preserve">, שנפטר בכ״ט באב תרנ״ג) </w:t>
      </w:r>
      <w:bookmarkStart w:id="7060" w:name="_TranslatorNote_5407"/>
      <w:r>
        <w:rPr>
          <w:rStyle w:val="a5"/>
          <w:vertAlign w:val="superscript"/>
          <w:rtl/>
        </w:rPr>
        <w:footnoteReference w:id="1233" w:customMarkFollows="1"/>
        <w:t>*</w:t>
      </w:r>
      <w:bookmarkEnd w:id="7060"/>
      <w:r>
        <w:rPr>
          <w:rtl/>
        </w:rPr>
        <w:t>, נדהם </w:t>
      </w:r>
      <w:proofErr w:type="spellStart"/>
      <w:r>
        <w:rPr>
          <w:rtl/>
        </w:rPr>
        <w:t>הנצי״ב</w:t>
      </w:r>
      <w:proofErr w:type="spellEnd"/>
      <w:r>
        <w:rPr>
          <w:rtl/>
        </w:rPr>
        <w:t xml:space="preserve"> כשחתנו קרא לבנו </w:t>
      </w:r>
      <w:proofErr w:type="spellStart"/>
      <w:r>
        <w:rPr>
          <w:rtl/>
        </w:rPr>
        <w:t>אריה־לייב</w:t>
      </w:r>
      <w:proofErr w:type="spellEnd"/>
      <w:r>
        <w:rPr>
          <w:rtl/>
        </w:rPr>
        <w:t xml:space="preserve"> בעוד חותנו בחיים – והמנהג האשכנזי הוא שאין קוראים לילד כשמו של אחד מאבותיו שעודנו בחיים. אז הסביר ר׳ רפאל ששם חותנו הוא למעשה </w:t>
      </w:r>
      <w:proofErr w:type="spellStart"/>
      <w:r>
        <w:rPr>
          <w:rtl/>
        </w:rPr>
        <w:t>לויב</w:t>
      </w:r>
      <w:proofErr w:type="spellEnd"/>
      <w:r>
        <w:rPr>
          <w:rtl/>
        </w:rPr>
        <w:t>, ואילו השם שנתן לבנו היה לייב.</w:t>
      </w:r>
    </w:p>
    <w:bookmarkStart w:id="1929" w:name="b3_note85"/>
    <w:p w14:paraId="3A2BA609" w14:textId="77777777" w:rsidR="00AB3647" w:rsidRDefault="00000000" w:rsidP="007923E9">
      <w:pPr>
        <w:spacing w:before="120" w:after="100" w:line="276" w:lineRule="auto"/>
        <w:jc w:val="both"/>
      </w:pPr>
      <w:r>
        <w:lastRenderedPageBreak/>
        <w:fldChar w:fldCharType="begin" w:dirty="true"/>
      </w:r>
      <w:r>
        <w:instrText>HYPERLINK \l "b3_ref85"</w:instrText>
      </w:r>
      <w:r>
        <w:fldChar w:fldCharType="separate"/>
      </w:r>
      <w:r>
        <w:rPr>
          <w:b/>
          <w:bCs/>
          <w:rtl/>
        </w:rPr>
        <w:t>85</w:t>
      </w:r>
      <w:r>
        <w:rPr>
          <w:b/>
          <w:bCs/>
        </w:rPr>
        <w:fldChar w:fldCharType="end"/>
      </w:r>
      <w:bookmarkEnd w:id="1929"/>
      <w:r>
        <w:rPr>
          <w:rtl/>
        </w:rPr>
        <w:t xml:space="preserve"> בנו של השוחט המקומי. נולד </w:t>
      </w:r>
      <w:proofErr w:type="spellStart"/>
      <w:r>
        <w:rPr>
          <w:rtl/>
        </w:rPr>
        <w:t>בתרמ״ח</w:t>
      </w:r>
      <w:proofErr w:type="spellEnd"/>
      <w:r>
        <w:rPr>
          <w:rtl/>
        </w:rPr>
        <w:t xml:space="preserve"> ונפטר </w:t>
      </w:r>
      <w:proofErr w:type="spellStart"/>
      <w:r>
        <w:rPr>
          <w:rtl/>
        </w:rPr>
        <w:t>בתש״ל</w:t>
      </w:r>
      <w:proofErr w:type="spellEnd"/>
      <w:r>
        <w:rPr>
          <w:rtl/>
        </w:rPr>
        <w:t xml:space="preserve"> בבני ברק, שבה התגורר לאחר שפרש</w:t>
      </w:r>
      <w:bookmarkStart w:id="1930" w:name="_fnr1231"/>
      <w:r>
        <w:rPr>
          <w:rStyle w:val="a5"/>
        </w:rPr>
        <w:footnoteReference w:id="1234" w:customMarkFollows="0"/>
      </w:r>
      <w:bookmarkEnd w:id="1930"/>
      <w:r>
        <w:rPr>
          <w:rtl/>
        </w:rPr>
        <w:t>.</w:t>
      </w:r>
    </w:p>
    <w:bookmarkStart w:id="1931" w:name="b3_note86"/>
    <w:p w14:paraId="378D87B4" w14:textId="46948352" w:rsidR="00AB3647" w:rsidRDefault="00000000" w:rsidP="007923E9">
      <w:pPr>
        <w:spacing w:before="120" w:after="100" w:line="276" w:lineRule="auto"/>
        <w:jc w:val="both"/>
      </w:pPr>
      <w:r>
        <w:fldChar w:fldCharType="begin" w:dirty="true"/>
      </w:r>
      <w:r>
        <w:instrText>HYPERLINK \l "b3_ref86"</w:instrText>
      </w:r>
      <w:r>
        <w:fldChar w:fldCharType="separate"/>
      </w:r>
      <w:r>
        <w:rPr>
          <w:b/>
          <w:bCs/>
          <w:rtl/>
        </w:rPr>
        <w:t>86</w:t>
      </w:r>
      <w:r>
        <w:rPr>
          <w:b/>
          <w:bCs/>
        </w:rPr>
        <w:fldChar w:fldCharType="end"/>
      </w:r>
      <w:bookmarkEnd w:id="1931"/>
      <w:r>
        <w:rPr>
          <w:rtl/>
        </w:rPr>
        <w:t xml:space="preserve"> לפי נכדו</w:t>
      </w:r>
      <w:bookmarkStart w:id="1932" w:name="_fnr1232"/>
      <w:r>
        <w:rPr>
          <w:rStyle w:val="a5"/>
        </w:rPr>
        <w:footnoteReference w:id="1235" w:customMarkFollows="0"/>
      </w:r>
      <w:bookmarkEnd w:id="1932"/>
      <w:r>
        <w:rPr>
          <w:rtl/>
        </w:rPr>
        <w:t xml:space="preserve">, סיפר רבנו בהספד השלושים על ידיד ותיק זה שהם גרו יחד שלוש שנים. מאחר שחלק מן הזמן הזה היה אבי </w:t>
      </w:r>
      <w:proofErr w:type="spellStart"/>
      <w:r>
        <w:rPr>
          <w:rtl/>
        </w:rPr>
        <w:t>במאלטש</w:t>
      </w:r>
      <w:bookmarkStart w:id="1933" w:name="_fnr1233"/>
      <w:proofErr w:type="spellEnd"/>
      <w:r>
        <w:rPr>
          <w:rStyle w:val="a5"/>
        </w:rPr>
        <w:footnoteReference w:id="1236" w:customMarkFollows="0"/>
      </w:r>
      <w:bookmarkEnd w:id="1933"/>
      <w:r>
        <w:rPr>
          <w:rtl/>
        </w:rPr>
        <w:t xml:space="preserve">, ודאי החזירו הסבא </w:t>
      </w:r>
      <w:proofErr w:type="spellStart"/>
      <w:r>
        <w:rPr>
          <w:rtl/>
        </w:rPr>
        <w:t>לאכסניה</w:t>
      </w:r>
      <w:proofErr w:type="spellEnd"/>
      <w:r>
        <w:rPr>
          <w:rtl/>
        </w:rPr>
        <w:t xml:space="preserve"> הקודמת כששב. השווה גם פרק 5, תחילת </w:t>
      </w:r>
      <w:r>
        <w:rPr>
          <w:rtl/>
        </w:rPr>
        <w:fldChar w:fldCharType="begin" w:dirty="true"/>
      </w:r>
      <w:r>
        <w:rPr>
          <w:rtl/>
        </w:rPr>
        <w:instrText xml:space="preserve"> REF b5_excD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ד</w:t>
      </w:r>
      <w:r>
        <w:rPr>
          <w:rtl/>
        </w:rPr>
        <w:fldChar w:fldCharType="end"/>
      </w:r>
      <w:r>
        <w:rPr>
          <w:rtl/>
        </w:rPr>
        <w:t>.</w:t>
      </w:r>
    </w:p>
    <w:bookmarkStart w:id="1934" w:name="b3_note87"/>
    <w:p w14:paraId="4B9BD576" w14:textId="77777777" w:rsidR="00AB3647" w:rsidRDefault="00000000" w:rsidP="007923E9">
      <w:pPr>
        <w:spacing w:before="120" w:after="100" w:line="276" w:lineRule="auto"/>
        <w:jc w:val="both"/>
      </w:pPr>
      <w:r>
        <w:fldChar w:fldCharType="begin" w:dirty="true"/>
      </w:r>
      <w:r>
        <w:instrText>HYPERLINK \l "b3_ref87"</w:instrText>
      </w:r>
      <w:r>
        <w:fldChar w:fldCharType="separate"/>
      </w:r>
      <w:r>
        <w:rPr>
          <w:b/>
          <w:bCs/>
          <w:rtl/>
        </w:rPr>
        <w:t>87</w:t>
      </w:r>
      <w:r>
        <w:rPr>
          <w:b/>
          <w:bCs/>
        </w:rPr>
        <w:fldChar w:fldCharType="end"/>
      </w:r>
      <w:bookmarkEnd w:id="1934"/>
      <w:r>
        <w:rPr>
          <w:rtl/>
        </w:rPr>
        <w:t xml:space="preserve"> ר׳ מאיר לסין, בנו של ר׳ </w:t>
      </w:r>
      <w:proofErr w:type="spellStart"/>
      <w:r>
        <w:rPr>
          <w:rtl/>
        </w:rPr>
        <w:t>יעקב־משה</w:t>
      </w:r>
      <w:bookmarkStart w:id="1935" w:name="_fnr1234"/>
      <w:proofErr w:type="spellEnd"/>
      <w:r>
        <w:rPr>
          <w:rStyle w:val="a5"/>
        </w:rPr>
        <w:footnoteReference w:id="1237" w:customMarkFollows="0"/>
      </w:r>
      <w:bookmarkEnd w:id="1935"/>
      <w:r>
        <w:rPr>
          <w:rtl/>
        </w:rPr>
        <w:t>.</w:t>
      </w:r>
    </w:p>
    <w:bookmarkStart w:id="1936" w:name="b3_note88"/>
    <w:p w14:paraId="3458FE3D" w14:textId="77777777" w:rsidR="00AB3647" w:rsidRDefault="00000000" w:rsidP="007923E9">
      <w:pPr>
        <w:spacing w:before="120" w:after="100" w:line="276" w:lineRule="auto"/>
        <w:jc w:val="both"/>
      </w:pPr>
      <w:r>
        <w:fldChar w:fldCharType="begin" w:dirty="true"/>
      </w:r>
      <w:r>
        <w:instrText>HYPERLINK \l "b3_ref88"</w:instrText>
      </w:r>
      <w:r>
        <w:fldChar w:fldCharType="separate"/>
      </w:r>
      <w:r>
        <w:rPr>
          <w:b/>
          <w:bCs/>
          <w:rtl/>
        </w:rPr>
        <w:t>88</w:t>
      </w:r>
      <w:r>
        <w:rPr>
          <w:b/>
          <w:bCs/>
        </w:rPr>
        <w:fldChar w:fldCharType="end"/>
      </w:r>
      <w:bookmarkEnd w:id="1936"/>
      <w:r>
        <w:rPr>
          <w:rtl/>
        </w:rPr>
        <w:t xml:space="preserve"> רשימות ביוגרפיות</w:t>
      </w:r>
      <w:bookmarkStart w:id="1937" w:name="_fnr1235"/>
      <w:r>
        <w:rPr>
          <w:rStyle w:val="a5"/>
        </w:rPr>
        <w:footnoteReference w:id="1238" w:customMarkFollows="0"/>
      </w:r>
      <w:bookmarkEnd w:id="1937"/>
      <w:r>
        <w:rPr>
          <w:rtl/>
        </w:rPr>
        <w:t>.</w:t>
      </w:r>
    </w:p>
    <w:bookmarkStart w:id="1938" w:name="b3_note89"/>
    <w:p w14:paraId="551E32FD" w14:textId="77777777" w:rsidR="00AB3647" w:rsidRDefault="00000000" w:rsidP="007923E9">
      <w:pPr>
        <w:spacing w:before="120" w:after="100" w:line="276" w:lineRule="auto"/>
        <w:jc w:val="both"/>
      </w:pPr>
      <w:r>
        <w:fldChar w:fldCharType="begin" w:dirty="true"/>
      </w:r>
      <w:r>
        <w:instrText>HYPERLINK \l "b3_ref89"</w:instrText>
      </w:r>
      <w:r>
        <w:fldChar w:fldCharType="separate"/>
      </w:r>
      <w:r>
        <w:rPr>
          <w:b/>
          <w:bCs/>
          <w:rtl/>
        </w:rPr>
        <w:t>89</w:t>
      </w:r>
      <w:r>
        <w:rPr>
          <w:b/>
          <w:bCs/>
        </w:rPr>
        <w:fldChar w:fldCharType="end"/>
      </w:r>
      <w:bookmarkEnd w:id="1938"/>
      <w:r>
        <w:rPr>
          <w:rtl/>
        </w:rPr>
        <w:t xml:space="preserve"> ר׳ זאב לב</w:t>
      </w:r>
      <w:bookmarkStart w:id="1939" w:name="_fnr1236"/>
      <w:r>
        <w:rPr>
          <w:rStyle w:val="a5"/>
        </w:rPr>
        <w:footnoteReference w:id="1239" w:customMarkFollows="0"/>
      </w:r>
      <w:bookmarkEnd w:id="1939"/>
      <w:r>
        <w:rPr>
          <w:rtl/>
        </w:rPr>
        <w:t xml:space="preserve"> ביקש את תגובת רבנו לדברים שאמר לו ר׳ </w:t>
      </w:r>
      <w:proofErr w:type="spellStart"/>
      <w:r>
        <w:rPr>
          <w:rtl/>
        </w:rPr>
        <w:t>חצקל</w:t>
      </w:r>
      <w:proofErr w:type="spellEnd"/>
      <w:r>
        <w:rPr>
          <w:rtl/>
        </w:rPr>
        <w:t xml:space="preserve"> </w:t>
      </w:r>
      <w:proofErr w:type="spellStart"/>
      <w:r>
        <w:rPr>
          <w:rtl/>
        </w:rPr>
        <w:t>סרנא</w:t>
      </w:r>
      <w:proofErr w:type="spellEnd"/>
      <w:r>
        <w:rPr>
          <w:rtl/>
        </w:rPr>
        <w:t xml:space="preserve">: הסיבה שבימינו גדלים פחות גדולי תורה </w:t>
      </w:r>
      <w:proofErr w:type="spellStart"/>
      <w:r>
        <w:rPr>
          <w:rtl/>
        </w:rPr>
        <w:t>מבעבר</w:t>
      </w:r>
      <w:proofErr w:type="spellEnd"/>
      <w:r>
        <w:rPr>
          <w:rtl/>
        </w:rPr>
        <w:t xml:space="preserve"> היא שכיום התלמידים רק </w:t>
      </w:r>
      <w:r>
        <w:rPr>
          <w:b/>
          <w:bCs/>
          <w:rtl/>
        </w:rPr>
        <w:t>לומדים</w:t>
      </w:r>
      <w:r>
        <w:rPr>
          <w:rtl/>
        </w:rPr>
        <w:t xml:space="preserve">, ואילו בימים ההם הם </w:t>
      </w:r>
      <w:r>
        <w:rPr>
          <w:b/>
          <w:bCs/>
          <w:rtl/>
        </w:rPr>
        <w:t>שאפו להיות אנשים גדולים</w:t>
      </w:r>
      <w:r>
        <w:rPr>
          <w:rtl/>
        </w:rPr>
        <w:t>. אבי השיב לו: “זו רק מקצת התשובה. בזמננו, בימים ההם, לא היו הסחות דעת – לא עיתונים ולא מכשירי רדיו. כך היינו שקועים לגמרי בלימוד – הדרך היחידה להיעשות תלמיד חכם גדול.”</w:t>
      </w:r>
      <w:bookmarkStart w:id="1940" w:name="_fnr1237"/>
      <w:r>
        <w:rPr>
          <w:rStyle w:val="a5"/>
        </w:rPr>
        <w:footnoteReference w:id="1240" w:customMarkFollows="0"/>
      </w:r>
      <w:bookmarkEnd w:id="1940"/>
    </w:p>
    <w:p w14:paraId="02970308" w14:textId="55F08739"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סדר היום התחיל בשבע בבוקר בתפילה, ובה השתתפו הסבא, לעיתים קרובות גם ר׳ משה־מרדכי</w:t>
      </w:r>
      <w:bookmarkStart w:id="1941" w:name="b3_ref90"/>
      <w:bookmarkEnd w:id="1941"/>
      <w:r>
        <w:rPr>
          <w:vertAlign w:val="superscript"/>
          <w:rtl/>
        </w:rPr>
        <w:fldChar w:fldCharType="begin" w:dirty="true"/>
      </w:r>
      <w:r>
        <w:rPr>
          <w:vertAlign w:val="superscript"/>
          <w:rtl/>
        </w:rPr>
        <w:instrText xml:space="preserve"> REF b3_note90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90</w:t>
      </w:r>
      <w:r>
        <w:rPr>
          <w:vertAlign w:val="superscript"/>
          <w:rtl/>
        </w:rPr>
        <w:fldChar w:fldCharType="end"/>
      </w:r>
      <w:r>
        <w:rPr>
          <w:rtl/>
        </w:rPr>
        <w:t xml:space="preserve">, ובעלי התפקידים הזוטרים יותר. אחרי ארוחת הבוקר </w:t>
      </w:r>
      <w:proofErr w:type="spellStart"/>
      <w:r>
        <w:rPr>
          <w:rtl/>
        </w:rPr>
        <w:t>באכסניה</w:t>
      </w:r>
      <w:proofErr w:type="spellEnd"/>
      <w:r>
        <w:rPr>
          <w:rtl/>
        </w:rPr>
        <w:t xml:space="preserve"> התחיל בתשע סדר לימוד בן ארבע שעות, שהסתיים במנחה</w:t>
      </w:r>
      <w:bookmarkStart w:id="1942" w:name="b3_ref91"/>
      <w:bookmarkEnd w:id="1942"/>
      <w:r>
        <w:rPr>
          <w:vertAlign w:val="superscript"/>
          <w:rtl/>
        </w:rPr>
        <w:fldChar w:fldCharType="begin" w:dirty="true"/>
      </w:r>
      <w:r>
        <w:rPr>
          <w:vertAlign w:val="superscript"/>
          <w:rtl/>
        </w:rPr>
        <w:instrText xml:space="preserve"> REF b3_note91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91</w:t>
      </w:r>
      <w:r>
        <w:rPr>
          <w:vertAlign w:val="superscript"/>
          <w:rtl/>
        </w:rPr>
        <w:fldChar w:fldCharType="end"/>
      </w:r>
      <w:r>
        <w:rPr>
          <w:rtl/>
        </w:rPr>
        <w:t>. פעמיים בשבוע נחתם סדר הבוקר בשיעור של כחצי שעה מפי ראש הישיבה. סדר אחר הצהריים התחיל בשלוש</w:t>
      </w:r>
      <w:bookmarkStart w:id="1943" w:name="b3_ref92"/>
      <w:bookmarkEnd w:id="1943"/>
      <w:r>
        <w:rPr>
          <w:vertAlign w:val="superscript"/>
          <w:rtl/>
        </w:rPr>
        <w:fldChar w:fldCharType="begin" w:dirty="true"/>
      </w:r>
      <w:r>
        <w:rPr>
          <w:vertAlign w:val="superscript"/>
          <w:rtl/>
        </w:rPr>
        <w:instrText xml:space="preserve"> REF b3_note92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92</w:t>
      </w:r>
      <w:r>
        <w:rPr>
          <w:vertAlign w:val="superscript"/>
          <w:rtl/>
        </w:rPr>
        <w:fldChar w:fldCharType="end"/>
      </w:r>
      <w:r>
        <w:rPr>
          <w:rtl/>
        </w:rPr>
        <w:t>, כשחזרו התלמידים לישיבה מן הארוחה העיקרית של היום באכסניותיהם, והסתיים בתשע וחצי.</w:t>
      </w:r>
    </w:p>
    <w:bookmarkStart w:id="1944" w:name="b3_note90"/>
    <w:p w14:paraId="765C0BB1" w14:textId="07806E80" w:rsidR="00AB3647" w:rsidRDefault="00000000" w:rsidP="007923E9">
      <w:pPr>
        <w:spacing w:before="120" w:after="100" w:line="276" w:lineRule="auto"/>
        <w:jc w:val="both"/>
      </w:pPr>
      <w:r>
        <w:fldChar w:fldCharType="begin" w:dirty="true"/>
      </w:r>
      <w:r>
        <w:instrText>HYPERLINK \l "b3_ref90"</w:instrText>
      </w:r>
      <w:r>
        <w:fldChar w:fldCharType="separate"/>
      </w:r>
      <w:r>
        <w:rPr>
          <w:b/>
          <w:bCs/>
          <w:rtl/>
        </w:rPr>
        <w:t>90</w:t>
      </w:r>
      <w:r>
        <w:rPr>
          <w:b/>
          <w:bCs/>
        </w:rPr>
        <w:fldChar w:fldCharType="end"/>
      </w:r>
      <w:bookmarkEnd w:id="1944"/>
      <w:r>
        <w:rPr>
          <w:rtl/>
        </w:rPr>
        <w:t xml:space="preserve"> ראה </w:t>
      </w:r>
      <w:r>
        <w:rPr>
          <w:rtl/>
        </w:rPr>
        <w:fldChar w:fldCharType="begin" w:dirty="true"/>
      </w:r>
      <w:r>
        <w:rPr>
          <w:rtl/>
        </w:rPr>
        <w:instrText xml:space="preserve"> REF b3_excX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כד</w:t>
      </w:r>
      <w:r>
        <w:rPr>
          <w:rtl/>
        </w:rPr>
        <w:fldChar w:fldCharType="end"/>
      </w:r>
      <w:r>
        <w:rPr>
          <w:rtl/>
        </w:rPr>
        <w:t>.</w:t>
      </w:r>
    </w:p>
    <w:bookmarkStart w:id="1945" w:name="b3_note91"/>
    <w:p w14:paraId="44397193" w14:textId="77777777" w:rsidR="00AB3647" w:rsidRDefault="00000000" w:rsidP="007923E9">
      <w:pPr>
        <w:spacing w:before="120" w:after="100" w:line="276" w:lineRule="auto"/>
        <w:jc w:val="both"/>
      </w:pPr>
      <w:r>
        <w:fldChar w:fldCharType="begin" w:dirty="true"/>
      </w:r>
      <w:r>
        <w:instrText>HYPERLINK \l "b3_ref91"</w:instrText>
      </w:r>
      <w:r>
        <w:fldChar w:fldCharType="separate"/>
      </w:r>
      <w:r>
        <w:rPr>
          <w:b/>
          <w:bCs/>
          <w:rtl/>
        </w:rPr>
        <w:t>91</w:t>
      </w:r>
      <w:r>
        <w:rPr>
          <w:b/>
          <w:bCs/>
        </w:rPr>
        <w:fldChar w:fldCharType="end"/>
      </w:r>
      <w:bookmarkEnd w:id="1945"/>
      <w:r>
        <w:rPr>
          <w:rtl/>
        </w:rPr>
        <w:t xml:space="preserve"> את פרטי סדר היום מסר לי ר׳ מאיר חדש</w:t>
      </w:r>
      <w:bookmarkStart w:id="1946" w:name="_fnr1238"/>
      <w:r>
        <w:rPr>
          <w:rStyle w:val="a5"/>
        </w:rPr>
        <w:footnoteReference w:id="1241" w:customMarkFollows="0"/>
      </w:r>
      <w:bookmarkEnd w:id="1946"/>
      <w:r>
        <w:rPr>
          <w:rtl/>
        </w:rPr>
        <w:t xml:space="preserve">, מלבד השעה שבה הסתיים סדר אחר הצהריים והתחיל זמן המוסר. את השעה הזאת רשמתי לפי דברי רבנו בשיחה המוקלטת בבית הכנסת “בית ישראל” במיאמי </w:t>
      </w:r>
      <w:proofErr w:type="spellStart"/>
      <w:r>
        <w:rPr>
          <w:rtl/>
        </w:rPr>
        <w:t>ביץ</w:t>
      </w:r>
      <w:proofErr w:type="spellEnd"/>
      <w:r>
        <w:rPr>
          <w:rtl/>
        </w:rPr>
        <w:t>׳</w:t>
      </w:r>
      <w:bookmarkStart w:id="1947" w:name="_fnr1239"/>
      <w:r>
        <w:rPr>
          <w:rStyle w:val="a5"/>
        </w:rPr>
        <w:footnoteReference w:id="1242" w:customMarkFollows="0"/>
      </w:r>
      <w:bookmarkEnd w:id="1947"/>
      <w:r>
        <w:rPr>
          <w:rtl/>
        </w:rPr>
        <w:t xml:space="preserve">, ואילו ר׳ מאיר הקדים אותה בחצי שעה, לתשע בערב. ר׳ מאיר הגיע </w:t>
      </w:r>
      <w:proofErr w:type="spellStart"/>
      <w:r>
        <w:rPr>
          <w:rtl/>
        </w:rPr>
        <w:t>לסלבודקה</w:t>
      </w:r>
      <w:proofErr w:type="spellEnd"/>
      <w:r>
        <w:rPr>
          <w:rtl/>
        </w:rPr>
        <w:t xml:space="preserve"> חמש שנים אחרי אבי, וייתכן שזה מקור ההבדל. אפשר גם שסיומו של הסדר השני בתשע וחצי, שציין אבי, נהג רק בקיץ – הזמן הראשון שעשה </w:t>
      </w:r>
      <w:proofErr w:type="spellStart"/>
      <w:r>
        <w:rPr>
          <w:rtl/>
        </w:rPr>
        <w:t>בסלבודקה</w:t>
      </w:r>
      <w:proofErr w:type="spellEnd"/>
      <w:r>
        <w:rPr>
          <w:rtl/>
        </w:rPr>
        <w:t xml:space="preserve"> – כשהיום הליטאי הארוך דחה את ערבית לעשר בלילה.</w:t>
      </w:r>
    </w:p>
    <w:p w14:paraId="6AC6F0F0" w14:textId="77777777" w:rsidR="00AB3647" w:rsidRDefault="00000000" w:rsidP="007923E9">
      <w:pPr>
        <w:spacing w:before="120" w:after="100" w:line="276" w:lineRule="auto"/>
        <w:jc w:val="both"/>
      </w:pPr>
      <w:r>
        <w:rPr>
          <w:rtl/>
        </w:rPr>
        <w:lastRenderedPageBreak/>
        <w:t xml:space="preserve">מעניין שבמאמר “ישיבת כנסת ישראל </w:t>
      </w:r>
      <w:proofErr w:type="spellStart"/>
      <w:r>
        <w:rPr>
          <w:rtl/>
        </w:rPr>
        <w:t>בסלובודקה</w:t>
      </w:r>
      <w:proofErr w:type="spellEnd"/>
      <w:r>
        <w:rPr>
          <w:rtl/>
        </w:rPr>
        <w:t xml:space="preserve">” מאת א׳ אשרי, </w:t>
      </w:r>
      <w:proofErr w:type="spellStart"/>
      <w:r>
        <w:rPr>
          <w:rtl/>
        </w:rPr>
        <w:t>ב“מוסדות</w:t>
      </w:r>
      <w:proofErr w:type="spellEnd"/>
      <w:r>
        <w:rPr>
          <w:rtl/>
        </w:rPr>
        <w:t xml:space="preserve"> התורה באירופה בבניינם ובחורבנם”</w:t>
      </w:r>
      <w:bookmarkStart w:id="1948" w:name="_fnr1240"/>
      <w:r>
        <w:rPr>
          <w:rStyle w:val="a5"/>
        </w:rPr>
        <w:footnoteReference w:id="1243" w:customMarkFollows="0"/>
      </w:r>
      <w:bookmarkEnd w:id="1948"/>
      <w:r>
        <w:rPr>
          <w:rtl/>
        </w:rPr>
        <w:t>, מובא סדר יום אחר: סדר הבוקר מסתיים בשתיים אחר הצהריים, וסדר אחר הצהריים מתחיל בארבע. בחורף השתנה הסדר: שחרית בשמונה בבוקר, הסדר הראשון מתשע וחצי עד שתיים וחצי, והסדר השני מתחיל בארבע ורבע. שם נזכר גם סדר לילה חובה, “</w:t>
      </w:r>
      <w:proofErr w:type="spellStart"/>
      <w:r>
        <w:rPr>
          <w:rtl/>
        </w:rPr>
        <w:t>מחמישה־עשר</w:t>
      </w:r>
      <w:proofErr w:type="spellEnd"/>
      <w:r>
        <w:rPr>
          <w:rtl/>
        </w:rPr>
        <w:t xml:space="preserve"> באב ואילך, לאחר ערבית עד </w:t>
      </w:r>
      <w:proofErr w:type="spellStart"/>
      <w:r>
        <w:rPr>
          <w:rtl/>
        </w:rPr>
        <w:t>אחת־עשרה</w:t>
      </w:r>
      <w:proofErr w:type="spellEnd"/>
      <w:r>
        <w:rPr>
          <w:rtl/>
        </w:rPr>
        <w:t xml:space="preserve"> בלילה”.</w:t>
      </w:r>
    </w:p>
    <w:p w14:paraId="6D160D8A" w14:textId="77777777" w:rsidR="00AB3647" w:rsidRDefault="00000000" w:rsidP="007923E9">
      <w:pPr>
        <w:spacing w:before="120" w:after="100" w:line="276" w:lineRule="auto"/>
        <w:jc w:val="both"/>
      </w:pPr>
      <w:r>
        <w:rPr>
          <w:rtl/>
        </w:rPr>
        <w:t xml:space="preserve">אותו מחבר, ר׳ אפרים אשרי, הגיע </w:t>
      </w:r>
      <w:proofErr w:type="spellStart"/>
      <w:r>
        <w:rPr>
          <w:rtl/>
        </w:rPr>
        <w:t>לסלבודקה</w:t>
      </w:r>
      <w:proofErr w:type="spellEnd"/>
      <w:r>
        <w:rPr>
          <w:rtl/>
        </w:rPr>
        <w:t xml:space="preserve"> אחרי</w:t>
      </w:r>
      <w:r>
        <w:t xml:space="preserve"> </w:t>
      </w:r>
      <w:r>
        <w:rPr>
          <w:rtl/>
        </w:rPr>
        <w:t xml:space="preserve">הרב חדש, כלומר לאחר מלחמת העולם הראשונה. לכן אפשר להניח שסדר היום שעליו דיווח הוא מתקופה מאוחרת בהרבה, אף שהמאמר מייחס את תוכנית הלימודים הזאת לישיבת </w:t>
      </w:r>
      <w:proofErr w:type="spellStart"/>
      <w:r>
        <w:rPr>
          <w:rtl/>
        </w:rPr>
        <w:t>סלבודקה</w:t>
      </w:r>
      <w:proofErr w:type="spellEnd"/>
      <w:r>
        <w:rPr>
          <w:rtl/>
        </w:rPr>
        <w:t xml:space="preserve"> בראשית ימיה.</w:t>
      </w:r>
    </w:p>
    <w:p w14:paraId="021245C5" w14:textId="77777777" w:rsidR="00AB3647" w:rsidRDefault="00000000" w:rsidP="007923E9">
      <w:pPr>
        <w:spacing w:after="100" w:line="276" w:lineRule="auto"/>
        <w:ind w:firstLine="340"/>
        <w:jc w:val="both"/>
      </w:pPr>
      <w:r>
        <w:rPr>
          <w:rtl/>
        </w:rPr>
        <w:t>בתפילת מנחה הייתה רק “</w:t>
      </w:r>
      <w:proofErr w:type="spellStart"/>
      <w:r>
        <w:rPr>
          <w:rtl/>
        </w:rPr>
        <w:t>הויכע</w:t>
      </w:r>
      <w:proofErr w:type="spellEnd"/>
      <w:r>
        <w:rPr>
          <w:rtl/>
        </w:rPr>
        <w:t xml:space="preserve"> קדושה”. הרב חדש סיפר שכשכמה בחורים שרצו חזרת הש״ץ מלאה ארגנו מניין משלהם באחד החדרים הצדדיים, שיחה של הסבא שמה קץ לפרישתם. אין פלא שמפעם לפעם שאלו תלמידים בעלי כוונות טובות, שביקשו חוויה דתית מלאה יותר, אם ראוי לוותר על חזרת הש״ץ במנחה. אני בטוח שהסבא העמידם על הדרך הנכונה: הוא שלל את </w:t>
      </w:r>
      <w:proofErr w:type="spellStart"/>
      <w:r>
        <w:rPr>
          <w:rtl/>
        </w:rPr>
        <w:t>הפרומקייט</w:t>
      </w:r>
      <w:proofErr w:type="spellEnd"/>
      <w:r>
        <w:rPr>
          <w:rtl/>
        </w:rPr>
        <w:t xml:space="preserve"> המקובלת בעולם בעלי הבתים, שלפיה ככל שאדם עושה יותר הרי הוא טוב יותר, והעדיף עליה את זו המעמיקה שהישיבה מטיפה לה, הבוחנת את איכות מעשיו.</w:t>
      </w:r>
    </w:p>
    <w:p w14:paraId="120B59EE" w14:textId="77777777" w:rsidR="00AB3647" w:rsidRDefault="00000000" w:rsidP="007923E9">
      <w:pPr>
        <w:spacing w:after="100" w:line="276" w:lineRule="auto"/>
        <w:ind w:firstLine="340"/>
        <w:jc w:val="both"/>
      </w:pPr>
      <w:r>
        <w:rPr>
          <w:rtl/>
        </w:rPr>
        <w:t>אבי הציע הסבר מדוע הישיבות מסתפקות בתפילה בלי חזרת הש״ץ. הוא הסביר שחזרת הש״ץ נתקנה לטובת מי שאינם בקיאים, שלא ידעו להתפלל בעצמם ונאלצו לשמוע את שליח הציבור. לכן נאמרה רק בבתי כנסת, ולעולם לא בבתי מדרש, שבהם התאספו רק תלמידי חכמים</w:t>
      </w:r>
      <w:bookmarkStart w:id="1949" w:name="_fnr1241"/>
      <w:r>
        <w:rPr>
          <w:rStyle w:val="a5"/>
        </w:rPr>
        <w:footnoteReference w:id="1244" w:customMarkFollows="0"/>
      </w:r>
      <w:bookmarkEnd w:id="1949"/>
      <w:r>
        <w:rPr>
          <w:rtl/>
        </w:rPr>
        <w:t>! רק בשבתות ובימים טובים, כשאנשים מבחוץ הצטרפו לתלמידי הישיבה לתפילה, נהגה חזרת הש״ץ גם בבתי מדרש.</w:t>
      </w:r>
    </w:p>
    <w:p w14:paraId="5885BE41" w14:textId="77777777" w:rsidR="00AB3647" w:rsidRDefault="00000000" w:rsidP="007923E9">
      <w:pPr>
        <w:spacing w:after="100" w:line="276" w:lineRule="auto"/>
        <w:ind w:firstLine="340"/>
        <w:jc w:val="both"/>
      </w:pPr>
      <w:r>
        <w:rPr>
          <w:rtl/>
        </w:rPr>
        <w:t xml:space="preserve">את הדברים אמר רבנו לנכדו ר׳ יוסף, בהגיעו לארץ ישראל לכנסייה הגדולה של אגודת ישראל </w:t>
      </w:r>
      <w:proofErr w:type="spellStart"/>
      <w:r>
        <w:rPr>
          <w:rtl/>
        </w:rPr>
        <w:t>בתש״ם</w:t>
      </w:r>
      <w:proofErr w:type="spellEnd"/>
      <w:r>
        <w:rPr>
          <w:rtl/>
        </w:rPr>
        <w:t xml:space="preserve">. הוא סיפר שבמטוס הורה לחזן לומר את כל תפילת העמידה, למרות מיעוט הזמן והמקום, מפני שנכחו שם אנשים שאינם בקיאים. ההנחה הרווחת היא שהישיבות ביטלו את חזרת הש״ץ כדי לחסוך זמן ללימוד תורה – וזה ודאי מה שהבינו הפורשים </w:t>
      </w:r>
      <w:proofErr w:type="spellStart"/>
      <w:r>
        <w:rPr>
          <w:rtl/>
        </w:rPr>
        <w:t>בסלבודקה</w:t>
      </w:r>
      <w:bookmarkStart w:id="1950" w:name="_fnr1242"/>
      <w:proofErr w:type="spellEnd"/>
      <w:r>
        <w:rPr>
          <w:rStyle w:val="a5"/>
        </w:rPr>
        <w:footnoteReference w:id="1245" w:customMarkFollows="0"/>
      </w:r>
      <w:bookmarkEnd w:id="1950"/>
      <w:r>
        <w:rPr>
          <w:rtl/>
        </w:rPr>
        <w:t>.</w:t>
      </w:r>
    </w:p>
    <w:bookmarkStart w:id="1951" w:name="b3_note92"/>
    <w:p w14:paraId="1DE09656" w14:textId="77777777" w:rsidR="00AB3647" w:rsidRDefault="00000000" w:rsidP="007923E9">
      <w:pPr>
        <w:spacing w:before="120" w:after="100" w:line="276" w:lineRule="auto"/>
        <w:jc w:val="both"/>
      </w:pPr>
      <w:r>
        <w:fldChar w:fldCharType="begin" w:dirty="true"/>
      </w:r>
      <w:r>
        <w:instrText>HYPERLINK \l "b3_ref92"</w:instrText>
      </w:r>
      <w:r>
        <w:fldChar w:fldCharType="separate"/>
      </w:r>
      <w:r>
        <w:rPr>
          <w:b/>
          <w:bCs/>
          <w:rtl/>
        </w:rPr>
        <w:t>92</w:t>
      </w:r>
      <w:r>
        <w:rPr>
          <w:b/>
          <w:bCs/>
        </w:rPr>
        <w:fldChar w:fldCharType="end"/>
      </w:r>
      <w:bookmarkEnd w:id="1951"/>
      <w:r>
        <w:rPr>
          <w:rtl/>
        </w:rPr>
        <w:t xml:space="preserve"> ר׳ מאיר חדש, משגיח ישיבת חברון, העיר</w:t>
      </w:r>
      <w:bookmarkStart w:id="1952" w:name="_fnr1243"/>
      <w:r>
        <w:rPr>
          <w:rStyle w:val="a5"/>
        </w:rPr>
        <w:footnoteReference w:id="1246" w:customMarkFollows="0"/>
      </w:r>
      <w:bookmarkEnd w:id="1952"/>
      <w:r>
        <w:rPr>
          <w:rtl/>
        </w:rPr>
        <w:t>: “איחורים לסדר אחר הצהריים היו שכיחים אז כשם שהם שכיחים היום.”</w:t>
      </w:r>
    </w:p>
    <w:p w14:paraId="4BF42919" w14:textId="79A0B353"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lastRenderedPageBreak/>
        <w:t>חצי שעה של לימוד מוסר אישי</w:t>
      </w:r>
      <w:bookmarkStart w:id="1953" w:name="b3_ref93"/>
      <w:bookmarkEnd w:id="1953"/>
      <w:r>
        <w:rPr>
          <w:vertAlign w:val="superscript"/>
          <w:rtl/>
        </w:rPr>
        <w:fldChar w:fldCharType="begin" w:dirty="true"/>
      </w:r>
      <w:r>
        <w:rPr>
          <w:vertAlign w:val="superscript"/>
          <w:rtl/>
        </w:rPr>
        <w:instrText xml:space="preserve"> REF b3_note93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93</w:t>
      </w:r>
      <w:r>
        <w:rPr>
          <w:vertAlign w:val="superscript"/>
          <w:rtl/>
        </w:rPr>
        <w:fldChar w:fldCharType="end"/>
      </w:r>
      <w:r>
        <w:rPr>
          <w:rtl/>
        </w:rPr>
        <w:t xml:space="preserve"> חתמה את תוכנית הלימודים היומית הרשמית, אף שיום הלימוד הסתיים רק זמן רב אחרי עשר בלילה, בגלל הלימוד הנמרץ שבא אחרי לימוד המוסר. אחרי ערבית אמרו תהילים לרפואת תלמידי הישיבה החולים: מתוך 450 תלמידים</w:t>
      </w:r>
      <w:bookmarkStart w:id="1954" w:name="b3_ref94"/>
      <w:bookmarkEnd w:id="1954"/>
      <w:r>
        <w:rPr>
          <w:vertAlign w:val="superscript"/>
          <w:rtl/>
        </w:rPr>
        <w:fldChar w:fldCharType="begin" w:dirty="true"/>
      </w:r>
      <w:r>
        <w:rPr>
          <w:vertAlign w:val="superscript"/>
          <w:rtl/>
        </w:rPr>
        <w:instrText xml:space="preserve"> REF b3_note94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94</w:t>
      </w:r>
      <w:r>
        <w:rPr>
          <w:vertAlign w:val="superscript"/>
          <w:rtl/>
        </w:rPr>
        <w:fldChar w:fldCharType="end"/>
      </w:r>
      <w:r>
        <w:rPr>
          <w:rtl/>
        </w:rPr>
        <w:t xml:space="preserve"> היה נדיר יום שבו לא היה תלמיד חולה. תלמידים רבים, רעבים לתורה נוספת, שבו לבית המדרש אחרי ארוחת ערב קלה באכסניותיהם, והוסיפו ללמוד עד השעות הקטנות של הלילה.</w:t>
      </w:r>
    </w:p>
    <w:bookmarkStart w:id="1955" w:name="b3_note93"/>
    <w:p w14:paraId="70D98556" w14:textId="77777777" w:rsidR="00AB3647" w:rsidRDefault="00000000" w:rsidP="007923E9">
      <w:pPr>
        <w:spacing w:before="120" w:after="100" w:line="276" w:lineRule="auto"/>
        <w:jc w:val="both"/>
      </w:pPr>
      <w:r>
        <w:fldChar w:fldCharType="begin" w:dirty="true"/>
      </w:r>
      <w:r>
        <w:instrText>HYPERLINK \l "b3_ref93"</w:instrText>
      </w:r>
      <w:r>
        <w:fldChar w:fldCharType="separate"/>
      </w:r>
      <w:r>
        <w:rPr>
          <w:b/>
          <w:bCs/>
          <w:rtl/>
        </w:rPr>
        <w:t>93</w:t>
      </w:r>
      <w:r>
        <w:rPr>
          <w:b/>
          <w:bCs/>
        </w:rPr>
        <w:fldChar w:fldCharType="end"/>
      </w:r>
      <w:bookmarkEnd w:id="1955"/>
      <w:r>
        <w:rPr>
          <w:rtl/>
        </w:rPr>
        <w:t xml:space="preserve"> כשם שחסרו ספרי תלמוד</w:t>
      </w:r>
      <w:bookmarkStart w:id="1956" w:name="_fnr1244"/>
      <w:r>
        <w:rPr>
          <w:rStyle w:val="a5"/>
        </w:rPr>
        <w:footnoteReference w:id="1247" w:customMarkFollows="0"/>
      </w:r>
      <w:bookmarkEnd w:id="1956"/>
      <w:r>
        <w:rPr>
          <w:rtl/>
        </w:rPr>
        <w:t>, כך חסרו גם ספרי מוסר. אבי הזכיר זאת כשסיים ללמד את הקדמת “חובות הלבבות” במתיבתא תורה ודעת, ואמר לתלמידים</w:t>
      </w:r>
      <w:bookmarkStart w:id="1957" w:name="_fnr1245"/>
      <w:r>
        <w:rPr>
          <w:rStyle w:val="a5"/>
        </w:rPr>
        <w:footnoteReference w:id="1248" w:customMarkFollows="0"/>
      </w:r>
      <w:bookmarkEnd w:id="1957"/>
      <w:r>
        <w:rPr>
          <w:rtl/>
        </w:rPr>
        <w:t xml:space="preserve">: “כעת אתם מצפים להתחיל בפרק הראשון, שער היחוד, אבל אספר לכם כיצד למדנו ספר זה </w:t>
      </w:r>
      <w:proofErr w:type="spellStart"/>
      <w:r>
        <w:rPr>
          <w:rtl/>
        </w:rPr>
        <w:t>בסלבודקה</w:t>
      </w:r>
      <w:proofErr w:type="spellEnd"/>
      <w:r>
        <w:rPr>
          <w:rtl/>
        </w:rPr>
        <w:t>. לא היו די ספרים לכולם, ולכן פורק כל ספר לשערים, והחלקים חולקו בין הבחורים שלמדו חובות הלבבות. כשכל תלמיד סיים את חלקו, החליף אותו עם תלמיד אחר שסיים את חלקו שלו. אבל החלק של שער היחוד נשאר בלי שימוש.”</w:t>
      </w:r>
    </w:p>
    <w:p w14:paraId="63DD2B9A" w14:textId="77777777" w:rsidR="00AB3647" w:rsidRDefault="00000000" w:rsidP="007923E9">
      <w:pPr>
        <w:spacing w:before="120" w:after="100" w:line="276" w:lineRule="auto"/>
        <w:jc w:val="both"/>
      </w:pPr>
      <w:r>
        <w:rPr>
          <w:rtl/>
        </w:rPr>
        <w:t xml:space="preserve">בזיכרונותיו של </w:t>
      </w:r>
      <w:proofErr w:type="spellStart"/>
      <w:r>
        <w:rPr>
          <w:rtl/>
        </w:rPr>
        <w:t>יהושע־לייב</w:t>
      </w:r>
      <w:proofErr w:type="spellEnd"/>
      <w:r>
        <w:rPr>
          <w:rtl/>
        </w:rPr>
        <w:t xml:space="preserve"> </w:t>
      </w:r>
      <w:proofErr w:type="spellStart"/>
      <w:r>
        <w:rPr>
          <w:rtl/>
        </w:rPr>
        <w:t>ראדוס</w:t>
      </w:r>
      <w:bookmarkStart w:id="1958" w:name="_fnr1246"/>
      <w:proofErr w:type="spellEnd"/>
      <w:r>
        <w:rPr>
          <w:rStyle w:val="a5"/>
        </w:rPr>
        <w:footnoteReference w:id="1249" w:customMarkFollows="0"/>
      </w:r>
      <w:bookmarkEnd w:id="1958"/>
      <w:r>
        <w:rPr>
          <w:rtl/>
        </w:rPr>
        <w:t xml:space="preserve"> נזכר </w:t>
      </w:r>
      <w:proofErr w:type="spellStart"/>
      <w:r>
        <w:rPr>
          <w:rtl/>
        </w:rPr>
        <w:t>ראדוס</w:t>
      </w:r>
      <w:proofErr w:type="spellEnd"/>
      <w:r>
        <w:rPr>
          <w:rtl/>
        </w:rPr>
        <w:t xml:space="preserve"> – שלמד </w:t>
      </w:r>
      <w:proofErr w:type="spellStart"/>
      <w:r>
        <w:rPr>
          <w:rtl/>
        </w:rPr>
        <w:t>בוולוז׳ין</w:t>
      </w:r>
      <w:proofErr w:type="spellEnd"/>
      <w:r>
        <w:rPr>
          <w:rtl/>
        </w:rPr>
        <w:t xml:space="preserve"> “כמה שנים” החל </w:t>
      </w:r>
      <w:proofErr w:type="spellStart"/>
      <w:r>
        <w:rPr>
          <w:rtl/>
        </w:rPr>
        <w:t>בתרמ״ד</w:t>
      </w:r>
      <w:proofErr w:type="spellEnd"/>
      <w:r>
        <w:rPr>
          <w:rtl/>
        </w:rPr>
        <w:t xml:space="preserve">, למעלה מעשרים שנה לפני שבא אבי </w:t>
      </w:r>
      <w:proofErr w:type="spellStart"/>
      <w:r>
        <w:rPr>
          <w:rtl/>
        </w:rPr>
        <w:t>לסלבודקה</w:t>
      </w:r>
      <w:proofErr w:type="spellEnd"/>
      <w:r>
        <w:rPr>
          <w:rtl/>
        </w:rPr>
        <w:t xml:space="preserve"> – ביום שבו עבר את בחינת הכניסה: “המשגיח שבחן אותי נתן לי פתק למסור לממונה על הספרים, כדי שייתן לי גמרא. הקומה העליונה של בניין הישיבה שימשה ספרייה נעולה היטב, עם ממונה מיוחד, ובלי פתק מן המשגיח אי אפשר היה לקבל שום ספר מספריה. תלמידי הישיבה לא הניחו את הגמרא מידיהם אף לרגע, ותמיד, בבואם ובצאתם, נשאו את הגמרא תחת זרועם, מפני שהבחורים גנבו גמרות זה מזה ולא</w:t>
      </w:r>
      <w:r>
        <w:t xml:space="preserve"> </w:t>
      </w:r>
      <w:r>
        <w:rPr>
          <w:rtl/>
        </w:rPr>
        <w:t xml:space="preserve">התביישו אם נמצאה בידיהם </w:t>
      </w:r>
      <w:proofErr w:type="spellStart"/>
      <w:r>
        <w:rPr>
          <w:rtl/>
        </w:rPr>
        <w:t>ה‘גניבה</w:t>
      </w:r>
      <w:proofErr w:type="spellEnd"/>
      <w:r>
        <w:rPr>
          <w:rtl/>
        </w:rPr>
        <w:t>’; ואם אחד יצא ממקומו [בבית המדרש], היה עליו לבקש מחבר שעמד בקרבתו להשגיח שלא ייקחו את הגמרא שלו.”</w:t>
      </w:r>
    </w:p>
    <w:bookmarkStart w:id="1959" w:name="b3_note94"/>
    <w:p w14:paraId="36DE9A6C" w14:textId="77777777" w:rsidR="00AB3647" w:rsidRDefault="00000000" w:rsidP="007923E9">
      <w:pPr>
        <w:spacing w:before="120" w:after="100" w:line="276" w:lineRule="auto"/>
        <w:jc w:val="both"/>
      </w:pPr>
      <w:r>
        <w:fldChar w:fldCharType="begin" w:dirty="true"/>
      </w:r>
      <w:r>
        <w:instrText>HYPERLINK \l "b3_ref94"</w:instrText>
      </w:r>
      <w:r>
        <w:fldChar w:fldCharType="separate"/>
      </w:r>
      <w:r>
        <w:rPr>
          <w:b/>
          <w:bCs/>
          <w:rtl/>
        </w:rPr>
        <w:t>94</w:t>
      </w:r>
      <w:r>
        <w:rPr>
          <w:b/>
          <w:bCs/>
        </w:rPr>
        <w:fldChar w:fldCharType="end"/>
      </w:r>
      <w:bookmarkEnd w:id="1959"/>
      <w:r>
        <w:rPr>
          <w:rtl/>
        </w:rPr>
        <w:t xml:space="preserve"> בספרו של כץ, “תנועת המוסר”, כרך ג</w:t>
      </w:r>
      <w:bookmarkStart w:id="1960" w:name="_fnr1247"/>
      <w:r>
        <w:rPr>
          <w:rStyle w:val="a5"/>
        </w:rPr>
        <w:footnoteReference w:id="1250" w:customMarkFollows="0"/>
      </w:r>
      <w:bookmarkEnd w:id="1960"/>
      <w:r>
        <w:rPr>
          <w:rtl/>
        </w:rPr>
        <w:t xml:space="preserve">, מובא המספר 400 לגבי השנה הקודמת. השווה גם תחילת נספח </w:t>
      </w:r>
      <w:proofErr w:type="spellStart"/>
      <w:r>
        <w:rPr>
          <w:rtl/>
        </w:rPr>
        <w:t>כז</w:t>
      </w:r>
      <w:proofErr w:type="spellEnd"/>
      <w:r>
        <w:rPr>
          <w:rtl/>
        </w:rPr>
        <w:t xml:space="preserve"> (2) להלן.</w:t>
      </w:r>
    </w:p>
    <w:p w14:paraId="14D6F528" w14:textId="7777777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אבי שקד על ספריו כל כך, עד שלעיתים קרובות, בתום יום הלימוד הארוך, שלא פעם נמשך גם שעות נוספות בלילה, נרדם בשינה עמוקה ליד הסטנדר שלו. אלתר </w:t>
      </w:r>
      <w:proofErr w:type="spellStart"/>
      <w:r>
        <w:rPr>
          <w:rtl/>
        </w:rPr>
        <w:t>אולקניקר</w:t>
      </w:r>
      <w:proofErr w:type="spellEnd"/>
      <w:r>
        <w:rPr>
          <w:rtl/>
        </w:rPr>
        <w:t xml:space="preserve">, צעיר חסון, ראה ששותפו לחדר, הדק והקל, ניחן בשכל ובמידות יוצאי דופן, וראה זכות לעצמו להרים אותו, לשאת אותו </w:t>
      </w:r>
      <w:proofErr w:type="spellStart"/>
      <w:r>
        <w:rPr>
          <w:rtl/>
        </w:rPr>
        <w:t>לאכסניה</w:t>
      </w:r>
      <w:proofErr w:type="spellEnd"/>
      <w:r>
        <w:rPr>
          <w:rtl/>
        </w:rPr>
        <w:t xml:space="preserve"> ולהשכיב אותו במיטתו. כשנודע לאבי למחרת איך הגיע לחדרו, ביקש משותפו שלא יישא אותו שוב, אלא רק יעיר אותו. לא היה מדרכו להניח לאיש לטרוח כך למענו.</w:t>
      </w:r>
    </w:p>
    <w:p w14:paraId="1587C3CB" w14:textId="08C420AB"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אלתר התעקש לחסוך משותפו את אותן דקות נוספות של ערות עייפה, ושוב נשא אותו </w:t>
      </w:r>
      <w:proofErr w:type="spellStart"/>
      <w:r>
        <w:rPr>
          <w:rtl/>
        </w:rPr>
        <w:t>לאכסניה</w:t>
      </w:r>
      <w:proofErr w:type="spellEnd"/>
      <w:r>
        <w:rPr>
          <w:rtl/>
        </w:rPr>
        <w:t xml:space="preserve">. אז החליט </w:t>
      </w:r>
      <w:proofErr w:type="spellStart"/>
      <w:r>
        <w:rPr>
          <w:rtl/>
        </w:rPr>
        <w:t>הדולהינובר</w:t>
      </w:r>
      <w:proofErr w:type="spellEnd"/>
      <w:r>
        <w:rPr>
          <w:rtl/>
        </w:rPr>
        <w:t xml:space="preserve"> הצעיר שעליו להישאר ער יותר משותפו בכל מחיר, והופתע </w:t>
      </w:r>
      <w:r>
        <w:rPr>
          <w:rtl/>
        </w:rPr>
        <w:lastRenderedPageBreak/>
        <w:t xml:space="preserve">לגלות </w:t>
      </w:r>
      <w:proofErr w:type="spellStart"/>
      <w:r>
        <w:rPr>
          <w:rtl/>
        </w:rPr>
        <w:t>שהאולקניקר</w:t>
      </w:r>
      <w:proofErr w:type="spellEnd"/>
      <w:r>
        <w:rPr>
          <w:rtl/>
        </w:rPr>
        <w:t xml:space="preserve"> מקפיד שלא לעזוב את בית המדרש לפניו. “למה אוותר על המצווה לטפל במתמיד היקר, ואפסיד חלק בהתמדה כזאת בתורה?” חשב אלתר. המצב נעשה אבסורדי: אבי נשאר ער כל הלילה ונרדם שוב ושוב ביום. לבסוף הגיעו לפשרה: יעירו את </w:t>
      </w:r>
      <w:proofErr w:type="spellStart"/>
      <w:r>
        <w:rPr>
          <w:rtl/>
        </w:rPr>
        <w:t>הדולהינובר</w:t>
      </w:r>
      <w:proofErr w:type="spellEnd"/>
      <w:r>
        <w:rPr>
          <w:rtl/>
        </w:rPr>
        <w:t>, והוא יקרטע אל חדרו. אם תיפול עליו תרדמה עמוקה</w:t>
      </w:r>
      <w:bookmarkStart w:id="1961" w:name="b3_ref95"/>
      <w:bookmarkEnd w:id="1961"/>
      <w:r>
        <w:rPr>
          <w:vertAlign w:val="superscript"/>
          <w:rtl/>
        </w:rPr>
        <w:fldChar w:fldCharType="begin" w:dirty="true"/>
      </w:r>
      <w:r>
        <w:rPr>
          <w:vertAlign w:val="superscript"/>
          <w:rtl/>
        </w:rPr>
        <w:instrText xml:space="preserve"> REF b3_note95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95</w:t>
      </w:r>
      <w:r>
        <w:rPr>
          <w:vertAlign w:val="superscript"/>
          <w:rtl/>
        </w:rPr>
        <w:fldChar w:fldCharType="end"/>
      </w:r>
      <w:r>
        <w:rPr>
          <w:rtl/>
        </w:rPr>
        <w:t xml:space="preserve"> לפני שיסיר את בגדיו</w:t>
      </w:r>
      <w:bookmarkStart w:id="1962" w:name="b3_ref96"/>
      <w:bookmarkEnd w:id="1962"/>
      <w:r>
        <w:rPr>
          <w:vertAlign w:val="superscript"/>
          <w:rtl/>
        </w:rPr>
        <w:fldChar w:fldCharType="begin" w:dirty="true"/>
      </w:r>
      <w:r>
        <w:rPr>
          <w:vertAlign w:val="superscript"/>
          <w:rtl/>
        </w:rPr>
        <w:instrText xml:space="preserve"> REF b3_note96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96</w:t>
      </w:r>
      <w:r>
        <w:rPr>
          <w:vertAlign w:val="superscript"/>
          <w:rtl/>
        </w:rPr>
        <w:fldChar w:fldCharType="end"/>
      </w:r>
      <w:r>
        <w:rPr>
          <w:rtl/>
        </w:rPr>
        <w:t xml:space="preserve">, יכסה אותו אלתר </w:t>
      </w:r>
      <w:proofErr w:type="spellStart"/>
      <w:r>
        <w:rPr>
          <w:rtl/>
        </w:rPr>
        <w:t>אולקניקר</w:t>
      </w:r>
      <w:proofErr w:type="spellEnd"/>
      <w:r>
        <w:rPr>
          <w:rtl/>
        </w:rPr>
        <w:t xml:space="preserve"> בשמיכה ויחלוץ את נעליו ויסיר את מכנסיו</w:t>
      </w:r>
      <w:bookmarkStart w:id="1963" w:name="b3_ref97"/>
      <w:bookmarkEnd w:id="1963"/>
      <w:r>
        <w:rPr>
          <w:vertAlign w:val="superscript"/>
          <w:rtl/>
        </w:rPr>
        <w:fldChar w:fldCharType="begin" w:dirty="true"/>
      </w:r>
      <w:r>
        <w:rPr>
          <w:vertAlign w:val="superscript"/>
          <w:rtl/>
        </w:rPr>
        <w:instrText xml:space="preserve"> REF b3_note97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97</w:t>
      </w:r>
      <w:r>
        <w:rPr>
          <w:vertAlign w:val="superscript"/>
          <w:rtl/>
        </w:rPr>
        <w:fldChar w:fldCharType="end"/>
      </w:r>
      <w:r>
        <w:rPr>
          <w:rtl/>
        </w:rPr>
        <w:t>.</w:t>
      </w:r>
    </w:p>
    <w:bookmarkStart w:id="1964" w:name="b3_note95"/>
    <w:p w14:paraId="146F086F" w14:textId="77777777" w:rsidR="00AB3647" w:rsidRDefault="00000000" w:rsidP="007923E9">
      <w:pPr>
        <w:spacing w:before="120" w:after="100" w:line="276" w:lineRule="auto"/>
        <w:jc w:val="both"/>
      </w:pPr>
      <w:r>
        <w:fldChar w:fldCharType="begin" w:dirty="true"/>
      </w:r>
      <w:r>
        <w:instrText>HYPERLINK \l "b3_ref95"</w:instrText>
      </w:r>
      <w:r>
        <w:fldChar w:fldCharType="separate"/>
      </w:r>
      <w:r>
        <w:rPr>
          <w:b/>
          <w:bCs/>
          <w:rtl/>
        </w:rPr>
        <w:t>95</w:t>
      </w:r>
      <w:r>
        <w:rPr>
          <w:b/>
          <w:bCs/>
        </w:rPr>
        <w:fldChar w:fldCharType="end"/>
      </w:r>
      <w:bookmarkEnd w:id="1964"/>
      <w:r>
        <w:rPr>
          <w:rtl/>
        </w:rPr>
        <w:t xml:space="preserve"> בזקנותו אמר אבי: “כל חיי </w:t>
      </w:r>
      <w:proofErr w:type="spellStart"/>
      <w:r>
        <w:rPr>
          <w:rtl/>
        </w:rPr>
        <w:t>נתברכתי</w:t>
      </w:r>
      <w:proofErr w:type="spellEnd"/>
      <w:r>
        <w:rPr>
          <w:rtl/>
        </w:rPr>
        <w:t xml:space="preserve"> [ביכולת לקיים את הפסוק] ‘בשלום יחדו אשכבה ואישן’</w:t>
      </w:r>
      <w:bookmarkStart w:id="1965" w:name="_fnr1248"/>
      <w:r>
        <w:rPr>
          <w:rStyle w:val="a5"/>
        </w:rPr>
        <w:footnoteReference w:id="1251" w:customMarkFollows="0"/>
      </w:r>
      <w:bookmarkEnd w:id="1965"/>
      <w:r>
        <w:rPr>
          <w:rtl/>
        </w:rPr>
        <w:t>” – כלומר, להירדם מיד כששכב במיטה</w:t>
      </w:r>
      <w:bookmarkStart w:id="1966" w:name="_fnr1249"/>
      <w:r>
        <w:rPr>
          <w:rStyle w:val="a5"/>
        </w:rPr>
        <w:footnoteReference w:id="1252" w:customMarkFollows="0"/>
      </w:r>
      <w:bookmarkEnd w:id="1966"/>
      <w:r>
        <w:rPr>
          <w:rtl/>
        </w:rPr>
        <w:t>.</w:t>
      </w:r>
    </w:p>
    <w:p w14:paraId="02A33AF5" w14:textId="77777777" w:rsidR="00AB3647" w:rsidRDefault="00000000" w:rsidP="007923E9">
      <w:pPr>
        <w:spacing w:after="100" w:line="276" w:lineRule="auto"/>
        <w:ind w:firstLine="340"/>
        <w:jc w:val="both"/>
      </w:pPr>
      <w:r>
        <w:rPr>
          <w:rtl/>
        </w:rPr>
        <w:t xml:space="preserve">ר׳ קופל </w:t>
      </w:r>
      <w:proofErr w:type="spellStart"/>
      <w:r>
        <w:rPr>
          <w:rtl/>
        </w:rPr>
        <w:t>וולפרט</w:t>
      </w:r>
      <w:proofErr w:type="spellEnd"/>
      <w:r>
        <w:rPr>
          <w:rtl/>
        </w:rPr>
        <w:t>, שלמד באותה תקופה בכנסת בית יצחק, תיאר</w:t>
      </w:r>
      <w:bookmarkStart w:id="1967" w:name="_fnr1250"/>
      <w:r>
        <w:rPr>
          <w:rStyle w:val="a5"/>
        </w:rPr>
        <w:footnoteReference w:id="1253" w:customMarkFollows="0"/>
      </w:r>
      <w:bookmarkEnd w:id="1967"/>
      <w:r>
        <w:rPr>
          <w:rtl/>
        </w:rPr>
        <w:t xml:space="preserve"> את חווייתו: “אני באמריקה שבעים ושש שנים, ובי״א בטבת תשל״ח</w:t>
      </w:r>
      <w:bookmarkStart w:id="1968" w:name="_fnr1251"/>
      <w:r>
        <w:rPr>
          <w:rStyle w:val="a5"/>
        </w:rPr>
        <w:footnoteReference w:id="1254" w:customMarkFollows="0"/>
      </w:r>
      <w:bookmarkEnd w:id="1968"/>
      <w:r>
        <w:rPr>
          <w:rtl/>
        </w:rPr>
        <w:t xml:space="preserve"> אהיה בן תשעים ושבע</w:t>
      </w:r>
      <w:bookmarkStart w:id="1969" w:name="_fnr1252"/>
      <w:bookmarkEnd w:id="1969"/>
      <w:r>
        <w:rPr>
          <w:rStyle w:val="a5"/>
        </w:rPr>
        <w:t/>
      </w:r>
      <w:bookmarkStart w:id="7012" w:name="_TranslatorNote_5379"/>
      <w:r>
        <w:rPr>
          <w:rStyle w:val="a5"/>
          <w:vertAlign w:val="superscript"/>
          <w:rtl/>
        </w:rPr>
        <w:footnoteReference w:id="1255" w:customMarkFollows="1"/>
        <w:t>*</w:t>
      </w:r>
      <w:bookmarkEnd w:id="7012"/>
      <w:r>
        <w:rPr>
          <w:rtl/>
        </w:rPr>
        <w:t xml:space="preserve">. כל שנותיי כאן אינן שוות </w:t>
      </w:r>
      <w:proofErr w:type="spellStart"/>
      <w:r>
        <w:rPr>
          <w:rtl/>
        </w:rPr>
        <w:t>פיפקע</w:t>
      </w:r>
      <w:proofErr w:type="spellEnd"/>
      <w:r>
        <w:rPr>
          <w:rtl/>
        </w:rPr>
        <w:t xml:space="preserve"> [מקטרת מלאה טבק]</w:t>
      </w:r>
      <w:bookmarkStart w:id="1970" w:name="_fnr1253"/>
      <w:r>
        <w:rPr>
          <w:rStyle w:val="a5"/>
        </w:rPr>
        <w:footnoteReference w:id="1256" w:customMarkFollows="0"/>
      </w:r>
      <w:bookmarkEnd w:id="1970"/>
      <w:r>
        <w:rPr>
          <w:rtl/>
        </w:rPr>
        <w:t xml:space="preserve"> לעומת יום אחד </w:t>
      </w:r>
      <w:proofErr w:type="spellStart"/>
      <w:r>
        <w:rPr>
          <w:rtl/>
        </w:rPr>
        <w:t>בסלבודקה</w:t>
      </w:r>
      <w:proofErr w:type="spellEnd"/>
      <w:r>
        <w:rPr>
          <w:rtl/>
        </w:rPr>
        <w:t xml:space="preserve">. למדנו כל השבוע, ואחר כך, במשמר של ליל שישי, הכול הלך יפה כל כך – הגמרא והתוספות. בליל שבת היו המתמידים שוב נשארים ערים כל הלילה. סיפרו שר׳ </w:t>
      </w:r>
      <w:proofErr w:type="spellStart"/>
      <w:r>
        <w:rPr>
          <w:rtl/>
        </w:rPr>
        <w:t>לייבל</w:t>
      </w:r>
      <w:proofErr w:type="spellEnd"/>
      <w:r>
        <w:rPr>
          <w:rtl/>
        </w:rPr>
        <w:t xml:space="preserve"> </w:t>
      </w:r>
      <w:proofErr w:type="spellStart"/>
      <w:r>
        <w:rPr>
          <w:rtl/>
        </w:rPr>
        <w:t>סלונימר</w:t>
      </w:r>
      <w:proofErr w:type="spellEnd"/>
      <w:r>
        <w:rPr>
          <w:rtl/>
        </w:rPr>
        <w:t>, ‘א צדיק א איד’ [יהודי צדיק], שבר את הספסל רק מרוב ישיבה עליו.” אותו סדר נהג בכנסת ישראל.</w:t>
      </w:r>
    </w:p>
    <w:bookmarkStart w:id="1971" w:name="b3_note96"/>
    <w:p w14:paraId="4B19780F" w14:textId="77777777" w:rsidR="00AB3647" w:rsidRDefault="00000000" w:rsidP="007923E9">
      <w:pPr>
        <w:spacing w:before="120" w:after="100" w:line="276" w:lineRule="auto"/>
        <w:jc w:val="both"/>
      </w:pPr>
      <w:r>
        <w:fldChar w:fldCharType="begin" w:dirty="true"/>
      </w:r>
      <w:r>
        <w:instrText>HYPERLINK \l "b3_ref96"</w:instrText>
      </w:r>
      <w:r>
        <w:fldChar w:fldCharType="separate"/>
      </w:r>
      <w:r>
        <w:rPr>
          <w:b/>
          <w:bCs/>
          <w:rtl/>
        </w:rPr>
        <w:t>96</w:t>
      </w:r>
      <w:r>
        <w:rPr>
          <w:b/>
          <w:bCs/>
        </w:rPr>
        <w:fldChar w:fldCharType="end"/>
      </w:r>
      <w:bookmarkEnd w:id="1971"/>
      <w:r>
        <w:rPr>
          <w:rtl/>
        </w:rPr>
        <w:t xml:space="preserve"> לדברי ר׳ </w:t>
      </w:r>
      <w:proofErr w:type="spellStart"/>
      <w:r>
        <w:rPr>
          <w:rtl/>
        </w:rPr>
        <w:t>לייבל</w:t>
      </w:r>
      <w:proofErr w:type="spellEnd"/>
      <w:r>
        <w:rPr>
          <w:rtl/>
        </w:rPr>
        <w:t xml:space="preserve"> </w:t>
      </w:r>
      <w:proofErr w:type="spellStart"/>
      <w:r>
        <w:rPr>
          <w:rtl/>
        </w:rPr>
        <w:t>פרלשטיין</w:t>
      </w:r>
      <w:bookmarkStart w:id="1972" w:name="_fnr1254"/>
      <w:proofErr w:type="spellEnd"/>
      <w:r>
        <w:rPr>
          <w:rStyle w:val="a5"/>
        </w:rPr>
        <w:footnoteReference w:id="1257" w:customMarkFollows="0"/>
      </w:r>
      <w:bookmarkEnd w:id="1972"/>
      <w:r>
        <w:rPr>
          <w:rtl/>
        </w:rPr>
        <w:t xml:space="preserve">, התבדח אבי על בחורים </w:t>
      </w:r>
      <w:proofErr w:type="spellStart"/>
      <w:r>
        <w:rPr>
          <w:rtl/>
        </w:rPr>
        <w:t>בסלבודקה</w:t>
      </w:r>
      <w:proofErr w:type="spellEnd"/>
      <w:r>
        <w:rPr>
          <w:rtl/>
        </w:rPr>
        <w:t xml:space="preserve"> שלבשו פיג׳מה: “תארו לכם! במקום </w:t>
      </w:r>
      <w:r>
        <w:rPr>
          <w:b/>
          <w:bCs/>
          <w:rtl/>
        </w:rPr>
        <w:t>להירדם</w:t>
      </w:r>
      <w:r>
        <w:rPr>
          <w:rtl/>
        </w:rPr>
        <w:t xml:space="preserve">, הם הלכו לישון. כל זמן שהייתי </w:t>
      </w:r>
      <w:proofErr w:type="spellStart"/>
      <w:r>
        <w:rPr>
          <w:rtl/>
        </w:rPr>
        <w:t>בסלבודקה</w:t>
      </w:r>
      <w:proofErr w:type="spellEnd"/>
      <w:r>
        <w:rPr>
          <w:rtl/>
        </w:rPr>
        <w:t xml:space="preserve"> נהגתי כיעקב אבינו</w:t>
      </w:r>
      <w:bookmarkStart w:id="1973" w:name="_fnr1255"/>
      <w:r>
        <w:rPr>
          <w:rStyle w:val="a5"/>
        </w:rPr>
        <w:footnoteReference w:id="1258" w:customMarkFollows="0"/>
      </w:r>
      <w:bookmarkEnd w:id="1973"/>
      <w:r>
        <w:rPr>
          <w:rtl/>
        </w:rPr>
        <w:t xml:space="preserve">: מעולם לא לבשתי פיג׳מה. אפילו בשבת שכבתי בבגדיי.” (כשר׳ </w:t>
      </w:r>
      <w:proofErr w:type="spellStart"/>
      <w:r>
        <w:rPr>
          <w:rtl/>
        </w:rPr>
        <w:t>לייבל</w:t>
      </w:r>
      <w:proofErr w:type="spellEnd"/>
      <w:r>
        <w:rPr>
          <w:rtl/>
        </w:rPr>
        <w:t xml:space="preserve"> שאל אותו: “אבל הם לא התקמטו?”, השיב: “כן, אבל זה היה כדאי.”)</w:t>
      </w:r>
    </w:p>
    <w:bookmarkStart w:id="1974" w:name="b3_note97"/>
    <w:p w14:paraId="2B1FB3FD" w14:textId="77777777" w:rsidR="00AB3647" w:rsidRDefault="00000000" w:rsidP="007923E9">
      <w:pPr>
        <w:spacing w:before="120" w:after="100" w:line="276" w:lineRule="auto"/>
        <w:jc w:val="both"/>
      </w:pPr>
      <w:r>
        <w:fldChar w:fldCharType="begin" w:dirty="true"/>
      </w:r>
      <w:r>
        <w:instrText>HYPERLINK \l "b3_ref97"</w:instrText>
      </w:r>
      <w:r>
        <w:fldChar w:fldCharType="separate"/>
      </w:r>
      <w:r>
        <w:rPr>
          <w:b/>
          <w:bCs/>
          <w:rtl/>
        </w:rPr>
        <w:t>97</w:t>
      </w:r>
      <w:r>
        <w:rPr>
          <w:b/>
          <w:bCs/>
        </w:rPr>
        <w:fldChar w:fldCharType="end"/>
      </w:r>
      <w:bookmarkEnd w:id="1974"/>
      <w:r>
        <w:rPr>
          <w:rtl/>
        </w:rPr>
        <w:t xml:space="preserve"> ר׳ </w:t>
      </w:r>
      <w:proofErr w:type="spellStart"/>
      <w:r>
        <w:rPr>
          <w:rtl/>
        </w:rPr>
        <w:t>לייבל</w:t>
      </w:r>
      <w:proofErr w:type="spellEnd"/>
      <w:r>
        <w:rPr>
          <w:rtl/>
        </w:rPr>
        <w:t xml:space="preserve"> </w:t>
      </w:r>
      <w:proofErr w:type="spellStart"/>
      <w:r>
        <w:rPr>
          <w:rtl/>
        </w:rPr>
        <w:t>פרלשטיין</w:t>
      </w:r>
      <w:proofErr w:type="spellEnd"/>
      <w:r>
        <w:rPr>
          <w:rtl/>
        </w:rPr>
        <w:t xml:space="preserve"> צירף את סיפור התחרות והפשרה ממה ששמע מעמיתו להוראה, נכדו של ר׳ אלתר </w:t>
      </w:r>
      <w:proofErr w:type="spellStart"/>
      <w:r>
        <w:rPr>
          <w:rtl/>
        </w:rPr>
        <w:t>פופלק</w:t>
      </w:r>
      <w:proofErr w:type="spellEnd"/>
      <w:r>
        <w:rPr>
          <w:rtl/>
        </w:rPr>
        <w:t xml:space="preserve">, ששמע אותו מסבו, וממה שסיפר לו רבנו. בזקנותו אמר אבי </w:t>
      </w:r>
      <w:proofErr w:type="spellStart"/>
      <w:r>
        <w:rPr>
          <w:rtl/>
        </w:rPr>
        <w:t>לר</w:t>
      </w:r>
      <w:proofErr w:type="spellEnd"/>
      <w:r>
        <w:rPr>
          <w:rtl/>
        </w:rPr>
        <w:t xml:space="preserve">׳ </w:t>
      </w:r>
      <w:proofErr w:type="spellStart"/>
      <w:r>
        <w:rPr>
          <w:rtl/>
        </w:rPr>
        <w:t>לייבל</w:t>
      </w:r>
      <w:proofErr w:type="spellEnd"/>
      <w:r>
        <w:rPr>
          <w:rtl/>
        </w:rPr>
        <w:t xml:space="preserve"> שהוא ישן כשבע שעות וחצי בלילה: הולך לישון בין </w:t>
      </w:r>
      <w:proofErr w:type="spellStart"/>
      <w:r>
        <w:rPr>
          <w:rtl/>
        </w:rPr>
        <w:t>אחת־עשרה</w:t>
      </w:r>
      <w:proofErr w:type="spellEnd"/>
      <w:r>
        <w:rPr>
          <w:rtl/>
        </w:rPr>
        <w:t xml:space="preserve"> </w:t>
      </w:r>
      <w:proofErr w:type="spellStart"/>
      <w:r>
        <w:rPr>
          <w:rtl/>
        </w:rPr>
        <w:t>לאחת־עשרה</w:t>
      </w:r>
      <w:proofErr w:type="spellEnd"/>
      <w:r>
        <w:rPr>
          <w:rtl/>
        </w:rPr>
        <w:t xml:space="preserve"> וחצי בלילה וקם בין שש וחצי לשבע בבוקר – וזה מה שכינה “נורמלי”. הוא הוסיף שבצעירותו היה הולך לישון בשתיים וקם לתפילת שחרית. “מעולם לא חסכתי זמן בכך שנשארתי ער מאוחר ואחר כך הפסדתי תפילה”, הכריז.</w:t>
      </w:r>
    </w:p>
    <w:p w14:paraId="7A48C7E6" w14:textId="54DB4331"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proofErr w:type="spellStart"/>
      <w:r>
        <w:rPr>
          <w:rtl/>
        </w:rPr>
        <w:t>לייבל</w:t>
      </w:r>
      <w:proofErr w:type="spellEnd"/>
      <w:r>
        <w:rPr>
          <w:rtl/>
        </w:rPr>
        <w:t xml:space="preserve"> </w:t>
      </w:r>
      <w:proofErr w:type="spellStart"/>
      <w:r>
        <w:rPr>
          <w:rtl/>
        </w:rPr>
        <w:t>יאנובר</w:t>
      </w:r>
      <w:proofErr w:type="spellEnd"/>
      <w:r>
        <w:rPr>
          <w:rtl/>
        </w:rPr>
        <w:t xml:space="preserve"> דאג לצרכיהם הרוחניים הישירים יותר של שני שותפיו הצעירים. הוא דרש שבכל ארוחה</w:t>
      </w:r>
      <w:bookmarkStart w:id="1975" w:name="b3_ref98"/>
      <w:bookmarkEnd w:id="1975"/>
      <w:r>
        <w:rPr>
          <w:vertAlign w:val="superscript"/>
          <w:rtl/>
        </w:rPr>
        <w:fldChar w:fldCharType="begin" w:dirty="true"/>
      </w:r>
      <w:r>
        <w:rPr>
          <w:vertAlign w:val="superscript"/>
          <w:rtl/>
        </w:rPr>
        <w:instrText xml:space="preserve"> REF b3_note98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98</w:t>
      </w:r>
      <w:r>
        <w:rPr>
          <w:vertAlign w:val="superscript"/>
          <w:rtl/>
        </w:rPr>
        <w:fldChar w:fldCharType="end"/>
      </w:r>
      <w:r>
        <w:rPr>
          <w:rtl/>
        </w:rPr>
        <w:t xml:space="preserve"> יעלו לדיון קושיה על הגמרא שלמדו, שלהם או של אדם אחר. הוא גם הדריך </w:t>
      </w:r>
      <w:r>
        <w:rPr>
          <w:rtl/>
        </w:rPr>
        <w:lastRenderedPageBreak/>
        <w:t>את התלמיד המתחיל בנימוסי שולחן</w:t>
      </w:r>
      <w:bookmarkStart w:id="1976" w:name="b3_ref99"/>
      <w:bookmarkEnd w:id="1976"/>
      <w:r>
        <w:rPr>
          <w:vertAlign w:val="superscript"/>
          <w:rtl/>
        </w:rPr>
        <w:fldChar w:fldCharType="begin" w:dirty="true"/>
      </w:r>
      <w:r>
        <w:rPr>
          <w:vertAlign w:val="superscript"/>
          <w:rtl/>
        </w:rPr>
        <w:instrText xml:space="preserve"> REF b3_note99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99</w:t>
      </w:r>
      <w:r>
        <w:rPr>
          <w:vertAlign w:val="superscript"/>
          <w:rtl/>
        </w:rPr>
        <w:fldChar w:fldCharType="end"/>
      </w:r>
      <w:r>
        <w:rPr>
          <w:rtl/>
        </w:rPr>
        <w:t>, תחום חינוך חשוב בסלבודקה</w:t>
      </w:r>
      <w:bookmarkStart w:id="1977" w:name="b3_ref100"/>
      <w:bookmarkEnd w:id="1977"/>
      <w:r>
        <w:rPr>
          <w:vertAlign w:val="superscript"/>
          <w:rtl/>
        </w:rPr>
        <w:fldChar w:fldCharType="begin" w:dirty="true"/>
      </w:r>
      <w:r>
        <w:rPr>
          <w:vertAlign w:val="superscript"/>
          <w:rtl/>
        </w:rPr>
        <w:instrText xml:space="preserve"> REF b3_note100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100</w:t>
      </w:r>
      <w:r>
        <w:rPr>
          <w:vertAlign w:val="superscript"/>
          <w:rtl/>
        </w:rPr>
        <w:fldChar w:fldCharType="end"/>
      </w:r>
      <w:r>
        <w:rPr>
          <w:rtl/>
        </w:rPr>
        <w:t xml:space="preserve">. אפילו בשבתות, </w:t>
      </w:r>
      <w:proofErr w:type="spellStart"/>
      <w:r>
        <w:rPr>
          <w:rtl/>
        </w:rPr>
        <w:t>כשלא</w:t>
      </w:r>
      <w:proofErr w:type="spellEnd"/>
      <w:r>
        <w:rPr>
          <w:rtl/>
        </w:rPr>
        <w:t xml:space="preserve"> היו סדרים רשמיים, המשיכו התלמידים לשקוד על לימודיהם, ומיהרו בסעודות השבת</w:t>
      </w:r>
      <w:bookmarkStart w:id="1978" w:name="b3_ref101"/>
      <w:bookmarkEnd w:id="1978"/>
      <w:r>
        <w:rPr>
          <w:vertAlign w:val="superscript"/>
          <w:rtl/>
        </w:rPr>
        <w:fldChar w:fldCharType="begin" w:dirty="true"/>
      </w:r>
      <w:r>
        <w:rPr>
          <w:vertAlign w:val="superscript"/>
          <w:rtl/>
        </w:rPr>
        <w:instrText xml:space="preserve"> REF b3_note101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101</w:t>
      </w:r>
      <w:r>
        <w:rPr>
          <w:vertAlign w:val="superscript"/>
          <w:rtl/>
        </w:rPr>
        <w:fldChar w:fldCharType="end"/>
      </w:r>
      <w:r>
        <w:rPr>
          <w:rtl/>
        </w:rPr>
        <w:t xml:space="preserve"> כדי לחזור לבית המדרש.</w:t>
      </w:r>
    </w:p>
    <w:bookmarkStart w:id="1979" w:name="b3_note98"/>
    <w:p w14:paraId="5529BE56" w14:textId="77777777" w:rsidR="00AB3647" w:rsidRDefault="00000000" w:rsidP="007923E9">
      <w:pPr>
        <w:spacing w:before="120" w:after="100" w:line="276" w:lineRule="auto"/>
        <w:jc w:val="both"/>
      </w:pPr>
      <w:r>
        <w:fldChar w:fldCharType="begin" w:dirty="true"/>
      </w:r>
      <w:r>
        <w:instrText>HYPERLINK \l "b3_ref98"</w:instrText>
      </w:r>
      <w:r>
        <w:fldChar w:fldCharType="separate"/>
      </w:r>
      <w:r>
        <w:rPr>
          <w:b/>
          <w:bCs/>
          <w:rtl/>
        </w:rPr>
        <w:t>98</w:t>
      </w:r>
      <w:r>
        <w:rPr>
          <w:b/>
          <w:bCs/>
        </w:rPr>
        <w:fldChar w:fldCharType="end"/>
      </w:r>
      <w:bookmarkEnd w:id="1979"/>
      <w:r>
        <w:rPr>
          <w:rtl/>
        </w:rPr>
        <w:t xml:space="preserve"> ר׳ </w:t>
      </w:r>
      <w:proofErr w:type="spellStart"/>
      <w:r>
        <w:rPr>
          <w:rtl/>
        </w:rPr>
        <w:t>לייבל</w:t>
      </w:r>
      <w:proofErr w:type="spellEnd"/>
      <w:r>
        <w:rPr>
          <w:rtl/>
        </w:rPr>
        <w:t xml:space="preserve"> </w:t>
      </w:r>
      <w:proofErr w:type="spellStart"/>
      <w:r>
        <w:rPr>
          <w:rtl/>
        </w:rPr>
        <w:t>פרלשטיין</w:t>
      </w:r>
      <w:proofErr w:type="spellEnd"/>
      <w:r>
        <w:rPr>
          <w:rtl/>
        </w:rPr>
        <w:t xml:space="preserve"> סיפר שכשתיאר אבי את האווירה בישיבת </w:t>
      </w:r>
      <w:proofErr w:type="spellStart"/>
      <w:r>
        <w:rPr>
          <w:rtl/>
        </w:rPr>
        <w:t>סלבודקה</w:t>
      </w:r>
      <w:proofErr w:type="spellEnd"/>
      <w:r>
        <w:rPr>
          <w:rtl/>
        </w:rPr>
        <w:t>, אמר: “היינו יושבים ואוכלים, אבל כל אחד השתדל לגמור מהר יותר, כדי לחזור לבית המדרש מהר יותר.”</w:t>
      </w:r>
    </w:p>
    <w:bookmarkStart w:id="1980" w:name="b3_note99"/>
    <w:p w14:paraId="3D77C5C7" w14:textId="7AAD91A1" w:rsidR="00AB3647" w:rsidRDefault="00000000" w:rsidP="007923E9">
      <w:pPr>
        <w:spacing w:before="120" w:after="100" w:line="276" w:lineRule="auto"/>
        <w:jc w:val="both"/>
      </w:pPr>
      <w:r>
        <w:fldChar w:fldCharType="begin" w:dirty="true"/>
      </w:r>
      <w:r>
        <w:instrText>HYPERLINK \l "b3_ref99"</w:instrText>
      </w:r>
      <w:r>
        <w:fldChar w:fldCharType="separate"/>
      </w:r>
      <w:r>
        <w:rPr>
          <w:b/>
          <w:bCs/>
          <w:rtl/>
        </w:rPr>
        <w:t>99</w:t>
      </w:r>
      <w:r>
        <w:rPr>
          <w:b/>
          <w:bCs/>
        </w:rPr>
        <w:fldChar w:fldCharType="end"/>
      </w:r>
      <w:bookmarkEnd w:id="1980"/>
      <w:r>
        <w:rPr>
          <w:rtl/>
        </w:rPr>
        <w:t xml:space="preserve"> “הוא היה אומר לי שאני אוכל את המרק מהר מדי. אם אני, נער בן </w:t>
      </w:r>
      <w:proofErr w:type="spellStart"/>
      <w:r>
        <w:rPr>
          <w:rtl/>
        </w:rPr>
        <w:t>חמש־עשרה</w:t>
      </w:r>
      <w:proofErr w:type="spellEnd"/>
      <w:r>
        <w:rPr>
          <w:rtl/>
        </w:rPr>
        <w:t xml:space="preserve">, הכנסתי לפי יותר מדי אוכל, היה גוער בי: ‘כך אין עושים; שוברים חתיכה קטנה בכל פעם.’ שנים אחר כך, כששנינו היינו רבנים בליטא – הוא </w:t>
      </w:r>
      <w:proofErr w:type="spellStart"/>
      <w:r>
        <w:rPr>
          <w:rtl/>
        </w:rPr>
        <w:t>בלזדיי</w:t>
      </w:r>
      <w:proofErr w:type="spellEnd"/>
      <w:r>
        <w:rPr>
          <w:rtl/>
        </w:rPr>
        <w:t xml:space="preserve"> ואני ברבנות החשובה יותר, </w:t>
      </w:r>
      <w:proofErr w:type="spellStart"/>
      <w:r>
        <w:rPr>
          <w:rtl/>
        </w:rPr>
        <w:t>בציטוביאן</w:t>
      </w:r>
      <w:proofErr w:type="spellEnd"/>
      <w:r>
        <w:rPr>
          <w:rtl/>
        </w:rPr>
        <w:t>, וכשכולם ידעו שגם ידעתי ללמוד טוב ממנו – הייתי מקדם את פניו במילים ‘שלום עליך רבי ומורי’. הוא חשב שזו הלצה, אבל אני התכוונתי באמת ובתמים</w:t>
      </w:r>
      <w:bookmarkStart w:id="1981" w:name="_fnr1256"/>
      <w:r>
        <w:rPr>
          <w:rStyle w:val="a5"/>
        </w:rPr>
        <w:footnoteReference w:id="1259" w:customMarkFollows="0"/>
      </w:r>
      <w:bookmarkEnd w:id="1981"/>
      <w:r>
        <w:rPr>
          <w:rtl/>
        </w:rPr>
        <w:t>.” השווה גם הפסקה השנייה ב</w:t>
      </w:r>
      <w:r>
        <w:rPr>
          <w:rtl/>
        </w:rPr>
        <w:fldChar w:fldCharType="begin" w:dirty="true"/>
      </w:r>
      <w:r>
        <w:rPr>
          <w:rtl/>
        </w:rPr>
        <w:instrText xml:space="preserve"> REF b3_excV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כב</w:t>
      </w:r>
      <w:proofErr w:type="spellEnd"/>
      <w:r>
        <w:rPr>
          <w:rtl/>
        </w:rPr>
        <w:fldChar w:fldCharType="end"/>
      </w:r>
      <w:r>
        <w:rPr>
          <w:rtl/>
        </w:rPr>
        <w:t xml:space="preserve"> להלן.</w:t>
      </w:r>
    </w:p>
    <w:bookmarkStart w:id="1982" w:name="b3_note100"/>
    <w:p w14:paraId="36EB49A5" w14:textId="77777777" w:rsidR="00AB3647" w:rsidRDefault="00000000" w:rsidP="007923E9">
      <w:pPr>
        <w:spacing w:before="120" w:after="100" w:line="276" w:lineRule="auto"/>
        <w:jc w:val="both"/>
      </w:pPr>
      <w:r>
        <w:fldChar w:fldCharType="begin" w:dirty="true"/>
      </w:r>
      <w:r>
        <w:instrText>HYPERLINK \l "b3_ref100"</w:instrText>
      </w:r>
      <w:r>
        <w:fldChar w:fldCharType="separate"/>
      </w:r>
      <w:r>
        <w:rPr>
          <w:b/>
          <w:bCs/>
          <w:rtl/>
        </w:rPr>
        <w:t>100</w:t>
      </w:r>
      <w:r>
        <w:rPr>
          <w:b/>
          <w:bCs/>
        </w:rPr>
        <w:fldChar w:fldCharType="end"/>
      </w:r>
      <w:bookmarkEnd w:id="1982"/>
      <w:r>
        <w:rPr>
          <w:rtl/>
        </w:rPr>
        <w:t xml:space="preserve"> ישיבת כנסת ישראל התגאתה בכך שהיא “מלמדת את תלמידיה איך לדבר”. ר׳ שמחה וסרמן סיפר</w:t>
      </w:r>
      <w:bookmarkStart w:id="1983" w:name="_fnr1257"/>
      <w:r>
        <w:rPr>
          <w:rStyle w:val="a5"/>
        </w:rPr>
        <w:footnoteReference w:id="1260" w:customMarkFollows="0"/>
      </w:r>
      <w:bookmarkEnd w:id="1983"/>
      <w:r>
        <w:rPr>
          <w:rtl/>
        </w:rPr>
        <w:t xml:space="preserve"> לי </w:t>
      </w:r>
      <w:proofErr w:type="spellStart"/>
      <w:r>
        <w:rPr>
          <w:rtl/>
        </w:rPr>
        <w:t>שבתרפ״ד</w:t>
      </w:r>
      <w:proofErr w:type="spellEnd"/>
      <w:r>
        <w:rPr>
          <w:rtl/>
        </w:rPr>
        <w:t xml:space="preserve"> בא מעבר לגבול הפולני לביקור אחרון אצל סבו הזקן ר׳ מאיר אטלס</w:t>
      </w:r>
      <w:bookmarkStart w:id="1984" w:name="_fnr1258"/>
      <w:r>
        <w:rPr>
          <w:rStyle w:val="a5"/>
        </w:rPr>
        <w:footnoteReference w:id="1261" w:customMarkFollows="0"/>
      </w:r>
      <w:bookmarkEnd w:id="1984"/>
      <w:r>
        <w:rPr>
          <w:rtl/>
        </w:rPr>
        <w:t xml:space="preserve">, רב שאוול – העיר השנייה בגודלה בליטא שלאחר מלחמת העולם הראשונה. ר׳ מאיר אטלס נפטר כעבור חצי שנה. ר׳ שמחה רצה לטעום את טעמה של ישיבת </w:t>
      </w:r>
      <w:proofErr w:type="spellStart"/>
      <w:r>
        <w:rPr>
          <w:rtl/>
        </w:rPr>
        <w:t>סלבודקה</w:t>
      </w:r>
      <w:proofErr w:type="spellEnd"/>
      <w:r>
        <w:rPr>
          <w:rtl/>
        </w:rPr>
        <w:t>, והחליט לשהות בה שבועות אחדים.</w:t>
      </w:r>
    </w:p>
    <w:p w14:paraId="7B751D6C" w14:textId="77777777" w:rsidR="00AB3647" w:rsidRDefault="00000000" w:rsidP="007923E9">
      <w:pPr>
        <w:spacing w:before="120" w:after="100" w:line="276" w:lineRule="auto"/>
        <w:jc w:val="both"/>
      </w:pPr>
      <w:r>
        <w:rPr>
          <w:rtl/>
        </w:rPr>
        <w:t>כשביקר אצל הסבא, נשאל לשלום אביו ר׳ אלחנן, והשיב: “</w:t>
      </w:r>
      <w:proofErr w:type="spellStart"/>
      <w:r>
        <w:rPr>
          <w:rtl/>
        </w:rPr>
        <w:t>ניש׳קשה</w:t>
      </w:r>
      <w:proofErr w:type="spellEnd"/>
      <w:r>
        <w:rPr>
          <w:rtl/>
        </w:rPr>
        <w:t xml:space="preserve"> [לא רע].” הסבא גער בו: “אוי ואבוי, כך מדברים על אבא?! האם שאלתי אותך על מצב הסוס באורווה, על העז בחצר? אוי, איך אפשר לדבר כך על אבא – ועל אבא כמו שלך?!”</w:t>
      </w:r>
      <w:bookmarkStart w:id="1985" w:name="_fnr1259"/>
      <w:r>
        <w:rPr>
          <w:rStyle w:val="a5"/>
        </w:rPr>
        <w:footnoteReference w:id="1262" w:customMarkFollows="0"/>
      </w:r>
      <w:bookmarkEnd w:id="1985"/>
      <w:r>
        <w:rPr>
          <w:rtl/>
        </w:rPr>
        <w:t xml:space="preserve"> ר׳ שמחה שמר על עשתונותיו. הוא ידע שהסבא מעריך</w:t>
      </w:r>
      <w:r>
        <w:t xml:space="preserve"> </w:t>
      </w:r>
      <w:r>
        <w:rPr>
          <w:rtl/>
        </w:rPr>
        <w:t xml:space="preserve">תשובה שנונה, וגם שהוא אוהב לשמוע שבחים על ישיבתו, והשיב מיד: “זו בדיוק הסיבה שבאתי </w:t>
      </w:r>
      <w:proofErr w:type="spellStart"/>
      <w:r>
        <w:rPr>
          <w:rtl/>
        </w:rPr>
        <w:t>לסלבודקה</w:t>
      </w:r>
      <w:proofErr w:type="spellEnd"/>
      <w:r>
        <w:rPr>
          <w:rtl/>
        </w:rPr>
        <w:t xml:space="preserve">. אומרים שכאן לומדים איך לדבר.” ר׳ שמחה סיים: “הסבא היה מרוצה מאוד מתשובתי; הוא נהנה </w:t>
      </w:r>
      <w:proofErr w:type="spellStart"/>
      <w:r>
        <w:rPr>
          <w:rtl/>
        </w:rPr>
        <w:t>מ׳א</w:t>
      </w:r>
      <w:proofErr w:type="spellEnd"/>
      <w:r>
        <w:rPr>
          <w:rtl/>
        </w:rPr>
        <w:t xml:space="preserve"> דרך </w:t>
      </w:r>
      <w:proofErr w:type="spellStart"/>
      <w:r>
        <w:rPr>
          <w:rtl/>
        </w:rPr>
        <w:t>ארצ׳דיגער</w:t>
      </w:r>
      <w:proofErr w:type="spellEnd"/>
      <w:r>
        <w:rPr>
          <w:rtl/>
        </w:rPr>
        <w:t xml:space="preserve"> </w:t>
      </w:r>
      <w:proofErr w:type="spellStart"/>
      <w:r>
        <w:rPr>
          <w:rtl/>
        </w:rPr>
        <w:t>שטיף</w:t>
      </w:r>
      <w:proofErr w:type="spellEnd"/>
      <w:r>
        <w:rPr>
          <w:rtl/>
        </w:rPr>
        <w:t>’ [תשובה שובבה שיש בה דרך ארץ].”</w:t>
      </w:r>
      <w:bookmarkStart w:id="1986" w:name="_fnr1260"/>
      <w:r>
        <w:rPr>
          <w:rStyle w:val="a5"/>
        </w:rPr>
        <w:footnoteReference w:id="1263" w:customMarkFollows="0"/>
      </w:r>
      <w:bookmarkEnd w:id="1986"/>
    </w:p>
    <w:p w14:paraId="56F6BA4F" w14:textId="77777777" w:rsidR="00AB3647" w:rsidRDefault="00000000" w:rsidP="007923E9">
      <w:pPr>
        <w:spacing w:after="100" w:line="276" w:lineRule="auto"/>
        <w:ind w:firstLine="340"/>
        <w:jc w:val="both"/>
      </w:pPr>
      <w:r>
        <w:rPr>
          <w:rtl/>
        </w:rPr>
        <w:t xml:space="preserve">הבחנתי שכשהזכיר רבנו את בית הכנסת </w:t>
      </w:r>
      <w:proofErr w:type="spellStart"/>
      <w:r>
        <w:rPr>
          <w:rtl/>
        </w:rPr>
        <w:t>בסלבודקה</w:t>
      </w:r>
      <w:proofErr w:type="spellEnd"/>
      <w:r>
        <w:rPr>
          <w:rtl/>
        </w:rPr>
        <w:t xml:space="preserve"> ששמו “הלוויית המת </w:t>
      </w:r>
      <w:proofErr w:type="spellStart"/>
      <w:r>
        <w:rPr>
          <w:rtl/>
        </w:rPr>
        <w:t>קלויז</w:t>
      </w:r>
      <w:proofErr w:type="spellEnd"/>
      <w:r>
        <w:rPr>
          <w:rtl/>
        </w:rPr>
        <w:t xml:space="preserve">”, היה משמיט את המילה השנייה שבשם. בכך קיים את הלקח של </w:t>
      </w:r>
      <w:proofErr w:type="spellStart"/>
      <w:r>
        <w:rPr>
          <w:rtl/>
        </w:rPr>
        <w:t>סלבודקה</w:t>
      </w:r>
      <w:proofErr w:type="spellEnd"/>
      <w:r>
        <w:rPr>
          <w:rtl/>
        </w:rPr>
        <w:t xml:space="preserve">, “איך לדבר”. בדומה לכך סיפר ר׳ </w:t>
      </w:r>
      <w:proofErr w:type="spellStart"/>
      <w:r>
        <w:rPr>
          <w:rtl/>
        </w:rPr>
        <w:t>חצקל</w:t>
      </w:r>
      <w:proofErr w:type="spellEnd"/>
      <w:r>
        <w:rPr>
          <w:rtl/>
        </w:rPr>
        <w:t xml:space="preserve"> </w:t>
      </w:r>
      <w:proofErr w:type="spellStart"/>
      <w:r>
        <w:rPr>
          <w:rtl/>
        </w:rPr>
        <w:t>סרנא</w:t>
      </w:r>
      <w:proofErr w:type="spellEnd"/>
      <w:r>
        <w:rPr>
          <w:rtl/>
        </w:rPr>
        <w:t xml:space="preserve">, תלמיד </w:t>
      </w:r>
      <w:proofErr w:type="spellStart"/>
      <w:r>
        <w:rPr>
          <w:rtl/>
        </w:rPr>
        <w:t>סלבודקה</w:t>
      </w:r>
      <w:bookmarkStart w:id="1987" w:name="_fnr1261"/>
      <w:proofErr w:type="spellEnd"/>
      <w:r>
        <w:rPr>
          <w:rStyle w:val="a5"/>
        </w:rPr>
        <w:footnoteReference w:id="1264" w:customMarkFollows="0"/>
      </w:r>
      <w:bookmarkEnd w:id="1987"/>
      <w:r>
        <w:rPr>
          <w:rtl/>
        </w:rPr>
        <w:t xml:space="preserve">, </w:t>
      </w:r>
      <w:proofErr w:type="spellStart"/>
      <w:r>
        <w:rPr>
          <w:rtl/>
        </w:rPr>
        <w:t>לר</w:t>
      </w:r>
      <w:proofErr w:type="spellEnd"/>
      <w:r>
        <w:rPr>
          <w:rtl/>
        </w:rPr>
        <w:t xml:space="preserve">׳ יצחק </w:t>
      </w:r>
      <w:proofErr w:type="spellStart"/>
      <w:r>
        <w:rPr>
          <w:rtl/>
        </w:rPr>
        <w:t>הוטנר</w:t>
      </w:r>
      <w:proofErr w:type="spellEnd"/>
      <w:r>
        <w:rPr>
          <w:rtl/>
        </w:rPr>
        <w:t>, תלמיד אחר, שהסבא מעולם לא אמר “כלב” אלא “נבחן”</w:t>
      </w:r>
      <w:bookmarkStart w:id="1988" w:name="_fnr1262"/>
      <w:r>
        <w:rPr>
          <w:rStyle w:val="a5"/>
        </w:rPr>
        <w:footnoteReference w:id="1265" w:customMarkFollows="0"/>
      </w:r>
      <w:bookmarkEnd w:id="1988"/>
      <w:r>
        <w:rPr>
          <w:rtl/>
        </w:rPr>
        <w:t xml:space="preserve">. השיב לו הרב </w:t>
      </w:r>
      <w:proofErr w:type="spellStart"/>
      <w:r>
        <w:rPr>
          <w:rtl/>
        </w:rPr>
        <w:t>הוטנר</w:t>
      </w:r>
      <w:proofErr w:type="spellEnd"/>
      <w:r>
        <w:rPr>
          <w:rtl/>
        </w:rPr>
        <w:t xml:space="preserve"> שכשהזכיר הסבא את הפסוק “ראה נתתי </w:t>
      </w:r>
      <w:r>
        <w:rPr>
          <w:rtl/>
        </w:rPr>
        <w:lastRenderedPageBreak/>
        <w:t xml:space="preserve">לפניך היום את החיים ואת הטוב ואת </w:t>
      </w:r>
      <w:proofErr w:type="spellStart"/>
      <w:r>
        <w:rPr>
          <w:rtl/>
        </w:rPr>
        <w:t>המות</w:t>
      </w:r>
      <w:proofErr w:type="spellEnd"/>
      <w:r>
        <w:rPr>
          <w:rtl/>
        </w:rPr>
        <w:t xml:space="preserve"> ואת הרע”</w:t>
      </w:r>
      <w:bookmarkStart w:id="1989" w:name="_fnr1263"/>
      <w:r>
        <w:rPr>
          <w:rStyle w:val="a5"/>
        </w:rPr>
        <w:footnoteReference w:id="1266" w:customMarkFollows="0"/>
      </w:r>
      <w:bookmarkEnd w:id="1989"/>
      <w:r>
        <w:rPr>
          <w:rtl/>
        </w:rPr>
        <w:t>, היה משמיט את ארבע המילים האחרונות ואומר במקומן “ואת ההפך”</w:t>
      </w:r>
      <w:bookmarkStart w:id="1990" w:name="_fnr1264"/>
      <w:r>
        <w:rPr>
          <w:rStyle w:val="a5"/>
        </w:rPr>
        <w:footnoteReference w:id="1267" w:customMarkFollows="0"/>
      </w:r>
      <w:bookmarkEnd w:id="1990"/>
      <w:r>
        <w:rPr>
          <w:rtl/>
        </w:rPr>
        <w:t>.</w:t>
      </w:r>
    </w:p>
    <w:p w14:paraId="52564F20" w14:textId="77777777" w:rsidR="00AB3647" w:rsidRDefault="00000000" w:rsidP="007923E9">
      <w:pPr>
        <w:spacing w:after="100" w:line="276" w:lineRule="auto"/>
        <w:ind w:firstLine="340"/>
        <w:jc w:val="both"/>
      </w:pPr>
      <w:r>
        <w:rPr>
          <w:rtl/>
        </w:rPr>
        <w:t xml:space="preserve">על הקפדתו של אבי על “איך לדבר” העיר ר׳ </w:t>
      </w:r>
      <w:proofErr w:type="spellStart"/>
      <w:r>
        <w:rPr>
          <w:rtl/>
        </w:rPr>
        <w:t>זלמן־פינחס</w:t>
      </w:r>
      <w:proofErr w:type="spellEnd"/>
      <w:r>
        <w:rPr>
          <w:rtl/>
        </w:rPr>
        <w:t xml:space="preserve"> קווין</w:t>
      </w:r>
      <w:bookmarkStart w:id="1991" w:name="_fnr1265"/>
      <w:r>
        <w:rPr>
          <w:rStyle w:val="a5"/>
        </w:rPr>
        <w:footnoteReference w:id="1268" w:customMarkFollows="0"/>
      </w:r>
      <w:bookmarkEnd w:id="1991"/>
      <w:r>
        <w:rPr>
          <w:rtl/>
        </w:rPr>
        <w:t xml:space="preserve"> שאבי נזהר שלא לדבר בשלילה אפילו כשחלק על מישהו: הוא היה שומע את דעת האחר ואומר: “</w:t>
      </w:r>
      <w:r>
        <w:rPr>
          <w:b/>
          <w:bCs/>
          <w:rtl/>
        </w:rPr>
        <w:t>כן</w:t>
      </w:r>
      <w:r>
        <w:rPr>
          <w:rtl/>
        </w:rPr>
        <w:t>, אבל...”</w:t>
      </w:r>
      <w:bookmarkStart w:id="1992" w:name="_fnr1266"/>
      <w:r>
        <w:rPr>
          <w:rStyle w:val="a5"/>
        </w:rPr>
        <w:footnoteReference w:id="1269" w:customMarkFollows="0"/>
      </w:r>
      <w:bookmarkEnd w:id="1992"/>
    </w:p>
    <w:bookmarkStart w:id="1993" w:name="b3_note101"/>
    <w:p w14:paraId="54266414" w14:textId="77777777" w:rsidR="00AB3647" w:rsidRDefault="00000000" w:rsidP="007923E9">
      <w:pPr>
        <w:spacing w:before="120" w:after="100" w:line="276" w:lineRule="auto"/>
        <w:jc w:val="both"/>
      </w:pPr>
      <w:r>
        <w:fldChar w:fldCharType="begin" w:dirty="true"/>
      </w:r>
      <w:r>
        <w:instrText>HYPERLINK \l "b3_ref101"</w:instrText>
      </w:r>
      <w:r>
        <w:fldChar w:fldCharType="separate"/>
      </w:r>
      <w:r>
        <w:rPr>
          <w:b/>
          <w:bCs/>
          <w:rtl/>
        </w:rPr>
        <w:t>101</w:t>
      </w:r>
      <w:r>
        <w:rPr>
          <w:b/>
          <w:bCs/>
        </w:rPr>
        <w:fldChar w:fldCharType="end"/>
      </w:r>
      <w:bookmarkEnd w:id="1993"/>
      <w:r>
        <w:rPr>
          <w:rtl/>
        </w:rPr>
        <w:t xml:space="preserve"> ר׳ </w:t>
      </w:r>
      <w:proofErr w:type="spellStart"/>
      <w:r>
        <w:rPr>
          <w:rtl/>
        </w:rPr>
        <w:t>לייבל</w:t>
      </w:r>
      <w:proofErr w:type="spellEnd"/>
      <w:r>
        <w:rPr>
          <w:rtl/>
        </w:rPr>
        <w:t xml:space="preserve"> </w:t>
      </w:r>
      <w:proofErr w:type="spellStart"/>
      <w:r>
        <w:rPr>
          <w:rtl/>
        </w:rPr>
        <w:t>פרלשטיין</w:t>
      </w:r>
      <w:bookmarkStart w:id="1994" w:name="_fnr1267"/>
      <w:proofErr w:type="spellEnd"/>
      <w:r>
        <w:rPr>
          <w:rStyle w:val="a5"/>
        </w:rPr>
        <w:footnoteReference w:id="1270" w:customMarkFollows="0"/>
      </w:r>
      <w:bookmarkEnd w:id="1994"/>
      <w:r>
        <w:rPr>
          <w:rtl/>
        </w:rPr>
        <w:t xml:space="preserve"> סיפר ששאל את אבי מדוע אינו אומר זמירות בשולחן השבת, ורבנו השיב שכך הורגל </w:t>
      </w:r>
      <w:proofErr w:type="spellStart"/>
      <w:r>
        <w:rPr>
          <w:rtl/>
        </w:rPr>
        <w:t>בסלבודקה</w:t>
      </w:r>
      <w:bookmarkStart w:id="1995" w:name="_fnr1268"/>
      <w:proofErr w:type="spellEnd"/>
      <w:r>
        <w:rPr>
          <w:rStyle w:val="a5"/>
        </w:rPr>
        <w:footnoteReference w:id="1271" w:customMarkFollows="0"/>
      </w:r>
      <w:bookmarkEnd w:id="1995"/>
      <w:r>
        <w:rPr>
          <w:rtl/>
        </w:rPr>
        <w:t xml:space="preserve">: שם, מרוב חיפזון לחזור ללימוד, הבחורים אפילו לא בירכו בזימון! כשסיפר אבי שאכל סעודה שלישית על שולחן הסבא, ושאל ר׳ </w:t>
      </w:r>
      <w:proofErr w:type="spellStart"/>
      <w:r>
        <w:rPr>
          <w:rtl/>
        </w:rPr>
        <w:t>לייבל</w:t>
      </w:r>
      <w:proofErr w:type="spellEnd"/>
      <w:r>
        <w:rPr>
          <w:rtl/>
        </w:rPr>
        <w:t xml:space="preserve"> אם אחרי ערבית הוגשה מלווה מלכה, נדהם אבי ואמר: “איזו מלווה מלכה?! במוצאי שבת חזרנו מיד ללמוד!”</w:t>
      </w:r>
    </w:p>
    <w:p w14:paraId="5FDA2ADB" w14:textId="6FB8BDBA"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קבלת הפנים הקרה של הסבא עוררה אצל </w:t>
      </w:r>
      <w:proofErr w:type="spellStart"/>
      <w:r>
        <w:rPr>
          <w:rtl/>
        </w:rPr>
        <w:t>הדולהינובר</w:t>
      </w:r>
      <w:proofErr w:type="spellEnd"/>
      <w:r>
        <w:rPr>
          <w:rtl/>
        </w:rPr>
        <w:t xml:space="preserve"> ספקות אם התקבל לישיבה באופן סופי, ודווקא השיבוץ לסעודות שבת, שבועות אחדים אחר כך, הוא שהסיר אותם. הסבא הודיע לו שהוא מוזמן לאכול את סעודות השבת בבית עמיתו הוותיק, ר׳ </w:t>
      </w:r>
      <w:proofErr w:type="spellStart"/>
      <w:r>
        <w:rPr>
          <w:rtl/>
        </w:rPr>
        <w:t xml:space="preserve">בער־הירש</w:t>
      </w:r>
      <w:proofErr w:type="spellEnd"/>
      <w:r>
        <w:rPr>
          <w:rtl/>
        </w:rPr>
        <w:t xml:space="preserve"> הלר</w:t>
      </w:r>
      <w:bookmarkStart w:id="1996" w:name="b3_ref102"/>
      <w:bookmarkEnd w:id="1996"/>
      <w:r>
        <w:rPr>
          <w:vertAlign w:val="superscript"/>
          <w:rtl/>
        </w:rPr>
        <w:fldChar w:fldCharType="begin" w:dirty="true"/>
      </w:r>
      <w:r>
        <w:rPr>
          <w:vertAlign w:val="superscript"/>
          <w:rtl/>
        </w:rPr>
        <w:instrText xml:space="preserve"> REF b3_note102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102</w:t>
      </w:r>
      <w:r>
        <w:rPr>
          <w:vertAlign w:val="superscript"/>
          <w:rtl/>
        </w:rPr>
        <w:fldChar w:fldCharType="end"/>
      </w:r>
      <w:r>
        <w:rPr>
          <w:rtl/>
        </w:rPr>
        <w:t>, עוזר המשגיח האהוב מאוד.</w:t>
      </w:r>
    </w:p>
    <w:bookmarkStart w:id="1997" w:name="b3_note102"/>
    <w:p w14:paraId="4FAAFA5C" w14:textId="77777777" w:rsidR="00AB3647" w:rsidRDefault="00000000" w:rsidP="007923E9">
      <w:pPr>
        <w:spacing w:before="120" w:after="100" w:line="276" w:lineRule="auto"/>
        <w:jc w:val="both"/>
      </w:pPr>
      <w:r>
        <w:fldChar w:fldCharType="begin" w:dirty="true"/>
      </w:r>
      <w:r>
        <w:instrText>HYPERLINK \l "b3_ref102"</w:instrText>
      </w:r>
      <w:r>
        <w:fldChar w:fldCharType="separate"/>
      </w:r>
      <w:r>
        <w:rPr>
          <w:b/>
          <w:bCs/>
          <w:rtl/>
        </w:rPr>
        <w:t>102</w:t>
      </w:r>
      <w:r>
        <w:rPr>
          <w:b/>
          <w:bCs/>
        </w:rPr>
        <w:fldChar w:fldCharType="end"/>
      </w:r>
      <w:bookmarkEnd w:id="1997"/>
      <w:r>
        <w:rPr>
          <w:rtl/>
        </w:rPr>
        <w:t xml:space="preserve"> אין תיעוד ישיר לשנת הולדתו של ר׳ </w:t>
      </w:r>
      <w:proofErr w:type="spellStart"/>
      <w:r>
        <w:rPr>
          <w:rtl/>
        </w:rPr>
        <w:t xml:space="preserve">בער־הירש</w:t>
      </w:r>
      <w:proofErr w:type="spellEnd"/>
      <w:r>
        <w:rPr>
          <w:rtl/>
        </w:rPr>
        <w:t>. ר׳ ישעיה שכטר ציין</w:t>
      </w:r>
      <w:bookmarkStart w:id="1998" w:name="_fnr1269"/>
      <w:r>
        <w:rPr>
          <w:rStyle w:val="a5"/>
        </w:rPr>
        <w:footnoteReference w:id="1272" w:customMarkFollows="0"/>
      </w:r>
      <w:bookmarkEnd w:id="1998"/>
      <w:r>
        <w:rPr>
          <w:rtl/>
        </w:rPr>
        <w:t xml:space="preserve"> שאבי הצביע על דבר מוזר: כל הפרש הגילים בין “המשגיח הזקן והמשגיח הצעיר”</w:t>
      </w:r>
      <w:bookmarkStart w:id="1999" w:name="_fnr1270"/>
      <w:r>
        <w:rPr>
          <w:rStyle w:val="a5"/>
        </w:rPr>
        <w:footnoteReference w:id="1273" w:customMarkFollows="0"/>
      </w:r>
      <w:bookmarkEnd w:id="1999"/>
      <w:r>
        <w:rPr>
          <w:rtl/>
        </w:rPr>
        <w:t xml:space="preserve"> – הסבא </w:t>
      </w:r>
      <w:proofErr w:type="spellStart"/>
      <w:r>
        <w:rPr>
          <w:rtl/>
        </w:rPr>
        <w:t>מסלבודקה</w:t>
      </w:r>
      <w:proofErr w:type="spellEnd"/>
      <w:r>
        <w:rPr>
          <w:rtl/>
        </w:rPr>
        <w:t xml:space="preserve"> והרב </w:t>
      </w:r>
      <w:proofErr w:type="spellStart"/>
      <w:r>
        <w:rPr>
          <w:rtl/>
        </w:rPr>
        <w:t xml:space="preserve">הלר</w:t>
      </w:r>
      <w:proofErr w:type="spellEnd"/>
      <w:r>
        <w:rPr>
          <w:rtl/>
        </w:rPr>
        <w:t xml:space="preserve"> – היה שלוש שנים בלבד. לפי זה נולד האחרון </w:t>
      </w:r>
      <w:proofErr w:type="spellStart"/>
      <w:r>
        <w:rPr>
          <w:rtl/>
        </w:rPr>
        <w:t>בתרי״ב</w:t>
      </w:r>
      <w:proofErr w:type="spellEnd"/>
      <w:r>
        <w:rPr>
          <w:rtl/>
        </w:rPr>
        <w:t xml:space="preserve">, והיה בן עשרים ושמונה (!) כשנפתח </w:t>
      </w:r>
      <w:proofErr w:type="spellStart"/>
      <w:r>
        <w:rPr>
          <w:rtl/>
        </w:rPr>
        <w:t>גרובין</w:t>
      </w:r>
      <w:bookmarkStart w:id="2000" w:name="_fnr1271"/>
      <w:proofErr w:type="spellEnd"/>
      <w:r>
        <w:rPr>
          <w:rStyle w:val="a5"/>
        </w:rPr>
        <w:footnoteReference w:id="1274" w:customMarkFollows="0"/>
      </w:r>
      <w:bookmarkEnd w:id="2000"/>
      <w:r>
        <w:rPr>
          <w:rtl/>
        </w:rPr>
        <w:t xml:space="preserve">. ר׳ </w:t>
      </w:r>
      <w:proofErr w:type="spellStart"/>
      <w:r>
        <w:rPr>
          <w:rtl/>
        </w:rPr>
        <w:t xml:space="preserve">בער־הירש</w:t>
      </w:r>
      <w:proofErr w:type="spellEnd"/>
      <w:r>
        <w:rPr>
          <w:rtl/>
        </w:rPr>
        <w:t xml:space="preserve"> נפטר בירושלים </w:t>
      </w:r>
      <w:proofErr w:type="spellStart"/>
      <w:r>
        <w:rPr>
          <w:rtl/>
        </w:rPr>
        <w:t>בתרצ״ה</w:t>
      </w:r>
      <w:proofErr w:type="spellEnd"/>
      <w:r>
        <w:rPr>
          <w:rtl/>
        </w:rPr>
        <w:t>.</w:t>
      </w:r>
    </w:p>
    <w:p w14:paraId="6D537D5A" w14:textId="5C435FCD"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הרב </w:t>
      </w:r>
      <w:proofErr w:type="spellStart"/>
      <w:r>
        <w:rPr>
          <w:rtl/>
        </w:rPr>
        <w:t xml:space="preserve">הלר</w:t>
      </w:r>
      <w:proofErr w:type="spellEnd"/>
      <w:r>
        <w:rPr>
          <w:rtl/>
        </w:rPr>
        <w:t xml:space="preserve"> פגש לראשונה את ר׳ נתן־צבי</w:t>
      </w:r>
      <w:bookmarkStart w:id="2001" w:name="b3_ref103"/>
      <w:bookmarkEnd w:id="2001"/>
      <w:r>
        <w:rPr>
          <w:vertAlign w:val="superscript"/>
          <w:rtl/>
        </w:rPr>
        <w:fldChar w:fldCharType="begin" w:dirty="true"/>
      </w:r>
      <w:r>
        <w:rPr>
          <w:vertAlign w:val="superscript"/>
          <w:rtl/>
        </w:rPr>
        <w:instrText xml:space="preserve"> REF b3_note103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103</w:t>
      </w:r>
      <w:r>
        <w:rPr>
          <w:vertAlign w:val="superscript"/>
          <w:rtl/>
        </w:rPr>
        <w:fldChar w:fldCharType="end"/>
      </w:r>
      <w:r>
        <w:rPr>
          <w:rtl/>
        </w:rPr>
        <w:t xml:space="preserve"> כשהלה לימד תנ״ך בבית הספר שנקרא “בית ישיבה פרטי לעברים”</w:t>
      </w:r>
      <w:bookmarkStart w:id="2002" w:name="b3_ref104"/>
      <w:bookmarkEnd w:id="2002"/>
      <w:r>
        <w:rPr>
          <w:vertAlign w:val="superscript"/>
          <w:rtl/>
        </w:rPr>
        <w:fldChar w:fldCharType="begin" w:dirty="true"/>
      </w:r>
      <w:r>
        <w:rPr>
          <w:vertAlign w:val="superscript"/>
          <w:rtl/>
        </w:rPr>
        <w:instrText xml:space="preserve"> REF b3_note104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104</w:t>
      </w:r>
      <w:r>
        <w:rPr>
          <w:vertAlign w:val="superscript"/>
          <w:rtl/>
        </w:rPr>
        <w:fldChar w:fldCharType="end"/>
      </w:r>
      <w:r>
        <w:rPr>
          <w:rtl/>
        </w:rPr>
        <w:t xml:space="preserve">. את בית הספר ייסד ר׳ </w:t>
      </w:r>
      <w:proofErr w:type="spellStart"/>
      <w:r>
        <w:rPr>
          <w:rtl/>
        </w:rPr>
        <w:t>שמחה־זיסל</w:t>
      </w:r>
      <w:proofErr w:type="spellEnd"/>
      <w:r>
        <w:rPr>
          <w:rtl/>
        </w:rPr>
        <w:t xml:space="preserve"> זיו, תלמידו המובהק של ר׳ ישראל </w:t>
      </w:r>
      <w:proofErr w:type="spellStart"/>
      <w:r>
        <w:rPr>
          <w:rtl/>
        </w:rPr>
        <w:t>סלנטר</w:t>
      </w:r>
      <w:proofErr w:type="spellEnd"/>
      <w:r>
        <w:rPr>
          <w:rtl/>
        </w:rPr>
        <w:t>, בגרובין</w:t>
      </w:r>
      <w:bookmarkStart w:id="2003" w:name="b3_ref105"/>
      <w:bookmarkEnd w:id="2003"/>
      <w:r>
        <w:rPr>
          <w:vertAlign w:val="superscript"/>
          <w:rtl/>
        </w:rPr>
        <w:fldChar w:fldCharType="begin" w:dirty="true"/>
      </w:r>
      <w:r>
        <w:rPr>
          <w:vertAlign w:val="superscript"/>
          <w:rtl/>
        </w:rPr>
        <w:instrText xml:space="preserve"> REF b3_note105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105</w:t>
      </w:r>
      <w:r>
        <w:rPr>
          <w:vertAlign w:val="superscript"/>
          <w:rtl/>
        </w:rPr>
        <w:fldChar w:fldCharType="end"/>
      </w:r>
      <w:r>
        <w:rPr>
          <w:rtl/>
        </w:rPr>
        <w:t xml:space="preserve">, עיירה סמוכה </w:t>
      </w:r>
      <w:proofErr w:type="spellStart"/>
      <w:r>
        <w:rPr>
          <w:rtl/>
        </w:rPr>
        <w:t>לליבאו</w:t>
      </w:r>
      <w:proofErr w:type="spellEnd"/>
      <w:r>
        <w:rPr>
          <w:rtl/>
        </w:rPr>
        <w:t>. היה זה ניסיון נועז לבלום את השפעת ההשכלה על החיים היהודיים</w:t>
      </w:r>
      <w:bookmarkStart w:id="2004" w:name="b3_ref106"/>
      <w:bookmarkEnd w:id="2004"/>
      <w:r>
        <w:rPr>
          <w:vertAlign w:val="superscript"/>
          <w:rtl/>
        </w:rPr>
        <w:fldChar w:fldCharType="begin" w:dirty="true"/>
      </w:r>
      <w:r>
        <w:rPr>
          <w:vertAlign w:val="superscript"/>
          <w:rtl/>
        </w:rPr>
        <w:instrText xml:space="preserve"> REF b3_note106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106</w:t>
      </w:r>
      <w:r>
        <w:rPr>
          <w:vertAlign w:val="superscript"/>
          <w:rtl/>
        </w:rPr>
        <w:fldChar w:fldCharType="end"/>
      </w:r>
      <w:r>
        <w:rPr>
          <w:rtl/>
        </w:rPr>
        <w:t>. בית הספר העניק לילדי האמידים תוכנית חינוך דתית־מוסרית־כללית</w:t>
      </w:r>
      <w:bookmarkStart w:id="2005" w:name="b3_ref107"/>
      <w:bookmarkEnd w:id="2005"/>
      <w:r>
        <w:rPr>
          <w:vertAlign w:val="superscript"/>
          <w:rtl/>
        </w:rPr>
        <w:fldChar w:fldCharType="begin" w:dirty="true"/>
      </w:r>
      <w:r>
        <w:rPr>
          <w:vertAlign w:val="superscript"/>
          <w:rtl/>
        </w:rPr>
        <w:instrText xml:space="preserve"> REF b3_note107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107</w:t>
      </w:r>
      <w:r>
        <w:rPr>
          <w:vertAlign w:val="superscript"/>
          <w:rtl/>
        </w:rPr>
        <w:fldChar w:fldCharType="end"/>
      </w:r>
      <w:r>
        <w:rPr>
          <w:rtl/>
        </w:rPr>
        <w:t>, וגבה שכר לימוד שהיה למעלה מיכולתו</w:t>
      </w:r>
      <w:bookmarkStart w:id="2006" w:name="b3_ref108"/>
      <w:bookmarkEnd w:id="2006"/>
      <w:r>
        <w:rPr>
          <w:vertAlign w:val="superscript"/>
          <w:rtl/>
        </w:rPr>
        <w:fldChar w:fldCharType="begin" w:dirty="true"/>
      </w:r>
      <w:r>
        <w:rPr>
          <w:vertAlign w:val="superscript"/>
          <w:rtl/>
        </w:rPr>
        <w:instrText xml:space="preserve"> REF b3_note108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108</w:t>
      </w:r>
      <w:r>
        <w:rPr>
          <w:vertAlign w:val="superscript"/>
          <w:rtl/>
        </w:rPr>
        <w:fldChar w:fldCharType="end"/>
      </w:r>
      <w:r>
        <w:rPr>
          <w:rtl/>
        </w:rPr>
        <w:t xml:space="preserve"> של צעיר חסר אמצעים כמו הלר</w:t>
      </w:r>
      <w:bookmarkStart w:id="2007" w:name="b3_ref109"/>
      <w:bookmarkEnd w:id="2007"/>
      <w:r>
        <w:rPr>
          <w:vertAlign w:val="superscript"/>
          <w:rtl/>
        </w:rPr>
        <w:fldChar w:fldCharType="begin" w:dirty="true"/>
      </w:r>
      <w:r>
        <w:rPr>
          <w:vertAlign w:val="superscript"/>
          <w:rtl/>
        </w:rPr>
        <w:instrText xml:space="preserve"> REF b3_note109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109</w:t>
      </w:r>
      <w:r>
        <w:rPr>
          <w:vertAlign w:val="superscript"/>
          <w:rtl/>
        </w:rPr>
        <w:fldChar w:fldCharType="end"/>
      </w:r>
      <w:r>
        <w:rPr>
          <w:rtl/>
        </w:rPr>
        <w:t xml:space="preserve">. אבל </w:t>
      </w:r>
      <w:proofErr w:type="spellStart"/>
      <w:r>
        <w:rPr>
          <w:rtl/>
        </w:rPr>
        <w:t xml:space="preserve">בער־הירש</w:t>
      </w:r>
      <w:proofErr w:type="spellEnd"/>
      <w:r>
        <w:rPr>
          <w:rtl/>
        </w:rPr>
        <w:t xml:space="preserve">, שהיה כבר בשלהי שנות העשרים לחייו, השתוקק לספוג את תורת הסבא מקלם. הוא </w:t>
      </w:r>
      <w:r>
        <w:rPr>
          <w:rtl/>
        </w:rPr>
        <w:lastRenderedPageBreak/>
        <w:t>“אכל ימים” בעיר, ומדי בוקר בא אל בית הספר לשמוע את שיחותיו של הסבא מקלם אחרי התפילה</w:t>
      </w:r>
      <w:bookmarkStart w:id="2008" w:name="b3_ref110"/>
      <w:bookmarkEnd w:id="2008"/>
      <w:r>
        <w:rPr>
          <w:vertAlign w:val="superscript"/>
          <w:rtl/>
        </w:rPr>
        <w:fldChar w:fldCharType="begin" w:dirty="true"/>
      </w:r>
      <w:r>
        <w:rPr>
          <w:vertAlign w:val="superscript"/>
          <w:rtl/>
        </w:rPr>
        <w:instrText xml:space="preserve"> REF b3_note110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110</w:t>
      </w:r>
      <w:r>
        <w:rPr>
          <w:vertAlign w:val="superscript"/>
          <w:rtl/>
        </w:rPr>
        <w:fldChar w:fldCharType="end"/>
      </w:r>
      <w:r>
        <w:rPr>
          <w:rtl/>
        </w:rPr>
        <w:t>.</w:t>
      </w:r>
    </w:p>
    <w:bookmarkStart w:id="2009" w:name="b3_note103"/>
    <w:p w14:paraId="36FCCF0C" w14:textId="77777777" w:rsidR="00AB3647" w:rsidRDefault="00000000" w:rsidP="007923E9">
      <w:pPr>
        <w:spacing w:before="120" w:after="100" w:line="276" w:lineRule="auto"/>
        <w:jc w:val="both"/>
      </w:pPr>
      <w:r>
        <w:fldChar w:fldCharType="begin" w:dirty="true"/>
      </w:r>
      <w:r>
        <w:instrText>HYPERLINK \l "b3_ref103"</w:instrText>
      </w:r>
      <w:r>
        <w:fldChar w:fldCharType="separate"/>
      </w:r>
      <w:r>
        <w:rPr>
          <w:b/>
          <w:bCs/>
          <w:rtl/>
        </w:rPr>
        <w:t>103</w:t>
      </w:r>
      <w:r>
        <w:rPr>
          <w:b/>
          <w:bCs/>
        </w:rPr>
        <w:fldChar w:fldCharType="end"/>
      </w:r>
      <w:bookmarkEnd w:id="2009"/>
      <w:r>
        <w:rPr>
          <w:rtl/>
        </w:rPr>
        <w:t xml:space="preserve"> הרב </w:t>
      </w:r>
      <w:proofErr w:type="spellStart"/>
      <w:r>
        <w:rPr>
          <w:rtl/>
        </w:rPr>
        <w:t xml:space="preserve">הלר</w:t>
      </w:r>
      <w:proofErr w:type="spellEnd"/>
      <w:r>
        <w:rPr>
          <w:rtl/>
        </w:rPr>
        <w:t xml:space="preserve"> למד גם </w:t>
      </w:r>
      <w:proofErr w:type="spellStart"/>
      <w:r>
        <w:rPr>
          <w:rtl/>
        </w:rPr>
        <w:t>בוולוז׳ין</w:t>
      </w:r>
      <w:proofErr w:type="spellEnd"/>
      <w:r>
        <w:rPr>
          <w:rtl/>
        </w:rPr>
        <w:t xml:space="preserve">. ר׳ חיים </w:t>
      </w:r>
      <w:proofErr w:type="spellStart"/>
      <w:r>
        <w:rPr>
          <w:rtl/>
        </w:rPr>
        <w:t>קרייזווירט</w:t>
      </w:r>
      <w:bookmarkStart w:id="2010" w:name="_fnr1272"/>
      <w:proofErr w:type="spellEnd"/>
      <w:r>
        <w:rPr>
          <w:rStyle w:val="a5"/>
        </w:rPr>
        <w:footnoteReference w:id="1275" w:customMarkFollows="0"/>
      </w:r>
      <w:bookmarkEnd w:id="2010"/>
      <w:r>
        <w:rPr>
          <w:rtl/>
        </w:rPr>
        <w:t xml:space="preserve"> גילה זאת כשבא לארץ ישראל מיד לאחר נישואיו: אלמנתו של ר׳ </w:t>
      </w:r>
      <w:proofErr w:type="spellStart"/>
      <w:r>
        <w:rPr>
          <w:rtl/>
        </w:rPr>
        <w:t xml:space="preserve">בער־הירש</w:t>
      </w:r>
      <w:proofErr w:type="spellEnd"/>
      <w:r>
        <w:rPr>
          <w:rtl/>
        </w:rPr>
        <w:t xml:space="preserve">, </w:t>
      </w:r>
      <w:proofErr w:type="spellStart"/>
      <w:r>
        <w:rPr>
          <w:rtl/>
        </w:rPr>
        <w:t>פייגה־אסתר</w:t>
      </w:r>
      <w:proofErr w:type="spellEnd"/>
      <w:r>
        <w:rPr>
          <w:rtl/>
        </w:rPr>
        <w:t xml:space="preserve">, עוד הייתה בחיים, והראתה לו את הסמיכה שקיבל בעלה מן </w:t>
      </w:r>
      <w:proofErr w:type="spellStart"/>
      <w:r>
        <w:rPr>
          <w:rtl/>
        </w:rPr>
        <w:t>הנצי״ב</w:t>
      </w:r>
      <w:proofErr w:type="spellEnd"/>
      <w:r>
        <w:rPr>
          <w:rtl/>
        </w:rPr>
        <w:t xml:space="preserve">. הרב </w:t>
      </w:r>
      <w:proofErr w:type="spellStart"/>
      <w:r>
        <w:rPr>
          <w:rtl/>
        </w:rPr>
        <w:t>קרייזווירט</w:t>
      </w:r>
      <w:proofErr w:type="spellEnd"/>
      <w:r>
        <w:rPr>
          <w:rtl/>
        </w:rPr>
        <w:t xml:space="preserve"> לא זכר את תאריך המסמך, שאבד מאז, אבל ודאי היה זה לפני שבא הרב </w:t>
      </w:r>
      <w:proofErr w:type="spellStart"/>
      <w:r>
        <w:rPr>
          <w:rtl/>
        </w:rPr>
        <w:t xml:space="preserve">הלר</w:t>
      </w:r>
      <w:proofErr w:type="spellEnd"/>
      <w:r>
        <w:rPr>
          <w:rtl/>
        </w:rPr>
        <w:t xml:space="preserve"> </w:t>
      </w:r>
      <w:proofErr w:type="spellStart"/>
      <w:r>
        <w:rPr>
          <w:rtl/>
        </w:rPr>
        <w:t>לגרובין</w:t>
      </w:r>
      <w:proofErr w:type="spellEnd"/>
      <w:r>
        <w:rPr>
          <w:rtl/>
        </w:rPr>
        <w:t xml:space="preserve">, שכן משם כבר יצא </w:t>
      </w:r>
      <w:proofErr w:type="spellStart"/>
      <w:r>
        <w:rPr>
          <w:rtl/>
        </w:rPr>
        <w:t>לסלבודקה</w:t>
      </w:r>
      <w:proofErr w:type="spellEnd"/>
      <w:r>
        <w:rPr>
          <w:rtl/>
        </w:rPr>
        <w:t xml:space="preserve"> עם הסבא. כדי לקבל סמיכה </w:t>
      </w:r>
      <w:proofErr w:type="spellStart"/>
      <w:r>
        <w:rPr>
          <w:rtl/>
        </w:rPr>
        <w:t>מוולוז׳ין</w:t>
      </w:r>
      <w:proofErr w:type="spellEnd"/>
      <w:r>
        <w:rPr>
          <w:rtl/>
        </w:rPr>
        <w:t>, ודאי למד שם כמה שנים.</w:t>
      </w:r>
    </w:p>
    <w:p w14:paraId="1B9FC1D3" w14:textId="1FBF335C" w:rsidR="00AB3647" w:rsidRDefault="00000000" w:rsidP="007923E9">
      <w:pPr>
        <w:spacing w:before="120" w:after="100" w:line="276" w:lineRule="auto"/>
        <w:jc w:val="both"/>
      </w:pPr>
      <w:r>
        <w:rPr>
          <w:rtl/>
        </w:rPr>
        <w:t xml:space="preserve">אני משער שבא </w:t>
      </w:r>
      <w:proofErr w:type="spellStart"/>
      <w:r>
        <w:rPr>
          <w:rtl/>
        </w:rPr>
        <w:t>לוולוז׳ין</w:t>
      </w:r>
      <w:proofErr w:type="spellEnd"/>
      <w:r>
        <w:rPr>
          <w:rtl/>
        </w:rPr>
        <w:t xml:space="preserve"> בגיל </w:t>
      </w:r>
      <w:proofErr w:type="spellStart"/>
      <w:r>
        <w:rPr>
          <w:rtl/>
        </w:rPr>
        <w:t>שמונה־עשרה</w:t>
      </w:r>
      <w:proofErr w:type="spellEnd"/>
      <w:r>
        <w:rPr>
          <w:rtl/>
        </w:rPr>
        <w:t xml:space="preserve"> ונשאר בה שש שנים לפחות, עד שנסמך. (ייתכן שנשאר </w:t>
      </w:r>
      <w:proofErr w:type="spellStart"/>
      <w:r>
        <w:rPr>
          <w:rtl/>
        </w:rPr>
        <w:t>אחת־עשרה</w:t>
      </w:r>
      <w:proofErr w:type="spellEnd"/>
      <w:r>
        <w:rPr>
          <w:rtl/>
        </w:rPr>
        <w:t xml:space="preserve"> שנים – השווה עמ׳ </w:t>
      </w:r>
      <w:r>
        <w:rPr>
          <w:rtl/>
        </w:rPr>
        <w:fldChar w:fldCharType="begin" w:dirty="true"/>
      </w:r>
      <w:r>
        <w:rPr>
          <w:rtl/>
        </w:rPr>
        <w:instrText xml:space="preserve"> PAGEREF pr_f_3969 \h </w:instrText>
      </w:r>
      <w:r>
        <w:rPr>
          <w:rtl/>
        </w:rPr>
      </w:r>
      <w:r>
        <w:rPr>
          <w:rtl/>
        </w:rPr>
        <w:fldChar w:fldCharType="separate"/>
      </w:r>
      <w:r w:rsidR="007923E9">
        <w:rPr>
          <w:noProof/>
          <w:rtl/>
        </w:rPr>
        <w:t>1</w:t>
      </w:r>
      <w:r>
        <w:rPr>
          <w:rtl/>
        </w:rPr>
        <w:fldChar w:fldCharType="end"/>
      </w:r>
      <w:r>
        <w:rPr>
          <w:rtl/>
        </w:rPr>
        <w:t xml:space="preserve">, הערת שוליים </w:t>
      </w:r>
      <w:r>
        <w:rPr>
          <w:rtl/>
        </w:rPr>
        <w:fldChar w:fldCharType="begin" w:dirty="true"/>
      </w:r>
      <w:r>
        <w:rPr>
          <w:rtl/>
        </w:rPr>
        <w:instrText xml:space="preserve"> NOTEREF pr_f_3969 \h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Pr>
          <w:rtl/>
        </w:rPr>
        <w:t>1046</w:t>
      </w:r>
      <w:r>
        <w:rPr>
          <w:rtl/>
        </w:rPr>
        <w:fldChar w:fldCharType="end"/>
      </w:r>
      <w:r>
        <w:rPr>
          <w:rtl/>
        </w:rPr>
        <w:t xml:space="preserve">.) סמיכה אחרת שהראו אז לרב </w:t>
      </w:r>
      <w:proofErr w:type="spellStart"/>
      <w:r>
        <w:rPr>
          <w:rtl/>
        </w:rPr>
        <w:t>קרייזווירט</w:t>
      </w:r>
      <w:proofErr w:type="spellEnd"/>
      <w:r>
        <w:rPr>
          <w:rtl/>
        </w:rPr>
        <w:t xml:space="preserve"> הייתה מר׳ </w:t>
      </w:r>
      <w:proofErr w:type="spellStart"/>
      <w:r>
        <w:rPr>
          <w:rtl/>
        </w:rPr>
        <w:t>יצחק־אלחנן</w:t>
      </w:r>
      <w:proofErr w:type="spellEnd"/>
      <w:r>
        <w:rPr>
          <w:rtl/>
        </w:rPr>
        <w:t xml:space="preserve"> </w:t>
      </w:r>
      <w:proofErr w:type="spellStart"/>
      <w:r>
        <w:rPr>
          <w:rtl/>
        </w:rPr>
        <w:t>ספקטור</w:t>
      </w:r>
      <w:proofErr w:type="spellEnd"/>
      <w:r>
        <w:rPr>
          <w:rtl/>
        </w:rPr>
        <w:t xml:space="preserve">, רב קובנה, וזו ניתנה כנראה </w:t>
      </w:r>
      <w:proofErr w:type="spellStart"/>
      <w:r>
        <w:rPr>
          <w:rtl/>
        </w:rPr>
        <w:t>לר</w:t>
      </w:r>
      <w:proofErr w:type="spellEnd"/>
      <w:r>
        <w:rPr>
          <w:rtl/>
        </w:rPr>
        <w:t xml:space="preserve">׳ </w:t>
      </w:r>
      <w:proofErr w:type="spellStart"/>
      <w:r>
        <w:rPr>
          <w:rtl/>
        </w:rPr>
        <w:t xml:space="preserve">בער־הירש</w:t>
      </w:r>
      <w:proofErr w:type="spellEnd"/>
      <w:r>
        <w:rPr>
          <w:rtl/>
        </w:rPr>
        <w:t xml:space="preserve"> לאחר שבא </w:t>
      </w:r>
      <w:proofErr w:type="spellStart"/>
      <w:r>
        <w:rPr>
          <w:rtl/>
        </w:rPr>
        <w:t>לסלבודקה</w:t>
      </w:r>
      <w:proofErr w:type="spellEnd"/>
      <w:r>
        <w:rPr>
          <w:rtl/>
        </w:rPr>
        <w:t>.</w:t>
      </w:r>
    </w:p>
    <w:p w14:paraId="5ADB738C" w14:textId="05221BE1" w:rsidR="00AB3647" w:rsidRDefault="00000000" w:rsidP="007923E9">
      <w:pPr>
        <w:spacing w:after="100" w:line="276" w:lineRule="auto"/>
        <w:ind w:firstLine="340"/>
        <w:jc w:val="both"/>
      </w:pPr>
      <w:r>
        <w:rPr>
          <w:rtl/>
        </w:rPr>
        <w:t xml:space="preserve">מעניין שהרב </w:t>
      </w:r>
      <w:proofErr w:type="spellStart"/>
      <w:r>
        <w:rPr>
          <w:rtl/>
        </w:rPr>
        <w:t xml:space="preserve">הלר</w:t>
      </w:r>
      <w:proofErr w:type="spellEnd"/>
      <w:r>
        <w:rPr>
          <w:rtl/>
        </w:rPr>
        <w:t xml:space="preserve"> נמשך למוסר אף שלמד אצל </w:t>
      </w:r>
      <w:proofErr w:type="spellStart"/>
      <w:r>
        <w:rPr>
          <w:rtl/>
        </w:rPr>
        <w:t>הנצי״ב</w:t>
      </w:r>
      <w:proofErr w:type="spellEnd"/>
      <w:r>
        <w:rPr>
          <w:rtl/>
        </w:rPr>
        <w:t>, שהתנגד למוסר, עד שנסמך</w:t>
      </w:r>
      <w:bookmarkStart w:id="2011" w:name="_fnr1273"/>
      <w:r>
        <w:rPr>
          <w:rStyle w:val="a5"/>
        </w:rPr>
        <w:footnoteReference w:id="1276" w:customMarkFollows="0"/>
      </w:r>
      <w:bookmarkEnd w:id="2011"/>
      <w:r>
        <w:rPr>
          <w:rtl/>
        </w:rPr>
        <w:t>. אפשר לשער שפיתח את התעניינותו הרבה</w:t>
      </w:r>
      <w:r>
        <w:t xml:space="preserve"> </w:t>
      </w:r>
      <w:r>
        <w:rPr>
          <w:rtl/>
        </w:rPr>
        <w:t xml:space="preserve">במוסר רק אחרי שעזב את </w:t>
      </w:r>
      <w:proofErr w:type="spellStart"/>
      <w:r>
        <w:rPr>
          <w:rtl/>
        </w:rPr>
        <w:t>וולוז׳ין</w:t>
      </w:r>
      <w:proofErr w:type="spellEnd"/>
      <w:r>
        <w:rPr>
          <w:rtl/>
        </w:rPr>
        <w:t xml:space="preserve">. אבל ייתכן שכבר למד שם מוסר, כמו תלמיד אחר, צעיר ממנו בשנה, שתיאר בזיכרונותיו את נטייתו למוסר – השווה תחילת </w:t>
      </w:r>
      <w:r>
        <w:rPr>
          <w:rtl/>
        </w:rPr>
        <w:fldChar w:fldCharType="begin" w:dirty="true"/>
      </w:r>
      <w:r>
        <w:rPr>
          <w:rtl/>
        </w:rPr>
        <w:instrText xml:space="preserve"> REF b3_excK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יא</w:t>
      </w:r>
      <w:r>
        <w:rPr>
          <w:rtl/>
        </w:rPr>
        <w:fldChar w:fldCharType="end"/>
      </w:r>
      <w:r>
        <w:rPr>
          <w:rtl/>
        </w:rPr>
        <w:t xml:space="preserve"> להלן.</w:t>
      </w:r>
    </w:p>
    <w:bookmarkStart w:id="2012" w:name="b3_note104"/>
    <w:p w14:paraId="2FECAF08" w14:textId="77777777" w:rsidR="00AB3647" w:rsidRDefault="00000000" w:rsidP="007923E9">
      <w:pPr>
        <w:spacing w:before="120" w:after="100" w:line="276" w:lineRule="auto"/>
        <w:jc w:val="both"/>
      </w:pPr>
      <w:r>
        <w:fldChar w:fldCharType="begin" w:dirty="true"/>
      </w:r>
      <w:r>
        <w:instrText>HYPERLINK \l "b3_ref104"</w:instrText>
      </w:r>
      <w:r>
        <w:fldChar w:fldCharType="separate"/>
      </w:r>
      <w:r>
        <w:rPr>
          <w:b/>
          <w:bCs/>
          <w:rtl/>
        </w:rPr>
        <w:t>104</w:t>
      </w:r>
      <w:r>
        <w:rPr>
          <w:b/>
          <w:bCs/>
        </w:rPr>
        <w:fldChar w:fldCharType="end"/>
      </w:r>
      <w:bookmarkEnd w:id="2012"/>
      <w:r>
        <w:rPr>
          <w:rtl/>
        </w:rPr>
        <w:t xml:space="preserve"> ממכתב לקוראים </w:t>
      </w:r>
      <w:proofErr w:type="spellStart"/>
      <w:r>
        <w:rPr>
          <w:rtl/>
        </w:rPr>
        <w:t>ב“הצפירה</w:t>
      </w:r>
      <w:proofErr w:type="spellEnd"/>
      <w:r>
        <w:rPr>
          <w:rtl/>
        </w:rPr>
        <w:t>”.</w:t>
      </w:r>
      <w:bookmarkStart w:id="2013" w:name="_fnr1274"/>
      <w:r>
        <w:rPr>
          <w:rStyle w:val="a5"/>
        </w:rPr>
        <w:footnoteReference w:id="1277" w:customMarkFollows="0"/>
      </w:r>
      <w:bookmarkEnd w:id="2013"/>
    </w:p>
    <w:bookmarkStart w:id="2014" w:name="b3_note105"/>
    <w:p w14:paraId="26039256" w14:textId="77777777" w:rsidR="00AB3647" w:rsidRDefault="00000000" w:rsidP="007923E9">
      <w:pPr>
        <w:spacing w:before="120" w:after="100" w:line="276" w:lineRule="auto"/>
        <w:jc w:val="both"/>
      </w:pPr>
      <w:r>
        <w:fldChar w:fldCharType="begin" w:dirty="true"/>
      </w:r>
      <w:r>
        <w:instrText>HYPERLINK \l "b3_ref105"</w:instrText>
      </w:r>
      <w:r>
        <w:fldChar w:fldCharType="separate"/>
      </w:r>
      <w:r>
        <w:rPr>
          <w:b/>
          <w:bCs/>
          <w:rtl/>
        </w:rPr>
        <w:t>105</w:t>
      </w:r>
      <w:r>
        <w:rPr>
          <w:b/>
          <w:bCs/>
        </w:rPr>
        <w:fldChar w:fldCharType="end"/>
      </w:r>
      <w:bookmarkEnd w:id="2014"/>
      <w:r>
        <w:rPr>
          <w:rtl/>
        </w:rPr>
        <w:t xml:space="preserve"> הרב </w:t>
      </w:r>
      <w:proofErr w:type="spellStart"/>
      <w:r>
        <w:rPr>
          <w:rtl/>
        </w:rPr>
        <w:t>דסלר</w:t>
      </w:r>
      <w:proofErr w:type="spellEnd"/>
      <w:r>
        <w:rPr>
          <w:rtl/>
        </w:rPr>
        <w:t xml:space="preserve">, תושב אמיד של העיירה, העמיד לרשות ר׳ </w:t>
      </w:r>
      <w:proofErr w:type="spellStart"/>
      <w:r>
        <w:rPr>
          <w:rtl/>
        </w:rPr>
        <w:t>שמחה־זיסל</w:t>
      </w:r>
      <w:proofErr w:type="spellEnd"/>
      <w:r>
        <w:rPr>
          <w:rtl/>
        </w:rPr>
        <w:t xml:space="preserve"> זיו אחוזה מפוארת. הוא הקיף אותה בחומה גבוהה והפך אותה לבית ספר פרטי עם פנימייה, ובו קיבלו התלמידים מזון מן המשובח ביותר</w:t>
      </w:r>
      <w:bookmarkStart w:id="2015" w:name="_fnr1275"/>
      <w:r>
        <w:rPr>
          <w:rStyle w:val="a5"/>
        </w:rPr>
        <w:footnoteReference w:id="1278" w:customMarkFollows="0"/>
      </w:r>
      <w:bookmarkEnd w:id="2015"/>
      <w:r>
        <w:rPr>
          <w:rtl/>
        </w:rPr>
        <w:t>.</w:t>
      </w:r>
    </w:p>
    <w:p w14:paraId="7211AB35" w14:textId="77777777" w:rsidR="00AB3647" w:rsidRDefault="00000000" w:rsidP="007923E9">
      <w:pPr>
        <w:spacing w:before="120" w:after="100" w:line="276" w:lineRule="auto"/>
        <w:jc w:val="both"/>
      </w:pPr>
      <w:r>
        <w:rPr>
          <w:rtl/>
        </w:rPr>
        <w:t xml:space="preserve">אבי מסר ששמו הפרטי של הרב </w:t>
      </w:r>
      <w:proofErr w:type="spellStart"/>
      <w:r>
        <w:rPr>
          <w:rtl/>
        </w:rPr>
        <w:t>דסלר</w:t>
      </w:r>
      <w:proofErr w:type="spellEnd"/>
      <w:r>
        <w:rPr>
          <w:rtl/>
        </w:rPr>
        <w:t xml:space="preserve"> היה דוד (ר׳ </w:t>
      </w:r>
      <w:proofErr w:type="spellStart"/>
      <w:r>
        <w:rPr>
          <w:rtl/>
        </w:rPr>
        <w:t>ישראל־דוד</w:t>
      </w:r>
      <w:proofErr w:type="spellEnd"/>
      <w:r>
        <w:rPr>
          <w:rtl/>
        </w:rPr>
        <w:t xml:space="preserve"> </w:t>
      </w:r>
      <w:proofErr w:type="spellStart"/>
      <w:r>
        <w:rPr>
          <w:rtl/>
        </w:rPr>
        <w:t>דסלר</w:t>
      </w:r>
      <w:proofErr w:type="spellEnd"/>
      <w:r>
        <w:rPr>
          <w:rtl/>
        </w:rPr>
        <w:t xml:space="preserve"> היה אביו של ר׳ </w:t>
      </w:r>
      <w:proofErr w:type="spellStart"/>
      <w:r>
        <w:rPr>
          <w:rtl/>
        </w:rPr>
        <w:t>ראובן־בער</w:t>
      </w:r>
      <w:bookmarkStart w:id="2016" w:name="_fnr1276"/>
      <w:proofErr w:type="spellEnd"/>
      <w:r>
        <w:rPr>
          <w:rStyle w:val="a5"/>
        </w:rPr>
        <w:footnoteReference w:id="1279" w:customMarkFollows="0"/>
      </w:r>
      <w:bookmarkEnd w:id="2016"/>
      <w:r>
        <w:rPr>
          <w:rtl/>
        </w:rPr>
        <w:t>), אבל כץ, “תנועת המוסר”, כרך ב</w:t>
      </w:r>
      <w:bookmarkStart w:id="2017" w:name="_fnr1277"/>
      <w:r>
        <w:rPr>
          <w:rStyle w:val="a5"/>
        </w:rPr>
        <w:footnoteReference w:id="1280" w:customMarkFollows="0"/>
      </w:r>
      <w:bookmarkEnd w:id="2017"/>
      <w:r>
        <w:rPr>
          <w:rtl/>
        </w:rPr>
        <w:t xml:space="preserve">, קורא לנדבן ר׳ אליעזר. לפי מכתב </w:t>
      </w:r>
      <w:proofErr w:type="spellStart"/>
      <w:r>
        <w:rPr>
          <w:rtl/>
        </w:rPr>
        <w:t>ב“הצפירה</w:t>
      </w:r>
      <w:proofErr w:type="spellEnd"/>
      <w:r>
        <w:rPr>
          <w:rtl/>
        </w:rPr>
        <w:t>”,</w:t>
      </w:r>
      <w:bookmarkStart w:id="2018" w:name="_fnr1278"/>
      <w:r>
        <w:rPr>
          <w:rStyle w:val="a5"/>
        </w:rPr>
        <w:footnoteReference w:id="1281" w:customMarkFollows="0"/>
      </w:r>
      <w:bookmarkEnd w:id="2018"/>
      <w:r>
        <w:rPr>
          <w:rtl/>
        </w:rPr>
        <w:t xml:space="preserve"> ר׳ אליעזר </w:t>
      </w:r>
      <w:proofErr w:type="spellStart"/>
      <w:r>
        <w:rPr>
          <w:rtl/>
        </w:rPr>
        <w:t>דסלר</w:t>
      </w:r>
      <w:proofErr w:type="spellEnd"/>
      <w:r>
        <w:rPr>
          <w:rtl/>
        </w:rPr>
        <w:t xml:space="preserve"> תרם את הבניין, “שקנה ב־10,200 רובל”, “וגם קרובו... ר׳ דוד עשה הרבה בכוחו, בהונו ובכל מאודו להכינו ולקיימו, להגדיל כבודו ולהאדיר תכליתו... ואת הכול עשה בהצנע לכת”. אבל במכתב מאוחר יותר </w:t>
      </w:r>
      <w:proofErr w:type="spellStart"/>
      <w:r>
        <w:rPr>
          <w:rtl/>
        </w:rPr>
        <w:t>ב“הצפירה</w:t>
      </w:r>
      <w:proofErr w:type="spellEnd"/>
      <w:r>
        <w:rPr>
          <w:rtl/>
        </w:rPr>
        <w:t>”</w:t>
      </w:r>
      <w:bookmarkStart w:id="2019" w:name="_fnr1279"/>
      <w:r>
        <w:rPr>
          <w:rStyle w:val="a5"/>
        </w:rPr>
        <w:footnoteReference w:id="1282" w:customMarkFollows="0"/>
      </w:r>
      <w:bookmarkEnd w:id="2019"/>
      <w:r>
        <w:rPr>
          <w:rtl/>
        </w:rPr>
        <w:t xml:space="preserve"> מוזכר רק ר׳ דוד, כמי שתרם את הבית </w:t>
      </w:r>
      <w:proofErr w:type="spellStart"/>
      <w:r>
        <w:rPr>
          <w:rtl/>
        </w:rPr>
        <w:t>ו“תרם</w:t>
      </w:r>
      <w:proofErr w:type="spellEnd"/>
      <w:r>
        <w:rPr>
          <w:rtl/>
        </w:rPr>
        <w:t xml:space="preserve"> לכל מה [שהיה] דרוש” לו.</w:t>
      </w:r>
    </w:p>
    <w:bookmarkStart w:id="2020" w:name="b3_note106"/>
    <w:p w14:paraId="2AE1F269" w14:textId="77777777" w:rsidR="00AB3647" w:rsidRDefault="00000000" w:rsidP="007923E9">
      <w:pPr>
        <w:spacing w:before="120" w:after="100" w:line="276" w:lineRule="auto"/>
        <w:jc w:val="both"/>
      </w:pPr>
      <w:r>
        <w:lastRenderedPageBreak/>
        <w:fldChar w:fldCharType="begin" w:dirty="true"/>
      </w:r>
      <w:r>
        <w:instrText>HYPERLINK \l "b3_ref106"</w:instrText>
      </w:r>
      <w:r>
        <w:fldChar w:fldCharType="separate"/>
      </w:r>
      <w:r>
        <w:rPr>
          <w:b/>
          <w:bCs/>
          <w:rtl/>
        </w:rPr>
        <w:t>106</w:t>
      </w:r>
      <w:r>
        <w:rPr>
          <w:b/>
          <w:bCs/>
        </w:rPr>
        <w:fldChar w:fldCharType="end"/>
      </w:r>
      <w:bookmarkEnd w:id="2020"/>
      <w:r>
        <w:rPr>
          <w:rtl/>
        </w:rPr>
        <w:t xml:space="preserve"> אנציקלופדיה יודאיקה</w:t>
      </w:r>
      <w:bookmarkStart w:id="2021" w:name="_fnr1280"/>
      <w:r>
        <w:rPr>
          <w:rStyle w:val="a5"/>
        </w:rPr>
        <w:footnoteReference w:id="1283" w:customMarkFollows="0"/>
      </w:r>
      <w:bookmarkEnd w:id="2021"/>
      <w:r>
        <w:rPr>
          <w:rtl/>
        </w:rPr>
        <w:t xml:space="preserve"> אומרת: מאמצע המאה ה־19 החלה ההשכלה להשפיע על יהודי רוסיה, ובשנות השבעים של אותה מאה החלו מאמצי המשכילים להניב פרי. המוני הנוער היהודי זרמו לבתי הספר </w:t>
      </w:r>
      <w:proofErr w:type="spellStart"/>
      <w:r>
        <w:rPr>
          <w:rtl/>
        </w:rPr>
        <w:t>הרוסיים־יהודיים</w:t>
      </w:r>
      <w:proofErr w:type="spellEnd"/>
      <w:r>
        <w:rPr>
          <w:rtl/>
        </w:rPr>
        <w:t xml:space="preserve"> ולבתי הספר הרוסיים הכלליים. חוק גיוס החובה הכללי משנת 1874, שפטר</w:t>
      </w:r>
      <w:r>
        <w:t xml:space="preserve"> </w:t>
      </w:r>
      <w:r>
        <w:rPr>
          <w:rtl/>
        </w:rPr>
        <w:t>מן השירות הצבאי את בעלי תעודת הסיום של בית ספר תיכון, עודד תהליך זה. כך החל ניכורו של הנוער המשכיל מעמו ומענייני היהדות.</w:t>
      </w:r>
    </w:p>
    <w:bookmarkStart w:id="2022" w:name="b3_note107"/>
    <w:p w14:paraId="391D7E30" w14:textId="089436D9" w:rsidR="00AB3647" w:rsidRDefault="00000000" w:rsidP="007923E9">
      <w:pPr>
        <w:spacing w:before="120" w:after="100" w:line="276" w:lineRule="auto"/>
        <w:jc w:val="both"/>
      </w:pPr>
      <w:r>
        <w:fldChar w:fldCharType="begin" w:dirty="true"/>
      </w:r>
      <w:r>
        <w:instrText>HYPERLINK \l "b3_ref107"</w:instrText>
      </w:r>
      <w:r>
        <w:fldChar w:fldCharType="separate"/>
      </w:r>
      <w:r>
        <w:rPr>
          <w:b/>
          <w:bCs/>
          <w:rtl/>
        </w:rPr>
        <w:t>107</w:t>
      </w:r>
      <w:r>
        <w:rPr>
          <w:b/>
          <w:bCs/>
        </w:rPr>
        <w:fldChar w:fldCharType="end"/>
      </w:r>
      <w:bookmarkEnd w:id="2022"/>
      <w:r>
        <w:rPr>
          <w:rtl/>
        </w:rPr>
        <w:t xml:space="preserve"> ראה </w:t>
      </w:r>
      <w:r>
        <w:rPr>
          <w:rtl/>
        </w:rPr>
        <w:fldChar w:fldCharType="begin" w:dirty="true"/>
      </w:r>
      <w:r>
        <w:rPr>
          <w:rtl/>
        </w:rPr>
        <w:instrText xml:space="preserve"> REF b3_excY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כה</w:t>
      </w:r>
      <w:r>
        <w:rPr>
          <w:rtl/>
        </w:rPr>
        <w:fldChar w:fldCharType="end"/>
      </w:r>
      <w:r>
        <w:rPr>
          <w:rtl/>
        </w:rPr>
        <w:t>.</w:t>
      </w:r>
    </w:p>
    <w:bookmarkStart w:id="2023" w:name="b3_note108"/>
    <w:p w14:paraId="3B7EBB53" w14:textId="77777777" w:rsidR="00AB3647" w:rsidRDefault="00000000" w:rsidP="007923E9">
      <w:pPr>
        <w:spacing w:before="120" w:after="100" w:line="276" w:lineRule="auto"/>
        <w:jc w:val="both"/>
      </w:pPr>
      <w:r>
        <w:fldChar w:fldCharType="begin" w:dirty="true"/>
      </w:r>
      <w:r>
        <w:instrText>HYPERLINK \l "b3_ref108"</w:instrText>
      </w:r>
      <w:r>
        <w:fldChar w:fldCharType="separate"/>
      </w:r>
      <w:r>
        <w:rPr>
          <w:b/>
          <w:bCs/>
          <w:rtl/>
        </w:rPr>
        <w:t>108</w:t>
      </w:r>
      <w:r>
        <w:rPr>
          <w:b/>
          <w:bCs/>
        </w:rPr>
        <w:fldChar w:fldCharType="end"/>
      </w:r>
      <w:bookmarkEnd w:id="2023"/>
      <w:r>
        <w:rPr>
          <w:rtl/>
        </w:rPr>
        <w:t xml:space="preserve"> השווה “מכתב </w:t>
      </w:r>
      <w:proofErr w:type="spellStart"/>
      <w:r>
        <w:rPr>
          <w:rtl/>
        </w:rPr>
        <w:t>מוולוז׳ין</w:t>
      </w:r>
      <w:proofErr w:type="spellEnd"/>
      <w:r>
        <w:rPr>
          <w:rtl/>
        </w:rPr>
        <w:t>” מאת “</w:t>
      </w:r>
      <w:proofErr w:type="spellStart"/>
      <w:r>
        <w:rPr>
          <w:rtl/>
        </w:rPr>
        <w:t>אי״ש</w:t>
      </w:r>
      <w:proofErr w:type="spellEnd"/>
      <w:r>
        <w:rPr>
          <w:rtl/>
        </w:rPr>
        <w:t xml:space="preserve">” </w:t>
      </w:r>
      <w:proofErr w:type="spellStart"/>
      <w:r>
        <w:rPr>
          <w:rtl/>
        </w:rPr>
        <w:t>ב“הצפירה</w:t>
      </w:r>
      <w:proofErr w:type="spellEnd"/>
      <w:r>
        <w:rPr>
          <w:rtl/>
        </w:rPr>
        <w:t xml:space="preserve">” מיום כ״ב באלול תרמ״ב, שנתיים לאחר שנוסד בית הספר </w:t>
      </w:r>
      <w:proofErr w:type="spellStart"/>
      <w:r>
        <w:rPr>
          <w:rtl/>
        </w:rPr>
        <w:t>בגרובין</w:t>
      </w:r>
      <w:bookmarkStart w:id="2024" w:name="_fnr1281"/>
      <w:proofErr w:type="spellEnd"/>
      <w:r>
        <w:rPr>
          <w:rStyle w:val="a5"/>
        </w:rPr>
        <w:footnoteReference w:id="1284" w:customMarkFollows="0"/>
      </w:r>
      <w:bookmarkEnd w:id="2024"/>
      <w:r>
        <w:rPr>
          <w:rtl/>
        </w:rPr>
        <w:t xml:space="preserve">. המכתב מבקר את ר׳ </w:t>
      </w:r>
      <w:proofErr w:type="spellStart"/>
      <w:r>
        <w:rPr>
          <w:rtl/>
        </w:rPr>
        <w:t>יצחק־יעקב</w:t>
      </w:r>
      <w:proofErr w:type="spellEnd"/>
      <w:r>
        <w:rPr>
          <w:rtl/>
        </w:rPr>
        <w:t xml:space="preserve"> ריינס – רבה של </w:t>
      </w:r>
      <w:proofErr w:type="spellStart"/>
      <w:r>
        <w:rPr>
          <w:rtl/>
        </w:rPr>
        <w:t>שווינציאן</w:t>
      </w:r>
      <w:proofErr w:type="spellEnd"/>
      <w:r>
        <w:rPr>
          <w:rtl/>
        </w:rPr>
        <w:t xml:space="preserve"> באותו זמן ובשנתיים שלאחר מכן, ואחריהן רבה של לידה – על שתכנן ישיבה קטנה עם לימודי חול שתממן את עצמה משכר לימוד, דבר שמגביל אותה בהכרח לילדי העשירים. הכותב מציע שר׳ </w:t>
      </w:r>
      <w:proofErr w:type="spellStart"/>
      <w:r>
        <w:rPr>
          <w:rtl/>
        </w:rPr>
        <w:t>יצחק־יעקב</w:t>
      </w:r>
      <w:proofErr w:type="spellEnd"/>
      <w:r>
        <w:rPr>
          <w:rtl/>
        </w:rPr>
        <w:t xml:space="preserve"> ריינס יקיים דווקא את מאמר חכמים, “הזהרו בבני עניים שמהם תצא תורה”</w:t>
      </w:r>
      <w:bookmarkStart w:id="2025" w:name="_fnr1282"/>
      <w:r>
        <w:rPr>
          <w:rStyle w:val="a5"/>
        </w:rPr>
        <w:footnoteReference w:id="1285" w:customMarkFollows="0"/>
      </w:r>
      <w:bookmarkEnd w:id="2025"/>
      <w:r>
        <w:rPr>
          <w:rtl/>
        </w:rPr>
        <w:t>, ויניח למשולחים “המקיפים את העולם מדי שנה בקופותיהם” לגייס את הכסף</w:t>
      </w:r>
      <w:bookmarkStart w:id="2026" w:name="_fnr1283"/>
      <w:r>
        <w:rPr>
          <w:rStyle w:val="a5"/>
        </w:rPr>
        <w:footnoteReference w:id="1286" w:customMarkFollows="0"/>
      </w:r>
      <w:bookmarkEnd w:id="2026"/>
      <w:r>
        <w:rPr>
          <w:rtl/>
        </w:rPr>
        <w:t>.</w:t>
      </w:r>
    </w:p>
    <w:p w14:paraId="07E5285C" w14:textId="77777777" w:rsidR="00AB3647" w:rsidRDefault="00000000" w:rsidP="007923E9">
      <w:pPr>
        <w:spacing w:before="120" w:after="100" w:line="276" w:lineRule="auto"/>
        <w:jc w:val="both"/>
      </w:pPr>
      <w:r>
        <w:rPr>
          <w:rtl/>
        </w:rPr>
        <w:t xml:space="preserve">אבל </w:t>
      </w:r>
      <w:proofErr w:type="spellStart"/>
      <w:r>
        <w:rPr>
          <w:rtl/>
        </w:rPr>
        <w:t>גרובין</w:t>
      </w:r>
      <w:proofErr w:type="spellEnd"/>
      <w:r>
        <w:rPr>
          <w:rtl/>
        </w:rPr>
        <w:t xml:space="preserve"> לא גבתה שכר לימוד גבוה כדי לכסות את תקציבה, אלא כדי למשוך את שכבת העילית בחברה היהודית. כמו שיובא בהערה הבאה, התקציב אכן לא כוסה, משום שמספר ניכר של ילדים עניים התקבלו לבית הספר משיקולים אחרים, כנראה חינוכיים. השווה גם כץ, “תנועת המוסר”, כרך ב</w:t>
      </w:r>
      <w:bookmarkStart w:id="2027" w:name="_fnr1284"/>
      <w:r>
        <w:rPr>
          <w:rStyle w:val="a5"/>
        </w:rPr>
        <w:footnoteReference w:id="1287" w:customMarkFollows="0"/>
      </w:r>
      <w:bookmarkEnd w:id="2027"/>
      <w:r>
        <w:rPr>
          <w:rtl/>
        </w:rPr>
        <w:t>, המזכיר את הגירעון בתקציב ומביא</w:t>
      </w:r>
      <w:bookmarkStart w:id="2028" w:name="_fnr1285"/>
      <w:r>
        <w:rPr>
          <w:rStyle w:val="a5"/>
        </w:rPr>
        <w:footnoteReference w:id="1288" w:customMarkFollows="0"/>
      </w:r>
      <w:bookmarkEnd w:id="2028"/>
      <w:r>
        <w:rPr>
          <w:rtl/>
        </w:rPr>
        <w:t xml:space="preserve"> איגרת שכתב הסבא מקלם </w:t>
      </w:r>
      <w:proofErr w:type="spellStart"/>
      <w:r>
        <w:rPr>
          <w:rtl/>
        </w:rPr>
        <w:t>לר</w:t>
      </w:r>
      <w:proofErr w:type="spellEnd"/>
      <w:r>
        <w:rPr>
          <w:rtl/>
        </w:rPr>
        <w:t xml:space="preserve">׳ ישראל </w:t>
      </w:r>
      <w:proofErr w:type="spellStart"/>
      <w:r>
        <w:rPr>
          <w:rtl/>
        </w:rPr>
        <w:t>סלנטר</w:t>
      </w:r>
      <w:proofErr w:type="spellEnd"/>
      <w:r>
        <w:rPr>
          <w:rtl/>
        </w:rPr>
        <w:t xml:space="preserve"> </w:t>
      </w:r>
      <w:proofErr w:type="spellStart"/>
      <w:r>
        <w:rPr>
          <w:rtl/>
        </w:rPr>
        <w:t>בתרמ״א</w:t>
      </w:r>
      <w:proofErr w:type="spellEnd"/>
      <w:r>
        <w:rPr>
          <w:rtl/>
        </w:rPr>
        <w:t>, שנה</w:t>
      </w:r>
      <w:r>
        <w:t xml:space="preserve"> </w:t>
      </w:r>
      <w:r>
        <w:rPr>
          <w:rtl/>
        </w:rPr>
        <w:t>לאחר פתיחת בית הספר, ובה הוא כבר מתלונן שהוא חולה מכדי להוסיף ולשאת “משא כספי כבד כל כך”</w:t>
      </w:r>
      <w:bookmarkStart w:id="2029" w:name="_fnr1286"/>
      <w:r>
        <w:rPr>
          <w:rStyle w:val="a5"/>
        </w:rPr>
        <w:footnoteReference w:id="1289" w:customMarkFollows="0"/>
      </w:r>
      <w:bookmarkEnd w:id="2029"/>
      <w:r>
        <w:rPr>
          <w:rtl/>
        </w:rPr>
        <w:t>. יעקב מארק</w:t>
      </w:r>
      <w:bookmarkStart w:id="2030" w:name="_fnr1287"/>
      <w:r>
        <w:rPr>
          <w:rStyle w:val="a5"/>
        </w:rPr>
        <w:footnoteReference w:id="1290" w:customMarkFollows="0"/>
      </w:r>
      <w:bookmarkEnd w:id="2030"/>
      <w:r>
        <w:rPr>
          <w:rtl/>
        </w:rPr>
        <w:t xml:space="preserve"> אומר: “לישיבה היה תקציב שנתי של כמה עשרות אלפי רובלים, שרובו כוסה בשכר לימוד ובתרומות פרטיות. כדי לגייס את היתרה נאלץ ר׳ </w:t>
      </w:r>
      <w:proofErr w:type="spellStart"/>
      <w:r>
        <w:rPr>
          <w:rtl/>
        </w:rPr>
        <w:t>שמחה־זיסל</w:t>
      </w:r>
      <w:proofErr w:type="spellEnd"/>
      <w:r>
        <w:rPr>
          <w:rtl/>
        </w:rPr>
        <w:t xml:space="preserve"> לנסוע בערים הגדולות</w:t>
      </w:r>
      <w:bookmarkStart w:id="2031" w:name="_fnr1288"/>
      <w:r>
        <w:rPr>
          <w:rStyle w:val="a5"/>
        </w:rPr>
        <w:footnoteReference w:id="1291" w:customMarkFollows="0"/>
      </w:r>
      <w:bookmarkEnd w:id="2031"/>
      <w:r>
        <w:rPr>
          <w:rtl/>
        </w:rPr>
        <w:t>”.</w:t>
      </w:r>
    </w:p>
    <w:bookmarkStart w:id="2032" w:name="b3_note109"/>
    <w:p w14:paraId="7D4A16A7" w14:textId="77777777" w:rsidR="00AB3647" w:rsidRDefault="00000000" w:rsidP="007923E9">
      <w:pPr>
        <w:spacing w:before="120" w:after="100" w:line="276" w:lineRule="auto"/>
        <w:jc w:val="both"/>
      </w:pPr>
      <w:r>
        <w:fldChar w:fldCharType="begin" w:dirty="true"/>
      </w:r>
      <w:r>
        <w:instrText>HYPERLINK \l "b3_ref109"</w:instrText>
      </w:r>
      <w:r>
        <w:fldChar w:fldCharType="separate"/>
      </w:r>
      <w:r>
        <w:rPr>
          <w:b/>
          <w:bCs/>
          <w:rtl/>
        </w:rPr>
        <w:t>109</w:t>
      </w:r>
      <w:r>
        <w:rPr>
          <w:b/>
          <w:bCs/>
        </w:rPr>
        <w:fldChar w:fldCharType="end"/>
      </w:r>
      <w:bookmarkEnd w:id="2032"/>
      <w:r>
        <w:rPr>
          <w:rtl/>
        </w:rPr>
        <w:t xml:space="preserve"> כץ, “תנועת המוסר”, כרך ב</w:t>
      </w:r>
      <w:bookmarkStart w:id="2033" w:name="_fnr1289"/>
      <w:r>
        <w:rPr>
          <w:rStyle w:val="a5"/>
        </w:rPr>
        <w:footnoteReference w:id="1292" w:customMarkFollows="0"/>
      </w:r>
      <w:bookmarkEnd w:id="2033"/>
      <w:r>
        <w:rPr>
          <w:rtl/>
        </w:rPr>
        <w:t xml:space="preserve">, מונה גם את הרב </w:t>
      </w:r>
      <w:proofErr w:type="spellStart"/>
      <w:r>
        <w:rPr>
          <w:rtl/>
        </w:rPr>
        <w:t xml:space="preserve">הלר</w:t>
      </w:r>
      <w:proofErr w:type="spellEnd"/>
      <w:r>
        <w:rPr>
          <w:rtl/>
        </w:rPr>
        <w:t xml:space="preserve"> בין בוגרי </w:t>
      </w:r>
      <w:proofErr w:type="spellStart"/>
      <w:r>
        <w:rPr>
          <w:rtl/>
        </w:rPr>
        <w:t>גרובין</w:t>
      </w:r>
      <w:proofErr w:type="spellEnd"/>
      <w:r>
        <w:rPr>
          <w:rtl/>
        </w:rPr>
        <w:t xml:space="preserve"> שקנו להם שם בעולם התורה. הרשימה מלמדת שאף שבית הספר פנה אל בעלי האמצעים, מצאו את דרכם אליו תלמידים רבים מן השכבות הנמוכות, כמו הרב </w:t>
      </w:r>
      <w:proofErr w:type="spellStart"/>
      <w:r>
        <w:rPr>
          <w:rtl/>
        </w:rPr>
        <w:t xml:space="preserve">הלר</w:t>
      </w:r>
      <w:proofErr w:type="spellEnd"/>
      <w:r>
        <w:rPr>
          <w:rtl/>
        </w:rPr>
        <w:t xml:space="preserve">. ייתכן ששאר הנמנים ברשימה הובאו עם ר׳ </w:t>
      </w:r>
      <w:proofErr w:type="spellStart"/>
      <w:r>
        <w:rPr>
          <w:rtl/>
        </w:rPr>
        <w:t>שמחה־זיסל</w:t>
      </w:r>
      <w:proofErr w:type="spellEnd"/>
      <w:r>
        <w:rPr>
          <w:rtl/>
        </w:rPr>
        <w:t xml:space="preserve"> מקלם כדי להקים את בית הספר, ולכן היו פטורים משכר הלימוד </w:t>
      </w:r>
      <w:r>
        <w:rPr>
          <w:rtl/>
        </w:rPr>
        <w:lastRenderedPageBreak/>
        <w:t>המופרז. אבל מן האיגרת משנת תרמ״א הנזכרת שם</w:t>
      </w:r>
      <w:bookmarkStart w:id="2034" w:name="_fnr1290"/>
      <w:r>
        <w:rPr>
          <w:rStyle w:val="a5"/>
        </w:rPr>
        <w:footnoteReference w:id="1293" w:customMarkFollows="0"/>
      </w:r>
      <w:bookmarkEnd w:id="2034"/>
      <w:r>
        <w:rPr>
          <w:rtl/>
        </w:rPr>
        <w:t xml:space="preserve"> – שהובאה בהערה הקודמת, ובה מתלונן הסבא מקלם שהעול הכספי מזיק לבריאותו – נראה שהיו תלמידים רבים שלא שילמו גם לאחר שנפתח בית הספר.</w:t>
      </w:r>
    </w:p>
    <w:p w14:paraId="1E53FE94" w14:textId="77777777" w:rsidR="00AB3647" w:rsidRDefault="00000000" w:rsidP="007923E9">
      <w:pPr>
        <w:spacing w:before="120" w:after="100" w:line="276" w:lineRule="auto"/>
        <w:jc w:val="both"/>
      </w:pPr>
      <w:r>
        <w:rPr>
          <w:rtl/>
        </w:rPr>
        <w:t>הדבר עולה גם מאיגרת אחרת המובאת שם</w:t>
      </w:r>
      <w:bookmarkStart w:id="2035" w:name="_fnr1291"/>
      <w:r>
        <w:rPr>
          <w:rStyle w:val="a5"/>
        </w:rPr>
        <w:footnoteReference w:id="1294" w:customMarkFollows="0"/>
      </w:r>
      <w:bookmarkEnd w:id="2035"/>
      <w:r>
        <w:rPr>
          <w:rtl/>
        </w:rPr>
        <w:t xml:space="preserve">, שכתב הסבא מקלם לאחר סגירת </w:t>
      </w:r>
      <w:proofErr w:type="spellStart"/>
      <w:r>
        <w:rPr>
          <w:rtl/>
        </w:rPr>
        <w:t>גרובין</w:t>
      </w:r>
      <w:proofErr w:type="spellEnd"/>
      <w:r>
        <w:rPr>
          <w:rtl/>
        </w:rPr>
        <w:t xml:space="preserve">, והיא מתייחסת במפורש לילדים מבתים עניים: “בעוונותינו הרבים, נחרב הבית הגדול [של התלמוד תורה </w:t>
      </w:r>
      <w:proofErr w:type="spellStart"/>
      <w:r>
        <w:rPr>
          <w:rtl/>
        </w:rPr>
        <w:t>בגרובין</w:t>
      </w:r>
      <w:proofErr w:type="spellEnd"/>
      <w:r>
        <w:rPr>
          <w:rtl/>
        </w:rPr>
        <w:t xml:space="preserve">]. ובכל זאת, השבח [לה׳], נותרו שרידים [בדמות בוגרים שנעשו] מצוינים בתורה, בהנהגה ובהשכלה [כלומר, מוסר], גם מבני העשירים </w:t>
      </w:r>
      <w:r>
        <w:rPr>
          <w:b/>
          <w:bCs/>
          <w:rtl/>
        </w:rPr>
        <w:t>וגם מבני העניים</w:t>
      </w:r>
      <w:r>
        <w:rPr>
          <w:rtl/>
        </w:rPr>
        <w:t xml:space="preserve"> (ההדגשה שלי), ומהם מי שכבר רב בעיר ומי שראש ישיבה”. אבל נראה שנכונה האמירה שם</w:t>
      </w:r>
      <w:bookmarkStart w:id="2036" w:name="_fnr1292"/>
      <w:r>
        <w:rPr>
          <w:rStyle w:val="a5"/>
        </w:rPr>
        <w:footnoteReference w:id="1295" w:customMarkFollows="0"/>
      </w:r>
      <w:bookmarkEnd w:id="2036"/>
      <w:r>
        <w:rPr>
          <w:rtl/>
        </w:rPr>
        <w:t xml:space="preserve">, </w:t>
      </w:r>
      <w:proofErr w:type="spellStart"/>
      <w:r>
        <w:rPr>
          <w:rtl/>
        </w:rPr>
        <w:t>ש“רוב</w:t>
      </w:r>
      <w:proofErr w:type="spellEnd"/>
      <w:r>
        <w:rPr>
          <w:rtl/>
        </w:rPr>
        <w:t>” – ולא כל – “התלמידים היו מבתים עשירים”.</w:t>
      </w:r>
    </w:p>
    <w:p w14:paraId="175A3BA0" w14:textId="3908C779" w:rsidR="00AB3647" w:rsidRDefault="00000000" w:rsidP="007923E9">
      <w:pPr>
        <w:spacing w:before="120" w:after="100" w:line="276" w:lineRule="auto"/>
        <w:jc w:val="both"/>
      </w:pPr>
      <w:r>
        <w:rPr>
          <w:rtl/>
        </w:rPr>
        <w:t xml:space="preserve">נשארתי נאמן לריאיון המוקלט על הסבא </w:t>
      </w:r>
      <w:proofErr w:type="spellStart"/>
      <w:r>
        <w:rPr>
          <w:rtl/>
        </w:rPr>
        <w:t>מסלבודקה</w:t>
      </w:r>
      <w:proofErr w:type="spellEnd"/>
      <w:r>
        <w:rPr>
          <w:rtl/>
        </w:rPr>
        <w:t xml:space="preserve">, וייחסתי את מעמדו של הרב </w:t>
      </w:r>
      <w:proofErr w:type="spellStart"/>
      <w:r>
        <w:rPr>
          <w:rtl/>
        </w:rPr>
        <w:t xml:space="preserve">הלר</w:t>
      </w:r>
      <w:proofErr w:type="spellEnd"/>
      <w:r>
        <w:rPr>
          <w:rtl/>
        </w:rPr>
        <w:t xml:space="preserve"> כתלמיד שלא גר בבית הספר לעניותו. אבל מסתבר שר׳ </w:t>
      </w:r>
      <w:proofErr w:type="spellStart"/>
      <w:r>
        <w:rPr>
          <w:rtl/>
        </w:rPr>
        <w:t xml:space="preserve">בער־הירש</w:t>
      </w:r>
      <w:proofErr w:type="spellEnd"/>
      <w:r>
        <w:rPr>
          <w:rtl/>
        </w:rPr>
        <w:t xml:space="preserve">, בגיל עשרים ושמונה או עשרים ותשע, היה מבוגר מכדי להירשם רשמית בבית הספר לנערים. הוא גם לא נתמנה לתפקיד השגחה בבית הספר, משום שלא קיבל כל הכשרה במוסר בשנות התעצבותו </w:t>
      </w:r>
      <w:proofErr w:type="spellStart"/>
      <w:r>
        <w:rPr>
          <w:rtl/>
        </w:rPr>
        <w:t>בוולוז׳ין</w:t>
      </w:r>
      <w:proofErr w:type="spellEnd"/>
      <w:r>
        <w:rPr>
          <w:rtl/>
        </w:rPr>
        <w:t xml:space="preserve">, כמובא בהערה </w:t>
      </w:r>
      <w:r>
        <w:rPr>
          <w:rtl/>
        </w:rPr>
        <w:fldChar w:fldCharType="begin" w:dirty="true"/>
      </w:r>
      <w:r>
        <w:rPr>
          <w:rtl/>
        </w:rPr>
        <w:instrText xml:space="preserve"> REF b3_note103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103</w:t>
      </w:r>
      <w:r>
        <w:rPr>
          <w:rtl/>
        </w:rPr>
        <w:fldChar w:fldCharType="end"/>
      </w:r>
      <w:r>
        <w:rPr>
          <w:rtl/>
        </w:rPr>
        <w:t xml:space="preserve"> לעיל.</w:t>
      </w:r>
    </w:p>
    <w:bookmarkStart w:id="2037" w:name="b3_note110"/>
    <w:p w14:paraId="7BAE2404" w14:textId="77777777" w:rsidR="00AB3647" w:rsidRDefault="00000000" w:rsidP="007923E9">
      <w:pPr>
        <w:spacing w:before="120" w:after="100" w:line="276" w:lineRule="auto"/>
        <w:jc w:val="both"/>
      </w:pPr>
      <w:r>
        <w:fldChar w:fldCharType="begin" w:dirty="true"/>
      </w:r>
      <w:r>
        <w:instrText>HYPERLINK \l "b3_ref110"</w:instrText>
      </w:r>
      <w:r>
        <w:fldChar w:fldCharType="separate"/>
      </w:r>
      <w:r>
        <w:rPr>
          <w:b/>
          <w:bCs/>
          <w:rtl/>
        </w:rPr>
        <w:t>110</w:t>
      </w:r>
      <w:r>
        <w:rPr>
          <w:b/>
          <w:bCs/>
        </w:rPr>
        <w:fldChar w:fldCharType="end"/>
      </w:r>
      <w:bookmarkEnd w:id="2037"/>
      <w:r>
        <w:rPr>
          <w:rtl/>
        </w:rPr>
        <w:t xml:space="preserve"> הריאיון המוקלט על הסבא </w:t>
      </w:r>
      <w:proofErr w:type="spellStart"/>
      <w:r>
        <w:rPr>
          <w:rtl/>
        </w:rPr>
        <w:t>מסלבודקה</w:t>
      </w:r>
      <w:proofErr w:type="spellEnd"/>
      <w:r>
        <w:rPr>
          <w:rtl/>
        </w:rPr>
        <w:t>.</w:t>
      </w:r>
    </w:p>
    <w:p w14:paraId="62A8A4D0" w14:textId="022C641E"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זמן קצר אחר כך</w:t>
      </w:r>
      <w:bookmarkStart w:id="2038" w:name="b3_ref111"/>
      <w:bookmarkEnd w:id="2038"/>
      <w:r>
        <w:rPr>
          <w:vertAlign w:val="superscript"/>
          <w:rtl/>
        </w:rPr>
        <w:fldChar w:fldCharType="begin" w:dirty="true"/>
      </w:r>
      <w:r>
        <w:rPr>
          <w:vertAlign w:val="superscript"/>
          <w:rtl/>
        </w:rPr>
        <w:instrText xml:space="preserve"> REF b3_note111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111</w:t>
      </w:r>
      <w:r>
        <w:rPr>
          <w:vertAlign w:val="superscript"/>
          <w:rtl/>
        </w:rPr>
        <w:fldChar w:fldCharType="end"/>
      </w:r>
      <w:r>
        <w:rPr>
          <w:rtl/>
        </w:rPr>
        <w:t xml:space="preserve"> עבר הרב </w:t>
      </w:r>
      <w:proofErr w:type="spellStart"/>
      <w:r>
        <w:rPr>
          <w:rtl/>
        </w:rPr>
        <w:t xml:space="preserve">הלר</w:t>
      </w:r>
      <w:proofErr w:type="spellEnd"/>
      <w:r>
        <w:rPr>
          <w:rtl/>
        </w:rPr>
        <w:t xml:space="preserve">, עם תלמידים לשעבר אחרים </w:t>
      </w:r>
      <w:proofErr w:type="spellStart"/>
      <w:r>
        <w:rPr>
          <w:rtl/>
        </w:rPr>
        <w:t>מגרובין</w:t>
      </w:r>
      <w:proofErr w:type="spellEnd"/>
      <w:r>
        <w:rPr>
          <w:rtl/>
        </w:rPr>
        <w:t>, לקיבוץ</w:t>
      </w:r>
      <w:bookmarkStart w:id="2039" w:name="b3_ref112"/>
      <w:bookmarkEnd w:id="2039"/>
      <w:r>
        <w:rPr>
          <w:vertAlign w:val="superscript"/>
          <w:rtl/>
        </w:rPr>
        <w:fldChar w:fldCharType="begin" w:dirty="true"/>
      </w:r>
      <w:r>
        <w:rPr>
          <w:vertAlign w:val="superscript"/>
          <w:rtl/>
        </w:rPr>
        <w:instrText xml:space="preserve"> REF b3_note112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112</w:t>
      </w:r>
      <w:r>
        <w:rPr>
          <w:vertAlign w:val="superscript"/>
          <w:rtl/>
        </w:rPr>
        <w:fldChar w:fldCharType="end"/>
      </w:r>
      <w:r>
        <w:rPr>
          <w:rtl/>
        </w:rPr>
        <w:t xml:space="preserve"> שהקים הסבא </w:t>
      </w:r>
      <w:proofErr w:type="spellStart"/>
      <w:r>
        <w:rPr>
          <w:rtl/>
        </w:rPr>
        <w:t>מסלבודקה</w:t>
      </w:r>
      <w:proofErr w:type="spellEnd"/>
      <w:r>
        <w:rPr>
          <w:rtl/>
        </w:rPr>
        <w:t xml:space="preserve"> בחסות ר׳ </w:t>
      </w:r>
      <w:proofErr w:type="spellStart"/>
      <w:r>
        <w:rPr>
          <w:rtl/>
        </w:rPr>
        <w:t>איצל׳ה</w:t>
      </w:r>
      <w:proofErr w:type="spellEnd"/>
      <w:r>
        <w:rPr>
          <w:rtl/>
        </w:rPr>
        <w:t xml:space="preserve"> </w:t>
      </w:r>
      <w:proofErr w:type="spellStart"/>
      <w:r>
        <w:rPr>
          <w:rtl/>
        </w:rPr>
        <w:t>בלאזר</w:t>
      </w:r>
      <w:proofErr w:type="spellEnd"/>
      <w:r>
        <w:rPr>
          <w:rtl/>
        </w:rPr>
        <w:t xml:space="preserve"> ור׳ נפתלי אמסטרדם</w:t>
      </w:r>
      <w:bookmarkStart w:id="2040" w:name="b3_ref113"/>
      <w:bookmarkEnd w:id="2040"/>
      <w:r>
        <w:rPr>
          <w:vertAlign w:val="superscript"/>
          <w:rtl/>
        </w:rPr>
        <w:fldChar w:fldCharType="begin" w:dirty="true"/>
      </w:r>
      <w:r>
        <w:rPr>
          <w:vertAlign w:val="superscript"/>
          <w:rtl/>
        </w:rPr>
        <w:instrText xml:space="preserve"> REF b3_note113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113</w:t>
      </w:r>
      <w:r>
        <w:rPr>
          <w:vertAlign w:val="superscript"/>
          <w:rtl/>
        </w:rPr>
        <w:fldChar w:fldCharType="end"/>
      </w:r>
      <w:r>
        <w:rPr>
          <w:rtl/>
        </w:rPr>
        <w:t xml:space="preserve"> </w:t>
      </w:r>
      <w:proofErr w:type="spellStart"/>
      <w:r>
        <w:rPr>
          <w:rtl/>
        </w:rPr>
        <w:t>בקלויז</w:t>
      </w:r>
      <w:proofErr w:type="spellEnd"/>
      <w:r>
        <w:rPr>
          <w:rtl/>
        </w:rPr>
        <w:t xml:space="preserve"> “הלוויית המת” בסלבודקה</w:t>
      </w:r>
      <w:bookmarkStart w:id="2041" w:name="b3_ref114"/>
      <w:bookmarkEnd w:id="2041"/>
      <w:r>
        <w:rPr>
          <w:vertAlign w:val="superscript"/>
          <w:rtl/>
        </w:rPr>
        <w:fldChar w:fldCharType="begin" w:dirty="true"/>
      </w:r>
      <w:r>
        <w:rPr>
          <w:vertAlign w:val="superscript"/>
          <w:rtl/>
        </w:rPr>
        <w:instrText xml:space="preserve"> REF b3_note114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114</w:t>
      </w:r>
      <w:r>
        <w:rPr>
          <w:vertAlign w:val="superscript"/>
          <w:rtl/>
        </w:rPr>
        <w:fldChar w:fldCharType="end"/>
      </w:r>
      <w:r>
        <w:rPr>
          <w:rtl/>
        </w:rPr>
        <w:t xml:space="preserve">. </w:t>
      </w:r>
      <w:proofErr w:type="spellStart"/>
      <w:r>
        <w:rPr>
          <w:rtl/>
        </w:rPr>
        <w:t>בתרמ״ב</w:t>
      </w:r>
      <w:proofErr w:type="spellEnd"/>
      <w:r>
        <w:rPr>
          <w:rtl/>
        </w:rPr>
        <w:t xml:space="preserve"> הזמין הסבא </w:t>
      </w:r>
      <w:proofErr w:type="spellStart"/>
      <w:r>
        <w:rPr>
          <w:rtl/>
        </w:rPr>
        <w:t>מסלבודקה</w:t>
      </w:r>
      <w:proofErr w:type="spellEnd"/>
      <w:r>
        <w:rPr>
          <w:rtl/>
        </w:rPr>
        <w:t xml:space="preserve"> את הרב </w:t>
      </w:r>
      <w:proofErr w:type="spellStart"/>
      <w:r>
        <w:rPr>
          <w:rtl/>
        </w:rPr>
        <w:t xml:space="preserve">הלר</w:t>
      </w:r>
      <w:proofErr w:type="spellEnd"/>
      <w:r>
        <w:rPr>
          <w:rtl/>
        </w:rPr>
        <w:t xml:space="preserve"> לסייע לו בניהול הישיבה שהקים </w:t>
      </w:r>
      <w:proofErr w:type="spellStart"/>
      <w:r>
        <w:rPr>
          <w:rtl/>
        </w:rPr>
        <w:t>בסלבודקה</w:t>
      </w:r>
      <w:proofErr w:type="spellEnd"/>
      <w:r>
        <w:rPr>
          <w:rtl/>
        </w:rPr>
        <w:t xml:space="preserve"> בחסות הכולל בקובנה</w:t>
      </w:r>
      <w:bookmarkStart w:id="2042" w:name="b3_ref115"/>
      <w:bookmarkEnd w:id="2042"/>
      <w:r>
        <w:rPr>
          <w:vertAlign w:val="superscript"/>
          <w:rtl/>
        </w:rPr>
        <w:fldChar w:fldCharType="begin" w:dirty="true"/>
      </w:r>
      <w:r>
        <w:rPr>
          <w:vertAlign w:val="superscript"/>
          <w:rtl/>
        </w:rPr>
        <w:instrText xml:space="preserve"> REF b3_note115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115</w:t>
      </w:r>
      <w:r>
        <w:rPr>
          <w:vertAlign w:val="superscript"/>
          <w:rtl/>
        </w:rPr>
        <w:fldChar w:fldCharType="end"/>
      </w:r>
      <w:r>
        <w:rPr>
          <w:rtl/>
        </w:rPr>
        <w:t>. כשנוסדה לבסוף ישיבת כנסת ישראל, התבקש לשמש עוזרו של הסבא – “המשגיח הצעיר”</w:t>
      </w:r>
      <w:bookmarkStart w:id="2043" w:name="b3_ref116"/>
      <w:bookmarkEnd w:id="2043"/>
      <w:r>
        <w:rPr>
          <w:vertAlign w:val="superscript"/>
          <w:rtl/>
        </w:rPr>
        <w:fldChar w:fldCharType="begin" w:dirty="true"/>
      </w:r>
      <w:r>
        <w:rPr>
          <w:vertAlign w:val="superscript"/>
          <w:rtl/>
        </w:rPr>
        <w:instrText xml:space="preserve"> REF b3_note116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116</w:t>
      </w:r>
      <w:r>
        <w:rPr>
          <w:vertAlign w:val="superscript"/>
          <w:rtl/>
        </w:rPr>
        <w:fldChar w:fldCharType="end"/>
      </w:r>
      <w:r>
        <w:rPr>
          <w:rtl/>
        </w:rPr>
        <w:t>. המשגיח חם הלב</w:t>
      </w:r>
      <w:bookmarkStart w:id="2044" w:name="b3_ref117"/>
      <w:bookmarkEnd w:id="2044"/>
      <w:r>
        <w:rPr>
          <w:vertAlign w:val="superscript"/>
          <w:rtl/>
        </w:rPr>
        <w:fldChar w:fldCharType="begin" w:dirty="true"/>
      </w:r>
      <w:r>
        <w:rPr>
          <w:vertAlign w:val="superscript"/>
          <w:rtl/>
        </w:rPr>
        <w:instrText xml:space="preserve"> REF b3_note117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117</w:t>
      </w:r>
      <w:r>
        <w:rPr>
          <w:vertAlign w:val="superscript"/>
          <w:rtl/>
        </w:rPr>
        <w:fldChar w:fldCharType="end"/>
      </w:r>
      <w:r>
        <w:rPr>
          <w:rtl/>
        </w:rPr>
        <w:t xml:space="preserve"> ומשפחתו היו בית שני לתלמיד החדש ממינסק.</w:t>
      </w:r>
    </w:p>
    <w:bookmarkStart w:id="2045" w:name="b3_note111"/>
    <w:p w14:paraId="7AC7A709" w14:textId="7C097822" w:rsidR="00AB3647" w:rsidRDefault="00000000" w:rsidP="007923E9">
      <w:pPr>
        <w:spacing w:before="120" w:after="100" w:line="276" w:lineRule="auto"/>
        <w:jc w:val="both"/>
      </w:pPr>
      <w:r>
        <w:fldChar w:fldCharType="begin" w:dirty="true"/>
      </w:r>
      <w:r>
        <w:instrText>HYPERLINK \l "b3_ref111"</w:instrText>
      </w:r>
      <w:r>
        <w:fldChar w:fldCharType="separate"/>
      </w:r>
      <w:r>
        <w:rPr>
          <w:b/>
          <w:bCs/>
          <w:rtl/>
        </w:rPr>
        <w:t>111</w:t>
      </w:r>
      <w:r>
        <w:rPr>
          <w:b/>
          <w:bCs/>
        </w:rPr>
        <w:fldChar w:fldCharType="end"/>
      </w:r>
      <w:bookmarkEnd w:id="2045"/>
      <w:r>
        <w:rPr>
          <w:rtl/>
        </w:rPr>
        <w:t xml:space="preserve"> ראה </w:t>
      </w:r>
      <w:r>
        <w:rPr>
          <w:rtl/>
        </w:rPr>
        <w:fldChar w:fldCharType="begin" w:dirty="true"/>
      </w:r>
      <w:r>
        <w:rPr>
          <w:rtl/>
        </w:rPr>
        <w:instrText xml:space="preserve"> REF b3_excZ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כו</w:t>
      </w:r>
      <w:proofErr w:type="spellEnd"/>
      <w:r>
        <w:rPr>
          <w:rtl/>
        </w:rPr>
        <w:fldChar w:fldCharType="end"/>
      </w:r>
      <w:r>
        <w:rPr>
          <w:rtl/>
        </w:rPr>
        <w:t>.</w:t>
      </w:r>
    </w:p>
    <w:bookmarkStart w:id="2046" w:name="b3_note112"/>
    <w:p w14:paraId="585FFE8D" w14:textId="77777777" w:rsidR="00AB3647" w:rsidRDefault="00000000" w:rsidP="007923E9">
      <w:pPr>
        <w:spacing w:before="120" w:after="100" w:line="276" w:lineRule="auto"/>
        <w:jc w:val="both"/>
      </w:pPr>
      <w:r>
        <w:fldChar w:fldCharType="begin" w:dirty="true"/>
      </w:r>
      <w:r>
        <w:instrText>HYPERLINK \l "b3_ref112"</w:instrText>
      </w:r>
      <w:r>
        <w:fldChar w:fldCharType="separate"/>
      </w:r>
      <w:r>
        <w:rPr>
          <w:b/>
          <w:bCs/>
          <w:rtl/>
        </w:rPr>
        <w:t>112</w:t>
      </w:r>
      <w:r>
        <w:rPr>
          <w:b/>
          <w:bCs/>
        </w:rPr>
        <w:fldChar w:fldCharType="end"/>
      </w:r>
      <w:bookmarkEnd w:id="2046"/>
      <w:r>
        <w:rPr>
          <w:rtl/>
        </w:rPr>
        <w:t xml:space="preserve"> השווה פרק 2, תחילת סעיף 3.</w:t>
      </w:r>
    </w:p>
    <w:bookmarkStart w:id="2047" w:name="b3_note113"/>
    <w:p w14:paraId="75B551D8" w14:textId="1252BB20" w:rsidR="00AB3647" w:rsidRDefault="00000000" w:rsidP="007923E9">
      <w:pPr>
        <w:spacing w:before="120" w:after="100" w:line="276" w:lineRule="auto"/>
        <w:jc w:val="both"/>
      </w:pPr>
      <w:r>
        <w:fldChar w:fldCharType="begin" w:dirty="true"/>
      </w:r>
      <w:r>
        <w:instrText>HYPERLINK \l "b3_ref113"</w:instrText>
      </w:r>
      <w:r>
        <w:fldChar w:fldCharType="separate"/>
      </w:r>
      <w:r>
        <w:rPr>
          <w:b/>
          <w:bCs/>
          <w:rtl/>
        </w:rPr>
        <w:t>113</w:t>
      </w:r>
      <w:r>
        <w:rPr>
          <w:b/>
          <w:bCs/>
        </w:rPr>
        <w:fldChar w:fldCharType="end"/>
      </w:r>
      <w:bookmarkEnd w:id="2047"/>
      <w:r>
        <w:rPr>
          <w:rtl/>
        </w:rPr>
        <w:t xml:space="preserve"> השווה </w:t>
      </w:r>
      <w:r>
        <w:rPr>
          <w:rtl/>
        </w:rPr>
        <w:fldChar w:fldCharType="begin" w:dirty="true"/>
      </w:r>
      <w:r>
        <w:rPr>
          <w:rtl/>
        </w:rPr>
        <w:instrText xml:space="preserve"> REF b3_excB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 xml:space="preserve"> להלן.</w:t>
      </w:r>
    </w:p>
    <w:bookmarkStart w:id="2048" w:name="b3_note114"/>
    <w:p w14:paraId="4811B784" w14:textId="77777777" w:rsidR="00AB3647" w:rsidRDefault="00000000" w:rsidP="007923E9">
      <w:pPr>
        <w:spacing w:before="120" w:after="100" w:line="276" w:lineRule="auto"/>
        <w:jc w:val="both"/>
      </w:pPr>
      <w:r>
        <w:fldChar w:fldCharType="begin" w:dirty="true"/>
      </w:r>
      <w:r>
        <w:instrText>HYPERLINK \l "b3_ref114"</w:instrText>
      </w:r>
      <w:r>
        <w:fldChar w:fldCharType="separate"/>
      </w:r>
      <w:r>
        <w:rPr>
          <w:b/>
          <w:bCs/>
          <w:rtl/>
        </w:rPr>
        <w:t>114</w:t>
      </w:r>
      <w:r>
        <w:rPr>
          <w:b/>
          <w:bCs/>
        </w:rPr>
        <w:fldChar w:fldCharType="end"/>
      </w:r>
      <w:bookmarkEnd w:id="2048"/>
      <w:r>
        <w:rPr>
          <w:rtl/>
        </w:rPr>
        <w:t xml:space="preserve"> בספרו של כץ, “תנועת המוסר”, כרך ג</w:t>
      </w:r>
      <w:bookmarkStart w:id="2049" w:name="_fnr1293"/>
      <w:r>
        <w:rPr>
          <w:rStyle w:val="a5"/>
        </w:rPr>
        <w:footnoteReference w:id="1296" w:customMarkFollows="0"/>
      </w:r>
      <w:bookmarkEnd w:id="2049"/>
      <w:r>
        <w:rPr>
          <w:rtl/>
        </w:rPr>
        <w:t xml:space="preserve">, נמנה ר׳ </w:t>
      </w:r>
      <w:proofErr w:type="spellStart"/>
      <w:r>
        <w:rPr>
          <w:rtl/>
        </w:rPr>
        <w:t xml:space="preserve">בער־הירש</w:t>
      </w:r>
      <w:proofErr w:type="spellEnd"/>
      <w:r>
        <w:rPr>
          <w:rtl/>
        </w:rPr>
        <w:t xml:space="preserve"> עם אישי התורה המצטיינים שלמדו באותו קיבוץ. לדברי כץ</w:t>
      </w:r>
      <w:bookmarkStart w:id="2050" w:name="_fnr1294"/>
      <w:r>
        <w:rPr>
          <w:rStyle w:val="a5"/>
        </w:rPr>
        <w:footnoteReference w:id="1297" w:customMarkFollows="0"/>
      </w:r>
      <w:bookmarkEnd w:id="2050"/>
      <w:r>
        <w:rPr>
          <w:rtl/>
        </w:rPr>
        <w:t xml:space="preserve">, היו התלמידים מבקרים בבתיהם של ר׳ </w:t>
      </w:r>
      <w:proofErr w:type="spellStart"/>
      <w:r>
        <w:rPr>
          <w:rtl/>
        </w:rPr>
        <w:t>איצל׳ה</w:t>
      </w:r>
      <w:proofErr w:type="spellEnd"/>
      <w:r>
        <w:rPr>
          <w:rtl/>
        </w:rPr>
        <w:t xml:space="preserve"> </w:t>
      </w:r>
      <w:proofErr w:type="spellStart"/>
      <w:r>
        <w:rPr>
          <w:rtl/>
        </w:rPr>
        <w:t>בלאזר</w:t>
      </w:r>
      <w:proofErr w:type="spellEnd"/>
      <w:r>
        <w:rPr>
          <w:rtl/>
        </w:rPr>
        <w:t xml:space="preserve"> ור׳ נפתלי אמסטרדם כדי לשוחח בענייני מוסר, ושומעים את שיחותיו של הסבא </w:t>
      </w:r>
      <w:proofErr w:type="spellStart"/>
      <w:r>
        <w:rPr>
          <w:rtl/>
        </w:rPr>
        <w:t>מסלבודקה</w:t>
      </w:r>
      <w:proofErr w:type="spellEnd"/>
      <w:r>
        <w:rPr>
          <w:rtl/>
        </w:rPr>
        <w:t xml:space="preserve"> בחדרו שבישיבת אור החיים, המוסד שבו כיהן אז כמשגיח.</w:t>
      </w:r>
    </w:p>
    <w:bookmarkStart w:id="2051" w:name="b3_note115"/>
    <w:p w14:paraId="6ABA1A18" w14:textId="77777777" w:rsidR="00AB3647" w:rsidRDefault="00000000" w:rsidP="007923E9">
      <w:pPr>
        <w:spacing w:before="120" w:after="100" w:line="276" w:lineRule="auto"/>
        <w:jc w:val="both"/>
      </w:pPr>
      <w:r>
        <w:lastRenderedPageBreak/>
        <w:fldChar w:fldCharType="begin" w:dirty="true"/>
      </w:r>
      <w:r>
        <w:instrText>HYPERLINK \l "b3_ref115"</w:instrText>
      </w:r>
      <w:r>
        <w:fldChar w:fldCharType="separate"/>
      </w:r>
      <w:r>
        <w:rPr>
          <w:b/>
          <w:bCs/>
          <w:rtl/>
        </w:rPr>
        <w:t>115</w:t>
      </w:r>
      <w:r>
        <w:rPr>
          <w:b/>
          <w:bCs/>
        </w:rPr>
        <w:fldChar w:fldCharType="end"/>
      </w:r>
      <w:bookmarkEnd w:id="2051"/>
      <w:r>
        <w:rPr>
          <w:rtl/>
        </w:rPr>
        <w:t xml:space="preserve"> בקיץ תשנ״א סיפר ר׳ אביגדור מילר לבן דודי ר׳ יצחק </w:t>
      </w:r>
      <w:proofErr w:type="spellStart"/>
      <w:r>
        <w:rPr>
          <w:rtl/>
        </w:rPr>
        <w:t>גרודזינסקי</w:t>
      </w:r>
      <w:proofErr w:type="spellEnd"/>
      <w:r>
        <w:rPr>
          <w:rtl/>
        </w:rPr>
        <w:t xml:space="preserve">, נכדו של ר׳ </w:t>
      </w:r>
      <w:proofErr w:type="spellStart"/>
      <w:r>
        <w:rPr>
          <w:rtl/>
        </w:rPr>
        <w:t xml:space="preserve">בער־הירש</w:t>
      </w:r>
      <w:proofErr w:type="spellEnd"/>
      <w:r>
        <w:rPr>
          <w:rtl/>
        </w:rPr>
        <w:t xml:space="preserve">, </w:t>
      </w:r>
      <w:proofErr w:type="spellStart"/>
      <w:r>
        <w:rPr>
          <w:rtl/>
        </w:rPr>
        <w:t>שבתרצ״ב</w:t>
      </w:r>
      <w:proofErr w:type="spellEnd"/>
      <w:r>
        <w:rPr>
          <w:rtl/>
        </w:rPr>
        <w:t xml:space="preserve">, כשלמד </w:t>
      </w:r>
      <w:proofErr w:type="spellStart"/>
      <w:r>
        <w:rPr>
          <w:rtl/>
        </w:rPr>
        <w:t>בסלבודקה</w:t>
      </w:r>
      <w:proofErr w:type="spellEnd"/>
      <w:r>
        <w:rPr>
          <w:rtl/>
        </w:rPr>
        <w:t xml:space="preserve">, חגג ר׳ </w:t>
      </w:r>
      <w:proofErr w:type="spellStart"/>
      <w:r>
        <w:rPr>
          <w:rtl/>
        </w:rPr>
        <w:t xml:space="preserve">בער־הירש</w:t>
      </w:r>
      <w:proofErr w:type="spellEnd"/>
      <w:r>
        <w:rPr>
          <w:rtl/>
        </w:rPr>
        <w:t xml:space="preserve"> יובל שנים של פעילות בישיבה. מאמרו של ר׳ אפרים אשרי </w:t>
      </w:r>
      <w:proofErr w:type="spellStart"/>
      <w:r>
        <w:rPr>
          <w:rtl/>
        </w:rPr>
        <w:t>ב“מוסדות</w:t>
      </w:r>
      <w:proofErr w:type="spellEnd"/>
      <w:r>
        <w:rPr>
          <w:rtl/>
        </w:rPr>
        <w:t xml:space="preserve"> תורה באירופה”</w:t>
      </w:r>
      <w:bookmarkStart w:id="2052" w:name="_fnr1295"/>
      <w:r>
        <w:rPr>
          <w:rStyle w:val="a5"/>
        </w:rPr>
        <w:footnoteReference w:id="1298" w:customMarkFollows="0"/>
      </w:r>
      <w:bookmarkEnd w:id="2052"/>
      <w:r>
        <w:rPr>
          <w:rtl/>
        </w:rPr>
        <w:t xml:space="preserve"> מכנה את ר׳ </w:t>
      </w:r>
      <w:proofErr w:type="spellStart"/>
      <w:r>
        <w:rPr>
          <w:rtl/>
        </w:rPr>
        <w:t xml:space="preserve">בער־הירש</w:t>
      </w:r>
      <w:proofErr w:type="spellEnd"/>
      <w:r>
        <w:rPr>
          <w:rtl/>
        </w:rPr>
        <w:t xml:space="preserve"> “צדיק טהור שמעולם לא ידעו אנשים מתי אכל, שתה או עסק בענייני ביתו, משום שהיה בישיבה ביום ובלילה. לעיתים היה מסתובב ימים רצופים כשהוא עטוף בטלית ומוכתר בתפילין.”</w:t>
      </w:r>
      <w:bookmarkStart w:id="2053" w:name="_fnr1296"/>
      <w:r>
        <w:rPr>
          <w:rStyle w:val="a5"/>
        </w:rPr>
        <w:footnoteReference w:id="1299" w:customMarkFollows="0"/>
      </w:r>
      <w:bookmarkEnd w:id="2053"/>
    </w:p>
    <w:p w14:paraId="0087EE14" w14:textId="77777777" w:rsidR="00AB3647" w:rsidRDefault="00000000" w:rsidP="007923E9">
      <w:pPr>
        <w:spacing w:after="100" w:line="276" w:lineRule="auto"/>
        <w:ind w:firstLine="340"/>
        <w:jc w:val="both"/>
      </w:pPr>
      <w:r>
        <w:rPr>
          <w:rtl/>
        </w:rPr>
        <w:t xml:space="preserve">לאחר שנשא הרב </w:t>
      </w:r>
      <w:proofErr w:type="spellStart"/>
      <w:r>
        <w:rPr>
          <w:rtl/>
        </w:rPr>
        <w:t xml:space="preserve">הלר</w:t>
      </w:r>
      <w:proofErr w:type="spellEnd"/>
      <w:r>
        <w:rPr>
          <w:rtl/>
        </w:rPr>
        <w:t xml:space="preserve"> את </w:t>
      </w:r>
      <w:proofErr w:type="spellStart"/>
      <w:r>
        <w:rPr>
          <w:rtl/>
        </w:rPr>
        <w:t>פייגה־אסתר</w:t>
      </w:r>
      <w:proofErr w:type="spellEnd"/>
      <w:r>
        <w:rPr>
          <w:rtl/>
        </w:rPr>
        <w:t xml:space="preserve"> </w:t>
      </w:r>
      <w:proofErr w:type="spellStart"/>
      <w:r>
        <w:rPr>
          <w:rtl/>
        </w:rPr>
        <w:t>בלנקפלד</w:t>
      </w:r>
      <w:proofErr w:type="spellEnd"/>
      <w:r>
        <w:rPr>
          <w:rtl/>
        </w:rPr>
        <w:t xml:space="preserve"> נשאר </w:t>
      </w:r>
      <w:proofErr w:type="spellStart"/>
      <w:r>
        <w:rPr>
          <w:rtl/>
        </w:rPr>
        <w:t>בסלבודקה</w:t>
      </w:r>
      <w:proofErr w:type="spellEnd"/>
      <w:r>
        <w:rPr>
          <w:rtl/>
        </w:rPr>
        <w:t xml:space="preserve">, שקוע בלימוד תורה ומוסר, ואילו אשתו התגוררה </w:t>
      </w:r>
      <w:proofErr w:type="spellStart"/>
      <w:r>
        <w:rPr>
          <w:rtl/>
        </w:rPr>
        <w:t>בשילל</w:t>
      </w:r>
      <w:proofErr w:type="spellEnd"/>
      <w:r>
        <w:rPr>
          <w:rtl/>
        </w:rPr>
        <w:t xml:space="preserve"> עם הוריו. כמו הסבא, חי בפרישות</w:t>
      </w:r>
      <w:bookmarkStart w:id="2054" w:name="_fnr1297"/>
      <w:r>
        <w:rPr>
          <w:rStyle w:val="a5"/>
        </w:rPr>
        <w:footnoteReference w:id="1300" w:customMarkFollows="0"/>
      </w:r>
      <w:bookmarkEnd w:id="2054"/>
      <w:r>
        <w:rPr>
          <w:rtl/>
        </w:rPr>
        <w:t xml:space="preserve">. עד שעברה אשתו </w:t>
      </w:r>
      <w:proofErr w:type="spellStart"/>
      <w:r>
        <w:rPr>
          <w:rtl/>
        </w:rPr>
        <w:t>לסלבודקה</w:t>
      </w:r>
      <w:proofErr w:type="spellEnd"/>
      <w:r>
        <w:rPr>
          <w:rtl/>
        </w:rPr>
        <w:t xml:space="preserve"> גר עם ר׳ </w:t>
      </w:r>
      <w:proofErr w:type="spellStart"/>
      <w:r>
        <w:rPr>
          <w:rtl/>
        </w:rPr>
        <w:t>נתן־צבי</w:t>
      </w:r>
      <w:proofErr w:type="spellEnd"/>
      <w:r>
        <w:rPr>
          <w:rtl/>
        </w:rPr>
        <w:t xml:space="preserve"> באותה </w:t>
      </w:r>
      <w:proofErr w:type="spellStart"/>
      <w:r>
        <w:rPr>
          <w:rtl/>
        </w:rPr>
        <w:t>סטנציה</w:t>
      </w:r>
      <w:bookmarkStart w:id="2055" w:name="_fnr1298"/>
      <w:proofErr w:type="spellEnd"/>
      <w:r>
        <w:rPr>
          <w:rStyle w:val="a5"/>
        </w:rPr>
        <w:footnoteReference w:id="1301" w:customMarkFollows="0"/>
      </w:r>
      <w:bookmarkEnd w:id="2055"/>
      <w:r>
        <w:rPr>
          <w:rtl/>
        </w:rPr>
        <w:t>.</w:t>
      </w:r>
    </w:p>
    <w:p w14:paraId="79C52332" w14:textId="77777777" w:rsidR="00AB3647" w:rsidRDefault="00000000" w:rsidP="007923E9">
      <w:pPr>
        <w:spacing w:after="100" w:line="276" w:lineRule="auto"/>
        <w:ind w:firstLine="340"/>
        <w:jc w:val="both"/>
      </w:pPr>
      <w:r>
        <w:rPr>
          <w:rtl/>
        </w:rPr>
        <w:t>ר׳ זבולון גרז</w:t>
      </w:r>
      <w:bookmarkStart w:id="2056" w:name="_fnr1299"/>
      <w:r>
        <w:rPr>
          <w:rStyle w:val="a5"/>
        </w:rPr>
        <w:footnoteReference w:id="1302" w:customMarkFollows="0"/>
      </w:r>
      <w:bookmarkEnd w:id="2056"/>
      <w:r>
        <w:rPr>
          <w:rtl/>
        </w:rPr>
        <w:t xml:space="preserve"> תמצת את הקשר ההדוק בין ר׳ </w:t>
      </w:r>
      <w:proofErr w:type="spellStart"/>
      <w:r>
        <w:rPr>
          <w:rtl/>
        </w:rPr>
        <w:t xml:space="preserve">בער־הירש</w:t>
      </w:r>
      <w:proofErr w:type="spellEnd"/>
      <w:r>
        <w:rPr>
          <w:rtl/>
        </w:rPr>
        <w:t xml:space="preserve"> </w:t>
      </w:r>
      <w:proofErr w:type="spellStart"/>
      <w:r>
        <w:rPr>
          <w:rtl/>
        </w:rPr>
        <w:t xml:space="preserve">הלר</w:t>
      </w:r>
      <w:proofErr w:type="spellEnd"/>
      <w:r>
        <w:rPr>
          <w:rtl/>
        </w:rPr>
        <w:t xml:space="preserve"> </w:t>
      </w:r>
      <w:proofErr w:type="spellStart"/>
      <w:r>
        <w:rPr>
          <w:rtl/>
        </w:rPr>
        <w:t>לר</w:t>
      </w:r>
      <w:proofErr w:type="spellEnd"/>
      <w:r>
        <w:rPr>
          <w:rtl/>
        </w:rPr>
        <w:t xml:space="preserve">׳ </w:t>
      </w:r>
      <w:proofErr w:type="spellStart"/>
      <w:r>
        <w:rPr>
          <w:rtl/>
        </w:rPr>
        <w:t>נתן־צבי</w:t>
      </w:r>
      <w:proofErr w:type="spellEnd"/>
      <w:r>
        <w:rPr>
          <w:rtl/>
        </w:rPr>
        <w:t xml:space="preserve"> </w:t>
      </w:r>
      <w:proofErr w:type="spellStart"/>
      <w:r>
        <w:rPr>
          <w:rtl/>
        </w:rPr>
        <w:t>פינקל</w:t>
      </w:r>
      <w:proofErr w:type="spellEnd"/>
      <w:r>
        <w:rPr>
          <w:rtl/>
        </w:rPr>
        <w:t xml:space="preserve">, שנמשך למעלה מחמישים שנה: “ר׳ </w:t>
      </w:r>
      <w:proofErr w:type="spellStart"/>
      <w:r>
        <w:rPr>
          <w:rtl/>
        </w:rPr>
        <w:t xml:space="preserve">בער־הירש</w:t>
      </w:r>
      <w:proofErr w:type="spellEnd"/>
      <w:r>
        <w:rPr>
          <w:rtl/>
        </w:rPr>
        <w:t xml:space="preserve"> והסבא היו איין נשמה [נשמה אחת].”</w:t>
      </w:r>
      <w:bookmarkStart w:id="2057" w:name="_fnr1300"/>
      <w:r>
        <w:rPr>
          <w:rStyle w:val="a5"/>
        </w:rPr>
        <w:footnoteReference w:id="1303" w:customMarkFollows="0"/>
      </w:r>
      <w:bookmarkEnd w:id="2057"/>
      <w:r>
        <w:rPr>
          <w:rtl/>
        </w:rPr>
        <w:t xml:space="preserve"> ר׳ אלי׳ שווי אמר בפומבי שהסבא </w:t>
      </w:r>
      <w:proofErr w:type="spellStart"/>
      <w:r>
        <w:rPr>
          <w:rtl/>
        </w:rPr>
        <w:t>מסלבודקה</w:t>
      </w:r>
      <w:proofErr w:type="spellEnd"/>
      <w:r>
        <w:rPr>
          <w:rtl/>
        </w:rPr>
        <w:t xml:space="preserve"> הצהיר שלא היה ניגש להקמת ישיבה אילולא היה ר׳ </w:t>
      </w:r>
      <w:proofErr w:type="spellStart"/>
      <w:r>
        <w:rPr>
          <w:rtl/>
        </w:rPr>
        <w:t xml:space="preserve">בער־הירש</w:t>
      </w:r>
      <w:proofErr w:type="spellEnd"/>
      <w:r>
        <w:rPr>
          <w:rtl/>
        </w:rPr>
        <w:t xml:space="preserve"> לצידו.</w:t>
      </w:r>
      <w:bookmarkStart w:id="2058" w:name="_fnr1301"/>
      <w:r>
        <w:rPr>
          <w:rStyle w:val="a5"/>
        </w:rPr>
        <w:footnoteReference w:id="1304" w:customMarkFollows="0"/>
      </w:r>
      <w:bookmarkEnd w:id="2058"/>
      <w:r>
        <w:rPr>
          <w:rtl/>
        </w:rPr>
        <w:t xml:space="preserve"> אבי סיפר לנכדו ר׳ יוסף שגדולתו המיוחדת של ר׳ </w:t>
      </w:r>
      <w:proofErr w:type="spellStart"/>
      <w:r>
        <w:rPr>
          <w:rtl/>
        </w:rPr>
        <w:t xml:space="preserve">בער־הירש</w:t>
      </w:r>
      <w:proofErr w:type="spellEnd"/>
      <w:r>
        <w:rPr>
          <w:rtl/>
        </w:rPr>
        <w:t xml:space="preserve"> היא שאפשרה לו להישאר כל חייו במעמד של עוזר לסבא. לדעת אבי, ר׳ </w:t>
      </w:r>
      <w:proofErr w:type="spellStart"/>
      <w:r>
        <w:rPr>
          <w:rtl/>
        </w:rPr>
        <w:t>משה־מרדכי</w:t>
      </w:r>
      <w:proofErr w:type="spellEnd"/>
      <w:r>
        <w:rPr>
          <w:rtl/>
        </w:rPr>
        <w:t xml:space="preserve"> לא יכול היה לחקות מידה זו.</w:t>
      </w:r>
    </w:p>
    <w:p w14:paraId="1AE41C45" w14:textId="0AE16E1B" w:rsidR="00AB3647" w:rsidRDefault="00000000" w:rsidP="007923E9">
      <w:pPr>
        <w:spacing w:after="100" w:line="276" w:lineRule="auto"/>
        <w:ind w:firstLine="340"/>
        <w:jc w:val="both"/>
      </w:pPr>
      <w:r>
        <w:rPr>
          <w:rtl/>
        </w:rPr>
        <w:t xml:space="preserve">כמו שנזכר בסוף הערה </w:t>
      </w:r>
      <w:r>
        <w:rPr>
          <w:rtl/>
        </w:rPr>
        <w:fldChar w:fldCharType="begin" w:dirty="true"/>
      </w:r>
      <w:r>
        <w:rPr>
          <w:rtl/>
        </w:rPr>
        <w:instrText xml:space="preserve"> REF b3_note76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76</w:t>
      </w:r>
      <w:r>
        <w:rPr>
          <w:rtl/>
        </w:rPr>
        <w:fldChar w:fldCharType="end"/>
      </w:r>
      <w:r>
        <w:rPr>
          <w:rtl/>
        </w:rPr>
        <w:t xml:space="preserve"> לעיל, הכריז רבנו שהסבא ייסד את שלוחת ישיבת </w:t>
      </w:r>
      <w:proofErr w:type="spellStart"/>
      <w:r>
        <w:rPr>
          <w:rtl/>
        </w:rPr>
        <w:t>סלבודקה</w:t>
      </w:r>
      <w:proofErr w:type="spellEnd"/>
      <w:r>
        <w:rPr>
          <w:rtl/>
        </w:rPr>
        <w:t xml:space="preserve"> בחברון </w:t>
      </w:r>
      <w:proofErr w:type="spellStart"/>
      <w:r>
        <w:rPr>
          <w:rtl/>
        </w:rPr>
        <w:t>בתרפ״ד</w:t>
      </w:r>
      <w:proofErr w:type="spellEnd"/>
      <w:r>
        <w:rPr>
          <w:rtl/>
        </w:rPr>
        <w:t xml:space="preserve"> משום שחש שר׳ </w:t>
      </w:r>
      <w:proofErr w:type="spellStart"/>
      <w:r>
        <w:rPr>
          <w:rtl/>
        </w:rPr>
        <w:t>משה־מרדכי</w:t>
      </w:r>
      <w:proofErr w:type="spellEnd"/>
      <w:r>
        <w:rPr>
          <w:rtl/>
        </w:rPr>
        <w:t xml:space="preserve"> אינו יכול עוד להישאר כפוף לו, ועליו לעמוד בראש מוסד משלו. השווה גם כרך 2: הסבא לא התכוון לומר שיחות מוסר בחברון כשעלה לארץ ישראל, והסכים לעשות זאת רק לאחר שנפטר בנו ר׳ משה, כשחש שעליו להצדיק את התמיכה הכספית של הישיבה באלמנתו ובילדיו של ר׳ משה.</w:t>
      </w:r>
      <w:bookmarkStart w:id="2059" w:name="_fnr1302"/>
      <w:bookmarkStart w:id="2060" w:name="pr_f_1219"/>
      <w:r>
        <w:rPr>
          <w:rStyle w:val="a5"/>
        </w:rPr>
        <w:footnoteReference w:id="1305" w:customMarkFollows="0"/>
      </w:r>
      <w:bookmarkEnd w:id="2059"/>
      <w:bookmarkEnd w:id="2060"/>
    </w:p>
    <w:bookmarkStart w:id="2061" w:name="b3_note116"/>
    <w:p w14:paraId="3C1D3FAF" w14:textId="0549AD1F" w:rsidR="00AB3647" w:rsidRDefault="00000000" w:rsidP="007923E9">
      <w:pPr>
        <w:spacing w:before="120" w:after="100" w:line="276" w:lineRule="auto"/>
        <w:jc w:val="both"/>
      </w:pPr>
      <w:r>
        <w:lastRenderedPageBreak/>
        <w:fldChar w:fldCharType="begin" w:dirty="true"/>
      </w:r>
      <w:r>
        <w:instrText>HYPERLINK \l "b3_ref116"</w:instrText>
      </w:r>
      <w:r>
        <w:fldChar w:fldCharType="separate"/>
      </w:r>
      <w:r>
        <w:rPr>
          <w:b/>
          <w:bCs/>
          <w:rtl/>
        </w:rPr>
        <w:t>116</w:t>
      </w:r>
      <w:r>
        <w:rPr>
          <w:b/>
          <w:bCs/>
        </w:rPr>
        <w:fldChar w:fldCharType="end"/>
      </w:r>
      <w:bookmarkEnd w:id="2061"/>
      <w:r>
        <w:rPr>
          <w:rtl/>
        </w:rPr>
        <w:t xml:space="preserve"> ראה </w:t>
      </w:r>
      <w:r>
        <w:rPr>
          <w:rtl/>
        </w:rPr>
        <w:fldChar w:fldCharType="begin" w:dirty="true"/>
      </w:r>
      <w:r>
        <w:rPr>
          <w:rtl/>
        </w:rPr>
        <w:instrText xml:space="preserve"> REF b3_excAA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כז</w:t>
      </w:r>
      <w:proofErr w:type="spellEnd"/>
      <w:r>
        <w:rPr>
          <w:rtl/>
        </w:rPr>
        <w:fldChar w:fldCharType="end"/>
      </w:r>
      <w:r>
        <w:rPr>
          <w:rtl/>
        </w:rPr>
        <w:t>.</w:t>
      </w:r>
    </w:p>
    <w:bookmarkStart w:id="2062" w:name="b3_note117"/>
    <w:p w14:paraId="4920F464" w14:textId="76833149" w:rsidR="00AB3647" w:rsidRDefault="00000000" w:rsidP="007923E9">
      <w:pPr>
        <w:spacing w:before="120" w:after="100" w:line="276" w:lineRule="auto"/>
        <w:jc w:val="both"/>
      </w:pPr>
      <w:r>
        <w:fldChar w:fldCharType="begin" w:dirty="true"/>
      </w:r>
      <w:r>
        <w:instrText>HYPERLINK \l "b3_ref117"</w:instrText>
      </w:r>
      <w:r>
        <w:fldChar w:fldCharType="separate"/>
      </w:r>
      <w:r>
        <w:rPr>
          <w:b/>
          <w:bCs/>
          <w:rtl/>
        </w:rPr>
        <w:t>117</w:t>
      </w:r>
      <w:r>
        <w:rPr>
          <w:b/>
          <w:bCs/>
        </w:rPr>
        <w:fldChar w:fldCharType="end"/>
      </w:r>
      <w:bookmarkEnd w:id="2062"/>
      <w:r>
        <w:rPr>
          <w:rtl/>
        </w:rPr>
        <w:t xml:space="preserve"> ראה </w:t>
      </w:r>
      <w:r>
        <w:rPr>
          <w:rtl/>
        </w:rPr>
        <w:fldChar w:fldCharType="begin" w:dirty="true"/>
      </w:r>
      <w:r>
        <w:rPr>
          <w:rtl/>
        </w:rPr>
        <w:instrText xml:space="preserve"> REF b3_excBB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כח</w:t>
      </w:r>
      <w:proofErr w:type="spellEnd"/>
      <w:r>
        <w:rPr>
          <w:rtl/>
        </w:rPr>
        <w:fldChar w:fldCharType="end"/>
      </w:r>
      <w:r>
        <w:rPr>
          <w:rtl/>
        </w:rPr>
        <w:t>.</w:t>
      </w:r>
    </w:p>
    <w:p w14:paraId="104C75AD" w14:textId="650D91AA"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ראש הישיבה, ר׳ </w:t>
      </w:r>
      <w:proofErr w:type="spellStart"/>
      <w:r>
        <w:rPr>
          <w:rtl/>
        </w:rPr>
        <w:t>משה־מרדכי</w:t>
      </w:r>
      <w:proofErr w:type="spellEnd"/>
      <w:r>
        <w:rPr>
          <w:rtl/>
        </w:rPr>
        <w:t>, היה דמות מרשימה. גאונותו לא הייתה מוטלת בספק</w:t>
      </w:r>
      <w:bookmarkStart w:id="2063" w:name="b3_ref118"/>
      <w:bookmarkEnd w:id="2063"/>
      <w:r>
        <w:rPr>
          <w:vertAlign w:val="superscript"/>
          <w:rtl/>
        </w:rPr>
        <w:fldChar w:fldCharType="begin" w:dirty="true"/>
      </w:r>
      <w:r>
        <w:rPr>
          <w:vertAlign w:val="superscript"/>
          <w:rtl/>
        </w:rPr>
        <w:instrText xml:space="preserve"> REF b3_note118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118</w:t>
      </w:r>
      <w:r>
        <w:rPr>
          <w:vertAlign w:val="superscript"/>
          <w:rtl/>
        </w:rPr>
        <w:fldChar w:fldCharType="end"/>
      </w:r>
      <w:r>
        <w:rPr>
          <w:rtl/>
        </w:rPr>
        <w:t xml:space="preserve">, ולמרות חובותיו הרבניות לעיר </w:t>
      </w:r>
      <w:proofErr w:type="spellStart"/>
      <w:r>
        <w:rPr>
          <w:rtl/>
        </w:rPr>
        <w:t>סלבודקה</w:t>
      </w:r>
      <w:proofErr w:type="spellEnd"/>
      <w:r>
        <w:rPr>
          <w:rtl/>
        </w:rPr>
        <w:t>, התמדתו לא נפלה מזו של המתמידים שבתלמידים</w:t>
      </w:r>
      <w:bookmarkStart w:id="2064" w:name="b3_ref119"/>
      <w:bookmarkEnd w:id="2064"/>
      <w:r>
        <w:rPr>
          <w:vertAlign w:val="superscript"/>
          <w:rtl/>
        </w:rPr>
        <w:fldChar w:fldCharType="begin" w:dirty="true"/>
      </w:r>
      <w:r>
        <w:rPr>
          <w:vertAlign w:val="superscript"/>
          <w:rtl/>
        </w:rPr>
        <w:instrText xml:space="preserve"> REF b3_note119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119</w:t>
      </w:r>
      <w:r>
        <w:rPr>
          <w:vertAlign w:val="superscript"/>
          <w:rtl/>
        </w:rPr>
        <w:fldChar w:fldCharType="end"/>
      </w:r>
      <w:r>
        <w:rPr>
          <w:rtl/>
        </w:rPr>
        <w:t>. אבל שיעוריו, מבריקים ככל שהיו, לא הם שקבעו את אופייה של גישת הישיבה ללימוד התלמוד</w:t>
      </w:r>
      <w:bookmarkStart w:id="2065" w:name="b3_ref120"/>
      <w:bookmarkEnd w:id="2065"/>
      <w:r>
        <w:rPr>
          <w:vertAlign w:val="superscript"/>
          <w:rtl/>
        </w:rPr>
        <w:fldChar w:fldCharType="begin" w:dirty="true"/>
      </w:r>
      <w:r>
        <w:rPr>
          <w:vertAlign w:val="superscript"/>
          <w:rtl/>
        </w:rPr>
        <w:instrText xml:space="preserve"> REF b3_note120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120</w:t>
      </w:r>
      <w:r>
        <w:rPr>
          <w:vertAlign w:val="superscript"/>
          <w:rtl/>
        </w:rPr>
        <w:fldChar w:fldCharType="end"/>
      </w:r>
      <w:r>
        <w:rPr>
          <w:rtl/>
        </w:rPr>
        <w:t>. כמה תלמידים היו רצים קדימה כדי לשמוע את השיעורים – הסבא הנהיג שהתלמידים ירוצו</w:t>
      </w:r>
      <w:bookmarkStart w:id="2066" w:name="b3_ref121"/>
      <w:bookmarkEnd w:id="2066"/>
      <w:r>
        <w:rPr>
          <w:vertAlign w:val="superscript"/>
          <w:rtl/>
        </w:rPr>
        <w:fldChar w:fldCharType="begin" w:dirty="true"/>
      </w:r>
      <w:r>
        <w:rPr>
          <w:vertAlign w:val="superscript"/>
          <w:rtl/>
        </w:rPr>
        <w:instrText xml:space="preserve"> REF b3_note121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121</w:t>
      </w:r>
      <w:r>
        <w:rPr>
          <w:vertAlign w:val="superscript"/>
          <w:rtl/>
        </w:rPr>
        <w:fldChar w:fldCharType="end"/>
      </w:r>
      <w:r>
        <w:rPr>
          <w:rtl/>
        </w:rPr>
        <w:t xml:space="preserve"> לשיעור, כביטוי לכבוד התורה. אבל רבים אחרים היו יוצאים בחיפזון מבית המדרש</w:t>
      </w:r>
      <w:bookmarkStart w:id="2067" w:name="b3_ref122"/>
      <w:bookmarkEnd w:id="2067"/>
      <w:r>
        <w:rPr>
          <w:vertAlign w:val="superscript"/>
          <w:rtl/>
        </w:rPr>
        <w:fldChar w:fldCharType="begin" w:dirty="true"/>
      </w:r>
      <w:r>
        <w:rPr>
          <w:vertAlign w:val="superscript"/>
          <w:rtl/>
        </w:rPr>
        <w:instrText xml:space="preserve"> REF b3_note122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122</w:t>
      </w:r>
      <w:r>
        <w:rPr>
          <w:vertAlign w:val="superscript"/>
          <w:rtl/>
        </w:rPr>
        <w:fldChar w:fldCharType="end"/>
      </w:r>
      <w:r>
        <w:rPr>
          <w:rtl/>
        </w:rPr>
        <w:t xml:space="preserve"> כשנכנס ראש הישיבה למסור את שיעוריו, שנמסרו פעמיים בשבוע</w:t>
      </w:r>
      <w:bookmarkStart w:id="2068" w:name="b3_ref123"/>
      <w:bookmarkEnd w:id="2068"/>
      <w:r>
        <w:rPr>
          <w:vertAlign w:val="superscript"/>
          <w:rtl/>
        </w:rPr>
        <w:fldChar w:fldCharType="begin" w:dirty="true"/>
      </w:r>
      <w:r>
        <w:rPr>
          <w:vertAlign w:val="superscript"/>
          <w:rtl/>
        </w:rPr>
        <w:instrText xml:space="preserve"> REF b3_note123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123</w:t>
      </w:r>
      <w:r>
        <w:rPr>
          <w:vertAlign w:val="superscript"/>
          <w:rtl/>
        </w:rPr>
        <w:fldChar w:fldCharType="end"/>
      </w:r>
      <w:r>
        <w:rPr>
          <w:rtl/>
        </w:rPr>
        <w:t>. כשגישה כזו שררה, ובעליל בהסכמת ההנהלה, לא יכלה כנסת ישראל לקדם דרך מסוימת בלמדנות התלמודית</w:t>
      </w:r>
      <w:r>
        <w:rPr>
          <w:vertAlign w:val="superscript"/>
          <w:rtl/>
        </w:rPr>
        <w:fldChar w:fldCharType="begin" w:dirty="true"/>
      </w:r>
      <w:r>
        <w:rPr>
          <w:vertAlign w:val="superscript"/>
          <w:rtl/>
        </w:rPr>
        <w:instrText xml:space="preserve"> REF b3_note120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120</w:t>
      </w:r>
      <w:r>
        <w:rPr>
          <w:vertAlign w:val="superscript"/>
          <w:rtl/>
        </w:rPr>
        <w:fldChar w:fldCharType="end"/>
      </w:r>
      <w:r>
        <w:rPr>
          <w:rtl/>
        </w:rPr>
        <w:t>. כל תלמיד התפתח בדרך המתאימה ביותר לנטייתו השכלית האישית.</w:t>
      </w:r>
    </w:p>
    <w:bookmarkStart w:id="2069" w:name="b3_note118"/>
    <w:p w14:paraId="604B1D0D" w14:textId="77777777" w:rsidR="00AB3647" w:rsidRDefault="00000000" w:rsidP="007923E9">
      <w:pPr>
        <w:spacing w:before="120" w:after="100" w:line="276" w:lineRule="auto"/>
        <w:jc w:val="both"/>
      </w:pPr>
      <w:r>
        <w:fldChar w:fldCharType="begin" w:dirty="true"/>
      </w:r>
      <w:r>
        <w:instrText>HYPERLINK \l "b3_ref118"</w:instrText>
      </w:r>
      <w:r>
        <w:fldChar w:fldCharType="separate"/>
      </w:r>
      <w:r>
        <w:rPr>
          <w:b/>
          <w:bCs/>
          <w:rtl/>
        </w:rPr>
        <w:t>118</w:t>
      </w:r>
      <w:r>
        <w:rPr>
          <w:b/>
          <w:bCs/>
        </w:rPr>
        <w:fldChar w:fldCharType="end"/>
      </w:r>
      <w:bookmarkEnd w:id="2069"/>
      <w:r>
        <w:rPr>
          <w:rtl/>
        </w:rPr>
        <w:t xml:space="preserve"> כשהסביר מדוע אישיות מבריקה ביותר אינה מתאימה לתפקיד הנהגה בעולם הישיבות בן הזמן, אמר אבי: “הוא גאון גדול מדי מכדי להכפיף את עצמו למחשבתם של מנהיגים אחרים [מבריקים פחות]: לי היו שני עילויים שהכפפתי את עצמי אליהם, ר׳ </w:t>
      </w:r>
      <w:proofErr w:type="spellStart"/>
      <w:r>
        <w:rPr>
          <w:rtl/>
        </w:rPr>
        <w:t>משה־מרדכי</w:t>
      </w:r>
      <w:proofErr w:type="spellEnd"/>
      <w:r>
        <w:rPr>
          <w:rtl/>
        </w:rPr>
        <w:t xml:space="preserve"> והסבא”. </w:t>
      </w:r>
      <w:proofErr w:type="spellStart"/>
      <w:r>
        <w:rPr>
          <w:rtl/>
        </w:rPr>
        <w:t>בוולוז׳ין</w:t>
      </w:r>
      <w:proofErr w:type="spellEnd"/>
      <w:r>
        <w:rPr>
          <w:rtl/>
        </w:rPr>
        <w:t xml:space="preserve"> כינו את ר׳ </w:t>
      </w:r>
      <w:proofErr w:type="spellStart"/>
      <w:r>
        <w:rPr>
          <w:rtl/>
        </w:rPr>
        <w:t>משה־מרדכי</w:t>
      </w:r>
      <w:proofErr w:type="spellEnd"/>
      <w:r>
        <w:rPr>
          <w:rtl/>
        </w:rPr>
        <w:t xml:space="preserve"> “העילוי </w:t>
      </w:r>
      <w:proofErr w:type="spellStart"/>
      <w:r>
        <w:rPr>
          <w:rtl/>
        </w:rPr>
        <w:t>מבקשט</w:t>
      </w:r>
      <w:proofErr w:type="spellEnd"/>
      <w:r>
        <w:rPr>
          <w:rtl/>
        </w:rPr>
        <w:t>”</w:t>
      </w:r>
      <w:bookmarkStart w:id="2070" w:name="_fnr1303"/>
      <w:r>
        <w:rPr>
          <w:rStyle w:val="a5"/>
        </w:rPr>
        <w:footnoteReference w:id="1306" w:customMarkFollows="0"/>
      </w:r>
      <w:bookmarkEnd w:id="2070"/>
      <w:r>
        <w:rPr>
          <w:rtl/>
        </w:rPr>
        <w:t>.</w:t>
      </w:r>
    </w:p>
    <w:bookmarkStart w:id="2071" w:name="b3_note119"/>
    <w:p w14:paraId="3CA66632" w14:textId="549A2071" w:rsidR="00AB3647" w:rsidRDefault="00000000" w:rsidP="007923E9">
      <w:pPr>
        <w:spacing w:before="120" w:after="100" w:line="276" w:lineRule="auto"/>
        <w:jc w:val="both"/>
      </w:pPr>
      <w:r>
        <w:fldChar w:fldCharType="begin" w:dirty="true"/>
      </w:r>
      <w:r>
        <w:instrText>HYPERLINK \l "b3_ref119"</w:instrText>
      </w:r>
      <w:r>
        <w:fldChar w:fldCharType="separate"/>
      </w:r>
      <w:r>
        <w:rPr>
          <w:b/>
          <w:bCs/>
          <w:rtl/>
        </w:rPr>
        <w:t>119</w:t>
      </w:r>
      <w:r>
        <w:rPr>
          <w:b/>
          <w:bCs/>
        </w:rPr>
        <w:fldChar w:fldCharType="end"/>
      </w:r>
      <w:bookmarkEnd w:id="2071"/>
      <w:r>
        <w:rPr>
          <w:rtl/>
        </w:rPr>
        <w:t xml:space="preserve"> השווה תחילת </w:t>
      </w:r>
      <w:r>
        <w:rPr>
          <w:rtl/>
        </w:rPr>
        <w:fldChar w:fldCharType="begin" w:dirty="true"/>
      </w:r>
      <w:r>
        <w:rPr>
          <w:rtl/>
        </w:rPr>
        <w:instrText xml:space="preserve"> REF b3_excX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כד</w:t>
      </w:r>
      <w:r>
        <w:rPr>
          <w:rtl/>
        </w:rPr>
        <w:fldChar w:fldCharType="end"/>
      </w:r>
      <w:r>
        <w:rPr>
          <w:rtl/>
        </w:rPr>
        <w:t xml:space="preserve"> להלן. הוא נשאר מתמיד יוצא מן הכלל כל ימיו. “אישים ושיטות”</w:t>
      </w:r>
      <w:bookmarkStart w:id="2072" w:name="_fnr1304"/>
      <w:r>
        <w:rPr>
          <w:rStyle w:val="a5"/>
        </w:rPr>
        <w:footnoteReference w:id="1307" w:customMarkFollows="0"/>
      </w:r>
      <w:bookmarkEnd w:id="2072"/>
      <w:r>
        <w:rPr>
          <w:rtl/>
        </w:rPr>
        <w:t xml:space="preserve"> אומר: “כל ימיו נהג בסדר לימוד זה: כל המשניות מדי חודש, וכל הש״ס ושולחן ערוך יו״ד </w:t>
      </w:r>
      <w:proofErr w:type="spellStart"/>
      <w:r>
        <w:rPr>
          <w:rtl/>
        </w:rPr>
        <w:t>וחו״מ</w:t>
      </w:r>
      <w:proofErr w:type="spellEnd"/>
      <w:r>
        <w:rPr>
          <w:rtl/>
        </w:rPr>
        <w:t xml:space="preserve"> מדי שנה. בארץ ישראל למד 40 עד 50 דפי גמרא בכל יום!”</w:t>
      </w:r>
    </w:p>
    <w:p w14:paraId="56AB6A46" w14:textId="77777777" w:rsidR="00AB3647" w:rsidRDefault="00000000" w:rsidP="007923E9">
      <w:pPr>
        <w:spacing w:before="120" w:after="100" w:line="276" w:lineRule="auto"/>
        <w:jc w:val="both"/>
      </w:pPr>
      <w:r>
        <w:rPr>
          <w:rtl/>
        </w:rPr>
        <w:t>בסתיו תרפ״ו</w:t>
      </w:r>
      <w:bookmarkStart w:id="2073" w:name="_fnr1305"/>
      <w:bookmarkEnd w:id="2073"/>
      <w:r>
        <w:rPr>
          <w:rStyle w:val="a5"/>
        </w:rPr>
        <w:t/>
      </w:r>
      <w:bookmarkStart w:id="7013" w:name="_TranslatorNote_5380"/>
      <w:r>
        <w:rPr>
          <w:rStyle w:val="a5"/>
          <w:vertAlign w:val="superscript"/>
          <w:rtl/>
        </w:rPr>
        <w:footnoteReference w:id="1308" w:customMarkFollows="1"/>
        <w:t>*</w:t>
      </w:r>
      <w:bookmarkEnd w:id="7013"/>
      <w:r>
        <w:rPr>
          <w:rtl/>
        </w:rPr>
        <w:t xml:space="preserve"> נמסר שכנא </w:t>
      </w:r>
      <w:proofErr w:type="spellStart"/>
      <w:r>
        <w:rPr>
          <w:rtl/>
        </w:rPr>
        <w:t>קולודצקי</w:t>
      </w:r>
      <w:bookmarkStart w:id="2074" w:name="_fnr1306"/>
      <w:proofErr w:type="spellEnd"/>
      <w:r>
        <w:rPr>
          <w:rStyle w:val="a5"/>
        </w:rPr>
        <w:footnoteReference w:id="1309" w:customMarkFollows="0"/>
      </w:r>
      <w:bookmarkEnd w:id="2074"/>
      <w:r>
        <w:rPr>
          <w:rtl/>
        </w:rPr>
        <w:t xml:space="preserve">, בן </w:t>
      </w:r>
      <w:proofErr w:type="spellStart"/>
      <w:r>
        <w:rPr>
          <w:rtl/>
        </w:rPr>
        <w:t>השלוש־עשרה</w:t>
      </w:r>
      <w:proofErr w:type="spellEnd"/>
      <w:r>
        <w:rPr>
          <w:rtl/>
        </w:rPr>
        <w:t xml:space="preserve">, להשגחתו של ר׳ </w:t>
      </w:r>
      <w:proofErr w:type="spellStart"/>
      <w:r>
        <w:rPr>
          <w:rtl/>
        </w:rPr>
        <w:t>משה־מרדכי</w:t>
      </w:r>
      <w:proofErr w:type="spellEnd"/>
      <w:r>
        <w:rPr>
          <w:rtl/>
        </w:rPr>
        <w:t xml:space="preserve"> במסע מאמריקה לאירופה, שאליה שבו ר׳ </w:t>
      </w:r>
      <w:proofErr w:type="spellStart"/>
      <w:r>
        <w:rPr>
          <w:rtl/>
        </w:rPr>
        <w:t>משה־מרדכי</w:t>
      </w:r>
      <w:proofErr w:type="spellEnd"/>
      <w:r>
        <w:rPr>
          <w:rtl/>
        </w:rPr>
        <w:t xml:space="preserve"> אפשטיין, ר׳ </w:t>
      </w:r>
      <w:proofErr w:type="spellStart"/>
      <w:r>
        <w:rPr>
          <w:rtl/>
        </w:rPr>
        <w:t>אברהם־דובער</w:t>
      </w:r>
      <w:proofErr w:type="spellEnd"/>
      <w:r>
        <w:rPr>
          <w:rtl/>
        </w:rPr>
        <w:t xml:space="preserve"> </w:t>
      </w:r>
      <w:proofErr w:type="spellStart"/>
      <w:r>
        <w:rPr>
          <w:rtl/>
        </w:rPr>
        <w:t>כהנא־שפירא</w:t>
      </w:r>
      <w:proofErr w:type="spellEnd"/>
      <w:r>
        <w:rPr>
          <w:rtl/>
        </w:rPr>
        <w:t xml:space="preserve"> ור׳ </w:t>
      </w:r>
      <w:proofErr w:type="spellStart"/>
      <w:r>
        <w:rPr>
          <w:rtl/>
        </w:rPr>
        <w:t>אברהם־יצחק</w:t>
      </w:r>
      <w:proofErr w:type="spellEnd"/>
      <w:r>
        <w:rPr>
          <w:rtl/>
        </w:rPr>
        <w:t xml:space="preserve"> קוק ממסע לגיוס כספים</w:t>
      </w:r>
      <w:bookmarkStart w:id="2075" w:name="_fnr1307"/>
      <w:r>
        <w:rPr>
          <w:rStyle w:val="a5"/>
        </w:rPr>
        <w:footnoteReference w:id="1310" w:customMarkFollows="0"/>
      </w:r>
      <w:bookmarkEnd w:id="2075"/>
      <w:r>
        <w:rPr>
          <w:rtl/>
        </w:rPr>
        <w:t xml:space="preserve">. ר׳ שכנא תיאר כיצד שימש את ר׳ </w:t>
      </w:r>
      <w:proofErr w:type="spellStart"/>
      <w:r>
        <w:rPr>
          <w:rtl/>
        </w:rPr>
        <w:t>משה־מרדכי</w:t>
      </w:r>
      <w:proofErr w:type="spellEnd"/>
      <w:r>
        <w:rPr>
          <w:rtl/>
        </w:rPr>
        <w:t xml:space="preserve"> במשך כל חציית האוקיינוס, כשראש הישיבה סבל ממחלת ים קשה ולא יכול היה לעיין בספר. אבל מיד כשהגיעה הקבוצה ברכבת לפריז והתמקמה במלון, הוציא ר׳ </w:t>
      </w:r>
      <w:proofErr w:type="spellStart"/>
      <w:r>
        <w:rPr>
          <w:rtl/>
        </w:rPr>
        <w:t>משה־מרדכי</w:t>
      </w:r>
      <w:proofErr w:type="spellEnd"/>
      <w:r>
        <w:rPr>
          <w:rtl/>
        </w:rPr>
        <w:t xml:space="preserve"> כרך של מסכת חולין ולמד שש שעות רצופות. “הרב מקובנה נתפעל מחביבות התורה שגילה אז ר׳ </w:t>
      </w:r>
      <w:proofErr w:type="spellStart"/>
      <w:r>
        <w:rPr>
          <w:rtl/>
        </w:rPr>
        <w:t>משה־מרדכי</w:t>
      </w:r>
      <w:proofErr w:type="spellEnd"/>
      <w:r>
        <w:rPr>
          <w:rtl/>
        </w:rPr>
        <w:t>”, סיים ר׳ שכנא.</w:t>
      </w:r>
    </w:p>
    <w:p w14:paraId="0918DEAB" w14:textId="77777777" w:rsidR="00AB3647" w:rsidRDefault="00000000" w:rsidP="007923E9">
      <w:pPr>
        <w:spacing w:before="120" w:after="100" w:line="276" w:lineRule="auto"/>
        <w:jc w:val="both"/>
      </w:pPr>
      <w:r>
        <w:rPr>
          <w:rtl/>
        </w:rPr>
        <w:lastRenderedPageBreak/>
        <w:t xml:space="preserve">סיפור דומה מסופר </w:t>
      </w:r>
      <w:proofErr w:type="spellStart"/>
      <w:r>
        <w:rPr>
          <w:rtl/>
        </w:rPr>
        <w:t>ב“תורת</w:t>
      </w:r>
      <w:proofErr w:type="spellEnd"/>
      <w:r>
        <w:rPr>
          <w:rtl/>
        </w:rPr>
        <w:t xml:space="preserve"> חיים”</w:t>
      </w:r>
      <w:bookmarkStart w:id="2076" w:name="_fnr1308"/>
      <w:r>
        <w:rPr>
          <w:rStyle w:val="a5"/>
        </w:rPr>
        <w:footnoteReference w:id="1311" w:customMarkFollows="0"/>
      </w:r>
      <w:bookmarkEnd w:id="2076"/>
      <w:r>
        <w:rPr>
          <w:rtl/>
        </w:rPr>
        <w:t xml:space="preserve"> על </w:t>
      </w:r>
      <w:proofErr w:type="spellStart"/>
      <w:r>
        <w:rPr>
          <w:rtl/>
        </w:rPr>
        <w:t>החפץ־חיים</w:t>
      </w:r>
      <w:proofErr w:type="spellEnd"/>
      <w:r>
        <w:rPr>
          <w:rtl/>
        </w:rPr>
        <w:t xml:space="preserve">. הוא ור׳ חיים </w:t>
      </w:r>
      <w:proofErr w:type="spellStart"/>
      <w:r>
        <w:rPr>
          <w:rtl/>
        </w:rPr>
        <w:t>סולובייצ׳יק</w:t>
      </w:r>
      <w:proofErr w:type="spellEnd"/>
      <w:r>
        <w:rPr>
          <w:rtl/>
        </w:rPr>
        <w:t xml:space="preserve"> באו לוורשה </w:t>
      </w:r>
      <w:proofErr w:type="spellStart"/>
      <w:r>
        <w:rPr>
          <w:rtl/>
        </w:rPr>
        <w:t>בתרס״ו</w:t>
      </w:r>
      <w:proofErr w:type="spellEnd"/>
      <w:r>
        <w:rPr>
          <w:rtl/>
        </w:rPr>
        <w:t xml:space="preserve"> בעניין הסדרת עיזבונו של ר׳ יעקב ברודי, שהוריש כספים לצדקה</w:t>
      </w:r>
      <w:bookmarkStart w:id="2077" w:name="_fnr1309"/>
      <w:r>
        <w:rPr>
          <w:rStyle w:val="a5"/>
        </w:rPr>
        <w:footnoteReference w:id="1312" w:customMarkFollows="0"/>
      </w:r>
      <w:bookmarkEnd w:id="2077"/>
      <w:r>
        <w:rPr>
          <w:rtl/>
        </w:rPr>
        <w:t xml:space="preserve">. ר׳ </w:t>
      </w:r>
      <w:proofErr w:type="spellStart"/>
      <w:r>
        <w:rPr>
          <w:rtl/>
        </w:rPr>
        <w:t>אברהם־משה</w:t>
      </w:r>
      <w:proofErr w:type="spellEnd"/>
      <w:r>
        <w:rPr>
          <w:rtl/>
        </w:rPr>
        <w:t xml:space="preserve"> סלומון, אז ר״מ בכיר בישיבת “תורת חיים” בוורשה, בא עם עוד כמה בני תורה צעירים לבקר את ר׳ חיים בחדרו. אבל ר׳ חיים לא דיבר עמהם עד שנכנסו כולם לחדרו של </w:t>
      </w:r>
      <w:proofErr w:type="spellStart"/>
      <w:r>
        <w:rPr>
          <w:rtl/>
        </w:rPr>
        <w:t>החפץ־חיים</w:t>
      </w:r>
      <w:proofErr w:type="spellEnd"/>
      <w:r>
        <w:rPr>
          <w:rtl/>
        </w:rPr>
        <w:t xml:space="preserve">, המבוגר ממנו, לראות שהתמקם כראוי. הם השתוממו למצוא את </w:t>
      </w:r>
      <w:proofErr w:type="spellStart"/>
      <w:r>
        <w:rPr>
          <w:rtl/>
        </w:rPr>
        <w:t>החפץ־חיים</w:t>
      </w:r>
      <w:proofErr w:type="spellEnd"/>
      <w:r>
        <w:rPr>
          <w:rtl/>
        </w:rPr>
        <w:t xml:space="preserve"> כבר שקוע בלימוד, ור׳ חיים הכריז בפליאה: “הוא רק הגיע מן הנסיעה, וכבר הוא עוסק בלימודו!”</w:t>
      </w:r>
    </w:p>
    <w:bookmarkStart w:id="2078" w:name="b3_note120"/>
    <w:p w14:paraId="1A22F46E" w14:textId="77777777" w:rsidR="00AB3647" w:rsidRDefault="00000000" w:rsidP="007923E9">
      <w:pPr>
        <w:spacing w:before="120" w:after="100" w:line="276" w:lineRule="auto"/>
        <w:jc w:val="both"/>
      </w:pPr>
      <w:r>
        <w:fldChar w:fldCharType="begin" w:dirty="true"/>
      </w:r>
      <w:r>
        <w:instrText>HYPERLINK \l "b3_ref120"</w:instrText>
      </w:r>
      <w:r>
        <w:fldChar w:fldCharType="separate"/>
      </w:r>
      <w:r>
        <w:rPr>
          <w:b/>
          <w:bCs/>
          <w:rtl/>
        </w:rPr>
        <w:t>120</w:t>
      </w:r>
      <w:r>
        <w:rPr>
          <w:b/>
          <w:bCs/>
        </w:rPr>
        <w:fldChar w:fldCharType="end"/>
      </w:r>
      <w:bookmarkEnd w:id="2078"/>
      <w:r>
        <w:rPr>
          <w:rtl/>
        </w:rPr>
        <w:t xml:space="preserve"> לדברי נכדו ר׳ דוד </w:t>
      </w:r>
      <w:proofErr w:type="spellStart"/>
      <w:r>
        <w:rPr>
          <w:rtl/>
        </w:rPr>
        <w:t>קמינצקי</w:t>
      </w:r>
      <w:bookmarkStart w:id="2079" w:name="_fnr1310"/>
      <w:proofErr w:type="spellEnd"/>
      <w:r>
        <w:rPr>
          <w:rStyle w:val="a5"/>
        </w:rPr>
        <w:footnoteReference w:id="1313" w:customMarkFollows="0"/>
      </w:r>
      <w:bookmarkEnd w:id="2079"/>
      <w:r>
        <w:rPr>
          <w:rtl/>
        </w:rPr>
        <w:t xml:space="preserve">, אמר אבי: “בישיבה לא עודדו דרך מסוימת בלימוד. הבחור הצעיר היה מחפש את התלמיד המבוגר שדרכו מצאה חן בעיניו, מתקשר אליו ומתפתח לפי דרכו המיוחדת. לא שיעורו של ר׳ </w:t>
      </w:r>
      <w:proofErr w:type="spellStart"/>
      <w:r>
        <w:rPr>
          <w:rtl/>
        </w:rPr>
        <w:t>משה־מרדכי</w:t>
      </w:r>
      <w:proofErr w:type="spellEnd"/>
      <w:r>
        <w:rPr>
          <w:rtl/>
        </w:rPr>
        <w:t xml:space="preserve"> הוא שקבע את התהוותה של ‘דרך </w:t>
      </w:r>
      <w:proofErr w:type="spellStart"/>
      <w:r>
        <w:rPr>
          <w:rtl/>
        </w:rPr>
        <w:t>סלבודקאית</w:t>
      </w:r>
      <w:proofErr w:type="spellEnd"/>
      <w:r>
        <w:rPr>
          <w:rtl/>
        </w:rPr>
        <w:t xml:space="preserve"> בלימוד’”.</w:t>
      </w:r>
    </w:p>
    <w:p w14:paraId="4A07DD2D" w14:textId="37DB684B" w:rsidR="00AB3647" w:rsidRDefault="00000000" w:rsidP="007923E9">
      <w:pPr>
        <w:spacing w:before="120" w:after="100" w:line="276" w:lineRule="auto"/>
        <w:jc w:val="both"/>
      </w:pPr>
      <w:r>
        <w:rPr>
          <w:rtl/>
        </w:rPr>
        <w:t xml:space="preserve">השווה גם פרק 2, </w:t>
      </w:r>
      <w:r>
        <w:rPr>
          <w:rtl/>
        </w:rPr>
        <w:fldChar w:fldCharType="begin" w:dirty="true"/>
      </w:r>
      <w:r>
        <w:rPr>
          <w:rtl/>
        </w:rPr>
        <w:instrText xml:space="preserve"> REF b2_excD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ד</w:t>
      </w:r>
      <w:r>
        <w:rPr>
          <w:rtl/>
        </w:rPr>
        <w:fldChar w:fldCharType="end"/>
      </w:r>
      <w:r>
        <w:rPr>
          <w:rtl/>
        </w:rPr>
        <w:t xml:space="preserve">, המביא </w:t>
      </w:r>
      <w:proofErr w:type="spellStart"/>
      <w:r>
        <w:rPr>
          <w:rtl/>
        </w:rPr>
        <w:t>מ“יתד</w:t>
      </w:r>
      <w:proofErr w:type="spellEnd"/>
      <w:r>
        <w:rPr>
          <w:rtl/>
        </w:rPr>
        <w:t xml:space="preserve"> נאמן” שר׳ </w:t>
      </w:r>
      <w:proofErr w:type="spellStart"/>
      <w:r>
        <w:rPr>
          <w:rtl/>
        </w:rPr>
        <w:t>יחיאל־יעקב</w:t>
      </w:r>
      <w:proofErr w:type="spellEnd"/>
      <w:r>
        <w:rPr>
          <w:rtl/>
        </w:rPr>
        <w:t xml:space="preserve"> ויינברג ראה בר׳ אהרן קוטלר “אחד מבחוריו”. בתחילה נראה לי שהכוונה שר׳ אהרן היה אחד התלמידים הצעירים שבחרו בר׳ </w:t>
      </w:r>
      <w:proofErr w:type="spellStart"/>
      <w:r>
        <w:rPr>
          <w:rtl/>
        </w:rPr>
        <w:t>יחיאל־יעקב</w:t>
      </w:r>
      <w:proofErr w:type="spellEnd"/>
      <w:r>
        <w:rPr>
          <w:rtl/>
        </w:rPr>
        <w:t xml:space="preserve"> ויינברג כמדריכם. אבל ר׳ </w:t>
      </w:r>
      <w:proofErr w:type="spellStart"/>
      <w:r>
        <w:rPr>
          <w:rtl/>
        </w:rPr>
        <w:t>יחיאל־יעקב</w:t>
      </w:r>
      <w:proofErr w:type="spellEnd"/>
      <w:r>
        <w:rPr>
          <w:rtl/>
        </w:rPr>
        <w:t xml:space="preserve"> התייחס לזמן שבו ר׳ אהרן, שאך זה נעשה אז בר מצווה, עדיין לא למד בכנסת ישראל אלא אצל ר׳ </w:t>
      </w:r>
      <w:proofErr w:type="spellStart"/>
      <w:r>
        <w:rPr>
          <w:rtl/>
        </w:rPr>
        <w:t>ברוך־בער</w:t>
      </w:r>
      <w:proofErr w:type="spellEnd"/>
      <w:r>
        <w:rPr>
          <w:rtl/>
        </w:rPr>
        <w:t xml:space="preserve"> בכנסת בית יצחק [שבה היה השיעור עמוד התווך בהתפתחות התלמידים]. לכן ודאי התכוון רק לכך שר׳ אהרן היה מבקר אצלו לעיתים קרובות כדי “לדבר בלימוד”</w:t>
      </w:r>
      <w:bookmarkStart w:id="2080" w:name="_fnr1311"/>
      <w:r>
        <w:rPr>
          <w:rStyle w:val="a5"/>
        </w:rPr>
        <w:footnoteReference w:id="1314" w:customMarkFollows="0"/>
      </w:r>
      <w:bookmarkEnd w:id="2080"/>
      <w:r>
        <w:rPr>
          <w:rtl/>
        </w:rPr>
        <w:t xml:space="preserve">. ר׳ </w:t>
      </w:r>
      <w:proofErr w:type="spellStart"/>
      <w:r>
        <w:rPr>
          <w:rtl/>
        </w:rPr>
        <w:t>יחיאל־יעקב</w:t>
      </w:r>
      <w:proofErr w:type="spellEnd"/>
      <w:r>
        <w:rPr>
          <w:rtl/>
        </w:rPr>
        <w:t xml:space="preserve">, שכבר היה עילוי מפורסם כשהגיע ר׳ אהרן לראשונה </w:t>
      </w:r>
      <w:proofErr w:type="spellStart"/>
      <w:r>
        <w:rPr>
          <w:rtl/>
        </w:rPr>
        <w:t>לסלבודקה</w:t>
      </w:r>
      <w:proofErr w:type="spellEnd"/>
      <w:r>
        <w:rPr>
          <w:rtl/>
        </w:rPr>
        <w:t xml:space="preserve">, למד בכנסת ישראל שלוש שנים וחצי לפני שנשלח </w:t>
      </w:r>
      <w:proofErr w:type="spellStart"/>
      <w:r>
        <w:rPr>
          <w:rtl/>
        </w:rPr>
        <w:t>למיר</w:t>
      </w:r>
      <w:proofErr w:type="spellEnd"/>
      <w:r>
        <w:rPr>
          <w:rtl/>
        </w:rPr>
        <w:t xml:space="preserve"> לאחר פסח תרס״ה</w:t>
      </w:r>
      <w:bookmarkStart w:id="2081" w:name="_fnr1312"/>
      <w:r>
        <w:rPr>
          <w:rStyle w:val="a5"/>
        </w:rPr>
        <w:footnoteReference w:id="1315" w:customMarkFollows="0"/>
      </w:r>
      <w:bookmarkEnd w:id="2081"/>
      <w:r>
        <w:rPr>
          <w:rtl/>
        </w:rPr>
        <w:t xml:space="preserve">. בחורף האחרון שלו </w:t>
      </w:r>
      <w:proofErr w:type="spellStart"/>
      <w:r>
        <w:rPr>
          <w:rtl/>
        </w:rPr>
        <w:t>בסלבודקה</w:t>
      </w:r>
      <w:proofErr w:type="spellEnd"/>
      <w:r>
        <w:rPr>
          <w:rtl/>
        </w:rPr>
        <w:t xml:space="preserve"> בא ר׳ אהרן לדבר עמו.</w:t>
      </w:r>
    </w:p>
    <w:p w14:paraId="2ABCF08C" w14:textId="773CC588" w:rsidR="00AB3647" w:rsidRDefault="00000000" w:rsidP="007923E9">
      <w:pPr>
        <w:spacing w:before="120" w:after="100" w:line="276" w:lineRule="auto"/>
        <w:jc w:val="both"/>
      </w:pPr>
      <w:r>
        <w:rPr>
          <w:rtl/>
        </w:rPr>
        <w:t>השווה גם כץ, “תנועת המוסר”, כרך א</w:t>
      </w:r>
      <w:bookmarkStart w:id="2082" w:name="_fnr1313"/>
      <w:r>
        <w:rPr>
          <w:rStyle w:val="a5"/>
        </w:rPr>
        <w:footnoteReference w:id="1316" w:customMarkFollows="0"/>
      </w:r>
      <w:bookmarkEnd w:id="2082"/>
      <w:r>
        <w:rPr>
          <w:rtl/>
        </w:rPr>
        <w:t xml:space="preserve">: ר׳ ישראל </w:t>
      </w:r>
      <w:proofErr w:type="spellStart"/>
      <w:r>
        <w:rPr>
          <w:rtl/>
        </w:rPr>
        <w:t>סלנטר</w:t>
      </w:r>
      <w:proofErr w:type="spellEnd"/>
      <w:r>
        <w:rPr>
          <w:rtl/>
        </w:rPr>
        <w:t xml:space="preserve"> כתב לאחיינו ר׳ לייב ליפקין ש“[דרך הלימוד הנכונה] תלויה במזגו של האדם ובכיוון מחשבתו”. השווה גם </w:t>
      </w:r>
      <w:r>
        <w:rPr>
          <w:rtl/>
        </w:rPr>
        <w:fldChar w:fldCharType="begin" w:dirty="true"/>
      </w:r>
      <w:r>
        <w:rPr>
          <w:rtl/>
        </w:rPr>
        <w:instrText xml:space="preserve"> REF b3_excU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כא</w:t>
      </w:r>
      <w:proofErr w:type="spellEnd"/>
      <w:r>
        <w:rPr>
          <w:rtl/>
        </w:rPr>
        <w:fldChar w:fldCharType="end"/>
      </w:r>
      <w:r>
        <w:rPr>
          <w:rtl/>
        </w:rPr>
        <w:t xml:space="preserve"> להלן: לפי </w:t>
      </w:r>
      <w:proofErr w:type="spellStart"/>
      <w:r>
        <w:rPr>
          <w:rtl/>
        </w:rPr>
        <w:t>דבורץ</w:t>
      </w:r>
      <w:proofErr w:type="spellEnd"/>
      <w:r>
        <w:rPr>
          <w:rtl/>
        </w:rPr>
        <w:t>, “הגאון רבי משה מרדכי אפשטיין”</w:t>
      </w:r>
      <w:bookmarkStart w:id="2083" w:name="_fnr1314"/>
      <w:r>
        <w:rPr>
          <w:rStyle w:val="a5"/>
        </w:rPr>
        <w:footnoteReference w:id="1317" w:customMarkFollows="0"/>
      </w:r>
      <w:bookmarkEnd w:id="2083"/>
      <w:r>
        <w:rPr>
          <w:rtl/>
        </w:rPr>
        <w:t xml:space="preserve">, שינוי בדרך לימוד התורה השתרש </w:t>
      </w:r>
      <w:proofErr w:type="spellStart"/>
      <w:r>
        <w:rPr>
          <w:rtl/>
        </w:rPr>
        <w:t>בסלבודקה</w:t>
      </w:r>
      <w:proofErr w:type="spellEnd"/>
      <w:r>
        <w:rPr>
          <w:rtl/>
        </w:rPr>
        <w:t xml:space="preserve"> שנה לפני בואו של אבי. מסתבר שהישיבה אימצה את הדרך שהציע ראש הישיבה, ר׳ </w:t>
      </w:r>
      <w:proofErr w:type="spellStart"/>
      <w:r>
        <w:rPr>
          <w:rtl/>
        </w:rPr>
        <w:t>משה־מרדכי</w:t>
      </w:r>
      <w:proofErr w:type="spellEnd"/>
      <w:r>
        <w:rPr>
          <w:rtl/>
        </w:rPr>
        <w:t xml:space="preserve">, בהקדמה </w:t>
      </w:r>
      <w:proofErr w:type="spellStart"/>
      <w:r>
        <w:rPr>
          <w:rtl/>
        </w:rPr>
        <w:t>ל“לבוש</w:t>
      </w:r>
      <w:proofErr w:type="spellEnd"/>
      <w:r>
        <w:rPr>
          <w:rtl/>
        </w:rPr>
        <w:t xml:space="preserve"> מרדכי” על מסכת בבא קמא, שראה אור ארבע שנים קודם לכן. דרך זו משלבת רכישת ידיעות כלליות רחבות עם הבנה מעמיקה</w:t>
      </w:r>
      <w:bookmarkStart w:id="2084" w:name="_fnr1315"/>
      <w:r>
        <w:rPr>
          <w:rStyle w:val="a5"/>
        </w:rPr>
        <w:footnoteReference w:id="1318" w:customMarkFollows="0"/>
      </w:r>
      <w:bookmarkEnd w:id="2084"/>
      <w:r>
        <w:rPr>
          <w:rtl/>
        </w:rPr>
        <w:t xml:space="preserve">, ומשאירה מקום לטעמו של היחיד בקביעת היחס בין שתי הדרכים. שלא כר׳ </w:t>
      </w:r>
      <w:proofErr w:type="spellStart"/>
      <w:r>
        <w:rPr>
          <w:rtl/>
        </w:rPr>
        <w:t>משה־מרדכי</w:t>
      </w:r>
      <w:proofErr w:type="spellEnd"/>
      <w:r>
        <w:rPr>
          <w:rtl/>
        </w:rPr>
        <w:t xml:space="preserve">, ר׳ </w:t>
      </w:r>
      <w:proofErr w:type="spellStart"/>
      <w:r>
        <w:rPr>
          <w:rtl/>
        </w:rPr>
        <w:t>ברוך־בער</w:t>
      </w:r>
      <w:proofErr w:type="spellEnd"/>
      <w:r>
        <w:rPr>
          <w:rtl/>
        </w:rPr>
        <w:t xml:space="preserve"> ראה בבקיאות רק כלי לחידוד ההבנה, ללא ערך עצמי ניכר</w:t>
      </w:r>
      <w:bookmarkStart w:id="2085" w:name="_fnr1316"/>
      <w:r>
        <w:rPr>
          <w:rStyle w:val="a5"/>
        </w:rPr>
        <w:footnoteReference w:id="1319" w:customMarkFollows="0"/>
      </w:r>
      <w:bookmarkEnd w:id="2085"/>
      <w:r>
        <w:rPr>
          <w:rtl/>
        </w:rPr>
        <w:t>.</w:t>
      </w:r>
    </w:p>
    <w:p w14:paraId="2D650599" w14:textId="77777777" w:rsidR="00AB3647" w:rsidRDefault="00000000" w:rsidP="007923E9">
      <w:pPr>
        <w:spacing w:after="100" w:line="276" w:lineRule="auto"/>
        <w:ind w:firstLine="340"/>
        <w:jc w:val="both"/>
      </w:pPr>
      <w:r>
        <w:rPr>
          <w:rtl/>
        </w:rPr>
        <w:lastRenderedPageBreak/>
        <w:t xml:space="preserve">לדברי ר׳ אליהו </w:t>
      </w:r>
      <w:proofErr w:type="spellStart"/>
      <w:r>
        <w:rPr>
          <w:rtl/>
        </w:rPr>
        <w:t>קושלבסקי</w:t>
      </w:r>
      <w:bookmarkStart w:id="2086" w:name="_fnr1317"/>
      <w:proofErr w:type="spellEnd"/>
      <w:r>
        <w:rPr>
          <w:rStyle w:val="a5"/>
        </w:rPr>
        <w:footnoteReference w:id="1320" w:customMarkFollows="0"/>
      </w:r>
      <w:bookmarkEnd w:id="2086"/>
      <w:r>
        <w:rPr>
          <w:rtl/>
        </w:rPr>
        <w:t xml:space="preserve">, תפקידו החינוכי של ראש ישיבת כנסת ישראל מעולם לא השתנה. הוא סיפר: “יותר מעשרים שנה לאחר מכן התעוררה </w:t>
      </w:r>
      <w:proofErr w:type="spellStart"/>
      <w:r>
        <w:rPr>
          <w:rtl/>
        </w:rPr>
        <w:t>בסלבודקה</w:t>
      </w:r>
      <w:proofErr w:type="spellEnd"/>
      <w:r>
        <w:rPr>
          <w:rtl/>
        </w:rPr>
        <w:t xml:space="preserve"> מחלוקת אם למנות את ר׳ יוסף </w:t>
      </w:r>
      <w:proofErr w:type="spellStart"/>
      <w:r>
        <w:rPr>
          <w:rtl/>
        </w:rPr>
        <w:t>זוסמנוביץ</w:t>
      </w:r>
      <w:proofErr w:type="spellEnd"/>
      <w:r>
        <w:rPr>
          <w:rtl/>
        </w:rPr>
        <w:t xml:space="preserve"> [‘הירושלמי’] לראש הישיבה במקום חותנו ר׳ </w:t>
      </w:r>
      <w:proofErr w:type="spellStart"/>
      <w:r>
        <w:rPr>
          <w:rtl/>
        </w:rPr>
        <w:t>משה־מרדכי</w:t>
      </w:r>
      <w:proofErr w:type="spellEnd"/>
      <w:r>
        <w:rPr>
          <w:rtl/>
        </w:rPr>
        <w:t xml:space="preserve"> אפשטיין, שעבר לחברון. צד אחד טען שאף שר׳ יוסף הוא עילוי יוצא מן הכלל, אין לו כישורי ההוראה של ראש ישיבה ראוי. אחרים סברו שמכיוון </w:t>
      </w:r>
      <w:proofErr w:type="spellStart"/>
      <w:r>
        <w:rPr>
          <w:rtl/>
        </w:rPr>
        <w:t>שסלבודקה</w:t>
      </w:r>
      <w:proofErr w:type="spellEnd"/>
      <w:r>
        <w:rPr>
          <w:rtl/>
        </w:rPr>
        <w:t xml:space="preserve"> מעולם לא ‘חיה’ על ראש הישיבה שלה, מעמדו של ר׳ יוסף כלמדן מעולה די בו כדי לעשותו ראוי לתפקיד”. בזמן המחלוקת הזאת כבר עזב אבי את </w:t>
      </w:r>
      <w:proofErr w:type="spellStart"/>
      <w:r>
        <w:rPr>
          <w:rtl/>
        </w:rPr>
        <w:t>סלבודקה</w:t>
      </w:r>
      <w:proofErr w:type="spellEnd"/>
      <w:r>
        <w:rPr>
          <w:rtl/>
        </w:rPr>
        <w:t xml:space="preserve"> </w:t>
      </w:r>
      <w:proofErr w:type="spellStart"/>
      <w:r>
        <w:rPr>
          <w:rtl/>
        </w:rPr>
        <w:t>לציטוביאן</w:t>
      </w:r>
      <w:proofErr w:type="spellEnd"/>
      <w:r>
        <w:rPr>
          <w:rtl/>
        </w:rPr>
        <w:t xml:space="preserve">. עם זאת, ראה בסוף כרך 3 כיצד הושפע גורלם של אבי ומשפחתו ממאורע הקשור לרב </w:t>
      </w:r>
      <w:proofErr w:type="spellStart"/>
      <w:r>
        <w:rPr>
          <w:rtl/>
        </w:rPr>
        <w:t>זוסמנוביץ</w:t>
      </w:r>
      <w:proofErr w:type="spellEnd"/>
      <w:r>
        <w:rPr>
          <w:rtl/>
        </w:rPr>
        <w:t>.</w:t>
      </w:r>
    </w:p>
    <w:bookmarkStart w:id="2087" w:name="b3_note121"/>
    <w:p w14:paraId="17949726" w14:textId="77777777" w:rsidR="00AB3647" w:rsidRDefault="00000000" w:rsidP="007923E9">
      <w:pPr>
        <w:spacing w:before="120" w:after="100" w:line="276" w:lineRule="auto"/>
        <w:jc w:val="both"/>
      </w:pPr>
      <w:r>
        <w:fldChar w:fldCharType="begin" w:dirty="true"/>
      </w:r>
      <w:r>
        <w:instrText>HYPERLINK \l "b3_ref121"</w:instrText>
      </w:r>
      <w:r>
        <w:fldChar w:fldCharType="separate"/>
      </w:r>
      <w:r>
        <w:rPr>
          <w:b/>
          <w:bCs/>
          <w:rtl/>
        </w:rPr>
        <w:t>121</w:t>
      </w:r>
      <w:r>
        <w:rPr>
          <w:b/>
          <w:bCs/>
        </w:rPr>
        <w:fldChar w:fldCharType="end"/>
      </w:r>
      <w:bookmarkEnd w:id="2087"/>
      <w:r>
        <w:rPr>
          <w:rtl/>
        </w:rPr>
        <w:t xml:space="preserve"> </w:t>
      </w:r>
      <w:proofErr w:type="spellStart"/>
      <w:r>
        <w:rPr>
          <w:rtl/>
        </w:rPr>
        <w:t>חיה־מרים</w:t>
      </w:r>
      <w:proofErr w:type="spellEnd"/>
      <w:r>
        <w:rPr>
          <w:rtl/>
        </w:rPr>
        <w:t xml:space="preserve"> </w:t>
      </w:r>
      <w:proofErr w:type="spellStart"/>
      <w:r>
        <w:rPr>
          <w:rtl/>
        </w:rPr>
        <w:t>שולמן</w:t>
      </w:r>
      <w:bookmarkStart w:id="2088" w:name="_fnr1318"/>
      <w:bookmarkStart w:id="2089" w:name="pr_f_1234"/>
      <w:proofErr w:type="spellEnd"/>
      <w:r>
        <w:rPr>
          <w:rStyle w:val="a5"/>
        </w:rPr>
        <w:footnoteReference w:id="1321" w:customMarkFollows="0"/>
      </w:r>
      <w:bookmarkEnd w:id="2088"/>
      <w:bookmarkEnd w:id="2089"/>
      <w:r>
        <w:rPr>
          <w:rtl/>
        </w:rPr>
        <w:t>.</w:t>
      </w:r>
    </w:p>
    <w:bookmarkStart w:id="2090" w:name="b3_note122"/>
    <w:p w14:paraId="3A775B1B" w14:textId="7172ECC3" w:rsidR="00AB3647" w:rsidRDefault="00000000" w:rsidP="007923E9">
      <w:pPr>
        <w:spacing w:before="120" w:after="100" w:line="276" w:lineRule="auto"/>
        <w:jc w:val="both"/>
      </w:pPr>
      <w:r>
        <w:fldChar w:fldCharType="begin" w:dirty="true"/>
      </w:r>
      <w:r>
        <w:instrText>HYPERLINK \l "b3_ref122"</w:instrText>
      </w:r>
      <w:r>
        <w:fldChar w:fldCharType="separate"/>
      </w:r>
      <w:r>
        <w:rPr>
          <w:b/>
          <w:bCs/>
          <w:rtl/>
        </w:rPr>
        <w:t>122</w:t>
      </w:r>
      <w:r>
        <w:rPr>
          <w:b/>
          <w:bCs/>
        </w:rPr>
        <w:fldChar w:fldCharType="end"/>
      </w:r>
      <w:bookmarkEnd w:id="2090"/>
      <w:r>
        <w:rPr>
          <w:rtl/>
        </w:rPr>
        <w:t xml:space="preserve"> ראה </w:t>
      </w:r>
      <w:r>
        <w:rPr>
          <w:rtl/>
        </w:rPr>
        <w:fldChar w:fldCharType="begin" w:dirty="true"/>
      </w:r>
      <w:r>
        <w:rPr>
          <w:rtl/>
        </w:rPr>
        <w:instrText xml:space="preserve"> REF b3_excCC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כט</w:t>
      </w:r>
      <w:proofErr w:type="spellEnd"/>
      <w:r>
        <w:rPr>
          <w:rtl/>
        </w:rPr>
        <w:fldChar w:fldCharType="end"/>
      </w:r>
      <w:r>
        <w:rPr>
          <w:rtl/>
        </w:rPr>
        <w:t>.</w:t>
      </w:r>
    </w:p>
    <w:bookmarkStart w:id="2091" w:name="b3_note123"/>
    <w:p w14:paraId="0FEEED88" w14:textId="77777777" w:rsidR="00AB3647" w:rsidRDefault="00000000" w:rsidP="007923E9">
      <w:pPr>
        <w:spacing w:before="120" w:after="100" w:line="276" w:lineRule="auto"/>
        <w:jc w:val="both"/>
      </w:pPr>
      <w:r>
        <w:fldChar w:fldCharType="begin" w:dirty="true"/>
      </w:r>
      <w:r>
        <w:instrText>HYPERLINK \l "b3_ref123"</w:instrText>
      </w:r>
      <w:r>
        <w:fldChar w:fldCharType="separate"/>
      </w:r>
      <w:r>
        <w:rPr>
          <w:b/>
          <w:bCs/>
          <w:rtl/>
        </w:rPr>
        <w:t>123</w:t>
      </w:r>
      <w:r>
        <w:rPr>
          <w:b/>
          <w:bCs/>
        </w:rPr>
        <w:fldChar w:fldCharType="end"/>
      </w:r>
      <w:bookmarkEnd w:id="2091"/>
      <w:r>
        <w:rPr>
          <w:rtl/>
        </w:rPr>
        <w:t xml:space="preserve"> ר׳ מאיר חדש</w:t>
      </w:r>
      <w:bookmarkStart w:id="2092" w:name="_fnr1319"/>
      <w:r>
        <w:rPr>
          <w:rStyle w:val="a5"/>
        </w:rPr>
        <w:footnoteReference w:id="1322" w:customMarkFollows="0"/>
      </w:r>
      <w:bookmarkEnd w:id="2092"/>
      <w:r>
        <w:rPr>
          <w:rtl/>
        </w:rPr>
        <w:t>. הוא תיאר את משכו של כל שיעור: “הוא נמשך חצי שעה, ולפעמים שלושת רבעי השעה. לעיתים היה השיעור נפרס על פני שלושה המשכים”.</w:t>
      </w:r>
    </w:p>
    <w:p w14:paraId="5C1B4243" w14:textId="4BBDE44C"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אבי וחברו </w:t>
      </w:r>
      <w:proofErr w:type="spellStart"/>
      <w:r>
        <w:rPr>
          <w:rtl/>
        </w:rPr>
        <w:t>הסיסלוביצ׳ר</w:t>
      </w:r>
      <w:proofErr w:type="spellEnd"/>
      <w:r>
        <w:rPr>
          <w:rtl/>
        </w:rPr>
        <w:t xml:space="preserve"> נשארו לשיעורי ראש הישיבה, אבל רק אהרן היה משמיע בהם את קולו</w:t>
      </w:r>
      <w:bookmarkStart w:id="2093" w:name="b3_ref124"/>
      <w:bookmarkEnd w:id="2093"/>
      <w:r>
        <w:rPr>
          <w:vertAlign w:val="superscript"/>
          <w:rtl/>
        </w:rPr>
        <w:fldChar w:fldCharType="begin" w:dirty="true"/>
      </w:r>
      <w:r>
        <w:rPr>
          <w:vertAlign w:val="superscript"/>
          <w:rtl/>
        </w:rPr>
        <w:instrText xml:space="preserve"> REF b3_note124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124</w:t>
      </w:r>
      <w:r>
        <w:rPr>
          <w:vertAlign w:val="superscript"/>
          <w:rtl/>
        </w:rPr>
        <w:fldChar w:fldCharType="end"/>
      </w:r>
      <w:r>
        <w:rPr>
          <w:rtl/>
        </w:rPr>
        <w:t>, ומערער, לעיתים בלהט, על נכונות החידוש שנאמר. הפרעות כאלה היו מותרות</w:t>
      </w:r>
      <w:bookmarkStart w:id="2094" w:name="b3_ref125"/>
      <w:bookmarkEnd w:id="2094"/>
      <w:r>
        <w:rPr>
          <w:vertAlign w:val="superscript"/>
          <w:rtl/>
        </w:rPr>
        <w:fldChar w:fldCharType="begin" w:dirty="true"/>
      </w:r>
      <w:r>
        <w:rPr>
          <w:vertAlign w:val="superscript"/>
          <w:rtl/>
        </w:rPr>
        <w:instrText xml:space="preserve"> REF b3_note125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125</w:t>
      </w:r>
      <w:r>
        <w:rPr>
          <w:vertAlign w:val="superscript"/>
          <w:rtl/>
        </w:rPr>
        <w:fldChar w:fldCharType="end"/>
      </w:r>
      <w:r>
        <w:rPr>
          <w:rtl/>
        </w:rPr>
        <w:t xml:space="preserve"> לפי כללי הישיבה. אבי לא הקשיב לשיעורים בקשב מוחלט כל כך</w:t>
      </w:r>
      <w:bookmarkStart w:id="2095" w:name="b3_ref126"/>
      <w:bookmarkEnd w:id="2095"/>
      <w:r>
        <w:rPr>
          <w:vertAlign w:val="superscript"/>
          <w:rtl/>
        </w:rPr>
        <w:fldChar w:fldCharType="begin" w:dirty="true"/>
      </w:r>
      <w:r>
        <w:rPr>
          <w:vertAlign w:val="superscript"/>
          <w:rtl/>
        </w:rPr>
        <w:instrText xml:space="preserve"> REF b3_note126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126</w:t>
      </w:r>
      <w:r>
        <w:rPr>
          <w:vertAlign w:val="superscript"/>
          <w:rtl/>
        </w:rPr>
        <w:fldChar w:fldCharType="end"/>
      </w:r>
      <w:r>
        <w:rPr>
          <w:rtl/>
        </w:rPr>
        <w:t xml:space="preserve">, אלא פיתח את כישורי הלימוד שלו בקבוצות הלימוד הידועות </w:t>
      </w:r>
      <w:proofErr w:type="spellStart"/>
      <w:r>
        <w:rPr>
          <w:rtl/>
        </w:rPr>
        <w:t>כ“חבורות</w:t>
      </w:r>
      <w:proofErr w:type="spellEnd"/>
      <w:r>
        <w:rPr>
          <w:rtl/>
        </w:rPr>
        <w:t>”, שתלמידים מבוגרים שונים הופקדו על מסירתן</w:t>
      </w:r>
      <w:bookmarkStart w:id="2096" w:name="b3_ref127"/>
      <w:bookmarkEnd w:id="2096"/>
      <w:r>
        <w:rPr>
          <w:vertAlign w:val="superscript"/>
          <w:rtl/>
        </w:rPr>
        <w:fldChar w:fldCharType="begin" w:dirty="true"/>
      </w:r>
      <w:r>
        <w:rPr>
          <w:vertAlign w:val="superscript"/>
          <w:rtl/>
        </w:rPr>
        <w:instrText xml:space="preserve"> REF b3_note127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127</w:t>
      </w:r>
      <w:r>
        <w:rPr>
          <w:vertAlign w:val="superscript"/>
          <w:rtl/>
        </w:rPr>
        <w:fldChar w:fldCharType="end"/>
      </w:r>
      <w:r>
        <w:rPr>
          <w:rtl/>
        </w:rPr>
        <w:t>. הוא בחר מוסר חבורה שדרך לימודו מצאה חן בעיניו, וקיבל אותו כמדריך אישי לפיתוח הבנתו בלימוד. הוא לא רק עקב מקרוב אחר דבריו של התלמיד המבוגר, אלא גם דן עמו ביחידות בכל קושי שהתעורר בחומר שלמד</w:t>
      </w:r>
      <w:bookmarkStart w:id="2097" w:name="b3_ref128"/>
      <w:bookmarkEnd w:id="2097"/>
      <w:r>
        <w:rPr>
          <w:vertAlign w:val="superscript"/>
          <w:rtl/>
        </w:rPr>
        <w:fldChar w:fldCharType="begin" w:dirty="true"/>
      </w:r>
      <w:r>
        <w:rPr>
          <w:vertAlign w:val="superscript"/>
          <w:rtl/>
        </w:rPr>
        <w:instrText xml:space="preserve"> REF b3_note128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128</w:t>
      </w:r>
      <w:r>
        <w:rPr>
          <w:vertAlign w:val="superscript"/>
          <w:rtl/>
        </w:rPr>
        <w:fldChar w:fldCharType="end"/>
      </w:r>
      <w:r>
        <w:rPr>
          <w:rtl/>
        </w:rPr>
        <w:t>.</w:t>
      </w:r>
    </w:p>
    <w:bookmarkStart w:id="2098" w:name="b3_note124"/>
    <w:p w14:paraId="1CC9E599" w14:textId="77777777" w:rsidR="00AB3647" w:rsidRDefault="00000000" w:rsidP="007923E9">
      <w:pPr>
        <w:spacing w:before="120" w:after="100" w:line="276" w:lineRule="auto"/>
        <w:jc w:val="both"/>
      </w:pPr>
      <w:r>
        <w:fldChar w:fldCharType="begin" w:dirty="true"/>
      </w:r>
      <w:r>
        <w:instrText>HYPERLINK \l "b3_ref124"</w:instrText>
      </w:r>
      <w:r>
        <w:fldChar w:fldCharType="separate"/>
      </w:r>
      <w:r>
        <w:rPr>
          <w:b/>
          <w:bCs/>
          <w:rtl/>
        </w:rPr>
        <w:t>124</w:t>
      </w:r>
      <w:r>
        <w:rPr>
          <w:b/>
          <w:bCs/>
        </w:rPr>
        <w:fldChar w:fldCharType="end"/>
      </w:r>
      <w:bookmarkEnd w:id="2098"/>
      <w:r>
        <w:rPr>
          <w:rtl/>
        </w:rPr>
        <w:t xml:space="preserve"> לפי מאמר שכותרתו “חלוצי התורה” מאת ר׳ חיים שפירא</w:t>
      </w:r>
      <w:bookmarkStart w:id="2099" w:name="_fnr1320"/>
      <w:r>
        <w:rPr>
          <w:rStyle w:val="a5"/>
        </w:rPr>
        <w:footnoteReference w:id="1323" w:customMarkFollows="0"/>
      </w:r>
      <w:bookmarkEnd w:id="2099"/>
      <w:r>
        <w:rPr>
          <w:rtl/>
        </w:rPr>
        <w:t>, היה הצעיר עומד על ספסל כדי שישמעו אותו</w:t>
      </w:r>
      <w:bookmarkStart w:id="2100" w:name="_fnr1321"/>
      <w:r>
        <w:rPr>
          <w:rStyle w:val="a5"/>
        </w:rPr>
        <w:footnoteReference w:id="1324" w:customMarkFollows="0"/>
      </w:r>
      <w:bookmarkEnd w:id="2100"/>
      <w:r>
        <w:rPr>
          <w:rtl/>
        </w:rPr>
        <w:t xml:space="preserve">. ר׳ שלמה </w:t>
      </w:r>
      <w:proofErr w:type="spellStart"/>
      <w:r>
        <w:rPr>
          <w:rtl/>
        </w:rPr>
        <w:t>ברסלאואר</w:t>
      </w:r>
      <w:proofErr w:type="spellEnd"/>
      <w:r>
        <w:rPr>
          <w:rtl/>
        </w:rPr>
        <w:t xml:space="preserve"> סיפר</w:t>
      </w:r>
      <w:bookmarkStart w:id="2101" w:name="_fnr1322"/>
      <w:r>
        <w:rPr>
          <w:rStyle w:val="a5"/>
        </w:rPr>
        <w:footnoteReference w:id="1325" w:customMarkFollows="0"/>
      </w:r>
      <w:bookmarkEnd w:id="2101"/>
      <w:r>
        <w:rPr>
          <w:rtl/>
        </w:rPr>
        <w:t xml:space="preserve"> שרבנו גילה כי ר׳ אהרן “כמעט לא נראה </w:t>
      </w:r>
      <w:proofErr w:type="spellStart"/>
      <w:r>
        <w:rPr>
          <w:rtl/>
        </w:rPr>
        <w:t>בסלבודקה</w:t>
      </w:r>
      <w:proofErr w:type="spellEnd"/>
      <w:r>
        <w:rPr>
          <w:rtl/>
        </w:rPr>
        <w:t xml:space="preserve"> עם ספר; הוא תמיד היה עסוק </w:t>
      </w:r>
      <w:proofErr w:type="spellStart"/>
      <w:r>
        <w:rPr>
          <w:rtl/>
        </w:rPr>
        <w:t>ב‘דיבור</w:t>
      </w:r>
      <w:proofErr w:type="spellEnd"/>
      <w:r>
        <w:rPr>
          <w:rtl/>
        </w:rPr>
        <w:t xml:space="preserve"> בלימוד’”.</w:t>
      </w:r>
    </w:p>
    <w:bookmarkStart w:id="2102" w:name="b3_note125"/>
    <w:p w14:paraId="0879EF95" w14:textId="77777777" w:rsidR="00AB3647" w:rsidRDefault="00000000" w:rsidP="007923E9">
      <w:pPr>
        <w:spacing w:before="120" w:after="100" w:line="276" w:lineRule="auto"/>
        <w:jc w:val="both"/>
      </w:pPr>
      <w:r>
        <w:fldChar w:fldCharType="begin" w:dirty="true"/>
      </w:r>
      <w:r>
        <w:instrText>HYPERLINK \l "b3_ref125"</w:instrText>
      </w:r>
      <w:r>
        <w:fldChar w:fldCharType="separate"/>
      </w:r>
      <w:r>
        <w:rPr>
          <w:b/>
          <w:bCs/>
          <w:rtl/>
        </w:rPr>
        <w:t>125</w:t>
      </w:r>
      <w:r>
        <w:rPr>
          <w:b/>
          <w:bCs/>
        </w:rPr>
        <w:fldChar w:fldCharType="end"/>
      </w:r>
      <w:bookmarkEnd w:id="2102"/>
      <w:r>
        <w:rPr>
          <w:rtl/>
        </w:rPr>
        <w:t xml:space="preserve"> אבל השווה מסכת פסחים</w:t>
      </w:r>
      <w:bookmarkStart w:id="2103" w:name="_fnr1323"/>
      <w:r>
        <w:rPr>
          <w:rStyle w:val="a5"/>
        </w:rPr>
        <w:footnoteReference w:id="1326" w:customMarkFollows="0"/>
      </w:r>
      <w:bookmarkEnd w:id="2103"/>
      <w:r>
        <w:rPr>
          <w:rtl/>
        </w:rPr>
        <w:t xml:space="preserve">: האמורא רבא בר </w:t>
      </w:r>
      <w:proofErr w:type="spellStart"/>
      <w:r>
        <w:rPr>
          <w:rtl/>
        </w:rPr>
        <w:t>ליוואי</w:t>
      </w:r>
      <w:proofErr w:type="spellEnd"/>
      <w:r>
        <w:rPr>
          <w:rtl/>
        </w:rPr>
        <w:t xml:space="preserve"> ניזוק מפני שהרבה לשאול באמצע הדרשה. השווה גם “אישים ושיטות”</w:t>
      </w:r>
      <w:bookmarkStart w:id="2104" w:name="_fnr1324"/>
      <w:r>
        <w:rPr>
          <w:rStyle w:val="a5"/>
        </w:rPr>
        <w:footnoteReference w:id="1327" w:customMarkFollows="0"/>
      </w:r>
      <w:bookmarkEnd w:id="2104"/>
      <w:r>
        <w:rPr>
          <w:rtl/>
        </w:rPr>
        <w:t xml:space="preserve">, המספר כיצד הגיב ר׳ </w:t>
      </w:r>
      <w:proofErr w:type="spellStart"/>
      <w:r>
        <w:rPr>
          <w:rtl/>
        </w:rPr>
        <w:t>ברוך־בער</w:t>
      </w:r>
      <w:proofErr w:type="spellEnd"/>
      <w:r>
        <w:rPr>
          <w:rtl/>
        </w:rPr>
        <w:t xml:space="preserve"> כששאלוהו באמצע שיעור: “הוא הזדקף במלוא קומתו ואמר: ‘... אינני יכול להבין כיצד אפשר לשאול באמצע שיעור. אני זוכר שכאשר מסר מורי ר׳ חיים </w:t>
      </w:r>
      <w:proofErr w:type="spellStart"/>
      <w:r>
        <w:rPr>
          <w:rtl/>
        </w:rPr>
        <w:t>סולובייצ׳יק</w:t>
      </w:r>
      <w:proofErr w:type="spellEnd"/>
      <w:r>
        <w:rPr>
          <w:rtl/>
        </w:rPr>
        <w:t xml:space="preserve"> שיעור והקשבתי לכל מילה, עבר רעד </w:t>
      </w:r>
      <w:r>
        <w:rPr>
          <w:rtl/>
        </w:rPr>
        <w:lastRenderedPageBreak/>
        <w:t>בעצמותיי ושיניי נקשו עד שלא יכולתי להוציא הגה’. לאחר השיעור קרא לתלמיד והתנצל על שהביך אותו”.</w:t>
      </w:r>
    </w:p>
    <w:bookmarkStart w:id="2105" w:name="b3_note126"/>
    <w:p w14:paraId="48E8E82B" w14:textId="77777777" w:rsidR="00AB3647" w:rsidRDefault="00000000" w:rsidP="007923E9">
      <w:pPr>
        <w:spacing w:before="120" w:after="100" w:line="276" w:lineRule="auto"/>
        <w:jc w:val="both"/>
      </w:pPr>
      <w:r>
        <w:fldChar w:fldCharType="begin" w:dirty="true"/>
      </w:r>
      <w:r>
        <w:instrText>HYPERLINK \l "b3_ref126"</w:instrText>
      </w:r>
      <w:r>
        <w:fldChar w:fldCharType="separate"/>
      </w:r>
      <w:r>
        <w:rPr>
          <w:b/>
          <w:bCs/>
          <w:rtl/>
        </w:rPr>
        <w:t>126</w:t>
      </w:r>
      <w:r>
        <w:rPr>
          <w:b/>
          <w:bCs/>
        </w:rPr>
        <w:fldChar w:fldCharType="end"/>
      </w:r>
      <w:bookmarkEnd w:id="2105"/>
      <w:r>
        <w:rPr>
          <w:rtl/>
        </w:rPr>
        <w:t xml:space="preserve"> דבריו של ר׳ שלמה </w:t>
      </w:r>
      <w:proofErr w:type="spellStart"/>
      <w:r>
        <w:rPr>
          <w:rtl/>
        </w:rPr>
        <w:t>פוליצ׳ק</w:t>
      </w:r>
      <w:proofErr w:type="spellEnd"/>
      <w:r>
        <w:rPr>
          <w:rtl/>
        </w:rPr>
        <w:t xml:space="preserve">, העילוי </w:t>
      </w:r>
      <w:proofErr w:type="spellStart"/>
      <w:r>
        <w:rPr>
          <w:rtl/>
        </w:rPr>
        <w:t>ממייצ׳ט</w:t>
      </w:r>
      <w:bookmarkStart w:id="2106" w:name="_fnr1325"/>
      <w:proofErr w:type="spellEnd"/>
      <w:r>
        <w:rPr>
          <w:rStyle w:val="a5"/>
        </w:rPr>
        <w:footnoteReference w:id="1328" w:customMarkFollows="0"/>
      </w:r>
      <w:bookmarkEnd w:id="2106"/>
      <w:r>
        <w:rPr>
          <w:rtl/>
        </w:rPr>
        <w:t xml:space="preserve">, שמצוטטים במאמרו של ניסן וקסמן </w:t>
      </w:r>
      <w:proofErr w:type="spellStart"/>
      <w:r>
        <w:rPr>
          <w:rtl/>
        </w:rPr>
        <w:t>ב“תלפיות</w:t>
      </w:r>
      <w:proofErr w:type="spellEnd"/>
      <w:r>
        <w:rPr>
          <w:rtl/>
        </w:rPr>
        <w:t>”</w:t>
      </w:r>
      <w:bookmarkStart w:id="2107" w:name="_fnr1326"/>
      <w:r>
        <w:rPr>
          <w:rStyle w:val="a5"/>
        </w:rPr>
        <w:footnoteReference w:id="1329" w:customMarkFollows="0"/>
      </w:r>
      <w:bookmarkEnd w:id="2107"/>
      <w:r>
        <w:rPr>
          <w:rtl/>
        </w:rPr>
        <w:t>, הולמים את האופן שבו הקשיב אבי לשיעור, לנאום וכדומה. הוא אמר: “נראה שבעלי כישרון גדול למחשבה ומהירי תפיסה הם בוודאי מאזינים טובים, המיטיבים לתפוס את רעיונות התורה של רבותיהם. אולם מפני שמחשבתם פועלת ללא הרף ומולידה מחשבות עצמאיות, קשה להם להקשיב בסבלנות למהלך מחשבתם של אחרים ולעקוב אחריו. בעלי כישרון בינוני מסוגלים לעיתים יותר להתמסר ולקלוט את אופן מחשבתם של רבותיהם [מאשר בעלי כישרון מעולה]”.</w:t>
      </w:r>
    </w:p>
    <w:p w14:paraId="2A1F8693" w14:textId="77777777" w:rsidR="00AB3647" w:rsidRDefault="00000000" w:rsidP="007923E9">
      <w:pPr>
        <w:spacing w:before="120" w:after="100" w:line="276" w:lineRule="auto"/>
        <w:jc w:val="both"/>
      </w:pPr>
      <w:r>
        <w:rPr>
          <w:rtl/>
        </w:rPr>
        <w:t>רבנו, שמוחו היה פעיל וזריז תמיד, העיר פעמים רבות שכששמע נאום עלו במחשבתו פתרונות משלו לבעיות שהוצגו בו. ברוב הפעמים שביקשו ממנו לדבר באירועים, עמד על כך שלא יהיה הנואם הראשון, משום שההקשבה לנואם הקודם הייתה מזניקה אותו אל עולם רעיונותיו שלו, ואותם הציג אחר כך בדבריו.</w:t>
      </w:r>
    </w:p>
    <w:bookmarkStart w:id="2108" w:name="b3_note127"/>
    <w:p w14:paraId="167A7DC9" w14:textId="77777777" w:rsidR="00AB3647" w:rsidRDefault="00000000" w:rsidP="007923E9">
      <w:pPr>
        <w:spacing w:before="120" w:after="100" w:line="276" w:lineRule="auto"/>
        <w:jc w:val="both"/>
      </w:pPr>
      <w:r>
        <w:fldChar w:fldCharType="begin" w:dirty="true"/>
      </w:r>
      <w:r>
        <w:instrText>HYPERLINK \l "b3_ref127"</w:instrText>
      </w:r>
      <w:r>
        <w:fldChar w:fldCharType="separate"/>
      </w:r>
      <w:r>
        <w:rPr>
          <w:b/>
          <w:bCs/>
          <w:rtl/>
        </w:rPr>
        <w:t>127</w:t>
      </w:r>
      <w:r>
        <w:rPr>
          <w:b/>
          <w:bCs/>
        </w:rPr>
        <w:fldChar w:fldCharType="end"/>
      </w:r>
      <w:bookmarkEnd w:id="2108"/>
      <w:r>
        <w:rPr>
          <w:rtl/>
        </w:rPr>
        <w:t xml:space="preserve"> </w:t>
      </w:r>
      <w:proofErr w:type="spellStart"/>
      <w:r>
        <w:rPr>
          <w:rtl/>
        </w:rPr>
        <w:t>חיה־מרים</w:t>
      </w:r>
      <w:proofErr w:type="spellEnd"/>
      <w:r>
        <w:rPr>
          <w:rtl/>
        </w:rPr>
        <w:t xml:space="preserve"> </w:t>
      </w:r>
      <w:proofErr w:type="spellStart"/>
      <w:r>
        <w:rPr>
          <w:rtl/>
        </w:rPr>
        <w:t>שולמן</w:t>
      </w:r>
      <w:bookmarkStart w:id="2109" w:name="_fnr1327"/>
      <w:proofErr w:type="spellEnd"/>
      <w:r>
        <w:rPr>
          <w:rStyle w:val="a5"/>
        </w:rPr>
        <w:footnoteReference w:id="1330" w:customMarkFollows="0"/>
      </w:r>
      <w:bookmarkEnd w:id="2109"/>
      <w:r>
        <w:rPr>
          <w:rtl/>
        </w:rPr>
        <w:t xml:space="preserve"> אמרה שהחבורות נמסרו בצדו הימני של בית המדרש מדי יום בשעה 11:00 בבוקר. “המושכות ביותר היו החבורות שמסר ר׳ אהרן קוטלר בשנה שלפני עזיבתו את </w:t>
      </w:r>
      <w:proofErr w:type="spellStart"/>
      <w:r>
        <w:rPr>
          <w:rtl/>
        </w:rPr>
        <w:t>סלבודקה</w:t>
      </w:r>
      <w:bookmarkStart w:id="2110" w:name="_fnr1328"/>
      <w:proofErr w:type="spellEnd"/>
      <w:r>
        <w:rPr>
          <w:rStyle w:val="a5"/>
        </w:rPr>
        <w:footnoteReference w:id="1331" w:customMarkFollows="0"/>
      </w:r>
      <w:bookmarkEnd w:id="2110"/>
      <w:r>
        <w:rPr>
          <w:rtl/>
        </w:rPr>
        <w:t>”, סיפרה.</w:t>
      </w:r>
    </w:p>
    <w:p w14:paraId="74384D53" w14:textId="77777777" w:rsidR="00AB3647" w:rsidRDefault="00000000" w:rsidP="007923E9">
      <w:pPr>
        <w:spacing w:after="100" w:line="276" w:lineRule="auto"/>
        <w:ind w:firstLine="340"/>
        <w:jc w:val="both"/>
      </w:pPr>
      <w:r>
        <w:rPr>
          <w:rtl/>
        </w:rPr>
        <w:t xml:space="preserve">לדברי ר׳ </w:t>
      </w:r>
      <w:proofErr w:type="spellStart"/>
      <w:r>
        <w:rPr>
          <w:rtl/>
        </w:rPr>
        <w:t>לייבל</w:t>
      </w:r>
      <w:proofErr w:type="spellEnd"/>
      <w:r>
        <w:rPr>
          <w:rtl/>
        </w:rPr>
        <w:t xml:space="preserve"> </w:t>
      </w:r>
      <w:proofErr w:type="spellStart"/>
      <w:r>
        <w:rPr>
          <w:rtl/>
        </w:rPr>
        <w:t>פרלשטיין</w:t>
      </w:r>
      <w:bookmarkStart w:id="2111" w:name="_fnr1329"/>
      <w:proofErr w:type="spellEnd"/>
      <w:r>
        <w:rPr>
          <w:rStyle w:val="a5"/>
        </w:rPr>
        <w:footnoteReference w:id="1332" w:customMarkFollows="0"/>
      </w:r>
      <w:bookmarkEnd w:id="2111"/>
      <w:r>
        <w:rPr>
          <w:rtl/>
        </w:rPr>
        <w:t xml:space="preserve">, רבנו הכריז על ר׳ </w:t>
      </w:r>
      <w:proofErr w:type="spellStart"/>
      <w:r>
        <w:rPr>
          <w:rtl/>
        </w:rPr>
        <w:t>משה־מרדכי</w:t>
      </w:r>
      <w:proofErr w:type="spellEnd"/>
      <w:r>
        <w:rPr>
          <w:rtl/>
        </w:rPr>
        <w:t xml:space="preserve"> אפשטיין שהוא רבו, אף שהשפעתו של ר׳ </w:t>
      </w:r>
      <w:proofErr w:type="spellStart"/>
      <w:r>
        <w:rPr>
          <w:rtl/>
        </w:rPr>
        <w:t>משה־מרדכי</w:t>
      </w:r>
      <w:proofErr w:type="spellEnd"/>
      <w:r>
        <w:rPr>
          <w:rtl/>
        </w:rPr>
        <w:t xml:space="preserve"> על התפתחותו הייתה מוגבלת. המרואיין הוסיף שכששאל את אבי: “האם הסבא לא היה רבך?”, השיב לו: “ר׳ </w:t>
      </w:r>
      <w:proofErr w:type="spellStart"/>
      <w:r>
        <w:rPr>
          <w:rtl/>
        </w:rPr>
        <w:t>משה־מרדכי</w:t>
      </w:r>
      <w:proofErr w:type="spellEnd"/>
      <w:r>
        <w:rPr>
          <w:rtl/>
        </w:rPr>
        <w:t xml:space="preserve"> היה רבי בלימוד, והסבא רבי בענייני החיים”.</w:t>
      </w:r>
    </w:p>
    <w:p w14:paraId="2EFB6A08" w14:textId="77777777" w:rsidR="00AB3647" w:rsidRDefault="00000000" w:rsidP="007923E9">
      <w:pPr>
        <w:spacing w:after="100" w:line="276" w:lineRule="auto"/>
        <w:ind w:firstLine="340"/>
        <w:jc w:val="both"/>
      </w:pPr>
      <w:r>
        <w:rPr>
          <w:rtl/>
        </w:rPr>
        <w:t xml:space="preserve">שיחה הקשורה לכך ניהל רבנו עם נכדו, בני ר׳ יוסף, כשהיה בן </w:t>
      </w:r>
      <w:proofErr w:type="spellStart"/>
      <w:r>
        <w:rPr>
          <w:rtl/>
        </w:rPr>
        <w:t>שבע־עשרה</w:t>
      </w:r>
      <w:proofErr w:type="spellEnd"/>
      <w:r>
        <w:rPr>
          <w:rtl/>
        </w:rPr>
        <w:t xml:space="preserve">. הצעיר ביקר בבית סבו </w:t>
      </w:r>
      <w:proofErr w:type="spellStart"/>
      <w:r>
        <w:rPr>
          <w:rtl/>
        </w:rPr>
        <w:t>במונסי</w:t>
      </w:r>
      <w:proofErr w:type="spellEnd"/>
      <w:r>
        <w:rPr>
          <w:rtl/>
        </w:rPr>
        <w:t xml:space="preserve"> ושאל על שתי התמונות שהיו תלויות בחדר עבודתו. אבי אמר שאחת מהן היא תמונת סבו מצד אביו, ר׳ </w:t>
      </w:r>
      <w:proofErr w:type="spellStart"/>
      <w:r>
        <w:rPr>
          <w:rtl/>
        </w:rPr>
        <w:t>שמואל־צבי</w:t>
      </w:r>
      <w:proofErr w:type="spellEnd"/>
      <w:r>
        <w:rPr>
          <w:rtl/>
        </w:rPr>
        <w:t xml:space="preserve">(־הירש) </w:t>
      </w:r>
      <w:proofErr w:type="spellStart"/>
      <w:r>
        <w:rPr>
          <w:rtl/>
        </w:rPr>
        <w:t>קמינצקי</w:t>
      </w:r>
      <w:bookmarkStart w:id="2112" w:name="_fnr1330"/>
      <w:proofErr w:type="spellEnd"/>
      <w:r>
        <w:rPr>
          <w:rStyle w:val="a5"/>
        </w:rPr>
        <w:footnoteReference w:id="1333" w:customMarkFollows="0"/>
      </w:r>
      <w:bookmarkEnd w:id="2112"/>
      <w:r>
        <w:rPr>
          <w:rtl/>
        </w:rPr>
        <w:t xml:space="preserve">, והשנייה תמונה קבוצתית של צוות ישיבת </w:t>
      </w:r>
      <w:proofErr w:type="spellStart"/>
      <w:r>
        <w:rPr>
          <w:rtl/>
        </w:rPr>
        <w:t>סלבודקה</w:t>
      </w:r>
      <w:proofErr w:type="spellEnd"/>
      <w:r>
        <w:rPr>
          <w:rtl/>
        </w:rPr>
        <w:t xml:space="preserve"> ותלמידיה. על הראשונה אמר אבי שקרא לאחד מבניו “שמואל” על שם הסב שבתמונה, אבל בלי “צבי (הירש)”, מפני שחותנו נקרא </w:t>
      </w:r>
      <w:proofErr w:type="spellStart"/>
      <w:r>
        <w:rPr>
          <w:rtl/>
        </w:rPr>
        <w:t xml:space="preserve">בער־הירש</w:t>
      </w:r>
      <w:proofErr w:type="spellEnd"/>
      <w:r>
        <w:rPr>
          <w:rtl/>
        </w:rPr>
        <w:t xml:space="preserve">. על השנייה אמר שקרא לבן אחר, אביו של בן שיחו, על שם רבו ר׳ </w:t>
      </w:r>
      <w:proofErr w:type="spellStart"/>
      <w:r>
        <w:rPr>
          <w:rtl/>
        </w:rPr>
        <w:t>נתן־צבי</w:t>
      </w:r>
      <w:proofErr w:type="spellEnd"/>
      <w:r>
        <w:rPr>
          <w:rtl/>
        </w:rPr>
        <w:t xml:space="preserve">, ומאותה סיבה שבגללה נהג כך בבנו הגדול נאלץ להשמיט את “צבי”. לבעל נכדתו, ר׳ מאיר </w:t>
      </w:r>
      <w:proofErr w:type="spellStart"/>
      <w:r>
        <w:rPr>
          <w:rtl/>
        </w:rPr>
        <w:t>טרייביץ</w:t>
      </w:r>
      <w:bookmarkStart w:id="2113" w:name="_fnr1331"/>
      <w:proofErr w:type="spellEnd"/>
      <w:r>
        <w:rPr>
          <w:rStyle w:val="a5"/>
        </w:rPr>
        <w:footnoteReference w:id="1334" w:customMarkFollows="0"/>
      </w:r>
      <w:bookmarkEnd w:id="2113"/>
      <w:r>
        <w:rPr>
          <w:rtl/>
        </w:rPr>
        <w:t xml:space="preserve">, סיפר שכיבד את “שלושת הצבאים” בכך שקרא לבית הכנסת שלו </w:t>
      </w:r>
      <w:proofErr w:type="spellStart"/>
      <w:r>
        <w:rPr>
          <w:rtl/>
        </w:rPr>
        <w:t>במונסי</w:t>
      </w:r>
      <w:proofErr w:type="spellEnd"/>
      <w:r>
        <w:rPr>
          <w:rtl/>
        </w:rPr>
        <w:t xml:space="preserve"> “בני צבי”.</w:t>
      </w:r>
    </w:p>
    <w:p w14:paraId="7E1F7890" w14:textId="77777777" w:rsidR="00AB3647" w:rsidRDefault="00000000" w:rsidP="007923E9">
      <w:pPr>
        <w:spacing w:after="100" w:line="276" w:lineRule="auto"/>
        <w:ind w:firstLine="340"/>
        <w:jc w:val="both"/>
      </w:pPr>
      <w:r>
        <w:rPr>
          <w:rtl/>
        </w:rPr>
        <w:lastRenderedPageBreak/>
        <w:t xml:space="preserve">ר׳ יוסף שאל אז את סבו: “מי עוד היו רבותיך?”, והשיב לו: “שמעתי שיעורים מר׳ </w:t>
      </w:r>
      <w:proofErr w:type="spellStart"/>
      <w:r>
        <w:rPr>
          <w:rtl/>
        </w:rPr>
        <w:t>משה־מרדכי</w:t>
      </w:r>
      <w:proofErr w:type="spellEnd"/>
      <w:r>
        <w:rPr>
          <w:rtl/>
        </w:rPr>
        <w:t xml:space="preserve"> ומר׳ </w:t>
      </w:r>
      <w:proofErr w:type="spellStart"/>
      <w:r>
        <w:rPr>
          <w:rtl/>
        </w:rPr>
        <w:t>איסר־זלמן</w:t>
      </w:r>
      <w:proofErr w:type="spellEnd"/>
      <w:r>
        <w:rPr>
          <w:rtl/>
        </w:rPr>
        <w:t xml:space="preserve"> ומאחרים, אבל הסבא היה רבי במוסר”. כשראה רבנו שר׳ יוסף תמה, הוסיף: “כן, גם במוסר צריך רבי”. בשיחה זו – שנסבה על יחסו לסבא – נמנע אבי מלכנות את ר׳ </w:t>
      </w:r>
      <w:proofErr w:type="spellStart"/>
      <w:r>
        <w:rPr>
          <w:rtl/>
        </w:rPr>
        <w:t>משה־מרדכי</w:t>
      </w:r>
      <w:proofErr w:type="spellEnd"/>
      <w:r>
        <w:rPr>
          <w:rtl/>
        </w:rPr>
        <w:t xml:space="preserve"> “רבו”. כשמנתחים את דיווחו של ר׳ </w:t>
      </w:r>
      <w:proofErr w:type="spellStart"/>
      <w:r>
        <w:rPr>
          <w:rtl/>
        </w:rPr>
        <w:t>לייבל</w:t>
      </w:r>
      <w:proofErr w:type="spellEnd"/>
      <w:r>
        <w:rPr>
          <w:rtl/>
        </w:rPr>
        <w:t xml:space="preserve"> </w:t>
      </w:r>
      <w:proofErr w:type="spellStart"/>
      <w:r>
        <w:rPr>
          <w:rtl/>
        </w:rPr>
        <w:t>פרלשטיין</w:t>
      </w:r>
      <w:proofErr w:type="spellEnd"/>
      <w:r>
        <w:rPr>
          <w:rtl/>
        </w:rPr>
        <w:t xml:space="preserve"> לאור דברי ר׳ יוסף, אפשר לסכם שרבנו ראה בר׳ </w:t>
      </w:r>
      <w:proofErr w:type="spellStart"/>
      <w:r>
        <w:rPr>
          <w:rtl/>
        </w:rPr>
        <w:t>משה־מרדכי</w:t>
      </w:r>
      <w:proofErr w:type="spellEnd"/>
      <w:r>
        <w:rPr>
          <w:rtl/>
        </w:rPr>
        <w:t xml:space="preserve"> אפשטיין את רבו, אבל רק כל עוד לא הועמדה זיקה זו מול קרבתו לסבא.</w:t>
      </w:r>
    </w:p>
    <w:p w14:paraId="18612D57" w14:textId="77777777" w:rsidR="00AB3647" w:rsidRDefault="00000000" w:rsidP="007923E9">
      <w:pPr>
        <w:spacing w:after="100" w:line="276" w:lineRule="auto"/>
        <w:ind w:firstLine="340"/>
        <w:jc w:val="both"/>
      </w:pPr>
      <w:r>
        <w:rPr>
          <w:rtl/>
        </w:rPr>
        <w:t>אבי סבר שלפי דקדוק המסורת היהודית ראוי לתת לילד שם אחד בלבד, והצביע על כך שלראשונים היו שמות יחידים</w:t>
      </w:r>
      <w:bookmarkStart w:id="2114" w:name="_fnr1332"/>
      <w:r>
        <w:rPr>
          <w:rStyle w:val="a5"/>
        </w:rPr>
        <w:footnoteReference w:id="1335" w:customMarkFollows="0"/>
      </w:r>
      <w:bookmarkEnd w:id="2114"/>
      <w:r>
        <w:rPr>
          <w:rtl/>
        </w:rPr>
        <w:t>. הוא אמר עוד שקיבל אישור משמים לרעיונו על נתינת שמות יחידים, והצביע על שני המקרים הנזכרים, שבהם היה אמור בדרך כלל לתת שמות כפולים, ונמנע מכך בגלל שם חותנו.</w:t>
      </w:r>
    </w:p>
    <w:p w14:paraId="6315345A" w14:textId="77777777" w:rsidR="00AB3647" w:rsidRDefault="00000000" w:rsidP="007923E9">
      <w:pPr>
        <w:spacing w:after="100" w:line="276" w:lineRule="auto"/>
        <w:ind w:firstLine="340"/>
        <w:jc w:val="both"/>
      </w:pPr>
      <w:r>
        <w:rPr>
          <w:rtl/>
        </w:rPr>
        <w:t xml:space="preserve">כשהראו לרבנו את נינתו הבכורה בישראל ואמרו לו ששמה </w:t>
      </w:r>
      <w:proofErr w:type="spellStart"/>
      <w:r>
        <w:rPr>
          <w:rtl/>
        </w:rPr>
        <w:t>מלכה־חיה</w:t>
      </w:r>
      <w:proofErr w:type="spellEnd"/>
      <w:r>
        <w:rPr>
          <w:rtl/>
        </w:rPr>
        <w:t xml:space="preserve"> – השם הכפול ניתן לה על שם אם אמה – צחק וסיפר: “כשנולדה ילדתי הבכורה, בת, ולפי המנהג הייתה לאשתי הזכות לבחור את שמה, רצה חמי לתת לה שם כפול. הוא חלם שעליו לקרוא לתינוקת על שם שתי </w:t>
      </w:r>
      <w:proofErr w:type="spellStart"/>
      <w:r>
        <w:rPr>
          <w:rtl/>
        </w:rPr>
        <w:t>דודות־סבתא</w:t>
      </w:r>
      <w:proofErr w:type="spellEnd"/>
      <w:r>
        <w:rPr>
          <w:rtl/>
        </w:rPr>
        <w:t xml:space="preserve"> בשם מלכה וחיה! אבל בהתאם לעיקרון שלי התעקשתי שתיקרא בשם אחד, ולכן נקראה רק מלכה. אבל”, סיכם אבי, “נראה </w:t>
      </w:r>
      <w:proofErr w:type="spellStart"/>
      <w:r>
        <w:rPr>
          <w:rtl/>
        </w:rPr>
        <w:t>שמלכה־חיה</w:t>
      </w:r>
      <w:proofErr w:type="spellEnd"/>
      <w:r>
        <w:rPr>
          <w:rtl/>
        </w:rPr>
        <w:t xml:space="preserve"> נועדה להיות בין צאצאיי.”</w:t>
      </w:r>
    </w:p>
    <w:bookmarkStart w:id="2115" w:name="b3_note128"/>
    <w:p w14:paraId="3F86410E" w14:textId="4EEC07B5" w:rsidR="00AB3647" w:rsidRDefault="00000000" w:rsidP="007923E9">
      <w:pPr>
        <w:spacing w:before="120" w:after="100" w:line="276" w:lineRule="auto"/>
        <w:jc w:val="both"/>
      </w:pPr>
      <w:r>
        <w:fldChar w:fldCharType="begin" w:dirty="true"/>
      </w:r>
      <w:r>
        <w:instrText>HYPERLINK \l "b3_ref128"</w:instrText>
      </w:r>
      <w:r>
        <w:fldChar w:fldCharType="separate"/>
      </w:r>
      <w:r>
        <w:rPr>
          <w:b/>
          <w:bCs/>
          <w:rtl/>
        </w:rPr>
        <w:t>128</w:t>
      </w:r>
      <w:r>
        <w:rPr>
          <w:b/>
          <w:bCs/>
        </w:rPr>
        <w:fldChar w:fldCharType="end"/>
      </w:r>
      <w:bookmarkEnd w:id="2115"/>
      <w:r>
        <w:rPr>
          <w:rtl/>
        </w:rPr>
        <w:t xml:space="preserve"> ראה </w:t>
      </w:r>
      <w:r>
        <w:rPr>
          <w:rtl/>
        </w:rPr>
        <w:fldChar w:fldCharType="begin" w:dirty="true"/>
      </w:r>
      <w:r>
        <w:rPr>
          <w:rtl/>
        </w:rPr>
        <w:instrText xml:space="preserve"> REF b3_excDD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ל</w:t>
      </w:r>
      <w:r>
        <w:rPr>
          <w:rtl/>
        </w:rPr>
        <w:fldChar w:fldCharType="end"/>
      </w:r>
      <w:r>
        <w:rPr>
          <w:rtl/>
        </w:rPr>
        <w:t>.</w:t>
      </w:r>
    </w:p>
    <w:p w14:paraId="1C7A8031" w14:textId="6773B07C"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b/>
          <w:bCs/>
          <w:rtl/>
        </w:rPr>
        <w:t>מחציתו</w:t>
      </w:r>
      <w:r>
        <w:rPr>
          <w:rtl/>
        </w:rPr>
        <w:t xml:space="preserve"> של כל יום לימודים הוקדשה לעיון, ובו למדו בכל זמן כ־75 דפי גמרא</w:t>
      </w:r>
      <w:bookmarkStart w:id="2116" w:name="b3_ref129"/>
      <w:bookmarkEnd w:id="2116"/>
      <w:r>
        <w:rPr>
          <w:vertAlign w:val="superscript"/>
          <w:rtl/>
        </w:rPr>
        <w:fldChar w:fldCharType="begin" w:dirty="true"/>
      </w:r>
      <w:r>
        <w:rPr>
          <w:vertAlign w:val="superscript"/>
          <w:rtl/>
        </w:rPr>
        <w:instrText xml:space="preserve"> REF b3_note129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129</w:t>
      </w:r>
      <w:r>
        <w:rPr>
          <w:vertAlign w:val="superscript"/>
          <w:rtl/>
        </w:rPr>
        <w:fldChar w:fldCharType="end"/>
      </w:r>
      <w:r>
        <w:rPr>
          <w:rtl/>
        </w:rPr>
        <w:t>. המחצית האחרת נוצלה לרכישת בקיאות בתלמוד ובפוסקים. בכנסת ישראל לא הוסיפו על טקסט הגמרא אלא מבחר מספרי הראשונים היסודיים ומספרי האחרונים הקלאסיים, המפתחים את כושר הניתוח התלמודי של התלמיד</w:t>
      </w:r>
      <w:bookmarkStart w:id="2117" w:name="b3_ref130"/>
      <w:bookmarkEnd w:id="2117"/>
      <w:r>
        <w:rPr>
          <w:vertAlign w:val="superscript"/>
          <w:rtl/>
        </w:rPr>
        <w:fldChar w:fldCharType="begin" w:dirty="true"/>
      </w:r>
      <w:r>
        <w:rPr>
          <w:vertAlign w:val="superscript"/>
          <w:rtl/>
        </w:rPr>
        <w:instrText xml:space="preserve"> REF b3_note130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130</w:t>
      </w:r>
      <w:r>
        <w:rPr>
          <w:vertAlign w:val="superscript"/>
          <w:rtl/>
        </w:rPr>
        <w:fldChar w:fldCharType="end"/>
      </w:r>
      <w:r>
        <w:rPr>
          <w:rtl/>
        </w:rPr>
        <w:t xml:space="preserve"> – כגון </w:t>
      </w:r>
      <w:proofErr w:type="spellStart"/>
      <w:r>
        <w:rPr>
          <w:rtl/>
        </w:rPr>
        <w:t>ה“קצות</w:t>
      </w:r>
      <w:proofErr w:type="spellEnd"/>
      <w:r>
        <w:rPr>
          <w:rtl/>
        </w:rPr>
        <w:t>”, הספר שבו נבחנו הבאים החדשים. אף שספרי העזר מילאו תפקיד שולי בתוכנית הלימודים, מלאי הספרים בישיבה לא הספיק מעולם לצורכיהם של יותר מ־400 התלמידים. הכרכים המעטים שעמדו לרשותם עברו מיד ליד בתור</w:t>
      </w:r>
      <w:bookmarkStart w:id="2118" w:name="b3_ref131"/>
      <w:bookmarkEnd w:id="2118"/>
      <w:r>
        <w:rPr>
          <w:vertAlign w:val="superscript"/>
          <w:rtl/>
        </w:rPr>
        <w:fldChar w:fldCharType="begin" w:dirty="true"/>
      </w:r>
      <w:r>
        <w:rPr>
          <w:vertAlign w:val="superscript"/>
          <w:rtl/>
        </w:rPr>
        <w:instrText xml:space="preserve"> REF b3_note131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131</w:t>
      </w:r>
      <w:r>
        <w:rPr>
          <w:vertAlign w:val="superscript"/>
          <w:rtl/>
        </w:rPr>
        <w:fldChar w:fldCharType="end"/>
      </w:r>
      <w:r>
        <w:rPr>
          <w:rtl/>
        </w:rPr>
        <w:t>.</w:t>
      </w:r>
    </w:p>
    <w:bookmarkStart w:id="2119" w:name="b3_note129"/>
    <w:p w14:paraId="2294A3EE" w14:textId="77777777" w:rsidR="00AB3647" w:rsidRDefault="00000000" w:rsidP="007923E9">
      <w:pPr>
        <w:spacing w:before="120" w:after="100" w:line="276" w:lineRule="auto"/>
        <w:jc w:val="both"/>
      </w:pPr>
      <w:r>
        <w:fldChar w:fldCharType="begin" w:dirty="true"/>
      </w:r>
      <w:r>
        <w:instrText>HYPERLINK \l "b3_ref129"</w:instrText>
      </w:r>
      <w:r>
        <w:fldChar w:fldCharType="separate"/>
      </w:r>
      <w:r>
        <w:rPr>
          <w:b/>
          <w:bCs/>
          <w:rtl/>
        </w:rPr>
        <w:t>129</w:t>
      </w:r>
      <w:r>
        <w:rPr>
          <w:b/>
          <w:bCs/>
        </w:rPr>
        <w:fldChar w:fldCharType="end"/>
      </w:r>
      <w:bookmarkEnd w:id="2119"/>
      <w:r>
        <w:rPr>
          <w:rtl/>
        </w:rPr>
        <w:t xml:space="preserve"> ר׳ מרדכי שיין</w:t>
      </w:r>
      <w:bookmarkStart w:id="2120" w:name="_fnr1333"/>
      <w:r>
        <w:rPr>
          <w:rStyle w:val="a5"/>
        </w:rPr>
        <w:footnoteReference w:id="1336" w:customMarkFollows="0"/>
      </w:r>
      <w:bookmarkEnd w:id="2120"/>
      <w:r>
        <w:rPr>
          <w:rtl/>
        </w:rPr>
        <w:t xml:space="preserve"> טען שאבי סיפר לו שבישיבת </w:t>
      </w:r>
      <w:proofErr w:type="spellStart"/>
      <w:r>
        <w:rPr>
          <w:rtl/>
        </w:rPr>
        <w:t>סלבודקה</w:t>
      </w:r>
      <w:proofErr w:type="spellEnd"/>
      <w:r>
        <w:rPr>
          <w:rtl/>
        </w:rPr>
        <w:t xml:space="preserve"> למדו </w:t>
      </w:r>
      <w:r>
        <w:rPr>
          <w:b/>
          <w:bCs/>
          <w:rtl/>
        </w:rPr>
        <w:t>רק שישים דפים</w:t>
      </w:r>
      <w:r>
        <w:rPr>
          <w:rtl/>
        </w:rPr>
        <w:t xml:space="preserve"> בזמן, </w:t>
      </w:r>
      <w:proofErr w:type="spellStart"/>
      <w:r>
        <w:rPr>
          <w:rtl/>
        </w:rPr>
        <w:t>ו“בדרך</w:t>
      </w:r>
      <w:proofErr w:type="spellEnd"/>
      <w:r>
        <w:rPr>
          <w:rtl/>
        </w:rPr>
        <w:t xml:space="preserve"> כלל סיימו התלמידים את המסכת”. מאחר שבמסכתות הקבועות מסדרי נשים </w:t>
      </w:r>
      <w:proofErr w:type="spellStart"/>
      <w:r>
        <w:rPr>
          <w:rtl/>
        </w:rPr>
        <w:t>ונזיקין</w:t>
      </w:r>
      <w:proofErr w:type="spellEnd"/>
      <w:r>
        <w:rPr>
          <w:rtl/>
        </w:rPr>
        <w:t xml:space="preserve"> שנלמדו </w:t>
      </w:r>
      <w:proofErr w:type="spellStart"/>
      <w:r>
        <w:rPr>
          <w:rtl/>
        </w:rPr>
        <w:t>בסלבודקה</w:t>
      </w:r>
      <w:bookmarkStart w:id="2121" w:name="_fnr1334"/>
      <w:proofErr w:type="spellEnd"/>
      <w:r>
        <w:rPr>
          <w:rStyle w:val="a5"/>
        </w:rPr>
        <w:footnoteReference w:id="1337" w:customMarkFollows="0"/>
      </w:r>
      <w:bookmarkEnd w:id="2121"/>
      <w:r>
        <w:rPr>
          <w:rtl/>
        </w:rPr>
        <w:t xml:space="preserve"> יש </w:t>
      </w:r>
      <w:r>
        <w:rPr>
          <w:b/>
          <w:bCs/>
          <w:rtl/>
        </w:rPr>
        <w:t>הרבה יותר</w:t>
      </w:r>
      <w:r>
        <w:rPr>
          <w:rtl/>
        </w:rPr>
        <w:t xml:space="preserve"> משישים דפים, מסתבר שמדויק יותר המספר הגדול יותר, 75, ששמע ר׳ יצחק </w:t>
      </w:r>
      <w:proofErr w:type="spellStart"/>
      <w:r>
        <w:rPr>
          <w:rtl/>
        </w:rPr>
        <w:t>שורין</w:t>
      </w:r>
      <w:proofErr w:type="spellEnd"/>
      <w:r>
        <w:rPr>
          <w:rtl/>
        </w:rPr>
        <w:t xml:space="preserve"> מסבו, רבנו, </w:t>
      </w:r>
      <w:proofErr w:type="spellStart"/>
      <w:r>
        <w:rPr>
          <w:rtl/>
        </w:rPr>
        <w:t>בתשל״א</w:t>
      </w:r>
      <w:bookmarkStart w:id="2122" w:name="_fnr1335"/>
      <w:proofErr w:type="spellEnd"/>
      <w:r>
        <w:rPr>
          <w:rStyle w:val="a5"/>
        </w:rPr>
        <w:footnoteReference w:id="1338" w:customMarkFollows="0"/>
      </w:r>
      <w:bookmarkEnd w:id="2122"/>
      <w:r>
        <w:rPr>
          <w:rtl/>
        </w:rPr>
        <w:t xml:space="preserve">. ר׳ יצחק </w:t>
      </w:r>
      <w:proofErr w:type="spellStart"/>
      <w:r>
        <w:rPr>
          <w:rtl/>
        </w:rPr>
        <w:t>שורין</w:t>
      </w:r>
      <w:proofErr w:type="spellEnd"/>
      <w:r>
        <w:rPr>
          <w:rtl/>
        </w:rPr>
        <w:t xml:space="preserve"> הביע לפני סבו את תדהמתו </w:t>
      </w:r>
      <w:r>
        <w:rPr>
          <w:rtl/>
        </w:rPr>
        <w:lastRenderedPageBreak/>
        <w:t xml:space="preserve">מן השינוי הקיצוני שחל בשישים וחמש השנים שחלפו מאז: בישיבות בימינו לומדים רק </w:t>
      </w:r>
      <w:proofErr w:type="spellStart"/>
      <w:r>
        <w:rPr>
          <w:rtl/>
        </w:rPr>
        <w:t>חמישה־עשר</w:t>
      </w:r>
      <w:proofErr w:type="spellEnd"/>
      <w:r>
        <w:rPr>
          <w:rtl/>
        </w:rPr>
        <w:t xml:space="preserve"> עד עשרים דפים</w:t>
      </w:r>
      <w:bookmarkStart w:id="2123" w:name="_fnr1336"/>
      <w:r>
        <w:rPr>
          <w:rStyle w:val="a5"/>
        </w:rPr>
        <w:footnoteReference w:id="1339" w:customMarkFollows="0"/>
      </w:r>
      <w:bookmarkEnd w:id="2123"/>
      <w:r>
        <w:rPr>
          <w:rtl/>
        </w:rPr>
        <w:t xml:space="preserve"> בכל זמן בסדר העיון היומי. רבנו הסביר זאת כך: “בימיי האמנו </w:t>
      </w:r>
      <w:proofErr w:type="spellStart"/>
      <w:r>
        <w:rPr>
          <w:rtl/>
        </w:rPr>
        <w:t>שאביי</w:t>
      </w:r>
      <w:proofErr w:type="spellEnd"/>
      <w:r>
        <w:rPr>
          <w:rtl/>
        </w:rPr>
        <w:t xml:space="preserve"> ורבא</w:t>
      </w:r>
      <w:bookmarkStart w:id="2124" w:name="_fnr1337"/>
      <w:r>
        <w:rPr>
          <w:rStyle w:val="a5"/>
        </w:rPr>
        <w:footnoteReference w:id="1340" w:customMarkFollows="0"/>
      </w:r>
      <w:bookmarkEnd w:id="2124"/>
      <w:r>
        <w:rPr>
          <w:rtl/>
        </w:rPr>
        <w:t xml:space="preserve"> צודקים. אם לא הבנו באותו רגע את הטעם לדבריהם, השארנו זאת לפעם הבאה שנלמד ש״ס. היום כולנו מדענים, ושכלנו חייב לבדוק את שלמותו של כל טיעון בגמרא מיד כשהוא מובא. האם פלא שאנו נשארים זמן רב כל כך בדף אחד?!”</w:t>
      </w:r>
    </w:p>
    <w:p w14:paraId="3B61A9EB" w14:textId="77777777" w:rsidR="00AB3647" w:rsidRDefault="00000000" w:rsidP="007923E9">
      <w:pPr>
        <w:spacing w:before="120" w:after="100" w:line="276" w:lineRule="auto"/>
        <w:jc w:val="both"/>
      </w:pPr>
      <w:r>
        <w:rPr>
          <w:rtl/>
        </w:rPr>
        <w:t xml:space="preserve">הנכד המשיך בדיון ושאל אם כל הרבנים בליטא היו בקיאים [בש״ס ובראשונים], ואבי אמר: “אי אפשר היה לתפוס אף אחד מ־300 הרבנים בליטא בשום קטע גמרא בש״ס: אחד היה למדן יותר ואחד פחות, אבל לא לדעת גמרא... [לא היה עולה על הדעת]!” אבל כשחזרתי על הדברים בפני ר׳ אליהו </w:t>
      </w:r>
      <w:proofErr w:type="spellStart"/>
      <w:r>
        <w:rPr>
          <w:rtl/>
        </w:rPr>
        <w:t>קושלבסקי</w:t>
      </w:r>
      <w:bookmarkStart w:id="2125" w:name="_fnr1338"/>
      <w:proofErr w:type="spellEnd"/>
      <w:r>
        <w:rPr>
          <w:rStyle w:val="a5"/>
        </w:rPr>
        <w:footnoteReference w:id="1341" w:customMarkFollows="0"/>
      </w:r>
      <w:bookmarkEnd w:id="2125"/>
      <w:r>
        <w:rPr>
          <w:rtl/>
        </w:rPr>
        <w:t xml:space="preserve">, סבר הלה שהם מוגזמים, ואמר: “רבנו פשוט מדד את כל שאר הרבנים לפי עצמו; אי אפשר היה לתפוס </w:t>
      </w:r>
      <w:r>
        <w:rPr>
          <w:b/>
          <w:bCs/>
          <w:rtl/>
        </w:rPr>
        <w:t>אותו</w:t>
      </w:r>
      <w:r>
        <w:rPr>
          <w:rtl/>
        </w:rPr>
        <w:t xml:space="preserve"> ‘לא יודע גמרא...’, והוא ייחס זאת גם ל־299 הרבנים האחרים בליטא.”</w:t>
      </w:r>
    </w:p>
    <w:p w14:paraId="2CC068A6" w14:textId="77777777" w:rsidR="00AB3647" w:rsidRDefault="00000000" w:rsidP="007923E9">
      <w:pPr>
        <w:spacing w:before="120" w:after="100" w:line="276" w:lineRule="auto"/>
        <w:jc w:val="both"/>
      </w:pPr>
      <w:r>
        <w:rPr>
          <w:rtl/>
        </w:rPr>
        <w:t xml:space="preserve">כשסיפר ר׳ יצחק </w:t>
      </w:r>
      <w:proofErr w:type="spellStart"/>
      <w:r>
        <w:rPr>
          <w:rtl/>
        </w:rPr>
        <w:t>שורין</w:t>
      </w:r>
      <w:proofErr w:type="spellEnd"/>
      <w:r>
        <w:rPr>
          <w:rtl/>
        </w:rPr>
        <w:t xml:space="preserve"> לרבו באותה עת על דעת סבו בעניין היקף לימוד הגמרא, טען הלה שרק העילויים </w:t>
      </w:r>
      <w:proofErr w:type="spellStart"/>
      <w:r>
        <w:rPr>
          <w:rtl/>
        </w:rPr>
        <w:t>בסלבודקה</w:t>
      </w:r>
      <w:proofErr w:type="spellEnd"/>
      <w:r>
        <w:rPr>
          <w:rtl/>
        </w:rPr>
        <w:t xml:space="preserve"> יכלו לעמוד בקצב כזה, ושאם צריך לבחור בין בקיאות ללמדנות, הלמדנות קודמת. כשמסר ר׳ יצחק </w:t>
      </w:r>
      <w:proofErr w:type="spellStart"/>
      <w:r>
        <w:rPr>
          <w:rtl/>
        </w:rPr>
        <w:t>שורין</w:t>
      </w:r>
      <w:proofErr w:type="spellEnd"/>
      <w:r>
        <w:rPr>
          <w:rtl/>
        </w:rPr>
        <w:t xml:space="preserve"> את טענת רבו לסבו, קרא הלה בכעס: “א </w:t>
      </w:r>
      <w:proofErr w:type="spellStart"/>
      <w:r>
        <w:rPr>
          <w:rtl/>
        </w:rPr>
        <w:t>סברא</w:t>
      </w:r>
      <w:proofErr w:type="spellEnd"/>
      <w:r>
        <w:rPr>
          <w:rtl/>
        </w:rPr>
        <w:t xml:space="preserve"> אהין, א </w:t>
      </w:r>
      <w:proofErr w:type="spellStart"/>
      <w:r>
        <w:rPr>
          <w:rtl/>
        </w:rPr>
        <w:t>סברא</w:t>
      </w:r>
      <w:proofErr w:type="spellEnd"/>
      <w:r>
        <w:rPr>
          <w:rtl/>
        </w:rPr>
        <w:t xml:space="preserve"> </w:t>
      </w:r>
      <w:proofErr w:type="spellStart"/>
      <w:r>
        <w:rPr>
          <w:rtl/>
        </w:rPr>
        <w:t>אהער</w:t>
      </w:r>
      <w:proofErr w:type="spellEnd"/>
      <w:r>
        <w:rPr>
          <w:rtl/>
        </w:rPr>
        <w:t xml:space="preserve"> [סברה לשם, סברה לכאן]: איך אפשר לומר סברה בלי לדעת גמרא?!”</w:t>
      </w:r>
      <w:bookmarkStart w:id="2126" w:name="_fnr1339"/>
      <w:r>
        <w:rPr>
          <w:rStyle w:val="a5"/>
        </w:rPr>
        <w:footnoteReference w:id="1342" w:customMarkFollows="0"/>
      </w:r>
      <w:bookmarkEnd w:id="2126"/>
    </w:p>
    <w:p w14:paraId="6C7B7EB2" w14:textId="77777777" w:rsidR="00AB3647" w:rsidRDefault="00000000" w:rsidP="007923E9">
      <w:pPr>
        <w:spacing w:after="100" w:line="276" w:lineRule="auto"/>
        <w:ind w:firstLine="340"/>
        <w:jc w:val="both"/>
      </w:pPr>
      <w:r>
        <w:rPr>
          <w:rtl/>
        </w:rPr>
        <w:t xml:space="preserve">מעניין שזמן קצר אחרי שסיפר ר׳ יצחק </w:t>
      </w:r>
      <w:proofErr w:type="spellStart"/>
      <w:r>
        <w:rPr>
          <w:rtl/>
        </w:rPr>
        <w:t>שורין</w:t>
      </w:r>
      <w:proofErr w:type="spellEnd"/>
      <w:r>
        <w:rPr>
          <w:rtl/>
        </w:rPr>
        <w:t xml:space="preserve"> לרבו על חילופי הדברים, הזדמן הרב </w:t>
      </w:r>
      <w:proofErr w:type="spellStart"/>
      <w:r>
        <w:rPr>
          <w:rtl/>
        </w:rPr>
        <w:t>למונסי</w:t>
      </w:r>
      <w:proofErr w:type="spellEnd"/>
      <w:r>
        <w:rPr>
          <w:rtl/>
        </w:rPr>
        <w:t>, ושם ביקר לראשונה אצל רבנו. הוא סיפר לתלמידו: “באתי בלי לקבוע פגישה, ומעולם לא ראיתי אדם גדול כל כך! שאלתי אותו איזו דרך לימוד עלי לקדם, והוא אמר: ‘אינני קובע מדיניות לישיבת רבנו חיים ברלין.’” אף שרגשותיו של אבי בעניין היו עזים, הוא לא חרג מכללי הנימוס, בהתאם לכלל “דרך ארץ קדמה לתורה”</w:t>
      </w:r>
      <w:bookmarkStart w:id="2127" w:name="_fnr1340"/>
      <w:r>
        <w:rPr>
          <w:rStyle w:val="a5"/>
        </w:rPr>
        <w:footnoteReference w:id="1343" w:customMarkFollows="0"/>
      </w:r>
      <w:bookmarkEnd w:id="2127"/>
      <w:r>
        <w:rPr>
          <w:rtl/>
        </w:rPr>
        <w:t>, ולא התערב בישיבה שלא נשא בה תפקיד.</w:t>
      </w:r>
    </w:p>
    <w:p w14:paraId="58B85D10" w14:textId="77777777" w:rsidR="00AB3647" w:rsidRDefault="00000000" w:rsidP="007923E9">
      <w:pPr>
        <w:spacing w:after="100" w:line="276" w:lineRule="auto"/>
        <w:ind w:firstLine="340"/>
        <w:jc w:val="both"/>
      </w:pPr>
      <w:r>
        <w:rPr>
          <w:rtl/>
        </w:rPr>
        <w:t xml:space="preserve">דוגמה נוספת, אולי נוקבת יותר, להקפדתו על סדרי התפקידים זכר תלמיד בישיבה מסוימת שאבי הכיר. התלמיד בא אל אבי בשנות פרישתו </w:t>
      </w:r>
      <w:proofErr w:type="spellStart"/>
      <w:r>
        <w:rPr>
          <w:rtl/>
        </w:rPr>
        <w:t>במונסי</w:t>
      </w:r>
      <w:proofErr w:type="spellEnd"/>
      <w:r>
        <w:rPr>
          <w:rtl/>
        </w:rPr>
        <w:t xml:space="preserve"> ושאל אם מותר לו להירשם לתוכנית ממשלתית, כפי שביקש ממנו משרד הישיבה. לדברי המרואיין, אבי “גילה קוצר רוח [כלפיו] ואמר: ‘יש לך ראש ישיבה בישיבתך; אולי אינו הצדיק הגדול ביותר</w:t>
      </w:r>
      <w:bookmarkStart w:id="2128" w:name="_fnr1341"/>
      <w:r>
        <w:rPr>
          <w:rStyle w:val="a5"/>
        </w:rPr>
        <w:footnoteReference w:id="1344" w:customMarkFollows="0"/>
      </w:r>
      <w:bookmarkEnd w:id="2128"/>
      <w:r>
        <w:rPr>
          <w:rtl/>
        </w:rPr>
        <w:t>, אבל הוא ראש הישיבה שלך. שאל אותו!’”</w:t>
      </w:r>
    </w:p>
    <w:p w14:paraId="33D705F5" w14:textId="77777777" w:rsidR="00AB3647" w:rsidRDefault="00000000" w:rsidP="007923E9">
      <w:pPr>
        <w:spacing w:after="100" w:line="276" w:lineRule="auto"/>
        <w:ind w:firstLine="340"/>
        <w:jc w:val="both"/>
      </w:pPr>
      <w:r>
        <w:rPr>
          <w:rtl/>
        </w:rPr>
        <w:t xml:space="preserve">על דרך הלימוד </w:t>
      </w:r>
      <w:proofErr w:type="spellStart"/>
      <w:r>
        <w:rPr>
          <w:rtl/>
        </w:rPr>
        <w:t>בסלבודקה</w:t>
      </w:r>
      <w:proofErr w:type="spellEnd"/>
      <w:r>
        <w:rPr>
          <w:rtl/>
        </w:rPr>
        <w:t xml:space="preserve"> הוסיף ר׳ מרדכי שיין את דברי רבנו: “</w:t>
      </w:r>
      <w:r>
        <w:rPr>
          <w:b/>
          <w:bCs/>
          <w:rtl/>
        </w:rPr>
        <w:t>למדנו וחזרנו</w:t>
      </w:r>
      <w:r>
        <w:rPr>
          <w:rtl/>
        </w:rPr>
        <w:t xml:space="preserve">. ביקשנו לדעת מה אומרת הגמרא, לא למצוא בעיות.” הדבר תואם את הסברו ליכולתם של תלמידי </w:t>
      </w:r>
      <w:proofErr w:type="spellStart"/>
      <w:r>
        <w:rPr>
          <w:rtl/>
        </w:rPr>
        <w:t>סלבודקה</w:t>
      </w:r>
      <w:proofErr w:type="spellEnd"/>
      <w:r>
        <w:rPr>
          <w:rtl/>
        </w:rPr>
        <w:t xml:space="preserve"> להספיק הרבה יותר מתלמידי הישיבות כיום, כמו שסיפר לעיל ר׳ יצחק </w:t>
      </w:r>
      <w:proofErr w:type="spellStart"/>
      <w:r>
        <w:rPr>
          <w:rtl/>
        </w:rPr>
        <w:t>שורין</w:t>
      </w:r>
      <w:proofErr w:type="spellEnd"/>
      <w:r>
        <w:rPr>
          <w:rtl/>
        </w:rPr>
        <w:t xml:space="preserve">. “אם </w:t>
      </w:r>
      <w:r>
        <w:rPr>
          <w:rtl/>
        </w:rPr>
        <w:lastRenderedPageBreak/>
        <w:t xml:space="preserve">היו לנו שאלות, דיברנו עליהן עם בחור מבוגר בדרכנו </w:t>
      </w:r>
      <w:proofErr w:type="spellStart"/>
      <w:r>
        <w:rPr>
          <w:rtl/>
        </w:rPr>
        <w:t>לאכסניה</w:t>
      </w:r>
      <w:proofErr w:type="spellEnd"/>
      <w:r>
        <w:rPr>
          <w:rtl/>
        </w:rPr>
        <w:t xml:space="preserve"> ובחזרה, ואמרו לנו באילו ספרים נשאלו השאלות – ומצאנו זמן לעיין בתשובותיהם”, סיים רבנו.</w:t>
      </w:r>
    </w:p>
    <w:bookmarkStart w:id="2129" w:name="b3_note130"/>
    <w:p w14:paraId="5B0C44FF" w14:textId="77777777" w:rsidR="00AB3647" w:rsidRDefault="00000000" w:rsidP="007923E9">
      <w:pPr>
        <w:spacing w:before="120" w:after="100" w:line="276" w:lineRule="auto"/>
        <w:jc w:val="both"/>
      </w:pPr>
      <w:r>
        <w:fldChar w:fldCharType="begin" w:dirty="true"/>
      </w:r>
      <w:r>
        <w:instrText>HYPERLINK \l "b3_ref130"</w:instrText>
      </w:r>
      <w:r>
        <w:fldChar w:fldCharType="separate"/>
      </w:r>
      <w:r>
        <w:rPr>
          <w:b/>
          <w:bCs/>
          <w:rtl/>
        </w:rPr>
        <w:t>130</w:t>
      </w:r>
      <w:r>
        <w:rPr>
          <w:b/>
          <w:bCs/>
        </w:rPr>
        <w:fldChar w:fldCharType="end"/>
      </w:r>
      <w:bookmarkEnd w:id="2129"/>
      <w:r>
        <w:rPr>
          <w:rtl/>
        </w:rPr>
        <w:t xml:space="preserve"> אבי סיפר</w:t>
      </w:r>
      <w:bookmarkStart w:id="2130" w:name="_fnr1342"/>
      <w:r>
        <w:rPr>
          <w:rStyle w:val="a5"/>
        </w:rPr>
        <w:footnoteReference w:id="1345" w:customMarkFollows="0"/>
      </w:r>
      <w:bookmarkEnd w:id="2130"/>
      <w:r>
        <w:rPr>
          <w:rtl/>
        </w:rPr>
        <w:t xml:space="preserve"> שזמן קצר לאחר שהתמנה לרב </w:t>
      </w:r>
      <w:proofErr w:type="spellStart"/>
      <w:r>
        <w:rPr>
          <w:rtl/>
        </w:rPr>
        <w:t>ציטוביאן</w:t>
      </w:r>
      <w:proofErr w:type="spellEnd"/>
      <w:r>
        <w:rPr>
          <w:rtl/>
        </w:rPr>
        <w:t xml:space="preserve"> בקיץ תרפ״ו היה עליו לפסוק על כשרותו של צבע </w:t>
      </w:r>
      <w:proofErr w:type="spellStart"/>
      <w:r>
        <w:rPr>
          <w:rtl/>
        </w:rPr>
        <w:t>הקוכיניאל</w:t>
      </w:r>
      <w:proofErr w:type="spellEnd"/>
      <w:r>
        <w:rPr>
          <w:rtl/>
        </w:rPr>
        <w:t xml:space="preserve">. הוא סיפר כיצד הגיע להכרעתו, והוסיף: “אחר כך מצאתי </w:t>
      </w:r>
      <w:proofErr w:type="spellStart"/>
      <w:r>
        <w:rPr>
          <w:rtl/>
        </w:rPr>
        <w:t>ששו״ת</w:t>
      </w:r>
      <w:proofErr w:type="spellEnd"/>
      <w:r>
        <w:rPr>
          <w:rtl/>
        </w:rPr>
        <w:t xml:space="preserve"> ‘נודע ביהודה’ פוסק באותו אופן. לא הכרתי את </w:t>
      </w:r>
      <w:proofErr w:type="spellStart"/>
      <w:r>
        <w:rPr>
          <w:rtl/>
        </w:rPr>
        <w:t>ה‘נודע</w:t>
      </w:r>
      <w:proofErr w:type="spellEnd"/>
      <w:r>
        <w:rPr>
          <w:rtl/>
        </w:rPr>
        <w:t xml:space="preserve"> ביהודה’</w:t>
      </w:r>
      <w:bookmarkStart w:id="2131" w:name="_fnr1343"/>
      <w:r>
        <w:rPr>
          <w:rStyle w:val="a5"/>
        </w:rPr>
        <w:footnoteReference w:id="1346" w:customMarkFollows="0"/>
      </w:r>
      <w:bookmarkEnd w:id="2131"/>
      <w:r>
        <w:rPr>
          <w:rtl/>
        </w:rPr>
        <w:t xml:space="preserve">, מפני </w:t>
      </w:r>
      <w:proofErr w:type="spellStart"/>
      <w:r>
        <w:rPr>
          <w:rtl/>
        </w:rPr>
        <w:t>שבסלבודקה</w:t>
      </w:r>
      <w:proofErr w:type="spellEnd"/>
      <w:r>
        <w:rPr>
          <w:rtl/>
        </w:rPr>
        <w:t xml:space="preserve"> לא עיינו באחרונים – רק בראשונים היסודיים המעטים!</w:t>
      </w:r>
      <w:bookmarkStart w:id="2132" w:name="_fnr1344"/>
      <w:r>
        <w:rPr>
          <w:rStyle w:val="a5"/>
        </w:rPr>
        <w:footnoteReference w:id="1347" w:customMarkFollows="0"/>
      </w:r>
      <w:bookmarkEnd w:id="2132"/>
      <w:r>
        <w:rPr>
          <w:rtl/>
        </w:rPr>
        <w:t>” בני משפחתו של ר׳ מנחם פר המנוח</w:t>
      </w:r>
      <w:bookmarkStart w:id="2133" w:name="_fnr1345"/>
      <w:r>
        <w:rPr>
          <w:rStyle w:val="a5"/>
        </w:rPr>
        <w:footnoteReference w:id="1348" w:customMarkFollows="0"/>
      </w:r>
      <w:bookmarkEnd w:id="2133"/>
      <w:r>
        <w:rPr>
          <w:rtl/>
        </w:rPr>
        <w:t xml:space="preserve"> מסרו בשמו שהסבא אמר כי ריבוי ספרים “גורם שלא ללמוד”. כוונת הסבא הייתה שהעיסוק במה שאינו גמרא וראשונים יסודיים מונע מן האדם לדעת ש״ס.</w:t>
      </w:r>
    </w:p>
    <w:bookmarkStart w:id="2134" w:name="b3_note131"/>
    <w:p w14:paraId="00BFBEEF" w14:textId="77777777" w:rsidR="00AB3647" w:rsidRDefault="00000000" w:rsidP="007923E9">
      <w:pPr>
        <w:spacing w:before="120" w:after="100" w:line="276" w:lineRule="auto"/>
        <w:jc w:val="both"/>
      </w:pPr>
      <w:r>
        <w:fldChar w:fldCharType="begin" w:dirty="true"/>
      </w:r>
      <w:r>
        <w:instrText>HYPERLINK \l "b3_ref131"</w:instrText>
      </w:r>
      <w:r>
        <w:fldChar w:fldCharType="separate"/>
      </w:r>
      <w:r>
        <w:rPr>
          <w:b/>
          <w:bCs/>
          <w:rtl/>
        </w:rPr>
        <w:t>131</w:t>
      </w:r>
      <w:r>
        <w:rPr>
          <w:b/>
          <w:bCs/>
        </w:rPr>
        <w:fldChar w:fldCharType="end"/>
      </w:r>
      <w:bookmarkEnd w:id="2134"/>
      <w:r>
        <w:rPr>
          <w:rtl/>
        </w:rPr>
        <w:t xml:space="preserve"> אבי אמר לי: “מי עיין </w:t>
      </w:r>
      <w:proofErr w:type="spellStart"/>
      <w:r>
        <w:rPr>
          <w:rtl/>
        </w:rPr>
        <w:t>ב‘חידושי</w:t>
      </w:r>
      <w:proofErr w:type="spellEnd"/>
      <w:r>
        <w:rPr>
          <w:rtl/>
        </w:rPr>
        <w:t xml:space="preserve"> רבי עקיבא איגר’?! אם היה בישיבה ספר אחד כזה או שניים בשביל 450 בחורים, כמה תלמידים יכלו לראות אותם? התלמידים למדו גמרא, וזה הכול.”</w:t>
      </w:r>
    </w:p>
    <w:p w14:paraId="570C9790" w14:textId="77777777" w:rsidR="00AB3647" w:rsidRDefault="00000000" w:rsidP="007923E9">
      <w:pPr>
        <w:spacing w:before="120" w:after="100" w:line="276" w:lineRule="auto"/>
        <w:jc w:val="both"/>
      </w:pPr>
      <w:r>
        <w:rPr>
          <w:rtl/>
        </w:rPr>
        <w:t xml:space="preserve">ר׳ אליהו </w:t>
      </w:r>
      <w:proofErr w:type="spellStart"/>
      <w:r>
        <w:rPr>
          <w:rtl/>
        </w:rPr>
        <w:t>קושלבסקי</w:t>
      </w:r>
      <w:proofErr w:type="spellEnd"/>
      <w:r>
        <w:rPr>
          <w:rtl/>
        </w:rPr>
        <w:t xml:space="preserve"> תיאר כך את זמינות הספרים בכנסת ישראל שלאחר מלחמת העולם הראשונה: “בזמני </w:t>
      </w:r>
      <w:proofErr w:type="spellStart"/>
      <w:r>
        <w:rPr>
          <w:rtl/>
        </w:rPr>
        <w:t>בסלבודקה</w:t>
      </w:r>
      <w:proofErr w:type="spellEnd"/>
      <w:r>
        <w:rPr>
          <w:rtl/>
        </w:rPr>
        <w:t xml:space="preserve">, עשרים שנה אחרי המאורעות שאתה מתאר, עדיין לא היו ספרים רבים, אף שהיו די כרכים של ‘חידושי רבי עקיבא איגר’. לא שכל אחד למד בו בדקדקנות כה רבה, אבל הוא עמד לרשות כל מי שרצה לעיין בו. היה בישיבה חדר צדדי, </w:t>
      </w:r>
      <w:proofErr w:type="spellStart"/>
      <w:r>
        <w:rPr>
          <w:rtl/>
        </w:rPr>
        <w:t>שטיבעל</w:t>
      </w:r>
      <w:proofErr w:type="spellEnd"/>
      <w:r>
        <w:rPr>
          <w:rtl/>
        </w:rPr>
        <w:t xml:space="preserve">, ובו הייתה </w:t>
      </w:r>
      <w:proofErr w:type="spellStart"/>
      <w:r>
        <w:rPr>
          <w:rtl/>
        </w:rPr>
        <w:t>ה‘עז״ת</w:t>
      </w:r>
      <w:proofErr w:type="spellEnd"/>
      <w:r>
        <w:rPr>
          <w:rtl/>
        </w:rPr>
        <w:t xml:space="preserve">׳ [ראשי תיבות של עזרת תורה], ושם היו כל הספרים נעולים. מלבד זאת היו בבית המדרש הספרים הנוגעים למסכת שנלמדה – רק כמה ‘פני יהושע’, ‘שיטה מקובצת’, ‘רבי עקיבא איגר’, ‘קצות’, ‘נתיבות’ וכדומה. אם כרך היה בשימוש, המתינו מעט. מי שרצה לעיין בספר מיוחד ביקש מן הגבאי את המפתח, ונשאר [בחדר] </w:t>
      </w:r>
      <w:proofErr w:type="spellStart"/>
      <w:r>
        <w:rPr>
          <w:rtl/>
        </w:rPr>
        <w:t>העז״ת</w:t>
      </w:r>
      <w:proofErr w:type="spellEnd"/>
      <w:r>
        <w:rPr>
          <w:rtl/>
        </w:rPr>
        <w:t xml:space="preserve"> לעיין במה שביקש. רק לעיתים נדירות אפשר היה לקבל רשות להוציא את הכרך ממקומו אל המושב בבית המדרש. כנראה חל גידול קטן במספר הספרים בישיבה בשני העשורים האלה, אבל המצב הכללי שתיאר ראש הישיבה רבנו נמשך גם בזמני: ספר עדיין היה פריט חשוב. בימיי עבר בין התלמידים גם כרך של </w:t>
      </w:r>
      <w:proofErr w:type="spellStart"/>
      <w:r>
        <w:rPr>
          <w:rtl/>
        </w:rPr>
        <w:t>ה‘מאירי</w:t>
      </w:r>
      <w:proofErr w:type="spellEnd"/>
      <w:r>
        <w:rPr>
          <w:rtl/>
        </w:rPr>
        <w:t xml:space="preserve">’ – שלא כבימיו – וכמובן </w:t>
      </w:r>
      <w:proofErr w:type="spellStart"/>
      <w:r>
        <w:rPr>
          <w:rtl/>
        </w:rPr>
        <w:t>ה‘רשב״א</w:t>
      </w:r>
      <w:proofErr w:type="spellEnd"/>
      <w:r>
        <w:rPr>
          <w:rtl/>
        </w:rPr>
        <w:t xml:space="preserve">׳ </w:t>
      </w:r>
      <w:proofErr w:type="spellStart"/>
      <w:r>
        <w:rPr>
          <w:rtl/>
        </w:rPr>
        <w:t>וה‘ריטב״א</w:t>
      </w:r>
      <w:proofErr w:type="spellEnd"/>
      <w:r>
        <w:rPr>
          <w:rtl/>
        </w:rPr>
        <w:t xml:space="preserve">׳. ‘רמב״ן׳ לא היה. אני זוכר שאחד התלמידים הגרמנים, משה </w:t>
      </w:r>
      <w:proofErr w:type="spellStart"/>
      <w:r>
        <w:rPr>
          <w:rtl/>
        </w:rPr>
        <w:t>במברגר</w:t>
      </w:r>
      <w:proofErr w:type="spellEnd"/>
      <w:r>
        <w:rPr>
          <w:rtl/>
        </w:rPr>
        <w:t xml:space="preserve">, נכדו של בעל ‘ערוך לנר’, צדיק שלמד בשקידה יוצאת דופן ולימים היה </w:t>
      </w:r>
      <w:proofErr w:type="spellStart"/>
      <w:r>
        <w:rPr>
          <w:rtl/>
        </w:rPr>
        <w:t>בגייטסהד</w:t>
      </w:r>
      <w:proofErr w:type="spellEnd"/>
      <w:r>
        <w:rPr>
          <w:rtl/>
        </w:rPr>
        <w:t>, הביא לישיבה את ספרו של סבו. אפילו ספר כמו ‘נהור שרגא’ על מסכת יבמות עבר בין התלמידים בישיבה. שפע הספרים בישיבות הופיע רק הרבה יותר מאוחר, כשהתחוללה מהפכה בתהליך הדפוס.”</w:t>
      </w:r>
    </w:p>
    <w:p w14:paraId="191F46C2" w14:textId="5C46749D" w:rsidR="00AB3647" w:rsidRDefault="00000000" w:rsidP="007923E9">
      <w:pPr>
        <w:spacing w:after="100" w:line="276" w:lineRule="auto"/>
        <w:ind w:firstLine="340"/>
        <w:jc w:val="both"/>
      </w:pPr>
      <w:r>
        <w:rPr>
          <w:rtl/>
        </w:rPr>
        <w:t xml:space="preserve">נראה שבישיבות פולין שלאחר מלחמת העולם הראשונה היה המחסור בספרים גדול מזה שתיאר הרב </w:t>
      </w:r>
      <w:proofErr w:type="spellStart"/>
      <w:r>
        <w:rPr>
          <w:rtl/>
        </w:rPr>
        <w:t>קושלבסקי</w:t>
      </w:r>
      <w:proofErr w:type="spellEnd"/>
      <w:r>
        <w:rPr>
          <w:rtl/>
        </w:rPr>
        <w:t xml:space="preserve"> בישיבת </w:t>
      </w:r>
      <w:proofErr w:type="spellStart"/>
      <w:r>
        <w:rPr>
          <w:rtl/>
        </w:rPr>
        <w:t>סלבודקה</w:t>
      </w:r>
      <w:proofErr w:type="spellEnd"/>
      <w:r>
        <w:rPr>
          <w:rtl/>
        </w:rPr>
        <w:t xml:space="preserve"> שבליטא. </w:t>
      </w:r>
      <w:proofErr w:type="spellStart"/>
      <w:r>
        <w:rPr>
          <w:rtl/>
        </w:rPr>
        <w:t>ב“תורה</w:t>
      </w:r>
      <w:proofErr w:type="spellEnd"/>
      <w:r>
        <w:rPr>
          <w:rtl/>
        </w:rPr>
        <w:t xml:space="preserve"> יבקשו מפיהו”</w:t>
      </w:r>
      <w:bookmarkStart w:id="2135" w:name="_fnr1346"/>
      <w:r>
        <w:rPr>
          <w:rStyle w:val="a5"/>
        </w:rPr>
        <w:footnoteReference w:id="1349" w:customMarkFollows="0"/>
      </w:r>
      <w:bookmarkEnd w:id="2135"/>
      <w:r>
        <w:rPr>
          <w:rtl/>
        </w:rPr>
        <w:t xml:space="preserve"> נזכר ר׳ שמואל </w:t>
      </w:r>
      <w:proofErr w:type="spellStart"/>
      <w:r>
        <w:rPr>
          <w:rtl/>
        </w:rPr>
        <w:t>גרוסברד</w:t>
      </w:r>
      <w:proofErr w:type="spellEnd"/>
      <w:r>
        <w:rPr>
          <w:rtl/>
        </w:rPr>
        <w:t xml:space="preserve">: “מחמת העוני ששרר כמעט לא היו ספרים לעיון בישיבת </w:t>
      </w:r>
      <w:proofErr w:type="spellStart"/>
      <w:r>
        <w:rPr>
          <w:rtl/>
        </w:rPr>
        <w:t>גרודנא</w:t>
      </w:r>
      <w:proofErr w:type="spellEnd"/>
      <w:r>
        <w:rPr>
          <w:rtl/>
        </w:rPr>
        <w:t xml:space="preserve">, ‘שער התורה’, </w:t>
      </w:r>
      <w:r>
        <w:rPr>
          <w:rtl/>
        </w:rPr>
        <w:lastRenderedPageBreak/>
        <w:t xml:space="preserve">ועשרות בחורים עמדו בתור כדי לקבל ספר. מקצתם קיבלו את הכרך שהמתינו לו מאוחר מאוד בלילה. ר׳ שמואל </w:t>
      </w:r>
      <w:proofErr w:type="spellStart"/>
      <w:r>
        <w:rPr>
          <w:rtl/>
        </w:rPr>
        <w:t>רוזובסקי</w:t>
      </w:r>
      <w:proofErr w:type="spellEnd"/>
      <w:r>
        <w:rPr>
          <w:rtl/>
        </w:rPr>
        <w:t xml:space="preserve"> אמר פעם שבכל ישיבת </w:t>
      </w:r>
      <w:proofErr w:type="spellStart"/>
      <w:r>
        <w:rPr>
          <w:rtl/>
        </w:rPr>
        <w:t>גרודנא</w:t>
      </w:r>
      <w:proofErr w:type="spellEnd"/>
      <w:r>
        <w:rPr>
          <w:rtl/>
        </w:rPr>
        <w:t xml:space="preserve"> היה ‘</w:t>
      </w:r>
      <w:proofErr w:type="spellStart"/>
      <w:r>
        <w:rPr>
          <w:rtl/>
        </w:rPr>
        <w:t>רשב״א</w:t>
      </w:r>
      <w:proofErr w:type="spellEnd"/>
      <w:r>
        <w:rPr>
          <w:rtl/>
        </w:rPr>
        <w:t xml:space="preserve"> קרוע אחד’.” השווה גם הערה </w:t>
      </w:r>
      <w:r>
        <w:rPr>
          <w:rtl/>
        </w:rPr>
        <w:fldChar w:fldCharType="begin" w:dirty="true"/>
      </w:r>
      <w:r>
        <w:rPr>
          <w:rtl/>
        </w:rPr>
        <w:instrText xml:space="preserve"> REF b3_note93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93</w:t>
      </w:r>
      <w:r>
        <w:rPr>
          <w:rtl/>
        </w:rPr>
        <w:fldChar w:fldCharType="end"/>
      </w:r>
      <w:r>
        <w:rPr>
          <w:rtl/>
        </w:rPr>
        <w:t xml:space="preserve"> לעיל, על זמינותם של ספרי מוסר </w:t>
      </w:r>
      <w:proofErr w:type="spellStart"/>
      <w:r>
        <w:rPr>
          <w:rtl/>
        </w:rPr>
        <w:t>בסלבודקה</w:t>
      </w:r>
      <w:proofErr w:type="spellEnd"/>
      <w:r>
        <w:rPr>
          <w:rtl/>
        </w:rPr>
        <w:t xml:space="preserve"> בזמנו של אבי, ועל מצב הגמרות שני עשורים לפני זמנו.</w:t>
      </w:r>
    </w:p>
    <w:p w14:paraId="5FEA3E71" w14:textId="793B6934"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ר׳ חיים </w:t>
      </w:r>
      <w:proofErr w:type="spellStart"/>
      <w:r>
        <w:rPr>
          <w:rtl/>
        </w:rPr>
        <w:t>סולובייצ׳יק</w:t>
      </w:r>
      <w:proofErr w:type="spellEnd"/>
      <w:r>
        <w:rPr>
          <w:rtl/>
        </w:rPr>
        <w:t xml:space="preserve"> היה הפופולרי שבראשי הישיבות במאה ההיא. עיקרי השיעורים שמסר </w:t>
      </w:r>
      <w:proofErr w:type="spellStart"/>
      <w:r>
        <w:rPr>
          <w:rtl/>
        </w:rPr>
        <w:t>בוולוז׳ין</w:t>
      </w:r>
      <w:proofErr w:type="spellEnd"/>
      <w:r>
        <w:rPr>
          <w:rtl/>
        </w:rPr>
        <w:t xml:space="preserve"> שני עשורים קודם לכן עברו בין תלמידי הישיבה</w:t>
      </w:r>
      <w:bookmarkStart w:id="2136" w:name="b3_ref132"/>
      <w:bookmarkEnd w:id="2136"/>
      <w:r>
        <w:rPr>
          <w:vertAlign w:val="superscript"/>
          <w:rtl/>
        </w:rPr>
        <w:fldChar w:fldCharType="begin" w:dirty="true"/>
      </w:r>
      <w:r>
        <w:rPr>
          <w:vertAlign w:val="superscript"/>
          <w:rtl/>
        </w:rPr>
        <w:instrText xml:space="preserve"> REF b3_note132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132</w:t>
      </w:r>
      <w:r>
        <w:rPr>
          <w:vertAlign w:val="superscript"/>
          <w:rtl/>
        </w:rPr>
        <w:fldChar w:fldCharType="end"/>
      </w:r>
      <w:r>
        <w:rPr>
          <w:rtl/>
        </w:rPr>
        <w:t xml:space="preserve">, אף שדווקא בראש הישיבה המתחרה, כנסת בית יצחק, עמד תלמידו הגדול של ר׳ חיים. זמן קצר לפני בואו של </w:t>
      </w:r>
      <w:proofErr w:type="spellStart"/>
      <w:r>
        <w:rPr>
          <w:rtl/>
        </w:rPr>
        <w:t>הדולהינובר</w:t>
      </w:r>
      <w:proofErr w:type="spellEnd"/>
      <w:r>
        <w:rPr>
          <w:rtl/>
        </w:rPr>
        <w:t xml:space="preserve"> החל הסבא לעודד את תלמידיו, אומנם בזהירות</w:t>
      </w:r>
      <w:bookmarkStart w:id="2137" w:name="b3_ref133"/>
      <w:bookmarkEnd w:id="2137"/>
      <w:r>
        <w:rPr>
          <w:vertAlign w:val="superscript"/>
          <w:rtl/>
        </w:rPr>
        <w:fldChar w:fldCharType="begin" w:dirty="true"/>
      </w:r>
      <w:r>
        <w:rPr>
          <w:vertAlign w:val="superscript"/>
          <w:rtl/>
        </w:rPr>
        <w:instrText xml:space="preserve"> REF b3_note133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133</w:t>
      </w:r>
      <w:r>
        <w:rPr>
          <w:vertAlign w:val="superscript"/>
          <w:rtl/>
        </w:rPr>
        <w:fldChar w:fldCharType="end"/>
      </w:r>
      <w:r>
        <w:rPr>
          <w:rtl/>
        </w:rPr>
        <w:t>, להשתתף בשיעורים בכנסת בית יצחק. הבאים החדשים הצטרפו למספר הניכר של תלמידי כנסת ישראל שפקדו את שיעוריו של ר׳ ברוך־בער</w:t>
      </w:r>
      <w:bookmarkStart w:id="2138" w:name="b3_ref134"/>
      <w:bookmarkEnd w:id="2138"/>
      <w:r>
        <w:rPr>
          <w:vertAlign w:val="superscript"/>
          <w:rtl/>
        </w:rPr>
        <w:fldChar w:fldCharType="begin" w:dirty="true"/>
      </w:r>
      <w:r>
        <w:rPr>
          <w:vertAlign w:val="superscript"/>
          <w:rtl/>
        </w:rPr>
        <w:instrText xml:space="preserve"> REF b3_note134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134</w:t>
      </w:r>
      <w:r>
        <w:rPr>
          <w:vertAlign w:val="superscript"/>
          <w:rtl/>
        </w:rPr>
        <w:fldChar w:fldCharType="end"/>
      </w:r>
      <w:r>
        <w:rPr>
          <w:rtl/>
        </w:rPr>
        <w:t>, ונהנו הן מבהירותו המופלאה בהסברה</w:t>
      </w:r>
      <w:bookmarkStart w:id="2139" w:name="b3_ref135"/>
      <w:bookmarkEnd w:id="2139"/>
      <w:r>
        <w:rPr>
          <w:vertAlign w:val="superscript"/>
          <w:rtl/>
        </w:rPr>
        <w:fldChar w:fldCharType="begin" w:dirty="true"/>
      </w:r>
      <w:r>
        <w:rPr>
          <w:vertAlign w:val="superscript"/>
          <w:rtl/>
        </w:rPr>
        <w:instrText xml:space="preserve"> REF b3_note135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135</w:t>
      </w:r>
      <w:r>
        <w:rPr>
          <w:vertAlign w:val="superscript"/>
          <w:rtl/>
        </w:rPr>
        <w:fldChar w:fldCharType="end"/>
      </w:r>
      <w:r>
        <w:rPr>
          <w:rtl/>
        </w:rPr>
        <w:t xml:space="preserve"> והן מן הקשר שבו חיבר את שומעיו לתורתו</w:t>
      </w:r>
      <w:bookmarkStart w:id="2140" w:name="b3_ref137"/>
      <w:bookmarkEnd w:id="2140"/>
      <w:r>
        <w:rPr>
          <w:vertAlign w:val="superscript"/>
          <w:rtl/>
        </w:rPr>
        <w:fldChar w:fldCharType="begin" w:dirty="true"/>
      </w:r>
      <w:r>
        <w:rPr>
          <w:vertAlign w:val="superscript"/>
          <w:rtl/>
        </w:rPr>
        <w:instrText xml:space="preserve"> REF b3_note136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136</w:t>
      </w:r>
      <w:r>
        <w:rPr>
          <w:vertAlign w:val="superscript"/>
          <w:rtl/>
        </w:rPr>
        <w:fldChar w:fldCharType="end"/>
      </w:r>
      <w:r>
        <w:rPr>
          <w:rtl/>
        </w:rPr>
        <w:t xml:space="preserve"> של רבו האהוד</w:t>
      </w:r>
      <w:bookmarkStart w:id="2141" w:name="b3_ref136"/>
      <w:bookmarkEnd w:id="2141"/>
      <w:r>
        <w:rPr>
          <w:vertAlign w:val="superscript"/>
          <w:rtl/>
        </w:rPr>
        <w:fldChar w:fldCharType="begin" w:dirty="true"/>
      </w:r>
      <w:r>
        <w:rPr>
          <w:vertAlign w:val="superscript"/>
          <w:rtl/>
        </w:rPr>
        <w:instrText xml:space="preserve"> REF b3_note137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137</w:t>
      </w:r>
      <w:r>
        <w:rPr>
          <w:vertAlign w:val="superscript"/>
          <w:rtl/>
        </w:rPr>
        <w:fldChar w:fldCharType="end"/>
      </w:r>
      <w:r>
        <w:rPr>
          <w:rtl/>
        </w:rPr>
        <w:t>.</w:t>
      </w:r>
    </w:p>
    <w:bookmarkStart w:id="2142" w:name="b3_note132"/>
    <w:p w14:paraId="386A5735" w14:textId="773FE6B9" w:rsidR="00AB3647" w:rsidRDefault="00000000" w:rsidP="007923E9">
      <w:pPr>
        <w:spacing w:before="120" w:after="100" w:line="276" w:lineRule="auto"/>
        <w:jc w:val="both"/>
      </w:pPr>
      <w:r>
        <w:fldChar w:fldCharType="begin" w:dirty="true"/>
      </w:r>
      <w:r>
        <w:instrText>HYPERLINK \l "b3_ref132"</w:instrText>
      </w:r>
      <w:r>
        <w:fldChar w:fldCharType="separate"/>
      </w:r>
      <w:r>
        <w:rPr>
          <w:b/>
          <w:bCs/>
          <w:rtl/>
        </w:rPr>
        <w:t>132</w:t>
      </w:r>
      <w:r>
        <w:rPr>
          <w:b/>
          <w:bCs/>
        </w:rPr>
        <w:fldChar w:fldCharType="end"/>
      </w:r>
      <w:bookmarkEnd w:id="2142"/>
      <w:r>
        <w:rPr>
          <w:rtl/>
        </w:rPr>
        <w:t xml:space="preserve"> ראה </w:t>
      </w:r>
      <w:r>
        <w:rPr>
          <w:rtl/>
        </w:rPr>
        <w:fldChar w:fldCharType="begin" w:dirty="true"/>
      </w:r>
      <w:r>
        <w:rPr>
          <w:rtl/>
        </w:rPr>
        <w:instrText xml:space="preserve"> REF b3_excEE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לא</w:t>
      </w:r>
      <w:r>
        <w:rPr>
          <w:rtl/>
        </w:rPr>
        <w:fldChar w:fldCharType="end"/>
      </w:r>
      <w:r>
        <w:rPr>
          <w:rtl/>
        </w:rPr>
        <w:t>.</w:t>
      </w:r>
    </w:p>
    <w:bookmarkStart w:id="2143" w:name="b3_note133"/>
    <w:p w14:paraId="62A06425" w14:textId="77777777" w:rsidR="00AB3647" w:rsidRDefault="00000000" w:rsidP="007923E9">
      <w:pPr>
        <w:spacing w:before="120" w:after="100" w:line="276" w:lineRule="auto"/>
        <w:jc w:val="both"/>
      </w:pPr>
      <w:r>
        <w:fldChar w:fldCharType="begin" w:dirty="true"/>
      </w:r>
      <w:r>
        <w:instrText>HYPERLINK \l "b3_ref133"</w:instrText>
      </w:r>
      <w:r>
        <w:fldChar w:fldCharType="separate"/>
      </w:r>
      <w:r>
        <w:rPr>
          <w:b/>
          <w:bCs/>
          <w:rtl/>
        </w:rPr>
        <w:t>133</w:t>
      </w:r>
      <w:r>
        <w:rPr>
          <w:b/>
          <w:bCs/>
        </w:rPr>
        <w:fldChar w:fldCharType="end"/>
      </w:r>
      <w:bookmarkEnd w:id="2143"/>
      <w:r>
        <w:rPr>
          <w:rtl/>
        </w:rPr>
        <w:t xml:space="preserve"> בריאיון על הסבא</w:t>
      </w:r>
      <w:bookmarkStart w:id="2144" w:name="_fnr1347"/>
      <w:r>
        <w:rPr>
          <w:rStyle w:val="a5"/>
        </w:rPr>
        <w:footnoteReference w:id="1350" w:customMarkFollows="0"/>
      </w:r>
      <w:bookmarkEnd w:id="2144"/>
      <w:r>
        <w:rPr>
          <w:rtl/>
        </w:rPr>
        <w:t xml:space="preserve"> סיפר אבי שהסבא היה שואל אותו, או תלמיד אחר שידע שהלך לשמוע את שיעורו של ר׳ </w:t>
      </w:r>
      <w:proofErr w:type="spellStart"/>
      <w:r>
        <w:rPr>
          <w:rtl/>
        </w:rPr>
        <w:t>ברוך־בער</w:t>
      </w:r>
      <w:proofErr w:type="spellEnd"/>
      <w:r>
        <w:rPr>
          <w:rtl/>
        </w:rPr>
        <w:t xml:space="preserve">: “היית בבית המדרש הישן? חזור לפניי על מה שנאמר שם” – כלומר, על השיעור. לדברי רבנו, בכך הראה הסבא שהייתה לו נחת רוח מכך שתלמידיו הלכו לשמוע את השיעור. אבי לא אמר זאת במפורש, אבל היה חשוב במיוחד </w:t>
      </w:r>
      <w:proofErr w:type="spellStart"/>
      <w:r>
        <w:rPr>
          <w:rtl/>
        </w:rPr>
        <w:t>לר</w:t>
      </w:r>
      <w:proofErr w:type="spellEnd"/>
      <w:r>
        <w:rPr>
          <w:rtl/>
        </w:rPr>
        <w:t xml:space="preserve">׳ </w:t>
      </w:r>
      <w:proofErr w:type="spellStart"/>
      <w:r>
        <w:rPr>
          <w:rtl/>
        </w:rPr>
        <w:t>נתן־צבי</w:t>
      </w:r>
      <w:proofErr w:type="spellEnd"/>
      <w:r>
        <w:rPr>
          <w:rtl/>
        </w:rPr>
        <w:t xml:space="preserve"> להראות את שביעות רצונו, מפני שכשנה קודם לכן, כשבא ר׳ </w:t>
      </w:r>
      <w:proofErr w:type="spellStart"/>
      <w:r>
        <w:rPr>
          <w:rtl/>
        </w:rPr>
        <w:t>ברוך־בער</w:t>
      </w:r>
      <w:proofErr w:type="spellEnd"/>
      <w:r>
        <w:rPr>
          <w:rtl/>
        </w:rPr>
        <w:t xml:space="preserve"> לראשונה </w:t>
      </w:r>
      <w:proofErr w:type="spellStart"/>
      <w:r>
        <w:rPr>
          <w:rtl/>
        </w:rPr>
        <w:t>לסלבודקה</w:t>
      </w:r>
      <w:proofErr w:type="spellEnd"/>
      <w:r>
        <w:rPr>
          <w:rtl/>
        </w:rPr>
        <w:t>, לא הסכים הסבא שתלמידיו ילכו לשמוע אותו</w:t>
      </w:r>
      <w:bookmarkStart w:id="2145" w:name="_fnr1348"/>
      <w:r>
        <w:rPr>
          <w:rStyle w:val="a5"/>
        </w:rPr>
        <w:footnoteReference w:id="1351" w:customMarkFollows="0"/>
      </w:r>
      <w:bookmarkEnd w:id="2145"/>
      <w:r>
        <w:rPr>
          <w:rtl/>
        </w:rPr>
        <w:t xml:space="preserve">. גם לאחר שהסבא </w:t>
      </w:r>
      <w:proofErr w:type="spellStart"/>
      <w:r>
        <w:rPr>
          <w:rtl/>
        </w:rPr>
        <w:t>מסלבודקה</w:t>
      </w:r>
      <w:proofErr w:type="spellEnd"/>
      <w:r>
        <w:rPr>
          <w:rtl/>
        </w:rPr>
        <w:t xml:space="preserve"> החל להראות שהוא מסכים לכך, לא נתן רשות מפורשת, שהייתה עלולה לפגוע בראש ישיבתו שלו, ר׳ </w:t>
      </w:r>
      <w:proofErr w:type="spellStart"/>
      <w:r>
        <w:rPr>
          <w:rtl/>
        </w:rPr>
        <w:t>משה־מרדכי</w:t>
      </w:r>
      <w:proofErr w:type="spellEnd"/>
      <w:r>
        <w:rPr>
          <w:rtl/>
        </w:rPr>
        <w:t xml:space="preserve"> אפשטיין.</w:t>
      </w:r>
    </w:p>
    <w:p w14:paraId="3E2EBBC1" w14:textId="6CD5D333" w:rsidR="00AB3647" w:rsidRDefault="00000000" w:rsidP="007923E9">
      <w:pPr>
        <w:spacing w:before="120" w:after="100" w:line="276" w:lineRule="auto"/>
        <w:jc w:val="both"/>
      </w:pPr>
      <w:r>
        <w:rPr>
          <w:rtl/>
        </w:rPr>
        <w:t xml:space="preserve">השווה גם בהערה </w:t>
      </w:r>
      <w:r>
        <w:rPr>
          <w:rtl/>
        </w:rPr>
        <w:fldChar w:fldCharType="begin" w:dirty="true"/>
      </w:r>
      <w:r>
        <w:rPr>
          <w:rtl/>
        </w:rPr>
        <w:instrText xml:space="preserve"> REF b3_note138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138</w:t>
      </w:r>
      <w:r>
        <w:rPr>
          <w:rtl/>
        </w:rPr>
        <w:fldChar w:fldCharType="end"/>
      </w:r>
      <w:r>
        <w:rPr>
          <w:rtl/>
        </w:rPr>
        <w:t xml:space="preserve"> להלן את הפסקה הפותחת “לא ברור מדוע”, ושם מוצעת האפשרות שר׳ </w:t>
      </w:r>
      <w:proofErr w:type="spellStart"/>
      <w:r>
        <w:rPr>
          <w:rtl/>
        </w:rPr>
        <w:t>ברוך־בער</w:t>
      </w:r>
      <w:proofErr w:type="spellEnd"/>
      <w:r>
        <w:rPr>
          <w:rtl/>
        </w:rPr>
        <w:t xml:space="preserve"> לא רצה שתלמידי כנסת ישראל ישתתפו בשיעוריו מתוך התחשבות ברגשותיו של ר׳ </w:t>
      </w:r>
      <w:proofErr w:type="spellStart"/>
      <w:r>
        <w:rPr>
          <w:rtl/>
        </w:rPr>
        <w:t>משה־מרדכי</w:t>
      </w:r>
      <w:proofErr w:type="spellEnd"/>
      <w:r>
        <w:rPr>
          <w:rtl/>
        </w:rPr>
        <w:t xml:space="preserve">. ודאי היה גם על הסבא להתחשב ברגשות אלה. בראיונו עם ר׳ </w:t>
      </w:r>
      <w:proofErr w:type="spellStart"/>
      <w:r>
        <w:rPr>
          <w:rtl/>
        </w:rPr>
        <w:t>ליפא</w:t>
      </w:r>
      <w:proofErr w:type="spellEnd"/>
      <w:r>
        <w:rPr>
          <w:rtl/>
        </w:rPr>
        <w:t xml:space="preserve"> </w:t>
      </w:r>
      <w:proofErr w:type="spellStart"/>
      <w:r>
        <w:rPr>
          <w:rtl/>
        </w:rPr>
        <w:t>גלדווערט</w:t>
      </w:r>
      <w:proofErr w:type="spellEnd"/>
      <w:r>
        <w:rPr>
          <w:rtl/>
        </w:rPr>
        <w:t xml:space="preserve"> כינה אבי את ר׳ </w:t>
      </w:r>
      <w:proofErr w:type="spellStart"/>
      <w:r>
        <w:rPr>
          <w:rtl/>
        </w:rPr>
        <w:t>ברוך־בער</w:t>
      </w:r>
      <w:proofErr w:type="spellEnd"/>
      <w:r>
        <w:rPr>
          <w:rtl/>
        </w:rPr>
        <w:t xml:space="preserve"> “הרבי” – השווה </w:t>
      </w:r>
      <w:r>
        <w:rPr>
          <w:rtl/>
        </w:rPr>
        <w:fldChar w:fldCharType="begin" w:dirty="true"/>
      </w:r>
      <w:r>
        <w:rPr>
          <w:rtl/>
        </w:rPr>
        <w:instrText xml:space="preserve"> REF b3_excS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יט</w:t>
      </w:r>
      <w:proofErr w:type="spellEnd"/>
      <w:r>
        <w:rPr>
          <w:rtl/>
        </w:rPr>
        <w:fldChar w:fldCharType="end"/>
      </w:r>
      <w:r>
        <w:rPr>
          <w:rtl/>
        </w:rPr>
        <w:t xml:space="preserve"> להלן.</w:t>
      </w:r>
    </w:p>
    <w:p w14:paraId="21E5AC90" w14:textId="77777777" w:rsidR="00AB3647" w:rsidRDefault="00000000" w:rsidP="007923E9">
      <w:pPr>
        <w:spacing w:before="120" w:after="100" w:line="276" w:lineRule="auto"/>
        <w:jc w:val="both"/>
      </w:pPr>
      <w:r>
        <w:rPr>
          <w:rtl/>
        </w:rPr>
        <w:t xml:space="preserve">ר׳ שלמה </w:t>
      </w:r>
      <w:proofErr w:type="spellStart"/>
      <w:r>
        <w:rPr>
          <w:rtl/>
        </w:rPr>
        <w:t>איידלשטיין</w:t>
      </w:r>
      <w:bookmarkStart w:id="2146" w:name="_fnr1349"/>
      <w:proofErr w:type="spellEnd"/>
      <w:r>
        <w:rPr>
          <w:rStyle w:val="a5"/>
        </w:rPr>
        <w:footnoteReference w:id="1352" w:customMarkFollows="0"/>
      </w:r>
      <w:bookmarkEnd w:id="2146"/>
      <w:r>
        <w:rPr>
          <w:rtl/>
        </w:rPr>
        <w:t xml:space="preserve"> מסר בשם ר׳ יוסף </w:t>
      </w:r>
      <w:proofErr w:type="spellStart"/>
      <w:r>
        <w:rPr>
          <w:rtl/>
        </w:rPr>
        <w:t>דינקלס</w:t>
      </w:r>
      <w:proofErr w:type="spellEnd"/>
      <w:r>
        <w:rPr>
          <w:rtl/>
        </w:rPr>
        <w:t xml:space="preserve"> – ששמע את שניהם כשלמד אצל ר׳ </w:t>
      </w:r>
      <w:proofErr w:type="spellStart"/>
      <w:r>
        <w:rPr>
          <w:rtl/>
        </w:rPr>
        <w:t>ברוך־בער</w:t>
      </w:r>
      <w:proofErr w:type="spellEnd"/>
      <w:r>
        <w:rPr>
          <w:rtl/>
        </w:rPr>
        <w:t xml:space="preserve"> בשנתיים האחרונות שלפני מלחמת העולם הראשונה – תיאור המשווה בין שיעורי ר׳ </w:t>
      </w:r>
      <w:proofErr w:type="spellStart"/>
      <w:r>
        <w:rPr>
          <w:rtl/>
        </w:rPr>
        <w:t>משה־מרדכי</w:t>
      </w:r>
      <w:proofErr w:type="spellEnd"/>
      <w:r>
        <w:rPr>
          <w:rtl/>
        </w:rPr>
        <w:t xml:space="preserve"> לשיעורי ר׳ </w:t>
      </w:r>
      <w:proofErr w:type="spellStart"/>
      <w:r>
        <w:rPr>
          <w:rtl/>
        </w:rPr>
        <w:t>ברוך־בער</w:t>
      </w:r>
      <w:proofErr w:type="spellEnd"/>
      <w:r>
        <w:rPr>
          <w:rtl/>
        </w:rPr>
        <w:t xml:space="preserve">: “בכנסת בית יצחק היו 120 בחורים, ובכנסת ישראל קרוב ל־400, ושני ראשי הישיבה אמרו את שיעוריהם בימי שלישי. אבל אצל ר׳ </w:t>
      </w:r>
      <w:proofErr w:type="spellStart"/>
      <w:r>
        <w:rPr>
          <w:rtl/>
        </w:rPr>
        <w:t>משה־מרדכי</w:t>
      </w:r>
      <w:proofErr w:type="spellEnd"/>
      <w:r>
        <w:rPr>
          <w:rtl/>
        </w:rPr>
        <w:t xml:space="preserve"> היו חמישים שומעים, ואצל רבי היו 600</w:t>
      </w:r>
      <w:bookmarkStart w:id="2147" w:name="_fnr1350"/>
      <w:r>
        <w:rPr>
          <w:rStyle w:val="a5"/>
        </w:rPr>
        <w:footnoteReference w:id="1353" w:customMarkFollows="0"/>
      </w:r>
      <w:bookmarkEnd w:id="2147"/>
      <w:r>
        <w:rPr>
          <w:rtl/>
        </w:rPr>
        <w:t xml:space="preserve">. היה הבדל באופן שבו מסרו ר׳ </w:t>
      </w:r>
      <w:proofErr w:type="spellStart"/>
      <w:r>
        <w:rPr>
          <w:rtl/>
        </w:rPr>
        <w:t>ברוך־בער</w:t>
      </w:r>
      <w:proofErr w:type="spellEnd"/>
      <w:r>
        <w:rPr>
          <w:rtl/>
        </w:rPr>
        <w:t xml:space="preserve"> ור׳ </w:t>
      </w:r>
      <w:proofErr w:type="spellStart"/>
      <w:r>
        <w:rPr>
          <w:rtl/>
        </w:rPr>
        <w:t>משה־מרדכי</w:t>
      </w:r>
      <w:proofErr w:type="spellEnd"/>
      <w:r>
        <w:rPr>
          <w:rtl/>
        </w:rPr>
        <w:t xml:space="preserve"> את שיעוריהם. שיעורו של ר׳ </w:t>
      </w:r>
      <w:proofErr w:type="spellStart"/>
      <w:r>
        <w:rPr>
          <w:rtl/>
        </w:rPr>
        <w:t>ברוך־בער</w:t>
      </w:r>
      <w:proofErr w:type="spellEnd"/>
      <w:r>
        <w:rPr>
          <w:rtl/>
        </w:rPr>
        <w:t xml:space="preserve"> נמשך שעתיים, ובאמצעו היה עשוי לעצור </w:t>
      </w:r>
      <w:r>
        <w:rPr>
          <w:rtl/>
        </w:rPr>
        <w:lastRenderedPageBreak/>
        <w:t xml:space="preserve">ולעיין בנקודה אחת במשך עשר דקות; אז היו השומעים מפנים לו דרך להלך בה תוך כדי מחשבה. כל שיעור היה רעידת אדמה! שיעורו של ר׳ </w:t>
      </w:r>
      <w:proofErr w:type="spellStart"/>
      <w:r>
        <w:rPr>
          <w:rtl/>
        </w:rPr>
        <w:t>משה־מרדכי</w:t>
      </w:r>
      <w:proofErr w:type="spellEnd"/>
      <w:r>
        <w:rPr>
          <w:rtl/>
        </w:rPr>
        <w:t xml:space="preserve"> התאפיין בכך שכאשר שאלו אותו שאלה על השיעור לאחר שהסתיים, כל מה שעשה כדי לבאר היה לחזור על המילים המדויקות שאמר בשיעור, ואז לשאול את השואל אם הבין עכשיו. אם התשובה הייתה שלילית, היה ר׳ </w:t>
      </w:r>
      <w:proofErr w:type="spellStart"/>
      <w:r>
        <w:rPr>
          <w:rtl/>
        </w:rPr>
        <w:t>משה־מרדכי</w:t>
      </w:r>
      <w:proofErr w:type="spellEnd"/>
      <w:r>
        <w:rPr>
          <w:rtl/>
        </w:rPr>
        <w:t xml:space="preserve"> חוזר שוב על שיעורו ואומר שוב: ‘נו, עכשיו אתה מבין?’ מובן שאיש לא שאל בשלישית. הסבא היה ‘דוחף’ אנשים ללכת לשמוע את ר׳ </w:t>
      </w:r>
      <w:proofErr w:type="spellStart"/>
      <w:r>
        <w:rPr>
          <w:rtl/>
        </w:rPr>
        <w:t>ברוך־בער</w:t>
      </w:r>
      <w:proofErr w:type="spellEnd"/>
      <w:r>
        <w:rPr>
          <w:rtl/>
        </w:rPr>
        <w:t>.”</w:t>
      </w:r>
    </w:p>
    <w:p w14:paraId="0319D4CD" w14:textId="77777777" w:rsidR="00AB3647" w:rsidRDefault="00000000" w:rsidP="007923E9">
      <w:pPr>
        <w:spacing w:before="120" w:after="100" w:line="276" w:lineRule="auto"/>
        <w:jc w:val="both"/>
      </w:pPr>
      <w:r>
        <w:rPr>
          <w:rtl/>
        </w:rPr>
        <w:t xml:space="preserve">גם בנו של הסבא עצמו, ר׳ </w:t>
      </w:r>
      <w:proofErr w:type="spellStart"/>
      <w:r>
        <w:rPr>
          <w:rtl/>
        </w:rPr>
        <w:t>לייזר־יודל</w:t>
      </w:r>
      <w:proofErr w:type="spellEnd"/>
      <w:r>
        <w:rPr>
          <w:rtl/>
        </w:rPr>
        <w:t xml:space="preserve">, היה בין המבקרים בשיעורי ר׳ </w:t>
      </w:r>
      <w:proofErr w:type="spellStart"/>
      <w:r>
        <w:rPr>
          <w:rtl/>
        </w:rPr>
        <w:t>ברוך־בער</w:t>
      </w:r>
      <w:proofErr w:type="spellEnd"/>
      <w:r>
        <w:rPr>
          <w:rtl/>
        </w:rPr>
        <w:t xml:space="preserve">. כך סיפר ר׳ שכנא </w:t>
      </w:r>
      <w:proofErr w:type="spellStart"/>
      <w:r>
        <w:rPr>
          <w:rtl/>
        </w:rPr>
        <w:t>זאהן</w:t>
      </w:r>
      <w:proofErr w:type="spellEnd"/>
      <w:r>
        <w:rPr>
          <w:rtl/>
        </w:rPr>
        <w:t xml:space="preserve">, אמריקאי שהלך לאירופה ללמוד אצל ר׳ </w:t>
      </w:r>
      <w:proofErr w:type="spellStart"/>
      <w:r>
        <w:rPr>
          <w:rtl/>
        </w:rPr>
        <w:t>ברוך־בער</w:t>
      </w:r>
      <w:proofErr w:type="spellEnd"/>
      <w:r>
        <w:rPr>
          <w:rtl/>
        </w:rPr>
        <w:t xml:space="preserve"> בעשור האחרון לחייו. ר׳ שכנא סיפר</w:t>
      </w:r>
      <w:bookmarkStart w:id="2148" w:name="_fnr1351"/>
      <w:r>
        <w:rPr>
          <w:rStyle w:val="a5"/>
        </w:rPr>
        <w:footnoteReference w:id="1354" w:customMarkFollows="0"/>
      </w:r>
      <w:bookmarkEnd w:id="2148"/>
      <w:r>
        <w:rPr>
          <w:rtl/>
        </w:rPr>
        <w:t xml:space="preserve"> שרבו שיבח פעם את חידושיו שלו ואמר </w:t>
      </w:r>
      <w:proofErr w:type="spellStart"/>
      <w:r>
        <w:rPr>
          <w:rtl/>
        </w:rPr>
        <w:t>ש“ראש</w:t>
      </w:r>
      <w:proofErr w:type="spellEnd"/>
      <w:r>
        <w:rPr>
          <w:rtl/>
        </w:rPr>
        <w:t xml:space="preserve"> ישיבת </w:t>
      </w:r>
      <w:proofErr w:type="spellStart"/>
      <w:r>
        <w:rPr>
          <w:rtl/>
        </w:rPr>
        <w:t>מיר</w:t>
      </w:r>
      <w:proofErr w:type="spellEnd"/>
      <w:r>
        <w:rPr>
          <w:rtl/>
        </w:rPr>
        <w:t xml:space="preserve"> (ר׳ </w:t>
      </w:r>
      <w:proofErr w:type="spellStart"/>
      <w:r>
        <w:rPr>
          <w:rtl/>
        </w:rPr>
        <w:t>לייזר־יודל</w:t>
      </w:r>
      <w:proofErr w:type="spellEnd"/>
      <w:r>
        <w:rPr>
          <w:rtl/>
        </w:rPr>
        <w:t xml:space="preserve">) ור׳ אהרן (קוטלר) היו באים לשיעוריו </w:t>
      </w:r>
      <w:proofErr w:type="spellStart"/>
      <w:r>
        <w:rPr>
          <w:rtl/>
        </w:rPr>
        <w:t>בסלבודקה</w:t>
      </w:r>
      <w:proofErr w:type="spellEnd"/>
      <w:r>
        <w:rPr>
          <w:rtl/>
        </w:rPr>
        <w:t xml:space="preserve"> (שלושים שנה קודם לכן)”. ר׳ </w:t>
      </w:r>
      <w:proofErr w:type="spellStart"/>
      <w:r>
        <w:rPr>
          <w:rtl/>
        </w:rPr>
        <w:t>לייזר־יודל</w:t>
      </w:r>
      <w:proofErr w:type="spellEnd"/>
      <w:r>
        <w:rPr>
          <w:rtl/>
        </w:rPr>
        <w:t xml:space="preserve"> כבר היה נשוי ועזב </w:t>
      </w:r>
      <w:proofErr w:type="spellStart"/>
      <w:r>
        <w:rPr>
          <w:rtl/>
        </w:rPr>
        <w:t>למיר</w:t>
      </w:r>
      <w:proofErr w:type="spellEnd"/>
      <w:r>
        <w:rPr>
          <w:rtl/>
        </w:rPr>
        <w:t xml:space="preserve"> לפני בואו של ר׳ </w:t>
      </w:r>
      <w:proofErr w:type="spellStart"/>
      <w:r>
        <w:rPr>
          <w:rtl/>
        </w:rPr>
        <w:t>ברוך־בער</w:t>
      </w:r>
      <w:proofErr w:type="spellEnd"/>
      <w:r>
        <w:rPr>
          <w:rtl/>
        </w:rPr>
        <w:t xml:space="preserve"> </w:t>
      </w:r>
      <w:proofErr w:type="spellStart"/>
      <w:r>
        <w:rPr>
          <w:rtl/>
        </w:rPr>
        <w:t>לסלבודקה</w:t>
      </w:r>
      <w:proofErr w:type="spellEnd"/>
      <w:r>
        <w:rPr>
          <w:rtl/>
        </w:rPr>
        <w:t xml:space="preserve">, ולכן מן הסתם השתתף בשיעורים רק בביקוריו המזדמנים אצל אביו בעיר. סביר שר׳ </w:t>
      </w:r>
      <w:proofErr w:type="spellStart"/>
      <w:r>
        <w:rPr>
          <w:rtl/>
        </w:rPr>
        <w:t>ברוך־בער</w:t>
      </w:r>
      <w:proofErr w:type="spellEnd"/>
      <w:r>
        <w:rPr>
          <w:rtl/>
        </w:rPr>
        <w:t xml:space="preserve"> התגאה במבקר מזדמן זה הן מפני שהיה בנו של הסבא, ומן הסתם בא לשיעור בהסכמת אביו, והן מפני שכבר באותה עת הכינו חותנו, ר׳ </w:t>
      </w:r>
      <w:proofErr w:type="spellStart"/>
      <w:r>
        <w:rPr>
          <w:rtl/>
        </w:rPr>
        <w:t>אליהו־ברוך</w:t>
      </w:r>
      <w:proofErr w:type="spellEnd"/>
      <w:r>
        <w:rPr>
          <w:rtl/>
        </w:rPr>
        <w:t xml:space="preserve"> קמאי, להיות ראש ישיבת </w:t>
      </w:r>
      <w:proofErr w:type="spellStart"/>
      <w:r>
        <w:rPr>
          <w:rtl/>
        </w:rPr>
        <w:t>מיר</w:t>
      </w:r>
      <w:bookmarkStart w:id="2149" w:name="_fnr1352"/>
      <w:proofErr w:type="spellEnd"/>
      <w:r>
        <w:rPr>
          <w:rStyle w:val="a5"/>
        </w:rPr>
        <w:footnoteReference w:id="1355" w:customMarkFollows="0"/>
      </w:r>
      <w:bookmarkEnd w:id="2149"/>
      <w:r>
        <w:rPr>
          <w:rtl/>
        </w:rPr>
        <w:t xml:space="preserve">. כשחזר ר׳ שכנא על שבחו העצמי של ר׳ </w:t>
      </w:r>
      <w:proofErr w:type="spellStart"/>
      <w:r>
        <w:rPr>
          <w:rtl/>
        </w:rPr>
        <w:t>ברוך־בער</w:t>
      </w:r>
      <w:proofErr w:type="spellEnd"/>
      <w:r>
        <w:rPr>
          <w:rtl/>
        </w:rPr>
        <w:t>, העיר: “ענוותנותו האישית הגדולה של רבי</w:t>
      </w:r>
      <w:bookmarkStart w:id="2150" w:name="_fnr1353"/>
      <w:r>
        <w:rPr>
          <w:rStyle w:val="a5"/>
        </w:rPr>
        <w:footnoteReference w:id="1356" w:customMarkFollows="0"/>
      </w:r>
      <w:bookmarkEnd w:id="2150"/>
      <w:r>
        <w:rPr>
          <w:rtl/>
        </w:rPr>
        <w:t xml:space="preserve"> לא מנעה ממנו לשבח את ‘תורתו’.”</w:t>
      </w:r>
    </w:p>
    <w:p w14:paraId="110570B3" w14:textId="77777777" w:rsidR="00AB3647" w:rsidRDefault="00000000" w:rsidP="007923E9">
      <w:pPr>
        <w:spacing w:before="120" w:after="100" w:line="276" w:lineRule="auto"/>
        <w:jc w:val="both"/>
      </w:pPr>
      <w:r>
        <w:rPr>
          <w:rtl/>
        </w:rPr>
        <w:t xml:space="preserve">הערתו זו של ר׳ שכנא מזכירה מעשה שסיפר ר׳ קופל </w:t>
      </w:r>
      <w:proofErr w:type="spellStart"/>
      <w:r>
        <w:rPr>
          <w:rtl/>
        </w:rPr>
        <w:t>וולפרט</w:t>
      </w:r>
      <w:bookmarkStart w:id="2151" w:name="_fnr1354"/>
      <w:proofErr w:type="spellEnd"/>
      <w:r>
        <w:rPr>
          <w:rStyle w:val="a5"/>
        </w:rPr>
        <w:footnoteReference w:id="1357" w:customMarkFollows="0"/>
      </w:r>
      <w:bookmarkEnd w:id="2151"/>
      <w:r>
        <w:rPr>
          <w:rtl/>
        </w:rPr>
        <w:t xml:space="preserve">, אף שר׳ קופל פירש את מעשי רבו באופן שונה מר׳ שכנא: “בכל ליל שבת הייתי מבקר אצל ר׳ </w:t>
      </w:r>
      <w:proofErr w:type="spellStart"/>
      <w:r>
        <w:rPr>
          <w:rtl/>
        </w:rPr>
        <w:t>ברוך־בער</w:t>
      </w:r>
      <w:proofErr w:type="spellEnd"/>
      <w:r>
        <w:rPr>
          <w:rtl/>
        </w:rPr>
        <w:t xml:space="preserve">, קומה אחת מתחת לאכסנייתי. היו שם ר׳ שלמה </w:t>
      </w:r>
      <w:proofErr w:type="spellStart"/>
      <w:r>
        <w:rPr>
          <w:rtl/>
        </w:rPr>
        <w:t>פאריצ׳ר</w:t>
      </w:r>
      <w:proofErr w:type="spellEnd"/>
      <w:r>
        <w:rPr>
          <w:rtl/>
        </w:rPr>
        <w:t xml:space="preserve"> [היימן], ר׳ ישראל </w:t>
      </w:r>
      <w:proofErr w:type="spellStart"/>
      <w:r>
        <w:rPr>
          <w:rtl/>
        </w:rPr>
        <w:t>פיליפובר</w:t>
      </w:r>
      <w:bookmarkStart w:id="2152" w:name="_fnr1355"/>
      <w:proofErr w:type="spellEnd"/>
      <w:r>
        <w:rPr>
          <w:rStyle w:val="a5"/>
        </w:rPr>
        <w:footnoteReference w:id="1358" w:customMarkFollows="0"/>
      </w:r>
      <w:bookmarkEnd w:id="2152"/>
      <w:r>
        <w:rPr>
          <w:rtl/>
        </w:rPr>
        <w:t xml:space="preserve">, ר׳ משה </w:t>
      </w:r>
      <w:proofErr w:type="spellStart"/>
      <w:r>
        <w:rPr>
          <w:rtl/>
        </w:rPr>
        <w:t>פינקל</w:t>
      </w:r>
      <w:proofErr w:type="spellEnd"/>
      <w:r>
        <w:rPr>
          <w:rtl/>
        </w:rPr>
        <w:t xml:space="preserve"> – שלמד אצל הרבי </w:t>
      </w:r>
      <w:proofErr w:type="spellStart"/>
      <w:r>
        <w:rPr>
          <w:rtl/>
        </w:rPr>
        <w:t>בהלוסק</w:t>
      </w:r>
      <w:proofErr w:type="spellEnd"/>
      <w:r>
        <w:rPr>
          <w:rtl/>
        </w:rPr>
        <w:t xml:space="preserve"> – ועוד כמה תלמידים. שתינו תה ודיברנו על גדולי הדור. אחד אמר: ‘ר׳ שמעון </w:t>
      </w:r>
      <w:proofErr w:type="spellStart"/>
      <w:r>
        <w:rPr>
          <w:rtl/>
        </w:rPr>
        <w:t>שקופ</w:t>
      </w:r>
      <w:proofErr w:type="spellEnd"/>
      <w:r>
        <w:rPr>
          <w:rtl/>
        </w:rPr>
        <w:t xml:space="preserve">, איזו הסברה!’, ואחר אמר: ‘ר׳ </w:t>
      </w:r>
      <w:proofErr w:type="spellStart"/>
      <w:r>
        <w:rPr>
          <w:rtl/>
        </w:rPr>
        <w:t>דוד׳ל</w:t>
      </w:r>
      <w:proofErr w:type="spellEnd"/>
      <w:r>
        <w:rPr>
          <w:rtl/>
        </w:rPr>
        <w:t xml:space="preserve"> [</w:t>
      </w:r>
      <w:proofErr w:type="spellStart"/>
      <w:r>
        <w:rPr>
          <w:rtl/>
        </w:rPr>
        <w:t>קארלינער</w:t>
      </w:r>
      <w:proofErr w:type="spellEnd"/>
      <w:r>
        <w:rPr>
          <w:rtl/>
        </w:rPr>
        <w:t xml:space="preserve">], איזו עמקות!’ עד היום אני זוכר – ואין לי תירוץ לכך – איך התרומם הרבי במושבו, רקע במגפו ואמר: ‘גם אני מבין על למדן!’ נראה שר׳ </w:t>
      </w:r>
      <w:proofErr w:type="spellStart"/>
      <w:r>
        <w:rPr>
          <w:rtl/>
        </w:rPr>
        <w:t>ברוך־בער</w:t>
      </w:r>
      <w:proofErr w:type="spellEnd"/>
      <w:r>
        <w:rPr>
          <w:rtl/>
        </w:rPr>
        <w:t>, העניו, הצדיק ושומר הפה, הצטער על מה שהשתמע מדבריהם, שאין בו המעלות שייחסו תלמידיו לאחרים. כנראה אי אפשר לשקע לגמרי את האני</w:t>
      </w:r>
      <w:bookmarkStart w:id="2153" w:name="_fnr1356"/>
      <w:r>
        <w:rPr>
          <w:rStyle w:val="a5"/>
        </w:rPr>
        <w:footnoteReference w:id="1359" w:customMarkFollows="0"/>
      </w:r>
      <w:bookmarkEnd w:id="2153"/>
      <w:r>
        <w:rPr>
          <w:rtl/>
        </w:rPr>
        <w:t>.”</w:t>
      </w:r>
    </w:p>
    <w:bookmarkStart w:id="2154" w:name="b3_note134"/>
    <w:p w14:paraId="18C14DA9" w14:textId="62143660" w:rsidR="00AB3647" w:rsidRDefault="00000000" w:rsidP="007923E9">
      <w:pPr>
        <w:spacing w:before="120" w:after="100" w:line="276" w:lineRule="auto"/>
        <w:jc w:val="both"/>
      </w:pPr>
      <w:r>
        <w:lastRenderedPageBreak/>
        <w:fldChar w:fldCharType="begin" w:dirty="true"/>
      </w:r>
      <w:r>
        <w:instrText>HYPERLINK \l "b3_ref134"</w:instrText>
      </w:r>
      <w:r>
        <w:fldChar w:fldCharType="separate"/>
      </w:r>
      <w:r>
        <w:rPr>
          <w:b/>
          <w:bCs/>
          <w:rtl/>
        </w:rPr>
        <w:t>134</w:t>
      </w:r>
      <w:r>
        <w:rPr>
          <w:b/>
          <w:bCs/>
        </w:rPr>
        <w:fldChar w:fldCharType="end"/>
      </w:r>
      <w:bookmarkEnd w:id="2154"/>
      <w:r>
        <w:rPr>
          <w:rtl/>
        </w:rPr>
        <w:t xml:space="preserve"> השווה פרק 2, </w:t>
      </w:r>
      <w:r>
        <w:rPr>
          <w:rtl/>
        </w:rPr>
        <w:fldChar w:fldCharType="begin" w:dirty="true"/>
      </w:r>
      <w:r>
        <w:rPr>
          <w:rtl/>
        </w:rPr>
        <w:instrText xml:space="preserve"> REF b2_excF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ו</w:t>
      </w:r>
      <w:r>
        <w:rPr>
          <w:rtl/>
        </w:rPr>
        <w:fldChar w:fldCharType="end"/>
      </w:r>
      <w:r>
        <w:rPr>
          <w:rtl/>
        </w:rPr>
        <w:t xml:space="preserve">. לפי </w:t>
      </w:r>
      <w:proofErr w:type="spellStart"/>
      <w:r>
        <w:rPr>
          <w:rtl/>
        </w:rPr>
        <w:t>דבורץ</w:t>
      </w:r>
      <w:proofErr w:type="spellEnd"/>
      <w:r>
        <w:rPr>
          <w:rtl/>
        </w:rPr>
        <w:t>, “הגאון רבי משה מרדכי אפשטיין”</w:t>
      </w:r>
      <w:bookmarkStart w:id="2155" w:name="_fnr1357"/>
      <w:r>
        <w:rPr>
          <w:rStyle w:val="a5"/>
        </w:rPr>
        <w:footnoteReference w:id="1360" w:customMarkFollows="0"/>
      </w:r>
      <w:bookmarkEnd w:id="2155"/>
      <w:r>
        <w:rPr>
          <w:rtl/>
        </w:rPr>
        <w:t xml:space="preserve">, בצירוף מקרים, עוד לפני מינויו של ר׳ </w:t>
      </w:r>
      <w:proofErr w:type="spellStart"/>
      <w:r>
        <w:rPr>
          <w:rtl/>
        </w:rPr>
        <w:t>ברוך־בער</w:t>
      </w:r>
      <w:proofErr w:type="spellEnd"/>
      <w:r>
        <w:rPr>
          <w:rtl/>
        </w:rPr>
        <w:t xml:space="preserve"> לכנסת בית יצחק הצטרפו לכנסת ישראל “רבים מבוגרי </w:t>
      </w:r>
      <w:proofErr w:type="spellStart"/>
      <w:r>
        <w:rPr>
          <w:rtl/>
        </w:rPr>
        <w:t>ה‘קיבוץ</w:t>
      </w:r>
      <w:proofErr w:type="spellEnd"/>
      <w:r>
        <w:rPr>
          <w:rtl/>
        </w:rPr>
        <w:t xml:space="preserve">’ (שלו) </w:t>
      </w:r>
      <w:proofErr w:type="spellStart"/>
      <w:r>
        <w:rPr>
          <w:rtl/>
        </w:rPr>
        <w:t>בהלוסק</w:t>
      </w:r>
      <w:proofErr w:type="spellEnd"/>
      <w:r>
        <w:rPr>
          <w:rtl/>
        </w:rPr>
        <w:t>”</w:t>
      </w:r>
      <w:bookmarkStart w:id="2156" w:name="_fnr1358"/>
      <w:r>
        <w:rPr>
          <w:rStyle w:val="a5"/>
        </w:rPr>
        <w:footnoteReference w:id="1361" w:customMarkFollows="0"/>
      </w:r>
      <w:bookmarkEnd w:id="2156"/>
      <w:r>
        <w:rPr>
          <w:rtl/>
        </w:rPr>
        <w:t xml:space="preserve">. ייתכן שתלמידיו הקודמים של ר׳ </w:t>
      </w:r>
      <w:proofErr w:type="spellStart"/>
      <w:r>
        <w:rPr>
          <w:rtl/>
        </w:rPr>
        <w:t>ברוך־בער</w:t>
      </w:r>
      <w:proofErr w:type="spellEnd"/>
      <w:r>
        <w:rPr>
          <w:rtl/>
        </w:rPr>
        <w:t xml:space="preserve"> הם שהפיצו את שם רבם האהוב, ועוררו בחבריהם, תלמידי כנסת ישראל, את הרצון לשמוע את שיעוריו כשהגיע לעירם. מובן שכשעבר ר׳ </w:t>
      </w:r>
      <w:proofErr w:type="spellStart"/>
      <w:r>
        <w:rPr>
          <w:rtl/>
        </w:rPr>
        <w:t>ברוך־בער</w:t>
      </w:r>
      <w:proofErr w:type="spellEnd"/>
      <w:r>
        <w:rPr>
          <w:rtl/>
        </w:rPr>
        <w:t xml:space="preserve"> </w:t>
      </w:r>
      <w:proofErr w:type="spellStart"/>
      <w:r>
        <w:rPr>
          <w:rtl/>
        </w:rPr>
        <w:t>לסלבודקה</w:t>
      </w:r>
      <w:proofErr w:type="spellEnd"/>
      <w:r>
        <w:rPr>
          <w:rtl/>
        </w:rPr>
        <w:t xml:space="preserve">, הביא עמו תלמידים שנשארו ללמוד אצלו </w:t>
      </w:r>
      <w:proofErr w:type="spellStart"/>
      <w:r>
        <w:rPr>
          <w:rtl/>
        </w:rPr>
        <w:t>בהלוסק</w:t>
      </w:r>
      <w:proofErr w:type="spellEnd"/>
      <w:r>
        <w:rPr>
          <w:rtl/>
        </w:rPr>
        <w:t>.</w:t>
      </w:r>
    </w:p>
    <w:p w14:paraId="4ACD1393" w14:textId="3C76DB9D" w:rsidR="00AB3647" w:rsidRDefault="00000000" w:rsidP="007923E9">
      <w:pPr>
        <w:spacing w:before="120" w:after="100" w:line="276" w:lineRule="auto"/>
        <w:jc w:val="both"/>
      </w:pPr>
      <w:r>
        <w:rPr>
          <w:rtl/>
        </w:rPr>
        <w:t xml:space="preserve">מאמרו של </w:t>
      </w:r>
      <w:proofErr w:type="spellStart"/>
      <w:r>
        <w:rPr>
          <w:rtl/>
        </w:rPr>
        <w:t>הירש־לייב</w:t>
      </w:r>
      <w:proofErr w:type="spellEnd"/>
      <w:r>
        <w:rPr>
          <w:rtl/>
        </w:rPr>
        <w:t xml:space="preserve"> גורדון “על גדות </w:t>
      </w:r>
      <w:proofErr w:type="spellStart"/>
      <w:r>
        <w:rPr>
          <w:rtl/>
        </w:rPr>
        <w:t>הוויליה</w:t>
      </w:r>
      <w:proofErr w:type="spellEnd"/>
      <w:r>
        <w:rPr>
          <w:rtl/>
        </w:rPr>
        <w:t xml:space="preserve"> </w:t>
      </w:r>
      <w:proofErr w:type="spellStart"/>
      <w:r>
        <w:rPr>
          <w:rtl/>
        </w:rPr>
        <w:t>והנימן</w:t>
      </w:r>
      <w:proofErr w:type="spellEnd"/>
      <w:r>
        <w:rPr>
          <w:rtl/>
        </w:rPr>
        <w:t xml:space="preserve">” </w:t>
      </w:r>
      <w:proofErr w:type="spellStart"/>
      <w:r>
        <w:rPr>
          <w:rtl/>
        </w:rPr>
        <w:t>ב“הדואר</w:t>
      </w:r>
      <w:proofErr w:type="spellEnd"/>
      <w:r>
        <w:rPr>
          <w:rtl/>
        </w:rPr>
        <w:t>”</w:t>
      </w:r>
      <w:bookmarkStart w:id="2157" w:name="_fnr1359"/>
      <w:r>
        <w:rPr>
          <w:rStyle w:val="a5"/>
        </w:rPr>
        <w:footnoteReference w:id="1362" w:customMarkFollows="0"/>
      </w:r>
      <w:bookmarkEnd w:id="2157"/>
      <w:r>
        <w:rPr>
          <w:rtl/>
        </w:rPr>
        <w:t xml:space="preserve"> מתאר כך את בואם, ואת קבלת הפנים שזכו לה מן התלמידים הוותיקים בכנסת בית יצחק: “כשבא ר׳ </w:t>
      </w:r>
      <w:proofErr w:type="spellStart"/>
      <w:r>
        <w:rPr>
          <w:rtl/>
        </w:rPr>
        <w:t>ברוך־בער</w:t>
      </w:r>
      <w:proofErr w:type="spellEnd"/>
      <w:r>
        <w:rPr>
          <w:rtl/>
        </w:rPr>
        <w:t xml:space="preserve"> </w:t>
      </w:r>
      <w:proofErr w:type="spellStart"/>
      <w:r>
        <w:rPr>
          <w:rtl/>
        </w:rPr>
        <w:t>מהלוסק</w:t>
      </w:r>
      <w:proofErr w:type="spellEnd"/>
      <w:r>
        <w:rPr>
          <w:rtl/>
        </w:rPr>
        <w:t xml:space="preserve"> </w:t>
      </w:r>
      <w:proofErr w:type="spellStart"/>
      <w:r>
        <w:rPr>
          <w:rtl/>
        </w:rPr>
        <w:t>לסלבודקה</w:t>
      </w:r>
      <w:proofErr w:type="spellEnd"/>
      <w:r>
        <w:rPr>
          <w:rtl/>
        </w:rPr>
        <w:t>, הביא עמו קבוצה ממיטב תלמידיו. הם לבשו בלויי סחבות ונחשבו בעינינו לכפריים שאין בהם שמץ תרבות, ואילו אנו, תלמידי כנסת בית יצחק, התפארנו בתחכום. על מה התבססה גאוותנו איני יודע. הכינוי ‘</w:t>
      </w:r>
      <w:proofErr w:type="spellStart"/>
      <w:r>
        <w:rPr>
          <w:rtl/>
        </w:rPr>
        <w:t>הלוסקר</w:t>
      </w:r>
      <w:proofErr w:type="spellEnd"/>
      <w:r>
        <w:rPr>
          <w:rtl/>
        </w:rPr>
        <w:t xml:space="preserve">’ היה מעין כינוי גנאי, </w:t>
      </w:r>
      <w:proofErr w:type="spellStart"/>
      <w:r>
        <w:rPr>
          <w:rtl/>
        </w:rPr>
        <w:t>ומשום־מה</w:t>
      </w:r>
      <w:proofErr w:type="spellEnd"/>
      <w:r>
        <w:rPr>
          <w:rtl/>
        </w:rPr>
        <w:t xml:space="preserve"> הטיל עלינו אימה. לאמיתו של דבר, שחצנותנו הייתה ריקנית. </w:t>
      </w:r>
      <w:proofErr w:type="spellStart"/>
      <w:r>
        <w:rPr>
          <w:rtl/>
        </w:rPr>
        <w:t>באכסניה</w:t>
      </w:r>
      <w:proofErr w:type="spellEnd"/>
      <w:r>
        <w:rPr>
          <w:rtl/>
        </w:rPr>
        <w:t xml:space="preserve"> של ריבה רייז</w:t>
      </w:r>
      <w:bookmarkStart w:id="2158" w:name="_fnr1360"/>
      <w:r>
        <w:rPr>
          <w:rStyle w:val="a5"/>
        </w:rPr>
        <w:footnoteReference w:id="1363" w:customMarkFollows="0"/>
      </w:r>
      <w:bookmarkEnd w:id="2158"/>
      <w:r>
        <w:rPr>
          <w:rtl/>
        </w:rPr>
        <w:t xml:space="preserve">, שבה התגוררתי, היו גם כמה בחורים </w:t>
      </w:r>
      <w:proofErr w:type="spellStart"/>
      <w:r>
        <w:rPr>
          <w:rtl/>
        </w:rPr>
        <w:t>מהלוסק</w:t>
      </w:r>
      <w:proofErr w:type="spellEnd"/>
      <w:r>
        <w:rPr>
          <w:rtl/>
        </w:rPr>
        <w:t xml:space="preserve">; וכשהכרתים מקרוב מצאתים תמימים וישרים, יראי שמים באמת, שלא פסק פיהם </w:t>
      </w:r>
      <w:proofErr w:type="spellStart"/>
      <w:r>
        <w:rPr>
          <w:rtl/>
        </w:rPr>
        <w:t>מגירסא</w:t>
      </w:r>
      <w:bookmarkStart w:id="2159" w:name="_fnr1361"/>
      <w:proofErr w:type="spellEnd"/>
      <w:r>
        <w:rPr>
          <w:rStyle w:val="a5"/>
        </w:rPr>
        <w:footnoteReference w:id="1364" w:customMarkFollows="0"/>
      </w:r>
      <w:bookmarkEnd w:id="2159"/>
      <w:r>
        <w:rPr>
          <w:rtl/>
        </w:rPr>
        <w:t>.” גורדון, המתנגד למוסר</w:t>
      </w:r>
      <w:bookmarkStart w:id="2160" w:name="_fnr1362"/>
      <w:r>
        <w:rPr>
          <w:rStyle w:val="a5"/>
        </w:rPr>
        <w:footnoteReference w:id="1365" w:customMarkFollows="0"/>
      </w:r>
      <w:bookmarkEnd w:id="2160"/>
      <w:r>
        <w:rPr>
          <w:rtl/>
        </w:rPr>
        <w:t>, מוסיף את המשפט הבא: “גם הם התנגדו לתנועת המוסר בכל כוחם; העיסוק העיקרי בעיניהם היה גמרא.” אבל השווה הפסקה השלישית ב</w:t>
      </w:r>
      <w:r>
        <w:rPr>
          <w:rtl/>
        </w:rPr>
        <w:fldChar w:fldCharType="begin" w:dirty="true"/>
      </w:r>
      <w:r>
        <w:rPr>
          <w:rtl/>
        </w:rPr>
        <w:instrText xml:space="preserve"> REF b3_excGG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לג</w:t>
      </w:r>
      <w:r>
        <w:rPr>
          <w:rtl/>
        </w:rPr>
        <w:fldChar w:fldCharType="end"/>
      </w:r>
      <w:r>
        <w:rPr>
          <w:rtl/>
        </w:rPr>
        <w:t xml:space="preserve"> להלן.</w:t>
      </w:r>
    </w:p>
    <w:p w14:paraId="3874DDAC" w14:textId="77777777" w:rsidR="00AB3647" w:rsidRDefault="00000000" w:rsidP="007923E9">
      <w:pPr>
        <w:spacing w:before="120" w:after="100" w:line="276" w:lineRule="auto"/>
        <w:jc w:val="both"/>
      </w:pPr>
      <w:r>
        <w:rPr>
          <w:rtl/>
        </w:rPr>
        <w:t xml:space="preserve">ר׳ אשר </w:t>
      </w:r>
      <w:proofErr w:type="spellStart"/>
      <w:r>
        <w:rPr>
          <w:rtl/>
        </w:rPr>
        <w:t>צ׳צ׳יק</w:t>
      </w:r>
      <w:bookmarkStart w:id="2161" w:name="_fnr1363"/>
      <w:proofErr w:type="spellEnd"/>
      <w:r>
        <w:rPr>
          <w:rStyle w:val="a5"/>
        </w:rPr>
        <w:footnoteReference w:id="1366" w:customMarkFollows="0"/>
      </w:r>
      <w:bookmarkEnd w:id="2161"/>
      <w:r>
        <w:rPr>
          <w:rtl/>
        </w:rPr>
        <w:t xml:space="preserve"> סיפר בשם תלמיד של ר׳ </w:t>
      </w:r>
      <w:proofErr w:type="spellStart"/>
      <w:r>
        <w:rPr>
          <w:rtl/>
        </w:rPr>
        <w:t>ברוך־בער</w:t>
      </w:r>
      <w:proofErr w:type="spellEnd"/>
      <w:r>
        <w:rPr>
          <w:rtl/>
        </w:rPr>
        <w:t xml:space="preserve"> </w:t>
      </w:r>
      <w:proofErr w:type="spellStart"/>
      <w:r>
        <w:rPr>
          <w:rtl/>
        </w:rPr>
        <w:t>מהלוסק</w:t>
      </w:r>
      <w:proofErr w:type="spellEnd"/>
      <w:r>
        <w:rPr>
          <w:rtl/>
        </w:rPr>
        <w:t xml:space="preserve"> שהיו אומרים שם: “בעירנו גם העיזים</w:t>
      </w:r>
      <w:bookmarkStart w:id="2162" w:name="_fnr1364"/>
      <w:r>
        <w:rPr>
          <w:rStyle w:val="a5"/>
        </w:rPr>
        <w:footnoteReference w:id="1367" w:customMarkFollows="0"/>
      </w:r>
      <w:bookmarkEnd w:id="2162"/>
      <w:r>
        <w:rPr>
          <w:rtl/>
        </w:rPr>
        <w:t xml:space="preserve"> ‘מדברות בלימוד’ עם הרב.” ר׳ אשר עצמו זכר את ר׳ </w:t>
      </w:r>
      <w:proofErr w:type="spellStart"/>
      <w:r>
        <w:rPr>
          <w:rtl/>
        </w:rPr>
        <w:t>ברוך־בער</w:t>
      </w:r>
      <w:proofErr w:type="spellEnd"/>
      <w:r>
        <w:rPr>
          <w:rtl/>
        </w:rPr>
        <w:t xml:space="preserve"> מתקופה מאוחרת יותר, והעיד שכאשר “אמר תורה”, אפילו סוסים רתומים לא היו יכולים למשוך אותו משם.</w:t>
      </w:r>
    </w:p>
    <w:bookmarkStart w:id="2163" w:name="b3_note135"/>
    <w:p w14:paraId="7668DF35" w14:textId="77777777" w:rsidR="00AB3647" w:rsidRDefault="00000000" w:rsidP="007923E9">
      <w:pPr>
        <w:spacing w:before="120" w:after="100" w:line="276" w:lineRule="auto"/>
        <w:jc w:val="both"/>
      </w:pPr>
      <w:r>
        <w:fldChar w:fldCharType="begin" w:dirty="true"/>
      </w:r>
      <w:r>
        <w:instrText>HYPERLINK \l "b3_ref135"</w:instrText>
      </w:r>
      <w:r>
        <w:fldChar w:fldCharType="separate"/>
      </w:r>
      <w:r>
        <w:rPr>
          <w:b/>
          <w:bCs/>
          <w:rtl/>
        </w:rPr>
        <w:t>135</w:t>
      </w:r>
      <w:r>
        <w:rPr>
          <w:b/>
          <w:bCs/>
        </w:rPr>
        <w:fldChar w:fldCharType="end"/>
      </w:r>
      <w:bookmarkEnd w:id="2163"/>
      <w:r>
        <w:rPr>
          <w:rtl/>
        </w:rPr>
        <w:t xml:space="preserve"> השווה “ר׳ ברוך בר”</w:t>
      </w:r>
      <w:bookmarkStart w:id="2164" w:name="_fnr1365"/>
      <w:r>
        <w:rPr>
          <w:rStyle w:val="a5"/>
        </w:rPr>
        <w:footnoteReference w:id="1368" w:customMarkFollows="0"/>
      </w:r>
      <w:bookmarkEnd w:id="2164"/>
      <w:r>
        <w:rPr>
          <w:rtl/>
        </w:rPr>
        <w:t>, ושם מובאים דברי “תלמיד חכם גדול” ששמו אינו נזכר: “</w:t>
      </w:r>
      <w:proofErr w:type="spellStart"/>
      <w:r>
        <w:rPr>
          <w:rtl/>
        </w:rPr>
        <w:t>לר</w:t>
      </w:r>
      <w:proofErr w:type="spellEnd"/>
      <w:r>
        <w:rPr>
          <w:rtl/>
        </w:rPr>
        <w:t xml:space="preserve">׳ </w:t>
      </w:r>
      <w:proofErr w:type="spellStart"/>
      <w:r>
        <w:rPr>
          <w:rtl/>
        </w:rPr>
        <w:t>ברוך־בער</w:t>
      </w:r>
      <w:proofErr w:type="spellEnd"/>
      <w:r>
        <w:rPr>
          <w:rtl/>
        </w:rPr>
        <w:t xml:space="preserve"> הראש הטוב ביותר </w:t>
      </w:r>
      <w:r>
        <w:rPr>
          <w:b/>
          <w:bCs/>
          <w:rtl/>
        </w:rPr>
        <w:t>לשמוע</w:t>
      </w:r>
      <w:bookmarkStart w:id="2165" w:name="_fnr1366"/>
      <w:r>
        <w:rPr>
          <w:rStyle w:val="a5"/>
        </w:rPr>
        <w:footnoteReference w:id="1369" w:customMarkFollows="0"/>
      </w:r>
      <w:bookmarkEnd w:id="2165"/>
      <w:r>
        <w:rPr>
          <w:rtl/>
        </w:rPr>
        <w:t xml:space="preserve"> מה שתלמיד מחדש בלימודו.” ר׳ עזרא </w:t>
      </w:r>
      <w:proofErr w:type="spellStart"/>
      <w:r>
        <w:rPr>
          <w:rtl/>
        </w:rPr>
        <w:t>נויברגר</w:t>
      </w:r>
      <w:bookmarkStart w:id="2166" w:name="_fnr1367"/>
      <w:proofErr w:type="spellEnd"/>
      <w:r>
        <w:rPr>
          <w:rStyle w:val="a5"/>
        </w:rPr>
        <w:footnoteReference w:id="1370" w:customMarkFollows="0"/>
      </w:r>
      <w:bookmarkEnd w:id="2166"/>
      <w:r>
        <w:rPr>
          <w:rtl/>
        </w:rPr>
        <w:t xml:space="preserve"> סיפר שאבי אמר: “ספר ‘ברכת שמואל’, שנדפס </w:t>
      </w:r>
      <w:proofErr w:type="spellStart"/>
      <w:r>
        <w:rPr>
          <w:rtl/>
        </w:rPr>
        <w:t>בת״ש</w:t>
      </w:r>
      <w:proofErr w:type="spellEnd"/>
      <w:r>
        <w:rPr>
          <w:rtl/>
        </w:rPr>
        <w:t xml:space="preserve">, אולי קשה להבנה, אבל מחברו היה בעל ההסברה הטוב ביותר בין כל ראשי הישיבה בדורו.” מסתבר שההסברה, מעלה שתפסה </w:t>
      </w:r>
      <w:r>
        <w:rPr>
          <w:rtl/>
        </w:rPr>
        <w:lastRenderedPageBreak/>
        <w:t xml:space="preserve">מקום חשוב אצל ר׳ חיים, הייתה מן התכונות שאימץ ר׳ </w:t>
      </w:r>
      <w:proofErr w:type="spellStart"/>
      <w:r>
        <w:rPr>
          <w:rtl/>
        </w:rPr>
        <w:t>ברוך־בער</w:t>
      </w:r>
      <w:proofErr w:type="spellEnd"/>
      <w:r>
        <w:rPr>
          <w:rtl/>
        </w:rPr>
        <w:t xml:space="preserve"> מרבו</w:t>
      </w:r>
      <w:bookmarkStart w:id="2167" w:name="_fnr1368"/>
      <w:r>
        <w:rPr>
          <w:rStyle w:val="a5"/>
        </w:rPr>
        <w:footnoteReference w:id="1371" w:customMarkFollows="0"/>
      </w:r>
      <w:bookmarkEnd w:id="2167"/>
      <w:r>
        <w:rPr>
          <w:rtl/>
        </w:rPr>
        <w:t xml:space="preserve">. ומנגד, ייתכן </w:t>
      </w:r>
      <w:proofErr w:type="spellStart"/>
      <w:r>
        <w:rPr>
          <w:rtl/>
        </w:rPr>
        <w:t>ש“עטו</w:t>
      </w:r>
      <w:proofErr w:type="spellEnd"/>
      <w:r>
        <w:rPr>
          <w:rtl/>
        </w:rPr>
        <w:t xml:space="preserve"> הקשה” של ר׳ </w:t>
      </w:r>
      <w:proofErr w:type="spellStart"/>
      <w:r>
        <w:rPr>
          <w:rtl/>
        </w:rPr>
        <w:t>ברוך־בער</w:t>
      </w:r>
      <w:proofErr w:type="spellEnd"/>
      <w:r>
        <w:rPr>
          <w:rtl/>
        </w:rPr>
        <w:t xml:space="preserve"> הוא גם כן מעין חיקוי גולמי של “הלשון החדשה” שיצר ר׳ חיים בספרו “חידושי רבנו חיים הלוי”, שיצא </w:t>
      </w:r>
      <w:r>
        <w:rPr>
          <w:b/>
          <w:bCs/>
          <w:rtl/>
        </w:rPr>
        <w:t>ארבע שנים לפני</w:t>
      </w:r>
      <w:r>
        <w:rPr>
          <w:rtl/>
        </w:rPr>
        <w:t xml:space="preserve"> “ברכת שמואל”</w:t>
      </w:r>
      <w:bookmarkStart w:id="2168" w:name="_fnr1369"/>
      <w:r>
        <w:rPr>
          <w:rStyle w:val="a5"/>
        </w:rPr>
        <w:footnoteReference w:id="1372" w:customMarkFollows="0"/>
      </w:r>
      <w:bookmarkEnd w:id="2168"/>
      <w:r>
        <w:rPr>
          <w:rtl/>
        </w:rPr>
        <w:t>.</w:t>
      </w:r>
    </w:p>
    <w:p w14:paraId="3047D849" w14:textId="77777777" w:rsidR="00AB3647" w:rsidRDefault="00000000" w:rsidP="007923E9">
      <w:pPr>
        <w:spacing w:before="120" w:after="100" w:line="276" w:lineRule="auto"/>
        <w:jc w:val="both"/>
      </w:pPr>
      <w:r>
        <w:rPr>
          <w:rtl/>
        </w:rPr>
        <w:t xml:space="preserve">ר׳ </w:t>
      </w:r>
      <w:proofErr w:type="spellStart"/>
      <w:r>
        <w:rPr>
          <w:rtl/>
        </w:rPr>
        <w:t>משה־אהרן</w:t>
      </w:r>
      <w:proofErr w:type="spellEnd"/>
      <w:r>
        <w:rPr>
          <w:rtl/>
        </w:rPr>
        <w:t xml:space="preserve"> שטרן סיפר</w:t>
      </w:r>
      <w:bookmarkStart w:id="2169" w:name="_fnr1370"/>
      <w:r>
        <w:rPr>
          <w:rStyle w:val="a5"/>
        </w:rPr>
        <w:footnoteReference w:id="1373" w:customMarkFollows="0"/>
      </w:r>
      <w:bookmarkEnd w:id="2169"/>
      <w:r>
        <w:rPr>
          <w:rtl/>
        </w:rPr>
        <w:t xml:space="preserve"> שר׳ </w:t>
      </w:r>
      <w:proofErr w:type="spellStart"/>
      <w:r>
        <w:rPr>
          <w:rtl/>
        </w:rPr>
        <w:t>ברוך־בער</w:t>
      </w:r>
      <w:proofErr w:type="spellEnd"/>
      <w:r>
        <w:rPr>
          <w:rtl/>
        </w:rPr>
        <w:t xml:space="preserve"> קרא קריאת שמע כדרך ר׳ חיים, כלומר חזר על מילים, שמא לא הוציא את המילה כהלכה בפעם הראשונה</w:t>
      </w:r>
      <w:bookmarkStart w:id="2170" w:name="_fnr1371"/>
      <w:r>
        <w:rPr>
          <w:rStyle w:val="a5"/>
        </w:rPr>
        <w:footnoteReference w:id="1374" w:customMarkFollows="0"/>
      </w:r>
      <w:bookmarkEnd w:id="2170"/>
      <w:r>
        <w:rPr>
          <w:rtl/>
        </w:rPr>
        <w:t>. “</w:t>
      </w:r>
      <w:proofErr w:type="spellStart"/>
      <w:r>
        <w:rPr>
          <w:rtl/>
        </w:rPr>
        <w:t>ובבריסק</w:t>
      </w:r>
      <w:proofErr w:type="spellEnd"/>
      <w:r>
        <w:rPr>
          <w:rtl/>
        </w:rPr>
        <w:t xml:space="preserve"> [משפחת </w:t>
      </w:r>
      <w:proofErr w:type="spellStart"/>
      <w:r>
        <w:rPr>
          <w:rtl/>
        </w:rPr>
        <w:t>סולובייצ׳יק</w:t>
      </w:r>
      <w:proofErr w:type="spellEnd"/>
      <w:r>
        <w:rPr>
          <w:rtl/>
        </w:rPr>
        <w:t xml:space="preserve"> בירושלים]”, אמר ר׳ </w:t>
      </w:r>
      <w:proofErr w:type="spellStart"/>
      <w:r>
        <w:rPr>
          <w:rtl/>
        </w:rPr>
        <w:t>משה־אהרן</w:t>
      </w:r>
      <w:proofErr w:type="spellEnd"/>
      <w:r>
        <w:rPr>
          <w:rtl/>
        </w:rPr>
        <w:t xml:space="preserve">, “מספרים שר׳ חיים ראה פעם את ר׳ </w:t>
      </w:r>
      <w:proofErr w:type="spellStart"/>
      <w:r>
        <w:rPr>
          <w:rtl/>
        </w:rPr>
        <w:t>ברוך־בער</w:t>
      </w:r>
      <w:proofErr w:type="spellEnd"/>
      <w:r>
        <w:rPr>
          <w:rtl/>
        </w:rPr>
        <w:t xml:space="preserve"> קורא כך קריאת שמע, ואמר לו: ‘די, כבר די!’” נראה שבניסיון לחקות את רבו עבר ר׳ </w:t>
      </w:r>
      <w:proofErr w:type="spellStart"/>
      <w:r>
        <w:rPr>
          <w:rtl/>
        </w:rPr>
        <w:t>ברוך־בער</w:t>
      </w:r>
      <w:proofErr w:type="spellEnd"/>
      <w:r>
        <w:rPr>
          <w:rtl/>
        </w:rPr>
        <w:t xml:space="preserve"> את המידה, ור׳ חיים לא היה מרוצה מכך. השווה גם “עובדות והנהגות לבית </w:t>
      </w:r>
      <w:proofErr w:type="spellStart"/>
      <w:r>
        <w:rPr>
          <w:rtl/>
        </w:rPr>
        <w:t>בריסק</w:t>
      </w:r>
      <w:proofErr w:type="spellEnd"/>
      <w:r>
        <w:rPr>
          <w:rtl/>
        </w:rPr>
        <w:t>”</w:t>
      </w:r>
      <w:bookmarkStart w:id="2171" w:name="_fnr1372"/>
      <w:r>
        <w:rPr>
          <w:rStyle w:val="a5"/>
        </w:rPr>
        <w:footnoteReference w:id="1375" w:customMarkFollows="0"/>
      </w:r>
      <w:bookmarkEnd w:id="2171"/>
      <w:r>
        <w:rPr>
          <w:rtl/>
        </w:rPr>
        <w:t>, שר׳ חיים לא תמך בחיקויו של שום אדם, אפילו של אביו, שאותו החשיב לאחד מארבעה מעין ראשונים</w:t>
      </w:r>
      <w:bookmarkStart w:id="2172" w:name="_fnr1373"/>
      <w:r>
        <w:rPr>
          <w:rStyle w:val="a5"/>
        </w:rPr>
        <w:footnoteReference w:id="1376" w:customMarkFollows="0"/>
      </w:r>
      <w:bookmarkEnd w:id="2172"/>
      <w:r>
        <w:rPr>
          <w:rtl/>
        </w:rPr>
        <w:t xml:space="preserve">. כך סיפר בנו של ר׳ חיים, ר׳ יצחק־זאב, על אביו: “אחרי גיל תשע או עשר, לא סבל ראשו את חיקוי אביו.”</w:t>
      </w:r>
    </w:p>
    <w:p w14:paraId="4F412EE0" w14:textId="77777777" w:rsidR="00AB3647" w:rsidRDefault="00000000" w:rsidP="007923E9">
      <w:pPr>
        <w:spacing w:before="120" w:after="100" w:line="276" w:lineRule="auto"/>
        <w:jc w:val="both"/>
      </w:pPr>
      <w:r>
        <w:rPr>
          <w:rtl/>
        </w:rPr>
        <w:t xml:space="preserve">לכאורה בניגוד להערכת אבי את כוח ההסברה של ר׳ </w:t>
      </w:r>
      <w:proofErr w:type="spellStart"/>
      <w:r>
        <w:rPr>
          <w:rtl/>
        </w:rPr>
        <w:t>ברוך־בער</w:t>
      </w:r>
      <w:proofErr w:type="spellEnd"/>
      <w:r>
        <w:rPr>
          <w:rtl/>
        </w:rPr>
        <w:t xml:space="preserve">, גילה ר׳ יעקב </w:t>
      </w:r>
      <w:proofErr w:type="spellStart"/>
      <w:r>
        <w:rPr>
          <w:rtl/>
        </w:rPr>
        <w:t>יופן</w:t>
      </w:r>
      <w:bookmarkStart w:id="2173" w:name="_fnr1374"/>
      <w:proofErr w:type="spellEnd"/>
      <w:r>
        <w:rPr>
          <w:rStyle w:val="a5"/>
        </w:rPr>
        <w:footnoteReference w:id="1377" w:customMarkFollows="0"/>
      </w:r>
      <w:bookmarkEnd w:id="2173"/>
      <w:r>
        <w:rPr>
          <w:rtl/>
        </w:rPr>
        <w:t xml:space="preserve"> שעוד בהיותם </w:t>
      </w:r>
      <w:proofErr w:type="spellStart"/>
      <w:r>
        <w:rPr>
          <w:rtl/>
        </w:rPr>
        <w:t>בהלוסק</w:t>
      </w:r>
      <w:proofErr w:type="spellEnd"/>
      <w:r>
        <w:rPr>
          <w:rtl/>
        </w:rPr>
        <w:t xml:space="preserve"> הציע פעם ר׳ אלתר </w:t>
      </w:r>
      <w:proofErr w:type="spellStart"/>
      <w:r>
        <w:rPr>
          <w:rtl/>
        </w:rPr>
        <w:t>שמואלביץ</w:t>
      </w:r>
      <w:proofErr w:type="spellEnd"/>
      <w:r>
        <w:rPr>
          <w:rtl/>
        </w:rPr>
        <w:t xml:space="preserve"> [לימים חתנו של ר׳ יוזל </w:t>
      </w:r>
      <w:proofErr w:type="spellStart"/>
      <w:r>
        <w:rPr>
          <w:rtl/>
        </w:rPr>
        <w:t>הורוויץ</w:t>
      </w:r>
      <w:proofErr w:type="spellEnd"/>
      <w:r>
        <w:rPr>
          <w:rtl/>
        </w:rPr>
        <w:t xml:space="preserve">, סבו של הרב </w:t>
      </w:r>
      <w:proofErr w:type="spellStart"/>
      <w:r>
        <w:rPr>
          <w:rtl/>
        </w:rPr>
        <w:t>יופן</w:t>
      </w:r>
      <w:proofErr w:type="spellEnd"/>
      <w:r>
        <w:rPr>
          <w:rtl/>
        </w:rPr>
        <w:t xml:space="preserve"> מצד </w:t>
      </w:r>
      <w:proofErr w:type="spellStart"/>
      <w:r>
        <w:rPr>
          <w:rtl/>
        </w:rPr>
        <w:t>אמו</w:t>
      </w:r>
      <w:proofErr w:type="spellEnd"/>
      <w:r>
        <w:rPr>
          <w:rtl/>
        </w:rPr>
        <w:t xml:space="preserve">] </w:t>
      </w:r>
      <w:proofErr w:type="spellStart"/>
      <w:r>
        <w:rPr>
          <w:rtl/>
        </w:rPr>
        <w:t>לר</w:t>
      </w:r>
      <w:proofErr w:type="spellEnd"/>
      <w:r>
        <w:rPr>
          <w:rtl/>
        </w:rPr>
        <w:t xml:space="preserve">׳ </w:t>
      </w:r>
      <w:proofErr w:type="spellStart"/>
      <w:r>
        <w:rPr>
          <w:rtl/>
        </w:rPr>
        <w:t>ברוך־בער</w:t>
      </w:r>
      <w:proofErr w:type="spellEnd"/>
      <w:r>
        <w:rPr>
          <w:rtl/>
        </w:rPr>
        <w:t xml:space="preserve"> לנסח אחרת רעיון שביאר, כדי שיובן טוב יותר. השיב לו ר׳ </w:t>
      </w:r>
      <w:proofErr w:type="spellStart"/>
      <w:r>
        <w:rPr>
          <w:rtl/>
        </w:rPr>
        <w:t>ברוך־בער</w:t>
      </w:r>
      <w:proofErr w:type="spellEnd"/>
      <w:r>
        <w:rPr>
          <w:rtl/>
        </w:rPr>
        <w:t>: “איך לנסח מחשבה כדי שתובן על הצד הטוב ביותר – זו מתנה מיוחדת מאת הקב״ה, שלא ניתנה לי.”</w:t>
      </w:r>
    </w:p>
    <w:p w14:paraId="12B036B9" w14:textId="77777777" w:rsidR="00AB3647" w:rsidRDefault="00000000" w:rsidP="007923E9">
      <w:pPr>
        <w:spacing w:before="120" w:after="100" w:line="276" w:lineRule="auto"/>
        <w:jc w:val="both"/>
      </w:pPr>
      <w:r>
        <w:rPr>
          <w:rtl/>
        </w:rPr>
        <w:t xml:space="preserve">הרב </w:t>
      </w:r>
      <w:proofErr w:type="spellStart"/>
      <w:r>
        <w:rPr>
          <w:rtl/>
        </w:rPr>
        <w:t>יופן</w:t>
      </w:r>
      <w:proofErr w:type="spellEnd"/>
      <w:r>
        <w:rPr>
          <w:rtl/>
        </w:rPr>
        <w:t xml:space="preserve"> סבר שקשה לתפוס ולרדת לעומק דבריו של ר׳ </w:t>
      </w:r>
      <w:proofErr w:type="spellStart"/>
      <w:r>
        <w:rPr>
          <w:rtl/>
        </w:rPr>
        <w:t>ברוך־בער</w:t>
      </w:r>
      <w:proofErr w:type="spellEnd"/>
      <w:r>
        <w:rPr>
          <w:rtl/>
        </w:rPr>
        <w:t xml:space="preserve"> בעל פה כמו שקשה להבין את דבריו שבכתב. הוא הביא בשם ר׳ אליהו חזן, מתלמידיו המובהקים של ר׳ </w:t>
      </w:r>
      <w:proofErr w:type="spellStart"/>
      <w:r>
        <w:rPr>
          <w:rtl/>
        </w:rPr>
        <w:t>ברוך־בער</w:t>
      </w:r>
      <w:proofErr w:type="spellEnd"/>
      <w:r>
        <w:rPr>
          <w:rtl/>
        </w:rPr>
        <w:t xml:space="preserve">, שכאשר ציטט ר׳ </w:t>
      </w:r>
      <w:proofErr w:type="spellStart"/>
      <w:r>
        <w:rPr>
          <w:rtl/>
        </w:rPr>
        <w:t>ברוך־בער</w:t>
      </w:r>
      <w:proofErr w:type="spellEnd"/>
      <w:r>
        <w:rPr>
          <w:rtl/>
        </w:rPr>
        <w:t xml:space="preserve"> את חידושיו של ר׳ חיים </w:t>
      </w:r>
      <w:proofErr w:type="spellStart"/>
      <w:r>
        <w:rPr>
          <w:rtl/>
        </w:rPr>
        <w:t>סולובייצ׳יק</w:t>
      </w:r>
      <w:proofErr w:type="spellEnd"/>
      <w:r>
        <w:rPr>
          <w:rtl/>
        </w:rPr>
        <w:t xml:space="preserve"> הם היו מובנים היטב, וכשהביע את רעיונותיו שלו הם היו ברורים באותה מידה; רק כשמיזג את השניים נעשו הדברים מעורפלים</w:t>
      </w:r>
      <w:bookmarkStart w:id="2174" w:name="_fnr1375"/>
      <w:r>
        <w:rPr>
          <w:rStyle w:val="a5"/>
        </w:rPr>
        <w:footnoteReference w:id="1378" w:customMarkFollows="0"/>
      </w:r>
      <w:bookmarkEnd w:id="2174"/>
      <w:r>
        <w:rPr>
          <w:rtl/>
        </w:rPr>
        <w:t xml:space="preserve">. כדי ליישב את הערכת אבי עם סיפורו של הרב </w:t>
      </w:r>
      <w:proofErr w:type="spellStart"/>
      <w:r>
        <w:rPr>
          <w:rtl/>
        </w:rPr>
        <w:t>יופן</w:t>
      </w:r>
      <w:proofErr w:type="spellEnd"/>
      <w:r>
        <w:rPr>
          <w:rtl/>
        </w:rPr>
        <w:t xml:space="preserve"> אפשר לומר שרבנו התכוון לחלקי השיעור שבהם הביא ר׳ </w:t>
      </w:r>
      <w:proofErr w:type="spellStart"/>
      <w:r>
        <w:rPr>
          <w:rtl/>
        </w:rPr>
        <w:t>ברוך־בער</w:t>
      </w:r>
      <w:proofErr w:type="spellEnd"/>
      <w:r>
        <w:rPr>
          <w:rtl/>
        </w:rPr>
        <w:t xml:space="preserve"> את חידושו של ר׳ חיים ואת חידושו שלו בלי למזגם. השווה גם “עובדות והנהגות לבית </w:t>
      </w:r>
      <w:proofErr w:type="spellStart"/>
      <w:r>
        <w:rPr>
          <w:rtl/>
        </w:rPr>
        <w:t>בריסק</w:t>
      </w:r>
      <w:proofErr w:type="spellEnd"/>
      <w:r>
        <w:rPr>
          <w:rtl/>
        </w:rPr>
        <w:t>”</w:t>
      </w:r>
      <w:bookmarkStart w:id="2175" w:name="_fnr1376"/>
      <w:r>
        <w:rPr>
          <w:rStyle w:val="a5"/>
        </w:rPr>
        <w:footnoteReference w:id="1379" w:customMarkFollows="0"/>
      </w:r>
      <w:bookmarkEnd w:id="2175"/>
      <w:r>
        <w:rPr>
          <w:rtl/>
        </w:rPr>
        <w:t xml:space="preserve">: כמו אבי בתקופה מוקדמת יותר, גם ר׳ </w:t>
      </w:r>
      <w:proofErr w:type="spellStart"/>
      <w:r>
        <w:rPr>
          <w:rtl/>
        </w:rPr>
        <w:lastRenderedPageBreak/>
        <w:t>משולם־דוד</w:t>
      </w:r>
      <w:proofErr w:type="spellEnd"/>
      <w:r>
        <w:rPr>
          <w:rtl/>
        </w:rPr>
        <w:t xml:space="preserve"> </w:t>
      </w:r>
      <w:proofErr w:type="spellStart"/>
      <w:r>
        <w:rPr>
          <w:rtl/>
        </w:rPr>
        <w:t>סולובייצ׳יק</w:t>
      </w:r>
      <w:proofErr w:type="spellEnd"/>
      <w:r>
        <w:rPr>
          <w:rtl/>
        </w:rPr>
        <w:t xml:space="preserve"> לא מצא </w:t>
      </w:r>
      <w:proofErr w:type="spellStart"/>
      <w:r>
        <w:rPr>
          <w:rtl/>
        </w:rPr>
        <w:t>בתרצ״ט</w:t>
      </w:r>
      <w:proofErr w:type="spellEnd"/>
      <w:r>
        <w:rPr>
          <w:rtl/>
        </w:rPr>
        <w:t xml:space="preserve"> ששיעורי ר׳ </w:t>
      </w:r>
      <w:proofErr w:type="spellStart"/>
      <w:r>
        <w:rPr>
          <w:rtl/>
        </w:rPr>
        <w:t>ברוך־בער</w:t>
      </w:r>
      <w:proofErr w:type="spellEnd"/>
      <w:r>
        <w:rPr>
          <w:rtl/>
        </w:rPr>
        <w:t xml:space="preserve"> קשים להבנה, שלא כספרו “ברכת שמואל”.</w:t>
      </w:r>
    </w:p>
    <w:p w14:paraId="0D30078A" w14:textId="77777777" w:rsidR="00AB3647" w:rsidRDefault="00000000" w:rsidP="007923E9">
      <w:pPr>
        <w:spacing w:after="100" w:line="276" w:lineRule="auto"/>
        <w:ind w:firstLine="340"/>
        <w:jc w:val="both"/>
      </w:pPr>
      <w:r>
        <w:rPr>
          <w:rtl/>
        </w:rPr>
        <w:t xml:space="preserve">על כישרונו של ר׳ חיים בהסברה סיפר אבי שכאשר ירש ר׳ חיים את כיסא הרבנות של אביו המנוח </w:t>
      </w:r>
      <w:proofErr w:type="spellStart"/>
      <w:r>
        <w:rPr>
          <w:rtl/>
        </w:rPr>
        <w:t>בבריסק</w:t>
      </w:r>
      <w:proofErr w:type="spellEnd"/>
      <w:r>
        <w:rPr>
          <w:rtl/>
        </w:rPr>
        <w:t xml:space="preserve"> ונשא את דרשת הפלפול הראשונה שלו, נדהמו לומדי העיר לראות שבזכות הסברתו המופלאה</w:t>
      </w:r>
      <w:bookmarkStart w:id="2176" w:name="_fnr1377"/>
      <w:r>
        <w:rPr>
          <w:rStyle w:val="a5"/>
        </w:rPr>
        <w:footnoteReference w:id="1380" w:customMarkFollows="0"/>
      </w:r>
      <w:bookmarkEnd w:id="2176"/>
      <w:r>
        <w:rPr>
          <w:rtl/>
        </w:rPr>
        <w:t xml:space="preserve"> הבינו את דרשת הרב החדש אפילו הפחות מלומדים שבקהילה. לדברי רבנו: “ר׳ חיים סבר </w:t>
      </w:r>
      <w:proofErr w:type="spellStart"/>
      <w:r>
        <w:rPr>
          <w:rtl/>
        </w:rPr>
        <w:t>ש‘חיסרון</w:t>
      </w:r>
      <w:proofErr w:type="spellEnd"/>
      <w:r>
        <w:rPr>
          <w:rtl/>
        </w:rPr>
        <w:t xml:space="preserve"> בהסברה מעיד על חיסרון בהבנה של המדבר עצמו’</w:t>
      </w:r>
      <w:bookmarkStart w:id="2177" w:name="_fnr1378"/>
      <w:r>
        <w:rPr>
          <w:rStyle w:val="a5"/>
        </w:rPr>
        <w:footnoteReference w:id="1381" w:customMarkFollows="0"/>
      </w:r>
      <w:bookmarkEnd w:id="2177"/>
      <w:r>
        <w:rPr>
          <w:rtl/>
        </w:rPr>
        <w:t xml:space="preserve">.” השווה גם כרך 2, המביא את דברי ד״ר יעקב </w:t>
      </w:r>
      <w:proofErr w:type="spellStart"/>
      <w:r>
        <w:rPr>
          <w:rtl/>
        </w:rPr>
        <w:t>גרומר</w:t>
      </w:r>
      <w:proofErr w:type="spellEnd"/>
      <w:r>
        <w:rPr>
          <w:rtl/>
        </w:rPr>
        <w:t xml:space="preserve">, מתמטיקאי שלמד הן אצל ר׳ חיים </w:t>
      </w:r>
      <w:proofErr w:type="spellStart"/>
      <w:r>
        <w:rPr>
          <w:rtl/>
        </w:rPr>
        <w:t>סולובייצ׳יק</w:t>
      </w:r>
      <w:proofErr w:type="spellEnd"/>
      <w:r>
        <w:rPr>
          <w:rtl/>
        </w:rPr>
        <w:t xml:space="preserve"> והן אצל אלברט איינשטיין, על הסברתו של ר׳ חיים.</w:t>
      </w:r>
    </w:p>
    <w:p w14:paraId="069DF2AE" w14:textId="77777777" w:rsidR="00AB3647" w:rsidRDefault="00000000" w:rsidP="007923E9">
      <w:pPr>
        <w:spacing w:after="100" w:line="276" w:lineRule="auto"/>
        <w:ind w:firstLine="340"/>
        <w:jc w:val="both"/>
      </w:pPr>
      <w:r>
        <w:rPr>
          <w:rtl/>
        </w:rPr>
        <w:t xml:space="preserve">ר׳ </w:t>
      </w:r>
      <w:proofErr w:type="spellStart"/>
      <w:r>
        <w:rPr>
          <w:rtl/>
        </w:rPr>
        <w:t>לייבל</w:t>
      </w:r>
      <w:proofErr w:type="spellEnd"/>
      <w:r>
        <w:rPr>
          <w:rtl/>
        </w:rPr>
        <w:t xml:space="preserve"> </w:t>
      </w:r>
      <w:proofErr w:type="spellStart"/>
      <w:r>
        <w:rPr>
          <w:rtl/>
        </w:rPr>
        <w:t>פרלשטיין</w:t>
      </w:r>
      <w:bookmarkStart w:id="2178" w:name="_fnr1379"/>
      <w:proofErr w:type="spellEnd"/>
      <w:r>
        <w:rPr>
          <w:rStyle w:val="a5"/>
        </w:rPr>
        <w:footnoteReference w:id="1382" w:customMarkFollows="0"/>
      </w:r>
      <w:bookmarkEnd w:id="2178"/>
      <w:r>
        <w:rPr>
          <w:rtl/>
        </w:rPr>
        <w:t xml:space="preserve"> סיפר שאבי כינה את התמדתו של ר׳ </w:t>
      </w:r>
      <w:proofErr w:type="spellStart"/>
      <w:r>
        <w:rPr>
          <w:rtl/>
        </w:rPr>
        <w:t>ברוך־בער</w:t>
      </w:r>
      <w:proofErr w:type="spellEnd"/>
      <w:r>
        <w:rPr>
          <w:rtl/>
        </w:rPr>
        <w:t xml:space="preserve"> “מפליאה”. הוא אמר את הדברים המעניינים האלה: “התמדתו של ר׳ </w:t>
      </w:r>
      <w:proofErr w:type="spellStart"/>
      <w:r>
        <w:rPr>
          <w:rtl/>
        </w:rPr>
        <w:t>ברוך־בער</w:t>
      </w:r>
      <w:proofErr w:type="spellEnd"/>
      <w:r>
        <w:rPr>
          <w:rtl/>
        </w:rPr>
        <w:t xml:space="preserve"> היא שמנעה ממלחמת העולם הראשונה להחריב את מקומות התורה.” גם לגבי מלחמת העולם השנייה יוחסה </w:t>
      </w:r>
      <w:proofErr w:type="spellStart"/>
      <w:r>
        <w:rPr>
          <w:rtl/>
        </w:rPr>
        <w:t>לר</w:t>
      </w:r>
      <w:proofErr w:type="spellEnd"/>
      <w:r>
        <w:rPr>
          <w:rtl/>
        </w:rPr>
        <w:t xml:space="preserve">׳ </w:t>
      </w:r>
      <w:proofErr w:type="spellStart"/>
      <w:r>
        <w:rPr>
          <w:rtl/>
        </w:rPr>
        <w:t>ברוך־בער</w:t>
      </w:r>
      <w:proofErr w:type="spellEnd"/>
      <w:r>
        <w:rPr>
          <w:rtl/>
        </w:rPr>
        <w:t xml:space="preserve"> זכות מסוימת: בהקדמת “חידושי </w:t>
      </w:r>
      <w:proofErr w:type="spellStart"/>
      <w:r>
        <w:rPr>
          <w:rtl/>
        </w:rPr>
        <w:t>הגר״ח</w:t>
      </w:r>
      <w:proofErr w:type="spellEnd"/>
      <w:r>
        <w:rPr>
          <w:rtl/>
        </w:rPr>
        <w:t xml:space="preserve"> השלם בסוגיות הש״ס”</w:t>
      </w:r>
      <w:bookmarkStart w:id="2179" w:name="_fnr1380"/>
      <w:r>
        <w:rPr>
          <w:rStyle w:val="a5"/>
        </w:rPr>
        <w:footnoteReference w:id="1383" w:customMarkFollows="0"/>
      </w:r>
      <w:bookmarkEnd w:id="2179"/>
      <w:r>
        <w:rPr>
          <w:rtl/>
        </w:rPr>
        <w:t xml:space="preserve"> מובאים דברי </w:t>
      </w:r>
      <w:proofErr w:type="spellStart"/>
      <w:r>
        <w:rPr>
          <w:rtl/>
        </w:rPr>
        <w:t>החזון־איש</w:t>
      </w:r>
      <w:proofErr w:type="spellEnd"/>
      <w:r>
        <w:rPr>
          <w:rtl/>
        </w:rPr>
        <w:t xml:space="preserve">: “כל זמן שהיה ר׳ </w:t>
      </w:r>
      <w:proofErr w:type="spellStart"/>
      <w:r>
        <w:rPr>
          <w:rtl/>
        </w:rPr>
        <w:t>ברוך־בער</w:t>
      </w:r>
      <w:proofErr w:type="spellEnd"/>
      <w:r>
        <w:rPr>
          <w:rtl/>
        </w:rPr>
        <w:t xml:space="preserve"> בחיים, לא יכול השטן הנאצי להזיק לעם ישראל, כי עמלו בלימוד התורה הגן כמגן על עם ה׳.” ר׳ </w:t>
      </w:r>
      <w:proofErr w:type="spellStart"/>
      <w:r>
        <w:rPr>
          <w:rtl/>
        </w:rPr>
        <w:t>ברוך־בער</w:t>
      </w:r>
      <w:proofErr w:type="spellEnd"/>
      <w:r>
        <w:rPr>
          <w:rtl/>
        </w:rPr>
        <w:t xml:space="preserve"> נפטר בכסלו ת״ש, חודשיים וחצי לאחר פרוץ מלחמת העולם השנייה.</w:t>
      </w:r>
    </w:p>
    <w:p w14:paraId="7473C3DE" w14:textId="77777777" w:rsidR="00AB3647" w:rsidRDefault="00000000" w:rsidP="007923E9">
      <w:pPr>
        <w:spacing w:after="100" w:line="276" w:lineRule="auto"/>
        <w:ind w:firstLine="340"/>
        <w:jc w:val="both"/>
      </w:pPr>
      <w:proofErr w:type="spellStart"/>
      <w:r>
        <w:rPr>
          <w:rtl/>
        </w:rPr>
        <w:t>ב“תורה</w:t>
      </w:r>
      <w:proofErr w:type="spellEnd"/>
      <w:r>
        <w:rPr>
          <w:rtl/>
        </w:rPr>
        <w:t xml:space="preserve"> יבקשו מפיהו”</w:t>
      </w:r>
      <w:bookmarkStart w:id="2180" w:name="_fnr1381"/>
      <w:r>
        <w:rPr>
          <w:rStyle w:val="a5"/>
        </w:rPr>
        <w:footnoteReference w:id="1384" w:customMarkFollows="0"/>
      </w:r>
      <w:bookmarkEnd w:id="2180"/>
      <w:r>
        <w:rPr>
          <w:rtl/>
        </w:rPr>
        <w:t xml:space="preserve"> מיוחס </w:t>
      </w:r>
      <w:proofErr w:type="spellStart"/>
      <w:r>
        <w:rPr>
          <w:rtl/>
        </w:rPr>
        <w:t>לר</w:t>
      </w:r>
      <w:proofErr w:type="spellEnd"/>
      <w:r>
        <w:rPr>
          <w:rtl/>
        </w:rPr>
        <w:t xml:space="preserve">׳ </w:t>
      </w:r>
      <w:proofErr w:type="spellStart"/>
      <w:r>
        <w:rPr>
          <w:rtl/>
        </w:rPr>
        <w:t>חיים־עוזר</w:t>
      </w:r>
      <w:proofErr w:type="spellEnd"/>
      <w:r>
        <w:rPr>
          <w:rtl/>
        </w:rPr>
        <w:t xml:space="preserve"> </w:t>
      </w:r>
      <w:proofErr w:type="spellStart"/>
      <w:r>
        <w:rPr>
          <w:rtl/>
        </w:rPr>
        <w:t>גרודזנסקי</w:t>
      </w:r>
      <w:proofErr w:type="spellEnd"/>
      <w:r>
        <w:rPr>
          <w:rtl/>
        </w:rPr>
        <w:t xml:space="preserve"> הקישור בין המלחמה לבין פטירת ר׳ </w:t>
      </w:r>
      <w:proofErr w:type="spellStart"/>
      <w:r>
        <w:rPr>
          <w:rtl/>
        </w:rPr>
        <w:t>ברוך־בער</w:t>
      </w:r>
      <w:proofErr w:type="spellEnd"/>
      <w:r>
        <w:rPr>
          <w:rtl/>
        </w:rPr>
        <w:t xml:space="preserve"> ור׳ שמעון </w:t>
      </w:r>
      <w:proofErr w:type="spellStart"/>
      <w:r>
        <w:rPr>
          <w:rtl/>
        </w:rPr>
        <w:t>שקופ</w:t>
      </w:r>
      <w:proofErr w:type="spellEnd"/>
      <w:r>
        <w:rPr>
          <w:rtl/>
        </w:rPr>
        <w:t xml:space="preserve">: “עם פטירתם נסתלקה הגנת העמילות בתורה של הדור, ואני חושש שהדרך לגרמנים הארורים פתוחה כעת.” ר׳ שמעון נפטר חודש לפני ר׳ </w:t>
      </w:r>
      <w:proofErr w:type="spellStart"/>
      <w:r>
        <w:rPr>
          <w:rtl/>
        </w:rPr>
        <w:t>ברוך־בער</w:t>
      </w:r>
      <w:proofErr w:type="spellEnd"/>
      <w:r>
        <w:rPr>
          <w:rtl/>
        </w:rPr>
        <w:t xml:space="preserve">, בחשוון ת״ש. אמירה דומה, בתוספת מעניינת יותר ופרדוקסלית, אמר ר׳ חיים </w:t>
      </w:r>
      <w:proofErr w:type="spellStart"/>
      <w:r>
        <w:rPr>
          <w:rtl/>
        </w:rPr>
        <w:t>סולובייצ׳יק</w:t>
      </w:r>
      <w:proofErr w:type="spellEnd"/>
      <w:r>
        <w:rPr>
          <w:rtl/>
        </w:rPr>
        <w:t xml:space="preserve"> [שנפטר </w:t>
      </w:r>
      <w:proofErr w:type="spellStart"/>
      <w:r>
        <w:rPr>
          <w:rtl/>
        </w:rPr>
        <w:t>בתרע״ח</w:t>
      </w:r>
      <w:proofErr w:type="spellEnd"/>
      <w:r>
        <w:rPr>
          <w:rtl/>
        </w:rPr>
        <w:t xml:space="preserve">] לפי ר׳ </w:t>
      </w:r>
      <w:proofErr w:type="spellStart"/>
      <w:r>
        <w:rPr>
          <w:rtl/>
        </w:rPr>
        <w:t>ברוך־בער</w:t>
      </w:r>
      <w:proofErr w:type="spellEnd"/>
      <w:r>
        <w:rPr>
          <w:rtl/>
        </w:rPr>
        <w:t xml:space="preserve">, כמסופר </w:t>
      </w:r>
      <w:proofErr w:type="spellStart"/>
      <w:r>
        <w:rPr>
          <w:rtl/>
        </w:rPr>
        <w:t>ב“תורת</w:t>
      </w:r>
      <w:proofErr w:type="spellEnd"/>
      <w:r>
        <w:rPr>
          <w:rtl/>
        </w:rPr>
        <w:t xml:space="preserve"> חיים”</w:t>
      </w:r>
      <w:bookmarkStart w:id="2181" w:name="_fnr1382"/>
      <w:r>
        <w:rPr>
          <w:rStyle w:val="a5"/>
        </w:rPr>
        <w:footnoteReference w:id="1385" w:customMarkFollows="0"/>
      </w:r>
      <w:bookmarkEnd w:id="2181"/>
      <w:r>
        <w:rPr>
          <w:rtl/>
        </w:rPr>
        <w:t>: “</w:t>
      </w:r>
      <w:proofErr w:type="spellStart"/>
      <w:r>
        <w:rPr>
          <w:rtl/>
        </w:rPr>
        <w:t>החפץ־חיים</w:t>
      </w:r>
      <w:proofErr w:type="spellEnd"/>
      <w:r>
        <w:rPr>
          <w:rtl/>
        </w:rPr>
        <w:t xml:space="preserve"> [בגאונותו וצדקותו הגדולות] הדיח את הצאר ניקולאי.” אלא שר׳ חיים הוסיף: “אבל מי יודע אם לא יקומו במקומו שליטים גרועים לאין שיעור?!” ר׳ </w:t>
      </w:r>
      <w:proofErr w:type="spellStart"/>
      <w:r>
        <w:rPr>
          <w:rtl/>
        </w:rPr>
        <w:t>חיים־עוזר</w:t>
      </w:r>
      <w:proofErr w:type="spellEnd"/>
      <w:r>
        <w:rPr>
          <w:rtl/>
        </w:rPr>
        <w:t xml:space="preserve"> נפטר שמונה חודשים לאחר ר׳ </w:t>
      </w:r>
      <w:proofErr w:type="spellStart"/>
      <w:r>
        <w:rPr>
          <w:rtl/>
        </w:rPr>
        <w:t>ברוך־בער</w:t>
      </w:r>
      <w:proofErr w:type="spellEnd"/>
      <w:r>
        <w:rPr>
          <w:rtl/>
        </w:rPr>
        <w:t>, באב ת״ש.</w:t>
      </w:r>
    </w:p>
    <w:bookmarkStart w:id="2182" w:name="b3_note136"/>
    <w:p w14:paraId="182E0081" w14:textId="36D3EE9A" w:rsidR="00AB3647" w:rsidRDefault="00000000" w:rsidP="007923E9">
      <w:pPr>
        <w:spacing w:before="120" w:after="100" w:line="276" w:lineRule="auto"/>
        <w:jc w:val="both"/>
      </w:pPr>
      <w:r>
        <w:fldChar w:fldCharType="begin" w:dirty="true"/>
      </w:r>
      <w:r>
        <w:instrText>HYPERLINK \l "b3_ref136"</w:instrText>
      </w:r>
      <w:r>
        <w:fldChar w:fldCharType="separate"/>
      </w:r>
      <w:r>
        <w:rPr>
          <w:b/>
          <w:bCs/>
          <w:rtl/>
        </w:rPr>
        <w:t>136</w:t>
      </w:r>
      <w:r>
        <w:rPr>
          <w:b/>
          <w:bCs/>
        </w:rPr>
        <w:fldChar w:fldCharType="end"/>
      </w:r>
      <w:bookmarkEnd w:id="2182"/>
      <w:r>
        <w:rPr>
          <w:rtl/>
        </w:rPr>
        <w:t xml:space="preserve"> ראה </w:t>
      </w:r>
      <w:r>
        <w:rPr>
          <w:rtl/>
        </w:rPr>
        <w:fldChar w:fldCharType="begin" w:dirty="true"/>
      </w:r>
      <w:r>
        <w:rPr>
          <w:rtl/>
        </w:rPr>
        <w:instrText xml:space="preserve"> REF b3_excFF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לב</w:t>
      </w:r>
      <w:r>
        <w:rPr>
          <w:rtl/>
        </w:rPr>
        <w:fldChar w:fldCharType="end"/>
      </w:r>
      <w:r>
        <w:rPr>
          <w:rtl/>
        </w:rPr>
        <w:t>.</w:t>
      </w:r>
    </w:p>
    <w:bookmarkStart w:id="2183" w:name="b3_note137"/>
    <w:p w14:paraId="37D61B39" w14:textId="77777777" w:rsidR="00AB3647" w:rsidRDefault="00000000" w:rsidP="007923E9">
      <w:pPr>
        <w:spacing w:before="120" w:after="100" w:line="276" w:lineRule="auto"/>
        <w:jc w:val="both"/>
      </w:pPr>
      <w:r>
        <w:fldChar w:fldCharType="begin" w:dirty="true"/>
      </w:r>
      <w:r>
        <w:instrText>HYPERLINK \l "b3_ref137"</w:instrText>
      </w:r>
      <w:r>
        <w:fldChar w:fldCharType="separate"/>
      </w:r>
      <w:r>
        <w:rPr>
          <w:b/>
          <w:bCs/>
          <w:rtl/>
        </w:rPr>
        <w:t>137</w:t>
      </w:r>
      <w:r>
        <w:rPr>
          <w:b/>
          <w:bCs/>
        </w:rPr>
        <w:fldChar w:fldCharType="end"/>
      </w:r>
      <w:bookmarkEnd w:id="2183"/>
      <w:r>
        <w:rPr>
          <w:rtl/>
        </w:rPr>
        <w:t xml:space="preserve"> אבי סיפר לנכדו של ר׳ </w:t>
      </w:r>
      <w:proofErr w:type="spellStart"/>
      <w:r>
        <w:rPr>
          <w:rtl/>
        </w:rPr>
        <w:t>ברוך־בער</w:t>
      </w:r>
      <w:proofErr w:type="spellEnd"/>
      <w:r>
        <w:rPr>
          <w:rtl/>
        </w:rPr>
        <w:t xml:space="preserve">, ר׳ חיים </w:t>
      </w:r>
      <w:proofErr w:type="spellStart"/>
      <w:r>
        <w:rPr>
          <w:rtl/>
        </w:rPr>
        <w:t>גרוזובסקי</w:t>
      </w:r>
      <w:bookmarkStart w:id="2184" w:name="_fnr1383"/>
      <w:proofErr w:type="spellEnd"/>
      <w:r>
        <w:rPr>
          <w:rStyle w:val="a5"/>
        </w:rPr>
        <w:footnoteReference w:id="1386" w:customMarkFollows="0"/>
      </w:r>
      <w:bookmarkEnd w:id="2184"/>
      <w:r>
        <w:rPr>
          <w:rtl/>
        </w:rPr>
        <w:t>, שבכל פעם שהזכיר סבו את שם רבו, הוסיף ברכה: “</w:t>
      </w:r>
      <w:proofErr w:type="spellStart"/>
      <w:r>
        <w:rPr>
          <w:rtl/>
        </w:rPr>
        <w:t>זאל</w:t>
      </w:r>
      <w:proofErr w:type="spellEnd"/>
      <w:r>
        <w:rPr>
          <w:rtl/>
        </w:rPr>
        <w:t xml:space="preserve"> </w:t>
      </w:r>
      <w:proofErr w:type="spellStart"/>
      <w:r>
        <w:rPr>
          <w:rtl/>
        </w:rPr>
        <w:t>געזונט</w:t>
      </w:r>
      <w:proofErr w:type="spellEnd"/>
      <w:r>
        <w:rPr>
          <w:rtl/>
        </w:rPr>
        <w:t xml:space="preserve"> זיין [שיהיה בריא]”. אם בלהט מסירת השיעור השמיט את הברכה, חזר אל המקום שבו הזכיר את רבו והוסיף ברכה מורחבת: “</w:t>
      </w:r>
      <w:proofErr w:type="spellStart"/>
      <w:r>
        <w:rPr>
          <w:rtl/>
        </w:rPr>
        <w:t>זאל</w:t>
      </w:r>
      <w:proofErr w:type="spellEnd"/>
      <w:r>
        <w:rPr>
          <w:rtl/>
        </w:rPr>
        <w:t xml:space="preserve"> </w:t>
      </w:r>
      <w:proofErr w:type="spellStart"/>
      <w:r>
        <w:rPr>
          <w:rtl/>
        </w:rPr>
        <w:t>געזונט</w:t>
      </w:r>
      <w:proofErr w:type="spellEnd"/>
      <w:r>
        <w:rPr>
          <w:rtl/>
        </w:rPr>
        <w:t xml:space="preserve"> און </w:t>
      </w:r>
      <w:proofErr w:type="spellStart"/>
      <w:r>
        <w:rPr>
          <w:b/>
          <w:bCs/>
          <w:rtl/>
        </w:rPr>
        <w:t>שטארק</w:t>
      </w:r>
      <w:proofErr w:type="spellEnd"/>
      <w:r>
        <w:rPr>
          <w:rtl/>
        </w:rPr>
        <w:t xml:space="preserve"> </w:t>
      </w:r>
      <w:r>
        <w:rPr>
          <w:rtl/>
        </w:rPr>
        <w:lastRenderedPageBreak/>
        <w:t>זיין [שיהיה בריא ו</w:t>
      </w:r>
      <w:r>
        <w:rPr>
          <w:b/>
          <w:bCs/>
          <w:rtl/>
        </w:rPr>
        <w:t>חזק</w:t>
      </w:r>
      <w:r>
        <w:rPr>
          <w:rtl/>
        </w:rPr>
        <w:t xml:space="preserve">]”. קשה לקבל את מה שסיפר ר׳ אשר </w:t>
      </w:r>
      <w:proofErr w:type="spellStart"/>
      <w:r>
        <w:rPr>
          <w:rtl/>
        </w:rPr>
        <w:t>קצמן</w:t>
      </w:r>
      <w:bookmarkStart w:id="2185" w:name="_fnr1384"/>
      <w:proofErr w:type="spellEnd"/>
      <w:r>
        <w:rPr>
          <w:rStyle w:val="a5"/>
        </w:rPr>
        <w:footnoteReference w:id="1387" w:customMarkFollows="0"/>
      </w:r>
      <w:bookmarkEnd w:id="2185"/>
      <w:r>
        <w:rPr>
          <w:rtl/>
        </w:rPr>
        <w:t xml:space="preserve"> בשם רבנו, שגם אחרי פטירת ר׳ חיים המשיך ר׳ </w:t>
      </w:r>
      <w:proofErr w:type="spellStart"/>
      <w:r>
        <w:rPr>
          <w:rtl/>
        </w:rPr>
        <w:t>ברוך־בער</w:t>
      </w:r>
      <w:proofErr w:type="spellEnd"/>
      <w:r>
        <w:rPr>
          <w:rtl/>
        </w:rPr>
        <w:t xml:space="preserve"> לברך את רבו באותה ברכה – אף שייתכן בהחלט שאבי שמע שיעורים מר׳ </w:t>
      </w:r>
      <w:proofErr w:type="spellStart"/>
      <w:r>
        <w:rPr>
          <w:rtl/>
        </w:rPr>
        <w:t>ברוך־בער</w:t>
      </w:r>
      <w:proofErr w:type="spellEnd"/>
      <w:r>
        <w:rPr>
          <w:rtl/>
        </w:rPr>
        <w:t xml:space="preserve"> אחרי פטירת ר׳ חיים, בהיותו </w:t>
      </w:r>
      <w:proofErr w:type="spellStart"/>
      <w:r>
        <w:rPr>
          <w:rtl/>
        </w:rPr>
        <w:t>בקרמנצ׳וג</w:t>
      </w:r>
      <w:bookmarkStart w:id="2186" w:name="_fnr1385"/>
      <w:proofErr w:type="spellEnd"/>
      <w:r>
        <w:rPr>
          <w:rStyle w:val="a5"/>
        </w:rPr>
        <w:footnoteReference w:id="1388" w:customMarkFollows="0"/>
      </w:r>
      <w:bookmarkEnd w:id="2186"/>
      <w:r>
        <w:rPr>
          <w:rtl/>
        </w:rPr>
        <w:t>.</w:t>
      </w:r>
    </w:p>
    <w:p w14:paraId="2BDF22B0" w14:textId="77777777" w:rsidR="00AB3647" w:rsidRDefault="00000000" w:rsidP="007923E9">
      <w:pPr>
        <w:spacing w:after="100" w:line="276" w:lineRule="auto"/>
        <w:ind w:firstLine="340"/>
        <w:jc w:val="both"/>
      </w:pPr>
      <w:r>
        <w:rPr>
          <w:rtl/>
        </w:rPr>
        <w:t xml:space="preserve">ר׳ עזרא </w:t>
      </w:r>
      <w:proofErr w:type="spellStart"/>
      <w:r>
        <w:rPr>
          <w:rtl/>
        </w:rPr>
        <w:t>נויברגר</w:t>
      </w:r>
      <w:bookmarkStart w:id="2187" w:name="_fnr1386"/>
      <w:proofErr w:type="spellEnd"/>
      <w:r>
        <w:rPr>
          <w:rStyle w:val="a5"/>
        </w:rPr>
        <w:footnoteReference w:id="1389" w:customMarkFollows="0"/>
      </w:r>
      <w:bookmarkEnd w:id="2187"/>
      <w:r>
        <w:rPr>
          <w:rtl/>
        </w:rPr>
        <w:t xml:space="preserve"> סיפר שפעם, באמצע ההאזנה לשיעורו של ר׳ </w:t>
      </w:r>
      <w:proofErr w:type="spellStart"/>
      <w:r>
        <w:rPr>
          <w:rtl/>
        </w:rPr>
        <w:t>ברוך־בער</w:t>
      </w:r>
      <w:proofErr w:type="spellEnd"/>
      <w:r>
        <w:rPr>
          <w:rtl/>
        </w:rPr>
        <w:t xml:space="preserve">, הבחין אבי שראש הישיבה מגלגל את </w:t>
      </w:r>
      <w:proofErr w:type="spellStart"/>
      <w:r>
        <w:rPr>
          <w:rtl/>
        </w:rPr>
        <w:t>הרי״שין</w:t>
      </w:r>
      <w:proofErr w:type="spellEnd"/>
      <w:r>
        <w:rPr>
          <w:rtl/>
        </w:rPr>
        <w:t xml:space="preserve">. אבי ידע </w:t>
      </w:r>
      <w:proofErr w:type="spellStart"/>
      <w:r>
        <w:rPr>
          <w:rtl/>
        </w:rPr>
        <w:t>שבסלוצק</w:t>
      </w:r>
      <w:proofErr w:type="spellEnd"/>
      <w:r>
        <w:rPr>
          <w:rtl/>
        </w:rPr>
        <w:t xml:space="preserve">, עיר הולדתו של ר׳ </w:t>
      </w:r>
      <w:proofErr w:type="spellStart"/>
      <w:r>
        <w:rPr>
          <w:rtl/>
        </w:rPr>
        <w:t>ברוך־בער</w:t>
      </w:r>
      <w:proofErr w:type="spellEnd"/>
      <w:r>
        <w:rPr>
          <w:rtl/>
        </w:rPr>
        <w:t xml:space="preserve">, הגו את הרי״ש מן הגרון, ולכן הסיק שר׳ </w:t>
      </w:r>
      <w:proofErr w:type="spellStart"/>
      <w:r>
        <w:rPr>
          <w:rtl/>
        </w:rPr>
        <w:t>ברוך־בער</w:t>
      </w:r>
      <w:proofErr w:type="spellEnd"/>
      <w:r>
        <w:rPr>
          <w:rtl/>
        </w:rPr>
        <w:t xml:space="preserve"> התאים את הגייתו לזו של רבו, יליד </w:t>
      </w:r>
      <w:proofErr w:type="spellStart"/>
      <w:r>
        <w:rPr>
          <w:rtl/>
        </w:rPr>
        <w:t>וולוז׳ין</w:t>
      </w:r>
      <w:proofErr w:type="spellEnd"/>
      <w:r>
        <w:rPr>
          <w:rtl/>
        </w:rPr>
        <w:t>. נינים של רבנו, ר׳ שמואל ור׳ דב וילהלם, סיפרו</w:t>
      </w:r>
      <w:bookmarkStart w:id="2188" w:name="_fnr1387"/>
      <w:r>
        <w:rPr>
          <w:rStyle w:val="a5"/>
        </w:rPr>
        <w:footnoteReference w:id="1390" w:customMarkFollows="0"/>
      </w:r>
      <w:bookmarkEnd w:id="2188"/>
      <w:r>
        <w:rPr>
          <w:rtl/>
        </w:rPr>
        <w:t xml:space="preserve"> ששמעו בישיבת </w:t>
      </w:r>
      <w:proofErr w:type="spellStart"/>
      <w:r>
        <w:rPr>
          <w:rtl/>
        </w:rPr>
        <w:t>בריסק</w:t>
      </w:r>
      <w:proofErr w:type="spellEnd"/>
      <w:r>
        <w:rPr>
          <w:rtl/>
        </w:rPr>
        <w:t xml:space="preserve"> בירושלים שרבנו ביקר פעם בעיר וחלק כבוד לאלמנתו ולילדיו של ר׳ </w:t>
      </w:r>
      <w:proofErr w:type="spellStart"/>
      <w:r>
        <w:rPr>
          <w:rtl/>
        </w:rPr>
        <w:t xml:space="preserve">יושע־בערל</w:t>
      </w:r>
      <w:proofErr w:type="spellEnd"/>
      <w:r>
        <w:rPr>
          <w:rtl/>
        </w:rPr>
        <w:t xml:space="preserve"> </w:t>
      </w:r>
      <w:proofErr w:type="spellStart"/>
      <w:r>
        <w:rPr>
          <w:rtl/>
        </w:rPr>
        <w:t>סולובייצ׳יק</w:t>
      </w:r>
      <w:proofErr w:type="spellEnd"/>
      <w:r>
        <w:rPr>
          <w:rtl/>
        </w:rPr>
        <w:t xml:space="preserve">. הוא אמר לבני משפחת </w:t>
      </w:r>
      <w:proofErr w:type="spellStart"/>
      <w:r>
        <w:rPr>
          <w:rtl/>
        </w:rPr>
        <w:t>סולובייצ׳יק</w:t>
      </w:r>
      <w:proofErr w:type="spellEnd"/>
      <w:r>
        <w:rPr>
          <w:rtl/>
        </w:rPr>
        <w:t xml:space="preserve"> ששמע פעם את ר׳ חיים </w:t>
      </w:r>
      <w:proofErr w:type="spellStart"/>
      <w:r>
        <w:rPr>
          <w:rtl/>
        </w:rPr>
        <w:t>סולובייצ׳יק</w:t>
      </w:r>
      <w:proofErr w:type="spellEnd"/>
      <w:r>
        <w:rPr>
          <w:rtl/>
        </w:rPr>
        <w:t xml:space="preserve"> קורא בתורה במינסק, וחיקה במדויק את הגייתו של ר׳ חיים, ובכלל זה את גלגול ה־ר’!</w:t>
      </w:r>
    </w:p>
    <w:p w14:paraId="2A4290A2" w14:textId="77777777" w:rsidR="00AB3647" w:rsidRDefault="00000000" w:rsidP="007923E9">
      <w:pPr>
        <w:spacing w:after="100" w:line="276" w:lineRule="auto"/>
        <w:ind w:firstLine="340"/>
        <w:jc w:val="both"/>
      </w:pPr>
      <w:r>
        <w:rPr>
          <w:rtl/>
        </w:rPr>
        <w:t xml:space="preserve">“ר׳ </w:t>
      </w:r>
      <w:proofErr w:type="spellStart"/>
      <w:r>
        <w:rPr>
          <w:rtl/>
        </w:rPr>
        <w:t>ברוך־בער</w:t>
      </w:r>
      <w:proofErr w:type="spellEnd"/>
      <w:r>
        <w:rPr>
          <w:rtl/>
        </w:rPr>
        <w:t xml:space="preserve"> חיקה את רבו אפילו בזה!”</w:t>
      </w:r>
      <w:bookmarkStart w:id="2189" w:name="_fnr1388"/>
      <w:r>
        <w:rPr>
          <w:rStyle w:val="a5"/>
        </w:rPr>
        <w:footnoteReference w:id="1391" w:customMarkFollows="0"/>
      </w:r>
      <w:bookmarkEnd w:id="2189"/>
      <w:r>
        <w:rPr>
          <w:rtl/>
        </w:rPr>
        <w:t xml:space="preserve"> קרא אבי בתדהמה. רבנו לא ראה את ר׳ חיים מעולם עד אחרי פרוץ מלחמת העולם הראשונה. לכן, אם הבחין בכך לאחר ששמע את קריאת התורה של ר׳ חיים, ודאי שמע את ר׳ </w:t>
      </w:r>
      <w:proofErr w:type="spellStart"/>
      <w:r>
        <w:rPr>
          <w:rtl/>
        </w:rPr>
        <w:t>ברוך־בער</w:t>
      </w:r>
      <w:proofErr w:type="spellEnd"/>
      <w:r>
        <w:rPr>
          <w:rtl/>
        </w:rPr>
        <w:t xml:space="preserve"> מוסר שיעור במינסק, שאליה נדד ר׳ </w:t>
      </w:r>
      <w:proofErr w:type="spellStart"/>
      <w:r>
        <w:rPr>
          <w:rtl/>
        </w:rPr>
        <w:t>ברוך־בער</w:t>
      </w:r>
      <w:proofErr w:type="spellEnd"/>
      <w:r>
        <w:rPr>
          <w:rtl/>
        </w:rPr>
        <w:t xml:space="preserve"> בתחילת המלחמה</w:t>
      </w:r>
      <w:bookmarkStart w:id="2190" w:name="_fnr1389"/>
      <w:r>
        <w:rPr>
          <w:rStyle w:val="a5"/>
        </w:rPr>
        <w:footnoteReference w:id="1392" w:customMarkFollows="0"/>
      </w:r>
      <w:bookmarkEnd w:id="2190"/>
      <w:r>
        <w:rPr>
          <w:rtl/>
        </w:rPr>
        <w:t xml:space="preserve"> – או שאבי שמע את ר׳ </w:t>
      </w:r>
      <w:proofErr w:type="spellStart"/>
      <w:r>
        <w:rPr>
          <w:rtl/>
        </w:rPr>
        <w:t>ברוך־בער</w:t>
      </w:r>
      <w:proofErr w:type="spellEnd"/>
      <w:r>
        <w:rPr>
          <w:rtl/>
        </w:rPr>
        <w:t xml:space="preserve"> מאוחר יותר </w:t>
      </w:r>
      <w:proofErr w:type="spellStart"/>
      <w:r>
        <w:rPr>
          <w:rtl/>
        </w:rPr>
        <w:t>בקרמנצ׳וג</w:t>
      </w:r>
      <w:proofErr w:type="spellEnd"/>
      <w:r>
        <w:rPr>
          <w:rtl/>
        </w:rPr>
        <w:t>, כפי שהוצע לעיל.</w:t>
      </w:r>
    </w:p>
    <w:p w14:paraId="56B35065" w14:textId="77777777" w:rsidR="00AB3647" w:rsidRDefault="00000000" w:rsidP="007923E9">
      <w:pPr>
        <w:spacing w:after="100" w:line="276" w:lineRule="auto"/>
        <w:ind w:firstLine="340"/>
        <w:jc w:val="both"/>
      </w:pPr>
      <w:r>
        <w:rPr>
          <w:rtl/>
        </w:rPr>
        <w:t xml:space="preserve">התקשרותו של ר׳ </w:t>
      </w:r>
      <w:proofErr w:type="spellStart"/>
      <w:r>
        <w:rPr>
          <w:rtl/>
        </w:rPr>
        <w:t>ברוך־בער</w:t>
      </w:r>
      <w:proofErr w:type="spellEnd"/>
      <w:r>
        <w:rPr>
          <w:rtl/>
        </w:rPr>
        <w:t xml:space="preserve"> </w:t>
      </w:r>
      <w:proofErr w:type="spellStart"/>
      <w:r>
        <w:rPr>
          <w:rtl/>
        </w:rPr>
        <w:t>לר</w:t>
      </w:r>
      <w:proofErr w:type="spellEnd"/>
      <w:r>
        <w:rPr>
          <w:rtl/>
        </w:rPr>
        <w:t xml:space="preserve">׳ חיים התבטאה גם ביחסו לילדיו. ר׳ נח זבולוני, שלמד אצל ר׳ </w:t>
      </w:r>
      <w:proofErr w:type="spellStart"/>
      <w:r>
        <w:rPr>
          <w:rtl/>
        </w:rPr>
        <w:t>ברוך־בער</w:t>
      </w:r>
      <w:proofErr w:type="spellEnd"/>
      <w:r>
        <w:rPr>
          <w:rtl/>
        </w:rPr>
        <w:t xml:space="preserve"> </w:t>
      </w:r>
      <w:proofErr w:type="spellStart"/>
      <w:r>
        <w:rPr>
          <w:rtl/>
        </w:rPr>
        <w:t>בקמניץ</w:t>
      </w:r>
      <w:proofErr w:type="spellEnd"/>
      <w:r>
        <w:rPr>
          <w:rtl/>
        </w:rPr>
        <w:t xml:space="preserve"> שבע שנים, סיפר</w:t>
      </w:r>
      <w:bookmarkStart w:id="2191" w:name="_fnr1390"/>
      <w:r>
        <w:rPr>
          <w:rStyle w:val="a5"/>
        </w:rPr>
        <w:footnoteReference w:id="1393" w:customMarkFollows="0"/>
      </w:r>
      <w:bookmarkEnd w:id="2191"/>
      <w:r>
        <w:rPr>
          <w:rtl/>
        </w:rPr>
        <w:t xml:space="preserve"> שבעיר </w:t>
      </w:r>
      <w:proofErr w:type="spellStart"/>
      <w:r>
        <w:rPr>
          <w:rtl/>
        </w:rPr>
        <w:t>ראדום</w:t>
      </w:r>
      <w:proofErr w:type="spellEnd"/>
      <w:r>
        <w:rPr>
          <w:rtl/>
        </w:rPr>
        <w:t xml:space="preserve">, מדרום לוורשה, פרצה מחלוקת בין הרב, שהיה חבר אגודת ישראל, לבין השוחט, איש המזרחי. ר׳ </w:t>
      </w:r>
      <w:proofErr w:type="spellStart"/>
      <w:r>
        <w:rPr>
          <w:rtl/>
        </w:rPr>
        <w:t>צבי־חנוך</w:t>
      </w:r>
      <w:proofErr w:type="spellEnd"/>
      <w:r>
        <w:rPr>
          <w:rtl/>
        </w:rPr>
        <w:t xml:space="preserve"> לוין, רבה </w:t>
      </w:r>
      <w:proofErr w:type="spellStart"/>
      <w:r>
        <w:rPr>
          <w:rtl/>
        </w:rPr>
        <w:t>רב־ההשפעה</w:t>
      </w:r>
      <w:proofErr w:type="spellEnd"/>
      <w:r>
        <w:rPr>
          <w:rtl/>
        </w:rPr>
        <w:t xml:space="preserve"> של </w:t>
      </w:r>
      <w:proofErr w:type="spellStart"/>
      <w:r>
        <w:rPr>
          <w:rtl/>
        </w:rPr>
        <w:t>בנדין</w:t>
      </w:r>
      <w:proofErr w:type="spellEnd"/>
      <w:r>
        <w:rPr>
          <w:rtl/>
        </w:rPr>
        <w:t xml:space="preserve"> ומחותנו של הרבי מגור, פרסם מאמר תורני התומך בעמדת הרב, ואז פרסם ר׳ משה </w:t>
      </w:r>
      <w:proofErr w:type="spellStart"/>
      <w:r>
        <w:rPr>
          <w:rtl/>
        </w:rPr>
        <w:t>סולובייצ׳יק</w:t>
      </w:r>
      <w:proofErr w:type="spellEnd"/>
      <w:r>
        <w:rPr>
          <w:rtl/>
        </w:rPr>
        <w:t xml:space="preserve"> מאמר תשובה בעיתון </w:t>
      </w:r>
      <w:proofErr w:type="spellStart"/>
      <w:r>
        <w:rPr>
          <w:rtl/>
        </w:rPr>
        <w:t>הוורשאי</w:t>
      </w:r>
      <w:proofErr w:type="spellEnd"/>
      <w:r>
        <w:rPr>
          <w:rtl/>
        </w:rPr>
        <w:t xml:space="preserve"> “</w:t>
      </w:r>
      <w:proofErr w:type="spellStart"/>
      <w:r>
        <w:rPr>
          <w:rtl/>
        </w:rPr>
        <w:t>היינט</w:t>
      </w:r>
      <w:proofErr w:type="spellEnd"/>
      <w:r>
        <w:rPr>
          <w:rtl/>
        </w:rPr>
        <w:t xml:space="preserve">” [היום], ובו הפריך את טיעונו של ר׳ </w:t>
      </w:r>
      <w:proofErr w:type="spellStart"/>
      <w:r>
        <w:rPr>
          <w:rtl/>
        </w:rPr>
        <w:t>צבי־חנוך</w:t>
      </w:r>
      <w:proofErr w:type="spellEnd"/>
      <w:r>
        <w:rPr>
          <w:rtl/>
        </w:rPr>
        <w:t xml:space="preserve"> לוין מכל וכל. כמה רבנים פולנים נזעמים יצאו בתוקף נגד ר׳ משה, ששימש אז ראש רוחני בבית המדרש לרבנים של המזרחי, </w:t>
      </w:r>
      <w:proofErr w:type="spellStart"/>
      <w:r>
        <w:rPr>
          <w:rtl/>
        </w:rPr>
        <w:t>תחכמוני</w:t>
      </w:r>
      <w:proofErr w:type="spellEnd"/>
      <w:r>
        <w:rPr>
          <w:rtl/>
        </w:rPr>
        <w:t xml:space="preserve">, על שהתערב בסכסוך רבני, ואיימו להחרימו. אבל ר׳ </w:t>
      </w:r>
      <w:proofErr w:type="spellStart"/>
      <w:r>
        <w:rPr>
          <w:rtl/>
        </w:rPr>
        <w:t>ברוך־בער</w:t>
      </w:r>
      <w:proofErr w:type="spellEnd"/>
      <w:r>
        <w:rPr>
          <w:rtl/>
        </w:rPr>
        <w:t xml:space="preserve"> ביטל את הדיבורים האלה ואמר: “את ילדי הרבי אין איש מעז להחרים!”</w:t>
      </w:r>
    </w:p>
    <w:p w14:paraId="38201FB6" w14:textId="77777777" w:rsidR="00AB3647" w:rsidRDefault="00000000" w:rsidP="007923E9">
      <w:pPr>
        <w:spacing w:after="100" w:line="276" w:lineRule="auto"/>
        <w:ind w:firstLine="340"/>
        <w:jc w:val="both"/>
      </w:pPr>
      <w:r>
        <w:rPr>
          <w:rtl/>
        </w:rPr>
        <w:t xml:space="preserve">באותה עת אמרו שלמעשה בנו של ר׳ משה, ר׳ </w:t>
      </w:r>
      <w:proofErr w:type="spellStart"/>
      <w:r>
        <w:rPr>
          <w:rtl/>
        </w:rPr>
        <w:t xml:space="preserve">יוסף־דב</w:t>
      </w:r>
      <w:proofErr w:type="spellEnd"/>
      <w:r>
        <w:rPr>
          <w:rtl/>
        </w:rPr>
        <w:t xml:space="preserve">, הוא שכתב את המאמר ופרסמו בשם אביו. לפי אחותו של ר׳ </w:t>
      </w:r>
      <w:proofErr w:type="spellStart"/>
      <w:r>
        <w:rPr>
          <w:rtl/>
        </w:rPr>
        <w:t xml:space="preserve">יוסף־דב</w:t>
      </w:r>
      <w:proofErr w:type="spellEnd"/>
      <w:r>
        <w:rPr>
          <w:rtl/>
        </w:rPr>
        <w:t xml:space="preserve"> </w:t>
      </w:r>
      <w:proofErr w:type="spellStart"/>
      <w:r>
        <w:rPr>
          <w:rtl/>
        </w:rPr>
        <w:t>ב“מורשת</w:t>
      </w:r>
      <w:proofErr w:type="spellEnd"/>
      <w:r>
        <w:rPr>
          <w:rtl/>
        </w:rPr>
        <w:t xml:space="preserve"> </w:t>
      </w:r>
      <w:proofErr w:type="spellStart"/>
      <w:r>
        <w:rPr>
          <w:rtl/>
        </w:rPr>
        <w:t>סולובייצ׳יק</w:t>
      </w:r>
      <w:proofErr w:type="spellEnd"/>
      <w:r>
        <w:rPr>
          <w:rtl/>
        </w:rPr>
        <w:t xml:space="preserve">”, הוא גם שהעמיד את אביו על כך </w:t>
      </w:r>
      <w:proofErr w:type="spellStart"/>
      <w:r>
        <w:rPr>
          <w:rtl/>
        </w:rPr>
        <w:t>ש“תחכמוני</w:t>
      </w:r>
      <w:proofErr w:type="spellEnd"/>
      <w:r>
        <w:rPr>
          <w:rtl/>
        </w:rPr>
        <w:t>” “אינו עומד בתקנונו”, ולכן אין זה מוסד שר׳ משה צריך לעמוד בראשו עוד.</w:t>
      </w:r>
      <w:bookmarkStart w:id="2192" w:name="_fnr1391"/>
      <w:r>
        <w:rPr>
          <w:rStyle w:val="a5"/>
        </w:rPr>
        <w:footnoteReference w:id="1394" w:customMarkFollows="0"/>
      </w:r>
      <w:bookmarkEnd w:id="2192"/>
    </w:p>
    <w:p w14:paraId="436D6DF9" w14:textId="7B75583E" w:rsidR="00AB3647" w:rsidRDefault="00000000" w:rsidP="007923E9">
      <w:pPr>
        <w:spacing w:after="100" w:line="276" w:lineRule="auto"/>
        <w:ind w:firstLine="340"/>
        <w:jc w:val="both"/>
      </w:pPr>
      <w:r>
        <w:rPr>
          <w:rtl/>
        </w:rPr>
        <w:lastRenderedPageBreak/>
        <w:t xml:space="preserve">השווה גם “מורשת </w:t>
      </w:r>
      <w:proofErr w:type="spellStart"/>
      <w:r>
        <w:rPr>
          <w:rtl/>
        </w:rPr>
        <w:t>סולובייצ׳יק</w:t>
      </w:r>
      <w:proofErr w:type="spellEnd"/>
      <w:r>
        <w:rPr>
          <w:rtl/>
        </w:rPr>
        <w:t>”</w:t>
      </w:r>
      <w:bookmarkStart w:id="2193" w:name="_fnr1392"/>
      <w:r>
        <w:rPr>
          <w:rStyle w:val="a5"/>
        </w:rPr>
        <w:footnoteReference w:id="1395" w:customMarkFollows="0"/>
      </w:r>
      <w:bookmarkEnd w:id="2193"/>
      <w:r>
        <w:rPr>
          <w:rtl/>
        </w:rPr>
        <w:t xml:space="preserve">. שם מסופר שתלמידי ישיבת </w:t>
      </w:r>
      <w:proofErr w:type="spellStart"/>
      <w:r>
        <w:rPr>
          <w:rtl/>
        </w:rPr>
        <w:t>קמניץ</w:t>
      </w:r>
      <w:proofErr w:type="spellEnd"/>
      <w:r>
        <w:rPr>
          <w:rtl/>
        </w:rPr>
        <w:t xml:space="preserve"> תכננו – לפי הנטען, בהסתת משגיח הישיבה – להחרים את השיעור שהוזמן ר׳ משה </w:t>
      </w:r>
      <w:proofErr w:type="spellStart"/>
      <w:r>
        <w:rPr>
          <w:rtl/>
        </w:rPr>
        <w:t>סולובייצ׳יק</w:t>
      </w:r>
      <w:proofErr w:type="spellEnd"/>
      <w:r>
        <w:rPr>
          <w:rtl/>
        </w:rPr>
        <w:t xml:space="preserve"> למסור בה, שוב בשל זיהויו של ר׳ משה עם המזרחי. ר׳ </w:t>
      </w:r>
      <w:proofErr w:type="spellStart"/>
      <w:r>
        <w:rPr>
          <w:rtl/>
        </w:rPr>
        <w:t>ברוך־בער</w:t>
      </w:r>
      <w:proofErr w:type="spellEnd"/>
      <w:r>
        <w:rPr>
          <w:rtl/>
        </w:rPr>
        <w:t xml:space="preserve"> אמר לתלמידים בדמעות: “הרכילות המופצת על גדול התורה, ידידי ועמיתי ר׳ משה </w:t>
      </w:r>
      <w:proofErr w:type="spellStart"/>
      <w:r>
        <w:rPr>
          <w:rtl/>
        </w:rPr>
        <w:t>סולובייצ׳יק</w:t>
      </w:r>
      <w:proofErr w:type="spellEnd"/>
      <w:r>
        <w:rPr>
          <w:rtl/>
        </w:rPr>
        <w:t xml:space="preserve">, היא א חרפה און א </w:t>
      </w:r>
      <w:proofErr w:type="spellStart"/>
      <w:r>
        <w:rPr>
          <w:rtl/>
        </w:rPr>
        <w:t>שאנדע</w:t>
      </w:r>
      <w:proofErr w:type="spellEnd"/>
      <w:r>
        <w:rPr>
          <w:rtl/>
        </w:rPr>
        <w:t xml:space="preserve"> [חרפה ובושה]. הוא בא לישיבה, ואני מצפה מכולכם להשתתף בשיעורו ולחלוק לו את הכבוד הראוי לו.” </w:t>
      </w:r>
      <w:proofErr w:type="spellStart"/>
      <w:r>
        <w:rPr>
          <w:rtl/>
        </w:rPr>
        <w:t>ב“מורשת</w:t>
      </w:r>
      <w:proofErr w:type="spellEnd"/>
      <w:r>
        <w:rPr>
          <w:rtl/>
        </w:rPr>
        <w:t xml:space="preserve"> </w:t>
      </w:r>
      <w:proofErr w:type="spellStart"/>
      <w:r>
        <w:rPr>
          <w:rtl/>
        </w:rPr>
        <w:t>סולובייצ׳יק</w:t>
      </w:r>
      <w:proofErr w:type="spellEnd"/>
      <w:r>
        <w:rPr>
          <w:rtl/>
        </w:rPr>
        <w:t xml:space="preserve">” נוסף: “ר׳ משה בא ומסר את שיעורו התלמודי. במשך כל השיעור בכה ר׳ </w:t>
      </w:r>
      <w:proofErr w:type="spellStart"/>
      <w:r>
        <w:rPr>
          <w:rtl/>
        </w:rPr>
        <w:t>ברוך־בער</w:t>
      </w:r>
      <w:proofErr w:type="spellEnd"/>
      <w:r>
        <w:rPr>
          <w:rtl/>
        </w:rPr>
        <w:t xml:space="preserve">.” הספר אינו מציע הסבר לבכיו של ר׳ </w:t>
      </w:r>
      <w:proofErr w:type="spellStart"/>
      <w:r>
        <w:rPr>
          <w:rtl/>
        </w:rPr>
        <w:t>ברוך־בער</w:t>
      </w:r>
      <w:proofErr w:type="spellEnd"/>
      <w:r>
        <w:rPr>
          <w:rtl/>
        </w:rPr>
        <w:t>. ייתכן שכאב לו על הביזיון שכמעט נגרם לרבו המנוח, כמו שביטא בבירור בעניין הסכסוך הרבני שנזכר לעיל. השווה גם פרק 5, הפסקה הראשונה ב</w:t>
      </w:r>
      <w:r>
        <w:rPr>
          <w:rtl/>
        </w:rPr>
        <w:fldChar w:fldCharType="begin" w:dirty="true"/>
      </w:r>
      <w:r>
        <w:rPr>
          <w:rtl/>
        </w:rPr>
        <w:instrText xml:space="preserve"> REF b5_excF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ו</w:t>
      </w:r>
      <w:r>
        <w:rPr>
          <w:rtl/>
        </w:rPr>
        <w:fldChar w:fldCharType="end"/>
      </w:r>
      <w:r>
        <w:rPr>
          <w:rtl/>
        </w:rPr>
        <w:t xml:space="preserve">, על מה שעשה ר׳ </w:t>
      </w:r>
      <w:proofErr w:type="spellStart"/>
      <w:r>
        <w:rPr>
          <w:rtl/>
        </w:rPr>
        <w:t>ברוך־בער</w:t>
      </w:r>
      <w:proofErr w:type="spellEnd"/>
      <w:r>
        <w:rPr>
          <w:rtl/>
        </w:rPr>
        <w:t xml:space="preserve"> כדי להשיג </w:t>
      </w:r>
      <w:proofErr w:type="spellStart"/>
      <w:r>
        <w:rPr>
          <w:rtl/>
        </w:rPr>
        <w:t>לר</w:t>
      </w:r>
      <w:proofErr w:type="spellEnd"/>
      <w:r>
        <w:rPr>
          <w:rtl/>
        </w:rPr>
        <w:t xml:space="preserve">׳ משה את כיסא הרבנות הראשון שלו, </w:t>
      </w:r>
      <w:proofErr w:type="spellStart"/>
      <w:r>
        <w:rPr>
          <w:rtl/>
        </w:rPr>
        <w:t>בראסיין</w:t>
      </w:r>
      <w:proofErr w:type="spellEnd"/>
      <w:r>
        <w:rPr>
          <w:rtl/>
        </w:rPr>
        <w:t xml:space="preserve"> – אבל זאת עשה במצוותו הישירה של ר׳ חיים.</w:t>
      </w:r>
    </w:p>
    <w:p w14:paraId="5820AFAA" w14:textId="5F2F161E"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בתחילה נכונה </w:t>
      </w:r>
      <w:proofErr w:type="spellStart"/>
      <w:r>
        <w:rPr>
          <w:rtl/>
        </w:rPr>
        <w:t>לדולהינובר</w:t>
      </w:r>
      <w:proofErr w:type="spellEnd"/>
      <w:r>
        <w:rPr>
          <w:rtl/>
        </w:rPr>
        <w:t xml:space="preserve"> ולשאר חבריו אכזבה. הם החליטו לבקר בבית ר׳ </w:t>
      </w:r>
      <w:proofErr w:type="spellStart"/>
      <w:r>
        <w:rPr>
          <w:rtl/>
        </w:rPr>
        <w:t>ברוך־בער</w:t>
      </w:r>
      <w:proofErr w:type="spellEnd"/>
      <w:r>
        <w:rPr>
          <w:rtl/>
        </w:rPr>
        <w:t xml:space="preserve"> כדי לדבר עמו בלימוד, ולתמיהתם, כל מה שעשה ראש הישיבה למשמע דברי התורה שהציעו היה להמהם. הוא לא הביע לא הסכמה ולא הסתייגות. לימים גילו שר׳ </w:t>
      </w:r>
      <w:proofErr w:type="spellStart"/>
      <w:r>
        <w:rPr>
          <w:rtl/>
        </w:rPr>
        <w:t>ברוך־בער</w:t>
      </w:r>
      <w:proofErr w:type="spellEnd"/>
      <w:r>
        <w:rPr>
          <w:rtl/>
        </w:rPr>
        <w:t xml:space="preserve"> הבין שרבו הורה לו שלא לדבר ביחידות עם תלמידי הישיבה המתחרה</w:t>
      </w:r>
      <w:bookmarkStart w:id="2194" w:name="b3_ref138"/>
      <w:bookmarkEnd w:id="2194"/>
      <w:r>
        <w:rPr>
          <w:vertAlign w:val="superscript"/>
          <w:rtl/>
        </w:rPr>
        <w:fldChar w:fldCharType="begin" w:dirty="true"/>
      </w:r>
      <w:r>
        <w:rPr>
          <w:vertAlign w:val="superscript"/>
          <w:rtl/>
        </w:rPr>
        <w:instrText xml:space="preserve"> REF b3_note138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138</w:t>
      </w:r>
      <w:r>
        <w:rPr>
          <w:vertAlign w:val="superscript"/>
          <w:rtl/>
        </w:rPr>
        <w:fldChar w:fldCharType="end"/>
      </w:r>
      <w:r>
        <w:rPr>
          <w:rtl/>
        </w:rPr>
        <w:t xml:space="preserve">. אבל יחסו השלילי של ר׳ </w:t>
      </w:r>
      <w:proofErr w:type="spellStart"/>
      <w:r>
        <w:rPr>
          <w:rtl/>
        </w:rPr>
        <w:t>ברוך־בער</w:t>
      </w:r>
      <w:proofErr w:type="spellEnd"/>
      <w:r>
        <w:rPr>
          <w:rtl/>
        </w:rPr>
        <w:t xml:space="preserve"> לא ארך ימים</w:t>
      </w:r>
      <w:bookmarkStart w:id="2195" w:name="b3_ref139"/>
      <w:bookmarkEnd w:id="2195"/>
      <w:r>
        <w:rPr>
          <w:vertAlign w:val="superscript"/>
          <w:rtl/>
        </w:rPr>
        <w:fldChar w:fldCharType="begin" w:dirty="true"/>
      </w:r>
      <w:r>
        <w:rPr>
          <w:vertAlign w:val="superscript"/>
          <w:rtl/>
        </w:rPr>
        <w:instrText xml:space="preserve"> REF b3_note139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139</w:t>
      </w:r>
      <w:r>
        <w:rPr>
          <w:vertAlign w:val="superscript"/>
          <w:rtl/>
        </w:rPr>
        <w:fldChar w:fldCharType="end"/>
      </w:r>
      <w:r>
        <w:rPr>
          <w:rtl/>
        </w:rPr>
        <w:t>. התמדתם של תלמידי ישיבת המוסר פילסה דרך אל לבו הרך</w:t>
      </w:r>
      <w:bookmarkStart w:id="2196" w:name="b3_ref140"/>
      <w:bookmarkEnd w:id="2196"/>
      <w:r>
        <w:rPr>
          <w:vertAlign w:val="superscript"/>
          <w:rtl/>
        </w:rPr>
        <w:fldChar w:fldCharType="begin" w:dirty="true"/>
      </w:r>
      <w:r>
        <w:rPr>
          <w:vertAlign w:val="superscript"/>
          <w:rtl/>
        </w:rPr>
        <w:instrText xml:space="preserve"> REF b3_note140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140</w:t>
      </w:r>
      <w:r>
        <w:rPr>
          <w:vertAlign w:val="superscript"/>
          <w:rtl/>
        </w:rPr>
        <w:fldChar w:fldCharType="end"/>
      </w:r>
      <w:r>
        <w:rPr>
          <w:rtl/>
        </w:rPr>
        <w:t>, הטוב ואוהב התורה. לבסוף אף היו רצויים במפגשים שקיים בביתו אחרי סעודה שלישית</w:t>
      </w:r>
      <w:bookmarkStart w:id="2197" w:name="b3_ref141"/>
      <w:bookmarkEnd w:id="2197"/>
      <w:r>
        <w:rPr>
          <w:vertAlign w:val="superscript"/>
          <w:rtl/>
        </w:rPr>
        <w:fldChar w:fldCharType="begin" w:dirty="true"/>
      </w:r>
      <w:r>
        <w:rPr>
          <w:vertAlign w:val="superscript"/>
          <w:rtl/>
        </w:rPr>
        <w:instrText xml:space="preserve"> REF b3_note141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141</w:t>
      </w:r>
      <w:r>
        <w:rPr>
          <w:vertAlign w:val="superscript"/>
          <w:rtl/>
        </w:rPr>
        <w:fldChar w:fldCharType="end"/>
      </w:r>
      <w:r>
        <w:rPr>
          <w:rtl/>
        </w:rPr>
        <w:t>, ובהם יכלו התלמידים להעלות שאלות ולהציע פתרונות אחרים לקושיות שהועלו בשיעוריו.</w:t>
      </w:r>
    </w:p>
    <w:bookmarkStart w:id="2198" w:name="b3_note138"/>
    <w:p w14:paraId="78FFEE29" w14:textId="2C70723D" w:rsidR="00AB3647" w:rsidRDefault="00000000" w:rsidP="007923E9">
      <w:pPr>
        <w:spacing w:before="120" w:after="100" w:line="276" w:lineRule="auto"/>
        <w:jc w:val="both"/>
      </w:pPr>
      <w:r>
        <w:fldChar w:fldCharType="begin" w:dirty="true"/>
      </w:r>
      <w:r>
        <w:instrText>HYPERLINK \l "b3_ref138"</w:instrText>
      </w:r>
      <w:r>
        <w:fldChar w:fldCharType="separate"/>
      </w:r>
      <w:r>
        <w:rPr>
          <w:b/>
          <w:bCs/>
          <w:rtl/>
        </w:rPr>
        <w:t>138</w:t>
      </w:r>
      <w:r>
        <w:rPr>
          <w:b/>
          <w:bCs/>
        </w:rPr>
        <w:fldChar w:fldCharType="end"/>
      </w:r>
      <w:bookmarkEnd w:id="2198"/>
      <w:r>
        <w:rPr>
          <w:rtl/>
        </w:rPr>
        <w:t xml:space="preserve"> ר׳ עזרא </w:t>
      </w:r>
      <w:proofErr w:type="spellStart"/>
      <w:r>
        <w:rPr>
          <w:rtl/>
        </w:rPr>
        <w:t>נויברגר</w:t>
      </w:r>
      <w:proofErr w:type="spellEnd"/>
      <w:r>
        <w:rPr>
          <w:rtl/>
        </w:rPr>
        <w:t xml:space="preserve"> שמע זאת מפי אבי. האיסור נבע מיחסו המסתייג של ר׳ חיים למוסר – השווה נספח </w:t>
      </w:r>
      <w:proofErr w:type="spellStart"/>
      <w:r>
        <w:rPr>
          <w:rtl/>
        </w:rPr>
        <w:t>יב</w:t>
      </w:r>
      <w:proofErr w:type="spellEnd"/>
      <w:r>
        <w:rPr>
          <w:rtl/>
        </w:rPr>
        <w:t xml:space="preserve"> והפסקה שלפני האחרונה ב</w:t>
      </w:r>
      <w:r>
        <w:rPr>
          <w:rtl/>
        </w:rPr>
        <w:fldChar w:fldCharType="begin" w:dirty="true"/>
      </w:r>
      <w:r>
        <w:rPr>
          <w:rtl/>
        </w:rPr>
        <w:instrText xml:space="preserve"> REF b3_excN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יד</w:t>
      </w:r>
      <w:r>
        <w:rPr>
          <w:rtl/>
        </w:rPr>
        <w:fldChar w:fldCharType="end"/>
      </w:r>
      <w:r>
        <w:rPr>
          <w:rtl/>
        </w:rPr>
        <w:t xml:space="preserve"> להלן. בריאיון המוקלט על תנועת המוסר אמר אבי שמאותו טעם, כשביקר ר׳ </w:t>
      </w:r>
      <w:proofErr w:type="spellStart"/>
      <w:r>
        <w:rPr>
          <w:rtl/>
        </w:rPr>
        <w:t>ברוך־בער</w:t>
      </w:r>
      <w:proofErr w:type="spellEnd"/>
      <w:r>
        <w:rPr>
          <w:rtl/>
        </w:rPr>
        <w:t xml:space="preserve"> בבית הוריו </w:t>
      </w:r>
      <w:proofErr w:type="spellStart"/>
      <w:r>
        <w:rPr>
          <w:rtl/>
        </w:rPr>
        <w:t>בסלוצק</w:t>
      </w:r>
      <w:proofErr w:type="spellEnd"/>
      <w:r>
        <w:rPr>
          <w:rtl/>
        </w:rPr>
        <w:t xml:space="preserve">, לא ביקר בישיבה המקומית שדגלה במוסר, שבראשה עמד חברו </w:t>
      </w:r>
      <w:proofErr w:type="spellStart"/>
      <w:r>
        <w:rPr>
          <w:rtl/>
        </w:rPr>
        <w:t>מוולוז׳ין</w:t>
      </w:r>
      <w:proofErr w:type="spellEnd"/>
      <w:r>
        <w:rPr>
          <w:rtl/>
        </w:rPr>
        <w:t xml:space="preserve">, ר׳ </w:t>
      </w:r>
      <w:proofErr w:type="spellStart"/>
      <w:r>
        <w:rPr>
          <w:rtl/>
        </w:rPr>
        <w:t>איסר־זלמן</w:t>
      </w:r>
      <w:proofErr w:type="spellEnd"/>
      <w:r>
        <w:rPr>
          <w:rtl/>
        </w:rPr>
        <w:t xml:space="preserve"> מלצר.</w:t>
      </w:r>
    </w:p>
    <w:p w14:paraId="0D60A032" w14:textId="77777777" w:rsidR="00AB3647" w:rsidRDefault="00000000" w:rsidP="007923E9">
      <w:pPr>
        <w:spacing w:after="100" w:line="276" w:lineRule="auto"/>
        <w:ind w:firstLine="340"/>
        <w:jc w:val="both"/>
      </w:pPr>
      <w:r>
        <w:rPr>
          <w:rtl/>
        </w:rPr>
        <w:t xml:space="preserve">ר׳ </w:t>
      </w:r>
      <w:proofErr w:type="spellStart"/>
      <w:r>
        <w:rPr>
          <w:rtl/>
        </w:rPr>
        <w:t>אליהו־נחמיה</w:t>
      </w:r>
      <w:proofErr w:type="spellEnd"/>
      <w:r>
        <w:rPr>
          <w:rtl/>
        </w:rPr>
        <w:t xml:space="preserve"> </w:t>
      </w:r>
      <w:proofErr w:type="spellStart"/>
      <w:r>
        <w:rPr>
          <w:rtl/>
        </w:rPr>
        <w:t>גלופקין</w:t>
      </w:r>
      <w:proofErr w:type="spellEnd"/>
      <w:r>
        <w:rPr>
          <w:rtl/>
        </w:rPr>
        <w:t xml:space="preserve"> סיפר מזיכרונותיו</w:t>
      </w:r>
      <w:bookmarkStart w:id="2199" w:name="_fnr1393"/>
      <w:r>
        <w:rPr>
          <w:rStyle w:val="a5"/>
        </w:rPr>
        <w:footnoteReference w:id="1396" w:customMarkFollows="0"/>
      </w:r>
      <w:bookmarkEnd w:id="2199"/>
      <w:r>
        <w:rPr>
          <w:rtl/>
        </w:rPr>
        <w:t xml:space="preserve"> על התקופה שבה למד בישיבה הקטנה </w:t>
      </w:r>
      <w:proofErr w:type="spellStart"/>
      <w:r>
        <w:rPr>
          <w:rtl/>
        </w:rPr>
        <w:t>בשאוול</w:t>
      </w:r>
      <w:proofErr w:type="spellEnd"/>
      <w:r>
        <w:rPr>
          <w:rtl/>
        </w:rPr>
        <w:t xml:space="preserve"> </w:t>
      </w:r>
      <w:proofErr w:type="spellStart"/>
      <w:r>
        <w:rPr>
          <w:rtl/>
        </w:rPr>
        <w:t>בתרצ״ו</w:t>
      </w:r>
      <w:bookmarkStart w:id="2200" w:name="_fnr1394"/>
      <w:proofErr w:type="spellEnd"/>
      <w:r>
        <w:rPr>
          <w:rStyle w:val="a5"/>
        </w:rPr>
        <w:footnoteReference w:id="1397" w:customMarkFollows="0"/>
      </w:r>
      <w:bookmarkEnd w:id="2200"/>
      <w:r>
        <w:rPr>
          <w:rtl/>
        </w:rPr>
        <w:t xml:space="preserve">. רבו, ר׳ </w:t>
      </w:r>
      <w:proofErr w:type="spellStart"/>
      <w:r>
        <w:rPr>
          <w:rtl/>
        </w:rPr>
        <w:t>חיים־יצחק</w:t>
      </w:r>
      <w:proofErr w:type="spellEnd"/>
      <w:r>
        <w:rPr>
          <w:rtl/>
        </w:rPr>
        <w:t xml:space="preserve"> ליברמן, תלמיד כנסת בית יצחק, סיפר לכיתה שהייתה תקופה שבה ניסה ר׳ </w:t>
      </w:r>
      <w:proofErr w:type="spellStart"/>
      <w:r>
        <w:rPr>
          <w:rtl/>
        </w:rPr>
        <w:t>ברוך־בער</w:t>
      </w:r>
      <w:proofErr w:type="spellEnd"/>
      <w:r>
        <w:rPr>
          <w:rtl/>
        </w:rPr>
        <w:t xml:space="preserve"> למנוע מתלמידי כנסת ישראל להשתתף בשיעוריו. אבל הם מצאו חברים בין תלמידי כנסת בית יצחק, שהסתירו אותם עד שהתחיל השיעור, כשכבר היה מאוחר מכדי שר׳ </w:t>
      </w:r>
      <w:proofErr w:type="spellStart"/>
      <w:r>
        <w:rPr>
          <w:rtl/>
        </w:rPr>
        <w:t>ברוך־בער</w:t>
      </w:r>
      <w:proofErr w:type="spellEnd"/>
      <w:r>
        <w:rPr>
          <w:rtl/>
        </w:rPr>
        <w:t xml:space="preserve"> יתנגד לנוכחותם. הרב ליברמן סיפר שהוא עצמו הסתיר את רבנו. אסתר </w:t>
      </w:r>
      <w:proofErr w:type="spellStart"/>
      <w:r>
        <w:rPr>
          <w:rtl/>
        </w:rPr>
        <w:t>אונגרישר</w:t>
      </w:r>
      <w:bookmarkStart w:id="2201" w:name="_fnr1395"/>
      <w:proofErr w:type="spellEnd"/>
      <w:r>
        <w:rPr>
          <w:rStyle w:val="a5"/>
        </w:rPr>
        <w:footnoteReference w:id="1398" w:customMarkFollows="0"/>
      </w:r>
      <w:bookmarkEnd w:id="2201"/>
      <w:r>
        <w:rPr>
          <w:rtl/>
        </w:rPr>
        <w:t xml:space="preserve"> אמרה גם היא, כשדיברה על השתתפות אביה ר׳ ראובן </w:t>
      </w:r>
      <w:proofErr w:type="spellStart"/>
      <w:r>
        <w:rPr>
          <w:rtl/>
        </w:rPr>
        <w:t>גרוזובסקי</w:t>
      </w:r>
      <w:proofErr w:type="spellEnd"/>
      <w:r>
        <w:rPr>
          <w:rtl/>
        </w:rPr>
        <w:t xml:space="preserve"> בשיעורי חותנו לעתיד, שפעם נאסרה עליו הכניסה “בידי אנשי כנסת בית יצחק”.</w:t>
      </w:r>
    </w:p>
    <w:p w14:paraId="4EEE5709" w14:textId="70DB52DE" w:rsidR="00AB3647" w:rsidRDefault="00000000" w:rsidP="007923E9">
      <w:pPr>
        <w:spacing w:after="100" w:line="276" w:lineRule="auto"/>
        <w:ind w:firstLine="340"/>
        <w:jc w:val="both"/>
      </w:pPr>
      <w:r>
        <w:rPr>
          <w:rtl/>
        </w:rPr>
        <w:t xml:space="preserve">ר׳ שלמה </w:t>
      </w:r>
      <w:proofErr w:type="spellStart"/>
      <w:r>
        <w:rPr>
          <w:rtl/>
        </w:rPr>
        <w:t>ריבנר</w:t>
      </w:r>
      <w:bookmarkStart w:id="2202" w:name="_fnr1396"/>
      <w:proofErr w:type="spellEnd"/>
      <w:r>
        <w:rPr>
          <w:rStyle w:val="a5"/>
        </w:rPr>
        <w:footnoteReference w:id="1399" w:customMarkFollows="0"/>
      </w:r>
      <w:bookmarkEnd w:id="2202"/>
      <w:r>
        <w:rPr>
          <w:rtl/>
        </w:rPr>
        <w:t xml:space="preserve"> זכר שר׳ אהרן קוטלר סיפר: פעם היסס להשתתף באספה מסוימת שר׳ </w:t>
      </w:r>
      <w:proofErr w:type="spellStart"/>
      <w:r>
        <w:rPr>
          <w:rtl/>
        </w:rPr>
        <w:t>ברוך־בער</w:t>
      </w:r>
      <w:proofErr w:type="spellEnd"/>
      <w:r>
        <w:rPr>
          <w:rtl/>
        </w:rPr>
        <w:t xml:space="preserve"> רצה בנוכחותו בה, והלה הזכיר לו כיצד בבחרותו היה מסתתר מאחורי התנור בבית </w:t>
      </w:r>
      <w:r>
        <w:rPr>
          <w:rtl/>
        </w:rPr>
        <w:lastRenderedPageBreak/>
        <w:t xml:space="preserve">המדרש הישן, ומופיע לאחר שהחל השיעור, מאוחר מכדי לבקש ממנו לצאת. מדוע לא הזכיר ר׳ </w:t>
      </w:r>
      <w:proofErr w:type="spellStart"/>
      <w:r>
        <w:rPr>
          <w:rtl/>
        </w:rPr>
        <w:t>ברוך־בער</w:t>
      </w:r>
      <w:proofErr w:type="spellEnd"/>
      <w:r>
        <w:rPr>
          <w:rtl/>
        </w:rPr>
        <w:t xml:space="preserve"> פשוט את כחצי השנה שבה היה ר׳ אהרן תלמיד מן המניין בישיבתו </w:t>
      </w:r>
      <w:proofErr w:type="spellStart"/>
      <w:r>
        <w:rPr>
          <w:rtl/>
        </w:rPr>
        <w:t>בסלבודקה</w:t>
      </w:r>
      <w:proofErr w:type="spellEnd"/>
      <w:r>
        <w:rPr>
          <w:rtl/>
        </w:rPr>
        <w:t xml:space="preserve"> – כמסופר בפרק 2, הערה </w:t>
      </w:r>
      <w:r>
        <w:rPr>
          <w:rtl/>
        </w:rPr>
        <w:fldChar w:fldCharType="begin" w:dirty="true"/>
      </w:r>
      <w:r>
        <w:rPr>
          <w:rtl/>
        </w:rPr>
        <w:instrText xml:space="preserve"> REF b2_note71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71</w:t>
      </w:r>
      <w:r>
        <w:rPr>
          <w:rtl/>
        </w:rPr>
        <w:fldChar w:fldCharType="end"/>
      </w:r>
      <w:r>
        <w:rPr>
          <w:rtl/>
        </w:rPr>
        <w:t xml:space="preserve"> – כסיבה מספקת להשתתפותו של הרב קוטלר באספה? הדבר טעון הסבר. ייתכן שר׳ </w:t>
      </w:r>
      <w:proofErr w:type="spellStart"/>
      <w:r>
        <w:rPr>
          <w:rtl/>
        </w:rPr>
        <w:t>ברוך־בער</w:t>
      </w:r>
      <w:proofErr w:type="spellEnd"/>
      <w:r>
        <w:rPr>
          <w:rtl/>
        </w:rPr>
        <w:t xml:space="preserve"> רצה להצביע על חיבתו המיוחדת של ר׳ אהרן לשיעוריו, עד שהיה מוכן לשאת קשיים כדי לשומעם. יתר על כן, ייתכן שבתקופה של פחות מחצי שנה</w:t>
      </w:r>
      <w:bookmarkStart w:id="2203" w:name="_fnr1397"/>
      <w:r>
        <w:rPr>
          <w:rStyle w:val="a5"/>
        </w:rPr>
        <w:footnoteReference w:id="1400" w:customMarkFollows="0"/>
      </w:r>
      <w:bookmarkEnd w:id="2203"/>
      <w:r>
        <w:rPr>
          <w:rtl/>
        </w:rPr>
        <w:t xml:space="preserve"> שבה למד ר׳ אהרן בכנסת בית יצחק היה תלמיד בעייתי</w:t>
      </w:r>
      <w:bookmarkStart w:id="2204" w:name="_fnr1398"/>
      <w:bookmarkStart w:id="2205" w:name="pr_f_1311"/>
      <w:r>
        <w:rPr>
          <w:rStyle w:val="a5"/>
        </w:rPr>
        <w:footnoteReference w:id="1401" w:customMarkFollows="0"/>
      </w:r>
      <w:bookmarkEnd w:id="2204"/>
      <w:bookmarkEnd w:id="2205"/>
      <w:r>
        <w:rPr>
          <w:rtl/>
        </w:rPr>
        <w:t>.</w:t>
      </w:r>
    </w:p>
    <w:p w14:paraId="288DC8F1" w14:textId="77777777" w:rsidR="00AB3647" w:rsidRDefault="00000000" w:rsidP="007923E9">
      <w:pPr>
        <w:spacing w:after="100" w:line="276" w:lineRule="auto"/>
        <w:ind w:firstLine="340"/>
        <w:jc w:val="both"/>
      </w:pPr>
      <w:r>
        <w:rPr>
          <w:rtl/>
        </w:rPr>
        <w:t xml:space="preserve">הדבר נודע לי ממעשה המסופר </w:t>
      </w:r>
      <w:proofErr w:type="spellStart"/>
      <w:r>
        <w:rPr>
          <w:rtl/>
        </w:rPr>
        <w:t>ב“ארחות</w:t>
      </w:r>
      <w:proofErr w:type="spellEnd"/>
      <w:r>
        <w:rPr>
          <w:rtl/>
        </w:rPr>
        <w:t xml:space="preserve"> חסידיך”</w:t>
      </w:r>
      <w:bookmarkStart w:id="2206" w:name="_fnr1399"/>
      <w:r>
        <w:rPr>
          <w:rStyle w:val="a5"/>
        </w:rPr>
        <w:footnoteReference w:id="1402" w:customMarkFollows="0"/>
      </w:r>
      <w:bookmarkEnd w:id="2206"/>
      <w:r>
        <w:rPr>
          <w:rtl/>
        </w:rPr>
        <w:t xml:space="preserve">: בישיבה נהגו שמי שחידש חידוש הקיש על הסטנדר שלו והכריז עליו ברבים. בפעם הראשונה שהכריז כך ר׳ אהרן </w:t>
      </w:r>
      <w:proofErr w:type="spellStart"/>
      <w:r>
        <w:rPr>
          <w:rtl/>
        </w:rPr>
        <w:t>קטן־הקומה</w:t>
      </w:r>
      <w:proofErr w:type="spellEnd"/>
      <w:r>
        <w:rPr>
          <w:rtl/>
        </w:rPr>
        <w:t>, העלו אותו הבחורים האחרים על שולחן, כדי שכולם יוכלו לראותו ולשומעו. מיד לאחר מכן שוב הקיש ר׳ אהרן על הסטנדר, וכבר טיפס בעצמו על השולחן כדי להכריז הכרזה נוספת. מיד חזר על כך בפעם השלישית והציע עוד חידושים. “שיבחו אותו מאוד על חידושיו – אבל החליטו לבטל את מנהג ההכרזות ברבים”, מסתיים הסיפור.</w:t>
      </w:r>
    </w:p>
    <w:p w14:paraId="626282C4" w14:textId="77777777" w:rsidR="00AB3647" w:rsidRDefault="00000000" w:rsidP="007923E9">
      <w:pPr>
        <w:spacing w:after="100" w:line="276" w:lineRule="auto"/>
        <w:ind w:firstLine="340"/>
        <w:jc w:val="both"/>
      </w:pPr>
      <w:r>
        <w:rPr>
          <w:rtl/>
        </w:rPr>
        <w:t xml:space="preserve">כמו ר׳ </w:t>
      </w:r>
      <w:proofErr w:type="spellStart"/>
      <w:r>
        <w:rPr>
          <w:rtl/>
        </w:rPr>
        <w:t>ברוך־בער</w:t>
      </w:r>
      <w:proofErr w:type="spellEnd"/>
      <w:r>
        <w:rPr>
          <w:rtl/>
        </w:rPr>
        <w:t xml:space="preserve"> עצמו בבואו </w:t>
      </w:r>
      <w:proofErr w:type="spellStart"/>
      <w:r>
        <w:rPr>
          <w:rtl/>
        </w:rPr>
        <w:t>לוולוז׳ין</w:t>
      </w:r>
      <w:proofErr w:type="spellEnd"/>
      <w:r>
        <w:rPr>
          <w:rtl/>
        </w:rPr>
        <w:t xml:space="preserve">, היה ר׳ אהרן מלא חידושים שרצה לחלוק עם שאר התלמידים, וכמו במקרה של ר׳ </w:t>
      </w:r>
      <w:proofErr w:type="spellStart"/>
      <w:r>
        <w:rPr>
          <w:rtl/>
        </w:rPr>
        <w:t>ברוך־בער</w:t>
      </w:r>
      <w:proofErr w:type="spellEnd"/>
      <w:r>
        <w:rPr>
          <w:rtl/>
        </w:rPr>
        <w:t xml:space="preserve">, חבריו לא היו מעוניינים בכך. ר׳ </w:t>
      </w:r>
      <w:proofErr w:type="spellStart"/>
      <w:r>
        <w:rPr>
          <w:rtl/>
        </w:rPr>
        <w:t>ברוך־בער</w:t>
      </w:r>
      <w:proofErr w:type="spellEnd"/>
      <w:r>
        <w:rPr>
          <w:rtl/>
        </w:rPr>
        <w:t xml:space="preserve">, בהיותו בן </w:t>
      </w:r>
      <w:proofErr w:type="spellStart"/>
      <w:r>
        <w:rPr>
          <w:rtl/>
        </w:rPr>
        <w:t>שש־עשרה</w:t>
      </w:r>
      <w:proofErr w:type="spellEnd"/>
      <w:r>
        <w:rPr>
          <w:rtl/>
        </w:rPr>
        <w:t xml:space="preserve"> או </w:t>
      </w:r>
      <w:proofErr w:type="spellStart"/>
      <w:r>
        <w:rPr>
          <w:rtl/>
        </w:rPr>
        <w:t>שבע־עשרה</w:t>
      </w:r>
      <w:proofErr w:type="spellEnd"/>
      <w:r>
        <w:rPr>
          <w:rtl/>
        </w:rPr>
        <w:t xml:space="preserve"> </w:t>
      </w:r>
      <w:proofErr w:type="spellStart"/>
      <w:r>
        <w:rPr>
          <w:rtl/>
        </w:rPr>
        <w:t>בוולוז׳ין</w:t>
      </w:r>
      <w:proofErr w:type="spellEnd"/>
      <w:r>
        <w:rPr>
          <w:rtl/>
        </w:rPr>
        <w:t xml:space="preserve">, הועמד על מקומו בידי ר׳ חיים </w:t>
      </w:r>
      <w:proofErr w:type="spellStart"/>
      <w:r>
        <w:rPr>
          <w:rtl/>
        </w:rPr>
        <w:t>סולובייצ׳יק</w:t>
      </w:r>
      <w:proofErr w:type="spellEnd"/>
      <w:r>
        <w:rPr>
          <w:rtl/>
        </w:rPr>
        <w:t xml:space="preserve"> ולמד לחדול מהשמעת חידושיו הבוסריים</w:t>
      </w:r>
      <w:bookmarkStart w:id="2207" w:name="_fnr1400"/>
      <w:r>
        <w:rPr>
          <w:rStyle w:val="a5"/>
        </w:rPr>
        <w:footnoteReference w:id="1403" w:customMarkFollows="0"/>
      </w:r>
      <w:bookmarkEnd w:id="2207"/>
      <w:r>
        <w:rPr>
          <w:rtl/>
        </w:rPr>
        <w:t xml:space="preserve">. ואילו ר׳ אהרן היה בן </w:t>
      </w:r>
      <w:proofErr w:type="spellStart"/>
      <w:r>
        <w:rPr>
          <w:rtl/>
        </w:rPr>
        <w:t>שתים־עשרה</w:t>
      </w:r>
      <w:proofErr w:type="spellEnd"/>
      <w:r>
        <w:rPr>
          <w:rtl/>
        </w:rPr>
        <w:t xml:space="preserve"> או </w:t>
      </w:r>
      <w:proofErr w:type="spellStart"/>
      <w:r>
        <w:rPr>
          <w:rtl/>
        </w:rPr>
        <w:t>שלוש־עשרה</w:t>
      </w:r>
      <w:proofErr w:type="spellEnd"/>
      <w:r>
        <w:rPr>
          <w:rtl/>
        </w:rPr>
        <w:t xml:space="preserve"> כשבא לראשונה </w:t>
      </w:r>
      <w:proofErr w:type="spellStart"/>
      <w:r>
        <w:rPr>
          <w:rtl/>
        </w:rPr>
        <w:t>לסלבודקה</w:t>
      </w:r>
      <w:proofErr w:type="spellEnd"/>
      <w:r>
        <w:rPr>
          <w:rtl/>
        </w:rPr>
        <w:t xml:space="preserve">, לישיבתו של ר׳ </w:t>
      </w:r>
      <w:proofErr w:type="spellStart"/>
      <w:r>
        <w:rPr>
          <w:rtl/>
        </w:rPr>
        <w:t>ברוך־בער</w:t>
      </w:r>
      <w:proofErr w:type="spellEnd"/>
      <w:r>
        <w:rPr>
          <w:rtl/>
        </w:rPr>
        <w:t xml:space="preserve"> – בזמן שבו אירעו המאורעות המתוארים </w:t>
      </w:r>
      <w:proofErr w:type="spellStart"/>
      <w:r>
        <w:rPr>
          <w:rtl/>
        </w:rPr>
        <w:t>ב“ארחות</w:t>
      </w:r>
      <w:proofErr w:type="spellEnd"/>
      <w:r>
        <w:rPr>
          <w:rtl/>
        </w:rPr>
        <w:t xml:space="preserve"> חסידיך”</w:t>
      </w:r>
      <w:bookmarkStart w:id="2208" w:name="_fnr1401"/>
      <w:r>
        <w:rPr>
          <w:rStyle w:val="a5"/>
        </w:rPr>
        <w:footnoteReference w:id="1404" w:customMarkFollows="0"/>
      </w:r>
      <w:bookmarkEnd w:id="2208"/>
      <w:r>
        <w:rPr>
          <w:rtl/>
        </w:rPr>
        <w:t>. הוא עדיין לא היה בוגר דיו לקבל את ראש הישיבה כרבו, והיה צורך לעצור אותו בדרך נחרצת יותר.</w:t>
      </w:r>
    </w:p>
    <w:p w14:paraId="783F8266" w14:textId="77777777" w:rsidR="00AB3647" w:rsidRDefault="00000000" w:rsidP="007923E9">
      <w:pPr>
        <w:spacing w:after="100" w:line="276" w:lineRule="auto"/>
        <w:ind w:firstLine="340"/>
        <w:jc w:val="both"/>
      </w:pPr>
      <w:r>
        <w:rPr>
          <w:rtl/>
        </w:rPr>
        <w:t xml:space="preserve">עוד מוצע כאן שאהרן פינס הוחזר </w:t>
      </w:r>
      <w:proofErr w:type="spellStart"/>
      <w:r>
        <w:rPr>
          <w:rtl/>
        </w:rPr>
        <w:t>מסלבודקה</w:t>
      </w:r>
      <w:proofErr w:type="spellEnd"/>
      <w:r>
        <w:rPr>
          <w:rtl/>
        </w:rPr>
        <w:t xml:space="preserve"> למינסק, ללמוד בשול </w:t>
      </w:r>
      <w:proofErr w:type="spellStart"/>
      <w:r>
        <w:rPr>
          <w:rtl/>
        </w:rPr>
        <w:t>הקצבים</w:t>
      </w:r>
      <w:proofErr w:type="spellEnd"/>
      <w:r>
        <w:rPr>
          <w:rtl/>
        </w:rPr>
        <w:t xml:space="preserve">, כמסופר בפרק 2.3, בפסקה הפותחת “אחרי פחות מחצי שנה </w:t>
      </w:r>
      <w:proofErr w:type="spellStart"/>
      <w:r>
        <w:rPr>
          <w:rtl/>
        </w:rPr>
        <w:t>בסלבודקה</w:t>
      </w:r>
      <w:proofErr w:type="spellEnd"/>
      <w:r>
        <w:rPr>
          <w:rtl/>
        </w:rPr>
        <w:t xml:space="preserve">”, משום שלא הצליח להסתגל לכנסת בית יצחק ולהיות בה תלמיד מוערך. הדבר פתח את הדלת בפני אחותו לפתותו לחזור אל העיר שבה התגוררה, כמסופר בפרק 2, הערה 85. כך או כך, ר׳ </w:t>
      </w:r>
      <w:proofErr w:type="spellStart"/>
      <w:r>
        <w:rPr>
          <w:rtl/>
        </w:rPr>
        <w:t>ברוך־בער</w:t>
      </w:r>
      <w:proofErr w:type="spellEnd"/>
      <w:r>
        <w:rPr>
          <w:rtl/>
        </w:rPr>
        <w:t xml:space="preserve"> לא יכול היה להיתלות באותה תקופה קצרה ומתסכלת בחיי ר׳ אהרן כדי לחייבו לנהוג בו כבוד ולהשתתף באספה שכינס. ר׳ </w:t>
      </w:r>
      <w:proofErr w:type="spellStart"/>
      <w:r>
        <w:rPr>
          <w:rtl/>
        </w:rPr>
        <w:t>ברוך־בער</w:t>
      </w:r>
      <w:proofErr w:type="spellEnd"/>
      <w:r>
        <w:rPr>
          <w:rtl/>
        </w:rPr>
        <w:t xml:space="preserve"> היה צריך להזכיר את תקופת שש השנים המאוחרת יותר בתולדות לימודיו של ר׳ אהרן, שבה נעשה תלמיד אמיתי – מתמיד – שלו, בעודו רשום בישיבה האחרת שבעיר!</w:t>
      </w:r>
    </w:p>
    <w:p w14:paraId="377A8428" w14:textId="77777777" w:rsidR="00AB3647" w:rsidRDefault="00000000" w:rsidP="007923E9">
      <w:pPr>
        <w:spacing w:after="100" w:line="276" w:lineRule="auto"/>
        <w:ind w:firstLine="340"/>
        <w:jc w:val="both"/>
      </w:pPr>
      <w:r>
        <w:rPr>
          <w:rtl/>
        </w:rPr>
        <w:t xml:space="preserve">לא ברור מדוע רצה ר׳ </w:t>
      </w:r>
      <w:proofErr w:type="spellStart"/>
      <w:r>
        <w:rPr>
          <w:rtl/>
        </w:rPr>
        <w:t>ברוך־בער</w:t>
      </w:r>
      <w:proofErr w:type="spellEnd"/>
      <w:r>
        <w:rPr>
          <w:rtl/>
        </w:rPr>
        <w:t xml:space="preserve"> להרחיק לחלוטין את תלמידי כנסת ישראל משיעוריו, אבל אפשר לשער שהדבר נבע מצדקותו: הוא לא רצה שר׳ </w:t>
      </w:r>
      <w:proofErr w:type="spellStart"/>
      <w:r>
        <w:rPr>
          <w:rtl/>
        </w:rPr>
        <w:t>משה־מרדכי</w:t>
      </w:r>
      <w:proofErr w:type="spellEnd"/>
      <w:r>
        <w:rPr>
          <w:rtl/>
        </w:rPr>
        <w:t xml:space="preserve"> אפשטיין ירגיש </w:t>
      </w:r>
      <w:r>
        <w:rPr>
          <w:rtl/>
        </w:rPr>
        <w:lastRenderedPageBreak/>
        <w:t>שכבודו נפגע. השווה “ר׳ ברוך בר”</w:t>
      </w:r>
      <w:bookmarkStart w:id="2209" w:name="_fnr1402"/>
      <w:r>
        <w:rPr>
          <w:rStyle w:val="a5"/>
        </w:rPr>
        <w:footnoteReference w:id="1405" w:customMarkFollows="0"/>
      </w:r>
      <w:bookmarkEnd w:id="2209"/>
      <w:r>
        <w:rPr>
          <w:rtl/>
        </w:rPr>
        <w:t xml:space="preserve">, המספר שלאחר פטירתו של ר׳ משה </w:t>
      </w:r>
      <w:proofErr w:type="spellStart"/>
      <w:r>
        <w:rPr>
          <w:rtl/>
        </w:rPr>
        <w:t>דנישבסקי</w:t>
      </w:r>
      <w:proofErr w:type="spellEnd"/>
      <w:r>
        <w:rPr>
          <w:rtl/>
        </w:rPr>
        <w:t xml:space="preserve"> בן השמונים </w:t>
      </w:r>
      <w:proofErr w:type="spellStart"/>
      <w:r>
        <w:rPr>
          <w:rtl/>
        </w:rPr>
        <w:t>בתר״ע</w:t>
      </w:r>
      <w:proofErr w:type="spellEnd"/>
      <w:r>
        <w:rPr>
          <w:rtl/>
        </w:rPr>
        <w:t xml:space="preserve"> הוצעה </w:t>
      </w:r>
      <w:proofErr w:type="spellStart"/>
      <w:r>
        <w:rPr>
          <w:rtl/>
        </w:rPr>
        <w:t>לר</w:t>
      </w:r>
      <w:proofErr w:type="spellEnd"/>
      <w:r>
        <w:rPr>
          <w:rtl/>
        </w:rPr>
        <w:t xml:space="preserve">׳ </w:t>
      </w:r>
      <w:proofErr w:type="spellStart"/>
      <w:r>
        <w:rPr>
          <w:rtl/>
        </w:rPr>
        <w:t>ברוך־בער</w:t>
      </w:r>
      <w:proofErr w:type="spellEnd"/>
      <w:r>
        <w:rPr>
          <w:rtl/>
        </w:rPr>
        <w:t xml:space="preserve"> רבנות </w:t>
      </w:r>
      <w:proofErr w:type="spellStart"/>
      <w:r>
        <w:rPr>
          <w:rtl/>
        </w:rPr>
        <w:t>סלבודקה</w:t>
      </w:r>
      <w:proofErr w:type="spellEnd"/>
      <w:r>
        <w:rPr>
          <w:rtl/>
        </w:rPr>
        <w:t xml:space="preserve">, והוא דחה אותה באומרו: “איך אוכל להיות רב כשר׳ </w:t>
      </w:r>
      <w:proofErr w:type="spellStart"/>
      <w:r>
        <w:rPr>
          <w:rtl/>
        </w:rPr>
        <w:t>משה־מרדכי</w:t>
      </w:r>
      <w:proofErr w:type="spellEnd"/>
      <w:r>
        <w:rPr>
          <w:rtl/>
        </w:rPr>
        <w:t xml:space="preserve"> נמצא כאן?!”</w:t>
      </w:r>
    </w:p>
    <w:p w14:paraId="722CCB2B" w14:textId="2906FE25" w:rsidR="00AB3647" w:rsidRDefault="00000000" w:rsidP="007923E9">
      <w:pPr>
        <w:spacing w:after="100" w:line="276" w:lineRule="auto"/>
        <w:ind w:firstLine="340"/>
        <w:jc w:val="both"/>
      </w:pPr>
      <w:r>
        <w:rPr>
          <w:rtl/>
        </w:rPr>
        <w:t xml:space="preserve">ייתכן שבעניין רבנות זו אף הרגיש ר׳ </w:t>
      </w:r>
      <w:proofErr w:type="spellStart"/>
      <w:r>
        <w:rPr>
          <w:rtl/>
        </w:rPr>
        <w:t>ברוך־בער</w:t>
      </w:r>
      <w:proofErr w:type="spellEnd"/>
      <w:r>
        <w:rPr>
          <w:rtl/>
        </w:rPr>
        <w:t xml:space="preserve"> שהיא שייכת בדין </w:t>
      </w:r>
      <w:proofErr w:type="spellStart"/>
      <w:r>
        <w:rPr>
          <w:rtl/>
        </w:rPr>
        <w:t>לר</w:t>
      </w:r>
      <w:proofErr w:type="spellEnd"/>
      <w:r>
        <w:rPr>
          <w:rtl/>
        </w:rPr>
        <w:t xml:space="preserve">׳ </w:t>
      </w:r>
      <w:proofErr w:type="spellStart"/>
      <w:r>
        <w:rPr>
          <w:rtl/>
        </w:rPr>
        <w:t>משה־מרדכי</w:t>
      </w:r>
      <w:proofErr w:type="spellEnd"/>
      <w:r>
        <w:rPr>
          <w:rtl/>
        </w:rPr>
        <w:t xml:space="preserve"> אפשטיין, שבא </w:t>
      </w:r>
      <w:proofErr w:type="spellStart"/>
      <w:r>
        <w:rPr>
          <w:rtl/>
        </w:rPr>
        <w:t>לסלבודקה</w:t>
      </w:r>
      <w:proofErr w:type="spellEnd"/>
      <w:r>
        <w:rPr>
          <w:rtl/>
        </w:rPr>
        <w:t xml:space="preserve"> </w:t>
      </w:r>
      <w:proofErr w:type="spellStart"/>
      <w:r>
        <w:rPr>
          <w:rtl/>
        </w:rPr>
        <w:t>חמש־עשרה</w:t>
      </w:r>
      <w:proofErr w:type="spellEnd"/>
      <w:r>
        <w:rPr>
          <w:rtl/>
        </w:rPr>
        <w:t xml:space="preserve"> שנה לפניו. מסופר </w:t>
      </w:r>
      <w:proofErr w:type="spellStart"/>
      <w:r>
        <w:rPr>
          <w:rtl/>
        </w:rPr>
        <w:t>ב“ר</w:t>
      </w:r>
      <w:proofErr w:type="spellEnd"/>
      <w:r>
        <w:rPr>
          <w:rtl/>
        </w:rPr>
        <w:t xml:space="preserve">׳ ברוך בר” שכעבור </w:t>
      </w:r>
      <w:proofErr w:type="spellStart"/>
      <w:r>
        <w:rPr>
          <w:rtl/>
        </w:rPr>
        <w:t>זמן־מה</w:t>
      </w:r>
      <w:proofErr w:type="spellEnd"/>
      <w:r>
        <w:rPr>
          <w:rtl/>
        </w:rPr>
        <w:t xml:space="preserve">, כשהתלונן ר׳ </w:t>
      </w:r>
      <w:proofErr w:type="spellStart"/>
      <w:r>
        <w:rPr>
          <w:rtl/>
        </w:rPr>
        <w:t>ברוך־בער</w:t>
      </w:r>
      <w:proofErr w:type="spellEnd"/>
      <w:r>
        <w:rPr>
          <w:rtl/>
        </w:rPr>
        <w:t xml:space="preserve"> לפני ר׳ חיים על קשיי פרנסה, נזף בו רבו ואמר </w:t>
      </w:r>
      <w:proofErr w:type="spellStart"/>
      <w:r>
        <w:rPr>
          <w:rtl/>
        </w:rPr>
        <w:t>ש“איש</w:t>
      </w:r>
      <w:proofErr w:type="spellEnd"/>
      <w:r>
        <w:rPr>
          <w:rtl/>
        </w:rPr>
        <w:t xml:space="preserve"> לא אמר לו להיות צדיק גדול כל כך” ולדחות את רבנות </w:t>
      </w:r>
      <w:proofErr w:type="spellStart"/>
      <w:r>
        <w:rPr>
          <w:rtl/>
        </w:rPr>
        <w:t>סלבודקה</w:t>
      </w:r>
      <w:bookmarkStart w:id="2210" w:name="_fnr1403"/>
      <w:bookmarkStart w:id="2211" w:name="pr_f_1316"/>
      <w:proofErr w:type="spellEnd"/>
      <w:r>
        <w:rPr>
          <w:rStyle w:val="a5"/>
        </w:rPr>
        <w:footnoteReference w:id="1406" w:customMarkFollows="0"/>
      </w:r>
      <w:bookmarkEnd w:id="2210"/>
      <w:bookmarkEnd w:id="2211"/>
      <w:r>
        <w:rPr>
          <w:rtl/>
        </w:rPr>
        <w:t xml:space="preserve">. למרבה הפלא, כשעלתה ההצעה לא שאל ר׳ </w:t>
      </w:r>
      <w:proofErr w:type="spellStart"/>
      <w:r>
        <w:rPr>
          <w:rtl/>
        </w:rPr>
        <w:t>ברוך־בער</w:t>
      </w:r>
      <w:proofErr w:type="spellEnd"/>
      <w:r>
        <w:rPr>
          <w:rtl/>
        </w:rPr>
        <w:t xml:space="preserve"> בעצת רבו, שלא כמו בעניינים אחרים – השווה סוף </w:t>
      </w:r>
      <w:r>
        <w:rPr>
          <w:rtl/>
        </w:rPr>
        <w:fldChar w:fldCharType="begin" w:dirty="true"/>
      </w:r>
      <w:r>
        <w:rPr>
          <w:rtl/>
        </w:rPr>
        <w:instrText xml:space="preserve"> REF b3_excI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xml:space="preserve"> להלן. השווה גם “ר׳ ברוך בר”</w:t>
      </w:r>
      <w:bookmarkStart w:id="2212" w:name="_fnr1404"/>
      <w:r>
        <w:rPr>
          <w:rStyle w:val="a5"/>
        </w:rPr>
        <w:footnoteReference w:id="1407" w:customMarkFollows="0"/>
      </w:r>
      <w:bookmarkEnd w:id="2212"/>
      <w:r>
        <w:rPr>
          <w:rtl/>
        </w:rPr>
        <w:t xml:space="preserve">, המספר שר׳ </w:t>
      </w:r>
      <w:proofErr w:type="spellStart"/>
      <w:r>
        <w:rPr>
          <w:rtl/>
        </w:rPr>
        <w:t>ברוך־בער</w:t>
      </w:r>
      <w:proofErr w:type="spellEnd"/>
      <w:r>
        <w:rPr>
          <w:rtl/>
        </w:rPr>
        <w:t xml:space="preserve"> בכה מרה בהספדו על ר׳ </w:t>
      </w:r>
      <w:proofErr w:type="spellStart"/>
      <w:r>
        <w:rPr>
          <w:rtl/>
        </w:rPr>
        <w:t>משה־מרדכי</w:t>
      </w:r>
      <w:proofErr w:type="spellEnd"/>
      <w:r>
        <w:rPr>
          <w:rtl/>
        </w:rPr>
        <w:t>, וביטא את תחושתו על האבדה בדימוי עז: “כששומעים שגאון וצדיק כזה מת, צריך להשחיר כפחם.”</w:t>
      </w:r>
    </w:p>
    <w:bookmarkStart w:id="2213" w:name="b3_note139"/>
    <w:p w14:paraId="3B7B2C41" w14:textId="0C508FB6" w:rsidR="00AB3647" w:rsidRDefault="00000000" w:rsidP="007923E9">
      <w:pPr>
        <w:spacing w:before="120" w:after="100" w:line="276" w:lineRule="auto"/>
        <w:jc w:val="both"/>
      </w:pPr>
      <w:r>
        <w:fldChar w:fldCharType="begin" w:dirty="true"/>
      </w:r>
      <w:r>
        <w:instrText>HYPERLINK \l "b3_ref139"</w:instrText>
      </w:r>
      <w:r>
        <w:fldChar w:fldCharType="separate"/>
      </w:r>
      <w:r>
        <w:rPr>
          <w:b/>
          <w:bCs/>
          <w:rtl/>
        </w:rPr>
        <w:t>139</w:t>
      </w:r>
      <w:r>
        <w:rPr>
          <w:b/>
          <w:bCs/>
        </w:rPr>
        <w:fldChar w:fldCharType="end"/>
      </w:r>
      <w:bookmarkEnd w:id="2213"/>
      <w:r>
        <w:rPr>
          <w:rtl/>
        </w:rPr>
        <w:t xml:space="preserve"> השווה סוף </w:t>
      </w:r>
      <w:r>
        <w:rPr>
          <w:rtl/>
        </w:rPr>
        <w:fldChar w:fldCharType="begin" w:dirty="true"/>
      </w:r>
      <w:r>
        <w:rPr>
          <w:rtl/>
        </w:rPr>
        <w:instrText xml:space="preserve"> REF b3_excHH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לד</w:t>
      </w:r>
      <w:r>
        <w:rPr>
          <w:rtl/>
        </w:rPr>
        <w:fldChar w:fldCharType="end"/>
      </w:r>
      <w:r>
        <w:rPr>
          <w:rtl/>
        </w:rPr>
        <w:t xml:space="preserve"> להלן.</w:t>
      </w:r>
    </w:p>
    <w:bookmarkStart w:id="2214" w:name="b3_note140"/>
    <w:p w14:paraId="7F5D885C" w14:textId="77777777" w:rsidR="00AB3647" w:rsidRDefault="00000000" w:rsidP="007923E9">
      <w:pPr>
        <w:spacing w:before="120" w:after="100" w:line="276" w:lineRule="auto"/>
        <w:jc w:val="both"/>
      </w:pPr>
      <w:r>
        <w:fldChar w:fldCharType="begin" w:dirty="true"/>
      </w:r>
      <w:r>
        <w:instrText>HYPERLINK \l "b3_ref140"</w:instrText>
      </w:r>
      <w:r>
        <w:fldChar w:fldCharType="separate"/>
      </w:r>
      <w:r>
        <w:rPr>
          <w:b/>
          <w:bCs/>
          <w:rtl/>
        </w:rPr>
        <w:t>140</w:t>
      </w:r>
      <w:r>
        <w:rPr>
          <w:b/>
          <w:bCs/>
        </w:rPr>
        <w:fldChar w:fldCharType="end"/>
      </w:r>
      <w:bookmarkEnd w:id="2214"/>
      <w:r>
        <w:rPr>
          <w:rtl/>
        </w:rPr>
        <w:t xml:space="preserve"> “סיפור ר׳ </w:t>
      </w:r>
      <w:proofErr w:type="spellStart"/>
      <w:r>
        <w:rPr>
          <w:rtl/>
        </w:rPr>
        <w:t>ברוך־בער</w:t>
      </w:r>
      <w:proofErr w:type="spellEnd"/>
      <w:r>
        <w:rPr>
          <w:rtl/>
        </w:rPr>
        <w:t xml:space="preserve">” ומאמר הזיכרון שכתב ר׳ חיים שפירא </w:t>
      </w:r>
      <w:proofErr w:type="spellStart"/>
      <w:r>
        <w:rPr>
          <w:rtl/>
        </w:rPr>
        <w:t>בג׳ואיש</w:t>
      </w:r>
      <w:proofErr w:type="spellEnd"/>
      <w:r>
        <w:rPr>
          <w:rtl/>
        </w:rPr>
        <w:t xml:space="preserve"> </w:t>
      </w:r>
      <w:proofErr w:type="spellStart"/>
      <w:r>
        <w:rPr>
          <w:rtl/>
        </w:rPr>
        <w:t>אובזרבר</w:t>
      </w:r>
      <w:proofErr w:type="spellEnd"/>
      <w:r>
        <w:rPr>
          <w:rtl/>
        </w:rPr>
        <w:t xml:space="preserve"> במלאת חמישים שנה לפטירתו</w:t>
      </w:r>
      <w:bookmarkStart w:id="2215" w:name="_fnr1405"/>
      <w:r>
        <w:rPr>
          <w:rStyle w:val="a5"/>
        </w:rPr>
        <w:footnoteReference w:id="1408" w:customMarkFollows="0"/>
      </w:r>
      <w:bookmarkEnd w:id="2215"/>
      <w:r>
        <w:rPr>
          <w:rtl/>
        </w:rPr>
        <w:t xml:space="preserve"> מלאים דוגמאות לשלוש התכונות האלה. בהקדמת “שיעורי וכו׳ רבי ברוך דוב זצ״ל (</w:t>
      </w:r>
      <w:proofErr w:type="spellStart"/>
      <w:r>
        <w:rPr>
          <w:rtl/>
        </w:rPr>
        <w:t>לייבאוויץ</w:t>
      </w:r>
      <w:proofErr w:type="spellEnd"/>
      <w:r>
        <w:rPr>
          <w:rtl/>
        </w:rPr>
        <w:t>)”</w:t>
      </w:r>
      <w:bookmarkStart w:id="2216" w:name="_fnr1406"/>
      <w:r>
        <w:rPr>
          <w:rStyle w:val="a5"/>
        </w:rPr>
        <w:footnoteReference w:id="1409" w:customMarkFollows="0"/>
      </w:r>
      <w:bookmarkEnd w:id="2216"/>
      <w:r>
        <w:rPr>
          <w:rtl/>
        </w:rPr>
        <w:t xml:space="preserve"> מופיע פרט מעורר השראה על צדיק זה. ר׳ </w:t>
      </w:r>
      <w:proofErr w:type="spellStart"/>
      <w:r>
        <w:rPr>
          <w:rtl/>
        </w:rPr>
        <w:t>ברוך־בער</w:t>
      </w:r>
      <w:proofErr w:type="spellEnd"/>
      <w:r>
        <w:rPr>
          <w:rtl/>
        </w:rPr>
        <w:t xml:space="preserve"> היה אומר פעמים רבות: “כשיגיע יומי לעמוד לפני בית דין של מעלה, וישאלוני עם מה באתי, מה אשיב? ‘באתי עם תורה’? וכי זו [שיעוריי] באמת תורה? ‘עם יראת שמים’? וכי זו [התנהגותי החסודה] אכן יראת שמים? מה אטען לזכותי? זאת אומר: ‘אהבתי יהודים!’ כשאני הולך ברחוב ויהודי בא לקראתי, מה עולה בדעתי? ‘ברכה על ראשו!’” השווה גם “חידושי ושיעורי רבי ברוך בער”</w:t>
      </w:r>
      <w:bookmarkStart w:id="2217" w:name="_fnr1407"/>
      <w:r>
        <w:rPr>
          <w:rStyle w:val="a5"/>
        </w:rPr>
        <w:footnoteReference w:id="1410" w:customMarkFollows="0"/>
      </w:r>
      <w:bookmarkEnd w:id="2217"/>
      <w:r>
        <w:rPr>
          <w:rtl/>
        </w:rPr>
        <w:t xml:space="preserve">, המוסיף לציטוט שלעיל תוספת קטנה אך משמעותית: “רכשתי את אהבת היהודי </w:t>
      </w:r>
      <w:r>
        <w:rPr>
          <w:b/>
          <w:bCs/>
          <w:rtl/>
        </w:rPr>
        <w:t>ככל יכולתי</w:t>
      </w:r>
      <w:r>
        <w:rPr>
          <w:rtl/>
        </w:rPr>
        <w:t>.”</w:t>
      </w:r>
    </w:p>
    <w:p w14:paraId="42452DF4" w14:textId="77777777" w:rsidR="00AB3647" w:rsidRDefault="00000000" w:rsidP="007923E9">
      <w:pPr>
        <w:spacing w:after="100" w:line="276" w:lineRule="auto"/>
        <w:ind w:firstLine="340"/>
        <w:jc w:val="both"/>
      </w:pPr>
      <w:r>
        <w:rPr>
          <w:rtl/>
        </w:rPr>
        <w:t xml:space="preserve">ועיין בספר בעיות הזמן מאת רבי ראובן </w:t>
      </w:r>
      <w:proofErr w:type="spellStart"/>
      <w:r>
        <w:rPr>
          <w:rtl/>
        </w:rPr>
        <w:t>גרוזובסקי</w:t>
      </w:r>
      <w:bookmarkStart w:id="2218" w:name="_fnr1408"/>
      <w:proofErr w:type="spellEnd"/>
      <w:r>
        <w:rPr>
          <w:rStyle w:val="a5"/>
        </w:rPr>
        <w:footnoteReference w:id="1411" w:customMarkFollows="0"/>
      </w:r>
      <w:bookmarkEnd w:id="2218"/>
      <w:r>
        <w:rPr>
          <w:rtl/>
        </w:rPr>
        <w:t>, שר׳ ברוך בער זצ״ל ביאר שגודל השנאה לפושעי ישראל בא מרוב אהבה ואחוה עיי״ש.</w:t>
      </w:r>
    </w:p>
    <w:bookmarkStart w:id="2219" w:name="b3_note141"/>
    <w:p w14:paraId="7300BF48" w14:textId="77777777" w:rsidR="00AB3647" w:rsidRDefault="00000000" w:rsidP="007923E9">
      <w:pPr>
        <w:spacing w:before="120" w:after="100" w:line="276" w:lineRule="auto"/>
        <w:jc w:val="both"/>
      </w:pPr>
      <w:r>
        <w:fldChar w:fldCharType="begin" w:dirty="true"/>
      </w:r>
      <w:r>
        <w:instrText>HYPERLINK \l "b3_ref141"</w:instrText>
      </w:r>
      <w:r>
        <w:fldChar w:fldCharType="separate"/>
      </w:r>
      <w:r>
        <w:rPr>
          <w:b/>
          <w:bCs/>
          <w:rtl/>
        </w:rPr>
        <w:t>141</w:t>
      </w:r>
      <w:r>
        <w:rPr>
          <w:b/>
          <w:bCs/>
        </w:rPr>
        <w:fldChar w:fldCharType="end"/>
      </w:r>
      <w:bookmarkEnd w:id="2219"/>
      <w:r>
        <w:rPr>
          <w:rtl/>
        </w:rPr>
        <w:t xml:space="preserve"> אבי הרבה לספר על מעשה שאירע פעם בתפילת ערבית לאחר המפגש: “ילדו הצעיר של ר׳ </w:t>
      </w:r>
      <w:proofErr w:type="spellStart"/>
      <w:r>
        <w:rPr>
          <w:rtl/>
        </w:rPr>
        <w:t>ברוך־בער</w:t>
      </w:r>
      <w:proofErr w:type="spellEnd"/>
      <w:r>
        <w:rPr>
          <w:rtl/>
        </w:rPr>
        <w:t xml:space="preserve"> הדליק נר באמצע הברכות שלאחר קריאת שמע כדי לקרוא מן הסידור ‘ברוך ה׳ לעולם’</w:t>
      </w:r>
      <w:bookmarkStart w:id="2220" w:name="_fnr1409"/>
      <w:r>
        <w:rPr>
          <w:rStyle w:val="a5"/>
        </w:rPr>
        <w:footnoteReference w:id="1412" w:customMarkFollows="0"/>
      </w:r>
      <w:bookmarkEnd w:id="2220"/>
      <w:r>
        <w:rPr>
          <w:rtl/>
        </w:rPr>
        <w:t xml:space="preserve">. לאחר שהסתיימה התפילה פנה אליו ראש הישיבה ואמר: ‘מיין </w:t>
      </w:r>
      <w:proofErr w:type="spellStart"/>
      <w:r>
        <w:rPr>
          <w:rtl/>
        </w:rPr>
        <w:t>טייערער</w:t>
      </w:r>
      <w:proofErr w:type="spellEnd"/>
      <w:r>
        <w:rPr>
          <w:rtl/>
        </w:rPr>
        <w:t xml:space="preserve"> </w:t>
      </w:r>
      <w:proofErr w:type="spellStart"/>
      <w:r>
        <w:rPr>
          <w:rtl/>
        </w:rPr>
        <w:t>קינד</w:t>
      </w:r>
      <w:proofErr w:type="spellEnd"/>
      <w:r>
        <w:rPr>
          <w:rtl/>
        </w:rPr>
        <w:t xml:space="preserve">, </w:t>
      </w:r>
      <w:proofErr w:type="spellStart"/>
      <w:r>
        <w:rPr>
          <w:rtl/>
        </w:rPr>
        <w:t>לאנג</w:t>
      </w:r>
      <w:proofErr w:type="spellEnd"/>
      <w:r>
        <w:rPr>
          <w:rtl/>
        </w:rPr>
        <w:t xml:space="preserve"> </w:t>
      </w:r>
      <w:proofErr w:type="spellStart"/>
      <w:r>
        <w:rPr>
          <w:rtl/>
        </w:rPr>
        <w:t>זאלסטו</w:t>
      </w:r>
      <w:proofErr w:type="spellEnd"/>
      <w:r>
        <w:rPr>
          <w:rtl/>
        </w:rPr>
        <w:t xml:space="preserve"> </w:t>
      </w:r>
      <w:proofErr w:type="spellStart"/>
      <w:r>
        <w:rPr>
          <w:rtl/>
        </w:rPr>
        <w:t>לעבען</w:t>
      </w:r>
      <w:proofErr w:type="spellEnd"/>
      <w:r>
        <w:rPr>
          <w:rtl/>
        </w:rPr>
        <w:t xml:space="preserve">, דו </w:t>
      </w:r>
      <w:proofErr w:type="spellStart"/>
      <w:r>
        <w:rPr>
          <w:rtl/>
        </w:rPr>
        <w:t>האסט</w:t>
      </w:r>
      <w:proofErr w:type="spellEnd"/>
      <w:r>
        <w:rPr>
          <w:rtl/>
        </w:rPr>
        <w:t xml:space="preserve"> עובר </w:t>
      </w:r>
      <w:proofErr w:type="spellStart"/>
      <w:r>
        <w:rPr>
          <w:rtl/>
        </w:rPr>
        <w:t>געווען</w:t>
      </w:r>
      <w:proofErr w:type="spellEnd"/>
      <w:r>
        <w:rPr>
          <w:rtl/>
        </w:rPr>
        <w:t xml:space="preserve"> </w:t>
      </w:r>
      <w:proofErr w:type="spellStart"/>
      <w:r>
        <w:rPr>
          <w:rtl/>
        </w:rPr>
        <w:t>אויף</w:t>
      </w:r>
      <w:proofErr w:type="spellEnd"/>
      <w:r>
        <w:rPr>
          <w:rtl/>
        </w:rPr>
        <w:t xml:space="preserve"> א דרבנן און </w:t>
      </w:r>
      <w:proofErr w:type="spellStart"/>
      <w:r>
        <w:rPr>
          <w:rtl/>
        </w:rPr>
        <w:t>עס</w:t>
      </w:r>
      <w:proofErr w:type="spellEnd"/>
      <w:r>
        <w:rPr>
          <w:rtl/>
        </w:rPr>
        <w:t xml:space="preserve"> קומט דיר א </w:t>
      </w:r>
      <w:proofErr w:type="spellStart"/>
      <w:r>
        <w:rPr>
          <w:rtl/>
        </w:rPr>
        <w:t>פאטש</w:t>
      </w:r>
      <w:proofErr w:type="spellEnd"/>
      <w:r>
        <w:rPr>
          <w:rtl/>
        </w:rPr>
        <w:t xml:space="preserve"> [ילדי </w:t>
      </w:r>
      <w:r>
        <w:rPr>
          <w:rtl/>
        </w:rPr>
        <w:lastRenderedPageBreak/>
        <w:t xml:space="preserve">היקר, תחיה לאורך ימים, עברת על איסור דרבנן – לעשות מלאכה קודם הבדלה – ומגיעה לך סטירה]’, ונתן לו סטירה.” ר׳ </w:t>
      </w:r>
      <w:proofErr w:type="spellStart"/>
      <w:r>
        <w:rPr>
          <w:rtl/>
        </w:rPr>
        <w:t>לייבל</w:t>
      </w:r>
      <w:proofErr w:type="spellEnd"/>
      <w:r>
        <w:rPr>
          <w:rtl/>
        </w:rPr>
        <w:t xml:space="preserve"> </w:t>
      </w:r>
      <w:proofErr w:type="spellStart"/>
      <w:r>
        <w:rPr>
          <w:rtl/>
        </w:rPr>
        <w:t>פרלשטיין</w:t>
      </w:r>
      <w:bookmarkStart w:id="2221" w:name="_fnr1410"/>
      <w:proofErr w:type="spellEnd"/>
      <w:r>
        <w:rPr>
          <w:rStyle w:val="a5"/>
        </w:rPr>
        <w:footnoteReference w:id="1413" w:customMarkFollows="0"/>
      </w:r>
      <w:bookmarkEnd w:id="2221"/>
      <w:r>
        <w:rPr>
          <w:rtl/>
        </w:rPr>
        <w:t xml:space="preserve"> סיפר שאבי אמר לו: “מה שנתן לילד היה טפיחה קלה על הלחי. זו הייתה הסטירה שלו.” ר׳ שלמה אשכנזי סיפר בשם רבנו</w:t>
      </w:r>
      <w:bookmarkStart w:id="2222" w:name="_fnr1411"/>
      <w:r>
        <w:rPr>
          <w:rStyle w:val="a5"/>
        </w:rPr>
        <w:footnoteReference w:id="1414" w:customMarkFollows="0"/>
      </w:r>
      <w:bookmarkEnd w:id="2222"/>
      <w:r>
        <w:rPr>
          <w:rtl/>
        </w:rPr>
        <w:t xml:space="preserve"> שלפני הסטירה אמר ר׳ </w:t>
      </w:r>
      <w:proofErr w:type="spellStart"/>
      <w:r>
        <w:rPr>
          <w:rtl/>
        </w:rPr>
        <w:t>ברוך־בער</w:t>
      </w:r>
      <w:proofErr w:type="spellEnd"/>
      <w:r>
        <w:rPr>
          <w:rtl/>
        </w:rPr>
        <w:t xml:space="preserve"> לילד שכדי להראות את אהבתו עליו להענישו, “ככתוב: חושך שבטו שונא בנו ואוהבו שחרו מוסר</w:t>
      </w:r>
      <w:bookmarkStart w:id="2223" w:name="_fnr1412"/>
      <w:r>
        <w:rPr>
          <w:rStyle w:val="a5"/>
        </w:rPr>
        <w:footnoteReference w:id="1415" w:customMarkFollows="0"/>
      </w:r>
      <w:bookmarkEnd w:id="2223"/>
      <w:r>
        <w:rPr>
          <w:rtl/>
        </w:rPr>
        <w:t>”.</w:t>
      </w:r>
    </w:p>
    <w:p w14:paraId="7EB71E98" w14:textId="09A5EA6C" w:rsidR="00AB3647" w:rsidRDefault="00000000" w:rsidP="007923E9">
      <w:pPr>
        <w:spacing w:before="120" w:after="100" w:line="276" w:lineRule="auto"/>
        <w:jc w:val="both"/>
      </w:pPr>
      <w:r>
        <w:rPr>
          <w:rtl/>
        </w:rPr>
        <w:t>ר׳ מרדכי שיין</w:t>
      </w:r>
      <w:bookmarkStart w:id="2224" w:name="_fnr1413"/>
      <w:r>
        <w:rPr>
          <w:rStyle w:val="a5"/>
        </w:rPr>
        <w:footnoteReference w:id="1416" w:customMarkFollows="0"/>
      </w:r>
      <w:bookmarkEnd w:id="2224"/>
      <w:r>
        <w:rPr>
          <w:rtl/>
        </w:rPr>
        <w:t xml:space="preserve"> אמר שאבי סיפר את המעשה (ואת זה שהובא בפרק 1, הערה </w:t>
      </w:r>
      <w:r>
        <w:rPr>
          <w:rtl/>
        </w:rPr>
        <w:fldChar w:fldCharType="begin" w:dirty="true"/>
      </w:r>
      <w:r>
        <w:rPr>
          <w:rtl/>
        </w:rPr>
        <w:instrText xml:space="preserve"> REF b1_note64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64</w:t>
      </w:r>
      <w:r>
        <w:rPr>
          <w:rtl/>
        </w:rPr>
        <w:fldChar w:fldCharType="end"/>
      </w:r>
      <w:r>
        <w:rPr>
          <w:rtl/>
        </w:rPr>
        <w:t xml:space="preserve">) בתשובה לשאלה על ענישה גופנית של ילדים שאינם מתנהגים כראוי. אבי הסיק שמותר להעניש עונש גופני כל עוד מכים את הילד באותה אהבה ובאותו יישוב הדעת שהפגין ר׳ </w:t>
      </w:r>
      <w:proofErr w:type="spellStart"/>
      <w:r>
        <w:rPr>
          <w:rtl/>
        </w:rPr>
        <w:t>ברוך־בער</w:t>
      </w:r>
      <w:bookmarkStart w:id="2225" w:name="_fnr1414"/>
      <w:proofErr w:type="spellEnd"/>
      <w:r>
        <w:rPr>
          <w:rStyle w:val="a5"/>
        </w:rPr>
        <w:footnoteReference w:id="1417" w:customMarkFollows="0"/>
      </w:r>
      <w:bookmarkEnd w:id="2225"/>
      <w:r>
        <w:rPr>
          <w:rtl/>
        </w:rPr>
        <w:t>.</w:t>
      </w:r>
    </w:p>
    <w:p w14:paraId="521DADB8" w14:textId="77777777" w:rsidR="00AB3647" w:rsidRDefault="00000000" w:rsidP="007923E9">
      <w:pPr>
        <w:spacing w:after="100" w:line="276" w:lineRule="auto"/>
        <w:ind w:firstLine="340"/>
        <w:jc w:val="both"/>
      </w:pPr>
      <w:r>
        <w:rPr>
          <w:rtl/>
        </w:rPr>
        <w:t xml:space="preserve">ברשימותיו של ר׳ יוסף </w:t>
      </w:r>
      <w:proofErr w:type="spellStart"/>
      <w:r>
        <w:rPr>
          <w:rtl/>
        </w:rPr>
        <w:t>היינמן</w:t>
      </w:r>
      <w:proofErr w:type="spellEnd"/>
      <w:r>
        <w:rPr>
          <w:rtl/>
        </w:rPr>
        <w:t xml:space="preserve"> בשולי שיעורי אבי על “ספר חסידים”</w:t>
      </w:r>
      <w:bookmarkStart w:id="2226" w:name="_fnr1415"/>
      <w:r>
        <w:rPr>
          <w:rStyle w:val="a5"/>
        </w:rPr>
        <w:footnoteReference w:id="1418" w:customMarkFollows="0"/>
      </w:r>
      <w:bookmarkEnd w:id="2226"/>
      <w:r>
        <w:rPr>
          <w:rtl/>
        </w:rPr>
        <w:t xml:space="preserve"> מובא המעשה הבא: לפני שהיה ר׳ יוסף לייב בלוך, רבה של </w:t>
      </w:r>
      <w:proofErr w:type="spellStart"/>
      <w:r>
        <w:rPr>
          <w:rtl/>
        </w:rPr>
        <w:t>טלז</w:t>
      </w:r>
      <w:proofErr w:type="spellEnd"/>
      <w:r>
        <w:rPr>
          <w:rtl/>
        </w:rPr>
        <w:t>, מכה את ילדו, היה מכנס את כל המשפחה ונושא דברים על הפסול שבמעשה הנער. לאחר מכן פנה ר׳ יוסף לייב אל הילד ואמר: “על זה אתה מקבל שלוש מכות.” אבי הדגיש שדרך זו הבטיחה שר׳ יוסף לייב בלוך לעולם לא יכה את ילדו מתוך כעס. ר׳ יוסף אפשטיין זכר</w:t>
      </w:r>
      <w:bookmarkStart w:id="2227" w:name="_fnr1416"/>
      <w:r>
        <w:rPr>
          <w:rStyle w:val="a5"/>
        </w:rPr>
        <w:footnoteReference w:id="1419" w:customMarkFollows="0"/>
      </w:r>
      <w:bookmarkEnd w:id="2227"/>
      <w:r>
        <w:rPr>
          <w:rtl/>
        </w:rPr>
        <w:t xml:space="preserve"> שאבי סיפר לו את המעשה עשרים וחמש שנה לפני כתיבת הרשימות, בטורונטו, שבה שהה ר׳ יוסף זמן רב בביתנו לאחר שחרורו ממחנה מעצר קנדי</w:t>
      </w:r>
      <w:bookmarkStart w:id="2228" w:name="_fnr1417"/>
      <w:r>
        <w:rPr>
          <w:rStyle w:val="a5"/>
        </w:rPr>
        <w:footnoteReference w:id="1420" w:customMarkFollows="0"/>
      </w:r>
      <w:bookmarkEnd w:id="2228"/>
      <w:r>
        <w:rPr>
          <w:rtl/>
        </w:rPr>
        <w:t>. ר׳ יוסף גם זכר שרבנו נהג בילדיו באותו אופן.</w:t>
      </w:r>
    </w:p>
    <w:p w14:paraId="579E5976" w14:textId="77777777" w:rsidR="00AB3647" w:rsidRDefault="00000000" w:rsidP="007923E9">
      <w:pPr>
        <w:spacing w:after="100" w:line="276" w:lineRule="auto"/>
        <w:ind w:firstLine="340"/>
        <w:jc w:val="both"/>
      </w:pPr>
      <w:r>
        <w:rPr>
          <w:rtl/>
        </w:rPr>
        <w:t>כשפיטר מורה בתלמוד התורה בטורונטו על שהכה ילד, הסביר אבי שעשה זאת לא משום שאסור למורה להכות תלמיד, אלא מפני שהמורה הכה את הילד מתוך שנאה</w:t>
      </w:r>
      <w:bookmarkStart w:id="2229" w:name="_fnr1418"/>
      <w:r>
        <w:rPr>
          <w:rStyle w:val="a5"/>
        </w:rPr>
        <w:footnoteReference w:id="1421" w:customMarkFollows="0"/>
      </w:r>
      <w:bookmarkEnd w:id="2229"/>
      <w:r>
        <w:rPr>
          <w:rtl/>
        </w:rPr>
        <w:t xml:space="preserve">. אבי סיפר </w:t>
      </w:r>
      <w:proofErr w:type="spellStart"/>
      <w:r>
        <w:rPr>
          <w:rtl/>
        </w:rPr>
        <w:t>לר</w:t>
      </w:r>
      <w:proofErr w:type="spellEnd"/>
      <w:r>
        <w:rPr>
          <w:rtl/>
        </w:rPr>
        <w:t xml:space="preserve">׳ </w:t>
      </w:r>
      <w:proofErr w:type="spellStart"/>
      <w:r>
        <w:rPr>
          <w:rtl/>
        </w:rPr>
        <w:t>אברהם־חיים</w:t>
      </w:r>
      <w:proofErr w:type="spellEnd"/>
      <w:r>
        <w:rPr>
          <w:rtl/>
        </w:rPr>
        <w:t xml:space="preserve"> </w:t>
      </w:r>
      <w:proofErr w:type="spellStart"/>
      <w:r>
        <w:rPr>
          <w:rtl/>
        </w:rPr>
        <w:t>פויער</w:t>
      </w:r>
      <w:bookmarkStart w:id="2230" w:name="_fnr1419"/>
      <w:proofErr w:type="spellEnd"/>
      <w:r>
        <w:rPr>
          <w:rStyle w:val="a5"/>
        </w:rPr>
        <w:footnoteReference w:id="1422" w:customMarkFollows="0"/>
      </w:r>
      <w:bookmarkEnd w:id="2230"/>
      <w:r>
        <w:rPr>
          <w:rtl/>
        </w:rPr>
        <w:t xml:space="preserve"> שלא הכה את ילדיו. המעשה הקשה ביותר שעשה היה להפחיד את בנו בן השבע, שהלך לבדו </w:t>
      </w:r>
      <w:proofErr w:type="spellStart"/>
      <w:r>
        <w:rPr>
          <w:rtl/>
        </w:rPr>
        <w:t>מציטוביאן</w:t>
      </w:r>
      <w:proofErr w:type="spellEnd"/>
      <w:r>
        <w:rPr>
          <w:rtl/>
        </w:rPr>
        <w:t xml:space="preserve">, שבה שימש רב, </w:t>
      </w:r>
      <w:proofErr w:type="spellStart"/>
      <w:r>
        <w:rPr>
          <w:rtl/>
        </w:rPr>
        <w:t>לשידלווה</w:t>
      </w:r>
      <w:proofErr w:type="spellEnd"/>
      <w:r>
        <w:rPr>
          <w:rtl/>
        </w:rPr>
        <w:t xml:space="preserve"> הסמוכה – הוא אמר לילד שאם יתנהג כך שוב, אביו עלול למכור אותו לצוענים.</w:t>
      </w:r>
    </w:p>
    <w:p w14:paraId="70DAFA1A" w14:textId="77777777" w:rsidR="00AB3647" w:rsidRDefault="00000000" w:rsidP="007923E9">
      <w:pPr>
        <w:spacing w:after="100" w:line="276" w:lineRule="auto"/>
        <w:ind w:firstLine="340"/>
        <w:jc w:val="both"/>
      </w:pPr>
      <w:r>
        <w:rPr>
          <w:rtl/>
        </w:rPr>
        <w:t xml:space="preserve">פסיכולוגים בני זמננו עשויים לראות בעונש כזה, הפחדת הילד, דבר מזיק יותר מענישה גופנית, אבל רבנו ראה בהרמת יד על אדם מעשה מתועב מעצם טבעו. יהודים רואים בדרך כלל באלימות בידיים דבר מגונה יותר מאלימות בדיבור – הפסוק “הקול קול יעקב </w:t>
      </w:r>
      <w:proofErr w:type="spellStart"/>
      <w:r>
        <w:rPr>
          <w:rtl/>
        </w:rPr>
        <w:t>והידים</w:t>
      </w:r>
      <w:proofErr w:type="spellEnd"/>
      <w:r>
        <w:rPr>
          <w:rtl/>
        </w:rPr>
        <w:t xml:space="preserve"> ידי עשו” (בראשית </w:t>
      </w:r>
      <w:proofErr w:type="spellStart"/>
      <w:r>
        <w:rPr>
          <w:rtl/>
        </w:rPr>
        <w:t>כז</w:t>
      </w:r>
      <w:proofErr w:type="spellEnd"/>
      <w:r>
        <w:rPr>
          <w:rtl/>
        </w:rPr>
        <w:t xml:space="preserve">, </w:t>
      </w:r>
      <w:proofErr w:type="spellStart"/>
      <w:r>
        <w:rPr>
          <w:rtl/>
        </w:rPr>
        <w:t>כב</w:t>
      </w:r>
      <w:proofErr w:type="spellEnd"/>
      <w:r>
        <w:rPr>
          <w:rtl/>
        </w:rPr>
        <w:t>) נדרש בדרך מליצה: כל מה שעשו משיג בידיו, יעקב משיג בקולו בלבד.</w:t>
      </w:r>
    </w:p>
    <w:p w14:paraId="1BB9A96A" w14:textId="68E484B0"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lastRenderedPageBreak/>
        <w:t>הסבא, מצדו, לא העלה על דעתו מעולם למנוע מתלמידי כנסת בית יצחק ליהנות מן המוסר, תחום ייחודה של כנסת ישראל</w:t>
      </w:r>
      <w:bookmarkStart w:id="2231" w:name="b3_ref142"/>
      <w:bookmarkEnd w:id="2231"/>
      <w:r>
        <w:rPr>
          <w:vertAlign w:val="superscript"/>
          <w:rtl/>
        </w:rPr>
        <w:fldChar w:fldCharType="begin" w:dirty="true"/>
      </w:r>
      <w:r>
        <w:rPr>
          <w:vertAlign w:val="superscript"/>
          <w:rtl/>
        </w:rPr>
        <w:instrText xml:space="preserve"> REF b3_note142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142</w:t>
      </w:r>
      <w:r>
        <w:rPr>
          <w:vertAlign w:val="superscript"/>
          <w:rtl/>
        </w:rPr>
        <w:fldChar w:fldCharType="end"/>
      </w:r>
      <w:r>
        <w:rPr>
          <w:rtl/>
        </w:rPr>
        <w:t xml:space="preserve">. ר׳ </w:t>
      </w:r>
      <w:proofErr w:type="spellStart"/>
      <w:r>
        <w:rPr>
          <w:rtl/>
        </w:rPr>
        <w:t>נתן־צבי</w:t>
      </w:r>
      <w:proofErr w:type="spellEnd"/>
      <w:r>
        <w:rPr>
          <w:rtl/>
        </w:rPr>
        <w:t xml:space="preserve"> רצה לקדם את דרך המוסר, ולכן עודד את בחורי כנסת בית יצחק להשתתף בשיחות המוסר שלו, ואף הזמין כמה מהם לשיחות אישיות. כעבור </w:t>
      </w:r>
      <w:proofErr w:type="spellStart"/>
      <w:r>
        <w:rPr>
          <w:rtl/>
        </w:rPr>
        <w:t>זמן־מה</w:t>
      </w:r>
      <w:proofErr w:type="spellEnd"/>
      <w:r>
        <w:rPr>
          <w:rtl/>
        </w:rPr>
        <w:t xml:space="preserve"> הקים ועד מיוחד של מוסר</w:t>
      </w:r>
      <w:bookmarkStart w:id="2232" w:name="b3_ref143"/>
      <w:bookmarkEnd w:id="2232"/>
      <w:r>
        <w:rPr>
          <w:vertAlign w:val="superscript"/>
          <w:rtl/>
        </w:rPr>
        <w:fldChar w:fldCharType="begin" w:dirty="true"/>
      </w:r>
      <w:r>
        <w:rPr>
          <w:vertAlign w:val="superscript"/>
          <w:rtl/>
        </w:rPr>
        <w:instrText xml:space="preserve"> REF b3_note143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143</w:t>
      </w:r>
      <w:r>
        <w:rPr>
          <w:vertAlign w:val="superscript"/>
          <w:rtl/>
        </w:rPr>
        <w:fldChar w:fldCharType="end"/>
      </w:r>
      <w:r>
        <w:rPr>
          <w:rtl/>
        </w:rPr>
        <w:t xml:space="preserve"> לתלמידי הישיבה האחרת. ככלל, היחסים בין שתי הישיבות </w:t>
      </w:r>
      <w:proofErr w:type="spellStart"/>
      <w:r>
        <w:rPr>
          <w:rtl/>
        </w:rPr>
        <w:t>בסלבודקה</w:t>
      </w:r>
      <w:proofErr w:type="spellEnd"/>
      <w:r>
        <w:rPr>
          <w:rtl/>
        </w:rPr>
        <w:t xml:space="preserve"> היו יחסי שיתוף פעולה מובהקים</w:t>
      </w:r>
      <w:bookmarkStart w:id="2233" w:name="b3_ref144"/>
      <w:bookmarkEnd w:id="2233"/>
      <w:r>
        <w:rPr>
          <w:vertAlign w:val="superscript"/>
          <w:rtl/>
        </w:rPr>
        <w:fldChar w:fldCharType="begin" w:dirty="true"/>
      </w:r>
      <w:r>
        <w:rPr>
          <w:vertAlign w:val="superscript"/>
          <w:rtl/>
        </w:rPr>
        <w:instrText xml:space="preserve"> REF b3_note144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144</w:t>
      </w:r>
      <w:r>
        <w:rPr>
          <w:vertAlign w:val="superscript"/>
          <w:rtl/>
        </w:rPr>
        <w:fldChar w:fldCharType="end"/>
      </w:r>
      <w:r>
        <w:rPr>
          <w:rtl/>
        </w:rPr>
        <w:t>.</w:t>
      </w:r>
    </w:p>
    <w:bookmarkStart w:id="2234" w:name="b3_note142"/>
    <w:p w14:paraId="3CA505A0" w14:textId="21C33918" w:rsidR="00AB3647" w:rsidRDefault="00000000" w:rsidP="007923E9">
      <w:pPr>
        <w:spacing w:before="120" w:after="100" w:line="276" w:lineRule="auto"/>
        <w:jc w:val="both"/>
      </w:pPr>
      <w:r>
        <w:fldChar w:fldCharType="begin" w:dirty="true"/>
      </w:r>
      <w:r>
        <w:instrText>HYPERLINK \l "b3_ref142"</w:instrText>
      </w:r>
      <w:r>
        <w:fldChar w:fldCharType="separate"/>
      </w:r>
      <w:r>
        <w:rPr>
          <w:b/>
          <w:bCs/>
          <w:rtl/>
        </w:rPr>
        <w:t>142</w:t>
      </w:r>
      <w:r>
        <w:rPr>
          <w:b/>
          <w:bCs/>
        </w:rPr>
        <w:fldChar w:fldCharType="end"/>
      </w:r>
      <w:bookmarkEnd w:id="2234"/>
      <w:r>
        <w:rPr>
          <w:rtl/>
        </w:rPr>
        <w:t xml:space="preserve"> ראה </w:t>
      </w:r>
      <w:r>
        <w:rPr>
          <w:rtl/>
        </w:rPr>
        <w:fldChar w:fldCharType="begin" w:dirty="true"/>
      </w:r>
      <w:r>
        <w:rPr>
          <w:rtl/>
        </w:rPr>
        <w:instrText xml:space="preserve"> REF b3_excGG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לג</w:t>
      </w:r>
      <w:r>
        <w:rPr>
          <w:rtl/>
        </w:rPr>
        <w:fldChar w:fldCharType="end"/>
      </w:r>
      <w:r>
        <w:rPr>
          <w:rtl/>
        </w:rPr>
        <w:t>.</w:t>
      </w:r>
    </w:p>
    <w:bookmarkStart w:id="2235" w:name="b3_note143"/>
    <w:p w14:paraId="21D594DB" w14:textId="5972096F" w:rsidR="00AB3647" w:rsidRDefault="00000000" w:rsidP="007923E9">
      <w:pPr>
        <w:spacing w:before="120" w:after="100" w:line="276" w:lineRule="auto"/>
        <w:jc w:val="both"/>
      </w:pPr>
      <w:r>
        <w:fldChar w:fldCharType="begin" w:dirty="true"/>
      </w:r>
      <w:r>
        <w:instrText>HYPERLINK \l "b3_ref143"</w:instrText>
      </w:r>
      <w:r>
        <w:fldChar w:fldCharType="separate"/>
      </w:r>
      <w:r>
        <w:rPr>
          <w:b/>
          <w:bCs/>
          <w:rtl/>
        </w:rPr>
        <w:t>143</w:t>
      </w:r>
      <w:r>
        <w:rPr>
          <w:b/>
          <w:bCs/>
        </w:rPr>
        <w:fldChar w:fldCharType="end"/>
      </w:r>
      <w:bookmarkEnd w:id="2235"/>
      <w:r>
        <w:rPr>
          <w:rtl/>
        </w:rPr>
        <w:t xml:space="preserve"> ראה </w:t>
      </w:r>
      <w:r>
        <w:rPr>
          <w:rtl/>
        </w:rPr>
        <w:fldChar w:fldCharType="begin" w:dirty="true"/>
      </w:r>
      <w:r>
        <w:rPr>
          <w:rtl/>
        </w:rPr>
        <w:instrText xml:space="preserve"> REF b3_excHH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לד</w:t>
      </w:r>
      <w:r>
        <w:rPr>
          <w:rtl/>
        </w:rPr>
        <w:fldChar w:fldCharType="end"/>
      </w:r>
      <w:r>
        <w:rPr>
          <w:rtl/>
        </w:rPr>
        <w:t>.</w:t>
      </w:r>
    </w:p>
    <w:bookmarkStart w:id="2236" w:name="b3_note144"/>
    <w:p w14:paraId="19BC6536" w14:textId="06E0DE9D" w:rsidR="00AB3647" w:rsidRDefault="00000000" w:rsidP="007923E9">
      <w:pPr>
        <w:spacing w:before="120" w:after="100" w:line="276" w:lineRule="auto"/>
        <w:jc w:val="both"/>
      </w:pPr>
      <w:r>
        <w:fldChar w:fldCharType="begin" w:dirty="true"/>
      </w:r>
      <w:r>
        <w:instrText>HYPERLINK \l "b3_ref144"</w:instrText>
      </w:r>
      <w:r>
        <w:fldChar w:fldCharType="separate"/>
      </w:r>
      <w:r>
        <w:rPr>
          <w:b/>
          <w:bCs/>
          <w:rtl/>
        </w:rPr>
        <w:t>144</w:t>
      </w:r>
      <w:r>
        <w:rPr>
          <w:b/>
          <w:bCs/>
        </w:rPr>
        <w:fldChar w:fldCharType="end"/>
      </w:r>
      <w:bookmarkEnd w:id="2236"/>
      <w:r>
        <w:rPr>
          <w:rtl/>
        </w:rPr>
        <w:t xml:space="preserve"> ראה </w:t>
      </w:r>
      <w:r>
        <w:rPr>
          <w:rtl/>
        </w:rPr>
        <w:fldChar w:fldCharType="begin" w:dirty="true"/>
      </w:r>
      <w:r>
        <w:rPr>
          <w:rtl/>
        </w:rPr>
        <w:instrText xml:space="preserve"> REF b3_excII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לה</w:t>
      </w:r>
      <w:r>
        <w:rPr>
          <w:rtl/>
        </w:rPr>
        <w:fldChar w:fldCharType="end"/>
      </w:r>
      <w:r>
        <w:rPr>
          <w:rtl/>
        </w:rPr>
        <w:t>.</w:t>
      </w:r>
    </w:p>
    <w:p w14:paraId="6B837F50" w14:textId="02BA47BF"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כנסת ישראל הייתה ישיבת מוסר, ולכן התפתחות אישיותו של התלמיד לא הושארה ליד המקרה</w:t>
      </w:r>
      <w:bookmarkStart w:id="2237" w:name="b3_ref145"/>
      <w:bookmarkEnd w:id="2237"/>
      <w:r>
        <w:rPr>
          <w:vertAlign w:val="superscript"/>
          <w:rtl/>
        </w:rPr>
        <w:fldChar w:fldCharType="begin" w:dirty="true"/>
      </w:r>
      <w:r>
        <w:rPr>
          <w:vertAlign w:val="superscript"/>
          <w:rtl/>
        </w:rPr>
        <w:instrText xml:space="preserve"> REF b3_note145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145</w:t>
      </w:r>
      <w:r>
        <w:rPr>
          <w:vertAlign w:val="superscript"/>
          <w:rtl/>
        </w:rPr>
        <w:fldChar w:fldCharType="end"/>
      </w:r>
      <w:r>
        <w:rPr>
          <w:rtl/>
        </w:rPr>
        <w:t>. את שיחות הסבא שמעו כל בני הישיבה בלילות שבת ובמוצאי שבת, ולעיתים גם בזמן המוסר שלפני ערבית בליל חמישי</w:t>
      </w:r>
      <w:bookmarkStart w:id="2238" w:name="b3_ref146"/>
      <w:bookmarkEnd w:id="2238"/>
      <w:r>
        <w:rPr>
          <w:vertAlign w:val="superscript"/>
          <w:rtl/>
        </w:rPr>
        <w:fldChar w:fldCharType="begin" w:dirty="true"/>
      </w:r>
      <w:r>
        <w:rPr>
          <w:vertAlign w:val="superscript"/>
          <w:rtl/>
        </w:rPr>
        <w:instrText xml:space="preserve"> REF b3_note146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146</w:t>
      </w:r>
      <w:r>
        <w:rPr>
          <w:vertAlign w:val="superscript"/>
          <w:rtl/>
        </w:rPr>
        <w:fldChar w:fldCharType="end"/>
      </w:r>
      <w:r>
        <w:rPr>
          <w:rtl/>
        </w:rPr>
        <w:t>. מלבד שיחות אלה השתייך כל תלמיד לאחד הוועדים, שנפגשו מדי שבוע לדיון משותף במוסר. ועדה בראשות ר׳ זלמן דולינסקי</w:t>
      </w:r>
      <w:bookmarkStart w:id="2239" w:name="b3_ref147"/>
      <w:bookmarkEnd w:id="2239"/>
      <w:r>
        <w:rPr>
          <w:vertAlign w:val="superscript"/>
          <w:rtl/>
        </w:rPr>
        <w:fldChar w:fldCharType="begin" w:dirty="true"/>
      </w:r>
      <w:r>
        <w:rPr>
          <w:vertAlign w:val="superscript"/>
          <w:rtl/>
        </w:rPr>
        <w:instrText xml:space="preserve"> REF b3_note147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147</w:t>
      </w:r>
      <w:r>
        <w:rPr>
          <w:vertAlign w:val="superscript"/>
          <w:rtl/>
        </w:rPr>
        <w:fldChar w:fldCharType="end"/>
      </w:r>
      <w:r>
        <w:rPr>
          <w:rtl/>
        </w:rPr>
        <w:t xml:space="preserve"> פיקחה על תוכנית הוועדים, והיו בה עוד שני ממונים, ואחד מהם חתנו של הסבא, ר׳ אייזיק שר</w:t>
      </w:r>
      <w:bookmarkStart w:id="2240" w:name="b3_ref148"/>
      <w:bookmarkEnd w:id="2240"/>
      <w:r>
        <w:rPr>
          <w:vertAlign w:val="superscript"/>
          <w:rtl/>
        </w:rPr>
        <w:fldChar w:fldCharType="begin" w:dirty="true"/>
      </w:r>
      <w:r>
        <w:rPr>
          <w:vertAlign w:val="superscript"/>
          <w:rtl/>
        </w:rPr>
        <w:instrText xml:space="preserve"> REF b3_note148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148</w:t>
      </w:r>
      <w:r>
        <w:rPr>
          <w:vertAlign w:val="superscript"/>
          <w:rtl/>
        </w:rPr>
        <w:fldChar w:fldCharType="end"/>
      </w:r>
      <w:r>
        <w:rPr>
          <w:rtl/>
        </w:rPr>
        <w:t>. המצטרפים החדשים שובצו בוועדיהם זמן קצר אחרי בואם.</w:t>
      </w:r>
    </w:p>
    <w:bookmarkStart w:id="2241" w:name="b3_note145"/>
    <w:p w14:paraId="2EB810D5" w14:textId="77777777" w:rsidR="00AB3647" w:rsidRDefault="00000000" w:rsidP="007923E9">
      <w:pPr>
        <w:spacing w:before="120" w:after="100" w:line="276" w:lineRule="auto"/>
        <w:jc w:val="both"/>
      </w:pPr>
      <w:r>
        <w:fldChar w:fldCharType="begin" w:dirty="true"/>
      </w:r>
      <w:r>
        <w:instrText>HYPERLINK \l "b3_ref145"</w:instrText>
      </w:r>
      <w:r>
        <w:fldChar w:fldCharType="separate"/>
      </w:r>
      <w:r>
        <w:rPr>
          <w:b/>
          <w:bCs/>
          <w:rtl/>
        </w:rPr>
        <w:t>145</w:t>
      </w:r>
      <w:r>
        <w:rPr>
          <w:b/>
          <w:bCs/>
        </w:rPr>
        <w:fldChar w:fldCharType="end"/>
      </w:r>
      <w:bookmarkEnd w:id="2241"/>
      <w:r>
        <w:rPr>
          <w:rtl/>
        </w:rPr>
        <w:t xml:space="preserve"> ר׳ יצחק </w:t>
      </w:r>
      <w:proofErr w:type="spellStart"/>
      <w:r>
        <w:rPr>
          <w:rtl/>
        </w:rPr>
        <w:t>שורין</w:t>
      </w:r>
      <w:proofErr w:type="spellEnd"/>
      <w:r>
        <w:rPr>
          <w:rtl/>
        </w:rPr>
        <w:t xml:space="preserve"> סיפר</w:t>
      </w:r>
      <w:bookmarkStart w:id="2242" w:name="_fnr1420"/>
      <w:r>
        <w:rPr>
          <w:rStyle w:val="a5"/>
        </w:rPr>
        <w:footnoteReference w:id="1423" w:customMarkFollows="0"/>
      </w:r>
      <w:bookmarkEnd w:id="2242"/>
      <w:r>
        <w:rPr>
          <w:rtl/>
        </w:rPr>
        <w:t xml:space="preserve"> ששאל את רבנו כיצד בא לידי ביטוי אופייה של כנסת ישראל כישיבת מוסר, ונענה: “בשתי דרכים. שלישי, העלייה השלישית לתורה והמכובדת ביותר, נשמרה למי שהצטיין במוסר, גם אם לא היה מן הלמדנים הגדולים ביותר. ואם בחור </w:t>
      </w:r>
      <w:proofErr w:type="spellStart"/>
      <w:r>
        <w:rPr>
          <w:rtl/>
        </w:rPr>
        <w:t>איז</w:t>
      </w:r>
      <w:proofErr w:type="spellEnd"/>
      <w:r>
        <w:rPr>
          <w:rtl/>
        </w:rPr>
        <w:t xml:space="preserve"> </w:t>
      </w:r>
      <w:proofErr w:type="spellStart"/>
      <w:r>
        <w:rPr>
          <w:rtl/>
        </w:rPr>
        <w:t>דורכגעפאלען</w:t>
      </w:r>
      <w:proofErr w:type="spellEnd"/>
      <w:r>
        <w:rPr>
          <w:rtl/>
        </w:rPr>
        <w:t xml:space="preserve"> [נכשל] במידה, היה עוזב את הישיבה ושוהה יום או יומיים בבית המוסר בקובנה, בלימוד ובהתבוננות כיצד לתקן את עצמו.”</w:t>
      </w:r>
    </w:p>
    <w:bookmarkStart w:id="2243" w:name="b3_note146"/>
    <w:p w14:paraId="666A7D17" w14:textId="77777777" w:rsidR="00AB3647" w:rsidRDefault="00000000" w:rsidP="007923E9">
      <w:pPr>
        <w:spacing w:before="120" w:after="100" w:line="276" w:lineRule="auto"/>
        <w:jc w:val="both"/>
      </w:pPr>
      <w:r>
        <w:fldChar w:fldCharType="begin" w:dirty="true"/>
      </w:r>
      <w:r>
        <w:instrText>HYPERLINK \l "b3_ref146"</w:instrText>
      </w:r>
      <w:r>
        <w:fldChar w:fldCharType="separate"/>
      </w:r>
      <w:r>
        <w:rPr>
          <w:b/>
          <w:bCs/>
          <w:rtl/>
        </w:rPr>
        <w:t>146</w:t>
      </w:r>
      <w:r>
        <w:rPr>
          <w:b/>
          <w:bCs/>
        </w:rPr>
        <w:fldChar w:fldCharType="end"/>
      </w:r>
      <w:bookmarkEnd w:id="2243"/>
      <w:r>
        <w:rPr>
          <w:rtl/>
        </w:rPr>
        <w:t xml:space="preserve"> כשהיה הסבא נכנס לבית המדרש לשיחת המוסר, שאותה מסר ממקומו שם</w:t>
      </w:r>
      <w:bookmarkStart w:id="2244" w:name="_fnr1421"/>
      <w:r>
        <w:rPr>
          <w:rStyle w:val="a5"/>
        </w:rPr>
        <w:footnoteReference w:id="1424" w:customMarkFollows="0"/>
      </w:r>
      <w:bookmarkEnd w:id="2244"/>
      <w:r>
        <w:rPr>
          <w:rtl/>
        </w:rPr>
        <w:t>, הייתה מתחילה הסתערות על המקומות הנוחים לשמיעה. “כשנכנס הייתה ריצה כזאת, שאנשים היו יכולים לחשוב שפרצה שרפה בבניין”, אמר ר׳ מאיר חדש</w:t>
      </w:r>
      <w:bookmarkStart w:id="2245" w:name="_fnr1422"/>
      <w:r>
        <w:rPr>
          <w:rStyle w:val="a5"/>
        </w:rPr>
        <w:footnoteReference w:id="1425" w:customMarkFollows="0"/>
      </w:r>
      <w:bookmarkEnd w:id="2245"/>
      <w:r>
        <w:rPr>
          <w:rtl/>
        </w:rPr>
        <w:t>. ר׳ זבולון גרז</w:t>
      </w:r>
      <w:bookmarkStart w:id="2246" w:name="_fnr1423"/>
      <w:r>
        <w:rPr>
          <w:rStyle w:val="a5"/>
        </w:rPr>
        <w:footnoteReference w:id="1426" w:customMarkFollows="0"/>
      </w:r>
      <w:bookmarkEnd w:id="2246"/>
      <w:r>
        <w:rPr>
          <w:rtl/>
        </w:rPr>
        <w:t xml:space="preserve"> תיאר כך את המראה: “בזמני כבר התגורר הסבא בבניין הישיבה, ושיחותיו בלילות שבת ובמוצאי שבת נמסרו על פי רוב בביתו. כשדיבר בבית המדרש היה זה מחזה נורא הוד. הם [התלמידים] רצו מעל הסטנדרים, דילגו זה מעל זה, ולבסוף עמדו במדרגות: קבוצה אחת החזיקה סטנדרים [לפניה], וקבוצה אחרת [מאחוריה] עמדה על גבי סטנדרים.”</w:t>
      </w:r>
    </w:p>
    <w:p w14:paraId="1E4DC0A9" w14:textId="77777777" w:rsidR="00AB3647" w:rsidRDefault="00000000" w:rsidP="007923E9">
      <w:pPr>
        <w:spacing w:before="120" w:after="100" w:line="276" w:lineRule="auto"/>
        <w:jc w:val="both"/>
      </w:pPr>
      <w:r>
        <w:rPr>
          <w:rtl/>
        </w:rPr>
        <w:lastRenderedPageBreak/>
        <w:t>כץ, “תנועת המוסר”, כרך ג</w:t>
      </w:r>
      <w:bookmarkStart w:id="2247" w:name="_fnr1424"/>
      <w:r>
        <w:rPr>
          <w:rStyle w:val="a5"/>
        </w:rPr>
        <w:footnoteReference w:id="1427" w:customMarkFollows="0"/>
      </w:r>
      <w:bookmarkEnd w:id="2247"/>
      <w:r>
        <w:rPr>
          <w:rtl/>
        </w:rPr>
        <w:t>, מספר על הריצה הכללית למקומות הסמוכים יותר לבמה “בתחילה”</w:t>
      </w:r>
      <w:bookmarkStart w:id="2248" w:name="_fnr1425"/>
      <w:r>
        <w:rPr>
          <w:rStyle w:val="a5"/>
        </w:rPr>
        <w:footnoteReference w:id="1428" w:customMarkFollows="0"/>
      </w:r>
      <w:bookmarkEnd w:id="2248"/>
      <w:r>
        <w:rPr>
          <w:rtl/>
        </w:rPr>
        <w:t>, ומוסיף</w:t>
      </w:r>
      <w:bookmarkStart w:id="2249" w:name="_fnr1426"/>
      <w:r>
        <w:rPr>
          <w:rStyle w:val="a5"/>
        </w:rPr>
        <w:footnoteReference w:id="1429" w:customMarkFollows="0"/>
      </w:r>
      <w:bookmarkEnd w:id="2249"/>
      <w:r>
        <w:rPr>
          <w:rtl/>
        </w:rPr>
        <w:t xml:space="preserve"> </w:t>
      </w:r>
      <w:proofErr w:type="spellStart"/>
      <w:r>
        <w:rPr>
          <w:rtl/>
        </w:rPr>
        <w:t>ש“בשנים</w:t>
      </w:r>
      <w:proofErr w:type="spellEnd"/>
      <w:r>
        <w:rPr>
          <w:rtl/>
        </w:rPr>
        <w:t xml:space="preserve"> האחרונות [?], כשנשתרש מנהג זה”, גינה אותו הסבא, מפני </w:t>
      </w:r>
      <w:proofErr w:type="spellStart"/>
      <w:r>
        <w:rPr>
          <w:rtl/>
        </w:rPr>
        <w:t>ש“כיסאות</w:t>
      </w:r>
      <w:proofErr w:type="spellEnd"/>
      <w:r>
        <w:rPr>
          <w:rtl/>
        </w:rPr>
        <w:t xml:space="preserve"> או סטנדרים נופלים וניזוקים מעט, ו... אנשים נדחפים מן המקומות המגיעים להם בדין, שהם מעשים אסורים של ‘מזיק וגוזל’”</w:t>
      </w:r>
      <w:bookmarkStart w:id="2250" w:name="_fnr1427"/>
      <w:r>
        <w:rPr>
          <w:rStyle w:val="a5"/>
        </w:rPr>
        <w:footnoteReference w:id="1430" w:customMarkFollows="0"/>
      </w:r>
      <w:bookmarkEnd w:id="2250"/>
      <w:r>
        <w:rPr>
          <w:rtl/>
        </w:rPr>
        <w:t>. השווה גם שם</w:t>
      </w:r>
      <w:bookmarkStart w:id="2251" w:name="_fnr1428"/>
      <w:r>
        <w:rPr>
          <w:rStyle w:val="a5"/>
        </w:rPr>
        <w:footnoteReference w:id="1431" w:customMarkFollows="0"/>
      </w:r>
      <w:bookmarkEnd w:id="2251"/>
      <w:r>
        <w:rPr>
          <w:rtl/>
        </w:rPr>
        <w:t xml:space="preserve"> כיצד סלד הסבא ממעשים טובים הגורמים </w:t>
      </w:r>
      <w:proofErr w:type="spellStart"/>
      <w:r>
        <w:rPr>
          <w:rtl/>
        </w:rPr>
        <w:t>אי־נוחות</w:t>
      </w:r>
      <w:proofErr w:type="spellEnd"/>
      <w:r>
        <w:rPr>
          <w:rtl/>
        </w:rPr>
        <w:t xml:space="preserve"> לאחרים.</w:t>
      </w:r>
    </w:p>
    <w:bookmarkStart w:id="2252" w:name="b3_note147"/>
    <w:p w14:paraId="27E4DD0D" w14:textId="3F5F2AE6" w:rsidR="00AB3647" w:rsidRDefault="00000000" w:rsidP="007923E9">
      <w:pPr>
        <w:spacing w:before="120" w:after="100" w:line="276" w:lineRule="auto"/>
        <w:jc w:val="both"/>
      </w:pPr>
      <w:r>
        <w:fldChar w:fldCharType="begin" w:dirty="true"/>
      </w:r>
      <w:r>
        <w:instrText>HYPERLINK \l "b3_ref147"</w:instrText>
      </w:r>
      <w:r>
        <w:fldChar w:fldCharType="separate"/>
      </w:r>
      <w:r>
        <w:rPr>
          <w:b/>
          <w:bCs/>
          <w:rtl/>
        </w:rPr>
        <w:t>147</w:t>
      </w:r>
      <w:r>
        <w:rPr>
          <w:b/>
          <w:bCs/>
        </w:rPr>
        <w:fldChar w:fldCharType="end"/>
      </w:r>
      <w:bookmarkEnd w:id="2252"/>
      <w:r>
        <w:rPr>
          <w:rtl/>
        </w:rPr>
        <w:t xml:space="preserve"> ראה </w:t>
      </w:r>
      <w:r>
        <w:rPr>
          <w:rtl/>
        </w:rPr>
        <w:fldChar w:fldCharType="begin" w:dirty="true"/>
      </w:r>
      <w:r>
        <w:rPr>
          <w:rtl/>
        </w:rPr>
        <w:instrText xml:space="preserve"> REF b3_excJJ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לו</w:t>
      </w:r>
      <w:r>
        <w:rPr>
          <w:rtl/>
        </w:rPr>
        <w:fldChar w:fldCharType="end"/>
      </w:r>
      <w:r>
        <w:rPr>
          <w:rtl/>
        </w:rPr>
        <w:t>.</w:t>
      </w:r>
    </w:p>
    <w:p w14:paraId="12010468" w14:textId="77777777" w:rsidR="00AB3647" w:rsidRDefault="00AB3647" w:rsidP="007923E9">
      <w:pPr>
        <w:spacing w:line="276" w:lineRule="auto"/>
      </w:pPr>
    </w:p>
    <w:bookmarkStart w:id="2253" w:name="b3_note148"/>
    <w:p w14:paraId="4C12C499" w14:textId="77777777" w:rsidR="00AB3647" w:rsidRDefault="00000000" w:rsidP="007923E9">
      <w:pPr>
        <w:spacing w:before="120" w:after="100" w:line="276" w:lineRule="auto"/>
        <w:jc w:val="both"/>
      </w:pPr>
      <w:r>
        <w:fldChar w:fldCharType="begin" w:dirty="true"/>
      </w:r>
      <w:r>
        <w:instrText>HYPERLINK \l "b3_ref148"</w:instrText>
      </w:r>
      <w:r>
        <w:fldChar w:fldCharType="separate"/>
      </w:r>
      <w:r>
        <w:rPr>
          <w:b/>
          <w:bCs/>
          <w:rtl/>
        </w:rPr>
        <w:t>148</w:t>
      </w:r>
      <w:r>
        <w:rPr>
          <w:b/>
          <w:bCs/>
        </w:rPr>
        <w:fldChar w:fldCharType="end"/>
      </w:r>
      <w:bookmarkEnd w:id="2253"/>
      <w:r>
        <w:rPr>
          <w:rtl/>
        </w:rPr>
        <w:t xml:space="preserve"> בהערת אגב בשיעור הדף היומי</w:t>
      </w:r>
      <w:bookmarkStart w:id="2254" w:name="_fnr1429"/>
      <w:r>
        <w:rPr>
          <w:rStyle w:val="a5"/>
        </w:rPr>
        <w:footnoteReference w:id="1432" w:customMarkFollows="0"/>
      </w:r>
      <w:bookmarkEnd w:id="2254"/>
      <w:r>
        <w:rPr>
          <w:rtl/>
        </w:rPr>
        <w:t>, כינה אבי “</w:t>
      </w:r>
      <w:proofErr w:type="spellStart"/>
      <w:r>
        <w:rPr>
          <w:rtl/>
        </w:rPr>
        <w:t>מאויימ׳דיגער</w:t>
      </w:r>
      <w:proofErr w:type="spellEnd"/>
      <w:r>
        <w:rPr>
          <w:rtl/>
        </w:rPr>
        <w:t xml:space="preserve"> מצב [מצב מבעית]” את התופעה שבישיבות גדולות “כיום” אין די אנשי צוות לטיפול בהתפתחות האישית של תלמידיהן, ותיאר כיצד נמנע הדבר </w:t>
      </w:r>
      <w:proofErr w:type="spellStart"/>
      <w:r>
        <w:rPr>
          <w:rtl/>
        </w:rPr>
        <w:t>בסלבודקה</w:t>
      </w:r>
      <w:proofErr w:type="spellEnd"/>
      <w:r>
        <w:rPr>
          <w:rtl/>
        </w:rPr>
        <w:t xml:space="preserve">, הן באמצעות האנשים שהופקדו על כך הן באמצעות הסדרי השותפות </w:t>
      </w:r>
      <w:proofErr w:type="spellStart"/>
      <w:r>
        <w:rPr>
          <w:rtl/>
        </w:rPr>
        <w:t>בסטנציות</w:t>
      </w:r>
      <w:bookmarkStart w:id="2255" w:name="_fnr1430"/>
      <w:proofErr w:type="spellEnd"/>
      <w:r>
        <w:rPr>
          <w:rStyle w:val="a5"/>
        </w:rPr>
        <w:footnoteReference w:id="1433" w:customMarkFollows="0"/>
      </w:r>
      <w:bookmarkStart w:id="2256" w:name="_fnr1431"/>
      <w:bookmarkStart w:id="2257" w:name="pr_f_1344"/>
      <w:bookmarkEnd w:id="2255"/>
      <w:r>
        <w:rPr>
          <w:rStyle w:val="a5"/>
        </w:rPr>
        <w:footnoteReference w:id="1434" w:customMarkFollows="0"/>
      </w:r>
      <w:bookmarkEnd w:id="2256"/>
      <w:bookmarkEnd w:id="2257"/>
      <w:r>
        <w:rPr>
          <w:rtl/>
        </w:rPr>
        <w:t>.</w:t>
      </w:r>
    </w:p>
    <w:p w14:paraId="070D11FA" w14:textId="77777777" w:rsidR="00AB3647" w:rsidRDefault="00000000" w:rsidP="007923E9">
      <w:pPr>
        <w:pStyle w:val="2"/>
        <w:pageBreakBefore/>
        <w:spacing w:line="276" w:lineRule="auto"/>
      </w:pPr>
      <w:bookmarkStart w:id="2258" w:name="b3_excursuses"/>
      <w:r>
        <w:lastRenderedPageBreak/>
        <w:t>נספחים</w:t>
      </w:r>
      <w:bookmarkEnd w:id="2258"/>
    </w:p>
    <w:bookmarkStart w:id="2259" w:name="b3_excA"/>
    <w:p w14:paraId="1B7768FB" w14:textId="77777777" w:rsidR="00AB3647" w:rsidRDefault="00000000" w:rsidP="007923E9">
      <w:pPr>
        <w:pStyle w:val="3"/>
        <w:pageBreakBefore w:val="0"/>
        <w:spacing w:line="276" w:lineRule="auto"/>
      </w:pPr>
      <w:r>
        <w:fldChar w:fldCharType="begin" w:dirty="true"/>
      </w:r>
      <w:r>
        <w:rPr>
          <w:rtl w:val="0"/>
        </w:rPr>
        <w:instrText>HYPERLINK \l "b3_note19</w:instrText>
      </w:r>
      <w:r>
        <w:instrText>"</w:instrText>
      </w:r>
      <w:r>
        <w:fldChar w:fldCharType="separate"/>
      </w:r>
      <w:r>
        <w:t>נספח א</w:t>
      </w:r>
      <w:r>
        <w:fldChar w:fldCharType="end"/>
      </w:r>
      <w:bookmarkEnd w:id="2259"/>
    </w:p>
    <w:p w14:paraId="4F0331C2" w14:textId="77777777" w:rsidR="00AB3647" w:rsidRDefault="00000000" w:rsidP="007923E9">
      <w:pPr>
        <w:pStyle w:val="af"/>
        <w:spacing w:line="276" w:lineRule="auto"/>
      </w:pPr>
      <w:r>
        <w:t>על ראשיתו של כולל קובנה ועל עלון “עץ פרי” שחולק לתומכיו</w:t>
      </w:r>
    </w:p>
    <w:p w14:paraId="4898D1BE" w14:textId="77777777" w:rsidR="00AB3647" w:rsidRDefault="00000000" w:rsidP="007923E9">
      <w:pPr>
        <w:pStyle w:val="4"/>
        <w:spacing w:line="276" w:lineRule="auto"/>
      </w:pPr>
      <w:r>
        <w:t>· הפסקה הראשונה ·</w:t>
      </w:r>
    </w:p>
    <w:p w14:paraId="29B33FF0" w14:textId="77777777" w:rsidR="00AB3647" w:rsidRDefault="00000000" w:rsidP="007923E9">
      <w:pPr>
        <w:keepNext/>
        <w:shd w:val="clear" w:color="auto" w:fill="F2F2F2"/>
        <w:spacing w:before="40" w:after="200" w:line="276" w:lineRule="auto"/>
        <w:ind w:left="283" w:right="283"/>
        <w:jc w:val="both"/>
      </w:pPr>
      <w:r>
        <w:rPr>
          <w:color w:val="404040"/>
          <w:sz w:val="22"/>
          <w:szCs w:val="22"/>
          <w:rtl/>
        </w:rPr>
        <w:t xml:space="preserve">הסבא מוציא לאור את חוברת “עץ פרי” – ר׳ </w:t>
      </w:r>
      <w:proofErr w:type="spellStart"/>
      <w:r>
        <w:rPr>
          <w:color w:val="404040"/>
          <w:sz w:val="22"/>
          <w:szCs w:val="22"/>
          <w:rtl/>
        </w:rPr>
        <w:t>לייזר־יעקב</w:t>
      </w:r>
      <w:proofErr w:type="spellEnd"/>
      <w:r>
        <w:rPr>
          <w:color w:val="404040"/>
          <w:sz w:val="22"/>
          <w:szCs w:val="22"/>
          <w:rtl/>
        </w:rPr>
        <w:t xml:space="preserve"> </w:t>
      </w:r>
      <w:proofErr w:type="spellStart"/>
      <w:r>
        <w:rPr>
          <w:color w:val="404040"/>
          <w:sz w:val="22"/>
          <w:szCs w:val="22"/>
          <w:rtl/>
        </w:rPr>
        <w:t xml:space="preserve">חווס</w:t>
      </w:r>
      <w:proofErr w:type="spellEnd"/>
      <w:r>
        <w:rPr>
          <w:color w:val="404040"/>
          <w:sz w:val="22"/>
          <w:szCs w:val="22"/>
          <w:rtl/>
        </w:rPr>
        <w:t xml:space="preserve"> זוכה לשבחי </w:t>
      </w:r>
      <w:proofErr w:type="spellStart"/>
      <w:r>
        <w:rPr>
          <w:color w:val="404040"/>
          <w:sz w:val="22"/>
          <w:szCs w:val="22"/>
          <w:rtl/>
        </w:rPr>
        <w:t>החפץ־חיים</w:t>
      </w:r>
      <w:proofErr w:type="spellEnd"/>
      <w:r>
        <w:rPr>
          <w:color w:val="404040"/>
          <w:sz w:val="22"/>
          <w:szCs w:val="22"/>
          <w:rtl/>
        </w:rPr>
        <w:t xml:space="preserve"> – תוכן החוברת – </w:t>
      </w:r>
      <w:proofErr w:type="spellStart"/>
      <w:r>
        <w:rPr>
          <w:color w:val="404040"/>
          <w:sz w:val="22"/>
          <w:szCs w:val="22"/>
          <w:rtl/>
        </w:rPr>
        <w:t xml:space="preserve">חווס</w:t>
      </w:r>
      <w:proofErr w:type="spellEnd"/>
      <w:r>
        <w:rPr>
          <w:color w:val="404040"/>
          <w:sz w:val="22"/>
          <w:szCs w:val="22"/>
          <w:rtl/>
        </w:rPr>
        <w:t xml:space="preserve"> הולך ברגל לברלין לדבר עם העשיר עובדיה לחמן – </w:t>
      </w:r>
      <w:proofErr w:type="spellStart"/>
      <w:r>
        <w:rPr>
          <w:color w:val="404040"/>
          <w:sz w:val="22"/>
          <w:szCs w:val="22"/>
          <w:rtl/>
        </w:rPr>
        <w:t>יוזף־חיים</w:t>
      </w:r>
      <w:proofErr w:type="spellEnd"/>
      <w:r>
        <w:rPr>
          <w:color w:val="404040"/>
          <w:sz w:val="22"/>
          <w:szCs w:val="22"/>
          <w:rtl/>
        </w:rPr>
        <w:t xml:space="preserve"> </w:t>
      </w:r>
      <w:proofErr w:type="spellStart"/>
      <w:r>
        <w:rPr>
          <w:color w:val="404040"/>
          <w:sz w:val="22"/>
          <w:szCs w:val="22"/>
          <w:rtl/>
        </w:rPr>
        <w:t xml:space="preserve">חווס</w:t>
      </w:r>
      <w:proofErr w:type="spellEnd"/>
      <w:r>
        <w:rPr>
          <w:color w:val="404040"/>
          <w:sz w:val="22"/>
          <w:szCs w:val="22"/>
          <w:rtl/>
        </w:rPr>
        <w:t xml:space="preserve"> מקרב את מעבידו אל </w:t>
      </w:r>
      <w:proofErr w:type="spellStart"/>
      <w:r>
        <w:rPr>
          <w:color w:val="404040"/>
          <w:sz w:val="22"/>
          <w:szCs w:val="22"/>
          <w:rtl/>
        </w:rPr>
        <w:t>יופיה</w:t>
      </w:r>
      <w:proofErr w:type="spellEnd"/>
      <w:r>
        <w:rPr>
          <w:color w:val="404040"/>
          <w:sz w:val="22"/>
          <w:szCs w:val="22"/>
          <w:rtl/>
        </w:rPr>
        <w:t xml:space="preserve"> של היהדות – לחמן נעשה שומר מצוות – ביקורו המאוחר </w:t>
      </w:r>
      <w:proofErr w:type="spellStart"/>
      <w:r>
        <w:rPr>
          <w:color w:val="404040"/>
          <w:sz w:val="22"/>
          <w:szCs w:val="22"/>
          <w:rtl/>
        </w:rPr>
        <w:t>בסלבודקה</w:t>
      </w:r>
      <w:proofErr w:type="spellEnd"/>
      <w:r>
        <w:rPr>
          <w:color w:val="404040"/>
          <w:sz w:val="22"/>
          <w:szCs w:val="22"/>
          <w:rtl/>
        </w:rPr>
        <w:t xml:space="preserve"> מעורר אותו – ר׳ </w:t>
      </w:r>
      <w:proofErr w:type="spellStart"/>
      <w:r>
        <w:rPr>
          <w:color w:val="404040"/>
          <w:sz w:val="22"/>
          <w:szCs w:val="22"/>
          <w:rtl/>
        </w:rPr>
        <w:t>יצחק־יעקב</w:t>
      </w:r>
      <w:proofErr w:type="spellEnd"/>
      <w:r>
        <w:rPr>
          <w:color w:val="404040"/>
          <w:sz w:val="22"/>
          <w:szCs w:val="22"/>
          <w:rtl/>
        </w:rPr>
        <w:t xml:space="preserve"> ריינס מעלה את רעיון הכולל – זכרו של ר׳ </w:t>
      </w:r>
      <w:proofErr w:type="spellStart"/>
      <w:r>
        <w:rPr>
          <w:color w:val="404040"/>
          <w:sz w:val="22"/>
          <w:szCs w:val="22"/>
          <w:rtl/>
        </w:rPr>
        <w:t>אלכסנדר־משה</w:t>
      </w:r>
      <w:proofErr w:type="spellEnd"/>
      <w:r>
        <w:rPr>
          <w:color w:val="404040"/>
          <w:sz w:val="22"/>
          <w:szCs w:val="22"/>
          <w:rtl/>
        </w:rPr>
        <w:t xml:space="preserve"> לפידות – </w:t>
      </w:r>
      <w:proofErr w:type="spellStart"/>
      <w:r>
        <w:rPr>
          <w:color w:val="404040"/>
          <w:sz w:val="22"/>
          <w:szCs w:val="22"/>
          <w:rtl/>
        </w:rPr>
        <w:t>מיישל׳ה</w:t>
      </w:r>
      <w:proofErr w:type="spellEnd"/>
      <w:r>
        <w:rPr>
          <w:color w:val="404040"/>
          <w:sz w:val="22"/>
          <w:szCs w:val="22"/>
          <w:rtl/>
        </w:rPr>
        <w:t xml:space="preserve">, הסנדלר </w:t>
      </w:r>
      <w:proofErr w:type="spellStart"/>
      <w:r>
        <w:rPr>
          <w:color w:val="404040"/>
          <w:sz w:val="22"/>
          <w:szCs w:val="22"/>
          <w:rtl/>
        </w:rPr>
        <w:t>מראסיין</w:t>
      </w:r>
      <w:proofErr w:type="spellEnd"/>
      <w:r>
        <w:rPr>
          <w:color w:val="404040"/>
          <w:sz w:val="22"/>
          <w:szCs w:val="22"/>
          <w:rtl/>
        </w:rPr>
        <w:t xml:space="preserve">, אוסף ידיעות לספריו – ר׳ </w:t>
      </w:r>
      <w:proofErr w:type="spellStart"/>
      <w:r>
        <w:rPr>
          <w:color w:val="404040"/>
          <w:sz w:val="22"/>
          <w:szCs w:val="22"/>
          <w:rtl/>
        </w:rPr>
        <w:t>אלכסנדר־משה</w:t>
      </w:r>
      <w:proofErr w:type="spellEnd"/>
      <w:r>
        <w:rPr>
          <w:color w:val="404040"/>
          <w:sz w:val="22"/>
          <w:szCs w:val="22"/>
          <w:rtl/>
        </w:rPr>
        <w:t xml:space="preserve"> לפידות אינו מצליח להקים את הכולל </w:t>
      </w:r>
      <w:proofErr w:type="spellStart"/>
      <w:r>
        <w:rPr>
          <w:color w:val="404040"/>
          <w:sz w:val="22"/>
          <w:szCs w:val="22"/>
          <w:rtl/>
        </w:rPr>
        <w:t>בוולוז׳ין</w:t>
      </w:r>
      <w:proofErr w:type="spellEnd"/>
      <w:r>
        <w:rPr>
          <w:color w:val="404040"/>
          <w:sz w:val="22"/>
          <w:szCs w:val="22"/>
          <w:rtl/>
        </w:rPr>
        <w:t xml:space="preserve"> – רבנו מכיר טובה </w:t>
      </w:r>
      <w:proofErr w:type="spellStart"/>
      <w:r>
        <w:rPr>
          <w:color w:val="404040"/>
          <w:sz w:val="22"/>
          <w:szCs w:val="22"/>
          <w:rtl/>
        </w:rPr>
        <w:t>לר</w:t>
      </w:r>
      <w:proofErr w:type="spellEnd"/>
      <w:r>
        <w:rPr>
          <w:color w:val="404040"/>
          <w:sz w:val="22"/>
          <w:szCs w:val="22"/>
          <w:rtl/>
        </w:rPr>
        <w:t>׳ יעקב הלוי ליפשיץ</w:t>
      </w:r>
    </w:p>
    <w:p w14:paraId="5CA8B2D4" w14:textId="77777777" w:rsidR="00AB3647" w:rsidRDefault="00000000" w:rsidP="007923E9">
      <w:pPr>
        <w:spacing w:after="120" w:line="276" w:lineRule="auto"/>
        <w:ind w:firstLine="283"/>
        <w:jc w:val="both"/>
      </w:pPr>
      <w:r>
        <w:rPr>
          <w:rtl/>
        </w:rPr>
        <w:t xml:space="preserve">“עץ פרי” היה עלון חד־פעמי שיצא לאור בעילום שם. לפי הריאיון המוקלט על הסבא </w:t>
      </w:r>
      <w:proofErr w:type="spellStart"/>
      <w:r>
        <w:rPr>
          <w:rtl/>
        </w:rPr>
        <w:t>מסלבודקה</w:t>
      </w:r>
      <w:proofErr w:type="spellEnd"/>
      <w:r>
        <w:rPr>
          <w:rtl/>
        </w:rPr>
        <w:t>,</w:t>
      </w:r>
      <w:bookmarkStart w:id="2260" w:name="_fnr1432"/>
      <w:r>
        <w:rPr>
          <w:rStyle w:val="a5"/>
        </w:rPr>
        <w:footnoteReference w:id="1435" w:customMarkFollows="0"/>
      </w:r>
      <w:bookmarkEnd w:id="2260"/>
      <w:r>
        <w:rPr>
          <w:rtl/>
        </w:rPr>
        <w:t xml:space="preserve"> גילה ר׳ </w:t>
      </w:r>
      <w:proofErr w:type="spellStart"/>
      <w:r>
        <w:rPr>
          <w:rtl/>
        </w:rPr>
        <w:t>נתן־צבי</w:t>
      </w:r>
      <w:proofErr w:type="spellEnd"/>
      <w:r>
        <w:rPr>
          <w:rtl/>
        </w:rPr>
        <w:t xml:space="preserve"> </w:t>
      </w:r>
      <w:proofErr w:type="spellStart"/>
      <w:r>
        <w:rPr>
          <w:rtl/>
        </w:rPr>
        <w:t>פינקל</w:t>
      </w:r>
      <w:proofErr w:type="spellEnd"/>
      <w:r>
        <w:rPr>
          <w:rtl/>
        </w:rPr>
        <w:t xml:space="preserve"> לאבי “שנים אחר כך” שהוא היה המו״ל, כשהעיר שביאורו למאמר חז״ל בהערת המו״ל</w:t>
      </w:r>
      <w:bookmarkStart w:id="2261" w:name="_fnr1433"/>
      <w:r>
        <w:rPr>
          <w:rStyle w:val="a5"/>
        </w:rPr>
        <w:footnoteReference w:id="1436" w:customMarkFollows="0"/>
      </w:r>
      <w:bookmarkEnd w:id="2261"/>
      <w:r>
        <w:rPr>
          <w:rtl/>
        </w:rPr>
        <w:t xml:space="preserve"> נכתב בהשפעת משיכה חולפת אל ההשכלה, שהיה נתון לה באותו זמן.</w:t>
      </w:r>
      <w:bookmarkStart w:id="2262" w:name="_fnr1434"/>
      <w:r>
        <w:rPr>
          <w:rStyle w:val="a5"/>
        </w:rPr>
        <w:footnoteReference w:id="1437" w:customMarkFollows="0"/>
      </w:r>
      <w:bookmarkEnd w:id="2262"/>
      <w:r>
        <w:rPr>
          <w:rtl/>
        </w:rPr>
        <w:t xml:space="preserve"> הוא כתב, בהיסוס [“אולי נוכל להמליץ”], שמאמר חז״ל</w:t>
      </w:r>
      <w:bookmarkStart w:id="2263" w:name="_fnr1435"/>
      <w:r>
        <w:rPr>
          <w:rStyle w:val="a5"/>
        </w:rPr>
        <w:footnoteReference w:id="1438" w:customMarkFollows="0"/>
      </w:r>
      <w:bookmarkEnd w:id="2263"/>
      <w:r>
        <w:rPr>
          <w:rtl/>
        </w:rPr>
        <w:t xml:space="preserve"> “אלמלי נתנה רשות לעין לראות אין כל ברייה יכולה לעמוד מפני </w:t>
      </w:r>
      <w:proofErr w:type="spellStart"/>
      <w:r>
        <w:rPr>
          <w:rtl/>
        </w:rPr>
        <w:t>המזיקין</w:t>
      </w:r>
      <w:proofErr w:type="spellEnd"/>
      <w:r>
        <w:rPr>
          <w:rtl/>
        </w:rPr>
        <w:t xml:space="preserve">” רומז </w:t>
      </w:r>
      <w:proofErr w:type="spellStart"/>
      <w:r>
        <w:rPr>
          <w:rtl/>
        </w:rPr>
        <w:t>לחלאים</w:t>
      </w:r>
      <w:proofErr w:type="spellEnd"/>
      <w:r>
        <w:rPr>
          <w:rtl/>
        </w:rPr>
        <w:t xml:space="preserve"> ולפגעים הרבים הפוגעים במקום זה או אחר בכדור הארץ בכל רגע ביום ובלילה.</w:t>
      </w:r>
    </w:p>
    <w:p w14:paraId="4EE14449" w14:textId="77777777" w:rsidR="00AB3647" w:rsidRDefault="00000000" w:rsidP="007923E9">
      <w:pPr>
        <w:spacing w:after="120" w:line="276" w:lineRule="auto"/>
        <w:ind w:firstLine="283"/>
        <w:jc w:val="both"/>
      </w:pPr>
      <w:r>
        <w:rPr>
          <w:rtl/>
        </w:rPr>
        <w:t xml:space="preserve">[הסבא תיאר את פירושו כמשכילי, משום שהוא עוקף בחכמה רמז מפורש לשדים ולבריות רוחניות כיוצא בהם.] ייתכן שהסבא </w:t>
      </w:r>
      <w:proofErr w:type="spellStart"/>
      <w:r>
        <w:rPr>
          <w:rtl/>
        </w:rPr>
        <w:t>מסלבודקה</w:t>
      </w:r>
      <w:proofErr w:type="spellEnd"/>
      <w:r>
        <w:rPr>
          <w:rtl/>
        </w:rPr>
        <w:t xml:space="preserve"> הקפיד עם עצמו יתר על המידה כשראה שמץ של השכלה בפירושו, שכן [ייתכן ש]בזמן הוצאתו של “עץ פרי” הייתה זו אופנה חולפת להסביר עניינים נסתרים על דרך השכל. ראה למשל כיצד </w:t>
      </w:r>
      <w:proofErr w:type="spellStart"/>
      <w:r>
        <w:rPr>
          <w:rtl/>
        </w:rPr>
        <w:t>החפץ־חיים</w:t>
      </w:r>
      <w:proofErr w:type="spellEnd"/>
      <w:r>
        <w:rPr>
          <w:rtl/>
        </w:rPr>
        <w:t xml:space="preserve"> – שוודאי היה מחוסן מפני כל השפעה של השכלה – מסביר </w:t>
      </w:r>
      <w:proofErr w:type="spellStart"/>
      <w:r>
        <w:rPr>
          <w:rtl/>
        </w:rPr>
        <w:t>ב“חלק</w:t>
      </w:r>
      <w:proofErr w:type="spellEnd"/>
      <w:r>
        <w:rPr>
          <w:rtl/>
        </w:rPr>
        <w:t xml:space="preserve"> שני” של “שמירת הלשון”</w:t>
      </w:r>
      <w:bookmarkStart w:id="2264" w:name="_fnr1436"/>
      <w:r>
        <w:rPr>
          <w:rStyle w:val="a5"/>
        </w:rPr>
        <w:footnoteReference w:id="1439" w:customMarkFollows="0"/>
      </w:r>
      <w:bookmarkEnd w:id="2264"/>
      <w:r>
        <w:rPr>
          <w:rtl/>
        </w:rPr>
        <w:t xml:space="preserve"> על דרך השכל את המנהג להזכיר בסוף תפילת העמידה את האות הראשונה והאחרונה של שמו של אדם. עד אז היה מנהג זה עטוף </w:t>
      </w:r>
      <w:proofErr w:type="spellStart"/>
      <w:r>
        <w:rPr>
          <w:rtl/>
        </w:rPr>
        <w:t>ב“טעם</w:t>
      </w:r>
      <w:proofErr w:type="spellEnd"/>
      <w:r>
        <w:rPr>
          <w:rtl/>
        </w:rPr>
        <w:t>” הנסתר – שאם לא כן עלול אדם לשכוח את שמו כשיובא ליום הדין.</w:t>
      </w:r>
      <w:bookmarkStart w:id="2265" w:name="_fnr1437"/>
      <w:r>
        <w:rPr>
          <w:rStyle w:val="a5"/>
        </w:rPr>
        <w:footnoteReference w:id="1440" w:customMarkFollows="0"/>
      </w:r>
      <w:bookmarkEnd w:id="2265"/>
    </w:p>
    <w:p w14:paraId="3305731F" w14:textId="77777777" w:rsidR="00AB3647" w:rsidRDefault="00000000" w:rsidP="007923E9">
      <w:pPr>
        <w:spacing w:after="120" w:line="276" w:lineRule="auto"/>
        <w:ind w:firstLine="283"/>
        <w:jc w:val="both"/>
      </w:pPr>
      <w:r>
        <w:rPr>
          <w:rtl/>
        </w:rPr>
        <w:t>השווה גם כץ, “תנועת המוסר”, כרך א,</w:t>
      </w:r>
      <w:bookmarkStart w:id="2266" w:name="_fnr1438"/>
      <w:r>
        <w:rPr>
          <w:rStyle w:val="a5"/>
        </w:rPr>
        <w:footnoteReference w:id="1441" w:customMarkFollows="0"/>
      </w:r>
      <w:bookmarkEnd w:id="2266"/>
      <w:r>
        <w:rPr>
          <w:rtl/>
        </w:rPr>
        <w:t xml:space="preserve"> המזכיר את גילויו של הסבא </w:t>
      </w:r>
      <w:proofErr w:type="spellStart"/>
      <w:r>
        <w:rPr>
          <w:rtl/>
        </w:rPr>
        <w:t>מסלבודקה</w:t>
      </w:r>
      <w:proofErr w:type="spellEnd"/>
      <w:r>
        <w:rPr>
          <w:rtl/>
        </w:rPr>
        <w:t xml:space="preserve"> שהוא היה המו״ל של “עץ פרי”. בכך נסתרת טענתו של ר׳ יעקב הלוי ליפשיץ בספרו “</w:t>
      </w:r>
      <w:proofErr w:type="spellStart"/>
      <w:r>
        <w:rPr>
          <w:rtl/>
        </w:rPr>
        <w:t>זכרון</w:t>
      </w:r>
      <w:proofErr w:type="spellEnd"/>
      <w:r>
        <w:rPr>
          <w:rtl/>
        </w:rPr>
        <w:t xml:space="preserve"> </w:t>
      </w:r>
      <w:r>
        <w:rPr>
          <w:rtl/>
        </w:rPr>
        <w:lastRenderedPageBreak/>
        <w:t>יעקב”</w:t>
      </w:r>
      <w:bookmarkStart w:id="2267" w:name="_fnr1439"/>
      <w:r>
        <w:rPr>
          <w:rStyle w:val="a5"/>
        </w:rPr>
        <w:footnoteReference w:id="1442" w:customMarkFollows="0"/>
      </w:r>
      <w:bookmarkEnd w:id="2267"/>
      <w:r>
        <w:rPr>
          <w:rtl/>
        </w:rPr>
        <w:t xml:space="preserve"> שהמו״ל היה בנו של ר׳ </w:t>
      </w:r>
      <w:proofErr w:type="spellStart"/>
      <w:r>
        <w:rPr>
          <w:rtl/>
        </w:rPr>
        <w:t>יצחק־אלחנן</w:t>
      </w:r>
      <w:proofErr w:type="spellEnd"/>
      <w:r>
        <w:rPr>
          <w:rtl/>
        </w:rPr>
        <w:t xml:space="preserve"> </w:t>
      </w:r>
      <w:proofErr w:type="spellStart"/>
      <w:r>
        <w:rPr>
          <w:rtl/>
        </w:rPr>
        <w:t>ספקטור</w:t>
      </w:r>
      <w:proofErr w:type="spellEnd"/>
      <w:r>
        <w:rPr>
          <w:rtl/>
        </w:rPr>
        <w:t xml:space="preserve"> וממלא מקומו, ר׳ </w:t>
      </w:r>
      <w:proofErr w:type="spellStart"/>
      <w:r>
        <w:rPr>
          <w:rtl/>
        </w:rPr>
        <w:t>צבי־הירש</w:t>
      </w:r>
      <w:proofErr w:type="spellEnd"/>
      <w:r>
        <w:rPr>
          <w:rtl/>
        </w:rPr>
        <w:t xml:space="preserve"> </w:t>
      </w:r>
      <w:proofErr w:type="spellStart"/>
      <w:r>
        <w:rPr>
          <w:rtl/>
        </w:rPr>
        <w:t>רבינוביץ</w:t>
      </w:r>
      <w:proofErr w:type="spellEnd"/>
      <w:r>
        <w:rPr>
          <w:rtl/>
        </w:rPr>
        <w:t>.</w:t>
      </w:r>
      <w:bookmarkStart w:id="2268" w:name="_fnr1440"/>
      <w:r>
        <w:rPr>
          <w:rStyle w:val="a5"/>
        </w:rPr>
        <w:footnoteReference w:id="1443" w:customMarkFollows="0"/>
      </w:r>
      <w:bookmarkEnd w:id="2268"/>
      <w:r>
        <w:rPr>
          <w:rtl/>
        </w:rPr>
        <w:t xml:space="preserve"> כמו כן מופרכים בכך דברי הרב משה מאיר ישר בכרך א של “</w:t>
      </w:r>
      <w:proofErr w:type="spellStart"/>
      <w:r>
        <w:rPr>
          <w:rtl/>
        </w:rPr>
        <w:t>דאס</w:t>
      </w:r>
      <w:proofErr w:type="spellEnd"/>
      <w:r>
        <w:rPr>
          <w:rtl/>
        </w:rPr>
        <w:t xml:space="preserve"> </w:t>
      </w:r>
      <w:proofErr w:type="spellStart"/>
      <w:r>
        <w:rPr>
          <w:rtl/>
        </w:rPr>
        <w:t>לעבען</w:t>
      </w:r>
      <w:proofErr w:type="spellEnd"/>
      <w:r>
        <w:rPr>
          <w:rtl/>
        </w:rPr>
        <w:t xml:space="preserve"> און </w:t>
      </w:r>
      <w:proofErr w:type="spellStart"/>
      <w:r>
        <w:rPr>
          <w:rtl/>
        </w:rPr>
        <w:t>שאפען</w:t>
      </w:r>
      <w:proofErr w:type="spellEnd"/>
      <w:r>
        <w:rPr>
          <w:rtl/>
        </w:rPr>
        <w:t xml:space="preserve"> פון חפץ חיים” [חייו ופועלו של </w:t>
      </w:r>
      <w:proofErr w:type="spellStart"/>
      <w:r>
        <w:rPr>
          <w:rtl/>
        </w:rPr>
        <w:t>החפץ־חיים</w:t>
      </w:r>
      <w:proofErr w:type="spellEnd"/>
      <w:r>
        <w:rPr>
          <w:rtl/>
        </w:rPr>
        <w:t>],</w:t>
      </w:r>
      <w:bookmarkStart w:id="2269" w:name="_fnr1441"/>
      <w:r>
        <w:rPr>
          <w:rStyle w:val="a5"/>
        </w:rPr>
        <w:footnoteReference w:id="1444" w:customMarkFollows="0"/>
      </w:r>
      <w:bookmarkEnd w:id="2269"/>
      <w:r>
        <w:rPr>
          <w:rtl/>
        </w:rPr>
        <w:t xml:space="preserve"> לאמור: “המו״ל האלמוני לא היה אלא הצדיק ר׳ </w:t>
      </w:r>
      <w:proofErr w:type="spellStart"/>
      <w:r>
        <w:rPr>
          <w:rtl/>
        </w:rPr>
        <w:t>לייזר־יעקב</w:t>
      </w:r>
      <w:proofErr w:type="spellEnd"/>
      <w:r>
        <w:rPr>
          <w:rtl/>
        </w:rPr>
        <w:t xml:space="preserve"> </w:t>
      </w:r>
      <w:proofErr w:type="spellStart"/>
      <w:r>
        <w:rPr>
          <w:rtl/>
        </w:rPr>
        <w:t xml:space="preserve">חווס</w:t>
      </w:r>
      <w:proofErr w:type="spellEnd"/>
      <w:r>
        <w:rPr>
          <w:rtl/>
        </w:rPr>
        <w:t xml:space="preserve"> [צדיק נסתר, מן הכוחות היוצרים והמעוררים שבדורו, </w:t>
      </w:r>
      <w:proofErr w:type="spellStart"/>
      <w:r>
        <w:rPr>
          <w:rtl/>
        </w:rPr>
        <w:t>שהחפץ־חיים</w:t>
      </w:r>
      <w:proofErr w:type="spellEnd"/>
      <w:r>
        <w:rPr>
          <w:rtl/>
        </w:rPr>
        <w:t xml:space="preserve"> היה מזכיר את שמו בחיבה מיוחדת באמרו: ‘ארבעים שנה החזיק תורה בישראל’].” ספק גדול אם </w:t>
      </w:r>
      <w:proofErr w:type="spellStart"/>
      <w:r>
        <w:rPr>
          <w:rtl/>
        </w:rPr>
        <w:t xml:space="preserve">חווס</w:t>
      </w:r>
      <w:proofErr w:type="spellEnd"/>
      <w:r>
        <w:rPr>
          <w:rtl/>
        </w:rPr>
        <w:t>, “בעל בית בינוני”,</w:t>
      </w:r>
      <w:bookmarkStart w:id="2270" w:name="_fnr1442"/>
      <w:r>
        <w:rPr>
          <w:rStyle w:val="a5"/>
        </w:rPr>
        <w:footnoteReference w:id="1445" w:customMarkFollows="0"/>
      </w:r>
      <w:bookmarkEnd w:id="2270"/>
      <w:r>
        <w:rPr>
          <w:rtl/>
        </w:rPr>
        <w:t xml:space="preserve"> היה מסוגל לחבר את הקדמת המו״ל, הספרותית כל כך.</w:t>
      </w:r>
      <w:bookmarkStart w:id="2271" w:name="_fnr1443"/>
      <w:r>
        <w:rPr>
          <w:rStyle w:val="a5"/>
        </w:rPr>
        <w:footnoteReference w:id="1446" w:customMarkFollows="0"/>
      </w:r>
      <w:bookmarkEnd w:id="2271"/>
    </w:p>
    <w:p w14:paraId="731E347D" w14:textId="77777777" w:rsidR="00AB3647" w:rsidRDefault="00000000" w:rsidP="007923E9">
      <w:pPr>
        <w:spacing w:after="120" w:line="276" w:lineRule="auto"/>
        <w:ind w:firstLine="283"/>
        <w:jc w:val="both"/>
      </w:pPr>
      <w:r>
        <w:rPr>
          <w:rtl/>
        </w:rPr>
        <w:t xml:space="preserve">כדי להראות עד כמה העריך </w:t>
      </w:r>
      <w:proofErr w:type="spellStart"/>
      <w:r>
        <w:rPr>
          <w:rtl/>
        </w:rPr>
        <w:t>החפץ־חיים</w:t>
      </w:r>
      <w:proofErr w:type="spellEnd"/>
      <w:r>
        <w:rPr>
          <w:rtl/>
        </w:rPr>
        <w:t xml:space="preserve"> את ר׳ </w:t>
      </w:r>
      <w:proofErr w:type="spellStart"/>
      <w:r>
        <w:rPr>
          <w:rtl/>
        </w:rPr>
        <w:t>לייזר־יעקב</w:t>
      </w:r>
      <w:proofErr w:type="spellEnd"/>
      <w:r>
        <w:rPr>
          <w:rtl/>
        </w:rPr>
        <w:t xml:space="preserve"> </w:t>
      </w:r>
      <w:proofErr w:type="spellStart"/>
      <w:r>
        <w:rPr>
          <w:rtl/>
        </w:rPr>
        <w:t xml:space="preserve">חווס</w:t>
      </w:r>
      <w:proofErr w:type="spellEnd"/>
      <w:r>
        <w:rPr>
          <w:rtl/>
        </w:rPr>
        <w:t xml:space="preserve">, מובא כאן מעשה שאירע לקראת סוף מלחמת העולם הראשונה, כשר׳ </w:t>
      </w:r>
      <w:proofErr w:type="spellStart"/>
      <w:r>
        <w:rPr>
          <w:rtl/>
        </w:rPr>
        <w:t>לייזר־יעקב</w:t>
      </w:r>
      <w:proofErr w:type="spellEnd"/>
      <w:r>
        <w:rPr>
          <w:rtl/>
        </w:rPr>
        <w:t xml:space="preserve"> כבר לא היה בחיים.</w:t>
      </w:r>
      <w:bookmarkStart w:id="2272" w:name="_fnr1444"/>
      <w:r>
        <w:rPr>
          <w:rStyle w:val="a5"/>
        </w:rPr>
        <w:footnoteReference w:id="1447" w:customMarkFollows="0"/>
      </w:r>
      <w:bookmarkEnd w:id="2272"/>
      <w:r>
        <w:rPr>
          <w:rtl/>
        </w:rPr>
        <w:t xml:space="preserve"> ר׳ נפתלי </w:t>
      </w:r>
      <w:proofErr w:type="spellStart"/>
      <w:r>
        <w:rPr>
          <w:rtl/>
        </w:rPr>
        <w:t>טרופ</w:t>
      </w:r>
      <w:proofErr w:type="spellEnd"/>
      <w:r>
        <w:rPr>
          <w:rtl/>
        </w:rPr>
        <w:t xml:space="preserve">, חתנו של ר׳ </w:t>
      </w:r>
      <w:proofErr w:type="spellStart"/>
      <w:r>
        <w:rPr>
          <w:rtl/>
        </w:rPr>
        <w:t>לייזר־יעקב</w:t>
      </w:r>
      <w:proofErr w:type="spellEnd"/>
      <w:r>
        <w:rPr>
          <w:rtl/>
        </w:rPr>
        <w:t xml:space="preserve"> </w:t>
      </w:r>
      <w:proofErr w:type="spellStart"/>
      <w:r>
        <w:rPr>
          <w:rtl/>
        </w:rPr>
        <w:t xml:space="preserve">חווס</w:t>
      </w:r>
      <w:proofErr w:type="spellEnd"/>
      <w:r>
        <w:rPr>
          <w:rtl/>
        </w:rPr>
        <w:t xml:space="preserve">, ביקש מן </w:t>
      </w:r>
      <w:proofErr w:type="spellStart"/>
      <w:r>
        <w:rPr>
          <w:rtl/>
        </w:rPr>
        <w:t>החפץ־חיים</w:t>
      </w:r>
      <w:proofErr w:type="spellEnd"/>
      <w:r>
        <w:rPr>
          <w:rtl/>
        </w:rPr>
        <w:t xml:space="preserve"> להתפלל על בנו ר׳ אברהם </w:t>
      </w:r>
      <w:proofErr w:type="spellStart"/>
      <w:r>
        <w:rPr>
          <w:rtl/>
        </w:rPr>
        <w:t>טרופ</w:t>
      </w:r>
      <w:proofErr w:type="spellEnd"/>
      <w:r>
        <w:rPr>
          <w:rtl/>
        </w:rPr>
        <w:t xml:space="preserve">, שהיה חולה אנוש בטיפוס. אמר </w:t>
      </w:r>
      <w:proofErr w:type="spellStart"/>
      <w:r>
        <w:rPr>
          <w:rtl/>
        </w:rPr>
        <w:t>החפץ־חיים</w:t>
      </w:r>
      <w:proofErr w:type="spellEnd"/>
      <w:r>
        <w:rPr>
          <w:rtl/>
        </w:rPr>
        <w:t xml:space="preserve">: “ר׳ </w:t>
      </w:r>
      <w:proofErr w:type="spellStart"/>
      <w:r>
        <w:rPr>
          <w:rtl/>
        </w:rPr>
        <w:t>לייזר־יעקב</w:t>
      </w:r>
      <w:proofErr w:type="spellEnd"/>
      <w:r>
        <w:rPr>
          <w:rtl/>
        </w:rPr>
        <w:t xml:space="preserve">, יש לך </w:t>
      </w:r>
      <w:proofErr w:type="spellStart"/>
      <w:r>
        <w:rPr>
          <w:rtl/>
        </w:rPr>
        <w:t>זכותים</w:t>
      </w:r>
      <w:proofErr w:type="spellEnd"/>
      <w:r>
        <w:rPr>
          <w:rtl/>
        </w:rPr>
        <w:t xml:space="preserve"> בכל עולם התורה; בקש מלפני הקב״ה על רפואת נכדך!” קודם שהסכים </w:t>
      </w:r>
      <w:proofErr w:type="spellStart"/>
      <w:r>
        <w:rPr>
          <w:rtl/>
        </w:rPr>
        <w:t>החפץ־חיים</w:t>
      </w:r>
      <w:proofErr w:type="spellEnd"/>
      <w:r>
        <w:rPr>
          <w:rtl/>
        </w:rPr>
        <w:t xml:space="preserve"> לומר תחינה זו, ביקש שר׳ אברהם יבטיח להקדיש את חייו להרבצת תורה. כשנאמר לו שר׳ אברהם שרוי בתרדמת, עמד על כך שהמשפחה תדאג שהחולה יקבל עליו את ההתחייבות מיד כשישוב להכרתו.</w:t>
      </w:r>
    </w:p>
    <w:p w14:paraId="68D0A382" w14:textId="40FDA275" w:rsidR="00AB3647" w:rsidRDefault="00000000" w:rsidP="007923E9">
      <w:pPr>
        <w:spacing w:after="120" w:line="276" w:lineRule="auto"/>
        <w:ind w:firstLine="283"/>
        <w:jc w:val="both"/>
      </w:pPr>
      <w:r>
        <w:rPr>
          <w:rtl/>
        </w:rPr>
        <w:t xml:space="preserve">משערים </w:t>
      </w:r>
      <w:proofErr w:type="spellStart"/>
      <w:r>
        <w:rPr>
          <w:rtl/>
        </w:rPr>
        <w:t>שהחפץ־חיים</w:t>
      </w:r>
      <w:proofErr w:type="spellEnd"/>
      <w:r>
        <w:rPr>
          <w:rtl/>
        </w:rPr>
        <w:t xml:space="preserve"> לא יכול היה לפנות בבקשה אל ר׳ </w:t>
      </w:r>
      <w:proofErr w:type="spellStart"/>
      <w:r>
        <w:rPr>
          <w:rtl/>
        </w:rPr>
        <w:t>לייזר־יעקב</w:t>
      </w:r>
      <w:proofErr w:type="spellEnd"/>
      <w:r>
        <w:rPr>
          <w:rtl/>
        </w:rPr>
        <w:t xml:space="preserve"> אלא אם כן יקיים הנכד החולה את מטרת חייו היחידה של סבו, כמבואר בהמשך נספח זה וב</w:t>
      </w:r>
      <w:r>
        <w:rPr>
          <w:rtl/>
        </w:rPr>
        <w:fldChar w:fldCharType="begin" w:dirty="true"/>
      </w:r>
      <w:r>
        <w:rPr>
          <w:rtl/>
        </w:rPr>
        <w:instrText xml:space="preserve"> REF b3_excC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ג</w:t>
      </w:r>
      <w:r>
        <w:rPr>
          <w:rtl/>
        </w:rPr>
        <w:fldChar w:fldCharType="end"/>
      </w:r>
      <w:r>
        <w:rPr>
          <w:rtl/>
        </w:rPr>
        <w:t xml:space="preserve"> להלן.</w:t>
      </w:r>
    </w:p>
    <w:p w14:paraId="271D950F" w14:textId="77777777" w:rsidR="00AB3647" w:rsidRDefault="00000000" w:rsidP="007923E9">
      <w:pPr>
        <w:spacing w:after="120" w:line="276" w:lineRule="auto"/>
        <w:ind w:firstLine="283"/>
        <w:jc w:val="both"/>
      </w:pPr>
      <w:r>
        <w:rPr>
          <w:rtl/>
        </w:rPr>
        <w:t>חוברת “עץ פרי” חולקה לתורמי כולל קובנה בידי המתרימים – מתנדבים או כאלה שקיבלו שכר זעום.</w:t>
      </w:r>
      <w:bookmarkStart w:id="2273" w:name="_fnr1445"/>
      <w:r>
        <w:rPr>
          <w:rStyle w:val="a5"/>
        </w:rPr>
        <w:footnoteReference w:id="1448" w:customMarkFollows="0"/>
      </w:r>
      <w:bookmarkEnd w:id="2273"/>
      <w:r>
        <w:rPr>
          <w:rtl/>
        </w:rPr>
        <w:t xml:space="preserve"> השווה גם “</w:t>
      </w:r>
      <w:proofErr w:type="spellStart"/>
      <w:r>
        <w:rPr>
          <w:rtl/>
        </w:rPr>
        <w:t>זכרון</w:t>
      </w:r>
      <w:proofErr w:type="spellEnd"/>
      <w:r>
        <w:rPr>
          <w:rtl/>
        </w:rPr>
        <w:t xml:space="preserve"> יעקב”</w:t>
      </w:r>
      <w:bookmarkStart w:id="2274" w:name="_fnr1446"/>
      <w:r>
        <w:rPr>
          <w:rStyle w:val="a5"/>
        </w:rPr>
        <w:footnoteReference w:id="1449" w:customMarkFollows="0"/>
      </w:r>
      <w:bookmarkEnd w:id="2274"/>
      <w:r>
        <w:rPr>
          <w:rtl/>
        </w:rPr>
        <w:t xml:space="preserve">, שלפיו התלווה ר׳ </w:t>
      </w:r>
      <w:proofErr w:type="spellStart"/>
      <w:r>
        <w:rPr>
          <w:rtl/>
        </w:rPr>
        <w:t>לייזר־יעקב</w:t>
      </w:r>
      <w:proofErr w:type="spellEnd"/>
      <w:r>
        <w:rPr>
          <w:rtl/>
        </w:rPr>
        <w:t xml:space="preserve"> </w:t>
      </w:r>
      <w:proofErr w:type="spellStart"/>
      <w:r>
        <w:rPr>
          <w:rtl/>
        </w:rPr>
        <w:t xml:space="preserve">חווס</w:t>
      </w:r>
      <w:proofErr w:type="spellEnd"/>
      <w:r>
        <w:rPr>
          <w:rtl/>
        </w:rPr>
        <w:t xml:space="preserve"> בהתנדבות לכמה מן המשולחים כדי לסייע להם להקים קבוצות תומכים קבועות בקהילות הגדולות. החוברת פותחת בפנייה מקדימה לתרומות מאת המו״ל האלמוני (הסבא </w:t>
      </w:r>
      <w:proofErr w:type="spellStart"/>
      <w:r>
        <w:rPr>
          <w:rtl/>
        </w:rPr>
        <w:t>מסלבודקה</w:t>
      </w:r>
      <w:proofErr w:type="spellEnd"/>
      <w:r>
        <w:rPr>
          <w:rtl/>
        </w:rPr>
        <w:t>), ובה “קול קורא” והקדמת המו״ל. “קול קורא” זה הוא כנראה זה שלפי “</w:t>
      </w:r>
      <w:proofErr w:type="spellStart"/>
      <w:r>
        <w:rPr>
          <w:rtl/>
        </w:rPr>
        <w:t>זכרון</w:t>
      </w:r>
      <w:proofErr w:type="spellEnd"/>
      <w:r>
        <w:rPr>
          <w:rtl/>
        </w:rPr>
        <w:t xml:space="preserve"> יעקב”</w:t>
      </w:r>
      <w:bookmarkStart w:id="2275" w:name="_fnr1447"/>
      <w:r>
        <w:rPr>
          <w:rStyle w:val="a5"/>
        </w:rPr>
        <w:footnoteReference w:id="1450" w:customMarkFollows="0"/>
      </w:r>
      <w:bookmarkEnd w:id="2275"/>
      <w:r>
        <w:rPr>
          <w:rtl/>
        </w:rPr>
        <w:t xml:space="preserve"> ניתן למשולח הראשון של הכולל קודם שיצא “עץ פרי” לאור. אחר כך כולל העלון את אלה:</w:t>
      </w:r>
    </w:p>
    <w:p w14:paraId="34EC2A54" w14:textId="5D4E385F" w:rsidR="00AB3647" w:rsidRDefault="00000000" w:rsidP="007923E9">
      <w:pPr>
        <w:spacing w:after="120" w:line="276" w:lineRule="auto"/>
        <w:ind w:firstLine="283"/>
        <w:jc w:val="both"/>
      </w:pPr>
      <w:bookmarkStart w:id="2276" w:name="pr_b_996"/>
      <w:bookmarkEnd w:id="2276"/>
      <w:r>
        <w:rPr>
          <w:rtl/>
        </w:rPr>
        <w:t xml:space="preserve">(א) הקדמה מאת מנהיג יהודי צומח, העסקן התורני ר׳ </w:t>
      </w:r>
      <w:proofErr w:type="spellStart"/>
      <w:r>
        <w:rPr>
          <w:rtl/>
        </w:rPr>
        <w:t>ישראל־מאיר</w:t>
      </w:r>
      <w:proofErr w:type="spellEnd"/>
      <w:r>
        <w:rPr>
          <w:rtl/>
        </w:rPr>
        <w:t xml:space="preserve"> </w:t>
      </w:r>
      <w:proofErr w:type="spellStart"/>
      <w:r>
        <w:rPr>
          <w:rtl/>
        </w:rPr>
        <w:t>קגן</w:t>
      </w:r>
      <w:proofErr w:type="spellEnd"/>
      <w:r>
        <w:rPr>
          <w:rtl/>
        </w:rPr>
        <w:t xml:space="preserve"> (תקצ״ט–תרצ״ג), שנודע לימים על שם הספר שחיבר שמונה שנים קודם לכן, בשנת תרל״ג – </w:t>
      </w:r>
      <w:proofErr w:type="spellStart"/>
      <w:r>
        <w:rPr>
          <w:rtl/>
        </w:rPr>
        <w:t>החפץ־חיים</w:t>
      </w:r>
      <w:proofErr w:type="spellEnd"/>
      <w:r>
        <w:rPr>
          <w:rtl/>
        </w:rPr>
        <w:t xml:space="preserve">. אין פלא שהסבא </w:t>
      </w:r>
      <w:proofErr w:type="spellStart"/>
      <w:r>
        <w:rPr>
          <w:rtl/>
        </w:rPr>
        <w:t>מסלבודקה</w:t>
      </w:r>
      <w:proofErr w:type="spellEnd"/>
      <w:r>
        <w:rPr>
          <w:rtl/>
        </w:rPr>
        <w:t xml:space="preserve"> כלל בחוברת מאמר מאת </w:t>
      </w:r>
      <w:proofErr w:type="spellStart"/>
      <w:r>
        <w:rPr>
          <w:rtl/>
        </w:rPr>
        <w:t>החפץ־חיים</w:t>
      </w:r>
      <w:proofErr w:type="spellEnd"/>
      <w:r>
        <w:rPr>
          <w:rtl/>
        </w:rPr>
        <w:t xml:space="preserve">, שכן הוא העריכו מאוד: השווה הערה </w:t>
      </w:r>
      <w:r>
        <w:rPr>
          <w:rtl/>
        </w:rPr>
        <w:fldChar w:fldCharType="begin" w:dirty="true"/>
      </w:r>
      <w:r>
        <w:rPr>
          <w:rtl/>
        </w:rPr>
        <w:instrText xml:space="preserve"> REF b3_note29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29</w:t>
      </w:r>
      <w:r>
        <w:rPr>
          <w:rtl/>
        </w:rPr>
        <w:fldChar w:fldCharType="end"/>
      </w:r>
      <w:r>
        <w:rPr>
          <w:rtl/>
        </w:rPr>
        <w:t xml:space="preserve"> לעיל. גם ר׳ ישראל </w:t>
      </w:r>
      <w:proofErr w:type="spellStart"/>
      <w:r>
        <w:rPr>
          <w:rtl/>
        </w:rPr>
        <w:t>סלנטר</w:t>
      </w:r>
      <w:proofErr w:type="spellEnd"/>
      <w:r>
        <w:rPr>
          <w:rtl/>
        </w:rPr>
        <w:t xml:space="preserve">, רבו של מורו של הסבא </w:t>
      </w:r>
      <w:proofErr w:type="spellStart"/>
      <w:r>
        <w:rPr>
          <w:rtl/>
        </w:rPr>
        <w:t>מסלבודקה</w:t>
      </w:r>
      <w:proofErr w:type="spellEnd"/>
      <w:r>
        <w:rPr>
          <w:rtl/>
        </w:rPr>
        <w:t xml:space="preserve">, העריך מאוד את </w:t>
      </w:r>
      <w:proofErr w:type="spellStart"/>
      <w:r>
        <w:rPr>
          <w:rtl/>
        </w:rPr>
        <w:t>החפץ־חיים</w:t>
      </w:r>
      <w:proofErr w:type="spellEnd"/>
      <w:r>
        <w:rPr>
          <w:rtl/>
        </w:rPr>
        <w:t>.</w:t>
      </w:r>
    </w:p>
    <w:p w14:paraId="6320B619" w14:textId="77777777" w:rsidR="00AB3647" w:rsidRDefault="00000000" w:rsidP="007923E9">
      <w:pPr>
        <w:spacing w:after="120" w:line="276" w:lineRule="auto"/>
        <w:ind w:firstLine="283"/>
        <w:jc w:val="both"/>
      </w:pPr>
      <w:r>
        <w:rPr>
          <w:rtl/>
        </w:rPr>
        <w:lastRenderedPageBreak/>
        <w:t xml:space="preserve">השווה כל כתבי </w:t>
      </w:r>
      <w:proofErr w:type="spellStart"/>
      <w:r>
        <w:rPr>
          <w:rtl/>
        </w:rPr>
        <w:t>ח״ח</w:t>
      </w:r>
      <w:bookmarkStart w:id="2277" w:name="_fnr1448"/>
      <w:proofErr w:type="spellEnd"/>
      <w:r>
        <w:rPr>
          <w:rStyle w:val="a5"/>
        </w:rPr>
        <w:footnoteReference w:id="1451" w:customMarkFollows="0"/>
      </w:r>
      <w:bookmarkEnd w:id="2277"/>
      <w:r>
        <w:rPr>
          <w:rtl/>
        </w:rPr>
        <w:t xml:space="preserve">, שלפיו סיפר אחד מתלמידי ר׳ ישראל </w:t>
      </w:r>
      <w:proofErr w:type="spellStart"/>
      <w:r>
        <w:rPr>
          <w:rtl/>
        </w:rPr>
        <w:t>סלנטר</w:t>
      </w:r>
      <w:proofErr w:type="spellEnd"/>
      <w:r>
        <w:rPr>
          <w:rtl/>
        </w:rPr>
        <w:t xml:space="preserve"> שכאשר ראה רבו את הספר “חפץ חיים”, העיר: “רואה אני שההשגחה העליונה כבר הכינה מנהיג לדור הבא, ליישר את לבות בני האדם ולהשיבם לאביהם שבשמים.” השווה גם “ספר מאיר עיני ישראל”</w:t>
      </w:r>
      <w:bookmarkStart w:id="2278" w:name="_fnr1449"/>
      <w:r>
        <w:rPr>
          <w:rStyle w:val="a5"/>
        </w:rPr>
        <w:footnoteReference w:id="1452" w:customMarkFollows="0"/>
      </w:r>
      <w:bookmarkEnd w:id="2278"/>
      <w:r>
        <w:rPr>
          <w:rtl/>
        </w:rPr>
        <w:t xml:space="preserve">, המספר </w:t>
      </w:r>
      <w:proofErr w:type="spellStart"/>
      <w:r>
        <w:rPr>
          <w:rtl/>
        </w:rPr>
        <w:t>שהחפץ־חיים</w:t>
      </w:r>
      <w:proofErr w:type="spellEnd"/>
      <w:r>
        <w:rPr>
          <w:rtl/>
        </w:rPr>
        <w:t xml:space="preserve"> בא אל ר׳ ישראל </w:t>
      </w:r>
      <w:proofErr w:type="spellStart"/>
      <w:r>
        <w:rPr>
          <w:rtl/>
        </w:rPr>
        <w:t>סלנטר</w:t>
      </w:r>
      <w:proofErr w:type="spellEnd"/>
      <w:r>
        <w:rPr>
          <w:rtl/>
        </w:rPr>
        <w:t xml:space="preserve"> לשאול בעצתו אם להוציא לאור את הספר שחיבר, ור׳ ישראל נתן את הסכמתו. מסופר שם: “אף על פי שר׳ ישראל היה זקן, ליווה את </w:t>
      </w:r>
      <w:proofErr w:type="spellStart"/>
      <w:r>
        <w:rPr>
          <w:rtl/>
        </w:rPr>
        <w:t>החפץ־חיים</w:t>
      </w:r>
      <w:proofErr w:type="spellEnd"/>
      <w:r>
        <w:rPr>
          <w:rtl/>
        </w:rPr>
        <w:t xml:space="preserve"> עד הפתח, וכששאלוהו תלמידיו של ר׳ ישראל בתמיהה מי הוא האורח ומדוע הוא ראוי לכל הכבוד הזה, השיב: ‘האברך הזה הוא “מאמין”, ולא זו בלבד שהוא “מאמין” – הוא “רואה”!’”</w:t>
      </w:r>
      <w:bookmarkStart w:id="2279" w:name="_fnr1450"/>
      <w:r>
        <w:rPr>
          <w:rStyle w:val="a5"/>
        </w:rPr>
        <w:footnoteReference w:id="1453" w:customMarkFollows="0"/>
      </w:r>
      <w:bookmarkEnd w:id="2279"/>
    </w:p>
    <w:p w14:paraId="78F6D843" w14:textId="77777777" w:rsidR="00AB3647" w:rsidRDefault="00000000" w:rsidP="007923E9">
      <w:pPr>
        <w:spacing w:after="120" w:line="276" w:lineRule="auto"/>
        <w:ind w:firstLine="283"/>
        <w:jc w:val="both"/>
      </w:pPr>
      <w:bookmarkStart w:id="2280" w:name="pr_b_997"/>
      <w:bookmarkEnd w:id="2280"/>
      <w:r>
        <w:rPr>
          <w:rtl/>
        </w:rPr>
        <w:t xml:space="preserve">(ב) מאמרים מאת הרב מקובנה, ר׳ </w:t>
      </w:r>
      <w:proofErr w:type="spellStart"/>
      <w:r>
        <w:rPr>
          <w:rtl/>
        </w:rPr>
        <w:t>יצחק־אלחנן</w:t>
      </w:r>
      <w:proofErr w:type="spellEnd"/>
      <w:r>
        <w:rPr>
          <w:rtl/>
        </w:rPr>
        <w:t xml:space="preserve"> </w:t>
      </w:r>
      <w:proofErr w:type="spellStart"/>
      <w:r>
        <w:rPr>
          <w:rtl/>
        </w:rPr>
        <w:t>ספקטור</w:t>
      </w:r>
      <w:proofErr w:type="spellEnd"/>
      <w:r>
        <w:rPr>
          <w:rtl/>
        </w:rPr>
        <w:t>, ומאת ר׳ ישראל ליפקין (</w:t>
      </w:r>
      <w:proofErr w:type="spellStart"/>
      <w:r>
        <w:rPr>
          <w:rtl/>
        </w:rPr>
        <w:t>סלנטר</w:t>
      </w:r>
      <w:proofErr w:type="spellEnd"/>
      <w:r>
        <w:rPr>
          <w:rtl/>
        </w:rPr>
        <w:t>) (תק״ע–תרמ״ג), מייסד תנועת המוסר.</w:t>
      </w:r>
    </w:p>
    <w:p w14:paraId="30D373DC" w14:textId="77777777" w:rsidR="00AB3647" w:rsidRDefault="00000000" w:rsidP="007923E9">
      <w:pPr>
        <w:spacing w:after="120" w:line="276" w:lineRule="auto"/>
        <w:ind w:firstLine="283"/>
        <w:jc w:val="both"/>
      </w:pPr>
      <w:r>
        <w:rPr>
          <w:rtl/>
        </w:rPr>
        <w:t xml:space="preserve">(ג) פתיחה וחתימה מאת ר׳ </w:t>
      </w:r>
      <w:proofErr w:type="spellStart"/>
      <w:r>
        <w:rPr>
          <w:rtl/>
        </w:rPr>
        <w:t>אלכסנדר־משה</w:t>
      </w:r>
      <w:proofErr w:type="spellEnd"/>
      <w:r>
        <w:rPr>
          <w:rtl/>
        </w:rPr>
        <w:t xml:space="preserve"> לפידות, רבה של העיר </w:t>
      </w:r>
      <w:proofErr w:type="spellStart"/>
      <w:r>
        <w:rPr>
          <w:rtl/>
        </w:rPr>
        <w:t>ראסיין</w:t>
      </w:r>
      <w:proofErr w:type="spellEnd"/>
      <w:r>
        <w:rPr>
          <w:rtl/>
        </w:rPr>
        <w:t xml:space="preserve"> </w:t>
      </w:r>
      <w:proofErr w:type="spellStart"/>
      <w:r>
        <w:rPr>
          <w:rtl/>
        </w:rPr>
        <w:t>ותלמיד־חבר</w:t>
      </w:r>
      <w:proofErr w:type="spellEnd"/>
      <w:r>
        <w:rPr>
          <w:rtl/>
        </w:rPr>
        <w:t xml:space="preserve"> של ר׳ ישראל </w:t>
      </w:r>
      <w:proofErr w:type="spellStart"/>
      <w:r>
        <w:rPr>
          <w:rtl/>
        </w:rPr>
        <w:t>סלנטר</w:t>
      </w:r>
      <w:proofErr w:type="spellEnd"/>
      <w:r>
        <w:rPr>
          <w:rtl/>
        </w:rPr>
        <w:t xml:space="preserve"> בצעירותם, כשלמדו אצל ר׳ </w:t>
      </w:r>
      <w:proofErr w:type="spellStart"/>
      <w:r>
        <w:rPr>
          <w:rtl/>
        </w:rPr>
        <w:t>צבי־הירש</w:t>
      </w:r>
      <w:proofErr w:type="spellEnd"/>
      <w:r>
        <w:rPr>
          <w:rtl/>
        </w:rPr>
        <w:t xml:space="preserve"> </w:t>
      </w:r>
      <w:proofErr w:type="spellStart"/>
      <w:r>
        <w:rPr>
          <w:rtl/>
        </w:rPr>
        <w:t>ברוידא</w:t>
      </w:r>
      <w:proofErr w:type="spellEnd"/>
      <w:r>
        <w:rPr>
          <w:rtl/>
        </w:rPr>
        <w:t xml:space="preserve"> </w:t>
      </w:r>
      <w:proofErr w:type="spellStart"/>
      <w:r>
        <w:rPr>
          <w:rtl/>
        </w:rPr>
        <w:t>בסלנט</w:t>
      </w:r>
      <w:proofErr w:type="spellEnd"/>
      <w:r>
        <w:rPr>
          <w:rtl/>
        </w:rPr>
        <w:t>.</w:t>
      </w:r>
      <w:bookmarkStart w:id="2281" w:name="_fnr1451"/>
      <w:r>
        <w:rPr>
          <w:rStyle w:val="a5"/>
        </w:rPr>
        <w:footnoteReference w:id="1454" w:customMarkFollows="0"/>
      </w:r>
      <w:bookmarkEnd w:id="2281"/>
    </w:p>
    <w:p w14:paraId="3B107997" w14:textId="77777777" w:rsidR="00AB3647" w:rsidRDefault="00000000" w:rsidP="007923E9">
      <w:pPr>
        <w:spacing w:after="120" w:line="276" w:lineRule="auto"/>
        <w:ind w:firstLine="283"/>
        <w:jc w:val="both"/>
      </w:pPr>
      <w:bookmarkStart w:id="2282" w:name="pr_b_999"/>
      <w:bookmarkEnd w:id="2282"/>
      <w:r>
        <w:rPr>
          <w:rtl/>
        </w:rPr>
        <w:t xml:space="preserve">שלושת גדולי התורה שנמנו – ר׳ </w:t>
      </w:r>
      <w:proofErr w:type="spellStart"/>
      <w:r>
        <w:rPr>
          <w:rtl/>
        </w:rPr>
        <w:t>יצחק־אלחנן</w:t>
      </w:r>
      <w:proofErr w:type="spellEnd"/>
      <w:r>
        <w:rPr>
          <w:rtl/>
        </w:rPr>
        <w:t xml:space="preserve">, ר׳ ישראל ור׳ </w:t>
      </w:r>
      <w:proofErr w:type="spellStart"/>
      <w:r>
        <w:rPr>
          <w:rtl/>
        </w:rPr>
        <w:t>אלכסנדר־משה</w:t>
      </w:r>
      <w:proofErr w:type="spellEnd"/>
      <w:r>
        <w:rPr>
          <w:rtl/>
        </w:rPr>
        <w:t xml:space="preserve"> – היו קשורים לכולל קובנה כך: הראשון נתמנה לראש הרוחני של הכולל. השני הגה את רעיון הכולל, ויעץ למממנו, אמיל (עובדיה) לחמן, יהודי עשיר מברלין,</w:t>
      </w:r>
      <w:bookmarkStart w:id="2283" w:name="_fnr1452"/>
      <w:r>
        <w:rPr>
          <w:rStyle w:val="a5"/>
        </w:rPr>
        <w:footnoteReference w:id="1455" w:customMarkFollows="0"/>
      </w:r>
      <w:bookmarkEnd w:id="2283"/>
      <w:r>
        <w:rPr>
          <w:rtl/>
        </w:rPr>
        <w:t xml:space="preserve"> שהקמת כולל היא ההשקעה הטובה ביותר שיש בצדקה. (גם ר׳ ישראל </w:t>
      </w:r>
      <w:proofErr w:type="spellStart"/>
      <w:r>
        <w:rPr>
          <w:rtl/>
        </w:rPr>
        <w:t>סלנטר</w:t>
      </w:r>
      <w:proofErr w:type="spellEnd"/>
      <w:r>
        <w:rPr>
          <w:rtl/>
        </w:rPr>
        <w:t xml:space="preserve"> הוצע לעמוד בראש הכולל, אבל פינה את מקומו </w:t>
      </w:r>
      <w:proofErr w:type="spellStart"/>
      <w:r>
        <w:rPr>
          <w:rtl/>
        </w:rPr>
        <w:t>לר</w:t>
      </w:r>
      <w:proofErr w:type="spellEnd"/>
      <w:r>
        <w:rPr>
          <w:rtl/>
        </w:rPr>
        <w:t xml:space="preserve">׳ </w:t>
      </w:r>
      <w:proofErr w:type="spellStart"/>
      <w:r>
        <w:rPr>
          <w:rtl/>
        </w:rPr>
        <w:t>אלכסנדר־משה</w:t>
      </w:r>
      <w:proofErr w:type="spellEnd"/>
      <w:r>
        <w:rPr>
          <w:rtl/>
        </w:rPr>
        <w:t xml:space="preserve"> לפידות, וזה פינה את מקומו </w:t>
      </w:r>
      <w:proofErr w:type="spellStart"/>
      <w:r>
        <w:rPr>
          <w:rtl/>
        </w:rPr>
        <w:t>לר</w:t>
      </w:r>
      <w:proofErr w:type="spellEnd"/>
      <w:r>
        <w:rPr>
          <w:rtl/>
        </w:rPr>
        <w:t xml:space="preserve">׳ </w:t>
      </w:r>
      <w:proofErr w:type="spellStart"/>
      <w:r>
        <w:rPr>
          <w:rtl/>
        </w:rPr>
        <w:t>יצחק־אלחנן</w:t>
      </w:r>
      <w:proofErr w:type="spellEnd"/>
      <w:r>
        <w:rPr>
          <w:rtl/>
        </w:rPr>
        <w:t>.</w:t>
      </w:r>
      <w:bookmarkStart w:id="2284" w:name="_fnr1453"/>
      <w:r>
        <w:rPr>
          <w:rStyle w:val="a5"/>
        </w:rPr>
        <w:footnoteReference w:id="1456" w:customMarkFollows="0"/>
      </w:r>
      <w:bookmarkEnd w:id="2284"/>
      <w:r>
        <w:rPr>
          <w:rtl/>
        </w:rPr>
        <w:t xml:space="preserve">) השלישי היה מורו של ר׳ </w:t>
      </w:r>
      <w:proofErr w:type="spellStart"/>
      <w:r>
        <w:rPr>
          <w:rtl/>
        </w:rPr>
        <w:t>לייזר־יעקב</w:t>
      </w:r>
      <w:proofErr w:type="spellEnd"/>
      <w:r>
        <w:rPr>
          <w:rtl/>
        </w:rPr>
        <w:t xml:space="preserve"> </w:t>
      </w:r>
      <w:proofErr w:type="spellStart"/>
      <w:r>
        <w:rPr>
          <w:rtl/>
        </w:rPr>
        <w:t xml:space="preserve">חווס</w:t>
      </w:r>
      <w:proofErr w:type="spellEnd"/>
      <w:r>
        <w:rPr>
          <w:rtl/>
        </w:rPr>
        <w:t>.</w:t>
      </w:r>
      <w:bookmarkStart w:id="2285" w:name="_fnr1454"/>
      <w:bookmarkStart w:id="2286" w:name="pr_f_1367"/>
      <w:r>
        <w:rPr>
          <w:rStyle w:val="a5"/>
        </w:rPr>
        <w:footnoteReference w:id="1457" w:customMarkFollows="0"/>
      </w:r>
      <w:bookmarkEnd w:id="2285"/>
      <w:bookmarkEnd w:id="2286"/>
    </w:p>
    <w:p w14:paraId="02157851" w14:textId="1CD5747F" w:rsidR="00AB3647" w:rsidRDefault="00000000" w:rsidP="007923E9">
      <w:pPr>
        <w:spacing w:after="120" w:line="276" w:lineRule="auto"/>
        <w:ind w:firstLine="283"/>
        <w:jc w:val="both"/>
      </w:pPr>
      <w:bookmarkStart w:id="2287" w:name="pr_close_b_1575"/>
      <w:bookmarkEnd w:id="2287"/>
      <w:proofErr w:type="spellStart"/>
      <w:r>
        <w:rPr>
          <w:rtl/>
        </w:rPr>
        <w:t>משלא</w:t>
      </w:r>
      <w:proofErr w:type="spellEnd"/>
      <w:r>
        <w:rPr>
          <w:rtl/>
        </w:rPr>
        <w:t xml:space="preserve"> הייתה ידו של ר׳ </w:t>
      </w:r>
      <w:proofErr w:type="spellStart"/>
      <w:r>
        <w:rPr>
          <w:rtl/>
        </w:rPr>
        <w:t>לייזר־יעקב</w:t>
      </w:r>
      <w:proofErr w:type="spellEnd"/>
      <w:r>
        <w:rPr>
          <w:rtl/>
        </w:rPr>
        <w:t xml:space="preserve"> משגת לשלם דמי נסיעה ברכבת לברלין, הלך לשם </w:t>
      </w:r>
      <w:r>
        <w:rPr>
          <w:b/>
          <w:bCs/>
          <w:rtl/>
        </w:rPr>
        <w:t>ברגל</w:t>
      </w:r>
      <w:r>
        <w:rPr>
          <w:rtl/>
        </w:rPr>
        <w:t xml:space="preserve">, ויחד עם אחיו ר׳ </w:t>
      </w:r>
      <w:proofErr w:type="spellStart"/>
      <w:r>
        <w:rPr>
          <w:rtl/>
        </w:rPr>
        <w:t>יוזף־חיים</w:t>
      </w:r>
      <w:proofErr w:type="spellEnd"/>
      <w:r>
        <w:rPr>
          <w:rtl/>
        </w:rPr>
        <w:t xml:space="preserve">, מנהל החשבונות של לחמן, שכנע את היהודי הברלינאי לתמוך במיזם. לפי ר׳ ישעיה זינגר, יש במשפחתו מסורת שר׳ </w:t>
      </w:r>
      <w:proofErr w:type="spellStart"/>
      <w:r>
        <w:rPr>
          <w:rtl/>
        </w:rPr>
        <w:t>לייזר־יעקב</w:t>
      </w:r>
      <w:proofErr w:type="spellEnd"/>
      <w:r>
        <w:rPr>
          <w:rtl/>
        </w:rPr>
        <w:t xml:space="preserve"> חזר על חצי הש״ס בהליכתו לברלין ועל החצי השני בדרך חזרה. השווה גם פרק 4, הפסקה השנייה ב</w:t>
      </w:r>
      <w:r>
        <w:rPr>
          <w:rtl/>
        </w:rPr>
        <w:fldChar w:fldCharType="begin" w:dirty="true"/>
      </w:r>
      <w:r>
        <w:rPr>
          <w:rtl/>
        </w:rPr>
        <w:instrText xml:space="preserve"> REF b4_excG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ז</w:t>
      </w:r>
      <w:r>
        <w:rPr>
          <w:rtl/>
        </w:rPr>
        <w:fldChar w:fldCharType="end"/>
      </w:r>
      <w:r>
        <w:rPr>
          <w:rtl/>
        </w:rPr>
        <w:t xml:space="preserve">, שלאחר שר׳ </w:t>
      </w:r>
      <w:proofErr w:type="spellStart"/>
      <w:r>
        <w:rPr>
          <w:rtl/>
        </w:rPr>
        <w:t>לייזר־יעקב</w:t>
      </w:r>
      <w:proofErr w:type="spellEnd"/>
      <w:r>
        <w:rPr>
          <w:rtl/>
        </w:rPr>
        <w:t xml:space="preserve"> הכשיר את הקרקע, נמשך ר׳ עובדיה עוד יותר לתמיכה בתורה כששמע את ר׳ ישראל </w:t>
      </w:r>
      <w:proofErr w:type="spellStart"/>
      <w:r>
        <w:rPr>
          <w:rtl/>
        </w:rPr>
        <w:t>סלנטר</w:t>
      </w:r>
      <w:proofErr w:type="spellEnd"/>
      <w:r>
        <w:rPr>
          <w:rtl/>
        </w:rPr>
        <w:t xml:space="preserve"> דורש בממל. אולי הציע ר׳ </w:t>
      </w:r>
      <w:proofErr w:type="spellStart"/>
      <w:r>
        <w:rPr>
          <w:rtl/>
        </w:rPr>
        <w:t>לייזר־יעקב</w:t>
      </w:r>
      <w:proofErr w:type="spellEnd"/>
      <w:r>
        <w:rPr>
          <w:rtl/>
        </w:rPr>
        <w:t xml:space="preserve"> ללחמן שייסע לממל לפגוש את ר׳ ישראל.</w:t>
      </w:r>
    </w:p>
    <w:p w14:paraId="0CB56278" w14:textId="77777777" w:rsidR="00AB3647" w:rsidRDefault="00000000" w:rsidP="007923E9">
      <w:pPr>
        <w:spacing w:after="120" w:line="276" w:lineRule="auto"/>
        <w:ind w:firstLine="283"/>
        <w:jc w:val="both"/>
      </w:pPr>
      <w:bookmarkStart w:id="2288" w:name="pr_b_1000"/>
      <w:bookmarkEnd w:id="2288"/>
      <w:r>
        <w:rPr>
          <w:rtl/>
        </w:rPr>
        <w:lastRenderedPageBreak/>
        <w:t xml:space="preserve">בשיחה מוקלטת ביום היארצייט של ר׳ דוד </w:t>
      </w:r>
      <w:proofErr w:type="spellStart"/>
      <w:r>
        <w:rPr>
          <w:rtl/>
        </w:rPr>
        <w:t>ליבוביץ</w:t>
      </w:r>
      <w:bookmarkStart w:id="2289" w:name="_fnr1455"/>
      <w:proofErr w:type="spellEnd"/>
      <w:r>
        <w:rPr>
          <w:rStyle w:val="a5"/>
        </w:rPr>
        <w:footnoteReference w:id="1458" w:customMarkFollows="0"/>
      </w:r>
      <w:bookmarkEnd w:id="2289"/>
      <w:r>
        <w:rPr>
          <w:rtl/>
        </w:rPr>
        <w:t>, בערך בשנת תשל״ה,</w:t>
      </w:r>
      <w:bookmarkStart w:id="2290" w:name="_fnr1456"/>
      <w:r>
        <w:rPr>
          <w:rStyle w:val="a5"/>
        </w:rPr>
        <w:footnoteReference w:id="1459" w:customMarkFollows="0"/>
      </w:r>
      <w:bookmarkEnd w:id="2290"/>
      <w:r>
        <w:rPr>
          <w:rtl/>
        </w:rPr>
        <w:t xml:space="preserve"> שיער רבנו – “בלא שידע מה היו שורשי יראת השמים (של לחמן)” – שר׳ </w:t>
      </w:r>
      <w:proofErr w:type="spellStart"/>
      <w:r>
        <w:rPr>
          <w:rtl/>
        </w:rPr>
        <w:t>יוזף־חיים</w:t>
      </w:r>
      <w:proofErr w:type="spellEnd"/>
      <w:r>
        <w:rPr>
          <w:rtl/>
        </w:rPr>
        <w:t xml:space="preserve"> הוא שעשה את מעבידו לשומר מצוות, ממש לפני מסעו של ר׳ </w:t>
      </w:r>
      <w:proofErr w:type="spellStart"/>
      <w:r>
        <w:rPr>
          <w:rtl/>
        </w:rPr>
        <w:t>לייזר־יעקב</w:t>
      </w:r>
      <w:proofErr w:type="spellEnd"/>
      <w:r>
        <w:rPr>
          <w:rtl/>
        </w:rPr>
        <w:t xml:space="preserve"> לברלין.</w:t>
      </w:r>
    </w:p>
    <w:p w14:paraId="258F3B10" w14:textId="77777777" w:rsidR="00AB3647" w:rsidRDefault="00000000" w:rsidP="007923E9">
      <w:pPr>
        <w:spacing w:after="120" w:line="276" w:lineRule="auto"/>
        <w:ind w:firstLine="283"/>
        <w:jc w:val="both"/>
      </w:pPr>
      <w:r>
        <w:rPr>
          <w:rtl/>
        </w:rPr>
        <w:t xml:space="preserve">במבוא “תולדות הרב אריה ליב </w:t>
      </w:r>
      <w:proofErr w:type="spellStart"/>
      <w:r>
        <w:rPr>
          <w:rtl/>
        </w:rPr>
        <w:t>פרומקין</w:t>
      </w:r>
      <w:proofErr w:type="spellEnd"/>
      <w:r>
        <w:rPr>
          <w:rtl/>
        </w:rPr>
        <w:t xml:space="preserve">”, מאת אליעזר ריבלין, לספרו של ר׳ </w:t>
      </w:r>
      <w:proofErr w:type="spellStart"/>
      <w:r>
        <w:rPr>
          <w:rtl/>
        </w:rPr>
        <w:t>אריה־לייב</w:t>
      </w:r>
      <w:proofErr w:type="spellEnd"/>
      <w:r>
        <w:rPr>
          <w:rtl/>
        </w:rPr>
        <w:t xml:space="preserve"> </w:t>
      </w:r>
      <w:proofErr w:type="spellStart"/>
      <w:r>
        <w:rPr>
          <w:rtl/>
        </w:rPr>
        <w:t>פרומקין</w:t>
      </w:r>
      <w:proofErr w:type="spellEnd"/>
      <w:r>
        <w:rPr>
          <w:rtl/>
        </w:rPr>
        <w:t xml:space="preserve"> “תולדות חכמי ירושלים”</w:t>
      </w:r>
      <w:bookmarkStart w:id="2291" w:name="_fnr1457"/>
      <w:r>
        <w:rPr>
          <w:rStyle w:val="a5"/>
        </w:rPr>
        <w:footnoteReference w:id="1460" w:customMarkFollows="0"/>
      </w:r>
      <w:bookmarkEnd w:id="2291"/>
      <w:r>
        <w:rPr>
          <w:rtl/>
        </w:rPr>
        <w:t xml:space="preserve"> נאמר: “[לחמן] נמשך אל יהדות רוסיה בהשפעת אחד מיהודי רוסיה, חרד ו</w:t>
      </w:r>
      <w:r>
        <w:rPr>
          <w:b/>
          <w:bCs/>
          <w:rtl/>
        </w:rPr>
        <w:t>תלמיד חכם גדול</w:t>
      </w:r>
      <w:r>
        <w:rPr>
          <w:rtl/>
        </w:rPr>
        <w:t xml:space="preserve">, ר׳ </w:t>
      </w:r>
      <w:proofErr w:type="spellStart"/>
      <w:r>
        <w:rPr>
          <w:rtl/>
        </w:rPr>
        <w:t>יעקב־לייזר</w:t>
      </w:r>
      <w:proofErr w:type="spellEnd"/>
      <w:r>
        <w:rPr>
          <w:rtl/>
        </w:rPr>
        <w:t xml:space="preserve"> </w:t>
      </w:r>
      <w:proofErr w:type="spellStart"/>
      <w:r>
        <w:rPr>
          <w:rtl/>
        </w:rPr>
        <w:t xml:space="preserve">חווס</w:t>
      </w:r>
      <w:proofErr w:type="spellEnd"/>
      <w:r>
        <w:rPr>
          <w:rtl/>
        </w:rPr>
        <w:t xml:space="preserve">, שבביתו התארח </w:t>
      </w:r>
      <w:r>
        <w:rPr>
          <w:b/>
          <w:bCs/>
          <w:rtl/>
        </w:rPr>
        <w:t>הרב</w:t>
      </w:r>
      <w:r>
        <w:rPr>
          <w:rtl/>
        </w:rPr>
        <w:t xml:space="preserve"> (ההדגשות שלי) לחמן.”</w:t>
      </w:r>
    </w:p>
    <w:p w14:paraId="02D99864" w14:textId="77777777" w:rsidR="00AB3647" w:rsidRDefault="00000000" w:rsidP="007923E9">
      <w:pPr>
        <w:spacing w:after="120" w:line="276" w:lineRule="auto"/>
        <w:ind w:firstLine="283"/>
        <w:jc w:val="both"/>
      </w:pPr>
      <w:r>
        <w:rPr>
          <w:rtl/>
        </w:rPr>
        <w:t xml:space="preserve">התואר הרבני שניתן לאמיל לחמן הוא ודאי פליטת קולמוס של ריבלין. מלבד ההיפוך המוטעה של שמו הכפול של ר׳ </w:t>
      </w:r>
      <w:proofErr w:type="spellStart"/>
      <w:r>
        <w:rPr>
          <w:rtl/>
        </w:rPr>
        <w:t>לייזר־יעקב</w:t>
      </w:r>
      <w:proofErr w:type="spellEnd"/>
      <w:r>
        <w:rPr>
          <w:rtl/>
        </w:rPr>
        <w:t xml:space="preserve"> לאורך כל המאמר, החליף ריבלין את ר׳ </w:t>
      </w:r>
      <w:proofErr w:type="spellStart"/>
      <w:r>
        <w:rPr>
          <w:rtl/>
        </w:rPr>
        <w:t>לייזר־יעקב</w:t>
      </w:r>
      <w:proofErr w:type="spellEnd"/>
      <w:r>
        <w:rPr>
          <w:rtl/>
        </w:rPr>
        <w:t xml:space="preserve"> באחיו ר׳ </w:t>
      </w:r>
      <w:proofErr w:type="spellStart"/>
      <w:r>
        <w:rPr>
          <w:rtl/>
        </w:rPr>
        <w:t>יוזף־חיים</w:t>
      </w:r>
      <w:proofErr w:type="spellEnd"/>
      <w:r>
        <w:rPr>
          <w:rtl/>
        </w:rPr>
        <w:t xml:space="preserve">; </w:t>
      </w:r>
      <w:proofErr w:type="spellStart"/>
      <w:r>
        <w:rPr>
          <w:rtl/>
        </w:rPr>
        <w:t>לר</w:t>
      </w:r>
      <w:proofErr w:type="spellEnd"/>
      <w:r>
        <w:rPr>
          <w:rtl/>
        </w:rPr>
        <w:t xml:space="preserve">׳ </w:t>
      </w:r>
      <w:proofErr w:type="spellStart"/>
      <w:r>
        <w:rPr>
          <w:rtl/>
        </w:rPr>
        <w:t>לייזר־יעקב</w:t>
      </w:r>
      <w:proofErr w:type="spellEnd"/>
      <w:r>
        <w:rPr>
          <w:rtl/>
        </w:rPr>
        <w:t xml:space="preserve"> לא היה בית בברלין, והוא רק התארח בבית אחיו, כמו לחמן.</w:t>
      </w:r>
      <w:bookmarkStart w:id="2292" w:name="_fnr1458"/>
      <w:r>
        <w:rPr>
          <w:rStyle w:val="a5"/>
        </w:rPr>
        <w:footnoteReference w:id="1461" w:customMarkFollows="0"/>
      </w:r>
      <w:bookmarkEnd w:id="2292"/>
      <w:r>
        <w:rPr>
          <w:rtl/>
        </w:rPr>
        <w:t xml:space="preserve"> ייתכן שריבלין טועה גם בייחוס התואר “תלמיד חכם גדול” </w:t>
      </w:r>
      <w:proofErr w:type="spellStart"/>
      <w:r>
        <w:rPr>
          <w:rtl/>
        </w:rPr>
        <w:t xml:space="preserve">לחווס</w:t>
      </w:r>
      <w:proofErr w:type="spellEnd"/>
      <w:r>
        <w:rPr>
          <w:rtl/>
        </w:rPr>
        <w:t xml:space="preserve"> [יהיה זה ר׳ </w:t>
      </w:r>
      <w:proofErr w:type="spellStart"/>
      <w:r>
        <w:rPr>
          <w:rtl/>
        </w:rPr>
        <w:t>יוזף־חיים</w:t>
      </w:r>
      <w:proofErr w:type="spellEnd"/>
      <w:r>
        <w:rPr>
          <w:rtl/>
        </w:rPr>
        <w:t xml:space="preserve"> התושב או ר׳ </w:t>
      </w:r>
      <w:proofErr w:type="spellStart"/>
      <w:r>
        <w:rPr>
          <w:rtl/>
        </w:rPr>
        <w:t>לייזר־יעקב</w:t>
      </w:r>
      <w:proofErr w:type="spellEnd"/>
      <w:r>
        <w:rPr>
          <w:rtl/>
        </w:rPr>
        <w:t xml:space="preserve"> האורח], כפי שהוא טועה בתואר “רב” שנתן ללחמן. אבל כנראה צודק הוא בטענתו שלחמן נטה אל “יהדות רוסיה” משום שהתארח בביתו המסורתי של [</w:t>
      </w:r>
      <w:proofErr w:type="spellStart"/>
      <w:r>
        <w:rPr>
          <w:rtl/>
        </w:rPr>
        <w:t>יוזף־חיים</w:t>
      </w:r>
      <w:proofErr w:type="spellEnd"/>
      <w:r>
        <w:rPr>
          <w:rtl/>
        </w:rPr>
        <w:t xml:space="preserve">] </w:t>
      </w:r>
      <w:proofErr w:type="spellStart"/>
      <w:r>
        <w:rPr>
          <w:rtl/>
        </w:rPr>
        <w:t xml:space="preserve">חווס</w:t>
      </w:r>
      <w:proofErr w:type="spellEnd"/>
      <w:r>
        <w:rPr>
          <w:rtl/>
        </w:rPr>
        <w:t xml:space="preserve"> וראה את יופיו – כדרך שבעלי תשובה בימינו נמשכים אל היהדות בזכות בתים כאלה בני זמננו. מכל מקום, דיווחו של ריבלין על שורשי יראת השמים של לחמן מאשר את השערתו של אבי.</w:t>
      </w:r>
    </w:p>
    <w:p w14:paraId="70B7F8C6" w14:textId="77777777" w:rsidR="00AB3647" w:rsidRDefault="00000000" w:rsidP="007923E9">
      <w:pPr>
        <w:spacing w:after="120" w:line="276" w:lineRule="auto"/>
        <w:ind w:firstLine="283"/>
        <w:jc w:val="both"/>
      </w:pPr>
      <w:bookmarkStart w:id="2293" w:name="pr_b_1001"/>
      <w:bookmarkEnd w:id="2293"/>
      <w:r>
        <w:rPr>
          <w:rtl/>
        </w:rPr>
        <w:t>מאמר נגד המוסר</w:t>
      </w:r>
      <w:bookmarkStart w:id="2294" w:name="_fnr1459"/>
      <w:r>
        <w:rPr>
          <w:rStyle w:val="a5"/>
        </w:rPr>
        <w:footnoteReference w:id="1462" w:customMarkFollows="0"/>
      </w:r>
      <w:bookmarkEnd w:id="2294"/>
      <w:r>
        <w:rPr>
          <w:rtl/>
        </w:rPr>
        <w:t xml:space="preserve"> בגיליון 21 בדצמבר 1910 של היומון הוילנאי “הזמן”,</w:t>
      </w:r>
      <w:bookmarkStart w:id="2295" w:name="_fnr1460"/>
      <w:r>
        <w:rPr>
          <w:rStyle w:val="a5"/>
        </w:rPr>
        <w:footnoteReference w:id="1463" w:customMarkFollows="0"/>
      </w:r>
      <w:bookmarkEnd w:id="2295"/>
      <w:r>
        <w:rPr>
          <w:rtl/>
        </w:rPr>
        <w:t xml:space="preserve"> בכותרת “‘</w:t>
      </w:r>
      <w:proofErr w:type="spellStart"/>
      <w:r>
        <w:rPr>
          <w:rtl/>
        </w:rPr>
        <w:t>מיצינט</w:t>
      </w:r>
      <w:proofErr w:type="spellEnd"/>
      <w:r>
        <w:rPr>
          <w:rtl/>
        </w:rPr>
        <w:t>’ יהודי” ובחתימת “מאן דהו”, טוען שלחמן קיבל חינוך אורתודוקסי מהוריו שומרי המצוות. אבל טענה זו, כמו הרבה הצהרות אחרות במאמר, היא ניחוש מוטעה. מדברי אבי ברור שדתיותו של לחמן לא צמחה מסביבתו הטבעית, בית הוריו, אלא מקרקע זרה. כך כותב גם “החפץ חיים”:</w:t>
      </w:r>
      <w:bookmarkStart w:id="2296" w:name="_fnr1461"/>
      <w:r>
        <w:rPr>
          <w:rStyle w:val="a5"/>
        </w:rPr>
        <w:footnoteReference w:id="1464" w:customMarkFollows="0"/>
      </w:r>
      <w:bookmarkEnd w:id="2296"/>
      <w:r>
        <w:rPr>
          <w:rtl/>
        </w:rPr>
        <w:t xml:space="preserve"> “לידתו וחינוכו של לחמן היו בסביבה לא דתית, ובתחילה היה מנוכר לגמרי לרוח התורה והיהדות. אכן בזכות השפעתו של ר׳ ישראל </w:t>
      </w:r>
      <w:proofErr w:type="spellStart"/>
      <w:r>
        <w:rPr>
          <w:rtl/>
        </w:rPr>
        <w:t>סלנטר</w:t>
      </w:r>
      <w:proofErr w:type="spellEnd"/>
      <w:r>
        <w:rPr>
          <w:rtl/>
        </w:rPr>
        <w:t xml:space="preserve"> נדלק בו ניצוץ היהדות, עד שנעשה ירא וחרד.” “החפץ חיים” טועה כשהוא תולה בר׳ ישראל </w:t>
      </w:r>
      <w:proofErr w:type="spellStart"/>
      <w:r>
        <w:rPr>
          <w:rtl/>
        </w:rPr>
        <w:t>סלנטר</w:t>
      </w:r>
      <w:proofErr w:type="spellEnd"/>
      <w:r>
        <w:rPr>
          <w:rtl/>
        </w:rPr>
        <w:t xml:space="preserve"> את היותו של לחמן ליהודי שומר מצוות, אבל הוא צודק בכך שהנדבן לא גדל בבית שומר מצוות – כפי שטען אבי וכפי שדיווח ריבלין.</w:t>
      </w:r>
    </w:p>
    <w:p w14:paraId="5CCFAE37" w14:textId="77777777" w:rsidR="00AB3647" w:rsidRDefault="00000000" w:rsidP="007923E9">
      <w:pPr>
        <w:spacing w:after="120" w:line="276" w:lineRule="auto"/>
        <w:ind w:firstLine="283"/>
        <w:jc w:val="both"/>
      </w:pPr>
      <w:r>
        <w:rPr>
          <w:rtl/>
        </w:rPr>
        <w:lastRenderedPageBreak/>
        <w:t xml:space="preserve">אני סבור שידיעותיו של רבנו על לחמן באו לו ישירות מן הסבא </w:t>
      </w:r>
      <w:proofErr w:type="spellStart"/>
      <w:r>
        <w:rPr>
          <w:rtl/>
        </w:rPr>
        <w:t>מסלבודקה</w:t>
      </w:r>
      <w:proofErr w:type="spellEnd"/>
      <w:r>
        <w:rPr>
          <w:rtl/>
        </w:rPr>
        <w:t xml:space="preserve">. הסבא לא זו בלבד שקיבל את כספי ר׳ עובדיה לחלוקה, אלא גם פגש אותו אישית בשנים הראשונות לכניסתו לחברה הדתית, כשראשית דתיותו הייתה עניין שעורר סקרנות. דבר הפגישה האישית ביניהם נודע ממכתב של ר׳ </w:t>
      </w:r>
      <w:proofErr w:type="spellStart"/>
      <w:r>
        <w:rPr>
          <w:rtl/>
        </w:rPr>
        <w:t>שמחה־זיסל</w:t>
      </w:r>
      <w:proofErr w:type="spellEnd"/>
      <w:r>
        <w:rPr>
          <w:rtl/>
        </w:rPr>
        <w:t xml:space="preserve"> זיו לאחיו ר׳ לייב </w:t>
      </w:r>
      <w:proofErr w:type="spellStart"/>
      <w:r>
        <w:rPr>
          <w:rtl/>
        </w:rPr>
        <w:t>ברוידא</w:t>
      </w:r>
      <w:proofErr w:type="spellEnd"/>
      <w:r>
        <w:rPr>
          <w:rtl/>
        </w:rPr>
        <w:t>, שפורסם לאחרונה.</w:t>
      </w:r>
      <w:bookmarkStart w:id="2297" w:name="_fnr1462"/>
      <w:bookmarkStart w:id="2298" w:name="pr_f_1375"/>
      <w:r>
        <w:rPr>
          <w:rStyle w:val="a5"/>
        </w:rPr>
        <w:footnoteReference w:id="1465" w:customMarkFollows="0"/>
      </w:r>
      <w:bookmarkEnd w:id="2297"/>
      <w:bookmarkEnd w:id="2298"/>
      <w:r>
        <w:rPr>
          <w:rtl/>
        </w:rPr>
        <w:t xml:space="preserve"> במכתב מוזכר שר׳ </w:t>
      </w:r>
      <w:proofErr w:type="spellStart"/>
      <w:r>
        <w:rPr>
          <w:rtl/>
        </w:rPr>
        <w:t>נתן־צבי</w:t>
      </w:r>
      <w:proofErr w:type="spellEnd"/>
      <w:r>
        <w:rPr>
          <w:rtl/>
        </w:rPr>
        <w:t xml:space="preserve"> </w:t>
      </w:r>
      <w:proofErr w:type="spellStart"/>
      <w:r>
        <w:rPr>
          <w:rtl/>
        </w:rPr>
        <w:t>פינקל</w:t>
      </w:r>
      <w:proofErr w:type="spellEnd"/>
      <w:r>
        <w:rPr>
          <w:rtl/>
        </w:rPr>
        <w:t xml:space="preserve"> נסע לבקר את “האיש הידוע מהמבורג </w:t>
      </w:r>
      <w:proofErr w:type="spellStart"/>
      <w:r>
        <w:rPr>
          <w:rtl/>
        </w:rPr>
        <w:t>לאכמאנן</w:t>
      </w:r>
      <w:bookmarkStart w:id="2299" w:name="_fnr1463"/>
      <w:proofErr w:type="spellEnd"/>
      <w:r>
        <w:rPr>
          <w:rStyle w:val="a5"/>
        </w:rPr>
        <w:footnoteReference w:id="1466" w:customMarkFollows="0"/>
      </w:r>
      <w:bookmarkEnd w:id="2299"/>
      <w:r>
        <w:rPr>
          <w:rtl/>
        </w:rPr>
        <w:t xml:space="preserve"> אשר הקדיש צדקתו על קהל הפרושים</w:t>
      </w:r>
      <w:bookmarkStart w:id="2300" w:name="_fnr1464"/>
      <w:r>
        <w:rPr>
          <w:rStyle w:val="a5"/>
        </w:rPr>
        <w:footnoteReference w:id="1467" w:customMarkFollows="0"/>
      </w:r>
      <w:bookmarkEnd w:id="2300"/>
      <w:r>
        <w:rPr>
          <w:rtl/>
        </w:rPr>
        <w:t xml:space="preserve">” [כולל קובנה], ושהצליח לגייס הלוואה של אלף רובל כנגד שטרות חוב שנתן תושב קלם אחד, הנזכר בשמו (שגם שילם את הוצאות נסיעתו של הסבא </w:t>
      </w:r>
      <w:proofErr w:type="spellStart"/>
      <w:r>
        <w:rPr>
          <w:rtl/>
        </w:rPr>
        <w:t>מסלבודקה</w:t>
      </w:r>
      <w:proofErr w:type="spellEnd"/>
      <w:r>
        <w:rPr>
          <w:rtl/>
        </w:rPr>
        <w:t>).</w:t>
      </w:r>
    </w:p>
    <w:p w14:paraId="265B6AE5" w14:textId="77777777" w:rsidR="00AB3647" w:rsidRDefault="00000000" w:rsidP="007923E9">
      <w:pPr>
        <w:spacing w:after="120" w:line="276" w:lineRule="auto"/>
        <w:ind w:firstLine="283"/>
        <w:jc w:val="both"/>
      </w:pPr>
      <w:r>
        <w:rPr>
          <w:rtl/>
        </w:rPr>
        <w:t xml:space="preserve">בתאריך המכתב אין שנה, ונאמר בו רק: “עש״ק לשבת אחרי ק׳.” מסתבר שהמכתב נכתב בשנת תר״מ – שלוש שנים אחרי </w:t>
      </w:r>
      <w:proofErr w:type="spellStart"/>
      <w:r>
        <w:rPr>
          <w:rtl/>
        </w:rPr>
        <w:t>ש“הקדיש</w:t>
      </w:r>
      <w:proofErr w:type="spellEnd"/>
      <w:r>
        <w:rPr>
          <w:rtl/>
        </w:rPr>
        <w:t>” לחמן “את תמיכתו” לכולל קובנה – כשהפרשיות אחרי מות וקדושים היו מחוברות,</w:t>
      </w:r>
      <w:bookmarkStart w:id="2301" w:name="_fnr1465"/>
      <w:r>
        <w:rPr>
          <w:rStyle w:val="a5"/>
        </w:rPr>
        <w:footnoteReference w:id="1468" w:customMarkFollows="0"/>
      </w:r>
      <w:bookmarkEnd w:id="2301"/>
      <w:r>
        <w:rPr>
          <w:rtl/>
        </w:rPr>
        <w:t xml:space="preserve"> וכשנפתחה הפנימייה רבת התקציב </w:t>
      </w:r>
      <w:proofErr w:type="spellStart"/>
      <w:r>
        <w:rPr>
          <w:rtl/>
        </w:rPr>
        <w:t>שבגרובין</w:t>
      </w:r>
      <w:proofErr w:type="spellEnd"/>
      <w:r>
        <w:rPr>
          <w:rtl/>
        </w:rPr>
        <w:t xml:space="preserve"> והייתה זקוקה לתמיכה כספית. מבוא העורך למכתב</w:t>
      </w:r>
      <w:bookmarkStart w:id="2302" w:name="_fnr1466"/>
      <w:r>
        <w:rPr>
          <w:rStyle w:val="a5"/>
        </w:rPr>
        <w:footnoteReference w:id="1469" w:customMarkFollows="0"/>
      </w:r>
      <w:bookmarkEnd w:id="2302"/>
      <w:r>
        <w:rPr>
          <w:rtl/>
        </w:rPr>
        <w:t xml:space="preserve"> אינו מזכיר את </w:t>
      </w:r>
      <w:proofErr w:type="spellStart"/>
      <w:r>
        <w:rPr>
          <w:rtl/>
        </w:rPr>
        <w:t>גרובין</w:t>
      </w:r>
      <w:proofErr w:type="spellEnd"/>
      <w:r>
        <w:rPr>
          <w:rtl/>
        </w:rPr>
        <w:t xml:space="preserve">, ומניח </w:t>
      </w:r>
      <w:proofErr w:type="spellStart"/>
      <w:r>
        <w:rPr>
          <w:rtl/>
        </w:rPr>
        <w:t>ש“מצבו</w:t>
      </w:r>
      <w:proofErr w:type="spellEnd"/>
      <w:r>
        <w:rPr>
          <w:rtl/>
        </w:rPr>
        <w:t xml:space="preserve"> של התלמוד תורה </w:t>
      </w:r>
      <w:proofErr w:type="spellStart"/>
      <w:r>
        <w:rPr>
          <w:rtl/>
        </w:rPr>
        <w:t>בקלם</w:t>
      </w:r>
      <w:proofErr w:type="spellEnd"/>
      <w:r>
        <w:rPr>
          <w:rtl/>
        </w:rPr>
        <w:t xml:space="preserve"> היה דחוק במיוחד”. אבל אין כל ראיה שגויסו אי פעם כספים להחזקת התלמוד תורה </w:t>
      </w:r>
      <w:r>
        <w:rPr>
          <w:b/>
          <w:bCs/>
          <w:rtl/>
        </w:rPr>
        <w:t xml:space="preserve">בעודו </w:t>
      </w:r>
      <w:proofErr w:type="spellStart"/>
      <w:r>
        <w:rPr>
          <w:b/>
          <w:bCs/>
          <w:rtl/>
        </w:rPr>
        <w:t>בקלם</w:t>
      </w:r>
      <w:proofErr w:type="spellEnd"/>
      <w:r>
        <w:rPr>
          <w:rtl/>
        </w:rPr>
        <w:t>. כמנהג בכל ליטא, העיירה עצמה סידרה “לינה” לתלמידים הצעירים על ספסלי בתי המדרש שלה</w:t>
      </w:r>
      <w:bookmarkStart w:id="2303" w:name="_fnr1467"/>
      <w:bookmarkStart w:id="2304" w:name="pr_f_1380"/>
      <w:r>
        <w:rPr>
          <w:rStyle w:val="a5"/>
        </w:rPr>
        <w:footnoteReference w:id="1470" w:customMarkFollows="0"/>
      </w:r>
      <w:bookmarkEnd w:id="2303"/>
      <w:bookmarkEnd w:id="2304"/>
      <w:r>
        <w:rPr>
          <w:rtl/>
        </w:rPr>
        <w:t xml:space="preserve"> </w:t>
      </w:r>
      <w:proofErr w:type="spellStart"/>
      <w:r>
        <w:rPr>
          <w:rtl/>
        </w:rPr>
        <w:t>ו“כלכלה</w:t>
      </w:r>
      <w:proofErr w:type="spellEnd"/>
      <w:r>
        <w:rPr>
          <w:rtl/>
        </w:rPr>
        <w:t>” בבתי בעלי הבתים.</w:t>
      </w:r>
    </w:p>
    <w:p w14:paraId="1C2090C9" w14:textId="77777777" w:rsidR="00AB3647" w:rsidRDefault="00000000" w:rsidP="007923E9">
      <w:pPr>
        <w:spacing w:after="120" w:line="276" w:lineRule="auto"/>
        <w:ind w:firstLine="283"/>
        <w:jc w:val="both"/>
      </w:pPr>
      <w:r>
        <w:rPr>
          <w:rtl/>
        </w:rPr>
        <w:t xml:space="preserve">כשנסגר התלמוד תורה של קלם ונפתח מחדש בצורה אחרת </w:t>
      </w:r>
      <w:proofErr w:type="spellStart"/>
      <w:r>
        <w:rPr>
          <w:rtl/>
        </w:rPr>
        <w:t>בגרובין</w:t>
      </w:r>
      <w:proofErr w:type="spellEnd"/>
      <w:r>
        <w:rPr>
          <w:rtl/>
        </w:rPr>
        <w:t xml:space="preserve">, לימד שם הסבא </w:t>
      </w:r>
      <w:proofErr w:type="spellStart"/>
      <w:r>
        <w:rPr>
          <w:rtl/>
        </w:rPr>
        <w:t>מסלבודקה</w:t>
      </w:r>
      <w:proofErr w:type="spellEnd"/>
      <w:r>
        <w:rPr>
          <w:rtl/>
        </w:rPr>
        <w:t xml:space="preserve"> תנ״ך,</w:t>
      </w:r>
      <w:bookmarkStart w:id="2305" w:name="_fnr1468"/>
      <w:r>
        <w:rPr>
          <w:rStyle w:val="a5"/>
        </w:rPr>
        <w:footnoteReference w:id="1471" w:customMarkFollows="0"/>
      </w:r>
      <w:bookmarkEnd w:id="2305"/>
      <w:r>
        <w:rPr>
          <w:rtl/>
        </w:rPr>
        <w:t xml:space="preserve"> ור׳ </w:t>
      </w:r>
      <w:proofErr w:type="spellStart"/>
      <w:r>
        <w:rPr>
          <w:rtl/>
        </w:rPr>
        <w:t>שמחה־זיסל</w:t>
      </w:r>
      <w:proofErr w:type="spellEnd"/>
      <w:r>
        <w:rPr>
          <w:rtl/>
        </w:rPr>
        <w:t xml:space="preserve"> שיתף את המורה הצעיר שלו גם בכמה מפעולות ההתרמה. כך הכיר הסבא </w:t>
      </w:r>
      <w:proofErr w:type="spellStart"/>
      <w:r>
        <w:rPr>
          <w:rtl/>
        </w:rPr>
        <w:t>מסלבודקה</w:t>
      </w:r>
      <w:proofErr w:type="spellEnd"/>
      <w:r>
        <w:rPr>
          <w:rtl/>
        </w:rPr>
        <w:t xml:space="preserve"> את עובדיה לחמן. אפשר לשער שאלמלא הפגישה האישית ביניהם, לא היה לחמן מוסר לסבא </w:t>
      </w:r>
      <w:proofErr w:type="spellStart"/>
      <w:r>
        <w:rPr>
          <w:rtl/>
        </w:rPr>
        <w:t>מסלבודקה</w:t>
      </w:r>
      <w:proofErr w:type="spellEnd"/>
      <w:r>
        <w:rPr>
          <w:rtl/>
        </w:rPr>
        <w:t xml:space="preserve"> את אלפי הרובלים הרבים שתרם לקידום התורה ברוסיה שנים לאחר מכן.</w:t>
      </w:r>
    </w:p>
    <w:p w14:paraId="285F2E56" w14:textId="43E2F9C3" w:rsidR="00AB3647" w:rsidRDefault="00000000" w:rsidP="007923E9">
      <w:pPr>
        <w:spacing w:after="120" w:line="276" w:lineRule="auto"/>
        <w:ind w:firstLine="283"/>
        <w:jc w:val="both"/>
      </w:pPr>
      <w:r>
        <w:rPr>
          <w:rtl/>
        </w:rPr>
        <w:t xml:space="preserve">עיקרו של מאמר מא״ד הוא שלחמן הולך שולל בידי אנשי המוסר. אבל ר׳ </w:t>
      </w:r>
      <w:proofErr w:type="spellStart"/>
      <w:r>
        <w:rPr>
          <w:rtl/>
        </w:rPr>
        <w:t>יחיאל־יעקב</w:t>
      </w:r>
      <w:proofErr w:type="spellEnd"/>
      <w:r>
        <w:rPr>
          <w:rtl/>
        </w:rPr>
        <w:t xml:space="preserve"> ויינברג הפריך האשמה זו בתמציתיות בהערת שוליים למאמרו המקדים חוברת נתונים משנת תרע״ב, ובה רשימת תלמידי ישיבת כנסת ישראל ובוגריה המכהנים ברבנות.</w:t>
      </w:r>
      <w:bookmarkStart w:id="2306" w:name="_fnr1469"/>
      <w:r>
        <w:rPr>
          <w:rStyle w:val="a5"/>
        </w:rPr>
        <w:footnoteReference w:id="1472" w:customMarkFollows="0"/>
      </w:r>
      <w:bookmarkEnd w:id="2306"/>
      <w:r>
        <w:rPr>
          <w:rtl/>
        </w:rPr>
        <w:t xml:space="preserve"> באותו זמן כבר לא היה לחמן בחיים. וכך כותב ר׳ </w:t>
      </w:r>
      <w:proofErr w:type="spellStart"/>
      <w:r>
        <w:rPr>
          <w:rtl/>
        </w:rPr>
        <w:t>יחיאל־יעקב</w:t>
      </w:r>
      <w:proofErr w:type="spellEnd"/>
      <w:r>
        <w:rPr>
          <w:rtl/>
        </w:rPr>
        <w:t xml:space="preserve"> ויינברג: “ידוע ומפורסם שהמנוח ר׳ עובדיה </w:t>
      </w:r>
      <w:r>
        <w:rPr>
          <w:rtl/>
        </w:rPr>
        <w:lastRenderedPageBreak/>
        <w:t xml:space="preserve">לחמן ביקר בישיבה בעצמו, וכשראה את המחזה הנפלא של מאות נערים הוגים בתורה בשקידה, נתמלאו עיניו דמעות של אהבת תורה.” ביקור זה התקיים באמצע העשור שלפני פרסום קונטרס “כנסת ישראל – על דבר הישיבה הגדולה </w:t>
      </w:r>
      <w:proofErr w:type="spellStart"/>
      <w:r>
        <w:rPr>
          <w:rtl/>
        </w:rPr>
        <w:t>בסלבודקה</w:t>
      </w:r>
      <w:proofErr w:type="spellEnd"/>
      <w:r>
        <w:rPr>
          <w:rtl/>
        </w:rPr>
        <w:t>”, לפי המידע שב</w:t>
      </w:r>
      <w:r>
        <w:rPr>
          <w:rtl/>
        </w:rPr>
        <w:fldChar w:fldCharType="begin" w:dirty="true"/>
      </w:r>
      <w:r>
        <w:rPr>
          <w:rtl/>
        </w:rPr>
        <w:instrText xml:space="preserve"> REF b3_excY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כה</w:t>
      </w:r>
      <w:r>
        <w:rPr>
          <w:rtl/>
        </w:rPr>
        <w:fldChar w:fldCharType="end"/>
      </w:r>
      <w:r>
        <w:rPr>
          <w:rtl/>
        </w:rPr>
        <w:t xml:space="preserve"> להלן.</w:t>
      </w:r>
    </w:p>
    <w:p w14:paraId="66815F5F" w14:textId="77777777" w:rsidR="00AB3647" w:rsidRDefault="00000000" w:rsidP="007923E9">
      <w:pPr>
        <w:spacing w:after="120" w:line="276" w:lineRule="auto"/>
        <w:ind w:firstLine="283"/>
        <w:jc w:val="both"/>
      </w:pPr>
      <w:r>
        <w:rPr>
          <w:rtl/>
        </w:rPr>
        <w:t xml:space="preserve">לכן ייתכן שטענת מא״ד על הולכת שולל, השגויה מבחינה עובדתית, הייתה האשמה שהגיעה לאוזני לחמן, וייתכן שהיא שעוררה אותו לבוא ולראות במו עיניו כיצד נוצלה תמיכתו, שנמשכה עשרות שנים. אם כן, דמעותיו היו ביטוי לא רק </w:t>
      </w:r>
      <w:proofErr w:type="spellStart"/>
      <w:r>
        <w:rPr>
          <w:rtl/>
        </w:rPr>
        <w:t>ל“אהבת</w:t>
      </w:r>
      <w:proofErr w:type="spellEnd"/>
      <w:r>
        <w:rPr>
          <w:rtl/>
        </w:rPr>
        <w:t xml:space="preserve"> תורה”, אלא גם לרגשי אשם על שחשד </w:t>
      </w:r>
      <w:proofErr w:type="spellStart"/>
      <w:r>
        <w:rPr>
          <w:rtl/>
        </w:rPr>
        <w:t>ב“מוסרניקים</w:t>
      </w:r>
      <w:proofErr w:type="spellEnd"/>
      <w:r>
        <w:rPr>
          <w:rtl/>
        </w:rPr>
        <w:t>”.</w:t>
      </w:r>
    </w:p>
    <w:p w14:paraId="0C34C051" w14:textId="77777777" w:rsidR="00AB3647" w:rsidRDefault="00000000" w:rsidP="007923E9">
      <w:pPr>
        <w:spacing w:after="120" w:line="276" w:lineRule="auto"/>
        <w:ind w:firstLine="283"/>
        <w:jc w:val="both"/>
      </w:pPr>
      <w:r>
        <w:rPr>
          <w:rtl/>
        </w:rPr>
        <w:t>ר׳ משה ריינס, מחבר “אכסניות”, טוען</w:t>
      </w:r>
      <w:bookmarkStart w:id="2307" w:name="_fnr1470"/>
      <w:r>
        <w:rPr>
          <w:rStyle w:val="a5"/>
        </w:rPr>
        <w:footnoteReference w:id="1473" w:customMarkFollows="0"/>
      </w:r>
      <w:bookmarkEnd w:id="2307"/>
      <w:r>
        <w:rPr>
          <w:rtl/>
        </w:rPr>
        <w:t xml:space="preserve"> שאביו ר׳ </w:t>
      </w:r>
      <w:proofErr w:type="spellStart"/>
      <w:r>
        <w:rPr>
          <w:rtl/>
        </w:rPr>
        <w:t>יצחק־יעקב</w:t>
      </w:r>
      <w:proofErr w:type="spellEnd"/>
      <w:r>
        <w:rPr>
          <w:rtl/>
        </w:rPr>
        <w:t xml:space="preserve"> ריינס עורר כבר בשנת תרל״ב את תשומת לבם של רבנים אחרים לחשיבות החיונית של הקמת מוסד לתמיכה באברכים שאינם מתפרנסים מחמיהם. לדבריו, נסע ר׳ </w:t>
      </w:r>
      <w:proofErr w:type="spellStart"/>
      <w:r>
        <w:rPr>
          <w:rtl/>
        </w:rPr>
        <w:t>יצחק־יעקב</w:t>
      </w:r>
      <w:proofErr w:type="spellEnd"/>
      <w:r>
        <w:rPr>
          <w:rtl/>
        </w:rPr>
        <w:t xml:space="preserve"> ריינס </w:t>
      </w:r>
      <w:proofErr w:type="spellStart"/>
      <w:r>
        <w:rPr>
          <w:rtl/>
        </w:rPr>
        <w:t>לראסיין</w:t>
      </w:r>
      <w:proofErr w:type="spellEnd"/>
      <w:r>
        <w:rPr>
          <w:rtl/>
        </w:rPr>
        <w:t xml:space="preserve"> לדון ברעיון עם ר׳ </w:t>
      </w:r>
      <w:proofErr w:type="spellStart"/>
      <w:r>
        <w:rPr>
          <w:rtl/>
        </w:rPr>
        <w:t>אלכסנדר־משה</w:t>
      </w:r>
      <w:proofErr w:type="spellEnd"/>
      <w:r>
        <w:rPr>
          <w:rtl/>
        </w:rPr>
        <w:t xml:space="preserve"> לפידות. כשמצא שר׳ </w:t>
      </w:r>
      <w:proofErr w:type="spellStart"/>
      <w:r>
        <w:rPr>
          <w:rtl/>
        </w:rPr>
        <w:t>אלכסנדר־משה</w:t>
      </w:r>
      <w:proofErr w:type="spellEnd"/>
      <w:r>
        <w:rPr>
          <w:rtl/>
        </w:rPr>
        <w:t xml:space="preserve"> מבקר באותו זמן </w:t>
      </w:r>
      <w:proofErr w:type="spellStart"/>
      <w:r>
        <w:rPr>
          <w:rtl/>
        </w:rPr>
        <w:t>ביאנישוק</w:t>
      </w:r>
      <w:proofErr w:type="spellEnd"/>
      <w:r>
        <w:rPr>
          <w:rtl/>
        </w:rPr>
        <w:t xml:space="preserve">, יותר ממאה קילומטרים משם, הלך אחריו לשם. ר׳ </w:t>
      </w:r>
      <w:proofErr w:type="spellStart"/>
      <w:r>
        <w:rPr>
          <w:rtl/>
        </w:rPr>
        <w:t>לייזר־יעקב</w:t>
      </w:r>
      <w:proofErr w:type="spellEnd"/>
      <w:r>
        <w:rPr>
          <w:rtl/>
        </w:rPr>
        <w:t xml:space="preserve"> </w:t>
      </w:r>
      <w:proofErr w:type="spellStart"/>
      <w:r>
        <w:rPr>
          <w:rtl/>
        </w:rPr>
        <w:t xml:space="preserve">חווס</w:t>
      </w:r>
      <w:proofErr w:type="spellEnd"/>
      <w:r>
        <w:rPr>
          <w:rtl/>
        </w:rPr>
        <w:t>,</w:t>
      </w:r>
      <w:bookmarkStart w:id="2308" w:name="_fnr1471"/>
      <w:r>
        <w:rPr>
          <w:rStyle w:val="a5"/>
        </w:rPr>
        <w:footnoteReference w:id="1474" w:customMarkFollows="0"/>
      </w:r>
      <w:bookmarkEnd w:id="2308"/>
      <w:r>
        <w:rPr>
          <w:rtl/>
        </w:rPr>
        <w:t xml:space="preserve"> שגר </w:t>
      </w:r>
      <w:proofErr w:type="spellStart"/>
      <w:r>
        <w:rPr>
          <w:rtl/>
        </w:rPr>
        <w:t>ביאנישוק</w:t>
      </w:r>
      <w:proofErr w:type="spellEnd"/>
      <w:r>
        <w:rPr>
          <w:rtl/>
        </w:rPr>
        <w:t xml:space="preserve"> ונכח יחד עם “עוד אנשים נכבדים” בפגישת שני הרבנים, נדלק על הרעיון ולבסוף הוציאו אל הפועל.</w:t>
      </w:r>
    </w:p>
    <w:p w14:paraId="5EC2A01E" w14:textId="77777777" w:rsidR="00AB3647" w:rsidRDefault="00000000" w:rsidP="007923E9">
      <w:pPr>
        <w:spacing w:after="120" w:line="276" w:lineRule="auto"/>
        <w:ind w:firstLine="283"/>
        <w:jc w:val="both"/>
      </w:pPr>
      <w:r>
        <w:rPr>
          <w:rtl/>
        </w:rPr>
        <w:t xml:space="preserve">עיקר דיווחו של ר׳ משה ריינס, אך בלי שמות, נמצא בהקדמה שכתב האב, ר׳ </w:t>
      </w:r>
      <w:proofErr w:type="spellStart"/>
      <w:r>
        <w:rPr>
          <w:rtl/>
        </w:rPr>
        <w:t>יצחק־יעקב</w:t>
      </w:r>
      <w:proofErr w:type="spellEnd"/>
      <w:r>
        <w:rPr>
          <w:rtl/>
        </w:rPr>
        <w:t xml:space="preserve"> ריינס, לכרכו “חותם תכנית”,</w:t>
      </w:r>
      <w:bookmarkStart w:id="2309" w:name="_fnr1472"/>
      <w:r>
        <w:rPr>
          <w:rStyle w:val="a5"/>
        </w:rPr>
        <w:footnoteReference w:id="1475" w:customMarkFollows="0"/>
      </w:r>
      <w:bookmarkEnd w:id="2309"/>
      <w:r>
        <w:rPr>
          <w:rtl/>
        </w:rPr>
        <w:t xml:space="preserve"> שיצא לאור עשר שנים לפני פרסום “אכסניות” של הבן.</w:t>
      </w:r>
      <w:bookmarkStart w:id="2310" w:name="_fnr1473"/>
      <w:bookmarkStart w:id="2311" w:name="pr_f_1386"/>
      <w:r>
        <w:rPr>
          <w:rStyle w:val="a5"/>
        </w:rPr>
        <w:footnoteReference w:id="1476" w:customMarkFollows="0"/>
      </w:r>
      <w:bookmarkEnd w:id="2310"/>
      <w:bookmarkEnd w:id="2311"/>
      <w:r>
        <w:rPr>
          <w:rtl/>
        </w:rPr>
        <w:t xml:space="preserve"> שם מספר ר׳ </w:t>
      </w:r>
      <w:proofErr w:type="spellStart"/>
      <w:r>
        <w:rPr>
          <w:rtl/>
        </w:rPr>
        <w:t>יצחק־יעקב</w:t>
      </w:r>
      <w:proofErr w:type="spellEnd"/>
      <w:r>
        <w:rPr>
          <w:rtl/>
        </w:rPr>
        <w:t xml:space="preserve"> ריינס </w:t>
      </w:r>
      <w:proofErr w:type="spellStart"/>
      <w:r>
        <w:rPr>
          <w:rtl/>
        </w:rPr>
        <w:t>ש“יותר</w:t>
      </w:r>
      <w:proofErr w:type="spellEnd"/>
      <w:r>
        <w:rPr>
          <w:rtl/>
        </w:rPr>
        <w:t xml:space="preserve"> משלוש שנים קודם לכן” פנה אל “רב נכבד” (הכוונה </w:t>
      </w:r>
      <w:proofErr w:type="spellStart"/>
      <w:r>
        <w:rPr>
          <w:rtl/>
        </w:rPr>
        <w:t>לר</w:t>
      </w:r>
      <w:proofErr w:type="spellEnd"/>
      <w:r>
        <w:rPr>
          <w:rtl/>
        </w:rPr>
        <w:t xml:space="preserve">׳ </w:t>
      </w:r>
      <w:proofErr w:type="spellStart"/>
      <w:r>
        <w:rPr>
          <w:rtl/>
        </w:rPr>
        <w:t>אלכסנדר־משה</w:t>
      </w:r>
      <w:proofErr w:type="spellEnd"/>
      <w:r>
        <w:rPr>
          <w:rtl/>
        </w:rPr>
        <w:t xml:space="preserve"> לפידות) “שהבטיח לו במכתב שיהיה לעזר” בהוצאת רעיון הכולל לפועל “ואף </w:t>
      </w:r>
      <w:proofErr w:type="spellStart"/>
      <w:r>
        <w:rPr>
          <w:rtl/>
        </w:rPr>
        <w:t>יטול</w:t>
      </w:r>
      <w:proofErr w:type="spellEnd"/>
      <w:r>
        <w:rPr>
          <w:rtl/>
        </w:rPr>
        <w:t xml:space="preserve"> על עצמו את נטל המפעל”.</w:t>
      </w:r>
      <w:bookmarkStart w:id="2312" w:name="fx_ref_488"/>
      <w:bookmarkStart w:id="2313" w:name="_fnr1474"/>
      <w:r>
        <w:rPr>
          <w:rStyle w:val="a5"/>
        </w:rPr>
        <w:footnoteReference w:id="1477" w:customMarkFollows="0"/>
      </w:r>
      <w:bookmarkEnd w:id="2312"/>
      <w:bookmarkEnd w:id="2313"/>
    </w:p>
    <w:p w14:paraId="6B857DAE" w14:textId="75948E92" w:rsidR="00AB3647" w:rsidRDefault="00000000" w:rsidP="007923E9">
      <w:pPr>
        <w:spacing w:after="120" w:line="276" w:lineRule="auto"/>
        <w:ind w:firstLine="283"/>
        <w:jc w:val="both"/>
      </w:pPr>
      <w:r>
        <w:rPr>
          <w:rtl/>
        </w:rPr>
        <w:t xml:space="preserve">מי שהציע </w:t>
      </w:r>
      <w:proofErr w:type="spellStart"/>
      <w:r>
        <w:rPr>
          <w:rtl/>
        </w:rPr>
        <w:t>לר</w:t>
      </w:r>
      <w:proofErr w:type="spellEnd"/>
      <w:r>
        <w:rPr>
          <w:rtl/>
        </w:rPr>
        <w:t xml:space="preserve">׳ </w:t>
      </w:r>
      <w:proofErr w:type="spellStart"/>
      <w:r>
        <w:rPr>
          <w:rtl/>
        </w:rPr>
        <w:t>אלכסנדר־משה</w:t>
      </w:r>
      <w:proofErr w:type="spellEnd"/>
      <w:r>
        <w:rPr>
          <w:rtl/>
        </w:rPr>
        <w:t xml:space="preserve"> לפידות לתרום מאמר לחוברת היה או ר׳ </w:t>
      </w:r>
      <w:proofErr w:type="spellStart"/>
      <w:r>
        <w:rPr>
          <w:rtl/>
        </w:rPr>
        <w:t>לייזר־יעקב</w:t>
      </w:r>
      <w:proofErr w:type="spellEnd"/>
      <w:r>
        <w:rPr>
          <w:rtl/>
        </w:rPr>
        <w:t xml:space="preserve">, האחראי לגיוס המימון למפעל, או ר׳ </w:t>
      </w:r>
      <w:proofErr w:type="spellStart"/>
      <w:r>
        <w:rPr>
          <w:rtl/>
        </w:rPr>
        <w:t>נתן־צבי</w:t>
      </w:r>
      <w:proofErr w:type="spellEnd"/>
      <w:r>
        <w:rPr>
          <w:rtl/>
        </w:rPr>
        <w:t xml:space="preserve"> </w:t>
      </w:r>
      <w:proofErr w:type="spellStart"/>
      <w:r>
        <w:rPr>
          <w:rtl/>
        </w:rPr>
        <w:t>פינקל</w:t>
      </w:r>
      <w:proofErr w:type="spellEnd"/>
      <w:r>
        <w:rPr>
          <w:rtl/>
        </w:rPr>
        <w:t xml:space="preserve">, המו״ל של “עץ פרי”, שגם הכיר והעריך את ר׳ </w:t>
      </w:r>
      <w:proofErr w:type="spellStart"/>
      <w:r>
        <w:rPr>
          <w:rtl/>
        </w:rPr>
        <w:t>אלכסנדר־משה</w:t>
      </w:r>
      <w:proofErr w:type="spellEnd"/>
      <w:r>
        <w:rPr>
          <w:rtl/>
        </w:rPr>
        <w:t xml:space="preserve"> (כמו ב</w:t>
      </w:r>
      <w:r>
        <w:rPr>
          <w:rtl/>
        </w:rPr>
        <w:fldChar w:fldCharType="begin" w:dirty="true"/>
      </w:r>
      <w:r>
        <w:rPr>
          <w:rtl/>
        </w:rPr>
        <w:instrText xml:space="preserve"> REF b3_excD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ד</w:t>
      </w:r>
      <w:r>
        <w:rPr>
          <w:rtl/>
        </w:rPr>
        <w:fldChar w:fldCharType="end"/>
      </w:r>
      <w:r>
        <w:rPr>
          <w:rtl/>
        </w:rPr>
        <w:t xml:space="preserve"> להלן). זאת אף שעד לפרסום החוברת כבר לא היה רב </w:t>
      </w:r>
      <w:proofErr w:type="spellStart"/>
      <w:r>
        <w:rPr>
          <w:rtl/>
        </w:rPr>
        <w:t>ראסיין</w:t>
      </w:r>
      <w:proofErr w:type="spellEnd"/>
      <w:r>
        <w:rPr>
          <w:rtl/>
        </w:rPr>
        <w:t xml:space="preserve"> מעורב בכולל.</w:t>
      </w:r>
    </w:p>
    <w:p w14:paraId="7B3373CB" w14:textId="77777777" w:rsidR="00AB3647" w:rsidRDefault="00000000" w:rsidP="007923E9">
      <w:pPr>
        <w:spacing w:after="120" w:line="276" w:lineRule="auto"/>
        <w:ind w:firstLine="283"/>
        <w:jc w:val="both"/>
      </w:pPr>
      <w:r>
        <w:rPr>
          <w:rtl/>
        </w:rPr>
        <w:t xml:space="preserve">ר׳ </w:t>
      </w:r>
      <w:proofErr w:type="spellStart"/>
      <w:r>
        <w:rPr>
          <w:rtl/>
        </w:rPr>
        <w:t>אלכסנדר־משה</w:t>
      </w:r>
      <w:proofErr w:type="spellEnd"/>
      <w:r>
        <w:rPr>
          <w:rtl/>
        </w:rPr>
        <w:t xml:space="preserve">, שנולד בשנת תקע״ט, היה גאון וצדיק. שבע שנים לפני פטירתו </w:t>
      </w:r>
      <w:proofErr w:type="spellStart"/>
      <w:r>
        <w:rPr>
          <w:rtl/>
        </w:rPr>
        <w:t>בתרס״ו</w:t>
      </w:r>
      <w:proofErr w:type="spellEnd"/>
      <w:r>
        <w:rPr>
          <w:rtl/>
        </w:rPr>
        <w:t xml:space="preserve"> כתב בעילום שם צוואה מוסרית בשם “דברי אמת”, שפורסמה לימים עם הסכמותיהם של שלושה ממינסק: ר׳ לייזר </w:t>
      </w:r>
      <w:proofErr w:type="spellStart"/>
      <w:r>
        <w:rPr>
          <w:rtl/>
        </w:rPr>
        <w:t>רבינוביץ</w:t>
      </w:r>
      <w:proofErr w:type="spellEnd"/>
      <w:r>
        <w:rPr>
          <w:rtl/>
        </w:rPr>
        <w:t xml:space="preserve">, ר׳ </w:t>
      </w:r>
      <w:proofErr w:type="spellStart"/>
      <w:r>
        <w:rPr>
          <w:rtl/>
        </w:rPr>
        <w:t>אברהם־דובער</w:t>
      </w:r>
      <w:proofErr w:type="spellEnd"/>
      <w:r>
        <w:rPr>
          <w:rtl/>
        </w:rPr>
        <w:t xml:space="preserve"> </w:t>
      </w:r>
      <w:proofErr w:type="spellStart"/>
      <w:r>
        <w:rPr>
          <w:rtl/>
        </w:rPr>
        <w:t>כהנא־שפירא</w:t>
      </w:r>
      <w:bookmarkStart w:id="2314" w:name="_fnr1475"/>
      <w:proofErr w:type="spellEnd"/>
      <w:r>
        <w:rPr>
          <w:rStyle w:val="a5"/>
        </w:rPr>
        <w:footnoteReference w:id="1478" w:customMarkFollows="0"/>
      </w:r>
      <w:bookmarkEnd w:id="2314"/>
      <w:r>
        <w:rPr>
          <w:rtl/>
        </w:rPr>
        <w:t xml:space="preserve"> ור׳ בנימין </w:t>
      </w:r>
      <w:proofErr w:type="spellStart"/>
      <w:r>
        <w:rPr>
          <w:rtl/>
        </w:rPr>
        <w:t>שוקוביצקי</w:t>
      </w:r>
      <w:proofErr w:type="spellEnd"/>
      <w:r>
        <w:rPr>
          <w:rtl/>
        </w:rPr>
        <w:t>, המגיד של העיר. היא נעשתה לספר מוסר קלאסי.</w:t>
      </w:r>
    </w:p>
    <w:p w14:paraId="7FEE2F0C" w14:textId="77777777" w:rsidR="00AB3647" w:rsidRDefault="00000000" w:rsidP="007923E9">
      <w:pPr>
        <w:spacing w:after="120" w:line="276" w:lineRule="auto"/>
        <w:ind w:firstLine="283"/>
        <w:jc w:val="both"/>
      </w:pPr>
      <w:r>
        <w:rPr>
          <w:rtl/>
        </w:rPr>
        <w:lastRenderedPageBreak/>
        <w:t xml:space="preserve">השווה גם את הסכמתו של אבי </w:t>
      </w:r>
      <w:proofErr w:type="spellStart"/>
      <w:r>
        <w:rPr>
          <w:rtl/>
        </w:rPr>
        <w:t>ל“עקבי</w:t>
      </w:r>
      <w:proofErr w:type="spellEnd"/>
      <w:r>
        <w:rPr>
          <w:rtl/>
        </w:rPr>
        <w:t xml:space="preserve"> ברכה”,</w:t>
      </w:r>
      <w:bookmarkStart w:id="2315" w:name="_fnr1476"/>
      <w:r>
        <w:rPr>
          <w:rStyle w:val="a5"/>
        </w:rPr>
        <w:footnoteReference w:id="1479" w:customMarkFollows="0"/>
      </w:r>
      <w:bookmarkEnd w:id="2315"/>
      <w:r>
        <w:rPr>
          <w:rtl/>
        </w:rPr>
        <w:t xml:space="preserve"> שבה הוא מציין שר׳ </w:t>
      </w:r>
      <w:proofErr w:type="spellStart"/>
      <w:r>
        <w:rPr>
          <w:rtl/>
        </w:rPr>
        <w:t>אלכסנדר־משה</w:t>
      </w:r>
      <w:proofErr w:type="spellEnd"/>
      <w:r>
        <w:rPr>
          <w:rtl/>
        </w:rPr>
        <w:t xml:space="preserve"> לפידות היה מנהיג תורה גדול יותר מר׳ </w:t>
      </w:r>
      <w:proofErr w:type="spellStart"/>
      <w:r>
        <w:rPr>
          <w:rtl/>
        </w:rPr>
        <w:t>איצל׳ה</w:t>
      </w:r>
      <w:proofErr w:type="spellEnd"/>
      <w:r>
        <w:rPr>
          <w:rtl/>
        </w:rPr>
        <w:t xml:space="preserve"> </w:t>
      </w:r>
      <w:proofErr w:type="spellStart"/>
      <w:r>
        <w:rPr>
          <w:rtl/>
        </w:rPr>
        <w:t>מפוניבז</w:t>
      </w:r>
      <w:proofErr w:type="spellEnd"/>
      <w:r>
        <w:rPr>
          <w:rtl/>
        </w:rPr>
        <w:t>׳.</w:t>
      </w:r>
      <w:bookmarkStart w:id="2316" w:name="_fnr1477"/>
      <w:r>
        <w:rPr>
          <w:rStyle w:val="a5"/>
        </w:rPr>
        <w:footnoteReference w:id="1480" w:customMarkFollows="0"/>
      </w:r>
      <w:bookmarkEnd w:id="2316"/>
      <w:r>
        <w:rPr>
          <w:rtl/>
        </w:rPr>
        <w:t xml:space="preserve"> ר׳ יעקב ליפשיץ, אבי המוציא לאור של “עקבי ברכה”, מסר</w:t>
      </w:r>
      <w:bookmarkStart w:id="2317" w:name="_fnr1478"/>
      <w:r>
        <w:rPr>
          <w:rStyle w:val="a5"/>
        </w:rPr>
        <w:footnoteReference w:id="1481" w:customMarkFollows="0"/>
      </w:r>
      <w:bookmarkEnd w:id="2317"/>
      <w:r>
        <w:rPr>
          <w:rtl/>
        </w:rPr>
        <w:t xml:space="preserve"> שכשראה רבנו שם את תשובותיו של ר׳ </w:t>
      </w:r>
      <w:proofErr w:type="spellStart"/>
      <w:r>
        <w:rPr>
          <w:rtl/>
        </w:rPr>
        <w:t>אלכסנדר־משה</w:t>
      </w:r>
      <w:proofErr w:type="spellEnd"/>
      <w:r>
        <w:rPr>
          <w:rtl/>
        </w:rPr>
        <w:t xml:space="preserve"> לפידות, שזה עתה יצאו מהדפוס, נישק את הדפים ואמר ועיניו דומעות: “מצוה לפרסם איזה צדיק הוא היה. אותו דור נשכח.” במכתב הסכמתו </w:t>
      </w:r>
      <w:proofErr w:type="spellStart"/>
      <w:r>
        <w:rPr>
          <w:rtl/>
        </w:rPr>
        <w:t>ל“עקבי</w:t>
      </w:r>
      <w:proofErr w:type="spellEnd"/>
      <w:r>
        <w:rPr>
          <w:rtl/>
        </w:rPr>
        <w:t xml:space="preserve"> ברכה” מזכיר ר׳ </w:t>
      </w:r>
      <w:proofErr w:type="spellStart"/>
      <w:r>
        <w:rPr>
          <w:rtl/>
        </w:rPr>
        <w:t>אלעזר־מנחם־מן</w:t>
      </w:r>
      <w:proofErr w:type="spellEnd"/>
      <w:r>
        <w:rPr>
          <w:rtl/>
        </w:rPr>
        <w:t xml:space="preserve"> שך רק את תשובותיו של ר׳ </w:t>
      </w:r>
      <w:proofErr w:type="spellStart"/>
      <w:r>
        <w:rPr>
          <w:rtl/>
        </w:rPr>
        <w:t>איצל׳ה</w:t>
      </w:r>
      <w:proofErr w:type="spellEnd"/>
      <w:r>
        <w:rPr>
          <w:rtl/>
        </w:rPr>
        <w:t xml:space="preserve"> </w:t>
      </w:r>
      <w:proofErr w:type="spellStart"/>
      <w:r>
        <w:rPr>
          <w:rtl/>
        </w:rPr>
        <w:t>מפוניבז</w:t>
      </w:r>
      <w:proofErr w:type="spellEnd"/>
      <w:r>
        <w:rPr>
          <w:rtl/>
        </w:rPr>
        <w:t xml:space="preserve">׳ שבספר, ואילו בהסכמתו של אבי נזכרות תשובות ר׳ </w:t>
      </w:r>
      <w:proofErr w:type="spellStart"/>
      <w:r>
        <w:rPr>
          <w:rtl/>
        </w:rPr>
        <w:t>איצל׳ה</w:t>
      </w:r>
      <w:proofErr w:type="spellEnd"/>
      <w:r>
        <w:rPr>
          <w:rtl/>
        </w:rPr>
        <w:t xml:space="preserve"> רק בדרך אגב.</w:t>
      </w:r>
    </w:p>
    <w:p w14:paraId="6F8FECBF" w14:textId="77777777" w:rsidR="00AB3647" w:rsidRDefault="00000000" w:rsidP="007923E9">
      <w:pPr>
        <w:spacing w:after="120" w:line="276" w:lineRule="auto"/>
        <w:ind w:firstLine="283"/>
        <w:jc w:val="both"/>
      </w:pPr>
      <w:r>
        <w:rPr>
          <w:rtl/>
        </w:rPr>
        <w:t xml:space="preserve">הסיבה לכך שר׳ </w:t>
      </w:r>
      <w:proofErr w:type="spellStart"/>
      <w:r>
        <w:rPr>
          <w:rtl/>
        </w:rPr>
        <w:t>אלעזר־מנחם־מן</w:t>
      </w:r>
      <w:proofErr w:type="spellEnd"/>
      <w:r>
        <w:rPr>
          <w:rtl/>
        </w:rPr>
        <w:t xml:space="preserve"> שך השמיט לגמרי כל התייחסות לחומר של ר׳ </w:t>
      </w:r>
      <w:proofErr w:type="spellStart"/>
      <w:r>
        <w:rPr>
          <w:rtl/>
        </w:rPr>
        <w:t>אלכסנדר־משה</w:t>
      </w:r>
      <w:proofErr w:type="spellEnd"/>
      <w:r>
        <w:rPr>
          <w:rtl/>
        </w:rPr>
        <w:t xml:space="preserve"> לפידות עשויה להיות שאת ר׳ </w:t>
      </w:r>
      <w:proofErr w:type="spellStart"/>
      <w:r>
        <w:rPr>
          <w:rtl/>
        </w:rPr>
        <w:t>איצל׳ה</w:t>
      </w:r>
      <w:proofErr w:type="spellEnd"/>
      <w:r>
        <w:rPr>
          <w:rtl/>
        </w:rPr>
        <w:t xml:space="preserve"> ראה בעיניו – כפי שהוא כותב במכתבו – ואילו את ר׳ </w:t>
      </w:r>
      <w:proofErr w:type="spellStart"/>
      <w:r>
        <w:rPr>
          <w:rtl/>
        </w:rPr>
        <w:t>אלכסנדר־משה</w:t>
      </w:r>
      <w:proofErr w:type="spellEnd"/>
      <w:r>
        <w:rPr>
          <w:rtl/>
        </w:rPr>
        <w:t xml:space="preserve"> לא ראה מעולם (ר׳ </w:t>
      </w:r>
      <w:proofErr w:type="spellStart"/>
      <w:r>
        <w:rPr>
          <w:rtl/>
        </w:rPr>
        <w:t>אלכסנדר־משה</w:t>
      </w:r>
      <w:proofErr w:type="spellEnd"/>
      <w:r>
        <w:rPr>
          <w:rtl/>
        </w:rPr>
        <w:t xml:space="preserve"> נפטר כשר׳ </w:t>
      </w:r>
      <w:proofErr w:type="spellStart"/>
      <w:r>
        <w:rPr>
          <w:rtl/>
        </w:rPr>
        <w:t>אלעזר־מנחם־מן</w:t>
      </w:r>
      <w:proofErr w:type="spellEnd"/>
      <w:r>
        <w:rPr>
          <w:rtl/>
        </w:rPr>
        <w:t xml:space="preserve"> שך היה בן שמונה בלבד). אבל ייתכן מאוד שר׳ </w:t>
      </w:r>
      <w:proofErr w:type="spellStart"/>
      <w:r>
        <w:rPr>
          <w:rtl/>
        </w:rPr>
        <w:t>אלעזר־מנחם־מן</w:t>
      </w:r>
      <w:proofErr w:type="spellEnd"/>
      <w:r>
        <w:rPr>
          <w:rtl/>
        </w:rPr>
        <w:t xml:space="preserve"> שך לא העריך את ר׳ </w:t>
      </w:r>
      <w:proofErr w:type="spellStart"/>
      <w:r>
        <w:rPr>
          <w:rtl/>
        </w:rPr>
        <w:t>אלכסנדר־משה</w:t>
      </w:r>
      <w:proofErr w:type="spellEnd"/>
      <w:r>
        <w:rPr>
          <w:rtl/>
        </w:rPr>
        <w:t xml:space="preserve"> כפי שהעריך אותו אבי – שגם הוא מעולם לא ראה את ר׳ </w:t>
      </w:r>
      <w:proofErr w:type="spellStart"/>
      <w:r>
        <w:rPr>
          <w:rtl/>
        </w:rPr>
        <w:t>אלכסנדר־משה</w:t>
      </w:r>
      <w:proofErr w:type="spellEnd"/>
      <w:r>
        <w:rPr>
          <w:rtl/>
        </w:rPr>
        <w:t>.</w:t>
      </w:r>
      <w:bookmarkStart w:id="2318" w:name="_fnr1479"/>
      <w:r>
        <w:rPr>
          <w:rStyle w:val="a5"/>
        </w:rPr>
        <w:footnoteReference w:id="1482" w:customMarkFollows="0"/>
      </w:r>
      <w:bookmarkEnd w:id="2318"/>
    </w:p>
    <w:p w14:paraId="7F7A524B" w14:textId="77777777" w:rsidR="00AB3647" w:rsidRDefault="00000000" w:rsidP="007923E9">
      <w:pPr>
        <w:spacing w:after="120" w:line="276" w:lineRule="auto"/>
        <w:ind w:firstLine="283"/>
        <w:jc w:val="both"/>
      </w:pPr>
      <w:r>
        <w:rPr>
          <w:rtl/>
        </w:rPr>
        <w:t xml:space="preserve">בהקשר זה נמסר לי מפי ר׳ </w:t>
      </w:r>
      <w:proofErr w:type="spellStart"/>
      <w:r>
        <w:rPr>
          <w:rtl/>
        </w:rPr>
        <w:t>שלמה־אהרן</w:t>
      </w:r>
      <w:proofErr w:type="spellEnd"/>
      <w:r>
        <w:rPr>
          <w:rtl/>
        </w:rPr>
        <w:t xml:space="preserve"> ויינר</w:t>
      </w:r>
      <w:bookmarkStart w:id="2319" w:name="_fnr1480"/>
      <w:r>
        <w:rPr>
          <w:rStyle w:val="a5"/>
        </w:rPr>
        <w:footnoteReference w:id="1483" w:customMarkFollows="0"/>
      </w:r>
      <w:bookmarkEnd w:id="2319"/>
      <w:r>
        <w:rPr>
          <w:rtl/>
        </w:rPr>
        <w:t xml:space="preserve"> שאבי התוודה לפניו שלהרגשתו הוא שייך לדור שקדם לדורו של ר׳ </w:t>
      </w:r>
      <w:proofErr w:type="spellStart"/>
      <w:r>
        <w:rPr>
          <w:rtl/>
        </w:rPr>
        <w:t>אלעזר־מנחם־מן</w:t>
      </w:r>
      <w:proofErr w:type="spellEnd"/>
      <w:r>
        <w:rPr>
          <w:rtl/>
        </w:rPr>
        <w:t xml:space="preserve"> שך – אף שרבנו היה מבוגר ממנו בשבע שנים בלבד. לדעת אבי, ייתכן שגם האחרון נמנה עם אלה </w:t>
      </w:r>
      <w:proofErr w:type="spellStart"/>
      <w:r>
        <w:rPr>
          <w:rtl/>
        </w:rPr>
        <w:t>ש“שכחו</w:t>
      </w:r>
      <w:proofErr w:type="spellEnd"/>
      <w:r>
        <w:rPr>
          <w:rtl/>
        </w:rPr>
        <w:t xml:space="preserve"> את הדור (של ר׳ </w:t>
      </w:r>
      <w:proofErr w:type="spellStart"/>
      <w:r>
        <w:rPr>
          <w:rtl/>
        </w:rPr>
        <w:t>אלכסנדר־משה</w:t>
      </w:r>
      <w:proofErr w:type="spellEnd"/>
      <w:r>
        <w:rPr>
          <w:rtl/>
        </w:rPr>
        <w:t xml:space="preserve"> לפידות)” – שעליו עלו דמעות בעיניו.</w:t>
      </w:r>
    </w:p>
    <w:p w14:paraId="12B411A4" w14:textId="77777777" w:rsidR="00AB3647" w:rsidRDefault="00000000" w:rsidP="007923E9">
      <w:pPr>
        <w:spacing w:after="120" w:line="276" w:lineRule="auto"/>
        <w:ind w:firstLine="283"/>
        <w:jc w:val="both"/>
      </w:pPr>
      <w:r>
        <w:rPr>
          <w:rtl/>
        </w:rPr>
        <w:t xml:space="preserve">דוגמה לגדלותו של ר׳ </w:t>
      </w:r>
      <w:proofErr w:type="spellStart"/>
      <w:r>
        <w:rPr>
          <w:rtl/>
        </w:rPr>
        <w:t>אלכסנדר־משה</w:t>
      </w:r>
      <w:proofErr w:type="spellEnd"/>
      <w:r>
        <w:rPr>
          <w:rtl/>
        </w:rPr>
        <w:t xml:space="preserve"> לפידות היא העובדה שכבר בגיל </w:t>
      </w:r>
      <w:proofErr w:type="spellStart"/>
      <w:r>
        <w:rPr>
          <w:rtl/>
        </w:rPr>
        <w:t>שבע־עשרה</w:t>
      </w:r>
      <w:proofErr w:type="spellEnd"/>
      <w:r>
        <w:rPr>
          <w:rtl/>
        </w:rPr>
        <w:t xml:space="preserve"> נתמנה </w:t>
      </w:r>
      <w:proofErr w:type="spellStart"/>
      <w:r>
        <w:rPr>
          <w:rtl/>
        </w:rPr>
        <w:t>לרבנותו</w:t>
      </w:r>
      <w:proofErr w:type="spellEnd"/>
      <w:r>
        <w:rPr>
          <w:rtl/>
        </w:rPr>
        <w:t xml:space="preserve"> הראשונה, </w:t>
      </w:r>
      <w:proofErr w:type="spellStart"/>
      <w:r>
        <w:rPr>
          <w:rtl/>
        </w:rPr>
        <w:t>ביאנובה</w:t>
      </w:r>
      <w:proofErr w:type="spellEnd"/>
      <w:r>
        <w:rPr>
          <w:rtl/>
        </w:rPr>
        <w:t xml:space="preserve">. כך לפי “לקורות עיר </w:t>
      </w:r>
      <w:proofErr w:type="spellStart"/>
      <w:r>
        <w:rPr>
          <w:rtl/>
        </w:rPr>
        <w:t>ראסיין</w:t>
      </w:r>
      <w:proofErr w:type="spellEnd"/>
      <w:r>
        <w:rPr>
          <w:rtl/>
        </w:rPr>
        <w:t xml:space="preserve"> ורבניה”,</w:t>
      </w:r>
      <w:bookmarkStart w:id="2320" w:name="_fnr1481"/>
      <w:r>
        <w:rPr>
          <w:rStyle w:val="a5"/>
        </w:rPr>
        <w:footnoteReference w:id="1484" w:customMarkFollows="0"/>
      </w:r>
      <w:bookmarkEnd w:id="2320"/>
      <w:r>
        <w:rPr>
          <w:rtl/>
        </w:rPr>
        <w:t xml:space="preserve"> מאת משה בר׳ שלמה זלמן </w:t>
      </w:r>
      <w:proofErr w:type="spellStart"/>
      <w:r>
        <w:rPr>
          <w:rtl/>
        </w:rPr>
        <w:t>מארקאוויץ</w:t>
      </w:r>
      <w:proofErr w:type="spellEnd"/>
      <w:r>
        <w:rPr>
          <w:rtl/>
        </w:rPr>
        <w:t xml:space="preserve">, </w:t>
      </w:r>
      <w:proofErr w:type="spellStart"/>
      <w:r>
        <w:rPr>
          <w:rtl/>
        </w:rPr>
        <w:t>הסנדלר־ביבליופיל</w:t>
      </w:r>
      <w:proofErr w:type="spellEnd"/>
      <w:r>
        <w:rPr>
          <w:rtl/>
        </w:rPr>
        <w:t xml:space="preserve"> </w:t>
      </w:r>
      <w:proofErr w:type="spellStart"/>
      <w:r>
        <w:rPr>
          <w:rtl/>
        </w:rPr>
        <w:t>החצי־אנאלפבית</w:t>
      </w:r>
      <w:proofErr w:type="spellEnd"/>
      <w:r>
        <w:rPr>
          <w:rtl/>
        </w:rPr>
        <w:t xml:space="preserve"> המפורסם של </w:t>
      </w:r>
      <w:proofErr w:type="spellStart"/>
      <w:r>
        <w:rPr>
          <w:rtl/>
        </w:rPr>
        <w:t>ראסיין</w:t>
      </w:r>
      <w:proofErr w:type="spellEnd"/>
      <w:r>
        <w:rPr>
          <w:rtl/>
        </w:rPr>
        <w:t>.</w:t>
      </w:r>
      <w:bookmarkStart w:id="2321" w:name="_fnr1482"/>
      <w:r>
        <w:rPr>
          <w:rStyle w:val="a5"/>
        </w:rPr>
        <w:footnoteReference w:id="1485" w:customMarkFollows="0"/>
      </w:r>
      <w:bookmarkEnd w:id="2321"/>
    </w:p>
    <w:p w14:paraId="211586F0" w14:textId="77777777" w:rsidR="00AB3647" w:rsidRDefault="00000000" w:rsidP="007923E9">
      <w:pPr>
        <w:spacing w:after="120" w:line="276" w:lineRule="auto"/>
        <w:ind w:firstLine="283"/>
        <w:jc w:val="both"/>
      </w:pPr>
      <w:proofErr w:type="spellStart"/>
      <w:r>
        <w:rPr>
          <w:rtl/>
        </w:rPr>
        <w:t>מארקאוויץ</w:t>
      </w:r>
      <w:proofErr w:type="spellEnd"/>
      <w:r>
        <w:rPr>
          <w:rtl/>
        </w:rPr>
        <w:t xml:space="preserve"> היה נוסע בעיירות ליטא עם שק לחם על כתפו, ואוסף ידיעות נדירות על ימים עברו. ר׳ ישראל </w:t>
      </w:r>
      <w:proofErr w:type="spellStart"/>
      <w:r>
        <w:rPr>
          <w:rtl/>
        </w:rPr>
        <w:t>שורין</w:t>
      </w:r>
      <w:proofErr w:type="spellEnd"/>
      <w:r>
        <w:rPr>
          <w:rtl/>
        </w:rPr>
        <w:t xml:space="preserve"> מסר</w:t>
      </w:r>
      <w:bookmarkStart w:id="2322" w:name="_fnr1483"/>
      <w:r>
        <w:rPr>
          <w:rStyle w:val="a5"/>
        </w:rPr>
        <w:footnoteReference w:id="1486" w:customMarkFollows="0"/>
      </w:r>
      <w:bookmarkEnd w:id="2322"/>
      <w:r>
        <w:rPr>
          <w:rtl/>
        </w:rPr>
        <w:t xml:space="preserve"> שאבי סיפר לו שפגש את האיש יוצא הדופן הזה כשעבר </w:t>
      </w:r>
      <w:proofErr w:type="spellStart"/>
      <w:r>
        <w:rPr>
          <w:rtl/>
        </w:rPr>
        <w:t>בציטוביאן</w:t>
      </w:r>
      <w:proofErr w:type="spellEnd"/>
      <w:r>
        <w:rPr>
          <w:rtl/>
        </w:rPr>
        <w:t xml:space="preserve">, שבה כיהן רבנו כרב. ר׳ עזריאל קרמר, תושב העיירה </w:t>
      </w:r>
      <w:proofErr w:type="spellStart"/>
      <w:r>
        <w:rPr>
          <w:rtl/>
        </w:rPr>
        <w:t>גירטגולה</w:t>
      </w:r>
      <w:proofErr w:type="spellEnd"/>
      <w:r>
        <w:rPr>
          <w:rtl/>
        </w:rPr>
        <w:t xml:space="preserve">, הרחוקה רק 8 קילומטרים </w:t>
      </w:r>
      <w:proofErr w:type="spellStart"/>
      <w:r>
        <w:rPr>
          <w:rtl/>
        </w:rPr>
        <w:t>מראסיין</w:t>
      </w:r>
      <w:proofErr w:type="spellEnd"/>
      <w:r>
        <w:rPr>
          <w:rtl/>
        </w:rPr>
        <w:t>, סיפר</w:t>
      </w:r>
      <w:bookmarkStart w:id="2323" w:name="_fnr1484"/>
      <w:r>
        <w:rPr>
          <w:rStyle w:val="a5"/>
        </w:rPr>
        <w:footnoteReference w:id="1487" w:customMarkFollows="0"/>
      </w:r>
      <w:bookmarkEnd w:id="2323"/>
      <w:r>
        <w:rPr>
          <w:rtl/>
        </w:rPr>
        <w:t xml:space="preserve"> שר׳ משה </w:t>
      </w:r>
      <w:proofErr w:type="spellStart"/>
      <w:r>
        <w:rPr>
          <w:rtl/>
        </w:rPr>
        <w:t>מארקאוויץ</w:t>
      </w:r>
      <w:proofErr w:type="spellEnd"/>
      <w:r>
        <w:rPr>
          <w:rtl/>
        </w:rPr>
        <w:t xml:space="preserve">, שנולד </w:t>
      </w:r>
      <w:proofErr w:type="spellStart"/>
      <w:r>
        <w:rPr>
          <w:rtl/>
        </w:rPr>
        <w:t>בתרט״ו</w:t>
      </w:r>
      <w:proofErr w:type="spellEnd"/>
      <w:r>
        <w:rPr>
          <w:rtl/>
        </w:rPr>
        <w:t>, היה “הפשוט שבפשוטים, אפילו לא סנדלר הגון אלא ‘</w:t>
      </w:r>
      <w:proofErr w:type="spellStart"/>
      <w:r>
        <w:rPr>
          <w:rtl/>
        </w:rPr>
        <w:t>לאַטעניק</w:t>
      </w:r>
      <w:proofErr w:type="spellEnd"/>
      <w:r>
        <w:rPr>
          <w:rtl/>
        </w:rPr>
        <w:t xml:space="preserve">’ [מטליא]. בעיירות שסביב </w:t>
      </w:r>
      <w:proofErr w:type="spellStart"/>
      <w:r>
        <w:rPr>
          <w:rtl/>
        </w:rPr>
        <w:t>ראסיין</w:t>
      </w:r>
      <w:proofErr w:type="spellEnd"/>
      <w:r>
        <w:rPr>
          <w:rtl/>
        </w:rPr>
        <w:t xml:space="preserve"> היה ידוע בשם ‘</w:t>
      </w:r>
      <w:proofErr w:type="spellStart"/>
      <w:r>
        <w:rPr>
          <w:rtl/>
        </w:rPr>
        <w:t>מיישל׳ה</w:t>
      </w:r>
      <w:proofErr w:type="spellEnd"/>
      <w:r>
        <w:rPr>
          <w:rtl/>
        </w:rPr>
        <w:t xml:space="preserve"> המחבר לכאורה’ [</w:t>
      </w:r>
      <w:proofErr w:type="spellStart"/>
      <w:r>
        <w:rPr>
          <w:rtl/>
        </w:rPr>
        <w:t>דער</w:t>
      </w:r>
      <w:proofErr w:type="spellEnd"/>
      <w:r>
        <w:rPr>
          <w:rtl/>
        </w:rPr>
        <w:t xml:space="preserve"> </w:t>
      </w:r>
      <w:proofErr w:type="spellStart"/>
      <w:r>
        <w:rPr>
          <w:rtl/>
        </w:rPr>
        <w:t>חִיבּוּרניק</w:t>
      </w:r>
      <w:proofErr w:type="spellEnd"/>
      <w:r>
        <w:rPr>
          <w:rtl/>
        </w:rPr>
        <w:t xml:space="preserve">] – בלעג לשאיפותיו. הוא היה מכתיב לתלמידי ישיבה מבוגרים מה לכתוב על פיסות נייר, ומעסיק ילדי ישיבה קטנה בעלי כתב יד </w:t>
      </w:r>
      <w:r>
        <w:rPr>
          <w:rtl/>
        </w:rPr>
        <w:lastRenderedPageBreak/>
        <w:t xml:space="preserve">יפה להעתיק את מה שכתבו הבחורים המבוגרים. אחר כך היה </w:t>
      </w:r>
      <w:proofErr w:type="spellStart"/>
      <w:r>
        <w:rPr>
          <w:rtl/>
        </w:rPr>
        <w:t>מיישל׳ה</w:t>
      </w:r>
      <w:proofErr w:type="spellEnd"/>
      <w:r>
        <w:rPr>
          <w:rtl/>
        </w:rPr>
        <w:t xml:space="preserve"> טובל מסמר מתכת בדיו ורושם הערות בלתי קריאות בשולי הפיסות.”</w:t>
      </w:r>
    </w:p>
    <w:p w14:paraId="51E66E2B" w14:textId="77777777" w:rsidR="00AB3647" w:rsidRDefault="00000000" w:rsidP="007923E9">
      <w:pPr>
        <w:spacing w:after="120" w:line="276" w:lineRule="auto"/>
        <w:ind w:firstLine="283"/>
        <w:jc w:val="both"/>
      </w:pPr>
      <w:r>
        <w:rPr>
          <w:rtl/>
        </w:rPr>
        <w:t xml:space="preserve">מפיסות אלה חיבר ר׳ משה לקסיקון של רבנים בכל העולם במאתיים השנים האחרונות. הוא התעורר לכתוב ספר מסוג זה לאחר שנתקל בספר המקורי “שם הגדולים”, מאת ר׳ </w:t>
      </w:r>
      <w:proofErr w:type="spellStart"/>
      <w:r>
        <w:rPr>
          <w:rtl/>
        </w:rPr>
        <w:t>חיים־יוסף־דוד</w:t>
      </w:r>
      <w:proofErr w:type="spellEnd"/>
      <w:r>
        <w:rPr>
          <w:rtl/>
        </w:rPr>
        <w:t xml:space="preserve"> אזולאי [תפ״ד–תקס״ו],</w:t>
      </w:r>
      <w:bookmarkStart w:id="2324" w:name="_fnr1485"/>
      <w:bookmarkStart w:id="2325" w:name="pr_f_1398"/>
      <w:r>
        <w:rPr>
          <w:rStyle w:val="a5"/>
        </w:rPr>
        <w:footnoteReference w:id="1488" w:customMarkFollows="0"/>
      </w:r>
      <w:bookmarkEnd w:id="2324"/>
      <w:bookmarkEnd w:id="2325"/>
      <w:r>
        <w:rPr>
          <w:rtl/>
        </w:rPr>
        <w:t xml:space="preserve"> והחליט שהוא יכול לעשות כמותו. אחרי שעמל בו 38 שנה פרסם את “שם הגדולים השלישי”. אין פלא שר׳ משה </w:t>
      </w:r>
      <w:proofErr w:type="spellStart"/>
      <w:r>
        <w:rPr>
          <w:rtl/>
        </w:rPr>
        <w:t>מארקאוויץ</w:t>
      </w:r>
      <w:proofErr w:type="spellEnd"/>
      <w:r>
        <w:rPr>
          <w:rtl/>
        </w:rPr>
        <w:t xml:space="preserve"> כונה “הפלא השמיני של העולם”.</w:t>
      </w:r>
      <w:bookmarkStart w:id="2326" w:name="_fnr1486"/>
      <w:r>
        <w:rPr>
          <w:rStyle w:val="a5"/>
        </w:rPr>
        <w:footnoteReference w:id="1489" w:customMarkFollows="0"/>
      </w:r>
      <w:bookmarkEnd w:id="2326"/>
    </w:p>
    <w:p w14:paraId="101D3E51" w14:textId="77777777" w:rsidR="00AB3647" w:rsidRDefault="00000000" w:rsidP="007923E9">
      <w:pPr>
        <w:spacing w:after="120" w:line="276" w:lineRule="auto"/>
        <w:ind w:firstLine="283"/>
        <w:jc w:val="both"/>
      </w:pPr>
      <w:r>
        <w:rPr>
          <w:rtl/>
        </w:rPr>
        <w:t xml:space="preserve">והשווה גם </w:t>
      </w:r>
      <w:proofErr w:type="spellStart"/>
      <w:r>
        <w:rPr>
          <w:rtl/>
        </w:rPr>
        <w:t>אטקס</w:t>
      </w:r>
      <w:proofErr w:type="spellEnd"/>
      <w:r>
        <w:rPr>
          <w:rtl/>
        </w:rPr>
        <w:t xml:space="preserve">, “ר׳ ישראל </w:t>
      </w:r>
      <w:proofErr w:type="spellStart"/>
      <w:r>
        <w:rPr>
          <w:rtl/>
        </w:rPr>
        <w:t>סלנטר</w:t>
      </w:r>
      <w:proofErr w:type="spellEnd"/>
      <w:r>
        <w:rPr>
          <w:rtl/>
        </w:rPr>
        <w:t xml:space="preserve"> וראשיתה של תנועת המוסר”</w:t>
      </w:r>
      <w:bookmarkStart w:id="2327" w:name="_fnr1487"/>
      <w:r>
        <w:rPr>
          <w:rStyle w:val="a5"/>
        </w:rPr>
        <w:footnoteReference w:id="1490" w:customMarkFollows="0"/>
      </w:r>
      <w:bookmarkEnd w:id="2327"/>
      <w:r>
        <w:rPr>
          <w:rtl/>
        </w:rPr>
        <w:t xml:space="preserve">, שלפיו רצה ר׳ </w:t>
      </w:r>
      <w:proofErr w:type="spellStart"/>
      <w:r>
        <w:rPr>
          <w:rtl/>
        </w:rPr>
        <w:t>אלכסנדר־משה</w:t>
      </w:r>
      <w:proofErr w:type="spellEnd"/>
      <w:r>
        <w:rPr>
          <w:rtl/>
        </w:rPr>
        <w:t xml:space="preserve"> לפידות תחילה להקים את הכולל בעיירה </w:t>
      </w:r>
      <w:proofErr w:type="spellStart"/>
      <w:r>
        <w:rPr>
          <w:rtl/>
        </w:rPr>
        <w:t>וולוז׳ין</w:t>
      </w:r>
      <w:proofErr w:type="spellEnd"/>
      <w:r>
        <w:rPr>
          <w:rtl/>
        </w:rPr>
        <w:t xml:space="preserve">, ולייעד את משרת הניהול </w:t>
      </w:r>
      <w:proofErr w:type="spellStart"/>
      <w:r>
        <w:rPr>
          <w:rtl/>
        </w:rPr>
        <w:t>לר</w:t>
      </w:r>
      <w:proofErr w:type="spellEnd"/>
      <w:r>
        <w:rPr>
          <w:rtl/>
        </w:rPr>
        <w:t xml:space="preserve">׳ </w:t>
      </w:r>
      <w:proofErr w:type="spellStart"/>
      <w:r>
        <w:rPr>
          <w:rtl/>
        </w:rPr>
        <w:t>חיים־הלל</w:t>
      </w:r>
      <w:proofErr w:type="spellEnd"/>
      <w:r>
        <w:rPr>
          <w:rtl/>
        </w:rPr>
        <w:t xml:space="preserve"> פריד, אחיינו של ראש ישיבת </w:t>
      </w:r>
      <w:proofErr w:type="spellStart"/>
      <w:r>
        <w:rPr>
          <w:rtl/>
        </w:rPr>
        <w:t>וולוז׳ין</w:t>
      </w:r>
      <w:proofErr w:type="spellEnd"/>
      <w:r>
        <w:rPr>
          <w:rtl/>
        </w:rPr>
        <w:t xml:space="preserve">, </w:t>
      </w:r>
      <w:proofErr w:type="spellStart"/>
      <w:r>
        <w:rPr>
          <w:rtl/>
        </w:rPr>
        <w:t>הנצי״ב</w:t>
      </w:r>
      <w:proofErr w:type="spellEnd"/>
      <w:r>
        <w:rPr>
          <w:rtl/>
        </w:rPr>
        <w:t>.</w:t>
      </w:r>
      <w:bookmarkStart w:id="2328" w:name="_fnr1488"/>
      <w:r>
        <w:rPr>
          <w:rStyle w:val="a5"/>
        </w:rPr>
        <w:footnoteReference w:id="1491" w:customMarkFollows="0"/>
      </w:r>
      <w:bookmarkEnd w:id="2328"/>
      <w:r>
        <w:rPr>
          <w:rtl/>
        </w:rPr>
        <w:t xml:space="preserve"> אבל </w:t>
      </w:r>
      <w:proofErr w:type="spellStart"/>
      <w:r>
        <w:rPr>
          <w:rtl/>
        </w:rPr>
        <w:t>הנצי״ב</w:t>
      </w:r>
      <w:proofErr w:type="spellEnd"/>
      <w:r>
        <w:rPr>
          <w:rtl/>
        </w:rPr>
        <w:t xml:space="preserve"> התנגד </w:t>
      </w:r>
      <w:proofErr w:type="spellStart"/>
      <w:r>
        <w:rPr>
          <w:rtl/>
        </w:rPr>
        <w:t>לוולוז׳ין</w:t>
      </w:r>
      <w:proofErr w:type="spellEnd"/>
      <w:r>
        <w:rPr>
          <w:rtl/>
        </w:rPr>
        <w:t xml:space="preserve"> כמקום לכולל, אלא אם כן יהיה שותף לפחות לסמכות הניהול שלו. יש המשערים שר׳ ישראל </w:t>
      </w:r>
      <w:proofErr w:type="spellStart"/>
      <w:r>
        <w:rPr>
          <w:rtl/>
        </w:rPr>
        <w:t>סלנטר</w:t>
      </w:r>
      <w:proofErr w:type="spellEnd"/>
      <w:r>
        <w:rPr>
          <w:rtl/>
        </w:rPr>
        <w:t xml:space="preserve">, המניע הרוחני של מפעל הכולל, עמד מאחורי הרעיון להקימו </w:t>
      </w:r>
      <w:proofErr w:type="spellStart"/>
      <w:r>
        <w:rPr>
          <w:rtl/>
        </w:rPr>
        <w:t>בוולוז׳ין</w:t>
      </w:r>
      <w:proofErr w:type="spellEnd"/>
      <w:r>
        <w:rPr>
          <w:rtl/>
        </w:rPr>
        <w:t xml:space="preserve"> כאמצעי להכנסת המוסר לאותה ישיבה.</w:t>
      </w:r>
      <w:bookmarkStart w:id="2329" w:name="_fnr1489"/>
      <w:r>
        <w:rPr>
          <w:rStyle w:val="a5"/>
        </w:rPr>
        <w:footnoteReference w:id="1492" w:customMarkFollows="0"/>
      </w:r>
      <w:bookmarkEnd w:id="2329"/>
    </w:p>
    <w:p w14:paraId="4CEC62F8" w14:textId="77777777" w:rsidR="00AB3647" w:rsidRDefault="00000000" w:rsidP="007923E9">
      <w:pPr>
        <w:spacing w:after="120" w:line="276" w:lineRule="auto"/>
        <w:ind w:firstLine="283"/>
        <w:jc w:val="both"/>
      </w:pPr>
      <w:r>
        <w:rPr>
          <w:rtl/>
        </w:rPr>
        <w:t xml:space="preserve">נכד ונושא שמו של ר׳ יעקב הלוי ליפשיץ, מזכירו של ר׳ </w:t>
      </w:r>
      <w:proofErr w:type="spellStart"/>
      <w:r>
        <w:rPr>
          <w:rtl/>
        </w:rPr>
        <w:t>יצחק־אלחנן</w:t>
      </w:r>
      <w:proofErr w:type="spellEnd"/>
      <w:r>
        <w:rPr>
          <w:rtl/>
        </w:rPr>
        <w:t>,</w:t>
      </w:r>
      <w:bookmarkStart w:id="2330" w:name="_fnr1490"/>
      <w:r>
        <w:rPr>
          <w:rStyle w:val="a5"/>
        </w:rPr>
        <w:footnoteReference w:id="1493" w:customMarkFollows="0"/>
      </w:r>
      <w:bookmarkEnd w:id="2330"/>
      <w:r>
        <w:rPr>
          <w:rtl/>
        </w:rPr>
        <w:t xml:space="preserve"> כתב לי</w:t>
      </w:r>
      <w:bookmarkStart w:id="2331" w:name="_fnr1491"/>
      <w:r>
        <w:rPr>
          <w:rStyle w:val="a5"/>
        </w:rPr>
        <w:footnoteReference w:id="1494" w:customMarkFollows="0"/>
      </w:r>
      <w:bookmarkEnd w:id="2331"/>
      <w:r>
        <w:rPr>
          <w:rtl/>
        </w:rPr>
        <w:t xml:space="preserve"> שאבי אמר לו פעמים רבות שהוא אסיר תודה </w:t>
      </w:r>
      <w:proofErr w:type="spellStart"/>
      <w:r>
        <w:rPr>
          <w:rtl/>
        </w:rPr>
        <w:t>לר</w:t>
      </w:r>
      <w:proofErr w:type="spellEnd"/>
      <w:r>
        <w:rPr>
          <w:rtl/>
        </w:rPr>
        <w:t xml:space="preserve">׳ יעקב הלוי משום </w:t>
      </w:r>
      <w:proofErr w:type="spellStart"/>
      <w:r>
        <w:rPr>
          <w:rtl/>
        </w:rPr>
        <w:t>ש“הוא</w:t>
      </w:r>
      <w:proofErr w:type="spellEnd"/>
      <w:r>
        <w:rPr>
          <w:rtl/>
        </w:rPr>
        <w:t xml:space="preserve"> היה הכוח המניע במימון ובהחזקת הכולל;</w:t>
      </w:r>
      <w:bookmarkStart w:id="2332" w:name="_fnr1492"/>
      <w:r>
        <w:rPr>
          <w:rStyle w:val="a5"/>
        </w:rPr>
        <w:footnoteReference w:id="1495" w:customMarkFollows="0"/>
      </w:r>
      <w:bookmarkEnd w:id="2332"/>
      <w:r>
        <w:rPr>
          <w:rtl/>
        </w:rPr>
        <w:t xml:space="preserve"> הוא גם מי שהיה עורך את המיון הראשוני של המועמדים לכולל.” ר׳ יעקב כתב עוד: “סבי לא התיר </w:t>
      </w:r>
      <w:proofErr w:type="spellStart"/>
      <w:r>
        <w:rPr>
          <w:rtl/>
        </w:rPr>
        <w:t>לר</w:t>
      </w:r>
      <w:proofErr w:type="spellEnd"/>
      <w:r>
        <w:rPr>
          <w:rtl/>
        </w:rPr>
        <w:t xml:space="preserve">׳ </w:t>
      </w:r>
      <w:proofErr w:type="spellStart"/>
      <w:r>
        <w:rPr>
          <w:rtl/>
        </w:rPr>
        <w:t>יצחק־אלחנן</w:t>
      </w:r>
      <w:proofErr w:type="spellEnd"/>
      <w:r>
        <w:rPr>
          <w:rtl/>
        </w:rPr>
        <w:t xml:space="preserve"> להיות מעורב בהקמת כולל קובנה עד שהובטח מקור המימון.” המתכתב עמי טען קודם לכן</w:t>
      </w:r>
      <w:bookmarkStart w:id="2333" w:name="_fnr1493"/>
      <w:r>
        <w:rPr>
          <w:rStyle w:val="a5"/>
        </w:rPr>
        <w:footnoteReference w:id="1496" w:customMarkFollows="0"/>
      </w:r>
      <w:bookmarkEnd w:id="2333"/>
      <w:r>
        <w:rPr>
          <w:rtl/>
        </w:rPr>
        <w:t xml:space="preserve"> שסבו</w:t>
      </w:r>
      <w:r>
        <w:t xml:space="preserve"> </w:t>
      </w:r>
      <w:r>
        <w:rPr>
          <w:rtl/>
        </w:rPr>
        <w:t xml:space="preserve">“שכנע את ר׳ ישראל </w:t>
      </w:r>
      <w:proofErr w:type="spellStart"/>
      <w:r>
        <w:rPr>
          <w:rtl/>
        </w:rPr>
        <w:t>סלנטר</w:t>
      </w:r>
      <w:proofErr w:type="spellEnd"/>
      <w:r>
        <w:rPr>
          <w:rtl/>
        </w:rPr>
        <w:t xml:space="preserve"> ברעיון הכולל”. אבל נראה שטענה זו חסרת יסוד, שכן נקודה זו אינה נזכרת באף אחד מן המקורות (כולל ספרו ההיסטורי של ר׳ יעקב הלוי ליפשיץ עצמו, “</w:t>
      </w:r>
      <w:proofErr w:type="spellStart"/>
      <w:r>
        <w:rPr>
          <w:rtl/>
        </w:rPr>
        <w:t>זכרון</w:t>
      </w:r>
      <w:proofErr w:type="spellEnd"/>
      <w:r>
        <w:rPr>
          <w:rtl/>
        </w:rPr>
        <w:t xml:space="preserve"> יעקב”).</w:t>
      </w:r>
    </w:p>
    <w:p w14:paraId="239DB11E" w14:textId="77777777" w:rsidR="00AB3647" w:rsidRDefault="00000000" w:rsidP="007923E9">
      <w:pPr>
        <w:spacing w:after="120" w:line="276" w:lineRule="auto"/>
        <w:ind w:firstLine="283"/>
        <w:jc w:val="both"/>
      </w:pPr>
      <w:r>
        <w:rPr>
          <w:rtl/>
        </w:rPr>
        <w:t xml:space="preserve">גם הדרך העקיפה שבה עלה לבסוף ר׳ </w:t>
      </w:r>
      <w:proofErr w:type="spellStart"/>
      <w:r>
        <w:rPr>
          <w:rtl/>
        </w:rPr>
        <w:t>יצחק־אלחנן</w:t>
      </w:r>
      <w:proofErr w:type="spellEnd"/>
      <w:r>
        <w:rPr>
          <w:rtl/>
        </w:rPr>
        <w:t xml:space="preserve"> לעמוד בראש הכולל מלמדת שאין זה סביר שר׳ יעקב הלוי ליפשיץ עמד מאחורי הקמתו: ר׳ </w:t>
      </w:r>
      <w:proofErr w:type="spellStart"/>
      <w:r>
        <w:rPr>
          <w:rtl/>
        </w:rPr>
        <w:t>יצחק־אלחנן</w:t>
      </w:r>
      <w:proofErr w:type="spellEnd"/>
      <w:r>
        <w:rPr>
          <w:rtl/>
        </w:rPr>
        <w:t xml:space="preserve"> נתמנה רק אחרי שר׳ </w:t>
      </w:r>
      <w:proofErr w:type="spellStart"/>
      <w:r>
        <w:rPr>
          <w:rtl/>
        </w:rPr>
        <w:t>אלכסנדר־משה</w:t>
      </w:r>
      <w:proofErr w:type="spellEnd"/>
      <w:r>
        <w:rPr>
          <w:rtl/>
        </w:rPr>
        <w:t xml:space="preserve"> סירב לקבל את המינוי (והציע אותו </w:t>
      </w:r>
      <w:proofErr w:type="spellStart"/>
      <w:r>
        <w:rPr>
          <w:rtl/>
        </w:rPr>
        <w:t>לר</w:t>
      </w:r>
      <w:proofErr w:type="spellEnd"/>
      <w:r>
        <w:rPr>
          <w:rtl/>
        </w:rPr>
        <w:t xml:space="preserve">׳ </w:t>
      </w:r>
      <w:proofErr w:type="spellStart"/>
      <w:r>
        <w:rPr>
          <w:rtl/>
        </w:rPr>
        <w:t>חיים־הלל</w:t>
      </w:r>
      <w:proofErr w:type="spellEnd"/>
      <w:r>
        <w:rPr>
          <w:rtl/>
        </w:rPr>
        <w:t xml:space="preserve"> פריד).</w:t>
      </w:r>
      <w:bookmarkStart w:id="2334" w:name="_fnr1494"/>
      <w:r>
        <w:rPr>
          <w:rStyle w:val="a5"/>
        </w:rPr>
        <w:footnoteReference w:id="1497" w:customMarkFollows="0"/>
      </w:r>
      <w:bookmarkEnd w:id="2334"/>
      <w:r>
        <w:rPr>
          <w:rtl/>
        </w:rPr>
        <w:t xml:space="preserve"> אילו היה ר׳ יעקב </w:t>
      </w:r>
      <w:r>
        <w:rPr>
          <w:rtl/>
        </w:rPr>
        <w:lastRenderedPageBreak/>
        <w:t xml:space="preserve">הלוי יוזם המפעל, היה ממנה את רבו לעמוד בראשו מלכתחילה. לעומת זאת, טענת המתכתב שסבו מנע את מעורבותו של ר׳ </w:t>
      </w:r>
      <w:proofErr w:type="spellStart"/>
      <w:r>
        <w:rPr>
          <w:rtl/>
        </w:rPr>
        <w:t>יצחק־אלחנן</w:t>
      </w:r>
      <w:proofErr w:type="spellEnd"/>
      <w:r>
        <w:rPr>
          <w:rtl/>
        </w:rPr>
        <w:t xml:space="preserve"> </w:t>
      </w:r>
      <w:proofErr w:type="spellStart"/>
      <w:r>
        <w:rPr>
          <w:rtl/>
        </w:rPr>
        <w:t>ספקטור</w:t>
      </w:r>
      <w:proofErr w:type="spellEnd"/>
      <w:r>
        <w:rPr>
          <w:rtl/>
        </w:rPr>
        <w:t xml:space="preserve"> עד שהובטחו מקורות המימון לכולל מאושרת </w:t>
      </w:r>
      <w:proofErr w:type="spellStart"/>
      <w:r>
        <w:rPr>
          <w:rtl/>
        </w:rPr>
        <w:t>ב“זכרון</w:t>
      </w:r>
      <w:proofErr w:type="spellEnd"/>
      <w:r>
        <w:rPr>
          <w:rtl/>
        </w:rPr>
        <w:t xml:space="preserve"> יעקב”. שם מסופר</w:t>
      </w:r>
      <w:bookmarkStart w:id="2335" w:name="_fnr1495"/>
      <w:r>
        <w:rPr>
          <w:rStyle w:val="a5"/>
        </w:rPr>
        <w:footnoteReference w:id="1498" w:customMarkFollows="0"/>
      </w:r>
      <w:bookmarkEnd w:id="2335"/>
      <w:r>
        <w:rPr>
          <w:rtl/>
        </w:rPr>
        <w:t xml:space="preserve"> כיצד בא ר׳ </w:t>
      </w:r>
      <w:proofErr w:type="spellStart"/>
      <w:r>
        <w:rPr>
          <w:rtl/>
        </w:rPr>
        <w:t>לייזר־יעקב</w:t>
      </w:r>
      <w:proofErr w:type="spellEnd"/>
      <w:r>
        <w:rPr>
          <w:rtl/>
        </w:rPr>
        <w:t xml:space="preserve"> </w:t>
      </w:r>
      <w:proofErr w:type="spellStart"/>
      <w:r>
        <w:rPr>
          <w:rtl/>
        </w:rPr>
        <w:t xml:space="preserve">חווס</w:t>
      </w:r>
      <w:proofErr w:type="spellEnd"/>
      <w:r>
        <w:rPr>
          <w:rtl/>
        </w:rPr>
        <w:t xml:space="preserve"> אל ר׳ יעקב הלוי ליפשיץ בשנת מסעו לברלין, אבל </w:t>
      </w:r>
      <w:r>
        <w:rPr>
          <w:b/>
          <w:bCs/>
          <w:rtl/>
        </w:rPr>
        <w:t>לפני</w:t>
      </w:r>
      <w:r>
        <w:rPr>
          <w:rtl/>
        </w:rPr>
        <w:t xml:space="preserve"> המסע, והביא מכתב מר׳ </w:t>
      </w:r>
      <w:proofErr w:type="spellStart"/>
      <w:r>
        <w:rPr>
          <w:rtl/>
        </w:rPr>
        <w:t>אלכסנדר־משה</w:t>
      </w:r>
      <w:proofErr w:type="spellEnd"/>
      <w:r>
        <w:rPr>
          <w:rtl/>
        </w:rPr>
        <w:t xml:space="preserve"> לפידות</w:t>
      </w:r>
      <w:bookmarkStart w:id="2336" w:name="_fnr1496"/>
      <w:r>
        <w:rPr>
          <w:rStyle w:val="a5"/>
        </w:rPr>
        <w:footnoteReference w:id="1499" w:customMarkFollows="0"/>
      </w:r>
      <w:bookmarkEnd w:id="2336"/>
      <w:r>
        <w:rPr>
          <w:rtl/>
        </w:rPr>
        <w:t xml:space="preserve"> ובו בקשה שיציע </w:t>
      </w:r>
      <w:proofErr w:type="spellStart"/>
      <w:r>
        <w:rPr>
          <w:rtl/>
        </w:rPr>
        <w:t>לר</w:t>
      </w:r>
      <w:proofErr w:type="spellEnd"/>
      <w:r>
        <w:rPr>
          <w:rtl/>
        </w:rPr>
        <w:t xml:space="preserve">׳ </w:t>
      </w:r>
      <w:proofErr w:type="spellStart"/>
      <w:r>
        <w:rPr>
          <w:rtl/>
        </w:rPr>
        <w:t>יצחק־אלחנן</w:t>
      </w:r>
      <w:proofErr w:type="spellEnd"/>
      <w:r>
        <w:rPr>
          <w:rtl/>
        </w:rPr>
        <w:t xml:space="preserve"> </w:t>
      </w:r>
      <w:proofErr w:type="spellStart"/>
      <w:r>
        <w:rPr>
          <w:rtl/>
        </w:rPr>
        <w:t>ספקטור</w:t>
      </w:r>
      <w:proofErr w:type="spellEnd"/>
      <w:r>
        <w:rPr>
          <w:rtl/>
        </w:rPr>
        <w:t xml:space="preserve"> להקים מפעל שטיבו לא נחשף, ושיהיה צורך לגייס עבורו כספים.</w:t>
      </w:r>
    </w:p>
    <w:p w14:paraId="73A08A63" w14:textId="77777777" w:rsidR="00AB3647" w:rsidRDefault="00000000" w:rsidP="007923E9">
      <w:pPr>
        <w:spacing w:after="120" w:line="276" w:lineRule="auto"/>
        <w:ind w:firstLine="283"/>
        <w:jc w:val="both"/>
      </w:pPr>
      <w:r>
        <w:rPr>
          <w:rtl/>
        </w:rPr>
        <w:t xml:space="preserve">ר׳ יעקב הלוי ליפשיץ דחה אותו מאותו טעם שמסר המתכתב, וגם משום שהמכתב הציע שר׳ </w:t>
      </w:r>
      <w:proofErr w:type="spellStart"/>
      <w:r>
        <w:rPr>
          <w:rtl/>
        </w:rPr>
        <w:t>לייזר־יעקב</w:t>
      </w:r>
      <w:proofErr w:type="spellEnd"/>
      <w:r>
        <w:rPr>
          <w:rtl/>
        </w:rPr>
        <w:t xml:space="preserve"> יהיה אחראי להתרמה, משימה שלדעת ר׳ יעקב הלוי חרגה מיכולותיו של </w:t>
      </w:r>
      <w:proofErr w:type="spellStart"/>
      <w:r>
        <w:rPr>
          <w:rtl/>
        </w:rPr>
        <w:t xml:space="preserve">חווס</w:t>
      </w:r>
      <w:proofErr w:type="spellEnd"/>
      <w:r>
        <w:rPr>
          <w:rtl/>
        </w:rPr>
        <w:t>.</w:t>
      </w:r>
      <w:bookmarkStart w:id="2337" w:name="_fnr1497"/>
      <w:r>
        <w:rPr>
          <w:rStyle w:val="a5"/>
        </w:rPr>
        <w:footnoteReference w:id="1500" w:customMarkFollows="0"/>
      </w:r>
      <w:bookmarkEnd w:id="2337"/>
      <w:r>
        <w:rPr>
          <w:rtl/>
        </w:rPr>
        <w:t xml:space="preserve"> אף שר׳ יעקב הלוי ליפשיץ לא היה מעורב ב</w:t>
      </w:r>
      <w:r>
        <w:rPr>
          <w:b/>
          <w:bCs/>
          <w:rtl/>
        </w:rPr>
        <w:t>הקמת</w:t>
      </w:r>
      <w:r>
        <w:rPr>
          <w:rtl/>
        </w:rPr>
        <w:t xml:space="preserve"> הכולל, העסקתו </w:t>
      </w:r>
      <w:r>
        <w:rPr>
          <w:b/>
          <w:bCs/>
          <w:rtl/>
        </w:rPr>
        <w:t>שלוש שנים אחר כך</w:t>
      </w:r>
      <w:r>
        <w:rPr>
          <w:rtl/>
        </w:rPr>
        <w:t xml:space="preserve"> כמזכירו הראשי</w:t>
      </w:r>
      <w:bookmarkStart w:id="2338" w:name="_fnr1498"/>
      <w:r>
        <w:rPr>
          <w:rStyle w:val="a5"/>
        </w:rPr>
        <w:footnoteReference w:id="1501" w:customMarkFollows="0"/>
      </w:r>
      <w:bookmarkEnd w:id="2338"/>
      <w:r>
        <w:rPr>
          <w:rtl/>
        </w:rPr>
        <w:t xml:space="preserve"> – ובכך נעשה </w:t>
      </w:r>
      <w:proofErr w:type="spellStart"/>
      <w:r>
        <w:rPr>
          <w:rtl/>
        </w:rPr>
        <w:t>ל“כוח</w:t>
      </w:r>
      <w:proofErr w:type="spellEnd"/>
      <w:r>
        <w:rPr>
          <w:rtl/>
        </w:rPr>
        <w:t xml:space="preserve"> המניע במימון ובהחזקת הכולל” שאליו התייחס אבי – די בה כדי להצדיק את הכרת התודה של רבנו לנכדיו של מי שהיטיב עמו.</w:t>
      </w:r>
      <w:bookmarkStart w:id="2339" w:name="_fnr1499"/>
      <w:r>
        <w:rPr>
          <w:rStyle w:val="a5"/>
        </w:rPr>
        <w:footnoteReference w:id="1502" w:customMarkFollows="0"/>
      </w:r>
      <w:bookmarkEnd w:id="2339"/>
    </w:p>
    <w:p w14:paraId="70E9E489" w14:textId="77777777" w:rsidR="00AB3647" w:rsidRDefault="00000000" w:rsidP="007923E9">
      <w:pPr>
        <w:pStyle w:val="4"/>
        <w:spacing w:line="276" w:lineRule="auto"/>
      </w:pPr>
      <w:r>
        <w:t>· הפסקה השנייה ·</w:t>
      </w:r>
    </w:p>
    <w:p w14:paraId="57F13D40" w14:textId="77777777" w:rsidR="00AB3647" w:rsidRDefault="00000000" w:rsidP="007923E9">
      <w:pPr>
        <w:pStyle w:val="5"/>
        <w:spacing w:line="276" w:lineRule="auto"/>
      </w:pPr>
      <w:r>
        <w:t xml:space="preserve">“עץ פרי” מעביר את האחריות להעמדת גדולי תורה מחמיהם אל הציבור בכללו – שם </w:t>
      </w:r>
      <w:proofErr w:type="spellStart"/>
      <w:r>
        <w:t>ה“כולל</w:t>
      </w:r>
      <w:proofErr w:type="spellEnd"/>
      <w:r>
        <w:t>”</w:t>
      </w:r>
    </w:p>
    <w:p w14:paraId="5CC7A63A" w14:textId="77777777" w:rsidR="00AB3647" w:rsidRDefault="00000000" w:rsidP="007923E9">
      <w:pPr>
        <w:spacing w:after="120" w:line="276" w:lineRule="auto"/>
        <w:ind w:firstLine="283"/>
        <w:jc w:val="both"/>
      </w:pPr>
      <w:r>
        <w:rPr>
          <w:rtl/>
        </w:rPr>
        <w:t xml:space="preserve">המסר העיקרי של חוברת “עץ פרי” היה שעם היחלשות רצונם של העשירים לקחת תלמידי חכמים לחתנים ולפרנסם אחרי נישואיהם, בעודם גדלים לגדולי תורה, חייבת הקהילה כולה לקחת על עצמה את טיפוחם של אברכים ראויים ומבטיחים. “</w:t>
      </w:r>
      <w:proofErr w:type="spellStart"/>
      <w:r>
        <w:rPr>
          <w:rtl/>
        </w:rPr>
        <w:t>זכרון</w:t>
      </w:r>
      <w:proofErr w:type="spellEnd"/>
      <w:r>
        <w:rPr>
          <w:rtl/>
        </w:rPr>
        <w:t xml:space="preserve"> יעקב”</w:t>
      </w:r>
      <w:bookmarkStart w:id="2340" w:name="_fnr1500"/>
      <w:r>
        <w:rPr>
          <w:rStyle w:val="a5"/>
        </w:rPr>
        <w:footnoteReference w:id="1503" w:customMarkFollows="0"/>
      </w:r>
      <w:bookmarkEnd w:id="2340"/>
      <w:r>
        <w:rPr>
          <w:rtl/>
        </w:rPr>
        <w:t xml:space="preserve"> מייחס </w:t>
      </w:r>
      <w:proofErr w:type="spellStart"/>
      <w:r>
        <w:rPr>
          <w:rtl/>
        </w:rPr>
        <w:t>לר</w:t>
      </w:r>
      <w:proofErr w:type="spellEnd"/>
      <w:r>
        <w:rPr>
          <w:rtl/>
        </w:rPr>
        <w:t xml:space="preserve">׳ ישראל </w:t>
      </w:r>
      <w:proofErr w:type="spellStart"/>
      <w:r>
        <w:rPr>
          <w:rtl/>
        </w:rPr>
        <w:t>סלנטר</w:t>
      </w:r>
      <w:proofErr w:type="spellEnd"/>
      <w:r>
        <w:rPr>
          <w:rtl/>
        </w:rPr>
        <w:t xml:space="preserve"> את התעוררות העניין של העשירים בחיפוש חתנים “משובחים בתורה”, כשארגן מחדש את הישיבה </w:t>
      </w:r>
      <w:proofErr w:type="spellStart"/>
      <w:r>
        <w:rPr>
          <w:rtl/>
        </w:rPr>
        <w:t>בקלויז</w:t>
      </w:r>
      <w:proofErr w:type="spellEnd"/>
      <w:r>
        <w:rPr>
          <w:rtl/>
        </w:rPr>
        <w:t xml:space="preserve"> </w:t>
      </w:r>
      <w:proofErr w:type="spellStart"/>
      <w:r>
        <w:rPr>
          <w:rtl/>
        </w:rPr>
        <w:t>נביאזר</w:t>
      </w:r>
      <w:proofErr w:type="spellEnd"/>
      <w:r>
        <w:rPr>
          <w:rtl/>
        </w:rPr>
        <w:t xml:space="preserve"> עם בואו לקובנה שלושה עשורים קודם לכן.</w:t>
      </w:r>
      <w:bookmarkStart w:id="2341" w:name="_fnr1501"/>
      <w:r>
        <w:rPr>
          <w:rStyle w:val="a5"/>
        </w:rPr>
        <w:footnoteReference w:id="1504" w:customMarkFollows="0"/>
      </w:r>
      <w:bookmarkEnd w:id="2341"/>
    </w:p>
    <w:p w14:paraId="7240E113" w14:textId="77777777" w:rsidR="00AB3647" w:rsidRDefault="00000000" w:rsidP="007923E9">
      <w:pPr>
        <w:spacing w:after="120" w:line="276" w:lineRule="auto"/>
        <w:ind w:firstLine="283"/>
        <w:jc w:val="both"/>
      </w:pPr>
      <w:r>
        <w:rPr>
          <w:rtl/>
        </w:rPr>
        <w:t>“</w:t>
      </w:r>
      <w:proofErr w:type="spellStart"/>
      <w:r>
        <w:rPr>
          <w:rtl/>
        </w:rPr>
        <w:t>זכרון</w:t>
      </w:r>
      <w:proofErr w:type="spellEnd"/>
      <w:r>
        <w:rPr>
          <w:rtl/>
        </w:rPr>
        <w:t xml:space="preserve"> יעקב” טוען: “המנהג היה שכל תלמיד ישיבה הולך לבית בעל בית ‘לאכול את הטאג’ שלו, ועובר כך בין הבתים בסבב שבועי. ר׳ ישראל ביטל מנהג זה, שהשפיל את כבוד תלמיד הישיבה, והנהיג במקומו שהתורמים ישלחו את הארוחות אל </w:t>
      </w:r>
      <w:proofErr w:type="spellStart"/>
      <w:r>
        <w:rPr>
          <w:rtl/>
        </w:rPr>
        <w:t>הקלויז</w:t>
      </w:r>
      <w:proofErr w:type="spellEnd"/>
      <w:r>
        <w:rPr>
          <w:rtl/>
        </w:rPr>
        <w:t xml:space="preserve">. הוא גם ייחד להם מגורים מיוחדים לישון בהם, לא בבית המדרש, שנעשה עתה לבית לימוד בלבד. על ידי כך </w:t>
      </w:r>
      <w:r>
        <w:rPr>
          <w:rtl/>
        </w:rPr>
        <w:lastRenderedPageBreak/>
        <w:t xml:space="preserve">הוגבה והורם מעמד כבודם של בני התורה, ומנהג זה נעשה מקובל אחר כך בקהילות רבות בליטא </w:t>
      </w:r>
      <w:proofErr w:type="spellStart"/>
      <w:r>
        <w:rPr>
          <w:rtl/>
        </w:rPr>
        <w:t>ובזאמוט</w:t>
      </w:r>
      <w:proofErr w:type="spellEnd"/>
      <w:r>
        <w:rPr>
          <w:rtl/>
        </w:rPr>
        <w:t xml:space="preserve">... עד שנעשה ‘אופנתי’ לרבים מבעלי הבתים העשירים והחשובים לבחור בחורים יקרים משובחים בתורה, שהוכרו </w:t>
      </w:r>
      <w:proofErr w:type="spellStart"/>
      <w:r>
        <w:rPr>
          <w:rtl/>
        </w:rPr>
        <w:t>כ‘עילויים</w:t>
      </w:r>
      <w:proofErr w:type="spellEnd"/>
      <w:r>
        <w:rPr>
          <w:rtl/>
        </w:rPr>
        <w:t xml:space="preserve">’, לחתנים לבנותיהם, ולהגדיל את הנדוניות </w:t>
      </w:r>
      <w:proofErr w:type="spellStart"/>
      <w:r>
        <w:rPr>
          <w:rtl/>
        </w:rPr>
        <w:t>והקעסט</w:t>
      </w:r>
      <w:proofErr w:type="spellEnd"/>
      <w:r>
        <w:rPr>
          <w:rtl/>
        </w:rPr>
        <w:t xml:space="preserve"> שלהם. ובכך עלה כבוד התורה למעלה ראש.”</w:t>
      </w:r>
      <w:bookmarkStart w:id="2342" w:name="_fnr1502"/>
      <w:r>
        <w:rPr>
          <w:rStyle w:val="a5"/>
        </w:rPr>
        <w:footnoteReference w:id="1505" w:customMarkFollows="0"/>
      </w:r>
      <w:bookmarkEnd w:id="2342"/>
    </w:p>
    <w:p w14:paraId="3E078638" w14:textId="77777777" w:rsidR="00AB3647" w:rsidRDefault="00000000" w:rsidP="007923E9">
      <w:pPr>
        <w:spacing w:after="120" w:line="276" w:lineRule="auto"/>
        <w:ind w:firstLine="283"/>
        <w:jc w:val="both"/>
      </w:pPr>
      <w:r>
        <w:rPr>
          <w:rtl/>
        </w:rPr>
        <w:t>אם הערכת “</w:t>
      </w:r>
      <w:proofErr w:type="spellStart"/>
      <w:r>
        <w:rPr>
          <w:rtl/>
        </w:rPr>
        <w:t>זכרון</w:t>
      </w:r>
      <w:proofErr w:type="spellEnd"/>
      <w:r>
        <w:rPr>
          <w:rtl/>
        </w:rPr>
        <w:t xml:space="preserve"> יעקב” נכונה, נראה שבשני העשורים שלאחר מכן, שבהם שהה ר׳ ישראל במערב אירופה, התהפכה המגמה שהתווה – עד כדי כך שלא היה עוד אפשר לסמוך על העשירים שיעמידו גדולי תורה בתמיכתם המשפחתית. ועתה שוב ר׳ ישראל הוא שהעמיד, באמצעות תוכנית כולל קובנה, מסגרת לגידול מנהיגים לעם ישראל.</w:t>
      </w:r>
    </w:p>
    <w:p w14:paraId="41B4F6F9" w14:textId="77777777" w:rsidR="00AB3647" w:rsidRDefault="00000000" w:rsidP="007923E9">
      <w:pPr>
        <w:spacing w:after="120" w:line="276" w:lineRule="auto"/>
        <w:ind w:firstLine="283"/>
        <w:jc w:val="both"/>
      </w:pPr>
      <w:r>
        <w:rPr>
          <w:rtl/>
        </w:rPr>
        <w:t>רבנו אמר</w:t>
      </w:r>
      <w:bookmarkStart w:id="2343" w:name="_fnr1503"/>
      <w:r>
        <w:rPr>
          <w:rStyle w:val="a5"/>
        </w:rPr>
        <w:footnoteReference w:id="1506" w:customMarkFollows="0"/>
      </w:r>
      <w:bookmarkEnd w:id="2343"/>
      <w:r>
        <w:rPr>
          <w:rtl/>
        </w:rPr>
        <w:t xml:space="preserve"> שכולל קובנה, שנקרא רשמית “כולל אברכים”, היה המוסד הראשון ללימוד תורה שנקרא “כולל”. עד אז שימש המונח “כולל” לתיאור קהילה קטנה בארץ ישראל שנתמכה בידי יהודים בני ארצם שבגולה.</w:t>
      </w:r>
    </w:p>
    <w:bookmarkStart w:id="2344" w:name="b3_excB"/>
    <w:p w14:paraId="5673861F" w14:textId="77777777" w:rsidR="00AB3647" w:rsidRDefault="00000000" w:rsidP="007923E9">
      <w:pPr>
        <w:pStyle w:val="3"/>
        <w:spacing w:line="276" w:lineRule="auto"/>
      </w:pPr>
      <w:r>
        <w:lastRenderedPageBreak/>
        <w:fldChar w:fldCharType="begin" w:dirty="true"/>
      </w:r>
      <w:r>
        <w:rPr>
          <w:rtl w:val="0"/>
        </w:rPr>
        <w:instrText>HYPERLINK \l "b3_note22</w:instrText>
      </w:r>
      <w:r>
        <w:instrText>"</w:instrText>
      </w:r>
      <w:r>
        <w:fldChar w:fldCharType="separate"/>
      </w:r>
      <w:r>
        <w:t>נספח ב</w:t>
      </w:r>
      <w:r>
        <w:fldChar w:fldCharType="end"/>
      </w:r>
      <w:bookmarkEnd w:id="2344"/>
    </w:p>
    <w:p w14:paraId="28ED4109" w14:textId="77777777" w:rsidR="00AB3647" w:rsidRDefault="00000000" w:rsidP="007923E9">
      <w:pPr>
        <w:pStyle w:val="af"/>
        <w:spacing w:line="276" w:lineRule="auto"/>
      </w:pPr>
      <w:r>
        <w:t xml:space="preserve">על שלושת תלמידיו הראשיים של ר׳ ישראל </w:t>
      </w:r>
      <w:proofErr w:type="spellStart"/>
      <w:r>
        <w:t>סלנטר</w:t>
      </w:r>
      <w:proofErr w:type="spellEnd"/>
    </w:p>
    <w:p w14:paraId="30E4ADB8" w14:textId="77777777" w:rsidR="00AB3647" w:rsidRDefault="00000000" w:rsidP="007923E9">
      <w:pPr>
        <w:pStyle w:val="4"/>
        <w:spacing w:line="276" w:lineRule="auto"/>
      </w:pPr>
      <w:r>
        <w:t>· הפסקה הראשונה ·</w:t>
      </w:r>
    </w:p>
    <w:p w14:paraId="4FE92F34" w14:textId="77777777" w:rsidR="00AB3647" w:rsidRDefault="00000000" w:rsidP="007923E9">
      <w:pPr>
        <w:pStyle w:val="5"/>
        <w:spacing w:line="276" w:lineRule="auto"/>
      </w:pPr>
      <w:r>
        <w:t xml:space="preserve">ר׳ </w:t>
      </w:r>
      <w:proofErr w:type="spellStart"/>
      <w:r>
        <w:t>איצל׳ה</w:t>
      </w:r>
      <w:proofErr w:type="spellEnd"/>
      <w:r>
        <w:t xml:space="preserve"> עוזב את פטרבורג לקובנה – ר׳ ישראל </w:t>
      </w:r>
      <w:proofErr w:type="spellStart"/>
      <w:r>
        <w:t>סלנטר</w:t>
      </w:r>
      <w:proofErr w:type="spellEnd"/>
      <w:r>
        <w:t xml:space="preserve"> מגדיר את שלושת תלמידיו הראשיים – שלושתם גדולים בתורה – ר׳ לייזר גורדון קורא </w:t>
      </w:r>
      <w:proofErr w:type="spellStart"/>
      <w:r>
        <w:t>לר</w:t>
      </w:r>
      <w:proofErr w:type="spellEnd"/>
      <w:r>
        <w:t xml:space="preserve">׳ </w:t>
      </w:r>
      <w:proofErr w:type="spellStart"/>
      <w:r>
        <w:t>שמחה־זיסל</w:t>
      </w:r>
      <w:proofErr w:type="spellEnd"/>
      <w:r>
        <w:t xml:space="preserve"> רבו – ר׳ </w:t>
      </w:r>
      <w:proofErr w:type="spellStart"/>
      <w:r>
        <w:t>אבהל׳ה</w:t>
      </w:r>
      <w:proofErr w:type="spellEnd"/>
      <w:r>
        <w:t xml:space="preserve"> מקרוז מסתיר את ההתכתבות שהוא מקבל מגדול בישראל – ר׳ </w:t>
      </w:r>
      <w:proofErr w:type="spellStart"/>
      <w:r>
        <w:t>איצל׳ה</w:t>
      </w:r>
      <w:proofErr w:type="spellEnd"/>
      <w:r>
        <w:t xml:space="preserve"> מוספד למרות צוואתו שלא לעשות כן</w:t>
      </w:r>
    </w:p>
    <w:p w14:paraId="3FC4C30B" w14:textId="77777777" w:rsidR="00AB3647" w:rsidRDefault="00000000" w:rsidP="007923E9">
      <w:pPr>
        <w:spacing w:after="120" w:line="276" w:lineRule="auto"/>
        <w:ind w:firstLine="283"/>
        <w:jc w:val="both"/>
      </w:pPr>
      <w:r>
        <w:rPr>
          <w:rtl/>
        </w:rPr>
        <w:t xml:space="preserve">ר׳ </w:t>
      </w:r>
      <w:proofErr w:type="spellStart"/>
      <w:r>
        <w:rPr>
          <w:rtl/>
        </w:rPr>
        <w:t>איצל׳ה</w:t>
      </w:r>
      <w:proofErr w:type="spellEnd"/>
      <w:r>
        <w:rPr>
          <w:rtl/>
        </w:rPr>
        <w:t xml:space="preserve"> </w:t>
      </w:r>
      <w:proofErr w:type="spellStart"/>
      <w:r>
        <w:rPr>
          <w:rtl/>
        </w:rPr>
        <w:t>בלאזר</w:t>
      </w:r>
      <w:proofErr w:type="spellEnd"/>
      <w:r>
        <w:rPr>
          <w:rtl/>
        </w:rPr>
        <w:t xml:space="preserve">, שנולד </w:t>
      </w:r>
      <w:proofErr w:type="spellStart"/>
      <w:r>
        <w:rPr>
          <w:rtl/>
        </w:rPr>
        <w:t>בתקצ״ז</w:t>
      </w:r>
      <w:proofErr w:type="spellEnd"/>
      <w:r>
        <w:rPr>
          <w:rtl/>
        </w:rPr>
        <w:t>, למד בתחילת שנות העשרים לחייו את מלאכת צביעת הבדים, מתוך אמונה שעבודה מסוג זה תאפשר לו יותר זמן פנוי ללימוד תורה.</w:t>
      </w:r>
      <w:bookmarkStart w:id="2345" w:name="_fnr1504"/>
      <w:r>
        <w:rPr>
          <w:rStyle w:val="a5"/>
        </w:rPr>
        <w:footnoteReference w:id="1507" w:customMarkFollows="0"/>
      </w:r>
      <w:bookmarkEnd w:id="2345"/>
      <w:r>
        <w:rPr>
          <w:rtl/>
        </w:rPr>
        <w:t xml:space="preserve"> אבל רבו ר׳ ישראל </w:t>
      </w:r>
      <w:proofErr w:type="spellStart"/>
      <w:r>
        <w:rPr>
          <w:rtl/>
        </w:rPr>
        <w:t>סלנטר</w:t>
      </w:r>
      <w:proofErr w:type="spellEnd"/>
      <w:r>
        <w:rPr>
          <w:rtl/>
        </w:rPr>
        <w:t xml:space="preserve"> הציע לו להיות רב בירת רוסיה, סנט פטרבורג, שם יהיה לו גם די זמן להמשיך בלימודיו.</w:t>
      </w:r>
      <w:bookmarkStart w:id="2346" w:name="_fnr1505"/>
      <w:r>
        <w:rPr>
          <w:rStyle w:val="a5"/>
        </w:rPr>
        <w:footnoteReference w:id="1508" w:customMarkFollows="0"/>
      </w:r>
      <w:bookmarkEnd w:id="2346"/>
      <w:r>
        <w:rPr>
          <w:rtl/>
        </w:rPr>
        <w:t xml:space="preserve"> באותו זמן הייתה בעיר קהילה יהודית קטנה, שמנתה לפי </w:t>
      </w:r>
      <w:proofErr w:type="spellStart"/>
      <w:r>
        <w:rPr>
          <w:rtl/>
        </w:rPr>
        <w:t>האומדן</w:t>
      </w:r>
      <w:proofErr w:type="spellEnd"/>
      <w:r>
        <w:rPr>
          <w:rtl/>
        </w:rPr>
        <w:t xml:space="preserve"> 700 נפש,</w:t>
      </w:r>
      <w:bookmarkStart w:id="2347" w:name="_fnr1506"/>
      <w:r>
        <w:rPr>
          <w:rStyle w:val="a5"/>
        </w:rPr>
        <w:footnoteReference w:id="1509" w:customMarkFollows="0"/>
      </w:r>
      <w:bookmarkEnd w:id="2347"/>
      <w:r>
        <w:rPr>
          <w:rtl/>
        </w:rPr>
        <w:t xml:space="preserve"> והורכבה מיחידים שקיבלו היתרי ישיבה מיוחדים מטעם זה או אחר. גם הרב היה צריך להיות “משויך” למשפחה יהודית מיוחסת כלשהי כדי שיוכל להישאר בבירה.</w:t>
      </w:r>
    </w:p>
    <w:p w14:paraId="7A7B5F13" w14:textId="77777777" w:rsidR="00AB3647" w:rsidRDefault="00000000" w:rsidP="007923E9">
      <w:pPr>
        <w:spacing w:after="120" w:line="276" w:lineRule="auto"/>
        <w:ind w:firstLine="283"/>
        <w:jc w:val="both"/>
      </w:pPr>
      <w:r>
        <w:rPr>
          <w:rtl/>
        </w:rPr>
        <w:t xml:space="preserve">אחרי שכיהן בהצלחה כרב פטרבורג 16 שנה, תרכ״ב–תרל״ח, פרש ר׳ </w:t>
      </w:r>
      <w:proofErr w:type="spellStart"/>
      <w:r>
        <w:rPr>
          <w:rtl/>
        </w:rPr>
        <w:t>איצל׳ה</w:t>
      </w:r>
      <w:proofErr w:type="spellEnd"/>
      <w:r>
        <w:rPr>
          <w:rtl/>
        </w:rPr>
        <w:t xml:space="preserve"> מן הרבנות מסיבות שאינן ברורות. “</w:t>
      </w:r>
      <w:proofErr w:type="spellStart"/>
      <w:r>
        <w:rPr>
          <w:rtl/>
        </w:rPr>
        <w:t>זכרונות</w:t>
      </w:r>
      <w:proofErr w:type="spellEnd"/>
      <w:r>
        <w:rPr>
          <w:rtl/>
        </w:rPr>
        <w:t xml:space="preserve">”, מאת יהושע ליב </w:t>
      </w:r>
      <w:proofErr w:type="spellStart"/>
      <w:r>
        <w:rPr>
          <w:rtl/>
        </w:rPr>
        <w:t>ראדוס</w:t>
      </w:r>
      <w:proofErr w:type="spellEnd"/>
      <w:r>
        <w:rPr>
          <w:rtl/>
        </w:rPr>
        <w:t>,</w:t>
      </w:r>
      <w:bookmarkStart w:id="2348" w:name="_fnr1507"/>
      <w:r>
        <w:rPr>
          <w:rStyle w:val="a5"/>
        </w:rPr>
        <w:footnoteReference w:id="1510" w:customMarkFollows="0"/>
      </w:r>
      <w:bookmarkEnd w:id="2348"/>
      <w:r>
        <w:rPr>
          <w:rtl/>
        </w:rPr>
        <w:t xml:space="preserve"> אומר שהמניע להתפטרותו היה </w:t>
      </w:r>
      <w:proofErr w:type="spellStart"/>
      <w:r>
        <w:rPr>
          <w:rtl/>
        </w:rPr>
        <w:t>ש“בכהנו</w:t>
      </w:r>
      <w:proofErr w:type="spellEnd"/>
      <w:r>
        <w:rPr>
          <w:rtl/>
        </w:rPr>
        <w:t xml:space="preserve"> כרב בבירה נאלץ להקריב את שעותיו הטובות ביותר למשרתו, ולעתים קרובות היה עסוק בענייני ציבור מהבוקר עד שעה מאוחרת בלילה. הוא היה מוטרד מאוד מכך שאינו יכול לשבת בתורה ועבודה יומם ולילה באין מפריע, כרצונו”, והתפטר. מדיניות המגורים הליברלית יותר כלפי היהודים, שהנהיג הצאר אלכסנדר השני בהדרגה במשך רבע המאה של שלטונו (תרט״ז–תרמ״א, 1856–1881)</w:t>
      </w:r>
      <w:bookmarkStart w:id="2349" w:name="_fnr1508"/>
      <w:bookmarkEnd w:id="2349"/>
      <w:r>
        <w:rPr>
          <w:rStyle w:val="a5"/>
        </w:rPr>
        <w:t/>
      </w:r>
      <w:bookmarkStart w:id="7014" w:name="_TranslatorNote_5381"/>
      <w:r>
        <w:rPr>
          <w:rStyle w:val="a5"/>
          <w:vertAlign w:val="superscript"/>
          <w:rtl/>
        </w:rPr>
        <w:footnoteReference w:id="1511" w:customMarkFollows="1"/>
        <w:t>*</w:t>
      </w:r>
      <w:bookmarkEnd w:id="7014"/>
      <w:r>
        <w:rPr>
          <w:rtl/>
        </w:rPr>
        <w:t>,</w:t>
      </w:r>
      <w:bookmarkStart w:id="2350" w:name="_fnr1509"/>
      <w:r>
        <w:rPr>
          <w:rStyle w:val="a5"/>
        </w:rPr>
        <w:footnoteReference w:id="1512" w:customMarkFollows="0"/>
      </w:r>
      <w:bookmarkEnd w:id="2350"/>
      <w:r>
        <w:rPr>
          <w:rtl/>
        </w:rPr>
        <w:t xml:space="preserve"> הביאה לגלים גדולים של הגירה יהודית לעיר, ואלה ביטלו את הסיבה המקורית למעברו של ר׳ </w:t>
      </w:r>
      <w:proofErr w:type="spellStart"/>
      <w:r>
        <w:rPr>
          <w:rtl/>
        </w:rPr>
        <w:t>איצל׳ה</w:t>
      </w:r>
      <w:proofErr w:type="spellEnd"/>
      <w:r>
        <w:rPr>
          <w:rtl/>
        </w:rPr>
        <w:t xml:space="preserve"> לשם. עד תר״ל ישבו בעיר 1,400 יהודים כחוק ועוד כ־4,000, לפי הערכה, שלא כחוק, ובמשך העשור הבא קפצו המספרים לכמעט 17,000 תושבים כחוק ולמספר זהה של תושבים שלא כחוק.</w:t>
      </w:r>
    </w:p>
    <w:p w14:paraId="69FB5330" w14:textId="77777777" w:rsidR="00AB3647" w:rsidRDefault="00000000" w:rsidP="007923E9">
      <w:pPr>
        <w:spacing w:after="120" w:line="276" w:lineRule="auto"/>
        <w:ind w:firstLine="283"/>
        <w:jc w:val="both"/>
      </w:pPr>
      <w:r>
        <w:rPr>
          <w:rtl/>
        </w:rPr>
        <w:lastRenderedPageBreak/>
        <w:t>השווה גם “</w:t>
      </w:r>
      <w:proofErr w:type="spellStart"/>
      <w:r>
        <w:rPr>
          <w:rtl/>
        </w:rPr>
        <w:t>ליטע</w:t>
      </w:r>
      <w:proofErr w:type="spellEnd"/>
      <w:r>
        <w:rPr>
          <w:rtl/>
        </w:rPr>
        <w:t>”,</w:t>
      </w:r>
      <w:bookmarkStart w:id="2351" w:name="_fnr1510"/>
      <w:r>
        <w:rPr>
          <w:rStyle w:val="a5"/>
        </w:rPr>
        <w:footnoteReference w:id="1513" w:customMarkFollows="0"/>
      </w:r>
      <w:bookmarkEnd w:id="2351"/>
      <w:r>
        <w:rPr>
          <w:rtl/>
        </w:rPr>
        <w:t xml:space="preserve"> ששם כותב </w:t>
      </w:r>
      <w:proofErr w:type="spellStart"/>
      <w:r>
        <w:rPr>
          <w:rtl/>
        </w:rPr>
        <w:t>א.ר</w:t>
      </w:r>
      <w:proofErr w:type="spellEnd"/>
      <w:r>
        <w:rPr>
          <w:rtl/>
        </w:rPr>
        <w:t>. מלאכי: “אני משער שהחליט לוותר על הרבנות ולעזוב את פטרבורג משום ש[</w:t>
      </w:r>
      <w:proofErr w:type="spellStart"/>
      <w:r>
        <w:rPr>
          <w:rtl/>
        </w:rPr>
        <w:t>יהודה־לייב</w:t>
      </w:r>
      <w:proofErr w:type="spellEnd"/>
      <w:r>
        <w:rPr>
          <w:rtl/>
        </w:rPr>
        <w:t>] גורדון</w:t>
      </w:r>
      <w:bookmarkStart w:id="2352" w:name="_fnr1511"/>
      <w:r>
        <w:rPr>
          <w:rStyle w:val="a5"/>
        </w:rPr>
        <w:footnoteReference w:id="1514" w:customMarkFollows="0"/>
      </w:r>
      <w:bookmarkEnd w:id="2352"/>
      <w:r>
        <w:rPr>
          <w:rtl/>
        </w:rPr>
        <w:t xml:space="preserve"> הפריע לו. גורדון נתמנה למזכיר הקהילה,</w:t>
      </w:r>
      <w:bookmarkStart w:id="2353" w:name="_fnr1512"/>
      <w:r>
        <w:rPr>
          <w:rStyle w:val="a5"/>
        </w:rPr>
        <w:footnoteReference w:id="1515" w:customMarkFollows="0"/>
      </w:r>
      <w:bookmarkEnd w:id="2353"/>
      <w:r>
        <w:rPr>
          <w:rtl/>
        </w:rPr>
        <w:t xml:space="preserve"> והמשכילים, בראשות גורדון, לא הניחו </w:t>
      </w:r>
      <w:proofErr w:type="spellStart"/>
      <w:r>
        <w:rPr>
          <w:rtl/>
        </w:rPr>
        <w:t>לר</w:t>
      </w:r>
      <w:proofErr w:type="spellEnd"/>
      <w:r>
        <w:rPr>
          <w:rtl/>
        </w:rPr>
        <w:t xml:space="preserve">׳ </w:t>
      </w:r>
      <w:proofErr w:type="spellStart"/>
      <w:r>
        <w:rPr>
          <w:rtl/>
        </w:rPr>
        <w:t>איצל׳ה</w:t>
      </w:r>
      <w:proofErr w:type="spellEnd"/>
      <w:r>
        <w:rPr>
          <w:rtl/>
        </w:rPr>
        <w:t xml:space="preserve"> להנהיג את הקהילה בדרך שרצה.” אבי אמר שהייתה שמועה שר׳ </w:t>
      </w:r>
      <w:proofErr w:type="spellStart"/>
      <w:r>
        <w:rPr>
          <w:rtl/>
        </w:rPr>
        <w:t>איצל׳ה</w:t>
      </w:r>
      <w:proofErr w:type="spellEnd"/>
      <w:r>
        <w:rPr>
          <w:rtl/>
        </w:rPr>
        <w:t xml:space="preserve"> היה מוטרד מהצורך להחליט על האיות המדויק של שמות היהודים המתבוללים באותה עיר </w:t>
      </w:r>
      <w:proofErr w:type="spellStart"/>
      <w:r>
        <w:rPr>
          <w:rtl/>
        </w:rPr>
        <w:t>בגיטין</w:t>
      </w:r>
      <w:proofErr w:type="spellEnd"/>
      <w:r>
        <w:rPr>
          <w:rtl/>
        </w:rPr>
        <w:t>.</w:t>
      </w:r>
      <w:bookmarkStart w:id="2354" w:name="_fnr1513"/>
      <w:r>
        <w:rPr>
          <w:rStyle w:val="a5"/>
        </w:rPr>
        <w:footnoteReference w:id="1516" w:customMarkFollows="0"/>
      </w:r>
      <w:bookmarkEnd w:id="2354"/>
      <w:r>
        <w:rPr>
          <w:rtl/>
        </w:rPr>
        <w:t xml:space="preserve"> טעם זה מובא גם בספרו של כץ, “תנועת המוסר”, כרך ב.</w:t>
      </w:r>
      <w:bookmarkStart w:id="2355" w:name="_fnr1514"/>
      <w:r>
        <w:rPr>
          <w:rStyle w:val="a5"/>
        </w:rPr>
        <w:footnoteReference w:id="1517" w:customMarkFollows="0"/>
      </w:r>
      <w:bookmarkEnd w:id="2355"/>
    </w:p>
    <w:p w14:paraId="69B338DE" w14:textId="77777777" w:rsidR="00AB3647" w:rsidRDefault="00000000" w:rsidP="007923E9">
      <w:pPr>
        <w:spacing w:after="120" w:line="276" w:lineRule="auto"/>
        <w:ind w:firstLine="283"/>
        <w:jc w:val="both"/>
      </w:pPr>
      <w:r>
        <w:rPr>
          <w:rtl/>
        </w:rPr>
        <w:t xml:space="preserve">אבל “ספר כוכבי אור: מאמרים </w:t>
      </w:r>
      <w:proofErr w:type="spellStart"/>
      <w:r>
        <w:rPr>
          <w:rtl/>
        </w:rPr>
        <w:t>מכי״ק</w:t>
      </w:r>
      <w:proofErr w:type="spellEnd"/>
      <w:r>
        <w:rPr>
          <w:rtl/>
        </w:rPr>
        <w:t xml:space="preserve"> הגאון הגדול וכו׳ יצחק </w:t>
      </w:r>
      <w:proofErr w:type="spellStart"/>
      <w:r>
        <w:rPr>
          <w:rtl/>
        </w:rPr>
        <w:t>בלאזער</w:t>
      </w:r>
      <w:proofErr w:type="spellEnd"/>
      <w:r>
        <w:rPr>
          <w:rtl/>
        </w:rPr>
        <w:t>”</w:t>
      </w:r>
      <w:bookmarkStart w:id="2356" w:name="_fnr1515"/>
      <w:r>
        <w:rPr>
          <w:rStyle w:val="a5"/>
        </w:rPr>
        <w:footnoteReference w:id="1518" w:customMarkFollows="0"/>
      </w:r>
      <w:bookmarkEnd w:id="2356"/>
      <w:r>
        <w:rPr>
          <w:rtl/>
        </w:rPr>
        <w:t xml:space="preserve"> מצטט מתוך מחברתו של מחבר אלמוני שר׳ נפתלי אמסטרדם מסר שקיבל מר׳ </w:t>
      </w:r>
      <w:proofErr w:type="spellStart"/>
      <w:r>
        <w:rPr>
          <w:rtl/>
        </w:rPr>
        <w:t>איצל׳ה</w:t>
      </w:r>
      <w:proofErr w:type="spellEnd"/>
      <w:r>
        <w:rPr>
          <w:rtl/>
        </w:rPr>
        <w:t xml:space="preserve"> מכתבים שבהם כתב: “גבעות </w:t>
      </w:r>
      <w:proofErr w:type="spellStart"/>
      <w:r>
        <w:rPr>
          <w:rtl/>
        </w:rPr>
        <w:t>אלקסוט</w:t>
      </w:r>
      <w:proofErr w:type="spellEnd"/>
      <w:r>
        <w:rPr>
          <w:rtl/>
        </w:rPr>
        <w:t xml:space="preserve"> [שם מסר ר׳ ישראל </w:t>
      </w:r>
      <w:proofErr w:type="spellStart"/>
      <w:r>
        <w:rPr>
          <w:rtl/>
        </w:rPr>
        <w:t>סלנטר</w:t>
      </w:r>
      <w:proofErr w:type="spellEnd"/>
      <w:r>
        <w:rPr>
          <w:rtl/>
        </w:rPr>
        <w:t xml:space="preserve"> שיחות מוסר בביתו של ר׳ </w:t>
      </w:r>
      <w:proofErr w:type="spellStart"/>
      <w:r>
        <w:rPr>
          <w:rtl/>
        </w:rPr>
        <w:t>שרגא־פייבל</w:t>
      </w:r>
      <w:proofErr w:type="spellEnd"/>
      <w:r>
        <w:rPr>
          <w:rtl/>
        </w:rPr>
        <w:t xml:space="preserve"> פרנק] אינן מניחות לי לישון [בפטרבורג].” כוונתו הייתה שמרוב געגועיו לסביבת המוסר של קובנה לא יכול היה לשאת את השהייה בפטרבורג. הוא עבר לקובנה, ושם קנה אכסניה כמקור פרנסה. </w:t>
      </w:r>
      <w:proofErr w:type="spellStart"/>
      <w:r>
        <w:rPr>
          <w:rtl/>
        </w:rPr>
        <w:t>בתרס״ד</w:t>
      </w:r>
      <w:proofErr w:type="spellEnd"/>
      <w:r>
        <w:rPr>
          <w:rtl/>
        </w:rPr>
        <w:t xml:space="preserve"> עלה לארץ ישראל,</w:t>
      </w:r>
      <w:bookmarkStart w:id="2357" w:name="_fnr1516"/>
      <w:r>
        <w:rPr>
          <w:rStyle w:val="a5"/>
        </w:rPr>
        <w:footnoteReference w:id="1519" w:customMarkFollows="0"/>
      </w:r>
      <w:bookmarkEnd w:id="2357"/>
      <w:r>
        <w:rPr>
          <w:rtl/>
        </w:rPr>
        <w:t xml:space="preserve"> ושם נפטר כעבור שלוש שנים.</w:t>
      </w:r>
    </w:p>
    <w:p w14:paraId="1B999416" w14:textId="77777777" w:rsidR="00AB3647" w:rsidRDefault="00000000" w:rsidP="007923E9">
      <w:pPr>
        <w:spacing w:after="120" w:line="276" w:lineRule="auto"/>
        <w:ind w:firstLine="283"/>
        <w:jc w:val="both"/>
      </w:pPr>
      <w:r>
        <w:rPr>
          <w:rtl/>
        </w:rPr>
        <w:t xml:space="preserve">ר׳ </w:t>
      </w:r>
      <w:proofErr w:type="spellStart"/>
      <w:r>
        <w:rPr>
          <w:rtl/>
        </w:rPr>
        <w:t>איצל׳ה</w:t>
      </w:r>
      <w:proofErr w:type="spellEnd"/>
      <w:r>
        <w:rPr>
          <w:rtl/>
        </w:rPr>
        <w:t xml:space="preserve"> היה הצעיר בשלושת תלמידיו הראשיים של ר׳ ישראל, ורבו כינהו “הלמדן”. שני התלמידים האחרים היו ר׳ </w:t>
      </w:r>
      <w:proofErr w:type="spellStart"/>
      <w:r>
        <w:rPr>
          <w:rtl/>
        </w:rPr>
        <w:t>שמחה־זיסל</w:t>
      </w:r>
      <w:proofErr w:type="spellEnd"/>
      <w:r>
        <w:rPr>
          <w:rtl/>
        </w:rPr>
        <w:t xml:space="preserve"> זיו</w:t>
      </w:r>
      <w:bookmarkStart w:id="2358" w:name="_fnr1517"/>
      <w:r>
        <w:rPr>
          <w:rStyle w:val="a5"/>
        </w:rPr>
        <w:footnoteReference w:id="1520" w:customMarkFollows="0"/>
      </w:r>
      <w:bookmarkEnd w:id="2358"/>
      <w:r>
        <w:rPr>
          <w:rtl/>
        </w:rPr>
        <w:t xml:space="preserve"> ור׳ נפתלי אמסטרדם,</w:t>
      </w:r>
      <w:bookmarkStart w:id="2359" w:name="_fnr1518"/>
      <w:r>
        <w:rPr>
          <w:rStyle w:val="a5"/>
        </w:rPr>
        <w:footnoteReference w:id="1521" w:customMarkFollows="0"/>
      </w:r>
      <w:bookmarkEnd w:id="2359"/>
      <w:r>
        <w:rPr>
          <w:rtl/>
        </w:rPr>
        <w:t xml:space="preserve"> שר׳ ישראל כינה אותם “החכם” </w:t>
      </w:r>
      <w:proofErr w:type="spellStart"/>
      <w:r>
        <w:rPr>
          <w:rtl/>
        </w:rPr>
        <w:t>ו“החסיד</w:t>
      </w:r>
      <w:proofErr w:type="spellEnd"/>
      <w:r>
        <w:rPr>
          <w:rtl/>
        </w:rPr>
        <w:t>”, בהתאמה.</w:t>
      </w:r>
      <w:bookmarkStart w:id="2360" w:name="_fnr1519"/>
      <w:r>
        <w:rPr>
          <w:rStyle w:val="a5"/>
        </w:rPr>
        <w:footnoteReference w:id="1522" w:customMarkFollows="0"/>
      </w:r>
      <w:bookmarkEnd w:id="2360"/>
    </w:p>
    <w:p w14:paraId="6DD2D7FF" w14:textId="77777777" w:rsidR="00AB3647" w:rsidRDefault="00000000" w:rsidP="007923E9">
      <w:pPr>
        <w:spacing w:after="120" w:line="276" w:lineRule="auto"/>
        <w:ind w:firstLine="283"/>
        <w:jc w:val="both"/>
      </w:pPr>
      <w:r>
        <w:rPr>
          <w:rtl/>
        </w:rPr>
        <w:t xml:space="preserve">(הכינוי </w:t>
      </w:r>
      <w:proofErr w:type="spellStart"/>
      <w:r>
        <w:rPr>
          <w:rtl/>
        </w:rPr>
        <w:t>לר</w:t>
      </w:r>
      <w:proofErr w:type="spellEnd"/>
      <w:r>
        <w:rPr>
          <w:rtl/>
        </w:rPr>
        <w:t xml:space="preserve">׳ נפתלי </w:t>
      </w:r>
      <w:proofErr w:type="spellStart"/>
      <w:r>
        <w:rPr>
          <w:rtl/>
        </w:rPr>
        <w:t>שבשר״א</w:t>
      </w:r>
      <w:proofErr w:type="spellEnd"/>
      <w:r>
        <w:rPr>
          <w:rtl/>
        </w:rPr>
        <w:t xml:space="preserve">, “חסיד”, עדיף על זה שבספרו של כץ, “תנועת המוסר”, כרך ב, עמ׳ 25, “צדיק”, משום שמסתבר שר׳ ישראל השתמש במילים </w:t>
      </w:r>
      <w:proofErr w:type="spellStart"/>
      <w:r>
        <w:rPr>
          <w:rtl/>
        </w:rPr>
        <w:t>היידיות</w:t>
      </w:r>
      <w:proofErr w:type="spellEnd"/>
      <w:r>
        <w:rPr>
          <w:rtl/>
        </w:rPr>
        <w:t xml:space="preserve"> “</w:t>
      </w:r>
      <w:proofErr w:type="spellStart"/>
      <w:r>
        <w:rPr>
          <w:rtl/>
        </w:rPr>
        <w:t>קלוגער</w:t>
      </w:r>
      <w:proofErr w:type="spellEnd"/>
      <w:r>
        <w:rPr>
          <w:rtl/>
        </w:rPr>
        <w:t xml:space="preserve">” </w:t>
      </w:r>
      <w:proofErr w:type="spellStart"/>
      <w:r>
        <w:rPr>
          <w:rtl/>
        </w:rPr>
        <w:t>ו“פרומער</w:t>
      </w:r>
      <w:proofErr w:type="spellEnd"/>
      <w:r>
        <w:rPr>
          <w:rtl/>
        </w:rPr>
        <w:t xml:space="preserve">” לסבא מקלם ולרב אמסטרדם, בהתאמה, </w:t>
      </w:r>
      <w:proofErr w:type="spellStart"/>
      <w:r>
        <w:rPr>
          <w:rtl/>
        </w:rPr>
        <w:t>ו“פרומער</w:t>
      </w:r>
      <w:proofErr w:type="spellEnd"/>
      <w:r>
        <w:rPr>
          <w:rtl/>
        </w:rPr>
        <w:t xml:space="preserve">” מתורגם בדיוק רב יותר </w:t>
      </w:r>
      <w:proofErr w:type="spellStart"/>
      <w:r>
        <w:rPr>
          <w:rtl/>
        </w:rPr>
        <w:t>ל“חסיד</w:t>
      </w:r>
      <w:proofErr w:type="spellEnd"/>
      <w:r>
        <w:rPr>
          <w:rtl/>
        </w:rPr>
        <w:t xml:space="preserve">”/ירא שמים. בדומה לכך, </w:t>
      </w:r>
      <w:proofErr w:type="spellStart"/>
      <w:r>
        <w:rPr>
          <w:rtl/>
        </w:rPr>
        <w:t>אי־ההתאמה</w:t>
      </w:r>
      <w:proofErr w:type="spellEnd"/>
      <w:r>
        <w:rPr>
          <w:rtl/>
        </w:rPr>
        <w:t xml:space="preserve"> בין “שרידי אש”, עמ׳ רפה, לבין כץ, “תנועת המוסר”, כרך א, עמ׳ 142</w:t>
      </w:r>
      <w:bookmarkStart w:id="2361" w:name="_fnr1520"/>
      <w:bookmarkStart w:id="2362" w:name="pr_f_1431"/>
      <w:r>
        <w:rPr>
          <w:rStyle w:val="a5"/>
        </w:rPr>
        <w:footnoteReference w:id="1523" w:customMarkFollows="0"/>
      </w:r>
      <w:bookmarkEnd w:id="2361"/>
      <w:bookmarkEnd w:id="2362"/>
      <w:r>
        <w:rPr>
          <w:rtl/>
        </w:rPr>
        <w:t xml:space="preserve">, בעניין ההוראה המקורית של ר׳ </w:t>
      </w:r>
      <w:proofErr w:type="spellStart"/>
      <w:r>
        <w:rPr>
          <w:rtl/>
        </w:rPr>
        <w:t>יוסף־זונדל</w:t>
      </w:r>
      <w:proofErr w:type="spellEnd"/>
      <w:r>
        <w:rPr>
          <w:rtl/>
        </w:rPr>
        <w:t xml:space="preserve"> </w:t>
      </w:r>
      <w:proofErr w:type="spellStart"/>
      <w:r>
        <w:rPr>
          <w:rtl/>
        </w:rPr>
        <w:t>מסלנט</w:t>
      </w:r>
      <w:bookmarkStart w:id="2363" w:name="_fnr1521"/>
      <w:proofErr w:type="spellEnd"/>
      <w:r>
        <w:rPr>
          <w:rStyle w:val="a5"/>
        </w:rPr>
        <w:footnoteReference w:id="1524" w:customMarkFollows="0"/>
      </w:r>
      <w:bookmarkEnd w:id="2363"/>
      <w:r>
        <w:rPr>
          <w:rtl/>
        </w:rPr>
        <w:t xml:space="preserve"> לישראל </w:t>
      </w:r>
      <w:proofErr w:type="spellStart"/>
      <w:r>
        <w:rPr>
          <w:rtl/>
        </w:rPr>
        <w:lastRenderedPageBreak/>
        <w:t>סלנטר</w:t>
      </w:r>
      <w:proofErr w:type="spellEnd"/>
      <w:r>
        <w:rPr>
          <w:rtl/>
        </w:rPr>
        <w:t xml:space="preserve"> הצעיר, נובעת מתרגום שגוי של הציטוט ביידיש ששמע ר׳ ישראל מר׳ </w:t>
      </w:r>
      <w:proofErr w:type="spellStart"/>
      <w:r>
        <w:rPr>
          <w:rtl/>
        </w:rPr>
        <w:t>יוסף־זונדל</w:t>
      </w:r>
      <w:proofErr w:type="spellEnd"/>
      <w:r>
        <w:rPr>
          <w:rtl/>
        </w:rPr>
        <w:t xml:space="preserve"> ומסר לתלמידיו [ועבר בעל פה מר׳ נפתלי אמסטרדם למחבר “שרידי אש”</w:t>
      </w:r>
      <w:bookmarkStart w:id="2364" w:name="_fnr1522"/>
      <w:r>
        <w:rPr>
          <w:rStyle w:val="a5"/>
        </w:rPr>
        <w:footnoteReference w:id="1525" w:customMarkFollows="0"/>
      </w:r>
      <w:bookmarkEnd w:id="2364"/>
      <w:r>
        <w:rPr>
          <w:rtl/>
        </w:rPr>
        <w:t xml:space="preserve">]. בכץ מובאת הוראת ר׳ </w:t>
      </w:r>
      <w:proofErr w:type="spellStart"/>
      <w:r>
        <w:rPr>
          <w:rtl/>
        </w:rPr>
        <w:t>יוסף־זונדל</w:t>
      </w:r>
      <w:proofErr w:type="spellEnd"/>
      <w:r>
        <w:rPr>
          <w:rtl/>
        </w:rPr>
        <w:t xml:space="preserve"> כך: “למד מוסר ותהא ירא שמים”, ואילו </w:t>
      </w:r>
      <w:proofErr w:type="spellStart"/>
      <w:r>
        <w:rPr>
          <w:rtl/>
        </w:rPr>
        <w:t>ב“שרידי</w:t>
      </w:r>
      <w:proofErr w:type="spellEnd"/>
      <w:r>
        <w:rPr>
          <w:rtl/>
        </w:rPr>
        <w:t xml:space="preserve"> אש”: “למד מוסר והיית איש תם וישר באמת”. מה שאמר ר׳ </w:t>
      </w:r>
      <w:proofErr w:type="spellStart"/>
      <w:r>
        <w:rPr>
          <w:rtl/>
        </w:rPr>
        <w:t>יוסף־זונדל</w:t>
      </w:r>
      <w:proofErr w:type="spellEnd"/>
      <w:r>
        <w:rPr>
          <w:rtl/>
        </w:rPr>
        <w:t xml:space="preserve"> באמת היה ביידיש: “לערן מוסר </w:t>
      </w:r>
      <w:proofErr w:type="spellStart"/>
      <w:r>
        <w:rPr>
          <w:rtl/>
        </w:rPr>
        <w:t>ועסטו</w:t>
      </w:r>
      <w:proofErr w:type="spellEnd"/>
      <w:r>
        <w:rPr>
          <w:rtl/>
        </w:rPr>
        <w:t xml:space="preserve"> זיין איין </w:t>
      </w:r>
      <w:proofErr w:type="spellStart"/>
      <w:r>
        <w:rPr>
          <w:rtl/>
        </w:rPr>
        <w:t>ערליכער</w:t>
      </w:r>
      <w:proofErr w:type="spellEnd"/>
      <w:r>
        <w:rPr>
          <w:rtl/>
        </w:rPr>
        <w:t xml:space="preserve"> איד” [למד מוסר ותהיה יהודי ישר] – ואפשר להעבירו לעברית בדרכים שונות.</w:t>
      </w:r>
    </w:p>
    <w:p w14:paraId="4CB540D4" w14:textId="77777777" w:rsidR="00AB3647" w:rsidRDefault="00000000" w:rsidP="007923E9">
      <w:pPr>
        <w:spacing w:after="120" w:line="276" w:lineRule="auto"/>
        <w:ind w:firstLine="283"/>
        <w:jc w:val="both"/>
      </w:pPr>
      <w:r>
        <w:rPr>
          <w:rtl/>
        </w:rPr>
        <w:t xml:space="preserve">כל המכיר את הלשון </w:t>
      </w:r>
      <w:proofErr w:type="spellStart"/>
      <w:r>
        <w:rPr>
          <w:rtl/>
        </w:rPr>
        <w:t>היידית־ליטאית</w:t>
      </w:r>
      <w:proofErr w:type="spellEnd"/>
      <w:r>
        <w:rPr>
          <w:rtl/>
        </w:rPr>
        <w:t xml:space="preserve"> היה מתרגם זאת בפשטות: “למד מוסר ותהיה יהודי דתי,” משום שבליטא “</w:t>
      </w:r>
      <w:proofErr w:type="spellStart"/>
      <w:r>
        <w:rPr>
          <w:rtl/>
        </w:rPr>
        <w:t>ערליכער</w:t>
      </w:r>
      <w:proofErr w:type="spellEnd"/>
      <w:r>
        <w:rPr>
          <w:rtl/>
        </w:rPr>
        <w:t xml:space="preserve"> איד” היה המונח </w:t>
      </w:r>
      <w:proofErr w:type="spellStart"/>
      <w:r>
        <w:rPr>
          <w:rtl/>
        </w:rPr>
        <w:t>ל“יהודי</w:t>
      </w:r>
      <w:proofErr w:type="spellEnd"/>
      <w:r>
        <w:rPr>
          <w:rtl/>
        </w:rPr>
        <w:t xml:space="preserve"> דתי”; באותה חברה נחשבה היושרה לביטוי המובהק של יראת שמים. לפיכך, אמרתו של ר׳ </w:t>
      </w:r>
      <w:proofErr w:type="spellStart"/>
      <w:r>
        <w:rPr>
          <w:rtl/>
        </w:rPr>
        <w:t>יוסף־זונדל</w:t>
      </w:r>
      <w:proofErr w:type="spellEnd"/>
      <w:r>
        <w:rPr>
          <w:rtl/>
        </w:rPr>
        <w:t xml:space="preserve"> הייתה </w:t>
      </w:r>
      <w:r>
        <w:rPr>
          <w:b/>
          <w:bCs/>
          <w:rtl/>
        </w:rPr>
        <w:t>הטפה</w:t>
      </w:r>
      <w:r>
        <w:rPr>
          <w:rtl/>
        </w:rPr>
        <w:t xml:space="preserve"> בלבד ללמוד מוסר, ולא הוראה ש</w:t>
      </w:r>
      <w:r>
        <w:rPr>
          <w:b/>
          <w:bCs/>
          <w:rtl/>
        </w:rPr>
        <w:t>המוסר מביא</w:t>
      </w:r>
      <w:r>
        <w:rPr>
          <w:rtl/>
        </w:rPr>
        <w:t xml:space="preserve"> את האדם להיות ירא שמים, או תם וישר. בחמש מילותיו האחרונות הוסיף ר׳ </w:t>
      </w:r>
      <w:proofErr w:type="spellStart"/>
      <w:r>
        <w:rPr>
          <w:rtl/>
        </w:rPr>
        <w:t>יוסף־זונדל</w:t>
      </w:r>
      <w:proofErr w:type="spellEnd"/>
      <w:r>
        <w:rPr>
          <w:rtl/>
        </w:rPr>
        <w:t xml:space="preserve"> פשוט שבלי לימוד מוסר אין אדם יהודי דתי!)</w:t>
      </w:r>
      <w:bookmarkStart w:id="2365" w:name="_fnr1523"/>
      <w:r>
        <w:rPr>
          <w:rStyle w:val="a5"/>
        </w:rPr>
        <w:footnoteReference w:id="1526" w:customMarkFollows="0"/>
      </w:r>
      <w:bookmarkEnd w:id="2365"/>
    </w:p>
    <w:p w14:paraId="6084F422" w14:textId="77777777" w:rsidR="00AB3647" w:rsidRDefault="00000000" w:rsidP="007923E9">
      <w:pPr>
        <w:spacing w:after="120" w:line="276" w:lineRule="auto"/>
        <w:ind w:firstLine="283"/>
        <w:jc w:val="both"/>
      </w:pPr>
      <w:r>
        <w:rPr>
          <w:rtl/>
        </w:rPr>
        <w:t>אין צורך לומר שכל אחד משלושת התלמידים הצטיין גם בתכונות שעל שמן כונו השניים האחרים. ר׳ נפתלי אמסטרדם,</w:t>
      </w:r>
      <w:bookmarkStart w:id="2366" w:name="_fnr1524"/>
      <w:r>
        <w:rPr>
          <w:rStyle w:val="a5"/>
        </w:rPr>
        <w:footnoteReference w:id="1527" w:customMarkFollows="0"/>
      </w:r>
      <w:bookmarkEnd w:id="2366"/>
      <w:r>
        <w:rPr>
          <w:rtl/>
        </w:rPr>
        <w:t xml:space="preserve"> שכונה “החסיד”, כיהן כרב בכמה קהילות. בהיותו בהלסינקי חשש שמא </w:t>
      </w:r>
      <w:proofErr w:type="spellStart"/>
      <w:r>
        <w:rPr>
          <w:rtl/>
        </w:rPr>
        <w:t>פסקיו</w:t>
      </w:r>
      <w:proofErr w:type="spellEnd"/>
      <w:r>
        <w:rPr>
          <w:rtl/>
        </w:rPr>
        <w:t xml:space="preserve"> אינם נכונים, ולכן בדק אותם במכתבים שבועיים עם רב קובנה, ר׳ </w:t>
      </w:r>
      <w:proofErr w:type="spellStart"/>
      <w:r>
        <w:rPr>
          <w:rtl/>
        </w:rPr>
        <w:t>יצחק־אלחנן</w:t>
      </w:r>
      <w:proofErr w:type="spellEnd"/>
      <w:r>
        <w:rPr>
          <w:rtl/>
        </w:rPr>
        <w:t xml:space="preserve"> </w:t>
      </w:r>
      <w:proofErr w:type="spellStart"/>
      <w:r>
        <w:rPr>
          <w:rtl/>
        </w:rPr>
        <w:t>ספקטור</w:t>
      </w:r>
      <w:proofErr w:type="spellEnd"/>
      <w:r>
        <w:rPr>
          <w:rtl/>
        </w:rPr>
        <w:t xml:space="preserve">. הוא מצא שפסקי האחרון תאמו את שלו בכל המקרים, מלבד שאלה בודדת שבה נשאר ר׳ נפתלי מפקפק בפסקו של רב קובנה אף </w:t>
      </w:r>
      <w:r>
        <w:rPr>
          <w:b/>
          <w:bCs/>
          <w:rtl/>
        </w:rPr>
        <w:t>אחרי</w:t>
      </w:r>
      <w:r>
        <w:rPr>
          <w:rtl/>
        </w:rPr>
        <w:t xml:space="preserve"> שקיבל את תשובתו המפורטת של ר׳ </w:t>
      </w:r>
      <w:proofErr w:type="spellStart"/>
      <w:r>
        <w:rPr>
          <w:rtl/>
        </w:rPr>
        <w:t>יצחק־אלחנן</w:t>
      </w:r>
      <w:proofErr w:type="spellEnd"/>
      <w:r>
        <w:rPr>
          <w:rtl/>
        </w:rPr>
        <w:t xml:space="preserve"> </w:t>
      </w:r>
      <w:proofErr w:type="spellStart"/>
      <w:r>
        <w:rPr>
          <w:rtl/>
        </w:rPr>
        <w:t>ספקטור</w:t>
      </w:r>
      <w:proofErr w:type="spellEnd"/>
      <w:r>
        <w:rPr>
          <w:rtl/>
        </w:rPr>
        <w:t>.</w:t>
      </w:r>
      <w:bookmarkStart w:id="2367" w:name="_fnr1525"/>
      <w:r>
        <w:rPr>
          <w:rStyle w:val="a5"/>
        </w:rPr>
        <w:footnoteReference w:id="1528" w:customMarkFollows="0"/>
      </w:r>
      <w:bookmarkEnd w:id="2367"/>
    </w:p>
    <w:p w14:paraId="6796A480" w14:textId="77777777" w:rsidR="00AB3647" w:rsidRDefault="00000000" w:rsidP="007923E9">
      <w:pPr>
        <w:spacing w:after="120" w:line="276" w:lineRule="auto"/>
        <w:ind w:firstLine="283"/>
        <w:jc w:val="both"/>
      </w:pPr>
      <w:r>
        <w:rPr>
          <w:rtl/>
        </w:rPr>
        <w:t xml:space="preserve">ר׳ </w:t>
      </w:r>
      <w:proofErr w:type="spellStart"/>
      <w:r>
        <w:rPr>
          <w:rtl/>
        </w:rPr>
        <w:t>שמחה־זיסל</w:t>
      </w:r>
      <w:proofErr w:type="spellEnd"/>
      <w:r>
        <w:rPr>
          <w:rtl/>
        </w:rPr>
        <w:t xml:space="preserve">, שכונה “החכם”, היה המועמד שנבחר תחילה לרבנות סנט פטרבורג, והוא העביר את החוזה </w:t>
      </w:r>
      <w:proofErr w:type="spellStart"/>
      <w:r>
        <w:rPr>
          <w:rtl/>
        </w:rPr>
        <w:t>לר</w:t>
      </w:r>
      <w:proofErr w:type="spellEnd"/>
      <w:r>
        <w:rPr>
          <w:rtl/>
        </w:rPr>
        <w:t xml:space="preserve">׳ </w:t>
      </w:r>
      <w:proofErr w:type="spellStart"/>
      <w:r>
        <w:rPr>
          <w:rtl/>
        </w:rPr>
        <w:t>איצל׳ה</w:t>
      </w:r>
      <w:proofErr w:type="spellEnd"/>
      <w:r>
        <w:rPr>
          <w:rtl/>
        </w:rPr>
        <w:t xml:space="preserve"> </w:t>
      </w:r>
      <w:proofErr w:type="spellStart"/>
      <w:r>
        <w:rPr>
          <w:rtl/>
        </w:rPr>
        <w:t>בלאזר</w:t>
      </w:r>
      <w:proofErr w:type="spellEnd"/>
      <w:r>
        <w:rPr>
          <w:rtl/>
        </w:rPr>
        <w:t>.</w:t>
      </w:r>
      <w:bookmarkStart w:id="2368" w:name="_fnr1526"/>
      <w:r>
        <w:rPr>
          <w:rStyle w:val="a5"/>
        </w:rPr>
        <w:footnoteReference w:id="1529" w:customMarkFollows="0"/>
      </w:r>
      <w:bookmarkEnd w:id="2368"/>
      <w:r>
        <w:rPr>
          <w:rtl/>
        </w:rPr>
        <w:t xml:space="preserve"> גם ר׳ </w:t>
      </w:r>
      <w:proofErr w:type="spellStart"/>
      <w:r>
        <w:rPr>
          <w:rtl/>
        </w:rPr>
        <w:t>נתן־צבי</w:t>
      </w:r>
      <w:proofErr w:type="spellEnd"/>
      <w:r>
        <w:rPr>
          <w:rtl/>
        </w:rPr>
        <w:t xml:space="preserve"> </w:t>
      </w:r>
      <w:proofErr w:type="spellStart"/>
      <w:r>
        <w:rPr>
          <w:rtl/>
        </w:rPr>
        <w:t>פינקל</w:t>
      </w:r>
      <w:proofErr w:type="spellEnd"/>
      <w:r>
        <w:rPr>
          <w:rtl/>
        </w:rPr>
        <w:t xml:space="preserve"> כתב על הסבא מקלם לאחר מותו שהיה “מעיין המתגבר וכו׳ בהלכה ופלפולה של תורה הערוך מערכות גדולות של כמה שעות לפני גדולים וגאונים”.</w:t>
      </w:r>
      <w:bookmarkStart w:id="2369" w:name="_fnr1527"/>
      <w:r>
        <w:rPr>
          <w:rStyle w:val="a5"/>
        </w:rPr>
        <w:footnoteReference w:id="1530" w:customMarkFollows="0"/>
      </w:r>
      <w:bookmarkEnd w:id="2369"/>
    </w:p>
    <w:p w14:paraId="1931AEC6" w14:textId="77777777" w:rsidR="00AB3647" w:rsidRDefault="00000000" w:rsidP="007923E9">
      <w:pPr>
        <w:spacing w:after="120" w:line="276" w:lineRule="auto"/>
        <w:ind w:firstLine="283"/>
        <w:jc w:val="both"/>
      </w:pPr>
      <w:r>
        <w:rPr>
          <w:rtl/>
        </w:rPr>
        <w:t xml:space="preserve">השווה גם את ההקדמה </w:t>
      </w:r>
      <w:proofErr w:type="spellStart"/>
      <w:r>
        <w:rPr>
          <w:rtl/>
        </w:rPr>
        <w:t>ל“כתבי</w:t>
      </w:r>
      <w:proofErr w:type="spellEnd"/>
      <w:r>
        <w:rPr>
          <w:rtl/>
        </w:rPr>
        <w:t xml:space="preserve"> הסבא”, שלפיה אמר ר׳ חיים </w:t>
      </w:r>
      <w:proofErr w:type="spellStart"/>
      <w:r>
        <w:rPr>
          <w:rtl/>
        </w:rPr>
        <w:t>סולובייצ׳יק</w:t>
      </w:r>
      <w:proofErr w:type="spellEnd"/>
      <w:r>
        <w:rPr>
          <w:rtl/>
        </w:rPr>
        <w:t xml:space="preserve">: “האימה של הגדלות נראית </w:t>
      </w:r>
      <w:proofErr w:type="spellStart"/>
      <w:r>
        <w:rPr>
          <w:rtl/>
        </w:rPr>
        <w:t>בהסבא</w:t>
      </w:r>
      <w:proofErr w:type="spellEnd"/>
      <w:r>
        <w:rPr>
          <w:rtl/>
        </w:rPr>
        <w:t xml:space="preserve"> מקלם.”</w:t>
      </w:r>
      <w:bookmarkStart w:id="2370" w:name="_fnr1528"/>
      <w:r>
        <w:rPr>
          <w:rStyle w:val="a5"/>
        </w:rPr>
        <w:footnoteReference w:id="1531" w:customMarkFollows="0"/>
      </w:r>
      <w:bookmarkEnd w:id="2370"/>
      <w:r>
        <w:rPr>
          <w:rtl/>
        </w:rPr>
        <w:t xml:space="preserve"> מאחר שר׳ חיים אינו בעל מוסר,</w:t>
      </w:r>
      <w:bookmarkStart w:id="2371" w:name="_fnr1529"/>
      <w:r>
        <w:rPr>
          <w:rStyle w:val="a5"/>
        </w:rPr>
        <w:footnoteReference w:id="1532" w:customMarkFollows="0"/>
      </w:r>
      <w:bookmarkEnd w:id="2371"/>
      <w:r>
        <w:rPr>
          <w:rtl/>
        </w:rPr>
        <w:t xml:space="preserve"> הוא ודאי מתייחס </w:t>
      </w:r>
      <w:r>
        <w:rPr>
          <w:rtl/>
        </w:rPr>
        <w:lastRenderedPageBreak/>
        <w:t xml:space="preserve">לעליונותו של ר׳ </w:t>
      </w:r>
      <w:proofErr w:type="spellStart"/>
      <w:r>
        <w:rPr>
          <w:rtl/>
        </w:rPr>
        <w:t>שמחה־זיסל</w:t>
      </w:r>
      <w:proofErr w:type="spellEnd"/>
      <w:r>
        <w:rPr>
          <w:rtl/>
        </w:rPr>
        <w:t xml:space="preserve"> בידיעת התורה בכלל. זה תואם את מה שמסר ר׳ </w:t>
      </w:r>
      <w:proofErr w:type="spellStart"/>
      <w:r>
        <w:rPr>
          <w:rtl/>
        </w:rPr>
        <w:t>יעקב־יצחק</w:t>
      </w:r>
      <w:proofErr w:type="spellEnd"/>
      <w:r>
        <w:rPr>
          <w:rtl/>
        </w:rPr>
        <w:t xml:space="preserve"> </w:t>
      </w:r>
      <w:proofErr w:type="spellStart"/>
      <w:r>
        <w:rPr>
          <w:rtl/>
        </w:rPr>
        <w:t>רודרמן</w:t>
      </w:r>
      <w:proofErr w:type="spellEnd"/>
      <w:r>
        <w:rPr>
          <w:rtl/>
        </w:rPr>
        <w:t>,</w:t>
      </w:r>
      <w:bookmarkStart w:id="2372" w:name="_fnr1530"/>
      <w:r>
        <w:rPr>
          <w:rStyle w:val="a5"/>
        </w:rPr>
        <w:footnoteReference w:id="1533" w:customMarkFollows="0"/>
      </w:r>
      <w:bookmarkEnd w:id="2372"/>
      <w:r>
        <w:rPr>
          <w:rtl/>
        </w:rPr>
        <w:t xml:space="preserve"> שר׳ לייזר גורדון הספיד את ר׳ </w:t>
      </w:r>
      <w:proofErr w:type="spellStart"/>
      <w:r>
        <w:rPr>
          <w:rtl/>
        </w:rPr>
        <w:t>שמחה־זיסל</w:t>
      </w:r>
      <w:proofErr w:type="spellEnd"/>
      <w:r>
        <w:rPr>
          <w:rtl/>
        </w:rPr>
        <w:t xml:space="preserve"> באמרו שהמנוח ידע מסכת בבא מציעא טוב ממנו.</w:t>
      </w:r>
    </w:p>
    <w:p w14:paraId="220AA777" w14:textId="77777777" w:rsidR="00AB3647" w:rsidRDefault="00000000" w:rsidP="007923E9">
      <w:pPr>
        <w:spacing w:after="120" w:line="276" w:lineRule="auto"/>
        <w:ind w:firstLine="283"/>
        <w:jc w:val="both"/>
      </w:pPr>
      <w:r>
        <w:rPr>
          <w:rtl/>
        </w:rPr>
        <w:t xml:space="preserve">[לפי ר׳ </w:t>
      </w:r>
      <w:proofErr w:type="spellStart"/>
      <w:r>
        <w:rPr>
          <w:rtl/>
        </w:rPr>
        <w:t>אהרן־דוד</w:t>
      </w:r>
      <w:proofErr w:type="spellEnd"/>
      <w:r>
        <w:rPr>
          <w:rtl/>
        </w:rPr>
        <w:t xml:space="preserve"> בורק, תלמידו של ר׳ לייזר,</w:t>
      </w:r>
      <w:bookmarkStart w:id="2373" w:name="_fnr1531"/>
      <w:r>
        <w:rPr>
          <w:rStyle w:val="a5"/>
        </w:rPr>
        <w:footnoteReference w:id="1534" w:customMarkFollows="0"/>
      </w:r>
      <w:bookmarkEnd w:id="2373"/>
      <w:r>
        <w:rPr>
          <w:rtl/>
        </w:rPr>
        <w:t xml:space="preserve"> למד ר׳ לייזר גורדון וחזר על מסכת בבא מציעא “כל ימי חייו, ואחרי שהיה ראש ישיבה </w:t>
      </w:r>
      <w:proofErr w:type="spellStart"/>
      <w:r>
        <w:rPr>
          <w:rtl/>
        </w:rPr>
        <w:t>בטלז</w:t>
      </w:r>
      <w:proofErr w:type="spellEnd"/>
      <w:r>
        <w:rPr>
          <w:rtl/>
        </w:rPr>
        <w:t xml:space="preserve"> כמה עשורים אמר בענוותנותו שאינו יודע מסכת זו וצריך ללמוד אותה לפחות עוד מאה שנה, ואז אולי ידע אותה קצת”. לפיכך, כשאמר שהסבא מקלם ידע בבא מציעא טוב ממנו, הייתה זו דרכו של ר׳ לייזר גורדון להודות שהסבא מקלם היה תלמיד חכם גדול </w:t>
      </w:r>
      <w:r>
        <w:rPr>
          <w:b/>
          <w:bCs/>
          <w:rtl/>
        </w:rPr>
        <w:t>ממנו</w:t>
      </w:r>
      <w:r>
        <w:rPr>
          <w:rtl/>
        </w:rPr>
        <w:t>!]</w:t>
      </w:r>
    </w:p>
    <w:p w14:paraId="0DC7494A" w14:textId="77777777" w:rsidR="00AB3647" w:rsidRDefault="00000000" w:rsidP="007923E9">
      <w:pPr>
        <w:spacing w:after="120" w:line="276" w:lineRule="auto"/>
        <w:ind w:firstLine="283"/>
        <w:jc w:val="both"/>
      </w:pPr>
      <w:r>
        <w:rPr>
          <w:rtl/>
        </w:rPr>
        <w:t>כץ, “תנועת המוסר”, כרך ב</w:t>
      </w:r>
      <w:bookmarkStart w:id="2374" w:name="_fnr1532"/>
      <w:r>
        <w:rPr>
          <w:rStyle w:val="a5"/>
        </w:rPr>
        <w:footnoteReference w:id="1535" w:customMarkFollows="0"/>
      </w:r>
      <w:bookmarkEnd w:id="2374"/>
      <w:r>
        <w:rPr>
          <w:rtl/>
        </w:rPr>
        <w:t xml:space="preserve">, רושם גם שר׳ לייזר גורדון אמר בהספדו שהמנוח ידע שלושה סדרים של הש״ס עם רש״י ותוספות בעל פה, ואת ארבעת חלקי השולחן ערוך עם כל סעיף קטן. </w:t>
      </w:r>
      <w:proofErr w:type="spellStart"/>
      <w:r>
        <w:rPr>
          <w:rtl/>
        </w:rPr>
        <w:t>רבינר</w:t>
      </w:r>
      <w:proofErr w:type="spellEnd"/>
      <w:r>
        <w:rPr>
          <w:rtl/>
        </w:rPr>
        <w:t>, “הגאון רבי אליעזר גורדון”</w:t>
      </w:r>
      <w:bookmarkStart w:id="2375" w:name="_fnr1533"/>
      <w:r>
        <w:rPr>
          <w:rStyle w:val="a5"/>
        </w:rPr>
        <w:footnoteReference w:id="1536" w:customMarkFollows="0"/>
      </w:r>
      <w:bookmarkEnd w:id="2375"/>
      <w:r>
        <w:rPr>
          <w:rtl/>
        </w:rPr>
        <w:t xml:space="preserve"> מצטט מר׳ אפרים </w:t>
      </w:r>
      <w:proofErr w:type="spellStart"/>
      <w:r>
        <w:rPr>
          <w:rtl/>
        </w:rPr>
        <w:t>בורודיאנסקי</w:t>
      </w:r>
      <w:proofErr w:type="spellEnd"/>
      <w:r>
        <w:rPr>
          <w:rtl/>
        </w:rPr>
        <w:t xml:space="preserve"> גרסה מפורטת בהרבה: “שמעתי מהרבה אישי תורה שנכחו בהלוויה של הסבא מקלם שר׳ לייזר גורדון קרא לו ‘רבי’ ומנה את שבחו, דהיינו, שידע את הש״ס היטב עם רוב הראשונים המפורסמים ואת ארבעת חלקי השולחן ערוך עם נושאי הכלים, וגם היה בקי בתלמוד ירושלמי. כשסיים ר׳ לייזר את ההספד והתחילה הלוויה לנוע, הזכירו לו שאמר פעם שר׳ </w:t>
      </w:r>
      <w:proofErr w:type="spellStart"/>
      <w:r>
        <w:rPr>
          <w:rtl/>
        </w:rPr>
        <w:t>שמחה־זיסל</w:t>
      </w:r>
      <w:proofErr w:type="spellEnd"/>
      <w:r>
        <w:rPr>
          <w:rtl/>
        </w:rPr>
        <w:t xml:space="preserve"> יודע גם </w:t>
      </w:r>
      <w:proofErr w:type="spellStart"/>
      <w:r>
        <w:rPr>
          <w:rtl/>
        </w:rPr>
        <w:t>תוספתא</w:t>
      </w:r>
      <w:proofErr w:type="spellEnd"/>
      <w:r>
        <w:rPr>
          <w:rtl/>
        </w:rPr>
        <w:t>, ספרא, ספרי ומכילתא. ר׳ לייזר עצר את התהלוכה, עלה שוב לבימה, ואמר ששכח להזכיר שהמנוח הגדול היה בקי גם בהם.”</w:t>
      </w:r>
    </w:p>
    <w:p w14:paraId="3153532E" w14:textId="77777777" w:rsidR="00AB3647" w:rsidRDefault="00000000" w:rsidP="007923E9">
      <w:pPr>
        <w:spacing w:after="120" w:line="276" w:lineRule="auto"/>
        <w:ind w:firstLine="283"/>
        <w:jc w:val="both"/>
      </w:pPr>
      <w:r>
        <w:rPr>
          <w:rtl/>
        </w:rPr>
        <w:t>והשווה גם שם</w:t>
      </w:r>
      <w:bookmarkStart w:id="2376" w:name="_fnr1534"/>
      <w:r>
        <w:rPr>
          <w:rStyle w:val="a5"/>
        </w:rPr>
        <w:footnoteReference w:id="1537" w:customMarkFollows="0"/>
      </w:r>
      <w:bookmarkEnd w:id="2376"/>
      <w:r>
        <w:rPr>
          <w:rtl/>
        </w:rPr>
        <w:t xml:space="preserve">, שבזמן שר׳ לייזר גורדון היה רב </w:t>
      </w:r>
      <w:proofErr w:type="spellStart"/>
      <w:r>
        <w:rPr>
          <w:rtl/>
        </w:rPr>
        <w:t>בקלם</w:t>
      </w:r>
      <w:proofErr w:type="spellEnd"/>
      <w:r>
        <w:rPr>
          <w:rtl/>
        </w:rPr>
        <w:t xml:space="preserve">, “ביקרו הסבא מקלם בכל בוקר שבת אחרי התפילה ודנו בדברי הלכה במשך שעות רבות”. דבר זה ודאי אירע במשך חלק גדול מתשע או עשר שנות כהונתו של ר׳ לייזר גורדון </w:t>
      </w:r>
      <w:proofErr w:type="spellStart"/>
      <w:r>
        <w:rPr>
          <w:rtl/>
        </w:rPr>
        <w:t>בקלם</w:t>
      </w:r>
      <w:proofErr w:type="spellEnd"/>
      <w:r>
        <w:rPr>
          <w:rtl/>
        </w:rPr>
        <w:t xml:space="preserve">, ולפני שפתח הסבא מקלם את בית ספרו </w:t>
      </w:r>
      <w:proofErr w:type="spellStart"/>
      <w:r>
        <w:rPr>
          <w:rtl/>
        </w:rPr>
        <w:t>בגרובין</w:t>
      </w:r>
      <w:bookmarkStart w:id="2377" w:name="_fnr1535"/>
      <w:proofErr w:type="spellEnd"/>
      <w:r>
        <w:rPr>
          <w:rStyle w:val="a5"/>
        </w:rPr>
        <w:footnoteReference w:id="1538" w:customMarkFollows="0"/>
      </w:r>
      <w:bookmarkEnd w:id="2377"/>
      <w:r>
        <w:rPr>
          <w:rtl/>
        </w:rPr>
        <w:t xml:space="preserve"> – ואולי אף אחר כך, בביקוריו של הסבא מקלם בביתו </w:t>
      </w:r>
      <w:proofErr w:type="spellStart"/>
      <w:r>
        <w:rPr>
          <w:rtl/>
        </w:rPr>
        <w:t>שבקלם</w:t>
      </w:r>
      <w:proofErr w:type="spellEnd"/>
      <w:r>
        <w:rPr>
          <w:rtl/>
        </w:rPr>
        <w:t>. יש גם שלוש תשובות</w:t>
      </w:r>
      <w:bookmarkStart w:id="2378" w:name="_fnr1536"/>
      <w:r>
        <w:rPr>
          <w:rStyle w:val="a5"/>
        </w:rPr>
        <w:footnoteReference w:id="1539" w:customMarkFollows="0"/>
      </w:r>
      <w:bookmarkEnd w:id="2378"/>
      <w:r>
        <w:rPr>
          <w:rtl/>
        </w:rPr>
        <w:t xml:space="preserve"> </w:t>
      </w:r>
      <w:proofErr w:type="spellStart"/>
      <w:r>
        <w:rPr>
          <w:rtl/>
        </w:rPr>
        <w:t>לר</w:t>
      </w:r>
      <w:proofErr w:type="spellEnd"/>
      <w:r>
        <w:rPr>
          <w:rtl/>
        </w:rPr>
        <w:t xml:space="preserve">׳ </w:t>
      </w:r>
      <w:proofErr w:type="spellStart"/>
      <w:r>
        <w:rPr>
          <w:rtl/>
        </w:rPr>
        <w:t>שמחה־זיסל</w:t>
      </w:r>
      <w:proofErr w:type="spellEnd"/>
      <w:r>
        <w:rPr>
          <w:rtl/>
        </w:rPr>
        <w:t xml:space="preserve"> </w:t>
      </w:r>
      <w:proofErr w:type="spellStart"/>
      <w:r>
        <w:rPr>
          <w:rtl/>
        </w:rPr>
        <w:t>ב“שו״ת</w:t>
      </w:r>
      <w:proofErr w:type="spellEnd"/>
      <w:r>
        <w:rPr>
          <w:rtl/>
        </w:rPr>
        <w:t xml:space="preserve"> זכר </w:t>
      </w:r>
      <w:proofErr w:type="spellStart"/>
      <w:r>
        <w:rPr>
          <w:rtl/>
        </w:rPr>
        <w:t>יהוסף</w:t>
      </w:r>
      <w:proofErr w:type="spellEnd"/>
      <w:r>
        <w:rPr>
          <w:rtl/>
        </w:rPr>
        <w:t xml:space="preserve">” מאת הגאון הגדול, רב שאוול</w:t>
      </w:r>
      <w:proofErr w:type="spellStart"/>
      <w:r>
        <w:rPr>
          <w:rtl/>
        </w:rPr>
        <w:t xml:space="preserve"/>
      </w:r>
      <w:proofErr w:type="spellEnd"/>
      <w:r>
        <w:rPr>
          <w:rtl/>
        </w:rPr>
        <w:t xml:space="preserve">, ר׳ </w:t>
      </w:r>
      <w:proofErr w:type="spellStart"/>
      <w:r>
        <w:rPr>
          <w:rtl/>
        </w:rPr>
        <w:t>יוסף־זכריה</w:t>
      </w:r>
      <w:proofErr w:type="spellEnd"/>
      <w:r>
        <w:rPr>
          <w:rtl/>
        </w:rPr>
        <w:t xml:space="preserve"> שטרן.</w:t>
      </w:r>
      <w:bookmarkStart w:id="2379" w:name="_fnr1537"/>
      <w:r>
        <w:rPr>
          <w:rStyle w:val="a5"/>
        </w:rPr>
        <w:footnoteReference w:id="1540" w:customMarkFollows="0"/>
      </w:r>
      <w:bookmarkEnd w:id="2379"/>
    </w:p>
    <w:p w14:paraId="64AAE77F" w14:textId="77777777" w:rsidR="00AB3647" w:rsidRDefault="00000000" w:rsidP="007923E9">
      <w:pPr>
        <w:spacing w:after="120" w:line="276" w:lineRule="auto"/>
        <w:ind w:firstLine="283"/>
        <w:jc w:val="both"/>
      </w:pPr>
      <w:r>
        <w:rPr>
          <w:rtl/>
        </w:rPr>
        <w:t>השווה גם “פליטת סופרים” מאת פלטיאל בירנבוים,</w:t>
      </w:r>
      <w:bookmarkStart w:id="2380" w:name="_fnr1538"/>
      <w:r>
        <w:rPr>
          <w:rStyle w:val="a5"/>
        </w:rPr>
        <w:footnoteReference w:id="1541" w:customMarkFollows="0"/>
      </w:r>
      <w:bookmarkEnd w:id="2380"/>
      <w:r>
        <w:rPr>
          <w:rtl/>
        </w:rPr>
        <w:t xml:space="preserve"> המתאר את הסבא מקלם תיאור זר לאופיו ושגוי בעליל. הוא טוען שהסבא מקלם השתדל תמיד להיראות כאדם פשוט ביותר והתנגד שיקראו לו “רב”. אחרי התפילה היה אומר תהלים, ורק כשבית המדרש התרוקן מאנשים היה מוציא כרך גמרא, וכשמישהו נכנס הסתיר את הגמרא וחזר לתהלים. בירנבוים </w:t>
      </w:r>
      <w:r>
        <w:rPr>
          <w:rtl/>
        </w:rPr>
        <w:lastRenderedPageBreak/>
        <w:t xml:space="preserve">ודאי בלבל את הסבא מקלם עם ר׳ </w:t>
      </w:r>
      <w:proofErr w:type="spellStart"/>
      <w:r>
        <w:rPr>
          <w:rtl/>
        </w:rPr>
        <w:t>אבהל׳ה</w:t>
      </w:r>
      <w:proofErr w:type="spellEnd"/>
      <w:r>
        <w:rPr>
          <w:rtl/>
        </w:rPr>
        <w:t xml:space="preserve"> מקרוז, שחי מאה שנה שלמה קודם לכן. צאצאו בן זמננו, ר׳ ישראל </w:t>
      </w:r>
      <w:proofErr w:type="spellStart"/>
      <w:r>
        <w:rPr>
          <w:rtl/>
        </w:rPr>
        <w:t>שורין</w:t>
      </w:r>
      <w:proofErr w:type="spellEnd"/>
      <w:r>
        <w:rPr>
          <w:rtl/>
        </w:rPr>
        <w:t xml:space="preserve">, ייחס </w:t>
      </w:r>
      <w:proofErr w:type="spellStart"/>
      <w:r>
        <w:rPr>
          <w:rtl/>
        </w:rPr>
        <w:t>לר</w:t>
      </w:r>
      <w:proofErr w:type="spellEnd"/>
      <w:r>
        <w:rPr>
          <w:rtl/>
        </w:rPr>
        <w:t xml:space="preserve">׳ </w:t>
      </w:r>
      <w:proofErr w:type="spellStart"/>
      <w:r>
        <w:rPr>
          <w:rtl/>
        </w:rPr>
        <w:t>אבהל׳ה</w:t>
      </w:r>
      <w:proofErr w:type="spellEnd"/>
      <w:r>
        <w:rPr>
          <w:rtl/>
        </w:rPr>
        <w:t xml:space="preserve"> התנהגות זו בדיוק.</w:t>
      </w:r>
      <w:bookmarkStart w:id="2381" w:name="_fnr1539"/>
      <w:r>
        <w:rPr>
          <w:rStyle w:val="a5"/>
        </w:rPr>
        <w:footnoteReference w:id="1542" w:customMarkFollows="0"/>
      </w:r>
      <w:bookmarkEnd w:id="2381"/>
    </w:p>
    <w:p w14:paraId="0B7FE089" w14:textId="77777777" w:rsidR="00AB3647" w:rsidRDefault="00000000" w:rsidP="007923E9">
      <w:pPr>
        <w:spacing w:after="120" w:line="276" w:lineRule="auto"/>
        <w:ind w:firstLine="283"/>
        <w:jc w:val="both"/>
      </w:pPr>
      <w:r>
        <w:rPr>
          <w:rtl/>
        </w:rPr>
        <w:t xml:space="preserve">ר׳ ישראל </w:t>
      </w:r>
      <w:proofErr w:type="spellStart"/>
      <w:r>
        <w:rPr>
          <w:rtl/>
        </w:rPr>
        <w:t>שורין</w:t>
      </w:r>
      <w:proofErr w:type="spellEnd"/>
      <w:r>
        <w:rPr>
          <w:rtl/>
        </w:rPr>
        <w:t xml:space="preserve"> מסר גם על המעשה המסופר </w:t>
      </w:r>
      <w:proofErr w:type="spellStart"/>
      <w:r>
        <w:rPr>
          <w:rtl/>
        </w:rPr>
        <w:t>ב“הגאון</w:t>
      </w:r>
      <w:proofErr w:type="spellEnd"/>
      <w:r>
        <w:rPr>
          <w:rtl/>
        </w:rPr>
        <w:t xml:space="preserve"> החסיד </w:t>
      </w:r>
      <w:proofErr w:type="spellStart"/>
      <w:r>
        <w:rPr>
          <w:rtl/>
        </w:rPr>
        <w:t>מוילנא</w:t>
      </w:r>
      <w:proofErr w:type="spellEnd"/>
      <w:r>
        <w:rPr>
          <w:rtl/>
        </w:rPr>
        <w:t xml:space="preserve">” מאת בצלאל </w:t>
      </w:r>
      <w:proofErr w:type="spellStart"/>
      <w:r>
        <w:rPr>
          <w:rtl/>
        </w:rPr>
        <w:t>לנדוי</w:t>
      </w:r>
      <w:proofErr w:type="spellEnd"/>
      <w:r>
        <w:rPr>
          <w:rtl/>
        </w:rPr>
        <w:t>,</w:t>
      </w:r>
      <w:bookmarkStart w:id="2382" w:name="_fnr1540"/>
      <w:r>
        <w:rPr>
          <w:rStyle w:val="a5"/>
        </w:rPr>
        <w:footnoteReference w:id="1543" w:customMarkFollows="0"/>
      </w:r>
      <w:bookmarkEnd w:id="2382"/>
      <w:r>
        <w:rPr>
          <w:rtl/>
        </w:rPr>
        <w:t xml:space="preserve"> על “צדיק נסתר ר׳ לייב”, שגדלותו התגלתה כשהגאון מווילנה שלח לו הזמנה חתומה וסודית להצטרף אליו במסעו המתוכנן לארץ ישראל.</w:t>
      </w:r>
      <w:bookmarkStart w:id="2383" w:name="_fnr1541"/>
      <w:r>
        <w:rPr>
          <w:rStyle w:val="a5"/>
        </w:rPr>
        <w:footnoteReference w:id="1544" w:customMarkFollows="0"/>
      </w:r>
      <w:bookmarkEnd w:id="2383"/>
      <w:r>
        <w:rPr>
          <w:rtl/>
        </w:rPr>
        <w:t xml:space="preserve"> לדבריו, מעשה זה אירע באמת עם ר׳ </w:t>
      </w:r>
      <w:proofErr w:type="spellStart"/>
      <w:r>
        <w:rPr>
          <w:rtl/>
        </w:rPr>
        <w:t>אבהל׳ה</w:t>
      </w:r>
      <w:proofErr w:type="spellEnd"/>
      <w:r>
        <w:rPr>
          <w:rtl/>
        </w:rPr>
        <w:t xml:space="preserve">. הוא לא השליך את מכתב הגאון מווילנה לתנור שעליו עבד בזיקוק יי״ש, כמו בסיפור המודפס, אלא הכניסו לכיסו – עיסוקו של ר׳ </w:t>
      </w:r>
      <w:proofErr w:type="spellStart"/>
      <w:r>
        <w:rPr>
          <w:rtl/>
        </w:rPr>
        <w:t>אבהל׳ה</w:t>
      </w:r>
      <w:proofErr w:type="spellEnd"/>
      <w:r>
        <w:rPr>
          <w:rtl/>
        </w:rPr>
        <w:t xml:space="preserve"> היה טחינת גריסים. השווה גם שם</w:t>
      </w:r>
      <w:bookmarkStart w:id="2384" w:name="_fnr1542"/>
      <w:r>
        <w:rPr>
          <w:rStyle w:val="a5"/>
        </w:rPr>
        <w:footnoteReference w:id="1545" w:customMarkFollows="0"/>
      </w:r>
      <w:bookmarkEnd w:id="2384"/>
      <w:r>
        <w:rPr>
          <w:rtl/>
        </w:rPr>
        <w:t xml:space="preserve">, המצטט את ר׳ אריה לוין, המייחס אף הוא את הסיפור על ר׳ לייב </w:t>
      </w:r>
      <w:proofErr w:type="spellStart"/>
      <w:r>
        <w:rPr>
          <w:rtl/>
        </w:rPr>
        <w:t>לר</w:t>
      </w:r>
      <w:proofErr w:type="spellEnd"/>
      <w:r>
        <w:rPr>
          <w:rtl/>
        </w:rPr>
        <w:t xml:space="preserve">׳ </w:t>
      </w:r>
      <w:proofErr w:type="spellStart"/>
      <w:r>
        <w:rPr>
          <w:rtl/>
        </w:rPr>
        <w:t>אבהל׳ה</w:t>
      </w:r>
      <w:proofErr w:type="spellEnd"/>
      <w:r>
        <w:rPr>
          <w:rtl/>
        </w:rPr>
        <w:t>.</w:t>
      </w:r>
    </w:p>
    <w:p w14:paraId="43D5A2BD" w14:textId="5F2E63FC" w:rsidR="00AB3647" w:rsidRDefault="00000000" w:rsidP="007923E9">
      <w:pPr>
        <w:spacing w:after="120" w:line="276" w:lineRule="auto"/>
        <w:ind w:firstLine="283"/>
        <w:jc w:val="both"/>
      </w:pPr>
      <w:r>
        <w:rPr>
          <w:rtl/>
        </w:rPr>
        <w:t xml:space="preserve">לעומת זאת, “שם הגדולים השלישי” מאת משה </w:t>
      </w:r>
      <w:proofErr w:type="spellStart"/>
      <w:r>
        <w:rPr>
          <w:rtl/>
        </w:rPr>
        <w:t>מארקאוויץ</w:t>
      </w:r>
      <w:bookmarkStart w:id="2385" w:name="_fnr1543"/>
      <w:proofErr w:type="spellEnd"/>
      <w:r>
        <w:rPr>
          <w:rStyle w:val="a5"/>
        </w:rPr>
        <w:footnoteReference w:id="1546" w:customMarkFollows="0"/>
      </w:r>
      <w:bookmarkEnd w:id="2385"/>
      <w:r>
        <w:rPr>
          <w:rtl/>
        </w:rPr>
        <w:t xml:space="preserve"> רושם שגדלותו של ר׳ </w:t>
      </w:r>
      <w:proofErr w:type="spellStart"/>
      <w:r>
        <w:rPr>
          <w:rtl/>
        </w:rPr>
        <w:t>אבהל׳ה</w:t>
      </w:r>
      <w:proofErr w:type="spellEnd"/>
      <w:r>
        <w:rPr>
          <w:rtl/>
        </w:rPr>
        <w:t xml:space="preserve"> התגלתה במקרה לתושבי קרוז, משום ששליח הביא לפניו שאלה הלכתית – לא מהגאון מווילנה, אלא מברודי שבגליציה. הוא מספר גם שאחר כך חדל ר׳ </w:t>
      </w:r>
      <w:proofErr w:type="spellStart"/>
      <w:r>
        <w:rPr>
          <w:rtl/>
        </w:rPr>
        <w:t>אבהל׳ה</w:t>
      </w:r>
      <w:proofErr w:type="spellEnd"/>
      <w:r>
        <w:rPr>
          <w:rtl/>
        </w:rPr>
        <w:t xml:space="preserve"> להסתיר את גדלותו, ור׳ רפאל, לימים רב המבורג,</w:t>
      </w:r>
      <w:bookmarkStart w:id="2386" w:name="_fnr1544"/>
      <w:r>
        <w:rPr>
          <w:rStyle w:val="a5"/>
        </w:rPr>
        <w:footnoteReference w:id="1547" w:customMarkFollows="0"/>
      </w:r>
      <w:bookmarkEnd w:id="2386"/>
      <w:r>
        <w:rPr>
          <w:rtl/>
        </w:rPr>
        <w:t xml:space="preserve"> נעשה לאחד מתלמידיו. מסופר שקברו היה מקום תפילה עד שלא ניתן עוד לאתרו – דבר שהיה “פלא בעיני זקני העיר”. ר׳ ישראל </w:t>
      </w:r>
      <w:proofErr w:type="spellStart"/>
      <w:r>
        <w:rPr>
          <w:rtl/>
        </w:rPr>
        <w:t>שורין</w:t>
      </w:r>
      <w:proofErr w:type="spellEnd"/>
      <w:r>
        <w:rPr>
          <w:rtl/>
        </w:rPr>
        <w:t xml:space="preserve"> הוסיף שהקבר היה בעיירת הולדתו </w:t>
      </w:r>
      <w:proofErr w:type="spellStart"/>
      <w:r>
        <w:rPr>
          <w:rtl/>
        </w:rPr>
        <w:t>ריטובה</w:t>
      </w:r>
      <w:proofErr w:type="spellEnd"/>
      <w:r>
        <w:rPr>
          <w:rtl/>
        </w:rPr>
        <w:t xml:space="preserve">, ושהיה אתר עלייה לרגל בכל ראש חודש אלול עד שנעלם. ובכך גדל עוד יותר הפלא שבהיעלמות! השווה גם פרק 4, </w:t>
      </w:r>
      <w:r>
        <w:rPr>
          <w:rtl/>
        </w:rPr>
        <w:fldChar w:fldCharType="begin" w:dirty="true"/>
      </w:r>
      <w:r>
        <w:rPr>
          <w:rtl/>
        </w:rPr>
        <w:instrText xml:space="preserve"> REF b4_excJ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w:t>
      </w:r>
      <w:r>
        <w:rPr>
          <w:rtl/>
        </w:rPr>
        <w:fldChar w:fldCharType="end"/>
      </w:r>
      <w:r>
        <w:rPr>
          <w:rtl/>
        </w:rPr>
        <w:t xml:space="preserve">, שההתנהגות שמייחס “פליטת סופרים” </w:t>
      </w:r>
      <w:proofErr w:type="spellStart"/>
      <w:r>
        <w:rPr>
          <w:rtl/>
        </w:rPr>
        <w:t>לר</w:t>
      </w:r>
      <w:proofErr w:type="spellEnd"/>
      <w:r>
        <w:rPr>
          <w:rtl/>
        </w:rPr>
        <w:t xml:space="preserve">׳ </w:t>
      </w:r>
      <w:proofErr w:type="spellStart"/>
      <w:r>
        <w:rPr>
          <w:rtl/>
        </w:rPr>
        <w:t>שמחה־זיסל</w:t>
      </w:r>
      <w:proofErr w:type="spellEnd"/>
      <w:r>
        <w:rPr>
          <w:rtl/>
        </w:rPr>
        <w:t xml:space="preserve"> סותרת את עקרונות ר׳ ישראל.</w:t>
      </w:r>
    </w:p>
    <w:p w14:paraId="75D1049F" w14:textId="77777777" w:rsidR="00AB3647" w:rsidRDefault="00000000" w:rsidP="007923E9">
      <w:pPr>
        <w:spacing w:after="120" w:line="276" w:lineRule="auto"/>
        <w:ind w:firstLine="283"/>
        <w:jc w:val="both"/>
      </w:pPr>
      <w:r>
        <w:rPr>
          <w:rtl/>
        </w:rPr>
        <w:t>שלושת התלמידים אם כן</w:t>
      </w:r>
      <w:bookmarkStart w:id="2387" w:name="_fnr1545"/>
      <w:r>
        <w:rPr>
          <w:rStyle w:val="a5"/>
        </w:rPr>
        <w:footnoteReference w:id="1548" w:customMarkFollows="0"/>
      </w:r>
      <w:bookmarkEnd w:id="2387"/>
      <w:r>
        <w:rPr>
          <w:rtl/>
        </w:rPr>
        <w:t xml:space="preserve"> היו כולם “למדנים” מובהקים. ובהיותם ראשי תנועת המוסר, היו שלושתם גם חסידים. וכולם היו גם חכמים, בהתאם לעיקרון היסוד של המוסר שיש להיות חכם </w:t>
      </w:r>
      <w:r>
        <w:rPr>
          <w:b/>
          <w:bCs/>
          <w:rtl/>
        </w:rPr>
        <w:t>כדי</w:t>
      </w:r>
      <w:r>
        <w:rPr>
          <w:rtl/>
        </w:rPr>
        <w:t xml:space="preserve"> להיות חסיד.</w:t>
      </w:r>
      <w:bookmarkStart w:id="2388" w:name="_fnr1546"/>
      <w:r>
        <w:rPr>
          <w:rStyle w:val="a5"/>
        </w:rPr>
        <w:footnoteReference w:id="1549" w:customMarkFollows="0"/>
      </w:r>
      <w:bookmarkEnd w:id="2388"/>
      <w:r>
        <w:rPr>
          <w:rtl/>
        </w:rPr>
        <w:t xml:space="preserve"> עיקרון זה מנע מתנועת המוסר להיעשות פופוליסטית, ככתוב “לא רבים יחכמו”.</w:t>
      </w:r>
      <w:bookmarkStart w:id="2389" w:name="_fnr1547"/>
      <w:r>
        <w:rPr>
          <w:rStyle w:val="a5"/>
        </w:rPr>
        <w:footnoteReference w:id="1550" w:customMarkFollows="0"/>
      </w:r>
      <w:bookmarkEnd w:id="2389"/>
    </w:p>
    <w:p w14:paraId="6EAB5167" w14:textId="77777777" w:rsidR="00AB3647" w:rsidRDefault="00000000" w:rsidP="007923E9">
      <w:pPr>
        <w:spacing w:after="120" w:line="276" w:lineRule="auto"/>
        <w:ind w:firstLine="283"/>
        <w:jc w:val="both"/>
      </w:pPr>
      <w:r>
        <w:rPr>
          <w:rtl/>
        </w:rPr>
        <w:t xml:space="preserve">כשנפטר ר׳ </w:t>
      </w:r>
      <w:proofErr w:type="spellStart"/>
      <w:r>
        <w:rPr>
          <w:rtl/>
        </w:rPr>
        <w:t>איצל׳ה</w:t>
      </w:r>
      <w:proofErr w:type="spellEnd"/>
      <w:r>
        <w:rPr>
          <w:rtl/>
        </w:rPr>
        <w:t xml:space="preserve">, סמך ר׳ </w:t>
      </w:r>
      <w:proofErr w:type="spellStart"/>
      <w:r>
        <w:rPr>
          <w:rtl/>
        </w:rPr>
        <w:t>אברהם־יצחק</w:t>
      </w:r>
      <w:proofErr w:type="spellEnd"/>
      <w:r>
        <w:rPr>
          <w:rtl/>
        </w:rPr>
        <w:t xml:space="preserve"> קוק, אז רב יפו, על </w:t>
      </w:r>
      <w:proofErr w:type="spellStart"/>
      <w:r>
        <w:rPr>
          <w:rtl/>
        </w:rPr>
        <w:t>קולתו</w:t>
      </w:r>
      <w:proofErr w:type="spellEnd"/>
      <w:r>
        <w:rPr>
          <w:rtl/>
        </w:rPr>
        <w:t xml:space="preserve"> של רב פראג, ר׳ יחזקאל </w:t>
      </w:r>
      <w:proofErr w:type="spellStart"/>
      <w:r>
        <w:rPr>
          <w:rtl/>
        </w:rPr>
        <w:t>לנדא</w:t>
      </w:r>
      <w:proofErr w:type="spellEnd"/>
      <w:r>
        <w:rPr>
          <w:rtl/>
        </w:rPr>
        <w:t>,</w:t>
      </w:r>
      <w:bookmarkStart w:id="2390" w:name="_fnr1548"/>
      <w:r>
        <w:rPr>
          <w:rStyle w:val="a5"/>
        </w:rPr>
        <w:footnoteReference w:id="1551" w:customMarkFollows="0"/>
      </w:r>
      <w:bookmarkEnd w:id="2390"/>
      <w:r>
        <w:rPr>
          <w:rtl/>
        </w:rPr>
        <w:t xml:space="preserve"> והתעלם מצוואתו של ר׳ </w:t>
      </w:r>
      <w:proofErr w:type="spellStart"/>
      <w:r>
        <w:rPr>
          <w:rtl/>
        </w:rPr>
        <w:t>איצל׳ה</w:t>
      </w:r>
      <w:proofErr w:type="spellEnd"/>
      <w:r>
        <w:rPr>
          <w:rtl/>
        </w:rPr>
        <w:t xml:space="preserve"> </w:t>
      </w:r>
      <w:proofErr w:type="spellStart"/>
      <w:r>
        <w:rPr>
          <w:rtl/>
        </w:rPr>
        <w:t>בלאזר</w:t>
      </w:r>
      <w:proofErr w:type="spellEnd"/>
      <w:r>
        <w:rPr>
          <w:rtl/>
        </w:rPr>
        <w:t xml:space="preserve"> שלא להספידו. הרב </w:t>
      </w:r>
      <w:proofErr w:type="spellStart"/>
      <w:r>
        <w:rPr>
          <w:rtl/>
        </w:rPr>
        <w:t>לנדא</w:t>
      </w:r>
      <w:proofErr w:type="spellEnd"/>
      <w:r>
        <w:rPr>
          <w:rtl/>
        </w:rPr>
        <w:t xml:space="preserve"> פסק שמותר להספיד גדול הדור שנפטר שלא ברשותו. ר׳ </w:t>
      </w:r>
      <w:proofErr w:type="spellStart"/>
      <w:r>
        <w:rPr>
          <w:rtl/>
        </w:rPr>
        <w:t>אברהם־יצחק</w:t>
      </w:r>
      <w:proofErr w:type="spellEnd"/>
      <w:r>
        <w:rPr>
          <w:rtl/>
        </w:rPr>
        <w:t xml:space="preserve"> קוק אמר שאף שאין בידינו להכריע מי גדול ההלכה שבדור, ר׳ </w:t>
      </w:r>
      <w:proofErr w:type="spellStart"/>
      <w:r>
        <w:rPr>
          <w:rtl/>
        </w:rPr>
        <w:t>איצל׳ה</w:t>
      </w:r>
      <w:proofErr w:type="spellEnd"/>
      <w:r>
        <w:rPr>
          <w:rtl/>
        </w:rPr>
        <w:t xml:space="preserve"> ודאי היה גדול החסידות.</w:t>
      </w:r>
      <w:bookmarkStart w:id="2391" w:name="_fnr1549"/>
      <w:r>
        <w:rPr>
          <w:rStyle w:val="a5"/>
        </w:rPr>
        <w:footnoteReference w:id="1552" w:customMarkFollows="0"/>
      </w:r>
      <w:bookmarkEnd w:id="2391"/>
    </w:p>
    <w:p w14:paraId="3D5ED02F" w14:textId="77777777" w:rsidR="00AB3647" w:rsidRDefault="00000000" w:rsidP="007923E9">
      <w:pPr>
        <w:pStyle w:val="4"/>
        <w:spacing w:line="276" w:lineRule="auto"/>
      </w:pPr>
      <w:r>
        <w:lastRenderedPageBreak/>
        <w:t>· הפסקה השנייה ·</w:t>
      </w:r>
    </w:p>
    <w:p w14:paraId="796566F9" w14:textId="77777777" w:rsidR="00AB3647" w:rsidRDefault="00000000" w:rsidP="007923E9">
      <w:pPr>
        <w:pStyle w:val="5"/>
        <w:spacing w:line="276" w:lineRule="auto"/>
      </w:pPr>
      <w:r>
        <w:t xml:space="preserve">מתי נולד ר׳ </w:t>
      </w:r>
      <w:proofErr w:type="spellStart"/>
      <w:r>
        <w:t>שמחה־זיסל</w:t>
      </w:r>
      <w:proofErr w:type="spellEnd"/>
      <w:r>
        <w:t xml:space="preserve"> זיו</w:t>
      </w:r>
    </w:p>
    <w:p w14:paraId="422C5EBC" w14:textId="77777777" w:rsidR="00AB3647" w:rsidRDefault="00000000" w:rsidP="007923E9">
      <w:pPr>
        <w:spacing w:after="120" w:line="276" w:lineRule="auto"/>
        <w:ind w:firstLine="283"/>
        <w:jc w:val="both"/>
      </w:pPr>
      <w:r>
        <w:rPr>
          <w:rtl/>
        </w:rPr>
        <w:t xml:space="preserve">בעניין שנת לידתו של ר׳ </w:t>
      </w:r>
      <w:proofErr w:type="spellStart"/>
      <w:r>
        <w:rPr>
          <w:rtl/>
        </w:rPr>
        <w:t>שמחה־זיסל</w:t>
      </w:r>
      <w:proofErr w:type="spellEnd"/>
      <w:r>
        <w:rPr>
          <w:rtl/>
        </w:rPr>
        <w:t xml:space="preserve"> זיו כותב הרב מאיר י. </w:t>
      </w:r>
      <w:proofErr w:type="spellStart"/>
      <w:r>
        <w:rPr>
          <w:rtl/>
        </w:rPr>
        <w:t>שוואב</w:t>
      </w:r>
      <w:bookmarkStart w:id="2392" w:name="_fnr1550"/>
      <w:proofErr w:type="spellEnd"/>
      <w:r>
        <w:rPr>
          <w:rStyle w:val="a5"/>
        </w:rPr>
        <w:footnoteReference w:id="1553" w:customMarkFollows="0"/>
      </w:r>
      <w:bookmarkEnd w:id="2392"/>
      <w:r>
        <w:rPr>
          <w:rtl/>
        </w:rPr>
        <w:t xml:space="preserve"> שר׳ אלי׳ </w:t>
      </w:r>
      <w:proofErr w:type="spellStart"/>
      <w:r>
        <w:rPr>
          <w:rtl/>
        </w:rPr>
        <w:t>לופיאן</w:t>
      </w:r>
      <w:proofErr w:type="spellEnd"/>
      <w:r>
        <w:rPr>
          <w:rtl/>
        </w:rPr>
        <w:t xml:space="preserve"> (תרל״א–תש״ל), “קרוב ל־90 באותו זמן”, מסר </w:t>
      </w:r>
      <w:proofErr w:type="spellStart"/>
      <w:r>
        <w:rPr>
          <w:rtl/>
        </w:rPr>
        <w:t>ש“כשהיה</w:t>
      </w:r>
      <w:proofErr w:type="spellEnd"/>
      <w:r>
        <w:rPr>
          <w:rtl/>
        </w:rPr>
        <w:t xml:space="preserve"> תלמיד צעיר שמע מרבו, ר׳ </w:t>
      </w:r>
      <w:proofErr w:type="spellStart"/>
      <w:r>
        <w:rPr>
          <w:rtl/>
        </w:rPr>
        <w:t>שמחה־זיסל</w:t>
      </w:r>
      <w:proofErr w:type="spellEnd"/>
      <w:r>
        <w:rPr>
          <w:rtl/>
        </w:rPr>
        <w:t xml:space="preserve">, שכשהיה נער ראה את ר׳ חיים </w:t>
      </w:r>
      <w:proofErr w:type="spellStart"/>
      <w:r>
        <w:rPr>
          <w:rtl/>
        </w:rPr>
        <w:t>מוולוז׳ין</w:t>
      </w:r>
      <w:proofErr w:type="spellEnd"/>
      <w:r>
        <w:rPr>
          <w:rtl/>
        </w:rPr>
        <w:t xml:space="preserve">”. לפי זה, ר׳ </w:t>
      </w:r>
      <w:proofErr w:type="spellStart"/>
      <w:r>
        <w:rPr>
          <w:rtl/>
        </w:rPr>
        <w:t>שמחה־זיסל</w:t>
      </w:r>
      <w:proofErr w:type="spellEnd"/>
      <w:r>
        <w:rPr>
          <w:rtl/>
        </w:rPr>
        <w:t xml:space="preserve"> נולד בהכרח לפחות כמה שנים לפני פטירת ר׳ חיים </w:t>
      </w:r>
      <w:proofErr w:type="spellStart"/>
      <w:r>
        <w:rPr>
          <w:rtl/>
        </w:rPr>
        <w:t>מוולוז׳ין</w:t>
      </w:r>
      <w:proofErr w:type="spellEnd"/>
      <w:r>
        <w:rPr>
          <w:rtl/>
        </w:rPr>
        <w:t xml:space="preserve"> </w:t>
      </w:r>
      <w:proofErr w:type="spellStart"/>
      <w:r>
        <w:rPr>
          <w:rtl/>
        </w:rPr>
        <w:t>בתקפ״א</w:t>
      </w:r>
      <w:proofErr w:type="spellEnd"/>
      <w:r>
        <w:rPr>
          <w:rtl/>
        </w:rPr>
        <w:t xml:space="preserve"> – נניח, לצורך הדיון, ארבע שנים. כך יוצא ששנת לידתו של ר׳ </w:t>
      </w:r>
      <w:proofErr w:type="spellStart"/>
      <w:r>
        <w:rPr>
          <w:rtl/>
        </w:rPr>
        <w:t>שמחה־זיסל</w:t>
      </w:r>
      <w:proofErr w:type="spellEnd"/>
      <w:r>
        <w:rPr>
          <w:rtl/>
        </w:rPr>
        <w:t xml:space="preserve"> היא תקע״ז, שבע שנים </w:t>
      </w:r>
      <w:r>
        <w:rPr>
          <w:b/>
          <w:bCs/>
          <w:rtl/>
        </w:rPr>
        <w:t>לפני</w:t>
      </w:r>
      <w:r>
        <w:rPr>
          <w:rtl/>
        </w:rPr>
        <w:t xml:space="preserve"> שנת לידתו לפי כץ, “תנועת המוסר”, כרך ב,</w:t>
      </w:r>
      <w:bookmarkStart w:id="2393" w:name="_fnr1551"/>
      <w:r>
        <w:rPr>
          <w:rStyle w:val="a5"/>
        </w:rPr>
        <w:footnoteReference w:id="1554" w:customMarkFollows="0"/>
      </w:r>
      <w:bookmarkEnd w:id="2393"/>
      <w:r>
        <w:rPr>
          <w:rtl/>
        </w:rPr>
        <w:t xml:space="preserve"> שנותן את השנה תקפ״ד. לפי עדות ר׳ אלי׳ </w:t>
      </w:r>
      <w:proofErr w:type="spellStart"/>
      <w:r>
        <w:rPr>
          <w:rtl/>
        </w:rPr>
        <w:t>לופיאן</w:t>
      </w:r>
      <w:proofErr w:type="spellEnd"/>
      <w:r>
        <w:rPr>
          <w:rtl/>
        </w:rPr>
        <w:t xml:space="preserve">, היה ר׳ </w:t>
      </w:r>
      <w:proofErr w:type="spellStart"/>
      <w:r>
        <w:rPr>
          <w:rtl/>
        </w:rPr>
        <w:t>שמחה־זיסל</w:t>
      </w:r>
      <w:proofErr w:type="spellEnd"/>
      <w:r>
        <w:rPr>
          <w:rtl/>
        </w:rPr>
        <w:t xml:space="preserve"> צעיר מרבו ר׳ ישראל ב־7 שנים בלבד, ומבוגר מר׳ נפתלי ומר׳ </w:t>
      </w:r>
      <w:proofErr w:type="spellStart"/>
      <w:r>
        <w:rPr>
          <w:rtl/>
        </w:rPr>
        <w:t>איצל׳ה</w:t>
      </w:r>
      <w:proofErr w:type="spellEnd"/>
      <w:r>
        <w:rPr>
          <w:rtl/>
        </w:rPr>
        <w:t xml:space="preserve"> ב־15 וב־20 שנה(!), בהתאמה.</w:t>
      </w:r>
    </w:p>
    <w:p w14:paraId="3B3B2AF0" w14:textId="11BE9896" w:rsidR="00AB3647" w:rsidRDefault="00000000" w:rsidP="007923E9">
      <w:pPr>
        <w:spacing w:after="120" w:line="276" w:lineRule="auto"/>
        <w:ind w:firstLine="283"/>
        <w:jc w:val="both"/>
      </w:pPr>
      <w:r>
        <w:rPr>
          <w:rtl/>
        </w:rPr>
        <w:t xml:space="preserve">הסבא מקלם פגש את ר׳ ישראל </w:t>
      </w:r>
      <w:proofErr w:type="spellStart"/>
      <w:r>
        <w:rPr>
          <w:rtl/>
        </w:rPr>
        <w:t>סלנטר</w:t>
      </w:r>
      <w:proofErr w:type="spellEnd"/>
      <w:r>
        <w:rPr>
          <w:rtl/>
        </w:rPr>
        <w:t xml:space="preserve"> כששמע על “בית המוסר” שהקים האחרון בקובנה, והלך לאותה עיר ללמוד אצלו </w:t>
      </w:r>
      <w:proofErr w:type="spellStart"/>
      <w:r>
        <w:rPr>
          <w:rtl/>
        </w:rPr>
        <w:t>בקלויז</w:t>
      </w:r>
      <w:proofErr w:type="spellEnd"/>
      <w:r>
        <w:rPr>
          <w:rtl/>
        </w:rPr>
        <w:t xml:space="preserve"> </w:t>
      </w:r>
      <w:proofErr w:type="spellStart"/>
      <w:r>
        <w:rPr>
          <w:rtl/>
        </w:rPr>
        <w:t>נביאזר</w:t>
      </w:r>
      <w:proofErr w:type="spellEnd"/>
      <w:r>
        <w:rPr>
          <w:rtl/>
        </w:rPr>
        <w:t>. דבר זה לא יכול היה להתרחש לפני תרי״א,</w:t>
      </w:r>
      <w:bookmarkStart w:id="2394" w:name="_fnr1552"/>
      <w:r>
        <w:rPr>
          <w:rStyle w:val="a5"/>
        </w:rPr>
        <w:footnoteReference w:id="1555" w:customMarkFollows="0"/>
      </w:r>
      <w:bookmarkEnd w:id="2394"/>
      <w:r>
        <w:rPr>
          <w:rtl/>
        </w:rPr>
        <w:t xml:space="preserve"> השנה שבה החל ר׳ ישראל ללמד שם (ראה הערת שוליים </w:t>
      </w:r>
      <w:r>
        <w:rPr>
          <w:rtl/>
        </w:rPr>
        <w:fldChar w:fldCharType="begin" w:dirty="true"/>
      </w:r>
      <w:r>
        <w:rPr>
          <w:rtl/>
        </w:rPr>
        <w:instrText xml:space="preserve"> NOTEREF pr_f_4683 \h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Pr>
          <w:rtl/>
        </w:rPr>
        <w:t>337</w:t>
      </w:r>
      <w:r>
        <w:rPr>
          <w:rtl/>
        </w:rPr>
        <w:fldChar w:fldCharType="end"/>
      </w:r>
      <w:r>
        <w:rPr>
          <w:rtl/>
        </w:rPr>
        <w:t xml:space="preserve">, עמ׳ </w:t>
      </w:r>
      <w:r>
        <w:rPr>
          <w:rtl/>
        </w:rPr>
        <w:fldChar w:fldCharType="begin" w:dirty="true"/>
      </w:r>
      <w:r>
        <w:rPr>
          <w:rtl/>
        </w:rPr>
        <w:instrText xml:space="preserve"> PAGEREF pr_f_4683 \h </w:instrText>
      </w:r>
      <w:r>
        <w:rPr>
          <w:rtl/>
        </w:rPr>
      </w:r>
      <w:r>
        <w:rPr>
          <w:rtl/>
        </w:rPr>
        <w:fldChar w:fldCharType="separate"/>
      </w:r>
      <w:r w:rsidR="007923E9">
        <w:rPr>
          <w:noProof/>
          <w:rtl/>
        </w:rPr>
        <w:t>1</w:t>
      </w:r>
      <w:r>
        <w:rPr>
          <w:rtl/>
        </w:rPr>
        <w:fldChar w:fldCharType="end"/>
      </w:r>
      <w:r>
        <w:rPr>
          <w:rtl/>
        </w:rPr>
        <w:t xml:space="preserve">). באותו זמן היה ר׳ </w:t>
      </w:r>
      <w:proofErr w:type="spellStart"/>
      <w:r>
        <w:rPr>
          <w:rtl/>
        </w:rPr>
        <w:t>שמחה־זיסל</w:t>
      </w:r>
      <w:proofErr w:type="spellEnd"/>
      <w:r>
        <w:rPr>
          <w:rtl/>
        </w:rPr>
        <w:t>, לפי גילויו של ר׳ אלי׳, בן 34 לפחות.</w:t>
      </w:r>
    </w:p>
    <w:p w14:paraId="67EB0E74" w14:textId="77777777" w:rsidR="00AB3647" w:rsidRDefault="00000000" w:rsidP="007923E9">
      <w:pPr>
        <w:spacing w:after="120" w:line="276" w:lineRule="auto"/>
        <w:ind w:firstLine="283"/>
        <w:jc w:val="both"/>
      </w:pPr>
      <w:r>
        <w:rPr>
          <w:rtl/>
        </w:rPr>
        <w:t>השווה גם כץ, שם,</w:t>
      </w:r>
      <w:bookmarkStart w:id="2395" w:name="_fnr1553"/>
      <w:r>
        <w:rPr>
          <w:rStyle w:val="a5"/>
        </w:rPr>
        <w:footnoteReference w:id="1556" w:customMarkFollows="0"/>
      </w:r>
      <w:bookmarkEnd w:id="2395"/>
      <w:r>
        <w:rPr>
          <w:rtl/>
        </w:rPr>
        <w:t xml:space="preserve"> שר׳ </w:t>
      </w:r>
      <w:proofErr w:type="spellStart"/>
      <w:r>
        <w:rPr>
          <w:rtl/>
        </w:rPr>
        <w:t>שמחה־זיסל</w:t>
      </w:r>
      <w:proofErr w:type="spellEnd"/>
      <w:r>
        <w:rPr>
          <w:rtl/>
        </w:rPr>
        <w:t xml:space="preserve"> “נשא </w:t>
      </w:r>
      <w:proofErr w:type="spellStart"/>
      <w:r>
        <w:rPr>
          <w:rtl/>
        </w:rPr>
        <w:t>אשה</w:t>
      </w:r>
      <w:proofErr w:type="spellEnd"/>
      <w:r>
        <w:rPr>
          <w:rtl/>
        </w:rPr>
        <w:t xml:space="preserve"> בצעירותו ואחרי נישואיו נסע ללמוד בקובנה אצל ר׳ ישראל </w:t>
      </w:r>
      <w:proofErr w:type="spellStart"/>
      <w:r>
        <w:rPr>
          <w:rtl/>
        </w:rPr>
        <w:t>בנביאזר</w:t>
      </w:r>
      <w:proofErr w:type="spellEnd"/>
      <w:r>
        <w:rPr>
          <w:rtl/>
        </w:rPr>
        <w:t xml:space="preserve">”. דבר זה אינו נכון בכל מקרה, משום שאפילו לפי תאריך הלידה המאוחר של כץ היה כבר בן 27 כשהלך לקובנה, ולא נער שנשא </w:t>
      </w:r>
      <w:proofErr w:type="spellStart"/>
      <w:r>
        <w:rPr>
          <w:rtl/>
        </w:rPr>
        <w:t>אשה</w:t>
      </w:r>
      <w:proofErr w:type="spellEnd"/>
      <w:r>
        <w:rPr>
          <w:rtl/>
        </w:rPr>
        <w:t xml:space="preserve"> זה מקרוב. לפי שנת הלידה של כץ היה ר׳ </w:t>
      </w:r>
      <w:proofErr w:type="spellStart"/>
      <w:r>
        <w:rPr>
          <w:rtl/>
        </w:rPr>
        <w:t>שמחה־זיסל</w:t>
      </w:r>
      <w:proofErr w:type="spellEnd"/>
      <w:r>
        <w:rPr>
          <w:rtl/>
        </w:rPr>
        <w:t xml:space="preserve"> בן 74 במותו </w:t>
      </w:r>
      <w:proofErr w:type="spellStart"/>
      <w:r>
        <w:rPr>
          <w:rtl/>
        </w:rPr>
        <w:t>בתרנ״ח</w:t>
      </w:r>
      <w:proofErr w:type="spellEnd"/>
      <w:r>
        <w:rPr>
          <w:rtl/>
        </w:rPr>
        <w:t xml:space="preserve"> (אחרי שחלה 13 שנה קודם לכן, </w:t>
      </w:r>
      <w:proofErr w:type="spellStart"/>
      <w:r>
        <w:rPr>
          <w:rtl/>
        </w:rPr>
        <w:t>בתרמ״ה</w:t>
      </w:r>
      <w:proofErr w:type="spellEnd"/>
      <w:r>
        <w:rPr>
          <w:rtl/>
        </w:rPr>
        <w:t xml:space="preserve">), ולפי ר׳ אלי׳ </w:t>
      </w:r>
      <w:proofErr w:type="spellStart"/>
      <w:r>
        <w:rPr>
          <w:rtl/>
        </w:rPr>
        <w:t>לופיאן</w:t>
      </w:r>
      <w:proofErr w:type="spellEnd"/>
      <w:r>
        <w:rPr>
          <w:rtl/>
        </w:rPr>
        <w:t xml:space="preserve"> מת הסבא מקלם בגיל 81 (וחלה כשהיה בן 68).</w:t>
      </w:r>
      <w:bookmarkStart w:id="2396" w:name="fx_ref_437"/>
      <w:bookmarkStart w:id="2397" w:name="_fnr1554"/>
      <w:r>
        <w:rPr>
          <w:rStyle w:val="a5"/>
        </w:rPr>
        <w:footnoteReference w:id="1557" w:customMarkFollows="0"/>
      </w:r>
      <w:bookmarkEnd w:id="2396"/>
      <w:bookmarkEnd w:id="2397"/>
    </w:p>
    <w:bookmarkStart w:id="2398" w:name="b3_excC"/>
    <w:p w14:paraId="3F966D1B" w14:textId="77777777" w:rsidR="00AB3647" w:rsidRDefault="00000000" w:rsidP="007923E9">
      <w:pPr>
        <w:pStyle w:val="3"/>
        <w:spacing w:line="276" w:lineRule="auto"/>
      </w:pPr>
      <w:r>
        <w:lastRenderedPageBreak/>
        <w:fldChar w:fldCharType="begin" w:dirty="true"/>
      </w:r>
      <w:r>
        <w:rPr>
          <w:rtl w:val="0"/>
        </w:rPr>
        <w:instrText>HYPERLINK \l "b3_note23</w:instrText>
      </w:r>
      <w:r>
        <w:instrText>"</w:instrText>
      </w:r>
      <w:r>
        <w:fldChar w:fldCharType="separate"/>
      </w:r>
      <w:r>
        <w:t>נספח ג</w:t>
      </w:r>
      <w:r>
        <w:fldChar w:fldCharType="end"/>
      </w:r>
      <w:bookmarkEnd w:id="2398"/>
    </w:p>
    <w:p w14:paraId="08E46D0B" w14:textId="77777777" w:rsidR="00AB3647" w:rsidRDefault="00000000" w:rsidP="007923E9">
      <w:pPr>
        <w:pStyle w:val="af"/>
        <w:spacing w:line="276" w:lineRule="auto"/>
      </w:pPr>
      <w:r>
        <w:t xml:space="preserve">על שני מלאכים ממש, ר׳ </w:t>
      </w:r>
      <w:proofErr w:type="spellStart"/>
      <w:r>
        <w:t>לייזר־יעקב</w:t>
      </w:r>
      <w:proofErr w:type="spellEnd"/>
      <w:r>
        <w:t xml:space="preserve"> </w:t>
      </w:r>
      <w:proofErr w:type="spellStart"/>
      <w:r>
        <w:t xml:space="preserve">חווס</w:t>
      </w:r>
      <w:proofErr w:type="spellEnd"/>
      <w:r>
        <w:t xml:space="preserve"> וחתנו ר׳ נפתלי </w:t>
      </w:r>
      <w:proofErr w:type="spellStart"/>
      <w:r>
        <w:t>טרופ</w:t>
      </w:r>
      <w:proofErr w:type="spellEnd"/>
    </w:p>
    <w:p w14:paraId="3E37F65E" w14:textId="77777777" w:rsidR="00AB3647" w:rsidRDefault="00000000" w:rsidP="007923E9">
      <w:pPr>
        <w:pStyle w:val="4"/>
        <w:spacing w:line="276" w:lineRule="auto"/>
      </w:pPr>
      <w:r>
        <w:t>· הפסקה הראשונה ·</w:t>
      </w:r>
    </w:p>
    <w:p w14:paraId="03F356E8" w14:textId="77777777" w:rsidR="00AB3647" w:rsidRDefault="00000000" w:rsidP="007923E9">
      <w:pPr>
        <w:pStyle w:val="5"/>
        <w:spacing w:line="276" w:lineRule="auto"/>
      </w:pPr>
      <w:r>
        <w:t xml:space="preserve">ר׳ </w:t>
      </w:r>
      <w:proofErr w:type="spellStart"/>
      <w:r>
        <w:t>לייזר־יעקב</w:t>
      </w:r>
      <w:proofErr w:type="spellEnd"/>
      <w:r>
        <w:t xml:space="preserve"> </w:t>
      </w:r>
      <w:proofErr w:type="spellStart"/>
      <w:r>
        <w:t xml:space="preserve">חווס</w:t>
      </w:r>
      <w:proofErr w:type="spellEnd"/>
      <w:r>
        <w:t xml:space="preserve"> הוא גיבור לא נודע בהפצת התורה – הוא גם פעיל בסתר בהבטחת שלומם של יהודי רוסיה – הוא חי בדוחק</w:t>
      </w:r>
    </w:p>
    <w:p w14:paraId="2959C532" w14:textId="57F06465" w:rsidR="00AB3647" w:rsidRDefault="00000000" w:rsidP="007923E9">
      <w:pPr>
        <w:spacing w:after="120" w:line="276" w:lineRule="auto"/>
        <w:ind w:firstLine="283"/>
        <w:jc w:val="both"/>
      </w:pPr>
      <w:r>
        <w:rPr>
          <w:rtl/>
        </w:rPr>
        <w:t xml:space="preserve">לפי מאמר </w:t>
      </w:r>
      <w:proofErr w:type="spellStart"/>
      <w:r>
        <w:rPr>
          <w:rtl/>
        </w:rPr>
        <w:t>ב“לפרקים</w:t>
      </w:r>
      <w:proofErr w:type="spellEnd"/>
      <w:r>
        <w:rPr>
          <w:rtl/>
        </w:rPr>
        <w:t>”</w:t>
      </w:r>
      <w:bookmarkStart w:id="2399" w:name="_fnr1555"/>
      <w:r>
        <w:rPr>
          <w:rStyle w:val="a5"/>
        </w:rPr>
        <w:footnoteReference w:id="1558" w:customMarkFollows="0"/>
      </w:r>
      <w:bookmarkEnd w:id="2399"/>
      <w:r>
        <w:rPr>
          <w:rtl/>
        </w:rPr>
        <w:t xml:space="preserve"> (השווה תחילת </w:t>
      </w:r>
      <w:r>
        <w:rPr>
          <w:rtl/>
        </w:rPr>
        <w:fldChar w:fldCharType="begin" w:dirty="true"/>
      </w:r>
      <w:r>
        <w:rPr>
          <w:rtl/>
        </w:rPr>
        <w:instrText xml:space="preserve"> REF b3_excE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ה</w:t>
      </w:r>
      <w:r>
        <w:rPr>
          <w:rtl/>
        </w:rPr>
        <w:fldChar w:fldCharType="end"/>
      </w:r>
      <w:r>
        <w:rPr>
          <w:rtl/>
        </w:rPr>
        <w:t xml:space="preserve"> להלן), הסבא </w:t>
      </w:r>
      <w:proofErr w:type="spellStart"/>
      <w:r>
        <w:rPr>
          <w:rtl/>
        </w:rPr>
        <w:t>מסלבודקה</w:t>
      </w:r>
      <w:proofErr w:type="spellEnd"/>
      <w:r>
        <w:rPr>
          <w:rtl/>
        </w:rPr>
        <w:t xml:space="preserve"> עמד מאחורי הקמת הכולל כבר בראשיתו, יחד עם ר׳ </w:t>
      </w:r>
      <w:proofErr w:type="spellStart"/>
      <w:r>
        <w:rPr>
          <w:rtl/>
        </w:rPr>
        <w:t>לייזר־יעקב</w:t>
      </w:r>
      <w:proofErr w:type="spellEnd"/>
      <w:r>
        <w:rPr>
          <w:rtl/>
        </w:rPr>
        <w:t xml:space="preserve"> </w:t>
      </w:r>
      <w:proofErr w:type="spellStart"/>
      <w:r>
        <w:rPr>
          <w:rtl/>
        </w:rPr>
        <w:t xml:space="preserve">חווס</w:t>
      </w:r>
      <w:proofErr w:type="spellEnd"/>
      <w:r>
        <w:rPr>
          <w:rtl/>
        </w:rPr>
        <w:t>, שהיה קרוב לאשת הסבא.</w:t>
      </w:r>
      <w:bookmarkStart w:id="2400" w:name="_fnr1556"/>
      <w:r>
        <w:rPr>
          <w:rStyle w:val="a5"/>
        </w:rPr>
        <w:footnoteReference w:id="1559" w:customMarkFollows="0"/>
      </w:r>
      <w:bookmarkEnd w:id="2400"/>
      <w:r>
        <w:rPr>
          <w:rtl/>
        </w:rPr>
        <w:t xml:space="preserve"> במאמר ההספד </w:t>
      </w:r>
      <w:proofErr w:type="spellStart"/>
      <w:r>
        <w:rPr>
          <w:rtl/>
        </w:rPr>
        <w:t>ב“לפרקים</w:t>
      </w:r>
      <w:proofErr w:type="spellEnd"/>
      <w:r>
        <w:rPr>
          <w:rtl/>
        </w:rPr>
        <w:t>”</w:t>
      </w:r>
      <w:bookmarkStart w:id="2401" w:name="_fnr1557"/>
      <w:r>
        <w:rPr>
          <w:rStyle w:val="a5"/>
        </w:rPr>
        <w:footnoteReference w:id="1560" w:customMarkFollows="0"/>
      </w:r>
      <w:bookmarkEnd w:id="2401"/>
      <w:r>
        <w:rPr>
          <w:rtl/>
        </w:rPr>
        <w:t xml:space="preserve"> מתואר ר׳ </w:t>
      </w:r>
      <w:proofErr w:type="spellStart"/>
      <w:r>
        <w:rPr>
          <w:rtl/>
        </w:rPr>
        <w:t>לייזר־יעקב</w:t>
      </w:r>
      <w:proofErr w:type="spellEnd"/>
      <w:r>
        <w:rPr>
          <w:rtl/>
        </w:rPr>
        <w:t>, בין השאר, כך: “הצדיק הגדול והעניו הגדול, שעליו כמעט אין הציבור היהודי יודע דבר, אבל שהיה אחת הדמויות הרוחניות היוצרות שבתוכנו – דמות היסטורית, במונחים מודרניים.”</w:t>
      </w:r>
    </w:p>
    <w:p w14:paraId="73EECA81" w14:textId="77777777" w:rsidR="00AB3647" w:rsidRDefault="00000000" w:rsidP="007923E9">
      <w:pPr>
        <w:spacing w:after="120" w:line="276" w:lineRule="auto"/>
        <w:ind w:firstLine="283"/>
        <w:jc w:val="both"/>
      </w:pPr>
      <w:r>
        <w:rPr>
          <w:rtl/>
        </w:rPr>
        <w:t>המאמר ממשיך לספר: “בביתו שלטה תמיד דלות נוראה, ובני ביתו ממש גוועו ברעב. הוא כמעט לא דאג לילדיו משום שהיו לו דאגות גדולות וחשובות יותר; ‘לומדי תורה הם היחידים שעדיין מחזיקים את היהדות בנו, ועלינו לפרנסם ולתמוך בהם׳</w:t>
      </w:r>
      <w:bookmarkStart w:id="2402" w:name="_fnr1558"/>
      <w:r>
        <w:rPr>
          <w:rStyle w:val="a5"/>
        </w:rPr>
        <w:footnoteReference w:id="1561" w:customMarkFollows="0"/>
      </w:r>
      <w:bookmarkEnd w:id="2402"/>
      <w:r>
        <w:rPr>
          <w:rtl/>
        </w:rPr>
        <w:t xml:space="preserve"> היה המוטו שלו. הוא היה גיבור, חייו היו גבורה מתמדת, והתוכניות שהוציא לפועל היו מעשי גבורה. ואף על פי כן לא הכיר אותו איש, כי תמיד ניסה להסתתר ולהיעלם; אם הריח ריח של כבוד ותהילה נרתע לאחור. גופו היה סתירה גמורה לעיקרון הידוע של ‘נפש בריאה בגוף בריא’, כי היה </w:t>
      </w:r>
      <w:proofErr w:type="spellStart"/>
      <w:r>
        <w:rPr>
          <w:rtl/>
        </w:rPr>
        <w:t>ערימת</w:t>
      </w:r>
      <w:proofErr w:type="spellEnd"/>
      <w:r>
        <w:rPr>
          <w:rtl/>
        </w:rPr>
        <w:t xml:space="preserve"> עצמות בלבד, שבר חרס – חולה, חלש וכפוף. ובקליפה זו שכנה במשך 76 שנה רוח אדירה, רעננה וערה, שלא נלאתה, לא </w:t>
      </w:r>
      <w:proofErr w:type="spellStart"/>
      <w:r>
        <w:rPr>
          <w:rtl/>
        </w:rPr>
        <w:t>עיפה</w:t>
      </w:r>
      <w:proofErr w:type="spellEnd"/>
      <w:r>
        <w:rPr>
          <w:rtl/>
        </w:rPr>
        <w:t xml:space="preserve"> ולא נחלשה. ‘עיזבונו’ כלל ניירות יקרי ערך – כמובן לא ניירות כספיים, אלא ‘עצות ומנהגים של ר׳ ישראל </w:t>
      </w:r>
      <w:proofErr w:type="spellStart"/>
      <w:r>
        <w:rPr>
          <w:rtl/>
        </w:rPr>
        <w:t>סלנטר</w:t>
      </w:r>
      <w:proofErr w:type="spellEnd"/>
      <w:r>
        <w:rPr>
          <w:rtl/>
        </w:rPr>
        <w:t xml:space="preserve">’ – זוג תפילין יפה וטלית קרועה.” במשפט האחרון מפריך כותב המאמר את העלילה שהפיצו “משכילים בקובנה, שבעיניהם היה הכולל כקוצים”, כאילו צבר ר׳ </w:t>
      </w:r>
      <w:proofErr w:type="spellStart"/>
      <w:r>
        <w:rPr>
          <w:rtl/>
        </w:rPr>
        <w:t>לייזר־יעקב</w:t>
      </w:r>
      <w:proofErr w:type="spellEnd"/>
      <w:r>
        <w:rPr>
          <w:rtl/>
        </w:rPr>
        <w:t xml:space="preserve"> עושר מפעילותו הציבורית.</w:t>
      </w:r>
    </w:p>
    <w:p w14:paraId="2ADBB1AC" w14:textId="77777777" w:rsidR="00AB3647" w:rsidRDefault="00000000" w:rsidP="007923E9">
      <w:pPr>
        <w:spacing w:after="120" w:line="276" w:lineRule="auto"/>
        <w:ind w:firstLine="283"/>
        <w:jc w:val="both"/>
      </w:pPr>
      <w:r>
        <w:rPr>
          <w:rtl/>
        </w:rPr>
        <w:t xml:space="preserve">השווה גם הערת שוליים </w:t>
      </w:r>
      <w:proofErr w:type="spellStart"/>
      <w:r>
        <w:rPr>
          <w:rtl/>
        </w:rPr>
        <w:t>ב“זכרון</w:t>
      </w:r>
      <w:proofErr w:type="spellEnd"/>
      <w:r>
        <w:rPr>
          <w:rtl/>
        </w:rPr>
        <w:t xml:space="preserve"> יעקב”</w:t>
      </w:r>
      <w:bookmarkStart w:id="2403" w:name="_fnr1559"/>
      <w:r>
        <w:rPr>
          <w:rStyle w:val="a5"/>
        </w:rPr>
        <w:footnoteReference w:id="1562" w:customMarkFollows="0"/>
      </w:r>
      <w:bookmarkEnd w:id="2403"/>
      <w:r>
        <w:rPr>
          <w:rtl/>
        </w:rPr>
        <w:t xml:space="preserve"> מאת המוציא לאור, ר׳ נוטע ליפשיץ, בנו של המחבר. הערה זו רומזת אף היא לעניין, ומוסיפה שגם בנו של ר׳ </w:t>
      </w:r>
      <w:proofErr w:type="spellStart"/>
      <w:r>
        <w:rPr>
          <w:rtl/>
        </w:rPr>
        <w:t>לייזר־יעקב</w:t>
      </w:r>
      <w:proofErr w:type="spellEnd"/>
      <w:r>
        <w:rPr>
          <w:rtl/>
        </w:rPr>
        <w:t xml:space="preserve"> מת בעוני, כשנתיים לפני פרסום הכרך, כלומר </w:t>
      </w:r>
      <w:proofErr w:type="spellStart"/>
      <w:r>
        <w:rPr>
          <w:rtl/>
        </w:rPr>
        <w:t>בתרפ״ח</w:t>
      </w:r>
      <w:proofErr w:type="spellEnd"/>
      <w:r>
        <w:rPr>
          <w:rtl/>
        </w:rPr>
        <w:t>. אבל שלוש המילים האחרונות בהערה, “והוא רחום יכפר”, הן תפילה על מי שאינו חוטא במזיד – ואילו המשכילים חטאו במזיד. מילים אלה מורות שגם אחרים היו אשמים בהוצאת דיבה על צדיק זה – אולי מתנגדי המוסר, במסורת אביו של ר׳ נוטע.</w:t>
      </w:r>
    </w:p>
    <w:p w14:paraId="493BE23C" w14:textId="77777777" w:rsidR="00AB3647" w:rsidRDefault="00000000" w:rsidP="007923E9">
      <w:pPr>
        <w:spacing w:after="120" w:line="276" w:lineRule="auto"/>
        <w:ind w:firstLine="283"/>
        <w:jc w:val="both"/>
      </w:pPr>
      <w:r>
        <w:rPr>
          <w:rtl/>
        </w:rPr>
        <w:lastRenderedPageBreak/>
        <w:t xml:space="preserve">נתקלתי בכמה </w:t>
      </w:r>
      <w:proofErr w:type="spellStart"/>
      <w:r>
        <w:rPr>
          <w:rtl/>
        </w:rPr>
        <w:t>מ“מעשי</w:t>
      </w:r>
      <w:proofErr w:type="spellEnd"/>
      <w:r>
        <w:rPr>
          <w:rtl/>
        </w:rPr>
        <w:t xml:space="preserve"> הגבורה” </w:t>
      </w:r>
      <w:proofErr w:type="spellStart"/>
      <w:r>
        <w:rPr>
          <w:rtl/>
        </w:rPr>
        <w:t>ש“לפרקים</w:t>
      </w:r>
      <w:proofErr w:type="spellEnd"/>
      <w:r>
        <w:rPr>
          <w:rtl/>
        </w:rPr>
        <w:t xml:space="preserve">” השאיר סתומים. </w:t>
      </w:r>
      <w:proofErr w:type="spellStart"/>
      <w:r>
        <w:rPr>
          <w:rtl/>
        </w:rPr>
        <w:t>בתרמ״ו</w:t>
      </w:r>
      <w:proofErr w:type="spellEnd"/>
      <w:r>
        <w:rPr>
          <w:rtl/>
        </w:rPr>
        <w:t xml:space="preserve"> ביקר ר׳ </w:t>
      </w:r>
      <w:proofErr w:type="spellStart"/>
      <w:r>
        <w:rPr>
          <w:rtl/>
        </w:rPr>
        <w:t>לייזר־יעקב</w:t>
      </w:r>
      <w:proofErr w:type="spellEnd"/>
      <w:r>
        <w:rPr>
          <w:rtl/>
        </w:rPr>
        <w:t xml:space="preserve"> </w:t>
      </w:r>
      <w:proofErr w:type="spellStart"/>
      <w:r>
        <w:rPr>
          <w:rtl/>
        </w:rPr>
        <w:t xml:space="preserve">חווס</w:t>
      </w:r>
      <w:proofErr w:type="spellEnd"/>
      <w:r>
        <w:rPr>
          <w:rtl/>
        </w:rPr>
        <w:t xml:space="preserve"> אצל ר׳ </w:t>
      </w:r>
      <w:proofErr w:type="spellStart"/>
      <w:r>
        <w:rPr>
          <w:rtl/>
        </w:rPr>
        <w:t>אליהו־דוד</w:t>
      </w:r>
      <w:proofErr w:type="spellEnd"/>
      <w:r>
        <w:rPr>
          <w:rtl/>
        </w:rPr>
        <w:t xml:space="preserve"> </w:t>
      </w:r>
      <w:proofErr w:type="spellStart"/>
      <w:r>
        <w:rPr>
          <w:rtl/>
        </w:rPr>
        <w:t>רבינוביץ־תאומים</w:t>
      </w:r>
      <w:proofErr w:type="spellEnd"/>
      <w:r>
        <w:rPr>
          <w:rtl/>
        </w:rPr>
        <w:t xml:space="preserve"> (</w:t>
      </w:r>
      <w:proofErr w:type="spellStart"/>
      <w:r>
        <w:rPr>
          <w:rtl/>
        </w:rPr>
        <w:t>האדר״ת</w:t>
      </w:r>
      <w:bookmarkStart w:id="2404" w:name="_fnr1560"/>
      <w:proofErr w:type="spellEnd"/>
      <w:r>
        <w:rPr>
          <w:rStyle w:val="a5"/>
        </w:rPr>
        <w:footnoteReference w:id="1563" w:customMarkFollows="0"/>
      </w:r>
      <w:bookmarkEnd w:id="2404"/>
      <w:r>
        <w:rPr>
          <w:rtl/>
        </w:rPr>
        <w:t xml:space="preserve">), אז רב </w:t>
      </w:r>
      <w:proofErr w:type="spellStart"/>
      <w:r>
        <w:rPr>
          <w:rtl/>
        </w:rPr>
        <w:t>פוניבז</w:t>
      </w:r>
      <w:proofErr w:type="spellEnd"/>
      <w:r>
        <w:rPr>
          <w:rtl/>
        </w:rPr>
        <w:t>׳, “והפציר בו במשך שלושה שבועות רצופים עד ש(</w:t>
      </w:r>
      <w:proofErr w:type="spellStart"/>
      <w:r>
        <w:rPr>
          <w:rtl/>
        </w:rPr>
        <w:t>האדר״ת</w:t>
      </w:r>
      <w:proofErr w:type="spellEnd"/>
      <w:r>
        <w:rPr>
          <w:rtl/>
        </w:rPr>
        <w:t>) לא יכול עוד לשאת זאת והסכים” לכנס אספה סודית של רבנים ממחוזות ליטא. האספה נועדה לגייס כספים להחזקת שתדלן בבירת רוסיה, סנט פטרבורג.</w:t>
      </w:r>
      <w:bookmarkStart w:id="2405" w:name="_fnr1561"/>
      <w:r>
        <w:rPr>
          <w:rStyle w:val="a5"/>
        </w:rPr>
        <w:footnoteReference w:id="1564" w:customMarkFollows="0"/>
      </w:r>
      <w:bookmarkEnd w:id="2405"/>
    </w:p>
    <w:p w14:paraId="1962EDF8" w14:textId="77777777" w:rsidR="00AB3647" w:rsidRDefault="00000000" w:rsidP="007923E9">
      <w:pPr>
        <w:spacing w:after="120" w:line="276" w:lineRule="auto"/>
        <w:ind w:firstLine="283"/>
        <w:jc w:val="both"/>
      </w:pPr>
      <w:r>
        <w:rPr>
          <w:rtl/>
        </w:rPr>
        <w:t>השווה גם כץ, “תנועת המוסר”, כרך ב,</w:t>
      </w:r>
      <w:bookmarkStart w:id="2406" w:name="_fnr1562"/>
      <w:r>
        <w:rPr>
          <w:rStyle w:val="a5"/>
        </w:rPr>
        <w:footnoteReference w:id="1565" w:customMarkFollows="0"/>
      </w:r>
      <w:bookmarkEnd w:id="2406"/>
      <w:r>
        <w:rPr>
          <w:rtl/>
        </w:rPr>
        <w:t xml:space="preserve"> </w:t>
      </w:r>
      <w:proofErr w:type="spellStart"/>
      <w:r>
        <w:rPr>
          <w:rtl/>
        </w:rPr>
        <w:t>ש“כשפרצו</w:t>
      </w:r>
      <w:proofErr w:type="spellEnd"/>
      <w:r>
        <w:rPr>
          <w:rtl/>
        </w:rPr>
        <w:t xml:space="preserve"> פרעות ברוסיה” (כנראה אלה של ראשית שנות </w:t>
      </w:r>
      <w:proofErr w:type="spellStart"/>
      <w:r>
        <w:rPr>
          <w:rtl/>
        </w:rPr>
        <w:t>הת״ר־מ</w:t>
      </w:r>
      <w:proofErr w:type="spellEnd"/>
      <w:r>
        <w:rPr>
          <w:rtl/>
        </w:rPr>
        <w:t xml:space="preserve">׳), הלך ר׳ </w:t>
      </w:r>
      <w:proofErr w:type="spellStart"/>
      <w:r>
        <w:rPr>
          <w:rtl/>
        </w:rPr>
        <w:t>לייזר־יעקב</w:t>
      </w:r>
      <w:proofErr w:type="spellEnd"/>
      <w:r>
        <w:rPr>
          <w:rtl/>
        </w:rPr>
        <w:t xml:space="preserve"> ברגל לברלין כדי לעורר את דעת הקהל בחוץ לארץ נגד הנעשה ליהודים ברוסיה.</w:t>
      </w:r>
      <w:bookmarkStart w:id="2407" w:name="_fnr1563"/>
      <w:r>
        <w:rPr>
          <w:rStyle w:val="a5"/>
        </w:rPr>
        <w:footnoteReference w:id="1566" w:customMarkFollows="0"/>
      </w:r>
      <w:bookmarkEnd w:id="2407"/>
      <w:r>
        <w:rPr>
          <w:rtl/>
        </w:rPr>
        <w:t xml:space="preserve"> </w:t>
      </w:r>
      <w:proofErr w:type="spellStart"/>
      <w:r>
        <w:rPr>
          <w:rtl/>
        </w:rPr>
        <w:t>בתרנ״ד</w:t>
      </w:r>
      <w:proofErr w:type="spellEnd"/>
      <w:r>
        <w:rPr>
          <w:rtl/>
        </w:rPr>
        <w:t xml:space="preserve"> נדד – כנראה שוב ברגל</w:t>
      </w:r>
      <w:bookmarkStart w:id="2408" w:name="_fnr1564"/>
      <w:r>
        <w:rPr>
          <w:rStyle w:val="a5"/>
        </w:rPr>
        <w:footnoteReference w:id="1567" w:customMarkFollows="0"/>
      </w:r>
      <w:bookmarkEnd w:id="2408"/>
      <w:r>
        <w:rPr>
          <w:rtl/>
        </w:rPr>
        <w:t xml:space="preserve"> – </w:t>
      </w:r>
      <w:proofErr w:type="spellStart"/>
      <w:r>
        <w:rPr>
          <w:rtl/>
        </w:rPr>
        <w:t>בווהלין</w:t>
      </w:r>
      <w:proofErr w:type="spellEnd"/>
      <w:r>
        <w:rPr>
          <w:rtl/>
        </w:rPr>
        <w:t>, 800 קילומטרים משם, בניסיון להקים שם ישיבות.</w:t>
      </w:r>
      <w:bookmarkStart w:id="2409" w:name="_fnr1565"/>
      <w:r>
        <w:rPr>
          <w:rStyle w:val="a5"/>
        </w:rPr>
        <w:footnoteReference w:id="1568" w:customMarkFollows="0"/>
      </w:r>
      <w:bookmarkEnd w:id="2409"/>
      <w:r>
        <w:rPr>
          <w:rtl/>
        </w:rPr>
        <w:t xml:space="preserve"> השווה גם כץ, שם,</w:t>
      </w:r>
      <w:bookmarkStart w:id="2410" w:name="_fnr1566"/>
      <w:r>
        <w:rPr>
          <w:rStyle w:val="a5"/>
        </w:rPr>
        <w:footnoteReference w:id="1569" w:customMarkFollows="0"/>
      </w:r>
      <w:bookmarkEnd w:id="2410"/>
      <w:r>
        <w:rPr>
          <w:rtl/>
        </w:rPr>
        <w:t xml:space="preserve"> שר׳ </w:t>
      </w:r>
      <w:proofErr w:type="spellStart"/>
      <w:r>
        <w:rPr>
          <w:rtl/>
        </w:rPr>
        <w:t>הירשל׳ה</w:t>
      </w:r>
      <w:proofErr w:type="spellEnd"/>
      <w:r>
        <w:rPr>
          <w:rtl/>
        </w:rPr>
        <w:t xml:space="preserve"> </w:t>
      </w:r>
      <w:proofErr w:type="spellStart"/>
      <w:r>
        <w:rPr>
          <w:rtl/>
        </w:rPr>
        <w:t>לויטן</w:t>
      </w:r>
      <w:bookmarkStart w:id="2411" w:name="_fnr1567"/>
      <w:proofErr w:type="spellEnd"/>
      <w:r>
        <w:rPr>
          <w:rStyle w:val="a5"/>
        </w:rPr>
        <w:footnoteReference w:id="1570" w:customMarkFollows="0"/>
      </w:r>
      <w:bookmarkEnd w:id="2411"/>
      <w:r>
        <w:rPr>
          <w:rtl/>
        </w:rPr>
        <w:t xml:space="preserve">, מייסד ישיבת ר׳ </w:t>
      </w:r>
      <w:proofErr w:type="spellStart"/>
      <w:r>
        <w:rPr>
          <w:rtl/>
        </w:rPr>
        <w:t>הירשל׳ה</w:t>
      </w:r>
      <w:proofErr w:type="spellEnd"/>
      <w:r>
        <w:rPr>
          <w:rtl/>
        </w:rPr>
        <w:t xml:space="preserve"> </w:t>
      </w:r>
      <w:proofErr w:type="spellStart"/>
      <w:r>
        <w:rPr>
          <w:rtl/>
        </w:rPr>
        <w:t>בסלבודקה</w:t>
      </w:r>
      <w:proofErr w:type="spellEnd"/>
      <w:r>
        <w:rPr>
          <w:rtl/>
        </w:rPr>
        <w:t>, הלך עמו, ובאותו מקור נזכרים שניים מסגל המורים של הישיבות החדשות שהוקמו.</w:t>
      </w:r>
    </w:p>
    <w:p w14:paraId="034FF23A" w14:textId="77777777" w:rsidR="00AB3647" w:rsidRDefault="00000000" w:rsidP="007923E9">
      <w:pPr>
        <w:spacing w:after="120" w:line="276" w:lineRule="auto"/>
        <w:ind w:firstLine="283"/>
        <w:jc w:val="both"/>
      </w:pPr>
      <w:r>
        <w:rPr>
          <w:rtl/>
        </w:rPr>
        <w:t>מאמר בשם “</w:t>
      </w:r>
      <w:proofErr w:type="spellStart"/>
      <w:r>
        <w:rPr>
          <w:rtl/>
        </w:rPr>
        <w:t>זכרונות</w:t>
      </w:r>
      <w:proofErr w:type="spellEnd"/>
      <w:r>
        <w:rPr>
          <w:rtl/>
        </w:rPr>
        <w:t xml:space="preserve"> מראשית </w:t>
      </w:r>
      <w:proofErr w:type="spellStart"/>
      <w:r>
        <w:rPr>
          <w:rtl/>
        </w:rPr>
        <w:t>התיסדות</w:t>
      </w:r>
      <w:proofErr w:type="spellEnd"/>
      <w:r>
        <w:rPr>
          <w:rtl/>
        </w:rPr>
        <w:t xml:space="preserve"> מקומות התורה בליטא” מאת רב </w:t>
      </w:r>
      <w:proofErr w:type="spellStart"/>
      <w:r>
        <w:rPr>
          <w:rtl/>
        </w:rPr>
        <w:t>קופישוק</w:t>
      </w:r>
      <w:proofErr w:type="spellEnd"/>
      <w:r>
        <w:rPr>
          <w:rtl/>
        </w:rPr>
        <w:t xml:space="preserve"> אליהו מאיר </w:t>
      </w:r>
      <w:proofErr w:type="spellStart"/>
      <w:r>
        <w:rPr>
          <w:rtl/>
        </w:rPr>
        <w:t>פייבלזון</w:t>
      </w:r>
      <w:proofErr w:type="spellEnd"/>
      <w:r>
        <w:rPr>
          <w:rtl/>
        </w:rPr>
        <w:t xml:space="preserve"> </w:t>
      </w:r>
      <w:proofErr w:type="spellStart"/>
      <w:r>
        <w:rPr>
          <w:rtl/>
        </w:rPr>
        <w:t>ב“תבונה</w:t>
      </w:r>
      <w:proofErr w:type="spellEnd"/>
      <w:r>
        <w:rPr>
          <w:rtl/>
        </w:rPr>
        <w:t>”</w:t>
      </w:r>
      <w:bookmarkStart w:id="2412" w:name="_fnr1568"/>
      <w:r>
        <w:rPr>
          <w:rStyle w:val="a5"/>
        </w:rPr>
        <w:footnoteReference w:id="1571" w:customMarkFollows="0"/>
      </w:r>
      <w:bookmarkEnd w:id="2412"/>
      <w:r>
        <w:rPr>
          <w:rtl/>
        </w:rPr>
        <w:t xml:space="preserve"> מתאר את דלותו של ר׳ </w:t>
      </w:r>
      <w:proofErr w:type="spellStart"/>
      <w:r>
        <w:rPr>
          <w:rtl/>
        </w:rPr>
        <w:t>לייזר־יעקב</w:t>
      </w:r>
      <w:proofErr w:type="spellEnd"/>
      <w:r>
        <w:rPr>
          <w:rtl/>
        </w:rPr>
        <w:t xml:space="preserve"> במשפט זה: “(מזונו של </w:t>
      </w:r>
      <w:proofErr w:type="spellStart"/>
      <w:r>
        <w:rPr>
          <w:rtl/>
        </w:rPr>
        <w:t xml:space="preserve">חווס</w:t>
      </w:r>
      <w:proofErr w:type="spellEnd"/>
      <w:r>
        <w:rPr>
          <w:rtl/>
        </w:rPr>
        <w:t>) היה לחם והרינג” – אלה היו פריטי המזון הזולים ביותר ומזונם הבסיסי של העניים – “ובמשך שנים רבות חי חיי צער גדול לכבוד התורה ולומדיה.”</w:t>
      </w:r>
    </w:p>
    <w:p w14:paraId="2D0C5837" w14:textId="77777777" w:rsidR="00AB3647" w:rsidRDefault="00000000" w:rsidP="007923E9">
      <w:pPr>
        <w:pStyle w:val="4"/>
        <w:spacing w:line="276" w:lineRule="auto"/>
      </w:pPr>
      <w:r>
        <w:t>· הפסקה השנייה ·</w:t>
      </w:r>
    </w:p>
    <w:p w14:paraId="4DA0F1DA" w14:textId="77777777" w:rsidR="00AB3647" w:rsidRDefault="00000000" w:rsidP="007923E9">
      <w:pPr>
        <w:pStyle w:val="5"/>
        <w:spacing w:line="276" w:lineRule="auto"/>
      </w:pPr>
      <w:r>
        <w:t xml:space="preserve">ארוסתו של ר׳ נפתלי </w:t>
      </w:r>
      <w:proofErr w:type="spellStart"/>
      <w:r>
        <w:t>טרופ</w:t>
      </w:r>
      <w:proofErr w:type="spellEnd"/>
      <w:r>
        <w:t xml:space="preserve">, בתו של הסבא, מתה ור׳ נפתלי נעשה חתנו של ר׳ </w:t>
      </w:r>
      <w:proofErr w:type="spellStart"/>
      <w:r>
        <w:t>לייזר־יעקב</w:t>
      </w:r>
      <w:proofErr w:type="spellEnd"/>
      <w:r>
        <w:t xml:space="preserve"> – רבנו נזכר ברב </w:t>
      </w:r>
      <w:proofErr w:type="spellStart"/>
      <w:r>
        <w:t>טרופ</w:t>
      </w:r>
      <w:proofErr w:type="spellEnd"/>
    </w:p>
    <w:p w14:paraId="326B07B2" w14:textId="77777777" w:rsidR="00AB3647" w:rsidRDefault="00000000" w:rsidP="007923E9">
      <w:pPr>
        <w:spacing w:after="120" w:line="276" w:lineRule="auto"/>
        <w:ind w:firstLine="283"/>
        <w:jc w:val="both"/>
      </w:pPr>
      <w:r>
        <w:rPr>
          <w:rtl/>
        </w:rPr>
        <w:t xml:space="preserve">אף שחסרו </w:t>
      </w:r>
      <w:proofErr w:type="spellStart"/>
      <w:r>
        <w:rPr>
          <w:rtl/>
        </w:rPr>
        <w:t>לר</w:t>
      </w:r>
      <w:proofErr w:type="spellEnd"/>
      <w:r>
        <w:rPr>
          <w:rtl/>
        </w:rPr>
        <w:t xml:space="preserve">׳ </w:t>
      </w:r>
      <w:proofErr w:type="spellStart"/>
      <w:r>
        <w:rPr>
          <w:rtl/>
        </w:rPr>
        <w:t>לייזר־יעקב</w:t>
      </w:r>
      <w:proofErr w:type="spellEnd"/>
      <w:r>
        <w:rPr>
          <w:rtl/>
        </w:rPr>
        <w:t xml:space="preserve"> </w:t>
      </w:r>
      <w:proofErr w:type="spellStart"/>
      <w:r>
        <w:rPr>
          <w:rtl/>
        </w:rPr>
        <w:t xml:space="preserve">חווס</w:t>
      </w:r>
      <w:proofErr w:type="spellEnd"/>
      <w:r>
        <w:rPr>
          <w:rtl/>
        </w:rPr>
        <w:t xml:space="preserve"> כישורי ההוראה של הסבא, היה קרוב אליו בהשקפתו בדברים אלה: (א) היה מסור להפצת התורה, (ב) היה קשור יותר לבני תורה בכלל מאשר לילדיו שלו, (ג) לא ייחס ערך לקניינים חומריים, (ד) נרתע מפרסום.</w:t>
      </w:r>
      <w:bookmarkStart w:id="2413" w:name="_fnr1569"/>
      <w:r>
        <w:rPr>
          <w:rStyle w:val="a5"/>
        </w:rPr>
        <w:footnoteReference w:id="1572" w:customMarkFollows="0"/>
      </w:r>
      <w:bookmarkEnd w:id="2413"/>
    </w:p>
    <w:p w14:paraId="4F1306CA" w14:textId="77777777" w:rsidR="00AB3647" w:rsidRDefault="00000000" w:rsidP="007923E9">
      <w:pPr>
        <w:spacing w:after="120" w:line="276" w:lineRule="auto"/>
        <w:ind w:firstLine="283"/>
        <w:jc w:val="both"/>
      </w:pPr>
      <w:r>
        <w:rPr>
          <w:rtl/>
        </w:rPr>
        <w:lastRenderedPageBreak/>
        <w:t xml:space="preserve">בתו של ר׳ </w:t>
      </w:r>
      <w:proofErr w:type="spellStart"/>
      <w:r>
        <w:rPr>
          <w:rtl/>
        </w:rPr>
        <w:t>לייזר־יעקב</w:t>
      </w:r>
      <w:proofErr w:type="spellEnd"/>
      <w:r>
        <w:rPr>
          <w:rtl/>
        </w:rPr>
        <w:t xml:space="preserve"> נישאה </w:t>
      </w:r>
      <w:proofErr w:type="spellStart"/>
      <w:r>
        <w:rPr>
          <w:rtl/>
        </w:rPr>
        <w:t>לר</w:t>
      </w:r>
      <w:proofErr w:type="spellEnd"/>
      <w:r>
        <w:rPr>
          <w:rtl/>
        </w:rPr>
        <w:t xml:space="preserve">׳ נפתלי </w:t>
      </w:r>
      <w:proofErr w:type="spellStart"/>
      <w:r>
        <w:rPr>
          <w:rtl/>
        </w:rPr>
        <w:t>טרופ</w:t>
      </w:r>
      <w:proofErr w:type="spellEnd"/>
      <w:r>
        <w:rPr>
          <w:rtl/>
        </w:rPr>
        <w:t xml:space="preserve"> – אותו אדם שהיה מאורס לבתו של הסבא! אין זה רחוק לשער שכשמתה בתו של הסבא,</w:t>
      </w:r>
      <w:bookmarkStart w:id="2414" w:name="_fnr1570"/>
      <w:r>
        <w:rPr>
          <w:rStyle w:val="a5"/>
        </w:rPr>
        <w:footnoteReference w:id="1573" w:customMarkFollows="0"/>
      </w:r>
      <w:bookmarkEnd w:id="2414"/>
      <w:r>
        <w:rPr>
          <w:rtl/>
        </w:rPr>
        <w:t xml:space="preserve"> הציע הסבא עצמו </w:t>
      </w:r>
      <w:proofErr w:type="spellStart"/>
      <w:r>
        <w:rPr>
          <w:rtl/>
        </w:rPr>
        <w:t>לר</w:t>
      </w:r>
      <w:proofErr w:type="spellEnd"/>
      <w:r>
        <w:rPr>
          <w:rtl/>
        </w:rPr>
        <w:t xml:space="preserve">׳ נפתלי את השידוך עם בתו של ר׳ </w:t>
      </w:r>
      <w:proofErr w:type="spellStart"/>
      <w:r>
        <w:rPr>
          <w:rtl/>
        </w:rPr>
        <w:t>לייזר־יעקב</w:t>
      </w:r>
      <w:proofErr w:type="spellEnd"/>
      <w:r>
        <w:rPr>
          <w:rtl/>
        </w:rPr>
        <w:t xml:space="preserve">. הלוא בתו של ר׳ </w:t>
      </w:r>
      <w:proofErr w:type="spellStart"/>
      <w:r>
        <w:rPr>
          <w:rtl/>
        </w:rPr>
        <w:t>לייזר־יעקב</w:t>
      </w:r>
      <w:proofErr w:type="spellEnd"/>
      <w:r>
        <w:rPr>
          <w:rtl/>
        </w:rPr>
        <w:t xml:space="preserve"> גודלה בידי אב מאותו סוג ועל אותם אידיאלים כמו האישה שמלאך המוות גזל ממנו. לפי ר׳ שמואל דישון,</w:t>
      </w:r>
      <w:bookmarkStart w:id="2415" w:name="_fnr1571"/>
      <w:r>
        <w:rPr>
          <w:rStyle w:val="a5"/>
        </w:rPr>
        <w:footnoteReference w:id="1574" w:customMarkFollows="0"/>
      </w:r>
      <w:bookmarkEnd w:id="2415"/>
      <w:r>
        <w:rPr>
          <w:rtl/>
        </w:rPr>
        <w:t xml:space="preserve"> כינה אבי את ר׳ נפתלי “מלאך” כשהספיד את בנו ר׳ אברהם </w:t>
      </w:r>
      <w:proofErr w:type="spellStart"/>
      <w:r>
        <w:rPr>
          <w:rtl/>
        </w:rPr>
        <w:t>טרופ</w:t>
      </w:r>
      <w:proofErr w:type="spellEnd"/>
      <w:r>
        <w:rPr>
          <w:rtl/>
        </w:rPr>
        <w:t xml:space="preserve"> ותיאר את הבית שבו גדל המנוח. לפיכך אין זה מופרך</w:t>
      </w:r>
      <w:r>
        <w:t xml:space="preserve"> </w:t>
      </w:r>
      <w:r>
        <w:rPr>
          <w:rtl/>
        </w:rPr>
        <w:t xml:space="preserve">לשער שהסבא הרגיש שר׳ </w:t>
      </w:r>
      <w:proofErr w:type="spellStart"/>
      <w:r>
        <w:rPr>
          <w:rtl/>
        </w:rPr>
        <w:t>לייזר־יעקב</w:t>
      </w:r>
      <w:proofErr w:type="spellEnd"/>
      <w:r>
        <w:rPr>
          <w:rtl/>
        </w:rPr>
        <w:t xml:space="preserve"> </w:t>
      </w:r>
      <w:proofErr w:type="spellStart"/>
      <w:r>
        <w:rPr>
          <w:rtl/>
        </w:rPr>
        <w:t xml:space="preserve">חווס</w:t>
      </w:r>
      <w:proofErr w:type="spellEnd"/>
      <w:r>
        <w:rPr>
          <w:rtl/>
        </w:rPr>
        <w:t xml:space="preserve"> – אף הוא מלאך ממש – מתאים להיות חמיו של ר׳ נפתלי עוד יותר ממנו עצמו.</w:t>
      </w:r>
    </w:p>
    <w:p w14:paraId="27F84608" w14:textId="77777777" w:rsidR="00AB3647" w:rsidRDefault="00000000" w:rsidP="007923E9">
      <w:pPr>
        <w:spacing w:after="120" w:line="276" w:lineRule="auto"/>
        <w:ind w:firstLine="283"/>
        <w:jc w:val="both"/>
      </w:pPr>
      <w:r>
        <w:rPr>
          <w:rtl/>
        </w:rPr>
        <w:t>ר׳ ישעיה זינגר מסר</w:t>
      </w:r>
      <w:bookmarkStart w:id="2416" w:name="_fnr1572"/>
      <w:r>
        <w:rPr>
          <w:rStyle w:val="a5"/>
        </w:rPr>
        <w:footnoteReference w:id="1575" w:customMarkFollows="0"/>
      </w:r>
      <w:bookmarkEnd w:id="2416"/>
      <w:r>
        <w:rPr>
          <w:rtl/>
        </w:rPr>
        <w:t xml:space="preserve"> בשם סבתו, כלתו של ר׳ נפתלי, שהסבא הציע תחילה </w:t>
      </w:r>
      <w:proofErr w:type="spellStart"/>
      <w:r>
        <w:rPr>
          <w:rtl/>
        </w:rPr>
        <w:t>לר</w:t>
      </w:r>
      <w:proofErr w:type="spellEnd"/>
      <w:r>
        <w:rPr>
          <w:rtl/>
        </w:rPr>
        <w:t xml:space="preserve">׳ נפתלי לשאת את אחותה הצעירה של ארוסתו, בתו השנייה של ר׳ </w:t>
      </w:r>
      <w:proofErr w:type="spellStart"/>
      <w:r>
        <w:rPr>
          <w:rtl/>
        </w:rPr>
        <w:t>נתן־צבי</w:t>
      </w:r>
      <w:proofErr w:type="spellEnd"/>
      <w:r>
        <w:rPr>
          <w:rtl/>
        </w:rPr>
        <w:t>.</w:t>
      </w:r>
      <w:bookmarkStart w:id="2417" w:name="_fnr1573"/>
      <w:r>
        <w:rPr>
          <w:rStyle w:val="a5"/>
        </w:rPr>
        <w:footnoteReference w:id="1576" w:customMarkFollows="0"/>
      </w:r>
      <w:bookmarkEnd w:id="2417"/>
      <w:r>
        <w:rPr>
          <w:rtl/>
        </w:rPr>
        <w:t xml:space="preserve"> אבל ר׳ נפתלי דחה את ההצעה, באמרו שהטרגדיה גרמה לו לחשוש שאינו ראוי להיות חתנו של הסבא.</w:t>
      </w:r>
    </w:p>
    <w:p w14:paraId="7AA361CA" w14:textId="3C484F7B" w:rsidR="00AB3647" w:rsidRDefault="00000000" w:rsidP="007923E9">
      <w:pPr>
        <w:spacing w:after="120" w:line="276" w:lineRule="auto"/>
        <w:ind w:firstLine="283"/>
        <w:jc w:val="both"/>
      </w:pPr>
      <w:r>
        <w:rPr>
          <w:rtl/>
        </w:rPr>
        <w:t xml:space="preserve">אחרי חתונתו </w:t>
      </w:r>
      <w:proofErr w:type="spellStart"/>
      <w:r>
        <w:rPr>
          <w:rtl/>
        </w:rPr>
        <w:t>בתרנ״ה</w:t>
      </w:r>
      <w:proofErr w:type="spellEnd"/>
      <w:r>
        <w:rPr>
          <w:rtl/>
        </w:rPr>
        <w:t xml:space="preserve"> המשיך ר׳ נפתלי, תלמידו של ר׳ </w:t>
      </w:r>
      <w:proofErr w:type="spellStart"/>
      <w:r>
        <w:rPr>
          <w:rtl/>
        </w:rPr>
        <w:t>איצל׳ה</w:t>
      </w:r>
      <w:proofErr w:type="spellEnd"/>
      <w:r>
        <w:rPr>
          <w:rtl/>
        </w:rPr>
        <w:t xml:space="preserve"> </w:t>
      </w:r>
      <w:proofErr w:type="spellStart"/>
      <w:r>
        <w:rPr>
          <w:rtl/>
        </w:rPr>
        <w:t>מפוניבז</w:t>
      </w:r>
      <w:proofErr w:type="spellEnd"/>
      <w:r>
        <w:rPr>
          <w:rtl/>
        </w:rPr>
        <w:t xml:space="preserve">׳ </w:t>
      </w:r>
      <w:proofErr w:type="spellStart"/>
      <w:r>
        <w:rPr>
          <w:rtl/>
        </w:rPr>
        <w:t>בסלבודקה</w:t>
      </w:r>
      <w:proofErr w:type="spellEnd"/>
      <w:r>
        <w:rPr>
          <w:rtl/>
        </w:rPr>
        <w:t xml:space="preserve"> </w:t>
      </w:r>
      <w:proofErr w:type="spellStart"/>
      <w:r>
        <w:rPr>
          <w:rtl/>
        </w:rPr>
        <w:t>ובגורז׳ד</w:t>
      </w:r>
      <w:proofErr w:type="spellEnd"/>
      <w:r>
        <w:rPr>
          <w:rtl/>
        </w:rPr>
        <w:t xml:space="preserve"> (ראה תחילת </w:t>
      </w:r>
      <w:r>
        <w:rPr>
          <w:rtl/>
        </w:rPr>
        <w:fldChar w:fldCharType="begin" w:dirty="true"/>
      </w:r>
      <w:r>
        <w:rPr>
          <w:rtl/>
        </w:rPr>
        <w:instrText xml:space="preserve"> REF b3_excJ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w:t>
      </w:r>
      <w:r>
        <w:rPr>
          <w:rtl/>
        </w:rPr>
        <w:fldChar w:fldCharType="end"/>
      </w:r>
      <w:r>
        <w:rPr>
          <w:rtl/>
        </w:rPr>
        <w:t xml:space="preserve"> להלן), ללמוד תורה כמה שנים </w:t>
      </w:r>
      <w:proofErr w:type="spellStart"/>
      <w:r>
        <w:rPr>
          <w:rtl/>
        </w:rPr>
        <w:t>בקלם</w:t>
      </w:r>
      <w:proofErr w:type="spellEnd"/>
      <w:r>
        <w:rPr>
          <w:rtl/>
        </w:rPr>
        <w:t xml:space="preserve"> אצל ר׳ </w:t>
      </w:r>
      <w:proofErr w:type="spellStart"/>
      <w:r>
        <w:rPr>
          <w:rtl/>
        </w:rPr>
        <w:t>שמחה־זיסל</w:t>
      </w:r>
      <w:proofErr w:type="spellEnd"/>
      <w:r>
        <w:rPr>
          <w:rtl/>
        </w:rPr>
        <w:t xml:space="preserve"> זיו. אחר כך קיבל משרת ר״מ בישיבת ר׳ </w:t>
      </w:r>
      <w:proofErr w:type="spellStart"/>
      <w:r>
        <w:rPr>
          <w:rtl/>
        </w:rPr>
        <w:t>הירשל׳ה</w:t>
      </w:r>
      <w:proofErr w:type="spellEnd"/>
      <w:r>
        <w:rPr>
          <w:rtl/>
        </w:rPr>
        <w:t xml:space="preserve">, הישיבה הקטנה שייסד עמיתו של חמיו (הנזכר בסוף הפסקה הראשונה לעיל). הרב </w:t>
      </w:r>
      <w:proofErr w:type="spellStart"/>
      <w:r>
        <w:rPr>
          <w:rtl/>
        </w:rPr>
        <w:t>טרופ</w:t>
      </w:r>
      <w:proofErr w:type="spellEnd"/>
      <w:r>
        <w:rPr>
          <w:rtl/>
        </w:rPr>
        <w:t xml:space="preserve"> נודע שם, כמו בשנותיו המוקדמות </w:t>
      </w:r>
      <w:proofErr w:type="spellStart"/>
      <w:r>
        <w:rPr>
          <w:rtl/>
        </w:rPr>
        <w:t>בסלבודקה</w:t>
      </w:r>
      <w:proofErr w:type="spellEnd"/>
      <w:r>
        <w:rPr>
          <w:rtl/>
        </w:rPr>
        <w:t xml:space="preserve">, על שם עיר הולדתו, כר׳ נפתלי </w:t>
      </w:r>
      <w:proofErr w:type="spellStart"/>
      <w:r>
        <w:rPr>
          <w:rtl/>
        </w:rPr>
        <w:t>גרודנר</w:t>
      </w:r>
      <w:proofErr w:type="spellEnd"/>
      <w:r>
        <w:rPr>
          <w:rtl/>
        </w:rPr>
        <w:t>.</w:t>
      </w:r>
    </w:p>
    <w:p w14:paraId="68EB8E1F" w14:textId="77777777" w:rsidR="00AB3647" w:rsidRDefault="00000000" w:rsidP="007923E9">
      <w:pPr>
        <w:spacing w:after="120" w:line="276" w:lineRule="auto"/>
        <w:ind w:firstLine="283"/>
        <w:jc w:val="both"/>
      </w:pPr>
      <w:r>
        <w:rPr>
          <w:rtl/>
        </w:rPr>
        <w:t xml:space="preserve">אבי סיפר לרב זינגר שהוא זוכר כיצד בילה ר׳ נפתלי את הימים הנוראים </w:t>
      </w:r>
      <w:proofErr w:type="spellStart"/>
      <w:r>
        <w:rPr>
          <w:rtl/>
        </w:rPr>
        <w:t>בסלבודקה</w:t>
      </w:r>
      <w:proofErr w:type="spellEnd"/>
      <w:r>
        <w:rPr>
          <w:rtl/>
        </w:rPr>
        <w:t xml:space="preserve">. היה זה בשנים הראשונות לכהונתו כראש ישיבה </w:t>
      </w:r>
      <w:proofErr w:type="spellStart"/>
      <w:r>
        <w:rPr>
          <w:rtl/>
        </w:rPr>
        <w:t>בראדין</w:t>
      </w:r>
      <w:proofErr w:type="spellEnd"/>
      <w:r>
        <w:rPr>
          <w:rtl/>
        </w:rPr>
        <w:t xml:space="preserve">, כשאבי כבר הגיע </w:t>
      </w:r>
      <w:proofErr w:type="spellStart"/>
      <w:r>
        <w:rPr>
          <w:rtl/>
        </w:rPr>
        <w:t>לסלבודקה</w:t>
      </w:r>
      <w:proofErr w:type="spellEnd"/>
      <w:r>
        <w:rPr>
          <w:rtl/>
        </w:rPr>
        <w:t>. לפי גיליון זיכרון של “תבונה”</w:t>
      </w:r>
      <w:bookmarkStart w:id="2418" w:name="_fnr1574"/>
      <w:r>
        <w:rPr>
          <w:rStyle w:val="a5"/>
        </w:rPr>
        <w:footnoteReference w:id="1577" w:customMarkFollows="0"/>
      </w:r>
      <w:bookmarkEnd w:id="2418"/>
      <w:r>
        <w:rPr>
          <w:rtl/>
        </w:rPr>
        <w:t xml:space="preserve"> שיצא לאור </w:t>
      </w:r>
      <w:proofErr w:type="spellStart"/>
      <w:r>
        <w:rPr>
          <w:rtl/>
        </w:rPr>
        <w:t>בתרפ״ח</w:t>
      </w:r>
      <w:proofErr w:type="spellEnd"/>
      <w:r>
        <w:rPr>
          <w:rtl/>
        </w:rPr>
        <w:t xml:space="preserve">, היה זה [גם] “בזכות מאמציו והשפעתו של הסבא” </w:t>
      </w:r>
      <w:proofErr w:type="spellStart"/>
      <w:r>
        <w:rPr>
          <w:rtl/>
        </w:rPr>
        <w:t>ש“לקח</w:t>
      </w:r>
      <w:proofErr w:type="spellEnd"/>
      <w:r>
        <w:rPr>
          <w:rtl/>
        </w:rPr>
        <w:t xml:space="preserve"> </w:t>
      </w:r>
      <w:proofErr w:type="spellStart"/>
      <w:r>
        <w:rPr>
          <w:rtl/>
        </w:rPr>
        <w:t>החפץ־חיים</w:t>
      </w:r>
      <w:proofErr w:type="spellEnd"/>
      <w:r>
        <w:rPr>
          <w:rtl/>
        </w:rPr>
        <w:t xml:space="preserve"> את הרב </w:t>
      </w:r>
      <w:proofErr w:type="spellStart"/>
      <w:r>
        <w:rPr>
          <w:rtl/>
        </w:rPr>
        <w:t>טרופ</w:t>
      </w:r>
      <w:proofErr w:type="spellEnd"/>
      <w:r>
        <w:rPr>
          <w:rtl/>
        </w:rPr>
        <w:t xml:space="preserve"> למגיד שיעור בכיר בישיבתו </w:t>
      </w:r>
      <w:proofErr w:type="spellStart"/>
      <w:r>
        <w:rPr>
          <w:rtl/>
        </w:rPr>
        <w:t>בראדין</w:t>
      </w:r>
      <w:proofErr w:type="spellEnd"/>
      <w:r>
        <w:rPr>
          <w:rtl/>
        </w:rPr>
        <w:t xml:space="preserve">” </w:t>
      </w:r>
      <w:proofErr w:type="spellStart"/>
      <w:r>
        <w:rPr>
          <w:rtl/>
        </w:rPr>
        <w:t>בתרס״ד</w:t>
      </w:r>
      <w:proofErr w:type="spellEnd"/>
      <w:r>
        <w:rPr>
          <w:rtl/>
        </w:rPr>
        <w:t>. השווה גם “ספר מאיר עיני ישראל”,</w:t>
      </w:r>
      <w:bookmarkStart w:id="2419" w:name="_fnr1575"/>
      <w:r>
        <w:rPr>
          <w:rStyle w:val="a5"/>
        </w:rPr>
        <w:footnoteReference w:id="1578" w:customMarkFollows="0"/>
      </w:r>
      <w:bookmarkEnd w:id="2419"/>
      <w:r>
        <w:rPr>
          <w:rtl/>
        </w:rPr>
        <w:t xml:space="preserve"> שבו מספר תלמיד </w:t>
      </w:r>
      <w:proofErr w:type="spellStart"/>
      <w:r>
        <w:rPr>
          <w:rtl/>
        </w:rPr>
        <w:t>ראדין</w:t>
      </w:r>
      <w:proofErr w:type="spellEnd"/>
      <w:r>
        <w:rPr>
          <w:rtl/>
        </w:rPr>
        <w:t xml:space="preserve"> ר׳ קלמן פרבר: “מלבד השיעורים שמסר בקביעות, גדול היה כוחו של ר׳ נפתלי גם בתורת המוסר, והיה מוסר </w:t>
      </w:r>
      <w:proofErr w:type="spellStart"/>
      <w:r>
        <w:rPr>
          <w:rtl/>
        </w:rPr>
        <w:t>שמועסין</w:t>
      </w:r>
      <w:proofErr w:type="spellEnd"/>
      <w:r>
        <w:rPr>
          <w:rtl/>
        </w:rPr>
        <w:t xml:space="preserve"> במוסר בהזדמנויות מיוחדות, כגון בערבי ראש השנה ובימי אלול.”</w:t>
      </w:r>
    </w:p>
    <w:bookmarkStart w:id="2420" w:name="b3_excD"/>
    <w:p w14:paraId="2FB83253" w14:textId="77777777" w:rsidR="00AB3647" w:rsidRDefault="00000000" w:rsidP="007923E9">
      <w:pPr>
        <w:pStyle w:val="3"/>
        <w:spacing w:line="276" w:lineRule="auto"/>
      </w:pPr>
      <w:r>
        <w:lastRenderedPageBreak/>
        <w:fldChar w:fldCharType="begin" w:dirty="true"/>
      </w:r>
      <w:r>
        <w:rPr>
          <w:rtl w:val="0"/>
        </w:rPr>
        <w:instrText>HYPERLINK \l "b3_note24</w:instrText>
      </w:r>
      <w:r>
        <w:instrText>"</w:instrText>
      </w:r>
      <w:r>
        <w:fldChar w:fldCharType="separate"/>
      </w:r>
      <w:r>
        <w:t>נספח ד</w:t>
      </w:r>
      <w:r>
        <w:fldChar w:fldCharType="end"/>
      </w:r>
      <w:bookmarkEnd w:id="2420"/>
    </w:p>
    <w:p w14:paraId="486F65AE" w14:textId="77777777" w:rsidR="00AB3647" w:rsidRDefault="00000000" w:rsidP="007923E9">
      <w:pPr>
        <w:pStyle w:val="af"/>
        <w:spacing w:line="276" w:lineRule="auto"/>
      </w:pPr>
      <w:r>
        <w:t xml:space="preserve">על המחלוקת בין הסבא </w:t>
      </w:r>
      <w:proofErr w:type="spellStart"/>
      <w:r>
        <w:t>מסלבודקה</w:t>
      </w:r>
      <w:proofErr w:type="spellEnd"/>
      <w:r>
        <w:t xml:space="preserve"> לבין רבו, הסבא מקלם, ועל ההדרכה שקיבל מר׳ ישראל </w:t>
      </w:r>
      <w:proofErr w:type="spellStart"/>
      <w:r>
        <w:t>סלנטר</w:t>
      </w:r>
      <w:proofErr w:type="spellEnd"/>
    </w:p>
    <w:p w14:paraId="749CA1A5" w14:textId="77777777" w:rsidR="00AB3647" w:rsidRDefault="00000000" w:rsidP="007923E9">
      <w:pPr>
        <w:pStyle w:val="4"/>
        <w:spacing w:line="276" w:lineRule="auto"/>
      </w:pPr>
      <w:r>
        <w:t>· הפסקה הראשונה ·</w:t>
      </w:r>
    </w:p>
    <w:p w14:paraId="37F22430" w14:textId="77777777" w:rsidR="00AB3647" w:rsidRDefault="00000000" w:rsidP="007923E9">
      <w:pPr>
        <w:pStyle w:val="5"/>
        <w:spacing w:line="276" w:lineRule="auto"/>
      </w:pPr>
      <w:r>
        <w:t xml:space="preserve">ראשיתו של ר׳ </w:t>
      </w:r>
      <w:proofErr w:type="spellStart"/>
      <w:r>
        <w:t>נתן־צבי</w:t>
      </w:r>
      <w:proofErr w:type="spellEnd"/>
      <w:r>
        <w:t xml:space="preserve"> </w:t>
      </w:r>
      <w:proofErr w:type="spellStart"/>
      <w:r>
        <w:t>פינקל</w:t>
      </w:r>
      <w:proofErr w:type="spellEnd"/>
    </w:p>
    <w:p w14:paraId="5F6318FB" w14:textId="77777777" w:rsidR="00AB3647" w:rsidRDefault="00000000" w:rsidP="007923E9">
      <w:pPr>
        <w:spacing w:after="120" w:line="276" w:lineRule="auto"/>
        <w:ind w:firstLine="283"/>
        <w:jc w:val="both"/>
      </w:pPr>
      <w:r>
        <w:rPr>
          <w:rtl/>
        </w:rPr>
        <w:t xml:space="preserve">ר׳ </w:t>
      </w:r>
      <w:proofErr w:type="spellStart"/>
      <w:r>
        <w:rPr>
          <w:rtl/>
        </w:rPr>
        <w:t>נתן־צבי</w:t>
      </w:r>
      <w:proofErr w:type="spellEnd"/>
      <w:r>
        <w:rPr>
          <w:rtl/>
        </w:rPr>
        <w:t xml:space="preserve"> </w:t>
      </w:r>
      <w:proofErr w:type="spellStart"/>
      <w:r>
        <w:rPr>
          <w:rtl/>
        </w:rPr>
        <w:t>פינקל</w:t>
      </w:r>
      <w:proofErr w:type="spellEnd"/>
      <w:r>
        <w:rPr>
          <w:rtl/>
        </w:rPr>
        <w:t xml:space="preserve"> נולד </w:t>
      </w:r>
      <w:proofErr w:type="spellStart"/>
      <w:r>
        <w:rPr>
          <w:rtl/>
        </w:rPr>
        <w:t>בראסיין</w:t>
      </w:r>
      <w:proofErr w:type="spellEnd"/>
      <w:r>
        <w:rPr>
          <w:rtl/>
        </w:rPr>
        <w:t xml:space="preserve"> </w:t>
      </w:r>
      <w:proofErr w:type="spellStart"/>
      <w:r>
        <w:rPr>
          <w:rtl/>
        </w:rPr>
        <w:t>בתר״ט</w:t>
      </w:r>
      <w:proofErr w:type="spellEnd"/>
      <w:r>
        <w:rPr>
          <w:rtl/>
        </w:rPr>
        <w:t xml:space="preserve">, ואחרי נישואיו בעיירה קלם נעשה מגיד נודד. פעם אחת דרש לפני קהל בעיר הולדתו, ושמע אותו הרב המקומי, ר׳ </w:t>
      </w:r>
      <w:proofErr w:type="spellStart"/>
      <w:r>
        <w:rPr>
          <w:rtl/>
        </w:rPr>
        <w:t>אלכסנדר־משה</w:t>
      </w:r>
      <w:proofErr w:type="spellEnd"/>
      <w:r>
        <w:rPr>
          <w:rtl/>
        </w:rPr>
        <w:t xml:space="preserve"> לפידות.</w:t>
      </w:r>
      <w:bookmarkStart w:id="2421" w:name="_fnr1576"/>
      <w:r>
        <w:rPr>
          <w:rStyle w:val="a5"/>
        </w:rPr>
        <w:footnoteReference w:id="1579" w:customMarkFollows="0"/>
      </w:r>
      <w:bookmarkEnd w:id="2421"/>
      <w:r>
        <w:rPr>
          <w:rtl/>
        </w:rPr>
        <w:t xml:space="preserve"> הרב הבין שהסבא </w:t>
      </w:r>
      <w:proofErr w:type="spellStart"/>
      <w:r>
        <w:rPr>
          <w:rtl/>
        </w:rPr>
        <w:t>מסלבודקה</w:t>
      </w:r>
      <w:proofErr w:type="spellEnd"/>
      <w:r>
        <w:rPr>
          <w:rtl/>
        </w:rPr>
        <w:t xml:space="preserve"> מסוגל לעשות הרבה יותר למען עולם התורה, ושלח אותו עם מכתב המלצה </w:t>
      </w:r>
      <w:proofErr w:type="spellStart"/>
      <w:r>
        <w:rPr>
          <w:rtl/>
        </w:rPr>
        <w:t>לר</w:t>
      </w:r>
      <w:proofErr w:type="spellEnd"/>
      <w:r>
        <w:rPr>
          <w:rtl/>
        </w:rPr>
        <w:t xml:space="preserve">׳ </w:t>
      </w:r>
      <w:proofErr w:type="spellStart"/>
      <w:r>
        <w:rPr>
          <w:rtl/>
        </w:rPr>
        <w:t>שמחה־זיסל</w:t>
      </w:r>
      <w:proofErr w:type="spellEnd"/>
      <w:r>
        <w:rPr>
          <w:rtl/>
        </w:rPr>
        <w:t xml:space="preserve"> זיו, והסבא </w:t>
      </w:r>
      <w:proofErr w:type="spellStart"/>
      <w:r>
        <w:rPr>
          <w:rtl/>
        </w:rPr>
        <w:t>מסלבודקה</w:t>
      </w:r>
      <w:proofErr w:type="spellEnd"/>
      <w:r>
        <w:rPr>
          <w:rtl/>
        </w:rPr>
        <w:t xml:space="preserve"> נעשה לתלמידו.</w:t>
      </w:r>
      <w:bookmarkStart w:id="2422" w:name="_fnr1577"/>
      <w:r>
        <w:rPr>
          <w:rStyle w:val="a5"/>
        </w:rPr>
        <w:footnoteReference w:id="1580" w:customMarkFollows="0"/>
      </w:r>
      <w:bookmarkEnd w:id="2422"/>
    </w:p>
    <w:p w14:paraId="77C24353" w14:textId="77777777" w:rsidR="00AB3647" w:rsidRDefault="00000000" w:rsidP="007923E9">
      <w:pPr>
        <w:pStyle w:val="4"/>
        <w:spacing w:line="276" w:lineRule="auto"/>
      </w:pPr>
      <w:r>
        <w:t>· הפסקה השנייה ·</w:t>
      </w:r>
    </w:p>
    <w:p w14:paraId="729DC7CD" w14:textId="77777777" w:rsidR="00AB3647" w:rsidRDefault="00000000" w:rsidP="007923E9">
      <w:pPr>
        <w:pStyle w:val="5"/>
        <w:spacing w:line="276" w:lineRule="auto"/>
      </w:pPr>
      <w:r>
        <w:t xml:space="preserve">דרכיהם של ר׳ </w:t>
      </w:r>
      <w:proofErr w:type="spellStart"/>
      <w:r>
        <w:t>שמחה־זיסל</w:t>
      </w:r>
      <w:proofErr w:type="spellEnd"/>
      <w:r>
        <w:t xml:space="preserve"> זיו ושל ר׳ </w:t>
      </w:r>
      <w:proofErr w:type="spellStart"/>
      <w:r>
        <w:t>נתן־צבי</w:t>
      </w:r>
      <w:proofErr w:type="spellEnd"/>
      <w:r>
        <w:t xml:space="preserve"> </w:t>
      </w:r>
      <w:proofErr w:type="spellStart"/>
      <w:r>
        <w:t>פינקל</w:t>
      </w:r>
      <w:proofErr w:type="spellEnd"/>
      <w:r>
        <w:t xml:space="preserve"> נפרדות – רבנו סבור שלא הייתה מחלוקת פילוסופית – האחרון הוא תלמידו של הראשון, אך לא במלואו – ר׳ </w:t>
      </w:r>
      <w:proofErr w:type="spellStart"/>
      <w:r>
        <w:t>נתן־צבי</w:t>
      </w:r>
      <w:proofErr w:type="spellEnd"/>
      <w:r>
        <w:t xml:space="preserve"> אינו יכול להישאר בעיר קלם – הוא מחפש מקום לימים הנוראים – משפחת ר׳ </w:t>
      </w:r>
      <w:proofErr w:type="spellStart"/>
      <w:r>
        <w:t>שמחה־זיסל</w:t>
      </w:r>
      <w:proofErr w:type="spellEnd"/>
      <w:r>
        <w:t xml:space="preserve"> מתרחקת מהסבא </w:t>
      </w:r>
      <w:proofErr w:type="spellStart"/>
      <w:r>
        <w:t>מסלבודקה</w:t>
      </w:r>
      <w:proofErr w:type="spellEnd"/>
    </w:p>
    <w:p w14:paraId="2A06FF08" w14:textId="77777777" w:rsidR="00AB3647" w:rsidRDefault="00000000" w:rsidP="007923E9">
      <w:pPr>
        <w:spacing w:after="120" w:line="276" w:lineRule="auto"/>
        <w:ind w:firstLine="283"/>
        <w:jc w:val="both"/>
      </w:pPr>
      <w:bookmarkStart w:id="2423" w:name="pr_b_1049"/>
      <w:bookmarkEnd w:id="2423"/>
      <w:r>
        <w:rPr>
          <w:rtl/>
        </w:rPr>
        <w:t xml:space="preserve">יש דיווחים על חילוקי דעות פילוסופיים בין הסבא </w:t>
      </w:r>
      <w:proofErr w:type="spellStart"/>
      <w:r>
        <w:rPr>
          <w:rtl/>
        </w:rPr>
        <w:t>מסלבודקה</w:t>
      </w:r>
      <w:proofErr w:type="spellEnd"/>
      <w:r>
        <w:rPr>
          <w:rtl/>
        </w:rPr>
        <w:t xml:space="preserve"> לסבא מקלם. השווה כץ, “תנועת המוסר”, כרך ג, הקובע: “ידוע שלעתים היו הבדלי דעות בין הסבא </w:t>
      </w:r>
      <w:proofErr w:type="spellStart"/>
      <w:r>
        <w:rPr>
          <w:rtl/>
        </w:rPr>
        <w:t>מסלבודקה</w:t>
      </w:r>
      <w:proofErr w:type="spellEnd"/>
      <w:r>
        <w:rPr>
          <w:rtl/>
        </w:rPr>
        <w:t xml:space="preserve"> לסבא מקלם בהשקפות מסוימות. דבר זה הביא את ר׳ </w:t>
      </w:r>
      <w:proofErr w:type="spellStart"/>
      <w:r>
        <w:rPr>
          <w:rtl/>
        </w:rPr>
        <w:t>נתן־צבי</w:t>
      </w:r>
      <w:proofErr w:type="spellEnd"/>
      <w:r>
        <w:rPr>
          <w:rtl/>
        </w:rPr>
        <w:t xml:space="preserve"> לקבוע לעצמו דרך משלו בתיאוריית המוסר ובשיטות יישומה, שלעתים התנגדו לאלה של ר׳ </w:t>
      </w:r>
      <w:proofErr w:type="spellStart"/>
      <w:r>
        <w:rPr>
          <w:rtl/>
        </w:rPr>
        <w:t>שמחה־זיסל</w:t>
      </w:r>
      <w:proofErr w:type="spellEnd"/>
      <w:r>
        <w:rPr>
          <w:rtl/>
        </w:rPr>
        <w:t>.”</w:t>
      </w:r>
      <w:bookmarkStart w:id="2424" w:name="_fnr1578"/>
      <w:r>
        <w:rPr>
          <w:rStyle w:val="a5"/>
        </w:rPr>
        <w:footnoteReference w:id="1581" w:customMarkFollows="0"/>
      </w:r>
      <w:bookmarkEnd w:id="2424"/>
    </w:p>
    <w:p w14:paraId="69729D9C" w14:textId="77777777" w:rsidR="00AB3647" w:rsidRDefault="00000000" w:rsidP="007923E9">
      <w:pPr>
        <w:spacing w:after="120" w:line="276" w:lineRule="auto"/>
        <w:ind w:firstLine="283"/>
        <w:jc w:val="both"/>
      </w:pPr>
      <w:r>
        <w:rPr>
          <w:rtl/>
        </w:rPr>
        <w:t>השווה גם את המונוגרפיה החותמת את “ספר היובל לישיבת מקור חיים</w:t>
      </w:r>
      <w:bookmarkStart w:id="2425" w:name="_fnr1579"/>
      <w:r>
        <w:rPr>
          <w:rStyle w:val="a5"/>
        </w:rPr>
        <w:footnoteReference w:id="1582" w:customMarkFollows="0"/>
      </w:r>
      <w:bookmarkEnd w:id="2425"/>
      <w:r>
        <w:rPr>
          <w:rtl/>
        </w:rPr>
        <w:t>”, “במשך היובל המה יעלו”</w:t>
      </w:r>
      <w:bookmarkStart w:id="2426" w:name="_fnr1580"/>
      <w:r>
        <w:rPr>
          <w:rStyle w:val="a5"/>
        </w:rPr>
        <w:footnoteReference w:id="1583" w:customMarkFollows="0"/>
      </w:r>
      <w:bookmarkEnd w:id="2426"/>
      <w:r>
        <w:rPr>
          <w:rtl/>
        </w:rPr>
        <w:t xml:space="preserve">. שם מביא ר׳ חיים </w:t>
      </w:r>
      <w:proofErr w:type="spellStart"/>
      <w:r>
        <w:rPr>
          <w:rtl/>
        </w:rPr>
        <w:t>סרנא</w:t>
      </w:r>
      <w:proofErr w:type="spellEnd"/>
      <w:r>
        <w:rPr>
          <w:rtl/>
        </w:rPr>
        <w:t xml:space="preserve"> בשם אביו ר׳ </w:t>
      </w:r>
      <w:proofErr w:type="spellStart"/>
      <w:r>
        <w:rPr>
          <w:rtl/>
        </w:rPr>
        <w:t>חצקל</w:t>
      </w:r>
      <w:proofErr w:type="spellEnd"/>
      <w:r>
        <w:rPr>
          <w:rtl/>
        </w:rPr>
        <w:t xml:space="preserve">, שכשנאמר </w:t>
      </w:r>
      <w:proofErr w:type="spellStart"/>
      <w:r>
        <w:rPr>
          <w:rtl/>
        </w:rPr>
        <w:t>לר</w:t>
      </w:r>
      <w:proofErr w:type="spellEnd"/>
      <w:r>
        <w:rPr>
          <w:rtl/>
        </w:rPr>
        <w:t xml:space="preserve">׳ </w:t>
      </w:r>
      <w:proofErr w:type="spellStart"/>
      <w:r>
        <w:rPr>
          <w:rtl/>
        </w:rPr>
        <w:t>שמחה־זיסל</w:t>
      </w:r>
      <w:proofErr w:type="spellEnd"/>
      <w:r>
        <w:rPr>
          <w:rtl/>
        </w:rPr>
        <w:t xml:space="preserve"> שישיבתו של ר׳ </w:t>
      </w:r>
      <w:proofErr w:type="spellStart"/>
      <w:r>
        <w:rPr>
          <w:rtl/>
        </w:rPr>
        <w:t>נתן־צבי</w:t>
      </w:r>
      <w:proofErr w:type="spellEnd"/>
      <w:r>
        <w:rPr>
          <w:rtl/>
        </w:rPr>
        <w:t xml:space="preserve"> גדלה ל־300 תלמידים, הביע את מורת רוחו בהערה: “יש לו 300 כובעים [</w:t>
      </w:r>
      <w:proofErr w:type="spellStart"/>
      <w:r>
        <w:rPr>
          <w:rtl/>
        </w:rPr>
        <w:t>היטאלאך</w:t>
      </w:r>
      <w:proofErr w:type="spellEnd"/>
      <w:r>
        <w:rPr>
          <w:rtl/>
        </w:rPr>
        <w:t xml:space="preserve">].” ר׳ חיים מנסה לעמוד על מה שעורר את מורת רוחו של הסבא מקלם. ייתכן שר׳ </w:t>
      </w:r>
      <w:proofErr w:type="spellStart"/>
      <w:r>
        <w:rPr>
          <w:rtl/>
        </w:rPr>
        <w:t>שמחה־זיסל</w:t>
      </w:r>
      <w:proofErr w:type="spellEnd"/>
      <w:r>
        <w:rPr>
          <w:rtl/>
        </w:rPr>
        <w:t xml:space="preserve"> מתח ביקורת רק על המספר, משום שסבר שרק בעבודה עם קבוצה קטנה אפשר לקוות להעלות תלמידים לרמה שתורת המוסר דורשת. נראה שמורת רוח זו כלפי הסבא </w:t>
      </w:r>
      <w:proofErr w:type="spellStart"/>
      <w:r>
        <w:rPr>
          <w:rtl/>
        </w:rPr>
        <w:t>מסלבודקה</w:t>
      </w:r>
      <w:proofErr w:type="spellEnd"/>
      <w:r>
        <w:rPr>
          <w:rtl/>
        </w:rPr>
        <w:t xml:space="preserve"> הובעה כמה שנים אחרי תחילת שנות </w:t>
      </w:r>
      <w:proofErr w:type="spellStart"/>
      <w:r>
        <w:rPr>
          <w:rtl/>
        </w:rPr>
        <w:t>הת״ר־נ</w:t>
      </w:r>
      <w:proofErr w:type="spellEnd"/>
      <w:r>
        <w:rPr>
          <w:rtl/>
        </w:rPr>
        <w:t xml:space="preserve">׳, כשישיבת </w:t>
      </w:r>
      <w:proofErr w:type="spellStart"/>
      <w:r>
        <w:rPr>
          <w:rtl/>
        </w:rPr>
        <w:t>סלבודקה</w:t>
      </w:r>
      <w:proofErr w:type="spellEnd"/>
      <w:r>
        <w:rPr>
          <w:rtl/>
        </w:rPr>
        <w:t xml:space="preserve"> מנתה מספר תלמידים כזה.</w:t>
      </w:r>
      <w:bookmarkStart w:id="2427" w:name="_fnr1581"/>
      <w:r>
        <w:rPr>
          <w:rStyle w:val="a5"/>
        </w:rPr>
        <w:footnoteReference w:id="1584" w:customMarkFollows="0"/>
      </w:r>
      <w:bookmarkEnd w:id="2427"/>
    </w:p>
    <w:p w14:paraId="6D15635A" w14:textId="77777777" w:rsidR="00AB3647" w:rsidRDefault="00000000" w:rsidP="007923E9">
      <w:pPr>
        <w:spacing w:after="120" w:line="276" w:lineRule="auto"/>
        <w:ind w:firstLine="283"/>
        <w:jc w:val="both"/>
      </w:pPr>
      <w:r>
        <w:rPr>
          <w:rtl/>
        </w:rPr>
        <w:lastRenderedPageBreak/>
        <w:t xml:space="preserve">ר׳ מאיר שפירא, שנולד </w:t>
      </w:r>
      <w:proofErr w:type="spellStart"/>
      <w:r>
        <w:rPr>
          <w:rtl/>
        </w:rPr>
        <w:t>בתרס״ה</w:t>
      </w:r>
      <w:proofErr w:type="spellEnd"/>
      <w:r>
        <w:rPr>
          <w:rtl/>
        </w:rPr>
        <w:t xml:space="preserve">, היה יליד קלם שהתייתם וגדל בבתי ילדיו של ר׳ </w:t>
      </w:r>
      <w:proofErr w:type="spellStart"/>
      <w:r>
        <w:rPr>
          <w:rtl/>
        </w:rPr>
        <w:t>שמחה־זיסל</w:t>
      </w:r>
      <w:proofErr w:type="spellEnd"/>
      <w:r>
        <w:rPr>
          <w:rtl/>
        </w:rPr>
        <w:t>. לעומת זאת, הוא מסר</w:t>
      </w:r>
      <w:bookmarkStart w:id="2428" w:name="_fnr1582"/>
      <w:r>
        <w:rPr>
          <w:rStyle w:val="a5"/>
        </w:rPr>
        <w:footnoteReference w:id="1585" w:customMarkFollows="0"/>
      </w:r>
      <w:bookmarkEnd w:id="2428"/>
      <w:r>
        <w:rPr>
          <w:rtl/>
        </w:rPr>
        <w:t xml:space="preserve"> שבחוגי ישיבות ליטא סברו שעיקר המחלוקת בין הסבא מקלם לסבא </w:t>
      </w:r>
      <w:proofErr w:type="spellStart"/>
      <w:r>
        <w:rPr>
          <w:rtl/>
        </w:rPr>
        <w:t>מסלבודקה</w:t>
      </w:r>
      <w:proofErr w:type="spellEnd"/>
      <w:r>
        <w:rPr>
          <w:rtl/>
        </w:rPr>
        <w:t xml:space="preserve"> היה אם התנועה צריכה להתרכז בהעמדת בעלי בתים או מנהיגים רבניים. המרואיין הוסיף: “למרות המחלוקת, מילות הסיום של מכתב ששלח ר׳ </w:t>
      </w:r>
      <w:proofErr w:type="spellStart"/>
      <w:r>
        <w:rPr>
          <w:rtl/>
        </w:rPr>
        <w:t>שמחה־זיסל</w:t>
      </w:r>
      <w:proofErr w:type="spellEnd"/>
      <w:r>
        <w:rPr>
          <w:rtl/>
        </w:rPr>
        <w:t xml:space="preserve"> לסבא </w:t>
      </w:r>
      <w:proofErr w:type="spellStart"/>
      <w:r>
        <w:rPr>
          <w:rtl/>
        </w:rPr>
        <w:t>מסלבודקה</w:t>
      </w:r>
      <w:proofErr w:type="spellEnd"/>
      <w:r>
        <w:rPr>
          <w:rtl/>
        </w:rPr>
        <w:t xml:space="preserve">, שראיתי, היו ‘מחלקך יהא חלקי’. דבר זה מורה שתהא המחלוקת בין השניים אשר תהא, היא יושבה אחר כך.” אבל ראה להלן שהפער לא גושר בחיי ר׳ </w:t>
      </w:r>
      <w:proofErr w:type="spellStart"/>
      <w:r>
        <w:rPr>
          <w:rtl/>
        </w:rPr>
        <w:t>שמחה־זיסל</w:t>
      </w:r>
      <w:proofErr w:type="spellEnd"/>
      <w:r>
        <w:rPr>
          <w:rtl/>
        </w:rPr>
        <w:t xml:space="preserve">, והמשיך לדור הבא. ברור שמכתבו של הסבא מקלם נכתב </w:t>
      </w:r>
      <w:r>
        <w:rPr>
          <w:b/>
          <w:bCs/>
          <w:rtl/>
        </w:rPr>
        <w:t>לפני</w:t>
      </w:r>
      <w:r>
        <w:rPr>
          <w:rtl/>
        </w:rPr>
        <w:t xml:space="preserve"> שנקרע הקשר – לא אחרי שתוקן, כפי שסבר ר׳ מאיר שפירא בטעות.</w:t>
      </w:r>
    </w:p>
    <w:p w14:paraId="6891734C" w14:textId="77777777" w:rsidR="00AB3647" w:rsidRDefault="00000000" w:rsidP="007923E9">
      <w:pPr>
        <w:spacing w:after="120" w:line="276" w:lineRule="auto"/>
        <w:ind w:firstLine="283"/>
        <w:jc w:val="both"/>
      </w:pPr>
      <w:r>
        <w:rPr>
          <w:rtl/>
        </w:rPr>
        <w:t xml:space="preserve">לאבי, לעומת זאת, הייתה דעה שונה. בריאיון המוקלט על הסבא </w:t>
      </w:r>
      <w:proofErr w:type="spellStart"/>
      <w:r>
        <w:rPr>
          <w:rtl/>
        </w:rPr>
        <w:t>מסלבודקה</w:t>
      </w:r>
      <w:bookmarkStart w:id="2429" w:name="_fnr1583"/>
      <w:proofErr w:type="spellEnd"/>
      <w:r>
        <w:rPr>
          <w:rStyle w:val="a5"/>
        </w:rPr>
        <w:footnoteReference w:id="1586" w:customMarkFollows="0"/>
      </w:r>
      <w:bookmarkEnd w:id="2429"/>
      <w:r>
        <w:rPr>
          <w:rtl/>
        </w:rPr>
        <w:t xml:space="preserve"> טען שהגישות הבסיסיות של הסבא מקלם ושל הסבא </w:t>
      </w:r>
      <w:proofErr w:type="spellStart"/>
      <w:r>
        <w:rPr>
          <w:rtl/>
        </w:rPr>
        <w:t>מסלבודקה</w:t>
      </w:r>
      <w:proofErr w:type="spellEnd"/>
      <w:r>
        <w:rPr>
          <w:rtl/>
        </w:rPr>
        <w:t xml:space="preserve"> היו זהות, אלא שהסבא עבד עם חברת תלמידים ור׳ </w:t>
      </w:r>
      <w:proofErr w:type="spellStart"/>
      <w:r>
        <w:rPr>
          <w:rtl/>
        </w:rPr>
        <w:t>שמחה־זיסל</w:t>
      </w:r>
      <w:proofErr w:type="spellEnd"/>
      <w:r>
        <w:rPr>
          <w:rtl/>
        </w:rPr>
        <w:t xml:space="preserve"> עם קבוצת בעלי בתים. לפיכך לא הייתה כלל מחלוקת פילוסופית בין השניים. למעשה, הסבא </w:t>
      </w:r>
      <w:proofErr w:type="spellStart"/>
      <w:r>
        <w:rPr>
          <w:rtl/>
        </w:rPr>
        <w:t>מסלבודקה</w:t>
      </w:r>
      <w:proofErr w:type="spellEnd"/>
      <w:r>
        <w:rPr>
          <w:rtl/>
        </w:rPr>
        <w:t xml:space="preserve"> אמר לאבי שנפגע מכך שחשדו בו אחרים, (המכונים) תלמידי ר׳ </w:t>
      </w:r>
      <w:proofErr w:type="spellStart"/>
      <w:r>
        <w:rPr>
          <w:rtl/>
        </w:rPr>
        <w:t>שמחה־זיסל</w:t>
      </w:r>
      <w:proofErr w:type="spellEnd"/>
      <w:r>
        <w:rPr>
          <w:rtl/>
        </w:rPr>
        <w:t>, שסטה מתורת רבו.</w:t>
      </w:r>
      <w:bookmarkStart w:id="2430" w:name="_fnr1584"/>
      <w:r>
        <w:rPr>
          <w:rStyle w:val="a5"/>
        </w:rPr>
        <w:footnoteReference w:id="1587" w:customMarkFollows="0"/>
      </w:r>
      <w:bookmarkEnd w:id="2430"/>
      <w:r>
        <w:rPr>
          <w:rtl/>
        </w:rPr>
        <w:t xml:space="preserve"> יתר על כן, עשרים ושלוש שנה אחרי פטירת הסבא מקלם</w:t>
      </w:r>
      <w:bookmarkStart w:id="2431" w:name="_fnr1585"/>
      <w:r>
        <w:rPr>
          <w:rStyle w:val="a5"/>
        </w:rPr>
        <w:footnoteReference w:id="1588" w:customMarkFollows="0"/>
      </w:r>
      <w:bookmarkEnd w:id="2431"/>
      <w:r>
        <w:rPr>
          <w:rtl/>
        </w:rPr>
        <w:t xml:space="preserve"> דנה הנהגת תלמוד תורה של קלם אם להקים ישיבה לצד הכולל הקיים,</w:t>
      </w:r>
      <w:bookmarkStart w:id="2432" w:name="_fnr1586"/>
      <w:r>
        <w:rPr>
          <w:rStyle w:val="a5"/>
        </w:rPr>
        <w:footnoteReference w:id="1589" w:customMarkFollows="0"/>
      </w:r>
      <w:bookmarkEnd w:id="2432"/>
      <w:r>
        <w:rPr>
          <w:rtl/>
        </w:rPr>
        <w:t xml:space="preserve"> וכמה מחבריה עמדו על כך שאסור לפגוע במורשת ר׳ </w:t>
      </w:r>
      <w:proofErr w:type="spellStart"/>
      <w:r>
        <w:rPr>
          <w:rtl/>
        </w:rPr>
        <w:t>שמחה־זיסל</w:t>
      </w:r>
      <w:proofErr w:type="spellEnd"/>
      <w:r>
        <w:rPr>
          <w:rtl/>
        </w:rPr>
        <w:t>, שקיבל רק תלמידים מצטיינים, רובם כבר נשואים. כשנודע הדבר לסבא, כעס ואמר לאבי: “תלמידים שלמדו אצל הסבא</w:t>
      </w:r>
      <w:bookmarkStart w:id="2433" w:name="_fnr1587"/>
      <w:r>
        <w:rPr>
          <w:rStyle w:val="a5"/>
        </w:rPr>
        <w:footnoteReference w:id="1590" w:customMarkFollows="0"/>
      </w:r>
      <w:bookmarkEnd w:id="2433"/>
      <w:r>
        <w:rPr>
          <w:rtl/>
        </w:rPr>
        <w:t xml:space="preserve"> במשך עשרים שנה לא הבינו מה הוא ביקש: אני היחיד שהבין.”</w:t>
      </w:r>
    </w:p>
    <w:p w14:paraId="2F011156" w14:textId="3D1E04E4" w:rsidR="00AB3647" w:rsidRDefault="00000000" w:rsidP="007923E9">
      <w:pPr>
        <w:spacing w:after="120" w:line="276" w:lineRule="auto"/>
        <w:ind w:firstLine="283"/>
        <w:jc w:val="both"/>
      </w:pPr>
      <w:r>
        <w:rPr>
          <w:rtl/>
        </w:rPr>
        <w:t xml:space="preserve">אבי הסביר </w:t>
      </w:r>
      <w:proofErr w:type="spellStart"/>
      <w:r>
        <w:rPr>
          <w:rtl/>
        </w:rPr>
        <w:t>שה“תלמידים</w:t>
      </w:r>
      <w:proofErr w:type="spellEnd"/>
      <w:r>
        <w:rPr>
          <w:rtl/>
        </w:rPr>
        <w:t xml:space="preserve">” שאליהם התכוון ר׳ </w:t>
      </w:r>
      <w:proofErr w:type="spellStart"/>
      <w:r>
        <w:rPr>
          <w:rtl/>
        </w:rPr>
        <w:t>נתן־צבי</w:t>
      </w:r>
      <w:proofErr w:type="spellEnd"/>
      <w:r>
        <w:rPr>
          <w:rtl/>
        </w:rPr>
        <w:t xml:space="preserve"> היו גם בנו של הסבא מקלם עצמו(!), ר׳ </w:t>
      </w:r>
      <w:proofErr w:type="spellStart"/>
      <w:r>
        <w:rPr>
          <w:rtl/>
        </w:rPr>
        <w:t>נחום־זאב</w:t>
      </w:r>
      <w:proofErr w:type="spellEnd"/>
      <w:r>
        <w:rPr>
          <w:rtl/>
        </w:rPr>
        <w:t xml:space="preserve"> (שנפטר </w:t>
      </w:r>
      <w:proofErr w:type="spellStart"/>
      <w:r>
        <w:rPr>
          <w:rtl/>
        </w:rPr>
        <w:t>בתרע״ו</w:t>
      </w:r>
      <w:proofErr w:type="spellEnd"/>
      <w:r>
        <w:rPr>
          <w:rtl/>
        </w:rPr>
        <w:t xml:space="preserve">), וגם ר׳ </w:t>
      </w:r>
      <w:proofErr w:type="spellStart"/>
      <w:r>
        <w:rPr>
          <w:rtl/>
        </w:rPr>
        <w:t>ראובן־בער</w:t>
      </w:r>
      <w:proofErr w:type="spellEnd"/>
      <w:r>
        <w:rPr>
          <w:rtl/>
        </w:rPr>
        <w:t xml:space="preserve"> </w:t>
      </w:r>
      <w:proofErr w:type="spellStart"/>
      <w:r>
        <w:rPr>
          <w:rtl/>
        </w:rPr>
        <w:t>דסלר</w:t>
      </w:r>
      <w:proofErr w:type="spellEnd"/>
      <w:r>
        <w:rPr>
          <w:rtl/>
        </w:rPr>
        <w:t xml:space="preserve"> (בעל נכדתו של ר׳ ישראל </w:t>
      </w:r>
      <w:proofErr w:type="spellStart"/>
      <w:r>
        <w:rPr>
          <w:rtl/>
        </w:rPr>
        <w:t>סלנטר</w:t>
      </w:r>
      <w:proofErr w:type="spellEnd"/>
      <w:r>
        <w:rPr>
          <w:rtl/>
        </w:rPr>
        <w:t>), שעמד בראש הסיעה שהתנגדה להקמת הישיבה. השווה גם פרק 5, סוף הפסקה השנייה ב</w:t>
      </w:r>
      <w:r>
        <w:rPr>
          <w:rtl/>
        </w:rPr>
        <w:fldChar w:fldCharType="begin" w:dirty="true"/>
      </w:r>
      <w:r>
        <w:rPr>
          <w:rtl/>
        </w:rPr>
        <w:instrText xml:space="preserve"> REF b5_excH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ח</w:t>
      </w:r>
      <w:r>
        <w:rPr>
          <w:rtl/>
        </w:rPr>
        <w:fldChar w:fldCharType="end"/>
      </w:r>
      <w:r>
        <w:rPr>
          <w:rtl/>
        </w:rPr>
        <w:t xml:space="preserve">, החושף </w:t>
      </w:r>
      <w:proofErr w:type="spellStart"/>
      <w:r>
        <w:rPr>
          <w:rtl/>
        </w:rPr>
        <w:t>שבתרנ״ו</w:t>
      </w:r>
      <w:proofErr w:type="spellEnd"/>
      <w:r>
        <w:rPr>
          <w:rtl/>
        </w:rPr>
        <w:t xml:space="preserve">, פחות משנתיים לפני פטירת ר׳ </w:t>
      </w:r>
      <w:proofErr w:type="spellStart"/>
      <w:r>
        <w:rPr>
          <w:rtl/>
        </w:rPr>
        <w:t>שמחה־זיסל</w:t>
      </w:r>
      <w:proofErr w:type="spellEnd"/>
      <w:r>
        <w:rPr>
          <w:rtl/>
        </w:rPr>
        <w:t xml:space="preserve">, שלח הסבא קבוצות מתלמידיו המעולים לבלות את אלול בהדרכת ר׳ </w:t>
      </w:r>
      <w:proofErr w:type="spellStart"/>
      <w:r>
        <w:rPr>
          <w:rtl/>
        </w:rPr>
        <w:t>שמחה־זיסל</w:t>
      </w:r>
      <w:proofErr w:type="spellEnd"/>
      <w:r>
        <w:rPr>
          <w:rtl/>
        </w:rPr>
        <w:t xml:space="preserve">. דבר זה מוכיח שלא הסבא </w:t>
      </w:r>
      <w:proofErr w:type="spellStart"/>
      <w:r>
        <w:rPr>
          <w:rtl/>
        </w:rPr>
        <w:t>מסלבודקה</w:t>
      </w:r>
      <w:proofErr w:type="spellEnd"/>
      <w:r>
        <w:rPr>
          <w:rtl/>
        </w:rPr>
        <w:t xml:space="preserve"> הוא שמתח ביקורת על החינוך </w:t>
      </w:r>
      <w:proofErr w:type="spellStart"/>
      <w:r>
        <w:rPr>
          <w:rtl/>
        </w:rPr>
        <w:t>בקלם</w:t>
      </w:r>
      <w:proofErr w:type="spellEnd"/>
      <w:r>
        <w:rPr>
          <w:rtl/>
        </w:rPr>
        <w:t xml:space="preserve">. הביקורת לא יכלה להיות אלא חד־צדדית, כלומר רק ר׳ </w:t>
      </w:r>
      <w:proofErr w:type="spellStart"/>
      <w:r>
        <w:rPr>
          <w:rtl/>
        </w:rPr>
        <w:t>שמחה־זיסל</w:t>
      </w:r>
      <w:proofErr w:type="spellEnd"/>
      <w:r>
        <w:rPr>
          <w:rtl/>
        </w:rPr>
        <w:t xml:space="preserve"> </w:t>
      </w:r>
      <w:proofErr w:type="spellStart"/>
      <w:r>
        <w:rPr>
          <w:rtl/>
        </w:rPr>
        <w:t>ו“תלמידיו</w:t>
      </w:r>
      <w:proofErr w:type="spellEnd"/>
      <w:r>
        <w:rPr>
          <w:rtl/>
        </w:rPr>
        <w:t xml:space="preserve">” התנגדו </w:t>
      </w:r>
      <w:proofErr w:type="spellStart"/>
      <w:r>
        <w:rPr>
          <w:rtl/>
        </w:rPr>
        <w:t>לסלבודקה</w:t>
      </w:r>
      <w:proofErr w:type="spellEnd"/>
      <w:r>
        <w:rPr>
          <w:rtl/>
        </w:rPr>
        <w:t>.</w:t>
      </w:r>
    </w:p>
    <w:p w14:paraId="5702EB34" w14:textId="77777777" w:rsidR="00AB3647" w:rsidRDefault="00000000" w:rsidP="007923E9">
      <w:pPr>
        <w:spacing w:after="120" w:line="276" w:lineRule="auto"/>
        <w:ind w:firstLine="283"/>
        <w:jc w:val="both"/>
      </w:pPr>
      <w:r>
        <w:rPr>
          <w:rtl/>
        </w:rPr>
        <w:t>השווה גם כץ, “תנועת המוסר”, כרך ג,</w:t>
      </w:r>
      <w:bookmarkStart w:id="2434" w:name="_fnr1588"/>
      <w:r>
        <w:rPr>
          <w:rStyle w:val="a5"/>
        </w:rPr>
        <w:footnoteReference w:id="1591" w:customMarkFollows="0"/>
      </w:r>
      <w:bookmarkEnd w:id="2434"/>
      <w:r>
        <w:rPr>
          <w:rtl/>
        </w:rPr>
        <w:t xml:space="preserve"> המצטט מכתב שכתב הסבא </w:t>
      </w:r>
      <w:proofErr w:type="spellStart"/>
      <w:r>
        <w:rPr>
          <w:rtl/>
        </w:rPr>
        <w:t>מסלבודקה</w:t>
      </w:r>
      <w:proofErr w:type="spellEnd"/>
      <w:r>
        <w:rPr>
          <w:rtl/>
        </w:rPr>
        <w:t xml:space="preserve"> יותר מעשרים וחמש שנה אחרי פטירת ר׳ </w:t>
      </w:r>
      <w:proofErr w:type="spellStart"/>
      <w:r>
        <w:rPr>
          <w:rtl/>
        </w:rPr>
        <w:t>שמחה־זיסל</w:t>
      </w:r>
      <w:proofErr w:type="spellEnd"/>
      <w:r>
        <w:rPr>
          <w:rtl/>
        </w:rPr>
        <w:t xml:space="preserve">, בקשר לפרסום המתוכנן של </w:t>
      </w:r>
      <w:proofErr w:type="spellStart"/>
      <w:r>
        <w:rPr>
          <w:rtl/>
        </w:rPr>
        <w:t>השמועסין</w:t>
      </w:r>
      <w:proofErr w:type="spellEnd"/>
      <w:r>
        <w:rPr>
          <w:rtl/>
        </w:rPr>
        <w:t xml:space="preserve"> של ר׳ </w:t>
      </w:r>
      <w:proofErr w:type="spellStart"/>
      <w:r>
        <w:rPr>
          <w:rtl/>
        </w:rPr>
        <w:t>שמחה־זיסל</w:t>
      </w:r>
      <w:proofErr w:type="spellEnd"/>
      <w:r>
        <w:rPr>
          <w:rtl/>
        </w:rPr>
        <w:t>. במכתב הוא מביע הערצה בלי גבול לרבו, וקורא לו “אדמו״ר”.</w:t>
      </w:r>
      <w:bookmarkStart w:id="2435" w:name="_fnr1589"/>
      <w:r>
        <w:rPr>
          <w:rStyle w:val="a5"/>
        </w:rPr>
        <w:footnoteReference w:id="1592" w:customMarkFollows="0"/>
      </w:r>
      <w:bookmarkEnd w:id="2435"/>
      <w:r>
        <w:rPr>
          <w:rtl/>
        </w:rPr>
        <w:t xml:space="preserve"> והשווה את </w:t>
      </w:r>
      <w:r>
        <w:rPr>
          <w:rtl/>
        </w:rPr>
        <w:lastRenderedPageBreak/>
        <w:t>הציטוט ממרקוס</w:t>
      </w:r>
      <w:bookmarkStart w:id="2436" w:name="_fnr1590"/>
      <w:r>
        <w:rPr>
          <w:rStyle w:val="a5"/>
        </w:rPr>
        <w:footnoteReference w:id="1593" w:customMarkFollows="0"/>
      </w:r>
      <w:bookmarkEnd w:id="2436"/>
      <w:r>
        <w:rPr>
          <w:rtl/>
        </w:rPr>
        <w:t xml:space="preserve"> בפסקה הראשונה של הנספח הבא, המתאר את התקשרותו של הסבא </w:t>
      </w:r>
      <w:proofErr w:type="spellStart"/>
      <w:r>
        <w:rPr>
          <w:rtl/>
        </w:rPr>
        <w:t>מסלבודקה</w:t>
      </w:r>
      <w:proofErr w:type="spellEnd"/>
      <w:r>
        <w:rPr>
          <w:rtl/>
        </w:rPr>
        <w:t xml:space="preserve"> לסבא מקלם, שלא ידעה גבול, אף לאחר מותו.</w:t>
      </w:r>
    </w:p>
    <w:p w14:paraId="2606175D" w14:textId="77777777" w:rsidR="00AB3647" w:rsidRDefault="00000000" w:rsidP="007923E9">
      <w:pPr>
        <w:spacing w:after="120" w:line="276" w:lineRule="auto"/>
        <w:ind w:firstLine="283"/>
        <w:jc w:val="both"/>
      </w:pPr>
      <w:r>
        <w:rPr>
          <w:rtl/>
        </w:rPr>
        <w:t xml:space="preserve">אבל לפי ר׳ שלמה </w:t>
      </w:r>
      <w:proofErr w:type="spellStart"/>
      <w:r>
        <w:rPr>
          <w:rtl/>
        </w:rPr>
        <w:t>איידלשטיין</w:t>
      </w:r>
      <w:proofErr w:type="spellEnd"/>
      <w:r>
        <w:rPr>
          <w:rtl/>
        </w:rPr>
        <w:t>,</w:t>
      </w:r>
      <w:bookmarkStart w:id="2437" w:name="_fnr1591"/>
      <w:r>
        <w:rPr>
          <w:rStyle w:val="a5"/>
        </w:rPr>
        <w:footnoteReference w:id="1594" w:customMarkFollows="0"/>
      </w:r>
      <w:bookmarkEnd w:id="2437"/>
      <w:r>
        <w:rPr>
          <w:rtl/>
        </w:rPr>
        <w:t xml:space="preserve"> גילתה נכדתו של הסבא, </w:t>
      </w:r>
      <w:proofErr w:type="spellStart"/>
      <w:r>
        <w:rPr>
          <w:rtl/>
        </w:rPr>
        <w:t>חיה־מרים</w:t>
      </w:r>
      <w:proofErr w:type="spellEnd"/>
      <w:r>
        <w:rPr>
          <w:rtl/>
        </w:rPr>
        <w:t xml:space="preserve"> </w:t>
      </w:r>
      <w:proofErr w:type="spellStart"/>
      <w:r>
        <w:rPr>
          <w:rtl/>
        </w:rPr>
        <w:t>שולמן</w:t>
      </w:r>
      <w:proofErr w:type="spellEnd"/>
      <w:r>
        <w:rPr>
          <w:rtl/>
        </w:rPr>
        <w:t>, שהוא אמר: “אני מכיר טובה לסבא מקלם, אבל הוא אינו רבי שלי.”</w:t>
      </w:r>
    </w:p>
    <w:p w14:paraId="52BB0CB9" w14:textId="77777777" w:rsidR="00AB3647" w:rsidRDefault="00000000" w:rsidP="007923E9">
      <w:pPr>
        <w:spacing w:after="120" w:line="276" w:lineRule="auto"/>
        <w:ind w:firstLine="283"/>
        <w:jc w:val="both"/>
      </w:pPr>
      <w:r>
        <w:rPr>
          <w:rtl/>
        </w:rPr>
        <w:t>יש להבין זאת כך שאף שקיבל ממנו די כדי לכנותו “אדמו״ר”, לא הלך בעיוורון אחרי הוראות הסבא מקלם, וחלק עליו בכמה עניינים.</w:t>
      </w:r>
      <w:bookmarkStart w:id="2438" w:name="_fnr1592"/>
      <w:r>
        <w:rPr>
          <w:rStyle w:val="a5"/>
        </w:rPr>
        <w:footnoteReference w:id="1595" w:customMarkFollows="0"/>
      </w:r>
      <w:bookmarkEnd w:id="2438"/>
    </w:p>
    <w:p w14:paraId="6CE3E90D" w14:textId="77777777" w:rsidR="00AB3647" w:rsidRDefault="00000000" w:rsidP="007923E9">
      <w:pPr>
        <w:spacing w:after="120" w:line="276" w:lineRule="auto"/>
        <w:ind w:firstLine="283"/>
        <w:jc w:val="both"/>
      </w:pPr>
      <w:r>
        <w:rPr>
          <w:rtl/>
        </w:rPr>
        <w:t xml:space="preserve">לעומת זאת, מעשה אחר שסיפר אבי לנכדו, בני ר׳ יוסף, מורה שהיה קרע בין הסבא מקלם לסבא </w:t>
      </w:r>
      <w:proofErr w:type="spellStart"/>
      <w:r>
        <w:rPr>
          <w:rtl/>
        </w:rPr>
        <w:t>מסלבודקה</w:t>
      </w:r>
      <w:proofErr w:type="spellEnd"/>
      <w:r>
        <w:rPr>
          <w:rtl/>
        </w:rPr>
        <w:t xml:space="preserve">. אבי סיפר אותו כדי להדגים שתלמיד חייב לכבד את רבו. שנה אחת חזר הסבא </w:t>
      </w:r>
      <w:proofErr w:type="spellStart"/>
      <w:r>
        <w:rPr>
          <w:rtl/>
        </w:rPr>
        <w:t>מסלבודקה</w:t>
      </w:r>
      <w:proofErr w:type="spellEnd"/>
      <w:r>
        <w:rPr>
          <w:rtl/>
        </w:rPr>
        <w:t xml:space="preserve"> לפסח אל משפחתו </w:t>
      </w:r>
      <w:proofErr w:type="spellStart"/>
      <w:r>
        <w:rPr>
          <w:rtl/>
        </w:rPr>
        <w:t>בקלם</w:t>
      </w:r>
      <w:proofErr w:type="spellEnd"/>
      <w:r>
        <w:rPr>
          <w:rtl/>
        </w:rPr>
        <w:t xml:space="preserve">, ובערב פסח שאל אותו ר׳ </w:t>
      </w:r>
      <w:proofErr w:type="spellStart"/>
      <w:r>
        <w:rPr>
          <w:rtl/>
        </w:rPr>
        <w:t>שמחה־זיסל</w:t>
      </w:r>
      <w:proofErr w:type="spellEnd"/>
      <w:r>
        <w:rPr>
          <w:rtl/>
        </w:rPr>
        <w:t xml:space="preserve"> היכן יתפלל ביום טוב. עצם השאלה הספיקה כדי להבהיר לסבא </w:t>
      </w:r>
      <w:proofErr w:type="spellStart"/>
      <w:r>
        <w:rPr>
          <w:rtl/>
        </w:rPr>
        <w:t>מסלבודקה</w:t>
      </w:r>
      <w:proofErr w:type="spellEnd"/>
      <w:r>
        <w:rPr>
          <w:rtl/>
        </w:rPr>
        <w:t xml:space="preserve"> שרבו אינו נותן לו רשות להתפלל בתלמוד תורה באותה שנה. ר׳ </w:t>
      </w:r>
      <w:proofErr w:type="spellStart"/>
      <w:r>
        <w:rPr>
          <w:rtl/>
        </w:rPr>
        <w:t>נתן־צבי</w:t>
      </w:r>
      <w:proofErr w:type="spellEnd"/>
      <w:r>
        <w:rPr>
          <w:rtl/>
        </w:rPr>
        <w:t xml:space="preserve">, שידע שאין זה ראוי לבוגר תלמוד תורה להתפלל בבית הכנסת של העיר, השיב לשאלת ר׳ </w:t>
      </w:r>
      <w:proofErr w:type="spellStart"/>
      <w:r>
        <w:rPr>
          <w:rtl/>
        </w:rPr>
        <w:t>שמחה־זיסל</w:t>
      </w:r>
      <w:proofErr w:type="spellEnd"/>
      <w:r>
        <w:rPr>
          <w:rtl/>
        </w:rPr>
        <w:t xml:space="preserve"> בלי היסוס ובלי ויכוח: “יש די זמן להגיע לעיירה הסמוכה </w:t>
      </w:r>
      <w:proofErr w:type="spellStart"/>
      <w:r>
        <w:rPr>
          <w:rtl/>
        </w:rPr>
        <w:t>שקודוויל</w:t>
      </w:r>
      <w:proofErr w:type="spellEnd"/>
      <w:r>
        <w:rPr>
          <w:rtl/>
        </w:rPr>
        <w:t xml:space="preserve">.” ושם בילו הסבא </w:t>
      </w:r>
      <w:proofErr w:type="spellStart"/>
      <w:r>
        <w:rPr>
          <w:rtl/>
        </w:rPr>
        <w:t>מסלבודקה</w:t>
      </w:r>
      <w:proofErr w:type="spellEnd"/>
      <w:r>
        <w:rPr>
          <w:rtl/>
        </w:rPr>
        <w:t xml:space="preserve"> ומשפחתו את אותו פסח.</w:t>
      </w:r>
    </w:p>
    <w:p w14:paraId="7E707B60" w14:textId="77777777" w:rsidR="00AB3647" w:rsidRDefault="00000000" w:rsidP="007923E9">
      <w:pPr>
        <w:spacing w:after="120" w:line="276" w:lineRule="auto"/>
        <w:ind w:firstLine="283"/>
        <w:jc w:val="both"/>
      </w:pPr>
      <w:r>
        <w:rPr>
          <w:rtl/>
        </w:rPr>
        <w:t>מעשה דומה מסופר בספרו של כץ, “תנועת המוסר”, כרך ג,</w:t>
      </w:r>
      <w:bookmarkStart w:id="2439" w:name="_fnr1593"/>
      <w:r>
        <w:rPr>
          <w:rStyle w:val="a5"/>
        </w:rPr>
        <w:footnoteReference w:id="1596" w:customMarkFollows="0"/>
      </w:r>
      <w:bookmarkEnd w:id="2439"/>
      <w:r>
        <w:rPr>
          <w:rtl/>
        </w:rPr>
        <w:t xml:space="preserve"> אך בלי הלקח על יחסי תלמיד ורב: “הסבא </w:t>
      </w:r>
      <w:proofErr w:type="spellStart"/>
      <w:r>
        <w:rPr>
          <w:rtl/>
        </w:rPr>
        <w:t>מסלבודקה</w:t>
      </w:r>
      <w:proofErr w:type="spellEnd"/>
      <w:r>
        <w:rPr>
          <w:rtl/>
        </w:rPr>
        <w:t xml:space="preserve"> לא הורשה להתפלל בתלמוד תורה בימים הנוראים... והיה עליו לבלות את החג בעיירה סמוכה, </w:t>
      </w:r>
      <w:proofErr w:type="spellStart"/>
      <w:r>
        <w:rPr>
          <w:rtl/>
        </w:rPr>
        <w:t>פוגרוזובה</w:t>
      </w:r>
      <w:proofErr w:type="spellEnd"/>
      <w:r>
        <w:rPr>
          <w:rtl/>
        </w:rPr>
        <w:t>.</w:t>
      </w:r>
      <w:bookmarkStart w:id="2440" w:name="_fnr1594"/>
      <w:r>
        <w:rPr>
          <w:rStyle w:val="a5"/>
        </w:rPr>
        <w:footnoteReference w:id="1597" w:customMarkFollows="0"/>
      </w:r>
      <w:bookmarkEnd w:id="2440"/>
      <w:r>
        <w:rPr>
          <w:rtl/>
        </w:rPr>
        <w:t>”</w:t>
      </w:r>
    </w:p>
    <w:p w14:paraId="3C3A0231" w14:textId="77777777" w:rsidR="00AB3647" w:rsidRDefault="00000000" w:rsidP="007923E9">
      <w:pPr>
        <w:spacing w:after="120" w:line="276" w:lineRule="auto"/>
        <w:ind w:firstLine="283"/>
        <w:jc w:val="both"/>
      </w:pPr>
      <w:r>
        <w:rPr>
          <w:rtl/>
        </w:rPr>
        <w:t>כץ</w:t>
      </w:r>
      <w:bookmarkStart w:id="2441" w:name="_fnr1595"/>
      <w:r>
        <w:rPr>
          <w:rStyle w:val="a5"/>
        </w:rPr>
        <w:footnoteReference w:id="1598" w:customMarkFollows="0"/>
      </w:r>
      <w:bookmarkEnd w:id="2441"/>
      <w:r>
        <w:rPr>
          <w:rtl/>
        </w:rPr>
        <w:t xml:space="preserve"> מוסיף: “למרות [גירושו לימים הנוראים, הסבא </w:t>
      </w:r>
      <w:proofErr w:type="spellStart"/>
      <w:r>
        <w:rPr>
          <w:rtl/>
        </w:rPr>
        <w:t>מסלבודקה</w:t>
      </w:r>
      <w:proofErr w:type="spellEnd"/>
      <w:r>
        <w:rPr>
          <w:rtl/>
        </w:rPr>
        <w:t xml:space="preserve">] לא נמנע מלבקש רשות שוב בשנה שלאחר מכן, ולהיכנע לסמכותו של ר׳ </w:t>
      </w:r>
      <w:proofErr w:type="spellStart"/>
      <w:r>
        <w:rPr>
          <w:rtl/>
        </w:rPr>
        <w:t>שמחה־זיסל</w:t>
      </w:r>
      <w:proofErr w:type="spellEnd"/>
      <w:r>
        <w:rPr>
          <w:rtl/>
        </w:rPr>
        <w:t xml:space="preserve">. כשמישהו הביע תמיהה על התנהגות זו שלו, השיב הסבא </w:t>
      </w:r>
      <w:proofErr w:type="spellStart"/>
      <w:r>
        <w:rPr>
          <w:rtl/>
        </w:rPr>
        <w:t>מסלבודקה</w:t>
      </w:r>
      <w:proofErr w:type="spellEnd"/>
      <w:r>
        <w:rPr>
          <w:rtl/>
        </w:rPr>
        <w:t xml:space="preserve"> שמאחר </w:t>
      </w:r>
      <w:proofErr w:type="spellStart"/>
      <w:r>
        <w:rPr>
          <w:rtl/>
        </w:rPr>
        <w:t>שבסלבודקה</w:t>
      </w:r>
      <w:proofErr w:type="spellEnd"/>
      <w:r>
        <w:rPr>
          <w:rtl/>
        </w:rPr>
        <w:t xml:space="preserve"> מאכילים אותו בכבוד גדול... הוא נוסע </w:t>
      </w:r>
      <w:proofErr w:type="spellStart"/>
      <w:r>
        <w:rPr>
          <w:rtl/>
        </w:rPr>
        <w:t>לקלם</w:t>
      </w:r>
      <w:proofErr w:type="spellEnd"/>
      <w:r>
        <w:rPr>
          <w:rtl/>
        </w:rPr>
        <w:t xml:space="preserve"> מעת לעת כדי לטהר את עצמו.” לפי כץ, יותר משנה אחת לא היה הסבא </w:t>
      </w:r>
      <w:proofErr w:type="spellStart"/>
      <w:r>
        <w:rPr>
          <w:rtl/>
        </w:rPr>
        <w:t>מסלבודקה</w:t>
      </w:r>
      <w:proofErr w:type="spellEnd"/>
      <w:r>
        <w:rPr>
          <w:rtl/>
        </w:rPr>
        <w:t xml:space="preserve"> רצוי </w:t>
      </w:r>
      <w:proofErr w:type="spellStart"/>
      <w:r>
        <w:rPr>
          <w:rtl/>
        </w:rPr>
        <w:t>בקלם</w:t>
      </w:r>
      <w:proofErr w:type="spellEnd"/>
      <w:r>
        <w:rPr>
          <w:rtl/>
        </w:rPr>
        <w:t xml:space="preserve"> בימים הנוראים. המעשה שמביא כץ התרחש בהכרח בשנות </w:t>
      </w:r>
      <w:proofErr w:type="spellStart"/>
      <w:r>
        <w:rPr>
          <w:rtl/>
        </w:rPr>
        <w:t>הת״ר־נ</w:t>
      </w:r>
      <w:proofErr w:type="spellEnd"/>
      <w:r>
        <w:rPr>
          <w:rtl/>
        </w:rPr>
        <w:t xml:space="preserve">׳ לכל המוקדם, כמה שנים אחרי שישיבת </w:t>
      </w:r>
      <w:proofErr w:type="spellStart"/>
      <w:r>
        <w:rPr>
          <w:rtl/>
        </w:rPr>
        <w:t>סלבודקה</w:t>
      </w:r>
      <w:proofErr w:type="spellEnd"/>
      <w:r>
        <w:rPr>
          <w:rtl/>
        </w:rPr>
        <w:t xml:space="preserve"> כבר הייתה מבוססת היטב והסבא </w:t>
      </w:r>
      <w:proofErr w:type="spellStart"/>
      <w:r>
        <w:rPr>
          <w:rtl/>
        </w:rPr>
        <w:t>מסלבודקה</w:t>
      </w:r>
      <w:proofErr w:type="spellEnd"/>
      <w:r>
        <w:rPr>
          <w:rtl/>
        </w:rPr>
        <w:t xml:space="preserve"> קיבל שם “כבוד גדול”.</w:t>
      </w:r>
    </w:p>
    <w:p w14:paraId="1872F66F" w14:textId="77777777" w:rsidR="00AB3647" w:rsidRDefault="00000000" w:rsidP="007923E9">
      <w:pPr>
        <w:spacing w:after="120" w:line="276" w:lineRule="auto"/>
        <w:ind w:firstLine="283"/>
        <w:jc w:val="both"/>
      </w:pPr>
      <w:r>
        <w:rPr>
          <w:rtl/>
        </w:rPr>
        <w:t xml:space="preserve">ר׳ </w:t>
      </w:r>
      <w:proofErr w:type="spellStart"/>
      <w:r>
        <w:rPr>
          <w:rtl/>
        </w:rPr>
        <w:t>שמואל־חיים</w:t>
      </w:r>
      <w:proofErr w:type="spellEnd"/>
      <w:r>
        <w:rPr>
          <w:rtl/>
        </w:rPr>
        <w:t xml:space="preserve"> דומב מסר</w:t>
      </w:r>
      <w:bookmarkStart w:id="2442" w:name="_fnr1596"/>
      <w:r>
        <w:rPr>
          <w:rStyle w:val="a5"/>
        </w:rPr>
        <w:footnoteReference w:id="1599" w:customMarkFollows="0"/>
      </w:r>
      <w:bookmarkEnd w:id="2442"/>
      <w:r>
        <w:rPr>
          <w:rtl/>
        </w:rPr>
        <w:t xml:space="preserve"> שבעת שעבד על ביוגרפיה של ר׳ </w:t>
      </w:r>
      <w:proofErr w:type="spellStart"/>
      <w:r>
        <w:rPr>
          <w:rtl/>
        </w:rPr>
        <w:t>יחיאל־יעקב</w:t>
      </w:r>
      <w:proofErr w:type="spellEnd"/>
      <w:r>
        <w:rPr>
          <w:rtl/>
        </w:rPr>
        <w:t xml:space="preserve"> ויינברג (נולד תרמ״ה), תלמיד </w:t>
      </w:r>
      <w:proofErr w:type="spellStart"/>
      <w:r>
        <w:rPr>
          <w:rtl/>
        </w:rPr>
        <w:t>סלבודקה</w:t>
      </w:r>
      <w:proofErr w:type="spellEnd"/>
      <w:r>
        <w:rPr>
          <w:rtl/>
        </w:rPr>
        <w:t xml:space="preserve"> במפנה שנות </w:t>
      </w:r>
      <w:proofErr w:type="spellStart"/>
      <w:r>
        <w:rPr>
          <w:rtl/>
        </w:rPr>
        <w:t>הת״ר־ס</w:t>
      </w:r>
      <w:proofErr w:type="spellEnd"/>
      <w:r>
        <w:rPr>
          <w:rtl/>
        </w:rPr>
        <w:t>׳,</w:t>
      </w:r>
      <w:bookmarkStart w:id="2443" w:name="_fnr1597"/>
      <w:r>
        <w:rPr>
          <w:rStyle w:val="a5"/>
        </w:rPr>
        <w:footnoteReference w:id="1600" w:customMarkFollows="0"/>
      </w:r>
      <w:bookmarkEnd w:id="2443"/>
      <w:r>
        <w:rPr>
          <w:rtl/>
        </w:rPr>
        <w:t xml:space="preserve"> קרא מכתבים שכתב מושא הביוגרפיה למחבר “תנועת המוסר”, ר׳ דב כץ.</w:t>
      </w:r>
      <w:bookmarkStart w:id="2444" w:name="_fnr1598"/>
      <w:r>
        <w:rPr>
          <w:rStyle w:val="a5"/>
        </w:rPr>
        <w:footnoteReference w:id="1601" w:customMarkFollows="0"/>
      </w:r>
      <w:bookmarkEnd w:id="2444"/>
      <w:r>
        <w:rPr>
          <w:rtl/>
        </w:rPr>
        <w:t xml:space="preserve"> במכתבים אלה הצטער ר׳ </w:t>
      </w:r>
      <w:proofErr w:type="spellStart"/>
      <w:r>
        <w:rPr>
          <w:rtl/>
        </w:rPr>
        <w:t>יחיאל־יעקב</w:t>
      </w:r>
      <w:proofErr w:type="spellEnd"/>
      <w:r>
        <w:rPr>
          <w:rtl/>
        </w:rPr>
        <w:t xml:space="preserve"> ויינברג על שלא </w:t>
      </w:r>
      <w:r>
        <w:rPr>
          <w:rtl/>
        </w:rPr>
        <w:lastRenderedPageBreak/>
        <w:t xml:space="preserve">מסר את תוכנם לפני פרסום אותו חיבור. באחד המכתבים הוא מספר: “באחד מלילות החורף הקרים ביקרתי </w:t>
      </w:r>
      <w:proofErr w:type="spellStart"/>
      <w:r>
        <w:rPr>
          <w:rtl/>
        </w:rPr>
        <w:t>בקלם</w:t>
      </w:r>
      <w:proofErr w:type="spellEnd"/>
      <w:r>
        <w:rPr>
          <w:rtl/>
        </w:rPr>
        <w:t xml:space="preserve"> יחד עם הסבא, והתלמוד תורה כינס אספה מיוחדת עלינו. אחרי שהחליטו שהסבא הוא ‘רודף’</w:t>
      </w:r>
      <w:bookmarkStart w:id="2445" w:name="_fnr1599"/>
      <w:r>
        <w:rPr>
          <w:rStyle w:val="a5"/>
        </w:rPr>
        <w:footnoteReference w:id="1602" w:customMarkFollows="0"/>
      </w:r>
      <w:bookmarkEnd w:id="2445"/>
      <w:r>
        <w:rPr>
          <w:rtl/>
        </w:rPr>
        <w:t xml:space="preserve"> משום שהוא </w:t>
      </w:r>
      <w:r>
        <w:rPr>
          <w:b/>
          <w:bCs/>
          <w:rtl/>
        </w:rPr>
        <w:t xml:space="preserve">מקלקל </w:t>
      </w:r>
      <w:proofErr w:type="spellStart"/>
      <w:r>
        <w:rPr>
          <w:b/>
          <w:bCs/>
          <w:rtl/>
        </w:rPr>
        <w:t>בסלבודקה</w:t>
      </w:r>
      <w:proofErr w:type="spellEnd"/>
      <w:r>
        <w:rPr>
          <w:rtl/>
        </w:rPr>
        <w:t xml:space="preserve">, דאגו לכך שאיש לא ירשה לו ללון שם. אף שאני, רק שמש של הסבא, יצאתי זכאי, לא עזבתי את רבי, ונשארתי ער עמו כל הלילה. </w:t>
      </w:r>
      <w:r>
        <w:rPr>
          <w:b/>
          <w:bCs/>
          <w:rtl/>
        </w:rPr>
        <w:t>כעבור שלושים שנה שלח אותי הסבא להציע שידוך</w:t>
      </w:r>
      <w:r>
        <w:rPr>
          <w:rtl/>
        </w:rPr>
        <w:t xml:space="preserve"> (ההדגשות שלי; האחרונה להמשך הדיון להלן) לבנו עם נכדתו של ר׳ </w:t>
      </w:r>
      <w:proofErr w:type="spellStart"/>
      <w:r>
        <w:rPr>
          <w:rtl/>
        </w:rPr>
        <w:t>שמחה־זיסל</w:t>
      </w:r>
      <w:proofErr w:type="spellEnd"/>
      <w:r>
        <w:rPr>
          <w:rtl/>
        </w:rPr>
        <w:t xml:space="preserve">, אבל בנו של הסבא מקלם אמר: ‘אומרים </w:t>
      </w:r>
      <w:proofErr w:type="spellStart"/>
      <w:r>
        <w:rPr>
          <w:rtl/>
        </w:rPr>
        <w:t>שנוטע־הירש</w:t>
      </w:r>
      <w:proofErr w:type="spellEnd"/>
      <w:r>
        <w:rPr>
          <w:rtl/>
        </w:rPr>
        <w:t xml:space="preserve"> [הסבא </w:t>
      </w:r>
      <w:proofErr w:type="spellStart"/>
      <w:r>
        <w:rPr>
          <w:rtl/>
        </w:rPr>
        <w:t>מסלבודקה</w:t>
      </w:r>
      <w:proofErr w:type="spellEnd"/>
      <w:r>
        <w:rPr>
          <w:rtl/>
        </w:rPr>
        <w:t xml:space="preserve">] הוא א </w:t>
      </w:r>
      <w:proofErr w:type="spellStart"/>
      <w:r>
        <w:rPr>
          <w:rtl/>
        </w:rPr>
        <w:t>קלוגער</w:t>
      </w:r>
      <w:proofErr w:type="spellEnd"/>
      <w:r>
        <w:rPr>
          <w:rtl/>
        </w:rPr>
        <w:t xml:space="preserve"> [בחור פקח] – איך יכול הוא לשלוח לשידוך כשהוא יודע מה דעת אבי עליו?!’ ”</w:t>
      </w:r>
    </w:p>
    <w:p w14:paraId="0D64B1A1" w14:textId="77777777" w:rsidR="00AB3647" w:rsidRDefault="00000000" w:rsidP="007923E9">
      <w:pPr>
        <w:spacing w:after="120" w:line="276" w:lineRule="auto"/>
        <w:ind w:firstLine="283"/>
        <w:jc w:val="both"/>
      </w:pPr>
      <w:r>
        <w:rPr>
          <w:rtl/>
        </w:rPr>
        <w:t xml:space="preserve">לכאורה, ייתכן שהסבא נתכוון לפרשה זו כשמסר לאבי שנפגע </w:t>
      </w:r>
      <w:proofErr w:type="spellStart"/>
      <w:r>
        <w:rPr>
          <w:rtl/>
        </w:rPr>
        <w:t>מאי־ההבנה</w:t>
      </w:r>
      <w:proofErr w:type="spellEnd"/>
      <w:r>
        <w:rPr>
          <w:rtl/>
        </w:rPr>
        <w:t xml:space="preserve"> עם תלמידי הסבא מקלם – הפגיעה נבעה מכך שבנו של הסבא מקלם דחה את הצעת השידוך שהציע. מזעזע ודאי </w:t>
      </w:r>
      <w:proofErr w:type="spellStart"/>
      <w:r>
        <w:rPr>
          <w:rtl/>
        </w:rPr>
        <w:t>שלר</w:t>
      </w:r>
      <w:proofErr w:type="spellEnd"/>
      <w:r>
        <w:rPr>
          <w:rtl/>
        </w:rPr>
        <w:t xml:space="preserve">׳ </w:t>
      </w:r>
      <w:proofErr w:type="spellStart"/>
      <w:r>
        <w:rPr>
          <w:rtl/>
        </w:rPr>
        <w:t>נתן־צבי</w:t>
      </w:r>
      <w:proofErr w:type="spellEnd"/>
      <w:r>
        <w:rPr>
          <w:rtl/>
        </w:rPr>
        <w:t xml:space="preserve"> לא ניתנה אפילו הכנסת אורחים מינימלית. יחס קשה ויוצא דופן כזה מצד בנו של הסבא מקלם חייב היה לנבוע מיותר ממחלוקת פילוסופית. גם הגדרתו של הסבא </w:t>
      </w:r>
      <w:proofErr w:type="spellStart"/>
      <w:r>
        <w:rPr>
          <w:rtl/>
        </w:rPr>
        <w:t>כ“רודף</w:t>
      </w:r>
      <w:proofErr w:type="spellEnd"/>
      <w:r>
        <w:rPr>
          <w:rtl/>
        </w:rPr>
        <w:t xml:space="preserve">” משום “קלקול </w:t>
      </w:r>
      <w:proofErr w:type="spellStart"/>
      <w:r>
        <w:rPr>
          <w:rtl/>
        </w:rPr>
        <w:t>בסלבודקה</w:t>
      </w:r>
      <w:proofErr w:type="spellEnd"/>
      <w:r>
        <w:rPr>
          <w:rtl/>
        </w:rPr>
        <w:t xml:space="preserve">”, כפי שהבין ר׳ </w:t>
      </w:r>
      <w:proofErr w:type="spellStart"/>
      <w:r>
        <w:rPr>
          <w:rtl/>
        </w:rPr>
        <w:t>יחיאל־יעקב</w:t>
      </w:r>
      <w:proofErr w:type="spellEnd"/>
      <w:r>
        <w:rPr>
          <w:rtl/>
        </w:rPr>
        <w:t xml:space="preserve"> ויינברג את הבעיה, נראית תגובה מוגזמת. ודאי היה מעורב כאן יסוד סמוי כלשהו.</w:t>
      </w:r>
    </w:p>
    <w:p w14:paraId="6AFF34E5" w14:textId="43AE6530" w:rsidR="00AB3647" w:rsidRDefault="00000000" w:rsidP="007923E9">
      <w:pPr>
        <w:spacing w:after="120" w:line="276" w:lineRule="auto"/>
        <w:ind w:firstLine="283"/>
        <w:jc w:val="both"/>
      </w:pPr>
      <w:r>
        <w:rPr>
          <w:rtl/>
        </w:rPr>
        <w:t xml:space="preserve">אשר למועד שבו התרחשה קבלת הפנים המזעזעת לאורחי החורף </w:t>
      </w:r>
      <w:proofErr w:type="spellStart"/>
      <w:r>
        <w:rPr>
          <w:rtl/>
        </w:rPr>
        <w:t>בקלם</w:t>
      </w:r>
      <w:proofErr w:type="spellEnd"/>
      <w:r>
        <w:rPr>
          <w:rtl/>
        </w:rPr>
        <w:t xml:space="preserve">, מטבע הדברים היינו מניחים שהיה זה בשלוש השנים וחצי שלמד ר׳ </w:t>
      </w:r>
      <w:proofErr w:type="spellStart"/>
      <w:r>
        <w:rPr>
          <w:rtl/>
        </w:rPr>
        <w:t>יחיאל־יעקב</w:t>
      </w:r>
      <w:proofErr w:type="spellEnd"/>
      <w:r>
        <w:rPr>
          <w:rtl/>
        </w:rPr>
        <w:t xml:space="preserve"> ויינברג </w:t>
      </w:r>
      <w:proofErr w:type="spellStart"/>
      <w:r>
        <w:rPr>
          <w:rtl/>
        </w:rPr>
        <w:t>בסלבודקה</w:t>
      </w:r>
      <w:proofErr w:type="spellEnd"/>
      <w:r>
        <w:rPr>
          <w:rtl/>
        </w:rPr>
        <w:t xml:space="preserve">, כלומר בין תרס״א </w:t>
      </w:r>
      <w:proofErr w:type="spellStart"/>
      <w:r>
        <w:rPr>
          <w:rtl/>
        </w:rPr>
        <w:t>לתרס״ה</w:t>
      </w:r>
      <w:proofErr w:type="spellEnd"/>
      <w:r>
        <w:rPr>
          <w:rtl/>
        </w:rPr>
        <w:t>. אבל השווה את הפסקה הראשונה ב</w:t>
      </w:r>
      <w:r>
        <w:rPr>
          <w:rtl/>
        </w:rPr>
        <w:fldChar w:fldCharType="begin" w:dirty="true"/>
      </w:r>
      <w:r>
        <w:rPr>
          <w:rtl/>
        </w:rPr>
        <w:instrText xml:space="preserve"> REF b3_excW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כג</w:t>
      </w:r>
      <w:proofErr w:type="spellEnd"/>
      <w:r>
        <w:rPr>
          <w:rtl/>
        </w:rPr>
        <w:fldChar w:fldCharType="end"/>
      </w:r>
      <w:r>
        <w:rPr>
          <w:rtl/>
        </w:rPr>
        <w:t xml:space="preserve"> להלן, שאשתו של הסבא </w:t>
      </w:r>
      <w:proofErr w:type="spellStart"/>
      <w:r>
        <w:rPr>
          <w:rtl/>
        </w:rPr>
        <w:t>מסלבודקה</w:t>
      </w:r>
      <w:proofErr w:type="spellEnd"/>
      <w:r>
        <w:rPr>
          <w:rtl/>
        </w:rPr>
        <w:t xml:space="preserve">, “האלטה”, עדיין ישבה </w:t>
      </w:r>
      <w:proofErr w:type="spellStart"/>
      <w:r>
        <w:rPr>
          <w:rtl/>
        </w:rPr>
        <w:t>בקלם</w:t>
      </w:r>
      <w:proofErr w:type="spellEnd"/>
      <w:r>
        <w:rPr>
          <w:rtl/>
        </w:rPr>
        <w:t xml:space="preserve"> לפחות עד תרס״ו. במקרה זה ודאי היו השניים ישנים בביתו של הסבא עצמו. אם כן, הביקור התרחש בהכרח אחרי שעברה האלטה </w:t>
      </w:r>
      <w:proofErr w:type="spellStart"/>
      <w:r>
        <w:rPr>
          <w:rtl/>
        </w:rPr>
        <w:t>לסלבודקה</w:t>
      </w:r>
      <w:proofErr w:type="spellEnd"/>
      <w:r>
        <w:rPr>
          <w:rtl/>
        </w:rPr>
        <w:t xml:space="preserve">, וכבר אז עזב ר׳ </w:t>
      </w:r>
      <w:proofErr w:type="spellStart"/>
      <w:r>
        <w:rPr>
          <w:rtl/>
        </w:rPr>
        <w:t>יחיאל־יעקב</w:t>
      </w:r>
      <w:proofErr w:type="spellEnd"/>
      <w:r>
        <w:rPr>
          <w:rtl/>
        </w:rPr>
        <w:t xml:space="preserve"> ויינברג את </w:t>
      </w:r>
      <w:proofErr w:type="spellStart"/>
      <w:r>
        <w:rPr>
          <w:rtl/>
        </w:rPr>
        <w:t>סלבודקה</w:t>
      </w:r>
      <w:proofErr w:type="spellEnd"/>
      <w:r>
        <w:rPr>
          <w:rtl/>
        </w:rPr>
        <w:t xml:space="preserve"> לישיבת </w:t>
      </w:r>
      <w:proofErr w:type="spellStart"/>
      <w:r>
        <w:rPr>
          <w:rtl/>
        </w:rPr>
        <w:t>מיר</w:t>
      </w:r>
      <w:proofErr w:type="spellEnd"/>
      <w:r>
        <w:rPr>
          <w:rtl/>
        </w:rPr>
        <w:t xml:space="preserve">. מפתיע שהסבא יטריח לבוא עמו </w:t>
      </w:r>
      <w:proofErr w:type="spellStart"/>
      <w:r>
        <w:rPr>
          <w:rtl/>
        </w:rPr>
        <w:t>לקלם</w:t>
      </w:r>
      <w:proofErr w:type="spellEnd"/>
      <w:r>
        <w:rPr>
          <w:rtl/>
        </w:rPr>
        <w:t xml:space="preserve"> מי שלא היה אז </w:t>
      </w:r>
      <w:proofErr w:type="spellStart"/>
      <w:r>
        <w:rPr>
          <w:rtl/>
        </w:rPr>
        <w:t>בסלבודקה</w:t>
      </w:r>
      <w:proofErr w:type="spellEnd"/>
      <w:r>
        <w:rPr>
          <w:rtl/>
        </w:rPr>
        <w:t xml:space="preserve">, אם כל מה שנזקק לו היה משרת. יתר על כן, כמבואר בנספח </w:t>
      </w:r>
      <w:proofErr w:type="spellStart"/>
      <w:r>
        <w:rPr>
          <w:rtl/>
        </w:rPr>
        <w:t>כג</w:t>
      </w:r>
      <w:proofErr w:type="spellEnd"/>
      <w:r>
        <w:rPr>
          <w:rtl/>
        </w:rPr>
        <w:t xml:space="preserve">, האלטה שמרה על ביתה </w:t>
      </w:r>
      <w:proofErr w:type="spellStart"/>
      <w:r>
        <w:rPr>
          <w:rtl/>
        </w:rPr>
        <w:t>בקלם</w:t>
      </w:r>
      <w:proofErr w:type="spellEnd"/>
      <w:r>
        <w:rPr>
          <w:rtl/>
        </w:rPr>
        <w:t xml:space="preserve"> עד תר״ע–תרע״א, ולכן הביקור </w:t>
      </w:r>
      <w:proofErr w:type="spellStart"/>
      <w:r>
        <w:rPr>
          <w:rtl/>
        </w:rPr>
        <w:t>בקלם</w:t>
      </w:r>
      <w:proofErr w:type="spellEnd"/>
      <w:r>
        <w:rPr>
          <w:rtl/>
        </w:rPr>
        <w:t xml:space="preserve"> התרחש בהכרח מאוחר יותר. באותו זמן כבר היה ר׳ </w:t>
      </w:r>
      <w:proofErr w:type="spellStart"/>
      <w:r>
        <w:rPr>
          <w:rtl/>
        </w:rPr>
        <w:t>יחיאל־יעקב</w:t>
      </w:r>
      <w:proofErr w:type="spellEnd"/>
      <w:r>
        <w:rPr>
          <w:rtl/>
        </w:rPr>
        <w:t xml:space="preserve"> ויינברג רב </w:t>
      </w:r>
      <w:proofErr w:type="spellStart"/>
      <w:r>
        <w:rPr>
          <w:rtl/>
        </w:rPr>
        <w:t>פילווישוק</w:t>
      </w:r>
      <w:proofErr w:type="spellEnd"/>
      <w:r>
        <w:rPr>
          <w:rtl/>
        </w:rPr>
        <w:t xml:space="preserve"> ארבע או חמש שנים. אם כן, אין זה מובן שהסבא יטריח את ר׳ </w:t>
      </w:r>
      <w:proofErr w:type="spellStart"/>
      <w:r>
        <w:rPr>
          <w:rtl/>
        </w:rPr>
        <w:t>יחיאל־יעקב</w:t>
      </w:r>
      <w:proofErr w:type="spellEnd"/>
      <w:r>
        <w:rPr>
          <w:rtl/>
        </w:rPr>
        <w:t xml:space="preserve"> ויינברג, רב ליטאי, להצטרף אליו לביקור רק כמלווה.</w:t>
      </w:r>
    </w:p>
    <w:p w14:paraId="5B9D1300" w14:textId="77777777" w:rsidR="00AB3647" w:rsidRDefault="00000000" w:rsidP="007923E9">
      <w:pPr>
        <w:spacing w:after="120" w:line="276" w:lineRule="auto"/>
        <w:ind w:firstLine="283"/>
        <w:jc w:val="both"/>
      </w:pPr>
      <w:r>
        <w:rPr>
          <w:rtl/>
        </w:rPr>
        <w:t xml:space="preserve">ומה בדבר האירוע האחר שנזכר במכתבו של ר׳ </w:t>
      </w:r>
      <w:proofErr w:type="spellStart"/>
      <w:r>
        <w:rPr>
          <w:rtl/>
        </w:rPr>
        <w:t>יחיאל־יעקב</w:t>
      </w:r>
      <w:proofErr w:type="spellEnd"/>
      <w:r>
        <w:rPr>
          <w:rtl/>
        </w:rPr>
        <w:t xml:space="preserve"> ויינברג, הצעת השידוך – מתי אירע? מהקשר המכתב אפשר לראות שר׳ </w:t>
      </w:r>
      <w:proofErr w:type="spellStart"/>
      <w:r>
        <w:rPr>
          <w:rtl/>
        </w:rPr>
        <w:t>יחיאל־יעקב</w:t>
      </w:r>
      <w:proofErr w:type="spellEnd"/>
      <w:r>
        <w:rPr>
          <w:rtl/>
        </w:rPr>
        <w:t xml:space="preserve"> ויינברג ודאי אינו מתאר דבר שהתרחש </w:t>
      </w:r>
      <w:r>
        <w:rPr>
          <w:b/>
          <w:bCs/>
          <w:rtl/>
        </w:rPr>
        <w:t>לפני</w:t>
      </w:r>
      <w:r>
        <w:rPr>
          <w:rtl/>
        </w:rPr>
        <w:t xml:space="preserve"> קבלת הפנים </w:t>
      </w:r>
      <w:proofErr w:type="spellStart"/>
      <w:r>
        <w:rPr>
          <w:rtl/>
        </w:rPr>
        <w:t>הלא־נעימה</w:t>
      </w:r>
      <w:proofErr w:type="spellEnd"/>
      <w:r>
        <w:rPr>
          <w:rtl/>
        </w:rPr>
        <w:t xml:space="preserve"> של רבו </w:t>
      </w:r>
      <w:proofErr w:type="spellStart"/>
      <w:r>
        <w:rPr>
          <w:rtl/>
        </w:rPr>
        <w:t>בקלם</w:t>
      </w:r>
      <w:proofErr w:type="spellEnd"/>
      <w:r>
        <w:rPr>
          <w:rtl/>
        </w:rPr>
        <w:t xml:space="preserve"> – אלא מתי? ומאימתי נמנות 30 השנים עד הצעת השידוך שהוא מזכיר? אי אפשר למנותן מהביקור </w:t>
      </w:r>
      <w:proofErr w:type="spellStart"/>
      <w:r>
        <w:rPr>
          <w:rtl/>
        </w:rPr>
        <w:t>בקלם</w:t>
      </w:r>
      <w:proofErr w:type="spellEnd"/>
      <w:r>
        <w:rPr>
          <w:rtl/>
        </w:rPr>
        <w:t xml:space="preserve"> עם הסבא, ואפילו לא מהמגע המוקדם ביותר שהיה לו עם הסבא </w:t>
      </w:r>
      <w:proofErr w:type="spellStart"/>
      <w:r>
        <w:rPr>
          <w:rtl/>
        </w:rPr>
        <w:t>מסלבודקה</w:t>
      </w:r>
      <w:proofErr w:type="spellEnd"/>
      <w:r>
        <w:rPr>
          <w:rtl/>
        </w:rPr>
        <w:t xml:space="preserve">, </w:t>
      </w:r>
      <w:proofErr w:type="spellStart"/>
      <w:r>
        <w:rPr>
          <w:rtl/>
        </w:rPr>
        <w:t>בתרס״א</w:t>
      </w:r>
      <w:proofErr w:type="spellEnd"/>
      <w:r>
        <w:rPr>
          <w:rtl/>
        </w:rPr>
        <w:t xml:space="preserve">. שהרי “שלושים שנה” יובילו אותנו לראשית שנות </w:t>
      </w:r>
      <w:proofErr w:type="spellStart"/>
      <w:r>
        <w:rPr>
          <w:rtl/>
        </w:rPr>
        <w:t>הת״ר־צ</w:t>
      </w:r>
      <w:proofErr w:type="spellEnd"/>
      <w:r>
        <w:rPr>
          <w:rtl/>
        </w:rPr>
        <w:t xml:space="preserve">׳, ואז, לפי סדר הזמנים, כבר נישאו כל ילדי הסבא (תרע״ג), ר׳ </w:t>
      </w:r>
      <w:proofErr w:type="spellStart"/>
      <w:r>
        <w:rPr>
          <w:rtl/>
        </w:rPr>
        <w:t>יחיאל־יעקב</w:t>
      </w:r>
      <w:proofErr w:type="spellEnd"/>
      <w:r>
        <w:rPr>
          <w:rtl/>
        </w:rPr>
        <w:t xml:space="preserve"> ויינברג ישב בברלין (תרע״ד), בנו של הסבא מקלם נפטר (תרע״ו) והסבא </w:t>
      </w:r>
      <w:proofErr w:type="spellStart"/>
      <w:r>
        <w:rPr>
          <w:rtl/>
        </w:rPr>
        <w:t>מסלבודקה</w:t>
      </w:r>
      <w:proofErr w:type="spellEnd"/>
      <w:r>
        <w:rPr>
          <w:rtl/>
        </w:rPr>
        <w:t xml:space="preserve"> נפטר (תרפ״ז).</w:t>
      </w:r>
    </w:p>
    <w:p w14:paraId="33EED0BA" w14:textId="146CAB6C" w:rsidR="00AB3647" w:rsidRDefault="00000000" w:rsidP="007923E9">
      <w:pPr>
        <w:spacing w:after="120" w:line="276" w:lineRule="auto"/>
        <w:ind w:firstLine="283"/>
        <w:jc w:val="both"/>
      </w:pPr>
      <w:r>
        <w:rPr>
          <w:rtl/>
        </w:rPr>
        <w:lastRenderedPageBreak/>
        <w:t xml:space="preserve">אני מציע שר׳ </w:t>
      </w:r>
      <w:proofErr w:type="spellStart"/>
      <w:r>
        <w:rPr>
          <w:rtl/>
        </w:rPr>
        <w:t>יחיאל־יעקב</w:t>
      </w:r>
      <w:proofErr w:type="spellEnd"/>
      <w:r>
        <w:rPr>
          <w:rtl/>
        </w:rPr>
        <w:t xml:space="preserve"> ויינברג לא כתב על שני אירועים, אלא על אחד! לפי תיאורו, הביקור </w:t>
      </w:r>
      <w:proofErr w:type="spellStart"/>
      <w:r>
        <w:rPr>
          <w:rtl/>
        </w:rPr>
        <w:t>בקלם</w:t>
      </w:r>
      <w:proofErr w:type="spellEnd"/>
      <w:r>
        <w:rPr>
          <w:rtl/>
        </w:rPr>
        <w:t xml:space="preserve"> נעשה </w:t>
      </w:r>
      <w:r>
        <w:rPr>
          <w:b/>
          <w:bCs/>
          <w:rtl/>
        </w:rPr>
        <w:t>בקשר לתוכנית שידוך של הסבא</w:t>
      </w:r>
      <w:r>
        <w:rPr>
          <w:rtl/>
        </w:rPr>
        <w:t xml:space="preserve">. פירוש המילים “שלח אותי להציע שידוך” הוא שהלך </w:t>
      </w:r>
      <w:r>
        <w:rPr>
          <w:b/>
          <w:bCs/>
          <w:rtl/>
        </w:rPr>
        <w:t>עם הסבא</w:t>
      </w:r>
      <w:r>
        <w:rPr>
          <w:rtl/>
        </w:rPr>
        <w:t xml:space="preserve"> – וכינה את עצמו שמש – משום שנזקקו לעזרתו של הרב הצעיר והמכובד </w:t>
      </w:r>
      <w:proofErr w:type="spellStart"/>
      <w:r>
        <w:rPr>
          <w:rtl/>
        </w:rPr>
        <w:t>מפילווישוק</w:t>
      </w:r>
      <w:proofErr w:type="spellEnd"/>
      <w:r>
        <w:rPr>
          <w:rtl/>
        </w:rPr>
        <w:t xml:space="preserve"> כדי לשבח “מבחוץ” את בנו של רבו בפני משפחת הכלה המיועדת. ביקורם </w:t>
      </w:r>
      <w:proofErr w:type="spellStart"/>
      <w:r>
        <w:rPr>
          <w:rtl/>
        </w:rPr>
        <w:t>בקלם</w:t>
      </w:r>
      <w:proofErr w:type="spellEnd"/>
      <w:r>
        <w:rPr>
          <w:rtl/>
        </w:rPr>
        <w:t xml:space="preserve"> התרחש אחרי מעבר האלטה </w:t>
      </w:r>
      <w:proofErr w:type="spellStart"/>
      <w:r>
        <w:rPr>
          <w:rtl/>
        </w:rPr>
        <w:t>לסלבודקה</w:t>
      </w:r>
      <w:proofErr w:type="spellEnd"/>
      <w:r>
        <w:rPr>
          <w:rtl/>
        </w:rPr>
        <w:t xml:space="preserve">, כמו שהוכח לעיל. אם כן, הבנים היחידים של הסבא שעדיין עמדו בפרק השידוכים היו התאומים ר׳ משה ור׳ </w:t>
      </w:r>
      <w:proofErr w:type="spellStart"/>
      <w:r>
        <w:rPr>
          <w:rtl/>
        </w:rPr>
        <w:t>אברהם־שמואל</w:t>
      </w:r>
      <w:proofErr w:type="spellEnd"/>
      <w:r>
        <w:rPr>
          <w:rtl/>
        </w:rPr>
        <w:t xml:space="preserve">, והם לא השתדכו עד תרע״ב. הביטוי “כעבור שלושים שנה” מתייחס לביקורת מסוימת שסבל הסבא, ועליה כונה “רודף” – תחילה מר׳ </w:t>
      </w:r>
      <w:proofErr w:type="spellStart"/>
      <w:r>
        <w:rPr>
          <w:rtl/>
        </w:rPr>
        <w:t>שמחה־זיסל</w:t>
      </w:r>
      <w:proofErr w:type="spellEnd"/>
      <w:r>
        <w:rPr>
          <w:rtl/>
        </w:rPr>
        <w:t xml:space="preserve"> ואחר כך מבנו – משלושה עשורים קודם ועד ביקור השידוך </w:t>
      </w:r>
      <w:proofErr w:type="spellStart"/>
      <w:r>
        <w:rPr>
          <w:rtl/>
        </w:rPr>
        <w:t>בתרע״ב</w:t>
      </w:r>
      <w:proofErr w:type="spellEnd"/>
      <w:r>
        <w:rPr>
          <w:rtl/>
        </w:rPr>
        <w:t xml:space="preserve">. על מה שאירע 30 שנה לפני הצעת השידוך, כלומר </w:t>
      </w:r>
      <w:proofErr w:type="spellStart"/>
      <w:r>
        <w:rPr>
          <w:rtl/>
        </w:rPr>
        <w:t>בתרמ״א</w:t>
      </w:r>
      <w:proofErr w:type="spellEnd"/>
      <w:r>
        <w:rPr>
          <w:rtl/>
        </w:rPr>
        <w:t xml:space="preserve">–תרמ״ב, וגרם למנהיגי תלמוד תורה של קלם לנהוג בסבא כפי שנהגו – ראה </w:t>
      </w:r>
      <w:r>
        <w:rPr>
          <w:rtl/>
        </w:rPr>
        <w:fldChar w:fldCharType="begin" w:dirty="true"/>
      </w:r>
      <w:r>
        <w:rPr>
          <w:rtl/>
        </w:rPr>
        <w:instrText xml:space="preserve"> REF b3_excQ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יז</w:t>
      </w:r>
      <w:proofErr w:type="spellEnd"/>
      <w:r>
        <w:rPr>
          <w:rtl/>
        </w:rPr>
        <w:fldChar w:fldCharType="end"/>
      </w:r>
      <w:r>
        <w:rPr>
          <w:rtl/>
        </w:rPr>
        <w:t xml:space="preserve"> להלן. אי אפשר לקבל שלא הייתה מחלוקת בין ר׳ </w:t>
      </w:r>
      <w:proofErr w:type="spellStart"/>
      <w:r>
        <w:rPr>
          <w:rtl/>
        </w:rPr>
        <w:t>שמחה־זיסל</w:t>
      </w:r>
      <w:proofErr w:type="spellEnd"/>
      <w:r>
        <w:rPr>
          <w:rtl/>
        </w:rPr>
        <w:t xml:space="preserve"> לבין הסבא </w:t>
      </w:r>
      <w:proofErr w:type="spellStart"/>
      <w:r>
        <w:rPr>
          <w:rtl/>
        </w:rPr>
        <w:t>מסלבודקה</w:t>
      </w:r>
      <w:proofErr w:type="spellEnd"/>
      <w:r>
        <w:rPr>
          <w:rtl/>
        </w:rPr>
        <w:t>, כדעת רבנו.</w:t>
      </w:r>
    </w:p>
    <w:p w14:paraId="6BCA2E5C" w14:textId="77777777" w:rsidR="00AB3647" w:rsidRDefault="00000000" w:rsidP="007923E9">
      <w:pPr>
        <w:pStyle w:val="4"/>
        <w:spacing w:line="276" w:lineRule="auto"/>
      </w:pPr>
      <w:r>
        <w:t>· הפסקה השלישית ·</w:t>
      </w:r>
    </w:p>
    <w:p w14:paraId="46616181" w14:textId="77777777" w:rsidR="00AB3647" w:rsidRDefault="00000000" w:rsidP="007923E9">
      <w:pPr>
        <w:pStyle w:val="5"/>
        <w:spacing w:line="276" w:lineRule="auto"/>
      </w:pPr>
      <w:r>
        <w:t xml:space="preserve">ר׳ </w:t>
      </w:r>
      <w:proofErr w:type="spellStart"/>
      <w:r>
        <w:t>נתן־צבי</w:t>
      </w:r>
      <w:proofErr w:type="spellEnd"/>
      <w:r>
        <w:t xml:space="preserve"> </w:t>
      </w:r>
      <w:proofErr w:type="spellStart"/>
      <w:r>
        <w:t>פינקל</w:t>
      </w:r>
      <w:proofErr w:type="spellEnd"/>
      <w:r>
        <w:t xml:space="preserve"> פוגש את ר׳ ישראל </w:t>
      </w:r>
      <w:proofErr w:type="spellStart"/>
      <w:r>
        <w:t>סלנטר</w:t>
      </w:r>
      <w:proofErr w:type="spellEnd"/>
      <w:r>
        <w:t xml:space="preserve"> – ר׳ ישראל מדריך את הסבא בטעם הקיום של ישיבת </w:t>
      </w:r>
      <w:proofErr w:type="spellStart"/>
      <w:r>
        <w:t>סלבודקה</w:t>
      </w:r>
      <w:proofErr w:type="spellEnd"/>
      <w:r>
        <w:t xml:space="preserve"> – המטרה המוגבלת של הישיבה</w:t>
      </w:r>
    </w:p>
    <w:p w14:paraId="20E662DD" w14:textId="77777777" w:rsidR="00AB3647" w:rsidRDefault="00000000" w:rsidP="007923E9">
      <w:pPr>
        <w:spacing w:after="120" w:line="276" w:lineRule="auto"/>
        <w:ind w:firstLine="283"/>
        <w:jc w:val="both"/>
      </w:pPr>
      <w:r>
        <w:rPr>
          <w:rtl/>
        </w:rPr>
        <w:t xml:space="preserve">רבנו מסר שאף שהסבא </w:t>
      </w:r>
      <w:proofErr w:type="spellStart"/>
      <w:r>
        <w:rPr>
          <w:rtl/>
        </w:rPr>
        <w:t>מסלבודקה</w:t>
      </w:r>
      <w:proofErr w:type="spellEnd"/>
      <w:r>
        <w:rPr>
          <w:rtl/>
        </w:rPr>
        <w:t xml:space="preserve"> זכה להדרכת הסבא מקלם, תלמידו המובהק של ר׳ ישראל </w:t>
      </w:r>
      <w:proofErr w:type="spellStart"/>
      <w:r>
        <w:rPr>
          <w:rtl/>
        </w:rPr>
        <w:t>סלנטר</w:t>
      </w:r>
      <w:proofErr w:type="spellEnd"/>
      <w:r>
        <w:rPr>
          <w:rtl/>
        </w:rPr>
        <w:t>, “לא נחשבה גישת המוסר לבלתי ניתנת לערעור (</w:t>
      </w:r>
      <w:proofErr w:type="spellStart"/>
      <w:r>
        <w:rPr>
          <w:rtl/>
        </w:rPr>
        <w:t>נישט</w:t>
      </w:r>
      <w:proofErr w:type="spellEnd"/>
      <w:r>
        <w:rPr>
          <w:rtl/>
        </w:rPr>
        <w:t xml:space="preserve"> </w:t>
      </w:r>
      <w:proofErr w:type="spellStart"/>
      <w:r>
        <w:rPr>
          <w:rtl/>
        </w:rPr>
        <w:t>באַהויפּט</w:t>
      </w:r>
      <w:proofErr w:type="spellEnd"/>
      <w:r>
        <w:rPr>
          <w:rtl/>
        </w:rPr>
        <w:t xml:space="preserve">) בעיני הסבא </w:t>
      </w:r>
      <w:proofErr w:type="spellStart"/>
      <w:r>
        <w:rPr>
          <w:rtl/>
        </w:rPr>
        <w:t>מסלבודקה</w:t>
      </w:r>
      <w:proofErr w:type="spellEnd"/>
      <w:r>
        <w:rPr>
          <w:rtl/>
        </w:rPr>
        <w:t>” עד שפגש את ר׳ ישראל ודיבר עמו פנים אל פנים.</w:t>
      </w:r>
      <w:bookmarkStart w:id="2446" w:name="_fnr1600"/>
      <w:r>
        <w:rPr>
          <w:rStyle w:val="a5"/>
        </w:rPr>
        <w:footnoteReference w:id="1603" w:customMarkFollows="0"/>
      </w:r>
      <w:bookmarkEnd w:id="2446"/>
      <w:r>
        <w:rPr>
          <w:rtl/>
        </w:rPr>
        <w:t xml:space="preserve"> הסבא גילה זאת לתלמידו המובהק, ר׳ אברהם </w:t>
      </w:r>
      <w:proofErr w:type="spellStart"/>
      <w:r>
        <w:rPr>
          <w:rtl/>
        </w:rPr>
        <w:t>גרודזינסקי</w:t>
      </w:r>
      <w:proofErr w:type="spellEnd"/>
      <w:r>
        <w:rPr>
          <w:rtl/>
        </w:rPr>
        <w:t>.</w:t>
      </w:r>
      <w:bookmarkStart w:id="2447" w:name="_fnr1601"/>
      <w:r>
        <w:rPr>
          <w:rStyle w:val="a5"/>
        </w:rPr>
        <w:footnoteReference w:id="1604" w:customMarkFollows="0"/>
      </w:r>
      <w:bookmarkEnd w:id="2447"/>
      <w:r>
        <w:rPr>
          <w:rtl/>
        </w:rPr>
        <w:t xml:space="preserve"> בריאיון על ר׳ ישראל</w:t>
      </w:r>
      <w:bookmarkStart w:id="2448" w:name="_fnr1602"/>
      <w:r>
        <w:rPr>
          <w:rStyle w:val="a5"/>
        </w:rPr>
        <w:footnoteReference w:id="1605" w:customMarkFollows="0"/>
      </w:r>
      <w:bookmarkEnd w:id="2448"/>
      <w:r>
        <w:rPr>
          <w:rtl/>
        </w:rPr>
        <w:t xml:space="preserve"> תיאר אבי את התועלת שהפיק הסבא מן הפגישה האישית עם ר׳ ישראל בניסוח חלש יותר, אך חיובי: “גישת המוסר </w:t>
      </w:r>
      <w:r>
        <w:rPr>
          <w:b/>
          <w:bCs/>
          <w:rtl/>
        </w:rPr>
        <w:t>אושרה</w:t>
      </w:r>
      <w:r>
        <w:rPr>
          <w:rtl/>
        </w:rPr>
        <w:t xml:space="preserve"> [</w:t>
      </w:r>
      <w:proofErr w:type="spellStart"/>
      <w:r>
        <w:rPr>
          <w:rtl/>
        </w:rPr>
        <w:t>באַשטעטיקט</w:t>
      </w:r>
      <w:proofErr w:type="spellEnd"/>
      <w:r>
        <w:rPr>
          <w:rtl/>
        </w:rPr>
        <w:t xml:space="preserve">] לסבא </w:t>
      </w:r>
      <w:proofErr w:type="spellStart"/>
      <w:r>
        <w:rPr>
          <w:rtl/>
        </w:rPr>
        <w:t>מסלבודקה</w:t>
      </w:r>
      <w:proofErr w:type="spellEnd"/>
      <w:r>
        <w:rPr>
          <w:rtl/>
        </w:rPr>
        <w:t xml:space="preserve"> אחרי שפגש את ר׳ ישראל.”</w:t>
      </w:r>
    </w:p>
    <w:p w14:paraId="416B7953" w14:textId="77777777" w:rsidR="00AB3647" w:rsidRDefault="00000000" w:rsidP="007923E9">
      <w:pPr>
        <w:spacing w:after="120" w:line="276" w:lineRule="auto"/>
        <w:ind w:firstLine="283"/>
        <w:jc w:val="both"/>
      </w:pPr>
      <w:r>
        <w:rPr>
          <w:rtl/>
        </w:rPr>
        <w:t xml:space="preserve">לפני הפגישה עם ר׳ ישראל כבר היה </w:t>
      </w:r>
      <w:proofErr w:type="spellStart"/>
      <w:r>
        <w:rPr>
          <w:rtl/>
        </w:rPr>
        <w:t>לר</w:t>
      </w:r>
      <w:proofErr w:type="spellEnd"/>
      <w:r>
        <w:rPr>
          <w:rtl/>
        </w:rPr>
        <w:t xml:space="preserve">׳ </w:t>
      </w:r>
      <w:proofErr w:type="spellStart"/>
      <w:r>
        <w:rPr>
          <w:rtl/>
        </w:rPr>
        <w:t>נתן־צבי</w:t>
      </w:r>
      <w:proofErr w:type="spellEnd"/>
      <w:r>
        <w:rPr>
          <w:rtl/>
        </w:rPr>
        <w:t xml:space="preserve"> מגע עמו, אך באמצעות מתווך. לפי מה שמסר ר׳ יוזל </w:t>
      </w:r>
      <w:proofErr w:type="spellStart"/>
      <w:r>
        <w:rPr>
          <w:rtl/>
        </w:rPr>
        <w:t>הורוויץ</w:t>
      </w:r>
      <w:proofErr w:type="spellEnd"/>
      <w:r>
        <w:rPr>
          <w:rtl/>
        </w:rPr>
        <w:t xml:space="preserve"> לחתנו ר׳ אברהם </w:t>
      </w:r>
      <w:proofErr w:type="spellStart"/>
      <w:r>
        <w:rPr>
          <w:rtl/>
        </w:rPr>
        <w:t>יופן</w:t>
      </w:r>
      <w:proofErr w:type="spellEnd"/>
      <w:r>
        <w:rPr>
          <w:rtl/>
        </w:rPr>
        <w:t>,</w:t>
      </w:r>
      <w:bookmarkStart w:id="2449" w:name="_fnr1603"/>
      <w:r>
        <w:rPr>
          <w:rStyle w:val="a5"/>
        </w:rPr>
        <w:footnoteReference w:id="1606" w:customMarkFollows="0"/>
      </w:r>
      <w:bookmarkEnd w:id="2449"/>
      <w:r>
        <w:rPr>
          <w:rtl/>
        </w:rPr>
        <w:t xml:space="preserve"> בראשית דרכו כמחנך שאל הסבא את ר׳ ישראל – כנראה 10 שנים לפני פגישתם, ובאמצעות ר׳ לייזר </w:t>
      </w:r>
      <w:proofErr w:type="spellStart"/>
      <w:r>
        <w:rPr>
          <w:rtl/>
        </w:rPr>
        <w:t>שולביץ</w:t>
      </w:r>
      <w:bookmarkStart w:id="2450" w:name="_fnr1604"/>
      <w:proofErr w:type="spellEnd"/>
      <w:r>
        <w:rPr>
          <w:rStyle w:val="a5"/>
        </w:rPr>
        <w:footnoteReference w:id="1607" w:customMarkFollows="0"/>
      </w:r>
      <w:bookmarkEnd w:id="2450"/>
      <w:r>
        <w:rPr>
          <w:rtl/>
        </w:rPr>
        <w:t xml:space="preserve"> – אם עליו להתחיל כבר לעבוד עם נוער. הסבא </w:t>
      </w:r>
      <w:proofErr w:type="spellStart"/>
      <w:r>
        <w:rPr>
          <w:rtl/>
        </w:rPr>
        <w:t>מסלבודקה</w:t>
      </w:r>
      <w:proofErr w:type="spellEnd"/>
      <w:r>
        <w:rPr>
          <w:rtl/>
        </w:rPr>
        <w:t xml:space="preserve"> הבין שיש בו כישרון להשפיע על צעירים ולמשוך אותם לבית המדרש, אבל חשש שלא יצליח לנתקם מן ההשכלה, שהייתה פופולרית אז, אם לא ימשיך בהתקדמותו האישית ויבנה את ביטחונו העצמי. ר׳ ישראל השיב בחידה: “אליי פונים בכל השאלות – אפילו בשאלת שמד!” נראה כאילו ר׳ ישראל התחמק אז מלהשיב והניח </w:t>
      </w:r>
      <w:proofErr w:type="spellStart"/>
      <w:r>
        <w:rPr>
          <w:rtl/>
        </w:rPr>
        <w:t>לר</w:t>
      </w:r>
      <w:proofErr w:type="spellEnd"/>
      <w:r>
        <w:rPr>
          <w:rtl/>
        </w:rPr>
        <w:t xml:space="preserve">׳ </w:t>
      </w:r>
      <w:proofErr w:type="spellStart"/>
      <w:r>
        <w:rPr>
          <w:rtl/>
        </w:rPr>
        <w:t>נתן־</w:t>
      </w:r>
      <w:r>
        <w:rPr>
          <w:rtl/>
        </w:rPr>
        <w:lastRenderedPageBreak/>
        <w:t>צבי</w:t>
      </w:r>
      <w:proofErr w:type="spellEnd"/>
      <w:r>
        <w:rPr>
          <w:rtl/>
        </w:rPr>
        <w:t xml:space="preserve"> להחליט בעצמו,</w:t>
      </w:r>
      <w:bookmarkStart w:id="2451" w:name="_fnr1605"/>
      <w:r>
        <w:rPr>
          <w:rStyle w:val="a5"/>
        </w:rPr>
        <w:footnoteReference w:id="1608" w:customMarkFollows="0"/>
      </w:r>
      <w:bookmarkEnd w:id="2451"/>
      <w:r>
        <w:rPr>
          <w:rtl/>
        </w:rPr>
        <w:t xml:space="preserve"> אבל בפגישתם כעבור עשור אכן השיב ר׳ ישראל על שאלה אחרת, כמסופר להלן.</w:t>
      </w:r>
    </w:p>
    <w:p w14:paraId="531A321A" w14:textId="77777777" w:rsidR="00AB3647" w:rsidRDefault="00000000" w:rsidP="007923E9">
      <w:pPr>
        <w:spacing w:after="120" w:line="276" w:lineRule="auto"/>
        <w:ind w:firstLine="283"/>
        <w:jc w:val="both"/>
      </w:pPr>
      <w:r>
        <w:rPr>
          <w:rtl/>
        </w:rPr>
        <w:t xml:space="preserve">ר׳ יצחק </w:t>
      </w:r>
      <w:proofErr w:type="spellStart"/>
      <w:r>
        <w:rPr>
          <w:rtl/>
        </w:rPr>
        <w:t>הוטנר</w:t>
      </w:r>
      <w:proofErr w:type="spellEnd"/>
      <w:r>
        <w:rPr>
          <w:rtl/>
        </w:rPr>
        <w:t xml:space="preserve"> מסר שכשנשאל הסבא בזמן מאוחר יותר אם הוא מחשיב את ר׳ ישראל </w:t>
      </w:r>
      <w:proofErr w:type="spellStart"/>
      <w:r>
        <w:rPr>
          <w:rtl/>
        </w:rPr>
        <w:t>סלנטר</w:t>
      </w:r>
      <w:proofErr w:type="spellEnd"/>
      <w:r>
        <w:rPr>
          <w:rtl/>
        </w:rPr>
        <w:t xml:space="preserve"> לרבו, השיב: “אני מתייחס אליו כגר המתייחס לבית הדין שגיירו.”</w:t>
      </w:r>
      <w:bookmarkStart w:id="2452" w:name="_fnr1606"/>
      <w:r>
        <w:rPr>
          <w:rStyle w:val="a5"/>
        </w:rPr>
        <w:footnoteReference w:id="1609" w:customMarkFollows="0"/>
      </w:r>
      <w:bookmarkEnd w:id="2452"/>
    </w:p>
    <w:p w14:paraId="2F00FE31" w14:textId="77777777" w:rsidR="00AB3647" w:rsidRDefault="00000000" w:rsidP="007923E9">
      <w:pPr>
        <w:spacing w:after="120" w:line="276" w:lineRule="auto"/>
        <w:ind w:firstLine="283"/>
        <w:jc w:val="both"/>
      </w:pPr>
      <w:r>
        <w:rPr>
          <w:rtl/>
        </w:rPr>
        <w:t xml:space="preserve">נראה שהסבא פגש את ר׳ ישראל פעם אחת בלבד, אף שכץ כותב “באחת מן הפגישות המעטות ביניהם”, כמצוטט להלן. הדבר אירע בראשית שנות </w:t>
      </w:r>
      <w:proofErr w:type="spellStart"/>
      <w:r>
        <w:rPr>
          <w:rtl/>
        </w:rPr>
        <w:t>הת״ר־מ</w:t>
      </w:r>
      <w:proofErr w:type="spellEnd"/>
      <w:r>
        <w:rPr>
          <w:rtl/>
        </w:rPr>
        <w:t xml:space="preserve">׳, בסמוך להקמת ישיבת </w:t>
      </w:r>
      <w:proofErr w:type="spellStart"/>
      <w:r>
        <w:rPr>
          <w:rtl/>
        </w:rPr>
        <w:t>סלבודקה</w:t>
      </w:r>
      <w:proofErr w:type="spellEnd"/>
      <w:r>
        <w:rPr>
          <w:rtl/>
        </w:rPr>
        <w:t xml:space="preserve"> </w:t>
      </w:r>
      <w:proofErr w:type="spellStart"/>
      <w:r>
        <w:rPr>
          <w:rtl/>
        </w:rPr>
        <w:t>בתרמ״ב</w:t>
      </w:r>
      <w:proofErr w:type="spellEnd"/>
      <w:r>
        <w:rPr>
          <w:rtl/>
        </w:rPr>
        <w:t xml:space="preserve"> ופחות משנה לפני פטירת ר׳ ישראל </w:t>
      </w:r>
      <w:proofErr w:type="spellStart"/>
      <w:r>
        <w:rPr>
          <w:rtl/>
        </w:rPr>
        <w:t>סלנטר</w:t>
      </w:r>
      <w:proofErr w:type="spellEnd"/>
      <w:r>
        <w:rPr>
          <w:rtl/>
        </w:rPr>
        <w:t xml:space="preserve"> </w:t>
      </w:r>
      <w:proofErr w:type="spellStart"/>
      <w:r>
        <w:rPr>
          <w:rtl/>
        </w:rPr>
        <w:t>בתרמ״ג</w:t>
      </w:r>
      <w:proofErr w:type="spellEnd"/>
      <w:r>
        <w:rPr>
          <w:rtl/>
        </w:rPr>
        <w:t xml:space="preserve">. את זמן הפגישה מלמדת השאלה שלפי המסופר שאל הסבא </w:t>
      </w:r>
      <w:proofErr w:type="spellStart"/>
      <w:r>
        <w:rPr>
          <w:rtl/>
        </w:rPr>
        <w:t>מסלבודקה</w:t>
      </w:r>
      <w:proofErr w:type="spellEnd"/>
      <w:r>
        <w:rPr>
          <w:rtl/>
        </w:rPr>
        <w:t xml:space="preserve"> את ר׳ ישראל – לאיזה כיוון צריכה ללכת הישיבה </w:t>
      </w:r>
      <w:r>
        <w:rPr>
          <w:b/>
          <w:bCs/>
          <w:rtl/>
        </w:rPr>
        <w:t>שהוא מקים</w:t>
      </w:r>
      <w:r>
        <w:rPr>
          <w:rtl/>
        </w:rPr>
        <w:t xml:space="preserve"> </w:t>
      </w:r>
      <w:proofErr w:type="spellStart"/>
      <w:r>
        <w:rPr>
          <w:rtl/>
        </w:rPr>
        <w:t>בסלבודקה</w:t>
      </w:r>
      <w:proofErr w:type="spellEnd"/>
      <w:r>
        <w:rPr>
          <w:rtl/>
        </w:rPr>
        <w:t xml:space="preserve"> – ושעליה השיב ר׳ ישראל בפסוק בישעיה </w:t>
      </w:r>
      <w:proofErr w:type="spellStart"/>
      <w:r>
        <w:rPr>
          <w:rtl/>
        </w:rPr>
        <w:t>נז</w:t>
      </w:r>
      <w:proofErr w:type="spellEnd"/>
      <w:r>
        <w:rPr>
          <w:rtl/>
        </w:rPr>
        <w:t>, טו, “להחיות רוח שפלים ולהחיות לב נדכאים”.</w:t>
      </w:r>
    </w:p>
    <w:p w14:paraId="5424631C" w14:textId="77777777" w:rsidR="00AB3647" w:rsidRDefault="00000000" w:rsidP="007923E9">
      <w:pPr>
        <w:spacing w:after="120" w:line="276" w:lineRule="auto"/>
        <w:ind w:firstLine="283"/>
        <w:jc w:val="both"/>
      </w:pPr>
      <w:r>
        <w:rPr>
          <w:rtl/>
        </w:rPr>
        <w:t xml:space="preserve">השאלה והתשובה מובאות במאמר של צבי קפלן </w:t>
      </w:r>
      <w:proofErr w:type="spellStart"/>
      <w:r>
        <w:rPr>
          <w:rtl/>
        </w:rPr>
        <w:t>ב“ספר</w:t>
      </w:r>
      <w:proofErr w:type="spellEnd"/>
      <w:r>
        <w:rPr>
          <w:rtl/>
        </w:rPr>
        <w:t xml:space="preserve"> </w:t>
      </w:r>
      <w:proofErr w:type="spellStart"/>
      <w:r>
        <w:rPr>
          <w:rtl/>
        </w:rPr>
        <w:t>זכרון</w:t>
      </w:r>
      <w:proofErr w:type="spellEnd"/>
      <w:r>
        <w:rPr>
          <w:rtl/>
        </w:rPr>
        <w:t xml:space="preserve"> לרבי יחזקאל </w:t>
      </w:r>
      <w:proofErr w:type="spellStart"/>
      <w:r>
        <w:rPr>
          <w:rtl/>
        </w:rPr>
        <w:t>סרנא</w:t>
      </w:r>
      <w:proofErr w:type="spellEnd"/>
      <w:r>
        <w:rPr>
          <w:rtl/>
        </w:rPr>
        <w:t>”,</w:t>
      </w:r>
      <w:bookmarkStart w:id="2453" w:name="_fnr1607"/>
      <w:r>
        <w:rPr>
          <w:rStyle w:val="a5"/>
        </w:rPr>
        <w:footnoteReference w:id="1610" w:customMarkFollows="0"/>
      </w:r>
      <w:bookmarkEnd w:id="2453"/>
      <w:r>
        <w:rPr>
          <w:rtl/>
        </w:rPr>
        <w:t xml:space="preserve"> בשם ר׳ </w:t>
      </w:r>
      <w:proofErr w:type="spellStart"/>
      <w:r>
        <w:rPr>
          <w:rtl/>
        </w:rPr>
        <w:t>חצקל</w:t>
      </w:r>
      <w:proofErr w:type="spellEnd"/>
      <w:r>
        <w:rPr>
          <w:rtl/>
        </w:rPr>
        <w:t xml:space="preserve"> </w:t>
      </w:r>
      <w:proofErr w:type="spellStart"/>
      <w:r>
        <w:rPr>
          <w:rtl/>
        </w:rPr>
        <w:t>סרנא</w:t>
      </w:r>
      <w:proofErr w:type="spellEnd"/>
      <w:r>
        <w:rPr>
          <w:rtl/>
        </w:rPr>
        <w:t>, שלו סיפר הסבא את הדברים “</w:t>
      </w:r>
      <w:proofErr w:type="spellStart"/>
      <w:r>
        <w:rPr>
          <w:rtl/>
        </w:rPr>
        <w:t>כש</w:t>
      </w:r>
      <w:proofErr w:type="spellEnd"/>
      <w:r>
        <w:rPr>
          <w:rtl/>
        </w:rPr>
        <w:t xml:space="preserve">(ר׳ </w:t>
      </w:r>
      <w:proofErr w:type="spellStart"/>
      <w:r>
        <w:rPr>
          <w:rtl/>
        </w:rPr>
        <w:t>חצקל</w:t>
      </w:r>
      <w:proofErr w:type="spellEnd"/>
      <w:r>
        <w:rPr>
          <w:rtl/>
        </w:rPr>
        <w:t xml:space="preserve"> </w:t>
      </w:r>
      <w:proofErr w:type="spellStart"/>
      <w:r>
        <w:rPr>
          <w:rtl/>
        </w:rPr>
        <w:t>סרנא</w:t>
      </w:r>
      <w:proofErr w:type="spellEnd"/>
      <w:r>
        <w:rPr>
          <w:rtl/>
        </w:rPr>
        <w:t>) ישב עם הסבא בשעה מאוחרת בלילה</w:t>
      </w:r>
      <w:bookmarkStart w:id="2454" w:name="_fnr1608"/>
      <w:r>
        <w:rPr>
          <w:rStyle w:val="a5"/>
        </w:rPr>
        <w:footnoteReference w:id="1611" w:customMarkFollows="0"/>
      </w:r>
      <w:bookmarkEnd w:id="2454"/>
      <w:r>
        <w:rPr>
          <w:rtl/>
        </w:rPr>
        <w:t xml:space="preserve"> כשהיה עדיין בחור צעיר בישיבת </w:t>
      </w:r>
      <w:proofErr w:type="spellStart"/>
      <w:r>
        <w:rPr>
          <w:rtl/>
        </w:rPr>
        <w:t>סלבודקה</w:t>
      </w:r>
      <w:proofErr w:type="spellEnd"/>
      <w:r>
        <w:rPr>
          <w:rtl/>
        </w:rPr>
        <w:t>”.</w:t>
      </w:r>
    </w:p>
    <w:p w14:paraId="12FB03B0" w14:textId="27F8FE91" w:rsidR="00AB3647" w:rsidRDefault="00000000" w:rsidP="007923E9">
      <w:pPr>
        <w:spacing w:after="120" w:line="276" w:lineRule="auto"/>
        <w:ind w:firstLine="283"/>
        <w:jc w:val="both"/>
      </w:pPr>
      <w:r>
        <w:rPr>
          <w:rtl/>
        </w:rPr>
        <w:t>כץ, “תנועת המוסר”, כרך ג,</w:t>
      </w:r>
      <w:bookmarkStart w:id="2455" w:name="_fnr1609"/>
      <w:r>
        <w:rPr>
          <w:rStyle w:val="a5"/>
        </w:rPr>
        <w:footnoteReference w:id="1612" w:customMarkFollows="0"/>
      </w:r>
      <w:bookmarkEnd w:id="2455"/>
      <w:r>
        <w:rPr>
          <w:rtl/>
        </w:rPr>
        <w:t xml:space="preserve"> אחרי ההקדמה </w:t>
      </w:r>
      <w:proofErr w:type="spellStart"/>
      <w:r>
        <w:rPr>
          <w:rtl/>
        </w:rPr>
        <w:t>ש“בעיקר</w:t>
      </w:r>
      <w:proofErr w:type="spellEnd"/>
      <w:r>
        <w:rPr>
          <w:rtl/>
        </w:rPr>
        <w:t xml:space="preserve"> יישם הסבא את שיטת ‘קירוב’”, כותב </w:t>
      </w:r>
      <w:proofErr w:type="spellStart"/>
      <w:r>
        <w:rPr>
          <w:rtl/>
        </w:rPr>
        <w:t>ש“מסופר</w:t>
      </w:r>
      <w:proofErr w:type="spellEnd"/>
      <w:r>
        <w:rPr>
          <w:rtl/>
        </w:rPr>
        <w:t xml:space="preserve">” שר׳ ישראל השתמש בפסוק המצוטט לעיל “באחת מן הפגישות המעטות ביניהם” כדי להשיב על שאלה אחרת: איזו </w:t>
      </w:r>
      <w:r>
        <w:rPr>
          <w:b/>
          <w:bCs/>
          <w:rtl/>
        </w:rPr>
        <w:t>שיטת חינוך</w:t>
      </w:r>
      <w:r>
        <w:rPr>
          <w:rtl/>
        </w:rPr>
        <w:t xml:space="preserve"> (ההדגשה שלי) יש לנקוט בזמננו? מאחר שצבי קפלן גילה </w:t>
      </w:r>
      <w:r>
        <w:rPr>
          <w:b/>
          <w:bCs/>
          <w:rtl/>
        </w:rPr>
        <w:t>למי</w:t>
      </w:r>
      <w:r>
        <w:rPr>
          <w:rtl/>
        </w:rPr>
        <w:t xml:space="preserve"> חזר הסבא על חילופי הדברים, אפשר לשער שגרסת כץ לעיקר השאלה והתשובה אינה מדויקת. שהרי אין זה מתקבל על הדעת שהסבא ידון ב</w:t>
      </w:r>
      <w:r>
        <w:rPr>
          <w:b/>
          <w:bCs/>
          <w:rtl/>
        </w:rPr>
        <w:t>שיטות חינוך</w:t>
      </w:r>
      <w:r>
        <w:rPr>
          <w:rtl/>
        </w:rPr>
        <w:t xml:space="preserve"> עם “בחור צעיר”, מוכשר ככל שיהיה. מה שהסבא אולי גילה לאחד מחניכיו – במיוחד למי שכבר נדד בין ישיבות שונות לפני בואו </w:t>
      </w:r>
      <w:proofErr w:type="spellStart"/>
      <w:r>
        <w:rPr>
          <w:rtl/>
        </w:rPr>
        <w:t>לסלבודקה</w:t>
      </w:r>
      <w:proofErr w:type="spellEnd"/>
      <w:r>
        <w:rPr>
          <w:rtl/>
        </w:rPr>
        <w:t xml:space="preserve">, כפי שעשה ר׳ </w:t>
      </w:r>
      <w:proofErr w:type="spellStart"/>
      <w:r>
        <w:rPr>
          <w:rtl/>
        </w:rPr>
        <w:t>חצקל</w:t>
      </w:r>
      <w:proofErr w:type="spellEnd"/>
      <w:r>
        <w:rPr>
          <w:rtl/>
        </w:rPr>
        <w:t xml:space="preserve"> </w:t>
      </w:r>
      <w:proofErr w:type="spellStart"/>
      <w:r>
        <w:rPr>
          <w:rtl/>
        </w:rPr>
        <w:t>סרנא</w:t>
      </w:r>
      <w:bookmarkStart w:id="2456" w:name="_fnr1610"/>
      <w:proofErr w:type="spellEnd"/>
      <w:r>
        <w:rPr>
          <w:rStyle w:val="a5"/>
        </w:rPr>
        <w:footnoteReference w:id="1613" w:customMarkFollows="0"/>
      </w:r>
      <w:bookmarkEnd w:id="2456"/>
      <w:r>
        <w:rPr>
          <w:rtl/>
        </w:rPr>
        <w:t xml:space="preserve"> – היה </w:t>
      </w:r>
      <w:r>
        <w:rPr>
          <w:b/>
          <w:bCs/>
          <w:rtl/>
        </w:rPr>
        <w:t>המטרה</w:t>
      </w:r>
      <w:r>
        <w:rPr>
          <w:rtl/>
        </w:rPr>
        <w:t xml:space="preserve"> שלשמה הוקמה ישיבת </w:t>
      </w:r>
      <w:proofErr w:type="spellStart"/>
      <w:r>
        <w:rPr>
          <w:rtl/>
        </w:rPr>
        <w:t>סלבודקה</w:t>
      </w:r>
      <w:proofErr w:type="spellEnd"/>
      <w:r>
        <w:rPr>
          <w:rtl/>
        </w:rPr>
        <w:t xml:space="preserve">, שאליה הצטרף התלמיד הנודד, בדיוק כפי שדיווח צבי </w:t>
      </w:r>
      <w:r>
        <w:rPr>
          <w:rtl/>
        </w:rPr>
        <w:lastRenderedPageBreak/>
        <w:t>קפלן. השווה גם את הפסקה החמישית ב</w:t>
      </w:r>
      <w:r>
        <w:rPr>
          <w:rtl/>
        </w:rPr>
        <w:fldChar w:fldCharType="begin" w:dirty="true"/>
      </w:r>
      <w:r>
        <w:rPr>
          <w:rtl/>
        </w:rPr>
        <w:instrText xml:space="preserve"> REF b3_excZ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כו</w:t>
      </w:r>
      <w:proofErr w:type="spellEnd"/>
      <w:r>
        <w:rPr>
          <w:rtl/>
        </w:rPr>
        <w:fldChar w:fldCharType="end"/>
      </w:r>
      <w:r>
        <w:rPr>
          <w:rtl/>
        </w:rPr>
        <w:t xml:space="preserve"> להלן, שבקיץ תרמ״ב הופיע ר׳ ישראל בקובנה אחרי שנתיים של שהייה בפריז.</w:t>
      </w:r>
      <w:bookmarkStart w:id="2457" w:name="_fnr1611"/>
      <w:r>
        <w:rPr>
          <w:rStyle w:val="a5"/>
        </w:rPr>
        <w:footnoteReference w:id="1614" w:customMarkFollows="0"/>
      </w:r>
      <w:bookmarkEnd w:id="2457"/>
    </w:p>
    <w:p w14:paraId="42C93A99" w14:textId="77777777" w:rsidR="00AB3647" w:rsidRDefault="00000000" w:rsidP="007923E9">
      <w:pPr>
        <w:spacing w:after="120" w:line="276" w:lineRule="auto"/>
        <w:ind w:firstLine="283"/>
        <w:jc w:val="both"/>
      </w:pPr>
      <w:r>
        <w:rPr>
          <w:rtl/>
        </w:rPr>
        <w:t xml:space="preserve">בהתאם להוראות ר׳ ישראל בנה הסבא את ישיבת </w:t>
      </w:r>
      <w:proofErr w:type="spellStart"/>
      <w:r>
        <w:rPr>
          <w:rtl/>
        </w:rPr>
        <w:t>סלבודקה</w:t>
      </w:r>
      <w:proofErr w:type="spellEnd"/>
      <w:r>
        <w:rPr>
          <w:rtl/>
        </w:rPr>
        <w:t xml:space="preserve"> למטרה צרה יותר מזו של קודמתה, ישיבת </w:t>
      </w:r>
      <w:proofErr w:type="spellStart"/>
      <w:r>
        <w:rPr>
          <w:rtl/>
        </w:rPr>
        <w:t>וולוז׳ין</w:t>
      </w:r>
      <w:proofErr w:type="spellEnd"/>
      <w:r>
        <w:rPr>
          <w:rtl/>
        </w:rPr>
        <w:t xml:space="preserve">. השווה את תחילת ההקדמה </w:t>
      </w:r>
      <w:proofErr w:type="spellStart"/>
      <w:r>
        <w:rPr>
          <w:rtl/>
        </w:rPr>
        <w:t>ל“נפש</w:t>
      </w:r>
      <w:proofErr w:type="spellEnd"/>
      <w:r>
        <w:rPr>
          <w:rtl/>
        </w:rPr>
        <w:t xml:space="preserve"> החיים” מאת ר׳ יצחק, בנו של ר׳ חיים </w:t>
      </w:r>
      <w:proofErr w:type="spellStart"/>
      <w:r>
        <w:rPr>
          <w:rtl/>
        </w:rPr>
        <w:t>מוולוז׳ין</w:t>
      </w:r>
      <w:proofErr w:type="spellEnd"/>
      <w:r>
        <w:rPr>
          <w:rtl/>
        </w:rPr>
        <w:t xml:space="preserve">, המספר שאביו בנה את ישיבת </w:t>
      </w:r>
      <w:proofErr w:type="spellStart"/>
      <w:r>
        <w:rPr>
          <w:rtl/>
        </w:rPr>
        <w:t>וולוז׳ין</w:t>
      </w:r>
      <w:proofErr w:type="spellEnd"/>
      <w:r>
        <w:rPr>
          <w:rtl/>
        </w:rPr>
        <w:t xml:space="preserve"> על </w:t>
      </w:r>
      <w:r>
        <w:rPr>
          <w:b/>
          <w:bCs/>
          <w:rtl/>
        </w:rPr>
        <w:t>שלושה</w:t>
      </w:r>
      <w:r>
        <w:rPr>
          <w:rtl/>
        </w:rPr>
        <w:t xml:space="preserve"> יסודות – תורה, עבודה וגמילות חסדים.</w:t>
      </w:r>
    </w:p>
    <w:bookmarkStart w:id="2458" w:name="b3_excE"/>
    <w:p w14:paraId="3CD9DA3F" w14:textId="77777777" w:rsidR="00AB3647" w:rsidRDefault="00000000" w:rsidP="007923E9">
      <w:pPr>
        <w:pStyle w:val="3"/>
        <w:spacing w:line="276" w:lineRule="auto"/>
      </w:pPr>
      <w:r>
        <w:lastRenderedPageBreak/>
        <w:fldChar w:fldCharType="begin" w:dirty="true"/>
      </w:r>
      <w:r>
        <w:rPr>
          <w:rtl w:val="0"/>
        </w:rPr>
        <w:instrText>HYPERLINK \l "b3_note25</w:instrText>
      </w:r>
      <w:r>
        <w:instrText>"</w:instrText>
      </w:r>
      <w:r>
        <w:fldChar w:fldCharType="separate"/>
      </w:r>
      <w:r>
        <w:t>נספח ה</w:t>
      </w:r>
      <w:r>
        <w:fldChar w:fldCharType="end"/>
      </w:r>
      <w:bookmarkEnd w:id="2458"/>
    </w:p>
    <w:p w14:paraId="0C96747D" w14:textId="77777777" w:rsidR="00AB3647" w:rsidRDefault="00000000" w:rsidP="007923E9">
      <w:pPr>
        <w:pStyle w:val="af"/>
        <w:spacing w:line="276" w:lineRule="auto"/>
      </w:pPr>
      <w:r>
        <w:t>על ביטול עצמם של בעלי המוסר; על מינוי מתרימים לכולל קובנה; ועל ההתנגדות להשתרשות תנועת המוסר בו</w:t>
      </w:r>
    </w:p>
    <w:p w14:paraId="02FF8B79" w14:textId="77777777" w:rsidR="00AB3647" w:rsidRDefault="00000000" w:rsidP="007923E9">
      <w:pPr>
        <w:pStyle w:val="4"/>
        <w:spacing w:line="276" w:lineRule="auto"/>
      </w:pPr>
      <w:r>
        <w:t>· הפסקה הראשונה ·</w:t>
      </w:r>
    </w:p>
    <w:p w14:paraId="20964CF1" w14:textId="77777777" w:rsidR="00AB3647" w:rsidRDefault="00000000" w:rsidP="007923E9">
      <w:pPr>
        <w:pStyle w:val="5"/>
        <w:spacing w:line="276" w:lineRule="auto"/>
      </w:pPr>
      <w:r>
        <w:t xml:space="preserve">הסבא מוכנס להנהלת כולל קובנה – הוא מרגיש שישיבת </w:t>
      </w:r>
      <w:proofErr w:type="spellStart"/>
      <w:r>
        <w:t>סלבודקה</w:t>
      </w:r>
      <w:proofErr w:type="spellEnd"/>
      <w:r>
        <w:t xml:space="preserve"> יכולה להסתדר בלעדיו – לבעלי המוסר של קלם אין מקימים מצבות – קברו של ר׳ ישראל </w:t>
      </w:r>
      <w:proofErr w:type="spellStart"/>
      <w:r>
        <w:t>סלנטר</w:t>
      </w:r>
      <w:proofErr w:type="spellEnd"/>
      <w:r>
        <w:t xml:space="preserve"> נותר זמן רב בלי מצבה</w:t>
      </w:r>
    </w:p>
    <w:p w14:paraId="411284EE" w14:textId="77777777" w:rsidR="00AB3647" w:rsidRDefault="00000000" w:rsidP="007923E9">
      <w:pPr>
        <w:spacing w:after="120" w:line="276" w:lineRule="auto"/>
        <w:ind w:firstLine="283"/>
        <w:jc w:val="both"/>
      </w:pPr>
      <w:r>
        <w:rPr>
          <w:rtl/>
        </w:rPr>
        <w:t>כדי לתאר את מעמדו של הסבא בכולל נהג אבי להשתמש</w:t>
      </w:r>
      <w:bookmarkStart w:id="2459" w:name="_fnr1612"/>
      <w:bookmarkStart w:id="2460" w:name="pr_f_1523"/>
      <w:r>
        <w:rPr>
          <w:rStyle w:val="a5"/>
        </w:rPr>
        <w:footnoteReference w:id="1615" w:customMarkFollows="0"/>
      </w:r>
      <w:bookmarkEnd w:id="2459"/>
      <w:bookmarkEnd w:id="2460"/>
      <w:r>
        <w:rPr>
          <w:rtl/>
        </w:rPr>
        <w:t xml:space="preserve"> בביטוי: “את הסבא הגניבו להנהלת הכולל”. תיאור זה צריך ביאור. ספר הזיכרון לסבא </w:t>
      </w:r>
      <w:proofErr w:type="spellStart"/>
      <w:r>
        <w:rPr>
          <w:rtl/>
        </w:rPr>
        <w:t>מסלבודקה</w:t>
      </w:r>
      <w:proofErr w:type="spellEnd"/>
      <w:r>
        <w:rPr>
          <w:rtl/>
        </w:rPr>
        <w:t xml:space="preserve"> שערך ר׳ </w:t>
      </w:r>
      <w:proofErr w:type="spellStart"/>
      <w:r>
        <w:rPr>
          <w:rtl/>
        </w:rPr>
        <w:t>ישראל־זיסל</w:t>
      </w:r>
      <w:proofErr w:type="spellEnd"/>
      <w:r>
        <w:rPr>
          <w:rtl/>
        </w:rPr>
        <w:t xml:space="preserve"> </w:t>
      </w:r>
      <w:proofErr w:type="spellStart"/>
      <w:r>
        <w:rPr>
          <w:rtl/>
        </w:rPr>
        <w:t>דבורץ</w:t>
      </w:r>
      <w:bookmarkStart w:id="2461" w:name="_fnr1613"/>
      <w:proofErr w:type="spellEnd"/>
      <w:r>
        <w:rPr>
          <w:rStyle w:val="a5"/>
        </w:rPr>
        <w:footnoteReference w:id="1616" w:customMarkFollows="0"/>
      </w:r>
      <w:bookmarkEnd w:id="2461"/>
      <w:r>
        <w:rPr>
          <w:rtl/>
        </w:rPr>
        <w:t xml:space="preserve"> קובע ש“(הסבא) היה המייסד האמיתי של כולל קובנה”. כץ, “תנועת המוסר”, כרך ג</w:t>
      </w:r>
      <w:bookmarkStart w:id="2462" w:name="_fnr1614"/>
      <w:r>
        <w:rPr>
          <w:rStyle w:val="a5"/>
        </w:rPr>
        <w:footnoteReference w:id="1617" w:customMarkFollows="0"/>
      </w:r>
      <w:bookmarkEnd w:id="2462"/>
      <w:r>
        <w:rPr>
          <w:rtl/>
        </w:rPr>
        <w:t xml:space="preserve">, מוסיף שהרעיון להקים כולל הועלה בידי ר׳ ישראל, אבל בשעה שגדולי התורה עדיין נשאו ונתנו היכן ובחסות מי יוקם הכולל, פתחו הסבא ור׳ </w:t>
      </w:r>
      <w:proofErr w:type="spellStart"/>
      <w:r>
        <w:rPr>
          <w:rtl/>
        </w:rPr>
        <w:t>לייזר־יעקב</w:t>
      </w:r>
      <w:proofErr w:type="spellEnd"/>
      <w:r>
        <w:rPr>
          <w:rtl/>
        </w:rPr>
        <w:t xml:space="preserve"> </w:t>
      </w:r>
      <w:proofErr w:type="spellStart"/>
      <w:r>
        <w:rPr>
          <w:rtl/>
        </w:rPr>
        <w:t xml:space="preserve">חווס</w:t>
      </w:r>
      <w:proofErr w:type="spellEnd"/>
      <w:r>
        <w:rPr>
          <w:rtl/>
        </w:rPr>
        <w:t xml:space="preserve">, שהכספים היו אז בידו, את הכולל “בערך בשנים תרל״ז–תרל״ח והניחו את היסוד הראשון למוסד מסוג זה” בעיר </w:t>
      </w:r>
      <w:proofErr w:type="spellStart"/>
      <w:r>
        <w:rPr>
          <w:rtl/>
        </w:rPr>
        <w:t>סלבודקה</w:t>
      </w:r>
      <w:proofErr w:type="spellEnd"/>
      <w:r>
        <w:rPr>
          <w:rtl/>
        </w:rPr>
        <w:t>.</w:t>
      </w:r>
    </w:p>
    <w:p w14:paraId="7E8284F6" w14:textId="77777777" w:rsidR="00AB3647" w:rsidRDefault="00000000" w:rsidP="007923E9">
      <w:pPr>
        <w:spacing w:after="120" w:line="276" w:lineRule="auto"/>
        <w:ind w:firstLine="283"/>
        <w:jc w:val="both"/>
      </w:pPr>
      <w:r>
        <w:rPr>
          <w:rtl/>
        </w:rPr>
        <w:t xml:space="preserve">תהא מעורבותו של הסבא אשר תהא, אין לכאורה כל טעם לכך שלא מונה לחבר ההנהלה כדרך הרגיל. מדוע היה צורך להגניבו? אם היה צעיר מדי בעת ייסוד הכולל בשנת תרל״ט – הוא היה אז בן שלושים – אין לכאורה טעם לכך שלא נעשה לאחד המנהלים באופן רשמי כשחזר </w:t>
      </w:r>
      <w:proofErr w:type="spellStart"/>
      <w:r>
        <w:rPr>
          <w:rtl/>
        </w:rPr>
        <w:t>לסלבודקה</w:t>
      </w:r>
      <w:proofErr w:type="spellEnd"/>
      <w:r>
        <w:rPr>
          <w:rtl/>
        </w:rPr>
        <w:t xml:space="preserve"> </w:t>
      </w:r>
      <w:proofErr w:type="spellStart"/>
      <w:r>
        <w:rPr>
          <w:rtl/>
        </w:rPr>
        <w:t>מגרובין</w:t>
      </w:r>
      <w:bookmarkStart w:id="2463" w:name="_fnr1615"/>
      <w:proofErr w:type="spellEnd"/>
      <w:r>
        <w:rPr>
          <w:rStyle w:val="a5"/>
        </w:rPr>
        <w:footnoteReference w:id="1618" w:customMarkFollows="0"/>
      </w:r>
      <w:bookmarkEnd w:id="2463"/>
      <w:r>
        <w:rPr>
          <w:rtl/>
        </w:rPr>
        <w:t xml:space="preserve"> והחל למלא תפקיד זה בפועל. אין זה מסתבר שעיסוקו באותה עת כמשגיח בישיבת ר׳ </w:t>
      </w:r>
      <w:proofErr w:type="spellStart"/>
      <w:r>
        <w:rPr>
          <w:rtl/>
        </w:rPr>
        <w:t>הירשל׳ה</w:t>
      </w:r>
      <w:proofErr w:type="spellEnd"/>
      <w:r>
        <w:rPr>
          <w:rtl/>
        </w:rPr>
        <w:t>, מוסד לתלמידים צעירים, ייתפס כמפריע לתפקיד מייעץ בכולל קובנה.</w:t>
      </w:r>
    </w:p>
    <w:p w14:paraId="7033BDC9" w14:textId="77777777" w:rsidR="00AB3647" w:rsidRDefault="00000000" w:rsidP="007923E9">
      <w:pPr>
        <w:spacing w:after="120" w:line="276" w:lineRule="auto"/>
        <w:ind w:firstLine="283"/>
        <w:jc w:val="both"/>
      </w:pPr>
      <w:r>
        <w:rPr>
          <w:rtl/>
        </w:rPr>
        <w:t>אני סבור שהתשובה טמונה בתכונת יסוד של הסבא, שאבי תיאר</w:t>
      </w:r>
      <w:bookmarkStart w:id="2464" w:name="_fnr1616"/>
      <w:r>
        <w:rPr>
          <w:rStyle w:val="a5"/>
        </w:rPr>
        <w:footnoteReference w:id="1619" w:customMarkFollows="0"/>
      </w:r>
      <w:bookmarkEnd w:id="2464"/>
      <w:r>
        <w:rPr>
          <w:rtl/>
        </w:rPr>
        <w:t xml:space="preserve"> כשנשאל מדוע לא כתב הסבא מעולם מאמרים או ספרים. אבי אמר בתוקף: “הסבא לא רצה ‘להיות’; הוא רצה שישכחו שאדם כזה חי אי פעם”. ר׳ </w:t>
      </w:r>
      <w:proofErr w:type="spellStart"/>
      <w:r>
        <w:rPr>
          <w:rtl/>
        </w:rPr>
        <w:t>לייבל</w:t>
      </w:r>
      <w:proofErr w:type="spellEnd"/>
      <w:r>
        <w:rPr>
          <w:rtl/>
        </w:rPr>
        <w:t xml:space="preserve"> </w:t>
      </w:r>
      <w:proofErr w:type="spellStart"/>
      <w:r>
        <w:rPr>
          <w:rtl/>
        </w:rPr>
        <w:t>פרלשטיין</w:t>
      </w:r>
      <w:bookmarkStart w:id="2465" w:name="_fnr1617"/>
      <w:proofErr w:type="spellEnd"/>
      <w:r>
        <w:rPr>
          <w:rStyle w:val="a5"/>
        </w:rPr>
        <w:footnoteReference w:id="1620" w:customMarkFollows="0"/>
      </w:r>
      <w:bookmarkEnd w:id="2465"/>
      <w:r>
        <w:rPr>
          <w:rtl/>
        </w:rPr>
        <w:t xml:space="preserve"> השלים את הצד החיובי של תכלית קיומו של הסבא, כשציטט תוספת של אבי: “כל מה שהסבא רצה היה לפתח את עצמו – עד שלמות”.</w:t>
      </w:r>
    </w:p>
    <w:p w14:paraId="0C04C1EE" w14:textId="77777777" w:rsidR="00AB3647" w:rsidRDefault="00000000" w:rsidP="007923E9">
      <w:pPr>
        <w:spacing w:after="120" w:line="276" w:lineRule="auto"/>
        <w:ind w:firstLine="283"/>
        <w:jc w:val="both"/>
      </w:pPr>
      <w:r>
        <w:rPr>
          <w:rtl/>
        </w:rPr>
        <w:t>מרקוס,</w:t>
      </w:r>
      <w:bookmarkStart w:id="2466" w:name="_fnr1618"/>
      <w:r>
        <w:rPr>
          <w:rStyle w:val="a5"/>
        </w:rPr>
        <w:footnoteReference w:id="1621" w:customMarkFollows="0"/>
      </w:r>
      <w:bookmarkEnd w:id="2466"/>
      <w:r>
        <w:rPr>
          <w:rtl/>
        </w:rPr>
        <w:t xml:space="preserve"> בגוזמה פיוטית, מעלה טעם מופרך לכך שהסבא לא כתב ספר. בין שאר הדברים התמוהים שבדבריו מופיעה הטענה המדהימה הזאת: “הסבא חשש תמיד שמא יאמרו שהוא עלה על רבו [במוסר, ר׳ </w:t>
      </w:r>
      <w:proofErr w:type="spellStart"/>
      <w:r>
        <w:rPr>
          <w:rtl/>
        </w:rPr>
        <w:t>שמחה־זיסל</w:t>
      </w:r>
      <w:proofErr w:type="spellEnd"/>
      <w:r>
        <w:rPr>
          <w:rtl/>
        </w:rPr>
        <w:t xml:space="preserve">], שחש כלפיו הכרת טובה בלי גבול. כשהזכיר את שם </w:t>
      </w:r>
      <w:r>
        <w:rPr>
          <w:rtl/>
        </w:rPr>
        <w:lastRenderedPageBreak/>
        <w:t xml:space="preserve">רבו היה כמעט מזדעזע מיראת הכבוד. ביום היארצייט של רבו היה מתהלך אבל, כאילו אירעה הפטירה רק אתמול. הוא נהג [מדי שנה] לחוג כימים טובים את היום שבו פגש לראשונה את הסבא מקלם ואת היום שבו פנה ר׳ </w:t>
      </w:r>
      <w:proofErr w:type="spellStart"/>
      <w:r>
        <w:rPr>
          <w:rtl/>
        </w:rPr>
        <w:t>שמחה־זיסל</w:t>
      </w:r>
      <w:proofErr w:type="spellEnd"/>
      <w:r>
        <w:rPr>
          <w:rtl/>
        </w:rPr>
        <w:t xml:space="preserve"> למוסר; בימים אלה היה לובש את בגדי השבת שלו ואומר ‘הלל׳ בתפילתו”.</w:t>
      </w:r>
    </w:p>
    <w:p w14:paraId="2D908F52" w14:textId="77777777" w:rsidR="00AB3647" w:rsidRDefault="00000000" w:rsidP="007923E9">
      <w:pPr>
        <w:spacing w:after="120" w:line="276" w:lineRule="auto"/>
        <w:ind w:firstLine="283"/>
        <w:jc w:val="both"/>
      </w:pPr>
      <w:r>
        <w:rPr>
          <w:rtl/>
        </w:rPr>
        <w:t xml:space="preserve">אבי הרחיב על ביטול עצמו של הסבא: “מעמדו של הסבא בישיבה שייסד, כנסת ישראל, לא היה רשמי. הוא מעולם לא חתם על שום מסמך של הישיבה, וכשנשאל מה תפקידו בכנסת ישראל, השיב שאינו יודע באמת”. השווה גם ספר הזיכרון לסבא </w:t>
      </w:r>
      <w:proofErr w:type="spellStart"/>
      <w:r>
        <w:rPr>
          <w:rtl/>
        </w:rPr>
        <w:t>מסלבודקה</w:t>
      </w:r>
      <w:proofErr w:type="spellEnd"/>
      <w:r>
        <w:rPr>
          <w:rtl/>
        </w:rPr>
        <w:t xml:space="preserve"> שערך ר׳ </w:t>
      </w:r>
      <w:proofErr w:type="spellStart"/>
      <w:r>
        <w:rPr>
          <w:rtl/>
        </w:rPr>
        <w:t>ישראל־זיסל</w:t>
      </w:r>
      <w:proofErr w:type="spellEnd"/>
      <w:r>
        <w:rPr>
          <w:rtl/>
        </w:rPr>
        <w:t xml:space="preserve"> </w:t>
      </w:r>
      <w:proofErr w:type="spellStart"/>
      <w:r>
        <w:rPr>
          <w:rtl/>
        </w:rPr>
        <w:t>דבורץ</w:t>
      </w:r>
      <w:proofErr w:type="spellEnd"/>
      <w:r>
        <w:rPr>
          <w:rtl/>
        </w:rPr>
        <w:t>,</w:t>
      </w:r>
      <w:bookmarkStart w:id="2467" w:name="_fnr1619"/>
      <w:r>
        <w:rPr>
          <w:rStyle w:val="a5"/>
        </w:rPr>
        <w:footnoteReference w:id="1622" w:customMarkFollows="0"/>
      </w:r>
      <w:bookmarkEnd w:id="2467"/>
      <w:r>
        <w:rPr>
          <w:rtl/>
        </w:rPr>
        <w:t xml:space="preserve"> שהסבא היה אומר: “לשם מה צריכה הישיבה אותי?”. ואכן, חנה </w:t>
      </w:r>
      <w:proofErr w:type="spellStart"/>
      <w:r>
        <w:rPr>
          <w:rtl/>
        </w:rPr>
        <w:t>פינקל</w:t>
      </w:r>
      <w:proofErr w:type="spellEnd"/>
      <w:r>
        <w:rPr>
          <w:rtl/>
        </w:rPr>
        <w:t>, כלתו של ר׳ משה בן הסבא, סיפרה</w:t>
      </w:r>
      <w:bookmarkStart w:id="2468" w:name="_fnr1620"/>
      <w:r>
        <w:rPr>
          <w:rStyle w:val="a5"/>
        </w:rPr>
        <w:footnoteReference w:id="1623" w:customMarkFollows="0"/>
      </w:r>
      <w:bookmarkEnd w:id="2468"/>
      <w:r>
        <w:rPr>
          <w:rtl/>
        </w:rPr>
        <w:t xml:space="preserve"> </w:t>
      </w:r>
      <w:proofErr w:type="spellStart"/>
      <w:r>
        <w:rPr>
          <w:rtl/>
        </w:rPr>
        <w:t>ש“בעלה</w:t>
      </w:r>
      <w:proofErr w:type="spellEnd"/>
      <w:r>
        <w:rPr>
          <w:rtl/>
        </w:rPr>
        <w:t xml:space="preserve">, או הדוד ר׳ </w:t>
      </w:r>
      <w:proofErr w:type="spellStart"/>
      <w:r>
        <w:rPr>
          <w:rtl/>
        </w:rPr>
        <w:t>חצקל</w:t>
      </w:r>
      <w:proofErr w:type="spellEnd"/>
      <w:r>
        <w:rPr>
          <w:rtl/>
        </w:rPr>
        <w:t xml:space="preserve"> </w:t>
      </w:r>
      <w:proofErr w:type="spellStart"/>
      <w:r>
        <w:rPr>
          <w:rtl/>
        </w:rPr>
        <w:t>סרנא</w:t>
      </w:r>
      <w:bookmarkStart w:id="2469" w:name="_fnr1621"/>
      <w:proofErr w:type="spellEnd"/>
      <w:r>
        <w:rPr>
          <w:rStyle w:val="a5"/>
        </w:rPr>
        <w:footnoteReference w:id="1624" w:customMarkFollows="0"/>
      </w:r>
      <w:bookmarkEnd w:id="2469"/>
      <w:r>
        <w:rPr>
          <w:rtl/>
        </w:rPr>
        <w:t xml:space="preserve">” סיפר לה שבכל אלול לא חזר הסבא </w:t>
      </w:r>
      <w:proofErr w:type="spellStart"/>
      <w:r>
        <w:rPr>
          <w:rtl/>
        </w:rPr>
        <w:t>מסלבודקה</w:t>
      </w:r>
      <w:proofErr w:type="spellEnd"/>
      <w:r>
        <w:rPr>
          <w:rtl/>
        </w:rPr>
        <w:t xml:space="preserve"> מן </w:t>
      </w:r>
      <w:proofErr w:type="spellStart"/>
      <w:r>
        <w:rPr>
          <w:rtl/>
        </w:rPr>
        <w:t>הדאצ׳ה</w:t>
      </w:r>
      <w:proofErr w:type="spellEnd"/>
      <w:r>
        <w:rPr>
          <w:rtl/>
        </w:rPr>
        <w:t xml:space="preserve"> לכנסת ישראל עד שהובטח לו – כנראה בידי ר׳ </w:t>
      </w:r>
      <w:proofErr w:type="spellStart"/>
      <w:r>
        <w:rPr>
          <w:rtl/>
        </w:rPr>
        <w:t>משה־מרדכי</w:t>
      </w:r>
      <w:proofErr w:type="spellEnd"/>
      <w:r>
        <w:rPr>
          <w:rtl/>
        </w:rPr>
        <w:t xml:space="preserve"> – שהוא נחוץ בישיבה. עוד הוסיפה שהסבא ביקש שלא יעלוהו לתורה בימים הנוראים, מלבד במנחה של שבת שובה.</w:t>
      </w:r>
    </w:p>
    <w:p w14:paraId="1DD6F7AF" w14:textId="77777777" w:rsidR="00AB3647" w:rsidRDefault="00000000" w:rsidP="007923E9">
      <w:pPr>
        <w:spacing w:after="120" w:line="276" w:lineRule="auto"/>
        <w:ind w:firstLine="283"/>
        <w:jc w:val="both"/>
      </w:pPr>
      <w:r>
        <w:rPr>
          <w:rtl/>
        </w:rPr>
        <w:t>בשיחה שנשא אבי במלאת חמישים שנה לפטירת הסבא</w:t>
      </w:r>
      <w:bookmarkStart w:id="2470" w:name="_fnr1622"/>
      <w:r>
        <w:rPr>
          <w:rStyle w:val="a5"/>
        </w:rPr>
        <w:footnoteReference w:id="1625" w:customMarkFollows="0"/>
      </w:r>
      <w:bookmarkEnd w:id="2470"/>
      <w:r>
        <w:rPr>
          <w:rtl/>
        </w:rPr>
        <w:t xml:space="preserve"> ציין </w:t>
      </w:r>
      <w:proofErr w:type="spellStart"/>
      <w:r>
        <w:rPr>
          <w:rtl/>
        </w:rPr>
        <w:t>שלר</w:t>
      </w:r>
      <w:proofErr w:type="spellEnd"/>
      <w:r>
        <w:rPr>
          <w:rtl/>
        </w:rPr>
        <w:t xml:space="preserve">׳ </w:t>
      </w:r>
      <w:proofErr w:type="spellStart"/>
      <w:r>
        <w:rPr>
          <w:rtl/>
        </w:rPr>
        <w:t>נתן־צבי</w:t>
      </w:r>
      <w:proofErr w:type="spellEnd"/>
      <w:r>
        <w:rPr>
          <w:rtl/>
        </w:rPr>
        <w:t xml:space="preserve"> לא היו מעולם ניירות מכתבים עם כותרת: “אם היה צריך לכתוב מכתב, השתמש בדף נייר חלק”, אמר. “המאיר – ספר </w:t>
      </w:r>
      <w:proofErr w:type="spellStart"/>
      <w:r>
        <w:rPr>
          <w:rtl/>
        </w:rPr>
        <w:t>זכרון</w:t>
      </w:r>
      <w:proofErr w:type="spellEnd"/>
      <w:r>
        <w:rPr>
          <w:rtl/>
        </w:rPr>
        <w:t>”</w:t>
      </w:r>
      <w:bookmarkStart w:id="2471" w:name="_fnr1623"/>
      <w:r>
        <w:rPr>
          <w:rStyle w:val="a5"/>
        </w:rPr>
        <w:footnoteReference w:id="1626" w:customMarkFollows="0"/>
      </w:r>
      <w:bookmarkEnd w:id="2471"/>
      <w:r>
        <w:rPr>
          <w:rtl/>
        </w:rPr>
        <w:t xml:space="preserve"> מספר עוד: “כשייסד הסבא את ישיבת כנסת ישראל” – בשנת תרנ״ז – “והיה מתרועע יום יום עם התלמידים, לא ידע איש במשך שנים שיש לו קשר כלשהו אליה; הוא הפיץ את השמועה שראש הישיבה ר׳ </w:t>
      </w:r>
      <w:proofErr w:type="spellStart"/>
      <w:r>
        <w:rPr>
          <w:rtl/>
        </w:rPr>
        <w:t>משה־מרדכי</w:t>
      </w:r>
      <w:proofErr w:type="spellEnd"/>
      <w:r>
        <w:rPr>
          <w:rtl/>
        </w:rPr>
        <w:t xml:space="preserve"> אפשטיין ייסד אותה. הסבא היה נכנס לישיבה כל יום ומשוחח פעם עם בחור אחד ופעם עם אחר, ולפעמים התאספו רבים סביבו לשמוע מה בפיו, בחושבם אותו לתלמיד חכם נבון שנעים לשמוע לו, אבל לא עלה על דעת איש שהסבא הוא המייסד והמנהל של הישיבה”.</w:t>
      </w:r>
    </w:p>
    <w:p w14:paraId="5AE8C592" w14:textId="77777777" w:rsidR="00AB3647" w:rsidRDefault="00000000" w:rsidP="007923E9">
      <w:pPr>
        <w:spacing w:after="120" w:line="276" w:lineRule="auto"/>
        <w:ind w:firstLine="283"/>
        <w:jc w:val="both"/>
      </w:pPr>
      <w:r>
        <w:rPr>
          <w:rtl/>
        </w:rPr>
        <w:t>לאור גישה זו נוכל להניח שכשנוסד כולל קובנה סירב הסבא לקבל משרה בהנהלה, ואפילו משרה זוטרה, ואת כל מה שרצה לתרום להתפתחות הכולל נאלץ להגיש מתוך עמדה שאליה “הוגנב”.</w:t>
      </w:r>
    </w:p>
    <w:p w14:paraId="2EF05971" w14:textId="77777777" w:rsidR="00AB3647" w:rsidRDefault="00000000" w:rsidP="007923E9">
      <w:pPr>
        <w:spacing w:after="120" w:line="276" w:lineRule="auto"/>
        <w:ind w:firstLine="283"/>
        <w:jc w:val="both"/>
      </w:pPr>
      <w:r>
        <w:rPr>
          <w:rtl/>
        </w:rPr>
        <w:t xml:space="preserve">ייתכן שביטול עצמי זה עומד מאחורי מנהגם של בעלי המוסר של קלם שלא להקים מצבות על קבריהם. ר׳ יהושע </w:t>
      </w:r>
      <w:proofErr w:type="spellStart"/>
      <w:r>
        <w:rPr>
          <w:rtl/>
        </w:rPr>
        <w:t xml:space="preserve">גלדצהלר</w:t>
      </w:r>
      <w:proofErr w:type="spellEnd"/>
      <w:r>
        <w:rPr>
          <w:rtl/>
        </w:rPr>
        <w:t xml:space="preserve">, חתנו של ר׳ </w:t>
      </w:r>
      <w:proofErr w:type="spellStart"/>
      <w:r>
        <w:rPr>
          <w:rtl/>
        </w:rPr>
        <w:t>אליהו־אליעזר</w:t>
      </w:r>
      <w:proofErr w:type="spellEnd"/>
      <w:r>
        <w:rPr>
          <w:rtl/>
        </w:rPr>
        <w:t xml:space="preserve"> </w:t>
      </w:r>
      <w:proofErr w:type="spellStart"/>
      <w:r>
        <w:rPr>
          <w:rtl/>
        </w:rPr>
        <w:t>דסלר</w:t>
      </w:r>
      <w:proofErr w:type="spellEnd"/>
      <w:r>
        <w:rPr>
          <w:rtl/>
        </w:rPr>
        <w:t>, סיפר</w:t>
      </w:r>
      <w:bookmarkStart w:id="2472" w:name="_fnr1624"/>
      <w:r>
        <w:rPr>
          <w:rStyle w:val="a5"/>
        </w:rPr>
        <w:footnoteReference w:id="1627" w:customMarkFollows="0"/>
      </w:r>
      <w:bookmarkEnd w:id="2472"/>
      <w:r>
        <w:rPr>
          <w:rtl/>
        </w:rPr>
        <w:t xml:space="preserve"> שהוא וגיסו, ר׳ </w:t>
      </w:r>
      <w:proofErr w:type="spellStart"/>
      <w:r>
        <w:rPr>
          <w:rtl/>
        </w:rPr>
        <w:t>נחום־וועלוול</w:t>
      </w:r>
      <w:proofErr w:type="spellEnd"/>
      <w:r>
        <w:rPr>
          <w:rtl/>
        </w:rPr>
        <w:t xml:space="preserve"> </w:t>
      </w:r>
      <w:proofErr w:type="spellStart"/>
      <w:r>
        <w:rPr>
          <w:rtl/>
        </w:rPr>
        <w:t>דסלר</w:t>
      </w:r>
      <w:proofErr w:type="spellEnd"/>
      <w:r>
        <w:rPr>
          <w:rtl/>
        </w:rPr>
        <w:t>, לא הקימו מצבה לחותנם/אביהם, שנקבר בבית העלמין בבני ברק. הטעם היה שעל פי מנהג קלם גם חותנו לא הקים מצבה לרבניתו, שנפטרה שנתיים לפניו. בת הנפטר נזכרה שאמה הייתה אומרת בביקורת: “</w:t>
      </w:r>
      <w:proofErr w:type="spellStart"/>
      <w:r>
        <w:rPr>
          <w:rtl/>
        </w:rPr>
        <w:t>בקלם</w:t>
      </w:r>
      <w:proofErr w:type="spellEnd"/>
      <w:r>
        <w:rPr>
          <w:rtl/>
        </w:rPr>
        <w:t xml:space="preserve"> לא הקימו מצבות, ולא היה מקום מוגדר לקברי אבות. היה צריך לזחול כדי למצוא קבר”.</w:t>
      </w:r>
    </w:p>
    <w:p w14:paraId="55A41100" w14:textId="77777777" w:rsidR="00AB3647" w:rsidRDefault="00000000" w:rsidP="007923E9">
      <w:pPr>
        <w:spacing w:after="120" w:line="276" w:lineRule="auto"/>
        <w:ind w:firstLine="283"/>
        <w:jc w:val="both"/>
      </w:pPr>
      <w:r>
        <w:rPr>
          <w:rtl/>
        </w:rPr>
        <w:lastRenderedPageBreak/>
        <w:t xml:space="preserve">כשקיבלו הילדים שנותרו מכתבים מארץ ישראל שגערו בהם על </w:t>
      </w:r>
      <w:proofErr w:type="spellStart"/>
      <w:r>
        <w:rPr>
          <w:rtl/>
        </w:rPr>
        <w:t>ש“הזניחו</w:t>
      </w:r>
      <w:proofErr w:type="spellEnd"/>
      <w:r>
        <w:rPr>
          <w:rtl/>
        </w:rPr>
        <w:t xml:space="preserve">” את הקמת המצבה לרב </w:t>
      </w:r>
      <w:proofErr w:type="spellStart"/>
      <w:r>
        <w:rPr>
          <w:rtl/>
        </w:rPr>
        <w:t>דסלר</w:t>
      </w:r>
      <w:proofErr w:type="spellEnd"/>
      <w:r>
        <w:rPr>
          <w:rtl/>
        </w:rPr>
        <w:t xml:space="preserve">, ביקש המרואיין מאבי לבדוק את העניין. ההזדמנות לכך </w:t>
      </w:r>
      <w:proofErr w:type="spellStart"/>
      <w:r>
        <w:rPr>
          <w:rtl/>
        </w:rPr>
        <w:t>נזדמנה</w:t>
      </w:r>
      <w:proofErr w:type="spellEnd"/>
      <w:r>
        <w:rPr>
          <w:rtl/>
        </w:rPr>
        <w:t xml:space="preserve"> לרבנו כשביקר לראשונה בארץ ישראל, בקיץ תשט״ז, שנתיים לאחר פטירת ר׳ </w:t>
      </w:r>
      <w:proofErr w:type="spellStart"/>
      <w:r>
        <w:rPr>
          <w:rtl/>
        </w:rPr>
        <w:t>אליהו־אליעזר</w:t>
      </w:r>
      <w:proofErr w:type="spellEnd"/>
      <w:r>
        <w:rPr>
          <w:rtl/>
        </w:rPr>
        <w:t xml:space="preserve">. אבי ביקר אצל ר׳ </w:t>
      </w:r>
      <w:proofErr w:type="spellStart"/>
      <w:r>
        <w:rPr>
          <w:rtl/>
        </w:rPr>
        <w:t>יעקב־ישראל</w:t>
      </w:r>
      <w:proofErr w:type="spellEnd"/>
      <w:r>
        <w:rPr>
          <w:rtl/>
        </w:rPr>
        <w:t xml:space="preserve"> </w:t>
      </w:r>
      <w:proofErr w:type="spellStart"/>
      <w:r>
        <w:rPr>
          <w:rtl/>
        </w:rPr>
        <w:t xml:space="preserve">קניבסקי</w:t>
      </w:r>
      <w:proofErr w:type="spellEnd"/>
      <w:r>
        <w:rPr>
          <w:rtl/>
        </w:rPr>
        <w:t xml:space="preserve"> (הסטייפלר</w:t>
      </w:r>
      <w:proofErr w:type="spellStart"/>
      <w:r>
        <w:rPr>
          <w:rtl/>
        </w:rPr>
        <w:t xml:space="preserve"/>
      </w:r>
      <w:proofErr w:type="spellEnd"/>
      <w:r>
        <w:rPr>
          <w:rtl/>
        </w:rPr>
        <w:t xml:space="preserve">) כדי לדון בעניין, וזה אמר שנזדמן לו לראות תשובה של </w:t>
      </w:r>
      <w:proofErr w:type="spellStart"/>
      <w:r>
        <w:rPr>
          <w:rtl/>
        </w:rPr>
        <w:t>החיד״א</w:t>
      </w:r>
      <w:bookmarkStart w:id="2473" w:name="_fnr1625"/>
      <w:proofErr w:type="spellEnd"/>
      <w:r>
        <w:rPr>
          <w:rStyle w:val="a5"/>
        </w:rPr>
        <w:footnoteReference w:id="1628" w:customMarkFollows="0"/>
      </w:r>
      <w:bookmarkEnd w:id="2473"/>
      <w:r>
        <w:rPr>
          <w:rtl/>
        </w:rPr>
        <w:t>: לנפטר יש זכות להחליט רק מה ייכתב על מצבתו, אבל הקמתה היא חלק ממצוות הקבורה, ואין לו בה דעה.</w:t>
      </w:r>
    </w:p>
    <w:p w14:paraId="122D1BBF" w14:textId="77777777" w:rsidR="00AB3647" w:rsidRDefault="00000000" w:rsidP="007923E9">
      <w:pPr>
        <w:spacing w:after="120" w:line="276" w:lineRule="auto"/>
        <w:ind w:firstLine="283"/>
        <w:jc w:val="both"/>
      </w:pPr>
      <w:r>
        <w:rPr>
          <w:rtl/>
        </w:rPr>
        <w:t xml:space="preserve">אחרי פגישה זו היה אבי אומר שראה רוח הקודש בבית המדרש של </w:t>
      </w:r>
      <w:proofErr w:type="spellStart"/>
      <w:r>
        <w:rPr>
          <w:rtl/>
        </w:rPr>
        <w:t>הסטייפלער</w:t>
      </w:r>
      <w:proofErr w:type="spellEnd"/>
      <w:r>
        <w:rPr>
          <w:rtl/>
        </w:rPr>
        <w:t xml:space="preserve">. אבל המרואיין אמר ששמע שבכל פעם שאדם גדול שאל את </w:t>
      </w:r>
      <w:proofErr w:type="spellStart"/>
      <w:r>
        <w:rPr>
          <w:rtl/>
        </w:rPr>
        <w:t>הסטייפלער</w:t>
      </w:r>
      <w:proofErr w:type="spellEnd"/>
      <w:r>
        <w:rPr>
          <w:rtl/>
        </w:rPr>
        <w:t xml:space="preserve"> שאלה שיש לה מקור, היה </w:t>
      </w:r>
      <w:proofErr w:type="spellStart"/>
      <w:r>
        <w:rPr>
          <w:rtl/>
        </w:rPr>
        <w:t>הסטייפלער</w:t>
      </w:r>
      <w:proofErr w:type="spellEnd"/>
      <w:r>
        <w:rPr>
          <w:rtl/>
        </w:rPr>
        <w:t xml:space="preserve"> אומר </w:t>
      </w:r>
      <w:proofErr w:type="spellStart"/>
      <w:r>
        <w:rPr>
          <w:rtl/>
        </w:rPr>
        <w:t>ש“נזדמן</w:t>
      </w:r>
      <w:proofErr w:type="spellEnd"/>
      <w:r>
        <w:rPr>
          <w:rtl/>
        </w:rPr>
        <w:t xml:space="preserve"> לו לראות” מקור, במקום פשוט לציין אותו – כדי שבן שיחו לא ירגיש נעלב.</w:t>
      </w:r>
    </w:p>
    <w:p w14:paraId="678E33B1" w14:textId="77777777" w:rsidR="00AB3647" w:rsidRDefault="00000000" w:rsidP="007923E9">
      <w:pPr>
        <w:spacing w:after="120" w:line="276" w:lineRule="auto"/>
        <w:ind w:firstLine="283"/>
        <w:jc w:val="both"/>
      </w:pPr>
      <w:r>
        <w:rPr>
          <w:rtl/>
        </w:rPr>
        <w:t xml:space="preserve">אפשר גם להניח שמאותו טעם לא הוקמה מצבה על קברו של ר׳ ישראל </w:t>
      </w:r>
      <w:proofErr w:type="spellStart"/>
      <w:r>
        <w:rPr>
          <w:rtl/>
        </w:rPr>
        <w:t>סלנטר</w:t>
      </w:r>
      <w:proofErr w:type="spellEnd"/>
      <w:r>
        <w:rPr>
          <w:rtl/>
        </w:rPr>
        <w:t xml:space="preserve"> בקניגסברג. עיינתי במכתב שנמצא בידי ר׳ מרדכי </w:t>
      </w:r>
      <w:proofErr w:type="spellStart"/>
      <w:r>
        <w:rPr>
          <w:rtl/>
        </w:rPr>
        <w:t>בלאזר</w:t>
      </w:r>
      <w:proofErr w:type="spellEnd"/>
      <w:r>
        <w:rPr>
          <w:rtl/>
        </w:rPr>
        <w:t>.</w:t>
      </w:r>
      <w:bookmarkStart w:id="2474" w:name="_fnr1626"/>
      <w:r>
        <w:rPr>
          <w:rStyle w:val="a5"/>
        </w:rPr>
        <w:footnoteReference w:id="1629" w:customMarkFollows="0"/>
      </w:r>
      <w:bookmarkEnd w:id="2474"/>
      <w:r>
        <w:rPr>
          <w:rtl/>
        </w:rPr>
        <w:t xml:space="preserve"> כותב המכתב, רבה של קניגסברג, שואל בו: “האם בני הגאון ר׳ ישראל </w:t>
      </w:r>
      <w:proofErr w:type="spellStart"/>
      <w:r>
        <w:rPr>
          <w:rtl/>
        </w:rPr>
        <w:t>מסלנט</w:t>
      </w:r>
      <w:proofErr w:type="spellEnd"/>
      <w:r>
        <w:rPr>
          <w:rtl/>
        </w:rPr>
        <w:t>, זכר צדיק קדוש לברכה, ובני משפחתו מוכנים להקים מצבה על קבר הקדוש המנוח זצ״ל ולשאת בהוצאה?”. הרב ממשיך וכותב: “ביום היארצייט התפללנו אנו ובני החברה</w:t>
      </w:r>
      <w:bookmarkStart w:id="2475" w:name="_fnr1627"/>
      <w:r>
        <w:rPr>
          <w:rStyle w:val="a5"/>
        </w:rPr>
        <w:footnoteReference w:id="1630" w:customMarkFollows="0"/>
      </w:r>
      <w:bookmarkEnd w:id="2475"/>
      <w:r>
        <w:rPr>
          <w:rtl/>
        </w:rPr>
        <w:t xml:space="preserve"> [על הקבר], ועשיר אחד מברלין אמר לי שאם בני המשפחה אינם מוכנים להקים את המצבה, הוא ישלם עבורה. מחירה 60 מארק”.</w:t>
      </w:r>
    </w:p>
    <w:p w14:paraId="55620E2D" w14:textId="77777777" w:rsidR="00AB3647" w:rsidRDefault="00000000" w:rsidP="007923E9">
      <w:pPr>
        <w:spacing w:after="120" w:line="276" w:lineRule="auto"/>
        <w:ind w:firstLine="283"/>
        <w:jc w:val="both"/>
      </w:pPr>
      <w:r>
        <w:rPr>
          <w:rtl/>
        </w:rPr>
        <w:t xml:space="preserve">תאריך המכתב הוא: יום ג׳ לסדר “פקודי”, והמילה שאחרי “שנת” אינה קריאה כולה; מעליה כתוב בכתב יד אחר “תרמ״ה”. הערה זו אינה נכונה, משום שבשתי השנים שאחרי פטירת ר׳ ישראל, תרמ״ד </w:t>
      </w:r>
      <w:proofErr w:type="spellStart"/>
      <w:r>
        <w:rPr>
          <w:rtl/>
        </w:rPr>
        <w:t>ותרמ״ה</w:t>
      </w:r>
      <w:proofErr w:type="spellEnd"/>
      <w:r>
        <w:rPr>
          <w:rtl/>
        </w:rPr>
        <w:t xml:space="preserve">, היו הפרשיות </w:t>
      </w:r>
      <w:proofErr w:type="spellStart"/>
      <w:r>
        <w:rPr>
          <w:rtl/>
        </w:rPr>
        <w:t>ויקהל</w:t>
      </w:r>
      <w:proofErr w:type="spellEnd"/>
      <w:r>
        <w:rPr>
          <w:rtl/>
        </w:rPr>
        <w:t xml:space="preserve"> ופקודי מחוברות, ואיש לא היה מתארך את מכתבו בשנייה מהן בלבד, “פקודי”. לפיכך לא ייתכן שנכתב לפני תרמ״ו, והתאריך המלא: כ״ה באדר א׳ תרמ״ו. יש לשער שמי שכתב “תרמ״ה” בחר בשנה הראשונה האפשרית שבה יכול היה המכתב להיכתב. ר׳ ישראל נפטר בכ״ה בשבט תרמ״ג. ביארצייט הראשון, </w:t>
      </w:r>
      <w:proofErr w:type="spellStart"/>
      <w:r>
        <w:rPr>
          <w:rtl/>
        </w:rPr>
        <w:t>בתרמ״ד</w:t>
      </w:r>
      <w:proofErr w:type="spellEnd"/>
      <w:r>
        <w:rPr>
          <w:rtl/>
        </w:rPr>
        <w:t xml:space="preserve">, כשראו המבקרים בקבר שאין מצבה, לא היו מתפלאים, שכן המנהג שם היה להקים את המצבה לאחר שעברה השנה הראשונה. תמיהתם הייתה מתעוררת בביקור היארצייט השני, </w:t>
      </w:r>
      <w:proofErr w:type="spellStart"/>
      <w:r>
        <w:rPr>
          <w:rtl/>
        </w:rPr>
        <w:t>בתרמ״ה</w:t>
      </w:r>
      <w:proofErr w:type="spellEnd"/>
      <w:r>
        <w:rPr>
          <w:rtl/>
        </w:rPr>
        <w:t>, ואז, כך שיער המעיר, העירו למשפחה בעדינות.</w:t>
      </w:r>
    </w:p>
    <w:p w14:paraId="2DC6BE5F" w14:textId="77777777" w:rsidR="00AB3647" w:rsidRDefault="00000000" w:rsidP="007923E9">
      <w:pPr>
        <w:spacing w:after="120" w:line="276" w:lineRule="auto"/>
        <w:ind w:firstLine="283"/>
        <w:jc w:val="both"/>
      </w:pPr>
      <w:r>
        <w:rPr>
          <w:rtl/>
        </w:rPr>
        <w:t xml:space="preserve">אך ייתכן גם שהמכתב נכתב לא לפני תרנ״א – בשנת תרנ״א לא היו הפרשיות </w:t>
      </w:r>
      <w:proofErr w:type="spellStart"/>
      <w:r>
        <w:rPr>
          <w:rtl/>
        </w:rPr>
        <w:t>ויקהל</w:t>
      </w:r>
      <w:proofErr w:type="spellEnd"/>
      <w:r>
        <w:rPr>
          <w:rtl/>
        </w:rPr>
        <w:t xml:space="preserve"> ופקודי מחוברות – משום שאפשר להבחין באותיות “</w:t>
      </w:r>
      <w:proofErr w:type="spellStart"/>
      <w:r>
        <w:rPr>
          <w:rtl/>
        </w:rPr>
        <w:t>תנר</w:t>
      </w:r>
      <w:proofErr w:type="spellEnd"/>
      <w:r>
        <w:rPr>
          <w:rtl/>
        </w:rPr>
        <w:t>” אחרי המילה “שנת”. רבה של קניגסברג החליף את סדר האותיות הראשונות של ראשי התיבות של השנה, שנכתבות בדרך כלל ברצף, וכתב “</w:t>
      </w:r>
      <w:proofErr w:type="spellStart"/>
      <w:r>
        <w:rPr>
          <w:rtl/>
        </w:rPr>
        <w:t>תנר</w:t>
      </w:r>
      <w:proofErr w:type="spellEnd"/>
      <w:r>
        <w:rPr>
          <w:rtl/>
        </w:rPr>
        <w:t>” במקום “</w:t>
      </w:r>
      <w:proofErr w:type="spellStart"/>
      <w:r>
        <w:rPr>
          <w:rtl/>
        </w:rPr>
        <w:t>תרנ</w:t>
      </w:r>
      <w:proofErr w:type="spellEnd"/>
      <w:r>
        <w:rPr>
          <w:rtl/>
        </w:rPr>
        <w:t>”, משום שהאחרונה, כמילה, פירושה “</w:t>
      </w:r>
      <w:proofErr w:type="spellStart"/>
      <w:r>
        <w:rPr>
          <w:rtl/>
        </w:rPr>
        <w:t>תָּרֹן</w:t>
      </w:r>
      <w:proofErr w:type="spellEnd"/>
      <w:r>
        <w:rPr>
          <w:rtl/>
        </w:rPr>
        <w:t xml:space="preserve">”, ואינה הולמת איגרת </w:t>
      </w:r>
      <w:r>
        <w:rPr>
          <w:rtl/>
        </w:rPr>
        <w:lastRenderedPageBreak/>
        <w:t>בתוכן כזה. אם אכן נכתב בשנת תרנ״א, התאריך המלא של המכתב היה כ״ג באדר א׳ (3 במרץ 1891)</w:t>
      </w:r>
      <w:bookmarkStart w:id="2476" w:name="_fnr1628"/>
      <w:bookmarkEnd w:id="2476"/>
      <w:r>
        <w:rPr>
          <w:rStyle w:val="a5"/>
        </w:rPr>
        <w:t/>
      </w:r>
      <w:bookmarkStart w:id="7015" w:name="_TranslatorNote_1627"/>
      <w:r>
        <w:rPr>
          <w:rStyle w:val="a5"/>
          <w:vertAlign w:val="superscript"/>
          <w:rtl/>
        </w:rPr>
        <w:footnoteReference w:id="1631" w:customMarkFollows="1"/>
        <w:t>*</w:t>
      </w:r>
      <w:bookmarkEnd w:id="7015"/>
      <w:r>
        <w:rPr>
          <w:rtl/>
        </w:rPr>
        <w:t>.</w:t>
      </w:r>
    </w:p>
    <w:p w14:paraId="3C821D2D" w14:textId="77777777" w:rsidR="00AB3647" w:rsidRDefault="00000000" w:rsidP="007923E9">
      <w:pPr>
        <w:spacing w:after="120" w:line="276" w:lineRule="auto"/>
        <w:ind w:firstLine="283"/>
        <w:jc w:val="both"/>
      </w:pPr>
      <w:r>
        <w:rPr>
          <w:rtl/>
        </w:rPr>
        <w:t>כך או כך, יש לשער שמשפחת ר׳ ישראל לא הקימה מצבה בשנה השלישית לפטירתו (או בשמינית, לפי ההשערה) משום שחשו שר׳ ישראל העדיף “לא... להיות”,</w:t>
      </w:r>
      <w:bookmarkStart w:id="2477" w:name="_fnr1629"/>
      <w:bookmarkStart w:id="2478" w:name="pr_f_1539"/>
      <w:r>
        <w:rPr>
          <w:rStyle w:val="a5"/>
        </w:rPr>
        <w:footnoteReference w:id="1632" w:customMarkFollows="0"/>
      </w:r>
      <w:bookmarkEnd w:id="2477"/>
      <w:bookmarkEnd w:id="2478"/>
      <w:r>
        <w:rPr>
          <w:rtl/>
        </w:rPr>
        <w:t xml:space="preserve"> כמו הסבא </w:t>
      </w:r>
      <w:proofErr w:type="spellStart"/>
      <w:r>
        <w:rPr>
          <w:rtl/>
        </w:rPr>
        <w:t>מסלבודקה</w:t>
      </w:r>
      <w:proofErr w:type="spellEnd"/>
      <w:r>
        <w:rPr>
          <w:rtl/>
        </w:rPr>
        <w:t xml:space="preserve"> ואנשי קלם. ואכן, ייתכן שר׳ ישראל ציווה עליהם שלא להקים מצבה, ומשפחתו, שלא ידעה על התשובה הנדירה שציטט הסטייפלר</w:t>
      </w:r>
      <w:proofErr w:type="spellStart"/>
      <w:r>
        <w:rPr>
          <w:rtl/>
        </w:rPr>
        <w:t xml:space="preserve"/>
      </w:r>
      <w:proofErr w:type="spellEnd"/>
      <w:r>
        <w:rPr>
          <w:rtl/>
        </w:rPr>
        <w:t>, מילאה את רצונו.</w:t>
      </w:r>
    </w:p>
    <w:p w14:paraId="66A618F1" w14:textId="77777777" w:rsidR="00AB3647" w:rsidRDefault="00000000" w:rsidP="007923E9">
      <w:pPr>
        <w:spacing w:after="120" w:line="276" w:lineRule="auto"/>
        <w:ind w:firstLine="283"/>
        <w:jc w:val="both"/>
      </w:pPr>
      <w:r>
        <w:rPr>
          <w:rtl/>
        </w:rPr>
        <w:t>אפשר גם לשער שהעשיר מברלין שהציע לשלם עבור המצבה לא היה אלא תומך כולל קובנה, אמיל (עובדיה) לחמן. הוא פגש את ר׳ ישראל והושפע ממנו,</w:t>
      </w:r>
      <w:bookmarkStart w:id="2479" w:name="_fnr1630"/>
      <w:r>
        <w:rPr>
          <w:rStyle w:val="a5"/>
        </w:rPr>
        <w:footnoteReference w:id="1633" w:customMarkFollows="0"/>
      </w:r>
      <w:bookmarkEnd w:id="2479"/>
      <w:r>
        <w:rPr>
          <w:rtl/>
        </w:rPr>
        <w:t xml:space="preserve"> והיה קרוב בכלל לבעלי המוסר.</w:t>
      </w:r>
      <w:bookmarkStart w:id="2480" w:name="_fnr1631"/>
      <w:r>
        <w:rPr>
          <w:rStyle w:val="a5"/>
        </w:rPr>
        <w:footnoteReference w:id="1634" w:customMarkFollows="0"/>
      </w:r>
      <w:bookmarkEnd w:id="2480"/>
      <w:r>
        <w:rPr>
          <w:rtl/>
        </w:rPr>
        <w:t xml:space="preserve"> ייתכן שלחמן הוא גם “גביר אחד </w:t>
      </w:r>
      <w:r>
        <w:rPr>
          <w:b/>
          <w:bCs/>
          <w:rtl/>
        </w:rPr>
        <w:t>מקצה</w:t>
      </w:r>
      <w:r>
        <w:rPr>
          <w:rtl/>
        </w:rPr>
        <w:t xml:space="preserve"> ארץ אשכנז”</w:t>
      </w:r>
      <w:bookmarkStart w:id="2481" w:name="_fnr1632"/>
      <w:bookmarkStart w:id="2482" w:name="pr_f_1542"/>
      <w:r>
        <w:rPr>
          <w:rStyle w:val="a5"/>
        </w:rPr>
        <w:footnoteReference w:id="1635" w:customMarkFollows="0"/>
      </w:r>
      <w:bookmarkEnd w:id="2481"/>
      <w:bookmarkEnd w:id="2482"/>
      <w:r>
        <w:rPr>
          <w:rtl/>
        </w:rPr>
        <w:t xml:space="preserve"> שהציע לקנות </w:t>
      </w:r>
      <w:proofErr w:type="spellStart"/>
      <w:r>
        <w:rPr>
          <w:rtl/>
        </w:rPr>
        <w:t>לר</w:t>
      </w:r>
      <w:proofErr w:type="spellEnd"/>
      <w:r>
        <w:rPr>
          <w:rtl/>
        </w:rPr>
        <w:t xml:space="preserve">׳ ישראל </w:t>
      </w:r>
      <w:proofErr w:type="spellStart"/>
      <w:r>
        <w:rPr>
          <w:rtl/>
        </w:rPr>
        <w:t>סלנטר</w:t>
      </w:r>
      <w:proofErr w:type="spellEnd"/>
      <w:r>
        <w:rPr>
          <w:rtl/>
        </w:rPr>
        <w:t xml:space="preserve"> טלית חדשה ונדחה, כפי שמספר ר׳ </w:t>
      </w:r>
      <w:proofErr w:type="spellStart"/>
      <w:r>
        <w:rPr>
          <w:rtl/>
        </w:rPr>
        <w:t>איצל׳ה</w:t>
      </w:r>
      <w:proofErr w:type="spellEnd"/>
      <w:r>
        <w:rPr>
          <w:rtl/>
        </w:rPr>
        <w:t xml:space="preserve"> </w:t>
      </w:r>
      <w:proofErr w:type="spellStart"/>
      <w:r>
        <w:rPr>
          <w:rtl/>
        </w:rPr>
        <w:t>בלאזר</w:t>
      </w:r>
      <w:proofErr w:type="spellEnd"/>
      <w:r>
        <w:rPr>
          <w:rtl/>
        </w:rPr>
        <w:t xml:space="preserve"> בחלק “נתיבות אור” של “אור ישראל”.</w:t>
      </w:r>
      <w:bookmarkStart w:id="2483" w:name="_fnr1633"/>
      <w:r>
        <w:rPr>
          <w:rStyle w:val="a5"/>
        </w:rPr>
        <w:footnoteReference w:id="1636" w:customMarkFollows="0"/>
      </w:r>
      <w:bookmarkEnd w:id="2483"/>
    </w:p>
    <w:p w14:paraId="0D17CE57" w14:textId="77777777" w:rsidR="00AB3647" w:rsidRDefault="00000000" w:rsidP="007923E9">
      <w:pPr>
        <w:pStyle w:val="4"/>
        <w:spacing w:line="276" w:lineRule="auto"/>
      </w:pPr>
      <w:r>
        <w:t>· הפסקה השנייה ·</w:t>
      </w:r>
    </w:p>
    <w:p w14:paraId="65538B96" w14:textId="77777777" w:rsidR="00AB3647" w:rsidRDefault="00000000" w:rsidP="007923E9">
      <w:pPr>
        <w:pStyle w:val="5"/>
        <w:spacing w:line="276" w:lineRule="auto"/>
      </w:pPr>
      <w:r>
        <w:t xml:space="preserve">רבנו מסרב לקבל זכויות יתר – הוא אינו מבין שר׳ </w:t>
      </w:r>
      <w:proofErr w:type="spellStart"/>
      <w:r>
        <w:t>משה־מרדכי</w:t>
      </w:r>
      <w:proofErr w:type="spellEnd"/>
      <w:r>
        <w:t xml:space="preserve"> אפשטיין רואה בו תלמיד מן המעולים – הוא יודע הרבה יותר ממה שהוא חושב – </w:t>
      </w:r>
      <w:proofErr w:type="spellStart"/>
      <w:r>
        <w:t>לר</w:t>
      </w:r>
      <w:proofErr w:type="spellEnd"/>
      <w:r>
        <w:t>׳ אהרן קוטלר לא חסר ביטחון עצמי – רבנו אינו מכין נאום מראש</w:t>
      </w:r>
    </w:p>
    <w:p w14:paraId="511EEB3C" w14:textId="77777777" w:rsidR="00AB3647" w:rsidRDefault="00000000" w:rsidP="007923E9">
      <w:pPr>
        <w:spacing w:after="120" w:line="276" w:lineRule="auto"/>
        <w:ind w:firstLine="283"/>
        <w:jc w:val="both"/>
      </w:pPr>
      <w:r>
        <w:rPr>
          <w:rtl/>
        </w:rPr>
        <w:t xml:space="preserve">לדעתי, מבין תלמידי הסבא היה רבנו הקרוב ביותר לרבם בענוותנותו. איש לא היה מופתע יותר מאבי מכך שנכתבים עליו ספרים! דוגמה לכך סיפר לי ר׳ יוסף </w:t>
      </w:r>
      <w:proofErr w:type="spellStart"/>
      <w:r>
        <w:rPr>
          <w:rtl/>
        </w:rPr>
        <w:t>שלוסברג</w:t>
      </w:r>
      <w:proofErr w:type="spellEnd"/>
      <w:r>
        <w:rPr>
          <w:rtl/>
        </w:rPr>
        <w:t>.</w:t>
      </w:r>
      <w:bookmarkStart w:id="2484" w:name="_fnr1634"/>
      <w:r>
        <w:rPr>
          <w:rStyle w:val="a5"/>
        </w:rPr>
        <w:footnoteReference w:id="1637" w:customMarkFollows="0"/>
      </w:r>
      <w:bookmarkEnd w:id="2484"/>
      <w:r>
        <w:rPr>
          <w:rtl/>
        </w:rPr>
        <w:t xml:space="preserve"> ר׳ יוסף היה אחראי על הסבת מערכות מחשב חדשות בבנק </w:t>
      </w:r>
      <w:proofErr w:type="spellStart"/>
      <w:r>
        <w:rPr>
          <w:rtl/>
        </w:rPr>
        <w:t>כמיקל</w:t>
      </w:r>
      <w:proofErr w:type="spellEnd"/>
      <w:r>
        <w:rPr>
          <w:rtl/>
        </w:rPr>
        <w:t xml:space="preserve">. לבדיקת המערכות החדשות נבחר חשבון באקראי, וקרה שעלה חשבונו של אבי בסניף ספרינג ואלי של </w:t>
      </w:r>
      <w:proofErr w:type="spellStart"/>
      <w:r>
        <w:rPr>
          <w:rtl/>
        </w:rPr>
        <w:t>כמיקל</w:t>
      </w:r>
      <w:proofErr w:type="spellEnd"/>
      <w:r>
        <w:rPr>
          <w:rtl/>
        </w:rPr>
        <w:t xml:space="preserve">. כשראה מר </w:t>
      </w:r>
      <w:proofErr w:type="spellStart"/>
      <w:r>
        <w:rPr>
          <w:rtl/>
        </w:rPr>
        <w:t>שלוסברג</w:t>
      </w:r>
      <w:proofErr w:type="spellEnd"/>
      <w:r>
        <w:rPr>
          <w:rtl/>
        </w:rPr>
        <w:t xml:space="preserve"> שזהו חשבון רגיל, הצמיד לו במחשב סימון “אדם חשוב מאוד”.</w:t>
      </w:r>
    </w:p>
    <w:p w14:paraId="2A332C4C" w14:textId="77777777" w:rsidR="00AB3647" w:rsidRDefault="00000000" w:rsidP="007923E9">
      <w:pPr>
        <w:spacing w:after="120" w:line="276" w:lineRule="auto"/>
        <w:ind w:firstLine="283"/>
        <w:jc w:val="both"/>
      </w:pPr>
      <w:r>
        <w:rPr>
          <w:rtl/>
        </w:rPr>
        <w:lastRenderedPageBreak/>
        <w:t xml:space="preserve">מנהל סניף ספרינג ואלי ראה את הסימון, והורה לפקידי הקופה שלו להודיע לו בפעם הבאה </w:t>
      </w:r>
      <w:proofErr w:type="spellStart"/>
      <w:r>
        <w:rPr>
          <w:rtl/>
        </w:rPr>
        <w:t>ש“הרב</w:t>
      </w:r>
      <w:proofErr w:type="spellEnd"/>
      <w:r>
        <w:rPr>
          <w:rtl/>
        </w:rPr>
        <w:t xml:space="preserve"> יעקב </w:t>
      </w:r>
      <w:proofErr w:type="spellStart"/>
      <w:r>
        <w:rPr>
          <w:rtl/>
        </w:rPr>
        <w:t>קמינצקי</w:t>
      </w:r>
      <w:proofErr w:type="spellEnd"/>
      <w:r>
        <w:rPr>
          <w:rtl/>
        </w:rPr>
        <w:t xml:space="preserve">” ייכנס לבנק. כשהדבר אירע לבסוף, יצא המנהל לקבל את פני אבי, והתנצל על שלא העניק לו את היחס המיוחד שאדם חשוב מאוד ראוי לו – למשל, שלא יצטרך לעמוד בתור לפני הקופה, שיכובדו שיקים שנמשכו מחשבון ביתרת חובה ושהפקדות שיקים ייזקפו לזכותו מיד. הלקוח המופתע השיב: “מדוע אקבל יחס מיוחד? אני כאחד משאר לקוחותיך”. המנהל התקשר </w:t>
      </w:r>
      <w:proofErr w:type="spellStart"/>
      <w:r>
        <w:rPr>
          <w:rtl/>
        </w:rPr>
        <w:t>לר</w:t>
      </w:r>
      <w:proofErr w:type="spellEnd"/>
      <w:r>
        <w:rPr>
          <w:rtl/>
        </w:rPr>
        <w:t xml:space="preserve">׳ יוסף </w:t>
      </w:r>
      <w:proofErr w:type="spellStart"/>
      <w:r>
        <w:rPr>
          <w:rtl/>
        </w:rPr>
        <w:t>שלוסברג</w:t>
      </w:r>
      <w:proofErr w:type="spellEnd"/>
      <w:r>
        <w:rPr>
          <w:rtl/>
        </w:rPr>
        <w:t xml:space="preserve"> ואמר שוודאי נפלה טעות, שכן מעולם לא ראה “אדם חשוב מאוד” שדוחה הצעה לקבל יחס כזה. ר׳ יוסף נאלץ להסביר למנהל הגוי שאצל יהודים נאמנים, ככל שהאדם חשוב יותר כן גדולה ענוותנותו, והביא את תיאורו של “היהודי הגדול ביותר שחי אי פעם, משה” במקרא: “ענו מאד מכל האדם אשר על פני האדמה”.</w:t>
      </w:r>
      <w:bookmarkStart w:id="2485" w:name="_fnr1635"/>
      <w:r>
        <w:rPr>
          <w:rStyle w:val="a5"/>
        </w:rPr>
        <w:footnoteReference w:id="1638" w:customMarkFollows="0"/>
      </w:r>
      <w:bookmarkEnd w:id="2485"/>
    </w:p>
    <w:p w14:paraId="08372EBD" w14:textId="77777777" w:rsidR="00AB3647" w:rsidRDefault="00000000" w:rsidP="007923E9">
      <w:pPr>
        <w:spacing w:after="120" w:line="276" w:lineRule="auto"/>
        <w:ind w:firstLine="283"/>
        <w:jc w:val="both"/>
      </w:pPr>
      <w:r>
        <w:rPr>
          <w:rtl/>
        </w:rPr>
        <w:t>ר׳ נתן שטרן</w:t>
      </w:r>
      <w:bookmarkStart w:id="2486" w:name="_fnr1636"/>
      <w:r>
        <w:rPr>
          <w:rStyle w:val="a5"/>
        </w:rPr>
        <w:footnoteReference w:id="1639" w:customMarkFollows="0"/>
      </w:r>
      <w:bookmarkEnd w:id="2486"/>
      <w:r>
        <w:rPr>
          <w:rtl/>
        </w:rPr>
        <w:t xml:space="preserve"> ציין שבכ״ח בתשרי תשל״ט ביקר אצל אבי </w:t>
      </w:r>
      <w:proofErr w:type="spellStart"/>
      <w:r>
        <w:rPr>
          <w:rtl/>
        </w:rPr>
        <w:t>במונסי</w:t>
      </w:r>
      <w:proofErr w:type="spellEnd"/>
      <w:r>
        <w:rPr>
          <w:rtl/>
        </w:rPr>
        <w:t xml:space="preserve"> נכדו של ר׳ </w:t>
      </w:r>
      <w:proofErr w:type="spellStart"/>
      <w:r>
        <w:rPr>
          <w:rtl/>
        </w:rPr>
        <w:t>ישראל־זיסל</w:t>
      </w:r>
      <w:proofErr w:type="spellEnd"/>
      <w:r>
        <w:rPr>
          <w:rtl/>
        </w:rPr>
        <w:t xml:space="preserve"> </w:t>
      </w:r>
      <w:proofErr w:type="spellStart"/>
      <w:r>
        <w:rPr>
          <w:rtl/>
        </w:rPr>
        <w:t>דבורץ</w:t>
      </w:r>
      <w:proofErr w:type="spellEnd"/>
      <w:r>
        <w:rPr>
          <w:rtl/>
        </w:rPr>
        <w:t xml:space="preserve">, והראה לו מכתב שמצא בין ניירות סבו. את המכתב כתב ר׳ </w:t>
      </w:r>
      <w:proofErr w:type="spellStart"/>
      <w:r>
        <w:rPr>
          <w:rtl/>
        </w:rPr>
        <w:t>משה־מרדכי</w:t>
      </w:r>
      <w:proofErr w:type="spellEnd"/>
      <w:r>
        <w:rPr>
          <w:rtl/>
        </w:rPr>
        <w:t xml:space="preserve"> אפשטיין בחורף תרפ״ו, בעניין מועמדותו של אבי לרבנות העיירה </w:t>
      </w:r>
      <w:proofErr w:type="spellStart"/>
      <w:r>
        <w:rPr>
          <w:rtl/>
        </w:rPr>
        <w:t>יעזנה</w:t>
      </w:r>
      <w:proofErr w:type="spellEnd"/>
      <w:r>
        <w:rPr>
          <w:rtl/>
        </w:rPr>
        <w:t>.</w:t>
      </w:r>
      <w:bookmarkStart w:id="2487" w:name="_fnr1637"/>
      <w:r>
        <w:rPr>
          <w:rStyle w:val="a5"/>
        </w:rPr>
        <w:footnoteReference w:id="1640" w:customMarkFollows="0"/>
      </w:r>
      <w:bookmarkEnd w:id="2487"/>
      <w:r>
        <w:rPr>
          <w:rtl/>
        </w:rPr>
        <w:t xml:space="preserve"> ר׳ </w:t>
      </w:r>
      <w:proofErr w:type="spellStart"/>
      <w:r>
        <w:rPr>
          <w:rtl/>
        </w:rPr>
        <w:t>משה־מרדכי</w:t>
      </w:r>
      <w:proofErr w:type="spellEnd"/>
      <w:r>
        <w:rPr>
          <w:rtl/>
        </w:rPr>
        <w:t xml:space="preserve"> משבח בו את רבנו שבחים מופלגים, וממליץ </w:t>
      </w:r>
      <w:proofErr w:type="spellStart"/>
      <w:r>
        <w:rPr>
          <w:rtl/>
        </w:rPr>
        <w:t>לר</w:t>
      </w:r>
      <w:proofErr w:type="spellEnd"/>
      <w:r>
        <w:rPr>
          <w:rtl/>
        </w:rPr>
        <w:t xml:space="preserve">׳ </w:t>
      </w:r>
      <w:proofErr w:type="spellStart"/>
      <w:r>
        <w:rPr>
          <w:rtl/>
        </w:rPr>
        <w:t>ישראל־זיסל</w:t>
      </w:r>
      <w:proofErr w:type="spellEnd"/>
      <w:r>
        <w:rPr>
          <w:rtl/>
        </w:rPr>
        <w:t xml:space="preserve"> </w:t>
      </w:r>
      <w:proofErr w:type="spellStart"/>
      <w:r>
        <w:rPr>
          <w:rtl/>
        </w:rPr>
        <w:t>דבורץ</w:t>
      </w:r>
      <w:proofErr w:type="spellEnd"/>
      <w:r>
        <w:rPr>
          <w:rtl/>
        </w:rPr>
        <w:t xml:space="preserve">, רבה הפורש של </w:t>
      </w:r>
      <w:proofErr w:type="spellStart"/>
      <w:r>
        <w:rPr>
          <w:rtl/>
        </w:rPr>
        <w:t>יעזנה</w:t>
      </w:r>
      <w:proofErr w:type="spellEnd"/>
      <w:r>
        <w:rPr>
          <w:rtl/>
        </w:rPr>
        <w:t xml:space="preserve">, שעלה אז לארץ ישראל, שידאג להעמיד לעירו ממלא מקום ראוי – את רבנו. כשקרא אבי מה כתב עליו ר׳ </w:t>
      </w:r>
      <w:proofErr w:type="spellStart"/>
      <w:r>
        <w:rPr>
          <w:rtl/>
        </w:rPr>
        <w:t>משה־מרדכי</w:t>
      </w:r>
      <w:proofErr w:type="spellEnd"/>
      <w:r>
        <w:rPr>
          <w:rtl/>
        </w:rPr>
        <w:t xml:space="preserve">, העיר בהפתעה: “נראה מן המכתב שר׳ </w:t>
      </w:r>
      <w:proofErr w:type="spellStart"/>
      <w:r>
        <w:rPr>
          <w:rtl/>
        </w:rPr>
        <w:t>משה־מרדכי</w:t>
      </w:r>
      <w:proofErr w:type="spellEnd"/>
      <w:r>
        <w:rPr>
          <w:rtl/>
        </w:rPr>
        <w:t xml:space="preserve"> החזיק ממני עולם ומלואו!”. בענוותנותו לא ידע, עד שקרא את המכתב, שראש ישיבתו ראה בו תלמיד מן המעולים.</w:t>
      </w:r>
    </w:p>
    <w:p w14:paraId="4808B4F1" w14:textId="77777777" w:rsidR="00AB3647" w:rsidRDefault="00000000" w:rsidP="007923E9">
      <w:pPr>
        <w:spacing w:after="120" w:line="276" w:lineRule="auto"/>
        <w:ind w:firstLine="283"/>
        <w:jc w:val="both"/>
      </w:pPr>
      <w:r>
        <w:rPr>
          <w:rtl/>
        </w:rPr>
        <w:t xml:space="preserve">ביטוי נוסף לענוותנותו מסר נכד אחר של ר׳ </w:t>
      </w:r>
      <w:proofErr w:type="spellStart"/>
      <w:r>
        <w:rPr>
          <w:rtl/>
        </w:rPr>
        <w:t>ישראל־זיסל</w:t>
      </w:r>
      <w:proofErr w:type="spellEnd"/>
      <w:r>
        <w:rPr>
          <w:rtl/>
        </w:rPr>
        <w:t xml:space="preserve"> </w:t>
      </w:r>
      <w:proofErr w:type="spellStart"/>
      <w:r>
        <w:rPr>
          <w:rtl/>
        </w:rPr>
        <w:t>דבורץ</w:t>
      </w:r>
      <w:proofErr w:type="spellEnd"/>
      <w:r>
        <w:rPr>
          <w:rtl/>
        </w:rPr>
        <w:t xml:space="preserve">, ר׳ משה </w:t>
      </w:r>
      <w:proofErr w:type="spellStart"/>
      <w:r>
        <w:rPr>
          <w:rtl/>
        </w:rPr>
        <w:t>דבורץ</w:t>
      </w:r>
      <w:proofErr w:type="spellEnd"/>
      <w:r>
        <w:rPr>
          <w:rtl/>
        </w:rPr>
        <w:t>,</w:t>
      </w:r>
      <w:bookmarkStart w:id="2488" w:name="_fnr1638"/>
      <w:r>
        <w:rPr>
          <w:rStyle w:val="a5"/>
        </w:rPr>
        <w:footnoteReference w:id="1641" w:customMarkFollows="0"/>
      </w:r>
      <w:bookmarkEnd w:id="2488"/>
      <w:r>
        <w:rPr>
          <w:rtl/>
        </w:rPr>
        <w:t xml:space="preserve"> שפגש את אבי בנתניה בעת ביקורו של זה בארץ ישראל בשנת תשכ״ג. כשהציג ר׳ משה את עצמו ואמר מי היה סבו, אמר אבי: “אני אומר לך מי היה סבך. ניסיתי לרשת את מקומו ברבנות </w:t>
      </w:r>
      <w:proofErr w:type="spellStart"/>
      <w:r>
        <w:rPr>
          <w:rtl/>
        </w:rPr>
        <w:t>יעזנה</w:t>
      </w:r>
      <w:proofErr w:type="spellEnd"/>
      <w:r>
        <w:rPr>
          <w:rtl/>
        </w:rPr>
        <w:t>, אבל לא קיבלו אותי משום שלא הייתי ראוי להחליפו”.</w:t>
      </w:r>
    </w:p>
    <w:p w14:paraId="111268CE" w14:textId="77777777" w:rsidR="00AB3647" w:rsidRDefault="00000000" w:rsidP="007923E9">
      <w:pPr>
        <w:spacing w:after="120" w:line="276" w:lineRule="auto"/>
        <w:ind w:firstLine="283"/>
        <w:jc w:val="both"/>
      </w:pPr>
      <w:r>
        <w:rPr>
          <w:rtl/>
        </w:rPr>
        <w:t xml:space="preserve">והנה, ר׳ </w:t>
      </w:r>
      <w:proofErr w:type="spellStart"/>
      <w:r>
        <w:rPr>
          <w:rtl/>
        </w:rPr>
        <w:t>משה־מרדכי</w:t>
      </w:r>
      <w:proofErr w:type="spellEnd"/>
      <w:r>
        <w:rPr>
          <w:rtl/>
        </w:rPr>
        <w:t xml:space="preserve"> שלח את מכתב ההמלצה </w:t>
      </w:r>
      <w:proofErr w:type="spellStart"/>
      <w:r>
        <w:rPr>
          <w:rtl/>
        </w:rPr>
        <w:t>לר</w:t>
      </w:r>
      <w:proofErr w:type="spellEnd"/>
      <w:r>
        <w:rPr>
          <w:rtl/>
        </w:rPr>
        <w:t xml:space="preserve">׳ </w:t>
      </w:r>
      <w:proofErr w:type="spellStart"/>
      <w:r>
        <w:rPr>
          <w:rtl/>
        </w:rPr>
        <w:t>ישראל־זיסל</w:t>
      </w:r>
      <w:proofErr w:type="spellEnd"/>
      <w:r>
        <w:rPr>
          <w:rtl/>
        </w:rPr>
        <w:t xml:space="preserve"> באמצעות רבנו!</w:t>
      </w:r>
      <w:bookmarkStart w:id="2489" w:name="_fnr1639"/>
      <w:r>
        <w:rPr>
          <w:rStyle w:val="a5"/>
        </w:rPr>
        <w:footnoteReference w:id="1642" w:customMarkFollows="0"/>
      </w:r>
      <w:bookmarkEnd w:id="2489"/>
      <w:r>
        <w:rPr>
          <w:rtl/>
        </w:rPr>
        <w:t xml:space="preserve"> ר׳ </w:t>
      </w:r>
      <w:proofErr w:type="spellStart"/>
      <w:r>
        <w:rPr>
          <w:rtl/>
        </w:rPr>
        <w:t>משה־מרדכי</w:t>
      </w:r>
      <w:proofErr w:type="spellEnd"/>
      <w:r>
        <w:rPr>
          <w:rtl/>
        </w:rPr>
        <w:t xml:space="preserve"> ציפה כנראה שר׳ </w:t>
      </w:r>
      <w:proofErr w:type="spellStart"/>
      <w:r>
        <w:rPr>
          <w:rtl/>
        </w:rPr>
        <w:t>ישראל־זיסל</w:t>
      </w:r>
      <w:proofErr w:type="spellEnd"/>
      <w:r>
        <w:rPr>
          <w:rtl/>
        </w:rPr>
        <w:t xml:space="preserve"> יראה את המכתב לאבי אחרי שיפתח אותו. ר׳ </w:t>
      </w:r>
      <w:proofErr w:type="spellStart"/>
      <w:r>
        <w:rPr>
          <w:rtl/>
        </w:rPr>
        <w:t>ישראל־זיסל</w:t>
      </w:r>
      <w:proofErr w:type="spellEnd"/>
      <w:r>
        <w:rPr>
          <w:rtl/>
        </w:rPr>
        <w:t xml:space="preserve">, מצדו, הניח שר׳ </w:t>
      </w:r>
      <w:proofErr w:type="spellStart"/>
      <w:r>
        <w:rPr>
          <w:rtl/>
        </w:rPr>
        <w:t>משה־מרדכי</w:t>
      </w:r>
      <w:proofErr w:type="spellEnd"/>
      <w:r>
        <w:rPr>
          <w:rtl/>
        </w:rPr>
        <w:t xml:space="preserve"> הראה את המכתב לאבי לפני שסגר אותו. וכך לא ראה רבנו את תוכן המכתב עד יותר מחצי מאה לאחר מכן – ולעולם לא היה יודע מה היה כתוב בו אילולא מצא אותו נכדו של ר׳ </w:t>
      </w:r>
      <w:proofErr w:type="spellStart"/>
      <w:r>
        <w:rPr>
          <w:rtl/>
        </w:rPr>
        <w:t>ישראל־זיסל</w:t>
      </w:r>
      <w:proofErr w:type="spellEnd"/>
      <w:r>
        <w:rPr>
          <w:rtl/>
        </w:rPr>
        <w:t xml:space="preserve"> </w:t>
      </w:r>
      <w:proofErr w:type="spellStart"/>
      <w:r>
        <w:rPr>
          <w:rtl/>
        </w:rPr>
        <w:t>דבורץ</w:t>
      </w:r>
      <w:proofErr w:type="spellEnd"/>
      <w:r>
        <w:rPr>
          <w:rtl/>
        </w:rPr>
        <w:t xml:space="preserve"> והראה לו. אגב, נכד נוסף של ר׳ </w:t>
      </w:r>
      <w:proofErr w:type="spellStart"/>
      <w:r>
        <w:rPr>
          <w:rtl/>
        </w:rPr>
        <w:t>ישראל־זיסל</w:t>
      </w:r>
      <w:proofErr w:type="spellEnd"/>
      <w:r>
        <w:rPr>
          <w:rtl/>
        </w:rPr>
        <w:t xml:space="preserve"> </w:t>
      </w:r>
      <w:proofErr w:type="spellStart"/>
      <w:r>
        <w:rPr>
          <w:rtl/>
        </w:rPr>
        <w:t>דבורץ</w:t>
      </w:r>
      <w:proofErr w:type="spellEnd"/>
      <w:r>
        <w:rPr>
          <w:rtl/>
        </w:rPr>
        <w:t>, ר׳ דוד ויסקי, סיפר</w:t>
      </w:r>
      <w:bookmarkStart w:id="2490" w:name="_fnr1640"/>
      <w:r>
        <w:rPr>
          <w:rStyle w:val="a5"/>
        </w:rPr>
        <w:footnoteReference w:id="1643" w:customMarkFollows="0"/>
      </w:r>
      <w:bookmarkEnd w:id="2490"/>
      <w:r>
        <w:rPr>
          <w:rtl/>
        </w:rPr>
        <w:t xml:space="preserve"> שאבי סיפר כי ר׳ </w:t>
      </w:r>
      <w:proofErr w:type="spellStart"/>
      <w:r>
        <w:rPr>
          <w:rtl/>
        </w:rPr>
        <w:t>ישראל־זיסל</w:t>
      </w:r>
      <w:proofErr w:type="spellEnd"/>
      <w:r>
        <w:rPr>
          <w:rtl/>
        </w:rPr>
        <w:t xml:space="preserve">, שזה עתה חזר לליטא מביקור בארץ ישראל והתפטר מרבנות </w:t>
      </w:r>
      <w:proofErr w:type="spellStart"/>
      <w:r>
        <w:rPr>
          <w:rtl/>
        </w:rPr>
        <w:t>יעזנה</w:t>
      </w:r>
      <w:proofErr w:type="spellEnd"/>
      <w:r>
        <w:rPr>
          <w:rtl/>
        </w:rPr>
        <w:t>, אמר לו: “בארץ ישראל יש שמים אחרים וירח אחר. אני עובר לשם ולא אשוב לעולם!”.</w:t>
      </w:r>
    </w:p>
    <w:p w14:paraId="0A4B65DB" w14:textId="77777777" w:rsidR="00AB3647" w:rsidRDefault="00000000" w:rsidP="007923E9">
      <w:pPr>
        <w:spacing w:after="120" w:line="276" w:lineRule="auto"/>
        <w:ind w:firstLine="283"/>
        <w:jc w:val="both"/>
      </w:pPr>
      <w:r>
        <w:rPr>
          <w:rtl/>
        </w:rPr>
        <w:lastRenderedPageBreak/>
        <w:t>אחי ר׳ אברהם אישר</w:t>
      </w:r>
      <w:bookmarkStart w:id="2491" w:name="_fnr1641"/>
      <w:r>
        <w:rPr>
          <w:rStyle w:val="a5"/>
        </w:rPr>
        <w:footnoteReference w:id="1644" w:customMarkFollows="0"/>
      </w:r>
      <w:bookmarkEnd w:id="2491"/>
      <w:r>
        <w:rPr>
          <w:rtl/>
        </w:rPr>
        <w:t xml:space="preserve"> שרבנו אמר על עצמו שהוא סובל </w:t>
      </w:r>
      <w:proofErr w:type="spellStart"/>
      <w:r>
        <w:rPr>
          <w:rtl/>
        </w:rPr>
        <w:t>מ“תסביך</w:t>
      </w:r>
      <w:proofErr w:type="spellEnd"/>
      <w:r>
        <w:rPr>
          <w:rtl/>
        </w:rPr>
        <w:t xml:space="preserve"> נחיתות”, ותלה זאת בחולשה משפחתית. “בני </w:t>
      </w:r>
      <w:proofErr w:type="spellStart"/>
      <w:r>
        <w:rPr>
          <w:rtl/>
        </w:rPr>
        <w:t>קמינצקי</w:t>
      </w:r>
      <w:proofErr w:type="spellEnd"/>
      <w:r>
        <w:rPr>
          <w:rtl/>
        </w:rPr>
        <w:t xml:space="preserve"> – </w:t>
      </w:r>
      <w:proofErr w:type="spellStart"/>
      <w:r>
        <w:rPr>
          <w:rtl/>
        </w:rPr>
        <w:t>מיינען</w:t>
      </w:r>
      <w:proofErr w:type="spellEnd"/>
      <w:r>
        <w:rPr>
          <w:rtl/>
        </w:rPr>
        <w:t xml:space="preserve"> </w:t>
      </w:r>
      <w:proofErr w:type="spellStart"/>
      <w:r>
        <w:rPr>
          <w:rtl/>
        </w:rPr>
        <w:t>זיי</w:t>
      </w:r>
      <w:proofErr w:type="spellEnd"/>
      <w:r>
        <w:rPr>
          <w:rtl/>
        </w:rPr>
        <w:t xml:space="preserve"> </w:t>
      </w:r>
      <w:proofErr w:type="spellStart"/>
      <w:r>
        <w:rPr>
          <w:rtl/>
        </w:rPr>
        <w:t>קענען</w:t>
      </w:r>
      <w:proofErr w:type="spellEnd"/>
      <w:r>
        <w:rPr>
          <w:rtl/>
        </w:rPr>
        <w:t xml:space="preserve"> ניט [חושבים שאינם מסוגלים]”, הסביר. עוד סיפר אחי שפעם אחת רצה ר׳ אהרן קוטלר שילמד בחברותא עם תלמיד מבריק במיוחד. כשאמר אחי שהוא מרגיש שלא יוכל לעמוד בקצבו, אמר ר׳ אהרן בהתפרצות כעס: “לאביך הייתה אותה צרה </w:t>
      </w:r>
      <w:proofErr w:type="spellStart"/>
      <w:r>
        <w:rPr>
          <w:rtl/>
        </w:rPr>
        <w:t>בסלבודקה</w:t>
      </w:r>
      <w:proofErr w:type="spellEnd"/>
      <w:r>
        <w:rPr>
          <w:rtl/>
        </w:rPr>
        <w:t xml:space="preserve">; ער האט </w:t>
      </w:r>
      <w:proofErr w:type="spellStart"/>
      <w:r>
        <w:rPr>
          <w:rtl/>
        </w:rPr>
        <w:t>אלעמאל</w:t>
      </w:r>
      <w:proofErr w:type="spellEnd"/>
      <w:r>
        <w:rPr>
          <w:rtl/>
        </w:rPr>
        <w:t xml:space="preserve"> </w:t>
      </w:r>
      <w:proofErr w:type="spellStart"/>
      <w:r>
        <w:rPr>
          <w:rtl/>
        </w:rPr>
        <w:t>געמיינט</w:t>
      </w:r>
      <w:proofErr w:type="spellEnd"/>
      <w:r>
        <w:rPr>
          <w:rtl/>
        </w:rPr>
        <w:t xml:space="preserve"> אז ער </w:t>
      </w:r>
      <w:proofErr w:type="spellStart"/>
      <w:r>
        <w:rPr>
          <w:rtl/>
        </w:rPr>
        <w:t>קען</w:t>
      </w:r>
      <w:proofErr w:type="spellEnd"/>
      <w:r>
        <w:rPr>
          <w:rtl/>
        </w:rPr>
        <w:t xml:space="preserve"> ניט [הוא תמיד חשב שאינו מסוגל]. הוא תמיד חשב שהוא יודע פחות ממה שידע באמת”.</w:t>
      </w:r>
      <w:bookmarkStart w:id="2492" w:name="_fnr1642"/>
      <w:r>
        <w:rPr>
          <w:rStyle w:val="a5"/>
        </w:rPr>
        <w:footnoteReference w:id="1645" w:customMarkFollows="0"/>
      </w:r>
      <w:bookmarkEnd w:id="2492"/>
    </w:p>
    <w:p w14:paraId="098F2CD2" w14:textId="77777777" w:rsidR="00AB3647" w:rsidRDefault="00000000" w:rsidP="007923E9">
      <w:pPr>
        <w:spacing w:after="120" w:line="276" w:lineRule="auto"/>
        <w:ind w:firstLine="283"/>
        <w:jc w:val="both"/>
      </w:pPr>
      <w:r>
        <w:rPr>
          <w:rtl/>
        </w:rPr>
        <w:t xml:space="preserve">אפשר להניח </w:t>
      </w:r>
      <w:proofErr w:type="spellStart"/>
      <w:r>
        <w:rPr>
          <w:rtl/>
        </w:rPr>
        <w:t>שלר</w:t>
      </w:r>
      <w:proofErr w:type="spellEnd"/>
      <w:r>
        <w:rPr>
          <w:rtl/>
        </w:rPr>
        <w:t xml:space="preserve">׳ אהרן היה ביטחון עצמי </w:t>
      </w:r>
      <w:r>
        <w:rPr>
          <w:b/>
          <w:bCs/>
          <w:rtl/>
        </w:rPr>
        <w:t>רב מדי</w:t>
      </w:r>
      <w:r>
        <w:rPr>
          <w:rtl/>
        </w:rPr>
        <w:t>, כפי שעולה מדברי ר׳ יעקב הירשמן.</w:t>
      </w:r>
      <w:bookmarkStart w:id="2493" w:name="_fnr1643"/>
      <w:r>
        <w:rPr>
          <w:rStyle w:val="a5"/>
        </w:rPr>
        <w:footnoteReference w:id="1646" w:customMarkFollows="0"/>
      </w:r>
      <w:bookmarkEnd w:id="2493"/>
      <w:r>
        <w:rPr>
          <w:rtl/>
        </w:rPr>
        <w:t xml:space="preserve"> בגיל </w:t>
      </w:r>
      <w:proofErr w:type="spellStart"/>
      <w:r>
        <w:rPr>
          <w:rtl/>
        </w:rPr>
        <w:t>שמונה־עשרה</w:t>
      </w:r>
      <w:proofErr w:type="spellEnd"/>
      <w:r>
        <w:rPr>
          <w:rtl/>
        </w:rPr>
        <w:t xml:space="preserve"> ביקש הירשמן את עצת אבי אם להצטרף לבית מדרש גבוה, ישיבתו של ר׳ אהרן קוטלר </w:t>
      </w:r>
      <w:proofErr w:type="spellStart"/>
      <w:r>
        <w:rPr>
          <w:rtl/>
        </w:rPr>
        <w:t>בלייקווד</w:t>
      </w:r>
      <w:proofErr w:type="spellEnd"/>
      <w:r>
        <w:rPr>
          <w:rtl/>
        </w:rPr>
        <w:t xml:space="preserve">. כשהביע חשש ממבחן הכניסה שעורך ר׳ אהרן, העיר אבי: “מה ההבדל? לפני שאתה הולך לישיבתו אינך יודע ללמוד בכל מקרה; ואחרי שתהיה שם קצת, </w:t>
      </w:r>
      <w:proofErr w:type="spellStart"/>
      <w:r>
        <w:rPr>
          <w:rtl/>
        </w:rPr>
        <w:t>וועט</w:t>
      </w:r>
      <w:proofErr w:type="spellEnd"/>
      <w:r>
        <w:rPr>
          <w:rtl/>
        </w:rPr>
        <w:t xml:space="preserve"> </w:t>
      </w:r>
      <w:proofErr w:type="spellStart"/>
      <w:r>
        <w:rPr>
          <w:rtl/>
        </w:rPr>
        <w:t>שוין</w:t>
      </w:r>
      <w:proofErr w:type="spellEnd"/>
      <w:r>
        <w:rPr>
          <w:rtl/>
        </w:rPr>
        <w:t xml:space="preserve"> </w:t>
      </w:r>
      <w:proofErr w:type="spellStart"/>
      <w:r>
        <w:rPr>
          <w:rtl/>
        </w:rPr>
        <w:t>הייסען</w:t>
      </w:r>
      <w:proofErr w:type="spellEnd"/>
      <w:r>
        <w:rPr>
          <w:rtl/>
        </w:rPr>
        <w:t xml:space="preserve"> אז דו </w:t>
      </w:r>
      <w:proofErr w:type="spellStart"/>
      <w:r>
        <w:rPr>
          <w:rtl/>
        </w:rPr>
        <w:t>קענסט</w:t>
      </w:r>
      <w:proofErr w:type="spellEnd"/>
      <w:r>
        <w:rPr>
          <w:rtl/>
        </w:rPr>
        <w:t xml:space="preserve"> </w:t>
      </w:r>
      <w:proofErr w:type="spellStart"/>
      <w:r>
        <w:rPr>
          <w:rtl/>
        </w:rPr>
        <w:t>לערנען</w:t>
      </w:r>
      <w:proofErr w:type="spellEnd"/>
      <w:r>
        <w:rPr>
          <w:rtl/>
        </w:rPr>
        <w:t xml:space="preserve"> [כבר ייחשב (בעיניו) שאתה יודע ללמוד]”.</w:t>
      </w:r>
    </w:p>
    <w:p w14:paraId="54B738D9" w14:textId="77777777" w:rsidR="00AB3647" w:rsidRDefault="00000000" w:rsidP="007923E9">
      <w:pPr>
        <w:spacing w:after="120" w:line="276" w:lineRule="auto"/>
        <w:ind w:firstLine="283"/>
        <w:jc w:val="both"/>
      </w:pPr>
      <w:r>
        <w:rPr>
          <w:rtl/>
        </w:rPr>
        <w:t xml:space="preserve">אחר כך ריכך רבנו את ההערה, שנשמעה עוקצנית, והסביר: “אפשר </w:t>
      </w:r>
      <w:proofErr w:type="spellStart"/>
      <w:r>
        <w:rPr>
          <w:rtl/>
        </w:rPr>
        <w:t>דארף</w:t>
      </w:r>
      <w:proofErr w:type="spellEnd"/>
      <w:r>
        <w:rPr>
          <w:rtl/>
        </w:rPr>
        <w:t xml:space="preserve"> זיין </w:t>
      </w:r>
      <w:proofErr w:type="spellStart"/>
      <w:r>
        <w:rPr>
          <w:rtl/>
        </w:rPr>
        <w:t>אזוי</w:t>
      </w:r>
      <w:proofErr w:type="spellEnd"/>
      <w:r>
        <w:rPr>
          <w:rtl/>
        </w:rPr>
        <w:t xml:space="preserve"> [אולי כך צריך להיות]”. הוא סיפר את המעשה הבא: “הייתה מחלוקת רבה בין השאגת אריה ובין בעל ‘סדר הדורות’, ר׳ יחיאל </w:t>
      </w:r>
      <w:proofErr w:type="spellStart"/>
      <w:r>
        <w:rPr>
          <w:rtl/>
        </w:rPr>
        <w:t>היילפרין</w:t>
      </w:r>
      <w:proofErr w:type="spellEnd"/>
      <w:r>
        <w:rPr>
          <w:rtl/>
        </w:rPr>
        <w:t xml:space="preserve">, ואחר כך בנו ר׳ משה, הרבנים במינסק. </w:t>
      </w:r>
      <w:proofErr w:type="spellStart"/>
      <w:r>
        <w:rPr>
          <w:rtl/>
        </w:rPr>
        <w:t>עס</w:t>
      </w:r>
      <w:proofErr w:type="spellEnd"/>
      <w:r>
        <w:rPr>
          <w:rtl/>
        </w:rPr>
        <w:t xml:space="preserve"> האט </w:t>
      </w:r>
      <w:proofErr w:type="spellStart"/>
      <w:r>
        <w:rPr>
          <w:rtl/>
        </w:rPr>
        <w:t>זיך</w:t>
      </w:r>
      <w:proofErr w:type="spellEnd"/>
      <w:r>
        <w:rPr>
          <w:rtl/>
        </w:rPr>
        <w:t xml:space="preserve"> </w:t>
      </w:r>
      <w:proofErr w:type="spellStart"/>
      <w:r>
        <w:rPr>
          <w:rtl/>
        </w:rPr>
        <w:t>געטאהן</w:t>
      </w:r>
      <w:proofErr w:type="spellEnd"/>
      <w:r>
        <w:rPr>
          <w:rtl/>
        </w:rPr>
        <w:t xml:space="preserve"> </w:t>
      </w:r>
      <w:proofErr w:type="spellStart"/>
      <w:r>
        <w:rPr>
          <w:rtl/>
        </w:rPr>
        <w:t>אויף</w:t>
      </w:r>
      <w:proofErr w:type="spellEnd"/>
      <w:r>
        <w:rPr>
          <w:rtl/>
        </w:rPr>
        <w:t xml:space="preserve"> טיש און </w:t>
      </w:r>
      <w:proofErr w:type="spellStart"/>
      <w:r>
        <w:rPr>
          <w:rtl/>
        </w:rPr>
        <w:t>אויף</w:t>
      </w:r>
      <w:proofErr w:type="spellEnd"/>
      <w:r>
        <w:rPr>
          <w:rtl/>
        </w:rPr>
        <w:t xml:space="preserve"> בענק [היו דברים ‘על שולחנות ועל ספסלים’, ניב ביידיש שפירושו שהמצב היה סוער].</w:t>
      </w:r>
      <w:bookmarkStart w:id="2494" w:name="_fnr1644"/>
      <w:r>
        <w:rPr>
          <w:rStyle w:val="a5"/>
        </w:rPr>
        <w:footnoteReference w:id="1647" w:customMarkFollows="0"/>
      </w:r>
      <w:bookmarkEnd w:id="2494"/>
      <w:r>
        <w:rPr>
          <w:rtl/>
        </w:rPr>
        <w:t xml:space="preserve"> אחרי שנתמנה ר׳ רפאל המבורגר, תלמיד מובהק של השאגת אריה, שלא היה פוסק בתוך שלש פרסאות (של רבו)</w:t>
      </w:r>
      <w:bookmarkStart w:id="2495" w:name="_fnr1645"/>
      <w:r>
        <w:rPr>
          <w:rStyle w:val="a5"/>
        </w:rPr>
        <w:footnoteReference w:id="1648" w:customMarkFollows="0"/>
      </w:r>
      <w:bookmarkEnd w:id="2495"/>
      <w:r>
        <w:rPr>
          <w:rtl/>
        </w:rPr>
        <w:t xml:space="preserve"> ונחשב לקטן מר׳ יחיאל, חשבו שוודאי יהיה מטרה לביקורתו של השאגת אריה. להפתעת הכול שררו בין השניים שלום ושלווה גמורים. כששאלו את השאגת אריה להסביר את היחסים ביניהם, אמר: ‘</w:t>
      </w:r>
      <w:r>
        <w:rPr>
          <w:b/>
          <w:bCs/>
          <w:rtl/>
        </w:rPr>
        <w:t>תלמידי</w:t>
      </w:r>
      <w:r>
        <w:rPr>
          <w:rtl/>
        </w:rPr>
        <w:t>? הוא גאון!’”.</w:t>
      </w:r>
    </w:p>
    <w:p w14:paraId="140CBE64" w14:textId="77777777" w:rsidR="00AB3647" w:rsidRDefault="00000000" w:rsidP="007923E9">
      <w:pPr>
        <w:spacing w:after="120" w:line="276" w:lineRule="auto"/>
        <w:ind w:firstLine="283"/>
        <w:jc w:val="both"/>
      </w:pPr>
      <w:r>
        <w:rPr>
          <w:rtl/>
        </w:rPr>
        <w:t>ר׳ יוסף אליאס סיפר</w:t>
      </w:r>
      <w:bookmarkStart w:id="2496" w:name="_fnr1646"/>
      <w:r>
        <w:rPr>
          <w:rStyle w:val="a5"/>
        </w:rPr>
        <w:footnoteReference w:id="1649" w:customMarkFollows="0"/>
      </w:r>
      <w:bookmarkEnd w:id="2496"/>
      <w:r>
        <w:rPr>
          <w:rtl/>
        </w:rPr>
        <w:t xml:space="preserve"> שרבנו אמר לו שאינו מכין נאום יום לפני אמירתו, משום שאילו עשה כן לא היה יכול לישון בלילה </w:t>
      </w:r>
      <w:proofErr w:type="spellStart"/>
      <w:r>
        <w:rPr>
          <w:rtl/>
        </w:rPr>
        <w:t>מאימתא</w:t>
      </w:r>
      <w:proofErr w:type="spellEnd"/>
      <w:r>
        <w:rPr>
          <w:rtl/>
        </w:rPr>
        <w:t xml:space="preserve"> </w:t>
      </w:r>
      <w:proofErr w:type="spellStart"/>
      <w:r>
        <w:rPr>
          <w:rtl/>
        </w:rPr>
        <w:t>דציבורא</w:t>
      </w:r>
      <w:proofErr w:type="spellEnd"/>
      <w:r>
        <w:rPr>
          <w:rtl/>
        </w:rPr>
        <w:t>. לנוכח הסגנון הנינוח והעממי של אבי בדברו לפני ציבור, זהו גילוי מפליא. השווה גם בכרך 2 כיצד ניסה הסבא לעזור לאבי להתגבר על תסביכו. יש לשער שבשל האופן שבו העריך אבי את עצמו סירב לקבל זכויות יתר, משום שבעיניו היה זה חוסר יושר לקחת דבר שהרגיש שאינו ראוי לו.</w:t>
      </w:r>
    </w:p>
    <w:p w14:paraId="47F0C8D6" w14:textId="77777777" w:rsidR="00AB3647" w:rsidRDefault="00000000" w:rsidP="007923E9">
      <w:pPr>
        <w:pStyle w:val="4"/>
        <w:pageBreakBefore/>
        <w:spacing w:line="276" w:lineRule="auto"/>
      </w:pPr>
      <w:r>
        <w:lastRenderedPageBreak/>
        <w:t>· הפסקה השלישית ·</w:t>
      </w:r>
    </w:p>
    <w:p w14:paraId="7B5590A8" w14:textId="77777777" w:rsidR="00AB3647" w:rsidRDefault="00000000" w:rsidP="007923E9">
      <w:pPr>
        <w:pStyle w:val="5"/>
        <w:spacing w:line="276" w:lineRule="auto"/>
      </w:pPr>
      <w:r>
        <w:t>חברי הכולל אנשי המוסר מותקפים – המבקר טוען שגדולי התורה התכנסו כדי לגנות את האברכים – הוא מצייר תמונה מסולפת לגמרי של מטרת האספה, שעסקה למעשה במימון הכולל – מגייסים כספים למוסדות באירופה ובארץ ישראל בקרב המהגרים באמריקה – נשמעות תלונות שיש יותר מדי מגביות ברוסיה – מבקר מפי השמועה מערבב בין הכולל לישיבה</w:t>
      </w:r>
    </w:p>
    <w:p w14:paraId="1C9B71D9" w14:textId="77777777" w:rsidR="00AB3647" w:rsidRDefault="00000000" w:rsidP="007923E9">
      <w:pPr>
        <w:spacing w:after="120" w:line="276" w:lineRule="auto"/>
        <w:ind w:firstLine="283"/>
        <w:jc w:val="both"/>
      </w:pPr>
      <w:r>
        <w:rPr>
          <w:rtl/>
        </w:rPr>
        <w:t xml:space="preserve">אם נותנים אמון בדיווח </w:t>
      </w:r>
      <w:proofErr w:type="spellStart"/>
      <w:r>
        <w:rPr>
          <w:rtl/>
        </w:rPr>
        <w:t>שב“ספר</w:t>
      </w:r>
      <w:proofErr w:type="spellEnd"/>
      <w:r>
        <w:rPr>
          <w:rtl/>
        </w:rPr>
        <w:t xml:space="preserve"> </w:t>
      </w:r>
      <w:proofErr w:type="spellStart"/>
      <w:r>
        <w:rPr>
          <w:rtl/>
        </w:rPr>
        <w:t>הזכרונות</w:t>
      </w:r>
      <w:proofErr w:type="spellEnd"/>
      <w:r>
        <w:rPr>
          <w:rtl/>
        </w:rPr>
        <w:t>”,</w:t>
      </w:r>
      <w:bookmarkStart w:id="2497" w:name="_fnr1647"/>
      <w:r>
        <w:rPr>
          <w:rStyle w:val="a5"/>
        </w:rPr>
        <w:footnoteReference w:id="1650" w:customMarkFollows="0"/>
      </w:r>
      <w:bookmarkEnd w:id="2497"/>
      <w:r>
        <w:rPr>
          <w:rtl/>
        </w:rPr>
        <w:t xml:space="preserve"> עולה על הדעת סיבה אחרת להרחקת הסבא </w:t>
      </w:r>
      <w:proofErr w:type="spellStart"/>
      <w:r>
        <w:rPr>
          <w:rtl/>
        </w:rPr>
        <w:t>מסלבודקה</w:t>
      </w:r>
      <w:proofErr w:type="spellEnd"/>
      <w:r>
        <w:rPr>
          <w:rtl/>
        </w:rPr>
        <w:t xml:space="preserve"> ממינוי רשמי בהנהלת כולל קובנה. מחברו, </w:t>
      </w:r>
      <w:proofErr w:type="spellStart"/>
      <w:r>
        <w:rPr>
          <w:rtl/>
        </w:rPr>
        <w:t>אליעזר־אליהו</w:t>
      </w:r>
      <w:proofErr w:type="spellEnd"/>
      <w:r>
        <w:rPr>
          <w:rtl/>
        </w:rPr>
        <w:t xml:space="preserve"> פרידמן, מתאר בדרך משפילה זו את הכולל שהסבא ור׳ </w:t>
      </w:r>
      <w:proofErr w:type="spellStart"/>
      <w:r>
        <w:rPr>
          <w:rtl/>
        </w:rPr>
        <w:t>לייזר־יעקב</w:t>
      </w:r>
      <w:proofErr w:type="spellEnd"/>
      <w:r>
        <w:rPr>
          <w:rtl/>
        </w:rPr>
        <w:t xml:space="preserve"> </w:t>
      </w:r>
      <w:proofErr w:type="spellStart"/>
      <w:r>
        <w:rPr>
          <w:rtl/>
        </w:rPr>
        <w:t xml:space="preserve">חווס</w:t>
      </w:r>
      <w:proofErr w:type="spellEnd"/>
      <w:r>
        <w:rPr>
          <w:rtl/>
        </w:rPr>
        <w:t xml:space="preserve"> הקדימו והקימו </w:t>
      </w:r>
      <w:proofErr w:type="spellStart"/>
      <w:r>
        <w:rPr>
          <w:rtl/>
        </w:rPr>
        <w:t>בסלבודקה</w:t>
      </w:r>
      <w:proofErr w:type="spellEnd"/>
      <w:r>
        <w:rPr>
          <w:rtl/>
        </w:rPr>
        <w:t>, ושפרידמן התכוון להצטרף אליו לפני שראה אותו:</w:t>
      </w:r>
    </w:p>
    <w:p w14:paraId="126B4C34" w14:textId="77777777" w:rsidR="00AB3647" w:rsidRDefault="00000000" w:rsidP="007923E9">
      <w:pPr>
        <w:spacing w:after="120" w:line="276" w:lineRule="auto"/>
        <w:ind w:firstLine="283"/>
        <w:jc w:val="both"/>
      </w:pPr>
      <w:r>
        <w:rPr>
          <w:rtl/>
        </w:rPr>
        <w:t>“באתי לבית המדרש לעת ערב ומצאתי את האברכים עטופים בטלית ותפילין, מתנועעים ומשוטטים הלוך ושוב בחדר המרווח. אחד מזמזם חרש ניגון עצוב בעודו פוסע ומקיש באצבעותיו; אחר שקוע בספר ‘ראשית חכמה’ ונאנח, נאנח בלחש; אחר יושב קפוא ומפיק אנחה ארוכה הממלאת את כל חלל בית המדרש. כשאחד פונה אל חברו, הוא עושה זאת ברמזים, במילים עבריות קצרות וקטועות; ויש שאינם מדברים כלל, ולכל צורכיהם משתמשים בקריצות ובתנועות ידיים. הם פרושים ממש,</w:t>
      </w:r>
      <w:bookmarkStart w:id="2498" w:name="_fnr1648"/>
      <w:r>
        <w:rPr>
          <w:rStyle w:val="a5"/>
        </w:rPr>
        <w:footnoteReference w:id="1651" w:customMarkFollows="0"/>
      </w:r>
      <w:bookmarkEnd w:id="2498"/>
      <w:r>
        <w:rPr>
          <w:rtl/>
        </w:rPr>
        <w:t xml:space="preserve"> מתבודדים – פורשים מבני אדם, ממאורעות העולם, וגם מעולם התלמוד. לימוד הש״ס והפוסקים אינו אלא טפל, אבר מדולדל”.</w:t>
      </w:r>
    </w:p>
    <w:p w14:paraId="39572D79" w14:textId="77777777" w:rsidR="00AB3647" w:rsidRDefault="00000000" w:rsidP="007923E9">
      <w:pPr>
        <w:spacing w:after="120" w:line="276" w:lineRule="auto"/>
        <w:ind w:firstLine="283"/>
        <w:jc w:val="both"/>
      </w:pPr>
      <w:r>
        <w:rPr>
          <w:rtl/>
        </w:rPr>
        <w:t>עוד טוען פרידמן</w:t>
      </w:r>
      <w:bookmarkStart w:id="2499" w:name="_fnr1649"/>
      <w:r>
        <w:rPr>
          <w:rStyle w:val="a5"/>
        </w:rPr>
        <w:footnoteReference w:id="1652" w:customMarkFollows="0"/>
      </w:r>
      <w:bookmarkEnd w:id="2499"/>
      <w:r>
        <w:rPr>
          <w:rtl/>
        </w:rPr>
        <w:t xml:space="preserve"> שארגן ועד בראשות ר׳ </w:t>
      </w:r>
      <w:proofErr w:type="spellStart"/>
      <w:r>
        <w:rPr>
          <w:rtl/>
        </w:rPr>
        <w:t>מיישל</w:t>
      </w:r>
      <w:proofErr w:type="spellEnd"/>
      <w:r>
        <w:rPr>
          <w:rtl/>
        </w:rPr>
        <w:t xml:space="preserve">, רב </w:t>
      </w:r>
      <w:proofErr w:type="spellStart"/>
      <w:r>
        <w:rPr>
          <w:rtl/>
        </w:rPr>
        <w:t>אלקסוט</w:t>
      </w:r>
      <w:proofErr w:type="spellEnd"/>
      <w:r>
        <w:rPr>
          <w:rtl/>
        </w:rPr>
        <w:t>,</w:t>
      </w:r>
      <w:bookmarkStart w:id="2500" w:name="_fnr1650"/>
      <w:r>
        <w:rPr>
          <w:rStyle w:val="a5"/>
        </w:rPr>
        <w:footnoteReference w:id="1653" w:customMarkFollows="0"/>
      </w:r>
      <w:bookmarkEnd w:id="2500"/>
      <w:r>
        <w:rPr>
          <w:rtl/>
        </w:rPr>
        <w:t xml:space="preserve"> כדי לגנות את הכולל </w:t>
      </w:r>
      <w:proofErr w:type="spellStart"/>
      <w:r>
        <w:rPr>
          <w:rtl/>
        </w:rPr>
        <w:t>בסלבודקה</w:t>
      </w:r>
      <w:proofErr w:type="spellEnd"/>
      <w:r>
        <w:rPr>
          <w:rtl/>
        </w:rPr>
        <w:t xml:space="preserve"> לפני רב קובנה, ר׳ </w:t>
      </w:r>
      <w:proofErr w:type="spellStart"/>
      <w:r>
        <w:rPr>
          <w:rtl/>
        </w:rPr>
        <w:t>יצחק־אלחנן</w:t>
      </w:r>
      <w:proofErr w:type="spellEnd"/>
      <w:r>
        <w:rPr>
          <w:rtl/>
        </w:rPr>
        <w:t xml:space="preserve"> </w:t>
      </w:r>
      <w:proofErr w:type="spellStart"/>
      <w:r>
        <w:rPr>
          <w:rtl/>
        </w:rPr>
        <w:t>ספקטור</w:t>
      </w:r>
      <w:proofErr w:type="spellEnd"/>
      <w:r>
        <w:rPr>
          <w:rtl/>
        </w:rPr>
        <w:t xml:space="preserve">. לדבריו, כינס ר׳ </w:t>
      </w:r>
      <w:proofErr w:type="spellStart"/>
      <w:r>
        <w:rPr>
          <w:rtl/>
        </w:rPr>
        <w:t>יצחק־אלחנן</w:t>
      </w:r>
      <w:proofErr w:type="spellEnd"/>
      <w:r>
        <w:rPr>
          <w:rtl/>
        </w:rPr>
        <w:t xml:space="preserve"> אספה עם ר׳ ישראל </w:t>
      </w:r>
      <w:proofErr w:type="spellStart"/>
      <w:r>
        <w:rPr>
          <w:rtl/>
        </w:rPr>
        <w:t>סלנטר</w:t>
      </w:r>
      <w:proofErr w:type="spellEnd"/>
      <w:r>
        <w:rPr>
          <w:rtl/>
        </w:rPr>
        <w:t xml:space="preserve">, ר׳ </w:t>
      </w:r>
      <w:proofErr w:type="spellStart"/>
      <w:r>
        <w:rPr>
          <w:rtl/>
        </w:rPr>
        <w:t>אלכסנדר־משה</w:t>
      </w:r>
      <w:proofErr w:type="spellEnd"/>
      <w:r>
        <w:rPr>
          <w:rtl/>
        </w:rPr>
        <w:t xml:space="preserve"> לפידות ור׳ </w:t>
      </w:r>
      <w:proofErr w:type="spellStart"/>
      <w:r>
        <w:rPr>
          <w:rtl/>
        </w:rPr>
        <w:t>בן־ציון</w:t>
      </w:r>
      <w:proofErr w:type="spellEnd"/>
      <w:r>
        <w:rPr>
          <w:rtl/>
        </w:rPr>
        <w:t xml:space="preserve"> </w:t>
      </w:r>
      <w:proofErr w:type="spellStart"/>
      <w:r>
        <w:rPr>
          <w:rtl/>
        </w:rPr>
        <w:t>שטרנפלד</w:t>
      </w:r>
      <w:proofErr w:type="spellEnd"/>
      <w:r>
        <w:rPr>
          <w:rtl/>
        </w:rPr>
        <w:t>,</w:t>
      </w:r>
      <w:bookmarkStart w:id="2501" w:name="_fnr1651"/>
      <w:r>
        <w:rPr>
          <w:rStyle w:val="a5"/>
        </w:rPr>
        <w:footnoteReference w:id="1654" w:customMarkFollows="0"/>
      </w:r>
      <w:bookmarkEnd w:id="2501"/>
      <w:r>
        <w:rPr>
          <w:rtl/>
        </w:rPr>
        <w:t xml:space="preserve"> אז רב </w:t>
      </w:r>
      <w:proofErr w:type="spellStart"/>
      <w:r>
        <w:rPr>
          <w:rtl/>
        </w:rPr>
        <w:t>קלווריה</w:t>
      </w:r>
      <w:proofErr w:type="spellEnd"/>
      <w:r>
        <w:rPr>
          <w:rtl/>
        </w:rPr>
        <w:t xml:space="preserve">, והאספה </w:t>
      </w:r>
      <w:r>
        <w:rPr>
          <w:b/>
          <w:bCs/>
          <w:rtl/>
        </w:rPr>
        <w:t>החליטה</w:t>
      </w:r>
      <w:r>
        <w:rPr>
          <w:rtl/>
        </w:rPr>
        <w:t xml:space="preserve"> (ההדגשה שלי) שהחבורה </w:t>
      </w:r>
      <w:proofErr w:type="spellStart"/>
      <w:r>
        <w:rPr>
          <w:rtl/>
        </w:rPr>
        <w:t>בסלבודקה</w:t>
      </w:r>
      <w:proofErr w:type="spellEnd"/>
      <w:r>
        <w:rPr>
          <w:rtl/>
        </w:rPr>
        <w:t xml:space="preserve"> אינה ממלאת את המטרה שלשמה נתרמו הכספים. עוד גינתה את החבורה על </w:t>
      </w:r>
      <w:proofErr w:type="spellStart"/>
      <w:r>
        <w:rPr>
          <w:rtl/>
        </w:rPr>
        <w:t>ש“סטו</w:t>
      </w:r>
      <w:proofErr w:type="spellEnd"/>
      <w:r>
        <w:rPr>
          <w:rtl/>
        </w:rPr>
        <w:t xml:space="preserve"> מן הדרך הישרה, עזבו את התורה ופנו </w:t>
      </w:r>
      <w:proofErr w:type="spellStart"/>
      <w:r>
        <w:rPr>
          <w:rtl/>
        </w:rPr>
        <w:t>לשיעמום</w:t>
      </w:r>
      <w:proofErr w:type="spellEnd"/>
      <w:r>
        <w:rPr>
          <w:rtl/>
        </w:rPr>
        <w:t xml:space="preserve"> </w:t>
      </w:r>
      <w:proofErr w:type="spellStart"/>
      <w:r>
        <w:rPr>
          <w:rtl/>
        </w:rPr>
        <w:t>והזייה</w:t>
      </w:r>
      <w:proofErr w:type="spellEnd"/>
      <w:r>
        <w:rPr>
          <w:rtl/>
        </w:rPr>
        <w:t xml:space="preserve">”. אבל כדי שלא לעורר “מחלוקת בישראל” </w:t>
      </w:r>
      <w:r>
        <w:rPr>
          <w:b/>
          <w:bCs/>
          <w:rtl/>
        </w:rPr>
        <w:t xml:space="preserve">החליטה להניח לחבורת </w:t>
      </w:r>
      <w:proofErr w:type="spellStart"/>
      <w:r>
        <w:rPr>
          <w:b/>
          <w:bCs/>
          <w:rtl/>
        </w:rPr>
        <w:t>סלבודקה</w:t>
      </w:r>
      <w:proofErr w:type="spellEnd"/>
      <w:r>
        <w:rPr>
          <w:rtl/>
        </w:rPr>
        <w:t xml:space="preserve"> (ההדגשה שלי), ולייסד ארגון גדול בשם “כולל לתמיכת אברכים פרושים של קובנה”.</w:t>
      </w:r>
    </w:p>
    <w:p w14:paraId="607858D7" w14:textId="77777777" w:rsidR="00AB3647" w:rsidRDefault="00000000" w:rsidP="007923E9">
      <w:pPr>
        <w:spacing w:after="120" w:line="276" w:lineRule="auto"/>
        <w:ind w:firstLine="283"/>
        <w:jc w:val="both"/>
      </w:pPr>
      <w:r>
        <w:rPr>
          <w:rtl/>
        </w:rPr>
        <w:t xml:space="preserve">“ספר </w:t>
      </w:r>
      <w:proofErr w:type="spellStart"/>
      <w:r>
        <w:rPr>
          <w:rtl/>
        </w:rPr>
        <w:t>הזכרונות</w:t>
      </w:r>
      <w:proofErr w:type="spellEnd"/>
      <w:r>
        <w:rPr>
          <w:rtl/>
        </w:rPr>
        <w:t>” מביא את “ההחלטה” במירכאות פותחות, כאילו פורסם פרוטוקול רשמי, ואחר כך – וזה מפליא – משמיט את המירכאות הסוגרות, כאילו פרטי הפסק הם דיווח עיתונאי של מחברו עצמו.</w:t>
      </w:r>
    </w:p>
    <w:p w14:paraId="03F520CD" w14:textId="77777777" w:rsidR="00AB3647" w:rsidRDefault="00000000" w:rsidP="007923E9">
      <w:pPr>
        <w:spacing w:after="120" w:line="276" w:lineRule="auto"/>
        <w:ind w:firstLine="283"/>
        <w:jc w:val="both"/>
      </w:pPr>
      <w:r>
        <w:rPr>
          <w:rtl/>
        </w:rPr>
        <w:t xml:space="preserve">אם נכון הדיווח שגדולי תורה אלה פסלו את הסבא </w:t>
      </w:r>
      <w:proofErr w:type="spellStart"/>
      <w:r>
        <w:rPr>
          <w:rtl/>
        </w:rPr>
        <w:t>מסלבודקה</w:t>
      </w:r>
      <w:proofErr w:type="spellEnd"/>
      <w:r>
        <w:rPr>
          <w:rtl/>
        </w:rPr>
        <w:t xml:space="preserve"> ואת חבורתו, קל להבין מדוע לא יכול היה הסבא להתמנות לשום משרה בכולל קובנה. מה שקשה להבין הוא כיצד יכול היה ר׳ </w:t>
      </w:r>
      <w:proofErr w:type="spellStart"/>
      <w:r>
        <w:rPr>
          <w:rtl/>
        </w:rPr>
        <w:t>איצל׳ה</w:t>
      </w:r>
      <w:proofErr w:type="spellEnd"/>
      <w:r>
        <w:rPr>
          <w:rtl/>
        </w:rPr>
        <w:t xml:space="preserve"> </w:t>
      </w:r>
      <w:proofErr w:type="spellStart"/>
      <w:r>
        <w:rPr>
          <w:rtl/>
        </w:rPr>
        <w:t>בלאזר</w:t>
      </w:r>
      <w:proofErr w:type="spellEnd"/>
      <w:r>
        <w:rPr>
          <w:rtl/>
        </w:rPr>
        <w:t xml:space="preserve"> אפילו “להגניב” אותו להנהלה. זאת ועוד: אם אישים גדולים אלה, </w:t>
      </w:r>
      <w:r>
        <w:rPr>
          <w:b/>
          <w:bCs/>
          <w:rtl/>
        </w:rPr>
        <w:t xml:space="preserve">ובהם ר׳ ישראל </w:t>
      </w:r>
      <w:proofErr w:type="spellStart"/>
      <w:r>
        <w:rPr>
          <w:b/>
          <w:bCs/>
          <w:rtl/>
        </w:rPr>
        <w:t>סלנטר</w:t>
      </w:r>
      <w:proofErr w:type="spellEnd"/>
      <w:r>
        <w:rPr>
          <w:rtl/>
        </w:rPr>
        <w:t xml:space="preserve">, אכן סלדו מהתנהגות חבורת </w:t>
      </w:r>
      <w:proofErr w:type="spellStart"/>
      <w:r>
        <w:rPr>
          <w:rtl/>
        </w:rPr>
        <w:t>סלבודקה</w:t>
      </w:r>
      <w:proofErr w:type="spellEnd"/>
      <w:r>
        <w:rPr>
          <w:rtl/>
        </w:rPr>
        <w:t xml:space="preserve">, מדוע לא הוכיחו אותה בגלוי, </w:t>
      </w:r>
      <w:r>
        <w:rPr>
          <w:rtl/>
        </w:rPr>
        <w:lastRenderedPageBreak/>
        <w:t xml:space="preserve">כפי שהייתה ראויה לפי תיאורו של פרידמן את מעשיה? הלוא החשש </w:t>
      </w:r>
      <w:proofErr w:type="spellStart"/>
      <w:r>
        <w:rPr>
          <w:rtl/>
        </w:rPr>
        <w:t>מ“מחלוקת</w:t>
      </w:r>
      <w:proofErr w:type="spellEnd"/>
      <w:r>
        <w:rPr>
          <w:rtl/>
        </w:rPr>
        <w:t xml:space="preserve"> בישראל” לא היה ממתן את גינויה בפומבי. יתרה מזו, שום מחלוקת לא הייתה פורצת אילו יצא מייסד תנועת המוסר עצמו נגד חבורה המשחיתה את הרעיונות שהוא עצמו לימד.</w:t>
      </w:r>
    </w:p>
    <w:p w14:paraId="6DF81324" w14:textId="77777777" w:rsidR="00AB3647" w:rsidRDefault="00000000" w:rsidP="007923E9">
      <w:pPr>
        <w:spacing w:after="120" w:line="276" w:lineRule="auto"/>
        <w:ind w:firstLine="283"/>
        <w:jc w:val="both"/>
      </w:pPr>
      <w:r>
        <w:rPr>
          <w:rtl/>
        </w:rPr>
        <w:t xml:space="preserve">קושי נוסף עולה מטענת פרידמן שהניחו לחבורת </w:t>
      </w:r>
      <w:proofErr w:type="spellStart"/>
      <w:r>
        <w:rPr>
          <w:rtl/>
        </w:rPr>
        <w:t>סלבודקה</w:t>
      </w:r>
      <w:proofErr w:type="spellEnd"/>
      <w:r>
        <w:rPr>
          <w:rtl/>
        </w:rPr>
        <w:t xml:space="preserve"> (כפי שהודגש לעיל): החבורה נתמכה בפועל מכספי לחמן גם </w:t>
      </w:r>
      <w:r>
        <w:rPr>
          <w:b/>
          <w:bCs/>
          <w:rtl/>
        </w:rPr>
        <w:t>אחרי</w:t>
      </w:r>
      <w:r>
        <w:rPr>
          <w:rtl/>
        </w:rPr>
        <w:t xml:space="preserve"> שנוסד ארגון “כולל לתמיכת אברכים פרושים של קובנה” ונטל לידיו את השליטה בכספים! זהו סימן ברור לכך שלא ראו בחבורה סוטה ממטרות התורם. אומנם נכון שחבורת הכולל הצעירה </w:t>
      </w:r>
      <w:proofErr w:type="spellStart"/>
      <w:r>
        <w:rPr>
          <w:rtl/>
        </w:rPr>
        <w:t>בסלבודקה</w:t>
      </w:r>
      <w:proofErr w:type="spellEnd"/>
      <w:r>
        <w:rPr>
          <w:rtl/>
        </w:rPr>
        <w:t xml:space="preserve"> “עבדה על המוסר”, כעדותו של כץ, “תנועת המוסר”, כרך ב,</w:t>
      </w:r>
      <w:bookmarkStart w:id="2502" w:name="_fnr1652"/>
      <w:r>
        <w:rPr>
          <w:rStyle w:val="a5"/>
        </w:rPr>
        <w:footnoteReference w:id="1655" w:customMarkFollows="0"/>
      </w:r>
      <w:bookmarkEnd w:id="2502"/>
      <w:r>
        <w:rPr>
          <w:rtl/>
        </w:rPr>
        <w:t xml:space="preserve"> ונכון גם שהייתה התנגדות לכך שהכולל ייפול כולו תחת השפעת תנועת המוסר,</w:t>
      </w:r>
      <w:bookmarkStart w:id="2503" w:name="_fnr1653"/>
      <w:r>
        <w:rPr>
          <w:rStyle w:val="a5"/>
        </w:rPr>
        <w:footnoteReference w:id="1656" w:customMarkFollows="0"/>
      </w:r>
      <w:bookmarkEnd w:id="2503"/>
      <w:r>
        <w:rPr>
          <w:rtl/>
        </w:rPr>
        <w:t xml:space="preserve"> אבל כינוס גדולי התורה, שאכן התקיים, לא עסק בדיבה שבהשראת פרידמן, אלא במינוי ר׳ </w:t>
      </w:r>
      <w:proofErr w:type="spellStart"/>
      <w:r>
        <w:rPr>
          <w:rtl/>
        </w:rPr>
        <w:t>יצחק־אלחנן</w:t>
      </w:r>
      <w:proofErr w:type="spellEnd"/>
      <w:r>
        <w:rPr>
          <w:rtl/>
        </w:rPr>
        <w:t xml:space="preserve"> </w:t>
      </w:r>
      <w:proofErr w:type="spellStart"/>
      <w:r>
        <w:rPr>
          <w:rtl/>
        </w:rPr>
        <w:t>ספקטור</w:t>
      </w:r>
      <w:proofErr w:type="spellEnd"/>
      <w:r>
        <w:rPr>
          <w:rtl/>
        </w:rPr>
        <w:t xml:space="preserve"> לראש הכולל הרשמי.</w:t>
      </w:r>
    </w:p>
    <w:p w14:paraId="61032E88" w14:textId="77777777" w:rsidR="00AB3647" w:rsidRDefault="00000000" w:rsidP="007923E9">
      <w:pPr>
        <w:spacing w:after="120" w:line="276" w:lineRule="auto"/>
        <w:ind w:firstLine="283"/>
        <w:jc w:val="both"/>
      </w:pPr>
      <w:r>
        <w:rPr>
          <w:rtl/>
        </w:rPr>
        <w:t xml:space="preserve">הבוז של פרידמן למוסר, הפורץ מכל פסקה שכתב, גרם לו לייחס למהלך האספה את נטיותיו שלו נגד המוסר, וליצור, </w:t>
      </w:r>
      <w:r>
        <w:rPr>
          <w:b/>
          <w:bCs/>
          <w:rtl/>
        </w:rPr>
        <w:t>בחצי לב</w:t>
      </w:r>
      <w:r>
        <w:rPr>
          <w:rtl/>
        </w:rPr>
        <w:t xml:space="preserve">, ציטוט מילולי כוזב של “ההחלטה” שהתקבלה בה. מרכז הכובד של הכולל עבר ממקום הולדתו, </w:t>
      </w:r>
      <w:proofErr w:type="spellStart"/>
      <w:r>
        <w:rPr>
          <w:rtl/>
        </w:rPr>
        <w:t>סלבודקה</w:t>
      </w:r>
      <w:proofErr w:type="spellEnd"/>
      <w:r>
        <w:rPr>
          <w:rtl/>
        </w:rPr>
        <w:t>, לקובנה, והכולל נודע כ</w:t>
      </w:r>
      <w:r>
        <w:rPr>
          <w:b/>
          <w:bCs/>
          <w:rtl/>
        </w:rPr>
        <w:t>כולל קובנה</w:t>
      </w:r>
      <w:r>
        <w:rPr>
          <w:rtl/>
        </w:rPr>
        <w:t xml:space="preserve"> (“כולל לתמיכת אברכים פרושים של קובנה”), לא בשל שום פסילה של הכולל המתהווה </w:t>
      </w:r>
      <w:proofErr w:type="spellStart"/>
      <w:r>
        <w:rPr>
          <w:rtl/>
        </w:rPr>
        <w:t>בסלבודקה</w:t>
      </w:r>
      <w:proofErr w:type="spellEnd"/>
      <w:r>
        <w:rPr>
          <w:rtl/>
        </w:rPr>
        <w:t xml:space="preserve">. הדבר נבע אך ורק מכך שר׳ </w:t>
      </w:r>
      <w:proofErr w:type="spellStart"/>
      <w:r>
        <w:rPr>
          <w:rtl/>
        </w:rPr>
        <w:t>יצחק־אלחנן</w:t>
      </w:r>
      <w:proofErr w:type="spellEnd"/>
      <w:r>
        <w:rPr>
          <w:rtl/>
        </w:rPr>
        <w:t>, רב קובנה שנודע בכל העולם, עמד בראשו.</w:t>
      </w:r>
    </w:p>
    <w:p w14:paraId="521D0B52" w14:textId="77777777" w:rsidR="00AB3647" w:rsidRDefault="00000000" w:rsidP="007923E9">
      <w:pPr>
        <w:spacing w:after="120" w:line="276" w:lineRule="auto"/>
        <w:ind w:firstLine="283"/>
        <w:jc w:val="both"/>
      </w:pPr>
      <w:r>
        <w:rPr>
          <w:rtl/>
        </w:rPr>
        <w:t xml:space="preserve">השווה גם </w:t>
      </w:r>
      <w:proofErr w:type="spellStart"/>
      <w:r>
        <w:rPr>
          <w:rtl/>
        </w:rPr>
        <w:t>אטקס</w:t>
      </w:r>
      <w:proofErr w:type="spellEnd"/>
      <w:r>
        <w:rPr>
          <w:rtl/>
        </w:rPr>
        <w:t xml:space="preserve">, “ר׳ ישראל </w:t>
      </w:r>
      <w:proofErr w:type="spellStart"/>
      <w:r>
        <w:rPr>
          <w:rtl/>
        </w:rPr>
        <w:t>סלנטר</w:t>
      </w:r>
      <w:proofErr w:type="spellEnd"/>
      <w:r>
        <w:rPr>
          <w:rtl/>
        </w:rPr>
        <w:t xml:space="preserve"> וראשיתה של תנועת המוסר”,</w:t>
      </w:r>
      <w:bookmarkStart w:id="2504" w:name="_fnr1654"/>
      <w:r>
        <w:rPr>
          <w:rStyle w:val="a5"/>
        </w:rPr>
        <w:footnoteReference w:id="1657" w:customMarkFollows="0"/>
      </w:r>
      <w:bookmarkEnd w:id="2504"/>
      <w:r>
        <w:rPr>
          <w:rtl/>
        </w:rPr>
        <w:t xml:space="preserve"> השולל אף הוא את אמינות עטו הארסי של פרידמן. אבל לדעתו, מטרתה העיקרית של האספה הייתה למצוא מקורות מימון נוספים למוסד ההולך ומתרחב. מטרה זו ודאי יכולה הייתה לעמוד </w:t>
      </w:r>
      <w:r>
        <w:rPr>
          <w:b/>
          <w:bCs/>
          <w:rtl/>
        </w:rPr>
        <w:t>מאחורי</w:t>
      </w:r>
      <w:r>
        <w:rPr>
          <w:rtl/>
        </w:rPr>
        <w:t xml:space="preserve"> מינויו של ר׳ </w:t>
      </w:r>
      <w:proofErr w:type="spellStart"/>
      <w:r>
        <w:rPr>
          <w:rtl/>
        </w:rPr>
        <w:t>יצחק־אלחנן</w:t>
      </w:r>
      <w:proofErr w:type="spellEnd"/>
      <w:r>
        <w:rPr>
          <w:rtl/>
        </w:rPr>
        <w:t xml:space="preserve"> </w:t>
      </w:r>
      <w:proofErr w:type="spellStart"/>
      <w:r>
        <w:rPr>
          <w:rtl/>
        </w:rPr>
        <w:t>ספקטור</w:t>
      </w:r>
      <w:proofErr w:type="spellEnd"/>
      <w:r>
        <w:rPr>
          <w:rtl/>
        </w:rPr>
        <w:t xml:space="preserve"> לראש הכולל.</w:t>
      </w:r>
    </w:p>
    <w:p w14:paraId="3F48228E" w14:textId="77777777" w:rsidR="00AB3647" w:rsidRDefault="00000000" w:rsidP="007923E9">
      <w:pPr>
        <w:spacing w:after="120" w:line="276" w:lineRule="auto"/>
        <w:ind w:firstLine="283"/>
        <w:jc w:val="both"/>
      </w:pPr>
      <w:r>
        <w:rPr>
          <w:rtl/>
        </w:rPr>
        <w:t xml:space="preserve">הקורא האמריקני ימצא עניין במכתב מניו יורק מאת שרגא </w:t>
      </w:r>
      <w:proofErr w:type="spellStart"/>
      <w:r>
        <w:rPr>
          <w:rtl/>
        </w:rPr>
        <w:t>פאבי</w:t>
      </w:r>
      <w:proofErr w:type="spellEnd"/>
      <w:r>
        <w:rPr>
          <w:rtl/>
        </w:rPr>
        <w:t xml:space="preserve"> </w:t>
      </w:r>
      <w:proofErr w:type="spellStart"/>
      <w:r>
        <w:rPr>
          <w:rtl/>
        </w:rPr>
        <w:t>שייטליס</w:t>
      </w:r>
      <w:proofErr w:type="spellEnd"/>
      <w:r>
        <w:rPr>
          <w:rtl/>
        </w:rPr>
        <w:t xml:space="preserve">, שנדפס </w:t>
      </w:r>
      <w:proofErr w:type="spellStart"/>
      <w:r>
        <w:rPr>
          <w:rtl/>
        </w:rPr>
        <w:t>ב“המליץ</w:t>
      </w:r>
      <w:proofErr w:type="spellEnd"/>
      <w:r>
        <w:rPr>
          <w:rtl/>
        </w:rPr>
        <w:t>”,</w:t>
      </w:r>
      <w:bookmarkStart w:id="2505" w:name="_fnr1655"/>
      <w:r>
        <w:rPr>
          <w:rStyle w:val="a5"/>
        </w:rPr>
        <w:footnoteReference w:id="1658" w:customMarkFollows="0"/>
      </w:r>
      <w:bookmarkEnd w:id="2505"/>
      <w:r>
        <w:rPr>
          <w:rtl/>
        </w:rPr>
        <w:t xml:space="preserve"> ובו נאמר: “כשהמתפללים מבין המהגרים היהודים מפולין ומרוסיה באמריקה עולים לתורה בשבתות ובחגים, הם נודבים</w:t>
      </w:r>
      <w:bookmarkStart w:id="2506" w:name="_fnr1656"/>
      <w:r>
        <w:rPr>
          <w:rStyle w:val="a5"/>
        </w:rPr>
        <w:footnoteReference w:id="1659" w:customMarkFollows="0"/>
      </w:r>
      <w:bookmarkEnd w:id="2506"/>
      <w:r>
        <w:rPr>
          <w:rtl/>
        </w:rPr>
        <w:t xml:space="preserve"> לשלוחים של ישיבות </w:t>
      </w:r>
      <w:proofErr w:type="spellStart"/>
      <w:r>
        <w:rPr>
          <w:rtl/>
        </w:rPr>
        <w:t>וולוז׳ין</w:t>
      </w:r>
      <w:proofErr w:type="spellEnd"/>
      <w:r>
        <w:rPr>
          <w:rtl/>
        </w:rPr>
        <w:t xml:space="preserve"> </w:t>
      </w:r>
      <w:proofErr w:type="spellStart"/>
      <w:r>
        <w:rPr>
          <w:rtl/>
        </w:rPr>
        <w:t>ומיר</w:t>
      </w:r>
      <w:proofErr w:type="spellEnd"/>
      <w:r>
        <w:rPr>
          <w:rtl/>
        </w:rPr>
        <w:t>, ויש גם שאוספים נדבות לכולל הפרושים בקובנה”.</w:t>
      </w:r>
      <w:bookmarkStart w:id="2507" w:name="_fnr1657"/>
      <w:r>
        <w:rPr>
          <w:rStyle w:val="a5"/>
        </w:rPr>
        <w:footnoteReference w:id="1660" w:customMarkFollows="0"/>
      </w:r>
      <w:bookmarkEnd w:id="2507"/>
      <w:r>
        <w:rPr>
          <w:rtl/>
        </w:rPr>
        <w:t xml:space="preserve"> הכותב ממשיך ומתלונן: “הלא חרפה היא לאחינו ברוסיה שאינם יכולים בעצמם לספק את כל מחייתם של הבתים האלה שמהם יוצאת תורה והוראה – על ידי תלמידים מוסמכים הראויים לשבת על כסאות הרבנות בארצם – עד שצריך לשלוח שלוחים אל מעבר לים לאסוף סכומי כסף עצומים, שהרבה מהם הולך להוצאות </w:t>
      </w:r>
      <w:r>
        <w:rPr>
          <w:rtl/>
        </w:rPr>
        <w:lastRenderedPageBreak/>
        <w:t>הדרך ולשכר השליח?!”. המכתב שנדפס מלמד שכבר בתקופה מוקדמת זו של קיום הכולל נשלחו משולחים לאמריקה לגייס כספים מבין המהגרים היהודים שזה עתה הגיעו!</w:t>
      </w:r>
    </w:p>
    <w:p w14:paraId="4D626C4A" w14:textId="77777777" w:rsidR="00AB3647" w:rsidRDefault="00000000" w:rsidP="007923E9">
      <w:pPr>
        <w:spacing w:after="120" w:line="276" w:lineRule="auto"/>
        <w:ind w:firstLine="283"/>
        <w:jc w:val="both"/>
      </w:pPr>
      <w:r>
        <w:rPr>
          <w:rtl/>
        </w:rPr>
        <w:t xml:space="preserve">משולחים נשלחו לאמריקה מארץ ישראל כבר בשנת תקי״ד, אבל אלה גייסו כספים לקהילות בכללן – ליישוב, לא לישיבות. משולח מישיבת בית אל בירושלים אכן בא לאמריקה בשנת תר״ח, לפי מגילה מעוטרת שבידי ד״ר מנפרד ר. להמן, שתיאר אותה בטורו </w:t>
      </w:r>
      <w:proofErr w:type="spellStart"/>
      <w:r>
        <w:rPr>
          <w:rtl/>
        </w:rPr>
        <w:t>ב“אלגמיינער</w:t>
      </w:r>
      <w:proofErr w:type="spellEnd"/>
      <w:r>
        <w:rPr>
          <w:rtl/>
        </w:rPr>
        <w:t xml:space="preserve"> </w:t>
      </w:r>
      <w:proofErr w:type="spellStart"/>
      <w:r>
        <w:rPr>
          <w:rtl/>
        </w:rPr>
        <w:t>זשורנאל</w:t>
      </w:r>
      <w:proofErr w:type="spellEnd"/>
      <w:r>
        <w:rPr>
          <w:rtl/>
        </w:rPr>
        <w:t>”.</w:t>
      </w:r>
      <w:bookmarkStart w:id="2508" w:name="_fnr1658"/>
      <w:r>
        <w:rPr>
          <w:rStyle w:val="a5"/>
        </w:rPr>
        <w:footnoteReference w:id="1661" w:customMarkFollows="0"/>
      </w:r>
      <w:bookmarkEnd w:id="2508"/>
      <w:r>
        <w:rPr>
          <w:rtl/>
        </w:rPr>
        <w:t xml:space="preserve"> שם השליח היה ר׳ יחיאל הכהן, והוא הגיע עם מכתב המלצה משבעה רבנים מן הגדולים. אבל הוא נשלח אל </w:t>
      </w:r>
      <w:r>
        <w:rPr>
          <w:b/>
          <w:bCs/>
          <w:rtl/>
        </w:rPr>
        <w:t>הקהילה הספרדית</w:t>
      </w:r>
      <w:r>
        <w:rPr>
          <w:rtl/>
        </w:rPr>
        <w:t xml:space="preserve"> בניו יורק. “ארצות החיים” מאת דוב בער </w:t>
      </w:r>
      <w:proofErr w:type="spellStart"/>
      <w:r>
        <w:rPr>
          <w:rtl/>
        </w:rPr>
        <w:t>שווארץ</w:t>
      </w:r>
      <w:bookmarkStart w:id="2509" w:name="_fnr1659"/>
      <w:proofErr w:type="spellEnd"/>
      <w:r>
        <w:rPr>
          <w:rStyle w:val="a5"/>
        </w:rPr>
        <w:footnoteReference w:id="1662" w:customMarkFollows="0"/>
      </w:r>
      <w:bookmarkEnd w:id="2509"/>
      <w:r>
        <w:rPr>
          <w:rtl/>
        </w:rPr>
        <w:t xml:space="preserve"> מזכיר משולח אחר, ר׳ </w:t>
      </w:r>
      <w:proofErr w:type="spellStart"/>
      <w:r>
        <w:rPr>
          <w:rtl/>
        </w:rPr>
        <w:t>שאול־בנימין</w:t>
      </w:r>
      <w:proofErr w:type="spellEnd"/>
      <w:r>
        <w:rPr>
          <w:rtl/>
        </w:rPr>
        <w:t xml:space="preserve"> </w:t>
      </w:r>
      <w:proofErr w:type="spellStart"/>
      <w:r>
        <w:rPr>
          <w:rtl/>
        </w:rPr>
        <w:t>הכהן־קרליץ</w:t>
      </w:r>
      <w:proofErr w:type="spellEnd"/>
      <w:r>
        <w:rPr>
          <w:rtl/>
        </w:rPr>
        <w:t xml:space="preserve">, שבא בשנת תרל״א מירושלים מטעם תלמוד תורה עץ חיים. גם “פנחס </w:t>
      </w:r>
      <w:proofErr w:type="spellStart"/>
      <w:r>
        <w:rPr>
          <w:rtl/>
        </w:rPr>
        <w:t>חורגין</w:t>
      </w:r>
      <w:proofErr w:type="spellEnd"/>
      <w:r>
        <w:rPr>
          <w:rtl/>
        </w:rPr>
        <w:t xml:space="preserve"> – </w:t>
      </w:r>
      <w:proofErr w:type="spellStart"/>
      <w:r>
        <w:rPr>
          <w:rtl/>
        </w:rPr>
        <w:t>חזון</w:t>
      </w:r>
      <w:proofErr w:type="spellEnd"/>
      <w:r>
        <w:rPr>
          <w:rtl/>
        </w:rPr>
        <w:t xml:space="preserve"> ומורשת”</w:t>
      </w:r>
      <w:bookmarkStart w:id="2510" w:name="_fnr1660"/>
      <w:r>
        <w:rPr>
          <w:rStyle w:val="a5"/>
        </w:rPr>
        <w:footnoteReference w:id="1663" w:customMarkFollows="0"/>
      </w:r>
      <w:bookmarkEnd w:id="2510"/>
      <w:r>
        <w:rPr>
          <w:rtl/>
        </w:rPr>
        <w:t xml:space="preserve"> מספר, בפרק שכותרתו “ציונים בדרך חייו”: “סבו מצד </w:t>
      </w:r>
      <w:proofErr w:type="spellStart"/>
      <w:r>
        <w:rPr>
          <w:rtl/>
        </w:rPr>
        <w:t>אמו</w:t>
      </w:r>
      <w:proofErr w:type="spellEnd"/>
      <w:r>
        <w:rPr>
          <w:rtl/>
        </w:rPr>
        <w:t xml:space="preserve"> [של ד״ר פנחס </w:t>
      </w:r>
      <w:proofErr w:type="spellStart"/>
      <w:r>
        <w:rPr>
          <w:rtl/>
        </w:rPr>
        <w:t>חורגין</w:t>
      </w:r>
      <w:proofErr w:type="spellEnd"/>
      <w:r>
        <w:rPr>
          <w:rtl/>
        </w:rPr>
        <w:t xml:space="preserve">], ר׳ משה־צבי </w:t>
      </w:r>
      <w:proofErr w:type="spellStart"/>
      <w:r>
        <w:rPr>
          <w:rtl/>
        </w:rPr>
        <w:t>הוכשטיין</w:t>
      </w:r>
      <w:proofErr w:type="spellEnd"/>
      <w:r>
        <w:rPr>
          <w:rtl/>
        </w:rPr>
        <w:t xml:space="preserve">, חי באמריקה ושימש שד״ר לישיבת </w:t>
      </w:r>
      <w:proofErr w:type="spellStart"/>
      <w:r>
        <w:rPr>
          <w:rtl/>
        </w:rPr>
        <w:t>מיר</w:t>
      </w:r>
      <w:proofErr w:type="spellEnd"/>
      <w:r>
        <w:rPr>
          <w:rtl/>
        </w:rPr>
        <w:t xml:space="preserve"> בשנות השמונים של המאה הקודמת [שנות </w:t>
      </w:r>
      <w:proofErr w:type="spellStart"/>
      <w:r>
        <w:rPr>
          <w:rtl/>
        </w:rPr>
        <w:t>הת״ר־מ</w:t>
      </w:r>
      <w:proofErr w:type="spellEnd"/>
      <w:r>
        <w:rPr>
          <w:rtl/>
        </w:rPr>
        <w:t>׳]”.</w:t>
      </w:r>
    </w:p>
    <w:p w14:paraId="53E13064" w14:textId="77777777" w:rsidR="00AB3647" w:rsidRDefault="00000000" w:rsidP="007923E9">
      <w:pPr>
        <w:spacing w:after="120" w:line="276" w:lineRule="auto"/>
        <w:ind w:firstLine="283"/>
        <w:jc w:val="both"/>
      </w:pPr>
      <w:r>
        <w:rPr>
          <w:rtl/>
        </w:rPr>
        <w:t>דוגמה נוספת לתקופה המוקדמת של גיוס כספים באמריקה בידי ישיבות ליטא נמצאת במכתב מתאריך תרמ״ט.</w:t>
      </w:r>
      <w:bookmarkStart w:id="2511" w:name="_fnr1661"/>
      <w:r>
        <w:rPr>
          <w:rStyle w:val="a5"/>
        </w:rPr>
        <w:footnoteReference w:id="1664" w:customMarkFollows="0"/>
      </w:r>
      <w:bookmarkEnd w:id="2511"/>
      <w:r>
        <w:rPr>
          <w:rtl/>
        </w:rPr>
        <w:t xml:space="preserve"> במכתב זה פסק ר׳ </w:t>
      </w:r>
      <w:proofErr w:type="spellStart"/>
      <w:r>
        <w:rPr>
          <w:rtl/>
        </w:rPr>
        <w:t>יצחק־אלחנן</w:t>
      </w:r>
      <w:proofErr w:type="spellEnd"/>
      <w:r>
        <w:rPr>
          <w:rtl/>
        </w:rPr>
        <w:t xml:space="preserve"> </w:t>
      </w:r>
      <w:proofErr w:type="spellStart"/>
      <w:r>
        <w:rPr>
          <w:rtl/>
        </w:rPr>
        <w:t>ספקטור</w:t>
      </w:r>
      <w:proofErr w:type="spellEnd"/>
      <w:r>
        <w:rPr>
          <w:rtl/>
        </w:rPr>
        <w:t xml:space="preserve">, רב קובנה, </w:t>
      </w:r>
      <w:proofErr w:type="spellStart"/>
      <w:r>
        <w:rPr>
          <w:rtl/>
        </w:rPr>
        <w:t>לר</w:t>
      </w:r>
      <w:proofErr w:type="spellEnd"/>
      <w:r>
        <w:rPr>
          <w:rtl/>
        </w:rPr>
        <w:t xml:space="preserve">׳ </w:t>
      </w:r>
      <w:proofErr w:type="spellStart"/>
      <w:r>
        <w:rPr>
          <w:rtl/>
        </w:rPr>
        <w:t>ליפל׳ה</w:t>
      </w:r>
      <w:proofErr w:type="spellEnd"/>
      <w:r>
        <w:rPr>
          <w:rtl/>
        </w:rPr>
        <w:t xml:space="preserve"> </w:t>
      </w:r>
      <w:proofErr w:type="spellStart"/>
      <w:r>
        <w:rPr>
          <w:rtl/>
        </w:rPr>
        <w:t>בסלבסקי</w:t>
      </w:r>
      <w:proofErr w:type="spellEnd"/>
      <w:r>
        <w:rPr>
          <w:rtl/>
        </w:rPr>
        <w:t xml:space="preserve"> </w:t>
      </w:r>
      <w:proofErr w:type="spellStart"/>
      <w:r>
        <w:rPr>
          <w:rtl/>
        </w:rPr>
        <w:t>ולר</w:t>
      </w:r>
      <w:proofErr w:type="spellEnd"/>
      <w:r>
        <w:rPr>
          <w:rtl/>
        </w:rPr>
        <w:t xml:space="preserve">׳ </w:t>
      </w:r>
      <w:proofErr w:type="spellStart"/>
      <w:r>
        <w:rPr>
          <w:rtl/>
        </w:rPr>
        <w:t>חיים־לייב</w:t>
      </w:r>
      <w:proofErr w:type="spellEnd"/>
      <w:r>
        <w:rPr>
          <w:rtl/>
        </w:rPr>
        <w:t xml:space="preserve"> </w:t>
      </w:r>
      <w:proofErr w:type="spellStart"/>
      <w:r>
        <w:rPr>
          <w:rtl/>
        </w:rPr>
        <w:t>טיקטינסקי</w:t>
      </w:r>
      <w:proofErr w:type="spellEnd"/>
      <w:r>
        <w:rPr>
          <w:rtl/>
        </w:rPr>
        <w:t xml:space="preserve">, רבה וראש ישיבתה של </w:t>
      </w:r>
      <w:proofErr w:type="spellStart"/>
      <w:r>
        <w:rPr>
          <w:rtl/>
        </w:rPr>
        <w:t>מיר</w:t>
      </w:r>
      <w:proofErr w:type="spellEnd"/>
      <w:r>
        <w:rPr>
          <w:rtl/>
        </w:rPr>
        <w:t xml:space="preserve"> בהתאמה, בוויכוח על חלוקת </w:t>
      </w:r>
      <w:proofErr w:type="spellStart"/>
      <w:r>
        <w:rPr>
          <w:rtl/>
        </w:rPr>
        <w:t>פושקעס</w:t>
      </w:r>
      <w:proofErr w:type="spellEnd"/>
      <w:r>
        <w:rPr>
          <w:rtl/>
        </w:rPr>
        <w:t xml:space="preserve"> במקומות שכבר היו בהם קופות צדקה למוסדות ארץ ישראל. הוא קבע: “צדקות כמו ישיבת </w:t>
      </w:r>
      <w:proofErr w:type="spellStart"/>
      <w:r>
        <w:rPr>
          <w:rtl/>
        </w:rPr>
        <w:t>מיר</w:t>
      </w:r>
      <w:proofErr w:type="spellEnd"/>
      <w:r>
        <w:rPr>
          <w:rtl/>
        </w:rPr>
        <w:t xml:space="preserve"> וישיבת </w:t>
      </w:r>
      <w:proofErr w:type="spellStart"/>
      <w:r>
        <w:rPr>
          <w:rtl/>
        </w:rPr>
        <w:t>וולוז׳ין</w:t>
      </w:r>
      <w:proofErr w:type="spellEnd"/>
      <w:r>
        <w:rPr>
          <w:rtl/>
        </w:rPr>
        <w:t xml:space="preserve">, שכבר סידרו העמדת </w:t>
      </w:r>
      <w:proofErr w:type="spellStart"/>
      <w:r>
        <w:rPr>
          <w:rtl/>
        </w:rPr>
        <w:t>פוסקעס</w:t>
      </w:r>
      <w:proofErr w:type="spellEnd"/>
      <w:r>
        <w:rPr>
          <w:rtl/>
        </w:rPr>
        <w:t xml:space="preserve"> [כך במקור, בהגייה </w:t>
      </w:r>
      <w:proofErr w:type="spellStart"/>
      <w:r>
        <w:rPr>
          <w:rtl/>
        </w:rPr>
        <w:t>הזאמוטית</w:t>
      </w:r>
      <w:proofErr w:type="spellEnd"/>
      <w:r>
        <w:rPr>
          <w:rtl/>
        </w:rPr>
        <w:t xml:space="preserve"> שהוגה שי״ן </w:t>
      </w:r>
      <w:proofErr w:type="spellStart"/>
      <w:r>
        <w:rPr>
          <w:rtl/>
        </w:rPr>
        <w:t>כסי״ן</w:t>
      </w:r>
      <w:proofErr w:type="spellEnd"/>
      <w:r>
        <w:rPr>
          <w:rtl/>
        </w:rPr>
        <w:t xml:space="preserve">] </w:t>
      </w:r>
      <w:r>
        <w:rPr>
          <w:b/>
          <w:bCs/>
          <w:rtl/>
        </w:rPr>
        <w:t>באמריקה</w:t>
      </w:r>
      <w:r>
        <w:rPr>
          <w:rtl/>
        </w:rPr>
        <w:t xml:space="preserve">, אינן בכלל הגזירה [שלא להעמיד </w:t>
      </w:r>
      <w:proofErr w:type="spellStart"/>
      <w:r>
        <w:rPr>
          <w:rtl/>
        </w:rPr>
        <w:t>פושקעס</w:t>
      </w:r>
      <w:proofErr w:type="spellEnd"/>
      <w:r>
        <w:rPr>
          <w:rtl/>
        </w:rPr>
        <w:t>, ו]</w:t>
      </w:r>
      <w:proofErr w:type="spellStart"/>
      <w:r>
        <w:rPr>
          <w:rtl/>
        </w:rPr>
        <w:t>רשאות</w:t>
      </w:r>
      <w:proofErr w:type="spellEnd"/>
      <w:r>
        <w:rPr>
          <w:rtl/>
        </w:rPr>
        <w:t xml:space="preserve"> להחזיק את </w:t>
      </w:r>
      <w:proofErr w:type="spellStart"/>
      <w:r>
        <w:rPr>
          <w:rtl/>
        </w:rPr>
        <w:t>הפוסקעס</w:t>
      </w:r>
      <w:proofErr w:type="spellEnd"/>
      <w:r>
        <w:rPr>
          <w:rtl/>
        </w:rPr>
        <w:t xml:space="preserve"> וגם לחזק מעתה את הצדקות של הישיבות על ידי </w:t>
      </w:r>
      <w:proofErr w:type="spellStart"/>
      <w:r>
        <w:rPr>
          <w:rtl/>
        </w:rPr>
        <w:t>פוסקעס</w:t>
      </w:r>
      <w:proofErr w:type="spellEnd"/>
      <w:r>
        <w:rPr>
          <w:rtl/>
        </w:rPr>
        <w:t>”. לפי דיווחו של ר׳ שמואל שכטר,</w:t>
      </w:r>
      <w:bookmarkStart w:id="2512" w:name="_fnr1662"/>
      <w:r>
        <w:rPr>
          <w:rStyle w:val="a5"/>
        </w:rPr>
        <w:footnoteReference w:id="1665" w:customMarkFollows="0"/>
      </w:r>
      <w:bookmarkEnd w:id="2512"/>
      <w:r>
        <w:rPr>
          <w:rtl/>
        </w:rPr>
        <w:t xml:space="preserve"> שלחה ישיבת </w:t>
      </w:r>
      <w:proofErr w:type="spellStart"/>
      <w:r>
        <w:rPr>
          <w:rtl/>
        </w:rPr>
        <w:t>וולוז׳ין</w:t>
      </w:r>
      <w:proofErr w:type="spellEnd"/>
      <w:r>
        <w:rPr>
          <w:rtl/>
        </w:rPr>
        <w:t xml:space="preserve"> את אבי חמותו, ר׳ </w:t>
      </w:r>
      <w:proofErr w:type="spellStart"/>
      <w:r>
        <w:rPr>
          <w:rtl/>
        </w:rPr>
        <w:t>שלום־אליעזר</w:t>
      </w:r>
      <w:proofErr w:type="spellEnd"/>
      <w:r>
        <w:rPr>
          <w:rtl/>
        </w:rPr>
        <w:t xml:space="preserve"> </w:t>
      </w:r>
      <w:proofErr w:type="spellStart"/>
      <w:r>
        <w:rPr>
          <w:rtl/>
        </w:rPr>
        <w:t>רוגוזין</w:t>
      </w:r>
      <w:proofErr w:type="spellEnd"/>
      <w:r>
        <w:rPr>
          <w:rtl/>
        </w:rPr>
        <w:t>, לאמריקה כדי להקים משרד לגיוס כספים, זמן קצר לפני שנסגרה הישיבה, בשנת תרנ״ב.</w:t>
      </w:r>
      <w:bookmarkStart w:id="2513" w:name="_fnr1663"/>
      <w:r>
        <w:rPr>
          <w:rStyle w:val="a5"/>
        </w:rPr>
        <w:footnoteReference w:id="1666" w:customMarkFollows="0"/>
      </w:r>
      <w:bookmarkEnd w:id="2513"/>
    </w:p>
    <w:p w14:paraId="010A608C" w14:textId="164ABA39" w:rsidR="00AB3647" w:rsidRDefault="00000000" w:rsidP="007923E9">
      <w:pPr>
        <w:spacing w:after="120" w:line="276" w:lineRule="auto"/>
        <w:ind w:firstLine="283"/>
        <w:jc w:val="both"/>
      </w:pPr>
      <w:r>
        <w:rPr>
          <w:rtl/>
        </w:rPr>
        <w:t>אגב, מכתב שכותרתו “לשאלת הרבנות בארץ רוסיה” מאת “</w:t>
      </w:r>
      <w:proofErr w:type="spellStart"/>
      <w:r>
        <w:rPr>
          <w:rtl/>
        </w:rPr>
        <w:t>אבגד</w:t>
      </w:r>
      <w:proofErr w:type="spellEnd"/>
      <w:r>
        <w:rPr>
          <w:rtl/>
        </w:rPr>
        <w:t xml:space="preserve"> </w:t>
      </w:r>
      <w:proofErr w:type="spellStart"/>
      <w:r>
        <w:rPr>
          <w:rtl/>
        </w:rPr>
        <w:t>אדרעי</w:t>
      </w:r>
      <w:proofErr w:type="spellEnd"/>
      <w:r>
        <w:rPr>
          <w:rtl/>
        </w:rPr>
        <w:t xml:space="preserve">” (כינויו של אלתר </w:t>
      </w:r>
      <w:proofErr w:type="spellStart"/>
      <w:r>
        <w:rPr>
          <w:rtl/>
        </w:rPr>
        <w:t>דרויאנוב</w:t>
      </w:r>
      <w:proofErr w:type="spellEnd"/>
      <w:r>
        <w:rPr>
          <w:rtl/>
        </w:rPr>
        <w:t>)</w:t>
      </w:r>
      <w:bookmarkStart w:id="2514" w:name="_fnr1664"/>
      <w:r>
        <w:rPr>
          <w:rStyle w:val="a5"/>
        </w:rPr>
        <w:footnoteReference w:id="1667" w:customMarkFollows="0"/>
      </w:r>
      <w:bookmarkEnd w:id="2514"/>
      <w:r>
        <w:rPr>
          <w:rtl/>
        </w:rPr>
        <w:t xml:space="preserve"> נשלח </w:t>
      </w:r>
      <w:proofErr w:type="spellStart"/>
      <w:r>
        <w:rPr>
          <w:rtl/>
        </w:rPr>
        <w:t>ל“תלפיות</w:t>
      </w:r>
      <w:proofErr w:type="spellEnd"/>
      <w:r>
        <w:rPr>
          <w:rtl/>
        </w:rPr>
        <w:t>”</w:t>
      </w:r>
      <w:bookmarkStart w:id="2515" w:name="_fnr1665"/>
      <w:r>
        <w:rPr>
          <w:rStyle w:val="a5"/>
        </w:rPr>
        <w:footnoteReference w:id="1668" w:customMarkFollows="0"/>
      </w:r>
      <w:bookmarkEnd w:id="2515"/>
      <w:r>
        <w:rPr>
          <w:rtl/>
        </w:rPr>
        <w:t xml:space="preserve"> ונדפס גם </w:t>
      </w:r>
      <w:proofErr w:type="spellStart"/>
      <w:r>
        <w:rPr>
          <w:rtl/>
        </w:rPr>
        <w:t>ב“המליץ</w:t>
      </w:r>
      <w:proofErr w:type="spellEnd"/>
      <w:r>
        <w:rPr>
          <w:rtl/>
        </w:rPr>
        <w:t xml:space="preserve">”. תאריכו מאוחר בשמונה שנים מן המכתב האמריקני שהובא לעיל </w:t>
      </w:r>
      <w:proofErr w:type="spellStart"/>
      <w:r>
        <w:rPr>
          <w:rtl/>
        </w:rPr>
        <w:t>מ“המליץ</w:t>
      </w:r>
      <w:proofErr w:type="spellEnd"/>
      <w:r>
        <w:rPr>
          <w:rtl/>
        </w:rPr>
        <w:t xml:space="preserve">”, כלומר שנה </w:t>
      </w:r>
      <w:r>
        <w:rPr>
          <w:b/>
          <w:bCs/>
          <w:rtl/>
        </w:rPr>
        <w:t xml:space="preserve">אחרי שנסגרה ישיבת </w:t>
      </w:r>
      <w:proofErr w:type="spellStart"/>
      <w:r>
        <w:rPr>
          <w:b/>
          <w:bCs/>
          <w:rtl/>
        </w:rPr>
        <w:t>וולוז׳ין</w:t>
      </w:r>
      <w:proofErr w:type="spellEnd"/>
      <w:r>
        <w:rPr>
          <w:rtl/>
        </w:rPr>
        <w:t xml:space="preserve">. בין השאר מתלונן הכותב על ריבוי המשולחים בערי </w:t>
      </w:r>
      <w:r>
        <w:rPr>
          <w:b/>
          <w:bCs/>
          <w:rtl/>
        </w:rPr>
        <w:t>רוסיה</w:t>
      </w:r>
      <w:r>
        <w:rPr>
          <w:rtl/>
        </w:rPr>
        <w:t>, ומונה את הישיבות שעבורן הם אוספים בסדר זה: “</w:t>
      </w:r>
      <w:r>
        <w:rPr>
          <w:b/>
          <w:bCs/>
          <w:rtl/>
        </w:rPr>
        <w:t>קובנה</w:t>
      </w:r>
      <w:r>
        <w:rPr>
          <w:rtl/>
        </w:rPr>
        <w:t xml:space="preserve">, </w:t>
      </w:r>
      <w:proofErr w:type="spellStart"/>
      <w:r>
        <w:rPr>
          <w:rtl/>
        </w:rPr>
        <w:t>מיר</w:t>
      </w:r>
      <w:proofErr w:type="spellEnd"/>
      <w:r>
        <w:rPr>
          <w:rtl/>
        </w:rPr>
        <w:t xml:space="preserve">, </w:t>
      </w:r>
      <w:proofErr w:type="spellStart"/>
      <w:r>
        <w:rPr>
          <w:b/>
          <w:bCs/>
          <w:rtl/>
        </w:rPr>
        <w:t>וולוז׳ין</w:t>
      </w:r>
      <w:proofErr w:type="spellEnd"/>
      <w:r>
        <w:rPr>
          <w:rtl/>
        </w:rPr>
        <w:t xml:space="preserve"> (ההדגשה שלי), </w:t>
      </w:r>
      <w:proofErr w:type="spellStart"/>
      <w:r>
        <w:rPr>
          <w:rtl/>
        </w:rPr>
        <w:t>טלז</w:t>
      </w:r>
      <w:proofErr w:type="spellEnd"/>
      <w:r>
        <w:rPr>
          <w:rtl/>
        </w:rPr>
        <w:t xml:space="preserve">, </w:t>
      </w:r>
      <w:proofErr w:type="spellStart"/>
      <w:r>
        <w:rPr>
          <w:rtl/>
        </w:rPr>
        <w:t>לומז׳ה</w:t>
      </w:r>
      <w:proofErr w:type="spellEnd"/>
      <w:r>
        <w:rPr>
          <w:rtl/>
        </w:rPr>
        <w:t xml:space="preserve"> ועוד”. לא היה זה בלתי </w:t>
      </w:r>
      <w:r>
        <w:rPr>
          <w:rtl/>
        </w:rPr>
        <w:lastRenderedPageBreak/>
        <w:t xml:space="preserve">אפשרי לאסוף כספים עבור ישיבת </w:t>
      </w:r>
      <w:proofErr w:type="spellStart"/>
      <w:r>
        <w:rPr>
          <w:rtl/>
        </w:rPr>
        <w:t>וולוז׳ין</w:t>
      </w:r>
      <w:proofErr w:type="spellEnd"/>
      <w:r>
        <w:rPr>
          <w:rtl/>
        </w:rPr>
        <w:t xml:space="preserve"> לאחר שחדלה לפעול, משום שהיו חובות לפרוע, ומשום התוכניות לפתוח אותה מחדש, כמבואר ב</w:t>
      </w:r>
      <w:r>
        <w:rPr>
          <w:rtl/>
        </w:rPr>
        <w:fldChar w:fldCharType="begin" w:dirty="true"/>
      </w:r>
      <w:r>
        <w:rPr>
          <w:rtl/>
        </w:rPr>
        <w:instrText xml:space="preserve"> REF b3_excK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יא</w:t>
      </w:r>
      <w:r>
        <w:rPr>
          <w:rtl/>
        </w:rPr>
        <w:fldChar w:fldCharType="end"/>
      </w:r>
      <w:r>
        <w:rPr>
          <w:rtl/>
        </w:rPr>
        <w:t xml:space="preserve"> להלן.</w:t>
      </w:r>
    </w:p>
    <w:p w14:paraId="062683C6" w14:textId="4BD6E35D" w:rsidR="00AB3647" w:rsidRDefault="00000000" w:rsidP="007923E9">
      <w:pPr>
        <w:spacing w:after="120" w:line="276" w:lineRule="auto"/>
        <w:ind w:firstLine="283"/>
        <w:jc w:val="both"/>
      </w:pPr>
      <w:r>
        <w:rPr>
          <w:rtl/>
        </w:rPr>
        <w:t xml:space="preserve">בלשונו של </w:t>
      </w:r>
      <w:proofErr w:type="spellStart"/>
      <w:r>
        <w:rPr>
          <w:rtl/>
        </w:rPr>
        <w:t>דרויאנוב</w:t>
      </w:r>
      <w:proofErr w:type="spellEnd"/>
      <w:r>
        <w:rPr>
          <w:rtl/>
        </w:rPr>
        <w:t xml:space="preserve">, “ישיבת קובנה” מוכרחת להיות </w:t>
      </w:r>
      <w:r>
        <w:rPr>
          <w:b/>
          <w:bCs/>
          <w:rtl/>
        </w:rPr>
        <w:t>יחידה אחת</w:t>
      </w:r>
      <w:r>
        <w:rPr>
          <w:rtl/>
        </w:rPr>
        <w:t xml:space="preserve">, שכללה </w:t>
      </w:r>
      <w:r>
        <w:rPr>
          <w:b/>
          <w:bCs/>
          <w:rtl/>
        </w:rPr>
        <w:t>גם</w:t>
      </w:r>
      <w:r>
        <w:rPr>
          <w:rtl/>
        </w:rPr>
        <w:t xml:space="preserve"> את הישיבה שייסד הסבא </w:t>
      </w:r>
      <w:proofErr w:type="spellStart"/>
      <w:r>
        <w:rPr>
          <w:rtl/>
        </w:rPr>
        <w:t>בסלבודקה</w:t>
      </w:r>
      <w:proofErr w:type="spellEnd"/>
      <w:r>
        <w:rPr>
          <w:rtl/>
        </w:rPr>
        <w:t xml:space="preserve"> </w:t>
      </w:r>
      <w:r>
        <w:rPr>
          <w:b/>
          <w:bCs/>
          <w:rtl/>
        </w:rPr>
        <w:t>וגם</w:t>
      </w:r>
      <w:r>
        <w:rPr>
          <w:rtl/>
        </w:rPr>
        <w:t xml:space="preserve"> את כולל הפרושים. שהישיבה נכללת בה ניכר משימושו במונח “ישיבה”, ומטענתו </w:t>
      </w:r>
      <w:proofErr w:type="spellStart"/>
      <w:r>
        <w:rPr>
          <w:rtl/>
        </w:rPr>
        <w:t>ש“ישיבת</w:t>
      </w:r>
      <w:proofErr w:type="spellEnd"/>
      <w:r>
        <w:rPr>
          <w:rtl/>
        </w:rPr>
        <w:t xml:space="preserve"> קובנה נקראת עץ חיים” – שם שאינו יכול להיות אלא שם שקיבלה הישיבה, לא הכולל, כמו שיתבאר ב</w:t>
      </w:r>
      <w:r>
        <w:rPr>
          <w:rtl/>
        </w:rPr>
        <w:fldChar w:fldCharType="begin" w:dirty="true"/>
      </w:r>
      <w:r>
        <w:rPr>
          <w:rtl/>
        </w:rPr>
        <w:instrText xml:space="preserve"> REF b3_excF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ו</w:t>
      </w:r>
      <w:r>
        <w:rPr>
          <w:rtl/>
        </w:rPr>
        <w:fldChar w:fldCharType="end"/>
      </w:r>
      <w:r>
        <w:rPr>
          <w:rtl/>
        </w:rPr>
        <w:t xml:space="preserve"> להלן.</w:t>
      </w:r>
    </w:p>
    <w:p w14:paraId="0E99FD27" w14:textId="77777777" w:rsidR="00AB3647" w:rsidRDefault="00000000" w:rsidP="007923E9">
      <w:pPr>
        <w:spacing w:after="120" w:line="276" w:lineRule="auto"/>
        <w:ind w:firstLine="283"/>
        <w:jc w:val="both"/>
      </w:pPr>
      <w:r>
        <w:rPr>
          <w:rtl/>
        </w:rPr>
        <w:t>שהכולל נכלל בה ניכר מן המשפט שהכותב הביא בסוגריים בפסקתו הארוכה המשמיצה את ישיבת קובנה, וזו לשונו: “כאן המקום להעיר שלא כל בני ישיבת קובנה לומדים בקובנה, כי רבים מהם לומדים בעריהם או בעיר אחרת ומקבלים את מחייתם מקופת הישיבה בתנאי שילמדו מוסר בכל יום”.</w:t>
      </w:r>
      <w:bookmarkStart w:id="2516" w:name="_fnr1666"/>
      <w:r>
        <w:rPr>
          <w:rStyle w:val="a5"/>
        </w:rPr>
        <w:footnoteReference w:id="1669" w:customMarkFollows="0"/>
      </w:r>
      <w:bookmarkEnd w:id="2516"/>
      <w:r>
        <w:rPr>
          <w:rtl/>
        </w:rPr>
        <w:t xml:space="preserve"> משפט זה אינו יכול לתאר אלא את כולל קובנה,</w:t>
      </w:r>
      <w:bookmarkStart w:id="2517" w:name="_fnr1667"/>
      <w:r>
        <w:rPr>
          <w:rStyle w:val="a5"/>
        </w:rPr>
        <w:footnoteReference w:id="1670" w:customMarkFollows="0"/>
      </w:r>
      <w:bookmarkEnd w:id="2517"/>
      <w:r>
        <w:rPr>
          <w:rtl/>
        </w:rPr>
        <w:t xml:space="preserve"> לא את הישיבה, שישבה </w:t>
      </w:r>
      <w:proofErr w:type="spellStart"/>
      <w:r>
        <w:rPr>
          <w:rtl/>
        </w:rPr>
        <w:t>בסלבודקה</w:t>
      </w:r>
      <w:proofErr w:type="spellEnd"/>
      <w:r>
        <w:rPr>
          <w:rtl/>
        </w:rPr>
        <w:t xml:space="preserve"> בלבד.</w:t>
      </w:r>
    </w:p>
    <w:p w14:paraId="44918550" w14:textId="0DDD4BA4" w:rsidR="00AB3647" w:rsidRDefault="00000000" w:rsidP="007923E9">
      <w:pPr>
        <w:spacing w:after="120" w:line="276" w:lineRule="auto"/>
        <w:ind w:firstLine="283"/>
        <w:jc w:val="both"/>
      </w:pPr>
      <w:r>
        <w:rPr>
          <w:rtl/>
        </w:rPr>
        <w:t xml:space="preserve">מוזר הדבר שבעת כתיבת מכתבו של אלתר </w:t>
      </w:r>
      <w:proofErr w:type="spellStart"/>
      <w:r>
        <w:rPr>
          <w:rtl/>
        </w:rPr>
        <w:t>דרויאנוב</w:t>
      </w:r>
      <w:proofErr w:type="spellEnd"/>
      <w:r>
        <w:rPr>
          <w:rtl/>
        </w:rPr>
        <w:t xml:space="preserve"> </w:t>
      </w:r>
      <w:proofErr w:type="spellStart"/>
      <w:r>
        <w:rPr>
          <w:rtl/>
        </w:rPr>
        <w:t>ב“תלפיות</w:t>
      </w:r>
      <w:proofErr w:type="spellEnd"/>
      <w:r>
        <w:rPr>
          <w:rtl/>
        </w:rPr>
        <w:t xml:space="preserve">”, כלומר בשנת תרנ״ג, עדיין נחשבו שני המוסדות בעיני </w:t>
      </w:r>
      <w:proofErr w:type="spellStart"/>
      <w:r>
        <w:rPr>
          <w:rtl/>
        </w:rPr>
        <w:t>דרויאנוב</w:t>
      </w:r>
      <w:proofErr w:type="spellEnd"/>
      <w:r>
        <w:rPr>
          <w:rtl/>
        </w:rPr>
        <w:t xml:space="preserve"> ליחידה אחת. כך אכן היו בראשית הישיבה, אבל לא עוד בתקופה מאוחרת זו, כמבואר בפסקה החמישית של סעיף זה ובהערה </w:t>
      </w:r>
      <w:r>
        <w:rPr>
          <w:rtl/>
        </w:rPr>
        <w:fldChar w:fldCharType="begin" w:dirty="true"/>
      </w:r>
      <w:r>
        <w:rPr>
          <w:rtl/>
        </w:rPr>
        <w:instrText xml:space="preserve"> REF b3_note29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29</w:t>
      </w:r>
      <w:r>
        <w:rPr>
          <w:rtl/>
        </w:rPr>
        <w:fldChar w:fldCharType="end"/>
      </w:r>
      <w:r>
        <w:rPr>
          <w:rtl/>
        </w:rPr>
        <w:t xml:space="preserve"> לעיל. אבל בכנותו את היחידה המאוחדת לכאורה “ישיבה”, הוא מראה שחלק הכולל היה קטן מן הישיבה, ולפי טענתו המוטעית – טפל </w:t>
      </w:r>
      <w:r>
        <w:rPr>
          <w:b/>
          <w:bCs/>
          <w:rtl/>
        </w:rPr>
        <w:t>לה</w:t>
      </w:r>
      <w:r>
        <w:rPr>
          <w:rtl/>
        </w:rPr>
        <w:t>. יחס הגודל אכן משקף את המצב ששרר אז.</w:t>
      </w:r>
    </w:p>
    <w:p w14:paraId="1DB414DA" w14:textId="77777777" w:rsidR="00AB3647" w:rsidRDefault="00000000" w:rsidP="007923E9">
      <w:pPr>
        <w:spacing w:after="120" w:line="276" w:lineRule="auto"/>
        <w:ind w:firstLine="283"/>
        <w:jc w:val="both"/>
      </w:pPr>
      <w:r>
        <w:rPr>
          <w:rtl/>
        </w:rPr>
        <w:t xml:space="preserve">אבל כשהכותב מציג את הכשרתו לערוך השוואה בין ישיבת </w:t>
      </w:r>
      <w:proofErr w:type="spellStart"/>
      <w:r>
        <w:rPr>
          <w:rtl/>
        </w:rPr>
        <w:t>וולוז׳ין</w:t>
      </w:r>
      <w:proofErr w:type="spellEnd"/>
      <w:r>
        <w:rPr>
          <w:rtl/>
        </w:rPr>
        <w:t xml:space="preserve"> לישיבת קובנה,</w:t>
      </w:r>
      <w:bookmarkStart w:id="2518" w:name="_fnr1668"/>
      <w:r>
        <w:rPr>
          <w:rStyle w:val="a5"/>
        </w:rPr>
        <w:footnoteReference w:id="1671" w:customMarkFollows="0"/>
      </w:r>
      <w:bookmarkEnd w:id="2518"/>
      <w:r>
        <w:rPr>
          <w:rtl/>
        </w:rPr>
        <w:t xml:space="preserve"> הוא מתאר את עצמו “עד ראיה ועד שמיעה...”. מביטוי זה, ומן העובדה שוודאי היה “עד ראיה” </w:t>
      </w:r>
      <w:proofErr w:type="spellStart"/>
      <w:r>
        <w:rPr>
          <w:rtl/>
        </w:rPr>
        <w:t>לוולוז׳ין</w:t>
      </w:r>
      <w:proofErr w:type="spellEnd"/>
      <w:r>
        <w:rPr>
          <w:rtl/>
        </w:rPr>
        <w:t xml:space="preserve"> (כדבריו במאמר זה),</w:t>
      </w:r>
      <w:bookmarkStart w:id="2519" w:name="_fnr1669"/>
      <w:r>
        <w:rPr>
          <w:rStyle w:val="a5"/>
        </w:rPr>
        <w:footnoteReference w:id="1672" w:customMarkFollows="0"/>
      </w:r>
      <w:bookmarkEnd w:id="2519"/>
      <w:r>
        <w:rPr>
          <w:rtl/>
        </w:rPr>
        <w:t xml:space="preserve"> ברור שלגבי ישיבת קובנה לא היה אלא “עד שמיעה”. את עדותו המשמיצה על המוסד שבקובנה רק שמע, בלי שראה אותו בעצמו.</w:t>
      </w:r>
      <w:bookmarkStart w:id="2520" w:name="_fnr1670"/>
      <w:r>
        <w:rPr>
          <w:rStyle w:val="a5"/>
        </w:rPr>
        <w:footnoteReference w:id="1673" w:customMarkFollows="0"/>
      </w:r>
      <w:bookmarkEnd w:id="2520"/>
      <w:r>
        <w:rPr>
          <w:rtl/>
        </w:rPr>
        <w:t xml:space="preserve"> נמצא שבעיני </w:t>
      </w:r>
      <w:proofErr w:type="spellStart"/>
      <w:r>
        <w:rPr>
          <w:rtl/>
        </w:rPr>
        <w:t>דרויאנוב</w:t>
      </w:r>
      <w:proofErr w:type="spellEnd"/>
      <w:r>
        <w:rPr>
          <w:rtl/>
        </w:rPr>
        <w:t xml:space="preserve">, ישיבת </w:t>
      </w:r>
      <w:proofErr w:type="spellStart"/>
      <w:r>
        <w:rPr>
          <w:rtl/>
        </w:rPr>
        <w:t>סלבודקה</w:t>
      </w:r>
      <w:proofErr w:type="spellEnd"/>
      <w:r>
        <w:rPr>
          <w:rtl/>
        </w:rPr>
        <w:t xml:space="preserve"> של הסבא הייתה עדיין אחת עם כולל קובנה – החלק הגדול יותר של היחידה האחת.</w:t>
      </w:r>
    </w:p>
    <w:bookmarkStart w:id="2521" w:name="b3_excF"/>
    <w:p w14:paraId="2090C37E" w14:textId="77777777" w:rsidR="00AB3647" w:rsidRDefault="00000000" w:rsidP="007923E9">
      <w:pPr>
        <w:pStyle w:val="3"/>
        <w:spacing w:line="276" w:lineRule="auto"/>
      </w:pPr>
      <w:r>
        <w:lastRenderedPageBreak/>
        <w:fldChar w:fldCharType="begin" w:dirty="true"/>
      </w:r>
      <w:r>
        <w:rPr>
          <w:rtl w:val="0"/>
        </w:rPr>
        <w:instrText>HYPERLINK \l "b3_note27</w:instrText>
      </w:r>
      <w:r>
        <w:instrText>"</w:instrText>
      </w:r>
      <w:r>
        <w:fldChar w:fldCharType="separate"/>
      </w:r>
      <w:r>
        <w:t>נספח ו</w:t>
      </w:r>
      <w:r>
        <w:fldChar w:fldCharType="end"/>
      </w:r>
      <w:bookmarkEnd w:id="2521"/>
    </w:p>
    <w:p w14:paraId="6CA87982" w14:textId="77777777" w:rsidR="00AB3647" w:rsidRDefault="00000000" w:rsidP="007923E9">
      <w:pPr>
        <w:pStyle w:val="af"/>
        <w:spacing w:line="276" w:lineRule="auto"/>
      </w:pPr>
      <w:r>
        <w:t>על ריבוי התלמידים בחלק הישיבה של כולל קובנה</w:t>
      </w:r>
    </w:p>
    <w:p w14:paraId="164A6E09" w14:textId="77777777" w:rsidR="00AB3647" w:rsidRDefault="00000000" w:rsidP="007923E9">
      <w:pPr>
        <w:pStyle w:val="5"/>
        <w:spacing w:line="276" w:lineRule="auto"/>
      </w:pPr>
      <w:r>
        <w:t>הבחורים מתחילים לאכול ימים – מספרם גדל – לישיבה אין שם משלה</w:t>
      </w:r>
    </w:p>
    <w:p w14:paraId="406C01D9" w14:textId="77777777" w:rsidR="00AB3647" w:rsidRDefault="00000000" w:rsidP="007923E9">
      <w:pPr>
        <w:spacing w:after="120" w:line="276" w:lineRule="auto"/>
        <w:ind w:firstLine="283"/>
        <w:jc w:val="both"/>
      </w:pPr>
      <w:r>
        <w:rPr>
          <w:rtl/>
        </w:rPr>
        <w:t>הבחורים למדו באותו בית מדרש שבו למדו חברי הכולל.</w:t>
      </w:r>
      <w:bookmarkStart w:id="2522" w:name="_fnr1671"/>
      <w:r>
        <w:rPr>
          <w:rStyle w:val="a5"/>
        </w:rPr>
        <w:footnoteReference w:id="1674" w:customMarkFollows="0"/>
      </w:r>
      <w:bookmarkEnd w:id="2522"/>
      <w:r>
        <w:rPr>
          <w:rtl/>
        </w:rPr>
        <w:t xml:space="preserve"> בשיחה המוקלטת בבית הכנסת “בית ישראל” במיאמי </w:t>
      </w:r>
      <w:proofErr w:type="spellStart"/>
      <w:r>
        <w:rPr>
          <w:rtl/>
        </w:rPr>
        <w:t>ביץ</w:t>
      </w:r>
      <w:proofErr w:type="spellEnd"/>
      <w:r>
        <w:rPr>
          <w:rtl/>
        </w:rPr>
        <w:t>׳ הוסיף אבי שמיד כשנוסדה הישיבה באו תלמידים נוספים מן העיירות הסמוכות, והקצבות שהועברו אליהם מתקציב האברכים לא הספיקו עוד. הבחורים התחילו “לאכול ימים”, ולחם ישן שלא נמכר במאפיות העיר נאסף כדי להשלים את צורכי המזון של התלמידים. ככל שגדל מספר התלמידים, זכו חברי כולל רבים יותר לרכוש ניסיון במסירת שיעורים.</w:t>
      </w:r>
    </w:p>
    <w:p w14:paraId="0A8FAC9D" w14:textId="7DAB98C8" w:rsidR="00AB3647" w:rsidRDefault="00000000" w:rsidP="007923E9">
      <w:pPr>
        <w:spacing w:after="120" w:line="276" w:lineRule="auto"/>
        <w:ind w:firstLine="283"/>
        <w:jc w:val="both"/>
      </w:pPr>
      <w:bookmarkStart w:id="2523" w:name="pr_b_1094"/>
      <w:bookmarkEnd w:id="2523"/>
      <w:r>
        <w:rPr>
          <w:rtl/>
        </w:rPr>
        <w:t xml:space="preserve">בשנת </w:t>
      </w:r>
      <w:proofErr w:type="spellStart"/>
      <w:r>
        <w:rPr>
          <w:rtl/>
        </w:rPr>
        <w:t>תר״ן</w:t>
      </w:r>
      <w:proofErr w:type="spellEnd"/>
      <w:r>
        <w:rPr>
          <w:rtl/>
        </w:rPr>
        <w:t xml:space="preserve"> היו בכולל ובישיבה יותר מ־200 תלמידים, לפי האיגרת שכותרתה “עלבונה של תורה”, שכתב באותה עת ר׳ </w:t>
      </w:r>
      <w:proofErr w:type="spellStart"/>
      <w:r>
        <w:rPr>
          <w:rtl/>
        </w:rPr>
        <w:t>יצחק־אלחנן</w:t>
      </w:r>
      <w:proofErr w:type="spellEnd"/>
      <w:r>
        <w:rPr>
          <w:rtl/>
        </w:rPr>
        <w:t xml:space="preserve"> כדי להגן על שמם הטוב של כולל קובנה ומנהליו מפני </w:t>
      </w:r>
      <w:proofErr w:type="spellStart"/>
      <w:r>
        <w:rPr>
          <w:rtl/>
        </w:rPr>
        <w:t>מלעיזיהם</w:t>
      </w:r>
      <w:proofErr w:type="spellEnd"/>
      <w:r>
        <w:rPr>
          <w:rtl/>
        </w:rPr>
        <w:t xml:space="preserve"> בעיתונות ההשכלה. האיגרת מובאת במלואה </w:t>
      </w:r>
      <w:proofErr w:type="spellStart"/>
      <w:r>
        <w:rPr>
          <w:rtl/>
        </w:rPr>
        <w:t>ב“פולמוס</w:t>
      </w:r>
      <w:proofErr w:type="spellEnd"/>
      <w:r>
        <w:rPr>
          <w:rtl/>
        </w:rPr>
        <w:t xml:space="preserve"> המוסר”.</w:t>
      </w:r>
      <w:bookmarkStart w:id="2524" w:name="_fnr1672"/>
      <w:r>
        <w:rPr>
          <w:rStyle w:val="a5"/>
        </w:rPr>
        <w:footnoteReference w:id="1675" w:customMarkFollows="0"/>
      </w:r>
      <w:bookmarkEnd w:id="2524"/>
      <w:r>
        <w:rPr>
          <w:rtl/>
        </w:rPr>
        <w:t xml:space="preserve"> השווה גם הפסקה השנייה ב</w:t>
      </w:r>
      <w:r>
        <w:rPr>
          <w:rtl/>
        </w:rPr>
        <w:fldChar w:fldCharType="begin" w:dirty="true"/>
      </w:r>
      <w:r>
        <w:rPr>
          <w:rtl/>
        </w:rPr>
        <w:instrText xml:space="preserve"> REF b3_excL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יב</w:t>
      </w:r>
      <w:proofErr w:type="spellEnd"/>
      <w:r>
        <w:rPr>
          <w:rtl/>
        </w:rPr>
        <w:fldChar w:fldCharType="end"/>
      </w:r>
      <w:r>
        <w:rPr>
          <w:rtl/>
        </w:rPr>
        <w:t xml:space="preserve"> להלן: בגלל המספר הרב של תלמידים רווקים שהתקבצו בעיר שלא כחוק ונתמכו מכספי הכולל, היה צורך לשמור את תקציב כולל קובנה בסוד.</w:t>
      </w:r>
    </w:p>
    <w:p w14:paraId="44DDC127" w14:textId="3B11386D" w:rsidR="00AB3647" w:rsidRDefault="00000000" w:rsidP="007923E9">
      <w:pPr>
        <w:spacing w:after="120" w:line="276" w:lineRule="auto"/>
        <w:ind w:firstLine="283"/>
        <w:jc w:val="both"/>
      </w:pPr>
      <w:r>
        <w:rPr>
          <w:rtl/>
        </w:rPr>
        <w:t xml:space="preserve">באותה עת נדפס באותו נושא מכתב מאת ר׳ </w:t>
      </w:r>
      <w:proofErr w:type="spellStart"/>
      <w:r>
        <w:rPr>
          <w:rtl/>
        </w:rPr>
        <w:t>אלעזר־משה</w:t>
      </w:r>
      <w:proofErr w:type="spellEnd"/>
      <w:r>
        <w:rPr>
          <w:rtl/>
        </w:rPr>
        <w:t xml:space="preserve"> </w:t>
      </w:r>
      <w:proofErr w:type="spellStart"/>
      <w:r>
        <w:rPr>
          <w:rtl/>
        </w:rPr>
        <w:t>הורוויץ</w:t>
      </w:r>
      <w:proofErr w:type="spellEnd"/>
      <w:r>
        <w:rPr>
          <w:rtl/>
        </w:rPr>
        <w:t xml:space="preserve">, רבה המפורסם של </w:t>
      </w:r>
      <w:proofErr w:type="spellStart"/>
      <w:r>
        <w:rPr>
          <w:rtl/>
        </w:rPr>
        <w:t>פינסק</w:t>
      </w:r>
      <w:proofErr w:type="spellEnd"/>
      <w:r>
        <w:rPr>
          <w:rtl/>
        </w:rPr>
        <w:t xml:space="preserve"> (תקע״ח–</w:t>
      </w:r>
      <w:proofErr w:type="spellStart"/>
      <w:r>
        <w:rPr>
          <w:rtl/>
        </w:rPr>
        <w:t>תר״ן</w:t>
      </w:r>
      <w:proofErr w:type="spellEnd"/>
      <w:r>
        <w:rPr>
          <w:rtl/>
        </w:rPr>
        <w:t xml:space="preserve">), המעבד את דברי הנביא (ישעיה ב, ג) באמרו: “כי </w:t>
      </w:r>
      <w:proofErr w:type="spellStart"/>
      <w:r>
        <w:rPr>
          <w:rtl/>
        </w:rPr>
        <w:t>מואלאזין</w:t>
      </w:r>
      <w:proofErr w:type="spellEnd"/>
      <w:r>
        <w:rPr>
          <w:rtl/>
        </w:rPr>
        <w:t xml:space="preserve"> תצא תורה ודבר ה׳ </w:t>
      </w:r>
      <w:proofErr w:type="spellStart"/>
      <w:r>
        <w:rPr>
          <w:rtl/>
        </w:rPr>
        <w:t>מקאוונא</w:t>
      </w:r>
      <w:proofErr w:type="spellEnd"/>
      <w:r>
        <w:rPr>
          <w:rtl/>
        </w:rPr>
        <w:t>”.</w:t>
      </w:r>
      <w:bookmarkStart w:id="2525" w:name="_fnr1673"/>
      <w:r>
        <w:rPr>
          <w:rStyle w:val="a5"/>
        </w:rPr>
        <w:footnoteReference w:id="1676" w:customMarkFollows="0"/>
      </w:r>
      <w:bookmarkEnd w:id="2525"/>
      <w:r>
        <w:rPr>
          <w:rtl/>
        </w:rPr>
        <w:t xml:space="preserve"> מכאן שעם סגירת ישיבת </w:t>
      </w:r>
      <w:proofErr w:type="spellStart"/>
      <w:r>
        <w:rPr>
          <w:rtl/>
        </w:rPr>
        <w:t>וולוז׳ין</w:t>
      </w:r>
      <w:proofErr w:type="spellEnd"/>
      <w:r>
        <w:rPr>
          <w:rtl/>
        </w:rPr>
        <w:t xml:space="preserve"> שנתיים לאחר מכן נעשתה ישיבת קובנה, שהייתה שקולה כנגדה, למרכז התורה העיקרי. על כך מעיד גם ר׳ </w:t>
      </w:r>
      <w:proofErr w:type="spellStart"/>
      <w:r>
        <w:rPr>
          <w:rtl/>
        </w:rPr>
        <w:t>יחיאל־יעקב</w:t>
      </w:r>
      <w:proofErr w:type="spellEnd"/>
      <w:r>
        <w:rPr>
          <w:rtl/>
        </w:rPr>
        <w:t xml:space="preserve"> ויינברג – ראה הציטוט מספרו “שרידי אש” בתחילת </w:t>
      </w:r>
      <w:r>
        <w:rPr>
          <w:rtl/>
        </w:rPr>
        <w:fldChar w:fldCharType="begin" w:dirty="true"/>
      </w:r>
      <w:r>
        <w:rPr>
          <w:rtl/>
        </w:rPr>
        <w:instrText xml:space="preserve"> REF b3_excK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יא</w:t>
      </w:r>
      <w:r>
        <w:rPr>
          <w:rtl/>
        </w:rPr>
        <w:fldChar w:fldCharType="end"/>
      </w:r>
      <w:r>
        <w:rPr>
          <w:rtl/>
        </w:rPr>
        <w:t xml:space="preserve"> להלן. ההעמדה של שני המוסדות, </w:t>
      </w:r>
      <w:proofErr w:type="spellStart"/>
      <w:r>
        <w:rPr>
          <w:rtl/>
        </w:rPr>
        <w:t>וולוז׳ין</w:t>
      </w:r>
      <w:proofErr w:type="spellEnd"/>
      <w:r>
        <w:rPr>
          <w:rtl/>
        </w:rPr>
        <w:t xml:space="preserve"> וקובנה, זה לצד זה בדברי הרב </w:t>
      </w:r>
      <w:proofErr w:type="spellStart"/>
      <w:r>
        <w:rPr>
          <w:rtl/>
        </w:rPr>
        <w:t>הורוויץ</w:t>
      </w:r>
      <w:proofErr w:type="spellEnd"/>
      <w:r>
        <w:rPr>
          <w:rtl/>
        </w:rPr>
        <w:t xml:space="preserve"> נבעה מן ההשמצות הדומות של המשכילים נגד שניהם באותה עת. </w:t>
      </w:r>
      <w:proofErr w:type="spellStart"/>
      <w:r>
        <w:rPr>
          <w:rtl/>
        </w:rPr>
        <w:t>וולוז׳ין</w:t>
      </w:r>
      <w:proofErr w:type="spellEnd"/>
      <w:r>
        <w:rPr>
          <w:rtl/>
        </w:rPr>
        <w:t xml:space="preserve"> נסגרה כתוצאה עקיפה של התקפותיהם, ואילו קובנה שרדה.</w:t>
      </w:r>
    </w:p>
    <w:p w14:paraId="0A47BEE7" w14:textId="4E1EB460" w:rsidR="00AB3647" w:rsidRDefault="00000000" w:rsidP="007923E9">
      <w:pPr>
        <w:spacing w:after="120" w:line="276" w:lineRule="auto"/>
        <w:ind w:firstLine="283"/>
        <w:jc w:val="both"/>
      </w:pPr>
      <w:r>
        <w:rPr>
          <w:rtl/>
        </w:rPr>
        <w:t xml:space="preserve">בעניין שמה הרשמי של הישיבה </w:t>
      </w:r>
      <w:proofErr w:type="spellStart"/>
      <w:r>
        <w:rPr>
          <w:rtl/>
        </w:rPr>
        <w:t>בסלבודקה</w:t>
      </w:r>
      <w:proofErr w:type="spellEnd"/>
      <w:r>
        <w:rPr>
          <w:rtl/>
        </w:rPr>
        <w:t>, השווה את הציטוט בפרק 5, באמצע הפסקה הראשונה ב</w:t>
      </w:r>
      <w:r>
        <w:rPr>
          <w:rtl/>
        </w:rPr>
        <w:fldChar w:fldCharType="begin" w:dirty="true"/>
      </w:r>
      <w:r>
        <w:rPr>
          <w:rtl/>
        </w:rPr>
        <w:instrText xml:space="preserve"> REF b5_excF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ו</w:t>
      </w:r>
      <w:r>
        <w:rPr>
          <w:rtl/>
        </w:rPr>
        <w:fldChar w:fldCharType="end"/>
      </w:r>
      <w:r>
        <w:rPr>
          <w:rtl/>
        </w:rPr>
        <w:t xml:space="preserve">, ממכתבו של אלתר </w:t>
      </w:r>
      <w:proofErr w:type="spellStart"/>
      <w:r>
        <w:rPr>
          <w:rtl/>
        </w:rPr>
        <w:t>דרויאנוב</w:t>
      </w:r>
      <w:proofErr w:type="spellEnd"/>
      <w:r>
        <w:rPr>
          <w:rtl/>
        </w:rPr>
        <w:t xml:space="preserve"> </w:t>
      </w:r>
      <w:proofErr w:type="spellStart"/>
      <w:r>
        <w:rPr>
          <w:rtl/>
        </w:rPr>
        <w:t>ב“תלפיות</w:t>
      </w:r>
      <w:proofErr w:type="spellEnd"/>
      <w:r>
        <w:rPr>
          <w:rtl/>
        </w:rPr>
        <w:t xml:space="preserve">”. המכתב נכתב בשנת תרנ״ג, </w:t>
      </w:r>
      <w:r>
        <w:rPr>
          <w:b/>
          <w:bCs/>
          <w:rtl/>
        </w:rPr>
        <w:t xml:space="preserve">שנה אחרי שנסגרה </w:t>
      </w:r>
      <w:proofErr w:type="spellStart"/>
      <w:r>
        <w:rPr>
          <w:b/>
          <w:bCs/>
          <w:rtl/>
        </w:rPr>
        <w:t>וולוז׳ין</w:t>
      </w:r>
      <w:proofErr w:type="spellEnd"/>
      <w:r>
        <w:rPr>
          <w:rtl/>
        </w:rPr>
        <w:t xml:space="preserve">, ונאמר בו </w:t>
      </w:r>
      <w:proofErr w:type="spellStart"/>
      <w:r>
        <w:rPr>
          <w:rtl/>
        </w:rPr>
        <w:t>ש“ישיבת</w:t>
      </w:r>
      <w:proofErr w:type="spellEnd"/>
      <w:r>
        <w:rPr>
          <w:rtl/>
        </w:rPr>
        <w:t xml:space="preserve"> קובנה” (כולל קובנה וישיבת </w:t>
      </w:r>
      <w:proofErr w:type="spellStart"/>
      <w:r>
        <w:rPr>
          <w:rtl/>
        </w:rPr>
        <w:t>סלבודקה</w:t>
      </w:r>
      <w:proofErr w:type="spellEnd"/>
      <w:r>
        <w:rPr>
          <w:rtl/>
        </w:rPr>
        <w:t>) נקראת “עץ חיים” – לפחות בחלקה, כמבואר ב</w:t>
      </w:r>
      <w:r>
        <w:rPr>
          <w:rtl/>
        </w:rPr>
        <w:fldChar w:fldCharType="begin" w:dirty="true"/>
      </w:r>
      <w:r>
        <w:rPr>
          <w:rtl/>
        </w:rPr>
        <w:instrText xml:space="preserve"> REF b3_excE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ה</w:t>
      </w:r>
      <w:r>
        <w:rPr>
          <w:rtl/>
        </w:rPr>
        <w:fldChar w:fldCharType="end"/>
      </w:r>
      <w:r>
        <w:rPr>
          <w:rtl/>
        </w:rPr>
        <w:t xml:space="preserve"> לעיל – והוא </w:t>
      </w:r>
      <w:r>
        <w:rPr>
          <w:b/>
          <w:bCs/>
          <w:rtl/>
        </w:rPr>
        <w:t>מדגיש</w:t>
      </w:r>
      <w:r>
        <w:rPr>
          <w:rtl/>
        </w:rPr>
        <w:t xml:space="preserve"> שלה ולישיבת </w:t>
      </w:r>
      <w:proofErr w:type="spellStart"/>
      <w:r>
        <w:rPr>
          <w:rtl/>
        </w:rPr>
        <w:t>וולוז׳ין</w:t>
      </w:r>
      <w:proofErr w:type="spellEnd"/>
      <w:r>
        <w:rPr>
          <w:rtl/>
        </w:rPr>
        <w:t xml:space="preserve"> אותו שם ממש. אך אין להבין כיצד, לאחר שהתחרות ביניהן בגיוס הכספים הגיעה לדין – ראה פרק 5, הפסקה הראשונה ב</w:t>
      </w:r>
      <w:r>
        <w:rPr>
          <w:rtl/>
        </w:rPr>
        <w:fldChar w:fldCharType="begin" w:dirty="true"/>
      </w:r>
      <w:r>
        <w:rPr>
          <w:rtl/>
        </w:rPr>
        <w:instrText xml:space="preserve"> REF b5_excF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ו</w:t>
      </w:r>
      <w:r>
        <w:rPr>
          <w:rtl/>
        </w:rPr>
        <w:fldChar w:fldCharType="end"/>
      </w:r>
      <w:r>
        <w:rPr>
          <w:rtl/>
        </w:rPr>
        <w:t xml:space="preserve"> – היה בית הדין מתיר לישיבת קובנה המאוחרת להשתמש בשמה הנערץ של ישיבת </w:t>
      </w:r>
      <w:proofErr w:type="spellStart"/>
      <w:r>
        <w:rPr>
          <w:rtl/>
        </w:rPr>
        <w:t>וולוז׳ין</w:t>
      </w:r>
      <w:proofErr w:type="spellEnd"/>
      <w:r>
        <w:rPr>
          <w:rtl/>
        </w:rPr>
        <w:t xml:space="preserve"> הוותיקה.</w:t>
      </w:r>
    </w:p>
    <w:p w14:paraId="7D734D33" w14:textId="77777777" w:rsidR="00AB3647" w:rsidRDefault="00000000" w:rsidP="007923E9">
      <w:pPr>
        <w:spacing w:after="120" w:line="276" w:lineRule="auto"/>
        <w:ind w:firstLine="283"/>
        <w:jc w:val="both"/>
      </w:pPr>
      <w:r>
        <w:rPr>
          <w:rtl/>
        </w:rPr>
        <w:lastRenderedPageBreak/>
        <w:t xml:space="preserve">גם “הגאון רבי משה מרדכי אפשטיין”, מאת הרב ישראל </w:t>
      </w:r>
      <w:proofErr w:type="spellStart"/>
      <w:r>
        <w:rPr>
          <w:rtl/>
        </w:rPr>
        <w:t>זיסל</w:t>
      </w:r>
      <w:proofErr w:type="spellEnd"/>
      <w:r>
        <w:rPr>
          <w:rtl/>
        </w:rPr>
        <w:t xml:space="preserve"> </w:t>
      </w:r>
      <w:proofErr w:type="spellStart"/>
      <w:r>
        <w:rPr>
          <w:rtl/>
        </w:rPr>
        <w:t>דבורץ</w:t>
      </w:r>
      <w:proofErr w:type="spellEnd"/>
      <w:r>
        <w:rPr>
          <w:rtl/>
        </w:rPr>
        <w:t>,</w:t>
      </w:r>
      <w:bookmarkStart w:id="2526" w:name="_fnr1674"/>
      <w:r>
        <w:rPr>
          <w:rStyle w:val="a5"/>
        </w:rPr>
        <w:footnoteReference w:id="1677" w:customMarkFollows="0"/>
      </w:r>
      <w:bookmarkEnd w:id="2526"/>
      <w:r>
        <w:rPr>
          <w:rtl/>
        </w:rPr>
        <w:t xml:space="preserve"> אומר במפורש </w:t>
      </w:r>
      <w:proofErr w:type="spellStart"/>
      <w:r>
        <w:rPr>
          <w:rtl/>
        </w:rPr>
        <w:t>ש“בתחילה</w:t>
      </w:r>
      <w:proofErr w:type="spellEnd"/>
      <w:r>
        <w:rPr>
          <w:rtl/>
        </w:rPr>
        <w:t xml:space="preserve">, כשהישיבה הייתה בבית המדרש הישן, נקראה ‘ישיבת </w:t>
      </w:r>
      <w:proofErr w:type="spellStart"/>
      <w:r>
        <w:rPr>
          <w:rtl/>
        </w:rPr>
        <w:t>סלבודקה</w:t>
      </w:r>
      <w:proofErr w:type="spellEnd"/>
      <w:r>
        <w:rPr>
          <w:rtl/>
        </w:rPr>
        <w:t xml:space="preserve">’ סתם (ובשנת תרנ״ז, בעקבות מחלוקת המוסר, </w:t>
      </w:r>
      <w:r>
        <w:rPr>
          <w:b/>
          <w:bCs/>
          <w:rtl/>
        </w:rPr>
        <w:t>עזבו</w:t>
      </w:r>
      <w:r>
        <w:rPr>
          <w:rtl/>
        </w:rPr>
        <w:t xml:space="preserve"> הסבא ור׳ </w:t>
      </w:r>
      <w:proofErr w:type="spellStart"/>
      <w:r>
        <w:rPr>
          <w:rtl/>
        </w:rPr>
        <w:t>משה־מרדכי</w:t>
      </w:r>
      <w:proofErr w:type="spellEnd"/>
      <w:r>
        <w:rPr>
          <w:rtl/>
        </w:rPr>
        <w:t xml:space="preserve"> </w:t>
      </w:r>
      <w:r>
        <w:rPr>
          <w:b/>
          <w:bCs/>
          <w:rtl/>
        </w:rPr>
        <w:t>ישיבה זו</w:t>
      </w:r>
      <w:r>
        <w:rPr>
          <w:rtl/>
        </w:rPr>
        <w:t xml:space="preserve"> וייסדו ישיבה חדשה שקראו לה כנסת ישראל)”. אם הטענה שבמכתבו של </w:t>
      </w:r>
      <w:proofErr w:type="spellStart"/>
      <w:r>
        <w:rPr>
          <w:rtl/>
        </w:rPr>
        <w:t>דרויאנוב</w:t>
      </w:r>
      <w:proofErr w:type="spellEnd"/>
      <w:r>
        <w:rPr>
          <w:rtl/>
        </w:rPr>
        <w:t xml:space="preserve"> נכונה כולה, קיבלה ישיבת </w:t>
      </w:r>
      <w:proofErr w:type="spellStart"/>
      <w:r>
        <w:rPr>
          <w:rtl/>
        </w:rPr>
        <w:t>סלבודקה</w:t>
      </w:r>
      <w:proofErr w:type="spellEnd"/>
      <w:r>
        <w:rPr>
          <w:rtl/>
        </w:rPr>
        <w:t xml:space="preserve"> את שמה הרשמי של </w:t>
      </w:r>
      <w:proofErr w:type="spellStart"/>
      <w:r>
        <w:rPr>
          <w:rtl/>
        </w:rPr>
        <w:t>וולוז׳ין</w:t>
      </w:r>
      <w:proofErr w:type="spellEnd"/>
      <w:r>
        <w:rPr>
          <w:rtl/>
        </w:rPr>
        <w:t xml:space="preserve">, עץ חיים – כשם שקיבלה את תלמידי </w:t>
      </w:r>
      <w:proofErr w:type="spellStart"/>
      <w:r>
        <w:rPr>
          <w:rtl/>
        </w:rPr>
        <w:t>וולוז׳ין</w:t>
      </w:r>
      <w:proofErr w:type="spellEnd"/>
      <w:r>
        <w:rPr>
          <w:rtl/>
        </w:rPr>
        <w:t xml:space="preserve"> – רק </w:t>
      </w:r>
      <w:r>
        <w:rPr>
          <w:b/>
          <w:bCs/>
          <w:rtl/>
        </w:rPr>
        <w:t>אחרי</w:t>
      </w:r>
      <w:r>
        <w:rPr>
          <w:rtl/>
        </w:rPr>
        <w:t xml:space="preserve"> שנסגרה </w:t>
      </w:r>
      <w:proofErr w:type="spellStart"/>
      <w:r>
        <w:rPr>
          <w:rtl/>
        </w:rPr>
        <w:t>וולוז׳ין</w:t>
      </w:r>
      <w:proofErr w:type="spellEnd"/>
      <w:r>
        <w:rPr>
          <w:rtl/>
        </w:rPr>
        <w:t>.</w:t>
      </w:r>
    </w:p>
    <w:p w14:paraId="4B65A0F4" w14:textId="4E08263A" w:rsidR="00AB3647" w:rsidRDefault="00000000" w:rsidP="007923E9">
      <w:pPr>
        <w:spacing w:after="120" w:line="276" w:lineRule="auto"/>
        <w:ind w:firstLine="283"/>
        <w:jc w:val="both"/>
      </w:pPr>
      <w:r>
        <w:rPr>
          <w:rtl/>
        </w:rPr>
        <w:t xml:space="preserve">אם העברית העשירה של “שרידי אש” מדויקת, נוכל להסיק מן הציטוט שהובא בעמ׳ </w:t>
      </w:r>
      <w:r>
        <w:rPr>
          <w:rtl/>
        </w:rPr>
        <w:fldChar w:fldCharType="begin" w:dirty="true"/>
      </w:r>
      <w:r>
        <w:rPr>
          <w:rtl/>
        </w:rPr>
        <w:instrText xml:space="preserve"> PAGEREF pr_b_1094 \h </w:instrText>
      </w:r>
      <w:r>
        <w:rPr>
          <w:rtl/>
        </w:rPr>
      </w:r>
      <w:r>
        <w:rPr>
          <w:rtl/>
        </w:rPr>
        <w:fldChar w:fldCharType="separate"/>
      </w:r>
      <w:r w:rsidR="007923E9">
        <w:rPr>
          <w:noProof/>
          <w:rtl/>
        </w:rPr>
        <w:t>1</w:t>
      </w:r>
      <w:r>
        <w:rPr>
          <w:rtl/>
        </w:rPr>
        <w:fldChar w:fldCharType="end"/>
      </w:r>
      <w:r>
        <w:rPr>
          <w:rtl/>
        </w:rPr>
        <w:t xml:space="preserve"> (מנספח יא שלנו) – “ירשה </w:t>
      </w:r>
      <w:proofErr w:type="spellStart"/>
      <w:r>
        <w:rPr>
          <w:rtl/>
        </w:rPr>
        <w:t>סלבודקה</w:t>
      </w:r>
      <w:proofErr w:type="spellEnd"/>
      <w:r>
        <w:rPr>
          <w:rtl/>
        </w:rPr>
        <w:t xml:space="preserve"> את מקומה ואת שמה בעולם התורני” – שישיבת </w:t>
      </w:r>
      <w:proofErr w:type="spellStart"/>
      <w:r>
        <w:rPr>
          <w:rtl/>
        </w:rPr>
        <w:t>סלבודקה</w:t>
      </w:r>
      <w:proofErr w:type="spellEnd"/>
      <w:r>
        <w:rPr>
          <w:rtl/>
        </w:rPr>
        <w:t xml:space="preserve"> נקראה (או לפחות רצתה להיקרא) בשם הנערץ “עץ חיים”. אם כך הדבר, ההיגיון הפנימי של המכתב הוא פרדוקסלי. מצד אחד הוא דן בישיבת </w:t>
      </w:r>
      <w:proofErr w:type="spellStart"/>
      <w:r>
        <w:rPr>
          <w:rtl/>
        </w:rPr>
        <w:t>וולוז׳ין</w:t>
      </w:r>
      <w:proofErr w:type="spellEnd"/>
      <w:r>
        <w:rPr>
          <w:rtl/>
        </w:rPr>
        <w:t xml:space="preserve"> כאילו היא עדיין קיימת, בגלל הטעם שנאמר במכתב, שהישיבה הנכבדה עתידה להיפתח מחדש; ומצד שני הוא מעניק לישיבת קובנה את השימוש בשמה המקודש של ישיבת </w:t>
      </w:r>
      <w:proofErr w:type="spellStart"/>
      <w:r>
        <w:rPr>
          <w:rtl/>
        </w:rPr>
        <w:t>וולוז׳ין</w:t>
      </w:r>
      <w:proofErr w:type="spellEnd"/>
      <w:r>
        <w:rPr>
          <w:rtl/>
        </w:rPr>
        <w:t xml:space="preserve"> בלי ערעור. אבל כמו שצוין בפרק 5, באמצע הפסקה הראשונה ב</w:t>
      </w:r>
      <w:r>
        <w:rPr>
          <w:rtl/>
        </w:rPr>
        <w:fldChar w:fldCharType="begin" w:dirty="true"/>
      </w:r>
      <w:r>
        <w:rPr>
          <w:rtl/>
        </w:rPr>
        <w:instrText xml:space="preserve"> REF b5_excF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ו</w:t>
      </w:r>
      <w:r>
        <w:rPr>
          <w:rtl/>
        </w:rPr>
        <w:fldChar w:fldCharType="end"/>
      </w:r>
      <w:r>
        <w:rPr>
          <w:rtl/>
        </w:rPr>
        <w:t xml:space="preserve">, ובסוף </w:t>
      </w:r>
      <w:r>
        <w:rPr>
          <w:rtl/>
        </w:rPr>
        <w:fldChar w:fldCharType="begin" w:dirty="true"/>
      </w:r>
      <w:r>
        <w:rPr>
          <w:rtl/>
        </w:rPr>
        <w:instrText xml:space="preserve"> REF b3_excE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ה</w:t>
      </w:r>
      <w:r>
        <w:rPr>
          <w:rtl/>
        </w:rPr>
        <w:fldChar w:fldCharType="end"/>
      </w:r>
      <w:r>
        <w:rPr>
          <w:rtl/>
        </w:rPr>
        <w:t xml:space="preserve"> לעיל, </w:t>
      </w:r>
      <w:proofErr w:type="spellStart"/>
      <w:r>
        <w:rPr>
          <w:rtl/>
        </w:rPr>
        <w:t>דרויאנוב</w:t>
      </w:r>
      <w:proofErr w:type="spellEnd"/>
      <w:r>
        <w:rPr>
          <w:rtl/>
        </w:rPr>
        <w:t xml:space="preserve"> אינו מהימן, וגם לא בהכרח סביר.</w:t>
      </w:r>
    </w:p>
    <w:p w14:paraId="14DC7B32" w14:textId="77777777" w:rsidR="00AB3647" w:rsidRDefault="00000000" w:rsidP="007923E9">
      <w:pPr>
        <w:spacing w:after="120" w:line="276" w:lineRule="auto"/>
        <w:ind w:firstLine="283"/>
        <w:jc w:val="both"/>
      </w:pPr>
      <w:r>
        <w:rPr>
          <w:rtl/>
        </w:rPr>
        <w:t xml:space="preserve">אם אכן נקראה ישיבת </w:t>
      </w:r>
      <w:proofErr w:type="spellStart"/>
      <w:r>
        <w:rPr>
          <w:rtl/>
        </w:rPr>
        <w:t>סלבודקה</w:t>
      </w:r>
      <w:proofErr w:type="spellEnd"/>
      <w:r>
        <w:rPr>
          <w:rtl/>
        </w:rPr>
        <w:t xml:space="preserve"> עץ חיים, ודאי היה זה לזמן קצר. ייתכן שוויתרה על השם כשנודע שהעיר </w:t>
      </w:r>
      <w:proofErr w:type="spellStart"/>
      <w:r>
        <w:rPr>
          <w:rtl/>
        </w:rPr>
        <w:t>וולוז׳ין</w:t>
      </w:r>
      <w:proofErr w:type="spellEnd"/>
      <w:r>
        <w:rPr>
          <w:rtl/>
        </w:rPr>
        <w:t xml:space="preserve"> מתכננת להקים מחדש את הישיבה. וכך אכן עשתה העיר כשהחזירה את המשנה לשעבר לראש הישיבה, ר׳ רפאל שפירא, מרבנות </w:t>
      </w:r>
      <w:proofErr w:type="spellStart"/>
      <w:r>
        <w:rPr>
          <w:rtl/>
        </w:rPr>
        <w:t>בוברויסק</w:t>
      </w:r>
      <w:proofErr w:type="spellEnd"/>
      <w:r>
        <w:rPr>
          <w:rtl/>
        </w:rPr>
        <w:t xml:space="preserve"> כדי שיהיה </w:t>
      </w:r>
      <w:r>
        <w:rPr>
          <w:b/>
          <w:bCs/>
          <w:rtl/>
        </w:rPr>
        <w:t>רבה</w:t>
      </w:r>
      <w:r>
        <w:rPr>
          <w:rtl/>
        </w:rPr>
        <w:t xml:space="preserve"> בשנת תרנ״ט.</w:t>
      </w:r>
      <w:bookmarkStart w:id="2527" w:name="_fnr1675"/>
      <w:r>
        <w:rPr>
          <w:rStyle w:val="a5"/>
        </w:rPr>
        <w:footnoteReference w:id="1678" w:customMarkFollows="0"/>
      </w:r>
      <w:bookmarkEnd w:id="2527"/>
      <w:r>
        <w:rPr>
          <w:rtl/>
        </w:rPr>
        <w:t xml:space="preserve"> הרב חיים </w:t>
      </w:r>
      <w:proofErr w:type="spellStart"/>
      <w:r>
        <w:rPr>
          <w:rtl/>
        </w:rPr>
        <w:t xml:space="preserve">קרלינסקי</w:t>
      </w:r>
      <w:proofErr w:type="spellEnd"/>
      <w:r>
        <w:rPr>
          <w:rtl/>
        </w:rPr>
        <w:t xml:space="preserve">, מחבר “הראשון לשושלת </w:t>
      </w:r>
      <w:proofErr w:type="spellStart"/>
      <w:r>
        <w:rPr>
          <w:rtl/>
        </w:rPr>
        <w:t>בריסק</w:t>
      </w:r>
      <w:proofErr w:type="spellEnd"/>
      <w:r>
        <w:rPr>
          <w:rtl/>
        </w:rPr>
        <w:t>”,</w:t>
      </w:r>
      <w:bookmarkStart w:id="2528" w:name="_fnr1676"/>
      <w:r>
        <w:rPr>
          <w:rStyle w:val="a5"/>
        </w:rPr>
        <w:footnoteReference w:id="1679" w:customMarkFollows="0"/>
      </w:r>
      <w:bookmarkEnd w:id="2528"/>
      <w:r>
        <w:rPr>
          <w:rtl/>
        </w:rPr>
        <w:t xml:space="preserve"> טוען במאמר לזכר אביו</w:t>
      </w:r>
      <w:bookmarkStart w:id="2529" w:name="_fnr1677"/>
      <w:r>
        <w:rPr>
          <w:rStyle w:val="a5"/>
        </w:rPr>
        <w:footnoteReference w:id="1680" w:customMarkFollows="0"/>
      </w:r>
      <w:bookmarkEnd w:id="2529"/>
      <w:r>
        <w:rPr>
          <w:rtl/>
        </w:rPr>
        <w:t xml:space="preserve"> שהישיבה נפתחה מחדש “בקיץ תרנ״ט”, כשאביו בא ללמוד שם לאחר שנשא את נכדת אחיו או אחותו של ר׳ רפאל. אבל “פתיחה מחדש” זו הייתה כנראה רק עניין רשמי לכבוד שובו של ר׳ רפאל לעמוד בראשה. ר׳ רפאל, איש שליו מאוד, ודאי לא היה חוזר </w:t>
      </w:r>
      <w:proofErr w:type="spellStart"/>
      <w:r>
        <w:rPr>
          <w:rtl/>
        </w:rPr>
        <w:t>לוולוז׳ין</w:t>
      </w:r>
      <w:proofErr w:type="spellEnd"/>
      <w:r>
        <w:rPr>
          <w:rtl/>
        </w:rPr>
        <w:t xml:space="preserve"> אילו לא התחילה הישיבה לפעול כבר.</w:t>
      </w:r>
      <w:bookmarkStart w:id="2530" w:name="_fnr1678"/>
      <w:r>
        <w:rPr>
          <w:rStyle w:val="a5"/>
        </w:rPr>
        <w:footnoteReference w:id="1681" w:customMarkFollows="0"/>
      </w:r>
      <w:bookmarkEnd w:id="2530"/>
    </w:p>
    <w:p w14:paraId="696EFCBC" w14:textId="77777777" w:rsidR="00AB3647" w:rsidRDefault="00000000" w:rsidP="007923E9">
      <w:pPr>
        <w:spacing w:after="120" w:line="276" w:lineRule="auto"/>
        <w:ind w:firstLine="283"/>
        <w:jc w:val="both"/>
      </w:pPr>
      <w:r>
        <w:rPr>
          <w:rtl/>
        </w:rPr>
        <w:t xml:space="preserve">התוכנית לפתוח מחדש את ישיבת </w:t>
      </w:r>
      <w:proofErr w:type="spellStart"/>
      <w:r>
        <w:rPr>
          <w:rtl/>
        </w:rPr>
        <w:t>וולוז׳ין</w:t>
      </w:r>
      <w:proofErr w:type="spellEnd"/>
      <w:r>
        <w:rPr>
          <w:rtl/>
        </w:rPr>
        <w:t xml:space="preserve"> התחילה זמן מה לפני תרנ״ו, כמו שעולה מן הכרוז שנשלח אל יהדות אמריקה מטעם </w:t>
      </w:r>
      <w:proofErr w:type="spellStart"/>
      <w:r>
        <w:rPr>
          <w:rtl/>
        </w:rPr>
        <w:t>ה“גדול</w:t>
      </w:r>
      <w:proofErr w:type="spellEnd"/>
      <w:r>
        <w:rPr>
          <w:rtl/>
        </w:rPr>
        <w:t xml:space="preserve">” ממינסק, </w:t>
      </w:r>
      <w:r>
        <w:rPr>
          <w:b/>
          <w:bCs/>
          <w:rtl/>
        </w:rPr>
        <w:t>שנפטר</w:t>
      </w:r>
      <w:r>
        <w:rPr>
          <w:rtl/>
        </w:rPr>
        <w:t xml:space="preserve"> בשנת תרנ״ו. הכרוז מובא בלי תאריך בספרו של </w:t>
      </w:r>
      <w:proofErr w:type="spellStart"/>
      <w:r>
        <w:rPr>
          <w:rtl/>
        </w:rPr>
        <w:t>צינוביץ</w:t>
      </w:r>
      <w:proofErr w:type="spellEnd"/>
      <w:r>
        <w:rPr>
          <w:rtl/>
        </w:rPr>
        <w:t>, “עץ חיים”,</w:t>
      </w:r>
      <w:bookmarkStart w:id="2531" w:name="_fnr1679"/>
      <w:r>
        <w:rPr>
          <w:rStyle w:val="a5"/>
        </w:rPr>
        <w:footnoteReference w:id="1682" w:customMarkFollows="0"/>
      </w:r>
      <w:bookmarkEnd w:id="2531"/>
      <w:r>
        <w:rPr>
          <w:rtl/>
        </w:rPr>
        <w:t xml:space="preserve"> ונאמר בו בין השאר: “הנה אור החל להגיה, ובחסד הממשלה הרמה נהיה הדבר שהבית הגדול אשר בו התורה מתגדלת נפתח! מצאו לנכון להשיב את הבית לקדושתו; תורה ותפילה יתקיימו בו כראוי לבית קדוש זה”. גם “הישיבה הליטאית בהתהוותה”, מאת שאול </w:t>
      </w:r>
      <w:proofErr w:type="spellStart"/>
      <w:r>
        <w:rPr>
          <w:rtl/>
        </w:rPr>
        <w:t>שטמפפר</w:t>
      </w:r>
      <w:proofErr w:type="spellEnd"/>
      <w:r>
        <w:rPr>
          <w:rtl/>
        </w:rPr>
        <w:t>,</w:t>
      </w:r>
      <w:bookmarkStart w:id="2532" w:name="_fnr1680"/>
      <w:r>
        <w:rPr>
          <w:rStyle w:val="a5"/>
        </w:rPr>
        <w:footnoteReference w:id="1683" w:customMarkFollows="0"/>
      </w:r>
      <w:bookmarkEnd w:id="2532"/>
      <w:r>
        <w:rPr>
          <w:rtl/>
        </w:rPr>
        <w:t xml:space="preserve"> טוען שישיבת </w:t>
      </w:r>
      <w:proofErr w:type="spellStart"/>
      <w:r>
        <w:rPr>
          <w:rtl/>
        </w:rPr>
        <w:t>וולוז׳ין</w:t>
      </w:r>
      <w:proofErr w:type="spellEnd"/>
      <w:r>
        <w:rPr>
          <w:rtl/>
        </w:rPr>
        <w:t xml:space="preserve"> נפתחה מחדש מוקדם יותר, בשנת תרנ״ה. לפיכך ייתכן שישיבת </w:t>
      </w:r>
      <w:proofErr w:type="spellStart"/>
      <w:r>
        <w:rPr>
          <w:rtl/>
        </w:rPr>
        <w:t>סלבודקה</w:t>
      </w:r>
      <w:proofErr w:type="spellEnd"/>
      <w:r>
        <w:rPr>
          <w:rtl/>
        </w:rPr>
        <w:t xml:space="preserve"> נקראה עץ חיים לכל היותר שלוש או ארבע </w:t>
      </w:r>
      <w:r>
        <w:rPr>
          <w:rtl/>
        </w:rPr>
        <w:lastRenderedPageBreak/>
        <w:t xml:space="preserve">שנים – אם בכלל. נמצא שישיבת </w:t>
      </w:r>
      <w:proofErr w:type="spellStart"/>
      <w:r>
        <w:rPr>
          <w:rtl/>
        </w:rPr>
        <w:t>סלבודקה</w:t>
      </w:r>
      <w:proofErr w:type="spellEnd"/>
      <w:r>
        <w:rPr>
          <w:rtl/>
        </w:rPr>
        <w:t xml:space="preserve"> הייתה (שוב) בלי שם כשפרצה מחלוקת המוסר בשנת תרנ״ז – כאמור </w:t>
      </w:r>
      <w:proofErr w:type="spellStart"/>
      <w:r>
        <w:rPr>
          <w:rtl/>
        </w:rPr>
        <w:t>ב“הגאון</w:t>
      </w:r>
      <w:proofErr w:type="spellEnd"/>
      <w:r>
        <w:rPr>
          <w:rtl/>
        </w:rPr>
        <w:t xml:space="preserve"> רבי משה מרדכי אפשטיין”.</w:t>
      </w:r>
    </w:p>
    <w:bookmarkStart w:id="2533" w:name="b3_excG"/>
    <w:p w14:paraId="61E2B4C0" w14:textId="77777777" w:rsidR="00AB3647" w:rsidRDefault="00000000" w:rsidP="007923E9">
      <w:pPr>
        <w:pStyle w:val="3"/>
        <w:spacing w:line="276" w:lineRule="auto"/>
      </w:pPr>
      <w:r>
        <w:lastRenderedPageBreak/>
        <w:fldChar w:fldCharType="begin" w:dirty="true"/>
      </w:r>
      <w:r>
        <w:rPr>
          <w:rtl w:val="0"/>
        </w:rPr>
        <w:instrText>HYPERLINK \l "b3_note28</w:instrText>
      </w:r>
      <w:r>
        <w:instrText>"</w:instrText>
      </w:r>
      <w:r>
        <w:fldChar w:fldCharType="separate"/>
      </w:r>
      <w:r>
        <w:t>נספח ז</w:t>
      </w:r>
      <w:r>
        <w:fldChar w:fldCharType="end"/>
      </w:r>
      <w:bookmarkEnd w:id="2533"/>
    </w:p>
    <w:p w14:paraId="513D1EA3" w14:textId="77777777" w:rsidR="00AB3647" w:rsidRDefault="00000000" w:rsidP="007923E9">
      <w:pPr>
        <w:pStyle w:val="af"/>
        <w:spacing w:line="276" w:lineRule="auto"/>
      </w:pPr>
      <w:r>
        <w:t xml:space="preserve">על חברי כולל קובנה </w:t>
      </w:r>
      <w:proofErr w:type="spellStart"/>
      <w:r>
        <w:t>המתכשרים</w:t>
      </w:r>
      <w:proofErr w:type="spellEnd"/>
      <w:r>
        <w:t xml:space="preserve"> להיות ראשי ישיבה</w:t>
      </w:r>
    </w:p>
    <w:p w14:paraId="30CD3AD8" w14:textId="77777777" w:rsidR="00AB3647" w:rsidRDefault="00000000" w:rsidP="007923E9">
      <w:pPr>
        <w:pStyle w:val="4"/>
        <w:spacing w:line="276" w:lineRule="auto"/>
      </w:pPr>
      <w:r>
        <w:t>· הפסקה הראשונה ·</w:t>
      </w:r>
    </w:p>
    <w:p w14:paraId="4C572BF6" w14:textId="77777777" w:rsidR="00AB3647" w:rsidRDefault="00000000" w:rsidP="007923E9">
      <w:pPr>
        <w:pStyle w:val="5"/>
        <w:spacing w:line="276" w:lineRule="auto"/>
      </w:pPr>
      <w:r>
        <w:t xml:space="preserve">לישיבת </w:t>
      </w:r>
      <w:proofErr w:type="spellStart"/>
      <w:r>
        <w:t>סלבודקה</w:t>
      </w:r>
      <w:proofErr w:type="spellEnd"/>
      <w:r>
        <w:t xml:space="preserve"> תלמידים מעטים בתחילתה</w:t>
      </w:r>
    </w:p>
    <w:p w14:paraId="473E5EBF" w14:textId="77777777" w:rsidR="00AB3647" w:rsidRDefault="00000000" w:rsidP="007923E9">
      <w:pPr>
        <w:spacing w:after="120" w:line="276" w:lineRule="auto"/>
        <w:ind w:firstLine="283"/>
        <w:jc w:val="both"/>
      </w:pPr>
      <w:r>
        <w:rPr>
          <w:rtl/>
        </w:rPr>
        <w:t xml:space="preserve">בשנים הראשונות היו בישיבת </w:t>
      </w:r>
      <w:proofErr w:type="spellStart"/>
      <w:r>
        <w:rPr>
          <w:rtl/>
        </w:rPr>
        <w:t>סלבודקה</w:t>
      </w:r>
      <w:proofErr w:type="spellEnd"/>
      <w:r>
        <w:rPr>
          <w:rtl/>
        </w:rPr>
        <w:t xml:space="preserve"> תלמידים מעטים; על התפתחותה האיטית אך הבטוחה של הישיבה ראה הערות 26–27 בפרק זה. “הרב רבי </w:t>
      </w:r>
      <w:proofErr w:type="spellStart"/>
      <w:r>
        <w:rPr>
          <w:rtl/>
        </w:rPr>
        <w:t>יהודא</w:t>
      </w:r>
      <w:proofErr w:type="spellEnd"/>
      <w:r>
        <w:rPr>
          <w:rtl/>
        </w:rPr>
        <w:t xml:space="preserve"> לייב פיין”, מאת הרב זאב אריה </w:t>
      </w:r>
      <w:proofErr w:type="spellStart"/>
      <w:r>
        <w:rPr>
          <w:rtl/>
        </w:rPr>
        <w:t>רבינר</w:t>
      </w:r>
      <w:proofErr w:type="spellEnd"/>
      <w:r>
        <w:rPr>
          <w:rtl/>
        </w:rPr>
        <w:t>,</w:t>
      </w:r>
      <w:bookmarkStart w:id="2534" w:name="_fnr1681"/>
      <w:r>
        <w:rPr>
          <w:rStyle w:val="a5"/>
        </w:rPr>
        <w:footnoteReference w:id="1684" w:customMarkFollows="0"/>
      </w:r>
      <w:bookmarkEnd w:id="2534"/>
      <w:r>
        <w:rPr>
          <w:rtl/>
        </w:rPr>
        <w:t xml:space="preserve"> מביא דיווח של ר׳ ניסן וקסמן על הנאום שנשא ר׳ </w:t>
      </w:r>
      <w:proofErr w:type="spellStart"/>
      <w:r>
        <w:rPr>
          <w:rtl/>
        </w:rPr>
        <w:t>יהודה־לייב</w:t>
      </w:r>
      <w:proofErr w:type="spellEnd"/>
      <w:r>
        <w:rPr>
          <w:rtl/>
        </w:rPr>
        <w:t xml:space="preserve"> פיין (יליד תרל״א) באספה </w:t>
      </w:r>
      <w:proofErr w:type="spellStart"/>
      <w:r>
        <w:rPr>
          <w:rtl/>
        </w:rPr>
        <w:t>בברנוביץ</w:t>
      </w:r>
      <w:proofErr w:type="spellEnd"/>
      <w:r>
        <w:rPr>
          <w:rtl/>
        </w:rPr>
        <w:t xml:space="preserve">׳ ביארצייט הראשון של הסבא </w:t>
      </w:r>
      <w:proofErr w:type="spellStart"/>
      <w:r>
        <w:rPr>
          <w:rtl/>
        </w:rPr>
        <w:t>מסלבודקה</w:t>
      </w:r>
      <w:proofErr w:type="spellEnd"/>
      <w:r>
        <w:rPr>
          <w:rtl/>
        </w:rPr>
        <w:t xml:space="preserve">, בשנת תרפ״ח. בנאומו העלה זיכרונות מן הזמן שבו היה הסבא “צעיר לימים, בלי שם גדול </w:t>
      </w:r>
      <w:r>
        <w:rPr>
          <w:b/>
          <w:bCs/>
          <w:rtl/>
        </w:rPr>
        <w:t>ובלי תלמידים רבים</w:t>
      </w:r>
      <w:r>
        <w:rPr>
          <w:rtl/>
        </w:rPr>
        <w:t xml:space="preserve"> (ההדגשה שלי)”.</w:t>
      </w:r>
    </w:p>
    <w:p w14:paraId="3EC5B22F" w14:textId="77777777" w:rsidR="00AB3647" w:rsidRDefault="00000000" w:rsidP="007923E9">
      <w:pPr>
        <w:spacing w:after="120" w:line="276" w:lineRule="auto"/>
        <w:ind w:firstLine="283"/>
        <w:jc w:val="both"/>
      </w:pPr>
      <w:r>
        <w:rPr>
          <w:rtl/>
        </w:rPr>
        <w:t xml:space="preserve">אני מניח שר׳ </w:t>
      </w:r>
      <w:proofErr w:type="spellStart"/>
      <w:r>
        <w:rPr>
          <w:rtl/>
        </w:rPr>
        <w:t>יהודה־לייב</w:t>
      </w:r>
      <w:proofErr w:type="spellEnd"/>
      <w:r>
        <w:rPr>
          <w:rtl/>
        </w:rPr>
        <w:t xml:space="preserve"> פיין הצטרף לישיבה בסביבות תרמ״ו. הוא נשאר בה גם בשנים שבהן היה ר׳ </w:t>
      </w:r>
      <w:proofErr w:type="spellStart"/>
      <w:r>
        <w:rPr>
          <w:rtl/>
        </w:rPr>
        <w:t>איצל׳ה</w:t>
      </w:r>
      <w:proofErr w:type="spellEnd"/>
      <w:r>
        <w:rPr>
          <w:rtl/>
        </w:rPr>
        <w:t xml:space="preserve"> </w:t>
      </w:r>
      <w:proofErr w:type="spellStart"/>
      <w:r>
        <w:rPr>
          <w:rtl/>
        </w:rPr>
        <w:t>פוניבז׳ער</w:t>
      </w:r>
      <w:proofErr w:type="spellEnd"/>
      <w:r>
        <w:rPr>
          <w:rtl/>
        </w:rPr>
        <w:t xml:space="preserve"> ראש הישיבה, כדלהלן, והיה “מתלמידיו הראשונים (של זה)”, וראה בו “רבו המובהק”.</w:t>
      </w:r>
      <w:bookmarkStart w:id="2535" w:name="_fnr1682"/>
      <w:r>
        <w:rPr>
          <w:rStyle w:val="a5"/>
        </w:rPr>
        <w:footnoteReference w:id="1685" w:customMarkFollows="0"/>
      </w:r>
      <w:bookmarkEnd w:id="2535"/>
    </w:p>
    <w:p w14:paraId="41518506" w14:textId="77777777" w:rsidR="00AB3647" w:rsidRDefault="00000000" w:rsidP="007923E9">
      <w:pPr>
        <w:pStyle w:val="4"/>
        <w:spacing w:line="276" w:lineRule="auto"/>
      </w:pPr>
      <w:r>
        <w:t>· הפסקה השנייה ·</w:t>
      </w:r>
    </w:p>
    <w:p w14:paraId="6F6909C0" w14:textId="77777777" w:rsidR="00AB3647" w:rsidRDefault="00000000" w:rsidP="007923E9">
      <w:pPr>
        <w:keepNext/>
        <w:shd w:val="clear" w:color="auto" w:fill="F2F2F2"/>
        <w:spacing w:before="40" w:after="200" w:line="276" w:lineRule="auto"/>
        <w:ind w:left="283" w:right="283"/>
        <w:jc w:val="both"/>
      </w:pPr>
      <w:r>
        <w:rPr>
          <w:color w:val="404040"/>
          <w:sz w:val="22"/>
          <w:szCs w:val="22"/>
          <w:rtl/>
        </w:rPr>
        <w:t xml:space="preserve">ר׳ </w:t>
      </w:r>
      <w:proofErr w:type="spellStart"/>
      <w:r>
        <w:rPr>
          <w:color w:val="404040"/>
          <w:sz w:val="22"/>
          <w:szCs w:val="22"/>
          <w:rtl/>
        </w:rPr>
        <w:t>שלמה־נתן</w:t>
      </w:r>
      <w:proofErr w:type="spellEnd"/>
      <w:r>
        <w:rPr>
          <w:color w:val="404040"/>
          <w:sz w:val="22"/>
          <w:szCs w:val="22"/>
          <w:rtl/>
        </w:rPr>
        <w:t xml:space="preserve"> קוטלר, שלימים נעשה עוזרו של הרב הראשי של ניו יורק, מלמד </w:t>
      </w:r>
      <w:proofErr w:type="spellStart"/>
      <w:r>
        <w:rPr>
          <w:color w:val="404040"/>
          <w:sz w:val="22"/>
          <w:szCs w:val="22"/>
          <w:rtl/>
        </w:rPr>
        <w:t>בסלבודקה</w:t>
      </w:r>
      <w:proofErr w:type="spellEnd"/>
      <w:r>
        <w:rPr>
          <w:color w:val="404040"/>
          <w:sz w:val="22"/>
          <w:szCs w:val="22"/>
          <w:rtl/>
        </w:rPr>
        <w:t xml:space="preserve"> – חבר הכולל ר׳ </w:t>
      </w:r>
      <w:proofErr w:type="spellStart"/>
      <w:r>
        <w:rPr>
          <w:color w:val="404040"/>
          <w:sz w:val="22"/>
          <w:szCs w:val="22"/>
          <w:rtl/>
        </w:rPr>
        <w:t>יצחק־אליהו</w:t>
      </w:r>
      <w:proofErr w:type="spellEnd"/>
      <w:r>
        <w:rPr>
          <w:color w:val="404040"/>
          <w:sz w:val="22"/>
          <w:szCs w:val="22"/>
          <w:rtl/>
        </w:rPr>
        <w:t xml:space="preserve"> גפן מוסר שיעורים – חבר כולל נוסף, </w:t>
      </w:r>
      <w:proofErr w:type="spellStart"/>
      <w:r>
        <w:rPr>
          <w:color w:val="404040"/>
          <w:sz w:val="22"/>
          <w:szCs w:val="22"/>
          <w:rtl/>
        </w:rPr>
        <w:t>מלבדוב</w:t>
      </w:r>
      <w:proofErr w:type="spellEnd"/>
      <w:r>
        <w:rPr>
          <w:color w:val="404040"/>
          <w:sz w:val="22"/>
          <w:szCs w:val="22"/>
          <w:rtl/>
        </w:rPr>
        <w:t xml:space="preserve">, נמנה עם צוות ישיבת </w:t>
      </w:r>
      <w:proofErr w:type="spellStart"/>
      <w:r>
        <w:rPr>
          <w:color w:val="404040"/>
          <w:sz w:val="22"/>
          <w:szCs w:val="22"/>
          <w:rtl/>
        </w:rPr>
        <w:t>סלבודקה</w:t>
      </w:r>
      <w:proofErr w:type="spellEnd"/>
      <w:r>
        <w:rPr>
          <w:color w:val="404040"/>
          <w:sz w:val="22"/>
          <w:szCs w:val="22"/>
          <w:rtl/>
        </w:rPr>
        <w:t xml:space="preserve"> – ר׳ </w:t>
      </w:r>
      <w:proofErr w:type="spellStart"/>
      <w:r>
        <w:rPr>
          <w:color w:val="404040"/>
          <w:sz w:val="22"/>
          <w:szCs w:val="22"/>
          <w:rtl/>
        </w:rPr>
        <w:t>אברהם־אהרן</w:t>
      </w:r>
      <w:proofErr w:type="spellEnd"/>
      <w:r>
        <w:rPr>
          <w:color w:val="404040"/>
          <w:sz w:val="22"/>
          <w:szCs w:val="22"/>
          <w:rtl/>
        </w:rPr>
        <w:t xml:space="preserve"> </w:t>
      </w:r>
      <w:proofErr w:type="spellStart"/>
      <w:r>
        <w:rPr>
          <w:color w:val="404040"/>
          <w:sz w:val="22"/>
          <w:szCs w:val="22"/>
          <w:rtl/>
        </w:rPr>
        <w:t>בורשטין</w:t>
      </w:r>
      <w:proofErr w:type="spellEnd"/>
      <w:r>
        <w:rPr>
          <w:color w:val="404040"/>
          <w:sz w:val="22"/>
          <w:szCs w:val="22"/>
          <w:rtl/>
        </w:rPr>
        <w:t xml:space="preserve"> מוסר שיעורים ברמה גבוהה – הוא מוכר כגאון וכצדיק – במלחמת העולם הראשונה הוא מוסר שיעורים לגולים ממזרח למוסקבה – הוא ניצל בעור שיניו בפרעות </w:t>
      </w:r>
      <w:proofErr w:type="spellStart"/>
      <w:r>
        <w:rPr>
          <w:color w:val="404040"/>
          <w:sz w:val="22"/>
          <w:szCs w:val="22"/>
          <w:rtl/>
        </w:rPr>
        <w:t>בצ׳רקס</w:t>
      </w:r>
      <w:proofErr w:type="spellEnd"/>
      <w:r>
        <w:rPr>
          <w:color w:val="404040"/>
          <w:sz w:val="22"/>
          <w:szCs w:val="22"/>
          <w:rtl/>
        </w:rPr>
        <w:t xml:space="preserve"> – ר׳ </w:t>
      </w:r>
      <w:proofErr w:type="spellStart"/>
      <w:r>
        <w:rPr>
          <w:color w:val="404040"/>
          <w:sz w:val="22"/>
          <w:szCs w:val="22"/>
          <w:rtl/>
        </w:rPr>
        <w:t>שניאור־פייבוש</w:t>
      </w:r>
      <w:proofErr w:type="spellEnd"/>
      <w:r>
        <w:rPr>
          <w:color w:val="404040"/>
          <w:sz w:val="22"/>
          <w:szCs w:val="22"/>
          <w:rtl/>
        </w:rPr>
        <w:t xml:space="preserve"> </w:t>
      </w:r>
      <w:proofErr w:type="spellStart"/>
      <w:r>
        <w:rPr>
          <w:color w:val="404040"/>
          <w:sz w:val="22"/>
          <w:szCs w:val="22"/>
          <w:rtl/>
        </w:rPr>
        <w:t>גולוב</w:t>
      </w:r>
      <w:proofErr w:type="spellEnd"/>
      <w:r>
        <w:rPr>
          <w:color w:val="404040"/>
          <w:sz w:val="22"/>
          <w:szCs w:val="22"/>
          <w:rtl/>
        </w:rPr>
        <w:t xml:space="preserve"> הוא מורה נוסף </w:t>
      </w:r>
      <w:proofErr w:type="spellStart"/>
      <w:r>
        <w:rPr>
          <w:color w:val="404040"/>
          <w:sz w:val="22"/>
          <w:szCs w:val="22"/>
          <w:rtl/>
        </w:rPr>
        <w:t>בסלבודקה</w:t>
      </w:r>
      <w:proofErr w:type="spellEnd"/>
      <w:r>
        <w:rPr>
          <w:color w:val="404040"/>
          <w:sz w:val="22"/>
          <w:szCs w:val="22"/>
          <w:rtl/>
        </w:rPr>
        <w:t xml:space="preserve"> – ר׳ חיים </w:t>
      </w:r>
      <w:proofErr w:type="spellStart"/>
      <w:r>
        <w:rPr>
          <w:color w:val="404040"/>
          <w:sz w:val="22"/>
          <w:szCs w:val="22"/>
          <w:rtl/>
        </w:rPr>
        <w:t>רבינוביץ</w:t>
      </w:r>
      <w:proofErr w:type="spellEnd"/>
      <w:r>
        <w:rPr>
          <w:color w:val="404040"/>
          <w:sz w:val="22"/>
          <w:szCs w:val="22"/>
          <w:rtl/>
        </w:rPr>
        <w:t xml:space="preserve">, לימים מישיבת </w:t>
      </w:r>
      <w:proofErr w:type="spellStart"/>
      <w:r>
        <w:rPr>
          <w:color w:val="404040"/>
          <w:sz w:val="22"/>
          <w:szCs w:val="22"/>
          <w:rtl/>
        </w:rPr>
        <w:t>טלז</w:t>
      </w:r>
      <w:proofErr w:type="spellEnd"/>
      <w:r>
        <w:rPr>
          <w:color w:val="404040"/>
          <w:sz w:val="22"/>
          <w:szCs w:val="22"/>
          <w:rtl/>
        </w:rPr>
        <w:t>, הוא עוד חבר כולל מן הראשונים המלמדים בישיבה</w:t>
      </w:r>
    </w:p>
    <w:p w14:paraId="2BA7EB09" w14:textId="77777777" w:rsidR="00AB3647" w:rsidRDefault="00000000" w:rsidP="007923E9">
      <w:pPr>
        <w:spacing w:after="120" w:line="276" w:lineRule="auto"/>
        <w:ind w:firstLine="283"/>
        <w:jc w:val="both"/>
      </w:pPr>
      <w:r>
        <w:rPr>
          <w:rtl/>
        </w:rPr>
        <w:t xml:space="preserve">יהיה מעניין לחוקר להתחקות אחר רשימת האברכים שהוכשרו למסירת שיעורים. נראה שאחד המלמדים היה ר׳ </w:t>
      </w:r>
      <w:proofErr w:type="spellStart"/>
      <w:r>
        <w:rPr>
          <w:rtl/>
        </w:rPr>
        <w:t>שלמה־נתן</w:t>
      </w:r>
      <w:proofErr w:type="spellEnd"/>
      <w:r>
        <w:rPr>
          <w:rtl/>
        </w:rPr>
        <w:t xml:space="preserve"> קוטלר, שנולד בשנת תרט״ו. לפי ההקדמה לאחד הספרים שחיבר, “כרם שלמה, </w:t>
      </w:r>
      <w:proofErr w:type="spellStart"/>
      <w:r>
        <w:rPr>
          <w:rtl/>
        </w:rPr>
        <w:t>ח״ג</w:t>
      </w:r>
      <w:proofErr w:type="spellEnd"/>
      <w:r>
        <w:rPr>
          <w:rtl/>
        </w:rPr>
        <w:t>”,</w:t>
      </w:r>
      <w:bookmarkStart w:id="2536" w:name="_fnr1683"/>
      <w:r>
        <w:rPr>
          <w:rStyle w:val="a5"/>
        </w:rPr>
        <w:footnoteReference w:id="1686" w:customMarkFollows="0"/>
      </w:r>
      <w:bookmarkEnd w:id="2536"/>
      <w:r>
        <w:rPr>
          <w:rtl/>
        </w:rPr>
        <w:t xml:space="preserve"> הוא “מסר שיעורים לתלמידים מצוינים כראש הישיבה הראשון </w:t>
      </w:r>
      <w:proofErr w:type="spellStart"/>
      <w:r>
        <w:rPr>
          <w:rtl/>
        </w:rPr>
        <w:t>בסלבודקה</w:t>
      </w:r>
      <w:proofErr w:type="spellEnd"/>
      <w:r>
        <w:rPr>
          <w:rtl/>
        </w:rPr>
        <w:t xml:space="preserve">”. כבר בגיל עשרים לימד </w:t>
      </w:r>
      <w:proofErr w:type="spellStart"/>
      <w:r>
        <w:rPr>
          <w:rtl/>
        </w:rPr>
        <w:t>בלומז׳ה</w:t>
      </w:r>
      <w:proofErr w:type="spellEnd"/>
      <w:r>
        <w:rPr>
          <w:rtl/>
        </w:rPr>
        <w:t>, וזמן מה לאחר מכן ודאי הצטרף לכולל קובנה, שבחסותו הוטל עליו ללמד בחורים. “עילוי גדול ומתמיד נפלא” זה היה כנראה הראשון מחברי כולל קובנה שמסר שיעורים לבחורים בישיבה שקמה ביוזמת הסבא.</w:t>
      </w:r>
    </w:p>
    <w:p w14:paraId="63F07B7A" w14:textId="77777777" w:rsidR="00AB3647" w:rsidRDefault="00000000" w:rsidP="007923E9">
      <w:pPr>
        <w:spacing w:after="120" w:line="276" w:lineRule="auto"/>
        <w:ind w:firstLine="283"/>
        <w:jc w:val="both"/>
      </w:pPr>
      <w:r>
        <w:rPr>
          <w:rtl/>
        </w:rPr>
        <w:t xml:space="preserve">מסתבר שניסיונו הקודם של הרב קוטלר בהוראה </w:t>
      </w:r>
      <w:proofErr w:type="spellStart"/>
      <w:r>
        <w:rPr>
          <w:rtl/>
        </w:rPr>
        <w:t>בלומז׳ה</w:t>
      </w:r>
      <w:proofErr w:type="spellEnd"/>
      <w:r>
        <w:rPr>
          <w:rtl/>
        </w:rPr>
        <w:t xml:space="preserve"> היה אחד הטעמים לבחירתו כחבר הכולל הראשון שיוביל את התוכנית החדשה. אם תרמ״ב, השנה שממנה מונה ישיבת </w:t>
      </w:r>
      <w:proofErr w:type="spellStart"/>
      <w:r>
        <w:rPr>
          <w:rtl/>
        </w:rPr>
        <w:t>סלבודקה</w:t>
      </w:r>
      <w:proofErr w:type="spellEnd"/>
      <w:r>
        <w:rPr>
          <w:rtl/>
        </w:rPr>
        <w:t xml:space="preserve"> את שנות קיומה, היא השנה שבה נחנכה התוכנית להכשרת ראשי ישיבה, הרי היה </w:t>
      </w:r>
      <w:r>
        <w:rPr>
          <w:rtl/>
        </w:rPr>
        <w:lastRenderedPageBreak/>
        <w:t xml:space="preserve">הרב קוטלר כבר בן עשרים ושבע כשהתחיל ללמד </w:t>
      </w:r>
      <w:proofErr w:type="spellStart"/>
      <w:r>
        <w:rPr>
          <w:rtl/>
        </w:rPr>
        <w:t>בסלבודקה</w:t>
      </w:r>
      <w:proofErr w:type="spellEnd"/>
      <w:r>
        <w:rPr>
          <w:rtl/>
        </w:rPr>
        <w:t xml:space="preserve">. בתקופה כלשהי בשנותיו המוקדמות שימש הרב קוטלר גם כר״מ </w:t>
      </w:r>
      <w:proofErr w:type="spellStart"/>
      <w:r>
        <w:rPr>
          <w:rtl/>
        </w:rPr>
        <w:t>בבירז</w:t>
      </w:r>
      <w:proofErr w:type="spellEnd"/>
      <w:r>
        <w:rPr>
          <w:rtl/>
        </w:rPr>
        <w:t xml:space="preserve">׳ – כנראה אחרי שלימד </w:t>
      </w:r>
      <w:proofErr w:type="spellStart"/>
      <w:r>
        <w:rPr>
          <w:rtl/>
        </w:rPr>
        <w:t>בלומז׳ה</w:t>
      </w:r>
      <w:proofErr w:type="spellEnd"/>
      <w:r>
        <w:rPr>
          <w:rtl/>
        </w:rPr>
        <w:t xml:space="preserve"> ולפני שהצטרף לכולל קובנה. כך רכש עוד ניסיון לקראת תפקידו </w:t>
      </w:r>
      <w:proofErr w:type="spellStart"/>
      <w:r>
        <w:rPr>
          <w:rtl/>
        </w:rPr>
        <w:t>בסלבודקה</w:t>
      </w:r>
      <w:proofErr w:type="spellEnd"/>
      <w:r>
        <w:rPr>
          <w:rtl/>
        </w:rPr>
        <w:t>.</w:t>
      </w:r>
      <w:bookmarkStart w:id="2537" w:name="_fnr1684"/>
      <w:r>
        <w:rPr>
          <w:rStyle w:val="a5"/>
        </w:rPr>
        <w:footnoteReference w:id="1687" w:customMarkFollows="0"/>
      </w:r>
      <w:bookmarkEnd w:id="2537"/>
      <w:r>
        <w:rPr>
          <w:rtl/>
        </w:rPr>
        <w:t xml:space="preserve"> חייו היו רבי תהפוכות.</w:t>
      </w:r>
    </w:p>
    <w:p w14:paraId="1BBDF4E7" w14:textId="77777777" w:rsidR="00AB3647" w:rsidRDefault="00000000" w:rsidP="007923E9">
      <w:pPr>
        <w:spacing w:after="120" w:line="276" w:lineRule="auto"/>
        <w:ind w:firstLine="283"/>
        <w:jc w:val="both"/>
      </w:pPr>
      <w:r>
        <w:rPr>
          <w:rtl/>
        </w:rPr>
        <w:t xml:space="preserve">לאחר זמן נעשה רבה של </w:t>
      </w:r>
      <w:proofErr w:type="spellStart"/>
      <w:r>
        <w:rPr>
          <w:rtl/>
        </w:rPr>
        <w:t>אוזוונט</w:t>
      </w:r>
      <w:proofErr w:type="spellEnd"/>
      <w:r>
        <w:rPr>
          <w:rtl/>
        </w:rPr>
        <w:t xml:space="preserve"> שבליטא, ומשם יצא לאמריקה כדי להיות לעזר לרבו החולה ר׳ </w:t>
      </w:r>
      <w:proofErr w:type="spellStart"/>
      <w:r>
        <w:rPr>
          <w:rtl/>
        </w:rPr>
        <w:t>יעקב־יוסף</w:t>
      </w:r>
      <w:proofErr w:type="spellEnd"/>
      <w:r>
        <w:rPr>
          <w:rtl/>
        </w:rPr>
        <w:t xml:space="preserve">, הרב הראשי של ניו יורק, שהיה תלמידו של ר׳ ישראל </w:t>
      </w:r>
      <w:proofErr w:type="spellStart"/>
      <w:r>
        <w:rPr>
          <w:rtl/>
        </w:rPr>
        <w:t>סלנטר</w:t>
      </w:r>
      <w:proofErr w:type="spellEnd"/>
      <w:r>
        <w:rPr>
          <w:rtl/>
        </w:rPr>
        <w:t xml:space="preserve"> </w:t>
      </w:r>
      <w:proofErr w:type="spellStart"/>
      <w:r>
        <w:rPr>
          <w:rtl/>
        </w:rPr>
        <w:t>בקלויז</w:t>
      </w:r>
      <w:proofErr w:type="spellEnd"/>
      <w:r>
        <w:rPr>
          <w:rtl/>
        </w:rPr>
        <w:t xml:space="preserve"> </w:t>
      </w:r>
      <w:proofErr w:type="spellStart"/>
      <w:r>
        <w:rPr>
          <w:rtl/>
        </w:rPr>
        <w:t>נביאזר</w:t>
      </w:r>
      <w:proofErr w:type="spellEnd"/>
      <w:r>
        <w:rPr>
          <w:rtl/>
        </w:rPr>
        <w:t xml:space="preserve"> שבקובנה.</w:t>
      </w:r>
      <w:bookmarkStart w:id="2538" w:name="_fnr1685"/>
      <w:r>
        <w:rPr>
          <w:rStyle w:val="a5"/>
        </w:rPr>
        <w:footnoteReference w:id="1688" w:customMarkFollows="0"/>
      </w:r>
      <w:bookmarkEnd w:id="2538"/>
      <w:r>
        <w:rPr>
          <w:rtl/>
        </w:rPr>
        <w:t xml:space="preserve"> במשך השנתיים ששהה בארצות הברית שימש גם “ראש הישיבה הראשון בישיבת רבנו יצחק אלחנן”. כשחזר לליטא “בערך בשנת תרס״א”, השאיר כמה מילדיו בארצות הברית. בליטא כיהן חמש שנים כרבה של </w:t>
      </w:r>
      <w:proofErr w:type="spellStart"/>
      <w:r>
        <w:rPr>
          <w:rtl/>
        </w:rPr>
        <w:t>קורשאן</w:t>
      </w:r>
      <w:proofErr w:type="spellEnd"/>
      <w:r>
        <w:rPr>
          <w:rtl/>
        </w:rPr>
        <w:t xml:space="preserve"> – חותנו היה ר׳ משה </w:t>
      </w:r>
      <w:proofErr w:type="spellStart"/>
      <w:r>
        <w:rPr>
          <w:rtl/>
        </w:rPr>
        <w:t>השלסון</w:t>
      </w:r>
      <w:proofErr w:type="spellEnd"/>
      <w:r>
        <w:rPr>
          <w:rtl/>
        </w:rPr>
        <w:t xml:space="preserve">, תושב </w:t>
      </w:r>
      <w:proofErr w:type="spellStart"/>
      <w:r>
        <w:rPr>
          <w:rtl/>
        </w:rPr>
        <w:t>קורשאן</w:t>
      </w:r>
      <w:proofErr w:type="spellEnd"/>
      <w:r>
        <w:rPr>
          <w:rtl/>
        </w:rPr>
        <w:t xml:space="preserve"> – ולאחר מכן כרבה של </w:t>
      </w:r>
      <w:proofErr w:type="spellStart"/>
      <w:r>
        <w:rPr>
          <w:rtl/>
        </w:rPr>
        <w:t>לוקניק</w:t>
      </w:r>
      <w:proofErr w:type="spellEnd"/>
      <w:r>
        <w:rPr>
          <w:rtl/>
        </w:rPr>
        <w:t>.</w:t>
      </w:r>
    </w:p>
    <w:p w14:paraId="616905E0" w14:textId="77777777" w:rsidR="00AB3647" w:rsidRDefault="00000000" w:rsidP="007923E9">
      <w:pPr>
        <w:spacing w:after="120" w:line="276" w:lineRule="auto"/>
        <w:ind w:firstLine="283"/>
        <w:jc w:val="both"/>
      </w:pPr>
      <w:r>
        <w:rPr>
          <w:rtl/>
        </w:rPr>
        <w:t>ר׳ לייזר גורדון כינה אותו “הקצות</w:t>
      </w:r>
      <w:bookmarkStart w:id="2539" w:name="_fnr1686"/>
      <w:r>
        <w:rPr>
          <w:rStyle w:val="a5"/>
        </w:rPr>
        <w:footnoteReference w:id="1689" w:customMarkFollows="0"/>
      </w:r>
      <w:bookmarkEnd w:id="2539"/>
      <w:r>
        <w:rPr>
          <w:rtl/>
        </w:rPr>
        <w:t xml:space="preserve"> של דורנו”, ותלמידים שנסעו בין </w:t>
      </w:r>
      <w:proofErr w:type="spellStart"/>
      <w:r>
        <w:rPr>
          <w:rtl/>
        </w:rPr>
        <w:t>טלז</w:t>
      </w:r>
      <w:proofErr w:type="spellEnd"/>
      <w:r>
        <w:rPr>
          <w:rtl/>
        </w:rPr>
        <w:t xml:space="preserve"> </w:t>
      </w:r>
      <w:proofErr w:type="spellStart"/>
      <w:r>
        <w:rPr>
          <w:rtl/>
        </w:rPr>
        <w:t>לסלבודקה</w:t>
      </w:r>
      <w:bookmarkStart w:id="2540" w:name="_fnr1687"/>
      <w:proofErr w:type="spellEnd"/>
      <w:r>
        <w:rPr>
          <w:rStyle w:val="a5"/>
        </w:rPr>
        <w:footnoteReference w:id="1690" w:customMarkFollows="0"/>
      </w:r>
      <w:bookmarkEnd w:id="2540"/>
      <w:r>
        <w:rPr>
          <w:rtl/>
        </w:rPr>
        <w:t xml:space="preserve"> היו עוצרים </w:t>
      </w:r>
      <w:proofErr w:type="spellStart"/>
      <w:r>
        <w:rPr>
          <w:rtl/>
        </w:rPr>
        <w:t>בלוקניק</w:t>
      </w:r>
      <w:proofErr w:type="spellEnd"/>
      <w:r>
        <w:rPr>
          <w:rtl/>
        </w:rPr>
        <w:t xml:space="preserve">, במרחק 28 קילומטרים </w:t>
      </w:r>
      <w:proofErr w:type="spellStart"/>
      <w:r>
        <w:rPr>
          <w:rtl/>
        </w:rPr>
        <w:t>מטלז</w:t>
      </w:r>
      <w:proofErr w:type="spellEnd"/>
      <w:r>
        <w:rPr>
          <w:rtl/>
        </w:rPr>
        <w:t xml:space="preserve">, כדי לשאת ולתת בתורה עם רבה. לאחר “יותר </w:t>
      </w:r>
      <w:proofErr w:type="spellStart"/>
      <w:r>
        <w:rPr>
          <w:rtl/>
        </w:rPr>
        <w:t>מחמש־עשרה</w:t>
      </w:r>
      <w:proofErr w:type="spellEnd"/>
      <w:r>
        <w:rPr>
          <w:rtl/>
        </w:rPr>
        <w:t xml:space="preserve"> שנה מאז שובו לליטא, החליט בערך בשנת תרפ״ב” לעלות לארץ ישראל, ור׳ </w:t>
      </w:r>
      <w:proofErr w:type="spellStart"/>
      <w:r>
        <w:rPr>
          <w:rtl/>
        </w:rPr>
        <w:t>שלמה־נתן</w:t>
      </w:r>
      <w:proofErr w:type="spellEnd"/>
      <w:r>
        <w:rPr>
          <w:rtl/>
        </w:rPr>
        <w:t xml:space="preserve"> חזר לארצות הברית כדי להיפרד פרידה אחרונה מילדיו שהיו שם. אבל כשבא לאמריקה חלתה אשתו, ומכיוון שנאלץ להישאר בארץ זו זמן מה, נתקבל לרב בדטרויט.</w:t>
      </w:r>
    </w:p>
    <w:p w14:paraId="151358EA" w14:textId="77777777" w:rsidR="00AB3647" w:rsidRDefault="00000000" w:rsidP="007923E9">
      <w:pPr>
        <w:spacing w:after="120" w:line="276" w:lineRule="auto"/>
        <w:ind w:firstLine="283"/>
        <w:jc w:val="both"/>
      </w:pPr>
      <w:bookmarkStart w:id="2541" w:name="pr_b_1106"/>
      <w:bookmarkEnd w:id="2541"/>
      <w:r>
        <w:rPr>
          <w:rtl/>
        </w:rPr>
        <w:t xml:space="preserve">כעבור שבע שנים חזר לליטא לשנה אחת, ולבסוף הגיע לארץ ישראל, שבה נעשה ר׳ </w:t>
      </w:r>
      <w:proofErr w:type="spellStart"/>
      <w:r>
        <w:rPr>
          <w:rtl/>
        </w:rPr>
        <w:t>יעקב־משה</w:t>
      </w:r>
      <w:proofErr w:type="spellEnd"/>
      <w:r>
        <w:rPr>
          <w:rtl/>
        </w:rPr>
        <w:t xml:space="preserve"> חרל״פ, תלמידו של הרב הראשי </w:t>
      </w:r>
      <w:proofErr w:type="spellStart"/>
      <w:r>
        <w:rPr>
          <w:rtl/>
        </w:rPr>
        <w:t>אברהם־יצחק</w:t>
      </w:r>
      <w:proofErr w:type="spellEnd"/>
      <w:r>
        <w:rPr>
          <w:rtl/>
        </w:rPr>
        <w:t xml:space="preserve"> קוק, לחתנו. הרב קוטלר נהג שלא לישון בלילות שבת ובמוצאי שבת, וללמוד תורה ברציפות שישים שעות, מיום שישי בבוקר עד יום ראשון בלילה. הוא נפטר בשנת תש״ה</w:t>
      </w:r>
      <w:bookmarkStart w:id="2542" w:name="_fnr1688"/>
      <w:r>
        <w:rPr>
          <w:rStyle w:val="a5"/>
        </w:rPr>
        <w:footnoteReference w:id="1691" w:customMarkFollows="0"/>
      </w:r>
      <w:bookmarkEnd w:id="2542"/>
      <w:r>
        <w:rPr>
          <w:rtl/>
        </w:rPr>
        <w:t xml:space="preserve"> ונקבר בהר הזיתים. ר׳ זבולון זקס, שהכיר את הרב </w:t>
      </w:r>
      <w:r>
        <w:rPr>
          <w:rtl/>
        </w:rPr>
        <w:lastRenderedPageBreak/>
        <w:t>קוטלר וטיפל בעצמו בקבורתו, אמר:</w:t>
      </w:r>
      <w:bookmarkStart w:id="2543" w:name="_fnr1689"/>
      <w:r>
        <w:rPr>
          <w:rStyle w:val="a5"/>
        </w:rPr>
        <w:footnoteReference w:id="1692" w:customMarkFollows="0"/>
      </w:r>
      <w:bookmarkEnd w:id="2543"/>
      <w:r>
        <w:rPr>
          <w:rtl/>
        </w:rPr>
        <w:t xml:space="preserve"> “הוא נראה כמלאך אלוקים”. יש הרואים בו “אולי גדול תלמידי החכמים שחיו באמריקה”.</w:t>
      </w:r>
      <w:bookmarkStart w:id="2544" w:name="_fnr1690"/>
      <w:r>
        <w:rPr>
          <w:rStyle w:val="a5"/>
        </w:rPr>
        <w:footnoteReference w:id="1693" w:customMarkFollows="0"/>
      </w:r>
      <w:bookmarkEnd w:id="2544"/>
    </w:p>
    <w:p w14:paraId="2246CA1F" w14:textId="77777777" w:rsidR="00AB3647" w:rsidRDefault="00000000" w:rsidP="007923E9">
      <w:pPr>
        <w:spacing w:after="120" w:line="276" w:lineRule="auto"/>
        <w:ind w:firstLine="283"/>
        <w:jc w:val="both"/>
      </w:pPr>
      <w:r>
        <w:rPr>
          <w:rtl/>
        </w:rPr>
        <w:t xml:space="preserve">שמו של מלמד נוסף מחברי כולל קובנה נמצא </w:t>
      </w:r>
      <w:proofErr w:type="spellStart"/>
      <w:r>
        <w:rPr>
          <w:rtl/>
        </w:rPr>
        <w:t>ב“בעקבות</w:t>
      </w:r>
      <w:proofErr w:type="spellEnd"/>
      <w:r>
        <w:rPr>
          <w:rtl/>
        </w:rPr>
        <w:t xml:space="preserve"> היראה”,</w:t>
      </w:r>
      <w:bookmarkStart w:id="2545" w:name="_fnr1691"/>
      <w:r>
        <w:rPr>
          <w:rStyle w:val="a5"/>
        </w:rPr>
        <w:footnoteReference w:id="1694" w:customMarkFollows="0"/>
      </w:r>
      <w:bookmarkEnd w:id="2545"/>
      <w:r>
        <w:rPr>
          <w:rtl/>
        </w:rPr>
        <w:t xml:space="preserve"> שם נאמר שר׳ </w:t>
      </w:r>
      <w:proofErr w:type="spellStart"/>
      <w:r>
        <w:rPr>
          <w:rtl/>
        </w:rPr>
        <w:t>יצחק־אליהו</w:t>
      </w:r>
      <w:proofErr w:type="spellEnd"/>
      <w:r>
        <w:rPr>
          <w:rtl/>
        </w:rPr>
        <w:t xml:space="preserve"> גפן, לימים רבה של </w:t>
      </w:r>
      <w:proofErr w:type="spellStart"/>
      <w:r>
        <w:rPr>
          <w:rtl/>
        </w:rPr>
        <w:t>ריטובה</w:t>
      </w:r>
      <w:proofErr w:type="spellEnd"/>
      <w:r>
        <w:rPr>
          <w:rtl/>
        </w:rPr>
        <w:t xml:space="preserve">, “היה ריש מתיבתא (ר״מ) בישיבת </w:t>
      </w:r>
      <w:proofErr w:type="spellStart"/>
      <w:r>
        <w:rPr>
          <w:rtl/>
        </w:rPr>
        <w:t>סלבודקה</w:t>
      </w:r>
      <w:proofErr w:type="spellEnd"/>
      <w:r>
        <w:rPr>
          <w:rtl/>
        </w:rPr>
        <w:t xml:space="preserve"> זמן קצר, מיד עם </w:t>
      </w:r>
      <w:proofErr w:type="spellStart"/>
      <w:r>
        <w:rPr>
          <w:rtl/>
        </w:rPr>
        <w:t>היווסדה</w:t>
      </w:r>
      <w:proofErr w:type="spellEnd"/>
      <w:r>
        <w:rPr>
          <w:rtl/>
        </w:rPr>
        <w:t xml:space="preserve">”. “ספר </w:t>
      </w:r>
      <w:proofErr w:type="spellStart"/>
      <w:r>
        <w:rPr>
          <w:rtl/>
        </w:rPr>
        <w:t>ריטובה</w:t>
      </w:r>
      <w:proofErr w:type="spellEnd"/>
      <w:r>
        <w:rPr>
          <w:rtl/>
        </w:rPr>
        <w:t>”</w:t>
      </w:r>
      <w:bookmarkStart w:id="2546" w:name="_fnr1692"/>
      <w:r>
        <w:rPr>
          <w:rStyle w:val="a5"/>
        </w:rPr>
        <w:footnoteReference w:id="1695" w:customMarkFollows="0"/>
      </w:r>
      <w:bookmarkEnd w:id="2546"/>
      <w:r>
        <w:rPr>
          <w:rtl/>
        </w:rPr>
        <w:t xml:space="preserve"> מציין שנה מסוימת לפעילות זו של הרב גפן, תרמ״ב, ומספר כיצד חלק אכסניה עם הסבא. ייתכן שלימד אחרי שעזב הרב קוטלר, וייתכן ששניהם חלקו בתפקיד ההוראה.</w:t>
      </w:r>
    </w:p>
    <w:p w14:paraId="10C4DB2F" w14:textId="77777777" w:rsidR="00AB3647" w:rsidRDefault="00000000" w:rsidP="007923E9">
      <w:pPr>
        <w:spacing w:after="120" w:line="276" w:lineRule="auto"/>
        <w:ind w:firstLine="283"/>
        <w:jc w:val="both"/>
      </w:pPr>
      <w:r>
        <w:rPr>
          <w:rtl/>
        </w:rPr>
        <w:t xml:space="preserve">זיכרונותיו של </w:t>
      </w:r>
      <w:proofErr w:type="spellStart"/>
      <w:r>
        <w:rPr>
          <w:rtl/>
        </w:rPr>
        <w:t>יהושע־לייב</w:t>
      </w:r>
      <w:proofErr w:type="spellEnd"/>
      <w:r>
        <w:rPr>
          <w:rtl/>
        </w:rPr>
        <w:t xml:space="preserve"> </w:t>
      </w:r>
      <w:proofErr w:type="spellStart"/>
      <w:r>
        <w:rPr>
          <w:rtl/>
        </w:rPr>
        <w:t>ראדוס</w:t>
      </w:r>
      <w:bookmarkStart w:id="2547" w:name="_fnr1693"/>
      <w:proofErr w:type="spellEnd"/>
      <w:r>
        <w:rPr>
          <w:rStyle w:val="a5"/>
        </w:rPr>
        <w:footnoteReference w:id="1696" w:customMarkFollows="0"/>
      </w:r>
      <w:bookmarkEnd w:id="2547"/>
      <w:r>
        <w:rPr>
          <w:rtl/>
        </w:rPr>
        <w:t xml:space="preserve"> מזכירים חבר כולל שלישי שהתחיל בשנת תרמ״ג למסור לבחורים הצעירים שיעורים מלאי חיות – לא בשמו, אלא בשם העיירה שבא ממנה, </w:t>
      </w:r>
      <w:proofErr w:type="spellStart"/>
      <w:r>
        <w:rPr>
          <w:rtl/>
        </w:rPr>
        <w:t>לבדוב</w:t>
      </w:r>
      <w:proofErr w:type="spellEnd"/>
      <w:r>
        <w:rPr>
          <w:rtl/>
        </w:rPr>
        <w:t>. עוד מובא בהם</w:t>
      </w:r>
      <w:bookmarkStart w:id="2548" w:name="_fnr1694"/>
      <w:r>
        <w:rPr>
          <w:rStyle w:val="a5"/>
        </w:rPr>
        <w:footnoteReference w:id="1697" w:customMarkFollows="0"/>
      </w:r>
      <w:bookmarkEnd w:id="2548"/>
      <w:r>
        <w:rPr>
          <w:rtl/>
        </w:rPr>
        <w:t xml:space="preserve"> שמו של “ראש הישיבה” באותה עת – כנראה הבכיר שבחברי הכולל שלמדו בבית המדרש – ר׳ </w:t>
      </w:r>
      <w:proofErr w:type="spellStart"/>
      <w:r>
        <w:rPr>
          <w:rtl/>
        </w:rPr>
        <w:t>צבי־הירש</w:t>
      </w:r>
      <w:proofErr w:type="spellEnd"/>
      <w:r>
        <w:rPr>
          <w:rtl/>
        </w:rPr>
        <w:t xml:space="preserve">. </w:t>
      </w:r>
      <w:proofErr w:type="spellStart"/>
      <w:r>
        <w:rPr>
          <w:rtl/>
        </w:rPr>
        <w:t>ראדוס</w:t>
      </w:r>
      <w:proofErr w:type="spellEnd"/>
      <w:r>
        <w:rPr>
          <w:rtl/>
        </w:rPr>
        <w:t xml:space="preserve"> היה אז נער שטרם הגיע לבר מצווה, ולמד בשיעור הפלפול המתקדם שנוסד זה מקרוב.</w:t>
      </w:r>
    </w:p>
    <w:p w14:paraId="6B195E55" w14:textId="77777777" w:rsidR="00AB3647" w:rsidRDefault="00000000" w:rsidP="007923E9">
      <w:pPr>
        <w:spacing w:after="120" w:line="276" w:lineRule="auto"/>
        <w:ind w:firstLine="283"/>
        <w:jc w:val="both"/>
      </w:pPr>
      <w:r>
        <w:rPr>
          <w:rtl/>
        </w:rPr>
        <w:t xml:space="preserve">חבר כולל רביעי שמסר שיעורים היה ר׳ </w:t>
      </w:r>
      <w:proofErr w:type="spellStart"/>
      <w:r>
        <w:rPr>
          <w:rtl/>
        </w:rPr>
        <w:t>אברהם־אהרן</w:t>
      </w:r>
      <w:proofErr w:type="spellEnd"/>
      <w:r>
        <w:rPr>
          <w:rtl/>
        </w:rPr>
        <w:t xml:space="preserve"> </w:t>
      </w:r>
      <w:proofErr w:type="spellStart"/>
      <w:r>
        <w:rPr>
          <w:rtl/>
        </w:rPr>
        <w:t>בורשטין</w:t>
      </w:r>
      <w:proofErr w:type="spellEnd"/>
      <w:r>
        <w:rPr>
          <w:rtl/>
        </w:rPr>
        <w:t xml:space="preserve">. את גדולתו הכוללת בתורה ציין ר׳ </w:t>
      </w:r>
      <w:proofErr w:type="spellStart"/>
      <w:r>
        <w:rPr>
          <w:rtl/>
        </w:rPr>
        <w:t>איסר־זלמן</w:t>
      </w:r>
      <w:proofErr w:type="spellEnd"/>
      <w:r>
        <w:rPr>
          <w:rtl/>
        </w:rPr>
        <w:t xml:space="preserve"> מלצר בהסכמה שנתן לקובץ משיעוריו, “נר אהרן”, והוא אומר </w:t>
      </w:r>
      <w:proofErr w:type="spellStart"/>
      <w:r>
        <w:rPr>
          <w:rtl/>
        </w:rPr>
        <w:t>ש“מחמת</w:t>
      </w:r>
      <w:proofErr w:type="spellEnd"/>
      <w:r>
        <w:rPr>
          <w:rtl/>
        </w:rPr>
        <w:t xml:space="preserve"> פרסומו הגדול בחידושים נפלאים רבים, נעלמה בקיאותו המופלאה בש״ס ובפוסקים”. לפי </w:t>
      </w:r>
      <w:proofErr w:type="spellStart"/>
      <w:r>
        <w:rPr>
          <w:rtl/>
        </w:rPr>
        <w:t>צינוביץ</w:t>
      </w:r>
      <w:proofErr w:type="spellEnd"/>
      <w:r>
        <w:rPr>
          <w:rtl/>
        </w:rPr>
        <w:t>, “אישים וקהילות”,</w:t>
      </w:r>
      <w:bookmarkStart w:id="2549" w:name="_fnr1695"/>
      <w:r>
        <w:rPr>
          <w:rStyle w:val="a5"/>
        </w:rPr>
        <w:footnoteReference w:id="1698" w:customMarkFollows="0"/>
      </w:r>
      <w:bookmarkEnd w:id="2549"/>
      <w:r>
        <w:rPr>
          <w:rtl/>
        </w:rPr>
        <w:t xml:space="preserve"> הוא נחשב לראש הישיבה השלישי בגדולתו בדורו, אחרי ר׳ חיים </w:t>
      </w:r>
      <w:proofErr w:type="spellStart"/>
      <w:r>
        <w:rPr>
          <w:rtl/>
        </w:rPr>
        <w:t>סולובייצ׳יק</w:t>
      </w:r>
      <w:proofErr w:type="spellEnd"/>
      <w:r>
        <w:rPr>
          <w:rtl/>
        </w:rPr>
        <w:t xml:space="preserve"> ור׳ </w:t>
      </w:r>
      <w:proofErr w:type="spellStart"/>
      <w:r>
        <w:rPr>
          <w:rtl/>
        </w:rPr>
        <w:t>איצל׳ה</w:t>
      </w:r>
      <w:proofErr w:type="spellEnd"/>
      <w:r>
        <w:rPr>
          <w:rtl/>
        </w:rPr>
        <w:t xml:space="preserve"> </w:t>
      </w:r>
      <w:proofErr w:type="spellStart"/>
      <w:r>
        <w:rPr>
          <w:rtl/>
        </w:rPr>
        <w:t>פוניבז׳ער</w:t>
      </w:r>
      <w:proofErr w:type="spellEnd"/>
      <w:r>
        <w:rPr>
          <w:rtl/>
        </w:rPr>
        <w:t>.</w:t>
      </w:r>
      <w:bookmarkStart w:id="2550" w:name="_fnr1696"/>
      <w:r>
        <w:rPr>
          <w:rStyle w:val="a5"/>
        </w:rPr>
        <w:footnoteReference w:id="1699" w:customMarkFollows="0"/>
      </w:r>
      <w:bookmarkEnd w:id="2550"/>
    </w:p>
    <w:p w14:paraId="4744CEED" w14:textId="77777777" w:rsidR="00AB3647" w:rsidRDefault="00000000" w:rsidP="007923E9">
      <w:pPr>
        <w:spacing w:after="120" w:line="276" w:lineRule="auto"/>
        <w:ind w:firstLine="283"/>
        <w:jc w:val="both"/>
      </w:pPr>
      <w:r>
        <w:rPr>
          <w:rtl/>
        </w:rPr>
        <w:t>בשיחה המוקלטת במלאות חמישים שנה לפטירת הסבא</w:t>
      </w:r>
      <w:bookmarkStart w:id="2551" w:name="_fnr1697"/>
      <w:r>
        <w:rPr>
          <w:rStyle w:val="a5"/>
        </w:rPr>
        <w:footnoteReference w:id="1700" w:customMarkFollows="0"/>
      </w:r>
      <w:bookmarkEnd w:id="2551"/>
      <w:r>
        <w:rPr>
          <w:rtl/>
        </w:rPr>
        <w:t xml:space="preserve"> הוסיף אבי, כשהזכיר את ר׳ </w:t>
      </w:r>
      <w:proofErr w:type="spellStart"/>
      <w:r>
        <w:rPr>
          <w:rtl/>
        </w:rPr>
        <w:t>אברהם־אהרן</w:t>
      </w:r>
      <w:proofErr w:type="spellEnd"/>
      <w:r>
        <w:rPr>
          <w:rtl/>
        </w:rPr>
        <w:t xml:space="preserve"> </w:t>
      </w:r>
      <w:proofErr w:type="spellStart"/>
      <w:r>
        <w:rPr>
          <w:rtl/>
        </w:rPr>
        <w:t>בורשטין</w:t>
      </w:r>
      <w:proofErr w:type="spellEnd"/>
      <w:r>
        <w:rPr>
          <w:rtl/>
        </w:rPr>
        <w:t xml:space="preserve">: “העולם נתן לו את השם ‘ראש ישיבה’, אף שלא היה אלא חבר כולל </w:t>
      </w:r>
      <w:proofErr w:type="spellStart"/>
      <w:r>
        <w:rPr>
          <w:rtl/>
        </w:rPr>
        <w:t>ש‘אמר</w:t>
      </w:r>
      <w:proofErr w:type="spellEnd"/>
      <w:r>
        <w:rPr>
          <w:rtl/>
        </w:rPr>
        <w:t xml:space="preserve"> תורה’ לבחורים; נו, אבל הרי הוא </w:t>
      </w:r>
      <w:proofErr w:type="spellStart"/>
      <w:r>
        <w:rPr>
          <w:rtl/>
        </w:rPr>
        <w:t>הטבריגער</w:t>
      </w:r>
      <w:proofErr w:type="spellEnd"/>
      <w:r>
        <w:rPr>
          <w:rtl/>
        </w:rPr>
        <w:t>!”. רבנו כינה אותו בשם העיר שממנה נתפרסם ובה כיהן ברבנות זמן רב ביותר, כמסופר להלן, וכוונתו הייתה ששיעוריו היו טובים כשיעוריו של כל ראש ישיבה ממונה.</w:t>
      </w:r>
    </w:p>
    <w:p w14:paraId="35C3313D" w14:textId="77777777" w:rsidR="00AB3647" w:rsidRDefault="00000000" w:rsidP="007923E9">
      <w:pPr>
        <w:spacing w:after="120" w:line="276" w:lineRule="auto"/>
        <w:ind w:firstLine="283"/>
        <w:jc w:val="both"/>
      </w:pPr>
      <w:r>
        <w:rPr>
          <w:rtl/>
        </w:rPr>
        <w:t xml:space="preserve">ר׳ </w:t>
      </w:r>
      <w:proofErr w:type="spellStart"/>
      <w:r>
        <w:rPr>
          <w:rtl/>
        </w:rPr>
        <w:t>אברהם־אהרן</w:t>
      </w:r>
      <w:proofErr w:type="spellEnd"/>
      <w:r>
        <w:rPr>
          <w:rtl/>
        </w:rPr>
        <w:t xml:space="preserve"> </w:t>
      </w:r>
      <w:proofErr w:type="spellStart"/>
      <w:r>
        <w:rPr>
          <w:rtl/>
        </w:rPr>
        <w:t>בורשטין</w:t>
      </w:r>
      <w:proofErr w:type="spellEnd"/>
      <w:r>
        <w:rPr>
          <w:rtl/>
        </w:rPr>
        <w:t xml:space="preserve"> נולד בשנת תרכ״ז, נשא אישה בגיל </w:t>
      </w:r>
      <w:proofErr w:type="spellStart"/>
      <w:r>
        <w:rPr>
          <w:rtl/>
        </w:rPr>
        <w:t>חמש־עשרה</w:t>
      </w:r>
      <w:proofErr w:type="spellEnd"/>
      <w:r>
        <w:rPr>
          <w:rtl/>
        </w:rPr>
        <w:t xml:space="preserve">, ונעשה מגיד שיעור </w:t>
      </w:r>
      <w:proofErr w:type="spellStart"/>
      <w:r>
        <w:rPr>
          <w:rtl/>
        </w:rPr>
        <w:t>בסלבודקה</w:t>
      </w:r>
      <w:proofErr w:type="spellEnd"/>
      <w:r>
        <w:rPr>
          <w:rtl/>
        </w:rPr>
        <w:t xml:space="preserve"> בשנת תרמ״ה,</w:t>
      </w:r>
      <w:bookmarkStart w:id="2552" w:name="_fnr1698"/>
      <w:r>
        <w:rPr>
          <w:rStyle w:val="a5"/>
        </w:rPr>
        <w:footnoteReference w:id="1701" w:customMarkFollows="0"/>
      </w:r>
      <w:bookmarkEnd w:id="2552"/>
      <w:r>
        <w:rPr>
          <w:rtl/>
        </w:rPr>
        <w:t xml:space="preserve"> בגיל </w:t>
      </w:r>
      <w:proofErr w:type="spellStart"/>
      <w:r>
        <w:rPr>
          <w:rtl/>
        </w:rPr>
        <w:t>שמונה־עשרה</w:t>
      </w:r>
      <w:proofErr w:type="spellEnd"/>
      <w:r>
        <w:rPr>
          <w:rtl/>
        </w:rPr>
        <w:t xml:space="preserve">(!). כך כתב אחיו ראובן דוד הכהן </w:t>
      </w:r>
      <w:proofErr w:type="spellStart"/>
      <w:r>
        <w:rPr>
          <w:rtl/>
        </w:rPr>
        <w:lastRenderedPageBreak/>
        <w:t>בורשטין</w:t>
      </w:r>
      <w:proofErr w:type="spellEnd"/>
      <w:r>
        <w:rPr>
          <w:rtl/>
        </w:rPr>
        <w:t xml:space="preserve"> (רבה של </w:t>
      </w:r>
      <w:proofErr w:type="spellStart"/>
      <w:r>
        <w:rPr>
          <w:rtl/>
        </w:rPr>
        <w:t>קמניץ</w:t>
      </w:r>
      <w:proofErr w:type="spellEnd"/>
      <w:r>
        <w:rPr>
          <w:rtl/>
        </w:rPr>
        <w:t xml:space="preserve">) במבוא הביוגרפי לספרו שלו, “דברי </w:t>
      </w:r>
      <w:proofErr w:type="spellStart"/>
      <w:r>
        <w:rPr>
          <w:rtl/>
        </w:rPr>
        <w:t>רד״ך</w:t>
      </w:r>
      <w:proofErr w:type="spellEnd"/>
      <w:r>
        <w:rPr>
          <w:rtl/>
        </w:rPr>
        <w:t>”.</w:t>
      </w:r>
      <w:bookmarkStart w:id="2553" w:name="_fnr1699"/>
      <w:r>
        <w:rPr>
          <w:rStyle w:val="a5"/>
        </w:rPr>
        <w:footnoteReference w:id="1702" w:customMarkFollows="0"/>
      </w:r>
      <w:bookmarkEnd w:id="2553"/>
      <w:r>
        <w:rPr>
          <w:rtl/>
        </w:rPr>
        <w:t xml:space="preserve"> בשנת תרנ״א נעשה ר׳ </w:t>
      </w:r>
      <w:proofErr w:type="spellStart"/>
      <w:r>
        <w:rPr>
          <w:rtl/>
        </w:rPr>
        <w:t>אברהם־אהרן</w:t>
      </w:r>
      <w:proofErr w:type="spellEnd"/>
      <w:r>
        <w:rPr>
          <w:rtl/>
        </w:rPr>
        <w:t xml:space="preserve"> רבה של </w:t>
      </w:r>
      <w:proofErr w:type="spellStart"/>
      <w:r>
        <w:rPr>
          <w:rtl/>
        </w:rPr>
        <w:t>ציטוביאן</w:t>
      </w:r>
      <w:proofErr w:type="spellEnd"/>
      <w:r>
        <w:rPr>
          <w:rtl/>
        </w:rPr>
        <w:t xml:space="preserve">, העיירה בליטא שבה כיהן אבי ברבנות שלושים וחמש שנה לאחר מכן. הוא נשאר שם שנה וחצי, ואחר כך עבר לכהן ברבנות במקומות אחרים: </w:t>
      </w:r>
      <w:proofErr w:type="spellStart"/>
      <w:r>
        <w:rPr>
          <w:rtl/>
        </w:rPr>
        <w:t>ריטובה</w:t>
      </w:r>
      <w:proofErr w:type="spellEnd"/>
      <w:r>
        <w:rPr>
          <w:rtl/>
        </w:rPr>
        <w:t xml:space="preserve">, לחמש שנים, ואחריה </w:t>
      </w:r>
      <w:proofErr w:type="spellStart"/>
      <w:r>
        <w:rPr>
          <w:rtl/>
        </w:rPr>
        <w:t>אניקשט</w:t>
      </w:r>
      <w:proofErr w:type="spellEnd"/>
      <w:r>
        <w:rPr>
          <w:rtl/>
        </w:rPr>
        <w:t xml:space="preserve">, </w:t>
      </w:r>
      <w:proofErr w:type="spellStart"/>
      <w:r>
        <w:rPr>
          <w:rtl/>
        </w:rPr>
        <w:t>סלנט</w:t>
      </w:r>
      <w:proofErr w:type="spellEnd"/>
      <w:r>
        <w:rPr>
          <w:rtl/>
        </w:rPr>
        <w:t xml:space="preserve">, שדובה ולבסוף </w:t>
      </w:r>
      <w:proofErr w:type="spellStart"/>
      <w:r>
        <w:rPr>
          <w:rtl/>
        </w:rPr>
        <w:t>טבריג</w:t>
      </w:r>
      <w:proofErr w:type="spellEnd"/>
      <w:r>
        <w:rPr>
          <w:rtl/>
        </w:rPr>
        <w:t>, שבה כיהן עשרים ושלוש שנה.</w:t>
      </w:r>
      <w:bookmarkStart w:id="2554" w:name="_fnr1700"/>
      <w:r>
        <w:rPr>
          <w:rStyle w:val="a5"/>
        </w:rPr>
        <w:footnoteReference w:id="1703" w:customMarkFollows="0"/>
      </w:r>
      <w:bookmarkEnd w:id="2554"/>
      <w:r>
        <w:rPr>
          <w:rtl/>
        </w:rPr>
        <w:t xml:space="preserve"> הוא נפטר בשנת תרפ״ו, אחרי שכיהן שנתיים כראש הישיבה המרכזית העולמית בירושלים (לימים מרכז הרב).</w:t>
      </w:r>
    </w:p>
    <w:p w14:paraId="1C44D484" w14:textId="29AF5D55" w:rsidR="00AB3647" w:rsidRDefault="00000000" w:rsidP="007923E9">
      <w:pPr>
        <w:spacing w:after="120" w:line="276" w:lineRule="auto"/>
        <w:ind w:firstLine="283"/>
        <w:jc w:val="both"/>
      </w:pPr>
      <w:r>
        <w:rPr>
          <w:rtl/>
        </w:rPr>
        <w:t xml:space="preserve">לפי </w:t>
      </w:r>
      <w:proofErr w:type="spellStart"/>
      <w:r>
        <w:rPr>
          <w:rtl/>
        </w:rPr>
        <w:t>צינוביץ</w:t>
      </w:r>
      <w:proofErr w:type="spellEnd"/>
      <w:r>
        <w:rPr>
          <w:rtl/>
        </w:rPr>
        <w:t>, “אישים וקהילות”,</w:t>
      </w:r>
      <w:bookmarkStart w:id="2555" w:name="_fnr1701"/>
      <w:r>
        <w:rPr>
          <w:rStyle w:val="a5"/>
        </w:rPr>
        <w:footnoteReference w:id="1704" w:customMarkFollows="0"/>
      </w:r>
      <w:bookmarkEnd w:id="2555"/>
      <w:r>
        <w:rPr>
          <w:rtl/>
        </w:rPr>
        <w:t xml:space="preserve"> הורה ר׳ </w:t>
      </w:r>
      <w:proofErr w:type="spellStart"/>
      <w:r>
        <w:rPr>
          <w:rtl/>
        </w:rPr>
        <w:t>אברהם־יצחק</w:t>
      </w:r>
      <w:proofErr w:type="spellEnd"/>
      <w:r>
        <w:rPr>
          <w:rtl/>
        </w:rPr>
        <w:t xml:space="preserve"> קוק לכתוב על מצבתו את הנוסח רב השבחים: “ארז בלבנון, אדיר התורה, בחיר גאוני הזמן, ראש ישיבות גדולות, עמוד התורה, הגאון האמיתי, פאר הדור”. ר׳ </w:t>
      </w:r>
      <w:proofErr w:type="spellStart"/>
      <w:r>
        <w:rPr>
          <w:rtl/>
        </w:rPr>
        <w:t>אברהם־אהרן</w:t>
      </w:r>
      <w:proofErr w:type="spellEnd"/>
      <w:r>
        <w:rPr>
          <w:rtl/>
        </w:rPr>
        <w:t xml:space="preserve"> מתואר</w:t>
      </w:r>
      <w:bookmarkStart w:id="2556" w:name="_fnr1702"/>
      <w:r>
        <w:rPr>
          <w:rStyle w:val="a5"/>
        </w:rPr>
        <w:footnoteReference w:id="1705" w:customMarkFollows="0"/>
      </w:r>
      <w:bookmarkEnd w:id="2556"/>
      <w:r>
        <w:rPr>
          <w:rtl/>
        </w:rPr>
        <w:t xml:space="preserve"> כך: “מידותיו הטהורות היו מלאכיות, שלא כדבר המצוי עלי אדמות. מעולם לא יצא שקר מפיו, חלילה, ומעולם לא החניף לאדם, חלילה – אפילו למי שפרנסתו הייתה תלויה בו. אהב כל אדם, ואהבתו ללמדן אמיתי הייתה אהבת נפש. שנא כסף ושקר, והיה צדיק גדול. נוכל לומר עליו: למד לימד וקיים. חכם היה לאין ערוך בכל התחומים. כל שדיבר עמו רגעים אחדים נקשר אליו ואהבו כאהבת עצמו, מפני שאבנים טובות ומרגליות נתלו בלשון הזהב שלו, אפילו בדברי חולין”. השווה גם פרק 5, סוף הפסקה הראשונה ב</w:t>
      </w:r>
      <w:r>
        <w:rPr>
          <w:rtl/>
        </w:rPr>
        <w:fldChar w:fldCharType="begin" w:dirty="true"/>
      </w:r>
      <w:r>
        <w:rPr>
          <w:rtl/>
        </w:rPr>
        <w:instrText xml:space="preserve"> REF b5_excF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ו</w:t>
      </w:r>
      <w:r>
        <w:rPr>
          <w:rtl/>
        </w:rPr>
        <w:fldChar w:fldCharType="end"/>
      </w:r>
      <w:r>
        <w:rPr>
          <w:rtl/>
        </w:rPr>
        <w:t>, על עדינותו.</w:t>
      </w:r>
    </w:p>
    <w:p w14:paraId="1799A040" w14:textId="77777777" w:rsidR="00AB3647" w:rsidRDefault="00000000" w:rsidP="007923E9">
      <w:pPr>
        <w:spacing w:after="120" w:line="276" w:lineRule="auto"/>
        <w:ind w:firstLine="283"/>
        <w:jc w:val="both"/>
      </w:pPr>
      <w:r>
        <w:rPr>
          <w:rtl/>
        </w:rPr>
        <w:t xml:space="preserve">בהערת שוליים למאמר “לדמותו של הגאון ר׳ שלמה </w:t>
      </w:r>
      <w:proofErr w:type="spellStart"/>
      <w:r>
        <w:rPr>
          <w:rtl/>
        </w:rPr>
        <w:t>פוליאצ׳יק</w:t>
      </w:r>
      <w:proofErr w:type="spellEnd"/>
      <w:r>
        <w:rPr>
          <w:rtl/>
        </w:rPr>
        <w:t xml:space="preserve"> ז״ל” </w:t>
      </w:r>
      <w:proofErr w:type="spellStart"/>
      <w:r>
        <w:rPr>
          <w:rtl/>
        </w:rPr>
        <w:t>ב“תלפיות</w:t>
      </w:r>
      <w:proofErr w:type="spellEnd"/>
      <w:r>
        <w:rPr>
          <w:rtl/>
        </w:rPr>
        <w:t>”,</w:t>
      </w:r>
      <w:bookmarkStart w:id="2557" w:name="_fnr1703"/>
      <w:r>
        <w:rPr>
          <w:rStyle w:val="a5"/>
        </w:rPr>
        <w:footnoteReference w:id="1706" w:customMarkFollows="0"/>
      </w:r>
      <w:bookmarkEnd w:id="2557"/>
      <w:r>
        <w:rPr>
          <w:rtl/>
        </w:rPr>
        <w:t xml:space="preserve"> מביא ניסן וקסמן מעשה מעניין על ר׳ </w:t>
      </w:r>
      <w:proofErr w:type="spellStart"/>
      <w:r>
        <w:rPr>
          <w:rtl/>
        </w:rPr>
        <w:t>אברהם־אהרן</w:t>
      </w:r>
      <w:proofErr w:type="spellEnd"/>
      <w:r>
        <w:rPr>
          <w:rtl/>
        </w:rPr>
        <w:t xml:space="preserve"> </w:t>
      </w:r>
      <w:proofErr w:type="spellStart"/>
      <w:r>
        <w:rPr>
          <w:rtl/>
        </w:rPr>
        <w:t>בורשטין</w:t>
      </w:r>
      <w:proofErr w:type="spellEnd"/>
      <w:r>
        <w:rPr>
          <w:rtl/>
        </w:rPr>
        <w:t xml:space="preserve">, ששמע מר׳ שלמה </w:t>
      </w:r>
      <w:proofErr w:type="spellStart"/>
      <w:r>
        <w:rPr>
          <w:rtl/>
        </w:rPr>
        <w:t>פוליצ׳ק</w:t>
      </w:r>
      <w:proofErr w:type="spellEnd"/>
      <w:r>
        <w:rPr>
          <w:rtl/>
        </w:rPr>
        <w:t xml:space="preserve">, העילוי </w:t>
      </w:r>
      <w:proofErr w:type="spellStart"/>
      <w:r>
        <w:rPr>
          <w:rtl/>
        </w:rPr>
        <w:t>ממייצ׳ט</w:t>
      </w:r>
      <w:proofErr w:type="spellEnd"/>
      <w:r>
        <w:rPr>
          <w:rtl/>
        </w:rPr>
        <w:t>.</w:t>
      </w:r>
      <w:bookmarkStart w:id="2558" w:name="_fnr1704"/>
      <w:r>
        <w:rPr>
          <w:rStyle w:val="a5"/>
        </w:rPr>
        <w:footnoteReference w:id="1707" w:customMarkFollows="0"/>
      </w:r>
      <w:bookmarkEnd w:id="2558"/>
      <w:r>
        <w:rPr>
          <w:rtl/>
        </w:rPr>
        <w:t xml:space="preserve"> בזמן גלות יהדות ליטא בשנת תרע״ה,</w:t>
      </w:r>
      <w:bookmarkStart w:id="2559" w:name="_fnr1705"/>
      <w:r>
        <w:rPr>
          <w:rStyle w:val="a5"/>
        </w:rPr>
        <w:footnoteReference w:id="1708" w:customMarkFollows="0"/>
      </w:r>
      <w:bookmarkEnd w:id="2559"/>
      <w:r>
        <w:rPr>
          <w:rtl/>
        </w:rPr>
        <w:t xml:space="preserve"> התיישב ר׳ </w:t>
      </w:r>
      <w:proofErr w:type="spellStart"/>
      <w:r>
        <w:rPr>
          <w:rtl/>
        </w:rPr>
        <w:t>אברהם־אהרן</w:t>
      </w:r>
      <w:proofErr w:type="spellEnd"/>
      <w:r>
        <w:rPr>
          <w:rtl/>
        </w:rPr>
        <w:t xml:space="preserve"> </w:t>
      </w:r>
      <w:proofErr w:type="spellStart"/>
      <w:r>
        <w:rPr>
          <w:rtl/>
        </w:rPr>
        <w:t xml:space="preserve">בבוגורודסק</w:t>
      </w:r>
      <w:proofErr w:type="spellEnd"/>
      <w:r>
        <w:rPr>
          <w:rtl/>
        </w:rPr>
        <w:t xml:space="preserve"> שממזרח למוסקבה. שני עשירים ממוסקבה, ר׳ </w:t>
      </w:r>
      <w:proofErr w:type="spellStart"/>
      <w:r>
        <w:rPr>
          <w:rtl/>
        </w:rPr>
        <w:t>יהושע־זליג</w:t>
      </w:r>
      <w:proofErr w:type="spellEnd"/>
      <w:r>
        <w:rPr>
          <w:rtl/>
        </w:rPr>
        <w:t xml:space="preserve"> </w:t>
      </w:r>
      <w:proofErr w:type="spellStart"/>
      <w:r>
        <w:rPr>
          <w:rtl/>
        </w:rPr>
        <w:t>פרסיץ</w:t>
      </w:r>
      <w:proofErr w:type="spellEnd"/>
      <w:r>
        <w:rPr>
          <w:rtl/>
        </w:rPr>
        <w:t xml:space="preserve"> והלל </w:t>
      </w:r>
      <w:proofErr w:type="spellStart"/>
      <w:r>
        <w:rPr>
          <w:rtl/>
        </w:rPr>
        <w:t>זלטופולסקי</w:t>
      </w:r>
      <w:proofErr w:type="spellEnd"/>
      <w:r>
        <w:rPr>
          <w:rtl/>
        </w:rPr>
        <w:t>, התחייבו לממן לו ישיבה, בתנאי שימסור את השיעורים בעברית!</w:t>
      </w:r>
    </w:p>
    <w:p w14:paraId="7BA577FC" w14:textId="77777777" w:rsidR="00AB3647" w:rsidRDefault="00000000" w:rsidP="007923E9">
      <w:pPr>
        <w:spacing w:after="120" w:line="276" w:lineRule="auto"/>
        <w:ind w:firstLine="283"/>
        <w:jc w:val="both"/>
      </w:pPr>
      <w:r>
        <w:rPr>
          <w:rtl/>
        </w:rPr>
        <w:t xml:space="preserve">ביום חורף אחד, קר וסוער, באו לשיעור רק תלמידים מעטים, והוא קיבל את הצעתו של מישהו שלא להתאמץ למען קהל קטן כל כך בלשון שאינה שגורה בפיו. לפיכך מסר באותו יום את שיעורו ביידיש. אחד התלמידים – קנאי ציוני, מן הסתם – טלפן לשושנה בת </w:t>
      </w:r>
      <w:proofErr w:type="spellStart"/>
      <w:r>
        <w:rPr>
          <w:rtl/>
        </w:rPr>
        <w:t>זלטופולסקי</w:t>
      </w:r>
      <w:proofErr w:type="spellEnd"/>
      <w:r>
        <w:rPr>
          <w:rtl/>
        </w:rPr>
        <w:t xml:space="preserve">, כלתו של </w:t>
      </w:r>
      <w:proofErr w:type="spellStart"/>
      <w:r>
        <w:rPr>
          <w:rtl/>
        </w:rPr>
        <w:t>פרסיץ</w:t>
      </w:r>
      <w:proofErr w:type="spellEnd"/>
      <w:r>
        <w:rPr>
          <w:rtl/>
        </w:rPr>
        <w:t xml:space="preserve"> ואשת בנו ר׳ יוסף, כדי לספר מה אירע, והיא התעלפה כששפופרת הטלפון בידה.</w:t>
      </w:r>
      <w:bookmarkStart w:id="2560" w:name="_fnr1706"/>
      <w:r>
        <w:rPr>
          <w:rStyle w:val="a5"/>
        </w:rPr>
        <w:footnoteReference w:id="1709" w:customMarkFollows="0"/>
      </w:r>
      <w:bookmarkEnd w:id="2560"/>
      <w:bookmarkStart w:id="7016" w:name="_TranslatorNote_5382"/>
      <w:r>
        <w:rPr>
          <w:rStyle w:val="a5"/>
          <w:vertAlign w:val="superscript"/>
          <w:rtl/>
        </w:rPr>
        <w:footnoteReference w:id="1710" w:customMarkFollows="1"/>
        <w:t>*</w:t>
      </w:r>
      <w:bookmarkEnd w:id="7016"/>
      <w:r>
        <w:rPr>
          <w:rtl/>
        </w:rPr>
        <w:t xml:space="preserve"> היא הכירה את “מידותיו המלאכיות” של ר׳ </w:t>
      </w:r>
      <w:proofErr w:type="spellStart"/>
      <w:r>
        <w:rPr>
          <w:rtl/>
        </w:rPr>
        <w:t>אברהם־אהרן</w:t>
      </w:r>
      <w:proofErr w:type="spellEnd"/>
      <w:r>
        <w:rPr>
          <w:rtl/>
        </w:rPr>
        <w:t xml:space="preserve"> </w:t>
      </w:r>
      <w:proofErr w:type="spellStart"/>
      <w:r>
        <w:rPr>
          <w:rtl/>
        </w:rPr>
        <w:t>בורשטין</w:t>
      </w:r>
      <w:proofErr w:type="spellEnd"/>
      <w:r>
        <w:rPr>
          <w:rtl/>
        </w:rPr>
        <w:t xml:space="preserve">, כמובא לעיל, </w:t>
      </w:r>
      <w:proofErr w:type="spellStart"/>
      <w:r>
        <w:rPr>
          <w:rtl/>
        </w:rPr>
        <w:t>ונזדעזעה</w:t>
      </w:r>
      <w:proofErr w:type="spellEnd"/>
      <w:r>
        <w:rPr>
          <w:rtl/>
        </w:rPr>
        <w:t xml:space="preserve"> מכך שסטה מלשונו המדויקת של ההסכם עם אביה וחותנה.</w:t>
      </w:r>
    </w:p>
    <w:p w14:paraId="15F8FC5B" w14:textId="77777777" w:rsidR="00AB3647" w:rsidRDefault="00000000" w:rsidP="007923E9">
      <w:pPr>
        <w:spacing w:after="120" w:line="276" w:lineRule="auto"/>
        <w:ind w:firstLine="283"/>
        <w:jc w:val="both"/>
      </w:pPr>
      <w:r>
        <w:rPr>
          <w:rtl/>
        </w:rPr>
        <w:lastRenderedPageBreak/>
        <w:t xml:space="preserve">בסקירה הביוגרפית של רב </w:t>
      </w:r>
      <w:proofErr w:type="spellStart"/>
      <w:r>
        <w:rPr>
          <w:rtl/>
        </w:rPr>
        <w:t>קמניץ</w:t>
      </w:r>
      <w:proofErr w:type="spellEnd"/>
      <w:r>
        <w:rPr>
          <w:rtl/>
        </w:rPr>
        <w:t xml:space="preserve"> על ר׳ </w:t>
      </w:r>
      <w:proofErr w:type="spellStart"/>
      <w:r>
        <w:rPr>
          <w:rtl/>
        </w:rPr>
        <w:t>אברהם־אהרן</w:t>
      </w:r>
      <w:proofErr w:type="spellEnd"/>
      <w:r>
        <w:rPr>
          <w:rtl/>
        </w:rPr>
        <w:t xml:space="preserve"> </w:t>
      </w:r>
      <w:proofErr w:type="spellStart"/>
      <w:r>
        <w:rPr>
          <w:rtl/>
        </w:rPr>
        <w:t>בורשטין</w:t>
      </w:r>
      <w:bookmarkStart w:id="2561" w:name="_fnr1707"/>
      <w:proofErr w:type="spellEnd"/>
      <w:r>
        <w:rPr>
          <w:rStyle w:val="a5"/>
        </w:rPr>
        <w:footnoteReference w:id="1711" w:customMarkFollows="0"/>
      </w:r>
      <w:bookmarkEnd w:id="2561"/>
      <w:r>
        <w:rPr>
          <w:rtl/>
        </w:rPr>
        <w:t xml:space="preserve"> נאמר: “הישיבה, עם ראש הישיבה שלה ר׳ </w:t>
      </w:r>
      <w:proofErr w:type="spellStart"/>
      <w:r>
        <w:rPr>
          <w:rtl/>
        </w:rPr>
        <w:t>אברהם־אהרן</w:t>
      </w:r>
      <w:proofErr w:type="spellEnd"/>
      <w:r>
        <w:rPr>
          <w:rtl/>
        </w:rPr>
        <w:t xml:space="preserve"> </w:t>
      </w:r>
      <w:proofErr w:type="spellStart"/>
      <w:r>
        <w:rPr>
          <w:rtl/>
        </w:rPr>
        <w:t>בורשטין</w:t>
      </w:r>
      <w:proofErr w:type="spellEnd"/>
      <w:r>
        <w:rPr>
          <w:rtl/>
        </w:rPr>
        <w:t>, עברה [</w:t>
      </w:r>
      <w:proofErr w:type="spellStart"/>
      <w:r>
        <w:rPr>
          <w:rtl/>
        </w:rPr>
        <w:t xml:space="preserve">מבוגורודסק</w:t>
      </w:r>
      <w:proofErr w:type="spellEnd"/>
      <w:r>
        <w:rPr>
          <w:rtl/>
        </w:rPr>
        <w:t xml:space="preserve">] לעיר </w:t>
      </w:r>
      <w:proofErr w:type="spellStart"/>
      <w:r>
        <w:rPr>
          <w:rtl/>
        </w:rPr>
        <w:t>סרטוב</w:t>
      </w:r>
      <w:proofErr w:type="spellEnd"/>
      <w:r>
        <w:rPr>
          <w:rtl/>
        </w:rPr>
        <w:t xml:space="preserve">, ולבסוף נסגרה. ר׳ </w:t>
      </w:r>
      <w:proofErr w:type="spellStart"/>
      <w:r>
        <w:rPr>
          <w:rtl/>
        </w:rPr>
        <w:t>אברהם־אהרן</w:t>
      </w:r>
      <w:proofErr w:type="spellEnd"/>
      <w:r>
        <w:rPr>
          <w:rtl/>
        </w:rPr>
        <w:t xml:space="preserve"> </w:t>
      </w:r>
      <w:proofErr w:type="spellStart"/>
      <w:r>
        <w:rPr>
          <w:rtl/>
        </w:rPr>
        <w:t>בורשטין</w:t>
      </w:r>
      <w:proofErr w:type="spellEnd"/>
      <w:r>
        <w:rPr>
          <w:rtl/>
        </w:rPr>
        <w:t xml:space="preserve"> נתקבל אז לרבה של </w:t>
      </w:r>
      <w:proofErr w:type="spellStart"/>
      <w:r>
        <w:rPr>
          <w:rtl/>
        </w:rPr>
        <w:t>צ׳רקס</w:t>
      </w:r>
      <w:proofErr w:type="spellEnd"/>
      <w:r>
        <w:rPr>
          <w:rtl/>
        </w:rPr>
        <w:t>,</w:t>
      </w:r>
      <w:bookmarkStart w:id="2562" w:name="_fnr1708"/>
      <w:r>
        <w:rPr>
          <w:rStyle w:val="a5"/>
        </w:rPr>
        <w:footnoteReference w:id="1712" w:customMarkFollows="0"/>
      </w:r>
      <w:bookmarkEnd w:id="2562"/>
      <w:r>
        <w:rPr>
          <w:rtl/>
        </w:rPr>
        <w:t xml:space="preserve"> ובזמן שהותו שם היו שני פוגרומים איומים ונוראים של האוקראינים באחינו היהודים. המרצחים רדפו אז אחר הרב, והוא נכנס בריצה לביתו של רופא </w:t>
      </w:r>
      <w:proofErr w:type="spellStart"/>
      <w:r>
        <w:rPr>
          <w:rtl/>
        </w:rPr>
        <w:t>נכרי</w:t>
      </w:r>
      <w:proofErr w:type="spellEnd"/>
      <w:r>
        <w:rPr>
          <w:rtl/>
        </w:rPr>
        <w:t xml:space="preserve">. הרוצחים רדפו אחריו גם לשם, אך אשת הרופא התייצבה נגדם. הם גברו עליה, ובינתיים הצליח להימלט דרך חלון ולהינצל מידם. כשנפתחה הדרך חזרה לפלך קובנה, מיהר לשוב עם משפחתו </w:t>
      </w:r>
      <w:proofErr w:type="spellStart"/>
      <w:r>
        <w:rPr>
          <w:rtl/>
        </w:rPr>
        <w:t>לטבריג</w:t>
      </w:r>
      <w:proofErr w:type="spellEnd"/>
      <w:r>
        <w:rPr>
          <w:rtl/>
        </w:rPr>
        <w:t>”.</w:t>
      </w:r>
      <w:bookmarkStart w:id="2563" w:name="_fnr1709"/>
      <w:r>
        <w:rPr>
          <w:rStyle w:val="a5"/>
        </w:rPr>
        <w:footnoteReference w:id="1713" w:customMarkFollows="0"/>
      </w:r>
      <w:bookmarkEnd w:id="2563"/>
    </w:p>
    <w:p w14:paraId="0BF5E1A4" w14:textId="77777777" w:rsidR="00AB3647" w:rsidRDefault="00000000" w:rsidP="007923E9">
      <w:pPr>
        <w:spacing w:after="120" w:line="276" w:lineRule="auto"/>
        <w:ind w:firstLine="283"/>
        <w:jc w:val="both"/>
      </w:pPr>
      <w:r>
        <w:rPr>
          <w:rtl/>
        </w:rPr>
        <w:t xml:space="preserve">בשיחה המוקלטת במלאות חמישים שנה לפטירת הסבא נקב אבי בשמו של חבר כולל חמישי ששימש כמגיד שיעור, ואמר שהיו גם אחרים, שלא נקב בשמותיהם: “אחרי ר׳ </w:t>
      </w:r>
      <w:proofErr w:type="spellStart"/>
      <w:r>
        <w:rPr>
          <w:rtl/>
        </w:rPr>
        <w:t>אברהם־אהרן</w:t>
      </w:r>
      <w:proofErr w:type="spellEnd"/>
      <w:r>
        <w:rPr>
          <w:rtl/>
        </w:rPr>
        <w:t xml:space="preserve"> </w:t>
      </w:r>
      <w:proofErr w:type="spellStart"/>
      <w:r>
        <w:rPr>
          <w:rtl/>
        </w:rPr>
        <w:t>בורשטין</w:t>
      </w:r>
      <w:proofErr w:type="spellEnd"/>
      <w:r>
        <w:rPr>
          <w:rtl/>
        </w:rPr>
        <w:t xml:space="preserve"> אמר הרב מדרבנה שיעורים, ואחריו היו עוד כמה </w:t>
      </w:r>
      <w:proofErr w:type="spellStart"/>
      <w:r>
        <w:rPr>
          <w:rtl/>
        </w:rPr>
        <w:t>ש‘אמרו</w:t>
      </w:r>
      <w:proofErr w:type="spellEnd"/>
      <w:r>
        <w:rPr>
          <w:rtl/>
        </w:rPr>
        <w:t xml:space="preserve"> תורה’ לבחורים. הם [מוסרי השיעורים] גדלו [השתפרו כמגידי שיעור], והעולם גדל [התקדם בלימודו]”. בשיחה המוקלטת בבית הכנסת “בית ישראל” במיאמי </w:t>
      </w:r>
      <w:proofErr w:type="spellStart"/>
      <w:r>
        <w:rPr>
          <w:rtl/>
        </w:rPr>
        <w:t>ביץ</w:t>
      </w:r>
      <w:proofErr w:type="spellEnd"/>
      <w:r>
        <w:rPr>
          <w:rtl/>
        </w:rPr>
        <w:t>׳ הזכיר גם את “</w:t>
      </w:r>
      <w:proofErr w:type="spellStart"/>
      <w:r>
        <w:rPr>
          <w:rtl/>
        </w:rPr>
        <w:t>גולוב</w:t>
      </w:r>
      <w:proofErr w:type="spellEnd"/>
      <w:r>
        <w:rPr>
          <w:rtl/>
        </w:rPr>
        <w:t xml:space="preserve">” כמי שאמר שיעור </w:t>
      </w:r>
      <w:proofErr w:type="spellStart"/>
      <w:r>
        <w:rPr>
          <w:rtl/>
        </w:rPr>
        <w:t>בסלבודקה</w:t>
      </w:r>
      <w:proofErr w:type="spellEnd"/>
      <w:r>
        <w:rPr>
          <w:rtl/>
        </w:rPr>
        <w:t>.</w:t>
      </w:r>
    </w:p>
    <w:p w14:paraId="72DDF4FE" w14:textId="77777777" w:rsidR="00AB3647" w:rsidRDefault="00000000" w:rsidP="007923E9">
      <w:pPr>
        <w:spacing w:after="120" w:line="276" w:lineRule="auto"/>
        <w:ind w:firstLine="283"/>
        <w:jc w:val="both"/>
      </w:pPr>
      <w:r>
        <w:rPr>
          <w:rtl/>
        </w:rPr>
        <w:t xml:space="preserve">מצאתי </w:t>
      </w:r>
      <w:proofErr w:type="spellStart"/>
      <w:r>
        <w:rPr>
          <w:rtl/>
        </w:rPr>
        <w:t>ב“פאר</w:t>
      </w:r>
      <w:proofErr w:type="spellEnd"/>
      <w:r>
        <w:rPr>
          <w:rtl/>
        </w:rPr>
        <w:t xml:space="preserve"> הדור, ח״א”</w:t>
      </w:r>
      <w:bookmarkStart w:id="2564" w:name="_fnr1710"/>
      <w:r>
        <w:rPr>
          <w:rStyle w:val="a5"/>
        </w:rPr>
        <w:footnoteReference w:id="1714" w:customMarkFollows="0"/>
      </w:r>
      <w:bookmarkEnd w:id="2564"/>
      <w:r>
        <w:rPr>
          <w:rtl/>
        </w:rPr>
        <w:t xml:space="preserve"> </w:t>
      </w:r>
      <w:proofErr w:type="spellStart"/>
      <w:r>
        <w:rPr>
          <w:rtl/>
        </w:rPr>
        <w:t>ש“הרב</w:t>
      </w:r>
      <w:proofErr w:type="spellEnd"/>
      <w:r>
        <w:rPr>
          <w:rtl/>
        </w:rPr>
        <w:t xml:space="preserve"> מדרבנה” </w:t>
      </w:r>
      <w:proofErr w:type="spellStart"/>
      <w:r>
        <w:rPr>
          <w:rtl/>
        </w:rPr>
        <w:t>ו“גולוב</w:t>
      </w:r>
      <w:proofErr w:type="spellEnd"/>
      <w:r>
        <w:rPr>
          <w:rtl/>
        </w:rPr>
        <w:t>” היו אותו אדם: שם נזכר</w:t>
      </w:r>
      <w:bookmarkStart w:id="2565" w:name="_fnr1711"/>
      <w:r>
        <w:rPr>
          <w:rStyle w:val="a5"/>
        </w:rPr>
        <w:footnoteReference w:id="1715" w:customMarkFollows="0"/>
      </w:r>
      <w:bookmarkEnd w:id="2565"/>
      <w:r>
        <w:rPr>
          <w:rtl/>
        </w:rPr>
        <w:t xml:space="preserve"> ר׳ </w:t>
      </w:r>
      <w:proofErr w:type="spellStart"/>
      <w:r>
        <w:rPr>
          <w:rtl/>
        </w:rPr>
        <w:t>שניאור־פייבוש</w:t>
      </w:r>
      <w:proofErr w:type="spellEnd"/>
      <w:r>
        <w:rPr>
          <w:rtl/>
        </w:rPr>
        <w:t xml:space="preserve"> </w:t>
      </w:r>
      <w:proofErr w:type="spellStart"/>
      <w:r>
        <w:rPr>
          <w:rtl/>
        </w:rPr>
        <w:t>גולוב</w:t>
      </w:r>
      <w:proofErr w:type="spellEnd"/>
      <w:r>
        <w:rPr>
          <w:rtl/>
        </w:rPr>
        <w:t xml:space="preserve">, רבה של דרבנה, כמי </w:t>
      </w:r>
      <w:proofErr w:type="spellStart"/>
      <w:r>
        <w:rPr>
          <w:rtl/>
        </w:rPr>
        <w:t>ש“שימש</w:t>
      </w:r>
      <w:proofErr w:type="spellEnd"/>
      <w:r>
        <w:rPr>
          <w:rtl/>
        </w:rPr>
        <w:t xml:space="preserve"> כר״מ בישיבת </w:t>
      </w:r>
      <w:proofErr w:type="spellStart"/>
      <w:r>
        <w:rPr>
          <w:rtl/>
        </w:rPr>
        <w:t>סלבודקה</w:t>
      </w:r>
      <w:proofErr w:type="spellEnd"/>
      <w:r>
        <w:rPr>
          <w:rtl/>
        </w:rPr>
        <w:t xml:space="preserve"> זמן מה”. עוד מספר “פאר הדור” שאחיו של ר׳ </w:t>
      </w:r>
      <w:proofErr w:type="spellStart"/>
      <w:r>
        <w:rPr>
          <w:rtl/>
        </w:rPr>
        <w:t>שניאור־פייבוש</w:t>
      </w:r>
      <w:proofErr w:type="spellEnd"/>
      <w:r>
        <w:rPr>
          <w:rtl/>
        </w:rPr>
        <w:t xml:space="preserve"> </w:t>
      </w:r>
      <w:proofErr w:type="spellStart"/>
      <w:r>
        <w:rPr>
          <w:rtl/>
        </w:rPr>
        <w:t>גולוב</w:t>
      </w:r>
      <w:proofErr w:type="spellEnd"/>
      <w:r>
        <w:rPr>
          <w:rtl/>
        </w:rPr>
        <w:t xml:space="preserve"> היה ר׳ שלמה </w:t>
      </w:r>
      <w:proofErr w:type="spellStart"/>
      <w:r>
        <w:rPr>
          <w:rtl/>
        </w:rPr>
        <w:t>גולובנצ׳יץ</w:t>
      </w:r>
      <w:proofErr w:type="spellEnd"/>
      <w:r>
        <w:rPr>
          <w:rtl/>
        </w:rPr>
        <w:t xml:space="preserve"> (</w:t>
      </w:r>
      <w:proofErr w:type="spellStart"/>
      <w:r>
        <w:rPr>
          <w:rtl/>
        </w:rPr>
        <w:t>תר״ך</w:t>
      </w:r>
      <w:proofErr w:type="spellEnd"/>
      <w:r>
        <w:rPr>
          <w:rtl/>
        </w:rPr>
        <w:t>–תש״א), שאצלו למד אבי במינסק,</w:t>
      </w:r>
      <w:bookmarkStart w:id="2566" w:name="_fnr1712"/>
      <w:r>
        <w:rPr>
          <w:rStyle w:val="a5"/>
        </w:rPr>
        <w:footnoteReference w:id="1716" w:customMarkFollows="0"/>
      </w:r>
      <w:bookmarkEnd w:id="2566"/>
      <w:r>
        <w:rPr>
          <w:rtl/>
        </w:rPr>
        <w:t xml:space="preserve"> ואחותו הייתה נשואה </w:t>
      </w:r>
      <w:proofErr w:type="spellStart"/>
      <w:r>
        <w:rPr>
          <w:rtl/>
        </w:rPr>
        <w:t>לר</w:t>
      </w:r>
      <w:proofErr w:type="spellEnd"/>
      <w:r>
        <w:rPr>
          <w:rtl/>
        </w:rPr>
        <w:t xml:space="preserve">׳ </w:t>
      </w:r>
      <w:proofErr w:type="spellStart"/>
      <w:r>
        <w:rPr>
          <w:rtl/>
        </w:rPr>
        <w:t>יהושע־תנחום</w:t>
      </w:r>
      <w:proofErr w:type="spellEnd"/>
      <w:r>
        <w:rPr>
          <w:rtl/>
        </w:rPr>
        <w:t xml:space="preserve"> </w:t>
      </w:r>
      <w:proofErr w:type="spellStart"/>
      <w:r>
        <w:rPr>
          <w:rtl/>
        </w:rPr>
        <w:t>ציבולניק</w:t>
      </w:r>
      <w:proofErr w:type="spellEnd"/>
      <w:r>
        <w:rPr>
          <w:rtl/>
        </w:rPr>
        <w:t>, “אחד האברכים החשובים בכולל קובנה”.</w:t>
      </w:r>
      <w:bookmarkStart w:id="2567" w:name="_fnr1713"/>
      <w:r>
        <w:rPr>
          <w:rStyle w:val="a5"/>
        </w:rPr>
        <w:footnoteReference w:id="1717" w:customMarkFollows="0"/>
      </w:r>
      <w:bookmarkEnd w:id="2567"/>
    </w:p>
    <w:p w14:paraId="480C98C1" w14:textId="77777777" w:rsidR="00AB3647" w:rsidRDefault="00000000" w:rsidP="007923E9">
      <w:pPr>
        <w:spacing w:after="120" w:line="276" w:lineRule="auto"/>
        <w:ind w:firstLine="283"/>
        <w:jc w:val="both"/>
      </w:pPr>
      <w:r>
        <w:rPr>
          <w:rtl/>
        </w:rPr>
        <w:t xml:space="preserve">ר׳ </w:t>
      </w:r>
      <w:proofErr w:type="spellStart"/>
      <w:r>
        <w:rPr>
          <w:rtl/>
        </w:rPr>
        <w:t>שניאור־פייבוש</w:t>
      </w:r>
      <w:proofErr w:type="spellEnd"/>
      <w:r>
        <w:rPr>
          <w:rtl/>
        </w:rPr>
        <w:t xml:space="preserve"> למד </w:t>
      </w:r>
      <w:proofErr w:type="spellStart"/>
      <w:r>
        <w:rPr>
          <w:rtl/>
        </w:rPr>
        <w:t>בגרובין</w:t>
      </w:r>
      <w:proofErr w:type="spellEnd"/>
      <w:r>
        <w:rPr>
          <w:rtl/>
        </w:rPr>
        <w:t>.</w:t>
      </w:r>
      <w:bookmarkStart w:id="2568" w:name="_fnr1714"/>
      <w:r>
        <w:rPr>
          <w:rStyle w:val="a5"/>
        </w:rPr>
        <w:footnoteReference w:id="1718" w:customMarkFollows="0"/>
      </w:r>
      <w:bookmarkEnd w:id="2568"/>
      <w:r>
        <w:rPr>
          <w:rtl/>
        </w:rPr>
        <w:t xml:space="preserve"> אם נניח שנולד בשנת תרט״ו, כפי שנאמר במאמרו של עו״ד מאיר </w:t>
      </w:r>
      <w:proofErr w:type="spellStart"/>
      <w:r>
        <w:rPr>
          <w:rtl/>
        </w:rPr>
        <w:t>אראנאווסקי</w:t>
      </w:r>
      <w:proofErr w:type="spellEnd"/>
      <w:r>
        <w:rPr>
          <w:rtl/>
        </w:rPr>
        <w:t xml:space="preserve"> “רבני דרבנה” </w:t>
      </w:r>
      <w:proofErr w:type="spellStart"/>
      <w:r>
        <w:rPr>
          <w:rtl/>
        </w:rPr>
        <w:t>ב“ספר</w:t>
      </w:r>
      <w:proofErr w:type="spellEnd"/>
      <w:r>
        <w:rPr>
          <w:rtl/>
        </w:rPr>
        <w:t xml:space="preserve"> </w:t>
      </w:r>
      <w:proofErr w:type="spellStart"/>
      <w:r>
        <w:rPr>
          <w:rtl/>
        </w:rPr>
        <w:t>זכרון</w:t>
      </w:r>
      <w:proofErr w:type="spellEnd"/>
      <w:r>
        <w:rPr>
          <w:rtl/>
        </w:rPr>
        <w:t xml:space="preserve"> </w:t>
      </w:r>
      <w:proofErr w:type="spellStart"/>
      <w:r>
        <w:rPr>
          <w:rtl/>
        </w:rPr>
        <w:t>רוביז׳ביץ</w:t>
      </w:r>
      <w:proofErr w:type="spellEnd"/>
      <w:r>
        <w:rPr>
          <w:rtl/>
        </w:rPr>
        <w:t xml:space="preserve"> דרבנה והסביבה”,</w:t>
      </w:r>
      <w:bookmarkStart w:id="2569" w:name="_fnr1715"/>
      <w:r>
        <w:rPr>
          <w:rStyle w:val="a5"/>
        </w:rPr>
        <w:footnoteReference w:id="1719" w:customMarkFollows="0"/>
      </w:r>
      <w:bookmarkEnd w:id="2569"/>
      <w:r>
        <w:rPr>
          <w:rtl/>
        </w:rPr>
        <w:t xml:space="preserve"> הרי היה </w:t>
      </w:r>
      <w:r>
        <w:rPr>
          <w:rtl/>
        </w:rPr>
        <w:lastRenderedPageBreak/>
        <w:t>בן עשרים וחמש כשהצטרף לבית הספר לנערים – כנראה כמדריך! המאמר</w:t>
      </w:r>
      <w:bookmarkStart w:id="2570" w:name="_fnr1716"/>
      <w:r>
        <w:rPr>
          <w:rStyle w:val="a5"/>
        </w:rPr>
        <w:footnoteReference w:id="1720" w:customMarkFollows="0"/>
      </w:r>
      <w:bookmarkEnd w:id="2570"/>
      <w:r>
        <w:rPr>
          <w:rtl/>
        </w:rPr>
        <w:t xml:space="preserve"> טועה כנראה כשנאמר בו </w:t>
      </w:r>
      <w:proofErr w:type="spellStart"/>
      <w:r>
        <w:rPr>
          <w:rtl/>
        </w:rPr>
        <w:t>ש“נתקבל</w:t>
      </w:r>
      <w:proofErr w:type="spellEnd"/>
      <w:r>
        <w:rPr>
          <w:rtl/>
        </w:rPr>
        <w:t xml:space="preserve"> כר״מ </w:t>
      </w:r>
      <w:proofErr w:type="spellStart"/>
      <w:r>
        <w:rPr>
          <w:rtl/>
        </w:rPr>
        <w:t>בסלבודקה</w:t>
      </w:r>
      <w:proofErr w:type="spellEnd"/>
      <w:r>
        <w:rPr>
          <w:rtl/>
        </w:rPr>
        <w:t xml:space="preserve"> בשנת 1882 (תרמ״ב)”, שכן לפי אבי הוא “אמר תורה לבחורים אחרי” ר׳ </w:t>
      </w:r>
      <w:proofErr w:type="spellStart"/>
      <w:r>
        <w:rPr>
          <w:rtl/>
        </w:rPr>
        <w:t>אברהם־אהרן</w:t>
      </w:r>
      <w:proofErr w:type="spellEnd"/>
      <w:r>
        <w:rPr>
          <w:rtl/>
        </w:rPr>
        <w:t xml:space="preserve"> </w:t>
      </w:r>
      <w:proofErr w:type="spellStart"/>
      <w:r>
        <w:rPr>
          <w:rtl/>
        </w:rPr>
        <w:t>בורשטין</w:t>
      </w:r>
      <w:proofErr w:type="spellEnd"/>
      <w:r>
        <w:rPr>
          <w:rtl/>
        </w:rPr>
        <w:t>, וממילא היה זה זמן מה אחרי תרמ״ה. מכיוון שבמאמר</w:t>
      </w:r>
      <w:bookmarkStart w:id="2571" w:name="_fnr1717"/>
      <w:r>
        <w:rPr>
          <w:rStyle w:val="a5"/>
        </w:rPr>
        <w:footnoteReference w:id="1721" w:customMarkFollows="0"/>
      </w:r>
      <w:bookmarkEnd w:id="2571"/>
      <w:r>
        <w:rPr>
          <w:rtl/>
        </w:rPr>
        <w:t xml:space="preserve"> נאמר שנתמנה בדרבנה בשנת תרמ״ו (עד תרע״ב, שבה נפטר), ודאי מסר שיעורים רק זמן קצר.</w:t>
      </w:r>
      <w:bookmarkStart w:id="2572" w:name="_fnr1718"/>
      <w:r>
        <w:rPr>
          <w:rStyle w:val="a5"/>
        </w:rPr>
        <w:footnoteReference w:id="1722" w:customMarkFollows="0"/>
      </w:r>
      <w:bookmarkEnd w:id="2572"/>
    </w:p>
    <w:p w14:paraId="264CEDEB" w14:textId="479C4CB0" w:rsidR="00AB3647" w:rsidRDefault="00000000" w:rsidP="007923E9">
      <w:pPr>
        <w:spacing w:after="120" w:line="276" w:lineRule="auto"/>
        <w:ind w:firstLine="283"/>
        <w:jc w:val="both"/>
      </w:pPr>
      <w:r>
        <w:rPr>
          <w:rtl/>
        </w:rPr>
        <w:t xml:space="preserve">שמותיהם של “האחרים... שאמרו תורה”, כלשון אבי, אינם ידועים לי, חוץ מאחד: ר׳ חיים </w:t>
      </w:r>
      <w:proofErr w:type="spellStart"/>
      <w:r>
        <w:rPr>
          <w:rtl/>
        </w:rPr>
        <w:t>רבינוביץ</w:t>
      </w:r>
      <w:proofErr w:type="spellEnd"/>
      <w:r>
        <w:rPr>
          <w:rtl/>
        </w:rPr>
        <w:t xml:space="preserve">, שמסר שיעורים משנת תרמ״ו עד שקיבלה הישיבה ראש ישיבה בשנת תרמ״ט, כמסופר להלן. בשנת תרנ״ב עזב ר׳ חיים </w:t>
      </w:r>
      <w:proofErr w:type="spellStart"/>
      <w:r>
        <w:rPr>
          <w:rtl/>
        </w:rPr>
        <w:t>רבינוביץ</w:t>
      </w:r>
      <w:proofErr w:type="spellEnd"/>
      <w:r>
        <w:rPr>
          <w:rtl/>
        </w:rPr>
        <w:t xml:space="preserve"> את כולל קובנה כדי להיות רבה של </w:t>
      </w:r>
      <w:proofErr w:type="spellStart"/>
      <w:r>
        <w:rPr>
          <w:rtl/>
        </w:rPr>
        <w:t>מיאשאד</w:t>
      </w:r>
      <w:proofErr w:type="spellEnd"/>
      <w:r>
        <w:rPr>
          <w:rtl/>
        </w:rPr>
        <w:t>. כעבור חמש שנים משכו לבו לשוב למלאכת ההוראה, שנחשבה אז פחותה (ראה פרק 4, הפסקה הראשונה ב</w:t>
      </w:r>
      <w:r>
        <w:rPr>
          <w:rtl/>
        </w:rPr>
        <w:fldChar w:fldCharType="begin" w:dirty="true"/>
      </w:r>
      <w:r>
        <w:rPr>
          <w:rtl/>
        </w:rPr>
        <w:instrText xml:space="preserve"> REF b4_excL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יב</w:t>
      </w:r>
      <w:proofErr w:type="spellEnd"/>
      <w:r>
        <w:rPr>
          <w:rtl/>
        </w:rPr>
        <w:fldChar w:fldCharType="end"/>
      </w:r>
      <w:r>
        <w:rPr>
          <w:rtl/>
        </w:rPr>
        <w:t xml:space="preserve">). הוא נעשה ראש ישיבת כנסת בית יצחק, ואחר כך ראש ישיבה </w:t>
      </w:r>
      <w:proofErr w:type="spellStart"/>
      <w:r>
        <w:rPr>
          <w:rtl/>
        </w:rPr>
        <w:t>בטלז</w:t>
      </w:r>
      <w:proofErr w:type="spellEnd"/>
      <w:r>
        <w:rPr>
          <w:rtl/>
        </w:rPr>
        <w:t>.</w:t>
      </w:r>
      <w:bookmarkStart w:id="2573" w:name="_fnr1719"/>
      <w:r>
        <w:rPr>
          <w:rStyle w:val="a5"/>
        </w:rPr>
        <w:footnoteReference w:id="1723" w:customMarkFollows="0"/>
      </w:r>
      <w:bookmarkEnd w:id="2573"/>
      <w:r>
        <w:rPr>
          <w:rtl/>
        </w:rPr>
        <w:t xml:space="preserve"> הסבא צדק בעניינם של הרב קוטלר, ר׳ </w:t>
      </w:r>
      <w:proofErr w:type="spellStart"/>
      <w:r>
        <w:rPr>
          <w:rtl/>
        </w:rPr>
        <w:t>אברהם־אהרן</w:t>
      </w:r>
      <w:proofErr w:type="spellEnd"/>
      <w:r>
        <w:rPr>
          <w:rtl/>
        </w:rPr>
        <w:t xml:space="preserve"> </w:t>
      </w:r>
      <w:proofErr w:type="spellStart"/>
      <w:r>
        <w:rPr>
          <w:rtl/>
        </w:rPr>
        <w:t>בורשטין</w:t>
      </w:r>
      <w:proofErr w:type="spellEnd"/>
      <w:r>
        <w:rPr>
          <w:rtl/>
        </w:rPr>
        <w:t xml:space="preserve"> ור׳ חיים </w:t>
      </w:r>
      <w:proofErr w:type="spellStart"/>
      <w:r>
        <w:rPr>
          <w:rtl/>
        </w:rPr>
        <w:t>רבינוביץ</w:t>
      </w:r>
      <w:proofErr w:type="spellEnd"/>
      <w:r>
        <w:rPr>
          <w:rtl/>
        </w:rPr>
        <w:t>: בהמשך דרכם כראשי ישיבה השתמשו בהכשרה שנתן להם כולל קובנה בהוראת בחורים.</w:t>
      </w:r>
    </w:p>
    <w:bookmarkStart w:id="2574" w:name="b3_excH"/>
    <w:p w14:paraId="705026FC" w14:textId="77777777" w:rsidR="00AB3647" w:rsidRDefault="00000000" w:rsidP="007923E9">
      <w:pPr>
        <w:pStyle w:val="3"/>
        <w:spacing w:line="276" w:lineRule="auto"/>
      </w:pPr>
      <w:r>
        <w:lastRenderedPageBreak/>
        <w:fldChar w:fldCharType="begin" w:dirty="true"/>
      </w:r>
      <w:r>
        <w:rPr>
          <w:rtl w:val="0"/>
        </w:rPr>
        <w:instrText>HYPERLINK \l "b3_note30</w:instrText>
      </w:r>
      <w:r>
        <w:instrText>"</w:instrText>
      </w:r>
      <w:r>
        <w:fldChar w:fldCharType="separate"/>
      </w:r>
      <w:r>
        <w:t>נספח ח</w:t>
      </w:r>
      <w:r>
        <w:fldChar w:fldCharType="end"/>
      </w:r>
      <w:bookmarkEnd w:id="2574"/>
    </w:p>
    <w:p w14:paraId="4DF490D9" w14:textId="77777777" w:rsidR="00AB3647" w:rsidRDefault="00000000" w:rsidP="007923E9">
      <w:pPr>
        <w:pStyle w:val="af"/>
        <w:spacing w:line="276" w:lineRule="auto"/>
      </w:pPr>
      <w:r>
        <w:t xml:space="preserve">על דרכים חדשות בלימוד התלמוד ועל יועציו של הסבא </w:t>
      </w:r>
      <w:proofErr w:type="spellStart"/>
      <w:r>
        <w:t>מסלבודקה</w:t>
      </w:r>
      <w:proofErr w:type="spellEnd"/>
    </w:p>
    <w:p w14:paraId="3A65C60D" w14:textId="77777777" w:rsidR="00AB3647" w:rsidRDefault="00000000" w:rsidP="007923E9">
      <w:pPr>
        <w:pStyle w:val="4"/>
        <w:spacing w:line="276" w:lineRule="auto"/>
      </w:pPr>
      <w:r>
        <w:t>· הפסקה הראשונה ·</w:t>
      </w:r>
    </w:p>
    <w:p w14:paraId="6D6BA5CE" w14:textId="77777777" w:rsidR="00AB3647" w:rsidRDefault="00000000" w:rsidP="007923E9">
      <w:pPr>
        <w:pStyle w:val="5"/>
        <w:spacing w:line="276" w:lineRule="auto"/>
      </w:pPr>
      <w:r>
        <w:t xml:space="preserve">הסבא מבקש מר׳ יוסף־דב להמליץ על ראש ישיבה – הוא מציע מלמד גמרא </w:t>
      </w:r>
      <w:proofErr w:type="spellStart"/>
      <w:r>
        <w:t>בקלויז</w:t>
      </w:r>
      <w:proofErr w:type="spellEnd"/>
      <w:r>
        <w:t xml:space="preserve"> </w:t>
      </w:r>
      <w:proofErr w:type="spellStart"/>
      <w:r>
        <w:t>בביאליסטוק</w:t>
      </w:r>
      <w:proofErr w:type="spellEnd"/>
      <w:r>
        <w:t xml:space="preserve"> – ר׳ </w:t>
      </w:r>
      <w:proofErr w:type="spellStart"/>
      <w:r>
        <w:t>איצל׳ה</w:t>
      </w:r>
      <w:proofErr w:type="spellEnd"/>
      <w:r>
        <w:t xml:space="preserve"> </w:t>
      </w:r>
      <w:proofErr w:type="spellStart"/>
      <w:r>
        <w:t>פוניבז׳ער</w:t>
      </w:r>
      <w:proofErr w:type="spellEnd"/>
      <w:r>
        <w:t xml:space="preserve"> הוא אותו גאון וצדיק – הסבא מקבלו – ר׳ </w:t>
      </w:r>
      <w:proofErr w:type="spellStart"/>
      <w:r>
        <w:t>יצחק־אלחנן</w:t>
      </w:r>
      <w:proofErr w:type="spellEnd"/>
      <w:r>
        <w:t xml:space="preserve"> </w:t>
      </w:r>
      <w:proofErr w:type="spellStart"/>
      <w:r>
        <w:t>ספקטור</w:t>
      </w:r>
      <w:proofErr w:type="spellEnd"/>
      <w:r>
        <w:t xml:space="preserve"> מכיר בשיטתו התלמודית המיוחדת של ר׳ </w:t>
      </w:r>
      <w:proofErr w:type="spellStart"/>
      <w:r>
        <w:t>איצל׳ה</w:t>
      </w:r>
      <w:proofErr w:type="spellEnd"/>
      <w:r>
        <w:t xml:space="preserve"> – ר׳ ישראל </w:t>
      </w:r>
      <w:proofErr w:type="spellStart"/>
      <w:r>
        <w:t>סלנטר</w:t>
      </w:r>
      <w:proofErr w:type="spellEnd"/>
      <w:r>
        <w:t xml:space="preserve"> מסכים לדרכו המיוחדת של ר׳ חיים </w:t>
      </w:r>
      <w:proofErr w:type="spellStart"/>
      <w:r>
        <w:t>סולובייצ׳יק</w:t>
      </w:r>
      <w:proofErr w:type="spellEnd"/>
      <w:r>
        <w:t xml:space="preserve"> – ר׳ ישראל </w:t>
      </w:r>
      <w:proofErr w:type="spellStart"/>
      <w:r>
        <w:t>סלנטר</w:t>
      </w:r>
      <w:proofErr w:type="spellEnd"/>
      <w:r>
        <w:t xml:space="preserve"> מעודד פלפול – ביקורתו של ר׳ חיים על חידושיו של ר׳ </w:t>
      </w:r>
      <w:proofErr w:type="spellStart"/>
      <w:r>
        <w:t>איצל׳ה</w:t>
      </w:r>
      <w:proofErr w:type="spellEnd"/>
    </w:p>
    <w:p w14:paraId="55C4BBCE" w14:textId="77777777" w:rsidR="00AB3647" w:rsidRDefault="00000000" w:rsidP="007923E9">
      <w:pPr>
        <w:spacing w:after="120" w:line="276" w:lineRule="auto"/>
        <w:ind w:firstLine="283"/>
        <w:jc w:val="both"/>
      </w:pPr>
      <w:r>
        <w:rPr>
          <w:rtl/>
        </w:rPr>
        <w:t xml:space="preserve">הסבא </w:t>
      </w:r>
      <w:proofErr w:type="spellStart"/>
      <w:r>
        <w:rPr>
          <w:rtl/>
        </w:rPr>
        <w:t>מסלבודקה</w:t>
      </w:r>
      <w:proofErr w:type="spellEnd"/>
      <w:r>
        <w:rPr>
          <w:rtl/>
        </w:rPr>
        <w:t xml:space="preserve"> נסע אל רבה של </w:t>
      </w:r>
      <w:proofErr w:type="spellStart"/>
      <w:r>
        <w:rPr>
          <w:rtl/>
        </w:rPr>
        <w:t>בריסק</w:t>
      </w:r>
      <w:proofErr w:type="spellEnd"/>
      <w:r>
        <w:rPr>
          <w:rtl/>
        </w:rPr>
        <w:t xml:space="preserve">, ר׳ יוסף־דב </w:t>
      </w:r>
      <w:proofErr w:type="spellStart"/>
      <w:r>
        <w:rPr>
          <w:rtl/>
        </w:rPr>
        <w:t>סולובייצ׳יק</w:t>
      </w:r>
      <w:proofErr w:type="spellEnd"/>
      <w:r>
        <w:rPr>
          <w:rtl/>
        </w:rPr>
        <w:t xml:space="preserve"> (תק״פ–תרנ״ב), וביקש ממנו להציע ראש ישיבה מתאים.</w:t>
      </w:r>
      <w:bookmarkStart w:id="2575" w:name="_fnr1720"/>
      <w:r>
        <w:rPr>
          <w:rStyle w:val="a5"/>
        </w:rPr>
        <w:footnoteReference w:id="1724" w:customMarkFollows="0"/>
      </w:r>
      <w:bookmarkEnd w:id="2575"/>
      <w:r>
        <w:rPr>
          <w:rtl/>
        </w:rPr>
        <w:t xml:space="preserve"> ר׳ יוסף־דב היה ראוי לייעץ בעניין זה, שכן שימש משנה לראש ישיבת </w:t>
      </w:r>
      <w:proofErr w:type="spellStart"/>
      <w:r>
        <w:rPr>
          <w:rtl/>
        </w:rPr>
        <w:t>וולוז׳ין</w:t>
      </w:r>
      <w:proofErr w:type="spellEnd"/>
      <w:r>
        <w:rPr>
          <w:rtl/>
        </w:rPr>
        <w:t xml:space="preserve"> עשר שנים, החל </w:t>
      </w:r>
      <w:proofErr w:type="spellStart"/>
      <w:r>
        <w:rPr>
          <w:rtl/>
        </w:rPr>
        <w:t>מתרי״ג</w:t>
      </w:r>
      <w:proofErr w:type="spellEnd"/>
      <w:r>
        <w:rPr>
          <w:rtl/>
        </w:rPr>
        <w:t>, וידע מה הם הצרכים החינוכיים של התלמידים.</w:t>
      </w:r>
    </w:p>
    <w:p w14:paraId="7765C44B" w14:textId="77777777" w:rsidR="00AB3647" w:rsidRDefault="00000000" w:rsidP="007923E9">
      <w:pPr>
        <w:spacing w:after="120" w:line="276" w:lineRule="auto"/>
        <w:ind w:firstLine="283"/>
        <w:jc w:val="both"/>
      </w:pPr>
      <w:r>
        <w:rPr>
          <w:rtl/>
        </w:rPr>
        <w:t xml:space="preserve">ראה הערה 29 בפרק זה על בקשת הסבא עצה מן </w:t>
      </w:r>
      <w:proofErr w:type="spellStart"/>
      <w:r>
        <w:rPr>
          <w:rtl/>
        </w:rPr>
        <w:t>החפץ־חיים</w:t>
      </w:r>
      <w:proofErr w:type="spellEnd"/>
      <w:r>
        <w:rPr>
          <w:rtl/>
        </w:rPr>
        <w:t xml:space="preserve"> כיצד לעשות את ישיבת </w:t>
      </w:r>
      <w:proofErr w:type="spellStart"/>
      <w:r>
        <w:rPr>
          <w:rtl/>
        </w:rPr>
        <w:t>סלבודקה</w:t>
      </w:r>
      <w:proofErr w:type="spellEnd"/>
      <w:r>
        <w:rPr>
          <w:rtl/>
        </w:rPr>
        <w:t xml:space="preserve"> לעצמאית. ייתכן </w:t>
      </w:r>
      <w:proofErr w:type="spellStart"/>
      <w:r>
        <w:rPr>
          <w:rtl/>
        </w:rPr>
        <w:t>שהחפץ־חיים</w:t>
      </w:r>
      <w:proofErr w:type="spellEnd"/>
      <w:r>
        <w:rPr>
          <w:rtl/>
        </w:rPr>
        <w:t xml:space="preserve"> הוא שהציע שכדי לבנות ישיבה גדולה – שתתחרה אפילו בישיבת </w:t>
      </w:r>
      <w:proofErr w:type="spellStart"/>
      <w:r>
        <w:rPr>
          <w:rtl/>
        </w:rPr>
        <w:t>וולוז׳ין</w:t>
      </w:r>
      <w:proofErr w:type="spellEnd"/>
      <w:r>
        <w:rPr>
          <w:rtl/>
        </w:rPr>
        <w:t xml:space="preserve"> הוותיקה, אך תהיה בעד המוסר – יקבל ר׳ </w:t>
      </w:r>
      <w:proofErr w:type="spellStart"/>
      <w:r>
        <w:rPr>
          <w:rtl/>
        </w:rPr>
        <w:t>נתן־צבי</w:t>
      </w:r>
      <w:proofErr w:type="spellEnd"/>
      <w:r>
        <w:rPr>
          <w:rtl/>
        </w:rPr>
        <w:t xml:space="preserve"> אדם שהמליץ עליו ראש ישיבה לשעבר </w:t>
      </w:r>
      <w:proofErr w:type="spellStart"/>
      <w:r>
        <w:rPr>
          <w:rtl/>
        </w:rPr>
        <w:t>בוולוז׳ין</w:t>
      </w:r>
      <w:proofErr w:type="spellEnd"/>
      <w:r>
        <w:rPr>
          <w:rtl/>
        </w:rPr>
        <w:t xml:space="preserve">, ר׳ יוסף־דב. הידיעה שבראש הישיבה החדשה עומד אדם שקיבל את אישורו של אחד מראשי </w:t>
      </w:r>
      <w:proofErr w:type="spellStart"/>
      <w:r>
        <w:rPr>
          <w:rtl/>
        </w:rPr>
        <w:t>וולוז׳ין</w:t>
      </w:r>
      <w:proofErr w:type="spellEnd"/>
      <w:r>
        <w:rPr>
          <w:rtl/>
        </w:rPr>
        <w:t xml:space="preserve"> הייתה עשויה לסייע מאוד במשיכת תלמידים.</w:t>
      </w:r>
      <w:bookmarkStart w:id="2576" w:name="_fnr1721"/>
      <w:r>
        <w:rPr>
          <w:rStyle w:val="a5"/>
        </w:rPr>
        <w:footnoteReference w:id="1725" w:customMarkFollows="0"/>
      </w:r>
      <w:bookmarkEnd w:id="2576"/>
      <w:r>
        <w:rPr>
          <w:rtl/>
        </w:rPr>
        <w:t xml:space="preserve"> כשנסגרה ישיבת </w:t>
      </w:r>
      <w:proofErr w:type="spellStart"/>
      <w:r>
        <w:rPr>
          <w:rtl/>
        </w:rPr>
        <w:t>וולוז׳ין</w:t>
      </w:r>
      <w:proofErr w:type="spellEnd"/>
      <w:r>
        <w:rPr>
          <w:rtl/>
        </w:rPr>
        <w:t xml:space="preserve"> כעבור שלוש שנים, ייתכן שישיבת </w:t>
      </w:r>
      <w:proofErr w:type="spellStart"/>
      <w:r>
        <w:rPr>
          <w:rtl/>
        </w:rPr>
        <w:t>סלבודקה</w:t>
      </w:r>
      <w:proofErr w:type="spellEnd"/>
      <w:r>
        <w:rPr>
          <w:rtl/>
        </w:rPr>
        <w:t xml:space="preserve"> – שלא היה לה שם רשמי, ונודעה רק בשם העיירה שבה שכנה – אף השתעשעה ברעיון לאמץ את שמה הנערץ של </w:t>
      </w:r>
      <w:proofErr w:type="spellStart"/>
      <w:r>
        <w:rPr>
          <w:rtl/>
        </w:rPr>
        <w:t>וולוז׳ין</w:t>
      </w:r>
      <w:proofErr w:type="spellEnd"/>
      <w:r>
        <w:rPr>
          <w:rtl/>
        </w:rPr>
        <w:t>, “עץ חיים”.</w:t>
      </w:r>
      <w:bookmarkStart w:id="2577" w:name="_fnr1722"/>
      <w:r>
        <w:rPr>
          <w:rStyle w:val="a5"/>
        </w:rPr>
        <w:footnoteReference w:id="1726" w:customMarkFollows="0"/>
      </w:r>
      <w:bookmarkEnd w:id="2577"/>
      <w:r>
        <w:rPr>
          <w:rtl/>
        </w:rPr>
        <w:t xml:space="preserve"> זאת מפני שהיה לה מעין אישור מאת מי ששימש משנה לראש ישיבת עץ חיים שלושים שנה קודם לכן.</w:t>
      </w:r>
    </w:p>
    <w:p w14:paraId="1628781F" w14:textId="5236C85D" w:rsidR="00AB3647" w:rsidRDefault="00000000" w:rsidP="007923E9">
      <w:pPr>
        <w:spacing w:after="120" w:line="276" w:lineRule="auto"/>
        <w:ind w:firstLine="283"/>
        <w:jc w:val="both"/>
      </w:pPr>
      <w:r>
        <w:rPr>
          <w:rtl/>
        </w:rPr>
        <w:t xml:space="preserve">אם </w:t>
      </w:r>
      <w:proofErr w:type="spellStart"/>
      <w:r>
        <w:rPr>
          <w:rtl/>
        </w:rPr>
        <w:t>החפץ־חיים</w:t>
      </w:r>
      <w:proofErr w:type="spellEnd"/>
      <w:r>
        <w:rPr>
          <w:rtl/>
        </w:rPr>
        <w:t xml:space="preserve"> הוא שהציע לסבא למצוא את ראש הישיבה הדרוש לו באמצעות ר׳ יוסף־דב, אפשר לשער עוד </w:t>
      </w:r>
      <w:proofErr w:type="spellStart"/>
      <w:r>
        <w:rPr>
          <w:rtl/>
        </w:rPr>
        <w:t>שהחפץ־חיים</w:t>
      </w:r>
      <w:proofErr w:type="spellEnd"/>
      <w:r>
        <w:rPr>
          <w:rtl/>
        </w:rPr>
        <w:t xml:space="preserve"> ראה בר׳ יוסף־דב ראש ישיבה גדול מיריבו: ר׳ יוסף־דב </w:t>
      </w:r>
      <w:r>
        <w:rPr>
          <w:b/>
          <w:bCs/>
          <w:rtl/>
        </w:rPr>
        <w:t>התפטר</w:t>
      </w:r>
      <w:r>
        <w:rPr>
          <w:rtl/>
        </w:rPr>
        <w:t xml:space="preserve"> </w:t>
      </w:r>
      <w:proofErr w:type="spellStart"/>
      <w:r>
        <w:rPr>
          <w:rtl/>
        </w:rPr>
        <w:t>מוולוז׳ין</w:t>
      </w:r>
      <w:proofErr w:type="spellEnd"/>
      <w:r>
        <w:rPr>
          <w:rtl/>
        </w:rPr>
        <w:t xml:space="preserve"> חמש שנים לאחר מחלוקתו עם </w:t>
      </w:r>
      <w:proofErr w:type="spellStart"/>
      <w:r>
        <w:rPr>
          <w:rtl/>
        </w:rPr>
        <w:t>הנצי״ב</w:t>
      </w:r>
      <w:proofErr w:type="spellEnd"/>
      <w:r>
        <w:rPr>
          <w:rtl/>
        </w:rPr>
        <w:t xml:space="preserve"> </w:t>
      </w:r>
      <w:proofErr w:type="spellStart"/>
      <w:r>
        <w:rPr>
          <w:rtl/>
        </w:rPr>
        <w:t>בתרי״ז</w:t>
      </w:r>
      <w:proofErr w:type="spellEnd"/>
      <w:r>
        <w:rPr>
          <w:rtl/>
        </w:rPr>
        <w:t xml:space="preserve">–תרי״ח, ואילו יריבו </w:t>
      </w:r>
      <w:r>
        <w:rPr>
          <w:b/>
          <w:bCs/>
          <w:rtl/>
        </w:rPr>
        <w:t>נשאר</w:t>
      </w:r>
      <w:r>
        <w:rPr>
          <w:rtl/>
        </w:rPr>
        <w:t xml:space="preserve"> בה. ראיה לכך היא </w:t>
      </w:r>
      <w:proofErr w:type="spellStart"/>
      <w:r>
        <w:rPr>
          <w:rtl/>
        </w:rPr>
        <w:t>שהחפץ־חיים</w:t>
      </w:r>
      <w:proofErr w:type="spellEnd"/>
      <w:r>
        <w:rPr>
          <w:rtl/>
        </w:rPr>
        <w:t xml:space="preserve"> שלח את בנו הבכור </w:t>
      </w:r>
      <w:proofErr w:type="spellStart"/>
      <w:r>
        <w:rPr>
          <w:rtl/>
        </w:rPr>
        <w:t>אריה־לייב</w:t>
      </w:r>
      <w:proofErr w:type="spellEnd"/>
      <w:r>
        <w:rPr>
          <w:rtl/>
        </w:rPr>
        <w:t xml:space="preserve"> ללמוד אצל ר׳ יוסף־דב כשנתמנה זה עתה לרבה של </w:t>
      </w:r>
      <w:proofErr w:type="spellStart"/>
      <w:r>
        <w:rPr>
          <w:rtl/>
        </w:rPr>
        <w:t>בריסק</w:t>
      </w:r>
      <w:proofErr w:type="spellEnd"/>
      <w:r>
        <w:rPr>
          <w:rtl/>
        </w:rPr>
        <w:t xml:space="preserve">, ולא אל ישיבת </w:t>
      </w:r>
      <w:proofErr w:type="spellStart"/>
      <w:r>
        <w:rPr>
          <w:rtl/>
        </w:rPr>
        <w:t>וולוז׳ין</w:t>
      </w:r>
      <w:proofErr w:type="spellEnd"/>
      <w:r>
        <w:rPr>
          <w:rtl/>
        </w:rPr>
        <w:t xml:space="preserve"> הוותיקה שבראשות </w:t>
      </w:r>
      <w:proofErr w:type="spellStart"/>
      <w:r>
        <w:rPr>
          <w:rtl/>
        </w:rPr>
        <w:t>הנצי״ב</w:t>
      </w:r>
      <w:proofErr w:type="spellEnd"/>
      <w:r>
        <w:rPr>
          <w:rtl/>
        </w:rPr>
        <w:t xml:space="preserve"> – ראה פרק 5, סוף הפסקה השנייה ב</w:t>
      </w:r>
      <w:r>
        <w:rPr>
          <w:rtl/>
        </w:rPr>
        <w:fldChar w:fldCharType="begin" w:dirty="true"/>
      </w:r>
      <w:r>
        <w:rPr>
          <w:rtl/>
        </w:rPr>
        <w:instrText xml:space="preserve"> REF b5_excF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ו</w:t>
      </w:r>
      <w:r>
        <w:rPr>
          <w:rtl/>
        </w:rPr>
        <w:fldChar w:fldCharType="end"/>
      </w:r>
      <w:r>
        <w:rPr>
          <w:rtl/>
        </w:rPr>
        <w:t>.</w:t>
      </w:r>
    </w:p>
    <w:p w14:paraId="2994EEF1" w14:textId="1AB17C1E" w:rsidR="00AB3647" w:rsidRDefault="00000000" w:rsidP="007923E9">
      <w:pPr>
        <w:spacing w:after="120" w:line="276" w:lineRule="auto"/>
        <w:ind w:firstLine="283"/>
        <w:jc w:val="both"/>
      </w:pPr>
      <w:r>
        <w:rPr>
          <w:rtl/>
        </w:rPr>
        <w:t xml:space="preserve">את בנו השני אברהם אכן שלח </w:t>
      </w:r>
      <w:proofErr w:type="spellStart"/>
      <w:r>
        <w:rPr>
          <w:rtl/>
        </w:rPr>
        <w:t>החפץ־חיים</w:t>
      </w:r>
      <w:proofErr w:type="spellEnd"/>
      <w:r>
        <w:rPr>
          <w:rtl/>
        </w:rPr>
        <w:t xml:space="preserve"> ללמוד </w:t>
      </w:r>
      <w:proofErr w:type="spellStart"/>
      <w:r>
        <w:rPr>
          <w:rtl/>
        </w:rPr>
        <w:t>בוולוז׳ין</w:t>
      </w:r>
      <w:proofErr w:type="spellEnd"/>
      <w:r>
        <w:rPr>
          <w:rtl/>
        </w:rPr>
        <w:t xml:space="preserve"> – אבל בשנת תרמ״ו, כשבנו של ר׳ יוסף־דב, ר׳ חיים </w:t>
      </w:r>
      <w:proofErr w:type="spellStart"/>
      <w:r>
        <w:rPr>
          <w:rtl/>
        </w:rPr>
        <w:t>סולובייצ׳יק</w:t>
      </w:r>
      <w:proofErr w:type="spellEnd"/>
      <w:r>
        <w:rPr>
          <w:rtl/>
        </w:rPr>
        <w:t xml:space="preserve">, כבר נמנה עם ראשי ישיבת </w:t>
      </w:r>
      <w:proofErr w:type="spellStart"/>
      <w:r>
        <w:rPr>
          <w:rtl/>
        </w:rPr>
        <w:t>וולוז׳ין</w:t>
      </w:r>
      <w:proofErr w:type="spellEnd"/>
      <w:r>
        <w:rPr>
          <w:rtl/>
        </w:rPr>
        <w:t xml:space="preserve">. ר׳ יוסף־דב עצמו היה </w:t>
      </w:r>
      <w:r>
        <w:rPr>
          <w:rtl/>
        </w:rPr>
        <w:lastRenderedPageBreak/>
        <w:t xml:space="preserve">כנראה מורה </w:t>
      </w:r>
      <w:proofErr w:type="spellStart"/>
      <w:r>
        <w:rPr>
          <w:rtl/>
        </w:rPr>
        <w:t>לחפץ־חיים</w:t>
      </w:r>
      <w:proofErr w:type="spellEnd"/>
      <w:r>
        <w:rPr>
          <w:rtl/>
        </w:rPr>
        <w:t xml:space="preserve"> לשלוח את אברהם ללמוד אצל בנו (ואולי אף עשה כן!). ראה פרק 5, הפסקה השנייה ב</w:t>
      </w:r>
      <w:r>
        <w:rPr>
          <w:rtl/>
        </w:rPr>
        <w:fldChar w:fldCharType="begin" w:dirty="true"/>
      </w:r>
      <w:r>
        <w:rPr>
          <w:rtl/>
        </w:rPr>
        <w:instrText xml:space="preserve"> REF b5_excF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ו</w:t>
      </w:r>
      <w:r>
        <w:rPr>
          <w:rtl/>
        </w:rPr>
        <w:fldChar w:fldCharType="end"/>
      </w:r>
      <w:r>
        <w:rPr>
          <w:rtl/>
        </w:rPr>
        <w:t xml:space="preserve">, שר׳ יוסף־דב ראה בבנו גאון גדול ממנו.</w:t>
      </w:r>
    </w:p>
    <w:p w14:paraId="519F576F" w14:textId="77777777" w:rsidR="00AB3647" w:rsidRDefault="00000000" w:rsidP="007923E9">
      <w:pPr>
        <w:spacing w:after="120" w:line="276" w:lineRule="auto"/>
        <w:ind w:firstLine="283"/>
        <w:jc w:val="both"/>
      </w:pPr>
      <w:r>
        <w:rPr>
          <w:rtl/>
        </w:rPr>
        <w:t>זאת ועוד: ר׳ שלמה לורנץ מסר</w:t>
      </w:r>
      <w:bookmarkStart w:id="2578" w:name="_fnr1723"/>
      <w:r>
        <w:rPr>
          <w:rStyle w:val="a5"/>
        </w:rPr>
        <w:footnoteReference w:id="1727" w:customMarkFollows="0"/>
      </w:r>
      <w:bookmarkEnd w:id="2578"/>
      <w:r>
        <w:rPr>
          <w:rtl/>
        </w:rPr>
        <w:t xml:space="preserve"> בשם ר׳ שמחה וסרמן, בנו של אחד מגדולי תלמידיו של </w:t>
      </w:r>
      <w:proofErr w:type="spellStart"/>
      <w:r>
        <w:rPr>
          <w:rtl/>
        </w:rPr>
        <w:t>החפץ־חיים</w:t>
      </w:r>
      <w:proofErr w:type="spellEnd"/>
      <w:r>
        <w:rPr>
          <w:rtl/>
        </w:rPr>
        <w:t xml:space="preserve">, ר׳ אלחנן וסרמן, </w:t>
      </w:r>
      <w:proofErr w:type="spellStart"/>
      <w:r>
        <w:rPr>
          <w:rtl/>
        </w:rPr>
        <w:t>שהחפץ־חיים</w:t>
      </w:r>
      <w:proofErr w:type="spellEnd"/>
      <w:r>
        <w:rPr>
          <w:rtl/>
        </w:rPr>
        <w:t xml:space="preserve"> היה ביקורתי במקצת כלפי </w:t>
      </w:r>
      <w:proofErr w:type="spellStart"/>
      <w:r>
        <w:rPr>
          <w:rtl/>
        </w:rPr>
        <w:t>הנצי״ב</w:t>
      </w:r>
      <w:proofErr w:type="spellEnd"/>
      <w:r>
        <w:rPr>
          <w:rtl/>
        </w:rPr>
        <w:t xml:space="preserve">. הוא הסתייג מדברי </w:t>
      </w:r>
      <w:proofErr w:type="spellStart"/>
      <w:r>
        <w:rPr>
          <w:rtl/>
        </w:rPr>
        <w:t>הנצי״ב</w:t>
      </w:r>
      <w:proofErr w:type="spellEnd"/>
      <w:r>
        <w:rPr>
          <w:rtl/>
        </w:rPr>
        <w:t xml:space="preserve"> בפירושו לחומש, “העמק דבר”, בפתיחה לספר בראשית, שהבית השני חרב מפני </w:t>
      </w:r>
      <w:proofErr w:type="spellStart"/>
      <w:r>
        <w:rPr>
          <w:rtl/>
        </w:rPr>
        <w:t>ש“היו</w:t>
      </w:r>
      <w:proofErr w:type="spellEnd"/>
      <w:r>
        <w:rPr>
          <w:rtl/>
        </w:rPr>
        <w:t xml:space="preserve"> צדיקים וחסידים ועמלי תורה... אך לא היו ישרים בהליכות עולמים. על כן מפני שנאת חנם </w:t>
      </w:r>
      <w:proofErr w:type="spellStart"/>
      <w:r>
        <w:rPr>
          <w:rtl/>
        </w:rPr>
        <w:t>שבלבם</w:t>
      </w:r>
      <w:proofErr w:type="spellEnd"/>
      <w:r>
        <w:rPr>
          <w:rtl/>
        </w:rPr>
        <w:t xml:space="preserve"> זה אל זה חשדו את מי שראו שנוהג שלא כדעתם ביראת ה׳ שהוא צדוקי ואפיקורס”.</w:t>
      </w:r>
      <w:bookmarkStart w:id="2579" w:name="_fnr1724"/>
      <w:r>
        <w:rPr>
          <w:rStyle w:val="a5"/>
        </w:rPr>
        <w:footnoteReference w:id="1728" w:customMarkFollows="0"/>
      </w:r>
      <w:bookmarkEnd w:id="2579"/>
    </w:p>
    <w:p w14:paraId="68EA2CE4" w14:textId="77777777" w:rsidR="00AB3647" w:rsidRDefault="00000000" w:rsidP="007923E9">
      <w:pPr>
        <w:spacing w:after="120" w:line="276" w:lineRule="auto"/>
        <w:ind w:firstLine="283"/>
        <w:jc w:val="both"/>
      </w:pPr>
      <w:r>
        <w:rPr>
          <w:rtl/>
        </w:rPr>
        <w:t xml:space="preserve">הובן שבדבריו על הבית השני התכוון </w:t>
      </w:r>
      <w:proofErr w:type="spellStart"/>
      <w:r>
        <w:rPr>
          <w:rtl/>
        </w:rPr>
        <w:t>הנצי״ב</w:t>
      </w:r>
      <w:proofErr w:type="spellEnd"/>
      <w:r>
        <w:rPr>
          <w:rtl/>
        </w:rPr>
        <w:t xml:space="preserve"> </w:t>
      </w:r>
      <w:r>
        <w:rPr>
          <w:b/>
          <w:bCs/>
          <w:rtl/>
        </w:rPr>
        <w:t>למתוח ביקורת על בני התורה שבדורו</w:t>
      </w:r>
      <w:bookmarkStart w:id="2580" w:name="_fnr1725"/>
      <w:r>
        <w:rPr>
          <w:rStyle w:val="a5"/>
        </w:rPr>
        <w:footnoteReference w:id="1729" w:customMarkFollows="0"/>
      </w:r>
      <w:bookmarkEnd w:id="2580"/>
      <w:r>
        <w:rPr>
          <w:rtl/>
        </w:rPr>
        <w:t xml:space="preserve">, על ששללו את הלגיטימיות של המשכילים הדתיים ושל חובבי ציון הנאמנים, שהשקפתם על צורכי האומה היהודית לא תאמה את השקפת בני התורה. למרות ביקורתו ביקש </w:t>
      </w:r>
      <w:proofErr w:type="spellStart"/>
      <w:r>
        <w:rPr>
          <w:rtl/>
        </w:rPr>
        <w:t>החפץ־חיים</w:t>
      </w:r>
      <w:proofErr w:type="spellEnd"/>
      <w:r>
        <w:rPr>
          <w:rtl/>
        </w:rPr>
        <w:t xml:space="preserve"> מן </w:t>
      </w:r>
      <w:proofErr w:type="spellStart"/>
      <w:r>
        <w:rPr>
          <w:rtl/>
        </w:rPr>
        <w:t>הנצי״ב</w:t>
      </w:r>
      <w:proofErr w:type="spellEnd"/>
      <w:r>
        <w:rPr>
          <w:rtl/>
        </w:rPr>
        <w:t xml:space="preserve"> הסכמה לספרו “אהבת חסד”,</w:t>
      </w:r>
      <w:bookmarkStart w:id="2581" w:name="_fnr1726"/>
      <w:r>
        <w:rPr>
          <w:rStyle w:val="a5"/>
        </w:rPr>
        <w:footnoteReference w:id="1730" w:customMarkFollows="0"/>
      </w:r>
      <w:bookmarkEnd w:id="2581"/>
      <w:r>
        <w:rPr>
          <w:rtl/>
        </w:rPr>
        <w:t xml:space="preserve"> שיצא לאור שמונה שנים לאחר “העמק דבר”. אך ייתכן </w:t>
      </w:r>
      <w:proofErr w:type="spellStart"/>
      <w:r>
        <w:rPr>
          <w:rtl/>
        </w:rPr>
        <w:t>שהחפץ־חיים</w:t>
      </w:r>
      <w:proofErr w:type="spellEnd"/>
      <w:r>
        <w:rPr>
          <w:rtl/>
        </w:rPr>
        <w:t xml:space="preserve"> העדיף שלא להעמיד את בנו תחת השפעתו הישירה של </w:t>
      </w:r>
      <w:proofErr w:type="spellStart"/>
      <w:r>
        <w:rPr>
          <w:rtl/>
        </w:rPr>
        <w:t>הנצי״ב</w:t>
      </w:r>
      <w:proofErr w:type="spellEnd"/>
      <w:r>
        <w:rPr>
          <w:rtl/>
        </w:rPr>
        <w:t xml:space="preserve"> ולשלחו ללמוד בישיבתו, בטרם נוספה לה השפעתו המאזנת של בנו של ר׳ יוסף־דב </w:t>
      </w:r>
      <w:proofErr w:type="spellStart"/>
      <w:r>
        <w:rPr>
          <w:rtl/>
        </w:rPr>
        <w:t>סולובייצ׳יק</w:t>
      </w:r>
      <w:proofErr w:type="spellEnd"/>
      <w:r>
        <w:rPr>
          <w:rtl/>
        </w:rPr>
        <w:t>.</w:t>
      </w:r>
    </w:p>
    <w:p w14:paraId="7AC9126C" w14:textId="77777777" w:rsidR="00AB3647" w:rsidRDefault="00000000" w:rsidP="007923E9">
      <w:pPr>
        <w:spacing w:after="120" w:line="276" w:lineRule="auto"/>
        <w:ind w:firstLine="283"/>
        <w:jc w:val="both"/>
      </w:pPr>
      <w:r>
        <w:rPr>
          <w:rtl/>
        </w:rPr>
        <w:t xml:space="preserve">ר׳ יוסף־דב המליץ לסבא </w:t>
      </w:r>
      <w:proofErr w:type="spellStart"/>
      <w:r>
        <w:rPr>
          <w:rtl/>
        </w:rPr>
        <w:t>מסלבודקה</w:t>
      </w:r>
      <w:proofErr w:type="spellEnd"/>
      <w:r>
        <w:rPr>
          <w:rtl/>
        </w:rPr>
        <w:t xml:space="preserve"> על מלמד גמרא פרטי ובלתי מוכר </w:t>
      </w:r>
      <w:proofErr w:type="spellStart"/>
      <w:r>
        <w:rPr>
          <w:rtl/>
        </w:rPr>
        <w:t>בביאליסטוק</w:t>
      </w:r>
      <w:proofErr w:type="spellEnd"/>
      <w:r>
        <w:rPr>
          <w:rtl/>
        </w:rPr>
        <w:t xml:space="preserve">, ר׳ </w:t>
      </w:r>
      <w:proofErr w:type="spellStart"/>
      <w:r>
        <w:rPr>
          <w:rtl/>
        </w:rPr>
        <w:t>איצל׳ה</w:t>
      </w:r>
      <w:proofErr w:type="spellEnd"/>
      <w:r>
        <w:rPr>
          <w:rtl/>
        </w:rPr>
        <w:t xml:space="preserve"> </w:t>
      </w:r>
      <w:proofErr w:type="spellStart"/>
      <w:r>
        <w:rPr>
          <w:rtl/>
        </w:rPr>
        <w:t>רבינוביץ</w:t>
      </w:r>
      <w:proofErr w:type="spellEnd"/>
      <w:r>
        <w:rPr>
          <w:rtl/>
        </w:rPr>
        <w:t xml:space="preserve">, לימים רבה של </w:t>
      </w:r>
      <w:proofErr w:type="spellStart"/>
      <w:r>
        <w:rPr>
          <w:rtl/>
        </w:rPr>
        <w:t>פוניבז</w:t>
      </w:r>
      <w:proofErr w:type="spellEnd"/>
      <w:r>
        <w:rPr>
          <w:rtl/>
        </w:rPr>
        <w:t xml:space="preserve">׳ (נולד </w:t>
      </w:r>
      <w:proofErr w:type="spellStart"/>
      <w:r>
        <w:rPr>
          <w:rtl/>
        </w:rPr>
        <w:t>בתרי״ד</w:t>
      </w:r>
      <w:proofErr w:type="spellEnd"/>
      <w:r>
        <w:rPr>
          <w:rtl/>
        </w:rPr>
        <w:t xml:space="preserve">, נפטר </w:t>
      </w:r>
      <w:proofErr w:type="spellStart"/>
      <w:r>
        <w:rPr>
          <w:rtl/>
        </w:rPr>
        <w:t>בתרע״ט</w:t>
      </w:r>
      <w:proofErr w:type="spellEnd"/>
      <w:r>
        <w:rPr>
          <w:rtl/>
        </w:rPr>
        <w:t xml:space="preserve">). בנערותו </w:t>
      </w:r>
      <w:proofErr w:type="spellStart"/>
      <w:r>
        <w:rPr>
          <w:rtl/>
        </w:rPr>
        <w:t>בשרשוב</w:t>
      </w:r>
      <w:proofErr w:type="spellEnd"/>
      <w:r>
        <w:rPr>
          <w:rtl/>
        </w:rPr>
        <w:t xml:space="preserve"> למד ר׳ </w:t>
      </w:r>
      <w:proofErr w:type="spellStart"/>
      <w:r>
        <w:rPr>
          <w:rtl/>
        </w:rPr>
        <w:t>איצל׳ה</w:t>
      </w:r>
      <w:proofErr w:type="spellEnd"/>
      <w:r>
        <w:rPr>
          <w:rtl/>
        </w:rPr>
        <w:t xml:space="preserve"> אצל ר׳ </w:t>
      </w:r>
      <w:proofErr w:type="spellStart"/>
      <w:r>
        <w:rPr>
          <w:rtl/>
        </w:rPr>
        <w:t>בן־ציון</w:t>
      </w:r>
      <w:proofErr w:type="spellEnd"/>
      <w:r>
        <w:rPr>
          <w:rtl/>
        </w:rPr>
        <w:t xml:space="preserve"> </w:t>
      </w:r>
      <w:proofErr w:type="spellStart"/>
      <w:r>
        <w:rPr>
          <w:rtl/>
        </w:rPr>
        <w:t>שטרנפלד</w:t>
      </w:r>
      <w:proofErr w:type="spellEnd"/>
      <w:r>
        <w:rPr>
          <w:rtl/>
        </w:rPr>
        <w:t>,</w:t>
      </w:r>
      <w:bookmarkStart w:id="2582" w:name="_fnr1727"/>
      <w:r>
        <w:rPr>
          <w:rStyle w:val="a5"/>
        </w:rPr>
        <w:footnoteReference w:id="1731" w:customMarkFollows="0"/>
      </w:r>
      <w:bookmarkEnd w:id="2582"/>
      <w:r>
        <w:rPr>
          <w:rtl/>
        </w:rPr>
        <w:t xml:space="preserve"> ואחר כך, כשנתמנה ר׳ יוסף־דב </w:t>
      </w:r>
      <w:proofErr w:type="spellStart"/>
      <w:r>
        <w:rPr>
          <w:rtl/>
        </w:rPr>
        <w:t>סולובייצ׳יק</w:t>
      </w:r>
      <w:proofErr w:type="spellEnd"/>
      <w:r>
        <w:rPr>
          <w:rtl/>
        </w:rPr>
        <w:t xml:space="preserve"> לרבה של </w:t>
      </w:r>
      <w:proofErr w:type="spellStart"/>
      <w:r>
        <w:rPr>
          <w:rtl/>
        </w:rPr>
        <w:t>בריסק</w:t>
      </w:r>
      <w:proofErr w:type="spellEnd"/>
      <w:r>
        <w:rPr>
          <w:rtl/>
        </w:rPr>
        <w:t xml:space="preserve">, למד אצלו יחד עם בנו ר׳ חיים. לפי אבי, אמר ר׳ יוסף־דב: “הוא מלמד קבוצת ילדי עשירים בבית המדרש גמילות חסדים. הוא אדם גדול מאוד, שיכול להיות ראש ישיבה גדול”.</w:t>
      </w:r>
    </w:p>
    <w:p w14:paraId="0ED4B325" w14:textId="77777777" w:rsidR="00AB3647" w:rsidRDefault="00000000" w:rsidP="007923E9">
      <w:pPr>
        <w:spacing w:after="120" w:line="276" w:lineRule="auto"/>
        <w:ind w:firstLine="283"/>
        <w:jc w:val="both"/>
      </w:pPr>
      <w:r>
        <w:rPr>
          <w:rtl/>
        </w:rPr>
        <w:t xml:space="preserve">ר׳ </w:t>
      </w:r>
      <w:proofErr w:type="spellStart"/>
      <w:r>
        <w:rPr>
          <w:rtl/>
        </w:rPr>
        <w:t>איצל׳ה</w:t>
      </w:r>
      <w:proofErr w:type="spellEnd"/>
      <w:r>
        <w:rPr>
          <w:rtl/>
        </w:rPr>
        <w:t xml:space="preserve"> היה גם צדיק יוצא דופן. ר׳ </w:t>
      </w:r>
      <w:proofErr w:type="spellStart"/>
      <w:r>
        <w:rPr>
          <w:rtl/>
        </w:rPr>
        <w:t>אלעזר־מנחם־מן</w:t>
      </w:r>
      <w:proofErr w:type="spellEnd"/>
      <w:r>
        <w:rPr>
          <w:rtl/>
        </w:rPr>
        <w:t xml:space="preserve"> שך</w:t>
      </w:r>
      <w:bookmarkStart w:id="2583" w:name="_fnr1728"/>
      <w:r>
        <w:rPr>
          <w:rStyle w:val="a5"/>
        </w:rPr>
        <w:footnoteReference w:id="1732" w:customMarkFollows="0"/>
      </w:r>
      <w:bookmarkEnd w:id="2583"/>
      <w:r>
        <w:rPr>
          <w:rtl/>
        </w:rPr>
        <w:t xml:space="preserve"> תיאר לי כיצד עמד ר׳ </w:t>
      </w:r>
      <w:proofErr w:type="spellStart"/>
      <w:r>
        <w:rPr>
          <w:rtl/>
        </w:rPr>
        <w:t>איצל׳ה</w:t>
      </w:r>
      <w:proofErr w:type="spellEnd"/>
      <w:r>
        <w:rPr>
          <w:rtl/>
        </w:rPr>
        <w:t xml:space="preserve"> בקריאת התורה: מעביר את משקלו מצד לצד, מרגל אחת לחברתה, דרוך וקשוב לכל הברה. השווה גם “שמושה של תורה”,</w:t>
      </w:r>
      <w:bookmarkStart w:id="2584" w:name="_fnr1729"/>
      <w:r>
        <w:rPr>
          <w:rStyle w:val="a5"/>
        </w:rPr>
        <w:footnoteReference w:id="1733" w:customMarkFollows="0"/>
      </w:r>
      <w:bookmarkEnd w:id="2584"/>
      <w:r>
        <w:rPr>
          <w:rtl/>
        </w:rPr>
        <w:t xml:space="preserve"> שבו מובא שר׳ </w:t>
      </w:r>
      <w:proofErr w:type="spellStart"/>
      <w:r>
        <w:rPr>
          <w:rtl/>
        </w:rPr>
        <w:t>אלעזר־מנחם־מן</w:t>
      </w:r>
      <w:proofErr w:type="spellEnd"/>
      <w:r>
        <w:rPr>
          <w:rtl/>
        </w:rPr>
        <w:t xml:space="preserve"> שך אמר עליו שהיה “ממש מלאך אלוקים, אש להבה” </w:t>
      </w:r>
      <w:proofErr w:type="spellStart"/>
      <w:r>
        <w:rPr>
          <w:rtl/>
        </w:rPr>
        <w:t>ו“צדיק</w:t>
      </w:r>
      <w:proofErr w:type="spellEnd"/>
      <w:r>
        <w:rPr>
          <w:rtl/>
        </w:rPr>
        <w:t xml:space="preserve"> נפלא”. ר׳ </w:t>
      </w:r>
      <w:proofErr w:type="spellStart"/>
      <w:r>
        <w:rPr>
          <w:rtl/>
        </w:rPr>
        <w:t>אלעזר־מנחם־מן</w:t>
      </w:r>
      <w:proofErr w:type="spellEnd"/>
      <w:r>
        <w:rPr>
          <w:rtl/>
        </w:rPr>
        <w:t xml:space="preserve"> שך הוסיף ותיאר כיצד הכריח את עצמו להסיח את דעתו ממחשבותיו בתורה ולהפנות את תשומת לבו לקריאת התורה שבציבור.</w:t>
      </w:r>
    </w:p>
    <w:p w14:paraId="10E95A4D" w14:textId="77777777" w:rsidR="00AB3647" w:rsidRDefault="00000000" w:rsidP="007923E9">
      <w:pPr>
        <w:spacing w:after="120" w:line="276" w:lineRule="auto"/>
        <w:ind w:firstLine="283"/>
        <w:jc w:val="both"/>
      </w:pPr>
      <w:r>
        <w:rPr>
          <w:rtl/>
        </w:rPr>
        <w:lastRenderedPageBreak/>
        <w:t>השווה גם יעקב מארק,</w:t>
      </w:r>
      <w:bookmarkStart w:id="2585" w:name="_fnr1730"/>
      <w:r>
        <w:rPr>
          <w:rStyle w:val="a5"/>
        </w:rPr>
        <w:footnoteReference w:id="1734" w:customMarkFollows="0"/>
      </w:r>
      <w:bookmarkEnd w:id="2585"/>
      <w:r>
        <w:rPr>
          <w:rtl/>
        </w:rPr>
        <w:t xml:space="preserve"> המספר שבשנותיו המאוחרות היה ר׳ </w:t>
      </w:r>
      <w:proofErr w:type="spellStart"/>
      <w:r>
        <w:rPr>
          <w:rtl/>
        </w:rPr>
        <w:t>איצל׳ה</w:t>
      </w:r>
      <w:proofErr w:type="spellEnd"/>
      <w:r>
        <w:rPr>
          <w:rtl/>
        </w:rPr>
        <w:t xml:space="preserve"> בדרכים תדיר בשל ענייני ציבור, ובכל זאת היו חומרותיו בכשרות כאלה </w:t>
      </w:r>
      <w:proofErr w:type="spellStart"/>
      <w:r>
        <w:rPr>
          <w:rtl/>
        </w:rPr>
        <w:t>ש“לא</w:t>
      </w:r>
      <w:proofErr w:type="spellEnd"/>
      <w:r>
        <w:rPr>
          <w:rtl/>
        </w:rPr>
        <w:t xml:space="preserve"> אכל לחם ולא חלב ולא חמאה, ואין צריך לומר בשר”, והוא ניזון מן המצות שלקח עמו. שם מסופר</w:t>
      </w:r>
      <w:bookmarkStart w:id="2586" w:name="_fnr1731"/>
      <w:r>
        <w:rPr>
          <w:rStyle w:val="a5"/>
        </w:rPr>
        <w:footnoteReference w:id="1735" w:customMarkFollows="0"/>
      </w:r>
      <w:bookmarkEnd w:id="2586"/>
      <w:r>
        <w:rPr>
          <w:rtl/>
        </w:rPr>
        <w:t xml:space="preserve"> שר׳ מאיר אטלס, רבה של שאוול,</w:t>
      </w:r>
      <w:bookmarkStart w:id="2587" w:name="_fnr1732"/>
      <w:r>
        <w:rPr>
          <w:rStyle w:val="a5"/>
        </w:rPr>
        <w:footnoteReference w:id="1736" w:customMarkFollows="0"/>
      </w:r>
      <w:bookmarkEnd w:id="2587"/>
      <w:r>
        <w:rPr>
          <w:rtl/>
        </w:rPr>
        <w:t xml:space="preserve"> בא מחרקוב החמה יותר לאספת רבנים בבירת רוסיה, פטרבורג, בערב שבועות. כשראה את ר׳ </w:t>
      </w:r>
      <w:proofErr w:type="spellStart"/>
      <w:r>
        <w:rPr>
          <w:rtl/>
        </w:rPr>
        <w:t>איצל׳ה</w:t>
      </w:r>
      <w:proofErr w:type="spellEnd"/>
      <w:r>
        <w:rPr>
          <w:rtl/>
        </w:rPr>
        <w:t xml:space="preserve"> </w:t>
      </w:r>
      <w:proofErr w:type="spellStart"/>
      <w:r>
        <w:rPr>
          <w:rtl/>
        </w:rPr>
        <w:t>ב“סעודתו</w:t>
      </w:r>
      <w:proofErr w:type="spellEnd"/>
      <w:r>
        <w:rPr>
          <w:rtl/>
        </w:rPr>
        <w:t xml:space="preserve">”, התבדח: “פטרבורג היא עיר מפגרת. בכל מקום כבר ערב שבועות, וכאן עדיין פסח: ר׳ </w:t>
      </w:r>
      <w:proofErr w:type="spellStart"/>
      <w:r>
        <w:rPr>
          <w:rtl/>
        </w:rPr>
        <w:t>איצל׳ה</w:t>
      </w:r>
      <w:proofErr w:type="spellEnd"/>
      <w:r>
        <w:rPr>
          <w:rtl/>
        </w:rPr>
        <w:t xml:space="preserve"> אוכל מצה, בחוץ יורד שלג, וזה עתה באתי מביקור אצל הגאון </w:t>
      </w:r>
      <w:proofErr w:type="spellStart"/>
      <w:r>
        <w:rPr>
          <w:rtl/>
        </w:rPr>
        <w:t>הרוגצ׳ובר</w:t>
      </w:r>
      <w:proofErr w:type="spellEnd"/>
      <w:r>
        <w:rPr>
          <w:rtl/>
        </w:rPr>
        <w:t>, והוא לומד מסכת פסחים!”</w:t>
      </w:r>
    </w:p>
    <w:p w14:paraId="6339F6DD" w14:textId="77777777" w:rsidR="00AB3647" w:rsidRDefault="00000000" w:rsidP="007923E9">
      <w:pPr>
        <w:spacing w:after="120" w:line="276" w:lineRule="auto"/>
        <w:ind w:firstLine="283"/>
        <w:jc w:val="both"/>
      </w:pPr>
      <w:r>
        <w:rPr>
          <w:rtl/>
        </w:rPr>
        <w:t xml:space="preserve">צד נוסף בחסידותו של ר׳ </w:t>
      </w:r>
      <w:proofErr w:type="spellStart"/>
      <w:r>
        <w:rPr>
          <w:rtl/>
        </w:rPr>
        <w:t>איצל׳ה</w:t>
      </w:r>
      <w:proofErr w:type="spellEnd"/>
      <w:r>
        <w:rPr>
          <w:rtl/>
        </w:rPr>
        <w:t xml:space="preserve"> מתגלה בהקדמת ר׳ ירוחם </w:t>
      </w:r>
      <w:proofErr w:type="spellStart"/>
      <w:r>
        <w:rPr>
          <w:rtl/>
        </w:rPr>
        <w:t>ליינר</w:t>
      </w:r>
      <w:proofErr w:type="spellEnd"/>
      <w:r>
        <w:rPr>
          <w:rtl/>
        </w:rPr>
        <w:t xml:space="preserve"> למאמר של דודו, “מאמר שפוני </w:t>
      </w:r>
      <w:proofErr w:type="spellStart"/>
      <w:r>
        <w:rPr>
          <w:rtl/>
        </w:rPr>
        <w:t>טמוני</w:t>
      </w:r>
      <w:proofErr w:type="spellEnd"/>
      <w:r>
        <w:rPr>
          <w:rtl/>
        </w:rPr>
        <w:t xml:space="preserve"> חול”.</w:t>
      </w:r>
      <w:bookmarkStart w:id="2588" w:name="_fnr1733"/>
      <w:r>
        <w:rPr>
          <w:rStyle w:val="a5"/>
        </w:rPr>
        <w:footnoteReference w:id="1737" w:customMarkFollows="0"/>
      </w:r>
      <w:bookmarkEnd w:id="2588"/>
      <w:r>
        <w:rPr>
          <w:rtl/>
        </w:rPr>
        <w:t xml:space="preserve"> הספר יצא לאור לראשונה בשנת תרמ״ז, וקורא לשוב ולהטיל את פתיל התכלת בציצית כמצוות התורה.</w:t>
      </w:r>
      <w:bookmarkStart w:id="2589" w:name="_fnr1734"/>
      <w:r>
        <w:rPr>
          <w:rStyle w:val="a5"/>
        </w:rPr>
        <w:footnoteReference w:id="1738" w:customMarkFollows="0"/>
      </w:r>
      <w:bookmarkEnd w:id="2589"/>
      <w:r>
        <w:rPr>
          <w:rtl/>
        </w:rPr>
        <w:t xml:space="preserve"> מחברו טוען שגילה במחקרו המדעי בנאפולי איזה חילזון מפיק את הצבע הכשר לכך. בעניין זה כותב הרב </w:t>
      </w:r>
      <w:proofErr w:type="spellStart"/>
      <w:r>
        <w:rPr>
          <w:rtl/>
        </w:rPr>
        <w:t>ליינר</w:t>
      </w:r>
      <w:proofErr w:type="spellEnd"/>
      <w:r>
        <w:rPr>
          <w:rtl/>
        </w:rPr>
        <w:t xml:space="preserve">: “יש לי עדות ברורה ונאמנה ש... ר׳ </w:t>
      </w:r>
      <w:proofErr w:type="spellStart"/>
      <w:r>
        <w:rPr>
          <w:rtl/>
        </w:rPr>
        <w:t>איצל׳ה</w:t>
      </w:r>
      <w:proofErr w:type="spellEnd"/>
      <w:r>
        <w:rPr>
          <w:rtl/>
        </w:rPr>
        <w:t xml:space="preserve"> </w:t>
      </w:r>
      <w:proofErr w:type="spellStart"/>
      <w:r>
        <w:rPr>
          <w:rtl/>
        </w:rPr>
        <w:t>פוניבז׳ער</w:t>
      </w:r>
      <w:proofErr w:type="spellEnd"/>
      <w:r>
        <w:rPr>
          <w:rtl/>
        </w:rPr>
        <w:t xml:space="preserve"> לבש את התכלת [שגילה ר׳ </w:t>
      </w:r>
      <w:proofErr w:type="spellStart"/>
      <w:r>
        <w:rPr>
          <w:rtl/>
        </w:rPr>
        <w:t>גרשון־חנוך</w:t>
      </w:r>
      <w:proofErr w:type="spellEnd"/>
      <w:r>
        <w:rPr>
          <w:rtl/>
        </w:rPr>
        <w:t>] בטליתו בסתר, כפי שהעידו תלמידיו שלמדו אצלו”. כשגדול ליטאי שחי כולו בעולם הספרים והמסורות סומך על ראיה מדעית כיצד לקיים מצווה, יש בכך עדות לצדקות יוצאת דופן.</w:t>
      </w:r>
    </w:p>
    <w:p w14:paraId="41C073A5" w14:textId="77777777" w:rsidR="00AB3647" w:rsidRDefault="00000000" w:rsidP="007923E9">
      <w:pPr>
        <w:spacing w:after="120" w:line="276" w:lineRule="auto"/>
        <w:ind w:firstLine="283"/>
        <w:jc w:val="both"/>
      </w:pPr>
      <w:r>
        <w:rPr>
          <w:rtl/>
        </w:rPr>
        <w:t xml:space="preserve">הרב </w:t>
      </w:r>
      <w:proofErr w:type="spellStart"/>
      <w:r>
        <w:rPr>
          <w:rtl/>
        </w:rPr>
        <w:t>ליינר</w:t>
      </w:r>
      <w:proofErr w:type="spellEnd"/>
      <w:r>
        <w:rPr>
          <w:rtl/>
        </w:rPr>
        <w:t xml:space="preserve">, שגר בבורו פארק שבברוקלין, שמע כנראה על מנהגו הנסתר של ר׳ </w:t>
      </w:r>
      <w:proofErr w:type="spellStart"/>
      <w:r>
        <w:rPr>
          <w:rtl/>
        </w:rPr>
        <w:t>איצל׳ה</w:t>
      </w:r>
      <w:proofErr w:type="spellEnd"/>
      <w:r>
        <w:rPr>
          <w:rtl/>
        </w:rPr>
        <w:t xml:space="preserve"> מפי ר׳ אליעזר </w:t>
      </w:r>
      <w:proofErr w:type="spellStart"/>
      <w:r>
        <w:rPr>
          <w:rtl/>
        </w:rPr>
        <w:t>קירזנר</w:t>
      </w:r>
      <w:proofErr w:type="spellEnd"/>
      <w:r>
        <w:rPr>
          <w:rtl/>
        </w:rPr>
        <w:t xml:space="preserve">, רב ותיק באותה קהילה, הנזכר בסוף הפסקה הבאה כתלמיד מובהק של ר׳ </w:t>
      </w:r>
      <w:proofErr w:type="spellStart"/>
      <w:r>
        <w:rPr>
          <w:rtl/>
        </w:rPr>
        <w:t>איצל׳ה</w:t>
      </w:r>
      <w:proofErr w:type="spellEnd"/>
      <w:r>
        <w:rPr>
          <w:rtl/>
        </w:rPr>
        <w:t xml:space="preserve"> </w:t>
      </w:r>
      <w:proofErr w:type="spellStart"/>
      <w:r>
        <w:rPr>
          <w:rtl/>
        </w:rPr>
        <w:t>רבינוביץ</w:t>
      </w:r>
      <w:proofErr w:type="spellEnd"/>
      <w:r>
        <w:rPr>
          <w:rtl/>
        </w:rPr>
        <w:t>.</w:t>
      </w:r>
    </w:p>
    <w:p w14:paraId="0F216859" w14:textId="77777777" w:rsidR="00AB3647" w:rsidRDefault="00000000" w:rsidP="007923E9">
      <w:pPr>
        <w:spacing w:after="120" w:line="276" w:lineRule="auto"/>
        <w:ind w:firstLine="283"/>
        <w:jc w:val="both"/>
      </w:pPr>
      <w:r>
        <w:rPr>
          <w:rtl/>
        </w:rPr>
        <w:t xml:space="preserve">אבי המשיך: “הסבא </w:t>
      </w:r>
      <w:proofErr w:type="spellStart"/>
      <w:r>
        <w:rPr>
          <w:rtl/>
        </w:rPr>
        <w:t>מסלבודקה</w:t>
      </w:r>
      <w:proofErr w:type="spellEnd"/>
      <w:r>
        <w:rPr>
          <w:rtl/>
        </w:rPr>
        <w:t xml:space="preserve"> עצר </w:t>
      </w:r>
      <w:proofErr w:type="spellStart"/>
      <w:r>
        <w:rPr>
          <w:rtl/>
        </w:rPr>
        <w:t>בביאליסטוק</w:t>
      </w:r>
      <w:proofErr w:type="spellEnd"/>
      <w:r>
        <w:rPr>
          <w:rtl/>
        </w:rPr>
        <w:t xml:space="preserve"> בדרכו הביתה </w:t>
      </w:r>
      <w:proofErr w:type="spellStart"/>
      <w:r>
        <w:rPr>
          <w:rtl/>
        </w:rPr>
        <w:t>מבריסק</w:t>
      </w:r>
      <w:proofErr w:type="spellEnd"/>
      <w:r>
        <w:rPr>
          <w:rtl/>
        </w:rPr>
        <w:t xml:space="preserve">, וקיבל את ר׳ </w:t>
      </w:r>
      <w:proofErr w:type="spellStart"/>
      <w:r>
        <w:rPr>
          <w:rtl/>
        </w:rPr>
        <w:t>איצל׳ה</w:t>
      </w:r>
      <w:proofErr w:type="spellEnd"/>
      <w:r>
        <w:rPr>
          <w:rtl/>
        </w:rPr>
        <w:t xml:space="preserve"> לישיבה. הערכתו של ר׳ יוסף־דב לגדולתו אכן הייתה מדויקת. שיטתו המיוחדת בתלמוד – שיטתו הייתה ליצור חלוקות, לא מתוך הסברה אלא מתוך עובדות הלכתיות – הכתה גלים בעולם התורה”. </w:t>
      </w:r>
      <w:proofErr w:type="spellStart"/>
      <w:r>
        <w:rPr>
          <w:rtl/>
        </w:rPr>
        <w:t>ב“עובדות</w:t>
      </w:r>
      <w:proofErr w:type="spellEnd"/>
      <w:r>
        <w:rPr>
          <w:rtl/>
        </w:rPr>
        <w:t xml:space="preserve"> והנהגות לבית </w:t>
      </w:r>
      <w:proofErr w:type="spellStart"/>
      <w:r>
        <w:rPr>
          <w:rtl/>
        </w:rPr>
        <w:t>בריסק</w:t>
      </w:r>
      <w:proofErr w:type="spellEnd"/>
      <w:r>
        <w:rPr>
          <w:rtl/>
        </w:rPr>
        <w:t>”</w:t>
      </w:r>
      <w:bookmarkStart w:id="2590" w:name="_fnr1735"/>
      <w:r>
        <w:rPr>
          <w:rStyle w:val="a5"/>
        </w:rPr>
        <w:footnoteReference w:id="1739" w:customMarkFollows="0"/>
      </w:r>
      <w:bookmarkEnd w:id="2590"/>
      <w:r>
        <w:rPr>
          <w:rtl/>
        </w:rPr>
        <w:t xml:space="preserve"> מובא שר׳ יצחק־זאב אמר שכאשר אביו אומר דברי תורה הוא כמעיין המתגבר והולך לעומק, וכאשר ר׳ </w:t>
      </w:r>
      <w:proofErr w:type="spellStart"/>
      <w:r>
        <w:rPr>
          <w:rtl/>
        </w:rPr>
        <w:t>איצל׳ה</w:t>
      </w:r>
      <w:proofErr w:type="spellEnd"/>
      <w:r>
        <w:rPr>
          <w:rtl/>
        </w:rPr>
        <w:t xml:space="preserve"> אומר דברי תורה הוא כמעיין המתגבר והולך לרוחב. אפיון זה של שיטת ר׳ </w:t>
      </w:r>
      <w:proofErr w:type="spellStart"/>
      <w:r>
        <w:rPr>
          <w:rtl/>
        </w:rPr>
        <w:t>איצל׳ה</w:t>
      </w:r>
      <w:proofErr w:type="spellEnd"/>
      <w:r>
        <w:rPr>
          <w:rtl/>
        </w:rPr>
        <w:t xml:space="preserve"> דומה להגדרתו של רבנו.</w:t>
      </w:r>
    </w:p>
    <w:p w14:paraId="0FACC4EC" w14:textId="77777777" w:rsidR="00AB3647" w:rsidRDefault="00000000" w:rsidP="007923E9">
      <w:pPr>
        <w:spacing w:after="120" w:line="276" w:lineRule="auto"/>
        <w:ind w:firstLine="283"/>
        <w:jc w:val="both"/>
      </w:pPr>
      <w:r>
        <w:rPr>
          <w:rtl/>
        </w:rPr>
        <w:t xml:space="preserve">“נראה שמספר תלמידי ישיבת </w:t>
      </w:r>
      <w:proofErr w:type="spellStart"/>
      <w:r>
        <w:rPr>
          <w:rtl/>
        </w:rPr>
        <w:t>סלבודקה</w:t>
      </w:r>
      <w:proofErr w:type="spellEnd"/>
      <w:r>
        <w:rPr>
          <w:rtl/>
        </w:rPr>
        <w:t xml:space="preserve"> גדל מאוד בעקבות בואו של ר׳ </w:t>
      </w:r>
      <w:proofErr w:type="spellStart"/>
      <w:r>
        <w:rPr>
          <w:rtl/>
        </w:rPr>
        <w:t>איצל׳ה</w:t>
      </w:r>
      <w:proofErr w:type="spellEnd"/>
      <w:r>
        <w:rPr>
          <w:rtl/>
        </w:rPr>
        <w:t>”,</w:t>
      </w:r>
      <w:bookmarkStart w:id="2591" w:name="_fnr1736"/>
      <w:r>
        <w:rPr>
          <w:rStyle w:val="a5"/>
        </w:rPr>
        <w:footnoteReference w:id="1740" w:customMarkFollows="0"/>
      </w:r>
      <w:bookmarkEnd w:id="2591"/>
      <w:r>
        <w:rPr>
          <w:rtl/>
        </w:rPr>
        <w:t xml:space="preserve"> אמר אבי. “פעם אחת, כשנערך סיום הש״ס </w:t>
      </w:r>
      <w:proofErr w:type="spellStart"/>
      <w:r>
        <w:rPr>
          <w:rtl/>
        </w:rPr>
        <w:t>בקלויז</w:t>
      </w:r>
      <w:proofErr w:type="spellEnd"/>
      <w:r>
        <w:rPr>
          <w:rtl/>
        </w:rPr>
        <w:t xml:space="preserve"> </w:t>
      </w:r>
      <w:proofErr w:type="spellStart"/>
      <w:r>
        <w:rPr>
          <w:rtl/>
        </w:rPr>
        <w:t>נביאזר</w:t>
      </w:r>
      <w:proofErr w:type="spellEnd"/>
      <w:r>
        <w:rPr>
          <w:rtl/>
        </w:rPr>
        <w:t xml:space="preserve"> בקובנה, בית הכנסת הלמדני שבו לימד ר׳ ישראל </w:t>
      </w:r>
      <w:proofErr w:type="spellStart"/>
      <w:r>
        <w:rPr>
          <w:rtl/>
        </w:rPr>
        <w:t>סלנטר</w:t>
      </w:r>
      <w:proofErr w:type="spellEnd"/>
      <w:r>
        <w:rPr>
          <w:rtl/>
        </w:rPr>
        <w:t xml:space="preserve">, הוזמנו גם ר׳ </w:t>
      </w:r>
      <w:proofErr w:type="spellStart"/>
      <w:r>
        <w:rPr>
          <w:rtl/>
        </w:rPr>
        <w:t>יצחק־אלחנן</w:t>
      </w:r>
      <w:proofErr w:type="spellEnd"/>
      <w:r>
        <w:rPr>
          <w:rtl/>
        </w:rPr>
        <w:t xml:space="preserve"> וגם ר׳ </w:t>
      </w:r>
      <w:proofErr w:type="spellStart"/>
      <w:r>
        <w:rPr>
          <w:rtl/>
        </w:rPr>
        <w:t>איצל׳ה</w:t>
      </w:r>
      <w:proofErr w:type="spellEnd"/>
      <w:r>
        <w:rPr>
          <w:rtl/>
        </w:rPr>
        <w:t xml:space="preserve"> </w:t>
      </w:r>
      <w:proofErr w:type="spellStart"/>
      <w:r>
        <w:rPr>
          <w:rtl/>
        </w:rPr>
        <w:t>רבינוביץ</w:t>
      </w:r>
      <w:proofErr w:type="spellEnd"/>
      <w:r>
        <w:rPr>
          <w:rtl/>
        </w:rPr>
        <w:t xml:space="preserve"> לומר הדרנים. אחר כך נשאל ר׳ </w:t>
      </w:r>
      <w:proofErr w:type="spellStart"/>
      <w:r>
        <w:rPr>
          <w:rtl/>
        </w:rPr>
        <w:t>יצחק־אלחנן</w:t>
      </w:r>
      <w:proofErr w:type="spellEnd"/>
      <w:r>
        <w:rPr>
          <w:rtl/>
        </w:rPr>
        <w:t xml:space="preserve">, שלא שמע מעולם שיעור מן הסוג שמסר הדובר האחר, מה דעתו על ר׳ </w:t>
      </w:r>
      <w:proofErr w:type="spellStart"/>
      <w:r>
        <w:rPr>
          <w:rtl/>
        </w:rPr>
        <w:t>איצל׳ה</w:t>
      </w:r>
      <w:proofErr w:type="spellEnd"/>
      <w:r>
        <w:rPr>
          <w:rtl/>
        </w:rPr>
        <w:t xml:space="preserve">, והשיב: ‘הצעיר הזה יהיה </w:t>
      </w:r>
      <w:proofErr w:type="spellStart"/>
      <w:r>
        <w:rPr>
          <w:rtl/>
        </w:rPr>
        <w:t>רשב״א</w:t>
      </w:r>
      <w:proofErr w:type="spellEnd"/>
      <w:r>
        <w:rPr>
          <w:rtl/>
        </w:rPr>
        <w:t xml:space="preserve"> או </w:t>
      </w:r>
      <w:proofErr w:type="spellStart"/>
      <w:r>
        <w:rPr>
          <w:rtl/>
        </w:rPr>
        <w:t>גארניט</w:t>
      </w:r>
      <w:proofErr w:type="spellEnd"/>
      <w:r>
        <w:rPr>
          <w:rtl/>
        </w:rPr>
        <w:t xml:space="preserve"> [לא כלום]’. את המסקנה המפתיעה הזו הסיק רב קובנה מפני שלא הכיר את השינוי בשיטת לימוד התלמוד שהתחולל בעולם הישיבות </w:t>
      </w:r>
      <w:r>
        <w:rPr>
          <w:rtl/>
        </w:rPr>
        <w:lastRenderedPageBreak/>
        <w:t xml:space="preserve">בעקבות שיעורי ר׳ חיים </w:t>
      </w:r>
      <w:proofErr w:type="spellStart"/>
      <w:r>
        <w:rPr>
          <w:rtl/>
        </w:rPr>
        <w:t>סולובייצ׳יק</w:t>
      </w:r>
      <w:proofErr w:type="spellEnd"/>
      <w:r>
        <w:rPr>
          <w:rtl/>
        </w:rPr>
        <w:t xml:space="preserve"> </w:t>
      </w:r>
      <w:proofErr w:type="spellStart"/>
      <w:r>
        <w:rPr>
          <w:rtl/>
        </w:rPr>
        <w:t>בוולוז׳ין</w:t>
      </w:r>
      <w:bookmarkStart w:id="2592" w:name="_fnr1737"/>
      <w:proofErr w:type="spellEnd"/>
      <w:r>
        <w:rPr>
          <w:rStyle w:val="a5"/>
        </w:rPr>
        <w:footnoteReference w:id="1741" w:customMarkFollows="0"/>
      </w:r>
      <w:bookmarkEnd w:id="2592"/>
      <w:r>
        <w:rPr>
          <w:rtl/>
        </w:rPr>
        <w:t xml:space="preserve"> ושיעורי ר׳ </w:t>
      </w:r>
      <w:proofErr w:type="spellStart"/>
      <w:r>
        <w:rPr>
          <w:rtl/>
        </w:rPr>
        <w:t>איצל׳ה</w:t>
      </w:r>
      <w:proofErr w:type="spellEnd"/>
      <w:r>
        <w:rPr>
          <w:rtl/>
        </w:rPr>
        <w:t xml:space="preserve"> </w:t>
      </w:r>
      <w:proofErr w:type="spellStart"/>
      <w:r>
        <w:rPr>
          <w:rtl/>
        </w:rPr>
        <w:t>בסלבודקה</w:t>
      </w:r>
      <w:proofErr w:type="spellEnd"/>
      <w:r>
        <w:rPr>
          <w:rtl/>
        </w:rPr>
        <w:t xml:space="preserve">”. ר׳ </w:t>
      </w:r>
      <w:proofErr w:type="spellStart"/>
      <w:r>
        <w:rPr>
          <w:rtl/>
        </w:rPr>
        <w:t>איצל׳ה</w:t>
      </w:r>
      <w:proofErr w:type="spellEnd"/>
      <w:r>
        <w:rPr>
          <w:rtl/>
        </w:rPr>
        <w:t xml:space="preserve"> היה מעיין בלתי פוסק של חידושי תורה, ורק מעט מהם נשמרו לדורות ויצאו לאור לאחר מכן בשם “זכר יצחק”.</w:t>
      </w:r>
      <w:bookmarkStart w:id="2593" w:name="_fnr1738"/>
      <w:r>
        <w:rPr>
          <w:rStyle w:val="a5"/>
        </w:rPr>
        <w:footnoteReference w:id="1742" w:customMarkFollows="0"/>
      </w:r>
      <w:bookmarkEnd w:id="2593"/>
    </w:p>
    <w:p w14:paraId="720B5A1D" w14:textId="77777777" w:rsidR="00AB3647" w:rsidRDefault="00000000" w:rsidP="007923E9">
      <w:pPr>
        <w:spacing w:after="120" w:line="276" w:lineRule="auto"/>
        <w:ind w:firstLine="283"/>
        <w:jc w:val="both"/>
      </w:pPr>
      <w:r>
        <w:rPr>
          <w:rtl/>
        </w:rPr>
        <w:t xml:space="preserve">ר׳ ישראל </w:t>
      </w:r>
      <w:proofErr w:type="spellStart"/>
      <w:r>
        <w:rPr>
          <w:rtl/>
        </w:rPr>
        <w:t>סלנטר</w:t>
      </w:r>
      <w:proofErr w:type="spellEnd"/>
      <w:r>
        <w:rPr>
          <w:rtl/>
        </w:rPr>
        <w:t xml:space="preserve"> לא היה מסויג כר׳ </w:t>
      </w:r>
      <w:proofErr w:type="spellStart"/>
      <w:r>
        <w:rPr>
          <w:rtl/>
        </w:rPr>
        <w:t>יצחק־אלחנן</w:t>
      </w:r>
      <w:proofErr w:type="spellEnd"/>
      <w:r>
        <w:rPr>
          <w:rtl/>
        </w:rPr>
        <w:t xml:space="preserve"> בקבלת שינויים בעולם התורה – ואף ביוזמת שינויים כאלה – והוא שיבח את שיטתו החדשה של ר׳ חיים </w:t>
      </w:r>
      <w:proofErr w:type="spellStart"/>
      <w:r>
        <w:rPr>
          <w:rtl/>
        </w:rPr>
        <w:t>סולובייצ׳יק</w:t>
      </w:r>
      <w:proofErr w:type="spellEnd"/>
      <w:r>
        <w:rPr>
          <w:rtl/>
        </w:rPr>
        <w:t xml:space="preserve"> בלימוד התלמוד.</w:t>
      </w:r>
      <w:bookmarkStart w:id="2594" w:name="_fnr1739"/>
      <w:r>
        <w:rPr>
          <w:rStyle w:val="a5"/>
        </w:rPr>
        <w:footnoteReference w:id="1743" w:customMarkFollows="0"/>
      </w:r>
      <w:bookmarkEnd w:id="2594"/>
      <w:r>
        <w:rPr>
          <w:rtl/>
        </w:rPr>
        <w:t xml:space="preserve"> יש גרסאות אחדות בפרטי תגובתו לדרך לימודו של ר׳ חיים. ישראל </w:t>
      </w:r>
      <w:proofErr w:type="spellStart"/>
      <w:r>
        <w:rPr>
          <w:rtl/>
        </w:rPr>
        <w:t>גרינוולד</w:t>
      </w:r>
      <w:proofErr w:type="spellEnd"/>
      <w:r>
        <w:rPr>
          <w:rtl/>
        </w:rPr>
        <w:t xml:space="preserve">, </w:t>
      </w:r>
      <w:proofErr w:type="spellStart"/>
      <w:r>
        <w:rPr>
          <w:rtl/>
        </w:rPr>
        <w:t>ב“ר</w:t>
      </w:r>
      <w:proofErr w:type="spellEnd"/>
      <w:r>
        <w:rPr>
          <w:rtl/>
        </w:rPr>
        <w:t xml:space="preserve">׳ מנדל </w:t>
      </w:r>
      <w:proofErr w:type="spellStart"/>
      <w:r>
        <w:rPr>
          <w:rtl/>
        </w:rPr>
        <w:t>וחכמתו</w:t>
      </w:r>
      <w:proofErr w:type="spellEnd"/>
      <w:r>
        <w:rPr>
          <w:rtl/>
        </w:rPr>
        <w:t>”,</w:t>
      </w:r>
      <w:bookmarkStart w:id="2595" w:name="_fnr1740"/>
      <w:r>
        <w:rPr>
          <w:rStyle w:val="a5"/>
        </w:rPr>
        <w:footnoteReference w:id="1744" w:customMarkFollows="0"/>
      </w:r>
      <w:bookmarkEnd w:id="2595"/>
      <w:r>
        <w:rPr>
          <w:rtl/>
        </w:rPr>
        <w:t xml:space="preserve"> מצטט את ר׳ מנדל קפלן, ששמע כנראה את המעשה מרבו ר׳ אלחנן וסרמן, וזה שמע אותו מן הסתם בחוג משפחת </w:t>
      </w:r>
      <w:proofErr w:type="spellStart"/>
      <w:r>
        <w:rPr>
          <w:rtl/>
        </w:rPr>
        <w:t>סולובייצ׳יק</w:t>
      </w:r>
      <w:proofErr w:type="spellEnd"/>
      <w:r>
        <w:rPr>
          <w:rtl/>
        </w:rPr>
        <w:t xml:space="preserve"> כשלמד אצל ר׳ חיים </w:t>
      </w:r>
      <w:proofErr w:type="spellStart"/>
      <w:r>
        <w:rPr>
          <w:rtl/>
        </w:rPr>
        <w:t>בבריסק</w:t>
      </w:r>
      <w:proofErr w:type="spellEnd"/>
      <w:r>
        <w:rPr>
          <w:rtl/>
        </w:rPr>
        <w:t>.</w:t>
      </w:r>
      <w:bookmarkStart w:id="2596" w:name="_fnr1741"/>
      <w:r>
        <w:rPr>
          <w:rStyle w:val="a5"/>
        </w:rPr>
        <w:footnoteReference w:id="1745" w:customMarkFollows="0"/>
      </w:r>
      <w:bookmarkEnd w:id="2596"/>
      <w:r>
        <w:rPr>
          <w:rtl/>
        </w:rPr>
        <w:t xml:space="preserve"> וכך אמר ר׳ מנדל: “בצעירותו אמר ר׳ חיים [</w:t>
      </w:r>
      <w:proofErr w:type="spellStart"/>
      <w:r>
        <w:rPr>
          <w:rtl/>
        </w:rPr>
        <w:t>סולובייצ׳יק</w:t>
      </w:r>
      <w:proofErr w:type="spellEnd"/>
      <w:r>
        <w:rPr>
          <w:rtl/>
        </w:rPr>
        <w:t xml:space="preserve">] חידוש בפני ר׳ ישראל </w:t>
      </w:r>
      <w:proofErr w:type="spellStart"/>
      <w:r>
        <w:rPr>
          <w:rtl/>
        </w:rPr>
        <w:t>סלנטר</w:t>
      </w:r>
      <w:proofErr w:type="spellEnd"/>
      <w:r>
        <w:rPr>
          <w:rtl/>
        </w:rPr>
        <w:t xml:space="preserve">, ו[זה] אמר לאביו של ר׳ חיים: ‘יבוא זמן שדרכו העיונית תועיל לתלמידים, בכך שתעורר בהם חשק ללמוד’”. גם ר׳ ניסים </w:t>
      </w:r>
      <w:proofErr w:type="spellStart"/>
      <w:r>
        <w:rPr>
          <w:rtl/>
        </w:rPr>
        <w:t>טולדנו</w:t>
      </w:r>
      <w:proofErr w:type="spellEnd"/>
      <w:r>
        <w:rPr>
          <w:rtl/>
        </w:rPr>
        <w:t xml:space="preserve"> העיד, בנאום שנדפס בקובץ תורני,</w:t>
      </w:r>
      <w:bookmarkStart w:id="2597" w:name="_fnr1742"/>
      <w:r>
        <w:rPr>
          <w:rStyle w:val="a5"/>
        </w:rPr>
        <w:footnoteReference w:id="1746" w:customMarkFollows="0"/>
      </w:r>
      <w:bookmarkEnd w:id="2597"/>
      <w:r>
        <w:rPr>
          <w:rtl/>
        </w:rPr>
        <w:t xml:space="preserve"> ששמע רעיון זה של ר׳ ישראל </w:t>
      </w:r>
      <w:proofErr w:type="spellStart"/>
      <w:r>
        <w:rPr>
          <w:rtl/>
        </w:rPr>
        <w:t>סלנטר</w:t>
      </w:r>
      <w:proofErr w:type="spellEnd"/>
      <w:r>
        <w:rPr>
          <w:rtl/>
        </w:rPr>
        <w:t xml:space="preserve"> בשיחה של ר׳ </w:t>
      </w:r>
      <w:proofErr w:type="spellStart"/>
      <w:r>
        <w:rPr>
          <w:rtl/>
        </w:rPr>
        <w:t>אליהו־אליעזר</w:t>
      </w:r>
      <w:proofErr w:type="spellEnd"/>
      <w:r>
        <w:rPr>
          <w:rtl/>
        </w:rPr>
        <w:t xml:space="preserve"> </w:t>
      </w:r>
      <w:proofErr w:type="spellStart"/>
      <w:r>
        <w:rPr>
          <w:rtl/>
        </w:rPr>
        <w:t>דסלר</w:t>
      </w:r>
      <w:proofErr w:type="spellEnd"/>
      <w:r>
        <w:rPr>
          <w:rtl/>
        </w:rPr>
        <w:t xml:space="preserve"> בישיבת </w:t>
      </w:r>
      <w:proofErr w:type="spellStart"/>
      <w:r>
        <w:rPr>
          <w:rtl/>
        </w:rPr>
        <w:t>פוניבז</w:t>
      </w:r>
      <w:proofErr w:type="spellEnd"/>
      <w:r>
        <w:rPr>
          <w:rtl/>
        </w:rPr>
        <w:t>׳ בבני ברק.</w:t>
      </w:r>
    </w:p>
    <w:p w14:paraId="388CF635" w14:textId="77777777" w:rsidR="00AB3647" w:rsidRDefault="00000000" w:rsidP="007923E9">
      <w:pPr>
        <w:spacing w:after="120" w:line="276" w:lineRule="auto"/>
        <w:ind w:firstLine="283"/>
        <w:jc w:val="both"/>
      </w:pPr>
      <w:r>
        <w:rPr>
          <w:rtl/>
        </w:rPr>
        <w:t xml:space="preserve">אם המעשה נמסר בדייקנות, נראה שאירע </w:t>
      </w:r>
      <w:r>
        <w:rPr>
          <w:b/>
          <w:bCs/>
          <w:rtl/>
        </w:rPr>
        <w:t>לפני</w:t>
      </w:r>
      <w:r>
        <w:rPr>
          <w:rtl/>
        </w:rPr>
        <w:t xml:space="preserve"> שר׳ חיים הצטרף לצוות </w:t>
      </w:r>
      <w:proofErr w:type="spellStart"/>
      <w:r>
        <w:rPr>
          <w:rtl/>
        </w:rPr>
        <w:t>וולוז׳ין</w:t>
      </w:r>
      <w:proofErr w:type="spellEnd"/>
      <w:r>
        <w:rPr>
          <w:rtl/>
        </w:rPr>
        <w:t xml:space="preserve">. אבל </w:t>
      </w:r>
      <w:proofErr w:type="spellStart"/>
      <w:r>
        <w:rPr>
          <w:rtl/>
        </w:rPr>
        <w:t>ב“עובדות</w:t>
      </w:r>
      <w:proofErr w:type="spellEnd"/>
      <w:r>
        <w:rPr>
          <w:rtl/>
        </w:rPr>
        <w:t xml:space="preserve"> והנהגות לבית </w:t>
      </w:r>
      <w:proofErr w:type="spellStart"/>
      <w:r>
        <w:rPr>
          <w:rtl/>
        </w:rPr>
        <w:t>בריסק</w:t>
      </w:r>
      <w:proofErr w:type="spellEnd"/>
      <w:r>
        <w:rPr>
          <w:rtl/>
        </w:rPr>
        <w:t>”</w:t>
      </w:r>
      <w:bookmarkStart w:id="2598" w:name="_fnr1743"/>
      <w:r>
        <w:rPr>
          <w:rStyle w:val="a5"/>
        </w:rPr>
        <w:footnoteReference w:id="1747" w:customMarkFollows="0"/>
      </w:r>
      <w:bookmarkEnd w:id="2598"/>
      <w:r>
        <w:rPr>
          <w:rtl/>
        </w:rPr>
        <w:t xml:space="preserve"> מסופר בשם ר׳ אהרן קוטלר שר׳ יוסף־דב פגש במקרה את ר׳ ישראל </w:t>
      </w:r>
      <w:proofErr w:type="spellStart"/>
      <w:r>
        <w:rPr>
          <w:rtl/>
        </w:rPr>
        <w:t>סלנטר</w:t>
      </w:r>
      <w:proofErr w:type="spellEnd"/>
      <w:r>
        <w:rPr>
          <w:rtl/>
        </w:rPr>
        <w:t xml:space="preserve"> בקובנה וחזר בפניו על חידוש של בנו, ור׳ ישראל </w:t>
      </w:r>
      <w:proofErr w:type="spellStart"/>
      <w:r>
        <w:rPr>
          <w:rtl/>
        </w:rPr>
        <w:t>סלנטר</w:t>
      </w:r>
      <w:proofErr w:type="spellEnd"/>
      <w:r>
        <w:rPr>
          <w:rtl/>
        </w:rPr>
        <w:t xml:space="preserve"> אמר: “אכן, תורה כזו ראוי להפיץ בדור הבא; נראה לי שבדורות הבאים ילמדו בדרך זו”. לשון זו, שכבר מדברת על “הפצת” שיטתו של ר׳ חיים, מורה, כנראה, שנאמרה לא כשהיה ר׳ חיים רק אברך הסמוך על שולחן חותנו, אלא אחרי שנתמנה למסור שיעורים בישיבת </w:t>
      </w:r>
      <w:proofErr w:type="spellStart"/>
      <w:r>
        <w:rPr>
          <w:rtl/>
        </w:rPr>
        <w:t>וולוז׳ין</w:t>
      </w:r>
      <w:proofErr w:type="spellEnd"/>
      <w:r>
        <w:rPr>
          <w:rtl/>
        </w:rPr>
        <w:t>, כלומר זמן מה לאחר תחילת קיץ תר״מ.</w:t>
      </w:r>
      <w:bookmarkStart w:id="2599" w:name="_fnr1744"/>
      <w:r>
        <w:rPr>
          <w:rStyle w:val="a5"/>
        </w:rPr>
        <w:footnoteReference w:id="1748" w:customMarkFollows="0"/>
      </w:r>
      <w:bookmarkEnd w:id="2599"/>
    </w:p>
    <w:p w14:paraId="12CE29D8" w14:textId="25F346B1" w:rsidR="00AB3647" w:rsidRDefault="00000000" w:rsidP="007923E9">
      <w:pPr>
        <w:spacing w:after="120" w:line="276" w:lineRule="auto"/>
        <w:ind w:firstLine="283"/>
        <w:jc w:val="both"/>
      </w:pPr>
      <w:r>
        <w:rPr>
          <w:rtl/>
        </w:rPr>
        <w:t>מכיוון שר׳ ישראל נפטר בשנת תרמ״ג, אפשר לברר מתי היה בליטא כדי לומר זאת – ראה הפסקה החמישית ב</w:t>
      </w:r>
      <w:r>
        <w:rPr>
          <w:rtl/>
        </w:rPr>
        <w:fldChar w:fldCharType="begin" w:dirty="true"/>
      </w:r>
      <w:r>
        <w:rPr>
          <w:rtl/>
        </w:rPr>
        <w:instrText xml:space="preserve"> REF b3_excZ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כו</w:t>
      </w:r>
      <w:proofErr w:type="spellEnd"/>
      <w:r>
        <w:rPr>
          <w:rtl/>
        </w:rPr>
        <w:fldChar w:fldCharType="end"/>
      </w:r>
      <w:r>
        <w:rPr>
          <w:rtl/>
        </w:rPr>
        <w:t xml:space="preserve"> להלן, שהיה זה בקיץ תרמ״ב, בדיוק שנתיים לאחר מינוי ר׳ חיים. השווה גם “שלוחא </w:t>
      </w:r>
      <w:proofErr w:type="spellStart"/>
      <w:r>
        <w:rPr>
          <w:rtl/>
        </w:rPr>
        <w:t>דרחמנא</w:t>
      </w:r>
      <w:proofErr w:type="spellEnd"/>
      <w:r>
        <w:rPr>
          <w:rtl/>
        </w:rPr>
        <w:t xml:space="preserve">” מאת אהרן </w:t>
      </w:r>
      <w:proofErr w:type="spellStart"/>
      <w:r>
        <w:rPr>
          <w:rtl/>
        </w:rPr>
        <w:t>סורסקי</w:t>
      </w:r>
      <w:proofErr w:type="spellEnd"/>
      <w:r>
        <w:rPr>
          <w:rtl/>
        </w:rPr>
        <w:t>,</w:t>
      </w:r>
      <w:bookmarkStart w:id="2600" w:name="_fnr1745"/>
      <w:r>
        <w:rPr>
          <w:rStyle w:val="a5"/>
        </w:rPr>
        <w:footnoteReference w:id="1749" w:customMarkFollows="0"/>
      </w:r>
      <w:bookmarkEnd w:id="2600"/>
      <w:r>
        <w:rPr>
          <w:rtl/>
        </w:rPr>
        <w:t xml:space="preserve"> המייחס את הדברים למאורע דומה – אף הוא בלי פגישה פנים אל פנים בין ר׳ ישראל </w:t>
      </w:r>
      <w:proofErr w:type="spellStart"/>
      <w:r>
        <w:rPr>
          <w:rtl/>
        </w:rPr>
        <w:t>לר</w:t>
      </w:r>
      <w:proofErr w:type="spellEnd"/>
      <w:r>
        <w:rPr>
          <w:rtl/>
        </w:rPr>
        <w:t xml:space="preserve">׳ חיים. הוא מביא בשם ר׳ אהרן קוטלר שכאשר חזרו בפני ר׳ ישראל </w:t>
      </w:r>
      <w:proofErr w:type="spellStart"/>
      <w:r>
        <w:rPr>
          <w:rtl/>
        </w:rPr>
        <w:t>סלנטר</w:t>
      </w:r>
      <w:proofErr w:type="spellEnd"/>
      <w:r>
        <w:rPr>
          <w:rtl/>
        </w:rPr>
        <w:t xml:space="preserve"> על חידוש אופייני של ר׳ חיים, אמר: “ודאי תורה כזו יש להפיץ בדור הבא; בדרך זו – באמצעות המתיקות החדשה שהיא מגלה בתורה, ורק באמצעותה – </w:t>
      </w:r>
      <w:r>
        <w:rPr>
          <w:rtl/>
        </w:rPr>
        <w:lastRenderedPageBreak/>
        <w:t>אפשר לקיים את המשכיות התורה ולעורר את החשק [ללמוד אותה] בדורות העתידים, הרפויים”.</w:t>
      </w:r>
      <w:bookmarkStart w:id="2601" w:name="_fnr1746"/>
      <w:r>
        <w:rPr>
          <w:rStyle w:val="a5"/>
        </w:rPr>
        <w:footnoteReference w:id="1750" w:customMarkFollows="0"/>
      </w:r>
      <w:bookmarkEnd w:id="2601"/>
    </w:p>
    <w:p w14:paraId="0A280E1A" w14:textId="77777777" w:rsidR="00AB3647" w:rsidRDefault="00000000" w:rsidP="007923E9">
      <w:pPr>
        <w:spacing w:after="120" w:line="276" w:lineRule="auto"/>
        <w:ind w:firstLine="283"/>
        <w:jc w:val="both"/>
      </w:pPr>
      <w:r>
        <w:rPr>
          <w:rtl/>
        </w:rPr>
        <w:t>השווה גם “והצדיק רבי שלמה”,</w:t>
      </w:r>
      <w:bookmarkStart w:id="2602" w:name="_fnr1747"/>
      <w:bookmarkStart w:id="2603" w:name="pr_f_1657"/>
      <w:r>
        <w:rPr>
          <w:rStyle w:val="a5"/>
        </w:rPr>
        <w:footnoteReference w:id="1751" w:customMarkFollows="0"/>
      </w:r>
      <w:bookmarkEnd w:id="2602"/>
      <w:bookmarkEnd w:id="2603"/>
      <w:r>
        <w:rPr>
          <w:rtl/>
        </w:rPr>
        <w:t xml:space="preserve"> המצטט </w:t>
      </w:r>
      <w:proofErr w:type="spellStart"/>
      <w:r>
        <w:rPr>
          <w:rtl/>
        </w:rPr>
        <w:t>מ“ספר</w:t>
      </w:r>
      <w:proofErr w:type="spellEnd"/>
      <w:r>
        <w:rPr>
          <w:rtl/>
        </w:rPr>
        <w:t xml:space="preserve"> דרכי חיים”. שם מובא שר׳ נפתלי </w:t>
      </w:r>
      <w:proofErr w:type="spellStart"/>
      <w:r>
        <w:rPr>
          <w:rtl/>
        </w:rPr>
        <w:t>וירושובר</w:t>
      </w:r>
      <w:proofErr w:type="spellEnd"/>
      <w:r>
        <w:rPr>
          <w:rtl/>
        </w:rPr>
        <w:t xml:space="preserve"> (</w:t>
      </w:r>
      <w:proofErr w:type="spellStart"/>
      <w:r>
        <w:rPr>
          <w:rtl/>
        </w:rPr>
        <w:t>זילברברג</w:t>
      </w:r>
      <w:proofErr w:type="spellEnd"/>
      <w:r>
        <w:rPr>
          <w:rtl/>
        </w:rPr>
        <w:t>)</w:t>
      </w:r>
      <w:bookmarkStart w:id="2604" w:name="_fnr1748"/>
      <w:r>
        <w:rPr>
          <w:rStyle w:val="a5"/>
        </w:rPr>
        <w:footnoteReference w:id="1752" w:customMarkFollows="0"/>
      </w:r>
      <w:bookmarkEnd w:id="2604"/>
      <w:r>
        <w:rPr>
          <w:rtl/>
        </w:rPr>
        <w:t xml:space="preserve"> כתב במכתב שר׳ ישראל רצה שיישאר בווילנה וילמד בה, ואמר: “אחד הטעמים לכך שיש מיהודי ליטא שלומדים חיצונים הוא שאינם יודעים אלא את הקושיות והתירוצים של התוספות במאות דפי הגמרא שלמדו, אך אינם יודעים את מתיקות מה שהיה מונח </w:t>
      </w:r>
      <w:proofErr w:type="spellStart"/>
      <w:r>
        <w:rPr>
          <w:rtl/>
        </w:rPr>
        <w:t>בקושיה</w:t>
      </w:r>
      <w:proofErr w:type="spellEnd"/>
      <w:r>
        <w:rPr>
          <w:rtl/>
        </w:rPr>
        <w:t xml:space="preserve"> ומה שהתחדש בתירוץ, ואינם טועמים אפילו טיפה מים החכמה והמתיקות שבתוספות – ואילו בלימודים החיצוניים, להבדיל באלף הבדלות, מעט החכמה שבהם גלוי בבירור ומורגש מיד [שכן אין בהם נסתרות]”.</w:t>
      </w:r>
      <w:bookmarkStart w:id="2605" w:name="fx_ref_506"/>
      <w:bookmarkStart w:id="2606" w:name="_fnr1749"/>
      <w:r>
        <w:rPr>
          <w:rStyle w:val="a5"/>
        </w:rPr>
        <w:footnoteReference w:id="1753" w:customMarkFollows="0"/>
      </w:r>
      <w:bookmarkEnd w:id="2605"/>
      <w:bookmarkEnd w:id="2606"/>
    </w:p>
    <w:p w14:paraId="3DB1ABA0" w14:textId="77777777" w:rsidR="00AB3647" w:rsidRDefault="00000000" w:rsidP="007923E9">
      <w:pPr>
        <w:spacing w:after="120" w:line="276" w:lineRule="auto"/>
        <w:ind w:firstLine="283"/>
        <w:jc w:val="both"/>
      </w:pPr>
      <w:r>
        <w:rPr>
          <w:rtl/>
        </w:rPr>
        <w:t xml:space="preserve">העיירה </w:t>
      </w:r>
      <w:proofErr w:type="spellStart"/>
      <w:r>
        <w:rPr>
          <w:rtl/>
        </w:rPr>
        <w:t>וירושוב</w:t>
      </w:r>
      <w:proofErr w:type="spellEnd"/>
      <w:r>
        <w:rPr>
          <w:rtl/>
        </w:rPr>
        <w:t xml:space="preserve"> נמצאת </w:t>
      </w:r>
      <w:proofErr w:type="spellStart"/>
      <w:r>
        <w:rPr>
          <w:rtl/>
        </w:rPr>
        <w:t>מדרום־מערב</w:t>
      </w:r>
      <w:proofErr w:type="spellEnd"/>
      <w:r>
        <w:rPr>
          <w:rtl/>
        </w:rPr>
        <w:t xml:space="preserve"> </w:t>
      </w:r>
      <w:proofErr w:type="spellStart"/>
      <w:r>
        <w:rPr>
          <w:rtl/>
        </w:rPr>
        <w:t>ללודז</w:t>
      </w:r>
      <w:proofErr w:type="spellEnd"/>
      <w:r>
        <w:rPr>
          <w:rtl/>
        </w:rPr>
        <w:t xml:space="preserve">׳, הרחק מווילנה, ור׳ נפתלי ודאי ביקר בווילנה כשקיבל את הזמנת ר׳ ישראל. לא ברור מתי אירע הדבר, אבל הישיבה שבה התבקש ר׳ נפתלי ללמוד לא הייתה יכולה להיות בית מדרשו של ר׳ ישראל בפרבר </w:t>
      </w:r>
      <w:proofErr w:type="spellStart"/>
      <w:r>
        <w:rPr>
          <w:rtl/>
        </w:rPr>
        <w:t>זארצ׳ה</w:t>
      </w:r>
      <w:proofErr w:type="spellEnd"/>
      <w:r>
        <w:rPr>
          <w:rtl/>
        </w:rPr>
        <w:t xml:space="preserve"> בשנים ת״ר–תר״ט, שהרי ר׳ נפתלי </w:t>
      </w:r>
      <w:proofErr w:type="spellStart"/>
      <w:r>
        <w:rPr>
          <w:rtl/>
        </w:rPr>
        <w:t>זילברברג</w:t>
      </w:r>
      <w:proofErr w:type="spellEnd"/>
      <w:r>
        <w:rPr>
          <w:rtl/>
        </w:rPr>
        <w:t xml:space="preserve">, לימים </w:t>
      </w:r>
      <w:proofErr w:type="spellStart"/>
      <w:r>
        <w:rPr>
          <w:rtl/>
        </w:rPr>
        <w:t>מ״ץ</w:t>
      </w:r>
      <w:proofErr w:type="spellEnd"/>
      <w:r>
        <w:rPr>
          <w:rtl/>
        </w:rPr>
        <w:t xml:space="preserve"> חשוב בוורשה,</w:t>
      </w:r>
      <w:bookmarkStart w:id="2607" w:name="_fnr1750"/>
      <w:r>
        <w:rPr>
          <w:rStyle w:val="a5"/>
        </w:rPr>
        <w:footnoteReference w:id="1754" w:customMarkFollows="0"/>
      </w:r>
      <w:bookmarkEnd w:id="2607"/>
      <w:r>
        <w:rPr>
          <w:rtl/>
        </w:rPr>
        <w:t xml:space="preserve"> נולד רק בשנת תר״י. עם זאת, ודאי אירע הדבר כשעדיין היה ר׳ נפתלי צעיר ודרך לימודו ניתנת לעיצוב – כנראה בסביבות תרכ״ה, בעת אחד מביקוריו הרבים של ר׳ ישראל בליטא ממקום מושבו בגרמניה.</w:t>
      </w:r>
    </w:p>
    <w:p w14:paraId="6411EB18" w14:textId="77777777" w:rsidR="00AB3647" w:rsidRDefault="00000000" w:rsidP="007923E9">
      <w:pPr>
        <w:spacing w:after="120" w:line="276" w:lineRule="auto"/>
        <w:ind w:firstLine="283"/>
        <w:jc w:val="both"/>
      </w:pPr>
      <w:r>
        <w:rPr>
          <w:rtl/>
        </w:rPr>
        <w:t xml:space="preserve">זמן זה מורה שר׳ ישראל ביקש שינוי כלשהו בדרך לימוד התלמוד זמן רב לפני הופעת ר׳ חיים </w:t>
      </w:r>
      <w:proofErr w:type="spellStart"/>
      <w:r>
        <w:rPr>
          <w:rtl/>
        </w:rPr>
        <w:t>סולובייצ׳יק</w:t>
      </w:r>
      <w:proofErr w:type="spellEnd"/>
      <w:r>
        <w:rPr>
          <w:rtl/>
        </w:rPr>
        <w:t xml:space="preserve">. אחר כך בא ר׳ חיים, ובשל שיטתו החדשה ראה בו ר׳ ישראל </w:t>
      </w:r>
      <w:proofErr w:type="spellStart"/>
      <w:r>
        <w:rPr>
          <w:rtl/>
        </w:rPr>
        <w:t>סלנטר</w:t>
      </w:r>
      <w:proofErr w:type="spellEnd"/>
      <w:r>
        <w:rPr>
          <w:rtl/>
        </w:rPr>
        <w:t xml:space="preserve"> מי שמספק את הדרך לחשוף את “מתיקות” התלמוד כדי לגדל תלמידים.</w:t>
      </w:r>
    </w:p>
    <w:p w14:paraId="1E74ECFC" w14:textId="00EBCC32" w:rsidR="00AB3647" w:rsidRDefault="00000000" w:rsidP="007923E9">
      <w:pPr>
        <w:spacing w:after="120" w:line="276" w:lineRule="auto"/>
        <w:ind w:firstLine="283"/>
        <w:jc w:val="both"/>
      </w:pPr>
      <w:r>
        <w:rPr>
          <w:rtl/>
        </w:rPr>
        <w:t xml:space="preserve">נראה שר׳ ישראל הזקן העריך את דרכו של ר׳ חיים בראייה הצופה פני עתיד יותר מן התלמידים </w:t>
      </w:r>
      <w:proofErr w:type="spellStart"/>
      <w:r>
        <w:rPr>
          <w:rtl/>
        </w:rPr>
        <w:t>ה“מבוגרים</w:t>
      </w:r>
      <w:proofErr w:type="spellEnd"/>
      <w:r>
        <w:rPr>
          <w:rtl/>
        </w:rPr>
        <w:t xml:space="preserve">” בישיבת </w:t>
      </w:r>
      <w:proofErr w:type="spellStart"/>
      <w:r>
        <w:rPr>
          <w:rtl/>
        </w:rPr>
        <w:t>וולוז׳ין</w:t>
      </w:r>
      <w:proofErr w:type="spellEnd"/>
      <w:r>
        <w:rPr>
          <w:rtl/>
        </w:rPr>
        <w:t xml:space="preserve"> – השווה פרק 4, הפסקה השלישית ב</w:t>
      </w:r>
      <w:r>
        <w:rPr>
          <w:rtl/>
        </w:rPr>
        <w:fldChar w:fldCharType="begin" w:dirty="true"/>
      </w:r>
      <w:r>
        <w:rPr>
          <w:rtl/>
        </w:rPr>
        <w:instrText xml:space="preserve"> REF b4_excI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xml:space="preserve">. העובדה שר׳ ישראל עצמו למד ומסר שיעורים בדרך אחרת לגמרי, דרך הפלפול, מבליטה עוד יותר את יחסו החיובי לשיטת ר׳ חיים. כשכתב באריכות הן על הדעה הכללית בעניין הפלפול הן על ניסיונו האישי, יצא ר׳ ישראל </w:t>
      </w:r>
      <w:proofErr w:type="spellStart"/>
      <w:r>
        <w:rPr>
          <w:rtl/>
        </w:rPr>
        <w:t>סלנטר</w:t>
      </w:r>
      <w:proofErr w:type="spellEnd"/>
      <w:r>
        <w:rPr>
          <w:rtl/>
        </w:rPr>
        <w:t xml:space="preserve"> בתוקף לטובת דרך הפלפול! אמר:</w:t>
      </w:r>
      <w:bookmarkStart w:id="2608" w:name="_fnr1751"/>
      <w:r>
        <w:rPr>
          <w:rStyle w:val="a5"/>
        </w:rPr>
        <w:footnoteReference w:id="1755" w:customMarkFollows="0"/>
      </w:r>
      <w:bookmarkEnd w:id="2608"/>
      <w:r>
        <w:rPr>
          <w:rtl/>
        </w:rPr>
        <w:t xml:space="preserve"> “דבר אחד שחכמי המוסר [שקדמו </w:t>
      </w:r>
      <w:proofErr w:type="spellStart"/>
      <w:r>
        <w:rPr>
          <w:rtl/>
        </w:rPr>
        <w:t>לר</w:t>
      </w:r>
      <w:proofErr w:type="spellEnd"/>
      <w:r>
        <w:rPr>
          <w:rtl/>
        </w:rPr>
        <w:t xml:space="preserve">׳ ישראל </w:t>
      </w:r>
      <w:proofErr w:type="spellStart"/>
      <w:r>
        <w:rPr>
          <w:rtl/>
        </w:rPr>
        <w:t>סלנטר</w:t>
      </w:r>
      <w:proofErr w:type="spellEnd"/>
      <w:r>
        <w:rPr>
          <w:rtl/>
        </w:rPr>
        <w:t xml:space="preserve">] אסרו להכניס בקהל ישראל הוא הפלפול, ולדעתי </w:t>
      </w:r>
      <w:r>
        <w:rPr>
          <w:rtl/>
        </w:rPr>
        <w:lastRenderedPageBreak/>
        <w:t>נהפוך הדבר: הפלפול הוא יסוד גדול ורב כוח בחיפוש האמת, וכמעט אין [האמת] יכולה להתקיים בלעדיו”.</w:t>
      </w:r>
    </w:p>
    <w:p w14:paraId="06B43D4B" w14:textId="77777777" w:rsidR="00AB3647" w:rsidRDefault="00000000" w:rsidP="007923E9">
      <w:pPr>
        <w:spacing w:after="120" w:line="276" w:lineRule="auto"/>
        <w:ind w:firstLine="283"/>
        <w:jc w:val="both"/>
      </w:pPr>
      <w:r>
        <w:rPr>
          <w:rtl/>
        </w:rPr>
        <w:t xml:space="preserve">בהמשך הוא מנמק טענה זו, ואחר כך מתאר את תהפוכותיו שלו בעניין הפלפול: “בנעוריי, כשהייתי כבול בלימוד המוסר וכלליו, החלטתי </w:t>
      </w:r>
      <w:proofErr w:type="spellStart"/>
      <w:r>
        <w:rPr>
          <w:rtl/>
        </w:rPr>
        <w:t>לכוף</w:t>
      </w:r>
      <w:proofErr w:type="spellEnd"/>
      <w:r>
        <w:rPr>
          <w:rtl/>
        </w:rPr>
        <w:t xml:space="preserve"> את יצרי [הרע] (שביקש להתפאר בפלפוליי בפני חבריי), לעזוב לגמרי את דרך הפלפול, ורק אל האמת – כפי שדימיתי אותה אז (הייתי צעיר ולא הבנתי שמקומה של ‘האמת’ רחוק ממני כמזרח ממערב) – יהיו עיניי: הפשטות, הקיצור והחפץ לדרוש האמת. בהתנהגותי בדרך זו ראיתי בעין חודרת שהרצון להראות את כוח שכלי פרץ את גבולות ‘האמת’ והטה את דעתי לכופף את ‘האמת’ לרצוני; השאיפה הייתה קובעת את ‘האמת’. אמרתי אז שמוטב להתיר לעצמי, בלי חשש ופחד, לעסוק בפלפולים... כדי שתשתחרר דעתי משבי יצרי [החדש]. ורעיון זה גדל עמי, עד שחדלה רוחי לקבל את ההנחה שאדם [חוץ מיחידי סגולה] יכול לצוות על טוהר דעתו שלא לנטות אל רצונו, ולומר ‘זו מחשבה מזוקקת’, אלא אם כן יהיה חופשי להציע פלפולים כרצונו, בלי מעצור”.</w:t>
      </w:r>
      <w:bookmarkStart w:id="2609" w:name="_fnr1752"/>
      <w:r>
        <w:rPr>
          <w:rStyle w:val="a5"/>
        </w:rPr>
        <w:footnoteReference w:id="1756" w:customMarkFollows="0"/>
      </w:r>
      <w:bookmarkEnd w:id="2609"/>
    </w:p>
    <w:p w14:paraId="4BA00D22" w14:textId="77777777" w:rsidR="00AB3647" w:rsidRDefault="00000000" w:rsidP="007923E9">
      <w:pPr>
        <w:spacing w:after="120" w:line="276" w:lineRule="auto"/>
        <w:ind w:firstLine="283"/>
        <w:jc w:val="both"/>
      </w:pPr>
      <w:r>
        <w:rPr>
          <w:rtl/>
        </w:rPr>
        <w:t xml:space="preserve">מצאתי עדות מעניינת של ר׳ ישראל </w:t>
      </w:r>
      <w:proofErr w:type="spellStart"/>
      <w:r>
        <w:rPr>
          <w:rtl/>
        </w:rPr>
        <w:t>סלנטר</w:t>
      </w:r>
      <w:proofErr w:type="spellEnd"/>
      <w:r>
        <w:rPr>
          <w:rtl/>
        </w:rPr>
        <w:t xml:space="preserve"> על דרך לימוד התלמוד בזמנו – אחרי שהתגבר על התנגדותו הראשונה לפלפול, מימי נעוריו. מחבר “נחלת חיים”</w:t>
      </w:r>
      <w:bookmarkStart w:id="2610" w:name="_fnr1753"/>
      <w:r>
        <w:rPr>
          <w:rStyle w:val="a5"/>
        </w:rPr>
        <w:footnoteReference w:id="1757" w:customMarkFollows="0"/>
      </w:r>
      <w:bookmarkEnd w:id="2610"/>
      <w:r>
        <w:rPr>
          <w:rtl/>
        </w:rPr>
        <w:t xml:space="preserve"> אומר: “ר׳ שמואל </w:t>
      </w:r>
      <w:proofErr w:type="spellStart"/>
      <w:r>
        <w:rPr>
          <w:rtl/>
        </w:rPr>
        <w:t>ליפצר</w:t>
      </w:r>
      <w:proofErr w:type="spellEnd"/>
      <w:r>
        <w:rPr>
          <w:rtl/>
        </w:rPr>
        <w:t xml:space="preserve"> מווילנה הודיעני שר׳ ישראל אמר לו שבדור הקודם” – ר׳ ישראל </w:t>
      </w:r>
      <w:proofErr w:type="spellStart"/>
      <w:r>
        <w:rPr>
          <w:rtl/>
        </w:rPr>
        <w:t>סלנטר</w:t>
      </w:r>
      <w:proofErr w:type="spellEnd"/>
      <w:r>
        <w:rPr>
          <w:rtl/>
        </w:rPr>
        <w:t xml:space="preserve"> דיבר כנראה על הזמן שבו לימד בווילנה, בשנים ת״ר–תר״ט – “היו שם שבעה גאונים חריפים, שקיבלו על עצמם לדרוש, כל אחד ביומו, על גמרא אחת, ודרכם הייתה שהחריף שבהם דרש ביום האחרון, מפני שהיה עליו לחדש דבר שלא הבחינו בו הדרשנים הקודמים; מי שהוא גאון גדול יותר וחריף יותר, הבחנתו דקה יותר, ואפילו בגמרא שכבר עסקו בה כמה חכמים חריפים יכול הוא למצוא דבר אחר לומר”.</w:t>
      </w:r>
    </w:p>
    <w:p w14:paraId="5624B59B" w14:textId="7105501C" w:rsidR="00AB3647" w:rsidRDefault="00000000" w:rsidP="007923E9">
      <w:pPr>
        <w:spacing w:after="120" w:line="276" w:lineRule="auto"/>
        <w:ind w:firstLine="283"/>
        <w:jc w:val="both"/>
      </w:pPr>
      <w:r>
        <w:rPr>
          <w:rtl/>
        </w:rPr>
        <w:t>אף שלא אמר זאת במפורש, אין ספק שר׳ ישראל היה אחד משבעת החכמים החריפים האלה, אם לא האחרון שבהם – ראה פרק 5, הפסקה השנייה ב</w:t>
      </w:r>
      <w:r>
        <w:rPr>
          <w:rtl/>
        </w:rPr>
        <w:fldChar w:fldCharType="begin" w:dirty="true"/>
      </w:r>
      <w:r>
        <w:rPr>
          <w:rtl/>
        </w:rPr>
        <w:instrText xml:space="preserve"> REF b5_excB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 xml:space="preserve">, המצטטת </w:t>
      </w:r>
      <w:proofErr w:type="spellStart"/>
      <w:r>
        <w:rPr>
          <w:rtl/>
        </w:rPr>
        <w:t>מ“שרידי</w:t>
      </w:r>
      <w:proofErr w:type="spellEnd"/>
      <w:r>
        <w:rPr>
          <w:rtl/>
        </w:rPr>
        <w:t xml:space="preserve"> אש”</w:t>
      </w:r>
      <w:bookmarkStart w:id="2611" w:name="_fnr1754"/>
      <w:r>
        <w:rPr>
          <w:rStyle w:val="a5"/>
        </w:rPr>
        <w:footnoteReference w:id="1758" w:customMarkFollows="0"/>
      </w:r>
      <w:bookmarkEnd w:id="2611"/>
      <w:r>
        <w:rPr>
          <w:rtl/>
        </w:rPr>
        <w:t xml:space="preserve"> על פרסומו של ר׳ ישראל </w:t>
      </w:r>
      <w:proofErr w:type="spellStart"/>
      <w:r>
        <w:rPr>
          <w:rtl/>
        </w:rPr>
        <w:t>סלנטר</w:t>
      </w:r>
      <w:proofErr w:type="spellEnd"/>
      <w:r>
        <w:rPr>
          <w:rtl/>
        </w:rPr>
        <w:t xml:space="preserve"> בווילנה במסירת פלפולים חריפים ביותר. יש להוסיף גם שאף שעודד את הפלפול בבגרותו, מסר שיעורים שלא בדרך הפלפול כשנדרש לכך במפורש.</w:t>
      </w:r>
    </w:p>
    <w:p w14:paraId="5957D67F" w14:textId="77777777" w:rsidR="00AB3647" w:rsidRDefault="00000000" w:rsidP="007923E9">
      <w:pPr>
        <w:spacing w:after="120" w:line="276" w:lineRule="auto"/>
        <w:ind w:firstLine="283"/>
        <w:jc w:val="both"/>
      </w:pPr>
      <w:r>
        <w:rPr>
          <w:rtl/>
        </w:rPr>
        <w:t>אבי סיפר</w:t>
      </w:r>
      <w:bookmarkStart w:id="2612" w:name="_fnr1755"/>
      <w:r>
        <w:rPr>
          <w:rStyle w:val="a5"/>
        </w:rPr>
        <w:footnoteReference w:id="1759" w:customMarkFollows="0"/>
      </w:r>
      <w:bookmarkEnd w:id="2612"/>
      <w:r>
        <w:rPr>
          <w:rtl/>
        </w:rPr>
        <w:t xml:space="preserve"> שבקובנה היה ר׳ ישראל מוסר בכל בוקר שיעור בשולחן ערוך (אורח חיים). אחרי שקרא את דעות ר׳ יוסף קארו </w:t>
      </w:r>
      <w:proofErr w:type="spellStart"/>
      <w:r>
        <w:rPr>
          <w:rtl/>
        </w:rPr>
        <w:t>והרמ״א</w:t>
      </w:r>
      <w:proofErr w:type="spellEnd"/>
      <w:r>
        <w:rPr>
          <w:rtl/>
        </w:rPr>
        <w:t xml:space="preserve">, היה מביא את מקור הדין בגמרא ואת ההבדל בין פירוש הרמב״ם בגמרא, למשל, לפירוש התוספות. מכאן היה מסיק שר׳ יוסף קארו מסכים לרמב״ם ולכן הגיע למסקנתו ההלכתית, ואילו </w:t>
      </w:r>
      <w:proofErr w:type="spellStart"/>
      <w:r>
        <w:rPr>
          <w:rtl/>
        </w:rPr>
        <w:t>הרמ״א</w:t>
      </w:r>
      <w:proofErr w:type="spellEnd"/>
      <w:r>
        <w:rPr>
          <w:rtl/>
        </w:rPr>
        <w:t xml:space="preserve"> מסכים לפירוש התוספות וממילא מגיע לפסק אחר.</w:t>
      </w:r>
    </w:p>
    <w:p w14:paraId="19CCA227" w14:textId="77777777" w:rsidR="00AB3647" w:rsidRDefault="00000000" w:rsidP="007923E9">
      <w:pPr>
        <w:spacing w:after="120" w:line="276" w:lineRule="auto"/>
        <w:ind w:firstLine="283"/>
        <w:jc w:val="both"/>
      </w:pPr>
      <w:r>
        <w:rPr>
          <w:rtl/>
        </w:rPr>
        <w:lastRenderedPageBreak/>
        <w:t xml:space="preserve">אחרי שנהג כך בשיעוריו זמן מה, קנה אחד משומעיו הקבועים, שלדברי אבי היה גביר, כרך של אורח חיים עם “ביאור </w:t>
      </w:r>
      <w:proofErr w:type="spellStart"/>
      <w:r>
        <w:rPr>
          <w:rtl/>
        </w:rPr>
        <w:t>הגר״א</w:t>
      </w:r>
      <w:proofErr w:type="spellEnd"/>
      <w:r>
        <w:rPr>
          <w:rtl/>
        </w:rPr>
        <w:t>”,</w:t>
      </w:r>
      <w:bookmarkStart w:id="2613" w:name="_fnr1756"/>
      <w:r>
        <w:rPr>
          <w:rStyle w:val="a5"/>
        </w:rPr>
        <w:footnoteReference w:id="1760" w:customMarkFollows="0"/>
      </w:r>
      <w:bookmarkEnd w:id="2613"/>
      <w:r>
        <w:rPr>
          <w:rtl/>
        </w:rPr>
        <w:t xml:space="preserve"> העוסק במיוחד בבירור המקורות לכל הלכה. האיש הבחין שר׳ ישראל חוזר בדיוק על מה שכתב </w:t>
      </w:r>
      <w:proofErr w:type="spellStart"/>
      <w:r>
        <w:rPr>
          <w:rtl/>
        </w:rPr>
        <w:t>הגר״א</w:t>
      </w:r>
      <w:proofErr w:type="spellEnd"/>
      <w:r>
        <w:rPr>
          <w:rtl/>
        </w:rPr>
        <w:t xml:space="preserve">. הוא ניגש </w:t>
      </w:r>
      <w:proofErr w:type="spellStart"/>
      <w:r>
        <w:rPr>
          <w:rtl/>
        </w:rPr>
        <w:t>לר</w:t>
      </w:r>
      <w:proofErr w:type="spellEnd"/>
      <w:r>
        <w:rPr>
          <w:rtl/>
        </w:rPr>
        <w:t xml:space="preserve">׳ ישראל </w:t>
      </w:r>
      <w:proofErr w:type="spellStart"/>
      <w:r>
        <w:rPr>
          <w:rtl/>
        </w:rPr>
        <w:t>סלנטר</w:t>
      </w:r>
      <w:proofErr w:type="spellEnd"/>
      <w:r>
        <w:rPr>
          <w:rtl/>
        </w:rPr>
        <w:t xml:space="preserve"> ושאל אם יש לו “ביאור </w:t>
      </w:r>
      <w:proofErr w:type="spellStart"/>
      <w:r>
        <w:rPr>
          <w:rtl/>
        </w:rPr>
        <w:t>הגר״א</w:t>
      </w:r>
      <w:proofErr w:type="spellEnd"/>
      <w:r>
        <w:rPr>
          <w:rtl/>
        </w:rPr>
        <w:t xml:space="preserve">” על השולחן ערוך, וכשנענה בשלילה, שאל כיצד הוא אומר בדיוק את דברי </w:t>
      </w:r>
      <w:proofErr w:type="spellStart"/>
      <w:r>
        <w:rPr>
          <w:rtl/>
        </w:rPr>
        <w:t>הגר״א</w:t>
      </w:r>
      <w:proofErr w:type="spellEnd"/>
      <w:r>
        <w:rPr>
          <w:rtl/>
        </w:rPr>
        <w:t>.</w:t>
      </w:r>
      <w:bookmarkStart w:id="2614" w:name="_fnr1757"/>
      <w:r>
        <w:rPr>
          <w:rStyle w:val="a5"/>
        </w:rPr>
        <w:footnoteReference w:id="1761" w:customMarkFollows="0"/>
      </w:r>
      <w:bookmarkEnd w:id="2614"/>
      <w:r>
        <w:rPr>
          <w:rtl/>
        </w:rPr>
        <w:t xml:space="preserve"> ר׳ ישראל השיב: “מה אתה רוצה שאומר – שר׳ יוסף קארו מסכים לתוספות </w:t>
      </w:r>
      <w:proofErr w:type="spellStart"/>
      <w:r>
        <w:rPr>
          <w:rtl/>
        </w:rPr>
        <w:t>והרמ״א</w:t>
      </w:r>
      <w:proofErr w:type="spellEnd"/>
      <w:r>
        <w:rPr>
          <w:rtl/>
        </w:rPr>
        <w:t xml:space="preserve"> מסכים לרמב״ם, כשהמציאות הפוכה?!”. שיעור בוקר זה, שנועד לחזרה על “אורח חיים” הראוי ליהודי, דרש סיכום פשוט של ההלכות, ולא עיון בסוגיה תלמודית בדרך הפלפול.</w:t>
      </w:r>
    </w:p>
    <w:p w14:paraId="5A7567BE" w14:textId="77777777" w:rsidR="00AB3647" w:rsidRDefault="00000000" w:rsidP="007923E9">
      <w:pPr>
        <w:spacing w:after="120" w:line="276" w:lineRule="auto"/>
        <w:ind w:firstLine="283"/>
        <w:jc w:val="both"/>
      </w:pPr>
      <w:r>
        <w:rPr>
          <w:rtl/>
        </w:rPr>
        <w:t xml:space="preserve">בספרו של </w:t>
      </w:r>
      <w:proofErr w:type="spellStart"/>
      <w:r>
        <w:rPr>
          <w:rtl/>
        </w:rPr>
        <w:t>ידעאל</w:t>
      </w:r>
      <w:proofErr w:type="spellEnd"/>
      <w:r>
        <w:rPr>
          <w:rtl/>
        </w:rPr>
        <w:t xml:space="preserve"> מלצר, “בדרך עץ החיים”</w:t>
      </w:r>
      <w:bookmarkStart w:id="2615" w:name="_fnr1758"/>
      <w:r>
        <w:rPr>
          <w:rStyle w:val="a5"/>
        </w:rPr>
        <w:footnoteReference w:id="1762" w:customMarkFollows="0"/>
      </w:r>
      <w:bookmarkEnd w:id="2615"/>
      <w:r>
        <w:rPr>
          <w:rtl/>
        </w:rPr>
        <w:t xml:space="preserve">, מובא שר׳ חיים </w:t>
      </w:r>
      <w:proofErr w:type="spellStart"/>
      <w:r>
        <w:rPr>
          <w:rtl/>
        </w:rPr>
        <w:t>קרייזווירט</w:t>
      </w:r>
      <w:proofErr w:type="spellEnd"/>
      <w:r>
        <w:rPr>
          <w:rtl/>
        </w:rPr>
        <w:t xml:space="preserve"> שמע מר׳ </w:t>
      </w:r>
      <w:proofErr w:type="spellStart"/>
      <w:r>
        <w:rPr>
          <w:rtl/>
        </w:rPr>
        <w:t>איסר־זלמן</w:t>
      </w:r>
      <w:proofErr w:type="spellEnd"/>
      <w:r>
        <w:rPr>
          <w:rtl/>
        </w:rPr>
        <w:t xml:space="preserve"> מלצר שאילו לימדו ר׳ חיים </w:t>
      </w:r>
      <w:proofErr w:type="spellStart"/>
      <w:r>
        <w:rPr>
          <w:rtl/>
        </w:rPr>
        <w:t>סולובייצ׳יק</w:t>
      </w:r>
      <w:proofErr w:type="spellEnd"/>
      <w:r>
        <w:rPr>
          <w:rtl/>
        </w:rPr>
        <w:t xml:space="preserve"> ור׳ </w:t>
      </w:r>
      <w:proofErr w:type="spellStart"/>
      <w:r>
        <w:rPr>
          <w:rtl/>
        </w:rPr>
        <w:t>איצל׳ה</w:t>
      </w:r>
      <w:proofErr w:type="spellEnd"/>
      <w:r>
        <w:rPr>
          <w:rtl/>
        </w:rPr>
        <w:t xml:space="preserve"> באותה ישיבה, היה האחרון מוסר את השיעור הגבוה יותר, “מפני שחידושיו גדולים יותר”.</w:t>
      </w:r>
      <w:bookmarkStart w:id="2616" w:name="_fnr1759"/>
      <w:r>
        <w:rPr>
          <w:rStyle w:val="a5"/>
        </w:rPr>
        <w:footnoteReference w:id="1763" w:customMarkFollows="0"/>
      </w:r>
      <w:bookmarkEnd w:id="2616"/>
    </w:p>
    <w:p w14:paraId="6519B8FD" w14:textId="77777777" w:rsidR="00AB3647" w:rsidRDefault="00000000" w:rsidP="007923E9">
      <w:pPr>
        <w:spacing w:after="120" w:line="276" w:lineRule="auto"/>
        <w:ind w:firstLine="283"/>
        <w:jc w:val="both"/>
      </w:pPr>
      <w:r>
        <w:rPr>
          <w:rtl/>
        </w:rPr>
        <w:t xml:space="preserve">ר׳ ישראל </w:t>
      </w:r>
      <w:proofErr w:type="spellStart"/>
      <w:r>
        <w:rPr>
          <w:rtl/>
        </w:rPr>
        <w:t>שורין</w:t>
      </w:r>
      <w:proofErr w:type="spellEnd"/>
      <w:r>
        <w:rPr>
          <w:rtl/>
        </w:rPr>
        <w:t xml:space="preserve"> סיפר</w:t>
      </w:r>
      <w:bookmarkStart w:id="2617" w:name="_fnr1760"/>
      <w:r>
        <w:rPr>
          <w:rStyle w:val="a5"/>
        </w:rPr>
        <w:footnoteReference w:id="1764" w:customMarkFollows="0"/>
      </w:r>
      <w:bookmarkEnd w:id="2617"/>
      <w:r>
        <w:rPr>
          <w:rtl/>
        </w:rPr>
        <w:t xml:space="preserve"> את ששמע מר׳ </w:t>
      </w:r>
      <w:proofErr w:type="spellStart"/>
      <w:r>
        <w:rPr>
          <w:rtl/>
        </w:rPr>
        <w:t>מרדכי־זאב</w:t>
      </w:r>
      <w:proofErr w:type="spellEnd"/>
      <w:r>
        <w:rPr>
          <w:rtl/>
        </w:rPr>
        <w:t xml:space="preserve"> </w:t>
      </w:r>
      <w:proofErr w:type="spellStart"/>
      <w:r>
        <w:rPr>
          <w:rtl/>
        </w:rPr>
        <w:t>דז׳יקנסקי</w:t>
      </w:r>
      <w:proofErr w:type="spellEnd"/>
      <w:r>
        <w:rPr>
          <w:rtl/>
        </w:rPr>
        <w:t xml:space="preserve">, שהיה אורח קבוע בשבת בבית ר׳ חיים </w:t>
      </w:r>
      <w:proofErr w:type="spellStart"/>
      <w:r>
        <w:rPr>
          <w:rtl/>
        </w:rPr>
        <w:t>סולובייצ׳יק</w:t>
      </w:r>
      <w:proofErr w:type="spellEnd"/>
      <w:r>
        <w:rPr>
          <w:rtl/>
        </w:rPr>
        <w:t xml:space="preserve"> </w:t>
      </w:r>
      <w:proofErr w:type="spellStart"/>
      <w:r>
        <w:rPr>
          <w:rtl/>
        </w:rPr>
        <w:t>בבריסק</w:t>
      </w:r>
      <w:proofErr w:type="spellEnd"/>
      <w:r>
        <w:rPr>
          <w:rtl/>
        </w:rPr>
        <w:t>.</w:t>
      </w:r>
      <w:bookmarkStart w:id="2618" w:name="_fnr1761"/>
      <w:r>
        <w:rPr>
          <w:rStyle w:val="a5"/>
        </w:rPr>
        <w:footnoteReference w:id="1765" w:customMarkFollows="0"/>
      </w:r>
      <w:bookmarkEnd w:id="2618"/>
      <w:r>
        <w:rPr>
          <w:rtl/>
        </w:rPr>
        <w:t xml:space="preserve"> ר׳ </w:t>
      </w:r>
      <w:proofErr w:type="spellStart"/>
      <w:r>
        <w:rPr>
          <w:rtl/>
        </w:rPr>
        <w:t>מרדכי־זאב</w:t>
      </w:r>
      <w:proofErr w:type="spellEnd"/>
      <w:r>
        <w:rPr>
          <w:rtl/>
        </w:rPr>
        <w:t xml:space="preserve"> אמר למארחו שבישיבות אומרים שר׳ חיים התבטא כך: “מה שאני אומר [בשיעוריי], ר׳ </w:t>
      </w:r>
      <w:proofErr w:type="spellStart"/>
      <w:r>
        <w:rPr>
          <w:rtl/>
        </w:rPr>
        <w:t>איצל׳ה</w:t>
      </w:r>
      <w:proofErr w:type="spellEnd"/>
      <w:r>
        <w:rPr>
          <w:rtl/>
        </w:rPr>
        <w:t xml:space="preserve"> אומר [גם הוא]; אבל מה שר׳ </w:t>
      </w:r>
      <w:proofErr w:type="spellStart"/>
      <w:r>
        <w:rPr>
          <w:rtl/>
        </w:rPr>
        <w:t>איצל׳ה</w:t>
      </w:r>
      <w:proofErr w:type="spellEnd"/>
      <w:r>
        <w:rPr>
          <w:rtl/>
        </w:rPr>
        <w:t xml:space="preserve"> אומר, אני איני אומר”. ר׳ חיים השיב: “חס וחלילה שאומר דבר זה! מה שאמרתי הוא: ‘מה שאני אומר, ר׳ </w:t>
      </w:r>
      <w:proofErr w:type="spellStart"/>
      <w:r>
        <w:rPr>
          <w:rtl/>
        </w:rPr>
        <w:t>איצל׳ה</w:t>
      </w:r>
      <w:proofErr w:type="spellEnd"/>
      <w:r>
        <w:rPr>
          <w:rtl/>
        </w:rPr>
        <w:t xml:space="preserve"> אומר [גם הוא], אבל ר׳ </w:t>
      </w:r>
      <w:proofErr w:type="spellStart"/>
      <w:r>
        <w:rPr>
          <w:rtl/>
        </w:rPr>
        <w:t>איצל׳ה</w:t>
      </w:r>
      <w:proofErr w:type="spellEnd"/>
      <w:r>
        <w:rPr>
          <w:rtl/>
        </w:rPr>
        <w:t xml:space="preserve"> הולך הלאה’”. ר׳ חיים דחה את המשתמע מן הנוסח הראשון, כאילו שלל את האפשרות שיסכים לתוספות שהוסיף ר׳ </w:t>
      </w:r>
      <w:proofErr w:type="spellStart"/>
      <w:r>
        <w:rPr>
          <w:rtl/>
        </w:rPr>
        <w:t>איצל׳ה</w:t>
      </w:r>
      <w:proofErr w:type="spellEnd"/>
      <w:r>
        <w:rPr>
          <w:rtl/>
        </w:rPr>
        <w:t xml:space="preserve"> על חידושיהם המשותפים.</w:t>
      </w:r>
    </w:p>
    <w:p w14:paraId="26DAC15D" w14:textId="77777777" w:rsidR="00AB3647" w:rsidRDefault="00000000" w:rsidP="007923E9">
      <w:pPr>
        <w:spacing w:after="120" w:line="276" w:lineRule="auto"/>
        <w:ind w:firstLine="283"/>
        <w:jc w:val="both"/>
      </w:pPr>
      <w:r>
        <w:rPr>
          <w:rtl/>
        </w:rPr>
        <w:t>השווה גם “שמושה של תורה”,</w:t>
      </w:r>
      <w:bookmarkStart w:id="2619" w:name="_fnr1762"/>
      <w:r>
        <w:rPr>
          <w:rStyle w:val="a5"/>
        </w:rPr>
        <w:footnoteReference w:id="1766" w:customMarkFollows="0"/>
      </w:r>
      <w:bookmarkEnd w:id="2619"/>
      <w:r>
        <w:rPr>
          <w:rtl/>
        </w:rPr>
        <w:t xml:space="preserve"> הטוען שר׳ חיים אמר על ר׳ </w:t>
      </w:r>
      <w:proofErr w:type="spellStart"/>
      <w:r>
        <w:rPr>
          <w:rtl/>
        </w:rPr>
        <w:t>איצל׳ה</w:t>
      </w:r>
      <w:proofErr w:type="spellEnd"/>
      <w:r>
        <w:rPr>
          <w:rtl/>
        </w:rPr>
        <w:t xml:space="preserve">: “הוא יודע שלושה </w:t>
      </w:r>
      <w:proofErr w:type="spellStart"/>
      <w:r>
        <w:rPr>
          <w:rtl/>
        </w:rPr>
        <w:t>ש״סים</w:t>
      </w:r>
      <w:proofErr w:type="spellEnd"/>
      <w:r>
        <w:rPr>
          <w:rtl/>
        </w:rPr>
        <w:t>: הבבלי, הירושלמי ושלו” – דבר המתאים לגרסה שנמסרה “בישיבות”, ולא להכחשת ר׳ חיים. השווה גם “ר׳ ברוך בר”,</w:t>
      </w:r>
      <w:bookmarkStart w:id="2620" w:name="_fnr1763"/>
      <w:r>
        <w:rPr>
          <w:rStyle w:val="a5"/>
        </w:rPr>
        <w:footnoteReference w:id="1767" w:customMarkFollows="0"/>
      </w:r>
      <w:bookmarkEnd w:id="2620"/>
      <w:r>
        <w:rPr>
          <w:rtl/>
        </w:rPr>
        <w:t xml:space="preserve"> ושם מסופר שר׳ </w:t>
      </w:r>
      <w:proofErr w:type="spellStart"/>
      <w:r>
        <w:rPr>
          <w:rtl/>
        </w:rPr>
        <w:t>ברוך־בער</w:t>
      </w:r>
      <w:proofErr w:type="spellEnd"/>
      <w:r>
        <w:rPr>
          <w:rtl/>
        </w:rPr>
        <w:t xml:space="preserve"> נשאל מדוע הוא דבק כל כך בתורת ר׳ חיים, כשיש ספרי ר׳ עקיבא איגר “המראים גם הם את הדרך לאמיתה של תורה”. כשהעביר את השאלה </w:t>
      </w:r>
      <w:proofErr w:type="spellStart"/>
      <w:r>
        <w:rPr>
          <w:rtl/>
        </w:rPr>
        <w:t>לר</w:t>
      </w:r>
      <w:proofErr w:type="spellEnd"/>
      <w:r>
        <w:rPr>
          <w:rtl/>
        </w:rPr>
        <w:t>׳ חיים, השיב לו: “ר׳ עקיבא איגר מלמד אותך מה טוב, ואילו אני מלמד מה אינו טוב [כלומר, ממה להימנע]”.</w:t>
      </w:r>
    </w:p>
    <w:p w14:paraId="3138E580" w14:textId="77777777" w:rsidR="00AB3647" w:rsidRDefault="00000000" w:rsidP="007923E9">
      <w:pPr>
        <w:pStyle w:val="4"/>
        <w:spacing w:line="276" w:lineRule="auto"/>
      </w:pPr>
      <w:r>
        <w:t>· הפסקה השנייה ·</w:t>
      </w:r>
    </w:p>
    <w:p w14:paraId="6EC93BBC" w14:textId="77777777" w:rsidR="00AB3647" w:rsidRDefault="00000000" w:rsidP="007923E9">
      <w:pPr>
        <w:keepNext/>
        <w:shd w:val="clear" w:color="auto" w:fill="F2F2F2"/>
        <w:spacing w:before="40" w:after="200" w:line="276" w:lineRule="auto"/>
        <w:ind w:left="283" w:right="283"/>
        <w:jc w:val="both"/>
      </w:pPr>
      <w:r>
        <w:rPr>
          <w:color w:val="404040"/>
          <w:sz w:val="22"/>
          <w:szCs w:val="22"/>
          <w:rtl/>
        </w:rPr>
        <w:t xml:space="preserve">הסבא מבקש עצה מגדולים אחרים – ר׳ </w:t>
      </w:r>
      <w:proofErr w:type="spellStart"/>
      <w:r>
        <w:rPr>
          <w:color w:val="404040"/>
          <w:sz w:val="22"/>
          <w:szCs w:val="22"/>
          <w:rtl/>
        </w:rPr>
        <w:t>מאיר־שמחה</w:t>
      </w:r>
      <w:proofErr w:type="spellEnd"/>
      <w:r>
        <w:rPr>
          <w:color w:val="404040"/>
          <w:sz w:val="22"/>
          <w:szCs w:val="22"/>
          <w:rtl/>
        </w:rPr>
        <w:t xml:space="preserve"> כהן מייעץ לו שלא להעביר את הישיבה לארץ ישראל – אין אפשרות לקבוע אם הסבא ביקש הדרכה מר׳ </w:t>
      </w:r>
      <w:proofErr w:type="spellStart"/>
      <w:r>
        <w:rPr>
          <w:color w:val="404040"/>
          <w:sz w:val="22"/>
          <w:szCs w:val="22"/>
          <w:rtl/>
        </w:rPr>
        <w:t>חיים־עוזר</w:t>
      </w:r>
      <w:proofErr w:type="spellEnd"/>
      <w:r>
        <w:rPr>
          <w:color w:val="404040"/>
          <w:sz w:val="22"/>
          <w:szCs w:val="22"/>
          <w:rtl/>
        </w:rPr>
        <w:t xml:space="preserve"> </w:t>
      </w:r>
      <w:proofErr w:type="spellStart"/>
      <w:r>
        <w:rPr>
          <w:color w:val="404040"/>
          <w:sz w:val="22"/>
          <w:szCs w:val="22"/>
          <w:rtl/>
        </w:rPr>
        <w:t>גרודזנסקי</w:t>
      </w:r>
      <w:proofErr w:type="spellEnd"/>
      <w:r>
        <w:rPr>
          <w:color w:val="404040"/>
          <w:sz w:val="22"/>
          <w:szCs w:val="22"/>
          <w:rtl/>
        </w:rPr>
        <w:t xml:space="preserve"> הצעיר ממנו – חכמי ליטא נופשים על חוף הים הבלטי – ר׳ לייזר גורדון מבקש את דעתו של ר׳ </w:t>
      </w:r>
      <w:proofErr w:type="spellStart"/>
      <w:r>
        <w:rPr>
          <w:color w:val="404040"/>
          <w:sz w:val="22"/>
          <w:szCs w:val="22"/>
          <w:rtl/>
        </w:rPr>
        <w:t>חיים־עוזר</w:t>
      </w:r>
      <w:proofErr w:type="spellEnd"/>
      <w:r>
        <w:rPr>
          <w:color w:val="404040"/>
          <w:sz w:val="22"/>
          <w:szCs w:val="22"/>
          <w:rtl/>
        </w:rPr>
        <w:t xml:space="preserve"> הצעיר ממנו </w:t>
      </w:r>
      <w:r>
        <w:rPr>
          <w:color w:val="404040"/>
          <w:sz w:val="22"/>
          <w:szCs w:val="22"/>
          <w:rtl/>
        </w:rPr>
        <w:lastRenderedPageBreak/>
        <w:t xml:space="preserve">בהרבה – ר׳ </w:t>
      </w:r>
      <w:proofErr w:type="spellStart"/>
      <w:r>
        <w:rPr>
          <w:color w:val="404040"/>
          <w:sz w:val="22"/>
          <w:szCs w:val="22"/>
          <w:rtl/>
        </w:rPr>
        <w:t>איסר־זלמן</w:t>
      </w:r>
      <w:proofErr w:type="spellEnd"/>
      <w:r>
        <w:rPr>
          <w:color w:val="404040"/>
          <w:sz w:val="22"/>
          <w:szCs w:val="22"/>
          <w:rtl/>
        </w:rPr>
        <w:t xml:space="preserve"> מלצר רואה בסבא את המומחה לענייני ישיבות – עצתו הבלתי מתאימה של ר׳ חיים </w:t>
      </w:r>
      <w:proofErr w:type="spellStart"/>
      <w:r>
        <w:rPr>
          <w:color w:val="404040"/>
          <w:sz w:val="22"/>
          <w:szCs w:val="22"/>
          <w:rtl/>
        </w:rPr>
        <w:t>סולובייצ׳יק</w:t>
      </w:r>
      <w:proofErr w:type="spellEnd"/>
      <w:r>
        <w:rPr>
          <w:color w:val="404040"/>
          <w:sz w:val="22"/>
          <w:szCs w:val="22"/>
          <w:rtl/>
        </w:rPr>
        <w:t xml:space="preserve"> בענייני ישיבות – הוא מתווכח עם הרב </w:t>
      </w:r>
      <w:proofErr w:type="spellStart"/>
      <w:r>
        <w:rPr>
          <w:color w:val="404040"/>
          <w:sz w:val="22"/>
          <w:szCs w:val="22"/>
          <w:rtl/>
        </w:rPr>
        <w:t>הורוויץ</w:t>
      </w:r>
      <w:proofErr w:type="spellEnd"/>
    </w:p>
    <w:p w14:paraId="39058C24" w14:textId="77777777" w:rsidR="00AB3647" w:rsidRDefault="00000000" w:rsidP="007923E9">
      <w:pPr>
        <w:spacing w:after="120" w:line="276" w:lineRule="auto"/>
        <w:ind w:firstLine="283"/>
        <w:jc w:val="both"/>
      </w:pPr>
      <w:r>
        <w:rPr>
          <w:rtl/>
        </w:rPr>
        <w:t>ברשימותיו של ר׳ משה גרוסמן</w:t>
      </w:r>
      <w:bookmarkStart w:id="2621" w:name="_fnr1764"/>
      <w:r>
        <w:rPr>
          <w:rStyle w:val="a5"/>
        </w:rPr>
        <w:footnoteReference w:id="1768" w:customMarkFollows="0"/>
      </w:r>
      <w:bookmarkEnd w:id="2621"/>
      <w:r>
        <w:rPr>
          <w:rtl/>
        </w:rPr>
        <w:t xml:space="preserve"> נמסר בשם ר׳ </w:t>
      </w:r>
      <w:proofErr w:type="spellStart"/>
      <w:r>
        <w:rPr>
          <w:rtl/>
        </w:rPr>
        <w:t>יעקב־יצחק</w:t>
      </w:r>
      <w:proofErr w:type="spellEnd"/>
      <w:r>
        <w:rPr>
          <w:rtl/>
        </w:rPr>
        <w:t xml:space="preserve"> </w:t>
      </w:r>
      <w:proofErr w:type="spellStart"/>
      <w:r>
        <w:rPr>
          <w:rtl/>
        </w:rPr>
        <w:t>רודרמן</w:t>
      </w:r>
      <w:proofErr w:type="spellEnd"/>
      <w:r>
        <w:rPr>
          <w:rtl/>
        </w:rPr>
        <w:t xml:space="preserve"> </w:t>
      </w:r>
      <w:proofErr w:type="spellStart"/>
      <w:r>
        <w:rPr>
          <w:rtl/>
        </w:rPr>
        <w:t>ש“הסבא</w:t>
      </w:r>
      <w:proofErr w:type="spellEnd"/>
      <w:r>
        <w:rPr>
          <w:rtl/>
        </w:rPr>
        <w:t xml:space="preserve"> היה מבקש עצה מר׳ חיים </w:t>
      </w:r>
      <w:proofErr w:type="spellStart"/>
      <w:r>
        <w:rPr>
          <w:rtl/>
        </w:rPr>
        <w:t>סולובייצ׳יק</w:t>
      </w:r>
      <w:proofErr w:type="spellEnd"/>
      <w:r>
        <w:rPr>
          <w:rtl/>
        </w:rPr>
        <w:t xml:space="preserve">, ואחרי פטירתו מר׳ </w:t>
      </w:r>
      <w:proofErr w:type="spellStart"/>
      <w:r>
        <w:rPr>
          <w:rtl/>
        </w:rPr>
        <w:t>מאיר־שמחה</w:t>
      </w:r>
      <w:proofErr w:type="spellEnd"/>
      <w:r>
        <w:rPr>
          <w:rtl/>
        </w:rPr>
        <w:t xml:space="preserve"> ומר׳ </w:t>
      </w:r>
      <w:proofErr w:type="spellStart"/>
      <w:r>
        <w:rPr>
          <w:rtl/>
        </w:rPr>
        <w:t>חיים־עוזר</w:t>
      </w:r>
      <w:proofErr w:type="spellEnd"/>
      <w:r>
        <w:rPr>
          <w:rtl/>
        </w:rPr>
        <w:t xml:space="preserve">”. סביר שהסבא ביקש עצה מר׳ חיים כשם שביקש מאביו ר׳ יוסף־דב, כנזכר לעיל, אף שהישענותו של הסבא </w:t>
      </w:r>
      <w:proofErr w:type="spellStart"/>
      <w:r>
        <w:rPr>
          <w:rtl/>
        </w:rPr>
        <w:t>מסלבודקה</w:t>
      </w:r>
      <w:proofErr w:type="spellEnd"/>
      <w:r>
        <w:rPr>
          <w:rtl/>
        </w:rPr>
        <w:t xml:space="preserve"> על עצתו של מתנגד נודע כל כך למוסר כר׳ חיים הייתה עשויה לעורר תמיהה. אבל לפי תפיסת הסבא עצמו את ר׳ חיים – “ר׳ חיים הוא בעל מוסר, אבל אינו יודע זאת”</w:t>
      </w:r>
      <w:bookmarkStart w:id="2622" w:name="_fnr1765"/>
      <w:r>
        <w:rPr>
          <w:rStyle w:val="a5"/>
        </w:rPr>
        <w:footnoteReference w:id="1769" w:customMarkFollows="0"/>
      </w:r>
      <w:bookmarkEnd w:id="2622"/>
      <w:r>
        <w:rPr>
          <w:rtl/>
        </w:rPr>
        <w:t xml:space="preserve"> – מובנת פנייתו </w:t>
      </w:r>
      <w:r>
        <w:rPr>
          <w:b/>
          <w:bCs/>
          <w:rtl/>
        </w:rPr>
        <w:t>בראש ובראשונה</w:t>
      </w:r>
      <w:r>
        <w:rPr>
          <w:rtl/>
        </w:rPr>
        <w:t xml:space="preserve"> אליו לקבלת עצה.</w:t>
      </w:r>
    </w:p>
    <w:p w14:paraId="24DE09D6" w14:textId="77777777" w:rsidR="00AB3647" w:rsidRDefault="00000000" w:rsidP="007923E9">
      <w:pPr>
        <w:spacing w:after="120" w:line="276" w:lineRule="auto"/>
        <w:ind w:firstLine="283"/>
        <w:jc w:val="both"/>
      </w:pPr>
      <w:r>
        <w:rPr>
          <w:rtl/>
        </w:rPr>
        <w:t xml:space="preserve">העובדה שהסבא ביקש עצה מר׳ </w:t>
      </w:r>
      <w:proofErr w:type="spellStart"/>
      <w:r>
        <w:rPr>
          <w:rtl/>
        </w:rPr>
        <w:t>מאיר־שמחה</w:t>
      </w:r>
      <w:proofErr w:type="spellEnd"/>
      <w:r>
        <w:rPr>
          <w:rtl/>
        </w:rPr>
        <w:t xml:space="preserve"> אכן ידועה. אבי סיפר</w:t>
      </w:r>
      <w:bookmarkStart w:id="2623" w:name="_fnr1766"/>
      <w:r>
        <w:rPr>
          <w:rStyle w:val="a5"/>
        </w:rPr>
        <w:footnoteReference w:id="1770" w:customMarkFollows="0"/>
      </w:r>
      <w:bookmarkEnd w:id="2623"/>
      <w:r>
        <w:rPr>
          <w:rtl/>
        </w:rPr>
        <w:t xml:space="preserve"> שהסבא שלח שאלות </w:t>
      </w:r>
      <w:proofErr w:type="spellStart"/>
      <w:r>
        <w:rPr>
          <w:rtl/>
        </w:rPr>
        <w:t>לר</w:t>
      </w:r>
      <w:proofErr w:type="spellEnd"/>
      <w:r>
        <w:rPr>
          <w:rtl/>
        </w:rPr>
        <w:t xml:space="preserve">׳ </w:t>
      </w:r>
      <w:proofErr w:type="spellStart"/>
      <w:r>
        <w:rPr>
          <w:rtl/>
        </w:rPr>
        <w:t>מאיר־שמחה</w:t>
      </w:r>
      <w:proofErr w:type="spellEnd"/>
      <w:r>
        <w:rPr>
          <w:rtl/>
        </w:rPr>
        <w:t xml:space="preserve"> באמצעות ר׳ </w:t>
      </w:r>
      <w:proofErr w:type="spellStart"/>
      <w:r>
        <w:rPr>
          <w:rtl/>
        </w:rPr>
        <w:t>שמואל־לייב</w:t>
      </w:r>
      <w:proofErr w:type="spellEnd"/>
      <w:r>
        <w:rPr>
          <w:rtl/>
        </w:rPr>
        <w:t xml:space="preserve"> שווי, צעיר תושב </w:t>
      </w:r>
      <w:proofErr w:type="spellStart"/>
      <w:r>
        <w:rPr>
          <w:rtl/>
        </w:rPr>
        <w:t>דווינסק</w:t>
      </w:r>
      <w:proofErr w:type="spellEnd"/>
      <w:r>
        <w:rPr>
          <w:rtl/>
        </w:rPr>
        <w:t xml:space="preserve"> שהיה מקורב לגאון זה.</w:t>
      </w:r>
    </w:p>
    <w:p w14:paraId="752C1887" w14:textId="77777777" w:rsidR="00AB3647" w:rsidRDefault="00000000" w:rsidP="007923E9">
      <w:pPr>
        <w:spacing w:after="120" w:line="276" w:lineRule="auto"/>
        <w:ind w:firstLine="283"/>
        <w:jc w:val="both"/>
      </w:pPr>
      <w:r>
        <w:rPr>
          <w:rtl/>
        </w:rPr>
        <w:t xml:space="preserve">אחת השאלות החשובות שלפי המסופר שלח הסבא </w:t>
      </w:r>
      <w:proofErr w:type="spellStart"/>
      <w:r>
        <w:rPr>
          <w:rtl/>
        </w:rPr>
        <w:t>לר</w:t>
      </w:r>
      <w:proofErr w:type="spellEnd"/>
      <w:r>
        <w:rPr>
          <w:rtl/>
        </w:rPr>
        <w:t xml:space="preserve">׳ </w:t>
      </w:r>
      <w:proofErr w:type="spellStart"/>
      <w:r>
        <w:rPr>
          <w:rtl/>
        </w:rPr>
        <w:t>מאיר־שמחה</w:t>
      </w:r>
      <w:proofErr w:type="spellEnd"/>
      <w:r>
        <w:rPr>
          <w:rtl/>
        </w:rPr>
        <w:t xml:space="preserve">, שנים אחדות לאחר פטירת ר׳ חיים בקיץ תרע״ח, נגעה להעברת ישיבת </w:t>
      </w:r>
      <w:proofErr w:type="spellStart"/>
      <w:r>
        <w:rPr>
          <w:rtl/>
        </w:rPr>
        <w:t>סלבודקה</w:t>
      </w:r>
      <w:proofErr w:type="spellEnd"/>
      <w:r>
        <w:rPr>
          <w:rtl/>
        </w:rPr>
        <w:t xml:space="preserve"> לעיר חברון שבארץ ישראל: האם יש לחשוש לדברי הירושלמי</w:t>
      </w:r>
      <w:bookmarkStart w:id="2624" w:name="_fnr1767"/>
      <w:r>
        <w:rPr>
          <w:rStyle w:val="a5"/>
        </w:rPr>
        <w:footnoteReference w:id="1771" w:customMarkFollows="0"/>
      </w:r>
      <w:bookmarkEnd w:id="2624"/>
      <w:r>
        <w:rPr>
          <w:rtl/>
        </w:rPr>
        <w:t xml:space="preserve"> האוסרים הפלגה בים בין סוכות לחנוכה? ר׳ </w:t>
      </w:r>
      <w:proofErr w:type="spellStart"/>
      <w:r>
        <w:rPr>
          <w:rtl/>
        </w:rPr>
        <w:t>מאיר־שמחה</w:t>
      </w:r>
      <w:proofErr w:type="spellEnd"/>
      <w:r>
        <w:rPr>
          <w:rtl/>
        </w:rPr>
        <w:t xml:space="preserve"> השיב: “מצד הירושלמי שלך אין לך בעיה, מפני שהעולם רגיל לנסוע בעונה זו.</w:t>
      </w:r>
      <w:bookmarkStart w:id="2625" w:name="_fnr1768"/>
      <w:r>
        <w:rPr>
          <w:rStyle w:val="a5"/>
        </w:rPr>
        <w:footnoteReference w:id="1772" w:customMarkFollows="0"/>
      </w:r>
      <w:bookmarkEnd w:id="2625"/>
      <w:r>
        <w:rPr>
          <w:rtl/>
        </w:rPr>
        <w:t xml:space="preserve"> אבל מה תעשה עם הירושלמי האחר, האומר שאין להעביר ישיבה מחוץ לארץ </w:t>
      </w:r>
      <w:proofErr w:type="spellStart"/>
      <w:r>
        <w:rPr>
          <w:rtl/>
        </w:rPr>
        <w:t>לארץ</w:t>
      </w:r>
      <w:proofErr w:type="spellEnd"/>
      <w:r>
        <w:rPr>
          <w:rtl/>
        </w:rPr>
        <w:t xml:space="preserve"> ישראל!”</w:t>
      </w:r>
      <w:bookmarkStart w:id="2626" w:name="_fnr1769"/>
      <w:r>
        <w:rPr>
          <w:rStyle w:val="a5"/>
        </w:rPr>
        <w:footnoteReference w:id="1773" w:customMarkFollows="0"/>
      </w:r>
      <w:bookmarkEnd w:id="2626"/>
      <w:r>
        <w:rPr>
          <w:rtl/>
        </w:rPr>
        <w:t xml:space="preserve"> אבל ר׳ </w:t>
      </w:r>
      <w:proofErr w:type="spellStart"/>
      <w:r>
        <w:rPr>
          <w:rtl/>
        </w:rPr>
        <w:t>אברהם־חיים</w:t>
      </w:r>
      <w:proofErr w:type="spellEnd"/>
      <w:r>
        <w:rPr>
          <w:rtl/>
        </w:rPr>
        <w:t xml:space="preserve"> </w:t>
      </w:r>
      <w:proofErr w:type="spellStart"/>
      <w:r>
        <w:rPr>
          <w:rtl/>
        </w:rPr>
        <w:t>פויער</w:t>
      </w:r>
      <w:proofErr w:type="spellEnd"/>
      <w:r>
        <w:rPr>
          <w:rtl/>
        </w:rPr>
        <w:t xml:space="preserve"> סיפר</w:t>
      </w:r>
      <w:bookmarkStart w:id="2627" w:name="_fnr1770"/>
      <w:r>
        <w:rPr>
          <w:rStyle w:val="a5"/>
        </w:rPr>
        <w:footnoteReference w:id="1774" w:customMarkFollows="0"/>
      </w:r>
      <w:bookmarkEnd w:id="2627"/>
      <w:r>
        <w:rPr>
          <w:rtl/>
        </w:rPr>
        <w:t xml:space="preserve"> שאבי אמר לו שר׳ </w:t>
      </w:r>
      <w:proofErr w:type="spellStart"/>
      <w:r>
        <w:rPr>
          <w:rtl/>
        </w:rPr>
        <w:t>מאיר־שמחה</w:t>
      </w:r>
      <w:proofErr w:type="spellEnd"/>
      <w:r>
        <w:rPr>
          <w:rtl/>
        </w:rPr>
        <w:t xml:space="preserve"> רק השיא עצה שלא להעביר את הישיבה, ולא ציטט ירושלמי האוסר זאת. “התורה היא כבאר”, אמר, “ואי אפשר להעבירה ממקומה”. אבי הבין שכוונתו הייתה שישיבה מסוגה של </w:t>
      </w:r>
      <w:proofErr w:type="spellStart"/>
      <w:r>
        <w:rPr>
          <w:rtl/>
        </w:rPr>
        <w:t>סלבודקה</w:t>
      </w:r>
      <w:proofErr w:type="spellEnd"/>
      <w:r>
        <w:rPr>
          <w:rtl/>
        </w:rPr>
        <w:t xml:space="preserve"> צריכה להיות בסביבתה של </w:t>
      </w:r>
      <w:proofErr w:type="spellStart"/>
      <w:r>
        <w:rPr>
          <w:rtl/>
        </w:rPr>
        <w:t>סלבודקה</w:t>
      </w:r>
      <w:proofErr w:type="spellEnd"/>
      <w:r>
        <w:rPr>
          <w:rtl/>
        </w:rPr>
        <w:t>, ולא בארץ ישראל.</w:t>
      </w:r>
      <w:bookmarkStart w:id="2628" w:name="_fnr1771"/>
      <w:r>
        <w:rPr>
          <w:rStyle w:val="a5"/>
        </w:rPr>
        <w:footnoteReference w:id="1775" w:customMarkFollows="0"/>
      </w:r>
      <w:bookmarkEnd w:id="2628"/>
    </w:p>
    <w:p w14:paraId="37B5DF51" w14:textId="77777777" w:rsidR="00AB3647" w:rsidRDefault="00000000" w:rsidP="007923E9">
      <w:pPr>
        <w:spacing w:after="120" w:line="276" w:lineRule="auto"/>
        <w:ind w:firstLine="283"/>
        <w:jc w:val="both"/>
      </w:pPr>
      <w:r>
        <w:rPr>
          <w:rtl/>
        </w:rPr>
        <w:t xml:space="preserve">אבל הטענה שהסבא ביקש עצה גם מר׳ </w:t>
      </w:r>
      <w:proofErr w:type="spellStart"/>
      <w:r>
        <w:rPr>
          <w:rtl/>
        </w:rPr>
        <w:t>חיים־עוזר</w:t>
      </w:r>
      <w:proofErr w:type="spellEnd"/>
      <w:r>
        <w:rPr>
          <w:rtl/>
        </w:rPr>
        <w:t xml:space="preserve"> מוטלת בספק. לכאורה אין פרק זמן “אחרי פטירת ר׳ חיים” שבו נזקק הסבא לפנות לאדם אחר מלבד ר׳ </w:t>
      </w:r>
      <w:proofErr w:type="spellStart"/>
      <w:r>
        <w:rPr>
          <w:rtl/>
        </w:rPr>
        <w:t>מאיר־שמחה</w:t>
      </w:r>
      <w:proofErr w:type="spellEnd"/>
      <w:r>
        <w:rPr>
          <w:rtl/>
        </w:rPr>
        <w:t xml:space="preserve">. שהרי הסבא </w:t>
      </w:r>
      <w:proofErr w:type="spellStart"/>
      <w:r>
        <w:rPr>
          <w:rtl/>
        </w:rPr>
        <w:t>מסלבודקה</w:t>
      </w:r>
      <w:proofErr w:type="spellEnd"/>
      <w:r>
        <w:rPr>
          <w:rtl/>
        </w:rPr>
        <w:t xml:space="preserve"> יצא לארץ ישראל בתמוז תרפ״ה, לפי כץ, “תנועת המוסר”, כרך ג,</w:t>
      </w:r>
      <w:bookmarkStart w:id="2629" w:name="_fnr1772"/>
      <w:r>
        <w:rPr>
          <w:rStyle w:val="a5"/>
        </w:rPr>
        <w:footnoteReference w:id="1776" w:customMarkFollows="0"/>
      </w:r>
      <w:bookmarkEnd w:id="2629"/>
      <w:r>
        <w:rPr>
          <w:rtl/>
        </w:rPr>
        <w:t xml:space="preserve"> או בסיוון </w:t>
      </w:r>
      <w:r>
        <w:rPr>
          <w:rtl/>
        </w:rPr>
        <w:lastRenderedPageBreak/>
        <w:t xml:space="preserve">באותה שנה, לפי בעל נכדתו ר׳ לייזר גולדשמידט – שנה לפני פטירת ר׳ </w:t>
      </w:r>
      <w:proofErr w:type="spellStart"/>
      <w:r>
        <w:rPr>
          <w:rtl/>
        </w:rPr>
        <w:t>מאיר־שמחה</w:t>
      </w:r>
      <w:proofErr w:type="spellEnd"/>
      <w:r>
        <w:rPr>
          <w:rtl/>
        </w:rPr>
        <w:t xml:space="preserve">. נוסף על כך, שלושים ושמונה חודשים לאחר פטירת ר׳ חיים נסגר הגבול בין ליטא, שבה היה הסבא, לווילנה (פולין), שבה היה ר׳ </w:t>
      </w:r>
      <w:proofErr w:type="spellStart"/>
      <w:r>
        <w:rPr>
          <w:rtl/>
        </w:rPr>
        <w:t>חיים־עוזר</w:t>
      </w:r>
      <w:proofErr w:type="spellEnd"/>
      <w:r>
        <w:rPr>
          <w:rtl/>
        </w:rPr>
        <w:t xml:space="preserve"> </w:t>
      </w:r>
      <w:proofErr w:type="spellStart"/>
      <w:r>
        <w:rPr>
          <w:rtl/>
        </w:rPr>
        <w:t>גרודזנסקי</w:t>
      </w:r>
      <w:proofErr w:type="spellEnd"/>
      <w:r>
        <w:rPr>
          <w:rtl/>
        </w:rPr>
        <w:t xml:space="preserve">, ולא התאפשר קשר ישיר ביניהם. לעומת זאת, בין ליטא </w:t>
      </w:r>
      <w:proofErr w:type="spellStart"/>
      <w:r>
        <w:rPr>
          <w:rtl/>
        </w:rPr>
        <w:t>לדווינסק</w:t>
      </w:r>
      <w:proofErr w:type="spellEnd"/>
      <w:r>
        <w:rPr>
          <w:rtl/>
        </w:rPr>
        <w:t xml:space="preserve"> שבלטביה, מקום מושבו של ר׳ </w:t>
      </w:r>
      <w:proofErr w:type="spellStart"/>
      <w:r>
        <w:rPr>
          <w:rtl/>
        </w:rPr>
        <w:t>מאיר־שמחה</w:t>
      </w:r>
      <w:proofErr w:type="spellEnd"/>
      <w:r>
        <w:rPr>
          <w:rtl/>
        </w:rPr>
        <w:t>, לא היו מחסומים.</w:t>
      </w:r>
    </w:p>
    <w:p w14:paraId="5744EC08" w14:textId="77777777" w:rsidR="00AB3647" w:rsidRDefault="00000000" w:rsidP="007923E9">
      <w:pPr>
        <w:spacing w:after="120" w:line="276" w:lineRule="auto"/>
        <w:ind w:firstLine="283"/>
        <w:jc w:val="both"/>
      </w:pPr>
      <w:r>
        <w:rPr>
          <w:rtl/>
        </w:rPr>
        <w:t xml:space="preserve">במשך שלושים ושמונה החודשים שבהם עדיין היה הגבול פתוח, הייתה רוסיה נתונה לזעזועים, והסבא שהה בעומק הארץ והיה מנותק מווילנה, </w:t>
      </w:r>
      <w:r>
        <w:rPr>
          <w:b/>
          <w:bCs/>
          <w:rtl/>
        </w:rPr>
        <w:t>חוץ מתקופה של שלושה שבועות בלבד</w:t>
      </w:r>
      <w:r>
        <w:rPr>
          <w:rtl/>
        </w:rPr>
        <w:t xml:space="preserve"> – שברובם היו שניהם למעשה יחד בווילנה.</w:t>
      </w:r>
      <w:bookmarkStart w:id="2630" w:name="_fnr1773"/>
      <w:r>
        <w:rPr>
          <w:rStyle w:val="a5"/>
        </w:rPr>
        <w:footnoteReference w:id="1777" w:customMarkFollows="0"/>
      </w:r>
      <w:bookmarkEnd w:id="2630"/>
      <w:r>
        <w:rPr>
          <w:rtl/>
        </w:rPr>
        <w:t xml:space="preserve"> נראה שזה היה הזמן היחיד “אחרי פטירת ר׳ חיים” שבו עשוי היה הסבא לשאול את ר׳ </w:t>
      </w:r>
      <w:proofErr w:type="spellStart"/>
      <w:r>
        <w:rPr>
          <w:rtl/>
        </w:rPr>
        <w:t>חיים־עוזר</w:t>
      </w:r>
      <w:proofErr w:type="spellEnd"/>
      <w:r>
        <w:rPr>
          <w:rtl/>
        </w:rPr>
        <w:t xml:space="preserve"> שאלה או שתיים.</w:t>
      </w:r>
    </w:p>
    <w:p w14:paraId="0A1FE54C" w14:textId="77777777" w:rsidR="00AB3647" w:rsidRDefault="00000000" w:rsidP="007923E9">
      <w:pPr>
        <w:spacing w:after="120" w:line="276" w:lineRule="auto"/>
        <w:ind w:firstLine="283"/>
        <w:jc w:val="both"/>
      </w:pPr>
      <w:r>
        <w:rPr>
          <w:rtl/>
        </w:rPr>
        <w:t xml:space="preserve">הייתה תקופה של ארבעה חודשים </w:t>
      </w:r>
      <w:r>
        <w:rPr>
          <w:b/>
          <w:bCs/>
          <w:rtl/>
        </w:rPr>
        <w:t>בעוד ר׳ חיים בחיים</w:t>
      </w:r>
      <w:r>
        <w:rPr>
          <w:rtl/>
        </w:rPr>
        <w:t xml:space="preserve">, שבה לא יכול היה הסבא להיוועץ בר׳ חיים, ואילו ר׳ </w:t>
      </w:r>
      <w:proofErr w:type="spellStart"/>
      <w:r>
        <w:rPr>
          <w:rtl/>
        </w:rPr>
        <w:t>חיים־עוזר</w:t>
      </w:r>
      <w:proofErr w:type="spellEnd"/>
      <w:r>
        <w:rPr>
          <w:rtl/>
        </w:rPr>
        <w:t xml:space="preserve"> היה עמו. היה זה מיד לאחר פרוץ מלחמת העולם הראשונה: הסבא ור׳ </w:t>
      </w:r>
      <w:proofErr w:type="spellStart"/>
      <w:r>
        <w:rPr>
          <w:rtl/>
        </w:rPr>
        <w:t>חיים־עוזר</w:t>
      </w:r>
      <w:proofErr w:type="spellEnd"/>
      <w:r>
        <w:rPr>
          <w:rtl/>
        </w:rPr>
        <w:t xml:space="preserve">, שניהם אזרחים רוסים, נלכדו בצדו הגרמני של הגבול כשנפשו </w:t>
      </w:r>
      <w:proofErr w:type="spellStart"/>
      <w:r>
        <w:rPr>
          <w:rtl/>
        </w:rPr>
        <w:t>בקראנץ</w:t>
      </w:r>
      <w:proofErr w:type="spellEnd"/>
      <w:r>
        <w:rPr>
          <w:rtl/>
        </w:rPr>
        <w:t>, עיירת הנופש שעל חוף הים הבלטי סמוך לקניגסברג.</w:t>
      </w:r>
      <w:bookmarkStart w:id="2631" w:name="_fnr1774"/>
      <w:r>
        <w:rPr>
          <w:rStyle w:val="a5"/>
        </w:rPr>
        <w:footnoteReference w:id="1778" w:customMarkFollows="0"/>
      </w:r>
      <w:bookmarkEnd w:id="2631"/>
      <w:r>
        <w:rPr>
          <w:rtl/>
        </w:rPr>
        <w:t xml:space="preserve"> שניהם, עם אזרחים רוסים אחרים ששהו בנופש, הוסעו ברכבת סגורה ושמורה לשוודיה, וחצו בחזרה את הגבול הרוסי בסביבות חנוכה תרע״ה.</w:t>
      </w:r>
      <w:bookmarkStart w:id="2632" w:name="_fnr1775"/>
      <w:r>
        <w:rPr>
          <w:rStyle w:val="a5"/>
        </w:rPr>
        <w:footnoteReference w:id="1779" w:customMarkFollows="0"/>
      </w:r>
      <w:bookmarkEnd w:id="2632"/>
      <w:r>
        <w:rPr>
          <w:rtl/>
        </w:rPr>
        <w:t xml:space="preserve"> אולי דן הסבא עם ר׳ </w:t>
      </w:r>
      <w:proofErr w:type="spellStart"/>
      <w:r>
        <w:rPr>
          <w:rtl/>
        </w:rPr>
        <w:t>חיים־עוזר</w:t>
      </w:r>
      <w:proofErr w:type="spellEnd"/>
      <w:r>
        <w:rPr>
          <w:rtl/>
        </w:rPr>
        <w:t xml:space="preserve"> בבעיות מסוימות בזמן שהיו כלואים יחד. אבל משהגיעו לרוסיה נפרדו: הסבא נסע למינסק ואחר כך </w:t>
      </w:r>
      <w:proofErr w:type="spellStart"/>
      <w:r>
        <w:rPr>
          <w:rtl/>
        </w:rPr>
        <w:t>לקרמנצ׳וג</w:t>
      </w:r>
      <w:proofErr w:type="spellEnd"/>
      <w:r>
        <w:rPr>
          <w:rtl/>
        </w:rPr>
        <w:t xml:space="preserve">, ור׳ </w:t>
      </w:r>
      <w:proofErr w:type="spellStart"/>
      <w:r>
        <w:rPr>
          <w:rtl/>
        </w:rPr>
        <w:t>חיים־עוזר</w:t>
      </w:r>
      <w:proofErr w:type="spellEnd"/>
      <w:r>
        <w:rPr>
          <w:rtl/>
        </w:rPr>
        <w:t xml:space="preserve"> לווילנה ואחר כך </w:t>
      </w:r>
      <w:proofErr w:type="spellStart"/>
      <w:r>
        <w:rPr>
          <w:rtl/>
        </w:rPr>
        <w:t>להומל</w:t>
      </w:r>
      <w:proofErr w:type="spellEnd"/>
      <w:r>
        <w:rPr>
          <w:rtl/>
        </w:rPr>
        <w:t xml:space="preserve"> </w:t>
      </w:r>
      <w:proofErr w:type="spellStart"/>
      <w:r>
        <w:rPr>
          <w:rtl/>
        </w:rPr>
        <w:t>וליקטרינוסלב</w:t>
      </w:r>
      <w:proofErr w:type="spellEnd"/>
      <w:r>
        <w:rPr>
          <w:rtl/>
        </w:rPr>
        <w:t>.</w:t>
      </w:r>
      <w:bookmarkStart w:id="2633" w:name="_fnr1776"/>
      <w:bookmarkStart w:id="2634" w:name="pr_f_1684"/>
      <w:bookmarkStart w:id="2635" w:name="pr_f_1685"/>
      <w:r>
        <w:rPr>
          <w:rStyle w:val="a5"/>
        </w:rPr>
        <w:footnoteReference w:id="1780" w:customMarkFollows="0"/>
      </w:r>
      <w:bookmarkEnd w:id="2633"/>
      <w:bookmarkEnd w:id="2634"/>
      <w:bookmarkEnd w:id="2635"/>
    </w:p>
    <w:p w14:paraId="04AC47CA" w14:textId="77777777" w:rsidR="00AB3647" w:rsidRDefault="00000000" w:rsidP="007923E9">
      <w:pPr>
        <w:spacing w:after="120" w:line="276" w:lineRule="auto"/>
        <w:ind w:firstLine="283"/>
        <w:jc w:val="both"/>
      </w:pPr>
      <w:r>
        <w:rPr>
          <w:rtl/>
        </w:rPr>
        <w:t xml:space="preserve">עם זאת, ייתכן שאחרי פרשת השידוך של ר׳ משה בן הסבא, שעוררה את חמת ר׳ חיים, לא יכול היה ר׳ </w:t>
      </w:r>
      <w:proofErr w:type="spellStart"/>
      <w:r>
        <w:rPr>
          <w:rtl/>
        </w:rPr>
        <w:t>נתן־צבי</w:t>
      </w:r>
      <w:proofErr w:type="spellEnd"/>
      <w:r>
        <w:rPr>
          <w:rtl/>
        </w:rPr>
        <w:t xml:space="preserve"> עוד לפנות אליו לקבלת עצה. ר׳ משה ביטל את אירוסיו עם </w:t>
      </w:r>
      <w:proofErr w:type="spellStart"/>
      <w:r>
        <w:rPr>
          <w:rtl/>
        </w:rPr>
        <w:t>חוה־לאה</w:t>
      </w:r>
      <w:proofErr w:type="spellEnd"/>
      <w:r>
        <w:rPr>
          <w:rtl/>
        </w:rPr>
        <w:t xml:space="preserve"> </w:t>
      </w:r>
      <w:proofErr w:type="spellStart"/>
      <w:r>
        <w:rPr>
          <w:rtl/>
        </w:rPr>
        <w:t>הוטנר</w:t>
      </w:r>
      <w:proofErr w:type="spellEnd"/>
      <w:r>
        <w:rPr>
          <w:rtl/>
        </w:rPr>
        <w:t xml:space="preserve"> והתארס עם </w:t>
      </w:r>
      <w:proofErr w:type="spellStart"/>
      <w:r>
        <w:rPr>
          <w:rtl/>
        </w:rPr>
        <w:t>זלטה</w:t>
      </w:r>
      <w:proofErr w:type="spellEnd"/>
      <w:r>
        <w:rPr>
          <w:rtl/>
        </w:rPr>
        <w:t xml:space="preserve"> בת ר׳ </w:t>
      </w:r>
      <w:proofErr w:type="spellStart"/>
      <w:r>
        <w:rPr>
          <w:rtl/>
        </w:rPr>
        <w:t>משה־מרדכי</w:t>
      </w:r>
      <w:proofErr w:type="spellEnd"/>
      <w:r>
        <w:rPr>
          <w:rtl/>
        </w:rPr>
        <w:t xml:space="preserve"> בחורף תרע״ג – ראה כרך 2. לפי זה, הביטוי של ר׳ </w:t>
      </w:r>
      <w:proofErr w:type="spellStart"/>
      <w:r>
        <w:rPr>
          <w:rtl/>
        </w:rPr>
        <w:t>יעקב־יצחק</w:t>
      </w:r>
      <w:proofErr w:type="spellEnd"/>
      <w:r>
        <w:rPr>
          <w:rtl/>
        </w:rPr>
        <w:t xml:space="preserve"> </w:t>
      </w:r>
      <w:proofErr w:type="spellStart"/>
      <w:r>
        <w:rPr>
          <w:rtl/>
        </w:rPr>
        <w:t>רודרמן</w:t>
      </w:r>
      <w:proofErr w:type="spellEnd"/>
      <w:r>
        <w:rPr>
          <w:rtl/>
        </w:rPr>
        <w:t xml:space="preserve"> “אחרי פטירת ר׳ חיים” אינו מדויק, וצריך היה להיות “אחרי שלא היה אפשר עוד לפנות </w:t>
      </w:r>
      <w:proofErr w:type="spellStart"/>
      <w:r>
        <w:rPr>
          <w:rtl/>
        </w:rPr>
        <w:t>לר</w:t>
      </w:r>
      <w:proofErr w:type="spellEnd"/>
      <w:r>
        <w:rPr>
          <w:rtl/>
        </w:rPr>
        <w:t xml:space="preserve">׳ חיים”. כך נותרת תקופה של כמעט שנה וחצי, בין ביטול האירוסין לפרוץ המלחמה בקיץ תרע״ד, שבה יכול היה הסבא לפנות </w:t>
      </w:r>
      <w:proofErr w:type="spellStart"/>
      <w:r>
        <w:rPr>
          <w:rtl/>
        </w:rPr>
        <w:t>לר</w:t>
      </w:r>
      <w:proofErr w:type="spellEnd"/>
      <w:r>
        <w:rPr>
          <w:rtl/>
        </w:rPr>
        <w:t xml:space="preserve">׳ </w:t>
      </w:r>
      <w:proofErr w:type="spellStart"/>
      <w:r>
        <w:rPr>
          <w:rtl/>
        </w:rPr>
        <w:t>מאיר־שמחה</w:t>
      </w:r>
      <w:proofErr w:type="spellEnd"/>
      <w:r>
        <w:rPr>
          <w:rtl/>
        </w:rPr>
        <w:t xml:space="preserve"> </w:t>
      </w:r>
      <w:proofErr w:type="spellStart"/>
      <w:r>
        <w:rPr>
          <w:rtl/>
        </w:rPr>
        <w:t>ולר</w:t>
      </w:r>
      <w:proofErr w:type="spellEnd"/>
      <w:r>
        <w:rPr>
          <w:rtl/>
        </w:rPr>
        <w:t xml:space="preserve">׳ </w:t>
      </w:r>
      <w:proofErr w:type="spellStart"/>
      <w:r>
        <w:rPr>
          <w:rtl/>
        </w:rPr>
        <w:t>חיים־עוזר</w:t>
      </w:r>
      <w:proofErr w:type="spellEnd"/>
      <w:r>
        <w:rPr>
          <w:rtl/>
        </w:rPr>
        <w:t xml:space="preserve"> במידה שווה, ואולי ביקש את עצת אחד מהם באותו זמן.</w:t>
      </w:r>
    </w:p>
    <w:p w14:paraId="604AC62E" w14:textId="77777777" w:rsidR="00AB3647" w:rsidRDefault="00000000" w:rsidP="007923E9">
      <w:pPr>
        <w:spacing w:after="120" w:line="276" w:lineRule="auto"/>
        <w:ind w:firstLine="283"/>
        <w:jc w:val="both"/>
      </w:pPr>
      <w:r>
        <w:rPr>
          <w:rtl/>
        </w:rPr>
        <w:t xml:space="preserve">קשה היה לי להאמין שר׳ </w:t>
      </w:r>
      <w:proofErr w:type="spellStart"/>
      <w:r>
        <w:rPr>
          <w:rtl/>
        </w:rPr>
        <w:t>חיים־עוזר</w:t>
      </w:r>
      <w:proofErr w:type="spellEnd"/>
      <w:r>
        <w:rPr>
          <w:rtl/>
        </w:rPr>
        <w:t xml:space="preserve">, הצעיר מן הסבא </w:t>
      </w:r>
      <w:proofErr w:type="spellStart"/>
      <w:r>
        <w:rPr>
          <w:rtl/>
        </w:rPr>
        <w:t>בארבע־עשרה</w:t>
      </w:r>
      <w:proofErr w:type="spellEnd"/>
      <w:r>
        <w:rPr>
          <w:rtl/>
        </w:rPr>
        <w:t xml:space="preserve"> שנה, היה משמש יועצו – ר׳ חיים </w:t>
      </w:r>
      <w:proofErr w:type="spellStart"/>
      <w:r>
        <w:rPr>
          <w:rtl/>
        </w:rPr>
        <w:t>סולובייצ׳יק</w:t>
      </w:r>
      <w:proofErr w:type="spellEnd"/>
      <w:r>
        <w:rPr>
          <w:rtl/>
        </w:rPr>
        <w:t xml:space="preserve"> היה צעיר מן הסבא רק בארבע שנים, ור׳ </w:t>
      </w:r>
      <w:proofErr w:type="spellStart"/>
      <w:r>
        <w:rPr>
          <w:rtl/>
        </w:rPr>
        <w:t>מאיר־שמחה</w:t>
      </w:r>
      <w:proofErr w:type="spellEnd"/>
      <w:r>
        <w:rPr>
          <w:rtl/>
        </w:rPr>
        <w:t xml:space="preserve"> כהן היה מבוגר </w:t>
      </w:r>
      <w:r>
        <w:rPr>
          <w:rtl/>
        </w:rPr>
        <w:lastRenderedPageBreak/>
        <w:t>ממנו בשש שנים.</w:t>
      </w:r>
      <w:bookmarkStart w:id="2636" w:name="_fnr1777"/>
      <w:r>
        <w:rPr>
          <w:rStyle w:val="a5"/>
        </w:rPr>
        <w:footnoteReference w:id="1781" w:customMarkFollows="0"/>
      </w:r>
      <w:bookmarkEnd w:id="2636"/>
      <w:r>
        <w:rPr>
          <w:rtl/>
        </w:rPr>
        <w:t xml:space="preserve"> ר׳ לייזר גורדון, שהיה מבוגר מר׳ </w:t>
      </w:r>
      <w:proofErr w:type="spellStart"/>
      <w:r>
        <w:rPr>
          <w:rtl/>
        </w:rPr>
        <w:t>חיים־עוזר</w:t>
      </w:r>
      <w:proofErr w:type="spellEnd"/>
      <w:r>
        <w:rPr>
          <w:rtl/>
        </w:rPr>
        <w:t xml:space="preserve"> </w:t>
      </w:r>
      <w:proofErr w:type="spellStart"/>
      <w:r>
        <w:rPr>
          <w:rtl/>
        </w:rPr>
        <w:t>גרודזנסקי</w:t>
      </w:r>
      <w:proofErr w:type="spellEnd"/>
      <w:r>
        <w:rPr>
          <w:rtl/>
        </w:rPr>
        <w:t xml:space="preserve"> בעשרים ושתיים שנה, אכן ביקש את עצתו. כשאחד מתלמידיו, ר׳ </w:t>
      </w:r>
      <w:proofErr w:type="spellStart"/>
      <w:r>
        <w:rPr>
          <w:rtl/>
        </w:rPr>
        <w:t>יהושע־זליג</w:t>
      </w:r>
      <w:proofErr w:type="spellEnd"/>
      <w:r>
        <w:rPr>
          <w:rtl/>
        </w:rPr>
        <w:t xml:space="preserve"> רוך, שאלו על כך, השיב בכעס: “למי אלך אם לא </w:t>
      </w:r>
      <w:proofErr w:type="spellStart"/>
      <w:r>
        <w:rPr>
          <w:rtl/>
        </w:rPr>
        <w:t>לר</w:t>
      </w:r>
      <w:proofErr w:type="spellEnd"/>
      <w:r>
        <w:rPr>
          <w:rtl/>
        </w:rPr>
        <w:t xml:space="preserve">׳ </w:t>
      </w:r>
      <w:proofErr w:type="spellStart"/>
      <w:r>
        <w:rPr>
          <w:rtl/>
        </w:rPr>
        <w:t>חיים־עוזר</w:t>
      </w:r>
      <w:proofErr w:type="spellEnd"/>
      <w:r>
        <w:rPr>
          <w:rtl/>
        </w:rPr>
        <w:t>? רק אליו צריך ללכת!”</w:t>
      </w:r>
      <w:bookmarkStart w:id="2637" w:name="_fnr1778"/>
      <w:r>
        <w:rPr>
          <w:rStyle w:val="a5"/>
        </w:rPr>
        <w:footnoteReference w:id="1782" w:customMarkFollows="0"/>
      </w:r>
      <w:bookmarkEnd w:id="2637"/>
      <w:r>
        <w:rPr>
          <w:rtl/>
        </w:rPr>
        <w:t xml:space="preserve"> אבל עדיין היה קשה לקבל שהסבא </w:t>
      </w:r>
      <w:proofErr w:type="spellStart"/>
      <w:r>
        <w:rPr>
          <w:rtl/>
        </w:rPr>
        <w:t>מסלבודקה</w:t>
      </w:r>
      <w:proofErr w:type="spellEnd"/>
      <w:r>
        <w:rPr>
          <w:rtl/>
        </w:rPr>
        <w:t xml:space="preserve">, הפיקח והחריף במיוחד, חש כפי שחש ר׳ לייזר גורדון – עד שנמצא דבר שאמר הסבא על ר׳ </w:t>
      </w:r>
      <w:proofErr w:type="spellStart"/>
      <w:r>
        <w:rPr>
          <w:rtl/>
        </w:rPr>
        <w:t>חיים־עוזר</w:t>
      </w:r>
      <w:proofErr w:type="spellEnd"/>
      <w:r>
        <w:rPr>
          <w:rtl/>
        </w:rPr>
        <w:t>:</w:t>
      </w:r>
      <w:bookmarkStart w:id="2638" w:name="_fnr1779"/>
      <w:r>
        <w:rPr>
          <w:rStyle w:val="a5"/>
        </w:rPr>
        <w:footnoteReference w:id="1783" w:customMarkFollows="0"/>
      </w:r>
      <w:bookmarkEnd w:id="2638"/>
      <w:r>
        <w:rPr>
          <w:rtl/>
        </w:rPr>
        <w:t xml:space="preserve"> “אין בדומה לו”, אמר.</w:t>
      </w:r>
      <w:bookmarkStart w:id="2639" w:name="_fnr1780"/>
      <w:r>
        <w:rPr>
          <w:rStyle w:val="a5"/>
        </w:rPr>
        <w:footnoteReference w:id="1784" w:customMarkFollows="0"/>
      </w:r>
      <w:bookmarkEnd w:id="2639"/>
    </w:p>
    <w:p w14:paraId="2FA1BC96" w14:textId="77777777" w:rsidR="00AB3647" w:rsidRDefault="00000000" w:rsidP="007923E9">
      <w:pPr>
        <w:spacing w:after="120" w:line="276" w:lineRule="auto"/>
        <w:ind w:firstLine="283"/>
        <w:jc w:val="both"/>
      </w:pPr>
      <w:r>
        <w:rPr>
          <w:rtl/>
        </w:rPr>
        <w:t xml:space="preserve">בנוגע להישענות הסבא על עצת ר׳ חיים </w:t>
      </w:r>
      <w:proofErr w:type="spellStart"/>
      <w:r>
        <w:rPr>
          <w:rtl/>
        </w:rPr>
        <w:t>סולובייצ׳יק</w:t>
      </w:r>
      <w:proofErr w:type="spellEnd"/>
      <w:r>
        <w:rPr>
          <w:rtl/>
        </w:rPr>
        <w:t xml:space="preserve"> בענייני ישיבות, יש לתת את הדעת על המעשה הבא, שסיפר ר׳ נפתלי </w:t>
      </w:r>
      <w:proofErr w:type="spellStart"/>
      <w:r>
        <w:rPr>
          <w:rtl/>
        </w:rPr>
        <w:t>חינסקי</w:t>
      </w:r>
      <w:bookmarkStart w:id="2640" w:name="_fnr1781"/>
      <w:proofErr w:type="spellEnd"/>
      <w:r>
        <w:rPr>
          <w:rStyle w:val="a5"/>
        </w:rPr>
        <w:footnoteReference w:id="1785" w:customMarkFollows="0"/>
      </w:r>
      <w:bookmarkEnd w:id="2640"/>
      <w:r>
        <w:rPr>
          <w:rtl/>
        </w:rPr>
        <w:t xml:space="preserve"> ואישר תלמידו של ר׳ </w:t>
      </w:r>
      <w:proofErr w:type="spellStart"/>
      <w:r>
        <w:rPr>
          <w:rtl/>
        </w:rPr>
        <w:t>איסר־זלמן</w:t>
      </w:r>
      <w:proofErr w:type="spellEnd"/>
      <w:r>
        <w:rPr>
          <w:rtl/>
        </w:rPr>
        <w:t xml:space="preserve"> מלצר, ר׳ יצחק </w:t>
      </w:r>
      <w:proofErr w:type="spellStart"/>
      <w:r>
        <w:rPr>
          <w:rtl/>
        </w:rPr>
        <w:t>זלזניק</w:t>
      </w:r>
      <w:proofErr w:type="spellEnd"/>
      <w:r>
        <w:rPr>
          <w:rtl/>
        </w:rPr>
        <w:t>.</w:t>
      </w:r>
      <w:bookmarkStart w:id="2641" w:name="_fnr1782"/>
      <w:r>
        <w:rPr>
          <w:rStyle w:val="a5"/>
        </w:rPr>
        <w:footnoteReference w:id="1786" w:customMarkFollows="0"/>
      </w:r>
      <w:bookmarkEnd w:id="2641"/>
      <w:r>
        <w:rPr>
          <w:rtl/>
        </w:rPr>
        <w:t xml:space="preserve"> ר׳ פסח </w:t>
      </w:r>
      <w:proofErr w:type="spellStart"/>
      <w:r>
        <w:rPr>
          <w:rtl/>
        </w:rPr>
        <w:t>פרוסקין</w:t>
      </w:r>
      <w:proofErr w:type="spellEnd"/>
      <w:r>
        <w:rPr>
          <w:rtl/>
        </w:rPr>
        <w:t xml:space="preserve"> היה אחד </w:t>
      </w:r>
      <w:proofErr w:type="spellStart"/>
      <w:r>
        <w:rPr>
          <w:rtl/>
        </w:rPr>
        <w:t>מארבעה־עשר</w:t>
      </w:r>
      <w:proofErr w:type="spellEnd"/>
      <w:r>
        <w:rPr>
          <w:rtl/>
        </w:rPr>
        <w:t xml:space="preserve"> התלמידים שנשלחו </w:t>
      </w:r>
      <w:proofErr w:type="spellStart"/>
      <w:r>
        <w:rPr>
          <w:rtl/>
        </w:rPr>
        <w:t>לסלוצק</w:t>
      </w:r>
      <w:proofErr w:type="spellEnd"/>
      <w:r>
        <w:rPr>
          <w:rtl/>
        </w:rPr>
        <w:t xml:space="preserve"> עם ר׳ </w:t>
      </w:r>
      <w:proofErr w:type="spellStart"/>
      <w:r>
        <w:rPr>
          <w:rtl/>
        </w:rPr>
        <w:t>איסר־זלמן</w:t>
      </w:r>
      <w:proofErr w:type="spellEnd"/>
      <w:r>
        <w:rPr>
          <w:rtl/>
        </w:rPr>
        <w:t>,</w:t>
      </w:r>
      <w:bookmarkStart w:id="2642" w:name="_fnr1783"/>
      <w:r>
        <w:rPr>
          <w:rStyle w:val="a5"/>
        </w:rPr>
        <w:footnoteReference w:id="1787" w:customMarkFollows="0"/>
      </w:r>
      <w:bookmarkEnd w:id="2642"/>
      <w:r>
        <w:rPr>
          <w:rtl/>
        </w:rPr>
        <w:t xml:space="preserve"> ובאותה עת היה לדעתו של ר׳ </w:t>
      </w:r>
      <w:proofErr w:type="spellStart"/>
      <w:r>
        <w:rPr>
          <w:rtl/>
        </w:rPr>
        <w:t>איסר־זלמן</w:t>
      </w:r>
      <w:bookmarkStart w:id="2643" w:name="_fnr1784"/>
      <w:proofErr w:type="spellEnd"/>
      <w:r>
        <w:rPr>
          <w:rStyle w:val="a5"/>
        </w:rPr>
        <w:footnoteReference w:id="1788" w:customMarkFollows="0"/>
      </w:r>
      <w:bookmarkEnd w:id="2643"/>
      <w:r>
        <w:rPr>
          <w:rtl/>
        </w:rPr>
        <w:t xml:space="preserve"> בעל כישרון בינוני. אבל הוא מונה “לדבר בלימוד” עם התלמידים החדשים, שהצטרפו לישיבה אחרי שהקבוצה הראשונה ייסדה אותה, ולהיות משגיח עליהם, ובעקבות זאת התקדם הרב </w:t>
      </w:r>
      <w:proofErr w:type="spellStart"/>
      <w:r>
        <w:rPr>
          <w:rtl/>
        </w:rPr>
        <w:t>פרוסקין</w:t>
      </w:r>
      <w:proofErr w:type="spellEnd"/>
      <w:r>
        <w:rPr>
          <w:rtl/>
        </w:rPr>
        <w:t xml:space="preserve"> בתורה התקדמות גדולה. בלי שהוזמן לכך התחיל למסור חבורות לבחורים, והדבר לא מצא חן כלל בעיני ר׳ </w:t>
      </w:r>
      <w:proofErr w:type="spellStart"/>
      <w:r>
        <w:rPr>
          <w:rtl/>
        </w:rPr>
        <w:t>איסר־זלמן</w:t>
      </w:r>
      <w:proofErr w:type="spellEnd"/>
      <w:r>
        <w:rPr>
          <w:rtl/>
        </w:rPr>
        <w:t>.</w:t>
      </w:r>
    </w:p>
    <w:p w14:paraId="6ACC9337" w14:textId="77777777" w:rsidR="00AB3647" w:rsidRDefault="00000000" w:rsidP="007923E9">
      <w:pPr>
        <w:spacing w:after="120" w:line="276" w:lineRule="auto"/>
        <w:ind w:firstLine="283"/>
        <w:jc w:val="both"/>
      </w:pPr>
      <w:r>
        <w:rPr>
          <w:rtl/>
        </w:rPr>
        <w:t xml:space="preserve">ר׳ פסח דן בעניין עם ר׳ חיים </w:t>
      </w:r>
      <w:proofErr w:type="spellStart"/>
      <w:r>
        <w:rPr>
          <w:rtl/>
        </w:rPr>
        <w:t>סולובייצ׳יק</w:t>
      </w:r>
      <w:proofErr w:type="spellEnd"/>
      <w:r>
        <w:rPr>
          <w:rtl/>
        </w:rPr>
        <w:t xml:space="preserve">, והלה פסק שהרב </w:t>
      </w:r>
      <w:proofErr w:type="spellStart"/>
      <w:r>
        <w:rPr>
          <w:rtl/>
        </w:rPr>
        <w:t>פרוסקין</w:t>
      </w:r>
      <w:proofErr w:type="spellEnd"/>
      <w:r>
        <w:rPr>
          <w:rtl/>
        </w:rPr>
        <w:t xml:space="preserve"> רשאי לעשות את שהוא עושה. אבל ר׳ </w:t>
      </w:r>
      <w:proofErr w:type="spellStart"/>
      <w:r>
        <w:rPr>
          <w:rtl/>
        </w:rPr>
        <w:t>איסר־זלמן</w:t>
      </w:r>
      <w:proofErr w:type="spellEnd"/>
      <w:r>
        <w:rPr>
          <w:rtl/>
        </w:rPr>
        <w:t xml:space="preserve"> אמר: “ר׳ חיים הוא רבי, אבל ‘הלכות ישיבה’ הן ‘שולחן ערוך’ נפרד, שבו הסבא </w:t>
      </w:r>
      <w:proofErr w:type="spellStart"/>
      <w:r>
        <w:rPr>
          <w:rtl/>
        </w:rPr>
        <w:t>מסלבודקה</w:t>
      </w:r>
      <w:proofErr w:type="spellEnd"/>
      <w:r>
        <w:rPr>
          <w:rtl/>
        </w:rPr>
        <w:t xml:space="preserve">, ולא ר׳ חיים </w:t>
      </w:r>
      <w:proofErr w:type="spellStart"/>
      <w:r>
        <w:rPr>
          <w:rtl/>
        </w:rPr>
        <w:t>מבריסק</w:t>
      </w:r>
      <w:proofErr w:type="spellEnd"/>
      <w:r>
        <w:rPr>
          <w:rtl/>
        </w:rPr>
        <w:t xml:space="preserve">, הוא פוסק הדור”. הוא שאל את הסבא </w:t>
      </w:r>
      <w:proofErr w:type="spellStart"/>
      <w:r>
        <w:rPr>
          <w:rtl/>
        </w:rPr>
        <w:t>מסלבודקה</w:t>
      </w:r>
      <w:proofErr w:type="spellEnd"/>
      <w:r>
        <w:rPr>
          <w:rtl/>
        </w:rPr>
        <w:t xml:space="preserve"> מה לעשות, והלה פסק שיש לתת </w:t>
      </w:r>
      <w:proofErr w:type="spellStart"/>
      <w:r>
        <w:rPr>
          <w:rtl/>
        </w:rPr>
        <w:t>לר</w:t>
      </w:r>
      <w:proofErr w:type="spellEnd"/>
      <w:r>
        <w:rPr>
          <w:rtl/>
        </w:rPr>
        <w:t>׳ פסח כמה בחורים ולשלחו להקים ישיבה משלו.</w:t>
      </w:r>
      <w:bookmarkStart w:id="2644" w:name="_fnr1785"/>
      <w:r>
        <w:rPr>
          <w:rStyle w:val="a5"/>
        </w:rPr>
        <w:footnoteReference w:id="1789" w:customMarkFollows="0"/>
      </w:r>
      <w:bookmarkEnd w:id="2644"/>
    </w:p>
    <w:p w14:paraId="4538A52F" w14:textId="4CAFC286" w:rsidR="00AB3647" w:rsidRDefault="00000000" w:rsidP="007923E9">
      <w:pPr>
        <w:spacing w:after="120" w:line="276" w:lineRule="auto"/>
        <w:ind w:firstLine="283"/>
        <w:jc w:val="both"/>
      </w:pPr>
      <w:r>
        <w:rPr>
          <w:rtl/>
        </w:rPr>
        <w:t xml:space="preserve">מגבלותיו של ר׳ חיים בהערכת ישיבות ניכרות בהמלצתו </w:t>
      </w:r>
      <w:proofErr w:type="spellStart"/>
      <w:r>
        <w:rPr>
          <w:rtl/>
        </w:rPr>
        <w:t>לר</w:t>
      </w:r>
      <w:proofErr w:type="spellEnd"/>
      <w:r>
        <w:rPr>
          <w:rtl/>
        </w:rPr>
        <w:t xml:space="preserve">׳ </w:t>
      </w:r>
      <w:proofErr w:type="spellStart"/>
      <w:r>
        <w:rPr>
          <w:rtl/>
        </w:rPr>
        <w:t>איצל׳ה</w:t>
      </w:r>
      <w:proofErr w:type="spellEnd"/>
      <w:r>
        <w:rPr>
          <w:rtl/>
        </w:rPr>
        <w:t xml:space="preserve"> </w:t>
      </w:r>
      <w:proofErr w:type="spellStart"/>
      <w:r>
        <w:rPr>
          <w:rtl/>
        </w:rPr>
        <w:t>פוניבז׳ער</w:t>
      </w:r>
      <w:proofErr w:type="spellEnd"/>
      <w:r>
        <w:rPr>
          <w:rtl/>
        </w:rPr>
        <w:t xml:space="preserve"> – אותו חכם גדול שעליו המליץ אביו עשרים ושתיים שנה קודם לכן – להקים קיבוץ תלמידים בשנת תר״ע. גדול ככל שהיה ר׳ </w:t>
      </w:r>
      <w:proofErr w:type="spellStart"/>
      <w:r>
        <w:rPr>
          <w:rtl/>
        </w:rPr>
        <w:t>איצל׳ה</w:t>
      </w:r>
      <w:proofErr w:type="spellEnd"/>
      <w:r>
        <w:rPr>
          <w:rtl/>
        </w:rPr>
        <w:t xml:space="preserve"> כמגיד שיעור, הוא לא היה מסוגל לנהל ישיבה מבחינה חינוכית. הדבר מתברר ממאמרו של </w:t>
      </w:r>
      <w:proofErr w:type="spellStart"/>
      <w:r>
        <w:rPr>
          <w:rtl/>
        </w:rPr>
        <w:t>ריבקינד</w:t>
      </w:r>
      <w:proofErr w:type="spellEnd"/>
      <w:r>
        <w:rPr>
          <w:rtl/>
        </w:rPr>
        <w:t xml:space="preserve"> המובא בפרק 4, הפסקה הראשונה ב</w:t>
      </w:r>
      <w:r>
        <w:rPr>
          <w:rtl/>
        </w:rPr>
        <w:fldChar w:fldCharType="begin" w:dirty="true"/>
      </w:r>
      <w:r>
        <w:rPr>
          <w:rtl/>
        </w:rPr>
        <w:instrText xml:space="preserve"> REF b4_excM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יג</w:t>
      </w:r>
      <w:proofErr w:type="spellEnd"/>
      <w:r>
        <w:rPr>
          <w:rtl/>
        </w:rPr>
        <w:fldChar w:fldCharType="end"/>
      </w:r>
      <w:r>
        <w:rPr>
          <w:rtl/>
        </w:rPr>
        <w:t xml:space="preserve">, וממה שנאמר בתחילת </w:t>
      </w:r>
      <w:r>
        <w:rPr>
          <w:rtl/>
        </w:rPr>
        <w:fldChar w:fldCharType="begin" w:dirty="true"/>
      </w:r>
      <w:r>
        <w:rPr>
          <w:rtl/>
        </w:rPr>
        <w:instrText xml:space="preserve"> REF b3_excI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xml:space="preserve"> להלן. השווה גם פרק 4, סוף הפסקה הראשונה ב</w:t>
      </w:r>
      <w:r>
        <w:rPr>
          <w:rtl/>
        </w:rPr>
        <w:fldChar w:fldCharType="begin" w:dirty="true"/>
      </w:r>
      <w:r>
        <w:rPr>
          <w:rtl/>
        </w:rPr>
        <w:instrText xml:space="preserve"> REF b4_excM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יג</w:t>
      </w:r>
      <w:proofErr w:type="spellEnd"/>
      <w:r>
        <w:rPr>
          <w:rtl/>
        </w:rPr>
        <w:fldChar w:fldCharType="end"/>
      </w:r>
      <w:r>
        <w:rPr>
          <w:rtl/>
        </w:rPr>
        <w:t xml:space="preserve">, על מידת כישלונו של הקיבוץ להעמיד בני תורה: רק שניים מן התלמידים נשארו נאמנים לתורה </w:t>
      </w:r>
      <w:r>
        <w:rPr>
          <w:rtl/>
        </w:rPr>
        <w:lastRenderedPageBreak/>
        <w:t xml:space="preserve">– ר׳ ברוך </w:t>
      </w:r>
      <w:proofErr w:type="spellStart"/>
      <w:r>
        <w:rPr>
          <w:rtl/>
        </w:rPr>
        <w:t>פייבלזון</w:t>
      </w:r>
      <w:proofErr w:type="spellEnd"/>
      <w:r>
        <w:rPr>
          <w:rtl/>
        </w:rPr>
        <w:t xml:space="preserve">, חתנו של ר׳ נפתלי </w:t>
      </w:r>
      <w:proofErr w:type="spellStart"/>
      <w:r>
        <w:rPr>
          <w:rtl/>
        </w:rPr>
        <w:t>טרופ</w:t>
      </w:r>
      <w:proofErr w:type="spellEnd"/>
      <w:r>
        <w:rPr>
          <w:rtl/>
        </w:rPr>
        <w:t xml:space="preserve"> וממלא מקומו </w:t>
      </w:r>
      <w:proofErr w:type="spellStart"/>
      <w:r>
        <w:rPr>
          <w:rtl/>
        </w:rPr>
        <w:t>בראדין</w:t>
      </w:r>
      <w:proofErr w:type="spellEnd"/>
      <w:r>
        <w:rPr>
          <w:rtl/>
        </w:rPr>
        <w:t xml:space="preserve">, ור׳ אליעזר </w:t>
      </w:r>
      <w:proofErr w:type="spellStart"/>
      <w:r>
        <w:rPr>
          <w:rtl/>
        </w:rPr>
        <w:t>קירזנר</w:t>
      </w:r>
      <w:proofErr w:type="spellEnd"/>
      <w:r>
        <w:rPr>
          <w:rtl/>
        </w:rPr>
        <w:t xml:space="preserve">, העילוי </w:t>
      </w:r>
      <w:proofErr w:type="spellStart"/>
      <w:r>
        <w:rPr>
          <w:rtl/>
        </w:rPr>
        <w:t>מאניקשט</w:t>
      </w:r>
      <w:proofErr w:type="spellEnd"/>
      <w:r>
        <w:rPr>
          <w:rtl/>
        </w:rPr>
        <w:t xml:space="preserve">. הרב </w:t>
      </w:r>
      <w:proofErr w:type="spellStart"/>
      <w:r>
        <w:rPr>
          <w:rtl/>
        </w:rPr>
        <w:t>קירזנר</w:t>
      </w:r>
      <w:proofErr w:type="spellEnd"/>
      <w:r>
        <w:rPr>
          <w:rtl/>
        </w:rPr>
        <w:t xml:space="preserve"> שימש ברבנות באנגליה ובדרום אפריקה, ולבסוף, משנת תשי״ב, בארצות הברית, בשכונת בורו פארק שבברוקלין. הוא נפטר בשנת תש״נ בגיל תשעים וחמש.</w:t>
      </w:r>
    </w:p>
    <w:p w14:paraId="2925CDD3" w14:textId="0DC66DB1" w:rsidR="00AB3647" w:rsidRDefault="00000000" w:rsidP="007923E9">
      <w:pPr>
        <w:spacing w:after="120" w:line="276" w:lineRule="auto"/>
        <w:ind w:firstLine="283"/>
        <w:jc w:val="both"/>
      </w:pPr>
      <w:r>
        <w:rPr>
          <w:rtl/>
        </w:rPr>
        <w:t>השווה גם פרק 4, הפסקה השישית ב</w:t>
      </w:r>
      <w:r>
        <w:rPr>
          <w:rtl/>
        </w:rPr>
        <w:fldChar w:fldCharType="begin" w:dirty="true"/>
      </w:r>
      <w:r>
        <w:rPr>
          <w:rtl/>
        </w:rPr>
        <w:instrText xml:space="preserve"> REF b4_excI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xml:space="preserve">, שבה אני מסיק שר׳ חיים התעניין רק בתלמידים המשתוקקים ללמוד תורה, ולא נתן את דעתו על אלה שעדיין צריך היה למשוך את לבם להערכת התורה. נראה שר׳ חיים, כמו המלמד המעולה האחר, ר׳ </w:t>
      </w:r>
      <w:proofErr w:type="spellStart"/>
      <w:r>
        <w:rPr>
          <w:rtl/>
        </w:rPr>
        <w:t>איצל׳ה</w:t>
      </w:r>
      <w:proofErr w:type="spellEnd"/>
      <w:r>
        <w:rPr>
          <w:rtl/>
        </w:rPr>
        <w:t xml:space="preserve"> </w:t>
      </w:r>
      <w:proofErr w:type="spellStart"/>
      <w:r>
        <w:rPr>
          <w:rtl/>
        </w:rPr>
        <w:t>פוניבז׳ער</w:t>
      </w:r>
      <w:proofErr w:type="spellEnd"/>
      <w:r>
        <w:rPr>
          <w:rtl/>
        </w:rPr>
        <w:t>, היה מחנך חלש.</w:t>
      </w:r>
      <w:bookmarkStart w:id="2645" w:name="_fnr1786"/>
      <w:r>
        <w:rPr>
          <w:rStyle w:val="a5"/>
        </w:rPr>
        <w:footnoteReference w:id="1790" w:customMarkFollows="0"/>
      </w:r>
      <w:bookmarkEnd w:id="2645"/>
    </w:p>
    <w:p w14:paraId="2A55D1A6" w14:textId="106ADF11" w:rsidR="00AB3647" w:rsidRDefault="00000000" w:rsidP="007923E9">
      <w:pPr>
        <w:spacing w:after="120" w:line="276" w:lineRule="auto"/>
        <w:ind w:firstLine="283"/>
        <w:jc w:val="both"/>
      </w:pPr>
      <w:r>
        <w:rPr>
          <w:rtl/>
        </w:rPr>
        <w:t xml:space="preserve">חתני ר׳ מאיר </w:t>
      </w:r>
      <w:proofErr w:type="spellStart"/>
      <w:r>
        <w:rPr>
          <w:rtl/>
        </w:rPr>
        <w:t>טריביץ</w:t>
      </w:r>
      <w:proofErr w:type="spellEnd"/>
      <w:r>
        <w:rPr>
          <w:rtl/>
        </w:rPr>
        <w:t xml:space="preserve"> מסר</w:t>
      </w:r>
      <w:bookmarkStart w:id="2646" w:name="_fnr1787"/>
      <w:r>
        <w:rPr>
          <w:rStyle w:val="a5"/>
        </w:rPr>
        <w:footnoteReference w:id="1791" w:customMarkFollows="0"/>
      </w:r>
      <w:bookmarkEnd w:id="2646"/>
      <w:r>
        <w:rPr>
          <w:rtl/>
        </w:rPr>
        <w:t xml:space="preserve"> ששמע מר׳ יעקב </w:t>
      </w:r>
      <w:proofErr w:type="spellStart"/>
      <w:r>
        <w:rPr>
          <w:rtl/>
        </w:rPr>
        <w:t>יופן</w:t>
      </w:r>
      <w:proofErr w:type="spellEnd"/>
      <w:r>
        <w:rPr>
          <w:rtl/>
        </w:rPr>
        <w:t xml:space="preserve"> שסבו של האחרון, ר׳ יוזל </w:t>
      </w:r>
      <w:proofErr w:type="spellStart"/>
      <w:r>
        <w:rPr>
          <w:rtl/>
        </w:rPr>
        <w:t>הורוויץ</w:t>
      </w:r>
      <w:proofErr w:type="spellEnd"/>
      <w:r>
        <w:rPr>
          <w:rtl/>
        </w:rPr>
        <w:t xml:space="preserve">, חלק על ר׳ חיים בשאלה למי צריך אדם להקדיש עמל רב יותר בהוראה – לילדיו או לתלמידיו. ר׳ חיים סבר שילדיו קודמים (ועי׳ רמב״ם ריש הל׳ ת״ת), והרב </w:t>
      </w:r>
      <w:proofErr w:type="spellStart"/>
      <w:r>
        <w:rPr>
          <w:rtl/>
        </w:rPr>
        <w:t>הורוויץ</w:t>
      </w:r>
      <w:proofErr w:type="spellEnd"/>
      <w:r>
        <w:rPr>
          <w:rtl/>
        </w:rPr>
        <w:t xml:space="preserve"> סבר אחרת. אנו יודעים שגם הסבא </w:t>
      </w:r>
      <w:proofErr w:type="spellStart"/>
      <w:r>
        <w:rPr>
          <w:rtl/>
        </w:rPr>
        <w:t>מסלבודקה</w:t>
      </w:r>
      <w:proofErr w:type="spellEnd"/>
      <w:r>
        <w:rPr>
          <w:rtl/>
        </w:rPr>
        <w:t xml:space="preserve"> חלק על ר׳ חיים בעניין זה, כמבואר בפרק 4, </w:t>
      </w:r>
      <w:r>
        <w:rPr>
          <w:rtl/>
        </w:rPr>
        <w:fldChar w:fldCharType="begin" w:dirty="true"/>
      </w:r>
      <w:r>
        <w:rPr>
          <w:rtl/>
        </w:rPr>
        <w:instrText xml:space="preserve"> REF b4_excC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ג</w:t>
      </w:r>
      <w:r>
        <w:rPr>
          <w:rtl/>
        </w:rPr>
        <w:fldChar w:fldCharType="end"/>
      </w:r>
      <w:r>
        <w:rPr>
          <w:rtl/>
        </w:rPr>
        <w:t>. אולי מפני שבעלי המוסר הציעו דרך חדשה יחסית ביהדות, הם הקדישו את עצמם לחינוך ולא רק להוראה, והשקיעו את מאמציהם במעגל הרחב של התלמידים יותר מאשר במעגל המשפחתי המצומצם.</w:t>
      </w:r>
    </w:p>
    <w:bookmarkStart w:id="2647" w:name="b3_excI"/>
    <w:p w14:paraId="39589769" w14:textId="77777777" w:rsidR="00AB3647" w:rsidRDefault="00000000" w:rsidP="007923E9">
      <w:pPr>
        <w:pStyle w:val="3"/>
        <w:spacing w:line="276" w:lineRule="auto"/>
      </w:pPr>
      <w:r>
        <w:lastRenderedPageBreak/>
        <w:fldChar w:fldCharType="begin" w:dirty="true"/>
      </w:r>
      <w:r>
        <w:rPr>
          <w:rtl w:val="0"/>
        </w:rPr>
        <w:instrText>HYPERLINK \l "b3_note32</w:instrText>
      </w:r>
      <w:r>
        <w:instrText>"</w:instrText>
      </w:r>
      <w:r>
        <w:fldChar w:fldCharType="separate"/>
      </w:r>
      <w:r>
        <w:t>נספח ט</w:t>
      </w:r>
      <w:r>
        <w:fldChar w:fldCharType="end"/>
      </w:r>
      <w:bookmarkEnd w:id="2647"/>
    </w:p>
    <w:p w14:paraId="16B56346" w14:textId="77777777" w:rsidR="00AB3647" w:rsidRDefault="00000000" w:rsidP="007923E9">
      <w:pPr>
        <w:pStyle w:val="af"/>
        <w:spacing w:line="276" w:lineRule="auto"/>
      </w:pPr>
      <w:r>
        <w:t xml:space="preserve">על ר׳ </w:t>
      </w:r>
      <w:proofErr w:type="spellStart"/>
      <w:r>
        <w:t>איצל׳ה</w:t>
      </w:r>
      <w:proofErr w:type="spellEnd"/>
      <w:r>
        <w:t xml:space="preserve"> </w:t>
      </w:r>
      <w:proofErr w:type="spellStart"/>
      <w:r>
        <w:t>רבינוביץ</w:t>
      </w:r>
      <w:proofErr w:type="spellEnd"/>
      <w:r>
        <w:t xml:space="preserve"> </w:t>
      </w:r>
      <w:proofErr w:type="spellStart"/>
      <w:r>
        <w:t>בגורז׳ד</w:t>
      </w:r>
      <w:proofErr w:type="spellEnd"/>
      <w:r>
        <w:t xml:space="preserve">; על ר׳ לייזר גורדון המבקש לחזק את ישיבת </w:t>
      </w:r>
      <w:proofErr w:type="spellStart"/>
      <w:r>
        <w:t>טלז</w:t>
      </w:r>
      <w:proofErr w:type="spellEnd"/>
      <w:r>
        <w:t xml:space="preserve">; ועל יחסו של ר׳ </w:t>
      </w:r>
      <w:proofErr w:type="spellStart"/>
      <w:r>
        <w:t>ברוך־בער</w:t>
      </w:r>
      <w:proofErr w:type="spellEnd"/>
      <w:r>
        <w:t xml:space="preserve"> </w:t>
      </w:r>
      <w:proofErr w:type="spellStart"/>
      <w:r>
        <w:t>ליבוביץ</w:t>
      </w:r>
      <w:proofErr w:type="spellEnd"/>
      <w:r>
        <w:t xml:space="preserve"> לאביו </w:t>
      </w:r>
      <w:proofErr w:type="spellStart"/>
      <w:r>
        <w:t>ולר</w:t>
      </w:r>
      <w:proofErr w:type="spellEnd"/>
      <w:r>
        <w:t xml:space="preserve">׳ חיים </w:t>
      </w:r>
      <w:proofErr w:type="spellStart"/>
      <w:r>
        <w:t>סולובייצ׳יק</w:t>
      </w:r>
      <w:proofErr w:type="spellEnd"/>
    </w:p>
    <w:p w14:paraId="47AE3CE3" w14:textId="77777777" w:rsidR="00AB3647" w:rsidRDefault="00000000" w:rsidP="007923E9">
      <w:pPr>
        <w:pStyle w:val="5"/>
        <w:spacing w:line="276" w:lineRule="auto"/>
      </w:pPr>
      <w:r>
        <w:t xml:space="preserve">ר׳ </w:t>
      </w:r>
      <w:proofErr w:type="spellStart"/>
      <w:r>
        <w:t>איצל׳ה</w:t>
      </w:r>
      <w:proofErr w:type="spellEnd"/>
      <w:r>
        <w:t xml:space="preserve"> נעשה רב </w:t>
      </w:r>
      <w:proofErr w:type="spellStart"/>
      <w:r>
        <w:t>בגורז׳ד</w:t>
      </w:r>
      <w:proofErr w:type="spellEnd"/>
      <w:r>
        <w:t xml:space="preserve"> ואינו מצליח לקיים שם ישיבה ברמה גבוהה – ר׳ לייזר גורדון מוכן להעביר לאחרים את אצטלת ראש הישיבה – הוא מחפש מחליף </w:t>
      </w:r>
      <w:proofErr w:type="spellStart"/>
      <w:r>
        <w:t>לר</w:t>
      </w:r>
      <w:proofErr w:type="spellEnd"/>
      <w:r>
        <w:t xml:space="preserve">׳ שמעון </w:t>
      </w:r>
      <w:proofErr w:type="spellStart"/>
      <w:r>
        <w:t>שקופ</w:t>
      </w:r>
      <w:proofErr w:type="spellEnd"/>
      <w:r>
        <w:t xml:space="preserve"> – </w:t>
      </w:r>
      <w:proofErr w:type="spellStart"/>
      <w:r>
        <w:t>החפץ־חיים</w:t>
      </w:r>
      <w:proofErr w:type="spellEnd"/>
      <w:r>
        <w:t xml:space="preserve"> משקיט את ייסורי מצפונו של ר׳ </w:t>
      </w:r>
      <w:proofErr w:type="spellStart"/>
      <w:r>
        <w:t>ברוך־בער</w:t>
      </w:r>
      <w:proofErr w:type="spellEnd"/>
      <w:r>
        <w:t xml:space="preserve"> – ר׳ חיים </w:t>
      </w:r>
      <w:proofErr w:type="spellStart"/>
      <w:r>
        <w:t>סולובייצ׳יק</w:t>
      </w:r>
      <w:proofErr w:type="spellEnd"/>
      <w:r>
        <w:t xml:space="preserve"> מרגיש אשם במות אביו – הוא סובל מחרדה כשתינוק שסייע במילתו מת – הוא נמנע מלשמש סנדק – ר׳ </w:t>
      </w:r>
      <w:proofErr w:type="spellStart"/>
      <w:r>
        <w:t>ברוך־בער</w:t>
      </w:r>
      <w:proofErr w:type="spellEnd"/>
      <w:r>
        <w:t xml:space="preserve"> מגדיר את תורת רבו ר׳ חיים </w:t>
      </w:r>
      <w:proofErr w:type="spellStart"/>
      <w:r>
        <w:t>סולובייצ׳יק</w:t>
      </w:r>
      <w:proofErr w:type="spellEnd"/>
    </w:p>
    <w:p w14:paraId="02629CBF" w14:textId="6EFC58C1" w:rsidR="00AB3647" w:rsidRDefault="00000000" w:rsidP="007923E9">
      <w:pPr>
        <w:spacing w:after="120" w:line="276" w:lineRule="auto"/>
        <w:ind w:firstLine="283"/>
        <w:jc w:val="both"/>
      </w:pPr>
      <w:r>
        <w:rPr>
          <w:rtl/>
        </w:rPr>
        <w:t xml:space="preserve">אבי סיפר – לפי רשימות שרשם בעל נכדתו ר׳ נתן שטרן – שחיכוך דק בין ר׳ </w:t>
      </w:r>
      <w:proofErr w:type="spellStart"/>
      <w:r>
        <w:rPr>
          <w:rtl/>
        </w:rPr>
        <w:t>איצל׳ה</w:t>
      </w:r>
      <w:proofErr w:type="spellEnd"/>
      <w:r>
        <w:rPr>
          <w:rtl/>
        </w:rPr>
        <w:t xml:space="preserve"> </w:t>
      </w:r>
      <w:proofErr w:type="spellStart"/>
      <w:r>
        <w:rPr>
          <w:rtl/>
        </w:rPr>
        <w:t>רבינוביץ</w:t>
      </w:r>
      <w:proofErr w:type="spellEnd"/>
      <w:r>
        <w:rPr>
          <w:rtl/>
        </w:rPr>
        <w:t xml:space="preserve"> לבין הסבא החל להתפתח שנה אחרי מינויו של הראשון, מפני שהאחרון העדיף את התלמידים העוסקים במוסר על פני המצטיינים בלמדנות. אחרי שכיהן ר׳ </w:t>
      </w:r>
      <w:proofErr w:type="spellStart"/>
      <w:r>
        <w:rPr>
          <w:rtl/>
        </w:rPr>
        <w:t>איצל׳ה</w:t>
      </w:r>
      <w:proofErr w:type="spellEnd"/>
      <w:r>
        <w:rPr>
          <w:rtl/>
        </w:rPr>
        <w:t xml:space="preserve"> במשרתו יותר מארבע שנים, “הוציא הסבא את ר׳ </w:t>
      </w:r>
      <w:proofErr w:type="spellStart"/>
      <w:r>
        <w:rPr>
          <w:rtl/>
        </w:rPr>
        <w:t>איצל׳ה</w:t>
      </w:r>
      <w:proofErr w:type="spellEnd"/>
      <w:r>
        <w:rPr>
          <w:rtl/>
        </w:rPr>
        <w:t xml:space="preserve"> מן הישיבה בתחבולה”: הוא השיג לו את רבנות העיירה הליטאית העשירה </w:t>
      </w:r>
      <w:proofErr w:type="spellStart"/>
      <w:r>
        <w:rPr>
          <w:rtl/>
        </w:rPr>
        <w:t>גורז׳ד</w:t>
      </w:r>
      <w:proofErr w:type="spellEnd"/>
      <w:r>
        <w:rPr>
          <w:rtl/>
        </w:rPr>
        <w:t xml:space="preserve"> (סמוך לממל, שהייתה אז עיר נמל גרמנית), והרשה לו לקחת עמו עשרה מטובי תלמידי הישיבה שימשיכו ללמוד אצלו. ביניהם היו ר׳ ברוך </w:t>
      </w:r>
      <w:proofErr w:type="spellStart"/>
      <w:r>
        <w:rPr>
          <w:rtl/>
        </w:rPr>
        <w:t>אלקסוטער</w:t>
      </w:r>
      <w:proofErr w:type="spellEnd"/>
      <w:r>
        <w:rPr>
          <w:rtl/>
        </w:rPr>
        <w:t xml:space="preserve"> (</w:t>
      </w:r>
      <w:proofErr w:type="spellStart"/>
      <w:r>
        <w:rPr>
          <w:rtl/>
        </w:rPr>
        <w:t>הורוויץ</w:t>
      </w:r>
      <w:proofErr w:type="spellEnd"/>
      <w:r>
        <w:rPr>
          <w:rtl/>
        </w:rPr>
        <w:t xml:space="preserve">), לימים ראש ישיבה </w:t>
      </w:r>
      <w:proofErr w:type="spellStart"/>
      <w:r>
        <w:rPr>
          <w:rtl/>
        </w:rPr>
        <w:t>בסלבודקה</w:t>
      </w:r>
      <w:proofErr w:type="spellEnd"/>
      <w:r>
        <w:rPr>
          <w:rtl/>
        </w:rPr>
        <w:t xml:space="preserve">, ור׳ נפתלי </w:t>
      </w:r>
      <w:proofErr w:type="spellStart"/>
      <w:r>
        <w:rPr>
          <w:rtl/>
        </w:rPr>
        <w:t>טרופ</w:t>
      </w:r>
      <w:proofErr w:type="spellEnd"/>
      <w:r>
        <w:rPr>
          <w:rtl/>
        </w:rPr>
        <w:t xml:space="preserve">, לימים ראש ישיבה </w:t>
      </w:r>
      <w:proofErr w:type="spellStart"/>
      <w:r>
        <w:rPr>
          <w:rtl/>
        </w:rPr>
        <w:t>בראדין</w:t>
      </w:r>
      <w:proofErr w:type="spellEnd"/>
      <w:r>
        <w:rPr>
          <w:rtl/>
        </w:rPr>
        <w:t>.</w:t>
      </w:r>
      <w:bookmarkStart w:id="2648" w:name="_fnr1788"/>
      <w:r>
        <w:rPr>
          <w:rStyle w:val="a5"/>
        </w:rPr>
        <w:footnoteReference w:id="1792" w:customMarkFollows="0"/>
      </w:r>
      <w:bookmarkEnd w:id="2648"/>
      <w:r>
        <w:rPr>
          <w:rtl/>
        </w:rPr>
        <w:t xml:space="preserve"> (נראה שר׳ נפתלי נשלח </w:t>
      </w:r>
      <w:proofErr w:type="spellStart"/>
      <w:r>
        <w:rPr>
          <w:rtl/>
        </w:rPr>
        <w:t>לגורז׳ד</w:t>
      </w:r>
      <w:proofErr w:type="spellEnd"/>
      <w:r>
        <w:rPr>
          <w:rtl/>
        </w:rPr>
        <w:t xml:space="preserve"> אחרי שמתה ארוסתו, בת הסבא – כמסופר ב</w:t>
      </w:r>
      <w:r>
        <w:rPr>
          <w:rtl/>
        </w:rPr>
        <w:fldChar w:fldCharType="begin" w:dirty="true"/>
      </w:r>
      <w:r>
        <w:rPr>
          <w:rtl/>
        </w:rPr>
        <w:instrText xml:space="preserve"> REF b3_excW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כג</w:t>
      </w:r>
      <w:proofErr w:type="spellEnd"/>
      <w:r>
        <w:rPr>
          <w:rtl/>
        </w:rPr>
        <w:fldChar w:fldCharType="end"/>
      </w:r>
      <w:r>
        <w:rPr>
          <w:rtl/>
        </w:rPr>
        <w:t xml:space="preserve"> להלן.)</w:t>
      </w:r>
    </w:p>
    <w:p w14:paraId="1C23FB6B" w14:textId="77777777" w:rsidR="00AB3647" w:rsidRDefault="00000000" w:rsidP="007923E9">
      <w:pPr>
        <w:spacing w:after="120" w:line="276" w:lineRule="auto"/>
        <w:ind w:firstLine="283"/>
        <w:jc w:val="both"/>
      </w:pPr>
      <w:r>
        <w:rPr>
          <w:rtl/>
        </w:rPr>
        <w:t xml:space="preserve">ר׳ יצחק </w:t>
      </w:r>
      <w:proofErr w:type="spellStart"/>
      <w:r>
        <w:rPr>
          <w:rtl/>
        </w:rPr>
        <w:t>שורין</w:t>
      </w:r>
      <w:proofErr w:type="spellEnd"/>
      <w:r>
        <w:rPr>
          <w:rtl/>
        </w:rPr>
        <w:t xml:space="preserve"> סיפר</w:t>
      </w:r>
      <w:bookmarkStart w:id="2649" w:name="_fnr1789"/>
      <w:r>
        <w:rPr>
          <w:rStyle w:val="a5"/>
        </w:rPr>
        <w:footnoteReference w:id="1793" w:customMarkFollows="0"/>
      </w:r>
      <w:bookmarkEnd w:id="2649"/>
      <w:r>
        <w:rPr>
          <w:rtl/>
        </w:rPr>
        <w:t xml:space="preserve"> שאבי התבטא כך על הדרך המכובדת שבה שילח הסבא את ר׳ </w:t>
      </w:r>
      <w:proofErr w:type="spellStart"/>
      <w:r>
        <w:rPr>
          <w:rtl/>
        </w:rPr>
        <w:t>איצל׳ה</w:t>
      </w:r>
      <w:proofErr w:type="spellEnd"/>
      <w:r>
        <w:rPr>
          <w:rtl/>
        </w:rPr>
        <w:t>: “את שיעור גדלותו של אדם אפשר לשפוט לפי האופן שבו הוא משלח עובד. ובכל זאת,” הוסיף, “</w:t>
      </w:r>
      <w:proofErr w:type="spellStart"/>
      <w:r>
        <w:rPr>
          <w:rtl/>
        </w:rPr>
        <w:t>לר</w:t>
      </w:r>
      <w:proofErr w:type="spellEnd"/>
      <w:r>
        <w:rPr>
          <w:rtl/>
        </w:rPr>
        <w:t xml:space="preserve">׳ </w:t>
      </w:r>
      <w:proofErr w:type="spellStart"/>
      <w:r>
        <w:rPr>
          <w:rtl/>
        </w:rPr>
        <w:t>איצל׳ה</w:t>
      </w:r>
      <w:proofErr w:type="spellEnd"/>
      <w:r>
        <w:rPr>
          <w:rtl/>
        </w:rPr>
        <w:t xml:space="preserve"> היו אחר כך טענות.” אף ששיעוריו של ר׳ </w:t>
      </w:r>
      <w:proofErr w:type="spellStart"/>
      <w:r>
        <w:rPr>
          <w:rtl/>
        </w:rPr>
        <w:t>איצל׳ה</w:t>
      </w:r>
      <w:proofErr w:type="spellEnd"/>
      <w:r>
        <w:rPr>
          <w:rtl/>
        </w:rPr>
        <w:t xml:space="preserve"> היו מעולים, לא עלה בידו למנוע מן התלמידים לחזור </w:t>
      </w:r>
      <w:proofErr w:type="spellStart"/>
      <w:r>
        <w:rPr>
          <w:rtl/>
        </w:rPr>
        <w:t>לסלבודקה</w:t>
      </w:r>
      <w:proofErr w:type="spellEnd"/>
      <w:r>
        <w:rPr>
          <w:rtl/>
        </w:rPr>
        <w:t xml:space="preserve"> בתוך שנה.</w:t>
      </w:r>
      <w:bookmarkStart w:id="2650" w:name="_fnr1790"/>
      <w:r>
        <w:rPr>
          <w:rStyle w:val="a5"/>
        </w:rPr>
        <w:footnoteReference w:id="1794" w:customMarkFollows="0"/>
      </w:r>
      <w:bookmarkEnd w:id="2650"/>
      <w:r>
        <w:rPr>
          <w:rtl/>
        </w:rPr>
        <w:t xml:space="preserve"> אחרי שנה וחצי </w:t>
      </w:r>
      <w:proofErr w:type="spellStart"/>
      <w:r>
        <w:rPr>
          <w:rtl/>
        </w:rPr>
        <w:t>בגורז׳ד</w:t>
      </w:r>
      <w:proofErr w:type="spellEnd"/>
      <w:r>
        <w:rPr>
          <w:rtl/>
        </w:rPr>
        <w:t xml:space="preserve"> נעשה ר׳ </w:t>
      </w:r>
      <w:proofErr w:type="spellStart"/>
      <w:r>
        <w:rPr>
          <w:rtl/>
        </w:rPr>
        <w:t>איצל׳ה</w:t>
      </w:r>
      <w:proofErr w:type="spellEnd"/>
      <w:r>
        <w:rPr>
          <w:rtl/>
        </w:rPr>
        <w:t xml:space="preserve"> רב </w:t>
      </w:r>
      <w:proofErr w:type="spellStart"/>
      <w:r>
        <w:rPr>
          <w:rtl/>
        </w:rPr>
        <w:t>פוניבז</w:t>
      </w:r>
      <w:proofErr w:type="spellEnd"/>
      <w:r>
        <w:rPr>
          <w:rtl/>
        </w:rPr>
        <w:t xml:space="preserve">׳, ושמו נקשר לעולם בעיר זו. אבי אמר בריאיון המוקלט על הסבא </w:t>
      </w:r>
      <w:proofErr w:type="spellStart"/>
      <w:r>
        <w:rPr>
          <w:rtl/>
        </w:rPr>
        <w:t>מסלבודקה</w:t>
      </w:r>
      <w:proofErr w:type="spellEnd"/>
      <w:r>
        <w:rPr>
          <w:rtl/>
        </w:rPr>
        <w:t>: “</w:t>
      </w:r>
      <w:proofErr w:type="spellStart"/>
      <w:r>
        <w:rPr>
          <w:rtl/>
        </w:rPr>
        <w:t>לר</w:t>
      </w:r>
      <w:proofErr w:type="spellEnd"/>
      <w:r>
        <w:rPr>
          <w:rtl/>
        </w:rPr>
        <w:t xml:space="preserve">׳ </w:t>
      </w:r>
      <w:proofErr w:type="spellStart"/>
      <w:r>
        <w:rPr>
          <w:rtl/>
        </w:rPr>
        <w:t>איצל׳ה</w:t>
      </w:r>
      <w:proofErr w:type="spellEnd"/>
      <w:r>
        <w:rPr>
          <w:rtl/>
        </w:rPr>
        <w:t xml:space="preserve"> לא היו הליכות של רב כלל: הוא היה ראש ישיבה מלידה, לא רב.”</w:t>
      </w:r>
    </w:p>
    <w:p w14:paraId="2B70FBE9" w14:textId="77777777" w:rsidR="00AB3647" w:rsidRDefault="00000000" w:rsidP="007923E9">
      <w:pPr>
        <w:spacing w:after="120" w:line="276" w:lineRule="auto"/>
        <w:ind w:firstLine="283"/>
        <w:jc w:val="both"/>
      </w:pPr>
      <w:r>
        <w:rPr>
          <w:rtl/>
        </w:rPr>
        <w:t xml:space="preserve">“תנועת המוסר”, </w:t>
      </w:r>
      <w:proofErr w:type="spellStart"/>
      <w:r>
        <w:rPr>
          <w:rtl/>
        </w:rPr>
        <w:t>ח״ה</w:t>
      </w:r>
      <w:proofErr w:type="spellEnd"/>
      <w:r>
        <w:rPr>
          <w:rtl/>
        </w:rPr>
        <w:t xml:space="preserve">, מאת הרב דב </w:t>
      </w:r>
      <w:proofErr w:type="spellStart"/>
      <w:r>
        <w:rPr>
          <w:rtl/>
        </w:rPr>
        <w:t>כ״ץ</w:t>
      </w:r>
      <w:proofErr w:type="spellEnd"/>
      <w:r>
        <w:rPr>
          <w:rtl/>
        </w:rPr>
        <w:t>,</w:t>
      </w:r>
      <w:bookmarkStart w:id="2651" w:name="_fnr1791"/>
      <w:r>
        <w:rPr>
          <w:rStyle w:val="a5"/>
        </w:rPr>
        <w:footnoteReference w:id="1795" w:customMarkFollows="0"/>
      </w:r>
      <w:bookmarkEnd w:id="2651"/>
      <w:r>
        <w:rPr>
          <w:rtl/>
        </w:rPr>
        <w:t xml:space="preserve"> מביא בשם רבה האחרון של </w:t>
      </w:r>
      <w:proofErr w:type="spellStart"/>
      <w:r>
        <w:rPr>
          <w:rtl/>
        </w:rPr>
        <w:t>פוניבז</w:t>
      </w:r>
      <w:proofErr w:type="spellEnd"/>
      <w:r>
        <w:rPr>
          <w:rtl/>
        </w:rPr>
        <w:t xml:space="preserve">׳, ר׳ </w:t>
      </w:r>
      <w:proofErr w:type="spellStart"/>
      <w:r>
        <w:rPr>
          <w:rtl/>
        </w:rPr>
        <w:t>יוסף־שלמה</w:t>
      </w:r>
      <w:proofErr w:type="spellEnd"/>
      <w:r>
        <w:rPr>
          <w:rtl/>
        </w:rPr>
        <w:t xml:space="preserve"> </w:t>
      </w:r>
      <w:proofErr w:type="spellStart"/>
      <w:r>
        <w:rPr>
          <w:rtl/>
        </w:rPr>
        <w:t>כהנמן</w:t>
      </w:r>
      <w:proofErr w:type="spellEnd"/>
      <w:r>
        <w:rPr>
          <w:rtl/>
        </w:rPr>
        <w:t>, שר׳ לייזר גורדון, בחסידותו הגדולה ובאהבתו לתורה,</w:t>
      </w:r>
      <w:bookmarkStart w:id="2652" w:name="_fnr1792"/>
      <w:r>
        <w:rPr>
          <w:rStyle w:val="a5"/>
        </w:rPr>
        <w:footnoteReference w:id="1796" w:customMarkFollows="0"/>
      </w:r>
      <w:bookmarkEnd w:id="2652"/>
      <w:r>
        <w:rPr>
          <w:rtl/>
        </w:rPr>
        <w:t xml:space="preserve"> ביקש להעמיד את ר׳ </w:t>
      </w:r>
      <w:proofErr w:type="spellStart"/>
      <w:r>
        <w:rPr>
          <w:rtl/>
        </w:rPr>
        <w:t>איצל׳ה</w:t>
      </w:r>
      <w:proofErr w:type="spellEnd"/>
      <w:r>
        <w:rPr>
          <w:rtl/>
        </w:rPr>
        <w:t xml:space="preserve"> </w:t>
      </w:r>
      <w:r>
        <w:rPr>
          <w:b/>
          <w:bCs/>
          <w:rtl/>
        </w:rPr>
        <w:t>במקומו שלו</w:t>
      </w:r>
      <w:r>
        <w:rPr>
          <w:rtl/>
        </w:rPr>
        <w:t xml:space="preserve"> כראש ישיבת </w:t>
      </w:r>
      <w:proofErr w:type="spellStart"/>
      <w:r>
        <w:rPr>
          <w:rtl/>
        </w:rPr>
        <w:t>טלז</w:t>
      </w:r>
      <w:proofErr w:type="spellEnd"/>
      <w:r>
        <w:rPr>
          <w:rtl/>
        </w:rPr>
        <w:t xml:space="preserve">. היה זה בעקבות עזיבתו של ר׳ שמעון </w:t>
      </w:r>
      <w:proofErr w:type="spellStart"/>
      <w:r>
        <w:rPr>
          <w:rtl/>
        </w:rPr>
        <w:t>שקופ</w:t>
      </w:r>
      <w:proofErr w:type="spellEnd"/>
      <w:r>
        <w:rPr>
          <w:rtl/>
        </w:rPr>
        <w:t xml:space="preserve"> את </w:t>
      </w:r>
      <w:proofErr w:type="spellStart"/>
      <w:r>
        <w:rPr>
          <w:rtl/>
        </w:rPr>
        <w:t>טלז</w:t>
      </w:r>
      <w:proofErr w:type="spellEnd"/>
      <w:r>
        <w:rPr>
          <w:rtl/>
        </w:rPr>
        <w:t xml:space="preserve"> בשנת תרס״ג.</w:t>
      </w:r>
      <w:bookmarkStart w:id="2653" w:name="_fnr1793"/>
      <w:r>
        <w:rPr>
          <w:rStyle w:val="a5"/>
        </w:rPr>
        <w:footnoteReference w:id="1797" w:customMarkFollows="0"/>
      </w:r>
      <w:bookmarkEnd w:id="2653"/>
      <w:r>
        <w:rPr>
          <w:rtl/>
        </w:rPr>
        <w:t xml:space="preserve"> </w:t>
      </w:r>
      <w:proofErr w:type="spellStart"/>
      <w:r>
        <w:rPr>
          <w:rtl/>
        </w:rPr>
        <w:t>ב“תורה</w:t>
      </w:r>
      <w:proofErr w:type="spellEnd"/>
      <w:r>
        <w:rPr>
          <w:rtl/>
        </w:rPr>
        <w:t xml:space="preserve"> יבקשו מפיהו”</w:t>
      </w:r>
      <w:bookmarkStart w:id="2654" w:name="_fnr1794"/>
      <w:r>
        <w:rPr>
          <w:rStyle w:val="a5"/>
        </w:rPr>
        <w:footnoteReference w:id="1798" w:customMarkFollows="0"/>
      </w:r>
      <w:bookmarkEnd w:id="2654"/>
      <w:r>
        <w:rPr>
          <w:rtl/>
        </w:rPr>
        <w:t xml:space="preserve"> מובאים דברי ר׳ </w:t>
      </w:r>
      <w:proofErr w:type="spellStart"/>
      <w:r>
        <w:rPr>
          <w:rtl/>
        </w:rPr>
        <w:t>יוסף־שלמה</w:t>
      </w:r>
      <w:proofErr w:type="spellEnd"/>
      <w:r>
        <w:rPr>
          <w:rtl/>
        </w:rPr>
        <w:t xml:space="preserve"> </w:t>
      </w:r>
      <w:proofErr w:type="spellStart"/>
      <w:r>
        <w:rPr>
          <w:rtl/>
        </w:rPr>
        <w:t>כהנמן</w:t>
      </w:r>
      <w:proofErr w:type="spellEnd"/>
      <w:r>
        <w:rPr>
          <w:rtl/>
        </w:rPr>
        <w:t xml:space="preserve">, שהיה תלמיד </w:t>
      </w:r>
      <w:proofErr w:type="spellStart"/>
      <w:r>
        <w:rPr>
          <w:rtl/>
        </w:rPr>
        <w:lastRenderedPageBreak/>
        <w:t>בטלז</w:t>
      </w:r>
      <w:proofErr w:type="spellEnd"/>
      <w:r>
        <w:rPr>
          <w:rtl/>
        </w:rPr>
        <w:t xml:space="preserve">, ולפיהם היו כל התלמידים בישיבה מוכנים לקבל את ר׳ </w:t>
      </w:r>
      <w:proofErr w:type="spellStart"/>
      <w:r>
        <w:rPr>
          <w:rtl/>
        </w:rPr>
        <w:t>איצל׳ה</w:t>
      </w:r>
      <w:proofErr w:type="spellEnd"/>
      <w:r>
        <w:rPr>
          <w:rtl/>
        </w:rPr>
        <w:t xml:space="preserve">. ואז הגיעה הידיעה שתושבי </w:t>
      </w:r>
      <w:proofErr w:type="spellStart"/>
      <w:r>
        <w:rPr>
          <w:rtl/>
        </w:rPr>
        <w:t>פוניבז</w:t>
      </w:r>
      <w:proofErr w:type="spellEnd"/>
      <w:r>
        <w:rPr>
          <w:rtl/>
        </w:rPr>
        <w:t xml:space="preserve">׳ מתנגדים לכך שהעיר </w:t>
      </w:r>
      <w:proofErr w:type="spellStart"/>
      <w:r>
        <w:rPr>
          <w:rtl/>
        </w:rPr>
        <w:t>טלז</w:t>
      </w:r>
      <w:proofErr w:type="spellEnd"/>
      <w:r>
        <w:rPr>
          <w:rtl/>
        </w:rPr>
        <w:t xml:space="preserve"> תיקח מהם את רבם, והוא נאלץ להישאר שם.</w:t>
      </w:r>
    </w:p>
    <w:p w14:paraId="287CE16D" w14:textId="77777777" w:rsidR="00AB3647" w:rsidRDefault="00000000" w:rsidP="007923E9">
      <w:pPr>
        <w:spacing w:after="120" w:line="276" w:lineRule="auto"/>
        <w:ind w:firstLine="283"/>
        <w:jc w:val="both"/>
      </w:pPr>
      <w:r>
        <w:rPr>
          <w:rtl/>
        </w:rPr>
        <w:t xml:space="preserve">כשהשתדל ר׳ לייזר גורדון להשיג את ר׳ </w:t>
      </w:r>
      <w:proofErr w:type="spellStart"/>
      <w:r>
        <w:rPr>
          <w:rtl/>
        </w:rPr>
        <w:t>איצל׳ה</w:t>
      </w:r>
      <w:proofErr w:type="spellEnd"/>
      <w:r>
        <w:rPr>
          <w:rtl/>
        </w:rPr>
        <w:t xml:space="preserve">, הכריז: “אילו יכולתי להשיג את ר׳ חיים </w:t>
      </w:r>
      <w:proofErr w:type="spellStart"/>
      <w:r>
        <w:rPr>
          <w:rtl/>
        </w:rPr>
        <w:t>סולובייצ׳יק</w:t>
      </w:r>
      <w:proofErr w:type="spellEnd"/>
      <w:r>
        <w:rPr>
          <w:rtl/>
        </w:rPr>
        <w:t xml:space="preserve"> </w:t>
      </w:r>
      <w:proofErr w:type="spellStart"/>
      <w:r>
        <w:rPr>
          <w:rtl/>
        </w:rPr>
        <w:t>מבריסק</w:t>
      </w:r>
      <w:proofErr w:type="spellEnd"/>
      <w:r>
        <w:rPr>
          <w:rtl/>
        </w:rPr>
        <w:t xml:space="preserve"> שיחליף אותי, הייתי ממנה אותו גם לרב </w:t>
      </w:r>
      <w:proofErr w:type="spellStart"/>
      <w:r>
        <w:rPr>
          <w:rtl/>
        </w:rPr>
        <w:t>טלז</w:t>
      </w:r>
      <w:proofErr w:type="spellEnd"/>
      <w:r>
        <w:rPr>
          <w:rtl/>
        </w:rPr>
        <w:t xml:space="preserve">; אבל לגבי ר׳ </w:t>
      </w:r>
      <w:proofErr w:type="spellStart"/>
      <w:r>
        <w:rPr>
          <w:rtl/>
        </w:rPr>
        <w:t>איצל׳ה</w:t>
      </w:r>
      <w:proofErr w:type="spellEnd"/>
      <w:r>
        <w:rPr>
          <w:rtl/>
        </w:rPr>
        <w:t xml:space="preserve">, אני מחשיב את עצמי רב טוב ממנו; לכן </w:t>
      </w:r>
      <w:proofErr w:type="spellStart"/>
      <w:r>
        <w:rPr>
          <w:rtl/>
        </w:rPr>
        <w:t>אשאר</w:t>
      </w:r>
      <w:proofErr w:type="spellEnd"/>
      <w:r>
        <w:rPr>
          <w:rtl/>
        </w:rPr>
        <w:t xml:space="preserve"> אני הרב, והוא יהיה ראש הישיבה בלבד.”</w:t>
      </w:r>
      <w:bookmarkStart w:id="2655" w:name="_fnr1795"/>
      <w:r>
        <w:rPr>
          <w:rStyle w:val="a5"/>
        </w:rPr>
        <w:footnoteReference w:id="1799" w:customMarkFollows="0"/>
      </w:r>
      <w:bookmarkEnd w:id="2655"/>
      <w:r>
        <w:rPr>
          <w:rtl/>
        </w:rPr>
        <w:t xml:space="preserve"> בכך ששקל למנות ראש ישיבה אחר במקומו, הוכיח ר׳ לייזר גורדון שהיה “רוקד משמחה” למראה ישיבה מלאה תורה כישיבת </w:t>
      </w:r>
      <w:proofErr w:type="spellStart"/>
      <w:r>
        <w:rPr>
          <w:rtl/>
        </w:rPr>
        <w:t>טלז</w:t>
      </w:r>
      <w:proofErr w:type="spellEnd"/>
      <w:r>
        <w:rPr>
          <w:rtl/>
        </w:rPr>
        <w:t xml:space="preserve">, אף אם </w:t>
      </w:r>
      <w:r>
        <w:rPr>
          <w:b/>
          <w:bCs/>
          <w:rtl/>
        </w:rPr>
        <w:t>לא</w:t>
      </w:r>
      <w:r>
        <w:rPr>
          <w:rtl/>
        </w:rPr>
        <w:t xml:space="preserve"> הוא עצמו עומד בראשה.</w:t>
      </w:r>
    </w:p>
    <w:p w14:paraId="59E0ECE3" w14:textId="61E5CC30" w:rsidR="00AB3647" w:rsidRDefault="00000000" w:rsidP="007923E9">
      <w:pPr>
        <w:spacing w:after="120" w:line="276" w:lineRule="auto"/>
        <w:ind w:firstLine="283"/>
        <w:jc w:val="both"/>
      </w:pPr>
      <w:r>
        <w:rPr>
          <w:rtl/>
        </w:rPr>
        <w:t xml:space="preserve">השווה פרק 4, תחילת </w:t>
      </w:r>
      <w:r>
        <w:rPr>
          <w:rtl/>
        </w:rPr>
        <w:fldChar w:fldCharType="begin" w:dirty="true"/>
      </w:r>
      <w:r>
        <w:rPr>
          <w:rtl/>
        </w:rPr>
        <w:instrText xml:space="preserve"> REF b4_excH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ח</w:t>
      </w:r>
      <w:r>
        <w:rPr>
          <w:rtl/>
        </w:rPr>
        <w:fldChar w:fldCharType="end"/>
      </w:r>
      <w:r>
        <w:rPr>
          <w:rtl/>
        </w:rPr>
        <w:t xml:space="preserve">, המביא את ר׳ ישראל </w:t>
      </w:r>
      <w:proofErr w:type="spellStart"/>
      <w:r>
        <w:rPr>
          <w:rtl/>
        </w:rPr>
        <w:t>סלנטר</w:t>
      </w:r>
      <w:proofErr w:type="spellEnd"/>
      <w:r>
        <w:rPr>
          <w:rtl/>
        </w:rPr>
        <w:t xml:space="preserve"> כמי שהעלה שאלה כזו. השווה גם </w:t>
      </w:r>
      <w:proofErr w:type="spellStart"/>
      <w:r>
        <w:rPr>
          <w:rtl/>
        </w:rPr>
        <w:t>רבינר</w:t>
      </w:r>
      <w:proofErr w:type="spellEnd"/>
      <w:r>
        <w:rPr>
          <w:rtl/>
        </w:rPr>
        <w:t>, “הגאון רבי אליעזר גורדון”,</w:t>
      </w:r>
      <w:bookmarkStart w:id="2656" w:name="_fnr1796"/>
      <w:r>
        <w:rPr>
          <w:rStyle w:val="a5"/>
        </w:rPr>
        <w:footnoteReference w:id="1800" w:customMarkFollows="0"/>
      </w:r>
      <w:bookmarkEnd w:id="2656"/>
      <w:r>
        <w:rPr>
          <w:rtl/>
        </w:rPr>
        <w:t xml:space="preserve"> שר׳ </w:t>
      </w:r>
      <w:proofErr w:type="spellStart"/>
      <w:r>
        <w:rPr>
          <w:rtl/>
        </w:rPr>
        <w:t>מאיר־שמחה</w:t>
      </w:r>
      <w:proofErr w:type="spellEnd"/>
      <w:r>
        <w:rPr>
          <w:rtl/>
        </w:rPr>
        <w:t xml:space="preserve"> לא הסכים לרעיונו של ר׳ לייזר גורדון להעמיד אחר במקומו בראש הישיבה, מפני הכלל ההלכתי ששומר אינו רשאי למסור את שמירתו לשומר אחר.</w:t>
      </w:r>
    </w:p>
    <w:p w14:paraId="24EC9596" w14:textId="77777777" w:rsidR="00AB3647" w:rsidRDefault="00000000" w:rsidP="007923E9">
      <w:pPr>
        <w:spacing w:after="120" w:line="276" w:lineRule="auto"/>
        <w:ind w:firstLine="283"/>
        <w:jc w:val="both"/>
      </w:pPr>
      <w:r>
        <w:rPr>
          <w:rtl/>
        </w:rPr>
        <w:t xml:space="preserve">לפי </w:t>
      </w:r>
      <w:proofErr w:type="spellStart"/>
      <w:r>
        <w:rPr>
          <w:rtl/>
        </w:rPr>
        <w:t>רבינר</w:t>
      </w:r>
      <w:proofErr w:type="spellEnd"/>
      <w:r>
        <w:rPr>
          <w:rtl/>
        </w:rPr>
        <w:t>, “הגאון רבי אליעזר גורדון”</w:t>
      </w:r>
      <w:bookmarkStart w:id="2657" w:name="_fnr1797"/>
      <w:r>
        <w:rPr>
          <w:rStyle w:val="a5"/>
        </w:rPr>
        <w:footnoteReference w:id="1801" w:customMarkFollows="0"/>
      </w:r>
      <w:bookmarkEnd w:id="2657"/>
      <w:r>
        <w:rPr>
          <w:rtl/>
        </w:rPr>
        <w:t xml:space="preserve"> </w:t>
      </w:r>
      <w:proofErr w:type="spellStart"/>
      <w:r>
        <w:rPr>
          <w:rtl/>
        </w:rPr>
        <w:t>ו“ר</w:t>
      </w:r>
      <w:proofErr w:type="spellEnd"/>
      <w:r>
        <w:rPr>
          <w:rtl/>
        </w:rPr>
        <w:t>׳ ברוך בער”,</w:t>
      </w:r>
      <w:bookmarkStart w:id="2658" w:name="_fnr1798"/>
      <w:r>
        <w:rPr>
          <w:rStyle w:val="a5"/>
        </w:rPr>
        <w:footnoteReference w:id="1802" w:customMarkFollows="0"/>
      </w:r>
      <w:bookmarkEnd w:id="2658"/>
      <w:r>
        <w:rPr>
          <w:rtl/>
        </w:rPr>
        <w:t xml:space="preserve"> ביקש ר׳ לייזר גורדון לחזק את סגל ישיבתו אחרי התפטרותו של ר׳ שמעון </w:t>
      </w:r>
      <w:proofErr w:type="spellStart"/>
      <w:r>
        <w:rPr>
          <w:rtl/>
        </w:rPr>
        <w:t>שקופ</w:t>
      </w:r>
      <w:proofErr w:type="spellEnd"/>
      <w:r>
        <w:rPr>
          <w:rtl/>
        </w:rPr>
        <w:t xml:space="preserve">, והציע משרת הוראה </w:t>
      </w:r>
      <w:proofErr w:type="spellStart"/>
      <w:r>
        <w:rPr>
          <w:rtl/>
        </w:rPr>
        <w:t>לר</w:t>
      </w:r>
      <w:proofErr w:type="spellEnd"/>
      <w:r>
        <w:rPr>
          <w:rtl/>
        </w:rPr>
        <w:t xml:space="preserve">׳ </w:t>
      </w:r>
      <w:proofErr w:type="spellStart"/>
      <w:r>
        <w:rPr>
          <w:rtl/>
        </w:rPr>
        <w:t>ברוך־בער</w:t>
      </w:r>
      <w:proofErr w:type="spellEnd"/>
      <w:r>
        <w:rPr>
          <w:rtl/>
        </w:rPr>
        <w:t xml:space="preserve"> </w:t>
      </w:r>
      <w:proofErr w:type="spellStart"/>
      <w:r>
        <w:rPr>
          <w:rtl/>
        </w:rPr>
        <w:t>ליבוביץ</w:t>
      </w:r>
      <w:proofErr w:type="spellEnd"/>
      <w:r>
        <w:rPr>
          <w:rtl/>
        </w:rPr>
        <w:t xml:space="preserve">, שהיה אז </w:t>
      </w:r>
      <w:proofErr w:type="spellStart"/>
      <w:r>
        <w:rPr>
          <w:rtl/>
        </w:rPr>
        <w:t>בהלוסק</w:t>
      </w:r>
      <w:proofErr w:type="spellEnd"/>
      <w:r>
        <w:rPr>
          <w:rtl/>
        </w:rPr>
        <w:t xml:space="preserve">. ר׳ </w:t>
      </w:r>
      <w:proofErr w:type="spellStart"/>
      <w:r>
        <w:rPr>
          <w:rtl/>
        </w:rPr>
        <w:t>ברוך־בער</w:t>
      </w:r>
      <w:proofErr w:type="spellEnd"/>
      <w:r>
        <w:rPr>
          <w:rtl/>
        </w:rPr>
        <w:t xml:space="preserve"> שהה שבועיים </w:t>
      </w:r>
      <w:proofErr w:type="spellStart"/>
      <w:r>
        <w:rPr>
          <w:rtl/>
        </w:rPr>
        <w:t>בטלז</w:t>
      </w:r>
      <w:proofErr w:type="spellEnd"/>
      <w:r>
        <w:rPr>
          <w:rtl/>
        </w:rPr>
        <w:t xml:space="preserve">, ור׳ לייזר החליט לקבלו. במסיבה שנערכה לכבוד המאורע בירך אותו ר׳ לייזר במזל טוב על מינויו, ואז הודיע ר׳ </w:t>
      </w:r>
      <w:proofErr w:type="spellStart"/>
      <w:r>
        <w:rPr>
          <w:rtl/>
        </w:rPr>
        <w:t>ברוך־בער</w:t>
      </w:r>
      <w:proofErr w:type="spellEnd"/>
      <w:r>
        <w:rPr>
          <w:rtl/>
        </w:rPr>
        <w:t xml:space="preserve"> לפתע שאינו יכול להחליט סופית בלי להתייעץ עם רבו ר׳ חיים </w:t>
      </w:r>
      <w:proofErr w:type="spellStart"/>
      <w:r>
        <w:rPr>
          <w:rtl/>
        </w:rPr>
        <w:t>סולובייצ׳יק</w:t>
      </w:r>
      <w:proofErr w:type="spellEnd"/>
      <w:r>
        <w:rPr>
          <w:rtl/>
        </w:rPr>
        <w:t>.</w:t>
      </w:r>
      <w:bookmarkStart w:id="2659" w:name="_fnr1799"/>
      <w:r>
        <w:rPr>
          <w:rStyle w:val="a5"/>
        </w:rPr>
        <w:footnoteReference w:id="1803" w:customMarkFollows="0"/>
      </w:r>
      <w:bookmarkEnd w:id="2659"/>
    </w:p>
    <w:p w14:paraId="23335C28" w14:textId="77777777" w:rsidR="00AB3647" w:rsidRDefault="00000000" w:rsidP="007923E9">
      <w:pPr>
        <w:spacing w:after="120" w:line="276" w:lineRule="auto"/>
        <w:ind w:firstLine="283"/>
        <w:jc w:val="both"/>
      </w:pPr>
      <w:r>
        <w:rPr>
          <w:rtl/>
        </w:rPr>
        <w:t xml:space="preserve">השווה “עובדות והנהגות לבית </w:t>
      </w:r>
      <w:proofErr w:type="spellStart"/>
      <w:r>
        <w:rPr>
          <w:rtl/>
        </w:rPr>
        <w:t>בריסק</w:t>
      </w:r>
      <w:proofErr w:type="spellEnd"/>
      <w:r>
        <w:rPr>
          <w:rtl/>
        </w:rPr>
        <w:t>”</w:t>
      </w:r>
      <w:bookmarkStart w:id="2660" w:name="_fnr1800"/>
      <w:r>
        <w:rPr>
          <w:rStyle w:val="a5"/>
        </w:rPr>
        <w:footnoteReference w:id="1804" w:customMarkFollows="0"/>
      </w:r>
      <w:bookmarkEnd w:id="2660"/>
      <w:r>
        <w:rPr>
          <w:rtl/>
        </w:rPr>
        <w:t xml:space="preserve">, שבנו של ר׳ </w:t>
      </w:r>
      <w:proofErr w:type="spellStart"/>
      <w:r>
        <w:rPr>
          <w:rtl/>
        </w:rPr>
        <w:t>ברוך־בער</w:t>
      </w:r>
      <w:proofErr w:type="spellEnd"/>
      <w:r>
        <w:rPr>
          <w:rtl/>
        </w:rPr>
        <w:t xml:space="preserve">, ר׳ </w:t>
      </w:r>
      <w:proofErr w:type="spellStart"/>
      <w:r>
        <w:rPr>
          <w:rtl/>
        </w:rPr>
        <w:t>חיים־שלמה</w:t>
      </w:r>
      <w:proofErr w:type="spellEnd"/>
      <w:r>
        <w:rPr>
          <w:rtl/>
        </w:rPr>
        <w:t xml:space="preserve"> </w:t>
      </w:r>
      <w:proofErr w:type="spellStart"/>
      <w:r>
        <w:rPr>
          <w:rtl/>
        </w:rPr>
        <w:t>ליבוביץ</w:t>
      </w:r>
      <w:proofErr w:type="spellEnd"/>
      <w:r>
        <w:rPr>
          <w:rtl/>
        </w:rPr>
        <w:t xml:space="preserve">, סיפר שגם לפני שהתחיל אביו לומר שיעורים לתלמידים </w:t>
      </w:r>
      <w:proofErr w:type="spellStart"/>
      <w:r>
        <w:rPr>
          <w:rtl/>
        </w:rPr>
        <w:t>בהלוסק</w:t>
      </w:r>
      <w:proofErr w:type="spellEnd"/>
      <w:r>
        <w:rPr>
          <w:rtl/>
        </w:rPr>
        <w:t xml:space="preserve"> ביקש את הסכמתו של ר׳ חיים.</w:t>
      </w:r>
      <w:bookmarkStart w:id="2661" w:name="_fnr1801"/>
      <w:r>
        <w:rPr>
          <w:rStyle w:val="a5"/>
        </w:rPr>
        <w:footnoteReference w:id="1805" w:customMarkFollows="0"/>
      </w:r>
      <w:bookmarkEnd w:id="2661"/>
      <w:r>
        <w:rPr>
          <w:rtl/>
        </w:rPr>
        <w:t xml:space="preserve"> השווה גם “ר׳ ברוך בער”</w:t>
      </w:r>
      <w:bookmarkStart w:id="2662" w:name="_fnr1802"/>
      <w:r>
        <w:rPr>
          <w:rStyle w:val="a5"/>
        </w:rPr>
        <w:footnoteReference w:id="1806" w:customMarkFollows="0"/>
      </w:r>
      <w:bookmarkEnd w:id="2662"/>
      <w:r>
        <w:rPr>
          <w:rtl/>
        </w:rPr>
        <w:t xml:space="preserve">, שאביו של ר׳ </w:t>
      </w:r>
      <w:proofErr w:type="spellStart"/>
      <w:r>
        <w:rPr>
          <w:rtl/>
        </w:rPr>
        <w:t>ברוך־בער</w:t>
      </w:r>
      <w:proofErr w:type="spellEnd"/>
      <w:r>
        <w:rPr>
          <w:rtl/>
        </w:rPr>
        <w:t xml:space="preserve">, ר׳ </w:t>
      </w:r>
      <w:proofErr w:type="spellStart"/>
      <w:r>
        <w:rPr>
          <w:rtl/>
        </w:rPr>
        <w:t>שמואל־דוד</w:t>
      </w:r>
      <w:proofErr w:type="spellEnd"/>
      <w:r>
        <w:rPr>
          <w:rtl/>
        </w:rPr>
        <w:t xml:space="preserve"> </w:t>
      </w:r>
      <w:proofErr w:type="spellStart"/>
      <w:r>
        <w:rPr>
          <w:rtl/>
        </w:rPr>
        <w:t>ליבוביץ</w:t>
      </w:r>
      <w:proofErr w:type="spellEnd"/>
      <w:r>
        <w:rPr>
          <w:rtl/>
        </w:rPr>
        <w:t xml:space="preserve"> – </w:t>
      </w:r>
      <w:r>
        <w:rPr>
          <w:rtl/>
        </w:rPr>
        <w:lastRenderedPageBreak/>
        <w:t>אשר</w:t>
      </w:r>
      <w:bookmarkStart w:id="2663" w:name="_fnr1803"/>
      <w:r>
        <w:rPr>
          <w:rStyle w:val="a5"/>
        </w:rPr>
        <w:footnoteReference w:id="1807" w:customMarkFollows="0"/>
      </w:r>
      <w:bookmarkEnd w:id="2663"/>
      <w:r>
        <w:rPr>
          <w:rtl/>
        </w:rPr>
        <w:t xml:space="preserve"> בנו כיבדו כבוד יוצא דופן כל כך, עד שיחסם נעשה בדורו לדוגמה של כיבוד אב</w:t>
      </w:r>
      <w:bookmarkStart w:id="2664" w:name="_fnr1804"/>
      <w:r>
        <w:rPr>
          <w:rStyle w:val="a5"/>
        </w:rPr>
        <w:footnoteReference w:id="1808" w:customMarkFollows="0"/>
      </w:r>
      <w:bookmarkEnd w:id="2664"/>
      <w:r>
        <w:rPr>
          <w:rtl/>
        </w:rPr>
        <w:t xml:space="preserve"> – היה “שבור לב” </w:t>
      </w:r>
      <w:proofErr w:type="spellStart"/>
      <w:r>
        <w:rPr>
          <w:rtl/>
        </w:rPr>
        <w:t>ו“ביקר</w:t>
      </w:r>
      <w:proofErr w:type="spellEnd"/>
      <w:r>
        <w:rPr>
          <w:rtl/>
        </w:rPr>
        <w:t xml:space="preserve"> אותו בחריפות” על שלא קיבל את המינוי </w:t>
      </w:r>
      <w:proofErr w:type="spellStart"/>
      <w:r>
        <w:rPr>
          <w:rtl/>
        </w:rPr>
        <w:t>בטלז</w:t>
      </w:r>
      <w:proofErr w:type="spellEnd"/>
      <w:r>
        <w:rPr>
          <w:rtl/>
        </w:rPr>
        <w:t>.</w:t>
      </w:r>
      <w:bookmarkStart w:id="2665" w:name="_fnr1805"/>
      <w:r>
        <w:rPr>
          <w:rStyle w:val="a5"/>
        </w:rPr>
        <w:footnoteReference w:id="1809" w:customMarkFollows="0"/>
      </w:r>
      <w:bookmarkEnd w:id="2665"/>
      <w:r>
        <w:rPr>
          <w:rtl/>
        </w:rPr>
        <w:t xml:space="preserve"> לבסוף הובא לישיבת </w:t>
      </w:r>
      <w:proofErr w:type="spellStart"/>
      <w:r>
        <w:rPr>
          <w:rtl/>
        </w:rPr>
        <w:t>טלז</w:t>
      </w:r>
      <w:proofErr w:type="spellEnd"/>
      <w:r>
        <w:rPr>
          <w:rtl/>
        </w:rPr>
        <w:t xml:space="preserve"> ר׳ חיים </w:t>
      </w:r>
      <w:proofErr w:type="spellStart"/>
      <w:r>
        <w:rPr>
          <w:rtl/>
        </w:rPr>
        <w:t>רבינוביץ</w:t>
      </w:r>
      <w:proofErr w:type="spellEnd"/>
      <w:r>
        <w:rPr>
          <w:rtl/>
        </w:rPr>
        <w:t xml:space="preserve"> מכנסת בית יצחק </w:t>
      </w:r>
      <w:proofErr w:type="spellStart"/>
      <w:r>
        <w:rPr>
          <w:rtl/>
        </w:rPr>
        <w:t>שבסלבודקה</w:t>
      </w:r>
      <w:proofErr w:type="spellEnd"/>
      <w:r>
        <w:rPr>
          <w:rtl/>
        </w:rPr>
        <w:t xml:space="preserve">, ור׳ </w:t>
      </w:r>
      <w:proofErr w:type="spellStart"/>
      <w:r>
        <w:rPr>
          <w:rtl/>
        </w:rPr>
        <w:t>ברוך־בער</w:t>
      </w:r>
      <w:proofErr w:type="spellEnd"/>
      <w:r>
        <w:rPr>
          <w:rtl/>
        </w:rPr>
        <w:t xml:space="preserve"> החליף אותו שם.</w:t>
      </w:r>
      <w:bookmarkStart w:id="2666" w:name="_fnr1806"/>
      <w:r>
        <w:rPr>
          <w:rStyle w:val="a5"/>
        </w:rPr>
        <w:footnoteReference w:id="1810" w:customMarkFollows="0"/>
      </w:r>
      <w:bookmarkEnd w:id="2666"/>
    </w:p>
    <w:p w14:paraId="04633B02" w14:textId="77777777" w:rsidR="00AB3647" w:rsidRDefault="00000000" w:rsidP="007923E9">
      <w:pPr>
        <w:spacing w:after="120" w:line="276" w:lineRule="auto"/>
        <w:ind w:firstLine="283"/>
        <w:jc w:val="both"/>
      </w:pPr>
      <w:r>
        <w:rPr>
          <w:rtl/>
        </w:rPr>
        <w:t xml:space="preserve">על דבקותו של ר׳ </w:t>
      </w:r>
      <w:proofErr w:type="spellStart"/>
      <w:r>
        <w:rPr>
          <w:rtl/>
        </w:rPr>
        <w:t>ברוך־בער</w:t>
      </w:r>
      <w:proofErr w:type="spellEnd"/>
      <w:r>
        <w:rPr>
          <w:rtl/>
        </w:rPr>
        <w:t xml:space="preserve"> באביו מספר “ר׳ ברוך בער”:</w:t>
      </w:r>
      <w:bookmarkStart w:id="2667" w:name="_fnr1807"/>
      <w:r>
        <w:rPr>
          <w:rStyle w:val="a5"/>
        </w:rPr>
        <w:footnoteReference w:id="1811" w:customMarkFollows="0"/>
      </w:r>
      <w:bookmarkEnd w:id="2667"/>
      <w:r>
        <w:rPr>
          <w:rtl/>
        </w:rPr>
        <w:t xml:space="preserve"> כשמת האב היה הבן קרוב להתמוטטות עצבים, מפני שחשש שלא טיפל באביו כראוי – אף שבילה ימים ולילות שלמים ליד מיטתו. </w:t>
      </w:r>
      <w:proofErr w:type="spellStart"/>
      <w:r>
        <w:rPr>
          <w:rtl/>
        </w:rPr>
        <w:t>החפץ־חיים</w:t>
      </w:r>
      <w:proofErr w:type="spellEnd"/>
      <w:r>
        <w:rPr>
          <w:rtl/>
        </w:rPr>
        <w:t xml:space="preserve"> החזירו לדעתו, והפגין בכך את </w:t>
      </w:r>
      <w:proofErr w:type="spellStart"/>
      <w:r>
        <w:rPr>
          <w:rtl/>
        </w:rPr>
        <w:t>חכמתו</w:t>
      </w:r>
      <w:proofErr w:type="spellEnd"/>
      <w:r>
        <w:rPr>
          <w:rtl/>
        </w:rPr>
        <w:t xml:space="preserve"> העליונה: הוא לא ניסה לשכנע את ר׳ </w:t>
      </w:r>
      <w:proofErr w:type="spellStart"/>
      <w:r>
        <w:rPr>
          <w:rtl/>
        </w:rPr>
        <w:t>ברוך־בער</w:t>
      </w:r>
      <w:proofErr w:type="spellEnd"/>
      <w:r>
        <w:rPr>
          <w:rtl/>
        </w:rPr>
        <w:t xml:space="preserve"> ש</w:t>
      </w:r>
      <w:r>
        <w:rPr>
          <w:b/>
          <w:bCs/>
          <w:rtl/>
        </w:rPr>
        <w:t>עשה</w:t>
      </w:r>
      <w:r>
        <w:rPr>
          <w:rtl/>
        </w:rPr>
        <w:t xml:space="preserve"> כמיטב יכולתו, אלא דרש לפניו על כוחה של התשובה – על חטאו לכאורה! הוא אמר </w:t>
      </w:r>
      <w:proofErr w:type="spellStart"/>
      <w:r>
        <w:rPr>
          <w:rtl/>
        </w:rPr>
        <w:t>לר</w:t>
      </w:r>
      <w:proofErr w:type="spellEnd"/>
      <w:r>
        <w:rPr>
          <w:rtl/>
        </w:rPr>
        <w:t xml:space="preserve">׳ </w:t>
      </w:r>
      <w:proofErr w:type="spellStart"/>
      <w:r>
        <w:rPr>
          <w:rtl/>
        </w:rPr>
        <w:t>ברוך־בער</w:t>
      </w:r>
      <w:proofErr w:type="spellEnd"/>
      <w:r>
        <w:rPr>
          <w:rtl/>
        </w:rPr>
        <w:t xml:space="preserve"> שעל ידי התשובה יברא מעצמו “אדם חדש (שאין בו חטא)”.</w:t>
      </w:r>
      <w:bookmarkStart w:id="2668" w:name="_fnr1808"/>
      <w:r>
        <w:rPr>
          <w:rStyle w:val="a5"/>
        </w:rPr>
        <w:footnoteReference w:id="1812" w:customMarkFollows="0"/>
      </w:r>
      <w:bookmarkEnd w:id="2668"/>
      <w:r>
        <w:rPr>
          <w:rtl/>
        </w:rPr>
        <w:t xml:space="preserve"> ר׳ </w:t>
      </w:r>
      <w:proofErr w:type="spellStart"/>
      <w:r>
        <w:rPr>
          <w:rtl/>
        </w:rPr>
        <w:t>ברוך־בער</w:t>
      </w:r>
      <w:proofErr w:type="spellEnd"/>
      <w:r>
        <w:rPr>
          <w:rtl/>
        </w:rPr>
        <w:t xml:space="preserve"> כיבד את אביו אחרי מותו בכך שקרא על שמו את הספר שחיבר – “ברכת שמואל”, כלומר: ברוך(־בער) של שמואל(־דוד).</w:t>
      </w:r>
    </w:p>
    <w:p w14:paraId="6DDB7259" w14:textId="77777777" w:rsidR="00AB3647" w:rsidRDefault="00000000" w:rsidP="007923E9">
      <w:pPr>
        <w:spacing w:after="120" w:line="276" w:lineRule="auto"/>
        <w:ind w:firstLine="283"/>
        <w:jc w:val="both"/>
      </w:pPr>
      <w:r>
        <w:rPr>
          <w:rtl/>
        </w:rPr>
        <w:t xml:space="preserve">על פיקחותו של </w:t>
      </w:r>
      <w:proofErr w:type="spellStart"/>
      <w:r>
        <w:rPr>
          <w:rtl/>
        </w:rPr>
        <w:t>החפץ־חיים</w:t>
      </w:r>
      <w:proofErr w:type="spellEnd"/>
      <w:r>
        <w:rPr>
          <w:rtl/>
        </w:rPr>
        <w:t xml:space="preserve"> השווה </w:t>
      </w:r>
      <w:proofErr w:type="spellStart"/>
      <w:r>
        <w:rPr>
          <w:rtl/>
        </w:rPr>
        <w:t>כבה״ת</w:t>
      </w:r>
      <w:proofErr w:type="spellEnd"/>
      <w:r>
        <w:rPr>
          <w:rtl/>
        </w:rPr>
        <w:t>,</w:t>
      </w:r>
      <w:bookmarkStart w:id="2669" w:name="_fnr1809"/>
      <w:r>
        <w:rPr>
          <w:rStyle w:val="a5"/>
        </w:rPr>
        <w:footnoteReference w:id="1813" w:customMarkFollows="0"/>
      </w:r>
      <w:bookmarkEnd w:id="2669"/>
      <w:r>
        <w:rPr>
          <w:rtl/>
        </w:rPr>
        <w:t xml:space="preserve"> שבו מסכם בנו שאביו לא היה “א </w:t>
      </w:r>
      <w:proofErr w:type="spellStart"/>
      <w:r>
        <w:rPr>
          <w:rtl/>
        </w:rPr>
        <w:t>שלימעזאלניק</w:t>
      </w:r>
      <w:proofErr w:type="spellEnd"/>
      <w:r>
        <w:rPr>
          <w:rtl/>
        </w:rPr>
        <w:t xml:space="preserve"> [ביש מזל, “לוזר”] כדרך רבים מן היראים והחרדים, [אלא] הבין את כל תחבולות בני האדם – אף שלא התלכלך בהן, וכל ימיו הייתה דרכו מכוונת כלפי ה׳”. השווה גם “מאיר עיני ישראל”,</w:t>
      </w:r>
      <w:bookmarkStart w:id="2670" w:name="_fnr1810"/>
      <w:r>
        <w:rPr>
          <w:rStyle w:val="a5"/>
        </w:rPr>
        <w:footnoteReference w:id="1814" w:customMarkFollows="0"/>
      </w:r>
      <w:bookmarkEnd w:id="2670"/>
      <w:r>
        <w:rPr>
          <w:rtl/>
        </w:rPr>
        <w:t xml:space="preserve"> שבו מובא מאמר של בנו הצעיר של </w:t>
      </w:r>
      <w:proofErr w:type="spellStart"/>
      <w:r>
        <w:rPr>
          <w:rtl/>
        </w:rPr>
        <w:t>החפץ־חיים</w:t>
      </w:r>
      <w:proofErr w:type="spellEnd"/>
      <w:r>
        <w:rPr>
          <w:rtl/>
        </w:rPr>
        <w:t xml:space="preserve">, ר׳ אהרן </w:t>
      </w:r>
      <w:proofErr w:type="spellStart"/>
      <w:r>
        <w:rPr>
          <w:rtl/>
        </w:rPr>
        <w:t>קגן</w:t>
      </w:r>
      <w:proofErr w:type="spellEnd"/>
      <w:r>
        <w:rPr>
          <w:rtl/>
        </w:rPr>
        <w:t xml:space="preserve"> (נולד בשנת תר״ע), ולפיו “הפסיכיאטר הווינאי </w:t>
      </w:r>
      <w:proofErr w:type="spellStart"/>
      <w:r>
        <w:rPr>
          <w:rtl/>
        </w:rPr>
        <w:t>רוגט</w:t>
      </w:r>
      <w:proofErr w:type="spellEnd"/>
      <w:r>
        <w:rPr>
          <w:rtl/>
        </w:rPr>
        <w:t>, ששימש באוניברסיטת וילנה שמונה שנים</w:t>
      </w:r>
      <w:bookmarkStart w:id="2671" w:name="_fnr1811"/>
      <w:r>
        <w:rPr>
          <w:rStyle w:val="a5"/>
        </w:rPr>
        <w:footnoteReference w:id="1815" w:customMarkFollows="0"/>
      </w:r>
      <w:bookmarkEnd w:id="2671"/>
      <w:r>
        <w:rPr>
          <w:rtl/>
        </w:rPr>
        <w:t xml:space="preserve"> ופגש את </w:t>
      </w:r>
      <w:proofErr w:type="spellStart"/>
      <w:r>
        <w:rPr>
          <w:rtl/>
        </w:rPr>
        <w:t>החפץ־חיים</w:t>
      </w:r>
      <w:proofErr w:type="spellEnd"/>
      <w:r>
        <w:rPr>
          <w:rtl/>
        </w:rPr>
        <w:t xml:space="preserve"> פעמים רבות מאוד”, כינה אותו “מכונה פסיכולוגית ענקית”. השווה גם “שמושה של תורה” על הדרך שבה תיאר ר׳ </w:t>
      </w:r>
      <w:proofErr w:type="spellStart"/>
      <w:r>
        <w:rPr>
          <w:rtl/>
        </w:rPr>
        <w:t>אלעזר־מנחם־מן</w:t>
      </w:r>
      <w:proofErr w:type="spellEnd"/>
      <w:r>
        <w:rPr>
          <w:rtl/>
        </w:rPr>
        <w:t xml:space="preserve"> שך את </w:t>
      </w:r>
      <w:proofErr w:type="spellStart"/>
      <w:r>
        <w:rPr>
          <w:rtl/>
        </w:rPr>
        <w:t>החפץ־חיים</w:t>
      </w:r>
      <w:proofErr w:type="spellEnd"/>
      <w:r>
        <w:rPr>
          <w:rtl/>
        </w:rPr>
        <w:t xml:space="preserve">: כפקח </w:t>
      </w:r>
      <w:r>
        <w:rPr>
          <w:rtl/>
        </w:rPr>
        <w:lastRenderedPageBreak/>
        <w:t>שבפקחים;</w:t>
      </w:r>
      <w:bookmarkStart w:id="2672" w:name="_fnr1812"/>
      <w:r>
        <w:rPr>
          <w:rStyle w:val="a5"/>
        </w:rPr>
        <w:footnoteReference w:id="1816" w:customMarkFollows="0"/>
      </w:r>
      <w:bookmarkEnd w:id="2672"/>
      <w:r>
        <w:rPr>
          <w:rtl/>
        </w:rPr>
        <w:t xml:space="preserve"> כמי </w:t>
      </w:r>
      <w:proofErr w:type="spellStart"/>
      <w:r>
        <w:rPr>
          <w:rtl/>
        </w:rPr>
        <w:t>ש“לא</w:t>
      </w:r>
      <w:proofErr w:type="spellEnd"/>
      <w:r>
        <w:rPr>
          <w:rtl/>
        </w:rPr>
        <w:t xml:space="preserve"> הכיר אותו ‘העולם’ בפיקחותו הגדולה – הוא היה יכול להכניס כל אחד לכיסו האחורי בפיקחותו”;</w:t>
      </w:r>
      <w:bookmarkStart w:id="2673" w:name="_fnr1813"/>
      <w:r>
        <w:rPr>
          <w:rStyle w:val="a5"/>
        </w:rPr>
        <w:footnoteReference w:id="1817" w:customMarkFollows="0"/>
      </w:r>
      <w:bookmarkEnd w:id="2673"/>
      <w:r>
        <w:rPr>
          <w:rtl/>
        </w:rPr>
        <w:t xml:space="preserve"> וכמי שידע לחזות את תגובותיהם של בני אדם טוב יותר מר׳ </w:t>
      </w:r>
      <w:proofErr w:type="spellStart"/>
      <w:r>
        <w:rPr>
          <w:rtl/>
        </w:rPr>
        <w:t>חיים־עוזר</w:t>
      </w:r>
      <w:proofErr w:type="spellEnd"/>
      <w:r>
        <w:rPr>
          <w:rtl/>
        </w:rPr>
        <w:t>.</w:t>
      </w:r>
      <w:bookmarkStart w:id="2674" w:name="_fnr1814"/>
      <w:r>
        <w:rPr>
          <w:rStyle w:val="a5"/>
        </w:rPr>
        <w:footnoteReference w:id="1818" w:customMarkFollows="0"/>
      </w:r>
      <w:bookmarkEnd w:id="2674"/>
    </w:p>
    <w:p w14:paraId="16BEAA22" w14:textId="77777777" w:rsidR="00AB3647" w:rsidRDefault="00000000" w:rsidP="007923E9">
      <w:pPr>
        <w:spacing w:after="120" w:line="276" w:lineRule="auto"/>
        <w:ind w:firstLine="283"/>
        <w:jc w:val="both"/>
      </w:pPr>
      <w:r>
        <w:rPr>
          <w:rtl/>
        </w:rPr>
        <w:t xml:space="preserve">עוד מובא </w:t>
      </w:r>
      <w:proofErr w:type="spellStart"/>
      <w:r>
        <w:rPr>
          <w:rtl/>
        </w:rPr>
        <w:t>ב“שמושה</w:t>
      </w:r>
      <w:proofErr w:type="spellEnd"/>
      <w:r>
        <w:rPr>
          <w:rtl/>
        </w:rPr>
        <w:t xml:space="preserve"> של תורה”</w:t>
      </w:r>
      <w:bookmarkStart w:id="2675" w:name="_fnr1815"/>
      <w:r>
        <w:rPr>
          <w:rStyle w:val="a5"/>
        </w:rPr>
        <w:footnoteReference w:id="1819" w:customMarkFollows="0"/>
      </w:r>
      <w:bookmarkEnd w:id="2675"/>
      <w:r>
        <w:rPr>
          <w:rtl/>
        </w:rPr>
        <w:t xml:space="preserve"> שר׳ </w:t>
      </w:r>
      <w:proofErr w:type="spellStart"/>
      <w:r>
        <w:rPr>
          <w:rtl/>
        </w:rPr>
        <w:t>איסר־זלמן</w:t>
      </w:r>
      <w:proofErr w:type="spellEnd"/>
      <w:r>
        <w:rPr>
          <w:rtl/>
        </w:rPr>
        <w:t xml:space="preserve"> מלצר סיפר </w:t>
      </w:r>
      <w:proofErr w:type="spellStart"/>
      <w:r>
        <w:rPr>
          <w:rtl/>
        </w:rPr>
        <w:t>שהחפץ־חיים</w:t>
      </w:r>
      <w:proofErr w:type="spellEnd"/>
      <w:r>
        <w:rPr>
          <w:rtl/>
        </w:rPr>
        <w:t xml:space="preserve"> שקל לחבר פירוש על התלמוד הירושלמי לפני שהוציא לאור את “משנה ברורה” שלו, אבל חזר בו ואמר: “מי שיוציא לאור פירוש כזה יצטרך בהכרח להדפיסו עם נוסח הירושלמי, ומי שיעשה זאת – ירד מנכסיו”. נבואה זו נתקיימה עשרים שנה לאחר מכן, בשנת תרס״ג: ר׳ </w:t>
      </w:r>
      <w:proofErr w:type="spellStart"/>
      <w:r>
        <w:rPr>
          <w:rtl/>
        </w:rPr>
        <w:t>יענקל־דוד</w:t>
      </w:r>
      <w:proofErr w:type="spellEnd"/>
      <w:r>
        <w:rPr>
          <w:rtl/>
        </w:rPr>
        <w:t xml:space="preserve"> </w:t>
      </w:r>
      <w:proofErr w:type="spellStart"/>
      <w:r>
        <w:rPr>
          <w:rtl/>
        </w:rPr>
        <w:t>ווילובסקי</w:t>
      </w:r>
      <w:proofErr w:type="spellEnd"/>
      <w:r>
        <w:rPr>
          <w:rtl/>
        </w:rPr>
        <w:t xml:space="preserve">, </w:t>
      </w:r>
      <w:proofErr w:type="spellStart"/>
      <w:r>
        <w:rPr>
          <w:rtl/>
        </w:rPr>
        <w:t>הרידב״ז</w:t>
      </w:r>
      <w:proofErr w:type="spellEnd"/>
      <w:r>
        <w:rPr>
          <w:rtl/>
        </w:rPr>
        <w:t>, שהוציא לאור את פירושו יחד עם נוסח התלמוד הירושלמי, ירד מנכסיו ונאלץ לברוח מרוסיה לאמריקה ומשם לארץ ישראל. “החפץ חיים (ישר)”,</w:t>
      </w:r>
      <w:bookmarkStart w:id="2676" w:name="_fnr1816"/>
      <w:r>
        <w:rPr>
          <w:rStyle w:val="a5"/>
        </w:rPr>
        <w:footnoteReference w:id="1820" w:customMarkFollows="0"/>
      </w:r>
      <w:bookmarkEnd w:id="2676"/>
      <w:r>
        <w:rPr>
          <w:rtl/>
        </w:rPr>
        <w:t xml:space="preserve"> לעומת זאת, טוען בשם ר׳ </w:t>
      </w:r>
      <w:proofErr w:type="spellStart"/>
      <w:r>
        <w:rPr>
          <w:rtl/>
        </w:rPr>
        <w:t>דוד־טעביל</w:t>
      </w:r>
      <w:proofErr w:type="spellEnd"/>
      <w:r>
        <w:rPr>
          <w:rtl/>
        </w:rPr>
        <w:t xml:space="preserve"> </w:t>
      </w:r>
      <w:proofErr w:type="spellStart"/>
      <w:r>
        <w:rPr>
          <w:rtl/>
        </w:rPr>
        <w:t>דינובסקי</w:t>
      </w:r>
      <w:proofErr w:type="spellEnd"/>
      <w:r>
        <w:rPr>
          <w:rtl/>
        </w:rPr>
        <w:t xml:space="preserve"> </w:t>
      </w:r>
      <w:proofErr w:type="spellStart"/>
      <w:r>
        <w:rPr>
          <w:rtl/>
        </w:rPr>
        <w:t>שהחפץ־חיים</w:t>
      </w:r>
      <w:proofErr w:type="spellEnd"/>
      <w:r>
        <w:rPr>
          <w:rtl/>
        </w:rPr>
        <w:t xml:space="preserve"> אמר: “טרדות עניינים אחרים מנעו ממני לעת עתה לחבר פירוש על התלמוד הירושלמי.”</w:t>
      </w:r>
    </w:p>
    <w:p w14:paraId="2B91A01D" w14:textId="47D732D1" w:rsidR="00AB3647" w:rsidRDefault="00000000" w:rsidP="007923E9">
      <w:pPr>
        <w:spacing w:after="120" w:line="276" w:lineRule="auto"/>
        <w:ind w:firstLine="283"/>
        <w:jc w:val="both"/>
      </w:pPr>
      <w:r>
        <w:rPr>
          <w:rtl/>
        </w:rPr>
        <w:t>השווה גם “תורת חיים”,</w:t>
      </w:r>
      <w:bookmarkStart w:id="2677" w:name="_fnr1817"/>
      <w:r>
        <w:rPr>
          <w:rStyle w:val="a5"/>
        </w:rPr>
        <w:footnoteReference w:id="1821" w:customMarkFollows="0"/>
      </w:r>
      <w:bookmarkEnd w:id="2677"/>
      <w:r>
        <w:rPr>
          <w:rtl/>
        </w:rPr>
        <w:t xml:space="preserve"> המספר בשם ר׳ </w:t>
      </w:r>
      <w:proofErr w:type="spellStart"/>
      <w:r>
        <w:rPr>
          <w:rtl/>
        </w:rPr>
        <w:t>ברוך־בער</w:t>
      </w:r>
      <w:proofErr w:type="spellEnd"/>
      <w:r>
        <w:rPr>
          <w:rtl/>
        </w:rPr>
        <w:t xml:space="preserve"> שכשהתווכח בעניין מסוים עם בנו של </w:t>
      </w:r>
      <w:proofErr w:type="spellStart"/>
      <w:r>
        <w:rPr>
          <w:rtl/>
        </w:rPr>
        <w:t>החפץ־חיים</w:t>
      </w:r>
      <w:proofErr w:type="spellEnd"/>
      <w:r>
        <w:rPr>
          <w:rtl/>
        </w:rPr>
        <w:t xml:space="preserve">, ר׳ אברהם, בשעה ששניהם למדו </w:t>
      </w:r>
      <w:proofErr w:type="spellStart"/>
      <w:r>
        <w:rPr>
          <w:rtl/>
        </w:rPr>
        <w:t>בוולוז׳ין</w:t>
      </w:r>
      <w:proofErr w:type="spellEnd"/>
      <w:r>
        <w:rPr>
          <w:rtl/>
        </w:rPr>
        <w:t xml:space="preserve">, אמר לו ר׳ חיים </w:t>
      </w:r>
      <w:proofErr w:type="spellStart"/>
      <w:r>
        <w:rPr>
          <w:rtl/>
        </w:rPr>
        <w:t>סולובייצ׳יק</w:t>
      </w:r>
      <w:proofErr w:type="spellEnd"/>
      <w:r>
        <w:rPr>
          <w:rtl/>
        </w:rPr>
        <w:t xml:space="preserve">: “אתה מתווכח </w:t>
      </w:r>
      <w:r>
        <w:rPr>
          <w:b/>
          <w:bCs/>
          <w:rtl/>
        </w:rPr>
        <w:t>עמו</w:t>
      </w:r>
      <w:r>
        <w:rPr>
          <w:rtl/>
        </w:rPr>
        <w:t xml:space="preserve">? וכי אינך יודע שהוא בא </w:t>
      </w:r>
      <w:proofErr w:type="spellStart"/>
      <w:r>
        <w:rPr>
          <w:rtl/>
        </w:rPr>
        <w:t>מ‘חדר</w:t>
      </w:r>
      <w:proofErr w:type="spellEnd"/>
      <w:r>
        <w:rPr>
          <w:rtl/>
        </w:rPr>
        <w:t xml:space="preserve">’ המצטיין בצדקות </w:t>
      </w:r>
      <w:r>
        <w:rPr>
          <w:b/>
          <w:bCs/>
          <w:rtl/>
        </w:rPr>
        <w:t>וישרות</w:t>
      </w:r>
      <w:r>
        <w:rPr>
          <w:rtl/>
        </w:rPr>
        <w:t xml:space="preserve"> (ההדגשה שלי)?!” אני סבור שכשדיבר ר׳ חיים אל ר׳ </w:t>
      </w:r>
      <w:proofErr w:type="spellStart"/>
      <w:r>
        <w:rPr>
          <w:rtl/>
        </w:rPr>
        <w:t>ברוך־בער</w:t>
      </w:r>
      <w:proofErr w:type="spellEnd"/>
      <w:r>
        <w:rPr>
          <w:rtl/>
        </w:rPr>
        <w:t>, השתמש במונח ישרות כלשון נקייה לפיקחות. ר׳ חיים עצמו היה פיקח מופלג, כמבואר בפרק 4, הפסקה החמישית ב</w:t>
      </w:r>
      <w:r>
        <w:rPr>
          <w:rtl/>
        </w:rPr>
        <w:fldChar w:fldCharType="begin" w:dirty="true"/>
      </w:r>
      <w:r>
        <w:rPr>
          <w:rtl/>
        </w:rPr>
        <w:instrText xml:space="preserve"> REF b4_excI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xml:space="preserve">. ראה גם “עובדות והנהגות לבית </w:t>
      </w:r>
      <w:proofErr w:type="spellStart"/>
      <w:r>
        <w:rPr>
          <w:rtl/>
        </w:rPr>
        <w:t>בריסק</w:t>
      </w:r>
      <w:proofErr w:type="spellEnd"/>
      <w:r>
        <w:rPr>
          <w:rtl/>
        </w:rPr>
        <w:t>”,</w:t>
      </w:r>
      <w:bookmarkStart w:id="2678" w:name="_fnr1818"/>
      <w:r>
        <w:rPr>
          <w:rStyle w:val="a5"/>
        </w:rPr>
        <w:footnoteReference w:id="1822" w:customMarkFollows="0"/>
      </w:r>
      <w:bookmarkEnd w:id="2678"/>
      <w:r>
        <w:rPr>
          <w:rtl/>
        </w:rPr>
        <w:t xml:space="preserve"> המספר שר׳ </w:t>
      </w:r>
      <w:proofErr w:type="spellStart"/>
      <w:r>
        <w:rPr>
          <w:rtl/>
        </w:rPr>
        <w:t>ברוך־בער</w:t>
      </w:r>
      <w:proofErr w:type="spellEnd"/>
      <w:r>
        <w:rPr>
          <w:rtl/>
        </w:rPr>
        <w:t xml:space="preserve"> אמר על עצמו: “רבי ר׳ חיים לא החזיק אותי לאדם חכם במיוחד – א </w:t>
      </w:r>
      <w:proofErr w:type="spellStart"/>
      <w:r>
        <w:rPr>
          <w:rtl/>
        </w:rPr>
        <w:t>גרויסער</w:t>
      </w:r>
      <w:proofErr w:type="spellEnd"/>
      <w:r>
        <w:rPr>
          <w:rtl/>
        </w:rPr>
        <w:t xml:space="preserve"> חכם [חכם גדול].”</w:t>
      </w:r>
      <w:bookmarkStart w:id="2679" w:name="_fnr1819"/>
      <w:r>
        <w:rPr>
          <w:rStyle w:val="a5"/>
        </w:rPr>
        <w:footnoteReference w:id="1823" w:customMarkFollows="0"/>
      </w:r>
      <w:bookmarkEnd w:id="2679"/>
    </w:p>
    <w:p w14:paraId="0CB83023" w14:textId="77777777" w:rsidR="00AB3647" w:rsidRDefault="00000000" w:rsidP="007923E9">
      <w:pPr>
        <w:spacing w:after="120" w:line="276" w:lineRule="auto"/>
        <w:ind w:firstLine="283"/>
        <w:jc w:val="both"/>
      </w:pPr>
      <w:r>
        <w:rPr>
          <w:rtl/>
        </w:rPr>
        <w:t xml:space="preserve">בייסורי מצפונו הלך ר׳ </w:t>
      </w:r>
      <w:proofErr w:type="spellStart"/>
      <w:r>
        <w:rPr>
          <w:rtl/>
        </w:rPr>
        <w:t>ברוך־בער</w:t>
      </w:r>
      <w:proofErr w:type="spellEnd"/>
      <w:r>
        <w:rPr>
          <w:rtl/>
        </w:rPr>
        <w:t xml:space="preserve"> בדרכם של שניים: ראשית, ר׳ יוסף־דב, אביו של רבו ר׳ חיים, שלפי “הראשון לשושלת </w:t>
      </w:r>
      <w:proofErr w:type="spellStart"/>
      <w:r>
        <w:rPr>
          <w:rtl/>
        </w:rPr>
        <w:t>בריסק</w:t>
      </w:r>
      <w:proofErr w:type="spellEnd"/>
      <w:r>
        <w:rPr>
          <w:rtl/>
        </w:rPr>
        <w:t>”</w:t>
      </w:r>
      <w:bookmarkStart w:id="2680" w:name="_fnr1820"/>
      <w:r>
        <w:rPr>
          <w:rStyle w:val="a5"/>
        </w:rPr>
        <w:footnoteReference w:id="1824" w:customMarkFollows="0"/>
      </w:r>
      <w:bookmarkEnd w:id="2680"/>
      <w:r>
        <w:rPr>
          <w:rtl/>
        </w:rPr>
        <w:t xml:space="preserve"> היה מוטרד אחרי פטירת אביו שמא לא כיבד אותו די הצורך; ושנית, ר׳ חיים עצמו,</w:t>
      </w:r>
      <w:bookmarkStart w:id="2681" w:name="_fnr1821"/>
      <w:r>
        <w:rPr>
          <w:rStyle w:val="a5"/>
        </w:rPr>
        <w:footnoteReference w:id="1825" w:customMarkFollows="0"/>
      </w:r>
      <w:bookmarkEnd w:id="2681"/>
      <w:r>
        <w:rPr>
          <w:rtl/>
        </w:rPr>
        <w:t xml:space="preserve"> שסבל מרגשי אשמה קשים כשמת אביו.</w:t>
      </w:r>
      <w:bookmarkStart w:id="2682" w:name="_fnr1822"/>
      <w:r>
        <w:rPr>
          <w:rStyle w:val="a5"/>
        </w:rPr>
        <w:footnoteReference w:id="1826" w:customMarkFollows="0"/>
      </w:r>
      <w:bookmarkEnd w:id="2682"/>
      <w:r>
        <w:rPr>
          <w:rtl/>
        </w:rPr>
        <w:t xml:space="preserve"> ר׳ חיים היה משוכנע שבואו לבית אביו </w:t>
      </w:r>
      <w:proofErr w:type="spellStart"/>
      <w:r>
        <w:rPr>
          <w:rtl/>
        </w:rPr>
        <w:t>בבריסק</w:t>
      </w:r>
      <w:proofErr w:type="spellEnd"/>
      <w:r>
        <w:rPr>
          <w:rtl/>
        </w:rPr>
        <w:t xml:space="preserve">, כשנסגרה ישיבת </w:t>
      </w:r>
      <w:proofErr w:type="spellStart"/>
      <w:r>
        <w:rPr>
          <w:rtl/>
        </w:rPr>
        <w:t>וולוז׳ין</w:t>
      </w:r>
      <w:proofErr w:type="spellEnd"/>
      <w:r>
        <w:rPr>
          <w:rtl/>
        </w:rPr>
        <w:t xml:space="preserve">, היה סיבה למותו של ר׳ יוסף־דב, שכן נוכחות בנו הייתה תזכורת מכאיבה ומתמדת לסגירתה של מצודת התורה. אנשים רבים ניסו לשכנע את ר׳ חיים שאין בו אשמה, אבל לא הצליחו להזיזו מדעתו.</w:t>
      </w:r>
    </w:p>
    <w:p w14:paraId="111B59A7" w14:textId="77777777" w:rsidR="00AB3647" w:rsidRDefault="00000000" w:rsidP="007923E9">
      <w:pPr>
        <w:spacing w:after="120" w:line="276" w:lineRule="auto"/>
        <w:ind w:firstLine="283"/>
        <w:jc w:val="both"/>
      </w:pPr>
      <w:r>
        <w:rPr>
          <w:rtl/>
        </w:rPr>
        <w:lastRenderedPageBreak/>
        <w:t xml:space="preserve">בסוף השבעה יצא עמו לטיול ר׳ מנחם </w:t>
      </w:r>
      <w:proofErr w:type="spellStart"/>
      <w:r>
        <w:rPr>
          <w:rtl/>
        </w:rPr>
        <w:t>קרקובסקי</w:t>
      </w:r>
      <w:proofErr w:type="spellEnd"/>
      <w:r>
        <w:rPr>
          <w:rtl/>
        </w:rPr>
        <w:t>,</w:t>
      </w:r>
      <w:bookmarkStart w:id="2683" w:name="_fnr1823"/>
      <w:r>
        <w:rPr>
          <w:rStyle w:val="a5"/>
        </w:rPr>
        <w:footnoteReference w:id="1827" w:customMarkFollows="0"/>
      </w:r>
      <w:bookmarkEnd w:id="2683"/>
      <w:r>
        <w:rPr>
          <w:rtl/>
        </w:rPr>
        <w:t xml:space="preserve"> תלמיד קרוב מאוד </w:t>
      </w:r>
      <w:proofErr w:type="spellStart"/>
      <w:r>
        <w:rPr>
          <w:rtl/>
        </w:rPr>
        <w:t>מוולוז׳ין</w:t>
      </w:r>
      <w:proofErr w:type="spellEnd"/>
      <w:r>
        <w:rPr>
          <w:rtl/>
        </w:rPr>
        <w:t xml:space="preserve">, ור׳ חיים העלה את עניין שובו הנמהר </w:t>
      </w:r>
      <w:proofErr w:type="spellStart"/>
      <w:r>
        <w:rPr>
          <w:rtl/>
        </w:rPr>
        <w:t>לבריסק</w:t>
      </w:r>
      <w:proofErr w:type="spellEnd"/>
      <w:r>
        <w:rPr>
          <w:rtl/>
        </w:rPr>
        <w:t xml:space="preserve">, </w:t>
      </w:r>
      <w:proofErr w:type="spellStart"/>
      <w:r>
        <w:rPr>
          <w:rtl/>
        </w:rPr>
        <w:t>ש“גרם</w:t>
      </w:r>
      <w:proofErr w:type="spellEnd"/>
      <w:r>
        <w:rPr>
          <w:rtl/>
        </w:rPr>
        <w:t xml:space="preserve"> למות אביו”. הרב </w:t>
      </w:r>
      <w:proofErr w:type="spellStart"/>
      <w:r>
        <w:rPr>
          <w:rtl/>
        </w:rPr>
        <w:t>קרקובסקי</w:t>
      </w:r>
      <w:proofErr w:type="spellEnd"/>
      <w:r>
        <w:rPr>
          <w:rtl/>
        </w:rPr>
        <w:t xml:space="preserve"> “הסכים” שטעה בכך שסיכן את חיי אביו בבואו </w:t>
      </w:r>
      <w:proofErr w:type="spellStart"/>
      <w:r>
        <w:rPr>
          <w:rtl/>
        </w:rPr>
        <w:t>לבריסק</w:t>
      </w:r>
      <w:proofErr w:type="spellEnd"/>
      <w:r>
        <w:rPr>
          <w:rtl/>
        </w:rPr>
        <w:t xml:space="preserve">. אז התחיל ר׳ חיים לטעון שאולי הדבר הנכון היה דווקא להישאר לצד אביו. כשניסה הרב </w:t>
      </w:r>
      <w:proofErr w:type="spellStart"/>
      <w:r>
        <w:rPr>
          <w:rtl/>
        </w:rPr>
        <w:t>קרקובסקי</w:t>
      </w:r>
      <w:proofErr w:type="spellEnd"/>
      <w:r>
        <w:rPr>
          <w:rtl/>
        </w:rPr>
        <w:t xml:space="preserve"> לחלוק על הצעה זו, פתח ר׳ חיים בדיון מפורט באפשרויות שעמדו לפניו כשנסגרה </w:t>
      </w:r>
      <w:proofErr w:type="spellStart"/>
      <w:r>
        <w:rPr>
          <w:rtl/>
        </w:rPr>
        <w:t>וולוז׳ין</w:t>
      </w:r>
      <w:proofErr w:type="spellEnd"/>
      <w:r>
        <w:rPr>
          <w:rtl/>
        </w:rPr>
        <w:t xml:space="preserve">, ואחרי ניתוח מלא של המצב הוכיח למלווהו </w:t>
      </w:r>
      <w:r>
        <w:rPr>
          <w:b/>
          <w:bCs/>
          <w:rtl/>
        </w:rPr>
        <w:t>שלא הייתה לו ברירה</w:t>
      </w:r>
      <w:r>
        <w:rPr>
          <w:rtl/>
        </w:rPr>
        <w:t xml:space="preserve"> אלא לבוא </w:t>
      </w:r>
      <w:proofErr w:type="spellStart"/>
      <w:r>
        <w:rPr>
          <w:rtl/>
        </w:rPr>
        <w:t>לבריסק</w:t>
      </w:r>
      <w:proofErr w:type="spellEnd"/>
      <w:r>
        <w:rPr>
          <w:rtl/>
        </w:rPr>
        <w:t xml:space="preserve"> – וכך חילץ את עצמו ממצוקתו.</w:t>
      </w:r>
    </w:p>
    <w:p w14:paraId="614B1237" w14:textId="77777777" w:rsidR="00AB3647" w:rsidRDefault="00000000" w:rsidP="007923E9">
      <w:pPr>
        <w:spacing w:after="120" w:line="276" w:lineRule="auto"/>
        <w:ind w:firstLine="283"/>
        <w:jc w:val="both"/>
      </w:pPr>
      <w:r>
        <w:rPr>
          <w:rtl/>
        </w:rPr>
        <w:t xml:space="preserve">לימים נשאל ר׳ מנחם </w:t>
      </w:r>
      <w:proofErr w:type="spellStart"/>
      <w:r>
        <w:rPr>
          <w:rtl/>
        </w:rPr>
        <w:t>קרקובסקי</w:t>
      </w:r>
      <w:proofErr w:type="spellEnd"/>
      <w:r>
        <w:rPr>
          <w:rtl/>
        </w:rPr>
        <w:t xml:space="preserve"> איך עלתה בדעתו הדרך המשונה לפתור את בעייתו של ר׳ חיים – להעמיד פנים שהוא מסכים שר׳ חיים אכן אשם. הוא הסביר ששיער שמשעה שגיבש ר׳ חיים </w:t>
      </w:r>
      <w:proofErr w:type="spellStart"/>
      <w:r>
        <w:rPr>
          <w:rtl/>
        </w:rPr>
        <w:t>סברא</w:t>
      </w:r>
      <w:proofErr w:type="spellEnd"/>
      <w:r>
        <w:rPr>
          <w:rtl/>
        </w:rPr>
        <w:t xml:space="preserve"> בדעתו, אין אדם בעולם שיכול לחלוק עליה – מלבד ר׳ חיים עצמו. כל שהיה עליו לעשות הוא להביא את ר׳ חיים לבחון את סברתו מחדש, לנתח אותה שוב, ולהוכיח </w:t>
      </w:r>
      <w:r>
        <w:rPr>
          <w:b/>
          <w:bCs/>
          <w:rtl/>
        </w:rPr>
        <w:t>לעצמו</w:t>
      </w:r>
      <w:r>
        <w:rPr>
          <w:rtl/>
        </w:rPr>
        <w:t xml:space="preserve"> שהיא מוטעית.</w:t>
      </w:r>
    </w:p>
    <w:p w14:paraId="1806AAD0" w14:textId="77777777" w:rsidR="00AB3647" w:rsidRDefault="00000000" w:rsidP="007923E9">
      <w:pPr>
        <w:spacing w:after="120" w:line="276" w:lineRule="auto"/>
        <w:ind w:firstLine="283"/>
        <w:jc w:val="both"/>
      </w:pPr>
      <w:r>
        <w:rPr>
          <w:rtl/>
        </w:rPr>
        <w:t xml:space="preserve">לפי </w:t>
      </w:r>
      <w:proofErr w:type="spellStart"/>
      <w:r>
        <w:rPr>
          <w:rtl/>
        </w:rPr>
        <w:t>נינו</w:t>
      </w:r>
      <w:proofErr w:type="spellEnd"/>
      <w:r>
        <w:rPr>
          <w:rtl/>
        </w:rPr>
        <w:t xml:space="preserve"> של ר׳ חיים, ר׳ </w:t>
      </w:r>
      <w:proofErr w:type="spellStart"/>
      <w:r>
        <w:rPr>
          <w:rtl/>
        </w:rPr>
        <w:t>משה־אהרן</w:t>
      </w:r>
      <w:proofErr w:type="spellEnd"/>
      <w:r>
        <w:rPr>
          <w:rtl/>
        </w:rPr>
        <w:t xml:space="preserve"> </w:t>
      </w:r>
      <w:proofErr w:type="spellStart"/>
      <w:r>
        <w:rPr>
          <w:rtl/>
        </w:rPr>
        <w:t>סולובייצ׳יק</w:t>
      </w:r>
      <w:proofErr w:type="spellEnd"/>
      <w:r>
        <w:rPr>
          <w:rtl/>
        </w:rPr>
        <w:t>, גילה ר׳ חיים רגשי אשמה גם על מותו של ילד זמן מה אחרי שהיה סנדק בבריתו.</w:t>
      </w:r>
      <w:bookmarkStart w:id="2684" w:name="_fnr1824"/>
      <w:r>
        <w:rPr>
          <w:rStyle w:val="a5"/>
        </w:rPr>
        <w:footnoteReference w:id="1828" w:customMarkFollows="0"/>
      </w:r>
      <w:bookmarkEnd w:id="2684"/>
      <w:r>
        <w:rPr>
          <w:rtl/>
        </w:rPr>
        <w:t xml:space="preserve"> ר׳ </w:t>
      </w:r>
      <w:proofErr w:type="spellStart"/>
      <w:r>
        <w:rPr>
          <w:rtl/>
        </w:rPr>
        <w:t>משה־אהרן</w:t>
      </w:r>
      <w:proofErr w:type="spellEnd"/>
      <w:r>
        <w:rPr>
          <w:rtl/>
        </w:rPr>
        <w:t xml:space="preserve"> סיפר גם מעשה שני לכאורה, שבו נאמר שר׳ חיים שימש מוהל, ולא סנדק: ר׳ חיים מל בעצמו את בנו הבכור, והתינוק מת כעבור חודשיים. כשנולד הבן הבא – בנו הבכור מבין אלה שנשארו בחיים, </w:t>
      </w:r>
      <w:proofErr w:type="spellStart"/>
      <w:r>
        <w:rPr>
          <w:rtl/>
        </w:rPr>
        <w:t>ישראל־גרשון</w:t>
      </w:r>
      <w:proofErr w:type="spellEnd"/>
      <w:r>
        <w:rPr>
          <w:rtl/>
        </w:rPr>
        <w:t xml:space="preserve"> – “לא ראה </w:t>
      </w:r>
      <w:proofErr w:type="spellStart"/>
      <w:r>
        <w:rPr>
          <w:rtl/>
        </w:rPr>
        <w:t>הנצי״ב</w:t>
      </w:r>
      <w:proofErr w:type="spellEnd"/>
      <w:r>
        <w:rPr>
          <w:rtl/>
        </w:rPr>
        <w:t xml:space="preserve"> בעין יפה שאברך צעיר ימול את בנו בעצמו, והמציא איזו ‘שאלה’, ור׳ חיים פסל את עצמו מלמול”.</w:t>
      </w:r>
    </w:p>
    <w:p w14:paraId="52D3B771" w14:textId="77777777" w:rsidR="00AB3647" w:rsidRDefault="00000000" w:rsidP="007923E9">
      <w:pPr>
        <w:spacing w:after="120" w:line="276" w:lineRule="auto"/>
        <w:ind w:firstLine="283"/>
        <w:jc w:val="both"/>
      </w:pPr>
      <w:r>
        <w:rPr>
          <w:rtl/>
        </w:rPr>
        <w:t xml:space="preserve">אפשר לשער ששני המעשים שסיפר ר׳ </w:t>
      </w:r>
      <w:proofErr w:type="spellStart"/>
      <w:r>
        <w:rPr>
          <w:rtl/>
        </w:rPr>
        <w:t>משה־אהרן</w:t>
      </w:r>
      <w:proofErr w:type="spellEnd"/>
      <w:r>
        <w:rPr>
          <w:rtl/>
        </w:rPr>
        <w:t xml:space="preserve"> היו למעשה מעשה אחד, ושהאסון אירע בבכורו של ר׳ חיים, שמל אותו בעצמו. מאחר שחשש ר׳ חיים שפגם באופן שבו מל את בנו גרם למוות, </w:t>
      </w:r>
      <w:r>
        <w:rPr>
          <w:b/>
          <w:bCs/>
          <w:rtl/>
        </w:rPr>
        <w:t>סירב</w:t>
      </w:r>
      <w:r>
        <w:rPr>
          <w:rtl/>
        </w:rPr>
        <w:t xml:space="preserve"> לנסות שוב בילד הבא, ואף נמנע מאז והלאה מלשמש סנדק אי פעם.</w:t>
      </w:r>
    </w:p>
    <w:p w14:paraId="1F3147A3" w14:textId="77777777" w:rsidR="00AB3647" w:rsidRDefault="00000000" w:rsidP="007923E9">
      <w:pPr>
        <w:spacing w:after="120" w:line="276" w:lineRule="auto"/>
        <w:ind w:firstLine="283"/>
        <w:jc w:val="both"/>
      </w:pPr>
      <w:r>
        <w:rPr>
          <w:rtl/>
        </w:rPr>
        <w:t>אבל המספרים, שרצו לטשטש כל זכר לאשמתו של ר׳ חיים,</w:t>
      </w:r>
      <w:bookmarkStart w:id="2685" w:name="_fnr1825"/>
      <w:r>
        <w:rPr>
          <w:rStyle w:val="a5"/>
        </w:rPr>
        <w:footnoteReference w:id="1829" w:customMarkFollows="0"/>
      </w:r>
      <w:bookmarkEnd w:id="2685"/>
      <w:r>
        <w:rPr>
          <w:rtl/>
        </w:rPr>
        <w:t xml:space="preserve"> הפכו את המעשה האחד לשני מאורעות נפרדים, ועשו בהם את השינויים הנדרשים. מעשה אחד שמר על רגשי האשמה של ר׳ חיים, אבל שונה כך שר׳ חיים משמש בו סנדק – תפקיד תמים כל כך, שלא יכול היה להיות בו שום יסוד ממשי לאשמה מצדו. ומאחר שתואר כסנדק (ולא שמענו מעולם שאב יהיה סנדק בברית בנו), לא יכול היה התינוק להישאר עוד בנו. המעשה האחר – שבו מל ר׳ חיים את תינוקו הראשון – השמיט כל רגש של אשמה, ואף תיאר את ר׳ חיים, נקי מכל אשמה, כשהוא מוכן למול את בנו </w:t>
      </w:r>
      <w:r>
        <w:rPr>
          <w:b/>
          <w:bCs/>
          <w:rtl/>
        </w:rPr>
        <w:t>השני</w:t>
      </w:r>
      <w:r>
        <w:rPr>
          <w:rtl/>
        </w:rPr>
        <w:t xml:space="preserve">, ורק “פני </w:t>
      </w:r>
      <w:proofErr w:type="spellStart"/>
      <w:r>
        <w:rPr>
          <w:rtl/>
        </w:rPr>
        <w:t>הנצי״ב</w:t>
      </w:r>
      <w:proofErr w:type="spellEnd"/>
      <w:r>
        <w:rPr>
          <w:rtl/>
        </w:rPr>
        <w:t xml:space="preserve"> הזועפות” מנעו זאת ממנו.</w:t>
      </w:r>
    </w:p>
    <w:p w14:paraId="40960D09" w14:textId="77777777" w:rsidR="00AB3647" w:rsidRDefault="00000000" w:rsidP="007923E9">
      <w:pPr>
        <w:spacing w:after="120" w:line="276" w:lineRule="auto"/>
        <w:ind w:firstLine="283"/>
        <w:jc w:val="both"/>
      </w:pPr>
      <w:r>
        <w:rPr>
          <w:rtl/>
        </w:rPr>
        <w:lastRenderedPageBreak/>
        <w:t xml:space="preserve">ר׳ </w:t>
      </w:r>
      <w:proofErr w:type="spellStart"/>
      <w:r>
        <w:rPr>
          <w:rtl/>
        </w:rPr>
        <w:t>משה־אהרן</w:t>
      </w:r>
      <w:proofErr w:type="spellEnd"/>
      <w:r>
        <w:rPr>
          <w:rtl/>
        </w:rPr>
        <w:t xml:space="preserve"> </w:t>
      </w:r>
      <w:proofErr w:type="spellStart"/>
      <w:r>
        <w:rPr>
          <w:rtl/>
        </w:rPr>
        <w:t>סולובייצ׳יק</w:t>
      </w:r>
      <w:proofErr w:type="spellEnd"/>
      <w:r>
        <w:rPr>
          <w:rtl/>
        </w:rPr>
        <w:t xml:space="preserve"> סיפר את המעשה השני – שר׳ חיים מל את בכורו – כשהזכרתי לו מעשה זהה ביסודו המובא </w:t>
      </w:r>
      <w:proofErr w:type="spellStart"/>
      <w:r>
        <w:rPr>
          <w:rtl/>
        </w:rPr>
        <w:t>ב“נפש</w:t>
      </w:r>
      <w:proofErr w:type="spellEnd"/>
      <w:r>
        <w:rPr>
          <w:rtl/>
        </w:rPr>
        <w:t xml:space="preserve"> הרב” מאת צבי שכטר.</w:t>
      </w:r>
      <w:bookmarkStart w:id="2686" w:name="_fnr1826"/>
      <w:r>
        <w:rPr>
          <w:rStyle w:val="a5"/>
        </w:rPr>
        <w:footnoteReference w:id="1830" w:customMarkFollows="0"/>
      </w:r>
      <w:bookmarkEnd w:id="2686"/>
      <w:r>
        <w:rPr>
          <w:rtl/>
        </w:rPr>
        <w:t xml:space="preserve"> אבל מקור זה שונה בשתי נקודות: אינו מזכיר בבירור שום אסון, והוא מייחס את מניעתו של ר׳ חיים מלמול ילד שנולד אחר כך לאדם אחר, ולא </w:t>
      </w:r>
      <w:proofErr w:type="spellStart"/>
      <w:r>
        <w:rPr>
          <w:rtl/>
        </w:rPr>
        <w:t>לנצי״ב</w:t>
      </w:r>
      <w:proofErr w:type="spellEnd"/>
      <w:r>
        <w:rPr>
          <w:rtl/>
        </w:rPr>
        <w:t xml:space="preserve">. וזו לשונו: “ר׳ </w:t>
      </w:r>
      <w:proofErr w:type="spellStart"/>
      <w:r>
        <w:rPr>
          <w:rtl/>
        </w:rPr>
        <w:t>שמחה־זליג</w:t>
      </w:r>
      <w:proofErr w:type="spellEnd"/>
      <w:r>
        <w:rPr>
          <w:rtl/>
        </w:rPr>
        <w:t xml:space="preserve">, הדיין של </w:t>
      </w:r>
      <w:proofErr w:type="spellStart"/>
      <w:r>
        <w:rPr>
          <w:rtl/>
        </w:rPr>
        <w:t>בריסק</w:t>
      </w:r>
      <w:proofErr w:type="spellEnd"/>
      <w:r>
        <w:rPr>
          <w:rtl/>
        </w:rPr>
        <w:t>, מנע מר׳ חיים למול את בנו השני, מפני שהיה לו קושי גדול במילה הקודמת.”</w:t>
      </w:r>
    </w:p>
    <w:p w14:paraId="577EDD6C" w14:textId="77777777" w:rsidR="00AB3647" w:rsidRDefault="00000000" w:rsidP="007923E9">
      <w:pPr>
        <w:spacing w:after="120" w:line="276" w:lineRule="auto"/>
        <w:ind w:firstLine="283"/>
        <w:jc w:val="both"/>
      </w:pPr>
      <w:r>
        <w:rPr>
          <w:rtl/>
        </w:rPr>
        <w:t xml:space="preserve">מדיווח זה אין ברור אם “הבן השני” הוא </w:t>
      </w:r>
      <w:proofErr w:type="spellStart"/>
      <w:r>
        <w:rPr>
          <w:rtl/>
        </w:rPr>
        <w:t>ישראל־גרשון</w:t>
      </w:r>
      <w:proofErr w:type="spellEnd"/>
      <w:r>
        <w:rPr>
          <w:rtl/>
        </w:rPr>
        <w:t xml:space="preserve">, </w:t>
      </w:r>
      <w:proofErr w:type="spellStart"/>
      <w:r>
        <w:rPr>
          <w:rtl/>
        </w:rPr>
        <w:t>ו“הקושי</w:t>
      </w:r>
      <w:proofErr w:type="spellEnd"/>
      <w:r>
        <w:rPr>
          <w:rtl/>
        </w:rPr>
        <w:t xml:space="preserve"> הגדול” הוא מות תינוקו הראשון של ר׳ חיים (כדברי מרואייני ר׳ </w:t>
      </w:r>
      <w:proofErr w:type="spellStart"/>
      <w:r>
        <w:rPr>
          <w:rtl/>
        </w:rPr>
        <w:t>משה־אהרן</w:t>
      </w:r>
      <w:proofErr w:type="spellEnd"/>
      <w:r>
        <w:rPr>
          <w:rtl/>
        </w:rPr>
        <w:t xml:space="preserve">), או – מאחר שאינו מזכיר מוות – “הבן השני” הוא משה, הבן השני מבין אלה שנשארו בחיים. אבל בוודאי טועה “נפש הרב” בקשירת המאורע </w:t>
      </w:r>
      <w:proofErr w:type="spellStart"/>
      <w:r>
        <w:rPr>
          <w:rtl/>
        </w:rPr>
        <w:t>לבריסק</w:t>
      </w:r>
      <w:proofErr w:type="spellEnd"/>
      <w:r>
        <w:rPr>
          <w:rtl/>
        </w:rPr>
        <w:t xml:space="preserve"> ובייחוס ההתנגדות </w:t>
      </w:r>
      <w:proofErr w:type="spellStart"/>
      <w:r>
        <w:rPr>
          <w:rtl/>
        </w:rPr>
        <w:t>לר</w:t>
      </w:r>
      <w:proofErr w:type="spellEnd"/>
      <w:r>
        <w:rPr>
          <w:rtl/>
        </w:rPr>
        <w:t xml:space="preserve">׳ </w:t>
      </w:r>
      <w:proofErr w:type="spellStart"/>
      <w:r>
        <w:rPr>
          <w:rtl/>
        </w:rPr>
        <w:t>שמחה־זליג</w:t>
      </w:r>
      <w:proofErr w:type="spellEnd"/>
      <w:r>
        <w:rPr>
          <w:rtl/>
        </w:rPr>
        <w:t xml:space="preserve">. שהרי אפילו בנו </w:t>
      </w:r>
      <w:r>
        <w:rPr>
          <w:b/>
          <w:bCs/>
          <w:rtl/>
        </w:rPr>
        <w:t>השני שנשאר בחיים</w:t>
      </w:r>
      <w:r>
        <w:rPr>
          <w:rtl/>
        </w:rPr>
        <w:t xml:space="preserve"> של ר׳ חיים </w:t>
      </w:r>
      <w:proofErr w:type="spellStart"/>
      <w:r>
        <w:rPr>
          <w:rtl/>
        </w:rPr>
        <w:t>סולובייצ׳יק</w:t>
      </w:r>
      <w:proofErr w:type="spellEnd"/>
      <w:r>
        <w:rPr>
          <w:rtl/>
        </w:rPr>
        <w:t xml:space="preserve">, ר׳ משה, נולד </w:t>
      </w:r>
      <w:proofErr w:type="spellStart"/>
      <w:r>
        <w:rPr>
          <w:rtl/>
        </w:rPr>
        <w:t>ארבע־עשרה</w:t>
      </w:r>
      <w:proofErr w:type="spellEnd"/>
      <w:r>
        <w:rPr>
          <w:rtl/>
        </w:rPr>
        <w:t xml:space="preserve"> שנה לפני שנעשה אביו רב </w:t>
      </w:r>
      <w:proofErr w:type="spellStart"/>
      <w:r>
        <w:rPr>
          <w:rtl/>
        </w:rPr>
        <w:t>בבריסק</w:t>
      </w:r>
      <w:proofErr w:type="spellEnd"/>
      <w:r>
        <w:rPr>
          <w:rtl/>
        </w:rPr>
        <w:t xml:space="preserve">, כשר׳ </w:t>
      </w:r>
      <w:proofErr w:type="spellStart"/>
      <w:r>
        <w:rPr>
          <w:rtl/>
        </w:rPr>
        <w:t>שמחה־זליג</w:t>
      </w:r>
      <w:proofErr w:type="spellEnd"/>
      <w:r>
        <w:rPr>
          <w:rtl/>
        </w:rPr>
        <w:t xml:space="preserve"> היה רק בן </w:t>
      </w:r>
      <w:proofErr w:type="spellStart"/>
      <w:r>
        <w:rPr>
          <w:rtl/>
        </w:rPr>
        <w:t>ארבע־עשרה</w:t>
      </w:r>
      <w:proofErr w:type="spellEnd"/>
      <w:r>
        <w:rPr>
          <w:rtl/>
        </w:rPr>
        <w:t xml:space="preserve">, ובוודאי צעיר מכדי לרסן את רבו, שהיה מבוגר ממנו </w:t>
      </w:r>
      <w:proofErr w:type="spellStart"/>
      <w:r>
        <w:rPr>
          <w:rtl/>
        </w:rPr>
        <w:t>באחת־עשרה</w:t>
      </w:r>
      <w:proofErr w:type="spellEnd"/>
      <w:r>
        <w:rPr>
          <w:rtl/>
        </w:rPr>
        <w:t xml:space="preserve"> שנים.</w:t>
      </w:r>
      <w:bookmarkStart w:id="2687" w:name="_fnr1827"/>
      <w:r>
        <w:rPr>
          <w:rStyle w:val="a5"/>
        </w:rPr>
        <w:footnoteReference w:id="1831" w:customMarkFollows="0"/>
      </w:r>
      <w:bookmarkEnd w:id="2687"/>
    </w:p>
    <w:p w14:paraId="39015931" w14:textId="77777777" w:rsidR="00AB3647" w:rsidRDefault="00000000" w:rsidP="007923E9">
      <w:pPr>
        <w:spacing w:after="120" w:line="276" w:lineRule="auto"/>
        <w:ind w:firstLine="283"/>
        <w:jc w:val="both"/>
      </w:pPr>
      <w:proofErr w:type="spellStart"/>
      <w:r>
        <w:rPr>
          <w:rtl/>
        </w:rPr>
        <w:t>ב“מורשת</w:t>
      </w:r>
      <w:proofErr w:type="spellEnd"/>
      <w:r>
        <w:rPr>
          <w:rtl/>
        </w:rPr>
        <w:t xml:space="preserve"> </w:t>
      </w:r>
      <w:proofErr w:type="spellStart"/>
      <w:r>
        <w:rPr>
          <w:rtl/>
        </w:rPr>
        <w:t>סולובייצ׳יק</w:t>
      </w:r>
      <w:proofErr w:type="spellEnd"/>
      <w:r>
        <w:rPr>
          <w:rtl/>
        </w:rPr>
        <w:t>”</w:t>
      </w:r>
      <w:bookmarkStart w:id="2688" w:name="_fnr1828"/>
      <w:r>
        <w:rPr>
          <w:rStyle w:val="a5"/>
        </w:rPr>
        <w:footnoteReference w:id="1832" w:customMarkFollows="0"/>
      </w:r>
      <w:bookmarkEnd w:id="2688"/>
      <w:r>
        <w:rPr>
          <w:rtl/>
        </w:rPr>
        <w:t xml:space="preserve"> מעמידה בתו של ר׳ משה </w:t>
      </w:r>
      <w:proofErr w:type="spellStart"/>
      <w:r>
        <w:rPr>
          <w:rtl/>
        </w:rPr>
        <w:t>סולובייצ׳יק</w:t>
      </w:r>
      <w:proofErr w:type="spellEnd"/>
      <w:r>
        <w:rPr>
          <w:rtl/>
        </w:rPr>
        <w:t xml:space="preserve"> את המעשה </w:t>
      </w:r>
      <w:proofErr w:type="spellStart"/>
      <w:r>
        <w:rPr>
          <w:rtl/>
        </w:rPr>
        <w:t>בוולוז׳ין</w:t>
      </w:r>
      <w:proofErr w:type="spellEnd"/>
      <w:r>
        <w:rPr>
          <w:rtl/>
        </w:rPr>
        <w:t xml:space="preserve">. כמו “נפש הרב”, אין היא מזכירה מות ילד שנולד קודם לכן, ואף לא שר׳ חיים מל ילד שנולד קודם לכן כלל – לא את הילד שמת ולא את </w:t>
      </w:r>
      <w:proofErr w:type="spellStart"/>
      <w:r>
        <w:rPr>
          <w:rtl/>
        </w:rPr>
        <w:t>ישראל־גרשון</w:t>
      </w:r>
      <w:proofErr w:type="spellEnd"/>
      <w:r>
        <w:rPr>
          <w:rtl/>
        </w:rPr>
        <w:t xml:space="preserve">. וכך היא מספרת: “ר׳ חיים רצה למול בעצמו את בנו השני. הישיבה הייתה מלאה תלמידים [כשבירך ר׳ חיים את ברכת המילה]. כשסיים ר׳ חיים את המילה האחרונה, החלה ידו לרעוד. </w:t>
      </w:r>
      <w:proofErr w:type="spellStart"/>
      <w:r>
        <w:rPr>
          <w:rtl/>
        </w:rPr>
        <w:t>הנצי״ב</w:t>
      </w:r>
      <w:proofErr w:type="spellEnd"/>
      <w:r>
        <w:rPr>
          <w:rtl/>
        </w:rPr>
        <w:t>, שעמד לידו וידע על רגישותו של ר׳ חיים ועל פחדו ממראה דם, מיד ניגש, הסיט את ר׳ חיים הצדה ומל את הילד, שנקרא משה.”</w:t>
      </w:r>
    </w:p>
    <w:p w14:paraId="03C7884B" w14:textId="77777777" w:rsidR="00AB3647" w:rsidRDefault="00000000" w:rsidP="007923E9">
      <w:pPr>
        <w:spacing w:after="120" w:line="276" w:lineRule="auto"/>
        <w:ind w:firstLine="283"/>
        <w:jc w:val="both"/>
      </w:pPr>
      <w:r>
        <w:rPr>
          <w:rtl/>
        </w:rPr>
        <w:t>השווה גם “נפש הרב”</w:t>
      </w:r>
      <w:bookmarkStart w:id="2689" w:name="_fnr1829"/>
      <w:r>
        <w:rPr>
          <w:rStyle w:val="a5"/>
        </w:rPr>
        <w:footnoteReference w:id="1833" w:customMarkFollows="0"/>
      </w:r>
      <w:bookmarkEnd w:id="2689"/>
      <w:r>
        <w:rPr>
          <w:rtl/>
        </w:rPr>
        <w:t xml:space="preserve">: כדי לקבל את הסכמת כלתו </w:t>
      </w:r>
      <w:proofErr w:type="spellStart"/>
      <w:r>
        <w:rPr>
          <w:rtl/>
        </w:rPr>
        <w:t>פעשה</w:t>
      </w:r>
      <w:proofErr w:type="spellEnd"/>
      <w:r>
        <w:rPr>
          <w:rtl/>
        </w:rPr>
        <w:t xml:space="preserve">, אשת ר׳ משה, לוותר על זכותה לקרוא שם לבנה הבכור, אמר ר׳ חיים שישמש סנדק – “אף שבדרך כלל נמנע מלשמש בתפקיד זה” – אם תרשה לו לקרוא לנכדו על שם אביו ר׳ </w:t>
      </w:r>
      <w:proofErr w:type="spellStart"/>
      <w:r>
        <w:rPr>
          <w:rtl/>
        </w:rPr>
        <w:t xml:space="preserve">יושע־בער</w:t>
      </w:r>
      <w:proofErr w:type="spellEnd"/>
      <w:r>
        <w:rPr>
          <w:rtl/>
        </w:rPr>
        <w:t xml:space="preserve">, שאיש במשפחה עדיין לא נקרא על שמו </w:t>
      </w:r>
      <w:proofErr w:type="spellStart"/>
      <w:r>
        <w:rPr>
          <w:b/>
          <w:bCs/>
          <w:rtl/>
        </w:rPr>
        <w:t>אחת־עשרה</w:t>
      </w:r>
      <w:proofErr w:type="spellEnd"/>
      <w:r>
        <w:rPr>
          <w:b/>
          <w:bCs/>
          <w:rtl/>
        </w:rPr>
        <w:t xml:space="preserve"> שנים</w:t>
      </w:r>
      <w:r>
        <w:rPr>
          <w:rtl/>
        </w:rPr>
        <w:t xml:space="preserve"> אחרי מותו.</w:t>
      </w:r>
    </w:p>
    <w:p w14:paraId="18C45068" w14:textId="77777777" w:rsidR="00AB3647" w:rsidRDefault="00000000" w:rsidP="007923E9">
      <w:pPr>
        <w:spacing w:after="120" w:line="276" w:lineRule="auto"/>
        <w:ind w:firstLine="283"/>
        <w:jc w:val="both"/>
      </w:pPr>
      <w:r>
        <w:rPr>
          <w:rtl/>
        </w:rPr>
        <w:t xml:space="preserve">“מורשת </w:t>
      </w:r>
      <w:proofErr w:type="spellStart"/>
      <w:r>
        <w:rPr>
          <w:rtl/>
        </w:rPr>
        <w:t>סולובייצ׳יק</w:t>
      </w:r>
      <w:proofErr w:type="spellEnd"/>
      <w:r>
        <w:rPr>
          <w:rtl/>
        </w:rPr>
        <w:t>” מסכימה</w:t>
      </w:r>
      <w:bookmarkStart w:id="2690" w:name="_fnr1830"/>
      <w:r>
        <w:rPr>
          <w:rStyle w:val="a5"/>
        </w:rPr>
        <w:footnoteReference w:id="1834" w:customMarkFollows="0"/>
      </w:r>
      <w:bookmarkEnd w:id="2690"/>
      <w:r>
        <w:rPr>
          <w:rtl/>
        </w:rPr>
        <w:t xml:space="preserve"> שר׳ חיים בדרך כלל לא היה משמש סנדק, ומוסיפה את הטעם: “מספרים שהוא לא יכול היה לשאת מראה דם.” אבל על מעשה הולדת נכדו הראשון מספרת “מורשת </w:t>
      </w:r>
      <w:proofErr w:type="spellStart"/>
      <w:r>
        <w:rPr>
          <w:rtl/>
        </w:rPr>
        <w:t>סולובייצ׳יק</w:t>
      </w:r>
      <w:proofErr w:type="spellEnd"/>
      <w:r>
        <w:rPr>
          <w:rtl/>
        </w:rPr>
        <w:t xml:space="preserve">” אחרת. לדבריה, ר׳ חיים לא הבטיח לשמש סנדק, ולמעשה </w:t>
      </w:r>
      <w:r>
        <w:rPr>
          <w:b/>
          <w:bCs/>
          <w:rtl/>
        </w:rPr>
        <w:t>לא שימש בתפקיד זה</w:t>
      </w:r>
      <w:r>
        <w:rPr>
          <w:rtl/>
        </w:rPr>
        <w:t xml:space="preserve">: כשהגיעה שעת הברית “נעלם” – לא מן הטעם </w:t>
      </w:r>
      <w:proofErr w:type="spellStart"/>
      <w:r>
        <w:rPr>
          <w:rtl/>
        </w:rPr>
        <w:t>ש“מספרים</w:t>
      </w:r>
      <w:proofErr w:type="spellEnd"/>
      <w:r>
        <w:rPr>
          <w:rtl/>
        </w:rPr>
        <w:t xml:space="preserve">”, אלא מפני שאחרי שוויתרה הכלה על זכותה לקבוע את שם התינוק, רצה לוודא שאביה ר׳ אליהו </w:t>
      </w:r>
      <w:proofErr w:type="spellStart"/>
      <w:r>
        <w:rPr>
          <w:rtl/>
        </w:rPr>
        <w:t>פיינשטיין</w:t>
      </w:r>
      <w:proofErr w:type="spellEnd"/>
      <w:r>
        <w:rPr>
          <w:rtl/>
        </w:rPr>
        <w:t xml:space="preserve">, רב </w:t>
      </w:r>
      <w:proofErr w:type="spellStart"/>
      <w:r>
        <w:rPr>
          <w:rtl/>
        </w:rPr>
        <w:t>פרוז׳ני</w:t>
      </w:r>
      <w:proofErr w:type="spellEnd"/>
      <w:r>
        <w:rPr>
          <w:rtl/>
        </w:rPr>
        <w:t>, יכובד בסנדקאות, ולא הוא.</w:t>
      </w:r>
      <w:bookmarkStart w:id="2691" w:name="_fnr1831"/>
      <w:r>
        <w:rPr>
          <w:rStyle w:val="a5"/>
        </w:rPr>
        <w:footnoteReference w:id="1835" w:customMarkFollows="0"/>
      </w:r>
      <w:bookmarkEnd w:id="2691"/>
    </w:p>
    <w:p w14:paraId="3E4D713C" w14:textId="77777777" w:rsidR="00AB3647" w:rsidRDefault="00000000" w:rsidP="007923E9">
      <w:pPr>
        <w:spacing w:after="120" w:line="276" w:lineRule="auto"/>
        <w:ind w:firstLine="283"/>
        <w:jc w:val="both"/>
      </w:pPr>
      <w:r>
        <w:rPr>
          <w:rtl/>
        </w:rPr>
        <w:lastRenderedPageBreak/>
        <w:t xml:space="preserve">במאמר </w:t>
      </w:r>
      <w:proofErr w:type="spellStart"/>
      <w:r>
        <w:rPr>
          <w:rtl/>
        </w:rPr>
        <w:t>ב“שערי</w:t>
      </w:r>
      <w:proofErr w:type="spellEnd"/>
      <w:r>
        <w:rPr>
          <w:rtl/>
        </w:rPr>
        <w:t xml:space="preserve"> ישורון”</w:t>
      </w:r>
      <w:bookmarkStart w:id="2692" w:name="_fnr1832"/>
      <w:r>
        <w:rPr>
          <w:rStyle w:val="a5"/>
        </w:rPr>
        <w:footnoteReference w:id="1836" w:customMarkFollows="0"/>
      </w:r>
      <w:bookmarkEnd w:id="2692"/>
      <w:r>
        <w:rPr>
          <w:rtl/>
        </w:rPr>
        <w:t xml:space="preserve"> שכותרתו “ראש ישיבת </w:t>
      </w:r>
      <w:proofErr w:type="spellStart"/>
      <w:r>
        <w:rPr>
          <w:rtl/>
        </w:rPr>
        <w:t>קמניץ</w:t>
      </w:r>
      <w:proofErr w:type="spellEnd"/>
      <w:r>
        <w:rPr>
          <w:rtl/>
        </w:rPr>
        <w:t xml:space="preserve"> </w:t>
      </w:r>
      <w:proofErr w:type="spellStart"/>
      <w:r>
        <w:rPr>
          <w:rtl/>
        </w:rPr>
        <w:t>דליטא</w:t>
      </w:r>
      <w:proofErr w:type="spellEnd"/>
      <w:r>
        <w:rPr>
          <w:rtl/>
        </w:rPr>
        <w:t xml:space="preserve">” מספר נח זבולוני מה שסיפר לו הרב א.י. </w:t>
      </w:r>
      <w:proofErr w:type="spellStart"/>
      <w:r>
        <w:rPr>
          <w:rtl/>
        </w:rPr>
        <w:t>זסלנסקי</w:t>
      </w:r>
      <w:proofErr w:type="spellEnd"/>
      <w:r>
        <w:rPr>
          <w:rtl/>
        </w:rPr>
        <w:t xml:space="preserve">. כשביקר רבם ר׳ </w:t>
      </w:r>
      <w:proofErr w:type="spellStart"/>
      <w:r>
        <w:rPr>
          <w:rtl/>
        </w:rPr>
        <w:t>ברוך־בער</w:t>
      </w:r>
      <w:proofErr w:type="spellEnd"/>
      <w:r>
        <w:rPr>
          <w:rtl/>
        </w:rPr>
        <w:t xml:space="preserve"> בארצות הברית, ניצל הרב </w:t>
      </w:r>
      <w:proofErr w:type="spellStart"/>
      <w:r>
        <w:rPr>
          <w:rtl/>
        </w:rPr>
        <w:t>זסלנסקי</w:t>
      </w:r>
      <w:proofErr w:type="spellEnd"/>
      <w:r>
        <w:rPr>
          <w:rtl/>
        </w:rPr>
        <w:t xml:space="preserve"> את שעת הכושר ושאל אותו מדוע את ר׳ חיים </w:t>
      </w:r>
      <w:proofErr w:type="spellStart"/>
      <w:r>
        <w:rPr>
          <w:rtl/>
        </w:rPr>
        <w:t>סולובייצ׳יק</w:t>
      </w:r>
      <w:proofErr w:type="spellEnd"/>
      <w:r>
        <w:rPr>
          <w:rtl/>
        </w:rPr>
        <w:t xml:space="preserve"> הוא מכנה פשוט “הרבי”, ואילו את </w:t>
      </w:r>
      <w:proofErr w:type="spellStart"/>
      <w:r>
        <w:rPr>
          <w:rtl/>
        </w:rPr>
        <w:t>הנצי״ב</w:t>
      </w:r>
      <w:proofErr w:type="spellEnd"/>
      <w:r>
        <w:rPr>
          <w:rtl/>
        </w:rPr>
        <w:t xml:space="preserve">, שגם אצלו למד </w:t>
      </w:r>
      <w:proofErr w:type="spellStart"/>
      <w:r>
        <w:rPr>
          <w:rtl/>
        </w:rPr>
        <w:t>בוולוז׳ין</w:t>
      </w:r>
      <w:proofErr w:type="spellEnd"/>
      <w:r>
        <w:rPr>
          <w:rtl/>
        </w:rPr>
        <w:t xml:space="preserve">, הוא מכנה “הרבי ר׳ </w:t>
      </w:r>
      <w:proofErr w:type="spellStart"/>
      <w:r>
        <w:rPr>
          <w:rtl/>
        </w:rPr>
        <w:t>הירש־לייב</w:t>
      </w:r>
      <w:proofErr w:type="spellEnd"/>
      <w:r>
        <w:rPr>
          <w:rtl/>
        </w:rPr>
        <w:t xml:space="preserve">”. השיב ר׳ </w:t>
      </w:r>
      <w:proofErr w:type="spellStart"/>
      <w:r>
        <w:rPr>
          <w:rtl/>
        </w:rPr>
        <w:t>ברוך־בער</w:t>
      </w:r>
      <w:proofErr w:type="spellEnd"/>
      <w:r>
        <w:rPr>
          <w:rtl/>
        </w:rPr>
        <w:t>: “</w:t>
      </w:r>
      <w:proofErr w:type="spellStart"/>
      <w:r>
        <w:rPr>
          <w:rtl/>
        </w:rPr>
        <w:t>הנצי״ב</w:t>
      </w:r>
      <w:proofErr w:type="spellEnd"/>
      <w:r>
        <w:rPr>
          <w:rtl/>
        </w:rPr>
        <w:t xml:space="preserve"> היה מלאך ה׳... מן </w:t>
      </w:r>
      <w:proofErr w:type="spellStart"/>
      <w:r>
        <w:rPr>
          <w:rtl/>
        </w:rPr>
        <w:t>הנצי״ב</w:t>
      </w:r>
      <w:proofErr w:type="spellEnd"/>
      <w:r>
        <w:rPr>
          <w:rtl/>
        </w:rPr>
        <w:t xml:space="preserve"> למדתי הרבה, ולמדתי גם מאחרים.</w:t>
      </w:r>
      <w:bookmarkStart w:id="2693" w:name="_fnr1833"/>
      <w:r>
        <w:rPr>
          <w:rStyle w:val="a5"/>
        </w:rPr>
        <w:footnoteReference w:id="1837" w:customMarkFollows="0"/>
      </w:r>
      <w:bookmarkEnd w:id="2693"/>
      <w:r>
        <w:rPr>
          <w:rtl/>
        </w:rPr>
        <w:t xml:space="preserve"> אבל ר׳ חיים היה ויהיה רבי כל ימי חיי. בכל דבר נועצתי בו, ולא עשיתי דבר בלי ידיעתו והסכמתו.”</w:t>
      </w:r>
      <w:bookmarkStart w:id="2694" w:name="_fnr1834"/>
      <w:r>
        <w:rPr>
          <w:rStyle w:val="a5"/>
        </w:rPr>
        <w:footnoteReference w:id="1838" w:customMarkFollows="0"/>
      </w:r>
      <w:bookmarkEnd w:id="2694"/>
    </w:p>
    <w:p w14:paraId="3BFDE144" w14:textId="77777777" w:rsidR="00AB3647" w:rsidRDefault="00000000" w:rsidP="007923E9">
      <w:pPr>
        <w:spacing w:after="120" w:line="276" w:lineRule="auto"/>
        <w:ind w:firstLine="283"/>
        <w:jc w:val="both"/>
      </w:pPr>
      <w:r>
        <w:rPr>
          <w:rtl/>
        </w:rPr>
        <w:t xml:space="preserve">ר׳ </w:t>
      </w:r>
      <w:proofErr w:type="spellStart"/>
      <w:r>
        <w:rPr>
          <w:rtl/>
        </w:rPr>
        <w:t>יענקל</w:t>
      </w:r>
      <w:proofErr w:type="spellEnd"/>
      <w:r>
        <w:rPr>
          <w:rtl/>
        </w:rPr>
        <w:t xml:space="preserve"> </w:t>
      </w:r>
      <w:proofErr w:type="spellStart"/>
      <w:r>
        <w:rPr>
          <w:rtl/>
        </w:rPr>
        <w:t>לשינסקי</w:t>
      </w:r>
      <w:proofErr w:type="spellEnd"/>
      <w:r>
        <w:rPr>
          <w:rtl/>
        </w:rPr>
        <w:t>, תלמידו של ר׳ שלמה היימן, סיפר</w:t>
      </w:r>
      <w:bookmarkStart w:id="2695" w:name="_fnr1835"/>
      <w:r>
        <w:rPr>
          <w:rStyle w:val="a5"/>
        </w:rPr>
        <w:footnoteReference w:id="1839" w:customMarkFollows="0"/>
      </w:r>
      <w:bookmarkEnd w:id="2695"/>
      <w:r>
        <w:rPr>
          <w:rtl/>
        </w:rPr>
        <w:t xml:space="preserve"> שרבו אמר לו פעם שנסע </w:t>
      </w:r>
      <w:proofErr w:type="spellStart"/>
      <w:r>
        <w:rPr>
          <w:rtl/>
        </w:rPr>
        <w:t>לדאצ׳ה</w:t>
      </w:r>
      <w:proofErr w:type="spellEnd"/>
      <w:r>
        <w:rPr>
          <w:rtl/>
        </w:rPr>
        <w:t xml:space="preserve"> עם ר׳ </w:t>
      </w:r>
      <w:proofErr w:type="spellStart"/>
      <w:r>
        <w:rPr>
          <w:rtl/>
        </w:rPr>
        <w:t>ברוך־בער</w:t>
      </w:r>
      <w:proofErr w:type="spellEnd"/>
      <w:r>
        <w:rPr>
          <w:rtl/>
        </w:rPr>
        <w:t xml:space="preserve">, ובשיחה בשעת טיול משותף זרק ר׳ שלמה את ההערה: “צריך להודות שר׳ </w:t>
      </w:r>
      <w:proofErr w:type="spellStart"/>
      <w:r>
        <w:rPr>
          <w:rtl/>
        </w:rPr>
        <w:t>יצחק־אלחנן</w:t>
      </w:r>
      <w:proofErr w:type="spellEnd"/>
      <w:r>
        <w:rPr>
          <w:rtl/>
        </w:rPr>
        <w:t xml:space="preserve"> [</w:t>
      </w:r>
      <w:proofErr w:type="spellStart"/>
      <w:r>
        <w:rPr>
          <w:rtl/>
        </w:rPr>
        <w:t>ספקטור</w:t>
      </w:r>
      <w:proofErr w:type="spellEnd"/>
      <w:r>
        <w:rPr>
          <w:rtl/>
        </w:rPr>
        <w:t xml:space="preserve">] ידע יותר מר׳ חיים.” בימים הבאים הבחין שר׳ </w:t>
      </w:r>
      <w:proofErr w:type="spellStart"/>
      <w:r>
        <w:rPr>
          <w:rtl/>
        </w:rPr>
        <w:t>ברוך־בער</w:t>
      </w:r>
      <w:proofErr w:type="spellEnd"/>
      <w:r>
        <w:rPr>
          <w:rtl/>
        </w:rPr>
        <w:t xml:space="preserve"> נמנע מלדבר עמו. כששאל אם יש לרבו הקפדה עליו, נאמר לו שהערתו לא הייתה בטעם טוב. ר׳ </w:t>
      </w:r>
      <w:proofErr w:type="spellStart"/>
      <w:r>
        <w:rPr>
          <w:rtl/>
        </w:rPr>
        <w:t>ברוך־בער</w:t>
      </w:r>
      <w:proofErr w:type="spellEnd"/>
      <w:r>
        <w:rPr>
          <w:rtl/>
        </w:rPr>
        <w:t xml:space="preserve"> הסביר: “כל מה שאמר הרבי ר׳ חיים </w:t>
      </w:r>
      <w:proofErr w:type="spellStart"/>
      <w:r>
        <w:rPr>
          <w:rtl/>
        </w:rPr>
        <w:t>סולובייצ׳יק</w:t>
      </w:r>
      <w:proofErr w:type="spellEnd"/>
      <w:r>
        <w:rPr>
          <w:rtl/>
        </w:rPr>
        <w:t xml:space="preserve"> היה מסיני [האמת – דבר שאין לומר על תורתו של ר׳ </w:t>
      </w:r>
      <w:proofErr w:type="spellStart"/>
      <w:r>
        <w:rPr>
          <w:rtl/>
        </w:rPr>
        <w:t>יצחק־אלחנן</w:t>
      </w:r>
      <w:proofErr w:type="spellEnd"/>
      <w:r>
        <w:rPr>
          <w:rtl/>
        </w:rPr>
        <w:t xml:space="preserve"> </w:t>
      </w:r>
      <w:proofErr w:type="spellStart"/>
      <w:r>
        <w:rPr>
          <w:rtl/>
        </w:rPr>
        <w:t>ספקטור</w:t>
      </w:r>
      <w:proofErr w:type="spellEnd"/>
      <w:r>
        <w:rPr>
          <w:rtl/>
        </w:rPr>
        <w:t xml:space="preserve">]; ואילו האריך הרבי ימים, היה גם לומד את הכול [ויודע כמו שידע ר׳ </w:t>
      </w:r>
      <w:proofErr w:type="spellStart"/>
      <w:r>
        <w:rPr>
          <w:rtl/>
        </w:rPr>
        <w:t>יצחק־אלחנן</w:t>
      </w:r>
      <w:proofErr w:type="spellEnd"/>
      <w:r>
        <w:rPr>
          <w:rtl/>
        </w:rPr>
        <w:t xml:space="preserve"> </w:t>
      </w:r>
      <w:proofErr w:type="spellStart"/>
      <w:r>
        <w:rPr>
          <w:rtl/>
        </w:rPr>
        <w:t>ספקטור</w:t>
      </w:r>
      <w:proofErr w:type="spellEnd"/>
      <w:r>
        <w:rPr>
          <w:rtl/>
        </w:rPr>
        <w:t>].”</w:t>
      </w:r>
    </w:p>
    <w:p w14:paraId="15B7B8B6" w14:textId="77777777" w:rsidR="00AB3647" w:rsidRDefault="00000000" w:rsidP="007923E9">
      <w:pPr>
        <w:spacing w:after="120" w:line="276" w:lineRule="auto"/>
        <w:ind w:firstLine="283"/>
        <w:jc w:val="both"/>
      </w:pPr>
      <w:r>
        <w:rPr>
          <w:rtl/>
        </w:rPr>
        <w:t xml:space="preserve">אבל השווה </w:t>
      </w:r>
      <w:proofErr w:type="spellStart"/>
      <w:r>
        <w:rPr>
          <w:rtl/>
        </w:rPr>
        <w:t>רבינר</w:t>
      </w:r>
      <w:proofErr w:type="spellEnd"/>
      <w:r>
        <w:rPr>
          <w:rtl/>
        </w:rPr>
        <w:t>, “רבינו מאיר שמחה הכהן”</w:t>
      </w:r>
      <w:bookmarkStart w:id="2696" w:name="_fnr1836"/>
      <w:r>
        <w:rPr>
          <w:rStyle w:val="a5"/>
        </w:rPr>
        <w:footnoteReference w:id="1840" w:customMarkFollows="0"/>
      </w:r>
      <w:bookmarkEnd w:id="2696"/>
      <w:r>
        <w:rPr>
          <w:rtl/>
        </w:rPr>
        <w:t xml:space="preserve">, שר׳ יוסף־דב, אביו של ר׳ חיים, קרא </w:t>
      </w:r>
      <w:proofErr w:type="spellStart"/>
      <w:r>
        <w:rPr>
          <w:rtl/>
        </w:rPr>
        <w:t>לר</w:t>
      </w:r>
      <w:proofErr w:type="spellEnd"/>
      <w:r>
        <w:rPr>
          <w:rtl/>
        </w:rPr>
        <w:t xml:space="preserve">׳ </w:t>
      </w:r>
      <w:proofErr w:type="spellStart"/>
      <w:r>
        <w:rPr>
          <w:rtl/>
        </w:rPr>
        <w:t>יצחק־אלחנן</w:t>
      </w:r>
      <w:proofErr w:type="spellEnd"/>
      <w:r>
        <w:rPr>
          <w:rtl/>
        </w:rPr>
        <w:t xml:space="preserve"> </w:t>
      </w:r>
      <w:proofErr w:type="spellStart"/>
      <w:r>
        <w:rPr>
          <w:rtl/>
        </w:rPr>
        <w:t>ספקטור</w:t>
      </w:r>
      <w:proofErr w:type="spellEnd"/>
      <w:r>
        <w:rPr>
          <w:rtl/>
        </w:rPr>
        <w:t xml:space="preserve"> רבו. עוד מובא שם שר׳ יוסף־דב שאל את ר׳ </w:t>
      </w:r>
      <w:proofErr w:type="spellStart"/>
      <w:r>
        <w:rPr>
          <w:rtl/>
        </w:rPr>
        <w:t>מאיר־שמחה</w:t>
      </w:r>
      <w:proofErr w:type="spellEnd"/>
      <w:r>
        <w:rPr>
          <w:rtl/>
        </w:rPr>
        <w:t xml:space="preserve"> כהן בשעת בדיחות הדעת מי גדול יותר, הוא (</w:t>
      </w:r>
      <w:proofErr w:type="spellStart"/>
      <w:r>
        <w:rPr>
          <w:rtl/>
        </w:rPr>
        <w:t>סולובייצ׳יק</w:t>
      </w:r>
      <w:proofErr w:type="spellEnd"/>
      <w:r>
        <w:rPr>
          <w:rtl/>
        </w:rPr>
        <w:t xml:space="preserve">) או ר׳ </w:t>
      </w:r>
      <w:proofErr w:type="spellStart"/>
      <w:r>
        <w:rPr>
          <w:rtl/>
        </w:rPr>
        <w:t>יצחק־אלחנן</w:t>
      </w:r>
      <w:proofErr w:type="spellEnd"/>
      <w:r>
        <w:rPr>
          <w:rtl/>
        </w:rPr>
        <w:t xml:space="preserve"> </w:t>
      </w:r>
      <w:proofErr w:type="spellStart"/>
      <w:r>
        <w:rPr>
          <w:rtl/>
        </w:rPr>
        <w:t>ספקטור</w:t>
      </w:r>
      <w:proofErr w:type="spellEnd"/>
      <w:r>
        <w:rPr>
          <w:rtl/>
        </w:rPr>
        <w:t xml:space="preserve">, והלה השיב </w:t>
      </w:r>
      <w:proofErr w:type="spellStart"/>
      <w:r>
        <w:rPr>
          <w:rtl/>
        </w:rPr>
        <w:t>ש“בידיעה</w:t>
      </w:r>
      <w:proofErr w:type="spellEnd"/>
      <w:r>
        <w:rPr>
          <w:rtl/>
        </w:rPr>
        <w:t xml:space="preserve"> (במקורות), </w:t>
      </w:r>
      <w:r>
        <w:rPr>
          <w:b/>
          <w:bCs/>
          <w:rtl/>
        </w:rPr>
        <w:t>בהיקף ידיעתו</w:t>
      </w:r>
      <w:r>
        <w:rPr>
          <w:rtl/>
        </w:rPr>
        <w:t xml:space="preserve"> (ההדגשה שלי), ר׳ </w:t>
      </w:r>
      <w:proofErr w:type="spellStart"/>
      <w:r>
        <w:rPr>
          <w:rtl/>
        </w:rPr>
        <w:t>יצחק־אלחנן</w:t>
      </w:r>
      <w:proofErr w:type="spellEnd"/>
      <w:r>
        <w:rPr>
          <w:rtl/>
        </w:rPr>
        <w:t xml:space="preserve"> הוא יחיד (וגדול מר׳ </w:t>
      </w:r>
      <w:proofErr w:type="spellStart"/>
      <w:r>
        <w:rPr>
          <w:rtl/>
        </w:rPr>
        <w:t xml:space="preserve">יושע־בער</w:t>
      </w:r>
      <w:proofErr w:type="spellEnd"/>
      <w:r>
        <w:rPr>
          <w:rtl/>
        </w:rPr>
        <w:t xml:space="preserve">)”. נראה שפירוש הביטוי המודגש הוא שהאור שמח הודה שר׳ יוסף־דב היה גדול יותר בלמדנות – בגורם </w:t>
      </w:r>
      <w:proofErr w:type="spellStart"/>
      <w:r>
        <w:rPr>
          <w:rtl/>
        </w:rPr>
        <w:t>ה“מסיני</w:t>
      </w:r>
      <w:proofErr w:type="spellEnd"/>
      <w:r>
        <w:rPr>
          <w:rtl/>
        </w:rPr>
        <w:t>”, האמת.</w:t>
      </w:r>
    </w:p>
    <w:p w14:paraId="4435CAC6" w14:textId="77777777" w:rsidR="00AB3647" w:rsidRDefault="00000000" w:rsidP="007923E9">
      <w:pPr>
        <w:spacing w:after="120" w:line="276" w:lineRule="auto"/>
        <w:ind w:firstLine="283"/>
        <w:jc w:val="both"/>
      </w:pPr>
      <w:r>
        <w:rPr>
          <w:rtl/>
        </w:rPr>
        <w:t xml:space="preserve">מידת </w:t>
      </w:r>
      <w:proofErr w:type="spellStart"/>
      <w:r>
        <w:rPr>
          <w:rtl/>
        </w:rPr>
        <w:t>ה“אמת</w:t>
      </w:r>
      <w:proofErr w:type="spellEnd"/>
      <w:r>
        <w:rPr>
          <w:rtl/>
        </w:rPr>
        <w:t xml:space="preserve">” שראה ר׳ </w:t>
      </w:r>
      <w:proofErr w:type="spellStart"/>
      <w:r>
        <w:rPr>
          <w:rtl/>
        </w:rPr>
        <w:t>ברוך־בער</w:t>
      </w:r>
      <w:proofErr w:type="spellEnd"/>
      <w:r>
        <w:rPr>
          <w:rtl/>
        </w:rPr>
        <w:t xml:space="preserve"> בתורת רבו</w:t>
      </w:r>
      <w:bookmarkStart w:id="2697" w:name="_fnr1837"/>
      <w:r>
        <w:rPr>
          <w:rStyle w:val="a5"/>
        </w:rPr>
        <w:footnoteReference w:id="1841" w:customMarkFollows="0"/>
      </w:r>
      <w:bookmarkEnd w:id="2697"/>
      <w:r>
        <w:rPr>
          <w:rtl/>
        </w:rPr>
        <w:t xml:space="preserve"> משתקפת כנראה בתשובתו של נכדו של ר׳ חיים, ר׳ </w:t>
      </w:r>
      <w:proofErr w:type="spellStart"/>
      <w:r>
        <w:rPr>
          <w:rtl/>
        </w:rPr>
        <w:t xml:space="preserve">יוסף־דב</w:t>
      </w:r>
      <w:proofErr w:type="spellEnd"/>
      <w:r>
        <w:rPr>
          <w:rtl/>
        </w:rPr>
        <w:t xml:space="preserve"> </w:t>
      </w:r>
      <w:proofErr w:type="spellStart"/>
      <w:r>
        <w:rPr>
          <w:rtl/>
        </w:rPr>
        <w:t>סולובייצ׳יק</w:t>
      </w:r>
      <w:proofErr w:type="spellEnd"/>
      <w:r>
        <w:rPr>
          <w:rtl/>
        </w:rPr>
        <w:t xml:space="preserve">, לשאלה ששאל אותו ר׳ </w:t>
      </w:r>
      <w:proofErr w:type="spellStart"/>
      <w:r>
        <w:rPr>
          <w:rtl/>
        </w:rPr>
        <w:t>יחיאל־יעקב</w:t>
      </w:r>
      <w:proofErr w:type="spellEnd"/>
      <w:r>
        <w:rPr>
          <w:rtl/>
        </w:rPr>
        <w:t xml:space="preserve"> ויינברג בברלין: “מי היה גדול יותר, ר׳ חיים </w:t>
      </w:r>
      <w:proofErr w:type="spellStart"/>
      <w:r>
        <w:rPr>
          <w:rtl/>
        </w:rPr>
        <w:t>סולובייצ׳יק</w:t>
      </w:r>
      <w:proofErr w:type="spellEnd"/>
      <w:r>
        <w:rPr>
          <w:rtl/>
        </w:rPr>
        <w:t xml:space="preserve"> או הגאון מווילנה?” הוא השיב: “</w:t>
      </w:r>
      <w:proofErr w:type="spellStart"/>
      <w:r>
        <w:rPr>
          <w:rtl/>
        </w:rPr>
        <w:t>לר</w:t>
      </w:r>
      <w:proofErr w:type="spellEnd"/>
      <w:r>
        <w:rPr>
          <w:rtl/>
        </w:rPr>
        <w:t>׳ חיים הייתה הבנה גדולה יותר.”</w:t>
      </w:r>
      <w:bookmarkStart w:id="2698" w:name="_fnr1838"/>
      <w:bookmarkStart w:id="2699" w:name="pr_f_1747"/>
      <w:r>
        <w:rPr>
          <w:rStyle w:val="a5"/>
        </w:rPr>
        <w:footnoteReference w:id="1842" w:customMarkFollows="0"/>
      </w:r>
      <w:bookmarkEnd w:id="2698"/>
      <w:bookmarkEnd w:id="2699"/>
      <w:r>
        <w:rPr>
          <w:rtl/>
        </w:rPr>
        <w:t xml:space="preserve"> (ר׳ </w:t>
      </w:r>
      <w:proofErr w:type="spellStart"/>
      <w:r>
        <w:rPr>
          <w:rtl/>
        </w:rPr>
        <w:t xml:space="preserve">יוסף־דב</w:t>
      </w:r>
      <w:proofErr w:type="spellEnd"/>
      <w:r>
        <w:rPr>
          <w:rtl/>
        </w:rPr>
        <w:t xml:space="preserve"> השתמש כנראה במילה “הבנה” – “הבנה” היא מילת המפתח של הדרך </w:t>
      </w:r>
      <w:proofErr w:type="spellStart"/>
      <w:r>
        <w:rPr>
          <w:rtl/>
        </w:rPr>
        <w:t>הבריסקאית</w:t>
      </w:r>
      <w:proofErr w:type="spellEnd"/>
      <w:r>
        <w:rPr>
          <w:rtl/>
        </w:rPr>
        <w:t xml:space="preserve"> בלימוד.) מי שסבור שהבנתו של ר׳ חיים בסוגיות התלמוד עולה על זו של הגאון, אומר בעצם שאמיתות תורתו של ר׳ חיים אינה ניתנת לערעור.</w:t>
      </w:r>
    </w:p>
    <w:p w14:paraId="5EB0F1A8" w14:textId="77777777" w:rsidR="00AB3647" w:rsidRDefault="00000000" w:rsidP="007923E9">
      <w:pPr>
        <w:spacing w:after="120" w:line="276" w:lineRule="auto"/>
        <w:ind w:firstLine="283"/>
        <w:jc w:val="both"/>
      </w:pPr>
      <w:r>
        <w:rPr>
          <w:rtl/>
        </w:rPr>
        <w:t xml:space="preserve">ר׳ </w:t>
      </w:r>
      <w:proofErr w:type="spellStart"/>
      <w:r>
        <w:rPr>
          <w:rtl/>
        </w:rPr>
        <w:t>יחיאל־יעקב</w:t>
      </w:r>
      <w:proofErr w:type="spellEnd"/>
      <w:r>
        <w:rPr>
          <w:rtl/>
        </w:rPr>
        <w:t xml:space="preserve"> חלק על הערכתו של ר׳ </w:t>
      </w:r>
      <w:proofErr w:type="spellStart"/>
      <w:r>
        <w:rPr>
          <w:rtl/>
        </w:rPr>
        <w:t xml:space="preserve">יוסף־דב</w:t>
      </w:r>
      <w:proofErr w:type="spellEnd"/>
      <w:r>
        <w:rPr>
          <w:rtl/>
        </w:rPr>
        <w:t xml:space="preserve"> וטען: “הגאון חיפש את האמת הפשוטה, ור׳ חיים לא – שהרי אי אפשר לשלב את הגיונו וסברותיו עם לשון התלמוד או עם לשון </w:t>
      </w:r>
      <w:r>
        <w:rPr>
          <w:rtl/>
        </w:rPr>
        <w:lastRenderedPageBreak/>
        <w:t xml:space="preserve">הרמב״ם.” לאור השקפתו של ר׳ </w:t>
      </w:r>
      <w:proofErr w:type="spellStart"/>
      <w:r>
        <w:rPr>
          <w:rtl/>
        </w:rPr>
        <w:t xml:space="preserve">יוסף־דב</w:t>
      </w:r>
      <w:proofErr w:type="spellEnd"/>
      <w:r>
        <w:rPr>
          <w:rtl/>
        </w:rPr>
        <w:t xml:space="preserve"> על תורת סבו, ודאי ראה בדברי ר׳ </w:t>
      </w:r>
      <w:proofErr w:type="spellStart"/>
      <w:r>
        <w:rPr>
          <w:rtl/>
        </w:rPr>
        <w:t>יחיאל־יעקב</w:t>
      </w:r>
      <w:proofErr w:type="spellEnd"/>
      <w:r>
        <w:rPr>
          <w:rtl/>
        </w:rPr>
        <w:t xml:space="preserve"> ויינברג חירוף – חמור בהרבה ממה שראה ר׳ </w:t>
      </w:r>
      <w:proofErr w:type="spellStart"/>
      <w:r>
        <w:rPr>
          <w:rtl/>
        </w:rPr>
        <w:t>ברוך־בער</w:t>
      </w:r>
      <w:proofErr w:type="spellEnd"/>
      <w:r>
        <w:rPr>
          <w:rtl/>
        </w:rPr>
        <w:t xml:space="preserve"> בביקורתו של ר׳ שלמה היימן!</w:t>
      </w:r>
    </w:p>
    <w:bookmarkStart w:id="2700" w:name="b3_excJ"/>
    <w:p w14:paraId="4533B12B" w14:textId="77777777" w:rsidR="00AB3647" w:rsidRDefault="00000000" w:rsidP="007923E9">
      <w:pPr>
        <w:pStyle w:val="3"/>
        <w:spacing w:line="276" w:lineRule="auto"/>
      </w:pPr>
      <w:r>
        <w:lastRenderedPageBreak/>
        <w:fldChar w:fldCharType="begin" w:dirty="true"/>
      </w:r>
      <w:r>
        <w:rPr>
          <w:rtl w:val="0"/>
        </w:rPr>
        <w:instrText>HYPERLINK \l "b3_note33</w:instrText>
      </w:r>
      <w:r>
        <w:instrText>"</w:instrText>
      </w:r>
      <w:r>
        <w:fldChar w:fldCharType="separate"/>
      </w:r>
      <w:r>
        <w:t>נספח י</w:t>
      </w:r>
      <w:r>
        <w:fldChar w:fldCharType="end"/>
      </w:r>
      <w:bookmarkEnd w:id="2700"/>
    </w:p>
    <w:p w14:paraId="6B20911D" w14:textId="77777777" w:rsidR="00AB3647" w:rsidRDefault="00000000" w:rsidP="007923E9">
      <w:pPr>
        <w:pStyle w:val="af"/>
        <w:spacing w:line="276" w:lineRule="auto"/>
      </w:pPr>
      <w:r>
        <w:t xml:space="preserve">על מינוי הגיסים ר׳ </w:t>
      </w:r>
      <w:proofErr w:type="spellStart"/>
      <w:r>
        <w:t>משה־מרדכי</w:t>
      </w:r>
      <w:proofErr w:type="spellEnd"/>
      <w:r>
        <w:t xml:space="preserve"> אפשטיין ור׳ </w:t>
      </w:r>
      <w:proofErr w:type="spellStart"/>
      <w:r>
        <w:t>איסר־זלמן</w:t>
      </w:r>
      <w:proofErr w:type="spellEnd"/>
      <w:r>
        <w:t xml:space="preserve"> מלצר לראשי ישיבה </w:t>
      </w:r>
      <w:proofErr w:type="spellStart"/>
      <w:r>
        <w:t>בסלבודקה</w:t>
      </w:r>
      <w:proofErr w:type="spellEnd"/>
    </w:p>
    <w:p w14:paraId="5B6C0536" w14:textId="77777777" w:rsidR="00AB3647" w:rsidRDefault="00000000" w:rsidP="007923E9">
      <w:pPr>
        <w:pStyle w:val="4"/>
        <w:spacing w:line="276" w:lineRule="auto"/>
      </w:pPr>
      <w:r>
        <w:t>· הפסקה הראשונה ·</w:t>
      </w:r>
    </w:p>
    <w:p w14:paraId="5A10D63C" w14:textId="77777777" w:rsidR="00AB3647" w:rsidRDefault="00000000" w:rsidP="007923E9">
      <w:pPr>
        <w:pStyle w:val="5"/>
        <w:spacing w:line="276" w:lineRule="auto"/>
      </w:pPr>
      <w:r>
        <w:t xml:space="preserve">חתני פרנק הם תלמידי ר׳ חיים </w:t>
      </w:r>
      <w:proofErr w:type="spellStart"/>
      <w:r>
        <w:t>סולובייצ׳יק</w:t>
      </w:r>
      <w:proofErr w:type="spellEnd"/>
      <w:r>
        <w:t xml:space="preserve"> </w:t>
      </w:r>
      <w:proofErr w:type="spellStart"/>
      <w:r>
        <w:t>בוולוז׳ין</w:t>
      </w:r>
      <w:proofErr w:type="spellEnd"/>
      <w:r>
        <w:t xml:space="preserve"> – בקובנה הם מתקרבים לתלמידו של ר׳ ישראל, ר׳ </w:t>
      </w:r>
      <w:proofErr w:type="spellStart"/>
      <w:r>
        <w:t>איצל׳ה</w:t>
      </w:r>
      <w:proofErr w:type="spellEnd"/>
      <w:r>
        <w:t xml:space="preserve"> </w:t>
      </w:r>
      <w:proofErr w:type="spellStart"/>
      <w:r>
        <w:t>בלאזר</w:t>
      </w:r>
      <w:proofErr w:type="spellEnd"/>
      <w:r>
        <w:t xml:space="preserve"> – ר׳ </w:t>
      </w:r>
      <w:proofErr w:type="spellStart"/>
      <w:r>
        <w:t>איצל׳ה</w:t>
      </w:r>
      <w:proofErr w:type="spellEnd"/>
      <w:r>
        <w:t xml:space="preserve"> קובע שר׳ </w:t>
      </w:r>
      <w:proofErr w:type="spellStart"/>
      <w:r>
        <w:t>משה־מרדכי</w:t>
      </w:r>
      <w:proofErr w:type="spellEnd"/>
      <w:r>
        <w:t xml:space="preserve"> יכול לוותר על המוסר – ר׳ </w:t>
      </w:r>
      <w:proofErr w:type="spellStart"/>
      <w:r>
        <w:t>ברוך־בער</w:t>
      </w:r>
      <w:proofErr w:type="spellEnd"/>
      <w:r>
        <w:t xml:space="preserve"> עומד בתוקף בדחיית המוסר, ואילו ר׳ </w:t>
      </w:r>
      <w:proofErr w:type="spellStart"/>
      <w:r>
        <w:t>איסר־זלמן</w:t>
      </w:r>
      <w:proofErr w:type="spellEnd"/>
      <w:r>
        <w:t xml:space="preserve"> מאמץ את דרכי </w:t>
      </w:r>
      <w:proofErr w:type="spellStart"/>
      <w:r>
        <w:t>סלבודקה</w:t>
      </w:r>
      <w:proofErr w:type="spellEnd"/>
    </w:p>
    <w:p w14:paraId="52F7B208" w14:textId="77777777" w:rsidR="00AB3647" w:rsidRDefault="00000000" w:rsidP="007923E9">
      <w:pPr>
        <w:spacing w:after="120" w:line="276" w:lineRule="auto"/>
        <w:ind w:firstLine="283"/>
        <w:jc w:val="both"/>
      </w:pPr>
      <w:r>
        <w:rPr>
          <w:rtl/>
        </w:rPr>
        <w:t xml:space="preserve">ר׳ </w:t>
      </w:r>
      <w:proofErr w:type="spellStart"/>
      <w:r>
        <w:rPr>
          <w:rtl/>
        </w:rPr>
        <w:t>משה־מרדכי</w:t>
      </w:r>
      <w:proofErr w:type="spellEnd"/>
      <w:r>
        <w:rPr>
          <w:rtl/>
        </w:rPr>
        <w:t xml:space="preserve"> אפשטיין ור׳ </w:t>
      </w:r>
      <w:proofErr w:type="spellStart"/>
      <w:r>
        <w:rPr>
          <w:rtl/>
        </w:rPr>
        <w:t>איסר־זלמן</w:t>
      </w:r>
      <w:proofErr w:type="spellEnd"/>
      <w:r>
        <w:rPr>
          <w:rtl/>
        </w:rPr>
        <w:t xml:space="preserve"> מלצר נשאו את בנותיו של המנוח ר׳ </w:t>
      </w:r>
      <w:proofErr w:type="spellStart"/>
      <w:r>
        <w:rPr>
          <w:rtl/>
        </w:rPr>
        <w:t>שרגא־פייבל</w:t>
      </w:r>
      <w:proofErr w:type="spellEnd"/>
      <w:r>
        <w:rPr>
          <w:rtl/>
        </w:rPr>
        <w:t xml:space="preserve"> פרנק (נולד בשנת תר״ג, נפטר בשנת תרמ״ו), סוחר פרוות עשיר בקובנה שהתהלכו אגדות על דבקותו בתורה ובמוסר. ר׳ </w:t>
      </w:r>
      <w:proofErr w:type="spellStart"/>
      <w:r>
        <w:rPr>
          <w:rtl/>
        </w:rPr>
        <w:t>משה־מרדכי</w:t>
      </w:r>
      <w:proofErr w:type="spellEnd"/>
      <w:r>
        <w:rPr>
          <w:rtl/>
        </w:rPr>
        <w:t xml:space="preserve">, שנולד בשנת תרכ״ו, היה התגלמות השקידה בישיבת </w:t>
      </w:r>
      <w:proofErr w:type="spellStart"/>
      <w:r>
        <w:rPr>
          <w:rtl/>
        </w:rPr>
        <w:t>וולוז׳ין</w:t>
      </w:r>
      <w:proofErr w:type="spellEnd"/>
      <w:r>
        <w:rPr>
          <w:rtl/>
        </w:rPr>
        <w:t xml:space="preserve">. הוא הצטרף אליה בשנת תרמ״ב ועזב אותה בשנת תרמ״ט, כשנשא אישה. ר׳ </w:t>
      </w:r>
      <w:proofErr w:type="spellStart"/>
      <w:r>
        <w:rPr>
          <w:rtl/>
        </w:rPr>
        <w:t>איסר־זלמן</w:t>
      </w:r>
      <w:proofErr w:type="spellEnd"/>
      <w:r>
        <w:rPr>
          <w:rtl/>
        </w:rPr>
        <w:t xml:space="preserve"> היה תלמידו החביב של ר׳ חיים </w:t>
      </w:r>
      <w:proofErr w:type="spellStart"/>
      <w:r>
        <w:rPr>
          <w:rtl/>
        </w:rPr>
        <w:t>סולובייצ׳יק</w:t>
      </w:r>
      <w:proofErr w:type="spellEnd"/>
      <w:r>
        <w:rPr>
          <w:rtl/>
        </w:rPr>
        <w:t xml:space="preserve">, המחדש הגדול בלימוד התלמוד והמשנה לראש ישיבת </w:t>
      </w:r>
      <w:proofErr w:type="spellStart"/>
      <w:r>
        <w:rPr>
          <w:rtl/>
        </w:rPr>
        <w:t>וולוז׳ין</w:t>
      </w:r>
      <w:proofErr w:type="spellEnd"/>
      <w:r>
        <w:rPr>
          <w:rtl/>
        </w:rPr>
        <w:t>.</w:t>
      </w:r>
      <w:bookmarkStart w:id="2701" w:name="_fnr1839"/>
      <w:r>
        <w:rPr>
          <w:rStyle w:val="a5"/>
        </w:rPr>
        <w:footnoteReference w:id="1843" w:customMarkFollows="0"/>
      </w:r>
      <w:bookmarkEnd w:id="2701"/>
    </w:p>
    <w:p w14:paraId="0375CEE0" w14:textId="25C54C8D" w:rsidR="00AB3647" w:rsidRDefault="00000000" w:rsidP="007923E9">
      <w:pPr>
        <w:spacing w:after="120" w:line="276" w:lineRule="auto"/>
        <w:ind w:firstLine="283"/>
        <w:jc w:val="both"/>
      </w:pPr>
      <w:r>
        <w:rPr>
          <w:rtl/>
        </w:rPr>
        <w:t xml:space="preserve">ר׳ חיים נשא בשנת תרל״ג את נכדתו של ראש הישיבה, </w:t>
      </w:r>
      <w:proofErr w:type="spellStart"/>
      <w:r>
        <w:rPr>
          <w:rtl/>
        </w:rPr>
        <w:t>הנצי״ב</w:t>
      </w:r>
      <w:proofErr w:type="spellEnd"/>
      <w:r>
        <w:rPr>
          <w:rtl/>
        </w:rPr>
        <w:t xml:space="preserve"> – בתו של חתן </w:t>
      </w:r>
      <w:proofErr w:type="spellStart"/>
      <w:r>
        <w:rPr>
          <w:rtl/>
        </w:rPr>
        <w:t>הנצי״ב</w:t>
      </w:r>
      <w:proofErr w:type="spellEnd"/>
      <w:r>
        <w:rPr>
          <w:rtl/>
        </w:rPr>
        <w:t xml:space="preserve">, ר׳ רפאל שפירא (שהיה בנו של ר׳ </w:t>
      </w:r>
      <w:proofErr w:type="spellStart"/>
      <w:r>
        <w:rPr>
          <w:rtl/>
        </w:rPr>
        <w:t>לייבל׳ה</w:t>
      </w:r>
      <w:proofErr w:type="spellEnd"/>
      <w:r>
        <w:rPr>
          <w:rtl/>
        </w:rPr>
        <w:t>, רבה הראשון של קובנה).</w:t>
      </w:r>
      <w:bookmarkStart w:id="2702" w:name="_fnr1840"/>
      <w:r>
        <w:rPr>
          <w:rStyle w:val="a5"/>
        </w:rPr>
        <w:footnoteReference w:id="1844" w:customMarkFollows="0"/>
      </w:r>
      <w:bookmarkEnd w:id="2702"/>
      <w:r>
        <w:rPr>
          <w:rtl/>
        </w:rPr>
        <w:t xml:space="preserve"> המינוי </w:t>
      </w:r>
      <w:proofErr w:type="spellStart"/>
      <w:r>
        <w:rPr>
          <w:rtl/>
        </w:rPr>
        <w:t>בוולוז׳ין</w:t>
      </w:r>
      <w:proofErr w:type="spellEnd"/>
      <w:r>
        <w:rPr>
          <w:rtl/>
        </w:rPr>
        <w:t xml:space="preserve"> ניתן </w:t>
      </w:r>
      <w:proofErr w:type="spellStart"/>
      <w:r>
        <w:rPr>
          <w:rtl/>
        </w:rPr>
        <w:t>לר</w:t>
      </w:r>
      <w:proofErr w:type="spellEnd"/>
      <w:r>
        <w:rPr>
          <w:rtl/>
        </w:rPr>
        <w:t xml:space="preserve">׳ חיים לפי </w:t>
      </w:r>
      <w:proofErr w:type="spellStart"/>
      <w:r>
        <w:rPr>
          <w:rtl/>
        </w:rPr>
        <w:t>שטמפפר</w:t>
      </w:r>
      <w:bookmarkStart w:id="2703" w:name="_fnr1841"/>
      <w:proofErr w:type="spellEnd"/>
      <w:r>
        <w:rPr>
          <w:rStyle w:val="a5"/>
        </w:rPr>
        <w:footnoteReference w:id="1845" w:customMarkFollows="0"/>
      </w:r>
      <w:bookmarkEnd w:id="2703"/>
      <w:r>
        <w:rPr>
          <w:rtl/>
        </w:rPr>
        <w:t xml:space="preserve"> ב“1881”; לפי “הראשון לשושלת </w:t>
      </w:r>
      <w:proofErr w:type="spellStart"/>
      <w:r>
        <w:rPr>
          <w:rtl/>
        </w:rPr>
        <w:t>בריסק</w:t>
      </w:r>
      <w:proofErr w:type="spellEnd"/>
      <w:r>
        <w:rPr>
          <w:rtl/>
        </w:rPr>
        <w:t>”</w:t>
      </w:r>
      <w:bookmarkStart w:id="2704" w:name="_fnr1842"/>
      <w:r>
        <w:rPr>
          <w:rStyle w:val="a5"/>
        </w:rPr>
        <w:footnoteReference w:id="1846" w:customMarkFollows="0"/>
      </w:r>
      <w:bookmarkEnd w:id="2704"/>
      <w:r>
        <w:rPr>
          <w:rtl/>
        </w:rPr>
        <w:t xml:space="preserve"> – מעט קודם לכן, “בתחילת תרמ״א”; ולפי “אישים ושיטות” מאת הרב שלמה יוסף </w:t>
      </w:r>
      <w:proofErr w:type="spellStart"/>
      <w:r>
        <w:rPr>
          <w:rtl/>
        </w:rPr>
        <w:t>זוין</w:t>
      </w:r>
      <w:bookmarkStart w:id="2705" w:name="_fnr1843"/>
      <w:proofErr w:type="spellEnd"/>
      <w:r>
        <w:rPr>
          <w:rStyle w:val="a5"/>
        </w:rPr>
        <w:footnoteReference w:id="1847" w:customMarkFollows="0"/>
      </w:r>
      <w:bookmarkEnd w:id="2705"/>
      <w:r>
        <w:rPr>
          <w:rtl/>
        </w:rPr>
        <w:t xml:space="preserve"> – מוקדם עוד יותר, “בשנת </w:t>
      </w:r>
      <w:proofErr w:type="spellStart"/>
      <w:r>
        <w:rPr>
          <w:rtl/>
        </w:rPr>
        <w:t>תר״ם</w:t>
      </w:r>
      <w:proofErr w:type="spellEnd"/>
      <w:r>
        <w:rPr>
          <w:rtl/>
        </w:rPr>
        <w:t xml:space="preserve">”. אני מקבל את התאריך המוקדם ביותר, של “אישים ושיטות”, כפי שעולה ממכתביו של ר׳ </w:t>
      </w:r>
      <w:proofErr w:type="spellStart"/>
      <w:r>
        <w:rPr>
          <w:rtl/>
        </w:rPr>
        <w:t>חיים־עוזר</w:t>
      </w:r>
      <w:proofErr w:type="spellEnd"/>
      <w:r>
        <w:rPr>
          <w:rtl/>
        </w:rPr>
        <w:t xml:space="preserve"> הנזכרים בפסקה החמישית ב</w:t>
      </w:r>
      <w:r>
        <w:rPr>
          <w:rtl/>
        </w:rPr>
        <w:fldChar w:fldCharType="begin" w:dirty="true"/>
      </w:r>
      <w:r>
        <w:rPr>
          <w:rtl/>
        </w:rPr>
        <w:instrText xml:space="preserve"> REF b3_excR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יח</w:t>
      </w:r>
      <w:proofErr w:type="spellEnd"/>
      <w:r>
        <w:rPr>
          <w:rtl/>
        </w:rPr>
        <w:fldChar w:fldCharType="end"/>
      </w:r>
      <w:r>
        <w:rPr>
          <w:rtl/>
        </w:rPr>
        <w:t xml:space="preserve"> להלן.</w:t>
      </w:r>
      <w:bookmarkStart w:id="2706" w:name="_fnr1844"/>
      <w:r>
        <w:rPr>
          <w:rStyle w:val="a5"/>
        </w:rPr>
        <w:footnoteReference w:id="1848" w:customMarkFollows="0"/>
      </w:r>
      <w:bookmarkEnd w:id="2706"/>
      <w:r>
        <w:rPr>
          <w:rtl/>
        </w:rPr>
        <w:t xml:space="preserve"> לפי זה, החברותא בין ר׳ חיים </w:t>
      </w:r>
      <w:proofErr w:type="spellStart"/>
      <w:r>
        <w:rPr>
          <w:rtl/>
        </w:rPr>
        <w:t>לר</w:t>
      </w:r>
      <w:proofErr w:type="spellEnd"/>
      <w:r>
        <w:rPr>
          <w:rtl/>
        </w:rPr>
        <w:t xml:space="preserve">׳ </w:t>
      </w:r>
      <w:proofErr w:type="spellStart"/>
      <w:r>
        <w:rPr>
          <w:rtl/>
        </w:rPr>
        <w:t>איצל׳ה</w:t>
      </w:r>
      <w:proofErr w:type="spellEnd"/>
      <w:r>
        <w:rPr>
          <w:rtl/>
        </w:rPr>
        <w:t xml:space="preserve"> </w:t>
      </w:r>
      <w:proofErr w:type="spellStart"/>
      <w:r>
        <w:rPr>
          <w:rtl/>
        </w:rPr>
        <w:t>רבינוביץ</w:t>
      </w:r>
      <w:proofErr w:type="spellEnd"/>
      <w:r>
        <w:rPr>
          <w:rtl/>
        </w:rPr>
        <w:t xml:space="preserve"> (</w:t>
      </w:r>
      <w:proofErr w:type="spellStart"/>
      <w:r>
        <w:rPr>
          <w:rtl/>
        </w:rPr>
        <w:t>הפוניבז׳ער</w:t>
      </w:r>
      <w:proofErr w:type="spellEnd"/>
      <w:r>
        <w:rPr>
          <w:rtl/>
        </w:rPr>
        <w:t xml:space="preserve">), כששניהם למדו בהשגחת אביו של ר׳ חיים </w:t>
      </w:r>
      <w:proofErr w:type="spellStart"/>
      <w:r>
        <w:rPr>
          <w:rtl/>
        </w:rPr>
        <w:t>בבריסק</w:t>
      </w:r>
      <w:proofErr w:type="spellEnd"/>
      <w:r>
        <w:rPr>
          <w:rtl/>
        </w:rPr>
        <w:t>,</w:t>
      </w:r>
      <w:bookmarkStart w:id="2707" w:name="_fnr1845"/>
      <w:r>
        <w:rPr>
          <w:rStyle w:val="a5"/>
        </w:rPr>
        <w:footnoteReference w:id="1849" w:customMarkFollows="0"/>
      </w:r>
      <w:bookmarkEnd w:id="2707"/>
      <w:r>
        <w:rPr>
          <w:rtl/>
        </w:rPr>
        <w:t xml:space="preserve"> לא נמשכה שנתיים, כטענת “הראשון לשושלת </w:t>
      </w:r>
      <w:proofErr w:type="spellStart"/>
      <w:r>
        <w:rPr>
          <w:rtl/>
        </w:rPr>
        <w:t>בריסק</w:t>
      </w:r>
      <w:proofErr w:type="spellEnd"/>
      <w:r>
        <w:rPr>
          <w:rtl/>
        </w:rPr>
        <w:t>”,</w:t>
      </w:r>
      <w:bookmarkStart w:id="2708" w:name="_fnr1846"/>
      <w:r>
        <w:rPr>
          <w:rStyle w:val="a5"/>
        </w:rPr>
        <w:footnoteReference w:id="1850" w:customMarkFollows="0"/>
      </w:r>
      <w:bookmarkEnd w:id="2708"/>
      <w:r>
        <w:rPr>
          <w:rtl/>
        </w:rPr>
        <w:t xml:space="preserve"> אלא פחות משנה: מתום ימי </w:t>
      </w:r>
      <w:proofErr w:type="spellStart"/>
      <w:r>
        <w:rPr>
          <w:rtl/>
        </w:rPr>
        <w:t>ה“קעסט</w:t>
      </w:r>
      <w:proofErr w:type="spellEnd"/>
      <w:r>
        <w:rPr>
          <w:rtl/>
        </w:rPr>
        <w:t xml:space="preserve">” של ר׳ חיים </w:t>
      </w:r>
      <w:proofErr w:type="spellStart"/>
      <w:r>
        <w:rPr>
          <w:rtl/>
        </w:rPr>
        <w:t>בוולוז׳ין</w:t>
      </w:r>
      <w:proofErr w:type="spellEnd"/>
      <w:r>
        <w:rPr>
          <w:rtl/>
        </w:rPr>
        <w:t xml:space="preserve"> בסוף קיץ תרל״ט ועד תחילת הקיץ של השנה שלאחריה.</w:t>
      </w:r>
    </w:p>
    <w:p w14:paraId="598E256A" w14:textId="77777777" w:rsidR="00AB3647" w:rsidRDefault="00000000" w:rsidP="007923E9">
      <w:pPr>
        <w:spacing w:after="120" w:line="276" w:lineRule="auto"/>
        <w:ind w:firstLine="283"/>
        <w:jc w:val="both"/>
      </w:pPr>
      <w:r>
        <w:rPr>
          <w:rtl/>
        </w:rPr>
        <w:t xml:space="preserve">ר׳ </w:t>
      </w:r>
      <w:proofErr w:type="spellStart"/>
      <w:r>
        <w:rPr>
          <w:rtl/>
        </w:rPr>
        <w:t>איסר־זלמן</w:t>
      </w:r>
      <w:proofErr w:type="spellEnd"/>
      <w:r>
        <w:rPr>
          <w:rtl/>
        </w:rPr>
        <w:t xml:space="preserve"> הגיע </w:t>
      </w:r>
      <w:proofErr w:type="spellStart"/>
      <w:r>
        <w:rPr>
          <w:rtl/>
        </w:rPr>
        <w:t>לוולוז׳ין</w:t>
      </w:r>
      <w:proofErr w:type="spellEnd"/>
      <w:r>
        <w:rPr>
          <w:rtl/>
        </w:rPr>
        <w:t xml:space="preserve"> שנה אחרי ר׳ </w:t>
      </w:r>
      <w:proofErr w:type="spellStart"/>
      <w:r>
        <w:rPr>
          <w:rtl/>
        </w:rPr>
        <w:t>משה־מרדכי</w:t>
      </w:r>
      <w:proofErr w:type="spellEnd"/>
      <w:r>
        <w:rPr>
          <w:rtl/>
        </w:rPr>
        <w:t xml:space="preserve">, בשנת תרמ״ג, ועזב בשנת תרנ״ב, מיד אחרי שובו של ר׳ חיים </w:t>
      </w:r>
      <w:proofErr w:type="spellStart"/>
      <w:r>
        <w:rPr>
          <w:rtl/>
        </w:rPr>
        <w:t>לוולוז׳ין</w:t>
      </w:r>
      <w:proofErr w:type="spellEnd"/>
      <w:r>
        <w:rPr>
          <w:rtl/>
        </w:rPr>
        <w:t xml:space="preserve"> </w:t>
      </w:r>
      <w:proofErr w:type="spellStart"/>
      <w:r>
        <w:rPr>
          <w:rtl/>
        </w:rPr>
        <w:t>מבריסק</w:t>
      </w:r>
      <w:proofErr w:type="spellEnd"/>
      <w:r>
        <w:rPr>
          <w:rtl/>
        </w:rPr>
        <w:t xml:space="preserve">, ששם שהה כמה חודשים כדי לסעוד את אביו החולה. כפי שהתברר, היה זה ממש לפני שנסגרה ישיבת </w:t>
      </w:r>
      <w:proofErr w:type="spellStart"/>
      <w:r>
        <w:rPr>
          <w:rtl/>
        </w:rPr>
        <w:t>וולוז׳ין</w:t>
      </w:r>
      <w:proofErr w:type="spellEnd"/>
      <w:r>
        <w:rPr>
          <w:rtl/>
        </w:rPr>
        <w:t>.</w:t>
      </w:r>
    </w:p>
    <w:p w14:paraId="3D3E3CA2" w14:textId="77777777" w:rsidR="00AB3647" w:rsidRDefault="00000000" w:rsidP="007923E9">
      <w:pPr>
        <w:spacing w:after="120" w:line="276" w:lineRule="auto"/>
        <w:ind w:firstLine="283"/>
        <w:jc w:val="both"/>
      </w:pPr>
      <w:bookmarkStart w:id="2709" w:name="pr_b_1158"/>
      <w:bookmarkEnd w:id="2709"/>
      <w:r>
        <w:rPr>
          <w:rtl/>
        </w:rPr>
        <w:lastRenderedPageBreak/>
        <w:t xml:space="preserve">לפי הריאיון המוקלט על הסבא </w:t>
      </w:r>
      <w:proofErr w:type="spellStart"/>
      <w:r>
        <w:rPr>
          <w:rtl/>
        </w:rPr>
        <w:t>מסלבודקה</w:t>
      </w:r>
      <w:proofErr w:type="spellEnd"/>
      <w:r>
        <w:rPr>
          <w:rtl/>
        </w:rPr>
        <w:t xml:space="preserve">, נעשו שני הגיסים לחסידיו של ר׳ </w:t>
      </w:r>
      <w:proofErr w:type="spellStart"/>
      <w:r>
        <w:rPr>
          <w:rtl/>
        </w:rPr>
        <w:t>איצל׳ה</w:t>
      </w:r>
      <w:proofErr w:type="spellEnd"/>
      <w:r>
        <w:rPr>
          <w:rtl/>
        </w:rPr>
        <w:t xml:space="preserve"> </w:t>
      </w:r>
      <w:proofErr w:type="spellStart"/>
      <w:r>
        <w:rPr>
          <w:rtl/>
        </w:rPr>
        <w:t>בלאזר</w:t>
      </w:r>
      <w:proofErr w:type="spellEnd"/>
      <w:r>
        <w:rPr>
          <w:rtl/>
        </w:rPr>
        <w:t xml:space="preserve"> בדרך המוסר</w:t>
      </w:r>
      <w:bookmarkStart w:id="2710" w:name="_fnr1847"/>
      <w:r>
        <w:rPr>
          <w:rStyle w:val="a5"/>
        </w:rPr>
        <w:footnoteReference w:id="1851" w:customMarkFollows="0"/>
      </w:r>
      <w:bookmarkEnd w:id="2710"/>
      <w:r>
        <w:rPr>
          <w:rtl/>
        </w:rPr>
        <w:t xml:space="preserve"> אחרי שנכנסו למשפחת פרנק הדבקה במוסר. בספרו של </w:t>
      </w:r>
      <w:proofErr w:type="spellStart"/>
      <w:r>
        <w:rPr>
          <w:rtl/>
        </w:rPr>
        <w:t>ידעאל</w:t>
      </w:r>
      <w:proofErr w:type="spellEnd"/>
      <w:r>
        <w:rPr>
          <w:rtl/>
        </w:rPr>
        <w:t xml:space="preserve"> מלצר, “בדרך עץ החיים”</w:t>
      </w:r>
      <w:bookmarkStart w:id="2711" w:name="_fnr1848"/>
      <w:r>
        <w:rPr>
          <w:rStyle w:val="a5"/>
        </w:rPr>
        <w:footnoteReference w:id="1852" w:customMarkFollows="0"/>
      </w:r>
      <w:bookmarkEnd w:id="2711"/>
      <w:r>
        <w:rPr>
          <w:rtl/>
        </w:rPr>
        <w:t xml:space="preserve">, מובאים דברי רבנו, ששניהם היו מבקרים בביתו של ר׳ </w:t>
      </w:r>
      <w:proofErr w:type="spellStart"/>
      <w:r>
        <w:rPr>
          <w:rtl/>
        </w:rPr>
        <w:t>איצל׳ה</w:t>
      </w:r>
      <w:proofErr w:type="spellEnd"/>
      <w:r>
        <w:rPr>
          <w:rtl/>
        </w:rPr>
        <w:t xml:space="preserve"> בקובנה “ומקבלים ממנו הדרכה רוחנית”. על יחסו של ר׳ </w:t>
      </w:r>
      <w:proofErr w:type="spellStart"/>
      <w:r>
        <w:rPr>
          <w:rtl/>
        </w:rPr>
        <w:t>איסר־זלמן</w:t>
      </w:r>
      <w:proofErr w:type="spellEnd"/>
      <w:r>
        <w:rPr>
          <w:rtl/>
        </w:rPr>
        <w:t xml:space="preserve"> </w:t>
      </w:r>
      <w:proofErr w:type="spellStart"/>
      <w:r>
        <w:rPr>
          <w:rtl/>
        </w:rPr>
        <w:t>לר</w:t>
      </w:r>
      <w:proofErr w:type="spellEnd"/>
      <w:r>
        <w:rPr>
          <w:rtl/>
        </w:rPr>
        <w:t xml:space="preserve">׳ </w:t>
      </w:r>
      <w:proofErr w:type="spellStart"/>
      <w:r>
        <w:rPr>
          <w:rtl/>
        </w:rPr>
        <w:t>איצל׳ה</w:t>
      </w:r>
      <w:proofErr w:type="spellEnd"/>
      <w:r>
        <w:rPr>
          <w:rtl/>
        </w:rPr>
        <w:t xml:space="preserve"> </w:t>
      </w:r>
      <w:proofErr w:type="spellStart"/>
      <w:r>
        <w:rPr>
          <w:rtl/>
        </w:rPr>
        <w:t>בלאזר</w:t>
      </w:r>
      <w:proofErr w:type="spellEnd"/>
      <w:r>
        <w:rPr>
          <w:rtl/>
        </w:rPr>
        <w:t xml:space="preserve"> השווה שם,</w:t>
      </w:r>
      <w:bookmarkStart w:id="2712" w:name="_fnr1849"/>
      <w:r>
        <w:rPr>
          <w:rStyle w:val="a5"/>
        </w:rPr>
        <w:footnoteReference w:id="1853" w:customMarkFollows="0"/>
      </w:r>
      <w:bookmarkEnd w:id="2712"/>
      <w:r>
        <w:rPr>
          <w:rtl/>
        </w:rPr>
        <w:t xml:space="preserve"> המביא ציטוטים רבים ממה שאמר הראשון בשם ר׳ </w:t>
      </w:r>
      <w:proofErr w:type="spellStart"/>
      <w:r>
        <w:rPr>
          <w:rtl/>
        </w:rPr>
        <w:t>איצל׳ה</w:t>
      </w:r>
      <w:proofErr w:type="spellEnd"/>
      <w:r>
        <w:rPr>
          <w:rtl/>
        </w:rPr>
        <w:t xml:space="preserve"> בשיחות מוסר מזדמנות.</w:t>
      </w:r>
    </w:p>
    <w:p w14:paraId="17A8E6A0" w14:textId="77777777" w:rsidR="00AB3647" w:rsidRDefault="00000000" w:rsidP="007923E9">
      <w:pPr>
        <w:spacing w:after="120" w:line="276" w:lineRule="auto"/>
        <w:ind w:firstLine="283"/>
        <w:jc w:val="both"/>
      </w:pPr>
      <w:r>
        <w:rPr>
          <w:rtl/>
        </w:rPr>
        <w:t xml:space="preserve">השווה גם “פירושי לב איברא” מאת ר׳ </w:t>
      </w:r>
      <w:proofErr w:type="spellStart"/>
      <w:r>
        <w:rPr>
          <w:rtl/>
        </w:rPr>
        <w:t>יוסף־אליהו</w:t>
      </w:r>
      <w:proofErr w:type="spellEnd"/>
      <w:r>
        <w:rPr>
          <w:rtl/>
        </w:rPr>
        <w:t xml:space="preserve"> </w:t>
      </w:r>
      <w:proofErr w:type="spellStart"/>
      <w:r>
        <w:rPr>
          <w:rtl/>
        </w:rPr>
        <w:t>הענקין</w:t>
      </w:r>
      <w:proofErr w:type="spellEnd"/>
      <w:r>
        <w:rPr>
          <w:rtl/>
        </w:rPr>
        <w:t>,</w:t>
      </w:r>
      <w:bookmarkStart w:id="2713" w:name="_fnr1850"/>
      <w:r>
        <w:rPr>
          <w:rStyle w:val="a5"/>
        </w:rPr>
        <w:footnoteReference w:id="1854" w:customMarkFollows="0"/>
      </w:r>
      <w:bookmarkEnd w:id="2713"/>
      <w:r>
        <w:rPr>
          <w:rtl/>
        </w:rPr>
        <w:t xml:space="preserve"> שבו נדפס מחדש הספד</w:t>
      </w:r>
      <w:bookmarkStart w:id="2714" w:name="_fnr1851"/>
      <w:r>
        <w:rPr>
          <w:rStyle w:val="a5"/>
        </w:rPr>
        <w:footnoteReference w:id="1855" w:customMarkFollows="0"/>
      </w:r>
      <w:bookmarkEnd w:id="2714"/>
      <w:r>
        <w:rPr>
          <w:rtl/>
        </w:rPr>
        <w:t xml:space="preserve"> שבו נזכר הרב </w:t>
      </w:r>
      <w:proofErr w:type="spellStart"/>
      <w:r>
        <w:rPr>
          <w:rtl/>
        </w:rPr>
        <w:t>הענקין</w:t>
      </w:r>
      <w:proofErr w:type="spellEnd"/>
      <w:r>
        <w:rPr>
          <w:rtl/>
        </w:rPr>
        <w:t xml:space="preserve">: “שיחות המוסר של ר׳ </w:t>
      </w:r>
      <w:proofErr w:type="spellStart"/>
      <w:r>
        <w:rPr>
          <w:rtl/>
        </w:rPr>
        <w:t>איסר־זלמן</w:t>
      </w:r>
      <w:proofErr w:type="spellEnd"/>
      <w:r>
        <w:rPr>
          <w:rtl/>
        </w:rPr>
        <w:t xml:space="preserve"> עשו רושם עצום; ואני זוכר כמה משיחותיו לפני תפילת ערבית במוצאי שבת – איך היו מלהיבות את הלבבות ביראת שמים – ובייחוד בחודש אלול ובעשרת ימי תשובה, כשהיה בוכה בכי רב.” כץ, “תנועת המוסר”, כרך ג</w:t>
      </w:r>
      <w:bookmarkStart w:id="2715" w:name="_fnr1852"/>
      <w:r>
        <w:rPr>
          <w:rStyle w:val="a5"/>
        </w:rPr>
        <w:footnoteReference w:id="1856" w:customMarkFollows="0"/>
      </w:r>
      <w:bookmarkEnd w:id="2715"/>
      <w:r>
        <w:rPr>
          <w:rtl/>
        </w:rPr>
        <w:t xml:space="preserve">, טוען ששני הגיסים היו גם “מן המבקרים בתלמוד התורה </w:t>
      </w:r>
      <w:proofErr w:type="spellStart"/>
      <w:r>
        <w:rPr>
          <w:rtl/>
        </w:rPr>
        <w:t>בקלם</w:t>
      </w:r>
      <w:proofErr w:type="spellEnd"/>
      <w:r>
        <w:rPr>
          <w:rtl/>
        </w:rPr>
        <w:t>”. אבל אבי מעולם לא הזכיר דבר זה, ואין לו סימוכין בספרו של מלצר.</w:t>
      </w:r>
      <w:bookmarkStart w:id="2716" w:name="_fnr1853"/>
      <w:r>
        <w:rPr>
          <w:rStyle w:val="a5"/>
        </w:rPr>
        <w:footnoteReference w:id="1857" w:customMarkFollows="0"/>
      </w:r>
      <w:bookmarkEnd w:id="2716"/>
      <w:r>
        <w:rPr>
          <w:rtl/>
        </w:rPr>
        <w:t xml:space="preserve"> עוד מסופר שר׳ </w:t>
      </w:r>
      <w:proofErr w:type="spellStart"/>
      <w:r>
        <w:rPr>
          <w:rtl/>
        </w:rPr>
        <w:t>איסר־זלמן</w:t>
      </w:r>
      <w:proofErr w:type="spellEnd"/>
      <w:r>
        <w:rPr>
          <w:rtl/>
        </w:rPr>
        <w:t xml:space="preserve"> אמר: “הייתי מבעלי מוסר”, ומיד תיקן את עצמו: “לא... לא, הייתי </w:t>
      </w:r>
      <w:r>
        <w:rPr>
          <w:b/>
          <w:bCs/>
          <w:rtl/>
        </w:rPr>
        <w:t>מלומדי</w:t>
      </w:r>
      <w:r>
        <w:rPr>
          <w:rtl/>
        </w:rPr>
        <w:t xml:space="preserve"> מוסר.”</w:t>
      </w:r>
      <w:bookmarkStart w:id="2717" w:name="_fnr1854"/>
      <w:r>
        <w:rPr>
          <w:rStyle w:val="a5"/>
        </w:rPr>
        <w:footnoteReference w:id="1858" w:customMarkFollows="0"/>
      </w:r>
      <w:bookmarkEnd w:id="2717"/>
    </w:p>
    <w:p w14:paraId="45A43E73" w14:textId="77777777" w:rsidR="00AB3647" w:rsidRDefault="00000000" w:rsidP="007923E9">
      <w:pPr>
        <w:spacing w:after="120" w:line="276" w:lineRule="auto"/>
        <w:ind w:firstLine="283"/>
        <w:jc w:val="both"/>
      </w:pPr>
      <w:r>
        <w:rPr>
          <w:rtl/>
        </w:rPr>
        <w:t>ר׳ לייזר גולדשמידט סיפר</w:t>
      </w:r>
      <w:bookmarkStart w:id="2718" w:name="_fnr1855"/>
      <w:r>
        <w:rPr>
          <w:rStyle w:val="a5"/>
        </w:rPr>
        <w:footnoteReference w:id="1859" w:customMarkFollows="0"/>
      </w:r>
      <w:bookmarkEnd w:id="2718"/>
      <w:r>
        <w:rPr>
          <w:rtl/>
        </w:rPr>
        <w:t xml:space="preserve"> ששמע מר׳ </w:t>
      </w:r>
      <w:proofErr w:type="spellStart"/>
      <w:r>
        <w:rPr>
          <w:rtl/>
        </w:rPr>
        <w:t>אברהם־דובער</w:t>
      </w:r>
      <w:proofErr w:type="spellEnd"/>
      <w:r>
        <w:rPr>
          <w:rtl/>
        </w:rPr>
        <w:t xml:space="preserve"> </w:t>
      </w:r>
      <w:proofErr w:type="spellStart"/>
      <w:r>
        <w:rPr>
          <w:rtl/>
        </w:rPr>
        <w:t>כהנא־שפירא</w:t>
      </w:r>
      <w:proofErr w:type="spellEnd"/>
      <w:r>
        <w:rPr>
          <w:rtl/>
        </w:rPr>
        <w:t xml:space="preserve">, רב קובנה, בן דורם של הגיסים </w:t>
      </w:r>
      <w:proofErr w:type="spellStart"/>
      <w:r>
        <w:rPr>
          <w:rtl/>
        </w:rPr>
        <w:t>בוולוז׳ין</w:t>
      </w:r>
      <w:proofErr w:type="spellEnd"/>
      <w:r>
        <w:rPr>
          <w:rtl/>
        </w:rPr>
        <w:t xml:space="preserve">, שר׳ חיים </w:t>
      </w:r>
      <w:proofErr w:type="spellStart"/>
      <w:r>
        <w:rPr>
          <w:rtl/>
        </w:rPr>
        <w:t>סולובייצ׳יק</w:t>
      </w:r>
      <w:proofErr w:type="spellEnd"/>
      <w:r>
        <w:rPr>
          <w:rtl/>
        </w:rPr>
        <w:t xml:space="preserve"> אמר לו: “פשוט אינני יכול להבין מה הטה את שני תלמידיי, </w:t>
      </w:r>
      <w:r>
        <w:rPr>
          <w:b/>
          <w:bCs/>
          <w:rtl/>
        </w:rPr>
        <w:t xml:space="preserve">ובייחוד את </w:t>
      </w:r>
      <w:proofErr w:type="spellStart"/>
      <w:r>
        <w:rPr>
          <w:b/>
          <w:bCs/>
          <w:rtl/>
        </w:rPr>
        <w:t>זוניה</w:t>
      </w:r>
      <w:proofErr w:type="spellEnd"/>
      <w:r>
        <w:rPr>
          <w:rtl/>
        </w:rPr>
        <w:t xml:space="preserve"> ר׳ </w:t>
      </w:r>
      <w:proofErr w:type="spellStart"/>
      <w:r>
        <w:rPr>
          <w:rtl/>
        </w:rPr>
        <w:t>איסר־זלמן</w:t>
      </w:r>
      <w:proofErr w:type="spellEnd"/>
      <w:r>
        <w:rPr>
          <w:rtl/>
        </w:rPr>
        <w:t xml:space="preserve"> מלצר, לצדד במוסר.”</w:t>
      </w:r>
      <w:bookmarkStart w:id="2719" w:name="_fnr1856"/>
      <w:r>
        <w:rPr>
          <w:rStyle w:val="a5"/>
        </w:rPr>
        <w:footnoteReference w:id="1860" w:customMarkFollows="0"/>
      </w:r>
      <w:bookmarkEnd w:id="2719"/>
    </w:p>
    <w:p w14:paraId="48FC8FB4" w14:textId="77777777" w:rsidR="00AB3647" w:rsidRDefault="00000000" w:rsidP="007923E9">
      <w:pPr>
        <w:spacing w:after="120" w:line="276" w:lineRule="auto"/>
        <w:ind w:firstLine="283"/>
        <w:jc w:val="both"/>
      </w:pPr>
      <w:r>
        <w:rPr>
          <w:rtl/>
        </w:rPr>
        <w:t xml:space="preserve">בקשר לנטייתו של ר׳ </w:t>
      </w:r>
      <w:proofErr w:type="spellStart"/>
      <w:r>
        <w:rPr>
          <w:rtl/>
        </w:rPr>
        <w:t>משה־מרדכי</w:t>
      </w:r>
      <w:proofErr w:type="spellEnd"/>
      <w:r>
        <w:rPr>
          <w:rtl/>
        </w:rPr>
        <w:t xml:space="preserve"> אפשטיין אל המוסר, מאלף להביא את הדברים שאמר עליו ר׳ </w:t>
      </w:r>
      <w:proofErr w:type="spellStart"/>
      <w:r>
        <w:rPr>
          <w:rtl/>
        </w:rPr>
        <w:t>איצל׳ה</w:t>
      </w:r>
      <w:proofErr w:type="spellEnd"/>
      <w:r>
        <w:rPr>
          <w:rtl/>
        </w:rPr>
        <w:t xml:space="preserve"> </w:t>
      </w:r>
      <w:proofErr w:type="spellStart"/>
      <w:r>
        <w:rPr>
          <w:rtl/>
        </w:rPr>
        <w:t>בלאזר</w:t>
      </w:r>
      <w:proofErr w:type="spellEnd"/>
      <w:r>
        <w:rPr>
          <w:rtl/>
        </w:rPr>
        <w:t xml:space="preserve">, כפי שסיפר נכדו של הראשון, ר׳ חיים </w:t>
      </w:r>
      <w:proofErr w:type="spellStart"/>
      <w:r>
        <w:rPr>
          <w:rtl/>
        </w:rPr>
        <w:t>סרנא</w:t>
      </w:r>
      <w:proofErr w:type="spellEnd"/>
      <w:r>
        <w:rPr>
          <w:rtl/>
        </w:rPr>
        <w:t>:</w:t>
      </w:r>
      <w:bookmarkStart w:id="2720" w:name="_fnr1857"/>
      <w:r>
        <w:rPr>
          <w:rStyle w:val="a5"/>
        </w:rPr>
        <w:footnoteReference w:id="1861" w:customMarkFollows="0"/>
      </w:r>
      <w:bookmarkEnd w:id="2720"/>
      <w:r>
        <w:rPr>
          <w:rtl/>
        </w:rPr>
        <w:t xml:space="preserve"> “כשפגש התלמיד המובהק הזה של ר׳ ישראל </w:t>
      </w:r>
      <w:proofErr w:type="spellStart"/>
      <w:r>
        <w:rPr>
          <w:rtl/>
        </w:rPr>
        <w:t>סלנטר</w:t>
      </w:r>
      <w:proofErr w:type="spellEnd"/>
      <w:r>
        <w:rPr>
          <w:rtl/>
        </w:rPr>
        <w:t xml:space="preserve">, ר׳ </w:t>
      </w:r>
      <w:proofErr w:type="spellStart"/>
      <w:r>
        <w:rPr>
          <w:rtl/>
        </w:rPr>
        <w:t>איצל׳ה</w:t>
      </w:r>
      <w:proofErr w:type="spellEnd"/>
      <w:r>
        <w:rPr>
          <w:rtl/>
        </w:rPr>
        <w:t xml:space="preserve">, את ר׳ </w:t>
      </w:r>
      <w:proofErr w:type="spellStart"/>
      <w:r>
        <w:rPr>
          <w:rtl/>
        </w:rPr>
        <w:t>משה־מרדכי</w:t>
      </w:r>
      <w:proofErr w:type="spellEnd"/>
      <w:r>
        <w:rPr>
          <w:rtl/>
        </w:rPr>
        <w:t xml:space="preserve"> כשהיה חתן – וכבר כתב אז תשובה מצוינת בענייני מקוואות</w:t>
      </w:r>
      <w:bookmarkStart w:id="2721" w:name="_fnr1858"/>
      <w:r>
        <w:rPr>
          <w:rStyle w:val="a5"/>
        </w:rPr>
        <w:footnoteReference w:id="1862" w:customMarkFollows="0"/>
      </w:r>
      <w:bookmarkEnd w:id="2721"/>
      <w:r>
        <w:rPr>
          <w:rtl/>
        </w:rPr>
        <w:t xml:space="preserve"> והיה כבר חוזר על הש״ס בכל שנה – אמר: ‘בחור זה אינו צריך מוסר.’”</w:t>
      </w:r>
      <w:bookmarkStart w:id="2722" w:name="_fnr1859"/>
      <w:r>
        <w:rPr>
          <w:rStyle w:val="a5"/>
        </w:rPr>
        <w:footnoteReference w:id="1863" w:customMarkFollows="0"/>
      </w:r>
      <w:bookmarkEnd w:id="2722"/>
    </w:p>
    <w:p w14:paraId="1C21C2A3" w14:textId="77777777" w:rsidR="00AB3647" w:rsidRDefault="00000000" w:rsidP="007923E9">
      <w:pPr>
        <w:spacing w:after="120" w:line="276" w:lineRule="auto"/>
        <w:ind w:firstLine="283"/>
        <w:jc w:val="both"/>
      </w:pPr>
      <w:r>
        <w:rPr>
          <w:rtl/>
        </w:rPr>
        <w:lastRenderedPageBreak/>
        <w:t xml:space="preserve">דיווחו של הרב גולדשמידט עשוי להבהיר דבר שאמר ר׳ חיים </w:t>
      </w:r>
      <w:proofErr w:type="spellStart"/>
      <w:r>
        <w:rPr>
          <w:rtl/>
        </w:rPr>
        <w:t>סולובייצ׳יק</w:t>
      </w:r>
      <w:proofErr w:type="spellEnd"/>
      <w:r>
        <w:rPr>
          <w:rtl/>
        </w:rPr>
        <w:t>, כפי שהוא מובא בספר “ר׳ ברוך בער”.</w:t>
      </w:r>
      <w:bookmarkStart w:id="2723" w:name="_fnr1860"/>
      <w:r>
        <w:rPr>
          <w:rStyle w:val="a5"/>
        </w:rPr>
        <w:footnoteReference w:id="1864" w:customMarkFollows="0"/>
      </w:r>
      <w:bookmarkEnd w:id="2723"/>
      <w:r>
        <w:rPr>
          <w:rtl/>
        </w:rPr>
        <w:t xml:space="preserve"> בסביבות שנת תרס״ו הציג ר׳ חיים תלמיד של ר׳ </w:t>
      </w:r>
      <w:proofErr w:type="spellStart"/>
      <w:r>
        <w:rPr>
          <w:rtl/>
        </w:rPr>
        <w:t>ברוך־בער</w:t>
      </w:r>
      <w:proofErr w:type="spellEnd"/>
      <w:r>
        <w:rPr>
          <w:rtl/>
        </w:rPr>
        <w:t xml:space="preserve"> לפני כמה ממקורביו </w:t>
      </w:r>
      <w:proofErr w:type="spellStart"/>
      <w:r>
        <w:rPr>
          <w:rtl/>
        </w:rPr>
        <w:t>בבריסק</w:t>
      </w:r>
      <w:proofErr w:type="spellEnd"/>
      <w:r>
        <w:rPr>
          <w:rtl/>
        </w:rPr>
        <w:t>, ואמר, בשינוי קל של לשון תלמודית:</w:t>
      </w:r>
      <w:bookmarkStart w:id="2724" w:name="_fnr1861"/>
      <w:r>
        <w:rPr>
          <w:rStyle w:val="a5"/>
        </w:rPr>
        <w:footnoteReference w:id="1865" w:customMarkFollows="0"/>
      </w:r>
      <w:bookmarkEnd w:id="2724"/>
      <w:r>
        <w:rPr>
          <w:rtl/>
        </w:rPr>
        <w:t xml:space="preserve"> “</w:t>
      </w:r>
      <w:proofErr w:type="spellStart"/>
      <w:r>
        <w:rPr>
          <w:rtl/>
        </w:rPr>
        <w:t>לכולהו</w:t>
      </w:r>
      <w:proofErr w:type="spellEnd"/>
      <w:r>
        <w:rPr>
          <w:rtl/>
        </w:rPr>
        <w:t xml:space="preserve"> </w:t>
      </w:r>
      <w:proofErr w:type="spellStart"/>
      <w:r>
        <w:rPr>
          <w:rtl/>
        </w:rPr>
        <w:t>אית</w:t>
      </w:r>
      <w:proofErr w:type="spellEnd"/>
      <w:r>
        <w:rPr>
          <w:rtl/>
        </w:rPr>
        <w:t xml:space="preserve"> להו </w:t>
      </w:r>
      <w:proofErr w:type="spellStart"/>
      <w:r>
        <w:rPr>
          <w:rtl/>
        </w:rPr>
        <w:t>פירכא</w:t>
      </w:r>
      <w:proofErr w:type="spellEnd"/>
      <w:r>
        <w:rPr>
          <w:rtl/>
        </w:rPr>
        <w:t xml:space="preserve"> לבר מר׳ ברוך בער.” ייתכן שר׳ חיים קונן על כך שתלמידיו – ובכללם ר׳ </w:t>
      </w:r>
      <w:proofErr w:type="spellStart"/>
      <w:r>
        <w:rPr>
          <w:rtl/>
        </w:rPr>
        <w:t>איסר־זלמן</w:t>
      </w:r>
      <w:proofErr w:type="spellEnd"/>
      <w:r>
        <w:rPr>
          <w:rtl/>
        </w:rPr>
        <w:t xml:space="preserve"> – דחו את עמדתו נגד המוסר, ושיבח את ר׳ </w:t>
      </w:r>
      <w:proofErr w:type="spellStart"/>
      <w:r>
        <w:rPr>
          <w:rtl/>
        </w:rPr>
        <w:t>ברוך־בער</w:t>
      </w:r>
      <w:proofErr w:type="spellEnd"/>
      <w:r>
        <w:rPr>
          <w:rtl/>
        </w:rPr>
        <w:t xml:space="preserve"> על עמידתו האיתנה.</w:t>
      </w:r>
    </w:p>
    <w:p w14:paraId="56349D50" w14:textId="77777777" w:rsidR="00AB3647" w:rsidRDefault="00000000" w:rsidP="007923E9">
      <w:pPr>
        <w:spacing w:after="120" w:line="276" w:lineRule="auto"/>
        <w:ind w:firstLine="283"/>
        <w:jc w:val="both"/>
      </w:pPr>
      <w:r>
        <w:rPr>
          <w:rtl/>
        </w:rPr>
        <w:t xml:space="preserve">העובדה היא שזיקתו של ר׳ </w:t>
      </w:r>
      <w:proofErr w:type="spellStart"/>
      <w:r>
        <w:rPr>
          <w:rtl/>
        </w:rPr>
        <w:t>איסר־זלמן</w:t>
      </w:r>
      <w:proofErr w:type="spellEnd"/>
      <w:r>
        <w:rPr>
          <w:rtl/>
        </w:rPr>
        <w:t xml:space="preserve"> עברה </w:t>
      </w:r>
      <w:proofErr w:type="spellStart"/>
      <w:r>
        <w:rPr>
          <w:rtl/>
        </w:rPr>
        <w:t>מוולוז׳ין</w:t>
      </w:r>
      <w:proofErr w:type="spellEnd"/>
      <w:r>
        <w:rPr>
          <w:rtl/>
        </w:rPr>
        <w:t xml:space="preserve"> </w:t>
      </w:r>
      <w:proofErr w:type="spellStart"/>
      <w:r>
        <w:rPr>
          <w:rtl/>
        </w:rPr>
        <w:t>לסלבודקה</w:t>
      </w:r>
      <w:proofErr w:type="spellEnd"/>
      <w:r>
        <w:rPr>
          <w:rtl/>
        </w:rPr>
        <w:t>, כפי שמתברר ממעשה שסיפר ר׳ זלמן קורן:</w:t>
      </w:r>
      <w:bookmarkStart w:id="2725" w:name="_fnr1862"/>
      <w:r>
        <w:rPr>
          <w:rStyle w:val="a5"/>
        </w:rPr>
        <w:footnoteReference w:id="1866" w:customMarkFollows="0"/>
      </w:r>
      <w:bookmarkEnd w:id="2725"/>
      <w:r>
        <w:rPr>
          <w:rtl/>
        </w:rPr>
        <w:t xml:space="preserve"> דודו ר׳ שמואל </w:t>
      </w:r>
      <w:proofErr w:type="spellStart"/>
      <w:r>
        <w:rPr>
          <w:rtl/>
        </w:rPr>
        <w:t>אליעזרי</w:t>
      </w:r>
      <w:proofErr w:type="spellEnd"/>
      <w:r>
        <w:rPr>
          <w:rtl/>
        </w:rPr>
        <w:t xml:space="preserve"> (</w:t>
      </w:r>
      <w:proofErr w:type="spellStart"/>
      <w:r>
        <w:rPr>
          <w:rtl/>
        </w:rPr>
        <w:t>שנדרוב</w:t>
      </w:r>
      <w:proofErr w:type="spellEnd"/>
      <w:r>
        <w:rPr>
          <w:rtl/>
        </w:rPr>
        <w:t xml:space="preserve">) ראה פעם את ר׳ </w:t>
      </w:r>
      <w:proofErr w:type="spellStart"/>
      <w:r>
        <w:rPr>
          <w:rtl/>
        </w:rPr>
        <w:t>איסר־זלמן</w:t>
      </w:r>
      <w:proofErr w:type="spellEnd"/>
      <w:r>
        <w:rPr>
          <w:rtl/>
        </w:rPr>
        <w:t xml:space="preserve"> יושב בשעת הבדלה. הראה לו ר׳ שמואל </w:t>
      </w:r>
      <w:proofErr w:type="spellStart"/>
      <w:r>
        <w:rPr>
          <w:rtl/>
        </w:rPr>
        <w:t>אליעזרי</w:t>
      </w:r>
      <w:proofErr w:type="spellEnd"/>
      <w:r>
        <w:rPr>
          <w:rtl/>
        </w:rPr>
        <w:t xml:space="preserve"> </w:t>
      </w:r>
      <w:proofErr w:type="spellStart"/>
      <w:r>
        <w:rPr>
          <w:rtl/>
        </w:rPr>
        <w:t>ב“מעלות</w:t>
      </w:r>
      <w:proofErr w:type="spellEnd"/>
      <w:r>
        <w:rPr>
          <w:rtl/>
        </w:rPr>
        <w:t xml:space="preserve"> הסולם”, הערה י״ג, שמה שמסופר </w:t>
      </w:r>
      <w:proofErr w:type="spellStart"/>
      <w:r>
        <w:rPr>
          <w:rtl/>
        </w:rPr>
        <w:t>ב“מעשה</w:t>
      </w:r>
      <w:proofErr w:type="spellEnd"/>
      <w:r>
        <w:rPr>
          <w:rtl/>
        </w:rPr>
        <w:t xml:space="preserve"> רב” – </w:t>
      </w:r>
      <w:proofErr w:type="spellStart"/>
      <w:r>
        <w:rPr>
          <w:rtl/>
        </w:rPr>
        <w:t>שהגר״א</w:t>
      </w:r>
      <w:proofErr w:type="spellEnd"/>
      <w:r>
        <w:rPr>
          <w:rtl/>
        </w:rPr>
        <w:t xml:space="preserve">, לפחות בשנותיו המאוחרות, חלק על המנהג שצידד בו </w:t>
      </w:r>
      <w:proofErr w:type="spellStart"/>
      <w:r>
        <w:rPr>
          <w:rtl/>
        </w:rPr>
        <w:t>הרמ״א</w:t>
      </w:r>
      <w:bookmarkStart w:id="2726" w:name="_fnr1863"/>
      <w:proofErr w:type="spellEnd"/>
      <w:r>
        <w:rPr>
          <w:rStyle w:val="a5"/>
        </w:rPr>
        <w:footnoteReference w:id="1867" w:customMarkFollows="0"/>
      </w:r>
      <w:bookmarkEnd w:id="2726"/>
      <w:r>
        <w:rPr>
          <w:rtl/>
        </w:rPr>
        <w:t xml:space="preserve"> וישב בשעת הבדלה – נדחה על ידי ר׳ חיים </w:t>
      </w:r>
      <w:proofErr w:type="spellStart"/>
      <w:r>
        <w:rPr>
          <w:rtl/>
        </w:rPr>
        <w:t>מוולוז׳ין</w:t>
      </w:r>
      <w:proofErr w:type="spellEnd"/>
      <w:r>
        <w:rPr>
          <w:rtl/>
        </w:rPr>
        <w:t xml:space="preserve">. השיב ר׳ </w:t>
      </w:r>
      <w:proofErr w:type="spellStart"/>
      <w:r>
        <w:rPr>
          <w:rtl/>
        </w:rPr>
        <w:t>איסר־זלמן</w:t>
      </w:r>
      <w:proofErr w:type="spellEnd"/>
      <w:r>
        <w:rPr>
          <w:rtl/>
        </w:rPr>
        <w:t xml:space="preserve">: “כן, כמובן. </w:t>
      </w:r>
      <w:proofErr w:type="spellStart"/>
      <w:r>
        <w:rPr>
          <w:rtl/>
        </w:rPr>
        <w:t>בוולוז׳ין</w:t>
      </w:r>
      <w:proofErr w:type="spellEnd"/>
      <w:r>
        <w:rPr>
          <w:rtl/>
        </w:rPr>
        <w:t xml:space="preserve"> עשו הבדלה בעמידה.” “אם כן, מדוע אינך עומד?” שאל ר׳ שמואל </w:t>
      </w:r>
      <w:proofErr w:type="spellStart"/>
      <w:r>
        <w:rPr>
          <w:rtl/>
        </w:rPr>
        <w:t>אליעזרי</w:t>
      </w:r>
      <w:proofErr w:type="spellEnd"/>
      <w:r>
        <w:rPr>
          <w:rtl/>
        </w:rPr>
        <w:t xml:space="preserve">. “מפני </w:t>
      </w:r>
      <w:proofErr w:type="spellStart"/>
      <w:r>
        <w:rPr>
          <w:rtl/>
        </w:rPr>
        <w:t>שסלבודקה</w:t>
      </w:r>
      <w:proofErr w:type="spellEnd"/>
      <w:r>
        <w:rPr>
          <w:rtl/>
        </w:rPr>
        <w:t xml:space="preserve"> ישבה,” השיב מלצר בקצרה.</w:t>
      </w:r>
    </w:p>
    <w:p w14:paraId="3B83E572" w14:textId="08EA7F7E" w:rsidR="00AB3647" w:rsidRDefault="00000000" w:rsidP="007923E9">
      <w:pPr>
        <w:spacing w:after="120" w:line="276" w:lineRule="auto"/>
        <w:ind w:firstLine="283"/>
        <w:jc w:val="both"/>
      </w:pPr>
      <w:r>
        <w:rPr>
          <w:rtl/>
        </w:rPr>
        <w:t xml:space="preserve">השווה גם </w:t>
      </w:r>
      <w:r>
        <w:rPr>
          <w:rtl/>
        </w:rPr>
        <w:fldChar w:fldCharType="begin" w:dirty="true"/>
      </w:r>
      <w:r>
        <w:rPr>
          <w:rtl/>
        </w:rPr>
        <w:instrText xml:space="preserve"> REF b3_excHH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לד</w:t>
      </w:r>
      <w:r>
        <w:rPr>
          <w:rtl/>
        </w:rPr>
        <w:fldChar w:fldCharType="end"/>
      </w:r>
      <w:r>
        <w:rPr>
          <w:rtl/>
        </w:rPr>
        <w:t xml:space="preserve"> להלן, על כך שר׳ </w:t>
      </w:r>
      <w:proofErr w:type="spellStart"/>
      <w:r>
        <w:rPr>
          <w:rtl/>
        </w:rPr>
        <w:t>ברוך־בער</w:t>
      </w:r>
      <w:proofErr w:type="spellEnd"/>
      <w:r>
        <w:rPr>
          <w:rtl/>
        </w:rPr>
        <w:t xml:space="preserve"> שינה את יחסו למוסר בשנים מאוחרות יותר – אחרי פטירת ר׳ חיים. אבל ייתכן שכשאמר ר׳ חיים שאפשר להפריך את כולם מלבד ר׳ </w:t>
      </w:r>
      <w:proofErr w:type="spellStart"/>
      <w:r>
        <w:rPr>
          <w:rtl/>
        </w:rPr>
        <w:t>ברוך־בער</w:t>
      </w:r>
      <w:proofErr w:type="spellEnd"/>
      <w:r>
        <w:rPr>
          <w:rtl/>
        </w:rPr>
        <w:t>, לא התכוון ליחס אל המוסר, אלא לדרכי הלימוד של תלמידיו. ראה סוף הפסקה הראשונה ב</w:t>
      </w:r>
      <w:r>
        <w:rPr>
          <w:rtl/>
        </w:rPr>
        <w:fldChar w:fldCharType="begin" w:dirty="true"/>
      </w:r>
      <w:r>
        <w:rPr>
          <w:rtl/>
        </w:rPr>
        <w:instrText xml:space="preserve"> REF b3_excR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יח</w:t>
      </w:r>
      <w:proofErr w:type="spellEnd"/>
      <w:r>
        <w:rPr>
          <w:rtl/>
        </w:rPr>
        <w:fldChar w:fldCharType="end"/>
      </w:r>
      <w:r>
        <w:rPr>
          <w:rtl/>
        </w:rPr>
        <w:t xml:space="preserve"> להלן, על האופן שבו ראה ר׳ חיים את דרכו של ר׳ </w:t>
      </w:r>
      <w:proofErr w:type="spellStart"/>
      <w:r>
        <w:rPr>
          <w:rtl/>
        </w:rPr>
        <w:t>איסר־זלמן</w:t>
      </w:r>
      <w:proofErr w:type="spellEnd"/>
      <w:r>
        <w:rPr>
          <w:rtl/>
        </w:rPr>
        <w:t xml:space="preserve"> בלימוד,</w:t>
      </w:r>
      <w:bookmarkStart w:id="2727" w:name="_fnr1864"/>
      <w:r>
        <w:rPr>
          <w:rStyle w:val="a5"/>
        </w:rPr>
        <w:footnoteReference w:id="1868" w:customMarkFollows="0"/>
      </w:r>
      <w:bookmarkEnd w:id="2727"/>
      <w:r>
        <w:rPr>
          <w:rtl/>
        </w:rPr>
        <w:t xml:space="preserve"> וסוף הפסקה הראשונה בהערה </w:t>
      </w:r>
      <w:r>
        <w:rPr>
          <w:rtl/>
        </w:rPr>
        <w:fldChar w:fldCharType="begin" w:dirty="true"/>
      </w:r>
      <w:r>
        <w:rPr>
          <w:rtl/>
        </w:rPr>
        <w:instrText xml:space="preserve"> REF b3_note120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120</w:t>
      </w:r>
      <w:r>
        <w:rPr>
          <w:rtl/>
        </w:rPr>
        <w:fldChar w:fldCharType="end"/>
      </w:r>
      <w:r>
        <w:rPr>
          <w:rtl/>
        </w:rPr>
        <w:t xml:space="preserve"> לעיל, על האופן שבו נבדלה דרכו של ר׳ </w:t>
      </w:r>
      <w:proofErr w:type="spellStart"/>
      <w:r>
        <w:rPr>
          <w:rtl/>
        </w:rPr>
        <w:t>משה־מרדכי</w:t>
      </w:r>
      <w:proofErr w:type="spellEnd"/>
      <w:r>
        <w:rPr>
          <w:rtl/>
        </w:rPr>
        <w:t xml:space="preserve"> מזו של ר׳ </w:t>
      </w:r>
      <w:proofErr w:type="spellStart"/>
      <w:r>
        <w:rPr>
          <w:rtl/>
        </w:rPr>
        <w:t>ברוך־בער</w:t>
      </w:r>
      <w:proofErr w:type="spellEnd"/>
      <w:r>
        <w:rPr>
          <w:rtl/>
        </w:rPr>
        <w:t>.</w:t>
      </w:r>
    </w:p>
    <w:p w14:paraId="4E062905" w14:textId="77777777" w:rsidR="00AB3647" w:rsidRDefault="00000000" w:rsidP="007923E9">
      <w:pPr>
        <w:pStyle w:val="4"/>
        <w:spacing w:line="276" w:lineRule="auto"/>
      </w:pPr>
      <w:r>
        <w:t>· הפסקה השנייה ·</w:t>
      </w:r>
    </w:p>
    <w:p w14:paraId="5D608027" w14:textId="77777777" w:rsidR="00AB3647" w:rsidRDefault="00000000" w:rsidP="007923E9">
      <w:pPr>
        <w:pStyle w:val="5"/>
        <w:spacing w:line="276" w:lineRule="auto"/>
      </w:pPr>
      <w:proofErr w:type="spellStart"/>
      <w:r>
        <w:t>לר</w:t>
      </w:r>
      <w:proofErr w:type="spellEnd"/>
      <w:r>
        <w:t xml:space="preserve">׳ </w:t>
      </w:r>
      <w:proofErr w:type="spellStart"/>
      <w:r>
        <w:t>ארצ׳יק</w:t>
      </w:r>
      <w:proofErr w:type="spellEnd"/>
      <w:r>
        <w:t xml:space="preserve"> בקשט מוצעת משרה בישיבת </w:t>
      </w:r>
      <w:proofErr w:type="spellStart"/>
      <w:r>
        <w:t>סלבודקה</w:t>
      </w:r>
      <w:proofErr w:type="spellEnd"/>
      <w:r>
        <w:t xml:space="preserve"> – ר׳ </w:t>
      </w:r>
      <w:proofErr w:type="spellStart"/>
      <w:r>
        <w:t>מרדכ׳לה</w:t>
      </w:r>
      <w:proofErr w:type="spellEnd"/>
      <w:r>
        <w:t xml:space="preserve"> מברך את </w:t>
      </w:r>
      <w:proofErr w:type="spellStart"/>
      <w:r>
        <w:t>ביילה־הינדה</w:t>
      </w:r>
      <w:proofErr w:type="spellEnd"/>
      <w:r>
        <w:t xml:space="preserve"> פרנק שתינשא לגדול הדור – ר׳ </w:t>
      </w:r>
      <w:proofErr w:type="spellStart"/>
      <w:r>
        <w:t>איסר־זלמן</w:t>
      </w:r>
      <w:proofErr w:type="spellEnd"/>
      <w:r>
        <w:t xml:space="preserve"> מביא את הסבא לחזור בו מהצעתו – ר׳ </w:t>
      </w:r>
      <w:proofErr w:type="spellStart"/>
      <w:r>
        <w:t>ארצ׳יק</w:t>
      </w:r>
      <w:proofErr w:type="spellEnd"/>
      <w:r>
        <w:t xml:space="preserve"> מושיט עזרה בעסק של פרנק – גולדה פרנק משלמת את משכורות חתניה בישיבת </w:t>
      </w:r>
      <w:proofErr w:type="spellStart"/>
      <w:r>
        <w:t>סלבודקה</w:t>
      </w:r>
      <w:proofErr w:type="spellEnd"/>
      <w:r>
        <w:t xml:space="preserve"> – התלמידים שואלים את ראש ישיבתם אם להשתתף בלוויה</w:t>
      </w:r>
    </w:p>
    <w:p w14:paraId="5A21421E" w14:textId="77777777" w:rsidR="00AB3647" w:rsidRDefault="00000000" w:rsidP="007923E9">
      <w:pPr>
        <w:spacing w:after="120" w:line="276" w:lineRule="auto"/>
        <w:ind w:firstLine="283"/>
        <w:jc w:val="both"/>
      </w:pPr>
      <w:r>
        <w:rPr>
          <w:rtl/>
        </w:rPr>
        <w:t xml:space="preserve">ר׳ </w:t>
      </w:r>
      <w:proofErr w:type="spellStart"/>
      <w:r>
        <w:rPr>
          <w:rtl/>
        </w:rPr>
        <w:t>משה־מרדכי</w:t>
      </w:r>
      <w:proofErr w:type="spellEnd"/>
      <w:r>
        <w:rPr>
          <w:rtl/>
        </w:rPr>
        <w:t xml:space="preserve">, המבוגר מר׳ </w:t>
      </w:r>
      <w:proofErr w:type="spellStart"/>
      <w:r>
        <w:rPr>
          <w:rtl/>
        </w:rPr>
        <w:t>איסר־זלמן</w:t>
      </w:r>
      <w:proofErr w:type="spellEnd"/>
      <w:r>
        <w:rPr>
          <w:rtl/>
        </w:rPr>
        <w:t xml:space="preserve"> בשלוש שנים, נחשב למחדש בתורה פחות מגיסו, ולכן הציע הסבא </w:t>
      </w:r>
      <w:proofErr w:type="spellStart"/>
      <w:r>
        <w:rPr>
          <w:rtl/>
        </w:rPr>
        <w:t>מסלבודקה</w:t>
      </w:r>
      <w:proofErr w:type="spellEnd"/>
      <w:r>
        <w:rPr>
          <w:rtl/>
        </w:rPr>
        <w:t xml:space="preserve"> את המשרה תחילה לאחרון.</w:t>
      </w:r>
      <w:bookmarkStart w:id="2728" w:name="_fnr1865"/>
      <w:r>
        <w:rPr>
          <w:rStyle w:val="a5"/>
        </w:rPr>
        <w:footnoteReference w:id="1869" w:customMarkFollows="0"/>
      </w:r>
      <w:bookmarkEnd w:id="2728"/>
      <w:r>
        <w:rPr>
          <w:rtl/>
        </w:rPr>
        <w:t xml:space="preserve"> הסבא תכנן לקבל כמגיד שיעור נוסף את ר׳ </w:t>
      </w:r>
      <w:proofErr w:type="spellStart"/>
      <w:r>
        <w:rPr>
          <w:rtl/>
        </w:rPr>
        <w:t>ארצ׳יק</w:t>
      </w:r>
      <w:proofErr w:type="spellEnd"/>
      <w:r>
        <w:rPr>
          <w:rtl/>
        </w:rPr>
        <w:t xml:space="preserve"> בקשט,</w:t>
      </w:r>
      <w:bookmarkStart w:id="2729" w:name="_fnr1866"/>
      <w:bookmarkStart w:id="2730" w:name="pr_f_1775"/>
      <w:r>
        <w:rPr>
          <w:rStyle w:val="a5"/>
        </w:rPr>
        <w:footnoteReference w:id="1870" w:customMarkFollows="0"/>
      </w:r>
      <w:bookmarkEnd w:id="2729"/>
      <w:bookmarkEnd w:id="2730"/>
      <w:r>
        <w:rPr>
          <w:rtl/>
        </w:rPr>
        <w:t xml:space="preserve"> שהיה מתלמידיה הראשונים של </w:t>
      </w:r>
      <w:proofErr w:type="spellStart"/>
      <w:r>
        <w:rPr>
          <w:rtl/>
        </w:rPr>
        <w:t>סלבודקה</w:t>
      </w:r>
      <w:proofErr w:type="spellEnd"/>
      <w:r>
        <w:rPr>
          <w:rtl/>
        </w:rPr>
        <w:t xml:space="preserve"> ושל רבו של הסבא, </w:t>
      </w:r>
      <w:r>
        <w:rPr>
          <w:rtl/>
        </w:rPr>
        <w:lastRenderedPageBreak/>
        <w:t xml:space="preserve">ר׳ </w:t>
      </w:r>
      <w:proofErr w:type="spellStart"/>
      <w:r>
        <w:rPr>
          <w:rtl/>
        </w:rPr>
        <w:t>שמחה־זיסל</w:t>
      </w:r>
      <w:proofErr w:type="spellEnd"/>
      <w:r>
        <w:rPr>
          <w:rtl/>
        </w:rPr>
        <w:t xml:space="preserve"> זיו, </w:t>
      </w:r>
      <w:proofErr w:type="spellStart"/>
      <w:r>
        <w:rPr>
          <w:rtl/>
        </w:rPr>
        <w:t>בקלם</w:t>
      </w:r>
      <w:proofErr w:type="spellEnd"/>
      <w:r>
        <w:rPr>
          <w:rtl/>
        </w:rPr>
        <w:t xml:space="preserve">. משפחת פרנק כבר דחתה קודם לכן את ר׳ </w:t>
      </w:r>
      <w:proofErr w:type="spellStart"/>
      <w:r>
        <w:rPr>
          <w:rtl/>
        </w:rPr>
        <w:t>ארצ׳יק</w:t>
      </w:r>
      <w:proofErr w:type="spellEnd"/>
      <w:r>
        <w:rPr>
          <w:rtl/>
        </w:rPr>
        <w:t xml:space="preserve"> כשידוך לבת הבכורה, מנוחה, מפני שחשדה בו בטעות שהוא מקורב להשכלה. השווה כץ, “תנועת המוסר”, כרך ה</w:t>
      </w:r>
      <w:bookmarkStart w:id="2731" w:name="_fnr1867"/>
      <w:r>
        <w:rPr>
          <w:rStyle w:val="a5"/>
        </w:rPr>
        <w:footnoteReference w:id="1871" w:customMarkFollows="0"/>
      </w:r>
      <w:bookmarkEnd w:id="2731"/>
      <w:r>
        <w:rPr>
          <w:rtl/>
        </w:rPr>
        <w:t xml:space="preserve">, על ידיעותיו הרחבות של ר׳ </w:t>
      </w:r>
      <w:proofErr w:type="spellStart"/>
      <w:r>
        <w:rPr>
          <w:rtl/>
        </w:rPr>
        <w:t>ארצ׳יק</w:t>
      </w:r>
      <w:proofErr w:type="spellEnd"/>
      <w:r>
        <w:rPr>
          <w:rtl/>
        </w:rPr>
        <w:t xml:space="preserve"> בקשט במדע, בהיסטוריה ובפילוסופיה, שוודאי עוררו כלפיו חשדות בהשכלה.</w:t>
      </w:r>
    </w:p>
    <w:p w14:paraId="48F24C98" w14:textId="77777777" w:rsidR="00AB3647" w:rsidRDefault="00000000" w:rsidP="007923E9">
      <w:pPr>
        <w:spacing w:after="120" w:line="276" w:lineRule="auto"/>
        <w:ind w:firstLine="283"/>
        <w:jc w:val="both"/>
      </w:pPr>
      <w:r>
        <w:rPr>
          <w:rtl/>
        </w:rPr>
        <w:t xml:space="preserve">נכדו של אחיינו של ר׳ </w:t>
      </w:r>
      <w:proofErr w:type="spellStart"/>
      <w:r>
        <w:rPr>
          <w:rtl/>
        </w:rPr>
        <w:t>משה־מרדכי</w:t>
      </w:r>
      <w:proofErr w:type="spellEnd"/>
      <w:r>
        <w:rPr>
          <w:rtl/>
        </w:rPr>
        <w:t xml:space="preserve"> אפשטיין, ר׳ נפתלי </w:t>
      </w:r>
      <w:proofErr w:type="spellStart"/>
      <w:r>
        <w:rPr>
          <w:rtl/>
        </w:rPr>
        <w:t>חינסקי</w:t>
      </w:r>
      <w:proofErr w:type="spellEnd"/>
      <w:r>
        <w:rPr>
          <w:rtl/>
        </w:rPr>
        <w:t>, גילה</w:t>
      </w:r>
      <w:bookmarkStart w:id="2732" w:name="_fnr1868"/>
      <w:r>
        <w:rPr>
          <w:rStyle w:val="a5"/>
        </w:rPr>
        <w:footnoteReference w:id="1872" w:customMarkFollows="0"/>
      </w:r>
      <w:bookmarkEnd w:id="2732"/>
      <w:r>
        <w:rPr>
          <w:rtl/>
        </w:rPr>
        <w:t xml:space="preserve"> שבת פרנק הבכורה אכן הייתה מאורסת </w:t>
      </w:r>
      <w:proofErr w:type="spellStart"/>
      <w:r>
        <w:rPr>
          <w:rtl/>
        </w:rPr>
        <w:t>לר</w:t>
      </w:r>
      <w:proofErr w:type="spellEnd"/>
      <w:r>
        <w:rPr>
          <w:rtl/>
        </w:rPr>
        <w:t xml:space="preserve">׳ </w:t>
      </w:r>
      <w:proofErr w:type="spellStart"/>
      <w:r>
        <w:rPr>
          <w:rtl/>
        </w:rPr>
        <w:t>ארצ׳יק</w:t>
      </w:r>
      <w:proofErr w:type="spellEnd"/>
      <w:r>
        <w:rPr>
          <w:rtl/>
        </w:rPr>
        <w:t xml:space="preserve"> בקשט. אבל כשנודע לו שהמשפחה מהרהרת מחדש אם יהיה מגדולי דורו – ולגדולי הדור ציווה ר׳ </w:t>
      </w:r>
      <w:proofErr w:type="spellStart"/>
      <w:r>
        <w:rPr>
          <w:rtl/>
        </w:rPr>
        <w:t>פייבל</w:t>
      </w:r>
      <w:proofErr w:type="spellEnd"/>
      <w:r>
        <w:rPr>
          <w:rtl/>
        </w:rPr>
        <w:t xml:space="preserve"> לפני מותו</w:t>
      </w:r>
      <w:bookmarkStart w:id="2733" w:name="_fnr1869"/>
      <w:bookmarkStart w:id="2734" w:name="pr_f_1778"/>
      <w:r>
        <w:rPr>
          <w:rStyle w:val="a5"/>
        </w:rPr>
        <w:footnoteReference w:id="1873" w:customMarkFollows="0"/>
      </w:r>
      <w:bookmarkEnd w:id="2733"/>
      <w:bookmarkEnd w:id="2734"/>
      <w:r>
        <w:rPr>
          <w:rtl/>
        </w:rPr>
        <w:t xml:space="preserve"> שיינשאו בנותיו – ביטל את האירוסין.</w:t>
      </w:r>
    </w:p>
    <w:p w14:paraId="127138F1" w14:textId="77777777" w:rsidR="00AB3647" w:rsidRDefault="00000000" w:rsidP="007923E9">
      <w:pPr>
        <w:spacing w:after="120" w:line="276" w:lineRule="auto"/>
        <w:ind w:firstLine="283"/>
        <w:jc w:val="both"/>
      </w:pPr>
      <w:r>
        <w:rPr>
          <w:rtl/>
        </w:rPr>
        <w:t xml:space="preserve">הבנות התייחסו בכובד ראש רב למשאלתו האחרונה של אביהן. תלמיד ירושלמי של ר׳ </w:t>
      </w:r>
      <w:proofErr w:type="spellStart"/>
      <w:r>
        <w:rPr>
          <w:rtl/>
        </w:rPr>
        <w:t>איסר־זלמן</w:t>
      </w:r>
      <w:proofErr w:type="spellEnd"/>
      <w:r>
        <w:rPr>
          <w:rtl/>
        </w:rPr>
        <w:t xml:space="preserve"> סיפר</w:t>
      </w:r>
      <w:bookmarkStart w:id="2735" w:name="_fnr1870"/>
      <w:r>
        <w:rPr>
          <w:rStyle w:val="a5"/>
        </w:rPr>
        <w:footnoteReference w:id="1874" w:customMarkFollows="0"/>
      </w:r>
      <w:bookmarkEnd w:id="2735"/>
      <w:r>
        <w:rPr>
          <w:rtl/>
        </w:rPr>
        <w:t xml:space="preserve"> </w:t>
      </w:r>
      <w:proofErr w:type="spellStart"/>
      <w:r>
        <w:rPr>
          <w:rtl/>
        </w:rPr>
        <w:t>שביילה־הינדה</w:t>
      </w:r>
      <w:proofErr w:type="spellEnd"/>
      <w:r>
        <w:rPr>
          <w:rtl/>
        </w:rPr>
        <w:t xml:space="preserve">, לימים אשת ר׳ </w:t>
      </w:r>
      <w:proofErr w:type="spellStart"/>
      <w:r>
        <w:rPr>
          <w:rtl/>
        </w:rPr>
        <w:t>איסר־זלמן</w:t>
      </w:r>
      <w:proofErr w:type="spellEnd"/>
      <w:r>
        <w:rPr>
          <w:rtl/>
        </w:rPr>
        <w:t xml:space="preserve"> מלצר, נסעה ברכבת וגילתה שאחד הנוסעים הוא ר׳ </w:t>
      </w:r>
      <w:proofErr w:type="spellStart"/>
      <w:r>
        <w:rPr>
          <w:rtl/>
        </w:rPr>
        <w:t>מרדכ׳לה</w:t>
      </w:r>
      <w:proofErr w:type="spellEnd"/>
      <w:r>
        <w:rPr>
          <w:rtl/>
        </w:rPr>
        <w:t xml:space="preserve"> </w:t>
      </w:r>
      <w:proofErr w:type="spellStart"/>
      <w:r>
        <w:rPr>
          <w:rtl/>
        </w:rPr>
        <w:t>וייצל־רוזנבלט</w:t>
      </w:r>
      <w:proofErr w:type="spellEnd"/>
      <w:r>
        <w:rPr>
          <w:rtl/>
        </w:rPr>
        <w:t xml:space="preserve"> [</w:t>
      </w:r>
      <w:proofErr w:type="spellStart"/>
      <w:r>
        <w:rPr>
          <w:rtl/>
        </w:rPr>
        <w:t>מאושמינה</w:t>
      </w:r>
      <w:proofErr w:type="spellEnd"/>
      <w:r>
        <w:rPr>
          <w:rtl/>
        </w:rPr>
        <w:t>], תלמיד חכם גדול שיצא לו שם שברכותיו מתקיימות.</w:t>
      </w:r>
      <w:bookmarkStart w:id="2736" w:name="_fnr1871"/>
      <w:r>
        <w:rPr>
          <w:rStyle w:val="a5"/>
        </w:rPr>
        <w:footnoteReference w:id="1875" w:customMarkFollows="0"/>
      </w:r>
      <w:bookmarkEnd w:id="2736"/>
      <w:r>
        <w:rPr>
          <w:rtl/>
        </w:rPr>
        <w:t xml:space="preserve"> כשניגשה הצעירה </w:t>
      </w:r>
      <w:proofErr w:type="spellStart"/>
      <w:r>
        <w:rPr>
          <w:rtl/>
        </w:rPr>
        <w:t>לר</w:t>
      </w:r>
      <w:proofErr w:type="spellEnd"/>
      <w:r>
        <w:rPr>
          <w:rtl/>
        </w:rPr>
        <w:t xml:space="preserve">׳ </w:t>
      </w:r>
      <w:proofErr w:type="spellStart"/>
      <w:r>
        <w:rPr>
          <w:rtl/>
        </w:rPr>
        <w:t>מרדכ׳לה</w:t>
      </w:r>
      <w:proofErr w:type="spellEnd"/>
      <w:r>
        <w:rPr>
          <w:rtl/>
        </w:rPr>
        <w:t xml:space="preserve"> וביקשה ברכה שתינשא לגדול הדור, שילחה מעל פניו ואמר: “את מבקשת כבוד?!” לאחר זמן קרא לה לשוב אליו ונתן לה את הברכה שביקשה, והסביר: “בימינו [כשכבוד התורה בשפל], מי שרואה כבוד בנישואין לתלמיד חכם גדול ראויה לכך”.</w:t>
      </w:r>
    </w:p>
    <w:p w14:paraId="1CA2213D" w14:textId="77777777" w:rsidR="00AB3647" w:rsidRDefault="00000000" w:rsidP="007923E9">
      <w:pPr>
        <w:spacing w:after="120" w:line="276" w:lineRule="auto"/>
        <w:ind w:firstLine="283"/>
        <w:jc w:val="both"/>
      </w:pPr>
      <w:r>
        <w:rPr>
          <w:rtl/>
        </w:rPr>
        <w:t xml:space="preserve">ר׳ </w:t>
      </w:r>
      <w:proofErr w:type="spellStart"/>
      <w:r>
        <w:rPr>
          <w:rtl/>
        </w:rPr>
        <w:t>איסר־זלמן</w:t>
      </w:r>
      <w:proofErr w:type="spellEnd"/>
      <w:r>
        <w:rPr>
          <w:rtl/>
        </w:rPr>
        <w:t xml:space="preserve"> הודיע לסבא </w:t>
      </w:r>
      <w:proofErr w:type="spellStart"/>
      <w:r>
        <w:rPr>
          <w:rtl/>
        </w:rPr>
        <w:t>מסלבודקה</w:t>
      </w:r>
      <w:proofErr w:type="spellEnd"/>
      <w:r>
        <w:rPr>
          <w:rtl/>
        </w:rPr>
        <w:t xml:space="preserve"> שמשפחת פרנק הנדיבה תיפגע מאוד אם תראה שר׳ </w:t>
      </w:r>
      <w:proofErr w:type="spellStart"/>
      <w:r>
        <w:rPr>
          <w:rtl/>
        </w:rPr>
        <w:t>ארצ׳יק</w:t>
      </w:r>
      <w:proofErr w:type="spellEnd"/>
      <w:r>
        <w:rPr>
          <w:rtl/>
        </w:rPr>
        <w:t xml:space="preserve"> בקשט, שאותו דחתה, מועדף למשרה על פני חתנה הנבחר ר׳ </w:t>
      </w:r>
      <w:proofErr w:type="spellStart"/>
      <w:r>
        <w:rPr>
          <w:rtl/>
        </w:rPr>
        <w:t>משה־מרדכי</w:t>
      </w:r>
      <w:proofErr w:type="spellEnd"/>
      <w:r>
        <w:rPr>
          <w:rtl/>
        </w:rPr>
        <w:t xml:space="preserve"> אפשטיין. הוא הוסיף שאינו יכול להישאר בישיבה אם יובא ר׳ </w:t>
      </w:r>
      <w:proofErr w:type="spellStart"/>
      <w:r>
        <w:rPr>
          <w:rtl/>
        </w:rPr>
        <w:t>ארצ׳יק</w:t>
      </w:r>
      <w:proofErr w:type="spellEnd"/>
      <w:r>
        <w:rPr>
          <w:rtl/>
        </w:rPr>
        <w:t xml:space="preserve"> בקשט. הסבא </w:t>
      </w:r>
      <w:proofErr w:type="spellStart"/>
      <w:r>
        <w:rPr>
          <w:rtl/>
        </w:rPr>
        <w:t>מסלבודקה</w:t>
      </w:r>
      <w:proofErr w:type="spellEnd"/>
      <w:r>
        <w:rPr>
          <w:rtl/>
        </w:rPr>
        <w:t xml:space="preserve"> נענה וקיבל את ר׳ </w:t>
      </w:r>
      <w:proofErr w:type="spellStart"/>
      <w:r>
        <w:rPr>
          <w:rtl/>
        </w:rPr>
        <w:t>משה־מרדכי</w:t>
      </w:r>
      <w:proofErr w:type="spellEnd"/>
      <w:r>
        <w:rPr>
          <w:rtl/>
        </w:rPr>
        <w:t xml:space="preserve"> כמגיד השיעור השני.</w:t>
      </w:r>
      <w:bookmarkStart w:id="2737" w:name="_fnr1872"/>
      <w:bookmarkStart w:id="2738" w:name="pr_f_1781"/>
      <w:r>
        <w:rPr>
          <w:rStyle w:val="a5"/>
        </w:rPr>
        <w:footnoteReference w:id="1876" w:customMarkFollows="0"/>
      </w:r>
      <w:bookmarkEnd w:id="2737"/>
      <w:bookmarkEnd w:id="2738"/>
    </w:p>
    <w:p w14:paraId="12E1D0AB" w14:textId="77777777" w:rsidR="00AB3647" w:rsidRDefault="00000000" w:rsidP="007923E9">
      <w:pPr>
        <w:spacing w:after="120" w:line="276" w:lineRule="auto"/>
        <w:ind w:firstLine="283"/>
        <w:jc w:val="both"/>
      </w:pPr>
      <w:r>
        <w:rPr>
          <w:rtl/>
        </w:rPr>
        <w:t xml:space="preserve">רקע מעניין זה חסר בספרו של </w:t>
      </w:r>
      <w:proofErr w:type="spellStart"/>
      <w:r>
        <w:rPr>
          <w:rtl/>
        </w:rPr>
        <w:t>ידעאל</w:t>
      </w:r>
      <w:proofErr w:type="spellEnd"/>
      <w:r>
        <w:rPr>
          <w:rtl/>
        </w:rPr>
        <w:t xml:space="preserve"> מלצר, “בדרך עץ החיים”, המביא</w:t>
      </w:r>
      <w:bookmarkStart w:id="2739" w:name="_fnr1873"/>
      <w:r>
        <w:rPr>
          <w:rStyle w:val="a5"/>
        </w:rPr>
        <w:footnoteReference w:id="1877" w:customMarkFollows="0"/>
      </w:r>
      <w:bookmarkEnd w:id="2739"/>
      <w:r>
        <w:rPr>
          <w:rtl/>
        </w:rPr>
        <w:t xml:space="preserve"> רק את דברי ר׳ </w:t>
      </w:r>
      <w:proofErr w:type="spellStart"/>
      <w:r>
        <w:rPr>
          <w:rtl/>
        </w:rPr>
        <w:t>איסר־זלמן</w:t>
      </w:r>
      <w:proofErr w:type="spellEnd"/>
      <w:r>
        <w:rPr>
          <w:rtl/>
        </w:rPr>
        <w:t xml:space="preserve">: כשהוצעה לו המשרה </w:t>
      </w:r>
      <w:proofErr w:type="spellStart"/>
      <w:r>
        <w:rPr>
          <w:rtl/>
        </w:rPr>
        <w:t>בסלבודקה</w:t>
      </w:r>
      <w:proofErr w:type="spellEnd"/>
      <w:r>
        <w:rPr>
          <w:rtl/>
        </w:rPr>
        <w:t xml:space="preserve"> אמר </w:t>
      </w:r>
      <w:proofErr w:type="spellStart"/>
      <w:r>
        <w:rPr>
          <w:rtl/>
        </w:rPr>
        <w:t>ש“מוטב</w:t>
      </w:r>
      <w:proofErr w:type="spellEnd"/>
      <w:r>
        <w:rPr>
          <w:rtl/>
        </w:rPr>
        <w:t xml:space="preserve"> לקחת את גיסו המבוגר (ר׳ </w:t>
      </w:r>
      <w:proofErr w:type="spellStart"/>
      <w:r>
        <w:rPr>
          <w:rtl/>
        </w:rPr>
        <w:t>משה־מרדכי</w:t>
      </w:r>
      <w:proofErr w:type="spellEnd"/>
      <w:r>
        <w:rPr>
          <w:rtl/>
        </w:rPr>
        <w:t xml:space="preserve"> אפשטיין)”, והעביר לסבא המלצה שגיסו, מלבד בקיאותו השלמה בכל התלמוד, היה </w:t>
      </w:r>
      <w:r>
        <w:rPr>
          <w:rtl/>
        </w:rPr>
        <w:lastRenderedPageBreak/>
        <w:t xml:space="preserve">אכן מחדש מצוין. מובאת שם גם אמירה סתומה של ר׳ </w:t>
      </w:r>
      <w:proofErr w:type="spellStart"/>
      <w:r>
        <w:rPr>
          <w:rtl/>
        </w:rPr>
        <w:t>איסר־זלמן</w:t>
      </w:r>
      <w:proofErr w:type="spellEnd"/>
      <w:r>
        <w:rPr>
          <w:rtl/>
        </w:rPr>
        <w:t xml:space="preserve"> מלצר: “</w:t>
      </w:r>
      <w:r>
        <w:rPr>
          <w:b/>
          <w:bCs/>
          <w:rtl/>
        </w:rPr>
        <w:t>בכל אופן</w:t>
      </w:r>
      <w:r>
        <w:rPr>
          <w:rtl/>
        </w:rPr>
        <w:t xml:space="preserve"> (ההדגשה שלי), לבדי, בלי גיסי, ודאי לא אסכים לקבל את המשרה”.</w:t>
      </w:r>
    </w:p>
    <w:p w14:paraId="7C0EE9BD" w14:textId="77777777" w:rsidR="00AB3647" w:rsidRDefault="00000000" w:rsidP="007923E9">
      <w:pPr>
        <w:spacing w:after="120" w:line="276" w:lineRule="auto"/>
        <w:ind w:firstLine="283"/>
        <w:jc w:val="both"/>
      </w:pPr>
      <w:r>
        <w:rPr>
          <w:rtl/>
        </w:rPr>
        <w:t xml:space="preserve">הפרטים שלעיל שופכים אור על משמעות אמירה נוספת זו. הסבא רצה לקבל שני מוסרי שיעורים, ומלבד ר׳ </w:t>
      </w:r>
      <w:proofErr w:type="spellStart"/>
      <w:r>
        <w:rPr>
          <w:rtl/>
        </w:rPr>
        <w:t>איסר־זלמן</w:t>
      </w:r>
      <w:proofErr w:type="spellEnd"/>
      <w:r>
        <w:rPr>
          <w:rtl/>
        </w:rPr>
        <w:t xml:space="preserve"> מלצר היה ר׳ </w:t>
      </w:r>
      <w:proofErr w:type="spellStart"/>
      <w:r>
        <w:rPr>
          <w:rtl/>
        </w:rPr>
        <w:t>ארצ׳יק</w:t>
      </w:r>
      <w:proofErr w:type="spellEnd"/>
      <w:r>
        <w:rPr>
          <w:rtl/>
        </w:rPr>
        <w:t xml:space="preserve"> בקשט מועמד למשרה השנייה. ר׳ </w:t>
      </w:r>
      <w:proofErr w:type="spellStart"/>
      <w:r>
        <w:rPr>
          <w:rtl/>
        </w:rPr>
        <w:t>איסר־זלמן</w:t>
      </w:r>
      <w:proofErr w:type="spellEnd"/>
      <w:r>
        <w:rPr>
          <w:rtl/>
        </w:rPr>
        <w:t xml:space="preserve"> אמר לסבא </w:t>
      </w:r>
      <w:proofErr w:type="spellStart"/>
      <w:r>
        <w:rPr>
          <w:rtl/>
        </w:rPr>
        <w:t>מסלבודקה</w:t>
      </w:r>
      <w:proofErr w:type="spellEnd"/>
      <w:r>
        <w:rPr>
          <w:rtl/>
        </w:rPr>
        <w:t xml:space="preserve"> שכדי לפייס את משפחת פרנק יצטרך לקבל את ר׳ </w:t>
      </w:r>
      <w:proofErr w:type="spellStart"/>
      <w:r>
        <w:rPr>
          <w:rtl/>
        </w:rPr>
        <w:t>משה־מרדכי</w:t>
      </w:r>
      <w:proofErr w:type="spellEnd"/>
      <w:r>
        <w:rPr>
          <w:rtl/>
        </w:rPr>
        <w:t xml:space="preserve"> אפשטיין – או במקום ר׳ </w:t>
      </w:r>
      <w:proofErr w:type="spellStart"/>
      <w:r>
        <w:rPr>
          <w:rtl/>
        </w:rPr>
        <w:t>ארצ׳יק</w:t>
      </w:r>
      <w:proofErr w:type="spellEnd"/>
      <w:r>
        <w:rPr>
          <w:rtl/>
        </w:rPr>
        <w:t xml:space="preserve"> בקשט, או במקום ר׳ </w:t>
      </w:r>
      <w:proofErr w:type="spellStart"/>
      <w:r>
        <w:rPr>
          <w:rtl/>
        </w:rPr>
        <w:t>איסר־זלמן</w:t>
      </w:r>
      <w:proofErr w:type="spellEnd"/>
      <w:r>
        <w:rPr>
          <w:rtl/>
        </w:rPr>
        <w:t xml:space="preserve"> עצמו. הסבא בחר אז לקבל את ר׳ </w:t>
      </w:r>
      <w:proofErr w:type="spellStart"/>
      <w:r>
        <w:rPr>
          <w:rtl/>
        </w:rPr>
        <w:t>משה־מרדכי</w:t>
      </w:r>
      <w:proofErr w:type="spellEnd"/>
      <w:r>
        <w:rPr>
          <w:rtl/>
        </w:rPr>
        <w:t xml:space="preserve"> אפשטיין ולא את ר׳ </w:t>
      </w:r>
      <w:proofErr w:type="spellStart"/>
      <w:r>
        <w:rPr>
          <w:rtl/>
        </w:rPr>
        <w:t>ארצ׳יק</w:t>
      </w:r>
      <w:proofErr w:type="spellEnd"/>
      <w:r>
        <w:rPr>
          <w:rtl/>
        </w:rPr>
        <w:t xml:space="preserve"> בקשט: הוא החליט שמוטב לו לוותר על ר׳ </w:t>
      </w:r>
      <w:proofErr w:type="spellStart"/>
      <w:r>
        <w:rPr>
          <w:rtl/>
        </w:rPr>
        <w:t>ארצ׳יק</w:t>
      </w:r>
      <w:proofErr w:type="spellEnd"/>
      <w:r>
        <w:rPr>
          <w:rtl/>
        </w:rPr>
        <w:t xml:space="preserve"> בקשט מאשר על ר׳ </w:t>
      </w:r>
      <w:proofErr w:type="spellStart"/>
      <w:r>
        <w:rPr>
          <w:rtl/>
        </w:rPr>
        <w:t>איסר־זלמן</w:t>
      </w:r>
      <w:proofErr w:type="spellEnd"/>
      <w:r>
        <w:rPr>
          <w:rtl/>
        </w:rPr>
        <w:t>.</w:t>
      </w:r>
    </w:p>
    <w:p w14:paraId="6329EBA6" w14:textId="77777777" w:rsidR="00AB3647" w:rsidRDefault="00000000" w:rsidP="007923E9">
      <w:pPr>
        <w:spacing w:after="120" w:line="276" w:lineRule="auto"/>
        <w:ind w:firstLine="283"/>
        <w:jc w:val="both"/>
      </w:pPr>
      <w:r>
        <w:rPr>
          <w:rtl/>
        </w:rPr>
        <w:t xml:space="preserve">את עיקרו של המעשה סיפר גם ר׳ </w:t>
      </w:r>
      <w:proofErr w:type="spellStart"/>
      <w:r>
        <w:rPr>
          <w:rtl/>
        </w:rPr>
        <w:t>אלעזר־מנחם־מן</w:t>
      </w:r>
      <w:proofErr w:type="spellEnd"/>
      <w:r>
        <w:rPr>
          <w:rtl/>
        </w:rPr>
        <w:t xml:space="preserve"> שך (שנשא את אחיינית ר׳ </w:t>
      </w:r>
      <w:proofErr w:type="spellStart"/>
      <w:r>
        <w:rPr>
          <w:rtl/>
        </w:rPr>
        <w:t>איסר־זלמן</w:t>
      </w:r>
      <w:proofErr w:type="spellEnd"/>
      <w:r>
        <w:rPr>
          <w:rtl/>
        </w:rPr>
        <w:t xml:space="preserve">), אבל בשני שינויים. ראשית, משפחת פרנק דחתה את ר׳ </w:t>
      </w:r>
      <w:proofErr w:type="spellStart"/>
      <w:r>
        <w:rPr>
          <w:rtl/>
        </w:rPr>
        <w:t>ארצ׳יק</w:t>
      </w:r>
      <w:proofErr w:type="spellEnd"/>
      <w:r>
        <w:rPr>
          <w:rtl/>
        </w:rPr>
        <w:t xml:space="preserve"> בקשט משום שהיה בן יחיד לאיש עסקים עשיר, ואפשר היה לצפות שבסופו של דבר ייכנס לעסק המשפחתי ולא יישאר בתחום התורה. שנית, ר׳ </w:t>
      </w:r>
      <w:proofErr w:type="spellStart"/>
      <w:r>
        <w:rPr>
          <w:rtl/>
        </w:rPr>
        <w:t>איסר־זלמן</w:t>
      </w:r>
      <w:proofErr w:type="spellEnd"/>
      <w:r>
        <w:rPr>
          <w:rtl/>
        </w:rPr>
        <w:t xml:space="preserve"> העדיף את ר׳ </w:t>
      </w:r>
      <w:proofErr w:type="spellStart"/>
      <w:r>
        <w:rPr>
          <w:rtl/>
        </w:rPr>
        <w:t>משה־מרדכי</w:t>
      </w:r>
      <w:proofErr w:type="spellEnd"/>
      <w:r>
        <w:rPr>
          <w:rtl/>
        </w:rPr>
        <w:t xml:space="preserve"> משום שהוא עצמו עדיין אכל “</w:t>
      </w:r>
      <w:proofErr w:type="spellStart"/>
      <w:r>
        <w:rPr>
          <w:rtl/>
        </w:rPr>
        <w:t>קעסט</w:t>
      </w:r>
      <w:proofErr w:type="spellEnd"/>
      <w:r>
        <w:rPr>
          <w:rtl/>
        </w:rPr>
        <w:t xml:space="preserve">” ועסק כולו בלימוד התורה, ואילו החתן המבוגר של משפחת פרנק סיים את שנות </w:t>
      </w:r>
      <w:proofErr w:type="spellStart"/>
      <w:r>
        <w:rPr>
          <w:rtl/>
        </w:rPr>
        <w:t>ה“קעסט</w:t>
      </w:r>
      <w:proofErr w:type="spellEnd"/>
      <w:r>
        <w:rPr>
          <w:rtl/>
        </w:rPr>
        <w:t xml:space="preserve">” שלו וכבר עסק בניהול העסק המשפחתי; לכן ראה ר׳ </w:t>
      </w:r>
      <w:proofErr w:type="spellStart"/>
      <w:r>
        <w:rPr>
          <w:rtl/>
        </w:rPr>
        <w:t>איסר־זלמן</w:t>
      </w:r>
      <w:proofErr w:type="spellEnd"/>
      <w:r>
        <w:rPr>
          <w:rtl/>
        </w:rPr>
        <w:t xml:space="preserve"> צורך להחזיר את גיסו לישיבה.</w:t>
      </w:r>
    </w:p>
    <w:p w14:paraId="5A422009" w14:textId="77777777" w:rsidR="00AB3647" w:rsidRDefault="00000000" w:rsidP="007923E9">
      <w:pPr>
        <w:spacing w:after="120" w:line="276" w:lineRule="auto"/>
        <w:ind w:firstLine="283"/>
        <w:jc w:val="both"/>
      </w:pPr>
      <w:r>
        <w:rPr>
          <w:rtl/>
        </w:rPr>
        <w:t xml:space="preserve">בנוגע לנקודה הראשונה, לא נראה לי סביר </w:t>
      </w:r>
      <w:proofErr w:type="spellStart"/>
      <w:r>
        <w:rPr>
          <w:rtl/>
        </w:rPr>
        <w:t>ש“כניסה</w:t>
      </w:r>
      <w:proofErr w:type="spellEnd"/>
      <w:r>
        <w:rPr>
          <w:rtl/>
        </w:rPr>
        <w:t xml:space="preserve"> לעסק המשפחתי” נחשבה לפגם בשנים ההן – ובייחוד בעיני משפחת פרנק, שדבקה בדרכו של ר׳ ישראל </w:t>
      </w:r>
      <w:proofErr w:type="spellStart"/>
      <w:r>
        <w:rPr>
          <w:rtl/>
        </w:rPr>
        <w:t>סלנטר</w:t>
      </w:r>
      <w:proofErr w:type="spellEnd"/>
      <w:r>
        <w:rPr>
          <w:rtl/>
        </w:rPr>
        <w:t xml:space="preserve"> ובעצמה הכניסה אחר כך את חתנה ר׳ </w:t>
      </w:r>
      <w:proofErr w:type="spellStart"/>
      <w:r>
        <w:rPr>
          <w:rtl/>
        </w:rPr>
        <w:t>משה־מרדכי</w:t>
      </w:r>
      <w:proofErr w:type="spellEnd"/>
      <w:r>
        <w:rPr>
          <w:rtl/>
        </w:rPr>
        <w:t xml:space="preserve"> לעסק המשפחתי!</w:t>
      </w:r>
      <w:bookmarkStart w:id="2740" w:name="_fnr1874"/>
      <w:r>
        <w:rPr>
          <w:rStyle w:val="a5"/>
        </w:rPr>
        <w:footnoteReference w:id="1878" w:customMarkFollows="0"/>
      </w:r>
      <w:bookmarkEnd w:id="2740"/>
      <w:r>
        <w:rPr>
          <w:rtl/>
        </w:rPr>
        <w:t xml:space="preserve"> אבל כשיצא לאור “שמושה של תורה”, גיליתי</w:t>
      </w:r>
      <w:bookmarkStart w:id="2741" w:name="_fnr1875"/>
      <w:r>
        <w:rPr>
          <w:rStyle w:val="a5"/>
        </w:rPr>
        <w:footnoteReference w:id="1879" w:customMarkFollows="0"/>
      </w:r>
      <w:bookmarkEnd w:id="2741"/>
      <w:r>
        <w:rPr>
          <w:rtl/>
        </w:rPr>
        <w:t xml:space="preserve"> פרט חשוב בגרסת ר׳ </w:t>
      </w:r>
      <w:proofErr w:type="spellStart"/>
      <w:r>
        <w:rPr>
          <w:rtl/>
        </w:rPr>
        <w:t>אלעזר־מנחם־מן</w:t>
      </w:r>
      <w:proofErr w:type="spellEnd"/>
      <w:r>
        <w:rPr>
          <w:rtl/>
        </w:rPr>
        <w:t xml:space="preserve"> שך, המבהיר יותר את דחיית ר׳ </w:t>
      </w:r>
      <w:proofErr w:type="spellStart"/>
      <w:r>
        <w:rPr>
          <w:rtl/>
        </w:rPr>
        <w:t>ארצ׳יק</w:t>
      </w:r>
      <w:proofErr w:type="spellEnd"/>
      <w:r>
        <w:rPr>
          <w:rtl/>
        </w:rPr>
        <w:t>.</w:t>
      </w:r>
    </w:p>
    <w:p w14:paraId="35D3E637" w14:textId="77777777" w:rsidR="00AB3647" w:rsidRDefault="00000000" w:rsidP="007923E9">
      <w:pPr>
        <w:spacing w:after="120" w:line="276" w:lineRule="auto"/>
        <w:ind w:firstLine="283"/>
        <w:jc w:val="both"/>
      </w:pPr>
      <w:r>
        <w:rPr>
          <w:rtl/>
        </w:rPr>
        <w:t xml:space="preserve">ר׳ </w:t>
      </w:r>
      <w:proofErr w:type="spellStart"/>
      <w:r>
        <w:rPr>
          <w:rtl/>
        </w:rPr>
        <w:t>ארצ׳יק</w:t>
      </w:r>
      <w:proofErr w:type="spellEnd"/>
      <w:r>
        <w:rPr>
          <w:rtl/>
        </w:rPr>
        <w:t xml:space="preserve"> בקשט ביקר במפעל העור של משפחת פרנק בעונת העבודה העמוסה שלפני החג, וכשראה שהאלמנה ובנותיה כורעות תחת נטל העבודה, החליט – כבעל מוסר מן המעלה הגבוהה שהיה</w:t>
      </w:r>
      <w:bookmarkStart w:id="2742" w:name="_fnr1876"/>
      <w:r>
        <w:rPr>
          <w:rStyle w:val="a5"/>
        </w:rPr>
        <w:footnoteReference w:id="1880" w:customMarkFollows="0"/>
      </w:r>
      <w:bookmarkEnd w:id="2742"/>
      <w:r>
        <w:rPr>
          <w:rtl/>
        </w:rPr>
        <w:t xml:space="preserve"> – להושיט יד לעזרה. בני משפחת פרנק ודאי הבחינו בהתלהבותו מן העבודה, ובמקום לייחס אותה לשמחתו על ההזדמנות לעשות גמילות חסדים בגופו,</w:t>
      </w:r>
      <w:bookmarkStart w:id="2743" w:name="_fnr1877"/>
      <w:r>
        <w:rPr>
          <w:rStyle w:val="a5"/>
        </w:rPr>
        <w:footnoteReference w:id="1881" w:customMarkFollows="0"/>
      </w:r>
      <w:bookmarkEnd w:id="2743"/>
      <w:r>
        <w:rPr>
          <w:rtl/>
        </w:rPr>
        <w:t xml:space="preserve"> ראו בה עניין מופרז בעסקים, שאינו מקובל אפילו על בעלי מוסר.</w:t>
      </w:r>
      <w:bookmarkStart w:id="2744" w:name="_fnr1878"/>
      <w:r>
        <w:rPr>
          <w:rStyle w:val="a5"/>
        </w:rPr>
        <w:footnoteReference w:id="1882" w:customMarkFollows="0"/>
      </w:r>
      <w:bookmarkEnd w:id="2744"/>
      <w:r>
        <w:rPr>
          <w:rtl/>
        </w:rPr>
        <w:t xml:space="preserve"> למעשה, כשנשא ר׳ </w:t>
      </w:r>
      <w:proofErr w:type="spellStart"/>
      <w:r>
        <w:rPr>
          <w:rtl/>
        </w:rPr>
        <w:t>ארצ׳יק</w:t>
      </w:r>
      <w:proofErr w:type="spellEnd"/>
      <w:r>
        <w:rPr>
          <w:rtl/>
        </w:rPr>
        <w:t xml:space="preserve"> אישה, נכנס לעסקו של חותנו העשיר, ואף שהצליח בו מאוד, החליט ללמוד </w:t>
      </w:r>
      <w:proofErr w:type="spellStart"/>
      <w:r>
        <w:rPr>
          <w:rtl/>
        </w:rPr>
        <w:t>בקלם</w:t>
      </w:r>
      <w:proofErr w:type="spellEnd"/>
      <w:r>
        <w:rPr>
          <w:rtl/>
        </w:rPr>
        <w:t xml:space="preserve"> במקום זאת, “כשראה ש[העבודה] מעכבת את התקדמותו הרוחנית”.</w:t>
      </w:r>
      <w:bookmarkStart w:id="2745" w:name="_fnr1879"/>
      <w:r>
        <w:rPr>
          <w:rStyle w:val="a5"/>
        </w:rPr>
        <w:footnoteReference w:id="1883" w:customMarkFollows="0"/>
      </w:r>
      <w:bookmarkEnd w:id="2745"/>
    </w:p>
    <w:p w14:paraId="1D33A9DE" w14:textId="77777777" w:rsidR="00AB3647" w:rsidRDefault="00000000" w:rsidP="007923E9">
      <w:pPr>
        <w:spacing w:after="120" w:line="276" w:lineRule="auto"/>
        <w:ind w:firstLine="283"/>
        <w:jc w:val="both"/>
      </w:pPr>
      <w:r>
        <w:rPr>
          <w:rtl/>
        </w:rPr>
        <w:t xml:space="preserve">באחד מביקוריו בארץ ישראל סיפר אבי – בהקשר של הזכות הישירה שיש לייחס לעשירי העבר בגידול מנהיגי ישראל – שאלמנת ר׳ </w:t>
      </w:r>
      <w:proofErr w:type="spellStart"/>
      <w:r>
        <w:rPr>
          <w:rtl/>
        </w:rPr>
        <w:t>שרגא־פייבל</w:t>
      </w:r>
      <w:proofErr w:type="spellEnd"/>
      <w:r>
        <w:rPr>
          <w:rtl/>
        </w:rPr>
        <w:t xml:space="preserve"> פרנק, גולדה, דאגה שחתניה יקבלו </w:t>
      </w:r>
      <w:r>
        <w:rPr>
          <w:rtl/>
        </w:rPr>
        <w:lastRenderedPageBreak/>
        <w:t xml:space="preserve">את משרות מגידי השיעור </w:t>
      </w:r>
      <w:proofErr w:type="spellStart"/>
      <w:r>
        <w:rPr>
          <w:rtl/>
        </w:rPr>
        <w:t>בסלבודקה</w:t>
      </w:r>
      <w:proofErr w:type="spellEnd"/>
      <w:r>
        <w:rPr>
          <w:rtl/>
        </w:rPr>
        <w:t>: היא הודיעה לסבא שהיא תישא בתשלום משכורותיהם.</w:t>
      </w:r>
      <w:bookmarkStart w:id="2746" w:name="_fnr1880"/>
      <w:r>
        <w:rPr>
          <w:rStyle w:val="a5"/>
        </w:rPr>
        <w:footnoteReference w:id="1884" w:customMarkFollows="0"/>
      </w:r>
      <w:bookmarkEnd w:id="2746"/>
    </w:p>
    <w:p w14:paraId="620873FA" w14:textId="77777777" w:rsidR="00AB3647" w:rsidRDefault="00000000" w:rsidP="007923E9">
      <w:pPr>
        <w:spacing w:after="120" w:line="276" w:lineRule="auto"/>
        <w:ind w:firstLine="283"/>
        <w:jc w:val="both"/>
      </w:pPr>
      <w:r>
        <w:rPr>
          <w:rtl/>
        </w:rPr>
        <w:t>אבי גילה גם</w:t>
      </w:r>
      <w:bookmarkStart w:id="2747" w:name="_fnr1881"/>
      <w:r>
        <w:rPr>
          <w:rStyle w:val="a5"/>
        </w:rPr>
        <w:footnoteReference w:id="1885" w:customMarkFollows="0"/>
      </w:r>
      <w:bookmarkEnd w:id="2747"/>
      <w:r>
        <w:rPr>
          <w:rtl/>
        </w:rPr>
        <w:t xml:space="preserve"> כיצד דאג הסבא שהבחורים יכירו בר׳ </w:t>
      </w:r>
      <w:proofErr w:type="spellStart"/>
      <w:r>
        <w:rPr>
          <w:rtl/>
        </w:rPr>
        <w:t>משה־מרדכי</w:t>
      </w:r>
      <w:proofErr w:type="spellEnd"/>
      <w:r>
        <w:rPr>
          <w:rtl/>
        </w:rPr>
        <w:t xml:space="preserve"> כראש ישיבתם. פעם באו התלמידים אל הסבא לשאול אם להשתתף בלוויה מסוימת בעיר, והוא אמר להם: “יש כאן ראש ישיבה – לכו שאלו אותו”. כשפנו </w:t>
      </w:r>
      <w:proofErr w:type="spellStart"/>
      <w:r>
        <w:rPr>
          <w:rtl/>
        </w:rPr>
        <w:t>לר</w:t>
      </w:r>
      <w:proofErr w:type="spellEnd"/>
      <w:r>
        <w:rPr>
          <w:rtl/>
        </w:rPr>
        <w:t xml:space="preserve">׳ </w:t>
      </w:r>
      <w:proofErr w:type="spellStart"/>
      <w:r>
        <w:rPr>
          <w:rtl/>
        </w:rPr>
        <w:t>משה־מרדכי</w:t>
      </w:r>
      <w:proofErr w:type="spellEnd"/>
      <w:r>
        <w:rPr>
          <w:rtl/>
        </w:rPr>
        <w:t>, ניגש הלה אל הסבא ושאל לדעתו, ואחר כך חזר להורות לתלמידים.</w:t>
      </w:r>
      <w:bookmarkStart w:id="2748" w:name="_fnr1882"/>
      <w:r>
        <w:rPr>
          <w:rStyle w:val="a5"/>
        </w:rPr>
        <w:footnoteReference w:id="1886" w:customMarkFollows="0"/>
      </w:r>
      <w:bookmarkEnd w:id="2748"/>
    </w:p>
    <w:p w14:paraId="79561ED9" w14:textId="77777777" w:rsidR="00AB3647" w:rsidRDefault="00000000" w:rsidP="007923E9">
      <w:pPr>
        <w:spacing w:after="120" w:line="276" w:lineRule="auto"/>
        <w:ind w:firstLine="283"/>
        <w:jc w:val="both"/>
      </w:pPr>
      <w:r>
        <w:rPr>
          <w:rtl/>
        </w:rPr>
        <w:t xml:space="preserve">כששמע חתנו הצעיר של רבנו, ר׳ הירש </w:t>
      </w:r>
      <w:proofErr w:type="spellStart"/>
      <w:r>
        <w:rPr>
          <w:rtl/>
        </w:rPr>
        <w:t>דיסקינד</w:t>
      </w:r>
      <w:proofErr w:type="spellEnd"/>
      <w:r>
        <w:rPr>
          <w:rtl/>
        </w:rPr>
        <w:t xml:space="preserve">, את הדברים, אמר שר׳ </w:t>
      </w:r>
      <w:proofErr w:type="spellStart"/>
      <w:r>
        <w:rPr>
          <w:rtl/>
        </w:rPr>
        <w:t>יעקב־יצחק</w:t>
      </w:r>
      <w:proofErr w:type="spellEnd"/>
      <w:r>
        <w:rPr>
          <w:rtl/>
        </w:rPr>
        <w:t xml:space="preserve"> </w:t>
      </w:r>
      <w:proofErr w:type="spellStart"/>
      <w:r>
        <w:rPr>
          <w:rtl/>
        </w:rPr>
        <w:t>רודרמן</w:t>
      </w:r>
      <w:proofErr w:type="spellEnd"/>
      <w:r>
        <w:rPr>
          <w:rtl/>
        </w:rPr>
        <w:t xml:space="preserve"> סיפר מעשה דומה לכאורה,</w:t>
      </w:r>
      <w:bookmarkStart w:id="2749" w:name="_fnr1883"/>
      <w:r>
        <w:rPr>
          <w:rStyle w:val="a5"/>
        </w:rPr>
        <w:footnoteReference w:id="1887" w:customMarkFollows="0"/>
      </w:r>
      <w:bookmarkEnd w:id="2749"/>
      <w:r>
        <w:rPr>
          <w:rtl/>
        </w:rPr>
        <w:t xml:space="preserve"> אך בכיוון אחר. בקובנה הייתה לוויה של תומך נלהב בישיבה. ר׳ </w:t>
      </w:r>
      <w:proofErr w:type="spellStart"/>
      <w:r>
        <w:rPr>
          <w:rtl/>
        </w:rPr>
        <w:t>משה־מרדכי</w:t>
      </w:r>
      <w:proofErr w:type="spellEnd"/>
      <w:r>
        <w:rPr>
          <w:rtl/>
        </w:rPr>
        <w:t xml:space="preserve"> אפשטיין סבר שהבחורים צריכים להשתתף בה, ואילו הסבא סבר אחרת. בישיבת צוות השתתפו שניהם והמשנה למשגיח, ר׳ </w:t>
      </w:r>
      <w:proofErr w:type="spellStart"/>
      <w:r>
        <w:rPr>
          <w:rtl/>
        </w:rPr>
        <w:t xml:space="preserve">בער־הירש</w:t>
      </w:r>
      <w:proofErr w:type="spellEnd"/>
      <w:r>
        <w:rPr>
          <w:rtl/>
        </w:rPr>
        <w:t xml:space="preserve"> </w:t>
      </w:r>
      <w:proofErr w:type="spellStart"/>
      <w:r>
        <w:rPr>
          <w:rtl/>
        </w:rPr>
        <w:t xml:space="preserve">הלר</w:t>
      </w:r>
      <w:proofErr w:type="spellEnd"/>
      <w:r>
        <w:rPr>
          <w:rtl/>
        </w:rPr>
        <w:t>.</w:t>
      </w:r>
      <w:bookmarkStart w:id="2750" w:name="_fnr1884"/>
      <w:r>
        <w:rPr>
          <w:rStyle w:val="a5"/>
        </w:rPr>
        <w:footnoteReference w:id="1888" w:customMarkFollows="0"/>
      </w:r>
      <w:bookmarkEnd w:id="2750"/>
      <w:r>
        <w:rPr>
          <w:rtl/>
        </w:rPr>
        <w:t xml:space="preserve"> האחרון הציג את הדעה שהתלמידים צריכים ללכת, והסבא תקף אותו בחריפות. אחר כך פנה הסבא </w:t>
      </w:r>
      <w:proofErr w:type="spellStart"/>
      <w:r>
        <w:rPr>
          <w:rtl/>
        </w:rPr>
        <w:t>לר</w:t>
      </w:r>
      <w:proofErr w:type="spellEnd"/>
      <w:r>
        <w:rPr>
          <w:rtl/>
        </w:rPr>
        <w:t xml:space="preserve">׳ </w:t>
      </w:r>
      <w:proofErr w:type="spellStart"/>
      <w:r>
        <w:rPr>
          <w:rtl/>
        </w:rPr>
        <w:t>משה־מרדכי</w:t>
      </w:r>
      <w:proofErr w:type="spellEnd"/>
      <w:r>
        <w:rPr>
          <w:rtl/>
        </w:rPr>
        <w:t xml:space="preserve"> ושאל לדעתו. עכשיו הסכים ר׳ </w:t>
      </w:r>
      <w:proofErr w:type="spellStart"/>
      <w:r>
        <w:rPr>
          <w:rtl/>
        </w:rPr>
        <w:t>משה־מרדכי</w:t>
      </w:r>
      <w:proofErr w:type="spellEnd"/>
      <w:r>
        <w:rPr>
          <w:rtl/>
        </w:rPr>
        <w:t xml:space="preserve"> לסבא – או לא רצה לחלוק עליו – והכריז שהבחורים בהחלט אינם צריכים להשתתף בלוויה. הרב </w:t>
      </w:r>
      <w:proofErr w:type="spellStart"/>
      <w:r>
        <w:rPr>
          <w:rtl/>
        </w:rPr>
        <w:t xml:space="preserve">הלר</w:t>
      </w:r>
      <w:proofErr w:type="spellEnd"/>
      <w:r>
        <w:rPr>
          <w:rtl/>
        </w:rPr>
        <w:t xml:space="preserve"> שימש לסבא כבן שיח המציג את הדעה הנגדית, כדי שהסבא יוכל להשליט את דעתו בלי להתעמת עם ראש הישיבה.</w:t>
      </w:r>
      <w:bookmarkStart w:id="2751" w:name="_fnr1885"/>
      <w:r>
        <w:rPr>
          <w:rStyle w:val="a5"/>
        </w:rPr>
        <w:footnoteReference w:id="1889" w:customMarkFollows="0"/>
      </w:r>
      <w:bookmarkEnd w:id="2751"/>
    </w:p>
    <w:p w14:paraId="77EA73A6" w14:textId="77777777" w:rsidR="00AB3647" w:rsidRDefault="00000000" w:rsidP="007923E9">
      <w:pPr>
        <w:pStyle w:val="4"/>
        <w:spacing w:line="276" w:lineRule="auto"/>
      </w:pPr>
      <w:r>
        <w:t>· הפסקה השלישית ·</w:t>
      </w:r>
    </w:p>
    <w:p w14:paraId="78639B37" w14:textId="77777777" w:rsidR="00AB3647" w:rsidRDefault="00000000" w:rsidP="007923E9">
      <w:pPr>
        <w:pStyle w:val="5"/>
        <w:spacing w:line="276" w:lineRule="auto"/>
      </w:pPr>
      <w:r>
        <w:t xml:space="preserve">גם שתי בנות פרנק הצעירות נישאות לגדולים – אחיינו של ר׳ </w:t>
      </w:r>
      <w:proofErr w:type="spellStart"/>
      <w:r>
        <w:t>שרגא־פייבל</w:t>
      </w:r>
      <w:proofErr w:type="spellEnd"/>
      <w:r>
        <w:t xml:space="preserve"> הוא רבה של ירושלים</w:t>
      </w:r>
    </w:p>
    <w:p w14:paraId="20468D2F" w14:textId="77777777" w:rsidR="00AB3647" w:rsidRDefault="00000000" w:rsidP="007923E9">
      <w:pPr>
        <w:spacing w:after="120" w:line="276" w:lineRule="auto"/>
        <w:ind w:firstLine="283"/>
        <w:jc w:val="both"/>
      </w:pPr>
      <w:r>
        <w:rPr>
          <w:rtl/>
        </w:rPr>
        <w:t xml:space="preserve">גם שתי בנותיו הצעירות של ר׳ </w:t>
      </w:r>
      <w:proofErr w:type="spellStart"/>
      <w:r>
        <w:rPr>
          <w:rtl/>
        </w:rPr>
        <w:t>שרגא־פייבל</w:t>
      </w:r>
      <w:proofErr w:type="spellEnd"/>
      <w:r>
        <w:rPr>
          <w:rtl/>
        </w:rPr>
        <w:t xml:space="preserve"> פרנק נישאו לאישי תורה גדולים: ר׳ ברוך </w:t>
      </w:r>
      <w:proofErr w:type="spellStart"/>
      <w:r>
        <w:rPr>
          <w:rtl/>
        </w:rPr>
        <w:t>הורוויץ</w:t>
      </w:r>
      <w:proofErr w:type="spellEnd"/>
      <w:r>
        <w:rPr>
          <w:rtl/>
        </w:rPr>
        <w:t xml:space="preserve"> (</w:t>
      </w:r>
      <w:proofErr w:type="spellStart"/>
      <w:r>
        <w:rPr>
          <w:rtl/>
        </w:rPr>
        <w:t>אלקסוטער</w:t>
      </w:r>
      <w:proofErr w:type="spellEnd"/>
      <w:r>
        <w:rPr>
          <w:rtl/>
        </w:rPr>
        <w:t xml:space="preserve">), ראש ישיבה בישיבת </w:t>
      </w:r>
      <w:proofErr w:type="spellStart"/>
      <w:r>
        <w:rPr>
          <w:rtl/>
        </w:rPr>
        <w:t>סלבודקה</w:t>
      </w:r>
      <w:proofErr w:type="spellEnd"/>
      <w:r>
        <w:rPr>
          <w:rtl/>
        </w:rPr>
        <w:t xml:space="preserve"> משנת תרע״ח עד פטירתו בשנת תרצ״ו,</w:t>
      </w:r>
      <w:bookmarkStart w:id="2752" w:name="_fnr1886"/>
      <w:r>
        <w:rPr>
          <w:rStyle w:val="a5"/>
        </w:rPr>
        <w:footnoteReference w:id="1890" w:customMarkFollows="0"/>
      </w:r>
      <w:bookmarkEnd w:id="2752"/>
      <w:r>
        <w:rPr>
          <w:rtl/>
        </w:rPr>
        <w:t xml:space="preserve"> ור׳ שפטל קרמר, שבא לניו </w:t>
      </w:r>
      <w:proofErr w:type="spellStart"/>
      <w:r>
        <w:rPr>
          <w:rtl/>
        </w:rPr>
        <w:t>הייבן</w:t>
      </w:r>
      <w:proofErr w:type="spellEnd"/>
      <w:r>
        <w:rPr>
          <w:rtl/>
        </w:rPr>
        <w:t xml:space="preserve"> שבקונטיקט בשנת תרפ״ה כדי לשמש מנהל רוחני תחת ר׳ יהודה </w:t>
      </w:r>
      <w:proofErr w:type="spellStart"/>
      <w:r>
        <w:rPr>
          <w:rtl/>
        </w:rPr>
        <w:t>לוונברג</w:t>
      </w:r>
      <w:proofErr w:type="spellEnd"/>
      <w:r>
        <w:rPr>
          <w:rtl/>
        </w:rPr>
        <w:t xml:space="preserve"> בישיבה הראשונה באמריקה שנוסדה במתכונת אירופית. הרב קרמר היה חותנם של ר׳ </w:t>
      </w:r>
      <w:proofErr w:type="spellStart"/>
      <w:r>
        <w:rPr>
          <w:rtl/>
        </w:rPr>
        <w:t>יעקב־יצחק</w:t>
      </w:r>
      <w:proofErr w:type="spellEnd"/>
      <w:r>
        <w:rPr>
          <w:rtl/>
        </w:rPr>
        <w:t xml:space="preserve"> </w:t>
      </w:r>
      <w:proofErr w:type="spellStart"/>
      <w:r>
        <w:rPr>
          <w:rtl/>
        </w:rPr>
        <w:t>רודרמן</w:t>
      </w:r>
      <w:bookmarkStart w:id="2753" w:name="_fnr1887"/>
      <w:proofErr w:type="spellEnd"/>
      <w:r>
        <w:rPr>
          <w:rStyle w:val="a5"/>
        </w:rPr>
        <w:footnoteReference w:id="1891" w:customMarkFollows="0"/>
      </w:r>
      <w:bookmarkEnd w:id="2753"/>
      <w:r>
        <w:rPr>
          <w:rtl/>
        </w:rPr>
        <w:t xml:space="preserve"> ושל ר׳ נפתלי </w:t>
      </w:r>
      <w:proofErr w:type="spellStart"/>
      <w:r>
        <w:rPr>
          <w:rtl/>
        </w:rPr>
        <w:t>נויברגר</w:t>
      </w:r>
      <w:proofErr w:type="spellEnd"/>
      <w:r>
        <w:rPr>
          <w:rtl/>
        </w:rPr>
        <w:t>.</w:t>
      </w:r>
      <w:bookmarkStart w:id="2754" w:name="_fnr1888"/>
      <w:r>
        <w:rPr>
          <w:rStyle w:val="a5"/>
        </w:rPr>
        <w:footnoteReference w:id="1892" w:customMarkFollows="0"/>
      </w:r>
      <w:bookmarkEnd w:id="2754"/>
    </w:p>
    <w:p w14:paraId="4DA315D2" w14:textId="77777777" w:rsidR="00AB3647" w:rsidRDefault="00000000" w:rsidP="007923E9">
      <w:pPr>
        <w:spacing w:after="120" w:line="276" w:lineRule="auto"/>
        <w:ind w:firstLine="283"/>
        <w:jc w:val="both"/>
      </w:pPr>
      <w:r>
        <w:rPr>
          <w:rtl/>
        </w:rPr>
        <w:t xml:space="preserve">ר׳ </w:t>
      </w:r>
      <w:proofErr w:type="spellStart"/>
      <w:r>
        <w:rPr>
          <w:rtl/>
        </w:rPr>
        <w:t>שרגא־פייבל</w:t>
      </w:r>
      <w:proofErr w:type="spellEnd"/>
      <w:r>
        <w:rPr>
          <w:rtl/>
        </w:rPr>
        <w:t xml:space="preserve"> היה אחד מתשעה אחים ואחיות. אחד מאחיו היה ר׳ יודל, שעלה לארץ ישראל עם משפחתו בשנת תרנ״ג, והיה אביו של ר׳ </w:t>
      </w:r>
      <w:proofErr w:type="spellStart"/>
      <w:r>
        <w:rPr>
          <w:rtl/>
        </w:rPr>
        <w:t>צבי־פסח</w:t>
      </w:r>
      <w:proofErr w:type="spellEnd"/>
      <w:r>
        <w:rPr>
          <w:rtl/>
        </w:rPr>
        <w:t xml:space="preserve"> (שנולד בקובנה בשנת תרל״ג), </w:t>
      </w:r>
      <w:r>
        <w:rPr>
          <w:rtl/>
        </w:rPr>
        <w:lastRenderedPageBreak/>
        <w:t>ששימש רבה של ירושלים משנת תרס״ח עד פטירתו בשנת תשכ״א. כמה מן האחים האחרים היגרו לעולם החדש וייסדו מבשלת בירה באזור שיקגו.</w:t>
      </w:r>
    </w:p>
    <w:p w14:paraId="0488F9A7" w14:textId="2729B554" w:rsidR="00AB3647" w:rsidRDefault="00000000" w:rsidP="007923E9">
      <w:pPr>
        <w:spacing w:after="120" w:line="276" w:lineRule="auto"/>
        <w:ind w:firstLine="283"/>
        <w:jc w:val="both"/>
      </w:pPr>
      <w:r>
        <w:rPr>
          <w:rtl/>
        </w:rPr>
        <w:t xml:space="preserve">כשנסע ר׳ יודל לארצות הברית מטעם בית היתומים דיסקין בירושלים, מצא שאחיו העשירים שם כבר אינם נאמנים בשמירת הכשרות, ולא יכול לאכול בבתיהם אלא לחם ולשתות בירה. אח עשיר אחר מת בקובנה בלי ילדים, ונאמר שהורעל בידי אשתו. הרבנים הורו </w:t>
      </w:r>
      <w:proofErr w:type="spellStart"/>
      <w:r>
        <w:rPr>
          <w:rtl/>
        </w:rPr>
        <w:t>לר</w:t>
      </w:r>
      <w:proofErr w:type="spellEnd"/>
      <w:r>
        <w:rPr>
          <w:rtl/>
        </w:rPr>
        <w:t>׳ יודל שלא לחלוץ לה לפני שתוותר על ההון העצום שהשיגה בפשעה.</w:t>
      </w:r>
      <w:bookmarkStart w:id="2755" w:name="_fnr1889"/>
      <w:r>
        <w:rPr>
          <w:rStyle w:val="a5"/>
        </w:rPr>
        <w:footnoteReference w:id="1893" w:customMarkFollows="0"/>
      </w:r>
      <w:bookmarkEnd w:id="2755"/>
      <w:r>
        <w:rPr>
          <w:rtl/>
        </w:rPr>
        <w:t xml:space="preserve"> השווה גם הערת שוליים </w:t>
      </w:r>
      <w:r>
        <w:rPr>
          <w:rtl/>
        </w:rPr>
        <w:fldChar w:fldCharType="begin" w:dirty="true"/>
      </w:r>
      <w:r>
        <w:rPr>
          <w:rtl/>
        </w:rPr>
        <w:instrText xml:space="preserve"> NOTEREF pr_f_1778 \h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Pr>
          <w:rtl/>
        </w:rPr>
        <w:t>825</w:t>
      </w:r>
      <w:r>
        <w:rPr>
          <w:rtl/>
        </w:rPr>
        <w:fldChar w:fldCharType="end"/>
      </w:r>
      <w:r>
        <w:rPr>
          <w:rtl/>
        </w:rPr>
        <w:t xml:space="preserve"> בעמ׳ </w:t>
      </w:r>
      <w:r>
        <w:rPr>
          <w:rtl/>
        </w:rPr>
        <w:fldChar w:fldCharType="begin" w:dirty="true"/>
      </w:r>
      <w:r>
        <w:rPr>
          <w:rtl/>
        </w:rPr>
        <w:instrText xml:space="preserve"> PAGEREF pr_f_1778 \h </w:instrText>
      </w:r>
      <w:r>
        <w:rPr>
          <w:rtl/>
        </w:rPr>
      </w:r>
      <w:r>
        <w:rPr>
          <w:rtl/>
        </w:rPr>
        <w:fldChar w:fldCharType="separate"/>
      </w:r>
      <w:r w:rsidR="007923E9">
        <w:rPr>
          <w:noProof/>
          <w:rtl/>
        </w:rPr>
        <w:t>1</w:t>
      </w:r>
      <w:r>
        <w:rPr>
          <w:rtl/>
        </w:rPr>
        <w:fldChar w:fldCharType="end"/>
      </w:r>
      <w:r>
        <w:rPr>
          <w:rtl/>
        </w:rPr>
        <w:t xml:space="preserve"> לעיל, שהצדיק ר׳ </w:t>
      </w:r>
      <w:proofErr w:type="spellStart"/>
      <w:r>
        <w:rPr>
          <w:rtl/>
        </w:rPr>
        <w:t>שרגא־פייבל</w:t>
      </w:r>
      <w:proofErr w:type="spellEnd"/>
      <w:r>
        <w:rPr>
          <w:rtl/>
        </w:rPr>
        <w:t xml:space="preserve"> התפלל שצאצאיו לא יהיו עשירים; אולי ראה במשפחתו שלו לאילו רעות יכול העושר להביא.</w:t>
      </w:r>
    </w:p>
    <w:bookmarkStart w:id="2756" w:name="b3_excK"/>
    <w:p w14:paraId="15DE1F69" w14:textId="77777777" w:rsidR="00AB3647" w:rsidRDefault="00000000" w:rsidP="007923E9">
      <w:pPr>
        <w:pStyle w:val="3"/>
        <w:spacing w:line="276" w:lineRule="auto"/>
      </w:pPr>
      <w:r>
        <w:lastRenderedPageBreak/>
        <w:fldChar w:fldCharType="begin" w:dirty="true"/>
      </w:r>
      <w:r>
        <w:rPr>
          <w:rtl w:val="0"/>
        </w:rPr>
        <w:instrText>HYPERLINK \l "b3_note34</w:instrText>
      </w:r>
      <w:r>
        <w:instrText>"</w:instrText>
      </w:r>
      <w:r>
        <w:fldChar w:fldCharType="separate"/>
      </w:r>
      <w:r>
        <w:t>נספח יא</w:t>
      </w:r>
      <w:r>
        <w:fldChar w:fldCharType="end"/>
      </w:r>
      <w:bookmarkEnd w:id="2756"/>
    </w:p>
    <w:p w14:paraId="0567CB47" w14:textId="77777777" w:rsidR="00AB3647" w:rsidRDefault="00000000" w:rsidP="007923E9">
      <w:pPr>
        <w:pStyle w:val="af"/>
        <w:spacing w:line="276" w:lineRule="auto"/>
      </w:pPr>
      <w:r>
        <w:t xml:space="preserve">על שנותיה האחרונות של ישיבת </w:t>
      </w:r>
      <w:proofErr w:type="spellStart"/>
      <w:r>
        <w:t>וולוז׳ין</w:t>
      </w:r>
      <w:proofErr w:type="spellEnd"/>
      <w:r>
        <w:t xml:space="preserve"> המקורית ועל מעורבות ר׳ חיים ברלין בסגירתה ובניסיון לפתחה מחדש</w:t>
      </w:r>
    </w:p>
    <w:p w14:paraId="79EE04E2" w14:textId="77777777" w:rsidR="00AB3647" w:rsidRDefault="00000000" w:rsidP="007923E9">
      <w:pPr>
        <w:pStyle w:val="5"/>
        <w:spacing w:line="276" w:lineRule="auto"/>
      </w:pPr>
      <w:r>
        <w:t xml:space="preserve">ישיבת </w:t>
      </w:r>
      <w:proofErr w:type="spellStart"/>
      <w:r>
        <w:t>סלבודקה</w:t>
      </w:r>
      <w:proofErr w:type="spellEnd"/>
      <w:r>
        <w:t xml:space="preserve"> יוצאת נשכרת מסגירת </w:t>
      </w:r>
      <w:proofErr w:type="spellStart"/>
      <w:r>
        <w:t>וולוז׳ין</w:t>
      </w:r>
      <w:proofErr w:type="spellEnd"/>
      <w:r>
        <w:t xml:space="preserve"> – </w:t>
      </w:r>
      <w:proofErr w:type="spellStart"/>
      <w:r>
        <w:t>הנצי״ב</w:t>
      </w:r>
      <w:proofErr w:type="spellEnd"/>
      <w:r>
        <w:t xml:space="preserve"> מתנגד ללימוד מוסר בישיבה – התפרעויות בישיבת </w:t>
      </w:r>
      <w:proofErr w:type="spellStart"/>
      <w:r>
        <w:t>וולוז׳ין</w:t>
      </w:r>
      <w:proofErr w:type="spellEnd"/>
      <w:r>
        <w:t xml:space="preserve"> נגד ר׳ חיים ברלין מביאות לנפילתה – </w:t>
      </w:r>
      <w:proofErr w:type="spellStart"/>
      <w:r>
        <w:t>חיים־נחמן</w:t>
      </w:r>
      <w:proofErr w:type="spellEnd"/>
      <w:r>
        <w:t xml:space="preserve"> ביאליק הצעיר מתאר את ההתקוממות בשירה – אין הוא מגלה הכרת טובה </w:t>
      </w:r>
      <w:proofErr w:type="spellStart"/>
      <w:r>
        <w:t>למיטיבו</w:t>
      </w:r>
      <w:proofErr w:type="spellEnd"/>
      <w:r>
        <w:t xml:space="preserve"> באודסה – הסיבה הידועה לסגירת </w:t>
      </w:r>
      <w:proofErr w:type="spellStart"/>
      <w:r>
        <w:t>וולוז׳ין</w:t>
      </w:r>
      <w:proofErr w:type="spellEnd"/>
      <w:r>
        <w:t xml:space="preserve"> אינה בהכרח הסיבה היחידה – הצטרפותם של שני גורמים – </w:t>
      </w:r>
      <w:proofErr w:type="spellStart"/>
      <w:r>
        <w:t>הנצי״ב</w:t>
      </w:r>
      <w:proofErr w:type="spellEnd"/>
      <w:r>
        <w:t xml:space="preserve"> רואה בסגירה עניין זמני – עולה האפשרות לישיבת </w:t>
      </w:r>
      <w:proofErr w:type="spellStart"/>
      <w:r>
        <w:t>וולוז׳ין</w:t>
      </w:r>
      <w:proofErr w:type="spellEnd"/>
      <w:r>
        <w:t xml:space="preserve"> בלי ר׳ חיים </w:t>
      </w:r>
      <w:proofErr w:type="spellStart"/>
      <w:r>
        <w:t>סולובייצ׳יק</w:t>
      </w:r>
      <w:proofErr w:type="spellEnd"/>
      <w:r>
        <w:t xml:space="preserve"> – ר׳ חיים ברלין מצפה לפתיחת הישיבה מחדש – ר׳ חיים </w:t>
      </w:r>
      <w:proofErr w:type="spellStart"/>
      <w:r>
        <w:t>סולובייצ׳יק</w:t>
      </w:r>
      <w:proofErr w:type="spellEnd"/>
      <w:r>
        <w:t xml:space="preserve"> אינו מתערב במהומה – בנו ר׳ משה שוקל לפתוח מחדש את ישיבת </w:t>
      </w:r>
      <w:proofErr w:type="spellStart"/>
      <w:r>
        <w:t>וולוז׳ין</w:t>
      </w:r>
      <w:proofErr w:type="spellEnd"/>
      <w:r>
        <w:t xml:space="preserve"> לאחר מלחמת העולם הראשונה – ר׳ חיים ברלין מכהן ברבנות מוסקבה, ואחר כך מתגורר </w:t>
      </w:r>
      <w:proofErr w:type="spellStart"/>
      <w:r>
        <w:t>בביאלה</w:t>
      </w:r>
      <w:proofErr w:type="spellEnd"/>
      <w:r>
        <w:t xml:space="preserve"> – הוא נעשה רבה של </w:t>
      </w:r>
      <w:proofErr w:type="spellStart"/>
      <w:r>
        <w:t>קוברין</w:t>
      </w:r>
      <w:proofErr w:type="spellEnd"/>
      <w:r>
        <w:t xml:space="preserve"> – תקוותיו להתמנות לרבה של </w:t>
      </w:r>
      <w:proofErr w:type="spellStart"/>
      <w:r>
        <w:t>מזריטש</w:t>
      </w:r>
      <w:proofErr w:type="spellEnd"/>
      <w:r>
        <w:t xml:space="preserve"> הנודעת מתבדות – שרפות פורצות </w:t>
      </w:r>
      <w:proofErr w:type="spellStart"/>
      <w:r>
        <w:t>בבריסק</w:t>
      </w:r>
      <w:proofErr w:type="spellEnd"/>
      <w:r>
        <w:t xml:space="preserve"> </w:t>
      </w:r>
      <w:proofErr w:type="spellStart"/>
      <w:r>
        <w:t>ובקוברין</w:t>
      </w:r>
      <w:proofErr w:type="spellEnd"/>
      <w:r>
        <w:t xml:space="preserve"> – הוא עוזב לאוקראינה – ר׳ חיים ברלין עוזב את בלארוס לארץ ישראל</w:t>
      </w:r>
    </w:p>
    <w:p w14:paraId="3B3E44BE" w14:textId="77777777" w:rsidR="00AB3647" w:rsidRDefault="00000000" w:rsidP="007923E9">
      <w:pPr>
        <w:spacing w:after="120" w:line="276" w:lineRule="auto"/>
        <w:ind w:firstLine="283"/>
        <w:jc w:val="both"/>
      </w:pPr>
      <w:r>
        <w:rPr>
          <w:rtl/>
        </w:rPr>
        <w:t xml:space="preserve">בשנת תרנ״ב, כשנסגרה ישיבת </w:t>
      </w:r>
      <w:proofErr w:type="spellStart"/>
      <w:r>
        <w:rPr>
          <w:rtl/>
        </w:rPr>
        <w:t>וולוז׳ין</w:t>
      </w:r>
      <w:proofErr w:type="spellEnd"/>
      <w:r>
        <w:rPr>
          <w:rtl/>
        </w:rPr>
        <w:t xml:space="preserve"> </w:t>
      </w:r>
      <w:proofErr w:type="spellStart"/>
      <w:r>
        <w:rPr>
          <w:rtl/>
        </w:rPr>
        <w:t>ו“ירשה</w:t>
      </w:r>
      <w:proofErr w:type="spellEnd"/>
      <w:r>
        <w:rPr>
          <w:rtl/>
        </w:rPr>
        <w:t xml:space="preserve"> </w:t>
      </w:r>
      <w:proofErr w:type="spellStart"/>
      <w:r>
        <w:rPr>
          <w:rtl/>
        </w:rPr>
        <w:t>סלבודקה</w:t>
      </w:r>
      <w:proofErr w:type="spellEnd"/>
      <w:r>
        <w:rPr>
          <w:rtl/>
        </w:rPr>
        <w:t xml:space="preserve"> את מקומה ואת שמה בעולם התורני”,</w:t>
      </w:r>
      <w:bookmarkStart w:id="2757" w:name="_fnr1890"/>
      <w:r>
        <w:rPr>
          <w:rStyle w:val="a5"/>
        </w:rPr>
        <w:footnoteReference w:id="1894" w:customMarkFollows="0"/>
      </w:r>
      <w:bookmarkEnd w:id="2757"/>
      <w:r>
        <w:rPr>
          <w:rtl/>
        </w:rPr>
        <w:t xml:space="preserve"> עברו רבים מתלמידי </w:t>
      </w:r>
      <w:proofErr w:type="spellStart"/>
      <w:r>
        <w:rPr>
          <w:rtl/>
        </w:rPr>
        <w:t>וולוז׳ין</w:t>
      </w:r>
      <w:proofErr w:type="spellEnd"/>
      <w:r>
        <w:rPr>
          <w:rtl/>
        </w:rPr>
        <w:t xml:space="preserve"> לישיבת </w:t>
      </w:r>
      <w:proofErr w:type="spellStart"/>
      <w:r>
        <w:rPr>
          <w:rtl/>
        </w:rPr>
        <w:t>סלבודקה</w:t>
      </w:r>
      <w:proofErr w:type="spellEnd"/>
      <w:r>
        <w:rPr>
          <w:rtl/>
        </w:rPr>
        <w:t>, “שנתמלאה עד אפס מקום, ומספר תלמידיה הגיע לכמה מאות”.</w:t>
      </w:r>
      <w:bookmarkStart w:id="2758" w:name="_fnr1891"/>
      <w:r>
        <w:rPr>
          <w:rStyle w:val="a5"/>
        </w:rPr>
        <w:footnoteReference w:id="1895" w:customMarkFollows="0"/>
      </w:r>
      <w:bookmarkEnd w:id="2758"/>
      <w:r>
        <w:rPr>
          <w:rtl/>
        </w:rPr>
        <w:t xml:space="preserve"> פעם סיפר </w:t>
      </w:r>
      <w:proofErr w:type="spellStart"/>
      <w:r>
        <w:rPr>
          <w:rtl/>
        </w:rPr>
        <w:t>החפץ־חיים</w:t>
      </w:r>
      <w:proofErr w:type="spellEnd"/>
      <w:r>
        <w:rPr>
          <w:rtl/>
        </w:rPr>
        <w:t xml:space="preserve"> כיצד החליטו גדולי התורה לסגור את ישיבת </w:t>
      </w:r>
      <w:proofErr w:type="spellStart"/>
      <w:r>
        <w:rPr>
          <w:rtl/>
        </w:rPr>
        <w:t>וולוז׳ין</w:t>
      </w:r>
      <w:proofErr w:type="spellEnd"/>
      <w:r>
        <w:rPr>
          <w:rtl/>
        </w:rPr>
        <w:t xml:space="preserve"> ולא להכניס לתוכה לימודי חול, ובסוף דבריו הכריז: “אילו הרשו להכניס לימודי חול, היה הדבר גורם לתורה [בצורתה הטהורה] שתשתכח מישראל... </w:t>
      </w:r>
      <w:proofErr w:type="spellStart"/>
      <w:r>
        <w:rPr>
          <w:rtl/>
        </w:rPr>
        <w:t>ומשלא</w:t>
      </w:r>
      <w:proofErr w:type="spellEnd"/>
      <w:r>
        <w:rPr>
          <w:rtl/>
        </w:rPr>
        <w:t xml:space="preserve"> הרשו זאת, נפתחו ישיבות בלא לימודי חול, שנעשו אחר כך למבצרי התורה בדורנו. כמעיין שנסתתם, מצאה [התורה] דרכים ונתיבות אחרות לפרוץ בהן [כשנחסמה </w:t>
      </w:r>
      <w:proofErr w:type="spellStart"/>
      <w:r>
        <w:rPr>
          <w:rtl/>
        </w:rPr>
        <w:t>בוולוז׳ין</w:t>
      </w:r>
      <w:proofErr w:type="spellEnd"/>
      <w:r>
        <w:rPr>
          <w:rtl/>
        </w:rPr>
        <w:t>].”</w:t>
      </w:r>
      <w:bookmarkStart w:id="2759" w:name="_fnr1892"/>
      <w:r>
        <w:rPr>
          <w:rStyle w:val="a5"/>
        </w:rPr>
        <w:footnoteReference w:id="1896" w:customMarkFollows="0"/>
      </w:r>
      <w:bookmarkEnd w:id="2759"/>
    </w:p>
    <w:p w14:paraId="5EE00390" w14:textId="061E25F8" w:rsidR="00AB3647" w:rsidRDefault="00000000" w:rsidP="007923E9">
      <w:pPr>
        <w:spacing w:after="120" w:line="276" w:lineRule="auto"/>
        <w:ind w:firstLine="283"/>
        <w:jc w:val="both"/>
      </w:pPr>
      <w:proofErr w:type="spellStart"/>
      <w:r>
        <w:rPr>
          <w:rtl/>
        </w:rPr>
        <w:t>סלבודקה</w:t>
      </w:r>
      <w:proofErr w:type="spellEnd"/>
      <w:r>
        <w:rPr>
          <w:rtl/>
        </w:rPr>
        <w:t xml:space="preserve"> הייתה אחת הישיבות שהרוויחו מהפסדה של </w:t>
      </w:r>
      <w:proofErr w:type="spellStart"/>
      <w:r>
        <w:rPr>
          <w:rtl/>
        </w:rPr>
        <w:t>וולוז׳ין</w:t>
      </w:r>
      <w:proofErr w:type="spellEnd"/>
      <w:r>
        <w:rPr>
          <w:rtl/>
        </w:rPr>
        <w:t xml:space="preserve">. השווה גם פרק 4, תחילת </w:t>
      </w:r>
      <w:r>
        <w:rPr>
          <w:rtl/>
        </w:rPr>
        <w:fldChar w:fldCharType="begin" w:dirty="true"/>
      </w:r>
      <w:r>
        <w:rPr>
          <w:rtl/>
        </w:rPr>
        <w:instrText xml:space="preserve"> REF b4_excM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יג</w:t>
      </w:r>
      <w:proofErr w:type="spellEnd"/>
      <w:r>
        <w:rPr>
          <w:rtl/>
        </w:rPr>
        <w:fldChar w:fldCharType="end"/>
      </w:r>
      <w:r>
        <w:rPr>
          <w:rtl/>
        </w:rPr>
        <w:t xml:space="preserve">, על ישיבת </w:t>
      </w:r>
      <w:proofErr w:type="spellStart"/>
      <w:r>
        <w:rPr>
          <w:rtl/>
        </w:rPr>
        <w:t>טלז</w:t>
      </w:r>
      <w:proofErr w:type="spellEnd"/>
      <w:r>
        <w:rPr>
          <w:rtl/>
        </w:rPr>
        <w:t xml:space="preserve">, שגם אליה הצטרפו תלמידי </w:t>
      </w:r>
      <w:proofErr w:type="spellStart"/>
      <w:r>
        <w:rPr>
          <w:rtl/>
        </w:rPr>
        <w:t>וולוז׳ין</w:t>
      </w:r>
      <w:proofErr w:type="spellEnd"/>
      <w:r>
        <w:rPr>
          <w:rtl/>
        </w:rPr>
        <w:t xml:space="preserve"> כשנסגרה ישיבתם.</w:t>
      </w:r>
    </w:p>
    <w:p w14:paraId="52F5A3A6" w14:textId="4DA35563" w:rsidR="00AB3647" w:rsidRDefault="00000000" w:rsidP="007923E9">
      <w:pPr>
        <w:spacing w:after="120" w:line="276" w:lineRule="auto"/>
        <w:ind w:firstLine="283"/>
        <w:jc w:val="both"/>
      </w:pPr>
      <w:r>
        <w:rPr>
          <w:rtl/>
        </w:rPr>
        <w:t xml:space="preserve">סביר שהגעתם של תלמידים רבים מישיבה ששני ראשיה – </w:t>
      </w:r>
      <w:proofErr w:type="spellStart"/>
      <w:r>
        <w:rPr>
          <w:rtl/>
        </w:rPr>
        <w:t>הנצי״ב</w:t>
      </w:r>
      <w:proofErr w:type="spellEnd"/>
      <w:r>
        <w:rPr>
          <w:rtl/>
        </w:rPr>
        <w:t xml:space="preserve"> ור׳ חיים </w:t>
      </w:r>
      <w:proofErr w:type="spellStart"/>
      <w:r>
        <w:rPr>
          <w:rtl/>
        </w:rPr>
        <w:t>סולובייצ׳יק</w:t>
      </w:r>
      <w:proofErr w:type="spellEnd"/>
      <w:r>
        <w:rPr>
          <w:rtl/>
        </w:rPr>
        <w:t xml:space="preserve"> – התנגדו לחדירת המוסר,</w:t>
      </w:r>
      <w:bookmarkStart w:id="2760" w:name="_fnr1893"/>
      <w:r>
        <w:rPr>
          <w:rStyle w:val="a5"/>
        </w:rPr>
        <w:footnoteReference w:id="1897" w:customMarkFollows="0"/>
      </w:r>
      <w:bookmarkEnd w:id="2760"/>
      <w:r>
        <w:rPr>
          <w:rtl/>
        </w:rPr>
        <w:t xml:space="preserve"> חיזקה את שורות מתנגדי המוסר בתוך ישיבת </w:t>
      </w:r>
      <w:proofErr w:type="spellStart"/>
      <w:r>
        <w:rPr>
          <w:rtl/>
        </w:rPr>
        <w:t>סלבודקה</w:t>
      </w:r>
      <w:proofErr w:type="spellEnd"/>
      <w:r>
        <w:rPr>
          <w:rtl/>
        </w:rPr>
        <w:t>.</w:t>
      </w:r>
      <w:bookmarkStart w:id="2761" w:name="_fnr1894"/>
      <w:r>
        <w:rPr>
          <w:rStyle w:val="a5"/>
        </w:rPr>
        <w:footnoteReference w:id="1898" w:customMarkFollows="0"/>
      </w:r>
      <w:bookmarkEnd w:id="2761"/>
      <w:r>
        <w:rPr>
          <w:rtl/>
        </w:rPr>
        <w:t xml:space="preserve"> על מידת התנגדותו של </w:t>
      </w:r>
      <w:proofErr w:type="spellStart"/>
      <w:r>
        <w:rPr>
          <w:rtl/>
        </w:rPr>
        <w:t>הנצי״ב</w:t>
      </w:r>
      <w:proofErr w:type="spellEnd"/>
      <w:r>
        <w:rPr>
          <w:rtl/>
        </w:rPr>
        <w:t xml:space="preserve"> ללימוד מוסר בישיבתו השווה פרק 4, תחילת </w:t>
      </w:r>
      <w:r>
        <w:rPr>
          <w:rtl/>
        </w:rPr>
        <w:fldChar w:fldCharType="begin" w:dirty="true"/>
      </w:r>
      <w:r>
        <w:rPr>
          <w:rtl/>
        </w:rPr>
        <w:instrText xml:space="preserve"> REF b4_excI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וכן “ר׳ משה שמואל ודורו”,</w:t>
      </w:r>
      <w:bookmarkStart w:id="2762" w:name="_fnr1895"/>
      <w:r>
        <w:rPr>
          <w:rStyle w:val="a5"/>
        </w:rPr>
        <w:footnoteReference w:id="1899" w:customMarkFollows="0"/>
      </w:r>
      <w:bookmarkEnd w:id="2762"/>
      <w:r>
        <w:rPr>
          <w:rtl/>
        </w:rPr>
        <w:t xml:space="preserve"> המביא את הסיפור הבא מזיכרונותיו של תלמיד </w:t>
      </w:r>
      <w:proofErr w:type="spellStart"/>
      <w:r>
        <w:rPr>
          <w:rtl/>
        </w:rPr>
        <w:t>וולוז׳ין</w:t>
      </w:r>
      <w:proofErr w:type="spellEnd"/>
      <w:r>
        <w:rPr>
          <w:rtl/>
        </w:rPr>
        <w:t>.</w:t>
      </w:r>
      <w:bookmarkStart w:id="2763" w:name="_fnr1896"/>
      <w:r>
        <w:rPr>
          <w:rStyle w:val="a5"/>
        </w:rPr>
        <w:footnoteReference w:id="1900" w:customMarkFollows="0"/>
      </w:r>
      <w:bookmarkEnd w:id="2763"/>
      <w:r>
        <w:rPr>
          <w:rtl/>
        </w:rPr>
        <w:t xml:space="preserve"> הבחור נטה למוסר, והיה מעיין לעיתים </w:t>
      </w:r>
      <w:proofErr w:type="spellStart"/>
      <w:r>
        <w:rPr>
          <w:rtl/>
        </w:rPr>
        <w:t>ב“מסילת</w:t>
      </w:r>
      <w:proofErr w:type="spellEnd"/>
      <w:r>
        <w:rPr>
          <w:rtl/>
        </w:rPr>
        <w:t xml:space="preserve"> ישרים” בזמן הסדר. כשנודע הדבר לראש הישיבה, בא לבית המדרש ונזף בתלמיד בפני יתר התלמידים על ביטול תורה.</w:t>
      </w:r>
    </w:p>
    <w:p w14:paraId="3493E635" w14:textId="77777777" w:rsidR="00AB3647" w:rsidRDefault="00000000" w:rsidP="007923E9">
      <w:pPr>
        <w:spacing w:after="120" w:line="276" w:lineRule="auto"/>
        <w:ind w:firstLine="283"/>
        <w:jc w:val="both"/>
      </w:pPr>
      <w:r>
        <w:rPr>
          <w:rtl/>
        </w:rPr>
        <w:lastRenderedPageBreak/>
        <w:t>השווה גם כץ, “תנועת המוסר”, כרך ב,</w:t>
      </w:r>
      <w:bookmarkStart w:id="2764" w:name="_fnr1897"/>
      <w:r>
        <w:rPr>
          <w:rStyle w:val="a5"/>
        </w:rPr>
        <w:footnoteReference w:id="1901" w:customMarkFollows="0"/>
      </w:r>
      <w:bookmarkEnd w:id="2764"/>
      <w:r>
        <w:rPr>
          <w:rtl/>
        </w:rPr>
        <w:t xml:space="preserve"> המביא שתי גרסאות סותרות על ביקורו של ר׳ לייזר </w:t>
      </w:r>
      <w:proofErr w:type="spellStart"/>
      <w:r>
        <w:rPr>
          <w:rtl/>
        </w:rPr>
        <w:t>שולביץ</w:t>
      </w:r>
      <w:proofErr w:type="spellEnd"/>
      <w:r>
        <w:rPr>
          <w:rtl/>
        </w:rPr>
        <w:t xml:space="preserve"> בישיבתו לשעבר, </w:t>
      </w:r>
      <w:proofErr w:type="spellStart"/>
      <w:r>
        <w:rPr>
          <w:rtl/>
        </w:rPr>
        <w:t>וולוז׳ין</w:t>
      </w:r>
      <w:proofErr w:type="spellEnd"/>
      <w:r>
        <w:rPr>
          <w:rtl/>
        </w:rPr>
        <w:t xml:space="preserve">, כדי להתמנות בה למשגיח. לפי גרסה אחת, </w:t>
      </w:r>
      <w:proofErr w:type="spellStart"/>
      <w:r>
        <w:rPr>
          <w:rtl/>
        </w:rPr>
        <w:t>הנצי״ב</w:t>
      </w:r>
      <w:proofErr w:type="spellEnd"/>
      <w:r>
        <w:rPr>
          <w:rtl/>
        </w:rPr>
        <w:t xml:space="preserve"> הזמינו לקבל את המשרה, ואחר כך הניא ר׳ ישראל </w:t>
      </w:r>
      <w:proofErr w:type="spellStart"/>
      <w:r>
        <w:rPr>
          <w:rtl/>
        </w:rPr>
        <w:t>סלנטר</w:t>
      </w:r>
      <w:proofErr w:type="spellEnd"/>
      <w:r>
        <w:rPr>
          <w:rtl/>
        </w:rPr>
        <w:t xml:space="preserve"> את תלמידו </w:t>
      </w:r>
      <w:proofErr w:type="spellStart"/>
      <w:r>
        <w:rPr>
          <w:rtl/>
        </w:rPr>
        <w:t>מלקבלה</w:t>
      </w:r>
      <w:proofErr w:type="spellEnd"/>
      <w:r>
        <w:rPr>
          <w:rtl/>
        </w:rPr>
        <w:t xml:space="preserve">, מפני “החשש” הסתום “שלא כל מנהלי הישיבה </w:t>
      </w:r>
      <w:r>
        <w:rPr>
          <w:b/>
          <w:bCs/>
          <w:rtl/>
        </w:rPr>
        <w:t>מרוצים</w:t>
      </w:r>
      <w:r>
        <w:rPr>
          <w:rtl/>
        </w:rPr>
        <w:t xml:space="preserve"> מן המינוי (ההדגשה שלי)”. לפי גרסה אחרת, ר׳ ישראל </w:t>
      </w:r>
      <w:r>
        <w:rPr>
          <w:b/>
          <w:bCs/>
          <w:rtl/>
        </w:rPr>
        <w:t>שלח</w:t>
      </w:r>
      <w:r>
        <w:rPr>
          <w:rtl/>
        </w:rPr>
        <w:t xml:space="preserve"> את ר׳ לייזר לשם להציג את מועמדותו, אך הוא נדחה.</w:t>
      </w:r>
    </w:p>
    <w:p w14:paraId="28F33CFF" w14:textId="0E0F9CF2" w:rsidR="00AB3647" w:rsidRDefault="00000000" w:rsidP="007923E9">
      <w:pPr>
        <w:spacing w:after="120" w:line="276" w:lineRule="auto"/>
        <w:ind w:firstLine="283"/>
        <w:jc w:val="both"/>
      </w:pPr>
      <w:r>
        <w:rPr>
          <w:rtl/>
        </w:rPr>
        <w:t xml:space="preserve">משרת המשגיח שהוצעה </w:t>
      </w:r>
      <w:proofErr w:type="spellStart"/>
      <w:r>
        <w:rPr>
          <w:rtl/>
        </w:rPr>
        <w:t>לר</w:t>
      </w:r>
      <w:proofErr w:type="spellEnd"/>
      <w:r>
        <w:rPr>
          <w:rtl/>
        </w:rPr>
        <w:t xml:space="preserve">׳ לייזר </w:t>
      </w:r>
      <w:proofErr w:type="spellStart"/>
      <w:r>
        <w:rPr>
          <w:rtl/>
        </w:rPr>
        <w:t>שולביץ</w:t>
      </w:r>
      <w:proofErr w:type="spellEnd"/>
      <w:r>
        <w:rPr>
          <w:rtl/>
        </w:rPr>
        <w:t xml:space="preserve">, או שביקש לקבלה, הייתה כמובן משרת פיקוח מן הסוג שהיה </w:t>
      </w:r>
      <w:proofErr w:type="spellStart"/>
      <w:r>
        <w:rPr>
          <w:rtl/>
        </w:rPr>
        <w:t>בוולוז׳ין</w:t>
      </w:r>
      <w:proofErr w:type="spellEnd"/>
      <w:r>
        <w:rPr>
          <w:rtl/>
        </w:rPr>
        <w:t xml:space="preserve">, ולא משרת השפעה מן הסוג שבישיבות המוסר, המתואר בפסקה השנייה של </w:t>
      </w:r>
      <w:r>
        <w:rPr>
          <w:rtl/>
        </w:rPr>
        <w:fldChar w:fldCharType="begin" w:dirty="true"/>
      </w:r>
      <w:r>
        <w:rPr>
          <w:rtl/>
        </w:rPr>
        <w:instrText xml:space="preserve"> REF b3_excP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טז</w:t>
      </w:r>
      <w:proofErr w:type="spellEnd"/>
      <w:r>
        <w:rPr>
          <w:rtl/>
        </w:rPr>
        <w:fldChar w:fldCharType="end"/>
      </w:r>
      <w:r>
        <w:rPr>
          <w:rtl/>
        </w:rPr>
        <w:t xml:space="preserve"> להלן. אם יעץ ר׳ ישראל </w:t>
      </w:r>
      <w:proofErr w:type="spellStart"/>
      <w:r>
        <w:rPr>
          <w:rtl/>
        </w:rPr>
        <w:t>לר</w:t>
      </w:r>
      <w:proofErr w:type="spellEnd"/>
      <w:r>
        <w:rPr>
          <w:rtl/>
        </w:rPr>
        <w:t xml:space="preserve">׳ לייזר </w:t>
      </w:r>
      <w:proofErr w:type="spellStart"/>
      <w:r>
        <w:rPr>
          <w:rtl/>
        </w:rPr>
        <w:t>שולביץ</w:t>
      </w:r>
      <w:proofErr w:type="spellEnd"/>
      <w:r>
        <w:rPr>
          <w:rtl/>
        </w:rPr>
        <w:t xml:space="preserve"> להימנע מן המשרה, כגרסה הראשונה, סבור אני שהטעם היה שר׳ ישראל “חשד” שתלמידו לא יימנע מלנצל את תפקידו כדי לנסות להכניס מוסר </w:t>
      </w:r>
      <w:proofErr w:type="spellStart"/>
      <w:r>
        <w:rPr>
          <w:rtl/>
        </w:rPr>
        <w:t>לוולוז׳ין</w:t>
      </w:r>
      <w:proofErr w:type="spellEnd"/>
      <w:r>
        <w:rPr>
          <w:rtl/>
        </w:rPr>
        <w:t xml:space="preserve"> – מעשה שהיה “מעורר מורת רוח” אצל </w:t>
      </w:r>
      <w:proofErr w:type="spellStart"/>
      <w:r>
        <w:rPr>
          <w:rtl/>
        </w:rPr>
        <w:t>הנצי״ב</w:t>
      </w:r>
      <w:proofErr w:type="spellEnd"/>
      <w:r>
        <w:rPr>
          <w:rtl/>
        </w:rPr>
        <w:t>.</w:t>
      </w:r>
    </w:p>
    <w:p w14:paraId="1677CFE4" w14:textId="77777777" w:rsidR="00AB3647" w:rsidRDefault="00000000" w:rsidP="007923E9">
      <w:pPr>
        <w:spacing w:after="120" w:line="276" w:lineRule="auto"/>
        <w:ind w:firstLine="283"/>
        <w:jc w:val="both"/>
      </w:pPr>
      <w:r>
        <w:rPr>
          <w:rtl/>
        </w:rPr>
        <w:t xml:space="preserve">ייתכן שכמה מן המצטרפים החדשים </w:t>
      </w:r>
      <w:proofErr w:type="spellStart"/>
      <w:r>
        <w:rPr>
          <w:rtl/>
        </w:rPr>
        <w:t>לסלבודקה</w:t>
      </w:r>
      <w:proofErr w:type="spellEnd"/>
      <w:r>
        <w:rPr>
          <w:rtl/>
        </w:rPr>
        <w:t xml:space="preserve"> השתתפו גם </w:t>
      </w:r>
      <w:proofErr w:type="spellStart"/>
      <w:r>
        <w:rPr>
          <w:rtl/>
        </w:rPr>
        <w:t>ב“מהומות</w:t>
      </w:r>
      <w:proofErr w:type="spellEnd"/>
      <w:r>
        <w:rPr>
          <w:rtl/>
        </w:rPr>
        <w:t xml:space="preserve">, שביתות ומרידות” של התלמידים נגד הנהלת ישיבת </w:t>
      </w:r>
      <w:proofErr w:type="spellStart"/>
      <w:r>
        <w:rPr>
          <w:rtl/>
        </w:rPr>
        <w:t>וולוז׳ין</w:t>
      </w:r>
      <w:proofErr w:type="spellEnd"/>
      <w:r>
        <w:rPr>
          <w:rtl/>
        </w:rPr>
        <w:t xml:space="preserve">, או נדבקו ברוחן. הם הביאו עמם את החוצפה שנהגו כלפי </w:t>
      </w:r>
      <w:proofErr w:type="spellStart"/>
      <w:r>
        <w:rPr>
          <w:rtl/>
        </w:rPr>
        <w:t>הנצי״ב</w:t>
      </w:r>
      <w:proofErr w:type="spellEnd"/>
      <w:r>
        <w:rPr>
          <w:rtl/>
        </w:rPr>
        <w:t xml:space="preserve"> הנערץ, בן השבעים, שהיה נודע בעולם כולו, והפנו אותה, בריסון פחות בהרבה, כלפי ר׳ </w:t>
      </w:r>
      <w:proofErr w:type="spellStart"/>
      <w:r>
        <w:rPr>
          <w:rtl/>
        </w:rPr>
        <w:t>נתן־צבי</w:t>
      </w:r>
      <w:proofErr w:type="spellEnd"/>
      <w:r>
        <w:rPr>
          <w:rtl/>
        </w:rPr>
        <w:t xml:space="preserve"> </w:t>
      </w:r>
      <w:proofErr w:type="spellStart"/>
      <w:r>
        <w:rPr>
          <w:rtl/>
        </w:rPr>
        <w:t>פינקל</w:t>
      </w:r>
      <w:proofErr w:type="spellEnd"/>
      <w:r>
        <w:rPr>
          <w:rtl/>
        </w:rPr>
        <w:t>, הצנוע והבלתי מוכר, שהיה בשנות הארבעים לחייו.</w:t>
      </w:r>
    </w:p>
    <w:p w14:paraId="0D6F1BB9" w14:textId="77777777" w:rsidR="00AB3647" w:rsidRDefault="00000000" w:rsidP="007923E9">
      <w:pPr>
        <w:spacing w:after="120" w:line="276" w:lineRule="auto"/>
        <w:ind w:firstLine="283"/>
        <w:jc w:val="both"/>
      </w:pPr>
      <w:r>
        <w:rPr>
          <w:rtl/>
        </w:rPr>
        <w:t xml:space="preserve">המהומות </w:t>
      </w:r>
      <w:proofErr w:type="spellStart"/>
      <w:r>
        <w:rPr>
          <w:rtl/>
        </w:rPr>
        <w:t>בוולוז׳ין</w:t>
      </w:r>
      <w:proofErr w:type="spellEnd"/>
      <w:r>
        <w:rPr>
          <w:rtl/>
        </w:rPr>
        <w:t xml:space="preserve"> צמחו מן ההתנגדות העזה למינוי ר׳ חיים ברלין לראש הישיבה במקום אביו </w:t>
      </w:r>
      <w:proofErr w:type="spellStart"/>
      <w:r>
        <w:rPr>
          <w:rtl/>
        </w:rPr>
        <w:t>הנצי״ב</w:t>
      </w:r>
      <w:proofErr w:type="spellEnd"/>
      <w:r>
        <w:rPr>
          <w:rtl/>
        </w:rPr>
        <w:t>, שתכנן לעלות לארץ ישראל (כפי שעשה אביו ארבעים שנה קודם לכן). התנגדות התלמידים למינוי “הפכה שתי שנים בחיי הישיבה לתקופה של סערה”.</w:t>
      </w:r>
      <w:bookmarkStart w:id="2765" w:name="_fnr1898"/>
      <w:r>
        <w:rPr>
          <w:rStyle w:val="a5"/>
        </w:rPr>
        <w:footnoteReference w:id="1902" w:customMarkFollows="0"/>
      </w:r>
      <w:bookmarkEnd w:id="2765"/>
      <w:r>
        <w:rPr>
          <w:rtl/>
        </w:rPr>
        <w:t xml:space="preserve"> </w:t>
      </w:r>
      <w:proofErr w:type="spellStart"/>
      <w:r>
        <w:rPr>
          <w:rtl/>
        </w:rPr>
        <w:t>ידעאל</w:t>
      </w:r>
      <w:proofErr w:type="spellEnd"/>
      <w:r>
        <w:rPr>
          <w:rtl/>
        </w:rPr>
        <w:t xml:space="preserve"> מלצר, “בדרך עץ החיים”</w:t>
      </w:r>
      <w:bookmarkStart w:id="2766" w:name="_fnr1899"/>
      <w:r>
        <w:rPr>
          <w:rStyle w:val="a5"/>
        </w:rPr>
        <w:footnoteReference w:id="1903" w:customMarkFollows="0"/>
      </w:r>
      <w:bookmarkEnd w:id="2766"/>
      <w:r>
        <w:rPr>
          <w:rtl/>
        </w:rPr>
        <w:t xml:space="preserve">, אומר: “היו שראו בהזמנת </w:t>
      </w:r>
      <w:proofErr w:type="spellStart"/>
      <w:r>
        <w:rPr>
          <w:rtl/>
        </w:rPr>
        <w:t>הנצי״ב</w:t>
      </w:r>
      <w:proofErr w:type="spellEnd"/>
      <w:r>
        <w:rPr>
          <w:rtl/>
        </w:rPr>
        <w:t xml:space="preserve"> את בנו ר׳ חיים ברלין למלא את מקומו, ולא את ר׳ חיים </w:t>
      </w:r>
      <w:proofErr w:type="spellStart"/>
      <w:r>
        <w:rPr>
          <w:rtl/>
        </w:rPr>
        <w:t>סולובייצ׳יק</w:t>
      </w:r>
      <w:proofErr w:type="spellEnd"/>
      <w:r>
        <w:rPr>
          <w:rtl/>
        </w:rPr>
        <w:t xml:space="preserve">, ששימש ר״מ בישיבה במשך שנים והיה ידוע כגאון אדיר, עלבון </w:t>
      </w:r>
      <w:proofErr w:type="spellStart"/>
      <w:r>
        <w:rPr>
          <w:rtl/>
        </w:rPr>
        <w:t>לר</w:t>
      </w:r>
      <w:proofErr w:type="spellEnd"/>
      <w:r>
        <w:rPr>
          <w:rtl/>
        </w:rPr>
        <w:t xml:space="preserve">׳ חיים.” “פון </w:t>
      </w:r>
      <w:proofErr w:type="spellStart"/>
      <w:r>
        <w:rPr>
          <w:rtl/>
        </w:rPr>
        <w:t>וואלאזין</w:t>
      </w:r>
      <w:proofErr w:type="spellEnd"/>
      <w:r>
        <w:rPr>
          <w:rtl/>
        </w:rPr>
        <w:t xml:space="preserve"> </w:t>
      </w:r>
      <w:proofErr w:type="spellStart"/>
      <w:r>
        <w:rPr>
          <w:rtl/>
        </w:rPr>
        <w:t>ביז</w:t>
      </w:r>
      <w:proofErr w:type="spellEnd"/>
      <w:r>
        <w:rPr>
          <w:rtl/>
        </w:rPr>
        <w:t xml:space="preserve"> ירושלים” מתאר ביתר להט את מעמדו של ר׳ חיים בישיבה ואת הדילמה שבה עמד: “[מינויו של ר׳ חיים ברלין] לראש הישיבה העיקרי היה מותיר את ר׳ חיים, שהיה אז </w:t>
      </w:r>
      <w:r>
        <w:rPr>
          <w:b/>
          <w:bCs/>
          <w:rtl/>
        </w:rPr>
        <w:t>נשמתה</w:t>
      </w:r>
      <w:r>
        <w:rPr>
          <w:rtl/>
        </w:rPr>
        <w:t xml:space="preserve"> של הישיבה (ההדגשה שלי), במקום השני.”</w:t>
      </w:r>
      <w:bookmarkStart w:id="2767" w:name="_fnr1900"/>
      <w:r>
        <w:rPr>
          <w:rStyle w:val="a5"/>
        </w:rPr>
        <w:footnoteReference w:id="1904" w:customMarkFollows="0"/>
      </w:r>
      <w:bookmarkEnd w:id="2767"/>
    </w:p>
    <w:p w14:paraId="7A873D07" w14:textId="77777777" w:rsidR="00AB3647" w:rsidRDefault="00000000" w:rsidP="007923E9">
      <w:pPr>
        <w:spacing w:after="120" w:line="276" w:lineRule="auto"/>
        <w:ind w:firstLine="283"/>
        <w:jc w:val="both"/>
      </w:pPr>
      <w:r>
        <w:rPr>
          <w:rtl/>
        </w:rPr>
        <w:t>לפי “ר׳ משה שמואל ודורו”,</w:t>
      </w:r>
      <w:bookmarkStart w:id="2768" w:name="_fnr1901"/>
      <w:r>
        <w:rPr>
          <w:rStyle w:val="a5"/>
        </w:rPr>
        <w:footnoteReference w:id="1905" w:customMarkFollows="0"/>
      </w:r>
      <w:bookmarkEnd w:id="2768"/>
      <w:r>
        <w:rPr>
          <w:rtl/>
        </w:rPr>
        <w:t xml:space="preserve"> המהומות </w:t>
      </w:r>
      <w:r>
        <w:rPr>
          <w:b/>
          <w:bCs/>
          <w:rtl/>
        </w:rPr>
        <w:t>היו סיבה לסגירתה</w:t>
      </w:r>
      <w:r>
        <w:rPr>
          <w:rtl/>
        </w:rPr>
        <w:t xml:space="preserve">. השווה גם “פון </w:t>
      </w:r>
      <w:proofErr w:type="spellStart"/>
      <w:r>
        <w:rPr>
          <w:rtl/>
        </w:rPr>
        <w:t>וואלאזין</w:t>
      </w:r>
      <w:proofErr w:type="spellEnd"/>
      <w:r>
        <w:rPr>
          <w:rtl/>
        </w:rPr>
        <w:t xml:space="preserve"> </w:t>
      </w:r>
      <w:proofErr w:type="spellStart"/>
      <w:r>
        <w:rPr>
          <w:rtl/>
        </w:rPr>
        <w:t>ביז</w:t>
      </w:r>
      <w:proofErr w:type="spellEnd"/>
      <w:r>
        <w:rPr>
          <w:rtl/>
        </w:rPr>
        <w:t xml:space="preserve"> ירושלים”, האומר: “ייתכן שכל סיבה כשלעצמה לא הייתה מסכנת את קיומה של הישיבה, אבל הכול יחד הביא לידי המשבר”,</w:t>
      </w:r>
      <w:bookmarkStart w:id="2769" w:name="_fnr1902"/>
      <w:r>
        <w:rPr>
          <w:rStyle w:val="a5"/>
        </w:rPr>
        <w:footnoteReference w:id="1906" w:customMarkFollows="0"/>
      </w:r>
      <w:bookmarkEnd w:id="2769"/>
      <w:r>
        <w:rPr>
          <w:rtl/>
        </w:rPr>
        <w:t xml:space="preserve"> וכן: “סביר יותר מכול להניח </w:t>
      </w:r>
      <w:proofErr w:type="spellStart"/>
      <w:r>
        <w:rPr>
          <w:rtl/>
        </w:rPr>
        <w:t>שהנצי״ב</w:t>
      </w:r>
      <w:proofErr w:type="spellEnd"/>
      <w:r>
        <w:rPr>
          <w:rtl/>
        </w:rPr>
        <w:t xml:space="preserve"> צדק, כשהיה אומר על חורבנה של </w:t>
      </w:r>
      <w:proofErr w:type="spellStart"/>
      <w:r>
        <w:rPr>
          <w:rtl/>
        </w:rPr>
        <w:t>וולוז׳ין</w:t>
      </w:r>
      <w:proofErr w:type="spellEnd"/>
      <w:r>
        <w:rPr>
          <w:rtl/>
        </w:rPr>
        <w:t xml:space="preserve"> ומשווה אותו לחורבן ירושלים, שירושלים לא נחרבה בשל סיבה אחת, אבל כשהצטרף הכול יחד בא החורבן; וכך גם בישיבת </w:t>
      </w:r>
      <w:proofErr w:type="spellStart"/>
      <w:r>
        <w:rPr>
          <w:rtl/>
        </w:rPr>
        <w:t>וולוז׳ין</w:t>
      </w:r>
      <w:proofErr w:type="spellEnd"/>
      <w:r>
        <w:rPr>
          <w:rtl/>
        </w:rPr>
        <w:t>, לא סיבה אחת אלא הכול יחד הביא לסגירתה.”</w:t>
      </w:r>
      <w:bookmarkStart w:id="2770" w:name="_fnr1903"/>
      <w:r>
        <w:rPr>
          <w:rStyle w:val="a5"/>
        </w:rPr>
        <w:footnoteReference w:id="1907" w:customMarkFollows="0"/>
      </w:r>
      <w:bookmarkEnd w:id="2770"/>
      <w:r>
        <w:rPr>
          <w:rtl/>
        </w:rPr>
        <w:t xml:space="preserve"> </w:t>
      </w:r>
      <w:bookmarkStart w:id="2771" w:name="_fnr1904"/>
      <w:r>
        <w:rPr>
          <w:rStyle w:val="a5"/>
        </w:rPr>
        <w:footnoteReference w:id="1908" w:customMarkFollows="0"/>
      </w:r>
      <w:bookmarkEnd w:id="2771"/>
    </w:p>
    <w:p w14:paraId="313D37EB" w14:textId="77777777" w:rsidR="00AB3647" w:rsidRDefault="00000000" w:rsidP="007923E9">
      <w:pPr>
        <w:spacing w:after="120" w:line="276" w:lineRule="auto"/>
        <w:ind w:firstLine="283"/>
        <w:jc w:val="both"/>
      </w:pPr>
      <w:r>
        <w:rPr>
          <w:rtl/>
        </w:rPr>
        <w:lastRenderedPageBreak/>
        <w:t xml:space="preserve">ההתקוממות בישיבת </w:t>
      </w:r>
      <w:proofErr w:type="spellStart"/>
      <w:r>
        <w:rPr>
          <w:rtl/>
        </w:rPr>
        <w:t>וולוז׳ין</w:t>
      </w:r>
      <w:proofErr w:type="spellEnd"/>
      <w:r>
        <w:rPr>
          <w:rtl/>
        </w:rPr>
        <w:t xml:space="preserve"> היא שהקנתה לתלמיד </w:t>
      </w:r>
      <w:proofErr w:type="spellStart"/>
      <w:r>
        <w:rPr>
          <w:rtl/>
        </w:rPr>
        <w:t>חיים־נחמן</w:t>
      </w:r>
      <w:proofErr w:type="spellEnd"/>
      <w:r>
        <w:rPr>
          <w:rtl/>
        </w:rPr>
        <w:t xml:space="preserve"> ביאליק, שלא התבלט בה בלאו הכי, פופולריות בקרב חבריו, כשכישרונותיו הספרותיים גויסו לנאצות מזיקות נגד ההנהלה.</w:t>
      </w:r>
      <w:bookmarkStart w:id="2772" w:name="_fnr1905"/>
      <w:r>
        <w:rPr>
          <w:rStyle w:val="a5"/>
        </w:rPr>
        <w:footnoteReference w:id="1909" w:customMarkFollows="0"/>
      </w:r>
      <w:bookmarkEnd w:id="2772"/>
      <w:r>
        <w:rPr>
          <w:rtl/>
        </w:rPr>
        <w:t xml:space="preserve"> בשירו “בליל הרעש”</w:t>
      </w:r>
      <w:bookmarkStart w:id="2773" w:name="_fnr1906"/>
      <w:r>
        <w:rPr>
          <w:rStyle w:val="a5"/>
        </w:rPr>
        <w:footnoteReference w:id="1910" w:customMarkFollows="0"/>
      </w:r>
      <w:bookmarkEnd w:id="2773"/>
      <w:r>
        <w:rPr>
          <w:rtl/>
        </w:rPr>
        <w:t xml:space="preserve"> יוצא ביאליק להגנת </w:t>
      </w:r>
      <w:proofErr w:type="spellStart"/>
      <w:r>
        <w:rPr>
          <w:rtl/>
        </w:rPr>
        <w:t>הנצי״ב</w:t>
      </w:r>
      <w:proofErr w:type="spellEnd"/>
      <w:r>
        <w:rPr>
          <w:rtl/>
        </w:rPr>
        <w:t xml:space="preserve">, ומתאר את האכזריות שבה נהגו המורדים בראש הישיבה הזקן. הוא מתאר את ראש הישיבה עומד מעל הבחור, “המתמיד”, שלא השתתף במהומות אלא נשאר יושב על הגמרא, לצד הנר היחיד שנותר בבית המדרש. ראש הישיבה בוכה בדמעות “(אשר) כזרם </w:t>
      </w:r>
      <w:proofErr w:type="spellStart"/>
      <w:r>
        <w:rPr>
          <w:rtl/>
        </w:rPr>
        <w:t>ירוצון</w:t>
      </w:r>
      <w:proofErr w:type="spellEnd"/>
      <w:r>
        <w:rPr>
          <w:rtl/>
        </w:rPr>
        <w:t>, זוחלות בין פתילי הכסף של זקנו”, ואומר:</w:t>
      </w:r>
    </w:p>
    <w:p w14:paraId="14970E50" w14:textId="77777777" w:rsidR="00AB3647" w:rsidRDefault="00000000" w:rsidP="007923E9">
      <w:pPr>
        <w:spacing w:after="120" w:line="276" w:lineRule="auto"/>
        <w:ind w:firstLine="283"/>
        <w:jc w:val="both"/>
      </w:pPr>
      <w:r>
        <w:rPr>
          <w:rtl/>
        </w:rPr>
        <w:t>התראה, הבחור, את אשר עוללו...</w:t>
      </w:r>
    </w:p>
    <w:p w14:paraId="020CC1AC" w14:textId="77777777" w:rsidR="00AB3647" w:rsidRDefault="00000000" w:rsidP="007923E9">
      <w:pPr>
        <w:spacing w:after="120" w:line="276" w:lineRule="auto"/>
        <w:ind w:firstLine="283"/>
        <w:jc w:val="both"/>
      </w:pPr>
      <w:r>
        <w:rPr>
          <w:rtl/>
        </w:rPr>
        <w:t>לא הדרו שיבתי, לא נשאו את פני...</w:t>
      </w:r>
    </w:p>
    <w:p w14:paraId="3E6E9636" w14:textId="77777777" w:rsidR="00AB3647" w:rsidRDefault="00000000" w:rsidP="007923E9">
      <w:pPr>
        <w:spacing w:after="120" w:line="276" w:lineRule="auto"/>
        <w:ind w:firstLine="283"/>
        <w:jc w:val="both"/>
      </w:pPr>
      <w:r>
        <w:rPr>
          <w:rtl/>
        </w:rPr>
        <w:t>ויבלעו קדשי, מקדשי חללו,</w:t>
      </w:r>
    </w:p>
    <w:p w14:paraId="33856E56" w14:textId="77777777" w:rsidR="00AB3647" w:rsidRDefault="00000000" w:rsidP="007923E9">
      <w:pPr>
        <w:spacing w:after="120" w:line="276" w:lineRule="auto"/>
        <w:ind w:firstLine="283"/>
        <w:jc w:val="both"/>
      </w:pPr>
      <w:r>
        <w:rPr>
          <w:rtl/>
        </w:rPr>
        <w:t>עליהם הקרבתי כל חיי, מעייניי.</w:t>
      </w:r>
    </w:p>
    <w:p w14:paraId="20E6A61F" w14:textId="77777777" w:rsidR="00AB3647" w:rsidRDefault="00000000" w:rsidP="007923E9">
      <w:pPr>
        <w:spacing w:after="120" w:line="276" w:lineRule="auto"/>
        <w:ind w:firstLine="283"/>
        <w:jc w:val="both"/>
      </w:pPr>
      <w:r>
        <w:rPr>
          <w:rtl/>
        </w:rPr>
        <w:t>אך אתה –</w:t>
      </w:r>
    </w:p>
    <w:p w14:paraId="4B7FB4AC" w14:textId="77777777" w:rsidR="00AB3647" w:rsidRDefault="00000000" w:rsidP="007923E9">
      <w:pPr>
        <w:spacing w:after="120" w:line="276" w:lineRule="auto"/>
        <w:ind w:firstLine="283"/>
        <w:jc w:val="both"/>
      </w:pPr>
      <w:r>
        <w:rPr>
          <w:rtl/>
        </w:rPr>
        <w:t xml:space="preserve">לא ברור אם כתב ביאליק שיר זה ברגע של חרטה על חיבור האיגרות נגד </w:t>
      </w:r>
      <w:proofErr w:type="spellStart"/>
      <w:r>
        <w:rPr>
          <w:rtl/>
        </w:rPr>
        <w:t>הנצי״ב</w:t>
      </w:r>
      <w:proofErr w:type="spellEnd"/>
      <w:r>
        <w:rPr>
          <w:rtl/>
        </w:rPr>
        <w:t xml:space="preserve">, או שפשוט נהג בצביעות. סביר שלא היה אכפת לו מה קורה </w:t>
      </w:r>
      <w:proofErr w:type="spellStart"/>
      <w:r>
        <w:rPr>
          <w:rtl/>
        </w:rPr>
        <w:t>בוולוז׳ין</w:t>
      </w:r>
      <w:proofErr w:type="spellEnd"/>
      <w:r>
        <w:rPr>
          <w:rtl/>
        </w:rPr>
        <w:t xml:space="preserve"> בשעה שכבר הייתה רגלו האחת מחוץ לבית המדרש, בדרכו לאודסה. ספק גם אם הכרת טובה </w:t>
      </w:r>
      <w:proofErr w:type="spellStart"/>
      <w:r>
        <w:rPr>
          <w:rtl/>
        </w:rPr>
        <w:t>לנצי״ב</w:t>
      </w:r>
      <w:proofErr w:type="spellEnd"/>
      <w:r>
        <w:rPr>
          <w:rtl/>
        </w:rPr>
        <w:t xml:space="preserve"> היא שהניעה אותו לכתוב את השיר, שכן לפי מה שסיפר ר׳ </w:t>
      </w:r>
      <w:proofErr w:type="spellStart"/>
      <w:r>
        <w:rPr>
          <w:rtl/>
        </w:rPr>
        <w:t>יצחק־יעקב</w:t>
      </w:r>
      <w:proofErr w:type="spellEnd"/>
      <w:r>
        <w:rPr>
          <w:rtl/>
        </w:rPr>
        <w:t xml:space="preserve"> </w:t>
      </w:r>
      <w:proofErr w:type="spellStart"/>
      <w:r>
        <w:rPr>
          <w:rtl/>
        </w:rPr>
        <w:t>אבלסון</w:t>
      </w:r>
      <w:proofErr w:type="spellEnd"/>
      <w:r>
        <w:rPr>
          <w:rtl/>
        </w:rPr>
        <w:t>,</w:t>
      </w:r>
      <w:bookmarkStart w:id="2774" w:name="_fnr1907"/>
      <w:r>
        <w:rPr>
          <w:rStyle w:val="a5"/>
        </w:rPr>
        <w:footnoteReference w:id="1911" w:customMarkFollows="0"/>
      </w:r>
      <w:bookmarkEnd w:id="2774"/>
      <w:r>
        <w:rPr>
          <w:rtl/>
        </w:rPr>
        <w:t xml:space="preserve"> הוא היה כפוי טובה.</w:t>
      </w:r>
    </w:p>
    <w:p w14:paraId="7D431A46" w14:textId="77777777" w:rsidR="00AB3647" w:rsidRDefault="00000000" w:rsidP="007923E9">
      <w:pPr>
        <w:spacing w:after="120" w:line="276" w:lineRule="auto"/>
        <w:ind w:firstLine="283"/>
        <w:jc w:val="both"/>
      </w:pPr>
      <w:r>
        <w:rPr>
          <w:rtl/>
        </w:rPr>
        <w:t xml:space="preserve">וזה לשון הרב </w:t>
      </w:r>
      <w:proofErr w:type="spellStart"/>
      <w:r>
        <w:rPr>
          <w:rtl/>
        </w:rPr>
        <w:t>אבלסון</w:t>
      </w:r>
      <w:proofErr w:type="spellEnd"/>
      <w:r>
        <w:rPr>
          <w:rtl/>
        </w:rPr>
        <w:t xml:space="preserve">: “כשגורש ביאליק </w:t>
      </w:r>
      <w:proofErr w:type="spellStart"/>
      <w:r>
        <w:rPr>
          <w:rtl/>
        </w:rPr>
        <w:t>מוולוז׳ין</w:t>
      </w:r>
      <w:proofErr w:type="spellEnd"/>
      <w:r>
        <w:rPr>
          <w:rtl/>
        </w:rPr>
        <w:t xml:space="preserve"> [לאחר שהתגלה שהוא ואחרים חיברו חוברת התומכת בהשכלה, שקראו לה ‘הבוקר אור’],</w:t>
      </w:r>
      <w:bookmarkStart w:id="2775" w:name="_fnr1908"/>
      <w:r>
        <w:rPr>
          <w:rStyle w:val="a5"/>
        </w:rPr>
        <w:footnoteReference w:id="1912" w:customMarkFollows="0"/>
      </w:r>
      <w:bookmarkEnd w:id="2775"/>
      <w:r>
        <w:rPr>
          <w:rtl/>
        </w:rPr>
        <w:t xml:space="preserve"> ליווה אותו לאודסה תלמיד </w:t>
      </w:r>
      <w:proofErr w:type="spellStart"/>
      <w:r>
        <w:rPr>
          <w:rtl/>
        </w:rPr>
        <w:t>וולוז׳ין</w:t>
      </w:r>
      <w:proofErr w:type="spellEnd"/>
      <w:r>
        <w:rPr>
          <w:rtl/>
        </w:rPr>
        <w:t xml:space="preserve"> אחר, בונים </w:t>
      </w:r>
      <w:proofErr w:type="spellStart"/>
      <w:r>
        <w:rPr>
          <w:rtl/>
        </w:rPr>
        <w:t>אבלסון</w:t>
      </w:r>
      <w:proofErr w:type="spellEnd"/>
      <w:r>
        <w:rPr>
          <w:rtl/>
        </w:rPr>
        <w:t>,</w:t>
      </w:r>
      <w:bookmarkStart w:id="2776" w:name="_fnr1909"/>
      <w:r>
        <w:rPr>
          <w:rStyle w:val="a5"/>
        </w:rPr>
        <w:footnoteReference w:id="1913" w:customMarkFollows="0"/>
      </w:r>
      <w:bookmarkEnd w:id="2776"/>
      <w:r>
        <w:rPr>
          <w:rtl/>
        </w:rPr>
        <w:t xml:space="preserve"> שהציגו לפני סבו, גאון בתורה ורבה של העיר, ר׳ </w:t>
      </w:r>
      <w:proofErr w:type="spellStart"/>
      <w:r>
        <w:rPr>
          <w:rtl/>
        </w:rPr>
        <w:t>יואל־אברהם</w:t>
      </w:r>
      <w:proofErr w:type="spellEnd"/>
      <w:r>
        <w:rPr>
          <w:rtl/>
        </w:rPr>
        <w:t xml:space="preserve"> </w:t>
      </w:r>
      <w:proofErr w:type="spellStart"/>
      <w:r>
        <w:rPr>
          <w:rtl/>
        </w:rPr>
        <w:t>אבלסון</w:t>
      </w:r>
      <w:proofErr w:type="spellEnd"/>
      <w:r>
        <w:rPr>
          <w:rtl/>
        </w:rPr>
        <w:t>.</w:t>
      </w:r>
      <w:bookmarkStart w:id="2777" w:name="_fnr1910"/>
      <w:r>
        <w:rPr>
          <w:rStyle w:val="a5"/>
        </w:rPr>
        <w:footnoteReference w:id="1914" w:customMarkFollows="0"/>
      </w:r>
      <w:bookmarkEnd w:id="2777"/>
      <w:r>
        <w:rPr>
          <w:rtl/>
        </w:rPr>
        <w:t xml:space="preserve"> ביאליק אמר לרב שעזב את </w:t>
      </w:r>
      <w:proofErr w:type="spellStart"/>
      <w:r>
        <w:rPr>
          <w:rtl/>
        </w:rPr>
        <w:t>וולוז׳ין</w:t>
      </w:r>
      <w:proofErr w:type="spellEnd"/>
      <w:r>
        <w:rPr>
          <w:rtl/>
        </w:rPr>
        <w:t xml:space="preserve"> מפני שהעיר נשרפה [!], ור׳ </w:t>
      </w:r>
      <w:proofErr w:type="spellStart"/>
      <w:r>
        <w:rPr>
          <w:rtl/>
        </w:rPr>
        <w:t>יואל־אברהם</w:t>
      </w:r>
      <w:proofErr w:type="spellEnd"/>
      <w:r>
        <w:rPr>
          <w:rtl/>
        </w:rPr>
        <w:t>, שריחם עליו, השיג לו כמה משרות של הוראת עברית ופתח את ביתו לפני הצעיר המושחת. ואף על פי כן, לאחר מכן כתב ביאליק בגנות מיטיבו.”</w:t>
      </w:r>
    </w:p>
    <w:p w14:paraId="1253EFEF" w14:textId="77777777" w:rsidR="00AB3647" w:rsidRDefault="00000000" w:rsidP="007923E9">
      <w:pPr>
        <w:spacing w:after="120" w:line="276" w:lineRule="auto"/>
        <w:ind w:firstLine="283"/>
        <w:jc w:val="both"/>
      </w:pPr>
      <w:r>
        <w:rPr>
          <w:rtl/>
        </w:rPr>
        <w:t xml:space="preserve">אשר לסיבת סגירת </w:t>
      </w:r>
      <w:proofErr w:type="spellStart"/>
      <w:r>
        <w:rPr>
          <w:rtl/>
        </w:rPr>
        <w:t>וולוז׳ין</w:t>
      </w:r>
      <w:proofErr w:type="spellEnd"/>
      <w:r>
        <w:rPr>
          <w:rtl/>
        </w:rPr>
        <w:t xml:space="preserve">, השווה “הראשון לשושלת </w:t>
      </w:r>
      <w:proofErr w:type="spellStart"/>
      <w:r>
        <w:rPr>
          <w:rtl/>
        </w:rPr>
        <w:t>בריסק</w:t>
      </w:r>
      <w:proofErr w:type="spellEnd"/>
      <w:r>
        <w:rPr>
          <w:rtl/>
        </w:rPr>
        <w:t>”.</w:t>
      </w:r>
      <w:bookmarkStart w:id="2778" w:name="_fnr1911"/>
      <w:r>
        <w:rPr>
          <w:rStyle w:val="a5"/>
        </w:rPr>
        <w:footnoteReference w:id="1915" w:customMarkFollows="0"/>
      </w:r>
      <w:bookmarkEnd w:id="2778"/>
      <w:r>
        <w:rPr>
          <w:rtl/>
        </w:rPr>
        <w:t xml:space="preserve"> לפי ספר זה, זמן קצר לפני מותו, בתחילת תרע״ג, הפקיד ר׳ חיים ברלין מכתב בידי ר׳ אריה לוין בירושלים. במכתב ציין שאביו </w:t>
      </w:r>
      <w:proofErr w:type="spellStart"/>
      <w:r>
        <w:rPr>
          <w:rtl/>
        </w:rPr>
        <w:t>הנצי״ב</w:t>
      </w:r>
      <w:proofErr w:type="spellEnd"/>
      <w:r>
        <w:rPr>
          <w:rtl/>
        </w:rPr>
        <w:t xml:space="preserve"> ציווה עליו בשנת תרנ״ג, יום לפני מותו, “לא להסכים בשום תנאים לשלב לימודי חול בלימודי קודש”, ואף יעץ לו “שלא יצטער על שההקפדה על עיקרון זה, בשעה שממשלת רוסיה לחצה עליו להכניס לימודי חול </w:t>
      </w:r>
      <w:proofErr w:type="spellStart"/>
      <w:r>
        <w:rPr>
          <w:rtl/>
        </w:rPr>
        <w:t>לוולוז׳ין</w:t>
      </w:r>
      <w:proofErr w:type="spellEnd"/>
      <w:r>
        <w:rPr>
          <w:rtl/>
        </w:rPr>
        <w:t xml:space="preserve"> שנה קודם לכן, הייתה הסיבה </w:t>
      </w:r>
      <w:r>
        <w:rPr>
          <w:rtl/>
        </w:rPr>
        <w:lastRenderedPageBreak/>
        <w:t>ליציאתו מן העולם ולסגירת הישיבה, משום שעניין גדול זה כדאי הוא לוותר למענו על החיים”.</w:t>
      </w:r>
    </w:p>
    <w:p w14:paraId="39286B15" w14:textId="77777777" w:rsidR="00AB3647" w:rsidRDefault="00000000" w:rsidP="007923E9">
      <w:pPr>
        <w:spacing w:after="120" w:line="276" w:lineRule="auto"/>
        <w:ind w:firstLine="283"/>
        <w:jc w:val="both"/>
      </w:pPr>
      <w:proofErr w:type="spellStart"/>
      <w:r>
        <w:rPr>
          <w:rtl/>
        </w:rPr>
        <w:t>הנצי״ב</w:t>
      </w:r>
      <w:proofErr w:type="spellEnd"/>
      <w:r>
        <w:rPr>
          <w:rtl/>
        </w:rPr>
        <w:t xml:space="preserve"> הדגיש תחילה שהעיקרון נשמר אפילו במחיר הסיכון הגדול ביותר, של הצורך “לצאת מן העולם”, ורק </w:t>
      </w:r>
      <w:r>
        <w:rPr>
          <w:b/>
          <w:bCs/>
          <w:rtl/>
        </w:rPr>
        <w:t>אחר כך</w:t>
      </w:r>
      <w:r>
        <w:rPr>
          <w:rtl/>
        </w:rPr>
        <w:t xml:space="preserve"> הזכיר שסגירת הישיבה נגרמה מצו לימודי החול.</w:t>
      </w:r>
      <w:bookmarkStart w:id="2779" w:name="_fnr1912"/>
      <w:r>
        <w:rPr>
          <w:rStyle w:val="a5"/>
        </w:rPr>
        <w:footnoteReference w:id="1916" w:customMarkFollows="0"/>
      </w:r>
      <w:bookmarkEnd w:id="2779"/>
      <w:r>
        <w:rPr>
          <w:rtl/>
        </w:rPr>
        <w:t xml:space="preserve"> מכאן נראה שביקש להטעים לבנו שסיבת הסגירה </w:t>
      </w:r>
      <w:r>
        <w:rPr>
          <w:b/>
          <w:bCs/>
          <w:rtl/>
        </w:rPr>
        <w:t>הייתה</w:t>
      </w:r>
      <w:r>
        <w:rPr>
          <w:rtl/>
        </w:rPr>
        <w:t xml:space="preserve"> בעיית לימודי החול; ואילו הדבר דווקא מחזק לכאורה את האפשרות שבמחשבת בנו הייתה סיבה אחרת לסגירת הישיבה. אין ספק שסיבה אחרת זו היא הסיבה שמציין “ר׳ משה שמואל ודורו”: המחלוקת על הירושה.</w:t>
      </w:r>
    </w:p>
    <w:p w14:paraId="5EA0D480" w14:textId="77777777" w:rsidR="00AB3647" w:rsidRDefault="00000000" w:rsidP="007923E9">
      <w:pPr>
        <w:spacing w:after="120" w:line="276" w:lineRule="auto"/>
        <w:ind w:firstLine="283"/>
        <w:jc w:val="both"/>
      </w:pPr>
      <w:r>
        <w:rPr>
          <w:rtl/>
        </w:rPr>
        <w:t xml:space="preserve">מאידך גיסא, אם צדק “ר׳ משה שמואל ודורו” שהמחלוקת הפנימית אכן גרמה לסגירה, דברי </w:t>
      </w:r>
      <w:proofErr w:type="spellStart"/>
      <w:r>
        <w:rPr>
          <w:rtl/>
        </w:rPr>
        <w:t>הנצי״ב</w:t>
      </w:r>
      <w:proofErr w:type="spellEnd"/>
      <w:r>
        <w:rPr>
          <w:rtl/>
        </w:rPr>
        <w:t xml:space="preserve"> לבנו נראים לכאורה בלתי נכונים. אפשר ליישב את טענת “ר׳ משה שמואל ודורו” עם דברי </w:t>
      </w:r>
      <w:proofErr w:type="spellStart"/>
      <w:r>
        <w:rPr>
          <w:rtl/>
        </w:rPr>
        <w:t>הנצי״ב</w:t>
      </w:r>
      <w:proofErr w:type="spellEnd"/>
      <w:r>
        <w:rPr>
          <w:rtl/>
        </w:rPr>
        <w:t xml:space="preserve"> באחת משתי דרכים: (1) המחלוקת הפנימית הייתה </w:t>
      </w:r>
      <w:r>
        <w:rPr>
          <w:b/>
          <w:bCs/>
          <w:rtl/>
        </w:rPr>
        <w:t>גורם עקיף</w:t>
      </w:r>
      <w:r>
        <w:rPr>
          <w:rtl/>
        </w:rPr>
        <w:t xml:space="preserve"> לסגירה, שכן המלחמה בת השנתיים עם התלמידים התישה את </w:t>
      </w:r>
      <w:proofErr w:type="spellStart"/>
      <w:r>
        <w:rPr>
          <w:rtl/>
        </w:rPr>
        <w:t>הנצי״ב</w:t>
      </w:r>
      <w:proofErr w:type="spellEnd"/>
      <w:r>
        <w:rPr>
          <w:rtl/>
        </w:rPr>
        <w:t>, ולא הותירה לו את הכוח הדרוש לגייס את כל האמצעים הזמינים לסיכול תוכנית הממשלה להכניס לימודי חול</w:t>
      </w:r>
      <w:bookmarkStart w:id="2780" w:name="_fnr1913"/>
      <w:r>
        <w:rPr>
          <w:rStyle w:val="a5"/>
        </w:rPr>
        <w:footnoteReference w:id="1917" w:customMarkFollows="0"/>
      </w:r>
      <w:bookmarkEnd w:id="2780"/>
      <w:r>
        <w:rPr>
          <w:rtl/>
        </w:rPr>
        <w:t xml:space="preserve"> – תוכנית שהייתה הסיבה </w:t>
      </w:r>
      <w:r>
        <w:rPr>
          <w:b/>
          <w:bCs/>
          <w:rtl/>
        </w:rPr>
        <w:t>הישירה</w:t>
      </w:r>
      <w:r>
        <w:rPr>
          <w:rtl/>
        </w:rPr>
        <w:t xml:space="preserve"> לסגירת הישיבה; (2) המחלוקת הפנימית ובעיית לימודי החול היו </w:t>
      </w:r>
      <w:r>
        <w:rPr>
          <w:b/>
          <w:bCs/>
          <w:rtl/>
        </w:rPr>
        <w:t>סיבות שקולות</w:t>
      </w:r>
      <w:r>
        <w:rPr>
          <w:rtl/>
        </w:rPr>
        <w:t xml:space="preserve">, ואף אחת מהן כשלעצמה לא הייתה חזקה דיה לסגור את </w:t>
      </w:r>
      <w:proofErr w:type="spellStart"/>
      <w:r>
        <w:rPr>
          <w:rtl/>
        </w:rPr>
        <w:t>וולוז׳ין</w:t>
      </w:r>
      <w:proofErr w:type="spellEnd"/>
      <w:r>
        <w:rPr>
          <w:rtl/>
        </w:rPr>
        <w:t xml:space="preserve">. כך עולה מן הקטע המצוטט לעיל </w:t>
      </w:r>
      <w:proofErr w:type="spellStart"/>
      <w:r>
        <w:rPr>
          <w:rtl/>
        </w:rPr>
        <w:t>מ“פון</w:t>
      </w:r>
      <w:proofErr w:type="spellEnd"/>
      <w:r>
        <w:rPr>
          <w:rtl/>
        </w:rPr>
        <w:t xml:space="preserve"> </w:t>
      </w:r>
      <w:proofErr w:type="spellStart"/>
      <w:r>
        <w:rPr>
          <w:rtl/>
        </w:rPr>
        <w:t>וואלאזין</w:t>
      </w:r>
      <w:proofErr w:type="spellEnd"/>
      <w:r>
        <w:rPr>
          <w:rtl/>
        </w:rPr>
        <w:t xml:space="preserve"> </w:t>
      </w:r>
      <w:proofErr w:type="spellStart"/>
      <w:r>
        <w:rPr>
          <w:rtl/>
        </w:rPr>
        <w:t>ביז</w:t>
      </w:r>
      <w:proofErr w:type="spellEnd"/>
      <w:r>
        <w:rPr>
          <w:rtl/>
        </w:rPr>
        <w:t xml:space="preserve"> ירושלים”, שבו השווה </w:t>
      </w:r>
      <w:proofErr w:type="spellStart"/>
      <w:r>
        <w:rPr>
          <w:rtl/>
        </w:rPr>
        <w:t>הנצי״ב</w:t>
      </w:r>
      <w:proofErr w:type="spellEnd"/>
      <w:r>
        <w:rPr>
          <w:rtl/>
        </w:rPr>
        <w:t xml:space="preserve"> את סגירת </w:t>
      </w:r>
      <w:proofErr w:type="spellStart"/>
      <w:r>
        <w:rPr>
          <w:rtl/>
        </w:rPr>
        <w:t>וולוז׳ין</w:t>
      </w:r>
      <w:proofErr w:type="spellEnd"/>
      <w:r>
        <w:rPr>
          <w:rtl/>
        </w:rPr>
        <w:t xml:space="preserve"> לחורבן ירושלים.</w:t>
      </w:r>
    </w:p>
    <w:p w14:paraId="5B052477" w14:textId="77777777" w:rsidR="00AB3647" w:rsidRDefault="00000000" w:rsidP="007923E9">
      <w:pPr>
        <w:spacing w:after="120" w:line="276" w:lineRule="auto"/>
        <w:ind w:firstLine="283"/>
        <w:jc w:val="both"/>
      </w:pPr>
      <w:r>
        <w:rPr>
          <w:rtl/>
        </w:rPr>
        <w:t xml:space="preserve">או שלא היה </w:t>
      </w:r>
      <w:proofErr w:type="spellStart"/>
      <w:r>
        <w:rPr>
          <w:rtl/>
        </w:rPr>
        <w:t>לנצי״ב</w:t>
      </w:r>
      <w:proofErr w:type="spellEnd"/>
      <w:r>
        <w:rPr>
          <w:rtl/>
        </w:rPr>
        <w:t xml:space="preserve"> צורך להזכיר את המחלוקת הפנימית כסיבה האחרת, כשכל שביקש לעשות היה להבטיח שבנו “לא... יסכים בשום תנאים לשלב לימודי חול בלימודי קודש”. או שלא הזכיר את המחלוקת הפנימית כדי לחסוך מבנו – שעליו נסבה מלחמת הירושה – כל ייסורי אשמה על התמוטטות הישיבה!</w:t>
      </w:r>
    </w:p>
    <w:p w14:paraId="6F54CDA2" w14:textId="77777777" w:rsidR="00AB3647" w:rsidRDefault="00000000" w:rsidP="007923E9">
      <w:pPr>
        <w:spacing w:after="120" w:line="276" w:lineRule="auto"/>
        <w:ind w:firstLine="283"/>
        <w:jc w:val="both"/>
      </w:pPr>
      <w:r>
        <w:rPr>
          <w:rtl/>
        </w:rPr>
        <w:t xml:space="preserve">ההנחה </w:t>
      </w:r>
      <w:proofErr w:type="spellStart"/>
      <w:r>
        <w:rPr>
          <w:rtl/>
        </w:rPr>
        <w:t>ש“ר</w:t>
      </w:r>
      <w:proofErr w:type="spellEnd"/>
      <w:r>
        <w:rPr>
          <w:rtl/>
        </w:rPr>
        <w:t xml:space="preserve">׳ משה שמואל ודורו” הבין שהמחלוקת הפנימית הייתה הסיבה היחידה, ובעיית לימודי החול (הניתנת לפתרון בקלות) הייתה רק מסווה – הצהרת </w:t>
      </w:r>
      <w:proofErr w:type="spellStart"/>
      <w:r>
        <w:rPr>
          <w:rtl/>
        </w:rPr>
        <w:t>הנצי״ב</w:t>
      </w:r>
      <w:proofErr w:type="spellEnd"/>
      <w:r>
        <w:rPr>
          <w:rtl/>
        </w:rPr>
        <w:t xml:space="preserve"> מפריכה אותה: צדיק זה לא היה מרחיק כל כך מן האמת, אפילו כדי לחסוך מבנו רגשי אשמה.</w:t>
      </w:r>
    </w:p>
    <w:p w14:paraId="2361A8FA" w14:textId="0804AB90" w:rsidR="00AB3647" w:rsidRDefault="00000000" w:rsidP="007923E9">
      <w:pPr>
        <w:spacing w:after="120" w:line="276" w:lineRule="auto"/>
        <w:ind w:firstLine="283"/>
        <w:jc w:val="both"/>
      </w:pPr>
      <w:r>
        <w:rPr>
          <w:rtl/>
        </w:rPr>
        <w:t xml:space="preserve">אבל ייתכן בהחלט שאף שהישיבה נסגרה בגלל בעיית לימודי החול, </w:t>
      </w:r>
      <w:proofErr w:type="spellStart"/>
      <w:r>
        <w:rPr>
          <w:rtl/>
        </w:rPr>
        <w:t>הנצי״ב</w:t>
      </w:r>
      <w:proofErr w:type="spellEnd"/>
      <w:r>
        <w:rPr>
          <w:rtl/>
        </w:rPr>
        <w:t xml:space="preserve"> ובנו ראו בסגירתה סגירה זמנית בלבד. כך נאמר במפורש בהערת השוליים במכתבו של אלתר </w:t>
      </w:r>
      <w:proofErr w:type="spellStart"/>
      <w:r>
        <w:rPr>
          <w:rtl/>
        </w:rPr>
        <w:t>דרויאנוב</w:t>
      </w:r>
      <w:proofErr w:type="spellEnd"/>
      <w:r>
        <w:rPr>
          <w:rtl/>
        </w:rPr>
        <w:t xml:space="preserve"> </w:t>
      </w:r>
      <w:proofErr w:type="spellStart"/>
      <w:r>
        <w:rPr>
          <w:rtl/>
        </w:rPr>
        <w:t>ב“תלפיות</w:t>
      </w:r>
      <w:proofErr w:type="spellEnd"/>
      <w:r>
        <w:rPr>
          <w:rtl/>
        </w:rPr>
        <w:t>”,</w:t>
      </w:r>
      <w:bookmarkStart w:id="2781" w:name="_fnr1914"/>
      <w:r>
        <w:rPr>
          <w:rStyle w:val="a5"/>
        </w:rPr>
        <w:footnoteReference w:id="1918" w:customMarkFollows="0"/>
      </w:r>
      <w:bookmarkEnd w:id="2781"/>
      <w:r>
        <w:rPr>
          <w:rtl/>
        </w:rPr>
        <w:t xml:space="preserve"> המצוטט בפרק 5, באמצע הפסקה הראשונה של </w:t>
      </w:r>
      <w:r>
        <w:rPr>
          <w:rtl/>
        </w:rPr>
        <w:fldChar w:fldCharType="begin" w:dirty="true"/>
      </w:r>
      <w:r>
        <w:rPr>
          <w:rtl/>
        </w:rPr>
        <w:instrText xml:space="preserve"> REF b5_excF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ו</w:t>
      </w:r>
      <w:r>
        <w:rPr>
          <w:rtl/>
        </w:rPr>
        <w:fldChar w:fldCharType="end"/>
      </w:r>
      <w:r>
        <w:rPr>
          <w:rtl/>
        </w:rPr>
        <w:t xml:space="preserve">, על נסיעתו של ר׳ חיים ברלין למערב אירופה לאיסוף כספים לאחר הסגירה. אומנם ראשי ישיבת </w:t>
      </w:r>
      <w:proofErr w:type="spellStart"/>
      <w:r>
        <w:rPr>
          <w:rtl/>
        </w:rPr>
        <w:t>וולוז׳ין</w:t>
      </w:r>
      <w:proofErr w:type="spellEnd"/>
      <w:r>
        <w:rPr>
          <w:rtl/>
        </w:rPr>
        <w:t xml:space="preserve"> נזקקו לכסף כדי לפרוע את החובות הגדולים שרבצו עליה בעת שנסגרה,</w:t>
      </w:r>
      <w:bookmarkStart w:id="2782" w:name="_fnr1915"/>
      <w:r>
        <w:rPr>
          <w:rStyle w:val="a5"/>
        </w:rPr>
        <w:footnoteReference w:id="1919" w:customMarkFollows="0"/>
      </w:r>
      <w:bookmarkEnd w:id="2782"/>
      <w:r>
        <w:rPr>
          <w:rtl/>
        </w:rPr>
        <w:t xml:space="preserve"> אך אין בכך כדי לשלול כוונה </w:t>
      </w:r>
      <w:r>
        <w:rPr>
          <w:rtl/>
        </w:rPr>
        <w:lastRenderedPageBreak/>
        <w:t>לפתחה מחדש. קל הרבה יותר לאסוף כספים למוסד קיים השקוע בחובות מאשר למוסד שנסגר לצמיתות!</w:t>
      </w:r>
    </w:p>
    <w:p w14:paraId="749C52AA" w14:textId="77777777" w:rsidR="00AB3647" w:rsidRDefault="00000000" w:rsidP="007923E9">
      <w:pPr>
        <w:spacing w:after="120" w:line="276" w:lineRule="auto"/>
        <w:ind w:firstLine="283"/>
        <w:jc w:val="both"/>
      </w:pPr>
      <w:r>
        <w:rPr>
          <w:rtl/>
        </w:rPr>
        <w:t xml:space="preserve">השווה גם </w:t>
      </w:r>
      <w:proofErr w:type="spellStart"/>
      <w:r>
        <w:rPr>
          <w:rtl/>
        </w:rPr>
        <w:t>צינוביץ</w:t>
      </w:r>
      <w:proofErr w:type="spellEnd"/>
      <w:r>
        <w:rPr>
          <w:rtl/>
        </w:rPr>
        <w:t>, “עץ חיים”,</w:t>
      </w:r>
      <w:bookmarkStart w:id="2783" w:name="_fnr1916"/>
      <w:r>
        <w:rPr>
          <w:rStyle w:val="a5"/>
        </w:rPr>
        <w:footnoteReference w:id="1920" w:customMarkFollows="0"/>
      </w:r>
      <w:bookmarkEnd w:id="2783"/>
      <w:r>
        <w:rPr>
          <w:rtl/>
        </w:rPr>
        <w:t xml:space="preserve"> המביא את תשובתו הנחרצת של </w:t>
      </w:r>
      <w:proofErr w:type="spellStart"/>
      <w:r>
        <w:rPr>
          <w:rtl/>
        </w:rPr>
        <w:t>הנצי״ב</w:t>
      </w:r>
      <w:proofErr w:type="spellEnd"/>
      <w:r>
        <w:rPr>
          <w:rtl/>
        </w:rPr>
        <w:t xml:space="preserve"> לשליחו של ר׳ שמואל </w:t>
      </w:r>
      <w:proofErr w:type="spellStart"/>
      <w:r>
        <w:rPr>
          <w:rtl/>
        </w:rPr>
        <w:t xml:space="preserve">מוהליבר</w:t>
      </w:r>
      <w:proofErr w:type="spellEnd"/>
      <w:r>
        <w:rPr>
          <w:rtl/>
        </w:rPr>
        <w:t xml:space="preserve">. שלוש שנים לפני הסגירה טען השליח שהכנסת מקצת לימודי החול לישיבה היא הרע במיעוטו לעומת החלופה המאיימת, </w:t>
      </w:r>
      <w:proofErr w:type="spellStart"/>
      <w:r>
        <w:rPr>
          <w:rtl/>
        </w:rPr>
        <w:t>והנצי״ב</w:t>
      </w:r>
      <w:proofErr w:type="spellEnd"/>
      <w:r>
        <w:rPr>
          <w:rtl/>
        </w:rPr>
        <w:t xml:space="preserve"> השיב: “הישיבה לא תתבטל, וגם אם תיסגר, </w:t>
      </w:r>
      <w:r>
        <w:rPr>
          <w:b/>
          <w:bCs/>
          <w:rtl/>
        </w:rPr>
        <w:t>תיפתח מחדש</w:t>
      </w:r>
      <w:r>
        <w:rPr>
          <w:rtl/>
        </w:rPr>
        <w:t xml:space="preserve"> (ההדגשה שלי).” </w:t>
      </w:r>
      <w:proofErr w:type="spellStart"/>
      <w:r>
        <w:rPr>
          <w:rtl/>
        </w:rPr>
        <w:t>הנצי״ב</w:t>
      </w:r>
      <w:proofErr w:type="spellEnd"/>
      <w:r>
        <w:rPr>
          <w:rtl/>
        </w:rPr>
        <w:t xml:space="preserve"> ביסס תחזית זו על ביטחון בה׳, והצביע על כך שאברהם אבינו ויעקב אבינו נוכחו שביטחון הוא היסוד הבטוח ביותר לפעולה – ראה </w:t>
      </w:r>
      <w:proofErr w:type="spellStart"/>
      <w:r>
        <w:rPr>
          <w:rtl/>
        </w:rPr>
        <w:t>צינוביץ</w:t>
      </w:r>
      <w:proofErr w:type="spellEnd"/>
      <w:r>
        <w:rPr>
          <w:rtl/>
        </w:rPr>
        <w:t>, שם</w:t>
      </w:r>
      <w:bookmarkStart w:id="2784" w:name="_fnr1917"/>
      <w:r>
        <w:rPr>
          <w:rStyle w:val="a5"/>
        </w:rPr>
        <w:footnoteReference w:id="1921" w:customMarkFollows="0"/>
      </w:r>
      <w:bookmarkEnd w:id="2784"/>
      <w:r>
        <w:rPr>
          <w:rtl/>
        </w:rPr>
        <w:t xml:space="preserve">. אף על פי כן אין לשלול שהייתה לו תוכנית פעולה מעשית לפתיחת הישיבה מחדש, כשנסגרה בפועל שלוש שנים אחר כך. יתרה מזו, כשהביטחון מצוי בידו, פתיחתה המחודשת הצפויה לא </w:t>
      </w:r>
      <w:r>
        <w:rPr>
          <w:b/>
          <w:bCs/>
          <w:rtl/>
        </w:rPr>
        <w:t>נזקקה</w:t>
      </w:r>
      <w:r>
        <w:rPr>
          <w:rtl/>
        </w:rPr>
        <w:t xml:space="preserve"> לתוכנית מוגדרת.</w:t>
      </w:r>
    </w:p>
    <w:p w14:paraId="2C1C276A" w14:textId="77777777" w:rsidR="00AB3647" w:rsidRDefault="00000000" w:rsidP="007923E9">
      <w:pPr>
        <w:spacing w:after="120" w:line="276" w:lineRule="auto"/>
        <w:ind w:firstLine="283"/>
        <w:jc w:val="both"/>
      </w:pPr>
      <w:r>
        <w:rPr>
          <w:rtl/>
        </w:rPr>
        <w:t>יתר על כן, סגירה זמנית של הישיבה במהלך מלחמת הירושה הייתה עשויה להועיל מבחינה טקטית לשושלת ברלין. היא הייתה מקילה את ארגונו מחדש של המוסד, באמצעות קבלת תלמידים חדשים המצייתים להנהלה,</w:t>
      </w:r>
      <w:bookmarkStart w:id="2785" w:name="_fnr1918"/>
      <w:r>
        <w:rPr>
          <w:rStyle w:val="a5"/>
        </w:rPr>
        <w:footnoteReference w:id="1922" w:customMarkFollows="0"/>
      </w:r>
      <w:bookmarkEnd w:id="2785"/>
      <w:r>
        <w:rPr>
          <w:rtl/>
        </w:rPr>
        <w:t xml:space="preserve"> ואולי גם באמצעות הוצאת ר׳ חיים </w:t>
      </w:r>
      <w:proofErr w:type="spellStart"/>
      <w:r>
        <w:rPr>
          <w:rtl/>
        </w:rPr>
        <w:t>סולובייצ׳יק</w:t>
      </w:r>
      <w:proofErr w:type="spellEnd"/>
      <w:r>
        <w:rPr>
          <w:rtl/>
        </w:rPr>
        <w:t xml:space="preserve"> מצוות הישיבה. השערה זו מבהירה הערה סתומה </w:t>
      </w:r>
      <w:proofErr w:type="spellStart"/>
      <w:r>
        <w:rPr>
          <w:rtl/>
        </w:rPr>
        <w:t>ב“פון</w:t>
      </w:r>
      <w:proofErr w:type="spellEnd"/>
      <w:r>
        <w:rPr>
          <w:rtl/>
        </w:rPr>
        <w:t xml:space="preserve"> </w:t>
      </w:r>
      <w:proofErr w:type="spellStart"/>
      <w:r>
        <w:rPr>
          <w:rtl/>
        </w:rPr>
        <w:t>וואלאזין</w:t>
      </w:r>
      <w:proofErr w:type="spellEnd"/>
      <w:r>
        <w:rPr>
          <w:rtl/>
        </w:rPr>
        <w:t xml:space="preserve"> </w:t>
      </w:r>
      <w:proofErr w:type="spellStart"/>
      <w:r>
        <w:rPr>
          <w:rtl/>
        </w:rPr>
        <w:t>ביז</w:t>
      </w:r>
      <w:proofErr w:type="spellEnd"/>
      <w:r>
        <w:rPr>
          <w:rtl/>
        </w:rPr>
        <w:t xml:space="preserve"> ירושלים” (שחיברו צעיר ילדיה של משפחת ברלין):</w:t>
      </w:r>
      <w:bookmarkStart w:id="2786" w:name="_fnr1919"/>
      <w:r>
        <w:rPr>
          <w:rStyle w:val="a5"/>
        </w:rPr>
        <w:footnoteReference w:id="1923" w:customMarkFollows="0"/>
      </w:r>
      <w:bookmarkEnd w:id="2786"/>
      <w:r>
        <w:rPr>
          <w:rtl/>
        </w:rPr>
        <w:t xml:space="preserve"> “שאלת ר׳ חיים </w:t>
      </w:r>
      <w:proofErr w:type="spellStart"/>
      <w:r>
        <w:rPr>
          <w:rtl/>
        </w:rPr>
        <w:t>סולובייצ׳יק</w:t>
      </w:r>
      <w:proofErr w:type="spellEnd"/>
      <w:r>
        <w:rPr>
          <w:rtl/>
        </w:rPr>
        <w:t xml:space="preserve"> והמשך פעילותו נפתרה בדרך שונה לגמרי מכפי שאפשר היה לצפות: רבים ראו בכל הפרשה, שבאה בפתאומיות כזאת, אצבע </w:t>
      </w:r>
      <w:proofErr w:type="spellStart"/>
      <w:r>
        <w:rPr>
          <w:rtl/>
        </w:rPr>
        <w:t>א־להים</w:t>
      </w:r>
      <w:proofErr w:type="spellEnd"/>
      <w:r>
        <w:rPr>
          <w:rtl/>
        </w:rPr>
        <w:t xml:space="preserve">...” המחבר מתכוון לעלייתו של ר׳ חיים </w:t>
      </w:r>
      <w:proofErr w:type="spellStart"/>
      <w:r>
        <w:rPr>
          <w:rtl/>
        </w:rPr>
        <w:t>סולובייצ׳יק</w:t>
      </w:r>
      <w:proofErr w:type="spellEnd"/>
      <w:r>
        <w:rPr>
          <w:rtl/>
        </w:rPr>
        <w:t xml:space="preserve"> לכיסא הרבנות של אביו ר׳ יוסף־דב </w:t>
      </w:r>
      <w:proofErr w:type="spellStart"/>
      <w:r>
        <w:rPr>
          <w:rtl/>
        </w:rPr>
        <w:t>בבריסק</w:t>
      </w:r>
      <w:proofErr w:type="spellEnd"/>
      <w:r>
        <w:rPr>
          <w:rtl/>
        </w:rPr>
        <w:t xml:space="preserve">, שלושה חודשים לאחר סגירת </w:t>
      </w:r>
      <w:proofErr w:type="spellStart"/>
      <w:r>
        <w:rPr>
          <w:rtl/>
        </w:rPr>
        <w:t>וולוז׳ין</w:t>
      </w:r>
      <w:proofErr w:type="spellEnd"/>
      <w:r>
        <w:rPr>
          <w:rtl/>
        </w:rPr>
        <w:t xml:space="preserve">. גם ר׳ יוסף־דב נאלץ לעזוב את ישיבת </w:t>
      </w:r>
      <w:proofErr w:type="spellStart"/>
      <w:r>
        <w:rPr>
          <w:rtl/>
        </w:rPr>
        <w:t>וולוז׳ין</w:t>
      </w:r>
      <w:proofErr w:type="spellEnd"/>
      <w:r>
        <w:rPr>
          <w:rtl/>
        </w:rPr>
        <w:t xml:space="preserve"> בעקבות מחלוקת עם </w:t>
      </w:r>
      <w:proofErr w:type="spellStart"/>
      <w:r>
        <w:rPr>
          <w:rtl/>
        </w:rPr>
        <w:t>הנצי״ב</w:t>
      </w:r>
      <w:proofErr w:type="spellEnd"/>
      <w:r>
        <w:rPr>
          <w:rtl/>
        </w:rPr>
        <w:t>, עשרים ותשע שנה קודם לכן.</w:t>
      </w:r>
      <w:bookmarkStart w:id="2787" w:name="_fnr1920"/>
      <w:r>
        <w:rPr>
          <w:rStyle w:val="a5"/>
        </w:rPr>
        <w:footnoteReference w:id="1924" w:customMarkFollows="0"/>
      </w:r>
      <w:bookmarkEnd w:id="2787"/>
    </w:p>
    <w:p w14:paraId="4F20D776" w14:textId="363656E8" w:rsidR="00AB3647" w:rsidRDefault="00000000" w:rsidP="007923E9">
      <w:pPr>
        <w:spacing w:after="120" w:line="276" w:lineRule="auto"/>
        <w:ind w:firstLine="283"/>
        <w:jc w:val="both"/>
      </w:pPr>
      <w:r>
        <w:rPr>
          <w:rtl/>
        </w:rPr>
        <w:t xml:space="preserve">נראה שמחבר “פון </w:t>
      </w:r>
      <w:proofErr w:type="spellStart"/>
      <w:r>
        <w:rPr>
          <w:rtl/>
        </w:rPr>
        <w:t>וואלאזין</w:t>
      </w:r>
      <w:proofErr w:type="spellEnd"/>
      <w:r>
        <w:rPr>
          <w:rtl/>
        </w:rPr>
        <w:t xml:space="preserve"> </w:t>
      </w:r>
      <w:proofErr w:type="spellStart"/>
      <w:r>
        <w:rPr>
          <w:rtl/>
        </w:rPr>
        <w:t>ביז</w:t>
      </w:r>
      <w:proofErr w:type="spellEnd"/>
      <w:r>
        <w:rPr>
          <w:rtl/>
        </w:rPr>
        <w:t xml:space="preserve"> ירושלים” רומז להשגחה שהשפעתה הייתה עמוקה יותר מעצם הבטחת פרנסתו של ר׳ חיים </w:t>
      </w:r>
      <w:proofErr w:type="spellStart"/>
      <w:r>
        <w:rPr>
          <w:rtl/>
        </w:rPr>
        <w:t>סולובייצ׳יק</w:t>
      </w:r>
      <w:proofErr w:type="spellEnd"/>
      <w:r>
        <w:rPr>
          <w:rtl/>
        </w:rPr>
        <w:t>:</w:t>
      </w:r>
      <w:bookmarkStart w:id="2788" w:name="_fnr1921"/>
      <w:r>
        <w:rPr>
          <w:rStyle w:val="a5"/>
        </w:rPr>
        <w:footnoteReference w:id="1925" w:customMarkFollows="0"/>
      </w:r>
      <w:bookmarkEnd w:id="2788"/>
      <w:r>
        <w:rPr>
          <w:rtl/>
        </w:rPr>
        <w:t xml:space="preserve"> ההזדמנות שנשלחה משמים לפתוח את ישיבת </w:t>
      </w:r>
      <w:proofErr w:type="spellStart"/>
      <w:r>
        <w:rPr>
          <w:rtl/>
        </w:rPr>
        <w:t>וולוז׳ין</w:t>
      </w:r>
      <w:proofErr w:type="spellEnd"/>
      <w:r>
        <w:rPr>
          <w:rtl/>
        </w:rPr>
        <w:t xml:space="preserve"> מחדש בראשות ר׳ חיים ברלין, בלי נוכחותו המתחרה של ר׳ חיים. השווה גם פרק 2, </w:t>
      </w:r>
      <w:r>
        <w:rPr>
          <w:rtl/>
        </w:rPr>
        <w:fldChar w:fldCharType="begin" w:dirty="true"/>
      </w:r>
      <w:r>
        <w:rPr>
          <w:rtl/>
        </w:rPr>
        <w:instrText xml:space="preserve"> REF b2_excA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א</w:t>
      </w:r>
      <w:r>
        <w:rPr>
          <w:rtl/>
        </w:rPr>
        <w:fldChar w:fldCharType="end"/>
      </w:r>
      <w:r>
        <w:rPr>
          <w:rtl/>
        </w:rPr>
        <w:t xml:space="preserve">, שבו הועלתה ההשערה ששנה לפני הסגירה ניסה </w:t>
      </w:r>
      <w:proofErr w:type="spellStart"/>
      <w:r>
        <w:rPr>
          <w:rtl/>
        </w:rPr>
        <w:t>הנצי״ב</w:t>
      </w:r>
      <w:proofErr w:type="spellEnd"/>
      <w:r>
        <w:rPr>
          <w:rtl/>
        </w:rPr>
        <w:t xml:space="preserve"> לעניין את ר׳ חיים במשרה מחוץ לישיבת </w:t>
      </w:r>
      <w:proofErr w:type="spellStart"/>
      <w:r>
        <w:rPr>
          <w:rtl/>
        </w:rPr>
        <w:t>וולוז׳ין</w:t>
      </w:r>
      <w:proofErr w:type="spellEnd"/>
      <w:r>
        <w:rPr>
          <w:rtl/>
        </w:rPr>
        <w:t>. “אבי הישיבות”</w:t>
      </w:r>
      <w:bookmarkStart w:id="2789" w:name="_fnr1922"/>
      <w:r>
        <w:rPr>
          <w:rStyle w:val="a5"/>
        </w:rPr>
        <w:footnoteReference w:id="1926" w:customMarkFollows="0"/>
      </w:r>
      <w:bookmarkEnd w:id="2789"/>
      <w:r>
        <w:rPr>
          <w:rtl/>
        </w:rPr>
        <w:t xml:space="preserve"> מביא גם מכתב שכתב </w:t>
      </w:r>
      <w:proofErr w:type="spellStart"/>
      <w:r>
        <w:rPr>
          <w:rtl/>
        </w:rPr>
        <w:t>הנצי״ב</w:t>
      </w:r>
      <w:proofErr w:type="spellEnd"/>
      <w:r>
        <w:rPr>
          <w:rtl/>
        </w:rPr>
        <w:t xml:space="preserve"> חמישה שבועות לאחר סגירת הישיבה, ובו הוא אומר במפורש, בין השאר: “[סגירה זו] מקצצת את רגלי המשולחים, [מפני שהאנשים שאליהם הם פונים] יחשבו שאין ישיבה ואין במה לתמוך; לכן אני אומר לכם </w:t>
      </w:r>
      <w:r>
        <w:rPr>
          <w:b/>
          <w:bCs/>
          <w:rtl/>
        </w:rPr>
        <w:t>מישרים אמונה</w:t>
      </w:r>
      <w:r>
        <w:rPr>
          <w:rtl/>
        </w:rPr>
        <w:t xml:space="preserve"> (ההדגשה שלי), שנסגרה רק לשעה.”</w:t>
      </w:r>
    </w:p>
    <w:p w14:paraId="39F6AE6C" w14:textId="77777777" w:rsidR="00AB3647" w:rsidRDefault="00000000" w:rsidP="007923E9">
      <w:pPr>
        <w:spacing w:after="120" w:line="276" w:lineRule="auto"/>
        <w:ind w:firstLine="283"/>
        <w:jc w:val="both"/>
      </w:pPr>
      <w:r>
        <w:rPr>
          <w:rtl/>
        </w:rPr>
        <w:lastRenderedPageBreak/>
        <w:t xml:space="preserve">מצאתי גם מכתב שכתב ר׳ חיים ברלין מפריז בי״ב בסיוון תרנ״ב, ארבעה חודשים לאחר סגירת ישיבת </w:t>
      </w:r>
      <w:proofErr w:type="spellStart"/>
      <w:r>
        <w:rPr>
          <w:rtl/>
        </w:rPr>
        <w:t>וולוז׳ין</w:t>
      </w:r>
      <w:proofErr w:type="spellEnd"/>
      <w:r>
        <w:rPr>
          <w:rtl/>
        </w:rPr>
        <w:t xml:space="preserve">, </w:t>
      </w:r>
      <w:proofErr w:type="spellStart"/>
      <w:r>
        <w:rPr>
          <w:rtl/>
        </w:rPr>
        <w:t>לר</w:t>
      </w:r>
      <w:proofErr w:type="spellEnd"/>
      <w:r>
        <w:rPr>
          <w:rtl/>
        </w:rPr>
        <w:t>׳ חיים הכהן, רבה של טריפולי. המכתב נדפס בסוף “דברי משה”,</w:t>
      </w:r>
      <w:bookmarkStart w:id="2790" w:name="_fnr1923"/>
      <w:r>
        <w:rPr>
          <w:rStyle w:val="a5"/>
        </w:rPr>
        <w:footnoteReference w:id="1927" w:customMarkFollows="0"/>
      </w:r>
      <w:bookmarkEnd w:id="2790"/>
      <w:r>
        <w:rPr>
          <w:rtl/>
        </w:rPr>
        <w:t xml:space="preserve"> ספר הגהות על “ספר קנה אברהם” הנדפס עמו, מאת אברהם הכהן.</w:t>
      </w:r>
      <w:bookmarkStart w:id="2791" w:name="_fnr1924"/>
      <w:r>
        <w:rPr>
          <w:rStyle w:val="a5"/>
        </w:rPr>
        <w:footnoteReference w:id="1928" w:customMarkFollows="0"/>
      </w:r>
      <w:bookmarkEnd w:id="2791"/>
      <w:r>
        <w:rPr>
          <w:rtl/>
        </w:rPr>
        <w:t xml:space="preserve"> ר׳ חיים ברלין מברך בו את הנמען על ספרו המרשים “ספר מצות המלך”, שנתקל בו לראשונה בביקורו בפריז, על אף הספרייה העצומה שברשותו; עד אז לא שמע על מחברו. המכתב חתום: “חיים </w:t>
      </w:r>
      <w:proofErr w:type="spellStart"/>
      <w:r>
        <w:rPr>
          <w:rtl/>
        </w:rPr>
        <w:t>בהגאון</w:t>
      </w:r>
      <w:proofErr w:type="spellEnd"/>
      <w:r>
        <w:rPr>
          <w:rtl/>
        </w:rPr>
        <w:t xml:space="preserve"> מו״ר נפתלי צבי יהודה ברלין נ״י </w:t>
      </w:r>
      <w:r>
        <w:rPr>
          <w:b/>
          <w:bCs/>
          <w:rtl/>
        </w:rPr>
        <w:t>מעיר התורה</w:t>
      </w:r>
      <w:r>
        <w:rPr>
          <w:rtl/>
        </w:rPr>
        <w:t xml:space="preserve"> </w:t>
      </w:r>
      <w:proofErr w:type="spellStart"/>
      <w:r>
        <w:rPr>
          <w:rtl/>
        </w:rPr>
        <w:t>וואלאזין</w:t>
      </w:r>
      <w:proofErr w:type="spellEnd"/>
      <w:r>
        <w:rPr>
          <w:rtl/>
        </w:rPr>
        <w:t xml:space="preserve"> בארץ </w:t>
      </w:r>
      <w:proofErr w:type="spellStart"/>
      <w:r>
        <w:rPr>
          <w:rtl/>
        </w:rPr>
        <w:t>רוססיא</w:t>
      </w:r>
      <w:proofErr w:type="spellEnd"/>
      <w:r>
        <w:rPr>
          <w:rtl/>
        </w:rPr>
        <w:t xml:space="preserve">” (ההדגשה שלי). הוא כינה את העיירה “עיר התורה” לאחר שהישיבה שבה נסגרה, </w:t>
      </w:r>
      <w:proofErr w:type="spellStart"/>
      <w:r>
        <w:rPr>
          <w:rtl/>
        </w:rPr>
        <w:t>כשלא</w:t>
      </w:r>
      <w:proofErr w:type="spellEnd"/>
      <w:r>
        <w:rPr>
          <w:rtl/>
        </w:rPr>
        <w:t xml:space="preserve"> הייתה שונה עוד מאלף עיירות אחרות בתחום המושב הרוסי. מכאן שציפה </w:t>
      </w:r>
      <w:proofErr w:type="spellStart"/>
      <w:r>
        <w:rPr>
          <w:rtl/>
        </w:rPr>
        <w:t>שוולוז׳ין</w:t>
      </w:r>
      <w:proofErr w:type="spellEnd"/>
      <w:r>
        <w:rPr>
          <w:rtl/>
        </w:rPr>
        <w:t xml:space="preserve"> </w:t>
      </w:r>
      <w:r>
        <w:rPr>
          <w:b/>
          <w:bCs/>
          <w:rtl/>
        </w:rPr>
        <w:t>תישאר</w:t>
      </w:r>
      <w:r>
        <w:rPr>
          <w:rtl/>
        </w:rPr>
        <w:t xml:space="preserve"> “עיר התורה”; במילים אחרות, שסגירת הישיבה תהיה זמנית.</w:t>
      </w:r>
      <w:bookmarkStart w:id="2792" w:name="_fnr1925"/>
      <w:r>
        <w:rPr>
          <w:rStyle w:val="a5"/>
        </w:rPr>
        <w:footnoteReference w:id="1929" w:customMarkFollows="0"/>
      </w:r>
      <w:bookmarkEnd w:id="2792"/>
    </w:p>
    <w:p w14:paraId="478E35EF" w14:textId="77777777" w:rsidR="00AB3647" w:rsidRDefault="00000000" w:rsidP="007923E9">
      <w:pPr>
        <w:spacing w:after="120" w:line="276" w:lineRule="auto"/>
        <w:ind w:firstLine="283"/>
        <w:jc w:val="both"/>
      </w:pPr>
      <w:r>
        <w:rPr>
          <w:rtl/>
        </w:rPr>
        <w:t>לפי “</w:t>
      </w:r>
      <w:proofErr w:type="spellStart"/>
      <w:r>
        <w:rPr>
          <w:rtl/>
        </w:rPr>
        <w:t>וולוז׳ין</w:t>
      </w:r>
      <w:proofErr w:type="spellEnd"/>
      <w:r>
        <w:rPr>
          <w:rtl/>
        </w:rPr>
        <w:t xml:space="preserve"> – ספרה של העיר ושל ישיבת עץ חיים”,</w:t>
      </w:r>
      <w:bookmarkStart w:id="2793" w:name="_fnr1926"/>
      <w:r>
        <w:rPr>
          <w:rStyle w:val="a5"/>
        </w:rPr>
        <w:footnoteReference w:id="1930" w:customMarkFollows="0"/>
      </w:r>
      <w:bookmarkEnd w:id="2793"/>
      <w:r>
        <w:rPr>
          <w:rtl/>
        </w:rPr>
        <w:t xml:space="preserve"> כשנפטר </w:t>
      </w:r>
      <w:proofErr w:type="spellStart"/>
      <w:r>
        <w:rPr>
          <w:rtl/>
        </w:rPr>
        <w:t>הנצי״ב</w:t>
      </w:r>
      <w:proofErr w:type="spellEnd"/>
      <w:r>
        <w:rPr>
          <w:rtl/>
        </w:rPr>
        <w:t>, שנה וחצי לאחר הסגירה, ציטט בנו בהספדו את מסכת תענית:</w:t>
      </w:r>
      <w:bookmarkStart w:id="2794" w:name="_fnr1927"/>
      <w:r>
        <w:rPr>
          <w:rStyle w:val="a5"/>
        </w:rPr>
        <w:footnoteReference w:id="1931" w:customMarkFollows="0"/>
      </w:r>
      <w:bookmarkEnd w:id="2794"/>
      <w:r>
        <w:rPr>
          <w:rtl/>
        </w:rPr>
        <w:t xml:space="preserve"> “משחרב הבית בראשונה </w:t>
      </w:r>
      <w:proofErr w:type="spellStart"/>
      <w:r>
        <w:rPr>
          <w:rtl/>
        </w:rPr>
        <w:t>נתקבצו</w:t>
      </w:r>
      <w:proofErr w:type="spellEnd"/>
      <w:r>
        <w:rPr>
          <w:rtl/>
        </w:rPr>
        <w:t xml:space="preserve"> כיתות </w:t>
      </w:r>
      <w:proofErr w:type="spellStart"/>
      <w:r>
        <w:rPr>
          <w:rtl/>
        </w:rPr>
        <w:t>כיתות</w:t>
      </w:r>
      <w:proofErr w:type="spellEnd"/>
      <w:r>
        <w:rPr>
          <w:rtl/>
        </w:rPr>
        <w:t xml:space="preserve"> של פרחי כהונה ומפתחות ההיכל בידן, ועלו לגג ההיכל ואמרו לפניו: </w:t>
      </w:r>
      <w:proofErr w:type="spellStart"/>
      <w:r>
        <w:rPr>
          <w:rtl/>
        </w:rPr>
        <w:t>רבונו</w:t>
      </w:r>
      <w:proofErr w:type="spellEnd"/>
      <w:r>
        <w:rPr>
          <w:rtl/>
        </w:rPr>
        <w:t xml:space="preserve"> של עולם, הואיל ולא זכינו להיות </w:t>
      </w:r>
      <w:proofErr w:type="spellStart"/>
      <w:r>
        <w:rPr>
          <w:rtl/>
        </w:rPr>
        <w:t>גזברין</w:t>
      </w:r>
      <w:proofErr w:type="spellEnd"/>
      <w:r>
        <w:rPr>
          <w:rtl/>
        </w:rPr>
        <w:t xml:space="preserve"> נאמנים יהיו מפתחות מסורות לך. וזרקום כלפי מעלה, </w:t>
      </w:r>
      <w:proofErr w:type="spellStart"/>
      <w:r>
        <w:rPr>
          <w:rtl/>
        </w:rPr>
        <w:t>ויצתה</w:t>
      </w:r>
      <w:proofErr w:type="spellEnd"/>
      <w:r>
        <w:rPr>
          <w:rtl/>
        </w:rPr>
        <w:t xml:space="preserve"> כעין פיסת יד וקיבלתן מהם, והם קפצו ונפלו לתוך האור.” גם מכאן נראה שעד </w:t>
      </w:r>
      <w:r>
        <w:rPr>
          <w:b/>
          <w:bCs/>
          <w:rtl/>
        </w:rPr>
        <w:t>פטירתו של ראש הישיבה הזקן</w:t>
      </w:r>
      <w:r>
        <w:rPr>
          <w:rtl/>
        </w:rPr>
        <w:t xml:space="preserve"> לא נזנחה התוכנית לפתוח את הישיבה מחדש: ר׳ חיים ברלין ראה את מפתחות ההיכל – שישיבת </w:t>
      </w:r>
      <w:proofErr w:type="spellStart"/>
      <w:r>
        <w:rPr>
          <w:rtl/>
        </w:rPr>
        <w:t>וולוז׳ין</w:t>
      </w:r>
      <w:proofErr w:type="spellEnd"/>
      <w:r>
        <w:rPr>
          <w:rtl/>
        </w:rPr>
        <w:t xml:space="preserve"> הייתה כמותו</w:t>
      </w:r>
      <w:bookmarkStart w:id="2795" w:name="_fnr1928"/>
      <w:r>
        <w:rPr>
          <w:rStyle w:val="a5"/>
        </w:rPr>
        <w:footnoteReference w:id="1932" w:customMarkFollows="0"/>
      </w:r>
      <w:bookmarkEnd w:id="2795"/>
      <w:r>
        <w:rPr>
          <w:rtl/>
        </w:rPr>
        <w:t xml:space="preserve"> – כמפתחות שטרם יצאו מידי משפחת ברלין!</w:t>
      </w:r>
    </w:p>
    <w:p w14:paraId="35B7DD5A" w14:textId="77777777" w:rsidR="00AB3647" w:rsidRDefault="00000000" w:rsidP="007923E9">
      <w:pPr>
        <w:spacing w:after="120" w:line="276" w:lineRule="auto"/>
        <w:ind w:firstLine="283"/>
        <w:jc w:val="both"/>
      </w:pPr>
      <w:r>
        <w:rPr>
          <w:rtl/>
        </w:rPr>
        <w:t xml:space="preserve">אין שמץ ראיה שר׳ חיים </w:t>
      </w:r>
      <w:proofErr w:type="spellStart"/>
      <w:r>
        <w:rPr>
          <w:rtl/>
        </w:rPr>
        <w:t>סולובייצ׳יק</w:t>
      </w:r>
      <w:proofErr w:type="spellEnd"/>
      <w:r>
        <w:rPr>
          <w:rtl/>
        </w:rPr>
        <w:t xml:space="preserve"> עצמו התערב במלחמה שניהלו התלמידים נגד מתחרהו. או שהיה שקוע בלימודו ואטם את עצמו לחלוטין למאבק שהתחולל סביבו, או שנשמתו הייתה טהורה מכדי להסתבך במחלוקת. </w:t>
      </w:r>
      <w:proofErr w:type="spellStart"/>
      <w:r>
        <w:rPr>
          <w:rtl/>
        </w:rPr>
        <w:t>ידעאל</w:t>
      </w:r>
      <w:proofErr w:type="spellEnd"/>
      <w:r>
        <w:rPr>
          <w:rtl/>
        </w:rPr>
        <w:t xml:space="preserve"> מלצר, “בדרך עץ החיים”</w:t>
      </w:r>
      <w:bookmarkStart w:id="2796" w:name="_fnr1929"/>
      <w:r>
        <w:rPr>
          <w:rStyle w:val="a5"/>
        </w:rPr>
        <w:footnoteReference w:id="1933" w:customMarkFollows="0"/>
      </w:r>
      <w:bookmarkEnd w:id="2796"/>
      <w:r>
        <w:rPr>
          <w:rtl/>
        </w:rPr>
        <w:t xml:space="preserve">, מתאר כיצד הודה ר׳ </w:t>
      </w:r>
      <w:proofErr w:type="spellStart"/>
      <w:r>
        <w:rPr>
          <w:rtl/>
        </w:rPr>
        <w:t>איסר־זלמן</w:t>
      </w:r>
      <w:proofErr w:type="spellEnd"/>
      <w:r>
        <w:rPr>
          <w:rtl/>
        </w:rPr>
        <w:t>, תלמידו המובהק של ר׳ חיים,</w:t>
      </w:r>
      <w:bookmarkStart w:id="2797" w:name="_fnr1930"/>
      <w:r>
        <w:rPr>
          <w:rStyle w:val="a5"/>
        </w:rPr>
        <w:footnoteReference w:id="1934" w:customMarkFollows="0"/>
      </w:r>
      <w:bookmarkEnd w:id="2797"/>
      <w:r>
        <w:rPr>
          <w:rtl/>
        </w:rPr>
        <w:t xml:space="preserve"> לקב״ה על כך שהוא עצמו לא התערב במאבק </w:t>
      </w:r>
      <w:proofErr w:type="spellStart"/>
      <w:r>
        <w:rPr>
          <w:rtl/>
        </w:rPr>
        <w:t>ה“עקוב</w:t>
      </w:r>
      <w:proofErr w:type="spellEnd"/>
      <w:r>
        <w:rPr>
          <w:rtl/>
        </w:rPr>
        <w:t xml:space="preserve"> מדם” נגד ר׳ חיים ברלין, “הצדיק </w:t>
      </w:r>
      <w:proofErr w:type="spellStart"/>
      <w:r>
        <w:rPr>
          <w:rtl/>
        </w:rPr>
        <w:t>מוולוז׳ין</w:t>
      </w:r>
      <w:proofErr w:type="spellEnd"/>
      <w:r>
        <w:rPr>
          <w:rtl/>
        </w:rPr>
        <w:t>”.</w:t>
      </w:r>
    </w:p>
    <w:p w14:paraId="69B3A321" w14:textId="77777777" w:rsidR="00AB3647" w:rsidRDefault="00000000" w:rsidP="007923E9">
      <w:pPr>
        <w:spacing w:after="120" w:line="276" w:lineRule="auto"/>
        <w:ind w:firstLine="283"/>
        <w:jc w:val="both"/>
      </w:pPr>
      <w:bookmarkStart w:id="2798" w:name="pr_b_1194"/>
      <w:bookmarkEnd w:id="2798"/>
      <w:r>
        <w:rPr>
          <w:rtl/>
        </w:rPr>
        <w:t>ר׳ נחמן בולמן סיפר לי</w:t>
      </w:r>
      <w:bookmarkStart w:id="2799" w:name="_fnr1931"/>
      <w:r>
        <w:rPr>
          <w:rStyle w:val="a5"/>
        </w:rPr>
        <w:footnoteReference w:id="1935" w:customMarkFollows="0"/>
      </w:r>
      <w:bookmarkEnd w:id="2799"/>
      <w:r>
        <w:rPr>
          <w:rtl/>
        </w:rPr>
        <w:t xml:space="preserve"> ששמע ממקור מהימן כי לאחר מלחמת העולם הראשונה תכנן ר׳ משה </w:t>
      </w:r>
      <w:proofErr w:type="spellStart"/>
      <w:r>
        <w:rPr>
          <w:rtl/>
        </w:rPr>
        <w:t>סולובייצ׳יק</w:t>
      </w:r>
      <w:proofErr w:type="spellEnd"/>
      <w:r>
        <w:rPr>
          <w:rtl/>
        </w:rPr>
        <w:t xml:space="preserve"> לפתוח מחדש את הישיבה </w:t>
      </w:r>
      <w:proofErr w:type="spellStart"/>
      <w:r>
        <w:rPr>
          <w:rtl/>
        </w:rPr>
        <w:t>בוולוז׳ין</w:t>
      </w:r>
      <w:proofErr w:type="spellEnd"/>
      <w:r>
        <w:rPr>
          <w:rtl/>
        </w:rPr>
        <w:t xml:space="preserve">. ישיבה זו נפתחה מחדש שנים אחדות לאחר סגירתה הראשונה </w:t>
      </w:r>
      <w:proofErr w:type="spellStart"/>
      <w:r>
        <w:rPr>
          <w:rtl/>
        </w:rPr>
        <w:t>בתרנ״ב</w:t>
      </w:r>
      <w:proofErr w:type="spellEnd"/>
      <w:r>
        <w:rPr>
          <w:rtl/>
        </w:rPr>
        <w:t>,</w:t>
      </w:r>
      <w:bookmarkStart w:id="2800" w:name="_fnr1932"/>
      <w:r>
        <w:rPr>
          <w:rStyle w:val="a5"/>
        </w:rPr>
        <w:footnoteReference w:id="1936" w:customMarkFollows="0"/>
      </w:r>
      <w:bookmarkEnd w:id="2800"/>
      <w:r>
        <w:rPr>
          <w:rtl/>
        </w:rPr>
        <w:t xml:space="preserve"> בלא מעמדה והדרה הקודמים, אך נסגרה שוב בשל </w:t>
      </w:r>
      <w:r>
        <w:rPr>
          <w:rtl/>
        </w:rPr>
        <w:lastRenderedPageBreak/>
        <w:t xml:space="preserve">מלחמת העולם הראשונה. אחיו של ר׳ משה, ר׳ יצחק־זאב, התנגד לתוכנית מטעם כלשהו. יש אירוניה בכך שאחד מצאצאי משפחת </w:t>
      </w:r>
      <w:proofErr w:type="spellStart"/>
      <w:r>
        <w:rPr>
          <w:rtl/>
        </w:rPr>
        <w:t>סולובייצ׳יק</w:t>
      </w:r>
      <w:bookmarkStart w:id="2801" w:name="_fnr1933"/>
      <w:proofErr w:type="spellEnd"/>
      <w:r>
        <w:rPr>
          <w:rStyle w:val="a5"/>
        </w:rPr>
        <w:footnoteReference w:id="1937" w:customMarkFollows="0"/>
      </w:r>
      <w:bookmarkEnd w:id="2801"/>
      <w:r>
        <w:rPr>
          <w:rtl/>
        </w:rPr>
        <w:t xml:space="preserve"> תכנן לפתוח מחדש את הישיבה שבה נעשו גם אביו וגם סבו בלתי רצויים!</w:t>
      </w:r>
      <w:bookmarkStart w:id="2802" w:name="_fnr1934"/>
      <w:r>
        <w:rPr>
          <w:rStyle w:val="a5"/>
        </w:rPr>
        <w:footnoteReference w:id="1938" w:customMarkFollows="0"/>
      </w:r>
      <w:bookmarkEnd w:id="2802"/>
    </w:p>
    <w:p w14:paraId="2B86163C" w14:textId="77777777" w:rsidR="00AB3647" w:rsidRDefault="00000000" w:rsidP="007923E9">
      <w:pPr>
        <w:spacing w:after="120" w:line="276" w:lineRule="auto"/>
        <w:ind w:firstLine="283"/>
        <w:jc w:val="both"/>
      </w:pPr>
      <w:r>
        <w:rPr>
          <w:rtl/>
        </w:rPr>
        <w:t xml:space="preserve">השווה גם </w:t>
      </w:r>
      <w:proofErr w:type="spellStart"/>
      <w:r>
        <w:rPr>
          <w:rtl/>
        </w:rPr>
        <w:t>צינוביץ</w:t>
      </w:r>
      <w:proofErr w:type="spellEnd"/>
      <w:r>
        <w:rPr>
          <w:rtl/>
        </w:rPr>
        <w:t>, “עץ חיים”,</w:t>
      </w:r>
      <w:bookmarkStart w:id="2803" w:name="_fnr1935"/>
      <w:r>
        <w:rPr>
          <w:rStyle w:val="a5"/>
        </w:rPr>
        <w:footnoteReference w:id="1939" w:customMarkFollows="0"/>
      </w:r>
      <w:bookmarkEnd w:id="2803"/>
      <w:r>
        <w:rPr>
          <w:rtl/>
        </w:rPr>
        <w:t xml:space="preserve"> המביא פרטים נוספים על התוכנית. מסופר שם כיצד הוקם בווילנה ועד שניסה לפתוח את הישיבה מחדש </w:t>
      </w:r>
      <w:proofErr w:type="spellStart"/>
      <w:r>
        <w:rPr>
          <w:rtl/>
        </w:rPr>
        <w:t>בתרפ״א</w:t>
      </w:r>
      <w:proofErr w:type="spellEnd"/>
      <w:r>
        <w:rPr>
          <w:rtl/>
        </w:rPr>
        <w:t xml:space="preserve">, במלאות מאה שנה לפטירת מייסדה, ר׳ חיים </w:t>
      </w:r>
      <w:proofErr w:type="spellStart"/>
      <w:r>
        <w:rPr>
          <w:rtl/>
        </w:rPr>
        <w:t>מוולוז׳ין</w:t>
      </w:r>
      <w:proofErr w:type="spellEnd"/>
      <w:r>
        <w:rPr>
          <w:rtl/>
        </w:rPr>
        <w:t>. בתוכנית היו מעורבים גם “חוג מסוים” מקרב יהודי אמריקה וארגון עזרת תורה. ר׳ מאיר ברלין, דודו של ר׳ יעקב שפירא (בנו של ראש הישיבה שלפני המלחמה, ר׳ רפאל</w:t>
      </w:r>
      <w:bookmarkStart w:id="2804" w:name="_fnr1936"/>
      <w:r>
        <w:rPr>
          <w:rStyle w:val="a5"/>
        </w:rPr>
        <w:footnoteReference w:id="1940" w:customMarkFollows="0"/>
      </w:r>
      <w:bookmarkEnd w:id="2804"/>
      <w:r>
        <w:rPr>
          <w:rtl/>
        </w:rPr>
        <w:t xml:space="preserve">), היה פעיל בעזרת תורה. “אחת המטרות הייתה שר׳ משה </w:t>
      </w:r>
      <w:proofErr w:type="spellStart"/>
      <w:r>
        <w:rPr>
          <w:rtl/>
        </w:rPr>
        <w:t>סולובייצ׳יק</w:t>
      </w:r>
      <w:proofErr w:type="spellEnd"/>
      <w:r>
        <w:rPr>
          <w:rtl/>
        </w:rPr>
        <w:t xml:space="preserve"> ישמש עוזר </w:t>
      </w:r>
      <w:proofErr w:type="spellStart"/>
      <w:r>
        <w:rPr>
          <w:rtl/>
        </w:rPr>
        <w:t>לר</w:t>
      </w:r>
      <w:proofErr w:type="spellEnd"/>
      <w:r>
        <w:rPr>
          <w:rtl/>
        </w:rPr>
        <w:t xml:space="preserve">׳ יעקב... מסיבות שונות נדחתה פתיחת הישיבה מחדש. לאחר עמל ויגיעה מרובים פתח ר׳ יעקב שפירא את הישיבה מחדש </w:t>
      </w:r>
      <w:proofErr w:type="spellStart"/>
      <w:r>
        <w:rPr>
          <w:rtl/>
        </w:rPr>
        <w:t>בתרפ״ב</w:t>
      </w:r>
      <w:proofErr w:type="spellEnd"/>
      <w:r>
        <w:rPr>
          <w:rtl/>
        </w:rPr>
        <w:t xml:space="preserve"> [1922, שנה לאחר שנת המאה], ועניין מינויו של ר׳ משה לא יצא לפועל”, מספר </w:t>
      </w:r>
      <w:proofErr w:type="spellStart"/>
      <w:r>
        <w:rPr>
          <w:rtl/>
        </w:rPr>
        <w:t>צינוביץ</w:t>
      </w:r>
      <w:proofErr w:type="spellEnd"/>
      <w:r>
        <w:rPr>
          <w:rtl/>
        </w:rPr>
        <w:t>.</w:t>
      </w:r>
    </w:p>
    <w:p w14:paraId="520FCF31" w14:textId="77777777" w:rsidR="00AB3647" w:rsidRDefault="00000000" w:rsidP="007923E9">
      <w:pPr>
        <w:spacing w:after="120" w:line="276" w:lineRule="auto"/>
        <w:ind w:firstLine="283"/>
        <w:jc w:val="both"/>
      </w:pPr>
      <w:r>
        <w:rPr>
          <w:rtl/>
        </w:rPr>
        <w:t xml:space="preserve">ר׳ חיים ברלין נשא בת למשפחה עשירה בהיותו בן </w:t>
      </w:r>
      <w:proofErr w:type="spellStart"/>
      <w:r>
        <w:rPr>
          <w:rtl/>
        </w:rPr>
        <w:t>חמש־עשרה</w:t>
      </w:r>
      <w:proofErr w:type="spellEnd"/>
      <w:r>
        <w:rPr>
          <w:rtl/>
        </w:rPr>
        <w:t xml:space="preserve">, וקיבל עליו את רבנות מוסקבה רק כשירד חותנו מנכסיו, עשרים שנה אחר כך. לאחר </w:t>
      </w:r>
      <w:proofErr w:type="spellStart"/>
      <w:r>
        <w:rPr>
          <w:rtl/>
        </w:rPr>
        <w:t>תשע־עשרה</w:t>
      </w:r>
      <w:proofErr w:type="spellEnd"/>
      <w:r>
        <w:rPr>
          <w:rtl/>
        </w:rPr>
        <w:t xml:space="preserve"> שנה במוסקבה התאלמן. אז נשא אישה עשירה ממשפחת שחור ממיר, והשתקע </w:t>
      </w:r>
      <w:proofErr w:type="spellStart"/>
      <w:r>
        <w:rPr>
          <w:rtl/>
        </w:rPr>
        <w:t>בביאלה</w:t>
      </w:r>
      <w:proofErr w:type="spellEnd"/>
      <w:r>
        <w:rPr>
          <w:rtl/>
        </w:rPr>
        <w:t xml:space="preserve">, עיירה חסידית מובהקת. על כך נמתחה עליו ביקורת חריפה </w:t>
      </w:r>
      <w:proofErr w:type="spellStart"/>
      <w:r>
        <w:rPr>
          <w:rtl/>
        </w:rPr>
        <w:t>ב“המליץ</w:t>
      </w:r>
      <w:proofErr w:type="spellEnd"/>
      <w:r>
        <w:rPr>
          <w:rtl/>
        </w:rPr>
        <w:t>”,</w:t>
      </w:r>
      <w:bookmarkStart w:id="2805" w:name="_fnr1937"/>
      <w:r>
        <w:rPr>
          <w:rStyle w:val="a5"/>
        </w:rPr>
        <w:footnoteReference w:id="1941" w:customMarkFollows="0"/>
      </w:r>
      <w:bookmarkEnd w:id="2805"/>
      <w:r>
        <w:rPr>
          <w:rtl/>
        </w:rPr>
        <w:t xml:space="preserve"> בנוסח זה: “ר׳ חיים ברלין מוכן לנטוש את הקהילה של מוסקבה, שהנהיג בהצלחה רבה, כדי ללכת אחר האישה המסרבת להיות רבנית. </w:t>
      </w:r>
      <w:proofErr w:type="spellStart"/>
      <w:r>
        <w:rPr>
          <w:rtl/>
        </w:rPr>
        <w:t>נינו</w:t>
      </w:r>
      <w:proofErr w:type="spellEnd"/>
      <w:r>
        <w:rPr>
          <w:rtl/>
        </w:rPr>
        <w:t xml:space="preserve"> של ר׳ חיים </w:t>
      </w:r>
      <w:proofErr w:type="spellStart"/>
      <w:r>
        <w:rPr>
          <w:rtl/>
        </w:rPr>
        <w:t>מוולוז׳ין</w:t>
      </w:r>
      <w:proofErr w:type="spellEnd"/>
      <w:r>
        <w:rPr>
          <w:rtl/>
        </w:rPr>
        <w:t xml:space="preserve">, </w:t>
      </w:r>
      <w:proofErr w:type="spellStart"/>
      <w:r>
        <w:rPr>
          <w:rtl/>
        </w:rPr>
        <w:t>שבלבו</w:t>
      </w:r>
      <w:proofErr w:type="spellEnd"/>
      <w:r>
        <w:rPr>
          <w:rtl/>
        </w:rPr>
        <w:t xml:space="preserve"> השתרשו רעיונות זרים לשיטת החסידות, עומד להפוך לחסידו של הרבי מגור ולהתפלל </w:t>
      </w:r>
      <w:proofErr w:type="spellStart"/>
      <w:r>
        <w:rPr>
          <w:rtl/>
        </w:rPr>
        <w:t>בקלויז</w:t>
      </w:r>
      <w:proofErr w:type="spellEnd"/>
      <w:r>
        <w:rPr>
          <w:rtl/>
        </w:rPr>
        <w:t xml:space="preserve"> עם חותנו, חסיד </w:t>
      </w:r>
      <w:proofErr w:type="spellStart"/>
      <w:r>
        <w:rPr>
          <w:rtl/>
        </w:rPr>
        <w:t>קוצק</w:t>
      </w:r>
      <w:proofErr w:type="spellEnd"/>
      <w:r>
        <w:rPr>
          <w:rtl/>
        </w:rPr>
        <w:t xml:space="preserve"> מובהק. הוא יחליף את כתר הרבנות </w:t>
      </w:r>
      <w:proofErr w:type="spellStart"/>
      <w:r>
        <w:rPr>
          <w:rtl/>
        </w:rPr>
        <w:t>ב‘כתר</w:t>
      </w:r>
      <w:proofErr w:type="spellEnd"/>
      <w:r>
        <w:rPr>
          <w:rtl/>
        </w:rPr>
        <w:t>’ שבנוסח הקדושה החסידי.”</w:t>
      </w:r>
    </w:p>
    <w:p w14:paraId="438C6B02" w14:textId="77777777" w:rsidR="00AB3647" w:rsidRDefault="00000000" w:rsidP="007923E9">
      <w:pPr>
        <w:spacing w:after="120" w:line="276" w:lineRule="auto"/>
        <w:ind w:firstLine="283"/>
        <w:jc w:val="both"/>
      </w:pPr>
      <w:proofErr w:type="spellStart"/>
      <w:r>
        <w:rPr>
          <w:rtl/>
        </w:rPr>
        <w:t>בתרמ״ט</w:t>
      </w:r>
      <w:proofErr w:type="spellEnd"/>
      <w:r>
        <w:rPr>
          <w:rtl/>
        </w:rPr>
        <w:t xml:space="preserve">, לאחר שאשתו החדשה נפטרה בתום חמש שנות נישואין, עבר ר׳ חיים ברלין </w:t>
      </w:r>
      <w:proofErr w:type="spellStart"/>
      <w:r>
        <w:rPr>
          <w:rtl/>
        </w:rPr>
        <w:t>לוולוז׳ין</w:t>
      </w:r>
      <w:proofErr w:type="spellEnd"/>
      <w:r>
        <w:rPr>
          <w:rtl/>
        </w:rPr>
        <w:t xml:space="preserve"> כדי לסייע לאביו הזקן בהנהגת הישיבה.</w:t>
      </w:r>
      <w:bookmarkStart w:id="2806" w:name="_fnr1938"/>
      <w:r>
        <w:rPr>
          <w:rStyle w:val="a5"/>
        </w:rPr>
        <w:footnoteReference w:id="1942" w:customMarkFollows="0"/>
      </w:r>
      <w:bookmarkEnd w:id="2806"/>
    </w:p>
    <w:p w14:paraId="7CF20E41" w14:textId="77777777" w:rsidR="00AB3647" w:rsidRDefault="00000000" w:rsidP="007923E9">
      <w:pPr>
        <w:spacing w:after="120" w:line="276" w:lineRule="auto"/>
        <w:ind w:firstLine="283"/>
        <w:jc w:val="both"/>
      </w:pPr>
      <w:r>
        <w:rPr>
          <w:rtl/>
        </w:rPr>
        <w:t xml:space="preserve">לאחר </w:t>
      </w:r>
      <w:proofErr w:type="spellStart"/>
      <w:r>
        <w:rPr>
          <w:rtl/>
        </w:rPr>
        <w:t>ש“מפתחות</w:t>
      </w:r>
      <w:proofErr w:type="spellEnd"/>
      <w:r>
        <w:rPr>
          <w:rtl/>
        </w:rPr>
        <w:t xml:space="preserve"> הישיבה הוחזרו </w:t>
      </w:r>
      <w:proofErr w:type="spellStart"/>
      <w:r>
        <w:rPr>
          <w:rtl/>
        </w:rPr>
        <w:t>לרבונו</w:t>
      </w:r>
      <w:proofErr w:type="spellEnd"/>
      <w:r>
        <w:rPr>
          <w:rtl/>
        </w:rPr>
        <w:t xml:space="preserve"> של עולם” בפטירת אביו, קיבל ר׳ חיים ברלין מיד את משרת הרבנות </w:t>
      </w:r>
      <w:proofErr w:type="spellStart"/>
      <w:r>
        <w:rPr>
          <w:rtl/>
        </w:rPr>
        <w:t>בקוברין</w:t>
      </w:r>
      <w:proofErr w:type="spellEnd"/>
      <w:r>
        <w:rPr>
          <w:rtl/>
        </w:rPr>
        <w:t>, ושהה בה מעט פחות משנתיים.</w:t>
      </w:r>
      <w:bookmarkStart w:id="2807" w:name="_fnr1939"/>
      <w:r>
        <w:rPr>
          <w:rStyle w:val="a5"/>
        </w:rPr>
        <w:footnoteReference w:id="1943" w:customMarkFollows="0"/>
      </w:r>
      <w:bookmarkEnd w:id="2807"/>
      <w:r>
        <w:rPr>
          <w:rtl/>
        </w:rPr>
        <w:t xml:space="preserve"> זמן קצר לאחר בואו </w:t>
      </w:r>
      <w:proofErr w:type="spellStart"/>
      <w:r>
        <w:rPr>
          <w:rtl/>
        </w:rPr>
        <w:t>לקוברין</w:t>
      </w:r>
      <w:proofErr w:type="spellEnd"/>
      <w:r>
        <w:rPr>
          <w:rtl/>
        </w:rPr>
        <w:t xml:space="preserve"> הציג את מועמדותו לרבנות החשובה של </w:t>
      </w:r>
      <w:proofErr w:type="spellStart"/>
      <w:r>
        <w:rPr>
          <w:rtl/>
        </w:rPr>
        <w:t>מזריטש</w:t>
      </w:r>
      <w:bookmarkStart w:id="2808" w:name="_fnr1940"/>
      <w:proofErr w:type="spellEnd"/>
      <w:r>
        <w:rPr>
          <w:rStyle w:val="a5"/>
        </w:rPr>
        <w:footnoteReference w:id="1944" w:customMarkFollows="0"/>
      </w:r>
      <w:bookmarkEnd w:id="2808"/>
      <w:bookmarkStart w:id="7017" w:name="_TranslatorNote_5383"/>
      <w:r>
        <w:rPr>
          <w:rStyle w:val="a5"/>
          <w:vertAlign w:val="superscript"/>
          <w:rtl/>
        </w:rPr>
        <w:footnoteReference w:id="1945" w:customMarkFollows="1"/>
        <w:t>*</w:t>
      </w:r>
      <w:bookmarkEnd w:id="7017"/>
      <w:r>
        <w:rPr>
          <w:rtl/>
        </w:rPr>
        <w:t xml:space="preserve"> – שבמקרה הייתה רק עשרים קילומטרים ממערב </w:t>
      </w:r>
      <w:proofErr w:type="spellStart"/>
      <w:r>
        <w:rPr>
          <w:rtl/>
        </w:rPr>
        <w:t>לביאלה</w:t>
      </w:r>
      <w:proofErr w:type="spellEnd"/>
      <w:r>
        <w:rPr>
          <w:rtl/>
        </w:rPr>
        <w:t xml:space="preserve">. הרבנות התפנתה עם פטירת ר׳ </w:t>
      </w:r>
      <w:proofErr w:type="spellStart"/>
      <w:r>
        <w:rPr>
          <w:rtl/>
        </w:rPr>
        <w:t>ישראל־איסר</w:t>
      </w:r>
      <w:proofErr w:type="spellEnd"/>
      <w:r>
        <w:rPr>
          <w:rtl/>
        </w:rPr>
        <w:t xml:space="preserve"> שפירא, ידידו הקרוב של ר׳ יוסף־דב </w:t>
      </w:r>
      <w:proofErr w:type="spellStart"/>
      <w:r>
        <w:rPr>
          <w:rtl/>
        </w:rPr>
        <w:t>סולובייצ׳יק</w:t>
      </w:r>
      <w:proofErr w:type="spellEnd"/>
      <w:r>
        <w:rPr>
          <w:rtl/>
        </w:rPr>
        <w:t>.</w:t>
      </w:r>
      <w:bookmarkStart w:id="2809" w:name="_fnr1941"/>
      <w:r>
        <w:rPr>
          <w:rStyle w:val="a5"/>
        </w:rPr>
        <w:footnoteReference w:id="1946" w:customMarkFollows="0"/>
      </w:r>
      <w:bookmarkEnd w:id="2809"/>
      <w:r>
        <w:rPr>
          <w:rtl/>
        </w:rPr>
        <w:t xml:space="preserve"> השווה “הראשון לשושלת </w:t>
      </w:r>
      <w:proofErr w:type="spellStart"/>
      <w:r>
        <w:rPr>
          <w:rtl/>
        </w:rPr>
        <w:t>בריסק</w:t>
      </w:r>
      <w:proofErr w:type="spellEnd"/>
      <w:r>
        <w:rPr>
          <w:rtl/>
        </w:rPr>
        <w:t xml:space="preserve">” על הקשר הקרוב שבין ר׳ </w:t>
      </w:r>
      <w:proofErr w:type="spellStart"/>
      <w:r>
        <w:rPr>
          <w:rtl/>
        </w:rPr>
        <w:lastRenderedPageBreak/>
        <w:t>ישראל־איסר</w:t>
      </w:r>
      <w:proofErr w:type="spellEnd"/>
      <w:r>
        <w:rPr>
          <w:rtl/>
        </w:rPr>
        <w:t xml:space="preserve"> שפירא </w:t>
      </w:r>
      <w:proofErr w:type="spellStart"/>
      <w:r>
        <w:rPr>
          <w:rtl/>
        </w:rPr>
        <w:t>לר</w:t>
      </w:r>
      <w:proofErr w:type="spellEnd"/>
      <w:r>
        <w:rPr>
          <w:rtl/>
        </w:rPr>
        <w:t xml:space="preserve">׳ יוסף־דב, ועל כך שר׳ </w:t>
      </w:r>
      <w:proofErr w:type="spellStart"/>
      <w:r>
        <w:rPr>
          <w:rtl/>
        </w:rPr>
        <w:t>ישראל־איסר</w:t>
      </w:r>
      <w:proofErr w:type="spellEnd"/>
      <w:r>
        <w:rPr>
          <w:rtl/>
        </w:rPr>
        <w:t xml:space="preserve"> שפירא ור׳ </w:t>
      </w:r>
      <w:proofErr w:type="spellStart"/>
      <w:r>
        <w:rPr>
          <w:rtl/>
        </w:rPr>
        <w:t>אליהו־חיים</w:t>
      </w:r>
      <w:proofErr w:type="spellEnd"/>
      <w:r>
        <w:rPr>
          <w:rtl/>
        </w:rPr>
        <w:t xml:space="preserve"> </w:t>
      </w:r>
      <w:proofErr w:type="spellStart"/>
      <w:r>
        <w:rPr>
          <w:rtl/>
        </w:rPr>
        <w:t>מייזל</w:t>
      </w:r>
      <w:proofErr w:type="spellEnd"/>
      <w:r>
        <w:rPr>
          <w:rtl/>
        </w:rPr>
        <w:t xml:space="preserve">, רבה של </w:t>
      </w:r>
      <w:proofErr w:type="spellStart"/>
      <w:r>
        <w:rPr>
          <w:rtl/>
        </w:rPr>
        <w:t>לודז</w:t>
      </w:r>
      <w:proofErr w:type="spellEnd"/>
      <w:r>
        <w:rPr>
          <w:rtl/>
        </w:rPr>
        <w:t xml:space="preserve">׳, סמכו את ר׳ חיים </w:t>
      </w:r>
      <w:proofErr w:type="spellStart"/>
      <w:r>
        <w:rPr>
          <w:rtl/>
        </w:rPr>
        <w:t>סולובייצ׳יק</w:t>
      </w:r>
      <w:proofErr w:type="spellEnd"/>
      <w:r>
        <w:rPr>
          <w:rtl/>
        </w:rPr>
        <w:t xml:space="preserve"> בתום השבעה על אביו, כדי שיוכל לרשת את רבנות </w:t>
      </w:r>
      <w:proofErr w:type="spellStart"/>
      <w:r>
        <w:rPr>
          <w:rtl/>
        </w:rPr>
        <w:t>בריסק</w:t>
      </w:r>
      <w:proofErr w:type="spellEnd"/>
      <w:r>
        <w:rPr>
          <w:rtl/>
        </w:rPr>
        <w:t>.</w:t>
      </w:r>
      <w:bookmarkStart w:id="2810" w:name="_fnr1942"/>
      <w:r>
        <w:rPr>
          <w:rStyle w:val="a5"/>
        </w:rPr>
        <w:footnoteReference w:id="1947" w:customMarkFollows="0"/>
      </w:r>
      <w:bookmarkEnd w:id="2810"/>
    </w:p>
    <w:p w14:paraId="6D19CE58" w14:textId="77777777" w:rsidR="00AB3647" w:rsidRDefault="00000000" w:rsidP="007923E9">
      <w:pPr>
        <w:spacing w:after="120" w:line="276" w:lineRule="auto"/>
        <w:ind w:firstLine="283"/>
        <w:jc w:val="both"/>
      </w:pPr>
      <w:proofErr w:type="spellStart"/>
      <w:r>
        <w:rPr>
          <w:rtl/>
        </w:rPr>
        <w:t>הנצי״ב</w:t>
      </w:r>
      <w:proofErr w:type="spellEnd"/>
      <w:r>
        <w:rPr>
          <w:rtl/>
        </w:rPr>
        <w:t xml:space="preserve"> נפטר בכ״ח באב תרנ״ג, ושלושה חודשים אחר כך, בד׳ בכסלו תרנ״ד, חתם ר׳ חיים ברלין “</w:t>
      </w:r>
      <w:proofErr w:type="spellStart"/>
      <w:r>
        <w:rPr>
          <w:rtl/>
        </w:rPr>
        <w:t>האב״ד</w:t>
      </w:r>
      <w:proofErr w:type="spellEnd"/>
      <w:r>
        <w:rPr>
          <w:rtl/>
        </w:rPr>
        <w:t xml:space="preserve"> </w:t>
      </w:r>
      <w:proofErr w:type="spellStart"/>
      <w:r>
        <w:rPr>
          <w:rtl/>
        </w:rPr>
        <w:t>דקאברין</w:t>
      </w:r>
      <w:proofErr w:type="spellEnd"/>
      <w:r>
        <w:rPr>
          <w:rtl/>
        </w:rPr>
        <w:t xml:space="preserve">”, והוסיף “כאורח נטה ללון פה </w:t>
      </w:r>
      <w:proofErr w:type="spellStart"/>
      <w:r>
        <w:rPr>
          <w:rtl/>
        </w:rPr>
        <w:t>ווארשא</w:t>
      </w:r>
      <w:proofErr w:type="spellEnd"/>
      <w:r>
        <w:rPr>
          <w:rtl/>
        </w:rPr>
        <w:t>”.</w:t>
      </w:r>
      <w:bookmarkStart w:id="2811" w:name="_fnr1943"/>
      <w:r>
        <w:rPr>
          <w:rStyle w:val="a5"/>
        </w:rPr>
        <w:footnoteReference w:id="1948" w:customMarkFollows="0"/>
      </w:r>
      <w:bookmarkEnd w:id="2811"/>
      <w:r>
        <w:rPr>
          <w:rtl/>
        </w:rPr>
        <w:t xml:space="preserve"> בשלושת החודשים שחלפו מפטירת אביו הספיק לא רק להתמנות לרבה של </w:t>
      </w:r>
      <w:proofErr w:type="spellStart"/>
      <w:r>
        <w:rPr>
          <w:rtl/>
        </w:rPr>
        <w:t>קוברין</w:t>
      </w:r>
      <w:proofErr w:type="spellEnd"/>
      <w:r>
        <w:rPr>
          <w:rtl/>
        </w:rPr>
        <w:t xml:space="preserve">, אלא גם להיעדר ממשרתו החדשה לביקור שהיה כנראה ממושך בוורשה. אין זה רחוק לשער שבא לוורשה בקשר למועמדותו </w:t>
      </w:r>
      <w:proofErr w:type="spellStart"/>
      <w:r>
        <w:rPr>
          <w:rtl/>
        </w:rPr>
        <w:t>למזריטש</w:t>
      </w:r>
      <w:proofErr w:type="spellEnd"/>
      <w:r>
        <w:rPr>
          <w:rtl/>
        </w:rPr>
        <w:t>.</w:t>
      </w:r>
    </w:p>
    <w:p w14:paraId="120DF431" w14:textId="77777777" w:rsidR="00AB3647" w:rsidRDefault="00000000" w:rsidP="007923E9">
      <w:pPr>
        <w:spacing w:after="120" w:line="276" w:lineRule="auto"/>
        <w:ind w:firstLine="283"/>
        <w:jc w:val="both"/>
      </w:pPr>
      <w:r>
        <w:rPr>
          <w:rtl/>
        </w:rPr>
        <w:t xml:space="preserve">אבל כשכבר כמעט נבחר ר׳ חיים ברלין לרבנות </w:t>
      </w:r>
      <w:proofErr w:type="spellStart"/>
      <w:r>
        <w:rPr>
          <w:rtl/>
        </w:rPr>
        <w:t>מזריטש</w:t>
      </w:r>
      <w:proofErr w:type="spellEnd"/>
      <w:r>
        <w:rPr>
          <w:rtl/>
        </w:rPr>
        <w:t xml:space="preserve">, הביאו לשם בחיפזון את בעל אחייניתו, ר׳ חיים </w:t>
      </w:r>
      <w:proofErr w:type="spellStart"/>
      <w:r>
        <w:rPr>
          <w:rtl/>
        </w:rPr>
        <w:t>סולובייצ׳יק</w:t>
      </w:r>
      <w:proofErr w:type="spellEnd"/>
      <w:r>
        <w:rPr>
          <w:rtl/>
        </w:rPr>
        <w:t xml:space="preserve">. סיעת המיעוט, שתמכה במועמדותו של ר׳ </w:t>
      </w:r>
      <w:proofErr w:type="spellStart"/>
      <w:r>
        <w:rPr>
          <w:rtl/>
        </w:rPr>
        <w:t>נחמן־דוב</w:t>
      </w:r>
      <w:proofErr w:type="spellEnd"/>
      <w:r>
        <w:rPr>
          <w:rtl/>
        </w:rPr>
        <w:t xml:space="preserve">, בנו של ר׳ </w:t>
      </w:r>
      <w:proofErr w:type="spellStart"/>
      <w:r>
        <w:rPr>
          <w:rtl/>
        </w:rPr>
        <w:t>ישראל־איסר</w:t>
      </w:r>
      <w:proofErr w:type="spellEnd"/>
      <w:r>
        <w:rPr>
          <w:rtl/>
        </w:rPr>
        <w:t xml:space="preserve"> שפירא, הזעיקה את ר׳ חיים </w:t>
      </w:r>
      <w:proofErr w:type="spellStart"/>
      <w:r>
        <w:rPr>
          <w:rtl/>
        </w:rPr>
        <w:t>סולובייצ׳יק</w:t>
      </w:r>
      <w:proofErr w:type="spellEnd"/>
      <w:r>
        <w:rPr>
          <w:rtl/>
        </w:rPr>
        <w:t xml:space="preserve"> לעיר זו, שישים קילומטרים ממערב </w:t>
      </w:r>
      <w:proofErr w:type="spellStart"/>
      <w:r>
        <w:rPr>
          <w:rtl/>
        </w:rPr>
        <w:t>לבריסק</w:t>
      </w:r>
      <w:proofErr w:type="spellEnd"/>
      <w:r>
        <w:rPr>
          <w:rtl/>
        </w:rPr>
        <w:t xml:space="preserve">, כדי לחסום את דרכו של ר׳ חיים ברלין. שבועות אחדים קודם לכן פעל ר׳ חיים </w:t>
      </w:r>
      <w:proofErr w:type="spellStart"/>
      <w:r>
        <w:rPr>
          <w:rtl/>
        </w:rPr>
        <w:t>סולובייצ׳יק</w:t>
      </w:r>
      <w:proofErr w:type="spellEnd"/>
      <w:r>
        <w:rPr>
          <w:rtl/>
        </w:rPr>
        <w:t xml:space="preserve"> בגלוי </w:t>
      </w:r>
      <w:proofErr w:type="spellStart"/>
      <w:r>
        <w:rPr>
          <w:rtl/>
        </w:rPr>
        <w:t>במזריטש</w:t>
      </w:r>
      <w:proofErr w:type="spellEnd"/>
      <w:r>
        <w:rPr>
          <w:rtl/>
        </w:rPr>
        <w:t xml:space="preserve">, בהספד שנשא על ר׳ </w:t>
      </w:r>
      <w:proofErr w:type="spellStart"/>
      <w:r>
        <w:rPr>
          <w:rtl/>
        </w:rPr>
        <w:t>ישראל־איסר</w:t>
      </w:r>
      <w:proofErr w:type="spellEnd"/>
      <w:r>
        <w:rPr>
          <w:rtl/>
        </w:rPr>
        <w:t xml:space="preserve">, למען ירושת המשרה בידי בן הרב הנפטר. כעת שב ר׳ חיים </w:t>
      </w:r>
      <w:proofErr w:type="spellStart"/>
      <w:r>
        <w:rPr>
          <w:rtl/>
        </w:rPr>
        <w:t>סולובייצ׳יק</w:t>
      </w:r>
      <w:proofErr w:type="spellEnd"/>
      <w:r>
        <w:rPr>
          <w:rtl/>
        </w:rPr>
        <w:t xml:space="preserve"> כדי להושיב במקום ר׳ חיים ברלין את ר׳ </w:t>
      </w:r>
      <w:proofErr w:type="spellStart"/>
      <w:r>
        <w:rPr>
          <w:rtl/>
        </w:rPr>
        <w:t>נחמן־דוב</w:t>
      </w:r>
      <w:proofErr w:type="spellEnd"/>
      <w:r>
        <w:rPr>
          <w:rtl/>
        </w:rPr>
        <w:t xml:space="preserve"> שפירא הבן, שהיה צעיר הרבה יותר ומוכר הרבה פחות.</w:t>
      </w:r>
    </w:p>
    <w:p w14:paraId="3C5DB6C5" w14:textId="77777777" w:rsidR="00AB3647" w:rsidRDefault="00000000" w:rsidP="007923E9">
      <w:pPr>
        <w:spacing w:after="120" w:line="276" w:lineRule="auto"/>
        <w:ind w:firstLine="283"/>
        <w:jc w:val="both"/>
      </w:pPr>
      <w:r>
        <w:rPr>
          <w:rtl/>
        </w:rPr>
        <w:t xml:space="preserve">השווה “ספר </w:t>
      </w:r>
      <w:proofErr w:type="spellStart"/>
      <w:r>
        <w:rPr>
          <w:rtl/>
        </w:rPr>
        <w:t>מעזריטש</w:t>
      </w:r>
      <w:proofErr w:type="spellEnd"/>
      <w:r>
        <w:rPr>
          <w:rtl/>
        </w:rPr>
        <w:t>”,</w:t>
      </w:r>
      <w:bookmarkStart w:id="2812" w:name="_fnr1944"/>
      <w:r>
        <w:rPr>
          <w:rStyle w:val="a5"/>
        </w:rPr>
        <w:footnoteReference w:id="1949" w:customMarkFollows="0"/>
      </w:r>
      <w:bookmarkEnd w:id="2812"/>
      <w:r>
        <w:rPr>
          <w:rtl/>
        </w:rPr>
        <w:t xml:space="preserve"> שאינו נוקב בשם המועמד שהפסיד מפני “כבודו וכבוד משפחתו הנודעת”, אך נותן די רמזים כדי שלא יישאר ספק שהמפסיד היה ר׳ חיים ברלין. הספר אף מאשים אותו על עצם הצגת מועמדותו למשרה שהייתה שייכת בדין ליורש. אפשר שחווייתו האישית של ר׳ חיים ברלין, שלא הצליח להיכנס למשרת אביו </w:t>
      </w:r>
      <w:proofErr w:type="spellStart"/>
      <w:r>
        <w:rPr>
          <w:rtl/>
        </w:rPr>
        <w:t>בוולוז׳ין</w:t>
      </w:r>
      <w:proofErr w:type="spellEnd"/>
      <w:r>
        <w:rPr>
          <w:rtl/>
        </w:rPr>
        <w:t>, הביאה אותו למסקנה שסיכויי יורשים לרשת מנהיגי תורה אינם טובים משל זרים.</w:t>
      </w:r>
    </w:p>
    <w:p w14:paraId="72397B88" w14:textId="77777777" w:rsidR="00AB3647" w:rsidRDefault="00000000" w:rsidP="007923E9">
      <w:pPr>
        <w:spacing w:after="120" w:line="276" w:lineRule="auto"/>
        <w:ind w:firstLine="283"/>
        <w:jc w:val="both"/>
      </w:pPr>
      <w:r>
        <w:rPr>
          <w:rtl/>
        </w:rPr>
        <w:t>מזלו הרע של ר׳ חיים ברלין הוסיף לרדוף אותו: כשבעה חודשים לאחר בואו</w:t>
      </w:r>
      <w:bookmarkStart w:id="2813" w:name="_fnr1945"/>
      <w:bookmarkEnd w:id="2813"/>
      <w:r>
        <w:rPr>
          <w:rStyle w:val="a5"/>
        </w:rPr>
        <w:t/>
      </w:r>
      <w:bookmarkStart w:id="7018" w:name="_TranslatorNote_1944"/>
      <w:r>
        <w:rPr>
          <w:rStyle w:val="a5"/>
          <w:vertAlign w:val="superscript"/>
          <w:rtl/>
        </w:rPr>
        <w:footnoteReference w:id="1950" w:customMarkFollows="1"/>
        <w:t>*</w:t>
      </w:r>
      <w:bookmarkEnd w:id="7018"/>
      <w:r>
        <w:rPr>
          <w:rtl/>
        </w:rPr>
        <w:t xml:space="preserve"> החריבה שרפה חלקים נרחבים </w:t>
      </w:r>
      <w:proofErr w:type="spellStart"/>
      <w:r>
        <w:rPr>
          <w:rtl/>
        </w:rPr>
        <w:t>מקוברין</w:t>
      </w:r>
      <w:proofErr w:type="spellEnd"/>
      <w:r>
        <w:rPr>
          <w:rtl/>
        </w:rPr>
        <w:t xml:space="preserve">, והטילה עליו את המשימה הכבדה לפנות לעולם כולו בבקשה לכספים לשיקום עירו. באורח אירוני, הוא ור׳ חיים </w:t>
      </w:r>
      <w:proofErr w:type="spellStart"/>
      <w:r>
        <w:rPr>
          <w:rtl/>
        </w:rPr>
        <w:t>סולובייצ׳יק</w:t>
      </w:r>
      <w:proofErr w:type="spellEnd"/>
      <w:r>
        <w:rPr>
          <w:rtl/>
        </w:rPr>
        <w:t xml:space="preserve"> התחרו כעת זה בזה. ר׳ חיים </w:t>
      </w:r>
      <w:proofErr w:type="spellStart"/>
      <w:r>
        <w:rPr>
          <w:rtl/>
        </w:rPr>
        <w:t>סולובייצ׳יק</w:t>
      </w:r>
      <w:proofErr w:type="spellEnd"/>
      <w:r>
        <w:rPr>
          <w:rtl/>
        </w:rPr>
        <w:t xml:space="preserve"> היה רבה של </w:t>
      </w:r>
      <w:proofErr w:type="spellStart"/>
      <w:r>
        <w:rPr>
          <w:rtl/>
        </w:rPr>
        <w:t>בריסק</w:t>
      </w:r>
      <w:proofErr w:type="spellEnd"/>
      <w:r>
        <w:rPr>
          <w:rtl/>
        </w:rPr>
        <w:t xml:space="preserve">, הגדולה והנודעת הרבה יותר, שסבלה גם היא משרפה גדולה </w:t>
      </w:r>
      <w:r>
        <w:rPr>
          <w:b/>
          <w:bCs/>
          <w:rtl/>
        </w:rPr>
        <w:t xml:space="preserve">בדיוק יום אחד לפני </w:t>
      </w:r>
      <w:proofErr w:type="spellStart"/>
      <w:r>
        <w:rPr>
          <w:b/>
          <w:bCs/>
          <w:rtl/>
        </w:rPr>
        <w:t>קוברין</w:t>
      </w:r>
      <w:proofErr w:type="spellEnd"/>
      <w:r>
        <w:rPr>
          <w:rtl/>
        </w:rPr>
        <w:t xml:space="preserve">; ציוד כיבוי השרפות של </w:t>
      </w:r>
      <w:proofErr w:type="spellStart"/>
      <w:r>
        <w:rPr>
          <w:rtl/>
        </w:rPr>
        <w:t>קוברין</w:t>
      </w:r>
      <w:proofErr w:type="spellEnd"/>
      <w:r>
        <w:rPr>
          <w:rtl/>
        </w:rPr>
        <w:t xml:space="preserve"> יצא לעזרת </w:t>
      </w:r>
      <w:proofErr w:type="spellStart"/>
      <w:r>
        <w:rPr>
          <w:rtl/>
        </w:rPr>
        <w:t>בריסק</w:t>
      </w:r>
      <w:proofErr w:type="spellEnd"/>
      <w:r>
        <w:rPr>
          <w:rtl/>
        </w:rPr>
        <w:t xml:space="preserve">, ועוד היה שם כשנזקקו לו </w:t>
      </w:r>
      <w:proofErr w:type="spellStart"/>
      <w:r>
        <w:rPr>
          <w:rtl/>
        </w:rPr>
        <w:t>בקוברין</w:t>
      </w:r>
      <w:proofErr w:type="spellEnd"/>
      <w:r>
        <w:rPr>
          <w:rtl/>
        </w:rPr>
        <w:t xml:space="preserve"> עצמה. הפעם לא הייתה התחרות, כבשנתיים וחצי קודם לכן, על מי יהיה ראש הישיבה, אלא על מי ישיג חלק גדול יותר מן הכספים המוגבלים שעמדו לרשות שיקומן של שתי הערים.</w:t>
      </w:r>
    </w:p>
    <w:p w14:paraId="2244F3B0" w14:textId="77777777" w:rsidR="00AB3647" w:rsidRDefault="00000000" w:rsidP="007923E9">
      <w:pPr>
        <w:spacing w:after="120" w:line="276" w:lineRule="auto"/>
        <w:ind w:firstLine="283"/>
        <w:jc w:val="both"/>
      </w:pPr>
      <w:r>
        <w:rPr>
          <w:rtl/>
        </w:rPr>
        <w:lastRenderedPageBreak/>
        <w:t>ייתכן בהחלט שלשתי השרפות הייתה אותה סיבה – מציתים אנטישמיים מאורגנים.</w:t>
      </w:r>
      <w:bookmarkStart w:id="2814" w:name="_fnr1946"/>
      <w:r>
        <w:rPr>
          <w:rStyle w:val="a5"/>
        </w:rPr>
        <w:footnoteReference w:id="1951" w:customMarkFollows="0"/>
      </w:r>
      <w:bookmarkEnd w:id="2814"/>
      <w:r>
        <w:rPr>
          <w:rtl/>
        </w:rPr>
        <w:t xml:space="preserve"> “המליץ”</w:t>
      </w:r>
      <w:bookmarkStart w:id="2815" w:name="_fnr1947"/>
      <w:r>
        <w:rPr>
          <w:rStyle w:val="a5"/>
        </w:rPr>
        <w:footnoteReference w:id="1952" w:customMarkFollows="0"/>
      </w:r>
      <w:bookmarkEnd w:id="2815"/>
      <w:r>
        <w:rPr>
          <w:rtl/>
        </w:rPr>
        <w:t xml:space="preserve"> מספר על </w:t>
      </w:r>
      <w:proofErr w:type="spellStart"/>
      <w:r>
        <w:rPr>
          <w:rtl/>
        </w:rPr>
        <w:t>איישישוק</w:t>
      </w:r>
      <w:proofErr w:type="spellEnd"/>
      <w:r>
        <w:rPr>
          <w:rtl/>
        </w:rPr>
        <w:t xml:space="preserve">, העיירה המפורסמת בת כ־3,000 היהודים, שהתפארה בכך שהיא מפרנסת בכוחות עצמה את מאות הפרושים שבאו מעשרות עיירות ללמוד בה – היא לא שלחה משולחים לערים אחרות כדי להקל את עולה! – </w:t>
      </w:r>
      <w:proofErr w:type="spellStart"/>
      <w:r>
        <w:rPr>
          <w:rtl/>
        </w:rPr>
        <w:t>ש“לא</w:t>
      </w:r>
      <w:proofErr w:type="spellEnd"/>
      <w:r>
        <w:rPr>
          <w:rtl/>
        </w:rPr>
        <w:t xml:space="preserve"> הצליחה אף בשרפה; נשרפה בדיוק כשנשרפו </w:t>
      </w:r>
      <w:proofErr w:type="spellStart"/>
      <w:r>
        <w:rPr>
          <w:rtl/>
        </w:rPr>
        <w:t>בריסק</w:t>
      </w:r>
      <w:proofErr w:type="spellEnd"/>
      <w:r>
        <w:rPr>
          <w:rtl/>
        </w:rPr>
        <w:t xml:space="preserve"> </w:t>
      </w:r>
      <w:proofErr w:type="spellStart"/>
      <w:r>
        <w:rPr>
          <w:rtl/>
        </w:rPr>
        <w:t>וקוברין</w:t>
      </w:r>
      <w:proofErr w:type="spellEnd"/>
      <w:r>
        <w:rPr>
          <w:rtl/>
        </w:rPr>
        <w:t xml:space="preserve"> ואחרות”. </w:t>
      </w:r>
      <w:proofErr w:type="spellStart"/>
      <w:r>
        <w:rPr>
          <w:rtl/>
        </w:rPr>
        <w:t>באיישישוק</w:t>
      </w:r>
      <w:proofErr w:type="spellEnd"/>
      <w:r>
        <w:rPr>
          <w:rtl/>
        </w:rPr>
        <w:t xml:space="preserve"> הייתה מסורת שר׳ משה </w:t>
      </w:r>
      <w:proofErr w:type="spellStart"/>
      <w:r>
        <w:rPr>
          <w:rtl/>
        </w:rPr>
        <w:t>הורוויץ</w:t>
      </w:r>
      <w:proofErr w:type="spellEnd"/>
      <w:r>
        <w:rPr>
          <w:rtl/>
        </w:rPr>
        <w:t xml:space="preserve">, ששימש שם </w:t>
      </w:r>
      <w:proofErr w:type="spellStart"/>
      <w:r>
        <w:rPr>
          <w:rtl/>
        </w:rPr>
        <w:t>מ״ץ</w:t>
      </w:r>
      <w:proofErr w:type="spellEnd"/>
      <w:r>
        <w:rPr>
          <w:rtl/>
        </w:rPr>
        <w:t xml:space="preserve"> ולמשך זמן מה היה מלמד בניו של הגאון מווילנה, ייסד את קיבוץ הפרושים מאה וחמישים שנה קודם לכן.</w:t>
      </w:r>
      <w:bookmarkStart w:id="2816" w:name="_fnr1948"/>
      <w:r>
        <w:rPr>
          <w:rStyle w:val="a5"/>
        </w:rPr>
        <w:footnoteReference w:id="1953" w:customMarkFollows="0"/>
      </w:r>
      <w:bookmarkEnd w:id="2816"/>
    </w:p>
    <w:p w14:paraId="4A457457" w14:textId="77777777" w:rsidR="00AB3647" w:rsidRDefault="00000000" w:rsidP="007923E9">
      <w:pPr>
        <w:spacing w:after="120" w:line="276" w:lineRule="auto"/>
        <w:ind w:firstLine="283"/>
        <w:jc w:val="both"/>
      </w:pPr>
      <w:r>
        <w:rPr>
          <w:rtl/>
        </w:rPr>
        <w:t xml:space="preserve">לאחר מעט פחות משנתיים </w:t>
      </w:r>
      <w:proofErr w:type="spellStart"/>
      <w:r>
        <w:rPr>
          <w:rtl/>
        </w:rPr>
        <w:t>בקוברין</w:t>
      </w:r>
      <w:proofErr w:type="spellEnd"/>
      <w:r>
        <w:rPr>
          <w:rtl/>
        </w:rPr>
        <w:t xml:space="preserve"> קיבל ר׳ חיים ברלין את משרת הרבנות </w:t>
      </w:r>
      <w:proofErr w:type="spellStart"/>
      <w:r>
        <w:rPr>
          <w:rtl/>
        </w:rPr>
        <w:t>ביליזבטגרד</w:t>
      </w:r>
      <w:proofErr w:type="spellEnd"/>
      <w:r>
        <w:rPr>
          <w:rtl/>
        </w:rPr>
        <w:t xml:space="preserve"> שבמזרחה המרוחק של אוקראינה.</w:t>
      </w:r>
      <w:bookmarkStart w:id="2817" w:name="_fnr1949"/>
      <w:r>
        <w:rPr>
          <w:rStyle w:val="a5"/>
        </w:rPr>
        <w:footnoteReference w:id="1954" w:customMarkFollows="0"/>
      </w:r>
      <w:bookmarkEnd w:id="2817"/>
      <w:r>
        <w:rPr>
          <w:rtl/>
        </w:rPr>
        <w:t xml:space="preserve"> מעניין </w:t>
      </w:r>
      <w:proofErr w:type="spellStart"/>
      <w:r>
        <w:rPr>
          <w:rtl/>
        </w:rPr>
        <w:t>שידעאל</w:t>
      </w:r>
      <w:proofErr w:type="spellEnd"/>
      <w:r>
        <w:rPr>
          <w:rtl/>
        </w:rPr>
        <w:t xml:space="preserve"> מלצר, “בדרך עץ החיים”</w:t>
      </w:r>
      <w:bookmarkStart w:id="2818" w:name="_fnr1950"/>
      <w:r>
        <w:rPr>
          <w:rStyle w:val="a5"/>
        </w:rPr>
        <w:footnoteReference w:id="1955" w:customMarkFollows="0"/>
      </w:r>
      <w:bookmarkEnd w:id="2818"/>
      <w:r>
        <w:rPr>
          <w:rtl/>
        </w:rPr>
        <w:t xml:space="preserve">, מספר כי ר׳ חיים ברלין דחה לטובת </w:t>
      </w:r>
      <w:proofErr w:type="spellStart"/>
      <w:r>
        <w:rPr>
          <w:rtl/>
        </w:rPr>
        <w:t>יליזבטגרד</w:t>
      </w:r>
      <w:proofErr w:type="spellEnd"/>
      <w:r>
        <w:rPr>
          <w:rtl/>
        </w:rPr>
        <w:t xml:space="preserve"> שתי משרות רבנות מקובלות: </w:t>
      </w:r>
      <w:proofErr w:type="spellStart"/>
      <w:r>
        <w:rPr>
          <w:rtl/>
        </w:rPr>
        <w:t>פוניבז</w:t>
      </w:r>
      <w:proofErr w:type="spellEnd"/>
      <w:r>
        <w:rPr>
          <w:rtl/>
        </w:rPr>
        <w:t xml:space="preserve">׳ </w:t>
      </w:r>
      <w:proofErr w:type="spellStart"/>
      <w:r>
        <w:rPr>
          <w:rtl/>
        </w:rPr>
        <w:t>ושדליץ</w:t>
      </w:r>
      <w:proofErr w:type="spellEnd"/>
      <w:r>
        <w:rPr>
          <w:rtl/>
        </w:rPr>
        <w:t>.</w:t>
      </w:r>
    </w:p>
    <w:p w14:paraId="658CF96E" w14:textId="77777777" w:rsidR="00AB3647" w:rsidRDefault="00000000" w:rsidP="007923E9">
      <w:pPr>
        <w:spacing w:after="120" w:line="276" w:lineRule="auto"/>
        <w:ind w:firstLine="283"/>
        <w:jc w:val="both"/>
      </w:pPr>
      <w:r>
        <w:rPr>
          <w:rtl/>
        </w:rPr>
        <w:t xml:space="preserve">“ספר </w:t>
      </w:r>
      <w:proofErr w:type="spellStart"/>
      <w:r>
        <w:rPr>
          <w:rtl/>
        </w:rPr>
        <w:t>קוברין</w:t>
      </w:r>
      <w:proofErr w:type="spellEnd"/>
      <w:r>
        <w:rPr>
          <w:rtl/>
        </w:rPr>
        <w:t>”</w:t>
      </w:r>
      <w:bookmarkStart w:id="2819" w:name="_fnr1951"/>
      <w:r>
        <w:rPr>
          <w:rStyle w:val="a5"/>
        </w:rPr>
        <w:footnoteReference w:id="1956" w:customMarkFollows="0"/>
      </w:r>
      <w:bookmarkEnd w:id="2819"/>
      <w:r>
        <w:rPr>
          <w:rtl/>
        </w:rPr>
        <w:t xml:space="preserve"> אומר: “[מעבר זה] עורר תשומת לב רבה בחוגי הרבנים. נימוקו של ר׳ חיים ברלין היה שאם יועיל לקהילה [היהודית] </w:t>
      </w:r>
      <w:proofErr w:type="spellStart"/>
      <w:r>
        <w:rPr>
          <w:rtl/>
        </w:rPr>
        <w:t>ביליזבטגרד</w:t>
      </w:r>
      <w:proofErr w:type="spellEnd"/>
      <w:r>
        <w:rPr>
          <w:rtl/>
        </w:rPr>
        <w:t xml:space="preserve"> אפילו בסגירתן של חנויות אחדות בשבת, בעוד </w:t>
      </w:r>
      <w:proofErr w:type="spellStart"/>
      <w:r>
        <w:rPr>
          <w:rtl/>
        </w:rPr>
        <w:t>שבקוברין</w:t>
      </w:r>
      <w:proofErr w:type="spellEnd"/>
      <w:r>
        <w:rPr>
          <w:rtl/>
        </w:rPr>
        <w:t xml:space="preserve"> מקפידים ממילא על שמירת שבת וקיום מצוות התורה, כדאי הדבר. [אך כאשר] ביקר שם ר׳ יצחק </w:t>
      </w:r>
      <w:proofErr w:type="spellStart"/>
      <w:r>
        <w:rPr>
          <w:rtl/>
        </w:rPr>
        <w:t>ניסנבוים</w:t>
      </w:r>
      <w:proofErr w:type="spellEnd"/>
      <w:r>
        <w:rPr>
          <w:rtl/>
        </w:rPr>
        <w:t xml:space="preserve"> </w:t>
      </w:r>
      <w:proofErr w:type="spellStart"/>
      <w:r>
        <w:rPr>
          <w:rtl/>
        </w:rPr>
        <w:t>בתר״ס</w:t>
      </w:r>
      <w:proofErr w:type="spellEnd"/>
      <w:r>
        <w:rPr>
          <w:rtl/>
        </w:rPr>
        <w:t xml:space="preserve">, כתב </w:t>
      </w:r>
      <w:proofErr w:type="spellStart"/>
      <w:r>
        <w:rPr>
          <w:rtl/>
        </w:rPr>
        <w:t>ב‘המליץ</w:t>
      </w:r>
      <w:proofErr w:type="spellEnd"/>
      <w:r>
        <w:rPr>
          <w:rtl/>
        </w:rPr>
        <w:t xml:space="preserve">’ [בשם העט ‘יהודי’]: ‘בבואי </w:t>
      </w:r>
      <w:proofErr w:type="spellStart"/>
      <w:r>
        <w:rPr>
          <w:rtl/>
        </w:rPr>
        <w:t>ליליזבטגרד</w:t>
      </w:r>
      <w:proofErr w:type="spellEnd"/>
      <w:r>
        <w:rPr>
          <w:rtl/>
        </w:rPr>
        <w:t xml:space="preserve"> שמתי פעמיי תחילה לבית הרב והגאון, ומצאתיו יושב בחדר ספריו המרובים – הייתה לו ספרייה עצומה – ועוסק בתורה. רב זה עזב את ארץ ליטא ולומדיה, ואת </w:t>
      </w:r>
      <w:proofErr w:type="spellStart"/>
      <w:r>
        <w:rPr>
          <w:rtl/>
        </w:rPr>
        <w:t>קוברין</w:t>
      </w:r>
      <w:proofErr w:type="spellEnd"/>
      <w:r>
        <w:rPr>
          <w:rtl/>
        </w:rPr>
        <w:t xml:space="preserve"> </w:t>
      </w:r>
      <w:proofErr w:type="spellStart"/>
      <w:r>
        <w:rPr>
          <w:rtl/>
        </w:rPr>
        <w:t>ויראיה</w:t>
      </w:r>
      <w:proofErr w:type="spellEnd"/>
      <w:r>
        <w:rPr>
          <w:rtl/>
        </w:rPr>
        <w:t xml:space="preserve">, ובחר לשבת בארץ הנגב של רוסיה, בעיר המפורסמת במיעוט הדת ושמירת המצוות שבה, כדי להשפיע ברוחו על תושביה היהודים, שמספרם מגיע ליותר מ־20,000... כוונות הרב היו בוודאי טובות... אך כשראה שאין לו עזר בעבודת הקודש, והשפעתו על בני העיר אינה ניכרת לעין אדם, התגנב אל לבו רגש הדומה לחרטה; נפשו מתגעגעת </w:t>
      </w:r>
      <w:proofErr w:type="spellStart"/>
      <w:r>
        <w:rPr>
          <w:rtl/>
        </w:rPr>
        <w:t>ל“ליטא</w:t>
      </w:r>
      <w:proofErr w:type="spellEnd"/>
      <w:r>
        <w:rPr>
          <w:rtl/>
        </w:rPr>
        <w:t xml:space="preserve"> ואנשיה”, והוא שופך געגועים אלו אל חיק ספרי הקודש המרובים שלו. אולם ר׳ חיים אינו חוזר עוד לליטא – הייתה לו הזדמנות לשוב אליה ולקבל את רבנות </w:t>
      </w:r>
      <w:proofErr w:type="spellStart"/>
      <w:r>
        <w:rPr>
          <w:rtl/>
        </w:rPr>
        <w:t>וולקוביסק</w:t>
      </w:r>
      <w:proofErr w:type="spellEnd"/>
      <w:r>
        <w:rPr>
          <w:rtl/>
        </w:rPr>
        <w:t>, שהפצירה בו לקבלה – והוא מעדיף לעלות לארץ ישראל ולהשתקע בירושלים.’”</w:t>
      </w:r>
    </w:p>
    <w:p w14:paraId="6C49EA44" w14:textId="77777777" w:rsidR="00AB3647" w:rsidRDefault="00000000" w:rsidP="007923E9">
      <w:pPr>
        <w:spacing w:after="120" w:line="276" w:lineRule="auto"/>
        <w:ind w:firstLine="283"/>
        <w:jc w:val="both"/>
      </w:pPr>
      <w:r>
        <w:rPr>
          <w:rtl/>
        </w:rPr>
        <w:t xml:space="preserve">רבנות </w:t>
      </w:r>
      <w:proofErr w:type="spellStart"/>
      <w:r>
        <w:rPr>
          <w:rtl/>
        </w:rPr>
        <w:t>וולקוביסק</w:t>
      </w:r>
      <w:proofErr w:type="spellEnd"/>
      <w:r>
        <w:rPr>
          <w:rtl/>
        </w:rPr>
        <w:t xml:space="preserve"> התפנתה </w:t>
      </w:r>
      <w:proofErr w:type="spellStart"/>
      <w:r>
        <w:rPr>
          <w:rtl/>
        </w:rPr>
        <w:t>בתרנ״ו</w:t>
      </w:r>
      <w:proofErr w:type="spellEnd"/>
      <w:r>
        <w:rPr>
          <w:rtl/>
        </w:rPr>
        <w:t xml:space="preserve">, כשנפטר ר׳ יהונתן </w:t>
      </w:r>
      <w:proofErr w:type="spellStart"/>
      <w:r>
        <w:rPr>
          <w:rtl/>
        </w:rPr>
        <w:t>אליאסברג</w:t>
      </w:r>
      <w:proofErr w:type="spellEnd"/>
      <w:r>
        <w:rPr>
          <w:rtl/>
        </w:rPr>
        <w:t xml:space="preserve"> בגיל צעיר</w:t>
      </w:r>
      <w:bookmarkStart w:id="2820" w:name="_fnr1952"/>
      <w:bookmarkEnd w:id="2820"/>
      <w:r>
        <w:rPr>
          <w:rStyle w:val="a5"/>
        </w:rPr>
        <w:t/>
      </w:r>
      <w:bookmarkStart w:id="7019" w:name="_TranslatorNote_5384"/>
      <w:r>
        <w:rPr>
          <w:rStyle w:val="a5"/>
          <w:vertAlign w:val="superscript"/>
          <w:rtl/>
        </w:rPr>
        <w:footnoteReference w:id="1957" w:customMarkFollows="1"/>
        <w:t>*</w:t>
      </w:r>
      <w:bookmarkEnd w:id="7019"/>
      <w:r>
        <w:rPr>
          <w:rtl/>
        </w:rPr>
        <w:t xml:space="preserve">. המשרה נשארה פנויה עד תרס״ג, שבה נתמנה ר׳ </w:t>
      </w:r>
      <w:proofErr w:type="spellStart"/>
      <w:r>
        <w:rPr>
          <w:rtl/>
        </w:rPr>
        <w:t>אבא־יעקב</w:t>
      </w:r>
      <w:proofErr w:type="spellEnd"/>
      <w:r>
        <w:rPr>
          <w:rtl/>
        </w:rPr>
        <w:t xml:space="preserve"> בורוכוב, שכתב נגד המוסר.</w:t>
      </w:r>
      <w:bookmarkStart w:id="2821" w:name="_fnr1953"/>
      <w:r>
        <w:rPr>
          <w:rStyle w:val="a5"/>
        </w:rPr>
        <w:footnoteReference w:id="1958" w:customMarkFollows="0"/>
      </w:r>
      <w:bookmarkEnd w:id="2821"/>
    </w:p>
    <w:p w14:paraId="6AAD35D3" w14:textId="77777777" w:rsidR="00AB3647" w:rsidRDefault="00000000" w:rsidP="007923E9">
      <w:pPr>
        <w:spacing w:after="120" w:line="276" w:lineRule="auto"/>
        <w:ind w:firstLine="283"/>
        <w:jc w:val="both"/>
      </w:pPr>
      <w:r>
        <w:rPr>
          <w:rtl/>
        </w:rPr>
        <w:t xml:space="preserve">ייתכן שר׳ חיים ברלין דחה את </w:t>
      </w:r>
      <w:proofErr w:type="spellStart"/>
      <w:r>
        <w:rPr>
          <w:rtl/>
        </w:rPr>
        <w:t>וולקוביסק</w:t>
      </w:r>
      <w:proofErr w:type="spellEnd"/>
      <w:r>
        <w:rPr>
          <w:rtl/>
        </w:rPr>
        <w:t xml:space="preserve"> פשוט בגלל גילו המתקדם. כבר היה אז קרוב לשבעים, כמעט בגיל שבו החליט אביו על עלייתו לארץ ישראל, שלא יצאה לפועל.</w:t>
      </w:r>
    </w:p>
    <w:p w14:paraId="11F6DB10" w14:textId="77777777" w:rsidR="00AB3647" w:rsidRDefault="00000000" w:rsidP="007923E9">
      <w:pPr>
        <w:spacing w:after="120" w:line="276" w:lineRule="auto"/>
        <w:ind w:firstLine="283"/>
        <w:jc w:val="both"/>
      </w:pPr>
      <w:r>
        <w:rPr>
          <w:rtl/>
        </w:rPr>
        <w:lastRenderedPageBreak/>
        <w:t xml:space="preserve">אולם אני משער שמה שגרם לו לברוח מלכתחילה </w:t>
      </w:r>
      <w:proofErr w:type="spellStart"/>
      <w:r>
        <w:rPr>
          <w:rtl/>
        </w:rPr>
        <w:t>ל“ארץ</w:t>
      </w:r>
      <w:proofErr w:type="spellEnd"/>
      <w:r>
        <w:rPr>
          <w:rtl/>
        </w:rPr>
        <w:t xml:space="preserve"> הנגב”, ולא לשקול אחר כך את הצעת </w:t>
      </w:r>
      <w:proofErr w:type="spellStart"/>
      <w:r>
        <w:rPr>
          <w:rtl/>
        </w:rPr>
        <w:t>וולקוביסק</w:t>
      </w:r>
      <w:proofErr w:type="spellEnd"/>
      <w:r>
        <w:rPr>
          <w:rtl/>
        </w:rPr>
        <w:t xml:space="preserve">, הייתה התחרות שרדפה אותו בשבע שנות שהותו בליטא, מאז בא לסייע לאביו </w:t>
      </w:r>
      <w:proofErr w:type="spellStart"/>
      <w:r>
        <w:rPr>
          <w:rtl/>
        </w:rPr>
        <w:t>בוולוז׳ין</w:t>
      </w:r>
      <w:proofErr w:type="spellEnd"/>
      <w:r>
        <w:rPr>
          <w:rtl/>
        </w:rPr>
        <w:t xml:space="preserve"> – כלומר, </w:t>
      </w:r>
      <w:proofErr w:type="spellStart"/>
      <w:r>
        <w:rPr>
          <w:rtl/>
        </w:rPr>
        <w:t>מתרמ״ט</w:t>
      </w:r>
      <w:proofErr w:type="spellEnd"/>
      <w:r>
        <w:rPr>
          <w:rtl/>
        </w:rPr>
        <w:t xml:space="preserve"> ועד תרנ״ו. כאדם אציל ועדין נפש, וכאיש צדיק,</w:t>
      </w:r>
      <w:bookmarkStart w:id="2822" w:name="_fnr1954"/>
      <w:r>
        <w:rPr>
          <w:rStyle w:val="a5"/>
        </w:rPr>
        <w:footnoteReference w:id="1959" w:customMarkFollows="0"/>
      </w:r>
      <w:bookmarkEnd w:id="2822"/>
      <w:r>
        <w:rPr>
          <w:rtl/>
        </w:rPr>
        <w:t xml:space="preserve"> לא יכול ר׳ חיים ברלין לשאת שוב את ההשפלה ואת הרגשות הבלתי טהורים הנלווים לתחרות – חוויות רוחניות שהיו, למרבה הצער, מקובלות בדרך להשגת משרת רבנות בליטא. תחת זאת פרש לירושלים.</w:t>
      </w:r>
    </w:p>
    <w:bookmarkStart w:id="2823" w:name="b3_excL"/>
    <w:p w14:paraId="463EAE82" w14:textId="77777777" w:rsidR="00AB3647" w:rsidRDefault="00000000" w:rsidP="007923E9">
      <w:pPr>
        <w:pStyle w:val="3"/>
        <w:spacing w:line="276" w:lineRule="auto"/>
      </w:pPr>
      <w:r>
        <w:lastRenderedPageBreak/>
        <w:fldChar w:fldCharType="begin" w:dirty="true"/>
      </w:r>
      <w:r>
        <w:rPr>
          <w:rtl w:val="0"/>
        </w:rPr>
        <w:instrText>HYPERLINK \l "b3_note36</w:instrText>
      </w:r>
      <w:r>
        <w:instrText>"</w:instrText>
      </w:r>
      <w:r>
        <w:fldChar w:fldCharType="separate"/>
      </w:r>
      <w:r>
        <w:t xml:space="preserve">נספח </w:t>
      </w:r>
      <w:proofErr w:type="spellStart"/>
      <w:r>
        <w:t>יב</w:t>
      </w:r>
      <w:proofErr w:type="spellEnd"/>
      <w:r>
        <w:fldChar w:fldCharType="end"/>
      </w:r>
      <w:bookmarkEnd w:id="2823"/>
    </w:p>
    <w:p w14:paraId="6DB985D1" w14:textId="77777777" w:rsidR="00AB3647" w:rsidRDefault="00000000" w:rsidP="007923E9">
      <w:pPr>
        <w:pStyle w:val="af"/>
        <w:spacing w:line="276" w:lineRule="auto"/>
      </w:pPr>
      <w:r>
        <w:t xml:space="preserve">על הרקע לפולמוס המוסר ועל היחסים בין ר׳ יעקב הלוי ליפשיץ </w:t>
      </w:r>
      <w:proofErr w:type="spellStart"/>
      <w:r>
        <w:t>לר</w:t>
      </w:r>
      <w:proofErr w:type="spellEnd"/>
      <w:r>
        <w:t xml:space="preserve">׳ חיים </w:t>
      </w:r>
      <w:proofErr w:type="spellStart"/>
      <w:r>
        <w:t>סולובייצ׳יק</w:t>
      </w:r>
      <w:proofErr w:type="spellEnd"/>
    </w:p>
    <w:p w14:paraId="014FA5E8" w14:textId="77777777" w:rsidR="00AB3647" w:rsidRDefault="00000000" w:rsidP="007923E9">
      <w:pPr>
        <w:pStyle w:val="4"/>
        <w:spacing w:line="276" w:lineRule="auto"/>
      </w:pPr>
      <w:r>
        <w:t>· הפסקה הראשונה ·</w:t>
      </w:r>
    </w:p>
    <w:p w14:paraId="679C55DF" w14:textId="77777777" w:rsidR="00AB3647" w:rsidRDefault="00000000" w:rsidP="007923E9">
      <w:pPr>
        <w:pStyle w:val="5"/>
        <w:spacing w:line="276" w:lineRule="auto"/>
      </w:pPr>
      <w:r>
        <w:t>מחלוקת המוסר הידועה לשמצה פורצת</w:t>
      </w:r>
    </w:p>
    <w:p w14:paraId="73974CBD" w14:textId="77777777" w:rsidR="00AB3647" w:rsidRDefault="00000000" w:rsidP="007923E9">
      <w:pPr>
        <w:spacing w:after="120" w:line="276" w:lineRule="auto"/>
        <w:ind w:firstLine="283"/>
        <w:jc w:val="both"/>
      </w:pPr>
      <w:r>
        <w:rPr>
          <w:rtl/>
        </w:rPr>
        <w:t xml:space="preserve">עימות זה נודע בשם “מחלוקת המוסר”, והפרטים המובאים כאן סופרו מפי אבי בריאיון המוקלט על הסבא </w:t>
      </w:r>
      <w:proofErr w:type="spellStart"/>
      <w:r>
        <w:rPr>
          <w:rtl/>
        </w:rPr>
        <w:t>מסלבודקה</w:t>
      </w:r>
      <w:proofErr w:type="spellEnd"/>
      <w:r>
        <w:rPr>
          <w:rtl/>
        </w:rPr>
        <w:t>, או נלקחו מן החיבור המרכזי על תנועת המוסר, “תנועת המוסר” בחמשת הכרכים מאת ר׳ דב כץ, וממקורות שונים נוספים.</w:t>
      </w:r>
    </w:p>
    <w:p w14:paraId="0E67D637" w14:textId="77777777" w:rsidR="00AB3647" w:rsidRDefault="00000000" w:rsidP="007923E9">
      <w:pPr>
        <w:pStyle w:val="4"/>
        <w:spacing w:line="276" w:lineRule="auto"/>
      </w:pPr>
      <w:r>
        <w:t>· הפסקה השנייה ·</w:t>
      </w:r>
    </w:p>
    <w:p w14:paraId="4091B0A8" w14:textId="77777777" w:rsidR="00AB3647" w:rsidRDefault="00000000" w:rsidP="007923E9">
      <w:pPr>
        <w:pStyle w:val="5"/>
        <w:spacing w:line="276" w:lineRule="auto"/>
      </w:pPr>
      <w:r>
        <w:t xml:space="preserve">בחוגי המוסר מאשימים את ר׳ יעקב הלוי ליפשיץ במחלוקת – ר׳ </w:t>
      </w:r>
      <w:proofErr w:type="spellStart"/>
      <w:r>
        <w:t>צבי־הירש</w:t>
      </w:r>
      <w:proofErr w:type="spellEnd"/>
      <w:r>
        <w:t xml:space="preserve"> </w:t>
      </w:r>
      <w:proofErr w:type="spellStart"/>
      <w:r>
        <w:t>רבינוביץ</w:t>
      </w:r>
      <w:proofErr w:type="spellEnd"/>
      <w:r>
        <w:t xml:space="preserve">, בנו וממלא מקומו של ר׳ </w:t>
      </w:r>
      <w:proofErr w:type="spellStart"/>
      <w:r>
        <w:t>יצחק־אלחנן</w:t>
      </w:r>
      <w:proofErr w:type="spellEnd"/>
      <w:r>
        <w:t xml:space="preserve"> </w:t>
      </w:r>
      <w:proofErr w:type="spellStart"/>
      <w:r>
        <w:t>ספקטור</w:t>
      </w:r>
      <w:proofErr w:type="spellEnd"/>
      <w:r>
        <w:t xml:space="preserve">, הוא גדול בזכות עצמו – ר׳ יעקב הלוי ליפשיץ מציע את שירותיו לממלא מקומו של ר׳ </w:t>
      </w:r>
      <w:proofErr w:type="spellStart"/>
      <w:r>
        <w:t>צבי־הירש</w:t>
      </w:r>
      <w:proofErr w:type="spellEnd"/>
      <w:r>
        <w:t xml:space="preserve"> </w:t>
      </w:r>
      <w:proofErr w:type="spellStart"/>
      <w:r>
        <w:t>רבינוביץ</w:t>
      </w:r>
      <w:proofErr w:type="spellEnd"/>
      <w:r>
        <w:t xml:space="preserve"> ונדחה – ר׳ חיים </w:t>
      </w:r>
      <w:proofErr w:type="spellStart"/>
      <w:r>
        <w:t>סולובייצ׳יק</w:t>
      </w:r>
      <w:proofErr w:type="spellEnd"/>
      <w:r>
        <w:t xml:space="preserve"> סומך על ר׳ יעקב הלוי – ר׳ יעקב הלוי ליפשיץ מושמץ – המשכילים מטיחים בו בוץ – ר׳ </w:t>
      </w:r>
      <w:proofErr w:type="spellStart"/>
      <w:r>
        <w:t>יצחק־אלחנן</w:t>
      </w:r>
      <w:proofErr w:type="spellEnd"/>
      <w:r>
        <w:t xml:space="preserve"> יוצא להגנתו</w:t>
      </w:r>
    </w:p>
    <w:p w14:paraId="3032EB1C" w14:textId="5DB0C078" w:rsidR="00AB3647" w:rsidRDefault="00000000" w:rsidP="007923E9">
      <w:pPr>
        <w:spacing w:after="120" w:line="276" w:lineRule="auto"/>
        <w:ind w:firstLine="283"/>
        <w:jc w:val="both"/>
      </w:pPr>
      <w:r>
        <w:rPr>
          <w:rtl/>
        </w:rPr>
        <w:t xml:space="preserve">ר׳ יעקב הלוי ליפשיץ היה מזכירו של ר׳ </w:t>
      </w:r>
      <w:proofErr w:type="spellStart"/>
      <w:r>
        <w:rPr>
          <w:rtl/>
        </w:rPr>
        <w:t>יצחק־אלחנן</w:t>
      </w:r>
      <w:proofErr w:type="spellEnd"/>
      <w:r>
        <w:rPr>
          <w:rtl/>
        </w:rPr>
        <w:t xml:space="preserve"> ובעל השפעה רבה בקהילת קובנה. הוא היה לוחם נועז בהשכלה, ומחבר ההיסטוריה הרבנית רחבת היריעה של התקופה, “</w:t>
      </w:r>
      <w:proofErr w:type="spellStart"/>
      <w:r>
        <w:rPr>
          <w:rtl/>
        </w:rPr>
        <w:t>זכרון</w:t>
      </w:r>
      <w:proofErr w:type="spellEnd"/>
      <w:r>
        <w:rPr>
          <w:rtl/>
        </w:rPr>
        <w:t xml:space="preserve"> יעקב”</w:t>
      </w:r>
      <w:bookmarkStart w:id="2824" w:name="_fnr1955"/>
      <w:r>
        <w:rPr>
          <w:rStyle w:val="a5"/>
        </w:rPr>
        <w:footnoteReference w:id="1960" w:customMarkFollows="0"/>
      </w:r>
      <w:bookmarkEnd w:id="2824"/>
      <w:r>
        <w:rPr>
          <w:rtl/>
        </w:rPr>
        <w:t>. הוא נחשב למי שעמד מאחורי פעולת הרבנים נגד תנועת המוסר באותה שעה. השווה “פולמוס המוסר”</w:t>
      </w:r>
      <w:bookmarkStart w:id="2825" w:name="_fnr1956"/>
      <w:r>
        <w:rPr>
          <w:rStyle w:val="a5"/>
        </w:rPr>
        <w:footnoteReference w:id="1961" w:customMarkFollows="0"/>
      </w:r>
      <w:bookmarkEnd w:id="2825"/>
      <w:r>
        <w:rPr>
          <w:rtl/>
        </w:rPr>
        <w:t xml:space="preserve">, שבו נאמר כי הוא שחיבר את איגרת “למען דעת” הנזכרת בפסקה השלישית של </w:t>
      </w:r>
      <w:r>
        <w:rPr>
          <w:rtl/>
        </w:rPr>
        <w:fldChar w:fldCharType="begin" w:dirty="true"/>
      </w:r>
      <w:r>
        <w:rPr>
          <w:rtl/>
        </w:rPr>
        <w:instrText xml:space="preserve"> REF b3_excN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יד</w:t>
      </w:r>
      <w:r>
        <w:rPr>
          <w:rtl/>
        </w:rPr>
        <w:fldChar w:fldCharType="end"/>
      </w:r>
      <w:r>
        <w:rPr>
          <w:rtl/>
        </w:rPr>
        <w:t xml:space="preserve"> להלן. אחיו הגדול ר׳ יהודה הלוי ליפשיץ, רב </w:t>
      </w:r>
      <w:proofErr w:type="spellStart"/>
      <w:r>
        <w:rPr>
          <w:rtl/>
        </w:rPr>
        <w:t>מערעטש</w:t>
      </w:r>
      <w:proofErr w:type="spellEnd"/>
      <w:r>
        <w:rPr>
          <w:rtl/>
        </w:rPr>
        <w:t>, היה אחד מחותמיה.</w:t>
      </w:r>
    </w:p>
    <w:p w14:paraId="2C724EFD" w14:textId="77777777" w:rsidR="00AB3647" w:rsidRDefault="00000000" w:rsidP="007923E9">
      <w:pPr>
        <w:spacing w:after="120" w:line="276" w:lineRule="auto"/>
        <w:ind w:firstLine="283"/>
        <w:jc w:val="both"/>
      </w:pPr>
      <w:r>
        <w:rPr>
          <w:rtl/>
        </w:rPr>
        <w:t xml:space="preserve">כמתואר שם – וכמובא להלן בסוף הפסקה הראשונה של נספח </w:t>
      </w:r>
      <w:proofErr w:type="spellStart"/>
      <w:r>
        <w:rPr>
          <w:rtl/>
        </w:rPr>
        <w:t>טז</w:t>
      </w:r>
      <w:proofErr w:type="spellEnd"/>
      <w:r>
        <w:rPr>
          <w:rtl/>
        </w:rPr>
        <w:t xml:space="preserve"> – ר׳ יעקב היה מתנגד חריף לתנועת המוסר. אבל אבי העלה חשד שבניהול המערכה נגד ישיבת </w:t>
      </w:r>
      <w:proofErr w:type="spellStart"/>
      <w:r>
        <w:rPr>
          <w:rtl/>
        </w:rPr>
        <w:t>סלבודקה</w:t>
      </w:r>
      <w:proofErr w:type="spellEnd"/>
      <w:r>
        <w:rPr>
          <w:rtl/>
        </w:rPr>
        <w:t xml:space="preserve"> באותה שעה היה לו גם מניע נסתר נוסף: הוא ביקש להחליש את השפעת הישיבה בעיר, ובכך לחזק את מעמד הרב החדש – שבחוגים מסוימים כונה “היורש”, ברמיזה בלתי מוצדקת שלא היה ראוי למשרה בזכות עצמו.</w:t>
      </w:r>
    </w:p>
    <w:p w14:paraId="384D1421" w14:textId="77777777" w:rsidR="00AB3647" w:rsidRDefault="00000000" w:rsidP="007923E9">
      <w:pPr>
        <w:spacing w:after="120" w:line="276" w:lineRule="auto"/>
        <w:ind w:firstLine="283"/>
        <w:jc w:val="both"/>
      </w:pPr>
      <w:r>
        <w:rPr>
          <w:rtl/>
        </w:rPr>
        <w:t>השווה גם יעקב מארק</w:t>
      </w:r>
      <w:bookmarkStart w:id="2826" w:name="_fnr1957"/>
      <w:r>
        <w:rPr>
          <w:rStyle w:val="a5"/>
        </w:rPr>
        <w:footnoteReference w:id="1962" w:customMarkFollows="0"/>
      </w:r>
      <w:bookmarkEnd w:id="2826"/>
      <w:r>
        <w:rPr>
          <w:rtl/>
        </w:rPr>
        <w:t xml:space="preserve">, המספר: “‘העולם הגדול’, שלא הכיר היטב את ר׳ </w:t>
      </w:r>
      <w:proofErr w:type="spellStart"/>
      <w:r>
        <w:rPr>
          <w:rtl/>
        </w:rPr>
        <w:t>צבי־הירש</w:t>
      </w:r>
      <w:proofErr w:type="spellEnd"/>
      <w:r>
        <w:rPr>
          <w:rtl/>
        </w:rPr>
        <w:t xml:space="preserve"> </w:t>
      </w:r>
      <w:proofErr w:type="spellStart"/>
      <w:r>
        <w:rPr>
          <w:rtl/>
        </w:rPr>
        <w:t>רבינוביץ</w:t>
      </w:r>
      <w:proofErr w:type="spellEnd"/>
      <w:r>
        <w:rPr>
          <w:rtl/>
        </w:rPr>
        <w:t xml:space="preserve">, אכן סבר שזכה ברבנות קובנה בזכות אביו הגדול, שציווה בצוואתו שבנו ימלא את מקומו. למעשה, ר׳ </w:t>
      </w:r>
      <w:proofErr w:type="spellStart"/>
      <w:r>
        <w:rPr>
          <w:rtl/>
        </w:rPr>
        <w:t>צבי־הירש</w:t>
      </w:r>
      <w:proofErr w:type="spellEnd"/>
      <w:r>
        <w:rPr>
          <w:rtl/>
        </w:rPr>
        <w:t xml:space="preserve"> מצד עצמו [ומעלותיו], גם אלמלא היה בנו של ר׳ </w:t>
      </w:r>
      <w:proofErr w:type="spellStart"/>
      <w:r>
        <w:rPr>
          <w:rtl/>
        </w:rPr>
        <w:t>יצחק־אלחנן</w:t>
      </w:r>
      <w:proofErr w:type="spellEnd"/>
      <w:r>
        <w:rPr>
          <w:rtl/>
        </w:rPr>
        <w:t xml:space="preserve"> – בזכות חריפותו הגדולה בתורה, צדקותו הגדולה, </w:t>
      </w:r>
      <w:proofErr w:type="spellStart"/>
      <w:r>
        <w:rPr>
          <w:rtl/>
        </w:rPr>
        <w:t>חכמתו</w:t>
      </w:r>
      <w:proofErr w:type="spellEnd"/>
      <w:r>
        <w:rPr>
          <w:rtl/>
        </w:rPr>
        <w:t xml:space="preserve"> הרבה וכל המעלות והמידות </w:t>
      </w:r>
      <w:r>
        <w:rPr>
          <w:rtl/>
        </w:rPr>
        <w:lastRenderedPageBreak/>
        <w:t>הטובות של תלמיד חכם אמיתי שהיו בו – היה ראוי מלכתחילה לרבנות קובנה.” השווה גם “לפרקים”</w:t>
      </w:r>
      <w:bookmarkStart w:id="2827" w:name="_fnr1958"/>
      <w:r>
        <w:rPr>
          <w:rStyle w:val="a5"/>
        </w:rPr>
        <w:footnoteReference w:id="1963" w:customMarkFollows="0"/>
      </w:r>
      <w:bookmarkEnd w:id="2827"/>
      <w:r>
        <w:rPr>
          <w:rtl/>
        </w:rPr>
        <w:t xml:space="preserve"> </w:t>
      </w:r>
      <w:proofErr w:type="spellStart"/>
      <w:r>
        <w:rPr>
          <w:rtl/>
        </w:rPr>
        <w:t>ו“ר</w:t>
      </w:r>
      <w:proofErr w:type="spellEnd"/>
      <w:r>
        <w:rPr>
          <w:rtl/>
        </w:rPr>
        <w:t>׳ משה שמואל ודורו”</w:t>
      </w:r>
      <w:bookmarkStart w:id="2828" w:name="_fnr1959"/>
      <w:r>
        <w:rPr>
          <w:rStyle w:val="a5"/>
        </w:rPr>
        <w:footnoteReference w:id="1964" w:customMarkFollows="0"/>
      </w:r>
      <w:bookmarkEnd w:id="2828"/>
      <w:r>
        <w:rPr>
          <w:rtl/>
        </w:rPr>
        <w:t xml:space="preserve">, שבהם הוקדשו פרקים </w:t>
      </w:r>
      <w:proofErr w:type="spellStart"/>
      <w:r>
        <w:rPr>
          <w:rtl/>
        </w:rPr>
        <w:t>לר</w:t>
      </w:r>
      <w:proofErr w:type="spellEnd"/>
      <w:r>
        <w:rPr>
          <w:rtl/>
        </w:rPr>
        <w:t xml:space="preserve">׳ </w:t>
      </w:r>
      <w:proofErr w:type="spellStart"/>
      <w:r>
        <w:rPr>
          <w:rtl/>
        </w:rPr>
        <w:t>צבי־הירש</w:t>
      </w:r>
      <w:proofErr w:type="spellEnd"/>
      <w:r>
        <w:rPr>
          <w:rtl/>
        </w:rPr>
        <w:t>.</w:t>
      </w:r>
    </w:p>
    <w:p w14:paraId="000A1620" w14:textId="77777777" w:rsidR="00AB3647" w:rsidRDefault="00000000" w:rsidP="007923E9">
      <w:pPr>
        <w:spacing w:after="120" w:line="276" w:lineRule="auto"/>
        <w:ind w:firstLine="283"/>
        <w:jc w:val="both"/>
      </w:pPr>
      <w:r>
        <w:rPr>
          <w:rtl/>
        </w:rPr>
        <w:t xml:space="preserve">ראה גם את חילופי המכתבים בין ר׳ </w:t>
      </w:r>
      <w:proofErr w:type="spellStart"/>
      <w:r>
        <w:rPr>
          <w:rtl/>
        </w:rPr>
        <w:t>שלמה־זלמן</w:t>
      </w:r>
      <w:proofErr w:type="spellEnd"/>
      <w:r>
        <w:rPr>
          <w:rtl/>
        </w:rPr>
        <w:t xml:space="preserve"> </w:t>
      </w:r>
      <w:proofErr w:type="spellStart"/>
      <w:r>
        <w:rPr>
          <w:rtl/>
        </w:rPr>
        <w:t>ברויאר</w:t>
      </w:r>
      <w:proofErr w:type="spellEnd"/>
      <w:r>
        <w:rPr>
          <w:rtl/>
        </w:rPr>
        <w:t xml:space="preserve"> (חתנו וממלא מקומו של ר׳ שמשון רפאל הירש) </w:t>
      </w:r>
      <w:proofErr w:type="spellStart"/>
      <w:r>
        <w:rPr>
          <w:rtl/>
        </w:rPr>
        <w:t>לר</w:t>
      </w:r>
      <w:proofErr w:type="spellEnd"/>
      <w:r>
        <w:rPr>
          <w:rtl/>
        </w:rPr>
        <w:t xml:space="preserve">׳ חיים </w:t>
      </w:r>
      <w:proofErr w:type="spellStart"/>
      <w:r>
        <w:rPr>
          <w:rtl/>
        </w:rPr>
        <w:t>סולובייצ׳יק</w:t>
      </w:r>
      <w:proofErr w:type="spellEnd"/>
      <w:r>
        <w:rPr>
          <w:rtl/>
        </w:rPr>
        <w:t xml:space="preserve">, </w:t>
      </w:r>
      <w:proofErr w:type="spellStart"/>
      <w:r>
        <w:rPr>
          <w:rtl/>
        </w:rPr>
        <w:t>מ“עש״ק</w:t>
      </w:r>
      <w:proofErr w:type="spellEnd"/>
      <w:r>
        <w:rPr>
          <w:rtl/>
        </w:rPr>
        <w:t xml:space="preserve"> תרומה תרס״ט</w:t>
      </w:r>
      <w:bookmarkStart w:id="2829" w:name="_fnr1960"/>
      <w:bookmarkEnd w:id="2829"/>
      <w:r>
        <w:rPr>
          <w:rStyle w:val="a5"/>
        </w:rPr>
        <w:t/>
      </w:r>
      <w:bookmarkStart w:id="7020" w:name="_TranslatorNote_5385"/>
      <w:r>
        <w:rPr>
          <w:rStyle w:val="a5"/>
          <w:vertAlign w:val="superscript"/>
          <w:rtl/>
        </w:rPr>
        <w:footnoteReference w:id="1965" w:customMarkFollows="1"/>
        <w:t>*</w:t>
      </w:r>
      <w:bookmarkEnd w:id="7020"/>
      <w:r>
        <w:rPr>
          <w:rtl/>
        </w:rPr>
        <w:t xml:space="preserve">” ומ״ט׳ אדר </w:t>
      </w:r>
      <w:proofErr w:type="spellStart"/>
      <w:r>
        <w:rPr>
          <w:rtl/>
        </w:rPr>
        <w:t>התרס״ט</w:t>
      </w:r>
      <w:proofErr w:type="spellEnd"/>
      <w:r>
        <w:rPr>
          <w:rtl/>
        </w:rPr>
        <w:t xml:space="preserve">”, בהתאמה, שנדפסו מחדש </w:t>
      </w:r>
      <w:proofErr w:type="spellStart"/>
      <w:r>
        <w:rPr>
          <w:rtl/>
        </w:rPr>
        <w:t>ב“קובץ</w:t>
      </w:r>
      <w:proofErr w:type="spellEnd"/>
      <w:r>
        <w:rPr>
          <w:rtl/>
        </w:rPr>
        <w:t xml:space="preserve"> מכתבים וכו׳ מאת רבותינו גדולי ישראל”</w:t>
      </w:r>
      <w:bookmarkStart w:id="2830" w:name="_fnr1961"/>
      <w:r>
        <w:rPr>
          <w:rStyle w:val="a5"/>
        </w:rPr>
        <w:footnoteReference w:id="1966" w:customMarkFollows="0"/>
      </w:r>
      <w:bookmarkEnd w:id="2830"/>
      <w:r>
        <w:rPr>
          <w:rtl/>
        </w:rPr>
        <w:t xml:space="preserve">. המכתבים עוסקים באספה המתוכננת של גדולים לדיון בארגון היהדות הדתית לפעולה משותפת – אספה שאכן התקיימה </w:t>
      </w:r>
      <w:proofErr w:type="spellStart"/>
      <w:r>
        <w:rPr>
          <w:rtl/>
        </w:rPr>
        <w:t>בבאד</w:t>
      </w:r>
      <w:proofErr w:type="spellEnd"/>
      <w:r>
        <w:rPr>
          <w:rtl/>
        </w:rPr>
        <w:t xml:space="preserve"> </w:t>
      </w:r>
      <w:proofErr w:type="spellStart"/>
      <w:r>
        <w:rPr>
          <w:rtl/>
        </w:rPr>
        <w:t>הומבורג</w:t>
      </w:r>
      <w:proofErr w:type="spellEnd"/>
      <w:r>
        <w:rPr>
          <w:rtl/>
        </w:rPr>
        <w:t xml:space="preserve"> בקיץ שלאחר מכן.</w:t>
      </w:r>
    </w:p>
    <w:p w14:paraId="1DFF7ED4" w14:textId="77777777" w:rsidR="00AB3647" w:rsidRDefault="00000000" w:rsidP="007923E9">
      <w:pPr>
        <w:spacing w:after="120" w:line="276" w:lineRule="auto"/>
        <w:ind w:firstLine="283"/>
        <w:jc w:val="both"/>
      </w:pPr>
      <w:r>
        <w:rPr>
          <w:rtl/>
        </w:rPr>
        <w:t xml:space="preserve">הרב </w:t>
      </w:r>
      <w:proofErr w:type="spellStart"/>
      <w:r>
        <w:rPr>
          <w:rtl/>
        </w:rPr>
        <w:t>ברויאר</w:t>
      </w:r>
      <w:proofErr w:type="spellEnd"/>
      <w:r>
        <w:rPr>
          <w:rtl/>
        </w:rPr>
        <w:t xml:space="preserve"> שאל בעצת ר׳ חיים אילו מרבני רוסיה, מלבדו, להזמין, והציע: “הרבנים של </w:t>
      </w:r>
      <w:proofErr w:type="spellStart"/>
      <w:r>
        <w:rPr>
          <w:rtl/>
        </w:rPr>
        <w:t>פינסק</w:t>
      </w:r>
      <w:proofErr w:type="spellEnd"/>
      <w:r>
        <w:rPr>
          <w:rtl/>
        </w:rPr>
        <w:t>[־</w:t>
      </w:r>
      <w:proofErr w:type="spellStart"/>
      <w:r>
        <w:rPr>
          <w:rtl/>
        </w:rPr>
        <w:t>קרלין</w:t>
      </w:r>
      <w:proofErr w:type="spellEnd"/>
      <w:r>
        <w:rPr>
          <w:rtl/>
        </w:rPr>
        <w:t xml:space="preserve">, ר׳ </w:t>
      </w:r>
      <w:proofErr w:type="spellStart"/>
      <w:r>
        <w:rPr>
          <w:rtl/>
        </w:rPr>
        <w:t>דוד׳ל</w:t>
      </w:r>
      <w:proofErr w:type="spellEnd"/>
      <w:r>
        <w:rPr>
          <w:rtl/>
        </w:rPr>
        <w:t xml:space="preserve"> פרידמן] ושל </w:t>
      </w:r>
      <w:proofErr w:type="spellStart"/>
      <w:r>
        <w:rPr>
          <w:rtl/>
        </w:rPr>
        <w:t>טלז</w:t>
      </w:r>
      <w:proofErr w:type="spellEnd"/>
      <w:r>
        <w:rPr>
          <w:rtl/>
        </w:rPr>
        <w:t xml:space="preserve"> [ר׳ לייזר גורדון], ור׳ </w:t>
      </w:r>
      <w:proofErr w:type="spellStart"/>
      <w:r>
        <w:rPr>
          <w:rtl/>
        </w:rPr>
        <w:t>חיים־עוזר</w:t>
      </w:r>
      <w:proofErr w:type="spellEnd"/>
      <w:r>
        <w:rPr>
          <w:rtl/>
        </w:rPr>
        <w:t xml:space="preserve"> מווילנה.” ר׳ חיים השיב ומנה: “הגאון מאור הגולה, רב </w:t>
      </w:r>
      <w:proofErr w:type="spellStart"/>
      <w:r>
        <w:rPr>
          <w:rtl/>
        </w:rPr>
        <w:t>קרלין</w:t>
      </w:r>
      <w:proofErr w:type="spellEnd"/>
      <w:r>
        <w:rPr>
          <w:rtl/>
        </w:rPr>
        <w:t xml:space="preserve">, והגאון מאור הגולה, רב לודז׳ [ר׳ </w:t>
      </w:r>
      <w:proofErr w:type="spellStart"/>
      <w:r>
        <w:rPr>
          <w:rtl/>
        </w:rPr>
        <w:t>אליהו־חיים</w:t>
      </w:r>
      <w:proofErr w:type="spellEnd"/>
      <w:r>
        <w:rPr>
          <w:rtl/>
        </w:rPr>
        <w:t xml:space="preserve"> </w:t>
      </w:r>
      <w:proofErr w:type="spellStart"/>
      <w:r>
        <w:rPr>
          <w:rtl/>
        </w:rPr>
        <w:t>מייזל</w:t>
      </w:r>
      <w:proofErr w:type="spellEnd"/>
      <w:r>
        <w:rPr>
          <w:rtl/>
        </w:rPr>
        <w:t xml:space="preserve">], שדעתו מכרעת לכל מדינתנו; גם הגאון הגדול, רב </w:t>
      </w:r>
      <w:proofErr w:type="spellStart"/>
      <w:r>
        <w:rPr>
          <w:rtl/>
        </w:rPr>
        <w:t>טלז</w:t>
      </w:r>
      <w:proofErr w:type="spellEnd"/>
      <w:r>
        <w:rPr>
          <w:rtl/>
        </w:rPr>
        <w:t xml:space="preserve">, והגאון הגדול ר׳ </w:t>
      </w:r>
      <w:proofErr w:type="spellStart"/>
      <w:r>
        <w:rPr>
          <w:rtl/>
        </w:rPr>
        <w:t>חיים־עוזר</w:t>
      </w:r>
      <w:proofErr w:type="spellEnd"/>
      <w:r>
        <w:rPr>
          <w:rtl/>
        </w:rPr>
        <w:t xml:space="preserve">, שדעת שניהם [בדרך כלל] מתקבלת ומוסכמת, והם מעורבים בענייני הציבור ורצויים לציבור.” לאחר מכן הוסיף: “אבל מתפלא אני ש[אתם] לא הזכרתם את הגאון פאר הדור, רב קובנה [ר׳ </w:t>
      </w:r>
      <w:proofErr w:type="spellStart"/>
      <w:r>
        <w:rPr>
          <w:rtl/>
        </w:rPr>
        <w:t>צבי־הירש</w:t>
      </w:r>
      <w:proofErr w:type="spellEnd"/>
      <w:r>
        <w:rPr>
          <w:rtl/>
        </w:rPr>
        <w:t xml:space="preserve"> </w:t>
      </w:r>
      <w:proofErr w:type="spellStart"/>
      <w:r>
        <w:rPr>
          <w:rtl/>
        </w:rPr>
        <w:t>רבינוביץ</w:t>
      </w:r>
      <w:proofErr w:type="spellEnd"/>
      <w:r>
        <w:rPr>
          <w:rtl/>
        </w:rPr>
        <w:t>], שגדולתו נעלה בכל הפרטים, ודעתו מפורסמת בכל מדינתנו; נועצים בו בכל העניינים.”</w:t>
      </w:r>
      <w:bookmarkStart w:id="2831" w:name="_fnr1962"/>
      <w:r>
        <w:rPr>
          <w:rStyle w:val="a5"/>
        </w:rPr>
        <w:footnoteReference w:id="1967" w:customMarkFollows="0"/>
      </w:r>
      <w:bookmarkEnd w:id="2831"/>
    </w:p>
    <w:p w14:paraId="6DB13D24" w14:textId="77777777" w:rsidR="00AB3647" w:rsidRDefault="00000000" w:rsidP="007923E9">
      <w:pPr>
        <w:spacing w:after="120" w:line="276" w:lineRule="auto"/>
        <w:ind w:firstLine="283"/>
        <w:jc w:val="both"/>
      </w:pPr>
      <w:r>
        <w:rPr>
          <w:rtl/>
        </w:rPr>
        <w:t xml:space="preserve">יש סיוע להשערה שגם בימי ר׳ </w:t>
      </w:r>
      <w:proofErr w:type="spellStart"/>
      <w:r>
        <w:rPr>
          <w:rtl/>
        </w:rPr>
        <w:t>צבי־הירש</w:t>
      </w:r>
      <w:proofErr w:type="spellEnd"/>
      <w:r>
        <w:rPr>
          <w:rtl/>
        </w:rPr>
        <w:t xml:space="preserve"> היה ר׳ יעקב הלוי ליפשיץ בעל הכוח שמאחורי הרב, כמו בימי אביו ר׳ </w:t>
      </w:r>
      <w:proofErr w:type="spellStart"/>
      <w:r>
        <w:rPr>
          <w:rtl/>
        </w:rPr>
        <w:t>יצחק־אלחנן</w:t>
      </w:r>
      <w:proofErr w:type="spellEnd"/>
      <w:r>
        <w:rPr>
          <w:rtl/>
        </w:rPr>
        <w:t xml:space="preserve"> (כאשר שימש מזכירו הרשמי). הסיוע בא מידיעה נוספת שמסר אבי לחתנו ר׳ ישראל </w:t>
      </w:r>
      <w:proofErr w:type="spellStart"/>
      <w:r>
        <w:rPr>
          <w:rtl/>
        </w:rPr>
        <w:t>שורין</w:t>
      </w:r>
      <w:proofErr w:type="spellEnd"/>
      <w:r>
        <w:rPr>
          <w:rtl/>
        </w:rPr>
        <w:t xml:space="preserve">: כאשר נתמנה ר׳ </w:t>
      </w:r>
      <w:proofErr w:type="spellStart"/>
      <w:r>
        <w:rPr>
          <w:rtl/>
        </w:rPr>
        <w:t>אברהם־דובער</w:t>
      </w:r>
      <w:proofErr w:type="spellEnd"/>
      <w:r>
        <w:rPr>
          <w:rtl/>
        </w:rPr>
        <w:t xml:space="preserve"> </w:t>
      </w:r>
      <w:proofErr w:type="spellStart"/>
      <w:r>
        <w:rPr>
          <w:rtl/>
        </w:rPr>
        <w:t>כהנא־שפירא</w:t>
      </w:r>
      <w:proofErr w:type="spellEnd"/>
      <w:r>
        <w:rPr>
          <w:rtl/>
        </w:rPr>
        <w:t xml:space="preserve"> לרב קובנה, ביקר אצלו ר׳ יעקב הלוי ליפשיץ והציע את שירותיו (בניהול רבנות קובנה), “כפי שנהג [לעשות] אצל שני קודמיו”. אולם הרב החדש “דחה את עזרתו ושילח אותו”</w:t>
      </w:r>
      <w:bookmarkStart w:id="2832" w:name="_fnr1963"/>
      <w:r>
        <w:rPr>
          <w:rStyle w:val="a5"/>
        </w:rPr>
        <w:footnoteReference w:id="1968" w:customMarkFollows="0"/>
      </w:r>
      <w:bookmarkEnd w:id="2832"/>
      <w:r>
        <w:rPr>
          <w:rtl/>
        </w:rPr>
        <w:t>.</w:t>
      </w:r>
    </w:p>
    <w:p w14:paraId="43838969" w14:textId="77777777" w:rsidR="00AB3647" w:rsidRDefault="00000000" w:rsidP="007923E9">
      <w:pPr>
        <w:spacing w:after="120" w:line="276" w:lineRule="auto"/>
        <w:ind w:firstLine="283"/>
        <w:jc w:val="both"/>
      </w:pPr>
      <w:r>
        <w:rPr>
          <w:rtl/>
        </w:rPr>
        <w:t>לדברי נכדו</w:t>
      </w:r>
      <w:bookmarkStart w:id="2833" w:name="_fnr1964"/>
      <w:r>
        <w:rPr>
          <w:rStyle w:val="a5"/>
        </w:rPr>
        <w:footnoteReference w:id="1969" w:customMarkFollows="0"/>
      </w:r>
      <w:bookmarkEnd w:id="2833"/>
      <w:r>
        <w:rPr>
          <w:rtl/>
        </w:rPr>
        <w:t xml:space="preserve">, זכה ר׳ יעקב הלוי ליפשיץ לאמונו של ר׳ חיים </w:t>
      </w:r>
      <w:proofErr w:type="spellStart"/>
      <w:r>
        <w:rPr>
          <w:rtl/>
        </w:rPr>
        <w:t>סולובייצ׳יק</w:t>
      </w:r>
      <w:proofErr w:type="spellEnd"/>
      <w:r>
        <w:rPr>
          <w:rtl/>
        </w:rPr>
        <w:t xml:space="preserve"> עד כדי כך שר׳ חיים אמר עליו</w:t>
      </w:r>
      <w:bookmarkStart w:id="2834" w:name="_fnr1965"/>
      <w:r>
        <w:rPr>
          <w:rStyle w:val="a5"/>
        </w:rPr>
        <w:footnoteReference w:id="1970" w:customMarkFollows="0"/>
      </w:r>
      <w:bookmarkEnd w:id="2834"/>
      <w:r>
        <w:rPr>
          <w:rtl/>
        </w:rPr>
        <w:t>: “הוא היהודי היחיד ברוסיה שמבין מה אני רוצה” – אמירה השופכת אור גם על יחסו של ר׳ חיים עצמו למוסר</w:t>
      </w:r>
      <w:bookmarkStart w:id="2835" w:name="_fnr1966"/>
      <w:r>
        <w:rPr>
          <w:rStyle w:val="a5"/>
        </w:rPr>
        <w:footnoteReference w:id="1971" w:customMarkFollows="0"/>
      </w:r>
      <w:bookmarkEnd w:id="2835"/>
      <w:r>
        <w:rPr>
          <w:rtl/>
        </w:rPr>
        <w:t xml:space="preserve">. השווה גם מכתב </w:t>
      </w:r>
      <w:proofErr w:type="spellStart"/>
      <w:r>
        <w:rPr>
          <w:rtl/>
        </w:rPr>
        <w:t>ב“אגרות</w:t>
      </w:r>
      <w:proofErr w:type="spellEnd"/>
      <w:r>
        <w:rPr>
          <w:rtl/>
        </w:rPr>
        <w:t xml:space="preserve"> רבי יצחק אייזיק הלוי”</w:t>
      </w:r>
      <w:bookmarkStart w:id="2836" w:name="_fnr1967"/>
      <w:r>
        <w:rPr>
          <w:rStyle w:val="a5"/>
        </w:rPr>
        <w:footnoteReference w:id="1972" w:customMarkFollows="0"/>
      </w:r>
      <w:bookmarkEnd w:id="2836"/>
      <w:r>
        <w:rPr>
          <w:rtl/>
        </w:rPr>
        <w:t xml:space="preserve">, שבו כתב ר׳ </w:t>
      </w:r>
      <w:proofErr w:type="spellStart"/>
      <w:r>
        <w:rPr>
          <w:rtl/>
        </w:rPr>
        <w:t>יצחק־אייזיק</w:t>
      </w:r>
      <w:proofErr w:type="spellEnd"/>
      <w:r>
        <w:rPr>
          <w:rtl/>
        </w:rPr>
        <w:t xml:space="preserve"> </w:t>
      </w:r>
      <w:proofErr w:type="spellStart"/>
      <w:r>
        <w:rPr>
          <w:rtl/>
        </w:rPr>
        <w:t>הלוי־רבינוביץ</w:t>
      </w:r>
      <w:proofErr w:type="spellEnd"/>
      <w:r>
        <w:rPr>
          <w:rtl/>
        </w:rPr>
        <w:t xml:space="preserve"> </w:t>
      </w:r>
      <w:proofErr w:type="spellStart"/>
      <w:r>
        <w:rPr>
          <w:rtl/>
        </w:rPr>
        <w:t>לר</w:t>
      </w:r>
      <w:proofErr w:type="spellEnd"/>
      <w:r>
        <w:rPr>
          <w:rtl/>
        </w:rPr>
        <w:t xml:space="preserve">׳ יעקב </w:t>
      </w:r>
      <w:proofErr w:type="spellStart"/>
      <w:r>
        <w:rPr>
          <w:rtl/>
        </w:rPr>
        <w:t>רוזנהיים</w:t>
      </w:r>
      <w:proofErr w:type="spellEnd"/>
      <w:r>
        <w:rPr>
          <w:rtl/>
        </w:rPr>
        <w:t>, ב״ד׳ באדר תרס״ט”</w:t>
      </w:r>
      <w:bookmarkStart w:id="2837" w:name="_fnr1968"/>
      <w:r>
        <w:rPr>
          <w:rStyle w:val="a5"/>
        </w:rPr>
        <w:footnoteReference w:id="1973" w:customMarkFollows="0"/>
      </w:r>
      <w:bookmarkEnd w:id="2837"/>
      <w:r>
        <w:rPr>
          <w:rtl/>
        </w:rPr>
        <w:t xml:space="preserve">, על </w:t>
      </w:r>
      <w:r>
        <w:rPr>
          <w:rtl/>
        </w:rPr>
        <w:lastRenderedPageBreak/>
        <w:t xml:space="preserve">מאמציהם הנמרצים לשתף את ר׳ חיים </w:t>
      </w:r>
      <w:proofErr w:type="spellStart"/>
      <w:r>
        <w:rPr>
          <w:rtl/>
        </w:rPr>
        <w:t>סולובייצ׳יק</w:t>
      </w:r>
      <w:proofErr w:type="spellEnd"/>
      <w:r>
        <w:rPr>
          <w:rtl/>
        </w:rPr>
        <w:t xml:space="preserve"> </w:t>
      </w:r>
      <w:proofErr w:type="spellStart"/>
      <w:r>
        <w:rPr>
          <w:rtl/>
        </w:rPr>
        <w:t>באסיפת</w:t>
      </w:r>
      <w:proofErr w:type="spellEnd"/>
      <w:r>
        <w:rPr>
          <w:rtl/>
        </w:rPr>
        <w:t xml:space="preserve"> הרבנים המתוכננת שהוזכרה לעיל</w:t>
      </w:r>
      <w:bookmarkStart w:id="2838" w:name="_fnr1969"/>
      <w:r>
        <w:rPr>
          <w:rStyle w:val="a5"/>
        </w:rPr>
        <w:footnoteReference w:id="1974" w:customMarkFollows="0"/>
      </w:r>
      <w:bookmarkEnd w:id="2838"/>
      <w:r>
        <w:rPr>
          <w:rtl/>
        </w:rPr>
        <w:t xml:space="preserve">: “לרב </w:t>
      </w:r>
      <w:proofErr w:type="spellStart"/>
      <w:r>
        <w:rPr>
          <w:rtl/>
        </w:rPr>
        <w:t>מבריסק</w:t>
      </w:r>
      <w:proofErr w:type="spellEnd"/>
      <w:r>
        <w:rPr>
          <w:rtl/>
        </w:rPr>
        <w:t xml:space="preserve"> יש יראת הוראה טבעית, שגם [מביאה אותו] להימנע ולצמצם עצמו מהכרעה הלכה למעשה, ומקשה עליו לעשות צעד גדול בענייני הציבור, מחשש שמא יקלקל את הדברים, ואולי [הוא מצמצם עצמו משום ש]דעתו אינה מכרעת </w:t>
      </w:r>
      <w:proofErr w:type="spellStart"/>
      <w:r>
        <w:rPr>
          <w:rtl/>
        </w:rPr>
        <w:t>וכו</w:t>
      </w:r>
      <w:proofErr w:type="spellEnd"/>
      <w:r>
        <w:rPr>
          <w:rtl/>
        </w:rPr>
        <w:t xml:space="preserve">׳. [לכן, כדי להביא את ר׳ חיים להשתתף </w:t>
      </w:r>
      <w:proofErr w:type="spellStart"/>
      <w:r>
        <w:rPr>
          <w:rtl/>
        </w:rPr>
        <w:t>באסיפה</w:t>
      </w:r>
      <w:proofErr w:type="spellEnd"/>
      <w:r>
        <w:rPr>
          <w:rtl/>
        </w:rPr>
        <w:t xml:space="preserve">,] רצוני הוא שר׳ יעקב הלוי ליפשיץ ישמע את הכול [ממני], ויודרך כיצד לבאר </w:t>
      </w:r>
      <w:proofErr w:type="spellStart"/>
      <w:r>
        <w:rPr>
          <w:rtl/>
        </w:rPr>
        <w:t>לר</w:t>
      </w:r>
      <w:proofErr w:type="spellEnd"/>
      <w:r>
        <w:rPr>
          <w:rtl/>
        </w:rPr>
        <w:t xml:space="preserve">׳ חיים שרק טובה תצא מן </w:t>
      </w:r>
      <w:proofErr w:type="spellStart"/>
      <w:r>
        <w:rPr>
          <w:rtl/>
        </w:rPr>
        <w:t>האסיפה</w:t>
      </w:r>
      <w:proofErr w:type="spellEnd"/>
      <w:r>
        <w:rPr>
          <w:rtl/>
        </w:rPr>
        <w:t xml:space="preserve"> המתוכננת, ואין שום חשש.”</w:t>
      </w:r>
    </w:p>
    <w:p w14:paraId="283B5A63" w14:textId="60D4B2A7" w:rsidR="00AB3647" w:rsidRDefault="00000000" w:rsidP="007923E9">
      <w:pPr>
        <w:spacing w:after="120" w:line="276" w:lineRule="auto"/>
        <w:ind w:firstLine="283"/>
        <w:jc w:val="both"/>
      </w:pPr>
      <w:r>
        <w:rPr>
          <w:rtl/>
        </w:rPr>
        <w:t xml:space="preserve">שיתוף הפעולה בין ר׳ </w:t>
      </w:r>
      <w:proofErr w:type="spellStart"/>
      <w:r>
        <w:rPr>
          <w:rtl/>
        </w:rPr>
        <w:t>יצחק־אייזיק</w:t>
      </w:r>
      <w:proofErr w:type="spellEnd"/>
      <w:r>
        <w:rPr>
          <w:rtl/>
        </w:rPr>
        <w:t xml:space="preserve"> </w:t>
      </w:r>
      <w:proofErr w:type="spellStart"/>
      <w:r>
        <w:rPr>
          <w:rtl/>
        </w:rPr>
        <w:t>הלוי־רבינוביץ</w:t>
      </w:r>
      <w:proofErr w:type="spellEnd"/>
      <w:r>
        <w:rPr>
          <w:rtl/>
        </w:rPr>
        <w:t xml:space="preserve"> </w:t>
      </w:r>
      <w:proofErr w:type="spellStart"/>
      <w:r>
        <w:rPr>
          <w:rtl/>
        </w:rPr>
        <w:t>לר</w:t>
      </w:r>
      <w:proofErr w:type="spellEnd"/>
      <w:r>
        <w:rPr>
          <w:rtl/>
        </w:rPr>
        <w:t xml:space="preserve">׳ יעקב הלוי ליפשיץ במקרה זה מזכיר את שיתוף הפעולה שהוצע להם עשרים ושש שנה קודם לכן. ההצעה נועדה לסכל את ניסיונו של הברון דוד </w:t>
      </w:r>
      <w:proofErr w:type="spellStart"/>
      <w:r>
        <w:rPr>
          <w:rtl/>
        </w:rPr>
        <w:t>גינצבורג</w:t>
      </w:r>
      <w:proofErr w:type="spellEnd"/>
      <w:r>
        <w:rPr>
          <w:rtl/>
        </w:rPr>
        <w:t xml:space="preserve"> להחיות בשנת תרמ״ב את בית המדרש לרבנים, שממשלת רוסיה סגרה כעשר שנים קודם לכן (ראה פרק 5, הפסקה השנייה של </w:t>
      </w:r>
      <w:r>
        <w:rPr>
          <w:rtl/>
        </w:rPr>
        <w:fldChar w:fldCharType="begin" w:dirty="true"/>
      </w:r>
      <w:r>
        <w:rPr>
          <w:rtl/>
        </w:rPr>
        <w:instrText xml:space="preserve"> REF b5_excB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 xml:space="preserve">). במכתב שנדפס מחדש </w:t>
      </w:r>
      <w:proofErr w:type="spellStart"/>
      <w:r>
        <w:rPr>
          <w:rtl/>
        </w:rPr>
        <w:t>ב“זכרון</w:t>
      </w:r>
      <w:proofErr w:type="spellEnd"/>
      <w:r>
        <w:rPr>
          <w:rtl/>
        </w:rPr>
        <w:t xml:space="preserve"> יעקב”</w:t>
      </w:r>
      <w:bookmarkStart w:id="2839" w:name="_fnr1970"/>
      <w:r>
        <w:rPr>
          <w:rStyle w:val="a5"/>
        </w:rPr>
        <w:footnoteReference w:id="1975" w:customMarkFollows="0"/>
      </w:r>
      <w:bookmarkEnd w:id="2839"/>
      <w:r>
        <w:rPr>
          <w:rtl/>
        </w:rPr>
        <w:t xml:space="preserve"> כותב ר׳ ישראל </w:t>
      </w:r>
      <w:proofErr w:type="spellStart"/>
      <w:r>
        <w:rPr>
          <w:rtl/>
        </w:rPr>
        <w:t>סלנטר</w:t>
      </w:r>
      <w:proofErr w:type="spellEnd"/>
      <w:r>
        <w:rPr>
          <w:rtl/>
        </w:rPr>
        <w:t xml:space="preserve"> </w:t>
      </w:r>
      <w:proofErr w:type="spellStart"/>
      <w:r>
        <w:rPr>
          <w:rtl/>
        </w:rPr>
        <w:t>לר</w:t>
      </w:r>
      <w:proofErr w:type="spellEnd"/>
      <w:r>
        <w:rPr>
          <w:rtl/>
        </w:rPr>
        <w:t xml:space="preserve">׳ יעקב הלוי ליפשיץ בג׳ </w:t>
      </w:r>
      <w:proofErr w:type="spellStart"/>
      <w:r>
        <w:rPr>
          <w:rtl/>
        </w:rPr>
        <w:t>וארא</w:t>
      </w:r>
      <w:proofErr w:type="spellEnd"/>
      <w:r>
        <w:rPr>
          <w:rtl/>
        </w:rPr>
        <w:t xml:space="preserve"> תרמ״ג – כחודש לפני פטירת ר׳ ישראל – ומבקש “מכבודו למחול ולנסוע לווילנה לפגוש את ר׳ </w:t>
      </w:r>
      <w:proofErr w:type="spellStart"/>
      <w:r>
        <w:rPr>
          <w:rtl/>
        </w:rPr>
        <w:t>יצחק־אייזיק</w:t>
      </w:r>
      <w:proofErr w:type="spellEnd"/>
      <w:r>
        <w:rPr>
          <w:rtl/>
        </w:rPr>
        <w:t xml:space="preserve"> הלוי </w:t>
      </w:r>
      <w:proofErr w:type="spellStart"/>
      <w:r>
        <w:rPr>
          <w:rtl/>
        </w:rPr>
        <w:t>רבינוביץ</w:t>
      </w:r>
      <w:proofErr w:type="spellEnd"/>
      <w:r>
        <w:rPr>
          <w:rtl/>
        </w:rPr>
        <w:t xml:space="preserve">”. יחד עליהם “לדבר בנחת” עם חתנו של ר׳ ישראל, ר׳ </w:t>
      </w:r>
      <w:proofErr w:type="spellStart"/>
      <w:r>
        <w:rPr>
          <w:rtl/>
        </w:rPr>
        <w:t>אליהו־לייזר</w:t>
      </w:r>
      <w:proofErr w:type="spellEnd"/>
      <w:r>
        <w:rPr>
          <w:rtl/>
        </w:rPr>
        <w:t xml:space="preserve"> </w:t>
      </w:r>
      <w:proofErr w:type="spellStart"/>
      <w:r>
        <w:rPr>
          <w:rtl/>
        </w:rPr>
        <w:t xml:space="preserve">גרודננסקי</w:t>
      </w:r>
      <w:proofErr w:type="spellEnd"/>
      <w:r>
        <w:rPr>
          <w:rtl/>
        </w:rPr>
        <w:t xml:space="preserve">, דיין בווילנה משנת תרט״ז, כדי להבטיח שגם הוא יבין את הסכנה שבהצעת </w:t>
      </w:r>
      <w:proofErr w:type="spellStart"/>
      <w:r>
        <w:rPr>
          <w:rtl/>
        </w:rPr>
        <w:t>גינצבורג</w:t>
      </w:r>
      <w:proofErr w:type="spellEnd"/>
      <w:r>
        <w:rPr>
          <w:rtl/>
        </w:rPr>
        <w:t xml:space="preserve">. ר׳ </w:t>
      </w:r>
      <w:proofErr w:type="spellStart"/>
      <w:r>
        <w:rPr>
          <w:rtl/>
        </w:rPr>
        <w:t>יצחק־אייזיק</w:t>
      </w:r>
      <w:proofErr w:type="spellEnd"/>
      <w:r>
        <w:rPr>
          <w:rtl/>
        </w:rPr>
        <w:t xml:space="preserve"> היה צעיר מר׳ יעקב הלוי בתשע שנים.</w:t>
      </w:r>
    </w:p>
    <w:p w14:paraId="08074842" w14:textId="5AD6A28F" w:rsidR="00AB3647" w:rsidRDefault="00000000" w:rsidP="007923E9">
      <w:pPr>
        <w:spacing w:after="120" w:line="276" w:lineRule="auto"/>
        <w:ind w:firstLine="283"/>
        <w:jc w:val="both"/>
      </w:pPr>
      <w:r>
        <w:rPr>
          <w:rtl/>
        </w:rPr>
        <w:t xml:space="preserve">השווה גם פרק 4, הפסקה הרביעית של </w:t>
      </w:r>
      <w:r>
        <w:rPr>
          <w:rtl/>
        </w:rPr>
        <w:fldChar w:fldCharType="begin" w:dirty="true"/>
      </w:r>
      <w:r>
        <w:rPr>
          <w:rtl/>
        </w:rPr>
        <w:instrText xml:space="preserve"> REF b4_excB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 xml:space="preserve">, על סלידתו של ר׳ יעקב הלוי ליפשיץ אף משמץ של השכלה – תכונה שר׳ חיים בוודאי ראה בעין יפה – ואת הפסקה השנייה של אותו נספח, בעניין ר׳ </w:t>
      </w:r>
      <w:proofErr w:type="spellStart"/>
      <w:r>
        <w:rPr>
          <w:rtl/>
        </w:rPr>
        <w:t>אברהם־דובער</w:t>
      </w:r>
      <w:proofErr w:type="spellEnd"/>
      <w:r>
        <w:rPr>
          <w:rtl/>
        </w:rPr>
        <w:t xml:space="preserve"> </w:t>
      </w:r>
      <w:proofErr w:type="spellStart"/>
      <w:r>
        <w:rPr>
          <w:rtl/>
        </w:rPr>
        <w:t>כהנא־שפירא</w:t>
      </w:r>
      <w:proofErr w:type="spellEnd"/>
      <w:r>
        <w:rPr>
          <w:rtl/>
        </w:rPr>
        <w:t>.</w:t>
      </w:r>
    </w:p>
    <w:p w14:paraId="1A6BB99C" w14:textId="77272562" w:rsidR="00AB3647" w:rsidRDefault="00000000" w:rsidP="007923E9">
      <w:pPr>
        <w:spacing w:after="120" w:line="276" w:lineRule="auto"/>
        <w:ind w:firstLine="283"/>
        <w:jc w:val="both"/>
      </w:pPr>
      <w:r>
        <w:rPr>
          <w:rtl/>
        </w:rPr>
        <w:t xml:space="preserve">כיצד הכיר ר׳ חיים את ר׳ יעקב הלוי – אין אנו יכולים אלא לשער. לא סביר שר׳ חיים הסתמך על דעת רבנים אחרים עליו. אפשר לשער אם כן שהתוודע אליו בקריאת מאמריו בעיתון האורתודוקסי “הלבנון”, שבהם התפלמס ר׳ יעקב הלוי ליפשיץ עם הכותבים המשכילים </w:t>
      </w:r>
      <w:proofErr w:type="spellStart"/>
      <w:r>
        <w:rPr>
          <w:rtl/>
        </w:rPr>
        <w:t>ב“המגיד</w:t>
      </w:r>
      <w:proofErr w:type="spellEnd"/>
      <w:r>
        <w:rPr>
          <w:rtl/>
        </w:rPr>
        <w:t xml:space="preserve">” </w:t>
      </w:r>
      <w:proofErr w:type="spellStart"/>
      <w:r>
        <w:rPr>
          <w:rtl/>
        </w:rPr>
        <w:t>וב“המליץ</w:t>
      </w:r>
      <w:proofErr w:type="spellEnd"/>
      <w:r>
        <w:rPr>
          <w:rtl/>
        </w:rPr>
        <w:t>”</w:t>
      </w:r>
      <w:bookmarkStart w:id="2840" w:name="_fnr1971"/>
      <w:r>
        <w:rPr>
          <w:rStyle w:val="a5"/>
        </w:rPr>
        <w:footnoteReference w:id="1976" w:customMarkFollows="0"/>
      </w:r>
      <w:bookmarkEnd w:id="2840"/>
      <w:r>
        <w:rPr>
          <w:rtl/>
        </w:rPr>
        <w:t xml:space="preserve">. אך למרות אמונו של ר׳ חיים, ראה להלן, בפסקה השישית של </w:t>
      </w:r>
      <w:r>
        <w:rPr>
          <w:rtl/>
        </w:rPr>
        <w:fldChar w:fldCharType="begin" w:dirty="true"/>
      </w:r>
      <w:r>
        <w:rPr>
          <w:rtl/>
        </w:rPr>
        <w:instrText xml:space="preserve"> REF b3_excR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יח</w:t>
      </w:r>
      <w:proofErr w:type="spellEnd"/>
      <w:r>
        <w:rPr>
          <w:rtl/>
        </w:rPr>
        <w:fldChar w:fldCharType="end"/>
      </w:r>
      <w:r>
        <w:rPr>
          <w:rtl/>
        </w:rPr>
        <w:t>, על ההסתייגויות שהיו לו מקנאותו של ר׳ יעקב הלוי ליפשיץ.</w:t>
      </w:r>
    </w:p>
    <w:p w14:paraId="31BC60E7" w14:textId="77777777" w:rsidR="00AB3647" w:rsidRDefault="00000000" w:rsidP="007923E9">
      <w:pPr>
        <w:spacing w:after="120" w:line="276" w:lineRule="auto"/>
        <w:ind w:firstLine="283"/>
        <w:jc w:val="both"/>
      </w:pPr>
      <w:r>
        <w:rPr>
          <w:rtl/>
        </w:rPr>
        <w:t xml:space="preserve">ר׳ </w:t>
      </w:r>
      <w:proofErr w:type="spellStart"/>
      <w:r>
        <w:rPr>
          <w:rtl/>
        </w:rPr>
        <w:t>חנניה־יוסף</w:t>
      </w:r>
      <w:proofErr w:type="spellEnd"/>
      <w:r>
        <w:rPr>
          <w:rtl/>
        </w:rPr>
        <w:t xml:space="preserve"> </w:t>
      </w:r>
      <w:proofErr w:type="spellStart"/>
      <w:r>
        <w:rPr>
          <w:rtl/>
        </w:rPr>
        <w:t>אייזנבך</w:t>
      </w:r>
      <w:proofErr w:type="spellEnd"/>
      <w:r>
        <w:rPr>
          <w:rtl/>
        </w:rPr>
        <w:t xml:space="preserve"> (מחוגי </w:t>
      </w:r>
      <w:proofErr w:type="spellStart"/>
      <w:r>
        <w:rPr>
          <w:rtl/>
        </w:rPr>
        <w:t>ליובאוויטש</w:t>
      </w:r>
      <w:proofErr w:type="spellEnd"/>
      <w:r>
        <w:rPr>
          <w:rtl/>
        </w:rPr>
        <w:t>) אמר</w:t>
      </w:r>
      <w:bookmarkStart w:id="2841" w:name="_fnr1972"/>
      <w:r>
        <w:rPr>
          <w:rStyle w:val="a5"/>
        </w:rPr>
        <w:footnoteReference w:id="1977" w:customMarkFollows="0"/>
      </w:r>
      <w:bookmarkEnd w:id="2841"/>
      <w:r>
        <w:rPr>
          <w:rtl/>
        </w:rPr>
        <w:t xml:space="preserve"> </w:t>
      </w:r>
      <w:proofErr w:type="spellStart"/>
      <w:r>
        <w:rPr>
          <w:rtl/>
        </w:rPr>
        <w:t>שהנצי״ב</w:t>
      </w:r>
      <w:proofErr w:type="spellEnd"/>
      <w:r>
        <w:rPr>
          <w:rtl/>
        </w:rPr>
        <w:t>, שהיה בעצמו מתנגד תקיף למוסר</w:t>
      </w:r>
      <w:bookmarkStart w:id="2842" w:name="_fnr1973"/>
      <w:r>
        <w:rPr>
          <w:rStyle w:val="a5"/>
        </w:rPr>
        <w:footnoteReference w:id="1978" w:customMarkFollows="0"/>
      </w:r>
      <w:bookmarkEnd w:id="2842"/>
      <w:r>
        <w:rPr>
          <w:rtl/>
        </w:rPr>
        <w:t>, סירב להיפגש עם ר׳ יעקב הלוי ליפשיץ משום שלא ראה בו אדם דובר אמת. אילו היה ממש בהאשמה כזאת, אנשי המוסר בוודאי היו מטיחים אותה בו וחוזרים עליה. מסתבר שהמשכילים, שכדרכם היו מתפלמסים חסרי מוסר</w:t>
      </w:r>
      <w:bookmarkStart w:id="2843" w:name="_fnr1974"/>
      <w:r>
        <w:rPr>
          <w:rStyle w:val="a5"/>
        </w:rPr>
        <w:footnoteReference w:id="1979" w:customMarkFollows="0"/>
      </w:r>
      <w:bookmarkEnd w:id="2843"/>
      <w:r>
        <w:rPr>
          <w:rtl/>
        </w:rPr>
        <w:t xml:space="preserve">, העלילו עליו עלילה זו, </w:t>
      </w:r>
      <w:proofErr w:type="spellStart"/>
      <w:r>
        <w:rPr>
          <w:rtl/>
        </w:rPr>
        <w:t>ובליובאוויטש</w:t>
      </w:r>
      <w:proofErr w:type="spellEnd"/>
      <w:r>
        <w:rPr>
          <w:rtl/>
        </w:rPr>
        <w:t xml:space="preserve"> חזרו עליה על אודות אותו מתנגד.</w:t>
      </w:r>
    </w:p>
    <w:p w14:paraId="22DE3F7B" w14:textId="77777777" w:rsidR="00AB3647" w:rsidRDefault="00000000" w:rsidP="007923E9">
      <w:pPr>
        <w:spacing w:after="120" w:line="276" w:lineRule="auto"/>
        <w:ind w:firstLine="283"/>
        <w:jc w:val="both"/>
      </w:pPr>
      <w:r>
        <w:rPr>
          <w:rtl/>
        </w:rPr>
        <w:lastRenderedPageBreak/>
        <w:t>השווה “</w:t>
      </w:r>
      <w:proofErr w:type="spellStart"/>
      <w:r>
        <w:rPr>
          <w:rtl/>
        </w:rPr>
        <w:t>זכרון</w:t>
      </w:r>
      <w:proofErr w:type="spellEnd"/>
      <w:r>
        <w:rPr>
          <w:rtl/>
        </w:rPr>
        <w:t xml:space="preserve"> יעקב”, כרך ב, פרק 16, שכותרתו “מחלוקת החסידים </w:t>
      </w:r>
      <w:proofErr w:type="spellStart"/>
      <w:r>
        <w:rPr>
          <w:rtl/>
        </w:rPr>
        <w:t>בווילקומיר</w:t>
      </w:r>
      <w:proofErr w:type="spellEnd"/>
      <w:r>
        <w:rPr>
          <w:rtl/>
        </w:rPr>
        <w:t xml:space="preserve"> וסביבותיה”, ושר׳ יעקב הלוי, יליד </w:t>
      </w:r>
      <w:proofErr w:type="spellStart"/>
      <w:r>
        <w:rPr>
          <w:rtl/>
        </w:rPr>
        <w:t>וילקומיר</w:t>
      </w:r>
      <w:proofErr w:type="spellEnd"/>
      <w:r>
        <w:rPr>
          <w:rtl/>
        </w:rPr>
        <w:t xml:space="preserve">, פותח אותו כך: “בערך בשנת </w:t>
      </w:r>
      <w:proofErr w:type="spellStart"/>
      <w:r>
        <w:rPr>
          <w:rtl/>
        </w:rPr>
        <w:t>תר״ך</w:t>
      </w:r>
      <w:proofErr w:type="spellEnd"/>
      <w:r>
        <w:rPr>
          <w:rtl/>
        </w:rPr>
        <w:t xml:space="preserve"> עוד הכרתי אנשים שאבותיהם עמדו במערכות החסידים והמתנגדים ועוד זכרו את אש המחלוקת שפרצה בראשית התפתחות החסידות, ובניהם נשאו איבה ושנאה זה לזה כאילו המחלוקת הייתה בימיהם...”</w:t>
      </w:r>
    </w:p>
    <w:p w14:paraId="4336290D" w14:textId="77777777" w:rsidR="00AB3647" w:rsidRDefault="00000000" w:rsidP="007923E9">
      <w:pPr>
        <w:spacing w:after="120" w:line="276" w:lineRule="auto"/>
        <w:ind w:firstLine="283"/>
        <w:jc w:val="both"/>
      </w:pPr>
      <w:r>
        <w:rPr>
          <w:rtl/>
        </w:rPr>
        <w:t xml:space="preserve">אומנם האדמו״ר </w:t>
      </w:r>
      <w:proofErr w:type="spellStart"/>
      <w:r>
        <w:rPr>
          <w:rtl/>
        </w:rPr>
        <w:t>מליובאוויטש</w:t>
      </w:r>
      <w:proofErr w:type="spellEnd"/>
      <w:r>
        <w:rPr>
          <w:rtl/>
        </w:rPr>
        <w:t xml:space="preserve">, ר׳ </w:t>
      </w:r>
      <w:proofErr w:type="spellStart"/>
      <w:r>
        <w:rPr>
          <w:rtl/>
        </w:rPr>
        <w:t>יוסף־יצחק</w:t>
      </w:r>
      <w:proofErr w:type="spellEnd"/>
      <w:r>
        <w:rPr>
          <w:rtl/>
        </w:rPr>
        <w:t xml:space="preserve"> שניאורסון, כתב למשפחת ר׳ יעקב הלוי מכתב תנחומים מלא שבחים עם פטירתו</w:t>
      </w:r>
      <w:bookmarkStart w:id="2844" w:name="_fnr1975"/>
      <w:r>
        <w:rPr>
          <w:rStyle w:val="a5"/>
        </w:rPr>
        <w:footnoteReference w:id="1980" w:customMarkFollows="0"/>
      </w:r>
      <w:bookmarkEnd w:id="2844"/>
      <w:r>
        <w:rPr>
          <w:rtl/>
        </w:rPr>
        <w:t>, וגם</w:t>
      </w:r>
      <w:bookmarkStart w:id="2845" w:name="_fnr1976"/>
      <w:r>
        <w:rPr>
          <w:rStyle w:val="a5"/>
        </w:rPr>
        <w:footnoteReference w:id="1981" w:customMarkFollows="0"/>
      </w:r>
      <w:bookmarkEnd w:id="2845"/>
      <w:r>
        <w:rPr>
          <w:rtl/>
        </w:rPr>
        <w:t xml:space="preserve"> ר׳ יעקב הלוי ליפשיץ נראה מאוזן למדי בין החסידים למתנגדיהם. אבל הייתה לו גם ביקורת על חסיד מסוים </w:t>
      </w:r>
      <w:proofErr w:type="spellStart"/>
      <w:r>
        <w:rPr>
          <w:rtl/>
        </w:rPr>
        <w:t>מליובאוויטש</w:t>
      </w:r>
      <w:proofErr w:type="spellEnd"/>
      <w:r>
        <w:rPr>
          <w:rtl/>
        </w:rPr>
        <w:t xml:space="preserve"> </w:t>
      </w:r>
      <w:proofErr w:type="spellStart"/>
      <w:r>
        <w:rPr>
          <w:rtl/>
        </w:rPr>
        <w:t>בווילקומיר</w:t>
      </w:r>
      <w:proofErr w:type="spellEnd"/>
      <w:r>
        <w:rPr>
          <w:rtl/>
        </w:rPr>
        <w:t>, שאותו נקב בשמו. הוא כתב</w:t>
      </w:r>
      <w:bookmarkStart w:id="2846" w:name="_fnr1977"/>
      <w:r>
        <w:rPr>
          <w:rStyle w:val="a5"/>
        </w:rPr>
        <w:footnoteReference w:id="1982" w:customMarkFollows="0"/>
      </w:r>
      <w:bookmarkEnd w:id="2846"/>
      <w:r>
        <w:rPr>
          <w:rtl/>
        </w:rPr>
        <w:t>: “אחד מנכבדי עדת החסידים, איש נכבד ויקר שהיה ירא שמים גדול וחסיד נלהב, נכשל ותמך בסופר הידוע אברהם מאפו</w:t>
      </w:r>
      <w:bookmarkStart w:id="2847" w:name="_fnr1978"/>
      <w:r>
        <w:rPr>
          <w:rStyle w:val="a5"/>
        </w:rPr>
        <w:footnoteReference w:id="1983" w:customMarkFollows="0"/>
      </w:r>
      <w:bookmarkEnd w:id="2847"/>
      <w:r>
        <w:rPr>
          <w:rtl/>
        </w:rPr>
        <w:t xml:space="preserve"> בהוצאת ספרו ‘עיט צבוע’</w:t>
      </w:r>
      <w:bookmarkStart w:id="2848" w:name="_fnr1979"/>
      <w:r>
        <w:rPr>
          <w:rStyle w:val="a5"/>
        </w:rPr>
        <w:footnoteReference w:id="1984" w:customMarkFollows="0"/>
      </w:r>
      <w:bookmarkEnd w:id="2848"/>
      <w:r>
        <w:rPr>
          <w:rtl/>
        </w:rPr>
        <w:t xml:space="preserve">, המלא לעג וקלס... משום </w:t>
      </w:r>
      <w:proofErr w:type="spellStart"/>
      <w:r>
        <w:rPr>
          <w:rtl/>
        </w:rPr>
        <w:t>ש‘עיט</w:t>
      </w:r>
      <w:proofErr w:type="spellEnd"/>
      <w:r>
        <w:rPr>
          <w:rtl/>
        </w:rPr>
        <w:t xml:space="preserve"> צבוע’ זה [מאפו] לועג בו למתנגדים[־הרבנים]...</w:t>
      </w:r>
      <w:bookmarkStart w:id="2849" w:name="_fnr1980"/>
      <w:r>
        <w:rPr>
          <w:rStyle w:val="a5"/>
        </w:rPr>
        <w:footnoteReference w:id="1985" w:customMarkFollows="0"/>
      </w:r>
      <w:bookmarkEnd w:id="2849"/>
      <w:r>
        <w:rPr>
          <w:rtl/>
        </w:rPr>
        <w:t xml:space="preserve"> איש ירא שמים זה – שגם מאס עד מאוד בכל מי שביזה ולעג לתורה וללומדיה – האיש שבכה במסתרים על חילול השם ועל השפלת התורה, נתן את תמיכתו לחוטאים רק כדי לנקום במתנגדים.” אפשר שבשל התקפה זו נטרו חסידי </w:t>
      </w:r>
      <w:proofErr w:type="spellStart"/>
      <w:r>
        <w:rPr>
          <w:rtl/>
        </w:rPr>
        <w:t>ליובאוויטש</w:t>
      </w:r>
      <w:proofErr w:type="spellEnd"/>
      <w:r>
        <w:rPr>
          <w:rtl/>
        </w:rPr>
        <w:t xml:space="preserve"> טינה </w:t>
      </w:r>
      <w:proofErr w:type="spellStart"/>
      <w:r>
        <w:rPr>
          <w:rtl/>
        </w:rPr>
        <w:t>לר</w:t>
      </w:r>
      <w:proofErr w:type="spellEnd"/>
      <w:r>
        <w:rPr>
          <w:rtl/>
        </w:rPr>
        <w:t>׳ יעקב הלוי ליפשיץ, ואימצו את דיבת המשכילים המרושעת עליו.</w:t>
      </w:r>
    </w:p>
    <w:p w14:paraId="0FD1A99F" w14:textId="33D20DD9" w:rsidR="00AB3647" w:rsidRDefault="00000000" w:rsidP="007923E9">
      <w:pPr>
        <w:spacing w:after="120" w:line="276" w:lineRule="auto"/>
        <w:ind w:firstLine="283"/>
        <w:jc w:val="both"/>
      </w:pPr>
      <w:r>
        <w:rPr>
          <w:rtl/>
        </w:rPr>
        <w:t>ראוי לשים לב לתיאורו הנדיב של ר׳ יעקב את אותו חסיד ששמו נזכר, למרות סיועו לאויב התורה אברהם מאפו – איש קבוצת המשכילים שר׳ יעקב הלוי ליפשיץ הקדיש את חייו למאבק בה. ר׳ יעקב הלוי היה הכוח המרכזי במאבק הספרותי נגדם: החל בהבאת “הלבנון” לשליטת האורתודוקסים</w:t>
      </w:r>
      <w:bookmarkStart w:id="2850" w:name="_fnr1981"/>
      <w:r>
        <w:rPr>
          <w:rStyle w:val="a5"/>
        </w:rPr>
        <w:footnoteReference w:id="1986" w:customMarkFollows="0"/>
      </w:r>
      <w:bookmarkEnd w:id="2850"/>
      <w:r>
        <w:rPr>
          <w:rtl/>
        </w:rPr>
        <w:t xml:space="preserve"> ובגיוס הכספים שנדרשו לכך, ועד המאמרים הרבים והיעילים שכתב בעצמו. אולי אורך רוח זה הוא דוגמה נוספת לענוותו של ר׳ יעקב הלוי ליפשיץ, אותה מידה טובה שאבי ייחס לו, כמובא ב</w:t>
      </w:r>
      <w:r>
        <w:rPr>
          <w:rtl/>
        </w:rPr>
        <w:fldChar w:fldCharType="begin" w:dirty="true"/>
      </w:r>
      <w:r>
        <w:rPr>
          <w:rtl/>
        </w:rPr>
        <w:instrText xml:space="preserve"> REF b3_excP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טז</w:t>
      </w:r>
      <w:proofErr w:type="spellEnd"/>
      <w:r>
        <w:rPr>
          <w:rtl/>
        </w:rPr>
        <w:fldChar w:fldCharType="end"/>
      </w:r>
      <w:r>
        <w:rPr>
          <w:rtl/>
        </w:rPr>
        <w:t xml:space="preserve"> להלן.</w:t>
      </w:r>
    </w:p>
    <w:p w14:paraId="796500B1" w14:textId="77777777" w:rsidR="00AB3647" w:rsidRDefault="00000000" w:rsidP="007923E9">
      <w:pPr>
        <w:spacing w:after="120" w:line="276" w:lineRule="auto"/>
        <w:ind w:firstLine="283"/>
        <w:jc w:val="both"/>
      </w:pPr>
      <w:r>
        <w:rPr>
          <w:rtl/>
        </w:rPr>
        <w:t>אין ספק שהמשכילים ניסו להציג את ר׳ יעקב הלוי ליפשיץ כאדם בלתי ישר. השווה פרק 3 של “פולמוס המוסר”</w:t>
      </w:r>
      <w:bookmarkStart w:id="2851" w:name="_fnr1982"/>
      <w:r>
        <w:rPr>
          <w:rStyle w:val="a5"/>
        </w:rPr>
        <w:footnoteReference w:id="1987" w:customMarkFollows="0"/>
      </w:r>
      <w:bookmarkEnd w:id="2851"/>
      <w:r>
        <w:rPr>
          <w:rtl/>
        </w:rPr>
        <w:t xml:space="preserve">, המצטט את המאמרים </w:t>
      </w:r>
      <w:proofErr w:type="spellStart"/>
      <w:r>
        <w:rPr>
          <w:rtl/>
        </w:rPr>
        <w:t>ב“המליץ</w:t>
      </w:r>
      <w:proofErr w:type="spellEnd"/>
      <w:r>
        <w:rPr>
          <w:rtl/>
        </w:rPr>
        <w:t xml:space="preserve">” משנת תרמ״ט ומשנת </w:t>
      </w:r>
      <w:proofErr w:type="spellStart"/>
      <w:r>
        <w:rPr>
          <w:rtl/>
        </w:rPr>
        <w:t>תר״ן</w:t>
      </w:r>
      <w:proofErr w:type="spellEnd"/>
      <w:r>
        <w:rPr>
          <w:rtl/>
        </w:rPr>
        <w:t xml:space="preserve"> שהאשימו את הנהלת כולל קובנה בגנבת הכספים שגייסו המשולחים – ובמיוחד את ר׳ </w:t>
      </w:r>
      <w:proofErr w:type="spellStart"/>
      <w:r>
        <w:rPr>
          <w:rtl/>
        </w:rPr>
        <w:t>איצל׳ה</w:t>
      </w:r>
      <w:proofErr w:type="spellEnd"/>
      <w:r>
        <w:rPr>
          <w:rtl/>
        </w:rPr>
        <w:t xml:space="preserve"> </w:t>
      </w:r>
      <w:proofErr w:type="spellStart"/>
      <w:r>
        <w:rPr>
          <w:rtl/>
        </w:rPr>
        <w:t>בלאזר</w:t>
      </w:r>
      <w:proofErr w:type="spellEnd"/>
      <w:r>
        <w:rPr>
          <w:rtl/>
        </w:rPr>
        <w:t>, שהמשכילים שנאו אותו בשל דבקותו במוסר והפצתו. “פולמוס המוסר” מתאר</w:t>
      </w:r>
      <w:bookmarkStart w:id="2852" w:name="_fnr1983"/>
      <w:r>
        <w:rPr>
          <w:rStyle w:val="a5"/>
        </w:rPr>
        <w:footnoteReference w:id="1988" w:customMarkFollows="0"/>
      </w:r>
      <w:bookmarkEnd w:id="2852"/>
      <w:r>
        <w:rPr>
          <w:rtl/>
        </w:rPr>
        <w:t xml:space="preserve"> כיצד הזכירו המאמרים את ר׳ יעקב הלוי ליפשיץ, מזכיר הכולל בשכר משנת תר״מ, יחד עם ר׳ </w:t>
      </w:r>
      <w:proofErr w:type="spellStart"/>
      <w:r>
        <w:rPr>
          <w:rtl/>
        </w:rPr>
        <w:t>איצל׳ה</w:t>
      </w:r>
      <w:proofErr w:type="spellEnd"/>
      <w:r>
        <w:rPr>
          <w:rtl/>
        </w:rPr>
        <w:t xml:space="preserve">, כמי שעיניהם מחפשות “מקצהו עד קצהו” רק בצע כסף. הם קיצרו את שם משפחתו לאות הראשונה ולאחרונה, ולעגו לו בכינוי “יעקב הלוי </w:t>
      </w:r>
      <w:proofErr w:type="spellStart"/>
      <w:r>
        <w:rPr>
          <w:rtl/>
        </w:rPr>
        <w:t>ל״ץ</w:t>
      </w:r>
      <w:proofErr w:type="spellEnd"/>
      <w:r>
        <w:rPr>
          <w:rtl/>
        </w:rPr>
        <w:t>”.</w:t>
      </w:r>
    </w:p>
    <w:p w14:paraId="32D86E87" w14:textId="1C6A1161" w:rsidR="00AB3647" w:rsidRDefault="00000000" w:rsidP="007923E9">
      <w:pPr>
        <w:spacing w:after="120" w:line="276" w:lineRule="auto"/>
        <w:ind w:firstLine="283"/>
        <w:jc w:val="both"/>
      </w:pPr>
      <w:r>
        <w:rPr>
          <w:rtl/>
        </w:rPr>
        <w:lastRenderedPageBreak/>
        <w:t>השווה גם “</w:t>
      </w:r>
      <w:proofErr w:type="spellStart"/>
      <w:r>
        <w:rPr>
          <w:rtl/>
        </w:rPr>
        <w:t>זכרונות</w:t>
      </w:r>
      <w:proofErr w:type="spellEnd"/>
      <w:r>
        <w:rPr>
          <w:rtl/>
        </w:rPr>
        <w:t xml:space="preserve">” של הרב יעקב </w:t>
      </w:r>
      <w:proofErr w:type="spellStart"/>
      <w:r>
        <w:rPr>
          <w:rtl/>
        </w:rPr>
        <w:t>מזא״ה</w:t>
      </w:r>
      <w:bookmarkStart w:id="2853" w:name="_fnr1984"/>
      <w:proofErr w:type="spellEnd"/>
      <w:r>
        <w:rPr>
          <w:rStyle w:val="a5"/>
        </w:rPr>
        <w:footnoteReference w:id="1989" w:customMarkFollows="0"/>
      </w:r>
      <w:bookmarkEnd w:id="2853"/>
      <w:r>
        <w:rPr>
          <w:rtl/>
        </w:rPr>
        <w:t xml:space="preserve">, שלפיהם חזר הגביר ר׳ </w:t>
      </w:r>
      <w:proofErr w:type="spellStart"/>
      <w:r>
        <w:rPr>
          <w:rtl/>
        </w:rPr>
        <w:t>רפאל־שלמה</w:t>
      </w:r>
      <w:proofErr w:type="spellEnd"/>
      <w:r>
        <w:rPr>
          <w:rtl/>
        </w:rPr>
        <w:t xml:space="preserve"> גץ על </w:t>
      </w:r>
      <w:proofErr w:type="spellStart"/>
      <w:r>
        <w:rPr>
          <w:rtl/>
        </w:rPr>
        <w:t>האשמותיהם</w:t>
      </w:r>
      <w:proofErr w:type="spellEnd"/>
      <w:r>
        <w:rPr>
          <w:rtl/>
        </w:rPr>
        <w:t xml:space="preserve"> נגד ר׳ יעקב הלוי ליפשיץ, כי מעל לא רק בכספי הכולל אלא בכספים מכל מיני מגביות ציבוריות, ובכללן אלה שנועדו </w:t>
      </w:r>
      <w:proofErr w:type="spellStart"/>
      <w:r>
        <w:rPr>
          <w:rtl/>
        </w:rPr>
        <w:t>ל“כשר־קעסיל</w:t>
      </w:r>
      <w:proofErr w:type="spellEnd"/>
      <w:r>
        <w:rPr>
          <w:rtl/>
        </w:rPr>
        <w:t xml:space="preserve"> (מזון כשר לחיילים יהודים)”</w:t>
      </w:r>
      <w:bookmarkStart w:id="2854" w:name="_fnr1985"/>
      <w:r>
        <w:rPr>
          <w:rStyle w:val="a5"/>
        </w:rPr>
        <w:footnoteReference w:id="1990" w:customMarkFollows="0"/>
      </w:r>
      <w:bookmarkEnd w:id="2854"/>
      <w:r>
        <w:rPr>
          <w:rtl/>
        </w:rPr>
        <w:t xml:space="preserve">. אין ספק שגץ הושפע מן המשכילים, שהתחרו על הרובלים שנתן לצדקה. השווה פרק 4, סוף הפסקה הראשונה של הערה </w:t>
      </w:r>
      <w:r>
        <w:rPr>
          <w:rtl/>
        </w:rPr>
        <w:fldChar w:fldCharType="begin" w:dirty="true"/>
      </w:r>
      <w:r>
        <w:rPr>
          <w:rtl/>
        </w:rPr>
        <w:instrText xml:space="preserve"> REF b4_note109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109</w:t>
      </w:r>
      <w:r>
        <w:rPr>
          <w:rtl/>
        </w:rPr>
        <w:fldChar w:fldCharType="end"/>
      </w:r>
      <w:r>
        <w:rPr>
          <w:rtl/>
        </w:rPr>
        <w:t xml:space="preserve">: שם מובאים דברי אבי שחמיו של גץ, ר׳ </w:t>
      </w:r>
      <w:proofErr w:type="spellStart"/>
      <w:r>
        <w:rPr>
          <w:rtl/>
        </w:rPr>
        <w:t>קלמן־וולף</w:t>
      </w:r>
      <w:proofErr w:type="spellEnd"/>
      <w:r>
        <w:rPr>
          <w:rtl/>
        </w:rPr>
        <w:t xml:space="preserve"> ויסוצקי, תמך תחילה באנשי המוסר, ולאחר מכן נעשה לתומכו של </w:t>
      </w:r>
      <w:proofErr w:type="spellStart"/>
      <w:r>
        <w:rPr>
          <w:rtl/>
        </w:rPr>
        <w:t>אחד־העם</w:t>
      </w:r>
      <w:proofErr w:type="spellEnd"/>
      <w:r>
        <w:rPr>
          <w:rtl/>
        </w:rPr>
        <w:t xml:space="preserve"> (אשר </w:t>
      </w:r>
      <w:proofErr w:type="spellStart"/>
      <w:r>
        <w:rPr>
          <w:rtl/>
        </w:rPr>
        <w:t>גינצבורג</w:t>
      </w:r>
      <w:proofErr w:type="spellEnd"/>
      <w:r>
        <w:rPr>
          <w:rtl/>
        </w:rPr>
        <w:t>).</w:t>
      </w:r>
    </w:p>
    <w:p w14:paraId="3414FDFF" w14:textId="77777777" w:rsidR="00AB3647" w:rsidRDefault="00000000" w:rsidP="007923E9">
      <w:pPr>
        <w:spacing w:after="120" w:line="276" w:lineRule="auto"/>
        <w:ind w:firstLine="283"/>
        <w:jc w:val="both"/>
      </w:pPr>
      <w:r>
        <w:rPr>
          <w:rtl/>
        </w:rPr>
        <w:t xml:space="preserve">כשהזעקה בעיתונות דרשה חשבון על הכספים שנאספו לכולל קובנה, שכר ר׳ </w:t>
      </w:r>
      <w:proofErr w:type="spellStart"/>
      <w:r>
        <w:rPr>
          <w:rtl/>
        </w:rPr>
        <w:t>יצחק־אלחנן</w:t>
      </w:r>
      <w:proofErr w:type="spellEnd"/>
      <w:r>
        <w:rPr>
          <w:rtl/>
        </w:rPr>
        <w:t xml:space="preserve">, ראשו הרשמי של הכולל, רואי חשבון מוכרים. הללו בדקו את מחצית השנה האחרונה של פעילות הכולל והוציאו הודעה המעידה על תקינותו. אך “המליץ” לא הסתפק בכך ודרש חשבון מפורט, בטענה שמוליכים שולל את ר׳ </w:t>
      </w:r>
      <w:proofErr w:type="spellStart"/>
      <w:r>
        <w:rPr>
          <w:rtl/>
        </w:rPr>
        <w:t>יצחק־אלחנן</w:t>
      </w:r>
      <w:proofErr w:type="spellEnd"/>
      <w:r>
        <w:rPr>
          <w:rtl/>
        </w:rPr>
        <w:t xml:space="preserve"> </w:t>
      </w:r>
      <w:proofErr w:type="spellStart"/>
      <w:r>
        <w:rPr>
          <w:rtl/>
        </w:rPr>
        <w:t>ספקטור</w:t>
      </w:r>
      <w:proofErr w:type="spellEnd"/>
      <w:r>
        <w:rPr>
          <w:rtl/>
        </w:rPr>
        <w:t xml:space="preserve"> התמים ונותן האמון. “פולמוס המוסר”</w:t>
      </w:r>
      <w:bookmarkStart w:id="2855" w:name="_fnr1986"/>
      <w:r>
        <w:rPr>
          <w:rStyle w:val="a5"/>
        </w:rPr>
        <w:footnoteReference w:id="1991" w:customMarkFollows="0"/>
      </w:r>
      <w:bookmarkEnd w:id="2855"/>
      <w:r>
        <w:rPr>
          <w:rtl/>
        </w:rPr>
        <w:t xml:space="preserve"> מביא את “הסיבה האמיתית שלא פרסמו חשבון מפורט”, כך: “הכספים שנאספו שימשו גם לתמיכה בתלמידי ישיבת </w:t>
      </w:r>
      <w:proofErr w:type="spellStart"/>
      <w:r>
        <w:rPr>
          <w:rtl/>
        </w:rPr>
        <w:t>סלבודקה</w:t>
      </w:r>
      <w:bookmarkStart w:id="2856" w:name="_fnr1987"/>
      <w:proofErr w:type="spellEnd"/>
      <w:r>
        <w:rPr>
          <w:rStyle w:val="a5"/>
        </w:rPr>
        <w:footnoteReference w:id="1992" w:customMarkFollows="0"/>
      </w:r>
      <w:bookmarkEnd w:id="2856"/>
      <w:r>
        <w:rPr>
          <w:rtl/>
        </w:rPr>
        <w:t>, שמספרם הגיע למאות</w:t>
      </w:r>
      <w:bookmarkStart w:id="2857" w:name="_fnr1988"/>
      <w:r>
        <w:rPr>
          <w:rStyle w:val="a5"/>
        </w:rPr>
        <w:footnoteReference w:id="1993" w:customMarkFollows="0"/>
      </w:r>
      <w:bookmarkEnd w:id="2857"/>
      <w:r>
        <w:rPr>
          <w:rtl/>
        </w:rPr>
        <w:t xml:space="preserve">; ברוסיה היה אסור לקיים ישיבה גדולה לבחורים, וישיבת </w:t>
      </w:r>
      <w:proofErr w:type="spellStart"/>
      <w:r>
        <w:rPr>
          <w:rtl/>
        </w:rPr>
        <w:t>סלבודקה</w:t>
      </w:r>
      <w:proofErr w:type="spellEnd"/>
      <w:r>
        <w:rPr>
          <w:rtl/>
        </w:rPr>
        <w:t xml:space="preserve"> התקיימה שלא כחוק</w:t>
      </w:r>
      <w:bookmarkStart w:id="2858" w:name="_fnr1989"/>
      <w:r>
        <w:rPr>
          <w:rStyle w:val="a5"/>
        </w:rPr>
        <w:footnoteReference w:id="1994" w:customMarkFollows="0"/>
      </w:r>
      <w:bookmarkEnd w:id="2858"/>
      <w:r>
        <w:rPr>
          <w:rtl/>
        </w:rPr>
        <w:t>. רבים מן התלמידים שם גם השתמטו מן הגיוס, ולא היה אפשר לחשוף אותם לעיני הציבור. מלבד זאת, איסוף כספים למטרות כאלה היה אסור ברוסיה, והיה צריך לעשותו בחשאי ובמחתרת.”</w:t>
      </w:r>
    </w:p>
    <w:p w14:paraId="2460E805" w14:textId="77777777" w:rsidR="00AB3647" w:rsidRDefault="00000000" w:rsidP="007923E9">
      <w:pPr>
        <w:spacing w:after="120" w:line="276" w:lineRule="auto"/>
        <w:ind w:firstLine="283"/>
        <w:jc w:val="both"/>
      </w:pPr>
      <w:r>
        <w:rPr>
          <w:rtl/>
        </w:rPr>
        <w:t xml:space="preserve">אז פרסם ר׳ </w:t>
      </w:r>
      <w:proofErr w:type="spellStart"/>
      <w:r>
        <w:rPr>
          <w:rtl/>
        </w:rPr>
        <w:t>יצחק־אלחנן</w:t>
      </w:r>
      <w:proofErr w:type="spellEnd"/>
      <w:r>
        <w:rPr>
          <w:rtl/>
        </w:rPr>
        <w:t xml:space="preserve"> </w:t>
      </w:r>
      <w:proofErr w:type="spellStart"/>
      <w:r>
        <w:rPr>
          <w:rtl/>
        </w:rPr>
        <w:t>ב“הצפירה</w:t>
      </w:r>
      <w:proofErr w:type="spellEnd"/>
      <w:r>
        <w:rPr>
          <w:rtl/>
        </w:rPr>
        <w:t xml:space="preserve">” מאמר ארוך שכותרתו “עלבונה של תורה”. במאמר הוקיע כשקר את האשמות המשכילים שכולל קובנה נעשה מעוז מוסר מושחת, והגן הן על מטרות הכולל והן על יושרהּ המלא של הנהלתו “מול המבקשים להרוס את המוסד החשוב, החיוני לכל היהדות”. וכך הצהיר ר׳ </w:t>
      </w:r>
      <w:proofErr w:type="spellStart"/>
      <w:r>
        <w:rPr>
          <w:rtl/>
        </w:rPr>
        <w:t>יצחק־אלחנן</w:t>
      </w:r>
      <w:proofErr w:type="spellEnd"/>
      <w:r>
        <w:rPr>
          <w:rtl/>
        </w:rPr>
        <w:t>: “מעיד אני שכל המנהלים העוסקים עמי בתמיכת הפרושים</w:t>
      </w:r>
      <w:bookmarkStart w:id="2859" w:name="_fnr1990"/>
      <w:r>
        <w:rPr>
          <w:rStyle w:val="a5"/>
        </w:rPr>
        <w:footnoteReference w:id="1995" w:customMarkFollows="0"/>
      </w:r>
      <w:bookmarkEnd w:id="2859"/>
      <w:r>
        <w:rPr>
          <w:rtl/>
        </w:rPr>
        <w:t xml:space="preserve"> הם אנשים בעלי מעלה, ישרים ויראי שמים, הרחוקים מאהבת כסף וכבוד, הממירים את כבודם בדיבה ובבוז רק מתוך אהבת התורה.” הוא גם רומז במישרין להכפשות נגד מזכירו ר׳ יעקב הלוי ליפשיץ, באומרו: “אנשי רמיה אינם שוכנים בקרב ביתי, ואני מתרחק מן הכיעור, ואומר בדברי [המלך] דוד: ‘</w:t>
      </w:r>
      <w:r>
        <w:rPr>
          <w:b/>
          <w:bCs/>
          <w:rtl/>
        </w:rPr>
        <w:t>עיני בנאמני ארץ וכו׳</w:t>
      </w:r>
      <w:r>
        <w:rPr>
          <w:rtl/>
        </w:rPr>
        <w:t xml:space="preserve"> [ההדגשה שלי: חצי הפסוק והמילה המוטה מכוונים לתהלים </w:t>
      </w:r>
      <w:proofErr w:type="spellStart"/>
      <w:r>
        <w:rPr>
          <w:rtl/>
        </w:rPr>
        <w:t>קא</w:t>
      </w:r>
      <w:proofErr w:type="spellEnd"/>
      <w:r>
        <w:rPr>
          <w:rtl/>
        </w:rPr>
        <w:t>, ו–ז, כלומר: ‘עיניי בנאמני ארץ לשבת עמדי הולך בדרך תמים הוא ישרתני. לא ישב בקרב ביתי עושה רמיה דובר שקרים לא יכון לנגד עיני.’]; אנשי סודי ישרים והגונים.”</w:t>
      </w:r>
    </w:p>
    <w:p w14:paraId="34B1CD20" w14:textId="77777777" w:rsidR="00AB3647" w:rsidRDefault="00000000" w:rsidP="007923E9">
      <w:pPr>
        <w:spacing w:after="120" w:line="276" w:lineRule="auto"/>
        <w:ind w:firstLine="283"/>
        <w:jc w:val="both"/>
      </w:pPr>
      <w:r>
        <w:rPr>
          <w:rtl/>
        </w:rPr>
        <w:lastRenderedPageBreak/>
        <w:t>השווה גם “פולמוס המוסר”</w:t>
      </w:r>
      <w:bookmarkStart w:id="2860" w:name="_fnr1991"/>
      <w:r>
        <w:rPr>
          <w:rStyle w:val="a5"/>
        </w:rPr>
        <w:footnoteReference w:id="1996" w:customMarkFollows="0"/>
      </w:r>
      <w:bookmarkEnd w:id="2860"/>
      <w:r>
        <w:rPr>
          <w:rtl/>
        </w:rPr>
        <w:t xml:space="preserve">, המצטט במלואו מכתב שהתפרסם </w:t>
      </w:r>
      <w:proofErr w:type="spellStart"/>
      <w:r>
        <w:rPr>
          <w:rtl/>
        </w:rPr>
        <w:t>ב“הצפירה</w:t>
      </w:r>
      <w:proofErr w:type="spellEnd"/>
      <w:r>
        <w:rPr>
          <w:rtl/>
        </w:rPr>
        <w:t xml:space="preserve">” בשבט </w:t>
      </w:r>
      <w:proofErr w:type="spellStart"/>
      <w:r>
        <w:rPr>
          <w:rtl/>
        </w:rPr>
        <w:t>תר״ן</w:t>
      </w:r>
      <w:proofErr w:type="spellEnd"/>
      <w:r>
        <w:rPr>
          <w:rtl/>
        </w:rPr>
        <w:t xml:space="preserve">, בחתימת </w:t>
      </w:r>
      <w:proofErr w:type="spellStart"/>
      <w:r>
        <w:rPr>
          <w:rtl/>
        </w:rPr>
        <w:t>ארבעה־עשר</w:t>
      </w:r>
      <w:proofErr w:type="spellEnd"/>
      <w:r>
        <w:rPr>
          <w:rtl/>
        </w:rPr>
        <w:t xml:space="preserve"> רבנים מפורסמים</w:t>
      </w:r>
      <w:bookmarkStart w:id="2861" w:name="_fnr1992"/>
      <w:r>
        <w:rPr>
          <w:rStyle w:val="a5"/>
        </w:rPr>
        <w:footnoteReference w:id="1997" w:customMarkFollows="0"/>
      </w:r>
      <w:bookmarkEnd w:id="2861"/>
      <w:r>
        <w:rPr>
          <w:rtl/>
        </w:rPr>
        <w:t xml:space="preserve">. בתחילתו המכתב מעיד במפורש על יושרו של ר׳ </w:t>
      </w:r>
      <w:proofErr w:type="spellStart"/>
      <w:r>
        <w:rPr>
          <w:rtl/>
        </w:rPr>
        <w:t>איצל׳ה</w:t>
      </w:r>
      <w:proofErr w:type="spellEnd"/>
      <w:r>
        <w:rPr>
          <w:rtl/>
        </w:rPr>
        <w:t xml:space="preserve">, ובסופו הוא מתייחס </w:t>
      </w:r>
      <w:proofErr w:type="spellStart"/>
      <w:r>
        <w:rPr>
          <w:rtl/>
        </w:rPr>
        <w:t>לר</w:t>
      </w:r>
      <w:proofErr w:type="spellEnd"/>
      <w:r>
        <w:rPr>
          <w:rtl/>
        </w:rPr>
        <w:t xml:space="preserve">׳ יעקב הלוי ליפשיץ בעקיפין, כך: “כל עוזריו של ר׳ </w:t>
      </w:r>
      <w:proofErr w:type="spellStart"/>
      <w:r>
        <w:rPr>
          <w:rtl/>
        </w:rPr>
        <w:t>יצחק־אלחנן</w:t>
      </w:r>
      <w:proofErr w:type="spellEnd"/>
      <w:r>
        <w:rPr>
          <w:rtl/>
        </w:rPr>
        <w:t xml:space="preserve"> הם אנשים גדולים ונכבדים, ישרים ונאמנים, והעניין החשוב הזה [כולל קובנה] יקר להם; הם נוהגים בו ביושר ובהגינות, ופועלים ועמלים למען הציבור לשם שמים.” מכתבם של גדולי התורה</w:t>
      </w:r>
      <w:bookmarkStart w:id="2862" w:name="_fnr1993"/>
      <w:r>
        <w:rPr>
          <w:rStyle w:val="a5"/>
        </w:rPr>
        <w:footnoteReference w:id="1998" w:customMarkFollows="0"/>
      </w:r>
      <w:bookmarkEnd w:id="2862"/>
      <w:r>
        <w:rPr>
          <w:rtl/>
        </w:rPr>
        <w:t xml:space="preserve"> גם מכחיש שמועה שהפיצו משמיצים, </w:t>
      </w:r>
      <w:proofErr w:type="spellStart"/>
      <w:r>
        <w:rPr>
          <w:rtl/>
        </w:rPr>
        <w:t>ש“ר</w:t>
      </w:r>
      <w:proofErr w:type="spellEnd"/>
      <w:r>
        <w:rPr>
          <w:rtl/>
        </w:rPr>
        <w:t xml:space="preserve">׳ </w:t>
      </w:r>
      <w:proofErr w:type="spellStart"/>
      <w:r>
        <w:rPr>
          <w:rtl/>
        </w:rPr>
        <w:t>איצל׳ה</w:t>
      </w:r>
      <w:proofErr w:type="spellEnd"/>
      <w:r>
        <w:rPr>
          <w:rtl/>
        </w:rPr>
        <w:t xml:space="preserve"> נתון במחלוקת עם [הנדיב אמיל] לחמן”. נאמר בו: “[מפיצי השמועה] אינם נותנים את דעתם למה שכבר התפרסם בעיתונות, שמר לחמן עצמו הכחיש את העניין לחלוטין; אין ביניהם שום טענה ומענה.”</w:t>
      </w:r>
    </w:p>
    <w:bookmarkStart w:id="2863" w:name="b3_excM"/>
    <w:p w14:paraId="24171F24" w14:textId="77777777" w:rsidR="00AB3647" w:rsidRDefault="00000000" w:rsidP="007923E9">
      <w:pPr>
        <w:pStyle w:val="3"/>
        <w:spacing w:line="276" w:lineRule="auto"/>
      </w:pPr>
      <w:r>
        <w:lastRenderedPageBreak/>
        <w:fldChar w:fldCharType="begin" w:dirty="true"/>
      </w:r>
      <w:r>
        <w:rPr>
          <w:rtl w:val="0"/>
        </w:rPr>
        <w:instrText>HYPERLINK \l "b3_note37</w:instrText>
      </w:r>
      <w:r>
        <w:instrText>"</w:instrText>
      </w:r>
      <w:r>
        <w:fldChar w:fldCharType="separate"/>
      </w:r>
      <w:r>
        <w:t xml:space="preserve">נספח </w:t>
      </w:r>
      <w:proofErr w:type="spellStart"/>
      <w:r>
        <w:t>יג</w:t>
      </w:r>
      <w:proofErr w:type="spellEnd"/>
      <w:r>
        <w:fldChar w:fldCharType="end"/>
      </w:r>
      <w:bookmarkEnd w:id="2863"/>
    </w:p>
    <w:p w14:paraId="26126BBE" w14:textId="77777777" w:rsidR="00AB3647" w:rsidRDefault="00000000" w:rsidP="007923E9">
      <w:pPr>
        <w:pStyle w:val="af"/>
        <w:spacing w:line="276" w:lineRule="auto"/>
      </w:pPr>
      <w:r>
        <w:t xml:space="preserve">על פעולותיו ועל אופיו של ר׳ </w:t>
      </w:r>
      <w:proofErr w:type="spellStart"/>
      <w:r>
        <w:t>צבי־הירש</w:t>
      </w:r>
      <w:proofErr w:type="spellEnd"/>
      <w:r>
        <w:t xml:space="preserve"> </w:t>
      </w:r>
      <w:proofErr w:type="spellStart"/>
      <w:r>
        <w:t>רבינוביץ</w:t>
      </w:r>
      <w:proofErr w:type="spellEnd"/>
      <w:r>
        <w:t xml:space="preserve">, בנו וממלא מקומו של ר׳ </w:t>
      </w:r>
      <w:proofErr w:type="spellStart"/>
      <w:r>
        <w:t>יצחק־אלחנן</w:t>
      </w:r>
      <w:proofErr w:type="spellEnd"/>
      <w:r>
        <w:t xml:space="preserve"> </w:t>
      </w:r>
      <w:proofErr w:type="spellStart"/>
      <w:r>
        <w:t>ספקטור</w:t>
      </w:r>
      <w:proofErr w:type="spellEnd"/>
      <w:r>
        <w:t xml:space="preserve"> מקובנה</w:t>
      </w:r>
    </w:p>
    <w:p w14:paraId="2BBC0C53" w14:textId="77777777" w:rsidR="00AB3647" w:rsidRDefault="00000000" w:rsidP="007923E9">
      <w:pPr>
        <w:pStyle w:val="4"/>
        <w:spacing w:line="276" w:lineRule="auto"/>
      </w:pPr>
      <w:r>
        <w:t>· הפסקה הראשונה ·</w:t>
      </w:r>
    </w:p>
    <w:p w14:paraId="68319DBF" w14:textId="77777777" w:rsidR="00AB3647" w:rsidRDefault="00000000" w:rsidP="007923E9">
      <w:pPr>
        <w:pStyle w:val="5"/>
        <w:spacing w:line="276" w:lineRule="auto"/>
      </w:pPr>
      <w:r>
        <w:t xml:space="preserve">ר׳ </w:t>
      </w:r>
      <w:proofErr w:type="spellStart"/>
      <w:r>
        <w:t>צבי־הירש</w:t>
      </w:r>
      <w:proofErr w:type="spellEnd"/>
      <w:r>
        <w:t xml:space="preserve"> </w:t>
      </w:r>
      <w:proofErr w:type="spellStart"/>
      <w:r>
        <w:t>רבינוביץ</w:t>
      </w:r>
      <w:proofErr w:type="spellEnd"/>
      <w:r>
        <w:t xml:space="preserve"> פותח בדרך המסחר ומסיים ברבנות</w:t>
      </w:r>
    </w:p>
    <w:p w14:paraId="527DA12C" w14:textId="77777777" w:rsidR="00AB3647" w:rsidRDefault="00000000" w:rsidP="007923E9">
      <w:pPr>
        <w:spacing w:after="120" w:line="276" w:lineRule="auto"/>
        <w:ind w:firstLine="283"/>
        <w:jc w:val="both"/>
      </w:pPr>
      <w:r>
        <w:rPr>
          <w:rtl/>
        </w:rPr>
        <w:t xml:space="preserve">ר׳ </w:t>
      </w:r>
      <w:proofErr w:type="spellStart"/>
      <w:r>
        <w:rPr>
          <w:rtl/>
        </w:rPr>
        <w:t>צבי־הירש</w:t>
      </w:r>
      <w:proofErr w:type="spellEnd"/>
      <w:r>
        <w:rPr>
          <w:rtl/>
        </w:rPr>
        <w:t xml:space="preserve"> </w:t>
      </w:r>
      <w:proofErr w:type="spellStart"/>
      <w:r>
        <w:rPr>
          <w:rtl/>
        </w:rPr>
        <w:t>רבינוביץ</w:t>
      </w:r>
      <w:bookmarkStart w:id="2864" w:name="_fnr1994"/>
      <w:proofErr w:type="spellEnd"/>
      <w:r>
        <w:rPr>
          <w:rStyle w:val="a5"/>
        </w:rPr>
        <w:footnoteReference w:id="1999" w:customMarkFollows="0"/>
      </w:r>
      <w:bookmarkEnd w:id="2864"/>
      <w:r>
        <w:rPr>
          <w:rtl/>
        </w:rPr>
        <w:t xml:space="preserve"> נולד בשנת תר״ח בעיירה </w:t>
      </w:r>
      <w:proofErr w:type="spellStart"/>
      <w:r>
        <w:rPr>
          <w:rtl/>
        </w:rPr>
        <w:t>ניאסוויז</w:t>
      </w:r>
      <w:proofErr w:type="spellEnd"/>
      <w:r>
        <w:rPr>
          <w:rtl/>
        </w:rPr>
        <w:t xml:space="preserve">׳, שבה כיהן אביו כרב. הוא ניחן בשכל מבריק, ומאחר שלא נמצא בעיר מלמד ראוי לו מבני המקום, למד אצל אביו מילדותו ועד נישואיו בגיל </w:t>
      </w:r>
      <w:proofErr w:type="spellStart"/>
      <w:r>
        <w:rPr>
          <w:rtl/>
        </w:rPr>
        <w:t>שמונה־עשרה</w:t>
      </w:r>
      <w:proofErr w:type="spellEnd"/>
      <w:r>
        <w:rPr>
          <w:rtl/>
        </w:rPr>
        <w:t xml:space="preserve">. באותה עת עבר אביו לכהן כרב קובנה. את לימודיו המשיך בשקידה בעודו סמוך על שולחן חותנו, במשך שמונה שנים, בעיירה </w:t>
      </w:r>
      <w:proofErr w:type="spellStart"/>
      <w:r>
        <w:rPr>
          <w:rtl/>
        </w:rPr>
        <w:t>סולצ׳ניק</w:t>
      </w:r>
      <w:proofErr w:type="spellEnd"/>
      <w:r>
        <w:rPr>
          <w:rtl/>
        </w:rPr>
        <w:t xml:space="preserve">. אחר כך נעשה בעל בית חרושת בקובנה, אבל הקדיש ללימוד זמן רב בהרבה מאשר לעסקיו. משרדו היה תמיד מלא כל כך ברבנים ובתלמידי חכמים צעירים </w:t>
      </w:r>
      <w:proofErr w:type="spellStart"/>
      <w:r>
        <w:rPr>
          <w:rtl/>
        </w:rPr>
        <w:t>ש“מדברים</w:t>
      </w:r>
      <w:proofErr w:type="spellEnd"/>
      <w:r>
        <w:rPr>
          <w:rtl/>
        </w:rPr>
        <w:t xml:space="preserve"> בלימוד” עמו, עד שהלקוחות לא יכלו להיכנס.</w:t>
      </w:r>
    </w:p>
    <w:p w14:paraId="389CE755" w14:textId="2C297E05" w:rsidR="00AB3647" w:rsidRDefault="00000000" w:rsidP="007923E9">
      <w:pPr>
        <w:spacing w:after="120" w:line="276" w:lineRule="auto"/>
        <w:ind w:firstLine="283"/>
        <w:jc w:val="both"/>
      </w:pPr>
      <w:r>
        <w:rPr>
          <w:rtl/>
        </w:rPr>
        <w:t xml:space="preserve">כשנפתח כולל קובנה שלוש שנים לאחר מכן, מינה אותו אביו למנהלו, אך זמן קצר אחר כך נקלעו עסקיו למצוקה כזאת שנאלץ לוותר על תפקידיו בכולל. בשנת </w:t>
      </w:r>
      <w:proofErr w:type="spellStart"/>
      <w:r>
        <w:rPr>
          <w:rtl/>
        </w:rPr>
        <w:t>תר״ם</w:t>
      </w:r>
      <w:proofErr w:type="spellEnd"/>
      <w:r>
        <w:rPr>
          <w:rtl/>
        </w:rPr>
        <w:t xml:space="preserve"> אילצו אותו עסקיו לעזוב את קובנה כליל, וכעבור שנתיים עזב את עיסוקיו החומריים ופנה לרבנות. השווה “לפרקים”</w:t>
      </w:r>
      <w:bookmarkStart w:id="2865" w:name="_fnr1995"/>
      <w:r>
        <w:rPr>
          <w:rStyle w:val="a5"/>
        </w:rPr>
        <w:footnoteReference w:id="2000" w:customMarkFollows="0"/>
      </w:r>
      <w:bookmarkEnd w:id="2865"/>
      <w:r>
        <w:rPr>
          <w:rtl/>
        </w:rPr>
        <w:t xml:space="preserve">, שם מסופר שר׳ </w:t>
      </w:r>
      <w:proofErr w:type="spellStart"/>
      <w:r>
        <w:rPr>
          <w:rtl/>
        </w:rPr>
        <w:t>יצחק־אלחנן</w:t>
      </w:r>
      <w:proofErr w:type="spellEnd"/>
      <w:r>
        <w:rPr>
          <w:rtl/>
        </w:rPr>
        <w:t xml:space="preserve"> אמר ש“(תפילותיו) נענו</w:t>
      </w:r>
      <w:bookmarkStart w:id="2866" w:name="_fnr1996"/>
      <w:r>
        <w:rPr>
          <w:rStyle w:val="a5"/>
        </w:rPr>
        <w:footnoteReference w:id="2001" w:customMarkFollows="0"/>
      </w:r>
      <w:bookmarkEnd w:id="2866"/>
      <w:r>
        <w:rPr>
          <w:rtl/>
        </w:rPr>
        <w:t xml:space="preserve"> ו(בנו) יהיה עתה מה שהיה צריך להיות” – רב. השווה פרק 5, הערה </w:t>
      </w:r>
      <w:r>
        <w:rPr>
          <w:rtl/>
        </w:rPr>
        <w:fldChar w:fldCharType="begin" w:dirty="true"/>
      </w:r>
      <w:r>
        <w:rPr>
          <w:rtl/>
        </w:rPr>
        <w:instrText xml:space="preserve"> REF b5_note82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82</w:t>
      </w:r>
      <w:r>
        <w:rPr>
          <w:rtl/>
        </w:rPr>
        <w:fldChar w:fldCharType="end"/>
      </w:r>
      <w:r>
        <w:rPr>
          <w:rtl/>
        </w:rPr>
        <w:t xml:space="preserve">, ובה טבלת משרות הרבנות של ר׳ </w:t>
      </w:r>
      <w:proofErr w:type="spellStart"/>
      <w:r>
        <w:rPr>
          <w:rtl/>
        </w:rPr>
        <w:t>צבי־הירש</w:t>
      </w:r>
      <w:proofErr w:type="spellEnd"/>
      <w:r>
        <w:rPr>
          <w:rtl/>
        </w:rPr>
        <w:t xml:space="preserve"> לפני שקיבל את המינוי בקובנה.</w:t>
      </w:r>
    </w:p>
    <w:p w14:paraId="76637341" w14:textId="77777777" w:rsidR="00AB3647" w:rsidRDefault="00000000" w:rsidP="007923E9">
      <w:pPr>
        <w:pStyle w:val="4"/>
        <w:spacing w:line="276" w:lineRule="auto"/>
      </w:pPr>
      <w:r>
        <w:t>· הפסקה השנייה ·</w:t>
      </w:r>
    </w:p>
    <w:p w14:paraId="60497A79" w14:textId="77777777" w:rsidR="00AB3647" w:rsidRDefault="00000000" w:rsidP="007923E9">
      <w:pPr>
        <w:pStyle w:val="5"/>
        <w:spacing w:line="276" w:lineRule="auto"/>
      </w:pPr>
      <w:r>
        <w:t xml:space="preserve">ר׳ </w:t>
      </w:r>
      <w:proofErr w:type="spellStart"/>
      <w:r>
        <w:t>צבי־הירש</w:t>
      </w:r>
      <w:proofErr w:type="spellEnd"/>
      <w:r>
        <w:t xml:space="preserve"> פעיל בענייני הציבור – טענתו מאפשרת לחדרים להמשיך ללמד תורה בלבד</w:t>
      </w:r>
    </w:p>
    <w:p w14:paraId="7DEC6984" w14:textId="77777777" w:rsidR="00AB3647" w:rsidRDefault="00000000" w:rsidP="007923E9">
      <w:pPr>
        <w:spacing w:after="120" w:line="276" w:lineRule="auto"/>
        <w:ind w:firstLine="283"/>
        <w:jc w:val="both"/>
      </w:pPr>
      <w:r>
        <w:rPr>
          <w:rtl/>
        </w:rPr>
        <w:t xml:space="preserve">אין פלא שר׳ </w:t>
      </w:r>
      <w:proofErr w:type="spellStart"/>
      <w:r>
        <w:rPr>
          <w:rtl/>
        </w:rPr>
        <w:t>צבי־הירש</w:t>
      </w:r>
      <w:proofErr w:type="spellEnd"/>
      <w:r>
        <w:rPr>
          <w:rtl/>
        </w:rPr>
        <w:t xml:space="preserve"> </w:t>
      </w:r>
      <w:proofErr w:type="spellStart"/>
      <w:r>
        <w:rPr>
          <w:rtl/>
        </w:rPr>
        <w:t>רבינוביץ</w:t>
      </w:r>
      <w:proofErr w:type="spellEnd"/>
      <w:r>
        <w:rPr>
          <w:rtl/>
        </w:rPr>
        <w:t xml:space="preserve"> פעל נגד המוסר, תנועה שהתנגד לה, שהרי היה עסקן בענייני הציבור שנים רבות. הוא ליווה את אביו לכמה פגישות עם פקידי הממשלה (ועם מנהיגים יהודים מתבוללים) בפטרבורג</w:t>
      </w:r>
      <w:bookmarkStart w:id="2867" w:name="_fnr1997"/>
      <w:r>
        <w:rPr>
          <w:rStyle w:val="a5"/>
        </w:rPr>
        <w:footnoteReference w:id="2002" w:customMarkFollows="0"/>
      </w:r>
      <w:bookmarkEnd w:id="2867"/>
      <w:r>
        <w:rPr>
          <w:rtl/>
        </w:rPr>
        <w:t>.</w:t>
      </w:r>
    </w:p>
    <w:p w14:paraId="7198ECEE" w14:textId="77777777" w:rsidR="00AB3647" w:rsidRDefault="00000000" w:rsidP="007923E9">
      <w:pPr>
        <w:spacing w:after="120" w:line="276" w:lineRule="auto"/>
        <w:ind w:firstLine="283"/>
        <w:jc w:val="both"/>
      </w:pPr>
      <w:r>
        <w:rPr>
          <w:rtl/>
        </w:rPr>
        <w:t>יעקב מארק, המקדיש פרק</w:t>
      </w:r>
      <w:bookmarkStart w:id="2868" w:name="_fnr1998"/>
      <w:r>
        <w:rPr>
          <w:rStyle w:val="a5"/>
        </w:rPr>
        <w:footnoteReference w:id="2003" w:customMarkFollows="0"/>
      </w:r>
      <w:bookmarkEnd w:id="2868"/>
      <w:r>
        <w:rPr>
          <w:rtl/>
        </w:rPr>
        <w:t xml:space="preserve"> </w:t>
      </w:r>
      <w:proofErr w:type="spellStart"/>
      <w:r>
        <w:rPr>
          <w:rtl/>
        </w:rPr>
        <w:t>לר</w:t>
      </w:r>
      <w:proofErr w:type="spellEnd"/>
      <w:r>
        <w:rPr>
          <w:rtl/>
        </w:rPr>
        <w:t xml:space="preserve">׳ </w:t>
      </w:r>
      <w:proofErr w:type="spellStart"/>
      <w:r>
        <w:rPr>
          <w:rtl/>
        </w:rPr>
        <w:t>צבי־הירש</w:t>
      </w:r>
      <w:proofErr w:type="spellEnd"/>
      <w:r>
        <w:rPr>
          <w:rtl/>
        </w:rPr>
        <w:t xml:space="preserve"> </w:t>
      </w:r>
      <w:proofErr w:type="spellStart"/>
      <w:r>
        <w:rPr>
          <w:rtl/>
        </w:rPr>
        <w:t>רבינוביץ</w:t>
      </w:r>
      <w:proofErr w:type="spellEnd"/>
      <w:r>
        <w:rPr>
          <w:rtl/>
        </w:rPr>
        <w:t xml:space="preserve">, מתאר בין השאר כיצד השיג בשנת תרמ״ז פירוש חדש לגזירה שסיכנה את קיומם של החדרים בכל רוסיה. צרותיהם של החדרים </w:t>
      </w:r>
      <w:r>
        <w:rPr>
          <w:rtl/>
        </w:rPr>
        <w:lastRenderedPageBreak/>
        <w:t xml:space="preserve">החלו כבר בשנת תרט״ו, כשפורסמה גזירה מלכותית שהמלמדים חייבים להיות בוגרי גימנסיה. מלמדים כאלה לא נמצאו, ולכן נדחה ביצועה בעשרים שנה, כדי לתת די זמן להכשרת דור חדש של מלמדי חדרים. בשנת תרל״ה, כשתמה הארכת הזמן, ניתנה פקודה לאסור את כל המלמדים שאין בידם רישיון. אבל פעולה שנולדה מאספה של ר׳ ישראל </w:t>
      </w:r>
      <w:proofErr w:type="spellStart"/>
      <w:r>
        <w:rPr>
          <w:rtl/>
        </w:rPr>
        <w:t>סלנטר</w:t>
      </w:r>
      <w:proofErr w:type="spellEnd"/>
      <w:r>
        <w:rPr>
          <w:rtl/>
        </w:rPr>
        <w:t xml:space="preserve">, ר׳ </w:t>
      </w:r>
      <w:proofErr w:type="spellStart"/>
      <w:r>
        <w:rPr>
          <w:rtl/>
        </w:rPr>
        <w:t>יצחק־אלחנן</w:t>
      </w:r>
      <w:proofErr w:type="spellEnd"/>
      <w:r>
        <w:rPr>
          <w:rtl/>
        </w:rPr>
        <w:t xml:space="preserve">, ר׳ הלל </w:t>
      </w:r>
      <w:proofErr w:type="spellStart"/>
      <w:r>
        <w:rPr>
          <w:rtl/>
        </w:rPr>
        <w:t>סלנטר</w:t>
      </w:r>
      <w:proofErr w:type="spellEnd"/>
      <w:r>
        <w:rPr>
          <w:rtl/>
        </w:rPr>
        <w:t xml:space="preserve"> ור׳ </w:t>
      </w:r>
      <w:proofErr w:type="spellStart"/>
      <w:r>
        <w:rPr>
          <w:rtl/>
        </w:rPr>
        <w:t>אלינקה</w:t>
      </w:r>
      <w:proofErr w:type="spellEnd"/>
      <w:r>
        <w:rPr>
          <w:rtl/>
        </w:rPr>
        <w:t xml:space="preserve"> </w:t>
      </w:r>
      <w:proofErr w:type="spellStart"/>
      <w:r>
        <w:rPr>
          <w:rtl/>
        </w:rPr>
        <w:t>קרטינגער</w:t>
      </w:r>
      <w:proofErr w:type="spellEnd"/>
      <w:r>
        <w:rPr>
          <w:rtl/>
        </w:rPr>
        <w:t xml:space="preserve"> (</w:t>
      </w:r>
      <w:proofErr w:type="spellStart"/>
      <w:r>
        <w:rPr>
          <w:rtl/>
        </w:rPr>
        <w:t>לוינסון</w:t>
      </w:r>
      <w:proofErr w:type="spellEnd"/>
      <w:r>
        <w:rPr>
          <w:rtl/>
        </w:rPr>
        <w:t xml:space="preserve">) השיגה דחייה של שנתיים בהחלת החוק. עד שחלפו השנתיים נתמנה הרוזן הליברלי לב </w:t>
      </w:r>
      <w:proofErr w:type="spellStart"/>
      <w:r>
        <w:rPr>
          <w:rtl/>
        </w:rPr>
        <w:t>טולסטוי</w:t>
      </w:r>
      <w:proofErr w:type="spellEnd"/>
      <w:r>
        <w:rPr>
          <w:rtl/>
        </w:rPr>
        <w:t xml:space="preserve"> לשר החינוך</w:t>
      </w:r>
      <w:bookmarkStart w:id="2869" w:name="_fnr1999"/>
      <w:r>
        <w:rPr>
          <w:rStyle w:val="a5"/>
        </w:rPr>
        <w:t/>
      </w:r>
      <w:bookmarkStart w:id="7021" w:name="_TranslatorNote_1998"/>
      <w:r>
        <w:rPr>
          <w:rStyle w:val="a5"/>
          <w:vertAlign w:val="superscript"/>
          <w:rtl/>
        </w:rPr>
        <w:footnoteReference w:id="2004" w:customMarkFollows="1"/>
        <w:t>*</w:t>
      </w:r>
      <w:bookmarkEnd w:id="7021"/>
      <w:bookmarkEnd w:id="2869"/>
      <w:r>
        <w:rPr>
          <w:rtl/>
        </w:rPr>
        <w:t>. משראה את העוול שבגזירה, השיג את ביטולה בידי הצאר “עד שתגבש הממשלה תכנית אחרת”, ובכך נותר גורל החדרים, לשמחת הכול, תלוי ועומד לאין קץ.</w:t>
      </w:r>
    </w:p>
    <w:p w14:paraId="12C64998" w14:textId="77777777" w:rsidR="00AB3647" w:rsidRDefault="00000000" w:rsidP="007923E9">
      <w:pPr>
        <w:spacing w:after="120" w:line="276" w:lineRule="auto"/>
        <w:ind w:firstLine="283"/>
        <w:jc w:val="both"/>
      </w:pPr>
      <w:r>
        <w:rPr>
          <w:rtl/>
        </w:rPr>
        <w:t>אבל חמש שנים לאחר רצח אלכסנדר השני</w:t>
      </w:r>
      <w:bookmarkStart w:id="2870" w:name="_fnr2000"/>
      <w:r>
        <w:rPr>
          <w:rStyle w:val="a5"/>
        </w:rPr>
        <w:footnoteReference w:id="2005" w:customMarkFollows="0"/>
      </w:r>
      <w:bookmarkEnd w:id="2870"/>
      <w:r>
        <w:rPr>
          <w:rtl/>
        </w:rPr>
        <w:t xml:space="preserve"> נחקק איסור כללי על בתי ספר פרטיים. החדרים נכללו בגדר זו, ולכן נאסרו מלמדים בעיירות רבות בליטא. </w:t>
      </w:r>
      <w:proofErr w:type="spellStart"/>
      <w:r>
        <w:rPr>
          <w:rtl/>
        </w:rPr>
        <w:t>אסיפת</w:t>
      </w:r>
      <w:proofErr w:type="spellEnd"/>
      <w:r>
        <w:rPr>
          <w:rtl/>
        </w:rPr>
        <w:t xml:space="preserve"> חירום של מנהיגי היהדות בקובנה שלחה את ר׳ </w:t>
      </w:r>
      <w:proofErr w:type="spellStart"/>
      <w:r>
        <w:rPr>
          <w:rtl/>
        </w:rPr>
        <w:t>צבי־הירש</w:t>
      </w:r>
      <w:proofErr w:type="spellEnd"/>
      <w:r>
        <w:rPr>
          <w:rtl/>
        </w:rPr>
        <w:t xml:space="preserve"> לפטרבורג, ושם עלה בידו להביא להכרה בכך שהחדרים פטורים מן הכלל החל על בתי ספר “פרטיים”. טענתו הייתה שלחדרים יש רשות מלכותית מיוחדת להמשיך בפעולתם “עד שתגבש הממשלה חלופה </w:t>
      </w:r>
      <w:proofErr w:type="spellStart"/>
      <w:r>
        <w:rPr>
          <w:rtl/>
        </w:rPr>
        <w:t>לתכנית</w:t>
      </w:r>
      <w:proofErr w:type="spellEnd"/>
      <w:r>
        <w:rPr>
          <w:rtl/>
        </w:rPr>
        <w:t xml:space="preserve"> תרט״ו”. כך, למרבה הפלא, שימשה גזירה רעה אחת לביטולה של אחרת. ניצחונו של ר׳ </w:t>
      </w:r>
      <w:proofErr w:type="spellStart"/>
      <w:r>
        <w:rPr>
          <w:rtl/>
        </w:rPr>
        <w:t>צבי־הירש</w:t>
      </w:r>
      <w:proofErr w:type="spellEnd"/>
      <w:r>
        <w:rPr>
          <w:rtl/>
        </w:rPr>
        <w:t xml:space="preserve"> הומתק עוד יותר כשההיתר המיוחד שהתיר לחדרים להמשיך בפעולתם פורסם בהסתייגות שמותר להם </w:t>
      </w:r>
      <w:r>
        <w:rPr>
          <w:b/>
          <w:bCs/>
          <w:rtl/>
        </w:rPr>
        <w:t>ללמד מקצועות דת בלבד</w:t>
      </w:r>
      <w:r>
        <w:rPr>
          <w:rtl/>
        </w:rPr>
        <w:t>.</w:t>
      </w:r>
    </w:p>
    <w:p w14:paraId="5C020BAE" w14:textId="77777777" w:rsidR="00AB3647" w:rsidRDefault="00000000" w:rsidP="007923E9">
      <w:pPr>
        <w:spacing w:after="120" w:line="276" w:lineRule="auto"/>
        <w:ind w:firstLine="283"/>
        <w:jc w:val="both"/>
      </w:pPr>
      <w:r>
        <w:rPr>
          <w:rtl/>
        </w:rPr>
        <w:t>יעקב מארק</w:t>
      </w:r>
      <w:bookmarkStart w:id="2871" w:name="_fnr2001"/>
      <w:r>
        <w:rPr>
          <w:rStyle w:val="a5"/>
        </w:rPr>
        <w:footnoteReference w:id="2006" w:customMarkFollows="0"/>
      </w:r>
      <w:bookmarkEnd w:id="2871"/>
      <w:r>
        <w:rPr>
          <w:rtl/>
        </w:rPr>
        <w:t xml:space="preserve"> קובע שר׳ </w:t>
      </w:r>
      <w:proofErr w:type="spellStart"/>
      <w:r>
        <w:rPr>
          <w:rtl/>
        </w:rPr>
        <w:t>צבי־הירש</w:t>
      </w:r>
      <w:proofErr w:type="spellEnd"/>
      <w:r>
        <w:rPr>
          <w:rtl/>
        </w:rPr>
        <w:t xml:space="preserve"> היה “במשך שלושים שנה אחד ממנהיגיה הראשיים של יהדות רוסיה”. ראה גם את תחילת הפסקה השנייה של הנספח הקודם, שם מובא שגם ר׳ חיים </w:t>
      </w:r>
      <w:proofErr w:type="spellStart"/>
      <w:r>
        <w:rPr>
          <w:rtl/>
        </w:rPr>
        <w:t>סולובייצ׳יק</w:t>
      </w:r>
      <w:proofErr w:type="spellEnd"/>
      <w:r>
        <w:rPr>
          <w:rtl/>
        </w:rPr>
        <w:t xml:space="preserve"> כתב בעיקרו של דבר אותו הדבר על ר׳ </w:t>
      </w:r>
      <w:proofErr w:type="spellStart"/>
      <w:r>
        <w:rPr>
          <w:rtl/>
        </w:rPr>
        <w:t>צבי־הירש</w:t>
      </w:r>
      <w:proofErr w:type="spellEnd"/>
      <w:r>
        <w:rPr>
          <w:rtl/>
        </w:rPr>
        <w:t>.</w:t>
      </w:r>
    </w:p>
    <w:p w14:paraId="55870CA5" w14:textId="77777777" w:rsidR="00AB3647" w:rsidRDefault="00000000" w:rsidP="007923E9">
      <w:pPr>
        <w:pStyle w:val="4"/>
        <w:spacing w:line="276" w:lineRule="auto"/>
      </w:pPr>
      <w:r>
        <w:t>· הפסקה השלישית ·</w:t>
      </w:r>
    </w:p>
    <w:p w14:paraId="38FCE823" w14:textId="77777777" w:rsidR="00AB3647" w:rsidRDefault="00000000" w:rsidP="007923E9">
      <w:pPr>
        <w:pStyle w:val="5"/>
        <w:spacing w:line="276" w:lineRule="auto"/>
      </w:pPr>
      <w:r>
        <w:t xml:space="preserve">ר׳ </w:t>
      </w:r>
      <w:proofErr w:type="spellStart"/>
      <w:r>
        <w:t>צבי־הירש</w:t>
      </w:r>
      <w:proofErr w:type="spellEnd"/>
      <w:r>
        <w:t xml:space="preserve"> אוהב תורה בלי הבדל זרם – הוא מגלה רחמים של צדיק כלפי אשתו החולה</w:t>
      </w:r>
    </w:p>
    <w:p w14:paraId="59626A85" w14:textId="4ED4601B" w:rsidR="00AB3647" w:rsidRDefault="00000000" w:rsidP="007923E9">
      <w:pPr>
        <w:spacing w:after="120" w:line="276" w:lineRule="auto"/>
        <w:ind w:firstLine="283"/>
        <w:jc w:val="both"/>
      </w:pPr>
      <w:proofErr w:type="spellStart"/>
      <w:r>
        <w:rPr>
          <w:rtl/>
        </w:rPr>
        <w:t>ב“לפרקים</w:t>
      </w:r>
      <w:proofErr w:type="spellEnd"/>
      <w:r>
        <w:rPr>
          <w:rtl/>
        </w:rPr>
        <w:t>”</w:t>
      </w:r>
      <w:bookmarkStart w:id="2872" w:name="_fnr2002"/>
      <w:r>
        <w:rPr>
          <w:rStyle w:val="a5"/>
        </w:rPr>
        <w:footnoteReference w:id="2007" w:customMarkFollows="0"/>
      </w:r>
      <w:bookmarkEnd w:id="2872"/>
      <w:r>
        <w:rPr>
          <w:rtl/>
        </w:rPr>
        <w:t xml:space="preserve"> מספר מחברו שבשנת תרס״ה הודה </w:t>
      </w:r>
      <w:proofErr w:type="spellStart"/>
      <w:r>
        <w:rPr>
          <w:rtl/>
        </w:rPr>
        <w:t>לר</w:t>
      </w:r>
      <w:proofErr w:type="spellEnd"/>
      <w:r>
        <w:rPr>
          <w:rtl/>
        </w:rPr>
        <w:t xml:space="preserve">׳ </w:t>
      </w:r>
      <w:proofErr w:type="spellStart"/>
      <w:r>
        <w:rPr>
          <w:rtl/>
        </w:rPr>
        <w:t>צבי־הירש</w:t>
      </w:r>
      <w:proofErr w:type="spellEnd"/>
      <w:r>
        <w:rPr>
          <w:rtl/>
        </w:rPr>
        <w:t xml:space="preserve"> </w:t>
      </w:r>
      <w:proofErr w:type="spellStart"/>
      <w:r>
        <w:rPr>
          <w:rtl/>
        </w:rPr>
        <w:t>רבינוביץ</w:t>
      </w:r>
      <w:proofErr w:type="spellEnd"/>
      <w:r>
        <w:rPr>
          <w:rtl/>
        </w:rPr>
        <w:t xml:space="preserve"> על שסייע לו לקבל את משרת הרבנות הראשונה שלו “אף על פי שהוא בעל מוסר”, וקיבל את התשובה: “אין לי אהבה לזרם; אני יודע רק אהבת תורה.” עוד נאמר שם: “בפטירתו [בשנת תר״ע] נאלצו אפילו מתנגדיו לבכות, כי נודע שתמך בסתר ברבים מאנשי המוסר שאיבדו את מקור פרנסתם עם התפטרותו של ר׳ </w:t>
      </w:r>
      <w:proofErr w:type="spellStart"/>
      <w:r>
        <w:rPr>
          <w:rtl/>
        </w:rPr>
        <w:t>איצל׳ה</w:t>
      </w:r>
      <w:proofErr w:type="spellEnd"/>
      <w:r>
        <w:rPr>
          <w:rtl/>
        </w:rPr>
        <w:t xml:space="preserve"> </w:t>
      </w:r>
      <w:proofErr w:type="spellStart"/>
      <w:r>
        <w:rPr>
          <w:rtl/>
        </w:rPr>
        <w:t>בלאזר</w:t>
      </w:r>
      <w:proofErr w:type="spellEnd"/>
      <w:r>
        <w:rPr>
          <w:rtl/>
        </w:rPr>
        <w:t xml:space="preserve"> מהנהלת כולל קובנה [בשנת תרנ״א]. בחייו לא הבינו אותו פעמים רבות, ואף ספג עלבונות.” השווה גם סוף </w:t>
      </w:r>
      <w:r>
        <w:rPr>
          <w:rtl/>
        </w:rPr>
        <w:fldChar w:fldCharType="begin" w:dirty="true"/>
      </w:r>
      <w:r>
        <w:rPr>
          <w:rtl/>
        </w:rPr>
        <w:instrText xml:space="preserve"> REF b3_excX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כד</w:t>
      </w:r>
      <w:r>
        <w:rPr>
          <w:rtl/>
        </w:rPr>
        <w:fldChar w:fldCharType="end"/>
      </w:r>
      <w:r>
        <w:rPr>
          <w:rtl/>
        </w:rPr>
        <w:t xml:space="preserve"> להלן.</w:t>
      </w:r>
    </w:p>
    <w:p w14:paraId="2F9D480F" w14:textId="77777777" w:rsidR="00AB3647" w:rsidRDefault="00000000" w:rsidP="007923E9">
      <w:pPr>
        <w:spacing w:after="120" w:line="276" w:lineRule="auto"/>
        <w:ind w:firstLine="283"/>
        <w:jc w:val="both"/>
      </w:pPr>
      <w:r>
        <w:rPr>
          <w:rtl/>
        </w:rPr>
        <w:t>רבנו סיפר</w:t>
      </w:r>
      <w:bookmarkStart w:id="2873" w:name="_fnr2003"/>
      <w:r>
        <w:rPr>
          <w:rStyle w:val="a5"/>
        </w:rPr>
        <w:footnoteReference w:id="2008" w:customMarkFollows="0"/>
      </w:r>
      <w:bookmarkEnd w:id="2873"/>
      <w:r>
        <w:rPr>
          <w:rtl/>
        </w:rPr>
        <w:t xml:space="preserve"> את המעשה הבא: אשתו של ר׳ </w:t>
      </w:r>
      <w:proofErr w:type="spellStart"/>
      <w:r>
        <w:rPr>
          <w:rtl/>
        </w:rPr>
        <w:t>צבי־הירש</w:t>
      </w:r>
      <w:proofErr w:type="spellEnd"/>
      <w:r>
        <w:rPr>
          <w:rtl/>
        </w:rPr>
        <w:t xml:space="preserve"> </w:t>
      </w:r>
      <w:proofErr w:type="spellStart"/>
      <w:r>
        <w:rPr>
          <w:rtl/>
        </w:rPr>
        <w:t>רבינוביץ</w:t>
      </w:r>
      <w:proofErr w:type="spellEnd"/>
      <w:r>
        <w:rPr>
          <w:rtl/>
        </w:rPr>
        <w:t xml:space="preserve"> נטרפה דעתה. היא אושפזה בבית חולים, והרופאים אמרו שאין לה מרפא. ר׳ </w:t>
      </w:r>
      <w:proofErr w:type="spellStart"/>
      <w:r>
        <w:rPr>
          <w:rtl/>
        </w:rPr>
        <w:t>צבי־הירש</w:t>
      </w:r>
      <w:proofErr w:type="spellEnd"/>
      <w:r>
        <w:rPr>
          <w:rtl/>
        </w:rPr>
        <w:t xml:space="preserve"> היה עדיין אדם צעיר, </w:t>
      </w:r>
      <w:r>
        <w:rPr>
          <w:rtl/>
        </w:rPr>
        <w:lastRenderedPageBreak/>
        <w:t>וכמה מנכבדי קובנה הציעו לו להשיג “היתר מאה רבנים” כדי לשוב ולהינשא, כדין במקרה כזה. תגובתו הייתה: “כשאומר בתפילת העמידה את ברכת החולים, ‘רפאנו ה׳’, יהיה עליי לכוון שכל חולי ישראל יירפאו חוץ מאשתי [כדי להימנע מן הסיבוכים שחזרתה לשפיות תגרום לנישואיי השניים</w:t>
      </w:r>
      <w:bookmarkStart w:id="2874" w:name="_fnr2004"/>
      <w:r>
        <w:rPr>
          <w:rStyle w:val="a5"/>
        </w:rPr>
        <w:footnoteReference w:id="2009" w:customMarkFollows="0"/>
      </w:r>
      <w:bookmarkEnd w:id="2874"/>
      <w:r>
        <w:rPr>
          <w:rtl/>
        </w:rPr>
        <w:t xml:space="preserve">]; את זאת איני יכול לעשות.” הוא חי לבדו </w:t>
      </w:r>
      <w:r>
        <w:rPr>
          <w:b/>
          <w:bCs/>
          <w:rtl/>
        </w:rPr>
        <w:t>עשרות שנים</w:t>
      </w:r>
      <w:r>
        <w:rPr>
          <w:rtl/>
        </w:rPr>
        <w:t>, עד שמתה בבית החולים.</w:t>
      </w:r>
      <w:bookmarkStart w:id="2875" w:name="_fnr2005"/>
      <w:r>
        <w:rPr>
          <w:rStyle w:val="a5"/>
        </w:rPr>
        <w:footnoteReference w:id="2010" w:customMarkFollows="0"/>
      </w:r>
      <w:bookmarkEnd w:id="2875"/>
    </w:p>
    <w:p w14:paraId="3FE235D3" w14:textId="77777777" w:rsidR="00AB3647" w:rsidRDefault="00000000" w:rsidP="007923E9">
      <w:pPr>
        <w:spacing w:after="120" w:line="276" w:lineRule="auto"/>
        <w:ind w:firstLine="283"/>
        <w:jc w:val="both"/>
      </w:pPr>
      <w:r>
        <w:rPr>
          <w:rtl/>
        </w:rPr>
        <w:t xml:space="preserve">ר׳ </w:t>
      </w:r>
      <w:proofErr w:type="spellStart"/>
      <w:r>
        <w:rPr>
          <w:rtl/>
        </w:rPr>
        <w:t>צבי־הירש</w:t>
      </w:r>
      <w:proofErr w:type="spellEnd"/>
      <w:r>
        <w:rPr>
          <w:rtl/>
        </w:rPr>
        <w:t xml:space="preserve"> </w:t>
      </w:r>
      <w:proofErr w:type="spellStart"/>
      <w:r>
        <w:rPr>
          <w:rtl/>
        </w:rPr>
        <w:t>רבינוביץ</w:t>
      </w:r>
      <w:proofErr w:type="spellEnd"/>
      <w:r>
        <w:rPr>
          <w:rtl/>
        </w:rPr>
        <w:t xml:space="preserve"> נשא אישה לאחר מכן, כפי שעולה </w:t>
      </w:r>
      <w:proofErr w:type="spellStart"/>
      <w:r>
        <w:rPr>
          <w:rtl/>
        </w:rPr>
        <w:t>מ“ספר</w:t>
      </w:r>
      <w:proofErr w:type="spellEnd"/>
      <w:r>
        <w:rPr>
          <w:rtl/>
        </w:rPr>
        <w:t xml:space="preserve"> תולדות ישראל” מאת זאב </w:t>
      </w:r>
      <w:proofErr w:type="spellStart"/>
      <w:r>
        <w:rPr>
          <w:rtl/>
        </w:rPr>
        <w:t>יעבץ</w:t>
      </w:r>
      <w:bookmarkStart w:id="2876" w:name="_fnr2006"/>
      <w:proofErr w:type="spellEnd"/>
      <w:r>
        <w:rPr>
          <w:rStyle w:val="a5"/>
        </w:rPr>
        <w:footnoteReference w:id="2011" w:customMarkFollows="0"/>
      </w:r>
      <w:bookmarkEnd w:id="2876"/>
      <w:r>
        <w:rPr>
          <w:rtl/>
        </w:rPr>
        <w:t xml:space="preserve">. במכתב שכתב אותו מחבר בחורף תרס״ו הוא מתאר כיצד בילה את הקיץ שחלף עם ר׳ </w:t>
      </w:r>
      <w:proofErr w:type="spellStart"/>
      <w:r>
        <w:rPr>
          <w:rtl/>
        </w:rPr>
        <w:t>צבי־הירש</w:t>
      </w:r>
      <w:proofErr w:type="spellEnd"/>
      <w:r>
        <w:rPr>
          <w:rtl/>
        </w:rPr>
        <w:t xml:space="preserve"> </w:t>
      </w:r>
      <w:proofErr w:type="spellStart"/>
      <w:r>
        <w:rPr>
          <w:rtl/>
        </w:rPr>
        <w:t>רבינוביץ</w:t>
      </w:r>
      <w:proofErr w:type="spellEnd"/>
      <w:r>
        <w:rPr>
          <w:rtl/>
        </w:rPr>
        <w:t xml:space="preserve"> [שהיה אז בן חמישים ושמונה]</w:t>
      </w:r>
      <w:bookmarkStart w:id="2877" w:name="_fnr2007"/>
      <w:bookmarkEnd w:id="2877"/>
      <w:r>
        <w:rPr>
          <w:rStyle w:val="a5"/>
        </w:rPr>
        <w:t/>
      </w:r>
      <w:bookmarkStart w:id="7022" w:name="_TranslatorNote_2006"/>
      <w:r>
        <w:rPr>
          <w:rStyle w:val="a5"/>
          <w:vertAlign w:val="superscript"/>
          <w:rtl/>
        </w:rPr>
        <w:footnoteReference w:id="2012" w:customMarkFollows="1"/>
        <w:t>*</w:t>
      </w:r>
      <w:bookmarkEnd w:id="7022"/>
      <w:r>
        <w:rPr>
          <w:rtl/>
        </w:rPr>
        <w:t xml:space="preserve"> </w:t>
      </w:r>
      <w:r>
        <w:rPr>
          <w:b/>
          <w:bCs/>
          <w:rtl/>
        </w:rPr>
        <w:t>ועם אשתו</w:t>
      </w:r>
      <w:r>
        <w:rPr>
          <w:rtl/>
        </w:rPr>
        <w:t xml:space="preserve">. וכך הוא כותב: “כשעבר חולי קל על אשתי </w:t>
      </w:r>
      <w:proofErr w:type="spellStart"/>
      <w:r>
        <w:rPr>
          <w:rtl/>
        </w:rPr>
        <w:t>תחי</w:t>
      </w:r>
      <w:proofErr w:type="spellEnd"/>
      <w:r>
        <w:rPr>
          <w:rtl/>
        </w:rPr>
        <w:t xml:space="preserve">׳, הפצירו בי הפרופסור [אברהם] </w:t>
      </w:r>
      <w:proofErr w:type="spellStart"/>
      <w:r>
        <w:rPr>
          <w:rtl/>
        </w:rPr>
        <w:t>ברלינר</w:t>
      </w:r>
      <w:proofErr w:type="spellEnd"/>
      <w:r>
        <w:rPr>
          <w:rtl/>
        </w:rPr>
        <w:t xml:space="preserve"> וחבריו לנסוע למרחץ המרפא </w:t>
      </w:r>
      <w:proofErr w:type="spellStart"/>
      <w:r>
        <w:rPr>
          <w:rtl/>
        </w:rPr>
        <w:t>צאדן</w:t>
      </w:r>
      <w:proofErr w:type="spellEnd"/>
      <w:r>
        <w:rPr>
          <w:rtl/>
        </w:rPr>
        <w:t>, ושהיתי שם מל״ג בעומר [23 במאי] עד היום הראשון של הסליחות [24 בספטמבר]. כחודשיים שהה שם גם הרב הגאון מקובנה, איש רוח נכבד וטהור לב מאוד, והיינו יחד כל הזמן [וידו לא זזה מידי] ששהינו שם, ואשתו החשובה הייתה רעה קרובה לאשתי.”</w:t>
      </w:r>
    </w:p>
    <w:bookmarkStart w:id="2878" w:name="b3_excN"/>
    <w:p w14:paraId="6437B957" w14:textId="77777777" w:rsidR="00AB3647" w:rsidRDefault="00000000" w:rsidP="007923E9">
      <w:pPr>
        <w:pStyle w:val="3"/>
        <w:spacing w:line="276" w:lineRule="auto"/>
      </w:pPr>
      <w:r>
        <w:lastRenderedPageBreak/>
        <w:fldChar w:fldCharType="begin" w:dirty="true"/>
      </w:r>
      <w:r>
        <w:rPr>
          <w:rtl w:val="0"/>
        </w:rPr>
        <w:instrText>HYPERLINK \l "b3_note38</w:instrText>
      </w:r>
      <w:r>
        <w:instrText>"</w:instrText>
      </w:r>
      <w:r>
        <w:fldChar w:fldCharType="separate"/>
      </w:r>
      <w:r>
        <w:t>נספח יד</w:t>
      </w:r>
      <w:r>
        <w:fldChar w:fldCharType="end"/>
      </w:r>
      <w:bookmarkEnd w:id="2878"/>
    </w:p>
    <w:p w14:paraId="48CE28B4" w14:textId="77777777" w:rsidR="00AB3647" w:rsidRDefault="00000000" w:rsidP="007923E9">
      <w:pPr>
        <w:pStyle w:val="af"/>
        <w:spacing w:line="276" w:lineRule="auto"/>
      </w:pPr>
      <w:r>
        <w:t>על פולמוס המוסר בקובנה ועל הרבנים שחתמו על הכרוזים הפומביים נגד המוסר ובעדו</w:t>
      </w:r>
    </w:p>
    <w:p w14:paraId="27FC6306" w14:textId="77777777" w:rsidR="00AB3647" w:rsidRDefault="00000000" w:rsidP="007923E9">
      <w:pPr>
        <w:pStyle w:val="4"/>
        <w:spacing w:line="276" w:lineRule="auto"/>
      </w:pPr>
      <w:r>
        <w:t>· הפסקה הראשונה ·</w:t>
      </w:r>
    </w:p>
    <w:p w14:paraId="186FAAA9" w14:textId="77777777" w:rsidR="00AB3647" w:rsidRDefault="00000000" w:rsidP="007923E9">
      <w:pPr>
        <w:pStyle w:val="5"/>
        <w:spacing w:line="276" w:lineRule="auto"/>
      </w:pPr>
      <w:r>
        <w:t xml:space="preserve">ר׳ </w:t>
      </w:r>
      <w:proofErr w:type="spellStart"/>
      <w:r>
        <w:t>אליהו־דוב</w:t>
      </w:r>
      <w:proofErr w:type="spellEnd"/>
      <w:r>
        <w:t xml:space="preserve"> </w:t>
      </w:r>
      <w:proofErr w:type="spellStart"/>
      <w:r>
        <w:t>לייזרוביץ</w:t>
      </w:r>
      <w:proofErr w:type="spellEnd"/>
      <w:r>
        <w:t xml:space="preserve"> שומע את ר׳ </w:t>
      </w:r>
      <w:proofErr w:type="spellStart"/>
      <w:r>
        <w:t>איצל׳ה</w:t>
      </w:r>
      <w:proofErr w:type="spellEnd"/>
      <w:r>
        <w:t xml:space="preserve"> ממלמל – ר׳ </w:t>
      </w:r>
      <w:proofErr w:type="spellStart"/>
      <w:r>
        <w:t>איצל׳ה</w:t>
      </w:r>
      <w:proofErr w:type="spellEnd"/>
      <w:r>
        <w:t xml:space="preserve"> </w:t>
      </w:r>
      <w:proofErr w:type="spellStart"/>
      <w:r>
        <w:t>בלאזר</w:t>
      </w:r>
      <w:proofErr w:type="spellEnd"/>
      <w:r>
        <w:t xml:space="preserve"> בא </w:t>
      </w:r>
      <w:proofErr w:type="spellStart"/>
      <w:r>
        <w:t>לאסיפת</w:t>
      </w:r>
      <w:proofErr w:type="spellEnd"/>
      <w:r>
        <w:t xml:space="preserve"> הרבנים יחד עם ר׳ </w:t>
      </w:r>
      <w:proofErr w:type="spellStart"/>
      <w:r>
        <w:t>נתן־צבי</w:t>
      </w:r>
      <w:proofErr w:type="spellEnd"/>
      <w:r>
        <w:t xml:space="preserve"> </w:t>
      </w:r>
      <w:proofErr w:type="spellStart"/>
      <w:r>
        <w:t>פינקל</w:t>
      </w:r>
      <w:proofErr w:type="spellEnd"/>
    </w:p>
    <w:p w14:paraId="0EF2C1D5" w14:textId="77777777" w:rsidR="00AB3647" w:rsidRDefault="00000000" w:rsidP="007923E9">
      <w:pPr>
        <w:spacing w:after="120" w:line="276" w:lineRule="auto"/>
        <w:ind w:firstLine="283"/>
        <w:jc w:val="both"/>
      </w:pPr>
      <w:r>
        <w:rPr>
          <w:rtl/>
        </w:rPr>
        <w:t xml:space="preserve">בריאיון המוקלט על הסבא </w:t>
      </w:r>
      <w:proofErr w:type="spellStart"/>
      <w:r>
        <w:rPr>
          <w:rtl/>
        </w:rPr>
        <w:t>מסלבודקה</w:t>
      </w:r>
      <w:proofErr w:type="spellEnd"/>
      <w:r>
        <w:rPr>
          <w:rtl/>
        </w:rPr>
        <w:t xml:space="preserve"> סיפר אבי: “שמעתי מהרב </w:t>
      </w:r>
      <w:proofErr w:type="spellStart"/>
      <w:r>
        <w:rPr>
          <w:rtl/>
        </w:rPr>
        <w:t>לייזרוביץ</w:t>
      </w:r>
      <w:bookmarkStart w:id="2879" w:name="_fnr2008"/>
      <w:proofErr w:type="spellEnd"/>
      <w:r>
        <w:rPr>
          <w:rStyle w:val="a5"/>
        </w:rPr>
        <w:footnoteReference w:id="2013" w:customMarkFollows="0"/>
      </w:r>
      <w:bookmarkEnd w:id="2879"/>
      <w:r>
        <w:rPr>
          <w:rtl/>
        </w:rPr>
        <w:t xml:space="preserve">, שהיה כבן בית בביתו של ר׳ </w:t>
      </w:r>
      <w:proofErr w:type="spellStart"/>
      <w:r>
        <w:rPr>
          <w:rtl/>
        </w:rPr>
        <w:t>איצל׳ה</w:t>
      </w:r>
      <w:proofErr w:type="spellEnd"/>
      <w:r>
        <w:rPr>
          <w:rtl/>
        </w:rPr>
        <w:t xml:space="preserve"> </w:t>
      </w:r>
      <w:proofErr w:type="spellStart"/>
      <w:r>
        <w:rPr>
          <w:rtl/>
        </w:rPr>
        <w:t>פטרבורגר</w:t>
      </w:r>
      <w:proofErr w:type="spellEnd"/>
      <w:r>
        <w:rPr>
          <w:rtl/>
        </w:rPr>
        <w:t xml:space="preserve">, כיצד אזר זה אומץ לקראת העימות עם הרבנים שהוא והסבא נקראו לעמוד לפניהם. הוא פסע הלוך ושוב בביתו, ממלמל לעצמו שוב ושוב: ‘מפני מי אתה נסער כל כך? בגיל עשרים ושמונה כבר חיברת את הספר שו״ת פרי יצחק – שבגללו כתב עליך ר׳ </w:t>
      </w:r>
      <w:proofErr w:type="spellStart"/>
      <w:r>
        <w:rPr>
          <w:rtl/>
        </w:rPr>
        <w:t>יוסף־שאול</w:t>
      </w:r>
      <w:proofErr w:type="spellEnd"/>
      <w:r>
        <w:rPr>
          <w:rtl/>
        </w:rPr>
        <w:t xml:space="preserve"> נתנזון [</w:t>
      </w:r>
      <w:proofErr w:type="spellStart"/>
      <w:r>
        <w:rPr>
          <w:rtl/>
        </w:rPr>
        <w:t>מלבוב</w:t>
      </w:r>
      <w:proofErr w:type="spellEnd"/>
      <w:r>
        <w:rPr>
          <w:rtl/>
        </w:rPr>
        <w:t>] “הרב הגאון”. מדוע אתה יוצא מדעתך מפניהם?’</w:t>
      </w:r>
    </w:p>
    <w:p w14:paraId="1202B0D8" w14:textId="77777777" w:rsidR="00AB3647" w:rsidRDefault="00000000" w:rsidP="007923E9">
      <w:pPr>
        <w:spacing w:after="120" w:line="276" w:lineRule="auto"/>
        <w:ind w:firstLine="283"/>
        <w:jc w:val="both"/>
      </w:pPr>
      <w:r>
        <w:rPr>
          <w:rtl/>
        </w:rPr>
        <w:t xml:space="preserve">“ר׳ </w:t>
      </w:r>
      <w:proofErr w:type="spellStart"/>
      <w:r>
        <w:rPr>
          <w:rtl/>
        </w:rPr>
        <w:t>איצל׳ה</w:t>
      </w:r>
      <w:proofErr w:type="spellEnd"/>
      <w:r>
        <w:rPr>
          <w:rtl/>
        </w:rPr>
        <w:t xml:space="preserve"> נכנס לחדר </w:t>
      </w:r>
      <w:proofErr w:type="spellStart"/>
      <w:r>
        <w:rPr>
          <w:rtl/>
        </w:rPr>
        <w:t>האסיפה</w:t>
      </w:r>
      <w:proofErr w:type="spellEnd"/>
      <w:r>
        <w:rPr>
          <w:rtl/>
        </w:rPr>
        <w:t xml:space="preserve"> יחד עם הסבא אחרי שכל הרבנים נאספו, והכריז: ‘רבותיי, איני יודע לשם מה באנו. האם באנו לקבל את אישורכם ל[דברי] הראשון רבנו יונה [שכתב ספרי מוסר שבעלי המוסר לומדים בהם]?’ ופנה אל הסבא והמשיך: ‘ר׳ </w:t>
      </w:r>
      <w:proofErr w:type="spellStart"/>
      <w:r>
        <w:rPr>
          <w:rtl/>
        </w:rPr>
        <w:t>נטע־הירש</w:t>
      </w:r>
      <w:proofErr w:type="spellEnd"/>
      <w:r>
        <w:rPr>
          <w:rtl/>
        </w:rPr>
        <w:t xml:space="preserve">, אין לנו מה לעשות כאן’, </w:t>
      </w:r>
      <w:proofErr w:type="spellStart"/>
      <w:r>
        <w:rPr>
          <w:rtl/>
        </w:rPr>
        <w:t>ולאסיפה</w:t>
      </w:r>
      <w:proofErr w:type="spellEnd"/>
      <w:r>
        <w:rPr>
          <w:rtl/>
        </w:rPr>
        <w:t xml:space="preserve"> הכריז: ‘</w:t>
      </w:r>
      <w:r>
        <w:rPr>
          <w:b/>
          <w:bCs/>
          <w:rtl/>
        </w:rPr>
        <w:t>יום</w:t>
      </w:r>
      <w:r>
        <w:rPr>
          <w:rtl/>
        </w:rPr>
        <w:t xml:space="preserve"> טוב (ההדגשה שלי): תוכלו להחליט ככל שתרצו; לא יהיו לנו טענות.’ מאותה אסיפה הלך הסבא ישר לבית המדרש הישן להודיע על פרישתו מן הישיבה הקיימת ועל ייסודה של ישיבה חדשה.”</w:t>
      </w:r>
    </w:p>
    <w:p w14:paraId="0C47053F" w14:textId="77777777" w:rsidR="00AB3647" w:rsidRDefault="00000000" w:rsidP="007923E9">
      <w:pPr>
        <w:pStyle w:val="4"/>
        <w:spacing w:line="276" w:lineRule="auto"/>
      </w:pPr>
      <w:r>
        <w:t>· הפסקה השנייה ·</w:t>
      </w:r>
    </w:p>
    <w:p w14:paraId="1BA0ECE6" w14:textId="77777777" w:rsidR="00AB3647" w:rsidRDefault="00000000" w:rsidP="007923E9">
      <w:pPr>
        <w:pStyle w:val="5"/>
        <w:spacing w:line="276" w:lineRule="auto"/>
      </w:pPr>
      <w:r>
        <w:t xml:space="preserve">ר׳ </w:t>
      </w:r>
      <w:proofErr w:type="spellStart"/>
      <w:r>
        <w:t>איצל׳ה</w:t>
      </w:r>
      <w:proofErr w:type="spellEnd"/>
      <w:r>
        <w:t xml:space="preserve"> אינו ישן כל הלילה לפני העימות – הוא משווה מוסר להלכה – הוא עומד מול שתי קבוצות של מתנגדים</w:t>
      </w:r>
    </w:p>
    <w:p w14:paraId="07ACF113" w14:textId="77777777" w:rsidR="00AB3647" w:rsidRDefault="00000000" w:rsidP="007923E9">
      <w:pPr>
        <w:spacing w:after="120" w:line="276" w:lineRule="auto"/>
        <w:ind w:firstLine="283"/>
        <w:jc w:val="both"/>
      </w:pPr>
      <w:r>
        <w:rPr>
          <w:rtl/>
        </w:rPr>
        <w:t>לפי “פולמוס המוסר”</w:t>
      </w:r>
      <w:bookmarkStart w:id="2880" w:name="_fnr2009"/>
      <w:r>
        <w:rPr>
          <w:rStyle w:val="a5"/>
        </w:rPr>
        <w:footnoteReference w:id="2014" w:customMarkFollows="0"/>
      </w:r>
      <w:bookmarkEnd w:id="2880"/>
      <w:r>
        <w:rPr>
          <w:rtl/>
        </w:rPr>
        <w:t xml:space="preserve">, בפרק המוקדש לפולמוס המוסר, הוזמנו ר׳ </w:t>
      </w:r>
      <w:proofErr w:type="spellStart"/>
      <w:r>
        <w:rPr>
          <w:rtl/>
        </w:rPr>
        <w:t>איצל׳ה</w:t>
      </w:r>
      <w:proofErr w:type="spellEnd"/>
      <w:r>
        <w:rPr>
          <w:rtl/>
        </w:rPr>
        <w:t xml:space="preserve"> והסבא </w:t>
      </w:r>
      <w:proofErr w:type="spellStart"/>
      <w:r>
        <w:rPr>
          <w:rtl/>
        </w:rPr>
        <w:t>לאסיפה</w:t>
      </w:r>
      <w:proofErr w:type="spellEnd"/>
      <w:r>
        <w:rPr>
          <w:rtl/>
        </w:rPr>
        <w:t xml:space="preserve"> של “חשובי העיר </w:t>
      </w:r>
      <w:proofErr w:type="spellStart"/>
      <w:r>
        <w:rPr>
          <w:rtl/>
        </w:rPr>
        <w:t>ונכבדיה</w:t>
      </w:r>
      <w:proofErr w:type="spellEnd"/>
      <w:r>
        <w:rPr>
          <w:rtl/>
        </w:rPr>
        <w:t xml:space="preserve">”. שם הניחו המוזמנים למאשימיהם “להשמיע את כל טענותיהם ועלילותיהם, ובצער עמוק </w:t>
      </w:r>
      <w:r>
        <w:rPr>
          <w:b/>
          <w:bCs/>
          <w:rtl/>
        </w:rPr>
        <w:t>לא יכלו להוציא מפיהם מילה מלבד ‘לילה טוב’</w:t>
      </w:r>
      <w:r>
        <w:rPr>
          <w:rtl/>
        </w:rPr>
        <w:t xml:space="preserve"> (ההדגשה שלי), ויצאו”. הערת שוליים מפנה את הקורא לספרו של כץ, “תנועת המוסר”, כרך ב</w:t>
      </w:r>
      <w:bookmarkStart w:id="2881" w:name="_fnr2010"/>
      <w:r>
        <w:rPr>
          <w:rStyle w:val="a5"/>
        </w:rPr>
        <w:footnoteReference w:id="2015" w:customMarkFollows="0"/>
      </w:r>
      <w:bookmarkEnd w:id="2881"/>
      <w:r>
        <w:rPr>
          <w:rtl/>
        </w:rPr>
        <w:t>, שם</w:t>
      </w:r>
      <w:bookmarkStart w:id="2882" w:name="_fnr2011"/>
      <w:r>
        <w:rPr>
          <w:rStyle w:val="a5"/>
        </w:rPr>
        <w:footnoteReference w:id="2016" w:customMarkFollows="0"/>
      </w:r>
      <w:bookmarkEnd w:id="2882"/>
      <w:r>
        <w:rPr>
          <w:rtl/>
        </w:rPr>
        <w:t xml:space="preserve"> חוזרת גרסה זו, ור׳ שמואל </w:t>
      </w:r>
      <w:proofErr w:type="spellStart"/>
      <w:r>
        <w:rPr>
          <w:rtl/>
        </w:rPr>
        <w:t>אידלזק</w:t>
      </w:r>
      <w:proofErr w:type="spellEnd"/>
      <w:r>
        <w:rPr>
          <w:rtl/>
        </w:rPr>
        <w:t xml:space="preserve"> מובא כמקורה. הרב </w:t>
      </w:r>
      <w:proofErr w:type="spellStart"/>
      <w:r>
        <w:rPr>
          <w:rtl/>
        </w:rPr>
        <w:t>אידלזק</w:t>
      </w:r>
      <w:proofErr w:type="spellEnd"/>
      <w:r>
        <w:rPr>
          <w:rtl/>
        </w:rPr>
        <w:t xml:space="preserve"> היה בוגר </w:t>
      </w:r>
      <w:proofErr w:type="spellStart"/>
      <w:r>
        <w:rPr>
          <w:rtl/>
        </w:rPr>
        <w:t>סלבודקה</w:t>
      </w:r>
      <w:proofErr w:type="spellEnd"/>
      <w:r>
        <w:rPr>
          <w:rtl/>
        </w:rPr>
        <w:t xml:space="preserve"> שעמד בראש ישיבה </w:t>
      </w:r>
      <w:proofErr w:type="spellStart"/>
      <w:r>
        <w:rPr>
          <w:rtl/>
        </w:rPr>
        <w:t>ברובנה</w:t>
      </w:r>
      <w:proofErr w:type="spellEnd"/>
      <w:r>
        <w:rPr>
          <w:rtl/>
        </w:rPr>
        <w:t xml:space="preserve"> (בפלך </w:t>
      </w:r>
      <w:proofErr w:type="spellStart"/>
      <w:r>
        <w:rPr>
          <w:rtl/>
        </w:rPr>
        <w:t>ווהלין</w:t>
      </w:r>
      <w:proofErr w:type="spellEnd"/>
      <w:r>
        <w:rPr>
          <w:rtl/>
        </w:rPr>
        <w:t xml:space="preserve">, ולשם הביאו ר׳ </w:t>
      </w:r>
      <w:proofErr w:type="spellStart"/>
      <w:r>
        <w:rPr>
          <w:rtl/>
        </w:rPr>
        <w:t>לייזר־יעקב</w:t>
      </w:r>
      <w:proofErr w:type="spellEnd"/>
      <w:r>
        <w:rPr>
          <w:rtl/>
        </w:rPr>
        <w:t xml:space="preserve"> </w:t>
      </w:r>
      <w:proofErr w:type="spellStart"/>
      <w:r>
        <w:rPr>
          <w:rtl/>
        </w:rPr>
        <w:t xml:space="preserve">חווס</w:t>
      </w:r>
      <w:bookmarkStart w:id="2883" w:name="_fnr2012"/>
      <w:proofErr w:type="spellEnd"/>
      <w:r>
        <w:rPr>
          <w:rStyle w:val="a5"/>
        </w:rPr>
        <w:footnoteReference w:id="2017" w:customMarkFollows="0"/>
      </w:r>
      <w:bookmarkEnd w:id="2883"/>
      <w:r>
        <w:rPr>
          <w:rtl/>
        </w:rPr>
        <w:t xml:space="preserve">). הוא נפטר </w:t>
      </w:r>
      <w:r>
        <w:rPr>
          <w:rtl/>
        </w:rPr>
        <w:lastRenderedPageBreak/>
        <w:t>בירושלים בשנת תש״ז</w:t>
      </w:r>
      <w:bookmarkStart w:id="2884" w:name="_fnr2013"/>
      <w:r>
        <w:rPr>
          <w:rStyle w:val="a5"/>
        </w:rPr>
        <w:footnoteReference w:id="2018" w:customMarkFollows="0"/>
      </w:r>
      <w:bookmarkEnd w:id="2884"/>
      <w:r>
        <w:rPr>
          <w:rtl/>
        </w:rPr>
        <w:t xml:space="preserve">, ולא היה נוכח בעצמו בקובנה כשאירע המעשה שתיאר: כבר שלוש שנים קודם לכן היה </w:t>
      </w:r>
      <w:proofErr w:type="spellStart"/>
      <w:r>
        <w:rPr>
          <w:rtl/>
        </w:rPr>
        <w:t>ברובנה</w:t>
      </w:r>
      <w:proofErr w:type="spellEnd"/>
      <w:r>
        <w:rPr>
          <w:rtl/>
        </w:rPr>
        <w:t xml:space="preserve"> (ומשנתיים לאחר פולמוס המוסר היה </w:t>
      </w:r>
      <w:proofErr w:type="spellStart"/>
      <w:r>
        <w:rPr>
          <w:rtl/>
        </w:rPr>
        <w:t>באיישישוק</w:t>
      </w:r>
      <w:proofErr w:type="spellEnd"/>
      <w:r>
        <w:rPr>
          <w:rtl/>
        </w:rPr>
        <w:t>).</w:t>
      </w:r>
      <w:bookmarkStart w:id="2885" w:name="_fnr2014"/>
      <w:r>
        <w:rPr>
          <w:rStyle w:val="a5"/>
        </w:rPr>
        <w:footnoteReference w:id="2019" w:customMarkFollows="0"/>
      </w:r>
      <w:bookmarkEnd w:id="2885"/>
    </w:p>
    <w:p w14:paraId="10A91E40" w14:textId="77777777" w:rsidR="00AB3647" w:rsidRDefault="00000000" w:rsidP="007923E9">
      <w:pPr>
        <w:spacing w:after="120" w:line="276" w:lineRule="auto"/>
        <w:ind w:firstLine="283"/>
        <w:jc w:val="both"/>
      </w:pPr>
      <w:r>
        <w:rPr>
          <w:rtl/>
        </w:rPr>
        <w:t>“פולמוס המוסר” ממשיך כך: “</w:t>
      </w:r>
      <w:r>
        <w:rPr>
          <w:b/>
          <w:bCs/>
          <w:rtl/>
        </w:rPr>
        <w:t>מסופר</w:t>
      </w:r>
      <w:r>
        <w:rPr>
          <w:rtl/>
        </w:rPr>
        <w:t xml:space="preserve"> (ההדגשה שלי) שר׳ </w:t>
      </w:r>
      <w:proofErr w:type="spellStart"/>
      <w:r>
        <w:rPr>
          <w:rtl/>
        </w:rPr>
        <w:t>איצל׳ה</w:t>
      </w:r>
      <w:proofErr w:type="spellEnd"/>
      <w:r>
        <w:rPr>
          <w:rtl/>
        </w:rPr>
        <w:t xml:space="preserve"> </w:t>
      </w:r>
      <w:proofErr w:type="spellStart"/>
      <w:r>
        <w:rPr>
          <w:rtl/>
        </w:rPr>
        <w:t>בלאזר</w:t>
      </w:r>
      <w:proofErr w:type="spellEnd"/>
      <w:r>
        <w:rPr>
          <w:rtl/>
        </w:rPr>
        <w:t xml:space="preserve"> לא ישן כל אותו הלילה, ובבוקר בא אל הסבא </w:t>
      </w:r>
      <w:proofErr w:type="spellStart"/>
      <w:r>
        <w:rPr>
          <w:rtl/>
        </w:rPr>
        <w:t>מסלבודקה</w:t>
      </w:r>
      <w:proofErr w:type="spellEnd"/>
      <w:r>
        <w:rPr>
          <w:rtl/>
        </w:rPr>
        <w:t xml:space="preserve"> ואמר שכדי להימנע מחילול השם, דעתו היא שעליהם לצאת יחד עם התלמידים הנאמנים מבית המדרש הישן וללכת למקום אחר.” לדיווח זה לא מובא מקור. העימות עם </w:t>
      </w:r>
      <w:r>
        <w:rPr>
          <w:b/>
          <w:bCs/>
          <w:rtl/>
        </w:rPr>
        <w:t>הרבנים</w:t>
      </w:r>
      <w:r>
        <w:rPr>
          <w:rtl/>
        </w:rPr>
        <w:t xml:space="preserve"> שאבי הזכיר הושמט כליל מן הפרק </w:t>
      </w:r>
      <w:proofErr w:type="spellStart"/>
      <w:r>
        <w:rPr>
          <w:rtl/>
        </w:rPr>
        <w:t>שב“פולמוס</w:t>
      </w:r>
      <w:proofErr w:type="spellEnd"/>
      <w:r>
        <w:rPr>
          <w:rtl/>
        </w:rPr>
        <w:t xml:space="preserve"> המוסר”.</w:t>
      </w:r>
    </w:p>
    <w:p w14:paraId="42FA4781" w14:textId="77777777" w:rsidR="00AB3647" w:rsidRDefault="00000000" w:rsidP="007923E9">
      <w:pPr>
        <w:spacing w:after="120" w:line="276" w:lineRule="auto"/>
        <w:ind w:firstLine="283"/>
        <w:jc w:val="both"/>
      </w:pPr>
      <w:r>
        <w:rPr>
          <w:rtl/>
        </w:rPr>
        <w:t xml:space="preserve">מעניין שבפרק </w:t>
      </w:r>
      <w:r>
        <w:rPr>
          <w:b/>
          <w:bCs/>
          <w:rtl/>
        </w:rPr>
        <w:t>המסכם</w:t>
      </w:r>
      <w:r>
        <w:rPr>
          <w:rtl/>
        </w:rPr>
        <w:t xml:space="preserve"> את תהפוכות פולמוס המוסר</w:t>
      </w:r>
      <w:bookmarkStart w:id="2886" w:name="_fnr2015"/>
      <w:r>
        <w:rPr>
          <w:rStyle w:val="a5"/>
        </w:rPr>
        <w:footnoteReference w:id="2020" w:customMarkFollows="0"/>
      </w:r>
      <w:bookmarkEnd w:id="2886"/>
      <w:r>
        <w:rPr>
          <w:rtl/>
        </w:rPr>
        <w:t xml:space="preserve"> מזכיר “פולמוס המוסר” – בלי לציין מקור – אספה שבה הופיעו ר׳ </w:t>
      </w:r>
      <w:proofErr w:type="spellStart"/>
      <w:r>
        <w:rPr>
          <w:rtl/>
        </w:rPr>
        <w:t>איצל׳ה</w:t>
      </w:r>
      <w:proofErr w:type="spellEnd"/>
      <w:r>
        <w:rPr>
          <w:rtl/>
        </w:rPr>
        <w:t xml:space="preserve"> והסבא לפני “קבוצת רבנים”. שם מסופר שר׳ </w:t>
      </w:r>
      <w:proofErr w:type="spellStart"/>
      <w:r>
        <w:rPr>
          <w:rtl/>
        </w:rPr>
        <w:t>איצל׳ה</w:t>
      </w:r>
      <w:proofErr w:type="spellEnd"/>
      <w:r>
        <w:rPr>
          <w:rtl/>
        </w:rPr>
        <w:t xml:space="preserve"> הביא את דברי רבנו יונה</w:t>
      </w:r>
      <w:bookmarkStart w:id="2887" w:name="_fnr2016"/>
      <w:r>
        <w:rPr>
          <w:rStyle w:val="a5"/>
        </w:rPr>
        <w:footnoteReference w:id="2021" w:customMarkFollows="0"/>
      </w:r>
      <w:bookmarkEnd w:id="2887"/>
      <w:r>
        <w:rPr>
          <w:rtl/>
        </w:rPr>
        <w:t xml:space="preserve"> שלימוד המוסר הכרחי. כשהחלו הרבנים לדון אם אכן התכוון אותו ראשון שלימוד המוסר יהיה חובה, שאל ר׳ </w:t>
      </w:r>
      <w:proofErr w:type="spellStart"/>
      <w:r>
        <w:rPr>
          <w:rtl/>
        </w:rPr>
        <w:t>איצל׳ה</w:t>
      </w:r>
      <w:proofErr w:type="spellEnd"/>
      <w:r>
        <w:rPr>
          <w:rtl/>
        </w:rPr>
        <w:t xml:space="preserve"> אם גם דרישותיו של רבנו יונה בהלכות שבת או תפילה אינן מחייבות בעיניהם.</w:t>
      </w:r>
    </w:p>
    <w:p w14:paraId="1695F9EE" w14:textId="77777777" w:rsidR="00AB3647" w:rsidRDefault="00000000" w:rsidP="007923E9">
      <w:pPr>
        <w:spacing w:after="120" w:line="276" w:lineRule="auto"/>
        <w:ind w:firstLine="283"/>
        <w:jc w:val="both"/>
      </w:pPr>
      <w:r>
        <w:rPr>
          <w:rtl/>
        </w:rPr>
        <w:t xml:space="preserve">להשוואה זו של ר׳ </w:t>
      </w:r>
      <w:proofErr w:type="spellStart"/>
      <w:r>
        <w:rPr>
          <w:rtl/>
        </w:rPr>
        <w:t>איצל׳ה</w:t>
      </w:r>
      <w:proofErr w:type="spellEnd"/>
      <w:r>
        <w:rPr>
          <w:rtl/>
        </w:rPr>
        <w:t xml:space="preserve">, בין כתבי המוסר לכתבי ההלכה של רבנו יונה, רמז ר׳ </w:t>
      </w:r>
      <w:proofErr w:type="spellStart"/>
      <w:r>
        <w:rPr>
          <w:rtl/>
        </w:rPr>
        <w:t>משה־מרדכי</w:t>
      </w:r>
      <w:proofErr w:type="spellEnd"/>
      <w:r>
        <w:rPr>
          <w:rtl/>
        </w:rPr>
        <w:t xml:space="preserve"> ארבע שנים לאחר המאורעות האלה, כשכתב בהקדמה </w:t>
      </w:r>
      <w:proofErr w:type="spellStart"/>
      <w:r>
        <w:rPr>
          <w:rtl/>
        </w:rPr>
        <w:t>ל“לבוש</w:t>
      </w:r>
      <w:proofErr w:type="spellEnd"/>
      <w:r>
        <w:rPr>
          <w:rtl/>
        </w:rPr>
        <w:t xml:space="preserve"> מרדכי”</w:t>
      </w:r>
      <w:bookmarkStart w:id="2888" w:name="_fnr2017"/>
      <w:r>
        <w:rPr>
          <w:rStyle w:val="a5"/>
        </w:rPr>
        <w:footnoteReference w:id="2022" w:customMarkFollows="0"/>
      </w:r>
      <w:bookmarkEnd w:id="2888"/>
      <w:r>
        <w:rPr>
          <w:rtl/>
        </w:rPr>
        <w:t xml:space="preserve">: “מי לא יחרד לבו לשמוע את הדברים האלה של מוסר יוצאים בפירוש מפי </w:t>
      </w:r>
      <w:r>
        <w:rPr>
          <w:b/>
          <w:bCs/>
          <w:rtl/>
        </w:rPr>
        <w:t>אבי ההוראה</w:t>
      </w:r>
      <w:r>
        <w:rPr>
          <w:rtl/>
        </w:rPr>
        <w:t xml:space="preserve"> רבנו יונה ז״ל, שעל פי דבריו בהלכה למעשה אנו מתנהגים?!”</w:t>
      </w:r>
    </w:p>
    <w:p w14:paraId="12A1DFAD" w14:textId="77777777" w:rsidR="00AB3647" w:rsidRDefault="00000000" w:rsidP="007923E9">
      <w:pPr>
        <w:spacing w:after="120" w:line="276" w:lineRule="auto"/>
        <w:ind w:firstLine="283"/>
        <w:jc w:val="both"/>
      </w:pPr>
      <w:r>
        <w:rPr>
          <w:rtl/>
        </w:rPr>
        <w:t xml:space="preserve">מצירוף הגרסאות השונות יש להניח שהיו </w:t>
      </w:r>
      <w:r>
        <w:rPr>
          <w:b/>
          <w:bCs/>
          <w:rtl/>
        </w:rPr>
        <w:t>שתי</w:t>
      </w:r>
      <w:r>
        <w:rPr>
          <w:rtl/>
        </w:rPr>
        <w:t xml:space="preserve"> </w:t>
      </w:r>
      <w:proofErr w:type="spellStart"/>
      <w:r>
        <w:rPr>
          <w:rtl/>
        </w:rPr>
        <w:t>אסיפות</w:t>
      </w:r>
      <w:proofErr w:type="spellEnd"/>
      <w:r>
        <w:rPr>
          <w:rtl/>
        </w:rPr>
        <w:t xml:space="preserve"> לפני שהתפלגה לשתיים הישיבה הקשורה בכולל קובנה. האחת – אספה מקדימה של בעלי בתים מקובנה, שהתקיימה באחד הערבים אחרי שעות המסחר והסתיימה </w:t>
      </w:r>
      <w:proofErr w:type="spellStart"/>
      <w:r>
        <w:rPr>
          <w:rtl/>
        </w:rPr>
        <w:t>ב“לילה</w:t>
      </w:r>
      <w:proofErr w:type="spellEnd"/>
      <w:r>
        <w:rPr>
          <w:rtl/>
        </w:rPr>
        <w:t xml:space="preserve"> טוב” פתאומי, כמו שסיפר הרב </w:t>
      </w:r>
      <w:proofErr w:type="spellStart"/>
      <w:r>
        <w:rPr>
          <w:rtl/>
        </w:rPr>
        <w:t>אידלזק</w:t>
      </w:r>
      <w:proofErr w:type="spellEnd"/>
      <w:r>
        <w:rPr>
          <w:rtl/>
        </w:rPr>
        <w:t xml:space="preserve">. האחרת – אספה מחייבת של רבנים, שהתקיימה </w:t>
      </w:r>
      <w:r>
        <w:rPr>
          <w:b/>
          <w:bCs/>
          <w:rtl/>
        </w:rPr>
        <w:t>ביום</w:t>
      </w:r>
      <w:r>
        <w:rPr>
          <w:rtl/>
        </w:rPr>
        <w:t xml:space="preserve">. לקראתה הכין ר׳ </w:t>
      </w:r>
      <w:proofErr w:type="spellStart"/>
      <w:r>
        <w:rPr>
          <w:rtl/>
        </w:rPr>
        <w:t>איצל׳ה</w:t>
      </w:r>
      <w:proofErr w:type="spellEnd"/>
      <w:r>
        <w:rPr>
          <w:rtl/>
        </w:rPr>
        <w:t xml:space="preserve"> את עצמו בכך ששינן לעצמו שאין סיבה שמחבר מהולל כמותו ייבהל מדעותיהם של רבנים אחרים. האספה השנייה הסתיימה </w:t>
      </w:r>
      <w:proofErr w:type="spellStart"/>
      <w:r>
        <w:rPr>
          <w:rtl/>
        </w:rPr>
        <w:t>ב“</w:t>
      </w:r>
      <w:r>
        <w:rPr>
          <w:b/>
          <w:bCs/>
          <w:rtl/>
        </w:rPr>
        <w:t>יום</w:t>
      </w:r>
      <w:proofErr w:type="spellEnd"/>
      <w:r>
        <w:rPr>
          <w:rtl/>
        </w:rPr>
        <w:t xml:space="preserve"> טוב” (כפי ש[הודגש] בפסקה הקודמת, משמו של רבנו). קדמו לכך הצהרה קצרה של ר׳ </w:t>
      </w:r>
      <w:proofErr w:type="spellStart"/>
      <w:r>
        <w:rPr>
          <w:rtl/>
        </w:rPr>
        <w:t>איצל׳ה</w:t>
      </w:r>
      <w:proofErr w:type="spellEnd"/>
      <w:r>
        <w:rPr>
          <w:rtl/>
        </w:rPr>
        <w:t xml:space="preserve"> (כפי שסיפר אבי), ואולי גם דיון בטעמה של הוראה מאת רבנו יונה (כמובא </w:t>
      </w:r>
      <w:r>
        <w:rPr>
          <w:b/>
          <w:bCs/>
          <w:rtl/>
        </w:rPr>
        <w:t xml:space="preserve">בסיכום </w:t>
      </w:r>
      <w:proofErr w:type="spellStart"/>
      <w:r>
        <w:rPr>
          <w:b/>
          <w:bCs/>
          <w:rtl/>
        </w:rPr>
        <w:t>שב“פולמוס</w:t>
      </w:r>
      <w:proofErr w:type="spellEnd"/>
      <w:r>
        <w:rPr>
          <w:b/>
          <w:bCs/>
          <w:rtl/>
        </w:rPr>
        <w:t xml:space="preserve"> המוסר”</w:t>
      </w:r>
      <w:r>
        <w:rPr>
          <w:rtl/>
        </w:rPr>
        <w:t>).</w:t>
      </w:r>
    </w:p>
    <w:p w14:paraId="670EBCDF" w14:textId="4477C0ED" w:rsidR="00AB3647" w:rsidRDefault="00000000" w:rsidP="007923E9">
      <w:pPr>
        <w:spacing w:after="120" w:line="276" w:lineRule="auto"/>
        <w:ind w:firstLine="283"/>
        <w:jc w:val="both"/>
      </w:pPr>
      <w:r>
        <w:rPr>
          <w:rtl/>
        </w:rPr>
        <w:t xml:space="preserve">באספה </w:t>
      </w:r>
      <w:r>
        <w:rPr>
          <w:b/>
          <w:bCs/>
          <w:rtl/>
        </w:rPr>
        <w:t>השנייה</w:t>
      </w:r>
      <w:r>
        <w:rPr>
          <w:rtl/>
        </w:rPr>
        <w:t xml:space="preserve"> אמר ר׳ </w:t>
      </w:r>
      <w:proofErr w:type="spellStart"/>
      <w:r>
        <w:rPr>
          <w:rtl/>
        </w:rPr>
        <w:t>איצל׳ה</w:t>
      </w:r>
      <w:proofErr w:type="spellEnd"/>
      <w:r>
        <w:rPr>
          <w:rtl/>
        </w:rPr>
        <w:t xml:space="preserve"> “האם באנו לקבל אישור...?” </w:t>
      </w:r>
      <w:proofErr w:type="spellStart"/>
      <w:r>
        <w:rPr>
          <w:rtl/>
        </w:rPr>
        <w:t>ו“אין</w:t>
      </w:r>
      <w:proofErr w:type="spellEnd"/>
      <w:r>
        <w:rPr>
          <w:rtl/>
        </w:rPr>
        <w:t xml:space="preserve"> לנו מה לעשות כאן”. לפני האספה </w:t>
      </w:r>
      <w:r>
        <w:rPr>
          <w:b/>
          <w:bCs/>
          <w:rtl/>
        </w:rPr>
        <w:t>השנייה</w:t>
      </w:r>
      <w:r>
        <w:rPr>
          <w:rtl/>
        </w:rPr>
        <w:t xml:space="preserve"> היה ער כל הלילה ואזר אומץ לעמוד מול גדולי הרבנים. לפני האספה הראשונה, עם בעלי הבתים, לא ידעו הוא והסבא </w:t>
      </w:r>
      <w:proofErr w:type="spellStart"/>
      <w:r>
        <w:rPr>
          <w:rtl/>
        </w:rPr>
        <w:t>מסלבודקה</w:t>
      </w:r>
      <w:proofErr w:type="spellEnd"/>
      <w:r>
        <w:rPr>
          <w:rtl/>
        </w:rPr>
        <w:t xml:space="preserve"> שיוטחו בהם האשמות פרועות, וכשאירע הדבר, לא היה זה לפי כבודם לדון בטענות. אולי דיברו בעלי הבתים באותה רוח שבה כתב אליעזר אליהו פרידמן על אנשי המוסר </w:t>
      </w:r>
      <w:proofErr w:type="spellStart"/>
      <w:r>
        <w:rPr>
          <w:rtl/>
        </w:rPr>
        <w:t>ב“ספר</w:t>
      </w:r>
      <w:proofErr w:type="spellEnd"/>
      <w:r>
        <w:rPr>
          <w:rtl/>
        </w:rPr>
        <w:t xml:space="preserve"> </w:t>
      </w:r>
      <w:proofErr w:type="spellStart"/>
      <w:r>
        <w:rPr>
          <w:rtl/>
        </w:rPr>
        <w:t>הזכרונות</w:t>
      </w:r>
      <w:proofErr w:type="spellEnd"/>
      <w:r>
        <w:rPr>
          <w:rtl/>
        </w:rPr>
        <w:t>” שלו, כמתואר בתחילת הפסקה השלישית ב</w:t>
      </w:r>
      <w:r>
        <w:rPr>
          <w:rtl/>
        </w:rPr>
        <w:fldChar w:fldCharType="begin" w:dirty="true"/>
      </w:r>
      <w:r>
        <w:rPr>
          <w:rtl/>
        </w:rPr>
        <w:instrText xml:space="preserve"> REF b3_excE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ה</w:t>
      </w:r>
      <w:r>
        <w:rPr>
          <w:rtl/>
        </w:rPr>
        <w:fldChar w:fldCharType="end"/>
      </w:r>
      <w:r>
        <w:rPr>
          <w:rtl/>
        </w:rPr>
        <w:t xml:space="preserve"> לעיל.</w:t>
      </w:r>
    </w:p>
    <w:p w14:paraId="3B70ACBA" w14:textId="77777777" w:rsidR="00AB3647" w:rsidRDefault="00000000" w:rsidP="007923E9">
      <w:pPr>
        <w:spacing w:after="120" w:line="276" w:lineRule="auto"/>
        <w:ind w:firstLine="283"/>
        <w:jc w:val="both"/>
      </w:pPr>
      <w:r>
        <w:rPr>
          <w:rtl/>
        </w:rPr>
        <w:lastRenderedPageBreak/>
        <w:t xml:space="preserve">הדיווח </w:t>
      </w:r>
      <w:proofErr w:type="spellStart"/>
      <w:r>
        <w:rPr>
          <w:rtl/>
        </w:rPr>
        <w:t>ב“פולמוס</w:t>
      </w:r>
      <w:proofErr w:type="spellEnd"/>
      <w:r>
        <w:rPr>
          <w:rtl/>
        </w:rPr>
        <w:t xml:space="preserve"> המוסר” שר׳ </w:t>
      </w:r>
      <w:proofErr w:type="spellStart"/>
      <w:r>
        <w:rPr>
          <w:rtl/>
        </w:rPr>
        <w:t>איצל׳ה</w:t>
      </w:r>
      <w:proofErr w:type="spellEnd"/>
      <w:r>
        <w:rPr>
          <w:rtl/>
        </w:rPr>
        <w:t xml:space="preserve"> החליט לצאת מבית המדרש הישן ולהקים ישיבת מוסר נפרדת </w:t>
      </w:r>
      <w:r>
        <w:rPr>
          <w:b/>
          <w:bCs/>
          <w:rtl/>
        </w:rPr>
        <w:t>אחרי האספה</w:t>
      </w:r>
      <w:r>
        <w:rPr>
          <w:rtl/>
        </w:rPr>
        <w:t xml:space="preserve"> – ולילה ללא שינה – נכון לגבי </w:t>
      </w:r>
      <w:proofErr w:type="spellStart"/>
      <w:r>
        <w:rPr>
          <w:rtl/>
        </w:rPr>
        <w:t>אסיפת</w:t>
      </w:r>
      <w:proofErr w:type="spellEnd"/>
      <w:r>
        <w:rPr>
          <w:rtl/>
        </w:rPr>
        <w:t xml:space="preserve"> בעלי הבתים. אחרי המפגש השני, עם הרבנים, שהתקיים ביום, הלך הסבא מיד אל התלמידים והזמין אותם להצטרף אליו </w:t>
      </w:r>
      <w:proofErr w:type="spellStart"/>
      <w:r>
        <w:rPr>
          <w:rtl/>
        </w:rPr>
        <w:t>בקצאווישע</w:t>
      </w:r>
      <w:proofErr w:type="spellEnd"/>
      <w:r>
        <w:rPr>
          <w:rtl/>
        </w:rPr>
        <w:t xml:space="preserve"> </w:t>
      </w:r>
      <w:proofErr w:type="spellStart"/>
      <w:r>
        <w:rPr>
          <w:rtl/>
        </w:rPr>
        <w:t>קלויז</w:t>
      </w:r>
      <w:proofErr w:type="spellEnd"/>
      <w:r>
        <w:rPr>
          <w:rtl/>
        </w:rPr>
        <w:t xml:space="preserve">. בכך הוציא לפועל מיד את דרך הפעולה שהחליט עליה ר׳ </w:t>
      </w:r>
      <w:proofErr w:type="spellStart"/>
      <w:r>
        <w:rPr>
          <w:rtl/>
        </w:rPr>
        <w:t>איצל׳ה</w:t>
      </w:r>
      <w:proofErr w:type="spellEnd"/>
      <w:r>
        <w:rPr>
          <w:rtl/>
        </w:rPr>
        <w:t xml:space="preserve"> בלילה ללא השינה, עוד לפני שבא </w:t>
      </w:r>
      <w:proofErr w:type="spellStart"/>
      <w:r>
        <w:rPr>
          <w:rtl/>
        </w:rPr>
        <w:t>לאסיפת</w:t>
      </w:r>
      <w:proofErr w:type="spellEnd"/>
      <w:r>
        <w:rPr>
          <w:rtl/>
        </w:rPr>
        <w:t xml:space="preserve"> </w:t>
      </w:r>
      <w:r>
        <w:rPr>
          <w:b/>
          <w:bCs/>
          <w:rtl/>
        </w:rPr>
        <w:t>הרבנים</w:t>
      </w:r>
      <w:r>
        <w:rPr>
          <w:rtl/>
        </w:rPr>
        <w:t xml:space="preserve">. מאורעות האספה </w:t>
      </w:r>
      <w:r>
        <w:rPr>
          <w:b/>
          <w:bCs/>
          <w:rtl/>
        </w:rPr>
        <w:t>המוקדמת</w:t>
      </w:r>
      <w:r>
        <w:rPr>
          <w:rtl/>
        </w:rPr>
        <w:t xml:space="preserve"> (שבלילה) הם מה </w:t>
      </w:r>
      <w:proofErr w:type="spellStart"/>
      <w:r>
        <w:rPr>
          <w:rtl/>
        </w:rPr>
        <w:t>ש“מסופר</w:t>
      </w:r>
      <w:proofErr w:type="spellEnd"/>
      <w:r>
        <w:rPr>
          <w:rtl/>
        </w:rPr>
        <w:t>” למחבר “פולמוס המוסר”, ומה שנרשם בתיאורו את מאורעות פולמוס המוסר.</w:t>
      </w:r>
    </w:p>
    <w:p w14:paraId="6C9F1CC1" w14:textId="77777777" w:rsidR="00AB3647" w:rsidRDefault="00000000" w:rsidP="007923E9">
      <w:pPr>
        <w:spacing w:after="120" w:line="276" w:lineRule="auto"/>
        <w:ind w:firstLine="283"/>
        <w:jc w:val="both"/>
      </w:pPr>
      <w:r>
        <w:rPr>
          <w:rtl/>
        </w:rPr>
        <w:t xml:space="preserve">יש להוסיף שר׳ </w:t>
      </w:r>
      <w:proofErr w:type="spellStart"/>
      <w:r>
        <w:rPr>
          <w:rtl/>
        </w:rPr>
        <w:t>איצל׳ה</w:t>
      </w:r>
      <w:proofErr w:type="spellEnd"/>
      <w:r>
        <w:rPr>
          <w:rtl/>
        </w:rPr>
        <w:t xml:space="preserve"> והסבא כלל לא היו בטוחים שימצאו תלמידים שילכו אחריהם להקמת ישיבה חדשה, כמובא בסוף הערה 39. אבל זו הייתה דרך הפעולה שהחליטו עליה השניים כדי “להימנע מחילול השם”.</w:t>
      </w:r>
    </w:p>
    <w:p w14:paraId="2F1F195E" w14:textId="77777777" w:rsidR="00AB3647" w:rsidRDefault="00000000" w:rsidP="007923E9">
      <w:pPr>
        <w:pStyle w:val="4"/>
        <w:spacing w:line="276" w:lineRule="auto"/>
      </w:pPr>
      <w:r>
        <w:t>· הפסקה השלישית ·</w:t>
      </w:r>
    </w:p>
    <w:p w14:paraId="571CEB5C" w14:textId="77777777" w:rsidR="00AB3647" w:rsidRDefault="00000000" w:rsidP="007923E9">
      <w:pPr>
        <w:keepNext/>
        <w:shd w:val="clear" w:color="auto" w:fill="F2F2F2"/>
        <w:spacing w:before="40" w:after="200" w:line="276" w:lineRule="auto"/>
        <w:ind w:left="283" w:right="283"/>
        <w:jc w:val="both"/>
      </w:pPr>
      <w:r>
        <w:rPr>
          <w:color w:val="404040"/>
          <w:sz w:val="22"/>
          <w:szCs w:val="22"/>
          <w:rtl/>
        </w:rPr>
        <w:t xml:space="preserve">גינוי רשמי של המוסר מתפרסם – ר׳ </w:t>
      </w:r>
      <w:proofErr w:type="spellStart"/>
      <w:r>
        <w:rPr>
          <w:color w:val="404040"/>
          <w:sz w:val="22"/>
          <w:szCs w:val="22"/>
          <w:rtl/>
        </w:rPr>
        <w:t>יצחק־יעקב</w:t>
      </w:r>
      <w:proofErr w:type="spellEnd"/>
      <w:r>
        <w:rPr>
          <w:color w:val="404040"/>
          <w:sz w:val="22"/>
          <w:szCs w:val="22"/>
          <w:rtl/>
        </w:rPr>
        <w:t xml:space="preserve"> ריינס אינו חותם על המסמך – פונים לאמיל לחמן בבקשת תמיכה בישיבת </w:t>
      </w:r>
      <w:proofErr w:type="spellStart"/>
      <w:r>
        <w:rPr>
          <w:color w:val="404040"/>
          <w:sz w:val="22"/>
          <w:szCs w:val="22"/>
          <w:rtl/>
        </w:rPr>
        <w:t>וולוז׳ין</w:t>
      </w:r>
      <w:proofErr w:type="spellEnd"/>
      <w:r>
        <w:rPr>
          <w:color w:val="404040"/>
          <w:sz w:val="22"/>
          <w:szCs w:val="22"/>
          <w:rtl/>
        </w:rPr>
        <w:t xml:space="preserve"> – בישיבת לידה אין סדר מוסר – </w:t>
      </w:r>
      <w:proofErr w:type="spellStart"/>
      <w:r>
        <w:rPr>
          <w:color w:val="404040"/>
          <w:sz w:val="22"/>
          <w:szCs w:val="22"/>
          <w:rtl/>
        </w:rPr>
        <w:t>החפץ־חיים</w:t>
      </w:r>
      <w:proofErr w:type="spellEnd"/>
      <w:r>
        <w:rPr>
          <w:color w:val="404040"/>
          <w:sz w:val="22"/>
          <w:szCs w:val="22"/>
          <w:rtl/>
        </w:rPr>
        <w:t xml:space="preserve"> מנסה להסיט את ר׳ </w:t>
      </w:r>
      <w:proofErr w:type="spellStart"/>
      <w:r>
        <w:rPr>
          <w:color w:val="404040"/>
          <w:sz w:val="22"/>
          <w:szCs w:val="22"/>
          <w:rtl/>
        </w:rPr>
        <w:t>יצחק־יעקב</w:t>
      </w:r>
      <w:proofErr w:type="spellEnd"/>
      <w:r>
        <w:rPr>
          <w:color w:val="404040"/>
          <w:sz w:val="22"/>
          <w:szCs w:val="22"/>
          <w:rtl/>
        </w:rPr>
        <w:t xml:space="preserve"> ריינס מן הדרך הציונית – </w:t>
      </w:r>
      <w:proofErr w:type="spellStart"/>
      <w:r>
        <w:rPr>
          <w:color w:val="404040"/>
          <w:sz w:val="22"/>
          <w:szCs w:val="22"/>
          <w:rtl/>
        </w:rPr>
        <w:t>החפץ־חיים</w:t>
      </w:r>
      <w:proofErr w:type="spellEnd"/>
      <w:r>
        <w:rPr>
          <w:color w:val="404040"/>
          <w:sz w:val="22"/>
          <w:szCs w:val="22"/>
          <w:rtl/>
        </w:rPr>
        <w:t xml:space="preserve"> מרים את קולו כדי להשיב על תירוצי עושי העוולה – טיעוניו מיוחדים במינם – ר׳ </w:t>
      </w:r>
      <w:proofErr w:type="spellStart"/>
      <w:r>
        <w:rPr>
          <w:color w:val="404040"/>
          <w:sz w:val="22"/>
          <w:szCs w:val="22"/>
          <w:rtl/>
        </w:rPr>
        <w:t>יצחק־יעקב</w:t>
      </w:r>
      <w:proofErr w:type="spellEnd"/>
      <w:r>
        <w:rPr>
          <w:color w:val="404040"/>
          <w:sz w:val="22"/>
          <w:szCs w:val="22"/>
          <w:rtl/>
        </w:rPr>
        <w:t xml:space="preserve"> ריינס מותקף על הבמה – התוקף הוא תלמיד חכם קדוש – ר׳ חיים </w:t>
      </w:r>
      <w:proofErr w:type="spellStart"/>
      <w:r>
        <w:rPr>
          <w:color w:val="404040"/>
          <w:sz w:val="22"/>
          <w:szCs w:val="22"/>
          <w:rtl/>
        </w:rPr>
        <w:t>סולובייצ׳יק</w:t>
      </w:r>
      <w:proofErr w:type="spellEnd"/>
      <w:r>
        <w:rPr>
          <w:color w:val="404040"/>
          <w:sz w:val="22"/>
          <w:szCs w:val="22"/>
          <w:rtl/>
        </w:rPr>
        <w:t xml:space="preserve"> אינו דן אדם לפי דבריו – העיתונות יוצאת נגד אנשי המוסר – ר׳ חיים מסרב לחתום על הגינוי – הסבא </w:t>
      </w:r>
      <w:proofErr w:type="spellStart"/>
      <w:r>
        <w:rPr>
          <w:color w:val="404040"/>
          <w:sz w:val="22"/>
          <w:szCs w:val="22"/>
          <w:rtl/>
        </w:rPr>
        <w:t>מסלבודקה</w:t>
      </w:r>
      <w:proofErr w:type="spellEnd"/>
      <w:r>
        <w:rPr>
          <w:color w:val="404040"/>
          <w:sz w:val="22"/>
          <w:szCs w:val="22"/>
          <w:rtl/>
        </w:rPr>
        <w:t xml:space="preserve"> מתחזק בזכות הימנעותו של ר׳ חיים</w:t>
      </w:r>
    </w:p>
    <w:p w14:paraId="0B7E1BD1" w14:textId="77777777" w:rsidR="00AB3647" w:rsidRDefault="00000000" w:rsidP="007923E9">
      <w:pPr>
        <w:spacing w:after="120" w:line="276" w:lineRule="auto"/>
        <w:ind w:firstLine="283"/>
        <w:jc w:val="both"/>
      </w:pPr>
      <w:r>
        <w:rPr>
          <w:rtl/>
        </w:rPr>
        <w:t xml:space="preserve">גינוי חריף של דבקי המוסר, שכותרתו “למען דעת”, יצא בח׳ באייר תרנ״ז. הוא נועד להפצה בין הרבנים בלבד, כפי שכתב לימים בפומבי ר׳ </w:t>
      </w:r>
      <w:proofErr w:type="spellStart"/>
      <w:r>
        <w:rPr>
          <w:rtl/>
        </w:rPr>
        <w:t>הירש־יעקב</w:t>
      </w:r>
      <w:proofErr w:type="spellEnd"/>
      <w:r>
        <w:rPr>
          <w:rtl/>
        </w:rPr>
        <w:t xml:space="preserve"> </w:t>
      </w:r>
      <w:proofErr w:type="spellStart"/>
      <w:r>
        <w:rPr>
          <w:rtl/>
        </w:rPr>
        <w:t>אופנהיים</w:t>
      </w:r>
      <w:proofErr w:type="spellEnd"/>
      <w:r>
        <w:rPr>
          <w:rtl/>
        </w:rPr>
        <w:t>, רב קלם</w:t>
      </w:r>
      <w:bookmarkStart w:id="2889" w:name="_fnr2018"/>
      <w:r>
        <w:rPr>
          <w:rStyle w:val="a5"/>
        </w:rPr>
        <w:footnoteReference w:id="2023" w:customMarkFollows="0"/>
      </w:r>
      <w:bookmarkEnd w:id="2889"/>
      <w:r>
        <w:rPr>
          <w:rtl/>
        </w:rPr>
        <w:t xml:space="preserve">. ר׳ </w:t>
      </w:r>
      <w:proofErr w:type="spellStart"/>
      <w:r>
        <w:rPr>
          <w:rtl/>
        </w:rPr>
        <w:t>הירש־יעקב</w:t>
      </w:r>
      <w:proofErr w:type="spellEnd"/>
      <w:r>
        <w:rPr>
          <w:rtl/>
        </w:rPr>
        <w:t xml:space="preserve"> </w:t>
      </w:r>
      <w:proofErr w:type="spellStart"/>
      <w:r>
        <w:rPr>
          <w:rtl/>
        </w:rPr>
        <w:t>אופנהיים</w:t>
      </w:r>
      <w:proofErr w:type="spellEnd"/>
      <w:r>
        <w:rPr>
          <w:rtl/>
        </w:rPr>
        <w:t xml:space="preserve"> היה מן החותמים, אף שהיה חב תודה לסבא, שהקים לו ישיבה </w:t>
      </w:r>
      <w:proofErr w:type="spellStart"/>
      <w:r>
        <w:rPr>
          <w:rtl/>
        </w:rPr>
        <w:t>בטלז</w:t>
      </w:r>
      <w:proofErr w:type="spellEnd"/>
      <w:r>
        <w:rPr>
          <w:rtl/>
        </w:rPr>
        <w:t xml:space="preserve"> בעודו “אוכל </w:t>
      </w:r>
      <w:proofErr w:type="spellStart"/>
      <w:r>
        <w:rPr>
          <w:rtl/>
        </w:rPr>
        <w:t>קעסט</w:t>
      </w:r>
      <w:proofErr w:type="spellEnd"/>
      <w:r>
        <w:rPr>
          <w:rtl/>
        </w:rPr>
        <w:t>”</w:t>
      </w:r>
      <w:bookmarkStart w:id="2890" w:name="_fnr2019"/>
      <w:r>
        <w:rPr>
          <w:rStyle w:val="a5"/>
        </w:rPr>
        <w:footnoteReference w:id="2024" w:customMarkFollows="0"/>
      </w:r>
      <w:bookmarkEnd w:id="2890"/>
      <w:r>
        <w:rPr>
          <w:rtl/>
        </w:rPr>
        <w:t xml:space="preserve">, </w:t>
      </w:r>
      <w:proofErr w:type="spellStart"/>
      <w:r>
        <w:rPr>
          <w:rtl/>
        </w:rPr>
        <w:t>ולר</w:t>
      </w:r>
      <w:proofErr w:type="spellEnd"/>
      <w:r>
        <w:rPr>
          <w:rtl/>
        </w:rPr>
        <w:t xml:space="preserve">׳ </w:t>
      </w:r>
      <w:proofErr w:type="spellStart"/>
      <w:r>
        <w:rPr>
          <w:rtl/>
        </w:rPr>
        <w:t>שמחה־זיסל</w:t>
      </w:r>
      <w:proofErr w:type="spellEnd"/>
      <w:r>
        <w:rPr>
          <w:rtl/>
        </w:rPr>
        <w:t xml:space="preserve"> זיו, שסייע לו לזכות במשרת הרבנות </w:t>
      </w:r>
      <w:proofErr w:type="spellStart"/>
      <w:r>
        <w:rPr>
          <w:rtl/>
        </w:rPr>
        <w:t>בקלם</w:t>
      </w:r>
      <w:proofErr w:type="spellEnd"/>
      <w:r>
        <w:rPr>
          <w:rtl/>
        </w:rPr>
        <w:t xml:space="preserve">. ר׳ </w:t>
      </w:r>
      <w:proofErr w:type="spellStart"/>
      <w:r>
        <w:rPr>
          <w:rtl/>
        </w:rPr>
        <w:t>שמחה־זיסל</w:t>
      </w:r>
      <w:proofErr w:type="spellEnd"/>
      <w:r>
        <w:rPr>
          <w:rtl/>
        </w:rPr>
        <w:t xml:space="preserve"> הכיר את ר׳ </w:t>
      </w:r>
      <w:proofErr w:type="spellStart"/>
      <w:r>
        <w:rPr>
          <w:rtl/>
        </w:rPr>
        <w:t>הירש־יעקב</w:t>
      </w:r>
      <w:proofErr w:type="spellEnd"/>
      <w:r>
        <w:rPr>
          <w:rtl/>
        </w:rPr>
        <w:t xml:space="preserve"> </w:t>
      </w:r>
      <w:proofErr w:type="spellStart"/>
      <w:r>
        <w:rPr>
          <w:rtl/>
        </w:rPr>
        <w:t>אופנהיים</w:t>
      </w:r>
      <w:proofErr w:type="spellEnd"/>
      <w:r>
        <w:rPr>
          <w:rtl/>
        </w:rPr>
        <w:t xml:space="preserve"> מן הזמן שהלה נמנה עם צוות מוריו </w:t>
      </w:r>
      <w:proofErr w:type="spellStart"/>
      <w:r>
        <w:rPr>
          <w:rtl/>
        </w:rPr>
        <w:t>בקלם</w:t>
      </w:r>
      <w:proofErr w:type="spellEnd"/>
      <w:r>
        <w:rPr>
          <w:rtl/>
        </w:rPr>
        <w:t xml:space="preserve"> ואחר כך </w:t>
      </w:r>
      <w:proofErr w:type="spellStart"/>
      <w:r>
        <w:rPr>
          <w:rtl/>
        </w:rPr>
        <w:t>בגרובין</w:t>
      </w:r>
      <w:bookmarkStart w:id="2891" w:name="_fnr2020"/>
      <w:proofErr w:type="spellEnd"/>
      <w:r>
        <w:rPr>
          <w:rStyle w:val="a5"/>
        </w:rPr>
        <w:footnoteReference w:id="2025" w:customMarkFollows="0"/>
      </w:r>
      <w:bookmarkEnd w:id="2891"/>
      <w:r>
        <w:rPr>
          <w:rtl/>
        </w:rPr>
        <w:t>. אבל המסמך נגד המוסר דלף לעיתונות, והיה לשיחת היום בעולם היהודי.</w:t>
      </w:r>
    </w:p>
    <w:p w14:paraId="7FFDC9E8" w14:textId="77777777" w:rsidR="00AB3647" w:rsidRDefault="00000000" w:rsidP="007923E9">
      <w:pPr>
        <w:spacing w:after="120" w:line="276" w:lineRule="auto"/>
        <w:ind w:firstLine="283"/>
        <w:jc w:val="both"/>
      </w:pPr>
      <w:r>
        <w:rPr>
          <w:rtl/>
        </w:rPr>
        <w:t xml:space="preserve">בריאיון המוקלט על הסבא </w:t>
      </w:r>
      <w:proofErr w:type="spellStart"/>
      <w:r>
        <w:rPr>
          <w:rtl/>
        </w:rPr>
        <w:t>מסלבודקה</w:t>
      </w:r>
      <w:proofErr w:type="spellEnd"/>
      <w:r>
        <w:rPr>
          <w:rtl/>
        </w:rPr>
        <w:t xml:space="preserve"> סיפר אבי: “על מסמך זה חתמו כל גדולי הרבנים, ובהם ר׳ </w:t>
      </w:r>
      <w:proofErr w:type="spellStart"/>
      <w:r>
        <w:rPr>
          <w:rtl/>
        </w:rPr>
        <w:t>דוד׳ל</w:t>
      </w:r>
      <w:proofErr w:type="spellEnd"/>
      <w:r>
        <w:rPr>
          <w:rtl/>
        </w:rPr>
        <w:t xml:space="preserve"> </w:t>
      </w:r>
      <w:proofErr w:type="spellStart"/>
      <w:r>
        <w:rPr>
          <w:rtl/>
        </w:rPr>
        <w:t>קארלינער</w:t>
      </w:r>
      <w:proofErr w:type="spellEnd"/>
      <w:r>
        <w:rPr>
          <w:rtl/>
        </w:rPr>
        <w:t xml:space="preserve"> [פרידמן]</w:t>
      </w:r>
      <w:bookmarkStart w:id="2892" w:name="_fnr2021"/>
      <w:r>
        <w:rPr>
          <w:rStyle w:val="a5"/>
        </w:rPr>
        <w:footnoteReference w:id="2026" w:customMarkFollows="0"/>
      </w:r>
      <w:bookmarkEnd w:id="2892"/>
      <w:r>
        <w:rPr>
          <w:rtl/>
        </w:rPr>
        <w:t xml:space="preserve">, מלבד שלושה: ר׳ </w:t>
      </w:r>
      <w:proofErr w:type="spellStart"/>
      <w:r>
        <w:rPr>
          <w:rtl/>
        </w:rPr>
        <w:t>יחיאל־מיכל</w:t>
      </w:r>
      <w:proofErr w:type="spellEnd"/>
      <w:r>
        <w:rPr>
          <w:rtl/>
        </w:rPr>
        <w:t xml:space="preserve"> אפשטיין [בעל ערוך השולחן], ר׳ יוסל </w:t>
      </w:r>
      <w:proofErr w:type="spellStart"/>
      <w:r>
        <w:rPr>
          <w:rtl/>
        </w:rPr>
        <w:t>סלונימער</w:t>
      </w:r>
      <w:proofErr w:type="spellEnd"/>
      <w:r>
        <w:rPr>
          <w:rtl/>
        </w:rPr>
        <w:t xml:space="preserve"> [</w:t>
      </w:r>
      <w:proofErr w:type="spellStart"/>
      <w:r>
        <w:rPr>
          <w:rtl/>
        </w:rPr>
        <w:t>שלופר</w:t>
      </w:r>
      <w:proofErr w:type="spellEnd"/>
      <w:r>
        <w:rPr>
          <w:rtl/>
        </w:rPr>
        <w:t xml:space="preserve">, חתנו וממלא מקומו של הרב </w:t>
      </w:r>
      <w:proofErr w:type="spellStart"/>
      <w:r>
        <w:rPr>
          <w:rtl/>
        </w:rPr>
        <w:t>אייזל</w:t>
      </w:r>
      <w:proofErr w:type="spellEnd"/>
      <w:r>
        <w:rPr>
          <w:rtl/>
        </w:rPr>
        <w:t xml:space="preserve">, רב סלונים], ור׳ </w:t>
      </w:r>
      <w:proofErr w:type="spellStart"/>
      <w:r>
        <w:rPr>
          <w:rtl/>
        </w:rPr>
        <w:t>יצחק־יעקב</w:t>
      </w:r>
      <w:proofErr w:type="spellEnd"/>
      <w:r>
        <w:rPr>
          <w:rtl/>
        </w:rPr>
        <w:t xml:space="preserve"> ריינס [רב לידה].” רבנו צחק כשהזכיר את האחרון שבשלושה, משום שר׳ </w:t>
      </w:r>
      <w:proofErr w:type="spellStart"/>
      <w:r>
        <w:rPr>
          <w:rtl/>
        </w:rPr>
        <w:t>יצחק־יעקב</w:t>
      </w:r>
      <w:proofErr w:type="spellEnd"/>
      <w:r>
        <w:rPr>
          <w:rtl/>
        </w:rPr>
        <w:t xml:space="preserve"> ריינס נעשה לימים שנוי במחלוקת: תחילה בשנת תרס״ב, כשייסד את ארגון הציונות הדתית “המזרחי”, ואחר כך בשנת תרס״ה, כשפתח בלידה ישיבה שחיברה לימודי קודש ולימודי חול [להבדיל]. תוכנית לימודים זו נתקלה בהתנגדות עזה מצד חוגי הישיבות בכלל.</w:t>
      </w:r>
    </w:p>
    <w:p w14:paraId="4637D732" w14:textId="77777777" w:rsidR="00AB3647" w:rsidRDefault="00000000" w:rsidP="007923E9">
      <w:pPr>
        <w:spacing w:after="120" w:line="276" w:lineRule="auto"/>
        <w:ind w:firstLine="283"/>
        <w:jc w:val="both"/>
      </w:pPr>
      <w:r>
        <w:rPr>
          <w:rtl/>
        </w:rPr>
        <w:lastRenderedPageBreak/>
        <w:t xml:space="preserve">הגביר הברלינאי אמיל לחמן תמך בר׳ </w:t>
      </w:r>
      <w:proofErr w:type="spellStart"/>
      <w:r>
        <w:rPr>
          <w:rtl/>
        </w:rPr>
        <w:t>יצחק־יעקב</w:t>
      </w:r>
      <w:proofErr w:type="spellEnd"/>
      <w:r>
        <w:rPr>
          <w:rtl/>
        </w:rPr>
        <w:t xml:space="preserve"> ריינס בהוצאת ספרו “חותם תכנית” יותר מעשרים שנה קודם לכן, בשנת תר״מ</w:t>
      </w:r>
      <w:bookmarkStart w:id="2893" w:name="_fnr2022"/>
      <w:r>
        <w:rPr>
          <w:rStyle w:val="a5"/>
        </w:rPr>
        <w:footnoteReference w:id="2027" w:customMarkFollows="0"/>
      </w:r>
      <w:bookmarkEnd w:id="2893"/>
      <w:r>
        <w:rPr>
          <w:rtl/>
        </w:rPr>
        <w:t xml:space="preserve">. עובדה זו מלמדת שיועציו של לחמן, מצדדי המוסר, ידעו שר׳ </w:t>
      </w:r>
      <w:proofErr w:type="spellStart"/>
      <w:r>
        <w:rPr>
          <w:rtl/>
        </w:rPr>
        <w:t>יצחק־יעקב</w:t>
      </w:r>
      <w:proofErr w:type="spellEnd"/>
      <w:r>
        <w:rPr>
          <w:rtl/>
        </w:rPr>
        <w:t xml:space="preserve"> ריינס נוטה למוסר – שהרי ודאי ביקש מהם עצה למי להעניק מצדקתו.</w:t>
      </w:r>
    </w:p>
    <w:p w14:paraId="67477433" w14:textId="77777777" w:rsidR="00AB3647" w:rsidRDefault="00000000" w:rsidP="007923E9">
      <w:pPr>
        <w:spacing w:after="120" w:line="276" w:lineRule="auto"/>
        <w:ind w:firstLine="283"/>
        <w:jc w:val="both"/>
      </w:pPr>
      <w:r>
        <w:rPr>
          <w:rtl/>
        </w:rPr>
        <w:t xml:space="preserve">מטבע הדברים פנו אל לחמן העשיר מוסדות ומטרות רבים שביקשו את תמיכתו, ובהם ישיבת </w:t>
      </w:r>
      <w:proofErr w:type="spellStart"/>
      <w:r>
        <w:rPr>
          <w:rtl/>
        </w:rPr>
        <w:t>וולוז׳ין</w:t>
      </w:r>
      <w:proofErr w:type="spellEnd"/>
      <w:r>
        <w:rPr>
          <w:rtl/>
        </w:rPr>
        <w:t xml:space="preserve">. ראה את המכתב משנת תרמ״ו המובא </w:t>
      </w:r>
      <w:proofErr w:type="spellStart"/>
      <w:r>
        <w:rPr>
          <w:rtl/>
        </w:rPr>
        <w:t>ב“אגרות</w:t>
      </w:r>
      <w:proofErr w:type="spellEnd"/>
      <w:r>
        <w:rPr>
          <w:rtl/>
        </w:rPr>
        <w:t xml:space="preserve"> </w:t>
      </w:r>
      <w:proofErr w:type="spellStart"/>
      <w:r>
        <w:rPr>
          <w:rtl/>
        </w:rPr>
        <w:t>לראי״ה</w:t>
      </w:r>
      <w:proofErr w:type="spellEnd"/>
      <w:r>
        <w:rPr>
          <w:rtl/>
        </w:rPr>
        <w:t>”</w:t>
      </w:r>
      <w:bookmarkStart w:id="2894" w:name="_fnr2023"/>
      <w:r>
        <w:rPr>
          <w:rStyle w:val="a5"/>
        </w:rPr>
        <w:footnoteReference w:id="2028" w:customMarkFollows="0"/>
      </w:r>
      <w:bookmarkEnd w:id="2894"/>
      <w:r>
        <w:rPr>
          <w:rtl/>
        </w:rPr>
        <w:t xml:space="preserve">, ששלח ר׳ </w:t>
      </w:r>
      <w:proofErr w:type="spellStart"/>
      <w:r>
        <w:rPr>
          <w:rtl/>
        </w:rPr>
        <w:t>בן־ציון</w:t>
      </w:r>
      <w:proofErr w:type="spellEnd"/>
      <w:r>
        <w:rPr>
          <w:rtl/>
        </w:rPr>
        <w:t xml:space="preserve"> </w:t>
      </w:r>
      <w:proofErr w:type="spellStart"/>
      <w:r>
        <w:rPr>
          <w:rtl/>
        </w:rPr>
        <w:t>שטרנפלד</w:t>
      </w:r>
      <w:bookmarkStart w:id="2895" w:name="_fnr2024"/>
      <w:proofErr w:type="spellEnd"/>
      <w:r>
        <w:rPr>
          <w:rStyle w:val="a5"/>
        </w:rPr>
        <w:footnoteReference w:id="2029" w:customMarkFollows="0"/>
      </w:r>
      <w:bookmarkEnd w:id="2895"/>
      <w:r>
        <w:rPr>
          <w:rtl/>
        </w:rPr>
        <w:t xml:space="preserve">, אז רב </w:t>
      </w:r>
      <w:proofErr w:type="spellStart"/>
      <w:r>
        <w:rPr>
          <w:rtl/>
        </w:rPr>
        <w:t>קלווריה</w:t>
      </w:r>
      <w:proofErr w:type="spellEnd"/>
      <w:r>
        <w:rPr>
          <w:rtl/>
        </w:rPr>
        <w:t xml:space="preserve">, אל </w:t>
      </w:r>
      <w:proofErr w:type="spellStart"/>
      <w:r>
        <w:rPr>
          <w:rtl/>
        </w:rPr>
        <w:t>האדר״ת</w:t>
      </w:r>
      <w:bookmarkStart w:id="2896" w:name="_fnr2025"/>
      <w:proofErr w:type="spellEnd"/>
      <w:r>
        <w:rPr>
          <w:rStyle w:val="a5"/>
        </w:rPr>
        <w:footnoteReference w:id="2030" w:customMarkFollows="0"/>
      </w:r>
      <w:bookmarkEnd w:id="2896"/>
      <w:r>
        <w:rPr>
          <w:rtl/>
        </w:rPr>
        <w:t xml:space="preserve">, אז רב </w:t>
      </w:r>
      <w:proofErr w:type="spellStart"/>
      <w:r>
        <w:rPr>
          <w:rtl/>
        </w:rPr>
        <w:t>פוניבז</w:t>
      </w:r>
      <w:proofErr w:type="spellEnd"/>
      <w:r>
        <w:rPr>
          <w:rtl/>
        </w:rPr>
        <w:t xml:space="preserve">׳. במכתב הוא מתאר בפירוט את ישיבת </w:t>
      </w:r>
      <w:proofErr w:type="spellStart"/>
      <w:r>
        <w:rPr>
          <w:rtl/>
        </w:rPr>
        <w:t>וולוז׳ין</w:t>
      </w:r>
      <w:proofErr w:type="spellEnd"/>
      <w:r>
        <w:rPr>
          <w:rtl/>
        </w:rPr>
        <w:t xml:space="preserve">, אחרי ששהה בה “כשבוע” כדי לרשום אליה את בנו. מסקנתו היא </w:t>
      </w:r>
      <w:proofErr w:type="spellStart"/>
      <w:r>
        <w:rPr>
          <w:rtl/>
        </w:rPr>
        <w:t>שוולוז׳ין</w:t>
      </w:r>
      <w:proofErr w:type="spellEnd"/>
      <w:r>
        <w:rPr>
          <w:rtl/>
        </w:rPr>
        <w:t xml:space="preserve"> היא “יסוד התורה בזמננו, שעליה אפשר לומר באמת שהיא בית המקדש של הגולה”</w:t>
      </w:r>
      <w:bookmarkStart w:id="2897" w:name="_fnr2026"/>
      <w:r>
        <w:rPr>
          <w:rStyle w:val="a5"/>
        </w:rPr>
        <w:footnoteReference w:id="2031" w:customMarkFollows="0"/>
      </w:r>
      <w:bookmarkEnd w:id="2897"/>
      <w:r>
        <w:rPr>
          <w:rtl/>
        </w:rPr>
        <w:t xml:space="preserve">. הרב </w:t>
      </w:r>
      <w:proofErr w:type="spellStart"/>
      <w:r>
        <w:rPr>
          <w:rtl/>
        </w:rPr>
        <w:t>שטרנפלד</w:t>
      </w:r>
      <w:proofErr w:type="spellEnd"/>
      <w:r>
        <w:rPr>
          <w:rtl/>
        </w:rPr>
        <w:t xml:space="preserve"> מתאר גם את “ההשגחה שאין לשער של </w:t>
      </w:r>
      <w:proofErr w:type="spellStart"/>
      <w:r>
        <w:rPr>
          <w:rtl/>
        </w:rPr>
        <w:t>הנצי״ב</w:t>
      </w:r>
      <w:proofErr w:type="spellEnd"/>
      <w:r>
        <w:rPr>
          <w:rtl/>
        </w:rPr>
        <w:t xml:space="preserve"> על התלמידים, עד כדי מסירות נפשו כולה”, ומצביע על העובדה המצערת שראש הישיבה היה שקוע בחובות, דבר </w:t>
      </w:r>
      <w:proofErr w:type="spellStart"/>
      <w:r>
        <w:rPr>
          <w:rtl/>
        </w:rPr>
        <w:t>ש“מטיל</w:t>
      </w:r>
      <w:proofErr w:type="spellEnd"/>
      <w:r>
        <w:rPr>
          <w:rtl/>
        </w:rPr>
        <w:t xml:space="preserve"> על הרבנים לחזק (את הישיבה) בכל כוחם (שלהם), כדי שלא יתמוטטו עמודיה, חס ושלום”.</w:t>
      </w:r>
    </w:p>
    <w:p w14:paraId="3B41BCF7" w14:textId="77777777" w:rsidR="00AB3647" w:rsidRDefault="00000000" w:rsidP="007923E9">
      <w:pPr>
        <w:spacing w:after="120" w:line="276" w:lineRule="auto"/>
        <w:ind w:firstLine="283"/>
        <w:jc w:val="both"/>
      </w:pPr>
      <w:r>
        <w:rPr>
          <w:rtl/>
        </w:rPr>
        <w:t xml:space="preserve">מאחר ש“(לרבנים) אין כוח לעשות דבר במחוזותיהם (שלהם)”, הוא מבקש מן </w:t>
      </w:r>
      <w:proofErr w:type="spellStart"/>
      <w:r>
        <w:rPr>
          <w:rtl/>
        </w:rPr>
        <w:t>האדר״ת</w:t>
      </w:r>
      <w:proofErr w:type="spellEnd"/>
      <w:r>
        <w:rPr>
          <w:rtl/>
        </w:rPr>
        <w:t xml:space="preserve">, “היודע את ערכה הרב של הישיבה, שהרי חתנו (ר׳ </w:t>
      </w:r>
      <w:proofErr w:type="spellStart"/>
      <w:r>
        <w:rPr>
          <w:rtl/>
        </w:rPr>
        <w:t>אברהם־יצחק</w:t>
      </w:r>
      <w:proofErr w:type="spellEnd"/>
      <w:r>
        <w:rPr>
          <w:rtl/>
        </w:rPr>
        <w:t xml:space="preserve"> קוק) שהה </w:t>
      </w:r>
      <w:proofErr w:type="spellStart"/>
      <w:r>
        <w:rPr>
          <w:rtl/>
        </w:rPr>
        <w:t>בוולוז׳ין</w:t>
      </w:r>
      <w:bookmarkStart w:id="2898" w:name="_fnr2027"/>
      <w:proofErr w:type="spellEnd"/>
      <w:r>
        <w:rPr>
          <w:rStyle w:val="a5"/>
        </w:rPr>
        <w:footnoteReference w:id="2032" w:customMarkFollows="0"/>
      </w:r>
      <w:bookmarkEnd w:id="2898"/>
      <w:r>
        <w:rPr>
          <w:rtl/>
        </w:rPr>
        <w:t xml:space="preserve"> והצליח שם בלימודו”, לכתוב אל “הגביר הצדיק המופלג </w:t>
      </w:r>
      <w:proofErr w:type="spellStart"/>
      <w:r>
        <w:rPr>
          <w:rtl/>
        </w:rPr>
        <w:t>בתוי״ש</w:t>
      </w:r>
      <w:proofErr w:type="spellEnd"/>
      <w:r>
        <w:rPr>
          <w:rtl/>
        </w:rPr>
        <w:t xml:space="preserve">” לחמן, ואל “הצדיק השר הטפסר” [וילהלם קרל (ר׳ </w:t>
      </w:r>
      <w:proofErr w:type="spellStart"/>
      <w:r>
        <w:rPr>
          <w:rtl/>
        </w:rPr>
        <w:t>שמעון־וולף</w:t>
      </w:r>
      <w:proofErr w:type="spellEnd"/>
      <w:r>
        <w:rPr>
          <w:rtl/>
        </w:rPr>
        <w:t>)] רוטשילד מפרנקפורט</w:t>
      </w:r>
      <w:bookmarkStart w:id="2899" w:name="_fnr2028"/>
      <w:r>
        <w:rPr>
          <w:rStyle w:val="a5"/>
        </w:rPr>
        <w:footnoteReference w:id="2033" w:customMarkFollows="0"/>
      </w:r>
      <w:bookmarkEnd w:id="2899"/>
      <w:r>
        <w:rPr>
          <w:rtl/>
        </w:rPr>
        <w:t xml:space="preserve">. “אבל”, מסיים הרב </w:t>
      </w:r>
      <w:proofErr w:type="spellStart"/>
      <w:r>
        <w:rPr>
          <w:rtl/>
        </w:rPr>
        <w:t>שטרנפלד</w:t>
      </w:r>
      <w:proofErr w:type="spellEnd"/>
      <w:r>
        <w:rPr>
          <w:rtl/>
        </w:rPr>
        <w:t xml:space="preserve">, “כתבו בלהבות אש ובהתרגשות רבה, ובקשו עזרה בהיקף גדול.” סביר להניח שלחמן לא נענה למכתביו של ר׳ </w:t>
      </w:r>
      <w:proofErr w:type="spellStart"/>
      <w:r>
        <w:rPr>
          <w:rtl/>
        </w:rPr>
        <w:t>בן־ציון</w:t>
      </w:r>
      <w:proofErr w:type="spellEnd"/>
      <w:r>
        <w:rPr>
          <w:rtl/>
        </w:rPr>
        <w:t xml:space="preserve">, וכנראה גם לאלה של </w:t>
      </w:r>
      <w:proofErr w:type="spellStart"/>
      <w:r>
        <w:rPr>
          <w:rtl/>
        </w:rPr>
        <w:t>האדר״ת</w:t>
      </w:r>
      <w:proofErr w:type="spellEnd"/>
      <w:r>
        <w:rPr>
          <w:rtl/>
        </w:rPr>
        <w:t xml:space="preserve">, משום שאנשי המוסר שהדריכוהו לא המליצו לו לתמוך בישיבת </w:t>
      </w:r>
      <w:proofErr w:type="spellStart"/>
      <w:r>
        <w:rPr>
          <w:rtl/>
        </w:rPr>
        <w:t>וולוז׳ין</w:t>
      </w:r>
      <w:proofErr w:type="spellEnd"/>
      <w:r>
        <w:rPr>
          <w:rtl/>
        </w:rPr>
        <w:t>, המתנגדת למוסר</w:t>
      </w:r>
      <w:bookmarkStart w:id="2900" w:name="_fnr2029"/>
      <w:r>
        <w:rPr>
          <w:rStyle w:val="a5"/>
        </w:rPr>
        <w:footnoteReference w:id="2034" w:customMarkFollows="0"/>
      </w:r>
      <w:bookmarkEnd w:id="2900"/>
      <w:r>
        <w:rPr>
          <w:rtl/>
        </w:rPr>
        <w:t>.</w:t>
      </w:r>
    </w:p>
    <w:p w14:paraId="63FB33E8" w14:textId="77777777" w:rsidR="00AB3647" w:rsidRDefault="00000000" w:rsidP="007923E9">
      <w:pPr>
        <w:spacing w:after="120" w:line="276" w:lineRule="auto"/>
        <w:ind w:firstLine="283"/>
        <w:jc w:val="both"/>
      </w:pPr>
      <w:r>
        <w:rPr>
          <w:rtl/>
        </w:rPr>
        <w:t xml:space="preserve">מעניין שלפי </w:t>
      </w:r>
      <w:proofErr w:type="spellStart"/>
      <w:r>
        <w:rPr>
          <w:rtl/>
        </w:rPr>
        <w:t>הירש־לייב</w:t>
      </w:r>
      <w:proofErr w:type="spellEnd"/>
      <w:r>
        <w:rPr>
          <w:rtl/>
        </w:rPr>
        <w:t xml:space="preserve"> גורדון</w:t>
      </w:r>
      <w:bookmarkStart w:id="2901" w:name="_fnr2030"/>
      <w:r>
        <w:rPr>
          <w:rStyle w:val="a5"/>
        </w:rPr>
        <w:footnoteReference w:id="2035" w:customMarkFollows="0"/>
      </w:r>
      <w:bookmarkEnd w:id="2901"/>
      <w:r>
        <w:rPr>
          <w:rtl/>
        </w:rPr>
        <w:t xml:space="preserve">, המוסר בכל זאת </w:t>
      </w:r>
      <w:r>
        <w:rPr>
          <w:b/>
          <w:bCs/>
          <w:rtl/>
        </w:rPr>
        <w:t>לא היה חלק מתוכנית הלימודים של הישיבה</w:t>
      </w:r>
      <w:r>
        <w:rPr>
          <w:rtl/>
        </w:rPr>
        <w:t xml:space="preserve"> שייסד ר׳ </w:t>
      </w:r>
      <w:proofErr w:type="spellStart"/>
      <w:r>
        <w:rPr>
          <w:rtl/>
        </w:rPr>
        <w:t>יצחק־יעקב</w:t>
      </w:r>
      <w:proofErr w:type="spellEnd"/>
      <w:r>
        <w:rPr>
          <w:rtl/>
        </w:rPr>
        <w:t xml:space="preserve"> ריינס. אותו מחבר היה תלמיד בישיבת לידה, והחל ללמוד בה שלוש שנים אחרי פתיחתה </w:t>
      </w:r>
      <w:proofErr w:type="spellStart"/>
      <w:r>
        <w:rPr>
          <w:rtl/>
        </w:rPr>
        <w:t>ואחת־עשרה</w:t>
      </w:r>
      <w:proofErr w:type="spellEnd"/>
      <w:r>
        <w:rPr>
          <w:rtl/>
        </w:rPr>
        <w:t xml:space="preserve"> שנה אחרי פולמוס המוסר, ויש להניח שהכיר את העובדות בשטח טוב יותר מאשר כץ, “תנועת המוסר”, כרך ג</w:t>
      </w:r>
      <w:bookmarkStart w:id="2902" w:name="_fnr2031"/>
      <w:r>
        <w:rPr>
          <w:rStyle w:val="a5"/>
        </w:rPr>
        <w:footnoteReference w:id="2036" w:customMarkFollows="0"/>
      </w:r>
      <w:bookmarkEnd w:id="2902"/>
      <w:r>
        <w:rPr>
          <w:rtl/>
        </w:rPr>
        <w:t>, הטוען שהיה שם “מנהל מוסרי”</w:t>
      </w:r>
      <w:bookmarkStart w:id="2903" w:name="_fnr2032"/>
      <w:r>
        <w:rPr>
          <w:rStyle w:val="a5"/>
        </w:rPr>
        <w:footnoteReference w:id="2037" w:customMarkFollows="0"/>
      </w:r>
      <w:bookmarkEnd w:id="2903"/>
      <w:r>
        <w:rPr>
          <w:rtl/>
        </w:rPr>
        <w:t>.</w:t>
      </w:r>
    </w:p>
    <w:p w14:paraId="370345DD" w14:textId="77777777" w:rsidR="00AB3647" w:rsidRDefault="00000000" w:rsidP="007923E9">
      <w:pPr>
        <w:spacing w:after="120" w:line="276" w:lineRule="auto"/>
        <w:ind w:firstLine="283"/>
        <w:jc w:val="both"/>
      </w:pPr>
      <w:r>
        <w:rPr>
          <w:rtl/>
        </w:rPr>
        <w:lastRenderedPageBreak/>
        <w:t xml:space="preserve">אף שאבי היה שותף להתנגדות לישיבתו של ר׳ </w:t>
      </w:r>
      <w:proofErr w:type="spellStart"/>
      <w:r>
        <w:rPr>
          <w:rtl/>
        </w:rPr>
        <w:t>יצחק־יעקב</w:t>
      </w:r>
      <w:proofErr w:type="spellEnd"/>
      <w:r>
        <w:rPr>
          <w:rtl/>
        </w:rPr>
        <w:t xml:space="preserve"> ריינס, הוא זעם כשרב ישראלי שביקר בביתו פתח בהתקפה על ר׳ </w:t>
      </w:r>
      <w:proofErr w:type="spellStart"/>
      <w:r>
        <w:rPr>
          <w:rtl/>
        </w:rPr>
        <w:t>יצחק־יעקב</w:t>
      </w:r>
      <w:proofErr w:type="spellEnd"/>
      <w:r>
        <w:rPr>
          <w:rtl/>
        </w:rPr>
        <w:t>. ר׳ זאב לב</w:t>
      </w:r>
      <w:bookmarkStart w:id="2904" w:name="_fnr2033"/>
      <w:r>
        <w:rPr>
          <w:rStyle w:val="a5"/>
        </w:rPr>
        <w:footnoteReference w:id="2038" w:customMarkFollows="0"/>
      </w:r>
      <w:bookmarkEnd w:id="2904"/>
      <w:r>
        <w:rPr>
          <w:rtl/>
        </w:rPr>
        <w:t xml:space="preserve"> סיפר: “הייתה זו הפעם היחידה שראיתי את אביך זצ״ל כועס.” ר׳ זאב שהה כמה שנים בביתו של אבי ובסביבתו</w:t>
      </w:r>
      <w:bookmarkStart w:id="2905" w:name="_fnr2034"/>
      <w:r>
        <w:rPr>
          <w:rStyle w:val="a5"/>
        </w:rPr>
        <w:footnoteReference w:id="2039" w:customMarkFollows="0"/>
      </w:r>
      <w:bookmarkEnd w:id="2905"/>
      <w:r>
        <w:rPr>
          <w:rtl/>
        </w:rPr>
        <w:t>. “פניו האדימו והוא אמר לאורחו: ‘אף שהיו שחלקו על שיטותיו, הוא היה אדם גדול מאוד; ואתה יודע מה נאמר על המדברים נגד תלמידי חכמים...’ – כוונתו הייתה למאמר חז״ל: כל המבזה ת״ח אין לו רפואה למכתו</w:t>
      </w:r>
      <w:bookmarkStart w:id="2906" w:name="_fnr2035"/>
      <w:r>
        <w:rPr>
          <w:rStyle w:val="a5"/>
        </w:rPr>
        <w:footnoteReference w:id="2040" w:customMarkFollows="0"/>
      </w:r>
      <w:bookmarkEnd w:id="2906"/>
      <w:r>
        <w:rPr>
          <w:rtl/>
        </w:rPr>
        <w:t>. ומשום שלא רצה לשהות בחברה בשעת כעס, יצא אביך מיד מן החדר.”</w:t>
      </w:r>
    </w:p>
    <w:p w14:paraId="139C0F6C" w14:textId="77777777" w:rsidR="00AB3647" w:rsidRDefault="00000000" w:rsidP="007923E9">
      <w:pPr>
        <w:spacing w:after="120" w:line="276" w:lineRule="auto"/>
        <w:ind w:firstLine="283"/>
        <w:jc w:val="both"/>
      </w:pPr>
      <w:r>
        <w:rPr>
          <w:rtl/>
        </w:rPr>
        <w:t xml:space="preserve">על גדולתו של ר׳ </w:t>
      </w:r>
      <w:proofErr w:type="spellStart"/>
      <w:r>
        <w:rPr>
          <w:rtl/>
        </w:rPr>
        <w:t>יצחק־יעקב</w:t>
      </w:r>
      <w:proofErr w:type="spellEnd"/>
      <w:r>
        <w:rPr>
          <w:rtl/>
        </w:rPr>
        <w:t xml:space="preserve"> ריינס השווה “זכר זאת ליעקב” של הרב יהודה ליב הכהן פישמן, חוברת</w:t>
      </w:r>
      <w:bookmarkStart w:id="2907" w:name="_fnr2036"/>
      <w:r>
        <w:rPr>
          <w:rStyle w:val="a5"/>
        </w:rPr>
        <w:footnoteReference w:id="2041" w:customMarkFollows="0"/>
      </w:r>
      <w:bookmarkEnd w:id="2907"/>
      <w:r>
        <w:rPr>
          <w:rtl/>
        </w:rPr>
        <w:t xml:space="preserve"> שהיא, כלשונה, “תולדות קצרות של הגאון הגדול, יוצר המזרחי, הרב ר׳ </w:t>
      </w:r>
      <w:proofErr w:type="spellStart"/>
      <w:r>
        <w:rPr>
          <w:rtl/>
        </w:rPr>
        <w:t>יצחק־יעקב</w:t>
      </w:r>
      <w:proofErr w:type="spellEnd"/>
      <w:r>
        <w:rPr>
          <w:rtl/>
        </w:rPr>
        <w:t xml:space="preserve"> ריינס”. מסופר בה</w:t>
      </w:r>
      <w:bookmarkStart w:id="2908" w:name="_fnr2037"/>
      <w:r>
        <w:rPr>
          <w:rStyle w:val="a5"/>
        </w:rPr>
        <w:footnoteReference w:id="2042" w:customMarkFollows="0"/>
      </w:r>
      <w:bookmarkEnd w:id="2908"/>
      <w:r>
        <w:rPr>
          <w:rtl/>
        </w:rPr>
        <w:t xml:space="preserve"> </w:t>
      </w:r>
      <w:proofErr w:type="spellStart"/>
      <w:r>
        <w:rPr>
          <w:rtl/>
        </w:rPr>
        <w:t>שהחפץ־חיים</w:t>
      </w:r>
      <w:proofErr w:type="spellEnd"/>
      <w:r>
        <w:rPr>
          <w:rtl/>
        </w:rPr>
        <w:t xml:space="preserve"> ניסה לשכנע את ר׳ </w:t>
      </w:r>
      <w:proofErr w:type="spellStart"/>
      <w:r>
        <w:rPr>
          <w:rtl/>
        </w:rPr>
        <w:t>יצחק־יעקב</w:t>
      </w:r>
      <w:proofErr w:type="spellEnd"/>
      <w:r>
        <w:rPr>
          <w:rtl/>
        </w:rPr>
        <w:t xml:space="preserve"> ריינס לחדול מהקמת המפלגה הפוליטית “המזרחי”, ואמר לו שאילו לא היה מעורב בתנועה </w:t>
      </w:r>
      <w:r>
        <w:rPr>
          <w:b/>
          <w:bCs/>
          <w:rtl/>
        </w:rPr>
        <w:t>הציונית</w:t>
      </w:r>
      <w:r>
        <w:rPr>
          <w:rtl/>
        </w:rPr>
        <w:t xml:space="preserve">, “היו פונים אליו בכל עניין, ושום דבר ציבורי לא היה נעשה בלי שיובא לפניו [תחילה]”. ר׳ </w:t>
      </w:r>
      <w:proofErr w:type="spellStart"/>
      <w:r>
        <w:rPr>
          <w:rtl/>
        </w:rPr>
        <w:t>יצחק־יעקב</w:t>
      </w:r>
      <w:proofErr w:type="spellEnd"/>
      <w:r>
        <w:rPr>
          <w:rtl/>
        </w:rPr>
        <w:t xml:space="preserve"> דחה את פנייתו של </w:t>
      </w:r>
      <w:proofErr w:type="spellStart"/>
      <w:r>
        <w:rPr>
          <w:rtl/>
        </w:rPr>
        <w:t>החפץ־חיים</w:t>
      </w:r>
      <w:proofErr w:type="spellEnd"/>
      <w:r>
        <w:rPr>
          <w:rtl/>
        </w:rPr>
        <w:t>, ולפי הרב פישמן עמד על כך שזו “חובה קדושה” על כל יהודי להצטרף לתנועה הציונית.</w:t>
      </w:r>
    </w:p>
    <w:p w14:paraId="6508576E" w14:textId="77777777" w:rsidR="00AB3647" w:rsidRDefault="00000000" w:rsidP="007923E9">
      <w:pPr>
        <w:spacing w:after="120" w:line="276" w:lineRule="auto"/>
        <w:ind w:firstLine="283"/>
        <w:jc w:val="both"/>
      </w:pPr>
      <w:r>
        <w:rPr>
          <w:rtl/>
        </w:rPr>
        <w:t xml:space="preserve">ר׳ מאיר ליברמן, שלמד שלוש שנים </w:t>
      </w:r>
      <w:proofErr w:type="spellStart"/>
      <w:r>
        <w:rPr>
          <w:rtl/>
        </w:rPr>
        <w:t>בראדין</w:t>
      </w:r>
      <w:proofErr w:type="spellEnd"/>
      <w:r>
        <w:rPr>
          <w:rtl/>
        </w:rPr>
        <w:t xml:space="preserve"> – תרפ״ו–תרפ״ט – סיפר</w:t>
      </w:r>
      <w:bookmarkStart w:id="2909" w:name="_fnr2038"/>
      <w:r>
        <w:rPr>
          <w:rStyle w:val="a5"/>
        </w:rPr>
        <w:footnoteReference w:id="2043" w:customMarkFollows="0"/>
      </w:r>
      <w:bookmarkEnd w:id="2909"/>
      <w:r>
        <w:rPr>
          <w:rtl/>
        </w:rPr>
        <w:t xml:space="preserve"> שבישיבה אמרו </w:t>
      </w:r>
      <w:proofErr w:type="spellStart"/>
      <w:r>
        <w:rPr>
          <w:rtl/>
        </w:rPr>
        <w:t>שהחפץ־חיים</w:t>
      </w:r>
      <w:proofErr w:type="spellEnd"/>
      <w:r>
        <w:rPr>
          <w:rtl/>
        </w:rPr>
        <w:t xml:space="preserve"> נסע פעם ללידה הסמוכה בין ראש השנה ליום הכיפורים, כדי לבקר את ר׳ </w:t>
      </w:r>
      <w:proofErr w:type="spellStart"/>
      <w:r>
        <w:rPr>
          <w:rtl/>
        </w:rPr>
        <w:t>יצחק־יעקב</w:t>
      </w:r>
      <w:proofErr w:type="spellEnd"/>
      <w:r>
        <w:rPr>
          <w:rtl/>
        </w:rPr>
        <w:t xml:space="preserve"> ריינס ולומר לו: “האדם מטבעו מנסה למצוא תירוצים למעשיו הרעים. לכן, כשתבוא לפני בית דין של מעלה ויאמרו לך כמה מזיקים היו מעשיך, אתה עלול לומר: ‘אבל לא רחוק מעירי ישב ישראל מאיר הכהן, בן תורה, והוא לא אמר לי שאני עושה רע.’ לכן באתי לומר לך כבר עכשיו שלא תשתמש בי כתירוץ למעשיך הרעים.” ייתכן שמסורת זו של ישיבת </w:t>
      </w:r>
      <w:proofErr w:type="spellStart"/>
      <w:r>
        <w:rPr>
          <w:rtl/>
        </w:rPr>
        <w:t>ראדין</w:t>
      </w:r>
      <w:proofErr w:type="spellEnd"/>
      <w:r>
        <w:rPr>
          <w:rtl/>
        </w:rPr>
        <w:t xml:space="preserve"> היא קטע מאותה שיחה עצמה המובאת </w:t>
      </w:r>
      <w:proofErr w:type="spellStart"/>
      <w:r>
        <w:rPr>
          <w:rtl/>
        </w:rPr>
        <w:t>ב“זכר</w:t>
      </w:r>
      <w:proofErr w:type="spellEnd"/>
      <w:r>
        <w:rPr>
          <w:rtl/>
        </w:rPr>
        <w:t xml:space="preserve"> זאת ליעקב”. אולי הייתה זו המתקפה האחרונה של </w:t>
      </w:r>
      <w:proofErr w:type="spellStart"/>
      <w:r>
        <w:rPr>
          <w:rtl/>
        </w:rPr>
        <w:t>החפץ־חיים</w:t>
      </w:r>
      <w:proofErr w:type="spellEnd"/>
      <w:r>
        <w:rPr>
          <w:rtl/>
        </w:rPr>
        <w:t xml:space="preserve">, כשראה שר׳ </w:t>
      </w:r>
      <w:proofErr w:type="spellStart"/>
      <w:r>
        <w:rPr>
          <w:rtl/>
        </w:rPr>
        <w:t>יצחק־יעקב</w:t>
      </w:r>
      <w:proofErr w:type="spellEnd"/>
      <w:r>
        <w:rPr>
          <w:rtl/>
        </w:rPr>
        <w:t xml:space="preserve"> ריינס לא השתכנע מטיעונו ההגיוני הראשון, שמביא הרב פישמן.</w:t>
      </w:r>
    </w:p>
    <w:p w14:paraId="0C0F15D1" w14:textId="77777777" w:rsidR="00AB3647" w:rsidRDefault="00000000" w:rsidP="007923E9">
      <w:pPr>
        <w:spacing w:after="120" w:line="276" w:lineRule="auto"/>
        <w:ind w:firstLine="283"/>
        <w:jc w:val="both"/>
      </w:pPr>
      <w:r>
        <w:rPr>
          <w:rtl/>
        </w:rPr>
        <w:t xml:space="preserve">לפי </w:t>
      </w:r>
      <w:proofErr w:type="spellStart"/>
      <w:r>
        <w:rPr>
          <w:rtl/>
        </w:rPr>
        <w:t>כבה״ת</w:t>
      </w:r>
      <w:bookmarkStart w:id="2910" w:name="_fnr2039"/>
      <w:proofErr w:type="spellEnd"/>
      <w:r>
        <w:rPr>
          <w:rStyle w:val="a5"/>
        </w:rPr>
        <w:footnoteReference w:id="2044" w:customMarkFollows="0"/>
      </w:r>
      <w:bookmarkEnd w:id="2910"/>
      <w:r>
        <w:rPr>
          <w:rtl/>
        </w:rPr>
        <w:t xml:space="preserve">, נקט </w:t>
      </w:r>
      <w:proofErr w:type="spellStart"/>
      <w:r>
        <w:rPr>
          <w:rtl/>
        </w:rPr>
        <w:t>החפץ־חיים</w:t>
      </w:r>
      <w:proofErr w:type="spellEnd"/>
      <w:r>
        <w:rPr>
          <w:rtl/>
        </w:rPr>
        <w:t xml:space="preserve"> באותה תחבולה שנקט בה בביקורו אצל ר׳ </w:t>
      </w:r>
      <w:proofErr w:type="spellStart"/>
      <w:r>
        <w:rPr>
          <w:rtl/>
        </w:rPr>
        <w:t>יצחק־יעקב</w:t>
      </w:r>
      <w:proofErr w:type="spellEnd"/>
      <w:r>
        <w:rPr>
          <w:rtl/>
        </w:rPr>
        <w:t xml:space="preserve"> ריינס גם בהזדמנות אחרת, לפני פסח תרע״ו. אז נודע לו שיהודי </w:t>
      </w:r>
      <w:proofErr w:type="spellStart"/>
      <w:r>
        <w:rPr>
          <w:rtl/>
        </w:rPr>
        <w:t>סמילוביץ</w:t>
      </w:r>
      <w:proofErr w:type="spellEnd"/>
      <w:r>
        <w:rPr>
          <w:rtl/>
        </w:rPr>
        <w:t xml:space="preserve">׳ – שאליה נדד כשמלחמת העולם הראשונה עקרה אותו </w:t>
      </w:r>
      <w:proofErr w:type="spellStart"/>
      <w:r>
        <w:rPr>
          <w:rtl/>
        </w:rPr>
        <w:t>מראדין</w:t>
      </w:r>
      <w:proofErr w:type="spellEnd"/>
      <w:r>
        <w:rPr>
          <w:rtl/>
        </w:rPr>
        <w:t xml:space="preserve"> – אינם תומכים די הצורך במשפחות העניות שביניהם בחלוקת מעות </w:t>
      </w:r>
      <w:proofErr w:type="spellStart"/>
      <w:r>
        <w:rPr>
          <w:rtl/>
        </w:rPr>
        <w:t>חטים</w:t>
      </w:r>
      <w:proofErr w:type="spellEnd"/>
      <w:r>
        <w:rPr>
          <w:rtl/>
        </w:rPr>
        <w:t xml:space="preserve">. לפי עד הראייה ר׳ </w:t>
      </w:r>
      <w:proofErr w:type="spellStart"/>
      <w:r>
        <w:rPr>
          <w:rtl/>
        </w:rPr>
        <w:t>יוסף־שלמה</w:t>
      </w:r>
      <w:proofErr w:type="spellEnd"/>
      <w:r>
        <w:rPr>
          <w:rtl/>
        </w:rPr>
        <w:t xml:space="preserve"> </w:t>
      </w:r>
      <w:proofErr w:type="spellStart"/>
      <w:r>
        <w:rPr>
          <w:rtl/>
        </w:rPr>
        <w:t>כהנמן</w:t>
      </w:r>
      <w:bookmarkStart w:id="2911" w:name="_fnr2040"/>
      <w:proofErr w:type="spellEnd"/>
      <w:r>
        <w:rPr>
          <w:rStyle w:val="a5"/>
        </w:rPr>
        <w:footnoteReference w:id="2045" w:customMarkFollows="0"/>
      </w:r>
      <w:bookmarkEnd w:id="2911"/>
      <w:r>
        <w:rPr>
          <w:rtl/>
        </w:rPr>
        <w:t xml:space="preserve">, השתמש </w:t>
      </w:r>
      <w:proofErr w:type="spellStart"/>
      <w:r>
        <w:rPr>
          <w:rtl/>
        </w:rPr>
        <w:t>החפץ־חיים</w:t>
      </w:r>
      <w:proofErr w:type="spellEnd"/>
      <w:r>
        <w:rPr>
          <w:rtl/>
        </w:rPr>
        <w:t xml:space="preserve"> בטענה זו גם כשהשקיט מחלוקת בחברה קדישא </w:t>
      </w:r>
      <w:proofErr w:type="spellStart"/>
      <w:r>
        <w:rPr>
          <w:rtl/>
        </w:rPr>
        <w:t>בראדין</w:t>
      </w:r>
      <w:proofErr w:type="spellEnd"/>
      <w:r>
        <w:rPr>
          <w:rtl/>
        </w:rPr>
        <w:t xml:space="preserve"> בסוף שנות </w:t>
      </w:r>
      <w:proofErr w:type="spellStart"/>
      <w:r>
        <w:rPr>
          <w:rtl/>
        </w:rPr>
        <w:t>הת״ר־ס</w:t>
      </w:r>
      <w:proofErr w:type="spellEnd"/>
      <w:r>
        <w:rPr>
          <w:rtl/>
        </w:rPr>
        <w:t xml:space="preserve">׳ [העשור הראשון </w:t>
      </w:r>
      <w:r>
        <w:rPr>
          <w:rtl/>
        </w:rPr>
        <w:lastRenderedPageBreak/>
        <w:t xml:space="preserve">של המאה ה־20], כשלמד שם הרב </w:t>
      </w:r>
      <w:proofErr w:type="spellStart"/>
      <w:r>
        <w:rPr>
          <w:rtl/>
        </w:rPr>
        <w:t>מפוניבז</w:t>
      </w:r>
      <w:proofErr w:type="spellEnd"/>
      <w:r>
        <w:rPr>
          <w:rtl/>
        </w:rPr>
        <w:t>׳. “שמושה של תורה”</w:t>
      </w:r>
      <w:bookmarkStart w:id="2912" w:name="_fnr2041"/>
      <w:r>
        <w:rPr>
          <w:rStyle w:val="a5"/>
        </w:rPr>
        <w:footnoteReference w:id="2046" w:customMarkFollows="0"/>
      </w:r>
      <w:bookmarkEnd w:id="2912"/>
      <w:r>
        <w:rPr>
          <w:rtl/>
        </w:rPr>
        <w:t xml:space="preserve"> מוסר בשם ר׳ </w:t>
      </w:r>
      <w:proofErr w:type="spellStart"/>
      <w:r>
        <w:rPr>
          <w:rtl/>
        </w:rPr>
        <w:t>יוסף־שלמה</w:t>
      </w:r>
      <w:proofErr w:type="spellEnd"/>
      <w:r>
        <w:rPr>
          <w:rtl/>
        </w:rPr>
        <w:t xml:space="preserve"> </w:t>
      </w:r>
      <w:proofErr w:type="spellStart"/>
      <w:r>
        <w:rPr>
          <w:rtl/>
        </w:rPr>
        <w:t>כהנמן</w:t>
      </w:r>
      <w:proofErr w:type="spellEnd"/>
      <w:r>
        <w:rPr>
          <w:rtl/>
        </w:rPr>
        <w:t xml:space="preserve"> </w:t>
      </w:r>
      <w:proofErr w:type="spellStart"/>
      <w:r>
        <w:rPr>
          <w:rtl/>
        </w:rPr>
        <w:t>שהחפץ־חיים</w:t>
      </w:r>
      <w:proofErr w:type="spellEnd"/>
      <w:r>
        <w:rPr>
          <w:rtl/>
        </w:rPr>
        <w:t xml:space="preserve"> הוסיף וביקש מבעלי המחלוקת </w:t>
      </w:r>
      <w:r>
        <w:rPr>
          <w:b/>
          <w:bCs/>
          <w:rtl/>
        </w:rPr>
        <w:t>לחתום על מסמך</w:t>
      </w:r>
      <w:r>
        <w:rPr>
          <w:rtl/>
        </w:rPr>
        <w:t xml:space="preserve"> שבו נאמר שהוא הזהיר אותם והם סירבו לשמוע בקולו.</w:t>
      </w:r>
    </w:p>
    <w:p w14:paraId="39C4BA42" w14:textId="77777777" w:rsidR="00AB3647" w:rsidRDefault="00000000" w:rsidP="007923E9">
      <w:pPr>
        <w:spacing w:after="120" w:line="276" w:lineRule="auto"/>
        <w:ind w:firstLine="283"/>
        <w:jc w:val="both"/>
      </w:pPr>
      <w:r>
        <w:rPr>
          <w:rtl/>
        </w:rPr>
        <w:t xml:space="preserve">נתקלתי במקרה נוסף שבו הזכיר </w:t>
      </w:r>
      <w:proofErr w:type="spellStart"/>
      <w:r>
        <w:rPr>
          <w:rtl/>
        </w:rPr>
        <w:t>החפץ־חיים</w:t>
      </w:r>
      <w:proofErr w:type="spellEnd"/>
      <w:r>
        <w:rPr>
          <w:rtl/>
        </w:rPr>
        <w:t xml:space="preserve"> את “בית דין של מעלה” כדי לחזק את עמדתו. </w:t>
      </w:r>
      <w:proofErr w:type="spellStart"/>
      <w:r>
        <w:rPr>
          <w:rtl/>
        </w:rPr>
        <w:t>ב“מאיר</w:t>
      </w:r>
      <w:proofErr w:type="spellEnd"/>
      <w:r>
        <w:rPr>
          <w:rtl/>
        </w:rPr>
        <w:t xml:space="preserve"> עיני ישראל”</w:t>
      </w:r>
      <w:bookmarkStart w:id="2913" w:name="_fnr2042"/>
      <w:r>
        <w:rPr>
          <w:rStyle w:val="a5"/>
        </w:rPr>
        <w:footnoteReference w:id="2047" w:customMarkFollows="0"/>
      </w:r>
      <w:bookmarkEnd w:id="2913"/>
      <w:r>
        <w:rPr>
          <w:rtl/>
        </w:rPr>
        <w:t xml:space="preserve"> מובא בשם ר׳ קלמן פרבר, מתלמידי </w:t>
      </w:r>
      <w:proofErr w:type="spellStart"/>
      <w:r>
        <w:rPr>
          <w:rtl/>
        </w:rPr>
        <w:t>ראדין</w:t>
      </w:r>
      <w:proofErr w:type="spellEnd"/>
      <w:r>
        <w:rPr>
          <w:rtl/>
        </w:rPr>
        <w:t xml:space="preserve">, </w:t>
      </w:r>
      <w:proofErr w:type="spellStart"/>
      <w:r>
        <w:rPr>
          <w:rtl/>
        </w:rPr>
        <w:t>ש“סיפרו</w:t>
      </w:r>
      <w:proofErr w:type="spellEnd"/>
      <w:r>
        <w:rPr>
          <w:rtl/>
        </w:rPr>
        <w:t xml:space="preserve"> [בישיבה] שהאדמו״ר </w:t>
      </w:r>
      <w:proofErr w:type="spellStart"/>
      <w:r>
        <w:rPr>
          <w:rtl/>
        </w:rPr>
        <w:t>מבעלז</w:t>
      </w:r>
      <w:proofErr w:type="spellEnd"/>
      <w:r>
        <w:rPr>
          <w:rtl/>
        </w:rPr>
        <w:t xml:space="preserve">, ר׳ אהרן רוקח, שאל את </w:t>
      </w:r>
      <w:proofErr w:type="spellStart"/>
      <w:r>
        <w:rPr>
          <w:rtl/>
        </w:rPr>
        <w:t>החפץ־חיים</w:t>
      </w:r>
      <w:proofErr w:type="spellEnd"/>
      <w:r>
        <w:rPr>
          <w:rtl/>
        </w:rPr>
        <w:t xml:space="preserve"> אם הוא חייב להשתתף במשלחת הרבנים לוורשה בשנת </w:t>
      </w:r>
      <w:proofErr w:type="spellStart"/>
      <w:r>
        <w:rPr>
          <w:rtl/>
        </w:rPr>
        <w:t>תר״ץ</w:t>
      </w:r>
      <w:proofErr w:type="spellEnd"/>
      <w:r>
        <w:rPr>
          <w:rtl/>
        </w:rPr>
        <w:t xml:space="preserve"> כדי לשכנע את ראש הממשלה </w:t>
      </w:r>
      <w:proofErr w:type="spellStart"/>
      <w:r>
        <w:rPr>
          <w:rtl/>
        </w:rPr>
        <w:t>קז׳ימייז</w:t>
      </w:r>
      <w:proofErr w:type="spellEnd"/>
      <w:r>
        <w:rPr>
          <w:rtl/>
        </w:rPr>
        <w:t xml:space="preserve">׳ </w:t>
      </w:r>
      <w:proofErr w:type="spellStart"/>
      <w:r>
        <w:rPr>
          <w:rtl/>
        </w:rPr>
        <w:t>ברטל</w:t>
      </w:r>
      <w:proofErr w:type="spellEnd"/>
      <w:r>
        <w:rPr>
          <w:rtl/>
        </w:rPr>
        <w:t xml:space="preserve"> לבטל גזירה ממשלתית שבישיבות ילמדו לימודי חול, ובהם השפה הפולנית. </w:t>
      </w:r>
      <w:proofErr w:type="spellStart"/>
      <w:r>
        <w:rPr>
          <w:rtl/>
        </w:rPr>
        <w:t>החפץ־חיים</w:t>
      </w:r>
      <w:proofErr w:type="spellEnd"/>
      <w:r>
        <w:rPr>
          <w:rtl/>
        </w:rPr>
        <w:t xml:space="preserve"> השיב לאדמו״ר: ‘איני יודע איזה תירוץ על </w:t>
      </w:r>
      <w:proofErr w:type="spellStart"/>
      <w:r>
        <w:rPr>
          <w:rtl/>
        </w:rPr>
        <w:t>אי־ההשתתפות</w:t>
      </w:r>
      <w:proofErr w:type="spellEnd"/>
      <w:r>
        <w:rPr>
          <w:rtl/>
        </w:rPr>
        <w:t xml:space="preserve"> אפשר יהיה לתת למעלה.’”</w:t>
      </w:r>
    </w:p>
    <w:p w14:paraId="4B2A4CD1" w14:textId="77777777" w:rsidR="00AB3647" w:rsidRDefault="00000000" w:rsidP="007923E9">
      <w:pPr>
        <w:spacing w:after="120" w:line="276" w:lineRule="auto"/>
        <w:ind w:firstLine="283"/>
        <w:jc w:val="both"/>
      </w:pPr>
      <w:r>
        <w:rPr>
          <w:rtl/>
        </w:rPr>
        <w:t xml:space="preserve">יש להדגיש שלא כל אדם יכול להעלות טענה מן העולם הבא כפי שעשה </w:t>
      </w:r>
      <w:proofErr w:type="spellStart"/>
      <w:r>
        <w:rPr>
          <w:rtl/>
        </w:rPr>
        <w:t>החפץ־חיים</w:t>
      </w:r>
      <w:proofErr w:type="spellEnd"/>
      <w:r>
        <w:rPr>
          <w:rtl/>
        </w:rPr>
        <w:t xml:space="preserve">. ר׳ לייב בקשט, יליד העיירה </w:t>
      </w:r>
      <w:proofErr w:type="spellStart"/>
      <w:r>
        <w:rPr>
          <w:rtl/>
        </w:rPr>
        <w:t>דילאטיץ</w:t>
      </w:r>
      <w:proofErr w:type="spellEnd"/>
      <w:r>
        <w:rPr>
          <w:rtl/>
        </w:rPr>
        <w:t>׳, סיפר</w:t>
      </w:r>
      <w:bookmarkStart w:id="2914" w:name="_fnr2043"/>
      <w:r>
        <w:rPr>
          <w:rStyle w:val="a5"/>
        </w:rPr>
        <w:footnoteReference w:id="2048" w:customMarkFollows="0"/>
      </w:r>
      <w:bookmarkEnd w:id="2914"/>
      <w:r>
        <w:rPr>
          <w:rtl/>
        </w:rPr>
        <w:t xml:space="preserve"> שבגיל חמש נשלח לגור אצל כמה דודות בעיר לידה, שבה היה חדר ראוי שיוכל ללמוד בו. פעם בא </w:t>
      </w:r>
      <w:proofErr w:type="spellStart"/>
      <w:r>
        <w:rPr>
          <w:rtl/>
        </w:rPr>
        <w:t>החפץ־חיים</w:t>
      </w:r>
      <w:proofErr w:type="spellEnd"/>
      <w:r>
        <w:rPr>
          <w:rtl/>
        </w:rPr>
        <w:t xml:space="preserve"> </w:t>
      </w:r>
      <w:proofErr w:type="spellStart"/>
      <w:r>
        <w:rPr>
          <w:rtl/>
        </w:rPr>
        <w:t>מראדין</w:t>
      </w:r>
      <w:proofErr w:type="spellEnd"/>
      <w:r>
        <w:rPr>
          <w:rtl/>
        </w:rPr>
        <w:t xml:space="preserve"> לבקר בלידה, והילד קיבל רשות לשאת בשבילו את מזוודתו של הגאון הקדוש. כשעלה </w:t>
      </w:r>
      <w:proofErr w:type="spellStart"/>
      <w:r>
        <w:rPr>
          <w:rtl/>
        </w:rPr>
        <w:t>החפץ־חיים</w:t>
      </w:r>
      <w:proofErr w:type="spellEnd"/>
      <w:r>
        <w:rPr>
          <w:rtl/>
        </w:rPr>
        <w:t xml:space="preserve"> על העגלה, שאל היכן הילד הקטן שעזר במזוודה, וכשהביאו אותו, הושיב אותו הצדיק לידו. כשהגיעו לאכסנייתו ורצה </w:t>
      </w:r>
      <w:proofErr w:type="spellStart"/>
      <w:r>
        <w:rPr>
          <w:rtl/>
        </w:rPr>
        <w:t>החפץ־חיים</w:t>
      </w:r>
      <w:proofErr w:type="spellEnd"/>
      <w:r>
        <w:rPr>
          <w:rtl/>
        </w:rPr>
        <w:t xml:space="preserve"> לשלם על הנסיעה, סירב העגלון לקבל כסף. </w:t>
      </w:r>
      <w:proofErr w:type="spellStart"/>
      <w:r>
        <w:rPr>
          <w:rtl/>
        </w:rPr>
        <w:t>החפץ־חיים</w:t>
      </w:r>
      <w:proofErr w:type="spellEnd"/>
      <w:r>
        <w:rPr>
          <w:rtl/>
        </w:rPr>
        <w:t xml:space="preserve"> עמד על כך שישלם, והעגלון עמד על כך שלא יקבל תשלום, וכך הלוך ושוב, עד שאמר </w:t>
      </w:r>
      <w:proofErr w:type="spellStart"/>
      <w:r>
        <w:rPr>
          <w:rtl/>
        </w:rPr>
        <w:t>החפץ־חיים</w:t>
      </w:r>
      <w:proofErr w:type="spellEnd"/>
      <w:r>
        <w:rPr>
          <w:rtl/>
        </w:rPr>
        <w:t>: “אם לא תיקח כסף, קח לפחות עצה.” הוא הבחין שבעל העגלה מגולח בתער, ואמר לו שלא ישתמש בו עוד</w:t>
      </w:r>
      <w:bookmarkStart w:id="2915" w:name="_fnr2044"/>
      <w:r>
        <w:rPr>
          <w:rStyle w:val="a5"/>
        </w:rPr>
        <w:footnoteReference w:id="2049" w:customMarkFollows="0"/>
      </w:r>
      <w:bookmarkEnd w:id="2915"/>
      <w:r>
        <w:rPr>
          <w:rtl/>
        </w:rPr>
        <w:t>.</w:t>
      </w:r>
    </w:p>
    <w:p w14:paraId="30D1DBC6" w14:textId="77777777" w:rsidR="00AB3647" w:rsidRDefault="00000000" w:rsidP="007923E9">
      <w:pPr>
        <w:spacing w:after="120" w:line="276" w:lineRule="auto"/>
        <w:ind w:firstLine="283"/>
        <w:jc w:val="both"/>
      </w:pPr>
      <w:r>
        <w:rPr>
          <w:rtl/>
        </w:rPr>
        <w:t xml:space="preserve">אחר כך הייתה אספה עם פרנסי העיר בעניין החינוך היהודי בעיר. אחרי שאמר להם אילו תיקונים נחוצים, אמר </w:t>
      </w:r>
      <w:proofErr w:type="spellStart"/>
      <w:r>
        <w:rPr>
          <w:rtl/>
        </w:rPr>
        <w:t>החפץ־חיים</w:t>
      </w:r>
      <w:proofErr w:type="spellEnd"/>
      <w:r>
        <w:rPr>
          <w:rtl/>
        </w:rPr>
        <w:t xml:space="preserve"> שכשאדם יוצא לדרך למקום רחוק, הוא לוקח עמו דרישות שלום מאנשי עירו לקרוביהם שבמרחקים. “אני זקן, ובקרוב אני יוצא לדרך שבה אפגוש את קרוביכם, את הוריכם ואת הורי הוריכם, וכשישאלו אותי אם הבאתי דרישת שלום ומה שלום ילדיהם, אצטרך לספר להם.” הוא עבר על רשימת קרוביו המנוחים של כל אחד מן הפרנסים. הבכי היה מר כל כך, שהילד בן החמש התקשה לישון במשך כמה חודשים אחר כך!</w:t>
      </w:r>
    </w:p>
    <w:p w14:paraId="7DE8F957" w14:textId="77777777" w:rsidR="00AB3647" w:rsidRDefault="00000000" w:rsidP="007923E9">
      <w:pPr>
        <w:spacing w:after="120" w:line="276" w:lineRule="auto"/>
        <w:ind w:firstLine="283"/>
        <w:jc w:val="both"/>
      </w:pPr>
      <w:r>
        <w:rPr>
          <w:rtl/>
        </w:rPr>
        <w:t xml:space="preserve">הרב בקשט הצהיר שבשנת תשל״א ביקר בארץ ישראל וסיפר את המעשה למשגיח ישיבת </w:t>
      </w:r>
      <w:proofErr w:type="spellStart"/>
      <w:r>
        <w:rPr>
          <w:rtl/>
        </w:rPr>
        <w:t>פוניבז</w:t>
      </w:r>
      <w:proofErr w:type="spellEnd"/>
      <w:r>
        <w:rPr>
          <w:rtl/>
        </w:rPr>
        <w:t xml:space="preserve">׳ בבני ברק, ר׳ </w:t>
      </w:r>
      <w:proofErr w:type="spellStart"/>
      <w:r>
        <w:rPr>
          <w:rtl/>
        </w:rPr>
        <w:t>חצקל</w:t>
      </w:r>
      <w:proofErr w:type="spellEnd"/>
      <w:r>
        <w:rPr>
          <w:rtl/>
        </w:rPr>
        <w:t xml:space="preserve"> </w:t>
      </w:r>
      <w:proofErr w:type="spellStart"/>
      <w:r>
        <w:rPr>
          <w:rtl/>
        </w:rPr>
        <w:t>לוינשטיין</w:t>
      </w:r>
      <w:proofErr w:type="spellEnd"/>
      <w:r>
        <w:rPr>
          <w:rtl/>
        </w:rPr>
        <w:t xml:space="preserve">, שאמר: “איך בין דאך </w:t>
      </w:r>
      <w:proofErr w:type="spellStart"/>
      <w:r>
        <w:rPr>
          <w:rtl/>
        </w:rPr>
        <w:t>אויך</w:t>
      </w:r>
      <w:proofErr w:type="spellEnd"/>
      <w:r>
        <w:rPr>
          <w:rtl/>
        </w:rPr>
        <w:t xml:space="preserve"> אן </w:t>
      </w:r>
      <w:proofErr w:type="spellStart"/>
      <w:r>
        <w:rPr>
          <w:rtl/>
        </w:rPr>
        <w:t>אלטער</w:t>
      </w:r>
      <w:proofErr w:type="spellEnd"/>
      <w:r>
        <w:rPr>
          <w:rtl/>
        </w:rPr>
        <w:t xml:space="preserve"> מאן [הרי גם אני אדם זקן], אבל אילו עשיתי מה שעשה </w:t>
      </w:r>
      <w:proofErr w:type="spellStart"/>
      <w:r>
        <w:rPr>
          <w:rtl/>
        </w:rPr>
        <w:t>החפץ־חיים</w:t>
      </w:r>
      <w:proofErr w:type="spellEnd"/>
      <w:r>
        <w:rPr>
          <w:rtl/>
        </w:rPr>
        <w:t>, לא הייתה בזה תועלת: כשזה בא ממני, זה היה רק שפּיל [הצגה].”</w:t>
      </w:r>
    </w:p>
    <w:p w14:paraId="6DB28A92" w14:textId="77777777" w:rsidR="00AB3647" w:rsidRDefault="00000000" w:rsidP="007923E9">
      <w:pPr>
        <w:spacing w:after="120" w:line="276" w:lineRule="auto"/>
        <w:ind w:firstLine="283"/>
        <w:jc w:val="both"/>
      </w:pPr>
      <w:r>
        <w:rPr>
          <w:rtl/>
        </w:rPr>
        <w:lastRenderedPageBreak/>
        <w:t xml:space="preserve">על עוצמת ההתנגדות </w:t>
      </w:r>
      <w:proofErr w:type="spellStart"/>
      <w:r>
        <w:rPr>
          <w:rtl/>
        </w:rPr>
        <w:t>לר</w:t>
      </w:r>
      <w:proofErr w:type="spellEnd"/>
      <w:r>
        <w:rPr>
          <w:rtl/>
        </w:rPr>
        <w:t xml:space="preserve">׳ </w:t>
      </w:r>
      <w:proofErr w:type="spellStart"/>
      <w:r>
        <w:rPr>
          <w:rtl/>
        </w:rPr>
        <w:t>יצחק־יעקב</w:t>
      </w:r>
      <w:proofErr w:type="spellEnd"/>
      <w:r>
        <w:rPr>
          <w:rtl/>
        </w:rPr>
        <w:t xml:space="preserve"> ריינס השווה “זכר זאת ליעקב”</w:t>
      </w:r>
      <w:bookmarkStart w:id="2916" w:name="_fnr2045"/>
      <w:r>
        <w:rPr>
          <w:rStyle w:val="a5"/>
        </w:rPr>
        <w:footnoteReference w:id="2050" w:customMarkFollows="0"/>
      </w:r>
      <w:bookmarkEnd w:id="2916"/>
      <w:r>
        <w:rPr>
          <w:rtl/>
        </w:rPr>
        <w:t xml:space="preserve">, המספר את המעשה הבא. פרטים נוספים בו השלים ר׳ ישראל </w:t>
      </w:r>
      <w:proofErr w:type="spellStart"/>
      <w:r>
        <w:rPr>
          <w:rtl/>
        </w:rPr>
        <w:t>שורין</w:t>
      </w:r>
      <w:bookmarkStart w:id="2917" w:name="_fnr2046"/>
      <w:proofErr w:type="spellEnd"/>
      <w:r>
        <w:rPr>
          <w:rStyle w:val="a5"/>
        </w:rPr>
        <w:footnoteReference w:id="2051" w:customMarkFollows="0"/>
      </w:r>
      <w:bookmarkEnd w:id="2917"/>
      <w:r>
        <w:rPr>
          <w:rtl/>
        </w:rPr>
        <w:t>, כמובא להלן.</w:t>
      </w:r>
    </w:p>
    <w:p w14:paraId="757AE890" w14:textId="77777777" w:rsidR="00AB3647" w:rsidRDefault="00000000" w:rsidP="007923E9">
      <w:pPr>
        <w:spacing w:after="120" w:line="276" w:lineRule="auto"/>
        <w:ind w:firstLine="283"/>
        <w:jc w:val="both"/>
      </w:pPr>
      <w:r>
        <w:rPr>
          <w:rtl/>
        </w:rPr>
        <w:t xml:space="preserve">“אחרי ייסוד המזרחי הוזמן ר׳ </w:t>
      </w:r>
      <w:proofErr w:type="spellStart"/>
      <w:r>
        <w:rPr>
          <w:rtl/>
        </w:rPr>
        <w:t>יצחק־יעקב</w:t>
      </w:r>
      <w:proofErr w:type="spellEnd"/>
      <w:r>
        <w:rPr>
          <w:rtl/>
        </w:rPr>
        <w:t xml:space="preserve"> ריינס לקובנה כדי לקדם את הארגון. כשהגיע לשם בערב שבת, ביקר תחילה אצל הרב, ר׳ </w:t>
      </w:r>
      <w:proofErr w:type="spellStart"/>
      <w:r>
        <w:rPr>
          <w:rtl/>
        </w:rPr>
        <w:t>צבי־הירש</w:t>
      </w:r>
      <w:proofErr w:type="spellEnd"/>
      <w:r>
        <w:rPr>
          <w:rtl/>
        </w:rPr>
        <w:t xml:space="preserve"> </w:t>
      </w:r>
      <w:proofErr w:type="spellStart"/>
      <w:r>
        <w:rPr>
          <w:rtl/>
        </w:rPr>
        <w:t>רבינוביץ</w:t>
      </w:r>
      <w:proofErr w:type="spellEnd"/>
      <w:r>
        <w:rPr>
          <w:rtl/>
        </w:rPr>
        <w:t xml:space="preserve">, שקיבל אותו בכבוד גדול ודיבר עמו בלימוד באריכות. במוצאי שבת הוזמן ר׳ </w:t>
      </w:r>
      <w:proofErr w:type="spellStart"/>
      <w:r>
        <w:rPr>
          <w:rtl/>
        </w:rPr>
        <w:t>יצחק־יעקב</w:t>
      </w:r>
      <w:proofErr w:type="spellEnd"/>
      <w:r>
        <w:rPr>
          <w:rtl/>
        </w:rPr>
        <w:t xml:space="preserve"> ריינס לדרוש באחד מבתי הכנסת הגדולים. אלפי אנשים נאספו לשמוע אותו, והדוחק בבית המדרש היה כזה שמאות אנשים נשארו בחוץ. כשעלה על הבימה, עלה אחריו אדם מן הקהל ואמר לו: ‘באתי להזהירך שלא תדרוש כאן.’ הקהל, כמובן, נתמלא חמה על החוצפה, ורבים היו מוכנים לקרוע את האיש כדג. אבל ר׳ </w:t>
      </w:r>
      <w:proofErr w:type="spellStart"/>
      <w:r>
        <w:rPr>
          <w:rtl/>
        </w:rPr>
        <w:t>יצחק־יעקב</w:t>
      </w:r>
      <w:proofErr w:type="spellEnd"/>
      <w:r>
        <w:rPr>
          <w:rtl/>
        </w:rPr>
        <w:t xml:space="preserve"> ריינס, בסבלנותו הגדולה, שחש בחומרת המצב, השביע את הקהל לשקוט ולהתאפק, בעודו מתחיל להפציר במתערב שירד מן הבימה. החצוף הזה, שניצל את סבלנותו של הרב, הוסיף להתחצף, ותפס בגלימת המשי של [הדורש] וקרע אותה לגזרים לעיני הקהל. רק בזכות שלוות נפשו עלה בידי ר׳ </w:t>
      </w:r>
      <w:proofErr w:type="spellStart"/>
      <w:r>
        <w:rPr>
          <w:rtl/>
        </w:rPr>
        <w:t>יצחק־יעקב</w:t>
      </w:r>
      <w:proofErr w:type="spellEnd"/>
      <w:r>
        <w:rPr>
          <w:rtl/>
        </w:rPr>
        <w:t xml:space="preserve"> ריינס להרגיע את ההמון הזועם ולהציל את המתערב מידיו. כנף הגלימה הקרועה נשמרה בידי ר׳ </w:t>
      </w:r>
      <w:proofErr w:type="spellStart"/>
      <w:r>
        <w:rPr>
          <w:rtl/>
        </w:rPr>
        <w:t>יצחק־יעקב</w:t>
      </w:r>
      <w:proofErr w:type="spellEnd"/>
      <w:r>
        <w:rPr>
          <w:rtl/>
        </w:rPr>
        <w:t xml:space="preserve">, וכפי שסיפר לכותב הטורים האלה, רצה שתיקבר עמו בקברו כשימות.” [ר׳ </w:t>
      </w:r>
      <w:proofErr w:type="spellStart"/>
      <w:r>
        <w:rPr>
          <w:rtl/>
        </w:rPr>
        <w:t>יצחק־יעקב</w:t>
      </w:r>
      <w:proofErr w:type="spellEnd"/>
      <w:r>
        <w:rPr>
          <w:rtl/>
        </w:rPr>
        <w:t xml:space="preserve"> ריינס הרגיש שזכות כיבוש כעסו תעמוד לו ביום הדין.]</w:t>
      </w:r>
    </w:p>
    <w:p w14:paraId="0738E150" w14:textId="77777777" w:rsidR="00AB3647" w:rsidRDefault="00000000" w:rsidP="007923E9">
      <w:pPr>
        <w:spacing w:after="120" w:line="276" w:lineRule="auto"/>
        <w:ind w:firstLine="283"/>
        <w:jc w:val="both"/>
      </w:pPr>
      <w:r>
        <w:rPr>
          <w:rtl/>
        </w:rPr>
        <w:t xml:space="preserve">ר׳ ישראל </w:t>
      </w:r>
      <w:proofErr w:type="spellStart"/>
      <w:r>
        <w:rPr>
          <w:rtl/>
        </w:rPr>
        <w:t>שורין</w:t>
      </w:r>
      <w:proofErr w:type="spellEnd"/>
      <w:r>
        <w:rPr>
          <w:rtl/>
        </w:rPr>
        <w:t xml:space="preserve"> סיפר </w:t>
      </w:r>
      <w:proofErr w:type="spellStart"/>
      <w:r>
        <w:rPr>
          <w:rtl/>
        </w:rPr>
        <w:t>שה“חצוף</w:t>
      </w:r>
      <w:proofErr w:type="spellEnd"/>
      <w:r>
        <w:rPr>
          <w:rtl/>
        </w:rPr>
        <w:t xml:space="preserve">” לא היה אלא ר׳ זליג תרשיש, תלמיד חכם וצדיק ידוע, מחבורת בוני הישיבות של ר׳ </w:t>
      </w:r>
      <w:proofErr w:type="spellStart"/>
      <w:r>
        <w:rPr>
          <w:rtl/>
        </w:rPr>
        <w:t>לייזר־יעקב</w:t>
      </w:r>
      <w:proofErr w:type="spellEnd"/>
      <w:r>
        <w:rPr>
          <w:rtl/>
        </w:rPr>
        <w:t xml:space="preserve"> </w:t>
      </w:r>
      <w:proofErr w:type="spellStart"/>
      <w:r>
        <w:rPr>
          <w:rtl/>
        </w:rPr>
        <w:t xml:space="preserve">חווס</w:t>
      </w:r>
      <w:proofErr w:type="spellEnd"/>
      <w:r>
        <w:rPr>
          <w:rtl/>
        </w:rPr>
        <w:t xml:space="preserve"> [כמו הרב </w:t>
      </w:r>
      <w:proofErr w:type="spellStart"/>
      <w:r>
        <w:rPr>
          <w:rtl/>
        </w:rPr>
        <w:t>אידלזק</w:t>
      </w:r>
      <w:proofErr w:type="spellEnd"/>
      <w:r>
        <w:rPr>
          <w:rtl/>
        </w:rPr>
        <w:t xml:space="preserve">, הנזכר בפסקה הקודמת]. אחרי שעמד בראש ישיבה </w:t>
      </w:r>
      <w:proofErr w:type="spellStart"/>
      <w:r>
        <w:rPr>
          <w:rtl/>
        </w:rPr>
        <w:t>בברדיצ׳ב</w:t>
      </w:r>
      <w:proofErr w:type="spellEnd"/>
      <w:r>
        <w:rPr>
          <w:rtl/>
        </w:rPr>
        <w:t xml:space="preserve">, השתקע ר׳ זליג </w:t>
      </w:r>
      <w:proofErr w:type="spellStart"/>
      <w:r>
        <w:rPr>
          <w:rtl/>
        </w:rPr>
        <w:t>בקלם</w:t>
      </w:r>
      <w:proofErr w:type="spellEnd"/>
      <w:r>
        <w:rPr>
          <w:rtl/>
        </w:rPr>
        <w:t>. “יהדות ליטא”</w:t>
      </w:r>
      <w:bookmarkStart w:id="2918" w:name="_fnr2047"/>
      <w:r>
        <w:rPr>
          <w:rStyle w:val="a5"/>
        </w:rPr>
        <w:footnoteReference w:id="2052" w:customMarkFollows="0"/>
      </w:r>
      <w:bookmarkEnd w:id="2918"/>
      <w:r>
        <w:rPr>
          <w:rtl/>
        </w:rPr>
        <w:t xml:space="preserve"> מספר: “הוא הלך ברחובות קלם עטוף בטליתו</w:t>
      </w:r>
      <w:bookmarkStart w:id="2919" w:name="_fnr2048"/>
      <w:r>
        <w:rPr>
          <w:rStyle w:val="a5"/>
        </w:rPr>
        <w:footnoteReference w:id="2053" w:customMarkFollows="0"/>
      </w:r>
      <w:bookmarkEnd w:id="2919"/>
      <w:r>
        <w:rPr>
          <w:rtl/>
        </w:rPr>
        <w:t>. כל ימיו היה עני מרוד, והתפלל שגם ילדיו יהיו עניים כדי שיישארו יראי שמים</w:t>
      </w:r>
      <w:bookmarkStart w:id="2920" w:name="_fnr2049"/>
      <w:r>
        <w:rPr>
          <w:rStyle w:val="a5"/>
        </w:rPr>
        <w:footnoteReference w:id="2054" w:customMarkFollows="0"/>
      </w:r>
      <w:bookmarkEnd w:id="2920"/>
      <w:r>
        <w:rPr>
          <w:rtl/>
        </w:rPr>
        <w:t>. יושרו ומידותיו, לבביותו וחמימותו לכל אדם, הקנו לו שם של צדיק בקרב יהודים וגויים [להבדיל]. מנעוריו דגל בשיבת ציון, והיה עובר משול לשול ומלהיב את העם ברעיון. אך כשראה שהציונות מטיפה לא רק לבניין ארץ ישראל אלא גם להשקפה תרבותית ולאומית חדשה, ושרבנים גדולים רבים מסתייגים מן התנועה, חזר בו והחל להטיף נגדה.”</w:t>
      </w:r>
    </w:p>
    <w:p w14:paraId="2C287D6D" w14:textId="77777777" w:rsidR="00AB3647" w:rsidRDefault="00000000" w:rsidP="007923E9">
      <w:pPr>
        <w:spacing w:after="120" w:line="276" w:lineRule="auto"/>
        <w:ind w:firstLine="283"/>
        <w:jc w:val="both"/>
      </w:pPr>
      <w:r>
        <w:rPr>
          <w:rtl/>
        </w:rPr>
        <w:t xml:space="preserve">לפי ר׳ ישראל </w:t>
      </w:r>
      <w:proofErr w:type="spellStart"/>
      <w:r>
        <w:rPr>
          <w:rtl/>
        </w:rPr>
        <w:t>שורין</w:t>
      </w:r>
      <w:proofErr w:type="spellEnd"/>
      <w:r>
        <w:rPr>
          <w:rtl/>
        </w:rPr>
        <w:t xml:space="preserve">, ר׳ זליג תרשיש אמר תחילה </w:t>
      </w:r>
      <w:proofErr w:type="spellStart"/>
      <w:r>
        <w:rPr>
          <w:rtl/>
        </w:rPr>
        <w:t>לר</w:t>
      </w:r>
      <w:proofErr w:type="spellEnd"/>
      <w:r>
        <w:rPr>
          <w:rtl/>
        </w:rPr>
        <w:t xml:space="preserve">׳ </w:t>
      </w:r>
      <w:proofErr w:type="spellStart"/>
      <w:r>
        <w:rPr>
          <w:rtl/>
        </w:rPr>
        <w:t>יצחק־יעקב</w:t>
      </w:r>
      <w:proofErr w:type="spellEnd"/>
      <w:r>
        <w:rPr>
          <w:rtl/>
        </w:rPr>
        <w:t xml:space="preserve"> ריינס: “אפיקורוס, אינך יכול לדרוש כאן!” כשראה שדבריו אינם פועלים דבר על הדורש האורח, טיפס ר׳ זליג, קטן הקומה, על העמוד וצעק: “אפיקורוס, רד!” ותפס בדשי בגדו של הדורש, והם נקרעו. ר׳ </w:t>
      </w:r>
      <w:proofErr w:type="spellStart"/>
      <w:r>
        <w:rPr>
          <w:rtl/>
        </w:rPr>
        <w:t>יצחק־יעקב</w:t>
      </w:r>
      <w:proofErr w:type="spellEnd"/>
      <w:r>
        <w:rPr>
          <w:rtl/>
        </w:rPr>
        <w:t xml:space="preserve"> ריינס הבין שיריבו אינו יהודי פשוט, והרעים בקולו: “יד אל </w:t>
      </w:r>
      <w:proofErr w:type="spellStart"/>
      <w:r>
        <w:rPr>
          <w:rtl/>
        </w:rPr>
        <w:t>תגע</w:t>
      </w:r>
      <w:proofErr w:type="spellEnd"/>
      <w:r>
        <w:rPr>
          <w:rtl/>
        </w:rPr>
        <w:t xml:space="preserve"> בו!” ור׳ זליג הועבר מיד ליד מעל ראשי הקהל עד לדלת היציאה. אז שכב ר׳ זליג תרשיש על מפתן השול וצעק: “אוי, די תורה </w:t>
      </w:r>
      <w:proofErr w:type="spellStart"/>
      <w:r>
        <w:rPr>
          <w:rtl/>
        </w:rPr>
        <w:t>ברענט</w:t>
      </w:r>
      <w:proofErr w:type="spellEnd"/>
      <w:r>
        <w:rPr>
          <w:rtl/>
        </w:rPr>
        <w:t xml:space="preserve"> [אוי, התורה בוערת]!”</w:t>
      </w:r>
      <w:bookmarkStart w:id="2921" w:name="_fnr2050"/>
      <w:bookmarkStart w:id="2922" w:name="pr_f_1955"/>
      <w:r>
        <w:rPr>
          <w:rStyle w:val="a5"/>
        </w:rPr>
        <w:footnoteReference w:id="2055" w:customMarkFollows="0"/>
      </w:r>
      <w:bookmarkEnd w:id="2921"/>
      <w:bookmarkEnd w:id="2922"/>
    </w:p>
    <w:p w14:paraId="28607D64" w14:textId="77777777" w:rsidR="00AB3647" w:rsidRDefault="00000000" w:rsidP="007923E9">
      <w:pPr>
        <w:spacing w:after="120" w:line="276" w:lineRule="auto"/>
        <w:ind w:firstLine="283"/>
        <w:jc w:val="both"/>
      </w:pPr>
      <w:r>
        <w:rPr>
          <w:rtl/>
        </w:rPr>
        <w:lastRenderedPageBreak/>
        <w:t xml:space="preserve">ר׳ ישראל </w:t>
      </w:r>
      <w:proofErr w:type="spellStart"/>
      <w:r>
        <w:rPr>
          <w:rtl/>
        </w:rPr>
        <w:t>שורין</w:t>
      </w:r>
      <w:proofErr w:type="spellEnd"/>
      <w:r>
        <w:rPr>
          <w:rtl/>
        </w:rPr>
        <w:t xml:space="preserve"> ומשפחתו נסעו באותה רכבת ובאותה אונייה שבהן נסע ר׳ זליג מליטא לארץ ישראל בשנת תרצ״ה, דרך </w:t>
      </w:r>
      <w:proofErr w:type="spellStart"/>
      <w:r>
        <w:rPr>
          <w:rtl/>
        </w:rPr>
        <w:t>טריאסטה</w:t>
      </w:r>
      <w:proofErr w:type="spellEnd"/>
      <w:r>
        <w:rPr>
          <w:rtl/>
        </w:rPr>
        <w:t xml:space="preserve"> שבאיטליה. הוא זכר את להט תפילתו של ר׳ זליג תרשיש בדרך, ואת קריאתו הנרגשת בפסוק “מה רבו מעשיך ה׳”</w:t>
      </w:r>
      <w:bookmarkStart w:id="2923" w:name="_fnr2051"/>
      <w:r>
        <w:rPr>
          <w:rStyle w:val="a5"/>
        </w:rPr>
        <w:footnoteReference w:id="2056" w:customMarkFollows="0"/>
      </w:r>
      <w:bookmarkEnd w:id="2923"/>
      <w:r>
        <w:rPr>
          <w:rtl/>
        </w:rPr>
        <w:t xml:space="preserve"> כשראה את הרי האלפים. על סיפון האונייה שאל ר׳ ישראל </w:t>
      </w:r>
      <w:proofErr w:type="spellStart"/>
      <w:r>
        <w:rPr>
          <w:rtl/>
        </w:rPr>
        <w:t>שורין</w:t>
      </w:r>
      <w:proofErr w:type="spellEnd"/>
      <w:r>
        <w:rPr>
          <w:rtl/>
        </w:rPr>
        <w:t xml:space="preserve"> את שותפו לדרך על פרשת ריינס, אבל ר׳ זליג תרשיש סירב לדבר עליה</w:t>
      </w:r>
      <w:bookmarkStart w:id="2924" w:name="_fnr2052"/>
      <w:r>
        <w:rPr>
          <w:rStyle w:val="a5"/>
        </w:rPr>
        <w:footnoteReference w:id="2057" w:customMarkFollows="0"/>
      </w:r>
      <w:bookmarkEnd w:id="2924"/>
      <w:r>
        <w:rPr>
          <w:rtl/>
        </w:rPr>
        <w:t xml:space="preserve">. ר׳ זליג היה נשוי לאחותו של ר׳ יוזל </w:t>
      </w:r>
      <w:proofErr w:type="spellStart"/>
      <w:r>
        <w:rPr>
          <w:rtl/>
        </w:rPr>
        <w:t>הורוויץ</w:t>
      </w:r>
      <w:proofErr w:type="spellEnd"/>
      <w:r>
        <w:rPr>
          <w:rtl/>
        </w:rPr>
        <w:t xml:space="preserve">, מייסד רשת ישיבות </w:t>
      </w:r>
      <w:proofErr w:type="spellStart"/>
      <w:r>
        <w:rPr>
          <w:rtl/>
        </w:rPr>
        <w:t>נובהרדוק</w:t>
      </w:r>
      <w:proofErr w:type="spellEnd"/>
      <w:r>
        <w:rPr>
          <w:rtl/>
        </w:rPr>
        <w:t xml:space="preserve">, וחיבר את “עין תרשיש” בשלושה כרכים. כשנפטר בירושלים בשנת תרצ״ח, הספידו אותו ר׳ </w:t>
      </w:r>
      <w:proofErr w:type="spellStart"/>
      <w:r>
        <w:rPr>
          <w:rtl/>
        </w:rPr>
        <w:t>איסר־זלמן</w:t>
      </w:r>
      <w:proofErr w:type="spellEnd"/>
      <w:r>
        <w:rPr>
          <w:rtl/>
        </w:rPr>
        <w:t xml:space="preserve"> והרב הראשי </w:t>
      </w:r>
      <w:proofErr w:type="spellStart"/>
      <w:r>
        <w:rPr>
          <w:rtl/>
        </w:rPr>
        <w:t>יצחק־אייזיק</w:t>
      </w:r>
      <w:proofErr w:type="spellEnd"/>
      <w:r>
        <w:rPr>
          <w:rtl/>
        </w:rPr>
        <w:t xml:space="preserve"> הרצוג</w:t>
      </w:r>
      <w:bookmarkStart w:id="2925" w:name="_fnr2053"/>
      <w:r>
        <w:rPr>
          <w:rStyle w:val="a5"/>
        </w:rPr>
        <w:footnoteReference w:id="2058" w:customMarkFollows="0"/>
      </w:r>
      <w:bookmarkEnd w:id="2925"/>
      <w:r>
        <w:rPr>
          <w:rtl/>
        </w:rPr>
        <w:t>.</w:t>
      </w:r>
    </w:p>
    <w:p w14:paraId="18B7210C" w14:textId="77777777" w:rsidR="00AB3647" w:rsidRDefault="00000000" w:rsidP="007923E9">
      <w:pPr>
        <w:spacing w:after="120" w:line="276" w:lineRule="auto"/>
        <w:ind w:firstLine="283"/>
        <w:jc w:val="both"/>
      </w:pPr>
      <w:r>
        <w:rPr>
          <w:rtl/>
        </w:rPr>
        <w:t xml:space="preserve">ר׳ ישראל </w:t>
      </w:r>
      <w:proofErr w:type="spellStart"/>
      <w:r>
        <w:rPr>
          <w:rtl/>
        </w:rPr>
        <w:t>שורין</w:t>
      </w:r>
      <w:proofErr w:type="spellEnd"/>
      <w:r>
        <w:rPr>
          <w:rtl/>
        </w:rPr>
        <w:t xml:space="preserve"> סיפר גם בשם ר׳ </w:t>
      </w:r>
      <w:proofErr w:type="spellStart"/>
      <w:r>
        <w:rPr>
          <w:rtl/>
        </w:rPr>
        <w:t xml:space="preserve">יוסף־דב</w:t>
      </w:r>
      <w:proofErr w:type="spellEnd"/>
      <w:r>
        <w:rPr>
          <w:rtl/>
        </w:rPr>
        <w:t xml:space="preserve"> </w:t>
      </w:r>
      <w:proofErr w:type="spellStart"/>
      <w:r>
        <w:rPr>
          <w:rtl/>
        </w:rPr>
        <w:t>סולובייצ׳יק</w:t>
      </w:r>
      <w:proofErr w:type="spellEnd"/>
      <w:r>
        <w:rPr>
          <w:rtl/>
        </w:rPr>
        <w:t xml:space="preserve"> שר׳ יעקב הלוי ליפשיץ בא פעם אל סבו, ר׳ חיים </w:t>
      </w:r>
      <w:proofErr w:type="spellStart"/>
      <w:r>
        <w:rPr>
          <w:rtl/>
        </w:rPr>
        <w:t>סולובייצ׳יק</w:t>
      </w:r>
      <w:bookmarkStart w:id="2926" w:name="_fnr2054"/>
      <w:proofErr w:type="spellEnd"/>
      <w:r>
        <w:rPr>
          <w:rStyle w:val="a5"/>
        </w:rPr>
        <w:footnoteReference w:id="2059" w:customMarkFollows="0"/>
      </w:r>
      <w:bookmarkEnd w:id="2926"/>
      <w:r>
        <w:rPr>
          <w:rtl/>
        </w:rPr>
        <w:t xml:space="preserve">, והציע להחרים את ר׳ </w:t>
      </w:r>
      <w:proofErr w:type="spellStart"/>
      <w:r>
        <w:rPr>
          <w:rtl/>
        </w:rPr>
        <w:t>אהרן־שמואל</w:t>
      </w:r>
      <w:proofErr w:type="spellEnd"/>
      <w:r>
        <w:rPr>
          <w:rtl/>
        </w:rPr>
        <w:t xml:space="preserve"> תמרת, רב </w:t>
      </w:r>
      <w:proofErr w:type="spellStart"/>
      <w:r>
        <w:rPr>
          <w:rtl/>
        </w:rPr>
        <w:t>מילייציץ</w:t>
      </w:r>
      <w:proofErr w:type="spellEnd"/>
      <w:r>
        <w:rPr>
          <w:rtl/>
        </w:rPr>
        <w:t>, בשל כתביו. תמרת היה פובליציסט, וכתב בעיתונות היהודית מאמרים בעברית יפה להפליא תחת שם העט “אחד הרבנים המרגישים”.</w:t>
      </w:r>
    </w:p>
    <w:p w14:paraId="447B9A48" w14:textId="77777777" w:rsidR="00AB3647" w:rsidRDefault="00000000" w:rsidP="007923E9">
      <w:pPr>
        <w:spacing w:after="120" w:line="276" w:lineRule="auto"/>
        <w:ind w:firstLine="283"/>
        <w:jc w:val="both"/>
      </w:pPr>
      <w:r>
        <w:rPr>
          <w:rtl/>
        </w:rPr>
        <w:t xml:space="preserve">אבל ר׳ חיים אמר לו שרב זה בא לאודסה לבחון משרה שהוצעה לו בבית המדרש לרבנים המקומי, שבראשו עמד חיים </w:t>
      </w:r>
      <w:proofErr w:type="spellStart"/>
      <w:r>
        <w:rPr>
          <w:rtl/>
        </w:rPr>
        <w:t>צ׳רנוביץ</w:t>
      </w:r>
      <w:proofErr w:type="spellEnd"/>
      <w:r>
        <w:rPr>
          <w:rtl/>
        </w:rPr>
        <w:t xml:space="preserve"> [</w:t>
      </w:r>
      <w:proofErr w:type="spellStart"/>
      <w:r>
        <w:rPr>
          <w:rtl/>
        </w:rPr>
        <w:t>ה“רב</w:t>
      </w:r>
      <w:proofErr w:type="spellEnd"/>
      <w:r>
        <w:rPr>
          <w:rtl/>
        </w:rPr>
        <w:t xml:space="preserve"> צעיר”], במשכורת דמיונית של 1,500 רובל לחודש. תחילה דחה את ההצעה שיענוב עניבה, משום שלדבריו “היא חונקת [אותו]”, וכעבור יומיים עזב את המוסד לגמרי “משום שהאוויר היה מחניק”. ר׳ חיים סיכם: “תמרת כותב כאפיקורוס אבל הוא ירא שמים, ואילו ריינס כותב כירא שמים אבל הוא אפיקורוס.” זו, כנראה, ההערכה שליבתה את התקפתו של ר׳ זליג תרשיש. לפי מה שסיפר ר׳ יצחק </w:t>
      </w:r>
      <w:proofErr w:type="spellStart"/>
      <w:r>
        <w:rPr>
          <w:rtl/>
        </w:rPr>
        <w:t>פופקו</w:t>
      </w:r>
      <w:proofErr w:type="spellEnd"/>
      <w:r>
        <w:rPr>
          <w:rtl/>
        </w:rPr>
        <w:t xml:space="preserve"> </w:t>
      </w:r>
      <w:proofErr w:type="spellStart"/>
      <w:r>
        <w:rPr>
          <w:rtl/>
        </w:rPr>
        <w:t>לר</w:t>
      </w:r>
      <w:proofErr w:type="spellEnd"/>
      <w:r>
        <w:rPr>
          <w:rtl/>
        </w:rPr>
        <w:t xml:space="preserve">׳ ישראל </w:t>
      </w:r>
      <w:proofErr w:type="spellStart"/>
      <w:r>
        <w:rPr>
          <w:rtl/>
        </w:rPr>
        <w:t>שורין</w:t>
      </w:r>
      <w:proofErr w:type="spellEnd"/>
      <w:r>
        <w:rPr>
          <w:rtl/>
        </w:rPr>
        <w:t xml:space="preserve">, </w:t>
      </w:r>
      <w:proofErr w:type="spellStart"/>
      <w:r>
        <w:rPr>
          <w:rtl/>
        </w:rPr>
        <w:t>החפץ־חיים</w:t>
      </w:r>
      <w:proofErr w:type="spellEnd"/>
      <w:r>
        <w:rPr>
          <w:rtl/>
        </w:rPr>
        <w:t xml:space="preserve"> לא הסכים לגינויו של ר׳ חיים, אלא תלה את השקפתו “המוטעית” של ר׳ </w:t>
      </w:r>
      <w:proofErr w:type="spellStart"/>
      <w:r>
        <w:rPr>
          <w:rtl/>
        </w:rPr>
        <w:t>יצחק־יעקב</w:t>
      </w:r>
      <w:proofErr w:type="spellEnd"/>
      <w:r>
        <w:rPr>
          <w:rtl/>
        </w:rPr>
        <w:t xml:space="preserve"> ריינס </w:t>
      </w:r>
      <w:proofErr w:type="spellStart"/>
      <w:r>
        <w:rPr>
          <w:rtl/>
        </w:rPr>
        <w:t>ב“בטלנות</w:t>
      </w:r>
      <w:proofErr w:type="spellEnd"/>
      <w:r>
        <w:rPr>
          <w:rtl/>
        </w:rPr>
        <w:t>”</w:t>
      </w:r>
      <w:bookmarkStart w:id="2927" w:name="_fnr2055"/>
      <w:r>
        <w:rPr>
          <w:rStyle w:val="a5"/>
        </w:rPr>
        <w:footnoteReference w:id="2060" w:customMarkFollows="0"/>
      </w:r>
      <w:bookmarkEnd w:id="2927"/>
      <w:r>
        <w:rPr>
          <w:rtl/>
        </w:rPr>
        <w:t>.</w:t>
      </w:r>
    </w:p>
    <w:p w14:paraId="54DA9C97" w14:textId="77777777" w:rsidR="00AB3647" w:rsidRDefault="00000000" w:rsidP="007923E9">
      <w:pPr>
        <w:spacing w:after="120" w:line="276" w:lineRule="auto"/>
        <w:ind w:firstLine="283"/>
        <w:jc w:val="both"/>
      </w:pPr>
      <w:r>
        <w:rPr>
          <w:rtl/>
        </w:rPr>
        <w:t xml:space="preserve">באשר לסיכומו של רבנו </w:t>
      </w:r>
      <w:proofErr w:type="spellStart"/>
      <w:r>
        <w:rPr>
          <w:rtl/>
        </w:rPr>
        <w:t>ש“כל</w:t>
      </w:r>
      <w:proofErr w:type="spellEnd"/>
      <w:r>
        <w:rPr>
          <w:rtl/>
        </w:rPr>
        <w:t xml:space="preserve"> גדולי הרבנים” (מלבד היוצאים מן הכלל שמנה) יצאו נגד המוסר, השווה את הכתבה בעיתון היומי “המליץ”</w:t>
      </w:r>
      <w:bookmarkStart w:id="2928" w:name="_fnr2056"/>
      <w:r>
        <w:rPr>
          <w:rStyle w:val="a5"/>
        </w:rPr>
        <w:footnoteReference w:id="2061" w:customMarkFollows="0"/>
      </w:r>
      <w:bookmarkEnd w:id="2928"/>
      <w:r>
        <w:rPr>
          <w:rtl/>
        </w:rPr>
        <w:t xml:space="preserve"> מאת חיים צבי הירש </w:t>
      </w:r>
      <w:proofErr w:type="spellStart"/>
      <w:r>
        <w:rPr>
          <w:rtl/>
        </w:rPr>
        <w:t>ברודא</w:t>
      </w:r>
      <w:proofErr w:type="spellEnd"/>
      <w:r>
        <w:rPr>
          <w:rtl/>
        </w:rPr>
        <w:t xml:space="preserve">, רב </w:t>
      </w:r>
      <w:proofErr w:type="spellStart"/>
      <w:r>
        <w:rPr>
          <w:rtl/>
        </w:rPr>
        <w:t>זאגר</w:t>
      </w:r>
      <w:proofErr w:type="spellEnd"/>
      <w:r>
        <w:rPr>
          <w:rtl/>
        </w:rPr>
        <w:t xml:space="preserve"> הישנה</w:t>
      </w:r>
      <w:bookmarkStart w:id="2929" w:name="_fnr2057"/>
      <w:r>
        <w:rPr>
          <w:rStyle w:val="a5"/>
        </w:rPr>
        <w:footnoteReference w:id="2062" w:customMarkFollows="0"/>
      </w:r>
      <w:bookmarkEnd w:id="2929"/>
      <w:r>
        <w:rPr>
          <w:rtl/>
        </w:rPr>
        <w:t xml:space="preserve">. </w:t>
      </w:r>
      <w:proofErr w:type="spellStart"/>
      <w:r>
        <w:rPr>
          <w:rtl/>
        </w:rPr>
        <w:t>ברודא</w:t>
      </w:r>
      <w:proofErr w:type="spellEnd"/>
      <w:r>
        <w:rPr>
          <w:rtl/>
        </w:rPr>
        <w:t xml:space="preserve"> סופד בה לתנועת המוסר – בטרם עת, כפי שהתברר בדיעבד – ואומר: “כמעט כל הרבנים וגדולי התורה ויראי ה׳ שמחים על ההדחה [של דבקי המוסר בפרסום האיגרת ‘למען דעת’ חודש קודם לכן].”</w:t>
      </w:r>
    </w:p>
    <w:p w14:paraId="61B61DED" w14:textId="77777777" w:rsidR="00AB3647" w:rsidRDefault="00000000" w:rsidP="007923E9">
      <w:pPr>
        <w:spacing w:after="120" w:line="276" w:lineRule="auto"/>
        <w:ind w:firstLine="283"/>
        <w:jc w:val="both"/>
      </w:pPr>
      <w:r>
        <w:rPr>
          <w:rtl/>
        </w:rPr>
        <w:lastRenderedPageBreak/>
        <w:t xml:space="preserve">במיוחד הזיקו לכוחות המוסר חתימותיהם של ר׳ </w:t>
      </w:r>
      <w:proofErr w:type="spellStart"/>
      <w:r>
        <w:rPr>
          <w:rtl/>
        </w:rPr>
        <w:t>איצל׳ה</w:t>
      </w:r>
      <w:proofErr w:type="spellEnd"/>
      <w:r>
        <w:rPr>
          <w:rtl/>
        </w:rPr>
        <w:t xml:space="preserve"> </w:t>
      </w:r>
      <w:proofErr w:type="spellStart"/>
      <w:r>
        <w:rPr>
          <w:rtl/>
        </w:rPr>
        <w:t>רבינוביץ</w:t>
      </w:r>
      <w:proofErr w:type="spellEnd"/>
      <w:r>
        <w:rPr>
          <w:rtl/>
        </w:rPr>
        <w:t xml:space="preserve"> (</w:t>
      </w:r>
      <w:proofErr w:type="spellStart"/>
      <w:r>
        <w:rPr>
          <w:rtl/>
        </w:rPr>
        <w:t>פוניבז׳ער</w:t>
      </w:r>
      <w:proofErr w:type="spellEnd"/>
      <w:r>
        <w:rPr>
          <w:rtl/>
        </w:rPr>
        <w:t xml:space="preserve">) ור׳ </w:t>
      </w:r>
      <w:proofErr w:type="spellStart"/>
      <w:r>
        <w:rPr>
          <w:rtl/>
        </w:rPr>
        <w:t>אברהם־אהרן</w:t>
      </w:r>
      <w:proofErr w:type="spellEnd"/>
      <w:r>
        <w:rPr>
          <w:rtl/>
        </w:rPr>
        <w:t xml:space="preserve"> </w:t>
      </w:r>
      <w:proofErr w:type="spellStart"/>
      <w:r>
        <w:rPr>
          <w:rtl/>
        </w:rPr>
        <w:t>בורשטין</w:t>
      </w:r>
      <w:proofErr w:type="spellEnd"/>
      <w:r>
        <w:rPr>
          <w:rtl/>
        </w:rPr>
        <w:t xml:space="preserve">. שניהם לימדו בישיבת </w:t>
      </w:r>
      <w:proofErr w:type="spellStart"/>
      <w:r>
        <w:rPr>
          <w:rtl/>
        </w:rPr>
        <w:t>סלבודקה</w:t>
      </w:r>
      <w:proofErr w:type="spellEnd"/>
      <w:r>
        <w:rPr>
          <w:rtl/>
        </w:rPr>
        <w:t xml:space="preserve"> תחת הסבא </w:t>
      </w:r>
      <w:proofErr w:type="spellStart"/>
      <w:r>
        <w:rPr>
          <w:rtl/>
        </w:rPr>
        <w:t>מסלבודקה</w:t>
      </w:r>
      <w:proofErr w:type="spellEnd"/>
      <w:r>
        <w:rPr>
          <w:rtl/>
        </w:rPr>
        <w:t>, שהנהגתו בישיבה היא שהציתה את פולמוס המוסר, ולכן ראו בעיניהם את שיטת המוסר בפעולתה</w:t>
      </w:r>
      <w:bookmarkStart w:id="2930" w:name="_fnr2058"/>
      <w:r>
        <w:rPr>
          <w:rStyle w:val="a5"/>
        </w:rPr>
        <w:footnoteReference w:id="2063" w:customMarkFollows="0"/>
      </w:r>
      <w:bookmarkEnd w:id="2930"/>
      <w:r>
        <w:rPr>
          <w:rtl/>
        </w:rPr>
        <w:t xml:space="preserve">. מזיקה הייתה גם חתימתו של ר׳ </w:t>
      </w:r>
      <w:proofErr w:type="spellStart"/>
      <w:r>
        <w:rPr>
          <w:rtl/>
        </w:rPr>
        <w:t>הירש־יעקב</w:t>
      </w:r>
      <w:proofErr w:type="spellEnd"/>
      <w:r>
        <w:rPr>
          <w:rtl/>
        </w:rPr>
        <w:t xml:space="preserve"> </w:t>
      </w:r>
      <w:proofErr w:type="spellStart"/>
      <w:r>
        <w:rPr>
          <w:rtl/>
        </w:rPr>
        <w:t>אופנהיים</w:t>
      </w:r>
      <w:proofErr w:type="spellEnd"/>
      <w:r>
        <w:rPr>
          <w:rtl/>
        </w:rPr>
        <w:t xml:space="preserve">, משום שלימד – כאמור לעיל – </w:t>
      </w:r>
      <w:proofErr w:type="spellStart"/>
      <w:r>
        <w:rPr>
          <w:rtl/>
        </w:rPr>
        <w:t>בקלם</w:t>
      </w:r>
      <w:proofErr w:type="spellEnd"/>
      <w:r>
        <w:rPr>
          <w:rtl/>
        </w:rPr>
        <w:t xml:space="preserve"> </w:t>
      </w:r>
      <w:proofErr w:type="spellStart"/>
      <w:r>
        <w:rPr>
          <w:rtl/>
        </w:rPr>
        <w:t>ובגרובין</w:t>
      </w:r>
      <w:proofErr w:type="spellEnd"/>
      <w:r>
        <w:rPr>
          <w:rtl/>
        </w:rPr>
        <w:t xml:space="preserve"> תחת ר׳ </w:t>
      </w:r>
      <w:proofErr w:type="spellStart"/>
      <w:r>
        <w:rPr>
          <w:rtl/>
        </w:rPr>
        <w:t>שמחה־זיסל</w:t>
      </w:r>
      <w:proofErr w:type="spellEnd"/>
      <w:r>
        <w:rPr>
          <w:rtl/>
        </w:rPr>
        <w:t xml:space="preserve"> זיו, רבו של הסבא </w:t>
      </w:r>
      <w:proofErr w:type="spellStart"/>
      <w:r>
        <w:rPr>
          <w:rtl/>
        </w:rPr>
        <w:t>מסלבודקה</w:t>
      </w:r>
      <w:proofErr w:type="spellEnd"/>
      <w:r>
        <w:rPr>
          <w:rtl/>
        </w:rPr>
        <w:t xml:space="preserve"> ומנהיג מוסר מדור קודם עוד יותר. טענה זו הופנתה בתוקף נגד מגיני המוסר במכתבים של ר׳ </w:t>
      </w:r>
      <w:proofErr w:type="spellStart"/>
      <w:r>
        <w:rPr>
          <w:rtl/>
        </w:rPr>
        <w:t>צבי־הירש</w:t>
      </w:r>
      <w:proofErr w:type="spellEnd"/>
      <w:r>
        <w:rPr>
          <w:rtl/>
        </w:rPr>
        <w:t xml:space="preserve"> </w:t>
      </w:r>
      <w:proofErr w:type="spellStart"/>
      <w:r>
        <w:rPr>
          <w:rtl/>
        </w:rPr>
        <w:t>רבינוביץ</w:t>
      </w:r>
      <w:proofErr w:type="spellEnd"/>
      <w:r>
        <w:rPr>
          <w:rtl/>
        </w:rPr>
        <w:t xml:space="preserve">, רב קובנה, ר׳ משה </w:t>
      </w:r>
      <w:proofErr w:type="spellStart"/>
      <w:r>
        <w:rPr>
          <w:rtl/>
        </w:rPr>
        <w:t>דנישבסקי</w:t>
      </w:r>
      <w:proofErr w:type="spellEnd"/>
      <w:r>
        <w:rPr>
          <w:rtl/>
        </w:rPr>
        <w:t xml:space="preserve">, רב </w:t>
      </w:r>
      <w:proofErr w:type="spellStart"/>
      <w:r>
        <w:rPr>
          <w:rtl/>
        </w:rPr>
        <w:t>סלבודקה</w:t>
      </w:r>
      <w:proofErr w:type="spellEnd"/>
      <w:r>
        <w:rPr>
          <w:rtl/>
        </w:rPr>
        <w:t xml:space="preserve">, ור׳ </w:t>
      </w:r>
      <w:proofErr w:type="spellStart"/>
      <w:r>
        <w:rPr>
          <w:rtl/>
        </w:rPr>
        <w:t>אבא־יעקב</w:t>
      </w:r>
      <w:proofErr w:type="spellEnd"/>
      <w:r>
        <w:rPr>
          <w:rtl/>
        </w:rPr>
        <w:t xml:space="preserve"> בורוכוב, שהיה אז רב </w:t>
      </w:r>
      <w:proofErr w:type="spellStart"/>
      <w:r>
        <w:rPr>
          <w:rtl/>
        </w:rPr>
        <w:t>וקשנה</w:t>
      </w:r>
      <w:proofErr w:type="spellEnd"/>
      <w:r>
        <w:rPr>
          <w:rtl/>
        </w:rPr>
        <w:t xml:space="preserve"> – מכתבים שפורסמו בעיתונות העברית</w:t>
      </w:r>
      <w:bookmarkStart w:id="2931" w:name="_fnr2059"/>
      <w:r>
        <w:rPr>
          <w:rStyle w:val="a5"/>
        </w:rPr>
        <w:footnoteReference w:id="2064" w:customMarkFollows="0"/>
      </w:r>
      <w:bookmarkEnd w:id="2931"/>
      <w:r>
        <w:rPr>
          <w:rtl/>
        </w:rPr>
        <w:t>.</w:t>
      </w:r>
    </w:p>
    <w:p w14:paraId="22A6FB78" w14:textId="77777777" w:rsidR="00AB3647" w:rsidRDefault="00000000" w:rsidP="007923E9">
      <w:pPr>
        <w:spacing w:after="120" w:line="276" w:lineRule="auto"/>
        <w:ind w:firstLine="283"/>
        <w:jc w:val="both"/>
      </w:pPr>
      <w:r>
        <w:rPr>
          <w:rtl/>
        </w:rPr>
        <w:t xml:space="preserve">עוד כותב נגד המוסר </w:t>
      </w:r>
      <w:proofErr w:type="spellStart"/>
      <w:r>
        <w:rPr>
          <w:rtl/>
        </w:rPr>
        <w:t>ב“המליץ</w:t>
      </w:r>
      <w:proofErr w:type="spellEnd"/>
      <w:r>
        <w:rPr>
          <w:rtl/>
        </w:rPr>
        <w:t>”</w:t>
      </w:r>
      <w:bookmarkStart w:id="2932" w:name="_fnr2060"/>
      <w:r>
        <w:rPr>
          <w:rStyle w:val="a5"/>
        </w:rPr>
        <w:footnoteReference w:id="2065" w:customMarkFollows="0"/>
      </w:r>
      <w:bookmarkEnd w:id="2932"/>
      <w:r>
        <w:rPr>
          <w:rtl/>
        </w:rPr>
        <w:t xml:space="preserve">, שוודאי יעניין את הקורא האמריקני, הוא “דוד </w:t>
      </w:r>
      <w:proofErr w:type="spellStart"/>
      <w:r>
        <w:rPr>
          <w:rtl/>
        </w:rPr>
        <w:t>גינצבורג</w:t>
      </w:r>
      <w:proofErr w:type="spellEnd"/>
      <w:r>
        <w:rPr>
          <w:rtl/>
        </w:rPr>
        <w:t xml:space="preserve">, רב </w:t>
      </w:r>
      <w:proofErr w:type="spellStart"/>
      <w:r>
        <w:rPr>
          <w:rtl/>
        </w:rPr>
        <w:t>דראטשעסטער</w:t>
      </w:r>
      <w:proofErr w:type="spellEnd"/>
      <w:r>
        <w:rPr>
          <w:rtl/>
        </w:rPr>
        <w:t xml:space="preserve"> באמריקה הצפונית”</w:t>
      </w:r>
      <w:bookmarkStart w:id="2933" w:name="_fnr2061"/>
      <w:r>
        <w:rPr>
          <w:rStyle w:val="a5"/>
        </w:rPr>
        <w:footnoteReference w:id="2066" w:customMarkFollows="0"/>
      </w:r>
      <w:bookmarkEnd w:id="2933"/>
      <w:r>
        <w:rPr>
          <w:rtl/>
        </w:rPr>
        <w:t xml:space="preserve">. הוא כותב בלשון פולמוס: “ואיך תשיבו לדעת הקהל על עדות הגאונים </w:t>
      </w:r>
      <w:proofErr w:type="spellStart"/>
      <w:r>
        <w:rPr>
          <w:rtl/>
        </w:rPr>
        <w:t>מפוניבז</w:t>
      </w:r>
      <w:proofErr w:type="spellEnd"/>
      <w:r>
        <w:rPr>
          <w:rtl/>
        </w:rPr>
        <w:t xml:space="preserve">׳ [ר׳ </w:t>
      </w:r>
      <w:proofErr w:type="spellStart"/>
      <w:r>
        <w:rPr>
          <w:rtl/>
        </w:rPr>
        <w:t>איצל׳ה</w:t>
      </w:r>
      <w:proofErr w:type="spellEnd"/>
      <w:r>
        <w:rPr>
          <w:rtl/>
        </w:rPr>
        <w:t xml:space="preserve"> </w:t>
      </w:r>
      <w:proofErr w:type="spellStart"/>
      <w:r>
        <w:rPr>
          <w:rtl/>
        </w:rPr>
        <w:t>רבינוביץ</w:t>
      </w:r>
      <w:proofErr w:type="spellEnd"/>
      <w:r>
        <w:rPr>
          <w:rtl/>
        </w:rPr>
        <w:t xml:space="preserve">] </w:t>
      </w:r>
      <w:proofErr w:type="spellStart"/>
      <w:r>
        <w:rPr>
          <w:rtl/>
        </w:rPr>
        <w:t>ומריטובה</w:t>
      </w:r>
      <w:proofErr w:type="spellEnd"/>
      <w:r>
        <w:rPr>
          <w:rtl/>
        </w:rPr>
        <w:t xml:space="preserve"> [ר׳ </w:t>
      </w:r>
      <w:proofErr w:type="spellStart"/>
      <w:r>
        <w:rPr>
          <w:rtl/>
        </w:rPr>
        <w:t>אברהם־אהרן</w:t>
      </w:r>
      <w:proofErr w:type="spellEnd"/>
      <w:r>
        <w:rPr>
          <w:rtl/>
        </w:rPr>
        <w:t xml:space="preserve"> </w:t>
      </w:r>
      <w:proofErr w:type="spellStart"/>
      <w:r>
        <w:rPr>
          <w:rtl/>
        </w:rPr>
        <w:t>בורשטין</w:t>
      </w:r>
      <w:proofErr w:type="spellEnd"/>
      <w:r>
        <w:rPr>
          <w:rtl/>
        </w:rPr>
        <w:t xml:space="preserve">] והגאון רב קלם [ר׳ </w:t>
      </w:r>
      <w:proofErr w:type="spellStart"/>
      <w:r>
        <w:rPr>
          <w:rtl/>
        </w:rPr>
        <w:t>הירש־יעקב</w:t>
      </w:r>
      <w:proofErr w:type="spellEnd"/>
      <w:r>
        <w:rPr>
          <w:rtl/>
        </w:rPr>
        <w:t xml:space="preserve"> </w:t>
      </w:r>
      <w:proofErr w:type="spellStart"/>
      <w:r>
        <w:rPr>
          <w:rtl/>
        </w:rPr>
        <w:t>אופנהיים</w:t>
      </w:r>
      <w:proofErr w:type="spellEnd"/>
      <w:r>
        <w:rPr>
          <w:rtl/>
        </w:rPr>
        <w:t xml:space="preserve">]? הלא היו ראשי ישיבה </w:t>
      </w:r>
      <w:proofErr w:type="spellStart"/>
      <w:r>
        <w:rPr>
          <w:rtl/>
        </w:rPr>
        <w:t>בסלבודקה</w:t>
      </w:r>
      <w:proofErr w:type="spellEnd"/>
      <w:r>
        <w:rPr>
          <w:rtl/>
        </w:rPr>
        <w:t xml:space="preserve"> </w:t>
      </w:r>
      <w:proofErr w:type="spellStart"/>
      <w:r>
        <w:rPr>
          <w:rtl/>
        </w:rPr>
        <w:t>ובגרובין</w:t>
      </w:r>
      <w:proofErr w:type="spellEnd"/>
      <w:r>
        <w:rPr>
          <w:rtl/>
        </w:rPr>
        <w:t xml:space="preserve">? היכולים אתם, הרחוקים ממקום המאורעות, להפריך את דבריהם? האם דין </w:t>
      </w:r>
      <w:r>
        <w:rPr>
          <w:b/>
          <w:bCs/>
          <w:rtl/>
        </w:rPr>
        <w:t>אמת</w:t>
      </w:r>
      <w:r>
        <w:rPr>
          <w:rtl/>
        </w:rPr>
        <w:t xml:space="preserve"> (ההדגשה שלי) דנתם? הלא זיכיתם את החוטא וחייבתם את הזכאי?” המילה המודגשת בציטוט היא משחק על שמו של הכרוז שכנגד, בעד המוסר, “למען האמת”, המובא בפסקה הבאה.</w:t>
      </w:r>
    </w:p>
    <w:p w14:paraId="7B09F36C" w14:textId="77777777" w:rsidR="00AB3647" w:rsidRDefault="00000000" w:rsidP="007923E9">
      <w:pPr>
        <w:spacing w:after="120" w:line="276" w:lineRule="auto"/>
        <w:ind w:firstLine="283"/>
        <w:jc w:val="both"/>
      </w:pPr>
      <w:bookmarkStart w:id="2934" w:name="pr_b_1256"/>
      <w:bookmarkEnd w:id="2934"/>
      <w:r>
        <w:rPr>
          <w:rtl/>
        </w:rPr>
        <w:t xml:space="preserve">אבי סיפר שכשביקשו מר׳ חיים </w:t>
      </w:r>
      <w:proofErr w:type="spellStart"/>
      <w:r>
        <w:rPr>
          <w:rtl/>
        </w:rPr>
        <w:t>סולובייצ׳יק</w:t>
      </w:r>
      <w:proofErr w:type="spellEnd"/>
      <w:r>
        <w:rPr>
          <w:rtl/>
        </w:rPr>
        <w:t xml:space="preserve"> לחתום על האיגרת “למען דעת”, סירב ואמר: “מסכים אני שזה רע לסגור את הגמרות לשם ספרי המוסר, אבל נעשה רע גדול יותר. יש </w:t>
      </w:r>
      <w:proofErr w:type="spellStart"/>
      <w:r>
        <w:rPr>
          <w:rtl/>
        </w:rPr>
        <w:t>בוולקוביסק</w:t>
      </w:r>
      <w:proofErr w:type="spellEnd"/>
      <w:r>
        <w:rPr>
          <w:rtl/>
        </w:rPr>
        <w:t xml:space="preserve"> בית ספר רוסי שילדים מבתים יהודיים עשירים שומרי מצוות לומדים בו בשבת – אף שמשרתיהם הגויים נושאים בשבילם את הספרים, והם אינם כותבים את שיעוריהם עד צאת השבת – והרבנים לא יצאו במחאה.”</w:t>
      </w:r>
      <w:bookmarkStart w:id="2935" w:name="_fnr2062"/>
      <w:bookmarkStart w:id="2936" w:name="pr_f_1967"/>
      <w:r>
        <w:rPr>
          <w:rStyle w:val="a5"/>
        </w:rPr>
        <w:footnoteReference w:id="2067" w:customMarkFollows="0"/>
      </w:r>
      <w:bookmarkEnd w:id="2935"/>
      <w:bookmarkEnd w:id="2936"/>
      <w:bookmarkStart w:id="7023" w:name="_TranslatorNote_5386"/>
      <w:r>
        <w:rPr>
          <w:rStyle w:val="a5"/>
          <w:vertAlign w:val="superscript"/>
          <w:rtl/>
        </w:rPr>
        <w:footnoteReference w:id="2068" w:customMarkFollows="1"/>
        <w:t>*</w:t>
      </w:r>
      <w:bookmarkEnd w:id="7023"/>
    </w:p>
    <w:p w14:paraId="47CC655A" w14:textId="77777777" w:rsidR="00AB3647" w:rsidRDefault="00000000" w:rsidP="007923E9">
      <w:pPr>
        <w:spacing w:after="120" w:line="276" w:lineRule="auto"/>
        <w:ind w:firstLine="283"/>
        <w:jc w:val="both"/>
      </w:pPr>
      <w:r>
        <w:rPr>
          <w:rtl/>
        </w:rPr>
        <w:t xml:space="preserve">קו מחשבה זה דומה לתשובתו של </w:t>
      </w:r>
      <w:proofErr w:type="spellStart"/>
      <w:r>
        <w:rPr>
          <w:rtl/>
        </w:rPr>
        <w:t>החזון־איש</w:t>
      </w:r>
      <w:proofErr w:type="spellEnd"/>
      <w:r>
        <w:rPr>
          <w:rtl/>
        </w:rPr>
        <w:t xml:space="preserve">, ממתנגדי המוסר, לשאלה ששאל אותו הסבא </w:t>
      </w:r>
      <w:proofErr w:type="spellStart"/>
      <w:r>
        <w:rPr>
          <w:rtl/>
        </w:rPr>
        <w:t>מסלבודקה</w:t>
      </w:r>
      <w:proofErr w:type="spellEnd"/>
      <w:r>
        <w:rPr>
          <w:rtl/>
        </w:rPr>
        <w:t xml:space="preserve">. </w:t>
      </w:r>
      <w:proofErr w:type="spellStart"/>
      <w:r>
        <w:rPr>
          <w:rtl/>
        </w:rPr>
        <w:t>החזון־איש</w:t>
      </w:r>
      <w:proofErr w:type="spellEnd"/>
      <w:r>
        <w:rPr>
          <w:rtl/>
        </w:rPr>
        <w:t xml:space="preserve"> הפתיע את הסבא כשבא לאחת משיחות המוסר שלו במינסק, והסבא שאל אותו מדוע בא. “נכון, אני מתנגד למוסר,” אמר, “אבל אני מתנגד הרבה יותר </w:t>
      </w:r>
      <w:r>
        <w:rPr>
          <w:b/>
          <w:bCs/>
          <w:rtl/>
        </w:rPr>
        <w:t>למתנגדי</w:t>
      </w:r>
      <w:r>
        <w:rPr>
          <w:rtl/>
        </w:rPr>
        <w:t xml:space="preserve"> המוסר.”</w:t>
      </w:r>
      <w:bookmarkStart w:id="2937" w:name="_fnr2063"/>
      <w:r>
        <w:rPr>
          <w:rStyle w:val="a5"/>
        </w:rPr>
        <w:footnoteReference w:id="2069" w:customMarkFollows="0"/>
      </w:r>
      <w:bookmarkEnd w:id="2937"/>
    </w:p>
    <w:p w14:paraId="075915ED" w14:textId="77777777" w:rsidR="00AB3647" w:rsidRDefault="00000000" w:rsidP="007923E9">
      <w:pPr>
        <w:spacing w:after="120" w:line="276" w:lineRule="auto"/>
        <w:ind w:firstLine="283"/>
        <w:jc w:val="both"/>
      </w:pPr>
      <w:r>
        <w:rPr>
          <w:rtl/>
        </w:rPr>
        <w:lastRenderedPageBreak/>
        <w:t>בריאיון המוקלט על תנועת המוסר</w:t>
      </w:r>
      <w:bookmarkStart w:id="2938" w:name="_fnr2064"/>
      <w:r>
        <w:rPr>
          <w:rStyle w:val="a5"/>
        </w:rPr>
        <w:footnoteReference w:id="2070" w:customMarkFollows="0"/>
      </w:r>
      <w:bookmarkEnd w:id="2938"/>
      <w:r>
        <w:rPr>
          <w:rtl/>
        </w:rPr>
        <w:t xml:space="preserve"> הציע אבי טעם נוסף לכך שר׳ חיים נמנע מלחתום על הכרוז נגד המוסר: ר׳ חיים ראה בר׳ ישראל </w:t>
      </w:r>
      <w:proofErr w:type="spellStart"/>
      <w:r>
        <w:rPr>
          <w:rtl/>
        </w:rPr>
        <w:t>סלנטר</w:t>
      </w:r>
      <w:proofErr w:type="spellEnd"/>
      <w:r>
        <w:rPr>
          <w:rtl/>
        </w:rPr>
        <w:t xml:space="preserve"> מעין ראשון</w:t>
      </w:r>
      <w:bookmarkStart w:id="2939" w:name="_fnr2065"/>
      <w:r>
        <w:rPr>
          <w:rStyle w:val="a5"/>
        </w:rPr>
        <w:footnoteReference w:id="2071" w:customMarkFollows="0"/>
      </w:r>
      <w:bookmarkEnd w:id="2939"/>
      <w:r>
        <w:rPr>
          <w:rtl/>
        </w:rPr>
        <w:t xml:space="preserve">, ולכן לא יכול היה להכריז על עצמו בגלוי כמתנגד לדרכו של ר׳ ישראל. אפשר לשער שאילו חתם ר׳ חיים, הסמכות הגדולה ביותר בעולם הישיבות, על “למען דעת”, לא הייתה כנסת ישראל קמה כלל. ראשית, היא הייתה חסרה אפילו את תמיכת המיעוט מתלמידי ישיבת </w:t>
      </w:r>
      <w:proofErr w:type="spellStart"/>
      <w:r>
        <w:rPr>
          <w:rtl/>
        </w:rPr>
        <w:t>סלבודקה</w:t>
      </w:r>
      <w:proofErr w:type="spellEnd"/>
      <w:r>
        <w:rPr>
          <w:rtl/>
        </w:rPr>
        <w:t xml:space="preserve"> המקורית; שנית, ר׳ </w:t>
      </w:r>
      <w:proofErr w:type="spellStart"/>
      <w:r>
        <w:rPr>
          <w:rtl/>
        </w:rPr>
        <w:t>משה־מרדכי</w:t>
      </w:r>
      <w:proofErr w:type="spellEnd"/>
      <w:r>
        <w:rPr>
          <w:rtl/>
        </w:rPr>
        <w:t xml:space="preserve">, תלמידו של ר׳ חיים, היה עוזב את הסבא; ושלישית, לסבא </w:t>
      </w:r>
      <w:proofErr w:type="spellStart"/>
      <w:r>
        <w:rPr>
          <w:rtl/>
        </w:rPr>
        <w:t>מסלבודקה</w:t>
      </w:r>
      <w:proofErr w:type="spellEnd"/>
      <w:r>
        <w:rPr>
          <w:rtl/>
        </w:rPr>
        <w:t xml:space="preserve"> עצמו לא היה עוז רוח להילחם בראש הישיבה האהוד ביותר בדור, שגם הוא העריך אותו מאוד</w:t>
      </w:r>
      <w:bookmarkStart w:id="2940" w:name="_fnr2066"/>
      <w:r>
        <w:rPr>
          <w:rStyle w:val="a5"/>
        </w:rPr>
        <w:footnoteReference w:id="2072" w:customMarkFollows="0"/>
      </w:r>
      <w:bookmarkEnd w:id="2940"/>
      <w:r>
        <w:rPr>
          <w:rtl/>
        </w:rPr>
        <w:t>.</w:t>
      </w:r>
    </w:p>
    <w:p w14:paraId="7FAACB9B" w14:textId="77777777" w:rsidR="00AB3647" w:rsidRDefault="00000000" w:rsidP="007923E9">
      <w:pPr>
        <w:spacing w:after="120" w:line="276" w:lineRule="auto"/>
        <w:ind w:firstLine="283"/>
        <w:jc w:val="both"/>
      </w:pPr>
      <w:r>
        <w:rPr>
          <w:rtl/>
        </w:rPr>
        <w:t xml:space="preserve">דבריו של רבנו בשיחה המוקלטת במלאות חמישים שנה לפטירת הסבא, </w:t>
      </w:r>
      <w:proofErr w:type="spellStart"/>
      <w:r>
        <w:rPr>
          <w:rtl/>
        </w:rPr>
        <w:t>ש“הסבא</w:t>
      </w:r>
      <w:proofErr w:type="spellEnd"/>
      <w:r>
        <w:rPr>
          <w:rtl/>
        </w:rPr>
        <w:t xml:space="preserve"> אמר שר׳ חיים היה בעל מוסר</w:t>
      </w:r>
      <w:bookmarkStart w:id="2941" w:name="_fnr2067"/>
      <w:r>
        <w:rPr>
          <w:rStyle w:val="a5"/>
        </w:rPr>
        <w:footnoteReference w:id="2073" w:customMarkFollows="0"/>
      </w:r>
      <w:bookmarkEnd w:id="2941"/>
      <w:r>
        <w:rPr>
          <w:rtl/>
        </w:rPr>
        <w:t xml:space="preserve"> אבל לא ידע זאת”, מעידים על צורכו הנפשי של הסבא – אם לא באישורו של ר׳ חיים, לפחות בהיעדר </w:t>
      </w:r>
      <w:r>
        <w:rPr>
          <w:b/>
          <w:bCs/>
          <w:rtl/>
        </w:rPr>
        <w:t>התנגדות</w:t>
      </w:r>
      <w:r>
        <w:rPr>
          <w:rtl/>
        </w:rPr>
        <w:t xml:space="preserve"> מצדו – כדי לאזור “תקיפות הדעת לעמוד כנגד העולם”, כלשון אבי באותה שיחה.</w:t>
      </w:r>
    </w:p>
    <w:p w14:paraId="56520772" w14:textId="77777777" w:rsidR="00AB3647" w:rsidRDefault="00000000" w:rsidP="007923E9">
      <w:pPr>
        <w:spacing w:after="120" w:line="276" w:lineRule="auto"/>
        <w:ind w:firstLine="283"/>
        <w:jc w:val="both"/>
      </w:pPr>
      <w:r>
        <w:rPr>
          <w:rtl/>
        </w:rPr>
        <w:t>יעקב מארק</w:t>
      </w:r>
      <w:bookmarkStart w:id="2942" w:name="_fnr2068"/>
      <w:r>
        <w:rPr>
          <w:rStyle w:val="a5"/>
        </w:rPr>
        <w:footnoteReference w:id="2074" w:customMarkFollows="0"/>
      </w:r>
      <w:bookmarkEnd w:id="2942"/>
      <w:r>
        <w:rPr>
          <w:rtl/>
        </w:rPr>
        <w:t xml:space="preserve"> מזכיר את מעורבותו של ר׳ חיים </w:t>
      </w:r>
      <w:r>
        <w:rPr>
          <w:b/>
          <w:bCs/>
          <w:rtl/>
        </w:rPr>
        <w:t>בהשקטת</w:t>
      </w:r>
      <w:r>
        <w:rPr>
          <w:rtl/>
        </w:rPr>
        <w:t xml:space="preserve"> פולמוס המוסר, וטוען </w:t>
      </w:r>
      <w:proofErr w:type="spellStart"/>
      <w:r>
        <w:rPr>
          <w:rtl/>
        </w:rPr>
        <w:t>ש“בתחילה</w:t>
      </w:r>
      <w:proofErr w:type="spellEnd"/>
      <w:r>
        <w:rPr>
          <w:rtl/>
        </w:rPr>
        <w:t xml:space="preserve"> עמד (הוא) מרחוק, אבל אחר כך, כשהחלו שני הצדדים להשתמש בדרכי מלחמה פסולות שעלולות היו להביא לידי חילול ה׳, לא נשאר (הוא) עוד מן הצד, ובהשפעתו הגדולה </w:t>
      </w:r>
      <w:proofErr w:type="spellStart"/>
      <w:r>
        <w:rPr>
          <w:rtl/>
        </w:rPr>
        <w:t>ובחכמתו</w:t>
      </w:r>
      <w:proofErr w:type="spellEnd"/>
      <w:r>
        <w:rPr>
          <w:rtl/>
        </w:rPr>
        <w:t xml:space="preserve"> כיבה את אש המחלוקת”. יעקב מארק אינו מפרש מה היו “הדרכים הפסולות” האלה, ובמה התבטאה מעורבותו של ר׳ חיים.</w:t>
      </w:r>
      <w:bookmarkStart w:id="2943" w:name="_fnr2069"/>
      <w:r>
        <w:rPr>
          <w:rStyle w:val="a5"/>
        </w:rPr>
        <w:footnoteReference w:id="2075" w:customMarkFollows="0"/>
      </w:r>
      <w:bookmarkEnd w:id="2943"/>
    </w:p>
    <w:p w14:paraId="23F49049" w14:textId="77777777" w:rsidR="00AB3647" w:rsidRDefault="00000000" w:rsidP="007923E9">
      <w:pPr>
        <w:pStyle w:val="4"/>
        <w:spacing w:line="276" w:lineRule="auto"/>
      </w:pPr>
      <w:r>
        <w:t>· הפסקה הרביעית ·</w:t>
      </w:r>
    </w:p>
    <w:p w14:paraId="784FFB43" w14:textId="77777777" w:rsidR="00AB3647" w:rsidRDefault="00000000" w:rsidP="007923E9">
      <w:pPr>
        <w:pStyle w:val="5"/>
        <w:spacing w:line="276" w:lineRule="auto"/>
      </w:pPr>
      <w:proofErr w:type="spellStart"/>
      <w:r>
        <w:t>האדר״ת</w:t>
      </w:r>
      <w:proofErr w:type="spellEnd"/>
      <w:r>
        <w:t xml:space="preserve"> חותם על הכרוז בעד המוסר – הוא חלוק על ר׳ </w:t>
      </w:r>
      <w:proofErr w:type="spellStart"/>
      <w:r>
        <w:t>יצחק־אלחנן</w:t>
      </w:r>
      <w:proofErr w:type="spellEnd"/>
      <w:r>
        <w:t xml:space="preserve"> – מסורת ליטאית משונה על הסיבה שחתם – במינסק נחשב לבעל מוסר</w:t>
      </w:r>
    </w:p>
    <w:p w14:paraId="2F6722C4" w14:textId="77777777" w:rsidR="00AB3647" w:rsidRDefault="00000000" w:rsidP="007923E9">
      <w:pPr>
        <w:spacing w:after="120" w:line="276" w:lineRule="auto"/>
        <w:ind w:firstLine="283"/>
        <w:jc w:val="both"/>
      </w:pPr>
      <w:r>
        <w:rPr>
          <w:rtl/>
        </w:rPr>
        <w:t xml:space="preserve">חודשיים אחרי שנכתב “למען דעת” פורסם כרוז שכנגד להגנת דבקי </w:t>
      </w:r>
      <w:r>
        <w:rPr>
          <w:b/>
          <w:bCs/>
          <w:rtl/>
        </w:rPr>
        <w:t>המוסר</w:t>
      </w:r>
      <w:r>
        <w:rPr>
          <w:rtl/>
        </w:rPr>
        <w:t>, ושמו “למען האמת”. חתמו עליו רבנים רבים</w:t>
      </w:r>
      <w:bookmarkStart w:id="2944" w:name="_fnr2070"/>
      <w:r>
        <w:rPr>
          <w:rStyle w:val="a5"/>
        </w:rPr>
        <w:footnoteReference w:id="2076" w:customMarkFollows="0"/>
      </w:r>
      <w:bookmarkEnd w:id="2944"/>
      <w:r>
        <w:rPr>
          <w:rtl/>
        </w:rPr>
        <w:t xml:space="preserve">, ובהם השלושה שהזכיר אבי ועוד שניים מפורסמים שאבי </w:t>
      </w:r>
      <w:r>
        <w:rPr>
          <w:rtl/>
        </w:rPr>
        <w:lastRenderedPageBreak/>
        <w:t xml:space="preserve">דילג עליהם: ר׳ </w:t>
      </w:r>
      <w:proofErr w:type="spellStart"/>
      <w:r>
        <w:rPr>
          <w:rtl/>
        </w:rPr>
        <w:t>אליהו־דוד</w:t>
      </w:r>
      <w:proofErr w:type="spellEnd"/>
      <w:r>
        <w:rPr>
          <w:rtl/>
        </w:rPr>
        <w:t xml:space="preserve"> </w:t>
      </w:r>
      <w:proofErr w:type="spellStart"/>
      <w:r>
        <w:rPr>
          <w:rtl/>
        </w:rPr>
        <w:t>רבינוביץ־תאומים</w:t>
      </w:r>
      <w:proofErr w:type="spellEnd"/>
      <w:r>
        <w:rPr>
          <w:rtl/>
        </w:rPr>
        <w:t xml:space="preserve"> (</w:t>
      </w:r>
      <w:proofErr w:type="spellStart"/>
      <w:r>
        <w:rPr>
          <w:rtl/>
        </w:rPr>
        <w:t>האדר״ת</w:t>
      </w:r>
      <w:proofErr w:type="spellEnd"/>
      <w:r>
        <w:rPr>
          <w:rtl/>
        </w:rPr>
        <w:t>)</w:t>
      </w:r>
      <w:bookmarkStart w:id="2945" w:name="_fnr2071"/>
      <w:bookmarkStart w:id="2946" w:name="pr_f_1976"/>
      <w:r>
        <w:rPr>
          <w:rStyle w:val="a5"/>
        </w:rPr>
        <w:footnoteReference w:id="2077" w:customMarkFollows="0"/>
      </w:r>
      <w:bookmarkEnd w:id="2945"/>
      <w:bookmarkEnd w:id="2946"/>
      <w:r>
        <w:rPr>
          <w:rtl/>
        </w:rPr>
        <w:t xml:space="preserve">, אז רב </w:t>
      </w:r>
      <w:proofErr w:type="spellStart"/>
      <w:r>
        <w:rPr>
          <w:rtl/>
        </w:rPr>
        <w:t>מיר</w:t>
      </w:r>
      <w:proofErr w:type="spellEnd"/>
      <w:r>
        <w:rPr>
          <w:rtl/>
        </w:rPr>
        <w:t xml:space="preserve">, ור׳ </w:t>
      </w:r>
      <w:proofErr w:type="spellStart"/>
      <w:r>
        <w:rPr>
          <w:rtl/>
        </w:rPr>
        <w:t>חיים־לייב</w:t>
      </w:r>
      <w:proofErr w:type="spellEnd"/>
      <w:r>
        <w:rPr>
          <w:rtl/>
        </w:rPr>
        <w:t xml:space="preserve"> (</w:t>
      </w:r>
      <w:proofErr w:type="spellStart"/>
      <w:r>
        <w:rPr>
          <w:rtl/>
        </w:rPr>
        <w:t>רוטנברג־מישקובסקי</w:t>
      </w:r>
      <w:proofErr w:type="spellEnd"/>
      <w:r>
        <w:rPr>
          <w:rtl/>
        </w:rPr>
        <w:t xml:space="preserve">) </w:t>
      </w:r>
      <w:proofErr w:type="spellStart"/>
      <w:r>
        <w:rPr>
          <w:rtl/>
        </w:rPr>
        <w:t>מסטאוויסק</w:t>
      </w:r>
      <w:bookmarkStart w:id="2947" w:name="_fnr2072"/>
      <w:proofErr w:type="spellEnd"/>
      <w:r>
        <w:rPr>
          <w:rStyle w:val="a5"/>
        </w:rPr>
        <w:footnoteReference w:id="2078" w:customMarkFollows="0"/>
      </w:r>
      <w:bookmarkEnd w:id="2947"/>
      <w:r>
        <w:rPr>
          <w:rtl/>
        </w:rPr>
        <w:t xml:space="preserve">. ייתכן שהשמטת </w:t>
      </w:r>
      <w:proofErr w:type="spellStart"/>
      <w:r>
        <w:rPr>
          <w:rtl/>
        </w:rPr>
        <w:t>האדר״ת</w:t>
      </w:r>
      <w:proofErr w:type="spellEnd"/>
      <w:r>
        <w:rPr>
          <w:rtl/>
        </w:rPr>
        <w:t xml:space="preserve"> בדברי אבי לא הייתה בשגגה.</w:t>
      </w:r>
    </w:p>
    <w:p w14:paraId="22AD828F" w14:textId="41312B20" w:rsidR="00AB3647" w:rsidRDefault="00000000" w:rsidP="007923E9">
      <w:pPr>
        <w:spacing w:after="120" w:line="276" w:lineRule="auto"/>
        <w:ind w:firstLine="283"/>
        <w:jc w:val="both"/>
      </w:pPr>
      <w:r>
        <w:rPr>
          <w:rtl/>
        </w:rPr>
        <w:t>אני משער</w:t>
      </w:r>
      <w:bookmarkStart w:id="2948" w:name="_fnr2073"/>
      <w:r>
        <w:rPr>
          <w:rStyle w:val="a5"/>
        </w:rPr>
        <w:footnoteReference w:id="2079" w:customMarkFollows="0"/>
      </w:r>
      <w:bookmarkEnd w:id="2948"/>
      <w:r>
        <w:rPr>
          <w:rtl/>
        </w:rPr>
        <w:t xml:space="preserve"> </w:t>
      </w:r>
      <w:proofErr w:type="spellStart"/>
      <w:r>
        <w:rPr>
          <w:rtl/>
        </w:rPr>
        <w:t>שהאדר״ת</w:t>
      </w:r>
      <w:proofErr w:type="spellEnd"/>
      <w:r>
        <w:rPr>
          <w:rtl/>
        </w:rPr>
        <w:t xml:space="preserve"> </w:t>
      </w:r>
      <w:r>
        <w:rPr>
          <w:b/>
          <w:bCs/>
          <w:rtl/>
        </w:rPr>
        <w:t>לא</w:t>
      </w:r>
      <w:r>
        <w:rPr>
          <w:rtl/>
        </w:rPr>
        <w:t xml:space="preserve"> היה מתומכי המוסר, ושחתם על “למען האמת” כדי להתנגד ליוזם “למען דעת” – ר׳ </w:t>
      </w:r>
      <w:proofErr w:type="spellStart"/>
      <w:r>
        <w:rPr>
          <w:rtl/>
        </w:rPr>
        <w:t>צבי־הירש</w:t>
      </w:r>
      <w:proofErr w:type="spellEnd"/>
      <w:r>
        <w:rPr>
          <w:rtl/>
        </w:rPr>
        <w:t xml:space="preserve">, בנו וממלא מקומו של ר׳ </w:t>
      </w:r>
      <w:proofErr w:type="spellStart"/>
      <w:r>
        <w:rPr>
          <w:rtl/>
        </w:rPr>
        <w:t>יצחק־אלחנן</w:t>
      </w:r>
      <w:proofErr w:type="spellEnd"/>
      <w:r>
        <w:rPr>
          <w:rtl/>
        </w:rPr>
        <w:t xml:space="preserve"> </w:t>
      </w:r>
      <w:proofErr w:type="spellStart"/>
      <w:r>
        <w:rPr>
          <w:rtl/>
        </w:rPr>
        <w:t>ספקטור</w:t>
      </w:r>
      <w:proofErr w:type="spellEnd"/>
      <w:r>
        <w:rPr>
          <w:rtl/>
        </w:rPr>
        <w:t xml:space="preserve"> – ולמי שנחשב </w:t>
      </w:r>
      <w:proofErr w:type="spellStart"/>
      <w:r>
        <w:rPr>
          <w:rtl/>
        </w:rPr>
        <w:t>למחוללו</w:t>
      </w:r>
      <w:proofErr w:type="spellEnd"/>
      <w:r>
        <w:rPr>
          <w:rtl/>
        </w:rPr>
        <w:t xml:space="preserve">, מזכירו של ר׳ </w:t>
      </w:r>
      <w:proofErr w:type="spellStart"/>
      <w:r>
        <w:rPr>
          <w:rtl/>
        </w:rPr>
        <w:t>יצחק־אלחנן</w:t>
      </w:r>
      <w:proofErr w:type="spellEnd"/>
      <w:r>
        <w:rPr>
          <w:rtl/>
        </w:rPr>
        <w:t>, ר׳ יעקב הלוי ליפשיץ (כאמור ב</w:t>
      </w:r>
      <w:r>
        <w:rPr>
          <w:rtl/>
        </w:rPr>
        <w:fldChar w:fldCharType="begin" w:dirty="true"/>
      </w:r>
      <w:r>
        <w:rPr>
          <w:rtl/>
        </w:rPr>
        <w:instrText xml:space="preserve"> REF b3_excL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יב</w:t>
      </w:r>
      <w:proofErr w:type="spellEnd"/>
      <w:r>
        <w:rPr>
          <w:rtl/>
        </w:rPr>
        <w:fldChar w:fldCharType="end"/>
      </w:r>
      <w:r>
        <w:rPr>
          <w:rtl/>
        </w:rPr>
        <w:t xml:space="preserve"> לעיל). </w:t>
      </w:r>
      <w:proofErr w:type="spellStart"/>
      <w:r>
        <w:rPr>
          <w:rtl/>
        </w:rPr>
        <w:t>האדר״ת</w:t>
      </w:r>
      <w:proofErr w:type="spellEnd"/>
      <w:r>
        <w:rPr>
          <w:rtl/>
        </w:rPr>
        <w:t xml:space="preserve"> מביע את סלידתו העמוקה מר׳ </w:t>
      </w:r>
      <w:proofErr w:type="spellStart"/>
      <w:r>
        <w:rPr>
          <w:rtl/>
        </w:rPr>
        <w:t>יצחק־אלחנן</w:t>
      </w:r>
      <w:proofErr w:type="spellEnd"/>
      <w:r>
        <w:rPr>
          <w:rtl/>
        </w:rPr>
        <w:t xml:space="preserve"> ביומנו, “סדר אליהו”</w:t>
      </w:r>
      <w:bookmarkStart w:id="2949" w:name="_fnr2074"/>
      <w:r>
        <w:rPr>
          <w:rStyle w:val="a5"/>
        </w:rPr>
        <w:footnoteReference w:id="2080" w:customMarkFollows="0"/>
      </w:r>
      <w:bookmarkEnd w:id="2949"/>
      <w:r>
        <w:rPr>
          <w:rtl/>
        </w:rPr>
        <w:t>. הוא מספר</w:t>
      </w:r>
      <w:bookmarkStart w:id="2950" w:name="_fnr2075"/>
      <w:r>
        <w:rPr>
          <w:rStyle w:val="a5"/>
        </w:rPr>
        <w:footnoteReference w:id="2081" w:customMarkFollows="0"/>
      </w:r>
      <w:bookmarkEnd w:id="2950"/>
      <w:r>
        <w:rPr>
          <w:rtl/>
        </w:rPr>
        <w:t xml:space="preserve">: “[בעברי בברסלאו בשנת </w:t>
      </w:r>
      <w:proofErr w:type="spellStart"/>
      <w:r>
        <w:rPr>
          <w:rtl/>
        </w:rPr>
        <w:t>תר״ן</w:t>
      </w:r>
      <w:proofErr w:type="spellEnd"/>
      <w:r>
        <w:rPr>
          <w:rtl/>
        </w:rPr>
        <w:t xml:space="preserve">] התוודעתי שם אל שמש בית הכנסת, שהתגורר שם כשלושים שנה, והוא גילה לי את כל אשר עם לבבו. בתוך השיחה שאל אותי על הגאון מקובנה ר׳ </w:t>
      </w:r>
      <w:proofErr w:type="spellStart"/>
      <w:r>
        <w:rPr>
          <w:rtl/>
        </w:rPr>
        <w:t>יצחק־אלחנן</w:t>
      </w:r>
      <w:proofErr w:type="spellEnd"/>
      <w:r>
        <w:rPr>
          <w:rtl/>
        </w:rPr>
        <w:t xml:space="preserve"> </w:t>
      </w:r>
      <w:proofErr w:type="spellStart"/>
      <w:r>
        <w:rPr>
          <w:rtl/>
        </w:rPr>
        <w:t>ספקטור</w:t>
      </w:r>
      <w:proofErr w:type="spellEnd"/>
      <w:r>
        <w:rPr>
          <w:rtl/>
        </w:rPr>
        <w:t xml:space="preserve">, משום שלדעתו נטה [ר׳ </w:t>
      </w:r>
      <w:proofErr w:type="spellStart"/>
      <w:r>
        <w:rPr>
          <w:rtl/>
        </w:rPr>
        <w:t>יצחק־אלחנן</w:t>
      </w:r>
      <w:proofErr w:type="spellEnd"/>
      <w:r>
        <w:rPr>
          <w:rtl/>
        </w:rPr>
        <w:t xml:space="preserve"> </w:t>
      </w:r>
      <w:proofErr w:type="spellStart"/>
      <w:r>
        <w:rPr>
          <w:rtl/>
        </w:rPr>
        <w:t>ספקטור</w:t>
      </w:r>
      <w:proofErr w:type="spellEnd"/>
      <w:r>
        <w:rPr>
          <w:rtl/>
        </w:rPr>
        <w:t xml:space="preserve">] אחרי הדור החדש [קרי: המשכילים], שהרי </w:t>
      </w:r>
      <w:proofErr w:type="spellStart"/>
      <w:r>
        <w:rPr>
          <w:rtl/>
        </w:rPr>
        <w:t>שלוחיו</w:t>
      </w:r>
      <w:proofErr w:type="spellEnd"/>
      <w:r>
        <w:rPr>
          <w:rtl/>
        </w:rPr>
        <w:t xml:space="preserve"> באו לברסלאו לאסוף תרומות וכו׳ </w:t>
      </w:r>
      <w:proofErr w:type="spellStart"/>
      <w:r>
        <w:rPr>
          <w:rtl/>
        </w:rPr>
        <w:t>וכו</w:t>
      </w:r>
      <w:proofErr w:type="spellEnd"/>
      <w:r>
        <w:rPr>
          <w:rtl/>
        </w:rPr>
        <w:t xml:space="preserve">׳, ותמהתי על כך מאוד.” פירושה המדויק של רשומה זו אינו ברור, אבל עצם הזכרתה ביומן מראה בבירור את סלידתו של בעל היומן מר׳ </w:t>
      </w:r>
      <w:proofErr w:type="spellStart"/>
      <w:r>
        <w:rPr>
          <w:rtl/>
        </w:rPr>
        <w:t>יצחק־אלחנן</w:t>
      </w:r>
      <w:proofErr w:type="spellEnd"/>
      <w:r>
        <w:rPr>
          <w:rtl/>
        </w:rPr>
        <w:t xml:space="preserve"> </w:t>
      </w:r>
      <w:proofErr w:type="spellStart"/>
      <w:r>
        <w:rPr>
          <w:rtl/>
        </w:rPr>
        <w:t>ספקטור</w:t>
      </w:r>
      <w:proofErr w:type="spellEnd"/>
      <w:r>
        <w:rPr>
          <w:rtl/>
        </w:rPr>
        <w:t>.</w:t>
      </w:r>
    </w:p>
    <w:p w14:paraId="75767B1E" w14:textId="77777777" w:rsidR="00AB3647" w:rsidRDefault="00000000" w:rsidP="007923E9">
      <w:pPr>
        <w:spacing w:after="120" w:line="276" w:lineRule="auto"/>
        <w:ind w:firstLine="283"/>
        <w:jc w:val="both"/>
      </w:pPr>
      <w:proofErr w:type="spellStart"/>
      <w:r>
        <w:rPr>
          <w:rtl/>
        </w:rPr>
        <w:t>האדר״ת</w:t>
      </w:r>
      <w:proofErr w:type="spellEnd"/>
      <w:r>
        <w:rPr>
          <w:rtl/>
        </w:rPr>
        <w:t xml:space="preserve"> נהג לבלות את חודשי הקיץ בריגה, והוא מספר</w:t>
      </w:r>
      <w:bookmarkStart w:id="2951" w:name="_fnr2076"/>
      <w:r>
        <w:rPr>
          <w:rStyle w:val="a5"/>
        </w:rPr>
        <w:footnoteReference w:id="2082" w:customMarkFollows="0"/>
      </w:r>
      <w:bookmarkEnd w:id="2951"/>
      <w:r>
        <w:rPr>
          <w:rtl/>
        </w:rPr>
        <w:t xml:space="preserve"> שבשנת תרמ״ג התמודד על משרת הרבנות של העיר. הוא קיווה שאם יקבל את המשרה, ייחלץ מן העוני הנורא שסבל ממנו </w:t>
      </w:r>
      <w:proofErr w:type="spellStart"/>
      <w:r>
        <w:rPr>
          <w:rtl/>
        </w:rPr>
        <w:t>בפוניבז</w:t>
      </w:r>
      <w:proofErr w:type="spellEnd"/>
      <w:r>
        <w:rPr>
          <w:rtl/>
        </w:rPr>
        <w:t>׳.</w:t>
      </w:r>
      <w:bookmarkStart w:id="2952" w:name="_fnr2077"/>
      <w:r>
        <w:rPr>
          <w:rStyle w:val="a5"/>
        </w:rPr>
        <w:footnoteReference w:id="2083" w:customMarkFollows="0"/>
      </w:r>
      <w:bookmarkEnd w:id="2952"/>
      <w:r>
        <w:rPr>
          <w:rtl/>
        </w:rPr>
        <w:t xml:space="preserve"> “איש אחד מבשר, אשר חשב כי בשורה טובה בפיו”, אמר לו שזקני העיר ישאלו את ר׳ </w:t>
      </w:r>
      <w:proofErr w:type="spellStart"/>
      <w:r>
        <w:rPr>
          <w:rtl/>
        </w:rPr>
        <w:t>יצחק־אלחנן</w:t>
      </w:r>
      <w:proofErr w:type="spellEnd"/>
      <w:r>
        <w:rPr>
          <w:rtl/>
        </w:rPr>
        <w:t xml:space="preserve"> במי לבחור. </w:t>
      </w:r>
      <w:proofErr w:type="spellStart"/>
      <w:r>
        <w:rPr>
          <w:rtl/>
        </w:rPr>
        <w:t>האדר״ת</w:t>
      </w:r>
      <w:proofErr w:type="spellEnd"/>
      <w:r>
        <w:rPr>
          <w:rtl/>
        </w:rPr>
        <w:t xml:space="preserve"> הפתיע את בן שיחו באומרו: “הרב מקובנה ישיב </w:t>
      </w:r>
      <w:r>
        <w:rPr>
          <w:b/>
          <w:bCs/>
          <w:rtl/>
        </w:rPr>
        <w:t>בוודאי</w:t>
      </w:r>
      <w:r>
        <w:rPr>
          <w:rtl/>
        </w:rPr>
        <w:t xml:space="preserve"> שלא לטובתי (ההדגשה שלי)”.</w:t>
      </w:r>
    </w:p>
    <w:p w14:paraId="5D5E1F90" w14:textId="77777777" w:rsidR="00AB3647" w:rsidRDefault="00000000" w:rsidP="007923E9">
      <w:pPr>
        <w:spacing w:after="120" w:line="276" w:lineRule="auto"/>
        <w:ind w:firstLine="283"/>
        <w:jc w:val="both"/>
      </w:pPr>
      <w:r>
        <w:rPr>
          <w:rtl/>
        </w:rPr>
        <w:t xml:space="preserve">ייתכן מאוד שוודאותו של </w:t>
      </w:r>
      <w:proofErr w:type="spellStart"/>
      <w:r>
        <w:rPr>
          <w:rtl/>
        </w:rPr>
        <w:t>האדר״ת</w:t>
      </w:r>
      <w:proofErr w:type="spellEnd"/>
      <w:r>
        <w:rPr>
          <w:rtl/>
        </w:rPr>
        <w:t xml:space="preserve"> בדבר הכרעתו של ר׳ </w:t>
      </w:r>
      <w:proofErr w:type="spellStart"/>
      <w:r>
        <w:rPr>
          <w:rtl/>
        </w:rPr>
        <w:t>יצחק־אלחנן</w:t>
      </w:r>
      <w:proofErr w:type="spellEnd"/>
      <w:r>
        <w:rPr>
          <w:rtl/>
        </w:rPr>
        <w:t xml:space="preserve"> </w:t>
      </w:r>
      <w:proofErr w:type="spellStart"/>
      <w:r>
        <w:rPr>
          <w:rtl/>
        </w:rPr>
        <w:t>ספקטור</w:t>
      </w:r>
      <w:proofErr w:type="spellEnd"/>
      <w:r>
        <w:rPr>
          <w:rtl/>
        </w:rPr>
        <w:t xml:space="preserve"> התבססה על כך שהמועמד המתחרה היה רבה של </w:t>
      </w:r>
      <w:proofErr w:type="spellStart"/>
      <w:r>
        <w:rPr>
          <w:rtl/>
        </w:rPr>
        <w:t>וילקומיר</w:t>
      </w:r>
      <w:proofErr w:type="spellEnd"/>
      <w:r>
        <w:rPr>
          <w:rtl/>
        </w:rPr>
        <w:t>, עיר הולדתו של ר׳ יעקב הלוי ליפשיץ, מזכירו של הרב מקובנה. רק שבע שנים קודם לכן פעל ר׳ יעקב הלוי ליפשיץ רבות לאיסוף כספים אחרי ששרפה פגעה בעיר ההיא.</w:t>
      </w:r>
      <w:bookmarkStart w:id="2953" w:name="_fnr2078"/>
      <w:r>
        <w:rPr>
          <w:rStyle w:val="a5"/>
        </w:rPr>
        <w:footnoteReference w:id="2084" w:customMarkFollows="0"/>
      </w:r>
      <w:bookmarkEnd w:id="2953"/>
      <w:r>
        <w:rPr>
          <w:rtl/>
        </w:rPr>
        <w:t xml:space="preserve"> מטבע הדברים היה מנסה לסייע לבני עירו להיפטר מרב שלא חפצו בו, כמסופר להלן, בכך שישכנע את ר׳ </w:t>
      </w:r>
      <w:proofErr w:type="spellStart"/>
      <w:r>
        <w:rPr>
          <w:rtl/>
        </w:rPr>
        <w:t>יצחק־אלחנן</w:t>
      </w:r>
      <w:proofErr w:type="spellEnd"/>
      <w:r>
        <w:rPr>
          <w:rtl/>
        </w:rPr>
        <w:t xml:space="preserve"> לסייע לרבם להשיג משרה אחרת. בדיוק כמו שחזה </w:t>
      </w:r>
      <w:proofErr w:type="spellStart"/>
      <w:r>
        <w:rPr>
          <w:rtl/>
        </w:rPr>
        <w:t>האדר״ת</w:t>
      </w:r>
      <w:proofErr w:type="spellEnd"/>
      <w:r>
        <w:rPr>
          <w:rtl/>
        </w:rPr>
        <w:t xml:space="preserve">, אמר ר׳ </w:t>
      </w:r>
      <w:proofErr w:type="spellStart"/>
      <w:r>
        <w:rPr>
          <w:rtl/>
        </w:rPr>
        <w:t>יצחק־אלחנן</w:t>
      </w:r>
      <w:proofErr w:type="spellEnd"/>
      <w:r>
        <w:rPr>
          <w:rtl/>
        </w:rPr>
        <w:t xml:space="preserve"> </w:t>
      </w:r>
      <w:proofErr w:type="spellStart"/>
      <w:r>
        <w:rPr>
          <w:rtl/>
        </w:rPr>
        <w:t>ספקטור</w:t>
      </w:r>
      <w:proofErr w:type="spellEnd"/>
      <w:r>
        <w:rPr>
          <w:rtl/>
        </w:rPr>
        <w:t xml:space="preserve"> למשלחת מריגה שעליה לבחור במתחרהו של </w:t>
      </w:r>
      <w:proofErr w:type="spellStart"/>
      <w:r>
        <w:rPr>
          <w:rtl/>
        </w:rPr>
        <w:t>האדר״ת</w:t>
      </w:r>
      <w:proofErr w:type="spellEnd"/>
      <w:r>
        <w:rPr>
          <w:rtl/>
        </w:rPr>
        <w:t xml:space="preserve">, רבה של </w:t>
      </w:r>
      <w:proofErr w:type="spellStart"/>
      <w:r>
        <w:rPr>
          <w:rtl/>
        </w:rPr>
        <w:t>וילקומיר</w:t>
      </w:r>
      <w:proofErr w:type="spellEnd"/>
      <w:r>
        <w:rPr>
          <w:rtl/>
        </w:rPr>
        <w:t xml:space="preserve">, מפני </w:t>
      </w:r>
      <w:proofErr w:type="spellStart"/>
      <w:r>
        <w:rPr>
          <w:rtl/>
        </w:rPr>
        <w:t>ש“הוא</w:t>
      </w:r>
      <w:proofErr w:type="spellEnd"/>
      <w:r>
        <w:rPr>
          <w:rtl/>
        </w:rPr>
        <w:t xml:space="preserve"> יושב על עקרבים בעירו, ובניו ובנותיו גדולים,</w:t>
      </w:r>
      <w:bookmarkStart w:id="2954" w:name="_fnr2079"/>
      <w:r>
        <w:rPr>
          <w:rStyle w:val="a5"/>
        </w:rPr>
        <w:footnoteReference w:id="2085" w:customMarkFollows="0"/>
      </w:r>
      <w:bookmarkEnd w:id="2954"/>
      <w:r>
        <w:rPr>
          <w:rtl/>
        </w:rPr>
        <w:t xml:space="preserve"> ורחמנות גדולה עליו”. כשטענו חברי המשלחת שבאו לשאול אותו לא על </w:t>
      </w:r>
      <w:r>
        <w:rPr>
          <w:rtl/>
        </w:rPr>
        <w:lastRenderedPageBreak/>
        <w:t>הרחמנות,</w:t>
      </w:r>
      <w:bookmarkStart w:id="2955" w:name="_fnr2080"/>
      <w:r>
        <w:rPr>
          <w:rStyle w:val="a5"/>
        </w:rPr>
        <w:footnoteReference w:id="2086" w:customMarkFollows="0"/>
      </w:r>
      <w:bookmarkEnd w:id="2955"/>
      <w:r>
        <w:rPr>
          <w:rtl/>
        </w:rPr>
        <w:t xml:space="preserve"> אלא מי גדול יותר בתורה ומי ראוי יותר להיות מנהיגם, השיב להם שהדין עצמו עולה בקנה אחד עם הרחמנות.</w:t>
      </w:r>
      <w:bookmarkStart w:id="2956" w:name="_fnr2081"/>
      <w:r>
        <w:rPr>
          <w:rStyle w:val="a5"/>
        </w:rPr>
        <w:footnoteReference w:id="2087" w:customMarkFollows="0"/>
      </w:r>
      <w:bookmarkEnd w:id="2956"/>
    </w:p>
    <w:p w14:paraId="7EEDC647" w14:textId="77777777" w:rsidR="00AB3647" w:rsidRDefault="00000000" w:rsidP="007923E9">
      <w:pPr>
        <w:spacing w:after="120" w:line="276" w:lineRule="auto"/>
        <w:ind w:firstLine="283"/>
        <w:jc w:val="both"/>
      </w:pPr>
      <w:r>
        <w:rPr>
          <w:rtl/>
        </w:rPr>
        <w:t>השווה גם “סדר אליהו”,</w:t>
      </w:r>
      <w:bookmarkStart w:id="2957" w:name="_fnr2082"/>
      <w:r>
        <w:rPr>
          <w:rStyle w:val="a5"/>
        </w:rPr>
        <w:footnoteReference w:id="2088" w:customMarkFollows="0"/>
      </w:r>
      <w:bookmarkEnd w:id="2957"/>
      <w:r>
        <w:rPr>
          <w:rtl/>
        </w:rPr>
        <w:t xml:space="preserve"> שבו מתאר בעל היומן מכתב נוקב ששיגר </w:t>
      </w:r>
      <w:proofErr w:type="spellStart"/>
      <w:r>
        <w:rPr>
          <w:rtl/>
        </w:rPr>
        <w:t>לר</w:t>
      </w:r>
      <w:proofErr w:type="spellEnd"/>
      <w:r>
        <w:rPr>
          <w:rtl/>
        </w:rPr>
        <w:t xml:space="preserve">׳ </w:t>
      </w:r>
      <w:proofErr w:type="spellStart"/>
      <w:r>
        <w:rPr>
          <w:rtl/>
        </w:rPr>
        <w:t>יצחק־אלחנן</w:t>
      </w:r>
      <w:proofErr w:type="spellEnd"/>
      <w:r>
        <w:rPr>
          <w:rtl/>
        </w:rPr>
        <w:t xml:space="preserve"> </w:t>
      </w:r>
      <w:proofErr w:type="spellStart"/>
      <w:r>
        <w:rPr>
          <w:rtl/>
        </w:rPr>
        <w:t>ספקטור</w:t>
      </w:r>
      <w:proofErr w:type="spellEnd"/>
      <w:r>
        <w:rPr>
          <w:rtl/>
        </w:rPr>
        <w:t xml:space="preserve"> בעקבות הכרעה זו. במכתב פירט את כל מה שעשה הרב מקובנה בניגוד להלכה, וכינה את המעשה “מעשה אשר לא ייעשה בלי רוע לב ואיזו נגיעה”.</w:t>
      </w:r>
      <w:bookmarkStart w:id="2958" w:name="_fnr2083"/>
      <w:r>
        <w:rPr>
          <w:rStyle w:val="a5"/>
        </w:rPr>
        <w:footnoteReference w:id="2089" w:customMarkFollows="0"/>
      </w:r>
      <w:bookmarkEnd w:id="2958"/>
      <w:r>
        <w:rPr>
          <w:rtl/>
        </w:rPr>
        <w:t xml:space="preserve"> כששהה בריגה בשנה שלאחר מכן, מסר לו ר׳ מרדכי </w:t>
      </w:r>
      <w:proofErr w:type="spellStart"/>
      <w:r>
        <w:rPr>
          <w:rtl/>
        </w:rPr>
        <w:t>אליאשברג</w:t>
      </w:r>
      <w:proofErr w:type="spellEnd"/>
      <w:r>
        <w:rPr>
          <w:rtl/>
        </w:rPr>
        <w:t xml:space="preserve"> </w:t>
      </w:r>
      <w:proofErr w:type="spellStart"/>
      <w:r>
        <w:rPr>
          <w:rtl/>
        </w:rPr>
        <w:t>מבויסק</w:t>
      </w:r>
      <w:bookmarkStart w:id="2959" w:name="_fnr2084"/>
      <w:proofErr w:type="spellEnd"/>
      <w:r>
        <w:rPr>
          <w:rStyle w:val="a5"/>
        </w:rPr>
        <w:footnoteReference w:id="2090" w:customMarkFollows="0"/>
      </w:r>
      <w:bookmarkEnd w:id="2959"/>
      <w:r>
        <w:rPr>
          <w:rtl/>
        </w:rPr>
        <w:t xml:space="preserve"> שר׳ יעקב הלוי ליפשיץ סיפר לו כי ר׳ </w:t>
      </w:r>
      <w:proofErr w:type="spellStart"/>
      <w:r>
        <w:rPr>
          <w:rtl/>
        </w:rPr>
        <w:t>יצחק־אלחנן</w:t>
      </w:r>
      <w:proofErr w:type="spellEnd"/>
      <w:r>
        <w:rPr>
          <w:rtl/>
        </w:rPr>
        <w:t xml:space="preserve"> אמר – ואין זה מפתיע – “אילו מישהו אחר [מלבד </w:t>
      </w:r>
      <w:proofErr w:type="spellStart"/>
      <w:r>
        <w:rPr>
          <w:rtl/>
        </w:rPr>
        <w:t>האדר״ת</w:t>
      </w:r>
      <w:proofErr w:type="spellEnd"/>
      <w:r>
        <w:rPr>
          <w:rtl/>
        </w:rPr>
        <w:t xml:space="preserve">] היה פוגע בר׳ </w:t>
      </w:r>
      <w:proofErr w:type="spellStart"/>
      <w:r>
        <w:rPr>
          <w:rtl/>
        </w:rPr>
        <w:t>יצחק־אלחנן</w:t>
      </w:r>
      <w:proofErr w:type="spellEnd"/>
      <w:r>
        <w:rPr>
          <w:rtl/>
        </w:rPr>
        <w:t xml:space="preserve"> </w:t>
      </w:r>
      <w:proofErr w:type="spellStart"/>
      <w:r>
        <w:rPr>
          <w:rtl/>
        </w:rPr>
        <w:t>ספקטור</w:t>
      </w:r>
      <w:proofErr w:type="spellEnd"/>
      <w:r>
        <w:rPr>
          <w:rtl/>
        </w:rPr>
        <w:t xml:space="preserve"> כפי שעשה במכתבו, היה ר׳ </w:t>
      </w:r>
      <w:proofErr w:type="spellStart"/>
      <w:r>
        <w:rPr>
          <w:rtl/>
        </w:rPr>
        <w:t>יצחק־אלחנן</w:t>
      </w:r>
      <w:proofErr w:type="spellEnd"/>
      <w:r>
        <w:rPr>
          <w:rtl/>
        </w:rPr>
        <w:t xml:space="preserve"> </w:t>
      </w:r>
      <w:proofErr w:type="spellStart"/>
      <w:r>
        <w:rPr>
          <w:rtl/>
        </w:rPr>
        <w:t>ספקטור</w:t>
      </w:r>
      <w:proofErr w:type="spellEnd"/>
      <w:r>
        <w:rPr>
          <w:rtl/>
        </w:rPr>
        <w:t xml:space="preserve"> רודף אותו עד שלא היה רשאי אפילו לשמש שמש בבית מדרש”. וגם גישה נקמנית זו של ר׳ </w:t>
      </w:r>
      <w:proofErr w:type="spellStart"/>
      <w:r>
        <w:rPr>
          <w:rtl/>
        </w:rPr>
        <w:t>יצחק־אלחנן</w:t>
      </w:r>
      <w:proofErr w:type="spellEnd"/>
      <w:r>
        <w:rPr>
          <w:rtl/>
        </w:rPr>
        <w:t xml:space="preserve"> </w:t>
      </w:r>
      <w:proofErr w:type="spellStart"/>
      <w:r>
        <w:rPr>
          <w:rtl/>
        </w:rPr>
        <w:t>ספקטור</w:t>
      </w:r>
      <w:proofErr w:type="spellEnd"/>
      <w:r>
        <w:rPr>
          <w:rtl/>
        </w:rPr>
        <w:t xml:space="preserve"> הייתה מתועבת בעיני </w:t>
      </w:r>
      <w:proofErr w:type="spellStart"/>
      <w:r>
        <w:rPr>
          <w:rtl/>
        </w:rPr>
        <w:t>האדר״ת</w:t>
      </w:r>
      <w:proofErr w:type="spellEnd"/>
      <w:r>
        <w:rPr>
          <w:rtl/>
        </w:rPr>
        <w:t xml:space="preserve">! אף החותם האחרון על “למען דעת”, ר׳ </w:t>
      </w:r>
      <w:proofErr w:type="spellStart"/>
      <w:r>
        <w:rPr>
          <w:rtl/>
        </w:rPr>
        <w:t>הירש־יעקב</w:t>
      </w:r>
      <w:proofErr w:type="spellEnd"/>
      <w:r>
        <w:rPr>
          <w:rtl/>
        </w:rPr>
        <w:t xml:space="preserve"> </w:t>
      </w:r>
      <w:proofErr w:type="spellStart"/>
      <w:r>
        <w:rPr>
          <w:rtl/>
        </w:rPr>
        <w:t>אופנהיים</w:t>
      </w:r>
      <w:proofErr w:type="spellEnd"/>
      <w:r>
        <w:rPr>
          <w:rtl/>
        </w:rPr>
        <w:t xml:space="preserve">, רבה של קלם, לא היה מן החביבים על </w:t>
      </w:r>
      <w:proofErr w:type="spellStart"/>
      <w:r>
        <w:rPr>
          <w:rtl/>
        </w:rPr>
        <w:t>האדר״ת</w:t>
      </w:r>
      <w:proofErr w:type="spellEnd"/>
      <w:r>
        <w:rPr>
          <w:rtl/>
        </w:rPr>
        <w:t>.</w:t>
      </w:r>
      <w:bookmarkStart w:id="2960" w:name="_fnr2085"/>
      <w:r>
        <w:rPr>
          <w:rStyle w:val="a5"/>
        </w:rPr>
        <w:footnoteReference w:id="2091" w:customMarkFollows="0"/>
      </w:r>
      <w:bookmarkEnd w:id="2960"/>
    </w:p>
    <w:p w14:paraId="02DC9260" w14:textId="77777777" w:rsidR="00AB3647" w:rsidRDefault="00000000" w:rsidP="007923E9">
      <w:pPr>
        <w:spacing w:after="120" w:line="276" w:lineRule="auto"/>
        <w:ind w:firstLine="283"/>
        <w:jc w:val="both"/>
      </w:pPr>
      <w:r>
        <w:rPr>
          <w:rtl/>
        </w:rPr>
        <w:t xml:space="preserve">מצאתי תמיכה בהשערתי בדבר יחסו של </w:t>
      </w:r>
      <w:proofErr w:type="spellStart"/>
      <w:r>
        <w:rPr>
          <w:rtl/>
        </w:rPr>
        <w:t>האדר״ת</w:t>
      </w:r>
      <w:proofErr w:type="spellEnd"/>
      <w:r>
        <w:rPr>
          <w:rtl/>
        </w:rPr>
        <w:t xml:space="preserve"> למוסר כשלעצמו, ובדבר מניע נסתר לחתימתו על הכרוז “למען האמת”, כששמעתי מפי ר׳ חיים שטיין שבחוגי הישיבות בליטא</w:t>
      </w:r>
      <w:bookmarkStart w:id="2961" w:name="_fnr2086"/>
      <w:r>
        <w:rPr>
          <w:rStyle w:val="a5"/>
        </w:rPr>
        <w:footnoteReference w:id="2092" w:customMarkFollows="0"/>
      </w:r>
      <w:bookmarkEnd w:id="2961"/>
      <w:r>
        <w:rPr>
          <w:rtl/>
        </w:rPr>
        <w:t xml:space="preserve"> היה מקובל לומר: “הסיבה </w:t>
      </w:r>
      <w:proofErr w:type="spellStart"/>
      <w:r>
        <w:rPr>
          <w:rtl/>
        </w:rPr>
        <w:t>שהאדר״ת</w:t>
      </w:r>
      <w:proofErr w:type="spellEnd"/>
      <w:r>
        <w:rPr>
          <w:rtl/>
        </w:rPr>
        <w:t xml:space="preserve"> חתם לטובת המוסר הייתה כדי להזים שמועה שהוא מתנגד לו”. במבט ראשון נראה שאמירה זו מייחסת </w:t>
      </w:r>
      <w:proofErr w:type="spellStart"/>
      <w:r>
        <w:rPr>
          <w:rtl/>
        </w:rPr>
        <w:t>לאדר״ת</w:t>
      </w:r>
      <w:proofErr w:type="spellEnd"/>
      <w:r>
        <w:rPr>
          <w:rtl/>
        </w:rPr>
        <w:t xml:space="preserve"> עמדה ניטרלית – לא בעד המוסר ולא נגדו. אבל כשמנתחים אותה לעומק, מתעוררות שתי קושיות: (1) מדוע נפוצה מלכתחילה שמועה שהוא מתנגד למוסר, אם היה למעשה ניטרלי כל כך עד שהיה מוכן לחתום על הכרוז התומך בו? (2) מדוע היה נוח לו יותר שאנשים יטעו לחשוב שהוא תומך במוסר בעקבות חתימתו על מכתב “למען האמת”, מאשר שיניחו בטעות, ובלי ראיות, שהוא מתנגד למוסר?</w:t>
      </w:r>
    </w:p>
    <w:p w14:paraId="62E814A9" w14:textId="77777777" w:rsidR="00AB3647" w:rsidRDefault="00000000" w:rsidP="007923E9">
      <w:pPr>
        <w:spacing w:after="120" w:line="276" w:lineRule="auto"/>
        <w:ind w:firstLine="283"/>
        <w:jc w:val="both"/>
      </w:pPr>
      <w:r>
        <w:rPr>
          <w:rtl/>
        </w:rPr>
        <w:t xml:space="preserve">נראה שסברו </w:t>
      </w:r>
      <w:proofErr w:type="spellStart"/>
      <w:r>
        <w:rPr>
          <w:rtl/>
        </w:rPr>
        <w:t>שהאדר״ת</w:t>
      </w:r>
      <w:proofErr w:type="spellEnd"/>
      <w:r>
        <w:rPr>
          <w:rtl/>
        </w:rPr>
        <w:t xml:space="preserve"> מתנגד למוסר מפני שכדברי אבי, “כל גדולי הרבנים”, למעט כמה יוצאים מן הכלל, התנגדו למוסר, והיה צורך למצוא הסבר לחתימתו על “למען האמת”. יתר על כן, ייתכן שהיה </w:t>
      </w:r>
      <w:r>
        <w:rPr>
          <w:b/>
          <w:bCs/>
          <w:rtl/>
        </w:rPr>
        <w:t>ידוע</w:t>
      </w:r>
      <w:r>
        <w:rPr>
          <w:rtl/>
        </w:rPr>
        <w:t xml:space="preserve"> </w:t>
      </w:r>
      <w:proofErr w:type="spellStart"/>
      <w:r>
        <w:rPr>
          <w:rtl/>
        </w:rPr>
        <w:t>שהאדר״ת</w:t>
      </w:r>
      <w:proofErr w:type="spellEnd"/>
      <w:r>
        <w:rPr>
          <w:rtl/>
        </w:rPr>
        <w:t xml:space="preserve"> אינו מן היוצאים מן הכלל. הוא חתם בניגוד לעמדתו רק כדי להפגין התנגדות לאנשי המחנה המתנגד למוסר, ממניעים אחרים – עמדה פוליטית שכונתה בלשון נקייה “הזמת שמועה (על עצמו)”.</w:t>
      </w:r>
    </w:p>
    <w:p w14:paraId="7C6D828A" w14:textId="77777777" w:rsidR="00AB3647" w:rsidRDefault="00000000" w:rsidP="007923E9">
      <w:pPr>
        <w:spacing w:after="120" w:line="276" w:lineRule="auto"/>
        <w:ind w:firstLine="283"/>
        <w:jc w:val="both"/>
      </w:pPr>
      <w:r>
        <w:rPr>
          <w:rtl/>
        </w:rPr>
        <w:t xml:space="preserve">קטע מן “המליץ” סותר לכאורה הן את השערתי הן את המסורת שמסר ר׳ חיים שטיין, ומצביע על כך </w:t>
      </w:r>
      <w:proofErr w:type="spellStart"/>
      <w:r>
        <w:rPr>
          <w:rtl/>
        </w:rPr>
        <w:t>שהאדר״ת</w:t>
      </w:r>
      <w:proofErr w:type="spellEnd"/>
      <w:r>
        <w:rPr>
          <w:rtl/>
        </w:rPr>
        <w:t xml:space="preserve"> נחשב </w:t>
      </w:r>
      <w:r>
        <w:rPr>
          <w:b/>
          <w:bCs/>
          <w:rtl/>
        </w:rPr>
        <w:t>תומך פעיל</w:t>
      </w:r>
      <w:r>
        <w:rPr>
          <w:rtl/>
        </w:rPr>
        <w:t xml:space="preserve"> במוסר. “המליץ” מא׳ בכסלו תרנ״ח</w:t>
      </w:r>
      <w:bookmarkStart w:id="2962" w:name="_fnr2087"/>
      <w:r>
        <w:rPr>
          <w:rStyle w:val="a5"/>
        </w:rPr>
        <w:footnoteReference w:id="2093" w:customMarkFollows="0"/>
      </w:r>
      <w:bookmarkEnd w:id="2962"/>
      <w:r>
        <w:rPr>
          <w:rtl/>
        </w:rPr>
        <w:t xml:space="preserve"> מדווח על אספה שנערכה שבוע קודם לכן במינסק, בעת ביקורו בעיר של “האורח הנעלה והנכבד </w:t>
      </w:r>
      <w:r>
        <w:rPr>
          <w:rtl/>
        </w:rPr>
        <w:lastRenderedPageBreak/>
        <w:t xml:space="preserve">מאוד, הגאון ר׳ מאיר </w:t>
      </w:r>
      <w:proofErr w:type="spellStart"/>
      <w:r>
        <w:rPr>
          <w:rtl/>
        </w:rPr>
        <w:t>פיימר</w:t>
      </w:r>
      <w:proofErr w:type="spellEnd"/>
      <w:r>
        <w:rPr>
          <w:rtl/>
        </w:rPr>
        <w:t xml:space="preserve"> </w:t>
      </w:r>
      <w:proofErr w:type="spellStart"/>
      <w:r>
        <w:rPr>
          <w:rtl/>
        </w:rPr>
        <w:t>מסלוצק</w:t>
      </w:r>
      <w:proofErr w:type="spellEnd"/>
      <w:r>
        <w:rPr>
          <w:rtl/>
        </w:rPr>
        <w:t>”.</w:t>
      </w:r>
      <w:bookmarkStart w:id="2963" w:name="_fnr2088"/>
      <w:r>
        <w:rPr>
          <w:rStyle w:val="a5"/>
        </w:rPr>
        <w:footnoteReference w:id="2094" w:customMarkFollows="0"/>
      </w:r>
      <w:bookmarkEnd w:id="2963"/>
      <w:r>
        <w:rPr>
          <w:rtl/>
        </w:rPr>
        <w:t xml:space="preserve"> נאמר שם: “הרב </w:t>
      </w:r>
      <w:proofErr w:type="spellStart"/>
      <w:r>
        <w:rPr>
          <w:rtl/>
        </w:rPr>
        <w:t>פיימר</w:t>
      </w:r>
      <w:proofErr w:type="spellEnd"/>
      <w:r>
        <w:rPr>
          <w:rtl/>
        </w:rPr>
        <w:t xml:space="preserve"> התייעץ עם גדולי מינסק, עשיריה ולומדיה” – והכתבה מונה שמות – “על עניין בעלי המוסר, והגאון הביא לפניהם את דעתו שהייתה ידועה להם [שהוא נגד המוסר].</w:t>
      </w:r>
      <w:bookmarkStart w:id="2964" w:name="_fnr2089"/>
      <w:r>
        <w:rPr>
          <w:rStyle w:val="a5"/>
        </w:rPr>
        <w:footnoteReference w:id="2095" w:customMarkFollows="0"/>
      </w:r>
      <w:bookmarkEnd w:id="2964"/>
      <w:r>
        <w:rPr>
          <w:rtl/>
        </w:rPr>
        <w:t xml:space="preserve"> לאחר שהסכימו כולם לדעת הגאון, החליטו לשאול את </w:t>
      </w:r>
      <w:proofErr w:type="spellStart"/>
      <w:r>
        <w:rPr>
          <w:rtl/>
        </w:rPr>
        <w:t>האדר״ת</w:t>
      </w:r>
      <w:proofErr w:type="spellEnd"/>
      <w:r>
        <w:rPr>
          <w:rtl/>
        </w:rPr>
        <w:t>, שהוא ממייסדי אגודות ‘בעלי מוסר’ [?], לשמוע מה בפיו, כדי שיוכלו לשאת ולתת ביניהם”.</w:t>
      </w:r>
    </w:p>
    <w:p w14:paraId="1035F59A" w14:textId="1EF80B12" w:rsidR="00AB3647" w:rsidRDefault="00000000" w:rsidP="007923E9">
      <w:pPr>
        <w:spacing w:after="120" w:line="276" w:lineRule="auto"/>
        <w:ind w:firstLine="283"/>
        <w:jc w:val="both"/>
      </w:pPr>
      <w:r>
        <w:rPr>
          <w:rtl/>
        </w:rPr>
        <w:t xml:space="preserve">אגב, ייתכן שהדיווח שהמשתתפים “הסכימו כולם” לדעתו של הרב </w:t>
      </w:r>
      <w:proofErr w:type="spellStart"/>
      <w:r>
        <w:rPr>
          <w:rtl/>
        </w:rPr>
        <w:t>פיימר</w:t>
      </w:r>
      <w:proofErr w:type="spellEnd"/>
      <w:r>
        <w:rPr>
          <w:rtl/>
        </w:rPr>
        <w:t xml:space="preserve"> נגד המוסר הושפע מעמדתו של “המליץ” עצמו. הרי בין המשתתפים נמנה ב[רוך] </w:t>
      </w:r>
      <w:proofErr w:type="spellStart"/>
      <w:r>
        <w:rPr>
          <w:rtl/>
        </w:rPr>
        <w:t>זלדוביץ</w:t>
      </w:r>
      <w:proofErr w:type="spellEnd"/>
      <w:r>
        <w:rPr>
          <w:rtl/>
        </w:rPr>
        <w:t>, שלדברי אבי – כמו שצוטט ב</w:t>
      </w:r>
      <w:r>
        <w:rPr>
          <w:rtl/>
        </w:rPr>
        <w:fldChar w:fldCharType="begin" w:dirty="true"/>
      </w:r>
      <w:r>
        <w:rPr>
          <w:rtl/>
        </w:rPr>
        <w:instrText xml:space="preserve"> REF b3_excQ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יז</w:t>
      </w:r>
      <w:proofErr w:type="spellEnd"/>
      <w:r>
        <w:rPr>
          <w:rtl/>
        </w:rPr>
        <w:fldChar w:fldCharType="end"/>
      </w:r>
      <w:r>
        <w:rPr>
          <w:rtl/>
        </w:rPr>
        <w:t xml:space="preserve"> להלן – “תמך ברעיונותיו של </w:t>
      </w:r>
      <w:proofErr w:type="spellStart"/>
      <w:r>
        <w:rPr>
          <w:rtl/>
        </w:rPr>
        <w:t>סלנטר</w:t>
      </w:r>
      <w:proofErr w:type="spellEnd"/>
      <w:r>
        <w:rPr>
          <w:rtl/>
        </w:rPr>
        <w:t xml:space="preserve">” </w:t>
      </w:r>
      <w:proofErr w:type="spellStart"/>
      <w:r>
        <w:rPr>
          <w:rtl/>
        </w:rPr>
        <w:t>שתים־עשרה</w:t>
      </w:r>
      <w:proofErr w:type="spellEnd"/>
      <w:r>
        <w:rPr>
          <w:rtl/>
        </w:rPr>
        <w:t xml:space="preserve"> עד </w:t>
      </w:r>
      <w:proofErr w:type="spellStart"/>
      <w:r>
        <w:rPr>
          <w:rtl/>
        </w:rPr>
        <w:t>שבע־עשרה</w:t>
      </w:r>
      <w:proofErr w:type="spellEnd"/>
      <w:r>
        <w:rPr>
          <w:rtl/>
        </w:rPr>
        <w:t xml:space="preserve"> שנים קודם לכן. אבל ייתכן ששינה את דעתו – השווה </w:t>
      </w:r>
      <w:r>
        <w:rPr>
          <w:rtl/>
        </w:rPr>
        <w:fldChar w:fldCharType="begin" w:dirty="true"/>
      </w:r>
      <w:r>
        <w:rPr>
          <w:rtl/>
        </w:rPr>
        <w:instrText xml:space="preserve"> REF b3_excQ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יז</w:t>
      </w:r>
      <w:proofErr w:type="spellEnd"/>
      <w:r>
        <w:rPr>
          <w:rtl/>
        </w:rPr>
        <w:fldChar w:fldCharType="end"/>
      </w:r>
      <w:r>
        <w:rPr>
          <w:rtl/>
        </w:rPr>
        <w:t xml:space="preserve"> להלן.</w:t>
      </w:r>
    </w:p>
    <w:p w14:paraId="011BC607" w14:textId="77777777" w:rsidR="00AB3647" w:rsidRDefault="00000000" w:rsidP="007923E9">
      <w:pPr>
        <w:spacing w:after="120" w:line="276" w:lineRule="auto"/>
        <w:ind w:firstLine="283"/>
        <w:jc w:val="both"/>
      </w:pPr>
      <w:r>
        <w:rPr>
          <w:rtl/>
        </w:rPr>
        <w:t xml:space="preserve">מכל מקום, ייתכן </w:t>
      </w:r>
      <w:proofErr w:type="spellStart"/>
      <w:r>
        <w:rPr>
          <w:rtl/>
        </w:rPr>
        <w:t>ש“המליץ</w:t>
      </w:r>
      <w:proofErr w:type="spellEnd"/>
      <w:r>
        <w:rPr>
          <w:rtl/>
        </w:rPr>
        <w:t xml:space="preserve">” ייחס </w:t>
      </w:r>
      <w:proofErr w:type="spellStart"/>
      <w:r>
        <w:rPr>
          <w:rtl/>
        </w:rPr>
        <w:t>לאדר״ת</w:t>
      </w:r>
      <w:proofErr w:type="spellEnd"/>
      <w:r>
        <w:rPr>
          <w:rtl/>
        </w:rPr>
        <w:t xml:space="preserve"> עמדה בעד המוסר רק מפני שכך החלו להניח בדרך כלל </w:t>
      </w:r>
      <w:r>
        <w:rPr>
          <w:b/>
          <w:bCs/>
          <w:rtl/>
        </w:rPr>
        <w:t>לאחר</w:t>
      </w:r>
      <w:r>
        <w:rPr>
          <w:rtl/>
        </w:rPr>
        <w:t xml:space="preserve"> שרבה של </w:t>
      </w:r>
      <w:proofErr w:type="spellStart"/>
      <w:r>
        <w:rPr>
          <w:rtl/>
        </w:rPr>
        <w:t>מיר</w:t>
      </w:r>
      <w:proofErr w:type="spellEnd"/>
      <w:r>
        <w:rPr>
          <w:rtl/>
        </w:rPr>
        <w:t xml:space="preserve"> צירף את חתימתו </w:t>
      </w:r>
      <w:proofErr w:type="spellStart"/>
      <w:r>
        <w:rPr>
          <w:rtl/>
        </w:rPr>
        <w:t>ל“למען</w:t>
      </w:r>
      <w:proofErr w:type="spellEnd"/>
      <w:r>
        <w:rPr>
          <w:rtl/>
        </w:rPr>
        <w:t xml:space="preserve"> האמת” כמה חודשים קודם לכן. אבל אזכורו בפרסום כמי שהוא “ממייסדי אגודות ‘בעלי מוסר’” תמוה. ביומנו, “סדר אליהו”, אין </w:t>
      </w:r>
      <w:proofErr w:type="spellStart"/>
      <w:r>
        <w:rPr>
          <w:rtl/>
        </w:rPr>
        <w:t>האדר״ת</w:t>
      </w:r>
      <w:proofErr w:type="spellEnd"/>
      <w:r>
        <w:rPr>
          <w:rtl/>
        </w:rPr>
        <w:t xml:space="preserve"> מזכיר שום פעילות להקמת אגודות שיש להן ולו קשר רחוק למוסר.</w:t>
      </w:r>
    </w:p>
    <w:p w14:paraId="2188AD0C" w14:textId="77777777" w:rsidR="00AB3647" w:rsidRDefault="00000000" w:rsidP="007923E9">
      <w:pPr>
        <w:spacing w:after="120" w:line="276" w:lineRule="auto"/>
        <w:ind w:firstLine="283"/>
        <w:jc w:val="both"/>
      </w:pPr>
      <w:r>
        <w:rPr>
          <w:rtl/>
        </w:rPr>
        <w:t xml:space="preserve">האגודה היחידה הנזכרת </w:t>
      </w:r>
      <w:proofErr w:type="spellStart"/>
      <w:r>
        <w:rPr>
          <w:rtl/>
        </w:rPr>
        <w:t>ב“סדר</w:t>
      </w:r>
      <w:proofErr w:type="spellEnd"/>
      <w:r>
        <w:rPr>
          <w:rtl/>
        </w:rPr>
        <w:t xml:space="preserve"> אליהו” היא זו </w:t>
      </w:r>
      <w:proofErr w:type="spellStart"/>
      <w:r>
        <w:rPr>
          <w:rtl/>
        </w:rPr>
        <w:t>שהאדר״ת</w:t>
      </w:r>
      <w:proofErr w:type="spellEnd"/>
      <w:r>
        <w:rPr>
          <w:rtl/>
        </w:rPr>
        <w:t xml:space="preserve"> התייחס אליה בנאום הפרידה שלו, כשעזב את </w:t>
      </w:r>
      <w:proofErr w:type="spellStart"/>
      <w:r>
        <w:rPr>
          <w:rtl/>
        </w:rPr>
        <w:t>פוניבז</w:t>
      </w:r>
      <w:proofErr w:type="spellEnd"/>
      <w:r>
        <w:rPr>
          <w:rtl/>
        </w:rPr>
        <w:t xml:space="preserve">׳ </w:t>
      </w:r>
      <w:proofErr w:type="spellStart"/>
      <w:r>
        <w:rPr>
          <w:rtl/>
        </w:rPr>
        <w:t>למיר</w:t>
      </w:r>
      <w:proofErr w:type="spellEnd"/>
      <w:r>
        <w:rPr>
          <w:rtl/>
        </w:rPr>
        <w:t xml:space="preserve"> בשנת תרנ״ד. הוא הזכיר לבני העיר</w:t>
      </w:r>
      <w:bookmarkStart w:id="2965" w:name="_fnr2090"/>
      <w:r>
        <w:rPr>
          <w:rStyle w:val="a5"/>
        </w:rPr>
        <w:footnoteReference w:id="2096" w:customMarkFollows="0"/>
      </w:r>
      <w:bookmarkEnd w:id="2965"/>
      <w:r>
        <w:rPr>
          <w:rtl/>
        </w:rPr>
        <w:t xml:space="preserve"> שלושה עניינים שבהם עליהם לטפל: מינוי משגיח מיוחד על בתי המטבחיים; טיפול נאות </w:t>
      </w:r>
      <w:proofErr w:type="spellStart"/>
      <w:r>
        <w:rPr>
          <w:rtl/>
        </w:rPr>
        <w:t>ב“קעסל</w:t>
      </w:r>
      <w:proofErr w:type="spellEnd"/>
      <w:r>
        <w:rPr>
          <w:rtl/>
        </w:rPr>
        <w:t xml:space="preserve"> הכשר” לחיילים היהודים;</w:t>
      </w:r>
      <w:bookmarkStart w:id="2966" w:name="_fnr2091"/>
      <w:r>
        <w:rPr>
          <w:rStyle w:val="a5"/>
        </w:rPr>
        <w:footnoteReference w:id="2097" w:customMarkFollows="0"/>
      </w:r>
      <w:bookmarkEnd w:id="2966"/>
      <w:r>
        <w:rPr>
          <w:rtl/>
        </w:rPr>
        <w:t xml:space="preserve"> והקמת אגודת “סומך נופלים” בעיר. אף שתפקידה אינו מתואר, שמה של האגודה המוצעת מלמד שמטרתה הייתה לסייע לאנשים לעבור תקופות של מצוקה או עוני – ולא לעסוק בחיזוק הדתיות, כמו שמצופה </w:t>
      </w:r>
      <w:proofErr w:type="spellStart"/>
      <w:r>
        <w:rPr>
          <w:rtl/>
        </w:rPr>
        <w:t>מ“אגודת</w:t>
      </w:r>
      <w:proofErr w:type="spellEnd"/>
      <w:r>
        <w:rPr>
          <w:rtl/>
        </w:rPr>
        <w:t xml:space="preserve"> ‘בעלי מוסר’”. הרישום היחיד ביומן לשנת פולמוס המוסר, תרנ״ז, הוא סירובו של </w:t>
      </w:r>
      <w:proofErr w:type="spellStart"/>
      <w:r>
        <w:rPr>
          <w:rtl/>
        </w:rPr>
        <w:t>האדר״ת</w:t>
      </w:r>
      <w:proofErr w:type="spellEnd"/>
      <w:r>
        <w:rPr>
          <w:rtl/>
        </w:rPr>
        <w:t xml:space="preserve"> להצעה להיות רבה של פטרבורג, בשל הקושי לחנך שם את ילדיו.</w:t>
      </w:r>
    </w:p>
    <w:bookmarkStart w:id="2967" w:name="b3_excO"/>
    <w:p w14:paraId="1363692C" w14:textId="77777777" w:rsidR="00AB3647" w:rsidRDefault="00000000" w:rsidP="007923E9">
      <w:pPr>
        <w:pStyle w:val="3"/>
        <w:spacing w:line="276" w:lineRule="auto"/>
      </w:pPr>
      <w:r>
        <w:lastRenderedPageBreak/>
        <w:fldChar w:fldCharType="begin" w:dirty="true"/>
      </w:r>
      <w:r>
        <w:rPr>
          <w:rtl w:val="0"/>
        </w:rPr>
        <w:instrText>HYPERLINK \l "b3_note41</w:instrText>
      </w:r>
      <w:r>
        <w:instrText>"</w:instrText>
      </w:r>
      <w:r>
        <w:fldChar w:fldCharType="separate"/>
      </w:r>
      <w:r>
        <w:t>נספח טו</w:t>
      </w:r>
      <w:r>
        <w:fldChar w:fldCharType="end"/>
      </w:r>
      <w:bookmarkEnd w:id="2967"/>
    </w:p>
    <w:p w14:paraId="67C68AB8" w14:textId="77777777" w:rsidR="00AB3647" w:rsidRDefault="00000000" w:rsidP="007923E9">
      <w:pPr>
        <w:pStyle w:val="af"/>
        <w:spacing w:line="276" w:lineRule="auto"/>
      </w:pPr>
      <w:r>
        <w:t xml:space="preserve">על הרקע להקמת ישיבת </w:t>
      </w:r>
      <w:proofErr w:type="spellStart"/>
      <w:r>
        <w:t>סלוצק</w:t>
      </w:r>
      <w:proofErr w:type="spellEnd"/>
      <w:r>
        <w:t xml:space="preserve"> בידי ר׳ </w:t>
      </w:r>
      <w:proofErr w:type="spellStart"/>
      <w:r>
        <w:t>איסר־זלמן</w:t>
      </w:r>
      <w:proofErr w:type="spellEnd"/>
      <w:r>
        <w:t xml:space="preserve"> מלצר</w:t>
      </w:r>
    </w:p>
    <w:p w14:paraId="46C4B336" w14:textId="77777777" w:rsidR="00AB3647" w:rsidRDefault="00000000" w:rsidP="007923E9">
      <w:pPr>
        <w:pStyle w:val="4"/>
        <w:spacing w:line="276" w:lineRule="auto"/>
      </w:pPr>
      <w:r>
        <w:t>· הפסקה הראשונה ·</w:t>
      </w:r>
    </w:p>
    <w:p w14:paraId="031BF23E" w14:textId="77777777" w:rsidR="00AB3647" w:rsidRDefault="00000000" w:rsidP="007923E9">
      <w:pPr>
        <w:pStyle w:val="5"/>
        <w:spacing w:line="276" w:lineRule="auto"/>
      </w:pPr>
      <w:r>
        <w:t xml:space="preserve">נדודיו של ר׳ מאיר </w:t>
      </w:r>
      <w:proofErr w:type="spellStart"/>
      <w:r>
        <w:t>פיימר</w:t>
      </w:r>
      <w:proofErr w:type="spellEnd"/>
      <w:r>
        <w:t xml:space="preserve"> בין משרות רבניות – הוא מתנגד לשלוחה של ישיבת </w:t>
      </w:r>
      <w:proofErr w:type="spellStart"/>
      <w:r>
        <w:t>סלבודקה</w:t>
      </w:r>
      <w:proofErr w:type="spellEnd"/>
      <w:r>
        <w:t xml:space="preserve"> שנפתחת </w:t>
      </w:r>
      <w:proofErr w:type="spellStart"/>
      <w:r>
        <w:t>בסלוצק</w:t>
      </w:r>
      <w:proofErr w:type="spellEnd"/>
      <w:r>
        <w:t xml:space="preserve"> – ישיבה מתחרה נכשלת</w:t>
      </w:r>
    </w:p>
    <w:p w14:paraId="6228DCE8" w14:textId="77777777" w:rsidR="00AB3647" w:rsidRDefault="00000000" w:rsidP="007923E9">
      <w:pPr>
        <w:spacing w:after="120" w:line="276" w:lineRule="auto"/>
        <w:ind w:firstLine="283"/>
        <w:jc w:val="both"/>
      </w:pPr>
      <w:r>
        <w:rPr>
          <w:rtl/>
        </w:rPr>
        <w:t xml:space="preserve">בפקודת הסבא יצא ר׳ </w:t>
      </w:r>
      <w:proofErr w:type="spellStart"/>
      <w:r>
        <w:rPr>
          <w:rtl/>
        </w:rPr>
        <w:t>איסר־זלמן</w:t>
      </w:r>
      <w:proofErr w:type="spellEnd"/>
      <w:r>
        <w:rPr>
          <w:rtl/>
        </w:rPr>
        <w:t xml:space="preserve"> עם </w:t>
      </w:r>
      <w:proofErr w:type="spellStart"/>
      <w:r>
        <w:rPr>
          <w:rtl/>
        </w:rPr>
        <w:t>ארבעה־עשר</w:t>
      </w:r>
      <w:proofErr w:type="spellEnd"/>
      <w:r>
        <w:rPr>
          <w:rtl/>
        </w:rPr>
        <w:t xml:space="preserve"> מן התלמידים המובחרים להקים ישיבה </w:t>
      </w:r>
      <w:proofErr w:type="spellStart"/>
      <w:r>
        <w:rPr>
          <w:rtl/>
        </w:rPr>
        <w:t>בסלוצק</w:t>
      </w:r>
      <w:proofErr w:type="spellEnd"/>
      <w:r>
        <w:rPr>
          <w:rtl/>
        </w:rPr>
        <w:t xml:space="preserve"> </w:t>
      </w:r>
      <w:r>
        <w:rPr>
          <w:b/>
          <w:bCs/>
          <w:rtl/>
        </w:rPr>
        <w:t>בתחילת</w:t>
      </w:r>
      <w:r>
        <w:rPr>
          <w:rtl/>
        </w:rPr>
        <w:t xml:space="preserve"> תרנ״ז, ומעשה זה היה אחד הגורמים להתלקחות פולמוס המוסר. רבה של </w:t>
      </w:r>
      <w:proofErr w:type="spellStart"/>
      <w:r>
        <w:rPr>
          <w:rtl/>
        </w:rPr>
        <w:t>סלוצק</w:t>
      </w:r>
      <w:proofErr w:type="spellEnd"/>
      <w:r>
        <w:rPr>
          <w:rtl/>
        </w:rPr>
        <w:t xml:space="preserve">, ר׳ </w:t>
      </w:r>
      <w:proofErr w:type="spellStart"/>
      <w:r>
        <w:rPr>
          <w:rtl/>
        </w:rPr>
        <w:t>יענקל־דוד</w:t>
      </w:r>
      <w:proofErr w:type="spellEnd"/>
      <w:r>
        <w:rPr>
          <w:rtl/>
        </w:rPr>
        <w:t xml:space="preserve"> </w:t>
      </w:r>
      <w:proofErr w:type="spellStart"/>
      <w:r>
        <w:rPr>
          <w:rtl/>
        </w:rPr>
        <w:t>ווילובסקי</w:t>
      </w:r>
      <w:proofErr w:type="spellEnd"/>
      <w:r>
        <w:rPr>
          <w:rtl/>
        </w:rPr>
        <w:t xml:space="preserve">, המכונה בדרך כלל </w:t>
      </w:r>
      <w:proofErr w:type="spellStart"/>
      <w:r>
        <w:rPr>
          <w:rtl/>
        </w:rPr>
        <w:t>הרידב״ז</w:t>
      </w:r>
      <w:proofErr w:type="spellEnd"/>
      <w:r>
        <w:rPr>
          <w:rtl/>
        </w:rPr>
        <w:t xml:space="preserve">, שביקש מן הסבא לשלוח לשם קבוצת תלמידים, נאלץ להתמודד עם יריב בתוך עירו – ר׳ מאיר </w:t>
      </w:r>
      <w:proofErr w:type="spellStart"/>
      <w:r>
        <w:rPr>
          <w:rtl/>
        </w:rPr>
        <w:t>פיימר</w:t>
      </w:r>
      <w:proofErr w:type="spellEnd"/>
      <w:r>
        <w:rPr>
          <w:rtl/>
        </w:rPr>
        <w:t xml:space="preserve">, בנו של הצדיק והלמדן המופלג ר׳ </w:t>
      </w:r>
      <w:proofErr w:type="spellStart"/>
      <w:r>
        <w:rPr>
          <w:rtl/>
        </w:rPr>
        <w:t>יוסל׳ה</w:t>
      </w:r>
      <w:proofErr w:type="spellEnd"/>
      <w:r>
        <w:rPr>
          <w:rtl/>
        </w:rPr>
        <w:t xml:space="preserve"> (תקנ״ז–תרכ״ד).</w:t>
      </w:r>
    </w:p>
    <w:p w14:paraId="54AFACD0" w14:textId="77777777" w:rsidR="00AB3647" w:rsidRDefault="00000000" w:rsidP="007923E9">
      <w:pPr>
        <w:spacing w:after="120" w:line="276" w:lineRule="auto"/>
        <w:ind w:firstLine="283"/>
        <w:jc w:val="both"/>
      </w:pPr>
      <w:r>
        <w:rPr>
          <w:rtl/>
        </w:rPr>
        <w:t xml:space="preserve">ר׳ </w:t>
      </w:r>
      <w:proofErr w:type="spellStart"/>
      <w:r>
        <w:rPr>
          <w:rtl/>
        </w:rPr>
        <w:t>יוסל׳ה</w:t>
      </w:r>
      <w:proofErr w:type="spellEnd"/>
      <w:r>
        <w:rPr>
          <w:rtl/>
        </w:rPr>
        <w:t xml:space="preserve">, מתלמידיו הגדולים של ר׳ חיים </w:t>
      </w:r>
      <w:proofErr w:type="spellStart"/>
      <w:r>
        <w:rPr>
          <w:rtl/>
        </w:rPr>
        <w:t>מוולוז׳ין</w:t>
      </w:r>
      <w:proofErr w:type="spellEnd"/>
      <w:r>
        <w:rPr>
          <w:rtl/>
        </w:rPr>
        <w:t xml:space="preserve">, התקבל לרבה של </w:t>
      </w:r>
      <w:proofErr w:type="spellStart"/>
      <w:r>
        <w:rPr>
          <w:rtl/>
        </w:rPr>
        <w:t>סלוצק</w:t>
      </w:r>
      <w:proofErr w:type="spellEnd"/>
      <w:r>
        <w:rPr>
          <w:rtl/>
        </w:rPr>
        <w:t xml:space="preserve"> וכיהן בה שלושים וחמש שנה. באביב תרכ״ד ירש אותו ר׳ יוסף־דב </w:t>
      </w:r>
      <w:proofErr w:type="spellStart"/>
      <w:r>
        <w:rPr>
          <w:rtl/>
        </w:rPr>
        <w:t>סולובייצ׳יק</w:t>
      </w:r>
      <w:proofErr w:type="spellEnd"/>
      <w:r>
        <w:rPr>
          <w:rtl/>
        </w:rPr>
        <w:t xml:space="preserve">. ראה “הראשון לשושלת </w:t>
      </w:r>
      <w:proofErr w:type="spellStart"/>
      <w:r>
        <w:rPr>
          <w:rtl/>
        </w:rPr>
        <w:t>בריסק</w:t>
      </w:r>
      <w:proofErr w:type="spellEnd"/>
      <w:r>
        <w:rPr>
          <w:rtl/>
        </w:rPr>
        <w:t>”,</w:t>
      </w:r>
      <w:bookmarkStart w:id="2968" w:name="_fnr2092"/>
      <w:r>
        <w:rPr>
          <w:rStyle w:val="a5"/>
        </w:rPr>
        <w:footnoteReference w:id="2098" w:customMarkFollows="0"/>
      </w:r>
      <w:bookmarkEnd w:id="2968"/>
      <w:r>
        <w:rPr>
          <w:rtl/>
        </w:rPr>
        <w:t xml:space="preserve"> שלפיו סירב הבית הלוי לקבל את המשרה עד שהובטח לו שר׳ מאיר דחה את כל משרות הרבנות. כשעזב ר׳ יוסף־דב את העיר כעבור </w:t>
      </w:r>
      <w:proofErr w:type="spellStart"/>
      <w:r>
        <w:rPr>
          <w:rtl/>
        </w:rPr>
        <w:t>אחת־עשרה</w:t>
      </w:r>
      <w:proofErr w:type="spellEnd"/>
      <w:r>
        <w:rPr>
          <w:rtl/>
        </w:rPr>
        <w:t xml:space="preserve"> שנה, עמד על כך שר׳ מאיר יובא </w:t>
      </w:r>
      <w:proofErr w:type="spellStart"/>
      <w:r>
        <w:rPr>
          <w:rtl/>
        </w:rPr>
        <w:t>מברזין</w:t>
      </w:r>
      <w:proofErr w:type="spellEnd"/>
      <w:r>
        <w:rPr>
          <w:rtl/>
        </w:rPr>
        <w:t xml:space="preserve"> ויתמנה לרבה של </w:t>
      </w:r>
      <w:proofErr w:type="spellStart"/>
      <w:r>
        <w:rPr>
          <w:rtl/>
        </w:rPr>
        <w:t>סלוצק</w:t>
      </w:r>
      <w:proofErr w:type="spellEnd"/>
      <w:r>
        <w:rPr>
          <w:rtl/>
        </w:rPr>
        <w:t xml:space="preserve">. ר׳ מאיר קיבל את רבנות </w:t>
      </w:r>
      <w:proofErr w:type="spellStart"/>
      <w:r>
        <w:rPr>
          <w:rtl/>
        </w:rPr>
        <w:t>ברזין</w:t>
      </w:r>
      <w:proofErr w:type="spellEnd"/>
      <w:r>
        <w:rPr>
          <w:rtl/>
        </w:rPr>
        <w:t xml:space="preserve"> ארבע שנים אחרי שהבית הלוי החל לכהן במקום אביו של ר׳ מאיר.</w:t>
      </w:r>
      <w:bookmarkStart w:id="2969" w:name="_fnr2093"/>
      <w:r>
        <w:rPr>
          <w:rStyle w:val="a5"/>
        </w:rPr>
        <w:footnoteReference w:id="2099" w:customMarkFollows="0"/>
      </w:r>
      <w:bookmarkEnd w:id="2969"/>
    </w:p>
    <w:p w14:paraId="7285940E" w14:textId="77777777" w:rsidR="00AB3647" w:rsidRDefault="00000000" w:rsidP="007923E9">
      <w:pPr>
        <w:spacing w:after="120" w:line="276" w:lineRule="auto"/>
        <w:ind w:firstLine="283"/>
        <w:jc w:val="both"/>
      </w:pPr>
      <w:r>
        <w:rPr>
          <w:rtl/>
        </w:rPr>
        <w:t xml:space="preserve">אחרי </w:t>
      </w:r>
      <w:proofErr w:type="spellStart"/>
      <w:r>
        <w:rPr>
          <w:rtl/>
        </w:rPr>
        <w:t>שלוש־עשרה</w:t>
      </w:r>
      <w:proofErr w:type="spellEnd"/>
      <w:r>
        <w:rPr>
          <w:rtl/>
        </w:rPr>
        <w:t xml:space="preserve"> שנים </w:t>
      </w:r>
      <w:proofErr w:type="spellStart"/>
      <w:r>
        <w:rPr>
          <w:rtl/>
        </w:rPr>
        <w:t>בסלוצק</w:t>
      </w:r>
      <w:proofErr w:type="spellEnd"/>
      <w:r>
        <w:rPr>
          <w:rtl/>
        </w:rPr>
        <w:t xml:space="preserve"> התפטר ר׳ מאיר מסיבות שאינן ברורות, ועבר למינסק כאדם פרטי. “עלי </w:t>
      </w:r>
      <w:proofErr w:type="spellStart"/>
      <w:r>
        <w:rPr>
          <w:rtl/>
        </w:rPr>
        <w:t>חלדי</w:t>
      </w:r>
      <w:proofErr w:type="spellEnd"/>
      <w:r>
        <w:rPr>
          <w:rtl/>
        </w:rPr>
        <w:t xml:space="preserve">”, מאת הרב יצחק </w:t>
      </w:r>
      <w:proofErr w:type="spellStart"/>
      <w:r>
        <w:rPr>
          <w:rtl/>
        </w:rPr>
        <w:t>ניסנבוים</w:t>
      </w:r>
      <w:proofErr w:type="spellEnd"/>
      <w:r>
        <w:rPr>
          <w:rtl/>
        </w:rPr>
        <w:t>,</w:t>
      </w:r>
      <w:bookmarkStart w:id="2970" w:name="_fnr2094"/>
      <w:r>
        <w:rPr>
          <w:rStyle w:val="a5"/>
        </w:rPr>
        <w:footnoteReference w:id="2100" w:customMarkFollows="0"/>
      </w:r>
      <w:bookmarkEnd w:id="2970"/>
      <w:r>
        <w:rPr>
          <w:rtl/>
        </w:rPr>
        <w:t xml:space="preserve"> מביא שתי סיבות להתפטרותו שנפוצו כשמועות, והן מעידות על רמתו המוסרית הגבוהה של הרב </w:t>
      </w:r>
      <w:proofErr w:type="spellStart"/>
      <w:r>
        <w:rPr>
          <w:rtl/>
        </w:rPr>
        <w:t>פיימר</w:t>
      </w:r>
      <w:proofErr w:type="spellEnd"/>
      <w:r>
        <w:rPr>
          <w:rtl/>
        </w:rPr>
        <w:t xml:space="preserve">: בתו חדלה לשמור מצוות, והוא חש שעליו לגרשה מביתו או להתפטר ממשרתו; והוא ראה שמנהיגי העיר עשו “מעשים מגונים [לשון נקייה לנטילת כספים שנאספו לכיסם]” בעת שסייעו לנזקקים אחרי שרפה גדולה בעיר. אחרי שנתיים במינסק חזר ר׳ מאיר לרבנות – </w:t>
      </w:r>
      <w:proofErr w:type="spellStart"/>
      <w:r>
        <w:rPr>
          <w:rtl/>
        </w:rPr>
        <w:t>בקורליץ</w:t>
      </w:r>
      <w:proofErr w:type="spellEnd"/>
      <w:r>
        <w:rPr>
          <w:rtl/>
        </w:rPr>
        <w:t xml:space="preserve"> </w:t>
      </w:r>
      <w:proofErr w:type="spellStart"/>
      <w:r>
        <w:rPr>
          <w:rtl/>
        </w:rPr>
        <w:t>ובלכוביץ</w:t>
      </w:r>
      <w:proofErr w:type="spellEnd"/>
      <w:r>
        <w:rPr>
          <w:rtl/>
        </w:rPr>
        <w:t xml:space="preserve">׳ – ואחר כך חזר </w:t>
      </w:r>
      <w:proofErr w:type="spellStart"/>
      <w:r>
        <w:rPr>
          <w:rtl/>
        </w:rPr>
        <w:t>לסלוצק</w:t>
      </w:r>
      <w:proofErr w:type="spellEnd"/>
      <w:r>
        <w:rPr>
          <w:rtl/>
        </w:rPr>
        <w:t xml:space="preserve">, שוב כאדם פרטי, בשנת תרנ״ה. היה זה חמש שנים </w:t>
      </w:r>
      <w:r>
        <w:rPr>
          <w:b/>
          <w:bCs/>
          <w:rtl/>
        </w:rPr>
        <w:t>לאחר</w:t>
      </w:r>
      <w:r>
        <w:rPr>
          <w:rtl/>
        </w:rPr>
        <w:t xml:space="preserve"> </w:t>
      </w:r>
      <w:proofErr w:type="spellStart"/>
      <w:r>
        <w:rPr>
          <w:rtl/>
        </w:rPr>
        <w:t>שהרידב״ז</w:t>
      </w:r>
      <w:proofErr w:type="spellEnd"/>
      <w:r>
        <w:rPr>
          <w:rtl/>
        </w:rPr>
        <w:t xml:space="preserve"> כבר התמנה לרבה של </w:t>
      </w:r>
      <w:proofErr w:type="spellStart"/>
      <w:r>
        <w:rPr>
          <w:rtl/>
        </w:rPr>
        <w:t>סלוצק</w:t>
      </w:r>
      <w:proofErr w:type="spellEnd"/>
      <w:r>
        <w:rPr>
          <w:rtl/>
        </w:rPr>
        <w:t xml:space="preserve"> </w:t>
      </w:r>
      <w:r>
        <w:rPr>
          <w:b/>
          <w:bCs/>
          <w:rtl/>
        </w:rPr>
        <w:t>בהמלצת ר׳ מאיר</w:t>
      </w:r>
      <w:r>
        <w:rPr>
          <w:rtl/>
        </w:rPr>
        <w:t>.</w:t>
      </w:r>
      <w:bookmarkStart w:id="2971" w:name="_fnr2095"/>
      <w:bookmarkStart w:id="2972" w:name="pr_f_2000"/>
      <w:r>
        <w:rPr>
          <w:rStyle w:val="a5"/>
        </w:rPr>
        <w:footnoteReference w:id="2101" w:customMarkFollows="0"/>
      </w:r>
      <w:bookmarkEnd w:id="2971"/>
      <w:bookmarkEnd w:id="2972"/>
    </w:p>
    <w:p w14:paraId="098DDDE4" w14:textId="77777777" w:rsidR="00AB3647" w:rsidRDefault="00000000" w:rsidP="007923E9">
      <w:pPr>
        <w:spacing w:after="120" w:line="276" w:lineRule="auto"/>
        <w:ind w:firstLine="283"/>
        <w:jc w:val="both"/>
      </w:pPr>
      <w:r>
        <w:rPr>
          <w:rtl/>
        </w:rPr>
        <w:lastRenderedPageBreak/>
        <w:t xml:space="preserve">לדברי ר׳ אליהו </w:t>
      </w:r>
      <w:proofErr w:type="spellStart"/>
      <w:r>
        <w:rPr>
          <w:rtl/>
        </w:rPr>
        <w:t>קושלבסקי</w:t>
      </w:r>
      <w:proofErr w:type="spellEnd"/>
      <w:r>
        <w:rPr>
          <w:rtl/>
        </w:rPr>
        <w:t>,</w:t>
      </w:r>
      <w:bookmarkStart w:id="2973" w:name="_fnr2096"/>
      <w:r>
        <w:rPr>
          <w:rStyle w:val="a5"/>
        </w:rPr>
        <w:footnoteReference w:id="2102" w:customMarkFollows="0"/>
      </w:r>
      <w:bookmarkEnd w:id="2973"/>
      <w:r>
        <w:rPr>
          <w:rtl/>
        </w:rPr>
        <w:t xml:space="preserve"> מאחר שר׳ </w:t>
      </w:r>
      <w:proofErr w:type="spellStart"/>
      <w:r>
        <w:rPr>
          <w:rtl/>
        </w:rPr>
        <w:t>יענקל־דוד</w:t>
      </w:r>
      <w:proofErr w:type="spellEnd"/>
      <w:r>
        <w:rPr>
          <w:rtl/>
        </w:rPr>
        <w:t xml:space="preserve"> היה קנאי,</w:t>
      </w:r>
      <w:bookmarkStart w:id="2974" w:name="_fnr2097"/>
      <w:r>
        <w:rPr>
          <w:rStyle w:val="a5"/>
        </w:rPr>
        <w:footnoteReference w:id="2103" w:customMarkFollows="0"/>
      </w:r>
      <w:bookmarkEnd w:id="2974"/>
      <w:r>
        <w:rPr>
          <w:rtl/>
        </w:rPr>
        <w:t xml:space="preserve"> שכנעו משכילי </w:t>
      </w:r>
      <w:proofErr w:type="spellStart"/>
      <w:r>
        <w:rPr>
          <w:rtl/>
        </w:rPr>
        <w:t>סלוצק</w:t>
      </w:r>
      <w:proofErr w:type="spellEnd"/>
      <w:r>
        <w:rPr>
          <w:rtl/>
        </w:rPr>
        <w:t xml:space="preserve"> את ר׳ מאיר – שהיה מקורב לחוגי המשכילים, כמסופר להלן – לצאת נגד רב העיר ולתבוע לעצמו את הרבנות. אז החליט ר׳ </w:t>
      </w:r>
      <w:proofErr w:type="spellStart"/>
      <w:r>
        <w:rPr>
          <w:rtl/>
        </w:rPr>
        <w:t>יענקל־דוד</w:t>
      </w:r>
      <w:proofErr w:type="spellEnd"/>
      <w:r>
        <w:rPr>
          <w:rtl/>
        </w:rPr>
        <w:t xml:space="preserve"> לחזק את מעמדו על ידי הבאת ישיבה לעיר.</w:t>
      </w:r>
      <w:bookmarkStart w:id="2975" w:name="_fnr2098"/>
      <w:r>
        <w:rPr>
          <w:rStyle w:val="a5"/>
        </w:rPr>
        <w:footnoteReference w:id="2104" w:customMarkFollows="0"/>
      </w:r>
      <w:bookmarkEnd w:id="2975"/>
    </w:p>
    <w:p w14:paraId="22863099" w14:textId="77777777" w:rsidR="00AB3647" w:rsidRDefault="00000000" w:rsidP="007923E9">
      <w:pPr>
        <w:spacing w:after="120" w:line="276" w:lineRule="auto"/>
        <w:ind w:firstLine="283"/>
        <w:jc w:val="both"/>
      </w:pPr>
      <w:r>
        <w:rPr>
          <w:rtl/>
        </w:rPr>
        <w:t xml:space="preserve">ר׳ שמואל מרקוס ממאלט, עיר מולדתו של ר׳ אליהו, למד כבחור </w:t>
      </w:r>
      <w:proofErr w:type="spellStart"/>
      <w:r>
        <w:rPr>
          <w:rtl/>
        </w:rPr>
        <w:t>בסלוצק</w:t>
      </w:r>
      <w:proofErr w:type="spellEnd"/>
      <w:r>
        <w:rPr>
          <w:rtl/>
        </w:rPr>
        <w:t xml:space="preserve"> בתקופתה המוקדמת. הוא סיפר </w:t>
      </w:r>
      <w:proofErr w:type="spellStart"/>
      <w:r>
        <w:rPr>
          <w:rtl/>
        </w:rPr>
        <w:t>לר</w:t>
      </w:r>
      <w:proofErr w:type="spellEnd"/>
      <w:r>
        <w:rPr>
          <w:rtl/>
        </w:rPr>
        <w:t xml:space="preserve">׳ אליהו שהזדמן לו לעבור </w:t>
      </w:r>
      <w:proofErr w:type="spellStart"/>
      <w:r>
        <w:rPr>
          <w:rtl/>
        </w:rPr>
        <w:t>במיר</w:t>
      </w:r>
      <w:proofErr w:type="spellEnd"/>
      <w:r>
        <w:rPr>
          <w:rtl/>
        </w:rPr>
        <w:t xml:space="preserve"> באותה עת, וביקר אצל הרב, ר׳ </w:t>
      </w:r>
      <w:proofErr w:type="spellStart"/>
      <w:r>
        <w:rPr>
          <w:rtl/>
        </w:rPr>
        <w:t>אליהו־ברוך</w:t>
      </w:r>
      <w:proofErr w:type="spellEnd"/>
      <w:r>
        <w:rPr>
          <w:rtl/>
        </w:rPr>
        <w:t xml:space="preserve"> קמאי. על השולחן הבחין בגלויה מר׳ </w:t>
      </w:r>
      <w:proofErr w:type="spellStart"/>
      <w:r>
        <w:rPr>
          <w:rtl/>
        </w:rPr>
        <w:t>יענקל־דוד</w:t>
      </w:r>
      <w:proofErr w:type="spellEnd"/>
      <w:r>
        <w:rPr>
          <w:rtl/>
        </w:rPr>
        <w:t xml:space="preserve">, שבה תיאר בלשון ציורית את המצב בעיר, וכתב שעם הקמת הישיבה השתנו התנאים </w:t>
      </w:r>
      <w:proofErr w:type="spellStart"/>
      <w:r>
        <w:rPr>
          <w:rtl/>
        </w:rPr>
        <w:t>בסלוצק</w:t>
      </w:r>
      <w:proofErr w:type="spellEnd"/>
      <w:r>
        <w:rPr>
          <w:rtl/>
        </w:rPr>
        <w:t xml:space="preserve">: “מאיר </w:t>
      </w:r>
      <w:proofErr w:type="spellStart"/>
      <w:r>
        <w:rPr>
          <w:rtl/>
        </w:rPr>
        <w:t>פיימר</w:t>
      </w:r>
      <w:proofErr w:type="spellEnd"/>
      <w:r>
        <w:rPr>
          <w:rtl/>
        </w:rPr>
        <w:t xml:space="preserve"> נשאר כרועה בלי חליל, כלומר </w:t>
      </w:r>
      <w:proofErr w:type="spellStart"/>
      <w:r>
        <w:rPr>
          <w:rtl/>
        </w:rPr>
        <w:t>כשייגעץ</w:t>
      </w:r>
      <w:proofErr w:type="spellEnd"/>
      <w:r>
        <w:rPr>
          <w:rtl/>
        </w:rPr>
        <w:t xml:space="preserve"> בלי </w:t>
      </w:r>
      <w:proofErr w:type="spellStart"/>
      <w:r>
        <w:rPr>
          <w:rtl/>
        </w:rPr>
        <w:t>פייפעל</w:t>
      </w:r>
      <w:proofErr w:type="spellEnd"/>
      <w:r>
        <w:rPr>
          <w:rtl/>
        </w:rPr>
        <w:t xml:space="preserve"> [כשקץ בלי חליל]”.</w:t>
      </w:r>
    </w:p>
    <w:p w14:paraId="11031CF9" w14:textId="77777777" w:rsidR="00AB3647" w:rsidRDefault="00000000" w:rsidP="007923E9">
      <w:pPr>
        <w:spacing w:after="120" w:line="276" w:lineRule="auto"/>
        <w:ind w:firstLine="283"/>
        <w:jc w:val="both"/>
      </w:pPr>
      <w:r>
        <w:rPr>
          <w:rtl/>
        </w:rPr>
        <w:t xml:space="preserve">אז ירה הרב </w:t>
      </w:r>
      <w:proofErr w:type="spellStart"/>
      <w:r>
        <w:rPr>
          <w:rtl/>
        </w:rPr>
        <w:t>פיימר</w:t>
      </w:r>
      <w:proofErr w:type="spellEnd"/>
      <w:r>
        <w:rPr>
          <w:rtl/>
        </w:rPr>
        <w:t xml:space="preserve"> את מטח הפתיחה הרבני במלחמה נגד המוסר, כשפרסם </w:t>
      </w:r>
      <w:proofErr w:type="spellStart"/>
      <w:r>
        <w:rPr>
          <w:rtl/>
        </w:rPr>
        <w:t>ב“המליץ</w:t>
      </w:r>
      <w:proofErr w:type="spellEnd"/>
      <w:r>
        <w:rPr>
          <w:rtl/>
        </w:rPr>
        <w:t xml:space="preserve">” התקפה חריפה. באחד ממאמרי הפולמוס שבאו בהמשך הזכיר את המצב הלא נוח שנקלע אליו </w:t>
      </w:r>
      <w:r>
        <w:rPr>
          <w:b/>
          <w:bCs/>
          <w:rtl/>
        </w:rPr>
        <w:t>כתוצאה</w:t>
      </w:r>
      <w:r>
        <w:rPr>
          <w:rtl/>
        </w:rPr>
        <w:t xml:space="preserve"> מן הישיבה שזה עתה נוסדה, במילים: “שליחת בחורים לעיר שיש בה מחלוקת גורמת חילול השם חמור: היא מקדשת ומהללת צד אחד, ומבזה את האחר כעפר”.</w:t>
      </w:r>
      <w:bookmarkStart w:id="2976" w:name="_fnr2099"/>
      <w:r>
        <w:rPr>
          <w:rStyle w:val="a5"/>
        </w:rPr>
        <w:footnoteReference w:id="2105" w:customMarkFollows="0"/>
      </w:r>
      <w:bookmarkEnd w:id="2976"/>
    </w:p>
    <w:p w14:paraId="3F7B498F" w14:textId="77777777" w:rsidR="00AB3647" w:rsidRDefault="00000000" w:rsidP="007923E9">
      <w:pPr>
        <w:spacing w:after="120" w:line="276" w:lineRule="auto"/>
        <w:ind w:firstLine="283"/>
        <w:jc w:val="both"/>
      </w:pPr>
      <w:r>
        <w:rPr>
          <w:rtl/>
        </w:rPr>
        <w:t xml:space="preserve">במאמר </w:t>
      </w:r>
      <w:proofErr w:type="spellStart"/>
      <w:r>
        <w:rPr>
          <w:rtl/>
        </w:rPr>
        <w:t>ב“פנקס</w:t>
      </w:r>
      <w:proofErr w:type="spellEnd"/>
      <w:r>
        <w:rPr>
          <w:rtl/>
        </w:rPr>
        <w:t xml:space="preserve"> </w:t>
      </w:r>
      <w:proofErr w:type="spellStart"/>
      <w:r>
        <w:rPr>
          <w:rtl/>
        </w:rPr>
        <w:t>סלוצק</w:t>
      </w:r>
      <w:proofErr w:type="spellEnd"/>
      <w:r>
        <w:rPr>
          <w:rtl/>
        </w:rPr>
        <w:t xml:space="preserve">” מגלה בנו של ר׳ </w:t>
      </w:r>
      <w:proofErr w:type="spellStart"/>
      <w:r>
        <w:rPr>
          <w:rtl/>
        </w:rPr>
        <w:t>איסר־זלמן</w:t>
      </w:r>
      <w:proofErr w:type="spellEnd"/>
      <w:r>
        <w:rPr>
          <w:rtl/>
        </w:rPr>
        <w:t>, הרב צבי יהודה מלצר, שמחנהו של ר׳ מאיר ניסה להקים ישיבה מתחרה – והניסיון נכשל.</w:t>
      </w:r>
      <w:bookmarkStart w:id="2977" w:name="_fnr2100"/>
      <w:r>
        <w:rPr>
          <w:rStyle w:val="a5"/>
        </w:rPr>
        <w:footnoteReference w:id="2106" w:customMarkFollows="0"/>
      </w:r>
      <w:bookmarkEnd w:id="2977"/>
      <w:r>
        <w:rPr>
          <w:rtl/>
        </w:rPr>
        <w:t xml:space="preserve"> בראשה עמד בנו הצעיר של ר׳ מאיר, ר׳ יוסף, שנקרא על שם סבו כשנולד בשנת תרל״ט,</w:t>
      </w:r>
      <w:bookmarkStart w:id="2978" w:name="_fnr2101"/>
      <w:r>
        <w:rPr>
          <w:rStyle w:val="a5"/>
        </w:rPr>
        <w:footnoteReference w:id="2107" w:customMarkFollows="0"/>
      </w:r>
      <w:bookmarkEnd w:id="2978"/>
      <w:r>
        <w:rPr>
          <w:rtl/>
        </w:rPr>
        <w:t xml:space="preserve"> ומתואר </w:t>
      </w:r>
      <w:proofErr w:type="spellStart"/>
      <w:r>
        <w:rPr>
          <w:rtl/>
        </w:rPr>
        <w:t>ב“פנקס</w:t>
      </w:r>
      <w:proofErr w:type="spellEnd"/>
      <w:r>
        <w:rPr>
          <w:rtl/>
        </w:rPr>
        <w:t xml:space="preserve"> </w:t>
      </w:r>
      <w:proofErr w:type="spellStart"/>
      <w:r>
        <w:rPr>
          <w:rtl/>
        </w:rPr>
        <w:t>סלוצק</w:t>
      </w:r>
      <w:proofErr w:type="spellEnd"/>
      <w:r>
        <w:rPr>
          <w:rtl/>
        </w:rPr>
        <w:t>”</w:t>
      </w:r>
      <w:bookmarkStart w:id="2979" w:name="_fnr2102"/>
      <w:r>
        <w:rPr>
          <w:rStyle w:val="a5"/>
        </w:rPr>
        <w:footnoteReference w:id="2108" w:customMarkFollows="0"/>
      </w:r>
      <w:bookmarkEnd w:id="2979"/>
      <w:r>
        <w:rPr>
          <w:rtl/>
        </w:rPr>
        <w:t xml:space="preserve"> כמי </w:t>
      </w:r>
      <w:proofErr w:type="spellStart"/>
      <w:r>
        <w:rPr>
          <w:rtl/>
        </w:rPr>
        <w:t>ש“אהב</w:t>
      </w:r>
      <w:proofErr w:type="spellEnd"/>
      <w:r>
        <w:rPr>
          <w:rtl/>
        </w:rPr>
        <w:t xml:space="preserve"> ללמוד ולעיין במפרשי התנ״ך” </w:t>
      </w:r>
      <w:proofErr w:type="spellStart"/>
      <w:r>
        <w:rPr>
          <w:rtl/>
        </w:rPr>
        <w:t>וכ“אוהב</w:t>
      </w:r>
      <w:proofErr w:type="spellEnd"/>
      <w:r>
        <w:rPr>
          <w:rtl/>
        </w:rPr>
        <w:t xml:space="preserve"> הלשון העברית”.</w:t>
      </w:r>
    </w:p>
    <w:p w14:paraId="77C1C943" w14:textId="77777777" w:rsidR="00AB3647" w:rsidRDefault="00000000" w:rsidP="007923E9">
      <w:pPr>
        <w:spacing w:after="120" w:line="276" w:lineRule="auto"/>
        <w:ind w:firstLine="283"/>
        <w:jc w:val="both"/>
      </w:pPr>
      <w:r>
        <w:rPr>
          <w:rtl/>
        </w:rPr>
        <w:lastRenderedPageBreak/>
        <w:t xml:space="preserve">“לב איברא” מספר שהישיבה נוסדה בידי כמה מתלמידי ישיבתו של ר׳ </w:t>
      </w:r>
      <w:proofErr w:type="spellStart"/>
      <w:r>
        <w:rPr>
          <w:rtl/>
        </w:rPr>
        <w:t>איסר־זלמן</w:t>
      </w:r>
      <w:proofErr w:type="spellEnd"/>
      <w:r>
        <w:rPr>
          <w:rtl/>
        </w:rPr>
        <w:t xml:space="preserve">, שסירבו לציית לתקנה האוסרת לימודים כלליים “ואפילו קריאת עיתונים”. ר׳ </w:t>
      </w:r>
      <w:proofErr w:type="spellStart"/>
      <w:r>
        <w:rPr>
          <w:rtl/>
        </w:rPr>
        <w:t>איסר־זלמן</w:t>
      </w:r>
      <w:proofErr w:type="spellEnd"/>
      <w:r>
        <w:rPr>
          <w:rtl/>
        </w:rPr>
        <w:t xml:space="preserve"> מלצר הנהיג תקנה זו ונאבק עליה בחומרה שלא אפיינה אותו. הדבר מאושר במכתב שכתב ר׳ </w:t>
      </w:r>
      <w:proofErr w:type="spellStart"/>
      <w:r>
        <w:rPr>
          <w:rtl/>
        </w:rPr>
        <w:t>איסר־זלמן</w:t>
      </w:r>
      <w:proofErr w:type="spellEnd"/>
      <w:r>
        <w:rPr>
          <w:rtl/>
        </w:rPr>
        <w:t xml:space="preserve"> </w:t>
      </w:r>
      <w:proofErr w:type="spellStart"/>
      <w:r>
        <w:rPr>
          <w:rtl/>
        </w:rPr>
        <w:t>בתרצ״ח</w:t>
      </w:r>
      <w:proofErr w:type="spellEnd"/>
      <w:r>
        <w:rPr>
          <w:rtl/>
        </w:rPr>
        <w:t xml:space="preserve">, המובא </w:t>
      </w:r>
      <w:proofErr w:type="spellStart"/>
      <w:r>
        <w:rPr>
          <w:rtl/>
        </w:rPr>
        <w:t>ב“שנות</w:t>
      </w:r>
      <w:proofErr w:type="spellEnd"/>
      <w:r>
        <w:rPr>
          <w:rtl/>
        </w:rPr>
        <w:t xml:space="preserve"> דור ודור”.</w:t>
      </w:r>
      <w:bookmarkStart w:id="2980" w:name="_fnr2103"/>
      <w:r>
        <w:rPr>
          <w:rStyle w:val="a5"/>
        </w:rPr>
        <w:footnoteReference w:id="2109" w:customMarkFollows="0"/>
      </w:r>
      <w:bookmarkEnd w:id="2980"/>
      <w:r>
        <w:rPr>
          <w:rtl/>
        </w:rPr>
        <w:t xml:space="preserve"> נאמר בו: “ובשנות תרס״ב תרס״ג הי׳ לי מלחמה גדולה </w:t>
      </w:r>
      <w:proofErr w:type="spellStart"/>
      <w:r>
        <w:rPr>
          <w:rtl/>
        </w:rPr>
        <w:t>בסלוצק</w:t>
      </w:r>
      <w:proofErr w:type="spellEnd"/>
      <w:r>
        <w:rPr>
          <w:rtl/>
        </w:rPr>
        <w:t xml:space="preserve"> עם בחורים שרצו ללמוד השפה הרוסית בהיותם בישיבה ולא הנחתי בשום אופן עד שקבוצת בחורים הוכרחו לצאת מן הישיבה וגדול אחד עשה עבורם מדור בפ״ע ישיבה שני’ </w:t>
      </w:r>
      <w:proofErr w:type="spellStart"/>
      <w:r>
        <w:rPr>
          <w:rtl/>
        </w:rPr>
        <w:t>בסלוצק</w:t>
      </w:r>
      <w:proofErr w:type="spellEnd"/>
      <w:r>
        <w:rPr>
          <w:rtl/>
        </w:rPr>
        <w:t xml:space="preserve"> אבל לא האריכה ימים”.</w:t>
      </w:r>
      <w:bookmarkStart w:id="2981" w:name="_fnr2104"/>
      <w:r>
        <w:rPr>
          <w:rStyle w:val="a5"/>
        </w:rPr>
        <w:footnoteReference w:id="2110" w:customMarkFollows="0"/>
      </w:r>
      <w:bookmarkEnd w:id="2981"/>
    </w:p>
    <w:p w14:paraId="60531922" w14:textId="77777777" w:rsidR="00AB3647" w:rsidRDefault="00000000" w:rsidP="007923E9">
      <w:pPr>
        <w:spacing w:after="120" w:line="276" w:lineRule="auto"/>
        <w:ind w:firstLine="283"/>
        <w:jc w:val="both"/>
      </w:pPr>
      <w:r>
        <w:rPr>
          <w:rtl/>
        </w:rPr>
        <w:t xml:space="preserve">אשתו של ר׳ מאיר </w:t>
      </w:r>
      <w:proofErr w:type="spellStart"/>
      <w:r>
        <w:rPr>
          <w:rtl/>
        </w:rPr>
        <w:t>פיימר</w:t>
      </w:r>
      <w:proofErr w:type="spellEnd"/>
      <w:r>
        <w:rPr>
          <w:rtl/>
        </w:rPr>
        <w:t xml:space="preserve"> הייתה נכדתו של ר׳ </w:t>
      </w:r>
      <w:proofErr w:type="spellStart"/>
      <w:r>
        <w:rPr>
          <w:rtl/>
        </w:rPr>
        <w:t>לייבל׳ה</w:t>
      </w:r>
      <w:proofErr w:type="spellEnd"/>
      <w:r>
        <w:rPr>
          <w:rtl/>
        </w:rPr>
        <w:t xml:space="preserve"> שפירא,</w:t>
      </w:r>
      <w:bookmarkStart w:id="2982" w:name="_fnr2105"/>
      <w:r>
        <w:rPr>
          <w:rStyle w:val="a5"/>
        </w:rPr>
        <w:footnoteReference w:id="2111" w:customMarkFollows="0"/>
      </w:r>
      <w:bookmarkEnd w:id="2982"/>
      <w:r>
        <w:rPr>
          <w:rtl/>
        </w:rPr>
        <w:t xml:space="preserve"> וכך גם אשתו של ר׳ חיים </w:t>
      </w:r>
      <w:proofErr w:type="spellStart"/>
      <w:r>
        <w:rPr>
          <w:rtl/>
        </w:rPr>
        <w:t>סולובייצ׳יק</w:t>
      </w:r>
      <w:proofErr w:type="spellEnd"/>
      <w:r>
        <w:rPr>
          <w:rtl/>
        </w:rPr>
        <w:t xml:space="preserve">. יש להניח אם כן שאילו סבר ר׳ חיים שקרובו מצד הנישואין, ר׳ מאיר </w:t>
      </w:r>
      <w:proofErr w:type="spellStart"/>
      <w:r>
        <w:rPr>
          <w:rtl/>
        </w:rPr>
        <w:t>פיימר</w:t>
      </w:r>
      <w:proofErr w:type="spellEnd"/>
      <w:r>
        <w:rPr>
          <w:rtl/>
        </w:rPr>
        <w:t xml:space="preserve">, צודק בהתנגדותו לישיבה, ר׳ </w:t>
      </w:r>
      <w:proofErr w:type="spellStart"/>
      <w:r>
        <w:rPr>
          <w:rtl/>
        </w:rPr>
        <w:t>איסר־זלמן</w:t>
      </w:r>
      <w:proofErr w:type="spellEnd"/>
      <w:r>
        <w:rPr>
          <w:rtl/>
        </w:rPr>
        <w:t xml:space="preserve"> לא היה נשאר </w:t>
      </w:r>
      <w:proofErr w:type="spellStart"/>
      <w:r>
        <w:rPr>
          <w:rtl/>
        </w:rPr>
        <w:t>בסלוצק</w:t>
      </w:r>
      <w:proofErr w:type="spellEnd"/>
      <w:r>
        <w:rPr>
          <w:rtl/>
        </w:rPr>
        <w:t xml:space="preserve">. ר׳ </w:t>
      </w:r>
      <w:proofErr w:type="spellStart"/>
      <w:r>
        <w:rPr>
          <w:rtl/>
        </w:rPr>
        <w:t>איסר־זלמן</w:t>
      </w:r>
      <w:proofErr w:type="spellEnd"/>
      <w:r>
        <w:rPr>
          <w:rtl/>
        </w:rPr>
        <w:t xml:space="preserve"> היה תלמידו המובהק של ר׳ חיים, ודן עם רבו במינויו </w:t>
      </w:r>
      <w:proofErr w:type="spellStart"/>
      <w:r>
        <w:rPr>
          <w:rtl/>
        </w:rPr>
        <w:t>בסלוצק</w:t>
      </w:r>
      <w:proofErr w:type="spellEnd"/>
      <w:r>
        <w:rPr>
          <w:rtl/>
        </w:rPr>
        <w:t>.</w:t>
      </w:r>
      <w:bookmarkStart w:id="2983" w:name="_fnr2106"/>
      <w:r>
        <w:rPr>
          <w:rStyle w:val="a5"/>
        </w:rPr>
        <w:footnoteReference w:id="2112" w:customMarkFollows="0"/>
      </w:r>
      <w:bookmarkEnd w:id="2983"/>
    </w:p>
    <w:p w14:paraId="6EF808B0" w14:textId="77777777" w:rsidR="00AB3647" w:rsidRDefault="00000000" w:rsidP="007923E9">
      <w:pPr>
        <w:pStyle w:val="4"/>
        <w:spacing w:line="276" w:lineRule="auto"/>
      </w:pPr>
      <w:r>
        <w:t>· הפסקה השנייה ·</w:t>
      </w:r>
    </w:p>
    <w:p w14:paraId="3C7231E3" w14:textId="77777777" w:rsidR="00AB3647" w:rsidRDefault="00000000" w:rsidP="007923E9">
      <w:pPr>
        <w:pStyle w:val="5"/>
        <w:spacing w:line="276" w:lineRule="auto"/>
      </w:pPr>
      <w:r>
        <w:t xml:space="preserve">ר׳ </w:t>
      </w:r>
      <w:proofErr w:type="spellStart"/>
      <w:r>
        <w:t>יענקל־דוד</w:t>
      </w:r>
      <w:proofErr w:type="spellEnd"/>
      <w:r>
        <w:t xml:space="preserve">, </w:t>
      </w:r>
      <w:proofErr w:type="spellStart"/>
      <w:r>
        <w:t>הרידב״ז</w:t>
      </w:r>
      <w:proofErr w:type="spellEnd"/>
      <w:r>
        <w:t xml:space="preserve">, מבקש מן הסבא להקים ישיבה </w:t>
      </w:r>
      <w:proofErr w:type="spellStart"/>
      <w:r>
        <w:t>בסלוצק</w:t>
      </w:r>
      <w:proofErr w:type="spellEnd"/>
      <w:r>
        <w:t xml:space="preserve"> – הקמת כנסת בית יצחק </w:t>
      </w:r>
      <w:proofErr w:type="spellStart"/>
      <w:r>
        <w:t>בסלבודקה</w:t>
      </w:r>
      <w:proofErr w:type="spellEnd"/>
      <w:r>
        <w:t xml:space="preserve"> אינה הגורם להקמת הישיבה </w:t>
      </w:r>
      <w:proofErr w:type="spellStart"/>
      <w:r>
        <w:t>בסלוצק</w:t>
      </w:r>
      <w:proofErr w:type="spellEnd"/>
      <w:r>
        <w:t xml:space="preserve"> – הגיסים אינם יכולים להנהיג יחד במעמד שווה</w:t>
      </w:r>
    </w:p>
    <w:p w14:paraId="03F0A550" w14:textId="77777777" w:rsidR="00AB3647" w:rsidRDefault="00000000" w:rsidP="007923E9">
      <w:pPr>
        <w:spacing w:after="120" w:line="276" w:lineRule="auto"/>
        <w:ind w:firstLine="283"/>
        <w:jc w:val="both"/>
      </w:pPr>
      <w:r>
        <w:rPr>
          <w:rtl/>
        </w:rPr>
        <w:t xml:space="preserve">בריאיון המוקלט על הסבא </w:t>
      </w:r>
      <w:proofErr w:type="spellStart"/>
      <w:r>
        <w:rPr>
          <w:rtl/>
        </w:rPr>
        <w:t>מסלבודקה</w:t>
      </w:r>
      <w:proofErr w:type="spellEnd"/>
      <w:r>
        <w:rPr>
          <w:rtl/>
        </w:rPr>
        <w:t xml:space="preserve"> הציע אבי שהסבא עצמו נטע במחשבתו של ר׳ </w:t>
      </w:r>
      <w:proofErr w:type="spellStart"/>
      <w:r>
        <w:rPr>
          <w:rtl/>
        </w:rPr>
        <w:t>יענקל־דוד</w:t>
      </w:r>
      <w:proofErr w:type="spellEnd"/>
      <w:r>
        <w:rPr>
          <w:rtl/>
        </w:rPr>
        <w:t xml:space="preserve"> </w:t>
      </w:r>
      <w:proofErr w:type="spellStart"/>
      <w:r>
        <w:rPr>
          <w:rtl/>
        </w:rPr>
        <w:t>ווילובסקי</w:t>
      </w:r>
      <w:proofErr w:type="spellEnd"/>
      <w:r>
        <w:rPr>
          <w:rtl/>
        </w:rPr>
        <w:t xml:space="preserve"> את הרעיון להביא </w:t>
      </w:r>
      <w:proofErr w:type="spellStart"/>
      <w:r>
        <w:rPr>
          <w:rtl/>
        </w:rPr>
        <w:t>לסלוצק</w:t>
      </w:r>
      <w:proofErr w:type="spellEnd"/>
      <w:r>
        <w:rPr>
          <w:rtl/>
        </w:rPr>
        <w:t xml:space="preserve"> שלוחה של ישיבתו, כדי שאחד משני הגיסים יעבור מישיבת </w:t>
      </w:r>
      <w:proofErr w:type="spellStart"/>
      <w:r>
        <w:rPr>
          <w:rtl/>
        </w:rPr>
        <w:t>סלבודקה</w:t>
      </w:r>
      <w:proofErr w:type="spellEnd"/>
      <w:r>
        <w:rPr>
          <w:rtl/>
        </w:rPr>
        <w:t>, “כי אי אפשר לשני מלכים שישתמשו בכתר אחד”.</w:t>
      </w:r>
      <w:bookmarkStart w:id="2984" w:name="_fnr2107"/>
      <w:r>
        <w:rPr>
          <w:rStyle w:val="a5"/>
        </w:rPr>
        <w:footnoteReference w:id="2113" w:customMarkFollows="0"/>
      </w:r>
      <w:bookmarkEnd w:id="2984"/>
    </w:p>
    <w:p w14:paraId="4202AB5B" w14:textId="77777777" w:rsidR="00AB3647" w:rsidRDefault="00000000" w:rsidP="007923E9">
      <w:pPr>
        <w:spacing w:after="120" w:line="276" w:lineRule="auto"/>
        <w:ind w:firstLine="283"/>
        <w:jc w:val="both"/>
      </w:pPr>
      <w:r>
        <w:rPr>
          <w:rtl/>
        </w:rPr>
        <w:t>הסברה ש</w:t>
      </w:r>
      <w:r>
        <w:rPr>
          <w:b/>
          <w:bCs/>
          <w:rtl/>
        </w:rPr>
        <w:t>יוזמתו של הסבא</w:t>
      </w:r>
      <w:r>
        <w:rPr>
          <w:rtl/>
        </w:rPr>
        <w:t xml:space="preserve"> היא שהביאה להקמת ישיבתו של ר׳ </w:t>
      </w:r>
      <w:proofErr w:type="spellStart"/>
      <w:r>
        <w:rPr>
          <w:rtl/>
        </w:rPr>
        <w:t>איסר־זלמן</w:t>
      </w:r>
      <w:proofErr w:type="spellEnd"/>
      <w:r>
        <w:rPr>
          <w:rtl/>
        </w:rPr>
        <w:t xml:space="preserve"> </w:t>
      </w:r>
      <w:proofErr w:type="spellStart"/>
      <w:r>
        <w:rPr>
          <w:rtl/>
        </w:rPr>
        <w:t>בסלוצק</w:t>
      </w:r>
      <w:proofErr w:type="spellEnd"/>
      <w:r>
        <w:rPr>
          <w:rtl/>
        </w:rPr>
        <w:t xml:space="preserve"> אינה סותרת בהכרח את ספרו של </w:t>
      </w:r>
      <w:proofErr w:type="spellStart"/>
      <w:r>
        <w:rPr>
          <w:rtl/>
        </w:rPr>
        <w:t>דבורץ</w:t>
      </w:r>
      <w:proofErr w:type="spellEnd"/>
      <w:r>
        <w:rPr>
          <w:rtl/>
        </w:rPr>
        <w:t>, “הגאון רבי משה מרדכי אפשטיין”,</w:t>
      </w:r>
      <w:bookmarkStart w:id="2985" w:name="_fnr2108"/>
      <w:r>
        <w:rPr>
          <w:rStyle w:val="a5"/>
        </w:rPr>
        <w:footnoteReference w:id="2114" w:customMarkFollows="0"/>
      </w:r>
      <w:bookmarkEnd w:id="2985"/>
      <w:r>
        <w:rPr>
          <w:rtl/>
        </w:rPr>
        <w:t xml:space="preserve"> שבו נאמר שהייתה </w:t>
      </w:r>
      <w:r>
        <w:rPr>
          <w:b/>
          <w:bCs/>
          <w:rtl/>
        </w:rPr>
        <w:t>הצעה קודמת</w:t>
      </w:r>
      <w:r>
        <w:rPr>
          <w:rtl/>
        </w:rPr>
        <w:t xml:space="preserve"> של ר׳ </w:t>
      </w:r>
      <w:proofErr w:type="spellStart"/>
      <w:r>
        <w:rPr>
          <w:rtl/>
        </w:rPr>
        <w:t>יענקל־דוד</w:t>
      </w:r>
      <w:proofErr w:type="spellEnd"/>
      <w:r>
        <w:rPr>
          <w:rtl/>
        </w:rPr>
        <w:t xml:space="preserve">, “שנודע לשבח הן בתורתו הן בפעלתנותו”, להעביר את </w:t>
      </w:r>
      <w:r>
        <w:rPr>
          <w:b/>
          <w:bCs/>
          <w:rtl/>
        </w:rPr>
        <w:t>כל</w:t>
      </w:r>
      <w:r>
        <w:rPr>
          <w:rtl/>
        </w:rPr>
        <w:t xml:space="preserve"> ישיבת </w:t>
      </w:r>
      <w:proofErr w:type="spellStart"/>
      <w:r>
        <w:rPr>
          <w:rtl/>
        </w:rPr>
        <w:t>סלבודקה</w:t>
      </w:r>
      <w:proofErr w:type="spellEnd"/>
      <w:r>
        <w:rPr>
          <w:rtl/>
        </w:rPr>
        <w:t xml:space="preserve"> </w:t>
      </w:r>
      <w:proofErr w:type="spellStart"/>
      <w:r>
        <w:rPr>
          <w:rtl/>
        </w:rPr>
        <w:t>לסלוצק</w:t>
      </w:r>
      <w:proofErr w:type="spellEnd"/>
      <w:r>
        <w:rPr>
          <w:rtl/>
        </w:rPr>
        <w:t xml:space="preserve"> כדי לחלץ אותה מבעיותיה הכספיות. הצעתו המקורית של </w:t>
      </w:r>
      <w:proofErr w:type="spellStart"/>
      <w:r>
        <w:rPr>
          <w:rtl/>
        </w:rPr>
        <w:t>הרידב״ז</w:t>
      </w:r>
      <w:proofErr w:type="spellEnd"/>
      <w:r>
        <w:rPr>
          <w:rtl/>
        </w:rPr>
        <w:t xml:space="preserve"> נדחתה בגלל המחלוקת ששררה בין ר׳ </w:t>
      </w:r>
      <w:proofErr w:type="spellStart"/>
      <w:r>
        <w:rPr>
          <w:rtl/>
        </w:rPr>
        <w:t>יענקל־דוד</w:t>
      </w:r>
      <w:proofErr w:type="spellEnd"/>
      <w:r>
        <w:rPr>
          <w:rtl/>
        </w:rPr>
        <w:t xml:space="preserve"> </w:t>
      </w:r>
      <w:proofErr w:type="spellStart"/>
      <w:r>
        <w:rPr>
          <w:rtl/>
        </w:rPr>
        <w:t>לר</w:t>
      </w:r>
      <w:proofErr w:type="spellEnd"/>
      <w:r>
        <w:rPr>
          <w:rtl/>
        </w:rPr>
        <w:t xml:space="preserve">׳ מאיר – סיבה שלכאורה היה בה די כדי למנוע גם את פתיחת שלוחת </w:t>
      </w:r>
      <w:proofErr w:type="spellStart"/>
      <w:r>
        <w:rPr>
          <w:rtl/>
        </w:rPr>
        <w:t>סלבודקה</w:t>
      </w:r>
      <w:proofErr w:type="spellEnd"/>
      <w:r>
        <w:rPr>
          <w:rtl/>
        </w:rPr>
        <w:t xml:space="preserve">. הדבר ניכר בתגובתו של ר׳ מאיר כשנפתחה לבסוף, כמסופר בפסקה הקודמת. ייתכן אם כן שהסבא הוא שהניע את התהליך שבסופו הובא ר׳ </w:t>
      </w:r>
      <w:proofErr w:type="spellStart"/>
      <w:r>
        <w:rPr>
          <w:rtl/>
        </w:rPr>
        <w:t>איסר־זלמן</w:t>
      </w:r>
      <w:proofErr w:type="spellEnd"/>
      <w:r>
        <w:rPr>
          <w:rtl/>
        </w:rPr>
        <w:t xml:space="preserve"> </w:t>
      </w:r>
      <w:proofErr w:type="spellStart"/>
      <w:r>
        <w:rPr>
          <w:rtl/>
        </w:rPr>
        <w:t>לסלוצק</w:t>
      </w:r>
      <w:proofErr w:type="spellEnd"/>
      <w:r>
        <w:rPr>
          <w:rtl/>
        </w:rPr>
        <w:t xml:space="preserve">, בכך שהודיע </w:t>
      </w:r>
      <w:proofErr w:type="spellStart"/>
      <w:r>
        <w:rPr>
          <w:rtl/>
        </w:rPr>
        <w:t>לר</w:t>
      </w:r>
      <w:proofErr w:type="spellEnd"/>
      <w:r>
        <w:rPr>
          <w:rtl/>
        </w:rPr>
        <w:t xml:space="preserve">׳ </w:t>
      </w:r>
      <w:proofErr w:type="spellStart"/>
      <w:r>
        <w:rPr>
          <w:rtl/>
        </w:rPr>
        <w:t>יענקל־דוד</w:t>
      </w:r>
      <w:proofErr w:type="spellEnd"/>
      <w:r>
        <w:rPr>
          <w:rtl/>
        </w:rPr>
        <w:t xml:space="preserve"> שהוא מוכן להתעלם מן הבעיה הפנימית שבעירו ולפתוח בה שלוחה של </w:t>
      </w:r>
      <w:proofErr w:type="spellStart"/>
      <w:r>
        <w:rPr>
          <w:rtl/>
        </w:rPr>
        <w:t>סלבודקה</w:t>
      </w:r>
      <w:proofErr w:type="spellEnd"/>
      <w:r>
        <w:rPr>
          <w:rtl/>
        </w:rPr>
        <w:t>.</w:t>
      </w:r>
    </w:p>
    <w:p w14:paraId="7B748BDC" w14:textId="77777777" w:rsidR="00AB3647" w:rsidRDefault="00000000" w:rsidP="007923E9">
      <w:pPr>
        <w:spacing w:after="120" w:line="276" w:lineRule="auto"/>
        <w:ind w:firstLine="283"/>
        <w:jc w:val="both"/>
      </w:pPr>
      <w:r>
        <w:rPr>
          <w:rtl/>
        </w:rPr>
        <w:lastRenderedPageBreak/>
        <w:t xml:space="preserve">אבל השווה “לב איברא”, הטוען שהצעתו של הרב </w:t>
      </w:r>
      <w:proofErr w:type="spellStart"/>
      <w:r>
        <w:rPr>
          <w:rtl/>
        </w:rPr>
        <w:t>ווילובסקי</w:t>
      </w:r>
      <w:proofErr w:type="spellEnd"/>
      <w:r>
        <w:rPr>
          <w:rtl/>
        </w:rPr>
        <w:t xml:space="preserve"> נועדה למנוע משבר כספי </w:t>
      </w:r>
      <w:r>
        <w:rPr>
          <w:b/>
          <w:bCs/>
          <w:rtl/>
        </w:rPr>
        <w:t>לאחר שהוקמה כנסת בית יצחק</w:t>
      </w:r>
      <w:r>
        <w:rPr>
          <w:rtl/>
        </w:rPr>
        <w:t>, שכן אז חששו שתמיכתו הכספית של אמיל לחמן</w:t>
      </w:r>
      <w:bookmarkStart w:id="2986" w:name="_fnr2109"/>
      <w:r>
        <w:rPr>
          <w:rStyle w:val="a5"/>
        </w:rPr>
        <w:footnoteReference w:id="2115" w:customMarkFollows="0"/>
      </w:r>
      <w:bookmarkEnd w:id="2986"/>
      <w:r>
        <w:rPr>
          <w:rtl/>
        </w:rPr>
        <w:t xml:space="preserve"> תועבר מישיבתו של הסבא לישיבה החדשה המתנגדת למוסר. “לב איברא” מציין גם שישיבתו של ר׳ </w:t>
      </w:r>
      <w:proofErr w:type="spellStart"/>
      <w:r>
        <w:rPr>
          <w:rtl/>
        </w:rPr>
        <w:t>איסר־זלמן</w:t>
      </w:r>
      <w:proofErr w:type="spellEnd"/>
      <w:r>
        <w:rPr>
          <w:rtl/>
        </w:rPr>
        <w:t xml:space="preserve"> </w:t>
      </w:r>
      <w:proofErr w:type="spellStart"/>
      <w:r>
        <w:rPr>
          <w:rtl/>
        </w:rPr>
        <w:t>בסלוצק</w:t>
      </w:r>
      <w:proofErr w:type="spellEnd"/>
      <w:r>
        <w:rPr>
          <w:rtl/>
        </w:rPr>
        <w:t xml:space="preserve"> נועדה לשמש גרעין חלוץ להעברת כל ישיבת הסבא </w:t>
      </w:r>
      <w:proofErr w:type="spellStart"/>
      <w:r>
        <w:rPr>
          <w:rtl/>
        </w:rPr>
        <w:t>מסלבודקה</w:t>
      </w:r>
      <w:proofErr w:type="spellEnd"/>
      <w:r>
        <w:rPr>
          <w:rtl/>
        </w:rPr>
        <w:t xml:space="preserve">, אם הקמת כנסת בית יצחק שם תאלץ אותה לעקור. כל זה אינו נכון, שכן הקמת ישיבת </w:t>
      </w:r>
      <w:proofErr w:type="spellStart"/>
      <w:r>
        <w:rPr>
          <w:rtl/>
        </w:rPr>
        <w:t>סלוצק</w:t>
      </w:r>
      <w:proofErr w:type="spellEnd"/>
      <w:r>
        <w:rPr>
          <w:rtl/>
        </w:rPr>
        <w:t xml:space="preserve"> </w:t>
      </w:r>
      <w:r>
        <w:rPr>
          <w:b/>
          <w:bCs/>
          <w:rtl/>
        </w:rPr>
        <w:t>קדמה</w:t>
      </w:r>
      <w:r>
        <w:rPr>
          <w:rtl/>
        </w:rPr>
        <w:t xml:space="preserve"> להקמת כנסת בית יצחק. אבל לעצם הרעיון שר׳ </w:t>
      </w:r>
      <w:proofErr w:type="spellStart"/>
      <w:r>
        <w:rPr>
          <w:rtl/>
        </w:rPr>
        <w:t>איסר־זלמן</w:t>
      </w:r>
      <w:proofErr w:type="spellEnd"/>
      <w:r>
        <w:rPr>
          <w:rtl/>
        </w:rPr>
        <w:t xml:space="preserve"> נשלח </w:t>
      </w:r>
      <w:proofErr w:type="spellStart"/>
      <w:r>
        <w:rPr>
          <w:rtl/>
        </w:rPr>
        <w:t>לסלוצק</w:t>
      </w:r>
      <w:proofErr w:type="spellEnd"/>
      <w:r>
        <w:rPr>
          <w:rtl/>
        </w:rPr>
        <w:t xml:space="preserve"> כדי להכין מקום מקלט לכל ישיבת הסבא ייתכן שיש יסוד, כמבואר בפסקה הבאה.</w:t>
      </w:r>
    </w:p>
    <w:p w14:paraId="412673E7" w14:textId="77777777" w:rsidR="00AB3647" w:rsidRDefault="00000000" w:rsidP="007923E9">
      <w:pPr>
        <w:spacing w:after="120" w:line="276" w:lineRule="auto"/>
        <w:ind w:firstLine="283"/>
        <w:jc w:val="both"/>
      </w:pPr>
      <w:r>
        <w:rPr>
          <w:rtl/>
        </w:rPr>
        <w:t>בשיעור דף יומי מוקלט</w:t>
      </w:r>
      <w:bookmarkStart w:id="2987" w:name="_fnr2110"/>
      <w:r>
        <w:rPr>
          <w:rStyle w:val="a5"/>
        </w:rPr>
        <w:footnoteReference w:id="2116" w:customMarkFollows="0"/>
      </w:r>
      <w:bookmarkEnd w:id="2987"/>
      <w:r>
        <w:rPr>
          <w:rtl/>
        </w:rPr>
        <w:t xml:space="preserve"> הרחיק אבי לכת יותר, ואמר שרק “שנים רבות אחר כך”, לאחר תקופתו </w:t>
      </w:r>
      <w:proofErr w:type="spellStart"/>
      <w:r>
        <w:rPr>
          <w:rtl/>
        </w:rPr>
        <w:t>בסלבודקה</w:t>
      </w:r>
      <w:proofErr w:type="spellEnd"/>
      <w:r>
        <w:rPr>
          <w:rtl/>
        </w:rPr>
        <w:t xml:space="preserve">, “הבין” מדוע שלח הסבא אחד משני מגידי השיעור. הסבא חזה שהישיבה </w:t>
      </w:r>
      <w:proofErr w:type="spellStart"/>
      <w:r>
        <w:rPr>
          <w:rtl/>
        </w:rPr>
        <w:t>תתפלג</w:t>
      </w:r>
      <w:proofErr w:type="spellEnd"/>
      <w:r>
        <w:rPr>
          <w:rtl/>
        </w:rPr>
        <w:t xml:space="preserve"> לבסוף, וחשש שאחד משני מגידי השיעור יישאר בבית המדרש הישן עם המחנה המתנגד למוסר.</w:t>
      </w:r>
    </w:p>
    <w:p w14:paraId="7B393DDB" w14:textId="77777777" w:rsidR="00AB3647" w:rsidRDefault="00000000" w:rsidP="007923E9">
      <w:pPr>
        <w:spacing w:after="120" w:line="276" w:lineRule="auto"/>
        <w:ind w:firstLine="283"/>
        <w:jc w:val="both"/>
      </w:pPr>
      <w:r>
        <w:rPr>
          <w:rtl/>
        </w:rPr>
        <w:t xml:space="preserve">אני מוצא רמז לתיאוריה זו בכך שעוד לפני תחילת תרנ״ז, כשנפתחה השלוחה </w:t>
      </w:r>
      <w:proofErr w:type="spellStart"/>
      <w:r>
        <w:rPr>
          <w:rtl/>
        </w:rPr>
        <w:t>בסלוצק</w:t>
      </w:r>
      <w:proofErr w:type="spellEnd"/>
      <w:r>
        <w:rPr>
          <w:rtl/>
        </w:rPr>
        <w:t xml:space="preserve">, כבר הרגיש ר׳ </w:t>
      </w:r>
      <w:proofErr w:type="spellStart"/>
      <w:r>
        <w:rPr>
          <w:rtl/>
        </w:rPr>
        <w:t>איסר־זלמן</w:t>
      </w:r>
      <w:proofErr w:type="spellEnd"/>
      <w:r>
        <w:rPr>
          <w:rtl/>
        </w:rPr>
        <w:t xml:space="preserve"> שהוא וגיסו לא יוכלו להישאר שניהם באותו מוסד. השווה </w:t>
      </w:r>
      <w:proofErr w:type="spellStart"/>
      <w:r>
        <w:rPr>
          <w:rtl/>
        </w:rPr>
        <w:t>ידעאל</w:t>
      </w:r>
      <w:proofErr w:type="spellEnd"/>
      <w:r>
        <w:rPr>
          <w:rtl/>
        </w:rPr>
        <w:t xml:space="preserve"> מלצר, “בדרך עץ החיים”</w:t>
      </w:r>
      <w:bookmarkStart w:id="2988" w:name="_fnr2111"/>
      <w:r>
        <w:rPr>
          <w:rStyle w:val="a5"/>
        </w:rPr>
        <w:footnoteReference w:id="2117" w:customMarkFollows="0"/>
      </w:r>
      <w:bookmarkEnd w:id="2988"/>
      <w:r>
        <w:rPr>
          <w:rtl/>
        </w:rPr>
        <w:t xml:space="preserve">, ושים לב למשפט הראשון בדברים המצוטטים שם מפי ר׳ </w:t>
      </w:r>
      <w:proofErr w:type="spellStart"/>
      <w:r>
        <w:rPr>
          <w:rtl/>
        </w:rPr>
        <w:t>איסר־זלמן</w:t>
      </w:r>
      <w:proofErr w:type="spellEnd"/>
      <w:r>
        <w:rPr>
          <w:rtl/>
        </w:rPr>
        <w:t>: “עם חלוף הזמן ראיתי ש</w:t>
      </w:r>
      <w:r>
        <w:rPr>
          <w:b/>
          <w:bCs/>
          <w:rtl/>
        </w:rPr>
        <w:t>משרה זו אינה יכולה להיות לשנינו</w:t>
      </w:r>
      <w:r>
        <w:rPr>
          <w:rtl/>
        </w:rPr>
        <w:t xml:space="preserve"> (ההדגשה שלי), ולכן, כאשר הראה לי ר׳ </w:t>
      </w:r>
      <w:proofErr w:type="spellStart"/>
      <w:r>
        <w:rPr>
          <w:rtl/>
        </w:rPr>
        <w:t>נתן־צבי</w:t>
      </w:r>
      <w:proofErr w:type="spellEnd"/>
      <w:r>
        <w:rPr>
          <w:rtl/>
        </w:rPr>
        <w:t xml:space="preserve"> את מכתבו של רב </w:t>
      </w:r>
      <w:proofErr w:type="spellStart"/>
      <w:r>
        <w:rPr>
          <w:rtl/>
        </w:rPr>
        <w:t>סלוצק</w:t>
      </w:r>
      <w:proofErr w:type="spellEnd"/>
      <w:r>
        <w:rPr>
          <w:rtl/>
        </w:rPr>
        <w:t xml:space="preserve">, שבו ביקש ממנו לפתוח ישיבה </w:t>
      </w:r>
      <w:proofErr w:type="spellStart"/>
      <w:r>
        <w:rPr>
          <w:rtl/>
        </w:rPr>
        <w:t>בסלוצק</w:t>
      </w:r>
      <w:proofErr w:type="spellEnd"/>
      <w:r>
        <w:rPr>
          <w:rtl/>
        </w:rPr>
        <w:t xml:space="preserve">, אמרתי [לסבא </w:t>
      </w:r>
      <w:proofErr w:type="spellStart"/>
      <w:r>
        <w:rPr>
          <w:rtl/>
        </w:rPr>
        <w:t>מסלבודקה</w:t>
      </w:r>
      <w:proofErr w:type="spellEnd"/>
      <w:r>
        <w:rPr>
          <w:rtl/>
        </w:rPr>
        <w:t xml:space="preserve">] שאני מוכן לקבל עלי שליחות זו, מפני </w:t>
      </w:r>
      <w:proofErr w:type="spellStart"/>
      <w:r>
        <w:rPr>
          <w:rtl/>
        </w:rPr>
        <w:t>שלר</w:t>
      </w:r>
      <w:proofErr w:type="spellEnd"/>
      <w:r>
        <w:rPr>
          <w:rtl/>
        </w:rPr>
        <w:t xml:space="preserve">׳ </w:t>
      </w:r>
      <w:proofErr w:type="spellStart"/>
      <w:r>
        <w:rPr>
          <w:rtl/>
        </w:rPr>
        <w:t>משה־מרדכי</w:t>
      </w:r>
      <w:proofErr w:type="spellEnd"/>
      <w:r>
        <w:rPr>
          <w:rtl/>
        </w:rPr>
        <w:t xml:space="preserve"> כבר הייתה משפחה גדולה יותר, והמעבר </w:t>
      </w:r>
      <w:proofErr w:type="spellStart"/>
      <w:r>
        <w:rPr>
          <w:rtl/>
        </w:rPr>
        <w:t>לסלוצק</w:t>
      </w:r>
      <w:proofErr w:type="spellEnd"/>
      <w:r>
        <w:rPr>
          <w:rtl/>
        </w:rPr>
        <w:t xml:space="preserve"> יהיה קשה לו יותר </w:t>
      </w:r>
      <w:proofErr w:type="spellStart"/>
      <w:r>
        <w:rPr>
          <w:rtl/>
        </w:rPr>
        <w:t>משיהיה</w:t>
      </w:r>
      <w:proofErr w:type="spellEnd"/>
      <w:r>
        <w:rPr>
          <w:rtl/>
        </w:rPr>
        <w:t xml:space="preserve"> לי. אין לי ספק שאילו ביקשתי אז מהסבא </w:t>
      </w:r>
      <w:proofErr w:type="spellStart"/>
      <w:r>
        <w:rPr>
          <w:rtl/>
        </w:rPr>
        <w:t>מסלבודקה</w:t>
      </w:r>
      <w:proofErr w:type="spellEnd"/>
      <w:r>
        <w:rPr>
          <w:rtl/>
        </w:rPr>
        <w:t xml:space="preserve"> שאני אהיה זה שיישאר </w:t>
      </w:r>
      <w:proofErr w:type="spellStart"/>
      <w:r>
        <w:rPr>
          <w:rtl/>
        </w:rPr>
        <w:t>בסלבודקה</w:t>
      </w:r>
      <w:proofErr w:type="spellEnd"/>
      <w:r>
        <w:rPr>
          <w:rtl/>
        </w:rPr>
        <w:t xml:space="preserve"> [ור׳ </w:t>
      </w:r>
      <w:proofErr w:type="spellStart"/>
      <w:r>
        <w:rPr>
          <w:rtl/>
        </w:rPr>
        <w:t>משה־מרדכי</w:t>
      </w:r>
      <w:proofErr w:type="spellEnd"/>
      <w:r>
        <w:rPr>
          <w:rtl/>
        </w:rPr>
        <w:t xml:space="preserve"> יישלח </w:t>
      </w:r>
      <w:proofErr w:type="spellStart"/>
      <w:r>
        <w:rPr>
          <w:rtl/>
        </w:rPr>
        <w:t>לסלוצק</w:t>
      </w:r>
      <w:proofErr w:type="spellEnd"/>
      <w:r>
        <w:rPr>
          <w:rtl/>
        </w:rPr>
        <w:t>], היה רצוני מתמלא.”</w:t>
      </w:r>
      <w:bookmarkStart w:id="2989" w:name="_fnr2112"/>
      <w:r>
        <w:rPr>
          <w:rStyle w:val="a5"/>
        </w:rPr>
        <w:footnoteReference w:id="2118" w:customMarkFollows="0"/>
      </w:r>
      <w:bookmarkEnd w:id="2989"/>
    </w:p>
    <w:p w14:paraId="5E06EBB3" w14:textId="77777777" w:rsidR="00AB3647" w:rsidRDefault="00000000" w:rsidP="007923E9">
      <w:pPr>
        <w:pStyle w:val="4"/>
        <w:spacing w:line="276" w:lineRule="auto"/>
      </w:pPr>
      <w:r>
        <w:t>· הפסקה השלישית ·</w:t>
      </w:r>
    </w:p>
    <w:p w14:paraId="4A8D16A8" w14:textId="77777777" w:rsidR="00AB3647" w:rsidRDefault="00000000" w:rsidP="007923E9">
      <w:pPr>
        <w:pStyle w:val="5"/>
        <w:spacing w:line="276" w:lineRule="auto"/>
      </w:pPr>
      <w:r>
        <w:t xml:space="preserve">הסבא צופה פילוג בישיבת </w:t>
      </w:r>
      <w:proofErr w:type="spellStart"/>
      <w:r>
        <w:t>סלבודקה</w:t>
      </w:r>
      <w:proofErr w:type="spellEnd"/>
      <w:r>
        <w:t xml:space="preserve"> – הוא מעדיף שר׳ </w:t>
      </w:r>
      <w:proofErr w:type="spellStart"/>
      <w:r>
        <w:t>איסר־זלמן</w:t>
      </w:r>
      <w:proofErr w:type="spellEnd"/>
      <w:r>
        <w:t xml:space="preserve"> יעבור </w:t>
      </w:r>
      <w:proofErr w:type="spellStart"/>
      <w:r>
        <w:t>לסלוצק</w:t>
      </w:r>
      <w:proofErr w:type="spellEnd"/>
      <w:r>
        <w:t xml:space="preserve"> – הקמת </w:t>
      </w:r>
      <w:proofErr w:type="spellStart"/>
      <w:r>
        <w:t>סלוצק</w:t>
      </w:r>
      <w:proofErr w:type="spellEnd"/>
      <w:r>
        <w:t xml:space="preserve"> הופכת פרידה ידידותית למחלוקת מרה</w:t>
      </w:r>
    </w:p>
    <w:p w14:paraId="21AB02B3" w14:textId="77777777" w:rsidR="00AB3647" w:rsidRDefault="00000000" w:rsidP="007923E9">
      <w:pPr>
        <w:spacing w:after="120" w:line="276" w:lineRule="auto"/>
        <w:ind w:firstLine="283"/>
        <w:jc w:val="both"/>
      </w:pPr>
      <w:r>
        <w:rPr>
          <w:rtl/>
        </w:rPr>
        <w:t xml:space="preserve">המשמעות העולה מן המשפט </w:t>
      </w:r>
      <w:r>
        <w:rPr>
          <w:b/>
          <w:bCs/>
          <w:rtl/>
        </w:rPr>
        <w:t>השני</w:t>
      </w:r>
      <w:r>
        <w:rPr>
          <w:rtl/>
        </w:rPr>
        <w:t xml:space="preserve"> בדברים שלעיל – שהסבא היה מעביר את ר׳ </w:t>
      </w:r>
      <w:proofErr w:type="spellStart"/>
      <w:r>
        <w:rPr>
          <w:rtl/>
        </w:rPr>
        <w:t>משה־מרדכי</w:t>
      </w:r>
      <w:proofErr w:type="spellEnd"/>
      <w:r>
        <w:rPr>
          <w:rtl/>
        </w:rPr>
        <w:t xml:space="preserve"> אפשטיין </w:t>
      </w:r>
      <w:proofErr w:type="spellStart"/>
      <w:r>
        <w:rPr>
          <w:rtl/>
        </w:rPr>
        <w:t>לסלוצק</w:t>
      </w:r>
      <w:proofErr w:type="spellEnd"/>
      <w:r>
        <w:rPr>
          <w:rtl/>
        </w:rPr>
        <w:t xml:space="preserve"> במקום ר׳ </w:t>
      </w:r>
      <w:proofErr w:type="spellStart"/>
      <w:r>
        <w:rPr>
          <w:rtl/>
        </w:rPr>
        <w:t>איסר־זלמן</w:t>
      </w:r>
      <w:proofErr w:type="spellEnd"/>
      <w:r>
        <w:rPr>
          <w:rtl/>
        </w:rPr>
        <w:t xml:space="preserve"> מלצר אילו ביקש זאת האחרון – מתבארת בדברים נוספים של ר׳ </w:t>
      </w:r>
      <w:proofErr w:type="spellStart"/>
      <w:r>
        <w:rPr>
          <w:rtl/>
        </w:rPr>
        <w:t>איסר־זלמן</w:t>
      </w:r>
      <w:proofErr w:type="spellEnd"/>
      <w:r>
        <w:rPr>
          <w:rtl/>
        </w:rPr>
        <w:t>, המובאים שם</w:t>
      </w:r>
      <w:bookmarkStart w:id="2990" w:name="_fnr2113"/>
      <w:r>
        <w:rPr>
          <w:rStyle w:val="a5"/>
        </w:rPr>
        <w:footnoteReference w:id="2119" w:customMarkFollows="0"/>
      </w:r>
      <w:bookmarkEnd w:id="2990"/>
      <w:r>
        <w:rPr>
          <w:rtl/>
        </w:rPr>
        <w:t xml:space="preserve">: “נראה שהסבא </w:t>
      </w:r>
      <w:proofErr w:type="spellStart"/>
      <w:r>
        <w:rPr>
          <w:rtl/>
        </w:rPr>
        <w:t>מסלבודקה</w:t>
      </w:r>
      <w:proofErr w:type="spellEnd"/>
      <w:r>
        <w:rPr>
          <w:rtl/>
        </w:rPr>
        <w:t xml:space="preserve"> חש שמחלוקת מרה וקשה בין מצדדי תורת המוסר למתנגדיה עומדת להתרחש, ומאחר שידע שאני רך לבב, </w:t>
      </w:r>
      <w:r>
        <w:rPr>
          <w:rtl/>
        </w:rPr>
        <w:lastRenderedPageBreak/>
        <w:t xml:space="preserve">חשש שאהיה בישיבה בזמן המחלוקת. ר׳ </w:t>
      </w:r>
      <w:proofErr w:type="spellStart"/>
      <w:r>
        <w:rPr>
          <w:rtl/>
        </w:rPr>
        <w:t>משה־מרדכי</w:t>
      </w:r>
      <w:proofErr w:type="spellEnd"/>
      <w:r>
        <w:rPr>
          <w:rtl/>
        </w:rPr>
        <w:t xml:space="preserve"> היה בעל אופי חזק ותקיף, והסבא </w:t>
      </w:r>
      <w:proofErr w:type="spellStart"/>
      <w:r>
        <w:rPr>
          <w:rtl/>
        </w:rPr>
        <w:t>מסלבודקה</w:t>
      </w:r>
      <w:proofErr w:type="spellEnd"/>
      <w:r>
        <w:rPr>
          <w:rtl/>
        </w:rPr>
        <w:t xml:space="preserve"> כנראה היה מעוניין שיישאר בישיבה, כדי שיוכל לסייע בימי המחלוקת הקשה.”</w:t>
      </w:r>
    </w:p>
    <w:p w14:paraId="3893546F" w14:textId="77777777" w:rsidR="00AB3647" w:rsidRDefault="00000000" w:rsidP="007923E9">
      <w:pPr>
        <w:spacing w:after="120" w:line="276" w:lineRule="auto"/>
        <w:ind w:firstLine="283"/>
        <w:jc w:val="both"/>
      </w:pPr>
      <w:r>
        <w:rPr>
          <w:rtl/>
        </w:rPr>
        <w:t xml:space="preserve">הדבר מורה בבירור שהסבא הבהיר </w:t>
      </w:r>
      <w:proofErr w:type="spellStart"/>
      <w:r>
        <w:rPr>
          <w:rtl/>
        </w:rPr>
        <w:t>לר</w:t>
      </w:r>
      <w:proofErr w:type="spellEnd"/>
      <w:r>
        <w:rPr>
          <w:rtl/>
        </w:rPr>
        <w:t xml:space="preserve">׳ </w:t>
      </w:r>
      <w:proofErr w:type="spellStart"/>
      <w:r>
        <w:rPr>
          <w:rtl/>
        </w:rPr>
        <w:t>איסר־זלמן</w:t>
      </w:r>
      <w:proofErr w:type="spellEnd"/>
      <w:r>
        <w:rPr>
          <w:rtl/>
        </w:rPr>
        <w:t xml:space="preserve"> מלצר שמבין שני המועמדים למעבר </w:t>
      </w:r>
      <w:proofErr w:type="spellStart"/>
      <w:r>
        <w:rPr>
          <w:rtl/>
        </w:rPr>
        <w:t>לסלוצק</w:t>
      </w:r>
      <w:proofErr w:type="spellEnd"/>
      <w:r>
        <w:rPr>
          <w:rtl/>
        </w:rPr>
        <w:t xml:space="preserve"> בחר בו, ולא בר׳ </w:t>
      </w:r>
      <w:proofErr w:type="spellStart"/>
      <w:r>
        <w:rPr>
          <w:rtl/>
        </w:rPr>
        <w:t>משה־מרדכי</w:t>
      </w:r>
      <w:proofErr w:type="spellEnd"/>
      <w:r>
        <w:rPr>
          <w:rtl/>
        </w:rPr>
        <w:t xml:space="preserve"> אפשטיין; ורק אילו עמד ר׳ </w:t>
      </w:r>
      <w:proofErr w:type="spellStart"/>
      <w:r>
        <w:rPr>
          <w:rtl/>
        </w:rPr>
        <w:t>איסר־זלמן</w:t>
      </w:r>
      <w:proofErr w:type="spellEnd"/>
      <w:r>
        <w:rPr>
          <w:rtl/>
        </w:rPr>
        <w:t xml:space="preserve"> על דעתו, היה הסבא מסכים להשאיר אותו </w:t>
      </w:r>
      <w:proofErr w:type="spellStart"/>
      <w:r>
        <w:rPr>
          <w:rtl/>
        </w:rPr>
        <w:t>בסלבודקה</w:t>
      </w:r>
      <w:proofErr w:type="spellEnd"/>
      <w:r>
        <w:rPr>
          <w:rtl/>
        </w:rPr>
        <w:t xml:space="preserve"> ולשלוח במקומו את ר׳ </w:t>
      </w:r>
      <w:proofErr w:type="spellStart"/>
      <w:r>
        <w:rPr>
          <w:rtl/>
        </w:rPr>
        <w:t>משה־מרדכי</w:t>
      </w:r>
      <w:proofErr w:type="spellEnd"/>
      <w:r>
        <w:rPr>
          <w:rtl/>
        </w:rPr>
        <w:t>.</w:t>
      </w:r>
    </w:p>
    <w:p w14:paraId="071B0423" w14:textId="77777777" w:rsidR="00AB3647" w:rsidRDefault="00000000" w:rsidP="007923E9">
      <w:pPr>
        <w:spacing w:after="120" w:line="276" w:lineRule="auto"/>
        <w:ind w:firstLine="283"/>
        <w:jc w:val="both"/>
      </w:pPr>
      <w:r>
        <w:rPr>
          <w:rtl/>
        </w:rPr>
        <w:t xml:space="preserve">גם אבי ציין שהסבא רצה שדווקא ר׳ </w:t>
      </w:r>
      <w:proofErr w:type="spellStart"/>
      <w:r>
        <w:rPr>
          <w:rtl/>
        </w:rPr>
        <w:t>איסר־זלמן</w:t>
      </w:r>
      <w:proofErr w:type="spellEnd"/>
      <w:r>
        <w:rPr>
          <w:rtl/>
        </w:rPr>
        <w:t xml:space="preserve"> מלצר יעבור </w:t>
      </w:r>
      <w:proofErr w:type="spellStart"/>
      <w:r>
        <w:rPr>
          <w:rtl/>
        </w:rPr>
        <w:t>לסלוצק</w:t>
      </w:r>
      <w:proofErr w:type="spellEnd"/>
      <w:r>
        <w:rPr>
          <w:rtl/>
        </w:rPr>
        <w:t xml:space="preserve">, מסיבה הקשורה </w:t>
      </w:r>
      <w:proofErr w:type="spellStart"/>
      <w:r>
        <w:rPr>
          <w:rtl/>
        </w:rPr>
        <w:t>ב“הבדל</w:t>
      </w:r>
      <w:proofErr w:type="spellEnd"/>
      <w:r>
        <w:rPr>
          <w:rtl/>
        </w:rPr>
        <w:t xml:space="preserve"> באופי בין שני הגיסים”, אבל לא פירט מה היה ההבדל. ר׳ ישראל </w:t>
      </w:r>
      <w:proofErr w:type="spellStart"/>
      <w:r>
        <w:rPr>
          <w:rtl/>
        </w:rPr>
        <w:t>שורין</w:t>
      </w:r>
      <w:proofErr w:type="spellEnd"/>
      <w:r>
        <w:rPr>
          <w:rtl/>
        </w:rPr>
        <w:t>, חתנו המבוגר של רבנו, חזר וסיפר</w:t>
      </w:r>
      <w:bookmarkStart w:id="2991" w:name="_fnr2114"/>
      <w:r>
        <w:rPr>
          <w:rStyle w:val="a5"/>
        </w:rPr>
        <w:footnoteReference w:id="2120" w:customMarkFollows="0"/>
      </w:r>
      <w:bookmarkEnd w:id="2991"/>
      <w:r>
        <w:rPr>
          <w:rtl/>
        </w:rPr>
        <w:t xml:space="preserve"> שיחה מעניינת שהייתה לו עם חותנו. ר׳ ישראל </w:t>
      </w:r>
      <w:proofErr w:type="spellStart"/>
      <w:r>
        <w:rPr>
          <w:rtl/>
        </w:rPr>
        <w:t>שורין</w:t>
      </w:r>
      <w:proofErr w:type="spellEnd"/>
      <w:r>
        <w:rPr>
          <w:rtl/>
        </w:rPr>
        <w:t xml:space="preserve"> ביקר פעמים רבות בבית ר׳ </w:t>
      </w:r>
      <w:proofErr w:type="spellStart"/>
      <w:r>
        <w:rPr>
          <w:rtl/>
        </w:rPr>
        <w:t>איסר־זלמן</w:t>
      </w:r>
      <w:proofErr w:type="spellEnd"/>
      <w:r>
        <w:rPr>
          <w:rtl/>
        </w:rPr>
        <w:t xml:space="preserve"> באמצע שנות </w:t>
      </w:r>
      <w:proofErr w:type="spellStart"/>
      <w:r>
        <w:rPr>
          <w:rtl/>
        </w:rPr>
        <w:t>הת״ר־צ</w:t>
      </w:r>
      <w:proofErr w:type="spellEnd"/>
      <w:r>
        <w:rPr>
          <w:rtl/>
        </w:rPr>
        <w:t>׳, וקיבל ממנו סמיכה.</w:t>
      </w:r>
    </w:p>
    <w:p w14:paraId="327A7614" w14:textId="77777777" w:rsidR="00AB3647" w:rsidRDefault="00000000" w:rsidP="007923E9">
      <w:pPr>
        <w:spacing w:after="120" w:line="276" w:lineRule="auto"/>
        <w:ind w:firstLine="283"/>
        <w:jc w:val="both"/>
      </w:pPr>
      <w:r>
        <w:rPr>
          <w:rtl/>
        </w:rPr>
        <w:t xml:space="preserve">ר׳ ישראל </w:t>
      </w:r>
      <w:proofErr w:type="spellStart"/>
      <w:r>
        <w:rPr>
          <w:rtl/>
        </w:rPr>
        <w:t>שורין</w:t>
      </w:r>
      <w:proofErr w:type="spellEnd"/>
      <w:r>
        <w:rPr>
          <w:rtl/>
        </w:rPr>
        <w:t xml:space="preserve"> העלה את הסברה שהסבא חשש שאישיותו הנעימה של ר׳ </w:t>
      </w:r>
      <w:proofErr w:type="spellStart"/>
      <w:r>
        <w:rPr>
          <w:rtl/>
        </w:rPr>
        <w:t>איסר־זלמן</w:t>
      </w:r>
      <w:proofErr w:type="spellEnd"/>
      <w:r>
        <w:rPr>
          <w:rtl/>
        </w:rPr>
        <w:t xml:space="preserve"> תמשוך כל כך את התלמידים, עד שהשפעתו שלו עליהם תצטמצם. הסבא </w:t>
      </w:r>
      <w:proofErr w:type="spellStart"/>
      <w:r>
        <w:rPr>
          <w:rtl/>
        </w:rPr>
        <w:t>מסלבודקה</w:t>
      </w:r>
      <w:proofErr w:type="spellEnd"/>
      <w:r>
        <w:rPr>
          <w:rtl/>
        </w:rPr>
        <w:t xml:space="preserve"> חש ש</w:t>
      </w:r>
      <w:r>
        <w:rPr>
          <w:b/>
          <w:bCs/>
          <w:rtl/>
        </w:rPr>
        <w:t>שליטתו שלו</w:t>
      </w:r>
      <w:r>
        <w:rPr>
          <w:rtl/>
        </w:rPr>
        <w:t xml:space="preserve"> חיונית להצלת עולם התורה ממה שנראה בעיניו דרך של התאבדות – דחיית המוסר. אבי הרהר בהצעה לרגע והשיב: “כך אתה חושב? לא ייתכן [שהסבא יעשה דבר כזה]!” אבל בשנים מאוחרות יותר, כשהציע ר׳ ישראל </w:t>
      </w:r>
      <w:proofErr w:type="spellStart"/>
      <w:r>
        <w:rPr>
          <w:rtl/>
        </w:rPr>
        <w:t>שורין</w:t>
      </w:r>
      <w:proofErr w:type="spellEnd"/>
      <w:r>
        <w:rPr>
          <w:rtl/>
        </w:rPr>
        <w:t xml:space="preserve"> הסבר זה </w:t>
      </w:r>
      <w:proofErr w:type="spellStart"/>
      <w:r>
        <w:rPr>
          <w:rtl/>
        </w:rPr>
        <w:t>לר</w:t>
      </w:r>
      <w:proofErr w:type="spellEnd"/>
      <w:r>
        <w:rPr>
          <w:rtl/>
        </w:rPr>
        <w:t xml:space="preserve">׳ חיים </w:t>
      </w:r>
      <w:proofErr w:type="spellStart"/>
      <w:r>
        <w:rPr>
          <w:rtl/>
        </w:rPr>
        <w:t>סרנא</w:t>
      </w:r>
      <w:proofErr w:type="spellEnd"/>
      <w:r>
        <w:rPr>
          <w:rtl/>
        </w:rPr>
        <w:t xml:space="preserve">, אמר האחרון: “הרעיון שלך אינו חדש. אבי” – ר׳ </w:t>
      </w:r>
      <w:proofErr w:type="spellStart"/>
      <w:r>
        <w:rPr>
          <w:rtl/>
        </w:rPr>
        <w:t>חצקל</w:t>
      </w:r>
      <w:proofErr w:type="spellEnd"/>
      <w:r>
        <w:rPr>
          <w:rtl/>
        </w:rPr>
        <w:t xml:space="preserve"> </w:t>
      </w:r>
      <w:proofErr w:type="spellStart"/>
      <w:r>
        <w:rPr>
          <w:rtl/>
        </w:rPr>
        <w:t>סרנא</w:t>
      </w:r>
      <w:proofErr w:type="spellEnd"/>
      <w:r>
        <w:rPr>
          <w:rtl/>
        </w:rPr>
        <w:t>, שהיה מתלמידי הסבא וכנראה קרוב אליו יותר מרבנו – “תמיד סבר כך.”</w:t>
      </w:r>
    </w:p>
    <w:p w14:paraId="1F109C0F" w14:textId="77777777" w:rsidR="00AB3647" w:rsidRDefault="00000000" w:rsidP="007923E9">
      <w:pPr>
        <w:spacing w:after="120" w:line="276" w:lineRule="auto"/>
        <w:ind w:firstLine="283"/>
        <w:jc w:val="both"/>
      </w:pPr>
      <w:r>
        <w:rPr>
          <w:rtl/>
        </w:rPr>
        <w:t xml:space="preserve">דעתו של אבי על כוונת הסבא מתאמתת אם נכונה טענת “לב איברא” – ראה הפסקה הקודמת – שישיבת </w:t>
      </w:r>
      <w:proofErr w:type="spellStart"/>
      <w:r>
        <w:rPr>
          <w:rtl/>
        </w:rPr>
        <w:t>סלוצק</w:t>
      </w:r>
      <w:proofErr w:type="spellEnd"/>
      <w:r>
        <w:rPr>
          <w:rtl/>
        </w:rPr>
        <w:t xml:space="preserve"> הוכנה כמקום מקלט </w:t>
      </w:r>
      <w:r>
        <w:rPr>
          <w:b/>
          <w:bCs/>
          <w:rtl/>
        </w:rPr>
        <w:t>לכל ישיבת הסבא</w:t>
      </w:r>
      <w:r>
        <w:rPr>
          <w:rtl/>
        </w:rPr>
        <w:t xml:space="preserve">. בניגוד להשערתם של ר׳ ישראל </w:t>
      </w:r>
      <w:proofErr w:type="spellStart"/>
      <w:r>
        <w:rPr>
          <w:rtl/>
        </w:rPr>
        <w:t>שורין</w:t>
      </w:r>
      <w:proofErr w:type="spellEnd"/>
      <w:r>
        <w:rPr>
          <w:rtl/>
        </w:rPr>
        <w:t xml:space="preserve"> ור׳ חיים </w:t>
      </w:r>
      <w:proofErr w:type="spellStart"/>
      <w:r>
        <w:rPr>
          <w:rtl/>
        </w:rPr>
        <w:t>סרנא</w:t>
      </w:r>
      <w:proofErr w:type="spellEnd"/>
      <w:r>
        <w:rPr>
          <w:rtl/>
        </w:rPr>
        <w:t xml:space="preserve">, הסבא לא הגלה את ר׳ </w:t>
      </w:r>
      <w:proofErr w:type="spellStart"/>
      <w:r>
        <w:rPr>
          <w:rtl/>
        </w:rPr>
        <w:t>איסר־זלמן</w:t>
      </w:r>
      <w:proofErr w:type="spellEnd"/>
      <w:r>
        <w:rPr>
          <w:rtl/>
        </w:rPr>
        <w:t xml:space="preserve"> מלצר. דווקא בשל תכונותיו המושכות העדיף אותו על פני ר׳ </w:t>
      </w:r>
      <w:proofErr w:type="spellStart"/>
      <w:r>
        <w:rPr>
          <w:rtl/>
        </w:rPr>
        <w:t>משה־מרדכי</w:t>
      </w:r>
      <w:proofErr w:type="spellEnd"/>
      <w:r>
        <w:rPr>
          <w:rtl/>
        </w:rPr>
        <w:t xml:space="preserve"> אפשטיין</w:t>
      </w:r>
      <w:bookmarkStart w:id="2992" w:name="_fnr2115"/>
      <w:r>
        <w:rPr>
          <w:rStyle w:val="a5"/>
        </w:rPr>
        <w:footnoteReference w:id="2121" w:customMarkFollows="0"/>
      </w:r>
      <w:bookmarkEnd w:id="2992"/>
      <w:r>
        <w:rPr>
          <w:rtl/>
        </w:rPr>
        <w:t xml:space="preserve"> להנהגת הישיבה לאחר העתקתה למקומה החדש.</w:t>
      </w:r>
    </w:p>
    <w:p w14:paraId="5B3FA72A" w14:textId="77777777" w:rsidR="00AB3647" w:rsidRDefault="00000000" w:rsidP="007923E9">
      <w:pPr>
        <w:spacing w:after="120" w:line="276" w:lineRule="auto"/>
        <w:ind w:firstLine="283"/>
        <w:jc w:val="both"/>
      </w:pPr>
      <w:r>
        <w:rPr>
          <w:rtl/>
        </w:rPr>
        <w:t xml:space="preserve">אשר לסברתו של ר׳ </w:t>
      </w:r>
      <w:proofErr w:type="spellStart"/>
      <w:r>
        <w:rPr>
          <w:rtl/>
        </w:rPr>
        <w:t>איסר־זלמן</w:t>
      </w:r>
      <w:proofErr w:type="spellEnd"/>
      <w:r>
        <w:rPr>
          <w:rtl/>
        </w:rPr>
        <w:t xml:space="preserve"> מלצר שהסבא </w:t>
      </w:r>
      <w:proofErr w:type="spellStart"/>
      <w:r>
        <w:rPr>
          <w:rtl/>
        </w:rPr>
        <w:t>מסלבודקה</w:t>
      </w:r>
      <w:proofErr w:type="spellEnd"/>
      <w:r>
        <w:rPr>
          <w:rtl/>
        </w:rPr>
        <w:t xml:space="preserve"> צפה “מחלוקת מרה וקשה... העומדת להתרחש”: ייתכן שהסבא צפה פילוג קרוב, אבל בדרך של פרידה ידידותית בין מחנות המצדדים במוסר והמתנגדים לו; ואילו “המחלוקת המרה והקשה” שהתפתחה כשחל הפילוג בפועל נולדה </w:t>
      </w:r>
      <w:r>
        <w:rPr>
          <w:b/>
          <w:bCs/>
          <w:rtl/>
        </w:rPr>
        <w:t xml:space="preserve">כתוצאה בלתי צפויה של הקמת השלוחה </w:t>
      </w:r>
      <w:proofErr w:type="spellStart"/>
      <w:r>
        <w:rPr>
          <w:b/>
          <w:bCs/>
          <w:rtl/>
        </w:rPr>
        <w:t>בסלוצק</w:t>
      </w:r>
      <w:proofErr w:type="spellEnd"/>
      <w:r>
        <w:rPr>
          <w:rtl/>
        </w:rPr>
        <w:t xml:space="preserve"> – כמבואר בפסקה הראשונה של נספח זה. השווה גם </w:t>
      </w:r>
      <w:proofErr w:type="spellStart"/>
      <w:r>
        <w:rPr>
          <w:rtl/>
        </w:rPr>
        <w:t>דבורץ</w:t>
      </w:r>
      <w:proofErr w:type="spellEnd"/>
      <w:r>
        <w:rPr>
          <w:rtl/>
        </w:rPr>
        <w:t>, “הגאון רבי משה מרדכי אפשטיין”</w:t>
      </w:r>
      <w:bookmarkStart w:id="2993" w:name="_fnr2116"/>
      <w:r>
        <w:rPr>
          <w:rStyle w:val="a5"/>
        </w:rPr>
        <w:footnoteReference w:id="2122" w:customMarkFollows="0"/>
      </w:r>
      <w:bookmarkEnd w:id="2993"/>
      <w:r>
        <w:rPr>
          <w:rtl/>
        </w:rPr>
        <w:t xml:space="preserve">, הטוען שכמה מן התלמידים החשובים </w:t>
      </w:r>
      <w:proofErr w:type="spellStart"/>
      <w:r>
        <w:rPr>
          <w:rtl/>
        </w:rPr>
        <w:t>בסלבודקה</w:t>
      </w:r>
      <w:proofErr w:type="spellEnd"/>
      <w:r>
        <w:rPr>
          <w:rtl/>
        </w:rPr>
        <w:t xml:space="preserve"> קינאו בחבריהם שנבחרו ללכת עם ר׳ </w:t>
      </w:r>
      <w:proofErr w:type="spellStart"/>
      <w:r>
        <w:rPr>
          <w:rtl/>
        </w:rPr>
        <w:t>איסר־זלמן</w:t>
      </w:r>
      <w:proofErr w:type="spellEnd"/>
      <w:r>
        <w:rPr>
          <w:rtl/>
        </w:rPr>
        <w:t xml:space="preserve">, </w:t>
      </w:r>
      <w:r>
        <w:rPr>
          <w:b/>
          <w:bCs/>
          <w:rtl/>
        </w:rPr>
        <w:t>ומתוך כך</w:t>
      </w:r>
      <w:r>
        <w:rPr>
          <w:rtl/>
        </w:rPr>
        <w:t xml:space="preserve"> החלו למצוא דופי בהנהלת הישיבה, ובכך תרמו לאווירה המתנגדת למוסר.</w:t>
      </w:r>
    </w:p>
    <w:bookmarkStart w:id="2994" w:name="b3_excP"/>
    <w:p w14:paraId="33FCED8B" w14:textId="77777777" w:rsidR="00AB3647" w:rsidRDefault="00000000" w:rsidP="007923E9">
      <w:pPr>
        <w:pStyle w:val="3"/>
        <w:spacing w:line="276" w:lineRule="auto"/>
      </w:pPr>
      <w:r>
        <w:lastRenderedPageBreak/>
        <w:fldChar w:fldCharType="begin" w:dirty="true"/>
      </w:r>
      <w:r>
        <w:rPr>
          <w:rtl w:val="0"/>
        </w:rPr>
        <w:instrText>HYPERLINK \l "b3_note45</w:instrText>
      </w:r>
      <w:r>
        <w:instrText>"</w:instrText>
      </w:r>
      <w:r>
        <w:fldChar w:fldCharType="separate"/>
      </w:r>
      <w:r>
        <w:t xml:space="preserve">נספח </w:t>
      </w:r>
      <w:proofErr w:type="spellStart"/>
      <w:r>
        <w:t>טז</w:t>
      </w:r>
      <w:proofErr w:type="spellEnd"/>
      <w:r>
        <w:fldChar w:fldCharType="end"/>
      </w:r>
      <w:bookmarkEnd w:id="2994"/>
    </w:p>
    <w:p w14:paraId="0931CDEF" w14:textId="77777777" w:rsidR="00AB3647" w:rsidRDefault="00000000" w:rsidP="007923E9">
      <w:pPr>
        <w:pStyle w:val="af"/>
        <w:spacing w:line="276" w:lineRule="auto"/>
      </w:pPr>
      <w:r>
        <w:t xml:space="preserve">על הזיקה בין השמות שניתנו לשני חלקיה של ישיבת </w:t>
      </w:r>
      <w:proofErr w:type="spellStart"/>
      <w:r>
        <w:t>סלבודקה</w:t>
      </w:r>
      <w:proofErr w:type="spellEnd"/>
      <w:r>
        <w:t xml:space="preserve"> שהתפלגה, ובין שמותיהם של ישיבת רבנו יצחק אלחנן בניו יורק ושל ישיבת נר ישראל בבולטימור</w:t>
      </w:r>
    </w:p>
    <w:p w14:paraId="56B5F488" w14:textId="77777777" w:rsidR="00AB3647" w:rsidRDefault="00000000" w:rsidP="007923E9">
      <w:pPr>
        <w:pStyle w:val="4"/>
        <w:spacing w:line="276" w:lineRule="auto"/>
      </w:pPr>
      <w:r>
        <w:t>· הפסקה הראשונה ·</w:t>
      </w:r>
    </w:p>
    <w:p w14:paraId="1D72F3C7" w14:textId="77777777" w:rsidR="00AB3647" w:rsidRDefault="00000000" w:rsidP="007923E9">
      <w:pPr>
        <w:pStyle w:val="5"/>
        <w:spacing w:line="276" w:lineRule="auto"/>
      </w:pPr>
      <w:r>
        <w:t xml:space="preserve">ישיבות </w:t>
      </w:r>
      <w:proofErr w:type="spellStart"/>
      <w:r>
        <w:t>סלבודקה</w:t>
      </w:r>
      <w:proofErr w:type="spellEnd"/>
      <w:r>
        <w:t xml:space="preserve"> נקראות על שם מי שנתפסו כיריבים – המתנגדים למוסר טוענים שתורת ר׳ ישראל משתנה – אנשי המוסר נוטרים איבה </w:t>
      </w:r>
      <w:proofErr w:type="spellStart"/>
      <w:r>
        <w:t>לר</w:t>
      </w:r>
      <w:proofErr w:type="spellEnd"/>
      <w:r>
        <w:t>׳ יעקב הלוי ליפשיץ</w:t>
      </w:r>
    </w:p>
    <w:p w14:paraId="5DFEE21F" w14:textId="77777777" w:rsidR="00AB3647" w:rsidRDefault="00000000" w:rsidP="007923E9">
      <w:pPr>
        <w:spacing w:after="120" w:line="276" w:lineRule="auto"/>
        <w:ind w:firstLine="283"/>
        <w:jc w:val="both"/>
      </w:pPr>
      <w:r>
        <w:rPr>
          <w:rtl/>
        </w:rPr>
        <w:t xml:space="preserve">הישיבה הישנה אימצה את שמו של רב קובנה, שנחשב לרב המוביל בליטא ונפטר זמן קצר קודם לכן, כדי לרמוז להתנגדות למוסר שאחזו בה גדולי התורה של הדור הקודם, ובהם ר׳ </w:t>
      </w:r>
      <w:proofErr w:type="spellStart"/>
      <w:r>
        <w:rPr>
          <w:rtl/>
        </w:rPr>
        <w:t>יצחק־אלחנן</w:t>
      </w:r>
      <w:bookmarkStart w:id="2995" w:name="_fnr2117"/>
      <w:proofErr w:type="spellEnd"/>
      <w:r>
        <w:rPr>
          <w:rStyle w:val="a5"/>
        </w:rPr>
        <w:footnoteReference w:id="2123" w:customMarkFollows="0"/>
      </w:r>
      <w:bookmarkEnd w:id="2995"/>
      <w:r>
        <w:rPr>
          <w:rtl/>
        </w:rPr>
        <w:t xml:space="preserve">. ר׳ </w:t>
      </w:r>
      <w:proofErr w:type="spellStart"/>
      <w:r>
        <w:rPr>
          <w:rtl/>
        </w:rPr>
        <w:t>יצחק־אלחנן</w:t>
      </w:r>
      <w:proofErr w:type="spellEnd"/>
      <w:r>
        <w:rPr>
          <w:rtl/>
        </w:rPr>
        <w:t xml:space="preserve"> </w:t>
      </w:r>
      <w:proofErr w:type="spellStart"/>
      <w:r>
        <w:rPr>
          <w:rtl/>
        </w:rPr>
        <w:t>ספקטור</w:t>
      </w:r>
      <w:proofErr w:type="spellEnd"/>
      <w:r>
        <w:rPr>
          <w:rtl/>
        </w:rPr>
        <w:t xml:space="preserve"> נתפס כמתנגד למוסר, אף שבאיגרתו “עלבונה של תורה”</w:t>
      </w:r>
      <w:bookmarkStart w:id="2996" w:name="_fnr2118"/>
      <w:r>
        <w:rPr>
          <w:rStyle w:val="a5"/>
        </w:rPr>
        <w:footnoteReference w:id="2124" w:customMarkFollows="0"/>
      </w:r>
      <w:bookmarkEnd w:id="2996"/>
      <w:r>
        <w:rPr>
          <w:rtl/>
        </w:rPr>
        <w:t xml:space="preserve"> הגן בלהט על ר׳ </w:t>
      </w:r>
      <w:proofErr w:type="spellStart"/>
      <w:r>
        <w:rPr>
          <w:rtl/>
        </w:rPr>
        <w:t>איצל׳ה</w:t>
      </w:r>
      <w:proofErr w:type="spellEnd"/>
      <w:r>
        <w:rPr>
          <w:rtl/>
        </w:rPr>
        <w:t xml:space="preserve"> </w:t>
      </w:r>
      <w:proofErr w:type="spellStart"/>
      <w:r>
        <w:rPr>
          <w:rtl/>
        </w:rPr>
        <w:t>פטרבורגר</w:t>
      </w:r>
      <w:proofErr w:type="spellEnd"/>
      <w:r>
        <w:rPr>
          <w:rtl/>
        </w:rPr>
        <w:t xml:space="preserve"> מפני האשמות במרמה ובצביעות (מצד חוגים הקרובים למשכילים), ואף שכשנקרא ר׳ ישראל </w:t>
      </w:r>
      <w:proofErr w:type="spellStart"/>
      <w:r>
        <w:rPr>
          <w:rtl/>
        </w:rPr>
        <w:t>סלנטר</w:t>
      </w:r>
      <w:proofErr w:type="spellEnd"/>
      <w:r>
        <w:rPr>
          <w:rtl/>
        </w:rPr>
        <w:t xml:space="preserve"> לקובנה בשנת תרכ״ד והוצעה לו רבנות העיר, הוא שייעץ לעיר לקבל במקומו את ר׳ </w:t>
      </w:r>
      <w:proofErr w:type="spellStart"/>
      <w:r>
        <w:rPr>
          <w:rtl/>
        </w:rPr>
        <w:t>יצחק־אלחנן</w:t>
      </w:r>
      <w:proofErr w:type="spellEnd"/>
      <w:r>
        <w:rPr>
          <w:rtl/>
        </w:rPr>
        <w:t xml:space="preserve"> </w:t>
      </w:r>
      <w:proofErr w:type="spellStart"/>
      <w:r>
        <w:rPr>
          <w:rtl/>
        </w:rPr>
        <w:t>מנובהרדוק</w:t>
      </w:r>
      <w:proofErr w:type="spellEnd"/>
      <w:r>
        <w:rPr>
          <w:rtl/>
        </w:rPr>
        <w:t>.</w:t>
      </w:r>
    </w:p>
    <w:p w14:paraId="1635AE62" w14:textId="77777777" w:rsidR="00AB3647" w:rsidRDefault="00000000" w:rsidP="007923E9">
      <w:pPr>
        <w:spacing w:after="120" w:line="276" w:lineRule="auto"/>
        <w:ind w:firstLine="283"/>
        <w:jc w:val="both"/>
      </w:pPr>
      <w:r>
        <w:rPr>
          <w:rtl/>
        </w:rPr>
        <w:t xml:space="preserve">בדומה לכך, הבחירה לקרוא את ישיבת המוסר החדשה על שמו של מייסד תנועת המוסר, המנוח והנערץ מאוד, נועדה להורות שתורתו של רבם לא השתבשה בידי תלמידיו – בניגוד לטענות מתנגדי המוסר כבר </w:t>
      </w:r>
      <w:proofErr w:type="spellStart"/>
      <w:r>
        <w:rPr>
          <w:rtl/>
        </w:rPr>
        <w:t>מתרמ״ג</w:t>
      </w:r>
      <w:proofErr w:type="spellEnd"/>
      <w:r>
        <w:rPr>
          <w:rtl/>
        </w:rPr>
        <w:t xml:space="preserve">, שנת פטירתו של ר׳ ישראל </w:t>
      </w:r>
      <w:proofErr w:type="spellStart"/>
      <w:r>
        <w:rPr>
          <w:rtl/>
        </w:rPr>
        <w:t>סלנטר</w:t>
      </w:r>
      <w:proofErr w:type="spellEnd"/>
      <w:r>
        <w:rPr>
          <w:rtl/>
        </w:rPr>
        <w:t>.</w:t>
      </w:r>
      <w:bookmarkStart w:id="2997" w:name="_fnr2119"/>
      <w:r>
        <w:rPr>
          <w:rStyle w:val="a5"/>
        </w:rPr>
        <w:footnoteReference w:id="2125" w:customMarkFollows="0"/>
      </w:r>
      <w:bookmarkEnd w:id="2997"/>
    </w:p>
    <w:p w14:paraId="246FA764" w14:textId="77777777" w:rsidR="00AB3647" w:rsidRDefault="00000000" w:rsidP="007923E9">
      <w:pPr>
        <w:spacing w:after="120" w:line="276" w:lineRule="auto"/>
        <w:ind w:firstLine="283"/>
        <w:jc w:val="both"/>
      </w:pPr>
      <w:r>
        <w:rPr>
          <w:rtl/>
        </w:rPr>
        <w:t>ר׳ יעקב הלוי ליפשיץ</w:t>
      </w:r>
      <w:bookmarkStart w:id="2998" w:name="_fnr2120"/>
      <w:r>
        <w:rPr>
          <w:rStyle w:val="a5"/>
        </w:rPr>
        <w:footnoteReference w:id="2126" w:customMarkFollows="0"/>
      </w:r>
      <w:bookmarkEnd w:id="2998"/>
      <w:r>
        <w:rPr>
          <w:rtl/>
        </w:rPr>
        <w:t xml:space="preserve"> מבטא טענה זו נגד המוסר בכרך השלישי של “</w:t>
      </w:r>
      <w:proofErr w:type="spellStart"/>
      <w:r>
        <w:rPr>
          <w:rtl/>
        </w:rPr>
        <w:t>זכרון</w:t>
      </w:r>
      <w:proofErr w:type="spellEnd"/>
      <w:r>
        <w:rPr>
          <w:rtl/>
        </w:rPr>
        <w:t xml:space="preserve"> יעקב”,</w:t>
      </w:r>
      <w:bookmarkStart w:id="2999" w:name="_fnr2121"/>
      <w:r>
        <w:rPr>
          <w:rStyle w:val="a5"/>
        </w:rPr>
        <w:footnoteReference w:id="2127" w:customMarkFollows="0"/>
      </w:r>
      <w:bookmarkEnd w:id="2999"/>
      <w:r>
        <w:rPr>
          <w:rtl/>
        </w:rPr>
        <w:t xml:space="preserve"> כך: “רוב[!] גדולי דורו [של ר׳ ישראל </w:t>
      </w:r>
      <w:proofErr w:type="spellStart"/>
      <w:r>
        <w:rPr>
          <w:rtl/>
        </w:rPr>
        <w:t>סלנטר</w:t>
      </w:r>
      <w:proofErr w:type="spellEnd"/>
      <w:r>
        <w:rPr>
          <w:rtl/>
        </w:rPr>
        <w:t>], אף שהכירו היטב בגדלותו בתורה, בצדקתו העצומה ובכוונתו הטובה, חששו שתורה זו של המוסר, בלהט התלהבותה, עלולה לגרום לפירוד מסוים. במיוחד חששו ש</w:t>
      </w:r>
      <w:r>
        <w:rPr>
          <w:b/>
          <w:bCs/>
          <w:rtl/>
        </w:rPr>
        <w:t>הדורות הבאים, תלמידי תלמידיו של ר׳ ישראל</w:t>
      </w:r>
      <w:r>
        <w:rPr>
          <w:rtl/>
        </w:rPr>
        <w:t xml:space="preserve"> (ההדגשה שלי), לא יראו את האספקלריא המאירה של אותו גאון וצדיק ולא ירדו לעומק דעתו וכוונתו. הם עלולים לשבש את תורתו וליצור סיעה חדשה, שתמעיט ברבות הזמן בחשיבות העיקרית של העלייה במעלות התורה, שהיא העיקר הנצחי.”</w:t>
      </w:r>
    </w:p>
    <w:p w14:paraId="6A756D3C" w14:textId="77777777" w:rsidR="00AB3647" w:rsidRDefault="00000000" w:rsidP="007923E9">
      <w:pPr>
        <w:spacing w:after="120" w:line="276" w:lineRule="auto"/>
        <w:ind w:firstLine="283"/>
        <w:jc w:val="both"/>
      </w:pPr>
      <w:r>
        <w:rPr>
          <w:rtl/>
        </w:rPr>
        <w:t xml:space="preserve">ר׳ יעקב הלוי ליפשיץ כתב דברים אלו בשעה </w:t>
      </w:r>
      <w:proofErr w:type="spellStart"/>
      <w:r>
        <w:rPr>
          <w:rtl/>
        </w:rPr>
        <w:t>ש“תלמידי</w:t>
      </w:r>
      <w:proofErr w:type="spellEnd"/>
      <w:r>
        <w:rPr>
          <w:rtl/>
        </w:rPr>
        <w:t xml:space="preserve"> תלמידיו” של ר׳ ישראל – כגון הסבא </w:t>
      </w:r>
      <w:proofErr w:type="spellStart"/>
      <w:r>
        <w:rPr>
          <w:rtl/>
        </w:rPr>
        <w:t>מסלבודקה</w:t>
      </w:r>
      <w:proofErr w:type="spellEnd"/>
      <w:r>
        <w:rPr>
          <w:rtl/>
        </w:rPr>
        <w:t xml:space="preserve"> – כבר פעלו זה עשרות שנים. אם כן רמז בבירור שלדעתו אכן סטו מכוונתו האמיתית של מייסד תנועתם.</w:t>
      </w:r>
    </w:p>
    <w:p w14:paraId="35EC82B2" w14:textId="77777777" w:rsidR="00AB3647" w:rsidRDefault="00000000" w:rsidP="007923E9">
      <w:pPr>
        <w:spacing w:after="120" w:line="276" w:lineRule="auto"/>
        <w:ind w:firstLine="283"/>
        <w:jc w:val="both"/>
      </w:pPr>
      <w:r>
        <w:rPr>
          <w:rtl/>
        </w:rPr>
        <w:t>ר׳ יעקב הלוי ליפשיץ נפטר בערב ראש השנה תרפ״ב, וכתביו נדפסו אחרי פטירתו בידי בנו ר׳ נטע. הכרך השלישי של “</w:t>
      </w:r>
      <w:proofErr w:type="spellStart"/>
      <w:r>
        <w:rPr>
          <w:rtl/>
        </w:rPr>
        <w:t>זכרון</w:t>
      </w:r>
      <w:proofErr w:type="spellEnd"/>
      <w:r>
        <w:rPr>
          <w:rtl/>
        </w:rPr>
        <w:t xml:space="preserve"> יעקב” נדפס </w:t>
      </w:r>
      <w:proofErr w:type="spellStart"/>
      <w:r>
        <w:rPr>
          <w:rtl/>
        </w:rPr>
        <w:t>בתר״ץ</w:t>
      </w:r>
      <w:proofErr w:type="spellEnd"/>
      <w:r>
        <w:rPr>
          <w:rtl/>
        </w:rPr>
        <w:t xml:space="preserve">, אחרי פטירת הסבא. הסבא לא ידע אם כן שר׳ יעקב הלוי ליפשיץ סבר שהוא משבש את תורת ר׳ ישראל </w:t>
      </w:r>
      <w:proofErr w:type="spellStart"/>
      <w:r>
        <w:rPr>
          <w:rtl/>
        </w:rPr>
        <w:t>סלנטר</w:t>
      </w:r>
      <w:proofErr w:type="spellEnd"/>
      <w:r>
        <w:rPr>
          <w:rtl/>
        </w:rPr>
        <w:t xml:space="preserve">. לפיכך היחסים בינו </w:t>
      </w:r>
      <w:r>
        <w:rPr>
          <w:rtl/>
        </w:rPr>
        <w:lastRenderedPageBreak/>
        <w:t>לבין ר׳ יעקב הלוי ובנו ר׳ נטע, שלושתם תושבי קובנה–</w:t>
      </w:r>
      <w:proofErr w:type="spellStart"/>
      <w:r>
        <w:rPr>
          <w:rtl/>
        </w:rPr>
        <w:t>סלבודקה</w:t>
      </w:r>
      <w:proofErr w:type="spellEnd"/>
      <w:r>
        <w:rPr>
          <w:rtl/>
        </w:rPr>
        <w:t>, מעולם לא נעשו עוינים בגלוי. אפשר לשער שאילו האריך ר׳ יעקב הלוי ליפשיץ ימים עד שהוציא בעצמו את “</w:t>
      </w:r>
      <w:proofErr w:type="spellStart"/>
      <w:r>
        <w:rPr>
          <w:rtl/>
        </w:rPr>
        <w:t>זכרון</w:t>
      </w:r>
      <w:proofErr w:type="spellEnd"/>
      <w:r>
        <w:rPr>
          <w:rtl/>
        </w:rPr>
        <w:t xml:space="preserve"> יעקב”, ובייחוד אילו היה הסבא עדיין בחיים באותה שעה, היה מצנזר את כתביו ולא מפרסם ברבים את הטענה על “תלמידי תלמידיו”.</w:t>
      </w:r>
    </w:p>
    <w:p w14:paraId="4D5EAFB8" w14:textId="77777777" w:rsidR="00AB3647" w:rsidRDefault="00000000" w:rsidP="007923E9">
      <w:pPr>
        <w:spacing w:after="120" w:line="276" w:lineRule="auto"/>
        <w:ind w:firstLine="283"/>
        <w:jc w:val="both"/>
      </w:pPr>
      <w:r>
        <w:rPr>
          <w:rtl/>
        </w:rPr>
        <w:t>עמדתו הכללית של ר׳ יעקב הלוי ליפשיץ נגד המוסר עוררה עליו את איבתם של תלמידי הסבא, כמו שציין נכדו במכתב אליי.</w:t>
      </w:r>
      <w:bookmarkStart w:id="3000" w:name="_fnr2122"/>
      <w:r>
        <w:rPr>
          <w:rStyle w:val="a5"/>
        </w:rPr>
        <w:footnoteReference w:id="2128" w:customMarkFollows="0"/>
      </w:r>
      <w:bookmarkEnd w:id="3000"/>
      <w:r>
        <w:rPr>
          <w:rtl/>
        </w:rPr>
        <w:t xml:space="preserve"> דוגמה לביקורתו של אבי עליו מצויה בהערה שהעיר באוזני בעל נכדתו, ר׳ נתן שטרן:</w:t>
      </w:r>
      <w:bookmarkStart w:id="3001" w:name="_fnr2123"/>
      <w:r>
        <w:rPr>
          <w:rStyle w:val="a5"/>
        </w:rPr>
        <w:footnoteReference w:id="2129" w:customMarkFollows="0"/>
      </w:r>
      <w:bookmarkEnd w:id="3001"/>
      <w:r>
        <w:rPr>
          <w:rtl/>
        </w:rPr>
        <w:t xml:space="preserve"> “הוא הנהיג [מנהיג </w:t>
      </w:r>
      <w:proofErr w:type="spellStart"/>
      <w:r>
        <w:rPr>
          <w:rtl/>
        </w:rPr>
        <w:t>געווען</w:t>
      </w:r>
      <w:proofErr w:type="spellEnd"/>
      <w:r>
        <w:rPr>
          <w:rtl/>
        </w:rPr>
        <w:t xml:space="preserve">] את העולם כולו, </w:t>
      </w:r>
      <w:proofErr w:type="spellStart"/>
      <w:r>
        <w:rPr>
          <w:rtl/>
        </w:rPr>
        <w:t>ו‘עשה</w:t>
      </w:r>
      <w:proofErr w:type="spellEnd"/>
      <w:r>
        <w:rPr>
          <w:rtl/>
        </w:rPr>
        <w:t xml:space="preserve"> גדולים’: היה חותם את שמו של ר׳ </w:t>
      </w:r>
      <w:proofErr w:type="spellStart"/>
      <w:r>
        <w:rPr>
          <w:rtl/>
        </w:rPr>
        <w:t>יצחק־אלחנן</w:t>
      </w:r>
      <w:proofErr w:type="spellEnd"/>
      <w:r>
        <w:rPr>
          <w:rtl/>
        </w:rPr>
        <w:t xml:space="preserve"> על קול קורא, ואחר כך מוסיף שם אחר, של אדם מוכר פחות, וכך גרם לאנשים לומר שגם החותם האחר אדם גדול.”</w:t>
      </w:r>
    </w:p>
    <w:p w14:paraId="44880381" w14:textId="77777777" w:rsidR="00AB3647" w:rsidRDefault="00000000" w:rsidP="007923E9">
      <w:pPr>
        <w:spacing w:after="120" w:line="276" w:lineRule="auto"/>
        <w:ind w:firstLine="283"/>
        <w:jc w:val="both"/>
      </w:pPr>
      <w:r>
        <w:rPr>
          <w:rtl/>
        </w:rPr>
        <w:t xml:space="preserve">אבל באותה שיחה עם ר׳ נתן שטרן גם שיבח אבי את ר׳ יעקב הלוי ליפשיץ, ואמר: “ר׳ יעקב הלוי ליפשיץ היה אדם צנוע. כאשר חלה ר׳ </w:t>
      </w:r>
      <w:proofErr w:type="spellStart"/>
      <w:r>
        <w:rPr>
          <w:rtl/>
        </w:rPr>
        <w:t>אליהו־ברוך</w:t>
      </w:r>
      <w:proofErr w:type="spellEnd"/>
      <w:r>
        <w:rPr>
          <w:rtl/>
        </w:rPr>
        <w:t xml:space="preserve"> קמאי, אחד מגדולי התורה בדורו, ור׳ יעקב הלוי ליפשיץ בא לבקרו” – אני משער שהדבר אירע בזמן מלחמת העולם הראשונה, במינסק</w:t>
      </w:r>
      <w:bookmarkStart w:id="3002" w:name="_fnr2124"/>
      <w:r>
        <w:rPr>
          <w:rStyle w:val="a5"/>
        </w:rPr>
        <w:footnoteReference w:id="2130" w:customMarkFollows="0"/>
      </w:r>
      <w:bookmarkEnd w:id="3002"/>
      <w:r>
        <w:rPr>
          <w:rtl/>
        </w:rPr>
        <w:t xml:space="preserve"> – “עמד ר׳ </w:t>
      </w:r>
      <w:proofErr w:type="spellStart"/>
      <w:r>
        <w:rPr>
          <w:rtl/>
        </w:rPr>
        <w:t>אליהו־ברוך</w:t>
      </w:r>
      <w:proofErr w:type="spellEnd"/>
      <w:r>
        <w:rPr>
          <w:rtl/>
        </w:rPr>
        <w:t xml:space="preserve"> קמאי לפניו מלא קומתו.</w:t>
      </w:r>
      <w:bookmarkStart w:id="3003" w:name="_fnr2125"/>
      <w:r>
        <w:rPr>
          <w:rStyle w:val="a5"/>
        </w:rPr>
        <w:footnoteReference w:id="2131" w:customMarkFollows="0"/>
      </w:r>
      <w:bookmarkEnd w:id="3003"/>
      <w:r>
        <w:rPr>
          <w:rtl/>
        </w:rPr>
        <w:t xml:space="preserve"> עד כדי כך העריכו את ר׳ יעקב הלוי.” רבנו הצמיד את צניעותו של ר׳ יעקב הלוי להערכה הרבה שרחשו לו, ונראה שהתכוון לומר שאילו לא היה צנוע, היה בוודאי מוצא דרכים להודיע לעולם שגדולי התורה מעריכים אותו, עוד לפני שהדבר נודע מתוך אותו אירוע חולף.</w:t>
      </w:r>
      <w:bookmarkStart w:id="3004" w:name="_fnr2126"/>
      <w:r>
        <w:rPr>
          <w:rStyle w:val="a5"/>
        </w:rPr>
        <w:footnoteReference w:id="2132" w:customMarkFollows="0"/>
      </w:r>
      <w:bookmarkEnd w:id="3004"/>
    </w:p>
    <w:p w14:paraId="30FB47A7" w14:textId="77777777" w:rsidR="00AB3647" w:rsidRDefault="00000000" w:rsidP="007923E9">
      <w:pPr>
        <w:spacing w:after="120" w:line="276" w:lineRule="auto"/>
        <w:ind w:firstLine="283"/>
        <w:jc w:val="both"/>
      </w:pPr>
      <w:r>
        <w:rPr>
          <w:rtl/>
        </w:rPr>
        <w:t xml:space="preserve">ר׳ יעקב הלוי ליפשיץ שיתף פעולה באופן מלא עם ר׳ ישראל עצמו במאבקו נגד בית המדרש לרבנים שביקשו אנשי האצולה היהודית להקים ברוסיה בשנות </w:t>
      </w:r>
      <w:proofErr w:type="spellStart"/>
      <w:r>
        <w:rPr>
          <w:rtl/>
        </w:rPr>
        <w:t>התר״מ</w:t>
      </w:r>
      <w:proofErr w:type="spellEnd"/>
      <w:r>
        <w:rPr>
          <w:rtl/>
        </w:rPr>
        <w:t>,</w:t>
      </w:r>
      <w:bookmarkStart w:id="3005" w:name="_fnr2127"/>
      <w:r>
        <w:rPr>
          <w:rStyle w:val="a5"/>
        </w:rPr>
        <w:footnoteReference w:id="2133" w:customMarkFollows="0"/>
      </w:r>
      <w:bookmarkEnd w:id="3005"/>
      <w:r>
        <w:rPr>
          <w:rtl/>
        </w:rPr>
        <w:t xml:space="preserve"> כשם ששיתף עמו פעולה בעניין הכולל בקובנה.</w:t>
      </w:r>
      <w:bookmarkStart w:id="3006" w:name="_fnr2128"/>
      <w:r>
        <w:rPr>
          <w:rStyle w:val="a5"/>
        </w:rPr>
        <w:footnoteReference w:id="2134" w:customMarkFollows="0"/>
      </w:r>
      <w:bookmarkEnd w:id="3006"/>
    </w:p>
    <w:p w14:paraId="32F898B3" w14:textId="77777777" w:rsidR="00AB3647" w:rsidRDefault="00000000" w:rsidP="007923E9">
      <w:pPr>
        <w:pStyle w:val="4"/>
        <w:spacing w:line="276" w:lineRule="auto"/>
      </w:pPr>
      <w:r>
        <w:lastRenderedPageBreak/>
        <w:t>· הפסקה השנייה ·</w:t>
      </w:r>
    </w:p>
    <w:p w14:paraId="0606EC5D" w14:textId="77777777" w:rsidR="00AB3647" w:rsidRDefault="00000000" w:rsidP="007923E9">
      <w:pPr>
        <w:pStyle w:val="5"/>
        <w:spacing w:line="276" w:lineRule="auto"/>
      </w:pPr>
      <w:r>
        <w:t xml:space="preserve">נטען שישיבת רבנו יצחק אלחנן נקראה בשמה מאותו טעם שנקראה כנסת בית יצחק </w:t>
      </w:r>
      <w:proofErr w:type="spellStart"/>
      <w:r>
        <w:t>בסלבודקה</w:t>
      </w:r>
      <w:proofErr w:type="spellEnd"/>
      <w:r>
        <w:t xml:space="preserve"> – ר׳ </w:t>
      </w:r>
      <w:proofErr w:type="spellStart"/>
      <w:r>
        <w:t>ברוך־בער</w:t>
      </w:r>
      <w:proofErr w:type="spellEnd"/>
      <w:r>
        <w:t xml:space="preserve"> מכנה את המוסד האמריקאי באותו שם – הוא מתכתב עם תלמידו של ר׳ חיים בישיבת רבנו יצחק אלחנן על הוצאת ספר רבם לאור – להבנתו נדרשת יגיעה – תפקיד המשגיח בישיבות שאינן ישיבות מוסר – נר ישראל בבולטימור בוחרת את שמה כדי להזדהות עם המוסר</w:t>
      </w:r>
    </w:p>
    <w:p w14:paraId="52A65D63" w14:textId="77777777" w:rsidR="00AB3647" w:rsidRDefault="00000000" w:rsidP="007923E9">
      <w:pPr>
        <w:spacing w:after="120" w:line="276" w:lineRule="auto"/>
        <w:ind w:firstLine="283"/>
        <w:jc w:val="both"/>
      </w:pPr>
      <w:r>
        <w:rPr>
          <w:rtl/>
        </w:rPr>
        <w:t xml:space="preserve">הקורא האמריקאי יתעניין במאמרו של ש. </w:t>
      </w:r>
      <w:proofErr w:type="spellStart"/>
      <w:r>
        <w:rPr>
          <w:rtl/>
        </w:rPr>
        <w:t>דייווידסאן</w:t>
      </w:r>
      <w:bookmarkStart w:id="3007" w:name="_fnr2129"/>
      <w:proofErr w:type="spellEnd"/>
      <w:r>
        <w:rPr>
          <w:rStyle w:val="a5"/>
        </w:rPr>
        <w:footnoteReference w:id="2135" w:customMarkFollows="0"/>
      </w:r>
      <w:bookmarkEnd w:id="3007"/>
      <w:r>
        <w:rPr>
          <w:rtl/>
        </w:rPr>
        <w:t xml:space="preserve"> </w:t>
      </w:r>
      <w:proofErr w:type="spellStart"/>
      <w:r>
        <w:rPr>
          <w:rtl/>
        </w:rPr>
        <w:t>ב“דער</w:t>
      </w:r>
      <w:proofErr w:type="spellEnd"/>
      <w:r>
        <w:rPr>
          <w:rtl/>
        </w:rPr>
        <w:t xml:space="preserve"> איד”,</w:t>
      </w:r>
      <w:bookmarkStart w:id="3008" w:name="_fnr2130"/>
      <w:r>
        <w:rPr>
          <w:rStyle w:val="a5"/>
        </w:rPr>
        <w:footnoteReference w:id="2136" w:customMarkFollows="0"/>
      </w:r>
      <w:bookmarkEnd w:id="3008"/>
      <w:r>
        <w:rPr>
          <w:rtl/>
        </w:rPr>
        <w:t xml:space="preserve"> הטוען שהרמז להתנגדות למוסר שנקשר לשמו של ר׳ </w:t>
      </w:r>
      <w:proofErr w:type="spellStart"/>
      <w:r>
        <w:rPr>
          <w:rtl/>
        </w:rPr>
        <w:t>יצחק־אלחנן</w:t>
      </w:r>
      <w:proofErr w:type="spellEnd"/>
      <w:r>
        <w:rPr>
          <w:rtl/>
        </w:rPr>
        <w:t xml:space="preserve"> השפיע על מתן שמה של הישיבה הראשונה בארצות הברית. במאמר נאמר: “עלתה השאלה אם יש לכלול לימוד מוסר בתוכנית הלימודים, ורוב המייסדים התנגדו לכך. הם קראו לישיבה ישיבת רבנו יצחק אלחנן כדי לציין את ההשקפה נגד המוסר שנרמזה בשמו של הרב מקובנה.” כששאלתי אותו,</w:t>
      </w:r>
      <w:bookmarkStart w:id="3009" w:name="_fnr2131"/>
      <w:r>
        <w:rPr>
          <w:rStyle w:val="a5"/>
        </w:rPr>
        <w:footnoteReference w:id="2137" w:customMarkFollows="0"/>
      </w:r>
      <w:bookmarkEnd w:id="3009"/>
      <w:r>
        <w:rPr>
          <w:rtl/>
        </w:rPr>
        <w:t xml:space="preserve"> אמר </w:t>
      </w:r>
      <w:proofErr w:type="spellStart"/>
      <w:r>
        <w:rPr>
          <w:rtl/>
        </w:rPr>
        <w:t>דייווידסאן</w:t>
      </w:r>
      <w:proofErr w:type="spellEnd"/>
      <w:r>
        <w:rPr>
          <w:rtl/>
        </w:rPr>
        <w:t xml:space="preserve"> ששמע את הסיפור מר׳ יעקב </w:t>
      </w:r>
      <w:proofErr w:type="spellStart"/>
      <w:r>
        <w:rPr>
          <w:rtl/>
        </w:rPr>
        <w:t>קנטרוביץ</w:t>
      </w:r>
      <w:proofErr w:type="spellEnd"/>
      <w:r>
        <w:rPr>
          <w:rtl/>
        </w:rPr>
        <w:t>, שהזכירו בפנייה פומבית לאיסוף כספים למען ישיבת רבנו יצחק אלחנן. אבל הטענה שרגשות נגד המוסר הם שהביאו לבחירת שם הישיבה מופרכת בעליל, כפי שיבואר להלן.</w:t>
      </w:r>
    </w:p>
    <w:p w14:paraId="5359823E" w14:textId="77777777" w:rsidR="00AB3647" w:rsidRDefault="00000000" w:rsidP="007923E9">
      <w:pPr>
        <w:spacing w:after="120" w:line="276" w:lineRule="auto"/>
        <w:ind w:firstLine="283"/>
        <w:jc w:val="both"/>
      </w:pPr>
      <w:r>
        <w:rPr>
          <w:rtl/>
        </w:rPr>
        <w:t xml:space="preserve">את הקשר בין שמה של ישיבת רבנו יצחק אלחנן באמריקה לבין השם שניתן לישיבה </w:t>
      </w:r>
      <w:proofErr w:type="spellStart"/>
      <w:r>
        <w:rPr>
          <w:rtl/>
        </w:rPr>
        <w:t>הישנה־חדשה</w:t>
      </w:r>
      <w:proofErr w:type="spellEnd"/>
      <w:r>
        <w:rPr>
          <w:rtl/>
        </w:rPr>
        <w:t xml:space="preserve"> </w:t>
      </w:r>
      <w:proofErr w:type="spellStart"/>
      <w:r>
        <w:rPr>
          <w:rtl/>
        </w:rPr>
        <w:t>בסלבודקה</w:t>
      </w:r>
      <w:proofErr w:type="spellEnd"/>
      <w:r>
        <w:rPr>
          <w:rtl/>
        </w:rPr>
        <w:t xml:space="preserve">, כנסת בית יצחק, העלה ר׳ </w:t>
      </w:r>
      <w:proofErr w:type="spellStart"/>
      <w:r>
        <w:rPr>
          <w:rtl/>
        </w:rPr>
        <w:t>ברוך־בער</w:t>
      </w:r>
      <w:proofErr w:type="spellEnd"/>
      <w:r>
        <w:rPr>
          <w:rtl/>
        </w:rPr>
        <w:t xml:space="preserve">, אף שלא במתכוון. כראש הישיבה האחרון במקום הולדתה, </w:t>
      </w:r>
      <w:proofErr w:type="spellStart"/>
      <w:r>
        <w:rPr>
          <w:rtl/>
        </w:rPr>
        <w:t>סלבודקה</w:t>
      </w:r>
      <w:proofErr w:type="spellEnd"/>
      <w:r>
        <w:rPr>
          <w:rtl/>
        </w:rPr>
        <w:t xml:space="preserve">, שמר ר׳ </w:t>
      </w:r>
      <w:proofErr w:type="spellStart"/>
      <w:r>
        <w:rPr>
          <w:rtl/>
        </w:rPr>
        <w:t>ברוך־בער</w:t>
      </w:r>
      <w:proofErr w:type="spellEnd"/>
      <w:r>
        <w:rPr>
          <w:rtl/>
        </w:rPr>
        <w:t xml:space="preserve"> על השם “בית יצחק” לישיבה שהקים אחרי מלחמת העולם בווילנה, ושעברה אחר כך </w:t>
      </w:r>
      <w:proofErr w:type="spellStart"/>
      <w:r>
        <w:rPr>
          <w:rtl/>
        </w:rPr>
        <w:t>לקמניץ</w:t>
      </w:r>
      <w:proofErr w:type="spellEnd"/>
      <w:r>
        <w:rPr>
          <w:rtl/>
        </w:rPr>
        <w:t>.</w:t>
      </w:r>
    </w:p>
    <w:p w14:paraId="2BE67837" w14:textId="77777777" w:rsidR="00AB3647" w:rsidRDefault="00000000" w:rsidP="007923E9">
      <w:pPr>
        <w:spacing w:after="120" w:line="276" w:lineRule="auto"/>
        <w:ind w:firstLine="283"/>
        <w:jc w:val="both"/>
      </w:pPr>
      <w:r>
        <w:rPr>
          <w:rtl/>
        </w:rPr>
        <w:t xml:space="preserve">ר׳ </w:t>
      </w:r>
      <w:proofErr w:type="spellStart"/>
      <w:r>
        <w:rPr>
          <w:rtl/>
        </w:rPr>
        <w:t>ברוך־בער</w:t>
      </w:r>
      <w:proofErr w:type="spellEnd"/>
      <w:r>
        <w:rPr>
          <w:rtl/>
        </w:rPr>
        <w:t xml:space="preserve"> כתב מכתב</w:t>
      </w:r>
      <w:bookmarkStart w:id="3010" w:name="_fnr2132"/>
      <w:bookmarkStart w:id="3011" w:name="pr_f_2037"/>
      <w:r>
        <w:rPr>
          <w:rStyle w:val="a5"/>
        </w:rPr>
        <w:footnoteReference w:id="2138" w:customMarkFollows="0"/>
      </w:r>
      <w:bookmarkEnd w:id="3010"/>
      <w:bookmarkEnd w:id="3011"/>
      <w:r>
        <w:rPr>
          <w:rtl/>
        </w:rPr>
        <w:t xml:space="preserve"> </w:t>
      </w:r>
      <w:proofErr w:type="spellStart"/>
      <w:r>
        <w:rPr>
          <w:rtl/>
        </w:rPr>
        <w:t>ל“רב</w:t>
      </w:r>
      <w:proofErr w:type="spellEnd"/>
      <w:r>
        <w:rPr>
          <w:rtl/>
        </w:rPr>
        <w:t xml:space="preserve"> </w:t>
      </w:r>
      <w:proofErr w:type="spellStart"/>
      <w:r>
        <w:rPr>
          <w:rtl/>
        </w:rPr>
        <w:t>בנויארק</w:t>
      </w:r>
      <w:proofErr w:type="spellEnd"/>
      <w:r>
        <w:rPr>
          <w:rtl/>
        </w:rPr>
        <w:t xml:space="preserve">” (כך במקור), ר׳ אהרן </w:t>
      </w:r>
      <w:proofErr w:type="spellStart"/>
      <w:r>
        <w:rPr>
          <w:rtl/>
        </w:rPr>
        <w:t>טייטלבוים</w:t>
      </w:r>
      <w:proofErr w:type="spellEnd"/>
      <w:r>
        <w:rPr>
          <w:rtl/>
        </w:rPr>
        <w:t xml:space="preserve">, ובו ביקש: “רחם על האומה, שים לב לייסוריה, והבא אור לתוך החשכה בכך שתספק את הכספים להוצאת ‘כתבי תורתו [של רבי חיים הלוי </w:t>
      </w:r>
      <w:proofErr w:type="spellStart"/>
      <w:r>
        <w:rPr>
          <w:rtl/>
        </w:rPr>
        <w:t>סולובייצ׳יק</w:t>
      </w:r>
      <w:proofErr w:type="spellEnd"/>
      <w:r>
        <w:rPr>
          <w:rtl/>
        </w:rPr>
        <w:t>] על כל התורה’.”</w:t>
      </w:r>
      <w:bookmarkStart w:id="3012" w:name="_fnr2133"/>
      <w:r>
        <w:rPr>
          <w:rStyle w:val="a5"/>
        </w:rPr>
        <w:footnoteReference w:id="2139" w:customMarkFollows="0"/>
      </w:r>
      <w:bookmarkEnd w:id="3012"/>
    </w:p>
    <w:p w14:paraId="439E9AD7" w14:textId="77777777" w:rsidR="00AB3647" w:rsidRDefault="00000000" w:rsidP="007923E9">
      <w:pPr>
        <w:spacing w:after="120" w:line="276" w:lineRule="auto"/>
        <w:ind w:firstLine="283"/>
        <w:jc w:val="both"/>
      </w:pPr>
      <w:r>
        <w:rPr>
          <w:rtl/>
        </w:rPr>
        <w:t xml:space="preserve">המכתב מסתיים בפסקה המעשית הזאת: “אנא, ידידי הנכבד, יחד עם שאר ידידיו הרבנים הגאונים, עושו חושו גושו... ספקו את הכספים במהירות ושלחום ל[בנו של ר׳ חיים, ר׳ </w:t>
      </w:r>
      <w:proofErr w:type="spellStart"/>
      <w:r>
        <w:rPr>
          <w:rtl/>
        </w:rPr>
        <w:t xml:space="preserve">וועלוול׳ה</w:t>
      </w:r>
      <w:proofErr w:type="spellEnd"/>
      <w:r>
        <w:rPr>
          <w:rtl/>
        </w:rPr>
        <w:t xml:space="preserve">,] הגאון </w:t>
      </w:r>
      <w:proofErr w:type="spellStart"/>
      <w:r>
        <w:rPr>
          <w:rtl/>
        </w:rPr>
        <w:t>מבריסק</w:t>
      </w:r>
      <w:proofErr w:type="spellEnd"/>
      <w:r>
        <w:rPr>
          <w:rtl/>
        </w:rPr>
        <w:t xml:space="preserve">. בטוחני שאתם... תטפלו בעניין. כתבתי גם לידידנו הטוב הגאון הגדול ר׳ שלמה נ״י </w:t>
      </w:r>
      <w:proofErr w:type="spellStart"/>
      <w:r>
        <w:rPr>
          <w:rtl/>
        </w:rPr>
        <w:t>שליט״א</w:t>
      </w:r>
      <w:proofErr w:type="spellEnd"/>
      <w:r>
        <w:rPr>
          <w:rtl/>
        </w:rPr>
        <w:t xml:space="preserve"> [</w:t>
      </w:r>
      <w:proofErr w:type="spellStart"/>
      <w:r>
        <w:rPr>
          <w:rtl/>
        </w:rPr>
        <w:t>פוליצ׳ק</w:t>
      </w:r>
      <w:proofErr w:type="spellEnd"/>
      <w:r>
        <w:rPr>
          <w:rtl/>
        </w:rPr>
        <w:t xml:space="preserve">, העילוי </w:t>
      </w:r>
      <w:proofErr w:type="spellStart"/>
      <w:r>
        <w:rPr>
          <w:rtl/>
        </w:rPr>
        <w:t>ממייצ׳ט</w:t>
      </w:r>
      <w:bookmarkStart w:id="3013" w:name="_fnr2134"/>
      <w:proofErr w:type="spellEnd"/>
      <w:r>
        <w:rPr>
          <w:rStyle w:val="a5"/>
        </w:rPr>
        <w:footnoteReference w:id="2140" w:customMarkFollows="0"/>
      </w:r>
      <w:bookmarkEnd w:id="3013"/>
      <w:r>
        <w:rPr>
          <w:rtl/>
        </w:rPr>
        <w:t xml:space="preserve">], </w:t>
      </w:r>
      <w:proofErr w:type="spellStart"/>
      <w:r>
        <w:rPr>
          <w:rtl/>
        </w:rPr>
        <w:t>הר״מ</w:t>
      </w:r>
      <w:proofErr w:type="spellEnd"/>
      <w:r>
        <w:rPr>
          <w:rtl/>
        </w:rPr>
        <w:t xml:space="preserve"> </w:t>
      </w:r>
      <w:proofErr w:type="spellStart"/>
      <w:r>
        <w:rPr>
          <w:rtl/>
        </w:rPr>
        <w:t>דבית</w:t>
      </w:r>
      <w:proofErr w:type="spellEnd"/>
      <w:r>
        <w:rPr>
          <w:rtl/>
        </w:rPr>
        <w:t xml:space="preserve"> יצחק </w:t>
      </w:r>
      <w:proofErr w:type="spellStart"/>
      <w:r>
        <w:rPr>
          <w:rtl/>
        </w:rPr>
        <w:t>בנויארק</w:t>
      </w:r>
      <w:proofErr w:type="spellEnd"/>
      <w:r>
        <w:rPr>
          <w:rtl/>
        </w:rPr>
        <w:t xml:space="preserve">. פעלו יחד בעניין זה, וה׳ יתברך יביא הצלחה לכבוד שמו.” כאן מכנה ר׳ </w:t>
      </w:r>
      <w:proofErr w:type="spellStart"/>
      <w:r>
        <w:rPr>
          <w:rtl/>
        </w:rPr>
        <w:t>ברוך־בער</w:t>
      </w:r>
      <w:proofErr w:type="spellEnd"/>
      <w:r>
        <w:rPr>
          <w:rtl/>
        </w:rPr>
        <w:t xml:space="preserve"> את ישיבת רבנו יצחק אלחנן, שבראשה עמד ר׳ שלמה </w:t>
      </w:r>
      <w:proofErr w:type="spellStart"/>
      <w:r>
        <w:rPr>
          <w:rtl/>
        </w:rPr>
        <w:t>פוליצ׳ק</w:t>
      </w:r>
      <w:proofErr w:type="spellEnd"/>
      <w:r>
        <w:rPr>
          <w:rtl/>
        </w:rPr>
        <w:t xml:space="preserve"> בשש השנים האחרונות לחייו, בשם (כנסת) בית יצחק.</w:t>
      </w:r>
    </w:p>
    <w:p w14:paraId="36A7012C" w14:textId="77777777" w:rsidR="00AB3647" w:rsidRDefault="00000000" w:rsidP="007923E9">
      <w:pPr>
        <w:spacing w:after="120" w:line="276" w:lineRule="auto"/>
        <w:ind w:firstLine="283"/>
        <w:jc w:val="both"/>
      </w:pPr>
      <w:r>
        <w:rPr>
          <w:rtl/>
        </w:rPr>
        <w:lastRenderedPageBreak/>
        <w:t xml:space="preserve">על התלהבותו של ר׳ </w:t>
      </w:r>
      <w:proofErr w:type="spellStart"/>
      <w:r>
        <w:rPr>
          <w:rtl/>
        </w:rPr>
        <w:t>ברוך־בער</w:t>
      </w:r>
      <w:proofErr w:type="spellEnd"/>
      <w:r>
        <w:rPr>
          <w:rtl/>
        </w:rPr>
        <w:t xml:space="preserve"> להוצאת ספר רבו, שראה אור (</w:t>
      </w:r>
      <w:proofErr w:type="spellStart"/>
      <w:r>
        <w:rPr>
          <w:rtl/>
        </w:rPr>
        <w:t>ו“הביא</w:t>
      </w:r>
      <w:proofErr w:type="spellEnd"/>
      <w:r>
        <w:rPr>
          <w:rtl/>
        </w:rPr>
        <w:t xml:space="preserve"> אור”) רק יותר משמונה שנים אחרי פנייתו לרב </w:t>
      </w:r>
      <w:proofErr w:type="spellStart"/>
      <w:r>
        <w:rPr>
          <w:rtl/>
        </w:rPr>
        <w:t>טייטלבוים</w:t>
      </w:r>
      <w:proofErr w:type="spellEnd"/>
      <w:r>
        <w:rPr>
          <w:rtl/>
        </w:rPr>
        <w:t>, השווה “אש תמיד”.</w:t>
      </w:r>
      <w:bookmarkStart w:id="3014" w:name="_fnr2135"/>
      <w:r>
        <w:rPr>
          <w:rStyle w:val="a5"/>
        </w:rPr>
        <w:footnoteReference w:id="2141" w:customMarkFollows="0"/>
      </w:r>
      <w:bookmarkEnd w:id="3014"/>
      <w:r>
        <w:rPr>
          <w:rtl/>
        </w:rPr>
        <w:t xml:space="preserve"> שם מתואר כיצד הכניס ר׳ </w:t>
      </w:r>
      <w:proofErr w:type="spellStart"/>
      <w:r>
        <w:rPr>
          <w:rtl/>
        </w:rPr>
        <w:t>ברוך־בער</w:t>
      </w:r>
      <w:proofErr w:type="spellEnd"/>
      <w:r>
        <w:rPr>
          <w:rtl/>
        </w:rPr>
        <w:t xml:space="preserve"> את “חידושי רבנו חיים הלוי על הרמב״ם”, שיצא זה עתה לאור, לבניין ישיבתו החדש </w:t>
      </w:r>
      <w:proofErr w:type="spellStart"/>
      <w:r>
        <w:rPr>
          <w:rtl/>
        </w:rPr>
        <w:t>בקמניץ</w:t>
      </w:r>
      <w:proofErr w:type="spellEnd"/>
      <w:r>
        <w:rPr>
          <w:rtl/>
        </w:rPr>
        <w:t xml:space="preserve">, יחד עם תהלוכת הכנסת ספר תורה. אפשר שר׳ </w:t>
      </w:r>
      <w:proofErr w:type="spellStart"/>
      <w:r>
        <w:rPr>
          <w:rtl/>
        </w:rPr>
        <w:t>ברוך־בער</w:t>
      </w:r>
      <w:proofErr w:type="spellEnd"/>
      <w:r>
        <w:rPr>
          <w:rtl/>
        </w:rPr>
        <w:t xml:space="preserve"> ראה בנעוריו דרך זו של הכנסת ספרים חשובים לבית המדרש, כגון גמרות וכרכי הרמב״ם והטור: בימים שבהם היו הספרים נדירים, היו מביאים כרכים בודדים מבית התורם בתהלוכה מיוחדת, והגבאים היו מוכרים את הזכות לשאת כל כרך. תיאור כיצד נעשה הדבר ראה </w:t>
      </w:r>
      <w:proofErr w:type="spellStart"/>
      <w:r>
        <w:rPr>
          <w:rtl/>
        </w:rPr>
        <w:t>ב“זכרון</w:t>
      </w:r>
      <w:proofErr w:type="spellEnd"/>
      <w:r>
        <w:rPr>
          <w:rtl/>
        </w:rPr>
        <w:t xml:space="preserve"> יעקב”.</w:t>
      </w:r>
      <w:bookmarkStart w:id="3015" w:name="_fnr2136"/>
      <w:r>
        <w:rPr>
          <w:rStyle w:val="a5"/>
        </w:rPr>
        <w:footnoteReference w:id="2142" w:customMarkFollows="0"/>
      </w:r>
      <w:bookmarkEnd w:id="3015"/>
    </w:p>
    <w:p w14:paraId="3FE4D15F" w14:textId="77777777" w:rsidR="00AB3647" w:rsidRDefault="00000000" w:rsidP="007923E9">
      <w:pPr>
        <w:spacing w:after="120" w:line="276" w:lineRule="auto"/>
        <w:ind w:firstLine="283"/>
        <w:jc w:val="both"/>
      </w:pPr>
      <w:r>
        <w:rPr>
          <w:rtl/>
        </w:rPr>
        <w:t>השווה גם וקסמן–תלפיות,</w:t>
      </w:r>
      <w:bookmarkStart w:id="3016" w:name="_fnr2137"/>
      <w:r>
        <w:rPr>
          <w:rStyle w:val="a5"/>
        </w:rPr>
        <w:footnoteReference w:id="2143" w:customMarkFollows="0"/>
      </w:r>
      <w:bookmarkEnd w:id="3016"/>
      <w:r>
        <w:rPr>
          <w:rtl/>
        </w:rPr>
        <w:t xml:space="preserve"> המספר </w:t>
      </w:r>
      <w:proofErr w:type="spellStart"/>
      <w:r>
        <w:rPr>
          <w:rtl/>
        </w:rPr>
        <w:t>שבתרפ״ה</w:t>
      </w:r>
      <w:proofErr w:type="spellEnd"/>
      <w:r>
        <w:rPr>
          <w:rtl/>
        </w:rPr>
        <w:t xml:space="preserve">, שנים אחדות לפני מכתב הבקשה הנזכר של ר׳ </w:t>
      </w:r>
      <w:proofErr w:type="spellStart"/>
      <w:r>
        <w:rPr>
          <w:rtl/>
        </w:rPr>
        <w:t>ברוך־בער</w:t>
      </w:r>
      <w:proofErr w:type="spellEnd"/>
      <w:r>
        <w:rPr>
          <w:rtl/>
        </w:rPr>
        <w:t xml:space="preserve">, החל ר׳ שלמה </w:t>
      </w:r>
      <w:proofErr w:type="spellStart"/>
      <w:r>
        <w:rPr>
          <w:rtl/>
        </w:rPr>
        <w:t>פוליצ׳ק</w:t>
      </w:r>
      <w:proofErr w:type="spellEnd"/>
      <w:r>
        <w:rPr>
          <w:rtl/>
        </w:rPr>
        <w:t xml:space="preserve">, העילוי </w:t>
      </w:r>
      <w:proofErr w:type="spellStart"/>
      <w:r>
        <w:rPr>
          <w:rtl/>
        </w:rPr>
        <w:t>ממייצ׳ט</w:t>
      </w:r>
      <w:proofErr w:type="spellEnd"/>
      <w:r>
        <w:rPr>
          <w:rtl/>
        </w:rPr>
        <w:t xml:space="preserve">, לעבוד עם ר׳ </w:t>
      </w:r>
      <w:proofErr w:type="spellStart"/>
      <w:r>
        <w:rPr>
          <w:rtl/>
        </w:rPr>
        <w:t>לייזר־יודל</w:t>
      </w:r>
      <w:proofErr w:type="spellEnd"/>
      <w:r>
        <w:rPr>
          <w:rtl/>
        </w:rPr>
        <w:t xml:space="preserve"> </w:t>
      </w:r>
      <w:proofErr w:type="spellStart"/>
      <w:r>
        <w:rPr>
          <w:rtl/>
        </w:rPr>
        <w:t>פינקל</w:t>
      </w:r>
      <w:proofErr w:type="spellEnd"/>
      <w:r>
        <w:rPr>
          <w:rtl/>
        </w:rPr>
        <w:t xml:space="preserve"> ור׳ לייזר </w:t>
      </w:r>
      <w:proofErr w:type="spellStart"/>
      <w:r>
        <w:rPr>
          <w:rtl/>
        </w:rPr>
        <w:t>סילבר</w:t>
      </w:r>
      <w:proofErr w:type="spellEnd"/>
      <w:r>
        <w:rPr>
          <w:rtl/>
        </w:rPr>
        <w:t xml:space="preserve"> על הקמת קרן מיוחדת שתקל את הוצאת הספר. </w:t>
      </w:r>
      <w:proofErr w:type="spellStart"/>
      <w:r>
        <w:rPr>
          <w:rtl/>
        </w:rPr>
        <w:t>בתרפ״ז</w:t>
      </w:r>
      <w:proofErr w:type="spellEnd"/>
      <w:r>
        <w:rPr>
          <w:rtl/>
        </w:rPr>
        <w:t xml:space="preserve"> שלח העילוי </w:t>
      </w:r>
      <w:proofErr w:type="spellStart"/>
      <w:r>
        <w:rPr>
          <w:rtl/>
        </w:rPr>
        <w:t>ממייצ׳ט</w:t>
      </w:r>
      <w:proofErr w:type="spellEnd"/>
      <w:r>
        <w:rPr>
          <w:rtl/>
        </w:rPr>
        <w:t xml:space="preserve"> מסר לבנו האחר של ר׳ חיים, ר׳ משה </w:t>
      </w:r>
      <w:proofErr w:type="spellStart"/>
      <w:r>
        <w:rPr>
          <w:rtl/>
        </w:rPr>
        <w:t>סולובייצ׳יק</w:t>
      </w:r>
      <w:proofErr w:type="spellEnd"/>
      <w:r>
        <w:rPr>
          <w:rtl/>
        </w:rPr>
        <w:t xml:space="preserve">, בידי ר׳ ניסן וקסמן, שנסע לוורשה, שבה התגורר ר׳ משה באותה שעה. במסר הבטיח לו שהוא עצמו קיבל עליו “לעזור במימון במידה ניכרת”. (השווה גם נספח לא להלן: העילוי </w:t>
      </w:r>
      <w:proofErr w:type="spellStart"/>
      <w:r>
        <w:rPr>
          <w:rtl/>
        </w:rPr>
        <w:t>ממייצ׳ט</w:t>
      </w:r>
      <w:proofErr w:type="spellEnd"/>
      <w:r>
        <w:rPr>
          <w:rtl/>
        </w:rPr>
        <w:t xml:space="preserve"> סייע </w:t>
      </w:r>
      <w:proofErr w:type="spellStart"/>
      <w:r>
        <w:rPr>
          <w:rtl/>
        </w:rPr>
        <w:t>לר</w:t>
      </w:r>
      <w:proofErr w:type="spellEnd"/>
      <w:r>
        <w:rPr>
          <w:rtl/>
        </w:rPr>
        <w:t>׳ חיים בעריכת החידושים.)</w:t>
      </w:r>
    </w:p>
    <w:p w14:paraId="484101ED" w14:textId="77777777" w:rsidR="00AB3647" w:rsidRDefault="00000000" w:rsidP="007923E9">
      <w:pPr>
        <w:spacing w:after="120" w:line="276" w:lineRule="auto"/>
        <w:ind w:firstLine="283"/>
        <w:jc w:val="both"/>
      </w:pPr>
      <w:proofErr w:type="spellStart"/>
      <w:r>
        <w:rPr>
          <w:rtl/>
        </w:rPr>
        <w:t>ב“אידנו</w:t>
      </w:r>
      <w:proofErr w:type="spellEnd"/>
      <w:r>
        <w:rPr>
          <w:rtl/>
        </w:rPr>
        <w:t xml:space="preserve">” [אסוננו], עלון שהוציאה ישיבת רבנו יצחק אלחנן עם פטירתו בטרם עת של העילוי </w:t>
      </w:r>
      <w:proofErr w:type="spellStart"/>
      <w:r>
        <w:rPr>
          <w:rtl/>
        </w:rPr>
        <w:t>ממייצ׳ט</w:t>
      </w:r>
      <w:proofErr w:type="spellEnd"/>
      <w:r>
        <w:rPr>
          <w:rtl/>
        </w:rPr>
        <w:t>, כותב גם חתנו משה גולדברג</w:t>
      </w:r>
      <w:bookmarkStart w:id="3017" w:name="_fnr2138"/>
      <w:r>
        <w:rPr>
          <w:rStyle w:val="a5"/>
        </w:rPr>
        <w:footnoteReference w:id="2144" w:customMarkFollows="0"/>
      </w:r>
      <w:bookmarkEnd w:id="3017"/>
      <w:r>
        <w:rPr>
          <w:rtl/>
        </w:rPr>
        <w:t xml:space="preserve"> </w:t>
      </w:r>
      <w:proofErr w:type="spellStart"/>
      <w:r>
        <w:rPr>
          <w:rtl/>
        </w:rPr>
        <w:t>ש“מפעל</w:t>
      </w:r>
      <w:proofErr w:type="spellEnd"/>
      <w:r>
        <w:rPr>
          <w:rtl/>
        </w:rPr>
        <w:t xml:space="preserve"> גדול עמד לנגד עיניו של [חותנו], להוציא לאור את חידושי רבו; הוא עבד על כך במרץ רב”, עד שהשיגו המוות בכ״א בתמוז תרפ״ח.</w:t>
      </w:r>
      <w:bookmarkStart w:id="3018" w:name="_fnr2139"/>
      <w:bookmarkStart w:id="3019" w:name="pr_f_2044"/>
      <w:r>
        <w:rPr>
          <w:rStyle w:val="a5"/>
        </w:rPr>
        <w:footnoteReference w:id="2145" w:customMarkFollows="0"/>
      </w:r>
      <w:bookmarkEnd w:id="3018"/>
      <w:bookmarkEnd w:id="3019"/>
      <w:r>
        <w:rPr>
          <w:rtl/>
        </w:rPr>
        <w:t xml:space="preserve"> מאחר שהעילוי </w:t>
      </w:r>
      <w:proofErr w:type="spellStart"/>
      <w:r>
        <w:rPr>
          <w:rtl/>
        </w:rPr>
        <w:t>ממייצ׳ט</w:t>
      </w:r>
      <w:proofErr w:type="spellEnd"/>
      <w:r>
        <w:rPr>
          <w:rtl/>
        </w:rPr>
        <w:t xml:space="preserve"> פעל לקידום הוצאת כתבי היד לכל המאוחר מאז תרפ״ה, סביר שר׳ </w:t>
      </w:r>
      <w:proofErr w:type="spellStart"/>
      <w:r>
        <w:rPr>
          <w:rtl/>
        </w:rPr>
        <w:t>ברוך־בער</w:t>
      </w:r>
      <w:proofErr w:type="spellEnd"/>
      <w:r>
        <w:rPr>
          <w:rtl/>
        </w:rPr>
        <w:t xml:space="preserve"> התכתב במשך שנים אחדות עם ידידו ר׳ שלמה </w:t>
      </w:r>
      <w:proofErr w:type="spellStart"/>
      <w:r>
        <w:rPr>
          <w:rtl/>
        </w:rPr>
        <w:t>פוליצ׳ק</w:t>
      </w:r>
      <w:proofErr w:type="spellEnd"/>
      <w:r>
        <w:rPr>
          <w:rtl/>
        </w:rPr>
        <w:t xml:space="preserve"> על מפעל זה.</w:t>
      </w:r>
    </w:p>
    <w:p w14:paraId="00F3C7D4" w14:textId="77777777" w:rsidR="00AB3647" w:rsidRDefault="00000000" w:rsidP="007923E9">
      <w:pPr>
        <w:spacing w:after="120" w:line="276" w:lineRule="auto"/>
        <w:ind w:firstLine="283"/>
        <w:jc w:val="both"/>
      </w:pPr>
      <w:r>
        <w:rPr>
          <w:rtl/>
        </w:rPr>
        <w:t>השווה גם וקסמן–תלפיות</w:t>
      </w:r>
      <w:bookmarkStart w:id="3020" w:name="_fnr2140"/>
      <w:r>
        <w:rPr>
          <w:rStyle w:val="a5"/>
        </w:rPr>
        <w:footnoteReference w:id="2146" w:customMarkFollows="0"/>
      </w:r>
      <w:bookmarkEnd w:id="3020"/>
      <w:r>
        <w:rPr>
          <w:rtl/>
        </w:rPr>
        <w:t xml:space="preserve"> על תקוותו של ר׳ שלמה </w:t>
      </w:r>
      <w:proofErr w:type="spellStart"/>
      <w:r>
        <w:rPr>
          <w:rtl/>
        </w:rPr>
        <w:t>פוליצ׳ק</w:t>
      </w:r>
      <w:proofErr w:type="spellEnd"/>
      <w:r>
        <w:rPr>
          <w:rtl/>
        </w:rPr>
        <w:t xml:space="preserve"> </w:t>
      </w:r>
      <w:proofErr w:type="spellStart"/>
      <w:r>
        <w:rPr>
          <w:rtl/>
        </w:rPr>
        <w:t>ש“כאשר</w:t>
      </w:r>
      <w:proofErr w:type="spellEnd"/>
      <w:r>
        <w:rPr>
          <w:rtl/>
        </w:rPr>
        <w:t xml:space="preserve"> יצא הספר לאור, יוחזר כבודו של ר׳ חיים”. הוא הצטער על כך </w:t>
      </w:r>
      <w:proofErr w:type="spellStart"/>
      <w:r>
        <w:rPr>
          <w:rtl/>
        </w:rPr>
        <w:t>ש“מוחות</w:t>
      </w:r>
      <w:proofErr w:type="spellEnd"/>
      <w:r>
        <w:rPr>
          <w:rtl/>
        </w:rPr>
        <w:t xml:space="preserve"> חלשים רבים אימצו רק את </w:t>
      </w:r>
      <w:proofErr w:type="spellStart"/>
      <w:r>
        <w:rPr>
          <w:rtl/>
        </w:rPr>
        <w:t>ה‘צאצקעס</w:t>
      </w:r>
      <w:proofErr w:type="spellEnd"/>
      <w:r>
        <w:rPr>
          <w:rtl/>
        </w:rPr>
        <w:t>’ [צעצועים] שברעיונות רבו, ומנסים לחקותו בדרך זולה. הם לא ירדו לעומק מחשבותיו”.</w:t>
      </w:r>
    </w:p>
    <w:p w14:paraId="2345C49E" w14:textId="77777777" w:rsidR="00AB3647" w:rsidRDefault="00000000" w:rsidP="007923E9">
      <w:pPr>
        <w:spacing w:after="120" w:line="276" w:lineRule="auto"/>
        <w:ind w:firstLine="283"/>
        <w:jc w:val="both"/>
      </w:pPr>
      <w:r>
        <w:rPr>
          <w:rtl/>
        </w:rPr>
        <w:t xml:space="preserve">מחבר וקסמן–תלפיות מספר שאחרי הופעת הספר, שלא זכה לתשומת הלב הראויה לו, ניתח ר׳ </w:t>
      </w:r>
      <w:proofErr w:type="spellStart"/>
      <w:r>
        <w:rPr>
          <w:rtl/>
        </w:rPr>
        <w:t>חיים־עוזר</w:t>
      </w:r>
      <w:proofErr w:type="spellEnd"/>
      <w:r>
        <w:rPr>
          <w:rtl/>
        </w:rPr>
        <w:t xml:space="preserve"> </w:t>
      </w:r>
      <w:proofErr w:type="spellStart"/>
      <w:r>
        <w:rPr>
          <w:rtl/>
        </w:rPr>
        <w:t>גרודזנסקי</w:t>
      </w:r>
      <w:proofErr w:type="spellEnd"/>
      <w:r>
        <w:rPr>
          <w:rtl/>
        </w:rPr>
        <w:t xml:space="preserve"> את המצב בדומה לעילוי </w:t>
      </w:r>
      <w:proofErr w:type="spellStart"/>
      <w:r>
        <w:rPr>
          <w:rtl/>
        </w:rPr>
        <w:t>ממייצ׳ט</w:t>
      </w:r>
      <w:proofErr w:type="spellEnd"/>
      <w:r>
        <w:rPr>
          <w:rtl/>
        </w:rPr>
        <w:t xml:space="preserve">: “רושם ראוי במקצת, אף שפחות בהרבה מן הראוי, נותר רק אצל מבינים יחידים, אך על ההמון, שיכולים להיכלל בו גם גדולים וגאונים, לא עשה את הרושם הרצוי. להפך, הופעתו הייתה אכזבה. הם ציפו שכולו יהיה ‘ברקים’ </w:t>
      </w:r>
      <w:proofErr w:type="spellStart"/>
      <w:r>
        <w:rPr>
          <w:rtl/>
        </w:rPr>
        <w:t>ו‘קלאנג</w:t>
      </w:r>
      <w:proofErr w:type="spellEnd"/>
      <w:r>
        <w:rPr>
          <w:rtl/>
        </w:rPr>
        <w:t xml:space="preserve">’ [צלצול] להנאתם </w:t>
      </w:r>
      <w:proofErr w:type="spellStart"/>
      <w:r>
        <w:rPr>
          <w:rtl/>
        </w:rPr>
        <w:t>ולעונגם</w:t>
      </w:r>
      <w:proofErr w:type="spellEnd"/>
      <w:r>
        <w:rPr>
          <w:rtl/>
        </w:rPr>
        <w:t xml:space="preserve">, והוא נמצא ‘לוחות גרניט’ שצריכים </w:t>
      </w:r>
      <w:r>
        <w:rPr>
          <w:rtl/>
        </w:rPr>
        <w:lastRenderedPageBreak/>
        <w:t xml:space="preserve">עבודה ויגיעה [כדי להבינם], ורק אחרי עבודה רבה יבואו </w:t>
      </w:r>
      <w:proofErr w:type="spellStart"/>
      <w:r>
        <w:rPr>
          <w:rtl/>
        </w:rPr>
        <w:t>ה‘קלאנג</w:t>
      </w:r>
      <w:proofErr w:type="spellEnd"/>
      <w:r>
        <w:rPr>
          <w:rtl/>
        </w:rPr>
        <w:t>’ והעונג. בימינו” – בחברת לומדי התורה הטרודה שלפני מלחמת העולם השנייה – “אין לכך ‘</w:t>
      </w:r>
      <w:proofErr w:type="spellStart"/>
      <w:r>
        <w:rPr>
          <w:rtl/>
        </w:rPr>
        <w:t>בעלנים</w:t>
      </w:r>
      <w:proofErr w:type="spellEnd"/>
      <w:r>
        <w:rPr>
          <w:rtl/>
        </w:rPr>
        <w:t>’ [לקוחות].”</w:t>
      </w:r>
    </w:p>
    <w:p w14:paraId="4694A882" w14:textId="2CCD74FA" w:rsidR="00AB3647" w:rsidRDefault="00000000" w:rsidP="007923E9">
      <w:pPr>
        <w:spacing w:after="120" w:line="276" w:lineRule="auto"/>
        <w:ind w:firstLine="283"/>
        <w:jc w:val="both"/>
      </w:pPr>
      <w:r>
        <w:rPr>
          <w:rtl/>
        </w:rPr>
        <w:t xml:space="preserve">השווה גם “עובדות והנהגות לבית </w:t>
      </w:r>
      <w:proofErr w:type="spellStart"/>
      <w:r>
        <w:rPr>
          <w:rtl/>
        </w:rPr>
        <w:t>בריסק</w:t>
      </w:r>
      <w:proofErr w:type="spellEnd"/>
      <w:r>
        <w:rPr>
          <w:rtl/>
        </w:rPr>
        <w:t>”,</w:t>
      </w:r>
      <w:bookmarkStart w:id="3021" w:name="_fnr2141"/>
      <w:r>
        <w:rPr>
          <w:rStyle w:val="a5"/>
        </w:rPr>
        <w:footnoteReference w:id="2147" w:customMarkFollows="0"/>
      </w:r>
      <w:bookmarkEnd w:id="3021"/>
      <w:r>
        <w:rPr>
          <w:rtl/>
        </w:rPr>
        <w:t xml:space="preserve"> בשם ר׳ </w:t>
      </w:r>
      <w:proofErr w:type="spellStart"/>
      <w:r>
        <w:rPr>
          <w:rtl/>
        </w:rPr>
        <w:t>משולם־דוד</w:t>
      </w:r>
      <w:proofErr w:type="spellEnd"/>
      <w:r>
        <w:rPr>
          <w:rtl/>
        </w:rPr>
        <w:t xml:space="preserve"> </w:t>
      </w:r>
      <w:proofErr w:type="spellStart"/>
      <w:r>
        <w:rPr>
          <w:rtl/>
        </w:rPr>
        <w:t>סולובייצ׳יק</w:t>
      </w:r>
      <w:proofErr w:type="spellEnd"/>
      <w:r>
        <w:rPr>
          <w:rtl/>
        </w:rPr>
        <w:t xml:space="preserve">, שר׳ </w:t>
      </w:r>
      <w:proofErr w:type="spellStart"/>
      <w:r>
        <w:rPr>
          <w:rtl/>
        </w:rPr>
        <w:t>חיים־עוזר</w:t>
      </w:r>
      <w:proofErr w:type="spellEnd"/>
      <w:r>
        <w:rPr>
          <w:rtl/>
        </w:rPr>
        <w:t xml:space="preserve"> זירז את אביו ר׳ יצחק־זאב להוציא את חידושי ר׳ חיים, ואמר: “עתה עדיין חיים מקצת תלמידיו של ר׳ חיים מימי </w:t>
      </w:r>
      <w:proofErr w:type="spellStart"/>
      <w:r>
        <w:rPr>
          <w:rtl/>
        </w:rPr>
        <w:t>וולוז׳ין</w:t>
      </w:r>
      <w:proofErr w:type="spellEnd"/>
      <w:r>
        <w:rPr>
          <w:rtl/>
        </w:rPr>
        <w:t xml:space="preserve">, והם יכולים להבין את דבריו; אם תמתינו, כבר לא יהיה בשביל מי להוציא את כתביו.” על תגובתו האישית של ר׳ </w:t>
      </w:r>
      <w:proofErr w:type="spellStart"/>
      <w:r>
        <w:rPr>
          <w:rtl/>
        </w:rPr>
        <w:t>חיים־עוזר</w:t>
      </w:r>
      <w:proofErr w:type="spellEnd"/>
      <w:r>
        <w:rPr>
          <w:rtl/>
        </w:rPr>
        <w:t xml:space="preserve"> להופעת הכרך השווה “ר׳ מנדל </w:t>
      </w:r>
      <w:proofErr w:type="spellStart"/>
      <w:r>
        <w:rPr>
          <w:rtl/>
        </w:rPr>
        <w:t>וחכמתו</w:t>
      </w:r>
      <w:proofErr w:type="spellEnd"/>
      <w:r>
        <w:rPr>
          <w:rtl/>
        </w:rPr>
        <w:t>”,</w:t>
      </w:r>
      <w:bookmarkStart w:id="3022" w:name="_fnr2142"/>
      <w:r>
        <w:rPr>
          <w:rStyle w:val="a5"/>
        </w:rPr>
        <w:footnoteReference w:id="2148" w:customMarkFollows="0"/>
      </w:r>
      <w:bookmarkEnd w:id="3022"/>
      <w:r>
        <w:rPr>
          <w:rtl/>
        </w:rPr>
        <w:t xml:space="preserve"> המצטט “קרוב משפחה” של ר׳ </w:t>
      </w:r>
      <w:proofErr w:type="spellStart"/>
      <w:r>
        <w:rPr>
          <w:rtl/>
        </w:rPr>
        <w:t>חיים־עוזר</w:t>
      </w:r>
      <w:proofErr w:type="spellEnd"/>
      <w:r>
        <w:rPr>
          <w:rtl/>
        </w:rPr>
        <w:t xml:space="preserve"> </w:t>
      </w:r>
      <w:proofErr w:type="spellStart"/>
      <w:r>
        <w:rPr>
          <w:rtl/>
        </w:rPr>
        <w:t>גרודזנסקי</w:t>
      </w:r>
      <w:proofErr w:type="spellEnd"/>
      <w:r>
        <w:rPr>
          <w:rtl/>
        </w:rPr>
        <w:t xml:space="preserve">: “כאשר הגיע הספר לביתו, התרגש עד כדי כך שהחל ממש לרקוד מרוב שמחה.” על דעתו של ר׳ </w:t>
      </w:r>
      <w:proofErr w:type="spellStart"/>
      <w:r>
        <w:rPr>
          <w:rtl/>
        </w:rPr>
        <w:t>חיים־עוזר</w:t>
      </w:r>
      <w:proofErr w:type="spellEnd"/>
      <w:r>
        <w:rPr>
          <w:rtl/>
        </w:rPr>
        <w:t xml:space="preserve"> על שכלו העילאי של ר׳ חיים השווה גם פרק 4, </w:t>
      </w:r>
      <w:r>
        <w:rPr>
          <w:rtl/>
        </w:rPr>
        <w:fldChar w:fldCharType="begin" w:dirty="true"/>
      </w:r>
      <w:r>
        <w:rPr>
          <w:rtl/>
        </w:rPr>
        <w:instrText xml:space="preserve"> REF b4_excM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יג</w:t>
      </w:r>
      <w:proofErr w:type="spellEnd"/>
      <w:r>
        <w:rPr>
          <w:rtl/>
        </w:rPr>
        <w:fldChar w:fldCharType="end"/>
      </w:r>
      <w:r>
        <w:rPr>
          <w:rtl/>
        </w:rPr>
        <w:t>.</w:t>
      </w:r>
    </w:p>
    <w:p w14:paraId="501150AA" w14:textId="77777777" w:rsidR="00AB3647" w:rsidRDefault="00000000" w:rsidP="007923E9">
      <w:pPr>
        <w:spacing w:after="120" w:line="276" w:lineRule="auto"/>
        <w:ind w:firstLine="283"/>
        <w:jc w:val="both"/>
      </w:pPr>
      <w:r>
        <w:rPr>
          <w:rtl/>
        </w:rPr>
        <w:t xml:space="preserve">מקריאה </w:t>
      </w:r>
      <w:proofErr w:type="spellStart"/>
      <w:r>
        <w:rPr>
          <w:rtl/>
        </w:rPr>
        <w:t>ב“סיפורה</w:t>
      </w:r>
      <w:proofErr w:type="spellEnd"/>
      <w:r>
        <w:rPr>
          <w:rtl/>
        </w:rPr>
        <w:t xml:space="preserve"> של ישיבה </w:t>
      </w:r>
      <w:proofErr w:type="spellStart"/>
      <w:r>
        <w:rPr>
          <w:rtl/>
        </w:rPr>
        <w:t>יוניברסיטי</w:t>
      </w:r>
      <w:proofErr w:type="spellEnd"/>
      <w:r>
        <w:rPr>
          <w:rtl/>
        </w:rPr>
        <w:t xml:space="preserve">” מאת </w:t>
      </w:r>
      <w:proofErr w:type="spellStart"/>
      <w:r>
        <w:rPr>
          <w:rtl/>
        </w:rPr>
        <w:t>גילברט</w:t>
      </w:r>
      <w:proofErr w:type="spellEnd"/>
      <w:r>
        <w:rPr>
          <w:rtl/>
        </w:rPr>
        <w:t xml:space="preserve"> </w:t>
      </w:r>
      <w:proofErr w:type="spellStart"/>
      <w:r>
        <w:rPr>
          <w:rtl/>
        </w:rPr>
        <w:t>קלפרמן</w:t>
      </w:r>
      <w:bookmarkStart w:id="3023" w:name="_fnr2143"/>
      <w:proofErr w:type="spellEnd"/>
      <w:r>
        <w:rPr>
          <w:rStyle w:val="a5"/>
        </w:rPr>
        <w:footnoteReference w:id="2149" w:customMarkFollows="0"/>
      </w:r>
      <w:bookmarkEnd w:id="3023"/>
      <w:r>
        <w:rPr>
          <w:rtl/>
        </w:rPr>
        <w:t xml:space="preserve"> עולה שישיבת רבנו יצחק אלחנן נוסדה ונרשמה כתאגיד בשם זה </w:t>
      </w:r>
      <w:proofErr w:type="spellStart"/>
      <w:r>
        <w:rPr>
          <w:rtl/>
        </w:rPr>
        <w:t>בתרנ״ז</w:t>
      </w:r>
      <w:proofErr w:type="spellEnd"/>
      <w:r>
        <w:rPr>
          <w:rtl/>
        </w:rPr>
        <w:t xml:space="preserve">, בידי שלושה אנשים, ששניים מהם היו רבנים. האחד, ר׳ משה־מאיר </w:t>
      </w:r>
      <w:proofErr w:type="spellStart"/>
      <w:r>
        <w:rPr>
          <w:rtl/>
        </w:rPr>
        <w:t>מטלין</w:t>
      </w:r>
      <w:proofErr w:type="spellEnd"/>
      <w:r>
        <w:rPr>
          <w:rtl/>
        </w:rPr>
        <w:t xml:space="preserve"> הצדיק, הוסמך בידי ר׳ </w:t>
      </w:r>
      <w:proofErr w:type="spellStart"/>
      <w:r>
        <w:rPr>
          <w:rtl/>
        </w:rPr>
        <w:t>יצחק־אלחנן</w:t>
      </w:r>
      <w:proofErr w:type="spellEnd"/>
      <w:r>
        <w:rPr>
          <w:rtl/>
        </w:rPr>
        <w:t xml:space="preserve"> </w:t>
      </w:r>
      <w:proofErr w:type="spellStart"/>
      <w:r>
        <w:rPr>
          <w:rtl/>
        </w:rPr>
        <w:t>ספקטור</w:t>
      </w:r>
      <w:proofErr w:type="spellEnd"/>
      <w:r>
        <w:rPr>
          <w:rtl/>
        </w:rPr>
        <w:t xml:space="preserve"> ושימש בבית דינו של הרב הכולל של ניו יורק, ר׳ </w:t>
      </w:r>
      <w:proofErr w:type="spellStart"/>
      <w:r>
        <w:rPr>
          <w:rtl/>
        </w:rPr>
        <w:t>יעקב־יוסף</w:t>
      </w:r>
      <w:proofErr w:type="spellEnd"/>
      <w:r>
        <w:rPr>
          <w:rtl/>
        </w:rPr>
        <w:t>.</w:t>
      </w:r>
      <w:bookmarkStart w:id="3024" w:name="_fnr2144"/>
      <w:r>
        <w:rPr>
          <w:rStyle w:val="a5"/>
        </w:rPr>
        <w:footnoteReference w:id="2150" w:customMarkFollows="0"/>
      </w:r>
      <w:bookmarkEnd w:id="3024"/>
      <w:r>
        <w:rPr>
          <w:rtl/>
        </w:rPr>
        <w:t xml:space="preserve"> השני, ר׳ </w:t>
      </w:r>
      <w:proofErr w:type="spellStart"/>
      <w:r>
        <w:rPr>
          <w:rtl/>
        </w:rPr>
        <w:t>יהודה־דוד</w:t>
      </w:r>
      <w:proofErr w:type="spellEnd"/>
      <w:r>
        <w:rPr>
          <w:rtl/>
        </w:rPr>
        <w:t xml:space="preserve"> ברנשטיין הירא, נולד סמוך לקובנה. בעל הבית שבהם היה דוד אברמוביץ, שמקום מוצאו אינו מפורש.</w:t>
      </w:r>
    </w:p>
    <w:p w14:paraId="43506C37" w14:textId="77777777" w:rsidR="00AB3647" w:rsidRDefault="00000000" w:rsidP="007923E9">
      <w:pPr>
        <w:spacing w:after="120" w:line="276" w:lineRule="auto"/>
        <w:ind w:firstLine="283"/>
        <w:jc w:val="both"/>
      </w:pPr>
      <w:r>
        <w:rPr>
          <w:rtl/>
        </w:rPr>
        <w:t>הקשר בין שני הרבנים המייסדים לבין הרב מקובנה הוא טעם מספיק לכך שיעשו זכר לרב שהיה נערץ בעולם כולו, ושנפטר רק שנה קודם לכן, ויקראו את הישיבה החדשה על שמו. כמעט אין אפשרות שמחלוקת המוסר, שהתחוללה בליטא באותה שנה שבה נרשמה הישיבה כתאגיד, השפיעה על מתן השם למוסד שבעולם החדש.</w:t>
      </w:r>
    </w:p>
    <w:p w14:paraId="7F544761" w14:textId="77777777" w:rsidR="00AB3647" w:rsidRDefault="00000000" w:rsidP="007923E9">
      <w:pPr>
        <w:spacing w:after="120" w:line="276" w:lineRule="auto"/>
        <w:ind w:firstLine="283"/>
        <w:jc w:val="both"/>
      </w:pPr>
      <w:r>
        <w:rPr>
          <w:rtl/>
        </w:rPr>
        <w:t xml:space="preserve">אם נקבל את הטענה שבמאמר </w:t>
      </w:r>
      <w:proofErr w:type="spellStart"/>
      <w:r>
        <w:rPr>
          <w:rtl/>
        </w:rPr>
        <w:t>ב“דער</w:t>
      </w:r>
      <w:proofErr w:type="spellEnd"/>
      <w:r>
        <w:rPr>
          <w:rtl/>
        </w:rPr>
        <w:t xml:space="preserve"> איד”, שהשם רמז להתנגדות למוסר, הרי למרות ה</w:t>
      </w:r>
      <w:r>
        <w:rPr>
          <w:b/>
          <w:bCs/>
          <w:rtl/>
        </w:rPr>
        <w:t>משמעות שנקשרה לשם הישיבה</w:t>
      </w:r>
      <w:r>
        <w:rPr>
          <w:rtl/>
        </w:rPr>
        <w:t xml:space="preserve"> נכנס המוסר רשמית בשערי ישיבת רבנו יצחק אלחנן כשנתמנה בה למשגיח, </w:t>
      </w:r>
      <w:proofErr w:type="spellStart"/>
      <w:r>
        <w:rPr>
          <w:rtl/>
        </w:rPr>
        <w:t>בתש״ה</w:t>
      </w:r>
      <w:proofErr w:type="spellEnd"/>
      <w:r>
        <w:rPr>
          <w:rtl/>
        </w:rPr>
        <w:t xml:space="preserve">, ר׳ </w:t>
      </w:r>
      <w:proofErr w:type="spellStart"/>
      <w:r>
        <w:rPr>
          <w:rtl/>
        </w:rPr>
        <w:t>יעקב־משה</w:t>
      </w:r>
      <w:proofErr w:type="spellEnd"/>
      <w:r>
        <w:rPr>
          <w:rtl/>
        </w:rPr>
        <w:t xml:space="preserve"> לסין, תלמידו של הסבא ושותפו של אבי לחדר </w:t>
      </w:r>
      <w:proofErr w:type="spellStart"/>
      <w:r>
        <w:rPr>
          <w:rtl/>
        </w:rPr>
        <w:t>בסלבודקה</w:t>
      </w:r>
      <w:proofErr w:type="spellEnd"/>
      <w:r>
        <w:rPr>
          <w:rtl/>
        </w:rPr>
        <w:t>.</w:t>
      </w:r>
      <w:bookmarkStart w:id="3025" w:name="_fnr2145"/>
      <w:r>
        <w:rPr>
          <w:rStyle w:val="a5"/>
        </w:rPr>
        <w:footnoteReference w:id="2151" w:customMarkFollows="0"/>
      </w:r>
      <w:bookmarkEnd w:id="3025"/>
    </w:p>
    <w:p w14:paraId="5F43466D" w14:textId="77777777" w:rsidR="00AB3647" w:rsidRDefault="00000000" w:rsidP="007923E9">
      <w:pPr>
        <w:spacing w:after="120" w:line="276" w:lineRule="auto"/>
        <w:ind w:firstLine="283"/>
        <w:jc w:val="both"/>
      </w:pPr>
      <w:r>
        <w:rPr>
          <w:rtl/>
        </w:rPr>
        <w:t xml:space="preserve">מעניינת, אך שגויה, הטענה </w:t>
      </w:r>
      <w:proofErr w:type="spellStart"/>
      <w:r>
        <w:rPr>
          <w:rtl/>
        </w:rPr>
        <w:t>שב“ברנרד</w:t>
      </w:r>
      <w:proofErr w:type="spellEnd"/>
      <w:r>
        <w:rPr>
          <w:rtl/>
        </w:rPr>
        <w:t xml:space="preserve"> רוול – בונה האורתודוקסיה היהודית באמריקה” מאת אהרן </w:t>
      </w:r>
      <w:proofErr w:type="spellStart"/>
      <w:r>
        <w:rPr>
          <w:rtl/>
        </w:rPr>
        <w:t>רותקוף</w:t>
      </w:r>
      <w:proofErr w:type="spellEnd"/>
      <w:r>
        <w:rPr>
          <w:rtl/>
        </w:rPr>
        <w:t>,</w:t>
      </w:r>
      <w:bookmarkStart w:id="3026" w:name="_fnr2146"/>
      <w:r>
        <w:rPr>
          <w:rStyle w:val="a5"/>
        </w:rPr>
        <w:footnoteReference w:id="2152" w:customMarkFollows="0"/>
      </w:r>
      <w:bookmarkEnd w:id="3026"/>
      <w:r>
        <w:rPr>
          <w:rtl/>
        </w:rPr>
        <w:t xml:space="preserve"> </w:t>
      </w:r>
      <w:proofErr w:type="spellStart"/>
      <w:r>
        <w:rPr>
          <w:rtl/>
        </w:rPr>
        <w:t>ש“הקשר</w:t>
      </w:r>
      <w:proofErr w:type="spellEnd"/>
      <w:r>
        <w:rPr>
          <w:rtl/>
        </w:rPr>
        <w:t xml:space="preserve">” של ד״ר רוול עם ר׳ </w:t>
      </w:r>
      <w:proofErr w:type="spellStart"/>
      <w:r>
        <w:rPr>
          <w:rtl/>
        </w:rPr>
        <w:t>איצל׳ה</w:t>
      </w:r>
      <w:proofErr w:type="spellEnd"/>
      <w:r>
        <w:rPr>
          <w:rtl/>
        </w:rPr>
        <w:t xml:space="preserve"> </w:t>
      </w:r>
      <w:proofErr w:type="spellStart"/>
      <w:r>
        <w:rPr>
          <w:rtl/>
        </w:rPr>
        <w:t>בלאזר</w:t>
      </w:r>
      <w:proofErr w:type="spellEnd"/>
      <w:r>
        <w:rPr>
          <w:rtl/>
        </w:rPr>
        <w:t xml:space="preserve"> בקובנה, מגיל </w:t>
      </w:r>
      <w:proofErr w:type="spellStart"/>
      <w:r>
        <w:rPr>
          <w:rtl/>
        </w:rPr>
        <w:t>שתים־עשרה</w:t>
      </w:r>
      <w:proofErr w:type="spellEnd"/>
      <w:r>
        <w:rPr>
          <w:rtl/>
        </w:rPr>
        <w:t xml:space="preserve"> עד </w:t>
      </w:r>
      <w:proofErr w:type="spellStart"/>
      <w:r>
        <w:rPr>
          <w:rtl/>
        </w:rPr>
        <w:t>שמונה־עשרה</w:t>
      </w:r>
      <w:proofErr w:type="spellEnd"/>
      <w:r>
        <w:rPr>
          <w:rtl/>
        </w:rPr>
        <w:t xml:space="preserve">, להוציא שנה </w:t>
      </w:r>
      <w:proofErr w:type="spellStart"/>
      <w:r>
        <w:rPr>
          <w:rtl/>
        </w:rPr>
        <w:t>בטלז</w:t>
      </w:r>
      <w:proofErr w:type="spellEnd"/>
      <w:r>
        <w:rPr>
          <w:rtl/>
        </w:rPr>
        <w:t xml:space="preserve">, “השפיע עליו לאורך ימים” עד כדי כך שבמשך רבע המאה שבה הנהיג את ישיבה קולג׳ (תרע״ה–ת״ש) הכניס לצוותו את “חידושה של תנועת המוסר, משגיח”. הרב </w:t>
      </w:r>
      <w:proofErr w:type="spellStart"/>
      <w:r>
        <w:rPr>
          <w:rtl/>
        </w:rPr>
        <w:t>רותקוף</w:t>
      </w:r>
      <w:proofErr w:type="spellEnd"/>
      <w:r>
        <w:rPr>
          <w:rtl/>
        </w:rPr>
        <w:t xml:space="preserve"> הבהיר לי</w:t>
      </w:r>
      <w:bookmarkStart w:id="3027" w:name="_fnr2147"/>
      <w:r>
        <w:rPr>
          <w:rStyle w:val="a5"/>
        </w:rPr>
        <w:footnoteReference w:id="2153" w:customMarkFollows="0"/>
      </w:r>
      <w:bookmarkEnd w:id="3027"/>
      <w:r>
        <w:rPr>
          <w:rtl/>
        </w:rPr>
        <w:t xml:space="preserve"> שהמשגיח שאליו התכוון היה ר׳ יהודה ווייל (יליד תרכ״א), תלמיד ישיבת </w:t>
      </w:r>
      <w:proofErr w:type="spellStart"/>
      <w:r>
        <w:rPr>
          <w:rtl/>
        </w:rPr>
        <w:t>ראדין</w:t>
      </w:r>
      <w:proofErr w:type="spellEnd"/>
      <w:r>
        <w:rPr>
          <w:rtl/>
        </w:rPr>
        <w:t xml:space="preserve">, ששימש משגיח ובוחן בישיבת רבנו יצחק אלחנן מבואו לארצות הברית </w:t>
      </w:r>
      <w:proofErr w:type="spellStart"/>
      <w:r>
        <w:rPr>
          <w:rtl/>
        </w:rPr>
        <w:t>בתרפ״א</w:t>
      </w:r>
      <w:proofErr w:type="spellEnd"/>
      <w:r>
        <w:rPr>
          <w:rtl/>
        </w:rPr>
        <w:t xml:space="preserve"> ועד פטירתו </w:t>
      </w:r>
      <w:proofErr w:type="spellStart"/>
      <w:r>
        <w:rPr>
          <w:rtl/>
        </w:rPr>
        <w:t>בתש״ד</w:t>
      </w:r>
      <w:proofErr w:type="spellEnd"/>
      <w:r>
        <w:rPr>
          <w:rtl/>
        </w:rPr>
        <w:t>.</w:t>
      </w:r>
    </w:p>
    <w:p w14:paraId="32F1BCE8" w14:textId="77777777" w:rsidR="00AB3647" w:rsidRDefault="00000000" w:rsidP="007923E9">
      <w:pPr>
        <w:spacing w:after="120" w:line="276" w:lineRule="auto"/>
        <w:ind w:firstLine="283"/>
        <w:jc w:val="both"/>
      </w:pPr>
      <w:r>
        <w:rPr>
          <w:rtl/>
        </w:rPr>
        <w:lastRenderedPageBreak/>
        <w:t xml:space="preserve">אומנם הרבו לשבח את הרב ווייל </w:t>
      </w:r>
      <w:proofErr w:type="spellStart"/>
      <w:r>
        <w:rPr>
          <w:rtl/>
        </w:rPr>
        <w:t>כ“ענק</w:t>
      </w:r>
      <w:proofErr w:type="spellEnd"/>
      <w:r>
        <w:rPr>
          <w:rtl/>
        </w:rPr>
        <w:t xml:space="preserve"> רוח”, “צדיק תמים” </w:t>
      </w:r>
      <w:proofErr w:type="spellStart"/>
      <w:r>
        <w:rPr>
          <w:rtl/>
        </w:rPr>
        <w:t>ו“החפץ־חיים</w:t>
      </w:r>
      <w:proofErr w:type="spellEnd"/>
      <w:r>
        <w:rPr>
          <w:rtl/>
        </w:rPr>
        <w:t xml:space="preserve"> שלנו” – בגרסאות נוספות של אותו עניין כינהו הרב </w:t>
      </w:r>
      <w:proofErr w:type="spellStart"/>
      <w:r>
        <w:rPr>
          <w:rtl/>
        </w:rPr>
        <w:t>רותקוף</w:t>
      </w:r>
      <w:proofErr w:type="spellEnd"/>
      <w:r>
        <w:rPr>
          <w:rtl/>
        </w:rPr>
        <w:t xml:space="preserve"> “</w:t>
      </w:r>
      <w:proofErr w:type="spellStart"/>
      <w:r>
        <w:rPr>
          <w:rtl/>
        </w:rPr>
        <w:t>החפץ־חיים</w:t>
      </w:r>
      <w:proofErr w:type="spellEnd"/>
      <w:r>
        <w:rPr>
          <w:rtl/>
        </w:rPr>
        <w:t xml:space="preserve"> הקטן”, וד״ר שמואל </w:t>
      </w:r>
      <w:proofErr w:type="spellStart"/>
      <w:r>
        <w:rPr>
          <w:rtl/>
        </w:rPr>
        <w:t>בלקין</w:t>
      </w:r>
      <w:proofErr w:type="spellEnd"/>
      <w:r>
        <w:rPr>
          <w:rtl/>
        </w:rPr>
        <w:t xml:space="preserve"> “</w:t>
      </w:r>
      <w:proofErr w:type="spellStart"/>
      <w:r>
        <w:rPr>
          <w:rtl/>
        </w:rPr>
        <w:t>החפץ־חיים</w:t>
      </w:r>
      <w:proofErr w:type="spellEnd"/>
      <w:r>
        <w:rPr>
          <w:rtl/>
        </w:rPr>
        <w:t xml:space="preserve"> של אמריקה”</w:t>
      </w:r>
      <w:bookmarkStart w:id="3028" w:name="_fnr2148"/>
      <w:r>
        <w:rPr>
          <w:rStyle w:val="a5"/>
        </w:rPr>
        <w:footnoteReference w:id="2154" w:customMarkFollows="0"/>
      </w:r>
      <w:bookmarkEnd w:id="3028"/>
      <w:r>
        <w:rPr>
          <w:rtl/>
        </w:rPr>
        <w:t xml:space="preserve"> – ואמרו עליו </w:t>
      </w:r>
      <w:proofErr w:type="spellStart"/>
      <w:r>
        <w:rPr>
          <w:rtl/>
        </w:rPr>
        <w:t>ש“מעולם</w:t>
      </w:r>
      <w:proofErr w:type="spellEnd"/>
      <w:r>
        <w:rPr>
          <w:rtl/>
        </w:rPr>
        <w:t xml:space="preserve"> לא הרים את קולו”, </w:t>
      </w:r>
      <w:proofErr w:type="spellStart"/>
      <w:r>
        <w:rPr>
          <w:rtl/>
        </w:rPr>
        <w:t>ו“כאשר</w:t>
      </w:r>
      <w:proofErr w:type="spellEnd"/>
      <w:r>
        <w:rPr>
          <w:rtl/>
        </w:rPr>
        <w:t xml:space="preserve"> ראה בחור שיש חור בנעלו, היה מחליק לידו דולר” מתוך “כסף שאסף בכוחות עצמו למען תלמידי ישיבה עניים”. עוד נאמר עליו </w:t>
      </w:r>
      <w:proofErr w:type="spellStart"/>
      <w:r>
        <w:rPr>
          <w:rtl/>
        </w:rPr>
        <w:t>ש“הבנתו</w:t>
      </w:r>
      <w:proofErr w:type="spellEnd"/>
      <w:r>
        <w:rPr>
          <w:rtl/>
        </w:rPr>
        <w:t xml:space="preserve"> את תלמידי הישיבה ואהבתו להם לא ידעו גבול”.</w:t>
      </w:r>
      <w:bookmarkStart w:id="3029" w:name="_fnr2149"/>
      <w:r>
        <w:rPr>
          <w:rStyle w:val="a5"/>
        </w:rPr>
        <w:footnoteReference w:id="2155" w:customMarkFollows="0"/>
      </w:r>
      <w:bookmarkEnd w:id="3029"/>
      <w:r>
        <w:rPr>
          <w:rtl/>
        </w:rPr>
        <w:t xml:space="preserve"> אבל הרב ווייל מעולם לא מסר שיחות מוסר, ורק דיווח לד״ר רוול על מה שראה אצל התלמידים. תפקידו היה דומה לתפקיד המשגיח בישיבות שאינן ישיבות מוסר, ובהן </w:t>
      </w:r>
      <w:proofErr w:type="spellStart"/>
      <w:r>
        <w:rPr>
          <w:rtl/>
        </w:rPr>
        <w:t>וולוז׳ין</w:t>
      </w:r>
      <w:proofErr w:type="spellEnd"/>
      <w:r>
        <w:rPr>
          <w:rtl/>
        </w:rPr>
        <w:t xml:space="preserve">, לכל הפחות מאז שנות </w:t>
      </w:r>
      <w:proofErr w:type="spellStart"/>
      <w:r>
        <w:rPr>
          <w:rtl/>
        </w:rPr>
        <w:t>התק״ע</w:t>
      </w:r>
      <w:proofErr w:type="spellEnd"/>
      <w:r>
        <w:rPr>
          <w:rtl/>
        </w:rPr>
        <w:t>. השווה “</w:t>
      </w:r>
      <w:proofErr w:type="spellStart"/>
      <w:r>
        <w:rPr>
          <w:rtl/>
        </w:rPr>
        <w:t>כבה״ת</w:t>
      </w:r>
      <w:proofErr w:type="spellEnd"/>
      <w:r>
        <w:rPr>
          <w:rtl/>
        </w:rPr>
        <w:t>”:</w:t>
      </w:r>
      <w:bookmarkStart w:id="3030" w:name="_fnr2150"/>
      <w:r>
        <w:rPr>
          <w:rStyle w:val="a5"/>
        </w:rPr>
        <w:footnoteReference w:id="2156" w:customMarkFollows="0"/>
      </w:r>
      <w:bookmarkEnd w:id="3030"/>
      <w:r>
        <w:rPr>
          <w:rtl/>
        </w:rPr>
        <w:t xml:space="preserve"> אחותו למחצה הגדולה של </w:t>
      </w:r>
      <w:proofErr w:type="spellStart"/>
      <w:r>
        <w:rPr>
          <w:rtl/>
        </w:rPr>
        <w:t>החפץ־חיים</w:t>
      </w:r>
      <w:proofErr w:type="spellEnd"/>
      <w:r>
        <w:rPr>
          <w:rtl/>
        </w:rPr>
        <w:t xml:space="preserve"> הייתה כלתו של “ר׳ </w:t>
      </w:r>
      <w:proofErr w:type="spellStart"/>
      <w:r>
        <w:rPr>
          <w:rtl/>
        </w:rPr>
        <w:t>אליקום</w:t>
      </w:r>
      <w:proofErr w:type="spellEnd"/>
      <w:r>
        <w:rPr>
          <w:rtl/>
        </w:rPr>
        <w:t xml:space="preserve">, המשגיח בישיבת </w:t>
      </w:r>
      <w:proofErr w:type="spellStart"/>
      <w:r>
        <w:rPr>
          <w:rtl/>
        </w:rPr>
        <w:t>וולוז׳ין</w:t>
      </w:r>
      <w:proofErr w:type="spellEnd"/>
      <w:r>
        <w:rPr>
          <w:rtl/>
        </w:rPr>
        <w:t xml:space="preserve"> בימי [ראשות הישיבה של] ר׳ יצחק, וככל הנראה כבר בימי אביו... ר׳ חיים”.</w:t>
      </w:r>
      <w:bookmarkStart w:id="3031" w:name="_fnr2151"/>
      <w:r>
        <w:rPr>
          <w:rStyle w:val="a5"/>
        </w:rPr>
        <w:footnoteReference w:id="2157" w:customMarkFollows="0"/>
      </w:r>
      <w:bookmarkEnd w:id="3031"/>
    </w:p>
    <w:p w14:paraId="7EE8ED0A" w14:textId="77777777" w:rsidR="00AB3647" w:rsidRDefault="00000000" w:rsidP="007923E9">
      <w:pPr>
        <w:spacing w:after="120" w:line="276" w:lineRule="auto"/>
        <w:ind w:firstLine="283"/>
        <w:jc w:val="both"/>
      </w:pPr>
      <w:r>
        <w:rPr>
          <w:rtl/>
        </w:rPr>
        <w:t xml:space="preserve">חידושן של ישיבות המוסר היה שהמשגיח אינו רק מפקח המדווח </w:t>
      </w:r>
      <w:r>
        <w:rPr>
          <w:b/>
          <w:bCs/>
          <w:rtl/>
        </w:rPr>
        <w:t>לראש הישיבה</w:t>
      </w:r>
      <w:r>
        <w:rPr>
          <w:rtl/>
        </w:rPr>
        <w:t xml:space="preserve"> אילו תלמידים נוכחים וכיצד הם מתנהגים, אלא אדם המרצה לפני התלמידים ומכוון את התפתחותם הרוחנית. התואר “מנהל רוחני”, הרווח כיום, מתאר ביתר דיוק את תפקידיו של המשגיח בישיבות המוסר. בישיבות אלה היה התואר הסתמי “משגיח” רק שריד לתפקיד הפחות בחשיבותו שנקרא בשם זה בישיבות הקודמות, שאינן ישיבות מוסר. לפיכך אני מציע שרק אחרי שנתמנה ר׳ </w:t>
      </w:r>
      <w:proofErr w:type="spellStart"/>
      <w:r>
        <w:rPr>
          <w:rtl/>
        </w:rPr>
        <w:t>יעקב־משה</w:t>
      </w:r>
      <w:proofErr w:type="spellEnd"/>
      <w:r>
        <w:rPr>
          <w:rtl/>
        </w:rPr>
        <w:t xml:space="preserve"> לסין, איש מוסר מוכר, למסור שיחות מוסר בסבב לכל אחת מן הכיתות בישיבת רבנו יצחק אלחנן, אפשר היה לתאר את הישיבה כנוטה לשיטת המוסר.</w:t>
      </w:r>
    </w:p>
    <w:p w14:paraId="48DA93E4" w14:textId="77777777" w:rsidR="00AB3647" w:rsidRDefault="00000000" w:rsidP="007923E9">
      <w:pPr>
        <w:spacing w:after="120" w:line="276" w:lineRule="auto"/>
        <w:ind w:firstLine="283"/>
        <w:jc w:val="both"/>
      </w:pPr>
      <w:r>
        <w:rPr>
          <w:rtl/>
        </w:rPr>
        <w:t>למעשה, מצאתי בישיבת רבנו יצחק אלחנן עצמה משגיח מן הסוג שהיה בישיבות שאינן ישיבות מוסר עוד לפני הרב ווייל:</w:t>
      </w:r>
      <w:bookmarkStart w:id="3032" w:name="_fnr2152"/>
      <w:r>
        <w:rPr>
          <w:rStyle w:val="a5"/>
        </w:rPr>
        <w:footnoteReference w:id="2158" w:customMarkFollows="0"/>
      </w:r>
      <w:bookmarkEnd w:id="3032"/>
      <w:r>
        <w:rPr>
          <w:rtl/>
        </w:rPr>
        <w:t xml:space="preserve"> ר׳ ישראל </w:t>
      </w:r>
      <w:proofErr w:type="spellStart"/>
      <w:r>
        <w:rPr>
          <w:rtl/>
        </w:rPr>
        <w:t>אייזקסון</w:t>
      </w:r>
      <w:proofErr w:type="spellEnd"/>
      <w:r>
        <w:rPr>
          <w:rtl/>
        </w:rPr>
        <w:t xml:space="preserve">, שהיה רב </w:t>
      </w:r>
      <w:proofErr w:type="spellStart"/>
      <w:r>
        <w:rPr>
          <w:rtl/>
        </w:rPr>
        <w:t>בווילקי</w:t>
      </w:r>
      <w:proofErr w:type="spellEnd"/>
      <w:r>
        <w:rPr>
          <w:rtl/>
        </w:rPr>
        <w:t xml:space="preserve"> שבליטא ואחר כך </w:t>
      </w:r>
      <w:proofErr w:type="spellStart"/>
      <w:r>
        <w:rPr>
          <w:rtl/>
        </w:rPr>
        <w:t>בקוידנוב</w:t>
      </w:r>
      <w:proofErr w:type="spellEnd"/>
      <w:r>
        <w:rPr>
          <w:rtl/>
        </w:rPr>
        <w:t>, בא לניו יורק ב־1907 ונעשה “ר״מ ומשגיח” בישיבה ב־1909.</w:t>
      </w:r>
      <w:bookmarkStart w:id="3033" w:name="_fnr2153"/>
      <w:r>
        <w:rPr>
          <w:rStyle w:val="a5"/>
        </w:rPr>
        <w:footnoteReference w:id="2159" w:customMarkFollows="0"/>
      </w:r>
      <w:bookmarkEnd w:id="3033"/>
      <w:r>
        <w:rPr>
          <w:rtl/>
        </w:rPr>
        <w:t xml:space="preserve"> מובן שבשנות חייו האחרונות של הרב ווייל, כשנותר בתפקיד הבוחן של הכיתות הנמוכות בלבד,</w:t>
      </w:r>
      <w:bookmarkStart w:id="3034" w:name="_fnr2154"/>
      <w:r>
        <w:rPr>
          <w:rStyle w:val="a5"/>
        </w:rPr>
        <w:footnoteReference w:id="2160" w:customMarkFollows="0"/>
      </w:r>
      <w:bookmarkEnd w:id="3034"/>
      <w:r>
        <w:rPr>
          <w:rtl/>
        </w:rPr>
        <w:t xml:space="preserve"> והמשרה שכונתה “משגיח” הייתה בידי ר׳ </w:t>
      </w:r>
      <w:proofErr w:type="spellStart"/>
      <w:r>
        <w:rPr>
          <w:rtl/>
        </w:rPr>
        <w:t>אברהם־יצחק</w:t>
      </w:r>
      <w:proofErr w:type="spellEnd"/>
      <w:r>
        <w:rPr>
          <w:rtl/>
        </w:rPr>
        <w:t xml:space="preserve"> </w:t>
      </w:r>
      <w:proofErr w:type="spellStart"/>
      <w:r>
        <w:rPr>
          <w:rtl/>
        </w:rPr>
        <w:t>סלמנוביץ</w:t>
      </w:r>
      <w:proofErr w:type="spellEnd"/>
      <w:r>
        <w:rPr>
          <w:rtl/>
        </w:rPr>
        <w:t xml:space="preserve"> (תרמ״ז–תש״ו), לא כלל צוות ישיבת רבנו יצחק אלחנן “חידוש של תנועת המוסר”, גם אם נרחיב את המושג ככל האפשר. הרב </w:t>
      </w:r>
      <w:proofErr w:type="spellStart"/>
      <w:r>
        <w:rPr>
          <w:rtl/>
        </w:rPr>
        <w:t>סלמנוביץ</w:t>
      </w:r>
      <w:proofErr w:type="spellEnd"/>
      <w:r>
        <w:rPr>
          <w:rtl/>
        </w:rPr>
        <w:t xml:space="preserve"> היה חסיד מוורשה,</w:t>
      </w:r>
      <w:bookmarkStart w:id="3035" w:name="_fnr2155"/>
      <w:r>
        <w:rPr>
          <w:rStyle w:val="a5"/>
        </w:rPr>
        <w:footnoteReference w:id="2161" w:customMarkFollows="0"/>
      </w:r>
      <w:bookmarkEnd w:id="3035"/>
      <w:r>
        <w:rPr>
          <w:rtl/>
        </w:rPr>
        <w:t xml:space="preserve"> בלי קשר כלשהו למוסר.</w:t>
      </w:r>
    </w:p>
    <w:p w14:paraId="04686407" w14:textId="77777777" w:rsidR="00AB3647" w:rsidRDefault="00000000" w:rsidP="007923E9">
      <w:pPr>
        <w:spacing w:after="120" w:line="276" w:lineRule="auto"/>
        <w:ind w:firstLine="283"/>
        <w:jc w:val="both"/>
      </w:pPr>
      <w:r>
        <w:rPr>
          <w:rtl/>
        </w:rPr>
        <w:lastRenderedPageBreak/>
        <w:t xml:space="preserve">גם בחירתו של ד״ר רוול </w:t>
      </w:r>
      <w:proofErr w:type="spellStart"/>
      <w:r>
        <w:rPr>
          <w:rtl/>
        </w:rPr>
        <w:t>ב“ספר</w:t>
      </w:r>
      <w:proofErr w:type="spellEnd"/>
      <w:r>
        <w:rPr>
          <w:rtl/>
        </w:rPr>
        <w:t xml:space="preserve"> חובות הלבבות” כנושא עבודת הגמר שלו לתואר שני באוניברסיטת ניו יורק אינה ראיה ליחס אוהד למוסר, כטענת הרב </w:t>
      </w:r>
      <w:proofErr w:type="spellStart"/>
      <w:r>
        <w:rPr>
          <w:rtl/>
        </w:rPr>
        <w:t>רותקוף</w:t>
      </w:r>
      <w:proofErr w:type="spellEnd"/>
      <w:r>
        <w:rPr>
          <w:rtl/>
        </w:rPr>
        <w:t>. ייתכן שאותו ספר יסוד רק עורר את עניינו האקדמי של ד״ר רוול.</w:t>
      </w:r>
    </w:p>
    <w:p w14:paraId="33D21DFC" w14:textId="77777777" w:rsidR="00AB3647" w:rsidRDefault="00000000" w:rsidP="007923E9">
      <w:pPr>
        <w:spacing w:after="120" w:line="276" w:lineRule="auto"/>
        <w:ind w:firstLine="283"/>
        <w:jc w:val="both"/>
      </w:pPr>
      <w:r>
        <w:rPr>
          <w:rtl/>
        </w:rPr>
        <w:t xml:space="preserve">לדעתי, הישיבה האמריקאית היחידה שמתן שמה היה קשור לפילוג </w:t>
      </w:r>
      <w:proofErr w:type="spellStart"/>
      <w:r>
        <w:rPr>
          <w:rtl/>
        </w:rPr>
        <w:t>בסלבודקה</w:t>
      </w:r>
      <w:proofErr w:type="spellEnd"/>
      <w:r>
        <w:rPr>
          <w:rtl/>
        </w:rPr>
        <w:t xml:space="preserve"> היא נר ישראל בבולטימור, שנוסדה שלושים ושש שנה אחרי מחלוקת המוסר. תלמידו של הסבא, ר׳ </w:t>
      </w:r>
      <w:proofErr w:type="spellStart"/>
      <w:r>
        <w:rPr>
          <w:rtl/>
        </w:rPr>
        <w:t>יעקב־יצחק</w:t>
      </w:r>
      <w:proofErr w:type="spellEnd"/>
      <w:r>
        <w:rPr>
          <w:rtl/>
        </w:rPr>
        <w:t xml:space="preserve"> </w:t>
      </w:r>
      <w:proofErr w:type="spellStart"/>
      <w:r>
        <w:rPr>
          <w:rtl/>
        </w:rPr>
        <w:t>רודרמן</w:t>
      </w:r>
      <w:proofErr w:type="spellEnd"/>
      <w:r>
        <w:rPr>
          <w:rtl/>
        </w:rPr>
        <w:t xml:space="preserve">, נתן לה את שמה כדי לקשרה לשיטת המוסר של ר׳ ישראל </w:t>
      </w:r>
      <w:proofErr w:type="spellStart"/>
      <w:r>
        <w:rPr>
          <w:rtl/>
        </w:rPr>
        <w:t>סלנטר</w:t>
      </w:r>
      <w:proofErr w:type="spellEnd"/>
      <w:r>
        <w:rPr>
          <w:rtl/>
        </w:rPr>
        <w:t>,</w:t>
      </w:r>
      <w:bookmarkStart w:id="3036" w:name="_fnr2156"/>
      <w:r>
        <w:rPr>
          <w:rStyle w:val="a5"/>
        </w:rPr>
        <w:footnoteReference w:id="2162" w:customMarkFollows="0"/>
      </w:r>
      <w:bookmarkEnd w:id="3036"/>
      <w:r>
        <w:rPr>
          <w:rtl/>
        </w:rPr>
        <w:t xml:space="preserve"> כמו שהתכוון הסבא </w:t>
      </w:r>
      <w:proofErr w:type="spellStart"/>
      <w:r>
        <w:rPr>
          <w:rtl/>
        </w:rPr>
        <w:t>מסלבודקה</w:t>
      </w:r>
      <w:proofErr w:type="spellEnd"/>
      <w:r>
        <w:rPr>
          <w:rtl/>
        </w:rPr>
        <w:t xml:space="preserve"> כשהוא (או ר׳ </w:t>
      </w:r>
      <w:proofErr w:type="spellStart"/>
      <w:r>
        <w:rPr>
          <w:rtl/>
        </w:rPr>
        <w:t>איצל׳ה</w:t>
      </w:r>
      <w:proofErr w:type="spellEnd"/>
      <w:r>
        <w:rPr>
          <w:rtl/>
        </w:rPr>
        <w:t xml:space="preserve"> </w:t>
      </w:r>
      <w:proofErr w:type="spellStart"/>
      <w:r>
        <w:rPr>
          <w:rtl/>
        </w:rPr>
        <w:t>פטרבורגר</w:t>
      </w:r>
      <w:proofErr w:type="spellEnd"/>
      <w:r>
        <w:rPr>
          <w:rtl/>
        </w:rPr>
        <w:t xml:space="preserve">) קרא לישיבה החדשה </w:t>
      </w:r>
      <w:proofErr w:type="spellStart"/>
      <w:r>
        <w:rPr>
          <w:rtl/>
        </w:rPr>
        <w:t>בסלבודקה</w:t>
      </w:r>
      <w:proofErr w:type="spellEnd"/>
      <w:r>
        <w:rPr>
          <w:rtl/>
        </w:rPr>
        <w:t xml:space="preserve"> כנסת ישראל.</w:t>
      </w:r>
    </w:p>
    <w:bookmarkStart w:id="3037" w:name="b3_excQ"/>
    <w:p w14:paraId="1ED5244A" w14:textId="77777777" w:rsidR="00AB3647" w:rsidRDefault="00000000" w:rsidP="007923E9">
      <w:pPr>
        <w:pStyle w:val="3"/>
        <w:spacing w:line="276" w:lineRule="auto"/>
      </w:pPr>
      <w:r>
        <w:lastRenderedPageBreak/>
        <w:fldChar w:fldCharType="begin" w:dirty="true"/>
      </w:r>
      <w:r>
        <w:rPr>
          <w:rtl w:val="0"/>
        </w:rPr>
        <w:instrText>HYPERLINK \l "b3_note47</w:instrText>
      </w:r>
      <w:r>
        <w:instrText>"</w:instrText>
      </w:r>
      <w:r>
        <w:fldChar w:fldCharType="separate"/>
      </w:r>
      <w:r>
        <w:t xml:space="preserve">נספח </w:t>
      </w:r>
      <w:proofErr w:type="spellStart"/>
      <w:r>
        <w:t>יז</w:t>
      </w:r>
      <w:proofErr w:type="spellEnd"/>
      <w:r>
        <w:fldChar w:fldCharType="end"/>
      </w:r>
      <w:bookmarkEnd w:id="3037"/>
    </w:p>
    <w:p w14:paraId="71DDF941" w14:textId="77777777" w:rsidR="00AB3647" w:rsidRDefault="00000000" w:rsidP="007923E9">
      <w:pPr>
        <w:pStyle w:val="af"/>
        <w:spacing w:line="276" w:lineRule="auto"/>
      </w:pPr>
      <w:r>
        <w:t xml:space="preserve">על מאמציו של ר׳ </w:t>
      </w:r>
      <w:proofErr w:type="spellStart"/>
      <w:r>
        <w:t>נתן־צבי</w:t>
      </w:r>
      <w:proofErr w:type="spellEnd"/>
      <w:r>
        <w:t xml:space="preserve"> </w:t>
      </w:r>
      <w:proofErr w:type="spellStart"/>
      <w:r>
        <w:t>פינקל</w:t>
      </w:r>
      <w:proofErr w:type="spellEnd"/>
      <w:r>
        <w:t xml:space="preserve"> בבניין ישיבות ועל יחסו התמוה לבית הספר </w:t>
      </w:r>
      <w:proofErr w:type="spellStart"/>
      <w:r>
        <w:t>בגרובין</w:t>
      </w:r>
      <w:proofErr w:type="spellEnd"/>
    </w:p>
    <w:p w14:paraId="6BB032AA" w14:textId="77777777" w:rsidR="00AB3647" w:rsidRDefault="00000000" w:rsidP="007923E9">
      <w:pPr>
        <w:pStyle w:val="4"/>
        <w:spacing w:line="276" w:lineRule="auto"/>
      </w:pPr>
      <w:r>
        <w:t>· הפסקה הראשונה ·</w:t>
      </w:r>
    </w:p>
    <w:p w14:paraId="61948DEE" w14:textId="77777777" w:rsidR="00AB3647" w:rsidRDefault="00000000" w:rsidP="007923E9">
      <w:pPr>
        <w:pStyle w:val="5"/>
        <w:spacing w:line="276" w:lineRule="auto"/>
      </w:pPr>
      <w:r>
        <w:t>הסבא מגלה את מטרתו</w:t>
      </w:r>
    </w:p>
    <w:p w14:paraId="1B15CC23" w14:textId="77777777" w:rsidR="00AB3647" w:rsidRDefault="00000000" w:rsidP="007923E9">
      <w:pPr>
        <w:spacing w:after="120" w:line="276" w:lineRule="auto"/>
        <w:ind w:firstLine="283"/>
        <w:jc w:val="both"/>
      </w:pPr>
      <w:r>
        <w:rPr>
          <w:rtl/>
        </w:rPr>
        <w:t xml:space="preserve">בהקדמה </w:t>
      </w:r>
      <w:proofErr w:type="spellStart"/>
      <w:r>
        <w:rPr>
          <w:rtl/>
        </w:rPr>
        <w:t>ל“עץ</w:t>
      </w:r>
      <w:proofErr w:type="spellEnd"/>
      <w:r>
        <w:rPr>
          <w:rtl/>
        </w:rPr>
        <w:t xml:space="preserve"> פרי”, שהוציא לאור בעילום שם,</w:t>
      </w:r>
      <w:bookmarkStart w:id="3038" w:name="_fnr2157"/>
      <w:r>
        <w:rPr>
          <w:rStyle w:val="a5"/>
        </w:rPr>
        <w:footnoteReference w:id="2163" w:customMarkFollows="0"/>
      </w:r>
      <w:bookmarkEnd w:id="3038"/>
      <w:r>
        <w:rPr>
          <w:rtl/>
        </w:rPr>
        <w:t xml:space="preserve"> גילה הסבא את תוכנית חייו להפצת תורה. אחרי ששיבח את “הרגשות העדינים המתעוררים בעת הזאת בלב רבים מנאמני ישראל... בקהילות רבות בישראל, שבהן כל אחד מתעורר ומשתוקק להרים קרן התורה”, הוא מצטט את “תנא דבי אליהו”, שלפיו נענשו בני ישראל באובדן נפשות רב בגבעת בנימין</w:t>
      </w:r>
      <w:bookmarkStart w:id="3039" w:name="_fnr2158"/>
      <w:r>
        <w:rPr>
          <w:rStyle w:val="a5"/>
        </w:rPr>
        <w:footnoteReference w:id="2164" w:customMarkFollows="0"/>
      </w:r>
      <w:bookmarkEnd w:id="3039"/>
      <w:r>
        <w:rPr>
          <w:rtl/>
        </w:rPr>
        <w:t xml:space="preserve"> מפני שהסנהדרין לא התמסרה להפצת תורה. הסבא </w:t>
      </w:r>
      <w:proofErr w:type="spellStart"/>
      <w:r>
        <w:rPr>
          <w:rtl/>
        </w:rPr>
        <w:t>מסלבודקה</w:t>
      </w:r>
      <w:proofErr w:type="spellEnd"/>
      <w:r>
        <w:rPr>
          <w:rtl/>
        </w:rPr>
        <w:t xml:space="preserve"> סבר כנראה שקהילות רבות בליטא היו מוכנות לקבל ישיבות, ושעל מנהיגי הדור לנצל את ההזדמנות ולהקימן.</w:t>
      </w:r>
    </w:p>
    <w:p w14:paraId="2E452B0A" w14:textId="77777777" w:rsidR="00AB3647" w:rsidRDefault="00000000" w:rsidP="007923E9">
      <w:pPr>
        <w:pStyle w:val="4"/>
        <w:spacing w:line="276" w:lineRule="auto"/>
      </w:pPr>
      <w:r>
        <w:t>· הפסקה השנייה ·</w:t>
      </w:r>
    </w:p>
    <w:p w14:paraId="2E90EDAF" w14:textId="77777777" w:rsidR="00AB3647" w:rsidRDefault="00000000" w:rsidP="007923E9">
      <w:pPr>
        <w:keepNext/>
        <w:shd w:val="clear" w:color="auto" w:fill="F2F2F2"/>
        <w:spacing w:before="40" w:after="200" w:line="276" w:lineRule="auto"/>
        <w:ind w:left="283" w:right="283"/>
        <w:jc w:val="both"/>
      </w:pPr>
      <w:r>
        <w:rPr>
          <w:color w:val="404040"/>
          <w:sz w:val="22"/>
          <w:szCs w:val="22"/>
          <w:rtl/>
        </w:rPr>
        <w:t xml:space="preserve">ראשית דרכו של הסבא – הוא נשלח בשליחות למינסק – ר׳ </w:t>
      </w:r>
      <w:proofErr w:type="spellStart"/>
      <w:r>
        <w:rPr>
          <w:color w:val="404040"/>
          <w:sz w:val="22"/>
          <w:szCs w:val="22"/>
          <w:rtl/>
        </w:rPr>
        <w:t>שמחה־זיסל</w:t>
      </w:r>
      <w:proofErr w:type="spellEnd"/>
      <w:r>
        <w:rPr>
          <w:color w:val="404040"/>
          <w:sz w:val="22"/>
          <w:szCs w:val="22"/>
          <w:rtl/>
        </w:rPr>
        <w:t xml:space="preserve"> זיו סוגר את בית הספר </w:t>
      </w:r>
      <w:proofErr w:type="spellStart"/>
      <w:r>
        <w:rPr>
          <w:color w:val="404040"/>
          <w:sz w:val="22"/>
          <w:szCs w:val="22"/>
          <w:rtl/>
        </w:rPr>
        <w:t>בגרובין</w:t>
      </w:r>
      <w:proofErr w:type="spellEnd"/>
      <w:r>
        <w:rPr>
          <w:color w:val="404040"/>
          <w:sz w:val="22"/>
          <w:szCs w:val="22"/>
          <w:rtl/>
        </w:rPr>
        <w:t xml:space="preserve"> מחמת בריאותו הרופפת – לפי המסופר, הסבא אינו שבע רצון ממפעל </w:t>
      </w:r>
      <w:proofErr w:type="spellStart"/>
      <w:r>
        <w:rPr>
          <w:color w:val="404040"/>
          <w:sz w:val="22"/>
          <w:szCs w:val="22"/>
          <w:rtl/>
        </w:rPr>
        <w:t>גרובין</w:t>
      </w:r>
      <w:proofErr w:type="spellEnd"/>
      <w:r>
        <w:rPr>
          <w:color w:val="404040"/>
          <w:sz w:val="22"/>
          <w:szCs w:val="22"/>
          <w:rtl/>
        </w:rPr>
        <w:t xml:space="preserve"> – בית ספרו של הסבא מקלם נתקל בקשיים כספיים – הסבא כועס על ר׳ ירוחם </w:t>
      </w:r>
      <w:proofErr w:type="spellStart"/>
      <w:r>
        <w:rPr>
          <w:color w:val="404040"/>
          <w:sz w:val="22"/>
          <w:szCs w:val="22"/>
          <w:rtl/>
        </w:rPr>
        <w:t>ליבוביץ</w:t>
      </w:r>
      <w:proofErr w:type="spellEnd"/>
      <w:r>
        <w:rPr>
          <w:color w:val="404040"/>
          <w:sz w:val="22"/>
          <w:szCs w:val="22"/>
          <w:rtl/>
        </w:rPr>
        <w:t xml:space="preserve"> – ר׳ ירוחם נוטה להקל בהתרת לימודים כלליים בישיבות שלאחר המלחמה – ההשגחה עומדת מאחורי הקמת ישיבת חברון – הסבא מקלם ובנו חלוקים על הסבא </w:t>
      </w:r>
      <w:proofErr w:type="spellStart"/>
      <w:r>
        <w:rPr>
          <w:color w:val="404040"/>
          <w:sz w:val="22"/>
          <w:szCs w:val="22"/>
          <w:rtl/>
        </w:rPr>
        <w:t>מסלבודקה</w:t>
      </w:r>
      <w:proofErr w:type="spellEnd"/>
      <w:r>
        <w:rPr>
          <w:color w:val="404040"/>
          <w:sz w:val="22"/>
          <w:szCs w:val="22"/>
          <w:rtl/>
        </w:rPr>
        <w:t xml:space="preserve"> – הסבא מקבל משרה בישיבתו של ר׳ </w:t>
      </w:r>
      <w:proofErr w:type="spellStart"/>
      <w:r>
        <w:rPr>
          <w:color w:val="404040"/>
          <w:sz w:val="22"/>
          <w:szCs w:val="22"/>
          <w:rtl/>
        </w:rPr>
        <w:t>הירשל׳ה</w:t>
      </w:r>
      <w:proofErr w:type="spellEnd"/>
      <w:r>
        <w:rPr>
          <w:color w:val="404040"/>
          <w:sz w:val="22"/>
          <w:szCs w:val="22"/>
          <w:rtl/>
        </w:rPr>
        <w:t xml:space="preserve"> – הוא מקים ישיבה </w:t>
      </w:r>
      <w:proofErr w:type="spellStart"/>
      <w:r>
        <w:rPr>
          <w:color w:val="404040"/>
          <w:sz w:val="22"/>
          <w:szCs w:val="22"/>
          <w:rtl/>
        </w:rPr>
        <w:t>בטלז</w:t>
      </w:r>
      <w:proofErr w:type="spellEnd"/>
      <w:r>
        <w:rPr>
          <w:color w:val="404040"/>
          <w:sz w:val="22"/>
          <w:szCs w:val="22"/>
          <w:rtl/>
        </w:rPr>
        <w:t xml:space="preserve"> – הוא יוצר אמצעי להפצת תורה</w:t>
      </w:r>
    </w:p>
    <w:p w14:paraId="08FB1E41" w14:textId="610D6094" w:rsidR="00AB3647" w:rsidRDefault="00000000" w:rsidP="007923E9">
      <w:pPr>
        <w:spacing w:after="120" w:line="276" w:lineRule="auto"/>
        <w:ind w:firstLine="283"/>
        <w:jc w:val="both"/>
      </w:pPr>
      <w:r>
        <w:rPr>
          <w:rtl/>
        </w:rPr>
        <w:t xml:space="preserve">פועלו של הסבא בבניית מוסדות תורה ומוסר היה לשם דבר. כבר בשלב מוקדם זה בדרכו היו לזכותו הישגים ניכרים בהפצת לימוד התורה. אחרי ששימש </w:t>
      </w:r>
      <w:proofErr w:type="spellStart"/>
      <w:r>
        <w:rPr>
          <w:rtl/>
        </w:rPr>
        <w:t>בקלם</w:t>
      </w:r>
      <w:proofErr w:type="spellEnd"/>
      <w:r>
        <w:rPr>
          <w:rtl/>
        </w:rPr>
        <w:t xml:space="preserve"> תחת ר׳ </w:t>
      </w:r>
      <w:proofErr w:type="spellStart"/>
      <w:r>
        <w:rPr>
          <w:rtl/>
        </w:rPr>
        <w:t>שמחה־זיסל</w:t>
      </w:r>
      <w:proofErr w:type="spellEnd"/>
      <w:r>
        <w:rPr>
          <w:rtl/>
        </w:rPr>
        <w:t xml:space="preserve"> זיו עבר לקובנה, ושם ייסד קיבוץ של למדנים צעירים בבית מדרש הלוויית המת.</w:t>
      </w:r>
      <w:bookmarkStart w:id="3040" w:name="_fnr2159"/>
      <w:r>
        <w:rPr>
          <w:rStyle w:val="a5"/>
        </w:rPr>
        <w:footnoteReference w:id="2165" w:customMarkFollows="0"/>
      </w:r>
      <w:bookmarkEnd w:id="3040"/>
      <w:r>
        <w:rPr>
          <w:rtl/>
        </w:rPr>
        <w:t xml:space="preserve"> באותה עת הקים – או סייע להקים (השווה תחילת </w:t>
      </w:r>
      <w:r>
        <w:rPr>
          <w:rtl/>
        </w:rPr>
        <w:fldChar w:fldCharType="begin" w:dirty="true"/>
      </w:r>
      <w:r>
        <w:rPr>
          <w:rtl/>
        </w:rPr>
        <w:instrText xml:space="preserve"> REF b3_excE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ה</w:t>
      </w:r>
      <w:r>
        <w:rPr>
          <w:rtl/>
        </w:rPr>
        <w:fldChar w:fldCharType="end"/>
      </w:r>
      <w:r>
        <w:rPr>
          <w:rtl/>
        </w:rPr>
        <w:t xml:space="preserve"> לעיל) – את כולל קובנה. כעבור שנתיים, בן שלושים ואחת, עבר </w:t>
      </w:r>
      <w:proofErr w:type="spellStart"/>
      <w:r>
        <w:rPr>
          <w:rtl/>
        </w:rPr>
        <w:t>לגרובין</w:t>
      </w:r>
      <w:proofErr w:type="spellEnd"/>
      <w:r>
        <w:rPr>
          <w:rtl/>
        </w:rPr>
        <w:t xml:space="preserve"> לשמש עוזרו של ר׳ </w:t>
      </w:r>
      <w:proofErr w:type="spellStart"/>
      <w:r>
        <w:rPr>
          <w:rtl/>
        </w:rPr>
        <w:t>שמחה־זיסל</w:t>
      </w:r>
      <w:proofErr w:type="spellEnd"/>
      <w:r>
        <w:rPr>
          <w:rtl/>
        </w:rPr>
        <w:t xml:space="preserve"> במוסד תורה חדש וחלוצי לנערים מבני המעמד הגבוה, ששילב תורה, מוסר ולימודים כלליים.</w:t>
      </w:r>
      <w:bookmarkStart w:id="3041" w:name="_fnr2160"/>
      <w:r>
        <w:rPr>
          <w:rStyle w:val="a5"/>
        </w:rPr>
        <w:footnoteReference w:id="2166" w:customMarkFollows="0"/>
      </w:r>
      <w:bookmarkEnd w:id="3041"/>
    </w:p>
    <w:p w14:paraId="24C468A0" w14:textId="77777777" w:rsidR="00AB3647" w:rsidRDefault="00000000" w:rsidP="007923E9">
      <w:pPr>
        <w:spacing w:after="120" w:line="276" w:lineRule="auto"/>
        <w:ind w:firstLine="283"/>
        <w:jc w:val="both"/>
      </w:pPr>
      <w:r>
        <w:rPr>
          <w:rtl/>
        </w:rPr>
        <w:t xml:space="preserve">בריאיון המוקלט על הסבא </w:t>
      </w:r>
      <w:proofErr w:type="spellStart"/>
      <w:r>
        <w:rPr>
          <w:rtl/>
        </w:rPr>
        <w:t>מסלבודקה</w:t>
      </w:r>
      <w:bookmarkStart w:id="3042" w:name="_fnr2161"/>
      <w:proofErr w:type="spellEnd"/>
      <w:r>
        <w:rPr>
          <w:rStyle w:val="a5"/>
        </w:rPr>
        <w:footnoteReference w:id="2167" w:customMarkFollows="0"/>
      </w:r>
      <w:bookmarkEnd w:id="3042"/>
      <w:r>
        <w:rPr>
          <w:rtl/>
        </w:rPr>
        <w:t xml:space="preserve"> אמר אבי: “בזמן שהסבא </w:t>
      </w:r>
      <w:proofErr w:type="spellStart"/>
      <w:r>
        <w:rPr>
          <w:rtl/>
        </w:rPr>
        <w:t>מסלבודקה</w:t>
      </w:r>
      <w:proofErr w:type="spellEnd"/>
      <w:r>
        <w:rPr>
          <w:rtl/>
        </w:rPr>
        <w:t xml:space="preserve"> היה בשליחות מטעם רבו להקים מוסד דומה במינסק, בחסות משפחת </w:t>
      </w:r>
      <w:proofErr w:type="spellStart"/>
      <w:r>
        <w:rPr>
          <w:rtl/>
        </w:rPr>
        <w:t>זלדוביץ</w:t>
      </w:r>
      <w:proofErr w:type="spellEnd"/>
      <w:r>
        <w:rPr>
          <w:rtl/>
        </w:rPr>
        <w:t xml:space="preserve"> העשירה, שתמכה ברעיונותיו של </w:t>
      </w:r>
      <w:proofErr w:type="spellStart"/>
      <w:r>
        <w:rPr>
          <w:rtl/>
        </w:rPr>
        <w:t>סלנטר</w:t>
      </w:r>
      <w:proofErr w:type="spellEnd"/>
      <w:r>
        <w:rPr>
          <w:rtl/>
        </w:rPr>
        <w:t>,</w:t>
      </w:r>
      <w:bookmarkStart w:id="3043" w:name="_fnr2162"/>
      <w:r>
        <w:rPr>
          <w:rStyle w:val="a5"/>
        </w:rPr>
        <w:footnoteReference w:id="2168" w:customMarkFollows="0"/>
      </w:r>
      <w:bookmarkEnd w:id="3043"/>
      <w:r>
        <w:rPr>
          <w:rtl/>
        </w:rPr>
        <w:t xml:space="preserve"> שינה הסבא מקלם את דעתו על הרעיון כולו, סגר את </w:t>
      </w:r>
      <w:proofErr w:type="spellStart"/>
      <w:r>
        <w:rPr>
          <w:rtl/>
        </w:rPr>
        <w:t>גרובין</w:t>
      </w:r>
      <w:proofErr w:type="spellEnd"/>
      <w:r>
        <w:rPr>
          <w:rtl/>
        </w:rPr>
        <w:t xml:space="preserve"> והחזיר את הסבא </w:t>
      </w:r>
      <w:proofErr w:type="spellStart"/>
      <w:r>
        <w:rPr>
          <w:rtl/>
        </w:rPr>
        <w:t>מסלבודקה</w:t>
      </w:r>
      <w:proofErr w:type="spellEnd"/>
      <w:r>
        <w:rPr>
          <w:rtl/>
        </w:rPr>
        <w:t xml:space="preserve">; מעתה נזנח הרעיון של שילוב תורה ולימודים כלליים”. לפי כץ, “תנועת </w:t>
      </w:r>
      <w:r>
        <w:rPr>
          <w:rtl/>
        </w:rPr>
        <w:lastRenderedPageBreak/>
        <w:t>המוסר”, כרך ב,</w:t>
      </w:r>
      <w:bookmarkStart w:id="3044" w:name="_fnr2163"/>
      <w:r>
        <w:rPr>
          <w:rStyle w:val="a5"/>
        </w:rPr>
        <w:footnoteReference w:id="2169" w:customMarkFollows="0"/>
      </w:r>
      <w:bookmarkEnd w:id="3044"/>
      <w:r>
        <w:rPr>
          <w:rtl/>
        </w:rPr>
        <w:t xml:space="preserve"> נסגר </w:t>
      </w:r>
      <w:proofErr w:type="spellStart"/>
      <w:r>
        <w:rPr>
          <w:rtl/>
        </w:rPr>
        <w:t>גרובין</w:t>
      </w:r>
      <w:proofErr w:type="spellEnd"/>
      <w:r>
        <w:rPr>
          <w:rtl/>
        </w:rPr>
        <w:t xml:space="preserve"> “</w:t>
      </w:r>
      <w:proofErr w:type="spellStart"/>
      <w:r>
        <w:rPr>
          <w:rtl/>
        </w:rPr>
        <w:t>בתרמ״ו</w:t>
      </w:r>
      <w:proofErr w:type="spellEnd"/>
      <w:r>
        <w:rPr>
          <w:rtl/>
        </w:rPr>
        <w:t>”.</w:t>
      </w:r>
      <w:bookmarkStart w:id="3045" w:name="_fnr2164"/>
      <w:r>
        <w:rPr>
          <w:rStyle w:val="a5"/>
        </w:rPr>
        <w:footnoteReference w:id="2170" w:customMarkFollows="0"/>
      </w:r>
      <w:bookmarkEnd w:id="3045"/>
      <w:r>
        <w:rPr>
          <w:rtl/>
        </w:rPr>
        <w:t xml:space="preserve"> לכן סמיכות הדברים בדברי רבנו, שקשר את הסגירה לשליחות הסבא למינסק, מורה לכאורה שגם אחרי שהקים את הישיבה </w:t>
      </w:r>
      <w:proofErr w:type="spellStart"/>
      <w:r>
        <w:rPr>
          <w:rtl/>
        </w:rPr>
        <w:t>בסלבודקה</w:t>
      </w:r>
      <w:proofErr w:type="spellEnd"/>
      <w:r>
        <w:rPr>
          <w:rtl/>
        </w:rPr>
        <w:t xml:space="preserve"> </w:t>
      </w:r>
      <w:proofErr w:type="spellStart"/>
      <w:r>
        <w:rPr>
          <w:rtl/>
        </w:rPr>
        <w:t>בתרמ״ב</w:t>
      </w:r>
      <w:proofErr w:type="spellEnd"/>
      <w:r>
        <w:rPr>
          <w:rtl/>
        </w:rPr>
        <w:t xml:space="preserve">, עדיין היה הסבא </w:t>
      </w:r>
      <w:proofErr w:type="spellStart"/>
      <w:r>
        <w:rPr>
          <w:rtl/>
        </w:rPr>
        <w:t>מסלבודקה</w:t>
      </w:r>
      <w:proofErr w:type="spellEnd"/>
      <w:r>
        <w:rPr>
          <w:rtl/>
        </w:rPr>
        <w:t xml:space="preserve"> מעורב מקרוב בפעילותו של ר׳ </w:t>
      </w:r>
      <w:proofErr w:type="spellStart"/>
      <w:r>
        <w:rPr>
          <w:rtl/>
        </w:rPr>
        <w:t>שמחה־זיסל</w:t>
      </w:r>
      <w:proofErr w:type="spellEnd"/>
      <w:r>
        <w:rPr>
          <w:rtl/>
        </w:rPr>
        <w:t>.</w:t>
      </w:r>
      <w:bookmarkStart w:id="3046" w:name="_fnr2165"/>
      <w:r>
        <w:rPr>
          <w:rStyle w:val="a5"/>
        </w:rPr>
        <w:footnoteReference w:id="2171" w:customMarkFollows="0"/>
      </w:r>
      <w:bookmarkEnd w:id="3046"/>
    </w:p>
    <w:p w14:paraId="1DEE80C4" w14:textId="593EEBB9" w:rsidR="00AB3647" w:rsidRDefault="00000000" w:rsidP="007923E9">
      <w:pPr>
        <w:spacing w:after="120" w:line="276" w:lineRule="auto"/>
        <w:ind w:firstLine="283"/>
        <w:jc w:val="both"/>
      </w:pPr>
      <w:r>
        <w:rPr>
          <w:rtl/>
        </w:rPr>
        <w:t xml:space="preserve">אבל דברי אבי, שר׳ </w:t>
      </w:r>
      <w:proofErr w:type="spellStart"/>
      <w:r>
        <w:rPr>
          <w:rtl/>
        </w:rPr>
        <w:t>שמחה־זיסל</w:t>
      </w:r>
      <w:proofErr w:type="spellEnd"/>
      <w:r>
        <w:rPr>
          <w:rtl/>
        </w:rPr>
        <w:t xml:space="preserve"> “שינה את דעתו על הרעיון כולו”, כלומר שהגיע למסקנה שתוכנית בית הספר </w:t>
      </w:r>
      <w:proofErr w:type="spellStart"/>
      <w:r>
        <w:rPr>
          <w:rtl/>
        </w:rPr>
        <w:t>בגרובין</w:t>
      </w:r>
      <w:proofErr w:type="spellEnd"/>
      <w:r>
        <w:rPr>
          <w:rtl/>
        </w:rPr>
        <w:t xml:space="preserve"> נכשלה, נדחים מכול וכול בספרו של כץ, “תנועת המוסר”, כרך ב,</w:t>
      </w:r>
      <w:bookmarkStart w:id="3047" w:name="_fnr2166"/>
      <w:r>
        <w:rPr>
          <w:rStyle w:val="a5"/>
        </w:rPr>
        <w:footnoteReference w:id="2172" w:customMarkFollows="0"/>
      </w:r>
      <w:bookmarkEnd w:id="3047"/>
      <w:r>
        <w:rPr>
          <w:rtl/>
        </w:rPr>
        <w:t xml:space="preserve"> שבו נאמר: “יש אשר </w:t>
      </w:r>
      <w:r>
        <w:rPr>
          <w:b/>
          <w:bCs/>
          <w:rtl/>
        </w:rPr>
        <w:t>בדו</w:t>
      </w:r>
      <w:r>
        <w:rPr>
          <w:rtl/>
        </w:rPr>
        <w:t xml:space="preserve"> שכאילו התאכזב מבית תלמודו </w:t>
      </w:r>
      <w:proofErr w:type="spellStart"/>
      <w:r>
        <w:rPr>
          <w:rtl/>
        </w:rPr>
        <w:t>בגרובין</w:t>
      </w:r>
      <w:proofErr w:type="spellEnd"/>
      <w:r>
        <w:rPr>
          <w:rtl/>
        </w:rPr>
        <w:t xml:space="preserve"> ומהשפעתו החינוכית (ההדגשה נוספה לצורך הדיון להלן)”. אחת מראיותיו החזקות ביותר של כץ היא מכתבו של הסבא מקלם, המצוטט בהערה </w:t>
      </w:r>
      <w:r>
        <w:rPr>
          <w:rtl/>
        </w:rPr>
        <w:fldChar w:fldCharType="begin" w:dirty="true"/>
      </w:r>
      <w:r>
        <w:rPr>
          <w:rtl/>
        </w:rPr>
        <w:instrText xml:space="preserve"> REF b3_note109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109</w:t>
      </w:r>
      <w:r>
        <w:rPr>
          <w:rtl/>
        </w:rPr>
        <w:fldChar w:fldCharType="end"/>
      </w:r>
      <w:r>
        <w:rPr>
          <w:rtl/>
        </w:rPr>
        <w:t xml:space="preserve"> לעיל.</w:t>
      </w:r>
      <w:bookmarkStart w:id="3048" w:name="_fnr2167"/>
      <w:r>
        <w:rPr>
          <w:rStyle w:val="a5"/>
        </w:rPr>
        <w:footnoteReference w:id="2173" w:customMarkFollows="0"/>
      </w:r>
      <w:bookmarkEnd w:id="3048"/>
    </w:p>
    <w:p w14:paraId="61CEB359" w14:textId="77777777" w:rsidR="00AB3647" w:rsidRDefault="00000000" w:rsidP="007923E9">
      <w:pPr>
        <w:spacing w:after="120" w:line="276" w:lineRule="auto"/>
        <w:ind w:firstLine="283"/>
        <w:jc w:val="both"/>
      </w:pPr>
      <w:r>
        <w:rPr>
          <w:rtl/>
        </w:rPr>
        <w:t xml:space="preserve">הסבר אחר לסגירת </w:t>
      </w:r>
      <w:proofErr w:type="spellStart"/>
      <w:r>
        <w:rPr>
          <w:rtl/>
        </w:rPr>
        <w:t>גרובין</w:t>
      </w:r>
      <w:proofErr w:type="spellEnd"/>
      <w:r>
        <w:rPr>
          <w:rtl/>
        </w:rPr>
        <w:t xml:space="preserve"> ביוזמת הסבא מקלם – אם כך אכן אירע – הוא הידרדרות בריאותו. שנה אחת בלבד אחרי שהקים את בית הספר החל להתלונן על מצבו הגופני. בשל לחצי ניהול בית הספר התפתחה אצלו מחלת לב, שהחמירה לבסוף עד כדי כך שלדברי כמה רופאים, </w:t>
      </w:r>
      <w:proofErr w:type="spellStart"/>
      <w:r>
        <w:rPr>
          <w:rtl/>
        </w:rPr>
        <w:t>בשלוש־עשרה</w:t>
      </w:r>
      <w:proofErr w:type="spellEnd"/>
      <w:r>
        <w:rPr>
          <w:rtl/>
        </w:rPr>
        <w:t xml:space="preserve"> שנותיו האחרונות, משנת תרמ״ה ואילך, החזיק מעמד “רק בכוחה של רוחו האדירה”.</w:t>
      </w:r>
      <w:bookmarkStart w:id="3049" w:name="_fnr2168"/>
      <w:r>
        <w:rPr>
          <w:rStyle w:val="a5"/>
        </w:rPr>
        <w:footnoteReference w:id="2174" w:customMarkFollows="0"/>
      </w:r>
      <w:bookmarkEnd w:id="3049"/>
      <w:r>
        <w:rPr>
          <w:rtl/>
        </w:rPr>
        <w:t xml:space="preserve"> מפני מחלתו פרש </w:t>
      </w:r>
      <w:proofErr w:type="spellStart"/>
      <w:r>
        <w:rPr>
          <w:rtl/>
        </w:rPr>
        <w:t>לקלם</w:t>
      </w:r>
      <w:proofErr w:type="spellEnd"/>
      <w:r>
        <w:rPr>
          <w:rtl/>
        </w:rPr>
        <w:t xml:space="preserve">, </w:t>
      </w:r>
      <w:proofErr w:type="spellStart"/>
      <w:r>
        <w:rPr>
          <w:rtl/>
        </w:rPr>
        <w:t>ובגרובין</w:t>
      </w:r>
      <w:proofErr w:type="spellEnd"/>
      <w:r>
        <w:rPr>
          <w:rtl/>
        </w:rPr>
        <w:t xml:space="preserve"> ביקר רק מדי פעם.</w:t>
      </w:r>
      <w:bookmarkStart w:id="3050" w:name="_fnr2169"/>
      <w:r>
        <w:rPr>
          <w:rStyle w:val="a5"/>
        </w:rPr>
        <w:footnoteReference w:id="2175" w:customMarkFollows="0"/>
      </w:r>
      <w:bookmarkEnd w:id="3050"/>
    </w:p>
    <w:p w14:paraId="51C3367F" w14:textId="77777777" w:rsidR="00AB3647" w:rsidRDefault="00000000" w:rsidP="007923E9">
      <w:pPr>
        <w:spacing w:after="120" w:line="276" w:lineRule="auto"/>
        <w:ind w:firstLine="283"/>
        <w:jc w:val="both"/>
      </w:pPr>
      <w:r>
        <w:rPr>
          <w:rtl/>
        </w:rPr>
        <w:t xml:space="preserve">ר׳ ישראל </w:t>
      </w:r>
      <w:proofErr w:type="spellStart"/>
      <w:r>
        <w:rPr>
          <w:rtl/>
        </w:rPr>
        <w:t>סלנטר</w:t>
      </w:r>
      <w:proofErr w:type="spellEnd"/>
      <w:r>
        <w:rPr>
          <w:rtl/>
        </w:rPr>
        <w:t xml:space="preserve"> הרשה לתלמידו לפתוח את בית הספר בתנאי שינהל אותו בעצמו, ואף הביע ביטחון שהסבא מקלם יסגור את בית הספר אם לא יוכל לפעול לפי הנחיותיו.</w:t>
      </w:r>
      <w:bookmarkStart w:id="3051" w:name="_fnr2170"/>
      <w:r>
        <w:rPr>
          <w:rStyle w:val="a5"/>
        </w:rPr>
        <w:footnoteReference w:id="2176" w:customMarkFollows="0"/>
      </w:r>
      <w:bookmarkEnd w:id="3051"/>
      <w:r>
        <w:rPr>
          <w:rtl/>
        </w:rPr>
        <w:t xml:space="preserve"> לפיכך ייתכן שהסבא מקלם החליט שמעורבותו הישירה הפוחתת בבית הספר אינה מאפשרת את המשך קיומו, ובוודאי מבטלת את התוכנית לפתוח מוסד מקביל במינסק. מיד כשחלה, כלומר שנה אחרי פתיחת בית הספר, שאל הסבא מקלם את ר׳ ישראל אם לסגור אותו, אבל נאמר לו אז שלא לעשות כן “מפני שהדבר יהיה כחורבן בית המקדש”.</w:t>
      </w:r>
      <w:bookmarkStart w:id="3052" w:name="_fnr2171"/>
      <w:r>
        <w:rPr>
          <w:rStyle w:val="a5"/>
        </w:rPr>
        <w:footnoteReference w:id="2177" w:customMarkFollows="0"/>
      </w:r>
      <w:bookmarkEnd w:id="3052"/>
    </w:p>
    <w:p w14:paraId="490E85D2" w14:textId="77777777" w:rsidR="00AB3647" w:rsidRDefault="00000000" w:rsidP="007923E9">
      <w:pPr>
        <w:spacing w:after="120" w:line="276" w:lineRule="auto"/>
        <w:ind w:firstLine="283"/>
        <w:jc w:val="both"/>
      </w:pPr>
      <w:r>
        <w:rPr>
          <w:rtl/>
        </w:rPr>
        <w:t xml:space="preserve">אולם הסבר זה מעורר קושי: כיצד יכול היה הסבא מקלם אפילו לשקול פתיחת בית ספר שני במינסק </w:t>
      </w:r>
      <w:proofErr w:type="spellStart"/>
      <w:r>
        <w:rPr>
          <w:rtl/>
        </w:rPr>
        <w:t>בתרמ״ו</w:t>
      </w:r>
      <w:proofErr w:type="spellEnd"/>
      <w:r>
        <w:rPr>
          <w:rtl/>
        </w:rPr>
        <w:t xml:space="preserve">, כשבריאותו ההולכת ומידרדרת כבר הפחיתה את מעורבותו האישית במוסד הקיים </w:t>
      </w:r>
      <w:proofErr w:type="spellStart"/>
      <w:r>
        <w:rPr>
          <w:rtl/>
        </w:rPr>
        <w:t>בגרובין</w:t>
      </w:r>
      <w:proofErr w:type="spellEnd"/>
      <w:r>
        <w:rPr>
          <w:rtl/>
        </w:rPr>
        <w:t xml:space="preserve">? אלא שייתכן שכאשר שלח את הסבא </w:t>
      </w:r>
      <w:proofErr w:type="spellStart"/>
      <w:r>
        <w:rPr>
          <w:rtl/>
        </w:rPr>
        <w:t>מסלבודקה</w:t>
      </w:r>
      <w:proofErr w:type="spellEnd"/>
      <w:r>
        <w:rPr>
          <w:rtl/>
        </w:rPr>
        <w:t xml:space="preserve"> למינסק, התכוון שהסבא </w:t>
      </w:r>
      <w:r>
        <w:rPr>
          <w:b/>
          <w:bCs/>
          <w:rtl/>
        </w:rPr>
        <w:t>עצמו</w:t>
      </w:r>
      <w:r>
        <w:rPr>
          <w:rtl/>
        </w:rPr>
        <w:t xml:space="preserve"> ינהל את בית הספר שם. שינוי דעתו של הסבא מקלם </w:t>
      </w:r>
      <w:r>
        <w:rPr>
          <w:b/>
          <w:bCs/>
          <w:rtl/>
        </w:rPr>
        <w:t xml:space="preserve">הן לגבי מינסק הן לגבי </w:t>
      </w:r>
      <w:proofErr w:type="spellStart"/>
      <w:r>
        <w:rPr>
          <w:b/>
          <w:bCs/>
          <w:rtl/>
        </w:rPr>
        <w:lastRenderedPageBreak/>
        <w:t>גרובין</w:t>
      </w:r>
      <w:proofErr w:type="spellEnd"/>
      <w:r>
        <w:rPr>
          <w:rtl/>
        </w:rPr>
        <w:t xml:space="preserve">, כפי שניסח זאת אבי, אולי נבע פשוט מאימוץ פירוש מחמיר יותר לתנאי המגביל שקבע רבו המנוח, ר׳ ישראל: אין די בניהול בית ספר מסוג זה באמצעות שליחים – תלמידיו, כגון הסבא </w:t>
      </w:r>
      <w:proofErr w:type="spellStart"/>
      <w:r>
        <w:rPr>
          <w:rtl/>
        </w:rPr>
        <w:t>מסלבודקה</w:t>
      </w:r>
      <w:proofErr w:type="spellEnd"/>
      <w:r>
        <w:rPr>
          <w:rtl/>
        </w:rPr>
        <w:t xml:space="preserve"> – בניגוד למה שהניח כששלח את הסבא </w:t>
      </w:r>
      <w:proofErr w:type="spellStart"/>
      <w:r>
        <w:rPr>
          <w:rtl/>
        </w:rPr>
        <w:t>מסלבודקה</w:t>
      </w:r>
      <w:proofErr w:type="spellEnd"/>
      <w:r>
        <w:rPr>
          <w:rtl/>
        </w:rPr>
        <w:t xml:space="preserve"> לשליחות. עליו להיות במקום בעצמו, גם אם החלופה היא “כחורבן בית המקדש”. יהא אשר יהא הטעם </w:t>
      </w:r>
      <w:proofErr w:type="spellStart"/>
      <w:r>
        <w:rPr>
          <w:rtl/>
        </w:rPr>
        <w:t>ל“שינוי</w:t>
      </w:r>
      <w:proofErr w:type="spellEnd"/>
      <w:r>
        <w:rPr>
          <w:rtl/>
        </w:rPr>
        <w:t xml:space="preserve"> דעתו” המיוחס </w:t>
      </w:r>
      <w:proofErr w:type="spellStart"/>
      <w:r>
        <w:rPr>
          <w:rtl/>
        </w:rPr>
        <w:t>לר</w:t>
      </w:r>
      <w:proofErr w:type="spellEnd"/>
      <w:r>
        <w:rPr>
          <w:rtl/>
        </w:rPr>
        <w:t xml:space="preserve">׳ </w:t>
      </w:r>
      <w:proofErr w:type="spellStart"/>
      <w:r>
        <w:rPr>
          <w:rtl/>
        </w:rPr>
        <w:t>שמחה־זיסל</w:t>
      </w:r>
      <w:proofErr w:type="spellEnd"/>
      <w:r>
        <w:rPr>
          <w:rtl/>
        </w:rPr>
        <w:t xml:space="preserve">, תמוה שאדם בשיעור קומתו לא השלים את בחינתו המחודשת והמכרעת </w:t>
      </w:r>
      <w:r>
        <w:rPr>
          <w:b/>
          <w:bCs/>
          <w:rtl/>
        </w:rPr>
        <w:t>לפני</w:t>
      </w:r>
      <w:r>
        <w:rPr>
          <w:rtl/>
        </w:rPr>
        <w:t xml:space="preserve"> ששלח את חניכו לשליחות במינסק.</w:t>
      </w:r>
    </w:p>
    <w:p w14:paraId="4D30A167" w14:textId="77777777" w:rsidR="00AB3647" w:rsidRDefault="00000000" w:rsidP="007923E9">
      <w:pPr>
        <w:spacing w:after="120" w:line="276" w:lineRule="auto"/>
        <w:ind w:firstLine="283"/>
        <w:jc w:val="both"/>
      </w:pPr>
      <w:r>
        <w:rPr>
          <w:rtl/>
        </w:rPr>
        <w:t xml:space="preserve">אבל ר׳ שלמה </w:t>
      </w:r>
      <w:proofErr w:type="spellStart"/>
      <w:r>
        <w:rPr>
          <w:rtl/>
        </w:rPr>
        <w:t>איידלשטיין</w:t>
      </w:r>
      <w:bookmarkStart w:id="3053" w:name="_fnr2172"/>
      <w:proofErr w:type="spellEnd"/>
      <w:r>
        <w:rPr>
          <w:rStyle w:val="a5"/>
        </w:rPr>
        <w:footnoteReference w:id="2178" w:customMarkFollows="0"/>
      </w:r>
      <w:bookmarkEnd w:id="3053"/>
      <w:r>
        <w:rPr>
          <w:rtl/>
        </w:rPr>
        <w:t xml:space="preserve"> מסר אמרה מפתיעה של הסבא, שהביאה אותי להציע הבנה שונה לחלוטין של מה שאירע. הסבא הכריז: “נכנסתי </w:t>
      </w:r>
      <w:proofErr w:type="spellStart"/>
      <w:r>
        <w:rPr>
          <w:rtl/>
        </w:rPr>
        <w:t>לגרובין</w:t>
      </w:r>
      <w:proofErr w:type="spellEnd"/>
      <w:r>
        <w:rPr>
          <w:rtl/>
        </w:rPr>
        <w:t xml:space="preserve"> כדי לסוגרו, והצלחתי!” לפי המסופר אמר הסבא </w:t>
      </w:r>
      <w:proofErr w:type="spellStart"/>
      <w:r>
        <w:rPr>
          <w:rtl/>
        </w:rPr>
        <w:t>מסלבודקה</w:t>
      </w:r>
      <w:proofErr w:type="spellEnd"/>
      <w:r>
        <w:rPr>
          <w:rtl/>
        </w:rPr>
        <w:t xml:space="preserve"> את הדברים המדהימים האלה בשיחה פרטית לאביו החורג של המרואיין, ר׳ יוסף </w:t>
      </w:r>
      <w:proofErr w:type="spellStart"/>
      <w:r>
        <w:rPr>
          <w:rtl/>
        </w:rPr>
        <w:t>דינקלס</w:t>
      </w:r>
      <w:proofErr w:type="spellEnd"/>
      <w:r>
        <w:rPr>
          <w:rtl/>
        </w:rPr>
        <w:t xml:space="preserve">, בן דורו של אבי מכולל </w:t>
      </w:r>
      <w:proofErr w:type="spellStart"/>
      <w:r>
        <w:rPr>
          <w:rtl/>
        </w:rPr>
        <w:t>סלבודקה</w:t>
      </w:r>
      <w:proofErr w:type="spellEnd"/>
      <w:r>
        <w:rPr>
          <w:rtl/>
        </w:rPr>
        <w:t>.</w:t>
      </w:r>
      <w:bookmarkStart w:id="3054" w:name="_fnr2173"/>
      <w:r>
        <w:rPr>
          <w:rStyle w:val="a5"/>
        </w:rPr>
        <w:footnoteReference w:id="2179" w:customMarkFollows="0"/>
      </w:r>
      <w:bookmarkEnd w:id="3054"/>
      <w:r>
        <w:rPr>
          <w:rtl/>
        </w:rPr>
        <w:t xml:space="preserve"> כלשון המרואיין: “ר׳ יוסף </w:t>
      </w:r>
      <w:proofErr w:type="spellStart"/>
      <w:r>
        <w:rPr>
          <w:rtl/>
        </w:rPr>
        <w:t>דינקלס</w:t>
      </w:r>
      <w:proofErr w:type="spellEnd"/>
      <w:r>
        <w:rPr>
          <w:rtl/>
        </w:rPr>
        <w:t xml:space="preserve"> היה היחיד מאנשי סודו ששמע זאת ממנו”.</w:t>
      </w:r>
    </w:p>
    <w:p w14:paraId="5DACDDA2" w14:textId="5DE60FDE" w:rsidR="00AB3647" w:rsidRDefault="00000000" w:rsidP="007923E9">
      <w:pPr>
        <w:spacing w:after="120" w:line="276" w:lineRule="auto"/>
        <w:ind w:firstLine="283"/>
        <w:jc w:val="both"/>
      </w:pPr>
      <w:r>
        <w:rPr>
          <w:rtl/>
        </w:rPr>
        <w:t xml:space="preserve">אמרה זו של הסבא מטילה אור חדש ומוזר על סגירת </w:t>
      </w:r>
      <w:proofErr w:type="spellStart"/>
      <w:r>
        <w:rPr>
          <w:rtl/>
        </w:rPr>
        <w:t>גרובין</w:t>
      </w:r>
      <w:proofErr w:type="spellEnd"/>
      <w:r>
        <w:rPr>
          <w:rtl/>
        </w:rPr>
        <w:t>. הסבא ראה היתר באמירת דבר שאינו אמת לצורכי חינוך,</w:t>
      </w:r>
      <w:bookmarkStart w:id="3055" w:name="_fnr2174"/>
      <w:r>
        <w:rPr>
          <w:rStyle w:val="a5"/>
        </w:rPr>
        <w:footnoteReference w:id="2180" w:customMarkFollows="0"/>
      </w:r>
      <w:bookmarkEnd w:id="3055"/>
      <w:r>
        <w:rPr>
          <w:rtl/>
        </w:rPr>
        <w:t xml:space="preserve"> כמובא בפרק 5, </w:t>
      </w:r>
      <w:r>
        <w:rPr>
          <w:rtl/>
        </w:rPr>
        <w:fldChar w:fldCharType="begin" w:dirty="true"/>
      </w:r>
      <w:r>
        <w:rPr>
          <w:rtl/>
        </w:rPr>
        <w:instrText xml:space="preserve"> REF b5_excD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ד</w:t>
      </w:r>
      <w:r>
        <w:rPr>
          <w:rtl/>
        </w:rPr>
        <w:fldChar w:fldCharType="end"/>
      </w:r>
      <w:r>
        <w:rPr>
          <w:rtl/>
        </w:rPr>
        <w:t xml:space="preserve">, ולכן ייתכן שייחס, שלא כפי האמת, את </w:t>
      </w:r>
      <w:proofErr w:type="spellStart"/>
      <w:r>
        <w:rPr>
          <w:rtl/>
        </w:rPr>
        <w:t>ה“אשמה</w:t>
      </w:r>
      <w:proofErr w:type="spellEnd"/>
      <w:r>
        <w:rPr>
          <w:rtl/>
        </w:rPr>
        <w:t xml:space="preserve">” בסגירה </w:t>
      </w:r>
      <w:proofErr w:type="spellStart"/>
      <w:r>
        <w:rPr>
          <w:rtl/>
        </w:rPr>
        <w:t>לר</w:t>
      </w:r>
      <w:proofErr w:type="spellEnd"/>
      <w:r>
        <w:rPr>
          <w:rtl/>
        </w:rPr>
        <w:t xml:space="preserve">׳ </w:t>
      </w:r>
      <w:proofErr w:type="spellStart"/>
      <w:r>
        <w:rPr>
          <w:rtl/>
        </w:rPr>
        <w:t>שמחה־זיסל</w:t>
      </w:r>
      <w:proofErr w:type="spellEnd"/>
      <w:r>
        <w:rPr>
          <w:rtl/>
        </w:rPr>
        <w:t xml:space="preserve">, במקום לזקוף את </w:t>
      </w:r>
      <w:proofErr w:type="spellStart"/>
      <w:r>
        <w:rPr>
          <w:rtl/>
        </w:rPr>
        <w:t>ה“זכות</w:t>
      </w:r>
      <w:proofErr w:type="spellEnd"/>
      <w:r>
        <w:rPr>
          <w:rtl/>
        </w:rPr>
        <w:t xml:space="preserve">” לעצמו. אם מצרפים את האמרה שמסר לרב </w:t>
      </w:r>
      <w:proofErr w:type="spellStart"/>
      <w:r>
        <w:rPr>
          <w:rtl/>
        </w:rPr>
        <w:t>דינקלס</w:t>
      </w:r>
      <w:proofErr w:type="spellEnd"/>
      <w:r>
        <w:rPr>
          <w:rtl/>
        </w:rPr>
        <w:t xml:space="preserve"> למה שאפשר ללמוד מן הסיפור שסיפר הסבא לרבנו, אפשר לשער שבנסיעתו למינסק הניע הסבא </w:t>
      </w:r>
      <w:proofErr w:type="spellStart"/>
      <w:r>
        <w:rPr>
          <w:rtl/>
        </w:rPr>
        <w:t>מסלבודקה</w:t>
      </w:r>
      <w:proofErr w:type="spellEnd"/>
      <w:r>
        <w:rPr>
          <w:rtl/>
        </w:rPr>
        <w:t xml:space="preserve"> את תומכיו העשירים של </w:t>
      </w:r>
      <w:proofErr w:type="spellStart"/>
      <w:r>
        <w:rPr>
          <w:rtl/>
        </w:rPr>
        <w:t>גרובין</w:t>
      </w:r>
      <w:proofErr w:type="spellEnd"/>
      <w:r>
        <w:rPr>
          <w:rtl/>
        </w:rPr>
        <w:t xml:space="preserve"> </w:t>
      </w:r>
      <w:r>
        <w:rPr>
          <w:b/>
          <w:bCs/>
          <w:rtl/>
        </w:rPr>
        <w:t>לצמצם</w:t>
      </w:r>
      <w:r>
        <w:rPr>
          <w:rtl/>
        </w:rPr>
        <w:t xml:space="preserve"> את תמיכתם הכספית הנחוצה,</w:t>
      </w:r>
      <w:bookmarkStart w:id="3056" w:name="_fnr2175"/>
      <w:r>
        <w:rPr>
          <w:rStyle w:val="a5"/>
        </w:rPr>
        <w:footnoteReference w:id="2181" w:customMarkFollows="0"/>
      </w:r>
      <w:bookmarkEnd w:id="3056"/>
      <w:r>
        <w:rPr>
          <w:rtl/>
        </w:rPr>
        <w:t xml:space="preserve"> ולא </w:t>
      </w:r>
      <w:r>
        <w:rPr>
          <w:b/>
          <w:bCs/>
          <w:rtl/>
        </w:rPr>
        <w:t>להגדילה</w:t>
      </w:r>
      <w:r>
        <w:rPr>
          <w:rtl/>
        </w:rPr>
        <w:t xml:space="preserve">. כנראה לא עשה זאת בבגידה גלויה בשליחותו, אלא בתיאור נטול אהדה, ואולי אף לעגני, של המתרחש בבית הספר </w:t>
      </w:r>
      <w:proofErr w:type="spellStart"/>
      <w:r>
        <w:rPr>
          <w:rtl/>
        </w:rPr>
        <w:t>בגרובין</w:t>
      </w:r>
      <w:proofErr w:type="spellEnd"/>
      <w:r>
        <w:rPr>
          <w:rtl/>
        </w:rPr>
        <w:t xml:space="preserve"> כפי שראה אותו.</w:t>
      </w:r>
    </w:p>
    <w:p w14:paraId="4BBF7B4C" w14:textId="77777777" w:rsidR="00AB3647" w:rsidRDefault="00000000" w:rsidP="007923E9">
      <w:pPr>
        <w:spacing w:after="120" w:line="276" w:lineRule="auto"/>
        <w:ind w:firstLine="283"/>
        <w:jc w:val="both"/>
      </w:pPr>
      <w:r>
        <w:rPr>
          <w:rtl/>
        </w:rPr>
        <w:t xml:space="preserve">יתר על כן, אם תיאור ההתרחשויות שסיפר הסבא לאבי אינו תואם את העובדות, ייתכן מאוד ששליחותו למינסק הייתה זמן מה – אפילו כמה שנים – לפני סגירת </w:t>
      </w:r>
      <w:proofErr w:type="spellStart"/>
      <w:r>
        <w:rPr>
          <w:rtl/>
        </w:rPr>
        <w:t>גרובין</w:t>
      </w:r>
      <w:proofErr w:type="spellEnd"/>
      <w:r>
        <w:rPr>
          <w:rtl/>
        </w:rPr>
        <w:t xml:space="preserve"> </w:t>
      </w:r>
      <w:proofErr w:type="spellStart"/>
      <w:r>
        <w:rPr>
          <w:rtl/>
        </w:rPr>
        <w:t>בתרמ״ו</w:t>
      </w:r>
      <w:proofErr w:type="spellEnd"/>
      <w:r>
        <w:rPr>
          <w:rtl/>
        </w:rPr>
        <w:t xml:space="preserve">, ושהסבא </w:t>
      </w:r>
      <w:proofErr w:type="spellStart"/>
      <w:r>
        <w:rPr>
          <w:rtl/>
        </w:rPr>
        <w:t>מסלבודקה</w:t>
      </w:r>
      <w:proofErr w:type="spellEnd"/>
      <w:r>
        <w:rPr>
          <w:rtl/>
        </w:rPr>
        <w:t xml:space="preserve"> היה מעורב בפעילותו של הסבא מקלם רק </w:t>
      </w:r>
      <w:r>
        <w:rPr>
          <w:b/>
          <w:bCs/>
          <w:rtl/>
        </w:rPr>
        <w:t>קודם</w:t>
      </w:r>
      <w:r>
        <w:rPr>
          <w:rtl/>
        </w:rPr>
        <w:t xml:space="preserve"> להקמת ישיבת </w:t>
      </w:r>
      <w:proofErr w:type="spellStart"/>
      <w:r>
        <w:rPr>
          <w:rtl/>
        </w:rPr>
        <w:t>סלבודקה</w:t>
      </w:r>
      <w:proofErr w:type="spellEnd"/>
      <w:r>
        <w:rPr>
          <w:rtl/>
        </w:rPr>
        <w:t xml:space="preserve">, ואולי רק בתקופה המוקדמת שבה לימד </w:t>
      </w:r>
      <w:proofErr w:type="spellStart"/>
      <w:r>
        <w:rPr>
          <w:rtl/>
        </w:rPr>
        <w:t>בגרובין</w:t>
      </w:r>
      <w:proofErr w:type="spellEnd"/>
      <w:r>
        <w:rPr>
          <w:rtl/>
        </w:rPr>
        <w:t xml:space="preserve">. אמרתו לרב </w:t>
      </w:r>
      <w:proofErr w:type="spellStart"/>
      <w:r>
        <w:rPr>
          <w:rtl/>
        </w:rPr>
        <w:t>דינקלס</w:t>
      </w:r>
      <w:proofErr w:type="spellEnd"/>
      <w:r>
        <w:rPr>
          <w:rtl/>
        </w:rPr>
        <w:t xml:space="preserve"> מורה לכאורה </w:t>
      </w:r>
      <w:proofErr w:type="spellStart"/>
      <w:r>
        <w:rPr>
          <w:rtl/>
        </w:rPr>
        <w:t>ש“סגר</w:t>
      </w:r>
      <w:proofErr w:type="spellEnd"/>
      <w:r>
        <w:rPr>
          <w:rtl/>
        </w:rPr>
        <w:t xml:space="preserve">” את </w:t>
      </w:r>
      <w:proofErr w:type="spellStart"/>
      <w:r>
        <w:rPr>
          <w:rtl/>
        </w:rPr>
        <w:t>גרובין</w:t>
      </w:r>
      <w:proofErr w:type="spellEnd"/>
      <w:r>
        <w:rPr>
          <w:rtl/>
        </w:rPr>
        <w:t xml:space="preserve"> באותו זמן שבו “נכנס” אליו, כלומר שמעורבותו בראשית מפעל </w:t>
      </w:r>
      <w:proofErr w:type="spellStart"/>
      <w:r>
        <w:rPr>
          <w:rtl/>
        </w:rPr>
        <w:t>גרובין</w:t>
      </w:r>
      <w:proofErr w:type="spellEnd"/>
      <w:r>
        <w:rPr>
          <w:rtl/>
        </w:rPr>
        <w:t xml:space="preserve"> היא שגרמה לבסוף לסגירתו. אפשר אפילו לשער שהשליחות למינסק יצאה לדרך זמן לא רב אחרי הקמת </w:t>
      </w:r>
      <w:proofErr w:type="spellStart"/>
      <w:r>
        <w:rPr>
          <w:rtl/>
        </w:rPr>
        <w:t>גרובין</w:t>
      </w:r>
      <w:proofErr w:type="spellEnd"/>
      <w:r>
        <w:rPr>
          <w:rtl/>
        </w:rPr>
        <w:t>.</w:t>
      </w:r>
    </w:p>
    <w:p w14:paraId="0BE9FE96" w14:textId="77777777" w:rsidR="00AB3647" w:rsidRDefault="00000000" w:rsidP="007923E9">
      <w:pPr>
        <w:spacing w:after="120" w:line="276" w:lineRule="auto"/>
        <w:ind w:firstLine="283"/>
        <w:jc w:val="both"/>
      </w:pPr>
      <w:r>
        <w:rPr>
          <w:rtl/>
        </w:rPr>
        <w:t xml:space="preserve">ייתכן שבהתלהבותו מן המפעל החדש העלה הסבא מקלם בדעתו להקים רשת של בתי ספר כאלה ברוסיה – אולי כמספר תלמידיו הנאמנים שיכלו לעמוד בראשם, ולנאמן כזה החשיב את הסבא </w:t>
      </w:r>
      <w:proofErr w:type="spellStart"/>
      <w:r>
        <w:rPr>
          <w:rtl/>
        </w:rPr>
        <w:t>מסלבודקה</w:t>
      </w:r>
      <w:proofErr w:type="spellEnd"/>
      <w:r>
        <w:rPr>
          <w:rtl/>
        </w:rPr>
        <w:t xml:space="preserve">. אם כן, הנסיעה למינסק וסגירת </w:t>
      </w:r>
      <w:proofErr w:type="spellStart"/>
      <w:r>
        <w:rPr>
          <w:rtl/>
        </w:rPr>
        <w:t>גרובין</w:t>
      </w:r>
      <w:proofErr w:type="spellEnd"/>
      <w:r>
        <w:rPr>
          <w:rtl/>
        </w:rPr>
        <w:t xml:space="preserve"> לא התרחשו בעת ובעונה אחת, כפי שהבין רבנו בעקבות המידע המטעה שמסר לו הסבא. בין שני האירועים הפרידו חמש או </w:t>
      </w:r>
      <w:r>
        <w:rPr>
          <w:rtl/>
        </w:rPr>
        <w:lastRenderedPageBreak/>
        <w:t xml:space="preserve">שש שנים, ויחסם היה יחס של סיבה ותוצאה: פעולתו החתרנית של הסבא במינסק הביאה לקשייו הכספיים של </w:t>
      </w:r>
      <w:proofErr w:type="spellStart"/>
      <w:r>
        <w:rPr>
          <w:rtl/>
        </w:rPr>
        <w:t>גרובין</w:t>
      </w:r>
      <w:proofErr w:type="spellEnd"/>
      <w:r>
        <w:rPr>
          <w:rtl/>
        </w:rPr>
        <w:t>, שהכריעו אותו כמה שנים אחר כך.</w:t>
      </w:r>
    </w:p>
    <w:p w14:paraId="2AD86A27" w14:textId="77777777" w:rsidR="00AB3647" w:rsidRDefault="00000000" w:rsidP="007923E9">
      <w:pPr>
        <w:spacing w:after="120" w:line="276" w:lineRule="auto"/>
        <w:ind w:firstLine="283"/>
        <w:jc w:val="both"/>
      </w:pPr>
      <w:r>
        <w:rPr>
          <w:rtl/>
        </w:rPr>
        <w:t xml:space="preserve">מאחר </w:t>
      </w:r>
      <w:proofErr w:type="spellStart"/>
      <w:r>
        <w:rPr>
          <w:rtl/>
        </w:rPr>
        <w:t>שגרובין</w:t>
      </w:r>
      <w:proofErr w:type="spellEnd"/>
      <w:r>
        <w:rPr>
          <w:rtl/>
        </w:rPr>
        <w:t xml:space="preserve"> היה מוסד שלא מצא חן בעיני הסבא אחרי שהכירו מבפנים, סביר שהתפטר ממנו מיד. הדבר היה מתרחש בשעה שתומכי בית הספר במינסק עדיין שקלו את תיאורו של הסבא </w:t>
      </w:r>
      <w:proofErr w:type="spellStart"/>
      <w:r>
        <w:rPr>
          <w:rtl/>
        </w:rPr>
        <w:t>מסלבודקה</w:t>
      </w:r>
      <w:proofErr w:type="spellEnd"/>
      <w:r>
        <w:rPr>
          <w:rtl/>
        </w:rPr>
        <w:t xml:space="preserve"> והחליטו אם להוסיף להושיט לו סיוע. ייתכן גם שהקשיים הכספיים שנזכרו במכתבו של הסבא מקלם </w:t>
      </w:r>
      <w:proofErr w:type="spellStart"/>
      <w:r>
        <w:rPr>
          <w:rtl/>
        </w:rPr>
        <w:t>לר</w:t>
      </w:r>
      <w:proofErr w:type="spellEnd"/>
      <w:r>
        <w:rPr>
          <w:rtl/>
        </w:rPr>
        <w:t xml:space="preserve">׳ ישראל </w:t>
      </w:r>
      <w:proofErr w:type="spellStart"/>
      <w:r>
        <w:rPr>
          <w:rtl/>
        </w:rPr>
        <w:t>בתרמ״א</w:t>
      </w:r>
      <w:proofErr w:type="spellEnd"/>
      <w:r>
        <w:rPr>
          <w:rtl/>
        </w:rPr>
        <w:t>,</w:t>
      </w:r>
      <w:bookmarkStart w:id="3057" w:name="_fnr2176"/>
      <w:r>
        <w:rPr>
          <w:rStyle w:val="a5"/>
        </w:rPr>
        <w:footnoteReference w:id="2182" w:customMarkFollows="0"/>
      </w:r>
      <w:bookmarkEnd w:id="3057"/>
      <w:r>
        <w:rPr>
          <w:rtl/>
        </w:rPr>
        <w:t xml:space="preserve"> שנה אחת בלבד אחרי ייסוד בית הספר, היו התוצאות הראשונות של פעולתו החתרנית של הסבא. אחר כך נדרשו עוד כמה שנים עד שצירוף בעיותיו הכספיות ההולכות וגדלות של </w:t>
      </w:r>
      <w:proofErr w:type="spellStart"/>
      <w:r>
        <w:rPr>
          <w:rtl/>
        </w:rPr>
        <w:t>גרובין</w:t>
      </w:r>
      <w:proofErr w:type="spellEnd"/>
      <w:r>
        <w:rPr>
          <w:rtl/>
        </w:rPr>
        <w:t xml:space="preserve"> עם הידרדרות בריאותו של הסבא מקלם הביא לסגירת שערי בית הספר.</w:t>
      </w:r>
    </w:p>
    <w:p w14:paraId="4B6D33B5" w14:textId="77777777" w:rsidR="00AB3647" w:rsidRDefault="00000000" w:rsidP="007923E9">
      <w:pPr>
        <w:spacing w:after="120" w:line="276" w:lineRule="auto"/>
        <w:ind w:firstLine="283"/>
        <w:jc w:val="both"/>
      </w:pPr>
      <w:proofErr w:type="spellStart"/>
      <w:r>
        <w:rPr>
          <w:rtl/>
        </w:rPr>
        <w:t>ה“בדיה</w:t>
      </w:r>
      <w:proofErr w:type="spellEnd"/>
      <w:r>
        <w:rPr>
          <w:rtl/>
        </w:rPr>
        <w:t xml:space="preserve">” בנוגע לאכזבתו של הסבא מקלם </w:t>
      </w:r>
      <w:proofErr w:type="spellStart"/>
      <w:r>
        <w:rPr>
          <w:rtl/>
        </w:rPr>
        <w:t>מגרובין</w:t>
      </w:r>
      <w:proofErr w:type="spellEnd"/>
      <w:r>
        <w:rPr>
          <w:rtl/>
        </w:rPr>
        <w:t xml:space="preserve">, שכץ מביא ושאבי קיבל כאמת, אולי מקורה </w:t>
      </w:r>
      <w:r>
        <w:rPr>
          <w:b/>
          <w:bCs/>
          <w:rtl/>
        </w:rPr>
        <w:t xml:space="preserve">בסבא </w:t>
      </w:r>
      <w:proofErr w:type="spellStart"/>
      <w:r>
        <w:rPr>
          <w:b/>
          <w:bCs/>
          <w:rtl/>
        </w:rPr>
        <w:t>מסלבודקה</w:t>
      </w:r>
      <w:proofErr w:type="spellEnd"/>
      <w:r>
        <w:rPr>
          <w:rtl/>
        </w:rPr>
        <w:t>, שלא חש בנוח עם הבגידה שבגד ברבו, וייחס את האכזבה לרבו עצמו!</w:t>
      </w:r>
    </w:p>
    <w:p w14:paraId="376582EB" w14:textId="77777777" w:rsidR="00AB3647" w:rsidRDefault="00000000" w:rsidP="007923E9">
      <w:pPr>
        <w:spacing w:after="120" w:line="276" w:lineRule="auto"/>
        <w:ind w:firstLine="283"/>
        <w:jc w:val="both"/>
      </w:pPr>
      <w:bookmarkStart w:id="3058" w:name="pr_b_1310"/>
      <w:bookmarkEnd w:id="3058"/>
      <w:r>
        <w:rPr>
          <w:rtl/>
        </w:rPr>
        <w:t xml:space="preserve">הרב </w:t>
      </w:r>
      <w:proofErr w:type="spellStart"/>
      <w:r>
        <w:rPr>
          <w:rtl/>
        </w:rPr>
        <w:t>איידלשטיין</w:t>
      </w:r>
      <w:proofErr w:type="spellEnd"/>
      <w:r>
        <w:rPr>
          <w:rtl/>
        </w:rPr>
        <w:t xml:space="preserve"> תיאר את הרקע לגילויו הפרטי של הסבא </w:t>
      </w:r>
      <w:proofErr w:type="spellStart"/>
      <w:r>
        <w:rPr>
          <w:rtl/>
        </w:rPr>
        <w:t>מסלבודקה</w:t>
      </w:r>
      <w:proofErr w:type="spellEnd"/>
      <w:r>
        <w:rPr>
          <w:rtl/>
        </w:rPr>
        <w:t xml:space="preserve"> לרב </w:t>
      </w:r>
      <w:proofErr w:type="spellStart"/>
      <w:r>
        <w:rPr>
          <w:rtl/>
        </w:rPr>
        <w:t>דינקלס</w:t>
      </w:r>
      <w:proofErr w:type="spellEnd"/>
      <w:r>
        <w:rPr>
          <w:rtl/>
        </w:rPr>
        <w:t xml:space="preserve">. </w:t>
      </w:r>
      <w:proofErr w:type="spellStart"/>
      <w:r>
        <w:rPr>
          <w:rtl/>
        </w:rPr>
        <w:t>בתרפ״ד</w:t>
      </w:r>
      <w:proofErr w:type="spellEnd"/>
      <w:r>
        <w:rPr>
          <w:rtl/>
        </w:rPr>
        <w:t xml:space="preserve"> פרסמה ממשלת ליטא צו שלפיו תלמידיה של כל ישיבה שאין בה לימודים כלליים לא יהיו זכאים עוד לדחיית הגיוס. באספת רבנים שנקראה לדון בעניין התברר שישיבת </w:t>
      </w:r>
      <w:proofErr w:type="spellStart"/>
      <w:r>
        <w:rPr>
          <w:rtl/>
        </w:rPr>
        <w:t>טלז</w:t>
      </w:r>
      <w:proofErr w:type="spellEnd"/>
      <w:r>
        <w:rPr>
          <w:rtl/>
        </w:rPr>
        <w:t xml:space="preserve"> מוכנה להיכנע לצו, ואילו ישיבת </w:t>
      </w:r>
      <w:proofErr w:type="spellStart"/>
      <w:r>
        <w:rPr>
          <w:rtl/>
        </w:rPr>
        <w:t>סלבודקה</w:t>
      </w:r>
      <w:proofErr w:type="spellEnd"/>
      <w:r>
        <w:rPr>
          <w:rtl/>
        </w:rPr>
        <w:t xml:space="preserve">, שיוצגה באספה בידי ר׳ </w:t>
      </w:r>
      <w:proofErr w:type="spellStart"/>
      <w:r>
        <w:rPr>
          <w:rtl/>
        </w:rPr>
        <w:t>חצקל</w:t>
      </w:r>
      <w:proofErr w:type="spellEnd"/>
      <w:r>
        <w:rPr>
          <w:rtl/>
        </w:rPr>
        <w:t xml:space="preserve"> </w:t>
      </w:r>
      <w:proofErr w:type="spellStart"/>
      <w:r>
        <w:rPr>
          <w:rtl/>
        </w:rPr>
        <w:t>סרנא</w:t>
      </w:r>
      <w:proofErr w:type="spellEnd"/>
      <w:r>
        <w:rPr>
          <w:rtl/>
        </w:rPr>
        <w:t xml:space="preserve">, התנגדה ללא פשרה. ר׳ </w:t>
      </w:r>
      <w:proofErr w:type="spellStart"/>
      <w:r>
        <w:rPr>
          <w:rtl/>
        </w:rPr>
        <w:t>חצקל</w:t>
      </w:r>
      <w:proofErr w:type="spellEnd"/>
      <w:r>
        <w:rPr>
          <w:rtl/>
        </w:rPr>
        <w:t xml:space="preserve"> היה תלמידו הקרוב של הסבא</w:t>
      </w:r>
      <w:bookmarkStart w:id="3059" w:name="_fnr2177"/>
      <w:r>
        <w:rPr>
          <w:rStyle w:val="a5"/>
        </w:rPr>
        <w:footnoteReference w:id="2183" w:customMarkFollows="0"/>
      </w:r>
      <w:bookmarkEnd w:id="3059"/>
      <w:r>
        <w:rPr>
          <w:rtl/>
        </w:rPr>
        <w:t xml:space="preserve"> וחתנו של ראש הישיבה, ר׳ </w:t>
      </w:r>
      <w:proofErr w:type="spellStart"/>
      <w:r>
        <w:rPr>
          <w:rtl/>
        </w:rPr>
        <w:t>משה־מרדכי</w:t>
      </w:r>
      <w:proofErr w:type="spellEnd"/>
      <w:r>
        <w:rPr>
          <w:rtl/>
        </w:rPr>
        <w:t xml:space="preserve"> אפשטיין. ר׳ </w:t>
      </w:r>
      <w:proofErr w:type="spellStart"/>
      <w:r>
        <w:rPr>
          <w:rtl/>
        </w:rPr>
        <w:t>משה־מרדכי</w:t>
      </w:r>
      <w:proofErr w:type="spellEnd"/>
      <w:r>
        <w:rPr>
          <w:rtl/>
        </w:rPr>
        <w:t xml:space="preserve"> עצמו היה באותה עת באמריקה, במשלחת לגיוס כספים למוסדות התורה בכללותם, עם הרב מקובנה, ר׳ </w:t>
      </w:r>
      <w:proofErr w:type="spellStart"/>
      <w:r>
        <w:rPr>
          <w:rtl/>
        </w:rPr>
        <w:t>אברהם־דובער</w:t>
      </w:r>
      <w:proofErr w:type="spellEnd"/>
      <w:r>
        <w:rPr>
          <w:rtl/>
        </w:rPr>
        <w:t xml:space="preserve"> </w:t>
      </w:r>
      <w:proofErr w:type="spellStart"/>
      <w:r>
        <w:rPr>
          <w:rtl/>
        </w:rPr>
        <w:t>כהנא־שפירא</w:t>
      </w:r>
      <w:proofErr w:type="spellEnd"/>
      <w:r>
        <w:rPr>
          <w:rtl/>
        </w:rPr>
        <w:t xml:space="preserve">, ועם ר׳ </w:t>
      </w:r>
      <w:proofErr w:type="spellStart"/>
      <w:r>
        <w:rPr>
          <w:rtl/>
        </w:rPr>
        <w:t>אברהם־יצחק</w:t>
      </w:r>
      <w:proofErr w:type="spellEnd"/>
      <w:r>
        <w:rPr>
          <w:rtl/>
        </w:rPr>
        <w:t xml:space="preserve"> קוק מארץ ישראל.</w:t>
      </w:r>
    </w:p>
    <w:p w14:paraId="4C5C34E2" w14:textId="77777777" w:rsidR="00AB3647" w:rsidRDefault="00000000" w:rsidP="007923E9">
      <w:pPr>
        <w:spacing w:after="120" w:line="276" w:lineRule="auto"/>
        <w:ind w:firstLine="283"/>
        <w:jc w:val="both"/>
      </w:pPr>
      <w:r>
        <w:rPr>
          <w:rtl/>
        </w:rPr>
        <w:t xml:space="preserve">בתקופה מכרעת זו ישב הסבא ושוחח עם קבוצת תלמידים. הרב </w:t>
      </w:r>
      <w:proofErr w:type="spellStart"/>
      <w:r>
        <w:rPr>
          <w:rtl/>
        </w:rPr>
        <w:t>איידלשטיין</w:t>
      </w:r>
      <w:proofErr w:type="spellEnd"/>
      <w:r>
        <w:rPr>
          <w:rtl/>
        </w:rPr>
        <w:t xml:space="preserve"> זכר שהרב </w:t>
      </w:r>
      <w:proofErr w:type="spellStart"/>
      <w:r>
        <w:rPr>
          <w:rtl/>
        </w:rPr>
        <w:t>דינקלס</w:t>
      </w:r>
      <w:proofErr w:type="spellEnd"/>
      <w:r>
        <w:rPr>
          <w:rtl/>
        </w:rPr>
        <w:t xml:space="preserve"> הזכיר את עצמו ואת שאר “תלמידיו המושבעים של הסבא”, חברי כולל </w:t>
      </w:r>
      <w:proofErr w:type="spellStart"/>
      <w:r>
        <w:rPr>
          <w:rtl/>
        </w:rPr>
        <w:t>סלבודקה</w:t>
      </w:r>
      <w:proofErr w:type="spellEnd"/>
      <w:r>
        <w:rPr>
          <w:rtl/>
        </w:rPr>
        <w:t xml:space="preserve">: ר׳ זלמן </w:t>
      </w:r>
      <w:proofErr w:type="spellStart"/>
      <w:r>
        <w:rPr>
          <w:rtl/>
        </w:rPr>
        <w:t>אוסובסקי</w:t>
      </w:r>
      <w:proofErr w:type="spellEnd"/>
      <w:r>
        <w:rPr>
          <w:rtl/>
        </w:rPr>
        <w:t xml:space="preserve">, ר׳ זאב </w:t>
      </w:r>
      <w:proofErr w:type="spellStart"/>
      <w:r>
        <w:rPr>
          <w:rtl/>
        </w:rPr>
        <w:t xml:space="preserve">הלר</w:t>
      </w:r>
      <w:proofErr w:type="spellEnd"/>
      <w:r>
        <w:rPr>
          <w:rtl/>
        </w:rPr>
        <w:t xml:space="preserve">, “אולי ר׳ אייזיק (שר), ואולי (רבנו)”. אז פרץ פנימה ר׳ </w:t>
      </w:r>
      <w:proofErr w:type="spellStart"/>
      <w:r>
        <w:rPr>
          <w:rtl/>
        </w:rPr>
        <w:t>יוסף־שלמה</w:t>
      </w:r>
      <w:proofErr w:type="spellEnd"/>
      <w:r>
        <w:rPr>
          <w:rtl/>
        </w:rPr>
        <w:t xml:space="preserve"> </w:t>
      </w:r>
      <w:proofErr w:type="spellStart"/>
      <w:r>
        <w:rPr>
          <w:rtl/>
        </w:rPr>
        <w:t>כהנמן</w:t>
      </w:r>
      <w:proofErr w:type="spellEnd"/>
      <w:r>
        <w:rPr>
          <w:rtl/>
        </w:rPr>
        <w:t xml:space="preserve">, רבה של </w:t>
      </w:r>
      <w:proofErr w:type="spellStart"/>
      <w:r>
        <w:rPr>
          <w:rtl/>
        </w:rPr>
        <w:t>פוניבז</w:t>
      </w:r>
      <w:proofErr w:type="spellEnd"/>
      <w:r>
        <w:rPr>
          <w:rtl/>
        </w:rPr>
        <w:t xml:space="preserve">׳, הכה שוב ושוב על השולחן וקרא בחריפות: “נאט אייך אייער מוסר [הנה לכם המוסר </w:t>
      </w:r>
      <w:r>
        <w:rPr>
          <w:b/>
          <w:bCs/>
          <w:rtl/>
        </w:rPr>
        <w:t>שלכם</w:t>
      </w:r>
      <w:r>
        <w:rPr>
          <w:rtl/>
        </w:rPr>
        <w:t xml:space="preserve"> (ההדגשה שלי)]!”</w:t>
      </w:r>
      <w:bookmarkStart w:id="3060" w:name="_fnr2178"/>
      <w:r>
        <w:rPr>
          <w:rStyle w:val="a5"/>
        </w:rPr>
        <w:footnoteReference w:id="2184" w:customMarkFollows="0"/>
      </w:r>
      <w:bookmarkEnd w:id="3060"/>
      <w:r>
        <w:rPr>
          <w:rtl/>
        </w:rPr>
        <w:t xml:space="preserve"> הוא זעם משום שר׳ ירוחם </w:t>
      </w:r>
      <w:proofErr w:type="spellStart"/>
      <w:r>
        <w:rPr>
          <w:rtl/>
        </w:rPr>
        <w:t>ליבוביץ</w:t>
      </w:r>
      <w:proofErr w:type="spellEnd"/>
      <w:r>
        <w:rPr>
          <w:rtl/>
        </w:rPr>
        <w:t xml:space="preserve">, </w:t>
      </w:r>
      <w:r>
        <w:rPr>
          <w:rtl/>
        </w:rPr>
        <w:lastRenderedPageBreak/>
        <w:t xml:space="preserve">ששימש אז משגיח בישיבתו </w:t>
      </w:r>
      <w:proofErr w:type="spellStart"/>
      <w:r>
        <w:rPr>
          <w:rtl/>
        </w:rPr>
        <w:t>שבפוניבז</w:t>
      </w:r>
      <w:proofErr w:type="spellEnd"/>
      <w:r>
        <w:rPr>
          <w:rtl/>
        </w:rPr>
        <w:t xml:space="preserve">׳, אמר שבניגוד לתקופה הקודמת של </w:t>
      </w:r>
      <w:proofErr w:type="spellStart"/>
      <w:r>
        <w:rPr>
          <w:rtl/>
        </w:rPr>
        <w:t>וולוז׳ין</w:t>
      </w:r>
      <w:proofErr w:type="spellEnd"/>
      <w:r>
        <w:rPr>
          <w:rtl/>
        </w:rPr>
        <w:t>, בימינו אין לימודי החול מזיקים לישיבות.</w:t>
      </w:r>
    </w:p>
    <w:p w14:paraId="08658ED5" w14:textId="77777777" w:rsidR="00AB3647" w:rsidRDefault="00000000" w:rsidP="007923E9">
      <w:pPr>
        <w:spacing w:after="120" w:line="276" w:lineRule="auto"/>
        <w:ind w:firstLine="283"/>
        <w:jc w:val="both"/>
      </w:pPr>
      <w:r>
        <w:rPr>
          <w:rtl/>
        </w:rPr>
        <w:t xml:space="preserve">הסבא נתקף חמה. לחץ דמו עלה מאוד, והוא לקה בחום של 40 מעלות צלזיוס. הוא שלח לקרוא </w:t>
      </w:r>
      <w:proofErr w:type="spellStart"/>
      <w:r>
        <w:rPr>
          <w:rtl/>
        </w:rPr>
        <w:t>לר</w:t>
      </w:r>
      <w:proofErr w:type="spellEnd"/>
      <w:r>
        <w:rPr>
          <w:rtl/>
        </w:rPr>
        <w:t xml:space="preserve">׳ ירוחם ונזף בו בחריפות כזאת “שהרב </w:t>
      </w:r>
      <w:proofErr w:type="spellStart"/>
      <w:r>
        <w:rPr>
          <w:rtl/>
        </w:rPr>
        <w:t>דינקלס</w:t>
      </w:r>
      <w:proofErr w:type="spellEnd"/>
      <w:r>
        <w:rPr>
          <w:rtl/>
        </w:rPr>
        <w:t xml:space="preserve"> לא רצה לחזור על דבריו”.</w:t>
      </w:r>
      <w:bookmarkStart w:id="3061" w:name="_fnr2179"/>
      <w:r>
        <w:rPr>
          <w:rStyle w:val="a5"/>
        </w:rPr>
        <w:footnoteReference w:id="2185" w:customMarkFollows="0"/>
      </w:r>
      <w:bookmarkEnd w:id="3061"/>
      <w:r>
        <w:rPr>
          <w:rtl/>
        </w:rPr>
        <w:t xml:space="preserve"> אחר כך סיפר הסבא לרב </w:t>
      </w:r>
      <w:proofErr w:type="spellStart"/>
      <w:r>
        <w:rPr>
          <w:rtl/>
        </w:rPr>
        <w:t>דינקלס</w:t>
      </w:r>
      <w:proofErr w:type="spellEnd"/>
      <w:r>
        <w:rPr>
          <w:rtl/>
        </w:rPr>
        <w:t xml:space="preserve"> שאמר </w:t>
      </w:r>
      <w:proofErr w:type="spellStart"/>
      <w:r>
        <w:rPr>
          <w:rtl/>
        </w:rPr>
        <w:t>לר</w:t>
      </w:r>
      <w:proofErr w:type="spellEnd"/>
      <w:r>
        <w:rPr>
          <w:rtl/>
        </w:rPr>
        <w:t xml:space="preserve">׳ ירוחם </w:t>
      </w:r>
      <w:proofErr w:type="spellStart"/>
      <w:r>
        <w:rPr>
          <w:rtl/>
        </w:rPr>
        <w:t>ליבוביץ</w:t>
      </w:r>
      <w:proofErr w:type="spellEnd"/>
      <w:r>
        <w:rPr>
          <w:rtl/>
        </w:rPr>
        <w:t xml:space="preserve"> מה היה יחסו </w:t>
      </w:r>
      <w:proofErr w:type="spellStart"/>
      <w:r>
        <w:rPr>
          <w:rtl/>
        </w:rPr>
        <w:t>לגרובין</w:t>
      </w:r>
      <w:proofErr w:type="spellEnd"/>
      <w:r>
        <w:rPr>
          <w:rtl/>
        </w:rPr>
        <w:t xml:space="preserve"> – הוא הגילוי המזעזע שצוטט לעיל. </w:t>
      </w:r>
      <w:proofErr w:type="spellStart"/>
      <w:r>
        <w:rPr>
          <w:rtl/>
        </w:rPr>
        <w:t>ה“סיבה</w:t>
      </w:r>
      <w:proofErr w:type="spellEnd"/>
      <w:r>
        <w:rPr>
          <w:rtl/>
        </w:rPr>
        <w:t xml:space="preserve">” שנתן הסבא לרבנו </w:t>
      </w:r>
      <w:proofErr w:type="spellStart"/>
      <w:r>
        <w:rPr>
          <w:rtl/>
        </w:rPr>
        <w:t>ל“שינוי</w:t>
      </w:r>
      <w:proofErr w:type="spellEnd"/>
      <w:r>
        <w:rPr>
          <w:rtl/>
        </w:rPr>
        <w:t xml:space="preserve"> דעתו על כל הרעיון” של </w:t>
      </w:r>
      <w:proofErr w:type="spellStart"/>
      <w:r>
        <w:rPr>
          <w:rtl/>
        </w:rPr>
        <w:t>גרובין</w:t>
      </w:r>
      <w:proofErr w:type="spellEnd"/>
      <w:r>
        <w:rPr>
          <w:rtl/>
        </w:rPr>
        <w:t xml:space="preserve"> אצל ר׳ </w:t>
      </w:r>
      <w:proofErr w:type="spellStart"/>
      <w:r>
        <w:rPr>
          <w:rtl/>
        </w:rPr>
        <w:t>שמחה־זיסל</w:t>
      </w:r>
      <w:proofErr w:type="spellEnd"/>
      <w:r>
        <w:rPr>
          <w:rtl/>
        </w:rPr>
        <w:t xml:space="preserve">, בין שהייתה בדויה ובין שלא, הייתה שלילת שילובם של לימודי חול ולימודי קודש, להבדיל – שילוב שהסבא </w:t>
      </w:r>
      <w:proofErr w:type="spellStart"/>
      <w:r>
        <w:rPr>
          <w:rtl/>
        </w:rPr>
        <w:t>מסלבודקה</w:t>
      </w:r>
      <w:proofErr w:type="spellEnd"/>
      <w:r>
        <w:rPr>
          <w:rtl/>
        </w:rPr>
        <w:t xml:space="preserve"> התנגד לו בתקיפות כה רבה בתקופה זו שאחרי מלחמת העולם הראשונה.</w:t>
      </w:r>
      <w:bookmarkStart w:id="3062" w:name="_fnr2180"/>
      <w:r>
        <w:rPr>
          <w:rStyle w:val="a5"/>
        </w:rPr>
        <w:footnoteReference w:id="2186" w:customMarkFollows="0"/>
      </w:r>
      <w:bookmarkEnd w:id="3062"/>
    </w:p>
    <w:p w14:paraId="3B2534DB" w14:textId="77777777" w:rsidR="00AB3647" w:rsidRDefault="00000000" w:rsidP="007923E9">
      <w:pPr>
        <w:spacing w:after="120" w:line="276" w:lineRule="auto"/>
        <w:ind w:firstLine="283"/>
        <w:jc w:val="both"/>
      </w:pPr>
      <w:bookmarkStart w:id="3063" w:name="pr_b_1311"/>
      <w:bookmarkEnd w:id="3063"/>
      <w:r>
        <w:rPr>
          <w:rtl/>
        </w:rPr>
        <w:t xml:space="preserve">אשר לדעתו של ר׳ ירוחם </w:t>
      </w:r>
      <w:proofErr w:type="spellStart"/>
      <w:r>
        <w:rPr>
          <w:rtl/>
        </w:rPr>
        <w:t>ליבוביץ</w:t>
      </w:r>
      <w:proofErr w:type="spellEnd"/>
      <w:r>
        <w:rPr>
          <w:rtl/>
        </w:rPr>
        <w:t xml:space="preserve"> </w:t>
      </w:r>
      <w:proofErr w:type="spellStart"/>
      <w:r>
        <w:rPr>
          <w:rtl/>
        </w:rPr>
        <w:t>בתרפ״ד</w:t>
      </w:r>
      <w:proofErr w:type="spellEnd"/>
      <w:r>
        <w:rPr>
          <w:rtl/>
        </w:rPr>
        <w:t xml:space="preserve">, שהכנסת לימודי חול לתוכנית הלימודים של הישיבות לא תהיה הרת אסון לקיומן, ראוי לציין </w:t>
      </w:r>
      <w:proofErr w:type="spellStart"/>
      <w:r>
        <w:rPr>
          <w:rtl/>
        </w:rPr>
        <w:t>שאחת־עשרה</w:t>
      </w:r>
      <w:proofErr w:type="spellEnd"/>
      <w:r>
        <w:rPr>
          <w:rtl/>
        </w:rPr>
        <w:t xml:space="preserve"> שנה קודם לכן, עוד לפני מלחמת העולם, תיאר ר׳ </w:t>
      </w:r>
      <w:proofErr w:type="spellStart"/>
      <w:r>
        <w:rPr>
          <w:rtl/>
        </w:rPr>
        <w:t>יצחק־אייזיק</w:t>
      </w:r>
      <w:proofErr w:type="spellEnd"/>
      <w:r>
        <w:rPr>
          <w:rtl/>
        </w:rPr>
        <w:t xml:space="preserve"> הלוי שינוי ביחסה של החברה הדתית ברוסיה להשכלה.</w:t>
      </w:r>
    </w:p>
    <w:p w14:paraId="1D69873C" w14:textId="77777777" w:rsidR="00AB3647" w:rsidRDefault="00000000" w:rsidP="007923E9">
      <w:pPr>
        <w:spacing w:after="120" w:line="276" w:lineRule="auto"/>
        <w:ind w:firstLine="283"/>
        <w:jc w:val="both"/>
      </w:pPr>
      <w:r>
        <w:rPr>
          <w:rtl/>
        </w:rPr>
        <w:t xml:space="preserve">במכתב </w:t>
      </w:r>
      <w:proofErr w:type="spellStart"/>
      <w:r>
        <w:rPr>
          <w:rtl/>
        </w:rPr>
        <w:t>לר</w:t>
      </w:r>
      <w:proofErr w:type="spellEnd"/>
      <w:r>
        <w:rPr>
          <w:rtl/>
        </w:rPr>
        <w:t xml:space="preserve">׳ יעקב </w:t>
      </w:r>
      <w:proofErr w:type="spellStart"/>
      <w:r>
        <w:rPr>
          <w:rtl/>
        </w:rPr>
        <w:t>רוזנהיים</w:t>
      </w:r>
      <w:proofErr w:type="spellEnd"/>
      <w:r>
        <w:rPr>
          <w:rtl/>
        </w:rPr>
        <w:t xml:space="preserve">, המובא </w:t>
      </w:r>
      <w:proofErr w:type="spellStart"/>
      <w:r>
        <w:rPr>
          <w:rtl/>
        </w:rPr>
        <w:t>ב“אגרות</w:t>
      </w:r>
      <w:proofErr w:type="spellEnd"/>
      <w:r>
        <w:rPr>
          <w:rtl/>
        </w:rPr>
        <w:t xml:space="preserve"> רבי יצחק אייזיק הלוי”,</w:t>
      </w:r>
      <w:bookmarkStart w:id="3064" w:name="_fnr2181"/>
      <w:r>
        <w:rPr>
          <w:rStyle w:val="a5"/>
        </w:rPr>
        <w:footnoteReference w:id="2187" w:customMarkFollows="0"/>
      </w:r>
      <w:bookmarkEnd w:id="3064"/>
      <w:r>
        <w:rPr>
          <w:rtl/>
        </w:rPr>
        <w:t xml:space="preserve"> כתב הלוי בערב ראש חודש סיוון תרע״ג: “הסיבה היחידה לכך שמקצת בעלי הבתים [המעמד העליון היהודי] ברוסיה אינם שולחים את ילדיהם לבתי הספר התיכוניים הממשלתיים היא שהתלמידים נדרשים לכתוב שם בשבת; והסיבה שעדיין יש נערים רבים מבתים עניים הלומדים בישיבות היא שהקב״ה נתן בלב הממשלה שלא לקבל לבתי הספר יותר מעשרה אחוזים [מכלל התלמידים] מבין היהודים,</w:t>
      </w:r>
      <w:bookmarkStart w:id="3065" w:name="_fnr2182"/>
      <w:r>
        <w:rPr>
          <w:rStyle w:val="a5"/>
        </w:rPr>
        <w:footnoteReference w:id="2188" w:customMarkFollows="0"/>
      </w:r>
      <w:bookmarkEnd w:id="3065"/>
      <w:r>
        <w:rPr>
          <w:rtl/>
        </w:rPr>
        <w:t xml:space="preserve"> ולכן רק בני המעמד העליון יכולים לפלס את דרכם פנימה בשוחד, ואילו העניים נדחים לגמרי [מבתי הספר]. אך מלבד זאת, אין איש שהוא ‘ירא ורך לבב׳</w:t>
      </w:r>
      <w:bookmarkStart w:id="3066" w:name="_fnr2183"/>
      <w:r>
        <w:rPr>
          <w:rStyle w:val="a5"/>
        </w:rPr>
        <w:footnoteReference w:id="2189" w:customMarkFollows="0"/>
      </w:r>
      <w:bookmarkEnd w:id="3066"/>
      <w:r>
        <w:rPr>
          <w:rtl/>
        </w:rPr>
        <w:t xml:space="preserve"> מפני ההשכלה.”</w:t>
      </w:r>
    </w:p>
    <w:p w14:paraId="7475BBD2" w14:textId="77777777" w:rsidR="00AB3647" w:rsidRDefault="00000000" w:rsidP="007923E9">
      <w:pPr>
        <w:spacing w:after="120" w:line="276" w:lineRule="auto"/>
        <w:ind w:firstLine="283"/>
        <w:jc w:val="both"/>
      </w:pPr>
      <w:r>
        <w:rPr>
          <w:rtl/>
        </w:rPr>
        <w:t>הלוי ממשיך: “בימינו יש ספרות... [ש]כל תלמידי הישיבות קוראים, ויודעים [באמצעותה] מה מתרחש בקהילות היהודיות בגרמניה, באנגליה ובאמריקה; בימינו רחוקים נעשו קרובים,</w:t>
      </w:r>
      <w:bookmarkStart w:id="3067" w:name="_fnr2184"/>
      <w:r>
        <w:rPr>
          <w:rStyle w:val="a5"/>
        </w:rPr>
        <w:footnoteReference w:id="2190" w:customMarkFollows="0"/>
      </w:r>
      <w:bookmarkEnd w:id="3067"/>
      <w:r>
        <w:rPr>
          <w:rtl/>
        </w:rPr>
        <w:t xml:space="preserve"> ויהודי רוסיה באים לרבבותיהם לכל הארצות, ורואים ויודעים הכול, ומן הישיבות באים המשולחים; וכל מה שמתרחש בפרנקפורט, </w:t>
      </w:r>
      <w:proofErr w:type="spellStart"/>
      <w:r>
        <w:rPr>
          <w:rtl/>
        </w:rPr>
        <w:t>בהמבורג</w:t>
      </w:r>
      <w:proofErr w:type="spellEnd"/>
      <w:r>
        <w:rPr>
          <w:rtl/>
        </w:rPr>
        <w:t xml:space="preserve">, בלונדון וכיוצא בהן, [תלמידי הישיבות] יודעים כמונו.” ייתכן שר׳ ירוחם </w:t>
      </w:r>
      <w:proofErr w:type="spellStart"/>
      <w:r>
        <w:rPr>
          <w:rtl/>
        </w:rPr>
        <w:t>ליבוביץ</w:t>
      </w:r>
      <w:proofErr w:type="spellEnd"/>
      <w:r>
        <w:rPr>
          <w:rtl/>
        </w:rPr>
        <w:t xml:space="preserve"> הבין, כפי שהבין הלוי, שהישיבות אינן עוד חברה סגורה, ושלימודי החול איבדו את משיכתם </w:t>
      </w:r>
      <w:proofErr w:type="spellStart"/>
      <w:r>
        <w:rPr>
          <w:rtl/>
        </w:rPr>
        <w:t>כ“מים</w:t>
      </w:r>
      <w:proofErr w:type="spellEnd"/>
      <w:r>
        <w:rPr>
          <w:rtl/>
        </w:rPr>
        <w:t xml:space="preserve"> גנובים”,</w:t>
      </w:r>
      <w:bookmarkStart w:id="3068" w:name="_fnr2185"/>
      <w:r>
        <w:rPr>
          <w:rStyle w:val="a5"/>
        </w:rPr>
        <w:footnoteReference w:id="2191" w:customMarkFollows="0"/>
      </w:r>
      <w:bookmarkEnd w:id="3068"/>
      <w:r>
        <w:rPr>
          <w:rtl/>
        </w:rPr>
        <w:t xml:space="preserve"> שהייתה עלולה </w:t>
      </w:r>
      <w:r>
        <w:rPr>
          <w:rtl/>
        </w:rPr>
        <w:lastRenderedPageBreak/>
        <w:t xml:space="preserve">להוביל לנטישת האמונה, כפי שהייתה עשרים שנה קודם לכן, כשנסגרה ישיבת </w:t>
      </w:r>
      <w:proofErr w:type="spellStart"/>
      <w:r>
        <w:rPr>
          <w:rtl/>
        </w:rPr>
        <w:t>וולוז׳ין</w:t>
      </w:r>
      <w:proofErr w:type="spellEnd"/>
      <w:r>
        <w:rPr>
          <w:rtl/>
        </w:rPr>
        <w:t xml:space="preserve"> כדי שלא להתיר לימודים כאלה.</w:t>
      </w:r>
      <w:bookmarkStart w:id="3069" w:name="_fnr2186"/>
      <w:bookmarkStart w:id="3070" w:name="pr_f_2091"/>
      <w:r>
        <w:rPr>
          <w:rStyle w:val="a5"/>
        </w:rPr>
        <w:footnoteReference w:id="2192" w:customMarkFollows="0"/>
      </w:r>
      <w:bookmarkEnd w:id="3069"/>
      <w:bookmarkEnd w:id="3070"/>
    </w:p>
    <w:p w14:paraId="63B35BE0" w14:textId="77777777" w:rsidR="00AB3647" w:rsidRDefault="00000000" w:rsidP="007923E9">
      <w:pPr>
        <w:spacing w:after="120" w:line="276" w:lineRule="auto"/>
        <w:ind w:firstLine="283"/>
        <w:jc w:val="both"/>
      </w:pPr>
      <w:r>
        <w:rPr>
          <w:rtl/>
        </w:rPr>
        <w:t xml:space="preserve">על גזרת ממשלת ליטא כתב ר׳ </w:t>
      </w:r>
      <w:proofErr w:type="spellStart"/>
      <w:r>
        <w:rPr>
          <w:rtl/>
        </w:rPr>
        <w:t>משה־מרדכי</w:t>
      </w:r>
      <w:proofErr w:type="spellEnd"/>
      <w:r>
        <w:rPr>
          <w:rtl/>
        </w:rPr>
        <w:t xml:space="preserve"> אפשטיין בהקדמה </w:t>
      </w:r>
      <w:proofErr w:type="spellStart"/>
      <w:r>
        <w:rPr>
          <w:rtl/>
        </w:rPr>
        <w:t>ל“לבוש</w:t>
      </w:r>
      <w:proofErr w:type="spellEnd"/>
      <w:r>
        <w:rPr>
          <w:rtl/>
        </w:rPr>
        <w:t xml:space="preserve"> מרדכי” על מסכת בבא מציעא:</w:t>
      </w:r>
      <w:bookmarkStart w:id="3071" w:name="_fnr2187"/>
      <w:r>
        <w:rPr>
          <w:rStyle w:val="a5"/>
        </w:rPr>
        <w:footnoteReference w:id="2193" w:customMarkFollows="0"/>
      </w:r>
      <w:bookmarkEnd w:id="3071"/>
      <w:r>
        <w:rPr>
          <w:rtl/>
        </w:rPr>
        <w:t xml:space="preserve"> “בעת שחבריי הגאונים” – כוונתו </w:t>
      </w:r>
      <w:proofErr w:type="spellStart"/>
      <w:r>
        <w:rPr>
          <w:rtl/>
        </w:rPr>
        <w:t>לר</w:t>
      </w:r>
      <w:proofErr w:type="spellEnd"/>
      <w:r>
        <w:rPr>
          <w:rtl/>
        </w:rPr>
        <w:t xml:space="preserve">׳ </w:t>
      </w:r>
      <w:proofErr w:type="spellStart"/>
      <w:r>
        <w:rPr>
          <w:rtl/>
        </w:rPr>
        <w:t>אברהם־דובער</w:t>
      </w:r>
      <w:proofErr w:type="spellEnd"/>
      <w:r>
        <w:rPr>
          <w:rtl/>
        </w:rPr>
        <w:t xml:space="preserve"> </w:t>
      </w:r>
      <w:proofErr w:type="spellStart"/>
      <w:r>
        <w:rPr>
          <w:rtl/>
        </w:rPr>
        <w:t>כהנא־שפירא</w:t>
      </w:r>
      <w:proofErr w:type="spellEnd"/>
      <w:r>
        <w:rPr>
          <w:rtl/>
        </w:rPr>
        <w:t xml:space="preserve"> ולרב קוק – “ואני היינו באמריקה... הגיעה אליי הבשורה הרעה שניתנה גזרה העלולה להחריב את ישיבת </w:t>
      </w:r>
      <w:proofErr w:type="spellStart"/>
      <w:r>
        <w:rPr>
          <w:rtl/>
        </w:rPr>
        <w:t>סלבודקה</w:t>
      </w:r>
      <w:proofErr w:type="spellEnd"/>
      <w:r>
        <w:rPr>
          <w:rtl/>
        </w:rPr>
        <w:t xml:space="preserve">... ולא הייתה ברירה אלא לחפש לה מקום אחר. מאור עינינו, הגאון ביראת ה׳ ובאהבת התורה, המאיר את עיני בני הישיבה במוסר, במידות, באהבת התורה וביראת שמים, הרב והגאון ר׳ </w:t>
      </w:r>
      <w:proofErr w:type="spellStart"/>
      <w:r>
        <w:rPr>
          <w:rtl/>
        </w:rPr>
        <w:t>נתן־צבי</w:t>
      </w:r>
      <w:proofErr w:type="spellEnd"/>
      <w:r>
        <w:rPr>
          <w:rtl/>
        </w:rPr>
        <w:t xml:space="preserve"> </w:t>
      </w:r>
      <w:proofErr w:type="spellStart"/>
      <w:r>
        <w:rPr>
          <w:rtl/>
        </w:rPr>
        <w:t>פינקל</w:t>
      </w:r>
      <w:proofErr w:type="spellEnd"/>
      <w:r>
        <w:rPr>
          <w:rtl/>
        </w:rPr>
        <w:t xml:space="preserve"> זצ״ל, עמוד הישיבה, פנה אליי בידיעה זו ושאל לדעתי. השבתי שלדעתי הכרח הוא </w:t>
      </w:r>
      <w:r>
        <w:rPr>
          <w:b/>
          <w:bCs/>
          <w:rtl/>
        </w:rPr>
        <w:t>לייסד ישיבה</w:t>
      </w:r>
      <w:r>
        <w:rPr>
          <w:rtl/>
        </w:rPr>
        <w:t xml:space="preserve"> בארץ הקודש, ושיש תקווה שאחינו הנדיבים באמריקה יושיטו את ידם למפעל נשגב זה (ההדגשה שלי).”</w:t>
      </w:r>
    </w:p>
    <w:p w14:paraId="72D8927D" w14:textId="77777777" w:rsidR="00AB3647" w:rsidRDefault="00000000" w:rsidP="007923E9">
      <w:pPr>
        <w:spacing w:after="120" w:line="276" w:lineRule="auto"/>
        <w:ind w:firstLine="283"/>
        <w:jc w:val="both"/>
      </w:pPr>
      <w:r>
        <w:rPr>
          <w:rtl/>
        </w:rPr>
        <w:t xml:space="preserve">אף שר׳ </w:t>
      </w:r>
      <w:proofErr w:type="spellStart"/>
      <w:r>
        <w:rPr>
          <w:rtl/>
        </w:rPr>
        <w:t>משה־מרדכי</w:t>
      </w:r>
      <w:proofErr w:type="spellEnd"/>
      <w:r>
        <w:rPr>
          <w:rtl/>
        </w:rPr>
        <w:t xml:space="preserve"> אפשטיין כותב על “ייסוד ישיבה”, כהדגשתו – והוא כותב חמש שנים אחרי האירועים, כשהסכנה שנשקפה לכנסת ישראל מצד ממשלת ליטא כבר חלפה מזמן – ברור מראשית הקטע המצוטט שהתוכנית המקורית הייתה </w:t>
      </w:r>
      <w:r>
        <w:rPr>
          <w:b/>
          <w:bCs/>
          <w:rtl/>
        </w:rPr>
        <w:t xml:space="preserve">להעביר את ישיבת </w:t>
      </w:r>
      <w:proofErr w:type="spellStart"/>
      <w:r>
        <w:rPr>
          <w:b/>
          <w:bCs/>
          <w:rtl/>
        </w:rPr>
        <w:t>סלבודקה</w:t>
      </w:r>
      <w:proofErr w:type="spellEnd"/>
      <w:r>
        <w:rPr>
          <w:b/>
          <w:bCs/>
          <w:rtl/>
        </w:rPr>
        <w:t xml:space="preserve"> לארץ ישראל בשלמותה</w:t>
      </w:r>
      <w:r>
        <w:rPr>
          <w:rtl/>
        </w:rPr>
        <w:t xml:space="preserve">. </w:t>
      </w:r>
      <w:proofErr w:type="spellStart"/>
      <w:r>
        <w:rPr>
          <w:rtl/>
        </w:rPr>
        <w:t>ב“לתבונה</w:t>
      </w:r>
      <w:proofErr w:type="spellEnd"/>
      <w:r>
        <w:rPr>
          <w:rtl/>
        </w:rPr>
        <w:t>”</w:t>
      </w:r>
      <w:bookmarkStart w:id="3072" w:name="_fnr2188"/>
      <w:r>
        <w:rPr>
          <w:rStyle w:val="a5"/>
        </w:rPr>
        <w:footnoteReference w:id="2194" w:customMarkFollows="0"/>
      </w:r>
      <w:bookmarkEnd w:id="3072"/>
      <w:r>
        <w:rPr>
          <w:rtl/>
        </w:rPr>
        <w:t xml:space="preserve"> זוקף ר׳ </w:t>
      </w:r>
      <w:proofErr w:type="spellStart"/>
      <w:r>
        <w:rPr>
          <w:rtl/>
        </w:rPr>
        <w:t>ישראל־זיסל</w:t>
      </w:r>
      <w:proofErr w:type="spellEnd"/>
      <w:r>
        <w:rPr>
          <w:rtl/>
        </w:rPr>
        <w:t xml:space="preserve"> </w:t>
      </w:r>
      <w:proofErr w:type="spellStart"/>
      <w:r>
        <w:rPr>
          <w:rtl/>
        </w:rPr>
        <w:t>דבורץ</w:t>
      </w:r>
      <w:proofErr w:type="spellEnd"/>
      <w:r>
        <w:rPr>
          <w:rtl/>
        </w:rPr>
        <w:t xml:space="preserve"> לזכותו את הרעיון להעביר את הישיבה לארץ ישראל, ואת המכתב שכתב לאחיו ר׳ </w:t>
      </w:r>
      <w:proofErr w:type="spellStart"/>
      <w:r>
        <w:rPr>
          <w:rtl/>
        </w:rPr>
        <w:t>יצחק־אייזיק</w:t>
      </w:r>
      <w:proofErr w:type="spellEnd"/>
      <w:r>
        <w:rPr>
          <w:rtl/>
        </w:rPr>
        <w:t xml:space="preserve">, שליווה את ר׳ </w:t>
      </w:r>
      <w:proofErr w:type="spellStart"/>
      <w:r>
        <w:rPr>
          <w:rtl/>
        </w:rPr>
        <w:t>משה־מרדכי</w:t>
      </w:r>
      <w:proofErr w:type="spellEnd"/>
      <w:r>
        <w:rPr>
          <w:rtl/>
        </w:rPr>
        <w:t xml:space="preserve"> אפשטיין לאמריקה, כדי שיציע זאת לראש הישיבה.</w:t>
      </w:r>
    </w:p>
    <w:p w14:paraId="7978B7BF" w14:textId="77777777" w:rsidR="00AB3647" w:rsidRDefault="00000000" w:rsidP="007923E9">
      <w:pPr>
        <w:spacing w:after="120" w:line="276" w:lineRule="auto"/>
        <w:ind w:firstLine="283"/>
        <w:jc w:val="both"/>
      </w:pPr>
      <w:r>
        <w:rPr>
          <w:rtl/>
        </w:rPr>
        <w:t xml:space="preserve">ר׳ </w:t>
      </w:r>
      <w:proofErr w:type="spellStart"/>
      <w:r>
        <w:rPr>
          <w:rtl/>
        </w:rPr>
        <w:t>משה־מרדכי</w:t>
      </w:r>
      <w:proofErr w:type="spellEnd"/>
      <w:r>
        <w:rPr>
          <w:rtl/>
        </w:rPr>
        <w:t xml:space="preserve"> מציין גם</w:t>
      </w:r>
      <w:bookmarkStart w:id="3073" w:name="_fnr2189"/>
      <w:r>
        <w:rPr>
          <w:rStyle w:val="a5"/>
        </w:rPr>
        <w:footnoteReference w:id="2195" w:customMarkFollows="0"/>
      </w:r>
      <w:bookmarkEnd w:id="3073"/>
      <w:r>
        <w:rPr>
          <w:rtl/>
        </w:rPr>
        <w:t xml:space="preserve"> שהצו הממשלתי בוטל מיד עם ייסודה של ישיבת חברון, </w:t>
      </w:r>
      <w:proofErr w:type="spellStart"/>
      <w:r>
        <w:rPr>
          <w:rtl/>
        </w:rPr>
        <w:t>ו“נראה</w:t>
      </w:r>
      <w:proofErr w:type="spellEnd"/>
      <w:r>
        <w:rPr>
          <w:rtl/>
        </w:rPr>
        <w:t xml:space="preserve"> בבירור שהגזרה של ממשלת ליטא נגזרה [בשמים] רק כדי שתקום בארץ ישראל עוד ישיבה קדושה, המפיצה תורה </w:t>
      </w:r>
      <w:r>
        <w:rPr>
          <w:b/>
          <w:bCs/>
          <w:rtl/>
        </w:rPr>
        <w:t>לכל ישראל</w:t>
      </w:r>
      <w:r>
        <w:rPr>
          <w:rtl/>
        </w:rPr>
        <w:t xml:space="preserve"> (ההדגשה שלי).” ר׳ </w:t>
      </w:r>
      <w:proofErr w:type="spellStart"/>
      <w:r>
        <w:rPr>
          <w:rtl/>
        </w:rPr>
        <w:t>משה־מרדכי</w:t>
      </w:r>
      <w:proofErr w:type="spellEnd"/>
      <w:r>
        <w:rPr>
          <w:rtl/>
        </w:rPr>
        <w:t xml:space="preserve"> אפשטיין רמז שבניגוד לישיבות היישוב הישן, השפעתה של ישיבת חברון התפשטה בחוגים רחבים בארץ. כשכתב את הערכתו להשפעת ישיבת חברון על הקהילה היהודית בארץ ישראל, לא יכול היה לדעת את מלוא היקפה של אותה התערבות שמימית. אחרי שנחרב בשואה המקור שסיפק תלמידי תורה ורבנים לארץ ישראל, הצילה ישיבת חברון ממש את התורה בארץ ישראל, ואחר כך במדינת ישראל.</w:t>
      </w:r>
    </w:p>
    <w:p w14:paraId="272E21C9" w14:textId="5DFB948F" w:rsidR="00AB3647" w:rsidRDefault="00000000" w:rsidP="007923E9">
      <w:pPr>
        <w:spacing w:after="120" w:line="276" w:lineRule="auto"/>
        <w:ind w:firstLine="283"/>
        <w:jc w:val="both"/>
      </w:pPr>
      <w:r>
        <w:rPr>
          <w:rtl/>
        </w:rPr>
        <w:t xml:space="preserve">גילויו של הרב </w:t>
      </w:r>
      <w:proofErr w:type="spellStart"/>
      <w:r>
        <w:rPr>
          <w:rtl/>
        </w:rPr>
        <w:t>איידלשטיין</w:t>
      </w:r>
      <w:proofErr w:type="spellEnd"/>
      <w:r>
        <w:rPr>
          <w:rtl/>
        </w:rPr>
        <w:t xml:space="preserve"> על חלקו של הסבא בסגירת </w:t>
      </w:r>
      <w:proofErr w:type="spellStart"/>
      <w:r>
        <w:rPr>
          <w:rtl/>
        </w:rPr>
        <w:t>גרובין</w:t>
      </w:r>
      <w:proofErr w:type="spellEnd"/>
      <w:r>
        <w:rPr>
          <w:rtl/>
        </w:rPr>
        <w:t xml:space="preserve"> שופך אור חדש על האירועים הסבוכים שסופרו ב</w:t>
      </w:r>
      <w:r>
        <w:rPr>
          <w:rtl/>
        </w:rPr>
        <w:fldChar w:fldCharType="begin" w:dirty="true"/>
      </w:r>
      <w:r>
        <w:rPr>
          <w:rtl/>
        </w:rPr>
        <w:instrText xml:space="preserve"> REF b3_excD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ד</w:t>
      </w:r>
      <w:r>
        <w:rPr>
          <w:rtl/>
        </w:rPr>
        <w:fldChar w:fldCharType="end"/>
      </w:r>
      <w:r>
        <w:rPr>
          <w:rtl/>
        </w:rPr>
        <w:t xml:space="preserve"> לעיל, בדבר המתח בין הסבא למורו ר׳ </w:t>
      </w:r>
      <w:proofErr w:type="spellStart"/>
      <w:r>
        <w:rPr>
          <w:rtl/>
        </w:rPr>
        <w:t>שמחה־זיסל</w:t>
      </w:r>
      <w:proofErr w:type="spellEnd"/>
      <w:r>
        <w:rPr>
          <w:rtl/>
        </w:rPr>
        <w:t xml:space="preserve">. אני סבור שהבעיה לא נגרמה ממחלוקת </w:t>
      </w:r>
      <w:proofErr w:type="spellStart"/>
      <w:r>
        <w:rPr>
          <w:rtl/>
        </w:rPr>
        <w:t>השקפתית</w:t>
      </w:r>
      <w:proofErr w:type="spellEnd"/>
      <w:r>
        <w:rPr>
          <w:rtl/>
        </w:rPr>
        <w:t xml:space="preserve">, אלא מכך שר׳ </w:t>
      </w:r>
      <w:proofErr w:type="spellStart"/>
      <w:r>
        <w:rPr>
          <w:rtl/>
        </w:rPr>
        <w:t>שמחה־זיסל</w:t>
      </w:r>
      <w:proofErr w:type="spellEnd"/>
      <w:r>
        <w:rPr>
          <w:rtl/>
        </w:rPr>
        <w:t xml:space="preserve"> גילה שתלמידו מעל באמונו. העדות המוקדמת ביותר לביקורתו של ר׳ </w:t>
      </w:r>
      <w:proofErr w:type="spellStart"/>
      <w:r>
        <w:rPr>
          <w:rtl/>
        </w:rPr>
        <w:t>שמחה־זיסל</w:t>
      </w:r>
      <w:proofErr w:type="spellEnd"/>
      <w:r>
        <w:rPr>
          <w:rtl/>
        </w:rPr>
        <w:t xml:space="preserve"> על </w:t>
      </w:r>
      <w:proofErr w:type="spellStart"/>
      <w:r>
        <w:rPr>
          <w:rtl/>
        </w:rPr>
        <w:t>סלבודקה</w:t>
      </w:r>
      <w:proofErr w:type="spellEnd"/>
      <w:r>
        <w:rPr>
          <w:rtl/>
        </w:rPr>
        <w:t xml:space="preserve"> היא מסביבות תרנ״ב–תרנ״ג, כפי שצוין באותו נספח, בעמ׳ </w:t>
      </w:r>
      <w:r>
        <w:rPr>
          <w:rtl/>
        </w:rPr>
        <w:fldChar w:fldCharType="begin" w:dirty="true"/>
      </w:r>
      <w:r>
        <w:rPr>
          <w:rtl/>
        </w:rPr>
        <w:instrText xml:space="preserve"> PAGEREF pr_b_1049 \h </w:instrText>
      </w:r>
      <w:r>
        <w:rPr>
          <w:rtl/>
        </w:rPr>
      </w:r>
      <w:r>
        <w:rPr>
          <w:rtl/>
        </w:rPr>
        <w:fldChar w:fldCharType="separate"/>
      </w:r>
      <w:r w:rsidR="007923E9">
        <w:rPr>
          <w:noProof/>
          <w:rtl/>
        </w:rPr>
        <w:t>1</w:t>
      </w:r>
      <w:r>
        <w:rPr>
          <w:rtl/>
        </w:rPr>
        <w:fldChar w:fldCharType="end"/>
      </w:r>
      <w:r>
        <w:rPr>
          <w:rtl/>
        </w:rPr>
        <w:t xml:space="preserve">. לפיכך אני משער שרק אז, עשר שנים אחרי </w:t>
      </w:r>
      <w:r>
        <w:rPr>
          <w:rtl/>
        </w:rPr>
        <w:lastRenderedPageBreak/>
        <w:t xml:space="preserve">הבגידה, נודע לסבא מקלם מה עשה ר׳ </w:t>
      </w:r>
      <w:proofErr w:type="spellStart"/>
      <w:r>
        <w:rPr>
          <w:rtl/>
        </w:rPr>
        <w:t>נתן־צבי</w:t>
      </w:r>
      <w:proofErr w:type="spellEnd"/>
      <w:r>
        <w:rPr>
          <w:rtl/>
        </w:rPr>
        <w:t xml:space="preserve"> כדי לחתור תחת בית הספר </w:t>
      </w:r>
      <w:proofErr w:type="spellStart"/>
      <w:r>
        <w:rPr>
          <w:rtl/>
        </w:rPr>
        <w:t>בגרובין</w:t>
      </w:r>
      <w:proofErr w:type="spellEnd"/>
      <w:r>
        <w:rPr>
          <w:rtl/>
        </w:rPr>
        <w:t xml:space="preserve"> בעת שליחותו למינסק, ואז התנכרו הסבא מקלם וחוגו לסבא </w:t>
      </w:r>
      <w:proofErr w:type="spellStart"/>
      <w:r>
        <w:rPr>
          <w:rtl/>
        </w:rPr>
        <w:t>מסלבודקה</w:t>
      </w:r>
      <w:proofErr w:type="spellEnd"/>
      <w:r>
        <w:rPr>
          <w:rtl/>
        </w:rPr>
        <w:t>.</w:t>
      </w:r>
    </w:p>
    <w:p w14:paraId="2FD2D830" w14:textId="77777777" w:rsidR="00AB3647" w:rsidRDefault="00000000" w:rsidP="007923E9">
      <w:pPr>
        <w:spacing w:after="120" w:line="276" w:lineRule="auto"/>
        <w:ind w:firstLine="283"/>
        <w:jc w:val="both"/>
      </w:pPr>
      <w:r>
        <w:rPr>
          <w:rtl/>
        </w:rPr>
        <w:t xml:space="preserve">בעקבות גילויו סירב ר׳ </w:t>
      </w:r>
      <w:proofErr w:type="spellStart"/>
      <w:r>
        <w:rPr>
          <w:rtl/>
        </w:rPr>
        <w:t>שמחה־זיסל</w:t>
      </w:r>
      <w:proofErr w:type="spellEnd"/>
      <w:r>
        <w:rPr>
          <w:rtl/>
        </w:rPr>
        <w:t xml:space="preserve"> להניח לסבא להתפלל בתלמוד תורה של קלם. תלמידי הסבא מקלם – המעטים הנבחרים שידעו מה עשה הסבא </w:t>
      </w:r>
      <w:proofErr w:type="spellStart"/>
      <w:r>
        <w:rPr>
          <w:rtl/>
        </w:rPr>
        <w:t>מסלבודקה</w:t>
      </w:r>
      <w:proofErr w:type="spellEnd"/>
      <w:r>
        <w:rPr>
          <w:rtl/>
        </w:rPr>
        <w:t xml:space="preserve"> – לא הניחו לו ללון בביתו של איש (“מפני שהיה רודף”). ר׳ </w:t>
      </w:r>
      <w:proofErr w:type="spellStart"/>
      <w:r>
        <w:rPr>
          <w:rtl/>
        </w:rPr>
        <w:t>נחום־זאב</w:t>
      </w:r>
      <w:proofErr w:type="spellEnd"/>
      <w:r>
        <w:rPr>
          <w:rtl/>
        </w:rPr>
        <w:t xml:space="preserve"> זיו, בנו של ר׳ </w:t>
      </w:r>
      <w:proofErr w:type="spellStart"/>
      <w:r>
        <w:rPr>
          <w:rtl/>
        </w:rPr>
        <w:t>שמחה־זיסל</w:t>
      </w:r>
      <w:proofErr w:type="spellEnd"/>
      <w:r>
        <w:rPr>
          <w:rtl/>
        </w:rPr>
        <w:t xml:space="preserve">, סירב אז אפילו לשקול קשרי חיתון עמו. כל זה היה פרי מעילתו של הסבא </w:t>
      </w:r>
      <w:proofErr w:type="spellStart"/>
      <w:r>
        <w:rPr>
          <w:rtl/>
        </w:rPr>
        <w:t>מסלבודקה</w:t>
      </w:r>
      <w:proofErr w:type="spellEnd"/>
      <w:r>
        <w:rPr>
          <w:rtl/>
        </w:rPr>
        <w:t xml:space="preserve">, ולא היה קשור לשאלות חינוך. שלושים השנים שחלפו עד שר׳ </w:t>
      </w:r>
      <w:proofErr w:type="spellStart"/>
      <w:r>
        <w:rPr>
          <w:rtl/>
        </w:rPr>
        <w:t>יחיאל־יעקב</w:t>
      </w:r>
      <w:proofErr w:type="spellEnd"/>
      <w:r>
        <w:rPr>
          <w:rtl/>
        </w:rPr>
        <w:t xml:space="preserve"> ויינברג הציע את השידוך בין בנו של הסבא לבתו של ר׳ </w:t>
      </w:r>
      <w:proofErr w:type="spellStart"/>
      <w:r>
        <w:rPr>
          <w:rtl/>
        </w:rPr>
        <w:t>נחום־זאב</w:t>
      </w:r>
      <w:proofErr w:type="spellEnd"/>
      <w:r>
        <w:rPr>
          <w:rtl/>
        </w:rPr>
        <w:t xml:space="preserve"> נמנות משעת בגידתו של ר׳ </w:t>
      </w:r>
      <w:proofErr w:type="spellStart"/>
      <w:r>
        <w:rPr>
          <w:rtl/>
        </w:rPr>
        <w:t>נתן־צבי</w:t>
      </w:r>
      <w:proofErr w:type="spellEnd"/>
      <w:r>
        <w:rPr>
          <w:rtl/>
        </w:rPr>
        <w:t xml:space="preserve"> בר׳ </w:t>
      </w:r>
      <w:proofErr w:type="spellStart"/>
      <w:r>
        <w:rPr>
          <w:rtl/>
        </w:rPr>
        <w:t>שמחה־זיסל</w:t>
      </w:r>
      <w:proofErr w:type="spellEnd"/>
      <w:r>
        <w:rPr>
          <w:rtl/>
        </w:rPr>
        <w:t>. חלוף הזמן והתחלפות הדורות לא ריפאו את הקרע.</w:t>
      </w:r>
    </w:p>
    <w:p w14:paraId="46BC7DCF" w14:textId="77777777" w:rsidR="00AB3647" w:rsidRDefault="00000000" w:rsidP="007923E9">
      <w:pPr>
        <w:spacing w:after="120" w:line="276" w:lineRule="auto"/>
        <w:ind w:firstLine="283"/>
        <w:jc w:val="both"/>
      </w:pPr>
      <w:r>
        <w:rPr>
          <w:rtl/>
        </w:rPr>
        <w:t xml:space="preserve">אחרי שהותו הקצרה </w:t>
      </w:r>
      <w:proofErr w:type="spellStart"/>
      <w:r>
        <w:rPr>
          <w:rtl/>
        </w:rPr>
        <w:t>בגרובין</w:t>
      </w:r>
      <w:proofErr w:type="spellEnd"/>
      <w:r>
        <w:rPr>
          <w:rtl/>
        </w:rPr>
        <w:t xml:space="preserve"> נעשה הסבא </w:t>
      </w:r>
      <w:proofErr w:type="spellStart"/>
      <w:r>
        <w:rPr>
          <w:rtl/>
        </w:rPr>
        <w:t>מסלבודקה</w:t>
      </w:r>
      <w:proofErr w:type="spellEnd"/>
      <w:r>
        <w:rPr>
          <w:rtl/>
        </w:rPr>
        <w:t xml:space="preserve">, בן שלושים ושתיים, משגיח בישיבת ר׳ </w:t>
      </w:r>
      <w:proofErr w:type="spellStart"/>
      <w:r>
        <w:rPr>
          <w:rtl/>
        </w:rPr>
        <w:t>הירשל׳ה</w:t>
      </w:r>
      <w:proofErr w:type="spellEnd"/>
      <w:r>
        <w:rPr>
          <w:rtl/>
        </w:rPr>
        <w:t xml:space="preserve"> </w:t>
      </w:r>
      <w:proofErr w:type="spellStart"/>
      <w:r>
        <w:rPr>
          <w:rtl/>
        </w:rPr>
        <w:t>שבסלבודקה</w:t>
      </w:r>
      <w:proofErr w:type="spellEnd"/>
      <w:r>
        <w:rPr>
          <w:rtl/>
        </w:rPr>
        <w:t>,</w:t>
      </w:r>
      <w:bookmarkStart w:id="3074" w:name="_fnr2190"/>
      <w:r>
        <w:rPr>
          <w:rStyle w:val="a5"/>
        </w:rPr>
        <w:footnoteReference w:id="2196" w:customMarkFollows="0"/>
      </w:r>
      <w:bookmarkEnd w:id="3074"/>
      <w:r>
        <w:rPr>
          <w:rtl/>
        </w:rPr>
        <w:t xml:space="preserve"> והפך אותה למוסד בר קיימא.</w:t>
      </w:r>
      <w:bookmarkStart w:id="3075" w:name="_fnr2191"/>
      <w:r>
        <w:rPr>
          <w:rStyle w:val="a5"/>
        </w:rPr>
        <w:footnoteReference w:id="2197" w:customMarkFollows="0"/>
      </w:r>
      <w:bookmarkEnd w:id="3075"/>
      <w:r>
        <w:rPr>
          <w:rtl/>
        </w:rPr>
        <w:t xml:space="preserve"> עד שנסגרה </w:t>
      </w:r>
      <w:proofErr w:type="spellStart"/>
      <w:r>
        <w:rPr>
          <w:rtl/>
        </w:rPr>
        <w:t>גרובין</w:t>
      </w:r>
      <w:proofErr w:type="spellEnd"/>
      <w:r>
        <w:rPr>
          <w:rtl/>
        </w:rPr>
        <w:t xml:space="preserve"> </w:t>
      </w:r>
      <w:proofErr w:type="spellStart"/>
      <w:r>
        <w:rPr>
          <w:rtl/>
        </w:rPr>
        <w:t>בתרמ״ו</w:t>
      </w:r>
      <w:proofErr w:type="spellEnd"/>
      <w:r>
        <w:rPr>
          <w:rtl/>
        </w:rPr>
        <w:t xml:space="preserve">, כבר עזב הסבא </w:t>
      </w:r>
      <w:proofErr w:type="spellStart"/>
      <w:r>
        <w:rPr>
          <w:rtl/>
        </w:rPr>
        <w:t>מסלבודקה</w:t>
      </w:r>
      <w:proofErr w:type="spellEnd"/>
      <w:r>
        <w:rPr>
          <w:rtl/>
        </w:rPr>
        <w:t xml:space="preserve"> את ישיבת ר׳ </w:t>
      </w:r>
      <w:proofErr w:type="spellStart"/>
      <w:r>
        <w:rPr>
          <w:rtl/>
        </w:rPr>
        <w:t>הירשל׳ה</w:t>
      </w:r>
      <w:proofErr w:type="spellEnd"/>
      <w:r>
        <w:rPr>
          <w:rtl/>
        </w:rPr>
        <w:t xml:space="preserve"> כדי להקדיש את כל זמנו לישיבת </w:t>
      </w:r>
      <w:proofErr w:type="spellStart"/>
      <w:r>
        <w:rPr>
          <w:rtl/>
        </w:rPr>
        <w:t>סלבודקה</w:t>
      </w:r>
      <w:proofErr w:type="spellEnd"/>
      <w:r>
        <w:rPr>
          <w:rtl/>
        </w:rPr>
        <w:t xml:space="preserve">. בישיבת ר׳ </w:t>
      </w:r>
      <w:proofErr w:type="spellStart"/>
      <w:r>
        <w:rPr>
          <w:rtl/>
        </w:rPr>
        <w:t>הירשל׳ה</w:t>
      </w:r>
      <w:proofErr w:type="spellEnd"/>
      <w:r>
        <w:rPr>
          <w:rtl/>
        </w:rPr>
        <w:t xml:space="preserve"> החליף אותו מי שהיה קודם לכן המשגיח </w:t>
      </w:r>
      <w:proofErr w:type="spellStart"/>
      <w:r>
        <w:rPr>
          <w:rtl/>
        </w:rPr>
        <w:t>בגרובין</w:t>
      </w:r>
      <w:proofErr w:type="spellEnd"/>
      <w:r>
        <w:rPr>
          <w:rtl/>
        </w:rPr>
        <w:t xml:space="preserve">, ר׳ </w:t>
      </w:r>
      <w:proofErr w:type="spellStart"/>
      <w:r>
        <w:rPr>
          <w:rtl/>
        </w:rPr>
        <w:t>אליהו־דוב</w:t>
      </w:r>
      <w:proofErr w:type="spellEnd"/>
      <w:r>
        <w:rPr>
          <w:rtl/>
        </w:rPr>
        <w:t xml:space="preserve"> </w:t>
      </w:r>
      <w:proofErr w:type="spellStart"/>
      <w:r>
        <w:rPr>
          <w:rtl/>
        </w:rPr>
        <w:t>לייזרוביץ</w:t>
      </w:r>
      <w:proofErr w:type="spellEnd"/>
      <w:r>
        <w:rPr>
          <w:rtl/>
        </w:rPr>
        <w:t>.</w:t>
      </w:r>
      <w:bookmarkStart w:id="3076" w:name="_fnr2192"/>
      <w:r>
        <w:rPr>
          <w:rStyle w:val="a5"/>
        </w:rPr>
        <w:footnoteReference w:id="2198" w:customMarkFollows="0"/>
      </w:r>
      <w:bookmarkEnd w:id="3076"/>
    </w:p>
    <w:p w14:paraId="483335E8" w14:textId="77777777" w:rsidR="00AB3647" w:rsidRDefault="00000000" w:rsidP="007923E9">
      <w:pPr>
        <w:spacing w:after="120" w:line="276" w:lineRule="auto"/>
        <w:ind w:firstLine="283"/>
        <w:jc w:val="both"/>
      </w:pPr>
      <w:bookmarkStart w:id="3077" w:name="pr_b_1315"/>
      <w:bookmarkEnd w:id="3077"/>
      <w:proofErr w:type="spellStart"/>
      <w:r>
        <w:rPr>
          <w:rtl/>
        </w:rPr>
        <w:t>בתרמ״א</w:t>
      </w:r>
      <w:proofErr w:type="spellEnd"/>
      <w:r>
        <w:rPr>
          <w:rtl/>
        </w:rPr>
        <w:t xml:space="preserve">, בעת ששימש בישיבת ר׳ </w:t>
      </w:r>
      <w:proofErr w:type="spellStart"/>
      <w:r>
        <w:rPr>
          <w:rtl/>
        </w:rPr>
        <w:t>הירשל׳ה</w:t>
      </w:r>
      <w:proofErr w:type="spellEnd"/>
      <w:r>
        <w:rPr>
          <w:rtl/>
        </w:rPr>
        <w:t>, השתמש הסבא בכספי לחמן</w:t>
      </w:r>
      <w:bookmarkStart w:id="3078" w:name="_fnr2193"/>
      <w:r>
        <w:rPr>
          <w:rStyle w:val="a5"/>
        </w:rPr>
        <w:footnoteReference w:id="2199" w:customMarkFollows="0"/>
      </w:r>
      <w:bookmarkEnd w:id="3078"/>
      <w:r>
        <w:rPr>
          <w:rtl/>
        </w:rPr>
        <w:t xml:space="preserve"> לייסוד ישיבה בעיר </w:t>
      </w:r>
      <w:proofErr w:type="spellStart"/>
      <w:r>
        <w:rPr>
          <w:rtl/>
        </w:rPr>
        <w:t>טלז</w:t>
      </w:r>
      <w:proofErr w:type="spellEnd"/>
      <w:r>
        <w:rPr>
          <w:rtl/>
        </w:rPr>
        <w:t>.</w:t>
      </w:r>
      <w:bookmarkStart w:id="3079" w:name="_fnr2194"/>
      <w:r>
        <w:rPr>
          <w:rStyle w:val="a5"/>
        </w:rPr>
        <w:footnoteReference w:id="2200" w:customMarkFollows="0"/>
      </w:r>
      <w:bookmarkEnd w:id="3079"/>
      <w:r>
        <w:rPr>
          <w:rtl/>
        </w:rPr>
        <w:t xml:space="preserve"> בראשה עמדו אז שלושה אברכים שאכלו על שולחן חותניהם בעיר זו:</w:t>
      </w:r>
      <w:bookmarkStart w:id="3080" w:name="_fnr2195"/>
      <w:r>
        <w:rPr>
          <w:rStyle w:val="a5"/>
        </w:rPr>
        <w:footnoteReference w:id="2201" w:customMarkFollows="0"/>
      </w:r>
      <w:bookmarkEnd w:id="3080"/>
      <w:r>
        <w:rPr>
          <w:rtl/>
        </w:rPr>
        <w:t xml:space="preserve"> ר׳ מאיר אטלס,</w:t>
      </w:r>
      <w:bookmarkStart w:id="3081" w:name="_fnr2196"/>
      <w:r>
        <w:rPr>
          <w:rStyle w:val="a5"/>
        </w:rPr>
        <w:footnoteReference w:id="2202" w:customMarkFollows="0"/>
      </w:r>
      <w:bookmarkEnd w:id="3081"/>
      <w:r>
        <w:rPr>
          <w:rtl/>
        </w:rPr>
        <w:t xml:space="preserve"> ר׳ </w:t>
      </w:r>
      <w:proofErr w:type="spellStart"/>
      <w:r>
        <w:rPr>
          <w:rtl/>
        </w:rPr>
        <w:t>הירש־יעקב</w:t>
      </w:r>
      <w:proofErr w:type="spellEnd"/>
      <w:r>
        <w:rPr>
          <w:rtl/>
        </w:rPr>
        <w:t xml:space="preserve"> </w:t>
      </w:r>
      <w:proofErr w:type="spellStart"/>
      <w:r>
        <w:rPr>
          <w:rtl/>
        </w:rPr>
        <w:t>אופנהיים</w:t>
      </w:r>
      <w:bookmarkStart w:id="3082" w:name="_fnr2197"/>
      <w:proofErr w:type="spellEnd"/>
      <w:r>
        <w:rPr>
          <w:rStyle w:val="a5"/>
        </w:rPr>
        <w:footnoteReference w:id="2203" w:customMarkFollows="0"/>
      </w:r>
      <w:bookmarkEnd w:id="3082"/>
      <w:r>
        <w:rPr>
          <w:rtl/>
        </w:rPr>
        <w:t xml:space="preserve"> ור׳ </w:t>
      </w:r>
      <w:proofErr w:type="spellStart"/>
      <w:r>
        <w:rPr>
          <w:rtl/>
        </w:rPr>
        <w:t>שלמה־זלמן</w:t>
      </w:r>
      <w:proofErr w:type="spellEnd"/>
      <w:r>
        <w:rPr>
          <w:rtl/>
        </w:rPr>
        <w:t xml:space="preserve"> אבל,</w:t>
      </w:r>
      <w:bookmarkStart w:id="3083" w:name="_fnr2198"/>
      <w:r>
        <w:rPr>
          <w:rStyle w:val="a5"/>
        </w:rPr>
        <w:footnoteReference w:id="2204" w:customMarkFollows="0"/>
      </w:r>
      <w:bookmarkEnd w:id="3083"/>
      <w:r>
        <w:rPr>
          <w:rtl/>
        </w:rPr>
        <w:t xml:space="preserve"> “שאחייניתו, בת אחיו ר׳ הירש, נישאה </w:t>
      </w:r>
      <w:proofErr w:type="spellStart"/>
      <w:r>
        <w:rPr>
          <w:rtl/>
        </w:rPr>
        <w:t>לר</w:t>
      </w:r>
      <w:proofErr w:type="spellEnd"/>
      <w:r>
        <w:rPr>
          <w:rtl/>
        </w:rPr>
        <w:t xml:space="preserve">׳ </w:t>
      </w:r>
      <w:proofErr w:type="spellStart"/>
      <w:r>
        <w:rPr>
          <w:rtl/>
        </w:rPr>
        <w:t>אברהם־אליהו</w:t>
      </w:r>
      <w:proofErr w:type="spellEnd"/>
      <w:r>
        <w:rPr>
          <w:rtl/>
        </w:rPr>
        <w:t xml:space="preserve"> קפלן”.</w:t>
      </w:r>
      <w:bookmarkStart w:id="3084" w:name="_fnr2199"/>
      <w:r>
        <w:rPr>
          <w:rStyle w:val="a5"/>
        </w:rPr>
        <w:footnoteReference w:id="2205" w:customMarkFollows="0"/>
      </w:r>
      <w:bookmarkEnd w:id="3084"/>
      <w:r>
        <w:rPr>
          <w:rtl/>
        </w:rPr>
        <w:t xml:space="preserve"> כעבור שלוש שנים עברה הישיבה לידי ר׳ לייזר גורדון,</w:t>
      </w:r>
      <w:bookmarkStart w:id="3085" w:name="_fnr2200"/>
      <w:r>
        <w:rPr>
          <w:rStyle w:val="a5"/>
        </w:rPr>
        <w:footnoteReference w:id="2206" w:customMarkFollows="0"/>
      </w:r>
      <w:bookmarkEnd w:id="3085"/>
      <w:r>
        <w:rPr>
          <w:rtl/>
        </w:rPr>
        <w:t xml:space="preserve"> כשנתמנה לרב העיר.</w:t>
      </w:r>
      <w:bookmarkStart w:id="3086" w:name="_fnr2201"/>
      <w:r>
        <w:rPr>
          <w:rStyle w:val="a5"/>
        </w:rPr>
        <w:footnoteReference w:id="2207" w:customMarkFollows="0"/>
      </w:r>
      <w:bookmarkEnd w:id="3086"/>
    </w:p>
    <w:p w14:paraId="6FA7D899" w14:textId="77777777" w:rsidR="00AB3647" w:rsidRDefault="00000000" w:rsidP="007923E9">
      <w:pPr>
        <w:spacing w:after="120" w:line="276" w:lineRule="auto"/>
        <w:ind w:firstLine="283"/>
        <w:jc w:val="both"/>
      </w:pPr>
      <w:r>
        <w:rPr>
          <w:rtl/>
        </w:rPr>
        <w:t>מלבד שלושת האברכים האלה שהזכיר אבי, “</w:t>
      </w:r>
      <w:proofErr w:type="spellStart"/>
      <w:r>
        <w:rPr>
          <w:rtl/>
        </w:rPr>
        <w:t>טלז</w:t>
      </w:r>
      <w:proofErr w:type="spellEnd"/>
      <w:r>
        <w:rPr>
          <w:rtl/>
        </w:rPr>
        <w:t xml:space="preserve"> הייתה אז מקום תורה לאברכים מגדולי ישראל, שנודעו אחר כך בעולם כגאונים ורועי ישראל, כגון ר׳ </w:t>
      </w:r>
      <w:proofErr w:type="spellStart"/>
      <w:r>
        <w:rPr>
          <w:rtl/>
        </w:rPr>
        <w:t>צבי־יהודה</w:t>
      </w:r>
      <w:proofErr w:type="spellEnd"/>
      <w:r>
        <w:rPr>
          <w:rtl/>
        </w:rPr>
        <w:t xml:space="preserve"> תאומים [אחיו של </w:t>
      </w:r>
      <w:proofErr w:type="spellStart"/>
      <w:r>
        <w:rPr>
          <w:rtl/>
        </w:rPr>
        <w:lastRenderedPageBreak/>
        <w:t>האדר״ת</w:t>
      </w:r>
      <w:bookmarkStart w:id="3087" w:name="_fnr2202"/>
      <w:proofErr w:type="spellEnd"/>
      <w:r>
        <w:rPr>
          <w:rStyle w:val="a5"/>
        </w:rPr>
        <w:footnoteReference w:id="2208" w:customMarkFollows="0"/>
      </w:r>
      <w:bookmarkEnd w:id="3087"/>
      <w:r>
        <w:rPr>
          <w:rtl/>
        </w:rPr>
        <w:t xml:space="preserve"> ולימים רבה של </w:t>
      </w:r>
      <w:proofErr w:type="spellStart"/>
      <w:r>
        <w:rPr>
          <w:rtl/>
        </w:rPr>
        <w:t>רגולה</w:t>
      </w:r>
      <w:proofErr w:type="spellEnd"/>
      <w:r>
        <w:rPr>
          <w:rtl/>
        </w:rPr>
        <w:t>], ור׳ שלמה אלישיב</w:t>
      </w:r>
      <w:bookmarkStart w:id="3088" w:name="_fnr2203"/>
      <w:r>
        <w:rPr>
          <w:rStyle w:val="a5"/>
        </w:rPr>
        <w:footnoteReference w:id="2209" w:customMarkFollows="0"/>
      </w:r>
      <w:bookmarkEnd w:id="3088"/>
      <w:r>
        <w:rPr>
          <w:rtl/>
        </w:rPr>
        <w:t xml:space="preserve"> [שלמד עשר שנים </w:t>
      </w:r>
      <w:proofErr w:type="spellStart"/>
      <w:r>
        <w:rPr>
          <w:rtl/>
        </w:rPr>
        <w:t>בטלז</w:t>
      </w:r>
      <w:proofErr w:type="spellEnd"/>
      <w:r>
        <w:rPr>
          <w:rtl/>
        </w:rPr>
        <w:t xml:space="preserve"> כפרוש]”.</w:t>
      </w:r>
      <w:bookmarkStart w:id="3089" w:name="_fnr2204"/>
      <w:r>
        <w:rPr>
          <w:rStyle w:val="a5"/>
        </w:rPr>
        <w:footnoteReference w:id="2210" w:customMarkFollows="0"/>
      </w:r>
      <w:bookmarkEnd w:id="3089"/>
      <w:r>
        <w:rPr>
          <w:rtl/>
        </w:rPr>
        <w:t xml:space="preserve"> מקצת העשור הזה חופף לפרק הזמן שתיאר רבנו.</w:t>
      </w:r>
    </w:p>
    <w:p w14:paraId="152D6530" w14:textId="77777777" w:rsidR="00AB3647" w:rsidRDefault="00000000" w:rsidP="007923E9">
      <w:pPr>
        <w:spacing w:after="120" w:line="276" w:lineRule="auto"/>
        <w:ind w:firstLine="283"/>
        <w:jc w:val="both"/>
      </w:pPr>
      <w:r>
        <w:rPr>
          <w:rtl/>
        </w:rPr>
        <w:t xml:space="preserve">פריצת הדרך של הסבא בהגשמת תוכניתו להפצת התורה באה שנה אחר כך, כשהיה בן שלושים ושלוש וייסד במסגרת כולל קובנה את ישיבת </w:t>
      </w:r>
      <w:proofErr w:type="spellStart"/>
      <w:r>
        <w:rPr>
          <w:rtl/>
        </w:rPr>
        <w:t>סלבודקה</w:t>
      </w:r>
      <w:proofErr w:type="spellEnd"/>
      <w:r>
        <w:rPr>
          <w:rtl/>
        </w:rPr>
        <w:t>. עתה יצר את הכלי להפצת תורה עם מוסר. כשהייתה הישיבה בשליטת הסבא, ובייחוד אחרי שהייתה לכנסת ישראל המזוהה עם חוג המוסר, נעשתה למשתלה שבה גודלו שתילי תורה לשם נטיעתם בשדות פוריים.</w:t>
      </w:r>
    </w:p>
    <w:p w14:paraId="098FA2CE" w14:textId="77777777" w:rsidR="00AB3647" w:rsidRDefault="00000000" w:rsidP="007923E9">
      <w:pPr>
        <w:spacing w:after="120" w:line="276" w:lineRule="auto"/>
        <w:ind w:firstLine="283"/>
        <w:jc w:val="both"/>
      </w:pPr>
      <w:r>
        <w:rPr>
          <w:rtl/>
        </w:rPr>
        <w:t xml:space="preserve">ישיבת </w:t>
      </w:r>
      <w:proofErr w:type="spellStart"/>
      <w:r>
        <w:rPr>
          <w:rtl/>
        </w:rPr>
        <w:t>סלוצק</w:t>
      </w:r>
      <w:proofErr w:type="spellEnd"/>
      <w:r>
        <w:rPr>
          <w:rtl/>
        </w:rPr>
        <w:t xml:space="preserve"> הייתה הראשונה מבין </w:t>
      </w:r>
      <w:proofErr w:type="spellStart"/>
      <w:r>
        <w:rPr>
          <w:rtl/>
        </w:rPr>
        <w:t>ארבע־עשרה</w:t>
      </w:r>
      <w:proofErr w:type="spellEnd"/>
      <w:r>
        <w:rPr>
          <w:rtl/>
        </w:rPr>
        <w:t xml:space="preserve"> ישיבות שנוסדו או התחזקו באמצעות קבוצות תלמידים </w:t>
      </w:r>
      <w:proofErr w:type="spellStart"/>
      <w:r>
        <w:rPr>
          <w:rtl/>
        </w:rPr>
        <w:t>מסלבודקה</w:t>
      </w:r>
      <w:proofErr w:type="spellEnd"/>
      <w:r>
        <w:rPr>
          <w:rtl/>
        </w:rPr>
        <w:t xml:space="preserve">. האחרות היו: </w:t>
      </w:r>
      <w:proofErr w:type="spellStart"/>
      <w:r>
        <w:rPr>
          <w:rtl/>
        </w:rPr>
        <w:t>מאלטש</w:t>
      </w:r>
      <w:proofErr w:type="spellEnd"/>
      <w:r>
        <w:rPr>
          <w:rtl/>
        </w:rPr>
        <w:t xml:space="preserve">, </w:t>
      </w:r>
      <w:proofErr w:type="spellStart"/>
      <w:r>
        <w:rPr>
          <w:rtl/>
        </w:rPr>
        <w:t>בריינסק</w:t>
      </w:r>
      <w:proofErr w:type="spellEnd"/>
      <w:r>
        <w:rPr>
          <w:rtl/>
        </w:rPr>
        <w:t xml:space="preserve">, </w:t>
      </w:r>
      <w:proofErr w:type="spellStart"/>
      <w:r>
        <w:rPr>
          <w:rtl/>
        </w:rPr>
        <w:t>שטוצ׳ין</w:t>
      </w:r>
      <w:proofErr w:type="spellEnd"/>
      <w:r>
        <w:rPr>
          <w:rtl/>
        </w:rPr>
        <w:t xml:space="preserve">, שקלוב, </w:t>
      </w:r>
      <w:proofErr w:type="spellStart"/>
      <w:r>
        <w:rPr>
          <w:rtl/>
        </w:rPr>
        <w:t>לודז</w:t>
      </w:r>
      <w:proofErr w:type="spellEnd"/>
      <w:r>
        <w:rPr>
          <w:rtl/>
        </w:rPr>
        <w:t xml:space="preserve">׳, </w:t>
      </w:r>
      <w:proofErr w:type="spellStart"/>
      <w:r>
        <w:rPr>
          <w:rtl/>
        </w:rPr>
        <w:t>גרודנא</w:t>
      </w:r>
      <w:proofErr w:type="spellEnd"/>
      <w:r>
        <w:rPr>
          <w:rtl/>
        </w:rPr>
        <w:t xml:space="preserve">, </w:t>
      </w:r>
      <w:proofErr w:type="spellStart"/>
      <w:r>
        <w:rPr>
          <w:rtl/>
        </w:rPr>
        <w:t>טלז</w:t>
      </w:r>
      <w:proofErr w:type="spellEnd"/>
      <w:r>
        <w:rPr>
          <w:rtl/>
        </w:rPr>
        <w:t xml:space="preserve"> (בראשות ר׳ לייזר גורדון), </w:t>
      </w:r>
      <w:proofErr w:type="spellStart"/>
      <w:r>
        <w:rPr>
          <w:rtl/>
        </w:rPr>
        <w:t>מיר</w:t>
      </w:r>
      <w:proofErr w:type="spellEnd"/>
      <w:r>
        <w:rPr>
          <w:rtl/>
        </w:rPr>
        <w:t xml:space="preserve">, שדובה, </w:t>
      </w:r>
      <w:proofErr w:type="spellStart"/>
      <w:r>
        <w:rPr>
          <w:rtl/>
        </w:rPr>
        <w:t>פוניבז</w:t>
      </w:r>
      <w:proofErr w:type="spellEnd"/>
      <w:r>
        <w:rPr>
          <w:rtl/>
        </w:rPr>
        <w:t xml:space="preserve">׳ (כולל ויסוצקי), </w:t>
      </w:r>
      <w:proofErr w:type="spellStart"/>
      <w:r>
        <w:rPr>
          <w:rtl/>
        </w:rPr>
        <w:t>טבריג</w:t>
      </w:r>
      <w:proofErr w:type="spellEnd"/>
      <w:r>
        <w:rPr>
          <w:rtl/>
        </w:rPr>
        <w:t xml:space="preserve"> (כולל), </w:t>
      </w:r>
      <w:proofErr w:type="spellStart"/>
      <w:r>
        <w:rPr>
          <w:rtl/>
        </w:rPr>
        <w:t>ראסיין</w:t>
      </w:r>
      <w:proofErr w:type="spellEnd"/>
      <w:r>
        <w:rPr>
          <w:rtl/>
        </w:rPr>
        <w:t xml:space="preserve"> וכולל </w:t>
      </w:r>
      <w:proofErr w:type="spellStart"/>
      <w:r>
        <w:rPr>
          <w:rtl/>
        </w:rPr>
        <w:t>סלבודקה</w:t>
      </w:r>
      <w:proofErr w:type="spellEnd"/>
      <w:r>
        <w:rPr>
          <w:rtl/>
        </w:rPr>
        <w:t xml:space="preserve"> (אחרי מלחמת העולם הראשונה).</w:t>
      </w:r>
      <w:bookmarkStart w:id="3090" w:name="_fnr2205"/>
      <w:r>
        <w:rPr>
          <w:rStyle w:val="a5"/>
        </w:rPr>
        <w:footnoteReference w:id="2211" w:customMarkFollows="0"/>
      </w:r>
      <w:bookmarkEnd w:id="3090"/>
      <w:r>
        <w:rPr>
          <w:rtl/>
        </w:rPr>
        <w:t xml:space="preserve"> על הישיבה שהסבא שלח את אבי לסייע בייסודה ראה פרק 5.1, ועל הישיבה שנשלח לחזק ראה כרך 2.</w:t>
      </w:r>
    </w:p>
    <w:bookmarkStart w:id="3091" w:name="b3_excR"/>
    <w:p w14:paraId="66656D6F" w14:textId="77777777" w:rsidR="00AB3647" w:rsidRDefault="00000000" w:rsidP="007923E9">
      <w:pPr>
        <w:pStyle w:val="3"/>
        <w:spacing w:line="276" w:lineRule="auto"/>
      </w:pPr>
      <w:r>
        <w:lastRenderedPageBreak/>
        <w:fldChar w:fldCharType="begin" w:dirty="true"/>
      </w:r>
      <w:r>
        <w:rPr>
          <w:rtl w:val="0"/>
        </w:rPr>
        <w:instrText>HYPERLINK \l "b3_note49</w:instrText>
      </w:r>
      <w:r>
        <w:instrText>"</w:instrText>
      </w:r>
      <w:r>
        <w:fldChar w:fldCharType="separate"/>
      </w:r>
      <w:r>
        <w:t xml:space="preserve">נספח </w:t>
      </w:r>
      <w:proofErr w:type="spellStart"/>
      <w:r>
        <w:t>יח</w:t>
      </w:r>
      <w:proofErr w:type="spellEnd"/>
      <w:r>
        <w:fldChar w:fldCharType="end"/>
      </w:r>
      <w:bookmarkEnd w:id="3091"/>
    </w:p>
    <w:p w14:paraId="5C2428CB" w14:textId="77777777" w:rsidR="00AB3647" w:rsidRDefault="00000000" w:rsidP="007923E9">
      <w:pPr>
        <w:pStyle w:val="af"/>
        <w:spacing w:line="276" w:lineRule="auto"/>
      </w:pPr>
      <w:r>
        <w:t xml:space="preserve">על קדושתו של ר׳ </w:t>
      </w:r>
      <w:proofErr w:type="spellStart"/>
      <w:r>
        <w:t>ברוך־בער</w:t>
      </w:r>
      <w:proofErr w:type="spellEnd"/>
      <w:r>
        <w:t xml:space="preserve">; על המאמר </w:t>
      </w:r>
      <w:proofErr w:type="spellStart"/>
      <w:r>
        <w:t>החב״די</w:t>
      </w:r>
      <w:proofErr w:type="spellEnd"/>
      <w:r>
        <w:t xml:space="preserve"> בעניין לימוד מסכת בבא קמא; ועל ועידת הרבנים בפטרבורג </w:t>
      </w:r>
      <w:proofErr w:type="spellStart"/>
      <w:r>
        <w:t>בתר״ע</w:t>
      </w:r>
      <w:proofErr w:type="spellEnd"/>
    </w:p>
    <w:p w14:paraId="723DDC0B" w14:textId="77777777" w:rsidR="00AB3647" w:rsidRDefault="00000000" w:rsidP="007923E9">
      <w:pPr>
        <w:pStyle w:val="4"/>
        <w:spacing w:line="276" w:lineRule="auto"/>
      </w:pPr>
      <w:r>
        <w:t>· הפסקה הראשונה ·</w:t>
      </w:r>
    </w:p>
    <w:p w14:paraId="4A2F8C34" w14:textId="77777777" w:rsidR="00AB3647" w:rsidRDefault="00000000" w:rsidP="007923E9">
      <w:pPr>
        <w:pStyle w:val="5"/>
        <w:spacing w:line="276" w:lineRule="auto"/>
      </w:pPr>
      <w:r>
        <w:t xml:space="preserve">ר׳ </w:t>
      </w:r>
      <w:proofErr w:type="spellStart"/>
      <w:r>
        <w:t>ברוך־בער</w:t>
      </w:r>
      <w:proofErr w:type="spellEnd"/>
      <w:r>
        <w:t xml:space="preserve"> ור׳ </w:t>
      </w:r>
      <w:proofErr w:type="spellStart"/>
      <w:r>
        <w:t>איסר־זלמן</w:t>
      </w:r>
      <w:proofErr w:type="spellEnd"/>
      <w:r>
        <w:t xml:space="preserve"> נפגשים </w:t>
      </w:r>
      <w:proofErr w:type="spellStart"/>
      <w:r>
        <w:t>בבריסק</w:t>
      </w:r>
      <w:proofErr w:type="spellEnd"/>
      <w:r>
        <w:t xml:space="preserve"> – לראשון יש לבסוף רבבות תלמידים – ר׳ חיים </w:t>
      </w:r>
      <w:proofErr w:type="spellStart"/>
      <w:r>
        <w:t>סולובייצ׳יק</w:t>
      </w:r>
      <w:proofErr w:type="spellEnd"/>
      <w:r>
        <w:t xml:space="preserve"> מחבק את תלמידיו – תנוחתו המוזרה בשעת ריכוז – לדעתו ר׳ </w:t>
      </w:r>
      <w:proofErr w:type="spellStart"/>
      <w:r>
        <w:t>איסר־זלמן</w:t>
      </w:r>
      <w:proofErr w:type="spellEnd"/>
      <w:r>
        <w:t xml:space="preserve"> אינו דבק בדרכו לחלוטין</w:t>
      </w:r>
    </w:p>
    <w:p w14:paraId="1D228A9F" w14:textId="77777777" w:rsidR="00AB3647" w:rsidRDefault="00000000" w:rsidP="007923E9">
      <w:pPr>
        <w:spacing w:after="120" w:line="276" w:lineRule="auto"/>
        <w:ind w:firstLine="283"/>
        <w:jc w:val="both"/>
      </w:pPr>
      <w:r>
        <w:rPr>
          <w:rtl/>
        </w:rPr>
        <w:t xml:space="preserve">ר׳ </w:t>
      </w:r>
      <w:proofErr w:type="spellStart"/>
      <w:r>
        <w:rPr>
          <w:rtl/>
        </w:rPr>
        <w:t>ברוך־בער</w:t>
      </w:r>
      <w:proofErr w:type="spellEnd"/>
      <w:r>
        <w:rPr>
          <w:rtl/>
        </w:rPr>
        <w:t xml:space="preserve"> נולד </w:t>
      </w:r>
      <w:proofErr w:type="spellStart"/>
      <w:r>
        <w:rPr>
          <w:rtl/>
        </w:rPr>
        <w:t>בסלוצק</w:t>
      </w:r>
      <w:proofErr w:type="spellEnd"/>
      <w:r>
        <w:rPr>
          <w:rtl/>
        </w:rPr>
        <w:t xml:space="preserve"> בסביבות תרכ״ו, </w:t>
      </w:r>
      <w:proofErr w:type="spellStart"/>
      <w:r>
        <w:rPr>
          <w:rtl/>
        </w:rPr>
        <w:t>ובתרס״ה</w:t>
      </w:r>
      <w:proofErr w:type="spellEnd"/>
      <w:r>
        <w:rPr>
          <w:rtl/>
        </w:rPr>
        <w:t xml:space="preserve"> בא </w:t>
      </w:r>
      <w:proofErr w:type="spellStart"/>
      <w:r>
        <w:rPr>
          <w:rtl/>
        </w:rPr>
        <w:t>לסלבודקה</w:t>
      </w:r>
      <w:proofErr w:type="spellEnd"/>
      <w:r>
        <w:rPr>
          <w:rtl/>
        </w:rPr>
        <w:t xml:space="preserve"> </w:t>
      </w:r>
      <w:proofErr w:type="spellStart"/>
      <w:r>
        <w:rPr>
          <w:rtl/>
        </w:rPr>
        <w:t>מהלוסק</w:t>
      </w:r>
      <w:proofErr w:type="spellEnd"/>
      <w:r>
        <w:rPr>
          <w:rtl/>
        </w:rPr>
        <w:t>, שבה כיהן כרב והחזיק ישיבה קטנה.</w:t>
      </w:r>
      <w:bookmarkStart w:id="3092" w:name="_fnr2206"/>
      <w:r>
        <w:rPr>
          <w:rStyle w:val="a5"/>
        </w:rPr>
        <w:footnoteReference w:id="2212" w:customMarkFollows="0"/>
      </w:r>
      <w:bookmarkEnd w:id="3092"/>
      <w:r>
        <w:rPr>
          <w:rtl/>
        </w:rPr>
        <w:t xml:space="preserve"> בגיל </w:t>
      </w:r>
      <w:proofErr w:type="spellStart"/>
      <w:r>
        <w:rPr>
          <w:rtl/>
        </w:rPr>
        <w:t>שש־עשרה</w:t>
      </w:r>
      <w:proofErr w:type="spellEnd"/>
      <w:r>
        <w:rPr>
          <w:rtl/>
        </w:rPr>
        <w:t xml:space="preserve"> החל, כמו ר׳ </w:t>
      </w:r>
      <w:proofErr w:type="spellStart"/>
      <w:r>
        <w:rPr>
          <w:rtl/>
        </w:rPr>
        <w:t>איסר־זלמן</w:t>
      </w:r>
      <w:proofErr w:type="spellEnd"/>
      <w:r>
        <w:rPr>
          <w:rtl/>
        </w:rPr>
        <w:t xml:space="preserve">, את שנות לימודיו הרבות אצל ר׳ חיים </w:t>
      </w:r>
      <w:proofErr w:type="spellStart"/>
      <w:r>
        <w:rPr>
          <w:rtl/>
        </w:rPr>
        <w:t>סולובייצ׳יק</w:t>
      </w:r>
      <w:proofErr w:type="spellEnd"/>
      <w:r>
        <w:rPr>
          <w:rtl/>
        </w:rPr>
        <w:t xml:space="preserve"> </w:t>
      </w:r>
      <w:proofErr w:type="spellStart"/>
      <w:r>
        <w:rPr>
          <w:rtl/>
        </w:rPr>
        <w:t>בוולוז׳ין</w:t>
      </w:r>
      <w:proofErr w:type="spellEnd"/>
      <w:r>
        <w:rPr>
          <w:rtl/>
        </w:rPr>
        <w:t>,</w:t>
      </w:r>
      <w:bookmarkStart w:id="3093" w:name="_fnr2207"/>
      <w:r>
        <w:rPr>
          <w:rStyle w:val="a5"/>
        </w:rPr>
        <w:footnoteReference w:id="2213" w:customMarkFollows="0"/>
      </w:r>
      <w:bookmarkEnd w:id="3093"/>
      <w:r>
        <w:rPr>
          <w:rtl/>
        </w:rPr>
        <w:t xml:space="preserve"> ובעיני עצמו היה תלמידו האמיתי של ר׳ חיים.</w:t>
      </w:r>
    </w:p>
    <w:p w14:paraId="512CC689" w14:textId="77777777" w:rsidR="00AB3647" w:rsidRDefault="00000000" w:rsidP="007923E9">
      <w:pPr>
        <w:spacing w:after="120" w:line="276" w:lineRule="auto"/>
        <w:ind w:firstLine="283"/>
        <w:jc w:val="both"/>
      </w:pPr>
      <w:r>
        <w:rPr>
          <w:rtl/>
        </w:rPr>
        <w:t xml:space="preserve">כשקיבל ר׳ </w:t>
      </w:r>
      <w:proofErr w:type="spellStart"/>
      <w:r>
        <w:rPr>
          <w:rtl/>
        </w:rPr>
        <w:t>איסר־זלמן</w:t>
      </w:r>
      <w:proofErr w:type="spellEnd"/>
      <w:r>
        <w:rPr>
          <w:rtl/>
        </w:rPr>
        <w:t xml:space="preserve"> את המשרה </w:t>
      </w:r>
      <w:proofErr w:type="spellStart"/>
      <w:r>
        <w:rPr>
          <w:rtl/>
        </w:rPr>
        <w:t>בסלוצק</w:t>
      </w:r>
      <w:proofErr w:type="spellEnd"/>
      <w:r>
        <w:rPr>
          <w:rtl/>
        </w:rPr>
        <w:t xml:space="preserve">, נסע לשם דרך </w:t>
      </w:r>
      <w:proofErr w:type="spellStart"/>
      <w:r>
        <w:rPr>
          <w:rtl/>
        </w:rPr>
        <w:t>בריסק</w:t>
      </w:r>
      <w:proofErr w:type="spellEnd"/>
      <w:r>
        <w:rPr>
          <w:rtl/>
        </w:rPr>
        <w:t xml:space="preserve"> כדי לשוחח עם ר׳ חיים על המינוי החדש. גם ר׳ </w:t>
      </w:r>
      <w:proofErr w:type="spellStart"/>
      <w:r>
        <w:rPr>
          <w:rtl/>
        </w:rPr>
        <w:t>ברוך־בער</w:t>
      </w:r>
      <w:proofErr w:type="spellEnd"/>
      <w:r>
        <w:rPr>
          <w:rtl/>
        </w:rPr>
        <w:t xml:space="preserve"> ביקר שם באותו זמן, והרגיש שרבם מתעניין בישיבתו החדשה של ר׳ </w:t>
      </w:r>
      <w:proofErr w:type="spellStart"/>
      <w:r>
        <w:rPr>
          <w:rtl/>
        </w:rPr>
        <w:t>איסר־זלמן</w:t>
      </w:r>
      <w:proofErr w:type="spellEnd"/>
      <w:r>
        <w:rPr>
          <w:rtl/>
        </w:rPr>
        <w:t xml:space="preserve"> יותר </w:t>
      </w:r>
      <w:proofErr w:type="spellStart"/>
      <w:r>
        <w:rPr>
          <w:rtl/>
        </w:rPr>
        <w:t>מבישיבתו</w:t>
      </w:r>
      <w:proofErr w:type="spellEnd"/>
      <w:r>
        <w:rPr>
          <w:rtl/>
        </w:rPr>
        <w:t xml:space="preserve"> הקיימת </w:t>
      </w:r>
      <w:proofErr w:type="spellStart"/>
      <w:r>
        <w:rPr>
          <w:rtl/>
        </w:rPr>
        <w:t>בהלוסק</w:t>
      </w:r>
      <w:proofErr w:type="spellEnd"/>
      <w:r>
        <w:rPr>
          <w:rtl/>
        </w:rPr>
        <w:t>. כשהזדמן לו, מצא את רבו ביחידות ואמר: “ומה עם תלמידך האמיתי?” – והתכוון לעצמו.</w:t>
      </w:r>
      <w:bookmarkStart w:id="3094" w:name="_fnr2208"/>
      <w:bookmarkStart w:id="3095" w:name="pr_f_2113"/>
      <w:r>
        <w:rPr>
          <w:rStyle w:val="a5"/>
        </w:rPr>
        <w:footnoteReference w:id="2214" w:customMarkFollows="0"/>
      </w:r>
      <w:bookmarkEnd w:id="3094"/>
      <w:bookmarkEnd w:id="3095"/>
      <w:r>
        <w:rPr>
          <w:rtl/>
        </w:rPr>
        <w:t xml:space="preserve"> ר׳ חיים לא השיב עד הפעם הבאה שהיו לבדם. אז אחז בדשי בגדו של תלמידו, טלטל אותו ואמר:</w:t>
      </w:r>
    </w:p>
    <w:p w14:paraId="3DC94844" w14:textId="77777777" w:rsidR="00AB3647" w:rsidRDefault="00000000" w:rsidP="007923E9">
      <w:pPr>
        <w:spacing w:after="120" w:line="276" w:lineRule="auto"/>
        <w:ind w:firstLine="283"/>
        <w:jc w:val="both"/>
      </w:pPr>
      <w:r>
        <w:rPr>
          <w:rtl/>
        </w:rPr>
        <w:t>“אני מבטיח לך שעוד אלפים של תלמידים יאכלו על שולחנך [ישמעו את שיעוריך].”</w:t>
      </w:r>
      <w:bookmarkStart w:id="3096" w:name="_fnr2209"/>
      <w:r>
        <w:rPr>
          <w:rStyle w:val="a5"/>
        </w:rPr>
        <w:footnoteReference w:id="2215" w:customMarkFollows="0"/>
      </w:r>
      <w:bookmarkEnd w:id="3096"/>
      <w:r>
        <w:rPr>
          <w:rtl/>
        </w:rPr>
        <w:t xml:space="preserve"> </w:t>
      </w:r>
      <w:bookmarkStart w:id="3097" w:name="_fnr2210"/>
      <w:bookmarkStart w:id="3098" w:name="pr_f_2115"/>
      <w:r>
        <w:rPr>
          <w:rStyle w:val="a5"/>
        </w:rPr>
        <w:footnoteReference w:id="2216" w:customMarkFollows="0"/>
      </w:r>
      <w:bookmarkEnd w:id="3097"/>
      <w:bookmarkEnd w:id="3098"/>
    </w:p>
    <w:p w14:paraId="6DE63204" w14:textId="77777777" w:rsidR="00AB3647" w:rsidRDefault="00000000" w:rsidP="007923E9">
      <w:pPr>
        <w:spacing w:after="120" w:line="276" w:lineRule="auto"/>
        <w:ind w:firstLine="283"/>
        <w:jc w:val="both"/>
      </w:pPr>
      <w:r>
        <w:rPr>
          <w:rtl/>
        </w:rPr>
        <w:t xml:space="preserve">מינויו של ר׳ </w:t>
      </w:r>
      <w:proofErr w:type="spellStart"/>
      <w:r>
        <w:rPr>
          <w:rtl/>
        </w:rPr>
        <w:t>ברוך־בער</w:t>
      </w:r>
      <w:proofErr w:type="spellEnd"/>
      <w:r>
        <w:rPr>
          <w:rtl/>
        </w:rPr>
        <w:t xml:space="preserve"> לכנסת בית יצחק סימן את תחילת הגשמת תחזיתו של ר׳ חיים, שלתלמידו יהיו תלמידים רבים. עם הוצאת ספרו הראשון של ר׳ </w:t>
      </w:r>
      <w:proofErr w:type="spellStart"/>
      <w:r>
        <w:rPr>
          <w:rtl/>
        </w:rPr>
        <w:t>ברוך־בער</w:t>
      </w:r>
      <w:proofErr w:type="spellEnd"/>
      <w:r>
        <w:rPr>
          <w:rtl/>
        </w:rPr>
        <w:t>, שלוש שנים לפני פטירתו, ועם ספריו הנוספים שהמשיכו לצאת,</w:t>
      </w:r>
      <w:bookmarkStart w:id="3099" w:name="_fnr2211"/>
      <w:r>
        <w:rPr>
          <w:rStyle w:val="a5"/>
        </w:rPr>
        <w:footnoteReference w:id="2217" w:customMarkFollows="0"/>
      </w:r>
      <w:bookmarkEnd w:id="3099"/>
      <w:r>
        <w:rPr>
          <w:rtl/>
        </w:rPr>
        <w:t xml:space="preserve"> הגיע מספר “האוכלים על שולחנו” לאחר פטירתו לרבבות. לפי “ר׳ ברוך בר”,</w:t>
      </w:r>
      <w:bookmarkStart w:id="3100" w:name="_fnr2212"/>
      <w:r>
        <w:rPr>
          <w:rStyle w:val="a5"/>
        </w:rPr>
        <w:footnoteReference w:id="2218" w:customMarkFollows="0"/>
      </w:r>
      <w:bookmarkEnd w:id="3100"/>
      <w:r>
        <w:rPr>
          <w:rtl/>
        </w:rPr>
        <w:t xml:space="preserve"> גם ר׳ חיים עצמו סייע לתלמידו בניהול כנסת בית יצחק, כששניהם גלו עם הישיבה למינסק במלחמת העולם הראשונה.</w:t>
      </w:r>
    </w:p>
    <w:p w14:paraId="3319B113" w14:textId="77777777" w:rsidR="00AB3647" w:rsidRDefault="00000000" w:rsidP="007923E9">
      <w:pPr>
        <w:spacing w:after="120" w:line="276" w:lineRule="auto"/>
        <w:ind w:firstLine="283"/>
        <w:jc w:val="both"/>
      </w:pPr>
      <w:r>
        <w:rPr>
          <w:rtl/>
        </w:rPr>
        <w:lastRenderedPageBreak/>
        <w:t xml:space="preserve">למרות דעתו של ר׳ </w:t>
      </w:r>
      <w:proofErr w:type="spellStart"/>
      <w:r>
        <w:rPr>
          <w:rtl/>
        </w:rPr>
        <w:t>ברוך־בער</w:t>
      </w:r>
      <w:proofErr w:type="spellEnd"/>
      <w:r>
        <w:rPr>
          <w:rtl/>
        </w:rPr>
        <w:t xml:space="preserve"> על עצמו, בעיני אבי היה ר׳ </w:t>
      </w:r>
      <w:proofErr w:type="spellStart"/>
      <w:r>
        <w:rPr>
          <w:rtl/>
        </w:rPr>
        <w:t>איסר־זלמן</w:t>
      </w:r>
      <w:proofErr w:type="spellEnd"/>
      <w:r>
        <w:rPr>
          <w:rtl/>
        </w:rPr>
        <w:t xml:space="preserve"> תלמידו הראשון במעלה של ר׳ חיים </w:t>
      </w:r>
      <w:proofErr w:type="spellStart"/>
      <w:r>
        <w:rPr>
          <w:rtl/>
        </w:rPr>
        <w:t>בוולוז׳ין</w:t>
      </w:r>
      <w:proofErr w:type="spellEnd"/>
      <w:r>
        <w:rPr>
          <w:rtl/>
        </w:rPr>
        <w:t xml:space="preserve">. </w:t>
      </w:r>
      <w:proofErr w:type="spellStart"/>
      <w:r>
        <w:rPr>
          <w:rtl/>
        </w:rPr>
        <w:t>הנצי״ב</w:t>
      </w:r>
      <w:proofErr w:type="spellEnd"/>
      <w:r>
        <w:rPr>
          <w:rtl/>
        </w:rPr>
        <w:t xml:space="preserve"> מתח ביקורת דווקא על כך שר׳ חיים היה פונה תמיד אל ר׳ </w:t>
      </w:r>
      <w:proofErr w:type="spellStart"/>
      <w:r>
        <w:rPr>
          <w:rtl/>
        </w:rPr>
        <w:t>איסר־זלמן</w:t>
      </w:r>
      <w:proofErr w:type="spellEnd"/>
      <w:r>
        <w:rPr>
          <w:rtl/>
        </w:rPr>
        <w:t xml:space="preserve"> – </w:t>
      </w:r>
      <w:r>
        <w:rPr>
          <w:b/>
          <w:bCs/>
          <w:rtl/>
        </w:rPr>
        <w:t xml:space="preserve">ולא אל ר׳ </w:t>
      </w:r>
      <w:proofErr w:type="spellStart"/>
      <w:r>
        <w:rPr>
          <w:b/>
          <w:bCs/>
          <w:rtl/>
        </w:rPr>
        <w:t>ברוך־בער</w:t>
      </w:r>
      <w:proofErr w:type="spellEnd"/>
      <w:r>
        <w:rPr>
          <w:rtl/>
        </w:rPr>
        <w:t xml:space="preserve"> – ומדבר עמו בלימוד. הוא עשה זאת במשחק מילים: “ר׳ חיים </w:t>
      </w:r>
      <w:proofErr w:type="spellStart"/>
      <w:r>
        <w:rPr>
          <w:rtl/>
        </w:rPr>
        <w:t>בצוארו</w:t>
      </w:r>
      <w:proofErr w:type="spellEnd"/>
      <w:r>
        <w:rPr>
          <w:rtl/>
        </w:rPr>
        <w:t xml:space="preserve"> ויעסוק בתורה”?!</w:t>
      </w:r>
      <w:bookmarkStart w:id="3101" w:name="_fnr2213"/>
      <w:r>
        <w:rPr>
          <w:rStyle w:val="a5"/>
        </w:rPr>
        <w:footnoteReference w:id="2219" w:customMarkFollows="0"/>
      </w:r>
      <w:bookmarkEnd w:id="3101"/>
      <w:r>
        <w:rPr>
          <w:rtl/>
        </w:rPr>
        <w:t xml:space="preserve"> כוונת </w:t>
      </w:r>
      <w:proofErr w:type="spellStart"/>
      <w:r>
        <w:rPr>
          <w:rtl/>
        </w:rPr>
        <w:t>הנצי״ב</w:t>
      </w:r>
      <w:proofErr w:type="spellEnd"/>
      <w:r>
        <w:rPr>
          <w:rtl/>
        </w:rPr>
        <w:t xml:space="preserve"> הייתה שר׳ </w:t>
      </w:r>
      <w:proofErr w:type="spellStart"/>
      <w:r>
        <w:rPr>
          <w:rtl/>
        </w:rPr>
        <w:t>איסר־זלמן</w:t>
      </w:r>
      <w:proofErr w:type="spellEnd"/>
      <w:r>
        <w:rPr>
          <w:rtl/>
        </w:rPr>
        <w:t xml:space="preserve"> עסוק כל כך בדיבור עם ר׳ חיים – בלימוד, כמובן – ובשמיעת חידושיו, עד שאין לו פנאי ללמוד בעצמו.</w:t>
      </w:r>
    </w:p>
    <w:p w14:paraId="7BAAF5D9" w14:textId="177F14C8" w:rsidR="00AB3647" w:rsidRDefault="00000000" w:rsidP="007923E9">
      <w:pPr>
        <w:spacing w:after="120" w:line="276" w:lineRule="auto"/>
        <w:ind w:firstLine="283"/>
        <w:jc w:val="both"/>
      </w:pPr>
      <w:r>
        <w:rPr>
          <w:rtl/>
        </w:rPr>
        <w:t xml:space="preserve">השווה גם סוף </w:t>
      </w:r>
      <w:r>
        <w:rPr>
          <w:rtl/>
        </w:rPr>
        <w:fldChar w:fldCharType="begin" w:dirty="true"/>
      </w:r>
      <w:r>
        <w:rPr>
          <w:rtl/>
        </w:rPr>
        <w:instrText xml:space="preserve"> REF b3_excCC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כט</w:t>
      </w:r>
      <w:proofErr w:type="spellEnd"/>
      <w:r>
        <w:rPr>
          <w:rtl/>
        </w:rPr>
        <w:fldChar w:fldCharType="end"/>
      </w:r>
      <w:r>
        <w:rPr>
          <w:rtl/>
        </w:rPr>
        <w:t xml:space="preserve"> להלן, </w:t>
      </w:r>
      <w:proofErr w:type="spellStart"/>
      <w:r>
        <w:rPr>
          <w:rtl/>
        </w:rPr>
        <w:t>ו“ספר</w:t>
      </w:r>
      <w:proofErr w:type="spellEnd"/>
      <w:r>
        <w:rPr>
          <w:rtl/>
        </w:rPr>
        <w:t xml:space="preserve"> פניני רבנו </w:t>
      </w:r>
      <w:proofErr w:type="spellStart"/>
      <w:r>
        <w:rPr>
          <w:rtl/>
        </w:rPr>
        <w:t>הגרי״ז</w:t>
      </w:r>
      <w:proofErr w:type="spellEnd"/>
      <w:r>
        <w:rPr>
          <w:rtl/>
        </w:rPr>
        <w:t xml:space="preserve"> </w:t>
      </w:r>
      <w:proofErr w:type="spellStart"/>
      <w:r>
        <w:rPr>
          <w:rtl/>
        </w:rPr>
        <w:t>הגאב״ד</w:t>
      </w:r>
      <w:proofErr w:type="spellEnd"/>
      <w:r>
        <w:rPr>
          <w:rtl/>
        </w:rPr>
        <w:t xml:space="preserve"> </w:t>
      </w:r>
      <w:proofErr w:type="spellStart"/>
      <w:r>
        <w:rPr>
          <w:rtl/>
        </w:rPr>
        <w:t>מבריסק</w:t>
      </w:r>
      <w:proofErr w:type="spellEnd"/>
      <w:r>
        <w:rPr>
          <w:rtl/>
        </w:rPr>
        <w:t xml:space="preserve">” מאת משה מרדכי הלוי </w:t>
      </w:r>
      <w:proofErr w:type="spellStart"/>
      <w:r>
        <w:rPr>
          <w:rtl/>
        </w:rPr>
        <w:t>שולזינגר</w:t>
      </w:r>
      <w:proofErr w:type="spellEnd"/>
      <w:r>
        <w:rPr>
          <w:rtl/>
        </w:rPr>
        <w:t>,</w:t>
      </w:r>
      <w:bookmarkStart w:id="3102" w:name="_fnr2214"/>
      <w:r>
        <w:rPr>
          <w:rStyle w:val="a5"/>
        </w:rPr>
        <w:footnoteReference w:id="2220" w:customMarkFollows="0"/>
      </w:r>
      <w:bookmarkEnd w:id="3102"/>
      <w:r>
        <w:rPr>
          <w:rtl/>
        </w:rPr>
        <w:t xml:space="preserve"> המתאר את הרגלו של ר׳ חיים להניח יד אוהבת סביב צווארו של </w:t>
      </w:r>
      <w:proofErr w:type="spellStart"/>
      <w:r>
        <w:rPr>
          <w:rtl/>
        </w:rPr>
        <w:t>בן־שיחו</w:t>
      </w:r>
      <w:proofErr w:type="spellEnd"/>
      <w:r>
        <w:rPr>
          <w:rtl/>
        </w:rPr>
        <w:t xml:space="preserve"> בדיונים תורניים שלושה עשורים לאחר מכן. הספר מצטט את זיכרונות ילדותו של ר׳ </w:t>
      </w:r>
      <w:proofErr w:type="spellStart"/>
      <w:r>
        <w:rPr>
          <w:rtl/>
        </w:rPr>
        <w:t>יעקב־אלחנן</w:t>
      </w:r>
      <w:proofErr w:type="spellEnd"/>
      <w:r>
        <w:rPr>
          <w:rtl/>
        </w:rPr>
        <w:t xml:space="preserve"> </w:t>
      </w:r>
      <w:proofErr w:type="spellStart"/>
      <w:r>
        <w:rPr>
          <w:rtl/>
        </w:rPr>
        <w:t>שולזינגר</w:t>
      </w:r>
      <w:proofErr w:type="spellEnd"/>
      <w:r>
        <w:rPr>
          <w:rtl/>
        </w:rPr>
        <w:t xml:space="preserve"> </w:t>
      </w:r>
      <w:proofErr w:type="spellStart"/>
      <w:r>
        <w:rPr>
          <w:rtl/>
        </w:rPr>
        <w:t>מבריסק</w:t>
      </w:r>
      <w:proofErr w:type="spellEnd"/>
      <w:r>
        <w:rPr>
          <w:rtl/>
        </w:rPr>
        <w:t xml:space="preserve"> שלפני מלחמת העולם הראשונה:</w:t>
      </w:r>
    </w:p>
    <w:p w14:paraId="68A67EC4" w14:textId="77777777" w:rsidR="00AB3647" w:rsidRDefault="00000000" w:rsidP="007923E9">
      <w:pPr>
        <w:spacing w:after="120" w:line="276" w:lineRule="auto"/>
        <w:ind w:firstLine="283"/>
        <w:jc w:val="both"/>
      </w:pPr>
      <w:bookmarkStart w:id="3103" w:name="pr_b_1326"/>
      <w:bookmarkEnd w:id="3103"/>
      <w:r>
        <w:rPr>
          <w:rtl/>
        </w:rPr>
        <w:t>“בכל פעם ששאל מישהו את ר׳ חיים שאלה בלימוד התורה, היה הוא מניח את ידו הקדושה על כתפו או על צווארו של השואל באהבה, בחיבה ובשמחה, ומטייל עמו הלוך ושוב כשני ידידים ותיקים ואוהבים; ובמהלך הטיול הנעים הזה היה משיב על השאלה במתיקות, בנעימות ובחן, בחריפותו הידועה ובהבנתו המיוחדת של ר׳ חיים.</w:t>
      </w:r>
      <w:bookmarkStart w:id="3104" w:name="_fnr2215"/>
      <w:r>
        <w:rPr>
          <w:rStyle w:val="a5"/>
        </w:rPr>
        <w:footnoteReference w:id="2221" w:customMarkFollows="0"/>
      </w:r>
      <w:bookmarkEnd w:id="3104"/>
      <w:r>
        <w:rPr>
          <w:rtl/>
        </w:rPr>
        <w:t xml:space="preserve"> ליבו של השואל היה מתמלא שמחה ועונג על שזכה ליחס מכבד ואוהב תורה כזה מגדול הדור.”</w:t>
      </w:r>
    </w:p>
    <w:p w14:paraId="565A05A3" w14:textId="77777777" w:rsidR="00AB3647" w:rsidRDefault="00000000" w:rsidP="007923E9">
      <w:pPr>
        <w:spacing w:after="120" w:line="276" w:lineRule="auto"/>
        <w:ind w:firstLine="283"/>
        <w:jc w:val="both"/>
      </w:pPr>
      <w:r>
        <w:rPr>
          <w:rtl/>
        </w:rPr>
        <w:t xml:space="preserve">אבא </w:t>
      </w:r>
      <w:proofErr w:type="spellStart"/>
      <w:r>
        <w:rPr>
          <w:rtl/>
        </w:rPr>
        <w:t>בלושר</w:t>
      </w:r>
      <w:proofErr w:type="spellEnd"/>
      <w:r>
        <w:rPr>
          <w:rtl/>
        </w:rPr>
        <w:t xml:space="preserve">, במאמר “ביאליק </w:t>
      </w:r>
      <w:proofErr w:type="spellStart"/>
      <w:r>
        <w:rPr>
          <w:rtl/>
        </w:rPr>
        <w:t>בולוז׳ין</w:t>
      </w:r>
      <w:proofErr w:type="spellEnd"/>
      <w:r>
        <w:rPr>
          <w:rtl/>
        </w:rPr>
        <w:t xml:space="preserve">” </w:t>
      </w:r>
      <w:proofErr w:type="spellStart"/>
      <w:r>
        <w:rPr>
          <w:rtl/>
        </w:rPr>
        <w:t>ב“מאזנים</w:t>
      </w:r>
      <w:proofErr w:type="spellEnd"/>
      <w:r>
        <w:rPr>
          <w:rtl/>
        </w:rPr>
        <w:t>, כרך רביעי”,</w:t>
      </w:r>
      <w:bookmarkStart w:id="3105" w:name="_fnr2216"/>
      <w:r>
        <w:rPr>
          <w:rStyle w:val="a5"/>
        </w:rPr>
        <w:footnoteReference w:id="2222" w:customMarkFollows="0"/>
      </w:r>
      <w:bookmarkEnd w:id="3105"/>
      <w:r>
        <w:rPr>
          <w:rtl/>
        </w:rPr>
        <w:t xml:space="preserve"> מתאר כך את ר׳ חיים בשנתו האחרונה </w:t>
      </w:r>
      <w:proofErr w:type="spellStart"/>
      <w:r>
        <w:rPr>
          <w:rtl/>
        </w:rPr>
        <w:t>בוולוז׳ין</w:t>
      </w:r>
      <w:proofErr w:type="spellEnd"/>
      <w:r>
        <w:rPr>
          <w:rtl/>
        </w:rPr>
        <w:t>: “התלמידים המצוינים, אלה שהכינו עצמם לעשות את התורה אומנותם, היו דבקים בו תמיד וסובבים אותו בכל מקום כדי לשמוע תורה מפיו. הם היו באים גם לביתו לדון עמו בדברי תורה, ובכל פעם יצאו עם דבר הלכה שיש בו חידוש או חריפות. ואם היה בחור שר׳ חיים מצא בו כישרון, היה מתיידד עמו ומראה לו חיבה מיוחדת, מתייחד עמו ומטייל עמו בחוץ, ידו מונחת בחיבה על כתף [התלמיד], באהבה ובחיבוק, ומשפיע עליו תורה בשפע. מי שלא התעתדו להיכנס לרבנות לא נדחקו לחברתו מיוזמתם, אלא באו אליו לפי הזמנת המשגיח, כדי שר׳ חיים יוכל ‘לעמוד על טיבם’. ליבם של אלה לא היה גס בו, והם עמדו לפניו במבוכה המעידה על יראת כבוד. אך גם להם היה מאיר פנים ומשפיע עליהם מטובו, כל אחד לפי מידת הבנתו.”</w:t>
      </w:r>
    </w:p>
    <w:p w14:paraId="56970F49" w14:textId="77777777" w:rsidR="00AB3647" w:rsidRDefault="00000000" w:rsidP="007923E9">
      <w:pPr>
        <w:spacing w:after="120" w:line="276" w:lineRule="auto"/>
        <w:ind w:firstLine="283"/>
        <w:jc w:val="both"/>
      </w:pPr>
      <w:r>
        <w:rPr>
          <w:rtl/>
        </w:rPr>
        <w:t xml:space="preserve">ייתכן שהקורא יתעניין בתנוחתו של ר׳ חיים </w:t>
      </w:r>
      <w:proofErr w:type="spellStart"/>
      <w:r>
        <w:rPr>
          <w:rtl/>
        </w:rPr>
        <w:t>כשלא</w:t>
      </w:r>
      <w:proofErr w:type="spellEnd"/>
      <w:r>
        <w:rPr>
          <w:rtl/>
        </w:rPr>
        <w:t xml:space="preserve"> דיבר בלימוד עם תלמידיו. </w:t>
      </w:r>
      <w:proofErr w:type="spellStart"/>
      <w:r>
        <w:rPr>
          <w:rtl/>
        </w:rPr>
        <w:t>בלושר</w:t>
      </w:r>
      <w:proofErr w:type="spellEnd"/>
      <w:r>
        <w:rPr>
          <w:rtl/>
        </w:rPr>
        <w:t xml:space="preserve"> ממשיך:</w:t>
      </w:r>
      <w:bookmarkStart w:id="3106" w:name="_fnr2217"/>
      <w:r>
        <w:rPr>
          <w:rStyle w:val="a5"/>
        </w:rPr>
        <w:footnoteReference w:id="2223" w:customMarkFollows="0"/>
      </w:r>
      <w:bookmarkEnd w:id="3106"/>
      <w:r>
        <w:rPr>
          <w:rtl/>
        </w:rPr>
        <w:t xml:space="preserve"> “וכשר׳ חיים למד לבדו, העדיף ללמוד בשתיקה ובעל פה, בעמידה או בהליכה. אך לפעמים היה יושב על ספסל כשברכיו זקופות וצמודות זו לזו, והוא אוחז בהן בשתי ידיו. פלג גופו העליון</w:t>
      </w:r>
      <w:r>
        <w:t xml:space="preserve"> </w:t>
      </w:r>
      <w:r>
        <w:rPr>
          <w:rtl/>
        </w:rPr>
        <w:t>היה כפוף מטה, וראשו כמעט נוגע בברכיו – הכול במעגל. כך היה יושב שעות על גבי שעות, שקוע במחשבה ובהתבוננות בענייני תורה.”</w:t>
      </w:r>
    </w:p>
    <w:p w14:paraId="7C3251E3" w14:textId="77777777" w:rsidR="00AB3647" w:rsidRDefault="00000000" w:rsidP="007923E9">
      <w:pPr>
        <w:spacing w:after="120" w:line="276" w:lineRule="auto"/>
        <w:ind w:firstLine="283"/>
        <w:jc w:val="both"/>
      </w:pPr>
      <w:r>
        <w:rPr>
          <w:rtl/>
        </w:rPr>
        <w:lastRenderedPageBreak/>
        <w:t>על תנוחתו של ר׳ חיים ועל ההשפעה הגופנית שחולל ריכוזו השווה גם “תורת חיים”.</w:t>
      </w:r>
      <w:bookmarkStart w:id="3107" w:name="_fnr2218"/>
      <w:r>
        <w:rPr>
          <w:rStyle w:val="a5"/>
        </w:rPr>
        <w:footnoteReference w:id="2224" w:customMarkFollows="0"/>
      </w:r>
      <w:bookmarkEnd w:id="3107"/>
      <w:r>
        <w:rPr>
          <w:rtl/>
        </w:rPr>
        <w:t xml:space="preserve"> ובאשר לנטייתו ללמוד בעל פה, בלי טקסט לנגד עיניו – מעניין שגם בתפילה העדיף ר׳ חיים שלא יהיה הטקסט לפניו [ואפילו בתפילות הימים הנוראים], משום שהדבר הסיח את דעתו מכוונתו.</w:t>
      </w:r>
      <w:bookmarkStart w:id="3108" w:name="_fnr2219"/>
      <w:r>
        <w:rPr>
          <w:rStyle w:val="a5"/>
        </w:rPr>
        <w:footnoteReference w:id="2225" w:customMarkFollows="0"/>
      </w:r>
      <w:bookmarkEnd w:id="3108"/>
    </w:p>
    <w:p w14:paraId="317C60A9" w14:textId="77777777" w:rsidR="00AB3647" w:rsidRDefault="00000000" w:rsidP="007923E9">
      <w:pPr>
        <w:spacing w:after="120" w:line="276" w:lineRule="auto"/>
        <w:ind w:firstLine="283"/>
        <w:jc w:val="both"/>
      </w:pPr>
      <w:r>
        <w:rPr>
          <w:rtl/>
        </w:rPr>
        <w:t xml:space="preserve">באשר לדעת רבנו שר׳ </w:t>
      </w:r>
      <w:proofErr w:type="spellStart"/>
      <w:r>
        <w:rPr>
          <w:rtl/>
        </w:rPr>
        <w:t>איסר־זלמן</w:t>
      </w:r>
      <w:proofErr w:type="spellEnd"/>
      <w:r>
        <w:rPr>
          <w:rtl/>
        </w:rPr>
        <w:t xml:space="preserve"> היה תלמידו הראשון במעלה של ר׳ חיים </w:t>
      </w:r>
      <w:proofErr w:type="spellStart"/>
      <w:r>
        <w:rPr>
          <w:rtl/>
        </w:rPr>
        <w:t>סולובייצ׳יק</w:t>
      </w:r>
      <w:proofErr w:type="spellEnd"/>
      <w:r>
        <w:rPr>
          <w:rtl/>
        </w:rPr>
        <w:t xml:space="preserve"> – ר׳ חיים עצמו סבר, לפי “שמושה של תורה”</w:t>
      </w:r>
      <w:bookmarkStart w:id="3109" w:name="_fnr2220"/>
      <w:r>
        <w:rPr>
          <w:rStyle w:val="a5"/>
        </w:rPr>
        <w:footnoteReference w:id="2226" w:customMarkFollows="0"/>
      </w:r>
      <w:bookmarkEnd w:id="3109"/>
      <w:r>
        <w:rPr>
          <w:rtl/>
        </w:rPr>
        <w:t xml:space="preserve"> (בשם בנו ר׳ יצחק־זאב), שר׳ </w:t>
      </w:r>
      <w:proofErr w:type="spellStart"/>
      <w:r>
        <w:rPr>
          <w:rtl/>
        </w:rPr>
        <w:t>איסר־זלמן</w:t>
      </w:r>
      <w:proofErr w:type="spellEnd"/>
      <w:r>
        <w:rPr>
          <w:rtl/>
        </w:rPr>
        <w:t xml:space="preserve"> לא הלך בדרכו בשלמות: “אחרת היה גאון עולם. יש לו דרך סברה אחרת, שצדקותו מחייבת אותו לומר שכוונתו האמיתית של הרמב״ם שונה מפירושי לפסקו”, אמר ר׳ חיים.</w:t>
      </w:r>
      <w:bookmarkStart w:id="3110" w:name="_fnr2221"/>
      <w:r>
        <w:rPr>
          <w:rStyle w:val="a5"/>
        </w:rPr>
        <w:footnoteReference w:id="2227" w:customMarkFollows="0"/>
      </w:r>
      <w:bookmarkEnd w:id="3110"/>
    </w:p>
    <w:p w14:paraId="0B94FC27" w14:textId="77777777" w:rsidR="00AB3647" w:rsidRDefault="00000000" w:rsidP="007923E9">
      <w:pPr>
        <w:pStyle w:val="4"/>
        <w:spacing w:line="276" w:lineRule="auto"/>
      </w:pPr>
      <w:r>
        <w:t>· הפסקה השנייה ·</w:t>
      </w:r>
    </w:p>
    <w:p w14:paraId="6D9A25F4" w14:textId="77777777" w:rsidR="00AB3647" w:rsidRDefault="00000000" w:rsidP="007923E9">
      <w:pPr>
        <w:pStyle w:val="5"/>
        <w:spacing w:line="276" w:lineRule="auto"/>
      </w:pPr>
      <w:r>
        <w:t xml:space="preserve">ר׳ יעקב הלוי ליפשיץ בעל ההשפעה ממליץ על ר׳ </w:t>
      </w:r>
      <w:proofErr w:type="spellStart"/>
      <w:r>
        <w:t>ברוך־בער</w:t>
      </w:r>
      <w:proofErr w:type="spellEnd"/>
      <w:r>
        <w:t xml:space="preserve"> למשרה </w:t>
      </w:r>
      <w:proofErr w:type="spellStart"/>
      <w:r>
        <w:t>בסלבודקה</w:t>
      </w:r>
      <w:proofErr w:type="spellEnd"/>
    </w:p>
    <w:p w14:paraId="4DAEEDE9" w14:textId="77777777" w:rsidR="00AB3647" w:rsidRDefault="00000000" w:rsidP="007923E9">
      <w:pPr>
        <w:spacing w:after="120" w:line="276" w:lineRule="auto"/>
        <w:ind w:firstLine="283"/>
        <w:jc w:val="both"/>
      </w:pPr>
      <w:r>
        <w:rPr>
          <w:rtl/>
        </w:rPr>
        <w:t>ר׳ יעקב ליפשיץ סיפר לי</w:t>
      </w:r>
      <w:bookmarkStart w:id="3111" w:name="_fnr2222"/>
      <w:r>
        <w:rPr>
          <w:rStyle w:val="a5"/>
        </w:rPr>
        <w:footnoteReference w:id="2228" w:customMarkFollows="0"/>
      </w:r>
      <w:bookmarkEnd w:id="3111"/>
      <w:r>
        <w:rPr>
          <w:rtl/>
        </w:rPr>
        <w:t xml:space="preserve"> שסבו ר׳ יעקב הלוי ליפשיץ,</w:t>
      </w:r>
      <w:bookmarkStart w:id="3112" w:name="_fnr2223"/>
      <w:r>
        <w:rPr>
          <w:rStyle w:val="a5"/>
        </w:rPr>
        <w:footnoteReference w:id="2229" w:customMarkFollows="0"/>
      </w:r>
      <w:bookmarkEnd w:id="3112"/>
      <w:r>
        <w:rPr>
          <w:rtl/>
        </w:rPr>
        <w:t xml:space="preserve"> שעל שמו נקרא, פעל להשגת המשרה </w:t>
      </w:r>
      <w:proofErr w:type="spellStart"/>
      <w:r>
        <w:rPr>
          <w:rtl/>
        </w:rPr>
        <w:t>בסלבודקה</w:t>
      </w:r>
      <w:proofErr w:type="spellEnd"/>
      <w:r>
        <w:rPr>
          <w:rtl/>
        </w:rPr>
        <w:t xml:space="preserve"> </w:t>
      </w:r>
      <w:proofErr w:type="spellStart"/>
      <w:r>
        <w:rPr>
          <w:rtl/>
        </w:rPr>
        <w:t>לר</w:t>
      </w:r>
      <w:proofErr w:type="spellEnd"/>
      <w:r>
        <w:rPr>
          <w:rtl/>
        </w:rPr>
        <w:t xml:space="preserve">׳ </w:t>
      </w:r>
      <w:proofErr w:type="spellStart"/>
      <w:r>
        <w:rPr>
          <w:rtl/>
        </w:rPr>
        <w:t>ברוך־בער</w:t>
      </w:r>
      <w:proofErr w:type="spellEnd"/>
      <w:r>
        <w:rPr>
          <w:rtl/>
        </w:rPr>
        <w:t xml:space="preserve">. ר׳ יצחק </w:t>
      </w:r>
      <w:proofErr w:type="spellStart"/>
      <w:r>
        <w:rPr>
          <w:rtl/>
        </w:rPr>
        <w:t>טורץ</w:t>
      </w:r>
      <w:proofErr w:type="spellEnd"/>
      <w:r>
        <w:rPr>
          <w:rtl/>
        </w:rPr>
        <w:t xml:space="preserve"> סיפר אף הוא </w:t>
      </w:r>
      <w:proofErr w:type="spellStart"/>
      <w:r>
        <w:rPr>
          <w:rtl/>
        </w:rPr>
        <w:t>לר</w:t>
      </w:r>
      <w:proofErr w:type="spellEnd"/>
      <w:r>
        <w:rPr>
          <w:rtl/>
        </w:rPr>
        <w:t xml:space="preserve">׳ יעקב שבכל פעם שפגש חותנו, ר׳ </w:t>
      </w:r>
      <w:proofErr w:type="spellStart"/>
      <w:r>
        <w:rPr>
          <w:rtl/>
        </w:rPr>
        <w:t>ברוך־בער</w:t>
      </w:r>
      <w:proofErr w:type="spellEnd"/>
      <w:r>
        <w:rPr>
          <w:rtl/>
        </w:rPr>
        <w:t>, את ר׳ יעקב הלוי, היה מרעיף עליו חיבוקים ונשיקות, מתוך הכרת טובה עמוקה על שאִפשר לו לעזוב את משרתו ברבנות ולהקדיש עצמו לתלמידים.</w:t>
      </w:r>
      <w:bookmarkStart w:id="3113" w:name="_fnr2224"/>
      <w:r>
        <w:rPr>
          <w:rStyle w:val="a5"/>
        </w:rPr>
        <w:footnoteReference w:id="2230" w:customMarkFollows="0"/>
      </w:r>
      <w:bookmarkEnd w:id="3113"/>
    </w:p>
    <w:p w14:paraId="4AE9EF9E" w14:textId="014D068A" w:rsidR="00AB3647" w:rsidRDefault="00000000" w:rsidP="007923E9">
      <w:pPr>
        <w:spacing w:after="120" w:line="276" w:lineRule="auto"/>
        <w:ind w:firstLine="283"/>
        <w:jc w:val="both"/>
      </w:pPr>
      <w:r>
        <w:rPr>
          <w:rtl/>
        </w:rPr>
        <w:t xml:space="preserve">ר׳ יעקב הלוי ליפשיץ קיים קשר מיוחד עם ר׳ חיים </w:t>
      </w:r>
      <w:proofErr w:type="spellStart"/>
      <w:r>
        <w:rPr>
          <w:rtl/>
        </w:rPr>
        <w:t>סולובייצ׳יק</w:t>
      </w:r>
      <w:proofErr w:type="spellEnd"/>
      <w:r>
        <w:rPr>
          <w:rtl/>
        </w:rPr>
        <w:t>, כמתואר ב</w:t>
      </w:r>
      <w:r>
        <w:rPr>
          <w:rtl/>
        </w:rPr>
        <w:fldChar w:fldCharType="begin" w:dirty="true"/>
      </w:r>
      <w:r>
        <w:rPr>
          <w:rtl/>
        </w:rPr>
        <w:instrText xml:space="preserve"> REF b3_excL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יב</w:t>
      </w:r>
      <w:proofErr w:type="spellEnd"/>
      <w:r>
        <w:rPr>
          <w:rtl/>
        </w:rPr>
        <w:fldChar w:fldCharType="end"/>
      </w:r>
      <w:r>
        <w:rPr>
          <w:rtl/>
        </w:rPr>
        <w:t xml:space="preserve"> לעיל. לאור זה אין זו השערה רחוקה שר׳ חיים עצמו עמד מאחורי פעולתו של ר׳ יעקב הלוי ליפשיץ</w:t>
      </w:r>
      <w:r>
        <w:t xml:space="preserve"> </w:t>
      </w:r>
      <w:r>
        <w:rPr>
          <w:rtl/>
        </w:rPr>
        <w:t xml:space="preserve">להמליץ על ר׳ </w:t>
      </w:r>
      <w:proofErr w:type="spellStart"/>
      <w:r>
        <w:rPr>
          <w:rtl/>
        </w:rPr>
        <w:t>ברוך־בער</w:t>
      </w:r>
      <w:proofErr w:type="spellEnd"/>
      <w:r>
        <w:rPr>
          <w:rtl/>
        </w:rPr>
        <w:t xml:space="preserve"> למשרה </w:t>
      </w:r>
      <w:proofErr w:type="spellStart"/>
      <w:r>
        <w:rPr>
          <w:rtl/>
        </w:rPr>
        <w:t>בסלבודקה</w:t>
      </w:r>
      <w:proofErr w:type="spellEnd"/>
      <w:r>
        <w:rPr>
          <w:rtl/>
        </w:rPr>
        <w:t xml:space="preserve">. ר׳ חיים נעזר בהשפעתו של ר׳ יעקב הלוי בכנסת בית יצחק כדי לקיים את תחזיתו שלו, </w:t>
      </w:r>
      <w:proofErr w:type="spellStart"/>
      <w:r>
        <w:rPr>
          <w:rtl/>
        </w:rPr>
        <w:t>ש“עוד</w:t>
      </w:r>
      <w:proofErr w:type="spellEnd"/>
      <w:r>
        <w:rPr>
          <w:rtl/>
        </w:rPr>
        <w:t xml:space="preserve"> אלפים יאכלו על שולחנו של ר׳ </w:t>
      </w:r>
      <w:proofErr w:type="spellStart"/>
      <w:r>
        <w:rPr>
          <w:rtl/>
        </w:rPr>
        <w:t>ברוך־בער</w:t>
      </w:r>
      <w:proofErr w:type="spellEnd"/>
      <w:r>
        <w:rPr>
          <w:rtl/>
        </w:rPr>
        <w:t xml:space="preserve">”. השווה גם הערה 48 בפרק זה, שבה נאמר שר׳ חיים כנראה המליץ קודם לכן על ראש ישיבה אחר לכנסת בית יצחק, קרובו ר׳ </w:t>
      </w:r>
      <w:proofErr w:type="spellStart"/>
      <w:r>
        <w:rPr>
          <w:rtl/>
        </w:rPr>
        <w:t>זלמן־סנדר</w:t>
      </w:r>
      <w:proofErr w:type="spellEnd"/>
      <w:r>
        <w:rPr>
          <w:rtl/>
        </w:rPr>
        <w:t xml:space="preserve"> </w:t>
      </w:r>
      <w:proofErr w:type="spellStart"/>
      <w:r>
        <w:rPr>
          <w:rtl/>
        </w:rPr>
        <w:t>כהנא־שפירא</w:t>
      </w:r>
      <w:proofErr w:type="spellEnd"/>
      <w:r>
        <w:rPr>
          <w:rtl/>
        </w:rPr>
        <w:t>. סביר שגם בזה פעל באמצעות ר׳ יעקב הלוי ליפשיץ.</w:t>
      </w:r>
    </w:p>
    <w:p w14:paraId="0B9A506D" w14:textId="77777777" w:rsidR="00AB3647" w:rsidRDefault="00000000" w:rsidP="007923E9">
      <w:pPr>
        <w:pStyle w:val="4"/>
        <w:spacing w:line="276" w:lineRule="auto"/>
      </w:pPr>
      <w:r>
        <w:lastRenderedPageBreak/>
        <w:t>· הפסקה השלישית ·</w:t>
      </w:r>
    </w:p>
    <w:p w14:paraId="3A0C18C6" w14:textId="77777777" w:rsidR="00AB3647" w:rsidRDefault="00000000" w:rsidP="007923E9">
      <w:pPr>
        <w:pStyle w:val="5"/>
        <w:spacing w:line="276" w:lineRule="auto"/>
      </w:pPr>
      <w:r>
        <w:t xml:space="preserve">ר׳ </w:t>
      </w:r>
      <w:proofErr w:type="spellStart"/>
      <w:r>
        <w:t>ברוך־בער</w:t>
      </w:r>
      <w:proofErr w:type="spellEnd"/>
      <w:r>
        <w:t xml:space="preserve"> נואם בבית העירייה בניו יורק – התפעלותו מיהדות אמריקה – פגישתו עם </w:t>
      </w:r>
      <w:proofErr w:type="spellStart"/>
      <w:r>
        <w:t>חיים־נחמן</w:t>
      </w:r>
      <w:proofErr w:type="spellEnd"/>
      <w:r>
        <w:t xml:space="preserve"> ביאליק – פעמים רבות הוא רואה בדבריו נדרים – הוא משיב על עלבון בטובה</w:t>
      </w:r>
    </w:p>
    <w:p w14:paraId="7D1F4017" w14:textId="4821DEE1" w:rsidR="00AB3647" w:rsidRDefault="00000000" w:rsidP="007923E9">
      <w:pPr>
        <w:spacing w:after="120" w:line="276" w:lineRule="auto"/>
        <w:ind w:firstLine="283"/>
        <w:jc w:val="both"/>
      </w:pPr>
      <w:r>
        <w:rPr>
          <w:rtl/>
        </w:rPr>
        <w:t xml:space="preserve">לתיאור מקיף של צדקותו של ר׳ </w:t>
      </w:r>
      <w:proofErr w:type="spellStart"/>
      <w:r>
        <w:rPr>
          <w:rtl/>
        </w:rPr>
        <w:t>ברוך־בער</w:t>
      </w:r>
      <w:proofErr w:type="spellEnd"/>
      <w:r>
        <w:rPr>
          <w:rtl/>
        </w:rPr>
        <w:t xml:space="preserve">, עיין בהקדמה </w:t>
      </w:r>
      <w:proofErr w:type="spellStart"/>
      <w:r>
        <w:rPr>
          <w:rtl/>
        </w:rPr>
        <w:t>ל“ברכת</w:t>
      </w:r>
      <w:proofErr w:type="spellEnd"/>
      <w:r>
        <w:rPr>
          <w:rtl/>
        </w:rPr>
        <w:t xml:space="preserve"> שמואל, </w:t>
      </w:r>
      <w:proofErr w:type="spellStart"/>
      <w:r>
        <w:rPr>
          <w:rtl/>
        </w:rPr>
        <w:t>ח״ב</w:t>
      </w:r>
      <w:proofErr w:type="spellEnd"/>
      <w:r>
        <w:rPr>
          <w:rtl/>
        </w:rPr>
        <w:t>”,</w:t>
      </w:r>
      <w:bookmarkStart w:id="3114" w:name="_fnr2225"/>
      <w:r>
        <w:rPr>
          <w:rStyle w:val="a5"/>
        </w:rPr>
        <w:footnoteReference w:id="2231" w:customMarkFollows="0"/>
      </w:r>
      <w:bookmarkEnd w:id="3114"/>
      <w:r>
        <w:rPr>
          <w:rtl/>
        </w:rPr>
        <w:t xml:space="preserve"> שכתב חתנו ר׳ ראובן </w:t>
      </w:r>
      <w:proofErr w:type="spellStart"/>
      <w:r>
        <w:rPr>
          <w:rtl/>
        </w:rPr>
        <w:t>גרוזובסקי</w:t>
      </w:r>
      <w:proofErr w:type="spellEnd"/>
      <w:r>
        <w:rPr>
          <w:rtl/>
        </w:rPr>
        <w:t xml:space="preserve">. השווה גם </w:t>
      </w:r>
      <w:r>
        <w:rPr>
          <w:rtl/>
        </w:rPr>
        <w:fldChar w:fldCharType="begin" w:dirty="true"/>
      </w:r>
      <w:r>
        <w:rPr>
          <w:rtl/>
        </w:rPr>
        <w:instrText xml:space="preserve"> REF b3_excI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xml:space="preserve"> לעיל והערה </w:t>
      </w:r>
      <w:r>
        <w:rPr>
          <w:rtl/>
        </w:rPr>
        <w:fldChar w:fldCharType="begin" w:dirty="true"/>
      </w:r>
      <w:r>
        <w:rPr>
          <w:rtl/>
        </w:rPr>
        <w:instrText xml:space="preserve"> REF b3_note140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140</w:t>
      </w:r>
      <w:r>
        <w:rPr>
          <w:rtl/>
        </w:rPr>
        <w:fldChar w:fldCharType="end"/>
      </w:r>
      <w:r>
        <w:rPr>
          <w:rtl/>
        </w:rPr>
        <w:t xml:space="preserve"> לעיל.</w:t>
      </w:r>
    </w:p>
    <w:p w14:paraId="32EA9C3B" w14:textId="77777777" w:rsidR="00AB3647" w:rsidRDefault="00000000" w:rsidP="007923E9">
      <w:pPr>
        <w:spacing w:after="120" w:line="276" w:lineRule="auto"/>
        <w:ind w:firstLine="283"/>
        <w:jc w:val="both"/>
      </w:pPr>
      <w:r>
        <w:rPr>
          <w:rtl/>
        </w:rPr>
        <w:t xml:space="preserve">את הקדושה הניכרת בו היטיב לתאר ר׳ אשר </w:t>
      </w:r>
      <w:proofErr w:type="spellStart"/>
      <w:r>
        <w:rPr>
          <w:rtl/>
        </w:rPr>
        <w:t>צ׳צ׳יק</w:t>
      </w:r>
      <w:proofErr w:type="spellEnd"/>
      <w:r>
        <w:rPr>
          <w:rtl/>
        </w:rPr>
        <w:t xml:space="preserve"> באומרו:</w:t>
      </w:r>
      <w:bookmarkStart w:id="3115" w:name="_fnr2226"/>
      <w:r>
        <w:rPr>
          <w:rStyle w:val="a5"/>
        </w:rPr>
        <w:footnoteReference w:id="2232" w:customMarkFollows="0"/>
      </w:r>
      <w:bookmarkEnd w:id="3115"/>
      <w:r>
        <w:rPr>
          <w:rtl/>
        </w:rPr>
        <w:t xml:space="preserve"> “מי שראה את ר׳ </w:t>
      </w:r>
      <w:proofErr w:type="spellStart"/>
      <w:r>
        <w:rPr>
          <w:rtl/>
        </w:rPr>
        <w:t>ברוך־בער</w:t>
      </w:r>
      <w:proofErr w:type="spellEnd"/>
      <w:r>
        <w:rPr>
          <w:rtl/>
        </w:rPr>
        <w:t xml:space="preserve"> לא יכול לצאת מן העולם בלי הרהור תשובה.” הדברים מהדהדים את דבריו של ראש העיר הגוי ג׳ימי ווקר, בשעה שהעניק </w:t>
      </w:r>
      <w:proofErr w:type="spellStart"/>
      <w:r>
        <w:rPr>
          <w:rtl/>
        </w:rPr>
        <w:t>לר</w:t>
      </w:r>
      <w:proofErr w:type="spellEnd"/>
      <w:r>
        <w:rPr>
          <w:rtl/>
        </w:rPr>
        <w:t xml:space="preserve">׳ </w:t>
      </w:r>
      <w:proofErr w:type="spellStart"/>
      <w:r>
        <w:rPr>
          <w:rtl/>
        </w:rPr>
        <w:t>ברוך־בער</w:t>
      </w:r>
      <w:proofErr w:type="spellEnd"/>
      <w:r>
        <w:rPr>
          <w:rtl/>
        </w:rPr>
        <w:t xml:space="preserve"> את מפתח העיר עם בואו לניו יורק באביב תרפ״ח, למסע התרמה באמריקה שארך שנה וחצי: “ר׳ </w:t>
      </w:r>
      <w:proofErr w:type="spellStart"/>
      <w:r>
        <w:rPr>
          <w:rtl/>
        </w:rPr>
        <w:t>ברוך־בער</w:t>
      </w:r>
      <w:proofErr w:type="spellEnd"/>
      <w:r>
        <w:rPr>
          <w:rtl/>
        </w:rPr>
        <w:t xml:space="preserve"> </w:t>
      </w:r>
      <w:proofErr w:type="spellStart"/>
      <w:r>
        <w:rPr>
          <w:rtl/>
        </w:rPr>
        <w:t>ליבוביץ</w:t>
      </w:r>
      <w:proofErr w:type="spellEnd"/>
      <w:r>
        <w:rPr>
          <w:rtl/>
        </w:rPr>
        <w:t xml:space="preserve"> מפריך את תורת האבולוציה של דרווין: אדם קדוש כמותו יכול היה להיברא רק בידי אלוקים.”</w:t>
      </w:r>
      <w:bookmarkStart w:id="3116" w:name="_fnr2227"/>
      <w:r>
        <w:rPr>
          <w:rStyle w:val="a5"/>
        </w:rPr>
        <w:footnoteReference w:id="2233" w:customMarkFollows="0"/>
      </w:r>
      <w:bookmarkEnd w:id="3116"/>
    </w:p>
    <w:p w14:paraId="6D78503C" w14:textId="77777777" w:rsidR="00AB3647" w:rsidRDefault="00000000" w:rsidP="007923E9">
      <w:pPr>
        <w:spacing w:after="120" w:line="276" w:lineRule="auto"/>
        <w:ind w:firstLine="283"/>
        <w:jc w:val="both"/>
      </w:pPr>
      <w:r>
        <w:rPr>
          <w:rtl/>
        </w:rPr>
        <w:t xml:space="preserve">במאמר </w:t>
      </w:r>
      <w:proofErr w:type="spellStart"/>
      <w:r>
        <w:rPr>
          <w:rtl/>
        </w:rPr>
        <w:t>ב“הדואר</w:t>
      </w:r>
      <w:proofErr w:type="spellEnd"/>
      <w:r>
        <w:rPr>
          <w:rtl/>
        </w:rPr>
        <w:t xml:space="preserve"> [תשכ״ה]”</w:t>
      </w:r>
      <w:bookmarkStart w:id="3117" w:name="_fnr2228"/>
      <w:r>
        <w:rPr>
          <w:rStyle w:val="a5"/>
        </w:rPr>
        <w:footnoteReference w:id="2234" w:customMarkFollows="0"/>
      </w:r>
      <w:bookmarkEnd w:id="3117"/>
      <w:r>
        <w:rPr>
          <w:rtl/>
        </w:rPr>
        <w:t xml:space="preserve"> מעיד העיתונאי שאהב את ר׳ </w:t>
      </w:r>
      <w:proofErr w:type="spellStart"/>
      <w:r>
        <w:rPr>
          <w:rtl/>
        </w:rPr>
        <w:t>ברוך־בער</w:t>
      </w:r>
      <w:proofErr w:type="spellEnd"/>
      <w:r>
        <w:rPr>
          <w:rtl/>
        </w:rPr>
        <w:t>:</w:t>
      </w:r>
      <w:bookmarkStart w:id="3118" w:name="_fnr2229"/>
      <w:r>
        <w:rPr>
          <w:rStyle w:val="a5"/>
        </w:rPr>
        <w:footnoteReference w:id="2235" w:customMarkFollows="0"/>
      </w:r>
      <w:bookmarkEnd w:id="3118"/>
      <w:r>
        <w:rPr>
          <w:rtl/>
        </w:rPr>
        <w:t xml:space="preserve"> “כתבתי נאום קצר בעברית לרבי ר׳ </w:t>
      </w:r>
      <w:proofErr w:type="spellStart"/>
      <w:r>
        <w:rPr>
          <w:rtl/>
        </w:rPr>
        <w:t>ברוך־בער</w:t>
      </w:r>
      <w:proofErr w:type="spellEnd"/>
      <w:r>
        <w:rPr>
          <w:rtl/>
        </w:rPr>
        <w:t>, והוא התאמן עליו יום שלם. אך כשעמד על הבמה של בית העירייה, שכח את הנאום.</w:t>
      </w:r>
      <w:bookmarkStart w:id="3119" w:name="_fnr2230"/>
      <w:r>
        <w:rPr>
          <w:rStyle w:val="a5"/>
        </w:rPr>
        <w:footnoteReference w:id="2236" w:customMarkFollows="0"/>
      </w:r>
      <w:bookmarkEnd w:id="3119"/>
      <w:r>
        <w:rPr>
          <w:rtl/>
        </w:rPr>
        <w:t xml:space="preserve"> אבל יישבתי את העניין בכך </w:t>
      </w:r>
      <w:proofErr w:type="spellStart"/>
      <w:r>
        <w:rPr>
          <w:rtl/>
        </w:rPr>
        <w:t>ש‘תרגמתי</w:t>
      </w:r>
      <w:proofErr w:type="spellEnd"/>
      <w:r>
        <w:rPr>
          <w:rtl/>
        </w:rPr>
        <w:t>’ את דבריו המקוטעים באופן שהפליא את ראש העיר.”</w:t>
      </w:r>
    </w:p>
    <w:p w14:paraId="3BAAEE9B" w14:textId="77777777" w:rsidR="00AB3647" w:rsidRDefault="00000000" w:rsidP="007923E9">
      <w:pPr>
        <w:spacing w:after="120" w:line="276" w:lineRule="auto"/>
        <w:ind w:firstLine="283"/>
        <w:jc w:val="both"/>
      </w:pPr>
      <w:r>
        <w:rPr>
          <w:rtl/>
        </w:rPr>
        <w:t xml:space="preserve">הקורא האמריקאי יתעניין לדעת שר׳ </w:t>
      </w:r>
      <w:proofErr w:type="spellStart"/>
      <w:r>
        <w:rPr>
          <w:rtl/>
        </w:rPr>
        <w:t>ברוך־בער</w:t>
      </w:r>
      <w:proofErr w:type="spellEnd"/>
      <w:r>
        <w:rPr>
          <w:rtl/>
        </w:rPr>
        <w:t xml:space="preserve"> התרשם לטובה כל כך מתמימותה</w:t>
      </w:r>
      <w:r>
        <w:t xml:space="preserve"> </w:t>
      </w:r>
      <w:r>
        <w:rPr>
          <w:rtl/>
        </w:rPr>
        <w:t xml:space="preserve">של יהדות אמריקה בסוף שנות </w:t>
      </w:r>
      <w:proofErr w:type="spellStart"/>
      <w:r>
        <w:rPr>
          <w:rtl/>
        </w:rPr>
        <w:t>התר״פ</w:t>
      </w:r>
      <w:proofErr w:type="spellEnd"/>
      <w:r>
        <w:rPr>
          <w:rtl/>
        </w:rPr>
        <w:t>, עד שלפי “ר׳ ברוך בר”</w:t>
      </w:r>
      <w:bookmarkStart w:id="3120" w:name="_fnr2231"/>
      <w:r>
        <w:rPr>
          <w:rStyle w:val="a5"/>
        </w:rPr>
        <w:footnoteReference w:id="2237" w:customMarkFollows="0"/>
      </w:r>
      <w:bookmarkEnd w:id="3120"/>
      <w:r>
        <w:rPr>
          <w:rtl/>
        </w:rPr>
        <w:t xml:space="preserve"> אמר אמירה שכמעט לא תיאמן: “פון </w:t>
      </w:r>
      <w:proofErr w:type="spellStart"/>
      <w:r>
        <w:rPr>
          <w:rtl/>
        </w:rPr>
        <w:t>ניו־יורק</w:t>
      </w:r>
      <w:proofErr w:type="spellEnd"/>
      <w:r>
        <w:rPr>
          <w:rtl/>
        </w:rPr>
        <w:t xml:space="preserve"> </w:t>
      </w:r>
      <w:proofErr w:type="spellStart"/>
      <w:r>
        <w:rPr>
          <w:rtl/>
        </w:rPr>
        <w:t>קען</w:t>
      </w:r>
      <w:proofErr w:type="spellEnd"/>
      <w:r>
        <w:rPr>
          <w:rtl/>
        </w:rPr>
        <w:t xml:space="preserve"> מען </w:t>
      </w:r>
      <w:proofErr w:type="spellStart"/>
      <w:r>
        <w:rPr>
          <w:rtl/>
        </w:rPr>
        <w:t>אויסשניידען</w:t>
      </w:r>
      <w:proofErr w:type="spellEnd"/>
      <w:r>
        <w:rPr>
          <w:rtl/>
        </w:rPr>
        <w:t xml:space="preserve"> </w:t>
      </w:r>
      <w:proofErr w:type="spellStart"/>
      <w:r>
        <w:rPr>
          <w:rtl/>
        </w:rPr>
        <w:t>דאס</w:t>
      </w:r>
      <w:proofErr w:type="spellEnd"/>
      <w:r>
        <w:rPr>
          <w:rtl/>
        </w:rPr>
        <w:t xml:space="preserve"> </w:t>
      </w:r>
      <w:proofErr w:type="spellStart"/>
      <w:r>
        <w:rPr>
          <w:rtl/>
        </w:rPr>
        <w:t>אמאליגע</w:t>
      </w:r>
      <w:proofErr w:type="spellEnd"/>
      <w:r>
        <w:rPr>
          <w:rtl/>
        </w:rPr>
        <w:t xml:space="preserve"> </w:t>
      </w:r>
      <w:proofErr w:type="spellStart"/>
      <w:r>
        <w:rPr>
          <w:rtl/>
        </w:rPr>
        <w:t>ווילנע</w:t>
      </w:r>
      <w:proofErr w:type="spellEnd"/>
      <w:r>
        <w:rPr>
          <w:rtl/>
        </w:rPr>
        <w:t>” [מניו יורק אפשר לחתוך את וילנה של פעם].</w:t>
      </w:r>
    </w:p>
    <w:p w14:paraId="27907DDC" w14:textId="56703464" w:rsidR="00AB3647" w:rsidRDefault="00000000" w:rsidP="007923E9">
      <w:pPr>
        <w:spacing w:after="120" w:line="276" w:lineRule="auto"/>
        <w:ind w:firstLine="283"/>
        <w:jc w:val="both"/>
      </w:pPr>
      <w:r>
        <w:rPr>
          <w:rtl/>
        </w:rPr>
        <w:t xml:space="preserve">עוד מספר “ר׳ ברוך בר” </w:t>
      </w:r>
      <w:proofErr w:type="spellStart"/>
      <w:r>
        <w:rPr>
          <w:rtl/>
        </w:rPr>
        <w:t>ש“כמה</w:t>
      </w:r>
      <w:proofErr w:type="spellEnd"/>
      <w:r>
        <w:rPr>
          <w:rtl/>
        </w:rPr>
        <w:t xml:space="preserve"> מן הרבנים האמריקאים התלוננו על אהבתו הגלויה ליהדות אמריקה ואמרו שהוא ‘משחד’ אותם”. נראה שלא העריכו כראוי את תמימותו שלו, את אהבתו ליהודים בכלל (כמבואר בהערה </w:t>
      </w:r>
      <w:r>
        <w:rPr>
          <w:rtl/>
        </w:rPr>
        <w:fldChar w:fldCharType="begin" w:dirty="true"/>
      </w:r>
      <w:r>
        <w:rPr>
          <w:rtl/>
        </w:rPr>
        <w:instrText xml:space="preserve"> REF b3_note140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140</w:t>
      </w:r>
      <w:r>
        <w:rPr>
          <w:rtl/>
        </w:rPr>
        <w:fldChar w:fldCharType="end"/>
      </w:r>
      <w:r>
        <w:rPr>
          <w:rtl/>
        </w:rPr>
        <w:t xml:space="preserve"> לעיל) ואת קדושתו. השווה גם כרך 2, המביא את לימוד הזכות של ר׳ </w:t>
      </w:r>
      <w:proofErr w:type="spellStart"/>
      <w:r>
        <w:rPr>
          <w:rtl/>
        </w:rPr>
        <w:t>ברוך־בער</w:t>
      </w:r>
      <w:proofErr w:type="spellEnd"/>
      <w:r>
        <w:rPr>
          <w:rtl/>
        </w:rPr>
        <w:t xml:space="preserve"> על חילול השבת באמריקה היהודית שבה ביקר!</w:t>
      </w:r>
    </w:p>
    <w:p w14:paraId="6D393AAF" w14:textId="77777777" w:rsidR="00AB3647" w:rsidRDefault="00000000" w:rsidP="007923E9">
      <w:pPr>
        <w:spacing w:after="120" w:line="276" w:lineRule="auto"/>
        <w:ind w:firstLine="283"/>
        <w:jc w:val="both"/>
      </w:pPr>
      <w:r>
        <w:rPr>
          <w:rtl/>
        </w:rPr>
        <w:t xml:space="preserve">ר׳ לוי </w:t>
      </w:r>
      <w:proofErr w:type="spellStart"/>
      <w:r>
        <w:rPr>
          <w:rtl/>
        </w:rPr>
        <w:t>קרופניה</w:t>
      </w:r>
      <w:proofErr w:type="spellEnd"/>
      <w:r>
        <w:rPr>
          <w:rtl/>
        </w:rPr>
        <w:t xml:space="preserve">, חתנו של ר׳ ראובן </w:t>
      </w:r>
      <w:proofErr w:type="spellStart"/>
      <w:r>
        <w:rPr>
          <w:rtl/>
        </w:rPr>
        <w:t>גרוזובסקי</w:t>
      </w:r>
      <w:proofErr w:type="spellEnd"/>
      <w:r>
        <w:rPr>
          <w:rtl/>
        </w:rPr>
        <w:t>, סיפר</w:t>
      </w:r>
      <w:bookmarkStart w:id="3121" w:name="_fnr2232"/>
      <w:r>
        <w:rPr>
          <w:rStyle w:val="a5"/>
        </w:rPr>
        <w:footnoteReference w:id="2238" w:customMarkFollows="0"/>
      </w:r>
      <w:bookmarkEnd w:id="3121"/>
      <w:r>
        <w:rPr>
          <w:rtl/>
        </w:rPr>
        <w:t xml:space="preserve"> סיפור מופלא </w:t>
      </w:r>
      <w:proofErr w:type="spellStart"/>
      <w:r>
        <w:rPr>
          <w:rtl/>
        </w:rPr>
        <w:t>ש“העולם</w:t>
      </w:r>
      <w:proofErr w:type="spellEnd"/>
      <w:r>
        <w:rPr>
          <w:rtl/>
        </w:rPr>
        <w:t xml:space="preserve"> מספר”, שלדעתי מדגים את טוהרו ותמימותו של ר׳ </w:t>
      </w:r>
      <w:proofErr w:type="spellStart"/>
      <w:r>
        <w:rPr>
          <w:rtl/>
        </w:rPr>
        <w:t>ברוך־בער</w:t>
      </w:r>
      <w:proofErr w:type="spellEnd"/>
      <w:r>
        <w:rPr>
          <w:rtl/>
        </w:rPr>
        <w:t xml:space="preserve">. </w:t>
      </w:r>
      <w:proofErr w:type="spellStart"/>
      <w:r>
        <w:rPr>
          <w:rtl/>
        </w:rPr>
        <w:t>חיים־נחמן</w:t>
      </w:r>
      <w:proofErr w:type="spellEnd"/>
      <w:r>
        <w:rPr>
          <w:rtl/>
        </w:rPr>
        <w:t xml:space="preserve"> ביאליק, המשורר הלאומי של המדינה היהודית המתהווה, ביקר בפולין באלול </w:t>
      </w:r>
      <w:proofErr w:type="spellStart"/>
      <w:r>
        <w:rPr>
          <w:rtl/>
        </w:rPr>
        <w:t>תר״ץ</w:t>
      </w:r>
      <w:proofErr w:type="spellEnd"/>
      <w:r>
        <w:rPr>
          <w:rtl/>
        </w:rPr>
        <w:t xml:space="preserve">, ורצה לפגוש את ר׳ </w:t>
      </w:r>
      <w:proofErr w:type="spellStart"/>
      <w:r>
        <w:rPr>
          <w:rtl/>
        </w:rPr>
        <w:t>ברוך־בער</w:t>
      </w:r>
      <w:proofErr w:type="spellEnd"/>
      <w:r>
        <w:rPr>
          <w:rtl/>
        </w:rPr>
        <w:t xml:space="preserve">, שזכר אותו מן השנה וחצי שלמד בישיבת </w:t>
      </w:r>
      <w:proofErr w:type="spellStart"/>
      <w:r>
        <w:rPr>
          <w:rtl/>
        </w:rPr>
        <w:t>וולוז׳ין</w:t>
      </w:r>
      <w:proofErr w:type="spellEnd"/>
      <w:r>
        <w:rPr>
          <w:rtl/>
        </w:rPr>
        <w:t>, ארבעים שנה קודם לכן.</w:t>
      </w:r>
      <w:bookmarkStart w:id="3122" w:name="_fnr2233"/>
      <w:r>
        <w:rPr>
          <w:rStyle w:val="a5"/>
        </w:rPr>
        <w:footnoteReference w:id="2239" w:customMarkFollows="0"/>
      </w:r>
      <w:bookmarkEnd w:id="3122"/>
      <w:r>
        <w:rPr>
          <w:rtl/>
        </w:rPr>
        <w:t xml:space="preserve"> אחרי שהפצירו בו </w:t>
      </w:r>
      <w:r>
        <w:rPr>
          <w:rtl/>
        </w:rPr>
        <w:lastRenderedPageBreak/>
        <w:t xml:space="preserve">מקורביו, הסכים ר׳ </w:t>
      </w:r>
      <w:proofErr w:type="spellStart"/>
      <w:r>
        <w:rPr>
          <w:rtl/>
        </w:rPr>
        <w:t>ברוך־בער</w:t>
      </w:r>
      <w:proofErr w:type="spellEnd"/>
      <w:r>
        <w:rPr>
          <w:rtl/>
        </w:rPr>
        <w:t xml:space="preserve"> שביאליק יבקר אצלו, בתנאי שהמשורר לא יאמר מילה אלא רק יקשיב.</w:t>
      </w:r>
    </w:p>
    <w:p w14:paraId="478D3CA4" w14:textId="77777777" w:rsidR="00AB3647" w:rsidRDefault="00000000" w:rsidP="007923E9">
      <w:pPr>
        <w:spacing w:after="120" w:line="276" w:lineRule="auto"/>
        <w:ind w:firstLine="283"/>
        <w:jc w:val="both"/>
      </w:pPr>
      <w:r>
        <w:rPr>
          <w:rtl/>
        </w:rPr>
        <w:t xml:space="preserve">למרבה ההפתעה הסכים ביאליק, ובא לביתו של ר׳ </w:t>
      </w:r>
      <w:proofErr w:type="spellStart"/>
      <w:r>
        <w:rPr>
          <w:rtl/>
        </w:rPr>
        <w:t>ברוך־בער</w:t>
      </w:r>
      <w:proofErr w:type="spellEnd"/>
      <w:r>
        <w:rPr>
          <w:rtl/>
        </w:rPr>
        <w:t xml:space="preserve">, וזה אמר לו: “הדבר החשוב ביותר בעולם הזה הוא לימוד התורה, ומבין הבחורים בני התורה הרבים, הטובים ביותר נמצאים </w:t>
      </w:r>
      <w:proofErr w:type="spellStart"/>
      <w:r>
        <w:rPr>
          <w:rtl/>
        </w:rPr>
        <w:t>בקמניץ</w:t>
      </w:r>
      <w:proofErr w:type="spellEnd"/>
      <w:r>
        <w:rPr>
          <w:rtl/>
        </w:rPr>
        <w:t xml:space="preserve">. כאן אני מוסר להם את השיעור, והם שומעים אותו ודנים בו – מפלפלים בסברתי – וכך עבודתי היא ההישג הנעלה ביותר שאפשר להשיג.” את הפגישה סיים ר׳ </w:t>
      </w:r>
      <w:proofErr w:type="spellStart"/>
      <w:r>
        <w:rPr>
          <w:rtl/>
        </w:rPr>
        <w:t>ברוך־בער</w:t>
      </w:r>
      <w:proofErr w:type="spellEnd"/>
      <w:r>
        <w:rPr>
          <w:rtl/>
        </w:rPr>
        <w:t xml:space="preserve"> במילים: “ואתה, מה אתה עושה? אתה מחבר שירים קטנים שילדים וילדות יזמרו. אז מה?!!”</w:t>
      </w:r>
      <w:bookmarkStart w:id="3123" w:name="_fnr2234"/>
      <w:r>
        <w:rPr>
          <w:rStyle w:val="a5"/>
        </w:rPr>
        <w:footnoteReference w:id="2240" w:customMarkFollows="0"/>
      </w:r>
      <w:bookmarkEnd w:id="3123"/>
    </w:p>
    <w:p w14:paraId="105C3D2B" w14:textId="77777777" w:rsidR="00AB3647" w:rsidRDefault="00000000" w:rsidP="007923E9">
      <w:pPr>
        <w:spacing w:after="120" w:line="276" w:lineRule="auto"/>
        <w:ind w:firstLine="283"/>
        <w:jc w:val="both"/>
      </w:pPr>
      <w:r>
        <w:rPr>
          <w:rtl/>
        </w:rPr>
        <w:t xml:space="preserve">ר׳ קופל </w:t>
      </w:r>
      <w:proofErr w:type="spellStart"/>
      <w:r>
        <w:rPr>
          <w:rtl/>
        </w:rPr>
        <w:t>וולפרט</w:t>
      </w:r>
      <w:proofErr w:type="spellEnd"/>
      <w:r>
        <w:rPr>
          <w:rtl/>
        </w:rPr>
        <w:t>,</w:t>
      </w:r>
      <w:bookmarkStart w:id="3124" w:name="_fnr2235"/>
      <w:r>
        <w:rPr>
          <w:rStyle w:val="a5"/>
        </w:rPr>
        <w:footnoteReference w:id="2241" w:customMarkFollows="0"/>
      </w:r>
      <w:bookmarkEnd w:id="3124"/>
      <w:r>
        <w:rPr>
          <w:rtl/>
        </w:rPr>
        <w:t xml:space="preserve"> שהיה תלמידו של ר׳ </w:t>
      </w:r>
      <w:proofErr w:type="spellStart"/>
      <w:r>
        <w:rPr>
          <w:rtl/>
        </w:rPr>
        <w:t>ברוך־בער</w:t>
      </w:r>
      <w:proofErr w:type="spellEnd"/>
      <w:r>
        <w:rPr>
          <w:rtl/>
        </w:rPr>
        <w:t xml:space="preserve"> בשנים תרס״ה–תר״ע, סיפר על צדקותו: “ר׳ </w:t>
      </w:r>
      <w:proofErr w:type="spellStart"/>
      <w:r>
        <w:rPr>
          <w:rtl/>
        </w:rPr>
        <w:t>ברוך־בער</w:t>
      </w:r>
      <w:proofErr w:type="spellEnd"/>
      <w:r>
        <w:rPr>
          <w:rtl/>
        </w:rPr>
        <w:t xml:space="preserve"> היה מתיר נדר פעמיים או שלוש בכל יום. למשל, אם אכל סעודה של בשר עגל ואחר כך אמר לרבנית: ‘עוף מוצא חן בעיניי יותר’, היה מרחיק את צלחתו אם הגישה לו בשר עגל למחרת, וכשאמרה לו ‘</w:t>
      </w:r>
      <w:proofErr w:type="spellStart"/>
      <w:r>
        <w:rPr>
          <w:rtl/>
        </w:rPr>
        <w:t>ברוך־בער</w:t>
      </w:r>
      <w:proofErr w:type="spellEnd"/>
      <w:r>
        <w:rPr>
          <w:rtl/>
        </w:rPr>
        <w:t xml:space="preserve">, אכול!’, היה משיב: ‘אתמול נדרתי שלא לאכול בשר עגל, ועליי להתיר תחילה את נדרי.’ לא הועיל טיעונה של הרבנית שכל שאמר היה שעוף טוב יותר, והוסיפה: ‘ולא צריך להיות ר׳ </w:t>
      </w:r>
      <w:proofErr w:type="spellStart"/>
      <w:r>
        <w:rPr>
          <w:rtl/>
        </w:rPr>
        <w:t>ברוך־בער</w:t>
      </w:r>
      <w:proofErr w:type="spellEnd"/>
      <w:r>
        <w:rPr>
          <w:rtl/>
        </w:rPr>
        <w:t xml:space="preserve"> כדי לדעת שעוף טוב יותר’” – באותן שנים נחשב עוף למאכל משובח יותר (אף שאבי השתדל כל חייו לאכול בשר ולא עוף) – “‘שהרי כולם יודעים זאת; האם זהו נדר?!’ אכסנייתי הייתה מעל דירתו. הוא היה שולח אותי לקרוא לשלמה </w:t>
      </w:r>
      <w:proofErr w:type="spellStart"/>
      <w:r>
        <w:rPr>
          <w:rtl/>
        </w:rPr>
        <w:t>פאריצ׳ער</w:t>
      </w:r>
      <w:proofErr w:type="spellEnd"/>
      <w:r>
        <w:rPr>
          <w:rtl/>
        </w:rPr>
        <w:t xml:space="preserve"> [היימן], </w:t>
      </w:r>
      <w:proofErr w:type="spellStart"/>
      <w:r>
        <w:rPr>
          <w:rtl/>
        </w:rPr>
        <w:t>ללייבל</w:t>
      </w:r>
      <w:proofErr w:type="spellEnd"/>
      <w:r>
        <w:rPr>
          <w:rtl/>
        </w:rPr>
        <w:t xml:space="preserve"> </w:t>
      </w:r>
      <w:proofErr w:type="spellStart"/>
      <w:r>
        <w:rPr>
          <w:rtl/>
        </w:rPr>
        <w:t>סלונימער</w:t>
      </w:r>
      <w:proofErr w:type="spellEnd"/>
      <w:r>
        <w:rPr>
          <w:rtl/>
        </w:rPr>
        <w:t xml:space="preserve"> </w:t>
      </w:r>
      <w:proofErr w:type="spellStart"/>
      <w:r>
        <w:rPr>
          <w:rtl/>
        </w:rPr>
        <w:t>ולר</w:t>
      </w:r>
      <w:proofErr w:type="spellEnd"/>
      <w:r>
        <w:rPr>
          <w:rtl/>
        </w:rPr>
        <w:t xml:space="preserve">׳ משה </w:t>
      </w:r>
      <w:proofErr w:type="spellStart"/>
      <w:r>
        <w:rPr>
          <w:rtl/>
        </w:rPr>
        <w:t>פקרוביץ</w:t>
      </w:r>
      <w:proofErr w:type="spellEnd"/>
      <w:r>
        <w:rPr>
          <w:rtl/>
        </w:rPr>
        <w:t xml:space="preserve"> [המשגיח], כדי שיהיו בית דין של שלושה להתרת הנדר. פעם אמר ‘עשן הסיגריה מייבש את פי׳, ולא עישן עד שהתיר את ‘נדרו’.”</w:t>
      </w:r>
      <w:bookmarkStart w:id="3125" w:name="_fnr2236"/>
      <w:r>
        <w:rPr>
          <w:rStyle w:val="a5"/>
        </w:rPr>
        <w:footnoteReference w:id="2242" w:customMarkFollows="0"/>
      </w:r>
      <w:bookmarkEnd w:id="3125"/>
    </w:p>
    <w:p w14:paraId="3DA34914" w14:textId="77777777" w:rsidR="00AB3647" w:rsidRDefault="00000000" w:rsidP="007923E9">
      <w:pPr>
        <w:spacing w:after="120" w:line="276" w:lineRule="auto"/>
        <w:ind w:firstLine="283"/>
        <w:jc w:val="both"/>
      </w:pPr>
      <w:r>
        <w:rPr>
          <w:rtl/>
        </w:rPr>
        <w:lastRenderedPageBreak/>
        <w:t xml:space="preserve">חששו של ר׳ </w:t>
      </w:r>
      <w:proofErr w:type="spellStart"/>
      <w:r>
        <w:rPr>
          <w:rtl/>
        </w:rPr>
        <w:t>ברוך־בער</w:t>
      </w:r>
      <w:proofErr w:type="spellEnd"/>
      <w:r>
        <w:rPr>
          <w:rtl/>
        </w:rPr>
        <w:t xml:space="preserve"> מנדרים</w:t>
      </w:r>
      <w:r>
        <w:t xml:space="preserve"> </w:t>
      </w:r>
      <w:r>
        <w:rPr>
          <w:rtl/>
        </w:rPr>
        <w:t xml:space="preserve">נמשך עד שנותיו האחרונות, כפי שעולה מסיפור של עד ראייה משנות </w:t>
      </w:r>
      <w:proofErr w:type="spellStart"/>
      <w:r>
        <w:rPr>
          <w:rtl/>
        </w:rPr>
        <w:t>הת״ר־צ</w:t>
      </w:r>
      <w:proofErr w:type="spellEnd"/>
      <w:r>
        <w:rPr>
          <w:rtl/>
        </w:rPr>
        <w:t xml:space="preserve">׳, הרשום </w:t>
      </w:r>
      <w:proofErr w:type="spellStart"/>
      <w:r>
        <w:rPr>
          <w:rtl/>
        </w:rPr>
        <w:t>ב“תורה</w:t>
      </w:r>
      <w:proofErr w:type="spellEnd"/>
      <w:r>
        <w:rPr>
          <w:rtl/>
        </w:rPr>
        <w:t xml:space="preserve"> יבקשו מפיהו” על ר׳ שמעון </w:t>
      </w:r>
      <w:proofErr w:type="spellStart"/>
      <w:r>
        <w:rPr>
          <w:rtl/>
        </w:rPr>
        <w:t>שקופ</w:t>
      </w:r>
      <w:proofErr w:type="spellEnd"/>
      <w:r>
        <w:rPr>
          <w:rtl/>
        </w:rPr>
        <w:t>.</w:t>
      </w:r>
      <w:bookmarkStart w:id="3126" w:name="_fnr2237"/>
      <w:r>
        <w:rPr>
          <w:rStyle w:val="a5"/>
        </w:rPr>
        <w:footnoteReference w:id="2243" w:customMarkFollows="0"/>
      </w:r>
      <w:bookmarkEnd w:id="3126"/>
    </w:p>
    <w:p w14:paraId="3C374F6B" w14:textId="77777777" w:rsidR="00AB3647" w:rsidRDefault="00000000" w:rsidP="007923E9">
      <w:pPr>
        <w:spacing w:after="120" w:line="276" w:lineRule="auto"/>
        <w:ind w:firstLine="283"/>
        <w:jc w:val="both"/>
      </w:pPr>
      <w:r>
        <w:rPr>
          <w:rtl/>
        </w:rPr>
        <w:t xml:space="preserve">“פעם, ביום שלאחר יום הכיפורים”, המשיך ר׳ קופל, “קרא לי לרדת אליו וביקש שאביא שניים </w:t>
      </w:r>
      <w:proofErr w:type="spellStart"/>
      <w:r>
        <w:rPr>
          <w:rtl/>
        </w:rPr>
        <w:t>מ‘דייניו</w:t>
      </w:r>
      <w:proofErr w:type="spellEnd"/>
      <w:r>
        <w:rPr>
          <w:rtl/>
        </w:rPr>
        <w:t>’. אבל לא זזתי ממקומי עד ששאל אותי מדוע אינני הולך, ואמרתי: ‘תמיד אתה מבקש שלושה. מדוע היום רק שניים?’ השיב: ‘לצורך היום אני מונה גם אותך.’ כשישבנו סביב שולחנו, הסביר: בתו</w:t>
      </w:r>
      <w:bookmarkStart w:id="3127" w:name="_fnr2238"/>
      <w:r>
        <w:rPr>
          <w:rStyle w:val="a5"/>
        </w:rPr>
        <w:footnoteReference w:id="2244" w:customMarkFollows="0"/>
      </w:r>
      <w:bookmarkEnd w:id="3127"/>
      <w:r>
        <w:rPr>
          <w:rtl/>
        </w:rPr>
        <w:t xml:space="preserve"> התארסה לבחור מן הישיבה, תלמיד חכם גדול, גבוה ונאה. ר׳ </w:t>
      </w:r>
      <w:proofErr w:type="spellStart"/>
      <w:r>
        <w:rPr>
          <w:rtl/>
        </w:rPr>
        <w:t>ברוך־בער</w:t>
      </w:r>
      <w:proofErr w:type="spellEnd"/>
      <w:r>
        <w:rPr>
          <w:rtl/>
        </w:rPr>
        <w:t xml:space="preserve"> אף קנה לו כובע וחליפה חדשים. למחרת האירוסין קרא לו ר׳ </w:t>
      </w:r>
      <w:proofErr w:type="spellStart"/>
      <w:r>
        <w:rPr>
          <w:rtl/>
        </w:rPr>
        <w:t>ברוך־בער</w:t>
      </w:r>
      <w:proofErr w:type="spellEnd"/>
      <w:r>
        <w:rPr>
          <w:rtl/>
        </w:rPr>
        <w:t xml:space="preserve"> ואמר: ‘ר׳ </w:t>
      </w:r>
      <w:proofErr w:type="spellStart"/>
      <w:r>
        <w:rPr>
          <w:rtl/>
        </w:rPr>
        <w:t>איצ׳ה</w:t>
      </w:r>
      <w:proofErr w:type="spellEnd"/>
      <w:r>
        <w:rPr>
          <w:rtl/>
        </w:rPr>
        <w:t xml:space="preserve">, אין זה ראוי שתישאר באותה עיר עם כלתך. מוטב שתלך לישיבה אחרת עד החתונה.’ הבחור הלך אז לישיבת </w:t>
      </w:r>
      <w:proofErr w:type="spellStart"/>
      <w:r>
        <w:rPr>
          <w:rtl/>
        </w:rPr>
        <w:t>וולוז׳ין</w:t>
      </w:r>
      <w:proofErr w:type="spellEnd"/>
      <w:r>
        <w:rPr>
          <w:rtl/>
        </w:rPr>
        <w:t xml:space="preserve"> [שחידש ר׳ רפאל שפירא], ושם נתן בו עשיר את עיניו והחליט שהוא רוצה בו כחתן לבתו.” (ר׳ קופל הוסיף שגם יופייה הרב יותר של בת העשיר היה שיקול בעיני הצעיר כשעזב את כלתו.)</w:t>
      </w:r>
      <w:bookmarkStart w:id="3128" w:name="_fnr2239"/>
      <w:r>
        <w:rPr>
          <w:rStyle w:val="a5"/>
        </w:rPr>
        <w:footnoteReference w:id="2245" w:customMarkFollows="0"/>
      </w:r>
      <w:bookmarkEnd w:id="3128"/>
    </w:p>
    <w:p w14:paraId="30EE9CD4" w14:textId="77777777" w:rsidR="00AB3647" w:rsidRDefault="00000000" w:rsidP="007923E9">
      <w:pPr>
        <w:spacing w:after="120" w:line="276" w:lineRule="auto"/>
        <w:ind w:firstLine="283"/>
        <w:jc w:val="both"/>
      </w:pPr>
      <w:r>
        <w:rPr>
          <w:rtl/>
        </w:rPr>
        <w:t xml:space="preserve">“בקיצור, הנבל הסכים להצעת העשיר, החזיר את המתנות שנתן לו ר׳ </w:t>
      </w:r>
      <w:proofErr w:type="spellStart"/>
      <w:r>
        <w:rPr>
          <w:rtl/>
        </w:rPr>
        <w:t>ברוך־בער</w:t>
      </w:r>
      <w:proofErr w:type="spellEnd"/>
      <w:r>
        <w:rPr>
          <w:rtl/>
        </w:rPr>
        <w:t>, ובמידה לא קטנה של חוצפה ביקש מרבו מכתב המלצה! אז מה רצה מאיתנו רבנו? הסביר: ‘אתם יודעים את אסוני’, אמר. ‘אבל אני רוצה לשלוח מכתב יפה על הבחור, שהרי הוא תלמיד חכם מופלג. אולם אינני יכול לסמוך על שיקול דעתי מה לכתוב, מפני שאולי בליבי פנימה אני נוטר לו טינה. הכנתי מכתב ואני מבקש מכם לעבור עליו ולראות אם עשיתי עם הבחור צדק.’</w:t>
      </w:r>
    </w:p>
    <w:p w14:paraId="4D034C81" w14:textId="77777777" w:rsidR="00AB3647" w:rsidRDefault="00000000" w:rsidP="007923E9">
      <w:pPr>
        <w:spacing w:after="120" w:line="276" w:lineRule="auto"/>
        <w:ind w:firstLine="283"/>
        <w:jc w:val="both"/>
      </w:pPr>
      <w:r>
        <w:rPr>
          <w:rtl/>
        </w:rPr>
        <w:t xml:space="preserve">הסתכלנו במכתב וראינו שרבנו כתב ‘סיני ועוקר הרים’ </w:t>
      </w:r>
      <w:proofErr w:type="spellStart"/>
      <w:r>
        <w:rPr>
          <w:rtl/>
        </w:rPr>
        <w:t>ו‘בעל</w:t>
      </w:r>
      <w:proofErr w:type="spellEnd"/>
      <w:r>
        <w:rPr>
          <w:rtl/>
        </w:rPr>
        <w:t xml:space="preserve"> מידות’ – דווקא זה! – ושבחים נוספים. הייתי אז רק בן </w:t>
      </w:r>
      <w:proofErr w:type="spellStart"/>
      <w:r>
        <w:rPr>
          <w:rtl/>
        </w:rPr>
        <w:t>שש־עשרה</w:t>
      </w:r>
      <w:proofErr w:type="spellEnd"/>
      <w:r>
        <w:rPr>
          <w:rtl/>
        </w:rPr>
        <w:t xml:space="preserve">, אבל אני זוכר זאת כאילו היה אתמול; זה היה כואב כל כך. בעיניי עמד ר׳ </w:t>
      </w:r>
      <w:proofErr w:type="spellStart"/>
      <w:r>
        <w:rPr>
          <w:rtl/>
        </w:rPr>
        <w:t>ברוך־בער</w:t>
      </w:r>
      <w:proofErr w:type="spellEnd"/>
      <w:r>
        <w:rPr>
          <w:rtl/>
        </w:rPr>
        <w:t xml:space="preserve"> בניסיון כעין עקידת יצחק אבינו – אחרי מה שהבחור</w:t>
      </w:r>
      <w:bookmarkStart w:id="3129" w:name="_fnr2240"/>
      <w:r>
        <w:rPr>
          <w:rStyle w:val="a5"/>
        </w:rPr>
        <w:footnoteReference w:id="2246" w:customMarkFollows="0"/>
      </w:r>
      <w:bookmarkEnd w:id="3129"/>
      <w:r>
        <w:rPr>
          <w:rtl/>
        </w:rPr>
        <w:t xml:space="preserve"> עשה לו, הוא מהרהר אם הוא מכבד אותו דיו!”</w:t>
      </w:r>
    </w:p>
    <w:p w14:paraId="129AC263" w14:textId="77777777" w:rsidR="00AB3647" w:rsidRDefault="00000000" w:rsidP="007923E9">
      <w:pPr>
        <w:spacing w:after="120" w:line="276" w:lineRule="auto"/>
        <w:ind w:firstLine="283"/>
        <w:jc w:val="both"/>
      </w:pPr>
      <w:r>
        <w:rPr>
          <w:rtl/>
        </w:rPr>
        <w:t xml:space="preserve">את מהלך המאורעות שלאחר מכן שחזרתי כך: ר׳ </w:t>
      </w:r>
      <w:proofErr w:type="spellStart"/>
      <w:r>
        <w:rPr>
          <w:rtl/>
        </w:rPr>
        <w:t>ברוך־בער</w:t>
      </w:r>
      <w:proofErr w:type="spellEnd"/>
      <w:r>
        <w:rPr>
          <w:rtl/>
        </w:rPr>
        <w:t xml:space="preserve"> רצה אז שבן הסבא, ר׳ משה </w:t>
      </w:r>
      <w:proofErr w:type="spellStart"/>
      <w:r>
        <w:rPr>
          <w:rtl/>
        </w:rPr>
        <w:t>פינקל</w:t>
      </w:r>
      <w:proofErr w:type="spellEnd"/>
      <w:r>
        <w:rPr>
          <w:rtl/>
        </w:rPr>
        <w:t xml:space="preserve">, יישא את בתו זו – כך לדברי נכדו של שותפו ללימוד של ר׳ משה באותה עת – אך הדבר לא יצא לפועל. לבסוף נישאה </w:t>
      </w:r>
      <w:proofErr w:type="spellStart"/>
      <w:r>
        <w:rPr>
          <w:rtl/>
        </w:rPr>
        <w:t>לר</w:t>
      </w:r>
      <w:proofErr w:type="spellEnd"/>
      <w:r>
        <w:rPr>
          <w:rtl/>
        </w:rPr>
        <w:t xml:space="preserve">׳ יצחק </w:t>
      </w:r>
      <w:proofErr w:type="spellStart"/>
      <w:r>
        <w:rPr>
          <w:rtl/>
        </w:rPr>
        <w:t>טורץ</w:t>
      </w:r>
      <w:proofErr w:type="spellEnd"/>
      <w:r>
        <w:rPr>
          <w:rtl/>
        </w:rPr>
        <w:t xml:space="preserve">, </w:t>
      </w:r>
      <w:proofErr w:type="spellStart"/>
      <w:r>
        <w:rPr>
          <w:rtl/>
        </w:rPr>
        <w:t>בתרע״ט</w:t>
      </w:r>
      <w:proofErr w:type="spellEnd"/>
      <w:r>
        <w:rPr>
          <w:rtl/>
        </w:rPr>
        <w:t xml:space="preserve"> לפי בנם ר׳ שמואל.</w:t>
      </w:r>
      <w:bookmarkStart w:id="3130" w:name="_fnr2241"/>
      <w:bookmarkStart w:id="3131" w:name="pr_f_2146"/>
      <w:r>
        <w:rPr>
          <w:rStyle w:val="a5"/>
        </w:rPr>
        <w:footnoteReference w:id="2247" w:customMarkFollows="0"/>
      </w:r>
      <w:bookmarkEnd w:id="3130"/>
      <w:bookmarkEnd w:id="3131"/>
      <w:r>
        <w:rPr>
          <w:rtl/>
        </w:rPr>
        <w:t xml:space="preserve"> היא נולדה </w:t>
      </w:r>
      <w:proofErr w:type="spellStart"/>
      <w:r>
        <w:rPr>
          <w:rtl/>
        </w:rPr>
        <w:lastRenderedPageBreak/>
        <w:t>בתר״נ</w:t>
      </w:r>
      <w:proofErr w:type="spellEnd"/>
      <w:r>
        <w:rPr>
          <w:rtl/>
        </w:rPr>
        <w:t xml:space="preserve">, ואם </w:t>
      </w:r>
      <w:proofErr w:type="spellStart"/>
      <w:r>
        <w:rPr>
          <w:rtl/>
        </w:rPr>
        <w:t>וולפרט</w:t>
      </w:r>
      <w:proofErr w:type="spellEnd"/>
      <w:r>
        <w:rPr>
          <w:rtl/>
        </w:rPr>
        <w:t xml:space="preserve"> דייק באומרו שהיא “הייתה רק בת </w:t>
      </w:r>
      <w:proofErr w:type="spellStart"/>
      <w:r>
        <w:rPr>
          <w:rtl/>
        </w:rPr>
        <w:t>שש־עשרה</w:t>
      </w:r>
      <w:proofErr w:type="spellEnd"/>
      <w:r>
        <w:rPr>
          <w:rtl/>
        </w:rPr>
        <w:t xml:space="preserve">” בעת ביטול אירוסיה, הרי שלא נישאה עד </w:t>
      </w:r>
      <w:proofErr w:type="spellStart"/>
      <w:r>
        <w:rPr>
          <w:rtl/>
        </w:rPr>
        <w:t>שלוש־עשרה</w:t>
      </w:r>
      <w:proofErr w:type="spellEnd"/>
      <w:r>
        <w:rPr>
          <w:rtl/>
        </w:rPr>
        <w:t xml:space="preserve"> שנה לאחר מכן! ואפילו אם אירע הסיפור לאחר תרס״ו, כפי שסביר יותר, חלף לפחות עשור עד שנישאה.</w:t>
      </w:r>
    </w:p>
    <w:p w14:paraId="56201B6B" w14:textId="77777777" w:rsidR="00AB3647" w:rsidRDefault="00000000" w:rsidP="007923E9">
      <w:pPr>
        <w:spacing w:after="120" w:line="276" w:lineRule="auto"/>
        <w:ind w:firstLine="283"/>
        <w:jc w:val="both"/>
      </w:pPr>
      <w:r>
        <w:rPr>
          <w:rtl/>
        </w:rPr>
        <w:t xml:space="preserve">מעשהו של ר׳ </w:t>
      </w:r>
      <w:proofErr w:type="spellStart"/>
      <w:r>
        <w:rPr>
          <w:rtl/>
        </w:rPr>
        <w:t>ברוך־בער</w:t>
      </w:r>
      <w:proofErr w:type="spellEnd"/>
      <w:r>
        <w:rPr>
          <w:rtl/>
        </w:rPr>
        <w:t xml:space="preserve"> מבטא צדקות יוצאת דופן, והוא לא היה קשור לכך שהיה זה “היום שלאחר יום הכיפורים”, כפי שזכר המרואיין, שהרי סיפור דומה אירע </w:t>
      </w:r>
      <w:proofErr w:type="spellStart"/>
      <w:r>
        <w:rPr>
          <w:rtl/>
        </w:rPr>
        <w:t>לר</w:t>
      </w:r>
      <w:proofErr w:type="spellEnd"/>
      <w:r>
        <w:rPr>
          <w:rtl/>
        </w:rPr>
        <w:t xml:space="preserve">׳ </w:t>
      </w:r>
      <w:proofErr w:type="spellStart"/>
      <w:r>
        <w:rPr>
          <w:rtl/>
        </w:rPr>
        <w:t>ברוך־בער</w:t>
      </w:r>
      <w:proofErr w:type="spellEnd"/>
      <w:r>
        <w:rPr>
          <w:rtl/>
        </w:rPr>
        <w:t xml:space="preserve"> בשנותיו הצעירות.</w:t>
      </w:r>
    </w:p>
    <w:p w14:paraId="28C8AE57" w14:textId="77777777" w:rsidR="00AB3647" w:rsidRDefault="00000000" w:rsidP="007923E9">
      <w:pPr>
        <w:spacing w:after="120" w:line="276" w:lineRule="auto"/>
        <w:ind w:firstLine="283"/>
        <w:jc w:val="both"/>
      </w:pPr>
      <w:r>
        <w:rPr>
          <w:rtl/>
        </w:rPr>
        <w:t>“מגד גבעות עולם”</w:t>
      </w:r>
      <w:bookmarkStart w:id="3132" w:name="_fnr2242"/>
      <w:r>
        <w:rPr>
          <w:rStyle w:val="a5"/>
        </w:rPr>
        <w:footnoteReference w:id="2248" w:customMarkFollows="0"/>
      </w:r>
      <w:bookmarkEnd w:id="3132"/>
      <w:r>
        <w:rPr>
          <w:rtl/>
        </w:rPr>
        <w:t xml:space="preserve"> מספר </w:t>
      </w:r>
      <w:proofErr w:type="spellStart"/>
      <w:r>
        <w:rPr>
          <w:rtl/>
        </w:rPr>
        <w:t>שבהלוסק</w:t>
      </w:r>
      <w:proofErr w:type="spellEnd"/>
      <w:r>
        <w:rPr>
          <w:rtl/>
        </w:rPr>
        <w:t xml:space="preserve">, שבה כיהן כרב לפני מינויו </w:t>
      </w:r>
      <w:proofErr w:type="spellStart"/>
      <w:r>
        <w:rPr>
          <w:rtl/>
        </w:rPr>
        <w:t>לסלבודקה</w:t>
      </w:r>
      <w:proofErr w:type="spellEnd"/>
      <w:r>
        <w:rPr>
          <w:rtl/>
        </w:rPr>
        <w:t>, לא היו התושבים מרוצים מתפקודו והחליטו להביא</w:t>
      </w:r>
      <w:r>
        <w:t xml:space="preserve"> </w:t>
      </w:r>
      <w:r>
        <w:rPr>
          <w:rtl/>
        </w:rPr>
        <w:t xml:space="preserve">רב אחר. (ראה תחילת הפסקה השנייה לעיל, שגם ר׳ </w:t>
      </w:r>
      <w:proofErr w:type="spellStart"/>
      <w:r>
        <w:rPr>
          <w:rtl/>
        </w:rPr>
        <w:t>ברוך־בער</w:t>
      </w:r>
      <w:proofErr w:type="spellEnd"/>
      <w:r>
        <w:rPr>
          <w:rtl/>
        </w:rPr>
        <w:t xml:space="preserve"> לא היה מרוצה מתפקידו כרב.) כשהרב האחר הגיע לעיירה, לבש ר׳ </w:t>
      </w:r>
      <w:proofErr w:type="spellStart"/>
      <w:r>
        <w:rPr>
          <w:rtl/>
        </w:rPr>
        <w:t>ברוך־בער</w:t>
      </w:r>
      <w:proofErr w:type="spellEnd"/>
      <w:r>
        <w:rPr>
          <w:rtl/>
        </w:rPr>
        <w:t xml:space="preserve"> את בגדי השבת שלו ויצא לקבל את פני מי שבא לתפוס את מקומו. הוא הסביר שעליו לכבד תלמיד חכם שהגיע זה עתה, למרות מטרת בואו.</w:t>
      </w:r>
    </w:p>
    <w:p w14:paraId="35D50A9C" w14:textId="77777777" w:rsidR="00AB3647" w:rsidRDefault="00000000" w:rsidP="007923E9">
      <w:pPr>
        <w:pStyle w:val="4"/>
        <w:spacing w:line="276" w:lineRule="auto"/>
      </w:pPr>
      <w:r>
        <w:t>· הפסקה הרביעית ·</w:t>
      </w:r>
    </w:p>
    <w:p w14:paraId="4904D5B1" w14:textId="77777777" w:rsidR="00AB3647" w:rsidRDefault="00000000" w:rsidP="007923E9">
      <w:pPr>
        <w:pStyle w:val="5"/>
        <w:spacing w:line="276" w:lineRule="auto"/>
      </w:pPr>
      <w:r>
        <w:t xml:space="preserve">ר׳ </w:t>
      </w:r>
      <w:proofErr w:type="spellStart"/>
      <w:r>
        <w:t>ברוך־בער</w:t>
      </w:r>
      <w:proofErr w:type="spellEnd"/>
      <w:r>
        <w:t xml:space="preserve"> רואה קדושה במציאות הנידונה בתלמוד – פרסום </w:t>
      </w:r>
      <w:proofErr w:type="spellStart"/>
      <w:r>
        <w:t>חב״די</w:t>
      </w:r>
      <w:proofErr w:type="spellEnd"/>
      <w:r>
        <w:t xml:space="preserve"> מזלזל בחלקים מן הגמרא – חסיד מטעה בשוגג את רבו – הרבי </w:t>
      </w:r>
      <w:proofErr w:type="spellStart"/>
      <w:r>
        <w:t>מליובאוויטש</w:t>
      </w:r>
      <w:proofErr w:type="spellEnd"/>
      <w:r>
        <w:t xml:space="preserve"> יוצא נגד הישיבות “הליטאיות” – תלמידים בלי זקנים נחשבים בלתי ראויים – המאמר </w:t>
      </w:r>
      <w:proofErr w:type="spellStart"/>
      <w:r>
        <w:t>החב״די</w:t>
      </w:r>
      <w:proofErr w:type="spellEnd"/>
      <w:r>
        <w:t xml:space="preserve"> מעורר תרעומת – ר׳ </w:t>
      </w:r>
      <w:proofErr w:type="spellStart"/>
      <w:r>
        <w:t xml:space="preserve">יוסף־דב</w:t>
      </w:r>
      <w:proofErr w:type="spellEnd"/>
      <w:r>
        <w:t xml:space="preserve"> </w:t>
      </w:r>
      <w:proofErr w:type="spellStart"/>
      <w:r>
        <w:t>סולובייצ׳יק</w:t>
      </w:r>
      <w:proofErr w:type="spellEnd"/>
      <w:r>
        <w:t xml:space="preserve"> משיב עליו</w:t>
      </w:r>
    </w:p>
    <w:p w14:paraId="5986CB07" w14:textId="77777777" w:rsidR="00AB3647" w:rsidRDefault="00000000" w:rsidP="007923E9">
      <w:pPr>
        <w:spacing w:after="120" w:line="276" w:lineRule="auto"/>
        <w:ind w:firstLine="283"/>
        <w:jc w:val="both"/>
      </w:pPr>
      <w:r>
        <w:rPr>
          <w:rtl/>
        </w:rPr>
        <w:t xml:space="preserve">דוגמה נוספת לצדקותו של ר׳ </w:t>
      </w:r>
      <w:proofErr w:type="spellStart"/>
      <w:r>
        <w:rPr>
          <w:rtl/>
        </w:rPr>
        <w:t>ברוך־בער</w:t>
      </w:r>
      <w:proofErr w:type="spellEnd"/>
      <w:r>
        <w:rPr>
          <w:rtl/>
        </w:rPr>
        <w:t xml:space="preserve"> הייתה יחסו למציאות הנידונה בתלמוד. אבי סיפר פעמים רבות שלאחר שלמד במסכת חולין</w:t>
      </w:r>
      <w:bookmarkStart w:id="3133" w:name="_fnr2243"/>
      <w:r>
        <w:rPr>
          <w:rStyle w:val="a5"/>
        </w:rPr>
        <w:footnoteReference w:id="2249" w:customMarkFollows="0"/>
      </w:r>
      <w:bookmarkEnd w:id="3133"/>
      <w:r>
        <w:rPr>
          <w:rtl/>
        </w:rPr>
        <w:t xml:space="preserve"> את </w:t>
      </w:r>
      <w:proofErr w:type="spellStart"/>
      <w:r>
        <w:rPr>
          <w:rtl/>
        </w:rPr>
        <w:t>הסוגיה</w:t>
      </w:r>
      <w:proofErr w:type="spellEnd"/>
      <w:r>
        <w:rPr>
          <w:rtl/>
        </w:rPr>
        <w:t xml:space="preserve"> העוסקת בדיני כשרותו של הקורקבן (ביידיש: פופיק), הראו </w:t>
      </w:r>
      <w:proofErr w:type="spellStart"/>
      <w:r>
        <w:rPr>
          <w:rtl/>
        </w:rPr>
        <w:t>לר</w:t>
      </w:r>
      <w:proofErr w:type="spellEnd"/>
      <w:r>
        <w:rPr>
          <w:rtl/>
        </w:rPr>
        <w:t xml:space="preserve">׳ </w:t>
      </w:r>
      <w:proofErr w:type="spellStart"/>
      <w:r>
        <w:rPr>
          <w:rtl/>
        </w:rPr>
        <w:t>ברוך־בער</w:t>
      </w:r>
      <w:proofErr w:type="spellEnd"/>
      <w:r>
        <w:rPr>
          <w:rtl/>
        </w:rPr>
        <w:t xml:space="preserve"> קורקבן ממשי, והוא קרא: “אז זהו הקורקבן </w:t>
      </w:r>
      <w:r>
        <w:rPr>
          <w:b/>
          <w:bCs/>
          <w:rtl/>
        </w:rPr>
        <w:t>הקדוש</w:t>
      </w:r>
      <w:r>
        <w:rPr>
          <w:rtl/>
        </w:rPr>
        <w:t xml:space="preserve">!” בעיני ר׳ </w:t>
      </w:r>
      <w:proofErr w:type="spellStart"/>
      <w:r>
        <w:rPr>
          <w:rtl/>
        </w:rPr>
        <w:t>ברוך־בער</w:t>
      </w:r>
      <w:proofErr w:type="spellEnd"/>
      <w:r>
        <w:rPr>
          <w:rtl/>
        </w:rPr>
        <w:t>, כל דבר שהגמרא דנה בו נעשה חדור קדושה.</w:t>
      </w:r>
      <w:bookmarkStart w:id="3134" w:name="_fnr2244"/>
      <w:r>
        <w:rPr>
          <w:rStyle w:val="a5"/>
        </w:rPr>
        <w:footnoteReference w:id="2250" w:customMarkFollows="0"/>
      </w:r>
      <w:bookmarkEnd w:id="3134"/>
    </w:p>
    <w:p w14:paraId="2327C2AE" w14:textId="77777777" w:rsidR="00AB3647" w:rsidRDefault="00000000" w:rsidP="007923E9">
      <w:pPr>
        <w:spacing w:after="120" w:line="276" w:lineRule="auto"/>
        <w:ind w:firstLine="283"/>
        <w:jc w:val="both"/>
      </w:pPr>
      <w:r>
        <w:rPr>
          <w:rtl/>
        </w:rPr>
        <w:t xml:space="preserve">נראה שסיפור זה הוא גרסה של הסיפור המובא </w:t>
      </w:r>
      <w:proofErr w:type="spellStart"/>
      <w:r>
        <w:rPr>
          <w:rtl/>
        </w:rPr>
        <w:t>ב“פנקס</w:t>
      </w:r>
      <w:proofErr w:type="spellEnd"/>
      <w:r>
        <w:rPr>
          <w:rtl/>
        </w:rPr>
        <w:t xml:space="preserve"> </w:t>
      </w:r>
      <w:proofErr w:type="spellStart"/>
      <w:r>
        <w:rPr>
          <w:rtl/>
        </w:rPr>
        <w:t>סלוצק</w:t>
      </w:r>
      <w:proofErr w:type="spellEnd"/>
      <w:r>
        <w:rPr>
          <w:rtl/>
        </w:rPr>
        <w:t>”,</w:t>
      </w:r>
      <w:bookmarkStart w:id="3135" w:name="_fnr2245"/>
      <w:r>
        <w:rPr>
          <w:rStyle w:val="a5"/>
        </w:rPr>
        <w:footnoteReference w:id="2251" w:customMarkFollows="0"/>
      </w:r>
      <w:bookmarkEnd w:id="3135"/>
      <w:r>
        <w:rPr>
          <w:rtl/>
        </w:rPr>
        <w:t xml:space="preserve"> במאמר “רבה של </w:t>
      </w:r>
      <w:proofErr w:type="spellStart"/>
      <w:r>
        <w:rPr>
          <w:rtl/>
        </w:rPr>
        <w:t>הלוסק</w:t>
      </w:r>
      <w:proofErr w:type="spellEnd"/>
      <w:r>
        <w:rPr>
          <w:rtl/>
        </w:rPr>
        <w:t xml:space="preserve">” מאת הרב נ. וקסמן. בראשית כהונתו ברבנות </w:t>
      </w:r>
      <w:proofErr w:type="spellStart"/>
      <w:r>
        <w:rPr>
          <w:rtl/>
        </w:rPr>
        <w:t>הלוסק</w:t>
      </w:r>
      <w:proofErr w:type="spellEnd"/>
      <w:r>
        <w:rPr>
          <w:rtl/>
        </w:rPr>
        <w:t xml:space="preserve"> הביאה לו אישה תרנגולת והראתה לו שיש מחט באחד מאיבריה, שאותו כינתה פופיק. ר׳ </w:t>
      </w:r>
      <w:proofErr w:type="spellStart"/>
      <w:r>
        <w:rPr>
          <w:rtl/>
        </w:rPr>
        <w:t>ברוך־בער</w:t>
      </w:r>
      <w:proofErr w:type="spellEnd"/>
      <w:r>
        <w:rPr>
          <w:rtl/>
        </w:rPr>
        <w:t xml:space="preserve"> לא ידע מהו פופיק במונחי השולחן ערוך, ושאל על כך אחד מתלמידיו, שהשיב: “זהו הקורקבן.” מיד קפץ ר׳ </w:t>
      </w:r>
      <w:proofErr w:type="spellStart"/>
      <w:r>
        <w:rPr>
          <w:rtl/>
        </w:rPr>
        <w:t>ברוך־בער</w:t>
      </w:r>
      <w:proofErr w:type="spellEnd"/>
      <w:r>
        <w:rPr>
          <w:rtl/>
        </w:rPr>
        <w:t xml:space="preserve"> ואמר: “אז זהו קורקבן! שפופיק הוא קורקבן – זהו דין שלא ידעתי.”</w:t>
      </w:r>
    </w:p>
    <w:p w14:paraId="47645FB5" w14:textId="77777777" w:rsidR="00AB3647" w:rsidRDefault="00000000" w:rsidP="007923E9">
      <w:pPr>
        <w:spacing w:after="120" w:line="276" w:lineRule="auto"/>
        <w:ind w:firstLine="283"/>
        <w:jc w:val="both"/>
      </w:pPr>
      <w:r>
        <w:rPr>
          <w:rtl/>
        </w:rPr>
        <w:t xml:space="preserve">לפי הרב וקסמן, עיקר הסיפור הוא שאצל ר׳ </w:t>
      </w:r>
      <w:proofErr w:type="spellStart"/>
      <w:r>
        <w:rPr>
          <w:rtl/>
        </w:rPr>
        <w:t>ברוך־בער</w:t>
      </w:r>
      <w:proofErr w:type="spellEnd"/>
      <w:r>
        <w:rPr>
          <w:rtl/>
        </w:rPr>
        <w:t xml:space="preserve"> אפילו תרגום פשוט נעשה “דין”; ולפי רבנו, עוקצו הוא שכל חפץ שנידון בתלמוד נעשה חדור קדושה. יש קרבה גדולה בין שני הרעיונות.</w:t>
      </w:r>
    </w:p>
    <w:p w14:paraId="70B87C11" w14:textId="77777777" w:rsidR="00AB3647" w:rsidRDefault="00000000" w:rsidP="007923E9">
      <w:pPr>
        <w:spacing w:after="120" w:line="276" w:lineRule="auto"/>
        <w:ind w:firstLine="283"/>
        <w:jc w:val="both"/>
      </w:pPr>
      <w:r>
        <w:rPr>
          <w:rtl/>
        </w:rPr>
        <w:lastRenderedPageBreak/>
        <w:t xml:space="preserve">הקורא האמריקאי עשוי למצוא ביחסו של ר׳ </w:t>
      </w:r>
      <w:proofErr w:type="spellStart"/>
      <w:r>
        <w:rPr>
          <w:rtl/>
        </w:rPr>
        <w:t>ברוך־בער</w:t>
      </w:r>
      <w:proofErr w:type="spellEnd"/>
      <w:r>
        <w:rPr>
          <w:rtl/>
        </w:rPr>
        <w:t xml:space="preserve"> את המקור לתגובתו של ר׳ שלמה היימן,</w:t>
      </w:r>
      <w:bookmarkStart w:id="3136" w:name="_fnr2246"/>
      <w:r>
        <w:rPr>
          <w:rStyle w:val="a5"/>
        </w:rPr>
        <w:footnoteReference w:id="2252" w:customMarkFollows="0"/>
      </w:r>
      <w:bookmarkEnd w:id="3136"/>
      <w:r>
        <w:rPr>
          <w:rtl/>
        </w:rPr>
        <w:t xml:space="preserve"> שעמד אז בראש ישיבת מתיבתא תורה ודעת, למאמר “תורת חסידות חב״ד” מאת א.י. סגל (לפי המסופר, שם העט של אהרן לוויט). המאמר התפרסם בערב ראש חודש חשוון תש״א, בגיליון השני של “הקריאה והקדושה” – ירחון </w:t>
      </w:r>
      <w:proofErr w:type="spellStart"/>
      <w:r>
        <w:rPr>
          <w:rtl/>
        </w:rPr>
        <w:t>ליובאוויטשי</w:t>
      </w:r>
      <w:proofErr w:type="spellEnd"/>
      <w:r>
        <w:rPr>
          <w:rtl/>
        </w:rPr>
        <w:t xml:space="preserve"> מוקדם ביידיש, שבכותרתו הוכרז כי הוא יוצא “בהסכמת הרבי </w:t>
      </w:r>
      <w:proofErr w:type="spellStart"/>
      <w:r>
        <w:rPr>
          <w:rtl/>
        </w:rPr>
        <w:t>מליובאוויטש</w:t>
      </w:r>
      <w:proofErr w:type="spellEnd"/>
      <w:r>
        <w:rPr>
          <w:rtl/>
        </w:rPr>
        <w:t xml:space="preserve">”. הרבי, ר׳ </w:t>
      </w:r>
      <w:proofErr w:type="spellStart"/>
      <w:r>
        <w:rPr>
          <w:rtl/>
        </w:rPr>
        <w:t>יוסף־יצחק</w:t>
      </w:r>
      <w:proofErr w:type="spellEnd"/>
      <w:r>
        <w:rPr>
          <w:rtl/>
        </w:rPr>
        <w:t xml:space="preserve"> שניאורסון, הגיע לארצות הברית קצת יותר משבעה חודשים קודם לכן, בט׳ באדר ב׳ ת״ש.</w:t>
      </w:r>
    </w:p>
    <w:p w14:paraId="707C85CB" w14:textId="77777777" w:rsidR="00AB3647" w:rsidRDefault="00000000" w:rsidP="007923E9">
      <w:pPr>
        <w:spacing w:after="120" w:line="276" w:lineRule="auto"/>
        <w:ind w:firstLine="283"/>
        <w:jc w:val="both"/>
      </w:pPr>
      <w:r>
        <w:rPr>
          <w:rtl/>
        </w:rPr>
        <w:t xml:space="preserve">המאמר נקט כדוגמה את המשנה הראשונה בפרק החמישי של מסכת בבא קמא, “שור שנגח את הפרה”. לטענתו, מלבד היכולת “להכריע בסכסוך ממוני בין שני בני אדם” – </w:t>
      </w:r>
      <w:proofErr w:type="spellStart"/>
      <w:r>
        <w:rPr>
          <w:rtl/>
        </w:rPr>
        <w:t>ש“חשוב</w:t>
      </w:r>
      <w:proofErr w:type="spellEnd"/>
      <w:r>
        <w:rPr>
          <w:rtl/>
        </w:rPr>
        <w:t xml:space="preserve"> ככל שיהיה, הוא </w:t>
      </w:r>
      <w:r>
        <w:rPr>
          <w:b/>
          <w:bCs/>
          <w:rtl/>
        </w:rPr>
        <w:t>כולו גשמיות</w:t>
      </w:r>
      <w:r>
        <w:rPr>
          <w:rtl/>
        </w:rPr>
        <w:t xml:space="preserve"> (וכשלומדים זאת בעיר גדולה, שאין בה שדות ובהם שוורים ופרות, זהו נושא דל בהשראה אפילו מן הבחינה הגשמית)” – אדם “לא יפיק שום תועלת רוחנית מלימודה”. ועוד טוען המאמר: “בוודאי שלימוד שטחי של משנה זו אין לו קשר עם האלוקות, והוא מזכיר ללומד מעט מאוד את אלוקים: בחלק הנגלה שבתורה לא ניכר שום ניצוץ של אור אלוקי. אך כשהחסידות נוטלת את אותה משנה ומתחילה לחשוף ממנה את פנימיות התורה, את הנסתר, עולה אור חדש, המזכיר ליהודי את נותן התורה ומותיר בלומד ובמשתתף לקח מוסרי עמוק בעל ערך רוחני עצום.” (המאמר ממשיך לפרש את המשנה האמורה לפי “פנימיות על פי חסידות”.)</w:t>
      </w:r>
    </w:p>
    <w:p w14:paraId="7425B30E" w14:textId="77777777" w:rsidR="00AB3647" w:rsidRDefault="00000000" w:rsidP="007923E9">
      <w:pPr>
        <w:spacing w:after="120" w:line="276" w:lineRule="auto"/>
        <w:ind w:firstLine="283"/>
        <w:jc w:val="both"/>
      </w:pPr>
      <w:r>
        <w:rPr>
          <w:rtl/>
        </w:rPr>
        <w:t xml:space="preserve">מעניין שלפני </w:t>
      </w:r>
      <w:proofErr w:type="spellStart"/>
      <w:r>
        <w:rPr>
          <w:rtl/>
        </w:rPr>
        <w:t>שליובאוויטש</w:t>
      </w:r>
      <w:proofErr w:type="spellEnd"/>
      <w:r>
        <w:rPr>
          <w:rtl/>
        </w:rPr>
        <w:t xml:space="preserve"> הקימה את רשת הישיבות שלה, שקראה לה “תומכי תמימים”, והייתה צריכה לשלוח תלמידים לישיבות “ליטאיות”, תוארה ישיבת </w:t>
      </w:r>
      <w:proofErr w:type="spellStart"/>
      <w:r>
        <w:rPr>
          <w:rtl/>
        </w:rPr>
        <w:t>וולוז׳ין</w:t>
      </w:r>
      <w:proofErr w:type="spellEnd"/>
      <w:r>
        <w:rPr>
          <w:rtl/>
        </w:rPr>
        <w:t>, כנראה בחוגים חסידיים, כמוסד</w:t>
      </w:r>
      <w:r>
        <w:t xml:space="preserve"> </w:t>
      </w:r>
      <w:r>
        <w:rPr>
          <w:rtl/>
        </w:rPr>
        <w:t xml:space="preserve">יבש ומתנגדי של “שור שנגח את הפרה” – באמצעות אותה משנה </w:t>
      </w:r>
      <w:proofErr w:type="spellStart"/>
      <w:r>
        <w:rPr>
          <w:rtl/>
        </w:rPr>
        <w:t>שליובאוויטש</w:t>
      </w:r>
      <w:proofErr w:type="spellEnd"/>
      <w:r>
        <w:rPr>
          <w:rtl/>
        </w:rPr>
        <w:t xml:space="preserve"> זלזלה בה במאמר </w:t>
      </w:r>
      <w:proofErr w:type="spellStart"/>
      <w:r>
        <w:rPr>
          <w:rtl/>
        </w:rPr>
        <w:t>ב“הקריאה</w:t>
      </w:r>
      <w:proofErr w:type="spellEnd"/>
      <w:r>
        <w:rPr>
          <w:rtl/>
        </w:rPr>
        <w:t xml:space="preserve"> והקדושה”. ראה יעקב מארק.</w:t>
      </w:r>
      <w:bookmarkStart w:id="3137" w:name="_fnr2247"/>
      <w:r>
        <w:rPr>
          <w:rStyle w:val="a5"/>
        </w:rPr>
        <w:footnoteReference w:id="2253" w:customMarkFollows="0"/>
      </w:r>
      <w:bookmarkEnd w:id="3137"/>
      <w:r>
        <w:rPr>
          <w:rtl/>
        </w:rPr>
        <w:t xml:space="preserve"> השקפה זו על דף גמרא הפוכה בבירור מזו של ר׳ </w:t>
      </w:r>
      <w:proofErr w:type="spellStart"/>
      <w:r>
        <w:rPr>
          <w:rtl/>
        </w:rPr>
        <w:t>ברוך־בער</w:t>
      </w:r>
      <w:proofErr w:type="spellEnd"/>
      <w:r>
        <w:rPr>
          <w:rtl/>
        </w:rPr>
        <w:t>, שלפיה עצם הדיון בגמרא מקנה קדושה אפילו לקורקבן הפשוט.</w:t>
      </w:r>
      <w:bookmarkStart w:id="3138" w:name="_fnr2248"/>
      <w:r>
        <w:rPr>
          <w:rStyle w:val="a5"/>
        </w:rPr>
        <w:footnoteReference w:id="2254" w:customMarkFollows="0"/>
      </w:r>
      <w:bookmarkEnd w:id="3138"/>
    </w:p>
    <w:p w14:paraId="65531918" w14:textId="77777777" w:rsidR="00AB3647" w:rsidRDefault="00000000" w:rsidP="007923E9">
      <w:pPr>
        <w:spacing w:after="120" w:line="276" w:lineRule="auto"/>
        <w:ind w:firstLine="283"/>
        <w:jc w:val="both"/>
      </w:pPr>
      <w:r>
        <w:rPr>
          <w:rtl/>
        </w:rPr>
        <w:t xml:space="preserve">הרב היימן, אחד מתלמידיו המובהקים של ר׳ </w:t>
      </w:r>
      <w:proofErr w:type="spellStart"/>
      <w:r>
        <w:rPr>
          <w:rtl/>
        </w:rPr>
        <w:t>ברוך־בער</w:t>
      </w:r>
      <w:proofErr w:type="spellEnd"/>
      <w:r>
        <w:rPr>
          <w:rtl/>
        </w:rPr>
        <w:t xml:space="preserve"> ובדרך כלל אדם שוחר שלום,</w:t>
      </w:r>
      <w:bookmarkStart w:id="3139" w:name="_fnr2249"/>
      <w:r>
        <w:rPr>
          <w:rStyle w:val="a5"/>
        </w:rPr>
        <w:footnoteReference w:id="2255" w:customMarkFollows="0"/>
      </w:r>
      <w:bookmarkEnd w:id="3139"/>
      <w:r>
        <w:rPr>
          <w:rtl/>
        </w:rPr>
        <w:t xml:space="preserve"> התרגז מאוד על ר׳ </w:t>
      </w:r>
      <w:proofErr w:type="spellStart"/>
      <w:r>
        <w:rPr>
          <w:rtl/>
        </w:rPr>
        <w:t>יוסף־יצחק</w:t>
      </w:r>
      <w:proofErr w:type="spellEnd"/>
      <w:r>
        <w:rPr>
          <w:rtl/>
        </w:rPr>
        <w:t xml:space="preserve"> שניאורסון. הוא פנה </w:t>
      </w:r>
      <w:proofErr w:type="spellStart"/>
      <w:r>
        <w:rPr>
          <w:rtl/>
        </w:rPr>
        <w:t>לר</w:t>
      </w:r>
      <w:proofErr w:type="spellEnd"/>
      <w:r>
        <w:rPr>
          <w:rtl/>
        </w:rPr>
        <w:t xml:space="preserve">׳ משה </w:t>
      </w:r>
      <w:proofErr w:type="spellStart"/>
      <w:r>
        <w:rPr>
          <w:rtl/>
        </w:rPr>
        <w:t>סולובייצ׳יק</w:t>
      </w:r>
      <w:proofErr w:type="spellEnd"/>
      <w:r>
        <w:rPr>
          <w:rtl/>
        </w:rPr>
        <w:t xml:space="preserve">, ראש ישיבת רבנו יצחק אלחנן, והציע שבנו המוכשר, ר׳ </w:t>
      </w:r>
      <w:proofErr w:type="spellStart"/>
      <w:r>
        <w:rPr>
          <w:rtl/>
        </w:rPr>
        <w:t xml:space="preserve">יוסף־דב</w:t>
      </w:r>
      <w:proofErr w:type="spellEnd"/>
      <w:r>
        <w:rPr>
          <w:rtl/>
        </w:rPr>
        <w:t>, יכתוב תשובה הולמת.</w:t>
      </w:r>
    </w:p>
    <w:p w14:paraId="3FF6950C" w14:textId="77777777" w:rsidR="00AB3647" w:rsidRDefault="00000000" w:rsidP="007923E9">
      <w:pPr>
        <w:spacing w:after="120" w:line="276" w:lineRule="auto"/>
        <w:ind w:firstLine="283"/>
        <w:jc w:val="both"/>
      </w:pPr>
      <w:r>
        <w:rPr>
          <w:rtl/>
        </w:rPr>
        <w:t xml:space="preserve">תלמיד של ר׳ יצחק </w:t>
      </w:r>
      <w:proofErr w:type="spellStart"/>
      <w:r>
        <w:rPr>
          <w:rtl/>
        </w:rPr>
        <w:t>הוטנר</w:t>
      </w:r>
      <w:proofErr w:type="spellEnd"/>
      <w:r>
        <w:rPr>
          <w:rtl/>
        </w:rPr>
        <w:t xml:space="preserve"> סיפר לי בשם רבו שביקורתו של הרבי על “שור שנגח את הפרה” נשמעה כבר באירופה, בסוף שנות </w:t>
      </w:r>
      <w:proofErr w:type="spellStart"/>
      <w:r>
        <w:rPr>
          <w:rtl/>
        </w:rPr>
        <w:t>הת״ר־צ</w:t>
      </w:r>
      <w:proofErr w:type="spellEnd"/>
      <w:r>
        <w:rPr>
          <w:rtl/>
        </w:rPr>
        <w:t xml:space="preserve">׳, והגיעה לאוזניו של ר׳ </w:t>
      </w:r>
      <w:proofErr w:type="spellStart"/>
      <w:r>
        <w:rPr>
          <w:rtl/>
        </w:rPr>
        <w:t>ברוך־בער</w:t>
      </w:r>
      <w:proofErr w:type="spellEnd"/>
      <w:r>
        <w:rPr>
          <w:rtl/>
        </w:rPr>
        <w:t>.</w:t>
      </w:r>
      <w:bookmarkStart w:id="3140" w:name="_fnr2250"/>
      <w:r>
        <w:rPr>
          <w:rStyle w:val="a5"/>
        </w:rPr>
        <w:footnoteReference w:id="2256" w:customMarkFollows="0"/>
      </w:r>
      <w:bookmarkEnd w:id="3140"/>
      <w:r>
        <w:rPr>
          <w:rtl/>
        </w:rPr>
        <w:t xml:space="preserve"> ראש הישיבה </w:t>
      </w:r>
      <w:r>
        <w:rPr>
          <w:rtl/>
        </w:rPr>
        <w:lastRenderedPageBreak/>
        <w:t>החיל על הרבי את דברי דוד המלך: “</w:t>
      </w:r>
      <w:proofErr w:type="spellStart"/>
      <w:r>
        <w:rPr>
          <w:rtl/>
        </w:rPr>
        <w:t>יסכר</w:t>
      </w:r>
      <w:proofErr w:type="spellEnd"/>
      <w:r>
        <w:rPr>
          <w:rtl/>
        </w:rPr>
        <w:t xml:space="preserve"> פי דוברי שקר”</w:t>
      </w:r>
      <w:bookmarkStart w:id="3141" w:name="_fnr2251"/>
      <w:r>
        <w:rPr>
          <w:rStyle w:val="a5"/>
        </w:rPr>
        <w:footnoteReference w:id="2257" w:customMarkFollows="0"/>
      </w:r>
      <w:bookmarkEnd w:id="3141"/>
      <w:r>
        <w:rPr>
          <w:rtl/>
        </w:rPr>
        <w:t xml:space="preserve"> – ואז לקה הרבי בשבץ ששיתק חלקית את דיבורו!</w:t>
      </w:r>
    </w:p>
    <w:p w14:paraId="71C0B357" w14:textId="77777777" w:rsidR="00AB3647" w:rsidRDefault="00000000" w:rsidP="007923E9">
      <w:pPr>
        <w:spacing w:after="120" w:line="276" w:lineRule="auto"/>
        <w:ind w:firstLine="283"/>
        <w:jc w:val="both"/>
      </w:pPr>
      <w:r>
        <w:rPr>
          <w:rtl/>
        </w:rPr>
        <w:t xml:space="preserve">אבל אני מציע שר׳ </w:t>
      </w:r>
      <w:proofErr w:type="spellStart"/>
      <w:r>
        <w:rPr>
          <w:rtl/>
        </w:rPr>
        <w:t>ברוך־בער</w:t>
      </w:r>
      <w:proofErr w:type="spellEnd"/>
      <w:r>
        <w:rPr>
          <w:rtl/>
        </w:rPr>
        <w:t xml:space="preserve"> קשר את הפסוק בתהילים למקרה אחר, המתאים יותר לתיאור המקראי של החטא הראוי לקללה. כשמשפחות חסידיות בפולין החלו לשלוח את בניהן ללמוד בישיבת </w:t>
      </w:r>
      <w:proofErr w:type="spellStart"/>
      <w:r>
        <w:rPr>
          <w:rtl/>
        </w:rPr>
        <w:t>מיר</w:t>
      </w:r>
      <w:proofErr w:type="spellEnd"/>
      <w:r>
        <w:rPr>
          <w:rtl/>
        </w:rPr>
        <w:t xml:space="preserve">, שלח הרבי אחד מחסידיו, בן משפחת </w:t>
      </w:r>
      <w:proofErr w:type="spellStart"/>
      <w:r>
        <w:rPr>
          <w:rtl/>
        </w:rPr>
        <w:t>גוראריה</w:t>
      </w:r>
      <w:proofErr w:type="spellEnd"/>
      <w:r>
        <w:rPr>
          <w:rtl/>
        </w:rPr>
        <w:t>, לבדוק את המקום. אחר כך פרסם הרבי את דיווחו של השליח, שתלמידי הישיבות “הליטאיות” אינם מגדלים זקנים – דבר שהיה נכון – ושאינם לובשים טליתות קטנות מתחת לבגדיהם – דבר שלא היה נכון. המידע השגוי נולד כשהחסיד ראה שהתלמידים אינם מוציאים את ציציותיהם מתחת לחולצותיהם בשעת קריאת שמע, ושאל אחד מהם מדוע. במקום לומר בפשטות שבחוגי המוסר נחשב בלתי ראוי להתעסק בסידור הבגדים באמצע התפילה,</w:t>
      </w:r>
      <w:bookmarkStart w:id="3142" w:name="_fnr2252"/>
      <w:r>
        <w:rPr>
          <w:rStyle w:val="a5"/>
        </w:rPr>
        <w:footnoteReference w:id="2258" w:customMarkFollows="0"/>
      </w:r>
      <w:bookmarkEnd w:id="3142"/>
      <w:r>
        <w:rPr>
          <w:rtl/>
        </w:rPr>
        <w:t xml:space="preserve"> השיב הבחור בבדיחות הדעת: “שלא לבייש את מי שאין לו”</w:t>
      </w:r>
      <w:bookmarkStart w:id="3143" w:name="_fnr2253"/>
      <w:r>
        <w:rPr>
          <w:rStyle w:val="a5"/>
        </w:rPr>
        <w:footnoteReference w:id="2259" w:customMarkFollows="0"/>
      </w:r>
      <w:bookmarkEnd w:id="3143"/>
      <w:r>
        <w:rPr>
          <w:rtl/>
        </w:rPr>
        <w:t xml:space="preserve">. הבדיחה התמימה הביאה להודעה פומבית של הרבי, שאין לחסידים לשלוח את בניהם לישיבות “ליטאיות” בשל שני “הפגמים”: שאין מגדלים בהן זקנים ואין לובשים בהן בגדים בעלי ארבע כנפות. על כך החיל ר׳ </w:t>
      </w:r>
      <w:proofErr w:type="spellStart"/>
      <w:r>
        <w:rPr>
          <w:rtl/>
        </w:rPr>
        <w:t>ברוך־בער</w:t>
      </w:r>
      <w:proofErr w:type="spellEnd"/>
      <w:r>
        <w:rPr>
          <w:rtl/>
        </w:rPr>
        <w:t xml:space="preserve"> את הפסוק בתהילים.</w:t>
      </w:r>
    </w:p>
    <w:p w14:paraId="08AD0379" w14:textId="77777777" w:rsidR="00AB3647" w:rsidRDefault="00000000" w:rsidP="007923E9">
      <w:pPr>
        <w:spacing w:after="120" w:line="276" w:lineRule="auto"/>
        <w:ind w:firstLine="283"/>
        <w:jc w:val="both"/>
      </w:pPr>
      <w:r>
        <w:rPr>
          <w:rtl/>
        </w:rPr>
        <w:t>בדיחת “שלא לבייש” נאמרה גם קודם לכן. ראה “הלילה איננו אפל” מאת יהודית גולן</w:t>
      </w:r>
      <w:bookmarkStart w:id="3144" w:name="_fnr2254"/>
      <w:r>
        <w:rPr>
          <w:rStyle w:val="a5"/>
        </w:rPr>
        <w:footnoteReference w:id="2260" w:customMarkFollows="0"/>
      </w:r>
      <w:bookmarkEnd w:id="3144"/>
      <w:r>
        <w:rPr>
          <w:rtl/>
        </w:rPr>
        <w:t xml:space="preserve">, המספר שכאשר תכנן ר׳ מאיר שפירא להקים ישיבה בלובלין, ביקש ללמוד לצורך מפעלו החדש כיצד נראות הישיבות “הליטאיות”. בין הישיבות שביקר בהן הייתה ישיבת </w:t>
      </w:r>
      <w:proofErr w:type="spellStart"/>
      <w:r>
        <w:rPr>
          <w:rtl/>
        </w:rPr>
        <w:t>מיר</w:t>
      </w:r>
      <w:bookmarkStart w:id="3145" w:name="_fnr2255"/>
      <w:proofErr w:type="spellEnd"/>
      <w:r>
        <w:rPr>
          <w:rStyle w:val="a5"/>
        </w:rPr>
        <w:footnoteReference w:id="2261" w:customMarkFollows="0"/>
      </w:r>
      <w:bookmarkEnd w:id="3145"/>
      <w:bookmarkStart w:id="7024" w:name="_TranslatorNote_5387"/>
      <w:r>
        <w:rPr>
          <w:rStyle w:val="a5"/>
          <w:vertAlign w:val="superscript"/>
          <w:rtl/>
        </w:rPr>
        <w:footnoteReference w:id="2262" w:customMarkFollows="1"/>
        <w:t>*</w:t>
      </w:r>
      <w:bookmarkEnd w:id="7024"/>
      <w:r>
        <w:rPr>
          <w:rtl/>
        </w:rPr>
        <w:t xml:space="preserve">, ושם ניתן לו ההסבר המשועשע הזה להצנעת הציציות. כששב ר׳ מאיר שפירא לביתו, שלח לישיבה חבילה גדולה של ציציות “בשביל התלמידים שאין להם”. כשנודע למשגיח ר׳ ירוחם </w:t>
      </w:r>
      <w:proofErr w:type="spellStart"/>
      <w:r>
        <w:rPr>
          <w:rtl/>
        </w:rPr>
        <w:t>ליבוביץ</w:t>
      </w:r>
      <w:proofErr w:type="spellEnd"/>
      <w:r>
        <w:rPr>
          <w:rtl/>
        </w:rPr>
        <w:t xml:space="preserve"> מדוע נשלחה החבילה, נשא שיחה שעיקרה שאפשר להתבדח עם מכר שיבין בדיחה כבדיחה, אך לא עם זר העלול לקבלה ברצינות. מובן שהמתבדח שחזר על החידוד באוזני </w:t>
      </w:r>
      <w:proofErr w:type="spellStart"/>
      <w:r>
        <w:rPr>
          <w:rtl/>
        </w:rPr>
        <w:t>גוראריה</w:t>
      </w:r>
      <w:proofErr w:type="spellEnd"/>
      <w:r>
        <w:rPr>
          <w:rtl/>
        </w:rPr>
        <w:t xml:space="preserve"> לא שמע את שיחת המשגיח, או לא נהג לפיה.</w:t>
      </w:r>
      <w:bookmarkStart w:id="3146" w:name="_fnr2256"/>
      <w:r>
        <w:rPr>
          <w:rStyle w:val="a5"/>
        </w:rPr>
        <w:footnoteReference w:id="2263" w:customMarkFollows="0"/>
      </w:r>
      <w:bookmarkEnd w:id="3146"/>
    </w:p>
    <w:p w14:paraId="706AFDF7" w14:textId="77777777" w:rsidR="00AB3647" w:rsidRDefault="00000000" w:rsidP="007923E9">
      <w:pPr>
        <w:spacing w:after="120" w:line="276" w:lineRule="auto"/>
        <w:ind w:firstLine="283"/>
        <w:jc w:val="both"/>
      </w:pPr>
      <w:r>
        <w:rPr>
          <w:rtl/>
        </w:rPr>
        <w:t xml:space="preserve">ר׳ אברהם </w:t>
      </w:r>
      <w:proofErr w:type="spellStart"/>
      <w:r>
        <w:rPr>
          <w:rtl/>
        </w:rPr>
        <w:t>ורדיגר</w:t>
      </w:r>
      <w:proofErr w:type="spellEnd"/>
      <w:r>
        <w:rPr>
          <w:rtl/>
        </w:rPr>
        <w:t xml:space="preserve"> סיפר</w:t>
      </w:r>
      <w:bookmarkStart w:id="3147" w:name="_fnr2257"/>
      <w:r>
        <w:rPr>
          <w:rStyle w:val="a5"/>
        </w:rPr>
        <w:footnoteReference w:id="2264" w:customMarkFollows="0"/>
      </w:r>
      <w:bookmarkEnd w:id="3147"/>
      <w:r>
        <w:rPr>
          <w:rtl/>
        </w:rPr>
        <w:t xml:space="preserve"> שגם הרבי האחרון מסלונים באירופה, ר׳ </w:t>
      </w:r>
      <w:proofErr w:type="spellStart"/>
      <w:r>
        <w:rPr>
          <w:rtl/>
        </w:rPr>
        <w:t>שלמה־דוד־יהושע</w:t>
      </w:r>
      <w:proofErr w:type="spellEnd"/>
      <w:r>
        <w:rPr>
          <w:rtl/>
        </w:rPr>
        <w:t xml:space="preserve"> ויינברג, שהתגורר </w:t>
      </w:r>
      <w:proofErr w:type="spellStart"/>
      <w:r>
        <w:rPr>
          <w:rtl/>
        </w:rPr>
        <w:t>בברנוביץ</w:t>
      </w:r>
      <w:proofErr w:type="spellEnd"/>
      <w:r>
        <w:rPr>
          <w:rtl/>
        </w:rPr>
        <w:t xml:space="preserve">׳ ונרצח שם עם כל משפחתו על קידוש השם, מתח ביקורת על הישיבות “הליטאיות”. כשביקר אצלו פעם בחור ואמר שהוא לומד </w:t>
      </w:r>
      <w:proofErr w:type="spellStart"/>
      <w:r>
        <w:rPr>
          <w:rtl/>
        </w:rPr>
        <w:t>ב“מיר</w:t>
      </w:r>
      <w:proofErr w:type="spellEnd"/>
      <w:r>
        <w:rPr>
          <w:rtl/>
        </w:rPr>
        <w:t xml:space="preserve">”, נשא הרבי את ידיו </w:t>
      </w:r>
      <w:proofErr w:type="spellStart"/>
      <w:r>
        <w:rPr>
          <w:rtl/>
        </w:rPr>
        <w:t>השמימה</w:t>
      </w:r>
      <w:proofErr w:type="spellEnd"/>
      <w:r>
        <w:rPr>
          <w:rtl/>
        </w:rPr>
        <w:t xml:space="preserve"> ושיחק במילים – ביידיש “</w:t>
      </w:r>
      <w:proofErr w:type="spellStart"/>
      <w:r>
        <w:rPr>
          <w:rtl/>
        </w:rPr>
        <w:t>מיר</w:t>
      </w:r>
      <w:proofErr w:type="spellEnd"/>
      <w:r>
        <w:rPr>
          <w:rtl/>
        </w:rPr>
        <w:t>” פירושו “לי” – וקרא: “ריבונו של עולם, כמה רחוק פון ‘</w:t>
      </w:r>
      <w:proofErr w:type="spellStart"/>
      <w:r>
        <w:rPr>
          <w:rtl/>
        </w:rPr>
        <w:t>מיר</w:t>
      </w:r>
      <w:proofErr w:type="spellEnd"/>
      <w:r>
        <w:rPr>
          <w:rtl/>
        </w:rPr>
        <w:t xml:space="preserve">’ צו דיר [ממני אליך]!” הרב </w:t>
      </w:r>
      <w:proofErr w:type="spellStart"/>
      <w:r>
        <w:rPr>
          <w:rtl/>
        </w:rPr>
        <w:t>ורדיגר</w:t>
      </w:r>
      <w:proofErr w:type="spellEnd"/>
      <w:r>
        <w:rPr>
          <w:rtl/>
        </w:rPr>
        <w:t xml:space="preserve">, שהצטרף לישיבת </w:t>
      </w:r>
      <w:proofErr w:type="spellStart"/>
      <w:r>
        <w:rPr>
          <w:rtl/>
        </w:rPr>
        <w:t>מיר</w:t>
      </w:r>
      <w:proofErr w:type="spellEnd"/>
      <w:r>
        <w:rPr>
          <w:rtl/>
        </w:rPr>
        <w:t xml:space="preserve"> </w:t>
      </w:r>
      <w:proofErr w:type="spellStart"/>
      <w:r>
        <w:rPr>
          <w:rtl/>
        </w:rPr>
        <w:t>בתרצ״ו</w:t>
      </w:r>
      <w:proofErr w:type="spellEnd"/>
      <w:r>
        <w:rPr>
          <w:rtl/>
        </w:rPr>
        <w:t xml:space="preserve">, זכר שהיו </w:t>
      </w:r>
      <w:r>
        <w:rPr>
          <w:rtl/>
        </w:rPr>
        <w:lastRenderedPageBreak/>
        <w:t xml:space="preserve">אז </w:t>
      </w:r>
      <w:proofErr w:type="spellStart"/>
      <w:r>
        <w:rPr>
          <w:rtl/>
        </w:rPr>
        <w:t>במיר</w:t>
      </w:r>
      <w:proofErr w:type="spellEnd"/>
      <w:r>
        <w:rPr>
          <w:rtl/>
        </w:rPr>
        <w:t xml:space="preserve"> כמה בחורים חסידיים: </w:t>
      </w:r>
      <w:proofErr w:type="spellStart"/>
      <w:r>
        <w:rPr>
          <w:rtl/>
        </w:rPr>
        <w:t>חמישה־עשר</w:t>
      </w:r>
      <w:proofErr w:type="spellEnd"/>
      <w:r>
        <w:rPr>
          <w:rtl/>
        </w:rPr>
        <w:t xml:space="preserve"> חסידי גור, שניים מהונגריה, אחד </w:t>
      </w:r>
      <w:proofErr w:type="spellStart"/>
      <w:r>
        <w:rPr>
          <w:rtl/>
        </w:rPr>
        <w:t>ממונקאטש</w:t>
      </w:r>
      <w:proofErr w:type="spellEnd"/>
      <w:r>
        <w:rPr>
          <w:rtl/>
        </w:rPr>
        <w:t xml:space="preserve"> – שהייתה אז בצ׳כוסלובקיה – ואחד מרומניה.</w:t>
      </w:r>
    </w:p>
    <w:p w14:paraId="539DD1BC" w14:textId="77777777" w:rsidR="00AB3647" w:rsidRDefault="00000000" w:rsidP="007923E9">
      <w:pPr>
        <w:spacing w:after="120" w:line="276" w:lineRule="auto"/>
        <w:ind w:firstLine="283"/>
        <w:jc w:val="both"/>
      </w:pPr>
      <w:r>
        <w:rPr>
          <w:rtl/>
        </w:rPr>
        <w:t xml:space="preserve">הרב </w:t>
      </w:r>
      <w:proofErr w:type="spellStart"/>
      <w:r>
        <w:rPr>
          <w:rtl/>
        </w:rPr>
        <w:t>ורדיגר</w:t>
      </w:r>
      <w:proofErr w:type="spellEnd"/>
      <w:r>
        <w:rPr>
          <w:rtl/>
        </w:rPr>
        <w:t xml:space="preserve"> סיפר גם על שני אחים שהגיעו מאוחר יותר </w:t>
      </w:r>
      <w:proofErr w:type="spellStart"/>
      <w:r>
        <w:rPr>
          <w:rtl/>
        </w:rPr>
        <w:t>למיר</w:t>
      </w:r>
      <w:proofErr w:type="spellEnd"/>
      <w:r>
        <w:rPr>
          <w:rtl/>
        </w:rPr>
        <w:t xml:space="preserve"> </w:t>
      </w:r>
      <w:proofErr w:type="spellStart"/>
      <w:r>
        <w:rPr>
          <w:rtl/>
        </w:rPr>
        <w:t>ממונטרה</w:t>
      </w:r>
      <w:proofErr w:type="spellEnd"/>
      <w:r>
        <w:rPr>
          <w:rtl/>
        </w:rPr>
        <w:t xml:space="preserve"> שבשווייץ. אחד היה אירופי מודרני ואלגנטי, ואילו האחר היה חסיד </w:t>
      </w:r>
      <w:proofErr w:type="spellStart"/>
      <w:r>
        <w:rPr>
          <w:rtl/>
        </w:rPr>
        <w:t>מונקאטש</w:t>
      </w:r>
      <w:proofErr w:type="spellEnd"/>
      <w:r>
        <w:rPr>
          <w:rtl/>
        </w:rPr>
        <w:t xml:space="preserve"> בעל פאות ארוכות וזקן. כיצד נעשה חסיד </w:t>
      </w:r>
      <w:proofErr w:type="spellStart"/>
      <w:r>
        <w:rPr>
          <w:rtl/>
        </w:rPr>
        <w:t>במונטרה</w:t>
      </w:r>
      <w:proofErr w:type="spellEnd"/>
      <w:r>
        <w:rPr>
          <w:rtl/>
        </w:rPr>
        <w:t xml:space="preserve">? ר׳ אברהם הסביר: “אח מבוגר יותר נשא את בתו של הרב ד״ר </w:t>
      </w:r>
      <w:proofErr w:type="spellStart"/>
      <w:r>
        <w:rPr>
          <w:rtl/>
        </w:rPr>
        <w:t>שמעון־ישראל</w:t>
      </w:r>
      <w:proofErr w:type="spellEnd"/>
      <w:r>
        <w:rPr>
          <w:rtl/>
        </w:rPr>
        <w:t xml:space="preserve"> </w:t>
      </w:r>
      <w:proofErr w:type="spellStart"/>
      <w:r>
        <w:rPr>
          <w:rtl/>
        </w:rPr>
        <w:t>פוזן</w:t>
      </w:r>
      <w:proofErr w:type="spellEnd"/>
      <w:r>
        <w:rPr>
          <w:rtl/>
        </w:rPr>
        <w:t xml:space="preserve">, הרב משופרון. הרב </w:t>
      </w:r>
      <w:proofErr w:type="spellStart"/>
      <w:r>
        <w:rPr>
          <w:rtl/>
        </w:rPr>
        <w:t>פוזן</w:t>
      </w:r>
      <w:proofErr w:type="spellEnd"/>
      <w:r>
        <w:rPr>
          <w:rtl/>
        </w:rPr>
        <w:t xml:space="preserve">, יליד פרנקפורט, התוודע ליהדות החסידית בשירותו בצבא הגרמני בפולין במלחמת העולם הראשונה. אחר כך התקרב מאוד לרב </w:t>
      </w:r>
      <w:proofErr w:type="spellStart"/>
      <w:r>
        <w:rPr>
          <w:rtl/>
        </w:rPr>
        <w:t>ממונקאטש</w:t>
      </w:r>
      <w:proofErr w:type="spellEnd"/>
      <w:r>
        <w:rPr>
          <w:rtl/>
        </w:rPr>
        <w:t xml:space="preserve">, ר׳ </w:t>
      </w:r>
      <w:proofErr w:type="spellStart"/>
      <w:r>
        <w:rPr>
          <w:rtl/>
        </w:rPr>
        <w:t>חיים־אלעזר</w:t>
      </w:r>
      <w:proofErr w:type="spellEnd"/>
      <w:r>
        <w:rPr>
          <w:rtl/>
        </w:rPr>
        <w:t xml:space="preserve"> שפירא, החזיר את תואר הדוקטור שלו, לבש לבוש חסידי מלא, נעשה מתנגד חריף לציונות כמו הרב, וכיהן כרבה של שופרון שבצ׳כוסלובקיה</w:t>
      </w:r>
      <w:bookmarkStart w:id="3148" w:name="_fnr2258"/>
      <w:bookmarkEnd w:id="3148"/>
      <w:r>
        <w:rPr>
          <w:rStyle w:val="a5"/>
        </w:rPr>
        <w:t/>
      </w:r>
      <w:bookmarkStart w:id="7025" w:name="_TranslatorNote_2257"/>
      <w:r>
        <w:rPr>
          <w:rStyle w:val="a5"/>
          <w:vertAlign w:val="superscript"/>
          <w:rtl/>
        </w:rPr>
        <w:footnoteReference w:id="2265" w:customMarkFollows="1"/>
        <w:t>*</w:t>
      </w:r>
      <w:bookmarkEnd w:id="7025"/>
      <w:r>
        <w:rPr>
          <w:rtl/>
        </w:rPr>
        <w:t xml:space="preserve">. חתנו השפיע על אחד מאחיו להיעשות חסיד </w:t>
      </w:r>
      <w:proofErr w:type="spellStart"/>
      <w:r>
        <w:rPr>
          <w:rtl/>
        </w:rPr>
        <w:t>מונקאטש</w:t>
      </w:r>
      <w:proofErr w:type="spellEnd"/>
      <w:r>
        <w:rPr>
          <w:rtl/>
        </w:rPr>
        <w:t>.”</w:t>
      </w:r>
    </w:p>
    <w:p w14:paraId="6883ED70" w14:textId="77777777" w:rsidR="00AB3647" w:rsidRDefault="00000000" w:rsidP="007923E9">
      <w:pPr>
        <w:spacing w:after="120" w:line="276" w:lineRule="auto"/>
        <w:ind w:firstLine="283"/>
        <w:jc w:val="both"/>
      </w:pPr>
      <w:r>
        <w:rPr>
          <w:rtl/>
        </w:rPr>
        <w:t xml:space="preserve">הרבי </w:t>
      </w:r>
      <w:proofErr w:type="spellStart"/>
      <w:r>
        <w:rPr>
          <w:rtl/>
        </w:rPr>
        <w:t>מליובאוויטש</w:t>
      </w:r>
      <w:proofErr w:type="spellEnd"/>
      <w:r>
        <w:rPr>
          <w:rtl/>
        </w:rPr>
        <w:t xml:space="preserve"> כבר התבטא בחריפות נגד הישיבות “הליטאיות” בראשית שנות </w:t>
      </w:r>
      <w:proofErr w:type="spellStart"/>
      <w:r>
        <w:rPr>
          <w:rtl/>
        </w:rPr>
        <w:t>הת״ר־צ</w:t>
      </w:r>
      <w:proofErr w:type="spellEnd"/>
      <w:r>
        <w:rPr>
          <w:rtl/>
        </w:rPr>
        <w:t xml:space="preserve">׳, כפי שעולה ממכתב שנכתב </w:t>
      </w:r>
      <w:proofErr w:type="spellStart"/>
      <w:r>
        <w:rPr>
          <w:rtl/>
        </w:rPr>
        <w:t>בתרצ״ב</w:t>
      </w:r>
      <w:proofErr w:type="spellEnd"/>
      <w:r>
        <w:rPr>
          <w:rtl/>
        </w:rPr>
        <w:t xml:space="preserve"> ונדפס מחדש </w:t>
      </w:r>
      <w:proofErr w:type="spellStart"/>
      <w:r>
        <w:rPr>
          <w:rtl/>
        </w:rPr>
        <w:t>ב“תומכי</w:t>
      </w:r>
      <w:proofErr w:type="spellEnd"/>
      <w:r>
        <w:rPr>
          <w:rtl/>
        </w:rPr>
        <w:t xml:space="preserve"> תמימים – פרקי יסוד </w:t>
      </w:r>
      <w:proofErr w:type="spellStart"/>
      <w:r>
        <w:rPr>
          <w:rtl/>
        </w:rPr>
        <w:t>מחיי</w:t>
      </w:r>
      <w:proofErr w:type="spellEnd"/>
      <w:r>
        <w:rPr>
          <w:rtl/>
        </w:rPr>
        <w:t xml:space="preserve">” מאת אברהם חנוך </w:t>
      </w:r>
      <w:proofErr w:type="spellStart"/>
      <w:r>
        <w:rPr>
          <w:rtl/>
        </w:rPr>
        <w:t>גליצנשטיין</w:t>
      </w:r>
      <w:bookmarkStart w:id="3149" w:name="_fnr2259"/>
      <w:proofErr w:type="spellEnd"/>
      <w:r>
        <w:rPr>
          <w:rStyle w:val="a5"/>
        </w:rPr>
        <w:footnoteReference w:id="2266" w:customMarkFollows="0"/>
      </w:r>
      <w:bookmarkEnd w:id="3149"/>
      <w:r>
        <w:rPr>
          <w:rtl/>
        </w:rPr>
        <w:t>. בין השאר כתב: “אנו פוגשים כיום אברכים המכונים ‘גאונים עילויים’, בעלי זקנים קצוצים ופאות גזוזות, הבונים מגדלים כדי להקל בכל עניין של מצווה, לנגח בקרניים</w:t>
      </w:r>
      <w:bookmarkStart w:id="3150" w:name="_fnr2260"/>
      <w:r>
        <w:rPr>
          <w:rStyle w:val="a5"/>
        </w:rPr>
        <w:footnoteReference w:id="2267" w:customMarkFollows="0"/>
      </w:r>
      <w:bookmarkEnd w:id="3150"/>
      <w:r>
        <w:rPr>
          <w:rtl/>
        </w:rPr>
        <w:t xml:space="preserve"> את סברות הגאונים</w:t>
      </w:r>
      <w:bookmarkStart w:id="3151" w:name="_fnr2261"/>
      <w:r>
        <w:rPr>
          <w:rStyle w:val="a5"/>
        </w:rPr>
        <w:footnoteReference w:id="2268" w:customMarkFollows="0"/>
      </w:r>
      <w:bookmarkEnd w:id="3151"/>
      <w:r>
        <w:rPr>
          <w:rtl/>
        </w:rPr>
        <w:t xml:space="preserve"> ולשבור את איסורי הראשונים. וכשאנו מתבוננים... אנו רואים שעיקר חסר מן הספר. הם יצרו תורה חדשה; הם עיצבו דרכים חדשות להקל בכל דבר, רק כדי להתאים לדרישות הזמן והחברה. מי שמכיר את תולדות היהודים בגלות ומתבונן במלחמת המשכילים </w:t>
      </w:r>
      <w:proofErr w:type="spellStart"/>
      <w:r>
        <w:rPr>
          <w:rtl/>
        </w:rPr>
        <w:t>הלא־דתיים</w:t>
      </w:r>
      <w:proofErr w:type="spellEnd"/>
      <w:r>
        <w:rPr>
          <w:rtl/>
        </w:rPr>
        <w:t xml:space="preserve"> בתורה וברבנים, יכיר הכרה מלאה שזו הייתה המטרה שאליה שאפו המשכילים. באחת משיחותיי הרבות על החינוך בישיבות, אמרתי במפורש שהישיבות פתחו את חלונות בית המדרש לרשות הרבים. חלונות נועדו להוציא ולהכניס, אך בעת הזאת, הנה, לדאבון לבנו ולמורת רוחנו, חדרו הרוח והבוץ של רשות הרבים לבית המדרש, והתלמידים מושפעים מן האוויר הקר ומריקבון הרחוב...”</w:t>
      </w:r>
    </w:p>
    <w:p w14:paraId="2838E138" w14:textId="77777777" w:rsidR="00AB3647" w:rsidRDefault="00000000" w:rsidP="007923E9">
      <w:pPr>
        <w:spacing w:after="120" w:line="276" w:lineRule="auto"/>
        <w:ind w:firstLine="283"/>
        <w:jc w:val="both"/>
      </w:pPr>
      <w:r>
        <w:rPr>
          <w:rtl/>
        </w:rPr>
        <w:t>לי לא ידוע מה היה הבסיס להתקפתו הארסית של הרבי, ומי היו אלה שתוארו כמקילים בכל עניין של מצווה. עד כמה הייתה השקפתו של הרבי מגמתית – הדבר מתגלה בטענתו האבסורדית, שאפשר להכיר הכרה מלאה כי מטרת המשכילים הייתה להעמיד את תלמיד הישיבה הליטאית שלאחר מלחמת העולם הראשונה!</w:t>
      </w:r>
      <w:bookmarkStart w:id="3152" w:name="_fnr2262"/>
      <w:r>
        <w:rPr>
          <w:rStyle w:val="a5"/>
        </w:rPr>
        <w:footnoteReference w:id="2269" w:customMarkFollows="0"/>
      </w:r>
      <w:bookmarkEnd w:id="3152"/>
    </w:p>
    <w:p w14:paraId="2924DAAA" w14:textId="77777777" w:rsidR="00AB3647" w:rsidRDefault="00000000" w:rsidP="007923E9">
      <w:pPr>
        <w:spacing w:after="120" w:line="276" w:lineRule="auto"/>
        <w:ind w:firstLine="283"/>
        <w:jc w:val="both"/>
      </w:pPr>
      <w:r>
        <w:rPr>
          <w:rtl/>
        </w:rPr>
        <w:t xml:space="preserve">תלמידי הישיבות הליטאיות נהגו שלא לגדל זקן, ומנהג זה שימש את ר׳ שמואל </w:t>
      </w:r>
      <w:proofErr w:type="spellStart"/>
      <w:r>
        <w:rPr>
          <w:rtl/>
        </w:rPr>
        <w:t>גוראריה</w:t>
      </w:r>
      <w:proofErr w:type="spellEnd"/>
      <w:r>
        <w:rPr>
          <w:rtl/>
        </w:rPr>
        <w:t xml:space="preserve">, חסיד </w:t>
      </w:r>
      <w:proofErr w:type="spellStart"/>
      <w:r>
        <w:rPr>
          <w:rtl/>
        </w:rPr>
        <w:t>ליובאוויטש</w:t>
      </w:r>
      <w:proofErr w:type="spellEnd"/>
      <w:r>
        <w:rPr>
          <w:rtl/>
        </w:rPr>
        <w:t xml:space="preserve"> עשיר </w:t>
      </w:r>
      <w:proofErr w:type="spellStart"/>
      <w:r>
        <w:rPr>
          <w:rtl/>
        </w:rPr>
        <w:t>בקרמנצ׳וג</w:t>
      </w:r>
      <w:proofErr w:type="spellEnd"/>
      <w:r>
        <w:rPr>
          <w:rtl/>
        </w:rPr>
        <w:t xml:space="preserve">, להסביר מדוע נתן רק תרומה קטנה כשבאו אליו ר׳ </w:t>
      </w:r>
      <w:proofErr w:type="spellStart"/>
      <w:r>
        <w:rPr>
          <w:rtl/>
        </w:rPr>
        <w:t>משה־מרדכי</w:t>
      </w:r>
      <w:proofErr w:type="spellEnd"/>
      <w:r>
        <w:rPr>
          <w:rtl/>
        </w:rPr>
        <w:t xml:space="preserve"> ור׳ </w:t>
      </w:r>
      <w:proofErr w:type="spellStart"/>
      <w:r>
        <w:rPr>
          <w:rtl/>
        </w:rPr>
        <w:t>ברוך־בער</w:t>
      </w:r>
      <w:proofErr w:type="spellEnd"/>
      <w:r>
        <w:rPr>
          <w:rtl/>
        </w:rPr>
        <w:t xml:space="preserve">. לישיבת </w:t>
      </w:r>
      <w:proofErr w:type="spellStart"/>
      <w:r>
        <w:rPr>
          <w:rtl/>
        </w:rPr>
        <w:t>ליובאוויטש</w:t>
      </w:r>
      <w:proofErr w:type="spellEnd"/>
      <w:r>
        <w:rPr>
          <w:rtl/>
        </w:rPr>
        <w:t xml:space="preserve"> שם, כמובן, פתח את כיסו לרווחה וסיפק את כל </w:t>
      </w:r>
      <w:proofErr w:type="spellStart"/>
      <w:r>
        <w:rPr>
          <w:rtl/>
        </w:rPr>
        <w:lastRenderedPageBreak/>
        <w:t>צורכיה</w:t>
      </w:r>
      <w:proofErr w:type="spellEnd"/>
      <w:r>
        <w:rPr>
          <w:rtl/>
        </w:rPr>
        <w:t>. כשנשאל כיצד שילח מעל פניו תלמידי חכמים גדולים כל כך בסכום זעום כזה, השיב שאילו באה אליו משלחת פחותה מהם לא היה נותן דבר, משום שאינו תומך בישיבות שתלמידיהן אינם מגדלים זקנים. בכנסת ישראל אמרו אז: “אצל אחדים, כל התורה תלויה בשערה.”</w:t>
      </w:r>
      <w:bookmarkStart w:id="3153" w:name="_fnr2263"/>
      <w:r>
        <w:rPr>
          <w:rStyle w:val="a5"/>
        </w:rPr>
        <w:footnoteReference w:id="2270" w:customMarkFollows="0"/>
      </w:r>
      <w:bookmarkStart w:id="3154" w:name="_fnr2264"/>
      <w:bookmarkEnd w:id="3153"/>
      <w:r>
        <w:rPr>
          <w:rStyle w:val="a5"/>
        </w:rPr>
        <w:footnoteReference w:id="2271" w:customMarkFollows="0"/>
      </w:r>
      <w:bookmarkEnd w:id="3154"/>
    </w:p>
    <w:p w14:paraId="05E583E1" w14:textId="77777777" w:rsidR="00AB3647" w:rsidRDefault="00000000" w:rsidP="007923E9">
      <w:pPr>
        <w:spacing w:after="120" w:line="276" w:lineRule="auto"/>
        <w:ind w:firstLine="283"/>
        <w:jc w:val="both"/>
      </w:pPr>
      <w:r>
        <w:rPr>
          <w:rtl/>
        </w:rPr>
        <w:t xml:space="preserve">מן הדיווחים של העורך בגיליונות הבאים של “הקריאה והקדושה”, במדור “תשובות למכתבים”, ברור </w:t>
      </w:r>
      <w:proofErr w:type="spellStart"/>
      <w:r>
        <w:rPr>
          <w:rtl/>
        </w:rPr>
        <w:t>שא.י</w:t>
      </w:r>
      <w:proofErr w:type="spellEnd"/>
      <w:r>
        <w:rPr>
          <w:rtl/>
        </w:rPr>
        <w:t xml:space="preserve">. סגל עורר סערה בחוגים רבים. בגיליון שלאחר פרסום מאמרו, ערב ראש חודש כסלו תש״א, השיב העורך לשני כותבים, הרב מ.ק. ומר ברוך ג. מן התשובה לאחרון עולה </w:t>
      </w:r>
      <w:proofErr w:type="spellStart"/>
      <w:r>
        <w:rPr>
          <w:rtl/>
        </w:rPr>
        <w:t>ש“התקבלו</w:t>
      </w:r>
      <w:proofErr w:type="spellEnd"/>
      <w:r>
        <w:rPr>
          <w:rtl/>
        </w:rPr>
        <w:t xml:space="preserve"> כמה מכתבים המאשימים את הכותב באפיקורסות”.</w:t>
      </w:r>
    </w:p>
    <w:p w14:paraId="5100F33A" w14:textId="77777777" w:rsidR="00AB3647" w:rsidRDefault="00000000" w:rsidP="007923E9">
      <w:pPr>
        <w:spacing w:after="120" w:line="276" w:lineRule="auto"/>
        <w:ind w:firstLine="283"/>
        <w:jc w:val="both"/>
      </w:pPr>
      <w:r>
        <w:rPr>
          <w:rtl/>
        </w:rPr>
        <w:t xml:space="preserve">בגיליון שאחריו, ערב ראש חודש טבת (29 בדצמבר), השיב העורך למר ב.ד.: “אינך טועה בקביעתך שמר ס. [מחבר המאמר, א.י. סגל] והמערכת יודעים בדיוק מיהו הנרגן שהניע בני תורה מסוימים לצאת להגנת כבוד התורה, ואת כוונותיו </w:t>
      </w:r>
      <w:r>
        <w:rPr>
          <w:b/>
          <w:bCs/>
          <w:rtl/>
        </w:rPr>
        <w:t>העדינות והעמוקות</w:t>
      </w:r>
      <w:r>
        <w:rPr>
          <w:rtl/>
        </w:rPr>
        <w:t xml:space="preserve"> (ההדגשה שלי) בכך</w:t>
      </w:r>
      <w:bookmarkStart w:id="3155" w:name="_fnr2265"/>
      <w:bookmarkStart w:id="3156" w:name="pr_f_2169"/>
      <w:r>
        <w:rPr>
          <w:rStyle w:val="a5"/>
        </w:rPr>
        <w:footnoteReference w:id="2272" w:customMarkFollows="0"/>
      </w:r>
      <w:bookmarkEnd w:id="3155"/>
      <w:bookmarkEnd w:id="3156"/>
      <w:r>
        <w:rPr>
          <w:rtl/>
        </w:rPr>
        <w:t>. אולם [שההתנגדות הגיעה] למידה שאתה מתאר כעד ראייה ושמיעה, לא ידענו ולא יכולנו לשער.”</w:t>
      </w:r>
      <w:bookmarkStart w:id="3157" w:name="_fnr2266"/>
      <w:r>
        <w:rPr>
          <w:rStyle w:val="a5"/>
        </w:rPr>
        <w:footnoteReference w:id="2273" w:customMarkFollows="0"/>
      </w:r>
      <w:bookmarkEnd w:id="3157"/>
    </w:p>
    <w:p w14:paraId="2C7FE385" w14:textId="77777777" w:rsidR="00AB3647" w:rsidRDefault="00000000" w:rsidP="007923E9">
      <w:pPr>
        <w:spacing w:after="120" w:line="276" w:lineRule="auto"/>
        <w:ind w:firstLine="283"/>
        <w:jc w:val="both"/>
      </w:pPr>
      <w:r>
        <w:rPr>
          <w:rtl/>
        </w:rPr>
        <w:t>בגיליון הבא, ערב ראש חודש שבט (28 בינואר 1941), השיב העורך לטענת הרב ז.ע. שהמאמר ההוא הכיל “</w:t>
      </w:r>
      <w:proofErr w:type="spellStart"/>
      <w:r>
        <w:rPr>
          <w:rtl/>
        </w:rPr>
        <w:t>חירופין</w:t>
      </w:r>
      <w:proofErr w:type="spellEnd"/>
      <w:r>
        <w:rPr>
          <w:rtl/>
        </w:rPr>
        <w:t xml:space="preserve"> </w:t>
      </w:r>
      <w:proofErr w:type="spellStart"/>
      <w:r>
        <w:rPr>
          <w:rtl/>
        </w:rPr>
        <w:t>וגידופין</w:t>
      </w:r>
      <w:proofErr w:type="spellEnd"/>
      <w:r>
        <w:rPr>
          <w:rtl/>
        </w:rPr>
        <w:t xml:space="preserve"> כלפי הגמרא הקדושה, שיביאו להתאדות המעט מן התורה שספגו המוחות הצעירים עד כה”.</w:t>
      </w:r>
      <w:bookmarkStart w:id="3158" w:name="_fnr2267"/>
      <w:r>
        <w:rPr>
          <w:rStyle w:val="a5"/>
        </w:rPr>
        <w:footnoteReference w:id="2274" w:customMarkFollows="0"/>
      </w:r>
      <w:bookmarkEnd w:id="3158"/>
      <w:r>
        <w:rPr>
          <w:rtl/>
        </w:rPr>
        <w:t xml:space="preserve"> ובגיליון שלאחר מכן, ערב ראש חודש אדר (26 בפברואר), השיב העורך </w:t>
      </w:r>
      <w:proofErr w:type="spellStart"/>
      <w:r>
        <w:rPr>
          <w:rtl/>
        </w:rPr>
        <w:t>ל“מכתב</w:t>
      </w:r>
      <w:proofErr w:type="spellEnd"/>
      <w:r>
        <w:rPr>
          <w:rtl/>
        </w:rPr>
        <w:t xml:space="preserve"> קללה” של “תלמיד ישיבה בברוקלין הטוען שהוא נתון להשפעתם של גדולי מוסר ותורה, שמהם הוא שומע את כעסם על חילול כבוד התורה”.</w:t>
      </w:r>
    </w:p>
    <w:p w14:paraId="41482AED" w14:textId="77777777" w:rsidR="00AB3647" w:rsidRDefault="00000000" w:rsidP="007923E9">
      <w:pPr>
        <w:spacing w:after="120" w:line="276" w:lineRule="auto"/>
        <w:ind w:firstLine="283"/>
        <w:jc w:val="both"/>
      </w:pPr>
      <w:r>
        <w:rPr>
          <w:rtl/>
        </w:rPr>
        <w:lastRenderedPageBreak/>
        <w:t xml:space="preserve">בעקבות פנייתו של הרב היימן כתב ר׳ </w:t>
      </w:r>
      <w:proofErr w:type="spellStart"/>
      <w:r>
        <w:rPr>
          <w:rtl/>
        </w:rPr>
        <w:t xml:space="preserve">יוסף־דב</w:t>
      </w:r>
      <w:proofErr w:type="spellEnd"/>
      <w:r>
        <w:rPr>
          <w:rtl/>
        </w:rPr>
        <w:t xml:space="preserve"> </w:t>
      </w:r>
      <w:proofErr w:type="spellStart"/>
      <w:r>
        <w:rPr>
          <w:rtl/>
        </w:rPr>
        <w:t>סולובייצ׳יק</w:t>
      </w:r>
      <w:proofErr w:type="spellEnd"/>
      <w:r>
        <w:rPr>
          <w:rtl/>
        </w:rPr>
        <w:t xml:space="preserve"> מאמר תשובה בפרסום של ועד הרבנים של בוסטון, שהיה חבר בו, בשם העט י.ד. זמיר – ברוסית “</w:t>
      </w:r>
      <w:proofErr w:type="spellStart"/>
      <w:r>
        <w:rPr>
          <w:rtl/>
        </w:rPr>
        <w:t>סולובייצ׳יק</w:t>
      </w:r>
      <w:proofErr w:type="spellEnd"/>
      <w:r>
        <w:rPr>
          <w:rtl/>
        </w:rPr>
        <w:t>” פירושו “ציפור שיר”, כמו “זמיר” בעברית.</w:t>
      </w:r>
      <w:bookmarkStart w:id="3159" w:name="_fnr2268"/>
      <w:bookmarkStart w:id="3160" w:name="pr_f_2172"/>
      <w:r>
        <w:rPr>
          <w:rStyle w:val="a5"/>
        </w:rPr>
        <w:footnoteReference w:id="2275" w:customMarkFollows="0"/>
      </w:r>
      <w:bookmarkEnd w:id="3159"/>
      <w:bookmarkEnd w:id="3160"/>
    </w:p>
    <w:p w14:paraId="08A39620" w14:textId="77777777" w:rsidR="00AB3647" w:rsidRDefault="00000000" w:rsidP="007923E9">
      <w:pPr>
        <w:pStyle w:val="4"/>
        <w:spacing w:line="276" w:lineRule="auto"/>
      </w:pPr>
      <w:r>
        <w:t>· הפסקה החמישית ·</w:t>
      </w:r>
    </w:p>
    <w:p w14:paraId="06C2FCCE" w14:textId="77777777" w:rsidR="00AB3647" w:rsidRDefault="00000000" w:rsidP="007923E9">
      <w:pPr>
        <w:pStyle w:val="5"/>
        <w:spacing w:line="276" w:lineRule="auto"/>
      </w:pPr>
      <w:r>
        <w:t xml:space="preserve">ר׳ </w:t>
      </w:r>
      <w:proofErr w:type="spellStart"/>
      <w:r>
        <w:t>יוסף־יצחק</w:t>
      </w:r>
      <w:proofErr w:type="spellEnd"/>
      <w:r>
        <w:t xml:space="preserve"> שניאורסון מספר </w:t>
      </w:r>
      <w:proofErr w:type="spellStart"/>
      <w:r>
        <w:t>לר</w:t>
      </w:r>
      <w:proofErr w:type="spellEnd"/>
      <w:r>
        <w:t xml:space="preserve">׳ </w:t>
      </w:r>
      <w:proofErr w:type="spellStart"/>
      <w:r>
        <w:t xml:space="preserve">יוסף־דב</w:t>
      </w:r>
      <w:proofErr w:type="spellEnd"/>
      <w:r>
        <w:t xml:space="preserve"> על ועידת רבנים מן העבר – ר׳ חיים </w:t>
      </w:r>
      <w:proofErr w:type="spellStart"/>
      <w:r>
        <w:t>סולובייצ׳יק</w:t>
      </w:r>
      <w:proofErr w:type="spellEnd"/>
      <w:r>
        <w:t xml:space="preserve"> מטיל את מלוא כובד משקלו נגד החלטה – </w:t>
      </w:r>
      <w:proofErr w:type="spellStart"/>
      <w:r>
        <w:t>החפץ־חיים</w:t>
      </w:r>
      <w:proofErr w:type="spellEnd"/>
      <w:r>
        <w:t xml:space="preserve"> מופיע בלא שהוזמן – הוא מתעמת עם ר׳ </w:t>
      </w:r>
      <w:proofErr w:type="spellStart"/>
      <w:r>
        <w:t>מאיר־שמחה</w:t>
      </w:r>
      <w:proofErr w:type="spellEnd"/>
      <w:r>
        <w:t xml:space="preserve"> כהן ואינו מקבל את פסיקתם של רבנים שאינם ראשי ישיבות – ר׳ חיים </w:t>
      </w:r>
      <w:proofErr w:type="spellStart"/>
      <w:r>
        <w:t>סולובייצ׳יק</w:t>
      </w:r>
      <w:proofErr w:type="spellEnd"/>
      <w:r>
        <w:t xml:space="preserve"> תוקף את מתנגדיו – האור שמח זוכה להערכה רבה מצד ר׳ חיים</w:t>
      </w:r>
    </w:p>
    <w:p w14:paraId="016920A3" w14:textId="77777777" w:rsidR="00AB3647" w:rsidRDefault="00000000" w:rsidP="007923E9">
      <w:pPr>
        <w:spacing w:after="120" w:line="276" w:lineRule="auto"/>
        <w:ind w:firstLine="283"/>
        <w:jc w:val="both"/>
      </w:pPr>
      <w:bookmarkStart w:id="3161" w:name="pr_b_1352"/>
      <w:bookmarkEnd w:id="3161"/>
      <w:r>
        <w:rPr>
          <w:rtl/>
        </w:rPr>
        <w:t xml:space="preserve">ר׳ </w:t>
      </w:r>
      <w:proofErr w:type="spellStart"/>
      <w:r>
        <w:rPr>
          <w:rtl/>
        </w:rPr>
        <w:t>יוסף־יצחק</w:t>
      </w:r>
      <w:proofErr w:type="spellEnd"/>
      <w:r>
        <w:rPr>
          <w:rtl/>
        </w:rPr>
        <w:t xml:space="preserve"> הזמין אליו את ר׳ </w:t>
      </w:r>
      <w:proofErr w:type="spellStart"/>
      <w:r>
        <w:rPr>
          <w:rtl/>
        </w:rPr>
        <w:t xml:space="preserve">יוסף־דב</w:t>
      </w:r>
      <w:proofErr w:type="spellEnd"/>
      <w:r>
        <w:rPr>
          <w:rtl/>
        </w:rPr>
        <w:t>, אך לא אמר מילה ישירה על המאמר.</w:t>
      </w:r>
      <w:bookmarkStart w:id="3162" w:name="_fnr2269"/>
      <w:r>
        <w:rPr>
          <w:rStyle w:val="a5"/>
        </w:rPr>
        <w:footnoteReference w:id="2276" w:customMarkFollows="0"/>
      </w:r>
      <w:bookmarkEnd w:id="3162"/>
      <w:r>
        <w:rPr>
          <w:rtl/>
        </w:rPr>
        <w:t xml:space="preserve"> במקום זאת אמר לו הרבי: “אתה יודע שאבי וסבך היו ידידים אמיתיים; אני מעוניין מאוד שהידידות הזאת תימשך.”</w:t>
      </w:r>
      <w:bookmarkStart w:id="3163" w:name="_fnr2270"/>
      <w:r>
        <w:rPr>
          <w:rStyle w:val="a5"/>
        </w:rPr>
        <w:footnoteReference w:id="2277" w:customMarkFollows="0"/>
      </w:r>
      <w:bookmarkEnd w:id="3163"/>
      <w:r>
        <w:rPr>
          <w:rtl/>
        </w:rPr>
        <w:t xml:space="preserve"> אז סיפר הרבי שני מעשים על הערצתו של אביו, הרבי הקודם </w:t>
      </w:r>
      <w:proofErr w:type="spellStart"/>
      <w:r>
        <w:rPr>
          <w:rtl/>
        </w:rPr>
        <w:t>מליובאוויטש</w:t>
      </w:r>
      <w:proofErr w:type="spellEnd"/>
      <w:r>
        <w:rPr>
          <w:rtl/>
        </w:rPr>
        <w:t xml:space="preserve">, ר׳ </w:t>
      </w:r>
      <w:proofErr w:type="spellStart"/>
      <w:r>
        <w:rPr>
          <w:rtl/>
        </w:rPr>
        <w:t>שלום־בער</w:t>
      </w:r>
      <w:proofErr w:type="spellEnd"/>
      <w:r>
        <w:rPr>
          <w:rtl/>
        </w:rPr>
        <w:t xml:space="preserve"> שניאורסון, </w:t>
      </w:r>
      <w:proofErr w:type="spellStart"/>
      <w:r>
        <w:rPr>
          <w:rtl/>
        </w:rPr>
        <w:t>לר</w:t>
      </w:r>
      <w:proofErr w:type="spellEnd"/>
      <w:r>
        <w:rPr>
          <w:rtl/>
        </w:rPr>
        <w:t xml:space="preserve">׳ חיים </w:t>
      </w:r>
      <w:proofErr w:type="spellStart"/>
      <w:r>
        <w:rPr>
          <w:rtl/>
        </w:rPr>
        <w:t>סולובייצ׳יק</w:t>
      </w:r>
      <w:proofErr w:type="spellEnd"/>
      <w:r>
        <w:rPr>
          <w:rtl/>
        </w:rPr>
        <w:t>. “מעשה אחד”, אמר הרבי, “סימר את שערותיו של אבי, והאחר עשה לו קור תחת הציפורניים.”</w:t>
      </w:r>
    </w:p>
    <w:p w14:paraId="3915D0BA" w14:textId="77777777" w:rsidR="00AB3647" w:rsidRDefault="00000000" w:rsidP="007923E9">
      <w:pPr>
        <w:spacing w:after="120" w:line="276" w:lineRule="auto"/>
        <w:ind w:firstLine="283"/>
        <w:jc w:val="both"/>
      </w:pPr>
      <w:r>
        <w:rPr>
          <w:rtl/>
        </w:rPr>
        <w:t xml:space="preserve">המעשה הראשון אירע כששניהם השתתפו בוועידת רבנים בפטרבורג </w:t>
      </w:r>
      <w:proofErr w:type="spellStart"/>
      <w:r>
        <w:rPr>
          <w:rtl/>
        </w:rPr>
        <w:t>בתר״ע</w:t>
      </w:r>
      <w:proofErr w:type="spellEnd"/>
      <w:r>
        <w:rPr>
          <w:rtl/>
        </w:rPr>
        <w:t xml:space="preserve">, ור׳ </w:t>
      </w:r>
      <w:proofErr w:type="spellStart"/>
      <w:r>
        <w:rPr>
          <w:rtl/>
        </w:rPr>
        <w:t>שלום־בער</w:t>
      </w:r>
      <w:proofErr w:type="spellEnd"/>
      <w:r>
        <w:rPr>
          <w:rtl/>
        </w:rPr>
        <w:t xml:space="preserve"> העמיד לרשות ר׳ חיים אחד מחדריו הפרטיים. בשעת בוקר מוקדמת נצרך ר׳ </w:t>
      </w:r>
      <w:proofErr w:type="spellStart"/>
      <w:r>
        <w:rPr>
          <w:rtl/>
        </w:rPr>
        <w:t>שלום־בער</w:t>
      </w:r>
      <w:proofErr w:type="spellEnd"/>
      <w:r>
        <w:rPr>
          <w:rtl/>
        </w:rPr>
        <w:t xml:space="preserve"> לעבור בחדר, וראה שר׳ חיים ישן על הספה, ואילו שמשו ישן במיטה. הוא ביקש מר׳ חיים להסביר את הסידור המשונה. ר׳ חיים אמר לו שסיכם עם שמשו שמי שהולך לישון מוקדם יותר מקבל את המיטה, והאחר את הספה, ומכיוון שאספת הרבנים בלילה הקודם נמשכה עד שעה מאוחרת, קיבל השמש את המיטה.</w:t>
      </w:r>
      <w:bookmarkStart w:id="3164" w:name="_fnr2271"/>
      <w:r>
        <w:rPr>
          <w:rStyle w:val="a5"/>
        </w:rPr>
        <w:footnoteReference w:id="2278" w:customMarkFollows="0"/>
      </w:r>
      <w:bookmarkEnd w:id="3164"/>
      <w:r>
        <w:rPr>
          <w:rtl/>
        </w:rPr>
        <w:t xml:space="preserve"> “התנהגות זו סימרה את שערותיו של אבי”, סיים ר׳ </w:t>
      </w:r>
      <w:proofErr w:type="spellStart"/>
      <w:r>
        <w:rPr>
          <w:rtl/>
        </w:rPr>
        <w:t>יוסף־יצחק</w:t>
      </w:r>
      <w:proofErr w:type="spellEnd"/>
      <w:r>
        <w:rPr>
          <w:rtl/>
        </w:rPr>
        <w:t xml:space="preserve"> שניאורסון.</w:t>
      </w:r>
      <w:bookmarkStart w:id="3165" w:name="_fnr2272"/>
      <w:r>
        <w:rPr>
          <w:rStyle w:val="a5"/>
        </w:rPr>
        <w:footnoteReference w:id="2279" w:customMarkFollows="0"/>
      </w:r>
      <w:bookmarkEnd w:id="3165"/>
    </w:p>
    <w:p w14:paraId="14F53C4D" w14:textId="77777777" w:rsidR="00AB3647" w:rsidRDefault="00000000" w:rsidP="007923E9">
      <w:pPr>
        <w:spacing w:after="120" w:line="276" w:lineRule="auto"/>
        <w:ind w:firstLine="283"/>
        <w:jc w:val="both"/>
      </w:pPr>
      <w:r>
        <w:rPr>
          <w:rtl/>
        </w:rPr>
        <w:t>המעשה השני נגע לוועידה עצמה. הועלתה הצעה לחייב רבנים בידיעה מעשית של השפה הרוסית.</w:t>
      </w:r>
      <w:bookmarkStart w:id="3166" w:name="_fnr2273"/>
      <w:r>
        <w:rPr>
          <w:rStyle w:val="a5"/>
        </w:rPr>
        <w:footnoteReference w:id="2280" w:customMarkFollows="0"/>
      </w:r>
      <w:bookmarkEnd w:id="3166"/>
      <w:r>
        <w:rPr>
          <w:rtl/>
        </w:rPr>
        <w:t xml:space="preserve"> רוב הרבנים, ובהם ר׳ </w:t>
      </w:r>
      <w:proofErr w:type="spellStart"/>
      <w:r>
        <w:rPr>
          <w:rtl/>
        </w:rPr>
        <w:t>דוד׳ל</w:t>
      </w:r>
      <w:proofErr w:type="spellEnd"/>
      <w:r>
        <w:rPr>
          <w:rtl/>
        </w:rPr>
        <w:t xml:space="preserve"> </w:t>
      </w:r>
      <w:proofErr w:type="spellStart"/>
      <w:r>
        <w:rPr>
          <w:rtl/>
        </w:rPr>
        <w:t>קארלינער</w:t>
      </w:r>
      <w:proofErr w:type="spellEnd"/>
      <w:r>
        <w:rPr>
          <w:rtl/>
        </w:rPr>
        <w:t xml:space="preserve"> ור׳ </w:t>
      </w:r>
      <w:proofErr w:type="spellStart"/>
      <w:r>
        <w:rPr>
          <w:rtl/>
        </w:rPr>
        <w:t>איצל׳ה</w:t>
      </w:r>
      <w:proofErr w:type="spellEnd"/>
      <w:r>
        <w:rPr>
          <w:rtl/>
        </w:rPr>
        <w:t xml:space="preserve"> </w:t>
      </w:r>
      <w:proofErr w:type="spellStart"/>
      <w:r>
        <w:rPr>
          <w:rtl/>
        </w:rPr>
        <w:t>מפוניבז</w:t>
      </w:r>
      <w:proofErr w:type="spellEnd"/>
      <w:r>
        <w:rPr>
          <w:rtl/>
        </w:rPr>
        <w:t>׳</w:t>
      </w:r>
      <w:bookmarkStart w:id="3167" w:name="_fnr2274"/>
      <w:r>
        <w:rPr>
          <w:rStyle w:val="a5"/>
        </w:rPr>
        <w:footnoteReference w:id="2281" w:customMarkFollows="0"/>
      </w:r>
      <w:bookmarkEnd w:id="3167"/>
      <w:r>
        <w:rPr>
          <w:rtl/>
        </w:rPr>
        <w:t xml:space="preserve">, תמכו בר׳ </w:t>
      </w:r>
      <w:proofErr w:type="spellStart"/>
      <w:r>
        <w:rPr>
          <w:rtl/>
        </w:rPr>
        <w:t>מאיר־</w:t>
      </w:r>
      <w:r>
        <w:rPr>
          <w:rtl/>
        </w:rPr>
        <w:lastRenderedPageBreak/>
        <w:t>שמחה</w:t>
      </w:r>
      <w:proofErr w:type="spellEnd"/>
      <w:r>
        <w:rPr>
          <w:rtl/>
        </w:rPr>
        <w:t xml:space="preserve"> כהן, רבה של </w:t>
      </w:r>
      <w:proofErr w:type="spellStart"/>
      <w:r>
        <w:rPr>
          <w:rtl/>
        </w:rPr>
        <w:t>דווינסק</w:t>
      </w:r>
      <w:proofErr w:type="spellEnd"/>
      <w:r>
        <w:rPr>
          <w:rtl/>
        </w:rPr>
        <w:t xml:space="preserve">, שצידד בהצעה כדי לבטל את הצורך </w:t>
      </w:r>
      <w:proofErr w:type="spellStart"/>
      <w:r>
        <w:rPr>
          <w:rtl/>
        </w:rPr>
        <w:t>ב“רבנים</w:t>
      </w:r>
      <w:proofErr w:type="spellEnd"/>
      <w:r>
        <w:rPr>
          <w:rtl/>
        </w:rPr>
        <w:t xml:space="preserve"> מטעם” – פקידים הרושמים לידות, פטירות ונישואין בפנקסי הממשלה. רק שלושה רבנים התנגדו להחלטה: ר׳ </w:t>
      </w:r>
      <w:proofErr w:type="spellStart"/>
      <w:r>
        <w:rPr>
          <w:rtl/>
        </w:rPr>
        <w:t>חיים־עוזר</w:t>
      </w:r>
      <w:proofErr w:type="spellEnd"/>
      <w:r>
        <w:rPr>
          <w:rtl/>
        </w:rPr>
        <w:t xml:space="preserve"> </w:t>
      </w:r>
      <w:proofErr w:type="spellStart"/>
      <w:r>
        <w:rPr>
          <w:rtl/>
        </w:rPr>
        <w:t>גרודזנסקי</w:t>
      </w:r>
      <w:bookmarkStart w:id="3168" w:name="_fnr2275"/>
      <w:proofErr w:type="spellEnd"/>
      <w:r>
        <w:rPr>
          <w:rStyle w:val="a5"/>
        </w:rPr>
        <w:footnoteReference w:id="2282" w:customMarkFollows="0"/>
      </w:r>
      <w:bookmarkEnd w:id="3168"/>
      <w:r>
        <w:rPr>
          <w:rtl/>
        </w:rPr>
        <w:t xml:space="preserve">, ר׳ </w:t>
      </w:r>
      <w:proofErr w:type="spellStart"/>
      <w:r>
        <w:rPr>
          <w:rtl/>
        </w:rPr>
        <w:t>שלום־בער</w:t>
      </w:r>
      <w:proofErr w:type="spellEnd"/>
      <w:r>
        <w:rPr>
          <w:rtl/>
        </w:rPr>
        <w:t xml:space="preserve"> ור׳ חיים </w:t>
      </w:r>
      <w:proofErr w:type="spellStart"/>
      <w:r>
        <w:rPr>
          <w:rtl/>
        </w:rPr>
        <w:t>סולובייצ׳יק</w:t>
      </w:r>
      <w:proofErr w:type="spellEnd"/>
      <w:r>
        <w:rPr>
          <w:rtl/>
        </w:rPr>
        <w:t>.</w:t>
      </w:r>
    </w:p>
    <w:p w14:paraId="1F1714EA" w14:textId="77777777" w:rsidR="00AB3647" w:rsidRDefault="00000000" w:rsidP="007923E9">
      <w:pPr>
        <w:spacing w:after="120" w:line="276" w:lineRule="auto"/>
        <w:ind w:firstLine="283"/>
        <w:jc w:val="both"/>
      </w:pPr>
      <w:r>
        <w:rPr>
          <w:rtl/>
        </w:rPr>
        <w:t xml:space="preserve">ר׳ חיים נכנס לחדריו של הרבי ומצא אותו בוכה, משום שהיה ברור שההצבעה תהיה לטובת ההחלטה. אבל ר׳ חיים אמר לו: “אל תבכה. ההחלטה לא תעבור.” באספה קם ר׳ חיים והודיע: “שמי חיים </w:t>
      </w:r>
      <w:proofErr w:type="spellStart"/>
      <w:r>
        <w:rPr>
          <w:rtl/>
        </w:rPr>
        <w:t>סולובייצ׳יק</w:t>
      </w:r>
      <w:proofErr w:type="spellEnd"/>
      <w:r>
        <w:rPr>
          <w:rtl/>
        </w:rPr>
        <w:t xml:space="preserve">, שם הידוע מקצה העולם ועד קצהו, </w:t>
      </w:r>
      <w:proofErr w:type="spellStart"/>
      <w:r>
        <w:rPr>
          <w:rtl/>
        </w:rPr>
        <w:t>ובכח</w:t>
      </w:r>
      <w:proofErr w:type="spellEnd"/>
      <w:r>
        <w:rPr>
          <w:rtl/>
        </w:rPr>
        <w:t xml:space="preserve"> תורתי אני מכריז שעל הכול להצביע נגד ההחלטה.” וכך עשו הכול. “תעוזתו של ר׳ חיים לדבר על עצמו כך עשתה [</w:t>
      </w:r>
      <w:proofErr w:type="spellStart"/>
      <w:r>
        <w:rPr>
          <w:rtl/>
        </w:rPr>
        <w:t>לר</w:t>
      </w:r>
      <w:proofErr w:type="spellEnd"/>
      <w:r>
        <w:rPr>
          <w:rtl/>
        </w:rPr>
        <w:t xml:space="preserve">׳ </w:t>
      </w:r>
      <w:proofErr w:type="spellStart"/>
      <w:r>
        <w:rPr>
          <w:rtl/>
        </w:rPr>
        <w:t>שלום־בער</w:t>
      </w:r>
      <w:proofErr w:type="spellEnd"/>
      <w:r>
        <w:rPr>
          <w:rtl/>
        </w:rPr>
        <w:t xml:space="preserve">] ‘קור תחת הציפורניים’”, אמר ר׳ </w:t>
      </w:r>
      <w:proofErr w:type="spellStart"/>
      <w:r>
        <w:rPr>
          <w:rtl/>
        </w:rPr>
        <w:t>יוסף־יצחק</w:t>
      </w:r>
      <w:proofErr w:type="spellEnd"/>
      <w:r>
        <w:rPr>
          <w:rtl/>
        </w:rPr>
        <w:t xml:space="preserve"> שניאורסון.</w:t>
      </w:r>
    </w:p>
    <w:p w14:paraId="538A1EA9" w14:textId="2996B8F8" w:rsidR="00AB3647" w:rsidRDefault="00000000" w:rsidP="007923E9">
      <w:pPr>
        <w:spacing w:after="120" w:line="276" w:lineRule="auto"/>
        <w:ind w:firstLine="283"/>
        <w:jc w:val="both"/>
      </w:pPr>
      <w:proofErr w:type="spellStart"/>
      <w:r>
        <w:rPr>
          <w:rtl/>
        </w:rPr>
        <w:t>לר</w:t>
      </w:r>
      <w:proofErr w:type="spellEnd"/>
      <w:r>
        <w:rPr>
          <w:rtl/>
        </w:rPr>
        <w:t xml:space="preserve">׳ חיים בוודאי היה קשה ביותר להכריז כך על עצמו, לאור דמותו בעיני עצמו, כפי שהיא עולה ממכתב שכתב </w:t>
      </w:r>
      <w:proofErr w:type="spellStart"/>
      <w:r>
        <w:rPr>
          <w:rtl/>
        </w:rPr>
        <w:t>לר</w:t>
      </w:r>
      <w:proofErr w:type="spellEnd"/>
      <w:r>
        <w:rPr>
          <w:rtl/>
        </w:rPr>
        <w:t xml:space="preserve">׳ </w:t>
      </w:r>
      <w:proofErr w:type="spellStart"/>
      <w:r>
        <w:rPr>
          <w:rtl/>
        </w:rPr>
        <w:t>יצחק־אייזיק</w:t>
      </w:r>
      <w:proofErr w:type="spellEnd"/>
      <w:r>
        <w:rPr>
          <w:rtl/>
        </w:rPr>
        <w:t xml:space="preserve"> הלוי רק שנה קודם לכן, בי׳ בניסן תרס״ט, המובא בפרק 5, </w:t>
      </w:r>
      <w:r>
        <w:rPr>
          <w:rtl/>
        </w:rPr>
        <w:fldChar w:fldCharType="begin" w:dirty="true"/>
      </w:r>
      <w:r>
        <w:rPr>
          <w:rtl/>
        </w:rPr>
        <w:instrText xml:space="preserve"> REF b5_excI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w:t>
      </w:r>
    </w:p>
    <w:p w14:paraId="74C7286F" w14:textId="77777777" w:rsidR="00AB3647" w:rsidRDefault="00000000" w:rsidP="007923E9">
      <w:pPr>
        <w:spacing w:after="120" w:line="276" w:lineRule="auto"/>
        <w:ind w:firstLine="283"/>
        <w:jc w:val="both"/>
      </w:pPr>
      <w:r>
        <w:rPr>
          <w:rtl/>
        </w:rPr>
        <w:t xml:space="preserve">לבקשת ר׳ חיים בא </w:t>
      </w:r>
      <w:proofErr w:type="spellStart"/>
      <w:r>
        <w:rPr>
          <w:rtl/>
        </w:rPr>
        <w:t>החפץ־חיים</w:t>
      </w:r>
      <w:proofErr w:type="spellEnd"/>
      <w:r>
        <w:rPr>
          <w:rtl/>
        </w:rPr>
        <w:t xml:space="preserve"> לוועידה, כדי לנסות לשכנע את ר׳ מאיר־שמחה בדבר הסכנה שבהעברת</w:t>
      </w:r>
      <w:proofErr w:type="spellStart"/>
      <w:r>
        <w:rPr>
          <w:rtl/>
        </w:rPr>
        <w:t xml:space="preserve"/>
      </w:r>
      <w:proofErr w:type="spellEnd"/>
      <w:r>
        <w:rPr>
          <w:rtl/>
        </w:rPr>
        <w:t xml:space="preserve"> ההחלטה. לדברי ר׳ ישראל </w:t>
      </w:r>
      <w:proofErr w:type="spellStart"/>
      <w:r>
        <w:rPr>
          <w:rtl/>
        </w:rPr>
        <w:t>שורין</w:t>
      </w:r>
      <w:proofErr w:type="spellEnd"/>
      <w:r>
        <w:rPr>
          <w:rtl/>
        </w:rPr>
        <w:t>, הוא בא עטור טלית ותפילין. “החפץ חיים (ישר)”</w:t>
      </w:r>
      <w:bookmarkStart w:id="3169" w:name="_fnr2276"/>
      <w:r>
        <w:rPr>
          <w:rStyle w:val="a5"/>
        </w:rPr>
        <w:footnoteReference w:id="2283" w:customMarkFollows="0"/>
      </w:r>
      <w:bookmarkEnd w:id="3169"/>
      <w:r>
        <w:rPr>
          <w:rtl/>
        </w:rPr>
        <w:t xml:space="preserve"> כותב שלפני שדיבר עם האור שמח שהה </w:t>
      </w:r>
      <w:proofErr w:type="spellStart"/>
      <w:r>
        <w:rPr>
          <w:rtl/>
        </w:rPr>
        <w:t>החפץ־חיים</w:t>
      </w:r>
      <w:proofErr w:type="spellEnd"/>
      <w:r>
        <w:rPr>
          <w:rtl/>
        </w:rPr>
        <w:t xml:space="preserve"> “כמה ימים בפטרבורג” ושכנע את המשתתפים האחרים לתמוך בר׳ חיים. “תורת חיים”</w:t>
      </w:r>
      <w:bookmarkStart w:id="3170" w:name="_fnr2277"/>
      <w:r>
        <w:rPr>
          <w:rStyle w:val="a5"/>
        </w:rPr>
        <w:footnoteReference w:id="2284" w:customMarkFollows="0"/>
      </w:r>
      <w:bookmarkEnd w:id="3170"/>
      <w:r>
        <w:rPr>
          <w:rtl/>
        </w:rPr>
        <w:t xml:space="preserve">, המספר באריכות על השתתפות ר׳ חיים בוועידת פטרבורג, מציין </w:t>
      </w:r>
      <w:proofErr w:type="spellStart"/>
      <w:r>
        <w:rPr>
          <w:rtl/>
        </w:rPr>
        <w:t>שהחפץ־חיים</w:t>
      </w:r>
      <w:proofErr w:type="spellEnd"/>
      <w:r>
        <w:rPr>
          <w:rtl/>
        </w:rPr>
        <w:t xml:space="preserve"> שהה בפטרבורג “שבוע” לפני שביקר אצל ר׳ </w:t>
      </w:r>
      <w:proofErr w:type="spellStart"/>
      <w:r>
        <w:rPr>
          <w:rtl/>
        </w:rPr>
        <w:t>מאיר־שמחה</w:t>
      </w:r>
      <w:proofErr w:type="spellEnd"/>
      <w:r>
        <w:rPr>
          <w:rtl/>
        </w:rPr>
        <w:t>.</w:t>
      </w:r>
    </w:p>
    <w:p w14:paraId="176731DF" w14:textId="77777777" w:rsidR="00AB3647" w:rsidRDefault="00000000" w:rsidP="007923E9">
      <w:pPr>
        <w:spacing w:after="120" w:line="276" w:lineRule="auto"/>
        <w:ind w:firstLine="283"/>
        <w:jc w:val="both"/>
      </w:pPr>
      <w:r>
        <w:rPr>
          <w:rtl/>
        </w:rPr>
        <w:t xml:space="preserve">כשנפגשו השניים לבסוף, נענה </w:t>
      </w:r>
      <w:proofErr w:type="spellStart"/>
      <w:r>
        <w:rPr>
          <w:rtl/>
        </w:rPr>
        <w:t>החפץ־חיים</w:t>
      </w:r>
      <w:proofErr w:type="spellEnd"/>
      <w:r>
        <w:rPr>
          <w:rtl/>
        </w:rPr>
        <w:t xml:space="preserve"> בגערה: “מי הזמין אותך הנה? אתה רק א </w:t>
      </w:r>
      <w:proofErr w:type="spellStart"/>
      <w:r>
        <w:rPr>
          <w:rtl/>
        </w:rPr>
        <w:t>קליין־שטעטלשער</w:t>
      </w:r>
      <w:proofErr w:type="spellEnd"/>
      <w:r>
        <w:rPr>
          <w:rtl/>
        </w:rPr>
        <w:t xml:space="preserve"> איד [יהודי מעיירה קטנה, שאינו בקי בהוויות העולם]!” התפרצות זו רמזה שהאורח אינו מבין את מורכבות הבעיה שעל הפרק. האור שמח יצא אז מן החדר בריצה. את הגרסה הזאת של התקפת ר׳ </w:t>
      </w:r>
      <w:proofErr w:type="spellStart"/>
      <w:r>
        <w:rPr>
          <w:rtl/>
        </w:rPr>
        <w:t>מאיר־שמחה</w:t>
      </w:r>
      <w:proofErr w:type="spellEnd"/>
      <w:r>
        <w:rPr>
          <w:rtl/>
        </w:rPr>
        <w:t xml:space="preserve"> שמע ר׳ ישראל </w:t>
      </w:r>
      <w:proofErr w:type="spellStart"/>
      <w:r>
        <w:rPr>
          <w:rtl/>
        </w:rPr>
        <w:t>שורין</w:t>
      </w:r>
      <w:proofErr w:type="spellEnd"/>
      <w:r>
        <w:rPr>
          <w:rtl/>
        </w:rPr>
        <w:t xml:space="preserve"> באמריקה מפי ר׳ משה הורוביץ, שהיה רבה של העיירה הליטאית </w:t>
      </w:r>
      <w:proofErr w:type="spellStart"/>
      <w:r>
        <w:rPr>
          <w:rtl/>
        </w:rPr>
        <w:t>ליגום</w:t>
      </w:r>
      <w:proofErr w:type="spellEnd"/>
      <w:r>
        <w:rPr>
          <w:rtl/>
        </w:rPr>
        <w:t xml:space="preserve"> בעת הוועידה, ונכח במפגש.</w:t>
      </w:r>
    </w:p>
    <w:p w14:paraId="6CF1021D" w14:textId="77777777" w:rsidR="00AB3647" w:rsidRDefault="00000000" w:rsidP="007923E9">
      <w:pPr>
        <w:spacing w:after="120" w:line="276" w:lineRule="auto"/>
        <w:ind w:firstLine="283"/>
        <w:jc w:val="both"/>
      </w:pPr>
      <w:r>
        <w:rPr>
          <w:rtl/>
        </w:rPr>
        <w:t xml:space="preserve">לפי מה ששמע ר׳ ישראל </w:t>
      </w:r>
      <w:proofErr w:type="spellStart"/>
      <w:r>
        <w:rPr>
          <w:rtl/>
        </w:rPr>
        <w:t>שורין</w:t>
      </w:r>
      <w:proofErr w:type="spellEnd"/>
      <w:r>
        <w:rPr>
          <w:rtl/>
        </w:rPr>
        <w:t xml:space="preserve"> מר׳ משה־מאיר ישר – ששמע זאת מר׳ משה </w:t>
      </w:r>
      <w:proofErr w:type="spellStart"/>
      <w:r>
        <w:rPr>
          <w:rtl/>
        </w:rPr>
        <w:t>לנדינסקי</w:t>
      </w:r>
      <w:proofErr w:type="spellEnd"/>
      <w:r>
        <w:rPr>
          <w:rtl/>
        </w:rPr>
        <w:t xml:space="preserve">, ראש ישיבת </w:t>
      </w:r>
      <w:proofErr w:type="spellStart"/>
      <w:r>
        <w:rPr>
          <w:rtl/>
        </w:rPr>
        <w:t>ראדין</w:t>
      </w:r>
      <w:proofErr w:type="spellEnd"/>
      <w:r>
        <w:rPr>
          <w:rtl/>
        </w:rPr>
        <w:t xml:space="preserve">, שליווה את </w:t>
      </w:r>
      <w:proofErr w:type="spellStart"/>
      <w:r>
        <w:rPr>
          <w:rtl/>
        </w:rPr>
        <w:t>החפץ־חיים</w:t>
      </w:r>
      <w:proofErr w:type="spellEnd"/>
      <w:r>
        <w:rPr>
          <w:rtl/>
        </w:rPr>
        <w:t xml:space="preserve"> – אמר ר׳ </w:t>
      </w:r>
      <w:proofErr w:type="spellStart"/>
      <w:r>
        <w:rPr>
          <w:rtl/>
        </w:rPr>
        <w:t>מאיר־שמחה</w:t>
      </w:r>
      <w:proofErr w:type="spellEnd"/>
      <w:r>
        <w:rPr>
          <w:rtl/>
        </w:rPr>
        <w:t xml:space="preserve">: “מי הזמין אותך? אתה רק </w:t>
      </w:r>
      <w:r>
        <w:rPr>
          <w:rtl/>
        </w:rPr>
        <w:lastRenderedPageBreak/>
        <w:t>בעל בית [ולא רב עיר כמו הנאספים בוועידה]!”</w:t>
      </w:r>
      <w:bookmarkStart w:id="3171" w:name="_fnr2278"/>
      <w:r>
        <w:rPr>
          <w:rStyle w:val="a5"/>
        </w:rPr>
        <w:footnoteReference w:id="2285" w:customMarkFollows="0"/>
      </w:r>
      <w:bookmarkEnd w:id="3171"/>
      <w:r>
        <w:rPr>
          <w:rtl/>
        </w:rPr>
        <w:t xml:space="preserve"> ויצא בריצה מן החדר. </w:t>
      </w:r>
      <w:proofErr w:type="spellStart"/>
      <w:r>
        <w:rPr>
          <w:rtl/>
        </w:rPr>
        <w:t>החפץ־חיים</w:t>
      </w:r>
      <w:proofErr w:type="spellEnd"/>
      <w:r>
        <w:rPr>
          <w:rtl/>
        </w:rPr>
        <w:t xml:space="preserve"> אמר אז לרב </w:t>
      </w:r>
      <w:proofErr w:type="spellStart"/>
      <w:r>
        <w:rPr>
          <w:rtl/>
        </w:rPr>
        <w:t>לנדינסקי</w:t>
      </w:r>
      <w:proofErr w:type="spellEnd"/>
      <w:r>
        <w:rPr>
          <w:rtl/>
        </w:rPr>
        <w:t xml:space="preserve">: “הבה נצא מיד, כי ר׳ </w:t>
      </w:r>
      <w:proofErr w:type="spellStart"/>
      <w:r>
        <w:rPr>
          <w:rtl/>
        </w:rPr>
        <w:t>מאיר־שמחה</w:t>
      </w:r>
      <w:proofErr w:type="spellEnd"/>
      <w:r>
        <w:rPr>
          <w:rtl/>
        </w:rPr>
        <w:t>, בהיותו כהן, עלול לכעוס</w:t>
      </w:r>
      <w:bookmarkStart w:id="3172" w:name="_fnr2279"/>
      <w:r>
        <w:rPr>
          <w:rStyle w:val="a5"/>
        </w:rPr>
        <w:footnoteReference w:id="2286" w:customMarkFollows="0"/>
      </w:r>
      <w:bookmarkEnd w:id="3172"/>
      <w:r>
        <w:rPr>
          <w:rtl/>
        </w:rPr>
        <w:t xml:space="preserve"> אם נישאר.” לפי “החפץ חיים (ישר)”, </w:t>
      </w:r>
      <w:proofErr w:type="spellStart"/>
      <w:r>
        <w:rPr>
          <w:rtl/>
        </w:rPr>
        <w:t>החפץ־חיים</w:t>
      </w:r>
      <w:proofErr w:type="spellEnd"/>
      <w:r>
        <w:rPr>
          <w:rtl/>
        </w:rPr>
        <w:t xml:space="preserve"> שיבח את ר׳ </w:t>
      </w:r>
      <w:proofErr w:type="spellStart"/>
      <w:r>
        <w:rPr>
          <w:rtl/>
        </w:rPr>
        <w:t>מאיר־שמחה</w:t>
      </w:r>
      <w:proofErr w:type="spellEnd"/>
      <w:r>
        <w:rPr>
          <w:rtl/>
        </w:rPr>
        <w:t xml:space="preserve"> על שיצא, שכן בהיותו כהן וקרוב לכעוס, נמנע ביציאתו מלאבד את קור רוחו.</w:t>
      </w:r>
    </w:p>
    <w:p w14:paraId="74EB0506" w14:textId="77777777" w:rsidR="00AB3647" w:rsidRDefault="00000000" w:rsidP="007923E9">
      <w:pPr>
        <w:spacing w:after="120" w:line="276" w:lineRule="auto"/>
        <w:ind w:firstLine="283"/>
        <w:jc w:val="both"/>
      </w:pPr>
      <w:r>
        <w:rPr>
          <w:rtl/>
        </w:rPr>
        <w:t xml:space="preserve">אומרים </w:t>
      </w:r>
      <w:proofErr w:type="spellStart"/>
      <w:r>
        <w:rPr>
          <w:rtl/>
        </w:rPr>
        <w:t>שהחפץ־חיים</w:t>
      </w:r>
      <w:proofErr w:type="spellEnd"/>
      <w:r>
        <w:rPr>
          <w:rtl/>
        </w:rPr>
        <w:t xml:space="preserve"> הזכיר חידוש של “הגאון </w:t>
      </w:r>
      <w:proofErr w:type="spellStart"/>
      <w:r>
        <w:rPr>
          <w:rtl/>
        </w:rPr>
        <w:t>מהר״ר</w:t>
      </w:r>
      <w:proofErr w:type="spellEnd"/>
      <w:r>
        <w:rPr>
          <w:rtl/>
        </w:rPr>
        <w:t xml:space="preserve"> מאיר שמחה הכהן” </w:t>
      </w:r>
      <w:proofErr w:type="spellStart"/>
      <w:r>
        <w:rPr>
          <w:rtl/>
        </w:rPr>
        <w:t>ב“ביאור</w:t>
      </w:r>
      <w:proofErr w:type="spellEnd"/>
      <w:r>
        <w:rPr>
          <w:rtl/>
        </w:rPr>
        <w:t xml:space="preserve"> הלכה, סי׳ תקפ״ה” – אזכור שאחרת לא היה מתאים להקשר – כדי להראות שאינו נוטר טינה לרבה של </w:t>
      </w:r>
      <w:proofErr w:type="spellStart"/>
      <w:r>
        <w:rPr>
          <w:rtl/>
        </w:rPr>
        <w:t>דווינסק</w:t>
      </w:r>
      <w:proofErr w:type="spellEnd"/>
      <w:r>
        <w:rPr>
          <w:rtl/>
        </w:rPr>
        <w:t>. אבל לפי “שמושה של תורה”</w:t>
      </w:r>
      <w:bookmarkStart w:id="3173" w:name="_fnr2280"/>
      <w:r>
        <w:rPr>
          <w:rStyle w:val="a5"/>
        </w:rPr>
        <w:footnoteReference w:id="2287" w:customMarkFollows="0"/>
      </w:r>
      <w:bookmarkEnd w:id="3173"/>
      <w:r>
        <w:rPr>
          <w:rtl/>
        </w:rPr>
        <w:t>, “</w:t>
      </w:r>
      <w:proofErr w:type="spellStart"/>
      <w:r>
        <w:rPr>
          <w:rtl/>
        </w:rPr>
        <w:t>החפץ־חיים</w:t>
      </w:r>
      <w:proofErr w:type="spellEnd"/>
      <w:r>
        <w:rPr>
          <w:rtl/>
        </w:rPr>
        <w:t xml:space="preserve"> חשש שהתבטא בחריפות מסוימת כלפי האור שמח”, ולכן נדרשו לא רק הבעת רצון טוב אלא גם פיוס ממש.</w:t>
      </w:r>
    </w:p>
    <w:p w14:paraId="772CA5FF" w14:textId="77777777" w:rsidR="00AB3647" w:rsidRDefault="00000000" w:rsidP="007923E9">
      <w:pPr>
        <w:spacing w:after="120" w:line="276" w:lineRule="auto"/>
        <w:ind w:firstLine="283"/>
        <w:jc w:val="both"/>
      </w:pPr>
      <w:r>
        <w:rPr>
          <w:rtl/>
        </w:rPr>
        <w:t xml:space="preserve">אך טבעי הוא שסביב עימות כזה בין גדולי תורה מצויות גרסאות שונות, בגוונים שונים. למשל, מקובל לספר שבמפגשם התנהל בין </w:t>
      </w:r>
      <w:proofErr w:type="spellStart"/>
      <w:r>
        <w:rPr>
          <w:rtl/>
        </w:rPr>
        <w:t>החפץ־חיים</w:t>
      </w:r>
      <w:proofErr w:type="spellEnd"/>
      <w:r>
        <w:rPr>
          <w:rtl/>
        </w:rPr>
        <w:t xml:space="preserve"> </w:t>
      </w:r>
      <w:proofErr w:type="spellStart"/>
      <w:r>
        <w:rPr>
          <w:rtl/>
        </w:rPr>
        <w:t>לר</w:t>
      </w:r>
      <w:proofErr w:type="spellEnd"/>
      <w:r>
        <w:rPr>
          <w:rtl/>
        </w:rPr>
        <w:t xml:space="preserve">׳ </w:t>
      </w:r>
      <w:proofErr w:type="spellStart"/>
      <w:r>
        <w:rPr>
          <w:rtl/>
        </w:rPr>
        <w:t>מאיר־שמחה</w:t>
      </w:r>
      <w:proofErr w:type="spellEnd"/>
      <w:r>
        <w:rPr>
          <w:rtl/>
        </w:rPr>
        <w:t xml:space="preserve"> הדו־שיח הזה:</w:t>
      </w:r>
    </w:p>
    <w:p w14:paraId="06E91A5B" w14:textId="77777777" w:rsidR="00AB3647" w:rsidRDefault="00000000" w:rsidP="007923E9">
      <w:pPr>
        <w:spacing w:after="120" w:line="276" w:lineRule="auto"/>
        <w:ind w:firstLine="283"/>
        <w:jc w:val="both"/>
      </w:pPr>
      <w:r>
        <w:rPr>
          <w:rtl/>
        </w:rPr>
        <w:t xml:space="preserve">ר׳ </w:t>
      </w:r>
      <w:proofErr w:type="spellStart"/>
      <w:r>
        <w:rPr>
          <w:rtl/>
        </w:rPr>
        <w:t>מאיר־שמחה</w:t>
      </w:r>
      <w:proofErr w:type="spellEnd"/>
      <w:r>
        <w:rPr>
          <w:rtl/>
        </w:rPr>
        <w:t xml:space="preserve">: מי הזמין אותך </w:t>
      </w:r>
      <w:proofErr w:type="spellStart"/>
      <w:r>
        <w:rPr>
          <w:rtl/>
        </w:rPr>
        <w:t>וכו</w:t>
      </w:r>
      <w:proofErr w:type="spellEnd"/>
      <w:r>
        <w:rPr>
          <w:rtl/>
        </w:rPr>
        <w:t>׳.</w:t>
      </w:r>
    </w:p>
    <w:p w14:paraId="37A4CC22" w14:textId="77777777" w:rsidR="00AB3647" w:rsidRDefault="00000000" w:rsidP="007923E9">
      <w:pPr>
        <w:spacing w:after="120" w:line="276" w:lineRule="auto"/>
        <w:ind w:firstLine="283"/>
        <w:jc w:val="both"/>
      </w:pPr>
      <w:proofErr w:type="spellStart"/>
      <w:r>
        <w:rPr>
          <w:rtl/>
        </w:rPr>
        <w:t>החפץ־חיים</w:t>
      </w:r>
      <w:proofErr w:type="spellEnd"/>
      <w:r>
        <w:rPr>
          <w:rtl/>
        </w:rPr>
        <w:t>: באתי לפטרבורג לטפל באחות חולה.</w:t>
      </w:r>
    </w:p>
    <w:p w14:paraId="4837FB3C" w14:textId="77777777" w:rsidR="00AB3647" w:rsidRDefault="00000000" w:rsidP="007923E9">
      <w:pPr>
        <w:spacing w:after="120" w:line="276" w:lineRule="auto"/>
        <w:ind w:firstLine="283"/>
        <w:jc w:val="both"/>
      </w:pPr>
      <w:r>
        <w:rPr>
          <w:rtl/>
        </w:rPr>
        <w:t xml:space="preserve">ר׳ </w:t>
      </w:r>
      <w:proofErr w:type="spellStart"/>
      <w:r>
        <w:rPr>
          <w:rtl/>
        </w:rPr>
        <w:t>מאיר־שמחה</w:t>
      </w:r>
      <w:proofErr w:type="spellEnd"/>
      <w:r>
        <w:rPr>
          <w:rtl/>
        </w:rPr>
        <w:t>: אם כן, מקומך בבית החולים, ולא בוועידה.</w:t>
      </w:r>
    </w:p>
    <w:p w14:paraId="26AE0032" w14:textId="77777777" w:rsidR="00AB3647" w:rsidRDefault="00000000" w:rsidP="007923E9">
      <w:pPr>
        <w:spacing w:after="120" w:line="276" w:lineRule="auto"/>
        <w:ind w:firstLine="283"/>
        <w:jc w:val="both"/>
      </w:pPr>
      <w:proofErr w:type="spellStart"/>
      <w:r>
        <w:rPr>
          <w:rtl/>
        </w:rPr>
        <w:t>החפץ־חיים</w:t>
      </w:r>
      <w:proofErr w:type="spellEnd"/>
      <w:r>
        <w:rPr>
          <w:rtl/>
        </w:rPr>
        <w:t>: כוונתי לתורה, כמו שנאמר: “אמור לחכמה אחותי את”.</w:t>
      </w:r>
      <w:bookmarkStart w:id="3174" w:name="_fnr2281"/>
      <w:r>
        <w:rPr>
          <w:rStyle w:val="a5"/>
        </w:rPr>
        <w:footnoteReference w:id="2288" w:customMarkFollows="0"/>
      </w:r>
      <w:bookmarkEnd w:id="3174"/>
    </w:p>
    <w:p w14:paraId="7C4A3801" w14:textId="77777777" w:rsidR="00AB3647" w:rsidRDefault="00000000" w:rsidP="007923E9">
      <w:pPr>
        <w:spacing w:after="120" w:line="276" w:lineRule="auto"/>
        <w:ind w:firstLine="283"/>
        <w:jc w:val="both"/>
      </w:pPr>
      <w:r>
        <w:rPr>
          <w:rtl/>
        </w:rPr>
        <w:t xml:space="preserve">לדעתי, הדו־שיח שלעיל, שאינו תואם את אופן דיבורו הישיר של </w:t>
      </w:r>
      <w:proofErr w:type="spellStart"/>
      <w:r>
        <w:rPr>
          <w:rtl/>
        </w:rPr>
        <w:t>החפץ־חיים</w:t>
      </w:r>
      <w:proofErr w:type="spellEnd"/>
      <w:r>
        <w:rPr>
          <w:rtl/>
        </w:rPr>
        <w:t xml:space="preserve">, לא היה ולא נברא. יתר על כן, הן לדברי ר׳ משה הורוביץ והן לדברי ר׳ משה־מאיר ישר, ר׳ </w:t>
      </w:r>
      <w:proofErr w:type="spellStart"/>
      <w:r>
        <w:rPr>
          <w:rtl/>
        </w:rPr>
        <w:t>מאיר־שמחה</w:t>
      </w:r>
      <w:proofErr w:type="spellEnd"/>
      <w:r>
        <w:rPr>
          <w:rtl/>
        </w:rPr>
        <w:t xml:space="preserve"> לא נכנס לשיחה, אלא יצא במהירות מיד לאחר ששאל מי הזמין את האורח. גם בכך יש כדי להטיל ספק בטענת “שמושה של תורה” שהובאה לעיל.</w:t>
      </w:r>
    </w:p>
    <w:p w14:paraId="46538742" w14:textId="77777777" w:rsidR="00AB3647" w:rsidRDefault="00000000" w:rsidP="007923E9">
      <w:pPr>
        <w:spacing w:after="120" w:line="276" w:lineRule="auto"/>
        <w:ind w:firstLine="283"/>
        <w:jc w:val="both"/>
      </w:pPr>
      <w:r>
        <w:rPr>
          <w:rtl/>
        </w:rPr>
        <w:t>לפי “החפץ חיים (ישר)”</w:t>
      </w:r>
      <w:bookmarkStart w:id="3175" w:name="_fnr2282"/>
      <w:r>
        <w:rPr>
          <w:rStyle w:val="a5"/>
        </w:rPr>
        <w:footnoteReference w:id="2289" w:customMarkFollows="0"/>
      </w:r>
      <w:bookmarkEnd w:id="3175"/>
      <w:r>
        <w:rPr>
          <w:rtl/>
        </w:rPr>
        <w:t xml:space="preserve"> </w:t>
      </w:r>
      <w:proofErr w:type="spellStart"/>
      <w:r>
        <w:rPr>
          <w:rtl/>
        </w:rPr>
        <w:t>ו“תורת</w:t>
      </w:r>
      <w:proofErr w:type="spellEnd"/>
      <w:r>
        <w:rPr>
          <w:rtl/>
        </w:rPr>
        <w:t xml:space="preserve"> חיים”</w:t>
      </w:r>
      <w:bookmarkStart w:id="3176" w:name="_fnr2283"/>
      <w:r>
        <w:rPr>
          <w:rStyle w:val="a5"/>
        </w:rPr>
        <w:footnoteReference w:id="2290" w:customMarkFollows="0"/>
      </w:r>
      <w:bookmarkEnd w:id="3176"/>
      <w:r>
        <w:rPr>
          <w:rtl/>
        </w:rPr>
        <w:t xml:space="preserve">, </w:t>
      </w:r>
      <w:proofErr w:type="spellStart"/>
      <w:r>
        <w:rPr>
          <w:rtl/>
        </w:rPr>
        <w:t>החפץ־חיים</w:t>
      </w:r>
      <w:proofErr w:type="spellEnd"/>
      <w:r>
        <w:rPr>
          <w:rtl/>
        </w:rPr>
        <w:t xml:space="preserve"> אכן קשר בין התורה המותקפת לבין אחות חולה, אבל את הדברים אמר למשתתפים אחרים, בימים הספורים או בשבוע שקדמו לפגישתו עם ר׳ </w:t>
      </w:r>
      <w:proofErr w:type="spellStart"/>
      <w:r>
        <w:rPr>
          <w:rtl/>
        </w:rPr>
        <w:t>מאיר־שמחה</w:t>
      </w:r>
      <w:proofErr w:type="spellEnd"/>
      <w:r>
        <w:rPr>
          <w:rtl/>
        </w:rPr>
        <w:t>. טענת “החפץ חיים (ישר)”</w:t>
      </w:r>
      <w:bookmarkStart w:id="3177" w:name="_fnr2284"/>
      <w:r>
        <w:rPr>
          <w:rStyle w:val="a5"/>
        </w:rPr>
        <w:footnoteReference w:id="2291" w:customMarkFollows="0"/>
      </w:r>
      <w:bookmarkEnd w:id="3177"/>
      <w:r>
        <w:rPr>
          <w:rtl/>
        </w:rPr>
        <w:t xml:space="preserve"> שמשל “האחות החולה” נאמר “בידי </w:t>
      </w:r>
      <w:proofErr w:type="spellStart"/>
      <w:r>
        <w:rPr>
          <w:rtl/>
        </w:rPr>
        <w:t>החפץ־חיים</w:t>
      </w:r>
      <w:proofErr w:type="spellEnd"/>
      <w:r>
        <w:rPr>
          <w:rtl/>
        </w:rPr>
        <w:t xml:space="preserve"> בפני הוועידה” מפתיעה, שכן ר׳ </w:t>
      </w:r>
      <w:proofErr w:type="spellStart"/>
      <w:r>
        <w:rPr>
          <w:rtl/>
        </w:rPr>
        <w:t>מאיר־שמחה</w:t>
      </w:r>
      <w:proofErr w:type="spellEnd"/>
      <w:r>
        <w:rPr>
          <w:rtl/>
        </w:rPr>
        <w:t xml:space="preserve"> לא היה מסכים להניח לו לנאום באספה. עם זאת, ייתכן </w:t>
      </w:r>
      <w:proofErr w:type="spellStart"/>
      <w:r>
        <w:rPr>
          <w:rtl/>
        </w:rPr>
        <w:t>שהחפץ־חיים</w:t>
      </w:r>
      <w:proofErr w:type="spellEnd"/>
      <w:r>
        <w:rPr>
          <w:rtl/>
        </w:rPr>
        <w:t xml:space="preserve"> עלה לבימה כשבמקרה לא היה האור שמח בוועידה. ואפשר גם שהצדיק הנודע נפגש עם רבנים יחידים שלא באופן רשמי ומסר להם את המשל.</w:t>
      </w:r>
      <w:bookmarkStart w:id="3178" w:name="_fnr2285"/>
      <w:r>
        <w:rPr>
          <w:rStyle w:val="a5"/>
        </w:rPr>
        <w:footnoteReference w:id="2292" w:customMarkFollows="0"/>
      </w:r>
      <w:bookmarkEnd w:id="3178"/>
    </w:p>
    <w:p w14:paraId="0D78C36D" w14:textId="77777777" w:rsidR="00AB3647" w:rsidRDefault="00000000" w:rsidP="007923E9">
      <w:pPr>
        <w:spacing w:after="120" w:line="276" w:lineRule="auto"/>
        <w:ind w:firstLine="283"/>
        <w:jc w:val="both"/>
      </w:pPr>
      <w:r>
        <w:rPr>
          <w:rtl/>
        </w:rPr>
        <w:lastRenderedPageBreak/>
        <w:t>“תורת חיים”</w:t>
      </w:r>
      <w:bookmarkStart w:id="3179" w:name="_fnr2286"/>
      <w:r>
        <w:rPr>
          <w:rStyle w:val="a5"/>
        </w:rPr>
        <w:footnoteReference w:id="2293" w:customMarkFollows="0"/>
      </w:r>
      <w:bookmarkEnd w:id="3179"/>
      <w:r>
        <w:rPr>
          <w:rtl/>
        </w:rPr>
        <w:t xml:space="preserve"> מספר </w:t>
      </w:r>
      <w:proofErr w:type="spellStart"/>
      <w:r>
        <w:rPr>
          <w:rtl/>
        </w:rPr>
        <w:t>שהחפץ־חיים</w:t>
      </w:r>
      <w:proofErr w:type="spellEnd"/>
      <w:r>
        <w:rPr>
          <w:rtl/>
        </w:rPr>
        <w:t xml:space="preserve">, יחד עם ר׳ משה </w:t>
      </w:r>
      <w:proofErr w:type="spellStart"/>
      <w:r>
        <w:rPr>
          <w:rtl/>
        </w:rPr>
        <w:t>לנדינסקי</w:t>
      </w:r>
      <w:proofErr w:type="spellEnd"/>
      <w:r>
        <w:rPr>
          <w:rtl/>
        </w:rPr>
        <w:t xml:space="preserve">, ניהל שיחה רצינית עם ר׳ </w:t>
      </w:r>
      <w:proofErr w:type="spellStart"/>
      <w:r>
        <w:rPr>
          <w:rtl/>
        </w:rPr>
        <w:t>מאיר־שמחה</w:t>
      </w:r>
      <w:proofErr w:type="spellEnd"/>
      <w:r>
        <w:rPr>
          <w:rtl/>
        </w:rPr>
        <w:t xml:space="preserve">, ובה העלה האור שמח את הנקודות שהוזכרו לעיל בדבר זכותו של הצדיק </w:t>
      </w:r>
      <w:proofErr w:type="spellStart"/>
      <w:r>
        <w:rPr>
          <w:rtl/>
        </w:rPr>
        <w:t>מראדין</w:t>
      </w:r>
      <w:proofErr w:type="spellEnd"/>
      <w:r>
        <w:rPr>
          <w:rtl/>
        </w:rPr>
        <w:t xml:space="preserve"> להביע את דעתו בוועידה. אבל שלא כדיווחיהם של ר׳ משה הורוביץ ור׳ משה־מאיר ישר, ר׳ </w:t>
      </w:r>
      <w:proofErr w:type="spellStart"/>
      <w:r>
        <w:rPr>
          <w:rtl/>
        </w:rPr>
        <w:t>מאיר־שמחה</w:t>
      </w:r>
      <w:proofErr w:type="spellEnd"/>
      <w:r>
        <w:rPr>
          <w:rtl/>
        </w:rPr>
        <w:t xml:space="preserve"> לא הציג אותן לאורחו באופן פוגעני, אלא בדרך מנומקת ומכובדת.</w:t>
      </w:r>
    </w:p>
    <w:p w14:paraId="6CEDD4E8" w14:textId="77777777" w:rsidR="00AB3647" w:rsidRDefault="00000000" w:rsidP="007923E9">
      <w:pPr>
        <w:spacing w:after="120" w:line="276" w:lineRule="auto"/>
        <w:ind w:firstLine="283"/>
        <w:jc w:val="both"/>
      </w:pPr>
      <w:r>
        <w:rPr>
          <w:rtl/>
        </w:rPr>
        <w:t xml:space="preserve">האור שמח פתח והבטיח </w:t>
      </w:r>
      <w:proofErr w:type="spellStart"/>
      <w:r>
        <w:rPr>
          <w:rtl/>
        </w:rPr>
        <w:t>לחפץ־חיים</w:t>
      </w:r>
      <w:proofErr w:type="spellEnd"/>
      <w:r>
        <w:rPr>
          <w:rtl/>
        </w:rPr>
        <w:t xml:space="preserve"> שאין לו לדאוג מן האישור הצפוי של ההחלטה, “כי התורה תישאר תורה, והרבנים יישארו רבנים”. אחר כך הסתמך על מכתבו של ר׳ </w:t>
      </w:r>
      <w:proofErr w:type="spellStart"/>
      <w:r>
        <w:rPr>
          <w:rtl/>
        </w:rPr>
        <w:t>דוד׳ל</w:t>
      </w:r>
      <w:proofErr w:type="spellEnd"/>
      <w:r>
        <w:rPr>
          <w:rtl/>
        </w:rPr>
        <w:t xml:space="preserve"> פרידמן המצדד בהחלטה</w:t>
      </w:r>
      <w:bookmarkStart w:id="3180" w:name="_fnr2287"/>
      <w:r>
        <w:rPr>
          <w:rStyle w:val="a5"/>
        </w:rPr>
        <w:footnoteReference w:id="2294" w:customMarkFollows="0"/>
      </w:r>
      <w:bookmarkEnd w:id="3180"/>
      <w:r>
        <w:rPr>
          <w:rtl/>
        </w:rPr>
        <w:t xml:space="preserve">, ואמר: “מאחר שזקן הגאונים סבור כך, אתה, שאינך משמש ברבנות ומתגורר בעיירה קטנה, שבה אינך יכול לדעת מה מתרחש בעולם הרחב ומה דרישותיו, אינך צריך להתנגד להעברת ההחלטה.” </w:t>
      </w:r>
      <w:proofErr w:type="spellStart"/>
      <w:r>
        <w:rPr>
          <w:rtl/>
        </w:rPr>
        <w:t>החפץ־חיים</w:t>
      </w:r>
      <w:proofErr w:type="spellEnd"/>
      <w:r>
        <w:rPr>
          <w:rtl/>
        </w:rPr>
        <w:t xml:space="preserve"> “לא התרשם מטענת בן שיחו ושאל את האור שמח בנחת אם גם הוא מנהל ישיבה” – </w:t>
      </w:r>
      <w:proofErr w:type="spellStart"/>
      <w:r>
        <w:rPr>
          <w:rtl/>
        </w:rPr>
        <w:t>בדווינסק</w:t>
      </w:r>
      <w:proofErr w:type="spellEnd"/>
      <w:r>
        <w:rPr>
          <w:rtl/>
        </w:rPr>
        <w:t xml:space="preserve"> לא הייתה ישיבה, וגם </w:t>
      </w:r>
      <w:proofErr w:type="spellStart"/>
      <w:r>
        <w:rPr>
          <w:rtl/>
        </w:rPr>
        <w:t>לר</w:t>
      </w:r>
      <w:proofErr w:type="spellEnd"/>
      <w:r>
        <w:rPr>
          <w:rtl/>
        </w:rPr>
        <w:t xml:space="preserve">׳ </w:t>
      </w:r>
      <w:proofErr w:type="spellStart"/>
      <w:r>
        <w:rPr>
          <w:rtl/>
        </w:rPr>
        <w:t>דוד׳ל</w:t>
      </w:r>
      <w:proofErr w:type="spellEnd"/>
      <w:r>
        <w:rPr>
          <w:rtl/>
        </w:rPr>
        <w:t xml:space="preserve"> לא הייתה ישיבה </w:t>
      </w:r>
      <w:proofErr w:type="spellStart"/>
      <w:r>
        <w:rPr>
          <w:rtl/>
        </w:rPr>
        <w:t>בקרלין</w:t>
      </w:r>
      <w:proofErr w:type="spellEnd"/>
      <w:r>
        <w:rPr>
          <w:rtl/>
        </w:rPr>
        <w:t xml:space="preserve"> – וטען </w:t>
      </w:r>
      <w:proofErr w:type="spellStart"/>
      <w:r>
        <w:rPr>
          <w:rtl/>
        </w:rPr>
        <w:t>ש“רק</w:t>
      </w:r>
      <w:proofErr w:type="spellEnd"/>
      <w:r>
        <w:rPr>
          <w:rtl/>
        </w:rPr>
        <w:t xml:space="preserve"> בקשר קרוב עם ישיבה אפשר להרגיש ולצפות את הסכנה הטמונה בהחלטה”.</w:t>
      </w:r>
      <w:bookmarkStart w:id="3181" w:name="_fnr2288"/>
      <w:r>
        <w:rPr>
          <w:rStyle w:val="a5"/>
        </w:rPr>
        <w:footnoteReference w:id="2295" w:customMarkFollows="0"/>
      </w:r>
      <w:bookmarkEnd w:id="3181"/>
    </w:p>
    <w:p w14:paraId="7B0DBDD7" w14:textId="77777777" w:rsidR="00AB3647" w:rsidRDefault="00000000" w:rsidP="007923E9">
      <w:pPr>
        <w:spacing w:after="120" w:line="276" w:lineRule="auto"/>
        <w:ind w:firstLine="283"/>
        <w:jc w:val="both"/>
      </w:pPr>
      <w:bookmarkStart w:id="3182" w:name="pr_b_1362"/>
      <w:bookmarkEnd w:id="3182"/>
      <w:r>
        <w:rPr>
          <w:rtl/>
        </w:rPr>
        <w:t>“תורת חיים”</w:t>
      </w:r>
      <w:bookmarkStart w:id="3183" w:name="_fnr2289"/>
      <w:r>
        <w:rPr>
          <w:rStyle w:val="a5"/>
        </w:rPr>
        <w:footnoteReference w:id="2296" w:customMarkFollows="0"/>
      </w:r>
      <w:bookmarkEnd w:id="3183"/>
      <w:r>
        <w:rPr>
          <w:rtl/>
        </w:rPr>
        <w:t xml:space="preserve"> מדווח גם על נאום שנשא ר׳ חיים בוועידה לאחר שהפצירו בו לומר את דעתו, ובו הסביר שהוא מתנגד להחלטה מטעמים עקרוניים בלבד. ר׳ חיים הכריז: “התורה עומדת בתוקף על כך שילמדוה בדרך שבה ניתנה בסיני ובצורה שבה נמסרה מדור לדור. אין היא זקוקה לרצונו הטוב של איש, משום שהקב״ה הבטיח שלא תישכח לעולם. לפיכך אין היא מתפשרת כלל [לנוכח טענות על מצבים מיוחדים].”</w:t>
      </w:r>
    </w:p>
    <w:p w14:paraId="5938E128" w14:textId="77777777" w:rsidR="00AB3647" w:rsidRDefault="00000000" w:rsidP="007923E9">
      <w:pPr>
        <w:spacing w:after="120" w:line="276" w:lineRule="auto"/>
        <w:ind w:firstLine="283"/>
        <w:jc w:val="both"/>
      </w:pPr>
      <w:proofErr w:type="spellStart"/>
      <w:r>
        <w:rPr>
          <w:rtl/>
        </w:rPr>
        <w:t>ב“תורת</w:t>
      </w:r>
      <w:proofErr w:type="spellEnd"/>
      <w:r>
        <w:rPr>
          <w:rtl/>
        </w:rPr>
        <w:t xml:space="preserve"> חיים” אין אישור לסיפורו של ר׳ </w:t>
      </w:r>
      <w:proofErr w:type="spellStart"/>
      <w:r>
        <w:rPr>
          <w:rtl/>
        </w:rPr>
        <w:t>יוסף־יצחק</w:t>
      </w:r>
      <w:proofErr w:type="spellEnd"/>
      <w:r>
        <w:rPr>
          <w:rtl/>
        </w:rPr>
        <w:t xml:space="preserve"> שניאורסון, שלפיו השתמש ר׳ חיים </w:t>
      </w:r>
      <w:proofErr w:type="spellStart"/>
      <w:r>
        <w:rPr>
          <w:rtl/>
        </w:rPr>
        <w:t>ב“כח</w:t>
      </w:r>
      <w:proofErr w:type="spellEnd"/>
      <w:r>
        <w:rPr>
          <w:rtl/>
        </w:rPr>
        <w:t xml:space="preserve"> התורה” שלו כדי לכפות על הרבנים האחרים לקבל את דעתו. לפי “תורת חיים”, הדבר הקרוב ביותר לכפייה מצד ר׳ חיים היה הסברו להצעת אליהו הנביא לעובדי האלילים, שהיו “פסחים על שתי </w:t>
      </w:r>
      <w:proofErr w:type="spellStart"/>
      <w:r>
        <w:rPr>
          <w:rtl/>
        </w:rPr>
        <w:t>הסעפים</w:t>
      </w:r>
      <w:proofErr w:type="spellEnd"/>
      <w:r>
        <w:rPr>
          <w:rtl/>
        </w:rPr>
        <w:t xml:space="preserve">”: “אם ה׳ </w:t>
      </w:r>
      <w:proofErr w:type="spellStart"/>
      <w:r>
        <w:rPr>
          <w:rtl/>
        </w:rPr>
        <w:t>האלהים</w:t>
      </w:r>
      <w:proofErr w:type="spellEnd"/>
      <w:r>
        <w:rPr>
          <w:rtl/>
        </w:rPr>
        <w:t xml:space="preserve"> לכו אחריו ואם הבעל לכו אחריו”.</w:t>
      </w:r>
      <w:bookmarkStart w:id="3184" w:name="_fnr2290"/>
      <w:r>
        <w:rPr>
          <w:rStyle w:val="a5"/>
        </w:rPr>
        <w:footnoteReference w:id="2297" w:customMarkFollows="0"/>
      </w:r>
      <w:bookmarkEnd w:id="3184"/>
      <w:r>
        <w:rPr>
          <w:rtl/>
        </w:rPr>
        <w:t xml:space="preserve"> ר׳ חיים שאל כיצד יכול הנביא להציע שיעבדו לבעל, והשיב שבעיקרי האמונה, כפירה אפילו בעיקר אחד מבטלת את ערך קבלתם של כל השאר. לכן, אם הייתה לשומעי אליהו נטייה קלה לבעל, עבודתם את ה׳ כבר הייתה חסרת תועלת, והוא הציע להם שילכו כבר אחרי הבעל עד הסוף.</w:t>
      </w:r>
    </w:p>
    <w:p w14:paraId="7622A5B4" w14:textId="77777777" w:rsidR="00AB3647" w:rsidRDefault="00000000" w:rsidP="007923E9">
      <w:pPr>
        <w:spacing w:after="120" w:line="276" w:lineRule="auto"/>
        <w:ind w:firstLine="283"/>
        <w:jc w:val="both"/>
      </w:pPr>
      <w:r>
        <w:rPr>
          <w:rtl/>
        </w:rPr>
        <w:t>עוד הוסיף ר׳ חיים ש־850 נביאי הבעל והאשרה</w:t>
      </w:r>
      <w:bookmarkStart w:id="3185" w:name="_fnr2291"/>
      <w:r>
        <w:rPr>
          <w:rStyle w:val="a5"/>
        </w:rPr>
        <w:footnoteReference w:id="2298" w:customMarkFollows="0"/>
      </w:r>
      <w:bookmarkEnd w:id="3185"/>
      <w:r>
        <w:rPr>
          <w:rtl/>
        </w:rPr>
        <w:t xml:space="preserve"> “בוודאי לא היו כמרים או כוהנים של כנסיית הבעל, אלא רבנים שהורו כהלכה בכל מצווה, פרט לכך ששילבו את עבודת הבעל בתורה”, ובכך בטלו כל המעשים הטובים שהטיפו להם ועודדו אותם. בדברים אלה רמז ר׳ </w:t>
      </w:r>
      <w:r>
        <w:rPr>
          <w:rtl/>
        </w:rPr>
        <w:lastRenderedPageBreak/>
        <w:t>חיים שהוא רואה בהחלטה מבחן למשתתפי הוועידה: האם הם רבנים אמיתיים או עובדי אלילים. רק “</w:t>
      </w:r>
      <w:proofErr w:type="spellStart"/>
      <w:r>
        <w:rPr>
          <w:rtl/>
        </w:rPr>
        <w:t>כח</w:t>
      </w:r>
      <w:proofErr w:type="spellEnd"/>
      <w:r>
        <w:rPr>
          <w:rtl/>
        </w:rPr>
        <w:t xml:space="preserve"> התורה” של ר׳ חיים ושמו הנודע “מקצה העולם ועד קצהו” יכלו לתת גיבוי לאמירה תקיפה כל כך, המטילה ספק בעצם מעמדם של הרבנים האחרים. לפיכך, גם אם ר׳ חיים לא השתמש במילים המדויקות שייחס לו הרבי </w:t>
      </w:r>
      <w:proofErr w:type="spellStart"/>
      <w:r>
        <w:rPr>
          <w:rtl/>
        </w:rPr>
        <w:t>מליובאוויטש</w:t>
      </w:r>
      <w:proofErr w:type="spellEnd"/>
      <w:r>
        <w:rPr>
          <w:rtl/>
        </w:rPr>
        <w:t>, תוכן נאומו ביטא בלי ספק אותה תעוזה. למעשה, אילו הסתפק ר׳ חיים בהכרזה המעורפלת על “</w:t>
      </w:r>
      <w:proofErr w:type="spellStart"/>
      <w:r>
        <w:rPr>
          <w:rtl/>
        </w:rPr>
        <w:t>כח</w:t>
      </w:r>
      <w:proofErr w:type="spellEnd"/>
      <w:r>
        <w:rPr>
          <w:rtl/>
        </w:rPr>
        <w:t xml:space="preserve"> התורה”, היה בכך </w:t>
      </w:r>
      <w:r>
        <w:rPr>
          <w:b/>
          <w:bCs/>
          <w:rtl/>
        </w:rPr>
        <w:t>פחות</w:t>
      </w:r>
      <w:r>
        <w:rPr>
          <w:rtl/>
        </w:rPr>
        <w:t xml:space="preserve"> עלבון לרבנים האחרים משהיה בהשוואתם לעובדי הבעל!</w:t>
      </w:r>
    </w:p>
    <w:p w14:paraId="2A3BD2FE" w14:textId="77777777" w:rsidR="00AB3647" w:rsidRDefault="00000000" w:rsidP="007923E9">
      <w:pPr>
        <w:spacing w:after="120" w:line="276" w:lineRule="auto"/>
        <w:ind w:firstLine="283"/>
        <w:jc w:val="both"/>
      </w:pPr>
      <w:r>
        <w:rPr>
          <w:rtl/>
        </w:rPr>
        <w:t xml:space="preserve">למרות חילוקי הדעות ביניהם, רחש ר׳ חיים </w:t>
      </w:r>
      <w:proofErr w:type="spellStart"/>
      <w:r>
        <w:rPr>
          <w:rtl/>
        </w:rPr>
        <w:t>לר</w:t>
      </w:r>
      <w:proofErr w:type="spellEnd"/>
      <w:r>
        <w:rPr>
          <w:rtl/>
        </w:rPr>
        <w:t xml:space="preserve">׳ </w:t>
      </w:r>
      <w:proofErr w:type="spellStart"/>
      <w:r>
        <w:rPr>
          <w:rtl/>
        </w:rPr>
        <w:t>מאיר־שמחה</w:t>
      </w:r>
      <w:proofErr w:type="spellEnd"/>
      <w:r>
        <w:rPr>
          <w:rtl/>
        </w:rPr>
        <w:t xml:space="preserve"> הערכה עליונה. ר׳ מיכל </w:t>
      </w:r>
      <w:proofErr w:type="spellStart"/>
      <w:r>
        <w:rPr>
          <w:rtl/>
        </w:rPr>
        <w:t>שורקין</w:t>
      </w:r>
      <w:proofErr w:type="spellEnd"/>
      <w:r>
        <w:rPr>
          <w:rtl/>
        </w:rPr>
        <w:t xml:space="preserve"> סיפר</w:t>
      </w:r>
      <w:bookmarkStart w:id="3186" w:name="_fnr2292"/>
      <w:r>
        <w:rPr>
          <w:rStyle w:val="a5"/>
        </w:rPr>
        <w:footnoteReference w:id="2299" w:customMarkFollows="0"/>
      </w:r>
      <w:bookmarkEnd w:id="3186"/>
      <w:r>
        <w:rPr>
          <w:rtl/>
        </w:rPr>
        <w:t xml:space="preserve"> שר׳ מיכל </w:t>
      </w:r>
      <w:proofErr w:type="spellStart"/>
      <w:r>
        <w:rPr>
          <w:rtl/>
        </w:rPr>
        <w:t>פיינשטיין</w:t>
      </w:r>
      <w:proofErr w:type="spellEnd"/>
      <w:r>
        <w:rPr>
          <w:rtl/>
        </w:rPr>
        <w:t xml:space="preserve"> אמר לו כי ר׳ חיים כתב את ספרו כשר׳ </w:t>
      </w:r>
      <w:proofErr w:type="spellStart"/>
      <w:r>
        <w:rPr>
          <w:rtl/>
        </w:rPr>
        <w:t>מאיר־שמחה</w:t>
      </w:r>
      <w:proofErr w:type="spellEnd"/>
      <w:r>
        <w:rPr>
          <w:rtl/>
        </w:rPr>
        <w:t xml:space="preserve"> עומד לנגד עיניו. כלומר, הוא העלה על הכתב את הראיות המכריעות שלדעתו יגברו על השגות האור שמח על שיטותיו בעניינים שדן בהם. הדבר תואם את המסופר אצל </w:t>
      </w:r>
      <w:proofErr w:type="spellStart"/>
      <w:r>
        <w:rPr>
          <w:rtl/>
        </w:rPr>
        <w:t>רבינר</w:t>
      </w:r>
      <w:proofErr w:type="spellEnd"/>
      <w:r>
        <w:rPr>
          <w:rtl/>
        </w:rPr>
        <w:t>, “רבינו מאיר שמחה הכהן”</w:t>
      </w:r>
      <w:bookmarkStart w:id="3187" w:name="_fnr2293"/>
      <w:r>
        <w:rPr>
          <w:rStyle w:val="a5"/>
        </w:rPr>
        <w:footnoteReference w:id="2300" w:customMarkFollows="0"/>
      </w:r>
      <w:bookmarkEnd w:id="3187"/>
      <w:r>
        <w:rPr>
          <w:rtl/>
        </w:rPr>
        <w:t>, שכאשר הכין ר׳ חיים את כתב ידו לדפוס</w:t>
      </w:r>
      <w:bookmarkStart w:id="3188" w:name="_fnr2294"/>
      <w:r>
        <w:rPr>
          <w:rStyle w:val="a5"/>
        </w:rPr>
        <w:footnoteReference w:id="2301" w:customMarkFollows="0"/>
      </w:r>
      <w:bookmarkEnd w:id="3188"/>
      <w:r>
        <w:rPr>
          <w:rtl/>
        </w:rPr>
        <w:t xml:space="preserve">, אמר “שישלח [אותו] </w:t>
      </w:r>
      <w:proofErr w:type="spellStart"/>
      <w:r>
        <w:rPr>
          <w:rtl/>
        </w:rPr>
        <w:t>לר</w:t>
      </w:r>
      <w:proofErr w:type="spellEnd"/>
      <w:r>
        <w:rPr>
          <w:rtl/>
        </w:rPr>
        <w:t xml:space="preserve">׳ </w:t>
      </w:r>
      <w:proofErr w:type="spellStart"/>
      <w:r>
        <w:rPr>
          <w:rtl/>
        </w:rPr>
        <w:t>מאיר־שמחה</w:t>
      </w:r>
      <w:proofErr w:type="spellEnd"/>
      <w:r>
        <w:rPr>
          <w:rtl/>
        </w:rPr>
        <w:t xml:space="preserve"> – והחידושים שיאשר יידפסו, ואת האחרים ישמיטו”.</w:t>
      </w:r>
    </w:p>
    <w:p w14:paraId="541A23A1" w14:textId="77777777" w:rsidR="00AB3647" w:rsidRDefault="00000000" w:rsidP="007923E9">
      <w:pPr>
        <w:spacing w:after="120" w:line="276" w:lineRule="auto"/>
        <w:ind w:firstLine="283"/>
        <w:jc w:val="both"/>
      </w:pPr>
      <w:r>
        <w:rPr>
          <w:rtl/>
        </w:rPr>
        <w:t xml:space="preserve">ר׳ חיים </w:t>
      </w:r>
      <w:proofErr w:type="spellStart"/>
      <w:r>
        <w:rPr>
          <w:rtl/>
        </w:rPr>
        <w:t>סרנא</w:t>
      </w:r>
      <w:bookmarkStart w:id="3189" w:name="_fnr2295"/>
      <w:proofErr w:type="spellEnd"/>
      <w:r>
        <w:rPr>
          <w:rStyle w:val="a5"/>
        </w:rPr>
        <w:footnoteReference w:id="2302" w:customMarkFollows="0"/>
      </w:r>
      <w:bookmarkEnd w:id="3189"/>
      <w:r>
        <w:rPr>
          <w:rtl/>
        </w:rPr>
        <w:t xml:space="preserve"> אישר לי שר׳ חיים ייחס חשיבות לכך שכתביו ימצאו חן בעיני קוראיהם. הוא סיפר את ששמע מר׳ </w:t>
      </w:r>
      <w:proofErr w:type="spellStart"/>
      <w:r>
        <w:rPr>
          <w:rtl/>
        </w:rPr>
        <w:t>חיים־יצחק</w:t>
      </w:r>
      <w:proofErr w:type="spellEnd"/>
      <w:r>
        <w:rPr>
          <w:rtl/>
        </w:rPr>
        <w:t xml:space="preserve"> קורב [תרל״ב–תשי״ז], שחי בעשור האחרון לחייו בישראל. בגיל </w:t>
      </w:r>
      <w:proofErr w:type="spellStart"/>
      <w:r>
        <w:rPr>
          <w:rtl/>
        </w:rPr>
        <w:t>שבע־עשרה</w:t>
      </w:r>
      <w:proofErr w:type="spellEnd"/>
      <w:r>
        <w:rPr>
          <w:rtl/>
        </w:rPr>
        <w:t xml:space="preserve"> היה ר׳ </w:t>
      </w:r>
      <w:proofErr w:type="spellStart"/>
      <w:r>
        <w:rPr>
          <w:rtl/>
        </w:rPr>
        <w:t>חיים־יצחק</w:t>
      </w:r>
      <w:proofErr w:type="spellEnd"/>
      <w:r>
        <w:rPr>
          <w:rtl/>
        </w:rPr>
        <w:t xml:space="preserve"> שמשו של ר׳ חיים, כששהה בחופשה בעיר הנופש </w:t>
      </w:r>
      <w:proofErr w:type="spellStart"/>
      <w:r>
        <w:rPr>
          <w:rtl/>
        </w:rPr>
        <w:t>ליבאו</w:t>
      </w:r>
      <w:proofErr w:type="spellEnd"/>
      <w:r>
        <w:rPr>
          <w:rtl/>
        </w:rPr>
        <w:t xml:space="preserve"> שעל חוף לטביה, כ־80 קילומטר </w:t>
      </w:r>
      <w:proofErr w:type="spellStart"/>
      <w:r>
        <w:rPr>
          <w:rtl/>
        </w:rPr>
        <w:t>מפילטן</w:t>
      </w:r>
      <w:proofErr w:type="spellEnd"/>
      <w:r>
        <w:rPr>
          <w:rtl/>
        </w:rPr>
        <w:t>, עיר הולדתו של הרב קורב. פעם נתן לו ר׳ חיים כמה דפים מכתביו, וביקש שיעבור עליהם ויאמר לו מה דעתו. הנער השתומם ואמר: “הרב צריך לשאול אותי?!” ור׳ חיים השיב: “אני רוצה לראות מה יחשוב העולם על חידושיי.”</w:t>
      </w:r>
    </w:p>
    <w:p w14:paraId="09D5AAAA" w14:textId="77777777" w:rsidR="00AB3647" w:rsidRDefault="00000000" w:rsidP="007923E9">
      <w:pPr>
        <w:spacing w:after="120" w:line="276" w:lineRule="auto"/>
        <w:ind w:firstLine="283"/>
        <w:jc w:val="both"/>
      </w:pPr>
      <w:r>
        <w:rPr>
          <w:rtl/>
        </w:rPr>
        <w:t xml:space="preserve">ההערכה הרבה שרחש אביו של ר׳ חיים </w:t>
      </w:r>
      <w:proofErr w:type="spellStart"/>
      <w:r>
        <w:rPr>
          <w:rtl/>
        </w:rPr>
        <w:t>לר</w:t>
      </w:r>
      <w:proofErr w:type="spellEnd"/>
      <w:r>
        <w:rPr>
          <w:rtl/>
        </w:rPr>
        <w:t xml:space="preserve">׳ </w:t>
      </w:r>
      <w:proofErr w:type="spellStart"/>
      <w:r>
        <w:rPr>
          <w:rtl/>
        </w:rPr>
        <w:t>מאיר־שמחה</w:t>
      </w:r>
      <w:proofErr w:type="spellEnd"/>
      <w:r>
        <w:rPr>
          <w:rtl/>
        </w:rPr>
        <w:t xml:space="preserve"> כהן משתקפת במסופר </w:t>
      </w:r>
      <w:proofErr w:type="spellStart"/>
      <w:r>
        <w:rPr>
          <w:rtl/>
        </w:rPr>
        <w:t>ב“תורת</w:t>
      </w:r>
      <w:proofErr w:type="spellEnd"/>
      <w:r>
        <w:rPr>
          <w:rtl/>
        </w:rPr>
        <w:t xml:space="preserve"> חיים”</w:t>
      </w:r>
      <w:bookmarkStart w:id="3190" w:name="_fnr2296"/>
      <w:r>
        <w:rPr>
          <w:rStyle w:val="a5"/>
        </w:rPr>
        <w:footnoteReference w:id="2303" w:customMarkFollows="0"/>
      </w:r>
      <w:bookmarkEnd w:id="3190"/>
      <w:r>
        <w:rPr>
          <w:rtl/>
        </w:rPr>
        <w:t xml:space="preserve">: פעם בא ר׳ </w:t>
      </w:r>
      <w:proofErr w:type="spellStart"/>
      <w:r>
        <w:rPr>
          <w:rtl/>
        </w:rPr>
        <w:t>מאיר־שמחה</w:t>
      </w:r>
      <w:proofErr w:type="spellEnd"/>
      <w:r>
        <w:rPr>
          <w:rtl/>
        </w:rPr>
        <w:t xml:space="preserve"> לבקר את ר׳ יוסף־דב, פגש את ר׳ חיים בחדר המבוא ופתח עמו בשיחה תורנית. ר׳ יוסף־דב הקשיב לשיחתם ואמר: “שלי מסתדר עם כולם!” כלומר: “בני זה יודע לעמוד על שלו מול כל אחד, אפילו מול ענק בתורה כאורחי.” גם ר׳ </w:t>
      </w:r>
      <w:proofErr w:type="spellStart"/>
      <w:r>
        <w:rPr>
          <w:rtl/>
        </w:rPr>
        <w:t>מאיר־שמחה</w:t>
      </w:r>
      <w:proofErr w:type="spellEnd"/>
      <w:r>
        <w:rPr>
          <w:rtl/>
        </w:rPr>
        <w:t xml:space="preserve"> רחש </w:t>
      </w:r>
      <w:proofErr w:type="spellStart"/>
      <w:r>
        <w:rPr>
          <w:rtl/>
        </w:rPr>
        <w:t>לר</w:t>
      </w:r>
      <w:proofErr w:type="spellEnd"/>
      <w:r>
        <w:rPr>
          <w:rtl/>
        </w:rPr>
        <w:t xml:space="preserve">׳ חיים הערכה רבה. לפי </w:t>
      </w:r>
      <w:proofErr w:type="spellStart"/>
      <w:r>
        <w:rPr>
          <w:rtl/>
        </w:rPr>
        <w:t>רבינר</w:t>
      </w:r>
      <w:proofErr w:type="spellEnd"/>
      <w:r>
        <w:rPr>
          <w:rtl/>
        </w:rPr>
        <w:t>, “רבינו מאיר שמחה הכהן”</w:t>
      </w:r>
      <w:bookmarkStart w:id="3191" w:name="_fnr2297"/>
      <w:r>
        <w:rPr>
          <w:rStyle w:val="a5"/>
        </w:rPr>
        <w:footnoteReference w:id="2304" w:customMarkFollows="0"/>
      </w:r>
      <w:bookmarkEnd w:id="3191"/>
      <w:r>
        <w:rPr>
          <w:rtl/>
        </w:rPr>
        <w:t xml:space="preserve">, אמר ר׳ </w:t>
      </w:r>
      <w:proofErr w:type="spellStart"/>
      <w:r>
        <w:rPr>
          <w:rtl/>
        </w:rPr>
        <w:t>מאיר־שמחה</w:t>
      </w:r>
      <w:proofErr w:type="spellEnd"/>
      <w:r>
        <w:rPr>
          <w:rtl/>
        </w:rPr>
        <w:t xml:space="preserve"> לאחד ממקורביו: “דייני שהוצאתי את ספרי ‘אור שמח׳ רק בשביל ר׳ חיים.”</w:t>
      </w:r>
    </w:p>
    <w:p w14:paraId="6500E0B2" w14:textId="77777777" w:rsidR="00AB3647" w:rsidRDefault="00000000" w:rsidP="007923E9">
      <w:pPr>
        <w:spacing w:after="120" w:line="276" w:lineRule="auto"/>
        <w:ind w:firstLine="283"/>
        <w:jc w:val="both"/>
      </w:pPr>
      <w:r>
        <w:rPr>
          <w:rtl/>
        </w:rPr>
        <w:t xml:space="preserve">אבל ביחס לדברי </w:t>
      </w:r>
      <w:proofErr w:type="spellStart"/>
      <w:r>
        <w:rPr>
          <w:rtl/>
        </w:rPr>
        <w:t>רבינר</w:t>
      </w:r>
      <w:proofErr w:type="spellEnd"/>
      <w:r>
        <w:rPr>
          <w:rtl/>
        </w:rPr>
        <w:t xml:space="preserve">, “רבינו מאיר שמחה הכהן” ור׳ מיכל </w:t>
      </w:r>
      <w:proofErr w:type="spellStart"/>
      <w:r>
        <w:rPr>
          <w:rtl/>
        </w:rPr>
        <w:t>פיינשטיין</w:t>
      </w:r>
      <w:proofErr w:type="spellEnd"/>
      <w:r>
        <w:rPr>
          <w:rtl/>
        </w:rPr>
        <w:t xml:space="preserve"> שצוטטו לעיל, שלפיהם חש ר׳ חיים שהוא זקוק לאישור ר׳ </w:t>
      </w:r>
      <w:proofErr w:type="spellStart"/>
      <w:r>
        <w:rPr>
          <w:rtl/>
        </w:rPr>
        <w:t>מאיר־שמחה</w:t>
      </w:r>
      <w:proofErr w:type="spellEnd"/>
      <w:r>
        <w:rPr>
          <w:rtl/>
        </w:rPr>
        <w:t xml:space="preserve"> לחידושיו, מצאתי ברשימותיו של ר׳ משה גרוסמן</w:t>
      </w:r>
      <w:bookmarkStart w:id="3192" w:name="_fnr2298"/>
      <w:r>
        <w:rPr>
          <w:rStyle w:val="a5"/>
        </w:rPr>
        <w:footnoteReference w:id="2305" w:customMarkFollows="0"/>
      </w:r>
      <w:bookmarkEnd w:id="3192"/>
      <w:r>
        <w:rPr>
          <w:rtl/>
        </w:rPr>
        <w:t xml:space="preserve"> שר׳ </w:t>
      </w:r>
      <w:proofErr w:type="spellStart"/>
      <w:r>
        <w:rPr>
          <w:rtl/>
        </w:rPr>
        <w:t>יעקב־יצחק</w:t>
      </w:r>
      <w:proofErr w:type="spellEnd"/>
      <w:r>
        <w:rPr>
          <w:rtl/>
        </w:rPr>
        <w:t xml:space="preserve"> </w:t>
      </w:r>
      <w:proofErr w:type="spellStart"/>
      <w:r>
        <w:rPr>
          <w:rtl/>
        </w:rPr>
        <w:t>רודרמן</w:t>
      </w:r>
      <w:proofErr w:type="spellEnd"/>
      <w:r>
        <w:rPr>
          <w:rtl/>
        </w:rPr>
        <w:t xml:space="preserve"> ציטט “מקורב </w:t>
      </w:r>
      <w:proofErr w:type="spellStart"/>
      <w:r>
        <w:rPr>
          <w:rtl/>
        </w:rPr>
        <w:t>לר</w:t>
      </w:r>
      <w:proofErr w:type="spellEnd"/>
      <w:r>
        <w:rPr>
          <w:rtl/>
        </w:rPr>
        <w:t xml:space="preserve">׳ חיים”. לדבריו, לאחר שראה ר׳ חיים את הכרך הראשון של “אור שמח” [שנדפס </w:t>
      </w:r>
      <w:proofErr w:type="spellStart"/>
      <w:r>
        <w:rPr>
          <w:rtl/>
        </w:rPr>
        <w:t>בתרס״ב</w:t>
      </w:r>
      <w:proofErr w:type="spellEnd"/>
      <w:r>
        <w:rPr>
          <w:rtl/>
        </w:rPr>
        <w:t xml:space="preserve">], חזר בו מכוונתו לשאול את מחברו </w:t>
      </w:r>
      <w:r>
        <w:rPr>
          <w:rtl/>
        </w:rPr>
        <w:lastRenderedPageBreak/>
        <w:t>אילו חידושים להוציא לאור. ברור שר׳ חיים ראה בספרו של האור שמח קטעים שלדעתו לא היו צריכים להידפס.</w:t>
      </w:r>
    </w:p>
    <w:p w14:paraId="6DB8FB8E" w14:textId="77777777" w:rsidR="00AB3647" w:rsidRDefault="00000000" w:rsidP="007923E9">
      <w:pPr>
        <w:spacing w:after="120" w:line="276" w:lineRule="auto"/>
        <w:ind w:firstLine="283"/>
        <w:jc w:val="both"/>
      </w:pPr>
      <w:proofErr w:type="spellStart"/>
      <w:r>
        <w:rPr>
          <w:rtl/>
        </w:rPr>
        <w:t>רבינר</w:t>
      </w:r>
      <w:proofErr w:type="spellEnd"/>
      <w:r>
        <w:rPr>
          <w:rtl/>
        </w:rPr>
        <w:t>, “רבינו מאיר שמחה הכהן”</w:t>
      </w:r>
      <w:bookmarkStart w:id="3193" w:name="_fnr2299"/>
      <w:r>
        <w:rPr>
          <w:rStyle w:val="a5"/>
        </w:rPr>
        <w:footnoteReference w:id="2306" w:customMarkFollows="0"/>
      </w:r>
      <w:bookmarkEnd w:id="3193"/>
      <w:r>
        <w:rPr>
          <w:rtl/>
        </w:rPr>
        <w:t xml:space="preserve"> מספר גם שכאשר תכנן ר׳ חיים את נסיעתו לוועידת הרבנים, שמונה שנים לאחר פרסום הכרך הראשון של “אור שמח”, עבר על ספרו של ר׳ </w:t>
      </w:r>
      <w:proofErr w:type="spellStart"/>
      <w:r>
        <w:rPr>
          <w:rtl/>
        </w:rPr>
        <w:t>מאיר־שמחה</w:t>
      </w:r>
      <w:proofErr w:type="spellEnd"/>
      <w:r>
        <w:rPr>
          <w:rtl/>
        </w:rPr>
        <w:t xml:space="preserve"> “כהכנה לפגישתו עם [המחבר]”. לפי דברי ר׳ </w:t>
      </w:r>
      <w:proofErr w:type="spellStart"/>
      <w:r>
        <w:rPr>
          <w:rtl/>
        </w:rPr>
        <w:t>יעקב־יצחק</w:t>
      </w:r>
      <w:proofErr w:type="spellEnd"/>
      <w:r>
        <w:rPr>
          <w:rtl/>
        </w:rPr>
        <w:t xml:space="preserve"> </w:t>
      </w:r>
      <w:proofErr w:type="spellStart"/>
      <w:r>
        <w:rPr>
          <w:rtl/>
        </w:rPr>
        <w:t>רודרמן</w:t>
      </w:r>
      <w:proofErr w:type="spellEnd"/>
      <w:r>
        <w:rPr>
          <w:rtl/>
        </w:rPr>
        <w:t xml:space="preserve">, ייתכן שר׳ חיים בחן את הקטעים שבספר שעליהם רצה לחלוק כשיפגוש את האור שמח. השווה גם שם, שר׳ חיים כתב </w:t>
      </w:r>
      <w:proofErr w:type="spellStart"/>
      <w:r>
        <w:rPr>
          <w:rtl/>
        </w:rPr>
        <w:t>לר</w:t>
      </w:r>
      <w:proofErr w:type="spellEnd"/>
      <w:r>
        <w:rPr>
          <w:rtl/>
        </w:rPr>
        <w:t xml:space="preserve">׳ </w:t>
      </w:r>
      <w:proofErr w:type="spellStart"/>
      <w:r>
        <w:rPr>
          <w:rtl/>
        </w:rPr>
        <w:t>מאיר־שמחה</w:t>
      </w:r>
      <w:proofErr w:type="spellEnd"/>
      <w:r>
        <w:rPr>
          <w:rtl/>
        </w:rPr>
        <w:t xml:space="preserve"> וביקש שיתפלל בעדו בימים הנוראים.</w:t>
      </w:r>
      <w:bookmarkStart w:id="3194" w:name="_fnr2300"/>
      <w:r>
        <w:rPr>
          <w:rStyle w:val="a5"/>
        </w:rPr>
        <w:footnoteReference w:id="2307" w:customMarkFollows="0"/>
      </w:r>
      <w:bookmarkEnd w:id="3194"/>
      <w:r>
        <w:rPr>
          <w:rtl/>
        </w:rPr>
        <w:t xml:space="preserve"> בדומה לכך ביקש ר׳ יוסף־דב אותה בקשה מר׳ </w:t>
      </w:r>
      <w:proofErr w:type="spellStart"/>
      <w:r>
        <w:rPr>
          <w:rtl/>
        </w:rPr>
        <w:t>מאיר־שמחה</w:t>
      </w:r>
      <w:proofErr w:type="spellEnd"/>
      <w:r>
        <w:rPr>
          <w:rtl/>
        </w:rPr>
        <w:t>, שהיה צעיר ממנו בעשרים ושלוש שנה!</w:t>
      </w:r>
      <w:bookmarkStart w:id="3195" w:name="_fnr2301"/>
      <w:r>
        <w:rPr>
          <w:rStyle w:val="a5"/>
        </w:rPr>
        <w:footnoteReference w:id="2308" w:customMarkFollows="0"/>
      </w:r>
      <w:bookmarkEnd w:id="3195"/>
    </w:p>
    <w:p w14:paraId="6C977031" w14:textId="77777777" w:rsidR="00AB3647" w:rsidRDefault="00000000" w:rsidP="007923E9">
      <w:pPr>
        <w:spacing w:after="120" w:line="276" w:lineRule="auto"/>
        <w:ind w:firstLine="283"/>
        <w:jc w:val="both"/>
      </w:pPr>
      <w:r>
        <w:rPr>
          <w:rtl/>
        </w:rPr>
        <w:t xml:space="preserve">עוד מספר </w:t>
      </w:r>
      <w:proofErr w:type="spellStart"/>
      <w:r>
        <w:rPr>
          <w:rtl/>
        </w:rPr>
        <w:t>רבינר</w:t>
      </w:r>
      <w:proofErr w:type="spellEnd"/>
      <w:r>
        <w:rPr>
          <w:rtl/>
        </w:rPr>
        <w:t>, “רבינו מאיר שמחה הכהן”</w:t>
      </w:r>
      <w:bookmarkStart w:id="3196" w:name="_fnr2302"/>
      <w:r>
        <w:rPr>
          <w:rStyle w:val="a5"/>
        </w:rPr>
        <w:footnoteReference w:id="2309" w:customMarkFollows="0"/>
      </w:r>
      <w:bookmarkEnd w:id="3196"/>
      <w:r>
        <w:rPr>
          <w:rtl/>
        </w:rPr>
        <w:t xml:space="preserve"> שבתום הוועידה ביקר ר׳ חיים אצל ר׳ </w:t>
      </w:r>
      <w:proofErr w:type="spellStart"/>
      <w:r>
        <w:rPr>
          <w:rtl/>
        </w:rPr>
        <w:t>מאיר־שמחה</w:t>
      </w:r>
      <w:proofErr w:type="spellEnd"/>
      <w:r>
        <w:rPr>
          <w:rtl/>
        </w:rPr>
        <w:t xml:space="preserve"> ביקור נימוסין, והסביר למלווהו: “רק משום שהיה יריבי בוועידה אין זו סיבה להימנע </w:t>
      </w:r>
      <w:proofErr w:type="spellStart"/>
      <w:r>
        <w:rPr>
          <w:rtl/>
        </w:rPr>
        <w:t>מלכבדו</w:t>
      </w:r>
      <w:proofErr w:type="spellEnd"/>
      <w:r>
        <w:rPr>
          <w:rtl/>
        </w:rPr>
        <w:t xml:space="preserve"> בביקורי, כי איני יכול להכחיש שהוא גדול הדור.”</w:t>
      </w:r>
      <w:bookmarkStart w:id="3197" w:name="_fnr2303"/>
      <w:r>
        <w:rPr>
          <w:rStyle w:val="a5"/>
        </w:rPr>
        <w:footnoteReference w:id="2310" w:customMarkFollows="0"/>
      </w:r>
      <w:bookmarkEnd w:id="3197"/>
      <w:r>
        <w:rPr>
          <w:rtl/>
        </w:rPr>
        <w:t xml:space="preserve"> יתר על כן, בשובו </w:t>
      </w:r>
      <w:proofErr w:type="spellStart"/>
      <w:r>
        <w:rPr>
          <w:rtl/>
        </w:rPr>
        <w:t>לבריסק</w:t>
      </w:r>
      <w:proofErr w:type="spellEnd"/>
      <w:r>
        <w:rPr>
          <w:rtl/>
        </w:rPr>
        <w:t xml:space="preserve"> אמר ר׳ חיים לאנשיו: “ר׳ </w:t>
      </w:r>
      <w:proofErr w:type="spellStart"/>
      <w:r>
        <w:rPr>
          <w:rtl/>
        </w:rPr>
        <w:t>מאיר־שמחה</w:t>
      </w:r>
      <w:proofErr w:type="spellEnd"/>
      <w:r>
        <w:rPr>
          <w:rtl/>
        </w:rPr>
        <w:t xml:space="preserve"> גדול עד מאוד.” מסופר שם</w:t>
      </w:r>
      <w:bookmarkStart w:id="3198" w:name="_fnr2304"/>
      <w:r>
        <w:rPr>
          <w:rStyle w:val="a5"/>
        </w:rPr>
        <w:footnoteReference w:id="2311" w:customMarkFollows="0"/>
      </w:r>
      <w:bookmarkEnd w:id="3198"/>
      <w:r>
        <w:rPr>
          <w:rtl/>
        </w:rPr>
        <w:t xml:space="preserve"> שר׳ חיים – ובעקבותיו ר׳ </w:t>
      </w:r>
      <w:proofErr w:type="spellStart"/>
      <w:r>
        <w:rPr>
          <w:rtl/>
        </w:rPr>
        <w:t>ברוך־בער</w:t>
      </w:r>
      <w:proofErr w:type="spellEnd"/>
      <w:r>
        <w:rPr>
          <w:rtl/>
        </w:rPr>
        <w:t xml:space="preserve"> – כינה את ר׳ </w:t>
      </w:r>
      <w:proofErr w:type="spellStart"/>
      <w:r>
        <w:rPr>
          <w:rtl/>
        </w:rPr>
        <w:t>מאיר־שמחה</w:t>
      </w:r>
      <w:proofErr w:type="spellEnd"/>
      <w:r>
        <w:rPr>
          <w:rtl/>
        </w:rPr>
        <w:t xml:space="preserve"> “שר התורה”.</w:t>
      </w:r>
    </w:p>
    <w:p w14:paraId="08B80084" w14:textId="77777777" w:rsidR="00AB3647" w:rsidRDefault="00000000" w:rsidP="007923E9">
      <w:pPr>
        <w:pStyle w:val="4"/>
        <w:spacing w:line="276" w:lineRule="auto"/>
      </w:pPr>
      <w:r>
        <w:t>· הפסקה השישית ·</w:t>
      </w:r>
    </w:p>
    <w:p w14:paraId="15F86D0C" w14:textId="77777777" w:rsidR="00AB3647" w:rsidRDefault="00000000" w:rsidP="007923E9">
      <w:pPr>
        <w:pStyle w:val="5"/>
        <w:spacing w:line="276" w:lineRule="auto"/>
      </w:pPr>
      <w:r>
        <w:t xml:space="preserve">ר׳ </w:t>
      </w:r>
      <w:proofErr w:type="spellStart"/>
      <w:r>
        <w:t>יוסף־יצחק</w:t>
      </w:r>
      <w:proofErr w:type="spellEnd"/>
      <w:r>
        <w:t xml:space="preserve"> מגלה על הסכם עם ר׳ חיים – הוא טוען שההסכם מופר – משלו של ר׳ חיים על ציד עכברים – יחסי משפחתו המסורתיים עם החסידים – ר׳ </w:t>
      </w:r>
      <w:proofErr w:type="spellStart"/>
      <w:r>
        <w:t xml:space="preserve">יוסף־דב</w:t>
      </w:r>
      <w:proofErr w:type="spellEnd"/>
      <w:r>
        <w:t xml:space="preserve"> משבח רבנים בלשון משל</w:t>
      </w:r>
    </w:p>
    <w:p w14:paraId="767C1576" w14:textId="77777777" w:rsidR="00AB3647" w:rsidRDefault="00000000" w:rsidP="007923E9">
      <w:pPr>
        <w:spacing w:after="120" w:line="276" w:lineRule="auto"/>
        <w:ind w:firstLine="283"/>
        <w:jc w:val="both"/>
      </w:pPr>
      <w:r>
        <w:rPr>
          <w:rtl/>
        </w:rPr>
        <w:t xml:space="preserve">נראה שבשעה שפגש ר׳ </w:t>
      </w:r>
      <w:proofErr w:type="spellStart"/>
      <w:r>
        <w:rPr>
          <w:rtl/>
        </w:rPr>
        <w:t>יוסף־יצחק</w:t>
      </w:r>
      <w:proofErr w:type="spellEnd"/>
      <w:r>
        <w:rPr>
          <w:rtl/>
        </w:rPr>
        <w:t xml:space="preserve"> שניאורסון את ר׳ </w:t>
      </w:r>
      <w:proofErr w:type="spellStart"/>
      <w:r>
        <w:rPr>
          <w:rtl/>
        </w:rPr>
        <w:t xml:space="preserve">יוסף־דב</w:t>
      </w:r>
      <w:proofErr w:type="spellEnd"/>
      <w:r>
        <w:rPr>
          <w:rtl/>
        </w:rPr>
        <w:t>, היה בטוח שהלה כבר קרא בגיליון “הקריאה והקדושה” של ערב ראש חודש טבת את הסיפור שסיפר בחגיגת י״ט בכסלו</w:t>
      </w:r>
      <w:bookmarkStart w:id="3199" w:name="_fnr2305"/>
      <w:r>
        <w:rPr>
          <w:rStyle w:val="a5"/>
        </w:rPr>
        <w:footnoteReference w:id="2312" w:customMarkFollows="0"/>
      </w:r>
      <w:bookmarkEnd w:id="3199"/>
      <w:r>
        <w:rPr>
          <w:rtl/>
        </w:rPr>
        <w:t xml:space="preserve">. הסיפור עסק בהסכם שנעשה, לדבריו, </w:t>
      </w:r>
      <w:proofErr w:type="spellStart"/>
      <w:r>
        <w:rPr>
          <w:rtl/>
        </w:rPr>
        <w:t>בתרנ״ז</w:t>
      </w:r>
      <w:proofErr w:type="spellEnd"/>
      <w:r>
        <w:rPr>
          <w:rtl/>
        </w:rPr>
        <w:t xml:space="preserve">, “במקום מסוים” שלא נתפרש, בין ר׳ חיים </w:t>
      </w:r>
      <w:proofErr w:type="spellStart"/>
      <w:r>
        <w:rPr>
          <w:rtl/>
        </w:rPr>
        <w:t>לר</w:t>
      </w:r>
      <w:proofErr w:type="spellEnd"/>
      <w:r>
        <w:rPr>
          <w:rtl/>
        </w:rPr>
        <w:t xml:space="preserve">׳ </w:t>
      </w:r>
      <w:proofErr w:type="spellStart"/>
      <w:r>
        <w:rPr>
          <w:rtl/>
        </w:rPr>
        <w:t>שלום־בער</w:t>
      </w:r>
      <w:proofErr w:type="spellEnd"/>
      <w:r>
        <w:rPr>
          <w:rtl/>
        </w:rPr>
        <w:t>, לפעול יחד למען היהדות. עוד סופר בו שר׳ חיים מתח ביקורת חריפה על ההתנגדות לשיתוף פעולה עם חסידים, שעורר ההסכם בחוגים מסוימים. שני הסיפורים שסיפר האדמו״ר על פגישת אביו עם ר׳ חיים לא היו אלא המשך לטענתו שהיה הסכם בתוקף בין שני מנהיגי התורה.</w:t>
      </w:r>
    </w:p>
    <w:p w14:paraId="1150413D" w14:textId="77777777" w:rsidR="00AB3647" w:rsidRDefault="00000000" w:rsidP="007923E9">
      <w:pPr>
        <w:spacing w:after="120" w:line="276" w:lineRule="auto"/>
        <w:ind w:firstLine="283"/>
        <w:jc w:val="both"/>
      </w:pPr>
      <w:r>
        <w:rPr>
          <w:rtl/>
        </w:rPr>
        <w:lastRenderedPageBreak/>
        <w:t xml:space="preserve">כפי שנדפס </w:t>
      </w:r>
      <w:proofErr w:type="spellStart"/>
      <w:r>
        <w:rPr>
          <w:rtl/>
        </w:rPr>
        <w:t>ב“הקריאה</w:t>
      </w:r>
      <w:proofErr w:type="spellEnd"/>
      <w:r>
        <w:rPr>
          <w:rtl/>
        </w:rPr>
        <w:t xml:space="preserve"> והקדושה”, סיפר האדמו״ר בחגיגת י״ט בכסלו שלאחר שנודע ההסכם ברבים, “היו מי שעוררו את השנאה הישנה (לחסידים), ובמקום מסוים, סביב אישיות תורנית מסוימת, התלכדה קבוצת מתנגדים על יסוד הימים הראשונים. באספה שהתקיימה אז </w:t>
      </w:r>
      <w:proofErr w:type="spellStart"/>
      <w:r>
        <w:rPr>
          <w:rtl/>
        </w:rPr>
        <w:t>בבריסק</w:t>
      </w:r>
      <w:proofErr w:type="spellEnd"/>
      <w:r>
        <w:rPr>
          <w:rtl/>
        </w:rPr>
        <w:t xml:space="preserve"> אמר ר׳ חיים: ‘אנו באים ממשפחת הטהורים: בשעה שהייתה התנגדות לחסידים, היו שני סוגי מתנגדים; האחד ביקש את האמת במשך כמה עשרות שנים, וכשמצא אותה נחה דעתו; והאחר ביקש עלילות ושקרים והביא לידי </w:t>
      </w:r>
      <w:proofErr w:type="spellStart"/>
      <w:r>
        <w:rPr>
          <w:rtl/>
        </w:rPr>
        <w:t>חרמות</w:t>
      </w:r>
      <w:proofErr w:type="spellEnd"/>
      <w:r>
        <w:rPr>
          <w:rtl/>
        </w:rPr>
        <w:t xml:space="preserve"> ונידויים. הישמרו מנכדיהם של בעלי השקר והמחלוקת!’”</w:t>
      </w:r>
      <w:bookmarkStart w:id="3200" w:name="_fnr2306"/>
      <w:r>
        <w:rPr>
          <w:rStyle w:val="a5"/>
        </w:rPr>
        <w:footnoteReference w:id="2313" w:customMarkFollows="0"/>
      </w:r>
      <w:bookmarkEnd w:id="3200"/>
    </w:p>
    <w:p w14:paraId="4EE36DE4" w14:textId="77777777" w:rsidR="00AB3647" w:rsidRDefault="00000000" w:rsidP="007923E9">
      <w:pPr>
        <w:spacing w:after="120" w:line="276" w:lineRule="auto"/>
        <w:ind w:firstLine="283"/>
        <w:jc w:val="both"/>
      </w:pPr>
      <w:r>
        <w:rPr>
          <w:rtl/>
        </w:rPr>
        <w:t xml:space="preserve">מצאתי הפרכה ברורה לטענתו של ר׳ </w:t>
      </w:r>
      <w:proofErr w:type="spellStart"/>
      <w:r>
        <w:rPr>
          <w:rtl/>
        </w:rPr>
        <w:t>יוסף־יצחק</w:t>
      </w:r>
      <w:proofErr w:type="spellEnd"/>
      <w:r>
        <w:rPr>
          <w:rtl/>
        </w:rPr>
        <w:t xml:space="preserve"> שהשניים נפגשו </w:t>
      </w:r>
      <w:proofErr w:type="spellStart"/>
      <w:r>
        <w:rPr>
          <w:rtl/>
        </w:rPr>
        <w:t>בתרנ״ז</w:t>
      </w:r>
      <w:proofErr w:type="spellEnd"/>
      <w:r>
        <w:rPr>
          <w:rtl/>
        </w:rPr>
        <w:t xml:space="preserve">. המכתב שבאגרות ר׳ </w:t>
      </w:r>
      <w:proofErr w:type="spellStart"/>
      <w:r>
        <w:rPr>
          <w:rtl/>
        </w:rPr>
        <w:t>יצחק־אייזיק</w:t>
      </w:r>
      <w:proofErr w:type="spellEnd"/>
      <w:r>
        <w:rPr>
          <w:rtl/>
        </w:rPr>
        <w:t xml:space="preserve"> הלוי,</w:t>
      </w:r>
      <w:bookmarkStart w:id="3201" w:name="_fnr2307"/>
      <w:r>
        <w:rPr>
          <w:rStyle w:val="a5"/>
        </w:rPr>
        <w:footnoteReference w:id="2314" w:customMarkFollows="0"/>
      </w:r>
      <w:bookmarkEnd w:id="3201"/>
      <w:r>
        <w:rPr>
          <w:rtl/>
        </w:rPr>
        <w:t xml:space="preserve"> שנכתב </w:t>
      </w:r>
      <w:proofErr w:type="spellStart"/>
      <w:r>
        <w:rPr>
          <w:rtl/>
        </w:rPr>
        <w:t>שתים־עשרה</w:t>
      </w:r>
      <w:proofErr w:type="spellEnd"/>
      <w:r>
        <w:rPr>
          <w:rtl/>
        </w:rPr>
        <w:t xml:space="preserve"> שנים אחר כך,</w:t>
      </w:r>
      <w:bookmarkStart w:id="3202" w:name="_fnr2308"/>
      <w:r>
        <w:rPr>
          <w:rStyle w:val="a5"/>
        </w:rPr>
        <w:t/>
      </w:r>
      <w:bookmarkStart w:id="7026" w:name="_TranslatorNote_2307"/>
      <w:r>
        <w:rPr>
          <w:rStyle w:val="a5"/>
          <w:vertAlign w:val="superscript"/>
          <w:rtl/>
        </w:rPr>
        <w:footnoteReference w:id="2315" w:customMarkFollows="1"/>
        <w:t>*</w:t>
      </w:r>
      <w:bookmarkEnd w:id="7026"/>
      <w:bookmarkEnd w:id="3202"/>
      <w:r>
        <w:rPr>
          <w:rtl/>
        </w:rPr>
        <w:t xml:space="preserve"> בד׳ באדר תרס״ט, אומר במפורש: “האדמו״ר </w:t>
      </w:r>
      <w:proofErr w:type="spellStart"/>
      <w:r>
        <w:rPr>
          <w:rtl/>
        </w:rPr>
        <w:t>מליובאוויטש</w:t>
      </w:r>
      <w:proofErr w:type="spellEnd"/>
      <w:r>
        <w:rPr>
          <w:rtl/>
        </w:rPr>
        <w:t xml:space="preserve"> מכיר את הרב </w:t>
      </w:r>
      <w:proofErr w:type="spellStart"/>
      <w:r>
        <w:rPr>
          <w:rtl/>
        </w:rPr>
        <w:t>מבריסק</w:t>
      </w:r>
      <w:proofErr w:type="spellEnd"/>
      <w:r>
        <w:rPr>
          <w:rtl/>
        </w:rPr>
        <w:t xml:space="preserve"> רק מפי השמועה, מפני שמעולם לא ראה אותו.” אומנם יש תיעוד לשתי פגישות שקיימו: האחת בווילנה, חודשיים לאחר תאריך מכתבו של ר׳ </w:t>
      </w:r>
      <w:proofErr w:type="spellStart"/>
      <w:r>
        <w:rPr>
          <w:rtl/>
        </w:rPr>
        <w:t>יצחק־אייזיק</w:t>
      </w:r>
      <w:proofErr w:type="spellEnd"/>
      <w:r>
        <w:rPr>
          <w:rtl/>
        </w:rPr>
        <w:t xml:space="preserve"> הלוי, בהכנה לוועידת פטרבורג; והאחרת בוועידה עצמה, כפי שסופר לעיל, בחורף תר״ע. הייתה גם התקשרות ישירה קודמת בין השניים: מכתב ששלח ר׳ </w:t>
      </w:r>
      <w:proofErr w:type="spellStart"/>
      <w:r>
        <w:rPr>
          <w:rtl/>
        </w:rPr>
        <w:t>שלום־בער</w:t>
      </w:r>
      <w:proofErr w:type="spellEnd"/>
      <w:r>
        <w:rPr>
          <w:rtl/>
        </w:rPr>
        <w:t xml:space="preserve"> </w:t>
      </w:r>
      <w:proofErr w:type="spellStart"/>
      <w:r>
        <w:rPr>
          <w:rtl/>
        </w:rPr>
        <w:t>לר</w:t>
      </w:r>
      <w:proofErr w:type="spellEnd"/>
      <w:r>
        <w:rPr>
          <w:rtl/>
        </w:rPr>
        <w:t xml:space="preserve">׳ חיים בכסלו תרס״ט, שנדפס </w:t>
      </w:r>
      <w:proofErr w:type="spellStart"/>
      <w:r>
        <w:rPr>
          <w:rtl/>
        </w:rPr>
        <w:t>ב“אגרות</w:t>
      </w:r>
      <w:proofErr w:type="spellEnd"/>
      <w:r>
        <w:rPr>
          <w:rtl/>
        </w:rPr>
        <w:t xml:space="preserve"> קודש מאת כ״ק אדמו״ר </w:t>
      </w:r>
      <w:proofErr w:type="spellStart"/>
      <w:r>
        <w:rPr>
          <w:rtl/>
        </w:rPr>
        <w:t>מוהרש״ב</w:t>
      </w:r>
      <w:proofErr w:type="spellEnd"/>
      <w:r>
        <w:rPr>
          <w:rtl/>
        </w:rPr>
        <w:t xml:space="preserve"> נ״ע”.</w:t>
      </w:r>
      <w:bookmarkStart w:id="3203" w:name="_fnr2309"/>
      <w:r>
        <w:rPr>
          <w:rStyle w:val="a5"/>
        </w:rPr>
        <w:footnoteReference w:id="2316" w:customMarkFollows="0"/>
      </w:r>
      <w:bookmarkEnd w:id="3203"/>
    </w:p>
    <w:p w14:paraId="05FBAE88" w14:textId="77777777" w:rsidR="00AB3647" w:rsidRDefault="00000000" w:rsidP="007923E9">
      <w:pPr>
        <w:spacing w:after="120" w:line="276" w:lineRule="auto"/>
        <w:ind w:firstLine="283"/>
        <w:jc w:val="both"/>
      </w:pPr>
      <w:r>
        <w:rPr>
          <w:rtl/>
        </w:rPr>
        <w:t xml:space="preserve">אגב, יש אזכור למכתב אחר שהתכוון האדמו״ר לכתוב </w:t>
      </w:r>
      <w:proofErr w:type="spellStart"/>
      <w:r>
        <w:rPr>
          <w:rtl/>
        </w:rPr>
        <w:t>לר</w:t>
      </w:r>
      <w:proofErr w:type="spellEnd"/>
      <w:r>
        <w:rPr>
          <w:rtl/>
        </w:rPr>
        <w:t xml:space="preserve">׳ חיים זמן רב אחר כך, </w:t>
      </w:r>
      <w:proofErr w:type="spellStart"/>
      <w:r>
        <w:rPr>
          <w:rtl/>
        </w:rPr>
        <w:t>בתרע״ד</w:t>
      </w:r>
      <w:proofErr w:type="spellEnd"/>
      <w:r>
        <w:rPr>
          <w:rtl/>
        </w:rPr>
        <w:t xml:space="preserve">. אזכור מוקדם הרבה יותר של ר׳ חיים בקשר </w:t>
      </w:r>
      <w:proofErr w:type="spellStart"/>
      <w:r>
        <w:rPr>
          <w:rtl/>
        </w:rPr>
        <w:t>לר</w:t>
      </w:r>
      <w:proofErr w:type="spellEnd"/>
      <w:r>
        <w:rPr>
          <w:rtl/>
        </w:rPr>
        <w:t xml:space="preserve">׳ </w:t>
      </w:r>
      <w:proofErr w:type="spellStart"/>
      <w:r>
        <w:rPr>
          <w:rtl/>
        </w:rPr>
        <w:t>שלום־בער</w:t>
      </w:r>
      <w:proofErr w:type="spellEnd"/>
      <w:r>
        <w:rPr>
          <w:rtl/>
        </w:rPr>
        <w:t xml:space="preserve"> הוא מכתב שחתמו עליו שניהם, וכן ר׳ </w:t>
      </w:r>
      <w:proofErr w:type="spellStart"/>
      <w:r>
        <w:rPr>
          <w:rtl/>
        </w:rPr>
        <w:t>אליהו־חיים</w:t>
      </w:r>
      <w:proofErr w:type="spellEnd"/>
      <w:r>
        <w:rPr>
          <w:rtl/>
        </w:rPr>
        <w:t xml:space="preserve"> </w:t>
      </w:r>
      <w:proofErr w:type="spellStart"/>
      <w:r>
        <w:rPr>
          <w:rtl/>
        </w:rPr>
        <w:t>מייזל</w:t>
      </w:r>
      <w:proofErr w:type="spellEnd"/>
      <w:r>
        <w:rPr>
          <w:rtl/>
        </w:rPr>
        <w:t xml:space="preserve"> ור׳ </w:t>
      </w:r>
      <w:proofErr w:type="spellStart"/>
      <w:r>
        <w:rPr>
          <w:rtl/>
        </w:rPr>
        <w:t>חיים־עוזר</w:t>
      </w:r>
      <w:proofErr w:type="spellEnd"/>
      <w:r>
        <w:rPr>
          <w:rtl/>
        </w:rPr>
        <w:t xml:space="preserve"> </w:t>
      </w:r>
      <w:proofErr w:type="spellStart"/>
      <w:r>
        <w:rPr>
          <w:rtl/>
        </w:rPr>
        <w:t>גרודזנסקי</w:t>
      </w:r>
      <w:proofErr w:type="spellEnd"/>
      <w:r>
        <w:rPr>
          <w:rtl/>
        </w:rPr>
        <w:t>, ונדפס שם.</w:t>
      </w:r>
      <w:bookmarkStart w:id="3204" w:name="_fnr2310"/>
      <w:r>
        <w:rPr>
          <w:rStyle w:val="a5"/>
        </w:rPr>
        <w:footnoteReference w:id="2317" w:customMarkFollows="0"/>
      </w:r>
      <w:bookmarkEnd w:id="3204"/>
      <w:r>
        <w:rPr>
          <w:rtl/>
        </w:rPr>
        <w:t xml:space="preserve"> בגוף המכתב אין תאריך, אבל נטען שם שנכתב </w:t>
      </w:r>
      <w:proofErr w:type="spellStart"/>
      <w:r>
        <w:rPr>
          <w:rtl/>
        </w:rPr>
        <w:t>ב“תר״ס</w:t>
      </w:r>
      <w:proofErr w:type="spellEnd"/>
      <w:r>
        <w:rPr>
          <w:rtl/>
        </w:rPr>
        <w:t xml:space="preserve"> או תרס״א”. המכתב נשלח </w:t>
      </w:r>
      <w:proofErr w:type="spellStart"/>
      <w:r>
        <w:rPr>
          <w:rtl/>
        </w:rPr>
        <w:t>ל“יק״א</w:t>
      </w:r>
      <w:proofErr w:type="spellEnd"/>
      <w:r>
        <w:rPr>
          <w:rtl/>
        </w:rPr>
        <w:t>”,</w:t>
      </w:r>
      <w:bookmarkStart w:id="3205" w:name="_fnr2311"/>
      <w:r>
        <w:rPr>
          <w:rStyle w:val="a5"/>
        </w:rPr>
        <w:footnoteReference w:id="2318" w:customMarkFollows="0"/>
      </w:r>
      <w:bookmarkEnd w:id="3205"/>
      <w:r>
        <w:rPr>
          <w:rtl/>
        </w:rPr>
        <w:t xml:space="preserve"> בבקשה להקים בתי חרושת שיספקו פרנסה ליהודים, וגם – לקראת סוף המכתב, כאילו במחשבה שנייה – בתי חולים עם </w:t>
      </w:r>
      <w:r>
        <w:rPr>
          <w:rtl/>
        </w:rPr>
        <w:lastRenderedPageBreak/>
        <w:t>בתי מרקחת.</w:t>
      </w:r>
      <w:bookmarkStart w:id="3206" w:name="_fnr2312"/>
      <w:r>
        <w:rPr>
          <w:rStyle w:val="a5"/>
        </w:rPr>
        <w:footnoteReference w:id="2319" w:customMarkFollows="0"/>
      </w:r>
      <w:bookmarkEnd w:id="3206"/>
      <w:r>
        <w:rPr>
          <w:rtl/>
        </w:rPr>
        <w:t xml:space="preserve"> אבל אין תיעוד לשום התקשרות בין השניים – אפילו לא לקשר עקיף כדוגמת מסמך שחתמו עליו יחד – מן העשור הקודם, כפי שטען האדמו״ר </w:t>
      </w:r>
      <w:proofErr w:type="spellStart"/>
      <w:r>
        <w:rPr>
          <w:rtl/>
        </w:rPr>
        <w:t>מליובאוויטש</w:t>
      </w:r>
      <w:proofErr w:type="spellEnd"/>
      <w:r>
        <w:rPr>
          <w:rtl/>
        </w:rPr>
        <w:t xml:space="preserve"> ר׳ </w:t>
      </w:r>
      <w:proofErr w:type="spellStart"/>
      <w:r>
        <w:rPr>
          <w:rtl/>
        </w:rPr>
        <w:t>יוסף־יצחק</w:t>
      </w:r>
      <w:proofErr w:type="spellEnd"/>
      <w:r>
        <w:rPr>
          <w:rtl/>
        </w:rPr>
        <w:t>.</w:t>
      </w:r>
    </w:p>
    <w:p w14:paraId="23633DB2" w14:textId="77777777" w:rsidR="00AB3647" w:rsidRDefault="00000000" w:rsidP="007923E9">
      <w:pPr>
        <w:spacing w:after="120" w:line="276" w:lineRule="auto"/>
        <w:ind w:firstLine="283"/>
        <w:jc w:val="both"/>
      </w:pPr>
      <w:r>
        <w:rPr>
          <w:rtl/>
        </w:rPr>
        <w:t xml:space="preserve">ר׳ </w:t>
      </w:r>
      <w:proofErr w:type="spellStart"/>
      <w:r>
        <w:rPr>
          <w:rtl/>
        </w:rPr>
        <w:t>יוסף־יצחק</w:t>
      </w:r>
      <w:proofErr w:type="spellEnd"/>
      <w:r>
        <w:rPr>
          <w:rtl/>
        </w:rPr>
        <w:t xml:space="preserve"> סיים את שיחתו בי״ט בכסלו: “אזהרתו של ר׳ חיים עשתה את שלה, וההסכם נשמר </w:t>
      </w:r>
      <w:r>
        <w:rPr>
          <w:b/>
          <w:bCs/>
          <w:rtl/>
        </w:rPr>
        <w:t>במשך עשרות שנים</w:t>
      </w:r>
      <w:r>
        <w:rPr>
          <w:rtl/>
        </w:rPr>
        <w:t xml:space="preserve"> (ההדגשה שלי). תועלת רבה הייתה בו לציבור. הוא נעשה דרך בדוקה לכל הזמנים ולכל הארצות.” איני יודע למה התכוון האדמו״ר במשפט האחרון. אבל במשפט הראשון התכוון בבירור למבקריו החריפים של המאמר “תורת חסידות חב״ד”, וטען שעתה מפרים מבקרים אלה את </w:t>
      </w:r>
      <w:proofErr w:type="spellStart"/>
      <w:r>
        <w:rPr>
          <w:rtl/>
        </w:rPr>
        <w:t>ה“הסכם</w:t>
      </w:r>
      <w:proofErr w:type="spellEnd"/>
      <w:r>
        <w:rPr>
          <w:rtl/>
        </w:rPr>
        <w:t xml:space="preserve">” בין </w:t>
      </w:r>
      <w:proofErr w:type="spellStart"/>
      <w:r>
        <w:rPr>
          <w:rtl/>
        </w:rPr>
        <w:t>ליובאוויטש</w:t>
      </w:r>
      <w:proofErr w:type="spellEnd"/>
      <w:r>
        <w:rPr>
          <w:rtl/>
        </w:rPr>
        <w:t xml:space="preserve"> לחוגי התורה הליטאיים, שקבע ר׳ חיים </w:t>
      </w:r>
      <w:proofErr w:type="spellStart"/>
      <w:r>
        <w:rPr>
          <w:rtl/>
        </w:rPr>
        <w:t>סולובייצ׳יק</w:t>
      </w:r>
      <w:proofErr w:type="spellEnd"/>
      <w:r>
        <w:rPr>
          <w:rtl/>
        </w:rPr>
        <w:t xml:space="preserve"> ושנשמר ארבעים וארבע שנים.</w:t>
      </w:r>
      <w:bookmarkStart w:id="3207" w:name="_fnr2313"/>
      <w:r>
        <w:rPr>
          <w:rStyle w:val="a5"/>
        </w:rPr>
        <w:footnoteReference w:id="2320" w:customMarkFollows="0"/>
      </w:r>
      <w:bookmarkEnd w:id="3207"/>
      <w:r>
        <w:rPr>
          <w:rtl/>
        </w:rPr>
        <w:t xml:space="preserve"> למעשה העמיד האדמו״ר את ר׳ חיים מן הדור הקודם כנגד המתנגד הראשי </w:t>
      </w:r>
      <w:proofErr w:type="spellStart"/>
      <w:r>
        <w:rPr>
          <w:rtl/>
        </w:rPr>
        <w:t>לליובאוויטש</w:t>
      </w:r>
      <w:proofErr w:type="spellEnd"/>
      <w:r>
        <w:rPr>
          <w:rtl/>
        </w:rPr>
        <w:t xml:space="preserve"> בדורו!</w:t>
      </w:r>
      <w:bookmarkStart w:id="3208" w:name="_fnr2314"/>
      <w:r>
        <w:rPr>
          <w:rStyle w:val="a5"/>
        </w:rPr>
        <w:footnoteReference w:id="2321" w:customMarkFollows="0"/>
      </w:r>
      <w:bookmarkEnd w:id="3208"/>
    </w:p>
    <w:p w14:paraId="3142A889" w14:textId="77777777" w:rsidR="00AB3647" w:rsidRDefault="00000000" w:rsidP="007923E9">
      <w:pPr>
        <w:spacing w:after="120" w:line="276" w:lineRule="auto"/>
        <w:ind w:firstLine="283"/>
        <w:jc w:val="both"/>
      </w:pPr>
      <w:r>
        <w:rPr>
          <w:rtl/>
        </w:rPr>
        <w:t xml:space="preserve">בהנחה שהדיווח על חלוקתו של ר׳ חיים את המתנגדים לשני סוגים מהימן, שאלתי את ר׳ </w:t>
      </w:r>
      <w:proofErr w:type="spellStart"/>
      <w:r>
        <w:rPr>
          <w:rtl/>
        </w:rPr>
        <w:t>אברהם־יהושע</w:t>
      </w:r>
      <w:proofErr w:type="spellEnd"/>
      <w:r>
        <w:rPr>
          <w:rtl/>
        </w:rPr>
        <w:t xml:space="preserve"> </w:t>
      </w:r>
      <w:proofErr w:type="spellStart"/>
      <w:r>
        <w:rPr>
          <w:rtl/>
        </w:rPr>
        <w:t>סולובייצ׳יק</w:t>
      </w:r>
      <w:proofErr w:type="spellEnd"/>
      <w:r>
        <w:rPr>
          <w:rtl/>
        </w:rPr>
        <w:t xml:space="preserve">, </w:t>
      </w:r>
      <w:proofErr w:type="spellStart"/>
      <w:r>
        <w:rPr>
          <w:rtl/>
        </w:rPr>
        <w:t>נינו</w:t>
      </w:r>
      <w:proofErr w:type="spellEnd"/>
      <w:r>
        <w:rPr>
          <w:rtl/>
        </w:rPr>
        <w:t xml:space="preserve"> של ר׳ חיים,</w:t>
      </w:r>
      <w:bookmarkStart w:id="3209" w:name="_fnr2315"/>
      <w:r>
        <w:rPr>
          <w:rStyle w:val="a5"/>
        </w:rPr>
        <w:footnoteReference w:id="2322" w:customMarkFollows="0"/>
      </w:r>
      <w:bookmarkEnd w:id="3209"/>
      <w:r>
        <w:rPr>
          <w:rtl/>
        </w:rPr>
        <w:t xml:space="preserve"> אם חלוקה זו קשורה למשלו של ר׳ חיים</w:t>
      </w:r>
      <w:bookmarkStart w:id="3210" w:name="_fnr2316"/>
      <w:r>
        <w:rPr>
          <w:rStyle w:val="a5"/>
        </w:rPr>
        <w:footnoteReference w:id="2323" w:customMarkFollows="0"/>
      </w:r>
      <w:bookmarkEnd w:id="3210"/>
      <w:r>
        <w:rPr>
          <w:rtl/>
        </w:rPr>
        <w:t xml:space="preserve"> על שניים המסלקים עכברים מן הבית, בעלת הבית והחתול: הראשונה פשוט אינה רוצה שיהיו שם עכברים, ואילו השני רוצה שהעכברים ייכנסו אל הבית כדי שיוכל לתפוס אותם ולהשמידם. ר׳ </w:t>
      </w:r>
      <w:proofErr w:type="spellStart"/>
      <w:r>
        <w:rPr>
          <w:rtl/>
        </w:rPr>
        <w:t>אברהם־יהושע</w:t>
      </w:r>
      <w:proofErr w:type="spellEnd"/>
      <w:r>
        <w:rPr>
          <w:rtl/>
        </w:rPr>
        <w:t xml:space="preserve"> השיב שמשל העכברים לא נאמר על סוגי מתנגדים, אלא על ר׳ יעקב הלוי ליפשיץ – “אף על פי שר׳ חיים העריך אותו מאוד”</w:t>
      </w:r>
      <w:bookmarkStart w:id="3211" w:name="_fnr2317"/>
      <w:r>
        <w:rPr>
          <w:rStyle w:val="a5"/>
        </w:rPr>
        <w:footnoteReference w:id="2324" w:customMarkFollows="0"/>
      </w:r>
      <w:bookmarkEnd w:id="3211"/>
      <w:r>
        <w:rPr>
          <w:rtl/>
        </w:rPr>
        <w:t xml:space="preserve"> – שנהנה, כחתול שבמשל, מהימצאותם של אפיקורסים, כדי שיוכל לתקוף אותם.</w:t>
      </w:r>
      <w:bookmarkStart w:id="3212" w:name="_fnr2318"/>
      <w:r>
        <w:rPr>
          <w:rStyle w:val="a5"/>
        </w:rPr>
        <w:footnoteReference w:id="2325" w:customMarkFollows="0"/>
      </w:r>
      <w:bookmarkEnd w:id="3212"/>
    </w:p>
    <w:p w14:paraId="6548658F" w14:textId="77777777" w:rsidR="00AB3647" w:rsidRDefault="00000000" w:rsidP="007923E9">
      <w:pPr>
        <w:spacing w:after="120" w:line="276" w:lineRule="auto"/>
        <w:ind w:firstLine="283"/>
        <w:jc w:val="both"/>
      </w:pPr>
      <w:r>
        <w:rPr>
          <w:rtl/>
        </w:rPr>
        <w:t xml:space="preserve">ר׳ יוסף </w:t>
      </w:r>
      <w:proofErr w:type="spellStart"/>
      <w:r>
        <w:rPr>
          <w:rtl/>
        </w:rPr>
        <w:t>סולובייצ׳יק</w:t>
      </w:r>
      <w:proofErr w:type="spellEnd"/>
      <w:r>
        <w:rPr>
          <w:rtl/>
        </w:rPr>
        <w:t>, בנו של ר׳ אהרן, אמר</w:t>
      </w:r>
      <w:bookmarkStart w:id="3213" w:name="_fnr2319"/>
      <w:r>
        <w:rPr>
          <w:rStyle w:val="a5"/>
        </w:rPr>
        <w:footnoteReference w:id="2326" w:customMarkFollows="0"/>
      </w:r>
      <w:bookmarkEnd w:id="3213"/>
      <w:r>
        <w:rPr>
          <w:rtl/>
        </w:rPr>
        <w:t xml:space="preserve"> ששמע מאביו שמשפחתו “מאז ר׳ חיים </w:t>
      </w:r>
      <w:proofErr w:type="spellStart"/>
      <w:r>
        <w:rPr>
          <w:rtl/>
        </w:rPr>
        <w:t>מוולוז׳ין</w:t>
      </w:r>
      <w:proofErr w:type="spellEnd"/>
      <w:r>
        <w:rPr>
          <w:rtl/>
        </w:rPr>
        <w:t xml:space="preserve">” אכן “עשתה שלום עם החסידים: ר׳ </w:t>
      </w:r>
      <w:proofErr w:type="spellStart"/>
      <w:r>
        <w:rPr>
          <w:rtl/>
        </w:rPr>
        <w:t xml:space="preserve">יושע־בער</w:t>
      </w:r>
      <w:proofErr w:type="spellEnd"/>
      <w:r>
        <w:rPr>
          <w:rtl/>
        </w:rPr>
        <w:t xml:space="preserve"> </w:t>
      </w:r>
      <w:proofErr w:type="spellStart"/>
      <w:r>
        <w:rPr>
          <w:rtl/>
        </w:rPr>
        <w:t>מבריסק</w:t>
      </w:r>
      <w:proofErr w:type="spellEnd"/>
      <w:r>
        <w:rPr>
          <w:rtl/>
        </w:rPr>
        <w:t xml:space="preserve"> נשא בת של חסידי חב״ד בזיווגו הראשון, ובזיווגו השני (שממנו נולדו בניו) בת של חסידי סלונים”.</w:t>
      </w:r>
      <w:bookmarkStart w:id="3214" w:name="_fnr2320"/>
      <w:r>
        <w:rPr>
          <w:rStyle w:val="a5"/>
        </w:rPr>
        <w:footnoteReference w:id="2327" w:customMarkFollows="0"/>
      </w:r>
      <w:bookmarkEnd w:id="3214"/>
      <w:r>
        <w:rPr>
          <w:rtl/>
        </w:rPr>
        <w:t xml:space="preserve"> השווה גם יעקב </w:t>
      </w:r>
      <w:r>
        <w:rPr>
          <w:rtl/>
        </w:rPr>
        <w:lastRenderedPageBreak/>
        <w:t>מארק,</w:t>
      </w:r>
      <w:bookmarkStart w:id="3215" w:name="_fnr2321"/>
      <w:r>
        <w:rPr>
          <w:rStyle w:val="a5"/>
        </w:rPr>
        <w:footnoteReference w:id="2328" w:customMarkFollows="0"/>
      </w:r>
      <w:bookmarkEnd w:id="3215"/>
      <w:r>
        <w:rPr>
          <w:rtl/>
        </w:rPr>
        <w:t xml:space="preserve"> המספר על הקרבה בין סבו של ר׳ </w:t>
      </w:r>
      <w:proofErr w:type="spellStart"/>
      <w:r>
        <w:rPr>
          <w:rtl/>
        </w:rPr>
        <w:t>שלום־בער</w:t>
      </w:r>
      <w:proofErr w:type="spellEnd"/>
      <w:r>
        <w:rPr>
          <w:rtl/>
        </w:rPr>
        <w:t xml:space="preserve"> שניאורסון, ר׳ </w:t>
      </w:r>
      <w:proofErr w:type="spellStart"/>
      <w:r>
        <w:rPr>
          <w:rtl/>
        </w:rPr>
        <w:t>מנחם־מנדל</w:t>
      </w:r>
      <w:proofErr w:type="spellEnd"/>
      <w:r>
        <w:rPr>
          <w:rtl/>
        </w:rPr>
        <w:t xml:space="preserve">, </w:t>
      </w:r>
      <w:proofErr w:type="spellStart"/>
      <w:r>
        <w:rPr>
          <w:rtl/>
        </w:rPr>
        <w:t>לר</w:t>
      </w:r>
      <w:proofErr w:type="spellEnd"/>
      <w:r>
        <w:rPr>
          <w:rtl/>
        </w:rPr>
        <w:t xml:space="preserve">׳ </w:t>
      </w:r>
      <w:proofErr w:type="spellStart"/>
      <w:r>
        <w:rPr>
          <w:rtl/>
        </w:rPr>
        <w:t>איצל׳ה</w:t>
      </w:r>
      <w:proofErr w:type="spellEnd"/>
      <w:r>
        <w:rPr>
          <w:rtl/>
        </w:rPr>
        <w:t xml:space="preserve"> </w:t>
      </w:r>
      <w:proofErr w:type="spellStart"/>
      <w:r>
        <w:rPr>
          <w:rtl/>
        </w:rPr>
        <w:t>מוולוז׳ין</w:t>
      </w:r>
      <w:proofErr w:type="spellEnd"/>
      <w:r>
        <w:rPr>
          <w:rtl/>
        </w:rPr>
        <w:t xml:space="preserve"> (דודו הגדול של אביו של ר׳ חיים </w:t>
      </w:r>
      <w:proofErr w:type="spellStart"/>
      <w:r>
        <w:rPr>
          <w:rtl/>
        </w:rPr>
        <w:t>סולובייצ׳יק</w:t>
      </w:r>
      <w:proofErr w:type="spellEnd"/>
      <w:r>
        <w:rPr>
          <w:rtl/>
        </w:rPr>
        <w:t xml:space="preserve"> ואבי סבה של אשת ר׳ חיים) בשנות </w:t>
      </w:r>
      <w:proofErr w:type="spellStart"/>
      <w:r>
        <w:rPr>
          <w:rtl/>
        </w:rPr>
        <w:t>הת״ר</w:t>
      </w:r>
      <w:proofErr w:type="spellEnd"/>
      <w:r>
        <w:rPr>
          <w:rtl/>
        </w:rPr>
        <w:t xml:space="preserve"> הראשונות: “אם איני טועה, היה ר׳ </w:t>
      </w:r>
      <w:proofErr w:type="spellStart"/>
      <w:r>
        <w:rPr>
          <w:rtl/>
        </w:rPr>
        <w:t>מנדל׳ה</w:t>
      </w:r>
      <w:proofErr w:type="spellEnd"/>
      <w:r>
        <w:rPr>
          <w:rtl/>
        </w:rPr>
        <w:t xml:space="preserve"> האדמו״ר החסידי הראשון שהיה מקורב לגדולי המתנגדים שבדורו. הוא כתב להם שאלות ותשובות, והיה קרוב מאוד </w:t>
      </w:r>
      <w:proofErr w:type="spellStart"/>
      <w:r>
        <w:rPr>
          <w:rtl/>
        </w:rPr>
        <w:t>לר</w:t>
      </w:r>
      <w:proofErr w:type="spellEnd"/>
      <w:r>
        <w:rPr>
          <w:rtl/>
        </w:rPr>
        <w:t xml:space="preserve">׳ </w:t>
      </w:r>
      <w:proofErr w:type="spellStart"/>
      <w:r>
        <w:rPr>
          <w:rtl/>
        </w:rPr>
        <w:t>איצל׳ה</w:t>
      </w:r>
      <w:proofErr w:type="spellEnd"/>
      <w:r>
        <w:rPr>
          <w:rtl/>
        </w:rPr>
        <w:t xml:space="preserve"> </w:t>
      </w:r>
      <w:proofErr w:type="spellStart"/>
      <w:r>
        <w:rPr>
          <w:rtl/>
        </w:rPr>
        <w:t>מוולוז׳ין</w:t>
      </w:r>
      <w:proofErr w:type="spellEnd"/>
      <w:r>
        <w:rPr>
          <w:rtl/>
        </w:rPr>
        <w:t>.”</w:t>
      </w:r>
      <w:bookmarkStart w:id="3216" w:name="_fnr2322"/>
      <w:r>
        <w:rPr>
          <w:rStyle w:val="a5"/>
        </w:rPr>
        <w:footnoteReference w:id="2329" w:customMarkFollows="0"/>
      </w:r>
      <w:bookmarkEnd w:id="3216"/>
    </w:p>
    <w:p w14:paraId="256D1E54" w14:textId="77777777" w:rsidR="00AB3647" w:rsidRDefault="00000000" w:rsidP="007923E9">
      <w:pPr>
        <w:spacing w:after="120" w:line="276" w:lineRule="auto"/>
        <w:ind w:firstLine="283"/>
        <w:jc w:val="both"/>
      </w:pPr>
      <w:r>
        <w:rPr>
          <w:rtl/>
        </w:rPr>
        <w:t xml:space="preserve">המשך לפגישתם של ר׳ </w:t>
      </w:r>
      <w:proofErr w:type="spellStart"/>
      <w:r>
        <w:rPr>
          <w:rtl/>
        </w:rPr>
        <w:t>יוסף־יצחק</w:t>
      </w:r>
      <w:proofErr w:type="spellEnd"/>
      <w:r>
        <w:rPr>
          <w:rtl/>
        </w:rPr>
        <w:t xml:space="preserve"> שניאורסון ור׳ </w:t>
      </w:r>
      <w:proofErr w:type="spellStart"/>
      <w:r>
        <w:rPr>
          <w:rtl/>
        </w:rPr>
        <w:t xml:space="preserve">יוסף־דב</w:t>
      </w:r>
      <w:proofErr w:type="spellEnd"/>
      <w:r>
        <w:rPr>
          <w:rtl/>
        </w:rPr>
        <w:t xml:space="preserve"> </w:t>
      </w:r>
      <w:proofErr w:type="spellStart"/>
      <w:r>
        <w:rPr>
          <w:rtl/>
        </w:rPr>
        <w:t>סולובייצ׳יק</w:t>
      </w:r>
      <w:proofErr w:type="spellEnd"/>
      <w:r>
        <w:rPr>
          <w:rtl/>
        </w:rPr>
        <w:t xml:space="preserve"> אפשר לראות במכתב ששלח הראשון לאחרון בט׳ באייר תש״א. במכתב תיאר חג שבועות שאביו שהה בו יחד עם סבו של האחרון </w:t>
      </w:r>
      <w:proofErr w:type="spellStart"/>
      <w:r>
        <w:rPr>
          <w:rtl/>
        </w:rPr>
        <w:t>בתר״ע</w:t>
      </w:r>
      <w:proofErr w:type="spellEnd"/>
      <w:r>
        <w:rPr>
          <w:rtl/>
        </w:rPr>
        <w:t xml:space="preserve">, אחרי ועידת פטרבורג שנמשכה שבועות רבים. הוא מספר שביום השני של יום טוב אכל ר׳ חיים על שולחנו של ר׳ </w:t>
      </w:r>
      <w:proofErr w:type="spellStart"/>
      <w:r>
        <w:rPr>
          <w:rtl/>
        </w:rPr>
        <w:t>שלום־בער</w:t>
      </w:r>
      <w:proofErr w:type="spellEnd"/>
      <w:r>
        <w:rPr>
          <w:rtl/>
        </w:rPr>
        <w:t xml:space="preserve"> ודרש על הפסוק “תורת ה׳ תמימה משיבת נפש”.</w:t>
      </w:r>
      <w:bookmarkStart w:id="3217" w:name="_fnr2323"/>
      <w:r>
        <w:rPr>
          <w:rStyle w:val="a5"/>
        </w:rPr>
        <w:footnoteReference w:id="2330" w:customMarkFollows="0"/>
      </w:r>
      <w:bookmarkEnd w:id="3217"/>
    </w:p>
    <w:p w14:paraId="66314E43" w14:textId="77777777" w:rsidR="00AB3647" w:rsidRDefault="00000000" w:rsidP="007923E9">
      <w:pPr>
        <w:spacing w:after="120" w:line="276" w:lineRule="auto"/>
        <w:ind w:firstLine="283"/>
        <w:jc w:val="both"/>
      </w:pPr>
      <w:r>
        <w:rPr>
          <w:rtl/>
        </w:rPr>
        <w:t xml:space="preserve">על קשר מעניין בין שני מנהיגי התורה סיפר ר׳ יחזקאל </w:t>
      </w:r>
      <w:proofErr w:type="spellStart"/>
      <w:r>
        <w:rPr>
          <w:rtl/>
        </w:rPr>
        <w:t>אברמסקי</w:t>
      </w:r>
      <w:proofErr w:type="spellEnd"/>
      <w:r>
        <w:rPr>
          <w:rtl/>
        </w:rPr>
        <w:t xml:space="preserve">, כפי שנרשם </w:t>
      </w:r>
      <w:proofErr w:type="spellStart"/>
      <w:r>
        <w:rPr>
          <w:rtl/>
        </w:rPr>
        <w:t>ב“מגד</w:t>
      </w:r>
      <w:proofErr w:type="spellEnd"/>
      <w:r>
        <w:rPr>
          <w:rtl/>
        </w:rPr>
        <w:t xml:space="preserve"> גבעות עולם”:</w:t>
      </w:r>
      <w:bookmarkStart w:id="3218" w:name="_fnr2324"/>
      <w:r>
        <w:rPr>
          <w:rStyle w:val="a5"/>
        </w:rPr>
        <w:footnoteReference w:id="2331" w:customMarkFollows="0"/>
      </w:r>
      <w:bookmarkEnd w:id="3218"/>
      <w:r>
        <w:rPr>
          <w:rtl/>
        </w:rPr>
        <w:t xml:space="preserve"> ר׳ חיים, שגלה למינסק במלחמת העולם הראשונה, נענה לבקשת ר׳ </w:t>
      </w:r>
      <w:proofErr w:type="spellStart"/>
      <w:r>
        <w:rPr>
          <w:rtl/>
        </w:rPr>
        <w:t>שלום־בער</w:t>
      </w:r>
      <w:proofErr w:type="spellEnd"/>
      <w:r>
        <w:rPr>
          <w:rtl/>
        </w:rPr>
        <w:t xml:space="preserve"> למסור שיעורים לתלמידי ישיבת </w:t>
      </w:r>
      <w:proofErr w:type="spellStart"/>
      <w:r>
        <w:rPr>
          <w:rtl/>
        </w:rPr>
        <w:t>ליובאוויטש</w:t>
      </w:r>
      <w:proofErr w:type="spellEnd"/>
      <w:r>
        <w:rPr>
          <w:rtl/>
        </w:rPr>
        <w:t xml:space="preserve"> שם. אבל “זקני החסידים” שכנעו את האדמו״ר לחזור בו מהזמנתו, מפני </w:t>
      </w:r>
      <w:proofErr w:type="spellStart"/>
      <w:r>
        <w:rPr>
          <w:rtl/>
        </w:rPr>
        <w:t>ש“הבחורים</w:t>
      </w:r>
      <w:proofErr w:type="spellEnd"/>
      <w:r>
        <w:rPr>
          <w:rtl/>
        </w:rPr>
        <w:t xml:space="preserve"> יתלהבו כל כך משיטת לימודו הנפלאה של ר׳ חיים וידבקו בה, עד </w:t>
      </w:r>
      <w:proofErr w:type="spellStart"/>
      <w:r>
        <w:rPr>
          <w:rtl/>
        </w:rPr>
        <w:t>שינטשו</w:t>
      </w:r>
      <w:proofErr w:type="spellEnd"/>
      <w:r>
        <w:rPr>
          <w:rtl/>
        </w:rPr>
        <w:t xml:space="preserve"> את לימוד החסידות”. במונחי מאמר סגל: הזקנים חששו </w:t>
      </w:r>
      <w:proofErr w:type="spellStart"/>
      <w:r>
        <w:rPr>
          <w:rtl/>
        </w:rPr>
        <w:t>ש“שור</w:t>
      </w:r>
      <w:proofErr w:type="spellEnd"/>
      <w:r>
        <w:rPr>
          <w:rtl/>
        </w:rPr>
        <w:t xml:space="preserve"> שנגח את הפרה” של ר׳ חיים יאפיל על “פנימיות התורה” שלהם!</w:t>
      </w:r>
    </w:p>
    <w:p w14:paraId="0C9440B3" w14:textId="77777777" w:rsidR="00AB3647" w:rsidRDefault="00000000" w:rsidP="007923E9">
      <w:pPr>
        <w:spacing w:after="120" w:line="276" w:lineRule="auto"/>
        <w:ind w:firstLine="283"/>
        <w:jc w:val="both"/>
      </w:pPr>
      <w:r>
        <w:rPr>
          <w:rtl/>
        </w:rPr>
        <w:t xml:space="preserve">המשך אחר לשיחתו של ר׳ </w:t>
      </w:r>
      <w:proofErr w:type="spellStart"/>
      <w:r>
        <w:rPr>
          <w:rtl/>
        </w:rPr>
        <w:t xml:space="preserve">יוסף־דב</w:t>
      </w:r>
      <w:proofErr w:type="spellEnd"/>
      <w:r>
        <w:rPr>
          <w:rtl/>
        </w:rPr>
        <w:t xml:space="preserve"> עם ר׳ </w:t>
      </w:r>
      <w:proofErr w:type="spellStart"/>
      <w:r>
        <w:rPr>
          <w:rtl/>
        </w:rPr>
        <w:t>יוסף־יצחק</w:t>
      </w:r>
      <w:proofErr w:type="spellEnd"/>
      <w:r>
        <w:rPr>
          <w:rtl/>
        </w:rPr>
        <w:t xml:space="preserve"> אפשר לראות בהסכמתו של ר׳ </w:t>
      </w:r>
      <w:proofErr w:type="spellStart"/>
      <w:r>
        <w:rPr>
          <w:rtl/>
        </w:rPr>
        <w:t xml:space="preserve">יוסף־דב</w:t>
      </w:r>
      <w:proofErr w:type="spellEnd"/>
      <w:r>
        <w:rPr>
          <w:rtl/>
        </w:rPr>
        <w:t xml:space="preserve"> לשמש נואם אורח בסעודת ההתרמה של ישיבות </w:t>
      </w:r>
      <w:proofErr w:type="spellStart"/>
      <w:r>
        <w:rPr>
          <w:rtl/>
        </w:rPr>
        <w:t>ליובאוויטש</w:t>
      </w:r>
      <w:proofErr w:type="spellEnd"/>
      <w:r>
        <w:rPr>
          <w:rtl/>
        </w:rPr>
        <w:t xml:space="preserve"> שנה וחצי אחר כך, כפי שדווח </w:t>
      </w:r>
      <w:proofErr w:type="spellStart"/>
      <w:r>
        <w:rPr>
          <w:rtl/>
        </w:rPr>
        <w:t>ב“הקריאה</w:t>
      </w:r>
      <w:proofErr w:type="spellEnd"/>
      <w:r>
        <w:rPr>
          <w:rtl/>
        </w:rPr>
        <w:t xml:space="preserve"> והקדושה” של ערב ראש חודש אב תש״ב. שם הרבה בשבחו של האדמו״ר </w:t>
      </w:r>
      <w:proofErr w:type="spellStart"/>
      <w:r>
        <w:rPr>
          <w:rtl/>
        </w:rPr>
        <w:t>כ“מנהיג</w:t>
      </w:r>
      <w:proofErr w:type="spellEnd"/>
      <w:r>
        <w:rPr>
          <w:rtl/>
        </w:rPr>
        <w:t xml:space="preserve"> הדור”, והביא השוואות רבות בינו לבין התנא רבי </w:t>
      </w:r>
      <w:proofErr w:type="spellStart"/>
      <w:r>
        <w:rPr>
          <w:rtl/>
        </w:rPr>
        <w:t>חנינא</w:t>
      </w:r>
      <w:proofErr w:type="spellEnd"/>
      <w:r>
        <w:rPr>
          <w:rtl/>
        </w:rPr>
        <w:t xml:space="preserve"> בן </w:t>
      </w:r>
      <w:proofErr w:type="spellStart"/>
      <w:r>
        <w:rPr>
          <w:rtl/>
        </w:rPr>
        <w:t>דוסא</w:t>
      </w:r>
      <w:proofErr w:type="spellEnd"/>
      <w:r>
        <w:rPr>
          <w:rtl/>
        </w:rPr>
        <w:t xml:space="preserve">, כפי שהוא מתואר בתלמוד. הוא השווה גם את ישיבות </w:t>
      </w:r>
      <w:proofErr w:type="spellStart"/>
      <w:r>
        <w:rPr>
          <w:rtl/>
        </w:rPr>
        <w:t>ליובאוויטש</w:t>
      </w:r>
      <w:proofErr w:type="spellEnd"/>
      <w:r>
        <w:rPr>
          <w:rtl/>
        </w:rPr>
        <w:t xml:space="preserve"> ואת </w:t>
      </w:r>
      <w:proofErr w:type="spellStart"/>
      <w:r>
        <w:rPr>
          <w:rtl/>
        </w:rPr>
        <w:t>וולוז׳ין</w:t>
      </w:r>
      <w:proofErr w:type="spellEnd"/>
      <w:r>
        <w:rPr>
          <w:rtl/>
        </w:rPr>
        <w:t xml:space="preserve"> לשתי האבנים היקרות שבחושן הכהן הגדול, שוהם וישפה בהתאמה, המסמלות את השכינה ואת הסנהדרין.</w:t>
      </w:r>
    </w:p>
    <w:p w14:paraId="2E82DD22" w14:textId="77777777" w:rsidR="00AB3647" w:rsidRDefault="00000000" w:rsidP="007923E9">
      <w:pPr>
        <w:spacing w:after="120" w:line="276" w:lineRule="auto"/>
        <w:ind w:firstLine="283"/>
        <w:jc w:val="both"/>
      </w:pPr>
      <w:r>
        <w:rPr>
          <w:rtl/>
        </w:rPr>
        <w:t xml:space="preserve">את השוואתו של ר׳ </w:t>
      </w:r>
      <w:proofErr w:type="spellStart"/>
      <w:r>
        <w:rPr>
          <w:rtl/>
        </w:rPr>
        <w:t xml:space="preserve">יוסף־דב</w:t>
      </w:r>
      <w:proofErr w:type="spellEnd"/>
      <w:r>
        <w:rPr>
          <w:rtl/>
        </w:rPr>
        <w:t xml:space="preserve"> את בני האדם שבזמננו לתנאים ואת המוסדות שבזמננו לכלי המקדש יש לראות רק כדרשנות בסגנון </w:t>
      </w:r>
      <w:proofErr w:type="spellStart"/>
      <w:r>
        <w:rPr>
          <w:rtl/>
        </w:rPr>
        <w:t>סולובייצ׳יק</w:t>
      </w:r>
      <w:proofErr w:type="spellEnd"/>
      <w:r>
        <w:rPr>
          <w:rtl/>
        </w:rPr>
        <w:t xml:space="preserve">. כך יש להבין גם את נאומו של ר׳ </w:t>
      </w:r>
      <w:proofErr w:type="spellStart"/>
      <w:r>
        <w:rPr>
          <w:rtl/>
        </w:rPr>
        <w:t xml:space="preserve">יוסף־דב</w:t>
      </w:r>
      <w:r>
        <w:rPr>
          <w:rtl/>
        </w:rPr>
        <w:lastRenderedPageBreak/>
        <w:t xml:space="preserve"/>
      </w:r>
      <w:proofErr w:type="spellEnd"/>
      <w:r>
        <w:rPr>
          <w:rtl/>
        </w:rPr>
        <w:t xml:space="preserve"> בסעודת התרמה לחינוך עצמאי, המתואר </w:t>
      </w:r>
      <w:proofErr w:type="spellStart"/>
      <w:r>
        <w:rPr>
          <w:rtl/>
        </w:rPr>
        <w:t>ב“ארחות</w:t>
      </w:r>
      <w:proofErr w:type="spellEnd"/>
      <w:r>
        <w:rPr>
          <w:rtl/>
        </w:rPr>
        <w:t xml:space="preserve"> חסידיך”.</w:t>
      </w:r>
      <w:bookmarkStart w:id="3219" w:name="_fnr2325"/>
      <w:r>
        <w:rPr>
          <w:rStyle w:val="a5"/>
        </w:rPr>
        <w:footnoteReference w:id="2332" w:customMarkFollows="0"/>
      </w:r>
      <w:bookmarkEnd w:id="3219"/>
      <w:r>
        <w:rPr>
          <w:rtl/>
        </w:rPr>
        <w:t xml:space="preserve"> ספר זה מספר: “ר׳ אהרן קוטלר היה אורח הכבוד, ואחד הנואמים” – הנואם שלא ננקב בשמו היה ר׳ </w:t>
      </w:r>
      <w:proofErr w:type="spellStart"/>
      <w:r>
        <w:rPr>
          <w:rtl/>
        </w:rPr>
        <w:t xml:space="preserve">יוסף־דב</w:t>
      </w:r>
      <w:proofErr w:type="spellEnd"/>
      <w:r>
        <w:rPr>
          <w:rtl/>
        </w:rPr>
        <w:t xml:space="preserve"> </w:t>
      </w:r>
      <w:proofErr w:type="spellStart"/>
      <w:r>
        <w:rPr>
          <w:rtl/>
        </w:rPr>
        <w:t>סולובייצ׳יק</w:t>
      </w:r>
      <w:proofErr w:type="spellEnd"/>
      <w:r>
        <w:rPr>
          <w:rtl/>
        </w:rPr>
        <w:t xml:space="preserve"> – “אמר: ‘כשאני רואה את ר׳ אהרן קוטלר, אני נזכר בר׳ </w:t>
      </w:r>
      <w:proofErr w:type="spellStart"/>
      <w:r>
        <w:rPr>
          <w:rtl/>
        </w:rPr>
        <w:t>ברוך־בער</w:t>
      </w:r>
      <w:proofErr w:type="spellEnd"/>
      <w:r>
        <w:rPr>
          <w:rtl/>
        </w:rPr>
        <w:t xml:space="preserve"> </w:t>
      </w:r>
      <w:proofErr w:type="spellStart"/>
      <w:r>
        <w:rPr>
          <w:rtl/>
        </w:rPr>
        <w:t>ליבוביץ</w:t>
      </w:r>
      <w:proofErr w:type="spellEnd"/>
      <w:r>
        <w:rPr>
          <w:rtl/>
        </w:rPr>
        <w:t xml:space="preserve"> </w:t>
      </w:r>
      <w:proofErr w:type="spellStart"/>
      <w:r>
        <w:rPr>
          <w:rtl/>
        </w:rPr>
        <w:t>וב</w:t>
      </w:r>
      <w:proofErr w:type="spellEnd"/>
      <w:r>
        <w:rPr>
          <w:rtl/>
        </w:rPr>
        <w:t xml:space="preserve">[סבי] ר׳ חיים </w:t>
      </w:r>
      <w:proofErr w:type="spellStart"/>
      <w:r>
        <w:rPr>
          <w:rtl/>
        </w:rPr>
        <w:t>סולובייצ׳יק</w:t>
      </w:r>
      <w:proofErr w:type="spellEnd"/>
      <w:r>
        <w:rPr>
          <w:rtl/>
        </w:rPr>
        <w:t>.’</w:t>
      </w:r>
      <w:bookmarkStart w:id="3220" w:name="_fnr2326"/>
      <w:r>
        <w:rPr>
          <w:rStyle w:val="a5"/>
        </w:rPr>
        <w:footnoteReference w:id="2333" w:customMarkFollows="0"/>
      </w:r>
      <w:bookmarkEnd w:id="3220"/>
      <w:r>
        <w:rPr>
          <w:rtl/>
        </w:rPr>
        <w:t xml:space="preserve"> ר׳ אהרן הסמיק, ודמעות זולגות מעיניו, משך בשרוולו של הנואם ואמר: ‘לא נכון, לא נכון!’” ר׳ אהרן נבוך לא מפני שהבין שהנואם משווה אותו לגדולים הקודמים. הוא ודאי הכיר את סגנון הדרשנות של ר׳ </w:t>
      </w:r>
      <w:proofErr w:type="spellStart"/>
      <w:r>
        <w:rPr>
          <w:rtl/>
        </w:rPr>
        <w:t xml:space="preserve">יוסף־דב</w:t>
      </w:r>
      <w:proofErr w:type="spellEnd"/>
      <w:r>
        <w:rPr>
          <w:rtl/>
        </w:rPr>
        <w:t xml:space="preserve"> וידע</w:t>
      </w:r>
      <w:bookmarkStart w:id="3221" w:name="_fnr2327"/>
      <w:r>
        <w:rPr>
          <w:rStyle w:val="a5"/>
        </w:rPr>
        <w:footnoteReference w:id="2334" w:customMarkFollows="0"/>
      </w:r>
      <w:bookmarkEnd w:id="3221"/>
      <w:r>
        <w:rPr>
          <w:rtl/>
        </w:rPr>
        <w:t xml:space="preserve"> שר׳ </w:t>
      </w:r>
      <w:proofErr w:type="spellStart"/>
      <w:r>
        <w:rPr>
          <w:rtl/>
        </w:rPr>
        <w:t xml:space="preserve">יוסף־דב</w:t>
      </w:r>
      <w:proofErr w:type="spellEnd"/>
      <w:r>
        <w:rPr>
          <w:rtl/>
        </w:rPr>
        <w:t xml:space="preserve"> מדבר רק בלשון משל, אבל גם זאת הייתה יותר מכפי שיכול היה לקבל בלא מבוכה.</w:t>
      </w:r>
    </w:p>
    <w:bookmarkStart w:id="3222" w:name="b3_excS"/>
    <w:p w14:paraId="6D6A2D7A" w14:textId="77777777" w:rsidR="00AB3647" w:rsidRDefault="00000000" w:rsidP="007923E9">
      <w:pPr>
        <w:pStyle w:val="3"/>
        <w:spacing w:line="276" w:lineRule="auto"/>
      </w:pPr>
      <w:r>
        <w:lastRenderedPageBreak/>
        <w:fldChar w:fldCharType="begin" w:dirty="true"/>
      </w:r>
      <w:r>
        <w:rPr>
          <w:rtl w:val="0"/>
        </w:rPr>
        <w:instrText>HYPERLINK \l "b3_note58</w:instrText>
      </w:r>
      <w:r>
        <w:instrText>"</w:instrText>
      </w:r>
      <w:r>
        <w:fldChar w:fldCharType="separate"/>
      </w:r>
      <w:r>
        <w:t xml:space="preserve">נספח </w:t>
      </w:r>
      <w:proofErr w:type="spellStart"/>
      <w:r>
        <w:t>יט</w:t>
      </w:r>
      <w:proofErr w:type="spellEnd"/>
      <w:r>
        <w:fldChar w:fldCharType="end"/>
      </w:r>
      <w:bookmarkEnd w:id="3222"/>
    </w:p>
    <w:p w14:paraId="1D5F9024" w14:textId="77777777" w:rsidR="00AB3647" w:rsidRDefault="00000000" w:rsidP="007923E9">
      <w:pPr>
        <w:pStyle w:val="af"/>
        <w:spacing w:line="276" w:lineRule="auto"/>
      </w:pPr>
      <w:r>
        <w:t xml:space="preserve">על תלמידי ר׳ ישראל </w:t>
      </w:r>
      <w:proofErr w:type="spellStart"/>
      <w:r>
        <w:t>סלנטר</w:t>
      </w:r>
      <w:proofErr w:type="spellEnd"/>
      <w:r>
        <w:t xml:space="preserve"> שלמדו באוניברסיטאות ואבדו, ועל ד״ר בנימין </w:t>
      </w:r>
      <w:proofErr w:type="spellStart"/>
      <w:r>
        <w:t>איינהורן</w:t>
      </w:r>
      <w:proofErr w:type="spellEnd"/>
      <w:r>
        <w:t>, שמעד בדרכו חזרה</w:t>
      </w:r>
    </w:p>
    <w:p w14:paraId="7629816D" w14:textId="77777777" w:rsidR="00AB3647" w:rsidRDefault="00000000" w:rsidP="007923E9">
      <w:pPr>
        <w:pStyle w:val="4"/>
        <w:spacing w:line="276" w:lineRule="auto"/>
      </w:pPr>
      <w:r>
        <w:t>· הפסקה הראשונה ·</w:t>
      </w:r>
    </w:p>
    <w:p w14:paraId="31573653" w14:textId="77777777" w:rsidR="00AB3647" w:rsidRDefault="00000000" w:rsidP="007923E9">
      <w:pPr>
        <w:pStyle w:val="5"/>
        <w:spacing w:line="276" w:lineRule="auto"/>
      </w:pPr>
      <w:r>
        <w:t xml:space="preserve">ר׳ </w:t>
      </w:r>
      <w:proofErr w:type="spellStart"/>
      <w:r>
        <w:t>נתן־צבי</w:t>
      </w:r>
      <w:proofErr w:type="spellEnd"/>
      <w:r>
        <w:t xml:space="preserve"> </w:t>
      </w:r>
      <w:proofErr w:type="spellStart"/>
      <w:r>
        <w:t>פינקל</w:t>
      </w:r>
      <w:proofErr w:type="spellEnd"/>
      <w:r>
        <w:t xml:space="preserve"> מאבד בן לסוציאליזם</w:t>
      </w:r>
    </w:p>
    <w:p w14:paraId="79CBCE36" w14:textId="77777777" w:rsidR="00AB3647" w:rsidRDefault="00000000" w:rsidP="007923E9">
      <w:pPr>
        <w:spacing w:after="120" w:line="276" w:lineRule="auto"/>
        <w:ind w:firstLine="283"/>
        <w:jc w:val="both"/>
      </w:pPr>
      <w:r>
        <w:rPr>
          <w:rtl/>
        </w:rPr>
        <w:t>רבים מעושי הצרות נאלצו לעזוב את רוסיה</w:t>
      </w:r>
      <w:bookmarkStart w:id="3223" w:name="_fnr2328"/>
      <w:r>
        <w:rPr>
          <w:rStyle w:val="a5"/>
        </w:rPr>
        <w:footnoteReference w:id="2335" w:customMarkFollows="0"/>
      </w:r>
      <w:bookmarkEnd w:id="3223"/>
      <w:r>
        <w:rPr>
          <w:rtl/>
        </w:rPr>
        <w:t xml:space="preserve">, וכמותם גם בנו שסרח של הסבא, </w:t>
      </w:r>
      <w:proofErr w:type="spellStart"/>
      <w:r>
        <w:rPr>
          <w:rtl/>
        </w:rPr>
        <w:t>רובעל׳ה</w:t>
      </w:r>
      <w:proofErr w:type="spellEnd"/>
      <w:r>
        <w:rPr>
          <w:rtl/>
        </w:rPr>
        <w:t xml:space="preserve">, הצעיר בילדיו. לבסוף הגיע לדטרויט, ונעשה כרטיסן בחשמלית, ולא שמר מצוות. אחיו ר׳ </w:t>
      </w:r>
      <w:proofErr w:type="spellStart"/>
      <w:r>
        <w:rPr>
          <w:rtl/>
        </w:rPr>
        <w:t>לייזר־יודל</w:t>
      </w:r>
      <w:proofErr w:type="spellEnd"/>
      <w:r>
        <w:rPr>
          <w:rtl/>
        </w:rPr>
        <w:t xml:space="preserve"> ור׳ </w:t>
      </w:r>
      <w:proofErr w:type="spellStart"/>
      <w:r>
        <w:rPr>
          <w:rtl/>
        </w:rPr>
        <w:t>אברהם־שמואל</w:t>
      </w:r>
      <w:proofErr w:type="spellEnd"/>
      <w:r>
        <w:rPr>
          <w:rtl/>
        </w:rPr>
        <w:t xml:space="preserve"> וגיסו ר׳ אייזיק שר ניסו ליצור עמו קשר בביקוריהם בעיר זו, אבל הוא דחה את ניסיונותיהם</w:t>
      </w:r>
      <w:bookmarkStart w:id="3224" w:name="_fnr2329"/>
      <w:r>
        <w:rPr>
          <w:rStyle w:val="a5"/>
        </w:rPr>
        <w:footnoteReference w:id="2336" w:customMarkFollows="0"/>
      </w:r>
      <w:bookmarkEnd w:id="3224"/>
      <w:r>
        <w:rPr>
          <w:rtl/>
        </w:rPr>
        <w:t>.</w:t>
      </w:r>
    </w:p>
    <w:p w14:paraId="1AB2F970" w14:textId="77777777" w:rsidR="00AB3647" w:rsidRDefault="00000000" w:rsidP="007923E9">
      <w:pPr>
        <w:pStyle w:val="4"/>
        <w:spacing w:line="276" w:lineRule="auto"/>
      </w:pPr>
      <w:r>
        <w:t>· הפסקה השנייה ·</w:t>
      </w:r>
    </w:p>
    <w:p w14:paraId="5F17EF10" w14:textId="77777777" w:rsidR="00AB3647" w:rsidRDefault="00000000" w:rsidP="007923E9">
      <w:pPr>
        <w:pStyle w:val="5"/>
        <w:spacing w:line="276" w:lineRule="auto"/>
      </w:pPr>
      <w:r>
        <w:t xml:space="preserve">ר׳ ישראל </w:t>
      </w:r>
      <w:proofErr w:type="spellStart"/>
      <w:r>
        <w:t>סלנטר</w:t>
      </w:r>
      <w:proofErr w:type="spellEnd"/>
      <w:r>
        <w:t xml:space="preserve"> מנסה דרכים במלחמה בהשכלה – בנו לומד מתמטיקה – שני תלמידים סוטים מן הדרך ואחד חוזר ומופיע כאיש מוזר – ד״ר </w:t>
      </w:r>
      <w:proofErr w:type="spellStart"/>
      <w:r>
        <w:t>איינהורן</w:t>
      </w:r>
      <w:proofErr w:type="spellEnd"/>
      <w:r>
        <w:t xml:space="preserve"> מופיע ונעלם בעיירות רוסיה – הוא מציג לאנטישמי את שירותו הצבאי – הסיפור המיוחס לחזרתו בתשובה – הוא מפיץ מידע מטעה על עצמו – בלבול בעניין אחיו – שלושה תלמידים עוזבים את </w:t>
      </w:r>
      <w:proofErr w:type="spellStart"/>
      <w:r>
        <w:t>וולוז׳ין</w:t>
      </w:r>
      <w:proofErr w:type="spellEnd"/>
      <w:r>
        <w:t xml:space="preserve"> – ר׳ ישראל נזהר מהשכלה חילונית – ר׳ </w:t>
      </w:r>
      <w:proofErr w:type="spellStart"/>
      <w:r>
        <w:t>שמחה־זיסל</w:t>
      </w:r>
      <w:proofErr w:type="spellEnd"/>
      <w:r>
        <w:t xml:space="preserve"> זיו עורך ניסיון קצר בחינוך בתו לתפילה</w:t>
      </w:r>
    </w:p>
    <w:p w14:paraId="343B2D8D" w14:textId="77777777" w:rsidR="00AB3647" w:rsidRDefault="00000000" w:rsidP="007923E9">
      <w:pPr>
        <w:spacing w:after="120" w:line="276" w:lineRule="auto"/>
        <w:ind w:firstLine="283"/>
        <w:jc w:val="both"/>
      </w:pPr>
      <w:r>
        <w:rPr>
          <w:rtl/>
        </w:rPr>
        <w:t xml:space="preserve">גם </w:t>
      </w:r>
      <w:proofErr w:type="spellStart"/>
      <w:r>
        <w:rPr>
          <w:rtl/>
        </w:rPr>
        <w:t>לר</w:t>
      </w:r>
      <w:proofErr w:type="spellEnd"/>
      <w:r>
        <w:rPr>
          <w:rtl/>
        </w:rPr>
        <w:t xml:space="preserve">׳ ישראל </w:t>
      </w:r>
      <w:proofErr w:type="spellStart"/>
      <w:r>
        <w:rPr>
          <w:rtl/>
        </w:rPr>
        <w:t>סלנטר</w:t>
      </w:r>
      <w:proofErr w:type="spellEnd"/>
      <w:r>
        <w:rPr>
          <w:rtl/>
        </w:rPr>
        <w:t xml:space="preserve"> היה בן, ליפמן, שסטה מדרכי אביו, שכן ר׳ ישראל, כמנהגם של מייסדי תנועת המוסר, ערך ניסיונות בחינוך בנו ובחינוך שני תלמידים, והתיר להם ללמוד באוניברסיטה. “הוא רצה לנסות כל דבר בעולם שנראה שיש בו תקווה להציל את היהדות מן ההשכלה”, אמר אבי</w:t>
      </w:r>
      <w:bookmarkStart w:id="3225" w:name="_fnr2330"/>
      <w:bookmarkStart w:id="3226" w:name="pr_f_2233"/>
      <w:r>
        <w:rPr>
          <w:rStyle w:val="a5"/>
        </w:rPr>
        <w:footnoteReference w:id="2337" w:customMarkFollows="0"/>
      </w:r>
      <w:bookmarkEnd w:id="3225"/>
      <w:bookmarkEnd w:id="3226"/>
      <w:r>
        <w:rPr>
          <w:rtl/>
        </w:rPr>
        <w:t>.</w:t>
      </w:r>
    </w:p>
    <w:p w14:paraId="5D4F53E9" w14:textId="77777777" w:rsidR="00AB3647" w:rsidRDefault="00000000" w:rsidP="007923E9">
      <w:pPr>
        <w:spacing w:after="120" w:line="276" w:lineRule="auto"/>
        <w:ind w:firstLine="283"/>
        <w:jc w:val="both"/>
      </w:pPr>
      <w:r>
        <w:rPr>
          <w:rtl/>
        </w:rPr>
        <w:t xml:space="preserve">השווה “עובדות והנהגות לבית </w:t>
      </w:r>
      <w:proofErr w:type="spellStart"/>
      <w:r>
        <w:rPr>
          <w:rtl/>
        </w:rPr>
        <w:t>בריסק</w:t>
      </w:r>
      <w:proofErr w:type="spellEnd"/>
      <w:r>
        <w:rPr>
          <w:rtl/>
        </w:rPr>
        <w:t>”</w:t>
      </w:r>
      <w:bookmarkStart w:id="3227" w:name="_fnr2331"/>
      <w:r>
        <w:rPr>
          <w:rStyle w:val="a5"/>
        </w:rPr>
        <w:footnoteReference w:id="2338" w:customMarkFollows="0"/>
      </w:r>
      <w:bookmarkEnd w:id="3227"/>
      <w:r>
        <w:rPr>
          <w:rtl/>
        </w:rPr>
        <w:t xml:space="preserve">, המביא בשם ר׳ פנחס </w:t>
      </w:r>
      <w:proofErr w:type="spellStart"/>
      <w:r>
        <w:rPr>
          <w:rtl/>
        </w:rPr>
        <w:t>ביברפלד</w:t>
      </w:r>
      <w:proofErr w:type="spellEnd"/>
      <w:r>
        <w:rPr>
          <w:rtl/>
        </w:rPr>
        <w:t xml:space="preserve"> ששמע מר׳ יצחק־זאב </w:t>
      </w:r>
      <w:proofErr w:type="spellStart"/>
      <w:r>
        <w:rPr>
          <w:rtl/>
        </w:rPr>
        <w:t>סולובייצ׳יק</w:t>
      </w:r>
      <w:proofErr w:type="spellEnd"/>
      <w:r>
        <w:rPr>
          <w:rtl/>
        </w:rPr>
        <w:t>: “ר׳ ישראל ניסה דברים רבים. הוא ניסה גם את דרך החסידות.” זהו דבר שאבי בוודאי היה מזכיר אילו ידע עליו.</w:t>
      </w:r>
    </w:p>
    <w:p w14:paraId="4752FBBE" w14:textId="77777777" w:rsidR="00AB3647" w:rsidRDefault="00000000" w:rsidP="007923E9">
      <w:pPr>
        <w:spacing w:after="120" w:line="276" w:lineRule="auto"/>
        <w:ind w:firstLine="283"/>
        <w:jc w:val="both"/>
      </w:pPr>
      <w:r>
        <w:rPr>
          <w:rtl/>
        </w:rPr>
        <w:t>השווה גם כץ, “תנועת המוסר”, כרך א</w:t>
      </w:r>
      <w:bookmarkStart w:id="3228" w:name="_fnr2332"/>
      <w:r>
        <w:rPr>
          <w:rStyle w:val="a5"/>
        </w:rPr>
        <w:footnoteReference w:id="2339" w:customMarkFollows="0"/>
      </w:r>
      <w:bookmarkEnd w:id="3228"/>
      <w:r>
        <w:rPr>
          <w:rtl/>
        </w:rPr>
        <w:t xml:space="preserve">, האומר: “ר׳ ישראל ראה [בהשכלה], שהתפתחותה הייתה אז בראשיתה, התחלה מסוכנת העלולה להביא את היהדות לקרירות רוח, שממנה יתחיל הרע בדורות הבאים ויסיטם מדרך התורה. הוא היה אומר שאם הסכנה אינה צפויה למאה ה־19 לספירה, הרי היא צפויה למאה ה־20 – וגייס את כל כוחותיו למלחמה </w:t>
      </w:r>
      <w:r>
        <w:rPr>
          <w:rtl/>
        </w:rPr>
        <w:lastRenderedPageBreak/>
        <w:t>בסכנה זו.” לאחר שמנה כמה מפעולותיו של ר׳ ישראל נגד ההשכלה, כתב כץ</w:t>
      </w:r>
      <w:bookmarkStart w:id="3229" w:name="_fnr2333"/>
      <w:r>
        <w:rPr>
          <w:rStyle w:val="a5"/>
        </w:rPr>
        <w:footnoteReference w:id="2340" w:customMarkFollows="0"/>
      </w:r>
      <w:bookmarkEnd w:id="3229"/>
      <w:r>
        <w:rPr>
          <w:rtl/>
        </w:rPr>
        <w:t xml:space="preserve">: “אף שהמשכילים ידעו שר׳ ישראל עומד מאחורי כל הפעולות הללו בעיצומה של המלחמה נגדם, לא העזו להזכירו לגנאי. בשעה שהכפישו את כל הרבנים ואת נאמני הדור וכתבו ספרים מיוחדים ללעוג להם </w:t>
      </w:r>
      <w:proofErr w:type="spellStart"/>
      <w:r>
        <w:rPr>
          <w:rtl/>
        </w:rPr>
        <w:t>ולשימם</w:t>
      </w:r>
      <w:proofErr w:type="spellEnd"/>
      <w:r>
        <w:rPr>
          <w:rtl/>
        </w:rPr>
        <w:t xml:space="preserve"> לחרפה, לא הזכירו את שמו של ר׳ ישראל ולא פגעו בכבודו – כאילו פחדו מזוהרה של אותה שמש גדולה שלא היה בה כתם או רבב.”</w:t>
      </w:r>
    </w:p>
    <w:p w14:paraId="559089A7" w14:textId="77777777" w:rsidR="00AB3647" w:rsidRDefault="00000000" w:rsidP="007923E9">
      <w:pPr>
        <w:spacing w:after="120" w:line="276" w:lineRule="auto"/>
        <w:ind w:firstLine="283"/>
        <w:jc w:val="both"/>
      </w:pPr>
      <w:r>
        <w:rPr>
          <w:rtl/>
        </w:rPr>
        <w:t>היוצא מן הכלל בין המשכילים היה, לפי יעקב מארק</w:t>
      </w:r>
      <w:bookmarkStart w:id="3230" w:name="_fnr2334"/>
      <w:r>
        <w:rPr>
          <w:rStyle w:val="a5"/>
        </w:rPr>
        <w:footnoteReference w:id="2341" w:customMarkFollows="0"/>
      </w:r>
      <w:bookmarkEnd w:id="3230"/>
      <w:r>
        <w:rPr>
          <w:rtl/>
        </w:rPr>
        <w:t>, אברהם מאפו, תושב קובנה, בספרו “עיט צבוע”</w:t>
      </w:r>
      <w:bookmarkStart w:id="3231" w:name="_fnr2335"/>
      <w:r>
        <w:rPr>
          <w:rStyle w:val="a5"/>
        </w:rPr>
        <w:footnoteReference w:id="2342" w:customMarkFollows="0"/>
      </w:r>
      <w:bookmarkEnd w:id="3231"/>
      <w:r>
        <w:rPr>
          <w:rtl/>
        </w:rPr>
        <w:t xml:space="preserve">. אבל השווה מכתב של מאפו שנדפס </w:t>
      </w:r>
      <w:proofErr w:type="spellStart"/>
      <w:r>
        <w:rPr>
          <w:rtl/>
        </w:rPr>
        <w:t>ב“מכתבי</w:t>
      </w:r>
      <w:proofErr w:type="spellEnd"/>
      <w:r>
        <w:rPr>
          <w:rtl/>
        </w:rPr>
        <w:t xml:space="preserve"> אברהם מאפו”</w:t>
      </w:r>
      <w:bookmarkStart w:id="3232" w:name="_fnr2336"/>
      <w:r>
        <w:rPr>
          <w:rStyle w:val="a5"/>
        </w:rPr>
        <w:footnoteReference w:id="2343" w:customMarkFollows="0"/>
      </w:r>
      <w:bookmarkEnd w:id="3232"/>
      <w:r>
        <w:rPr>
          <w:rtl/>
        </w:rPr>
        <w:t xml:space="preserve">, ובו הוא מספר על פירושו של חסידו של ר׳ ישראל </w:t>
      </w:r>
      <w:proofErr w:type="spellStart"/>
      <w:r>
        <w:rPr>
          <w:rtl/>
        </w:rPr>
        <w:t>סלנטר</w:t>
      </w:r>
      <w:proofErr w:type="spellEnd"/>
      <w:r>
        <w:rPr>
          <w:rtl/>
        </w:rPr>
        <w:t xml:space="preserve">, ר׳ אהרן </w:t>
      </w:r>
      <w:proofErr w:type="spellStart"/>
      <w:r>
        <w:rPr>
          <w:rtl/>
        </w:rPr>
        <w:t>נביאזר</w:t>
      </w:r>
      <w:proofErr w:type="spellEnd"/>
      <w:r>
        <w:rPr>
          <w:rtl/>
        </w:rPr>
        <w:t xml:space="preserve"> [</w:t>
      </w:r>
      <w:proofErr w:type="spellStart"/>
      <w:r>
        <w:rPr>
          <w:rtl/>
        </w:rPr>
        <w:t>נוויאצקי</w:t>
      </w:r>
      <w:proofErr w:type="spellEnd"/>
      <w:r>
        <w:rPr>
          <w:rtl/>
        </w:rPr>
        <w:t xml:space="preserve">], שאחת הדמויות המתועבות בספרו של מאפו, “ר׳ </w:t>
      </w:r>
      <w:proofErr w:type="spellStart"/>
      <w:r>
        <w:rPr>
          <w:rtl/>
        </w:rPr>
        <w:t>גדיאל</w:t>
      </w:r>
      <w:proofErr w:type="spellEnd"/>
      <w:r>
        <w:rPr>
          <w:rtl/>
        </w:rPr>
        <w:t xml:space="preserve">”, עוצבה על פי </w:t>
      </w:r>
      <w:proofErr w:type="spellStart"/>
      <w:r>
        <w:rPr>
          <w:rtl/>
        </w:rPr>
        <w:t>סלנטר</w:t>
      </w:r>
      <w:proofErr w:type="spellEnd"/>
      <w:r>
        <w:rPr>
          <w:rtl/>
        </w:rPr>
        <w:t xml:space="preserve"> – דבר שמאפו </w:t>
      </w:r>
      <w:r>
        <w:rPr>
          <w:b/>
          <w:bCs/>
          <w:rtl/>
        </w:rPr>
        <w:t>אינו מאשר</w:t>
      </w:r>
      <w:r>
        <w:rPr>
          <w:rtl/>
        </w:rPr>
        <w:t>.</w:t>
      </w:r>
    </w:p>
    <w:p w14:paraId="24FDBF82" w14:textId="77777777" w:rsidR="00AB3647" w:rsidRDefault="00000000" w:rsidP="007923E9">
      <w:pPr>
        <w:spacing w:after="120" w:line="276" w:lineRule="auto"/>
        <w:ind w:firstLine="283"/>
        <w:jc w:val="both"/>
      </w:pPr>
      <w:bookmarkStart w:id="3233" w:name="pr_b_1383"/>
      <w:bookmarkEnd w:id="3233"/>
      <w:r>
        <w:rPr>
          <w:rtl/>
        </w:rPr>
        <w:t>יעקב מארק</w:t>
      </w:r>
      <w:bookmarkStart w:id="3234" w:name="_fnr2337"/>
      <w:r>
        <w:rPr>
          <w:rStyle w:val="a5"/>
        </w:rPr>
        <w:footnoteReference w:id="2344" w:customMarkFollows="0"/>
      </w:r>
      <w:bookmarkEnd w:id="3234"/>
      <w:r>
        <w:rPr>
          <w:rtl/>
        </w:rPr>
        <w:t xml:space="preserve"> מספר </w:t>
      </w:r>
      <w:proofErr w:type="spellStart"/>
      <w:r>
        <w:rPr>
          <w:rtl/>
        </w:rPr>
        <w:t>ש“מסופר</w:t>
      </w:r>
      <w:proofErr w:type="spellEnd"/>
      <w:r>
        <w:rPr>
          <w:rtl/>
        </w:rPr>
        <w:t xml:space="preserve">” כי בתקופה ששימש ראש ישיבה שני </w:t>
      </w:r>
      <w:proofErr w:type="spellStart"/>
      <w:r>
        <w:rPr>
          <w:rtl/>
        </w:rPr>
        <w:t>בוולוז׳ין</w:t>
      </w:r>
      <w:proofErr w:type="spellEnd"/>
      <w:r>
        <w:rPr>
          <w:rtl/>
        </w:rPr>
        <w:t xml:space="preserve">, התבקש ר׳ יוסף־דב </w:t>
      </w:r>
      <w:proofErr w:type="spellStart"/>
      <w:r>
        <w:rPr>
          <w:rtl/>
        </w:rPr>
        <w:t>סולובייצ׳יק</w:t>
      </w:r>
      <w:proofErr w:type="spellEnd"/>
      <w:r>
        <w:rPr>
          <w:rtl/>
        </w:rPr>
        <w:t xml:space="preserve"> להעניש תלמיד שנתפס קורא “עיט צבוע”, ואמר: “אדרבה, יקראו כל הבחורים בספר ויראו כמה מגוחך הוא, ושוב לא ייקחו בידם ‘</w:t>
      </w:r>
      <w:proofErr w:type="spellStart"/>
      <w:r>
        <w:rPr>
          <w:rtl/>
        </w:rPr>
        <w:t>ביכל</w:t>
      </w:r>
      <w:proofErr w:type="spellEnd"/>
      <w:r>
        <w:rPr>
          <w:rtl/>
        </w:rPr>
        <w:t>’ [ספרון – הכינוי לספרות חילונית].”</w:t>
      </w:r>
    </w:p>
    <w:p w14:paraId="35A8B106" w14:textId="77777777" w:rsidR="00AB3647" w:rsidRDefault="00000000" w:rsidP="007923E9">
      <w:pPr>
        <w:spacing w:after="120" w:line="276" w:lineRule="auto"/>
        <w:ind w:firstLine="283"/>
        <w:jc w:val="both"/>
      </w:pPr>
      <w:r>
        <w:rPr>
          <w:rtl/>
        </w:rPr>
        <w:t xml:space="preserve">כנראה יש סיבה אחרת מזו שנתן כץ לכך שהמשכילים לא גינו את </w:t>
      </w:r>
      <w:proofErr w:type="spellStart"/>
      <w:r>
        <w:rPr>
          <w:rtl/>
        </w:rPr>
        <w:t>סלנטר</w:t>
      </w:r>
      <w:proofErr w:type="spellEnd"/>
      <w:r>
        <w:rPr>
          <w:rtl/>
        </w:rPr>
        <w:t xml:space="preserve">: הם השתעשעו במחשבה לראות במחדש זה אחד משלהם! ראה להלן, והשווה </w:t>
      </w:r>
      <w:proofErr w:type="spellStart"/>
      <w:r>
        <w:rPr>
          <w:rtl/>
        </w:rPr>
        <w:t>אטקס</w:t>
      </w:r>
      <w:proofErr w:type="spellEnd"/>
      <w:r>
        <w:rPr>
          <w:rtl/>
        </w:rPr>
        <w:t xml:space="preserve">, “ר׳ ישראל </w:t>
      </w:r>
      <w:proofErr w:type="spellStart"/>
      <w:r>
        <w:rPr>
          <w:rtl/>
        </w:rPr>
        <w:t>סלנטר</w:t>
      </w:r>
      <w:proofErr w:type="spellEnd"/>
      <w:r>
        <w:rPr>
          <w:rtl/>
        </w:rPr>
        <w:t xml:space="preserve"> וראשיתה של תנועת המוסר”</w:t>
      </w:r>
      <w:bookmarkStart w:id="3235" w:name="_fnr2338"/>
      <w:r>
        <w:rPr>
          <w:rStyle w:val="a5"/>
        </w:rPr>
        <w:footnoteReference w:id="2345" w:customMarkFollows="0"/>
      </w:r>
      <w:bookmarkEnd w:id="3235"/>
      <w:r>
        <w:rPr>
          <w:rtl/>
        </w:rPr>
        <w:t xml:space="preserve">, על כך שהמשכילים “העריכו שהאישיות יוצאת הדופן, ובמובן מסוים הבלתי שגרתית [של ר׳ ישראל </w:t>
      </w:r>
      <w:proofErr w:type="spellStart"/>
      <w:r>
        <w:rPr>
          <w:rtl/>
        </w:rPr>
        <w:t>סלנטר</w:t>
      </w:r>
      <w:proofErr w:type="spellEnd"/>
      <w:r>
        <w:rPr>
          <w:rtl/>
        </w:rPr>
        <w:t>], נוטה לדרכיהם”, וכי “סופרים משכילים ניסו שוב ושוב למצוא תמיכה לעמדותיהם בדמותו הבלתי שגרתית והייחודית בנוף ההנהגה הדתית של ר׳ ישראל”</w:t>
      </w:r>
      <w:bookmarkStart w:id="3236" w:name="_fnr2339"/>
      <w:r>
        <w:rPr>
          <w:rStyle w:val="a5"/>
        </w:rPr>
        <w:footnoteReference w:id="2346" w:customMarkFollows="0"/>
      </w:r>
      <w:bookmarkEnd w:id="3236"/>
      <w:r>
        <w:rPr>
          <w:rtl/>
        </w:rPr>
        <w:t>.</w:t>
      </w:r>
    </w:p>
    <w:p w14:paraId="239C0202" w14:textId="77777777" w:rsidR="00AB3647" w:rsidRDefault="00000000" w:rsidP="007923E9">
      <w:pPr>
        <w:spacing w:after="120" w:line="276" w:lineRule="auto"/>
        <w:ind w:firstLine="283"/>
        <w:jc w:val="both"/>
      </w:pPr>
      <w:r>
        <w:rPr>
          <w:rtl/>
        </w:rPr>
        <w:t xml:space="preserve">מבין השלושה שעליהם ערך ר׳ ישראל את ניסיונו, בנו של </w:t>
      </w:r>
      <w:proofErr w:type="spellStart"/>
      <w:r>
        <w:rPr>
          <w:rtl/>
        </w:rPr>
        <w:t>סלנטר</w:t>
      </w:r>
      <w:proofErr w:type="spellEnd"/>
      <w:r>
        <w:rPr>
          <w:rtl/>
        </w:rPr>
        <w:t xml:space="preserve"> נשאר שומר מצוות, אבל לא במידה שהניחה את דעת אביו. כאשר טענו פרסומים התומכים בהשכלה שר׳ ישראל מצדד בשילוב תורה עם השכלה חילונית, כפי שמוכיחים מעשי בנו עצמו, פרסם ר׳ ישראל בשנת תרכ״ה הסתייגות מהתנהגות בנו בן </w:t>
      </w:r>
      <w:proofErr w:type="spellStart"/>
      <w:r>
        <w:rPr>
          <w:rtl/>
        </w:rPr>
        <w:t>התשע־עשרה</w:t>
      </w:r>
      <w:proofErr w:type="spellEnd"/>
      <w:r>
        <w:rPr>
          <w:rtl/>
        </w:rPr>
        <w:t xml:space="preserve">, ופנה </w:t>
      </w:r>
      <w:proofErr w:type="spellStart"/>
      <w:r>
        <w:rPr>
          <w:rtl/>
        </w:rPr>
        <w:t>ל“כל</w:t>
      </w:r>
      <w:proofErr w:type="spellEnd"/>
      <w:r>
        <w:rPr>
          <w:rtl/>
        </w:rPr>
        <w:t xml:space="preserve"> מי שיש לו השפעה” להשיבו אל “האיש שבור הרוח [שהוא אביו] היום”</w:t>
      </w:r>
      <w:bookmarkStart w:id="3237" w:name="_fnr2340"/>
      <w:r>
        <w:rPr>
          <w:rStyle w:val="a5"/>
        </w:rPr>
        <w:footnoteReference w:id="2347" w:customMarkFollows="0"/>
      </w:r>
      <w:bookmarkEnd w:id="3237"/>
      <w:r>
        <w:rPr>
          <w:rtl/>
        </w:rPr>
        <w:t>. אבי תיאר</w:t>
      </w:r>
      <w:bookmarkStart w:id="3238" w:name="_fnr2341"/>
      <w:r>
        <w:rPr>
          <w:rStyle w:val="a5"/>
        </w:rPr>
        <w:footnoteReference w:id="2348" w:customMarkFollows="0"/>
      </w:r>
      <w:bookmarkEnd w:id="3238"/>
      <w:r>
        <w:rPr>
          <w:rtl/>
        </w:rPr>
        <w:t xml:space="preserve"> את מצבו הדתי של הבן במילים: “בסוף ימיו חזר בתשובה.” הוא מת צעיר, בן שלושים</w:t>
      </w:r>
      <w:bookmarkStart w:id="3239" w:name="_fnr2342"/>
      <w:r>
        <w:rPr>
          <w:rStyle w:val="a5"/>
        </w:rPr>
        <w:footnoteReference w:id="2349" w:customMarkFollows="0"/>
      </w:r>
      <w:bookmarkEnd w:id="3239"/>
      <w:r>
        <w:rPr>
          <w:rtl/>
        </w:rPr>
        <w:t>, לאחר שהמציא מכשיר טכני שנקרא על שמו, מנגנון ליפקין.</w:t>
      </w:r>
    </w:p>
    <w:p w14:paraId="3305BD80" w14:textId="77777777" w:rsidR="00AB3647" w:rsidRDefault="00000000" w:rsidP="007923E9">
      <w:pPr>
        <w:spacing w:after="120" w:line="276" w:lineRule="auto"/>
        <w:ind w:firstLine="283"/>
        <w:jc w:val="both"/>
      </w:pPr>
      <w:r>
        <w:rPr>
          <w:rtl/>
        </w:rPr>
        <w:lastRenderedPageBreak/>
        <w:t xml:space="preserve">השווה </w:t>
      </w:r>
      <w:proofErr w:type="spellStart"/>
      <w:r>
        <w:rPr>
          <w:rtl/>
        </w:rPr>
        <w:t>אטקס</w:t>
      </w:r>
      <w:proofErr w:type="spellEnd"/>
      <w:r>
        <w:rPr>
          <w:rtl/>
        </w:rPr>
        <w:t xml:space="preserve">, “ר׳ ישראל </w:t>
      </w:r>
      <w:proofErr w:type="spellStart"/>
      <w:r>
        <w:rPr>
          <w:rtl/>
        </w:rPr>
        <w:t>סלנטר</w:t>
      </w:r>
      <w:proofErr w:type="spellEnd"/>
      <w:r>
        <w:rPr>
          <w:rtl/>
        </w:rPr>
        <w:t xml:space="preserve"> וראשיתה של תנועת המוסר”</w:t>
      </w:r>
      <w:bookmarkStart w:id="3240" w:name="_fnr2343"/>
      <w:r>
        <w:rPr>
          <w:rStyle w:val="a5"/>
        </w:rPr>
        <w:footnoteReference w:id="2350" w:customMarkFollows="0"/>
      </w:r>
      <w:bookmarkEnd w:id="3240"/>
      <w:r>
        <w:rPr>
          <w:rtl/>
        </w:rPr>
        <w:t xml:space="preserve">, שליפמן היה בן </w:t>
      </w:r>
      <w:proofErr w:type="spellStart"/>
      <w:r>
        <w:rPr>
          <w:rtl/>
        </w:rPr>
        <w:t>אחת־עשרה</w:t>
      </w:r>
      <w:proofErr w:type="spellEnd"/>
      <w:r>
        <w:rPr>
          <w:rtl/>
        </w:rPr>
        <w:t xml:space="preserve"> בלבד כשעבר אביו לגרמניה והשאיר את משפחתו בליטא. לפי יעקב מארק</w:t>
      </w:r>
      <w:bookmarkStart w:id="3241" w:name="_fnr2344"/>
      <w:r>
        <w:rPr>
          <w:rStyle w:val="a5"/>
        </w:rPr>
        <w:footnoteReference w:id="2351" w:customMarkFollows="0"/>
      </w:r>
      <w:bookmarkEnd w:id="3241"/>
      <w:r>
        <w:rPr>
          <w:rtl/>
        </w:rPr>
        <w:t xml:space="preserve">, הצעיר החליט מדעת עצמו לעזוב את בית </w:t>
      </w:r>
      <w:proofErr w:type="spellStart"/>
      <w:r>
        <w:rPr>
          <w:rtl/>
        </w:rPr>
        <w:t>אמו</w:t>
      </w:r>
      <w:proofErr w:type="spellEnd"/>
      <w:r>
        <w:rPr>
          <w:rtl/>
        </w:rPr>
        <w:t xml:space="preserve"> וללמוד באוניברסיטה; אבל לפי אבי, ר׳ ישראל ידע היטב מה עושה בנו. ניתן לשער שגאונותו הטבעית של ליפמן במתמטיקה, המתוארת שם, הניעה את אביו לנסות ולהשלים עם המשך התפתחותו בתחום זה.</w:t>
      </w:r>
    </w:p>
    <w:p w14:paraId="7E43A8DE" w14:textId="77777777" w:rsidR="00AB3647" w:rsidRDefault="00000000" w:rsidP="007923E9">
      <w:pPr>
        <w:spacing w:after="120" w:line="276" w:lineRule="auto"/>
        <w:ind w:firstLine="283"/>
        <w:jc w:val="both"/>
      </w:pPr>
      <w:r>
        <w:rPr>
          <w:rtl/>
        </w:rPr>
        <w:t xml:space="preserve">שני שפני הניסיון האחרים עזבו לגמרי את היהדות. אבל אחד מהם, רופא צבאי, נמלט מעבר לגבול לרוסיה ונעשה בעל תשובה מוזר, לאחר התקף שיגעון שבו הצית את הבית בווינה שחי בו עם אשתו וילדיו </w:t>
      </w:r>
      <w:proofErr w:type="spellStart"/>
      <w:r>
        <w:rPr>
          <w:rtl/>
        </w:rPr>
        <w:t>הלא־יהודים</w:t>
      </w:r>
      <w:proofErr w:type="spellEnd"/>
      <w:r>
        <w:rPr>
          <w:rtl/>
        </w:rPr>
        <w:t xml:space="preserve">. אבי ראה אותו בבית כנסת במינסק, לבוש טלית ותפילין כל היום. לפי דיווח של ר׳ יצחק </w:t>
      </w:r>
      <w:proofErr w:type="spellStart"/>
      <w:r>
        <w:rPr>
          <w:rtl/>
        </w:rPr>
        <w:t>שורין</w:t>
      </w:r>
      <w:bookmarkStart w:id="3242" w:name="_fnr2345"/>
      <w:proofErr w:type="spellEnd"/>
      <w:r>
        <w:rPr>
          <w:rStyle w:val="a5"/>
        </w:rPr>
        <w:footnoteReference w:id="2352" w:customMarkFollows="0"/>
      </w:r>
      <w:bookmarkEnd w:id="3242"/>
      <w:r>
        <w:rPr>
          <w:rtl/>
        </w:rPr>
        <w:t xml:space="preserve">, אבי סיפר ששמו של האיש היה </w:t>
      </w:r>
      <w:proofErr w:type="spellStart"/>
      <w:r>
        <w:rPr>
          <w:rtl/>
        </w:rPr>
        <w:t>איינהורן</w:t>
      </w:r>
      <w:proofErr w:type="spellEnd"/>
      <w:r>
        <w:rPr>
          <w:rtl/>
        </w:rPr>
        <w:t>, ושלא קיבל שכר בעד שירותיו הרפואיים, אלא ארוחה בלבד.</w:t>
      </w:r>
    </w:p>
    <w:p w14:paraId="04B256E5" w14:textId="77777777" w:rsidR="00AB3647" w:rsidRDefault="00000000" w:rsidP="007923E9">
      <w:pPr>
        <w:spacing w:after="120" w:line="276" w:lineRule="auto"/>
        <w:ind w:firstLine="283"/>
        <w:jc w:val="both"/>
      </w:pPr>
      <w:r>
        <w:rPr>
          <w:rtl/>
        </w:rPr>
        <w:t xml:space="preserve">ר׳ יצחק </w:t>
      </w:r>
      <w:proofErr w:type="spellStart"/>
      <w:r>
        <w:rPr>
          <w:rtl/>
        </w:rPr>
        <w:t>שורין</w:t>
      </w:r>
      <w:proofErr w:type="spellEnd"/>
      <w:r>
        <w:rPr>
          <w:rtl/>
        </w:rPr>
        <w:t xml:space="preserve"> סיפר גם שבביקור שערך אבי אצל ר׳ </w:t>
      </w:r>
      <w:proofErr w:type="spellStart"/>
      <w:r>
        <w:rPr>
          <w:rtl/>
        </w:rPr>
        <w:t>יעקב־ישראל</w:t>
      </w:r>
      <w:proofErr w:type="spellEnd"/>
      <w:r>
        <w:rPr>
          <w:rtl/>
        </w:rPr>
        <w:t xml:space="preserve"> </w:t>
      </w:r>
      <w:proofErr w:type="spellStart"/>
      <w:r>
        <w:rPr>
          <w:rtl/>
        </w:rPr>
        <w:t xml:space="preserve">קניבסקי</w:t>
      </w:r>
      <w:proofErr w:type="spellEnd"/>
      <w:r>
        <w:rPr>
          <w:rtl/>
        </w:rPr>
        <w:t xml:space="preserve"> בבני ברק בשנת תשכ״ט, הובאה לפני המארח בעיה: צעירה התעוורה בלי סיבה גופנית. אבי אמר למארחו שמקרה כזה בדיוק הובא לפני אותו רופא במינסק, והוא הורה להדליק אור בהיר בחדר החולה בשעה שהייתה שקועה בשינה עמוקה, ואז להעירה פתאום.</w:t>
      </w:r>
    </w:p>
    <w:p w14:paraId="48BC479D" w14:textId="77777777" w:rsidR="00AB3647" w:rsidRDefault="00000000" w:rsidP="007923E9">
      <w:pPr>
        <w:spacing w:after="120" w:line="276" w:lineRule="auto"/>
        <w:ind w:firstLine="283"/>
        <w:jc w:val="both"/>
      </w:pPr>
      <w:r>
        <w:rPr>
          <w:rtl/>
        </w:rPr>
        <w:t xml:space="preserve">אזכור לד״ר </w:t>
      </w:r>
      <w:proofErr w:type="spellStart"/>
      <w:r>
        <w:rPr>
          <w:rtl/>
        </w:rPr>
        <w:t>איינהורן</w:t>
      </w:r>
      <w:proofErr w:type="spellEnd"/>
      <w:r>
        <w:rPr>
          <w:rtl/>
        </w:rPr>
        <w:t xml:space="preserve"> נמצא במאמר של אברהם ליסין </w:t>
      </w:r>
      <w:proofErr w:type="spellStart"/>
      <w:r>
        <w:rPr>
          <w:rtl/>
        </w:rPr>
        <w:t>ב“מינסק</w:t>
      </w:r>
      <w:proofErr w:type="spellEnd"/>
      <w:r>
        <w:rPr>
          <w:rtl/>
        </w:rPr>
        <w:t xml:space="preserve"> עיר ואם” א</w:t>
      </w:r>
      <w:bookmarkStart w:id="3243" w:name="_fnr2346"/>
      <w:r>
        <w:rPr>
          <w:rStyle w:val="a5"/>
        </w:rPr>
        <w:footnoteReference w:id="2353" w:customMarkFollows="0"/>
      </w:r>
      <w:bookmarkEnd w:id="3243"/>
      <w:r>
        <w:rPr>
          <w:rtl/>
        </w:rPr>
        <w:t xml:space="preserve">, ובו הוא מתואר כמי שבילה את ימיו בבית המדרש </w:t>
      </w:r>
      <w:proofErr w:type="spellStart"/>
      <w:r>
        <w:rPr>
          <w:rtl/>
        </w:rPr>
        <w:t>החטאייביצ׳ר</w:t>
      </w:r>
      <w:proofErr w:type="spellEnd"/>
      <w:r>
        <w:rPr>
          <w:rtl/>
        </w:rPr>
        <w:t xml:space="preserve"> בחורף תרמ״ב. ליסין אומר שבבית המדרש במינסק לא ידעו מה הביא לחזרתו בתשובה, אבל “</w:t>
      </w:r>
      <w:r>
        <w:rPr>
          <w:b/>
          <w:bCs/>
          <w:rtl/>
        </w:rPr>
        <w:t>לאחר זמן רב</w:t>
      </w:r>
      <w:r>
        <w:rPr>
          <w:rtl/>
        </w:rPr>
        <w:t>” (ההדגשה שלי) נודע לו (למחבר המאמר, ואולי גם לאחרים) שהייתה זו תוצאה של זעזוע נפשי עמוק כשאחיו המיר את דתו לנצרות.</w:t>
      </w:r>
    </w:p>
    <w:p w14:paraId="7A142341" w14:textId="77777777" w:rsidR="00AB3647" w:rsidRDefault="00000000" w:rsidP="007923E9">
      <w:pPr>
        <w:spacing w:after="120" w:line="276" w:lineRule="auto"/>
        <w:ind w:firstLine="283"/>
        <w:jc w:val="both"/>
      </w:pPr>
      <w:r>
        <w:rPr>
          <w:rtl/>
        </w:rPr>
        <w:t xml:space="preserve">מצאתי גם מאמר שלם על הרופא, שכותרתו “ד״ר בנימין </w:t>
      </w:r>
      <w:proofErr w:type="spellStart"/>
      <w:r>
        <w:rPr>
          <w:rtl/>
        </w:rPr>
        <w:t>איינהארן</w:t>
      </w:r>
      <w:proofErr w:type="spellEnd"/>
      <w:r>
        <w:rPr>
          <w:rtl/>
        </w:rPr>
        <w:t xml:space="preserve">”, מאת יעקב </w:t>
      </w:r>
      <w:proofErr w:type="spellStart"/>
      <w:r>
        <w:rPr>
          <w:rtl/>
        </w:rPr>
        <w:t>גערשאווסקי</w:t>
      </w:r>
      <w:proofErr w:type="spellEnd"/>
      <w:r>
        <w:rPr>
          <w:rtl/>
        </w:rPr>
        <w:t xml:space="preserve">, </w:t>
      </w:r>
      <w:proofErr w:type="spellStart"/>
      <w:r>
        <w:rPr>
          <w:rtl/>
        </w:rPr>
        <w:t>ב“פנקס</w:t>
      </w:r>
      <w:proofErr w:type="spellEnd"/>
      <w:r>
        <w:rPr>
          <w:rtl/>
        </w:rPr>
        <w:t xml:space="preserve"> </w:t>
      </w:r>
      <w:proofErr w:type="spellStart"/>
      <w:r>
        <w:rPr>
          <w:rtl/>
        </w:rPr>
        <w:t>נאווארעדאק</w:t>
      </w:r>
      <w:proofErr w:type="spellEnd"/>
      <w:r>
        <w:rPr>
          <w:rtl/>
        </w:rPr>
        <w:t>”</w:t>
      </w:r>
      <w:bookmarkStart w:id="3244" w:name="_fnr2347"/>
      <w:r>
        <w:rPr>
          <w:rStyle w:val="a5"/>
        </w:rPr>
        <w:footnoteReference w:id="2354" w:customMarkFollows="0"/>
      </w:r>
      <w:bookmarkEnd w:id="3244"/>
      <w:r>
        <w:rPr>
          <w:rtl/>
        </w:rPr>
        <w:t>, עמ׳ 76–78, שיעניין את הקורא ויעמיד את דברי אבי בהקשרם. להלן קטע מאותו מאמר:</w:t>
      </w:r>
    </w:p>
    <w:p w14:paraId="719970EB" w14:textId="77777777" w:rsidR="00AB3647" w:rsidRDefault="00000000" w:rsidP="007923E9">
      <w:pPr>
        <w:spacing w:after="120" w:line="276" w:lineRule="auto"/>
        <w:ind w:firstLine="283"/>
        <w:jc w:val="both"/>
      </w:pPr>
      <w:r>
        <w:rPr>
          <w:rtl/>
        </w:rPr>
        <w:t xml:space="preserve">איזו סנסציה הייתה בראשית שנות </w:t>
      </w:r>
      <w:proofErr w:type="spellStart"/>
      <w:r>
        <w:rPr>
          <w:rtl/>
        </w:rPr>
        <w:t>הת״ר־מ</w:t>
      </w:r>
      <w:proofErr w:type="spellEnd"/>
      <w:r>
        <w:rPr>
          <w:rtl/>
        </w:rPr>
        <w:t xml:space="preserve">׳ [שנות השמונים של המאה ה־19], כשרופא יהודי בגיל העמידה, ולא עוד אלא רופא צבאי, התיישב </w:t>
      </w:r>
      <w:proofErr w:type="spellStart"/>
      <w:r>
        <w:rPr>
          <w:rtl/>
        </w:rPr>
        <w:t>בנובהרדוק</w:t>
      </w:r>
      <w:proofErr w:type="spellEnd"/>
      <w:r>
        <w:rPr>
          <w:rtl/>
        </w:rPr>
        <w:t>... ומיד החל להתפלל בבוקר בטלית צמר גדולה ובתפילין גדולים. היה בא לבית המדרש גם למנחה ולערבית, מתפלל בדבקות ובהתלהבות, ואחרי התפילה היה מתיישב ללמוד דף גמרא בשקידה רבה</w:t>
      </w:r>
      <w:bookmarkStart w:id="3245" w:name="_fnr2348"/>
      <w:r>
        <w:rPr>
          <w:rStyle w:val="a5"/>
        </w:rPr>
        <w:footnoteReference w:id="2355" w:customMarkFollows="0"/>
      </w:r>
      <w:bookmarkEnd w:id="3245"/>
      <w:r>
        <w:rPr>
          <w:rtl/>
        </w:rPr>
        <w:t>.</w:t>
      </w:r>
    </w:p>
    <w:p w14:paraId="268DCE66" w14:textId="77777777" w:rsidR="00AB3647" w:rsidRDefault="00000000" w:rsidP="007923E9">
      <w:pPr>
        <w:spacing w:after="120" w:line="276" w:lineRule="auto"/>
        <w:ind w:firstLine="283"/>
        <w:jc w:val="both"/>
      </w:pPr>
      <w:r>
        <w:rPr>
          <w:rtl/>
        </w:rPr>
        <w:t xml:space="preserve">העיר געשה כקלחת: רופא צבאי בדרגת </w:t>
      </w:r>
      <w:proofErr w:type="spellStart"/>
      <w:r>
        <w:rPr>
          <w:rtl/>
        </w:rPr>
        <w:t>פולקובניק</w:t>
      </w:r>
      <w:proofErr w:type="spellEnd"/>
      <w:r>
        <w:rPr>
          <w:rtl/>
        </w:rPr>
        <w:t xml:space="preserve">, בעל זקן ופאות ארוכות, המתנהג כאדוק שביהודים! הוא התפרסם כרופא עיניים, שריפא חולים שלפני בואו לא הועילו להם אפילו “רפואות” קיצוניות, כגון מי ברז </w:t>
      </w:r>
      <w:proofErr w:type="spellStart"/>
      <w:r>
        <w:rPr>
          <w:rtl/>
        </w:rPr>
        <w:t>מ“המקום</w:t>
      </w:r>
      <w:proofErr w:type="spellEnd"/>
      <w:r>
        <w:rPr>
          <w:rtl/>
        </w:rPr>
        <w:t xml:space="preserve"> הנקי”</w:t>
      </w:r>
      <w:bookmarkStart w:id="3246" w:name="_fnr2349"/>
      <w:r>
        <w:rPr>
          <w:rStyle w:val="a5"/>
        </w:rPr>
        <w:footnoteReference w:id="2356" w:customMarkFollows="0"/>
      </w:r>
      <w:bookmarkEnd w:id="3246"/>
      <w:r>
        <w:rPr>
          <w:rtl/>
        </w:rPr>
        <w:t xml:space="preserve">, או אפילו המים שרחצו בהם </w:t>
      </w:r>
      <w:r>
        <w:rPr>
          <w:rtl/>
        </w:rPr>
        <w:lastRenderedPageBreak/>
        <w:t>מתים. בתחילה משך אליו קהל גדול של מטופלים מפני שלא היה רודף בצע. את העניים החולים ריפא בלי שום תשלום, וגם אצל העשירים לא עמד על שכרו. אך הצלחתו לא ארכה. פרנסתו הלכה ופחתה, עד שלא יכול היה להתקיים ממנה.</w:t>
      </w:r>
    </w:p>
    <w:p w14:paraId="2933EF9B" w14:textId="77777777" w:rsidR="00AB3647" w:rsidRDefault="00000000" w:rsidP="007923E9">
      <w:pPr>
        <w:spacing w:after="120" w:line="276" w:lineRule="auto"/>
        <w:ind w:firstLine="283"/>
        <w:jc w:val="both"/>
      </w:pPr>
      <w:r>
        <w:rPr>
          <w:rtl/>
        </w:rPr>
        <w:t xml:space="preserve">יחסם של היהודים אליו נעשה גס יותר וחסר כבוד – אף שהעשירים ניצלו את העובדה שמעולם לא התמקח ולא ספר את שכרו. הם הבינו שאורח חייו, אדיקותו, אינו הולם את מקצועו. כבר היו שאמרו שאינו נראה שפוי לגמרי. הם החלו לחשוש להפקיד בידו חולים. בסופו של דבר, ככל שחלף הזמן, התמעטה פרנסתו. מאחר שלא מצא את פרנסתו, עבר </w:t>
      </w:r>
      <w:proofErr w:type="spellStart"/>
      <w:r>
        <w:rPr>
          <w:rtl/>
        </w:rPr>
        <w:t>לקורליץ</w:t>
      </w:r>
      <w:proofErr w:type="spellEnd"/>
      <w:r>
        <w:rPr>
          <w:rtl/>
        </w:rPr>
        <w:t xml:space="preserve">. גם </w:t>
      </w:r>
      <w:proofErr w:type="spellStart"/>
      <w:r>
        <w:rPr>
          <w:rtl/>
        </w:rPr>
        <w:t>בקורליץ</w:t>
      </w:r>
      <w:proofErr w:type="spellEnd"/>
      <w:r>
        <w:rPr>
          <w:rtl/>
        </w:rPr>
        <w:t xml:space="preserve"> ניצלו אותו מטופליו ונתנו לו מטבעות נחושת במקום מטבעות כסף; באותו זמן נהגו לתת לרופא את שכרו עטוף בפיסת נייר. מאחר שגם </w:t>
      </w:r>
      <w:proofErr w:type="spellStart"/>
      <w:r>
        <w:rPr>
          <w:rtl/>
        </w:rPr>
        <w:t>בקורליץ</w:t>
      </w:r>
      <w:proofErr w:type="spellEnd"/>
      <w:r>
        <w:rPr>
          <w:rtl/>
        </w:rPr>
        <w:t xml:space="preserve"> לא מצא פרנסה, עבר – כך נדמה לי – לעיירה אחרת, ושם חזרו אותן תופעות.</w:t>
      </w:r>
    </w:p>
    <w:p w14:paraId="487BCAE6" w14:textId="77777777" w:rsidR="00AB3647" w:rsidRDefault="00000000" w:rsidP="007923E9">
      <w:pPr>
        <w:spacing w:after="120" w:line="276" w:lineRule="auto"/>
        <w:ind w:firstLine="283"/>
        <w:jc w:val="both"/>
      </w:pPr>
      <w:r>
        <w:rPr>
          <w:rtl/>
        </w:rPr>
        <w:t xml:space="preserve">ראוי לציין את המאפיין הבא של אורח חייו: כל השנה היה מתבודד מכולם. אפילו כשלמד בבית המדרש נמנע מחברה. התנהג כפרוש, עצוב, מודאג, כמעט </w:t>
      </w:r>
      <w:proofErr w:type="spellStart"/>
      <w:r>
        <w:rPr>
          <w:rtl/>
        </w:rPr>
        <w:t>מרה־שחורה׳דיק</w:t>
      </w:r>
      <w:proofErr w:type="spellEnd"/>
      <w:r>
        <w:rPr>
          <w:rtl/>
        </w:rPr>
        <w:t xml:space="preserve"> [מדוכדך], כאילו </w:t>
      </w:r>
      <w:proofErr w:type="spellStart"/>
      <w:r>
        <w:rPr>
          <w:rtl/>
        </w:rPr>
        <w:t>דבר־מה</w:t>
      </w:r>
      <w:proofErr w:type="spellEnd"/>
      <w:r>
        <w:rPr>
          <w:rtl/>
        </w:rPr>
        <w:t xml:space="preserve"> מעיק עליו. אבל כשהגיעה שמחת תורה, צמח לו עור חדש – כפי שאומרים. אז היה מתמלא שמחה ונעשה צוהל ועליז. אוחז בספר תורה, היה רוקד ושר במעגל המסתובב. לא היה אכפת לו אם הסובבים אותו זקנים או צעירים, ראשי קהל נכבדים או פועלים עניים ועגלונים פשוטים.</w:t>
      </w:r>
    </w:p>
    <w:p w14:paraId="5023BF3B" w14:textId="77777777" w:rsidR="00AB3647" w:rsidRDefault="00000000" w:rsidP="007923E9">
      <w:pPr>
        <w:spacing w:after="120" w:line="276" w:lineRule="auto"/>
        <w:ind w:firstLine="283"/>
        <w:jc w:val="both"/>
      </w:pPr>
      <w:r>
        <w:rPr>
          <w:rtl/>
        </w:rPr>
        <w:t xml:space="preserve">לבסוף נטש את עיסוקו ברפואה ועבר לווילנה, ושם ישב כל היום ולמד </w:t>
      </w:r>
      <w:proofErr w:type="spellStart"/>
      <w:r>
        <w:rPr>
          <w:rtl/>
        </w:rPr>
        <w:t>בקלויז</w:t>
      </w:r>
      <w:proofErr w:type="spellEnd"/>
      <w:r>
        <w:rPr>
          <w:rtl/>
        </w:rPr>
        <w:t xml:space="preserve"> של הגאון, והתפרנס מתמיכת קרוביו. כשפרצה מלחמת העולם הראשונה, נותק מקרוביו, וחי זמן קצר אחר כך לבדו ובדוחק גדול. בסתיו 1914 מת [י״ב בחשוון תרע״ה], </w:t>
      </w:r>
      <w:proofErr w:type="spellStart"/>
      <w:r>
        <w:rPr>
          <w:rtl/>
        </w:rPr>
        <w:t>ו“צדקה</w:t>
      </w:r>
      <w:proofErr w:type="spellEnd"/>
      <w:r>
        <w:rPr>
          <w:rtl/>
        </w:rPr>
        <w:t xml:space="preserve"> גדולה” נתנה לו קבר מכובד בשורה השנייה של בית הקברות.</w:t>
      </w:r>
    </w:p>
    <w:p w14:paraId="066C26EF" w14:textId="77777777" w:rsidR="00AB3647" w:rsidRDefault="00000000" w:rsidP="007923E9">
      <w:pPr>
        <w:spacing w:after="120" w:line="276" w:lineRule="auto"/>
        <w:ind w:firstLine="283"/>
        <w:jc w:val="both"/>
      </w:pPr>
      <w:r>
        <w:rPr>
          <w:rtl/>
        </w:rPr>
        <w:t xml:space="preserve">אותו מאמר אינו מזכיר במפורש את מינסק כאחת מתחנותיו לאחר שעזב את </w:t>
      </w:r>
      <w:proofErr w:type="spellStart"/>
      <w:r>
        <w:rPr>
          <w:rtl/>
        </w:rPr>
        <w:t>נובהרדוק</w:t>
      </w:r>
      <w:proofErr w:type="spellEnd"/>
      <w:r>
        <w:rPr>
          <w:rtl/>
        </w:rPr>
        <w:t xml:space="preserve"> בזמן כלשהו אחרי “ראשית שנות </w:t>
      </w:r>
      <w:proofErr w:type="spellStart"/>
      <w:r>
        <w:rPr>
          <w:rtl/>
        </w:rPr>
        <w:t>הת״ר־מ</w:t>
      </w:r>
      <w:proofErr w:type="spellEnd"/>
      <w:r>
        <w:rPr>
          <w:rtl/>
        </w:rPr>
        <w:t xml:space="preserve">׳”. אבל ייתכן מאוד שבנדודיו לאחר שהותו </w:t>
      </w:r>
      <w:proofErr w:type="spellStart"/>
      <w:r>
        <w:rPr>
          <w:rtl/>
        </w:rPr>
        <w:t>בקורליץ</w:t>
      </w:r>
      <w:proofErr w:type="spellEnd"/>
      <w:r>
        <w:rPr>
          <w:rtl/>
        </w:rPr>
        <w:t xml:space="preserve"> הגיע למינסק “בחורף תרמ״ב”, כפי שמתואר במאמר ליסין </w:t>
      </w:r>
      <w:proofErr w:type="spellStart"/>
      <w:r>
        <w:rPr>
          <w:rtl/>
        </w:rPr>
        <w:t>ב“מינסק</w:t>
      </w:r>
      <w:proofErr w:type="spellEnd"/>
      <w:r>
        <w:rPr>
          <w:rtl/>
        </w:rPr>
        <w:t xml:space="preserve"> עיר ואם”. אם המשיך לעסוק ברפואה במינסק מאותו זמן עד שאבי ראה אותו שם בראשית שנות </w:t>
      </w:r>
      <w:proofErr w:type="spellStart"/>
      <w:r>
        <w:rPr>
          <w:rtl/>
        </w:rPr>
        <w:t>הת״ר־ס</w:t>
      </w:r>
      <w:proofErr w:type="spellEnd"/>
      <w:r>
        <w:rPr>
          <w:rtl/>
        </w:rPr>
        <w:t>׳</w:t>
      </w:r>
      <w:bookmarkStart w:id="3247" w:name="_fnr2350"/>
      <w:r>
        <w:rPr>
          <w:rStyle w:val="a5"/>
        </w:rPr>
        <w:footnoteReference w:id="2357" w:customMarkFollows="0"/>
      </w:r>
      <w:bookmarkEnd w:id="3247"/>
      <w:r>
        <w:rPr>
          <w:rtl/>
        </w:rPr>
        <w:t xml:space="preserve"> – כעבור עשרים שנה – הרי זה שבח גדול ליהודי מינסק, שבניגוד לתושבי העיירות ששהה בהן קודם בואו לשם, נהגו בו ביושר ובכבוד.</w:t>
      </w:r>
    </w:p>
    <w:p w14:paraId="7E1E52E5" w14:textId="77777777" w:rsidR="00AB3647" w:rsidRDefault="00000000" w:rsidP="007923E9">
      <w:pPr>
        <w:spacing w:after="120" w:line="276" w:lineRule="auto"/>
        <w:ind w:firstLine="283"/>
        <w:jc w:val="both"/>
      </w:pPr>
      <w:r>
        <w:rPr>
          <w:rtl/>
        </w:rPr>
        <w:t xml:space="preserve">עם זאת, מפליא שמחבר המאמר </w:t>
      </w:r>
      <w:proofErr w:type="spellStart"/>
      <w:r>
        <w:rPr>
          <w:rtl/>
        </w:rPr>
        <w:t>ב“פנקס</w:t>
      </w:r>
      <w:proofErr w:type="spellEnd"/>
      <w:r>
        <w:rPr>
          <w:rtl/>
        </w:rPr>
        <w:t xml:space="preserve"> </w:t>
      </w:r>
      <w:proofErr w:type="spellStart"/>
      <w:r>
        <w:rPr>
          <w:rtl/>
        </w:rPr>
        <w:t>נאווארעדאק</w:t>
      </w:r>
      <w:proofErr w:type="spellEnd"/>
      <w:r>
        <w:rPr>
          <w:rtl/>
        </w:rPr>
        <w:t xml:space="preserve">”, שעקב אחר מסלולו הכללי של </w:t>
      </w:r>
      <w:proofErr w:type="spellStart"/>
      <w:r>
        <w:rPr>
          <w:rtl/>
        </w:rPr>
        <w:t>איינהורן</w:t>
      </w:r>
      <w:proofErr w:type="spellEnd"/>
      <w:r>
        <w:rPr>
          <w:rtl/>
        </w:rPr>
        <w:t xml:space="preserve"> וידע על פרישתו בווילנה, לא הזכיר את שהותו הארוכה במינסק. לפיכך יש להניח שלא זמן רב אחרי שהותו בבית המדרש </w:t>
      </w:r>
      <w:proofErr w:type="spellStart"/>
      <w:r>
        <w:rPr>
          <w:rtl/>
        </w:rPr>
        <w:t>החטאייביצ׳ר</w:t>
      </w:r>
      <w:proofErr w:type="spellEnd"/>
      <w:r>
        <w:rPr>
          <w:rtl/>
        </w:rPr>
        <w:t xml:space="preserve"> במינסק עזב ד״ר </w:t>
      </w:r>
      <w:proofErr w:type="spellStart"/>
      <w:r>
        <w:rPr>
          <w:rtl/>
        </w:rPr>
        <w:t>איינהורן</w:t>
      </w:r>
      <w:proofErr w:type="spellEnd"/>
      <w:r>
        <w:rPr>
          <w:rtl/>
        </w:rPr>
        <w:t xml:space="preserve"> גם עיר זו, ולאחר נדודים נוספים </w:t>
      </w:r>
      <w:r>
        <w:rPr>
          <w:b/>
          <w:bCs/>
          <w:rtl/>
        </w:rPr>
        <w:t>חזר</w:t>
      </w:r>
      <w:r>
        <w:rPr>
          <w:rtl/>
        </w:rPr>
        <w:t xml:space="preserve"> אליה כעבור שני עשורים, כשאבי ראה אותו. מומחיותו בבעיות עיניים ואדישותו לתשלום על עבודתו, כפי שתוארו בשהותו </w:t>
      </w:r>
      <w:proofErr w:type="spellStart"/>
      <w:r>
        <w:rPr>
          <w:rtl/>
        </w:rPr>
        <w:t>בנובהרדוק</w:t>
      </w:r>
      <w:proofErr w:type="spellEnd"/>
      <w:r>
        <w:rPr>
          <w:rtl/>
        </w:rPr>
        <w:t>, מתאימות לזיכרונות רבנו מימיו המאוחרים יותר של הרופא במינסק.</w:t>
      </w:r>
    </w:p>
    <w:p w14:paraId="6C5F249C" w14:textId="77777777" w:rsidR="00AB3647" w:rsidRDefault="00000000" w:rsidP="007923E9">
      <w:pPr>
        <w:spacing w:after="120" w:line="276" w:lineRule="auto"/>
        <w:ind w:firstLine="283"/>
        <w:jc w:val="both"/>
      </w:pPr>
      <w:r>
        <w:rPr>
          <w:rtl/>
        </w:rPr>
        <w:lastRenderedPageBreak/>
        <w:t xml:space="preserve">“פנקס </w:t>
      </w:r>
      <w:proofErr w:type="spellStart"/>
      <w:r>
        <w:rPr>
          <w:rtl/>
        </w:rPr>
        <w:t>נאווארעדאק</w:t>
      </w:r>
      <w:proofErr w:type="spellEnd"/>
      <w:r>
        <w:rPr>
          <w:rtl/>
        </w:rPr>
        <w:t xml:space="preserve">” מספר גם שד״ר בנימין </w:t>
      </w:r>
      <w:proofErr w:type="spellStart"/>
      <w:r>
        <w:rPr>
          <w:rtl/>
        </w:rPr>
        <w:t>איינהורן</w:t>
      </w:r>
      <w:proofErr w:type="spellEnd"/>
      <w:r>
        <w:rPr>
          <w:rtl/>
        </w:rPr>
        <w:t xml:space="preserve"> טען ששירת בצבא </w:t>
      </w:r>
      <w:r>
        <w:rPr>
          <w:b/>
          <w:bCs/>
          <w:rtl/>
        </w:rPr>
        <w:t>הרוסי</w:t>
      </w:r>
      <w:r>
        <w:rPr>
          <w:rtl/>
        </w:rPr>
        <w:t xml:space="preserve"> (ולא באוסטרי). עוד מסופר שם שפעם התעמת עמו פקיד עירוני אנטישמי, </w:t>
      </w:r>
      <w:proofErr w:type="spellStart"/>
      <w:r>
        <w:rPr>
          <w:rtl/>
        </w:rPr>
        <w:t>פריסטאוו</w:t>
      </w:r>
      <w:proofErr w:type="spellEnd"/>
      <w:r>
        <w:rPr>
          <w:rtl/>
        </w:rPr>
        <w:t xml:space="preserve"> – האיש היה רע כל כך, שתושבי העיר כינו אותו “המן” – שפקפק בטענתו של יהודי דתי שהוא רופא, וביקש לראות את תעודותיו. “[</w:t>
      </w:r>
      <w:proofErr w:type="spellStart"/>
      <w:r>
        <w:rPr>
          <w:rtl/>
        </w:rPr>
        <w:t>איינהורן</w:t>
      </w:r>
      <w:proofErr w:type="spellEnd"/>
      <w:r>
        <w:rPr>
          <w:rtl/>
        </w:rPr>
        <w:t xml:space="preserve"> הראה לו] מסמכים חתומים רשמית ואמר בקול תקיף: ‘איך אתה מעז לנהוג בי כך? אתה יודע עם מי הסתבכת ואיזו דרגה יש לי?’ אחר כך הוציא צרור מדליות שקיבל במלחמת רוסיה–טורקיה” – מלחמת קרים, בשנים 1853–1856, שבה לחמו צרפת ובריטניה לצד טורקיה, </w:t>
      </w:r>
      <w:proofErr w:type="spellStart"/>
      <w:r>
        <w:rPr>
          <w:rtl/>
        </w:rPr>
        <w:t>ואוסטרו־הונגריה</w:t>
      </w:r>
      <w:proofErr w:type="spellEnd"/>
      <w:r>
        <w:rPr>
          <w:rtl/>
        </w:rPr>
        <w:t xml:space="preserve"> צידדה ברוסיה</w:t>
      </w:r>
      <w:bookmarkStart w:id="3248" w:name="_fnr2351"/>
      <w:r>
        <w:rPr>
          <w:rStyle w:val="a5"/>
        </w:rPr>
        <w:footnoteReference w:id="2358" w:customMarkFollows="0"/>
      </w:r>
      <w:bookmarkStart w:id="3249" w:name="_fnr2352"/>
      <w:bookmarkEnd w:id="3248"/>
      <w:r>
        <w:rPr>
          <w:rStyle w:val="a5"/>
        </w:rPr>
        <w:t/>
      </w:r>
      <w:bookmarkStart w:id="7027" w:name="_TranslatorNote_2351"/>
      <w:r>
        <w:rPr>
          <w:rStyle w:val="a5"/>
          <w:vertAlign w:val="superscript"/>
          <w:rtl/>
        </w:rPr>
        <w:footnoteReference w:id="2359" w:customMarkFollows="1"/>
        <w:t>*</w:t>
      </w:r>
      <w:bookmarkEnd w:id="7027"/>
      <w:bookmarkEnd w:id="3249"/>
      <w:r>
        <w:rPr>
          <w:rtl/>
        </w:rPr>
        <w:t xml:space="preserve"> – “והמשיך: ‘אתה רואה איך הממשלה נהגה בי על שירותי במלחמה? לפי דרגתי היית צריך להצדיע לי, ולא לנהוג בי באכזריות ובחוצפה כזאת!’”</w:t>
      </w:r>
    </w:p>
    <w:p w14:paraId="190C539C" w14:textId="77777777" w:rsidR="00AB3647" w:rsidRDefault="00000000" w:rsidP="007923E9">
      <w:pPr>
        <w:spacing w:after="120" w:line="276" w:lineRule="auto"/>
        <w:ind w:firstLine="283"/>
        <w:jc w:val="both"/>
      </w:pPr>
      <w:r>
        <w:rPr>
          <w:rtl/>
        </w:rPr>
        <w:t xml:space="preserve">סתירה לכאורה לגילויו של אבי היא הסיפור על שובו של </w:t>
      </w:r>
      <w:proofErr w:type="spellStart"/>
      <w:r>
        <w:rPr>
          <w:rtl/>
        </w:rPr>
        <w:t>איינהורן</w:t>
      </w:r>
      <w:proofErr w:type="spellEnd"/>
      <w:r>
        <w:rPr>
          <w:rtl/>
        </w:rPr>
        <w:t xml:space="preserve"> לאמונה לפי המאמר </w:t>
      </w:r>
      <w:proofErr w:type="spellStart"/>
      <w:r>
        <w:rPr>
          <w:rtl/>
        </w:rPr>
        <w:t>ב“פנקס</w:t>
      </w:r>
      <w:proofErr w:type="spellEnd"/>
      <w:r>
        <w:rPr>
          <w:rtl/>
        </w:rPr>
        <w:t xml:space="preserve"> </w:t>
      </w:r>
      <w:proofErr w:type="spellStart"/>
      <w:r>
        <w:rPr>
          <w:rtl/>
        </w:rPr>
        <w:t>נאווארעדאק</w:t>
      </w:r>
      <w:proofErr w:type="spellEnd"/>
      <w:r>
        <w:rPr>
          <w:rtl/>
        </w:rPr>
        <w:t>”. בחלקו האחרון נאמר:</w:t>
      </w:r>
    </w:p>
    <w:p w14:paraId="08F0408C" w14:textId="77777777" w:rsidR="00AB3647" w:rsidRDefault="00000000" w:rsidP="007923E9">
      <w:pPr>
        <w:spacing w:after="120" w:line="276" w:lineRule="auto"/>
        <w:ind w:firstLine="283"/>
        <w:jc w:val="both"/>
      </w:pPr>
      <w:r>
        <w:rPr>
          <w:rtl/>
        </w:rPr>
        <w:t xml:space="preserve">גרסאות רבות נפוצו על הסיבה לכך שד״ר בנימין </w:t>
      </w:r>
      <w:proofErr w:type="spellStart"/>
      <w:r>
        <w:rPr>
          <w:rtl/>
        </w:rPr>
        <w:t>איינהורן</w:t>
      </w:r>
      <w:proofErr w:type="spellEnd"/>
      <w:r>
        <w:rPr>
          <w:rtl/>
        </w:rPr>
        <w:t xml:space="preserve">, רופא צבאי בדרגת </w:t>
      </w:r>
      <w:proofErr w:type="spellStart"/>
      <w:r>
        <w:rPr>
          <w:rtl/>
        </w:rPr>
        <w:t>פולקובניק</w:t>
      </w:r>
      <w:proofErr w:type="spellEnd"/>
      <w:r>
        <w:rPr>
          <w:rtl/>
        </w:rPr>
        <w:t xml:space="preserve">, נעשה פתאום בעל תשובה. הוא בא מהורים אדוקים מאוד מעיירה קטנה – </w:t>
      </w:r>
      <w:r>
        <w:rPr>
          <w:b/>
          <w:bCs/>
          <w:rtl/>
        </w:rPr>
        <w:t>נדמה לי איוויה</w:t>
      </w:r>
      <w:r>
        <w:rPr>
          <w:rtl/>
        </w:rPr>
        <w:t xml:space="preserve"> (ההדגשה שלי) – וקיבל, כמובן, חינוך אורתודוקסי. בעת לימודיו בישיבות התערער בהשפעת תנועת ההשכלה. הוא עזב את לימוד התורה ופנה ללימודי חול, תחילה באוניברסיטה ואחר כך באקדמיה הצבאית. בתקופת מלחמת רוסיה–טורקיה הגיע לדרגת </w:t>
      </w:r>
      <w:proofErr w:type="spellStart"/>
      <w:r>
        <w:rPr>
          <w:rtl/>
        </w:rPr>
        <w:t>פולקובניק</w:t>
      </w:r>
      <w:proofErr w:type="spellEnd"/>
      <w:r>
        <w:rPr>
          <w:rtl/>
        </w:rPr>
        <w:t>, והוריו האדוקים הצטערו על כך צער עמוק.</w:t>
      </w:r>
    </w:p>
    <w:p w14:paraId="03E8E92B" w14:textId="77777777" w:rsidR="00AB3647" w:rsidRDefault="00000000" w:rsidP="007923E9">
      <w:pPr>
        <w:spacing w:after="120" w:line="276" w:lineRule="auto"/>
        <w:ind w:firstLine="283"/>
        <w:jc w:val="both"/>
      </w:pPr>
      <w:r>
        <w:rPr>
          <w:rtl/>
        </w:rPr>
        <w:t>באותו זמן שכנע בנימין את אחיו הצעיר לעזוב את הישיבה, ובכך פתח פצעים ישנים אצל הוריו, שצערם היה ללא גבול. בנימין הבטיח להם שישתדל בכל כוחו שאחיו הצעיר יישאר יהודי דתי. אבל האח, שלא הצליח להגשים את שאיפתו לאחר שסיים את לימודיו</w:t>
      </w:r>
      <w:bookmarkStart w:id="3250" w:name="_fnr2353"/>
      <w:r>
        <w:rPr>
          <w:rStyle w:val="a5"/>
        </w:rPr>
        <w:footnoteReference w:id="2360" w:customMarkFollows="0"/>
      </w:r>
      <w:bookmarkEnd w:id="3250"/>
      <w:r>
        <w:rPr>
          <w:rtl/>
        </w:rPr>
        <w:t>, המיר את דתו. הדבר זעזע את הוריו. הם לא יכלו לשאת את הכאב ואת הבושה, ומתו זמן קצר אחר כך. מות הוריו השפיע על בנימין השפעה מחרידה. התחוללה בו התמוטטות פנימית, ומי שהיה רחוק מן היהדות נעשה בעל תשובה. הוא עזב את משרתו הצבאית ועבר לעיירות קטנות, וחי בפרישות מן העולם כבעל תשובה אמיתי.</w:t>
      </w:r>
    </w:p>
    <w:p w14:paraId="1945D3D7" w14:textId="77777777" w:rsidR="00AB3647" w:rsidRDefault="00000000" w:rsidP="007923E9">
      <w:pPr>
        <w:spacing w:after="120" w:line="276" w:lineRule="auto"/>
        <w:ind w:firstLine="283"/>
        <w:jc w:val="both"/>
      </w:pPr>
      <w:r>
        <w:rPr>
          <w:rtl/>
        </w:rPr>
        <w:t xml:space="preserve">גרסה זו הייתה בבירור זו ששמע אברהם ליסין “לאחר זמן רב” ורשם במאמרו הנזכר לעיל </w:t>
      </w:r>
      <w:proofErr w:type="spellStart"/>
      <w:r>
        <w:rPr>
          <w:rtl/>
        </w:rPr>
        <w:t>ב“מינסק</w:t>
      </w:r>
      <w:proofErr w:type="spellEnd"/>
      <w:r>
        <w:rPr>
          <w:rtl/>
        </w:rPr>
        <w:t xml:space="preserve"> עיר ואם” א. ייתכן מאוד שאבי שמע אחת מן הגרסאות האחרות </w:t>
      </w:r>
      <w:proofErr w:type="spellStart"/>
      <w:r>
        <w:rPr>
          <w:rtl/>
        </w:rPr>
        <w:t>ש“פנקס</w:t>
      </w:r>
      <w:proofErr w:type="spellEnd"/>
      <w:r>
        <w:rPr>
          <w:rtl/>
        </w:rPr>
        <w:t xml:space="preserve"> </w:t>
      </w:r>
      <w:proofErr w:type="spellStart"/>
      <w:r>
        <w:rPr>
          <w:rtl/>
        </w:rPr>
        <w:t>נאווארעדאק</w:t>
      </w:r>
      <w:proofErr w:type="spellEnd"/>
      <w:r>
        <w:rPr>
          <w:rtl/>
        </w:rPr>
        <w:t xml:space="preserve">” אומר שהיו רווחות. אבל מאחר שלא מתקבל על הדעת ששמו של </w:t>
      </w:r>
      <w:proofErr w:type="spellStart"/>
      <w:r>
        <w:rPr>
          <w:rtl/>
        </w:rPr>
        <w:t>איינהורן</w:t>
      </w:r>
      <w:proofErr w:type="spellEnd"/>
      <w:r>
        <w:rPr>
          <w:rtl/>
        </w:rPr>
        <w:t xml:space="preserve"> נקשר לשמו של ר׳ ישראל </w:t>
      </w:r>
      <w:proofErr w:type="spellStart"/>
      <w:r>
        <w:rPr>
          <w:rtl/>
        </w:rPr>
        <w:t>סלנטר</w:t>
      </w:r>
      <w:proofErr w:type="spellEnd"/>
      <w:r>
        <w:rPr>
          <w:rtl/>
        </w:rPr>
        <w:t xml:space="preserve"> בלי יסוד, נוטה אני להאמין שגרסת אבי היא הנכונה.</w:t>
      </w:r>
    </w:p>
    <w:p w14:paraId="26DCA1F2" w14:textId="77777777" w:rsidR="00AB3647" w:rsidRDefault="00000000" w:rsidP="007923E9">
      <w:pPr>
        <w:spacing w:after="120" w:line="276" w:lineRule="auto"/>
        <w:ind w:firstLine="283"/>
        <w:jc w:val="both"/>
      </w:pPr>
      <w:r>
        <w:rPr>
          <w:rtl/>
        </w:rPr>
        <w:t xml:space="preserve">בנימין </w:t>
      </w:r>
      <w:proofErr w:type="spellStart"/>
      <w:r>
        <w:rPr>
          <w:rtl/>
        </w:rPr>
        <w:t>איינהורן</w:t>
      </w:r>
      <w:proofErr w:type="spellEnd"/>
      <w:r>
        <w:rPr>
          <w:rtl/>
        </w:rPr>
        <w:t xml:space="preserve"> ודאי למד אצל ר׳ ישראל בזמן כלשהו בשנות הוראתו בווילנה, ת״ר–תר״ט. די היה בכך כדי שיספיק לסיים את לימודי הרפואה ולהגיע לדרגה צבאית שאפשרה לו לשמש במקצועו במלחמת קרים, באמצע שנות </w:t>
      </w:r>
      <w:proofErr w:type="spellStart"/>
      <w:r>
        <w:rPr>
          <w:rtl/>
        </w:rPr>
        <w:t>הת״ר־י</w:t>
      </w:r>
      <w:proofErr w:type="spellEnd"/>
      <w:r>
        <w:rPr>
          <w:rtl/>
        </w:rPr>
        <w:t xml:space="preserve">׳. ייתכן שד״ר </w:t>
      </w:r>
      <w:proofErr w:type="spellStart"/>
      <w:r>
        <w:rPr>
          <w:rtl/>
        </w:rPr>
        <w:t>איינהורן</w:t>
      </w:r>
      <w:proofErr w:type="spellEnd"/>
      <w:r>
        <w:rPr>
          <w:rtl/>
        </w:rPr>
        <w:t xml:space="preserve"> חצה את הגבול </w:t>
      </w:r>
      <w:r>
        <w:rPr>
          <w:rtl/>
        </w:rPr>
        <w:lastRenderedPageBreak/>
        <w:t xml:space="preserve">והתיישב בווינה כאזרח, לאחר שהסתיימה הקריירה הצבאית שלו. אפשר גם ששירת בצבא האוסטרי כשעבר לווינה </w:t>
      </w:r>
      <w:r>
        <w:rPr>
          <w:b/>
          <w:bCs/>
          <w:rtl/>
        </w:rPr>
        <w:t>אחרי</w:t>
      </w:r>
      <w:r>
        <w:rPr>
          <w:rtl/>
        </w:rPr>
        <w:t xml:space="preserve"> מלחמת קרים, או ששירת בצבא האוסטרי </w:t>
      </w:r>
      <w:r>
        <w:rPr>
          <w:b/>
          <w:bCs/>
          <w:rtl/>
        </w:rPr>
        <w:t>לפני</w:t>
      </w:r>
      <w:r>
        <w:rPr>
          <w:rtl/>
        </w:rPr>
        <w:t xml:space="preserve"> המלחמה, ואוסטריה, כבת בריתה של רוסיה באותו עימות,</w:t>
      </w:r>
      <w:bookmarkStart w:id="3251" w:name="_fnr2354"/>
      <w:bookmarkEnd w:id="3251"/>
      <w:r>
        <w:rPr>
          <w:rStyle w:val="a5"/>
        </w:rPr>
        <w:t/>
      </w:r>
      <w:bookmarkStart w:id="7028" w:name="_TranslatorNote_2353"/>
      <w:r>
        <w:rPr>
          <w:rStyle w:val="a5"/>
          <w:vertAlign w:val="superscript"/>
          <w:rtl/>
        </w:rPr>
        <w:footnoteReference w:id="2361" w:customMarkFollows="1"/>
        <w:t>*</w:t>
      </w:r>
      <w:bookmarkEnd w:id="7028"/>
      <w:r>
        <w:rPr>
          <w:rtl/>
        </w:rPr>
        <w:t xml:space="preserve"> “השאילה” את הרופא דובר הרוסית לצבא הרוסי, שהעניק לו אחר כך עיטורים.</w:t>
      </w:r>
    </w:p>
    <w:p w14:paraId="793D7549" w14:textId="77777777" w:rsidR="00AB3647" w:rsidRDefault="00000000" w:rsidP="007923E9">
      <w:pPr>
        <w:spacing w:after="120" w:line="276" w:lineRule="auto"/>
        <w:ind w:firstLine="283"/>
        <w:jc w:val="both"/>
      </w:pPr>
      <w:r>
        <w:rPr>
          <w:rtl/>
        </w:rPr>
        <w:t xml:space="preserve">המידע המטעה שמסר </w:t>
      </w:r>
      <w:proofErr w:type="spellStart"/>
      <w:r>
        <w:rPr>
          <w:rtl/>
        </w:rPr>
        <w:t>איינהורן</w:t>
      </w:r>
      <w:proofErr w:type="spellEnd"/>
      <w:r>
        <w:rPr>
          <w:rtl/>
        </w:rPr>
        <w:t xml:space="preserve"> המסוגר לא רק הסתיר את העובדה שהוא, ולא “אח”, המיר את דתו, ואת העובדה שלמד אצל ר׳ ישראל, אלא גם הותיר את מחבר המאמר </w:t>
      </w:r>
      <w:proofErr w:type="spellStart"/>
      <w:r>
        <w:rPr>
          <w:rtl/>
        </w:rPr>
        <w:t>ב“פנקס</w:t>
      </w:r>
      <w:proofErr w:type="spellEnd"/>
      <w:r>
        <w:rPr>
          <w:rtl/>
        </w:rPr>
        <w:t xml:space="preserve"> </w:t>
      </w:r>
      <w:proofErr w:type="spellStart"/>
      <w:r>
        <w:rPr>
          <w:rtl/>
        </w:rPr>
        <w:t>נאווארעדאק</w:t>
      </w:r>
      <w:proofErr w:type="spellEnd"/>
      <w:r>
        <w:rPr>
          <w:rtl/>
        </w:rPr>
        <w:t xml:space="preserve">” מבולבל בשאלה </w:t>
      </w:r>
      <w:r>
        <w:rPr>
          <w:b/>
          <w:bCs/>
          <w:rtl/>
        </w:rPr>
        <w:t xml:space="preserve">מאיזו עיירה בא </w:t>
      </w:r>
      <w:proofErr w:type="spellStart"/>
      <w:r>
        <w:rPr>
          <w:b/>
          <w:bCs/>
          <w:rtl/>
        </w:rPr>
        <w:t>איינהורן</w:t>
      </w:r>
      <w:proofErr w:type="spellEnd"/>
      <w:r>
        <w:rPr>
          <w:rtl/>
        </w:rPr>
        <w:t>.</w:t>
      </w:r>
    </w:p>
    <w:p w14:paraId="45C97073" w14:textId="77777777" w:rsidR="00AB3647" w:rsidRDefault="00000000" w:rsidP="007923E9">
      <w:pPr>
        <w:spacing w:after="120" w:line="276" w:lineRule="auto"/>
        <w:ind w:firstLine="283"/>
        <w:jc w:val="both"/>
      </w:pPr>
      <w:r>
        <w:rPr>
          <w:rtl/>
        </w:rPr>
        <w:t xml:space="preserve">השווה גם “ספר </w:t>
      </w:r>
      <w:proofErr w:type="spellStart"/>
      <w:r>
        <w:rPr>
          <w:rtl/>
        </w:rPr>
        <w:t>הזכרונות</w:t>
      </w:r>
      <w:proofErr w:type="spellEnd"/>
      <w:r>
        <w:rPr>
          <w:rtl/>
        </w:rPr>
        <w:t>”</w:t>
      </w:r>
      <w:bookmarkStart w:id="3252" w:name="_fnr2355"/>
      <w:r>
        <w:rPr>
          <w:rStyle w:val="a5"/>
        </w:rPr>
        <w:footnoteReference w:id="2362" w:customMarkFollows="0"/>
      </w:r>
      <w:bookmarkEnd w:id="3252"/>
      <w:r>
        <w:rPr>
          <w:rtl/>
        </w:rPr>
        <w:t xml:space="preserve">, הקושר אף הוא את ד״ר </w:t>
      </w:r>
      <w:proofErr w:type="spellStart"/>
      <w:r>
        <w:rPr>
          <w:rtl/>
        </w:rPr>
        <w:t>איינהורן</w:t>
      </w:r>
      <w:proofErr w:type="spellEnd"/>
      <w:r>
        <w:rPr>
          <w:rtl/>
        </w:rPr>
        <w:t xml:space="preserve"> </w:t>
      </w:r>
      <w:proofErr w:type="spellStart"/>
      <w:r>
        <w:rPr>
          <w:rtl/>
        </w:rPr>
        <w:t>לר</w:t>
      </w:r>
      <w:proofErr w:type="spellEnd"/>
      <w:r>
        <w:rPr>
          <w:rtl/>
        </w:rPr>
        <w:t xml:space="preserve">׳ ישראל כשהוא מספר על כישלונו של ר׳ ישראל עם התלמיד שהמיר את דתו, “הרופא, המפורסם בשעתו, גנרל </w:t>
      </w:r>
      <w:proofErr w:type="spellStart"/>
      <w:r>
        <w:rPr>
          <w:rtl/>
        </w:rPr>
        <w:t>איינהורן</w:t>
      </w:r>
      <w:proofErr w:type="spellEnd"/>
      <w:r>
        <w:rPr>
          <w:rtl/>
        </w:rPr>
        <w:t>”, ואומר</w:t>
      </w:r>
      <w:bookmarkStart w:id="3253" w:name="_fnr2356"/>
      <w:r>
        <w:rPr>
          <w:rStyle w:val="a5"/>
        </w:rPr>
        <w:footnoteReference w:id="2363" w:customMarkFollows="0"/>
      </w:r>
      <w:bookmarkEnd w:id="3253"/>
      <w:r>
        <w:rPr>
          <w:rtl/>
        </w:rPr>
        <w:t xml:space="preserve">: “הכרתי את אחיו הצעיר של גנרל זה, גם הוא רופא צבאי, אך אין כמוהו ביראת שמים. הוא ישב </w:t>
      </w:r>
      <w:proofErr w:type="spellStart"/>
      <w:r>
        <w:rPr>
          <w:rtl/>
        </w:rPr>
        <w:t>בקלויז</w:t>
      </w:r>
      <w:proofErr w:type="spellEnd"/>
      <w:r>
        <w:rPr>
          <w:rtl/>
        </w:rPr>
        <w:t xml:space="preserve"> של הגאון בווילנה, לבוש מדי קצין וחרבו לצדו. נראה שעשה לעצמו סייג לסייג כדי שלא ייכשל כאחיו הגדול. כשהיה רופא </w:t>
      </w:r>
      <w:proofErr w:type="spellStart"/>
      <w:r>
        <w:rPr>
          <w:rtl/>
        </w:rPr>
        <w:t>בנובהרדוק</w:t>
      </w:r>
      <w:proofErr w:type="spellEnd"/>
      <w:r>
        <w:rPr>
          <w:rtl/>
        </w:rPr>
        <w:t xml:space="preserve">, לא כתב מרשמים בשבת, אלא הלך לבית המרקחת והורה בעל פה על התרופה. לא נסע בעגלה בשבת וכמעט שלא דיבר שיחת חולין. התפלל שלוש פעמים ביום ובמניין, ולמד בשקידה בכל שעה פנויה. שני האחים היו שני קצוות באורח חייהם. הם אחיה של </w:t>
      </w:r>
      <w:proofErr w:type="spellStart"/>
      <w:r>
        <w:rPr>
          <w:rtl/>
        </w:rPr>
        <w:t>אמו</w:t>
      </w:r>
      <w:proofErr w:type="spellEnd"/>
      <w:r>
        <w:rPr>
          <w:rtl/>
        </w:rPr>
        <w:t xml:space="preserve"> של רב ידוע.”</w:t>
      </w:r>
    </w:p>
    <w:p w14:paraId="5BEBBA3A" w14:textId="77777777" w:rsidR="00AB3647" w:rsidRDefault="00000000" w:rsidP="007923E9">
      <w:pPr>
        <w:spacing w:after="120" w:line="276" w:lineRule="auto"/>
        <w:ind w:firstLine="283"/>
        <w:jc w:val="both"/>
      </w:pPr>
      <w:r>
        <w:rPr>
          <w:rtl/>
        </w:rPr>
        <w:t xml:space="preserve">לפי “ספר </w:t>
      </w:r>
      <w:proofErr w:type="spellStart"/>
      <w:r>
        <w:rPr>
          <w:rtl/>
        </w:rPr>
        <w:t>הזכרונות</w:t>
      </w:r>
      <w:proofErr w:type="spellEnd"/>
      <w:r>
        <w:rPr>
          <w:rtl/>
        </w:rPr>
        <w:t xml:space="preserve">”, האח הצעיר הוא שהיה הרופא האדוק, ולא הבכור, כפי שטוען “פנקס </w:t>
      </w:r>
      <w:proofErr w:type="spellStart"/>
      <w:r>
        <w:rPr>
          <w:rtl/>
        </w:rPr>
        <w:t>נאווארעדאק</w:t>
      </w:r>
      <w:proofErr w:type="spellEnd"/>
      <w:r>
        <w:rPr>
          <w:rtl/>
        </w:rPr>
        <w:t xml:space="preserve">”. נראה שמחבר “ספר </w:t>
      </w:r>
      <w:proofErr w:type="spellStart"/>
      <w:r>
        <w:rPr>
          <w:rtl/>
        </w:rPr>
        <w:t>הזכרונות</w:t>
      </w:r>
      <w:proofErr w:type="spellEnd"/>
      <w:r>
        <w:rPr>
          <w:rtl/>
        </w:rPr>
        <w:t xml:space="preserve">”, כמו תושבי </w:t>
      </w:r>
      <w:proofErr w:type="spellStart"/>
      <w:r>
        <w:rPr>
          <w:rtl/>
        </w:rPr>
        <w:t>נובהרדוק</w:t>
      </w:r>
      <w:proofErr w:type="spellEnd"/>
      <w:r>
        <w:rPr>
          <w:rtl/>
        </w:rPr>
        <w:t xml:space="preserve">, לא ידע שד״ר </w:t>
      </w:r>
      <w:proofErr w:type="spellStart"/>
      <w:r>
        <w:rPr>
          <w:rtl/>
        </w:rPr>
        <w:t>איינהורן</w:t>
      </w:r>
      <w:proofErr w:type="spellEnd"/>
      <w:r>
        <w:rPr>
          <w:rtl/>
        </w:rPr>
        <w:t xml:space="preserve"> שהכיר היה מומר שחזר בתשובה. הוא אף לא ידע, כמו שידע אבי, שלא היו שני אחים לבית </w:t>
      </w:r>
      <w:proofErr w:type="spellStart"/>
      <w:r>
        <w:rPr>
          <w:rtl/>
        </w:rPr>
        <w:t>איינהורן</w:t>
      </w:r>
      <w:proofErr w:type="spellEnd"/>
      <w:r>
        <w:rPr>
          <w:rtl/>
        </w:rPr>
        <w:t xml:space="preserve"> אלא איש אחד, ד״ר </w:t>
      </w:r>
      <w:proofErr w:type="spellStart"/>
      <w:r>
        <w:rPr>
          <w:rtl/>
        </w:rPr>
        <w:t>ג׳קיל</w:t>
      </w:r>
      <w:proofErr w:type="spellEnd"/>
      <w:r>
        <w:rPr>
          <w:rtl/>
        </w:rPr>
        <w:t xml:space="preserve"> ומר הייד.</w:t>
      </w:r>
    </w:p>
    <w:p w14:paraId="7D5423B9" w14:textId="77777777" w:rsidR="00AB3647" w:rsidRDefault="00000000" w:rsidP="007923E9">
      <w:pPr>
        <w:spacing w:after="120" w:line="276" w:lineRule="auto"/>
        <w:ind w:firstLine="283"/>
        <w:jc w:val="both"/>
      </w:pPr>
      <w:r>
        <w:rPr>
          <w:rtl/>
        </w:rPr>
        <w:t>השווה גם כץ, “תנועת המוסר”, כרך א</w:t>
      </w:r>
      <w:bookmarkStart w:id="3254" w:name="_fnr2357"/>
      <w:r>
        <w:rPr>
          <w:rStyle w:val="a5"/>
        </w:rPr>
        <w:footnoteReference w:id="2364" w:customMarkFollows="0"/>
      </w:r>
      <w:bookmarkEnd w:id="3254"/>
      <w:r>
        <w:rPr>
          <w:rtl/>
        </w:rPr>
        <w:t xml:space="preserve">, המזכיר את ניסיונו של </w:t>
      </w:r>
      <w:proofErr w:type="spellStart"/>
      <w:r>
        <w:rPr>
          <w:rtl/>
        </w:rPr>
        <w:t>סלנטר</w:t>
      </w:r>
      <w:proofErr w:type="spellEnd"/>
      <w:r>
        <w:rPr>
          <w:rtl/>
        </w:rPr>
        <w:t xml:space="preserve">, אבל עם תלמיד אחד בלבד, ומשמיט את הסוף הדרמטי. ועיין בהקדמת ר׳ משה בצלאל לוריא אב״ד </w:t>
      </w:r>
      <w:proofErr w:type="spellStart"/>
      <w:r>
        <w:rPr>
          <w:rtl/>
        </w:rPr>
        <w:t xml:space="preserve">סובאלק</w:t>
      </w:r>
      <w:proofErr w:type="spellEnd"/>
      <w:r>
        <w:rPr>
          <w:rtl/>
        </w:rPr>
        <w:t xml:space="preserve"> לספרו עמק סוכות (</w:t>
      </w:r>
      <w:proofErr w:type="spellStart"/>
      <w:r>
        <w:rPr>
          <w:rtl/>
        </w:rPr>
        <w:t>בילגורייא</w:t>
      </w:r>
      <w:proofErr w:type="spellEnd"/>
      <w:r>
        <w:rPr>
          <w:rtl/>
        </w:rPr>
        <w:t xml:space="preserve">, תרס״ט) שכותב “וסופר בזמנינו מגאון וצדיק גדול שנראה לו על אחד מתלמידיו שהוא יר״ש בתכלית ונתן עצתו </w:t>
      </w:r>
      <w:proofErr w:type="spellStart"/>
      <w:r>
        <w:rPr>
          <w:rtl/>
        </w:rPr>
        <w:t>שילמוד</w:t>
      </w:r>
      <w:proofErr w:type="spellEnd"/>
      <w:r>
        <w:rPr>
          <w:rtl/>
        </w:rPr>
        <w:t xml:space="preserve"> חכמת הרפואה בכדי שיהא לתפארת עמינו, </w:t>
      </w:r>
      <w:proofErr w:type="spellStart"/>
      <w:r>
        <w:rPr>
          <w:rtl/>
        </w:rPr>
        <w:t>יר״א</w:t>
      </w:r>
      <w:proofErr w:type="spellEnd"/>
      <w:r>
        <w:rPr>
          <w:rtl/>
        </w:rPr>
        <w:t xml:space="preserve"> מעוטר </w:t>
      </w:r>
      <w:proofErr w:type="spellStart"/>
      <w:r>
        <w:rPr>
          <w:rtl/>
        </w:rPr>
        <w:t>בחכמת</w:t>
      </w:r>
      <w:proofErr w:type="spellEnd"/>
      <w:r>
        <w:rPr>
          <w:rtl/>
        </w:rPr>
        <w:t xml:space="preserve"> הרפואה. ולבסוף נתפקר.” כנראה שהתכוון לסיפור של אבא מארי ז״ל בלי לדעת שהתלמיד חזר בתשובה בסוף</w:t>
      </w:r>
      <w:bookmarkStart w:id="3255" w:name="_fnr2358"/>
      <w:r>
        <w:rPr>
          <w:rStyle w:val="a5"/>
        </w:rPr>
        <w:footnoteReference w:id="2365" w:customMarkFollows="0"/>
      </w:r>
      <w:bookmarkEnd w:id="3255"/>
      <w:r>
        <w:rPr>
          <w:rtl/>
        </w:rPr>
        <w:t>. הרב לוריא חי בשנים תקצ״ה–תרע״ד.</w:t>
      </w:r>
    </w:p>
    <w:p w14:paraId="1FEB7C8D" w14:textId="77777777" w:rsidR="00AB3647" w:rsidRDefault="00000000" w:rsidP="007923E9">
      <w:pPr>
        <w:spacing w:after="120" w:line="276" w:lineRule="auto"/>
        <w:ind w:firstLine="283"/>
        <w:jc w:val="both"/>
      </w:pPr>
      <w:r>
        <w:rPr>
          <w:rtl/>
        </w:rPr>
        <w:t xml:space="preserve">למרבה הפלא, מספר תלמידיו של ר׳ ישראל שנקט אבי תואם לסיפור “שנפוץ בין יהודי ליטא, על שלושה תלמידים שעזבו את ישיבת </w:t>
      </w:r>
      <w:proofErr w:type="spellStart"/>
      <w:r>
        <w:rPr>
          <w:rtl/>
        </w:rPr>
        <w:t>וולוז׳ין</w:t>
      </w:r>
      <w:proofErr w:type="spellEnd"/>
      <w:r>
        <w:rPr>
          <w:rtl/>
        </w:rPr>
        <w:t xml:space="preserve"> בימי מייסדה, ר׳ חיים”</w:t>
      </w:r>
      <w:bookmarkStart w:id="3256" w:name="_fnr2359"/>
      <w:r>
        <w:rPr>
          <w:rStyle w:val="a5"/>
        </w:rPr>
        <w:footnoteReference w:id="2366" w:customMarkFollows="0"/>
      </w:r>
      <w:bookmarkEnd w:id="3256"/>
      <w:r>
        <w:rPr>
          <w:rtl/>
        </w:rPr>
        <w:t xml:space="preserve"> – </w:t>
      </w:r>
      <w:r>
        <w:rPr>
          <w:b/>
          <w:bCs/>
          <w:rtl/>
        </w:rPr>
        <w:t xml:space="preserve">בלי רשות </w:t>
      </w:r>
      <w:r>
        <w:rPr>
          <w:b/>
          <w:bCs/>
          <w:rtl/>
        </w:rPr>
        <w:lastRenderedPageBreak/>
        <w:t>ראש הישיבה</w:t>
      </w:r>
      <w:r>
        <w:rPr>
          <w:rtl/>
        </w:rPr>
        <w:t>, כמובן – “כדי ללמוד באוניברסיטאות: שניים עזבו את היהדות והשלישי חזר לתורה</w:t>
      </w:r>
      <w:bookmarkStart w:id="3257" w:name="_fnr2360"/>
      <w:r>
        <w:rPr>
          <w:rStyle w:val="a5"/>
        </w:rPr>
        <w:footnoteReference w:id="2367" w:customMarkFollows="0"/>
      </w:r>
      <w:bookmarkEnd w:id="3257"/>
      <w:r>
        <w:rPr>
          <w:rtl/>
        </w:rPr>
        <w:t xml:space="preserve">. מסופר שהגאון מווילנה הופיע בחלומו של ר׳ חיים </w:t>
      </w:r>
      <w:proofErr w:type="spellStart"/>
      <w:r>
        <w:rPr>
          <w:rtl/>
        </w:rPr>
        <w:t>מוולוז׳ין</w:t>
      </w:r>
      <w:proofErr w:type="spellEnd"/>
      <w:r>
        <w:rPr>
          <w:rtl/>
        </w:rPr>
        <w:t>, שהיה שרוי אז בצער על נסיעתם לברלין, וניחמו במילים שיש בהן השלמה וגם תועלת: ‘כזה וכזה תאכל חרב ההשכלה’</w:t>
      </w:r>
      <w:bookmarkStart w:id="3258" w:name="_fnr2361"/>
      <w:r>
        <w:rPr>
          <w:rStyle w:val="a5"/>
        </w:rPr>
        <w:footnoteReference w:id="2368" w:customMarkFollows="0"/>
      </w:r>
      <w:bookmarkEnd w:id="3258"/>
      <w:r>
        <w:rPr>
          <w:rtl/>
        </w:rPr>
        <w:t>.”</w:t>
      </w:r>
    </w:p>
    <w:p w14:paraId="2815E8F1" w14:textId="1642D75D" w:rsidR="00AB3647" w:rsidRDefault="00000000" w:rsidP="007923E9">
      <w:pPr>
        <w:spacing w:after="120" w:line="276" w:lineRule="auto"/>
        <w:ind w:firstLine="283"/>
        <w:jc w:val="both"/>
      </w:pPr>
      <w:r>
        <w:rPr>
          <w:rtl/>
        </w:rPr>
        <w:t>השווה גם “</w:t>
      </w:r>
      <w:proofErr w:type="spellStart"/>
      <w:r>
        <w:rPr>
          <w:rtl/>
        </w:rPr>
        <w:t>מכח״ח</w:t>
      </w:r>
      <w:proofErr w:type="spellEnd"/>
      <w:r>
        <w:rPr>
          <w:rtl/>
        </w:rPr>
        <w:t>”</w:t>
      </w:r>
      <w:bookmarkStart w:id="3259" w:name="_fnr2362"/>
      <w:r>
        <w:rPr>
          <w:rStyle w:val="a5"/>
        </w:rPr>
        <w:footnoteReference w:id="2369" w:customMarkFollows="0"/>
      </w:r>
      <w:bookmarkEnd w:id="3259"/>
      <w:r>
        <w:rPr>
          <w:rtl/>
        </w:rPr>
        <w:t>, המסכם בביקורתיות: “בתחילה ניסה ר׳ ישראל [</w:t>
      </w:r>
      <w:proofErr w:type="spellStart"/>
      <w:r>
        <w:rPr>
          <w:rtl/>
        </w:rPr>
        <w:t>סלנטר</w:t>
      </w:r>
      <w:proofErr w:type="spellEnd"/>
      <w:r>
        <w:rPr>
          <w:rtl/>
        </w:rPr>
        <w:t>] לתקן, מייפה זיין</w:t>
      </w:r>
      <w:bookmarkStart w:id="3260" w:name="_fnr2363"/>
      <w:r>
        <w:rPr>
          <w:rStyle w:val="a5"/>
        </w:rPr>
        <w:footnoteReference w:id="2370" w:customMarkFollows="0"/>
      </w:r>
      <w:bookmarkEnd w:id="3260"/>
      <w:r>
        <w:rPr>
          <w:rtl/>
        </w:rPr>
        <w:t xml:space="preserve">, את החילונים, [אך] בשנותיו האחרונות הגיע להכרה שדבר לא יועיל – הם לא יימשכו [ליהדות].” השווה גם הפסקה השנייה של </w:t>
      </w:r>
      <w:r>
        <w:rPr>
          <w:rtl/>
        </w:rPr>
        <w:fldChar w:fldCharType="begin" w:dirty="true"/>
      </w:r>
      <w:r>
        <w:rPr>
          <w:rtl/>
        </w:rPr>
        <w:instrText xml:space="preserve"> REF b3_excY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כה</w:t>
      </w:r>
      <w:r>
        <w:rPr>
          <w:rtl/>
        </w:rPr>
        <w:fldChar w:fldCharType="end"/>
      </w:r>
      <w:r>
        <w:rPr>
          <w:rtl/>
        </w:rPr>
        <w:t xml:space="preserve"> להלן, שלאחר ניסיונותיו שנכשלו נמנע ר׳ ישראל מלאשר אפילו תוכנית בסיסית של לימודי חול – ואפילו בסביבת ישיבה שבפיקוח אחד מתלמידיו שלו!</w:t>
      </w:r>
    </w:p>
    <w:p w14:paraId="6B963679" w14:textId="77777777" w:rsidR="00AB3647" w:rsidRDefault="00000000" w:rsidP="007923E9">
      <w:pPr>
        <w:spacing w:after="120" w:line="276" w:lineRule="auto"/>
        <w:ind w:firstLine="283"/>
        <w:jc w:val="both"/>
      </w:pPr>
      <w:r>
        <w:rPr>
          <w:rtl/>
        </w:rPr>
        <w:t xml:space="preserve">אבי סיפר גם שר׳ </w:t>
      </w:r>
      <w:proofErr w:type="spellStart"/>
      <w:r>
        <w:rPr>
          <w:rtl/>
        </w:rPr>
        <w:t>שמחה־זיסל</w:t>
      </w:r>
      <w:proofErr w:type="spellEnd"/>
      <w:r>
        <w:rPr>
          <w:rtl/>
        </w:rPr>
        <w:t xml:space="preserve"> זיו ערך ניסיון בחינוך בתו הצעירה</w:t>
      </w:r>
      <w:bookmarkStart w:id="3261" w:name="_fnr2364"/>
      <w:r>
        <w:rPr>
          <w:rStyle w:val="a5"/>
        </w:rPr>
        <w:footnoteReference w:id="2371" w:customMarkFollows="0"/>
      </w:r>
      <w:bookmarkEnd w:id="3261"/>
      <w:r>
        <w:rPr>
          <w:rtl/>
        </w:rPr>
        <w:t xml:space="preserve">: הוא לא לימד אותה להתפלל, מתוך ציפייה שמאחר שהיא יודעת שכל צרכיה ניתנים לה מאת הקב״ה, תפנה אליו מעצמה. כשהגיעה לגיל שש ועדיין לא פנתה אל מיטיבה בתפילה, נכנע ר׳ </w:t>
      </w:r>
      <w:proofErr w:type="spellStart"/>
      <w:r>
        <w:rPr>
          <w:rtl/>
        </w:rPr>
        <w:t>שמחה־זיסל</w:t>
      </w:r>
      <w:proofErr w:type="spellEnd"/>
      <w:r>
        <w:rPr>
          <w:rtl/>
        </w:rPr>
        <w:t xml:space="preserve"> והחל ללמדה לומר את התפילות היומיות מתוך הסידור. אבל נראה שכישלונו של הסבא </w:t>
      </w:r>
      <w:proofErr w:type="spellStart"/>
      <w:r>
        <w:rPr>
          <w:rtl/>
        </w:rPr>
        <w:t>מסלבודקה</w:t>
      </w:r>
      <w:proofErr w:type="spellEnd"/>
      <w:r>
        <w:rPr>
          <w:rtl/>
        </w:rPr>
        <w:t xml:space="preserve"> עם בנו הצעיר נבע מחוסר תשומת לב, ולא מעריכת ניסיונות – השווה פרק 4.1 ונספח ג שם.</w:t>
      </w:r>
    </w:p>
    <w:p w14:paraId="7CB4A063" w14:textId="77777777" w:rsidR="00AB3647" w:rsidRDefault="00000000" w:rsidP="007923E9">
      <w:pPr>
        <w:spacing w:after="120" w:line="276" w:lineRule="auto"/>
        <w:ind w:firstLine="283"/>
        <w:jc w:val="both"/>
      </w:pPr>
      <w:r>
        <w:rPr>
          <w:rtl/>
        </w:rPr>
        <w:t xml:space="preserve">רבנו סיפר גם לחתנו ר׳ ישראל </w:t>
      </w:r>
      <w:proofErr w:type="spellStart"/>
      <w:r>
        <w:rPr>
          <w:rtl/>
        </w:rPr>
        <w:t>שורין</w:t>
      </w:r>
      <w:proofErr w:type="spellEnd"/>
      <w:r>
        <w:rPr>
          <w:rtl/>
        </w:rPr>
        <w:t xml:space="preserve">: “פעם, בביקור בביתו </w:t>
      </w:r>
      <w:proofErr w:type="spellStart"/>
      <w:r>
        <w:rPr>
          <w:rtl/>
        </w:rPr>
        <w:t>בקלם</w:t>
      </w:r>
      <w:bookmarkStart w:id="3262" w:name="_fnr2365"/>
      <w:proofErr w:type="spellEnd"/>
      <w:r>
        <w:rPr>
          <w:rStyle w:val="a5"/>
        </w:rPr>
        <w:footnoteReference w:id="2372" w:customMarkFollows="0"/>
      </w:r>
      <w:bookmarkEnd w:id="3262"/>
      <w:r>
        <w:rPr>
          <w:rtl/>
        </w:rPr>
        <w:t xml:space="preserve">, שמעה </w:t>
      </w:r>
      <w:proofErr w:type="spellStart"/>
      <w:r>
        <w:rPr>
          <w:rtl/>
        </w:rPr>
        <w:t>ה‘אלטע</w:t>
      </w:r>
      <w:proofErr w:type="spellEnd"/>
      <w:r>
        <w:rPr>
          <w:rtl/>
        </w:rPr>
        <w:t xml:space="preserve">’” – כך כינו תלמידי </w:t>
      </w:r>
      <w:proofErr w:type="spellStart"/>
      <w:r>
        <w:rPr>
          <w:rtl/>
        </w:rPr>
        <w:t>סלבודקה</w:t>
      </w:r>
      <w:proofErr w:type="spellEnd"/>
      <w:r>
        <w:rPr>
          <w:rtl/>
        </w:rPr>
        <w:t xml:space="preserve"> את הרבנית של הסבא – “אותו מוסר שיחה על עשיית חסד. היא נכנסה בסוף והעירה בעוקצנות: ‘בעלי יודע מהו חסד. הוא שבר מקל כשהכה בו את בנו הקטן – מרוב חסד.’”</w:t>
      </w:r>
    </w:p>
    <w:bookmarkStart w:id="3263" w:name="b3_excT"/>
    <w:p w14:paraId="3879ED7A" w14:textId="77777777" w:rsidR="00AB3647" w:rsidRDefault="00000000" w:rsidP="007923E9">
      <w:pPr>
        <w:pStyle w:val="3"/>
        <w:spacing w:line="276" w:lineRule="auto"/>
      </w:pPr>
      <w:r>
        <w:lastRenderedPageBreak/>
        <w:fldChar w:fldCharType="begin" w:dirty="true"/>
      </w:r>
      <w:r>
        <w:rPr>
          <w:rtl w:val="0"/>
        </w:rPr>
        <w:instrText>HYPERLINK \l "b3_note61</w:instrText>
      </w:r>
      <w:r>
        <w:instrText>"</w:instrText>
      </w:r>
      <w:r>
        <w:fldChar w:fldCharType="separate"/>
      </w:r>
      <w:r>
        <w:t>נספח כ</w:t>
      </w:r>
      <w:r>
        <w:fldChar w:fldCharType="end"/>
      </w:r>
      <w:bookmarkEnd w:id="3263"/>
    </w:p>
    <w:p w14:paraId="3898305F" w14:textId="77777777" w:rsidR="00AB3647" w:rsidRDefault="00000000" w:rsidP="007923E9">
      <w:pPr>
        <w:pStyle w:val="af"/>
        <w:spacing w:line="276" w:lineRule="auto"/>
      </w:pPr>
      <w:r>
        <w:t xml:space="preserve">על הדרך שבה התמודד הסבא </w:t>
      </w:r>
      <w:proofErr w:type="spellStart"/>
      <w:r>
        <w:t>מסלבודקה</w:t>
      </w:r>
      <w:proofErr w:type="spellEnd"/>
      <w:r>
        <w:t xml:space="preserve"> עם המרד נגד המוסר בישיבתו, ועל יכולתו לחזות את עתיד תלמידיו</w:t>
      </w:r>
    </w:p>
    <w:p w14:paraId="41847831" w14:textId="77777777" w:rsidR="00AB3647" w:rsidRDefault="00000000" w:rsidP="007923E9">
      <w:pPr>
        <w:pStyle w:val="4"/>
        <w:spacing w:line="276" w:lineRule="auto"/>
      </w:pPr>
      <w:r>
        <w:t>· הפסקה הראשונה ·</w:t>
      </w:r>
    </w:p>
    <w:p w14:paraId="1203B4D0" w14:textId="77777777" w:rsidR="00AB3647" w:rsidRDefault="00000000" w:rsidP="007923E9">
      <w:pPr>
        <w:pStyle w:val="5"/>
        <w:spacing w:line="276" w:lineRule="auto"/>
      </w:pPr>
      <w:r>
        <w:t>הסבא כופף את עצמו בפני הסערה</w:t>
      </w:r>
    </w:p>
    <w:p w14:paraId="333C4E34" w14:textId="77777777" w:rsidR="00AB3647" w:rsidRDefault="00000000" w:rsidP="007923E9">
      <w:pPr>
        <w:spacing w:after="120" w:line="276" w:lineRule="auto"/>
        <w:ind w:firstLine="283"/>
        <w:jc w:val="both"/>
      </w:pPr>
      <w:r>
        <w:rPr>
          <w:rtl/>
        </w:rPr>
        <w:t xml:space="preserve">ההאשמות כלפי הסבא </w:t>
      </w:r>
      <w:proofErr w:type="spellStart"/>
      <w:r>
        <w:rPr>
          <w:rtl/>
        </w:rPr>
        <w:t>מסלבודקה</w:t>
      </w:r>
      <w:proofErr w:type="spellEnd"/>
      <w:r>
        <w:rPr>
          <w:rtl/>
        </w:rPr>
        <w:t xml:space="preserve"> על עמדתו הפסיבית בשנות המשבר מובאות בספרו של </w:t>
      </w:r>
      <w:proofErr w:type="spellStart"/>
      <w:r>
        <w:rPr>
          <w:rtl/>
        </w:rPr>
        <w:t>דבורץ</w:t>
      </w:r>
      <w:proofErr w:type="spellEnd"/>
      <w:r>
        <w:rPr>
          <w:rtl/>
        </w:rPr>
        <w:t>, “הגאון רבי משה מרדכי אפשטיין”</w:t>
      </w:r>
      <w:bookmarkStart w:id="3264" w:name="_fnr2366"/>
      <w:r>
        <w:rPr>
          <w:rStyle w:val="a5"/>
        </w:rPr>
        <w:footnoteReference w:id="2373" w:customMarkFollows="0"/>
      </w:r>
      <w:bookmarkEnd w:id="3264"/>
      <w:r>
        <w:rPr>
          <w:rtl/>
        </w:rPr>
        <w:t>. הספר מדגיש</w:t>
      </w:r>
      <w:bookmarkStart w:id="3265" w:name="_fnr2367"/>
      <w:r>
        <w:rPr>
          <w:rStyle w:val="a5"/>
        </w:rPr>
        <w:footnoteReference w:id="2374" w:customMarkFollows="0"/>
      </w:r>
      <w:bookmarkEnd w:id="3265"/>
      <w:r>
        <w:rPr>
          <w:rtl/>
        </w:rPr>
        <w:t xml:space="preserve"> שבסופו של דבר הייתה התנהגותו של הסבא, הנכונה מבחינה מוסרית, גם נבונה להפליא, שכן “הצילה את כל ישיבות ליטא”. ברוח הספר זוכה לשבח גם ר׳ </w:t>
      </w:r>
      <w:proofErr w:type="spellStart"/>
      <w:r>
        <w:rPr>
          <w:rtl/>
        </w:rPr>
        <w:t>משה־מרדכי</w:t>
      </w:r>
      <w:proofErr w:type="spellEnd"/>
      <w:r>
        <w:rPr>
          <w:rtl/>
        </w:rPr>
        <w:t>, על “שקיים את ‘פרשת’ ‘</w:t>
      </w:r>
      <w:proofErr w:type="spellStart"/>
      <w:r>
        <w:rPr>
          <w:rtl/>
        </w:rPr>
        <w:t>ויט</w:t>
      </w:r>
      <w:proofErr w:type="spellEnd"/>
      <w:r>
        <w:rPr>
          <w:rtl/>
        </w:rPr>
        <w:t xml:space="preserve"> שכמו לסבול’</w:t>
      </w:r>
      <w:bookmarkStart w:id="3266" w:name="_fnr2368"/>
      <w:r>
        <w:rPr>
          <w:rStyle w:val="a5"/>
        </w:rPr>
        <w:footnoteReference w:id="2375" w:customMarkFollows="0"/>
      </w:r>
      <w:bookmarkEnd w:id="3266"/>
      <w:r>
        <w:rPr>
          <w:rtl/>
        </w:rPr>
        <w:t xml:space="preserve"> בכל היקפה”. כלומר: ר׳ </w:t>
      </w:r>
      <w:proofErr w:type="spellStart"/>
      <w:r>
        <w:rPr>
          <w:rtl/>
        </w:rPr>
        <w:t>משה־מרדכי</w:t>
      </w:r>
      <w:proofErr w:type="spellEnd"/>
      <w:r>
        <w:rPr>
          <w:rtl/>
        </w:rPr>
        <w:t xml:space="preserve"> נשא את משא התנהגותו הבלתי מובנת של הסבא </w:t>
      </w:r>
      <w:proofErr w:type="spellStart"/>
      <w:r>
        <w:rPr>
          <w:rtl/>
        </w:rPr>
        <w:t>מסלבודקה</w:t>
      </w:r>
      <w:proofErr w:type="spellEnd"/>
      <w:r>
        <w:rPr>
          <w:rtl/>
        </w:rPr>
        <w:t xml:space="preserve"> בלי לפקפק בה.</w:t>
      </w:r>
    </w:p>
    <w:p w14:paraId="2B90F509" w14:textId="77777777" w:rsidR="00AB3647" w:rsidRDefault="00000000" w:rsidP="007923E9">
      <w:pPr>
        <w:pStyle w:val="4"/>
        <w:spacing w:line="276" w:lineRule="auto"/>
      </w:pPr>
      <w:r>
        <w:t>· הפסקה השנייה ·</w:t>
      </w:r>
    </w:p>
    <w:p w14:paraId="7315336E" w14:textId="77777777" w:rsidR="00AB3647" w:rsidRDefault="00000000" w:rsidP="007923E9">
      <w:pPr>
        <w:pStyle w:val="5"/>
        <w:spacing w:line="276" w:lineRule="auto"/>
      </w:pPr>
      <w:r>
        <w:t xml:space="preserve">הסבא מגן על שני מתנגדיו הראשיים – האחד נעשה ראש ישיבה והאחר רב בבירת פלך – הרב לעתיד ניצל מן הגיוס בעזרת אנשי המוסר – לימים הוא משנה את דעתו על המוסר – הסבא חוזה שר׳ </w:t>
      </w:r>
      <w:proofErr w:type="spellStart"/>
      <w:r>
        <w:t>יהודה־לייב</w:t>
      </w:r>
      <w:proofErr w:type="spellEnd"/>
      <w:r>
        <w:t xml:space="preserve"> פיין יהיה רב סלונים</w:t>
      </w:r>
    </w:p>
    <w:p w14:paraId="0F630903" w14:textId="77777777" w:rsidR="00AB3647" w:rsidRDefault="00000000" w:rsidP="007923E9">
      <w:pPr>
        <w:spacing w:after="120" w:line="276" w:lineRule="auto"/>
        <w:ind w:firstLine="283"/>
        <w:jc w:val="both"/>
      </w:pPr>
      <w:r>
        <w:rPr>
          <w:rtl/>
        </w:rPr>
        <w:t>שם</w:t>
      </w:r>
      <w:bookmarkStart w:id="3267" w:name="_fnr2369"/>
      <w:r>
        <w:rPr>
          <w:rStyle w:val="a5"/>
        </w:rPr>
        <w:footnoteReference w:id="2376" w:customMarkFollows="0"/>
      </w:r>
      <w:bookmarkEnd w:id="3267"/>
      <w:r>
        <w:rPr>
          <w:rtl/>
        </w:rPr>
        <w:t xml:space="preserve"> מתואר מעשה שאירע בתקופה שבה כמעט בוטל סדר המוסר בישיבה: “אחרי מנחה בבית הסבא, אמר אחד מתומכיו הנאמנים ביותר במרירות: ‘למה שלא ינהגו המתנגדים כפי שהם נוהגים, כשמטפלים בהם בכפפות של משי?!’ הסבא לא השיב, עד שאחר, מן התלמידים השקדנים ביותר בישיבה, פתח את פיו ותבע לדעת מדוע לא סולק התלמיד שהיה עמוד התווך של המתנגדים. הסבא </w:t>
      </w:r>
      <w:proofErr w:type="spellStart"/>
      <w:r>
        <w:rPr>
          <w:rtl/>
        </w:rPr>
        <w:t>מסלבודקה</w:t>
      </w:r>
      <w:proofErr w:type="spellEnd"/>
      <w:r>
        <w:rPr>
          <w:rtl/>
        </w:rPr>
        <w:t xml:space="preserve"> קם כאילו כעס</w:t>
      </w:r>
      <w:bookmarkStart w:id="3268" w:name="_fnr2370"/>
      <w:r>
        <w:rPr>
          <w:rStyle w:val="a5"/>
        </w:rPr>
        <w:footnoteReference w:id="2377" w:customMarkFollows="0"/>
      </w:r>
      <w:bookmarkEnd w:id="3268"/>
      <w:r>
        <w:rPr>
          <w:rtl/>
        </w:rPr>
        <w:t>, ואמר לו: ‘גם אתה מעז לדבר?!’ הסבא החל למנות את מגרעותיו של בן שיחו, בזו אחר זו, והעמידן מול רשימת מעלות שמנה במנהיג המתנגדים. לבסוף צעק: ‘אמור לי, אתה מגיע לקרסוליו?! עליך לבקש את סליחתו על שאתה מתייחס אליו בצורה דוחה שכזאת!’ בכך הסתיימה השיחה.”</w:t>
      </w:r>
    </w:p>
    <w:p w14:paraId="655D69EA" w14:textId="77777777" w:rsidR="00AB3647" w:rsidRDefault="00000000" w:rsidP="007923E9">
      <w:pPr>
        <w:spacing w:after="120" w:line="276" w:lineRule="auto"/>
        <w:ind w:firstLine="283"/>
        <w:jc w:val="both"/>
      </w:pPr>
      <w:bookmarkStart w:id="3269" w:name="pr_b_1409"/>
      <w:bookmarkEnd w:id="3269"/>
      <w:r>
        <w:rPr>
          <w:rtl/>
        </w:rPr>
        <w:t xml:space="preserve">על מעשה זה, או על מעשה דומה, סיפר ר׳ חיים </w:t>
      </w:r>
      <w:proofErr w:type="spellStart"/>
      <w:r>
        <w:rPr>
          <w:rtl/>
        </w:rPr>
        <w:t>סרנא</w:t>
      </w:r>
      <w:bookmarkStart w:id="3270" w:name="_fnr2371"/>
      <w:proofErr w:type="spellEnd"/>
      <w:r>
        <w:rPr>
          <w:rStyle w:val="a5"/>
        </w:rPr>
        <w:footnoteReference w:id="2378" w:customMarkFollows="0"/>
      </w:r>
      <w:bookmarkEnd w:id="3270"/>
      <w:r>
        <w:rPr>
          <w:rtl/>
        </w:rPr>
        <w:t xml:space="preserve"> בשם אביו ר׳ </w:t>
      </w:r>
      <w:proofErr w:type="spellStart"/>
      <w:r>
        <w:rPr>
          <w:rtl/>
        </w:rPr>
        <w:t>חצקל</w:t>
      </w:r>
      <w:proofErr w:type="spellEnd"/>
      <w:r>
        <w:rPr>
          <w:rtl/>
        </w:rPr>
        <w:t xml:space="preserve"> שהומלץ לסלק את שני ראשי המרד</w:t>
      </w:r>
      <w:bookmarkStart w:id="3271" w:name="_fnr2372"/>
      <w:r>
        <w:rPr>
          <w:rStyle w:val="a5"/>
        </w:rPr>
        <w:footnoteReference w:id="2379" w:customMarkFollows="0"/>
      </w:r>
      <w:bookmarkEnd w:id="3271"/>
      <w:r>
        <w:rPr>
          <w:rtl/>
        </w:rPr>
        <w:t xml:space="preserve">, אבל הסבא אמר: “איך אוכל לסלק שני תלמידים כאלה, כשיום אחד יהיה האחד רב בבירת פלך – </w:t>
      </w:r>
      <w:proofErr w:type="spellStart"/>
      <w:r>
        <w:rPr>
          <w:rtl/>
        </w:rPr>
        <w:t>גובערנאצקער</w:t>
      </w:r>
      <w:proofErr w:type="spellEnd"/>
      <w:r>
        <w:rPr>
          <w:rtl/>
        </w:rPr>
        <w:t xml:space="preserve"> רב – והאחר ראש ישיבה גדול?” הראשון </w:t>
      </w:r>
      <w:r>
        <w:rPr>
          <w:rtl/>
        </w:rPr>
        <w:lastRenderedPageBreak/>
        <w:t xml:space="preserve">היה ר׳ יוסף </w:t>
      </w:r>
      <w:proofErr w:type="spellStart"/>
      <w:r>
        <w:rPr>
          <w:rtl/>
        </w:rPr>
        <w:t>יוסלביץ</w:t>
      </w:r>
      <w:proofErr w:type="spellEnd"/>
      <w:r>
        <w:rPr>
          <w:rtl/>
        </w:rPr>
        <w:t xml:space="preserve">, לימים רב אבל, </w:t>
      </w:r>
      <w:proofErr w:type="spellStart"/>
      <w:r>
        <w:rPr>
          <w:rtl/>
        </w:rPr>
        <w:t>טרסטינה</w:t>
      </w:r>
      <w:bookmarkStart w:id="3272" w:name="_fnr2373"/>
      <w:proofErr w:type="spellEnd"/>
      <w:r>
        <w:rPr>
          <w:rStyle w:val="a5"/>
        </w:rPr>
        <w:footnoteReference w:id="2380" w:customMarkFollows="0"/>
      </w:r>
      <w:bookmarkEnd w:id="3272"/>
      <w:r>
        <w:rPr>
          <w:rtl/>
        </w:rPr>
        <w:t xml:space="preserve">, </w:t>
      </w:r>
      <w:proofErr w:type="spellStart"/>
      <w:r>
        <w:rPr>
          <w:rtl/>
        </w:rPr>
        <w:t xml:space="preserve">סמיאטיץ׳</w:t>
      </w:r>
      <w:proofErr w:type="spellEnd"/>
      <w:r>
        <w:rPr>
          <w:rtl/>
        </w:rPr>
        <w:t xml:space="preserve"> ולבסוף בירת הפלך </w:t>
      </w:r>
      <w:proofErr w:type="spellStart"/>
      <w:r>
        <w:rPr>
          <w:rtl/>
        </w:rPr>
        <w:t xml:space="preserve">סובאלק</w:t>
      </w:r>
      <w:proofErr w:type="spellEnd"/>
      <w:r>
        <w:rPr>
          <w:rtl/>
        </w:rPr>
        <w:t xml:space="preserve">. השני, צעיר ממנו בארבע שנים, היה ר׳ שלמה </w:t>
      </w:r>
      <w:proofErr w:type="spellStart"/>
      <w:r>
        <w:rPr>
          <w:rtl/>
        </w:rPr>
        <w:t>גבורין</w:t>
      </w:r>
      <w:proofErr w:type="spellEnd"/>
      <w:r>
        <w:rPr>
          <w:rtl/>
        </w:rPr>
        <w:t xml:space="preserve">, שלימים נעשה ראש ישיבת </w:t>
      </w:r>
      <w:proofErr w:type="spellStart"/>
      <w:r>
        <w:rPr>
          <w:rtl/>
        </w:rPr>
        <w:t>מאלטש</w:t>
      </w:r>
      <w:proofErr w:type="spellEnd"/>
      <w:r>
        <w:rPr>
          <w:rtl/>
        </w:rPr>
        <w:t xml:space="preserve"> בהמלצת הסבא </w:t>
      </w:r>
      <w:proofErr w:type="spellStart"/>
      <w:r>
        <w:rPr>
          <w:rtl/>
        </w:rPr>
        <w:t>מסלבודקה</w:t>
      </w:r>
      <w:bookmarkStart w:id="3273" w:name="_fnr2374"/>
      <w:proofErr w:type="spellEnd"/>
      <w:r>
        <w:rPr>
          <w:rStyle w:val="a5"/>
        </w:rPr>
        <w:footnoteReference w:id="2381" w:customMarkFollows="0"/>
      </w:r>
      <w:bookmarkEnd w:id="3273"/>
      <w:r>
        <w:rPr>
          <w:rtl/>
        </w:rPr>
        <w:t>.</w:t>
      </w:r>
    </w:p>
    <w:p w14:paraId="4BB52E31" w14:textId="77777777" w:rsidR="00AB3647" w:rsidRDefault="00000000" w:rsidP="007923E9">
      <w:pPr>
        <w:spacing w:after="120" w:line="276" w:lineRule="auto"/>
        <w:ind w:firstLine="283"/>
        <w:jc w:val="both"/>
      </w:pPr>
      <w:bookmarkStart w:id="3274" w:name="pr_close_b_2269"/>
      <w:bookmarkEnd w:id="3274"/>
      <w:proofErr w:type="spellStart"/>
      <w:r>
        <w:rPr>
          <w:rtl/>
        </w:rPr>
        <w:t>דבורץ</w:t>
      </w:r>
      <w:proofErr w:type="spellEnd"/>
      <w:r>
        <w:rPr>
          <w:rtl/>
        </w:rPr>
        <w:t>, “הגאון רבי משה מרדכי אפשטיין”</w:t>
      </w:r>
      <w:bookmarkStart w:id="3275" w:name="_fnr2375"/>
      <w:bookmarkStart w:id="3276" w:name="pr_f_2276"/>
      <w:r>
        <w:rPr>
          <w:rStyle w:val="a5"/>
        </w:rPr>
        <w:footnoteReference w:id="2382" w:customMarkFollows="0"/>
      </w:r>
      <w:bookmarkEnd w:id="3275"/>
      <w:bookmarkEnd w:id="3276"/>
      <w:r>
        <w:rPr>
          <w:rtl/>
        </w:rPr>
        <w:t xml:space="preserve">, מתייחס לשניים אלה בלי לנקוב בשמותיהם, אבל משאיר די רמזים כדי לאשר את דיווחו של ר׳ חיים </w:t>
      </w:r>
      <w:proofErr w:type="spellStart"/>
      <w:r>
        <w:rPr>
          <w:rtl/>
        </w:rPr>
        <w:t>סרנא</w:t>
      </w:r>
      <w:proofErr w:type="spellEnd"/>
      <w:r>
        <w:rPr>
          <w:rtl/>
        </w:rPr>
        <w:t>. הוא מציין ש</w:t>
      </w:r>
      <w:r>
        <w:rPr>
          <w:b/>
          <w:bCs/>
          <w:rtl/>
        </w:rPr>
        <w:t>כתוצאה</w:t>
      </w:r>
      <w:r>
        <w:rPr>
          <w:rtl/>
        </w:rPr>
        <w:t xml:space="preserve"> משילוח קבוצת עשרים וחמישה התלמידים המובחרים </w:t>
      </w:r>
      <w:proofErr w:type="spellStart"/>
      <w:r>
        <w:rPr>
          <w:rtl/>
        </w:rPr>
        <w:t>לטלז</w:t>
      </w:r>
      <w:proofErr w:type="spellEnd"/>
      <w:r>
        <w:rPr>
          <w:rtl/>
        </w:rPr>
        <w:t xml:space="preserve"> בידי הסבא</w:t>
      </w:r>
      <w:bookmarkStart w:id="3277" w:name="_fnr2376"/>
      <w:r>
        <w:rPr>
          <w:rStyle w:val="a5"/>
        </w:rPr>
        <w:footnoteReference w:id="2383" w:customMarkFollows="0"/>
      </w:r>
      <w:bookmarkEnd w:id="3277"/>
      <w:r>
        <w:rPr>
          <w:rtl/>
        </w:rPr>
        <w:t xml:space="preserve"> שככה ההתנגדות: “אחד [</w:t>
      </w:r>
      <w:proofErr w:type="spellStart"/>
      <w:r>
        <w:rPr>
          <w:rtl/>
        </w:rPr>
        <w:t>גבורין</w:t>
      </w:r>
      <w:proofErr w:type="spellEnd"/>
      <w:r>
        <w:rPr>
          <w:rtl/>
        </w:rPr>
        <w:t xml:space="preserve">] חזר בו והצטרף לקבוצה היוצאת </w:t>
      </w:r>
      <w:proofErr w:type="spellStart"/>
      <w:r>
        <w:rPr>
          <w:rtl/>
        </w:rPr>
        <w:t>לטלז</w:t>
      </w:r>
      <w:proofErr w:type="spellEnd"/>
      <w:r>
        <w:rPr>
          <w:rtl/>
        </w:rPr>
        <w:t xml:space="preserve"> [לחזק את המוסר שם!], והאחר [</w:t>
      </w:r>
      <w:proofErr w:type="spellStart"/>
      <w:r>
        <w:rPr>
          <w:rtl/>
        </w:rPr>
        <w:t>יוסלביץ</w:t>
      </w:r>
      <w:proofErr w:type="spellEnd"/>
      <w:r>
        <w:rPr>
          <w:rtl/>
        </w:rPr>
        <w:t xml:space="preserve">], בראותו שאנשי המוסר – שנלחם נגד ההכרה [הבלתי מוצדקת] שניתנה להם – יצאו </w:t>
      </w:r>
      <w:proofErr w:type="spellStart"/>
      <w:r>
        <w:rPr>
          <w:rtl/>
        </w:rPr>
        <w:t>לטלז</w:t>
      </w:r>
      <w:proofErr w:type="spellEnd"/>
      <w:r>
        <w:rPr>
          <w:rtl/>
        </w:rPr>
        <w:t xml:space="preserve">, עזב את שדה המערכה וחזר ללימוד בשקידה. זמן קצר אחר כך נשא האחרון את בתו של אחד מגדולי רבני ליטא [ר׳ </w:t>
      </w:r>
      <w:proofErr w:type="spellStart"/>
      <w:r>
        <w:rPr>
          <w:rtl/>
        </w:rPr>
        <w:t>חיים־אברהם</w:t>
      </w:r>
      <w:proofErr w:type="spellEnd"/>
      <w:r>
        <w:rPr>
          <w:rtl/>
        </w:rPr>
        <w:t xml:space="preserve"> שאס, רב </w:t>
      </w:r>
      <w:proofErr w:type="spellStart"/>
      <w:r>
        <w:rPr>
          <w:rtl/>
        </w:rPr>
        <w:t>ז׳וסלה</w:t>
      </w:r>
      <w:proofErr w:type="spellEnd"/>
      <w:r>
        <w:rPr>
          <w:rtl/>
        </w:rPr>
        <w:t>], ונכנס לתחום הרבנות. התקדם מעיר לעיר עד שנתמנה לרב באחת מבירות הפלכים הידועות [</w:t>
      </w:r>
      <w:proofErr w:type="spellStart"/>
      <w:r>
        <w:rPr>
          <w:rtl/>
        </w:rPr>
        <w:t xml:space="preserve">סובאלק</w:t>
      </w:r>
      <w:proofErr w:type="spellEnd"/>
      <w:r>
        <w:rPr>
          <w:rtl/>
        </w:rPr>
        <w:t>].”</w:t>
      </w:r>
    </w:p>
    <w:p w14:paraId="00B9F522" w14:textId="1D4CD963" w:rsidR="00AB3647" w:rsidRDefault="00000000" w:rsidP="007923E9">
      <w:pPr>
        <w:spacing w:after="120" w:line="276" w:lineRule="auto"/>
        <w:ind w:firstLine="283"/>
        <w:jc w:val="both"/>
      </w:pPr>
      <w:r>
        <w:rPr>
          <w:rtl/>
        </w:rPr>
        <w:t xml:space="preserve">רבנו הזכיר בשמו את הרב </w:t>
      </w:r>
      <w:proofErr w:type="spellStart"/>
      <w:r>
        <w:rPr>
          <w:rtl/>
        </w:rPr>
        <w:t>יוסלביץ</w:t>
      </w:r>
      <w:proofErr w:type="spellEnd"/>
      <w:r>
        <w:rPr>
          <w:rtl/>
        </w:rPr>
        <w:t xml:space="preserve"> כמתנגד לסבא, וגם סיפר על הגנת הסבא על מתנגדו ועל התחזית לגביו. אבל מסיבה הנידונה במקום אחר בכרך זה</w:t>
      </w:r>
      <w:bookmarkStart w:id="3278" w:name="_fnr2377"/>
      <w:r>
        <w:rPr>
          <w:rStyle w:val="a5"/>
        </w:rPr>
        <w:footnoteReference w:id="2384" w:customMarkFollows="0"/>
      </w:r>
      <w:bookmarkEnd w:id="3278"/>
      <w:r>
        <w:rPr>
          <w:rtl/>
        </w:rPr>
        <w:t xml:space="preserve"> לא הזכיר את הרב </w:t>
      </w:r>
      <w:proofErr w:type="spellStart"/>
      <w:r>
        <w:rPr>
          <w:rtl/>
        </w:rPr>
        <w:t>גבורין</w:t>
      </w:r>
      <w:proofErr w:type="spellEnd"/>
      <w:r>
        <w:rPr>
          <w:rtl/>
        </w:rPr>
        <w:t xml:space="preserve">. למרבה ההפתעה, אבי, תלמיד מסור של הסבא, הסכים בעיקרו של דבר עם הרב </w:t>
      </w:r>
      <w:proofErr w:type="spellStart"/>
      <w:r>
        <w:rPr>
          <w:rtl/>
        </w:rPr>
        <w:t>יוסלביץ</w:t>
      </w:r>
      <w:bookmarkStart w:id="3279" w:name="_fnr2378"/>
      <w:proofErr w:type="spellEnd"/>
      <w:r>
        <w:rPr>
          <w:rStyle w:val="a5"/>
        </w:rPr>
        <w:footnoteReference w:id="2385" w:customMarkFollows="0"/>
      </w:r>
      <w:bookmarkEnd w:id="3279"/>
      <w:r>
        <w:rPr>
          <w:rtl/>
        </w:rPr>
        <w:t xml:space="preserve"> שהסבא </w:t>
      </w:r>
      <w:proofErr w:type="spellStart"/>
      <w:r>
        <w:rPr>
          <w:rtl/>
        </w:rPr>
        <w:t>מסלבודקה</w:t>
      </w:r>
      <w:proofErr w:type="spellEnd"/>
      <w:r>
        <w:rPr>
          <w:rtl/>
        </w:rPr>
        <w:t xml:space="preserve"> שגה בכך שלא העניק ללומדים את ההכרה שהגיעה להם, כמוזכר בהערה </w:t>
      </w:r>
      <w:r>
        <w:rPr>
          <w:rtl/>
        </w:rPr>
        <w:fldChar w:fldCharType="begin" w:dirty="true"/>
      </w:r>
      <w:r>
        <w:rPr>
          <w:rtl/>
        </w:rPr>
        <w:instrText xml:space="preserve"> REF b3_note55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55</w:t>
      </w:r>
      <w:r>
        <w:rPr>
          <w:rtl/>
        </w:rPr>
        <w:fldChar w:fldCharType="end"/>
      </w:r>
      <w:r>
        <w:rPr>
          <w:rtl/>
        </w:rPr>
        <w:t xml:space="preserve"> לעיל.</w:t>
      </w:r>
    </w:p>
    <w:p w14:paraId="78FDB8F8" w14:textId="77777777" w:rsidR="00AB3647" w:rsidRDefault="00000000" w:rsidP="007923E9">
      <w:pPr>
        <w:spacing w:after="120" w:line="276" w:lineRule="auto"/>
        <w:ind w:firstLine="283"/>
        <w:jc w:val="both"/>
      </w:pPr>
      <w:r>
        <w:rPr>
          <w:rtl/>
        </w:rPr>
        <w:t xml:space="preserve">ההצדקה שמצא רבנו להתנהגות הסבא הייתה שהלומדים של אותה תקופה לא נטו אחרי המוסר – כמו שנטו בתקופה שאבי בא </w:t>
      </w:r>
      <w:proofErr w:type="spellStart"/>
      <w:r>
        <w:rPr>
          <w:rtl/>
        </w:rPr>
        <w:t>לסלבודקה</w:t>
      </w:r>
      <w:proofErr w:type="spellEnd"/>
      <w:r>
        <w:rPr>
          <w:rtl/>
        </w:rPr>
        <w:t xml:space="preserve"> ואחריה. כדי לקדם את דרכו במוסר לא נותרה לסבא </w:t>
      </w:r>
      <w:proofErr w:type="spellStart"/>
      <w:r>
        <w:rPr>
          <w:rtl/>
        </w:rPr>
        <w:t>מסלבודקה</w:t>
      </w:r>
      <w:proofErr w:type="spellEnd"/>
      <w:r>
        <w:rPr>
          <w:rtl/>
        </w:rPr>
        <w:t xml:space="preserve"> ברירה אלא להמעיט בערכם של תלמידים אלה, אף שידיעותיהם בתורה היו עדיפות.</w:t>
      </w:r>
    </w:p>
    <w:p w14:paraId="38ADF4F6" w14:textId="77777777" w:rsidR="00AB3647" w:rsidRDefault="00000000" w:rsidP="007923E9">
      <w:pPr>
        <w:spacing w:after="120" w:line="276" w:lineRule="auto"/>
        <w:ind w:firstLine="283"/>
        <w:jc w:val="both"/>
      </w:pPr>
      <w:r>
        <w:rPr>
          <w:rtl/>
        </w:rPr>
        <w:t>נראה שגם המעשה המסופר שם</w:t>
      </w:r>
      <w:bookmarkStart w:id="3280" w:name="_fnr2379"/>
      <w:r>
        <w:rPr>
          <w:rStyle w:val="a5"/>
        </w:rPr>
        <w:footnoteReference w:id="2386" w:customMarkFollows="0"/>
      </w:r>
      <w:bookmarkEnd w:id="3280"/>
      <w:r>
        <w:rPr>
          <w:rtl/>
        </w:rPr>
        <w:t xml:space="preserve"> על שתי “דמויות מרכזיות בין המתנגדים” עוסק בשניים אלה. האחד גויס לצבא בשנת תרס״ג, והסבא הוציא סכום עצום מכספי הישיבה, ובאמצעות תלמידיו גייס כספים נוספים ממקורות פרטיים, כדי לשחררו מן השירות ולהחזירו לישיבה – </w:t>
      </w:r>
      <w:r>
        <w:rPr>
          <w:b/>
          <w:bCs/>
          <w:rtl/>
        </w:rPr>
        <w:t>שם שב לתפקידו כמתנגד</w:t>
      </w:r>
      <w:r>
        <w:rPr>
          <w:rtl/>
        </w:rPr>
        <w:t xml:space="preserve">. עם שובו שוכנע המתנגד האחר בידי חבריו תומכי המוסר לחדול מן המחלוקת. הראשון הוא כנראה ר׳ יוסף </w:t>
      </w:r>
      <w:proofErr w:type="spellStart"/>
      <w:r>
        <w:rPr>
          <w:rtl/>
        </w:rPr>
        <w:t>יוסלביץ</w:t>
      </w:r>
      <w:proofErr w:type="spellEnd"/>
      <w:r>
        <w:rPr>
          <w:rtl/>
        </w:rPr>
        <w:t xml:space="preserve">, שכן חתנו ר׳ דוד ליפשיץ אמר לי: “הוא גויס בשנת תרס״ג לזמן קצר, ואז הובא אליו אוכל כשר מביתו של [איש המוסר המובהק] ר׳ </w:t>
      </w:r>
      <w:proofErr w:type="spellStart"/>
      <w:r>
        <w:rPr>
          <w:rtl/>
        </w:rPr>
        <w:t>איצל׳ה</w:t>
      </w:r>
      <w:proofErr w:type="spellEnd"/>
      <w:r>
        <w:rPr>
          <w:rtl/>
        </w:rPr>
        <w:t xml:space="preserve"> </w:t>
      </w:r>
      <w:proofErr w:type="spellStart"/>
      <w:r>
        <w:rPr>
          <w:rtl/>
        </w:rPr>
        <w:t>בלאזר</w:t>
      </w:r>
      <w:proofErr w:type="spellEnd"/>
      <w:r>
        <w:rPr>
          <w:rtl/>
        </w:rPr>
        <w:t xml:space="preserve">. אחר כך חזר לישיבת </w:t>
      </w:r>
      <w:proofErr w:type="spellStart"/>
      <w:r>
        <w:rPr>
          <w:rtl/>
        </w:rPr>
        <w:t>סלבודקה</w:t>
      </w:r>
      <w:proofErr w:type="spellEnd"/>
      <w:r>
        <w:rPr>
          <w:rtl/>
        </w:rPr>
        <w:t xml:space="preserve">.” והאחר הוא ר׳ שלמה </w:t>
      </w:r>
      <w:proofErr w:type="spellStart"/>
      <w:r>
        <w:rPr>
          <w:rtl/>
        </w:rPr>
        <w:t>גבורין</w:t>
      </w:r>
      <w:proofErr w:type="spellEnd"/>
      <w:r>
        <w:rPr>
          <w:rtl/>
        </w:rPr>
        <w:t>, שכמו שסופר לעיל</w:t>
      </w:r>
      <w:bookmarkStart w:id="3281" w:name="_fnr2380"/>
      <w:r>
        <w:rPr>
          <w:rStyle w:val="a5"/>
        </w:rPr>
        <w:footnoteReference w:id="2387" w:customMarkFollows="0"/>
      </w:r>
      <w:bookmarkEnd w:id="3281"/>
      <w:r>
        <w:rPr>
          <w:rtl/>
        </w:rPr>
        <w:t xml:space="preserve"> “חזר בו”.</w:t>
      </w:r>
    </w:p>
    <w:p w14:paraId="049B51EB" w14:textId="77777777" w:rsidR="00AB3647" w:rsidRDefault="00000000" w:rsidP="007923E9">
      <w:pPr>
        <w:spacing w:after="120" w:line="276" w:lineRule="auto"/>
        <w:ind w:firstLine="283"/>
        <w:jc w:val="both"/>
      </w:pPr>
      <w:r>
        <w:rPr>
          <w:rtl/>
        </w:rPr>
        <w:lastRenderedPageBreak/>
        <w:t xml:space="preserve">למרבה הפלא, גם הרב </w:t>
      </w:r>
      <w:proofErr w:type="spellStart"/>
      <w:r>
        <w:rPr>
          <w:rtl/>
        </w:rPr>
        <w:t>יוסלביץ</w:t>
      </w:r>
      <w:proofErr w:type="spellEnd"/>
      <w:r>
        <w:rPr>
          <w:rtl/>
        </w:rPr>
        <w:t xml:space="preserve"> “חזר בו”. “שערי ציון”</w:t>
      </w:r>
      <w:bookmarkStart w:id="3282" w:name="_fnr2381"/>
      <w:r>
        <w:rPr>
          <w:rStyle w:val="a5"/>
        </w:rPr>
        <w:footnoteReference w:id="2388" w:customMarkFollows="0"/>
      </w:r>
      <w:bookmarkEnd w:id="3282"/>
      <w:r>
        <w:rPr>
          <w:rtl/>
        </w:rPr>
        <w:t xml:space="preserve"> דיווח בגיליון שבט–ניסן </w:t>
      </w:r>
      <w:proofErr w:type="spellStart"/>
      <w:r>
        <w:rPr>
          <w:rtl/>
        </w:rPr>
        <w:t>תר״ץ</w:t>
      </w:r>
      <w:bookmarkStart w:id="3283" w:name="_fnr2382"/>
      <w:proofErr w:type="spellEnd"/>
      <w:r>
        <w:rPr>
          <w:rStyle w:val="a5"/>
        </w:rPr>
        <w:footnoteReference w:id="2389" w:customMarkFollows="0"/>
      </w:r>
      <w:bookmarkEnd w:id="3283"/>
      <w:r>
        <w:rPr>
          <w:rtl/>
        </w:rPr>
        <w:t xml:space="preserve">: “אספה של בוגרי ישיבת </w:t>
      </w:r>
      <w:proofErr w:type="spellStart"/>
      <w:r>
        <w:rPr>
          <w:rtl/>
        </w:rPr>
        <w:t>סלבודקה</w:t>
      </w:r>
      <w:proofErr w:type="spellEnd"/>
      <w:r>
        <w:rPr>
          <w:rtl/>
        </w:rPr>
        <w:t xml:space="preserve"> התקיימה [ביום השנה לפטירת הסבא] באולם ועד הישיבות בווילנה. פתח אותה היושב ראש, ר׳ יוסף </w:t>
      </w:r>
      <w:proofErr w:type="spellStart"/>
      <w:r>
        <w:rPr>
          <w:rtl/>
        </w:rPr>
        <w:t>יוסלביץ</w:t>
      </w:r>
      <w:proofErr w:type="spellEnd"/>
      <w:r>
        <w:rPr>
          <w:rtl/>
        </w:rPr>
        <w:t xml:space="preserve">, רב </w:t>
      </w:r>
      <w:proofErr w:type="spellStart"/>
      <w:r>
        <w:rPr>
          <w:rtl/>
        </w:rPr>
        <w:t xml:space="preserve">סובאלק</w:t>
      </w:r>
      <w:proofErr w:type="spellEnd"/>
      <w:r>
        <w:rPr>
          <w:rtl/>
        </w:rPr>
        <w:t xml:space="preserve">, שהעלה </w:t>
      </w:r>
      <w:r>
        <w:rPr>
          <w:b/>
          <w:bCs/>
          <w:rtl/>
        </w:rPr>
        <w:t xml:space="preserve">זיכרונות מוקדמים מן הסבא, מתקופת לימודיו </w:t>
      </w:r>
      <w:proofErr w:type="spellStart"/>
      <w:r>
        <w:rPr>
          <w:b/>
          <w:bCs/>
          <w:rtl/>
        </w:rPr>
        <w:t>בסלבודקה</w:t>
      </w:r>
      <w:proofErr w:type="spellEnd"/>
      <w:r>
        <w:rPr>
          <w:rtl/>
        </w:rPr>
        <w:t xml:space="preserve"> (ההדגשה שלי), עמד במיוחד על שיטת המוסר של הסבא והציג מבט ברור על דרך המוסר של </w:t>
      </w:r>
      <w:proofErr w:type="spellStart"/>
      <w:r>
        <w:rPr>
          <w:rtl/>
        </w:rPr>
        <w:t>סלבודקה</w:t>
      </w:r>
      <w:proofErr w:type="spellEnd"/>
      <w:r>
        <w:rPr>
          <w:rtl/>
        </w:rPr>
        <w:t xml:space="preserve">. בסיום הציע לייסד ירחון תורני ובו מדור מיוחד למאמרי מוסר לזכר הסבא.” אין זה רחוק לייחס את השינוי בהשקפת הרב </w:t>
      </w:r>
      <w:proofErr w:type="spellStart"/>
      <w:r>
        <w:rPr>
          <w:rtl/>
        </w:rPr>
        <w:t>יוסלביץ</w:t>
      </w:r>
      <w:proofErr w:type="spellEnd"/>
      <w:r>
        <w:rPr>
          <w:rtl/>
        </w:rPr>
        <w:t xml:space="preserve"> למרד של בניו המתבגרים נגד שמירת התורה כחמש שנים קודם לכן, באמצע שנות </w:t>
      </w:r>
      <w:proofErr w:type="spellStart"/>
      <w:r>
        <w:rPr>
          <w:rtl/>
        </w:rPr>
        <w:t>התר״פ</w:t>
      </w:r>
      <w:bookmarkStart w:id="3284" w:name="_fnr2383"/>
      <w:proofErr w:type="spellEnd"/>
      <w:r>
        <w:rPr>
          <w:rStyle w:val="a5"/>
        </w:rPr>
        <w:footnoteReference w:id="2390" w:customMarkFollows="0"/>
      </w:r>
      <w:bookmarkEnd w:id="3284"/>
      <w:r>
        <w:rPr>
          <w:rtl/>
        </w:rPr>
        <w:t>.</w:t>
      </w:r>
    </w:p>
    <w:p w14:paraId="55A261F6" w14:textId="77777777" w:rsidR="00AB3647" w:rsidRDefault="00000000" w:rsidP="007923E9">
      <w:pPr>
        <w:spacing w:after="120" w:line="276" w:lineRule="auto"/>
        <w:ind w:firstLine="283"/>
        <w:jc w:val="both"/>
      </w:pPr>
      <w:r>
        <w:rPr>
          <w:rtl/>
        </w:rPr>
        <w:t xml:space="preserve">באשר לראייתו למרחוק של הסבא, מקרה דומה מסופר אצל </w:t>
      </w:r>
      <w:proofErr w:type="spellStart"/>
      <w:r>
        <w:rPr>
          <w:rtl/>
        </w:rPr>
        <w:t>רבינר</w:t>
      </w:r>
      <w:proofErr w:type="spellEnd"/>
      <w:r>
        <w:rPr>
          <w:rtl/>
        </w:rPr>
        <w:t xml:space="preserve"> – ר׳ </w:t>
      </w:r>
      <w:proofErr w:type="spellStart"/>
      <w:r>
        <w:rPr>
          <w:rtl/>
        </w:rPr>
        <w:t>יהודה־לייב</w:t>
      </w:r>
      <w:proofErr w:type="spellEnd"/>
      <w:r>
        <w:rPr>
          <w:rtl/>
        </w:rPr>
        <w:t xml:space="preserve"> פיין</w:t>
      </w:r>
      <w:bookmarkStart w:id="3285" w:name="_fnr2384"/>
      <w:r>
        <w:rPr>
          <w:rStyle w:val="a5"/>
        </w:rPr>
        <w:footnoteReference w:id="2391" w:customMarkFollows="0"/>
      </w:r>
      <w:bookmarkEnd w:id="3285"/>
      <w:r>
        <w:rPr>
          <w:rtl/>
        </w:rPr>
        <w:t xml:space="preserve">. כשסיפרו </w:t>
      </w:r>
      <w:proofErr w:type="spellStart"/>
      <w:r>
        <w:rPr>
          <w:rtl/>
        </w:rPr>
        <w:t>לר</w:t>
      </w:r>
      <w:proofErr w:type="spellEnd"/>
      <w:r>
        <w:rPr>
          <w:rtl/>
        </w:rPr>
        <w:t xml:space="preserve">׳ </w:t>
      </w:r>
      <w:proofErr w:type="spellStart"/>
      <w:r>
        <w:rPr>
          <w:rtl/>
        </w:rPr>
        <w:t>נתן־צבי</w:t>
      </w:r>
      <w:proofErr w:type="spellEnd"/>
      <w:r>
        <w:rPr>
          <w:rtl/>
        </w:rPr>
        <w:t xml:space="preserve"> שר׳ </w:t>
      </w:r>
      <w:proofErr w:type="spellStart"/>
      <w:r>
        <w:rPr>
          <w:rtl/>
        </w:rPr>
        <w:t>יהודה־לייב</w:t>
      </w:r>
      <w:proofErr w:type="spellEnd"/>
      <w:r>
        <w:rPr>
          <w:rtl/>
        </w:rPr>
        <w:t xml:space="preserve"> פיין</w:t>
      </w:r>
      <w:bookmarkStart w:id="3286" w:name="_fnr2385"/>
      <w:r>
        <w:rPr>
          <w:rStyle w:val="a5"/>
        </w:rPr>
        <w:footnoteReference w:id="2392" w:customMarkFollows="0"/>
      </w:r>
      <w:bookmarkEnd w:id="3286"/>
      <w:r>
        <w:rPr>
          <w:rtl/>
        </w:rPr>
        <w:t xml:space="preserve"> נתמנה לרב </w:t>
      </w:r>
      <w:proofErr w:type="spellStart"/>
      <w:r>
        <w:rPr>
          <w:rtl/>
        </w:rPr>
        <w:t>בפיאסצ׳נה</w:t>
      </w:r>
      <w:proofErr w:type="spellEnd"/>
      <w:r>
        <w:rPr>
          <w:rtl/>
        </w:rPr>
        <w:t xml:space="preserve"> </w:t>
      </w:r>
      <w:proofErr w:type="spellStart"/>
      <w:r>
        <w:rPr>
          <w:rtl/>
        </w:rPr>
        <w:t>בתרנ״ה</w:t>
      </w:r>
      <w:proofErr w:type="spellEnd"/>
      <w:r>
        <w:rPr>
          <w:rtl/>
        </w:rPr>
        <w:t xml:space="preserve">, העיר: “זאת [משרה קטנה כל כך] בשבילו? הלא כתר הרבנות של [העיר הגדולה והרחוקה] סלונים הולם אותו!” ואכן, כעבור עשרים וחמש שנה נעשה ר׳ </w:t>
      </w:r>
      <w:proofErr w:type="spellStart"/>
      <w:r>
        <w:rPr>
          <w:rtl/>
        </w:rPr>
        <w:t>יהודה־לייב</w:t>
      </w:r>
      <w:proofErr w:type="spellEnd"/>
      <w:r>
        <w:rPr>
          <w:rtl/>
        </w:rPr>
        <w:t xml:space="preserve"> לבסוף רבה של סלונים, לאחר ששימש גם </w:t>
      </w:r>
      <w:proofErr w:type="spellStart"/>
      <w:r>
        <w:rPr>
          <w:rtl/>
        </w:rPr>
        <w:t>בקופישוק</w:t>
      </w:r>
      <w:proofErr w:type="spellEnd"/>
      <w:r>
        <w:rPr>
          <w:rtl/>
        </w:rPr>
        <w:t xml:space="preserve"> </w:t>
      </w:r>
      <w:proofErr w:type="spellStart"/>
      <w:r>
        <w:rPr>
          <w:rtl/>
        </w:rPr>
        <w:t>ובאושמינה</w:t>
      </w:r>
      <w:proofErr w:type="spellEnd"/>
      <w:r>
        <w:rPr>
          <w:rtl/>
        </w:rPr>
        <w:t xml:space="preserve">. השווה גם </w:t>
      </w:r>
      <w:proofErr w:type="spellStart"/>
      <w:r>
        <w:rPr>
          <w:rtl/>
        </w:rPr>
        <w:t>רבינר</w:t>
      </w:r>
      <w:proofErr w:type="spellEnd"/>
      <w:r>
        <w:rPr>
          <w:rtl/>
        </w:rPr>
        <w:t xml:space="preserve"> – ר׳ </w:t>
      </w:r>
      <w:proofErr w:type="spellStart"/>
      <w:r>
        <w:rPr>
          <w:rtl/>
        </w:rPr>
        <w:t>יהודה־לייב</w:t>
      </w:r>
      <w:proofErr w:type="spellEnd"/>
      <w:r>
        <w:rPr>
          <w:rtl/>
        </w:rPr>
        <w:t xml:space="preserve"> פיין</w:t>
      </w:r>
      <w:bookmarkStart w:id="3287" w:name="_fnr2386"/>
      <w:r>
        <w:rPr>
          <w:rStyle w:val="a5"/>
        </w:rPr>
        <w:footnoteReference w:id="2393" w:customMarkFollows="0"/>
      </w:r>
      <w:bookmarkEnd w:id="3287"/>
      <w:r>
        <w:rPr>
          <w:rtl/>
        </w:rPr>
        <w:t xml:space="preserve">, המספר </w:t>
      </w:r>
      <w:proofErr w:type="spellStart"/>
      <w:r>
        <w:rPr>
          <w:rtl/>
        </w:rPr>
        <w:t>שבהיותו</w:t>
      </w:r>
      <w:proofErr w:type="spellEnd"/>
      <w:r>
        <w:rPr>
          <w:rtl/>
        </w:rPr>
        <w:t xml:space="preserve"> </w:t>
      </w:r>
      <w:proofErr w:type="spellStart"/>
      <w:r>
        <w:rPr>
          <w:rtl/>
        </w:rPr>
        <w:t>בקופישוק</w:t>
      </w:r>
      <w:proofErr w:type="spellEnd"/>
      <w:r>
        <w:rPr>
          <w:rtl/>
        </w:rPr>
        <w:t xml:space="preserve"> הוצע לו כיסא הרבנות בפטרבורג, ובהיותו בסלונים – משרות הרבנות של אנטוורפן ושל לונדון. ייתכן שהסבא צפה כי תלמידו ראוי למשרות גדולות אף מזו של סלונים, אבל הבין שר׳ </w:t>
      </w:r>
      <w:proofErr w:type="spellStart"/>
      <w:r>
        <w:rPr>
          <w:rtl/>
        </w:rPr>
        <w:t>יהודה־לייב</w:t>
      </w:r>
      <w:proofErr w:type="spellEnd"/>
      <w:r>
        <w:rPr>
          <w:rtl/>
        </w:rPr>
        <w:t xml:space="preserve"> ידחה אותן, מפני שירצה להישאר בליטא המסורתית.</w:t>
      </w:r>
    </w:p>
    <w:p w14:paraId="5195000B" w14:textId="77777777" w:rsidR="00AB3647" w:rsidRDefault="00000000" w:rsidP="007923E9">
      <w:pPr>
        <w:spacing w:after="120" w:line="276" w:lineRule="auto"/>
        <w:ind w:firstLine="283"/>
        <w:jc w:val="both"/>
      </w:pPr>
      <w:r>
        <w:rPr>
          <w:rtl/>
        </w:rPr>
        <w:t xml:space="preserve">על תפיסתו החודרת של הסבא את כוחותיו של תלמיד סיפר ר׳ חיים </w:t>
      </w:r>
      <w:proofErr w:type="spellStart"/>
      <w:r>
        <w:rPr>
          <w:rtl/>
        </w:rPr>
        <w:t>סרנא</w:t>
      </w:r>
      <w:bookmarkStart w:id="3288" w:name="_fnr2387"/>
      <w:proofErr w:type="spellEnd"/>
      <w:r>
        <w:rPr>
          <w:rStyle w:val="a5"/>
        </w:rPr>
        <w:footnoteReference w:id="2394" w:customMarkFollows="0"/>
      </w:r>
      <w:bookmarkEnd w:id="3288"/>
      <w:r>
        <w:rPr>
          <w:rtl/>
        </w:rPr>
        <w:t xml:space="preserve"> שר׳ </w:t>
      </w:r>
      <w:proofErr w:type="spellStart"/>
      <w:r>
        <w:rPr>
          <w:rtl/>
        </w:rPr>
        <w:t>יחיאל־יעקב</w:t>
      </w:r>
      <w:proofErr w:type="spellEnd"/>
      <w:r>
        <w:rPr>
          <w:rtl/>
        </w:rPr>
        <w:t xml:space="preserve"> ויינברג</w:t>
      </w:r>
      <w:bookmarkStart w:id="3289" w:name="_fnr2388"/>
      <w:r>
        <w:rPr>
          <w:rStyle w:val="a5"/>
        </w:rPr>
        <w:footnoteReference w:id="2395" w:customMarkFollows="0"/>
      </w:r>
      <w:bookmarkEnd w:id="3289"/>
      <w:r>
        <w:rPr>
          <w:rtl/>
        </w:rPr>
        <w:t xml:space="preserve"> אמר לו, בתארו את כישרונו המופלא של הסבא </w:t>
      </w:r>
      <w:proofErr w:type="spellStart"/>
      <w:r>
        <w:rPr>
          <w:rtl/>
        </w:rPr>
        <w:t>מסלבודקה</w:t>
      </w:r>
      <w:proofErr w:type="spellEnd"/>
      <w:r>
        <w:rPr>
          <w:rtl/>
        </w:rPr>
        <w:t xml:space="preserve">: “כשהסבא פגש אדם, היה יכול לצפות מה יהיה אותו אדם עד רגבי העפר האחרונים [שיכסו את קברו] – עד </w:t>
      </w:r>
      <w:proofErr w:type="spellStart"/>
      <w:r>
        <w:rPr>
          <w:rtl/>
        </w:rPr>
        <w:t>זיבולא</w:t>
      </w:r>
      <w:proofErr w:type="spellEnd"/>
      <w:r>
        <w:rPr>
          <w:rtl/>
        </w:rPr>
        <w:t xml:space="preserve"> </w:t>
      </w:r>
      <w:proofErr w:type="spellStart"/>
      <w:r>
        <w:rPr>
          <w:rtl/>
        </w:rPr>
        <w:t>בתרייתא</w:t>
      </w:r>
      <w:bookmarkStart w:id="3290" w:name="_fnr2389"/>
      <w:proofErr w:type="spellEnd"/>
      <w:r>
        <w:rPr>
          <w:rStyle w:val="a5"/>
        </w:rPr>
        <w:footnoteReference w:id="2396" w:customMarkFollows="0"/>
      </w:r>
      <w:bookmarkEnd w:id="3290"/>
      <w:r>
        <w:rPr>
          <w:rtl/>
        </w:rPr>
        <w:t>.”</w:t>
      </w:r>
    </w:p>
    <w:p w14:paraId="5C2F927E" w14:textId="77777777" w:rsidR="00AB3647" w:rsidRDefault="00000000" w:rsidP="007923E9">
      <w:pPr>
        <w:pStyle w:val="4"/>
        <w:spacing w:line="276" w:lineRule="auto"/>
      </w:pPr>
      <w:r>
        <w:t>· הפסקה השלישית ·</w:t>
      </w:r>
    </w:p>
    <w:p w14:paraId="2813C637" w14:textId="77777777" w:rsidR="00AB3647" w:rsidRDefault="00000000" w:rsidP="007923E9">
      <w:pPr>
        <w:pStyle w:val="5"/>
        <w:spacing w:line="276" w:lineRule="auto"/>
      </w:pPr>
      <w:r>
        <w:t xml:space="preserve">שתי גרסאות למועד תחילתה וסיומה של המחלוקת – ר׳ </w:t>
      </w:r>
      <w:proofErr w:type="spellStart"/>
      <w:r>
        <w:t>ישראל־זיסל</w:t>
      </w:r>
      <w:proofErr w:type="spellEnd"/>
      <w:r>
        <w:t xml:space="preserve"> </w:t>
      </w:r>
      <w:proofErr w:type="spellStart"/>
      <w:r>
        <w:t>דבורץ</w:t>
      </w:r>
      <w:proofErr w:type="spellEnd"/>
      <w:r>
        <w:t xml:space="preserve"> נעדר </w:t>
      </w:r>
      <w:proofErr w:type="spellStart"/>
      <w:r>
        <w:t>מסלבודקה</w:t>
      </w:r>
      <w:proofErr w:type="spellEnd"/>
      <w:r>
        <w:t xml:space="preserve"> שנה – כיצד הגיע הנער חסר האמצעים </w:t>
      </w:r>
      <w:proofErr w:type="spellStart"/>
      <w:r>
        <w:t>לסלבודקה</w:t>
      </w:r>
      <w:proofErr w:type="spellEnd"/>
    </w:p>
    <w:p w14:paraId="19A7E8AD" w14:textId="77777777" w:rsidR="00AB3647" w:rsidRDefault="00000000" w:rsidP="007923E9">
      <w:pPr>
        <w:spacing w:after="120" w:line="276" w:lineRule="auto"/>
        <w:ind w:firstLine="283"/>
        <w:jc w:val="both"/>
      </w:pPr>
      <w:proofErr w:type="spellStart"/>
      <w:r>
        <w:rPr>
          <w:rtl/>
        </w:rPr>
        <w:t>דבורץ</w:t>
      </w:r>
      <w:proofErr w:type="spellEnd"/>
      <w:r>
        <w:rPr>
          <w:rtl/>
        </w:rPr>
        <w:t xml:space="preserve">, “הגאון רבי משה מרדכי אפשטיין”, טוען, בקטע המצוטט בעמ׳ </w:t>
      </w:r>
      <w:r>
        <w:rPr>
          <w:rtl/>
        </w:rPr>
        <w:fldChar w:fldCharType="begin" w:dirty="true"/>
      </w:r>
      <w:r>
        <w:rPr>
          <w:rtl/>
        </w:rPr>
        <w:instrText xml:space="preserve"> PAGEREF pr_close_b_2269 \h </w:instrText>
      </w:r>
      <w:r>
        <w:rPr>
          <w:rtl/>
        </w:rPr>
      </w:r>
      <w:r>
        <w:rPr>
          <w:rtl/>
        </w:rPr>
        <w:fldChar w:fldCharType="separate"/>
      </w:r>
      <w:r w:rsidR="007923E9">
        <w:rPr>
          <w:noProof/>
          <w:rtl/>
        </w:rPr>
        <w:t>1</w:t>
      </w:r>
      <w:r>
        <w:rPr>
          <w:rtl/>
        </w:rPr>
        <w:fldChar w:fldCharType="end"/>
      </w:r>
      <w:r>
        <w:rPr>
          <w:rtl/>
        </w:rPr>
        <w:t xml:space="preserve">, שהתנועה נגד המוסר בתוך כנסת ישראל התפוגגה דווקא בעקבות שיגור קבוצת התלמידים המובילה של </w:t>
      </w:r>
      <w:r>
        <w:rPr>
          <w:rtl/>
        </w:rPr>
        <w:lastRenderedPageBreak/>
        <w:t xml:space="preserve">תומכי המוסר </w:t>
      </w:r>
      <w:proofErr w:type="spellStart"/>
      <w:r>
        <w:rPr>
          <w:rtl/>
        </w:rPr>
        <w:t>לטלז</w:t>
      </w:r>
      <w:proofErr w:type="spellEnd"/>
      <w:r>
        <w:rPr>
          <w:rtl/>
        </w:rPr>
        <w:t xml:space="preserve">. טענה זו מוטלת בספק. הקבוצה נשלחה </w:t>
      </w:r>
      <w:proofErr w:type="spellStart"/>
      <w:r>
        <w:rPr>
          <w:rtl/>
        </w:rPr>
        <w:t>לטלז</w:t>
      </w:r>
      <w:proofErr w:type="spellEnd"/>
      <w:r>
        <w:rPr>
          <w:rtl/>
        </w:rPr>
        <w:t xml:space="preserve"> </w:t>
      </w:r>
      <w:proofErr w:type="spellStart"/>
      <w:r>
        <w:rPr>
          <w:rtl/>
        </w:rPr>
        <w:t>בתרס״ה</w:t>
      </w:r>
      <w:bookmarkStart w:id="3291" w:name="_fnr2390"/>
      <w:proofErr w:type="spellEnd"/>
      <w:r>
        <w:rPr>
          <w:rStyle w:val="a5"/>
        </w:rPr>
        <w:footnoteReference w:id="2397" w:customMarkFollows="0"/>
      </w:r>
      <w:bookmarkEnd w:id="3291"/>
      <w:r>
        <w:rPr>
          <w:rtl/>
        </w:rPr>
        <w:t xml:space="preserve">, לאחר שמנהיג המתנגדים, הרב </w:t>
      </w:r>
      <w:proofErr w:type="spellStart"/>
      <w:r>
        <w:rPr>
          <w:rtl/>
        </w:rPr>
        <w:t>יוסלביץ</w:t>
      </w:r>
      <w:proofErr w:type="spellEnd"/>
      <w:r>
        <w:rPr>
          <w:rtl/>
        </w:rPr>
        <w:t xml:space="preserve">, נשא אישה ועזב את הישיבה </w:t>
      </w:r>
      <w:proofErr w:type="spellStart"/>
      <w:r>
        <w:rPr>
          <w:rtl/>
        </w:rPr>
        <w:t>בתרס״ד</w:t>
      </w:r>
      <w:bookmarkStart w:id="3292" w:name="_fnr2391"/>
      <w:proofErr w:type="spellEnd"/>
      <w:r>
        <w:rPr>
          <w:rStyle w:val="a5"/>
        </w:rPr>
        <w:footnoteReference w:id="2398" w:customMarkFollows="0"/>
      </w:r>
      <w:bookmarkEnd w:id="3292"/>
      <w:r>
        <w:rPr>
          <w:rtl/>
        </w:rPr>
        <w:t>.</w:t>
      </w:r>
    </w:p>
    <w:p w14:paraId="5995ED44" w14:textId="77777777" w:rsidR="00AB3647" w:rsidRDefault="00000000" w:rsidP="007923E9">
      <w:pPr>
        <w:spacing w:after="120" w:line="276" w:lineRule="auto"/>
        <w:ind w:firstLine="283"/>
        <w:jc w:val="both"/>
      </w:pPr>
      <w:bookmarkStart w:id="3293" w:name="pr_b_1416"/>
      <w:bookmarkEnd w:id="3293"/>
      <w:r>
        <w:rPr>
          <w:rtl/>
        </w:rPr>
        <w:t xml:space="preserve">לפיכך מסתבר יותר שההתנגדות שככה שנה לפני המועד הנקוב בספרו של </w:t>
      </w:r>
      <w:proofErr w:type="spellStart"/>
      <w:r>
        <w:rPr>
          <w:rtl/>
        </w:rPr>
        <w:t>דבורץ</w:t>
      </w:r>
      <w:proofErr w:type="spellEnd"/>
      <w:r>
        <w:rPr>
          <w:rtl/>
        </w:rPr>
        <w:t xml:space="preserve">, “הגאון רבי משה מרדכי אפשטיין”. שנה זו הספיקה גם למנהיג האחר של המתנגדים למוסר, ר׳ שלמה </w:t>
      </w:r>
      <w:proofErr w:type="spellStart"/>
      <w:r>
        <w:rPr>
          <w:rtl/>
        </w:rPr>
        <w:t>גבורין</w:t>
      </w:r>
      <w:proofErr w:type="spellEnd"/>
      <w:r>
        <w:rPr>
          <w:rtl/>
        </w:rPr>
        <w:t xml:space="preserve">, להוכיח שהשתנה עד כדי כך שאפשר היה לסמוך עליו ולצרפו לשליחות להפצת המוסר </w:t>
      </w:r>
      <w:proofErr w:type="spellStart"/>
      <w:r>
        <w:rPr>
          <w:rtl/>
        </w:rPr>
        <w:t>בטלז</w:t>
      </w:r>
      <w:proofErr w:type="spellEnd"/>
      <w:r>
        <w:rPr>
          <w:rtl/>
        </w:rPr>
        <w:t xml:space="preserve"> </w:t>
      </w:r>
      <w:proofErr w:type="spellStart"/>
      <w:r>
        <w:rPr>
          <w:rtl/>
        </w:rPr>
        <w:t>בתרס״ה</w:t>
      </w:r>
      <w:proofErr w:type="spellEnd"/>
      <w:r>
        <w:rPr>
          <w:rtl/>
        </w:rPr>
        <w:t xml:space="preserve">, כאמור. יתר על כן, </w:t>
      </w:r>
      <w:proofErr w:type="spellStart"/>
      <w:r>
        <w:rPr>
          <w:rtl/>
        </w:rPr>
        <w:t>דבורץ</w:t>
      </w:r>
      <w:bookmarkStart w:id="3294" w:name="_fnr2392"/>
      <w:proofErr w:type="spellEnd"/>
      <w:r>
        <w:rPr>
          <w:rStyle w:val="a5"/>
        </w:rPr>
        <w:footnoteReference w:id="2399" w:customMarkFollows="0"/>
      </w:r>
      <w:bookmarkEnd w:id="3294"/>
      <w:r>
        <w:rPr>
          <w:rtl/>
        </w:rPr>
        <w:t xml:space="preserve"> קובע שהמריבה בין התלמידים תומכי המוסר למתנגדיו פרצה “בסוף תרס״א”, ואילו כץ, “תנועת המוסר”, כרך ג</w:t>
      </w:r>
      <w:bookmarkStart w:id="3295" w:name="_fnr2393"/>
      <w:r>
        <w:rPr>
          <w:rStyle w:val="a5"/>
        </w:rPr>
        <w:footnoteReference w:id="2400" w:customMarkFollows="0"/>
      </w:r>
      <w:bookmarkEnd w:id="3295"/>
      <w:r>
        <w:rPr>
          <w:rtl/>
        </w:rPr>
        <w:t xml:space="preserve">, קובע את זמנה “בסוף תרס״ג”. אם כן, לפי </w:t>
      </w:r>
      <w:proofErr w:type="spellStart"/>
      <w:r>
        <w:rPr>
          <w:rtl/>
        </w:rPr>
        <w:t>דבורץ</w:t>
      </w:r>
      <w:proofErr w:type="spellEnd"/>
      <w:r>
        <w:rPr>
          <w:rtl/>
        </w:rPr>
        <w:t xml:space="preserve"> החלה המחלוקת מוקדם יותר והסתיימה מאוחר יותר ממה שעולה מן המקורות האחרים.</w:t>
      </w:r>
    </w:p>
    <w:p w14:paraId="67BC4149" w14:textId="77777777" w:rsidR="00AB3647" w:rsidRDefault="00000000" w:rsidP="007923E9">
      <w:pPr>
        <w:spacing w:after="120" w:line="276" w:lineRule="auto"/>
        <w:ind w:firstLine="283"/>
        <w:jc w:val="both"/>
      </w:pPr>
      <w:r>
        <w:rPr>
          <w:rtl/>
        </w:rPr>
        <w:t xml:space="preserve">אני נוטה להסכים עם כץ, אף שמחבר סדרה זו לא היה </w:t>
      </w:r>
      <w:proofErr w:type="spellStart"/>
      <w:r>
        <w:rPr>
          <w:rtl/>
        </w:rPr>
        <w:t>בסלבודקה</w:t>
      </w:r>
      <w:proofErr w:type="spellEnd"/>
      <w:r>
        <w:rPr>
          <w:rtl/>
        </w:rPr>
        <w:t xml:space="preserve"> בשנות המריבה הללו, ואילו מחבר “הגאון רבי משה מרדכי אפשטיין” היה שם, אם כי כבחור צעיר יותר. לדברי ר׳ </w:t>
      </w:r>
      <w:proofErr w:type="spellStart"/>
      <w:r>
        <w:rPr>
          <w:rtl/>
        </w:rPr>
        <w:t>שמעון־ראובן</w:t>
      </w:r>
      <w:proofErr w:type="spellEnd"/>
      <w:r>
        <w:rPr>
          <w:rtl/>
        </w:rPr>
        <w:t xml:space="preserve"> </w:t>
      </w:r>
      <w:proofErr w:type="spellStart"/>
      <w:r>
        <w:rPr>
          <w:rtl/>
        </w:rPr>
        <w:t>דבורץ</w:t>
      </w:r>
      <w:bookmarkStart w:id="3296" w:name="_fnr2394"/>
      <w:proofErr w:type="spellEnd"/>
      <w:r>
        <w:rPr>
          <w:rStyle w:val="a5"/>
        </w:rPr>
        <w:footnoteReference w:id="2401" w:customMarkFollows="0"/>
      </w:r>
      <w:bookmarkEnd w:id="3296"/>
      <w:r>
        <w:rPr>
          <w:rtl/>
        </w:rPr>
        <w:t xml:space="preserve">, בנו של מחבר “הגאון רבי משה מרדכי אפשטיין” ר׳ </w:t>
      </w:r>
      <w:proofErr w:type="spellStart"/>
      <w:r>
        <w:rPr>
          <w:rtl/>
        </w:rPr>
        <w:t>ישראל־זיסל</w:t>
      </w:r>
      <w:proofErr w:type="spellEnd"/>
      <w:r>
        <w:rPr>
          <w:rtl/>
        </w:rPr>
        <w:t xml:space="preserve"> </w:t>
      </w:r>
      <w:proofErr w:type="spellStart"/>
      <w:r>
        <w:rPr>
          <w:rtl/>
        </w:rPr>
        <w:t>דבורץ</w:t>
      </w:r>
      <w:proofErr w:type="spellEnd"/>
      <w:r>
        <w:rPr>
          <w:rtl/>
        </w:rPr>
        <w:t xml:space="preserve">, ולפי מאמר הספד שכתב האב </w:t>
      </w:r>
      <w:proofErr w:type="spellStart"/>
      <w:r>
        <w:rPr>
          <w:rtl/>
        </w:rPr>
        <w:t>ב“תבונה</w:t>
      </w:r>
      <w:proofErr w:type="spellEnd"/>
      <w:r>
        <w:rPr>
          <w:rtl/>
        </w:rPr>
        <w:t>”</w:t>
      </w:r>
      <w:bookmarkStart w:id="3297" w:name="_fnr2395"/>
      <w:r>
        <w:rPr>
          <w:rStyle w:val="a5"/>
        </w:rPr>
        <w:footnoteReference w:id="2402" w:customMarkFollows="0"/>
      </w:r>
      <w:bookmarkEnd w:id="3297"/>
      <w:r>
        <w:rPr>
          <w:rtl/>
        </w:rPr>
        <w:t xml:space="preserve"> על אחיו ר׳ </w:t>
      </w:r>
      <w:proofErr w:type="spellStart"/>
      <w:r>
        <w:rPr>
          <w:rtl/>
        </w:rPr>
        <w:t>יצחק־אייזיק</w:t>
      </w:r>
      <w:proofErr w:type="spellEnd"/>
      <w:r>
        <w:rPr>
          <w:rtl/>
        </w:rPr>
        <w:t xml:space="preserve">, נולד ר׳ </w:t>
      </w:r>
      <w:proofErr w:type="spellStart"/>
      <w:r>
        <w:rPr>
          <w:rtl/>
        </w:rPr>
        <w:t>ישראל־זיסל</w:t>
      </w:r>
      <w:proofErr w:type="spellEnd"/>
      <w:r>
        <w:rPr>
          <w:rtl/>
        </w:rPr>
        <w:t xml:space="preserve"> </w:t>
      </w:r>
      <w:proofErr w:type="spellStart"/>
      <w:r>
        <w:rPr>
          <w:rtl/>
        </w:rPr>
        <w:t>בתרמ״ו</w:t>
      </w:r>
      <w:proofErr w:type="spellEnd"/>
      <w:r>
        <w:rPr>
          <w:rtl/>
        </w:rPr>
        <w:t xml:space="preserve"> והגיע לישיבה זמן קצר לאחר שמלאו לו </w:t>
      </w:r>
      <w:proofErr w:type="spellStart"/>
      <w:r>
        <w:rPr>
          <w:rtl/>
        </w:rPr>
        <w:t>ארבע־עשרה</w:t>
      </w:r>
      <w:proofErr w:type="spellEnd"/>
      <w:r>
        <w:rPr>
          <w:rtl/>
        </w:rPr>
        <w:t>.</w:t>
      </w:r>
    </w:p>
    <w:p w14:paraId="3C2189D3" w14:textId="77777777" w:rsidR="00AB3647" w:rsidRDefault="00000000" w:rsidP="007923E9">
      <w:pPr>
        <w:spacing w:after="120" w:line="276" w:lineRule="auto"/>
        <w:ind w:firstLine="283"/>
        <w:jc w:val="both"/>
      </w:pPr>
      <w:r>
        <w:rPr>
          <w:rtl/>
        </w:rPr>
        <w:t xml:space="preserve">ייתכן שהסיבה למסקנתו המוטעית של ר׳ </w:t>
      </w:r>
      <w:proofErr w:type="spellStart"/>
      <w:r>
        <w:rPr>
          <w:rtl/>
        </w:rPr>
        <w:t>ישראל־זיסל</w:t>
      </w:r>
      <w:proofErr w:type="spellEnd"/>
      <w:r>
        <w:rPr>
          <w:rtl/>
        </w:rPr>
        <w:t xml:space="preserve">, לפחות באשר לסיום המחלוקת, נעוצה בכך שלפי המאמר </w:t>
      </w:r>
      <w:proofErr w:type="spellStart"/>
      <w:r>
        <w:rPr>
          <w:rtl/>
        </w:rPr>
        <w:t>ב“תבונה</w:t>
      </w:r>
      <w:proofErr w:type="spellEnd"/>
      <w:r>
        <w:rPr>
          <w:rtl/>
        </w:rPr>
        <w:t xml:space="preserve">” נעדר </w:t>
      </w:r>
      <w:proofErr w:type="spellStart"/>
      <w:r>
        <w:rPr>
          <w:rtl/>
        </w:rPr>
        <w:t>מסלבודקה</w:t>
      </w:r>
      <w:proofErr w:type="spellEnd"/>
      <w:r>
        <w:rPr>
          <w:rtl/>
        </w:rPr>
        <w:t xml:space="preserve"> שנה כדי להסדיר את פטורו מן הגיוס. התלמידים נדרשו להירשם לגיוס בגיל </w:t>
      </w:r>
      <w:proofErr w:type="spellStart"/>
      <w:r>
        <w:rPr>
          <w:rtl/>
        </w:rPr>
        <w:t>שמונה־עשרה</w:t>
      </w:r>
      <w:proofErr w:type="spellEnd"/>
      <w:r>
        <w:rPr>
          <w:rtl/>
        </w:rPr>
        <w:t>, והתגייסו בגיל עשרים ואחת</w:t>
      </w:r>
      <w:bookmarkStart w:id="3298" w:name="_fnr2396"/>
      <w:r>
        <w:rPr>
          <w:rStyle w:val="a5"/>
        </w:rPr>
        <w:footnoteReference w:id="2403" w:customMarkFollows="0"/>
      </w:r>
      <w:bookmarkEnd w:id="3298"/>
      <w:r>
        <w:rPr>
          <w:rtl/>
        </w:rPr>
        <w:t xml:space="preserve">. לכן נעדר ר׳ </w:t>
      </w:r>
      <w:proofErr w:type="spellStart"/>
      <w:r>
        <w:rPr>
          <w:rtl/>
        </w:rPr>
        <w:t>ישראל־זיסל</w:t>
      </w:r>
      <w:proofErr w:type="spellEnd"/>
      <w:r>
        <w:rPr>
          <w:rtl/>
        </w:rPr>
        <w:t xml:space="preserve"> מן הישיבה </w:t>
      </w:r>
      <w:proofErr w:type="spellStart"/>
      <w:r>
        <w:rPr>
          <w:rtl/>
        </w:rPr>
        <w:t>בתרס״ד</w:t>
      </w:r>
      <w:proofErr w:type="spellEnd"/>
      <w:r>
        <w:rPr>
          <w:rtl/>
        </w:rPr>
        <w:t xml:space="preserve">–תרס״ה, בתקופה שבה נשא הרב </w:t>
      </w:r>
      <w:proofErr w:type="spellStart"/>
      <w:r>
        <w:rPr>
          <w:rtl/>
        </w:rPr>
        <w:t>יוסלביץ</w:t>
      </w:r>
      <w:proofErr w:type="spellEnd"/>
      <w:r>
        <w:rPr>
          <w:rtl/>
        </w:rPr>
        <w:t xml:space="preserve"> אישה ונשלחה הקבוצה </w:t>
      </w:r>
      <w:proofErr w:type="spellStart"/>
      <w:r>
        <w:rPr>
          <w:rtl/>
        </w:rPr>
        <w:t>לטלז</w:t>
      </w:r>
      <w:proofErr w:type="spellEnd"/>
      <w:r>
        <w:rPr>
          <w:rtl/>
        </w:rPr>
        <w:t xml:space="preserve">. כשמצא בשובו שגם בכירי בעלי המוסר נעדרים וגם קבוצת המתנגדים למוסר נעלמה, הסיק ששתי התופעות קשורות זו בזו בקשר של סיבה ותוצאה, ושהשליחות </w:t>
      </w:r>
      <w:proofErr w:type="spellStart"/>
      <w:r>
        <w:rPr>
          <w:rtl/>
        </w:rPr>
        <w:t>לטלז</w:t>
      </w:r>
      <w:proofErr w:type="spellEnd"/>
      <w:r>
        <w:rPr>
          <w:rtl/>
        </w:rPr>
        <w:t xml:space="preserve"> היא הסיבה. לפי כץ, ייתכן שהסיבה לסיום המריבה הייתה פשוט נישואיו </w:t>
      </w:r>
      <w:proofErr w:type="spellStart"/>
      <w:r>
        <w:rPr>
          <w:rtl/>
        </w:rPr>
        <w:t>בתרס״ד</w:t>
      </w:r>
      <w:proofErr w:type="spellEnd"/>
      <w:r>
        <w:rPr>
          <w:rtl/>
        </w:rPr>
        <w:t xml:space="preserve"> של מתנגדו הראשי והמוכשר של הסבא. די היה בכך כדי לסלק מן הישיבה את ההתנגדות למוסר.</w:t>
      </w:r>
    </w:p>
    <w:p w14:paraId="6DB14A9A" w14:textId="77777777" w:rsidR="00AB3647" w:rsidRDefault="00000000" w:rsidP="007923E9">
      <w:pPr>
        <w:spacing w:after="120" w:line="276" w:lineRule="auto"/>
        <w:ind w:firstLine="283"/>
        <w:jc w:val="both"/>
      </w:pPr>
      <w:bookmarkStart w:id="3299" w:name="pr_b_1417"/>
      <w:bookmarkEnd w:id="3299"/>
      <w:r>
        <w:rPr>
          <w:rtl/>
        </w:rPr>
        <w:t xml:space="preserve">על בואו של ר׳ </w:t>
      </w:r>
      <w:proofErr w:type="spellStart"/>
      <w:r>
        <w:rPr>
          <w:rtl/>
        </w:rPr>
        <w:t>ישראל־זיסל</w:t>
      </w:r>
      <w:proofErr w:type="spellEnd"/>
      <w:r>
        <w:rPr>
          <w:rtl/>
        </w:rPr>
        <w:t xml:space="preserve"> </w:t>
      </w:r>
      <w:proofErr w:type="spellStart"/>
      <w:r>
        <w:rPr>
          <w:rtl/>
        </w:rPr>
        <w:t>דבורץ</w:t>
      </w:r>
      <w:proofErr w:type="spellEnd"/>
      <w:r>
        <w:rPr>
          <w:rtl/>
        </w:rPr>
        <w:t xml:space="preserve">, יליד </w:t>
      </w:r>
      <w:proofErr w:type="spellStart"/>
      <w:r>
        <w:rPr>
          <w:rtl/>
        </w:rPr>
        <w:t>דווינסק</w:t>
      </w:r>
      <w:proofErr w:type="spellEnd"/>
      <w:r>
        <w:rPr>
          <w:rtl/>
        </w:rPr>
        <w:t xml:space="preserve">, </w:t>
      </w:r>
      <w:proofErr w:type="spellStart"/>
      <w:r>
        <w:rPr>
          <w:rtl/>
        </w:rPr>
        <w:t>לסלבודקה</w:t>
      </w:r>
      <w:proofErr w:type="spellEnd"/>
      <w:r>
        <w:rPr>
          <w:rtl/>
        </w:rPr>
        <w:t xml:space="preserve"> סיפר נכדו ר׳ דוד ויסקי</w:t>
      </w:r>
      <w:bookmarkStart w:id="3300" w:name="_fnr2397"/>
      <w:r>
        <w:rPr>
          <w:rStyle w:val="a5"/>
        </w:rPr>
        <w:footnoteReference w:id="2404" w:customMarkFollows="0"/>
      </w:r>
      <w:bookmarkEnd w:id="3300"/>
      <w:r>
        <w:rPr>
          <w:rtl/>
        </w:rPr>
        <w:t xml:space="preserve"> ששמע מסבו שהיה עני מכדי לקנות זוג תפילין, והשתמש בתפילין של אביו. כשהחליט לנסוע ללמוד </w:t>
      </w:r>
      <w:proofErr w:type="spellStart"/>
      <w:r>
        <w:rPr>
          <w:rtl/>
        </w:rPr>
        <w:t>בסלבודקה</w:t>
      </w:r>
      <w:proofErr w:type="spellEnd"/>
      <w:r>
        <w:rPr>
          <w:rtl/>
        </w:rPr>
        <w:t xml:space="preserve"> – ושם היה על כל תלמיד להחזיק תפילין משלו, ולו מפני שכולם נדרשו להתפלל באותו מניין – נתנה לו </w:t>
      </w:r>
      <w:proofErr w:type="spellStart"/>
      <w:r>
        <w:rPr>
          <w:rtl/>
        </w:rPr>
        <w:t>אמו</w:t>
      </w:r>
      <w:proofErr w:type="spellEnd"/>
      <w:r>
        <w:rPr>
          <w:rtl/>
        </w:rPr>
        <w:t xml:space="preserve"> את כל הכסף שהצליחה לאסוף, תשעים </w:t>
      </w:r>
      <w:proofErr w:type="spellStart"/>
      <w:r>
        <w:rPr>
          <w:rtl/>
        </w:rPr>
        <w:t>קופיקות</w:t>
      </w:r>
      <w:proofErr w:type="spellEnd"/>
      <w:r>
        <w:rPr>
          <w:rtl/>
        </w:rPr>
        <w:t xml:space="preserve">. בכסף זה קנה זוג תפילין ישן, וביתרה נסע חלק מן הדרך לקובנה, עד לעיר שבה התגורר קרוב </w:t>
      </w:r>
      <w:r>
        <w:rPr>
          <w:rtl/>
        </w:rPr>
        <w:lastRenderedPageBreak/>
        <w:t>משפחה. שם נתן לו הקרוב, אוהב התורה, בשמחה את יתרת מחיר הנסיעה ברכבת עד למחוז חפצו.</w:t>
      </w:r>
    </w:p>
    <w:p w14:paraId="4587E5D0" w14:textId="77777777" w:rsidR="00AB3647" w:rsidRDefault="00000000" w:rsidP="007923E9">
      <w:pPr>
        <w:pStyle w:val="4"/>
        <w:spacing w:line="276" w:lineRule="auto"/>
      </w:pPr>
      <w:r>
        <w:t>· הפסקה הרביעית ·</w:t>
      </w:r>
    </w:p>
    <w:p w14:paraId="09883DC0" w14:textId="77777777" w:rsidR="00AB3647" w:rsidRDefault="00000000" w:rsidP="007923E9">
      <w:pPr>
        <w:pStyle w:val="5"/>
        <w:spacing w:line="276" w:lineRule="auto"/>
      </w:pPr>
      <w:r>
        <w:t xml:space="preserve">ר׳ </w:t>
      </w:r>
      <w:proofErr w:type="spellStart"/>
      <w:r>
        <w:t>ישראל־זיסל</w:t>
      </w:r>
      <w:proofErr w:type="spellEnd"/>
      <w:r>
        <w:t xml:space="preserve"> </w:t>
      </w:r>
      <w:proofErr w:type="spellStart"/>
      <w:r>
        <w:t>דבורץ</w:t>
      </w:r>
      <w:proofErr w:type="spellEnd"/>
      <w:r>
        <w:t xml:space="preserve"> עומד בראש ישיבה קטנה – הוא ממלא את מקומו של ר׳ מאיר פאם כרבה של קמאי</w:t>
      </w:r>
    </w:p>
    <w:p w14:paraId="4AB5926A" w14:textId="77777777" w:rsidR="00AB3647" w:rsidRDefault="00000000" w:rsidP="007923E9">
      <w:pPr>
        <w:spacing w:after="120" w:line="276" w:lineRule="auto"/>
        <w:ind w:firstLine="283"/>
        <w:jc w:val="both"/>
      </w:pPr>
      <w:r>
        <w:rPr>
          <w:rtl/>
        </w:rPr>
        <w:t xml:space="preserve">הקורא האמריקאי עשוי למצוא עניין מיוחד בפרשה מחייו של ר׳ </w:t>
      </w:r>
      <w:proofErr w:type="spellStart"/>
      <w:r>
        <w:rPr>
          <w:rtl/>
        </w:rPr>
        <w:t>ישראל־זיסל</w:t>
      </w:r>
      <w:proofErr w:type="spellEnd"/>
      <w:r>
        <w:rPr>
          <w:rtl/>
        </w:rPr>
        <w:t xml:space="preserve">, שסיפר לי בנו ר׳ </w:t>
      </w:r>
      <w:proofErr w:type="spellStart"/>
      <w:r>
        <w:rPr>
          <w:rtl/>
        </w:rPr>
        <w:t>שמעון־ראובן</w:t>
      </w:r>
      <w:proofErr w:type="spellEnd"/>
      <w:r>
        <w:rPr>
          <w:rtl/>
        </w:rPr>
        <w:t xml:space="preserve">, הנזכר לעיל. לאחר שעזב את תפקידו כמזכיר </w:t>
      </w:r>
      <w:proofErr w:type="spellStart"/>
      <w:r>
        <w:rPr>
          <w:rtl/>
        </w:rPr>
        <w:t>בסלבודקה</w:t>
      </w:r>
      <w:bookmarkStart w:id="3301" w:name="_fnr2398"/>
      <w:proofErr w:type="spellEnd"/>
      <w:r>
        <w:rPr>
          <w:rStyle w:val="a5"/>
        </w:rPr>
        <w:footnoteReference w:id="2405" w:customMarkFollows="0"/>
      </w:r>
      <w:bookmarkEnd w:id="3301"/>
      <w:r>
        <w:rPr>
          <w:rtl/>
        </w:rPr>
        <w:t xml:space="preserve">, עמד ר׳ </w:t>
      </w:r>
      <w:proofErr w:type="spellStart"/>
      <w:r>
        <w:rPr>
          <w:rtl/>
        </w:rPr>
        <w:t>ישראל־זיסל</w:t>
      </w:r>
      <w:proofErr w:type="spellEnd"/>
      <w:r>
        <w:rPr>
          <w:rtl/>
        </w:rPr>
        <w:t xml:space="preserve"> בראש ישיבה קטנה בעיר קמאי, שאחי אשתו, ר׳ אליעזר לופט</w:t>
      </w:r>
      <w:bookmarkStart w:id="3302" w:name="_fnr2399"/>
      <w:r>
        <w:rPr>
          <w:rStyle w:val="a5"/>
        </w:rPr>
        <w:footnoteReference w:id="2406" w:customMarkFollows="0"/>
      </w:r>
      <w:bookmarkEnd w:id="3302"/>
      <w:r>
        <w:rPr>
          <w:rtl/>
        </w:rPr>
        <w:t xml:space="preserve">, היה אז רבה. זמן קצר לפני מלחמת העולם נתמנה ר׳ אליעזר לופט לרבה של </w:t>
      </w:r>
      <w:proofErr w:type="spellStart"/>
      <w:r>
        <w:rPr>
          <w:rtl/>
        </w:rPr>
        <w:t>ריבינישיק</w:t>
      </w:r>
      <w:proofErr w:type="spellEnd"/>
      <w:r>
        <w:rPr>
          <w:rtl/>
        </w:rPr>
        <w:t xml:space="preserve"> שבלטביה. במצב כזה היה מקובל למנות במקומו את ר׳ </w:t>
      </w:r>
      <w:proofErr w:type="spellStart"/>
      <w:r>
        <w:rPr>
          <w:rtl/>
        </w:rPr>
        <w:t>ישראל־זיסל</w:t>
      </w:r>
      <w:bookmarkStart w:id="3303" w:name="_fnr2400"/>
      <w:proofErr w:type="spellEnd"/>
      <w:r>
        <w:rPr>
          <w:rStyle w:val="a5"/>
        </w:rPr>
        <w:footnoteReference w:id="2407" w:customMarkFollows="0"/>
      </w:r>
      <w:bookmarkEnd w:id="3303"/>
      <w:r>
        <w:rPr>
          <w:rtl/>
        </w:rPr>
        <w:t xml:space="preserve">, ובייחוד שראש ישיבתו, ר׳ </w:t>
      </w:r>
      <w:proofErr w:type="spellStart"/>
      <w:r>
        <w:rPr>
          <w:rtl/>
        </w:rPr>
        <w:t>משה־מרדכי</w:t>
      </w:r>
      <w:proofErr w:type="spellEnd"/>
      <w:r>
        <w:rPr>
          <w:rtl/>
        </w:rPr>
        <w:t xml:space="preserve"> אפשטיין, שכבר היה אז רבה של </w:t>
      </w:r>
      <w:proofErr w:type="spellStart"/>
      <w:r>
        <w:rPr>
          <w:rtl/>
        </w:rPr>
        <w:t>סלבודקה</w:t>
      </w:r>
      <w:proofErr w:type="spellEnd"/>
      <w:r>
        <w:rPr>
          <w:rtl/>
        </w:rPr>
        <w:t>, כתב אף הוא לבני העיר והמליץ עליו למשרה.</w:t>
      </w:r>
    </w:p>
    <w:p w14:paraId="32BED808" w14:textId="77777777" w:rsidR="00AB3647" w:rsidRDefault="00000000" w:rsidP="007923E9">
      <w:pPr>
        <w:spacing w:after="120" w:line="276" w:lineRule="auto"/>
        <w:ind w:firstLine="283"/>
        <w:jc w:val="both"/>
      </w:pPr>
      <w:r>
        <w:rPr>
          <w:rtl/>
        </w:rPr>
        <w:t xml:space="preserve">אבל אנשי קמאי חשדו שר׳ אליעזר לופט עזב אותם רק כדי לפנות משרה לגיסו, והחליטו לקבל לרב כל אדם פרט </w:t>
      </w:r>
      <w:proofErr w:type="spellStart"/>
      <w:r>
        <w:rPr>
          <w:rtl/>
        </w:rPr>
        <w:t>לר</w:t>
      </w:r>
      <w:proofErr w:type="spellEnd"/>
      <w:r>
        <w:rPr>
          <w:rtl/>
        </w:rPr>
        <w:t xml:space="preserve">׳ </w:t>
      </w:r>
      <w:proofErr w:type="spellStart"/>
      <w:r>
        <w:rPr>
          <w:rtl/>
        </w:rPr>
        <w:t>ישראל־זיסל</w:t>
      </w:r>
      <w:proofErr w:type="spellEnd"/>
      <w:r>
        <w:rPr>
          <w:rtl/>
        </w:rPr>
        <w:t xml:space="preserve"> </w:t>
      </w:r>
      <w:proofErr w:type="spellStart"/>
      <w:r>
        <w:rPr>
          <w:rtl/>
        </w:rPr>
        <w:t>דבורץ</w:t>
      </w:r>
      <w:proofErr w:type="spellEnd"/>
      <w:r>
        <w:rPr>
          <w:rtl/>
        </w:rPr>
        <w:t xml:space="preserve">. הם קיבלו במקומו את ר׳ מאיר פאם, אביו של ר׳ אברהם פאם, לימים ראש ישיבת תורה ודעת. ר׳ </w:t>
      </w:r>
      <w:proofErr w:type="spellStart"/>
      <w:r>
        <w:rPr>
          <w:rtl/>
        </w:rPr>
        <w:t>ישראל־זיסל</w:t>
      </w:r>
      <w:proofErr w:type="spellEnd"/>
      <w:r>
        <w:rPr>
          <w:rtl/>
        </w:rPr>
        <w:t>, בעל מוסר שחשש שהרב החדש לא ירגיש בנוח בנוכחותו בעיר, הרבה לבקר אצל ר׳ מאיר פאם, והשניים נעשו ידידים קרובים מאוד.</w:t>
      </w:r>
    </w:p>
    <w:p w14:paraId="5E72777B" w14:textId="77777777" w:rsidR="00AB3647" w:rsidRDefault="00000000" w:rsidP="007923E9">
      <w:pPr>
        <w:spacing w:after="120" w:line="276" w:lineRule="auto"/>
        <w:ind w:firstLine="283"/>
        <w:jc w:val="both"/>
      </w:pPr>
      <w:proofErr w:type="spellStart"/>
      <w:r>
        <w:rPr>
          <w:rtl/>
        </w:rPr>
        <w:t>בתרע״ו</w:t>
      </w:r>
      <w:proofErr w:type="spellEnd"/>
      <w:r>
        <w:rPr>
          <w:rtl/>
        </w:rPr>
        <w:t xml:space="preserve"> סייע ר׳ מאיר </w:t>
      </w:r>
      <w:proofErr w:type="spellStart"/>
      <w:r>
        <w:rPr>
          <w:rtl/>
        </w:rPr>
        <w:t>לר</w:t>
      </w:r>
      <w:proofErr w:type="spellEnd"/>
      <w:r>
        <w:rPr>
          <w:rtl/>
        </w:rPr>
        <w:t xml:space="preserve">׳ </w:t>
      </w:r>
      <w:proofErr w:type="spellStart"/>
      <w:r>
        <w:rPr>
          <w:rtl/>
        </w:rPr>
        <w:t>ישראל־זיסל</w:t>
      </w:r>
      <w:proofErr w:type="spellEnd"/>
      <w:r>
        <w:rPr>
          <w:rtl/>
        </w:rPr>
        <w:t xml:space="preserve"> לקבל את משרת הרבנות ביוד, עיר שיהודים עברו אליה רק זמן קצר קודם לכן, מפני שלפני כן הייתה מחוץ לתחום המושב. ר׳ </w:t>
      </w:r>
      <w:proofErr w:type="spellStart"/>
      <w:r>
        <w:rPr>
          <w:rtl/>
        </w:rPr>
        <w:t>ישראל־זיסל</w:t>
      </w:r>
      <w:proofErr w:type="spellEnd"/>
      <w:r>
        <w:rPr>
          <w:rtl/>
        </w:rPr>
        <w:t xml:space="preserve"> לא נשאר בה זמן רב, משום שהקומוניסטים אילצו אותו לפנותה; גם ר׳ מאיר עזב את קמאי כשחזית המלחמה התקרבה אליה. לאחר המלחמה נעשה ר׳ מאיר רבה של </w:t>
      </w:r>
      <w:proofErr w:type="spellStart"/>
      <w:r>
        <w:rPr>
          <w:rtl/>
        </w:rPr>
        <w:t>סאלאק</w:t>
      </w:r>
      <w:proofErr w:type="spellEnd"/>
      <w:r>
        <w:rPr>
          <w:rtl/>
        </w:rPr>
        <w:t xml:space="preserve">, ולבסוף עבר לארצות הברית </w:t>
      </w:r>
      <w:proofErr w:type="spellStart"/>
      <w:r>
        <w:rPr>
          <w:rtl/>
        </w:rPr>
        <w:t>בתרפ״ד</w:t>
      </w:r>
      <w:proofErr w:type="spellEnd"/>
      <w:r>
        <w:rPr>
          <w:rtl/>
        </w:rPr>
        <w:t xml:space="preserve"> כדי לשמש ר״מ בכיר בישיבת חיים ברלין שבברוקלין. לאחר המלחמה, </w:t>
      </w:r>
      <w:proofErr w:type="spellStart"/>
      <w:r>
        <w:rPr>
          <w:rtl/>
        </w:rPr>
        <w:t>בתרפ״א</w:t>
      </w:r>
      <w:proofErr w:type="spellEnd"/>
      <w:r>
        <w:rPr>
          <w:rtl/>
        </w:rPr>
        <w:t xml:space="preserve">, שינו אנשי קמאי את דעתם והזמינו את ר׳ </w:t>
      </w:r>
      <w:proofErr w:type="spellStart"/>
      <w:r>
        <w:rPr>
          <w:rtl/>
        </w:rPr>
        <w:t>ישראל־זיסל</w:t>
      </w:r>
      <w:proofErr w:type="spellEnd"/>
      <w:r>
        <w:rPr>
          <w:rtl/>
        </w:rPr>
        <w:t xml:space="preserve"> </w:t>
      </w:r>
      <w:proofErr w:type="spellStart"/>
      <w:r>
        <w:rPr>
          <w:rtl/>
        </w:rPr>
        <w:t>דבורץ</w:t>
      </w:r>
      <w:proofErr w:type="spellEnd"/>
      <w:r>
        <w:rPr>
          <w:rtl/>
        </w:rPr>
        <w:t xml:space="preserve"> להיות רבם</w:t>
      </w:r>
      <w:bookmarkStart w:id="3304" w:name="_fnr2401"/>
      <w:r>
        <w:rPr>
          <w:rStyle w:val="a5"/>
        </w:rPr>
        <w:footnoteReference w:id="2408" w:customMarkFollows="0"/>
      </w:r>
      <w:bookmarkEnd w:id="3304"/>
      <w:r>
        <w:rPr>
          <w:rtl/>
        </w:rPr>
        <w:t>.</w:t>
      </w:r>
    </w:p>
    <w:p w14:paraId="685E9BF2" w14:textId="77777777" w:rsidR="00AB3647" w:rsidRDefault="00000000" w:rsidP="007923E9">
      <w:pPr>
        <w:pStyle w:val="4"/>
        <w:spacing w:line="276" w:lineRule="auto"/>
      </w:pPr>
      <w:r>
        <w:lastRenderedPageBreak/>
        <w:t>· הפסקה החמישית ·</w:t>
      </w:r>
    </w:p>
    <w:p w14:paraId="10919332" w14:textId="77777777" w:rsidR="00AB3647" w:rsidRDefault="00000000" w:rsidP="007923E9">
      <w:pPr>
        <w:pStyle w:val="5"/>
        <w:spacing w:line="276" w:lineRule="auto"/>
      </w:pPr>
      <w:r>
        <w:t>ביזוי המוסר גורם לסבא לפרוש מן הישיבה – הספרים שחוללו זוכים להספדים ואלפים מלווים אותם לקבורה</w:t>
      </w:r>
    </w:p>
    <w:p w14:paraId="3BC89771" w14:textId="77777777" w:rsidR="00AB3647" w:rsidRDefault="00000000" w:rsidP="007923E9">
      <w:pPr>
        <w:spacing w:after="120" w:line="276" w:lineRule="auto"/>
        <w:ind w:firstLine="283"/>
        <w:jc w:val="both"/>
      </w:pPr>
      <w:proofErr w:type="spellStart"/>
      <w:r>
        <w:rPr>
          <w:rtl/>
        </w:rPr>
        <w:t>דבורץ</w:t>
      </w:r>
      <w:proofErr w:type="spellEnd"/>
      <w:r>
        <w:rPr>
          <w:rtl/>
        </w:rPr>
        <w:t>, “הגאון רבי משה מרדכי אפשטיין”</w:t>
      </w:r>
      <w:bookmarkStart w:id="3305" w:name="_fnr2402"/>
      <w:r>
        <w:rPr>
          <w:rStyle w:val="a5"/>
        </w:rPr>
        <w:footnoteReference w:id="2409" w:customMarkFollows="0"/>
      </w:r>
      <w:bookmarkEnd w:id="3305"/>
      <w:r>
        <w:rPr>
          <w:rtl/>
        </w:rPr>
        <w:t>, מספר: “[לאחר שהשליכו ספרי מוסר לבית הכיסא</w:t>
      </w:r>
      <w:bookmarkStart w:id="3306" w:name="_fnr2403"/>
      <w:r>
        <w:rPr>
          <w:rStyle w:val="a5"/>
        </w:rPr>
        <w:footnoteReference w:id="2410" w:customMarkFollows="0"/>
      </w:r>
      <w:bookmarkEnd w:id="3306"/>
      <w:r>
        <w:rPr>
          <w:rtl/>
        </w:rPr>
        <w:t xml:space="preserve">], חדל הסבא מביקוריו היומיים בישיבה וקבע את ביתו הפרטי כמקומו הקבוע. שם מסר את השיחות </w:t>
      </w:r>
      <w:proofErr w:type="spellStart"/>
      <w:r>
        <w:rPr>
          <w:rtl/>
        </w:rPr>
        <w:t>לנאמניו</w:t>
      </w:r>
      <w:proofErr w:type="spellEnd"/>
      <w:r>
        <w:rPr>
          <w:rtl/>
        </w:rPr>
        <w:t xml:space="preserve">, ושם קיים מניין לתפילה... בעלי המוסר העיקריים שבישיבה שתו בצמא את דבריו [שם], ואחד מבעלי המוסר הוותיקים סיפר לי שבאותה תקופה הגיעו התלמידים הקרובים לסבא, באמצעות שיחותיו וטיפולו בהם, למדרגות הנשגבות ביותר במוסר, עד למעלה </w:t>
      </w:r>
      <w:proofErr w:type="spellStart"/>
      <w:r>
        <w:rPr>
          <w:rtl/>
        </w:rPr>
        <w:t>שסלבודקה</w:t>
      </w:r>
      <w:proofErr w:type="spellEnd"/>
      <w:r>
        <w:rPr>
          <w:rtl/>
        </w:rPr>
        <w:t xml:space="preserve"> לא הגיעה אליה מיום </w:t>
      </w:r>
      <w:proofErr w:type="spellStart"/>
      <w:r>
        <w:rPr>
          <w:rtl/>
        </w:rPr>
        <w:t>היווסדה</w:t>
      </w:r>
      <w:proofErr w:type="spellEnd"/>
      <w:r>
        <w:rPr>
          <w:rtl/>
        </w:rPr>
        <w:t>.”</w:t>
      </w:r>
    </w:p>
    <w:p w14:paraId="19669F52" w14:textId="77777777" w:rsidR="00AB3647" w:rsidRDefault="00000000" w:rsidP="007923E9">
      <w:pPr>
        <w:spacing w:after="120" w:line="276" w:lineRule="auto"/>
        <w:ind w:firstLine="283"/>
        <w:jc w:val="both"/>
      </w:pPr>
      <w:bookmarkStart w:id="3307" w:name="pr_b_1425"/>
      <w:bookmarkEnd w:id="3307"/>
      <w:r>
        <w:rPr>
          <w:rtl/>
        </w:rPr>
        <w:t>עוד מסופר שם</w:t>
      </w:r>
      <w:bookmarkStart w:id="3308" w:name="_fnr2404"/>
      <w:r>
        <w:rPr>
          <w:rStyle w:val="a5"/>
        </w:rPr>
        <w:footnoteReference w:id="2411" w:customMarkFollows="0"/>
      </w:r>
      <w:bookmarkEnd w:id="3308"/>
      <w:r>
        <w:rPr>
          <w:rtl/>
        </w:rPr>
        <w:t xml:space="preserve"> ש־25,000 מתושבי קובנה </w:t>
      </w:r>
      <w:proofErr w:type="spellStart"/>
      <w:r>
        <w:rPr>
          <w:rtl/>
        </w:rPr>
        <w:t>וסלבודקה</w:t>
      </w:r>
      <w:proofErr w:type="spellEnd"/>
      <w:r>
        <w:rPr>
          <w:rtl/>
        </w:rPr>
        <w:t xml:space="preserve"> ליוו את הספרים שחוללו לקבורתם המכובדת. כץ, “תנועת המוסר”, כרך ג</w:t>
      </w:r>
      <w:bookmarkStart w:id="3309" w:name="_fnr2405"/>
      <w:r>
        <w:rPr>
          <w:rStyle w:val="a5"/>
        </w:rPr>
        <w:footnoteReference w:id="2412" w:customMarkFollows="0"/>
      </w:r>
      <w:bookmarkEnd w:id="3309"/>
      <w:r>
        <w:rPr>
          <w:rtl/>
        </w:rPr>
        <w:t xml:space="preserve">, ממעיט בהיקף החרטה של הציבור, שכן הוא מציין רק </w:t>
      </w:r>
      <w:proofErr w:type="spellStart"/>
      <w:r>
        <w:rPr>
          <w:rtl/>
        </w:rPr>
        <w:t>ש“אלפים</w:t>
      </w:r>
      <w:proofErr w:type="spellEnd"/>
      <w:r>
        <w:rPr>
          <w:rtl/>
        </w:rPr>
        <w:t xml:space="preserve">” השתתפו, בלי לנקוב במספרם; אבל הוא מתאר את טקס הקבורה כמרשים יותר כשהוא מספר שהספידו שם “גדולי תורה ובהם [רבה של </w:t>
      </w:r>
      <w:proofErr w:type="spellStart"/>
      <w:r>
        <w:rPr>
          <w:rtl/>
        </w:rPr>
        <w:t>סלבודקה</w:t>
      </w:r>
      <w:proofErr w:type="spellEnd"/>
      <w:r>
        <w:rPr>
          <w:rtl/>
        </w:rPr>
        <w:t xml:space="preserve">] ר׳ משה </w:t>
      </w:r>
      <w:proofErr w:type="spellStart"/>
      <w:r>
        <w:rPr>
          <w:rtl/>
        </w:rPr>
        <w:t>דנישבסקי</w:t>
      </w:r>
      <w:proofErr w:type="spellEnd"/>
      <w:r>
        <w:rPr>
          <w:rtl/>
        </w:rPr>
        <w:t xml:space="preserve">”. במאמרו של </w:t>
      </w:r>
      <w:proofErr w:type="spellStart"/>
      <w:r>
        <w:rPr>
          <w:rtl/>
        </w:rPr>
        <w:t>הירש־לייב</w:t>
      </w:r>
      <w:proofErr w:type="spellEnd"/>
      <w:r>
        <w:rPr>
          <w:rtl/>
        </w:rPr>
        <w:t xml:space="preserve"> גורדון “על גדות </w:t>
      </w:r>
      <w:proofErr w:type="spellStart"/>
      <w:r>
        <w:rPr>
          <w:rtl/>
        </w:rPr>
        <w:t>הוויליה</w:t>
      </w:r>
      <w:proofErr w:type="spellEnd"/>
      <w:r>
        <w:rPr>
          <w:rtl/>
        </w:rPr>
        <w:t xml:space="preserve"> </w:t>
      </w:r>
      <w:proofErr w:type="spellStart"/>
      <w:r>
        <w:rPr>
          <w:rtl/>
        </w:rPr>
        <w:t>והנימן</w:t>
      </w:r>
      <w:proofErr w:type="spellEnd"/>
      <w:r>
        <w:rPr>
          <w:rtl/>
        </w:rPr>
        <w:t xml:space="preserve">” </w:t>
      </w:r>
      <w:proofErr w:type="spellStart"/>
      <w:r>
        <w:rPr>
          <w:rtl/>
        </w:rPr>
        <w:t>ב“הדואר</w:t>
      </w:r>
      <w:proofErr w:type="spellEnd"/>
      <w:r>
        <w:rPr>
          <w:rtl/>
        </w:rPr>
        <w:t>”</w:t>
      </w:r>
      <w:bookmarkStart w:id="3310" w:name="_fnr2406"/>
      <w:r>
        <w:rPr>
          <w:rStyle w:val="a5"/>
        </w:rPr>
        <w:footnoteReference w:id="2413" w:customMarkFollows="0"/>
      </w:r>
      <w:bookmarkEnd w:id="3310"/>
      <w:r>
        <w:rPr>
          <w:rtl/>
        </w:rPr>
        <w:t xml:space="preserve"> נזכרים שני מספידים נוספים, “שעמדו על הבימה הגבוהה שהוקמה במיוחד באמצע המגרש שלפני בית המדרש הישן [שבו שכנה כנסת בית יצחק!]”: ר׳ </w:t>
      </w:r>
      <w:proofErr w:type="spellStart"/>
      <w:r>
        <w:rPr>
          <w:rtl/>
        </w:rPr>
        <w:t>משה־מרדכי</w:t>
      </w:r>
      <w:proofErr w:type="spellEnd"/>
      <w:r>
        <w:rPr>
          <w:rtl/>
        </w:rPr>
        <w:t xml:space="preserve"> אפשטיין ו[דמות שנראית דמיונית, שצייר הכותב המתנגד למוסר,] “</w:t>
      </w:r>
      <w:proofErr w:type="spellStart"/>
      <w:r>
        <w:rPr>
          <w:rtl/>
        </w:rPr>
        <w:t>יענקל</w:t>
      </w:r>
      <w:proofErr w:type="spellEnd"/>
      <w:r>
        <w:rPr>
          <w:rtl/>
        </w:rPr>
        <w:t xml:space="preserve"> הפרוש, שהיה עטור טלית ותפילין, ללא נעליים, וקרא בקול בלי הפסק מתוך גמרא פתוחה שהחזיק בידיו”.</w:t>
      </w:r>
    </w:p>
    <w:bookmarkStart w:id="3311" w:name="b3_excU"/>
    <w:p w14:paraId="10FADB64" w14:textId="77777777" w:rsidR="00AB3647" w:rsidRDefault="00000000" w:rsidP="007923E9">
      <w:pPr>
        <w:pStyle w:val="3"/>
        <w:spacing w:line="276" w:lineRule="auto"/>
      </w:pPr>
      <w:r>
        <w:lastRenderedPageBreak/>
        <w:fldChar w:fldCharType="begin" w:dirty="true"/>
      </w:r>
      <w:r>
        <w:rPr>
          <w:rtl w:val="0"/>
        </w:rPr>
        <w:instrText>HYPERLINK \l "b3_note62</w:instrText>
      </w:r>
      <w:r>
        <w:instrText>"</w:instrText>
      </w:r>
      <w:r>
        <w:fldChar w:fldCharType="separate"/>
      </w:r>
      <w:r>
        <w:t xml:space="preserve">נספח </w:t>
      </w:r>
      <w:proofErr w:type="spellStart"/>
      <w:r>
        <w:t>כא</w:t>
      </w:r>
      <w:proofErr w:type="spellEnd"/>
      <w:r>
        <w:fldChar w:fldCharType="end"/>
      </w:r>
      <w:bookmarkEnd w:id="3311"/>
    </w:p>
    <w:p w14:paraId="02BF5390" w14:textId="77777777" w:rsidR="00AB3647" w:rsidRDefault="00000000" w:rsidP="007923E9">
      <w:pPr>
        <w:pStyle w:val="af"/>
        <w:spacing w:line="276" w:lineRule="auto"/>
      </w:pPr>
      <w:r>
        <w:t>על המאבקים למען המוסר</w:t>
      </w:r>
    </w:p>
    <w:p w14:paraId="00F572B0" w14:textId="77777777" w:rsidR="00AB3647" w:rsidRDefault="00000000" w:rsidP="007923E9">
      <w:pPr>
        <w:pStyle w:val="4"/>
        <w:spacing w:line="276" w:lineRule="auto"/>
      </w:pPr>
      <w:r>
        <w:t>· הפסקה הראשונה ·</w:t>
      </w:r>
    </w:p>
    <w:p w14:paraId="633D8655" w14:textId="77777777" w:rsidR="00AB3647" w:rsidRDefault="00000000" w:rsidP="007923E9">
      <w:pPr>
        <w:pStyle w:val="5"/>
        <w:spacing w:line="276" w:lineRule="auto"/>
      </w:pPr>
      <w:r>
        <w:t>האווירה הסוציאליסטית השלטת משפיעה על תוכן שיחותיו של הסבא</w:t>
      </w:r>
    </w:p>
    <w:p w14:paraId="4A5744C9" w14:textId="77777777" w:rsidR="00AB3647" w:rsidRDefault="00000000" w:rsidP="007923E9">
      <w:pPr>
        <w:spacing w:after="120" w:line="276" w:lineRule="auto"/>
        <w:ind w:firstLine="283"/>
        <w:jc w:val="both"/>
      </w:pPr>
      <w:r>
        <w:rPr>
          <w:rtl/>
        </w:rPr>
        <w:t>כץ, “תנועת המוסר”, כרך ג</w:t>
      </w:r>
      <w:bookmarkStart w:id="3312" w:name="_fnr2407"/>
      <w:r>
        <w:rPr>
          <w:rStyle w:val="a5"/>
        </w:rPr>
        <w:footnoteReference w:id="2414" w:customMarkFollows="0"/>
      </w:r>
      <w:bookmarkEnd w:id="3312"/>
      <w:r>
        <w:rPr>
          <w:rtl/>
        </w:rPr>
        <w:t xml:space="preserve">, מציין </w:t>
      </w:r>
      <w:proofErr w:type="spellStart"/>
      <w:r>
        <w:rPr>
          <w:rtl/>
        </w:rPr>
        <w:t>ש“בעקבות</w:t>
      </w:r>
      <w:proofErr w:type="spellEnd"/>
      <w:r>
        <w:rPr>
          <w:rtl/>
        </w:rPr>
        <w:t xml:space="preserve"> אירועים אלה [הקשורים למהפכה הסוציאליסטית] שינה ר׳ </w:t>
      </w:r>
      <w:proofErr w:type="spellStart"/>
      <w:r>
        <w:rPr>
          <w:rtl/>
        </w:rPr>
        <w:t>נתן־צבי</w:t>
      </w:r>
      <w:proofErr w:type="spellEnd"/>
      <w:r>
        <w:rPr>
          <w:rtl/>
        </w:rPr>
        <w:t xml:space="preserve"> את שיטותיו החינוכיות שינוי קיצוני”, אבל אינו מציין את הקשר המתבקש לטרגדיה האישית של הסבא, שאיבד את בנו הצעיר, </w:t>
      </w:r>
      <w:proofErr w:type="spellStart"/>
      <w:r>
        <w:rPr>
          <w:rtl/>
        </w:rPr>
        <w:t>רובעל׳ה</w:t>
      </w:r>
      <w:proofErr w:type="spellEnd"/>
      <w:r>
        <w:rPr>
          <w:rtl/>
        </w:rPr>
        <w:t>, שנסחף אחר המהפכנים. כץ</w:t>
      </w:r>
      <w:bookmarkStart w:id="3313" w:name="_fnr2408"/>
      <w:r>
        <w:rPr>
          <w:rStyle w:val="a5"/>
        </w:rPr>
        <w:footnoteReference w:id="2415" w:customMarkFollows="0"/>
      </w:r>
      <w:bookmarkEnd w:id="3313"/>
      <w:r>
        <w:rPr>
          <w:rtl/>
        </w:rPr>
        <w:t xml:space="preserve"> מסביר את השינוי בכך שלאחר כישלון המרד הסוציאליסטי שוב לא עמדו לפני התלמידים מטרות אידאולוגיות נעלות – מוטעות ככל שהיו – כמו לפני בני הדורות הקודמים, אלא הם נמשכו רק לנוחות הגופנית ולמותרות שהציעה החברה המודרנית. ההתמודדות הקודמת חייבה להצביע על חולשותיהם הטבועות של בני האדם ועל חוסר התוחלת שבבניית אידאולוגיות מעשה ידי אדם, ואילו ההתמודדות החדשה חייבה שהיחיד יכיר בערכים הנעלים יותר שמייצגת הרוחניות.</w:t>
      </w:r>
    </w:p>
    <w:p w14:paraId="10F6BEEB" w14:textId="77777777" w:rsidR="00AB3647" w:rsidRDefault="00000000" w:rsidP="007923E9">
      <w:pPr>
        <w:spacing w:after="120" w:line="276" w:lineRule="auto"/>
        <w:ind w:firstLine="283"/>
        <w:jc w:val="both"/>
      </w:pPr>
      <w:r>
        <w:rPr>
          <w:rtl/>
        </w:rPr>
        <w:t xml:space="preserve">גם </w:t>
      </w:r>
      <w:proofErr w:type="spellStart"/>
      <w:r>
        <w:rPr>
          <w:rtl/>
        </w:rPr>
        <w:t>דבורץ</w:t>
      </w:r>
      <w:proofErr w:type="spellEnd"/>
      <w:r>
        <w:rPr>
          <w:rtl/>
        </w:rPr>
        <w:t>, “הגאון רבי משה מרדכי אפשטיין”</w:t>
      </w:r>
      <w:bookmarkStart w:id="3314" w:name="_fnr2409"/>
      <w:r>
        <w:rPr>
          <w:rStyle w:val="a5"/>
        </w:rPr>
        <w:footnoteReference w:id="2416" w:customMarkFollows="0"/>
      </w:r>
      <w:bookmarkEnd w:id="3314"/>
      <w:r>
        <w:rPr>
          <w:rtl/>
        </w:rPr>
        <w:t xml:space="preserve">, טוען ש“[הסבא] הכניס שינויים חשובים בדרכי התנהגותו ובסגנונו ובנושאי שיחותיו”, אבל הוא קושר את המפנה לא לכישלונו החברתי של המרד, אלא להפך – </w:t>
      </w:r>
      <w:proofErr w:type="spellStart"/>
      <w:r>
        <w:rPr>
          <w:rtl/>
        </w:rPr>
        <w:t>ל“ניצחונות</w:t>
      </w:r>
      <w:proofErr w:type="spellEnd"/>
      <w:r>
        <w:rPr>
          <w:rtl/>
        </w:rPr>
        <w:t>” האידאולוגיים שהצליח “להשיג”: “המוסר נדרש להשיב על אידאולוגיה חדשה, שהורידה את האנושות לדרגת הקוף... ולהתנגד לטיפוח האכזריות והנקמה שלה כלפי כל החולקים עליה.”</w:t>
      </w:r>
    </w:p>
    <w:p w14:paraId="6507066D" w14:textId="283C7333" w:rsidR="00AB3647" w:rsidRDefault="00000000" w:rsidP="007923E9">
      <w:pPr>
        <w:spacing w:after="120" w:line="276" w:lineRule="auto"/>
        <w:ind w:firstLine="283"/>
        <w:jc w:val="both"/>
      </w:pPr>
      <w:r>
        <w:rPr>
          <w:rtl/>
        </w:rPr>
        <w:t xml:space="preserve">בהתאם להשקפתו שהשינויים התחוללו לאחר שהועברו התלמידים הבכירים </w:t>
      </w:r>
      <w:proofErr w:type="spellStart"/>
      <w:r>
        <w:rPr>
          <w:rtl/>
        </w:rPr>
        <w:t>לטלז</w:t>
      </w:r>
      <w:bookmarkStart w:id="3315" w:name="_fnr2410"/>
      <w:proofErr w:type="spellEnd"/>
      <w:r>
        <w:rPr>
          <w:rStyle w:val="a5"/>
        </w:rPr>
        <w:footnoteReference w:id="2417" w:customMarkFollows="0"/>
      </w:r>
      <w:bookmarkEnd w:id="3315"/>
      <w:r>
        <w:rPr>
          <w:rtl/>
        </w:rPr>
        <w:t xml:space="preserve">, טוען </w:t>
      </w:r>
      <w:proofErr w:type="spellStart"/>
      <w:r>
        <w:rPr>
          <w:rtl/>
        </w:rPr>
        <w:t>דבורץ</w:t>
      </w:r>
      <w:proofErr w:type="spellEnd"/>
      <w:r>
        <w:rPr>
          <w:rtl/>
        </w:rPr>
        <w:t>, “הגאון רבי משה מרדכי אפשטיין”</w:t>
      </w:r>
      <w:bookmarkStart w:id="3316" w:name="_fnr2411"/>
      <w:r>
        <w:rPr>
          <w:rStyle w:val="a5"/>
        </w:rPr>
        <w:footnoteReference w:id="2418" w:customMarkFollows="0"/>
      </w:r>
      <w:bookmarkEnd w:id="3316"/>
      <w:r>
        <w:rPr>
          <w:rtl/>
        </w:rPr>
        <w:t xml:space="preserve">, גם </w:t>
      </w:r>
      <w:proofErr w:type="spellStart"/>
      <w:r>
        <w:rPr>
          <w:rtl/>
        </w:rPr>
        <w:t>ש“היעדרותם</w:t>
      </w:r>
      <w:proofErr w:type="spellEnd"/>
      <w:r>
        <w:rPr>
          <w:rtl/>
        </w:rPr>
        <w:t xml:space="preserve"> [של תלמידים ותיקים אלה] מן הישיבה </w:t>
      </w:r>
      <w:r>
        <w:rPr>
          <w:b/>
          <w:bCs/>
          <w:rtl/>
        </w:rPr>
        <w:t>סללה את הדרך</w:t>
      </w:r>
      <w:r>
        <w:rPr>
          <w:rtl/>
        </w:rPr>
        <w:t xml:space="preserve"> לסבא </w:t>
      </w:r>
      <w:proofErr w:type="spellStart"/>
      <w:r>
        <w:rPr>
          <w:rtl/>
        </w:rPr>
        <w:t>מסלבודקה</w:t>
      </w:r>
      <w:proofErr w:type="spellEnd"/>
      <w:r>
        <w:rPr>
          <w:rtl/>
        </w:rPr>
        <w:t xml:space="preserve"> </w:t>
      </w:r>
      <w:proofErr w:type="spellStart"/>
      <w:r>
        <w:rPr>
          <w:rtl/>
        </w:rPr>
        <w:t>ול</w:t>
      </w:r>
      <w:proofErr w:type="spellEnd"/>
      <w:r>
        <w:rPr>
          <w:rtl/>
        </w:rPr>
        <w:t xml:space="preserve">[תלמידים] שמילאו את מקומם </w:t>
      </w:r>
      <w:proofErr w:type="spellStart"/>
      <w:r>
        <w:rPr>
          <w:rtl/>
        </w:rPr>
        <w:t>בסלבודקה</w:t>
      </w:r>
      <w:proofErr w:type="spellEnd"/>
      <w:r>
        <w:rPr>
          <w:rtl/>
        </w:rPr>
        <w:t xml:space="preserve"> להכניס שינויים בהנהגת הישיבה, בסגנון השיחות ובתוכנן, וכן </w:t>
      </w:r>
      <w:r>
        <w:rPr>
          <w:b/>
          <w:bCs/>
          <w:rtl/>
        </w:rPr>
        <w:t>בדרכי לימוד התלמוד</w:t>
      </w:r>
      <w:r>
        <w:rPr>
          <w:rtl/>
        </w:rPr>
        <w:t xml:space="preserve"> (ההדגשות שלי</w:t>
      </w:r>
      <w:bookmarkStart w:id="3317" w:name="_fnr2412"/>
      <w:r>
        <w:rPr>
          <w:rStyle w:val="a5"/>
        </w:rPr>
        <w:footnoteReference w:id="2419" w:customMarkFollows="0"/>
      </w:r>
      <w:bookmarkEnd w:id="3317"/>
      <w:r>
        <w:rPr>
          <w:rtl/>
        </w:rPr>
        <w:t xml:space="preserve">). אם קודם לכן שררו </w:t>
      </w:r>
      <w:proofErr w:type="spellStart"/>
      <w:r>
        <w:rPr>
          <w:rtl/>
        </w:rPr>
        <w:t>בסלבודקה</w:t>
      </w:r>
      <w:proofErr w:type="spellEnd"/>
      <w:r>
        <w:rPr>
          <w:rtl/>
        </w:rPr>
        <w:t xml:space="preserve"> כיוונים שונים בדרכי הלימוד, מעתה ואילך שלטו שיטתו של ר׳ </w:t>
      </w:r>
      <w:proofErr w:type="spellStart"/>
      <w:r>
        <w:rPr>
          <w:rtl/>
        </w:rPr>
        <w:t>משה־מרדכי</w:t>
      </w:r>
      <w:proofErr w:type="spellEnd"/>
      <w:r>
        <w:rPr>
          <w:rtl/>
        </w:rPr>
        <w:t xml:space="preserve"> בתלמוד ושיטת ההתבוננות של ר׳ </w:t>
      </w:r>
      <w:proofErr w:type="spellStart"/>
      <w:r>
        <w:rPr>
          <w:rtl/>
        </w:rPr>
        <w:t>נתן־צבי</w:t>
      </w:r>
      <w:proofErr w:type="spellEnd"/>
      <w:r>
        <w:rPr>
          <w:rtl/>
        </w:rPr>
        <w:t xml:space="preserve"> במוסר.” השווה גם סוף הערה </w:t>
      </w:r>
      <w:r>
        <w:rPr>
          <w:rtl/>
        </w:rPr>
        <w:fldChar w:fldCharType="begin" w:dirty="true"/>
      </w:r>
      <w:r>
        <w:rPr>
          <w:rtl/>
        </w:rPr>
        <w:instrText xml:space="preserve"> REF b3_note51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51</w:t>
      </w:r>
      <w:r>
        <w:rPr>
          <w:rtl/>
        </w:rPr>
        <w:fldChar w:fldCharType="end"/>
      </w:r>
      <w:r>
        <w:rPr>
          <w:rtl/>
        </w:rPr>
        <w:t xml:space="preserve"> לעיל, להצעה נוספת בדבר הגורם לשינוי בשיטת הסבא.</w:t>
      </w:r>
    </w:p>
    <w:p w14:paraId="598E6142" w14:textId="77777777" w:rsidR="00AB3647" w:rsidRDefault="00000000" w:rsidP="007923E9">
      <w:pPr>
        <w:pStyle w:val="4"/>
        <w:spacing w:line="276" w:lineRule="auto"/>
      </w:pPr>
      <w:r>
        <w:lastRenderedPageBreak/>
        <w:t>· הפסקה השנייה ·</w:t>
      </w:r>
    </w:p>
    <w:p w14:paraId="4635FCC3" w14:textId="77777777" w:rsidR="00AB3647" w:rsidRDefault="00000000" w:rsidP="007923E9">
      <w:pPr>
        <w:pStyle w:val="5"/>
        <w:spacing w:line="276" w:lineRule="auto"/>
      </w:pPr>
      <w:r>
        <w:t xml:space="preserve">הסבא נאבק על עליונות המוסר – השפעות מוסר </w:t>
      </w:r>
      <w:proofErr w:type="spellStart"/>
      <w:r>
        <w:t>בראדין</w:t>
      </w:r>
      <w:proofErr w:type="spellEnd"/>
      <w:r>
        <w:t xml:space="preserve"> – </w:t>
      </w:r>
      <w:proofErr w:type="spellStart"/>
      <w:r>
        <w:t>החפץ־חיים</w:t>
      </w:r>
      <w:proofErr w:type="spellEnd"/>
      <w:r>
        <w:t xml:space="preserve"> מסתייג מגישת המוסר – מחלוקת מוסר </w:t>
      </w:r>
      <w:proofErr w:type="spellStart"/>
      <w:r>
        <w:t>בוולוז׳ין</w:t>
      </w:r>
      <w:proofErr w:type="spellEnd"/>
      <w:r>
        <w:t xml:space="preserve"> המחודשת</w:t>
      </w:r>
    </w:p>
    <w:p w14:paraId="202EB23D" w14:textId="77777777" w:rsidR="00AB3647" w:rsidRDefault="00000000" w:rsidP="007923E9">
      <w:pPr>
        <w:spacing w:after="120" w:line="276" w:lineRule="auto"/>
        <w:ind w:firstLine="283"/>
        <w:jc w:val="both"/>
      </w:pPr>
      <w:r>
        <w:rPr>
          <w:rtl/>
        </w:rPr>
        <w:t xml:space="preserve">בעיני הסבא </w:t>
      </w:r>
      <w:proofErr w:type="spellStart"/>
      <w:r>
        <w:rPr>
          <w:rtl/>
        </w:rPr>
        <w:t>מסלבודקה</w:t>
      </w:r>
      <w:proofErr w:type="spellEnd"/>
      <w:r>
        <w:rPr>
          <w:rtl/>
        </w:rPr>
        <w:t xml:space="preserve">, המוסר לא היה רק פן נוסף וקישוט ליהדות. במכתבו </w:t>
      </w:r>
      <w:proofErr w:type="spellStart"/>
      <w:r>
        <w:rPr>
          <w:rtl/>
        </w:rPr>
        <w:t>לר</w:t>
      </w:r>
      <w:proofErr w:type="spellEnd"/>
      <w:r>
        <w:rPr>
          <w:rtl/>
        </w:rPr>
        <w:t xml:space="preserve">׳ </w:t>
      </w:r>
      <w:proofErr w:type="spellStart"/>
      <w:r>
        <w:rPr>
          <w:rtl/>
        </w:rPr>
        <w:t>ראובן־בער</w:t>
      </w:r>
      <w:proofErr w:type="spellEnd"/>
      <w:r>
        <w:rPr>
          <w:rtl/>
        </w:rPr>
        <w:t xml:space="preserve"> </w:t>
      </w:r>
      <w:proofErr w:type="spellStart"/>
      <w:r>
        <w:rPr>
          <w:rtl/>
        </w:rPr>
        <w:t>דסלר</w:t>
      </w:r>
      <w:proofErr w:type="spellEnd"/>
      <w:r>
        <w:rPr>
          <w:rtl/>
        </w:rPr>
        <w:t xml:space="preserve">, שבו דחה הזמנה לכתוב הקדמה להוצאה המתוכננת של כתבי ר׳ </w:t>
      </w:r>
      <w:proofErr w:type="spellStart"/>
      <w:r>
        <w:rPr>
          <w:rtl/>
        </w:rPr>
        <w:t>שמחה־זיסל</w:t>
      </w:r>
      <w:proofErr w:type="spellEnd"/>
      <w:r>
        <w:rPr>
          <w:rtl/>
        </w:rPr>
        <w:t xml:space="preserve"> זיו</w:t>
      </w:r>
      <w:bookmarkStart w:id="3318" w:name="_fnr2413"/>
      <w:r>
        <w:rPr>
          <w:rStyle w:val="a5"/>
        </w:rPr>
        <w:footnoteReference w:id="2420" w:customMarkFollows="0"/>
      </w:r>
      <w:bookmarkEnd w:id="3318"/>
      <w:r>
        <w:rPr>
          <w:rtl/>
        </w:rPr>
        <w:t>, הוא מתאר במילים אלה את תפיסת היהדות שאחז בה לפני שנעשה בעל מוסר בהשפעת הסבא מקלם: “אור התורה האמיתי לא האיר לי, והחלפתי אמת בשקר וטוב ברע ואת צורת התורה בהפכה.”</w:t>
      </w:r>
    </w:p>
    <w:p w14:paraId="3A788921" w14:textId="77777777" w:rsidR="00AB3647" w:rsidRDefault="00000000" w:rsidP="007923E9">
      <w:pPr>
        <w:spacing w:after="120" w:line="276" w:lineRule="auto"/>
        <w:ind w:firstLine="283"/>
        <w:jc w:val="both"/>
      </w:pPr>
      <w:r>
        <w:rPr>
          <w:rtl/>
        </w:rPr>
        <w:t xml:space="preserve">מאחר שהסבא </w:t>
      </w:r>
      <w:proofErr w:type="spellStart"/>
      <w:r>
        <w:rPr>
          <w:rtl/>
        </w:rPr>
        <w:t>מסלבודקה</w:t>
      </w:r>
      <w:proofErr w:type="spellEnd"/>
      <w:r>
        <w:rPr>
          <w:rtl/>
        </w:rPr>
        <w:t xml:space="preserve"> ראה באור שלילי כל כך את תפיסת התורה הרווחת, שאינה מושתתת על מוסר, אין פלא שנלחם בעוז רב כל כך למען עליונותה של גישת המוסר. נראה שמתוך הכרתו העמוקה שהמוסר הוא ההבנה האמיתית היחידה של היהדות, וכל גישה אחרת היא “הפך” מה שהתורה מבקשת, לא הרפה הסבא מדאגתו להפצת המוסר במבצרי לימוד התורה, אף שכבר ניצח במאבקיו – הן בפולמוס המוסר והן בתקופה זו.</w:t>
      </w:r>
    </w:p>
    <w:p w14:paraId="3D318EF4" w14:textId="321C22E7" w:rsidR="00AB3647" w:rsidRDefault="00000000" w:rsidP="007923E9">
      <w:pPr>
        <w:spacing w:after="120" w:line="276" w:lineRule="auto"/>
        <w:ind w:firstLine="283"/>
        <w:jc w:val="both"/>
      </w:pPr>
      <w:r>
        <w:rPr>
          <w:rtl/>
        </w:rPr>
        <w:t>נראה שהסבא לא הרגיש בטוח בניצחונו עד “בסביבות תר״ע”, כמו שמשתמע מסוף הפסקה השנייה ב</w:t>
      </w:r>
      <w:r>
        <w:rPr>
          <w:rtl/>
        </w:rPr>
        <w:fldChar w:fldCharType="begin" w:dirty="true"/>
      </w:r>
      <w:r>
        <w:rPr>
          <w:rtl/>
        </w:rPr>
        <w:instrText xml:space="preserve"> REF b3_excII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לה</w:t>
      </w:r>
      <w:r>
        <w:rPr>
          <w:rtl/>
        </w:rPr>
        <w:fldChar w:fldCharType="end"/>
      </w:r>
      <w:r>
        <w:rPr>
          <w:rtl/>
        </w:rPr>
        <w:t xml:space="preserve"> להלן. גם לאחר מועד זה נשא הסבא את צלקות מאבקיו הקודמים, כמו שעולה מן הבית הבא מתוך “בשמעי”, שירו של אחד מבחירי תלמידיו, ר׳ </w:t>
      </w:r>
      <w:proofErr w:type="spellStart"/>
      <w:r>
        <w:rPr>
          <w:rtl/>
        </w:rPr>
        <w:t>אברהם־אליהו</w:t>
      </w:r>
      <w:proofErr w:type="spellEnd"/>
      <w:r>
        <w:rPr>
          <w:rtl/>
        </w:rPr>
        <w:t xml:space="preserve"> קפלן</w:t>
      </w:r>
      <w:bookmarkStart w:id="3319" w:name="_fnr2414"/>
      <w:r>
        <w:rPr>
          <w:rStyle w:val="a5"/>
        </w:rPr>
        <w:footnoteReference w:id="2421" w:customMarkFollows="0"/>
      </w:r>
      <w:bookmarkEnd w:id="3319"/>
      <w:r>
        <w:rPr>
          <w:rtl/>
        </w:rPr>
        <w:t>, המתאר את הסערה שבה כבש הסבא את לבבות תלמידיו:</w:t>
      </w:r>
    </w:p>
    <w:p w14:paraId="314609EC" w14:textId="77777777" w:rsidR="00AB3647" w:rsidRDefault="00000000" w:rsidP="007923E9">
      <w:pPr>
        <w:spacing w:after="120" w:line="276" w:lineRule="auto"/>
        <w:ind w:firstLine="283"/>
        <w:jc w:val="both"/>
      </w:pPr>
      <w:r>
        <w:rPr>
          <w:rtl/>
        </w:rPr>
        <w:t>ניצוץ לבו של חכם ישראל,</w:t>
      </w:r>
    </w:p>
    <w:p w14:paraId="66F7700F" w14:textId="77777777" w:rsidR="00AB3647" w:rsidRDefault="00000000" w:rsidP="007923E9">
      <w:pPr>
        <w:spacing w:after="120" w:line="276" w:lineRule="auto"/>
        <w:ind w:firstLine="283"/>
        <w:jc w:val="both"/>
      </w:pPr>
      <w:r>
        <w:rPr>
          <w:rtl/>
        </w:rPr>
        <w:t>מלובה בעברו,</w:t>
      </w:r>
    </w:p>
    <w:p w14:paraId="3D92DAAC" w14:textId="77777777" w:rsidR="00AB3647" w:rsidRDefault="00000000" w:rsidP="007923E9">
      <w:pPr>
        <w:spacing w:after="120" w:line="276" w:lineRule="auto"/>
        <w:ind w:firstLine="283"/>
        <w:jc w:val="both"/>
      </w:pPr>
      <w:r>
        <w:rPr>
          <w:rtl/>
        </w:rPr>
        <w:t>מונחה בכוח נוכחותו,</w:t>
      </w:r>
    </w:p>
    <w:p w14:paraId="45DBCF8D" w14:textId="77777777" w:rsidR="00AB3647" w:rsidRDefault="00000000" w:rsidP="007923E9">
      <w:pPr>
        <w:spacing w:after="120" w:line="276" w:lineRule="auto"/>
        <w:ind w:firstLine="283"/>
        <w:jc w:val="both"/>
      </w:pPr>
      <w:r>
        <w:rPr>
          <w:rtl/>
        </w:rPr>
        <w:t>ומתנחם במחרו,</w:t>
      </w:r>
    </w:p>
    <w:p w14:paraId="1CB6309D" w14:textId="77777777" w:rsidR="00AB3647" w:rsidRDefault="00000000" w:rsidP="007923E9">
      <w:pPr>
        <w:spacing w:after="120" w:line="276" w:lineRule="auto"/>
        <w:ind w:firstLine="283"/>
        <w:jc w:val="both"/>
      </w:pPr>
      <w:r>
        <w:rPr>
          <w:rtl/>
        </w:rPr>
        <w:t xml:space="preserve">נרגז במרד </w:t>
      </w:r>
      <w:proofErr w:type="spellStart"/>
      <w:r>
        <w:rPr>
          <w:rtl/>
        </w:rPr>
        <w:t>מתקוממיו</w:t>
      </w:r>
      <w:proofErr w:type="spellEnd"/>
      <w:r>
        <w:rPr>
          <w:rtl/>
        </w:rPr>
        <w:t>,</w:t>
      </w:r>
    </w:p>
    <w:p w14:paraId="1473A917" w14:textId="77777777" w:rsidR="00AB3647" w:rsidRDefault="00000000" w:rsidP="007923E9">
      <w:pPr>
        <w:spacing w:after="120" w:line="276" w:lineRule="auto"/>
        <w:ind w:firstLine="283"/>
        <w:jc w:val="both"/>
      </w:pPr>
      <w:r>
        <w:rPr>
          <w:rtl/>
        </w:rPr>
        <w:t>עצור בזעקת כאבו,</w:t>
      </w:r>
    </w:p>
    <w:p w14:paraId="342A97B8" w14:textId="77777777" w:rsidR="00AB3647" w:rsidRDefault="00000000" w:rsidP="007923E9">
      <w:pPr>
        <w:spacing w:after="120" w:line="276" w:lineRule="auto"/>
        <w:ind w:firstLine="283"/>
        <w:jc w:val="both"/>
      </w:pPr>
      <w:r>
        <w:rPr>
          <w:rtl/>
        </w:rPr>
        <w:t xml:space="preserve">נישא על גבי </w:t>
      </w:r>
      <w:proofErr w:type="spellStart"/>
      <w:r>
        <w:rPr>
          <w:rtl/>
        </w:rPr>
        <w:t>סערתו</w:t>
      </w:r>
      <w:proofErr w:type="spellEnd"/>
    </w:p>
    <w:p w14:paraId="610B48CE" w14:textId="77777777" w:rsidR="00AB3647" w:rsidRDefault="00000000" w:rsidP="007923E9">
      <w:pPr>
        <w:spacing w:after="120" w:line="276" w:lineRule="auto"/>
        <w:ind w:firstLine="283"/>
        <w:jc w:val="both"/>
      </w:pPr>
      <w:r>
        <w:rPr>
          <w:rtl/>
        </w:rPr>
        <w:t>במדבר גלות ונדודים.</w:t>
      </w:r>
    </w:p>
    <w:p w14:paraId="08F4F44F" w14:textId="77777777" w:rsidR="00AB3647" w:rsidRDefault="00000000" w:rsidP="007923E9">
      <w:pPr>
        <w:spacing w:after="120" w:line="276" w:lineRule="auto"/>
        <w:ind w:firstLine="283"/>
        <w:jc w:val="both"/>
      </w:pPr>
      <w:r>
        <w:rPr>
          <w:rtl/>
        </w:rPr>
        <w:t xml:space="preserve">השיר, שאינו נושא תאריך, נדפס </w:t>
      </w:r>
      <w:proofErr w:type="spellStart"/>
      <w:r>
        <w:rPr>
          <w:rtl/>
        </w:rPr>
        <w:t>ב“בעקבות</w:t>
      </w:r>
      <w:proofErr w:type="spellEnd"/>
      <w:r>
        <w:rPr>
          <w:rtl/>
        </w:rPr>
        <w:t xml:space="preserve"> היראה”</w:t>
      </w:r>
      <w:bookmarkStart w:id="3320" w:name="_fnr2415"/>
      <w:r>
        <w:rPr>
          <w:rStyle w:val="a5"/>
        </w:rPr>
        <w:footnoteReference w:id="2422" w:customMarkFollows="0"/>
      </w:r>
      <w:bookmarkEnd w:id="3320"/>
      <w:r>
        <w:rPr>
          <w:rtl/>
        </w:rPr>
        <w:t>, וודאי נכתב בסביבות תרע״ג. השווה “בעקבות היראה”</w:t>
      </w:r>
      <w:bookmarkStart w:id="3321" w:name="_fnr2416"/>
      <w:r>
        <w:rPr>
          <w:rStyle w:val="a5"/>
        </w:rPr>
        <w:footnoteReference w:id="2423" w:customMarkFollows="0"/>
      </w:r>
      <w:bookmarkEnd w:id="3321"/>
      <w:r>
        <w:rPr>
          <w:rtl/>
        </w:rPr>
        <w:t>, המספר שבעקבות “דברי המוסר האדירים” של הסבא שרף הרב קפלן את כל השירים שכתב לפני חשוון תרע״א.</w:t>
      </w:r>
    </w:p>
    <w:p w14:paraId="384D3CA3" w14:textId="77777777" w:rsidR="00AB3647" w:rsidRDefault="00000000" w:rsidP="007923E9">
      <w:pPr>
        <w:spacing w:after="120" w:line="276" w:lineRule="auto"/>
        <w:ind w:firstLine="283"/>
        <w:jc w:val="both"/>
      </w:pPr>
      <w:r>
        <w:rPr>
          <w:rtl/>
        </w:rPr>
        <w:lastRenderedPageBreak/>
        <w:t xml:space="preserve">התפתחות נוספת נגד המוסר אירעה </w:t>
      </w:r>
      <w:proofErr w:type="spellStart"/>
      <w:r>
        <w:rPr>
          <w:rtl/>
        </w:rPr>
        <w:t>בראדין</w:t>
      </w:r>
      <w:proofErr w:type="spellEnd"/>
      <w:r>
        <w:rPr>
          <w:rtl/>
        </w:rPr>
        <w:t xml:space="preserve"> בסביבות תר״ע, כשהמשגיח שם, ר׳ ירוחם </w:t>
      </w:r>
      <w:proofErr w:type="spellStart"/>
      <w:r>
        <w:rPr>
          <w:rtl/>
        </w:rPr>
        <w:t>ליבוביץ</w:t>
      </w:r>
      <w:proofErr w:type="spellEnd"/>
      <w:r>
        <w:rPr>
          <w:rtl/>
        </w:rPr>
        <w:t>, החליט שלא לשוב לישיבה לאחר ביקורו בבית בפסח</w:t>
      </w:r>
      <w:bookmarkStart w:id="3322" w:name="_fnr2417"/>
      <w:bookmarkStart w:id="3323" w:name="pr_f_2318"/>
      <w:r>
        <w:rPr>
          <w:rStyle w:val="a5"/>
        </w:rPr>
        <w:footnoteReference w:id="2424" w:customMarkFollows="0"/>
      </w:r>
      <w:bookmarkEnd w:id="3322"/>
      <w:bookmarkEnd w:id="3323"/>
      <w:r>
        <w:rPr>
          <w:rtl/>
        </w:rPr>
        <w:t xml:space="preserve">, משום שכמה תלמידים הרגישו שהשפעתו מרחיקה תלמידים מכנפי </w:t>
      </w:r>
      <w:proofErr w:type="spellStart"/>
      <w:r>
        <w:rPr>
          <w:rtl/>
        </w:rPr>
        <w:t>החפץ־חיים</w:t>
      </w:r>
      <w:proofErr w:type="spellEnd"/>
      <w:r>
        <w:rPr>
          <w:rtl/>
        </w:rPr>
        <w:t>. אבל ר׳ זליג אפשטיין</w:t>
      </w:r>
      <w:bookmarkStart w:id="3324" w:name="_fnr2418"/>
      <w:r>
        <w:rPr>
          <w:rStyle w:val="a5"/>
        </w:rPr>
        <w:footnoteReference w:id="2425" w:customMarkFollows="0"/>
      </w:r>
      <w:bookmarkEnd w:id="3324"/>
      <w:r>
        <w:rPr>
          <w:rtl/>
        </w:rPr>
        <w:t xml:space="preserve"> גילה </w:t>
      </w:r>
      <w:proofErr w:type="spellStart"/>
      <w:r>
        <w:rPr>
          <w:rtl/>
        </w:rPr>
        <w:t>שהחפץ־חיים</w:t>
      </w:r>
      <w:proofErr w:type="spellEnd"/>
      <w:r>
        <w:rPr>
          <w:rtl/>
        </w:rPr>
        <w:t xml:space="preserve"> עצמו, כרוב גדולי התורה האחרים</w:t>
      </w:r>
      <w:bookmarkStart w:id="3325" w:name="_fnr2419"/>
      <w:r>
        <w:rPr>
          <w:rStyle w:val="a5"/>
        </w:rPr>
        <w:footnoteReference w:id="2426" w:customMarkFollows="0"/>
      </w:r>
      <w:bookmarkEnd w:id="3325"/>
      <w:r>
        <w:rPr>
          <w:rtl/>
        </w:rPr>
        <w:t>, התנגד למוסר: “לא שהיה מן המתנגדים החריפים, אבל לא הסכים עם כל הגישה שלו”</w:t>
      </w:r>
      <w:bookmarkStart w:id="3326" w:name="_fnr2420"/>
      <w:r>
        <w:rPr>
          <w:rStyle w:val="a5"/>
        </w:rPr>
        <w:footnoteReference w:id="2427" w:customMarkFollows="0"/>
      </w:r>
      <w:bookmarkEnd w:id="3326"/>
      <w:r>
        <w:rPr>
          <w:rtl/>
        </w:rPr>
        <w:t>.</w:t>
      </w:r>
    </w:p>
    <w:p w14:paraId="061C0D10" w14:textId="77777777" w:rsidR="00AB3647" w:rsidRDefault="00000000" w:rsidP="007923E9">
      <w:pPr>
        <w:spacing w:after="120" w:line="276" w:lineRule="auto"/>
        <w:ind w:firstLine="283"/>
        <w:jc w:val="both"/>
      </w:pPr>
      <w:r>
        <w:rPr>
          <w:rtl/>
        </w:rPr>
        <w:t xml:space="preserve">השווה גם </w:t>
      </w:r>
      <w:proofErr w:type="spellStart"/>
      <w:r>
        <w:rPr>
          <w:rtl/>
        </w:rPr>
        <w:t>דבורץ</w:t>
      </w:r>
      <w:proofErr w:type="spellEnd"/>
      <w:r>
        <w:rPr>
          <w:rtl/>
        </w:rPr>
        <w:t>, “הגאון רבי משה מרדכי אפשטיין”</w:t>
      </w:r>
      <w:bookmarkStart w:id="3327" w:name="_fnr2421"/>
      <w:r>
        <w:rPr>
          <w:rStyle w:val="a5"/>
        </w:rPr>
        <w:footnoteReference w:id="2428" w:customMarkFollows="0"/>
      </w:r>
      <w:bookmarkEnd w:id="3327"/>
      <w:r>
        <w:rPr>
          <w:rtl/>
        </w:rPr>
        <w:t xml:space="preserve">, המעיר: “[ישיבת </w:t>
      </w:r>
      <w:proofErr w:type="spellStart"/>
      <w:r>
        <w:rPr>
          <w:rtl/>
        </w:rPr>
        <w:t>ראדין</w:t>
      </w:r>
      <w:proofErr w:type="spellEnd"/>
      <w:r>
        <w:rPr>
          <w:rtl/>
        </w:rPr>
        <w:t xml:space="preserve">] התנהלה כל השנים לפי השיטות הישנות של ימי נעוריו של [מייסדה,] </w:t>
      </w:r>
      <w:proofErr w:type="spellStart"/>
      <w:r>
        <w:rPr>
          <w:rtl/>
        </w:rPr>
        <w:t>החפץ־חיים</w:t>
      </w:r>
      <w:proofErr w:type="spellEnd"/>
      <w:r>
        <w:rPr>
          <w:rtl/>
        </w:rPr>
        <w:t xml:space="preserve">. בתמימות לבו האמין שתמיד יצליח לנהל את הישיבה בשיטה זו. אולם הסבא </w:t>
      </w:r>
      <w:proofErr w:type="spellStart"/>
      <w:r>
        <w:rPr>
          <w:rtl/>
        </w:rPr>
        <w:t>מסלבודקה</w:t>
      </w:r>
      <w:proofErr w:type="spellEnd"/>
      <w:r>
        <w:rPr>
          <w:rtl/>
        </w:rPr>
        <w:t xml:space="preserve">, המומחה המחונן בתחום, שעיניו הטהורות סקרו את תבניתן של כל ישיבות ליטא, ראה והבין שהדבר אינו אפשרי. לכן תכנן ללא הרף כיצד להשפיע על הנהלת ישיבת </w:t>
      </w:r>
      <w:proofErr w:type="spellStart"/>
      <w:r>
        <w:rPr>
          <w:rtl/>
        </w:rPr>
        <w:t>ראדין</w:t>
      </w:r>
      <w:proofErr w:type="spellEnd"/>
      <w:r>
        <w:rPr>
          <w:rtl/>
        </w:rPr>
        <w:t xml:space="preserve"> להנהיג את הסדר הנכון [כלומר, שיטת המוסר]. דרכו העיקרית הייתה לשלוח את טובי הכוחות בגדלות התורה והמוסר מקרב חניכיו ללמוד בישיבת </w:t>
      </w:r>
      <w:proofErr w:type="spellStart"/>
      <w:r>
        <w:rPr>
          <w:rtl/>
        </w:rPr>
        <w:t>ראדין</w:t>
      </w:r>
      <w:proofErr w:type="spellEnd"/>
      <w:r>
        <w:rPr>
          <w:rtl/>
        </w:rPr>
        <w:t xml:space="preserve">. הם היו הרוח החיה בישיבה, ושימשו באופן בלתי רשמי ראשי ישיבה ומשפיעים. מובן שמאחר שלא נתמנו באופן רשמי, הייתה השפעתם מוגבלת. עם כל זאת, נמנע </w:t>
      </w:r>
      <w:proofErr w:type="spellStart"/>
      <w:r>
        <w:rPr>
          <w:rtl/>
        </w:rPr>
        <w:t>החפץ־חיים</w:t>
      </w:r>
      <w:proofErr w:type="spellEnd"/>
      <w:r>
        <w:rPr>
          <w:rtl/>
        </w:rPr>
        <w:t xml:space="preserve"> מהכנסת השיטות החדשות, עד ש[רוח המהפכה של 1905] הופיעה וערערה כליל את החיים הרוחניים, וגם חומות ישיבת </w:t>
      </w:r>
      <w:proofErr w:type="spellStart"/>
      <w:r>
        <w:rPr>
          <w:rtl/>
        </w:rPr>
        <w:t>ראדין</w:t>
      </w:r>
      <w:proofErr w:type="spellEnd"/>
      <w:r>
        <w:rPr>
          <w:rtl/>
        </w:rPr>
        <w:t xml:space="preserve"> החלו להתמוטט. אז הסכים </w:t>
      </w:r>
      <w:proofErr w:type="spellStart"/>
      <w:r>
        <w:rPr>
          <w:rtl/>
        </w:rPr>
        <w:t>החפץ־חיים</w:t>
      </w:r>
      <w:proofErr w:type="spellEnd"/>
      <w:r>
        <w:rPr>
          <w:rtl/>
        </w:rPr>
        <w:t xml:space="preserve"> להצעותיו של הסבא ולמינויים שהציע.”</w:t>
      </w:r>
    </w:p>
    <w:p w14:paraId="7D2DDC1A" w14:textId="7C73B44F" w:rsidR="00AB3647" w:rsidRDefault="00000000" w:rsidP="007923E9">
      <w:pPr>
        <w:spacing w:after="120" w:line="276" w:lineRule="auto"/>
        <w:ind w:firstLine="283"/>
        <w:jc w:val="both"/>
      </w:pPr>
      <w:proofErr w:type="spellStart"/>
      <w:r>
        <w:rPr>
          <w:rtl/>
        </w:rPr>
        <w:t>ה“מינויים</w:t>
      </w:r>
      <w:proofErr w:type="spellEnd"/>
      <w:r>
        <w:rPr>
          <w:rtl/>
        </w:rPr>
        <w:t xml:space="preserve">” שאליהם מתייחס </w:t>
      </w:r>
      <w:proofErr w:type="spellStart"/>
      <w:r>
        <w:rPr>
          <w:rtl/>
        </w:rPr>
        <w:t>דבורץ</w:t>
      </w:r>
      <w:proofErr w:type="spellEnd"/>
      <w:r>
        <w:rPr>
          <w:rtl/>
        </w:rPr>
        <w:t xml:space="preserve"> היו העסקתו [קצרת הימים] של ר׳ ירוחם </w:t>
      </w:r>
      <w:proofErr w:type="spellStart"/>
      <w:r>
        <w:rPr>
          <w:rtl/>
        </w:rPr>
        <w:t>ליבוביץ</w:t>
      </w:r>
      <w:proofErr w:type="spellEnd"/>
      <w:r>
        <w:rPr>
          <w:rtl/>
        </w:rPr>
        <w:t xml:space="preserve">, אבל לפי תפיסתו של ר׳ זליג אפשטיין, גם אז לא נמשך </w:t>
      </w:r>
      <w:proofErr w:type="spellStart"/>
      <w:r>
        <w:rPr>
          <w:rtl/>
        </w:rPr>
        <w:t>החפץ־חיים</w:t>
      </w:r>
      <w:proofErr w:type="spellEnd"/>
      <w:r>
        <w:rPr>
          <w:rtl/>
        </w:rPr>
        <w:t xml:space="preserve"> אחר גישת המוסר. [לכן ייתכן שכאשר סייע </w:t>
      </w:r>
      <w:proofErr w:type="spellStart"/>
      <w:r>
        <w:rPr>
          <w:rtl/>
        </w:rPr>
        <w:t>החפץ־חיים</w:t>
      </w:r>
      <w:proofErr w:type="spellEnd"/>
      <w:r>
        <w:rPr>
          <w:rtl/>
        </w:rPr>
        <w:t xml:space="preserve"> לסבא להפריד את ישיבת הבחורים מכולל קובנה</w:t>
      </w:r>
      <w:bookmarkStart w:id="3328" w:name="_fnr2422"/>
      <w:r>
        <w:rPr>
          <w:rStyle w:val="a5"/>
        </w:rPr>
        <w:footnoteReference w:id="2429" w:customMarkFollows="0"/>
      </w:r>
      <w:bookmarkEnd w:id="3328"/>
      <w:r>
        <w:rPr>
          <w:rtl/>
        </w:rPr>
        <w:t xml:space="preserve">, לא הייתה מטרתו לסייע ביצירת מבצר למוסר. היו לו שיקולים אחרים – כגון ניתוק ישיבת </w:t>
      </w:r>
      <w:proofErr w:type="spellStart"/>
      <w:r>
        <w:rPr>
          <w:rtl/>
        </w:rPr>
        <w:t>סלבודקה</w:t>
      </w:r>
      <w:proofErr w:type="spellEnd"/>
      <w:r>
        <w:rPr>
          <w:rtl/>
        </w:rPr>
        <w:t xml:space="preserve"> מכולל קובנה, כדי שהכולל יפעל לטובת אברכים בלבד, כמו שחזה בעת שתרם את מאמרו </w:t>
      </w:r>
      <w:proofErr w:type="spellStart"/>
      <w:r>
        <w:rPr>
          <w:rtl/>
        </w:rPr>
        <w:t>ל“עץ</w:t>
      </w:r>
      <w:proofErr w:type="spellEnd"/>
      <w:r>
        <w:rPr>
          <w:rtl/>
        </w:rPr>
        <w:t xml:space="preserve"> פרי”, כאמור ב</w:t>
      </w:r>
      <w:r>
        <w:rPr>
          <w:rtl/>
        </w:rPr>
        <w:fldChar w:fldCharType="begin" w:dirty="true"/>
      </w:r>
      <w:r>
        <w:rPr>
          <w:rtl/>
        </w:rPr>
        <w:instrText xml:space="preserve"> REF b3_excA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א</w:t>
      </w:r>
      <w:r>
        <w:rPr>
          <w:rtl/>
        </w:rPr>
        <w:fldChar w:fldCharType="end"/>
      </w:r>
      <w:r>
        <w:rPr>
          <w:rtl/>
        </w:rPr>
        <w:t xml:space="preserve"> לעיל.]</w:t>
      </w:r>
    </w:p>
    <w:p w14:paraId="6361C19C" w14:textId="77777777" w:rsidR="00AB3647" w:rsidRDefault="00000000" w:rsidP="007923E9">
      <w:pPr>
        <w:spacing w:after="120" w:line="276" w:lineRule="auto"/>
        <w:ind w:firstLine="283"/>
        <w:jc w:val="both"/>
      </w:pPr>
      <w:r>
        <w:rPr>
          <w:rtl/>
        </w:rPr>
        <w:t xml:space="preserve">ר׳ זליג סיפר סיפור ששמע מפי ר׳ ירוחם, כדי להמחיש את הבדל הגישה בינו לבין </w:t>
      </w:r>
      <w:proofErr w:type="spellStart"/>
      <w:r>
        <w:rPr>
          <w:rtl/>
        </w:rPr>
        <w:t>החפץ־חיים</w:t>
      </w:r>
      <w:proofErr w:type="spellEnd"/>
      <w:r>
        <w:rPr>
          <w:rtl/>
        </w:rPr>
        <w:t xml:space="preserve">: “המנהג בעיירה הקטנה </w:t>
      </w:r>
      <w:proofErr w:type="spellStart"/>
      <w:r>
        <w:rPr>
          <w:rtl/>
        </w:rPr>
        <w:t>ראדין</w:t>
      </w:r>
      <w:proofErr w:type="spellEnd"/>
      <w:r>
        <w:rPr>
          <w:rtl/>
        </w:rPr>
        <w:t xml:space="preserve"> היה שכאשר נפטר אדם בעיר, נכנסו בני הקהילה לבית המדרש ודפקו על הבימה כדי להודיע מתי תיערך הלוויה, וכל הישיבה השתתפה – אחרת כמעט שלא היו משתתפים בהלוויה כלל. ר׳ ירוחם הרגיש שלא ייתכן שהישיבה תבטל את סדר הלימוד בשביל הלוויה, וביטל את המנהג. בני הקהילה רצו אל </w:t>
      </w:r>
      <w:proofErr w:type="spellStart"/>
      <w:r>
        <w:rPr>
          <w:rtl/>
        </w:rPr>
        <w:t>החפץ־חיים</w:t>
      </w:r>
      <w:proofErr w:type="spellEnd"/>
      <w:r>
        <w:rPr>
          <w:rtl/>
        </w:rPr>
        <w:t xml:space="preserve"> להתלונן שאדם נפטר והישיבה אינה משתתפת בהלוויה. </w:t>
      </w:r>
      <w:proofErr w:type="spellStart"/>
      <w:r>
        <w:rPr>
          <w:rtl/>
        </w:rPr>
        <w:t>החפץ־חיים</w:t>
      </w:r>
      <w:proofErr w:type="spellEnd"/>
      <w:r>
        <w:rPr>
          <w:rtl/>
        </w:rPr>
        <w:t xml:space="preserve"> קרא למשגיח ושאל אותו: ‘מאי האי?’, </w:t>
      </w:r>
      <w:r>
        <w:rPr>
          <w:rtl/>
        </w:rPr>
        <w:lastRenderedPageBreak/>
        <w:t xml:space="preserve">והוא הסביר את דעתו. אולם </w:t>
      </w:r>
      <w:proofErr w:type="spellStart"/>
      <w:r>
        <w:rPr>
          <w:rtl/>
        </w:rPr>
        <w:t>החפץ־חיים</w:t>
      </w:r>
      <w:proofErr w:type="spellEnd"/>
      <w:r>
        <w:rPr>
          <w:rtl/>
        </w:rPr>
        <w:t xml:space="preserve"> השיב: ‘חז״ל אומרים: “חכמים הזהרו בדבריכם”</w:t>
      </w:r>
      <w:bookmarkStart w:id="3329" w:name="_fnr2423"/>
      <w:r>
        <w:rPr>
          <w:rStyle w:val="a5"/>
        </w:rPr>
        <w:footnoteReference w:id="2430" w:customMarkFollows="0"/>
      </w:r>
      <w:bookmarkEnd w:id="3329"/>
      <w:r>
        <w:rPr>
          <w:rtl/>
        </w:rPr>
        <w:t>‘, ור׳ ירוחם נאלץ לחזור בו.”</w:t>
      </w:r>
    </w:p>
    <w:p w14:paraId="384D7ABA" w14:textId="77777777" w:rsidR="00AB3647" w:rsidRDefault="00000000" w:rsidP="007923E9">
      <w:pPr>
        <w:spacing w:after="120" w:line="276" w:lineRule="auto"/>
        <w:ind w:firstLine="283"/>
        <w:jc w:val="both"/>
      </w:pPr>
      <w:r>
        <w:rPr>
          <w:rtl/>
        </w:rPr>
        <w:t xml:space="preserve">ר׳ זליג הסביר: “בעיני בעל מוסר – בין המשגיח של </w:t>
      </w:r>
      <w:proofErr w:type="spellStart"/>
      <w:r>
        <w:rPr>
          <w:rtl/>
        </w:rPr>
        <w:t>מיר</w:t>
      </w:r>
      <w:proofErr w:type="spellEnd"/>
      <w:r>
        <w:rPr>
          <w:rtl/>
        </w:rPr>
        <w:t xml:space="preserve">, בין הסבא </w:t>
      </w:r>
      <w:proofErr w:type="spellStart"/>
      <w:r>
        <w:rPr>
          <w:rtl/>
        </w:rPr>
        <w:t>מסלבודקה</w:t>
      </w:r>
      <w:proofErr w:type="spellEnd"/>
      <w:r>
        <w:rPr>
          <w:rtl/>
        </w:rPr>
        <w:t xml:space="preserve"> ובין הסבא מקלם – דפיקה על הבימה וסגירת הישיבה מפני שיהודי נפטר אינן דרך ראויה לנהוג. מלבד שיקול ביטול התורה – שנראה שההלכה מתירה אותו, שהרי </w:t>
      </w:r>
      <w:proofErr w:type="spellStart"/>
      <w:r>
        <w:rPr>
          <w:rtl/>
        </w:rPr>
        <w:t>החפץ־חיים</w:t>
      </w:r>
      <w:proofErr w:type="spellEnd"/>
      <w:r>
        <w:rPr>
          <w:rtl/>
        </w:rPr>
        <w:t xml:space="preserve"> התירו – מעשה כזה מפקיע לגמרי את כבוד התורה, עניין שתנועת המוסר ראתה בקידומו בדורות אלה את חובתה העיקרית”</w:t>
      </w:r>
      <w:bookmarkStart w:id="3330" w:name="_fnr2424"/>
      <w:r>
        <w:rPr>
          <w:rStyle w:val="a5"/>
        </w:rPr>
        <w:footnoteReference w:id="2431" w:customMarkFollows="0"/>
      </w:r>
      <w:bookmarkEnd w:id="3330"/>
      <w:r>
        <w:rPr>
          <w:rtl/>
        </w:rPr>
        <w:t>.</w:t>
      </w:r>
    </w:p>
    <w:p w14:paraId="0F6A117B" w14:textId="77777777" w:rsidR="00AB3647" w:rsidRDefault="00000000" w:rsidP="007923E9">
      <w:pPr>
        <w:spacing w:after="120" w:line="276" w:lineRule="auto"/>
        <w:ind w:firstLine="283"/>
        <w:jc w:val="both"/>
      </w:pPr>
      <w:r>
        <w:rPr>
          <w:rtl/>
        </w:rPr>
        <w:t>דוגמה נוספת לחוסר ההתאמה בין גישת המוסר של ר׳ ירוחם לבין יראת שמיים פשוטה [</w:t>
      </w:r>
      <w:proofErr w:type="spellStart"/>
      <w:r>
        <w:rPr>
          <w:rtl/>
        </w:rPr>
        <w:t>שהחפץ־חיים</w:t>
      </w:r>
      <w:proofErr w:type="spellEnd"/>
      <w:r>
        <w:rPr>
          <w:rtl/>
        </w:rPr>
        <w:t xml:space="preserve"> מגלם אותה] עולה מסיפור שסיפר ר׳ שלמה לורנץ</w:t>
      </w:r>
      <w:bookmarkStart w:id="3331" w:name="_fnr2425"/>
      <w:r>
        <w:rPr>
          <w:rStyle w:val="a5"/>
        </w:rPr>
        <w:footnoteReference w:id="2432" w:customMarkFollows="0"/>
      </w:r>
      <w:bookmarkEnd w:id="3331"/>
      <w:r>
        <w:rPr>
          <w:rtl/>
        </w:rPr>
        <w:t xml:space="preserve">. בראש השנה הראשון לאחר שנתקבל ר׳ ירוחם למשגיח בישיבת </w:t>
      </w:r>
      <w:proofErr w:type="spellStart"/>
      <w:r>
        <w:rPr>
          <w:rtl/>
        </w:rPr>
        <w:t>מיר</w:t>
      </w:r>
      <w:proofErr w:type="spellEnd"/>
      <w:r>
        <w:rPr>
          <w:rtl/>
        </w:rPr>
        <w:t xml:space="preserve">, אמר לרב קמאי, הרב וראש הישיבה, שהתלמידים יעשו קידוש ויאכלו מזונות לפני תקיעת שופר. הרב התנגד בטענה שאכילה לפני קיום מצוות שופר מנוגדת להלכה. ר׳ ירוחם השיב שיציית לפסקו של הרב, אבל במוצאי ראש השנה יארוז את חפציו ויתפטר ממשרתו. כששמע זאת הרב וראש הישיבה של </w:t>
      </w:r>
      <w:proofErr w:type="spellStart"/>
      <w:r>
        <w:rPr>
          <w:rtl/>
        </w:rPr>
        <w:t>מיר</w:t>
      </w:r>
      <w:proofErr w:type="spellEnd"/>
      <w:r>
        <w:rPr>
          <w:rtl/>
        </w:rPr>
        <w:t xml:space="preserve">, נסוג והניח </w:t>
      </w:r>
      <w:proofErr w:type="spellStart"/>
      <w:r>
        <w:rPr>
          <w:rtl/>
        </w:rPr>
        <w:t>לר</w:t>
      </w:r>
      <w:proofErr w:type="spellEnd"/>
      <w:r>
        <w:rPr>
          <w:rtl/>
        </w:rPr>
        <w:t>׳ ירוחם לנהוג כרצונו</w:t>
      </w:r>
      <w:bookmarkStart w:id="3332" w:name="_fnr2426"/>
      <w:r>
        <w:rPr>
          <w:rStyle w:val="a5"/>
        </w:rPr>
        <w:footnoteReference w:id="2433" w:customMarkFollows="0"/>
      </w:r>
      <w:bookmarkEnd w:id="3332"/>
      <w:r>
        <w:rPr>
          <w:rtl/>
        </w:rPr>
        <w:t>.</w:t>
      </w:r>
    </w:p>
    <w:p w14:paraId="732D6257" w14:textId="77777777" w:rsidR="00AB3647" w:rsidRDefault="00000000" w:rsidP="007923E9">
      <w:pPr>
        <w:spacing w:after="120" w:line="276" w:lineRule="auto"/>
        <w:ind w:firstLine="283"/>
        <w:jc w:val="both"/>
      </w:pPr>
      <w:r>
        <w:rPr>
          <w:rtl/>
        </w:rPr>
        <w:t>לאחר מכן, כשראה הרב קמאי את הלהט שבו התפללו התלמידים את תפילת המוסף הארוכה – והם יכלו לעשות זאת רק מפני שלא נשארו בתענית מן הלילה עד אחרי המוסף ותקיעת השופר – הודה שהמשגיח צדק.</w:t>
      </w:r>
    </w:p>
    <w:p w14:paraId="2F228876" w14:textId="77777777" w:rsidR="00AB3647" w:rsidRDefault="00000000" w:rsidP="007923E9">
      <w:pPr>
        <w:spacing w:after="120" w:line="276" w:lineRule="auto"/>
        <w:ind w:firstLine="283"/>
        <w:jc w:val="both"/>
      </w:pPr>
      <w:r>
        <w:rPr>
          <w:rtl/>
        </w:rPr>
        <w:t xml:space="preserve">[גם ר׳ </w:t>
      </w:r>
      <w:proofErr w:type="spellStart"/>
      <w:r>
        <w:rPr>
          <w:rtl/>
        </w:rPr>
        <w:t>יוסף־אליהו</w:t>
      </w:r>
      <w:proofErr w:type="spellEnd"/>
      <w:r>
        <w:rPr>
          <w:rtl/>
        </w:rPr>
        <w:t xml:space="preserve"> </w:t>
      </w:r>
      <w:proofErr w:type="spellStart"/>
      <w:r>
        <w:rPr>
          <w:rtl/>
        </w:rPr>
        <w:t>הענקין</w:t>
      </w:r>
      <w:proofErr w:type="spellEnd"/>
      <w:r>
        <w:rPr>
          <w:rtl/>
        </w:rPr>
        <w:t xml:space="preserve"> נאבק בחידוש </w:t>
      </w:r>
      <w:proofErr w:type="spellStart"/>
      <w:r>
        <w:rPr>
          <w:rtl/>
        </w:rPr>
        <w:t>הישיבתי</w:t>
      </w:r>
      <w:proofErr w:type="spellEnd"/>
      <w:r>
        <w:rPr>
          <w:rtl/>
        </w:rPr>
        <w:t xml:space="preserve"> של אכילה לפני תקיעת שופר, ופרסם נגדו מאמרים בכתבי עת רבניים. לדברי ר׳ ישראל </w:t>
      </w:r>
      <w:proofErr w:type="spellStart"/>
      <w:r>
        <w:rPr>
          <w:rtl/>
        </w:rPr>
        <w:t>שורין</w:t>
      </w:r>
      <w:bookmarkStart w:id="3333" w:name="_fnr2427"/>
      <w:proofErr w:type="spellEnd"/>
      <w:r>
        <w:rPr>
          <w:rStyle w:val="a5"/>
        </w:rPr>
        <w:footnoteReference w:id="2434" w:customMarkFollows="0"/>
      </w:r>
      <w:bookmarkEnd w:id="3333"/>
      <w:r>
        <w:rPr>
          <w:rtl/>
        </w:rPr>
        <w:t xml:space="preserve">, כשנאמר לרב </w:t>
      </w:r>
      <w:proofErr w:type="spellStart"/>
      <w:r>
        <w:rPr>
          <w:rtl/>
        </w:rPr>
        <w:t>הענקין</w:t>
      </w:r>
      <w:proofErr w:type="spellEnd"/>
      <w:r>
        <w:rPr>
          <w:rtl/>
        </w:rPr>
        <w:t xml:space="preserve"> שהבחורים לא יוכלו להתפלל את תפילת המוסף הארוכה בלי לעשות קידוש תחילה, השיב: “אם כך, שיתפללו מוסף קצר.” התנגדותו לחידוש הייתה כה נחרצת, שלפני ראש השנה תשל״ג אמר </w:t>
      </w:r>
      <w:proofErr w:type="spellStart"/>
      <w:r>
        <w:rPr>
          <w:rtl/>
        </w:rPr>
        <w:t>לר</w:t>
      </w:r>
      <w:proofErr w:type="spellEnd"/>
      <w:r>
        <w:rPr>
          <w:rtl/>
        </w:rPr>
        <w:t xml:space="preserve">׳ שניאור קוטלר שהוא גוזר עליו – גוזר </w:t>
      </w:r>
      <w:proofErr w:type="spellStart"/>
      <w:r>
        <w:rPr>
          <w:rtl/>
        </w:rPr>
        <w:t>אויף</w:t>
      </w:r>
      <w:proofErr w:type="spellEnd"/>
      <w:r>
        <w:rPr>
          <w:rtl/>
        </w:rPr>
        <w:t xml:space="preserve"> </w:t>
      </w:r>
      <w:proofErr w:type="spellStart"/>
      <w:r>
        <w:rPr>
          <w:rtl/>
        </w:rPr>
        <w:t>אים</w:t>
      </w:r>
      <w:proofErr w:type="spellEnd"/>
      <w:r>
        <w:rPr>
          <w:rtl/>
        </w:rPr>
        <w:t xml:space="preserve"> – שלא לעשות קידוש בישיבתו </w:t>
      </w:r>
      <w:proofErr w:type="spellStart"/>
      <w:r>
        <w:rPr>
          <w:rtl/>
        </w:rPr>
        <w:t>בלייקווד</w:t>
      </w:r>
      <w:proofErr w:type="spellEnd"/>
      <w:r>
        <w:rPr>
          <w:rtl/>
        </w:rPr>
        <w:t>. ר׳ שניאור התקשר לרבנו לשאול בעצתו, ואבי אמר לו שמאחר שהיום הראשון של ראש השנה חל באותה שנה בשבת ואין תוקעים בשופר, אין בעיה לעשות קידוש לפני מוסף; וביום השני, שחובת תקיעת השופר בו היא מדרבנן בלבד, יש פחות מקום להתנגד לקידוש תחילה</w:t>
      </w:r>
      <w:bookmarkStart w:id="3334" w:name="_fnr2428"/>
      <w:r>
        <w:rPr>
          <w:rStyle w:val="a5"/>
        </w:rPr>
        <w:footnoteReference w:id="2435" w:customMarkFollows="0"/>
      </w:r>
      <w:bookmarkEnd w:id="3334"/>
      <w:r>
        <w:rPr>
          <w:rtl/>
        </w:rPr>
        <w:t xml:space="preserve">. </w:t>
      </w:r>
      <w:r>
        <w:rPr>
          <w:rtl/>
        </w:rPr>
        <w:lastRenderedPageBreak/>
        <w:t xml:space="preserve">בשנה שלאחר מכן כבר לא היה הרב </w:t>
      </w:r>
      <w:proofErr w:type="spellStart"/>
      <w:r>
        <w:rPr>
          <w:rtl/>
        </w:rPr>
        <w:t>הענקין</w:t>
      </w:r>
      <w:proofErr w:type="spellEnd"/>
      <w:r>
        <w:rPr>
          <w:rtl/>
        </w:rPr>
        <w:t xml:space="preserve"> בחיים, ור׳ שניאור יכול היה לקיים את המנהג שהנהיג אביו עם ייסוד בית מדרש גבוה.]</w:t>
      </w:r>
    </w:p>
    <w:p w14:paraId="5AD9DD39" w14:textId="77777777" w:rsidR="00AB3647" w:rsidRDefault="00000000" w:rsidP="007923E9">
      <w:pPr>
        <w:spacing w:after="120" w:line="276" w:lineRule="auto"/>
        <w:ind w:firstLine="283"/>
        <w:jc w:val="both"/>
      </w:pPr>
      <w:r>
        <w:rPr>
          <w:rtl/>
        </w:rPr>
        <w:t>השווה גם “בעקבות היראה”</w:t>
      </w:r>
      <w:bookmarkStart w:id="3335" w:name="_fnr2429"/>
      <w:r>
        <w:rPr>
          <w:rStyle w:val="a5"/>
        </w:rPr>
        <w:footnoteReference w:id="2436" w:customMarkFollows="0"/>
      </w:r>
      <w:bookmarkEnd w:id="3335"/>
      <w:r>
        <w:rPr>
          <w:rtl/>
        </w:rPr>
        <w:t xml:space="preserve">, שבו ניכרים בשיחת הסבא מיום י״ג באלול תרע״ג, כפי שמביא אותה המחבר, הרב קפלן, הדים ממאבקו המתמשך של ר׳ </w:t>
      </w:r>
      <w:proofErr w:type="spellStart"/>
      <w:r>
        <w:rPr>
          <w:rtl/>
        </w:rPr>
        <w:t>נתן־צבי</w:t>
      </w:r>
      <w:proofErr w:type="spellEnd"/>
      <w:r>
        <w:rPr>
          <w:rtl/>
        </w:rPr>
        <w:t xml:space="preserve"> למען המוסר. ייתכן שהסבא נתעורר לעסוק בנושא בשל מחלוקת המוסר המתמשכת בישיבת </w:t>
      </w:r>
      <w:proofErr w:type="spellStart"/>
      <w:r>
        <w:rPr>
          <w:rtl/>
        </w:rPr>
        <w:t>וולוז׳ין</w:t>
      </w:r>
      <w:proofErr w:type="spellEnd"/>
      <w:r>
        <w:rPr>
          <w:rtl/>
        </w:rPr>
        <w:t xml:space="preserve"> המחודשת, שהתחוללה “בשנים תרע״ב–תרע״ג”, לפי “ספר היובל”</w:t>
      </w:r>
      <w:bookmarkStart w:id="3336" w:name="_fnr2430"/>
      <w:r>
        <w:rPr>
          <w:rStyle w:val="a5"/>
        </w:rPr>
        <w:footnoteReference w:id="2437" w:customMarkFollows="0"/>
      </w:r>
      <w:bookmarkEnd w:id="3336"/>
      <w:r>
        <w:rPr>
          <w:rtl/>
        </w:rPr>
        <w:t>.</w:t>
      </w:r>
    </w:p>
    <w:bookmarkStart w:id="3337" w:name="b3_excV"/>
    <w:p w14:paraId="7308C30C" w14:textId="77777777" w:rsidR="00AB3647" w:rsidRDefault="00000000" w:rsidP="007923E9">
      <w:pPr>
        <w:pStyle w:val="3"/>
        <w:spacing w:line="276" w:lineRule="auto"/>
      </w:pPr>
      <w:r>
        <w:lastRenderedPageBreak/>
        <w:fldChar w:fldCharType="begin" w:dirty="true"/>
      </w:r>
      <w:r>
        <w:rPr>
          <w:rtl w:val="0"/>
        </w:rPr>
        <w:instrText>HYPERLINK \l "b3_note65</w:instrText>
      </w:r>
      <w:r>
        <w:instrText>"</w:instrText>
      </w:r>
      <w:r>
        <w:fldChar w:fldCharType="separate"/>
      </w:r>
      <w:r>
        <w:t xml:space="preserve">נספח </w:t>
      </w:r>
      <w:proofErr w:type="spellStart"/>
      <w:r>
        <w:t>כב</w:t>
      </w:r>
      <w:proofErr w:type="spellEnd"/>
      <w:r>
        <w:fldChar w:fldCharType="end"/>
      </w:r>
      <w:bookmarkEnd w:id="3337"/>
    </w:p>
    <w:p w14:paraId="322FA06A" w14:textId="77777777" w:rsidR="00AB3647" w:rsidRDefault="00000000" w:rsidP="007923E9">
      <w:pPr>
        <w:pStyle w:val="af"/>
        <w:spacing w:line="276" w:lineRule="auto"/>
      </w:pPr>
      <w:r>
        <w:t>כיצד רומם הסבא את כבודם של בחורי הישיבות</w:t>
      </w:r>
    </w:p>
    <w:p w14:paraId="6829E27D" w14:textId="77777777" w:rsidR="00AB3647" w:rsidRDefault="00000000" w:rsidP="007923E9">
      <w:pPr>
        <w:pStyle w:val="4"/>
        <w:spacing w:line="276" w:lineRule="auto"/>
      </w:pPr>
      <w:r>
        <w:t>· הפסקה הראשונה ·</w:t>
      </w:r>
    </w:p>
    <w:p w14:paraId="29E2C967" w14:textId="77777777" w:rsidR="00AB3647" w:rsidRDefault="00000000" w:rsidP="007923E9">
      <w:pPr>
        <w:pStyle w:val="5"/>
        <w:spacing w:line="276" w:lineRule="auto"/>
      </w:pPr>
      <w:r>
        <w:t>הסבא מרומם את הערכתם העצמית של התלמידים</w:t>
      </w:r>
    </w:p>
    <w:p w14:paraId="7C552EC9" w14:textId="77777777" w:rsidR="00AB3647" w:rsidRDefault="00000000" w:rsidP="007923E9">
      <w:pPr>
        <w:spacing w:after="120" w:line="276" w:lineRule="auto"/>
        <w:ind w:firstLine="283"/>
        <w:jc w:val="both"/>
      </w:pPr>
      <w:r>
        <w:rPr>
          <w:rtl/>
        </w:rPr>
        <w:t xml:space="preserve">הקורא ימצא עניין בשיחה הבאה, מאחר שהיא ממחישה את גישתו החדשה של הסבא. חזר עליה ר׳ </w:t>
      </w:r>
      <w:proofErr w:type="spellStart"/>
      <w:r>
        <w:rPr>
          <w:rtl/>
        </w:rPr>
        <w:t>בערל־לייב</w:t>
      </w:r>
      <w:proofErr w:type="spellEnd"/>
      <w:r>
        <w:rPr>
          <w:rtl/>
        </w:rPr>
        <w:t xml:space="preserve"> ברזון</w:t>
      </w:r>
      <w:bookmarkStart w:id="3338" w:name="_fnr2431"/>
      <w:r>
        <w:rPr>
          <w:rStyle w:val="a5"/>
        </w:rPr>
        <w:footnoteReference w:id="2438" w:customMarkFollows="0"/>
      </w:r>
      <w:bookmarkEnd w:id="3338"/>
      <w:r>
        <w:rPr>
          <w:rtl/>
        </w:rPr>
        <w:t xml:space="preserve">, לאחר ששמע אותה מפי ר׳ שמואל </w:t>
      </w:r>
      <w:proofErr w:type="spellStart"/>
      <w:r>
        <w:rPr>
          <w:rtl/>
        </w:rPr>
        <w:t>יאלוב</w:t>
      </w:r>
      <w:proofErr w:type="spellEnd"/>
      <w:r>
        <w:rPr>
          <w:rtl/>
        </w:rPr>
        <w:t xml:space="preserve">, תלמיד </w:t>
      </w:r>
      <w:proofErr w:type="spellStart"/>
      <w:r>
        <w:rPr>
          <w:rtl/>
        </w:rPr>
        <w:t>ראדין</w:t>
      </w:r>
      <w:proofErr w:type="spellEnd"/>
      <w:r>
        <w:rPr>
          <w:rtl/>
        </w:rPr>
        <w:t xml:space="preserve"> ואחר כך </w:t>
      </w:r>
      <w:proofErr w:type="spellStart"/>
      <w:r>
        <w:rPr>
          <w:rtl/>
        </w:rPr>
        <w:t>סלבודקה</w:t>
      </w:r>
      <w:proofErr w:type="spellEnd"/>
      <w:r>
        <w:rPr>
          <w:rtl/>
        </w:rPr>
        <w:t>.</w:t>
      </w:r>
    </w:p>
    <w:p w14:paraId="6AF0C1F7" w14:textId="7DD923F8" w:rsidR="00AB3647" w:rsidRDefault="00000000" w:rsidP="007923E9">
      <w:pPr>
        <w:spacing w:after="120" w:line="276" w:lineRule="auto"/>
        <w:ind w:firstLine="283"/>
        <w:jc w:val="both"/>
      </w:pPr>
      <w:r>
        <w:rPr>
          <w:rtl/>
        </w:rPr>
        <w:t xml:space="preserve">הסבא הוכיח תחילה כמה נעלה העולם הנברא, מתוך שהקב״ה עצמו “טרח” לבראו. בפרקו אותו למרכיביו הראה שהיצור המדבר, האדם, הוא נזר הבריאה; מכל המדברים, הנבחר הוא ישראל; בתוך כלל ישראל, המובחרים הם המקדישים עצמם ללימוד התורה; ומתוך מובחרים אלה, תלמיד ישיבת </w:t>
      </w:r>
      <w:proofErr w:type="spellStart"/>
      <w:r>
        <w:rPr>
          <w:rtl/>
        </w:rPr>
        <w:t>סלבודקה</w:t>
      </w:r>
      <w:proofErr w:type="spellEnd"/>
      <w:r>
        <w:rPr>
          <w:rtl/>
        </w:rPr>
        <w:t>, המקדיש עצמו לתורה ולמוסר, הגיע למעלה הגבוהה ביותר. המסקנה הייתה שעל כל אחד משומעיו לשקול כל מעשה ממעשיו, כדי להבטיח שיישמר כבוד מעמדו הנשגב בראש הבריאה. (השווה גם הפסקה השלישית ב</w:t>
      </w:r>
      <w:r>
        <w:rPr>
          <w:rtl/>
        </w:rPr>
        <w:fldChar w:fldCharType="begin" w:dirty="true"/>
      </w:r>
      <w:r>
        <w:rPr>
          <w:rtl/>
        </w:rPr>
        <w:instrText xml:space="preserve"> REF b3_excR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יח</w:t>
      </w:r>
      <w:proofErr w:type="spellEnd"/>
      <w:r>
        <w:rPr>
          <w:rtl/>
        </w:rPr>
        <w:fldChar w:fldCharType="end"/>
      </w:r>
      <w:r>
        <w:rPr>
          <w:rtl/>
        </w:rPr>
        <w:t xml:space="preserve"> לעיל, כיצד יישם ר׳ </w:t>
      </w:r>
      <w:proofErr w:type="spellStart"/>
      <w:r>
        <w:rPr>
          <w:rtl/>
        </w:rPr>
        <w:t>ברוך־בער</w:t>
      </w:r>
      <w:proofErr w:type="spellEnd"/>
      <w:r>
        <w:rPr>
          <w:rtl/>
        </w:rPr>
        <w:t xml:space="preserve"> מהלך זה ביחס לישיבתו, </w:t>
      </w:r>
      <w:proofErr w:type="spellStart"/>
      <w:r>
        <w:rPr>
          <w:rtl/>
        </w:rPr>
        <w:t>קמניץ</w:t>
      </w:r>
      <w:proofErr w:type="spellEnd"/>
      <w:r>
        <w:rPr>
          <w:rtl/>
        </w:rPr>
        <w:t>.)</w:t>
      </w:r>
    </w:p>
    <w:p w14:paraId="314DFEC4" w14:textId="77777777" w:rsidR="00AB3647" w:rsidRDefault="00000000" w:rsidP="007923E9">
      <w:pPr>
        <w:pStyle w:val="4"/>
        <w:spacing w:line="276" w:lineRule="auto"/>
      </w:pPr>
      <w:r>
        <w:t>· הפסקה השנייה ·</w:t>
      </w:r>
    </w:p>
    <w:p w14:paraId="18337D8C" w14:textId="77777777" w:rsidR="00AB3647" w:rsidRDefault="00000000" w:rsidP="007923E9">
      <w:pPr>
        <w:pStyle w:val="5"/>
        <w:spacing w:line="276" w:lineRule="auto"/>
      </w:pPr>
      <w:proofErr w:type="spellStart"/>
      <w:r>
        <w:t>בסלבודקה</w:t>
      </w:r>
      <w:proofErr w:type="spellEnd"/>
      <w:r>
        <w:t xml:space="preserve"> אין מתירים לפתוח חולצה ברבים – מעמד בחורי הישיבות מתרומם </w:t>
      </w:r>
      <w:proofErr w:type="spellStart"/>
      <w:r>
        <w:t>במיר</w:t>
      </w:r>
      <w:proofErr w:type="spellEnd"/>
      <w:r>
        <w:t xml:space="preserve"> – יש המבקרים את דאגת </w:t>
      </w:r>
      <w:proofErr w:type="spellStart"/>
      <w:r>
        <w:t>סלבודקה</w:t>
      </w:r>
      <w:proofErr w:type="spellEnd"/>
      <w:r>
        <w:t xml:space="preserve"> ללבוש – גם ליציבה יש חשיבות בעיני הסבא</w:t>
      </w:r>
    </w:p>
    <w:p w14:paraId="0A641D42" w14:textId="77777777" w:rsidR="00AB3647" w:rsidRDefault="00000000" w:rsidP="007923E9">
      <w:pPr>
        <w:spacing w:after="120" w:line="276" w:lineRule="auto"/>
        <w:ind w:firstLine="283"/>
        <w:jc w:val="both"/>
      </w:pPr>
      <w:r>
        <w:rPr>
          <w:rtl/>
        </w:rPr>
        <w:t xml:space="preserve">אחד המאפיינים המיוחדים של ישיבת </w:t>
      </w:r>
      <w:proofErr w:type="spellStart"/>
      <w:r>
        <w:rPr>
          <w:rtl/>
        </w:rPr>
        <w:t>סלבודקה</w:t>
      </w:r>
      <w:proofErr w:type="spellEnd"/>
      <w:r>
        <w:rPr>
          <w:rtl/>
        </w:rPr>
        <w:t xml:space="preserve"> היה הדגש על לבוש מכובד. הסבא חש שהופעתם הנאה של תלמידי התורה תרומם את כבוד התורה בעיני בעלי הבתים ותעלה את הערכתם העצמית של התלמידים.</w:t>
      </w:r>
    </w:p>
    <w:p w14:paraId="3DC325B3" w14:textId="77777777" w:rsidR="00AB3647" w:rsidRDefault="00000000" w:rsidP="007923E9">
      <w:pPr>
        <w:spacing w:after="120" w:line="276" w:lineRule="auto"/>
        <w:ind w:firstLine="283"/>
        <w:jc w:val="both"/>
      </w:pPr>
      <w:r>
        <w:rPr>
          <w:rtl/>
        </w:rPr>
        <w:t xml:space="preserve">כך, למשל, תלמיד חדש שטרם הגיע לבר מצווה, מרדכי </w:t>
      </w:r>
      <w:proofErr w:type="spellStart"/>
      <w:r>
        <w:rPr>
          <w:rtl/>
        </w:rPr>
        <w:t>קרלינסקי</w:t>
      </w:r>
      <w:bookmarkStart w:id="3339" w:name="_fnr2432"/>
      <w:proofErr w:type="spellEnd"/>
      <w:r>
        <w:rPr>
          <w:rStyle w:val="a5"/>
        </w:rPr>
        <w:footnoteReference w:id="2439" w:customMarkFollows="0"/>
      </w:r>
      <w:bookmarkEnd w:id="3339"/>
      <w:r>
        <w:rPr>
          <w:rtl/>
        </w:rPr>
        <w:t>, פתח את חולצתו והוציא את ציציותיו כדי לנשקן בעת קריאת שמע. לאחר התפילה נזף בו הסבא ואמר לו: “כאן אין עושים כך: לא נאה לפתוח את החולצה ברבים”</w:t>
      </w:r>
      <w:bookmarkStart w:id="3340" w:name="_fnr2433"/>
      <w:r>
        <w:rPr>
          <w:rStyle w:val="a5"/>
        </w:rPr>
        <w:footnoteReference w:id="2440" w:customMarkFollows="0"/>
      </w:r>
      <w:bookmarkEnd w:id="3340"/>
      <w:r>
        <w:rPr>
          <w:rtl/>
        </w:rPr>
        <w:t xml:space="preserve">. אבא ז״ל לא התיר להשאיר חוץ מהשרוול של המעיל את היד השמאלית העטורה בתפילין של יד, כי אז נראה האדם מרושל בבגדיו. ופעם השים אבא ז״ל את לבי למה שנמצא במעדני יו״ט על </w:t>
      </w:r>
      <w:proofErr w:type="spellStart"/>
      <w:r>
        <w:rPr>
          <w:rtl/>
        </w:rPr>
        <w:t>הרא״ש</w:t>
      </w:r>
      <w:proofErr w:type="spellEnd"/>
      <w:r>
        <w:rPr>
          <w:rtl/>
        </w:rPr>
        <w:t xml:space="preserve"> פ״ב </w:t>
      </w:r>
      <w:proofErr w:type="spellStart"/>
      <w:r>
        <w:rPr>
          <w:rtl/>
        </w:rPr>
        <w:t>דברכות</w:t>
      </w:r>
      <w:proofErr w:type="spellEnd"/>
      <w:r>
        <w:rPr>
          <w:rtl/>
        </w:rPr>
        <w:t xml:space="preserve"> אות ג׳ סוף </w:t>
      </w:r>
      <w:proofErr w:type="spellStart"/>
      <w:r>
        <w:rPr>
          <w:rtl/>
        </w:rPr>
        <w:t>ס״ק</w:t>
      </w:r>
      <w:proofErr w:type="spellEnd"/>
      <w:r>
        <w:rPr>
          <w:rtl/>
        </w:rPr>
        <w:t xml:space="preserve"> נ׳ בטעם למה מכסים את העיניים בקריאת “שמע ישראל </w:t>
      </w:r>
      <w:proofErr w:type="spellStart"/>
      <w:r>
        <w:rPr>
          <w:rtl/>
        </w:rPr>
        <w:t>וכו</w:t>
      </w:r>
      <w:proofErr w:type="spellEnd"/>
      <w:r>
        <w:rPr>
          <w:rtl/>
        </w:rPr>
        <w:t xml:space="preserve">׳” והוא מפני שעל ידי </w:t>
      </w:r>
      <w:proofErr w:type="spellStart"/>
      <w:r>
        <w:rPr>
          <w:rtl/>
        </w:rPr>
        <w:t>העויה</w:t>
      </w:r>
      <w:proofErr w:type="spellEnd"/>
      <w:r>
        <w:rPr>
          <w:rtl/>
        </w:rPr>
        <w:t xml:space="preserve"> של גלגול עיניים הוא יתגנה בפני בני אדם.</w:t>
      </w:r>
    </w:p>
    <w:p w14:paraId="028A0AC4" w14:textId="77777777" w:rsidR="00AB3647" w:rsidRDefault="00000000" w:rsidP="007923E9">
      <w:pPr>
        <w:spacing w:after="120" w:line="276" w:lineRule="auto"/>
        <w:ind w:firstLine="283"/>
        <w:jc w:val="both"/>
      </w:pPr>
      <w:r>
        <w:rPr>
          <w:rtl/>
        </w:rPr>
        <w:lastRenderedPageBreak/>
        <w:t>ר׳ אלעזר לנגזם</w:t>
      </w:r>
      <w:bookmarkStart w:id="3341" w:name="_fnr2434"/>
      <w:r>
        <w:rPr>
          <w:rStyle w:val="a5"/>
        </w:rPr>
        <w:footnoteReference w:id="2441" w:customMarkFollows="0"/>
      </w:r>
      <w:bookmarkEnd w:id="3341"/>
      <w:r>
        <w:rPr>
          <w:rtl/>
        </w:rPr>
        <w:t xml:space="preserve"> סיפר שסבו ר׳ משה גורביץ, שלמד </w:t>
      </w:r>
      <w:proofErr w:type="spellStart"/>
      <w:r>
        <w:rPr>
          <w:rtl/>
        </w:rPr>
        <w:t>בסלבודקה</w:t>
      </w:r>
      <w:proofErr w:type="spellEnd"/>
      <w:r>
        <w:rPr>
          <w:rtl/>
        </w:rPr>
        <w:t>, נכנס פעם לבית המדרש כשבמעילו חסר כפתור, והסבא אמר לו: “עשה לי טובה: אל תבוא לישיבה עד שתתקן את המעיל.” לפי כץ, “תנועת המוסר”, כרך ג</w:t>
      </w:r>
      <w:bookmarkStart w:id="3342" w:name="_fnr2435"/>
      <w:r>
        <w:rPr>
          <w:rStyle w:val="a5"/>
        </w:rPr>
        <w:footnoteReference w:id="2442" w:customMarkFollows="0"/>
      </w:r>
      <w:bookmarkEnd w:id="3342"/>
      <w:r>
        <w:rPr>
          <w:rtl/>
        </w:rPr>
        <w:t xml:space="preserve">, “הישיבה שכרה חייט בשנותיה הראשונות [?] כדי לתקן את בגדי התלמידים. לפעמים ר׳ </w:t>
      </w:r>
      <w:proofErr w:type="spellStart"/>
      <w:r>
        <w:rPr>
          <w:rtl/>
        </w:rPr>
        <w:t>נתן־צבי</w:t>
      </w:r>
      <w:proofErr w:type="spellEnd"/>
      <w:r>
        <w:rPr>
          <w:rtl/>
        </w:rPr>
        <w:t xml:space="preserve"> עצמו היה מלווה תלמיד אל החייט כדי לוודא שהתפירה תיעשה בקפידה. פעם, כשתלמיד הופיע בבגד שחסר בו כפתור, ניגש אליו ר׳ </w:t>
      </w:r>
      <w:proofErr w:type="spellStart"/>
      <w:r>
        <w:rPr>
          <w:rtl/>
        </w:rPr>
        <w:t>נתן־צבי</w:t>
      </w:r>
      <w:proofErr w:type="spellEnd"/>
      <w:r>
        <w:rPr>
          <w:rtl/>
        </w:rPr>
        <w:t xml:space="preserve"> ובידו מחט וחוט לתפור לו כפתור.”</w:t>
      </w:r>
    </w:p>
    <w:p w14:paraId="04CBA04D" w14:textId="0E45E93E" w:rsidR="00AB3647" w:rsidRDefault="00000000" w:rsidP="007923E9">
      <w:pPr>
        <w:spacing w:after="120" w:line="276" w:lineRule="auto"/>
        <w:ind w:firstLine="283"/>
        <w:jc w:val="both"/>
      </w:pPr>
      <w:r>
        <w:rPr>
          <w:rtl/>
        </w:rPr>
        <w:t xml:space="preserve">השווה גם פרק 5, </w:t>
      </w:r>
      <w:r>
        <w:rPr>
          <w:rtl/>
        </w:rPr>
        <w:fldChar w:fldCharType="begin" w:dirty="true"/>
      </w:r>
      <w:r>
        <w:rPr>
          <w:rtl/>
        </w:rPr>
        <w:instrText xml:space="preserve"> REF b5_excA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א</w:t>
      </w:r>
      <w:r>
        <w:rPr>
          <w:rtl/>
        </w:rPr>
        <w:fldChar w:fldCharType="end"/>
      </w:r>
      <w:r>
        <w:rPr>
          <w:rtl/>
        </w:rPr>
        <w:t xml:space="preserve">, שבו מוסברת תכלית גילוחם של תלמידי </w:t>
      </w:r>
      <w:proofErr w:type="spellStart"/>
      <w:r>
        <w:rPr>
          <w:rtl/>
        </w:rPr>
        <w:t>סלבודקה</w:t>
      </w:r>
      <w:proofErr w:type="spellEnd"/>
      <w:r>
        <w:rPr>
          <w:rtl/>
        </w:rPr>
        <w:t xml:space="preserve"> כהשגת אותה מטרה. אבל הסתייגותו של הסבא מהופעה מרושלת מוסברת שם בדרך אחרת, באמצעות דבריו: “חור בשרוול הוא חור בראש; כובע מקומט ובלוי מעיד על מוח מבולבל.” לפי זה, לסדר ולהופעה הנאה יש חשיבות עצמית, ולא רק כאמצעי לעורר את הערכת המתבונן.</w:t>
      </w:r>
    </w:p>
    <w:p w14:paraId="12D16C11" w14:textId="77777777" w:rsidR="00AB3647" w:rsidRDefault="00000000" w:rsidP="007923E9">
      <w:pPr>
        <w:spacing w:after="120" w:line="276" w:lineRule="auto"/>
        <w:ind w:firstLine="283"/>
        <w:jc w:val="both"/>
      </w:pPr>
      <w:r>
        <w:rPr>
          <w:rtl/>
        </w:rPr>
        <w:t xml:space="preserve">ר׳ משה </w:t>
      </w:r>
      <w:proofErr w:type="spellStart"/>
      <w:r>
        <w:rPr>
          <w:rtl/>
        </w:rPr>
        <w:t>קרלינסקי</w:t>
      </w:r>
      <w:bookmarkStart w:id="3343" w:name="_fnr2436"/>
      <w:proofErr w:type="spellEnd"/>
      <w:r>
        <w:rPr>
          <w:rStyle w:val="a5"/>
        </w:rPr>
        <w:footnoteReference w:id="2443" w:customMarkFollows="0"/>
      </w:r>
      <w:bookmarkEnd w:id="3343"/>
      <w:r>
        <w:rPr>
          <w:rtl/>
        </w:rPr>
        <w:t xml:space="preserve"> מסר כיצד בואם </w:t>
      </w:r>
      <w:proofErr w:type="spellStart"/>
      <w:r>
        <w:rPr>
          <w:rtl/>
        </w:rPr>
        <w:t>למיר</w:t>
      </w:r>
      <w:bookmarkStart w:id="3344" w:name="_fnr2437"/>
      <w:proofErr w:type="spellEnd"/>
      <w:r>
        <w:rPr>
          <w:rStyle w:val="a5"/>
        </w:rPr>
        <w:footnoteReference w:id="2444" w:customMarkFollows="0"/>
      </w:r>
      <w:bookmarkEnd w:id="3344"/>
      <w:r>
        <w:rPr>
          <w:rtl/>
        </w:rPr>
        <w:t xml:space="preserve"> של עשרה תלמידי </w:t>
      </w:r>
      <w:proofErr w:type="spellStart"/>
      <w:r>
        <w:rPr>
          <w:rtl/>
        </w:rPr>
        <w:t>סלבודקה</w:t>
      </w:r>
      <w:proofErr w:type="spellEnd"/>
      <w:r>
        <w:rPr>
          <w:rtl/>
        </w:rPr>
        <w:t xml:space="preserve"> </w:t>
      </w:r>
      <w:proofErr w:type="spellStart"/>
      <w:r>
        <w:rPr>
          <w:rtl/>
        </w:rPr>
        <w:t>בתרס״ה</w:t>
      </w:r>
      <w:proofErr w:type="spellEnd"/>
      <w:r>
        <w:rPr>
          <w:rtl/>
        </w:rPr>
        <w:t xml:space="preserve"> – ובהם ר׳ אייזיק שר ור׳ </w:t>
      </w:r>
      <w:proofErr w:type="spellStart"/>
      <w:r>
        <w:rPr>
          <w:rtl/>
        </w:rPr>
        <w:t>יחיאל־יעקב</w:t>
      </w:r>
      <w:proofErr w:type="spellEnd"/>
      <w:r>
        <w:rPr>
          <w:rtl/>
        </w:rPr>
        <w:t xml:space="preserve"> ויינברג – שיפר באורח ניכר את יחסם של בני העיר לבחורי ישיבות, בשל לבושם והופעתם של הבאים. הם באו כדי להצטרף </w:t>
      </w:r>
      <w:proofErr w:type="spellStart"/>
      <w:r>
        <w:rPr>
          <w:rtl/>
        </w:rPr>
        <w:t>לר</w:t>
      </w:r>
      <w:proofErr w:type="spellEnd"/>
      <w:r>
        <w:rPr>
          <w:rtl/>
        </w:rPr>
        <w:t xml:space="preserve">׳ </w:t>
      </w:r>
      <w:proofErr w:type="spellStart"/>
      <w:r>
        <w:rPr>
          <w:rtl/>
        </w:rPr>
        <w:t>לייזר־יודל</w:t>
      </w:r>
      <w:proofErr w:type="spellEnd"/>
      <w:r>
        <w:rPr>
          <w:rtl/>
        </w:rPr>
        <w:t xml:space="preserve"> </w:t>
      </w:r>
      <w:proofErr w:type="spellStart"/>
      <w:r>
        <w:rPr>
          <w:rtl/>
        </w:rPr>
        <w:t>פינקל</w:t>
      </w:r>
      <w:proofErr w:type="spellEnd"/>
      <w:r>
        <w:rPr>
          <w:rtl/>
        </w:rPr>
        <w:t xml:space="preserve">, חתנו החדש של רבה וראש ישיבתה של </w:t>
      </w:r>
      <w:proofErr w:type="spellStart"/>
      <w:r>
        <w:rPr>
          <w:rtl/>
        </w:rPr>
        <w:t>מיר</w:t>
      </w:r>
      <w:proofErr w:type="spellEnd"/>
      <w:r>
        <w:rPr>
          <w:rtl/>
        </w:rPr>
        <w:t xml:space="preserve">, ר׳ </w:t>
      </w:r>
      <w:proofErr w:type="spellStart"/>
      <w:r>
        <w:rPr>
          <w:rtl/>
        </w:rPr>
        <w:t>אליהו־ברוך</w:t>
      </w:r>
      <w:proofErr w:type="spellEnd"/>
      <w:r>
        <w:rPr>
          <w:rtl/>
        </w:rPr>
        <w:t xml:space="preserve"> קמאי.</w:t>
      </w:r>
    </w:p>
    <w:p w14:paraId="072B743A" w14:textId="77777777" w:rsidR="00AB3647" w:rsidRDefault="00000000" w:rsidP="007923E9">
      <w:pPr>
        <w:spacing w:after="120" w:line="276" w:lineRule="auto"/>
        <w:ind w:firstLine="283"/>
        <w:jc w:val="both"/>
      </w:pPr>
      <w:r>
        <w:rPr>
          <w:rtl/>
        </w:rPr>
        <w:t xml:space="preserve">את הדבר סיפר לו קרוב משפחה שהתגורר </w:t>
      </w:r>
      <w:proofErr w:type="spellStart"/>
      <w:r>
        <w:rPr>
          <w:rtl/>
        </w:rPr>
        <w:t>במיר</w:t>
      </w:r>
      <w:proofErr w:type="spellEnd"/>
      <w:r>
        <w:rPr>
          <w:rtl/>
        </w:rPr>
        <w:t>. הציבור הכללי ראה את התלמידים החדשים בעין טובה. אבל באשר לממונים הרשמיים, סיפר ר׳ מאיר ליברמן</w:t>
      </w:r>
      <w:bookmarkStart w:id="3345" w:name="_fnr2438"/>
      <w:r>
        <w:rPr>
          <w:rStyle w:val="a5"/>
        </w:rPr>
        <w:footnoteReference w:id="2445" w:customMarkFollows="0"/>
      </w:r>
      <w:bookmarkEnd w:id="3345"/>
      <w:r>
        <w:rPr>
          <w:rtl/>
        </w:rPr>
        <w:t xml:space="preserve"> את הידיעה המדהימה שנדרשו לשכור קצבים תקיפים שיבקרו אצל הגבאים ויאלצו אותם בכוח לוותר על שליטתם בישיבה</w:t>
      </w:r>
      <w:bookmarkStart w:id="3346" w:name="_fnr2439"/>
      <w:r>
        <w:rPr>
          <w:rStyle w:val="a5"/>
        </w:rPr>
        <w:footnoteReference w:id="2446" w:customMarkFollows="0"/>
      </w:r>
      <w:bookmarkEnd w:id="3346"/>
      <w:r>
        <w:rPr>
          <w:rtl/>
        </w:rPr>
        <w:t>.</w:t>
      </w:r>
    </w:p>
    <w:p w14:paraId="2916982C" w14:textId="77777777" w:rsidR="00AB3647" w:rsidRDefault="00000000" w:rsidP="007923E9">
      <w:pPr>
        <w:spacing w:after="120" w:line="276" w:lineRule="auto"/>
        <w:ind w:firstLine="283"/>
        <w:jc w:val="both"/>
      </w:pPr>
      <w:r>
        <w:rPr>
          <w:rtl/>
        </w:rPr>
        <w:t>סיפור שסיפר ר׳ אלי׳ שווי</w:t>
      </w:r>
      <w:bookmarkStart w:id="3347" w:name="_fnr2440"/>
      <w:r>
        <w:rPr>
          <w:rStyle w:val="a5"/>
        </w:rPr>
        <w:footnoteReference w:id="2447" w:customMarkFollows="0"/>
      </w:r>
      <w:bookmarkEnd w:id="3347"/>
      <w:r>
        <w:rPr>
          <w:rtl/>
        </w:rPr>
        <w:t xml:space="preserve"> ממחיש כיצד נודעה ישיבת </w:t>
      </w:r>
      <w:proofErr w:type="spellStart"/>
      <w:r>
        <w:rPr>
          <w:rtl/>
        </w:rPr>
        <w:t>סלבודקה</w:t>
      </w:r>
      <w:proofErr w:type="spellEnd"/>
      <w:r>
        <w:rPr>
          <w:rtl/>
        </w:rPr>
        <w:t xml:space="preserve"> – לטוב או לרע – בהקפדתה על לבוש נאה. לאחר פסח תש״ג, כשעמד ר׳ אליהו לעבור ממתיבתא תורה ודעת לבית מדרש גבוה של ר׳ אהרן קוטלר </w:t>
      </w:r>
      <w:proofErr w:type="spellStart"/>
      <w:r>
        <w:rPr>
          <w:rtl/>
        </w:rPr>
        <w:t>בלייקווד</w:t>
      </w:r>
      <w:proofErr w:type="spellEnd"/>
      <w:r>
        <w:rPr>
          <w:rtl/>
        </w:rPr>
        <w:t xml:space="preserve">, הלך להיפרד מראש ישיבתו ר׳ שלמה היימן, והלה אמר לו: “כשרציתי לעבור מישיבתו של ר׳ </w:t>
      </w:r>
      <w:proofErr w:type="spellStart"/>
      <w:r>
        <w:rPr>
          <w:rtl/>
        </w:rPr>
        <w:t>ברוך־בער</w:t>
      </w:r>
      <w:proofErr w:type="spellEnd"/>
      <w:r>
        <w:rPr>
          <w:rtl/>
        </w:rPr>
        <w:t xml:space="preserve"> </w:t>
      </w:r>
      <w:proofErr w:type="spellStart"/>
      <w:r>
        <w:rPr>
          <w:rtl/>
        </w:rPr>
        <w:t>ליבוביץ</w:t>
      </w:r>
      <w:proofErr w:type="spellEnd"/>
      <w:r>
        <w:rPr>
          <w:rtl/>
        </w:rPr>
        <w:t xml:space="preserve"> </w:t>
      </w:r>
      <w:proofErr w:type="spellStart"/>
      <w:r>
        <w:rPr>
          <w:rtl/>
        </w:rPr>
        <w:t>בהלוסק</w:t>
      </w:r>
      <w:proofErr w:type="spellEnd"/>
      <w:r>
        <w:rPr>
          <w:rtl/>
        </w:rPr>
        <w:t xml:space="preserve"> לכנסת ישראל </w:t>
      </w:r>
      <w:proofErr w:type="spellStart"/>
      <w:r>
        <w:rPr>
          <w:rtl/>
        </w:rPr>
        <w:t>שבסלבודקה</w:t>
      </w:r>
      <w:proofErr w:type="spellEnd"/>
      <w:r>
        <w:rPr>
          <w:rtl/>
        </w:rPr>
        <w:t xml:space="preserve"> לפני יותר מארבעים שנה, שאל אותי רבי: ‘מה ראית </w:t>
      </w:r>
      <w:proofErr w:type="spellStart"/>
      <w:r>
        <w:rPr>
          <w:rtl/>
        </w:rPr>
        <w:t>בסלבודקה</w:t>
      </w:r>
      <w:proofErr w:type="spellEnd"/>
      <w:r>
        <w:rPr>
          <w:rtl/>
        </w:rPr>
        <w:t xml:space="preserve"> [שאין לך כאן]: את שעוני הזהב ואת מקלות ההליכה?’ ושיניתי את תוכניותיי”</w:t>
      </w:r>
      <w:bookmarkStart w:id="3348" w:name="_fnr2441"/>
      <w:r>
        <w:rPr>
          <w:rStyle w:val="a5"/>
        </w:rPr>
        <w:footnoteReference w:id="2448" w:customMarkFollows="0"/>
      </w:r>
      <w:bookmarkEnd w:id="3348"/>
      <w:r>
        <w:rPr>
          <w:rtl/>
        </w:rPr>
        <w:t>.</w:t>
      </w:r>
    </w:p>
    <w:p w14:paraId="62D88991" w14:textId="77777777" w:rsidR="00AB3647" w:rsidRDefault="00000000" w:rsidP="007923E9">
      <w:pPr>
        <w:spacing w:after="120" w:line="276" w:lineRule="auto"/>
        <w:ind w:firstLine="283"/>
        <w:jc w:val="both"/>
      </w:pPr>
      <w:proofErr w:type="spellStart"/>
      <w:r>
        <w:rPr>
          <w:rtl/>
        </w:rPr>
        <w:lastRenderedPageBreak/>
        <w:t>רישל</w:t>
      </w:r>
      <w:proofErr w:type="spellEnd"/>
      <w:r>
        <w:rPr>
          <w:rtl/>
        </w:rPr>
        <w:t xml:space="preserve"> קוטלר הראתה לי</w:t>
      </w:r>
      <w:bookmarkStart w:id="3349" w:name="_fnr2442"/>
      <w:r>
        <w:rPr>
          <w:rStyle w:val="a5"/>
        </w:rPr>
        <w:footnoteReference w:id="2449" w:customMarkFollows="0"/>
      </w:r>
      <w:bookmarkEnd w:id="3349"/>
      <w:r>
        <w:rPr>
          <w:rtl/>
        </w:rPr>
        <w:t xml:space="preserve"> מכתבים ששלח ר׳ </w:t>
      </w:r>
      <w:proofErr w:type="spellStart"/>
      <w:r>
        <w:rPr>
          <w:rtl/>
        </w:rPr>
        <w:t>אברהם־אליהו</w:t>
      </w:r>
      <w:proofErr w:type="spellEnd"/>
      <w:r>
        <w:rPr>
          <w:rtl/>
        </w:rPr>
        <w:t xml:space="preserve"> קפלן לאביה ר׳ </w:t>
      </w:r>
      <w:proofErr w:type="spellStart"/>
      <w:r>
        <w:rPr>
          <w:rtl/>
        </w:rPr>
        <w:t>אריה־מלכיאל</w:t>
      </w:r>
      <w:proofErr w:type="spellEnd"/>
      <w:r>
        <w:rPr>
          <w:rtl/>
        </w:rPr>
        <w:t xml:space="preserve"> פרידמן</w:t>
      </w:r>
      <w:bookmarkStart w:id="3350" w:name="_fnr2443"/>
      <w:r>
        <w:rPr>
          <w:rStyle w:val="a5"/>
        </w:rPr>
        <w:footnoteReference w:id="2450" w:customMarkFollows="0"/>
      </w:r>
      <w:bookmarkEnd w:id="3350"/>
      <w:r>
        <w:rPr>
          <w:rtl/>
        </w:rPr>
        <w:t>. באחד מהם התנצל על שכתב בצדו האחורי של נייר מכתבים, והסביר: “</w:t>
      </w:r>
      <w:proofErr w:type="spellStart"/>
      <w:r>
        <w:rPr>
          <w:rtl/>
        </w:rPr>
        <w:t>הסלבודקאים</w:t>
      </w:r>
      <w:proofErr w:type="spellEnd"/>
      <w:r>
        <w:rPr>
          <w:rtl/>
        </w:rPr>
        <w:t xml:space="preserve"> אמנם מקפידים ביותר על חיצוניות – </w:t>
      </w:r>
      <w:r>
        <w:rPr>
          <w:b/>
          <w:bCs/>
          <w:rtl/>
        </w:rPr>
        <w:t>כמו קלם, חלילה</w:t>
      </w:r>
      <w:r>
        <w:rPr>
          <w:rtl/>
        </w:rPr>
        <w:t xml:space="preserve"> (ההדגשה שלי) – והעיקר הוא הפנימיות.” נראה שההערה המודגשת חושפת את מקור עמידתו של הסבא על הופעה מכובדת – השפעת רבו, ר׳ </w:t>
      </w:r>
      <w:proofErr w:type="spellStart"/>
      <w:r>
        <w:rPr>
          <w:rtl/>
        </w:rPr>
        <w:t>שמחה־זיסל</w:t>
      </w:r>
      <w:proofErr w:type="spellEnd"/>
      <w:r>
        <w:rPr>
          <w:rtl/>
        </w:rPr>
        <w:t>.</w:t>
      </w:r>
    </w:p>
    <w:p w14:paraId="28225D00" w14:textId="77777777" w:rsidR="00AB3647" w:rsidRDefault="00000000" w:rsidP="007923E9">
      <w:pPr>
        <w:spacing w:after="120" w:line="276" w:lineRule="auto"/>
        <w:ind w:firstLine="283"/>
        <w:jc w:val="both"/>
      </w:pPr>
      <w:r>
        <w:rPr>
          <w:rtl/>
        </w:rPr>
        <w:t>כץ</w:t>
      </w:r>
      <w:bookmarkStart w:id="3351" w:name="_fnr2444"/>
      <w:r>
        <w:rPr>
          <w:rStyle w:val="a5"/>
        </w:rPr>
        <w:footnoteReference w:id="2451" w:customMarkFollows="0"/>
      </w:r>
      <w:bookmarkEnd w:id="3351"/>
      <w:r>
        <w:rPr>
          <w:rtl/>
        </w:rPr>
        <w:t xml:space="preserve"> מציין שהסבא השגיח גם על יציבת תלמידיו, ודרש שיעמדו זקופים</w:t>
      </w:r>
      <w:bookmarkStart w:id="3352" w:name="_fnr2445"/>
      <w:r>
        <w:rPr>
          <w:rStyle w:val="a5"/>
        </w:rPr>
        <w:footnoteReference w:id="2452" w:customMarkFollows="0"/>
      </w:r>
      <w:bookmarkEnd w:id="3352"/>
      <w:r>
        <w:rPr>
          <w:rtl/>
        </w:rPr>
        <w:t>. ר׳ שמואל כץ סיפר לי</w:t>
      </w:r>
      <w:bookmarkStart w:id="3353" w:name="_fnr2446"/>
      <w:r>
        <w:rPr>
          <w:rStyle w:val="a5"/>
        </w:rPr>
        <w:footnoteReference w:id="2453" w:customMarkFollows="0"/>
      </w:r>
      <w:bookmarkEnd w:id="3353"/>
      <w:r>
        <w:rPr>
          <w:rtl/>
        </w:rPr>
        <w:t xml:space="preserve"> שר׳ יחזקאל </w:t>
      </w:r>
      <w:proofErr w:type="spellStart"/>
      <w:r>
        <w:rPr>
          <w:rtl/>
        </w:rPr>
        <w:t>ברשטיין</w:t>
      </w:r>
      <w:bookmarkStart w:id="3354" w:name="_fnr2447"/>
      <w:proofErr w:type="spellEnd"/>
      <w:r>
        <w:rPr>
          <w:rStyle w:val="a5"/>
        </w:rPr>
        <w:footnoteReference w:id="2454" w:customMarkFollows="0"/>
      </w:r>
      <w:bookmarkEnd w:id="3354"/>
      <w:r>
        <w:rPr>
          <w:rtl/>
        </w:rPr>
        <w:t xml:space="preserve">, שאצלו למד בישיבה הקטנה אור ישראל </w:t>
      </w:r>
      <w:proofErr w:type="spellStart"/>
      <w:r>
        <w:rPr>
          <w:rtl/>
        </w:rPr>
        <w:t>בסלבודקה</w:t>
      </w:r>
      <w:proofErr w:type="spellEnd"/>
      <w:r>
        <w:rPr>
          <w:rtl/>
        </w:rPr>
        <w:t xml:space="preserve">, סיפר לו שר׳ ראובן </w:t>
      </w:r>
      <w:proofErr w:type="spellStart"/>
      <w:r>
        <w:rPr>
          <w:rtl/>
        </w:rPr>
        <w:t>גרוזובסקי</w:t>
      </w:r>
      <w:proofErr w:type="spellEnd"/>
      <w:r>
        <w:rPr>
          <w:rtl/>
        </w:rPr>
        <w:t xml:space="preserve"> עמד כפוף.</w:t>
      </w:r>
    </w:p>
    <w:p w14:paraId="49569893" w14:textId="77777777" w:rsidR="00AB3647" w:rsidRDefault="00000000" w:rsidP="007923E9">
      <w:pPr>
        <w:spacing w:after="120" w:line="276" w:lineRule="auto"/>
        <w:ind w:firstLine="283"/>
        <w:jc w:val="both"/>
      </w:pPr>
      <w:r>
        <w:rPr>
          <w:rtl/>
        </w:rPr>
        <w:t>לאחר כמה ניסיונות שלא צלחו להביאו לשפר את יציבתו, הורה לו הסבא להרכיב משקפי צבט, שיאלצו אותו לעמוד זקוף לגמרי כדי שלא יישמטו מעל אפו.</w:t>
      </w:r>
    </w:p>
    <w:p w14:paraId="1A28157F" w14:textId="77777777" w:rsidR="00AB3647" w:rsidRDefault="00000000" w:rsidP="007923E9">
      <w:pPr>
        <w:pStyle w:val="4"/>
        <w:spacing w:line="276" w:lineRule="auto"/>
      </w:pPr>
      <w:r>
        <w:t>· הפסקה השלישית ·</w:t>
      </w:r>
    </w:p>
    <w:p w14:paraId="0ECD77AA" w14:textId="77777777" w:rsidR="00AB3647" w:rsidRDefault="00000000" w:rsidP="007923E9">
      <w:pPr>
        <w:pStyle w:val="5"/>
        <w:spacing w:line="276" w:lineRule="auto"/>
      </w:pPr>
      <w:r>
        <w:t>ר׳ מאיר חדש מסביר כיצד מתפתחת תמונה שלמה של מושג במוחות התלמידים</w:t>
      </w:r>
    </w:p>
    <w:p w14:paraId="7B747604" w14:textId="77777777" w:rsidR="00AB3647" w:rsidRDefault="00000000" w:rsidP="007923E9">
      <w:pPr>
        <w:spacing w:after="120" w:line="276" w:lineRule="auto"/>
        <w:ind w:firstLine="283"/>
        <w:jc w:val="both"/>
      </w:pPr>
      <w:r>
        <w:rPr>
          <w:rtl/>
        </w:rPr>
        <w:t xml:space="preserve">“המאיר – ספר </w:t>
      </w:r>
      <w:proofErr w:type="spellStart"/>
      <w:r>
        <w:rPr>
          <w:rtl/>
        </w:rPr>
        <w:t>זכרון</w:t>
      </w:r>
      <w:proofErr w:type="spellEnd"/>
      <w:r>
        <w:rPr>
          <w:rtl/>
        </w:rPr>
        <w:t>”</w:t>
      </w:r>
      <w:bookmarkStart w:id="3355" w:name="_fnr2448"/>
      <w:r>
        <w:rPr>
          <w:rStyle w:val="a5"/>
        </w:rPr>
        <w:footnoteReference w:id="2455" w:customMarkFollows="0"/>
      </w:r>
      <w:bookmarkEnd w:id="3355"/>
      <w:r>
        <w:rPr>
          <w:rtl/>
        </w:rPr>
        <w:t xml:space="preserve"> מספר שכאשר ביקר הסבא אצל תלמידו ר׳ </w:t>
      </w:r>
      <w:proofErr w:type="spellStart"/>
      <w:r>
        <w:rPr>
          <w:rtl/>
        </w:rPr>
        <w:t>יחיאל־יעקב</w:t>
      </w:r>
      <w:proofErr w:type="spellEnd"/>
      <w:r>
        <w:rPr>
          <w:rtl/>
        </w:rPr>
        <w:t xml:space="preserve"> ויינברג בברלין, בלוויית תלמיד אחר מתקופה מאוחרת יותר, ר׳ מאיר חדש – ודאי אירע הדבר במחצית הראשונה של שנות </w:t>
      </w:r>
      <w:proofErr w:type="spellStart"/>
      <w:r>
        <w:rPr>
          <w:rtl/>
        </w:rPr>
        <w:t>התר״פ</w:t>
      </w:r>
      <w:proofErr w:type="spellEnd"/>
      <w:r>
        <w:rPr>
          <w:rtl/>
        </w:rPr>
        <w:t xml:space="preserve"> – שאל ר׳ </w:t>
      </w:r>
      <w:proofErr w:type="spellStart"/>
      <w:r>
        <w:rPr>
          <w:rtl/>
        </w:rPr>
        <w:t>יחיאל־יעקב</w:t>
      </w:r>
      <w:proofErr w:type="spellEnd"/>
      <w:r>
        <w:rPr>
          <w:rtl/>
        </w:rPr>
        <w:t xml:space="preserve"> מדוע יש לתלמידי </w:t>
      </w:r>
      <w:proofErr w:type="spellStart"/>
      <w:r>
        <w:rPr>
          <w:rtl/>
        </w:rPr>
        <w:t>סלבודקה</w:t>
      </w:r>
      <w:proofErr w:type="spellEnd"/>
      <w:r>
        <w:rPr>
          <w:rtl/>
        </w:rPr>
        <w:t xml:space="preserve"> מעט מאוד לומר כשהם באים לעירו והוא מבקש מהם לחזור על דברי רבם בשיחותיו, “והוא יודע שהסבא דורש מוסר יומם ולילה”. ברשות הסבא התנדב ר׳ מאיר להשיב, ואמר </w:t>
      </w:r>
      <w:proofErr w:type="spellStart"/>
      <w:r>
        <w:rPr>
          <w:rtl/>
        </w:rPr>
        <w:t>לר</w:t>
      </w:r>
      <w:proofErr w:type="spellEnd"/>
      <w:r>
        <w:rPr>
          <w:rtl/>
        </w:rPr>
        <w:t xml:space="preserve">׳ </w:t>
      </w:r>
      <w:proofErr w:type="spellStart"/>
      <w:r>
        <w:rPr>
          <w:rtl/>
        </w:rPr>
        <w:t>יחיאל־יעקב</w:t>
      </w:r>
      <w:proofErr w:type="spellEnd"/>
      <w:r>
        <w:rPr>
          <w:rtl/>
        </w:rPr>
        <w:t>: “כשבחור חוזר על מאמר חז״ל שהמלאכים [התרשמו כל כך מאדם הראשון לפני החטא עד ש]ביקשו לומר לפניו ‘קדוש’</w:t>
      </w:r>
      <w:bookmarkStart w:id="3356" w:name="_fnr2449"/>
      <w:r>
        <w:rPr>
          <w:rStyle w:val="a5"/>
        </w:rPr>
        <w:footnoteReference w:id="2456" w:customMarkFollows="0"/>
      </w:r>
      <w:bookmarkEnd w:id="3356"/>
      <w:r>
        <w:rPr>
          <w:rtl/>
        </w:rPr>
        <w:t xml:space="preserve"> – והתלמיד אומר זאת כדבר פשוט – הוא רואה זאת כך רק מכוח השפעתן של שיחות רבות, שהחדירו מושג זה למוחו של הבחור. נמצא שהתלמידים חוזרים בפניך לא על שיחה אחת, אלא על שיחות רבות.”</w:t>
      </w:r>
    </w:p>
    <w:p w14:paraId="3DE07FAC" w14:textId="77777777" w:rsidR="00AB3647" w:rsidRDefault="00000000" w:rsidP="007923E9">
      <w:pPr>
        <w:spacing w:after="120" w:line="276" w:lineRule="auto"/>
        <w:ind w:firstLine="283"/>
        <w:jc w:val="both"/>
      </w:pPr>
      <w:r>
        <w:rPr>
          <w:rtl/>
        </w:rPr>
        <w:t xml:space="preserve">אז שאל ר׳ מאיר את ר׳ </w:t>
      </w:r>
      <w:proofErr w:type="spellStart"/>
      <w:r>
        <w:rPr>
          <w:rtl/>
        </w:rPr>
        <w:t>יחיאל־יעקב</w:t>
      </w:r>
      <w:proofErr w:type="spellEnd"/>
      <w:r>
        <w:rPr>
          <w:rtl/>
        </w:rPr>
        <w:t xml:space="preserve"> ויינברג שאלה משלו: האם הבחין שתלמידי </w:t>
      </w:r>
      <w:proofErr w:type="spellStart"/>
      <w:r>
        <w:rPr>
          <w:rtl/>
        </w:rPr>
        <w:t>סלבודקה</w:t>
      </w:r>
      <w:proofErr w:type="spellEnd"/>
      <w:r>
        <w:rPr>
          <w:rtl/>
        </w:rPr>
        <w:t xml:space="preserve"> המבקרים אצלו “שונים מבחורי ישיבות אחרים”? ר׳ </w:t>
      </w:r>
      <w:proofErr w:type="spellStart"/>
      <w:r>
        <w:rPr>
          <w:rtl/>
        </w:rPr>
        <w:t>יחיאל־יעקב</w:t>
      </w:r>
      <w:proofErr w:type="spellEnd"/>
      <w:r>
        <w:rPr>
          <w:rtl/>
        </w:rPr>
        <w:t xml:space="preserve"> השיב: “בהחלט”, ור׳ מאיר אמר: “גם זה פועלן של שיחות רבות.”</w:t>
      </w:r>
    </w:p>
    <w:bookmarkStart w:id="3357" w:name="b3_excW"/>
    <w:p w14:paraId="688ECC03" w14:textId="77777777" w:rsidR="00AB3647" w:rsidRDefault="00000000" w:rsidP="007923E9">
      <w:pPr>
        <w:pStyle w:val="3"/>
        <w:spacing w:line="276" w:lineRule="auto"/>
      </w:pPr>
      <w:r>
        <w:lastRenderedPageBreak/>
        <w:fldChar w:fldCharType="begin" w:dirty="true"/>
      </w:r>
      <w:r>
        <w:rPr>
          <w:rtl w:val="0"/>
        </w:rPr>
        <w:instrText>HYPERLINK \l "b3_note78</w:instrText>
      </w:r>
      <w:r>
        <w:instrText>"</w:instrText>
      </w:r>
      <w:r>
        <w:fldChar w:fldCharType="separate"/>
      </w:r>
      <w:r>
        <w:t xml:space="preserve">נספח </w:t>
      </w:r>
      <w:proofErr w:type="spellStart"/>
      <w:r>
        <w:t>כג</w:t>
      </w:r>
      <w:proofErr w:type="spellEnd"/>
      <w:r>
        <w:fldChar w:fldCharType="end"/>
      </w:r>
      <w:bookmarkEnd w:id="3357"/>
    </w:p>
    <w:p w14:paraId="493589D2" w14:textId="77777777" w:rsidR="00AB3647" w:rsidRDefault="00000000" w:rsidP="007923E9">
      <w:pPr>
        <w:pStyle w:val="af"/>
        <w:spacing w:line="276" w:lineRule="auto"/>
      </w:pPr>
      <w:r>
        <w:t xml:space="preserve">על חיי הבית של הסבא </w:t>
      </w:r>
      <w:proofErr w:type="spellStart"/>
      <w:r>
        <w:t>מסלבודקה</w:t>
      </w:r>
      <w:proofErr w:type="spellEnd"/>
    </w:p>
    <w:p w14:paraId="25F52B5C" w14:textId="77777777" w:rsidR="00AB3647" w:rsidRDefault="00000000" w:rsidP="007923E9">
      <w:pPr>
        <w:pStyle w:val="4"/>
        <w:spacing w:line="276" w:lineRule="auto"/>
      </w:pPr>
      <w:r>
        <w:t>· הפסקה הראשונה ·</w:t>
      </w:r>
    </w:p>
    <w:p w14:paraId="498D3BBE" w14:textId="77777777" w:rsidR="00AB3647" w:rsidRDefault="00000000" w:rsidP="007923E9">
      <w:pPr>
        <w:pStyle w:val="5"/>
        <w:spacing w:line="276" w:lineRule="auto"/>
      </w:pPr>
      <w:r>
        <w:t xml:space="preserve">נחשבת זכות גדולה לדור עם הסבא – הסבתא עוברת לבסוף </w:t>
      </w:r>
      <w:proofErr w:type="spellStart"/>
      <w:r>
        <w:t>לסלבודקה</w:t>
      </w:r>
      <w:proofErr w:type="spellEnd"/>
      <w:r>
        <w:t xml:space="preserve"> – הוא נוהג במשפחתו לפי הוראה קשה – הדרך הביתה </w:t>
      </w:r>
      <w:proofErr w:type="spellStart"/>
      <w:r>
        <w:t>לקלם</w:t>
      </w:r>
      <w:proofErr w:type="spellEnd"/>
      <w:r>
        <w:t xml:space="preserve"> ארוכה – הסבתא עוברת מבית לבקתה</w:t>
      </w:r>
    </w:p>
    <w:p w14:paraId="4A39C143" w14:textId="77777777" w:rsidR="00AB3647" w:rsidRDefault="00000000" w:rsidP="007923E9">
      <w:pPr>
        <w:spacing w:after="120" w:line="276" w:lineRule="auto"/>
        <w:ind w:firstLine="283"/>
        <w:jc w:val="both"/>
      </w:pPr>
      <w:r>
        <w:rPr>
          <w:rtl/>
        </w:rPr>
        <w:t xml:space="preserve">אשת ר׳ </w:t>
      </w:r>
      <w:proofErr w:type="spellStart"/>
      <w:r>
        <w:rPr>
          <w:rtl/>
        </w:rPr>
        <w:t>נתן־צבי</w:t>
      </w:r>
      <w:proofErr w:type="spellEnd"/>
      <w:r>
        <w:rPr>
          <w:rtl/>
        </w:rPr>
        <w:t xml:space="preserve"> </w:t>
      </w:r>
      <w:proofErr w:type="spellStart"/>
      <w:r>
        <w:rPr>
          <w:rtl/>
        </w:rPr>
        <w:t>פינקל</w:t>
      </w:r>
      <w:proofErr w:type="spellEnd"/>
      <w:r>
        <w:rPr>
          <w:rtl/>
        </w:rPr>
        <w:t xml:space="preserve"> נשארה בעיר הולדתה קלם וניהלה חנות מכולת, ובעלה בילה את חייו במקום אחר בבניין תורה. בתחילה התגורר בעזרת נשים של בית כנסת בקובנה, ולימים </w:t>
      </w:r>
      <w:proofErr w:type="spellStart"/>
      <w:r>
        <w:rPr>
          <w:rtl/>
        </w:rPr>
        <w:t>בסטנציה</w:t>
      </w:r>
      <w:proofErr w:type="spellEnd"/>
      <w:r>
        <w:rPr>
          <w:rtl/>
        </w:rPr>
        <w:t xml:space="preserve"> יחד עם תלמידי ישיבה. “שרידי אש”</w:t>
      </w:r>
      <w:bookmarkStart w:id="3358" w:name="_fnr2450"/>
      <w:r>
        <w:rPr>
          <w:rStyle w:val="a5"/>
        </w:rPr>
        <w:footnoteReference w:id="2457" w:customMarkFollows="0"/>
      </w:r>
      <w:bookmarkEnd w:id="3358"/>
      <w:r>
        <w:rPr>
          <w:rtl/>
        </w:rPr>
        <w:t xml:space="preserve"> מתעד שבעיני התלמידים נחשבה זכות גדולה לגור עם הסבא ולאכול על שולחנו. כבוד זה הוענק רק למי שהיה “עילוי” בתלמוד ובמוסר כאחד.</w:t>
      </w:r>
    </w:p>
    <w:p w14:paraId="24B80DFE" w14:textId="77777777" w:rsidR="00AB3647" w:rsidRDefault="00000000" w:rsidP="007923E9">
      <w:pPr>
        <w:spacing w:after="120" w:line="276" w:lineRule="auto"/>
        <w:ind w:firstLine="283"/>
        <w:jc w:val="both"/>
      </w:pPr>
      <w:r>
        <w:rPr>
          <w:rtl/>
        </w:rPr>
        <w:t>כץ, “תנועת המוסר”, כרך ג</w:t>
      </w:r>
      <w:bookmarkStart w:id="3359" w:name="_fnr2451"/>
      <w:r>
        <w:rPr>
          <w:rStyle w:val="a5"/>
        </w:rPr>
        <w:footnoteReference w:id="2458" w:customMarkFollows="0"/>
      </w:r>
      <w:bookmarkEnd w:id="3359"/>
      <w:r>
        <w:rPr>
          <w:rtl/>
        </w:rPr>
        <w:t xml:space="preserve">, קובע שהסבתא סגרה את חנותה ועברה </w:t>
      </w:r>
      <w:proofErr w:type="spellStart"/>
      <w:r>
        <w:rPr>
          <w:rtl/>
        </w:rPr>
        <w:t>לסלבודקה</w:t>
      </w:r>
      <w:proofErr w:type="spellEnd"/>
      <w:r>
        <w:rPr>
          <w:rtl/>
        </w:rPr>
        <w:t xml:space="preserve"> להיות עם בעלה “בסוף תרס״ו”. אבל נכדתם </w:t>
      </w:r>
      <w:proofErr w:type="spellStart"/>
      <w:r>
        <w:rPr>
          <w:rtl/>
        </w:rPr>
        <w:t>חיה־מרים</w:t>
      </w:r>
      <w:proofErr w:type="spellEnd"/>
      <w:r>
        <w:rPr>
          <w:rtl/>
        </w:rPr>
        <w:t xml:space="preserve"> </w:t>
      </w:r>
      <w:proofErr w:type="spellStart"/>
      <w:r>
        <w:rPr>
          <w:rtl/>
        </w:rPr>
        <w:t>שולמן</w:t>
      </w:r>
      <w:proofErr w:type="spellEnd"/>
      <w:r>
        <w:rPr>
          <w:rtl/>
        </w:rPr>
        <w:t xml:space="preserve"> אמרה</w:t>
      </w:r>
      <w:bookmarkStart w:id="3360" w:name="_fnr2452"/>
      <w:r>
        <w:rPr>
          <w:rStyle w:val="a5"/>
        </w:rPr>
        <w:footnoteReference w:id="2459" w:customMarkFollows="0"/>
      </w:r>
      <w:bookmarkEnd w:id="3360"/>
      <w:r>
        <w:rPr>
          <w:rtl/>
        </w:rPr>
        <w:t xml:space="preserve"> שסיפרו לה שהייתה בת שנה וחצי כשהמעבר התרחש, ולפי זה חל המעבר חצי שנה אחרי המועד של כץ, כלומר בסביבות פסח תרס״ז.</w:t>
      </w:r>
    </w:p>
    <w:p w14:paraId="43FD9D45" w14:textId="77777777" w:rsidR="00AB3647" w:rsidRDefault="00000000" w:rsidP="007923E9">
      <w:pPr>
        <w:spacing w:after="120" w:line="276" w:lineRule="auto"/>
        <w:ind w:firstLine="283"/>
        <w:jc w:val="both"/>
      </w:pPr>
      <w:r>
        <w:rPr>
          <w:rtl/>
        </w:rPr>
        <w:t xml:space="preserve">ואילו אבי מסר כמה פעמים תאריכים שונים למעבר, וכולם תמיד מאוחרים מזה של הרבנית </w:t>
      </w:r>
      <w:proofErr w:type="spellStart"/>
      <w:r>
        <w:rPr>
          <w:rtl/>
        </w:rPr>
        <w:t>שולמן</w:t>
      </w:r>
      <w:proofErr w:type="spellEnd"/>
      <w:r>
        <w:rPr>
          <w:rtl/>
        </w:rPr>
        <w:t>. בשיחה המוקלטת עם אברכי הכולל של ישיבת רבנו ישראל מאיר הכהן</w:t>
      </w:r>
      <w:bookmarkStart w:id="3361" w:name="_fnr2453"/>
      <w:r>
        <w:rPr>
          <w:rStyle w:val="a5"/>
        </w:rPr>
        <w:footnoteReference w:id="2460" w:customMarkFollows="0"/>
      </w:r>
      <w:bookmarkEnd w:id="3361"/>
      <w:r>
        <w:rPr>
          <w:rtl/>
        </w:rPr>
        <w:t xml:space="preserve"> תיארך את המעבר (“אולי”) לשנתיים אחרי המועד של הרבנית </w:t>
      </w:r>
      <w:proofErr w:type="spellStart"/>
      <w:r>
        <w:rPr>
          <w:rtl/>
        </w:rPr>
        <w:t>שולמן</w:t>
      </w:r>
      <w:proofErr w:type="spellEnd"/>
      <w:r>
        <w:rPr>
          <w:rtl/>
        </w:rPr>
        <w:t xml:space="preserve">, כשאמר: “הסבא לא נסע </w:t>
      </w:r>
      <w:proofErr w:type="spellStart"/>
      <w:r>
        <w:rPr>
          <w:rtl/>
        </w:rPr>
        <w:t>לדאצ׳ה</w:t>
      </w:r>
      <w:proofErr w:type="spellEnd"/>
      <w:r>
        <w:rPr>
          <w:rtl/>
        </w:rPr>
        <w:t xml:space="preserve"> [כפרית] עד תרס״ז או תרס״ח, אך הוא ישב ב[עיירה הכפרית] קלם עד אולי תרס״ט.” בריאיון המוקלט על הסבא </w:t>
      </w:r>
      <w:proofErr w:type="spellStart"/>
      <w:r>
        <w:rPr>
          <w:rtl/>
        </w:rPr>
        <w:t>מסלבודקה</w:t>
      </w:r>
      <w:bookmarkStart w:id="3362" w:name="_fnr2454"/>
      <w:proofErr w:type="spellEnd"/>
      <w:r>
        <w:rPr>
          <w:rStyle w:val="a5"/>
        </w:rPr>
        <w:footnoteReference w:id="2461" w:customMarkFollows="0"/>
      </w:r>
      <w:bookmarkEnd w:id="3362"/>
      <w:r>
        <w:rPr>
          <w:rtl/>
        </w:rPr>
        <w:t xml:space="preserve"> קבע תאריך מאוחר עוד יותר, עד שנתיים נוספות, כשאמר: “חיי הבית של הסבא היו </w:t>
      </w:r>
      <w:proofErr w:type="spellStart"/>
      <w:r>
        <w:rPr>
          <w:rtl/>
        </w:rPr>
        <w:t>מאויימ׳דיג</w:t>
      </w:r>
      <w:proofErr w:type="spellEnd"/>
      <w:r>
        <w:rPr>
          <w:rtl/>
        </w:rPr>
        <w:t xml:space="preserve"> [מפחידים]: ר׳ </w:t>
      </w:r>
      <w:proofErr w:type="spellStart"/>
      <w:r>
        <w:rPr>
          <w:rtl/>
        </w:rPr>
        <w:t>שמחה־זיסל</w:t>
      </w:r>
      <w:proofErr w:type="spellEnd"/>
      <w:r>
        <w:rPr>
          <w:rtl/>
        </w:rPr>
        <w:t xml:space="preserve"> נתן לו היתר לחיות בפרישות לאחר שקיבל רשות מאשתו הצדקנית. הוא היה נשאר </w:t>
      </w:r>
      <w:proofErr w:type="spellStart"/>
      <w:r>
        <w:rPr>
          <w:rtl/>
        </w:rPr>
        <w:t>בקלם</w:t>
      </w:r>
      <w:proofErr w:type="spellEnd"/>
      <w:r>
        <w:rPr>
          <w:rtl/>
        </w:rPr>
        <w:t xml:space="preserve"> בחודש ניסן, ומאחר יום כיפור עד ראש חודש חשוון. הוא התחיל לנסוע לחופשת קיץ בשנים האחרונות לפני שאשתו עברה </w:t>
      </w:r>
      <w:proofErr w:type="spellStart"/>
      <w:r>
        <w:rPr>
          <w:rtl/>
        </w:rPr>
        <w:t>לסלבודקה</w:t>
      </w:r>
      <w:proofErr w:type="spellEnd"/>
      <w:r>
        <w:rPr>
          <w:rtl/>
        </w:rPr>
        <w:t xml:space="preserve"> </w:t>
      </w:r>
      <w:proofErr w:type="spellStart"/>
      <w:r>
        <w:rPr>
          <w:rtl/>
        </w:rPr>
        <w:t>בתר״ע</w:t>
      </w:r>
      <w:proofErr w:type="spellEnd"/>
      <w:r>
        <w:rPr>
          <w:rtl/>
        </w:rPr>
        <w:t xml:space="preserve"> או </w:t>
      </w:r>
      <w:proofErr w:type="spellStart"/>
      <w:r>
        <w:rPr>
          <w:rtl/>
        </w:rPr>
        <w:t>בתרע״א</w:t>
      </w:r>
      <w:proofErr w:type="spellEnd"/>
      <w:r>
        <w:rPr>
          <w:rtl/>
        </w:rPr>
        <w:t>.”</w:t>
      </w:r>
    </w:p>
    <w:p w14:paraId="73872B4B" w14:textId="77777777" w:rsidR="00AB3647" w:rsidRDefault="00000000" w:rsidP="007923E9">
      <w:pPr>
        <w:spacing w:after="120" w:line="276" w:lineRule="auto"/>
        <w:ind w:firstLine="283"/>
        <w:jc w:val="both"/>
      </w:pPr>
      <w:r>
        <w:rPr>
          <w:rtl/>
        </w:rPr>
        <w:t>בהערת אגב בשיעור דף יומי עם כמה תלמידים</w:t>
      </w:r>
      <w:bookmarkStart w:id="3363" w:name="_fnr2455"/>
      <w:r>
        <w:rPr>
          <w:rStyle w:val="a5"/>
        </w:rPr>
        <w:footnoteReference w:id="2462" w:customMarkFollows="0"/>
      </w:r>
      <w:bookmarkEnd w:id="3363"/>
      <w:r>
        <w:rPr>
          <w:rtl/>
        </w:rPr>
        <w:t xml:space="preserve"> נראה שדחה את המעבר בשנתיים נוספות, כלומר </w:t>
      </w:r>
      <w:proofErr w:type="spellStart"/>
      <w:r>
        <w:rPr>
          <w:rtl/>
        </w:rPr>
        <w:t>לתרע״ג</w:t>
      </w:r>
      <w:proofErr w:type="spellEnd"/>
      <w:r>
        <w:rPr>
          <w:rtl/>
        </w:rPr>
        <w:t>. הוא הרחיב על המאמר התלמודי “במי אתה מוצא תילי תילים של הלכות במי שמשים עצמו אכזרי על בניו ועל בני ביתו כעורב”</w:t>
      </w:r>
      <w:bookmarkStart w:id="3364" w:name="_fnr2456"/>
      <w:r>
        <w:rPr>
          <w:rStyle w:val="a5"/>
        </w:rPr>
        <w:footnoteReference w:id="2463" w:customMarkFollows="0"/>
      </w:r>
      <w:bookmarkEnd w:id="3364"/>
      <w:r>
        <w:rPr>
          <w:rtl/>
        </w:rPr>
        <w:t xml:space="preserve">, ואמר: “הסבא חי כך. אני זוכר שאחרי שהסבא השיא את הצעיר שבילדים, [אשתו] עדיין הייתה </w:t>
      </w:r>
      <w:proofErr w:type="spellStart"/>
      <w:r>
        <w:rPr>
          <w:rtl/>
        </w:rPr>
        <w:t>בקלם</w:t>
      </w:r>
      <w:proofErr w:type="spellEnd"/>
      <w:r>
        <w:rPr>
          <w:rtl/>
        </w:rPr>
        <w:t>.”</w:t>
      </w:r>
    </w:p>
    <w:p w14:paraId="2394C42C" w14:textId="77777777" w:rsidR="00AB3647" w:rsidRDefault="00000000" w:rsidP="007923E9">
      <w:pPr>
        <w:spacing w:after="120" w:line="276" w:lineRule="auto"/>
        <w:ind w:firstLine="283"/>
        <w:jc w:val="both"/>
      </w:pPr>
      <w:r>
        <w:rPr>
          <w:rtl/>
        </w:rPr>
        <w:lastRenderedPageBreak/>
        <w:t xml:space="preserve">כשמחשבים מתי נישאו ילדי הסבא, נראה שהסבתא לא עברה עד תרע״ג. הצעירים שבילדים, חוץ </w:t>
      </w:r>
      <w:proofErr w:type="spellStart"/>
      <w:r>
        <w:rPr>
          <w:rtl/>
        </w:rPr>
        <w:t>מרובעל׳ה</w:t>
      </w:r>
      <w:proofErr w:type="spellEnd"/>
      <w:r>
        <w:rPr>
          <w:rtl/>
        </w:rPr>
        <w:t xml:space="preserve"> שעזב את אירופה, היו התאומים ר׳ משה ור׳ </w:t>
      </w:r>
      <w:proofErr w:type="spellStart"/>
      <w:r>
        <w:rPr>
          <w:rtl/>
        </w:rPr>
        <w:t>אברהם־שמואל</w:t>
      </w:r>
      <w:proofErr w:type="spellEnd"/>
      <w:r>
        <w:rPr>
          <w:rtl/>
        </w:rPr>
        <w:t xml:space="preserve">, שנישאו </w:t>
      </w:r>
      <w:proofErr w:type="spellStart"/>
      <w:r>
        <w:rPr>
          <w:rtl/>
        </w:rPr>
        <w:t>בתרע״ג</w:t>
      </w:r>
      <w:proofErr w:type="spellEnd"/>
      <w:r>
        <w:rPr>
          <w:rtl/>
        </w:rPr>
        <w:t xml:space="preserve"> </w:t>
      </w:r>
      <w:proofErr w:type="spellStart"/>
      <w:r>
        <w:rPr>
          <w:rtl/>
        </w:rPr>
        <w:t>ובתרע״ב</w:t>
      </w:r>
      <w:proofErr w:type="spellEnd"/>
      <w:r>
        <w:rPr>
          <w:rtl/>
        </w:rPr>
        <w:t xml:space="preserve">, בהתאמה. אבל אבי בוודאי התכוון רק לבנות הסבא: הצעירה שבהן הייתה </w:t>
      </w:r>
      <w:proofErr w:type="spellStart"/>
      <w:r>
        <w:rPr>
          <w:rtl/>
        </w:rPr>
        <w:t>גוטל</w:t>
      </w:r>
      <w:proofErr w:type="spellEnd"/>
      <w:r>
        <w:rPr>
          <w:rtl/>
        </w:rPr>
        <w:t xml:space="preserve">, והיא נישאה </w:t>
      </w:r>
      <w:proofErr w:type="spellStart"/>
      <w:r>
        <w:rPr>
          <w:rtl/>
        </w:rPr>
        <w:t>לר</w:t>
      </w:r>
      <w:proofErr w:type="spellEnd"/>
      <w:r>
        <w:rPr>
          <w:rtl/>
        </w:rPr>
        <w:t xml:space="preserve">׳ אייזיק שר </w:t>
      </w:r>
      <w:proofErr w:type="spellStart"/>
      <w:r>
        <w:rPr>
          <w:rtl/>
        </w:rPr>
        <w:t>בתרס״ד</w:t>
      </w:r>
      <w:proofErr w:type="spellEnd"/>
      <w:r>
        <w:rPr>
          <w:rtl/>
        </w:rPr>
        <w:t xml:space="preserve">, כאמור בהערה 77 בפרק זה. רבנו ביקש להצביע על כך שכל עוד היו עם האם בנות לא נשואות, אפשר שהיה היגיון להרחיקן </w:t>
      </w:r>
      <w:proofErr w:type="spellStart"/>
      <w:r>
        <w:rPr>
          <w:rtl/>
        </w:rPr>
        <w:t>מסלבודקה</w:t>
      </w:r>
      <w:proofErr w:type="spellEnd"/>
      <w:r>
        <w:rPr>
          <w:rtl/>
        </w:rPr>
        <w:t xml:space="preserve">. אבל לאחר שנישאו, הסבתא נשארה </w:t>
      </w:r>
      <w:proofErr w:type="spellStart"/>
      <w:r>
        <w:rPr>
          <w:rtl/>
        </w:rPr>
        <w:t>בקלם</w:t>
      </w:r>
      <w:proofErr w:type="spellEnd"/>
      <w:r>
        <w:rPr>
          <w:rtl/>
        </w:rPr>
        <w:t xml:space="preserve"> בשבע/חמש/שלוש/שתי השנים שלאחר מכן (כפי שעולה מן הדיווחים השונים שהובאו לעיל) רק משום שהסבא ניהל את חייו לפי הוראת חכמי התלמוד.</w:t>
      </w:r>
    </w:p>
    <w:p w14:paraId="1D36A36E" w14:textId="77777777" w:rsidR="00AB3647" w:rsidRDefault="00000000" w:rsidP="007923E9">
      <w:pPr>
        <w:spacing w:after="120" w:line="276" w:lineRule="auto"/>
        <w:ind w:firstLine="283"/>
        <w:jc w:val="both"/>
      </w:pPr>
      <w:r>
        <w:rPr>
          <w:rtl/>
        </w:rPr>
        <w:t xml:space="preserve">“מקובנה”, המשיך אבי בדברי </w:t>
      </w:r>
      <w:proofErr w:type="spellStart"/>
      <w:r>
        <w:rPr>
          <w:rtl/>
        </w:rPr>
        <w:t>האגב</w:t>
      </w:r>
      <w:proofErr w:type="spellEnd"/>
      <w:r>
        <w:rPr>
          <w:rtl/>
        </w:rPr>
        <w:t xml:space="preserve">, “צריך היה לנסוע תחילה ברכבת במשך שעות אחדות, ואחר כך בעגלה בדרך של 50 קילומטר עוד כמה שעות, כדי להגיע </w:t>
      </w:r>
      <w:proofErr w:type="spellStart"/>
      <w:r>
        <w:rPr>
          <w:rtl/>
        </w:rPr>
        <w:t>לקלם</w:t>
      </w:r>
      <w:proofErr w:type="spellEnd"/>
      <w:r>
        <w:rPr>
          <w:rtl/>
        </w:rPr>
        <w:t xml:space="preserve">. הוא היה איש זקן כשהיא עברה אליו. ילדיו נשארו עם </w:t>
      </w:r>
      <w:proofErr w:type="spellStart"/>
      <w:r>
        <w:rPr>
          <w:rtl/>
        </w:rPr>
        <w:t>אמם</w:t>
      </w:r>
      <w:proofErr w:type="spellEnd"/>
      <w:r>
        <w:rPr>
          <w:rtl/>
        </w:rPr>
        <w:t xml:space="preserve"> עד שהיו גדולים דיים להישלח לישיבה</w:t>
      </w:r>
      <w:bookmarkStart w:id="3365" w:name="_fnr2457"/>
      <w:r>
        <w:rPr>
          <w:rStyle w:val="a5"/>
        </w:rPr>
        <w:footnoteReference w:id="2464" w:customMarkFollows="0"/>
      </w:r>
      <w:bookmarkEnd w:id="3365"/>
      <w:r>
        <w:rPr>
          <w:rtl/>
        </w:rPr>
        <w:t xml:space="preserve">; אחד נסע </w:t>
      </w:r>
      <w:proofErr w:type="spellStart"/>
      <w:r>
        <w:rPr>
          <w:rtl/>
        </w:rPr>
        <w:t>לראדין</w:t>
      </w:r>
      <w:proofErr w:type="spellEnd"/>
      <w:r>
        <w:rPr>
          <w:rtl/>
        </w:rPr>
        <w:t xml:space="preserve">, אחר נסע למקום אחר. כאשר בנותיו נישאו, החתנים היו אוכלים </w:t>
      </w:r>
      <w:proofErr w:type="spellStart"/>
      <w:r>
        <w:rPr>
          <w:rtl/>
        </w:rPr>
        <w:t>קעסט</w:t>
      </w:r>
      <w:proofErr w:type="spellEnd"/>
      <w:r>
        <w:rPr>
          <w:rtl/>
        </w:rPr>
        <w:t xml:space="preserve"> </w:t>
      </w:r>
      <w:proofErr w:type="spellStart"/>
      <w:r>
        <w:rPr>
          <w:rtl/>
        </w:rPr>
        <w:t>בקלם</w:t>
      </w:r>
      <w:proofErr w:type="spellEnd"/>
      <w:r>
        <w:rPr>
          <w:rtl/>
        </w:rPr>
        <w:t>. אלו היו חייו.”</w:t>
      </w:r>
    </w:p>
    <w:p w14:paraId="54286576" w14:textId="77777777" w:rsidR="00AB3647" w:rsidRDefault="00000000" w:rsidP="007923E9">
      <w:pPr>
        <w:spacing w:after="120" w:line="276" w:lineRule="auto"/>
        <w:ind w:firstLine="283"/>
        <w:jc w:val="both"/>
      </w:pPr>
      <w:r>
        <w:rPr>
          <w:rtl/>
        </w:rPr>
        <w:t xml:space="preserve">כדי ליישב את מגוון התאריכים יש להסיק שהסבתא סגרה את חנותה </w:t>
      </w:r>
      <w:proofErr w:type="spellStart"/>
      <w:r>
        <w:rPr>
          <w:rtl/>
        </w:rPr>
        <w:t>בתרס״ט</w:t>
      </w:r>
      <w:proofErr w:type="spellEnd"/>
      <w:r>
        <w:rPr>
          <w:rtl/>
        </w:rPr>
        <w:t xml:space="preserve"> או קודם לכן, אבל </w:t>
      </w:r>
      <w:r>
        <w:rPr>
          <w:b/>
          <w:bCs/>
          <w:rtl/>
        </w:rPr>
        <w:t xml:space="preserve">עדיין שמרה על ביתה </w:t>
      </w:r>
      <w:proofErr w:type="spellStart"/>
      <w:r>
        <w:rPr>
          <w:b/>
          <w:bCs/>
          <w:rtl/>
        </w:rPr>
        <w:t>בקלם</w:t>
      </w:r>
      <w:proofErr w:type="spellEnd"/>
      <w:r>
        <w:rPr>
          <w:rtl/>
        </w:rPr>
        <w:t xml:space="preserve"> וביקרה </w:t>
      </w:r>
      <w:proofErr w:type="spellStart"/>
      <w:r>
        <w:rPr>
          <w:rtl/>
        </w:rPr>
        <w:t>בסלבודקה</w:t>
      </w:r>
      <w:proofErr w:type="spellEnd"/>
      <w:r>
        <w:rPr>
          <w:rtl/>
        </w:rPr>
        <w:t xml:space="preserve"> מפעם לפעם. עם הזמן שהתה </w:t>
      </w:r>
      <w:proofErr w:type="spellStart"/>
      <w:r>
        <w:rPr>
          <w:rtl/>
        </w:rPr>
        <w:t>בסלבודקה</w:t>
      </w:r>
      <w:proofErr w:type="spellEnd"/>
      <w:r>
        <w:rPr>
          <w:rtl/>
        </w:rPr>
        <w:t xml:space="preserve"> תקופות ארוכות יותר, עד </w:t>
      </w:r>
      <w:proofErr w:type="spellStart"/>
      <w:r>
        <w:rPr>
          <w:rtl/>
        </w:rPr>
        <w:t>שב“תר״ע</w:t>
      </w:r>
      <w:proofErr w:type="spellEnd"/>
      <w:r>
        <w:rPr>
          <w:rtl/>
        </w:rPr>
        <w:t xml:space="preserve"> או תרע״א” ויתרה גם על ביתה ועברה כליל לבית בעלה. התאריכים השונים שמסר אבי משקפים שלבים במעברה </w:t>
      </w:r>
      <w:proofErr w:type="spellStart"/>
      <w:r>
        <w:rPr>
          <w:rtl/>
        </w:rPr>
        <w:t>לסלבודקה</w:t>
      </w:r>
      <w:proofErr w:type="spellEnd"/>
      <w:r>
        <w:rPr>
          <w:rtl/>
        </w:rPr>
        <w:t>.</w:t>
      </w:r>
    </w:p>
    <w:p w14:paraId="2CC94A0B" w14:textId="2B11A4A6" w:rsidR="00AB3647" w:rsidRDefault="00000000" w:rsidP="007923E9">
      <w:pPr>
        <w:spacing w:after="120" w:line="276" w:lineRule="auto"/>
        <w:ind w:firstLine="283"/>
        <w:jc w:val="both"/>
      </w:pPr>
      <w:r>
        <w:rPr>
          <w:rtl/>
        </w:rPr>
        <w:t xml:space="preserve">ההשערה שנותרה </w:t>
      </w:r>
      <w:proofErr w:type="spellStart"/>
      <w:r>
        <w:rPr>
          <w:rtl/>
        </w:rPr>
        <w:t>בקלם</w:t>
      </w:r>
      <w:proofErr w:type="spellEnd"/>
      <w:r>
        <w:rPr>
          <w:rtl/>
        </w:rPr>
        <w:t xml:space="preserve"> </w:t>
      </w:r>
      <w:r>
        <w:rPr>
          <w:b/>
          <w:bCs/>
          <w:rtl/>
        </w:rPr>
        <w:t>ללא חנות</w:t>
      </w:r>
      <w:r>
        <w:rPr>
          <w:rtl/>
        </w:rPr>
        <w:t xml:space="preserve"> מוצאת סיוע בדבריו של יליד קלם, ר׳ קופל </w:t>
      </w:r>
      <w:proofErr w:type="spellStart"/>
      <w:r>
        <w:rPr>
          <w:rtl/>
        </w:rPr>
        <w:t>וולפרט</w:t>
      </w:r>
      <w:bookmarkStart w:id="3366" w:name="_fnr2458"/>
      <w:proofErr w:type="spellEnd"/>
      <w:r>
        <w:rPr>
          <w:rStyle w:val="a5"/>
        </w:rPr>
        <w:footnoteReference w:id="2465" w:customMarkFollows="0"/>
      </w:r>
      <w:bookmarkEnd w:id="3366"/>
      <w:r>
        <w:rPr>
          <w:rtl/>
        </w:rPr>
        <w:t xml:space="preserve">. כשנאמר לו שאשת הסבא </w:t>
      </w:r>
      <w:proofErr w:type="spellStart"/>
      <w:r>
        <w:rPr>
          <w:rtl/>
        </w:rPr>
        <w:t>מסלבודקה</w:t>
      </w:r>
      <w:proofErr w:type="spellEnd"/>
      <w:r>
        <w:rPr>
          <w:rtl/>
        </w:rPr>
        <w:t xml:space="preserve"> ניהלה חנות, אמר שהוא זוכר את הסבתא מקלם, “אבל לא הייתה לה שם חנות”. הוא זכר את תקופת מגורי הביניים הזאת. השווה גם הפסקה השנייה ב</w:t>
      </w:r>
      <w:r>
        <w:rPr>
          <w:rtl/>
        </w:rPr>
        <w:fldChar w:fldCharType="begin" w:dirty="true"/>
      </w:r>
      <w:r>
        <w:rPr>
          <w:rtl/>
        </w:rPr>
        <w:instrText xml:space="preserve"> REF b3_excD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ד</w:t>
      </w:r>
      <w:r>
        <w:rPr>
          <w:rtl/>
        </w:rPr>
        <w:fldChar w:fldCharType="end"/>
      </w:r>
      <w:r>
        <w:rPr>
          <w:rtl/>
        </w:rPr>
        <w:t xml:space="preserve"> לעיל, על הביקור שערך הסבא </w:t>
      </w:r>
      <w:proofErr w:type="spellStart"/>
      <w:r>
        <w:rPr>
          <w:rtl/>
        </w:rPr>
        <w:t>בקלם</w:t>
      </w:r>
      <w:proofErr w:type="spellEnd"/>
      <w:r>
        <w:rPr>
          <w:rtl/>
        </w:rPr>
        <w:t xml:space="preserve"> בלוויית תלמידו ר׳ </w:t>
      </w:r>
      <w:proofErr w:type="spellStart"/>
      <w:r>
        <w:rPr>
          <w:rtl/>
        </w:rPr>
        <w:t>יחיאל־יעקב</w:t>
      </w:r>
      <w:proofErr w:type="spellEnd"/>
      <w:r>
        <w:rPr>
          <w:rtl/>
        </w:rPr>
        <w:t xml:space="preserve"> ויינברג, לאחר שהסבתא כבר עזבה את העיר. הנכדה </w:t>
      </w:r>
      <w:proofErr w:type="spellStart"/>
      <w:r>
        <w:rPr>
          <w:rtl/>
        </w:rPr>
        <w:t>רבקה־לאה</w:t>
      </w:r>
      <w:proofErr w:type="spellEnd"/>
      <w:r>
        <w:rPr>
          <w:rtl/>
        </w:rPr>
        <w:t xml:space="preserve"> פרבר תיארה כך את המעבר: “סבתי עברה מבית יפה </w:t>
      </w:r>
      <w:proofErr w:type="spellStart"/>
      <w:r>
        <w:rPr>
          <w:rtl/>
        </w:rPr>
        <w:t>בקלם</w:t>
      </w:r>
      <w:proofErr w:type="spellEnd"/>
      <w:r>
        <w:rPr>
          <w:rtl/>
        </w:rPr>
        <w:t xml:space="preserve"> לבקתה </w:t>
      </w:r>
      <w:proofErr w:type="spellStart"/>
      <w:r>
        <w:rPr>
          <w:rtl/>
        </w:rPr>
        <w:t>בסלבודקה</w:t>
      </w:r>
      <w:proofErr w:type="spellEnd"/>
      <w:r>
        <w:rPr>
          <w:rtl/>
        </w:rPr>
        <w:t xml:space="preserve">.” לתיאור מלא של אותה “בקתה </w:t>
      </w:r>
      <w:proofErr w:type="spellStart"/>
      <w:r>
        <w:rPr>
          <w:rtl/>
        </w:rPr>
        <w:t>בסלבודקה</w:t>
      </w:r>
      <w:proofErr w:type="spellEnd"/>
      <w:r>
        <w:rPr>
          <w:rtl/>
        </w:rPr>
        <w:t>” השווה פרק 4.1.</w:t>
      </w:r>
    </w:p>
    <w:p w14:paraId="412A4A3C" w14:textId="77777777" w:rsidR="00AB3647" w:rsidRDefault="00000000" w:rsidP="007923E9">
      <w:pPr>
        <w:pStyle w:val="4"/>
        <w:spacing w:line="276" w:lineRule="auto"/>
      </w:pPr>
      <w:r>
        <w:t>· הפסקה השנייה ·</w:t>
      </w:r>
    </w:p>
    <w:p w14:paraId="0E6EA928" w14:textId="77777777" w:rsidR="00AB3647" w:rsidRDefault="00000000" w:rsidP="007923E9">
      <w:pPr>
        <w:pStyle w:val="5"/>
        <w:spacing w:line="276" w:lineRule="auto"/>
      </w:pPr>
      <w:r>
        <w:t xml:space="preserve">אוצר מסמכים ישנים מתגלה בעליית הישיבה – יש הסבורים שהסבא לא קיבל תמורה על עבודתו – ר׳ </w:t>
      </w:r>
      <w:proofErr w:type="spellStart"/>
      <w:r>
        <w:t>נתן־צבי</w:t>
      </w:r>
      <w:proofErr w:type="spellEnd"/>
      <w:r>
        <w:t xml:space="preserve"> </w:t>
      </w:r>
      <w:proofErr w:type="spellStart"/>
      <w:r>
        <w:t>פינקל</w:t>
      </w:r>
      <w:proofErr w:type="spellEnd"/>
      <w:r>
        <w:t xml:space="preserve"> פוגש במקרה את </w:t>
      </w:r>
      <w:proofErr w:type="spellStart"/>
      <w:r>
        <w:t>האדר״ת</w:t>
      </w:r>
      <w:proofErr w:type="spellEnd"/>
      <w:r>
        <w:t xml:space="preserve"> – הסבא זקוק לכסף להשיא בת – הסבא אינו מקבל הכנסה בשנותיו האחרונות בישיבת הכולל בקובנה – הוא פורש מתפקידו לכמה ימים – </w:t>
      </w:r>
      <w:proofErr w:type="spellStart"/>
      <w:r>
        <w:t>האדר״ת</w:t>
      </w:r>
      <w:proofErr w:type="spellEnd"/>
      <w:r>
        <w:t xml:space="preserve"> מניח תפילין ולומד “שערי תשובה”</w:t>
      </w:r>
    </w:p>
    <w:p w14:paraId="465C1057" w14:textId="77777777" w:rsidR="00AB3647" w:rsidRDefault="00000000" w:rsidP="007923E9">
      <w:pPr>
        <w:spacing w:after="120" w:line="276" w:lineRule="auto"/>
        <w:ind w:firstLine="283"/>
        <w:jc w:val="both"/>
      </w:pPr>
      <w:r>
        <w:rPr>
          <w:rtl/>
        </w:rPr>
        <w:t xml:space="preserve">בריאיון המוקלט על הסבא </w:t>
      </w:r>
      <w:proofErr w:type="spellStart"/>
      <w:r>
        <w:rPr>
          <w:rtl/>
        </w:rPr>
        <w:t>מסלבודקה</w:t>
      </w:r>
      <w:proofErr w:type="spellEnd"/>
      <w:r>
        <w:rPr>
          <w:rtl/>
        </w:rPr>
        <w:t xml:space="preserve"> סיפר רבנו גם שבעליית בניין הישיבה נמצא ארכיון של ניירות שהושלכו. “היו בו”, אמר, “מכתבים אישיים מאת ר׳ </w:t>
      </w:r>
      <w:proofErr w:type="spellStart"/>
      <w:r>
        <w:rPr>
          <w:rtl/>
        </w:rPr>
        <w:t>משה־מרדכי</w:t>
      </w:r>
      <w:proofErr w:type="spellEnd"/>
      <w:r>
        <w:rPr>
          <w:rtl/>
        </w:rPr>
        <w:t xml:space="preserve">; יומן ההוצאות </w:t>
      </w:r>
      <w:r>
        <w:rPr>
          <w:rtl/>
        </w:rPr>
        <w:lastRenderedPageBreak/>
        <w:t xml:space="preserve">שהוציא ר׳ </w:t>
      </w:r>
      <w:proofErr w:type="spellStart"/>
      <w:r>
        <w:rPr>
          <w:rtl/>
        </w:rPr>
        <w:t>משה־מרדכי</w:t>
      </w:r>
      <w:proofErr w:type="spellEnd"/>
      <w:r>
        <w:rPr>
          <w:rtl/>
        </w:rPr>
        <w:t xml:space="preserve"> אפשטיין בנסיעה בשליחות לארץ ישראל </w:t>
      </w:r>
      <w:proofErr w:type="spellStart"/>
      <w:r>
        <w:rPr>
          <w:rtl/>
        </w:rPr>
        <w:t>בתרנ״א</w:t>
      </w:r>
      <w:bookmarkStart w:id="3367" w:name="_fnr2459"/>
      <w:proofErr w:type="spellEnd"/>
      <w:r>
        <w:rPr>
          <w:rStyle w:val="a5"/>
        </w:rPr>
        <w:footnoteReference w:id="2466" w:customMarkFollows="0"/>
      </w:r>
      <w:bookmarkEnd w:id="3367"/>
      <w:r>
        <w:rPr>
          <w:rtl/>
        </w:rPr>
        <w:t>, כדי לרכוש קרקע עבור אגודה של חובבי ציון – רימו אותם</w:t>
      </w:r>
      <w:bookmarkStart w:id="3368" w:name="_fnr2460"/>
      <w:r>
        <w:rPr>
          <w:rStyle w:val="a5"/>
        </w:rPr>
        <w:footnoteReference w:id="2467" w:customMarkFollows="0"/>
      </w:r>
      <w:bookmarkEnd w:id="3368"/>
      <w:r>
        <w:rPr>
          <w:rtl/>
        </w:rPr>
        <w:t xml:space="preserve"> – ופנקס שבו פירט ר׳ </w:t>
      </w:r>
      <w:proofErr w:type="spellStart"/>
      <w:r>
        <w:rPr>
          <w:rtl/>
        </w:rPr>
        <w:t xml:space="preserve">בער־הירש</w:t>
      </w:r>
      <w:proofErr w:type="spellEnd"/>
      <w:r>
        <w:rPr>
          <w:rtl/>
        </w:rPr>
        <w:t xml:space="preserve"> </w:t>
      </w:r>
      <w:proofErr w:type="spellStart"/>
      <w:r>
        <w:rPr>
          <w:rtl/>
        </w:rPr>
        <w:t xml:space="preserve">הלר</w:t>
      </w:r>
      <w:proofErr w:type="spellEnd"/>
      <w:r>
        <w:rPr>
          <w:rtl/>
        </w:rPr>
        <w:t xml:space="preserve">, שהיה אחראי לחשבונות הישיבה בתקופה מסוימת, את התשלומים. באחרון היה רישום חודשי שנאמר בו: ‘שלחתי </w:t>
      </w:r>
      <w:proofErr w:type="spellStart"/>
      <w:r>
        <w:rPr>
          <w:rtl/>
        </w:rPr>
        <w:t>פערצעהן</w:t>
      </w:r>
      <w:proofErr w:type="spellEnd"/>
      <w:r>
        <w:rPr>
          <w:rtl/>
        </w:rPr>
        <w:t xml:space="preserve"> </w:t>
      </w:r>
      <w:proofErr w:type="spellStart"/>
      <w:r>
        <w:rPr>
          <w:rtl/>
        </w:rPr>
        <w:t>רובעל</w:t>
      </w:r>
      <w:proofErr w:type="spellEnd"/>
      <w:r>
        <w:rPr>
          <w:rtl/>
        </w:rPr>
        <w:t xml:space="preserve"> </w:t>
      </w:r>
      <w:proofErr w:type="spellStart"/>
      <w:r>
        <w:rPr>
          <w:rtl/>
        </w:rPr>
        <w:t>לקעלעם</w:t>
      </w:r>
      <w:proofErr w:type="spellEnd"/>
      <w:r>
        <w:rPr>
          <w:rtl/>
        </w:rPr>
        <w:t xml:space="preserve">’ [שלחתי </w:t>
      </w:r>
      <w:proofErr w:type="spellStart"/>
      <w:r>
        <w:rPr>
          <w:rtl/>
        </w:rPr>
        <w:t>ארבעה־עשר</w:t>
      </w:r>
      <w:proofErr w:type="spellEnd"/>
      <w:r>
        <w:rPr>
          <w:rtl/>
        </w:rPr>
        <w:t xml:space="preserve"> רובל </w:t>
      </w:r>
      <w:proofErr w:type="spellStart"/>
      <w:r>
        <w:rPr>
          <w:rtl/>
        </w:rPr>
        <w:t>לקלם</w:t>
      </w:r>
      <w:proofErr w:type="spellEnd"/>
      <w:r>
        <w:rPr>
          <w:rtl/>
        </w:rPr>
        <w:t>].”</w:t>
      </w:r>
      <w:bookmarkStart w:id="3369" w:name="_fnr2461"/>
      <w:r>
        <w:rPr>
          <w:rStyle w:val="a5"/>
        </w:rPr>
        <w:footnoteReference w:id="2468" w:customMarkFollows="0"/>
      </w:r>
      <w:bookmarkEnd w:id="3369"/>
    </w:p>
    <w:p w14:paraId="54EBA4E8" w14:textId="77777777" w:rsidR="00AB3647" w:rsidRDefault="00000000" w:rsidP="007923E9">
      <w:pPr>
        <w:spacing w:after="120" w:line="276" w:lineRule="auto"/>
        <w:ind w:firstLine="283"/>
        <w:jc w:val="both"/>
      </w:pPr>
      <w:r>
        <w:rPr>
          <w:rtl/>
        </w:rPr>
        <w:t xml:space="preserve">אבי הסביר: “זו הייתה קצבה חודשית לסבתא. באותה תקופה שבה ניתן התשלום הזה, בחור ‘טוב’ רווק קיבל ארבעה רובלים לחודש. גם </w:t>
      </w:r>
      <w:proofErr w:type="spellStart"/>
      <w:r>
        <w:rPr>
          <w:rtl/>
        </w:rPr>
        <w:t>הסטנציה</w:t>
      </w:r>
      <w:proofErr w:type="spellEnd"/>
      <w:r>
        <w:rPr>
          <w:rtl/>
        </w:rPr>
        <w:t xml:space="preserve"> של הסבא שולמה בידי הישיבה. בחור היה ‘</w:t>
      </w:r>
      <w:proofErr w:type="spellStart"/>
      <w:r>
        <w:rPr>
          <w:rtl/>
        </w:rPr>
        <w:t>בסטנציה</w:t>
      </w:r>
      <w:proofErr w:type="spellEnd"/>
      <w:r>
        <w:rPr>
          <w:rtl/>
        </w:rPr>
        <w:t xml:space="preserve">’ עם הסבא כדי שלא יישן לבד, וכדי לעזור – בכל זמן תלמיד אחר – עד שהסבתא הגיעה [עברה </w:t>
      </w:r>
      <w:proofErr w:type="spellStart"/>
      <w:r>
        <w:rPr>
          <w:rtl/>
        </w:rPr>
        <w:t>לסלבודקה</w:t>
      </w:r>
      <w:proofErr w:type="spellEnd"/>
      <w:r>
        <w:rPr>
          <w:rtl/>
        </w:rPr>
        <w:t>].”</w:t>
      </w:r>
    </w:p>
    <w:p w14:paraId="6F22472C" w14:textId="77777777" w:rsidR="00AB3647" w:rsidRDefault="00000000" w:rsidP="007923E9">
      <w:pPr>
        <w:spacing w:after="120" w:line="276" w:lineRule="auto"/>
        <w:ind w:firstLine="283"/>
        <w:jc w:val="both"/>
      </w:pPr>
      <w:r>
        <w:rPr>
          <w:rtl/>
        </w:rPr>
        <w:t>גילוי זה סותר את כץ</w:t>
      </w:r>
      <w:bookmarkStart w:id="3370" w:name="_fnr2462"/>
      <w:r>
        <w:rPr>
          <w:rStyle w:val="a5"/>
        </w:rPr>
        <w:footnoteReference w:id="2469" w:customMarkFollows="0"/>
      </w:r>
      <w:bookmarkEnd w:id="3370"/>
      <w:r>
        <w:rPr>
          <w:rtl/>
        </w:rPr>
        <w:t>, הקובע: “</w:t>
      </w:r>
      <w:r>
        <w:rPr>
          <w:b/>
          <w:bCs/>
          <w:rtl/>
        </w:rPr>
        <w:t>כידוע</w:t>
      </w:r>
      <w:r>
        <w:rPr>
          <w:rtl/>
        </w:rPr>
        <w:t xml:space="preserve"> (ההדגשה שלי), הסבא לא נהנה [כלומר, לא קיבל משכורת] מישיבת כנסת ישראל במשך שנים רבות, והתפרנס מחנותה של אשתו הסבתא. כשהבין שהוא מוכרח ליהנות, נסע במיוחד אל ר׳ חיים </w:t>
      </w:r>
      <w:proofErr w:type="spellStart"/>
      <w:r>
        <w:rPr>
          <w:rtl/>
        </w:rPr>
        <w:t>סולובייצ׳יק</w:t>
      </w:r>
      <w:proofErr w:type="spellEnd"/>
      <w:r>
        <w:rPr>
          <w:rtl/>
        </w:rPr>
        <w:t xml:space="preserve"> </w:t>
      </w:r>
      <w:proofErr w:type="spellStart"/>
      <w:r>
        <w:rPr>
          <w:rtl/>
        </w:rPr>
        <w:t>מבריסק</w:t>
      </w:r>
      <w:proofErr w:type="spellEnd"/>
      <w:r>
        <w:rPr>
          <w:rtl/>
        </w:rPr>
        <w:t>, לשאול אם מותר לו לקבל קצבה מן הישיבה ובאיזה סכום.”</w:t>
      </w:r>
    </w:p>
    <w:p w14:paraId="11115C99" w14:textId="77777777" w:rsidR="00AB3647" w:rsidRDefault="00000000" w:rsidP="007923E9">
      <w:pPr>
        <w:spacing w:after="120" w:line="276" w:lineRule="auto"/>
        <w:ind w:firstLine="283"/>
        <w:jc w:val="both"/>
      </w:pPr>
      <w:r>
        <w:rPr>
          <w:rtl/>
        </w:rPr>
        <w:t xml:space="preserve">אפשר שמאורע שסיפר ר׳ </w:t>
      </w:r>
      <w:proofErr w:type="spellStart"/>
      <w:r>
        <w:rPr>
          <w:rtl/>
        </w:rPr>
        <w:t>יעקב־יצחק</w:t>
      </w:r>
      <w:proofErr w:type="spellEnd"/>
      <w:r>
        <w:rPr>
          <w:rtl/>
        </w:rPr>
        <w:t xml:space="preserve"> </w:t>
      </w:r>
      <w:proofErr w:type="spellStart"/>
      <w:r>
        <w:rPr>
          <w:rtl/>
        </w:rPr>
        <w:t>רודרמן</w:t>
      </w:r>
      <w:proofErr w:type="spellEnd"/>
      <w:r>
        <w:rPr>
          <w:rtl/>
        </w:rPr>
        <w:t>, ותועד ברשימותיו של ר׳ משה גרוסמן</w:t>
      </w:r>
      <w:bookmarkStart w:id="3371" w:name="_fnr2463"/>
      <w:r>
        <w:rPr>
          <w:rStyle w:val="a5"/>
        </w:rPr>
        <w:footnoteReference w:id="2470" w:customMarkFollows="0"/>
      </w:r>
      <w:bookmarkEnd w:id="3371"/>
      <w:r>
        <w:rPr>
          <w:rtl/>
        </w:rPr>
        <w:t xml:space="preserve">, מבהיר הן את מה שהיה “ידוע” למקורו של כץ, הן את השאלה המדויקת ששאל ר׳ </w:t>
      </w:r>
      <w:proofErr w:type="spellStart"/>
      <w:r>
        <w:rPr>
          <w:rtl/>
        </w:rPr>
        <w:t>נתן־צבי</w:t>
      </w:r>
      <w:proofErr w:type="spellEnd"/>
      <w:r>
        <w:rPr>
          <w:rtl/>
        </w:rPr>
        <w:t xml:space="preserve"> את ר׳ חיים ואת תשובתו.</w:t>
      </w:r>
    </w:p>
    <w:p w14:paraId="621A0590" w14:textId="77777777" w:rsidR="00AB3647" w:rsidRDefault="00000000" w:rsidP="007923E9">
      <w:pPr>
        <w:spacing w:after="120" w:line="276" w:lineRule="auto"/>
        <w:ind w:firstLine="283"/>
        <w:jc w:val="both"/>
      </w:pPr>
      <w:r>
        <w:rPr>
          <w:rtl/>
        </w:rPr>
        <w:t xml:space="preserve">וכך סיפר ר׳ </w:t>
      </w:r>
      <w:proofErr w:type="spellStart"/>
      <w:r>
        <w:rPr>
          <w:rtl/>
        </w:rPr>
        <w:t>יעקב־יצחק</w:t>
      </w:r>
      <w:proofErr w:type="spellEnd"/>
      <w:r>
        <w:rPr>
          <w:rtl/>
        </w:rPr>
        <w:t xml:space="preserve"> </w:t>
      </w:r>
      <w:proofErr w:type="spellStart"/>
      <w:r>
        <w:rPr>
          <w:rtl/>
        </w:rPr>
        <w:t>רודרמן</w:t>
      </w:r>
      <w:proofErr w:type="spellEnd"/>
      <w:r>
        <w:rPr>
          <w:rtl/>
        </w:rPr>
        <w:t>: “הסבא נסע פעם ברכבת וראה אדם עטוף בטלית</w:t>
      </w:r>
      <w:bookmarkStart w:id="3372" w:name="_fnr2464"/>
      <w:r>
        <w:rPr>
          <w:rStyle w:val="a5"/>
        </w:rPr>
        <w:footnoteReference w:id="2471" w:customMarkFollows="0"/>
      </w:r>
      <w:bookmarkEnd w:id="3372"/>
      <w:r>
        <w:rPr>
          <w:rtl/>
        </w:rPr>
        <w:t xml:space="preserve"> ומעוטר בתפילין, קורא </w:t>
      </w:r>
      <w:proofErr w:type="spellStart"/>
      <w:r>
        <w:rPr>
          <w:rtl/>
        </w:rPr>
        <w:t>ב‘שערי</w:t>
      </w:r>
      <w:proofErr w:type="spellEnd"/>
      <w:r>
        <w:rPr>
          <w:rtl/>
        </w:rPr>
        <w:t xml:space="preserve"> תשובה’. הסבא חשב ששותפו לנסיעה הוא בעל מוסר, ניגש אליו וגילה שהנוסע האחר הוא </w:t>
      </w:r>
      <w:proofErr w:type="spellStart"/>
      <w:r>
        <w:rPr>
          <w:rtl/>
        </w:rPr>
        <w:t>האדר״ת</w:t>
      </w:r>
      <w:bookmarkStart w:id="3373" w:name="_fnr2465"/>
      <w:proofErr w:type="spellEnd"/>
      <w:r>
        <w:rPr>
          <w:rStyle w:val="a5"/>
        </w:rPr>
        <w:footnoteReference w:id="2472" w:customMarkFollows="0"/>
      </w:r>
      <w:bookmarkEnd w:id="3373"/>
      <w:r>
        <w:rPr>
          <w:rtl/>
        </w:rPr>
        <w:t xml:space="preserve">, שהיה אז רבה של </w:t>
      </w:r>
      <w:proofErr w:type="spellStart"/>
      <w:r>
        <w:rPr>
          <w:rtl/>
        </w:rPr>
        <w:t>מיר</w:t>
      </w:r>
      <w:bookmarkStart w:id="3374" w:name="_fnr2466"/>
      <w:proofErr w:type="spellEnd"/>
      <w:r>
        <w:rPr>
          <w:rStyle w:val="a5"/>
        </w:rPr>
        <w:footnoteReference w:id="2473" w:customMarkFollows="0"/>
      </w:r>
      <w:bookmarkEnd w:id="3374"/>
      <w:r>
        <w:rPr>
          <w:rtl/>
        </w:rPr>
        <w:t xml:space="preserve">. בתשובה לשאלת </w:t>
      </w:r>
      <w:proofErr w:type="spellStart"/>
      <w:r>
        <w:rPr>
          <w:rtl/>
        </w:rPr>
        <w:t>האדר״ת</w:t>
      </w:r>
      <w:proofErr w:type="spellEnd"/>
      <w:r>
        <w:rPr>
          <w:rtl/>
        </w:rPr>
        <w:t xml:space="preserve"> סיפר הסבא שהוא </w:t>
      </w:r>
      <w:proofErr w:type="spellStart"/>
      <w:r>
        <w:rPr>
          <w:rtl/>
        </w:rPr>
        <w:t>מסלבודקה</w:t>
      </w:r>
      <w:proofErr w:type="spellEnd"/>
      <w:r>
        <w:rPr>
          <w:rtl/>
        </w:rPr>
        <w:t xml:space="preserve">. </w:t>
      </w:r>
      <w:proofErr w:type="spellStart"/>
      <w:r>
        <w:rPr>
          <w:rtl/>
        </w:rPr>
        <w:t>האדר״ת</w:t>
      </w:r>
      <w:proofErr w:type="spellEnd"/>
      <w:r>
        <w:rPr>
          <w:rtl/>
        </w:rPr>
        <w:t>, שלא ידע עם מי הוא מדבר, אמר: ‘שמעתי שיש שם מחלוקת גדולה עם המשגיח בעניין המוסר. צריך לפטר את המשגיח.’ הסבא ראה בדברי הרב החשוב</w:t>
      </w:r>
      <w:bookmarkStart w:id="3375" w:name="_fnr2467"/>
      <w:r>
        <w:rPr>
          <w:rStyle w:val="a5"/>
        </w:rPr>
        <w:footnoteReference w:id="2474" w:customMarkFollows="0"/>
      </w:r>
      <w:bookmarkEnd w:id="3375"/>
      <w:r>
        <w:rPr>
          <w:rtl/>
        </w:rPr>
        <w:t xml:space="preserve"> פסק הלכה, והחליט שלא לקבל עוד משכורת. אחרי כמה שנים של עוני מחפיר, נזקק הסבא להשיא את אחד מילדיו ובא אל ר׳ חיים לבקש פסק אם מותר לו לקבל כספים מן הישיבה. נאמר לו שהוא חייב לקחת את הכסף, ‘מפני שאם לא כן תיפגע הישיבה’.”</w:t>
      </w:r>
    </w:p>
    <w:p w14:paraId="1B54570E" w14:textId="77777777" w:rsidR="00AB3647" w:rsidRDefault="00000000" w:rsidP="007923E9">
      <w:pPr>
        <w:spacing w:after="120" w:line="276" w:lineRule="auto"/>
        <w:ind w:firstLine="283"/>
        <w:jc w:val="both"/>
      </w:pPr>
      <w:r>
        <w:rPr>
          <w:rtl/>
        </w:rPr>
        <w:lastRenderedPageBreak/>
        <w:t>לפסקו של ר׳ חיים השווה “צפונות”</w:t>
      </w:r>
      <w:bookmarkStart w:id="3376" w:name="_fnr2468"/>
      <w:r>
        <w:rPr>
          <w:rStyle w:val="a5"/>
        </w:rPr>
        <w:footnoteReference w:id="2475" w:customMarkFollows="0"/>
      </w:r>
      <w:bookmarkEnd w:id="3376"/>
      <w:r>
        <w:rPr>
          <w:rtl/>
        </w:rPr>
        <w:t xml:space="preserve">, שבו נדפס מכתב שלו ובו פסק </w:t>
      </w:r>
      <w:r>
        <w:rPr>
          <w:b/>
          <w:bCs/>
          <w:rtl/>
        </w:rPr>
        <w:t>דומה</w:t>
      </w:r>
      <w:r>
        <w:rPr>
          <w:rtl/>
        </w:rPr>
        <w:t xml:space="preserve">, בנסיבות מקבילות בישיבת </w:t>
      </w:r>
      <w:proofErr w:type="spellStart"/>
      <w:r>
        <w:rPr>
          <w:rtl/>
        </w:rPr>
        <w:t>מיר</w:t>
      </w:r>
      <w:proofErr w:type="spellEnd"/>
      <w:r>
        <w:rPr>
          <w:rtl/>
        </w:rPr>
        <w:t xml:space="preserve">. יש לנו כאן גם רמז לכך </w:t>
      </w:r>
      <w:proofErr w:type="spellStart"/>
      <w:r>
        <w:rPr>
          <w:rtl/>
        </w:rPr>
        <w:t>שהאדר״ת</w:t>
      </w:r>
      <w:proofErr w:type="spellEnd"/>
      <w:r>
        <w:rPr>
          <w:rtl/>
        </w:rPr>
        <w:t>, מחותמי “למען האמת”</w:t>
      </w:r>
      <w:bookmarkStart w:id="3377" w:name="_fnr2469"/>
      <w:r>
        <w:rPr>
          <w:rStyle w:val="a5"/>
        </w:rPr>
        <w:footnoteReference w:id="2476" w:customMarkFollows="0"/>
      </w:r>
      <w:bookmarkEnd w:id="3377"/>
      <w:r>
        <w:rPr>
          <w:rtl/>
        </w:rPr>
        <w:t xml:space="preserve">, </w:t>
      </w:r>
      <w:r>
        <w:rPr>
          <w:b/>
          <w:bCs/>
          <w:rtl/>
        </w:rPr>
        <w:t>לא</w:t>
      </w:r>
      <w:r>
        <w:rPr>
          <w:rtl/>
        </w:rPr>
        <w:t xml:space="preserve"> היה תומך מוסר מצד עצמו.</w:t>
      </w:r>
    </w:p>
    <w:p w14:paraId="0D9C8397" w14:textId="77777777" w:rsidR="00AB3647" w:rsidRDefault="00000000" w:rsidP="007923E9">
      <w:pPr>
        <w:spacing w:after="120" w:line="276" w:lineRule="auto"/>
        <w:ind w:firstLine="283"/>
        <w:jc w:val="both"/>
      </w:pPr>
      <w:r>
        <w:rPr>
          <w:rtl/>
        </w:rPr>
        <w:t xml:space="preserve">לסיפור הזה, כשמנתחים אותו כראוי, יש משמעות היסטורית. הילד המדובר היה ודאי מרים בת הסבא, שהתארסה </w:t>
      </w:r>
      <w:proofErr w:type="spellStart"/>
      <w:r>
        <w:rPr>
          <w:rtl/>
        </w:rPr>
        <w:t>לר</w:t>
      </w:r>
      <w:proofErr w:type="spellEnd"/>
      <w:r>
        <w:rPr>
          <w:rtl/>
        </w:rPr>
        <w:t xml:space="preserve">׳ נפתלי </w:t>
      </w:r>
      <w:proofErr w:type="spellStart"/>
      <w:r>
        <w:rPr>
          <w:rtl/>
        </w:rPr>
        <w:t>טרופ</w:t>
      </w:r>
      <w:bookmarkStart w:id="3378" w:name="_fnr2470"/>
      <w:proofErr w:type="spellEnd"/>
      <w:r>
        <w:rPr>
          <w:rStyle w:val="a5"/>
        </w:rPr>
        <w:footnoteReference w:id="2477" w:customMarkFollows="0"/>
      </w:r>
      <w:bookmarkEnd w:id="3378"/>
      <w:r>
        <w:rPr>
          <w:rtl/>
        </w:rPr>
        <w:t xml:space="preserve"> אבל נפטרה בערב חתונתה. לפי המאמר הביוגרפי על ר׳ נפתלי, שהקדים </w:t>
      </w:r>
      <w:proofErr w:type="spellStart"/>
      <w:r>
        <w:rPr>
          <w:rtl/>
        </w:rPr>
        <w:t>ל“חידושי</w:t>
      </w:r>
      <w:proofErr w:type="spellEnd"/>
      <w:r>
        <w:rPr>
          <w:rtl/>
        </w:rPr>
        <w:t xml:space="preserve"> </w:t>
      </w:r>
      <w:proofErr w:type="spellStart"/>
      <w:r>
        <w:rPr>
          <w:rtl/>
        </w:rPr>
        <w:t>הגרנ״ט</w:t>
      </w:r>
      <w:proofErr w:type="spellEnd"/>
      <w:r>
        <w:rPr>
          <w:rtl/>
        </w:rPr>
        <w:t xml:space="preserve"> השלם”</w:t>
      </w:r>
      <w:bookmarkStart w:id="3379" w:name="_fnr2471"/>
      <w:r>
        <w:rPr>
          <w:rStyle w:val="a5"/>
        </w:rPr>
        <w:footnoteReference w:id="2478" w:customMarkFollows="0"/>
      </w:r>
      <w:bookmarkEnd w:id="3379"/>
      <w:r>
        <w:rPr>
          <w:rtl/>
        </w:rPr>
        <w:t xml:space="preserve"> עורכו ומוציאו לאור, </w:t>
      </w:r>
      <w:proofErr w:type="spellStart"/>
      <w:r>
        <w:rPr>
          <w:rtl/>
        </w:rPr>
        <w:t>מנחם־מענדיל</w:t>
      </w:r>
      <w:proofErr w:type="spellEnd"/>
      <w:r>
        <w:rPr>
          <w:rtl/>
        </w:rPr>
        <w:t xml:space="preserve"> </w:t>
      </w:r>
      <w:proofErr w:type="spellStart"/>
      <w:r>
        <w:rPr>
          <w:rtl/>
        </w:rPr>
        <w:t>גערליץ</w:t>
      </w:r>
      <w:proofErr w:type="spellEnd"/>
      <w:r>
        <w:rPr>
          <w:rtl/>
        </w:rPr>
        <w:t xml:space="preserve">, אירע הדבר </w:t>
      </w:r>
      <w:proofErr w:type="spellStart"/>
      <w:r>
        <w:rPr>
          <w:rtl/>
        </w:rPr>
        <w:t>בתרנ״ג</w:t>
      </w:r>
      <w:bookmarkStart w:id="3380" w:name="_fnr2472"/>
      <w:proofErr w:type="spellEnd"/>
      <w:r>
        <w:rPr>
          <w:rStyle w:val="a5"/>
        </w:rPr>
        <w:footnoteReference w:id="2479" w:customMarkFollows="0"/>
      </w:r>
      <w:bookmarkEnd w:id="3380"/>
      <w:r>
        <w:rPr>
          <w:rtl/>
        </w:rPr>
        <w:t xml:space="preserve"> – בדיוק בשנה שבה קיבל עליו </w:t>
      </w:r>
      <w:proofErr w:type="spellStart"/>
      <w:r>
        <w:rPr>
          <w:rtl/>
        </w:rPr>
        <w:t>האדר״ת</w:t>
      </w:r>
      <w:proofErr w:type="spellEnd"/>
      <w:r>
        <w:rPr>
          <w:rtl/>
        </w:rPr>
        <w:t xml:space="preserve"> את משרת הרבנות </w:t>
      </w:r>
      <w:proofErr w:type="spellStart"/>
      <w:r>
        <w:rPr>
          <w:rtl/>
        </w:rPr>
        <w:t>במיר</w:t>
      </w:r>
      <w:proofErr w:type="spellEnd"/>
      <w:r>
        <w:rPr>
          <w:rtl/>
        </w:rPr>
        <w:t>. הבת הבאה של הסבא שנישאה הייתה שרה (</w:t>
      </w:r>
      <w:proofErr w:type="spellStart"/>
      <w:r>
        <w:rPr>
          <w:rtl/>
        </w:rPr>
        <w:t>פלצ׳ינסקי</w:t>
      </w:r>
      <w:proofErr w:type="spellEnd"/>
      <w:r>
        <w:rPr>
          <w:rtl/>
        </w:rPr>
        <w:t xml:space="preserve">), שחתונתה התקיימה </w:t>
      </w:r>
      <w:proofErr w:type="spellStart"/>
      <w:r>
        <w:rPr>
          <w:rtl/>
        </w:rPr>
        <w:t>בתרנ״ט</w:t>
      </w:r>
      <w:proofErr w:type="spellEnd"/>
      <w:r>
        <w:rPr>
          <w:rtl/>
        </w:rPr>
        <w:t xml:space="preserve">, </w:t>
      </w:r>
      <w:r>
        <w:rPr>
          <w:b/>
          <w:bCs/>
          <w:rtl/>
        </w:rPr>
        <w:t>שנתיים לאחר</w:t>
      </w:r>
      <w:r>
        <w:rPr>
          <w:rtl/>
        </w:rPr>
        <w:t xml:space="preserve"> שייסד ישיבה משלו, כנסת ישראל.</w:t>
      </w:r>
    </w:p>
    <w:p w14:paraId="4870E09E" w14:textId="77777777" w:rsidR="00AB3647" w:rsidRDefault="00000000" w:rsidP="007923E9">
      <w:pPr>
        <w:spacing w:after="120" w:line="276" w:lineRule="auto"/>
        <w:ind w:firstLine="283"/>
        <w:jc w:val="both"/>
      </w:pPr>
      <w:r>
        <w:rPr>
          <w:rtl/>
        </w:rPr>
        <w:t xml:space="preserve">לפיכך לכאורה יש לנו הוכחה שכבר היו </w:t>
      </w:r>
      <w:proofErr w:type="spellStart"/>
      <w:r>
        <w:rPr>
          <w:rtl/>
        </w:rPr>
        <w:t>בסלבודקה</w:t>
      </w:r>
      <w:proofErr w:type="spellEnd"/>
      <w:r>
        <w:rPr>
          <w:rtl/>
        </w:rPr>
        <w:t xml:space="preserve"> פעולות נגד המוסר, חמורות כל כך </w:t>
      </w:r>
      <w:proofErr w:type="spellStart"/>
      <w:r>
        <w:rPr>
          <w:rtl/>
        </w:rPr>
        <w:t>שהאדר״ת</w:t>
      </w:r>
      <w:proofErr w:type="spellEnd"/>
      <w:r>
        <w:rPr>
          <w:rtl/>
        </w:rPr>
        <w:t xml:space="preserve"> ראה בהן הצדקה לפיטורי המשגיח – זמן רב לפני שמחלוקת המוסר פרצה בגלוי </w:t>
      </w:r>
      <w:proofErr w:type="spellStart"/>
      <w:r>
        <w:rPr>
          <w:rtl/>
        </w:rPr>
        <w:t>בתרנ״ז</w:t>
      </w:r>
      <w:bookmarkStart w:id="3381" w:name="_fnr2473"/>
      <w:proofErr w:type="spellEnd"/>
      <w:r>
        <w:rPr>
          <w:rStyle w:val="a5"/>
        </w:rPr>
        <w:footnoteReference w:id="2480" w:customMarkFollows="0"/>
      </w:r>
      <w:bookmarkEnd w:id="3381"/>
      <w:r>
        <w:rPr>
          <w:rtl/>
        </w:rPr>
        <w:t xml:space="preserve">. אבל לפי זה, לשונו של ר׳ </w:t>
      </w:r>
      <w:proofErr w:type="spellStart"/>
      <w:r>
        <w:rPr>
          <w:rtl/>
        </w:rPr>
        <w:t>יעקב־יצחק</w:t>
      </w:r>
      <w:proofErr w:type="spellEnd"/>
      <w:r>
        <w:rPr>
          <w:rtl/>
        </w:rPr>
        <w:t xml:space="preserve"> </w:t>
      </w:r>
      <w:proofErr w:type="spellStart"/>
      <w:r>
        <w:rPr>
          <w:rtl/>
        </w:rPr>
        <w:t>רודרמן</w:t>
      </w:r>
      <w:proofErr w:type="spellEnd"/>
      <w:r>
        <w:rPr>
          <w:rtl/>
        </w:rPr>
        <w:t>, “</w:t>
      </w:r>
      <w:r>
        <w:rPr>
          <w:b/>
          <w:bCs/>
          <w:rtl/>
        </w:rPr>
        <w:t>אחרי כמה שנים</w:t>
      </w:r>
      <w:r>
        <w:rPr>
          <w:rtl/>
        </w:rPr>
        <w:t xml:space="preserve"> של עוני מחפיר”, אינה מדויקת, שהרי מן הפגישה ברכבת ועד שהסבא תכנן להשיא את בתו הראשונה עבר רק זמן קצר, פחות משנה.</w:t>
      </w:r>
    </w:p>
    <w:p w14:paraId="2D65E00C" w14:textId="77777777" w:rsidR="00AB3647" w:rsidRDefault="00000000" w:rsidP="007923E9">
      <w:pPr>
        <w:spacing w:after="120" w:line="276" w:lineRule="auto"/>
        <w:ind w:firstLine="283"/>
        <w:jc w:val="both"/>
      </w:pPr>
      <w:r>
        <w:rPr>
          <w:rtl/>
        </w:rPr>
        <w:t xml:space="preserve">אבל מסתבר שהניתוח שלנו מוטעה, ושאלתו של הסבא </w:t>
      </w:r>
      <w:proofErr w:type="spellStart"/>
      <w:r>
        <w:rPr>
          <w:rtl/>
        </w:rPr>
        <w:t>לר</w:t>
      </w:r>
      <w:proofErr w:type="spellEnd"/>
      <w:r>
        <w:rPr>
          <w:rtl/>
        </w:rPr>
        <w:t xml:space="preserve">׳ חיים לא הייתה קשורה לבתו הבכורה אלא לבתו </w:t>
      </w:r>
      <w:r>
        <w:rPr>
          <w:b/>
          <w:bCs/>
          <w:rtl/>
        </w:rPr>
        <w:t>השנייה</w:t>
      </w:r>
      <w:r>
        <w:rPr>
          <w:rtl/>
        </w:rPr>
        <w:t xml:space="preserve">, ובאמת כבר עברו “כמה שנים” מאז פגישת האקראי. אף שבזמן נישואיה כבר קיבל משכורת מישיבת כנסת ישראל, לא היה בידו לכסות את הוצאות נדונייתה. לא רק ששכרו היה מועט, אלא שלא הייתה לו הכנסה כלל מאז ששמע את “פסקו” של </w:t>
      </w:r>
      <w:proofErr w:type="spellStart"/>
      <w:r>
        <w:rPr>
          <w:rtl/>
        </w:rPr>
        <w:t>האדר״ת</w:t>
      </w:r>
      <w:proofErr w:type="spellEnd"/>
      <w:r>
        <w:rPr>
          <w:rtl/>
        </w:rPr>
        <w:t xml:space="preserve"> (אולי אף שלוש שנים לאחר מינויו </w:t>
      </w:r>
      <w:proofErr w:type="spellStart"/>
      <w:r>
        <w:rPr>
          <w:rtl/>
        </w:rPr>
        <w:t>למיר</w:t>
      </w:r>
      <w:proofErr w:type="spellEnd"/>
      <w:r>
        <w:rPr>
          <w:rtl/>
        </w:rPr>
        <w:t xml:space="preserve">) ועד שנוסדה ישיבתו החדשה של הסבא </w:t>
      </w:r>
      <w:proofErr w:type="spellStart"/>
      <w:r>
        <w:rPr>
          <w:rtl/>
        </w:rPr>
        <w:t>מסלבודקה</w:t>
      </w:r>
      <w:proofErr w:type="spellEnd"/>
      <w:r>
        <w:rPr>
          <w:rtl/>
        </w:rPr>
        <w:t>. משום כך עדיין היה דל אמצעים בזמן חתונת בתו, שנתיים אחרי ייסוד כנסת ישראל.</w:t>
      </w:r>
    </w:p>
    <w:p w14:paraId="3850ED40" w14:textId="77777777" w:rsidR="00AB3647" w:rsidRDefault="00000000" w:rsidP="007923E9">
      <w:pPr>
        <w:spacing w:after="120" w:line="276" w:lineRule="auto"/>
        <w:ind w:firstLine="283"/>
        <w:jc w:val="both"/>
      </w:pPr>
      <w:r>
        <w:rPr>
          <w:rtl/>
        </w:rPr>
        <w:t xml:space="preserve">אם ניתוח זה נכון, הסבא לא שאל את ר׳ חיים אם עליו לקיים את פסק </w:t>
      </w:r>
      <w:proofErr w:type="spellStart"/>
      <w:r>
        <w:rPr>
          <w:rtl/>
        </w:rPr>
        <w:t>האדר״ת</w:t>
      </w:r>
      <w:proofErr w:type="spellEnd"/>
      <w:r>
        <w:rPr>
          <w:rtl/>
        </w:rPr>
        <w:t xml:space="preserve">, שהרי כבר קיים אותו מן המועד (שאינו ידוע) שבו פגש את </w:t>
      </w:r>
      <w:proofErr w:type="spellStart"/>
      <w:r>
        <w:rPr>
          <w:rtl/>
        </w:rPr>
        <w:t>האדר״ת</w:t>
      </w:r>
      <w:proofErr w:type="spellEnd"/>
      <w:r>
        <w:rPr>
          <w:rtl/>
        </w:rPr>
        <w:t xml:space="preserve"> ועד שנוסדה כנסת ישראל. הוא שאל אם מותר לו </w:t>
      </w:r>
      <w:r>
        <w:rPr>
          <w:b/>
          <w:bCs/>
          <w:rtl/>
        </w:rPr>
        <w:t>להוסיף</w:t>
      </w:r>
      <w:r>
        <w:rPr>
          <w:rtl/>
        </w:rPr>
        <w:t xml:space="preserve"> על משכורתו מכנסת ישראל ולקחת סכום חד־פעמי כדי לכסות את ההוצאות הנוספות שנלוו לנישואי ילדו, כגון “</w:t>
      </w:r>
      <w:proofErr w:type="spellStart"/>
      <w:r>
        <w:rPr>
          <w:rtl/>
        </w:rPr>
        <w:t>קעסט</w:t>
      </w:r>
      <w:proofErr w:type="spellEnd"/>
      <w:r>
        <w:rPr>
          <w:rtl/>
        </w:rPr>
        <w:t xml:space="preserve">” לחתנו החדש. זו הייתה </w:t>
      </w:r>
      <w:r>
        <w:rPr>
          <w:b/>
          <w:bCs/>
          <w:rtl/>
        </w:rPr>
        <w:t>בדיוק</w:t>
      </w:r>
      <w:r>
        <w:rPr>
          <w:rtl/>
        </w:rPr>
        <w:t xml:space="preserve"> השאלה במכתב שנדפס </w:t>
      </w:r>
      <w:proofErr w:type="spellStart"/>
      <w:r>
        <w:rPr>
          <w:rtl/>
        </w:rPr>
        <w:t>ב“צפונות</w:t>
      </w:r>
      <w:proofErr w:type="spellEnd"/>
      <w:r>
        <w:rPr>
          <w:rtl/>
        </w:rPr>
        <w:t>” ונזכר לעיל!</w:t>
      </w:r>
    </w:p>
    <w:p w14:paraId="13AA6F45" w14:textId="77777777" w:rsidR="00AB3647" w:rsidRDefault="00000000" w:rsidP="007923E9">
      <w:pPr>
        <w:spacing w:after="120" w:line="276" w:lineRule="auto"/>
        <w:ind w:firstLine="283"/>
        <w:jc w:val="both"/>
      </w:pPr>
      <w:r>
        <w:rPr>
          <w:rtl/>
        </w:rPr>
        <w:t xml:space="preserve">ייתכן שסיפור מעורפל שסיפר בנו של הסבא, ר׳ </w:t>
      </w:r>
      <w:proofErr w:type="spellStart"/>
      <w:r>
        <w:rPr>
          <w:rtl/>
        </w:rPr>
        <w:t>לייזר־יודל</w:t>
      </w:r>
      <w:proofErr w:type="spellEnd"/>
      <w:r>
        <w:rPr>
          <w:rtl/>
        </w:rPr>
        <w:t xml:space="preserve"> </w:t>
      </w:r>
      <w:proofErr w:type="spellStart"/>
      <w:r>
        <w:rPr>
          <w:rtl/>
        </w:rPr>
        <w:t>פינקל</w:t>
      </w:r>
      <w:proofErr w:type="spellEnd"/>
      <w:r>
        <w:rPr>
          <w:rtl/>
        </w:rPr>
        <w:t>, למחבר “תנועת המוסר”</w:t>
      </w:r>
      <w:bookmarkStart w:id="3382" w:name="_fnr2474"/>
      <w:r>
        <w:rPr>
          <w:rStyle w:val="a5"/>
        </w:rPr>
        <w:footnoteReference w:id="2481" w:customMarkFollows="0"/>
      </w:r>
      <w:bookmarkEnd w:id="3382"/>
      <w:r>
        <w:rPr>
          <w:rtl/>
        </w:rPr>
        <w:t xml:space="preserve">, קשור לסיפורו של ר׳ </w:t>
      </w:r>
      <w:proofErr w:type="spellStart"/>
      <w:r>
        <w:rPr>
          <w:rtl/>
        </w:rPr>
        <w:t>יעקב־יצחק</w:t>
      </w:r>
      <w:proofErr w:type="spellEnd"/>
      <w:r>
        <w:rPr>
          <w:rtl/>
        </w:rPr>
        <w:t xml:space="preserve"> </w:t>
      </w:r>
      <w:proofErr w:type="spellStart"/>
      <w:r>
        <w:rPr>
          <w:rtl/>
        </w:rPr>
        <w:t>רודרמן</w:t>
      </w:r>
      <w:proofErr w:type="spellEnd"/>
      <w:r>
        <w:rPr>
          <w:rtl/>
        </w:rPr>
        <w:t xml:space="preserve">. ר׳ </w:t>
      </w:r>
      <w:proofErr w:type="spellStart"/>
      <w:r>
        <w:rPr>
          <w:rtl/>
        </w:rPr>
        <w:t>לייזר־יודל</w:t>
      </w:r>
      <w:proofErr w:type="spellEnd"/>
      <w:r>
        <w:rPr>
          <w:rtl/>
        </w:rPr>
        <w:t xml:space="preserve"> סיפר: “בתקופה מסוימת, כאשר הופיעה התנגדות לסבא בישיבה, הוא התפטר והעביר את תפקידו </w:t>
      </w:r>
      <w:proofErr w:type="spellStart"/>
      <w:r>
        <w:rPr>
          <w:rtl/>
        </w:rPr>
        <w:t>לר</w:t>
      </w:r>
      <w:proofErr w:type="spellEnd"/>
      <w:r>
        <w:rPr>
          <w:rtl/>
        </w:rPr>
        <w:t xml:space="preserve">׳ נטע </w:t>
      </w:r>
      <w:proofErr w:type="spellStart"/>
      <w:r>
        <w:rPr>
          <w:rtl/>
        </w:rPr>
        <w:t>גינזבורג</w:t>
      </w:r>
      <w:proofErr w:type="spellEnd"/>
      <w:r>
        <w:rPr>
          <w:rtl/>
        </w:rPr>
        <w:t xml:space="preserve"> </w:t>
      </w:r>
      <w:proofErr w:type="spellStart"/>
      <w:r>
        <w:rPr>
          <w:rtl/>
        </w:rPr>
        <w:lastRenderedPageBreak/>
        <w:t>מוואסילישוק</w:t>
      </w:r>
      <w:proofErr w:type="spellEnd"/>
      <w:r>
        <w:rPr>
          <w:rtl/>
        </w:rPr>
        <w:t>, שהיה אחת הדמויות המוכרות של בעלי המוסר בין חברי הכולל. אולם משחלפו ימים אחדים וחילופי האישים לא הצליחו, התבקש הסבא לחזור, ושב לתפקידו.”</w:t>
      </w:r>
    </w:p>
    <w:p w14:paraId="0C7B5454" w14:textId="77777777" w:rsidR="00AB3647" w:rsidRDefault="00000000" w:rsidP="007923E9">
      <w:pPr>
        <w:spacing w:after="120" w:line="276" w:lineRule="auto"/>
        <w:ind w:firstLine="283"/>
        <w:jc w:val="both"/>
      </w:pPr>
      <w:r>
        <w:rPr>
          <w:rtl/>
        </w:rPr>
        <w:t xml:space="preserve">ייתכן שהדבר אירע לאחר שרב </w:t>
      </w:r>
      <w:proofErr w:type="spellStart"/>
      <w:r>
        <w:rPr>
          <w:rtl/>
        </w:rPr>
        <w:t>מיר</w:t>
      </w:r>
      <w:proofErr w:type="spellEnd"/>
      <w:r>
        <w:rPr>
          <w:rtl/>
        </w:rPr>
        <w:t xml:space="preserve"> פסק שצריך לפטר את הסבא. בתחילה ר׳ </w:t>
      </w:r>
      <w:proofErr w:type="spellStart"/>
      <w:r>
        <w:rPr>
          <w:rtl/>
        </w:rPr>
        <w:t>נתן־צבי</w:t>
      </w:r>
      <w:proofErr w:type="spellEnd"/>
      <w:r>
        <w:rPr>
          <w:rtl/>
        </w:rPr>
        <w:t xml:space="preserve"> פשוט התפטר – הוא “פיטר” את עצמו, בדיוק כמו שאמר </w:t>
      </w:r>
      <w:proofErr w:type="spellStart"/>
      <w:r>
        <w:rPr>
          <w:rtl/>
        </w:rPr>
        <w:t>האדר״ת</w:t>
      </w:r>
      <w:proofErr w:type="spellEnd"/>
      <w:r>
        <w:rPr>
          <w:rtl/>
        </w:rPr>
        <w:t xml:space="preserve">. אבל כשראה שר׳ נטע </w:t>
      </w:r>
      <w:proofErr w:type="spellStart"/>
      <w:r>
        <w:rPr>
          <w:rtl/>
        </w:rPr>
        <w:t>גינזבורג</w:t>
      </w:r>
      <w:proofErr w:type="spellEnd"/>
      <w:r>
        <w:rPr>
          <w:rtl/>
        </w:rPr>
        <w:t>, המתאים ביותר לתפקיד אחריו, אינו מתאים דיו, לא נותרה לסבא ברירה</w:t>
      </w:r>
      <w:bookmarkStart w:id="3383" w:name="_fnr2475"/>
      <w:r>
        <w:rPr>
          <w:rStyle w:val="a5"/>
        </w:rPr>
        <w:footnoteReference w:id="2482" w:customMarkFollows="0"/>
      </w:r>
      <w:bookmarkEnd w:id="3383"/>
      <w:r>
        <w:rPr>
          <w:rtl/>
        </w:rPr>
        <w:t xml:space="preserve"> אלא לשוב לתפקיד – אך על סמך הפסק לא קיבל משכורת.</w:t>
      </w:r>
    </w:p>
    <w:p w14:paraId="725EDF13" w14:textId="77777777" w:rsidR="00AB3647" w:rsidRDefault="00000000" w:rsidP="007923E9">
      <w:pPr>
        <w:spacing w:after="120" w:line="276" w:lineRule="auto"/>
        <w:ind w:firstLine="283"/>
        <w:jc w:val="both"/>
      </w:pPr>
      <w:r>
        <w:rPr>
          <w:rtl/>
        </w:rPr>
        <w:t xml:space="preserve">אגב, דבריו של </w:t>
      </w:r>
      <w:proofErr w:type="spellStart"/>
      <w:r>
        <w:rPr>
          <w:rtl/>
        </w:rPr>
        <w:t>האדר״ת</w:t>
      </w:r>
      <w:proofErr w:type="spellEnd"/>
      <w:r>
        <w:rPr>
          <w:rtl/>
        </w:rPr>
        <w:t xml:space="preserve"> עצמו </w:t>
      </w:r>
      <w:proofErr w:type="spellStart"/>
      <w:r>
        <w:rPr>
          <w:rtl/>
        </w:rPr>
        <w:t>ב“סדר</w:t>
      </w:r>
      <w:proofErr w:type="spellEnd"/>
      <w:r>
        <w:rPr>
          <w:rtl/>
        </w:rPr>
        <w:t xml:space="preserve"> אליהו”</w:t>
      </w:r>
      <w:bookmarkStart w:id="3384" w:name="_fnr2476"/>
      <w:r>
        <w:rPr>
          <w:rStyle w:val="a5"/>
        </w:rPr>
        <w:footnoteReference w:id="2483" w:customMarkFollows="0"/>
      </w:r>
      <w:bookmarkEnd w:id="3384"/>
      <w:r>
        <w:rPr>
          <w:rtl/>
        </w:rPr>
        <w:t xml:space="preserve"> תומכים בכך שהיה מעוטר בתפילין ברכבת: “במשך כמה עשרות שנים הרגלתי את עצמי להניח תפילין קטנות כל היום – ובייחוד בהיותי בדרך”. לפי ההקשר שם, לא היה רגיל להתעטף גם בטלית, ואילו ר׳ </w:t>
      </w:r>
      <w:proofErr w:type="spellStart"/>
      <w:r>
        <w:rPr>
          <w:rtl/>
        </w:rPr>
        <w:t>יעקב־יצחק</w:t>
      </w:r>
      <w:proofErr w:type="spellEnd"/>
      <w:r>
        <w:rPr>
          <w:rtl/>
        </w:rPr>
        <w:t xml:space="preserve"> </w:t>
      </w:r>
      <w:proofErr w:type="spellStart"/>
      <w:r>
        <w:rPr>
          <w:rtl/>
        </w:rPr>
        <w:t>רודרמן</w:t>
      </w:r>
      <w:proofErr w:type="spellEnd"/>
      <w:r>
        <w:rPr>
          <w:rtl/>
        </w:rPr>
        <w:t xml:space="preserve"> סיפר שהיה עטוף בה בשעת הנסיעה ברכבת. אולי צירף המספר בשגגה את הטלית לתפילין. קריאתו של </w:t>
      </w:r>
      <w:proofErr w:type="spellStart"/>
      <w:r>
        <w:rPr>
          <w:rtl/>
        </w:rPr>
        <w:t>האדר״ת</w:t>
      </w:r>
      <w:proofErr w:type="spellEnd"/>
      <w:r>
        <w:rPr>
          <w:rtl/>
        </w:rPr>
        <w:t xml:space="preserve"> </w:t>
      </w:r>
      <w:proofErr w:type="spellStart"/>
      <w:r>
        <w:rPr>
          <w:rtl/>
        </w:rPr>
        <w:t>ב“שערי</w:t>
      </w:r>
      <w:proofErr w:type="spellEnd"/>
      <w:r>
        <w:rPr>
          <w:rtl/>
        </w:rPr>
        <w:t xml:space="preserve"> תשובה” אולי הייתה קשורה לא ללימוד מוסר אלא לנטייתו ללמוד את מניין “תרי״ג המצוות”</w:t>
      </w:r>
      <w:bookmarkStart w:id="3385" w:name="_fnr2477"/>
      <w:r>
        <w:rPr>
          <w:rStyle w:val="a5"/>
        </w:rPr>
        <w:footnoteReference w:id="2484" w:customMarkFollows="0"/>
      </w:r>
      <w:bookmarkEnd w:id="3385"/>
      <w:r>
        <w:rPr>
          <w:rtl/>
        </w:rPr>
        <w:t>, שהשער השלישי של החיבור הזה הוא מקור יסודי לו.</w:t>
      </w:r>
    </w:p>
    <w:p w14:paraId="3CA0BD76" w14:textId="77777777" w:rsidR="00AB3647" w:rsidRDefault="00000000" w:rsidP="007923E9">
      <w:pPr>
        <w:pStyle w:val="4"/>
        <w:spacing w:line="276" w:lineRule="auto"/>
      </w:pPr>
      <w:r>
        <w:t>· הפסקה השלישית ·</w:t>
      </w:r>
    </w:p>
    <w:p w14:paraId="7D911E85" w14:textId="77777777" w:rsidR="00AB3647" w:rsidRDefault="00000000" w:rsidP="007923E9">
      <w:pPr>
        <w:pStyle w:val="5"/>
        <w:spacing w:line="276" w:lineRule="auto"/>
      </w:pPr>
      <w:r>
        <w:t xml:space="preserve">הסבא ותלמידו ר׳ אברהם </w:t>
      </w:r>
      <w:proofErr w:type="spellStart"/>
      <w:r>
        <w:t>גרודזינסקי</w:t>
      </w:r>
      <w:proofErr w:type="spellEnd"/>
      <w:r>
        <w:t xml:space="preserve"> חיים שנים רבות בפרישות</w:t>
      </w:r>
    </w:p>
    <w:p w14:paraId="434CDF89" w14:textId="77777777" w:rsidR="00AB3647" w:rsidRDefault="00000000" w:rsidP="007923E9">
      <w:pPr>
        <w:spacing w:after="120" w:line="276" w:lineRule="auto"/>
        <w:ind w:firstLine="283"/>
        <w:jc w:val="both"/>
      </w:pPr>
      <w:r>
        <w:rPr>
          <w:rtl/>
        </w:rPr>
        <w:t xml:space="preserve">אני מאמין שאחת הסיבות לכך שהסבא חי בפרישות הייתה רצונו להימצא, ככל האפשר, במצב דומה לזה של תלמידיו, וכך יזדהו עמו יותר ויקלטו את תורתו בנקל. אותה הקרבה עצמית למטרות חינוכיות משתקפת בהנהגת תלמידו הגדול, ר׳ אברהם </w:t>
      </w:r>
      <w:proofErr w:type="spellStart"/>
      <w:r>
        <w:rPr>
          <w:rtl/>
        </w:rPr>
        <w:t>גרודזינסקי</w:t>
      </w:r>
      <w:proofErr w:type="spellEnd"/>
      <w:r>
        <w:rPr>
          <w:rtl/>
        </w:rPr>
        <w:t xml:space="preserve">, שסירב להינשא שנית לאחר שאשתו נפטרה </w:t>
      </w:r>
      <w:proofErr w:type="spellStart"/>
      <w:r>
        <w:rPr>
          <w:rtl/>
        </w:rPr>
        <w:t>בתרפ״ט</w:t>
      </w:r>
      <w:proofErr w:type="spellEnd"/>
      <w:r>
        <w:rPr>
          <w:rtl/>
        </w:rPr>
        <w:t xml:space="preserve">. הוא היה אז רק בן ארבעים ושבע, וכמה משמונת ילדיהם היו עדיין קטנים מאוד. בנם הצעיר, יצחק, היה רק תינוק, ואמי, אחות המנוחה, אימצה אותו וגידלה אותו יחד אתנו, ילדיה, </w:t>
      </w:r>
      <w:proofErr w:type="spellStart"/>
      <w:r>
        <w:rPr>
          <w:rtl/>
        </w:rPr>
        <w:t>בציטוביאן</w:t>
      </w:r>
      <w:proofErr w:type="spellEnd"/>
      <w:r>
        <w:rPr>
          <w:rtl/>
        </w:rPr>
        <w:t>.</w:t>
      </w:r>
    </w:p>
    <w:p w14:paraId="77285120" w14:textId="77777777" w:rsidR="00AB3647" w:rsidRDefault="00000000" w:rsidP="007923E9">
      <w:pPr>
        <w:spacing w:after="120" w:line="276" w:lineRule="auto"/>
        <w:ind w:firstLine="283"/>
        <w:jc w:val="both"/>
      </w:pPr>
      <w:r>
        <w:rPr>
          <w:rtl/>
        </w:rPr>
        <w:t>בהקדמה שכתבו ילדי ר׳ אברהם לכרך הרצאות המוסר שיצא לאחר מותו, “ספר תורת אברהם”</w:t>
      </w:r>
      <w:bookmarkStart w:id="3386" w:name="_fnr2478"/>
      <w:r>
        <w:rPr>
          <w:rStyle w:val="a5"/>
        </w:rPr>
        <w:footnoteReference w:id="2485" w:customMarkFollows="0"/>
      </w:r>
      <w:bookmarkEnd w:id="3386"/>
      <w:r>
        <w:rPr>
          <w:rtl/>
        </w:rPr>
        <w:t>, נאמר</w:t>
      </w:r>
      <w:bookmarkStart w:id="3387" w:name="_fnr2479"/>
      <w:r>
        <w:rPr>
          <w:rStyle w:val="a5"/>
        </w:rPr>
        <w:footnoteReference w:id="2486" w:customMarkFollows="0"/>
      </w:r>
      <w:bookmarkEnd w:id="3387"/>
      <w:r>
        <w:rPr>
          <w:rtl/>
        </w:rPr>
        <w:t xml:space="preserve">: “הוא בחר לשאת לבדו [בלא בת זוג] את עול הבית וחינוך הילדים – ולכך היה לו טעם והצדקה, שגילה פעם לבתו: כשהתלמידים יראו שהוא </w:t>
      </w:r>
      <w:r>
        <w:rPr>
          <w:b/>
          <w:bCs/>
          <w:rtl/>
        </w:rPr>
        <w:t>בעל ייסורים</w:t>
      </w:r>
      <w:r>
        <w:rPr>
          <w:rtl/>
        </w:rPr>
        <w:t xml:space="preserve"> (ההדגשה שלי), ישפיע בוודאי עמוק יותר על </w:t>
      </w:r>
      <w:proofErr w:type="spellStart"/>
      <w:r>
        <w:rPr>
          <w:rtl/>
        </w:rPr>
        <w:t>לבותיהם</w:t>
      </w:r>
      <w:proofErr w:type="spellEnd"/>
      <w:r>
        <w:rPr>
          <w:rtl/>
        </w:rPr>
        <w:t>.”</w:t>
      </w:r>
      <w:bookmarkStart w:id="3388" w:name="_fnr2480"/>
      <w:r>
        <w:rPr>
          <w:rStyle w:val="a5"/>
        </w:rPr>
        <w:footnoteReference w:id="2487" w:customMarkFollows="0"/>
      </w:r>
      <w:bookmarkEnd w:id="3388"/>
      <w:r>
        <w:rPr>
          <w:rtl/>
        </w:rPr>
        <w:t xml:space="preserve"> סביר שהביטוי שבו השתמש ר׳ אברהם לא היה מפורש כל כך כמו שהודגש לעיל. מה שאמר היה “</w:t>
      </w:r>
      <w:proofErr w:type="spellStart"/>
      <w:r>
        <w:rPr>
          <w:rtl/>
        </w:rPr>
        <w:t>ווען</w:t>
      </w:r>
      <w:proofErr w:type="spellEnd"/>
      <w:r>
        <w:rPr>
          <w:rtl/>
        </w:rPr>
        <w:t xml:space="preserve"> די תלמידים </w:t>
      </w:r>
      <w:proofErr w:type="spellStart"/>
      <w:r>
        <w:rPr>
          <w:rtl/>
        </w:rPr>
        <w:t>וועלען</w:t>
      </w:r>
      <w:proofErr w:type="spellEnd"/>
      <w:r>
        <w:rPr>
          <w:rtl/>
        </w:rPr>
        <w:t xml:space="preserve"> </w:t>
      </w:r>
      <w:proofErr w:type="spellStart"/>
      <w:r>
        <w:rPr>
          <w:rtl/>
        </w:rPr>
        <w:lastRenderedPageBreak/>
        <w:t>זעהן</w:t>
      </w:r>
      <w:proofErr w:type="spellEnd"/>
      <w:r>
        <w:rPr>
          <w:rtl/>
        </w:rPr>
        <w:t xml:space="preserve"> מיין </w:t>
      </w:r>
      <w:r>
        <w:rPr>
          <w:b/>
          <w:bCs/>
          <w:rtl/>
        </w:rPr>
        <w:t>מצב</w:t>
      </w:r>
      <w:r>
        <w:rPr>
          <w:rtl/>
        </w:rPr>
        <w:t>” [כשהתלמידים יראו את מצבי], ובתו האמפתית הבינה את דבריו במשמעות “ייסורי”, אף שפירושם היה פשוט “היותי בלא אישה”.</w:t>
      </w:r>
      <w:bookmarkStart w:id="3389" w:name="_fnr2481"/>
      <w:bookmarkStart w:id="3390" w:name="pr_f_2382"/>
      <w:r>
        <w:rPr>
          <w:rStyle w:val="a5"/>
        </w:rPr>
        <w:footnoteReference w:id="2488" w:customMarkFollows="0"/>
      </w:r>
      <w:bookmarkStart w:id="3391" w:name="_fnr2482"/>
      <w:bookmarkStart w:id="3392" w:name="pr_f_2383"/>
      <w:bookmarkEnd w:id="3389"/>
      <w:bookmarkEnd w:id="3390"/>
      <w:r>
        <w:rPr>
          <w:rStyle w:val="a5"/>
        </w:rPr>
        <w:footnoteReference w:id="2489" w:customMarkFollows="0"/>
      </w:r>
      <w:bookmarkEnd w:id="3391"/>
      <w:bookmarkEnd w:id="3392"/>
    </w:p>
    <w:bookmarkStart w:id="3393" w:name="b3_excX"/>
    <w:p w14:paraId="60BD27F7" w14:textId="77777777" w:rsidR="00AB3647" w:rsidRDefault="00000000" w:rsidP="007923E9">
      <w:pPr>
        <w:pStyle w:val="3"/>
        <w:spacing w:line="276" w:lineRule="auto"/>
      </w:pPr>
      <w:r>
        <w:lastRenderedPageBreak/>
        <w:fldChar w:fldCharType="begin" w:dirty="true"/>
      </w:r>
      <w:r>
        <w:rPr>
          <w:rtl w:val="0"/>
        </w:rPr>
        <w:instrText>HYPERLINK \l "b3_note90</w:instrText>
      </w:r>
      <w:r>
        <w:instrText>"</w:instrText>
      </w:r>
      <w:r>
        <w:fldChar w:fldCharType="separate"/>
      </w:r>
      <w:r>
        <w:t>נספח כד</w:t>
      </w:r>
      <w:r>
        <w:fldChar w:fldCharType="end"/>
      </w:r>
      <w:bookmarkEnd w:id="3393"/>
    </w:p>
    <w:p w14:paraId="53B32BEF" w14:textId="77777777" w:rsidR="00AB3647" w:rsidRDefault="00000000" w:rsidP="007923E9">
      <w:pPr>
        <w:pStyle w:val="af"/>
        <w:spacing w:line="276" w:lineRule="auto"/>
      </w:pPr>
      <w:r>
        <w:t>על היחסים בין בעלי המוסר למתנגדיהם</w:t>
      </w:r>
    </w:p>
    <w:p w14:paraId="1BA95DAC" w14:textId="77777777" w:rsidR="00AB3647" w:rsidRDefault="00000000" w:rsidP="007923E9">
      <w:pPr>
        <w:pStyle w:val="5"/>
        <w:spacing w:line="276" w:lineRule="auto"/>
      </w:pPr>
      <w:r>
        <w:t xml:space="preserve">ר׳ </w:t>
      </w:r>
      <w:proofErr w:type="spellStart"/>
      <w:r>
        <w:t>משה־מרדכי</w:t>
      </w:r>
      <w:proofErr w:type="spellEnd"/>
      <w:r>
        <w:t xml:space="preserve"> מתמנה לרב </w:t>
      </w:r>
      <w:proofErr w:type="spellStart"/>
      <w:r>
        <w:t>סלבודקה</w:t>
      </w:r>
      <w:proofErr w:type="spellEnd"/>
      <w:r>
        <w:t xml:space="preserve"> – בעלי המוסר כועסים על ר׳ </w:t>
      </w:r>
      <w:proofErr w:type="spellStart"/>
      <w:r>
        <w:t>צבי־הירש</w:t>
      </w:r>
      <w:proofErr w:type="spellEnd"/>
      <w:r>
        <w:t xml:space="preserve"> </w:t>
      </w:r>
      <w:proofErr w:type="spellStart"/>
      <w:r>
        <w:t>רבינוביץ</w:t>
      </w:r>
      <w:proofErr w:type="spellEnd"/>
      <w:r>
        <w:t xml:space="preserve"> – הם כועסים ושותקים – מתנגדיהם מבינים בהדרגה את הצורך במוסר – בעלי המוסר משלימים בהדרגה עם ר׳ </w:t>
      </w:r>
      <w:proofErr w:type="spellStart"/>
      <w:r>
        <w:t>צבי־הירש</w:t>
      </w:r>
      <w:proofErr w:type="spellEnd"/>
      <w:r>
        <w:t xml:space="preserve"> </w:t>
      </w:r>
      <w:proofErr w:type="spellStart"/>
      <w:r>
        <w:t>רבינוביץ</w:t>
      </w:r>
      <w:proofErr w:type="spellEnd"/>
    </w:p>
    <w:p w14:paraId="4B7B4DE6" w14:textId="5EE645D3" w:rsidR="00AB3647" w:rsidRDefault="00000000" w:rsidP="007923E9">
      <w:pPr>
        <w:spacing w:after="120" w:line="276" w:lineRule="auto"/>
        <w:ind w:firstLine="283"/>
        <w:jc w:val="both"/>
      </w:pPr>
      <w:r>
        <w:rPr>
          <w:rtl/>
        </w:rPr>
        <w:t xml:space="preserve">ר׳ </w:t>
      </w:r>
      <w:proofErr w:type="spellStart"/>
      <w:r>
        <w:rPr>
          <w:rtl/>
        </w:rPr>
        <w:t>משה־מרדכי</w:t>
      </w:r>
      <w:proofErr w:type="spellEnd"/>
      <w:r>
        <w:rPr>
          <w:rtl/>
        </w:rPr>
        <w:t xml:space="preserve"> מונה </w:t>
      </w:r>
      <w:proofErr w:type="spellStart"/>
      <w:r>
        <w:rPr>
          <w:rtl/>
        </w:rPr>
        <w:t>למ״ץ</w:t>
      </w:r>
      <w:proofErr w:type="spellEnd"/>
      <w:r>
        <w:rPr>
          <w:rtl/>
        </w:rPr>
        <w:t xml:space="preserve"> </w:t>
      </w:r>
      <w:proofErr w:type="spellStart"/>
      <w:r>
        <w:rPr>
          <w:rtl/>
        </w:rPr>
        <w:t>בסלבודקה</w:t>
      </w:r>
      <w:proofErr w:type="spellEnd"/>
      <w:r>
        <w:rPr>
          <w:rtl/>
        </w:rPr>
        <w:t xml:space="preserve"> </w:t>
      </w:r>
      <w:proofErr w:type="spellStart"/>
      <w:r>
        <w:rPr>
          <w:rtl/>
        </w:rPr>
        <w:t>בתר״ס</w:t>
      </w:r>
      <w:proofErr w:type="spellEnd"/>
      <w:r>
        <w:rPr>
          <w:rtl/>
        </w:rPr>
        <w:t xml:space="preserve">, והדבר חייב אותו להתפלל לעיתים בבית הכנסת. כבר שלוש שנים אחרי פולמוס המוסר התבקש ראש ישיבת כנסת ישראל לשמש </w:t>
      </w:r>
      <w:proofErr w:type="spellStart"/>
      <w:r>
        <w:rPr>
          <w:rtl/>
        </w:rPr>
        <w:t>מ״ץ</w:t>
      </w:r>
      <w:proofErr w:type="spellEnd"/>
      <w:r>
        <w:rPr>
          <w:rtl/>
        </w:rPr>
        <w:t xml:space="preserve"> תחת </w:t>
      </w:r>
      <w:proofErr w:type="spellStart"/>
      <w:r>
        <w:rPr>
          <w:rtl/>
        </w:rPr>
        <w:t>רבנותו</w:t>
      </w:r>
      <w:proofErr w:type="spellEnd"/>
      <w:r>
        <w:rPr>
          <w:rtl/>
        </w:rPr>
        <w:t xml:space="preserve"> של ר׳ משה </w:t>
      </w:r>
      <w:proofErr w:type="spellStart"/>
      <w:r>
        <w:rPr>
          <w:rtl/>
        </w:rPr>
        <w:t>דנישבסקי</w:t>
      </w:r>
      <w:proofErr w:type="spellEnd"/>
      <w:r>
        <w:rPr>
          <w:rtl/>
        </w:rPr>
        <w:t xml:space="preserve">, ממנהיגי קבוצת המתנגדים – ועובדה זו מוכיחה ששתי הסיעות פעלו לשם שמים. </w:t>
      </w:r>
      <w:proofErr w:type="spellStart"/>
      <w:r>
        <w:rPr>
          <w:rtl/>
        </w:rPr>
        <w:t>בתר״ע</w:t>
      </w:r>
      <w:proofErr w:type="spellEnd"/>
      <w:r>
        <w:rPr>
          <w:rtl/>
        </w:rPr>
        <w:t xml:space="preserve">, שנה לאחר פטירת ר׳ משה </w:t>
      </w:r>
      <w:proofErr w:type="spellStart"/>
      <w:r>
        <w:rPr>
          <w:rtl/>
        </w:rPr>
        <w:t>דנישבסקי</w:t>
      </w:r>
      <w:proofErr w:type="spellEnd"/>
      <w:r>
        <w:rPr>
          <w:rtl/>
        </w:rPr>
        <w:t xml:space="preserve"> </w:t>
      </w:r>
      <w:proofErr w:type="spellStart"/>
      <w:r>
        <w:rPr>
          <w:rtl/>
        </w:rPr>
        <w:t>ושלוש־עשרה</w:t>
      </w:r>
      <w:proofErr w:type="spellEnd"/>
      <w:r>
        <w:rPr>
          <w:rtl/>
        </w:rPr>
        <w:t xml:space="preserve"> שנה אחרי פולמוס המוסר, כשההתנגדות למוסר כבר שככה ברובה</w:t>
      </w:r>
      <w:bookmarkStart w:id="3394" w:name="_fnr2483"/>
      <w:r>
        <w:rPr>
          <w:rStyle w:val="a5"/>
        </w:rPr>
        <w:footnoteReference w:id="2490" w:customMarkFollows="0"/>
      </w:r>
      <w:bookmarkEnd w:id="3394"/>
      <w:r>
        <w:rPr>
          <w:rtl/>
        </w:rPr>
        <w:t xml:space="preserve">, נתמנה ר׳ </w:t>
      </w:r>
      <w:proofErr w:type="spellStart"/>
      <w:r>
        <w:rPr>
          <w:rtl/>
        </w:rPr>
        <w:t>משה־מרדכי</w:t>
      </w:r>
      <w:proofErr w:type="spellEnd"/>
      <w:r>
        <w:rPr>
          <w:rtl/>
        </w:rPr>
        <w:t xml:space="preserve"> לרב </w:t>
      </w:r>
      <w:proofErr w:type="spellStart"/>
      <w:r>
        <w:rPr>
          <w:rtl/>
        </w:rPr>
        <w:t>סלבודקה</w:t>
      </w:r>
      <w:proofErr w:type="spellEnd"/>
      <w:r>
        <w:rPr>
          <w:rtl/>
        </w:rPr>
        <w:t xml:space="preserve">. השווה גם פרק 4, הערה </w:t>
      </w:r>
      <w:r>
        <w:rPr>
          <w:rtl/>
        </w:rPr>
        <w:fldChar w:fldCharType="begin" w:dirty="true"/>
      </w:r>
      <w:r>
        <w:rPr>
          <w:rtl/>
        </w:rPr>
        <w:instrText xml:space="preserve"> REF b4_note150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150</w:t>
      </w:r>
      <w:r>
        <w:rPr>
          <w:rtl/>
        </w:rPr>
        <w:fldChar w:fldCharType="end"/>
      </w:r>
      <w:r>
        <w:rPr>
          <w:rtl/>
        </w:rPr>
        <w:t>.</w:t>
      </w:r>
    </w:p>
    <w:p w14:paraId="54685628" w14:textId="77777777" w:rsidR="00AB3647" w:rsidRDefault="00000000" w:rsidP="007923E9">
      <w:pPr>
        <w:spacing w:after="120" w:line="276" w:lineRule="auto"/>
        <w:ind w:firstLine="283"/>
        <w:jc w:val="both"/>
      </w:pPr>
      <w:r>
        <w:rPr>
          <w:rtl/>
        </w:rPr>
        <w:t xml:space="preserve">ר׳ </w:t>
      </w:r>
      <w:proofErr w:type="spellStart"/>
      <w:r>
        <w:rPr>
          <w:rtl/>
        </w:rPr>
        <w:t>כתריאל־דוד</w:t>
      </w:r>
      <w:proofErr w:type="spellEnd"/>
      <w:r>
        <w:rPr>
          <w:rtl/>
        </w:rPr>
        <w:t xml:space="preserve"> קפלין הראה לי</w:t>
      </w:r>
      <w:bookmarkStart w:id="3395" w:name="_fnr2484"/>
      <w:r>
        <w:rPr>
          <w:rStyle w:val="a5"/>
        </w:rPr>
        <w:footnoteReference w:id="2491" w:customMarkFollows="0"/>
      </w:r>
      <w:bookmarkEnd w:id="3395"/>
      <w:r>
        <w:rPr>
          <w:rtl/>
        </w:rPr>
        <w:t xml:space="preserve"> מכתב שלא פורסם ושאין עליו תאריך. את המכתב שלח ר׳ הירש </w:t>
      </w:r>
      <w:proofErr w:type="spellStart"/>
      <w:r>
        <w:rPr>
          <w:rtl/>
        </w:rPr>
        <w:t>ברוידא</w:t>
      </w:r>
      <w:proofErr w:type="spellEnd"/>
      <w:r>
        <w:rPr>
          <w:rtl/>
        </w:rPr>
        <w:t xml:space="preserve"> – אחיינו, תלמידו וחתנו של ר׳ </w:t>
      </w:r>
      <w:proofErr w:type="spellStart"/>
      <w:r>
        <w:rPr>
          <w:rtl/>
        </w:rPr>
        <w:t>שמחה־זיסל</w:t>
      </w:r>
      <w:proofErr w:type="spellEnd"/>
      <w:r>
        <w:rPr>
          <w:rtl/>
        </w:rPr>
        <w:t xml:space="preserve"> זיו, וממלא מקומו כמנהל התלמוד תורה </w:t>
      </w:r>
      <w:proofErr w:type="spellStart"/>
      <w:r>
        <w:rPr>
          <w:rtl/>
        </w:rPr>
        <w:t>בקלם</w:t>
      </w:r>
      <w:bookmarkStart w:id="3396" w:name="_fnr2485"/>
      <w:proofErr w:type="spellEnd"/>
      <w:r>
        <w:rPr>
          <w:rStyle w:val="a5"/>
        </w:rPr>
        <w:footnoteReference w:id="2492" w:customMarkFollows="0"/>
      </w:r>
      <w:bookmarkEnd w:id="3396"/>
      <w:r>
        <w:rPr>
          <w:rtl/>
        </w:rPr>
        <w:t xml:space="preserve"> – לתלמיד קלם אחר, ר׳ </w:t>
      </w:r>
      <w:proofErr w:type="spellStart"/>
      <w:r>
        <w:rPr>
          <w:rtl/>
        </w:rPr>
        <w:t>שמואל־הלל</w:t>
      </w:r>
      <w:proofErr w:type="spellEnd"/>
      <w:r>
        <w:rPr>
          <w:rtl/>
        </w:rPr>
        <w:t xml:space="preserve"> שנקר, בנו של ר׳ </w:t>
      </w:r>
      <w:proofErr w:type="spellStart"/>
      <w:r>
        <w:rPr>
          <w:rtl/>
        </w:rPr>
        <w:t>אברמצ׳יק</w:t>
      </w:r>
      <w:proofErr w:type="spellEnd"/>
      <w:r>
        <w:rPr>
          <w:rtl/>
        </w:rPr>
        <w:t xml:space="preserve"> </w:t>
      </w:r>
      <w:proofErr w:type="spellStart"/>
      <w:r>
        <w:rPr>
          <w:rtl/>
        </w:rPr>
        <w:t>טאנס</w:t>
      </w:r>
      <w:bookmarkStart w:id="3397" w:name="_fnr2486"/>
      <w:proofErr w:type="spellEnd"/>
      <w:r>
        <w:rPr>
          <w:rStyle w:val="a5"/>
        </w:rPr>
        <w:footnoteReference w:id="2493" w:customMarkFollows="0"/>
      </w:r>
      <w:bookmarkEnd w:id="3397"/>
      <w:r>
        <w:rPr>
          <w:rtl/>
        </w:rPr>
        <w:t xml:space="preserve">. הכותב מותח ביקורת קשה על ר׳ </w:t>
      </w:r>
      <w:proofErr w:type="spellStart"/>
      <w:r>
        <w:rPr>
          <w:rtl/>
        </w:rPr>
        <w:t>צבי־הירש</w:t>
      </w:r>
      <w:proofErr w:type="spellEnd"/>
      <w:r>
        <w:rPr>
          <w:rtl/>
        </w:rPr>
        <w:t xml:space="preserve"> </w:t>
      </w:r>
      <w:proofErr w:type="spellStart"/>
      <w:r>
        <w:rPr>
          <w:rtl/>
        </w:rPr>
        <w:t>רבינוביץ</w:t>
      </w:r>
      <w:proofErr w:type="spellEnd"/>
      <w:r>
        <w:rPr>
          <w:rtl/>
        </w:rPr>
        <w:t>, רב קובנה ומנהיג המתנגדים, ואינו קורא לו בשמו אלא מכנה אותו “</w:t>
      </w:r>
      <w:proofErr w:type="spellStart"/>
      <w:r>
        <w:rPr>
          <w:rtl/>
        </w:rPr>
        <w:t>הקאוונער</w:t>
      </w:r>
      <w:proofErr w:type="spellEnd"/>
      <w:r>
        <w:rPr>
          <w:rtl/>
        </w:rPr>
        <w:t>”.</w:t>
      </w:r>
    </w:p>
    <w:p w14:paraId="41BE220F" w14:textId="77777777" w:rsidR="00AB3647" w:rsidRDefault="00000000" w:rsidP="007923E9">
      <w:pPr>
        <w:spacing w:after="120" w:line="276" w:lineRule="auto"/>
        <w:ind w:firstLine="283"/>
        <w:jc w:val="both"/>
      </w:pPr>
      <w:r>
        <w:rPr>
          <w:rtl/>
        </w:rPr>
        <w:t xml:space="preserve">הרב </w:t>
      </w:r>
      <w:proofErr w:type="spellStart"/>
      <w:r>
        <w:rPr>
          <w:rtl/>
        </w:rPr>
        <w:t>ברוידא</w:t>
      </w:r>
      <w:proofErr w:type="spellEnd"/>
      <w:r>
        <w:rPr>
          <w:rtl/>
        </w:rPr>
        <w:t xml:space="preserve"> מייעץ לרב שנקר שלא לכתוב מכתבים </w:t>
      </w:r>
      <w:proofErr w:type="spellStart"/>
      <w:r>
        <w:rPr>
          <w:rtl/>
        </w:rPr>
        <w:t>לר</w:t>
      </w:r>
      <w:proofErr w:type="spellEnd"/>
      <w:r>
        <w:rPr>
          <w:rtl/>
        </w:rPr>
        <w:t xml:space="preserve">׳ </w:t>
      </w:r>
      <w:proofErr w:type="spellStart"/>
      <w:r>
        <w:rPr>
          <w:rtl/>
        </w:rPr>
        <w:t>צבי־הירש</w:t>
      </w:r>
      <w:proofErr w:type="spellEnd"/>
      <w:r>
        <w:rPr>
          <w:rtl/>
        </w:rPr>
        <w:t xml:space="preserve"> </w:t>
      </w:r>
      <w:proofErr w:type="spellStart"/>
      <w:r>
        <w:rPr>
          <w:rtl/>
        </w:rPr>
        <w:t>רבינוביץ</w:t>
      </w:r>
      <w:proofErr w:type="spellEnd"/>
      <w:r>
        <w:rPr>
          <w:rtl/>
        </w:rPr>
        <w:t xml:space="preserve">, ומסביר: “כי יצטרך לתת לו </w:t>
      </w:r>
      <w:proofErr w:type="spellStart"/>
      <w:r>
        <w:rPr>
          <w:rtl/>
        </w:rPr>
        <w:t>תוארים</w:t>
      </w:r>
      <w:proofErr w:type="spellEnd"/>
      <w:r>
        <w:rPr>
          <w:rtl/>
        </w:rPr>
        <w:t xml:space="preserve">, ואיך אפשר זה אחרי כל המעשים הנוראים אשר יצאו מתחת יד </w:t>
      </w:r>
      <w:proofErr w:type="spellStart"/>
      <w:r>
        <w:rPr>
          <w:rtl/>
        </w:rPr>
        <w:t>הקאוונער</w:t>
      </w:r>
      <w:proofErr w:type="spellEnd"/>
      <w:r>
        <w:rPr>
          <w:rtl/>
        </w:rPr>
        <w:t xml:space="preserve"> עם גודל חילול השם </w:t>
      </w:r>
      <w:r>
        <w:rPr>
          <w:b/>
          <w:bCs/>
          <w:rtl/>
        </w:rPr>
        <w:t>והקלקול העצום</w:t>
      </w:r>
      <w:r>
        <w:rPr>
          <w:rtl/>
        </w:rPr>
        <w:t xml:space="preserve">, איך אפשר להוציא שקר כזה מפי עטו ולכתוב תואר אשר יאות לגאון וצדיק מפורסם מדור העבר” (ההדגשה שלי). ייתכן שהרב שנקר היה “נאלץ” לפתוח את מכתביו </w:t>
      </w:r>
      <w:proofErr w:type="spellStart"/>
      <w:r>
        <w:rPr>
          <w:rtl/>
        </w:rPr>
        <w:t>לר</w:t>
      </w:r>
      <w:proofErr w:type="spellEnd"/>
      <w:r>
        <w:rPr>
          <w:rtl/>
        </w:rPr>
        <w:t xml:space="preserve">׳ </w:t>
      </w:r>
      <w:proofErr w:type="spellStart"/>
      <w:r>
        <w:rPr>
          <w:rtl/>
        </w:rPr>
        <w:t>צבי־הירש</w:t>
      </w:r>
      <w:proofErr w:type="spellEnd"/>
      <w:r>
        <w:rPr>
          <w:rtl/>
        </w:rPr>
        <w:t xml:space="preserve"> </w:t>
      </w:r>
      <w:proofErr w:type="spellStart"/>
      <w:r>
        <w:rPr>
          <w:rtl/>
        </w:rPr>
        <w:t>רבינוביץ</w:t>
      </w:r>
      <w:proofErr w:type="spellEnd"/>
      <w:r>
        <w:rPr>
          <w:rtl/>
        </w:rPr>
        <w:t xml:space="preserve"> בתארי שבח מופלגים מפני שאביו של ר׳ </w:t>
      </w:r>
      <w:proofErr w:type="spellStart"/>
      <w:r>
        <w:rPr>
          <w:rtl/>
        </w:rPr>
        <w:t>צבי־הירש</w:t>
      </w:r>
      <w:proofErr w:type="spellEnd"/>
      <w:r>
        <w:rPr>
          <w:rtl/>
        </w:rPr>
        <w:t xml:space="preserve">, ר׳ </w:t>
      </w:r>
      <w:proofErr w:type="spellStart"/>
      <w:r>
        <w:rPr>
          <w:rtl/>
        </w:rPr>
        <w:t>יצחק־אלחנן</w:t>
      </w:r>
      <w:proofErr w:type="spellEnd"/>
      <w:r>
        <w:rPr>
          <w:rtl/>
        </w:rPr>
        <w:t>, שיבח ביותר את אביו של הרב שנקר. לפי המסופר אמר</w:t>
      </w:r>
      <w:bookmarkStart w:id="3398" w:name="_fnr2487"/>
      <w:r>
        <w:rPr>
          <w:rStyle w:val="a5"/>
        </w:rPr>
        <w:footnoteReference w:id="2494" w:customMarkFollows="0"/>
      </w:r>
      <w:bookmarkEnd w:id="3398"/>
      <w:r>
        <w:rPr>
          <w:rtl/>
        </w:rPr>
        <w:t xml:space="preserve"> ר׳ </w:t>
      </w:r>
      <w:proofErr w:type="spellStart"/>
      <w:r>
        <w:rPr>
          <w:rtl/>
        </w:rPr>
        <w:t>יצחק־אלחנן</w:t>
      </w:r>
      <w:proofErr w:type="spellEnd"/>
      <w:r>
        <w:rPr>
          <w:rtl/>
        </w:rPr>
        <w:t xml:space="preserve"> שאילו חי ר׳ </w:t>
      </w:r>
      <w:proofErr w:type="spellStart"/>
      <w:r>
        <w:rPr>
          <w:rtl/>
        </w:rPr>
        <w:t>אברמצ׳יק</w:t>
      </w:r>
      <w:proofErr w:type="spellEnd"/>
      <w:r>
        <w:rPr>
          <w:rtl/>
        </w:rPr>
        <w:t xml:space="preserve"> בימי הגאון מווילנה, גם הוא היה נמנה עם קדושי הדור.</w:t>
      </w:r>
    </w:p>
    <w:p w14:paraId="362D7802" w14:textId="77777777" w:rsidR="00AB3647" w:rsidRDefault="00000000" w:rsidP="007923E9">
      <w:pPr>
        <w:spacing w:after="120" w:line="276" w:lineRule="auto"/>
        <w:ind w:firstLine="283"/>
        <w:jc w:val="both"/>
      </w:pPr>
      <w:r>
        <w:rPr>
          <w:rtl/>
        </w:rPr>
        <w:t>נראה שמיד לאחר פרוץ פולמוס המוסר לא ידעו בעלי המוסר כיצד להגיב: מצד אחד נמנעו מהתקפות נגד גלויות, ומצד אחר בערה בהם חמתם. ר׳ זבולון גרז גילה</w:t>
      </w:r>
      <w:bookmarkStart w:id="3399" w:name="_fnr2488"/>
      <w:r>
        <w:rPr>
          <w:rStyle w:val="a5"/>
        </w:rPr>
        <w:footnoteReference w:id="2495" w:customMarkFollows="0"/>
      </w:r>
      <w:bookmarkEnd w:id="3399"/>
      <w:r>
        <w:rPr>
          <w:rtl/>
        </w:rPr>
        <w:t xml:space="preserve"> שאביו ר׳ </w:t>
      </w:r>
      <w:proofErr w:type="spellStart"/>
      <w:r>
        <w:rPr>
          <w:rtl/>
        </w:rPr>
        <w:t>יוסף־נתנאל</w:t>
      </w:r>
      <w:proofErr w:type="spellEnd"/>
      <w:r>
        <w:rPr>
          <w:rtl/>
        </w:rPr>
        <w:t xml:space="preserve"> – שהיה קרוב </w:t>
      </w:r>
      <w:proofErr w:type="spellStart"/>
      <w:r>
        <w:rPr>
          <w:rtl/>
        </w:rPr>
        <w:t>לר</w:t>
      </w:r>
      <w:proofErr w:type="spellEnd"/>
      <w:r>
        <w:rPr>
          <w:rtl/>
        </w:rPr>
        <w:t xml:space="preserve">׳ </w:t>
      </w:r>
      <w:proofErr w:type="spellStart"/>
      <w:r>
        <w:rPr>
          <w:rtl/>
        </w:rPr>
        <w:t>שמחה־זיסל</w:t>
      </w:r>
      <w:proofErr w:type="spellEnd"/>
      <w:r>
        <w:rPr>
          <w:rtl/>
        </w:rPr>
        <w:t xml:space="preserve"> זיו ותלמיד הסבא </w:t>
      </w:r>
      <w:proofErr w:type="spellStart"/>
      <w:r>
        <w:rPr>
          <w:rtl/>
        </w:rPr>
        <w:t>מסלבודקה</w:t>
      </w:r>
      <w:proofErr w:type="spellEnd"/>
      <w:r>
        <w:rPr>
          <w:rtl/>
        </w:rPr>
        <w:t xml:space="preserve">, וערך ועדים </w:t>
      </w:r>
      <w:proofErr w:type="spellStart"/>
      <w:r>
        <w:rPr>
          <w:rtl/>
        </w:rPr>
        <w:t>בסלבודקה</w:t>
      </w:r>
      <w:proofErr w:type="spellEnd"/>
      <w:r>
        <w:rPr>
          <w:rtl/>
        </w:rPr>
        <w:t xml:space="preserve"> </w:t>
      </w:r>
      <w:proofErr w:type="spellStart"/>
      <w:r>
        <w:rPr>
          <w:rtl/>
        </w:rPr>
        <w:t>בתר״ס</w:t>
      </w:r>
      <w:proofErr w:type="spellEnd"/>
      <w:r>
        <w:rPr>
          <w:rtl/>
        </w:rPr>
        <w:t xml:space="preserve"> – סיפר לו: “פעם באתי לקובנה והתכוונתי לבקר אצל הרב, אבל יעצו לי שלא לעשות זאת, מפני שבאותו זמן דיבר הרב בחריפות נגד המוסר”.</w:t>
      </w:r>
    </w:p>
    <w:p w14:paraId="0961C769" w14:textId="77777777" w:rsidR="00AB3647" w:rsidRDefault="00000000" w:rsidP="007923E9">
      <w:pPr>
        <w:spacing w:after="120" w:line="276" w:lineRule="auto"/>
        <w:ind w:firstLine="283"/>
        <w:jc w:val="both"/>
      </w:pPr>
      <w:r>
        <w:rPr>
          <w:rtl/>
        </w:rPr>
        <w:lastRenderedPageBreak/>
        <w:t xml:space="preserve">ר׳ זבולון לא היה בטוח מתי אירע הדבר, אבל לאור מה שנחשף </w:t>
      </w:r>
      <w:proofErr w:type="spellStart"/>
      <w:r>
        <w:rPr>
          <w:rtl/>
        </w:rPr>
        <w:t>ב“פולמוס</w:t>
      </w:r>
      <w:proofErr w:type="spellEnd"/>
      <w:r>
        <w:rPr>
          <w:rtl/>
        </w:rPr>
        <w:t xml:space="preserve"> המוסר”, כמובא בסוף נספח זה, סביר שהיה זה זמן קצר מאוד אחרי שר׳ </w:t>
      </w:r>
      <w:proofErr w:type="spellStart"/>
      <w:r>
        <w:rPr>
          <w:rtl/>
        </w:rPr>
        <w:t>יוסף־נתנאל</w:t>
      </w:r>
      <w:proofErr w:type="spellEnd"/>
      <w:r>
        <w:rPr>
          <w:rtl/>
        </w:rPr>
        <w:t xml:space="preserve"> עזב את </w:t>
      </w:r>
      <w:proofErr w:type="spellStart"/>
      <w:r>
        <w:rPr>
          <w:rtl/>
        </w:rPr>
        <w:t>סלבודקה</w:t>
      </w:r>
      <w:proofErr w:type="spellEnd"/>
      <w:r>
        <w:rPr>
          <w:rtl/>
        </w:rPr>
        <w:t xml:space="preserve"> </w:t>
      </w:r>
      <w:proofErr w:type="spellStart"/>
      <w:r>
        <w:rPr>
          <w:rtl/>
        </w:rPr>
        <w:t>בתר״ס</w:t>
      </w:r>
      <w:proofErr w:type="spellEnd"/>
      <w:r>
        <w:rPr>
          <w:rtl/>
        </w:rPr>
        <w:t xml:space="preserve">, עשר שנים לפני הולדת ר׳ זבולון, מיד לאחר שנתמנה לרב </w:t>
      </w:r>
      <w:proofErr w:type="spellStart"/>
      <w:r>
        <w:rPr>
          <w:rtl/>
        </w:rPr>
        <w:t>באוזוונט</w:t>
      </w:r>
      <w:proofErr w:type="spellEnd"/>
      <w:r>
        <w:rPr>
          <w:rtl/>
        </w:rPr>
        <w:t xml:space="preserve">. אפשר להניח שהסבא </w:t>
      </w:r>
      <w:proofErr w:type="spellStart"/>
      <w:r>
        <w:rPr>
          <w:rtl/>
        </w:rPr>
        <w:t>מסלבודקה</w:t>
      </w:r>
      <w:proofErr w:type="spellEnd"/>
      <w:r>
        <w:rPr>
          <w:rtl/>
        </w:rPr>
        <w:t xml:space="preserve"> עצמו יעץ לו שלא לבקר אצל ר׳ </w:t>
      </w:r>
      <w:proofErr w:type="spellStart"/>
      <w:r>
        <w:rPr>
          <w:rtl/>
        </w:rPr>
        <w:t>צבי־הירש</w:t>
      </w:r>
      <w:proofErr w:type="spellEnd"/>
      <w:r>
        <w:rPr>
          <w:rtl/>
        </w:rPr>
        <w:t xml:space="preserve"> </w:t>
      </w:r>
      <w:proofErr w:type="spellStart"/>
      <w:r>
        <w:rPr>
          <w:rtl/>
        </w:rPr>
        <w:t>רבינוביץ</w:t>
      </w:r>
      <w:proofErr w:type="spellEnd"/>
      <w:r>
        <w:rPr>
          <w:rtl/>
        </w:rPr>
        <w:t>.</w:t>
      </w:r>
    </w:p>
    <w:p w14:paraId="072BC317" w14:textId="77777777" w:rsidR="00AB3647" w:rsidRDefault="00000000" w:rsidP="007923E9">
      <w:pPr>
        <w:spacing w:after="120" w:line="276" w:lineRule="auto"/>
        <w:ind w:firstLine="283"/>
        <w:jc w:val="both"/>
      </w:pPr>
      <w:r>
        <w:rPr>
          <w:rtl/>
        </w:rPr>
        <w:t xml:space="preserve">השווה גם תכתובת </w:t>
      </w:r>
      <w:proofErr w:type="spellStart"/>
      <w:r>
        <w:rPr>
          <w:rtl/>
        </w:rPr>
        <w:t>ברודא</w:t>
      </w:r>
      <w:proofErr w:type="spellEnd"/>
      <w:r>
        <w:rPr>
          <w:rtl/>
        </w:rPr>
        <w:t xml:space="preserve"> המתנגדת למוסר</w:t>
      </w:r>
      <w:bookmarkStart w:id="3400" w:name="_fnr2489"/>
      <w:r>
        <w:rPr>
          <w:rStyle w:val="a5"/>
        </w:rPr>
        <w:footnoteReference w:id="2496" w:customMarkFollows="0"/>
      </w:r>
      <w:bookmarkEnd w:id="3400"/>
      <w:r>
        <w:rPr>
          <w:rtl/>
        </w:rPr>
        <w:t xml:space="preserve">, האומרת: “נתגלה לנו ששתיקתם של בעלי המוסר – הנובעת מן המוסר ומאכיפתו ומכיבוש היצר – אינה טובה מדיבורם. בעוד הם כאילמים שאינם פותחים את פיהם, בכל זאת ‘שבע תועבות </w:t>
      </w:r>
      <w:proofErr w:type="spellStart"/>
      <w:r>
        <w:rPr>
          <w:rtl/>
        </w:rPr>
        <w:t>בלבם</w:t>
      </w:r>
      <w:proofErr w:type="spellEnd"/>
      <w:r>
        <w:rPr>
          <w:rtl/>
        </w:rPr>
        <w:t>’</w:t>
      </w:r>
      <w:bookmarkStart w:id="3401" w:name="_fnr2490"/>
      <w:r>
        <w:rPr>
          <w:rStyle w:val="a5"/>
        </w:rPr>
        <w:footnoteReference w:id="2497" w:customMarkFollows="0"/>
      </w:r>
      <w:bookmarkEnd w:id="3401"/>
      <w:r>
        <w:rPr>
          <w:rtl/>
        </w:rPr>
        <w:t xml:space="preserve">, וענוותנותם היא גאוותם: כי כל היום הם חושבים מחשבות עמל ואוון על גדולי ישראל </w:t>
      </w:r>
      <w:proofErr w:type="spellStart"/>
      <w:r>
        <w:rPr>
          <w:rtl/>
        </w:rPr>
        <w:t>וגאוניו</w:t>
      </w:r>
      <w:proofErr w:type="spellEnd"/>
      <w:r>
        <w:rPr>
          <w:rtl/>
        </w:rPr>
        <w:t xml:space="preserve"> כדי</w:t>
      </w:r>
      <w:r>
        <w:t xml:space="preserve"> </w:t>
      </w:r>
      <w:r>
        <w:rPr>
          <w:rtl/>
        </w:rPr>
        <w:t>להמעיט בערכם. כי בספרם של בעלי המוסר כולם [החכמים הללו] נכתבים בדברי גנאי וקללה, המבקרים את מעשיהם ופועלם ואת מעשי כל משפחותיהם וצאצאיהם. ובמלחמת ההתגוננות שלהם החלו לשלוח בסתר כתבי פלסתר.”</w:t>
      </w:r>
    </w:p>
    <w:p w14:paraId="34E808D2" w14:textId="77777777" w:rsidR="00AB3647" w:rsidRDefault="00000000" w:rsidP="007923E9">
      <w:pPr>
        <w:spacing w:after="120" w:line="276" w:lineRule="auto"/>
        <w:ind w:firstLine="283"/>
        <w:jc w:val="both"/>
      </w:pPr>
      <w:r>
        <w:rPr>
          <w:rtl/>
        </w:rPr>
        <w:t xml:space="preserve">מכתב </w:t>
      </w:r>
      <w:proofErr w:type="spellStart"/>
      <w:r>
        <w:rPr>
          <w:rtl/>
        </w:rPr>
        <w:t>ברוידא־שנקר</w:t>
      </w:r>
      <w:proofErr w:type="spellEnd"/>
      <w:r>
        <w:rPr>
          <w:rtl/>
        </w:rPr>
        <w:t xml:space="preserve"> נכתב ודאי לא שנים רבות לאחר פולמוס המוסר, לפני שנוכחו בעלי המוסר עד כמה קצרת ימים תהיה השפעתו השלילית של הפולמוס על התפשטות המוסר בעולם הישיבות. אבל הם לא יכלו לחזות את ניצחונם, מפני שלא שינוי בתפיסתם היסודית של מתנגדיהם את המוסר הוא שהביא את המתנגדים לסגת מן הביקורת החריפה. דווקא ההתלהבות הסוציאליסטית הגואה בקרב הנוער היהודי כמה שנים אחרי תחילת שנות </w:t>
      </w:r>
      <w:proofErr w:type="spellStart"/>
      <w:r>
        <w:rPr>
          <w:rtl/>
        </w:rPr>
        <w:t>התר״ס</w:t>
      </w:r>
      <w:proofErr w:type="spellEnd"/>
      <w:r>
        <w:rPr>
          <w:rtl/>
        </w:rPr>
        <w:t>, כמצוין בפסקה שלפני האחרונה בפרק 2.1, היא שהביאה את המתנגדים למסקנה שהמוסר הוא הרע במיעוטו מבין שתי האפשרויות המתחרות על לבם של תלמידי הישיבות.</w:t>
      </w:r>
    </w:p>
    <w:p w14:paraId="44A7345C" w14:textId="4311A178" w:rsidR="00AB3647" w:rsidRDefault="00000000" w:rsidP="007923E9">
      <w:pPr>
        <w:spacing w:after="120" w:line="276" w:lineRule="auto"/>
        <w:ind w:firstLine="283"/>
        <w:jc w:val="both"/>
      </w:pPr>
      <w:r>
        <w:rPr>
          <w:rtl/>
        </w:rPr>
        <w:t xml:space="preserve">לפי אבי, כמובא בראש </w:t>
      </w:r>
      <w:r>
        <w:rPr>
          <w:rtl/>
        </w:rPr>
        <w:fldChar w:fldCharType="begin" w:dirty="true"/>
      </w:r>
      <w:r>
        <w:rPr>
          <w:rtl/>
        </w:rPr>
        <w:instrText xml:space="preserve"> REF b3_excS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יט</w:t>
      </w:r>
      <w:proofErr w:type="spellEnd"/>
      <w:r>
        <w:rPr>
          <w:rtl/>
        </w:rPr>
        <w:fldChar w:fldCharType="end"/>
      </w:r>
      <w:r>
        <w:rPr>
          <w:rtl/>
        </w:rPr>
        <w:t xml:space="preserve"> לעיל, ר׳ ישראל עצמו היה מוטרד תמיד מן השאלה כיצד להגיב להשקפות המודרניות הצדות את הצעירים היהודים. לנוכח דעת אבי על “מה שר׳ ישראל </w:t>
      </w:r>
      <w:proofErr w:type="spellStart"/>
      <w:r>
        <w:rPr>
          <w:rtl/>
        </w:rPr>
        <w:t>סלנטר</w:t>
      </w:r>
      <w:proofErr w:type="spellEnd"/>
      <w:r>
        <w:rPr>
          <w:rtl/>
        </w:rPr>
        <w:t xml:space="preserve"> עצמו רצה באמת”</w:t>
      </w:r>
      <w:bookmarkStart w:id="3402" w:name="_fnr2491"/>
      <w:r>
        <w:rPr>
          <w:rStyle w:val="a5"/>
        </w:rPr>
        <w:footnoteReference w:id="2498" w:customMarkFollows="0"/>
      </w:r>
      <w:bookmarkEnd w:id="3402"/>
      <w:r>
        <w:rPr>
          <w:rtl/>
        </w:rPr>
        <w:t>, אין זה רחוק להציע שבתהליך התפתחות מחשבתם הגיעו מתנגדי המוסר לאותה מסקנה שאליה הגיע ר׳ ישראל בתבונתו חצי מאה קודם לכן.</w:t>
      </w:r>
    </w:p>
    <w:p w14:paraId="5D907F9E" w14:textId="166C4F10" w:rsidR="00AB3647" w:rsidRDefault="00000000" w:rsidP="007923E9">
      <w:pPr>
        <w:spacing w:after="120" w:line="276" w:lineRule="auto"/>
        <w:ind w:firstLine="283"/>
        <w:jc w:val="both"/>
      </w:pPr>
      <w:r>
        <w:rPr>
          <w:rtl/>
        </w:rPr>
        <w:t>השווה “פולמוס המוסר”</w:t>
      </w:r>
      <w:bookmarkStart w:id="3403" w:name="_fnr2492"/>
      <w:r>
        <w:rPr>
          <w:rStyle w:val="a5"/>
        </w:rPr>
        <w:footnoteReference w:id="2499" w:customMarkFollows="0"/>
      </w:r>
      <w:bookmarkEnd w:id="3403"/>
      <w:r>
        <w:rPr>
          <w:rtl/>
        </w:rPr>
        <w:t xml:space="preserve">, המצטט מכתבים שנשלחו מארץ ישראל בעקבות פולמוס המוסר. את המכתבים שלח ר׳ </w:t>
      </w:r>
      <w:proofErr w:type="spellStart"/>
      <w:r>
        <w:rPr>
          <w:rtl/>
        </w:rPr>
        <w:t>יהושע־לייב</w:t>
      </w:r>
      <w:proofErr w:type="spellEnd"/>
      <w:r>
        <w:rPr>
          <w:rtl/>
        </w:rPr>
        <w:t xml:space="preserve"> דיסקין, שלא נטה לאחד הצדדים, אל ר׳ חיים </w:t>
      </w:r>
      <w:proofErr w:type="spellStart"/>
      <w:r>
        <w:rPr>
          <w:rtl/>
        </w:rPr>
        <w:t>סולובייצ׳יק</w:t>
      </w:r>
      <w:proofErr w:type="spellEnd"/>
      <w:r>
        <w:rPr>
          <w:rtl/>
        </w:rPr>
        <w:t xml:space="preserve"> ואל ר׳ </w:t>
      </w:r>
      <w:proofErr w:type="spellStart"/>
      <w:r>
        <w:rPr>
          <w:rtl/>
        </w:rPr>
        <w:t>אליהו־חיים</w:t>
      </w:r>
      <w:proofErr w:type="spellEnd"/>
      <w:r>
        <w:rPr>
          <w:rtl/>
        </w:rPr>
        <w:t xml:space="preserve"> </w:t>
      </w:r>
      <w:proofErr w:type="spellStart"/>
      <w:r>
        <w:rPr>
          <w:rtl/>
        </w:rPr>
        <w:t>מייזל</w:t>
      </w:r>
      <w:proofErr w:type="spellEnd"/>
      <w:r>
        <w:rPr>
          <w:rtl/>
        </w:rPr>
        <w:t xml:space="preserve">, עמית קרוב של אביו של ר׳ חיים. שניהם לא היו מעורבים בפולמוס, אף שנמנו עם המתנגדים. במכתבים אלה קבל ר׳ </w:t>
      </w:r>
      <w:proofErr w:type="spellStart"/>
      <w:r>
        <w:rPr>
          <w:rtl/>
        </w:rPr>
        <w:t>יהושע־לייב</w:t>
      </w:r>
      <w:proofErr w:type="spellEnd"/>
      <w:r>
        <w:rPr>
          <w:rtl/>
        </w:rPr>
        <w:t xml:space="preserve"> על שהמריבה תביא </w:t>
      </w:r>
      <w:proofErr w:type="spellStart"/>
      <w:r>
        <w:rPr>
          <w:rtl/>
        </w:rPr>
        <w:t>ל“מיעוט</w:t>
      </w:r>
      <w:proofErr w:type="spellEnd"/>
      <w:r>
        <w:rPr>
          <w:rtl/>
        </w:rPr>
        <w:t xml:space="preserve"> כבוד התורה הקדושה וכבוד שמים”. ראה גם סוף הפסקה השלישית ב</w:t>
      </w:r>
      <w:r>
        <w:rPr>
          <w:rtl/>
        </w:rPr>
        <w:fldChar w:fldCharType="begin" w:dirty="true"/>
      </w:r>
      <w:r>
        <w:rPr>
          <w:rtl/>
        </w:rPr>
        <w:instrText xml:space="preserve"> REF b3_excN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יד</w:t>
      </w:r>
      <w:r>
        <w:rPr>
          <w:rtl/>
        </w:rPr>
        <w:fldChar w:fldCharType="end"/>
      </w:r>
      <w:r>
        <w:rPr>
          <w:rtl/>
        </w:rPr>
        <w:t xml:space="preserve"> לעיל, על מה שנראה כתגובתו של ר׳ חיים </w:t>
      </w:r>
      <w:proofErr w:type="spellStart"/>
      <w:r>
        <w:rPr>
          <w:rtl/>
        </w:rPr>
        <w:t>סולובייצ׳יק</w:t>
      </w:r>
      <w:proofErr w:type="spellEnd"/>
      <w:r>
        <w:rPr>
          <w:rtl/>
        </w:rPr>
        <w:t xml:space="preserve"> למכתבים.</w:t>
      </w:r>
    </w:p>
    <w:p w14:paraId="0B7CB435" w14:textId="77777777" w:rsidR="00AB3647" w:rsidRDefault="00000000" w:rsidP="007923E9">
      <w:pPr>
        <w:spacing w:after="120" w:line="276" w:lineRule="auto"/>
        <w:ind w:firstLine="283"/>
        <w:jc w:val="both"/>
      </w:pPr>
      <w:r>
        <w:rPr>
          <w:rtl/>
        </w:rPr>
        <w:t xml:space="preserve">השווה גם את הניתוח של התפתחות הפולמוס </w:t>
      </w:r>
      <w:proofErr w:type="spellStart"/>
      <w:r>
        <w:rPr>
          <w:rtl/>
        </w:rPr>
        <w:t>ב“ר</w:t>
      </w:r>
      <w:proofErr w:type="spellEnd"/>
      <w:r>
        <w:rPr>
          <w:rtl/>
        </w:rPr>
        <w:t>׳ משה שמואל ודורו”</w:t>
      </w:r>
      <w:bookmarkStart w:id="3404" w:name="_fnr2493"/>
      <w:r>
        <w:rPr>
          <w:rStyle w:val="a5"/>
        </w:rPr>
        <w:footnoteReference w:id="2500" w:customMarkFollows="0"/>
      </w:r>
      <w:bookmarkEnd w:id="3404"/>
      <w:r>
        <w:rPr>
          <w:rtl/>
        </w:rPr>
        <w:t xml:space="preserve">: “ר׳ </w:t>
      </w:r>
      <w:proofErr w:type="spellStart"/>
      <w:r>
        <w:rPr>
          <w:rtl/>
        </w:rPr>
        <w:t>צבי־הירש</w:t>
      </w:r>
      <w:proofErr w:type="spellEnd"/>
      <w:r>
        <w:rPr>
          <w:rtl/>
        </w:rPr>
        <w:t xml:space="preserve"> </w:t>
      </w:r>
      <w:proofErr w:type="spellStart"/>
      <w:r>
        <w:rPr>
          <w:rtl/>
        </w:rPr>
        <w:t>רבינוביץ</w:t>
      </w:r>
      <w:proofErr w:type="spellEnd"/>
      <w:r>
        <w:rPr>
          <w:rtl/>
        </w:rPr>
        <w:t xml:space="preserve"> סבל רבות מהתנגדותו [למוסר], מפני שכמה מתלמידי המוסר פגעו בכבודו בגסות, אך כאדם בעל עקרונות לא</w:t>
      </w:r>
      <w:r>
        <w:t xml:space="preserve"> </w:t>
      </w:r>
      <w:r>
        <w:rPr>
          <w:rtl/>
        </w:rPr>
        <w:t xml:space="preserve">נסוג מן המאבק. לבסוף, כששכך הסכסוך ונרגעו הרוחות, </w:t>
      </w:r>
      <w:r>
        <w:rPr>
          <w:rtl/>
        </w:rPr>
        <w:lastRenderedPageBreak/>
        <w:t xml:space="preserve">החלו הצדדים להבין זה את זה טוב יותר. מרירותם של בעלי המוסר כלפי ר׳ </w:t>
      </w:r>
      <w:proofErr w:type="spellStart"/>
      <w:r>
        <w:rPr>
          <w:rtl/>
        </w:rPr>
        <w:t>צבי־הירש</w:t>
      </w:r>
      <w:proofErr w:type="spellEnd"/>
      <w:r>
        <w:rPr>
          <w:rtl/>
        </w:rPr>
        <w:t xml:space="preserve"> התפוגגה, ובהדרגה החלו לראות בו אדם גדול שעשה הכול רק מתוך תפיסת האמת שלו, בלי מניעים זרים. כשהספיד את [ר׳ </w:t>
      </w:r>
      <w:proofErr w:type="spellStart"/>
      <w:r>
        <w:rPr>
          <w:rtl/>
        </w:rPr>
        <w:t>שמעון־וולף</w:t>
      </w:r>
      <w:proofErr w:type="spellEnd"/>
      <w:r>
        <w:rPr>
          <w:rtl/>
        </w:rPr>
        <w:t>, שנודע גם כברון וילהלם קרל פון] רוטשילד, [הנדבן הצדיק] מפרנקפורט דמיין [תקפ״ח–תרס״א]</w:t>
      </w:r>
      <w:bookmarkStart w:id="3405" w:name="_fnr2494"/>
      <w:r>
        <w:rPr>
          <w:rStyle w:val="a5"/>
        </w:rPr>
        <w:footnoteReference w:id="2501" w:customMarkFollows="0"/>
      </w:r>
      <w:bookmarkEnd w:id="3405"/>
      <w:r>
        <w:rPr>
          <w:rtl/>
        </w:rPr>
        <w:t xml:space="preserve">, באו כל תלמידי ישיבת כנסת ישראל, והסבא בראשם, לשמוע את ההספד [של ר׳ </w:t>
      </w:r>
      <w:proofErr w:type="spellStart"/>
      <w:r>
        <w:rPr>
          <w:rtl/>
        </w:rPr>
        <w:t>צבי־הירש</w:t>
      </w:r>
      <w:proofErr w:type="spellEnd"/>
      <w:r>
        <w:rPr>
          <w:rtl/>
        </w:rPr>
        <w:t xml:space="preserve"> </w:t>
      </w:r>
      <w:proofErr w:type="spellStart"/>
      <w:r>
        <w:rPr>
          <w:rtl/>
        </w:rPr>
        <w:t>רבינוביץ</w:t>
      </w:r>
      <w:proofErr w:type="spellEnd"/>
      <w:r>
        <w:rPr>
          <w:rtl/>
        </w:rPr>
        <w:t>], ושיבחו מאוד את המספיד.”</w:t>
      </w:r>
    </w:p>
    <w:bookmarkStart w:id="3406" w:name="b3_excY"/>
    <w:p w14:paraId="4A1A06A2" w14:textId="77777777" w:rsidR="00AB3647" w:rsidRDefault="00000000" w:rsidP="007923E9">
      <w:pPr>
        <w:pStyle w:val="3"/>
        <w:spacing w:line="276" w:lineRule="auto"/>
      </w:pPr>
      <w:r>
        <w:lastRenderedPageBreak/>
        <w:fldChar w:fldCharType="begin" w:dirty="true"/>
      </w:r>
      <w:r>
        <w:rPr>
          <w:rtl w:val="0"/>
        </w:rPr>
        <w:instrText>HYPERLINK \l "b3_note107</w:instrText>
      </w:r>
      <w:r>
        <w:instrText>"</w:instrText>
      </w:r>
      <w:r>
        <w:fldChar w:fldCharType="separate"/>
      </w:r>
      <w:r>
        <w:t>נספח כה</w:t>
      </w:r>
      <w:r>
        <w:fldChar w:fldCharType="end"/>
      </w:r>
      <w:bookmarkEnd w:id="3406"/>
    </w:p>
    <w:p w14:paraId="637D433A" w14:textId="77777777" w:rsidR="00AB3647" w:rsidRDefault="00000000" w:rsidP="007923E9">
      <w:pPr>
        <w:pStyle w:val="af"/>
        <w:spacing w:line="276" w:lineRule="auto"/>
      </w:pPr>
      <w:r>
        <w:t xml:space="preserve">על תוכנית החינוך המשולשת בתלמוד תורה המקורי </w:t>
      </w:r>
      <w:proofErr w:type="spellStart"/>
      <w:r>
        <w:t>בקלם</w:t>
      </w:r>
      <w:proofErr w:type="spellEnd"/>
      <w:r>
        <w:t xml:space="preserve"> </w:t>
      </w:r>
      <w:proofErr w:type="spellStart"/>
      <w:r>
        <w:t>ובגרובין</w:t>
      </w:r>
      <w:proofErr w:type="spellEnd"/>
      <w:r>
        <w:t>, ועל הקשיים שניצבו בפני בתי הספר; על השפעת היהדות האורתודוקסית הגרמנית על יהודי רוסיה; ועל שנותיו האחרונות של ר׳ עובדיה לחמן וצוואתו</w:t>
      </w:r>
    </w:p>
    <w:p w14:paraId="5788E1C2" w14:textId="77777777" w:rsidR="00AB3647" w:rsidRDefault="00000000" w:rsidP="007923E9">
      <w:pPr>
        <w:pStyle w:val="4"/>
        <w:spacing w:line="276" w:lineRule="auto"/>
      </w:pPr>
      <w:r>
        <w:t>· הפסקה הראשונה ·</w:t>
      </w:r>
    </w:p>
    <w:p w14:paraId="3949B993" w14:textId="77777777" w:rsidR="00AB3647" w:rsidRDefault="00000000" w:rsidP="007923E9">
      <w:pPr>
        <w:pStyle w:val="5"/>
        <w:spacing w:line="276" w:lineRule="auto"/>
      </w:pPr>
      <w:r>
        <w:t xml:space="preserve">ר׳ </w:t>
      </w:r>
      <w:proofErr w:type="spellStart"/>
      <w:r>
        <w:t>שמחה־זיסל</w:t>
      </w:r>
      <w:proofErr w:type="spellEnd"/>
      <w:r>
        <w:t xml:space="preserve"> משנה את תוכנית התלמוד תורה </w:t>
      </w:r>
      <w:proofErr w:type="spellStart"/>
      <w:r>
        <w:t>בקלם</w:t>
      </w:r>
      <w:proofErr w:type="spellEnd"/>
      <w:r>
        <w:t xml:space="preserve"> – הוא מקבל בצעירותו השכלה רחבה – התלמוד תורה נאלץ לעבור </w:t>
      </w:r>
      <w:proofErr w:type="spellStart"/>
      <w:r>
        <w:t>לגרובין</w:t>
      </w:r>
      <w:proofErr w:type="spellEnd"/>
      <w:r>
        <w:t xml:space="preserve"> – הניסיון בתוכנית לימוד לפני עלות השחר – התלמידים מכבדים את השפה הרוסית – הסבא מקלם מרוצה מתוכנית החינוך שלו – הסופר ישראל אלישיב מותח ביקורת על חוויותיו </w:t>
      </w:r>
      <w:proofErr w:type="spellStart"/>
      <w:r>
        <w:t>בגרובין</w:t>
      </w:r>
      <w:proofErr w:type="spellEnd"/>
      <w:r>
        <w:t xml:space="preserve"> – הוא נכשל כתלמיד שם</w:t>
      </w:r>
    </w:p>
    <w:p w14:paraId="5C611E08" w14:textId="77777777" w:rsidR="00AB3647" w:rsidRDefault="00000000" w:rsidP="007923E9">
      <w:pPr>
        <w:spacing w:after="120" w:line="276" w:lineRule="auto"/>
        <w:ind w:firstLine="283"/>
        <w:jc w:val="both"/>
      </w:pPr>
      <w:proofErr w:type="spellStart"/>
      <w:r>
        <w:rPr>
          <w:rtl/>
        </w:rPr>
        <w:t>בתרכ״ו</w:t>
      </w:r>
      <w:proofErr w:type="spellEnd"/>
      <w:r>
        <w:rPr>
          <w:rtl/>
        </w:rPr>
        <w:t xml:space="preserve"> קיבל ר׳ </w:t>
      </w:r>
      <w:proofErr w:type="spellStart"/>
      <w:r>
        <w:rPr>
          <w:rtl/>
        </w:rPr>
        <w:t>שמחה־זיסל</w:t>
      </w:r>
      <w:proofErr w:type="spellEnd"/>
      <w:r>
        <w:rPr>
          <w:rtl/>
        </w:rPr>
        <w:t xml:space="preserve"> זיו לידיו את בית הספר לילדים צעירים בעיירת מגוריו קלם. הוא נקרא תלמוד תורה, כמו כל בתי הספר לילדים צעירים אז</w:t>
      </w:r>
      <w:bookmarkStart w:id="3407" w:name="_fnr2495"/>
      <w:r>
        <w:rPr>
          <w:rStyle w:val="a5"/>
        </w:rPr>
        <w:footnoteReference w:id="2502" w:customMarkFollows="0"/>
      </w:r>
      <w:bookmarkEnd w:id="3407"/>
      <w:r>
        <w:rPr>
          <w:rtl/>
        </w:rPr>
        <w:t>. הוא שינה את תוכנית הלימודים והוסיף לה לימודי חול, כלומר רוסית, וכן תרגילים לעיצוב המידות על יסוד שיטת המוסר.</w:t>
      </w:r>
      <w:bookmarkStart w:id="3408" w:name="_fnr2496"/>
      <w:r>
        <w:rPr>
          <w:rStyle w:val="a5"/>
        </w:rPr>
        <w:footnoteReference w:id="2503" w:customMarkFollows="0"/>
      </w:r>
      <w:bookmarkEnd w:id="3408"/>
    </w:p>
    <w:p w14:paraId="14CA0CC0" w14:textId="77777777" w:rsidR="00AB3647" w:rsidRDefault="00000000" w:rsidP="007923E9">
      <w:pPr>
        <w:spacing w:after="120" w:line="276" w:lineRule="auto"/>
        <w:ind w:firstLine="283"/>
        <w:jc w:val="both"/>
      </w:pPr>
      <w:r>
        <w:rPr>
          <w:rtl/>
        </w:rPr>
        <w:t xml:space="preserve">לפי מאמרו של הרב חיים </w:t>
      </w:r>
      <w:proofErr w:type="spellStart"/>
      <w:r>
        <w:rPr>
          <w:rtl/>
        </w:rPr>
        <w:t>קרלינסקי</w:t>
      </w:r>
      <w:proofErr w:type="spellEnd"/>
      <w:r>
        <w:rPr>
          <w:rtl/>
        </w:rPr>
        <w:t xml:space="preserve"> על קלם </w:t>
      </w:r>
      <w:proofErr w:type="spellStart"/>
      <w:r>
        <w:rPr>
          <w:rtl/>
        </w:rPr>
        <w:t>ב“ליטע</w:t>
      </w:r>
      <w:proofErr w:type="spellEnd"/>
      <w:r>
        <w:rPr>
          <w:rtl/>
        </w:rPr>
        <w:t>”</w:t>
      </w:r>
      <w:bookmarkStart w:id="3409" w:name="_fnr2497"/>
      <w:r>
        <w:rPr>
          <w:rStyle w:val="a5"/>
        </w:rPr>
        <w:footnoteReference w:id="2504" w:customMarkFollows="0"/>
      </w:r>
      <w:bookmarkEnd w:id="3409"/>
      <w:r>
        <w:rPr>
          <w:rtl/>
        </w:rPr>
        <w:t xml:space="preserve">, ר׳ </w:t>
      </w:r>
      <w:proofErr w:type="spellStart"/>
      <w:r>
        <w:rPr>
          <w:rtl/>
        </w:rPr>
        <w:t>שמחה־זיסל</w:t>
      </w:r>
      <w:proofErr w:type="spellEnd"/>
      <w:r>
        <w:rPr>
          <w:rtl/>
        </w:rPr>
        <w:t xml:space="preserve"> עצמו נחשף ללימודי חול אצל אביו </w:t>
      </w:r>
      <w:proofErr w:type="spellStart"/>
      <w:r>
        <w:rPr>
          <w:rtl/>
        </w:rPr>
        <w:t>ה“מודרני</w:t>
      </w:r>
      <w:proofErr w:type="spellEnd"/>
      <w:r>
        <w:rPr>
          <w:rtl/>
        </w:rPr>
        <w:t xml:space="preserve">”. נאמר שם: “הלמדן הגדול ר׳ ישראל </w:t>
      </w:r>
      <w:proofErr w:type="spellStart"/>
      <w:r>
        <w:rPr>
          <w:rtl/>
        </w:rPr>
        <w:t>ברוידא</w:t>
      </w:r>
      <w:proofErr w:type="spellEnd"/>
      <w:r>
        <w:rPr>
          <w:rtl/>
        </w:rPr>
        <w:t xml:space="preserve">, סוחר אמיד </w:t>
      </w:r>
      <w:proofErr w:type="spellStart"/>
      <w:r>
        <w:rPr>
          <w:rtl/>
        </w:rPr>
        <w:t>בקלם</w:t>
      </w:r>
      <w:proofErr w:type="spellEnd"/>
      <w:r>
        <w:rPr>
          <w:rtl/>
        </w:rPr>
        <w:t>, נתמנה לדיין לאחר שאיבד את רכושו. הוא נעל נעליים במקום מגפי העור הגבוהים המקובלים” – דבר שנחשב מודרני – “ושכר מורה לבנו לדקדוק, לתנ״ך ולשפה הגרמנית”.</w:t>
      </w:r>
    </w:p>
    <w:p w14:paraId="2657CE2F" w14:textId="77777777" w:rsidR="00AB3647" w:rsidRDefault="00000000" w:rsidP="007923E9">
      <w:pPr>
        <w:spacing w:after="120" w:line="276" w:lineRule="auto"/>
        <w:ind w:firstLine="283"/>
        <w:jc w:val="both"/>
      </w:pPr>
      <w:r>
        <w:rPr>
          <w:rtl/>
        </w:rPr>
        <w:t>השווה גם כץ, “תנועת המוסר”, כרך ב</w:t>
      </w:r>
      <w:bookmarkStart w:id="3410" w:name="_fnr2498"/>
      <w:r>
        <w:rPr>
          <w:rStyle w:val="a5"/>
        </w:rPr>
        <w:footnoteReference w:id="2505" w:customMarkFollows="0"/>
      </w:r>
      <w:bookmarkEnd w:id="3410"/>
      <w:r>
        <w:rPr>
          <w:rtl/>
        </w:rPr>
        <w:t xml:space="preserve">, שם סיפר הסבא מקלם עצמו שבילדותו היה “שובב ביותר”, אף שכבר בגיל שמונה או תשע היה חומק מחבריו כדי לקרוא ברמב״ם או </w:t>
      </w:r>
      <w:proofErr w:type="spellStart"/>
      <w:r>
        <w:rPr>
          <w:rtl/>
        </w:rPr>
        <w:t>ב“חובות</w:t>
      </w:r>
      <w:proofErr w:type="spellEnd"/>
      <w:r>
        <w:rPr>
          <w:rtl/>
        </w:rPr>
        <w:t xml:space="preserve"> הלבבות” “שעות על גבי שעות”</w:t>
      </w:r>
      <w:bookmarkStart w:id="3411" w:name="_fnr2499"/>
      <w:r>
        <w:rPr>
          <w:rStyle w:val="a5"/>
        </w:rPr>
        <w:footnoteReference w:id="2506" w:customMarkFollows="0"/>
      </w:r>
      <w:bookmarkEnd w:id="3411"/>
      <w:r>
        <w:rPr>
          <w:rtl/>
        </w:rPr>
        <w:t xml:space="preserve">. לבסוף נפרד מחבריו: הוא עלה על עז ורכב אל השוק, חילק לחבריו כעכים למשחק והודיע להם שהוא פותח דף חדש ורציני בחייו. ר׳ ישראל </w:t>
      </w:r>
      <w:proofErr w:type="spellStart"/>
      <w:r>
        <w:rPr>
          <w:rtl/>
        </w:rPr>
        <w:t>שורין</w:t>
      </w:r>
      <w:bookmarkStart w:id="3412" w:name="_fnr2500"/>
      <w:proofErr w:type="spellEnd"/>
      <w:r>
        <w:rPr>
          <w:rStyle w:val="a5"/>
        </w:rPr>
        <w:footnoteReference w:id="2507" w:customMarkFollows="0"/>
      </w:r>
      <w:bookmarkEnd w:id="3412"/>
      <w:r>
        <w:rPr>
          <w:rtl/>
        </w:rPr>
        <w:t xml:space="preserve"> סיפר ששמע מר׳ ישראל </w:t>
      </w:r>
      <w:proofErr w:type="spellStart"/>
      <w:r>
        <w:rPr>
          <w:rtl/>
        </w:rPr>
        <w:t>סטאם</w:t>
      </w:r>
      <w:bookmarkStart w:id="3413" w:name="_fnr2501"/>
      <w:proofErr w:type="spellEnd"/>
      <w:r>
        <w:rPr>
          <w:rStyle w:val="a5"/>
        </w:rPr>
        <w:footnoteReference w:id="2508" w:customMarkFollows="0"/>
      </w:r>
      <w:bookmarkEnd w:id="3413"/>
      <w:r>
        <w:rPr>
          <w:rtl/>
        </w:rPr>
        <w:t xml:space="preserve">, תלמידו של ר׳ </w:t>
      </w:r>
      <w:proofErr w:type="spellStart"/>
      <w:r>
        <w:rPr>
          <w:rtl/>
        </w:rPr>
        <w:t>נחום־זאב</w:t>
      </w:r>
      <w:proofErr w:type="spellEnd"/>
      <w:r>
        <w:rPr>
          <w:rtl/>
        </w:rPr>
        <w:t xml:space="preserve"> זיו</w:t>
      </w:r>
      <w:bookmarkStart w:id="3414" w:name="_fnr2502"/>
      <w:r>
        <w:rPr>
          <w:rStyle w:val="a5"/>
        </w:rPr>
        <w:footnoteReference w:id="2509" w:customMarkFollows="0"/>
      </w:r>
      <w:bookmarkEnd w:id="3414"/>
      <w:r>
        <w:rPr>
          <w:rtl/>
        </w:rPr>
        <w:t xml:space="preserve">, </w:t>
      </w:r>
      <w:proofErr w:type="spellStart"/>
      <w:r>
        <w:rPr>
          <w:rtl/>
        </w:rPr>
        <w:t>ששמחה־זיסל</w:t>
      </w:r>
      <w:proofErr w:type="spellEnd"/>
      <w:r>
        <w:rPr>
          <w:rtl/>
        </w:rPr>
        <w:t xml:space="preserve"> נפרד מחבריו בחגיגה המתוארת כשנעשה בר מצווה.</w:t>
      </w:r>
    </w:p>
    <w:p w14:paraId="118DAFE7" w14:textId="77777777" w:rsidR="00AB3647" w:rsidRDefault="00000000" w:rsidP="007923E9">
      <w:pPr>
        <w:spacing w:after="120" w:line="276" w:lineRule="auto"/>
        <w:ind w:firstLine="283"/>
        <w:jc w:val="both"/>
      </w:pPr>
      <w:r>
        <w:rPr>
          <w:rtl/>
        </w:rPr>
        <w:lastRenderedPageBreak/>
        <w:t xml:space="preserve">בזכות שמו הטוב התפתח התלמוד תורה למסגרת לבני נוער עד גיל </w:t>
      </w:r>
      <w:proofErr w:type="spellStart"/>
      <w:r>
        <w:rPr>
          <w:rtl/>
        </w:rPr>
        <w:t>שש־עשרה</w:t>
      </w:r>
      <w:proofErr w:type="spellEnd"/>
      <w:r>
        <w:rPr>
          <w:rtl/>
        </w:rPr>
        <w:t xml:space="preserve"> או </w:t>
      </w:r>
      <w:proofErr w:type="spellStart"/>
      <w:r>
        <w:rPr>
          <w:rtl/>
        </w:rPr>
        <w:t>שבע־עשרה</w:t>
      </w:r>
      <w:proofErr w:type="spellEnd"/>
      <w:r>
        <w:rPr>
          <w:rtl/>
        </w:rPr>
        <w:t xml:space="preserve"> – ישיבה קטנה, לפי המינוח האירופי והמינוח המקובל בישראל כיום – אבל שמר על שמו הישן, “תלמוד תורה”. הוא נותר מוסד שאינו מיועד לחוג מצומצם בלבד, וכמקובל בכל הישיבות, התלמידים שבאו מחוץ לעיר גרו באכסניות </w:t>
      </w:r>
      <w:proofErr w:type="spellStart"/>
      <w:r>
        <w:rPr>
          <w:rtl/>
        </w:rPr>
        <w:t>ו“אכלו</w:t>
      </w:r>
      <w:proofErr w:type="spellEnd"/>
      <w:r>
        <w:rPr>
          <w:rtl/>
        </w:rPr>
        <w:t xml:space="preserve"> ימים”. ההבדל הגלוי היחיד בין ישיבה קטנה זו לבין שאר הישיבות הקטנות בליטא היה שתוכניתה כללה לימודי חול.</w:t>
      </w:r>
    </w:p>
    <w:p w14:paraId="03A1E7B2" w14:textId="77777777" w:rsidR="00AB3647" w:rsidRDefault="00000000" w:rsidP="007923E9">
      <w:pPr>
        <w:spacing w:after="120" w:line="276" w:lineRule="auto"/>
        <w:ind w:firstLine="283"/>
        <w:jc w:val="both"/>
      </w:pPr>
      <w:bookmarkStart w:id="3415" w:name="pr_b_1509"/>
      <w:bookmarkEnd w:id="3415"/>
      <w:r>
        <w:rPr>
          <w:rtl/>
        </w:rPr>
        <w:t xml:space="preserve">לפי מאמרו של הרב חיים </w:t>
      </w:r>
      <w:proofErr w:type="spellStart"/>
      <w:r>
        <w:rPr>
          <w:rtl/>
        </w:rPr>
        <w:t>קרלינסקי</w:t>
      </w:r>
      <w:proofErr w:type="spellEnd"/>
      <w:r>
        <w:rPr>
          <w:rtl/>
        </w:rPr>
        <w:t xml:space="preserve"> על קלם </w:t>
      </w:r>
      <w:proofErr w:type="spellStart"/>
      <w:r>
        <w:rPr>
          <w:rtl/>
        </w:rPr>
        <w:t>ב“ליטע</w:t>
      </w:r>
      <w:proofErr w:type="spellEnd"/>
      <w:r>
        <w:rPr>
          <w:rtl/>
        </w:rPr>
        <w:t>”, המוסד נאלץ לעזוב את קלם בגלל “סערת המחאות” שהקימו רבנים ליטאים שמרניים רבים נגד שיטותיו המודרניות. כץ, “תנועת המוסר”, כרך ב</w:t>
      </w:r>
      <w:bookmarkStart w:id="3416" w:name="_fnr2503"/>
      <w:r>
        <w:rPr>
          <w:rStyle w:val="a5"/>
        </w:rPr>
        <w:footnoteReference w:id="2510" w:customMarkFollows="0"/>
      </w:r>
      <w:bookmarkEnd w:id="3416"/>
      <w:r>
        <w:rPr>
          <w:rtl/>
        </w:rPr>
        <w:t>, כותב כי</w:t>
      </w:r>
      <w:r>
        <w:t xml:space="preserve"> </w:t>
      </w:r>
      <w:r>
        <w:rPr>
          <w:rtl/>
        </w:rPr>
        <w:t xml:space="preserve">עבר בעקבות חקירה ממשלתית שנפתחה לאחר עלילת שווא שהוא מתסיס למהפכה, ואין בכך בהכרח סתירה למאמרו של </w:t>
      </w:r>
      <w:proofErr w:type="spellStart"/>
      <w:r>
        <w:rPr>
          <w:rtl/>
        </w:rPr>
        <w:t>קרלינסקי</w:t>
      </w:r>
      <w:proofErr w:type="spellEnd"/>
      <w:r>
        <w:rPr>
          <w:rtl/>
        </w:rPr>
        <w:t>.</w:t>
      </w:r>
    </w:p>
    <w:p w14:paraId="754242AC" w14:textId="77777777" w:rsidR="00AB3647" w:rsidRDefault="00000000" w:rsidP="007923E9">
      <w:pPr>
        <w:spacing w:after="120" w:line="276" w:lineRule="auto"/>
        <w:ind w:firstLine="283"/>
        <w:jc w:val="both"/>
      </w:pPr>
      <w:r>
        <w:rPr>
          <w:rtl/>
        </w:rPr>
        <w:t xml:space="preserve">איגרת קצרה ששלח באותו זמן ר׳ ישראל </w:t>
      </w:r>
      <w:proofErr w:type="spellStart"/>
      <w:r>
        <w:rPr>
          <w:rtl/>
        </w:rPr>
        <w:t>סלנטר</w:t>
      </w:r>
      <w:proofErr w:type="spellEnd"/>
      <w:r>
        <w:rPr>
          <w:rtl/>
        </w:rPr>
        <w:t xml:space="preserve"> מממל לבנו ר׳ יצחק נראית כרומזת בעקיפין לצרותיו של ר׳ </w:t>
      </w:r>
      <w:proofErr w:type="spellStart"/>
      <w:r>
        <w:rPr>
          <w:rtl/>
        </w:rPr>
        <w:t>שמחה־זיסל</w:t>
      </w:r>
      <w:proofErr w:type="spellEnd"/>
      <w:r>
        <w:rPr>
          <w:rtl/>
        </w:rPr>
        <w:t xml:space="preserve"> </w:t>
      </w:r>
      <w:proofErr w:type="spellStart"/>
      <w:r>
        <w:rPr>
          <w:rtl/>
        </w:rPr>
        <w:t>בקלם</w:t>
      </w:r>
      <w:proofErr w:type="spellEnd"/>
      <w:r>
        <w:rPr>
          <w:rtl/>
        </w:rPr>
        <w:t xml:space="preserve">. היא נדפסה בהקדמה </w:t>
      </w:r>
      <w:proofErr w:type="spellStart"/>
      <w:r>
        <w:rPr>
          <w:rtl/>
        </w:rPr>
        <w:t>ל“חוט</w:t>
      </w:r>
      <w:proofErr w:type="spellEnd"/>
      <w:r>
        <w:rPr>
          <w:rtl/>
        </w:rPr>
        <w:t xml:space="preserve"> המשולש”</w:t>
      </w:r>
      <w:bookmarkStart w:id="3417" w:name="_fnr2504"/>
      <w:r>
        <w:rPr>
          <w:rStyle w:val="a5"/>
        </w:rPr>
        <w:footnoteReference w:id="2511" w:customMarkFollows="0"/>
      </w:r>
      <w:bookmarkEnd w:id="3417"/>
      <w:r>
        <w:rPr>
          <w:rtl/>
        </w:rPr>
        <w:t xml:space="preserve">, ותאריכה ערב ראש חודש תמוז תרל״ח. נאמר בה: “שמעתי כי נעשה התחדשות בלימוד </w:t>
      </w:r>
      <w:proofErr w:type="spellStart"/>
      <w:r>
        <w:rPr>
          <w:rtl/>
        </w:rPr>
        <w:t>קעלעם</w:t>
      </w:r>
      <w:proofErr w:type="spellEnd"/>
      <w:r>
        <w:rPr>
          <w:rtl/>
        </w:rPr>
        <w:t>, וראיתי זאת כהרף עין ממכתבך. נא סלח לי וכתוב לי בדואר החוזר על העניין בפרוטרוט, ואם אין שברון לב</w:t>
      </w:r>
      <w:bookmarkStart w:id="3418" w:name="_fnr2505"/>
      <w:r>
        <w:rPr>
          <w:rStyle w:val="a5"/>
        </w:rPr>
        <w:footnoteReference w:id="2512" w:customMarkFollows="0"/>
      </w:r>
      <w:bookmarkEnd w:id="3418"/>
      <w:r>
        <w:rPr>
          <w:rtl/>
        </w:rPr>
        <w:t>, חלילה, לידידי הנכבד ר׳ שמחה[־</w:t>
      </w:r>
      <w:proofErr w:type="spellStart"/>
      <w:r>
        <w:rPr>
          <w:rtl/>
        </w:rPr>
        <w:t>זיסל</w:t>
      </w:r>
      <w:proofErr w:type="spellEnd"/>
      <w:r>
        <w:rPr>
          <w:rtl/>
        </w:rPr>
        <w:t>] – והגם שאין בידי מה להושיעו, אכן לבי הומה עליו”.</w:t>
      </w:r>
    </w:p>
    <w:p w14:paraId="0A04A45E" w14:textId="77777777" w:rsidR="00AB3647" w:rsidRDefault="00000000" w:rsidP="007923E9">
      <w:pPr>
        <w:spacing w:after="120" w:line="276" w:lineRule="auto"/>
        <w:ind w:firstLine="283"/>
        <w:jc w:val="both"/>
      </w:pPr>
      <w:r>
        <w:rPr>
          <w:rtl/>
        </w:rPr>
        <w:t xml:space="preserve">עם העברת התלמוד תורה </w:t>
      </w:r>
      <w:proofErr w:type="spellStart"/>
      <w:r>
        <w:rPr>
          <w:rtl/>
        </w:rPr>
        <w:t>לגרובין</w:t>
      </w:r>
      <w:proofErr w:type="spellEnd"/>
      <w:r>
        <w:rPr>
          <w:rtl/>
        </w:rPr>
        <w:t xml:space="preserve"> הוא הפך ממוסד חינוך ייחודי בלבד לפנימייה יקרה שנועדה להכשיר הנהגה של בעלי בתים שומרי מצוות. במפגש ירוחם</w:t>
      </w:r>
      <w:bookmarkStart w:id="3419" w:name="_fnr2506"/>
      <w:r>
        <w:rPr>
          <w:rStyle w:val="a5"/>
        </w:rPr>
        <w:footnoteReference w:id="2513" w:customMarkFollows="0"/>
      </w:r>
      <w:bookmarkEnd w:id="3419"/>
      <w:r>
        <w:rPr>
          <w:rtl/>
        </w:rPr>
        <w:t xml:space="preserve"> אמר אבי: “</w:t>
      </w:r>
      <w:proofErr w:type="spellStart"/>
      <w:r>
        <w:rPr>
          <w:rtl/>
        </w:rPr>
        <w:t>גרובין</w:t>
      </w:r>
      <w:proofErr w:type="spellEnd"/>
      <w:r>
        <w:rPr>
          <w:rtl/>
        </w:rPr>
        <w:t xml:space="preserve"> ביקשה להכשיר לא לומדים אלא יהודים חרדים – בעלי מוסר – מתוך אותם חוגים שבהם הייתה ההשכלה מזיקה ביותר: השכבה העליונה של החברה היהודית, העשירים”. המעבר היה </w:t>
      </w:r>
      <w:proofErr w:type="spellStart"/>
      <w:r>
        <w:rPr>
          <w:rtl/>
        </w:rPr>
        <w:t>בתר״ם</w:t>
      </w:r>
      <w:bookmarkStart w:id="3420" w:name="_fnr2507"/>
      <w:bookmarkStart w:id="3421" w:name="pr_f_2408"/>
      <w:proofErr w:type="spellEnd"/>
      <w:r>
        <w:rPr>
          <w:rStyle w:val="a5"/>
        </w:rPr>
        <w:footnoteReference w:id="2514" w:customMarkFollows="0"/>
      </w:r>
      <w:bookmarkEnd w:id="3420"/>
      <w:bookmarkEnd w:id="3421"/>
      <w:r>
        <w:rPr>
          <w:rtl/>
        </w:rPr>
        <w:t>.</w:t>
      </w:r>
    </w:p>
    <w:p w14:paraId="6F226291" w14:textId="77777777" w:rsidR="00AB3647" w:rsidRDefault="00000000" w:rsidP="007923E9">
      <w:pPr>
        <w:spacing w:after="120" w:line="276" w:lineRule="auto"/>
        <w:ind w:firstLine="283"/>
        <w:jc w:val="both"/>
      </w:pPr>
      <w:r>
        <w:rPr>
          <w:rtl/>
        </w:rPr>
        <w:t xml:space="preserve">תוכנית החינוך הייחודית </w:t>
      </w:r>
      <w:proofErr w:type="spellStart"/>
      <w:r>
        <w:rPr>
          <w:rtl/>
        </w:rPr>
        <w:t>בגרובין</w:t>
      </w:r>
      <w:proofErr w:type="spellEnd"/>
      <w:r>
        <w:rPr>
          <w:rtl/>
        </w:rPr>
        <w:t xml:space="preserve"> מתוארת בהרחבה בספרו של כץ, “תנועת המוסר”, כרך ב</w:t>
      </w:r>
      <w:bookmarkStart w:id="3422" w:name="_fnr2508"/>
      <w:r>
        <w:rPr>
          <w:rStyle w:val="a5"/>
        </w:rPr>
        <w:footnoteReference w:id="2515" w:customMarkFollows="0"/>
      </w:r>
      <w:bookmarkEnd w:id="3422"/>
      <w:r>
        <w:rPr>
          <w:rtl/>
        </w:rPr>
        <w:t>. הן כץ והן יעקב מארק</w:t>
      </w:r>
      <w:bookmarkStart w:id="3423" w:name="_fnr2509"/>
      <w:r>
        <w:rPr>
          <w:rStyle w:val="a5"/>
        </w:rPr>
        <w:footnoteReference w:id="2516" w:customMarkFollows="0"/>
      </w:r>
      <w:bookmarkEnd w:id="3423"/>
      <w:r>
        <w:rPr>
          <w:rtl/>
        </w:rPr>
        <w:t xml:space="preserve"> אומרים: “אפילו התעמלות נכללה [בתוכנית]”. בריאיון </w:t>
      </w:r>
      <w:r>
        <w:rPr>
          <w:rtl/>
        </w:rPr>
        <w:lastRenderedPageBreak/>
        <w:t xml:space="preserve">המוקלט על הסבא </w:t>
      </w:r>
      <w:proofErr w:type="spellStart"/>
      <w:r>
        <w:rPr>
          <w:rtl/>
        </w:rPr>
        <w:t>מסלבודקה</w:t>
      </w:r>
      <w:bookmarkStart w:id="3424" w:name="_fnr2510"/>
      <w:proofErr w:type="spellEnd"/>
      <w:r>
        <w:rPr>
          <w:rStyle w:val="a5"/>
        </w:rPr>
        <w:footnoteReference w:id="2517" w:customMarkFollows="0"/>
      </w:r>
      <w:bookmarkEnd w:id="3424"/>
      <w:r>
        <w:rPr>
          <w:rtl/>
        </w:rPr>
        <w:t xml:space="preserve"> הוסיף אבי</w:t>
      </w:r>
      <w:r>
        <w:t xml:space="preserve"> </w:t>
      </w:r>
      <w:r>
        <w:rPr>
          <w:rtl/>
        </w:rPr>
        <w:t xml:space="preserve">את הדברים הבאים: “כל תפילת </w:t>
      </w:r>
      <w:proofErr w:type="spellStart"/>
      <w:r>
        <w:rPr>
          <w:rtl/>
        </w:rPr>
        <w:t>שמונה־עשרה</w:t>
      </w:r>
      <w:proofErr w:type="spellEnd"/>
      <w:r>
        <w:rPr>
          <w:rtl/>
        </w:rPr>
        <w:t xml:space="preserve"> של ר׳ </w:t>
      </w:r>
      <w:proofErr w:type="spellStart"/>
      <w:r>
        <w:rPr>
          <w:rtl/>
        </w:rPr>
        <w:t>שמחה־זיסל</w:t>
      </w:r>
      <w:proofErr w:type="spellEnd"/>
      <w:r>
        <w:rPr>
          <w:rtl/>
        </w:rPr>
        <w:t xml:space="preserve"> נמשכה מחמישים וחמש דקות עד שעה, והתלמידים, שסיימו הרבה קודם, היו עומדים בשתיקה ומעיינים בספר עד שיסיים הסבא מקלם. התלמידים אכלו ארוחת בוקר לפני שחרית משום שהיו נערים צעירים מבתים עשירים”.</w:t>
      </w:r>
    </w:p>
    <w:p w14:paraId="152C4C44" w14:textId="77777777" w:rsidR="00AB3647" w:rsidRDefault="00000000" w:rsidP="007923E9">
      <w:pPr>
        <w:spacing w:after="120" w:line="276" w:lineRule="auto"/>
        <w:ind w:firstLine="283"/>
        <w:jc w:val="both"/>
      </w:pPr>
      <w:r>
        <w:rPr>
          <w:rtl/>
        </w:rPr>
        <w:t>אבל כץ</w:t>
      </w:r>
      <w:bookmarkStart w:id="3425" w:name="_fnr2511"/>
      <w:r>
        <w:rPr>
          <w:rStyle w:val="a5"/>
        </w:rPr>
        <w:footnoteReference w:id="2518" w:customMarkFollows="0"/>
      </w:r>
      <w:bookmarkEnd w:id="3425"/>
      <w:r>
        <w:rPr>
          <w:rtl/>
        </w:rPr>
        <w:t xml:space="preserve"> מספר סיפור אחר על הארוחה שלפני התפילה, ובכך נמנע מן הקושי ההלכתי הנראה לעין שבאכילה לפני התפילה</w:t>
      </w:r>
      <w:bookmarkStart w:id="3426" w:name="_fnr2512"/>
      <w:r>
        <w:rPr>
          <w:rStyle w:val="a5"/>
        </w:rPr>
        <w:footnoteReference w:id="2519" w:customMarkFollows="0"/>
      </w:r>
      <w:bookmarkEnd w:id="3426"/>
      <w:r>
        <w:rPr>
          <w:rtl/>
        </w:rPr>
        <w:t xml:space="preserve">: “בזמן מסוים הורה ר׳ </w:t>
      </w:r>
      <w:proofErr w:type="spellStart"/>
      <w:r>
        <w:rPr>
          <w:rtl/>
        </w:rPr>
        <w:t>שמחה־זיסל</w:t>
      </w:r>
      <w:proofErr w:type="spellEnd"/>
      <w:r>
        <w:rPr>
          <w:rtl/>
        </w:rPr>
        <w:t xml:space="preserve"> לנערים לקום בשלוש וחצי לפנות בוקר, לאכול ארוחת בוקר וללמוד מארבע עד שבע וחצי, ואז התפללו. מטרת סדר זה הייתה להתרגל למידת הזריזות ולתרגל קביעת עתים לתורה גם בשעות בלתי רגילות ביום”.</w:t>
      </w:r>
    </w:p>
    <w:p w14:paraId="5F767C48" w14:textId="77777777" w:rsidR="00AB3647" w:rsidRDefault="00000000" w:rsidP="007923E9">
      <w:pPr>
        <w:spacing w:after="120" w:line="276" w:lineRule="auto"/>
        <w:ind w:firstLine="283"/>
        <w:jc w:val="both"/>
      </w:pPr>
      <w:r>
        <w:rPr>
          <w:rtl/>
        </w:rPr>
        <w:t>ד״ר ישראל אלישיב, סופר ששם העט שלו היה “בעל מחשבות”</w:t>
      </w:r>
      <w:bookmarkStart w:id="3427" w:name="_fnr2513"/>
      <w:r>
        <w:rPr>
          <w:rStyle w:val="a5"/>
        </w:rPr>
        <w:footnoteReference w:id="2520" w:customMarkFollows="0"/>
      </w:r>
      <w:bookmarkEnd w:id="3427"/>
      <w:r>
        <w:rPr>
          <w:rtl/>
        </w:rPr>
        <w:t xml:space="preserve">, שהה </w:t>
      </w:r>
      <w:proofErr w:type="spellStart"/>
      <w:r>
        <w:rPr>
          <w:rtl/>
        </w:rPr>
        <w:t>בגרובין</w:t>
      </w:r>
      <w:proofErr w:type="spellEnd"/>
      <w:r>
        <w:rPr>
          <w:rtl/>
        </w:rPr>
        <w:t xml:space="preserve"> מעט יותר משנתיים “ברבע הראשון של שנות </w:t>
      </w:r>
      <w:proofErr w:type="spellStart"/>
      <w:r>
        <w:rPr>
          <w:rtl/>
        </w:rPr>
        <w:t>התר״ם</w:t>
      </w:r>
      <w:proofErr w:type="spellEnd"/>
      <w:r>
        <w:rPr>
          <w:rtl/>
        </w:rPr>
        <w:t xml:space="preserve">”. במאמרו הביקורתי </w:t>
      </w:r>
      <w:proofErr w:type="spellStart"/>
      <w:r>
        <w:rPr>
          <w:rtl/>
        </w:rPr>
        <w:t>ב“העבר</w:t>
      </w:r>
      <w:proofErr w:type="spellEnd"/>
      <w:r>
        <w:rPr>
          <w:rtl/>
        </w:rPr>
        <w:t>”</w:t>
      </w:r>
      <w:bookmarkStart w:id="3428" w:name="_fnr2514"/>
      <w:r>
        <w:rPr>
          <w:rStyle w:val="a5"/>
        </w:rPr>
        <w:footnoteReference w:id="2521" w:customMarkFollows="0"/>
      </w:r>
      <w:bookmarkEnd w:id="3428"/>
      <w:r>
        <w:rPr>
          <w:rtl/>
        </w:rPr>
        <w:t xml:space="preserve"> הוא נזכר שסדר לימוד בלתי רגיל זה התקיים בחורף אחד בלבד. לפי זה אכלו הנערים בשעות שלפני עלות השחר, כשהאכילה מותרת על פי ההלכה.</w:t>
      </w:r>
    </w:p>
    <w:p w14:paraId="5F8ABD1B" w14:textId="77777777" w:rsidR="00AB3647" w:rsidRDefault="00000000" w:rsidP="007923E9">
      <w:pPr>
        <w:spacing w:after="120" w:line="276" w:lineRule="auto"/>
        <w:ind w:firstLine="283"/>
        <w:jc w:val="both"/>
      </w:pPr>
      <w:r>
        <w:rPr>
          <w:rtl/>
        </w:rPr>
        <w:t xml:space="preserve">במאמרו של הרב חיים </w:t>
      </w:r>
      <w:proofErr w:type="spellStart"/>
      <w:r>
        <w:rPr>
          <w:rtl/>
        </w:rPr>
        <w:t>קרלינסקי</w:t>
      </w:r>
      <w:proofErr w:type="spellEnd"/>
      <w:r>
        <w:rPr>
          <w:rtl/>
        </w:rPr>
        <w:t xml:space="preserve"> על קלם </w:t>
      </w:r>
      <w:proofErr w:type="spellStart"/>
      <w:r>
        <w:rPr>
          <w:rtl/>
        </w:rPr>
        <w:t>ב“ליטע</w:t>
      </w:r>
      <w:proofErr w:type="spellEnd"/>
      <w:r>
        <w:rPr>
          <w:rtl/>
        </w:rPr>
        <w:t xml:space="preserve">” נאמר </w:t>
      </w:r>
      <w:proofErr w:type="spellStart"/>
      <w:r>
        <w:rPr>
          <w:rtl/>
        </w:rPr>
        <w:t>שבגרובין</w:t>
      </w:r>
      <w:proofErr w:type="spellEnd"/>
      <w:r>
        <w:rPr>
          <w:rtl/>
        </w:rPr>
        <w:t xml:space="preserve"> התלמידים “למדו גרמנית וגם רוסית, ולא בכובעים אלא </w:t>
      </w:r>
      <w:proofErr w:type="spellStart"/>
      <w:r>
        <w:rPr>
          <w:rtl/>
        </w:rPr>
        <w:t>דוקא</w:t>
      </w:r>
      <w:proofErr w:type="spellEnd"/>
      <w:r>
        <w:rPr>
          <w:rtl/>
        </w:rPr>
        <w:t xml:space="preserve"> בכיפות”. את משמעות הסיפא הסביר גיסי ר׳ ישראל </w:t>
      </w:r>
      <w:proofErr w:type="spellStart"/>
      <w:r>
        <w:rPr>
          <w:rtl/>
        </w:rPr>
        <w:t>שורין</w:t>
      </w:r>
      <w:proofErr w:type="spellEnd"/>
      <w:r>
        <w:rPr>
          <w:rtl/>
        </w:rPr>
        <w:t xml:space="preserve"> (שנולד בליטא </w:t>
      </w:r>
      <w:proofErr w:type="spellStart"/>
      <w:r>
        <w:rPr>
          <w:rtl/>
        </w:rPr>
        <w:t>בתרע״ח</w:t>
      </w:r>
      <w:proofErr w:type="spellEnd"/>
      <w:r>
        <w:rPr>
          <w:rtl/>
        </w:rPr>
        <w:t xml:space="preserve">): ברוסיה, וכן ביורשתה שלאחר מלחמת העולם הראשונה, ליטא העצמאית, הסרת הכובע הייתה אות כבוד. הוא זכר שכאשר נדרש רבה של </w:t>
      </w:r>
      <w:proofErr w:type="spellStart"/>
      <w:r>
        <w:rPr>
          <w:rtl/>
        </w:rPr>
        <w:t>טלז</w:t>
      </w:r>
      <w:proofErr w:type="spellEnd"/>
      <w:r>
        <w:rPr>
          <w:rtl/>
        </w:rPr>
        <w:t xml:space="preserve">, ר׳ </w:t>
      </w:r>
      <w:proofErr w:type="spellStart"/>
      <w:r>
        <w:rPr>
          <w:rtl/>
        </w:rPr>
        <w:t>אברהם־יצחק</w:t>
      </w:r>
      <w:proofErr w:type="spellEnd"/>
      <w:r>
        <w:rPr>
          <w:rtl/>
        </w:rPr>
        <w:t xml:space="preserve"> בלוך, להשתתף באירוע ציבורי שבו נוגן ההמנון הלאומי, הסיר את כובעו והחזיק אותו באוויר מעל ראשו. מלכה </w:t>
      </w:r>
      <w:proofErr w:type="spellStart"/>
      <w:r>
        <w:rPr>
          <w:rtl/>
        </w:rPr>
        <w:t>שורין</w:t>
      </w:r>
      <w:proofErr w:type="spellEnd"/>
      <w:r>
        <w:rPr>
          <w:rtl/>
        </w:rPr>
        <w:t xml:space="preserve"> זכרה </w:t>
      </w:r>
      <w:proofErr w:type="spellStart"/>
      <w:r>
        <w:rPr>
          <w:rtl/>
        </w:rPr>
        <w:t>שבציטוביאן</w:t>
      </w:r>
      <w:proofErr w:type="spellEnd"/>
      <w:r>
        <w:rPr>
          <w:rtl/>
        </w:rPr>
        <w:t>, כשנכנס אבינו לבית הדואר המעוטר בדגל ליטא, הסיר את כובעו.</w:t>
      </w:r>
    </w:p>
    <w:p w14:paraId="6885A4AD" w14:textId="77777777" w:rsidR="00AB3647" w:rsidRDefault="00000000" w:rsidP="007923E9">
      <w:pPr>
        <w:spacing w:after="120" w:line="276" w:lineRule="auto"/>
        <w:ind w:firstLine="283"/>
        <w:jc w:val="both"/>
      </w:pPr>
      <w:r>
        <w:rPr>
          <w:rtl/>
        </w:rPr>
        <w:t xml:space="preserve">כוונת הרב חיים </w:t>
      </w:r>
      <w:proofErr w:type="spellStart"/>
      <w:r>
        <w:rPr>
          <w:rtl/>
        </w:rPr>
        <w:t>קרלינסקי</w:t>
      </w:r>
      <w:proofErr w:type="spellEnd"/>
      <w:r>
        <w:rPr>
          <w:rtl/>
        </w:rPr>
        <w:t xml:space="preserve"> הייתה שלימודי הרוסית </w:t>
      </w:r>
      <w:proofErr w:type="spellStart"/>
      <w:r>
        <w:rPr>
          <w:rtl/>
        </w:rPr>
        <w:t>בגרובין</w:t>
      </w:r>
      <w:proofErr w:type="spellEnd"/>
      <w:r>
        <w:rPr>
          <w:rtl/>
        </w:rPr>
        <w:t xml:space="preserve"> התקיימו מתוך כבוד לשפה הלאומית, כבוד שחייב את התלמידים להסיר את כובעיהם, שאותם חבשו בדרך כלל כל היום בלי כיפות תחתיהם. כדי שלא לשבת בגילוי ראש במשך שיעור שלם – ולא לדקות ספורות, כמו במקרה של ר׳ </w:t>
      </w:r>
      <w:proofErr w:type="spellStart"/>
      <w:r>
        <w:rPr>
          <w:rtl/>
        </w:rPr>
        <w:t>אברהם־יצחק</w:t>
      </w:r>
      <w:proofErr w:type="spellEnd"/>
      <w:r>
        <w:rPr>
          <w:rtl/>
        </w:rPr>
        <w:t xml:space="preserve"> בלוך ושל</w:t>
      </w:r>
      <w:r>
        <w:t xml:space="preserve"> </w:t>
      </w:r>
      <w:r>
        <w:rPr>
          <w:rtl/>
        </w:rPr>
        <w:t>רבנו – חבשו כיפות.</w:t>
      </w:r>
    </w:p>
    <w:p w14:paraId="6A0B61F4" w14:textId="77777777" w:rsidR="00AB3647" w:rsidRDefault="00000000" w:rsidP="007923E9">
      <w:pPr>
        <w:spacing w:after="120" w:line="276" w:lineRule="auto"/>
        <w:ind w:firstLine="283"/>
        <w:jc w:val="both"/>
      </w:pPr>
      <w:r>
        <w:rPr>
          <w:rtl/>
        </w:rPr>
        <w:t>כץ, “תנועת המוסר”, כרך ב</w:t>
      </w:r>
      <w:bookmarkStart w:id="3429" w:name="_fnr2515"/>
      <w:r>
        <w:rPr>
          <w:rStyle w:val="a5"/>
        </w:rPr>
        <w:footnoteReference w:id="2522" w:customMarkFollows="0"/>
      </w:r>
      <w:bookmarkEnd w:id="3429"/>
      <w:r>
        <w:rPr>
          <w:rtl/>
        </w:rPr>
        <w:t xml:space="preserve">, מביא איגרת שכתב ר׳ </w:t>
      </w:r>
      <w:proofErr w:type="spellStart"/>
      <w:r>
        <w:rPr>
          <w:rtl/>
        </w:rPr>
        <w:t>שמחה־זיסל</w:t>
      </w:r>
      <w:proofErr w:type="spellEnd"/>
      <w:r>
        <w:rPr>
          <w:rtl/>
        </w:rPr>
        <w:t xml:space="preserve"> בעודו </w:t>
      </w:r>
      <w:proofErr w:type="spellStart"/>
      <w:r>
        <w:rPr>
          <w:rtl/>
        </w:rPr>
        <w:t>בקלם</w:t>
      </w:r>
      <w:proofErr w:type="spellEnd"/>
      <w:r>
        <w:rPr>
          <w:rtl/>
        </w:rPr>
        <w:t xml:space="preserve">, לפני המעבר </w:t>
      </w:r>
      <w:proofErr w:type="spellStart"/>
      <w:r>
        <w:rPr>
          <w:rtl/>
        </w:rPr>
        <w:t>לגרובין</w:t>
      </w:r>
      <w:proofErr w:type="spellEnd"/>
      <w:r>
        <w:rPr>
          <w:rtl/>
        </w:rPr>
        <w:t>, ובה הוא מתאר ברגש רב את יעילות תוכניתו: “נערים רבים שהיו נגועים בעליל בנגעי הקמצנות, השנאה והקנאה שינו את מידותיהם והפכו לנדיבים, לאוהבים ולמחבבים איש את רעהו”.</w:t>
      </w:r>
    </w:p>
    <w:p w14:paraId="51B9B710" w14:textId="77777777" w:rsidR="00AB3647" w:rsidRDefault="00000000" w:rsidP="007923E9">
      <w:pPr>
        <w:spacing w:after="120" w:line="276" w:lineRule="auto"/>
        <w:ind w:firstLine="283"/>
        <w:jc w:val="both"/>
      </w:pPr>
      <w:r>
        <w:rPr>
          <w:rtl/>
        </w:rPr>
        <w:lastRenderedPageBreak/>
        <w:t>מקור זה</w:t>
      </w:r>
      <w:bookmarkStart w:id="3430" w:name="_fnr2516"/>
      <w:r>
        <w:rPr>
          <w:rStyle w:val="a5"/>
        </w:rPr>
        <w:footnoteReference w:id="2523" w:customMarkFollows="0"/>
      </w:r>
      <w:bookmarkEnd w:id="3430"/>
      <w:r>
        <w:rPr>
          <w:rtl/>
        </w:rPr>
        <w:t xml:space="preserve"> מביא גם מאמר שבח על בית הספר </w:t>
      </w:r>
      <w:proofErr w:type="spellStart"/>
      <w:r>
        <w:rPr>
          <w:rtl/>
        </w:rPr>
        <w:t>בגרובין</w:t>
      </w:r>
      <w:proofErr w:type="spellEnd"/>
      <w:r>
        <w:rPr>
          <w:rtl/>
        </w:rPr>
        <w:t xml:space="preserve"> מן “הצפירה” (תרמ״ה)</w:t>
      </w:r>
      <w:bookmarkStart w:id="3431" w:name="_fnr2517"/>
      <w:r>
        <w:rPr>
          <w:rStyle w:val="a5"/>
        </w:rPr>
        <w:footnoteReference w:id="2524" w:customMarkFollows="0"/>
      </w:r>
      <w:bookmarkEnd w:id="3431"/>
      <w:r>
        <w:rPr>
          <w:rtl/>
        </w:rPr>
        <w:t xml:space="preserve">, המתאר “את עבודתם המסורה של המורים והמשגיחים בהשרשת יראת ה׳ צרופה ורגשי טוהר בלב הנערים”, את תשומת הלב שנתן ר׳ </w:t>
      </w:r>
      <w:proofErr w:type="spellStart"/>
      <w:r>
        <w:rPr>
          <w:rtl/>
        </w:rPr>
        <w:t>שמחה־זיסל</w:t>
      </w:r>
      <w:proofErr w:type="spellEnd"/>
      <w:r>
        <w:rPr>
          <w:rtl/>
        </w:rPr>
        <w:t xml:space="preserve"> לכל תנועה של חניכיו, ואת בקיאות הבוגרים “בענייני הש״ס ככל הלומדים המצוינים [בישיבות הרגילות], בצירוף שיעור ניכר של מדע, תבונה וידע בן הזמן”. שלוש שעות בכל יום הוקדשו ללימודי חול, שכללו רוסית, מתמטיקה, היסטוריה וגאוגרפיה</w:t>
      </w:r>
      <w:bookmarkStart w:id="3432" w:name="_fnr2518"/>
      <w:r>
        <w:rPr>
          <w:rStyle w:val="a5"/>
        </w:rPr>
        <w:footnoteReference w:id="2525" w:customMarkFollows="0"/>
      </w:r>
      <w:bookmarkEnd w:id="3432"/>
      <w:r>
        <w:rPr>
          <w:rtl/>
        </w:rPr>
        <w:t>, וכן הנהלת חשבונות לבחירה</w:t>
      </w:r>
      <w:bookmarkStart w:id="3433" w:name="_fnr2519"/>
      <w:r>
        <w:rPr>
          <w:rStyle w:val="a5"/>
        </w:rPr>
        <w:footnoteReference w:id="2526" w:customMarkFollows="0"/>
      </w:r>
      <w:bookmarkEnd w:id="3433"/>
      <w:r>
        <w:rPr>
          <w:rtl/>
        </w:rPr>
        <w:t>.</w:t>
      </w:r>
    </w:p>
    <w:p w14:paraId="5CB0D074" w14:textId="5421E3D1" w:rsidR="00AB3647" w:rsidRDefault="00000000" w:rsidP="007923E9">
      <w:pPr>
        <w:spacing w:after="120" w:line="276" w:lineRule="auto"/>
        <w:ind w:firstLine="283"/>
        <w:jc w:val="both"/>
      </w:pPr>
      <w:r>
        <w:rPr>
          <w:rtl/>
        </w:rPr>
        <w:t>זיכרונו של אלישיב ודאי בגד בו כשכתב</w:t>
      </w:r>
      <w:bookmarkStart w:id="3434" w:name="_fnr2520"/>
      <w:r>
        <w:rPr>
          <w:rStyle w:val="a5"/>
        </w:rPr>
        <w:footnoteReference w:id="2527" w:customMarkFollows="0"/>
      </w:r>
      <w:bookmarkEnd w:id="3434"/>
      <w:r>
        <w:rPr>
          <w:rtl/>
        </w:rPr>
        <w:t xml:space="preserve">, שלושים ושש שנים לאחר המאורעות, שלמדו גרמנית, ולא הזכיר כלל לימודי רוסית. הוא אף אינו מזכיר את תוכנית ההתעמלות שעליה מספרים כץ ויעקב מארק, ורק מציין שבימי קיץ חמים במיוחד נלקחו כל הנערים לרחוץ ליד חורבות טירה עתיקה </w:t>
      </w:r>
      <w:proofErr w:type="spellStart"/>
      <w:r>
        <w:rPr>
          <w:rtl/>
        </w:rPr>
        <w:t>ורדופת</w:t>
      </w:r>
      <w:proofErr w:type="spellEnd"/>
      <w:r>
        <w:rPr>
          <w:rtl/>
        </w:rPr>
        <w:t xml:space="preserve"> רוחות</w:t>
      </w:r>
      <w:bookmarkStart w:id="3435" w:name="_fnr2521"/>
      <w:r>
        <w:rPr>
          <w:rStyle w:val="a5"/>
        </w:rPr>
        <w:footnoteReference w:id="2528" w:customMarkFollows="0"/>
      </w:r>
      <w:bookmarkEnd w:id="3435"/>
      <w:r>
        <w:rPr>
          <w:rtl/>
        </w:rPr>
        <w:t>. גם אמירתו</w:t>
      </w:r>
      <w:bookmarkStart w:id="3436" w:name="_fnr2522"/>
      <w:r>
        <w:rPr>
          <w:rStyle w:val="a5"/>
        </w:rPr>
        <w:footnoteReference w:id="2529" w:customMarkFollows="0"/>
      </w:r>
      <w:bookmarkEnd w:id="3436"/>
      <w:r>
        <w:rPr>
          <w:rtl/>
        </w:rPr>
        <w:t xml:space="preserve"> שלא למדו מקרא מוטעית, שהרי ר׳ </w:t>
      </w:r>
      <w:proofErr w:type="spellStart"/>
      <w:r>
        <w:rPr>
          <w:rtl/>
        </w:rPr>
        <w:t>נתן־צבי</w:t>
      </w:r>
      <w:proofErr w:type="spellEnd"/>
      <w:r>
        <w:rPr>
          <w:rtl/>
        </w:rPr>
        <w:t xml:space="preserve"> </w:t>
      </w:r>
      <w:proofErr w:type="spellStart"/>
      <w:r>
        <w:rPr>
          <w:rtl/>
        </w:rPr>
        <w:t>פינקל</w:t>
      </w:r>
      <w:proofErr w:type="spellEnd"/>
      <w:r>
        <w:rPr>
          <w:rtl/>
        </w:rPr>
        <w:t xml:space="preserve"> עצמו לימד שם תנ״ך, כמסופר בפרק 4, בפסקה השנייה ב</w:t>
      </w:r>
      <w:r>
        <w:rPr>
          <w:rtl/>
        </w:rPr>
        <w:fldChar w:fldCharType="begin" w:dirty="true"/>
      </w:r>
      <w:r>
        <w:rPr>
          <w:rtl/>
        </w:rPr>
        <w:instrText xml:space="preserve"> REF b4_excB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w:t>
      </w:r>
    </w:p>
    <w:p w14:paraId="0639E4B6" w14:textId="77777777" w:rsidR="00AB3647" w:rsidRDefault="00000000" w:rsidP="007923E9">
      <w:pPr>
        <w:spacing w:after="120" w:line="276" w:lineRule="auto"/>
        <w:ind w:firstLine="283"/>
        <w:jc w:val="both"/>
      </w:pPr>
      <w:r>
        <w:rPr>
          <w:rtl/>
        </w:rPr>
        <w:t>קביעתו של אלישיב</w:t>
      </w:r>
      <w:bookmarkStart w:id="3437" w:name="_fnr2523"/>
      <w:r>
        <w:rPr>
          <w:rStyle w:val="a5"/>
        </w:rPr>
        <w:footnoteReference w:id="2530" w:customMarkFollows="0"/>
      </w:r>
      <w:bookmarkEnd w:id="3437"/>
      <w:r>
        <w:rPr>
          <w:rtl/>
        </w:rPr>
        <w:t xml:space="preserve"> </w:t>
      </w:r>
      <w:proofErr w:type="spellStart"/>
      <w:r>
        <w:rPr>
          <w:rtl/>
        </w:rPr>
        <w:t>ש“בגרובין</w:t>
      </w:r>
      <w:proofErr w:type="spellEnd"/>
      <w:r>
        <w:rPr>
          <w:rtl/>
        </w:rPr>
        <w:t xml:space="preserve"> לא יוחס ערך מיוחד ללימוד הגמרא” נסתרת במאמר בן התקופה </w:t>
      </w:r>
      <w:proofErr w:type="spellStart"/>
      <w:r>
        <w:rPr>
          <w:rtl/>
        </w:rPr>
        <w:t>ב“הצפירה</w:t>
      </w:r>
      <w:proofErr w:type="spellEnd"/>
      <w:r>
        <w:rPr>
          <w:rtl/>
        </w:rPr>
        <w:t>” שהובא לעיל, שבו נאמר: “התלמידים משתתפים [בשיעורי] גפ״ת, לאחר ארוחת הבוקר ועד הצהריים, בהתלהבות עזה, ומטים אוזן לשמוע את</w:t>
      </w:r>
      <w:r>
        <w:t xml:space="preserve"> </w:t>
      </w:r>
      <w:r>
        <w:rPr>
          <w:rtl/>
        </w:rPr>
        <w:t xml:space="preserve">קול מוריהם כדי להבין ‘דברי חכמים </w:t>
      </w:r>
      <w:proofErr w:type="spellStart"/>
      <w:r>
        <w:rPr>
          <w:rtl/>
        </w:rPr>
        <w:t>וחידותם</w:t>
      </w:r>
      <w:proofErr w:type="spellEnd"/>
      <w:r>
        <w:rPr>
          <w:rtl/>
        </w:rPr>
        <w:t>’</w:t>
      </w:r>
      <w:bookmarkStart w:id="3438" w:name="_fnr2524"/>
      <w:r>
        <w:rPr>
          <w:rStyle w:val="a5"/>
        </w:rPr>
        <w:footnoteReference w:id="2531" w:customMarkFollows="0"/>
      </w:r>
      <w:bookmarkEnd w:id="3438"/>
      <w:r>
        <w:rPr>
          <w:rtl/>
        </w:rPr>
        <w:t>, ואין מילים יוצאות מפיהם בעוד לבם רחוק</w:t>
      </w:r>
      <w:bookmarkStart w:id="3439" w:name="_fnr2525"/>
      <w:r>
        <w:rPr>
          <w:rStyle w:val="a5"/>
        </w:rPr>
        <w:footnoteReference w:id="2532" w:customMarkFollows="0"/>
      </w:r>
      <w:bookmarkEnd w:id="3439"/>
      <w:r>
        <w:rPr>
          <w:rtl/>
        </w:rPr>
        <w:t>”.</w:t>
      </w:r>
    </w:p>
    <w:p w14:paraId="7607C32D" w14:textId="77777777" w:rsidR="00AB3647" w:rsidRDefault="00000000" w:rsidP="007923E9">
      <w:pPr>
        <w:spacing w:after="120" w:line="276" w:lineRule="auto"/>
        <w:ind w:firstLine="283"/>
        <w:jc w:val="both"/>
      </w:pPr>
      <w:r>
        <w:rPr>
          <w:rtl/>
        </w:rPr>
        <w:t>הפנייה הארוכה של אלישיב בסיום מאמרו</w:t>
      </w:r>
      <w:bookmarkStart w:id="3440" w:name="_fnr2526"/>
      <w:r>
        <w:rPr>
          <w:rStyle w:val="a5"/>
        </w:rPr>
        <w:footnoteReference w:id="2533" w:customMarkFollows="0"/>
      </w:r>
      <w:bookmarkEnd w:id="3440"/>
      <w:r>
        <w:rPr>
          <w:rtl/>
        </w:rPr>
        <w:t xml:space="preserve"> – מוטב לומר: התחנונים – לתלמידים לשעבר אחרים שישלחו גם הם את זיכרונותיהם, מגלה שלא היה בטוח אם תיאור חווייתו האומללה היה ענייני ועובדתי. גם בחלקו המוקדם של המאמר</w:t>
      </w:r>
      <w:bookmarkStart w:id="3441" w:name="_fnr2527"/>
      <w:r>
        <w:rPr>
          <w:rStyle w:val="a5"/>
        </w:rPr>
        <w:footnoteReference w:id="2534" w:customMarkFollows="0"/>
      </w:r>
      <w:bookmarkEnd w:id="3441"/>
      <w:r>
        <w:rPr>
          <w:rtl/>
        </w:rPr>
        <w:t xml:space="preserve"> הוא מוסיף משפט בסוגריים המעדן את הודאתו בחוסר מהימנותו, וזה לשונו: “ראוי היה שעוד אחרים מאותם מעטים [בקרבנו, התלמידים, שעֵרנותם היתרה גברה על קסמיה המהפנטים של </w:t>
      </w:r>
      <w:proofErr w:type="spellStart"/>
      <w:r>
        <w:rPr>
          <w:rtl/>
        </w:rPr>
        <w:t>גרובין</w:t>
      </w:r>
      <w:proofErr w:type="spellEnd"/>
      <w:r>
        <w:rPr>
          <w:rtl/>
        </w:rPr>
        <w:t xml:space="preserve">] יפרסמו את זיכרונותיהם, כדי שתמונת חיי בעלי המוסר שם </w:t>
      </w:r>
      <w:r>
        <w:rPr>
          <w:b/>
          <w:bCs/>
          <w:rtl/>
        </w:rPr>
        <w:t>תהיה שלמה יותר</w:t>
      </w:r>
      <w:r>
        <w:rPr>
          <w:rtl/>
        </w:rPr>
        <w:t xml:space="preserve"> (ההדגשה שלי)”.</w:t>
      </w:r>
    </w:p>
    <w:p w14:paraId="22D783DE" w14:textId="77777777" w:rsidR="00AB3647" w:rsidRDefault="00000000" w:rsidP="007923E9">
      <w:pPr>
        <w:spacing w:after="120" w:line="276" w:lineRule="auto"/>
        <w:ind w:firstLine="283"/>
        <w:jc w:val="both"/>
      </w:pPr>
      <w:r>
        <w:rPr>
          <w:rtl/>
        </w:rPr>
        <w:t>מסתבר שאלישיב חשד שהזיכרונות המציפים אותו מגמתיים ומשובשים, בשל דבר שהודה בו בעצמו</w:t>
      </w:r>
      <w:bookmarkStart w:id="3442" w:name="_fnr2528"/>
      <w:r>
        <w:rPr>
          <w:rStyle w:val="a5"/>
        </w:rPr>
        <w:footnoteReference w:id="2535" w:customMarkFollows="0"/>
      </w:r>
      <w:bookmarkEnd w:id="3442"/>
      <w:r>
        <w:rPr>
          <w:rtl/>
        </w:rPr>
        <w:t xml:space="preserve">: “כאשר </w:t>
      </w:r>
      <w:r>
        <w:rPr>
          <w:b/>
          <w:bCs/>
          <w:rtl/>
        </w:rPr>
        <w:t>עזב בפעם האחרונה</w:t>
      </w:r>
      <w:r>
        <w:rPr>
          <w:rtl/>
        </w:rPr>
        <w:t xml:space="preserve"> (ההדגשה שלי), נמחקו </w:t>
      </w:r>
      <w:proofErr w:type="spellStart"/>
      <w:r>
        <w:rPr>
          <w:rtl/>
        </w:rPr>
        <w:t>מלבו</w:t>
      </w:r>
      <w:proofErr w:type="spellEnd"/>
      <w:r>
        <w:rPr>
          <w:rtl/>
        </w:rPr>
        <w:t xml:space="preserve"> החיים </w:t>
      </w:r>
      <w:proofErr w:type="spellStart"/>
      <w:r>
        <w:rPr>
          <w:rtl/>
        </w:rPr>
        <w:t>בגרובין</w:t>
      </w:r>
      <w:proofErr w:type="spellEnd"/>
      <w:r>
        <w:rPr>
          <w:rtl/>
        </w:rPr>
        <w:t xml:space="preserve"> </w:t>
      </w:r>
      <w:r>
        <w:rPr>
          <w:rtl/>
        </w:rPr>
        <w:lastRenderedPageBreak/>
        <w:t>והתעלולים שחווה שם, והיו כלא היו – כחלום יעוף – ורק כעבור חמש או שש שנים החל לתעב את מי שגזלו ממנו שנתיים יפות של נעורים”.</w:t>
      </w:r>
    </w:p>
    <w:p w14:paraId="40EAB27E" w14:textId="77777777" w:rsidR="00AB3647" w:rsidRDefault="00000000" w:rsidP="007923E9">
      <w:pPr>
        <w:spacing w:after="120" w:line="276" w:lineRule="auto"/>
        <w:ind w:firstLine="283"/>
        <w:jc w:val="both"/>
      </w:pPr>
      <w:r>
        <w:rPr>
          <w:rtl/>
        </w:rPr>
        <w:t>המילים “כאשר עזב בפעם האחרונה” במשפט הקודם הודגשו משום שאלישיב לא עזב (מרצונו), אלא גורש (סוף סוף) כעבור שישה שבועות מתחילת הזמן</w:t>
      </w:r>
      <w:bookmarkStart w:id="3443" w:name="_fnr2529"/>
      <w:r>
        <w:rPr>
          <w:rStyle w:val="a5"/>
        </w:rPr>
        <w:footnoteReference w:id="2536" w:customMarkFollows="0"/>
      </w:r>
      <w:bookmarkEnd w:id="3443"/>
      <w:r>
        <w:rPr>
          <w:rtl/>
        </w:rPr>
        <w:t>. גם בסוף הזמן הקודם נתבקש שלא לחזור מחופשת הימים הנוראים וסוכות בביתו, משום שפיתח, לפי תיאורו שלו</w:t>
      </w:r>
      <w:bookmarkStart w:id="3444" w:name="_fnr2530"/>
      <w:r>
        <w:rPr>
          <w:rStyle w:val="a5"/>
        </w:rPr>
        <w:footnoteReference w:id="2537" w:customMarkFollows="0"/>
      </w:r>
      <w:bookmarkEnd w:id="3444"/>
      <w:r>
        <w:rPr>
          <w:rtl/>
        </w:rPr>
        <w:t xml:space="preserve">, הפרעה כפייתית. את ההפרעה ייחס למצבו הגופני הירוד, שגם בו האשים את בית הספר. רק בעקבות </w:t>
      </w:r>
      <w:proofErr w:type="spellStart"/>
      <w:r>
        <w:rPr>
          <w:rtl/>
        </w:rPr>
        <w:t>ה“עמל</w:t>
      </w:r>
      <w:proofErr w:type="spellEnd"/>
      <w:r>
        <w:rPr>
          <w:rtl/>
        </w:rPr>
        <w:t xml:space="preserve"> הרב” שהשקיע אביו ר׳ </w:t>
      </w:r>
      <w:proofErr w:type="spellStart"/>
      <w:r>
        <w:rPr>
          <w:rtl/>
        </w:rPr>
        <w:t>שלמה־זלקינד</w:t>
      </w:r>
      <w:proofErr w:type="spellEnd"/>
      <w:r>
        <w:rPr>
          <w:rtl/>
        </w:rPr>
        <w:t xml:space="preserve"> אלישיב</w:t>
      </w:r>
      <w:bookmarkStart w:id="3445" w:name="_fnr2531"/>
      <w:r>
        <w:rPr>
          <w:rStyle w:val="a5"/>
        </w:rPr>
        <w:footnoteReference w:id="2538" w:customMarkFollows="0"/>
      </w:r>
      <w:bookmarkEnd w:id="3445"/>
      <w:r>
        <w:rPr>
          <w:rtl/>
        </w:rPr>
        <w:t xml:space="preserve"> בחליפת איגרות מטרידה עם ר׳ </w:t>
      </w:r>
      <w:proofErr w:type="spellStart"/>
      <w:r>
        <w:rPr>
          <w:rtl/>
        </w:rPr>
        <w:t>שמחה־זיסל</w:t>
      </w:r>
      <w:bookmarkStart w:id="3446" w:name="_fnr2532"/>
      <w:proofErr w:type="spellEnd"/>
      <w:r>
        <w:rPr>
          <w:rStyle w:val="a5"/>
        </w:rPr>
        <w:footnoteReference w:id="2539" w:customMarkFollows="0"/>
      </w:r>
      <w:bookmarkEnd w:id="3446"/>
      <w:r>
        <w:rPr>
          <w:rtl/>
        </w:rPr>
        <w:t xml:space="preserve"> הורשה לחזור בתחילת הזמן הבא.</w:t>
      </w:r>
    </w:p>
    <w:p w14:paraId="06CE5342" w14:textId="332D9BF3" w:rsidR="00AB3647" w:rsidRDefault="00000000" w:rsidP="007923E9">
      <w:pPr>
        <w:spacing w:after="120" w:line="276" w:lineRule="auto"/>
        <w:ind w:firstLine="283"/>
        <w:jc w:val="both"/>
      </w:pPr>
      <w:r>
        <w:rPr>
          <w:rtl/>
        </w:rPr>
        <w:t xml:space="preserve">השווה גם פרק 4, הערה </w:t>
      </w:r>
      <w:r>
        <w:rPr>
          <w:rtl/>
        </w:rPr>
        <w:fldChar w:fldCharType="begin" w:dirty="true"/>
      </w:r>
      <w:r>
        <w:rPr>
          <w:rtl/>
        </w:rPr>
        <w:instrText xml:space="preserve"> REF b4_note139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139</w:t>
      </w:r>
      <w:r>
        <w:rPr>
          <w:rtl/>
        </w:rPr>
        <w:fldChar w:fldCharType="end"/>
      </w:r>
      <w:r>
        <w:rPr>
          <w:rtl/>
        </w:rPr>
        <w:t xml:space="preserve">, על זיקתם של אביו של ד״ר אלישיב (ושל </w:t>
      </w:r>
      <w:proofErr w:type="spellStart"/>
      <w:r>
        <w:rPr>
          <w:rtl/>
        </w:rPr>
        <w:t>אמו</w:t>
      </w:r>
      <w:proofErr w:type="spellEnd"/>
      <w:r>
        <w:rPr>
          <w:rtl/>
        </w:rPr>
        <w:t>) לתנועת המוסר. אף</w:t>
      </w:r>
      <w:r>
        <w:t xml:space="preserve"> </w:t>
      </w:r>
      <w:r>
        <w:rPr>
          <w:rtl/>
        </w:rPr>
        <w:t xml:space="preserve">שאותו מקור מדבר על דבקותו של ר׳ </w:t>
      </w:r>
      <w:proofErr w:type="spellStart"/>
      <w:r>
        <w:rPr>
          <w:rtl/>
        </w:rPr>
        <w:t>שלמה־זלקינד</w:t>
      </w:r>
      <w:proofErr w:type="spellEnd"/>
      <w:r>
        <w:rPr>
          <w:rtl/>
        </w:rPr>
        <w:t xml:space="preserve"> במוסר </w:t>
      </w:r>
      <w:proofErr w:type="spellStart"/>
      <w:r>
        <w:rPr>
          <w:rtl/>
        </w:rPr>
        <w:t>חמש־עשרה</w:t>
      </w:r>
      <w:proofErr w:type="spellEnd"/>
      <w:r>
        <w:rPr>
          <w:rtl/>
        </w:rPr>
        <w:t xml:space="preserve"> שנה לאחר שבנו למד </w:t>
      </w:r>
      <w:proofErr w:type="spellStart"/>
      <w:r>
        <w:rPr>
          <w:rtl/>
        </w:rPr>
        <w:t>בגרובין</w:t>
      </w:r>
      <w:proofErr w:type="spellEnd"/>
      <w:r>
        <w:rPr>
          <w:rtl/>
        </w:rPr>
        <w:t>, רשאים אנו להניח שכבר היה בעל מוסר כששלח את בנו ללמוד במוסד המוסר החשוב ביותר. לפיכך אפשר לשער שקשריו עם תנועת המוסר היו מכריעים בהסכמת הסבא מקלם להחזיר את הנער, אף שהיה זה על תנאי. כבעל מוסר אמיתי</w:t>
      </w:r>
      <w:bookmarkStart w:id="3447" w:name="_fnr2533"/>
      <w:r>
        <w:rPr>
          <w:rStyle w:val="a5"/>
        </w:rPr>
        <w:footnoteReference w:id="2540" w:customMarkFollows="0"/>
      </w:r>
      <w:bookmarkEnd w:id="3447"/>
      <w:r>
        <w:rPr>
          <w:rtl/>
        </w:rPr>
        <w:t xml:space="preserve"> המשיך האב לגלות נאמנות לתנועה גם עשור וחצי לאחר הבושה האישית שספג בעקבות גירושו הסופי של בנו.</w:t>
      </w:r>
    </w:p>
    <w:p w14:paraId="345CC965" w14:textId="77777777" w:rsidR="00AB3647" w:rsidRDefault="00000000" w:rsidP="007923E9">
      <w:pPr>
        <w:pStyle w:val="4"/>
        <w:spacing w:line="276" w:lineRule="auto"/>
      </w:pPr>
      <w:r>
        <w:t>· הפסקה השנייה ·</w:t>
      </w:r>
    </w:p>
    <w:p w14:paraId="66A6E6EE" w14:textId="77777777" w:rsidR="00AB3647" w:rsidRDefault="00000000" w:rsidP="007923E9">
      <w:pPr>
        <w:pStyle w:val="5"/>
        <w:spacing w:line="276" w:lineRule="auto"/>
      </w:pPr>
      <w:r>
        <w:t xml:space="preserve">תוכניתו של הסבא מקלם נתקלת בהתנגדות – ר׳ ישראל </w:t>
      </w:r>
      <w:proofErr w:type="spellStart"/>
      <w:r>
        <w:t>סלנטר</w:t>
      </w:r>
      <w:proofErr w:type="spellEnd"/>
      <w:r>
        <w:t xml:space="preserve"> נזהר מלתת לה את אישורו – ר׳ </w:t>
      </w:r>
      <w:proofErr w:type="spellStart"/>
      <w:r>
        <w:t>שמחה־זיסל</w:t>
      </w:r>
      <w:proofErr w:type="spellEnd"/>
      <w:r>
        <w:t xml:space="preserve"> חש מנודה – ר׳ שמשון רפאל הירש סבור שבכולל קובנה מתקיימים לימודי חול – </w:t>
      </w:r>
      <w:proofErr w:type="spellStart"/>
      <w:r>
        <w:t>אי־ההבנה</w:t>
      </w:r>
      <w:proofErr w:type="spellEnd"/>
      <w:r>
        <w:t xml:space="preserve"> בין ר׳ רפאל הירש ובין מבקרו ר׳ </w:t>
      </w:r>
      <w:proofErr w:type="spellStart"/>
      <w:r>
        <w:t>אברמצ׳יק</w:t>
      </w:r>
      <w:proofErr w:type="spellEnd"/>
      <w:r>
        <w:t xml:space="preserve"> </w:t>
      </w:r>
      <w:proofErr w:type="spellStart"/>
      <w:r>
        <w:t>טאנס</w:t>
      </w:r>
      <w:proofErr w:type="spellEnd"/>
      <w:r>
        <w:t xml:space="preserve"> – המשכילים מאשימים את בעלי המוסר בהשפעה חסרת מצפון על אמיל לחמן – שיטות האורתודוקסיה הגרמנית נחשבות בלתי מתאימות לרוסיה</w:t>
      </w:r>
    </w:p>
    <w:p w14:paraId="2BF61DFE" w14:textId="77777777" w:rsidR="00AB3647" w:rsidRDefault="00000000" w:rsidP="007923E9">
      <w:pPr>
        <w:spacing w:after="120" w:line="276" w:lineRule="auto"/>
        <w:ind w:firstLine="283"/>
        <w:jc w:val="both"/>
      </w:pPr>
      <w:r>
        <w:rPr>
          <w:rtl/>
        </w:rPr>
        <w:t>תוכנית חינוך מהפכנית כזאת הייתה עתידה לעורר מחלוקת, כמו שהודה הסבא מקלם באיגרת לתלמידיו המובאת בספרו של כץ, “תנועת המוסר”, כרך ב</w:t>
      </w:r>
      <w:bookmarkStart w:id="3448" w:name="_fnr2534"/>
      <w:r>
        <w:rPr>
          <w:rStyle w:val="a5"/>
        </w:rPr>
        <w:footnoteReference w:id="2541" w:customMarkFollows="0"/>
      </w:r>
      <w:bookmarkEnd w:id="3448"/>
      <w:r>
        <w:rPr>
          <w:rtl/>
        </w:rPr>
        <w:t xml:space="preserve">: “היודעים אתם, ילדים יקרים, את העמל והסבל הרבים שנשא בית לימוד זה מיום </w:t>
      </w:r>
      <w:proofErr w:type="spellStart"/>
      <w:r>
        <w:rPr>
          <w:rtl/>
        </w:rPr>
        <w:t>היווסדו</w:t>
      </w:r>
      <w:proofErr w:type="spellEnd"/>
      <w:r>
        <w:rPr>
          <w:rtl/>
        </w:rPr>
        <w:t xml:space="preserve">, מבפנים ומבחוץ? מי לא יבין כי חידוש דבר </w:t>
      </w:r>
      <w:r>
        <w:rPr>
          <w:b/>
          <w:bCs/>
          <w:rtl/>
        </w:rPr>
        <w:t>שלא הורגלו בו זמן רב כל כך</w:t>
      </w:r>
      <w:r>
        <w:rPr>
          <w:rtl/>
        </w:rPr>
        <w:t xml:space="preserve"> גורר מטבעו התנגדות גדולה?! כי לא רבים יחכמו</w:t>
      </w:r>
      <w:bookmarkStart w:id="3449" w:name="_fnr2535"/>
      <w:r>
        <w:rPr>
          <w:rStyle w:val="a5"/>
        </w:rPr>
        <w:footnoteReference w:id="2542" w:customMarkFollows="0"/>
      </w:r>
      <w:bookmarkEnd w:id="3449"/>
      <w:r>
        <w:rPr>
          <w:rtl/>
        </w:rPr>
        <w:t xml:space="preserve"> לדעת מתי השעה כשרה לכך, וגם לראות את הנולד ממנו. ובייחוד עם קדוש, בני ישראל – שסבל רבות מן החידושים – רגיל לומר: ‘חדש אסור מן התורה’. והצדק עמו: מי שאינו יודע צריך לחשוש. אכן יש אצלנו דברים רבים שלא היינו מתקנים או מתירים בבית הקדוש הזה, בבית מדרשנו היקר והנעים, בשנים כתיקונם. אבל עשינו זאת בגדר ‘עת לעשות </w:t>
      </w:r>
      <w:r>
        <w:rPr>
          <w:rtl/>
        </w:rPr>
        <w:lastRenderedPageBreak/>
        <w:t>לה׳ הפרו תורתך’</w:t>
      </w:r>
      <w:bookmarkStart w:id="3450" w:name="_fnr2536"/>
      <w:r>
        <w:rPr>
          <w:rStyle w:val="a5"/>
        </w:rPr>
        <w:footnoteReference w:id="2543" w:customMarkFollows="0"/>
      </w:r>
      <w:bookmarkEnd w:id="3450"/>
      <w:r>
        <w:rPr>
          <w:rtl/>
        </w:rPr>
        <w:t xml:space="preserve">. כל הנזק בטל ברוב הטובה. לכן, אם מישהו אינו יודע זאת, אין להאשימו כלל, כי מדובר במציאות שגם דעתנו אינה נוחה ממנה, ורק כדי שהעניין יתקיים היא מוצדקת. למי שאינו עוסק בכך עצם הרעיון זר, ובייחוד לאור מה שכתב </w:t>
      </w:r>
      <w:proofErr w:type="spellStart"/>
      <w:r>
        <w:rPr>
          <w:rtl/>
        </w:rPr>
        <w:t>הרא״ש</w:t>
      </w:r>
      <w:bookmarkStart w:id="3451" w:name="_fnr2537"/>
      <w:proofErr w:type="spellEnd"/>
      <w:r>
        <w:rPr>
          <w:rStyle w:val="a5"/>
        </w:rPr>
        <w:footnoteReference w:id="2544" w:customMarkFollows="0"/>
      </w:r>
      <w:bookmarkEnd w:id="3451"/>
      <w:r>
        <w:rPr>
          <w:rtl/>
        </w:rPr>
        <w:t xml:space="preserve">: ‘דרך בני אדם להסתיר הטוב ולגלות הרע’. משום כך אין פלא שבית זה עבר מאורעות קשים רבים, </w:t>
      </w:r>
      <w:r>
        <w:rPr>
          <w:b/>
          <w:bCs/>
          <w:rtl/>
        </w:rPr>
        <w:t>רבים מכדי לספר</w:t>
      </w:r>
      <w:r>
        <w:rPr>
          <w:rtl/>
        </w:rPr>
        <w:t xml:space="preserve"> (ההדגשות שלי)”.</w:t>
      </w:r>
    </w:p>
    <w:p w14:paraId="1BE95179" w14:textId="77777777" w:rsidR="00AB3647" w:rsidRDefault="00000000" w:rsidP="007923E9">
      <w:pPr>
        <w:spacing w:after="120" w:line="276" w:lineRule="auto"/>
        <w:ind w:firstLine="283"/>
        <w:jc w:val="both"/>
      </w:pPr>
      <w:r>
        <w:rPr>
          <w:rtl/>
        </w:rPr>
        <w:t>ייתכן שבמילים האחרונות, המודגשות, רמז הסבא מקלם שבית ספרו נאלץ לעזוב את קלם מפני שמישהו הלשין עליו לממשלה שהוא מתסיס למהפכה, כמו שנזכר</w:t>
      </w:r>
      <w:bookmarkStart w:id="3452" w:name="_fnr2538"/>
      <w:r>
        <w:rPr>
          <w:rStyle w:val="a5"/>
        </w:rPr>
        <w:footnoteReference w:id="2545" w:customMarkFollows="0"/>
      </w:r>
      <w:bookmarkEnd w:id="3452"/>
      <w:r>
        <w:rPr>
          <w:rtl/>
        </w:rPr>
        <w:t xml:space="preserve"> בפסקה הראשונה לעיל. השווה גם “כתבי הסבא”</w:t>
      </w:r>
      <w:bookmarkStart w:id="3453" w:name="_fnr2539"/>
      <w:r>
        <w:rPr>
          <w:rStyle w:val="a5"/>
        </w:rPr>
        <w:footnoteReference w:id="2546" w:customMarkFollows="0"/>
      </w:r>
      <w:bookmarkEnd w:id="3453"/>
      <w:r>
        <w:rPr>
          <w:rtl/>
        </w:rPr>
        <w:t>, שם משווה הסבא מקלם את ההתנגדות שנתקל בה למה שאירע עם “ספר מורה נבוכים” לרמב״ם. הוא גם מדמה את התוכנית שהנהיג בתלמוד תורה למה שקידם הרמב״ם בתשובה המובאת שם (“תשובות הרמב״ם”)</w:t>
      </w:r>
      <w:bookmarkStart w:id="3454" w:name="_fnr2540"/>
      <w:r>
        <w:rPr>
          <w:rStyle w:val="a5"/>
        </w:rPr>
        <w:footnoteReference w:id="2547" w:customMarkFollows="0"/>
      </w:r>
      <w:bookmarkEnd w:id="3454"/>
      <w:r>
        <w:rPr>
          <w:rtl/>
        </w:rPr>
        <w:t>.</w:t>
      </w:r>
    </w:p>
    <w:p w14:paraId="60E74B46" w14:textId="77C476A4" w:rsidR="00AB3647" w:rsidRDefault="00000000" w:rsidP="007923E9">
      <w:pPr>
        <w:spacing w:after="120" w:line="276" w:lineRule="auto"/>
        <w:ind w:firstLine="283"/>
        <w:jc w:val="both"/>
      </w:pPr>
      <w:bookmarkStart w:id="3455" w:name="pr_b_1519"/>
      <w:bookmarkEnd w:id="3455"/>
      <w:r>
        <w:rPr>
          <w:rtl/>
        </w:rPr>
        <w:t xml:space="preserve">ר׳ ישראל </w:t>
      </w:r>
      <w:proofErr w:type="spellStart"/>
      <w:r>
        <w:rPr>
          <w:rtl/>
        </w:rPr>
        <w:t>סלנטר</w:t>
      </w:r>
      <w:proofErr w:type="spellEnd"/>
      <w:r>
        <w:rPr>
          <w:rtl/>
        </w:rPr>
        <w:t xml:space="preserve"> מעולם לא ביקר בבתי הספר של תלמידו, לא </w:t>
      </w:r>
      <w:proofErr w:type="spellStart"/>
      <w:r>
        <w:rPr>
          <w:rtl/>
        </w:rPr>
        <w:t>בקלם</w:t>
      </w:r>
      <w:proofErr w:type="spellEnd"/>
      <w:r>
        <w:rPr>
          <w:rtl/>
        </w:rPr>
        <w:t xml:space="preserve"> ולא </w:t>
      </w:r>
      <w:proofErr w:type="spellStart"/>
      <w:r>
        <w:rPr>
          <w:rtl/>
        </w:rPr>
        <w:t>בגרובין</w:t>
      </w:r>
      <w:proofErr w:type="spellEnd"/>
      <w:r>
        <w:rPr>
          <w:rtl/>
        </w:rPr>
        <w:t xml:space="preserve">. כל עוד היה בית הספר </w:t>
      </w:r>
      <w:proofErr w:type="spellStart"/>
      <w:r>
        <w:rPr>
          <w:rtl/>
        </w:rPr>
        <w:t>בקלם</w:t>
      </w:r>
      <w:proofErr w:type="spellEnd"/>
      <w:r>
        <w:rPr>
          <w:rtl/>
        </w:rPr>
        <w:t>, נמנע בכוונה מלבוא לעיר, כדי שלא יידרש להיכנס אליו – שמא יתפרש הדבר כגושפנקה למוסד חינוך המשלב לימודי קודש וחול</w:t>
      </w:r>
      <w:bookmarkStart w:id="3456" w:name="_fnr2541"/>
      <w:r>
        <w:rPr>
          <w:rStyle w:val="a5"/>
        </w:rPr>
        <w:footnoteReference w:id="2548" w:customMarkFollows="0"/>
      </w:r>
      <w:bookmarkEnd w:id="3456"/>
      <w:r>
        <w:rPr>
          <w:rtl/>
        </w:rPr>
        <w:t xml:space="preserve">. במאמרו של הרב חיים </w:t>
      </w:r>
      <w:proofErr w:type="spellStart"/>
      <w:r>
        <w:rPr>
          <w:rtl/>
        </w:rPr>
        <w:t>קרלינסקי</w:t>
      </w:r>
      <w:proofErr w:type="spellEnd"/>
      <w:r>
        <w:rPr>
          <w:rtl/>
        </w:rPr>
        <w:t xml:space="preserve"> על קלם </w:t>
      </w:r>
      <w:proofErr w:type="spellStart"/>
      <w:r>
        <w:rPr>
          <w:rtl/>
        </w:rPr>
        <w:t>ב“ליטע</w:t>
      </w:r>
      <w:proofErr w:type="spellEnd"/>
      <w:r>
        <w:rPr>
          <w:rtl/>
        </w:rPr>
        <w:t>”</w:t>
      </w:r>
      <w:bookmarkStart w:id="3457" w:name="_fnr2542"/>
      <w:r>
        <w:rPr>
          <w:rStyle w:val="a5"/>
        </w:rPr>
        <w:footnoteReference w:id="2549" w:customMarkFollows="0"/>
      </w:r>
      <w:bookmarkEnd w:id="3457"/>
      <w:r>
        <w:rPr>
          <w:rtl/>
        </w:rPr>
        <w:t xml:space="preserve"> נאמר </w:t>
      </w:r>
      <w:proofErr w:type="spellStart"/>
      <w:r>
        <w:rPr>
          <w:rtl/>
        </w:rPr>
        <w:t>ש“ר</w:t>
      </w:r>
      <w:proofErr w:type="spellEnd"/>
      <w:r>
        <w:rPr>
          <w:rtl/>
        </w:rPr>
        <w:t xml:space="preserve">׳ לייב חסיד המקומי התערב במחלוקת [על ירושת הרבנות </w:t>
      </w:r>
      <w:proofErr w:type="spellStart"/>
      <w:r>
        <w:rPr>
          <w:rtl/>
        </w:rPr>
        <w:t>בקלם</w:t>
      </w:r>
      <w:proofErr w:type="spellEnd"/>
      <w:r>
        <w:rPr>
          <w:rtl/>
        </w:rPr>
        <w:t xml:space="preserve"> </w:t>
      </w:r>
      <w:proofErr w:type="spellStart"/>
      <w:r>
        <w:rPr>
          <w:rtl/>
        </w:rPr>
        <w:t>בתרל״ג</w:t>
      </w:r>
      <w:proofErr w:type="spellEnd"/>
      <w:r>
        <w:rPr>
          <w:rtl/>
        </w:rPr>
        <w:t xml:space="preserve"> או </w:t>
      </w:r>
      <w:proofErr w:type="spellStart"/>
      <w:r>
        <w:rPr>
          <w:rtl/>
        </w:rPr>
        <w:t>בתרל״ד</w:t>
      </w:r>
      <w:proofErr w:type="spellEnd"/>
      <w:r>
        <w:rPr>
          <w:rtl/>
        </w:rPr>
        <w:t xml:space="preserve">] ובצירוף התערבותו של ר׳ ישראל </w:t>
      </w:r>
      <w:proofErr w:type="spellStart"/>
      <w:r>
        <w:rPr>
          <w:rtl/>
        </w:rPr>
        <w:t>סלנטר</w:t>
      </w:r>
      <w:proofErr w:type="spellEnd"/>
      <w:r>
        <w:rPr>
          <w:rtl/>
        </w:rPr>
        <w:t xml:space="preserve"> הצליח ליישר את ההדורים בין הצדדים”, אבל אין בכך כדי ללמד שר׳ ישראל בא בפועל לעיר. ייתכן שפעל באמצעות הוראות לתלמידו הסבא מקלם, או בדרך יעילה אחרת. גם עם ר׳ לייב לא נפגש ר׳ ישראל אלא כעבור שמונה שנים, כפי שכתבתי בפסקה החמישית</w:t>
      </w:r>
      <w:r>
        <w:t xml:space="preserve"> </w:t>
      </w:r>
      <w:r>
        <w:rPr>
          <w:rtl/>
        </w:rPr>
        <w:t>ב</w:t>
      </w:r>
      <w:r>
        <w:rPr>
          <w:rtl/>
        </w:rPr>
        <w:fldChar w:fldCharType="begin" w:dirty="true"/>
      </w:r>
      <w:r>
        <w:rPr>
          <w:rtl/>
        </w:rPr>
        <w:instrText xml:space="preserve"> REF b3_excZ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כו</w:t>
      </w:r>
      <w:proofErr w:type="spellEnd"/>
      <w:r>
        <w:rPr>
          <w:rtl/>
        </w:rPr>
        <w:fldChar w:fldCharType="end"/>
      </w:r>
      <w:r>
        <w:rPr>
          <w:rtl/>
        </w:rPr>
        <w:t xml:space="preserve"> להלן.</w:t>
      </w:r>
    </w:p>
    <w:p w14:paraId="243F9EBD" w14:textId="77777777" w:rsidR="00AB3647" w:rsidRDefault="00000000" w:rsidP="007923E9">
      <w:pPr>
        <w:spacing w:after="120" w:line="276" w:lineRule="auto"/>
        <w:ind w:firstLine="283"/>
        <w:jc w:val="both"/>
      </w:pPr>
      <w:bookmarkStart w:id="3458" w:name="pr_close_b_2417"/>
      <w:bookmarkEnd w:id="3458"/>
      <w:r>
        <w:rPr>
          <w:rtl/>
        </w:rPr>
        <w:t xml:space="preserve">אבל נראה שתלמידו של ר׳ ישראל, ר׳ </w:t>
      </w:r>
      <w:proofErr w:type="spellStart"/>
      <w:r>
        <w:rPr>
          <w:rtl/>
        </w:rPr>
        <w:t>איצל׳ה</w:t>
      </w:r>
      <w:proofErr w:type="spellEnd"/>
      <w:r>
        <w:rPr>
          <w:rtl/>
        </w:rPr>
        <w:t xml:space="preserve"> </w:t>
      </w:r>
      <w:proofErr w:type="spellStart"/>
      <w:r>
        <w:rPr>
          <w:rtl/>
        </w:rPr>
        <w:t>בלאזר</w:t>
      </w:r>
      <w:proofErr w:type="spellEnd"/>
      <w:r>
        <w:rPr>
          <w:rtl/>
        </w:rPr>
        <w:t xml:space="preserve">, אכן ביקר בבית הספר של ידידו הקרוב – </w:t>
      </w:r>
      <w:proofErr w:type="spellStart"/>
      <w:r>
        <w:rPr>
          <w:rtl/>
        </w:rPr>
        <w:t>בקלם</w:t>
      </w:r>
      <w:proofErr w:type="spellEnd"/>
      <w:r>
        <w:rPr>
          <w:rtl/>
        </w:rPr>
        <w:t xml:space="preserve"> או </w:t>
      </w:r>
      <w:proofErr w:type="spellStart"/>
      <w:r>
        <w:rPr>
          <w:rtl/>
        </w:rPr>
        <w:t>בגרובין</w:t>
      </w:r>
      <w:proofErr w:type="spellEnd"/>
      <w:r>
        <w:rPr>
          <w:rtl/>
        </w:rPr>
        <w:t xml:space="preserve">, או בשניהם. בהקדמה </w:t>
      </w:r>
      <w:proofErr w:type="spellStart"/>
      <w:r>
        <w:rPr>
          <w:rtl/>
        </w:rPr>
        <w:t>ל“ספר</w:t>
      </w:r>
      <w:proofErr w:type="spellEnd"/>
      <w:r>
        <w:rPr>
          <w:rtl/>
        </w:rPr>
        <w:t xml:space="preserve"> פקוח נפש”</w:t>
      </w:r>
      <w:bookmarkStart w:id="3459" w:name="_fnr2543"/>
      <w:r>
        <w:rPr>
          <w:rStyle w:val="a5"/>
        </w:rPr>
        <w:footnoteReference w:id="2550" w:customMarkFollows="0"/>
      </w:r>
      <w:bookmarkEnd w:id="3459"/>
      <w:r>
        <w:rPr>
          <w:rtl/>
        </w:rPr>
        <w:t xml:space="preserve"> מתוארים ביקורו של ר׳ </w:t>
      </w:r>
      <w:proofErr w:type="spellStart"/>
      <w:r>
        <w:rPr>
          <w:rtl/>
        </w:rPr>
        <w:t>איצל׳ה</w:t>
      </w:r>
      <w:proofErr w:type="spellEnd"/>
      <w:r>
        <w:rPr>
          <w:rtl/>
        </w:rPr>
        <w:t xml:space="preserve"> ומבחן שערך לתלמידים במוסד שבו למד מחבר הספר קודם לבר מצווה. בית הספר היחיד שבו למד המחבר בילדותו ושבו יכול היה ר׳ </w:t>
      </w:r>
      <w:proofErr w:type="spellStart"/>
      <w:r>
        <w:rPr>
          <w:rtl/>
        </w:rPr>
        <w:t>איצל׳ה</w:t>
      </w:r>
      <w:proofErr w:type="spellEnd"/>
      <w:r>
        <w:rPr>
          <w:rtl/>
        </w:rPr>
        <w:t xml:space="preserve"> להופיע הוא התלמוד תורה של ר׳ </w:t>
      </w:r>
      <w:proofErr w:type="spellStart"/>
      <w:r>
        <w:rPr>
          <w:rtl/>
        </w:rPr>
        <w:t>שמחה־זיסל</w:t>
      </w:r>
      <w:proofErr w:type="spellEnd"/>
      <w:r>
        <w:rPr>
          <w:rtl/>
        </w:rPr>
        <w:t xml:space="preserve"> </w:t>
      </w:r>
      <w:proofErr w:type="spellStart"/>
      <w:r>
        <w:rPr>
          <w:rtl/>
        </w:rPr>
        <w:t>בקלם</w:t>
      </w:r>
      <w:proofErr w:type="spellEnd"/>
      <w:r>
        <w:rPr>
          <w:rtl/>
        </w:rPr>
        <w:t>. שם</w:t>
      </w:r>
      <w:bookmarkStart w:id="3460" w:name="_fnr2544"/>
      <w:r>
        <w:rPr>
          <w:rStyle w:val="a5"/>
        </w:rPr>
        <w:footnoteReference w:id="2551" w:customMarkFollows="0"/>
      </w:r>
      <w:bookmarkEnd w:id="3460"/>
      <w:r>
        <w:rPr>
          <w:rtl/>
        </w:rPr>
        <w:t xml:space="preserve"> למד המחבר, שנולד </w:t>
      </w:r>
      <w:proofErr w:type="spellStart"/>
      <w:r>
        <w:rPr>
          <w:rtl/>
        </w:rPr>
        <w:t>בתרכ״ז</w:t>
      </w:r>
      <w:proofErr w:type="spellEnd"/>
      <w:r>
        <w:rPr>
          <w:rtl/>
        </w:rPr>
        <w:t xml:space="preserve">, כשהיה בן תשע וכשהיה בן </w:t>
      </w:r>
      <w:proofErr w:type="spellStart"/>
      <w:r>
        <w:rPr>
          <w:rtl/>
        </w:rPr>
        <w:t>שתים־עשרה</w:t>
      </w:r>
      <w:proofErr w:type="spellEnd"/>
      <w:r>
        <w:rPr>
          <w:rtl/>
        </w:rPr>
        <w:t>.</w:t>
      </w:r>
    </w:p>
    <w:p w14:paraId="37B97820" w14:textId="77777777" w:rsidR="00AB3647" w:rsidRDefault="00000000" w:rsidP="007923E9">
      <w:pPr>
        <w:spacing w:after="120" w:line="276" w:lineRule="auto"/>
        <w:ind w:firstLine="283"/>
        <w:jc w:val="both"/>
      </w:pPr>
      <w:r>
        <w:rPr>
          <w:rtl/>
        </w:rPr>
        <w:t xml:space="preserve">עמדתו של ר׳ ישראל </w:t>
      </w:r>
      <w:proofErr w:type="spellStart"/>
      <w:r>
        <w:rPr>
          <w:rtl/>
        </w:rPr>
        <w:t>סלנטר</w:t>
      </w:r>
      <w:proofErr w:type="spellEnd"/>
      <w:r>
        <w:rPr>
          <w:rtl/>
        </w:rPr>
        <w:t xml:space="preserve"> עצמו מוגדרת בבירור באיגרת נוספת של הסבא מקלם, המובאת בספרו של כץ, “תנועת המוסר”, כרך ב</w:t>
      </w:r>
      <w:bookmarkStart w:id="3461" w:name="_fnr2545"/>
      <w:r>
        <w:rPr>
          <w:rStyle w:val="a5"/>
        </w:rPr>
        <w:footnoteReference w:id="2552" w:customMarkFollows="0"/>
      </w:r>
      <w:bookmarkEnd w:id="3461"/>
      <w:r>
        <w:rPr>
          <w:rtl/>
        </w:rPr>
        <w:t xml:space="preserve">: “הייתי מוכרח להרבות בלימוד המוסר, </w:t>
      </w:r>
      <w:r>
        <w:rPr>
          <w:rtl/>
        </w:rPr>
        <w:lastRenderedPageBreak/>
        <w:t xml:space="preserve">שכן היה הכרח ללמוד עניינים אחרים – כמה חכמות [חול], אשר, כפי שלימדנו הניסיון וכידוע, הנערים תמיד התקלקלו מהן – עד כדי כך שר׳ ישראל לא רצה לבקר בבית הלימוד ולהיקרא עליו, כדי שלא תצא ממנו הוראה שהוא ציווה ללמוד חכמות אחרות. הוא אמר לי במפורש שרק </w:t>
      </w:r>
      <w:r>
        <w:rPr>
          <w:b/>
          <w:bCs/>
          <w:rtl/>
        </w:rPr>
        <w:t>כאשר אני שם</w:t>
      </w:r>
      <w:r>
        <w:rPr>
          <w:rtl/>
        </w:rPr>
        <w:t xml:space="preserve"> (ההדגשה שלי) ומנהל את העניין על פי המוסר ויראת ה׳, הדבר ראוי; אבל חס ושלום בלי הנהגה כזאת, חס ושלום, יצא עגל</w:t>
      </w:r>
      <w:bookmarkStart w:id="3462" w:name="_fnr2546"/>
      <w:r>
        <w:rPr>
          <w:rStyle w:val="a5"/>
        </w:rPr>
        <w:footnoteReference w:id="2553" w:customMarkFollows="0"/>
      </w:r>
      <w:bookmarkEnd w:id="3462"/>
      <w:r>
        <w:rPr>
          <w:rtl/>
        </w:rPr>
        <w:t>. לכן הייתי מוכרח להרבות במוסר”.</w:t>
      </w:r>
    </w:p>
    <w:p w14:paraId="614237B1" w14:textId="77777777" w:rsidR="00AB3647" w:rsidRDefault="00000000" w:rsidP="007923E9">
      <w:pPr>
        <w:spacing w:after="120" w:line="276" w:lineRule="auto"/>
        <w:ind w:firstLine="283"/>
        <w:jc w:val="both"/>
      </w:pPr>
      <w:r>
        <w:rPr>
          <w:rtl/>
        </w:rPr>
        <w:t xml:space="preserve">בדרך מחוכמת ממשיך ר׳ </w:t>
      </w:r>
      <w:proofErr w:type="spellStart"/>
      <w:r>
        <w:rPr>
          <w:rtl/>
        </w:rPr>
        <w:t>שמחה־זיסל</w:t>
      </w:r>
      <w:proofErr w:type="spellEnd"/>
      <w:r>
        <w:rPr>
          <w:rtl/>
        </w:rPr>
        <w:t xml:space="preserve"> ומחיל על תוכניתו החינוכית גישה שהנחתה את חז״ל בהלכות פרה אדומה</w:t>
      </w:r>
      <w:bookmarkStart w:id="3463" w:name="_fnr2547"/>
      <w:r>
        <w:rPr>
          <w:rStyle w:val="a5"/>
        </w:rPr>
        <w:footnoteReference w:id="2554" w:customMarkFollows="0"/>
      </w:r>
      <w:bookmarkEnd w:id="3463"/>
      <w:r>
        <w:rPr>
          <w:rtl/>
        </w:rPr>
        <w:t>. המשנה</w:t>
      </w:r>
      <w:bookmarkStart w:id="3464" w:name="_fnr2548"/>
      <w:r>
        <w:rPr>
          <w:rStyle w:val="a5"/>
        </w:rPr>
        <w:footnoteReference w:id="2555" w:customMarkFollows="0"/>
      </w:r>
      <w:bookmarkEnd w:id="3464"/>
      <w:r>
        <w:rPr>
          <w:rtl/>
        </w:rPr>
        <w:t xml:space="preserve"> אומרת שהצדוקים החמירו מאוד ואסרו על כהן שנטמא וטבל במקווה להשתתף בעבודת הפרה האדומה עד למחרת, כי לדעתם לא היה כהן כזה טהור די צורכו – כשם שהוא נחשב טמא לעניין אכילת תרומה ונגיעה בה. כדי “להוציא מלבן של צדוקים”, היו חז״ל מטמאים דווקא את הכהן שנבחר לעבודת הפרה, מטבילים אותו במקווה, ועושים את העבודה באותו יום</w:t>
      </w:r>
      <w:bookmarkStart w:id="3465" w:name="_fnr2549"/>
      <w:r>
        <w:rPr>
          <w:rStyle w:val="a5"/>
        </w:rPr>
        <w:footnoteReference w:id="2556" w:customMarkFollows="0"/>
      </w:r>
      <w:bookmarkEnd w:id="3465"/>
      <w:r>
        <w:rPr>
          <w:rtl/>
        </w:rPr>
        <w:t>. אבל מאחר שהעבודה נעשתה עתה מתוך “זלזול” בטהרה – אף שלא היה בו פסול – הטילו חז״ל באותה שעה גם חומרות אחרות, שלא היו</w:t>
      </w:r>
      <w:r>
        <w:t xml:space="preserve"> </w:t>
      </w:r>
      <w:r>
        <w:rPr>
          <w:rtl/>
        </w:rPr>
        <w:t>נחוצות, בעבודת הפרה האדומה</w:t>
      </w:r>
      <w:bookmarkStart w:id="3466" w:name="_fnr2550"/>
      <w:r>
        <w:rPr>
          <w:rStyle w:val="a5"/>
        </w:rPr>
        <w:footnoteReference w:id="2557" w:customMarkFollows="0"/>
      </w:r>
      <w:bookmarkEnd w:id="3466"/>
      <w:r>
        <w:rPr>
          <w:rtl/>
        </w:rPr>
        <w:t xml:space="preserve">. בדומה לכך, אומר הסבא מקלם: מפני </w:t>
      </w:r>
      <w:proofErr w:type="spellStart"/>
      <w:r>
        <w:rPr>
          <w:rtl/>
        </w:rPr>
        <w:t>ה“זלזול</w:t>
      </w:r>
      <w:proofErr w:type="spellEnd"/>
      <w:r>
        <w:rPr>
          <w:rtl/>
        </w:rPr>
        <w:t xml:space="preserve">” בתוכנית החינוך האידיאלית, שלא היו נכללים בה לימודי חול כלל – זלזול שראה בו צורך, מכל טעם שהוא, בתלמוד תורה </w:t>
      </w:r>
      <w:proofErr w:type="spellStart"/>
      <w:r>
        <w:rPr>
          <w:rtl/>
        </w:rPr>
        <w:t>בקלם</w:t>
      </w:r>
      <w:proofErr w:type="spellEnd"/>
      <w:r>
        <w:rPr>
          <w:rtl/>
        </w:rPr>
        <w:t xml:space="preserve"> (“משום </w:t>
      </w:r>
      <w:proofErr w:type="spellStart"/>
      <w:r>
        <w:rPr>
          <w:rtl/>
        </w:rPr>
        <w:t>ה‘זלזול</w:t>
      </w:r>
      <w:proofErr w:type="spellEnd"/>
      <w:r>
        <w:rPr>
          <w:rtl/>
        </w:rPr>
        <w:t xml:space="preserve">’ של הכנסת לימודי חול”) – “היה צריך להרבות במוסר יתר על </w:t>
      </w:r>
      <w:proofErr w:type="spellStart"/>
      <w:r>
        <w:rPr>
          <w:rtl/>
        </w:rPr>
        <w:t>המדה</w:t>
      </w:r>
      <w:proofErr w:type="spellEnd"/>
      <w:r>
        <w:rPr>
          <w:rtl/>
        </w:rPr>
        <w:t>”</w:t>
      </w:r>
      <w:bookmarkStart w:id="3467" w:name="_fnr2551"/>
      <w:r>
        <w:rPr>
          <w:rStyle w:val="a5"/>
        </w:rPr>
        <w:footnoteReference w:id="2558" w:customMarkFollows="0"/>
      </w:r>
      <w:bookmarkEnd w:id="3467"/>
      <w:r>
        <w:rPr>
          <w:rtl/>
        </w:rPr>
        <w:t>.</w:t>
      </w:r>
    </w:p>
    <w:p w14:paraId="445F79DC" w14:textId="77777777" w:rsidR="00AB3647" w:rsidRDefault="00000000" w:rsidP="007923E9">
      <w:pPr>
        <w:spacing w:after="120" w:line="276" w:lineRule="auto"/>
        <w:ind w:firstLine="283"/>
        <w:jc w:val="both"/>
      </w:pPr>
      <w:r>
        <w:rPr>
          <w:rtl/>
        </w:rPr>
        <w:t xml:space="preserve">באיגרת מיום כ״ד באלול תשנ״ד כתב לי פרופ׳ מרדכי </w:t>
      </w:r>
      <w:proofErr w:type="spellStart"/>
      <w:r>
        <w:rPr>
          <w:rtl/>
        </w:rPr>
        <w:t>ברויאר</w:t>
      </w:r>
      <w:proofErr w:type="spellEnd"/>
      <w:r>
        <w:rPr>
          <w:rtl/>
        </w:rPr>
        <w:t xml:space="preserve"> </w:t>
      </w:r>
      <w:proofErr w:type="spellStart"/>
      <w:r>
        <w:rPr>
          <w:rtl/>
        </w:rPr>
        <w:t>ש“פרופסור</w:t>
      </w:r>
      <w:proofErr w:type="spellEnd"/>
      <w:r>
        <w:rPr>
          <w:rtl/>
        </w:rPr>
        <w:t xml:space="preserve"> דוב היימן, הבקי מאוד בישיבות הליטאיות”, סיפר לו </w:t>
      </w:r>
      <w:proofErr w:type="spellStart"/>
      <w:r>
        <w:rPr>
          <w:rtl/>
        </w:rPr>
        <w:t>ש“ר</w:t>
      </w:r>
      <w:proofErr w:type="spellEnd"/>
      <w:r>
        <w:rPr>
          <w:rtl/>
        </w:rPr>
        <w:t xml:space="preserve">׳ </w:t>
      </w:r>
      <w:proofErr w:type="spellStart"/>
      <w:r>
        <w:rPr>
          <w:rtl/>
        </w:rPr>
        <w:t>שמחה־זיסל</w:t>
      </w:r>
      <w:proofErr w:type="spellEnd"/>
      <w:r>
        <w:rPr>
          <w:rtl/>
        </w:rPr>
        <w:t xml:space="preserve"> אמר פעם למישהו: ‘אין </w:t>
      </w:r>
      <w:proofErr w:type="spellStart"/>
      <w:r>
        <w:rPr>
          <w:rtl/>
        </w:rPr>
        <w:t>דעם</w:t>
      </w:r>
      <w:proofErr w:type="spellEnd"/>
      <w:r>
        <w:rPr>
          <w:rtl/>
        </w:rPr>
        <w:t xml:space="preserve"> עולם האמת </w:t>
      </w:r>
      <w:proofErr w:type="spellStart"/>
      <w:r>
        <w:rPr>
          <w:rtl/>
        </w:rPr>
        <w:t>וועט</w:t>
      </w:r>
      <w:proofErr w:type="spellEnd"/>
      <w:r>
        <w:rPr>
          <w:rtl/>
        </w:rPr>
        <w:t xml:space="preserve"> מען </w:t>
      </w:r>
      <w:proofErr w:type="spellStart"/>
      <w:r>
        <w:rPr>
          <w:rtl/>
        </w:rPr>
        <w:t>מיר</w:t>
      </w:r>
      <w:proofErr w:type="spellEnd"/>
      <w:r>
        <w:rPr>
          <w:rtl/>
        </w:rPr>
        <w:t xml:space="preserve"> </w:t>
      </w:r>
      <w:proofErr w:type="spellStart"/>
      <w:r>
        <w:rPr>
          <w:rtl/>
        </w:rPr>
        <w:t>שמייסען</w:t>
      </w:r>
      <w:proofErr w:type="spellEnd"/>
      <w:r>
        <w:rPr>
          <w:rtl/>
        </w:rPr>
        <w:t xml:space="preserve"> פאר </w:t>
      </w:r>
      <w:proofErr w:type="spellStart"/>
      <w:r>
        <w:rPr>
          <w:rtl/>
        </w:rPr>
        <w:t>דעם</w:t>
      </w:r>
      <w:proofErr w:type="spellEnd"/>
      <w:r>
        <w:rPr>
          <w:rtl/>
        </w:rPr>
        <w:t xml:space="preserve"> </w:t>
      </w:r>
      <w:proofErr w:type="spellStart"/>
      <w:r>
        <w:rPr>
          <w:rtl/>
        </w:rPr>
        <w:t>וואס</w:t>
      </w:r>
      <w:proofErr w:type="spellEnd"/>
      <w:r>
        <w:rPr>
          <w:rtl/>
        </w:rPr>
        <w:t xml:space="preserve"> איך האב </w:t>
      </w:r>
      <w:proofErr w:type="spellStart"/>
      <w:r>
        <w:rPr>
          <w:rtl/>
        </w:rPr>
        <w:t>געטאהן</w:t>
      </w:r>
      <w:proofErr w:type="spellEnd"/>
      <w:r>
        <w:rPr>
          <w:rtl/>
        </w:rPr>
        <w:t xml:space="preserve"> אין </w:t>
      </w:r>
      <w:proofErr w:type="spellStart"/>
      <w:r>
        <w:rPr>
          <w:rtl/>
        </w:rPr>
        <w:t>קעלעם</w:t>
      </w:r>
      <w:proofErr w:type="spellEnd"/>
      <w:r>
        <w:rPr>
          <w:rtl/>
        </w:rPr>
        <w:t xml:space="preserve"> און אין </w:t>
      </w:r>
      <w:proofErr w:type="spellStart"/>
      <w:r>
        <w:rPr>
          <w:rtl/>
        </w:rPr>
        <w:t>גרובין</w:t>
      </w:r>
      <w:proofErr w:type="spellEnd"/>
      <w:r>
        <w:rPr>
          <w:rtl/>
        </w:rPr>
        <w:t xml:space="preserve">’ [בעולם האמת ילקו אותי על מה שעשיתי </w:t>
      </w:r>
      <w:proofErr w:type="spellStart"/>
      <w:r>
        <w:rPr>
          <w:rtl/>
        </w:rPr>
        <w:t>בקלם</w:t>
      </w:r>
      <w:proofErr w:type="spellEnd"/>
      <w:r>
        <w:rPr>
          <w:rtl/>
        </w:rPr>
        <w:t xml:space="preserve"> </w:t>
      </w:r>
      <w:proofErr w:type="spellStart"/>
      <w:r>
        <w:rPr>
          <w:rtl/>
        </w:rPr>
        <w:t>ובגרובין</w:t>
      </w:r>
      <w:proofErr w:type="spellEnd"/>
      <w:r>
        <w:rPr>
          <w:rtl/>
        </w:rPr>
        <w:t xml:space="preserve">]”. ר׳ דוב נפטר בטרם הייתה לי הזדמנות לשאול אותו היכן שמע זאת, אבל ייתכן בהחלט שהסבא מקלם לא היה שלם לגמרי עם </w:t>
      </w:r>
      <w:proofErr w:type="spellStart"/>
      <w:r>
        <w:rPr>
          <w:rtl/>
        </w:rPr>
        <w:t>ה“זלזול</w:t>
      </w:r>
      <w:proofErr w:type="spellEnd"/>
      <w:r>
        <w:rPr>
          <w:rtl/>
        </w:rPr>
        <w:t>” שהודה בו – הכנסת לימודי חול לתוכניתו החינוכית</w:t>
      </w:r>
      <w:bookmarkStart w:id="3468" w:name="_fnr2552"/>
      <w:r>
        <w:rPr>
          <w:rStyle w:val="a5"/>
        </w:rPr>
        <w:footnoteReference w:id="2559" w:customMarkFollows="0"/>
      </w:r>
      <w:bookmarkEnd w:id="3468"/>
      <w:r>
        <w:rPr>
          <w:rtl/>
        </w:rPr>
        <w:t>.</w:t>
      </w:r>
    </w:p>
    <w:p w14:paraId="1DD2D0BB" w14:textId="77777777" w:rsidR="00AB3647" w:rsidRDefault="00000000" w:rsidP="007923E9">
      <w:pPr>
        <w:spacing w:after="120" w:line="276" w:lineRule="auto"/>
        <w:ind w:firstLine="283"/>
        <w:jc w:val="both"/>
      </w:pPr>
      <w:r>
        <w:rPr>
          <w:rtl/>
        </w:rPr>
        <w:t xml:space="preserve">הסתייגותו של ר׳ ישראל מבית הספר החדשני אולי אף הביאה אותו להימנע מלהדריך את הסבא מקלם בבעיות שהתעוררו במוסד. השווה את איגרת ר׳ </w:t>
      </w:r>
      <w:proofErr w:type="spellStart"/>
      <w:r>
        <w:rPr>
          <w:rtl/>
        </w:rPr>
        <w:t>שמחה־זיסל</w:t>
      </w:r>
      <w:proofErr w:type="spellEnd"/>
      <w:r>
        <w:rPr>
          <w:rtl/>
        </w:rPr>
        <w:t xml:space="preserve"> </w:t>
      </w:r>
      <w:proofErr w:type="spellStart"/>
      <w:r>
        <w:rPr>
          <w:rtl/>
        </w:rPr>
        <w:t>לר</w:t>
      </w:r>
      <w:proofErr w:type="spellEnd"/>
      <w:r>
        <w:rPr>
          <w:rtl/>
        </w:rPr>
        <w:t xml:space="preserve">׳ </w:t>
      </w:r>
      <w:proofErr w:type="spellStart"/>
      <w:r>
        <w:rPr>
          <w:rtl/>
        </w:rPr>
        <w:t>איצל׳ה</w:t>
      </w:r>
      <w:proofErr w:type="spellEnd"/>
      <w:r>
        <w:rPr>
          <w:rtl/>
        </w:rPr>
        <w:t xml:space="preserve"> </w:t>
      </w:r>
      <w:proofErr w:type="spellStart"/>
      <w:r>
        <w:rPr>
          <w:rtl/>
        </w:rPr>
        <w:t>בלאזר</w:t>
      </w:r>
      <w:proofErr w:type="spellEnd"/>
      <w:r>
        <w:rPr>
          <w:rtl/>
        </w:rPr>
        <w:t xml:space="preserve"> </w:t>
      </w:r>
      <w:proofErr w:type="spellStart"/>
      <w:r>
        <w:rPr>
          <w:rtl/>
        </w:rPr>
        <w:t>ולר</w:t>
      </w:r>
      <w:proofErr w:type="spellEnd"/>
      <w:r>
        <w:rPr>
          <w:rtl/>
        </w:rPr>
        <w:t xml:space="preserve">׳ </w:t>
      </w:r>
      <w:proofErr w:type="spellStart"/>
      <w:r>
        <w:rPr>
          <w:rtl/>
        </w:rPr>
        <w:t>אברמצ׳יק</w:t>
      </w:r>
      <w:proofErr w:type="spellEnd"/>
      <w:r>
        <w:rPr>
          <w:rtl/>
        </w:rPr>
        <w:t xml:space="preserve"> שנקר (</w:t>
      </w:r>
      <w:proofErr w:type="spellStart"/>
      <w:r>
        <w:rPr>
          <w:rtl/>
        </w:rPr>
        <w:t>טאנס</w:t>
      </w:r>
      <w:proofErr w:type="spellEnd"/>
      <w:r>
        <w:rPr>
          <w:rtl/>
        </w:rPr>
        <w:t xml:space="preserve">), המובאת </w:t>
      </w:r>
      <w:proofErr w:type="spellStart"/>
      <w:r>
        <w:rPr>
          <w:rtl/>
        </w:rPr>
        <w:t>ב“כוכבי</w:t>
      </w:r>
      <w:proofErr w:type="spellEnd"/>
      <w:r>
        <w:rPr>
          <w:rtl/>
        </w:rPr>
        <w:t xml:space="preserve"> אור”</w:t>
      </w:r>
      <w:bookmarkStart w:id="3469" w:name="_fnr2553"/>
      <w:r>
        <w:rPr>
          <w:rStyle w:val="a5"/>
        </w:rPr>
        <w:footnoteReference w:id="2560" w:customMarkFollows="0"/>
      </w:r>
      <w:bookmarkEnd w:id="3469"/>
      <w:r>
        <w:rPr>
          <w:rtl/>
        </w:rPr>
        <w:t xml:space="preserve">. בה הוא מתלונן במרירות שר׳ ישראל לא השיב לשאלות על המוסד שהפנה אליו בפריז, “ונראה” היה </w:t>
      </w:r>
      <w:proofErr w:type="spellStart"/>
      <w:r>
        <w:rPr>
          <w:rtl/>
        </w:rPr>
        <w:t>לר</w:t>
      </w:r>
      <w:proofErr w:type="spellEnd"/>
      <w:r>
        <w:rPr>
          <w:rtl/>
        </w:rPr>
        <w:t xml:space="preserve">׳ </w:t>
      </w:r>
      <w:proofErr w:type="spellStart"/>
      <w:r>
        <w:rPr>
          <w:rtl/>
        </w:rPr>
        <w:t>שמחה־זיסל</w:t>
      </w:r>
      <w:proofErr w:type="spellEnd"/>
      <w:r>
        <w:rPr>
          <w:rtl/>
        </w:rPr>
        <w:t xml:space="preserve"> “שר׳ </w:t>
      </w:r>
      <w:r>
        <w:rPr>
          <w:rtl/>
        </w:rPr>
        <w:lastRenderedPageBreak/>
        <w:t xml:space="preserve">ישראל אינו רוצה להיפגש עמו, והסבא מקלם חושש שיש [לרבו] איזו ביקורת ש[ר׳ </w:t>
      </w:r>
      <w:proofErr w:type="spellStart"/>
      <w:r>
        <w:rPr>
          <w:rtl/>
        </w:rPr>
        <w:t>איצל׳ה</w:t>
      </w:r>
      <w:proofErr w:type="spellEnd"/>
      <w:r>
        <w:rPr>
          <w:rtl/>
        </w:rPr>
        <w:t xml:space="preserve"> </w:t>
      </w:r>
      <w:proofErr w:type="spellStart"/>
      <w:r>
        <w:rPr>
          <w:rtl/>
        </w:rPr>
        <w:t>בלאזר</w:t>
      </w:r>
      <w:proofErr w:type="spellEnd"/>
      <w:r>
        <w:rPr>
          <w:rtl/>
        </w:rPr>
        <w:t xml:space="preserve"> והרב שנקר] מעלימים ממנו”. הוא מפציר בהם להודיע לו מה המצב בשבוע הבא, “בעוד [הוא, זיו] </w:t>
      </w:r>
      <w:proofErr w:type="spellStart"/>
      <w:r>
        <w:rPr>
          <w:rtl/>
        </w:rPr>
        <w:t>בגרובין</w:t>
      </w:r>
      <w:proofErr w:type="spellEnd"/>
      <w:r>
        <w:rPr>
          <w:rtl/>
        </w:rPr>
        <w:t xml:space="preserve"> (ולא חזר לביתו [</w:t>
      </w:r>
      <w:proofErr w:type="spellStart"/>
      <w:r>
        <w:rPr>
          <w:rtl/>
        </w:rPr>
        <w:t>בקלם</w:t>
      </w:r>
      <w:proofErr w:type="spellEnd"/>
      <w:r>
        <w:rPr>
          <w:rtl/>
        </w:rPr>
        <w:t>], בשעה שבית הספר בחופשה</w:t>
      </w:r>
      <w:r>
        <w:t xml:space="preserve"> </w:t>
      </w:r>
      <w:r>
        <w:rPr>
          <w:rtl/>
        </w:rPr>
        <w:t>עד לאחר סוכות)”, ולא להסתיר ממנו דבר.</w:t>
      </w:r>
    </w:p>
    <w:p w14:paraId="3B9E4750" w14:textId="77777777" w:rsidR="00AB3647" w:rsidRDefault="00000000" w:rsidP="007923E9">
      <w:pPr>
        <w:spacing w:after="120" w:line="276" w:lineRule="auto"/>
        <w:ind w:firstLine="283"/>
        <w:jc w:val="both"/>
      </w:pPr>
      <w:r>
        <w:rPr>
          <w:rtl/>
        </w:rPr>
        <w:t>השווה גם כץ, “תנועת המוסר”, כרך ב</w:t>
      </w:r>
      <w:bookmarkStart w:id="3470" w:name="_fnr2554"/>
      <w:r>
        <w:rPr>
          <w:rStyle w:val="a5"/>
        </w:rPr>
        <w:footnoteReference w:id="2561" w:customMarkFollows="0"/>
      </w:r>
      <w:bookmarkEnd w:id="3470"/>
      <w:r>
        <w:rPr>
          <w:rtl/>
        </w:rPr>
        <w:t xml:space="preserve">, על </w:t>
      </w:r>
      <w:r>
        <w:rPr>
          <w:b/>
          <w:bCs/>
          <w:rtl/>
        </w:rPr>
        <w:t>מסורת</w:t>
      </w:r>
      <w:r>
        <w:rPr>
          <w:rtl/>
        </w:rPr>
        <w:t xml:space="preserve"> שלפיה אמר ר׳ ישראל: “אפשר לסמוך על ר׳ </w:t>
      </w:r>
      <w:proofErr w:type="spellStart"/>
      <w:r>
        <w:rPr>
          <w:rtl/>
        </w:rPr>
        <w:t>שמחה־זיסל</w:t>
      </w:r>
      <w:proofErr w:type="spellEnd"/>
      <w:r>
        <w:rPr>
          <w:rtl/>
        </w:rPr>
        <w:t xml:space="preserve"> שיסגור את המוסד בלי היסוס אם יראה שאינו מצליח”</w:t>
      </w:r>
      <w:bookmarkStart w:id="3471" w:name="_fnr2555"/>
      <w:r>
        <w:rPr>
          <w:rStyle w:val="a5"/>
        </w:rPr>
        <w:footnoteReference w:id="2562" w:customMarkFollows="0"/>
      </w:r>
      <w:bookmarkEnd w:id="3471"/>
      <w:r>
        <w:rPr>
          <w:rtl/>
        </w:rPr>
        <w:t xml:space="preserve">. המסורת אינה מבהירה אם ר׳ ישראל התנה את היתרו לפתוח את בית הספר באפשרות זו של סגירתו, או שר׳ </w:t>
      </w:r>
      <w:proofErr w:type="spellStart"/>
      <w:r>
        <w:rPr>
          <w:rtl/>
        </w:rPr>
        <w:t>שמחה־זיסל</w:t>
      </w:r>
      <w:proofErr w:type="spellEnd"/>
      <w:r>
        <w:rPr>
          <w:rtl/>
        </w:rPr>
        <w:t xml:space="preserve"> הציע זאת מעצמו.</w:t>
      </w:r>
    </w:p>
    <w:p w14:paraId="42229670" w14:textId="77777777" w:rsidR="00AB3647" w:rsidRDefault="00000000" w:rsidP="007923E9">
      <w:pPr>
        <w:spacing w:after="120" w:line="276" w:lineRule="auto"/>
        <w:ind w:firstLine="283"/>
        <w:jc w:val="both"/>
      </w:pPr>
      <w:r>
        <w:rPr>
          <w:rtl/>
        </w:rPr>
        <w:t>על עמדתו של ר׳ ישראל כלפי בית ספרו של הסבא מקלם התעוררה כמעט מחלוקת בת זמננו. ר׳ זאב לב סיפר</w:t>
      </w:r>
      <w:bookmarkStart w:id="3472" w:name="_fnr2556"/>
      <w:r>
        <w:rPr>
          <w:rStyle w:val="a5"/>
        </w:rPr>
        <w:footnoteReference w:id="2563" w:customMarkFollows="0"/>
      </w:r>
      <w:bookmarkEnd w:id="3472"/>
      <w:r>
        <w:rPr>
          <w:rtl/>
        </w:rPr>
        <w:t xml:space="preserve"> שכאשר תכנן לפתוח את בית הספר הגבוה לטכנולוגיה בירושלים, בתחילת תש״ל, הביא לו ר׳ </w:t>
      </w:r>
      <w:proofErr w:type="spellStart"/>
      <w:r>
        <w:rPr>
          <w:rtl/>
        </w:rPr>
        <w:t>אלעזר־מנחם־מן</w:t>
      </w:r>
      <w:proofErr w:type="spellEnd"/>
      <w:r>
        <w:rPr>
          <w:rtl/>
        </w:rPr>
        <w:t xml:space="preserve"> שך את סירובו של ר׳ ישראל </w:t>
      </w:r>
      <w:proofErr w:type="spellStart"/>
      <w:r>
        <w:rPr>
          <w:rtl/>
        </w:rPr>
        <w:t>סלנטר</w:t>
      </w:r>
      <w:proofErr w:type="spellEnd"/>
      <w:r>
        <w:rPr>
          <w:rtl/>
        </w:rPr>
        <w:t xml:space="preserve"> לבקר בתלמוד תורה </w:t>
      </w:r>
      <w:proofErr w:type="spellStart"/>
      <w:r>
        <w:rPr>
          <w:rtl/>
        </w:rPr>
        <w:t>בגרובין</w:t>
      </w:r>
      <w:proofErr w:type="spellEnd"/>
      <w:r>
        <w:rPr>
          <w:rtl/>
        </w:rPr>
        <w:t xml:space="preserve"> כראיה שיש לאסור בית ספר שתוכניתו משלבת קודש וחול. אבל הרב שך הודה לדבריו כשהשיב הרב לב שעצם העובדה שהסבא מקלם </w:t>
      </w:r>
      <w:r>
        <w:rPr>
          <w:b/>
          <w:bCs/>
          <w:rtl/>
        </w:rPr>
        <w:t>פתח</w:t>
      </w:r>
      <w:r>
        <w:rPr>
          <w:rtl/>
        </w:rPr>
        <w:t xml:space="preserve"> את המוסד מלמדת שר׳ ישראל </w:t>
      </w:r>
      <w:r>
        <w:rPr>
          <w:b/>
          <w:bCs/>
          <w:rtl/>
        </w:rPr>
        <w:t>הסכים</w:t>
      </w:r>
      <w:r>
        <w:rPr>
          <w:rtl/>
        </w:rPr>
        <w:t xml:space="preserve"> למפעל כזה כשהוא נתון בידיים טובות</w:t>
      </w:r>
      <w:bookmarkStart w:id="3473" w:name="_fnr2557"/>
      <w:r>
        <w:rPr>
          <w:rStyle w:val="a5"/>
        </w:rPr>
        <w:footnoteReference w:id="2564" w:customMarkFollows="0"/>
      </w:r>
      <w:bookmarkEnd w:id="3473"/>
      <w:r>
        <w:rPr>
          <w:rtl/>
        </w:rPr>
        <w:t>.</w:t>
      </w:r>
    </w:p>
    <w:p w14:paraId="43F22060" w14:textId="77777777" w:rsidR="00AB3647" w:rsidRDefault="00000000" w:rsidP="007923E9">
      <w:pPr>
        <w:spacing w:after="120" w:line="276" w:lineRule="auto"/>
        <w:ind w:firstLine="283"/>
        <w:jc w:val="both"/>
      </w:pPr>
      <w:r>
        <w:rPr>
          <w:rtl/>
        </w:rPr>
        <w:t xml:space="preserve">לסיכום, ר׳ ישראל הסכים לבית הספר </w:t>
      </w:r>
      <w:proofErr w:type="spellStart"/>
      <w:r>
        <w:rPr>
          <w:rtl/>
        </w:rPr>
        <w:t>בגרובין</w:t>
      </w:r>
      <w:proofErr w:type="spellEnd"/>
      <w:r>
        <w:rPr>
          <w:rtl/>
        </w:rPr>
        <w:t xml:space="preserve"> כל עוד היה בידי אדם נאמן כר׳ </w:t>
      </w:r>
      <w:proofErr w:type="spellStart"/>
      <w:r>
        <w:rPr>
          <w:rtl/>
        </w:rPr>
        <w:t>שמחה־זיסל</w:t>
      </w:r>
      <w:proofErr w:type="spellEnd"/>
      <w:r>
        <w:rPr>
          <w:rtl/>
        </w:rPr>
        <w:t>, אבל בכל זאת לא רצה לתת לו אישור פומבי. הוא גם לא רצה להיות מעורב בפתרון בעיות מסוימות שהתעוררו לאחר הקמת בית הספר – בהנחה שהתעלמותו משאלות הסבא מקלם בקיץ האחרון לחייו הייתה מכוונת.</w:t>
      </w:r>
    </w:p>
    <w:p w14:paraId="3AD0ECF9" w14:textId="77777777" w:rsidR="00AB3647" w:rsidRDefault="00000000" w:rsidP="007923E9">
      <w:pPr>
        <w:spacing w:after="120" w:line="276" w:lineRule="auto"/>
        <w:ind w:firstLine="283"/>
        <w:jc w:val="both"/>
      </w:pPr>
      <w:r>
        <w:rPr>
          <w:rtl/>
        </w:rPr>
        <w:t xml:space="preserve">נראה שהסכמת בעלי המוסר לשילוב לימודי חול בתוכנית ישיבה, כפי שנעשה </w:t>
      </w:r>
      <w:proofErr w:type="spellStart"/>
      <w:r>
        <w:rPr>
          <w:rtl/>
        </w:rPr>
        <w:t>בגרובין</w:t>
      </w:r>
      <w:proofErr w:type="spellEnd"/>
      <w:r>
        <w:rPr>
          <w:rtl/>
        </w:rPr>
        <w:t xml:space="preserve"> למרות המחלוקת שעורר הדבר, עומדת ברקע איגרת בלתי מובנת של ר׳ שמשון רפאל הירש. הוא כתב אותה </w:t>
      </w:r>
      <w:proofErr w:type="spellStart"/>
      <w:r>
        <w:rPr>
          <w:rtl/>
        </w:rPr>
        <w:t>בתרמ״א</w:t>
      </w:r>
      <w:proofErr w:type="spellEnd"/>
      <w:r>
        <w:rPr>
          <w:rtl/>
        </w:rPr>
        <w:t xml:space="preserve"> – שנה לאחר שבית הספר </w:t>
      </w:r>
      <w:proofErr w:type="spellStart"/>
      <w:r>
        <w:rPr>
          <w:rtl/>
        </w:rPr>
        <w:t>בגרובין</w:t>
      </w:r>
      <w:proofErr w:type="spellEnd"/>
      <w:r>
        <w:rPr>
          <w:rtl/>
        </w:rPr>
        <w:t xml:space="preserve"> החל לפעול – לאחד מתומכי התורה, למען</w:t>
      </w:r>
      <w:r>
        <w:t xml:space="preserve"> </w:t>
      </w:r>
      <w:r>
        <w:rPr>
          <w:rtl/>
        </w:rPr>
        <w:t xml:space="preserve">מסע ההתרמה לכולל קובנה שניהל ר׳ </w:t>
      </w:r>
      <w:proofErr w:type="spellStart"/>
      <w:r>
        <w:rPr>
          <w:rtl/>
        </w:rPr>
        <w:t>אברמצ׳יק</w:t>
      </w:r>
      <w:proofErr w:type="spellEnd"/>
      <w:r>
        <w:rPr>
          <w:rtl/>
        </w:rPr>
        <w:t xml:space="preserve"> שנקר [</w:t>
      </w:r>
      <w:proofErr w:type="spellStart"/>
      <w:r>
        <w:rPr>
          <w:rtl/>
        </w:rPr>
        <w:t>טאנס</w:t>
      </w:r>
      <w:proofErr w:type="spellEnd"/>
      <w:r>
        <w:rPr>
          <w:rtl/>
        </w:rPr>
        <w:t>]</w:t>
      </w:r>
      <w:bookmarkStart w:id="3474" w:name="_fnr2558"/>
      <w:r>
        <w:rPr>
          <w:rStyle w:val="a5"/>
        </w:rPr>
        <w:footnoteReference w:id="2565" w:customMarkFollows="0"/>
      </w:r>
      <w:bookmarkEnd w:id="3474"/>
      <w:r>
        <w:rPr>
          <w:rtl/>
        </w:rPr>
        <w:t xml:space="preserve"> בפרנקפורט. ר׳ שמשון כתב: “מוסד זה מכשיר צעירים מובחרים להיות למדנים מצטיינים בתורה, ובו בזמן מקנה להם בקיאות בלשון הארץ ובענפי דעת אחרים החשובים להשכלתם הכללית. מוסד זה נראה ממש כישועת האמונה, שהייתה במשך שנים במצב של </w:t>
      </w:r>
      <w:r>
        <w:rPr>
          <w:b/>
          <w:bCs/>
          <w:rtl/>
        </w:rPr>
        <w:t>נסיגה מהירה באותה ממלכה גדולה</w:t>
      </w:r>
      <w:r>
        <w:rPr>
          <w:rtl/>
        </w:rPr>
        <w:t xml:space="preserve"> [ההדגשה שלי]</w:t>
      </w:r>
      <w:bookmarkStart w:id="3475" w:name="_fnr2559"/>
      <w:r>
        <w:rPr>
          <w:rStyle w:val="a5"/>
        </w:rPr>
        <w:footnoteReference w:id="2566" w:customMarkFollows="0"/>
      </w:r>
      <w:bookmarkEnd w:id="3475"/>
      <w:r>
        <w:rPr>
          <w:rtl/>
        </w:rPr>
        <w:t xml:space="preserve">. עם זאת, זהו המקרה הראשון, ועד עתה היחיד מסוגו, שבו גדולי הפוסקים והמצוינים בתורה וביראת ה׳, כרבנים אלה, מכריזים שלימוד לשון הארץ והמדע </w:t>
      </w:r>
      <w:r>
        <w:rPr>
          <w:rtl/>
        </w:rPr>
        <w:lastRenderedPageBreak/>
        <w:t>הכללי הוא דבר מותר ואף דבר שיש לשאוף אליו. בכך מתחזק היסוד שעליו מיוסדת גם קהילתנו, מול ההתקפות הניתכות עליה מכיוונים שונים, ובייחוד מאחינו במזרח אירופה”.</w:t>
      </w:r>
    </w:p>
    <w:p w14:paraId="7C1FEE16" w14:textId="77777777" w:rsidR="00AB3647" w:rsidRDefault="00000000" w:rsidP="007923E9">
      <w:pPr>
        <w:spacing w:after="120" w:line="276" w:lineRule="auto"/>
        <w:ind w:firstLine="283"/>
        <w:jc w:val="both"/>
      </w:pPr>
      <w:r>
        <w:rPr>
          <w:rtl/>
        </w:rPr>
        <w:t xml:space="preserve">את האיגרת הזאת תרגם מרדכי </w:t>
      </w:r>
      <w:proofErr w:type="spellStart"/>
      <w:r>
        <w:rPr>
          <w:rtl/>
        </w:rPr>
        <w:t>ברויאר</w:t>
      </w:r>
      <w:proofErr w:type="spellEnd"/>
      <w:r>
        <w:rPr>
          <w:rtl/>
        </w:rPr>
        <w:t xml:space="preserve"> מגרמנית לעברית והביאה </w:t>
      </w:r>
      <w:proofErr w:type="spellStart"/>
      <w:r>
        <w:rPr>
          <w:rtl/>
        </w:rPr>
        <w:t>ב“המעין</w:t>
      </w:r>
      <w:proofErr w:type="spellEnd"/>
      <w:r>
        <w:rPr>
          <w:rtl/>
        </w:rPr>
        <w:t>”</w:t>
      </w:r>
      <w:bookmarkStart w:id="3476" w:name="_fnr2560"/>
      <w:r>
        <w:rPr>
          <w:rStyle w:val="a5"/>
        </w:rPr>
        <w:footnoteReference w:id="2567" w:customMarkFollows="0"/>
      </w:r>
      <w:bookmarkEnd w:id="3476"/>
      <w:r>
        <w:rPr>
          <w:rtl/>
        </w:rPr>
        <w:t xml:space="preserve">, במאמר “שיטת תורה עם דרך ארץ במשנתו של </w:t>
      </w:r>
      <w:proofErr w:type="spellStart"/>
      <w:r>
        <w:rPr>
          <w:rtl/>
        </w:rPr>
        <w:t>רשר״ה</w:t>
      </w:r>
      <w:proofErr w:type="spellEnd"/>
      <w:r>
        <w:rPr>
          <w:rtl/>
        </w:rPr>
        <w:t xml:space="preserve">”, ושם הוא תמה על תיאורו המופלא של ר׳ רפאל הירש את תוכנית כולל קובנה. נושא שליחותו של הרב שנקר צדדי לעניין שבו עוסק ד״ר </w:t>
      </w:r>
      <w:proofErr w:type="spellStart"/>
      <w:r>
        <w:rPr>
          <w:rtl/>
        </w:rPr>
        <w:t>ברויאר</w:t>
      </w:r>
      <w:proofErr w:type="spellEnd"/>
      <w:r>
        <w:rPr>
          <w:rtl/>
        </w:rPr>
        <w:t xml:space="preserve">, ולכן הוא חותם את הדיון בהשערה </w:t>
      </w:r>
      <w:proofErr w:type="spellStart"/>
      <w:r>
        <w:rPr>
          <w:rtl/>
        </w:rPr>
        <w:t>ש“אפשר</w:t>
      </w:r>
      <w:proofErr w:type="spellEnd"/>
      <w:r>
        <w:rPr>
          <w:rtl/>
        </w:rPr>
        <w:t xml:space="preserve"> שהייתה כאן </w:t>
      </w:r>
      <w:proofErr w:type="spellStart"/>
      <w:r>
        <w:rPr>
          <w:rtl/>
        </w:rPr>
        <w:t>אי־הבנה</w:t>
      </w:r>
      <w:proofErr w:type="spellEnd"/>
      <w:r>
        <w:rPr>
          <w:rtl/>
        </w:rPr>
        <w:t>, ואולי גם ייפוי מצד ר׳ שמשון... בעקבות רמזים עמומים מצד הרב שנקר”.</w:t>
      </w:r>
    </w:p>
    <w:p w14:paraId="6FFDB5D4" w14:textId="77777777" w:rsidR="00AB3647" w:rsidRDefault="00000000" w:rsidP="007923E9">
      <w:pPr>
        <w:spacing w:after="120" w:line="276" w:lineRule="auto"/>
        <w:ind w:firstLine="283"/>
        <w:jc w:val="both"/>
      </w:pPr>
      <w:r>
        <w:rPr>
          <w:rtl/>
        </w:rPr>
        <w:t xml:space="preserve">ברוח הצעתו של ד״ר </w:t>
      </w:r>
      <w:proofErr w:type="spellStart"/>
      <w:r>
        <w:rPr>
          <w:rtl/>
        </w:rPr>
        <w:t>ברויאר</w:t>
      </w:r>
      <w:proofErr w:type="spellEnd"/>
      <w:r>
        <w:rPr>
          <w:rtl/>
        </w:rPr>
        <w:t xml:space="preserve"> – שדבר שאמר ר׳ </w:t>
      </w:r>
      <w:proofErr w:type="spellStart"/>
      <w:r>
        <w:rPr>
          <w:rtl/>
        </w:rPr>
        <w:t>אברמצ׳יק</w:t>
      </w:r>
      <w:proofErr w:type="spellEnd"/>
      <w:r>
        <w:rPr>
          <w:rtl/>
        </w:rPr>
        <w:t xml:space="preserve"> </w:t>
      </w:r>
      <w:r>
        <w:rPr>
          <w:b/>
          <w:bCs/>
          <w:rtl/>
        </w:rPr>
        <w:t>לא הובן</w:t>
      </w:r>
      <w:bookmarkStart w:id="3477" w:name="_fnr2561"/>
      <w:r>
        <w:rPr>
          <w:rStyle w:val="a5"/>
        </w:rPr>
        <w:footnoteReference w:id="2568" w:customMarkFollows="0"/>
      </w:r>
      <w:bookmarkEnd w:id="3477"/>
      <w:r>
        <w:rPr>
          <w:rtl/>
        </w:rPr>
        <w:t xml:space="preserve"> בידי ר׳ שמשון – נוכל להציע תיאור משוער של מה שאירע בפועל. ר׳ רפאל הירש הזכיר משום מה בשיחתו עם הרב שנקר לימודי חול, מתוך</w:t>
      </w:r>
      <w:r>
        <w:t xml:space="preserve"> </w:t>
      </w:r>
      <w:r>
        <w:rPr>
          <w:rtl/>
        </w:rPr>
        <w:t xml:space="preserve">הסכמה. ר׳ </w:t>
      </w:r>
      <w:proofErr w:type="spellStart"/>
      <w:r>
        <w:rPr>
          <w:rtl/>
        </w:rPr>
        <w:t>אברמצ׳יק</w:t>
      </w:r>
      <w:proofErr w:type="spellEnd"/>
      <w:r>
        <w:rPr>
          <w:rtl/>
        </w:rPr>
        <w:t xml:space="preserve"> תיאר אז את תוכנית </w:t>
      </w:r>
      <w:proofErr w:type="spellStart"/>
      <w:r>
        <w:rPr>
          <w:rtl/>
        </w:rPr>
        <w:t>גרובין</w:t>
      </w:r>
      <w:proofErr w:type="spellEnd"/>
      <w:r>
        <w:rPr>
          <w:rtl/>
        </w:rPr>
        <w:t xml:space="preserve">, והדגיש שלימודי החול שם זוכים לתמיכת </w:t>
      </w:r>
      <w:r>
        <w:rPr>
          <w:b/>
          <w:bCs/>
          <w:rtl/>
        </w:rPr>
        <w:t>אותם בעלי מוסר</w:t>
      </w:r>
      <w:r>
        <w:rPr>
          <w:rtl/>
        </w:rPr>
        <w:t xml:space="preserve">, “המצוינים בתורה וביראת ה׳”, העומדים בראש כולל קובנה, </w:t>
      </w:r>
      <w:r>
        <w:rPr>
          <w:b/>
          <w:bCs/>
          <w:rtl/>
        </w:rPr>
        <w:t>שלמענו הוא מתרים</w:t>
      </w:r>
      <w:r>
        <w:rPr>
          <w:rtl/>
        </w:rPr>
        <w:t xml:space="preserve">. ייתכן שהזכיר גם שאחד הפעילים החשובים בכולל, הסבא </w:t>
      </w:r>
      <w:proofErr w:type="spellStart"/>
      <w:r>
        <w:rPr>
          <w:rtl/>
        </w:rPr>
        <w:t>מסלבודקה</w:t>
      </w:r>
      <w:proofErr w:type="spellEnd"/>
      <w:r>
        <w:rPr>
          <w:rtl/>
        </w:rPr>
        <w:t xml:space="preserve">, לימד פעם </w:t>
      </w:r>
      <w:proofErr w:type="spellStart"/>
      <w:r>
        <w:rPr>
          <w:rtl/>
        </w:rPr>
        <w:t>בגרובין</w:t>
      </w:r>
      <w:proofErr w:type="spellEnd"/>
      <w:r>
        <w:rPr>
          <w:rtl/>
        </w:rPr>
        <w:t xml:space="preserve">, ושהרב </w:t>
      </w:r>
      <w:proofErr w:type="spellStart"/>
      <w:r>
        <w:rPr>
          <w:rtl/>
        </w:rPr>
        <w:t>בלאזר</w:t>
      </w:r>
      <w:proofErr w:type="spellEnd"/>
      <w:r>
        <w:rPr>
          <w:rtl/>
        </w:rPr>
        <w:t xml:space="preserve">, דמות מוסר חשובה נוספת, ביקר שם, ובכך רמז להסכמתו לתוכניתה – אם אכן ביקר ר׳ </w:t>
      </w:r>
      <w:proofErr w:type="spellStart"/>
      <w:r>
        <w:rPr>
          <w:rtl/>
        </w:rPr>
        <w:t>איצל׳ה</w:t>
      </w:r>
      <w:proofErr w:type="spellEnd"/>
      <w:r>
        <w:rPr>
          <w:rtl/>
        </w:rPr>
        <w:t xml:space="preserve"> </w:t>
      </w:r>
      <w:proofErr w:type="spellStart"/>
      <w:r>
        <w:rPr>
          <w:rtl/>
        </w:rPr>
        <w:t>בלאזר</w:t>
      </w:r>
      <w:proofErr w:type="spellEnd"/>
      <w:r>
        <w:rPr>
          <w:rtl/>
        </w:rPr>
        <w:t xml:space="preserve"> לא רק בתלמוד תורה </w:t>
      </w:r>
      <w:proofErr w:type="spellStart"/>
      <w:r>
        <w:rPr>
          <w:rtl/>
        </w:rPr>
        <w:t>בקלם</w:t>
      </w:r>
      <w:proofErr w:type="spellEnd"/>
      <w:r>
        <w:rPr>
          <w:rtl/>
        </w:rPr>
        <w:t xml:space="preserve"> אלא גם בבית הספר </w:t>
      </w:r>
      <w:proofErr w:type="spellStart"/>
      <w:r>
        <w:rPr>
          <w:rtl/>
        </w:rPr>
        <w:t>בגרובין</w:t>
      </w:r>
      <w:proofErr w:type="spellEnd"/>
      <w:r>
        <w:rPr>
          <w:rtl/>
        </w:rPr>
        <w:t xml:space="preserve">, כפי שהוצע לעיל (עמ׳ </w:t>
      </w:r>
      <w:r>
        <w:rPr>
          <w:rtl/>
        </w:rPr>
        <w:fldChar w:fldCharType="begin" w:dirty="true"/>
      </w:r>
      <w:r>
        <w:rPr>
          <w:rtl/>
        </w:rPr>
        <w:instrText xml:space="preserve"> PAGEREF pr_close_b_2417 \h </w:instrText>
      </w:r>
      <w:r>
        <w:rPr>
          <w:rtl/>
        </w:rPr>
      </w:r>
      <w:r>
        <w:rPr>
          <w:rtl/>
        </w:rPr>
        <w:fldChar w:fldCharType="separate"/>
      </w:r>
      <w:r w:rsidR="007923E9">
        <w:rPr>
          <w:noProof/>
          <w:rtl/>
        </w:rPr>
        <w:t>1</w:t>
      </w:r>
      <w:r>
        <w:rPr>
          <w:rtl/>
        </w:rPr>
        <w:fldChar w:fldCharType="end"/>
      </w:r>
      <w:r>
        <w:rPr>
          <w:rtl/>
        </w:rPr>
        <w:t>).</w:t>
      </w:r>
    </w:p>
    <w:p w14:paraId="73357F52" w14:textId="77777777" w:rsidR="00AB3647" w:rsidRDefault="00000000" w:rsidP="007923E9">
      <w:pPr>
        <w:spacing w:after="120" w:line="276" w:lineRule="auto"/>
        <w:ind w:firstLine="283"/>
        <w:jc w:val="both"/>
      </w:pPr>
      <w:r>
        <w:rPr>
          <w:rtl/>
        </w:rPr>
        <w:t xml:space="preserve">מסתבר שהרב שנקר ציין גם שהיו חוגים ליטאיים שהתנגדו לתוכנית </w:t>
      </w:r>
      <w:proofErr w:type="spellStart"/>
      <w:r>
        <w:rPr>
          <w:rtl/>
        </w:rPr>
        <w:t>גרובין</w:t>
      </w:r>
      <w:proofErr w:type="spellEnd"/>
      <w:r>
        <w:rPr>
          <w:rtl/>
        </w:rPr>
        <w:t xml:space="preserve">, ור׳ שמשון ראה בכך מקבילה להתנגדות שהוא עצמו נתקל בה בגרמניה. מכאן ועד למסקנה המוטעית של ר׳ רפאל הירש, שבכולל קובנה נלמדים לימודי חול, היה המרחק קטן – מסקנה שר׳ </w:t>
      </w:r>
      <w:proofErr w:type="spellStart"/>
      <w:r>
        <w:rPr>
          <w:rtl/>
        </w:rPr>
        <w:t>אברמצ׳יק</w:t>
      </w:r>
      <w:proofErr w:type="spellEnd"/>
      <w:r>
        <w:rPr>
          <w:rtl/>
        </w:rPr>
        <w:t xml:space="preserve"> </w:t>
      </w:r>
      <w:proofErr w:type="spellStart"/>
      <w:r>
        <w:rPr>
          <w:rtl/>
        </w:rPr>
        <w:t>טאנס</w:t>
      </w:r>
      <w:proofErr w:type="spellEnd"/>
      <w:r>
        <w:rPr>
          <w:rtl/>
        </w:rPr>
        <w:t xml:space="preserve"> הקדוש לא רמז לה ביודעין. ר׳ </w:t>
      </w:r>
      <w:proofErr w:type="spellStart"/>
      <w:r>
        <w:rPr>
          <w:rtl/>
        </w:rPr>
        <w:t>אברמצ׳יק</w:t>
      </w:r>
      <w:proofErr w:type="spellEnd"/>
      <w:r>
        <w:rPr>
          <w:rtl/>
        </w:rPr>
        <w:t xml:space="preserve">, שידע שאין בליטא בית ספר המשלב לימודי קודש וחול </w:t>
      </w:r>
      <w:r>
        <w:rPr>
          <w:b/>
          <w:bCs/>
          <w:rtl/>
        </w:rPr>
        <w:t>אפילו לצעירים</w:t>
      </w:r>
      <w:r>
        <w:rPr>
          <w:rtl/>
        </w:rPr>
        <w:t xml:space="preserve">, מלבד </w:t>
      </w:r>
      <w:proofErr w:type="spellStart"/>
      <w:r>
        <w:rPr>
          <w:rtl/>
        </w:rPr>
        <w:t>גרובין</w:t>
      </w:r>
      <w:proofErr w:type="spellEnd"/>
      <w:r>
        <w:rPr>
          <w:rtl/>
        </w:rPr>
        <w:t xml:space="preserve">, לא העלה על דעתו שבן שיחו יסיק מדבריו שאנשים מבוגרים יתחילו, לראשונה בחייהם, ללמוד לימודי חול בכולל </w:t>
      </w:r>
      <w:r>
        <w:rPr>
          <w:b/>
          <w:bCs/>
          <w:rtl/>
        </w:rPr>
        <w:t>לאחר נישואיהם</w:t>
      </w:r>
      <w:r>
        <w:rPr>
          <w:rtl/>
        </w:rPr>
        <w:t>.</w:t>
      </w:r>
    </w:p>
    <w:p w14:paraId="66626FFD" w14:textId="77777777" w:rsidR="00AB3647" w:rsidRDefault="00000000" w:rsidP="007923E9">
      <w:pPr>
        <w:spacing w:after="120" w:line="276" w:lineRule="auto"/>
        <w:ind w:firstLine="283"/>
        <w:jc w:val="both"/>
      </w:pPr>
      <w:r>
        <w:rPr>
          <w:rtl/>
        </w:rPr>
        <w:t>לעומתו, ר׳ רפאל הירש, שראה לנגד עיניו את המצב בגרמניה – שם כל הנוער מקבל השכלה כללית כדבר מובן מאליו – הניח שהמחלוקת בליטא שעליה דיבר הרב שנקר אינה נוגעת ליסודות הנלמדים אצל נערים, אלא ללימודי חול מתקדמים לאנשים המבוגרים שמוכשרים לרבנות בכולל קובנה. מתוך הנחה שגם נערים יודעים לדבר ולקרוא רוסית, התכוון ר׳ שמשון כנראה לספרות הרוסית כשכתב שבצד לימודיהם התורניים רוכשים חברי הכולל “בקיאות בלשון הארץ”</w:t>
      </w:r>
      <w:bookmarkStart w:id="3478" w:name="_fnr2562"/>
      <w:r>
        <w:rPr>
          <w:rStyle w:val="a5"/>
        </w:rPr>
        <w:footnoteReference w:id="2569" w:customMarkFollows="0"/>
      </w:r>
      <w:bookmarkEnd w:id="3478"/>
      <w:r>
        <w:rPr>
          <w:rtl/>
        </w:rPr>
        <w:t>.</w:t>
      </w:r>
    </w:p>
    <w:p w14:paraId="696F18D8" w14:textId="77777777" w:rsidR="00AB3647" w:rsidRDefault="00000000" w:rsidP="007923E9">
      <w:pPr>
        <w:spacing w:after="120" w:line="276" w:lineRule="auto"/>
        <w:ind w:firstLine="283"/>
        <w:jc w:val="both"/>
      </w:pPr>
      <w:r>
        <w:rPr>
          <w:rtl/>
        </w:rPr>
        <w:lastRenderedPageBreak/>
        <w:t>מעניין שגם ד״ר ישראל אלישיב קושר בין לימודי החול שבהם תמכו בעלי המוסר לבין מנהיגי האורתודוקסיה הגרמנית. הוא כותב</w:t>
      </w:r>
      <w:bookmarkStart w:id="3479" w:name="_fnr2563"/>
      <w:r>
        <w:rPr>
          <w:rStyle w:val="a5"/>
        </w:rPr>
        <w:footnoteReference w:id="2570" w:customMarkFollows="0"/>
      </w:r>
      <w:bookmarkEnd w:id="3479"/>
      <w:r>
        <w:rPr>
          <w:rtl/>
        </w:rPr>
        <w:t xml:space="preserve">: “בעלי המוסר הראשונים – שהיו נתונים להשפעת החרדים בגרמניה, כגון ר׳ הירש, </w:t>
      </w:r>
      <w:r>
        <w:rPr>
          <w:b/>
          <w:bCs/>
          <w:rtl/>
        </w:rPr>
        <w:t>לחמן</w:t>
      </w:r>
      <w:r>
        <w:rPr>
          <w:rtl/>
        </w:rPr>
        <w:t xml:space="preserve"> (ההדגשה שלי), ד״ר [עזריאל] </w:t>
      </w:r>
      <w:proofErr w:type="spellStart"/>
      <w:r>
        <w:rPr>
          <w:rtl/>
        </w:rPr>
        <w:t>הילדסהיימר</w:t>
      </w:r>
      <w:proofErr w:type="spellEnd"/>
      <w:r>
        <w:rPr>
          <w:rtl/>
        </w:rPr>
        <w:t xml:space="preserve"> הזקן וכיוצא בהם – ראו והשתכנעו שמעט השכלה כללית אינה מזיקה”. בדומה לכך סבור יעקב מארק</w:t>
      </w:r>
      <w:bookmarkStart w:id="3480" w:name="_fnr2564"/>
      <w:r>
        <w:rPr>
          <w:rStyle w:val="a5"/>
        </w:rPr>
        <w:footnoteReference w:id="2571" w:customMarkFollows="0"/>
      </w:r>
      <w:bookmarkEnd w:id="3480"/>
      <w:r>
        <w:rPr>
          <w:rtl/>
        </w:rPr>
        <w:t xml:space="preserve"> </w:t>
      </w:r>
      <w:proofErr w:type="spellStart"/>
      <w:r>
        <w:rPr>
          <w:rtl/>
        </w:rPr>
        <w:t>ש“ישיבת</w:t>
      </w:r>
      <w:proofErr w:type="spellEnd"/>
      <w:r>
        <w:rPr>
          <w:rtl/>
        </w:rPr>
        <w:t xml:space="preserve">” </w:t>
      </w:r>
      <w:proofErr w:type="spellStart"/>
      <w:r>
        <w:rPr>
          <w:rtl/>
        </w:rPr>
        <w:t>גרובין</w:t>
      </w:r>
      <w:proofErr w:type="spellEnd"/>
      <w:r>
        <w:rPr>
          <w:rtl/>
        </w:rPr>
        <w:t xml:space="preserve"> “נוסדה בעיקר לפי הדגם של מוסד לימוד חרדי בפרנקפורט”.</w:t>
      </w:r>
    </w:p>
    <w:p w14:paraId="661911CC" w14:textId="77777777" w:rsidR="00AB3647" w:rsidRDefault="00000000" w:rsidP="007923E9">
      <w:pPr>
        <w:spacing w:after="120" w:line="276" w:lineRule="auto"/>
        <w:ind w:firstLine="283"/>
        <w:jc w:val="both"/>
      </w:pPr>
      <w:r>
        <w:rPr>
          <w:rtl/>
        </w:rPr>
        <w:t xml:space="preserve">כשכתב אלישיב “לחמן” (שהודגש לעיל), התכוון בבירור לרבה של </w:t>
      </w:r>
      <w:proofErr w:type="spellStart"/>
      <w:r>
        <w:rPr>
          <w:rtl/>
        </w:rPr>
        <w:t>מיינץ</w:t>
      </w:r>
      <w:proofErr w:type="spellEnd"/>
      <w:r>
        <w:rPr>
          <w:rtl/>
        </w:rPr>
        <w:t xml:space="preserve">, ר׳ מאיר (מרקוס) להמן. שכן באשר לאיש העסקים ר׳ עובדיה (אמיל) לחמן, כל השפעה שעברה ביניהם פעלה בכיוון ההפוך בלבד – מבעלי המוסר אל אמיל לחמן – עד כדי כך שהמשכילים המציאו האשמה מופרכת: מחשש שאישה תחסום את תרומותיו למוסדותיהם, השפיעו עליו </w:t>
      </w:r>
      <w:proofErr w:type="spellStart"/>
      <w:r>
        <w:rPr>
          <w:rtl/>
        </w:rPr>
        <w:t>המוסרניקים</w:t>
      </w:r>
      <w:proofErr w:type="spellEnd"/>
      <w:r>
        <w:rPr>
          <w:rtl/>
        </w:rPr>
        <w:t xml:space="preserve"> שלא יישא אישה.</w:t>
      </w:r>
      <w:bookmarkStart w:id="3481" w:name="_fnr2565"/>
      <w:r>
        <w:rPr>
          <w:rStyle w:val="a5"/>
        </w:rPr>
        <w:footnoteReference w:id="2572" w:customMarkFollows="0"/>
      </w:r>
      <w:bookmarkEnd w:id="3481"/>
      <w:r>
        <w:rPr>
          <w:rtl/>
        </w:rPr>
        <w:t xml:space="preserve"> השאלה מדוע לא נישא ר׳ עובדיה נדונה בפסקה הבאה של נספח זה.</w:t>
      </w:r>
    </w:p>
    <w:p w14:paraId="6ACCBE8F" w14:textId="77777777" w:rsidR="00AB3647" w:rsidRDefault="00000000" w:rsidP="007923E9">
      <w:pPr>
        <w:spacing w:after="120" w:line="276" w:lineRule="auto"/>
        <w:ind w:firstLine="283"/>
        <w:jc w:val="both"/>
      </w:pPr>
      <w:r>
        <w:rPr>
          <w:rtl/>
        </w:rPr>
        <w:t xml:space="preserve">באשר להשערה שהיהדות החרדית בגרמניה השפיעה על בעלי המוסר, השווה </w:t>
      </w:r>
      <w:proofErr w:type="spellStart"/>
      <w:r>
        <w:rPr>
          <w:rtl/>
        </w:rPr>
        <w:t>אטקס</w:t>
      </w:r>
      <w:proofErr w:type="spellEnd"/>
      <w:r>
        <w:rPr>
          <w:rtl/>
        </w:rPr>
        <w:t xml:space="preserve">, “ר׳ ישראל </w:t>
      </w:r>
      <w:proofErr w:type="spellStart"/>
      <w:r>
        <w:rPr>
          <w:rtl/>
        </w:rPr>
        <w:t>סלנטר</w:t>
      </w:r>
      <w:proofErr w:type="spellEnd"/>
      <w:r>
        <w:rPr>
          <w:rtl/>
        </w:rPr>
        <w:t xml:space="preserve"> וראשיתה של תנועת המוסר”</w:t>
      </w:r>
      <w:bookmarkStart w:id="3482" w:name="_fnr2566"/>
      <w:r>
        <w:rPr>
          <w:rStyle w:val="a5"/>
        </w:rPr>
        <w:footnoteReference w:id="2573" w:customMarkFollows="0"/>
      </w:r>
      <w:bookmarkEnd w:id="3482"/>
      <w:r>
        <w:rPr>
          <w:rtl/>
        </w:rPr>
        <w:t xml:space="preserve">, שלפיו התנגד ר׳ ישראל </w:t>
      </w:r>
      <w:proofErr w:type="spellStart"/>
      <w:r>
        <w:rPr>
          <w:rtl/>
        </w:rPr>
        <w:t>סלנטר</w:t>
      </w:r>
      <w:proofErr w:type="spellEnd"/>
      <w:r>
        <w:rPr>
          <w:rtl/>
        </w:rPr>
        <w:t xml:space="preserve"> להחלת אמות מידה זהות על יהודי גרמניה ועל יהודי רוסיה</w:t>
      </w:r>
      <w:bookmarkStart w:id="3483" w:name="_fnr2567"/>
      <w:r>
        <w:rPr>
          <w:rStyle w:val="a5"/>
        </w:rPr>
        <w:footnoteReference w:id="2574" w:customMarkFollows="0"/>
      </w:r>
      <w:bookmarkEnd w:id="3483"/>
      <w:r>
        <w:rPr>
          <w:rtl/>
        </w:rPr>
        <w:t>. עם זאת, בשהותו הארוכה בגרמניה למד ללא ספק את דרכי האורתודוקסיה הגרמנית בשמירת האמונה, מתוך כוונה לבחור מהן את המתאים לצורכי יהודי ארץ מולדתו ולהחילו כשיתייצב המצב.</w:t>
      </w:r>
    </w:p>
    <w:p w14:paraId="4BB77307" w14:textId="77777777" w:rsidR="00AB3647" w:rsidRDefault="00000000" w:rsidP="007923E9">
      <w:pPr>
        <w:spacing w:after="120" w:line="276" w:lineRule="auto"/>
        <w:ind w:firstLine="283"/>
        <w:jc w:val="both"/>
      </w:pPr>
      <w:r>
        <w:rPr>
          <w:rtl/>
        </w:rPr>
        <w:t>יעקב מארק</w:t>
      </w:r>
      <w:bookmarkStart w:id="3484" w:name="_fnr2568"/>
      <w:r>
        <w:rPr>
          <w:rStyle w:val="a5"/>
        </w:rPr>
        <w:footnoteReference w:id="2575" w:customMarkFollows="0"/>
      </w:r>
      <w:bookmarkEnd w:id="3484"/>
      <w:r>
        <w:rPr>
          <w:rtl/>
        </w:rPr>
        <w:t xml:space="preserve"> מוסר את המשל המפורסם של ר׳ ישראל, שבו הסביר מדוע העתיק את פעילותו לגרמניה: סוס הדוהר במורד, כיהדות רוסיה, אי אפשר לרסן, ואילו סוס שהגיע למישור, כיהדות מערב אירופה, אפשר לכוון בדרך הנכונה. המשל מרמז שר׳ ישראל</w:t>
      </w:r>
      <w:r>
        <w:t xml:space="preserve"> </w:t>
      </w:r>
      <w:r>
        <w:rPr>
          <w:rtl/>
        </w:rPr>
        <w:t>סבר שיום אחד (לאו דווקא בימי חייו) תעמוד יהדות מזרח אירופה, לאחר שתתייצב, מול תנאים דומים לאלה ששררו בגרמניה בזמנו. השווה גם “שרי המאה”</w:t>
      </w:r>
      <w:bookmarkStart w:id="3485" w:name="_fnr2569"/>
      <w:r>
        <w:rPr>
          <w:rStyle w:val="a5"/>
        </w:rPr>
        <w:footnoteReference w:id="2576" w:customMarkFollows="0"/>
      </w:r>
      <w:bookmarkEnd w:id="3485"/>
      <w:r>
        <w:rPr>
          <w:rtl/>
        </w:rPr>
        <w:t xml:space="preserve">, שם נאמר שר׳ ישראל שיבח את ר׳ עזריאל </w:t>
      </w:r>
      <w:proofErr w:type="spellStart"/>
      <w:r>
        <w:rPr>
          <w:rtl/>
        </w:rPr>
        <w:t>הילדסהיימר</w:t>
      </w:r>
      <w:proofErr w:type="spellEnd"/>
      <w:r>
        <w:rPr>
          <w:rtl/>
        </w:rPr>
        <w:t xml:space="preserve"> בפני תלמידיו </w:t>
      </w:r>
      <w:proofErr w:type="spellStart"/>
      <w:r>
        <w:rPr>
          <w:rtl/>
        </w:rPr>
        <w:t>כ“אדם</w:t>
      </w:r>
      <w:proofErr w:type="spellEnd"/>
      <w:r>
        <w:rPr>
          <w:rtl/>
        </w:rPr>
        <w:t xml:space="preserve"> המעלה והשלימות”.</w:t>
      </w:r>
    </w:p>
    <w:p w14:paraId="57C4AFC7" w14:textId="77777777" w:rsidR="00AB3647" w:rsidRDefault="00000000" w:rsidP="007923E9">
      <w:pPr>
        <w:pStyle w:val="4"/>
        <w:spacing w:line="276" w:lineRule="auto"/>
      </w:pPr>
      <w:r>
        <w:lastRenderedPageBreak/>
        <w:t>· הפסקה השלישית ·</w:t>
      </w:r>
    </w:p>
    <w:p w14:paraId="2F985623" w14:textId="77777777" w:rsidR="00AB3647" w:rsidRDefault="00000000" w:rsidP="007923E9">
      <w:pPr>
        <w:pStyle w:val="5"/>
        <w:spacing w:line="276" w:lineRule="auto"/>
      </w:pPr>
      <w:r>
        <w:t xml:space="preserve">לחמן נתפס בעיני אחדים כעקשן – ניסיונות למצוא שידוך לרווק הזקן – הוא מפסיק לתמוך בישיבת </w:t>
      </w:r>
      <w:proofErr w:type="spellStart"/>
      <w:r>
        <w:t>סלבודקה</w:t>
      </w:r>
      <w:proofErr w:type="spellEnd"/>
      <w:r>
        <w:t xml:space="preserve"> לזמן מה – הפיאסקו המצער עם צוואתו</w:t>
      </w:r>
    </w:p>
    <w:p w14:paraId="022D4553" w14:textId="77777777" w:rsidR="00AB3647" w:rsidRDefault="00000000" w:rsidP="007923E9">
      <w:pPr>
        <w:spacing w:after="120" w:line="276" w:lineRule="auto"/>
        <w:ind w:firstLine="283"/>
        <w:jc w:val="both"/>
      </w:pPr>
      <w:r>
        <w:rPr>
          <w:rtl/>
        </w:rPr>
        <w:t xml:space="preserve">תלמידי </w:t>
      </w:r>
      <w:proofErr w:type="spellStart"/>
      <w:r>
        <w:rPr>
          <w:rtl/>
        </w:rPr>
        <w:t>סלבודקה</w:t>
      </w:r>
      <w:proofErr w:type="spellEnd"/>
      <w:r>
        <w:rPr>
          <w:rtl/>
        </w:rPr>
        <w:t xml:space="preserve"> התפלאו על כך שלחמן לא נישא מעולם. אבי העיר</w:t>
      </w:r>
      <w:bookmarkStart w:id="3486" w:name="_fnr2570"/>
      <w:r>
        <w:rPr>
          <w:rStyle w:val="a5"/>
        </w:rPr>
        <w:footnoteReference w:id="2577" w:customMarkFollows="0"/>
      </w:r>
      <w:bookmarkEnd w:id="3486"/>
      <w:r>
        <w:rPr>
          <w:rtl/>
        </w:rPr>
        <w:t xml:space="preserve">: “אולי לא הורשה לחמן להינשא; איני יודע.” רבנו לא הבהיר מה בדיוק היה טיבה של המגבלה המשוערת. אבל המאמר האלמוני </w:t>
      </w:r>
      <w:proofErr w:type="spellStart"/>
      <w:r>
        <w:rPr>
          <w:rtl/>
        </w:rPr>
        <w:t>ב“הזמן</w:t>
      </w:r>
      <w:proofErr w:type="spellEnd"/>
      <w:r>
        <w:rPr>
          <w:rtl/>
        </w:rPr>
        <w:t xml:space="preserve">” טוען שלחמן היה פעם מאורס, ולאחר </w:t>
      </w:r>
      <w:proofErr w:type="spellStart"/>
      <w:r>
        <w:rPr>
          <w:rtl/>
        </w:rPr>
        <w:t>ש“בגדי</w:t>
      </w:r>
      <w:proofErr w:type="spellEnd"/>
      <w:r>
        <w:rPr>
          <w:rtl/>
        </w:rPr>
        <w:t xml:space="preserve"> החתונה הוכנו והטבחים המובחרים הכינו את סעודת החתונה”, ביטל את העניין. אם הסיפור הזה נכון, יש בו רמז שלא היה איסור ממשי על נישואיו.</w:t>
      </w:r>
    </w:p>
    <w:p w14:paraId="1DC93501" w14:textId="77777777" w:rsidR="00AB3647" w:rsidRDefault="00000000" w:rsidP="007923E9">
      <w:pPr>
        <w:spacing w:after="120" w:line="276" w:lineRule="auto"/>
        <w:ind w:firstLine="283"/>
        <w:jc w:val="both"/>
      </w:pPr>
      <w:r>
        <w:rPr>
          <w:rtl/>
        </w:rPr>
        <w:t xml:space="preserve">השווה גם “אגרות רבי עזריאל </w:t>
      </w:r>
      <w:proofErr w:type="spellStart"/>
      <w:r>
        <w:rPr>
          <w:rtl/>
        </w:rPr>
        <w:t>הילדסהיימר</w:t>
      </w:r>
      <w:proofErr w:type="spellEnd"/>
      <w:r>
        <w:rPr>
          <w:rtl/>
        </w:rPr>
        <w:t>”</w:t>
      </w:r>
      <w:bookmarkStart w:id="3487" w:name="_fnr2571"/>
      <w:r>
        <w:rPr>
          <w:rStyle w:val="a5"/>
        </w:rPr>
        <w:footnoteReference w:id="2578" w:customMarkFollows="0"/>
      </w:r>
      <w:bookmarkEnd w:id="3487"/>
      <w:r>
        <w:rPr>
          <w:rtl/>
        </w:rPr>
        <w:t xml:space="preserve">, המפרסם את תשובתו של ר׳ עזריאל </w:t>
      </w:r>
      <w:proofErr w:type="spellStart"/>
      <w:r>
        <w:rPr>
          <w:rtl/>
        </w:rPr>
        <w:t>הילדסהיימר</w:t>
      </w:r>
      <w:proofErr w:type="spellEnd"/>
      <w:r>
        <w:rPr>
          <w:rtl/>
        </w:rPr>
        <w:t xml:space="preserve"> לדיין בלייפציג בעניין שידוך בין בתו ללחמן, שהיה אז בן 47. מתברר ממנה שלחמן עקשן שאין לתקנו, והיא מצטטת מכתב שהתקבל מאדם נכבד המנהל את השקעתו למטרות צדקה בארץ ישראל, </w:t>
      </w:r>
      <w:proofErr w:type="spellStart"/>
      <w:r>
        <w:rPr>
          <w:rtl/>
        </w:rPr>
        <w:t>ש“לשאת</w:t>
      </w:r>
      <w:proofErr w:type="spellEnd"/>
      <w:r>
        <w:rPr>
          <w:rtl/>
        </w:rPr>
        <w:t xml:space="preserve"> את דרכיו (של לחמן) קשה מעבדות בסיביר”. אפשר שתכונה זו מנעה מר׳ עובדיה למצוא אישה. קשה לקבוע מקריאת תשובת </w:t>
      </w:r>
      <w:proofErr w:type="spellStart"/>
      <w:r>
        <w:rPr>
          <w:rtl/>
        </w:rPr>
        <w:t>הילדסהיימר</w:t>
      </w:r>
      <w:proofErr w:type="spellEnd"/>
      <w:r>
        <w:rPr>
          <w:rtl/>
        </w:rPr>
        <w:t xml:space="preserve"> אם הדיין ניסה לגייס את עזרתו ב</w:t>
      </w:r>
      <w:r>
        <w:rPr>
          <w:b/>
          <w:bCs/>
          <w:rtl/>
        </w:rPr>
        <w:t>סידור</w:t>
      </w:r>
      <w:r>
        <w:rPr>
          <w:rtl/>
        </w:rPr>
        <w:t xml:space="preserve"> השידוך, או בשכנוע לחמן </w:t>
      </w:r>
      <w:r>
        <w:rPr>
          <w:b/>
          <w:bCs/>
          <w:rtl/>
        </w:rPr>
        <w:t>שלא לבטלו</w:t>
      </w:r>
      <w:r>
        <w:rPr>
          <w:rtl/>
        </w:rPr>
        <w:t>. אם ההבנה השנייה נכונה, טענת המאמר שלחמן היה פעם מאורס מוצאת בסיס עובדתי, אף שהפרידה לא הייתה פתאומית כפי שהמאמר מתאר.</w:t>
      </w:r>
    </w:p>
    <w:p w14:paraId="4B033584" w14:textId="470868B7" w:rsidR="00AB3647" w:rsidRDefault="00000000" w:rsidP="007923E9">
      <w:pPr>
        <w:spacing w:after="120" w:line="276" w:lineRule="auto"/>
        <w:ind w:firstLine="283"/>
        <w:jc w:val="both"/>
      </w:pPr>
      <w:r>
        <w:rPr>
          <w:rtl/>
        </w:rPr>
        <w:t>ר׳ ישעיה זינגר סיפר</w:t>
      </w:r>
      <w:bookmarkStart w:id="3488" w:name="_fnr2572"/>
      <w:r>
        <w:rPr>
          <w:rStyle w:val="a5"/>
        </w:rPr>
        <w:footnoteReference w:id="2579" w:customMarkFollows="0"/>
      </w:r>
      <w:bookmarkEnd w:id="3488"/>
      <w:r>
        <w:rPr>
          <w:rtl/>
        </w:rPr>
        <w:t xml:space="preserve"> שלחמן ביקש מר׳ </w:t>
      </w:r>
      <w:proofErr w:type="spellStart"/>
      <w:r>
        <w:rPr>
          <w:rtl/>
        </w:rPr>
        <w:t>לייזר־יעקב</w:t>
      </w:r>
      <w:proofErr w:type="spellEnd"/>
      <w:r>
        <w:rPr>
          <w:rtl/>
        </w:rPr>
        <w:t xml:space="preserve"> </w:t>
      </w:r>
      <w:proofErr w:type="spellStart"/>
      <w:r>
        <w:rPr>
          <w:rtl/>
        </w:rPr>
        <w:t xml:space="preserve">חווס</w:t>
      </w:r>
      <w:proofErr w:type="spellEnd"/>
      <w:r>
        <w:rPr>
          <w:rtl/>
        </w:rPr>
        <w:t xml:space="preserve"> את יד בתו, “ו(ר׳ </w:t>
      </w:r>
      <w:proofErr w:type="spellStart"/>
      <w:r>
        <w:rPr>
          <w:rtl/>
        </w:rPr>
        <w:t>לייזר־יעקב</w:t>
      </w:r>
      <w:proofErr w:type="spellEnd"/>
      <w:r>
        <w:rPr>
          <w:rtl/>
        </w:rPr>
        <w:t xml:space="preserve">) השתמש בתירוץ שאם (הם) יתחתנו, לא יוכל עוד לבקש תרומות גדולות משום שירגיש שהוא לוקח את כספה של בתו”. לאור יחסו של ר׳ </w:t>
      </w:r>
      <w:proofErr w:type="spellStart"/>
      <w:r>
        <w:rPr>
          <w:rtl/>
        </w:rPr>
        <w:t>לייזר־יעקב</w:t>
      </w:r>
      <w:proofErr w:type="spellEnd"/>
      <w:r>
        <w:rPr>
          <w:rtl/>
        </w:rPr>
        <w:t xml:space="preserve"> הן לילדיו והן להפצת התורה, כמובא מתוך “לפרקים” ב</w:t>
      </w:r>
      <w:r>
        <w:rPr>
          <w:rtl/>
        </w:rPr>
        <w:fldChar w:fldCharType="begin" w:dirty="true"/>
      </w:r>
      <w:r>
        <w:rPr>
          <w:rtl/>
        </w:rPr>
        <w:instrText xml:space="preserve"> REF b3_excC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ג</w:t>
      </w:r>
      <w:r>
        <w:rPr>
          <w:rtl/>
        </w:rPr>
        <w:fldChar w:fldCharType="end"/>
      </w:r>
      <w:r>
        <w:rPr>
          <w:rtl/>
        </w:rPr>
        <w:t xml:space="preserve"> לעיל, הסיבה שהציע הייתה תירוץ קלוש.</w:t>
      </w:r>
    </w:p>
    <w:p w14:paraId="5528E4BD" w14:textId="77777777" w:rsidR="00AB3647" w:rsidRDefault="00000000" w:rsidP="007923E9">
      <w:pPr>
        <w:spacing w:after="120" w:line="276" w:lineRule="auto"/>
        <w:ind w:firstLine="283"/>
        <w:jc w:val="both"/>
      </w:pPr>
      <w:r>
        <w:rPr>
          <w:rtl/>
        </w:rPr>
        <w:t>השווה גם “חידושי ושיעורי רבי ברוך בער”</w:t>
      </w:r>
      <w:bookmarkStart w:id="3489" w:name="_fnr2573"/>
      <w:r>
        <w:rPr>
          <w:rStyle w:val="a5"/>
        </w:rPr>
        <w:footnoteReference w:id="2580" w:customMarkFollows="0"/>
      </w:r>
      <w:bookmarkEnd w:id="3489"/>
      <w:r>
        <w:rPr>
          <w:rtl/>
        </w:rPr>
        <w:t xml:space="preserve">, המצטט את ר׳ </w:t>
      </w:r>
      <w:proofErr w:type="spellStart"/>
      <w:r>
        <w:rPr>
          <w:rtl/>
        </w:rPr>
        <w:t>ברוך־בער</w:t>
      </w:r>
      <w:proofErr w:type="spellEnd"/>
      <w:r>
        <w:rPr>
          <w:rtl/>
        </w:rPr>
        <w:t xml:space="preserve"> המספר בשיחה לתלמידיו שהציע שידוך לאדם שלא נקב בשמו – בלי ספק היה זה אמיל לחמן: “</w:t>
      </w:r>
      <w:proofErr w:type="spellStart"/>
      <w:r>
        <w:rPr>
          <w:rtl/>
        </w:rPr>
        <w:t>ושדכתיו</w:t>
      </w:r>
      <w:proofErr w:type="spellEnd"/>
      <w:r>
        <w:rPr>
          <w:rtl/>
        </w:rPr>
        <w:t xml:space="preserve"> עם [בת] איש בעל הבית חרד... הלא צדקותיו נוראות ופעולותיו כבירות מאד”. ר׳ </w:t>
      </w:r>
      <w:proofErr w:type="spellStart"/>
      <w:r>
        <w:rPr>
          <w:rtl/>
        </w:rPr>
        <w:t>ברוך־בער</w:t>
      </w:r>
      <w:proofErr w:type="spellEnd"/>
      <w:r>
        <w:rPr>
          <w:rtl/>
        </w:rPr>
        <w:t xml:space="preserve"> סיפר לתלמידיו </w:t>
      </w:r>
      <w:proofErr w:type="spellStart"/>
      <w:r>
        <w:rPr>
          <w:rtl/>
        </w:rPr>
        <w:t>ש“הרבי</w:t>
      </w:r>
      <w:proofErr w:type="spellEnd"/>
      <w:r>
        <w:rPr>
          <w:rtl/>
        </w:rPr>
        <w:t xml:space="preserve">”, ר׳ חיים </w:t>
      </w:r>
      <w:proofErr w:type="spellStart"/>
      <w:r>
        <w:rPr>
          <w:rtl/>
        </w:rPr>
        <w:t>סולובייצ׳יק</w:t>
      </w:r>
      <w:proofErr w:type="spellEnd"/>
      <w:r>
        <w:rPr>
          <w:rtl/>
        </w:rPr>
        <w:t xml:space="preserve">, כעס עליו על שהציע את השידוך, ואמר: “מה בכך שיש לו [ללחמן] מצוות... </w:t>
      </w:r>
      <w:proofErr w:type="spellStart"/>
      <w:r>
        <w:rPr>
          <w:rtl/>
        </w:rPr>
        <w:t>צריכין</w:t>
      </w:r>
      <w:proofErr w:type="spellEnd"/>
      <w:r>
        <w:rPr>
          <w:rtl/>
        </w:rPr>
        <w:t xml:space="preserve"> לדעת אם הוא כזה שיעמוד על המשמר כל ימיו כל חייו”.</w:t>
      </w:r>
    </w:p>
    <w:p w14:paraId="1CDC140F" w14:textId="046C3DE1" w:rsidR="00AB3647" w:rsidRDefault="00000000" w:rsidP="007923E9">
      <w:pPr>
        <w:spacing w:after="120" w:line="276" w:lineRule="auto"/>
        <w:ind w:firstLine="283"/>
        <w:jc w:val="both"/>
      </w:pPr>
      <w:r>
        <w:rPr>
          <w:rtl/>
        </w:rPr>
        <w:t xml:space="preserve">אין ספק שר׳ </w:t>
      </w:r>
      <w:proofErr w:type="spellStart"/>
      <w:r>
        <w:rPr>
          <w:rtl/>
        </w:rPr>
        <w:t>ברוך־בער</w:t>
      </w:r>
      <w:proofErr w:type="spellEnd"/>
      <w:r>
        <w:rPr>
          <w:rtl/>
        </w:rPr>
        <w:t xml:space="preserve"> הציע זאת כשכבר כיהן בתפקיד בולט </w:t>
      </w:r>
      <w:proofErr w:type="spellStart"/>
      <w:r>
        <w:rPr>
          <w:rtl/>
        </w:rPr>
        <w:t>בסלבודקה</w:t>
      </w:r>
      <w:proofErr w:type="spellEnd"/>
      <w:r>
        <w:rPr>
          <w:rtl/>
        </w:rPr>
        <w:t xml:space="preserve">, ועד אז כבר עבר לחמן </w:t>
      </w:r>
      <w:r>
        <w:rPr>
          <w:b/>
          <w:bCs/>
          <w:rtl/>
        </w:rPr>
        <w:t>את</w:t>
      </w:r>
      <w:r>
        <w:rPr>
          <w:rtl/>
        </w:rPr>
        <w:t xml:space="preserve"> גיל “בערך” 64! סביר שהעלה את הצעת השידוך כשלחמן בא </w:t>
      </w:r>
      <w:proofErr w:type="spellStart"/>
      <w:r>
        <w:rPr>
          <w:rtl/>
        </w:rPr>
        <w:t>לסלבודקה</w:t>
      </w:r>
      <w:proofErr w:type="spellEnd"/>
      <w:r>
        <w:rPr>
          <w:rtl/>
        </w:rPr>
        <w:t xml:space="preserve"> לבקר בישיבה, כמו שמדווח ר׳ </w:t>
      </w:r>
      <w:proofErr w:type="spellStart"/>
      <w:r>
        <w:rPr>
          <w:rtl/>
        </w:rPr>
        <w:t>יחיאל־יעקב</w:t>
      </w:r>
      <w:proofErr w:type="spellEnd"/>
      <w:r>
        <w:rPr>
          <w:rtl/>
        </w:rPr>
        <w:t xml:space="preserve"> ויינברג (המובא ב</w:t>
      </w:r>
      <w:r>
        <w:rPr>
          <w:rtl/>
        </w:rPr>
        <w:fldChar w:fldCharType="begin" w:dirty="true"/>
      </w:r>
      <w:r>
        <w:rPr>
          <w:rtl/>
        </w:rPr>
        <w:instrText xml:space="preserve"> REF b3_excA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א</w:t>
      </w:r>
      <w:r>
        <w:rPr>
          <w:rtl/>
        </w:rPr>
        <w:fldChar w:fldCharType="end"/>
      </w:r>
      <w:r>
        <w:rPr>
          <w:rtl/>
        </w:rPr>
        <w:t xml:space="preserve"> לעיל). לפי המאמר האלמוני </w:t>
      </w:r>
      <w:proofErr w:type="spellStart"/>
      <w:r>
        <w:rPr>
          <w:rtl/>
        </w:rPr>
        <w:t>ב“הזמן</w:t>
      </w:r>
      <w:proofErr w:type="spellEnd"/>
      <w:r>
        <w:rPr>
          <w:rtl/>
        </w:rPr>
        <w:t xml:space="preserve">” חי לחמן עד “בערך יום הולדתו השבעים”, ולכן לא נותרו לו אחרי השידוך המוצע “ימי חייו” רבים מדי שבהם נזקק “לעמוד על המשמר”. חששו של ר׳ חיים מפני זקן שיש לזכותו יותר מרבע מאה של “צדקות נוראות ומעשים עצומים” מפתיע. אפשר להבינו – אך </w:t>
      </w:r>
      <w:r>
        <w:rPr>
          <w:rtl/>
        </w:rPr>
        <w:lastRenderedPageBreak/>
        <w:t xml:space="preserve">לא עד תום – אם לחמן לא היה דתי </w:t>
      </w:r>
      <w:proofErr w:type="spellStart"/>
      <w:r>
        <w:rPr>
          <w:rtl/>
        </w:rPr>
        <w:t>בשלושים־ומשהו</w:t>
      </w:r>
      <w:proofErr w:type="spellEnd"/>
      <w:r>
        <w:rPr>
          <w:rtl/>
        </w:rPr>
        <w:t xml:space="preserve"> שנותיו הראשונות, כמו שעולה מדברי אבי המובאים ב</w:t>
      </w:r>
      <w:r>
        <w:rPr>
          <w:rtl/>
        </w:rPr>
        <w:fldChar w:fldCharType="begin" w:dirty="true"/>
      </w:r>
      <w:r>
        <w:rPr>
          <w:rtl/>
        </w:rPr>
        <w:instrText xml:space="preserve"> REF b3_excA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א</w:t>
      </w:r>
      <w:r>
        <w:rPr>
          <w:rtl/>
        </w:rPr>
        <w:fldChar w:fldCharType="end"/>
      </w:r>
      <w:r>
        <w:rPr>
          <w:rtl/>
        </w:rPr>
        <w:t xml:space="preserve"> לעיל.</w:t>
      </w:r>
    </w:p>
    <w:p w14:paraId="41FA3E6B" w14:textId="77777777" w:rsidR="00AB3647" w:rsidRDefault="00000000" w:rsidP="007923E9">
      <w:pPr>
        <w:spacing w:after="120" w:line="276" w:lineRule="auto"/>
        <w:ind w:firstLine="283"/>
        <w:jc w:val="both"/>
      </w:pPr>
      <w:r>
        <w:rPr>
          <w:rtl/>
        </w:rPr>
        <w:t xml:space="preserve">אבל לאור כמה עובדות שאספתי, אפשר להבין את חששו של ר׳ חיים עד תום. ספר הזיכרון לסבא </w:t>
      </w:r>
      <w:proofErr w:type="spellStart"/>
      <w:r>
        <w:rPr>
          <w:rtl/>
        </w:rPr>
        <w:t>מסלבודקה</w:t>
      </w:r>
      <w:proofErr w:type="spellEnd"/>
      <w:r>
        <w:rPr>
          <w:rtl/>
        </w:rPr>
        <w:t xml:space="preserve"> שערך ר׳ </w:t>
      </w:r>
      <w:proofErr w:type="spellStart"/>
      <w:r>
        <w:rPr>
          <w:rtl/>
        </w:rPr>
        <w:t>ישראל־זיסל</w:t>
      </w:r>
      <w:proofErr w:type="spellEnd"/>
      <w:r>
        <w:rPr>
          <w:rtl/>
        </w:rPr>
        <w:t xml:space="preserve"> </w:t>
      </w:r>
      <w:proofErr w:type="spellStart"/>
      <w:r>
        <w:rPr>
          <w:rtl/>
        </w:rPr>
        <w:t>דבורץ</w:t>
      </w:r>
      <w:bookmarkStart w:id="3490" w:name="_fnr2574"/>
      <w:proofErr w:type="spellEnd"/>
      <w:r>
        <w:rPr>
          <w:rStyle w:val="a5"/>
        </w:rPr>
        <w:footnoteReference w:id="2581" w:customMarkFollows="0"/>
      </w:r>
      <w:bookmarkEnd w:id="3490"/>
      <w:r>
        <w:rPr>
          <w:rtl/>
        </w:rPr>
        <w:t xml:space="preserve"> קובע שבמהלך חצי העשור הראשון שהחל בשנת תר״ס לחמן “איבד את הונו, והתמיכה הכספית (בישיבת כנסת ישראל) כמעט פסקה”. אם זה נכון, מוזר למדי שר׳ </w:t>
      </w:r>
      <w:proofErr w:type="spellStart"/>
      <w:r>
        <w:rPr>
          <w:rtl/>
        </w:rPr>
        <w:t>ברוך־בער</w:t>
      </w:r>
      <w:proofErr w:type="spellEnd"/>
      <w:r>
        <w:rPr>
          <w:rtl/>
        </w:rPr>
        <w:t xml:space="preserve"> יציע שידוך, בוודאי עם צעירה מחוגי ליטא, למי שהתגורר בברלין ואינו עשיר עוד. אני מפקפק גם בכך שלחמן איבד את הונו, לא רק בשל גודל הסכום שהוריש לישיבת </w:t>
      </w:r>
      <w:proofErr w:type="spellStart"/>
      <w:r>
        <w:rPr>
          <w:rtl/>
        </w:rPr>
        <w:t>סלבודקה</w:t>
      </w:r>
      <w:proofErr w:type="spellEnd"/>
      <w:r>
        <w:rPr>
          <w:rtl/>
        </w:rPr>
        <w:t xml:space="preserve">, כאמור להלן, אלא משום שאילו איבד את עושרו, בוודאי היה המאמר האלמוני </w:t>
      </w:r>
      <w:proofErr w:type="spellStart"/>
      <w:r>
        <w:rPr>
          <w:rtl/>
        </w:rPr>
        <w:t>ב“הזמן</w:t>
      </w:r>
      <w:proofErr w:type="spellEnd"/>
      <w:r>
        <w:rPr>
          <w:rtl/>
        </w:rPr>
        <w:t xml:space="preserve">”, המכפיש את לחמן, מזכיר את נפילתו הכלכלית – ובדרך כלשהי מאשים בה את </w:t>
      </w:r>
      <w:proofErr w:type="spellStart"/>
      <w:r>
        <w:rPr>
          <w:rtl/>
        </w:rPr>
        <w:t>המוסרניקים</w:t>
      </w:r>
      <w:proofErr w:type="spellEnd"/>
      <w:r>
        <w:rPr>
          <w:rtl/>
        </w:rPr>
        <w:t>.</w:t>
      </w:r>
    </w:p>
    <w:p w14:paraId="383966D6" w14:textId="77777777" w:rsidR="00AB3647" w:rsidRDefault="00000000" w:rsidP="007923E9">
      <w:pPr>
        <w:spacing w:after="120" w:line="276" w:lineRule="auto"/>
        <w:ind w:firstLine="283"/>
        <w:jc w:val="both"/>
      </w:pPr>
      <w:r>
        <w:rPr>
          <w:rtl/>
        </w:rPr>
        <w:t xml:space="preserve">ספר הזיכרון ודאי צודק שתרומותיו לכנסת ישראל פחתו מאוד. גם מאמרו המקדים של ר׳ </w:t>
      </w:r>
      <w:proofErr w:type="spellStart"/>
      <w:r>
        <w:rPr>
          <w:rtl/>
        </w:rPr>
        <w:t>יחיאל־יעקב</w:t>
      </w:r>
      <w:proofErr w:type="spellEnd"/>
      <w:r>
        <w:rPr>
          <w:rtl/>
        </w:rPr>
        <w:t xml:space="preserve"> ויינברג </w:t>
      </w:r>
      <w:proofErr w:type="spellStart"/>
      <w:r>
        <w:rPr>
          <w:rtl/>
        </w:rPr>
        <w:t>ב“נתוני</w:t>
      </w:r>
      <w:proofErr w:type="spellEnd"/>
      <w:r>
        <w:rPr>
          <w:rtl/>
        </w:rPr>
        <w:t xml:space="preserve"> </w:t>
      </w:r>
      <w:proofErr w:type="spellStart"/>
      <w:r>
        <w:rPr>
          <w:rtl/>
        </w:rPr>
        <w:t>סלבודקה</w:t>
      </w:r>
      <w:proofErr w:type="spellEnd"/>
      <w:r>
        <w:rPr>
          <w:rtl/>
        </w:rPr>
        <w:t>”</w:t>
      </w:r>
      <w:bookmarkStart w:id="3491" w:name="_fnr2575"/>
      <w:r>
        <w:rPr>
          <w:rStyle w:val="a5"/>
        </w:rPr>
        <w:footnoteReference w:id="2582" w:customMarkFollows="0"/>
      </w:r>
      <w:bookmarkEnd w:id="3491"/>
      <w:r>
        <w:rPr>
          <w:rtl/>
        </w:rPr>
        <w:t xml:space="preserve"> מציין </w:t>
      </w:r>
      <w:proofErr w:type="spellStart"/>
      <w:r>
        <w:rPr>
          <w:rtl/>
        </w:rPr>
        <w:t>ש“התמיכה</w:t>
      </w:r>
      <w:proofErr w:type="spellEnd"/>
      <w:r>
        <w:rPr>
          <w:rtl/>
        </w:rPr>
        <w:t xml:space="preserve"> (בישיבה) פחתה במידה ניכרת” באותו עשור, אבל מייחס את הסיבה במעורפל </w:t>
      </w:r>
      <w:proofErr w:type="spellStart"/>
      <w:r>
        <w:rPr>
          <w:rtl/>
        </w:rPr>
        <w:t>ל“אירועי</w:t>
      </w:r>
      <w:proofErr w:type="spellEnd"/>
      <w:r>
        <w:rPr>
          <w:rtl/>
        </w:rPr>
        <w:t xml:space="preserve"> השעה”. לכן בוודאי הייתה סיבה אחרת לתמיכתו המופחתת של לחמן. אפשר לשער שמסיבה זו או אחרת – אולי בשל שמועות שהפיצו המשכילים הזדוניים – החל לחמן לחשוד </w:t>
      </w:r>
      <w:proofErr w:type="spellStart"/>
      <w:r>
        <w:rPr>
          <w:rtl/>
        </w:rPr>
        <w:t>שה“מוסרניקים</w:t>
      </w:r>
      <w:proofErr w:type="spellEnd"/>
      <w:r>
        <w:rPr>
          <w:rtl/>
        </w:rPr>
        <w:t>” מרמים אותו</w:t>
      </w:r>
      <w:bookmarkStart w:id="3492" w:name="_fnr2576"/>
      <w:r>
        <w:rPr>
          <w:rStyle w:val="a5"/>
        </w:rPr>
        <w:footnoteReference w:id="2583" w:customMarkFollows="0"/>
      </w:r>
      <w:bookmarkEnd w:id="3492"/>
      <w:r>
        <w:rPr>
          <w:rtl/>
        </w:rPr>
        <w:t>.</w:t>
      </w:r>
    </w:p>
    <w:p w14:paraId="0D2B0307" w14:textId="77777777" w:rsidR="00AB3647" w:rsidRDefault="00000000" w:rsidP="007923E9">
      <w:pPr>
        <w:spacing w:after="120" w:line="276" w:lineRule="auto"/>
        <w:ind w:firstLine="283"/>
        <w:jc w:val="both"/>
      </w:pPr>
      <w:r>
        <w:rPr>
          <w:rtl/>
        </w:rPr>
        <w:t xml:space="preserve">אפשר לחשב שביקורו של לחמן </w:t>
      </w:r>
      <w:proofErr w:type="spellStart"/>
      <w:r>
        <w:rPr>
          <w:rtl/>
        </w:rPr>
        <w:t>בסלבודקה</w:t>
      </w:r>
      <w:proofErr w:type="spellEnd"/>
      <w:r>
        <w:rPr>
          <w:rtl/>
        </w:rPr>
        <w:t xml:space="preserve">, שר׳ </w:t>
      </w:r>
      <w:proofErr w:type="spellStart"/>
      <w:r>
        <w:rPr>
          <w:rtl/>
        </w:rPr>
        <w:t>יחיאל־יעקב</w:t>
      </w:r>
      <w:proofErr w:type="spellEnd"/>
      <w:r>
        <w:rPr>
          <w:rtl/>
        </w:rPr>
        <w:t xml:space="preserve"> ויינברג ידע עליו אך לא היה עד לו, התרחש לאחר שר׳ </w:t>
      </w:r>
      <w:proofErr w:type="spellStart"/>
      <w:r>
        <w:rPr>
          <w:rtl/>
        </w:rPr>
        <w:t>יחיאל־יעקב</w:t>
      </w:r>
      <w:proofErr w:type="spellEnd"/>
      <w:r>
        <w:rPr>
          <w:rtl/>
        </w:rPr>
        <w:t xml:space="preserve"> עזב את </w:t>
      </w:r>
      <w:proofErr w:type="spellStart"/>
      <w:r>
        <w:rPr>
          <w:rtl/>
        </w:rPr>
        <w:t>סלבודקה</w:t>
      </w:r>
      <w:proofErr w:type="spellEnd"/>
      <w:r>
        <w:rPr>
          <w:rtl/>
        </w:rPr>
        <w:t xml:space="preserve"> לישיבת </w:t>
      </w:r>
      <w:proofErr w:type="spellStart"/>
      <w:r>
        <w:rPr>
          <w:rtl/>
        </w:rPr>
        <w:t>מיר</w:t>
      </w:r>
      <w:proofErr w:type="spellEnd"/>
      <w:r>
        <w:rPr>
          <w:rtl/>
        </w:rPr>
        <w:t xml:space="preserve">, אחרי פסח תרס״ה, ולפני שהגיע רבנו – שמעולם לא הזכיר שראה את הנדבן בישיבה – אחרי פסח תרס״ו. לאחר שביקר </w:t>
      </w:r>
      <w:proofErr w:type="spellStart"/>
      <w:r>
        <w:rPr>
          <w:rtl/>
        </w:rPr>
        <w:t>בסלבודקה</w:t>
      </w:r>
      <w:proofErr w:type="spellEnd"/>
      <w:r>
        <w:rPr>
          <w:rtl/>
        </w:rPr>
        <w:t xml:space="preserve"> באחד מ־12 החודשים האלה, חידש לחמן, שהתחרט, את תמיכתו בכנסת ישראל, ור׳ </w:t>
      </w:r>
      <w:proofErr w:type="spellStart"/>
      <w:r>
        <w:rPr>
          <w:rtl/>
        </w:rPr>
        <w:t>ברוך־בער</w:t>
      </w:r>
      <w:proofErr w:type="spellEnd"/>
      <w:r>
        <w:rPr>
          <w:rtl/>
        </w:rPr>
        <w:t xml:space="preserve"> הרגיש שר׳ עובדיה ראוי כעת לשידוך עם [בת] “איש בעל הבית חרד”. מאחר שהצעת השידוך באה אחרי הפסקה של כמה שנים בתמיכתו של לחמן בתורה, חששו של ר׳ חיים שלא “יעמוד על המשמר” כל שארית חייו התבסס על עובדה מן העבר הקרוב</w:t>
      </w:r>
      <w:bookmarkStart w:id="3493" w:name="_fnr2577"/>
      <w:r>
        <w:rPr>
          <w:rStyle w:val="a5"/>
        </w:rPr>
        <w:footnoteReference w:id="2584" w:customMarkFollows="0"/>
      </w:r>
      <w:bookmarkEnd w:id="3493"/>
      <w:r>
        <w:rPr>
          <w:rtl/>
        </w:rPr>
        <w:t>.</w:t>
      </w:r>
    </w:p>
    <w:p w14:paraId="461FCA81" w14:textId="77777777" w:rsidR="00AB3647" w:rsidRDefault="00000000" w:rsidP="007923E9">
      <w:pPr>
        <w:spacing w:after="120" w:line="276" w:lineRule="auto"/>
        <w:ind w:firstLine="283"/>
        <w:jc w:val="both"/>
      </w:pPr>
      <w:r>
        <w:rPr>
          <w:rtl/>
        </w:rPr>
        <w:t xml:space="preserve">הסיבה שלא נאמרה, שבגללה דחה ר׳ </w:t>
      </w:r>
      <w:proofErr w:type="spellStart"/>
      <w:r>
        <w:rPr>
          <w:rtl/>
        </w:rPr>
        <w:t>לייזר־יעקב</w:t>
      </w:r>
      <w:proofErr w:type="spellEnd"/>
      <w:r>
        <w:rPr>
          <w:rtl/>
        </w:rPr>
        <w:t xml:space="preserve"> את בקשת ידה של בתו לפני 10 שנים, לא הייתה בהכרח חשש שמא המחזר לא “יעמוד על המשמר”, אלא פשוט הפרש הגילים בין בני הזוג – עניין שלא נחשב מכשול בחברה היהודית של גרמניה</w:t>
      </w:r>
      <w:bookmarkStart w:id="3494" w:name="_fnr2578"/>
      <w:r>
        <w:rPr>
          <w:rStyle w:val="a5"/>
        </w:rPr>
        <w:footnoteReference w:id="2585" w:customMarkFollows="0"/>
      </w:r>
      <w:bookmarkEnd w:id="3494"/>
      <w:r>
        <w:rPr>
          <w:rtl/>
        </w:rPr>
        <w:t xml:space="preserve"> כפי שנחשב בקרב יהודי מזרח אירופה. חתנו של ר׳ </w:t>
      </w:r>
      <w:proofErr w:type="spellStart"/>
      <w:r>
        <w:rPr>
          <w:rtl/>
        </w:rPr>
        <w:t>לייזר־יעקב</w:t>
      </w:r>
      <w:proofErr w:type="spellEnd"/>
      <w:r>
        <w:rPr>
          <w:rtl/>
        </w:rPr>
        <w:t xml:space="preserve"> </w:t>
      </w:r>
      <w:proofErr w:type="spellStart"/>
      <w:r>
        <w:rPr>
          <w:rtl/>
        </w:rPr>
        <w:t xml:space="preserve">חווס</w:t>
      </w:r>
      <w:proofErr w:type="spellEnd"/>
      <w:r>
        <w:rPr>
          <w:rtl/>
        </w:rPr>
        <w:t xml:space="preserve">, ר׳ נפתלי </w:t>
      </w:r>
      <w:proofErr w:type="spellStart"/>
      <w:r>
        <w:rPr>
          <w:rtl/>
        </w:rPr>
        <w:t>טרופ</w:t>
      </w:r>
      <w:proofErr w:type="spellEnd"/>
      <w:r>
        <w:rPr>
          <w:rtl/>
        </w:rPr>
        <w:t xml:space="preserve">, היה צעיר מלחמן ב־30 שנה! ר׳ </w:t>
      </w:r>
      <w:proofErr w:type="spellStart"/>
      <w:r>
        <w:rPr>
          <w:rtl/>
        </w:rPr>
        <w:t>לייזר־יעקב</w:t>
      </w:r>
      <w:proofErr w:type="spellEnd"/>
      <w:r>
        <w:rPr>
          <w:rtl/>
        </w:rPr>
        <w:t xml:space="preserve"> היה גם מסוג האנשים שהיו מתנגדים בכלל לכך שבתם תינשא לבית עשיר.</w:t>
      </w:r>
      <w:bookmarkStart w:id="3495" w:name="_fnr2579"/>
      <w:r>
        <w:rPr>
          <w:rStyle w:val="a5"/>
        </w:rPr>
        <w:footnoteReference w:id="2586" w:customMarkFollows="0"/>
      </w:r>
      <w:bookmarkEnd w:id="3495"/>
    </w:p>
    <w:p w14:paraId="4CA8A216" w14:textId="77777777" w:rsidR="00AB3647" w:rsidRDefault="00000000" w:rsidP="007923E9">
      <w:pPr>
        <w:spacing w:after="120" w:line="276" w:lineRule="auto"/>
        <w:ind w:firstLine="283"/>
        <w:jc w:val="both"/>
      </w:pPr>
      <w:r>
        <w:rPr>
          <w:rtl/>
        </w:rPr>
        <w:lastRenderedPageBreak/>
        <w:t xml:space="preserve">חששותיו של ר׳ חיים שלחמן יחדל “לעמוד על המשמר” לא קלעו בדיוק למטרה, אבל היו קרובים אליה. במותו אכן הניח לחמן בצוואתו “קרוב למיליון מרקים לישיבת </w:t>
      </w:r>
      <w:proofErr w:type="spellStart"/>
      <w:r>
        <w:rPr>
          <w:rtl/>
        </w:rPr>
        <w:t>סלבודקה</w:t>
      </w:r>
      <w:proofErr w:type="spellEnd"/>
      <w:r>
        <w:rPr>
          <w:rtl/>
        </w:rPr>
        <w:t>”, אבל הדבר לא יצא אל הפועל! השווה כץ, “תנועת המוסר”, כרך ג</w:t>
      </w:r>
      <w:bookmarkStart w:id="3496" w:name="_fnr2580"/>
      <w:r>
        <w:rPr>
          <w:rStyle w:val="a5"/>
        </w:rPr>
        <w:footnoteReference w:id="2587" w:customMarkFollows="0"/>
      </w:r>
      <w:bookmarkEnd w:id="3496"/>
      <w:r>
        <w:rPr>
          <w:rtl/>
        </w:rPr>
        <w:t xml:space="preserve">, שם נאמר </w:t>
      </w:r>
      <w:proofErr w:type="spellStart"/>
      <w:r>
        <w:rPr>
          <w:rtl/>
        </w:rPr>
        <w:t>ש“ר</w:t>
      </w:r>
      <w:proofErr w:type="spellEnd"/>
      <w:r>
        <w:rPr>
          <w:rtl/>
        </w:rPr>
        <w:t xml:space="preserve">׳ </w:t>
      </w:r>
      <w:proofErr w:type="spellStart"/>
      <w:r>
        <w:rPr>
          <w:rtl/>
        </w:rPr>
        <w:t>משה־מרדכי</w:t>
      </w:r>
      <w:proofErr w:type="spellEnd"/>
      <w:r>
        <w:rPr>
          <w:rtl/>
        </w:rPr>
        <w:t xml:space="preserve"> נסע לגרמניה לקבל את הירושה, </w:t>
      </w:r>
      <w:r>
        <w:rPr>
          <w:b/>
          <w:bCs/>
          <w:rtl/>
        </w:rPr>
        <w:t>אבל היורשים ערערו על הצוואה והצליחו להעביר את כל העיזבון לידיהם</w:t>
      </w:r>
      <w:r>
        <w:rPr>
          <w:rtl/>
        </w:rPr>
        <w:t xml:space="preserve"> (ההדגשה שלי)”.</w:t>
      </w:r>
    </w:p>
    <w:p w14:paraId="7C5EFD0E" w14:textId="77777777" w:rsidR="00AB3647" w:rsidRDefault="00000000" w:rsidP="007923E9">
      <w:pPr>
        <w:spacing w:after="120" w:line="276" w:lineRule="auto"/>
        <w:ind w:firstLine="283"/>
        <w:jc w:val="both"/>
      </w:pPr>
      <w:r>
        <w:rPr>
          <w:rtl/>
        </w:rPr>
        <w:t>ר׳ יחיאל פר</w:t>
      </w:r>
      <w:bookmarkStart w:id="3497" w:name="_fnr2581"/>
      <w:r>
        <w:rPr>
          <w:rStyle w:val="a5"/>
        </w:rPr>
        <w:footnoteReference w:id="2588" w:customMarkFollows="0"/>
      </w:r>
      <w:bookmarkEnd w:id="3497"/>
      <w:r>
        <w:rPr>
          <w:rtl/>
        </w:rPr>
        <w:t xml:space="preserve"> מסר גרסה אחרת של מה שאירע. תחילה, כשנפתחה הצוואה, טענה אחותו של לחמן שאחיה היה מעורער בנפשו, ושנוכלים הטעו אותו לחשוב שקיים בליטא בית ספר בשם ישיבת </w:t>
      </w:r>
      <w:proofErr w:type="spellStart"/>
      <w:r>
        <w:rPr>
          <w:rtl/>
        </w:rPr>
        <w:t>סלבודקה</w:t>
      </w:r>
      <w:proofErr w:type="spellEnd"/>
      <w:r>
        <w:rPr>
          <w:rtl/>
        </w:rPr>
        <w:t xml:space="preserve">, בעוד שלמעשה לא היה בית ספר כזה. המאמר האלמוני </w:t>
      </w:r>
      <w:proofErr w:type="spellStart"/>
      <w:r>
        <w:rPr>
          <w:rtl/>
        </w:rPr>
        <w:t>ב“הזמן</w:t>
      </w:r>
      <w:proofErr w:type="spellEnd"/>
      <w:r>
        <w:rPr>
          <w:rtl/>
        </w:rPr>
        <w:t xml:space="preserve">” [הבלתי מהימן], שנכתב </w:t>
      </w:r>
      <w:proofErr w:type="spellStart"/>
      <w:r>
        <w:rPr>
          <w:rtl/>
        </w:rPr>
        <w:t>אחד־עשר</w:t>
      </w:r>
      <w:proofErr w:type="spellEnd"/>
      <w:r>
        <w:rPr>
          <w:rtl/>
        </w:rPr>
        <w:t xml:space="preserve"> חודש לפני מות לחמן, תומך במקרה בטענתה המאוחרת של האחות שחל שינוי במצבו הנפשי של אחיה. נאמר בו: “בשנותיו האחרונות ירד ענן של עצבות על רוחו של לחמן; האיש הטוב ורב הצדקה הזה נעשה מלנכולי, חולה בגוף ובנפש”.</w:t>
      </w:r>
    </w:p>
    <w:p w14:paraId="631F04D6" w14:textId="77777777" w:rsidR="00AB3647" w:rsidRDefault="00000000" w:rsidP="007923E9">
      <w:pPr>
        <w:spacing w:after="120" w:line="276" w:lineRule="auto"/>
        <w:ind w:firstLine="283"/>
        <w:jc w:val="both"/>
      </w:pPr>
      <w:r>
        <w:rPr>
          <w:rtl/>
        </w:rPr>
        <w:t>בית המשפט הגרמני פנה למִנהל מחוז קובנה לברר אם קיים שם בית ספר יהודי. מאחר שהישיבה התנהלה שלא כחוק</w:t>
      </w:r>
      <w:bookmarkStart w:id="3498" w:name="_fnr2582"/>
      <w:r>
        <w:rPr>
          <w:rStyle w:val="a5"/>
        </w:rPr>
        <w:footnoteReference w:id="2589" w:customMarkFollows="0"/>
      </w:r>
      <w:bookmarkEnd w:id="3498"/>
      <w:r>
        <w:rPr>
          <w:rtl/>
        </w:rPr>
        <w:t xml:space="preserve">, נתן ר׳ </w:t>
      </w:r>
      <w:proofErr w:type="spellStart"/>
      <w:r>
        <w:rPr>
          <w:rtl/>
        </w:rPr>
        <w:t>משה־מרדכי</w:t>
      </w:r>
      <w:proofErr w:type="spellEnd"/>
      <w:r>
        <w:rPr>
          <w:rtl/>
        </w:rPr>
        <w:t xml:space="preserve"> אפשטיין שוחד למפקד המשטרה שבא לערוך את הבירור, ואמר לו: “אם ישאל מישהו על ישיבה </w:t>
      </w:r>
      <w:proofErr w:type="spellStart"/>
      <w:r>
        <w:rPr>
          <w:rtl/>
        </w:rPr>
        <w:t>בסלבודקה</w:t>
      </w:r>
      <w:proofErr w:type="spellEnd"/>
      <w:r>
        <w:rPr>
          <w:rtl/>
        </w:rPr>
        <w:t xml:space="preserve">, הכחש את קיומה”; וכך בדיוק עשה. בית המשפט הגרמני קיבל את דברי משטרת קובנה וביטל את צוואת לחמן. טענתו של כץ שר׳ </w:t>
      </w:r>
      <w:proofErr w:type="spellStart"/>
      <w:r>
        <w:rPr>
          <w:rtl/>
        </w:rPr>
        <w:t>משה־מרדכי</w:t>
      </w:r>
      <w:proofErr w:type="spellEnd"/>
      <w:r>
        <w:rPr>
          <w:rtl/>
        </w:rPr>
        <w:t xml:space="preserve"> אפשטיין נסע לברלין “לקבל את הירושה” עשויה להיות נכונה – אבל לא לפני שהיורשים “ערערו” עליה. ר׳ </w:t>
      </w:r>
      <w:proofErr w:type="spellStart"/>
      <w:r>
        <w:rPr>
          <w:rtl/>
        </w:rPr>
        <w:t>משה־מרדכי</w:t>
      </w:r>
      <w:proofErr w:type="spellEnd"/>
      <w:r>
        <w:rPr>
          <w:rtl/>
        </w:rPr>
        <w:t xml:space="preserve"> נסע לברלין רק אחר כך, כשהבין שהחקירה המשטרתית נועדה לבירור צוואת לחמן. למרבה הצער לא הועילה נסיעתו לברלין. כפי שמסכם ר׳ </w:t>
      </w:r>
      <w:proofErr w:type="spellStart"/>
      <w:r>
        <w:rPr>
          <w:rtl/>
        </w:rPr>
        <w:t>יחיאל־יעקב</w:t>
      </w:r>
      <w:proofErr w:type="spellEnd"/>
      <w:r>
        <w:rPr>
          <w:rtl/>
        </w:rPr>
        <w:t xml:space="preserve"> ויינברג </w:t>
      </w:r>
      <w:proofErr w:type="spellStart"/>
      <w:r>
        <w:rPr>
          <w:rtl/>
        </w:rPr>
        <w:t>ב“נתוני</w:t>
      </w:r>
      <w:proofErr w:type="spellEnd"/>
      <w:r>
        <w:rPr>
          <w:rtl/>
        </w:rPr>
        <w:t xml:space="preserve"> </w:t>
      </w:r>
      <w:proofErr w:type="spellStart"/>
      <w:r>
        <w:rPr>
          <w:rtl/>
        </w:rPr>
        <w:t>סלבודקה</w:t>
      </w:r>
      <w:proofErr w:type="spellEnd"/>
      <w:r>
        <w:rPr>
          <w:rtl/>
        </w:rPr>
        <w:t>”: “הצדיק ר׳ עובדיה לחמן, משענתה האיתנה של הישיבה, נפטר ולא הוריש לישיבה אלא את הזיכרון החי של שמו המכובד ואת רגשי ההודיה והברכה על מפעלי הצדקה המופלאים שלו, שלא יישכחו לעולם”</w:t>
      </w:r>
      <w:bookmarkStart w:id="3499" w:name="_fnr2583"/>
      <w:r>
        <w:rPr>
          <w:rStyle w:val="a5"/>
        </w:rPr>
        <w:footnoteReference w:id="2590" w:customMarkFollows="0"/>
      </w:r>
      <w:bookmarkEnd w:id="3499"/>
      <w:r>
        <w:rPr>
          <w:rtl/>
        </w:rPr>
        <w:t>.</w:t>
      </w:r>
    </w:p>
    <w:p w14:paraId="38095E3C" w14:textId="77777777" w:rsidR="00AB3647" w:rsidRDefault="00000000" w:rsidP="007923E9">
      <w:pPr>
        <w:pStyle w:val="4"/>
        <w:spacing w:line="276" w:lineRule="auto"/>
      </w:pPr>
      <w:r>
        <w:t>· הפסקה הרביעית ·</w:t>
      </w:r>
    </w:p>
    <w:p w14:paraId="5A70EB21" w14:textId="77777777" w:rsidR="00AB3647" w:rsidRDefault="00000000" w:rsidP="007923E9">
      <w:pPr>
        <w:pStyle w:val="5"/>
        <w:spacing w:line="276" w:lineRule="auto"/>
      </w:pPr>
      <w:r>
        <w:t xml:space="preserve">מפקח בתי הספר הרוסי מציין את ניקיונה של </w:t>
      </w:r>
      <w:proofErr w:type="spellStart"/>
      <w:r>
        <w:t>גרובין</w:t>
      </w:r>
      <w:proofErr w:type="spellEnd"/>
    </w:p>
    <w:p w14:paraId="38F927D5" w14:textId="77777777" w:rsidR="00AB3647" w:rsidRDefault="00000000" w:rsidP="007923E9">
      <w:pPr>
        <w:spacing w:after="120" w:line="276" w:lineRule="auto"/>
        <w:ind w:firstLine="283"/>
        <w:jc w:val="both"/>
      </w:pPr>
      <w:r>
        <w:rPr>
          <w:rtl/>
        </w:rPr>
        <w:t xml:space="preserve">בריאיון המוקלט על הסבא </w:t>
      </w:r>
      <w:proofErr w:type="spellStart"/>
      <w:r>
        <w:rPr>
          <w:rtl/>
        </w:rPr>
        <w:t>מסלבודקה</w:t>
      </w:r>
      <w:proofErr w:type="spellEnd"/>
      <w:r>
        <w:rPr>
          <w:rtl/>
        </w:rPr>
        <w:t xml:space="preserve"> סיפר אבי פרט קטן זה: מפקחים מטעם משרד ההשכלה הרוסי ביקרו </w:t>
      </w:r>
      <w:proofErr w:type="spellStart"/>
      <w:r>
        <w:rPr>
          <w:rtl/>
        </w:rPr>
        <w:t>בגרובין</w:t>
      </w:r>
      <w:proofErr w:type="spellEnd"/>
      <w:r>
        <w:rPr>
          <w:rtl/>
        </w:rPr>
        <w:t xml:space="preserve">, ואחד מהם ציין בדוח כתוב שבכל ניסיונו המקצועי בבתי ספר היה זה בית הספר היחיד שמעולם לא מצא בו כתובות על קירות בית הכיסא. </w:t>
      </w:r>
      <w:proofErr w:type="spellStart"/>
      <w:r>
        <w:rPr>
          <w:rtl/>
        </w:rPr>
        <w:t>ב“הצפירה</w:t>
      </w:r>
      <w:proofErr w:type="spellEnd"/>
      <w:r>
        <w:rPr>
          <w:rtl/>
        </w:rPr>
        <w:t>”</w:t>
      </w:r>
      <w:bookmarkStart w:id="3500" w:name="_fnr2584"/>
      <w:r>
        <w:rPr>
          <w:rStyle w:val="a5"/>
        </w:rPr>
        <w:footnoteReference w:id="2591" w:customMarkFollows="0"/>
      </w:r>
      <w:bookmarkEnd w:id="3500"/>
      <w:r>
        <w:rPr>
          <w:rtl/>
        </w:rPr>
        <w:t xml:space="preserve"> נאמר: “המפקח הראשי, היושב בעיר </w:t>
      </w:r>
      <w:proofErr w:type="spellStart"/>
      <w:r>
        <w:rPr>
          <w:rtl/>
        </w:rPr>
        <w:t>דורפט</w:t>
      </w:r>
      <w:proofErr w:type="spellEnd"/>
      <w:r>
        <w:rPr>
          <w:rtl/>
        </w:rPr>
        <w:t xml:space="preserve">, מבקר בבית הספר מדי שנה כדי לבחון את התלמידים במקצועות החול מטעם הממשלה”. יש להבין שהממשלה הרוסית לא ביקשה </w:t>
      </w:r>
      <w:r>
        <w:rPr>
          <w:rtl/>
        </w:rPr>
        <w:lastRenderedPageBreak/>
        <w:t>להבטיח שאזרחיה היהודים יזכו להשכלה טובה, אלא להשגיח על בתי הגידול למהפכנים – בתי הספר</w:t>
      </w:r>
      <w:bookmarkStart w:id="3501" w:name="_fnr2585"/>
      <w:r>
        <w:rPr>
          <w:rStyle w:val="a5"/>
        </w:rPr>
        <w:footnoteReference w:id="2592" w:customMarkFollows="0"/>
      </w:r>
      <w:bookmarkEnd w:id="3501"/>
      <w:r>
        <w:rPr>
          <w:rtl/>
        </w:rPr>
        <w:t>.</w:t>
      </w:r>
    </w:p>
    <w:p w14:paraId="4979DDDC" w14:textId="77777777" w:rsidR="00AB3647" w:rsidRDefault="00000000" w:rsidP="007923E9">
      <w:pPr>
        <w:spacing w:after="120" w:line="276" w:lineRule="auto"/>
        <w:ind w:firstLine="283"/>
        <w:jc w:val="both"/>
      </w:pPr>
      <w:r>
        <w:rPr>
          <w:rtl/>
        </w:rPr>
        <w:t xml:space="preserve">ר׳ ישראל </w:t>
      </w:r>
      <w:proofErr w:type="spellStart"/>
      <w:r>
        <w:rPr>
          <w:rtl/>
        </w:rPr>
        <w:t>שורין</w:t>
      </w:r>
      <w:proofErr w:type="spellEnd"/>
      <w:r>
        <w:rPr>
          <w:rtl/>
        </w:rPr>
        <w:t xml:space="preserve"> סיפר</w:t>
      </w:r>
      <w:bookmarkStart w:id="3502" w:name="_fnr2586"/>
      <w:r>
        <w:rPr>
          <w:rStyle w:val="a5"/>
        </w:rPr>
        <w:footnoteReference w:id="2593" w:customMarkFollows="0"/>
      </w:r>
      <w:bookmarkEnd w:id="3502"/>
      <w:r>
        <w:rPr>
          <w:rtl/>
        </w:rPr>
        <w:t xml:space="preserve"> סיפור ששמע מר׳ ישראל </w:t>
      </w:r>
      <w:proofErr w:type="spellStart"/>
      <w:r>
        <w:rPr>
          <w:rtl/>
        </w:rPr>
        <w:t>סטאם</w:t>
      </w:r>
      <w:proofErr w:type="spellEnd"/>
      <w:r>
        <w:rPr>
          <w:rtl/>
        </w:rPr>
        <w:t xml:space="preserve"> על </w:t>
      </w:r>
      <w:proofErr w:type="spellStart"/>
      <w:r>
        <w:rPr>
          <w:rtl/>
        </w:rPr>
        <w:t>אמו</w:t>
      </w:r>
      <w:proofErr w:type="spellEnd"/>
      <w:r>
        <w:rPr>
          <w:rtl/>
        </w:rPr>
        <w:t xml:space="preserve"> של תלמיד מבית עשיר </w:t>
      </w:r>
      <w:proofErr w:type="spellStart"/>
      <w:r>
        <w:rPr>
          <w:rtl/>
        </w:rPr>
        <w:t>בביאליסטוק</w:t>
      </w:r>
      <w:proofErr w:type="spellEnd"/>
      <w:r>
        <w:rPr>
          <w:rtl/>
        </w:rPr>
        <w:t xml:space="preserve">, שבאה לבקר את בנה </w:t>
      </w:r>
      <w:proofErr w:type="spellStart"/>
      <w:r>
        <w:rPr>
          <w:rtl/>
        </w:rPr>
        <w:t>בגרובין</w:t>
      </w:r>
      <w:proofErr w:type="spellEnd"/>
      <w:r>
        <w:rPr>
          <w:rtl/>
        </w:rPr>
        <w:t xml:space="preserve">. לתדהמתה מצאה אותו מטאטא את רצפת בית המדרש. היא סיפרה </w:t>
      </w:r>
      <w:proofErr w:type="spellStart"/>
      <w:r>
        <w:rPr>
          <w:rtl/>
        </w:rPr>
        <w:t>לר</w:t>
      </w:r>
      <w:proofErr w:type="spellEnd"/>
      <w:r>
        <w:rPr>
          <w:rtl/>
        </w:rPr>
        <w:t xml:space="preserve">׳ </w:t>
      </w:r>
      <w:proofErr w:type="spellStart"/>
      <w:r>
        <w:rPr>
          <w:rtl/>
        </w:rPr>
        <w:t>שמחה־זיסל</w:t>
      </w:r>
      <w:proofErr w:type="spellEnd"/>
      <w:r>
        <w:rPr>
          <w:rtl/>
        </w:rPr>
        <w:t xml:space="preserve"> עד כמה הדבר מכעיס אותה: בביתה אפילו היא עצמה אינה מטאטאת את הרצפה אלא משרתת, וכאן, במקום שאליו נשלח בנה ללמוד, הוא עושה עבודה שחורה ושפלה כזאת. הסבא מקלם השיב: “</w:t>
      </w:r>
      <w:proofErr w:type="spellStart"/>
      <w:r>
        <w:rPr>
          <w:rtl/>
        </w:rPr>
        <w:t>וואס</w:t>
      </w:r>
      <w:proofErr w:type="spellEnd"/>
      <w:r>
        <w:rPr>
          <w:rtl/>
        </w:rPr>
        <w:t xml:space="preserve"> </w:t>
      </w:r>
      <w:proofErr w:type="spellStart"/>
      <w:r>
        <w:rPr>
          <w:rtl/>
        </w:rPr>
        <w:t>קעהרט</w:t>
      </w:r>
      <w:proofErr w:type="spellEnd"/>
      <w:r>
        <w:rPr>
          <w:rtl/>
        </w:rPr>
        <w:t xml:space="preserve"> </w:t>
      </w:r>
      <w:proofErr w:type="spellStart"/>
      <w:r>
        <w:rPr>
          <w:rtl/>
        </w:rPr>
        <w:t>אויס</w:t>
      </w:r>
      <w:proofErr w:type="spellEnd"/>
      <w:r>
        <w:rPr>
          <w:rtl/>
        </w:rPr>
        <w:t xml:space="preserve"> דא [מי שמטאטא כאן] </w:t>
      </w:r>
      <w:proofErr w:type="spellStart"/>
      <w:r>
        <w:rPr>
          <w:rtl/>
        </w:rPr>
        <w:t>וועט</w:t>
      </w:r>
      <w:proofErr w:type="spellEnd"/>
      <w:r>
        <w:rPr>
          <w:rtl/>
        </w:rPr>
        <w:t xml:space="preserve"> ניט </w:t>
      </w:r>
      <w:proofErr w:type="spellStart"/>
      <w:r>
        <w:rPr>
          <w:rtl/>
        </w:rPr>
        <w:t>איבערקעהרען</w:t>
      </w:r>
      <w:proofErr w:type="spellEnd"/>
      <w:r>
        <w:rPr>
          <w:rtl/>
        </w:rPr>
        <w:t xml:space="preserve"> [לא יהפוך] את העולם” – משחק מילים על הפועל היידי “</w:t>
      </w:r>
      <w:proofErr w:type="spellStart"/>
      <w:r>
        <w:rPr>
          <w:rtl/>
        </w:rPr>
        <w:t>קעהרען</w:t>
      </w:r>
      <w:proofErr w:type="spellEnd"/>
      <w:r>
        <w:rPr>
          <w:rtl/>
        </w:rPr>
        <w:t xml:space="preserve">”, שפירושו הן “לטאטא” והן “להפוך”. ר׳ </w:t>
      </w:r>
      <w:proofErr w:type="spellStart"/>
      <w:r>
        <w:rPr>
          <w:rtl/>
        </w:rPr>
        <w:t>שמחה־זיסל</w:t>
      </w:r>
      <w:proofErr w:type="spellEnd"/>
      <w:r>
        <w:rPr>
          <w:rtl/>
        </w:rPr>
        <w:t xml:space="preserve"> אמר לאם שעליה להתעלם</w:t>
      </w:r>
      <w:r>
        <w:t xml:space="preserve"> </w:t>
      </w:r>
      <w:r>
        <w:rPr>
          <w:rtl/>
        </w:rPr>
        <w:t xml:space="preserve">מזוטות כאלה, ולשמוח על כך שבזכות החינוך שבנה מקבל </w:t>
      </w:r>
      <w:proofErr w:type="spellStart"/>
      <w:r>
        <w:rPr>
          <w:rtl/>
        </w:rPr>
        <w:t>בגרובין</w:t>
      </w:r>
      <w:proofErr w:type="spellEnd"/>
      <w:r>
        <w:rPr>
          <w:rtl/>
        </w:rPr>
        <w:t xml:space="preserve"> לא יהיה מהפכן.</w:t>
      </w:r>
    </w:p>
    <w:p w14:paraId="634125B3" w14:textId="77777777" w:rsidR="00AB3647" w:rsidRDefault="00000000" w:rsidP="007923E9">
      <w:pPr>
        <w:spacing w:after="120" w:line="276" w:lineRule="auto"/>
        <w:ind w:firstLine="283"/>
        <w:jc w:val="both"/>
      </w:pPr>
      <w:r>
        <w:rPr>
          <w:rtl/>
        </w:rPr>
        <w:t xml:space="preserve">ר׳ ישראל </w:t>
      </w:r>
      <w:proofErr w:type="spellStart"/>
      <w:r>
        <w:rPr>
          <w:rtl/>
        </w:rPr>
        <w:t>סטאם</w:t>
      </w:r>
      <w:proofErr w:type="spellEnd"/>
      <w:r>
        <w:rPr>
          <w:rtl/>
        </w:rPr>
        <w:t xml:space="preserve"> למד אצל תלמיד </w:t>
      </w:r>
      <w:proofErr w:type="spellStart"/>
      <w:r>
        <w:rPr>
          <w:rtl/>
        </w:rPr>
        <w:t>גרובין</w:t>
      </w:r>
      <w:proofErr w:type="spellEnd"/>
      <w:r>
        <w:rPr>
          <w:rtl/>
        </w:rPr>
        <w:t xml:space="preserve"> ר׳ </w:t>
      </w:r>
      <w:proofErr w:type="spellStart"/>
      <w:r>
        <w:rPr>
          <w:rtl/>
        </w:rPr>
        <w:t xml:space="preserve">בנצה־וועלוול</w:t>
      </w:r>
      <w:proofErr w:type="spellEnd"/>
      <w:r>
        <w:rPr>
          <w:rtl/>
        </w:rPr>
        <w:t xml:space="preserve"> </w:t>
      </w:r>
      <w:proofErr w:type="spellStart"/>
      <w:r>
        <w:rPr>
          <w:rtl/>
        </w:rPr>
        <w:t>קרניץ</w:t>
      </w:r>
      <w:bookmarkStart w:id="3503" w:name="_fnr2587"/>
      <w:proofErr w:type="spellEnd"/>
      <w:r>
        <w:rPr>
          <w:rStyle w:val="a5"/>
        </w:rPr>
        <w:footnoteReference w:id="2594" w:customMarkFollows="0"/>
      </w:r>
      <w:bookmarkEnd w:id="3503"/>
      <w:r>
        <w:rPr>
          <w:rtl/>
        </w:rPr>
        <w:t xml:space="preserve">. לאחר שנישא והתיישב </w:t>
      </w:r>
      <w:proofErr w:type="spellStart"/>
      <w:r>
        <w:rPr>
          <w:rtl/>
        </w:rPr>
        <w:t>בקלם</w:t>
      </w:r>
      <w:proofErr w:type="spellEnd"/>
      <w:r>
        <w:rPr>
          <w:rtl/>
        </w:rPr>
        <w:t xml:space="preserve"> למד בתלמוד תורה אצל ר׳ </w:t>
      </w:r>
      <w:proofErr w:type="spellStart"/>
      <w:r>
        <w:rPr>
          <w:rtl/>
        </w:rPr>
        <w:t>שמחה־זיסל</w:t>
      </w:r>
      <w:proofErr w:type="spellEnd"/>
      <w:r>
        <w:rPr>
          <w:rtl/>
        </w:rPr>
        <w:t xml:space="preserve"> זיו זמן קצר לפני פטירתו, ואחר כך אצל ממשיכיו. בנו של ר׳ </w:t>
      </w:r>
      <w:proofErr w:type="spellStart"/>
      <w:r>
        <w:rPr>
          <w:rtl/>
        </w:rPr>
        <w:t>שמחה־זיסל</w:t>
      </w:r>
      <w:proofErr w:type="spellEnd"/>
      <w:r>
        <w:rPr>
          <w:rtl/>
        </w:rPr>
        <w:t xml:space="preserve">, ר׳ </w:t>
      </w:r>
      <w:proofErr w:type="spellStart"/>
      <w:r>
        <w:rPr>
          <w:rtl/>
        </w:rPr>
        <w:t>נחום־זאב</w:t>
      </w:r>
      <w:proofErr w:type="spellEnd"/>
      <w:r>
        <w:rPr>
          <w:rtl/>
        </w:rPr>
        <w:t xml:space="preserve">, ציווה לפני מותו שרק הרב </w:t>
      </w:r>
      <w:proofErr w:type="spellStart"/>
      <w:r>
        <w:rPr>
          <w:rtl/>
        </w:rPr>
        <w:t>סטאם</w:t>
      </w:r>
      <w:proofErr w:type="spellEnd"/>
      <w:r>
        <w:rPr>
          <w:rtl/>
        </w:rPr>
        <w:t xml:space="preserve"> יספידו</w:t>
      </w:r>
      <w:bookmarkStart w:id="3504" w:name="_fnr2588"/>
      <w:r>
        <w:rPr>
          <w:rStyle w:val="a5"/>
        </w:rPr>
        <w:footnoteReference w:id="2595" w:customMarkFollows="0"/>
      </w:r>
      <w:bookmarkEnd w:id="3504"/>
      <w:r>
        <w:rPr>
          <w:rtl/>
        </w:rPr>
        <w:t>. כץ, “תנועת המוסר”, כרך ב</w:t>
      </w:r>
      <w:bookmarkStart w:id="3505" w:name="_fnr2589"/>
      <w:r>
        <w:rPr>
          <w:rStyle w:val="a5"/>
        </w:rPr>
        <w:footnoteReference w:id="2596" w:customMarkFollows="0"/>
      </w:r>
      <w:bookmarkEnd w:id="3505"/>
      <w:r>
        <w:rPr>
          <w:rtl/>
        </w:rPr>
        <w:t xml:space="preserve">, כותב שר׳ </w:t>
      </w:r>
      <w:proofErr w:type="spellStart"/>
      <w:r>
        <w:rPr>
          <w:rtl/>
        </w:rPr>
        <w:t>נחום־זאב</w:t>
      </w:r>
      <w:proofErr w:type="spellEnd"/>
      <w:r>
        <w:rPr>
          <w:rtl/>
        </w:rPr>
        <w:t xml:space="preserve"> ביקש שבהספד ייאמר שבח אחד בלבד – “היה לו הרצון להתקרב לאמונה”.</w:t>
      </w:r>
    </w:p>
    <w:bookmarkStart w:id="3506" w:name="b3_excZ"/>
    <w:p w14:paraId="555029A1" w14:textId="77777777" w:rsidR="00AB3647" w:rsidRDefault="00000000" w:rsidP="007923E9">
      <w:pPr>
        <w:pStyle w:val="3"/>
        <w:spacing w:line="276" w:lineRule="auto"/>
      </w:pPr>
      <w:r>
        <w:lastRenderedPageBreak/>
        <w:fldChar w:fldCharType="begin" w:dirty="true"/>
      </w:r>
      <w:r>
        <w:rPr>
          <w:rtl w:val="0"/>
        </w:rPr>
        <w:instrText>HYPERLINK \l "b3_note111</w:instrText>
      </w:r>
      <w:r>
        <w:instrText>"</w:instrText>
      </w:r>
      <w:r>
        <w:fldChar w:fldCharType="separate"/>
      </w:r>
      <w:r>
        <w:t xml:space="preserve">נספח </w:t>
      </w:r>
      <w:proofErr w:type="spellStart"/>
      <w:r>
        <w:t>כו</w:t>
      </w:r>
      <w:proofErr w:type="spellEnd"/>
      <w:r>
        <w:fldChar w:fldCharType="end"/>
      </w:r>
      <w:bookmarkEnd w:id="3506"/>
    </w:p>
    <w:p w14:paraId="7F59EB03" w14:textId="77777777" w:rsidR="00AB3647" w:rsidRDefault="00000000" w:rsidP="007923E9">
      <w:pPr>
        <w:pStyle w:val="af"/>
        <w:spacing w:line="276" w:lineRule="auto"/>
      </w:pPr>
      <w:r>
        <w:t xml:space="preserve">כיצד פירשו ר׳ ישראל </w:t>
      </w:r>
      <w:proofErr w:type="spellStart"/>
      <w:r>
        <w:t>סלנטר</w:t>
      </w:r>
      <w:proofErr w:type="spellEnd"/>
      <w:r>
        <w:t xml:space="preserve"> ור׳ לייב החסיד מקלם שרפות יוצאות דופן; כיצד התייחס רבנו לדיונים על הגולם ועל דיבוקים; ועל אמונות טפלות</w:t>
      </w:r>
    </w:p>
    <w:p w14:paraId="3799D703" w14:textId="77777777" w:rsidR="00AB3647" w:rsidRDefault="00000000" w:rsidP="007923E9">
      <w:pPr>
        <w:pStyle w:val="4"/>
        <w:spacing w:line="276" w:lineRule="auto"/>
      </w:pPr>
      <w:r>
        <w:t>· הפסקה הראשונה ·</w:t>
      </w:r>
    </w:p>
    <w:p w14:paraId="23DA70EC" w14:textId="77777777" w:rsidR="00AB3647" w:rsidRDefault="00000000" w:rsidP="007923E9">
      <w:pPr>
        <w:pStyle w:val="5"/>
        <w:spacing w:line="276" w:lineRule="auto"/>
      </w:pPr>
      <w:r>
        <w:t xml:space="preserve">ביקורו הראשון של ר׳ </w:t>
      </w:r>
      <w:proofErr w:type="spellStart"/>
      <w:r>
        <w:t xml:space="preserve">בער־הירש</w:t>
      </w:r>
      <w:proofErr w:type="spellEnd"/>
      <w:r>
        <w:t xml:space="preserve"> אצל ר׳ לייב החסיד – כיצד הוא מתקבל בביקורו השני – ר׳ לייב הוא סמל האמת, החסד, החסידות והפיקחות – ר׳ לייב מת </w:t>
      </w:r>
      <w:proofErr w:type="spellStart"/>
      <w:r>
        <w:t>בציטוביאן</w:t>
      </w:r>
      <w:proofErr w:type="spellEnd"/>
      <w:r>
        <w:t xml:space="preserve"> – מה מספרים ילדי החדר </w:t>
      </w:r>
      <w:proofErr w:type="spellStart"/>
      <w:r>
        <w:t>בציטוביאן</w:t>
      </w:r>
      <w:proofErr w:type="spellEnd"/>
      <w:r>
        <w:t xml:space="preserve"> על ר׳ לייב – גוי מספר </w:t>
      </w:r>
      <w:proofErr w:type="spellStart"/>
      <w:r>
        <w:t>לר</w:t>
      </w:r>
      <w:proofErr w:type="spellEnd"/>
      <w:r>
        <w:t xml:space="preserve">׳ משה </w:t>
      </w:r>
      <w:proofErr w:type="spellStart"/>
      <w:r>
        <w:t>ברלוביץ</w:t>
      </w:r>
      <w:proofErr w:type="spellEnd"/>
      <w:r>
        <w:t xml:space="preserve"> עושה הזפת, מארחו של החסיד בימות הקיץ, על התנגשותו הרת האסון עם ר׳ לייב</w:t>
      </w:r>
    </w:p>
    <w:p w14:paraId="0E2AD79E" w14:textId="77777777" w:rsidR="00AB3647" w:rsidRDefault="00000000" w:rsidP="007923E9">
      <w:pPr>
        <w:spacing w:after="120" w:line="276" w:lineRule="auto"/>
        <w:ind w:firstLine="283"/>
        <w:jc w:val="both"/>
      </w:pPr>
      <w:r>
        <w:rPr>
          <w:rtl/>
        </w:rPr>
        <w:t xml:space="preserve">אבי סיפר שבדרכו חזרה </w:t>
      </w:r>
      <w:proofErr w:type="spellStart"/>
      <w:r>
        <w:rPr>
          <w:rtl/>
        </w:rPr>
        <w:t>מגרובין</w:t>
      </w:r>
      <w:proofErr w:type="spellEnd"/>
      <w:r>
        <w:rPr>
          <w:rtl/>
        </w:rPr>
        <w:t xml:space="preserve"> לעיר מולדתו שילל, שבה היה אביו שמש, עצר ר׳ </w:t>
      </w:r>
      <w:proofErr w:type="spellStart"/>
      <w:r>
        <w:rPr>
          <w:rtl/>
        </w:rPr>
        <w:t xml:space="preserve">בער־הירש</w:t>
      </w:r>
      <w:proofErr w:type="spellEnd"/>
      <w:r>
        <w:rPr>
          <w:rtl/>
        </w:rPr>
        <w:t xml:space="preserve"> </w:t>
      </w:r>
      <w:proofErr w:type="spellStart"/>
      <w:r>
        <w:rPr>
          <w:rtl/>
        </w:rPr>
        <w:t>בקלם</w:t>
      </w:r>
      <w:proofErr w:type="spellEnd"/>
      <w:r>
        <w:rPr>
          <w:rtl/>
        </w:rPr>
        <w:t xml:space="preserve"> כדי לפגוש את ר׳ לייב </w:t>
      </w:r>
      <w:proofErr w:type="spellStart"/>
      <w:r>
        <w:rPr>
          <w:rtl/>
        </w:rPr>
        <w:t>ציגלר</w:t>
      </w:r>
      <w:proofErr w:type="spellEnd"/>
      <w:r>
        <w:rPr>
          <w:rtl/>
        </w:rPr>
        <w:t>, הידוע בשם ר׳ לייב חסיד. השווה כץ, “תנועת המוסר”, כרך ב</w:t>
      </w:r>
      <w:bookmarkStart w:id="3507" w:name="_fnr2590"/>
      <w:r>
        <w:rPr>
          <w:rStyle w:val="a5"/>
        </w:rPr>
        <w:footnoteReference w:id="2597" w:customMarkFollows="0"/>
      </w:r>
      <w:bookmarkEnd w:id="3507"/>
      <w:r>
        <w:rPr>
          <w:rtl/>
        </w:rPr>
        <w:t xml:space="preserve">, שלפיו בא ר׳ לייזר </w:t>
      </w:r>
      <w:proofErr w:type="spellStart"/>
      <w:r>
        <w:rPr>
          <w:rtl/>
        </w:rPr>
        <w:t>שולביץ</w:t>
      </w:r>
      <w:proofErr w:type="spellEnd"/>
      <w:r>
        <w:rPr>
          <w:rtl/>
        </w:rPr>
        <w:t xml:space="preserve"> </w:t>
      </w:r>
      <w:proofErr w:type="spellStart"/>
      <w:r>
        <w:rPr>
          <w:rtl/>
        </w:rPr>
        <w:t>מאיישישוק</w:t>
      </w:r>
      <w:proofErr w:type="spellEnd"/>
      <w:r>
        <w:rPr>
          <w:rtl/>
        </w:rPr>
        <w:t xml:space="preserve"> </w:t>
      </w:r>
      <w:proofErr w:type="spellStart"/>
      <w:r>
        <w:rPr>
          <w:rtl/>
        </w:rPr>
        <w:t>לקלם</w:t>
      </w:r>
      <w:proofErr w:type="spellEnd"/>
      <w:r>
        <w:rPr>
          <w:rtl/>
        </w:rPr>
        <w:t xml:space="preserve"> כדי לשהות בקרבת ר׳ לייב, ובאותה עת פגש את ר׳ </w:t>
      </w:r>
      <w:proofErr w:type="spellStart"/>
      <w:r>
        <w:rPr>
          <w:rtl/>
        </w:rPr>
        <w:t>שמחה־זיסל</w:t>
      </w:r>
      <w:proofErr w:type="spellEnd"/>
      <w:r>
        <w:rPr>
          <w:rtl/>
        </w:rPr>
        <w:t xml:space="preserve"> זיו, נעשה דבק במוסר, ולימים הלך בעקבות הסבא מקלם </w:t>
      </w:r>
      <w:proofErr w:type="spellStart"/>
      <w:r>
        <w:rPr>
          <w:rtl/>
        </w:rPr>
        <w:t>לגרובין</w:t>
      </w:r>
      <w:bookmarkStart w:id="3508" w:name="_fnr2591"/>
      <w:proofErr w:type="spellEnd"/>
      <w:r>
        <w:rPr>
          <w:rStyle w:val="a5"/>
        </w:rPr>
        <w:footnoteReference w:id="2598" w:customMarkFollows="0"/>
      </w:r>
      <w:bookmarkEnd w:id="3508"/>
      <w:r>
        <w:rPr>
          <w:rtl/>
        </w:rPr>
        <w:t xml:space="preserve">. ייתכן מאוד </w:t>
      </w:r>
      <w:proofErr w:type="spellStart"/>
      <w:r>
        <w:rPr>
          <w:rtl/>
        </w:rPr>
        <w:t>שבגרובין</w:t>
      </w:r>
      <w:proofErr w:type="spellEnd"/>
      <w:r>
        <w:rPr>
          <w:rtl/>
        </w:rPr>
        <w:t xml:space="preserve"> סיפר ר׳ לייזר </w:t>
      </w:r>
      <w:proofErr w:type="spellStart"/>
      <w:r>
        <w:rPr>
          <w:rtl/>
        </w:rPr>
        <w:t>לר</w:t>
      </w:r>
      <w:proofErr w:type="spellEnd"/>
      <w:r>
        <w:rPr>
          <w:rtl/>
        </w:rPr>
        <w:t xml:space="preserve">׳ </w:t>
      </w:r>
      <w:proofErr w:type="spellStart"/>
      <w:r>
        <w:rPr>
          <w:rtl/>
        </w:rPr>
        <w:t xml:space="preserve">בער־הירש</w:t>
      </w:r>
      <w:proofErr w:type="spellEnd"/>
      <w:r>
        <w:rPr>
          <w:rtl/>
        </w:rPr>
        <w:t xml:space="preserve"> על ר׳ לייב, ועורר בו את הרצון להכיר אדם מיוחד זה.</w:t>
      </w:r>
    </w:p>
    <w:p w14:paraId="1C9E7FA0" w14:textId="77777777" w:rsidR="00AB3647" w:rsidRDefault="00000000" w:rsidP="007923E9">
      <w:pPr>
        <w:spacing w:after="120" w:line="276" w:lineRule="auto"/>
        <w:ind w:firstLine="283"/>
        <w:jc w:val="both"/>
      </w:pPr>
      <w:r>
        <w:rPr>
          <w:rtl/>
        </w:rPr>
        <w:t xml:space="preserve">כשנכנס ר׳ </w:t>
      </w:r>
      <w:proofErr w:type="spellStart"/>
      <w:r>
        <w:rPr>
          <w:rtl/>
        </w:rPr>
        <w:t xml:space="preserve">בער־הירש</w:t>
      </w:r>
      <w:proofErr w:type="spellEnd"/>
      <w:r>
        <w:rPr>
          <w:rtl/>
        </w:rPr>
        <w:t xml:space="preserve"> לביתו של ר׳ לייב, קיבלו בעל הבית במאור פנים כזה, עד שסבר שחושבים אותו לקרוב משפחה. כששאל אותו ר׳ לייב אחר כך לשמו, הבין שכך מקבל החסיד את כל אורחיו. השווה </w:t>
      </w:r>
      <w:proofErr w:type="spellStart"/>
      <w:r>
        <w:rPr>
          <w:rtl/>
        </w:rPr>
        <w:t>ידעאל</w:t>
      </w:r>
      <w:proofErr w:type="spellEnd"/>
      <w:r>
        <w:rPr>
          <w:rtl/>
        </w:rPr>
        <w:t xml:space="preserve"> מלצר, “בדרך עץ החיים”</w:t>
      </w:r>
      <w:bookmarkStart w:id="3509" w:name="_fnr2592"/>
      <w:r>
        <w:rPr>
          <w:rStyle w:val="a5"/>
        </w:rPr>
        <w:footnoteReference w:id="2599" w:customMarkFollows="0"/>
      </w:r>
      <w:bookmarkEnd w:id="3509"/>
      <w:r>
        <w:rPr>
          <w:rtl/>
        </w:rPr>
        <w:t xml:space="preserve">, שכך אירע גם לאורח אחר של ר׳ לייב, ר׳ ראובן </w:t>
      </w:r>
      <w:proofErr w:type="spellStart"/>
      <w:r>
        <w:rPr>
          <w:rtl/>
        </w:rPr>
        <w:t>מילצקי</w:t>
      </w:r>
      <w:bookmarkStart w:id="3510" w:name="_fnr2593"/>
      <w:proofErr w:type="spellEnd"/>
      <w:r>
        <w:rPr>
          <w:rStyle w:val="a5"/>
        </w:rPr>
        <w:footnoteReference w:id="2600" w:customMarkFollows="0"/>
      </w:r>
      <w:bookmarkEnd w:id="3510"/>
      <w:r>
        <w:rPr>
          <w:rtl/>
        </w:rPr>
        <w:t>. השווה גם כץ, שם</w:t>
      </w:r>
      <w:bookmarkStart w:id="3511" w:name="_fnr2594"/>
      <w:r>
        <w:rPr>
          <w:rStyle w:val="a5"/>
        </w:rPr>
        <w:footnoteReference w:id="2601" w:customMarkFollows="0"/>
      </w:r>
      <w:bookmarkEnd w:id="3511"/>
      <w:r>
        <w:rPr>
          <w:rtl/>
        </w:rPr>
        <w:t xml:space="preserve">, שלפיו ר׳ משה </w:t>
      </w:r>
      <w:proofErr w:type="spellStart"/>
      <w:r>
        <w:rPr>
          <w:rtl/>
        </w:rPr>
        <w:t>רוזנשטיין</w:t>
      </w:r>
      <w:proofErr w:type="spellEnd"/>
      <w:r>
        <w:rPr>
          <w:rtl/>
        </w:rPr>
        <w:t xml:space="preserve">, לימים משגיח בישיבת </w:t>
      </w:r>
      <w:proofErr w:type="spellStart"/>
      <w:r>
        <w:rPr>
          <w:rtl/>
        </w:rPr>
        <w:t>לומז׳ה</w:t>
      </w:r>
      <w:proofErr w:type="spellEnd"/>
      <w:r>
        <w:rPr>
          <w:rtl/>
        </w:rPr>
        <w:t xml:space="preserve">, ביקר בתלמוד תורה </w:t>
      </w:r>
      <w:proofErr w:type="spellStart"/>
      <w:r>
        <w:rPr>
          <w:rtl/>
        </w:rPr>
        <w:t>בקלם</w:t>
      </w:r>
      <w:proofErr w:type="spellEnd"/>
      <w:r>
        <w:rPr>
          <w:rtl/>
        </w:rPr>
        <w:t xml:space="preserve"> שנים אחדות לאחר מותו של ר׳ לייב, ומצא כי נראה שהתלמידים אימצו את הנהגתו של החסיד.</w:t>
      </w:r>
    </w:p>
    <w:p w14:paraId="0792CB96" w14:textId="77777777" w:rsidR="00AB3647" w:rsidRDefault="00000000" w:rsidP="007923E9">
      <w:pPr>
        <w:spacing w:after="120" w:line="276" w:lineRule="auto"/>
        <w:ind w:firstLine="283"/>
        <w:jc w:val="both"/>
      </w:pPr>
      <w:r>
        <w:rPr>
          <w:rtl/>
        </w:rPr>
        <w:t xml:space="preserve">ר׳ </w:t>
      </w:r>
      <w:proofErr w:type="spellStart"/>
      <w:r>
        <w:rPr>
          <w:rtl/>
        </w:rPr>
        <w:t xml:space="preserve">בער־הירש</w:t>
      </w:r>
      <w:proofErr w:type="spellEnd"/>
      <w:r>
        <w:rPr>
          <w:rtl/>
        </w:rPr>
        <w:t xml:space="preserve"> שאל את מארחו מה יעשה כדי שלא להרגיש גאווה. התשובה שקיבל הרב </w:t>
      </w:r>
      <w:proofErr w:type="spellStart"/>
      <w:r>
        <w:rPr>
          <w:rtl/>
        </w:rPr>
        <w:t xml:space="preserve">הלר</w:t>
      </w:r>
      <w:proofErr w:type="spellEnd"/>
      <w:r>
        <w:rPr>
          <w:rtl/>
        </w:rPr>
        <w:t xml:space="preserve"> הספיקה לשכנעו שר׳ לייב עומד במדרגת חסידות שאין הוא יכול להגיע אליה. “כיצד יכול אתה להרגיש גאווה”, שאל ר׳ לייב שאלה רטורית, “כאשר הכתוב אומר בפירוש ‘תועבת ה׳ כל גבה לב׳ [משלי </w:t>
      </w:r>
      <w:proofErr w:type="spellStart"/>
      <w:r>
        <w:rPr>
          <w:rtl/>
        </w:rPr>
        <w:t>טז</w:t>
      </w:r>
      <w:proofErr w:type="spellEnd"/>
      <w:r>
        <w:rPr>
          <w:rtl/>
        </w:rPr>
        <w:t>, ה]?”</w:t>
      </w:r>
      <w:bookmarkStart w:id="3512" w:name="_fnr2595"/>
      <w:r>
        <w:rPr>
          <w:rStyle w:val="a5"/>
        </w:rPr>
        <w:footnoteReference w:id="2602" w:customMarkFollows="0"/>
      </w:r>
      <w:bookmarkEnd w:id="3512"/>
    </w:p>
    <w:p w14:paraId="2598DE49" w14:textId="77777777" w:rsidR="00AB3647" w:rsidRDefault="00000000" w:rsidP="007923E9">
      <w:pPr>
        <w:spacing w:after="120" w:line="276" w:lineRule="auto"/>
        <w:ind w:firstLine="283"/>
        <w:jc w:val="both"/>
      </w:pPr>
      <w:r>
        <w:rPr>
          <w:rtl/>
        </w:rPr>
        <w:t xml:space="preserve">ר׳ אשר </w:t>
      </w:r>
      <w:proofErr w:type="spellStart"/>
      <w:r>
        <w:rPr>
          <w:rtl/>
        </w:rPr>
        <w:t>קצמן</w:t>
      </w:r>
      <w:proofErr w:type="spellEnd"/>
      <w:r>
        <w:rPr>
          <w:rtl/>
        </w:rPr>
        <w:t xml:space="preserve"> סיפר</w:t>
      </w:r>
      <w:bookmarkStart w:id="3513" w:name="_fnr2596"/>
      <w:r>
        <w:rPr>
          <w:rStyle w:val="a5"/>
        </w:rPr>
        <w:footnoteReference w:id="2603" w:customMarkFollows="0"/>
      </w:r>
      <w:bookmarkEnd w:id="3513"/>
      <w:r>
        <w:rPr>
          <w:rtl/>
        </w:rPr>
        <w:t xml:space="preserve"> בשם אבי שר׳ </w:t>
      </w:r>
      <w:proofErr w:type="spellStart"/>
      <w:r>
        <w:rPr>
          <w:rtl/>
        </w:rPr>
        <w:t xml:space="preserve">בער־הירש</w:t>
      </w:r>
      <w:proofErr w:type="spellEnd"/>
      <w:r>
        <w:rPr>
          <w:rtl/>
        </w:rPr>
        <w:t xml:space="preserve"> ביקר אצל ר׳ לייב פעם שנייה, בדרכו חזרה </w:t>
      </w:r>
      <w:proofErr w:type="spellStart"/>
      <w:r>
        <w:rPr>
          <w:rtl/>
        </w:rPr>
        <w:t>לגרובין</w:t>
      </w:r>
      <w:proofErr w:type="spellEnd"/>
      <w:r>
        <w:rPr>
          <w:rtl/>
        </w:rPr>
        <w:t xml:space="preserve">. הפעם קיבל ר׳ לייב את פני אורחו, שכבר ציפה לבואו, בנרות דולקים שהכין על שולחנו. כששאל הרב </w:t>
      </w:r>
      <w:proofErr w:type="spellStart"/>
      <w:r>
        <w:rPr>
          <w:rtl/>
        </w:rPr>
        <w:t xml:space="preserve">הלר</w:t>
      </w:r>
      <w:proofErr w:type="spellEnd"/>
      <w:r>
        <w:rPr>
          <w:rtl/>
        </w:rPr>
        <w:t xml:space="preserve"> מדוע הוא מתקבל כך, נאמר לו: “מכיוון שגדולה הכנסת </w:t>
      </w:r>
      <w:r>
        <w:rPr>
          <w:rtl/>
        </w:rPr>
        <w:lastRenderedPageBreak/>
        <w:t>אורחים מהקבלת פני השכינה</w:t>
      </w:r>
      <w:bookmarkStart w:id="3514" w:name="_fnr2597"/>
      <w:r>
        <w:rPr>
          <w:rStyle w:val="a5"/>
        </w:rPr>
        <w:footnoteReference w:id="2604" w:customMarkFollows="0"/>
      </w:r>
      <w:bookmarkEnd w:id="3514"/>
      <w:r>
        <w:rPr>
          <w:rtl/>
        </w:rPr>
        <w:t>, עלינו לכבד אורח, בקל וחומר, בכל כבוד שאנו חייבים לכבד בו את השכינה – והטור</w:t>
      </w:r>
      <w:bookmarkStart w:id="3515" w:name="_fnr2598"/>
      <w:r>
        <w:rPr>
          <w:rStyle w:val="a5"/>
        </w:rPr>
        <w:footnoteReference w:id="2605" w:customMarkFollows="0"/>
      </w:r>
      <w:bookmarkEnd w:id="3515"/>
      <w:r>
        <w:rPr>
          <w:rtl/>
        </w:rPr>
        <w:t xml:space="preserve"> מחייב להדליק נרות לכבוד השכינה”.</w:t>
      </w:r>
    </w:p>
    <w:p w14:paraId="7494511C" w14:textId="77777777" w:rsidR="00AB3647" w:rsidRDefault="00000000" w:rsidP="007923E9">
      <w:pPr>
        <w:spacing w:after="120" w:line="276" w:lineRule="auto"/>
        <w:ind w:firstLine="283"/>
        <w:jc w:val="both"/>
      </w:pPr>
      <w:bookmarkStart w:id="3516" w:name="pr_b_1543"/>
      <w:bookmarkEnd w:id="3516"/>
      <w:r>
        <w:rPr>
          <w:rtl/>
        </w:rPr>
        <w:t xml:space="preserve">הפרטים הביוגרפיים הבאים על ר׳ לייב לקוחים ממאמרו של הרב חיים </w:t>
      </w:r>
      <w:proofErr w:type="spellStart"/>
      <w:r>
        <w:rPr>
          <w:rtl/>
        </w:rPr>
        <w:t>קרלינסקי</w:t>
      </w:r>
      <w:proofErr w:type="spellEnd"/>
      <w:r>
        <w:rPr>
          <w:rtl/>
        </w:rPr>
        <w:t xml:space="preserve"> על קלם </w:t>
      </w:r>
      <w:proofErr w:type="spellStart"/>
      <w:r>
        <w:rPr>
          <w:rtl/>
        </w:rPr>
        <w:t>ב“ליטע</w:t>
      </w:r>
      <w:proofErr w:type="spellEnd"/>
      <w:r>
        <w:rPr>
          <w:rtl/>
        </w:rPr>
        <w:t>”</w:t>
      </w:r>
      <w:bookmarkStart w:id="3517" w:name="_fnr2599"/>
      <w:r>
        <w:rPr>
          <w:rStyle w:val="a5"/>
        </w:rPr>
        <w:footnoteReference w:id="2606" w:customMarkFollows="0"/>
      </w:r>
      <w:bookmarkEnd w:id="3517"/>
      <w:r>
        <w:rPr>
          <w:rtl/>
        </w:rPr>
        <w:t xml:space="preserve">: ר׳ לייב היה בנו של טוחן בכפר </w:t>
      </w:r>
      <w:proofErr w:type="spellStart"/>
      <w:r>
        <w:rPr>
          <w:rtl/>
        </w:rPr>
        <w:t>ורפיאן</w:t>
      </w:r>
      <w:proofErr w:type="spellEnd"/>
      <w:r>
        <w:rPr>
          <w:rtl/>
        </w:rPr>
        <w:t xml:space="preserve">, סמוך </w:t>
      </w:r>
      <w:proofErr w:type="spellStart"/>
      <w:r>
        <w:rPr>
          <w:rtl/>
        </w:rPr>
        <w:t>לקלם</w:t>
      </w:r>
      <w:proofErr w:type="spellEnd"/>
      <w:r>
        <w:rPr>
          <w:rtl/>
        </w:rPr>
        <w:t xml:space="preserve">, ועזר לאביו בעבודה הקשה עד נישואיו; אז החל ללמוד תורה בשקידה. הוא נעשה בקי בש״ס ובפוסקים, אבל נשאר בעל בית </w:t>
      </w:r>
      <w:proofErr w:type="spellStart"/>
      <w:r>
        <w:rPr>
          <w:rtl/>
        </w:rPr>
        <w:t>בקלם</w:t>
      </w:r>
      <w:proofErr w:type="spellEnd"/>
      <w:r>
        <w:rPr>
          <w:rtl/>
        </w:rPr>
        <w:t xml:space="preserve">. הוא לא הסכים שיקראו לו רב, ואמר: “אני לייב </w:t>
      </w:r>
      <w:proofErr w:type="spellStart"/>
      <w:r>
        <w:rPr>
          <w:rtl/>
        </w:rPr>
        <w:t>ציגלר</w:t>
      </w:r>
      <w:proofErr w:type="spellEnd"/>
      <w:r>
        <w:rPr>
          <w:rtl/>
        </w:rPr>
        <w:t>, לא רב”. כשהתעקשו בני העיר לנהוג בו בכבוד הראוי לרב, חדל לבוא לבית הכנסת</w:t>
      </w:r>
      <w:bookmarkStart w:id="3518" w:name="_fnr2600"/>
      <w:r>
        <w:rPr>
          <w:rStyle w:val="a5"/>
        </w:rPr>
        <w:footnoteReference w:id="2607" w:customMarkFollows="0"/>
      </w:r>
      <w:bookmarkEnd w:id="3518"/>
      <w:r>
        <w:rPr>
          <w:rtl/>
        </w:rPr>
        <w:t>.</w:t>
      </w:r>
    </w:p>
    <w:p w14:paraId="78F8A105" w14:textId="77777777" w:rsidR="00AB3647" w:rsidRDefault="00000000" w:rsidP="007923E9">
      <w:pPr>
        <w:spacing w:after="120" w:line="276" w:lineRule="auto"/>
        <w:ind w:firstLine="283"/>
        <w:jc w:val="both"/>
      </w:pPr>
      <w:bookmarkStart w:id="3519" w:name="pr_close_b_2462"/>
      <w:bookmarkEnd w:id="3519"/>
      <w:r>
        <w:rPr>
          <w:rtl/>
        </w:rPr>
        <w:t xml:space="preserve">מעניין </w:t>
      </w:r>
      <w:proofErr w:type="spellStart"/>
      <w:r>
        <w:rPr>
          <w:rtl/>
        </w:rPr>
        <w:t>ששמונה־עשרה</w:t>
      </w:r>
      <w:proofErr w:type="spellEnd"/>
      <w:r>
        <w:rPr>
          <w:rtl/>
        </w:rPr>
        <w:t xml:space="preserve"> מן התשובות </w:t>
      </w:r>
      <w:proofErr w:type="spellStart"/>
      <w:r>
        <w:rPr>
          <w:rtl/>
        </w:rPr>
        <w:t>בשו״ת</w:t>
      </w:r>
      <w:proofErr w:type="spellEnd"/>
      <w:r>
        <w:rPr>
          <w:rtl/>
        </w:rPr>
        <w:t xml:space="preserve"> “זכר </w:t>
      </w:r>
      <w:proofErr w:type="spellStart"/>
      <w:r>
        <w:rPr>
          <w:rtl/>
        </w:rPr>
        <w:t>יהוסף</w:t>
      </w:r>
      <w:proofErr w:type="spellEnd"/>
      <w:r>
        <w:rPr>
          <w:rtl/>
        </w:rPr>
        <w:t xml:space="preserve">” על אורח חיים, מאת הגאון הגדול ר׳ </w:t>
      </w:r>
      <w:proofErr w:type="spellStart"/>
      <w:r>
        <w:rPr>
          <w:rtl/>
        </w:rPr>
        <w:t>יוסף־זכריה</w:t>
      </w:r>
      <w:proofErr w:type="spellEnd"/>
      <w:r>
        <w:rPr>
          <w:rtl/>
        </w:rPr>
        <w:t xml:space="preserve"> שטרן, רבה של שאוול – כמעט שביעית מכלל התשובות – מופנות אל “הרב יהודה ליב </w:t>
      </w:r>
      <w:proofErr w:type="spellStart"/>
      <w:r>
        <w:rPr>
          <w:rtl/>
        </w:rPr>
        <w:t>מקעלם</w:t>
      </w:r>
      <w:proofErr w:type="spellEnd"/>
      <w:r>
        <w:rPr>
          <w:rtl/>
        </w:rPr>
        <w:t xml:space="preserve">”, והן משתרעות על עשור, בין תרל״ה </w:t>
      </w:r>
      <w:proofErr w:type="spellStart"/>
      <w:r>
        <w:rPr>
          <w:rtl/>
        </w:rPr>
        <w:t>לתרמ״ה</w:t>
      </w:r>
      <w:proofErr w:type="spellEnd"/>
      <w:r>
        <w:rPr>
          <w:rtl/>
        </w:rPr>
        <w:t xml:space="preserve">. בראשונה שבהן פונים אל ר׳ לייב בתואר הרב יהודה ליב בן מורנו מרדכי. באותה שנה פרסם ר׳ </w:t>
      </w:r>
      <w:proofErr w:type="spellStart"/>
      <w:r>
        <w:rPr>
          <w:rtl/>
        </w:rPr>
        <w:t>יוסף־זכריה</w:t>
      </w:r>
      <w:proofErr w:type="spellEnd"/>
      <w:r>
        <w:rPr>
          <w:rtl/>
        </w:rPr>
        <w:t xml:space="preserve"> שטרן “פירוש חדש על מגילת רות”</w:t>
      </w:r>
      <w:bookmarkStart w:id="3520" w:name="_fnr2601"/>
      <w:r>
        <w:rPr>
          <w:rStyle w:val="a5"/>
        </w:rPr>
        <w:footnoteReference w:id="2608" w:customMarkFollows="0"/>
      </w:r>
      <w:bookmarkEnd w:id="3520"/>
      <w:r>
        <w:rPr>
          <w:rtl/>
        </w:rPr>
        <w:t xml:space="preserve">, ובו הוא מצטט שאלה של ר׳ לייב על הנהגתו של בועז, גיבור מגילת רות, ומכנה את השואל “הרב המופלג החסיד המפורסם </w:t>
      </w:r>
      <w:proofErr w:type="spellStart"/>
      <w:r>
        <w:rPr>
          <w:rtl/>
        </w:rPr>
        <w:t>כמוה״ר</w:t>
      </w:r>
      <w:proofErr w:type="spellEnd"/>
      <w:r>
        <w:rPr>
          <w:rtl/>
        </w:rPr>
        <w:t xml:space="preserve"> יהודה ליב </w:t>
      </w:r>
      <w:proofErr w:type="spellStart"/>
      <w:r>
        <w:rPr>
          <w:rtl/>
        </w:rPr>
        <w:t>מקעלם</w:t>
      </w:r>
      <w:proofErr w:type="spellEnd"/>
      <w:r>
        <w:rPr>
          <w:rtl/>
        </w:rPr>
        <w:t xml:space="preserve">”. גם הסכמה נדירה מאת “ר׳ </w:t>
      </w:r>
      <w:proofErr w:type="spellStart"/>
      <w:r>
        <w:rPr>
          <w:rtl/>
        </w:rPr>
        <w:t>לייבל׳ה</w:t>
      </w:r>
      <w:proofErr w:type="spellEnd"/>
      <w:r>
        <w:rPr>
          <w:rtl/>
        </w:rPr>
        <w:t xml:space="preserve"> חסיד מקלם” נכללת ברשימה הארוכה של הסכמות רבנים ליטאים מפורסמים מאוד לספר “מנהגי ישראל”</w:t>
      </w:r>
      <w:bookmarkStart w:id="3521" w:name="_fnr2602"/>
      <w:r>
        <w:rPr>
          <w:rStyle w:val="a5"/>
        </w:rPr>
        <w:footnoteReference w:id="2609" w:customMarkFollows="0"/>
      </w:r>
      <w:bookmarkEnd w:id="3521"/>
      <w:r>
        <w:rPr>
          <w:rtl/>
        </w:rPr>
        <w:t>.</w:t>
      </w:r>
    </w:p>
    <w:p w14:paraId="754634C6" w14:textId="77777777" w:rsidR="00AB3647" w:rsidRDefault="00000000" w:rsidP="007923E9">
      <w:pPr>
        <w:spacing w:after="120" w:line="276" w:lineRule="auto"/>
        <w:ind w:firstLine="283"/>
        <w:jc w:val="both"/>
      </w:pPr>
      <w:r>
        <w:rPr>
          <w:rtl/>
        </w:rPr>
        <w:t xml:space="preserve">מאמרו של </w:t>
      </w:r>
      <w:proofErr w:type="spellStart"/>
      <w:r>
        <w:rPr>
          <w:rtl/>
        </w:rPr>
        <w:t>קרלינסקי</w:t>
      </w:r>
      <w:proofErr w:type="spellEnd"/>
      <w:r>
        <w:rPr>
          <w:rtl/>
        </w:rPr>
        <w:t xml:space="preserve"> מכריז: “העם הפשוט העריצו וקידשו, והוא נעשה דמות אגדית עוד בחייו. אף גדולי הדור הכירו בו כצדיק תמים. הוא מת </w:t>
      </w:r>
      <w:proofErr w:type="spellStart"/>
      <w:r>
        <w:rPr>
          <w:rtl/>
        </w:rPr>
        <w:t>בציטוביאן</w:t>
      </w:r>
      <w:proofErr w:type="spellEnd"/>
      <w:r>
        <w:rPr>
          <w:rtl/>
        </w:rPr>
        <w:t xml:space="preserve"> בגיל שבעים </w:t>
      </w:r>
      <w:proofErr w:type="spellStart"/>
      <w:r>
        <w:rPr>
          <w:rtl/>
        </w:rPr>
        <w:t>בתרנ״ד</w:t>
      </w:r>
      <w:proofErr w:type="spellEnd"/>
      <w:r>
        <w:rPr>
          <w:rtl/>
        </w:rPr>
        <w:t xml:space="preserve">, ו־4,000 איש, ובהם </w:t>
      </w:r>
      <w:proofErr w:type="spellStart"/>
      <w:r>
        <w:rPr>
          <w:rtl/>
        </w:rPr>
        <w:t>שנים־עשר</w:t>
      </w:r>
      <w:proofErr w:type="spellEnd"/>
      <w:r>
        <w:rPr>
          <w:rtl/>
        </w:rPr>
        <w:t xml:space="preserve"> רבנים מכל הערים והכפרים שבסביבה, ליווהו לקברו [</w:t>
      </w:r>
      <w:proofErr w:type="spellStart"/>
      <w:r>
        <w:rPr>
          <w:rtl/>
        </w:rPr>
        <w:t>בקלם</w:t>
      </w:r>
      <w:proofErr w:type="spellEnd"/>
      <w:r>
        <w:rPr>
          <w:rtl/>
        </w:rPr>
        <w:t>]. לאחר ההספדים על קברו ניגש רופאו הנוכרי אל הקבר ונדר שבמשך שנת האבל ירפא חינם את כל העניים, יהודים ולא יהודים, לזכר נשמתו של הצדיק. בדברי ההספד שבעיתונות הכללית כונה ר׳ לייב סמל האמת והחסד, החסידות והפיקחות”.</w:t>
      </w:r>
    </w:p>
    <w:p w14:paraId="216388CB" w14:textId="77777777" w:rsidR="00AB3647" w:rsidRDefault="00000000" w:rsidP="007923E9">
      <w:pPr>
        <w:spacing w:after="120" w:line="276" w:lineRule="auto"/>
        <w:ind w:firstLine="283"/>
        <w:jc w:val="both"/>
      </w:pPr>
      <w:r>
        <w:rPr>
          <w:rtl/>
        </w:rPr>
        <w:t xml:space="preserve">שני הספדים </w:t>
      </w:r>
      <w:proofErr w:type="spellStart"/>
      <w:r>
        <w:rPr>
          <w:rtl/>
        </w:rPr>
        <w:t>ב“עיתונות</w:t>
      </w:r>
      <w:proofErr w:type="spellEnd"/>
      <w:r>
        <w:rPr>
          <w:rtl/>
        </w:rPr>
        <w:t xml:space="preserve"> הכללית” הנזכרת לעיל מעניינים במיוחד. אחד מהם, </w:t>
      </w:r>
      <w:proofErr w:type="spellStart"/>
      <w:r>
        <w:rPr>
          <w:rtl/>
        </w:rPr>
        <w:t>ב“תלפיות</w:t>
      </w:r>
      <w:proofErr w:type="spellEnd"/>
      <w:r>
        <w:rPr>
          <w:rtl/>
        </w:rPr>
        <w:t>” (תרנ״ה)</w:t>
      </w:r>
      <w:bookmarkStart w:id="3522" w:name="_fnr2603"/>
      <w:r>
        <w:rPr>
          <w:rStyle w:val="a5"/>
        </w:rPr>
        <w:footnoteReference w:id="2610" w:customMarkFollows="0"/>
      </w:r>
      <w:bookmarkEnd w:id="3522"/>
      <w:r>
        <w:rPr>
          <w:rtl/>
        </w:rPr>
        <w:t xml:space="preserve">, יסקרן את הקורא בשל החבורה שבה מציב הכותב את ר׳ לייב. נאמר בו: “מן הצדיקים המפורסמים בחסידות ובפרישות, עמודי האמונה הפורשים את כנפי חסידותם על עדת </w:t>
      </w:r>
      <w:r>
        <w:rPr>
          <w:b/>
          <w:bCs/>
          <w:rtl/>
        </w:rPr>
        <w:t>חסידים רבים</w:t>
      </w:r>
      <w:r>
        <w:rPr>
          <w:rtl/>
        </w:rPr>
        <w:t xml:space="preserve"> (ההדגשה שלי), שהלכו לעולמם בשנה האחרונה, נזכיר: הצדיק המפורסם </w:t>
      </w:r>
      <w:r>
        <w:rPr>
          <w:rtl/>
        </w:rPr>
        <w:lastRenderedPageBreak/>
        <w:t xml:space="preserve">בפלכי </w:t>
      </w:r>
      <w:proofErr w:type="spellStart"/>
      <w:r>
        <w:rPr>
          <w:rtl/>
        </w:rPr>
        <w:t>ראסיין</w:t>
      </w:r>
      <w:proofErr w:type="spellEnd"/>
      <w:r>
        <w:rPr>
          <w:rtl/>
        </w:rPr>
        <w:t xml:space="preserve">, שאוויל, </w:t>
      </w:r>
      <w:proofErr w:type="spellStart"/>
      <w:r>
        <w:rPr>
          <w:rtl/>
        </w:rPr>
        <w:t>טלז</w:t>
      </w:r>
      <w:proofErr w:type="spellEnd"/>
      <w:r>
        <w:rPr>
          <w:rtl/>
        </w:rPr>
        <w:t xml:space="preserve"> ובכל ערי </w:t>
      </w:r>
      <w:proofErr w:type="spellStart"/>
      <w:r>
        <w:rPr>
          <w:rtl/>
        </w:rPr>
        <w:t>ז׳אמוט</w:t>
      </w:r>
      <w:proofErr w:type="spellEnd"/>
      <w:r>
        <w:rPr>
          <w:rtl/>
        </w:rPr>
        <w:t xml:space="preserve">, ר׳ לייב חסיד מקלם, המתקדש בעדת מעריציו הרבים בזכות הנהגותיו הישרות ויושר דרכיו...; הרה״ג הצדיק רבי יהושע אב״ד </w:t>
      </w:r>
      <w:proofErr w:type="spellStart"/>
      <w:r>
        <w:rPr>
          <w:rtl/>
        </w:rPr>
        <w:t>דק״ק</w:t>
      </w:r>
      <w:proofErr w:type="spellEnd"/>
      <w:r>
        <w:rPr>
          <w:rtl/>
        </w:rPr>
        <w:t xml:space="preserve"> </w:t>
      </w:r>
      <w:proofErr w:type="spellStart"/>
      <w:r>
        <w:rPr>
          <w:rtl/>
        </w:rPr>
        <w:t>בעלזא</w:t>
      </w:r>
      <w:proofErr w:type="spellEnd"/>
      <w:r>
        <w:rPr>
          <w:rtl/>
        </w:rPr>
        <w:t xml:space="preserve">, </w:t>
      </w:r>
      <w:proofErr w:type="spellStart"/>
      <w:r>
        <w:rPr>
          <w:rtl/>
        </w:rPr>
        <w:t>שבצלו</w:t>
      </w:r>
      <w:proofErr w:type="spellEnd"/>
      <w:r>
        <w:rPr>
          <w:rtl/>
        </w:rPr>
        <w:t xml:space="preserve"> הסתופפו רבבות חסידים מכל קצות תבל; הרב הקדוש, המפורסם הר׳ מרדכי שרגא </w:t>
      </w:r>
      <w:proofErr w:type="spellStart"/>
      <w:r>
        <w:rPr>
          <w:rtl/>
        </w:rPr>
        <w:t>פרידמאן</w:t>
      </w:r>
      <w:proofErr w:type="spellEnd"/>
      <w:r>
        <w:rPr>
          <w:rtl/>
        </w:rPr>
        <w:t xml:space="preserve"> רב לחסידים בק״ק </w:t>
      </w:r>
      <w:proofErr w:type="spellStart"/>
      <w:r>
        <w:rPr>
          <w:rtl/>
        </w:rPr>
        <w:t>הוסאטין</w:t>
      </w:r>
      <w:proofErr w:type="spellEnd"/>
      <w:r>
        <w:rPr>
          <w:rtl/>
        </w:rPr>
        <w:t xml:space="preserve">, בנו של הצדיק המפורסם ר׳ ישראל </w:t>
      </w:r>
      <w:proofErr w:type="spellStart"/>
      <w:r>
        <w:rPr>
          <w:rtl/>
        </w:rPr>
        <w:t>מרוז׳ין</w:t>
      </w:r>
      <w:proofErr w:type="spellEnd"/>
      <w:r>
        <w:rPr>
          <w:rtl/>
        </w:rPr>
        <w:t xml:space="preserve"> ולימים </w:t>
      </w:r>
      <w:proofErr w:type="spellStart"/>
      <w:r>
        <w:rPr>
          <w:rtl/>
        </w:rPr>
        <w:t>מסדיגורה</w:t>
      </w:r>
      <w:proofErr w:type="spellEnd"/>
      <w:r>
        <w:rPr>
          <w:rtl/>
        </w:rPr>
        <w:t xml:space="preserve"> שבגליציה”. </w:t>
      </w:r>
      <w:proofErr w:type="spellStart"/>
      <w:r>
        <w:rPr>
          <w:rtl/>
        </w:rPr>
        <w:t>בברדיצ׳ב</w:t>
      </w:r>
      <w:proofErr w:type="spellEnd"/>
      <w:r>
        <w:rPr>
          <w:rtl/>
        </w:rPr>
        <w:t xml:space="preserve"> הרחוקה, שבה יצא “תלפיות”, דימו העורכים שר׳ לייב נמנה עם האדמו״רים, שסביבם “חסידים רבים” – כפי שהודגש לעיל. שני האדמו״רים נפטרו בכ״ג בשבט [30 בינואר] ובכ״ב באייר [28 במאי] תרנ״ד, בהתאמה, ואף על פי כן עומד בראש הרשימה ר׳ לייב, שנפטר אחרון, בכ״א בתמוז [25 ביולי].</w:t>
      </w:r>
    </w:p>
    <w:p w14:paraId="028386C7" w14:textId="77777777" w:rsidR="00AB3647" w:rsidRDefault="00000000" w:rsidP="007923E9">
      <w:pPr>
        <w:spacing w:after="120" w:line="276" w:lineRule="auto"/>
        <w:ind w:firstLine="283"/>
        <w:jc w:val="both"/>
      </w:pPr>
      <w:r>
        <w:rPr>
          <w:rtl/>
        </w:rPr>
        <w:t xml:space="preserve">ההספד האחר, </w:t>
      </w:r>
      <w:proofErr w:type="spellStart"/>
      <w:r>
        <w:rPr>
          <w:rtl/>
        </w:rPr>
        <w:t>ב“אחיאסף</w:t>
      </w:r>
      <w:proofErr w:type="spellEnd"/>
      <w:r>
        <w:rPr>
          <w:rtl/>
        </w:rPr>
        <w:t xml:space="preserve"> – לוח עם”</w:t>
      </w:r>
      <w:bookmarkStart w:id="3523" w:name="_fnr2604"/>
      <w:r>
        <w:rPr>
          <w:rStyle w:val="a5"/>
        </w:rPr>
        <w:footnoteReference w:id="2611" w:customMarkFollows="0"/>
      </w:r>
      <w:bookmarkEnd w:id="3523"/>
      <w:r>
        <w:rPr>
          <w:rtl/>
        </w:rPr>
        <w:t>, תחת הכותרת “הזכרת נשמות”, מגלה פרטים נוספים על ר׳ לייב חסיד: “לכל אדם הייתה עצתו כמי ששאל בדבר אלוקים”; “כל מר נפש ועשוק פנה אליו, והוא קיבלם בסבר פנים יפות ודיבר על ליבם דברים טובים ומנחמים, לנחמם ולעודדם”; “בסביבת העיר שבה התגורר מתהלכים סיפורים רבים ו</w:t>
      </w:r>
      <w:r>
        <w:rPr>
          <w:b/>
          <w:bCs/>
          <w:rtl/>
        </w:rPr>
        <w:t>אגדות</w:t>
      </w:r>
      <w:r>
        <w:rPr>
          <w:rtl/>
        </w:rPr>
        <w:t xml:space="preserve"> (ההדגשה שלי; ראה להלן) על מידת חסדו ועל טובו לבריות”; וכן “הוא היה חולני כל ימיו, ושבועות אחדים לפני מותו בא לעיירה הקטנה </w:t>
      </w:r>
      <w:proofErr w:type="spellStart"/>
      <w:r>
        <w:rPr>
          <w:rtl/>
        </w:rPr>
        <w:t>ציטרוויאן</w:t>
      </w:r>
      <w:proofErr w:type="spellEnd"/>
      <w:r>
        <w:rPr>
          <w:rtl/>
        </w:rPr>
        <w:t xml:space="preserve"> (כך במקור), המוקפת יערות וחורשות, לשהות בה ולשאוף אוויר צח, אך לקה בדלקת ריאות, ועמלם של הרופאים הרבים, שדאגו ובאו לרפאו, היה לשווא”</w:t>
      </w:r>
      <w:bookmarkStart w:id="3524" w:name="_fnr2605"/>
      <w:r>
        <w:rPr>
          <w:rStyle w:val="a5"/>
        </w:rPr>
        <w:footnoteReference w:id="2612" w:customMarkFollows="0"/>
      </w:r>
      <w:bookmarkEnd w:id="3524"/>
      <w:r>
        <w:rPr>
          <w:rtl/>
        </w:rPr>
        <w:t>.</w:t>
      </w:r>
    </w:p>
    <w:p w14:paraId="0AD62829" w14:textId="77777777" w:rsidR="00AB3647" w:rsidRDefault="00000000" w:rsidP="007923E9">
      <w:pPr>
        <w:spacing w:after="120" w:line="276" w:lineRule="auto"/>
        <w:ind w:firstLine="283"/>
        <w:jc w:val="both"/>
      </w:pPr>
      <w:r>
        <w:rPr>
          <w:rtl/>
        </w:rPr>
        <w:t>אחי ר׳ בנימין</w:t>
      </w:r>
      <w:bookmarkStart w:id="3525" w:name="_fnr2606"/>
      <w:r>
        <w:rPr>
          <w:rStyle w:val="a5"/>
        </w:rPr>
        <w:footnoteReference w:id="2613" w:customMarkFollows="0"/>
      </w:r>
      <w:bookmarkEnd w:id="3525"/>
      <w:r>
        <w:rPr>
          <w:rtl/>
        </w:rPr>
        <w:t xml:space="preserve">, שנולד כמעט שלושה עשורים לאחר פטירת ר׳ לייב, זכר שלושה פלאים שסיפרו עליו ילדי </w:t>
      </w:r>
      <w:proofErr w:type="spellStart"/>
      <w:r>
        <w:rPr>
          <w:rtl/>
        </w:rPr>
        <w:t>ציטוביאן</w:t>
      </w:r>
      <w:proofErr w:type="spellEnd"/>
      <w:r>
        <w:rPr>
          <w:rtl/>
        </w:rPr>
        <w:t xml:space="preserve"> בימיו – עיירתנו חיבבה במיוחד את הצדיק, ותושביה כינו אותו ר׳ </w:t>
      </w:r>
      <w:proofErr w:type="spellStart"/>
      <w:r>
        <w:rPr>
          <w:rtl/>
        </w:rPr>
        <w:t>לייבל׳ה</w:t>
      </w:r>
      <w:bookmarkStart w:id="3526" w:name="_fnr2607"/>
      <w:proofErr w:type="spellEnd"/>
      <w:r>
        <w:rPr>
          <w:rStyle w:val="a5"/>
        </w:rPr>
        <w:footnoteReference w:id="2614" w:customMarkFollows="0"/>
      </w:r>
      <w:bookmarkEnd w:id="3526"/>
      <w:r>
        <w:rPr>
          <w:rtl/>
        </w:rPr>
        <w:t xml:space="preserve">: בהליכתו מקלם </w:t>
      </w:r>
      <w:proofErr w:type="spellStart"/>
      <w:r>
        <w:rPr>
          <w:rtl/>
        </w:rPr>
        <w:t>לציטוביאן</w:t>
      </w:r>
      <w:proofErr w:type="spellEnd"/>
      <w:r>
        <w:rPr>
          <w:rtl/>
        </w:rPr>
        <w:t xml:space="preserve"> זכה לקפיצת הדרך (קיצור המסע בדרך הנס הנזכרת באגדה</w:t>
      </w:r>
      <w:bookmarkStart w:id="3527" w:name="_fnr2608"/>
      <w:r>
        <w:rPr>
          <w:rStyle w:val="a5"/>
        </w:rPr>
        <w:footnoteReference w:id="2615" w:customMarkFollows="0"/>
      </w:r>
      <w:bookmarkEnd w:id="3527"/>
      <w:r>
        <w:rPr>
          <w:rtl/>
        </w:rPr>
        <w:t>); כשהתרומם לעבר הירח באומרו “כשם שאני רוקד כנגדך ואיני יכול לנגוע בך” בקידוש לבנה, היה מתרומם מעל הקרקע בשיעור מלוא קומתו</w:t>
      </w:r>
      <w:bookmarkStart w:id="3528" w:name="_fnr2609"/>
      <w:r>
        <w:rPr>
          <w:rStyle w:val="a5"/>
        </w:rPr>
        <w:footnoteReference w:id="2616" w:customMarkFollows="0"/>
      </w:r>
      <w:bookmarkEnd w:id="3528"/>
      <w:r>
        <w:rPr>
          <w:rtl/>
        </w:rPr>
        <w:t xml:space="preserve">; וכשירד ברד </w:t>
      </w:r>
      <w:proofErr w:type="spellStart"/>
      <w:r>
        <w:rPr>
          <w:rtl/>
        </w:rPr>
        <w:t>בציטוביאן</w:t>
      </w:r>
      <w:proofErr w:type="spellEnd"/>
      <w:r>
        <w:rPr>
          <w:rtl/>
        </w:rPr>
        <w:t xml:space="preserve"> בעת ששהה בה, פגעו אבני הברד בכל גגות הקש חוץ מגג הבית שבו התארח.</w:t>
      </w:r>
    </w:p>
    <w:p w14:paraId="54CF5249" w14:textId="77777777" w:rsidR="00AB3647" w:rsidRDefault="00000000" w:rsidP="007923E9">
      <w:pPr>
        <w:spacing w:after="120" w:line="276" w:lineRule="auto"/>
        <w:ind w:firstLine="283"/>
        <w:jc w:val="both"/>
      </w:pPr>
      <w:bookmarkStart w:id="3529" w:name="pr_b_1546"/>
      <w:bookmarkEnd w:id="3529"/>
      <w:r>
        <w:rPr>
          <w:rtl/>
        </w:rPr>
        <w:t xml:space="preserve">ר׳ </w:t>
      </w:r>
      <w:proofErr w:type="spellStart"/>
      <w:r>
        <w:rPr>
          <w:rtl/>
        </w:rPr>
        <w:t>יאשה־לייזר</w:t>
      </w:r>
      <w:proofErr w:type="spellEnd"/>
      <w:r>
        <w:rPr>
          <w:rtl/>
        </w:rPr>
        <w:t xml:space="preserve"> </w:t>
      </w:r>
      <w:proofErr w:type="spellStart"/>
      <w:r>
        <w:rPr>
          <w:rtl/>
        </w:rPr>
        <w:t>סנסוליס</w:t>
      </w:r>
      <w:bookmarkStart w:id="3530" w:name="_fnr2610"/>
      <w:proofErr w:type="spellEnd"/>
      <w:r>
        <w:rPr>
          <w:rStyle w:val="a5"/>
        </w:rPr>
        <w:footnoteReference w:id="2617" w:customMarkFollows="0"/>
      </w:r>
      <w:bookmarkEnd w:id="3530"/>
      <w:r>
        <w:rPr>
          <w:rtl/>
        </w:rPr>
        <w:t xml:space="preserve"> גילה שתי אגדות שמסרו המבוגרים </w:t>
      </w:r>
      <w:proofErr w:type="spellStart"/>
      <w:r>
        <w:rPr>
          <w:rtl/>
        </w:rPr>
        <w:t>בציטוביאן</w:t>
      </w:r>
      <w:proofErr w:type="spellEnd"/>
      <w:r>
        <w:rPr>
          <w:rtl/>
        </w:rPr>
        <w:t xml:space="preserve">, עיר מולדתו – על מאורעות </w:t>
      </w:r>
      <w:proofErr w:type="spellStart"/>
      <w:r>
        <w:rPr>
          <w:rtl/>
        </w:rPr>
        <w:t>על־טבעיים</w:t>
      </w:r>
      <w:proofErr w:type="spellEnd"/>
      <w:r>
        <w:rPr>
          <w:rtl/>
        </w:rPr>
        <w:t xml:space="preserve"> שחולל ר׳ לייב, ולא על מידותיו. ר׳ לייב היה הולך את </w:t>
      </w:r>
      <w:proofErr w:type="spellStart"/>
      <w:r>
        <w:rPr>
          <w:rtl/>
        </w:rPr>
        <w:t>תשע־עשרה</w:t>
      </w:r>
      <w:proofErr w:type="spellEnd"/>
      <w:r>
        <w:rPr>
          <w:rtl/>
        </w:rPr>
        <w:t xml:space="preserve"> </w:t>
      </w:r>
      <w:proofErr w:type="spellStart"/>
      <w:r>
        <w:rPr>
          <w:rtl/>
        </w:rPr>
        <w:t>הוורסט</w:t>
      </w:r>
      <w:proofErr w:type="spellEnd"/>
      <w:r>
        <w:rPr>
          <w:rtl/>
        </w:rPr>
        <w:t xml:space="preserve"> מקלם למקום נופש הקיץ שלו עטוף בטלית ומוכתר בתפילין. פעם אחת, כשגוי נטפל אליו, אמר ביידיש: “</w:t>
      </w:r>
      <w:proofErr w:type="spellStart"/>
      <w:r>
        <w:rPr>
          <w:rtl/>
        </w:rPr>
        <w:t>פארברענט</w:t>
      </w:r>
      <w:proofErr w:type="spellEnd"/>
      <w:r>
        <w:rPr>
          <w:rtl/>
        </w:rPr>
        <w:t xml:space="preserve"> </w:t>
      </w:r>
      <w:proofErr w:type="spellStart"/>
      <w:r>
        <w:rPr>
          <w:rtl/>
        </w:rPr>
        <w:t>זאלסטו</w:t>
      </w:r>
      <w:proofErr w:type="spellEnd"/>
      <w:r>
        <w:rPr>
          <w:rtl/>
        </w:rPr>
        <w:t xml:space="preserve"> </w:t>
      </w:r>
      <w:proofErr w:type="spellStart"/>
      <w:r>
        <w:rPr>
          <w:rtl/>
        </w:rPr>
        <w:t>ווערען</w:t>
      </w:r>
      <w:proofErr w:type="spellEnd"/>
      <w:r>
        <w:rPr>
          <w:rtl/>
        </w:rPr>
        <w:t xml:space="preserve"> [שתישרף]”, והגוי הפנה את ראשו וראה את ביתו עולה באש.</w:t>
      </w:r>
    </w:p>
    <w:p w14:paraId="30949D7E" w14:textId="77777777" w:rsidR="00AB3647" w:rsidRDefault="00000000" w:rsidP="007923E9">
      <w:pPr>
        <w:spacing w:after="120" w:line="276" w:lineRule="auto"/>
        <w:ind w:firstLine="283"/>
        <w:jc w:val="both"/>
      </w:pPr>
      <w:r>
        <w:rPr>
          <w:rtl/>
        </w:rPr>
        <w:lastRenderedPageBreak/>
        <w:t xml:space="preserve">כששאלוהו שכניו כיצד פרצה השרפה, אמר הגוי שר׳ </w:t>
      </w:r>
      <w:proofErr w:type="spellStart"/>
      <w:r>
        <w:rPr>
          <w:rtl/>
        </w:rPr>
        <w:t>לייבל׳ה</w:t>
      </w:r>
      <w:proofErr w:type="spellEnd"/>
      <w:r>
        <w:rPr>
          <w:rtl/>
        </w:rPr>
        <w:t xml:space="preserve"> הוציא מפיו מה שהגוי הבין כלחש, וכינה אותו “</w:t>
      </w:r>
      <w:proofErr w:type="spellStart"/>
      <w:r>
        <w:rPr>
          <w:rtl/>
        </w:rPr>
        <w:t>ברנצל׳ה</w:t>
      </w:r>
      <w:proofErr w:type="spellEnd"/>
      <w:r>
        <w:rPr>
          <w:rtl/>
        </w:rPr>
        <w:t xml:space="preserve">” – בשיבוש המילים שאמר ר׳ לייב. ר׳ משה </w:t>
      </w:r>
      <w:proofErr w:type="spellStart"/>
      <w:r>
        <w:rPr>
          <w:rtl/>
        </w:rPr>
        <w:t>ברלוביץ</w:t>
      </w:r>
      <w:proofErr w:type="spellEnd"/>
      <w:r>
        <w:rPr>
          <w:rtl/>
        </w:rPr>
        <w:t xml:space="preserve">, יהודי פשוט שנודע בעיר בשם משה </w:t>
      </w:r>
      <w:proofErr w:type="spellStart"/>
      <w:r>
        <w:rPr>
          <w:rtl/>
        </w:rPr>
        <w:t>דער</w:t>
      </w:r>
      <w:proofErr w:type="spellEnd"/>
      <w:r>
        <w:rPr>
          <w:rtl/>
        </w:rPr>
        <w:t xml:space="preserve"> </w:t>
      </w:r>
      <w:proofErr w:type="spellStart"/>
      <w:r>
        <w:rPr>
          <w:rtl/>
        </w:rPr>
        <w:t>סמאליער</w:t>
      </w:r>
      <w:proofErr w:type="spellEnd"/>
      <w:r>
        <w:rPr>
          <w:rtl/>
        </w:rPr>
        <w:t xml:space="preserve"> [משה עושה הזפת], סיפר זאת בעיר; בביתו שביער היה ר׳ לייב שוהה בקיץ, והוא שמע את המעשה מן הגוי.</w:t>
      </w:r>
    </w:p>
    <w:p w14:paraId="506AB34E" w14:textId="77777777" w:rsidR="00AB3647" w:rsidRDefault="00000000" w:rsidP="007923E9">
      <w:pPr>
        <w:spacing w:after="120" w:line="276" w:lineRule="auto"/>
        <w:ind w:firstLine="283"/>
        <w:jc w:val="both"/>
      </w:pPr>
      <w:r>
        <w:rPr>
          <w:rtl/>
        </w:rPr>
        <w:t>ר׳ בנימין זכר</w:t>
      </w:r>
      <w:bookmarkStart w:id="3531" w:name="_fnr2611"/>
      <w:r>
        <w:rPr>
          <w:rStyle w:val="a5"/>
        </w:rPr>
        <w:footnoteReference w:id="2618" w:customMarkFollows="0"/>
      </w:r>
      <w:bookmarkEnd w:id="3531"/>
      <w:r>
        <w:rPr>
          <w:rtl/>
        </w:rPr>
        <w:t xml:space="preserve"> שכאשר חזר מלימודיו בעיר הגדולה שאוול והביא עמו חפץ שלא היה מוכר </w:t>
      </w:r>
      <w:proofErr w:type="spellStart"/>
      <w:r>
        <w:rPr>
          <w:rtl/>
        </w:rPr>
        <w:t>בציטוביאן</w:t>
      </w:r>
      <w:proofErr w:type="spellEnd"/>
      <w:r>
        <w:rPr>
          <w:rtl/>
        </w:rPr>
        <w:t xml:space="preserve"> – פנס – החל ר׳ משה לצעוק: “זה כישוף; אסור להשתמש בזה!” אבל אחותי רבקה זכרה</w:t>
      </w:r>
      <w:bookmarkStart w:id="3532" w:name="_fnr2612"/>
      <w:r>
        <w:rPr>
          <w:rStyle w:val="a5"/>
        </w:rPr>
        <w:footnoteReference w:id="2619" w:customMarkFollows="0"/>
      </w:r>
      <w:bookmarkEnd w:id="3532"/>
      <w:r>
        <w:rPr>
          <w:rtl/>
        </w:rPr>
        <w:t xml:space="preserve"> שבמוצאי שבת אחד בקיץ, לאחר שר׳ משה, שהיה אז אלמן, אכל בביתנו, ביקש שאחד מאחינו הגדולים ילווהו לביתו בלילה החשוך כעין הפחם “עם מכשיר הכישוף” [במקום פנס נפט]. מן הסתם השלים עם ההמצאה החדישה.</w:t>
      </w:r>
    </w:p>
    <w:p w14:paraId="286D8A95" w14:textId="77777777" w:rsidR="00AB3647" w:rsidRDefault="00000000" w:rsidP="007923E9">
      <w:pPr>
        <w:spacing w:after="120" w:line="276" w:lineRule="auto"/>
        <w:ind w:firstLine="283"/>
        <w:jc w:val="both"/>
      </w:pPr>
      <w:r>
        <w:rPr>
          <w:rtl/>
        </w:rPr>
        <w:t xml:space="preserve">ר׳ משה מת ברעב בגטו שאוול בגיל תשעים ושתיים, </w:t>
      </w:r>
      <w:proofErr w:type="spellStart"/>
      <w:r>
        <w:rPr>
          <w:rtl/>
        </w:rPr>
        <w:t>בתש״ב</w:t>
      </w:r>
      <w:proofErr w:type="spellEnd"/>
      <w:r>
        <w:rPr>
          <w:rtl/>
        </w:rPr>
        <w:t xml:space="preserve">. נכדתו </w:t>
      </w:r>
      <w:proofErr w:type="spellStart"/>
      <w:r>
        <w:rPr>
          <w:rtl/>
        </w:rPr>
        <w:t>גיטל־טובה</w:t>
      </w:r>
      <w:proofErr w:type="spellEnd"/>
      <w:r>
        <w:rPr>
          <w:rtl/>
        </w:rPr>
        <w:t xml:space="preserve"> </w:t>
      </w:r>
      <w:proofErr w:type="spellStart"/>
      <w:r>
        <w:rPr>
          <w:rtl/>
        </w:rPr>
        <w:t>הימלפרב</w:t>
      </w:r>
      <w:proofErr w:type="spellEnd"/>
      <w:r>
        <w:rPr>
          <w:rtl/>
        </w:rPr>
        <w:t>, ששרדה את מחנה הריכוז הגרמני שאליו נלקחה כשחוסל הגטו, סיפרה</w:t>
      </w:r>
      <w:bookmarkStart w:id="3533" w:name="_fnr2613"/>
      <w:r>
        <w:rPr>
          <w:rStyle w:val="a5"/>
        </w:rPr>
        <w:footnoteReference w:id="2620" w:customMarkFollows="0"/>
      </w:r>
      <w:bookmarkEnd w:id="3533"/>
      <w:r>
        <w:rPr>
          <w:rtl/>
        </w:rPr>
        <w:t xml:space="preserve"> שסירב לאכול בגטו אוכל לא כשר. היא זכרה שאמה, בתו של ר׳ משה שנולדה </w:t>
      </w:r>
      <w:proofErr w:type="spellStart"/>
      <w:r>
        <w:rPr>
          <w:rtl/>
        </w:rPr>
        <w:t>בתרע״א</w:t>
      </w:r>
      <w:proofErr w:type="spellEnd"/>
      <w:r>
        <w:rPr>
          <w:rtl/>
        </w:rPr>
        <w:t>, התקשתה להכניס את הזקן לגטו תחת עיניהם הפקוחות של הגרמנים ומשתפי הפעולה שלהם, כשנאלצה המשפחה לעזוב את ביתה שבחלק אחר של העיר. בני משפחתו נאלצו להבריחו כשהוא מוסתר מתחת לבגדיהם, בעגלה שבה הכניסו את חפציהם.</w:t>
      </w:r>
    </w:p>
    <w:p w14:paraId="0D6A4867" w14:textId="77777777" w:rsidR="00AB3647" w:rsidRDefault="00000000" w:rsidP="007923E9">
      <w:pPr>
        <w:pStyle w:val="4"/>
        <w:spacing w:line="276" w:lineRule="auto"/>
      </w:pPr>
      <w:r>
        <w:t>· הפסקה השנייה ·</w:t>
      </w:r>
    </w:p>
    <w:p w14:paraId="41685BD4" w14:textId="77777777" w:rsidR="00AB3647" w:rsidRDefault="00000000" w:rsidP="007923E9">
      <w:pPr>
        <w:pStyle w:val="5"/>
        <w:spacing w:line="276" w:lineRule="auto"/>
      </w:pPr>
      <w:r>
        <w:t xml:space="preserve">נדמה כי ר׳ ישראל </w:t>
      </w:r>
      <w:proofErr w:type="spellStart"/>
      <w:r>
        <w:t>סלנטר</w:t>
      </w:r>
      <w:proofErr w:type="spellEnd"/>
      <w:r>
        <w:t xml:space="preserve"> מבקר את ר׳ לייב החסיד – לשונו הטהורה של ר׳ ישראל רק מברכת – מה אירע באמת כשנתקל הגוי בר׳ לייב – ר׳ ישראל דואג לזכויות הזולת – הוא מקשה על אחד הדינים שקבע </w:t>
      </w:r>
      <w:proofErr w:type="spellStart"/>
      <w:r>
        <w:t>החפץ־חיים</w:t>
      </w:r>
      <w:proofErr w:type="spellEnd"/>
      <w:r>
        <w:t xml:space="preserve"> בספרו “שמירת הלשון” – ר׳ ישראל מסרב לתת הסכמה להוצאתו לאור</w:t>
      </w:r>
    </w:p>
    <w:p w14:paraId="5B97A7A2" w14:textId="77777777" w:rsidR="00AB3647" w:rsidRDefault="00000000" w:rsidP="007923E9">
      <w:pPr>
        <w:spacing w:after="120" w:line="276" w:lineRule="auto"/>
        <w:ind w:firstLine="283"/>
        <w:jc w:val="both"/>
      </w:pPr>
      <w:r>
        <w:rPr>
          <w:rtl/>
        </w:rPr>
        <w:t xml:space="preserve">הסיפור על הקללה המיוחסת </w:t>
      </w:r>
      <w:proofErr w:type="spellStart"/>
      <w:r>
        <w:rPr>
          <w:rtl/>
        </w:rPr>
        <w:t>לר</w:t>
      </w:r>
      <w:proofErr w:type="spellEnd"/>
      <w:r>
        <w:rPr>
          <w:rtl/>
        </w:rPr>
        <w:t xml:space="preserve">׳ לייב פתר קושי שהטריד אותי במעשה שנרשם </w:t>
      </w:r>
      <w:proofErr w:type="spellStart"/>
      <w:r>
        <w:rPr>
          <w:rtl/>
        </w:rPr>
        <w:t>ב“חבר</w:t>
      </w:r>
      <w:proofErr w:type="spellEnd"/>
      <w:r>
        <w:rPr>
          <w:rtl/>
        </w:rPr>
        <w:t xml:space="preserve"> מאמרים דעת חכמה ומוסר” – השיחות שמסר מרן ירוחם הלוי </w:t>
      </w:r>
      <w:proofErr w:type="spellStart"/>
      <w:r>
        <w:rPr>
          <w:rtl/>
        </w:rPr>
        <w:t>ליוואוויץ</w:t>
      </w:r>
      <w:proofErr w:type="spellEnd"/>
      <w:r>
        <w:rPr>
          <w:rtl/>
        </w:rPr>
        <w:t xml:space="preserve"> בישיבת </w:t>
      </w:r>
      <w:proofErr w:type="spellStart"/>
      <w:r>
        <w:rPr>
          <w:rtl/>
        </w:rPr>
        <w:t>מיר</w:t>
      </w:r>
      <w:proofErr w:type="spellEnd"/>
      <w:r>
        <w:rPr>
          <w:rtl/>
        </w:rPr>
        <w:t xml:space="preserve"> בשנים תרצ״ד–תרצ״ה, כפי שרשמו אותן תלמידים</w:t>
      </w:r>
      <w:bookmarkStart w:id="3534" w:name="_fnr2614"/>
      <w:r>
        <w:rPr>
          <w:rStyle w:val="a5"/>
        </w:rPr>
        <w:footnoteReference w:id="2621" w:customMarkFollows="0"/>
      </w:r>
      <w:bookmarkEnd w:id="3534"/>
      <w:r>
        <w:rPr>
          <w:rtl/>
        </w:rPr>
        <w:t xml:space="preserve">. המשגיח סיפר “מעשה שמספרים על ר׳ ישראל </w:t>
      </w:r>
      <w:proofErr w:type="spellStart"/>
      <w:r>
        <w:rPr>
          <w:rtl/>
        </w:rPr>
        <w:t>סלנטר</w:t>
      </w:r>
      <w:proofErr w:type="spellEnd"/>
      <w:r>
        <w:rPr>
          <w:rtl/>
        </w:rPr>
        <w:t xml:space="preserve">, שכאשר </w:t>
      </w:r>
      <w:r>
        <w:rPr>
          <w:b/>
          <w:bCs/>
          <w:rtl/>
        </w:rPr>
        <w:t>שמע</w:t>
      </w:r>
      <w:r>
        <w:rPr>
          <w:rtl/>
        </w:rPr>
        <w:t xml:space="preserve"> ר׳ ישראל על ר׳ לייב חסיד, קודם שפגשו פנים אל פנים</w:t>
      </w:r>
      <w:bookmarkStart w:id="3535" w:name="_fnr2615"/>
      <w:r>
        <w:rPr>
          <w:rStyle w:val="a5"/>
        </w:rPr>
        <w:footnoteReference w:id="2622" w:customMarkFollows="0"/>
      </w:r>
      <w:bookmarkEnd w:id="3535"/>
      <w:r>
        <w:rPr>
          <w:rtl/>
        </w:rPr>
        <w:t>, ו</w:t>
      </w:r>
      <w:r>
        <w:rPr>
          <w:b/>
          <w:bCs/>
          <w:rtl/>
        </w:rPr>
        <w:t>שאל על מידותיו</w:t>
      </w:r>
      <w:r>
        <w:rPr>
          <w:rtl/>
        </w:rPr>
        <w:t xml:space="preserve"> (ההדגשה שלי), הייתה אחת משאלותיו אם אירע אי פעם שר׳ לייב הלך לחנווני והציע לו להתחלף עימו למשך יום אחד, כדי שר׳ לייב יוכל לשבת בחנות והחנווני ילך לבית המדרש וילמד תורה”. בשאלתו קבע ר׳ ישראל לתלמידיו את אמת המידה לחסיד אמיתי</w:t>
      </w:r>
      <w:bookmarkStart w:id="3536" w:name="_fnr2616"/>
      <w:r>
        <w:rPr>
          <w:rStyle w:val="a5"/>
        </w:rPr>
        <w:footnoteReference w:id="2623" w:customMarkFollows="0"/>
      </w:r>
      <w:bookmarkEnd w:id="3536"/>
      <w:r>
        <w:rPr>
          <w:rtl/>
        </w:rPr>
        <w:t>, ובשיחתו דן המשגיח במקורות חז״ל למעשה כזה של דאגה לזולת.</w:t>
      </w:r>
    </w:p>
    <w:p w14:paraId="6406E6F6" w14:textId="77777777" w:rsidR="00AB3647" w:rsidRDefault="00000000" w:rsidP="007923E9">
      <w:pPr>
        <w:spacing w:after="120" w:line="276" w:lineRule="auto"/>
        <w:ind w:firstLine="283"/>
        <w:jc w:val="both"/>
      </w:pPr>
      <w:r>
        <w:rPr>
          <w:rtl/>
        </w:rPr>
        <w:lastRenderedPageBreak/>
        <w:t>אבל נדמה לי שבעצם הצגת השאלה דווקא על ר׳ לייב חסיד מתח ר׳ ישראל ביקורת על אדם שמעולם לא פגש. עלינו גם לברר את הנקודות שהודגשו לעיל: מה “שמע” ר׳ ישראל על ר׳ לייב שגרם לו “לשאול על מידותיו”?</w:t>
      </w:r>
    </w:p>
    <w:p w14:paraId="77D767E5" w14:textId="77777777" w:rsidR="00AB3647" w:rsidRDefault="00000000" w:rsidP="007923E9">
      <w:pPr>
        <w:spacing w:after="120" w:line="276" w:lineRule="auto"/>
        <w:ind w:firstLine="283"/>
        <w:jc w:val="both"/>
      </w:pPr>
      <w:r>
        <w:rPr>
          <w:rtl/>
        </w:rPr>
        <w:t xml:space="preserve">אפשר להציע שמעשה אחר בר׳ ישראל, שרשם תלמידו ר׳ </w:t>
      </w:r>
      <w:proofErr w:type="spellStart"/>
      <w:r>
        <w:rPr>
          <w:rtl/>
        </w:rPr>
        <w:t>איצל׳ה</w:t>
      </w:r>
      <w:proofErr w:type="spellEnd"/>
      <w:r>
        <w:rPr>
          <w:rtl/>
        </w:rPr>
        <w:t xml:space="preserve"> </w:t>
      </w:r>
      <w:proofErr w:type="spellStart"/>
      <w:r>
        <w:rPr>
          <w:rtl/>
        </w:rPr>
        <w:t>בלאזר</w:t>
      </w:r>
      <w:proofErr w:type="spellEnd"/>
      <w:r>
        <w:rPr>
          <w:rtl/>
        </w:rPr>
        <w:t xml:space="preserve"> בחלק “נתיבות אור” </w:t>
      </w:r>
      <w:proofErr w:type="spellStart"/>
      <w:r>
        <w:rPr>
          <w:rtl/>
        </w:rPr>
        <w:t>שב“אור</w:t>
      </w:r>
      <w:proofErr w:type="spellEnd"/>
      <w:r>
        <w:rPr>
          <w:rtl/>
        </w:rPr>
        <w:t xml:space="preserve"> ישראל”</w:t>
      </w:r>
      <w:bookmarkStart w:id="3537" w:name="_fnr2617"/>
      <w:r>
        <w:rPr>
          <w:rStyle w:val="a5"/>
        </w:rPr>
        <w:footnoteReference w:id="2624" w:customMarkFollows="0"/>
      </w:r>
      <w:bookmarkEnd w:id="3537"/>
      <w:r>
        <w:rPr>
          <w:rtl/>
        </w:rPr>
        <w:t>, שופך אור על קשיים אלה. מסופר בו: “פעם אחת, בעת שישב עם תלמידיו, עלה נושא הצדיקים שדבריהם מתקבלים בשמיים. אחד התלמידים אמר שהוא מכיר צדיק שכל דבריו מתקיימים בלי שייפול מהם צרור ארצה [עד הפרט הקטן ביותר]. אמר רבנו על כך בצחות, שכאשר אדם עומד במדרגה גבוהה כל כך שדבריו עושים רושם [בשמיים], עליו להיזהר לשמור את לשונו ושפתיו מלהוציא כל דבר רע, שכן בנקל עלול הוא להיעשות אדם המזיק. ומה ההבדל אם אדם מזיק בידיו או בשוט לשונו, ומכה את רעהו בסתר בכוח גזרת עליון?”</w:t>
      </w:r>
    </w:p>
    <w:p w14:paraId="1DB9B80D" w14:textId="77777777" w:rsidR="00AB3647" w:rsidRDefault="00000000" w:rsidP="007923E9">
      <w:pPr>
        <w:spacing w:after="120" w:line="276" w:lineRule="auto"/>
        <w:ind w:firstLine="283"/>
        <w:jc w:val="both"/>
      </w:pPr>
      <w:r>
        <w:rPr>
          <w:rtl/>
        </w:rPr>
        <w:t xml:space="preserve">ר׳ </w:t>
      </w:r>
      <w:proofErr w:type="spellStart"/>
      <w:r>
        <w:rPr>
          <w:rtl/>
        </w:rPr>
        <w:t>איצל׳ה</w:t>
      </w:r>
      <w:proofErr w:type="spellEnd"/>
      <w:r>
        <w:rPr>
          <w:rtl/>
        </w:rPr>
        <w:t xml:space="preserve"> ממשיך ומשווה בין מי שמתירים לעצמם לעורר זעם שמיים על יריביהם – “אף יראי אלוקים, ש[אף ש]כעסם בוער, לא היו מרימים אפילו את אצבעם הקטנה להזיק למי שהכעיסם ופגע בהם” – לבין תגובותיו של רבו, “שעל ידו לא ראינו פלאים כאלה [של עוררות זעם שמיים על יריבים], כי לשונו הייתה כזהב מזוקק, והוא נזהר מאוד שלא להוציא מפיו, חלילה, שום דבר רע גם כנגד מי שהציק לו וייסר אותו. אבל פלא </w:t>
      </w:r>
      <w:r>
        <w:rPr>
          <w:b/>
          <w:bCs/>
          <w:rtl/>
        </w:rPr>
        <w:t>זה</w:t>
      </w:r>
      <w:r>
        <w:rPr>
          <w:rtl/>
        </w:rPr>
        <w:t xml:space="preserve"> ראינו אצלו: בכל פעם שמישהו פגע בו והציק לו, היה מנהגו להשתדל למצוא דרך </w:t>
      </w:r>
      <w:r>
        <w:rPr>
          <w:b/>
          <w:bCs/>
          <w:rtl/>
        </w:rPr>
        <w:t>לשלם לו טובה תחת רעה</w:t>
      </w:r>
      <w:r>
        <w:rPr>
          <w:rtl/>
        </w:rPr>
        <w:t xml:space="preserve"> (ההדגשה שלי)”</w:t>
      </w:r>
      <w:bookmarkStart w:id="3538" w:name="_fnr2618"/>
      <w:bookmarkStart w:id="3539" w:name="pr_f_2519"/>
      <w:r>
        <w:rPr>
          <w:rStyle w:val="a5"/>
        </w:rPr>
        <w:footnoteReference w:id="2625" w:customMarkFollows="0"/>
      </w:r>
      <w:bookmarkEnd w:id="3538"/>
      <w:bookmarkEnd w:id="3539"/>
      <w:r>
        <w:rPr>
          <w:rtl/>
        </w:rPr>
        <w:t>.</w:t>
      </w:r>
    </w:p>
    <w:p w14:paraId="78D687F0" w14:textId="77777777" w:rsidR="00AB3647" w:rsidRDefault="00000000" w:rsidP="007923E9">
      <w:pPr>
        <w:spacing w:after="120" w:line="276" w:lineRule="auto"/>
        <w:ind w:firstLine="283"/>
        <w:jc w:val="both"/>
      </w:pPr>
      <w:r>
        <w:rPr>
          <w:rtl/>
        </w:rPr>
        <w:t xml:space="preserve">אפשר לשער </w:t>
      </w:r>
      <w:proofErr w:type="spellStart"/>
      <w:r>
        <w:rPr>
          <w:rtl/>
        </w:rPr>
        <w:t>שה“צדיק</w:t>
      </w:r>
      <w:proofErr w:type="spellEnd"/>
      <w:r>
        <w:rPr>
          <w:rtl/>
        </w:rPr>
        <w:t xml:space="preserve">” שעליו נאמר </w:t>
      </w:r>
      <w:proofErr w:type="spellStart"/>
      <w:r>
        <w:rPr>
          <w:rtl/>
        </w:rPr>
        <w:t>לר</w:t>
      </w:r>
      <w:proofErr w:type="spellEnd"/>
      <w:r>
        <w:rPr>
          <w:rtl/>
        </w:rPr>
        <w:t xml:space="preserve">׳ ישראל </w:t>
      </w:r>
      <w:proofErr w:type="spellStart"/>
      <w:r>
        <w:rPr>
          <w:rtl/>
        </w:rPr>
        <w:t>סלנטר</w:t>
      </w:r>
      <w:proofErr w:type="spellEnd"/>
      <w:r>
        <w:rPr>
          <w:rtl/>
        </w:rPr>
        <w:t xml:space="preserve"> </w:t>
      </w:r>
      <w:proofErr w:type="spellStart"/>
      <w:r>
        <w:rPr>
          <w:rtl/>
        </w:rPr>
        <w:t>ש“דבריו</w:t>
      </w:r>
      <w:proofErr w:type="spellEnd"/>
      <w:r>
        <w:rPr>
          <w:rtl/>
        </w:rPr>
        <w:t xml:space="preserve"> מתקבלים בשמיים” אינו אלא ר׳ לייב חסיד, ושהסיפור כיצד היכה הצדיק “בשוט לשונו” את מי </w:t>
      </w:r>
      <w:proofErr w:type="spellStart"/>
      <w:r>
        <w:rPr>
          <w:rtl/>
        </w:rPr>
        <w:t>ש“הציקו</w:t>
      </w:r>
      <w:proofErr w:type="spellEnd"/>
      <w:r>
        <w:rPr>
          <w:rtl/>
        </w:rPr>
        <w:t xml:space="preserve"> לו וייסרו אותו” הוא המעשה שהפיץ עושה הזפת הפשוט </w:t>
      </w:r>
      <w:proofErr w:type="spellStart"/>
      <w:r>
        <w:rPr>
          <w:rtl/>
        </w:rPr>
        <w:t>מציטוביאן</w:t>
      </w:r>
      <w:proofErr w:type="spellEnd"/>
      <w:r>
        <w:rPr>
          <w:rtl/>
        </w:rPr>
        <w:t>, בניסיון “להבין” את מה שסיפר לו הגוי. אם נניח שהסיפור על כוחותיו המופלאים של ר׳ לייב נכון, הרי שר׳ ישראל הביע את מורת רוחו ממנו. הוא ביקש הן להפחית מערכם של המעשים האלה בעיני תלמידיו, בהגדירו את מי שעושה אותם “אדם המזיק”, והן להראות להם מה צריכה להיות אמת המידה לחסידות אמיתית.</w:t>
      </w:r>
    </w:p>
    <w:p w14:paraId="5929EB63" w14:textId="77777777" w:rsidR="00AB3647" w:rsidRDefault="00000000" w:rsidP="007923E9">
      <w:pPr>
        <w:spacing w:after="120" w:line="276" w:lineRule="auto"/>
        <w:ind w:firstLine="283"/>
        <w:jc w:val="both"/>
      </w:pPr>
      <w:r>
        <w:rPr>
          <w:rtl/>
        </w:rPr>
        <w:t xml:space="preserve">אם נניח בצד את פירושו של עושה הזפת למעשה, נוכל לשער מה אירע באמת. בשעה שהתעמת הגוי עם ר׳ לייב, ראה ר׳ לייב מאחורי גבו של הגוי שביתו החל לבעור. מתוך </w:t>
      </w:r>
      <w:r>
        <w:rPr>
          <w:b/>
          <w:bCs/>
          <w:rtl/>
        </w:rPr>
        <w:t>דאגה</w:t>
      </w:r>
      <w:r>
        <w:rPr>
          <w:rtl/>
        </w:rPr>
        <w:t xml:space="preserve"> למי שהציק לו – כפי שאף ר׳ ישראל עשוי היה לעשות, על פי עדותו של ר׳ </w:t>
      </w:r>
      <w:proofErr w:type="spellStart"/>
      <w:r>
        <w:rPr>
          <w:rtl/>
        </w:rPr>
        <w:t>איצל׳ה</w:t>
      </w:r>
      <w:proofErr w:type="spellEnd"/>
      <w:r>
        <w:rPr>
          <w:rtl/>
        </w:rPr>
        <w:t xml:space="preserve"> שרבו שילם “טובה תחת רעה” [כמודגש לעיל] – כל שקרא החסיד האמיתי היה: “</w:t>
      </w:r>
      <w:proofErr w:type="spellStart"/>
      <w:r>
        <w:rPr>
          <w:rtl/>
        </w:rPr>
        <w:t>ס׳ברענט</w:t>
      </w:r>
      <w:proofErr w:type="spellEnd"/>
      <w:r>
        <w:rPr>
          <w:rtl/>
        </w:rPr>
        <w:t xml:space="preserve"> די </w:t>
      </w:r>
      <w:proofErr w:type="spellStart"/>
      <w:r>
        <w:rPr>
          <w:rtl/>
        </w:rPr>
        <w:t>הויז</w:t>
      </w:r>
      <w:proofErr w:type="spellEnd"/>
      <w:r>
        <w:rPr>
          <w:rtl/>
        </w:rPr>
        <w:t xml:space="preserve"> [הבית בוער]!”, או משהו קרוב עוד יותר </w:t>
      </w:r>
      <w:proofErr w:type="spellStart"/>
      <w:r>
        <w:rPr>
          <w:rtl/>
        </w:rPr>
        <w:t>ל“ברנצל׳ה</w:t>
      </w:r>
      <w:proofErr w:type="spellEnd"/>
      <w:r>
        <w:rPr>
          <w:rtl/>
        </w:rPr>
        <w:t>” ששמע הגוי, כגון “</w:t>
      </w:r>
      <w:proofErr w:type="spellStart"/>
      <w:r>
        <w:rPr>
          <w:rtl/>
        </w:rPr>
        <w:t>ס׳ברענט</w:t>
      </w:r>
      <w:proofErr w:type="spellEnd"/>
      <w:r>
        <w:rPr>
          <w:rtl/>
        </w:rPr>
        <w:t xml:space="preserve"> </w:t>
      </w:r>
      <w:proofErr w:type="spellStart"/>
      <w:r>
        <w:rPr>
          <w:rtl/>
        </w:rPr>
        <w:t>ד׳ס׳הייזאלע</w:t>
      </w:r>
      <w:proofErr w:type="spellEnd"/>
      <w:r>
        <w:rPr>
          <w:rtl/>
        </w:rPr>
        <w:t xml:space="preserve"> [הבקתה בוערת]!”</w:t>
      </w:r>
      <w:bookmarkStart w:id="3540" w:name="_fnr2619"/>
      <w:r>
        <w:rPr>
          <w:rStyle w:val="a5"/>
        </w:rPr>
        <w:footnoteReference w:id="2626" w:customMarkFollows="0"/>
      </w:r>
      <w:bookmarkEnd w:id="3540"/>
      <w:r>
        <w:rPr>
          <w:rtl/>
        </w:rPr>
        <w:t>.</w:t>
      </w:r>
    </w:p>
    <w:p w14:paraId="38380FB4" w14:textId="77777777" w:rsidR="00AB3647" w:rsidRDefault="00000000" w:rsidP="007923E9">
      <w:pPr>
        <w:spacing w:after="120" w:line="276" w:lineRule="auto"/>
        <w:ind w:firstLine="283"/>
        <w:jc w:val="both"/>
      </w:pPr>
      <w:r>
        <w:rPr>
          <w:rtl/>
        </w:rPr>
        <w:lastRenderedPageBreak/>
        <w:t xml:space="preserve">הגוי, שהרגיש שהוא ראוי לקללה, חשב שדברי החסיד הם קללה שנאמרה באמצעות מילת </w:t>
      </w:r>
      <w:proofErr w:type="spellStart"/>
      <w:r>
        <w:rPr>
          <w:rtl/>
        </w:rPr>
        <w:t>ה“כישוף</w:t>
      </w:r>
      <w:proofErr w:type="spellEnd"/>
      <w:r>
        <w:rPr>
          <w:rtl/>
        </w:rPr>
        <w:t>” “</w:t>
      </w:r>
      <w:proofErr w:type="spellStart"/>
      <w:r>
        <w:rPr>
          <w:rtl/>
        </w:rPr>
        <w:t>ברנצל׳ה</w:t>
      </w:r>
      <w:proofErr w:type="spellEnd"/>
      <w:r>
        <w:rPr>
          <w:rtl/>
        </w:rPr>
        <w:t xml:space="preserve">”. כששמע ר׳ משה </w:t>
      </w:r>
      <w:proofErr w:type="spellStart"/>
      <w:r>
        <w:rPr>
          <w:rtl/>
        </w:rPr>
        <w:t>ברלוביץ</w:t>
      </w:r>
      <w:proofErr w:type="spellEnd"/>
      <w:r>
        <w:rPr>
          <w:rtl/>
        </w:rPr>
        <w:t xml:space="preserve"> את המעשה מפי הגוי, ידע שצדיק אינו אומר לחשים, ולכן סבר </w:t>
      </w:r>
      <w:proofErr w:type="spellStart"/>
      <w:r>
        <w:rPr>
          <w:rtl/>
        </w:rPr>
        <w:t>ש“ברנצל׳ה</w:t>
      </w:r>
      <w:proofErr w:type="spellEnd"/>
      <w:r>
        <w:rPr>
          <w:rtl/>
        </w:rPr>
        <w:t xml:space="preserve">” היא שיבוש של תפילתו של ר׳ לייב שנאמרה ביידיש, “שתישרף”. ודאי אין זה רחוק להניח שיהודי שכעבור </w:t>
      </w:r>
      <w:r>
        <w:rPr>
          <w:b/>
          <w:bCs/>
          <w:rtl/>
        </w:rPr>
        <w:t>חמישים שנה</w:t>
      </w:r>
      <w:r>
        <w:rPr>
          <w:rtl/>
        </w:rPr>
        <w:t xml:space="preserve"> האמין שסוללה חשמלית היא כישוף, יראה בשרפה בבית הגוי מאורע שמקורו </w:t>
      </w:r>
      <w:proofErr w:type="spellStart"/>
      <w:r>
        <w:rPr>
          <w:rtl/>
        </w:rPr>
        <w:t>על־טבעי</w:t>
      </w:r>
      <w:proofErr w:type="spellEnd"/>
      <w:r>
        <w:rPr>
          <w:rtl/>
        </w:rPr>
        <w:t xml:space="preserve"> – הכישוף הלבן של </w:t>
      </w:r>
      <w:proofErr w:type="spellStart"/>
      <w:r>
        <w:rPr>
          <w:rtl/>
        </w:rPr>
        <w:t>תפילת־קללת</w:t>
      </w:r>
      <w:proofErr w:type="spellEnd"/>
      <w:r>
        <w:rPr>
          <w:rtl/>
        </w:rPr>
        <w:t xml:space="preserve"> החסיד. אבי העריץ את ר׳ לייב ואהב לספר עליו, ובוודאי שמע </w:t>
      </w:r>
      <w:proofErr w:type="spellStart"/>
      <w:r>
        <w:rPr>
          <w:rtl/>
        </w:rPr>
        <w:t>בציטוביאן</w:t>
      </w:r>
      <w:proofErr w:type="spellEnd"/>
      <w:r>
        <w:rPr>
          <w:rtl/>
        </w:rPr>
        <w:t xml:space="preserve"> על העונש </w:t>
      </w:r>
      <w:proofErr w:type="spellStart"/>
      <w:r>
        <w:rPr>
          <w:rtl/>
        </w:rPr>
        <w:t>ה“ניסי</w:t>
      </w:r>
      <w:proofErr w:type="spellEnd"/>
      <w:r>
        <w:rPr>
          <w:rtl/>
        </w:rPr>
        <w:t xml:space="preserve">” הזה – ומעולם לא שמענו ממנו את הסיפור. גם עובדה זו מוכיחה שדחה את </w:t>
      </w:r>
      <w:proofErr w:type="spellStart"/>
      <w:r>
        <w:rPr>
          <w:rtl/>
        </w:rPr>
        <w:t>אמיתותו</w:t>
      </w:r>
      <w:proofErr w:type="spellEnd"/>
      <w:r>
        <w:rPr>
          <w:rtl/>
        </w:rPr>
        <w:t>.</w:t>
      </w:r>
    </w:p>
    <w:p w14:paraId="59BF44F4" w14:textId="77777777" w:rsidR="00AB3647" w:rsidRDefault="00000000" w:rsidP="007923E9">
      <w:pPr>
        <w:spacing w:after="120" w:line="276" w:lineRule="auto"/>
        <w:ind w:firstLine="283"/>
        <w:jc w:val="both"/>
      </w:pPr>
      <w:r>
        <w:rPr>
          <w:rtl/>
        </w:rPr>
        <w:t xml:space="preserve">אבל עדיין נותרת שאלה: אם מתח ר׳ ישראל </w:t>
      </w:r>
      <w:proofErr w:type="spellStart"/>
      <w:r>
        <w:rPr>
          <w:rtl/>
        </w:rPr>
        <w:t>סלנטר</w:t>
      </w:r>
      <w:proofErr w:type="spellEnd"/>
      <w:r>
        <w:rPr>
          <w:rtl/>
        </w:rPr>
        <w:t xml:space="preserve"> ביקורת על ר׳ לייב, מדוע ביקש להיפגש עימו? נראה לי, כפי שיוסבר עוד להלן, שר׳ ישראל לא האמין לידיעה שהשרפה ניצתה מכוח קללה. הוא החליט לפגוש את ר׳ לייב כדי לעמוד על טיבו ולהיווכח בעצמו שהחסיד </w:t>
      </w:r>
      <w:r>
        <w:rPr>
          <w:b/>
          <w:bCs/>
          <w:rtl/>
        </w:rPr>
        <w:t>אינו</w:t>
      </w:r>
      <w:r>
        <w:rPr>
          <w:rtl/>
        </w:rPr>
        <w:t xml:space="preserve"> מסוג האנשים המקללים אחרים, ואפילו לא גויים שמציקים להם – ואכן לא היה כזה. במקום להתווכח עם תלמידיו ולטעון שאפשר שלא קללה היא שהעלתה את בית הגוי באש, ניצל את הנחתם המוטעית לצורך חינוכי: ללמדם את גישתו הכללית בדבר המגבלות שזכויות בין אדם לחברו מטילות על בעלי כוחות </w:t>
      </w:r>
      <w:proofErr w:type="spellStart"/>
      <w:r>
        <w:rPr>
          <w:rtl/>
        </w:rPr>
        <w:t>על־טבעיים</w:t>
      </w:r>
      <w:proofErr w:type="spellEnd"/>
      <w:r>
        <w:rPr>
          <w:rtl/>
        </w:rPr>
        <w:t>.</w:t>
      </w:r>
    </w:p>
    <w:p w14:paraId="19C5394E" w14:textId="77777777" w:rsidR="00AB3647" w:rsidRDefault="00000000" w:rsidP="007923E9">
      <w:pPr>
        <w:spacing w:after="120" w:line="276" w:lineRule="auto"/>
        <w:ind w:firstLine="283"/>
        <w:jc w:val="both"/>
      </w:pPr>
      <w:r>
        <w:rPr>
          <w:rtl/>
        </w:rPr>
        <w:t xml:space="preserve">מחלוקת מעניינת בין ר׳ ישראל </w:t>
      </w:r>
      <w:proofErr w:type="spellStart"/>
      <w:r>
        <w:rPr>
          <w:rtl/>
        </w:rPr>
        <w:t>סלנטר</w:t>
      </w:r>
      <w:proofErr w:type="spellEnd"/>
      <w:r>
        <w:rPr>
          <w:rtl/>
        </w:rPr>
        <w:t xml:space="preserve"> </w:t>
      </w:r>
      <w:proofErr w:type="spellStart"/>
      <w:r>
        <w:rPr>
          <w:rtl/>
        </w:rPr>
        <w:t>לחפץ־חיים</w:t>
      </w:r>
      <w:proofErr w:type="spellEnd"/>
      <w:r>
        <w:rPr>
          <w:rtl/>
        </w:rPr>
        <w:t xml:space="preserve"> מדגישה את אמונתו העמוקה של ר׳ ישראל במגבלות שהיחסים שבין אדם לחברו מטילים על הנהגתו הדתית של אדם. השווה “כל כתבי </w:t>
      </w:r>
      <w:proofErr w:type="spellStart"/>
      <w:r>
        <w:rPr>
          <w:rtl/>
        </w:rPr>
        <w:t>ח״ח</w:t>
      </w:r>
      <w:proofErr w:type="spellEnd"/>
      <w:r>
        <w:rPr>
          <w:rtl/>
        </w:rPr>
        <w:t>”:</w:t>
      </w:r>
      <w:bookmarkStart w:id="3541" w:name="_fnr2620"/>
      <w:r>
        <w:rPr>
          <w:rStyle w:val="a5"/>
        </w:rPr>
        <w:footnoteReference w:id="2627" w:customMarkFollows="0"/>
      </w:r>
      <w:bookmarkEnd w:id="3541"/>
      <w:r>
        <w:rPr>
          <w:rtl/>
        </w:rPr>
        <w:t xml:space="preserve"> שם מספר תלמידו ר׳ </w:t>
      </w:r>
      <w:proofErr w:type="spellStart"/>
      <w:r>
        <w:rPr>
          <w:rtl/>
        </w:rPr>
        <w:t>אברהם־אבא</w:t>
      </w:r>
      <w:proofErr w:type="spellEnd"/>
      <w:r>
        <w:rPr>
          <w:rtl/>
        </w:rPr>
        <w:t xml:space="preserve"> </w:t>
      </w:r>
      <w:proofErr w:type="spellStart"/>
      <w:r>
        <w:rPr>
          <w:rtl/>
        </w:rPr>
        <w:t>קוסובסקי</w:t>
      </w:r>
      <w:proofErr w:type="spellEnd"/>
      <w:r>
        <w:rPr>
          <w:rtl/>
        </w:rPr>
        <w:t xml:space="preserve"> </w:t>
      </w:r>
      <w:proofErr w:type="spellStart"/>
      <w:r>
        <w:rPr>
          <w:rtl/>
        </w:rPr>
        <w:t>שהחפץ־חיים</w:t>
      </w:r>
      <w:proofErr w:type="spellEnd"/>
      <w:r>
        <w:rPr>
          <w:rtl/>
        </w:rPr>
        <w:t xml:space="preserve"> אמר לו שהביא </w:t>
      </w:r>
      <w:proofErr w:type="spellStart"/>
      <w:r>
        <w:rPr>
          <w:rtl/>
        </w:rPr>
        <w:t>לר</w:t>
      </w:r>
      <w:proofErr w:type="spellEnd"/>
      <w:r>
        <w:rPr>
          <w:rtl/>
        </w:rPr>
        <w:t>׳ ישראל עותק של כתב היד של “שמירת הלשון” לעיון</w:t>
      </w:r>
      <w:bookmarkStart w:id="3542" w:name="_fnr2621"/>
      <w:bookmarkStart w:id="3543" w:name="pr_f_2522"/>
      <w:r>
        <w:rPr>
          <w:rStyle w:val="a5"/>
        </w:rPr>
        <w:footnoteReference w:id="2628" w:customMarkFollows="0"/>
      </w:r>
      <w:bookmarkEnd w:id="3542"/>
      <w:bookmarkEnd w:id="3543"/>
      <w:r>
        <w:rPr>
          <w:rtl/>
        </w:rPr>
        <w:t xml:space="preserve">. כשחזר </w:t>
      </w:r>
      <w:proofErr w:type="spellStart"/>
      <w:r>
        <w:rPr>
          <w:rtl/>
        </w:rPr>
        <w:t>החפץ־חיים</w:t>
      </w:r>
      <w:proofErr w:type="spellEnd"/>
      <w:r>
        <w:rPr>
          <w:rtl/>
        </w:rPr>
        <w:t xml:space="preserve"> אל ר׳ ישראל (וציפה לקבל הסכמה</w:t>
      </w:r>
      <w:bookmarkStart w:id="3544" w:name="_fnr2622"/>
      <w:r>
        <w:rPr>
          <w:rStyle w:val="a5"/>
        </w:rPr>
        <w:footnoteReference w:id="2629" w:customMarkFollows="0"/>
      </w:r>
      <w:bookmarkEnd w:id="3544"/>
      <w:r>
        <w:rPr>
          <w:rtl/>
        </w:rPr>
        <w:t>), אמר לו ר׳ ישראל שיש לו “קושיא עצומה” על אחת מפסיקותיו</w:t>
      </w:r>
      <w:bookmarkStart w:id="3545" w:name="_fnr2623"/>
      <w:r>
        <w:rPr>
          <w:rStyle w:val="a5"/>
        </w:rPr>
        <w:footnoteReference w:id="2630" w:customMarkFollows="0"/>
      </w:r>
      <w:bookmarkEnd w:id="3545"/>
      <w:r>
        <w:rPr>
          <w:rtl/>
        </w:rPr>
        <w:t>: מי שדיבר לשון הרע על חברו, וחברו אינו יודע על כך, צריך לגלות לו את דברי הגנאי שאמר עליו ולבקש את מחילתו. מאחר שהנפגע אינו יודע דבר, והידיעה תצער אותו, שאל ר׳ ישראל: באיזו זכות יפגע החוטא בחברו רק כדי לספק את צורכו האישי בתשובה</w:t>
      </w:r>
      <w:bookmarkStart w:id="3546" w:name="_fnr2624"/>
      <w:r>
        <w:rPr>
          <w:rStyle w:val="a5"/>
        </w:rPr>
        <w:footnoteReference w:id="2631" w:customMarkFollows="0"/>
      </w:r>
      <w:bookmarkEnd w:id="3546"/>
      <w:r>
        <w:rPr>
          <w:rtl/>
        </w:rPr>
        <w:t xml:space="preserve">? </w:t>
      </w:r>
      <w:proofErr w:type="spellStart"/>
      <w:r>
        <w:rPr>
          <w:rtl/>
        </w:rPr>
        <w:t>לחפץ־חיים</w:t>
      </w:r>
      <w:proofErr w:type="spellEnd"/>
      <w:r>
        <w:rPr>
          <w:rtl/>
        </w:rPr>
        <w:t xml:space="preserve"> </w:t>
      </w:r>
      <w:r>
        <w:rPr>
          <w:rtl/>
        </w:rPr>
        <w:lastRenderedPageBreak/>
        <w:t xml:space="preserve">הייתה תשובה מוכנה: הוא העתיק דין זה </w:t>
      </w:r>
      <w:proofErr w:type="spellStart"/>
      <w:r>
        <w:rPr>
          <w:rtl/>
        </w:rPr>
        <w:t>מ“שערי</w:t>
      </w:r>
      <w:proofErr w:type="spellEnd"/>
      <w:r>
        <w:rPr>
          <w:rtl/>
        </w:rPr>
        <w:t xml:space="preserve"> תשובה” לרבנו יונה. אבל התשובה לא הניחה את דעתו של ר׳ ישראל</w:t>
      </w:r>
      <w:bookmarkStart w:id="3547" w:name="_fnr2625"/>
      <w:bookmarkStart w:id="3548" w:name="pr_f_2526"/>
      <w:r>
        <w:rPr>
          <w:rStyle w:val="a5"/>
        </w:rPr>
        <w:footnoteReference w:id="2632" w:customMarkFollows="0"/>
      </w:r>
      <w:bookmarkEnd w:id="3547"/>
      <w:bookmarkEnd w:id="3548"/>
      <w:r>
        <w:rPr>
          <w:rtl/>
        </w:rPr>
        <w:t xml:space="preserve">, ולא זיכתה את </w:t>
      </w:r>
      <w:proofErr w:type="spellStart"/>
      <w:r>
        <w:rPr>
          <w:rtl/>
        </w:rPr>
        <w:t>החפץ־חיים</w:t>
      </w:r>
      <w:proofErr w:type="spellEnd"/>
      <w:r>
        <w:rPr>
          <w:rtl/>
        </w:rPr>
        <w:t xml:space="preserve"> בהסכמה לספר שכתב</w:t>
      </w:r>
      <w:bookmarkStart w:id="3549" w:name="_fnr2626"/>
      <w:r>
        <w:rPr>
          <w:rStyle w:val="a5"/>
        </w:rPr>
        <w:footnoteReference w:id="2633" w:customMarkFollows="0"/>
      </w:r>
      <w:bookmarkEnd w:id="3549"/>
      <w:r>
        <w:rPr>
          <w:rtl/>
        </w:rPr>
        <w:t>.</w:t>
      </w:r>
    </w:p>
    <w:p w14:paraId="3E34380F" w14:textId="77777777" w:rsidR="00AB3647" w:rsidRDefault="00000000" w:rsidP="007923E9">
      <w:pPr>
        <w:spacing w:after="120" w:line="276" w:lineRule="auto"/>
        <w:ind w:firstLine="283"/>
        <w:jc w:val="both"/>
      </w:pPr>
      <w:r>
        <w:rPr>
          <w:rtl/>
        </w:rPr>
        <w:t>לפנינו דוגמה ברורה לדרכו של ר׳ ישראל: חובת התשובה הדתית אינה יכולה לדחות את חובותיו של אדם כלפי זולתו. גישה זו מתיישבת עם עקרונו של ר׳ ישראל, ששיקולי בין אדם למקום לעולם אינם באים על חשבון בין אדם לחברו. לפי אמרתו, “צרכי הגוף של האחר הם עניני הנשמה שלי”</w:t>
      </w:r>
      <w:bookmarkStart w:id="3550" w:name="_fnr2627"/>
      <w:r>
        <w:rPr>
          <w:rStyle w:val="a5"/>
        </w:rPr>
        <w:footnoteReference w:id="2634" w:customMarkFollows="0"/>
      </w:r>
      <w:bookmarkEnd w:id="3550"/>
      <w:r>
        <w:rPr>
          <w:rtl/>
        </w:rPr>
        <w:t xml:space="preserve">, היחסים שבין אדם לחברו הם במהותם </w:t>
      </w:r>
      <w:r>
        <w:rPr>
          <w:b/>
          <w:bCs/>
          <w:rtl/>
        </w:rPr>
        <w:t>גם</w:t>
      </w:r>
      <w:r>
        <w:rPr>
          <w:rtl/>
        </w:rPr>
        <w:t xml:space="preserve"> בין אדם למקום, ולכן אין חיובים [אחרים] של בין אדם למקום יכולים לדחותם. בדיון עם תלמידיו ניצל ר׳ ישראל את </w:t>
      </w:r>
      <w:r>
        <w:rPr>
          <w:b/>
          <w:bCs/>
          <w:rtl/>
        </w:rPr>
        <w:t>הנחתם</w:t>
      </w:r>
      <w:r>
        <w:rPr>
          <w:rtl/>
        </w:rPr>
        <w:t xml:space="preserve"> שהמקלל עומד במדרגה גבוהה בבין אדם למקום, כלומר שזכה לכוחות נסתרים ממרומים, כדי להראות שגם אם כך הוא, אין הדבר מקנה לו זכות לפגוע באחרים.</w:t>
      </w:r>
    </w:p>
    <w:p w14:paraId="74575F4D" w14:textId="478E9FC1" w:rsidR="00AB3647" w:rsidRDefault="00000000" w:rsidP="007923E9">
      <w:pPr>
        <w:spacing w:after="120" w:line="276" w:lineRule="auto"/>
        <w:ind w:firstLine="283"/>
        <w:jc w:val="both"/>
      </w:pPr>
      <w:r>
        <w:rPr>
          <w:rtl/>
        </w:rPr>
        <w:t xml:space="preserve">באשר לתוצאת פגישתם של ר׳ ישראל </w:t>
      </w:r>
      <w:proofErr w:type="spellStart"/>
      <w:r>
        <w:rPr>
          <w:rtl/>
        </w:rPr>
        <w:t>והחפץ־חיים</w:t>
      </w:r>
      <w:proofErr w:type="spellEnd"/>
      <w:r>
        <w:rPr>
          <w:rtl/>
        </w:rPr>
        <w:t xml:space="preserve"> בעניין ספרו החדש של האחרון, השווה את הציטוט </w:t>
      </w:r>
      <w:proofErr w:type="spellStart"/>
      <w:r>
        <w:rPr>
          <w:rtl/>
        </w:rPr>
        <w:t>מ“מאיר</w:t>
      </w:r>
      <w:proofErr w:type="spellEnd"/>
      <w:r>
        <w:rPr>
          <w:rtl/>
        </w:rPr>
        <w:t xml:space="preserve"> עיני ישראל” ב</w:t>
      </w:r>
      <w:r>
        <w:rPr>
          <w:rtl/>
        </w:rPr>
        <w:fldChar w:fldCharType="begin" w:dirty="true"/>
      </w:r>
      <w:r>
        <w:rPr>
          <w:rtl/>
        </w:rPr>
        <w:instrText xml:space="preserve"> REF b3_excA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א</w:t>
      </w:r>
      <w:r>
        <w:rPr>
          <w:rtl/>
        </w:rPr>
        <w:fldChar w:fldCharType="end"/>
      </w:r>
      <w:r>
        <w:rPr>
          <w:rtl/>
        </w:rPr>
        <w:t xml:space="preserve"> לעיל, בשם ר׳ מאיר </w:t>
      </w:r>
      <w:proofErr w:type="spellStart"/>
      <w:r>
        <w:rPr>
          <w:rtl/>
        </w:rPr>
        <w:t>קרליץ</w:t>
      </w:r>
      <w:proofErr w:type="spellEnd"/>
      <w:r>
        <w:rPr>
          <w:rtl/>
        </w:rPr>
        <w:t xml:space="preserve">, שלפיו יעץ ר׳ ישראל </w:t>
      </w:r>
      <w:proofErr w:type="spellStart"/>
      <w:r>
        <w:rPr>
          <w:rtl/>
        </w:rPr>
        <w:t>לחפץ־חיים</w:t>
      </w:r>
      <w:proofErr w:type="spellEnd"/>
      <w:r>
        <w:rPr>
          <w:rtl/>
        </w:rPr>
        <w:t xml:space="preserve"> לפרסם את ספרו. אבל לפי “פרח מטה אהרן”</w:t>
      </w:r>
      <w:bookmarkStart w:id="3551" w:name="_fnr2628"/>
      <w:r>
        <w:rPr>
          <w:rStyle w:val="a5"/>
        </w:rPr>
        <w:footnoteReference w:id="2635" w:customMarkFollows="0"/>
      </w:r>
      <w:bookmarkEnd w:id="3551"/>
      <w:r>
        <w:rPr>
          <w:rtl/>
        </w:rPr>
        <w:t xml:space="preserve">, בשם ר׳ יצחק </w:t>
      </w:r>
      <w:proofErr w:type="spellStart"/>
      <w:r>
        <w:rPr>
          <w:rtl/>
        </w:rPr>
        <w:t>הוטנר</w:t>
      </w:r>
      <w:proofErr w:type="spellEnd"/>
      <w:r>
        <w:rPr>
          <w:rtl/>
        </w:rPr>
        <w:t xml:space="preserve">, ר׳ ישראל לא רק סירב לתת לספר הסכמה בלתי מסויגת, בשל ביקורתו הנזכרת לעיל, אלא אף סירב לכתוב הסכמה מסויגת שתכלול הסתייגות מפורשת מן ההלכה שעליה הקשה. הוא נימק את סירובו בכך </w:t>
      </w:r>
      <w:proofErr w:type="spellStart"/>
      <w:r>
        <w:rPr>
          <w:rtl/>
        </w:rPr>
        <w:t>ש“אנשים</w:t>
      </w:r>
      <w:proofErr w:type="spellEnd"/>
      <w:r>
        <w:rPr>
          <w:rtl/>
        </w:rPr>
        <w:t xml:space="preserve"> רבים קוראים ספר בלי לעיין בהסכמות”, ואם יעודד בדרך כלשהי את הוצאת הספר לאור, יעבור על האיסור “לפני עור לא </w:t>
      </w:r>
      <w:proofErr w:type="spellStart"/>
      <w:r>
        <w:rPr>
          <w:rtl/>
        </w:rPr>
        <w:t>תתן</w:t>
      </w:r>
      <w:proofErr w:type="spellEnd"/>
      <w:r>
        <w:rPr>
          <w:rtl/>
        </w:rPr>
        <w:t xml:space="preserve"> מכשול”</w:t>
      </w:r>
      <w:bookmarkStart w:id="3552" w:name="_fnr2629"/>
      <w:r>
        <w:rPr>
          <w:rStyle w:val="a5"/>
        </w:rPr>
        <w:footnoteReference w:id="2636" w:customMarkFollows="0"/>
      </w:r>
      <w:bookmarkEnd w:id="3552"/>
      <w:r>
        <w:rPr>
          <w:rtl/>
        </w:rPr>
        <w:t xml:space="preserve">, בכך </w:t>
      </w:r>
      <w:proofErr w:type="spellStart"/>
      <w:r>
        <w:rPr>
          <w:rtl/>
        </w:rPr>
        <w:t>ש“יכשיל</w:t>
      </w:r>
      <w:proofErr w:type="spellEnd"/>
      <w:r>
        <w:rPr>
          <w:rtl/>
        </w:rPr>
        <w:t xml:space="preserve"> אותם [לפגוע ברגשות הזולת בעת בקשת מחילה]”.</w:t>
      </w:r>
    </w:p>
    <w:p w14:paraId="56F01498" w14:textId="77777777" w:rsidR="00AB3647" w:rsidRDefault="00000000" w:rsidP="007923E9">
      <w:pPr>
        <w:spacing w:after="120" w:line="276" w:lineRule="auto"/>
        <w:ind w:firstLine="283"/>
        <w:jc w:val="both"/>
      </w:pPr>
      <w:r>
        <w:rPr>
          <w:rtl/>
        </w:rPr>
        <w:t xml:space="preserve">מנגד, השווה את עדות בנו של </w:t>
      </w:r>
      <w:proofErr w:type="spellStart"/>
      <w:r>
        <w:rPr>
          <w:rtl/>
        </w:rPr>
        <w:t>החפץ־חיים</w:t>
      </w:r>
      <w:proofErr w:type="spellEnd"/>
      <w:r>
        <w:rPr>
          <w:rtl/>
        </w:rPr>
        <w:t xml:space="preserve"> ר׳ </w:t>
      </w:r>
      <w:proofErr w:type="spellStart"/>
      <w:r>
        <w:rPr>
          <w:rtl/>
        </w:rPr>
        <w:t>אריה־לייב</w:t>
      </w:r>
      <w:proofErr w:type="spellEnd"/>
      <w:r>
        <w:rPr>
          <w:rtl/>
        </w:rPr>
        <w:t xml:space="preserve"> </w:t>
      </w:r>
      <w:proofErr w:type="spellStart"/>
      <w:r>
        <w:rPr>
          <w:rtl/>
        </w:rPr>
        <w:t>פופקו</w:t>
      </w:r>
      <w:proofErr w:type="spellEnd"/>
      <w:r>
        <w:rPr>
          <w:rtl/>
        </w:rPr>
        <w:t xml:space="preserve"> </w:t>
      </w:r>
      <w:proofErr w:type="spellStart"/>
      <w:r>
        <w:rPr>
          <w:rtl/>
        </w:rPr>
        <w:t>ב“החפץ</w:t>
      </w:r>
      <w:proofErr w:type="spellEnd"/>
      <w:r>
        <w:rPr>
          <w:rtl/>
        </w:rPr>
        <w:t xml:space="preserve"> חיים (ישר)”</w:t>
      </w:r>
      <w:bookmarkStart w:id="3553" w:name="_fnr2630"/>
      <w:r>
        <w:rPr>
          <w:rStyle w:val="a5"/>
        </w:rPr>
        <w:footnoteReference w:id="2637" w:customMarkFollows="0"/>
      </w:r>
      <w:bookmarkEnd w:id="3553"/>
      <w:r>
        <w:rPr>
          <w:rtl/>
        </w:rPr>
        <w:t xml:space="preserve">: חתנו של ר׳ ישראל </w:t>
      </w:r>
      <w:proofErr w:type="spellStart"/>
      <w:r>
        <w:rPr>
          <w:rtl/>
        </w:rPr>
        <w:t>סלנטר</w:t>
      </w:r>
      <w:proofErr w:type="spellEnd"/>
      <w:r>
        <w:rPr>
          <w:rtl/>
        </w:rPr>
        <w:t xml:space="preserve"> בווילנה, ר׳ </w:t>
      </w:r>
      <w:proofErr w:type="spellStart"/>
      <w:r>
        <w:rPr>
          <w:rtl/>
        </w:rPr>
        <w:t>אליהו־לייזר</w:t>
      </w:r>
      <w:proofErr w:type="spellEnd"/>
      <w:r>
        <w:rPr>
          <w:rtl/>
        </w:rPr>
        <w:t xml:space="preserve"> </w:t>
      </w:r>
      <w:proofErr w:type="spellStart"/>
      <w:r>
        <w:rPr>
          <w:rtl/>
        </w:rPr>
        <w:t xml:space="preserve">גרודננסקי</w:t>
      </w:r>
      <w:proofErr w:type="spellEnd"/>
      <w:r>
        <w:rPr>
          <w:rtl/>
        </w:rPr>
        <w:t xml:space="preserve">, שלח </w:t>
      </w:r>
      <w:proofErr w:type="spellStart"/>
      <w:r>
        <w:rPr>
          <w:rtl/>
        </w:rPr>
        <w:t>לחפץ־חיים</w:t>
      </w:r>
      <w:proofErr w:type="spellEnd"/>
      <w:r>
        <w:rPr>
          <w:rtl/>
        </w:rPr>
        <w:t xml:space="preserve"> מכתב “שנים אחדות לאחר הוצאת ספר שמירת הלשון </w:t>
      </w:r>
      <w:proofErr w:type="spellStart"/>
      <w:r>
        <w:rPr>
          <w:rtl/>
        </w:rPr>
        <w:t>בתרל״ג</w:t>
      </w:r>
      <w:proofErr w:type="spellEnd"/>
      <w:r>
        <w:rPr>
          <w:rtl/>
        </w:rPr>
        <w:t>”</w:t>
      </w:r>
      <w:bookmarkStart w:id="3554" w:name="_fnr2631"/>
      <w:bookmarkEnd w:id="3554"/>
      <w:r>
        <w:rPr>
          <w:rStyle w:val="a5"/>
        </w:rPr>
        <w:t/>
      </w:r>
      <w:bookmarkStart w:id="7029" w:name="_TranslatorNote_2630"/>
      <w:r>
        <w:rPr>
          <w:rStyle w:val="a5"/>
          <w:vertAlign w:val="superscript"/>
          <w:rtl/>
        </w:rPr>
        <w:footnoteReference w:id="2638" w:customMarkFollows="1"/>
        <w:t>*</w:t>
      </w:r>
      <w:bookmarkEnd w:id="7029"/>
      <w:r>
        <w:rPr>
          <w:rtl/>
        </w:rPr>
        <w:t xml:space="preserve">, ובו נאמר שר׳ ישראל מבקש את הספר. </w:t>
      </w:r>
      <w:proofErr w:type="spellStart"/>
      <w:r>
        <w:rPr>
          <w:rtl/>
        </w:rPr>
        <w:t>החפץ־חיים</w:t>
      </w:r>
      <w:proofErr w:type="spellEnd"/>
      <w:r>
        <w:rPr>
          <w:rtl/>
        </w:rPr>
        <w:t xml:space="preserve"> שלח לו עותק, “ולפי עדות תלמידיו הגדולים של ר׳ ישראל, היה הספר מונח תמיד על שולחנו בשנות חייו האחרונות”. עולה מכאן שאף אם לא רצה ר׳ ישראל </w:t>
      </w:r>
      <w:r>
        <w:rPr>
          <w:b/>
          <w:bCs/>
          <w:rtl/>
        </w:rPr>
        <w:t>לעודד</w:t>
      </w:r>
      <w:r>
        <w:rPr>
          <w:rtl/>
        </w:rPr>
        <w:t xml:space="preserve"> את הוצאת “שמירת הלשון” לאור, הוא הסכים לו בדיעבד.</w:t>
      </w:r>
    </w:p>
    <w:p w14:paraId="5352DC5E" w14:textId="77777777" w:rsidR="00AB3647" w:rsidRDefault="00000000" w:rsidP="007923E9">
      <w:pPr>
        <w:pStyle w:val="4"/>
        <w:spacing w:line="276" w:lineRule="auto"/>
      </w:pPr>
      <w:r>
        <w:lastRenderedPageBreak/>
        <w:t>· הפסקה השלישית ·</w:t>
      </w:r>
    </w:p>
    <w:p w14:paraId="2CDCD120" w14:textId="77777777" w:rsidR="00AB3647" w:rsidRDefault="00000000" w:rsidP="007923E9">
      <w:pPr>
        <w:shd w:val="clear" w:color="auto" w:fill="F2F2F2"/>
        <w:spacing w:before="40" w:after="200" w:line="276" w:lineRule="auto"/>
        <w:ind w:left="283" w:right="283"/>
        <w:jc w:val="both"/>
      </w:pPr>
      <w:r>
        <w:rPr>
          <w:color w:val="404040"/>
          <w:sz w:val="22"/>
          <w:szCs w:val="22"/>
          <w:rtl/>
        </w:rPr>
        <w:t xml:space="preserve">ר׳ חיים </w:t>
      </w:r>
      <w:proofErr w:type="spellStart"/>
      <w:r>
        <w:rPr>
          <w:color w:val="404040"/>
          <w:sz w:val="22"/>
          <w:szCs w:val="22"/>
          <w:rtl/>
        </w:rPr>
        <w:t>מוולוז׳ין</w:t>
      </w:r>
      <w:proofErr w:type="spellEnd"/>
      <w:r>
        <w:rPr>
          <w:color w:val="404040"/>
          <w:sz w:val="22"/>
          <w:szCs w:val="22"/>
          <w:rtl/>
        </w:rPr>
        <w:t xml:space="preserve"> מחליט להנהיג ברכת כהנים בימות החול ואסון מתרחש – רבנו מסביר כיצד אירע האסון – אפילו תיקון מנהגים מעורר קושי – הימנעות ממחלוקת בעת שינוי מנהגים – שינוי מנהג בצנעה בלבד – תפוצת “משנה ברורה” מביאה לכך שבווילנה מקבלים שבת בשקיעה – גם אבי נוהג כדעת הגאון בצנעה – הגאון מווילנה מבקש להימנע ממנהגים שאינם לרוחו – המצית דואג להגביל את הנזק – הגאון מווילנה נכלא – ר׳ חיים </w:t>
      </w:r>
      <w:proofErr w:type="spellStart"/>
      <w:r>
        <w:rPr>
          <w:color w:val="404040"/>
          <w:sz w:val="22"/>
          <w:szCs w:val="22"/>
          <w:rtl/>
        </w:rPr>
        <w:t>מוולוז׳ין</w:t>
      </w:r>
      <w:proofErr w:type="spellEnd"/>
      <w:r>
        <w:rPr>
          <w:color w:val="404040"/>
          <w:sz w:val="22"/>
          <w:szCs w:val="22"/>
          <w:rtl/>
        </w:rPr>
        <w:t xml:space="preserve"> מורה לתלמידיו ללמוד בליל ניטל מסוים – התנגשות רגשות בליל הושענא רבה – המוות מפריע לניסיונו של הגאון מווילנה להנהיג ברכת כהנים</w:t>
      </w:r>
    </w:p>
    <w:p w14:paraId="2E4F7D56" w14:textId="77777777" w:rsidR="00AB3647" w:rsidRDefault="00000000" w:rsidP="007923E9">
      <w:pPr>
        <w:spacing w:after="120" w:line="276" w:lineRule="auto"/>
        <w:ind w:firstLine="283"/>
        <w:jc w:val="both"/>
      </w:pPr>
      <w:bookmarkStart w:id="3555" w:name="pr_b_1558"/>
      <w:bookmarkEnd w:id="3555"/>
      <w:r>
        <w:rPr>
          <w:rtl/>
        </w:rPr>
        <w:t xml:space="preserve">הדעה שר׳ ישראל לא האמין שקללתו של ר׳ לייב חסיד גרמה לשרפה בביתו של הגוי מבוססת על דברים שאמר אבי בנוגע למאורעות ששמע ר׳ </w:t>
      </w:r>
      <w:proofErr w:type="spellStart"/>
      <w:r>
        <w:rPr>
          <w:rtl/>
        </w:rPr>
        <w:t>אברהם־שמחה</w:t>
      </w:r>
      <w:proofErr w:type="spellEnd"/>
      <w:r>
        <w:rPr>
          <w:rtl/>
        </w:rPr>
        <w:t xml:space="preserve"> </w:t>
      </w:r>
      <w:proofErr w:type="spellStart"/>
      <w:r>
        <w:rPr>
          <w:rtl/>
        </w:rPr>
        <w:t>מאמצ׳יסלב</w:t>
      </w:r>
      <w:proofErr w:type="spellEnd"/>
      <w:r>
        <w:rPr>
          <w:rtl/>
        </w:rPr>
        <w:t xml:space="preserve"> מפי דודו ר׳ חיים </w:t>
      </w:r>
      <w:proofErr w:type="spellStart"/>
      <w:r>
        <w:rPr>
          <w:rtl/>
        </w:rPr>
        <w:t>מוולוז׳ין</w:t>
      </w:r>
      <w:proofErr w:type="spellEnd"/>
      <w:r>
        <w:rPr>
          <w:rtl/>
        </w:rPr>
        <w:t xml:space="preserve">. את המאורעות האלה רשם הרב יהושע </w:t>
      </w:r>
      <w:proofErr w:type="spellStart"/>
      <w:r>
        <w:rPr>
          <w:rtl/>
        </w:rPr>
        <w:t>העשיל</w:t>
      </w:r>
      <w:proofErr w:type="spellEnd"/>
      <w:r>
        <w:rPr>
          <w:rtl/>
        </w:rPr>
        <w:t xml:space="preserve"> </w:t>
      </w:r>
      <w:proofErr w:type="spellStart"/>
      <w:r>
        <w:rPr>
          <w:rtl/>
        </w:rPr>
        <w:t>לעווין</w:t>
      </w:r>
      <w:proofErr w:type="spellEnd"/>
      <w:r>
        <w:rPr>
          <w:rtl/>
        </w:rPr>
        <w:t xml:space="preserve">, חתן </w:t>
      </w:r>
      <w:proofErr w:type="spellStart"/>
      <w:r>
        <w:rPr>
          <w:rtl/>
        </w:rPr>
        <w:t>נינו</w:t>
      </w:r>
      <w:proofErr w:type="spellEnd"/>
      <w:r>
        <w:rPr>
          <w:rtl/>
        </w:rPr>
        <w:t xml:space="preserve"> של ר׳ חיים, בספרו “עליות אליהו”</w:t>
      </w:r>
      <w:bookmarkStart w:id="3556" w:name="_fnr2632"/>
      <w:r>
        <w:rPr>
          <w:rStyle w:val="a5"/>
        </w:rPr>
        <w:footnoteReference w:id="2639" w:customMarkFollows="0"/>
      </w:r>
      <w:bookmarkEnd w:id="3556"/>
      <w:r>
        <w:rPr>
          <w:rtl/>
        </w:rPr>
        <w:t xml:space="preserve">. ר׳ חיים ניסה להנהיג ברכת כהנים בימות החול </w:t>
      </w:r>
      <w:proofErr w:type="spellStart"/>
      <w:r>
        <w:rPr>
          <w:rtl/>
        </w:rPr>
        <w:t>בוולוז׳ין</w:t>
      </w:r>
      <w:proofErr w:type="spellEnd"/>
      <w:r>
        <w:rPr>
          <w:rtl/>
        </w:rPr>
        <w:t xml:space="preserve">, כמו שהגאון מווילנה “השתוקק מאוד לעשות בבית מדרשו” בווילנה שנים רבות קודם לכן</w:t>
      </w:r>
      <w:bookmarkStart w:id="3557" w:name="_fnr2633"/>
      <w:r>
        <w:rPr>
          <w:rStyle w:val="a5"/>
        </w:rPr>
        <w:footnoteReference w:id="2640" w:customMarkFollows="0"/>
      </w:r>
      <w:bookmarkEnd w:id="3557"/>
      <w:r>
        <w:rPr>
          <w:rtl/>
        </w:rPr>
        <w:t xml:space="preserve">. עד אותה עת נהגו </w:t>
      </w:r>
      <w:proofErr w:type="spellStart"/>
      <w:r>
        <w:rPr>
          <w:rtl/>
        </w:rPr>
        <w:t>בוולוז׳ין</w:t>
      </w:r>
      <w:proofErr w:type="spellEnd"/>
      <w:r>
        <w:rPr>
          <w:rtl/>
        </w:rPr>
        <w:t xml:space="preserve">, כבכל ארצות צפון אירופה, לעלות לדוכן רק בימים טובים. לאחר שגמר בדעתו לשנות את המנהג המקובל, החליט ר׳ חיים להכריז שלמחרת בבוקר, ביום חול, תיאמר ברכת כהנים בבית הכנסת. אבל “בלילה </w:t>
      </w:r>
      <w:r>
        <w:rPr>
          <w:b/>
          <w:bCs/>
          <w:rtl/>
        </w:rPr>
        <w:t>כילתה שרפה את בית המדרש</w:t>
      </w:r>
      <w:r>
        <w:rPr>
          <w:rtl/>
        </w:rPr>
        <w:t xml:space="preserve"> (ההדגשה שלי)”, ור׳ חיים ביטל את תוכניתו לחדש ברכת כהנים בכל יום – אף שסבר שההלכה מחייבת אותה. ר׳ </w:t>
      </w:r>
      <w:proofErr w:type="spellStart"/>
      <w:r>
        <w:rPr>
          <w:rtl/>
        </w:rPr>
        <w:t>אברהם־שמחה</w:t>
      </w:r>
      <w:proofErr w:type="spellEnd"/>
      <w:r>
        <w:rPr>
          <w:rtl/>
        </w:rPr>
        <w:t xml:space="preserve"> סיים: “אפשר שמפני כבוד קודמינו [שלא אמרו ברכת כהנים בימות החול באירופה], לא עלה הדבר בידו”.</w:t>
      </w:r>
    </w:p>
    <w:p w14:paraId="3A88155F" w14:textId="77777777" w:rsidR="00AB3647" w:rsidRDefault="00000000" w:rsidP="007923E9">
      <w:pPr>
        <w:spacing w:after="120" w:line="276" w:lineRule="auto"/>
        <w:ind w:firstLine="283"/>
        <w:jc w:val="both"/>
      </w:pPr>
      <w:r>
        <w:rPr>
          <w:rtl/>
        </w:rPr>
        <w:t xml:space="preserve">גם </w:t>
      </w:r>
      <w:proofErr w:type="spellStart"/>
      <w:r>
        <w:rPr>
          <w:rtl/>
        </w:rPr>
        <w:t>הנצי״ב</w:t>
      </w:r>
      <w:proofErr w:type="spellEnd"/>
      <w:r>
        <w:rPr>
          <w:rtl/>
        </w:rPr>
        <w:t xml:space="preserve"> כותב בתשובותיו</w:t>
      </w:r>
      <w:bookmarkStart w:id="3558" w:name="_fnr2634"/>
      <w:r>
        <w:rPr>
          <w:rStyle w:val="a5"/>
        </w:rPr>
        <w:footnoteReference w:id="2641" w:customMarkFollows="0"/>
      </w:r>
      <w:bookmarkEnd w:id="3558"/>
      <w:r>
        <w:rPr>
          <w:rtl/>
        </w:rPr>
        <w:t xml:space="preserve"> על מאורע זה, שעליו “שמע, כמדומה”, מפי חותנו, בנו של ר׳ חיים </w:t>
      </w:r>
      <w:proofErr w:type="spellStart"/>
      <w:r>
        <w:rPr>
          <w:rtl/>
        </w:rPr>
        <w:t>מוולוז׳ין</w:t>
      </w:r>
      <w:proofErr w:type="spellEnd"/>
      <w:r>
        <w:rPr>
          <w:rtl/>
        </w:rPr>
        <w:t xml:space="preserve">: “ר׳ חיים החליט שלמחרת יצווה על נשיאת כפיים; באותו לילה נשרפו </w:t>
      </w:r>
      <w:r>
        <w:rPr>
          <w:b/>
          <w:bCs/>
          <w:rtl/>
        </w:rPr>
        <w:t>חצי העיר ובית הכנסת</w:t>
      </w:r>
      <w:r>
        <w:rPr>
          <w:rtl/>
        </w:rPr>
        <w:t xml:space="preserve"> (ההדגשה שלי). ראו והבינו שיש איזה סוד בסתרי ירידת השפע הבא על ידי ברכת כהנים בחוץ לארץ [בארץ ישראל אכן מברכים בכל יום], ואין אנו יודעים [מה מונע שם ברכת כהנים בימות החול]”</w:t>
      </w:r>
      <w:bookmarkStart w:id="3559" w:name="_fnr2635"/>
      <w:r>
        <w:rPr>
          <w:rStyle w:val="a5"/>
        </w:rPr>
        <w:footnoteReference w:id="2642" w:customMarkFollows="0"/>
      </w:r>
      <w:bookmarkEnd w:id="3559"/>
      <w:r>
        <w:rPr>
          <w:rtl/>
        </w:rPr>
        <w:t>.</w:t>
      </w:r>
    </w:p>
    <w:p w14:paraId="11A8C225" w14:textId="77777777" w:rsidR="00AB3647" w:rsidRDefault="00000000" w:rsidP="007923E9">
      <w:pPr>
        <w:spacing w:after="120" w:line="276" w:lineRule="auto"/>
        <w:ind w:firstLine="283"/>
        <w:jc w:val="both"/>
      </w:pPr>
      <w:r>
        <w:rPr>
          <w:rtl/>
        </w:rPr>
        <w:t xml:space="preserve">ר׳ יהושע </w:t>
      </w:r>
      <w:proofErr w:type="spellStart"/>
      <w:r>
        <w:rPr>
          <w:rtl/>
        </w:rPr>
        <w:t>גלדצהלר</w:t>
      </w:r>
      <w:proofErr w:type="spellEnd"/>
      <w:r>
        <w:rPr>
          <w:rtl/>
        </w:rPr>
        <w:t xml:space="preserve"> סיפר</w:t>
      </w:r>
      <w:bookmarkStart w:id="3560" w:name="_fnr2636"/>
      <w:r>
        <w:rPr>
          <w:rStyle w:val="a5"/>
        </w:rPr>
        <w:footnoteReference w:id="2643" w:customMarkFollows="0"/>
      </w:r>
      <w:bookmarkEnd w:id="3560"/>
      <w:r>
        <w:rPr>
          <w:rtl/>
        </w:rPr>
        <w:t xml:space="preserve"> מפי רבנו שר׳ ישראל </w:t>
      </w:r>
      <w:proofErr w:type="spellStart"/>
      <w:r>
        <w:rPr>
          <w:rtl/>
        </w:rPr>
        <w:t>סלנטר</w:t>
      </w:r>
      <w:proofErr w:type="spellEnd"/>
      <w:r>
        <w:rPr>
          <w:rtl/>
        </w:rPr>
        <w:t xml:space="preserve"> הכריז שאילו סבר כר׳ חיים </w:t>
      </w:r>
      <w:proofErr w:type="spellStart"/>
      <w:r>
        <w:rPr>
          <w:rtl/>
        </w:rPr>
        <w:t>מוולוז׳ין</w:t>
      </w:r>
      <w:proofErr w:type="spellEnd"/>
      <w:r>
        <w:rPr>
          <w:rtl/>
        </w:rPr>
        <w:t xml:space="preserve"> שההלכה מחייבת נשיאת כפיים בכל יום, היה בונה מחדש את בית הכנסת ושוב מנהיג אותה – למרות השרפה. בצעירותו שמע אבי שמתנגדי תנועת המוסר של ר׳ ישראל </w:t>
      </w:r>
      <w:proofErr w:type="spellStart"/>
      <w:r>
        <w:rPr>
          <w:rtl/>
        </w:rPr>
        <w:t>סלנטר</w:t>
      </w:r>
      <w:proofErr w:type="spellEnd"/>
      <w:r>
        <w:rPr>
          <w:rtl/>
        </w:rPr>
        <w:t xml:space="preserve"> </w:t>
      </w:r>
      <w:r>
        <w:rPr>
          <w:rtl/>
        </w:rPr>
        <w:lastRenderedPageBreak/>
        <w:t xml:space="preserve">הביאו הכרזה זו של ר׳ ישראל כדי להראות כיצד העז מחדש זה בחוצפתו לחלוק על גדול תלמידיו של הגאון מווילנה, ר׳ חיים </w:t>
      </w:r>
      <w:proofErr w:type="spellStart"/>
      <w:r>
        <w:rPr>
          <w:rtl/>
        </w:rPr>
        <w:t>מוולוז׳ין</w:t>
      </w:r>
      <w:proofErr w:type="spellEnd"/>
      <w:r>
        <w:rPr>
          <w:rtl/>
        </w:rPr>
        <w:t xml:space="preserve"> – “שהיה בקי הרבה יותר ממנו </w:t>
      </w:r>
      <w:proofErr w:type="spellStart"/>
      <w:r>
        <w:rPr>
          <w:rtl/>
        </w:rPr>
        <w:t>ב‘ענייני</w:t>
      </w:r>
      <w:proofErr w:type="spellEnd"/>
      <w:r>
        <w:rPr>
          <w:rtl/>
        </w:rPr>
        <w:t xml:space="preserve"> שמיים’”</w:t>
      </w:r>
      <w:bookmarkStart w:id="3561" w:name="_fnr2637"/>
      <w:r>
        <w:rPr>
          <w:rStyle w:val="a5"/>
        </w:rPr>
        <w:footnoteReference w:id="2644" w:customMarkFollows="0"/>
      </w:r>
      <w:bookmarkEnd w:id="3561"/>
      <w:r>
        <w:rPr>
          <w:rtl/>
        </w:rPr>
        <w:t xml:space="preserve"> – בעניין כוחם של אותות מן השמיים.</w:t>
      </w:r>
    </w:p>
    <w:p w14:paraId="122CB6BF" w14:textId="77777777" w:rsidR="00AB3647" w:rsidRDefault="00000000" w:rsidP="007923E9">
      <w:pPr>
        <w:spacing w:after="120" w:line="276" w:lineRule="auto"/>
        <w:ind w:firstLine="283"/>
        <w:jc w:val="both"/>
      </w:pPr>
      <w:r>
        <w:rPr>
          <w:rtl/>
        </w:rPr>
        <w:t xml:space="preserve">על מידת ההתנגדות לתנועת המוסר אמר רבנו, לפי ר׳ </w:t>
      </w:r>
      <w:proofErr w:type="spellStart"/>
      <w:r>
        <w:rPr>
          <w:rtl/>
        </w:rPr>
        <w:t>בן־ציון</w:t>
      </w:r>
      <w:proofErr w:type="spellEnd"/>
      <w:r>
        <w:rPr>
          <w:rtl/>
        </w:rPr>
        <w:t xml:space="preserve"> סובל</w:t>
      </w:r>
      <w:bookmarkStart w:id="3562" w:name="_fnr2638"/>
      <w:r>
        <w:rPr>
          <w:rStyle w:val="a5"/>
        </w:rPr>
        <w:footnoteReference w:id="2645" w:customMarkFollows="0"/>
      </w:r>
      <w:bookmarkEnd w:id="3562"/>
      <w:r>
        <w:rPr>
          <w:rtl/>
        </w:rPr>
        <w:t xml:space="preserve">, שאפילו בזמנו היו מי שהשליכו לבית הכיסא את ספרו של ר׳ </w:t>
      </w:r>
      <w:proofErr w:type="spellStart"/>
      <w:r>
        <w:rPr>
          <w:rtl/>
        </w:rPr>
        <w:t>איצל׳ה</w:t>
      </w:r>
      <w:proofErr w:type="spellEnd"/>
      <w:r>
        <w:rPr>
          <w:rtl/>
        </w:rPr>
        <w:t xml:space="preserve"> </w:t>
      </w:r>
      <w:proofErr w:type="spellStart"/>
      <w:r>
        <w:rPr>
          <w:rtl/>
        </w:rPr>
        <w:t>בלאזר</w:t>
      </w:r>
      <w:proofErr w:type="spellEnd"/>
      <w:r>
        <w:rPr>
          <w:rtl/>
        </w:rPr>
        <w:t xml:space="preserve"> “אור ישראל”, המגן על המוסר</w:t>
      </w:r>
      <w:bookmarkStart w:id="3563" w:name="_fnr2639"/>
      <w:r>
        <w:rPr>
          <w:rStyle w:val="a5"/>
        </w:rPr>
        <w:footnoteReference w:id="2646" w:customMarkFollows="0"/>
      </w:r>
      <w:bookmarkEnd w:id="3563"/>
      <w:r>
        <w:rPr>
          <w:rtl/>
        </w:rPr>
        <w:t xml:space="preserve">. ובריאיון המוקלט על הסבא </w:t>
      </w:r>
      <w:proofErr w:type="spellStart"/>
      <w:r>
        <w:rPr>
          <w:rtl/>
        </w:rPr>
        <w:t>מסלבודקה</w:t>
      </w:r>
      <w:proofErr w:type="spellEnd"/>
      <w:r>
        <w:rPr>
          <w:rtl/>
        </w:rPr>
        <w:t xml:space="preserve"> סיפר אבי: “כשביקר חותני אצל ר׳ </w:t>
      </w:r>
      <w:proofErr w:type="spellStart"/>
      <w:r>
        <w:rPr>
          <w:rtl/>
        </w:rPr>
        <w:t>דוד׳ל</w:t>
      </w:r>
      <w:proofErr w:type="spellEnd"/>
      <w:r>
        <w:rPr>
          <w:rtl/>
        </w:rPr>
        <w:t xml:space="preserve"> </w:t>
      </w:r>
      <w:proofErr w:type="spellStart"/>
      <w:r>
        <w:rPr>
          <w:rtl/>
        </w:rPr>
        <w:t>קארלינער</w:t>
      </w:r>
      <w:proofErr w:type="spellEnd"/>
      <w:r>
        <w:rPr>
          <w:rtl/>
        </w:rPr>
        <w:t xml:space="preserve"> [פרידמן] ושאלו מדוע הוא מתנגד למוסר, השיב: ‘האם אתה מאמין בביאת המשיח?’ – והדבר כאב מאוד [</w:t>
      </w:r>
      <w:proofErr w:type="spellStart"/>
      <w:r>
        <w:rPr>
          <w:rtl/>
        </w:rPr>
        <w:t>לר</w:t>
      </w:r>
      <w:proofErr w:type="spellEnd"/>
      <w:r>
        <w:rPr>
          <w:rtl/>
        </w:rPr>
        <w:t xml:space="preserve">׳ </w:t>
      </w:r>
      <w:proofErr w:type="spellStart"/>
      <w:r>
        <w:rPr>
          <w:rtl/>
        </w:rPr>
        <w:t xml:space="preserve">בער־הירש</w:t>
      </w:r>
      <w:proofErr w:type="spellEnd"/>
      <w:r>
        <w:rPr>
          <w:rtl/>
        </w:rPr>
        <w:t xml:space="preserve"> לשמוע (</w:t>
      </w:r>
      <w:proofErr w:type="spellStart"/>
      <w:r>
        <w:rPr>
          <w:rtl/>
        </w:rPr>
        <w:t>עס</w:t>
      </w:r>
      <w:proofErr w:type="spellEnd"/>
      <w:r>
        <w:rPr>
          <w:rtl/>
        </w:rPr>
        <w:t xml:space="preserve"> האט </w:t>
      </w:r>
      <w:proofErr w:type="spellStart"/>
      <w:r>
        <w:rPr>
          <w:rtl/>
        </w:rPr>
        <w:t>אים</w:t>
      </w:r>
      <w:proofErr w:type="spellEnd"/>
      <w:r>
        <w:rPr>
          <w:rtl/>
        </w:rPr>
        <w:t xml:space="preserve"> </w:t>
      </w:r>
      <w:proofErr w:type="spellStart"/>
      <w:r>
        <w:rPr>
          <w:rtl/>
        </w:rPr>
        <w:t>זעהר</w:t>
      </w:r>
      <w:proofErr w:type="spellEnd"/>
      <w:r>
        <w:rPr>
          <w:rtl/>
        </w:rPr>
        <w:t xml:space="preserve"> </w:t>
      </w:r>
      <w:proofErr w:type="spellStart"/>
      <w:r>
        <w:rPr>
          <w:rtl/>
        </w:rPr>
        <w:t>שטארק</w:t>
      </w:r>
      <w:proofErr w:type="spellEnd"/>
      <w:r>
        <w:rPr>
          <w:rtl/>
        </w:rPr>
        <w:t xml:space="preserve"> </w:t>
      </w:r>
      <w:proofErr w:type="spellStart"/>
      <w:r>
        <w:rPr>
          <w:rtl/>
        </w:rPr>
        <w:t>פארדראסען</w:t>
      </w:r>
      <w:proofErr w:type="spellEnd"/>
      <w:r>
        <w:rPr>
          <w:rtl/>
        </w:rPr>
        <w:t xml:space="preserve"> [הדבר ציער אותו מאוד])]. מסתבר שסיפרו </w:t>
      </w:r>
      <w:proofErr w:type="spellStart"/>
      <w:r>
        <w:rPr>
          <w:rtl/>
        </w:rPr>
        <w:t>לר</w:t>
      </w:r>
      <w:proofErr w:type="spellEnd"/>
      <w:r>
        <w:rPr>
          <w:rtl/>
        </w:rPr>
        <w:t xml:space="preserve">׳ </w:t>
      </w:r>
      <w:proofErr w:type="spellStart"/>
      <w:r>
        <w:rPr>
          <w:rtl/>
        </w:rPr>
        <w:t>דוד׳ל</w:t>
      </w:r>
      <w:proofErr w:type="spellEnd"/>
      <w:r>
        <w:rPr>
          <w:rtl/>
        </w:rPr>
        <w:t xml:space="preserve"> שבעלי המוסר היו </w:t>
      </w:r>
      <w:proofErr w:type="spellStart"/>
      <w:r>
        <w:rPr>
          <w:rtl/>
        </w:rPr>
        <w:t>אנגעשמעקט</w:t>
      </w:r>
      <w:proofErr w:type="spellEnd"/>
      <w:r>
        <w:rPr>
          <w:rtl/>
        </w:rPr>
        <w:t xml:space="preserve"> מיט שבתאות [נגועים בשבתאות]”.</w:t>
      </w:r>
    </w:p>
    <w:p w14:paraId="586B84CB" w14:textId="77777777" w:rsidR="00AB3647" w:rsidRDefault="00000000" w:rsidP="007923E9">
      <w:pPr>
        <w:spacing w:after="120" w:line="276" w:lineRule="auto"/>
        <w:ind w:firstLine="283"/>
        <w:jc w:val="both"/>
      </w:pPr>
      <w:r>
        <w:rPr>
          <w:rtl/>
        </w:rPr>
        <w:t xml:space="preserve">אבי דחה את הטענה שר׳ ישראל חולק על ר׳ חיים </w:t>
      </w:r>
      <w:proofErr w:type="spellStart"/>
      <w:r>
        <w:rPr>
          <w:rtl/>
        </w:rPr>
        <w:t>מוולוז׳ין</w:t>
      </w:r>
      <w:proofErr w:type="spellEnd"/>
      <w:r>
        <w:rPr>
          <w:rtl/>
        </w:rPr>
        <w:t xml:space="preserve"> בענייני שמיים, באומרו שר׳ חיים הסכים בעיקרו של דבר עם ר׳ ישראל שאותות מן השמיים אינם יכולים לערער הלכה. “אבל”, אמר רבנו, “ר׳ חיים חשש שאם ינסה שוב לברך ברכת כהנים, הם [המציתים] יציתו שוב את בית הכנסת שייבנה מחדש; אם כן, מה התועלת?!”</w:t>
      </w:r>
    </w:p>
    <w:p w14:paraId="2FD23D8F" w14:textId="77777777" w:rsidR="00AB3647" w:rsidRDefault="00000000" w:rsidP="007923E9">
      <w:pPr>
        <w:spacing w:after="120" w:line="276" w:lineRule="auto"/>
        <w:ind w:firstLine="283"/>
        <w:jc w:val="both"/>
      </w:pPr>
      <w:r>
        <w:rPr>
          <w:rtl/>
        </w:rPr>
        <w:t xml:space="preserve">ר׳ </w:t>
      </w:r>
      <w:proofErr w:type="spellStart"/>
      <w:r>
        <w:rPr>
          <w:rtl/>
        </w:rPr>
        <w:t>בן־ציון</w:t>
      </w:r>
      <w:proofErr w:type="spellEnd"/>
      <w:r>
        <w:rPr>
          <w:rtl/>
        </w:rPr>
        <w:t xml:space="preserve"> סובל, שגם הוא שמע מאבי הסבר חדש זה לסיבת השרפה, סיפר שאבי התבטא במפורש יותר: “הבה נבין: וכי סבורים אתם שירדה אש מן השמיים והעלתה את בית הכנסת באש? לא כך היה. יהודי זקן, שהתנגד לשינוי מנהג שנהג ככל שזכר, החליט לעשות דין לעצמו ולהצית את השרפה!” מסקנתו של ר׳ </w:t>
      </w:r>
      <w:proofErr w:type="spellStart"/>
      <w:r>
        <w:rPr>
          <w:rtl/>
        </w:rPr>
        <w:t>אברהם־שמחה</w:t>
      </w:r>
      <w:proofErr w:type="spellEnd"/>
      <w:r>
        <w:rPr>
          <w:rtl/>
        </w:rPr>
        <w:t xml:space="preserve"> שהובאה לעיל, “אפשר שמפני כבוד קודמינו לא עלה הדבר בידו”, עשויה לרמוז להסבר זה לפרוץ השרפה. רבנו הוסיף אז, לפי הרב סובל, שגם ר׳ ישראל סבר שמצית הצית את השרפה, ואף על פי כן סבר שיש לנסות שוב להנהיג ברכת כהנים.</w:t>
      </w:r>
    </w:p>
    <w:p w14:paraId="2F905A50" w14:textId="77777777" w:rsidR="00AB3647" w:rsidRDefault="00000000" w:rsidP="007923E9">
      <w:pPr>
        <w:spacing w:after="120" w:line="276" w:lineRule="auto"/>
        <w:ind w:firstLine="283"/>
        <w:jc w:val="both"/>
      </w:pPr>
      <w:r>
        <w:rPr>
          <w:rtl/>
        </w:rPr>
        <w:t xml:space="preserve">“המחלוקת בין שני המנהיגים הגדולים הייתה”, אמר אבי, “אם בעת </w:t>
      </w:r>
      <w:r>
        <w:rPr>
          <w:b/>
          <w:bCs/>
          <w:rtl/>
        </w:rPr>
        <w:t>תיקונו</w:t>
      </w:r>
      <w:r>
        <w:rPr>
          <w:rtl/>
        </w:rPr>
        <w:t xml:space="preserve"> של מנהג מקובל יש להיכנע לאוחזים בקנאות במנהג הישן אם לאו – ר׳ חיים סבר שבמקרה של התנגדות עזה יש להניח למנהג הישן לעמוד בעינו, ור׳ ישראל סבר שיש להילחם בנחישות למען התיקון. בשאלה מסוג זה אפשר לחלוק על ר׳ חיים </w:t>
      </w:r>
      <w:proofErr w:type="spellStart"/>
      <w:r>
        <w:rPr>
          <w:rtl/>
        </w:rPr>
        <w:t>מוולוז׳ין</w:t>
      </w:r>
      <w:proofErr w:type="spellEnd"/>
      <w:r>
        <w:rPr>
          <w:rtl/>
        </w:rPr>
        <w:t xml:space="preserve">”. אבי קשר הבדל זה לשתי דרכים של התייחסות למנהגים בכלל: דרכו של הגאון מווילנה, שלא היסס לשנות מנהג כשהראה שהמקורות תומכים בשינוי – כגון חלוקת קריאת התורה בראש חודש – ודרכו של </w:t>
      </w:r>
      <w:proofErr w:type="spellStart"/>
      <w:r>
        <w:rPr>
          <w:rtl/>
        </w:rPr>
        <w:t>החתם־סופר</w:t>
      </w:r>
      <w:proofErr w:type="spellEnd"/>
      <w:r>
        <w:rPr>
          <w:rtl/>
        </w:rPr>
        <w:t xml:space="preserve">, שלפיה כל “חדש” הוא “אסור מן התורה”. לפי זה היה ר׳ ישראל, כגאון מווילנה, </w:t>
      </w:r>
      <w:r>
        <w:rPr>
          <w:b/>
          <w:bCs/>
          <w:rtl/>
        </w:rPr>
        <w:t>בעד</w:t>
      </w:r>
      <w:r>
        <w:rPr>
          <w:rtl/>
        </w:rPr>
        <w:t xml:space="preserve"> כפיית השינוי, ואילו ר׳ חיים, </w:t>
      </w:r>
      <w:proofErr w:type="spellStart"/>
      <w:r>
        <w:rPr>
          <w:rtl/>
        </w:rPr>
        <w:t>כחתם־סופר</w:t>
      </w:r>
      <w:proofErr w:type="spellEnd"/>
      <w:r>
        <w:rPr>
          <w:rtl/>
        </w:rPr>
        <w:t xml:space="preserve">, היה </w:t>
      </w:r>
      <w:r>
        <w:rPr>
          <w:b/>
          <w:bCs/>
          <w:rtl/>
        </w:rPr>
        <w:t>נגד</w:t>
      </w:r>
      <w:bookmarkStart w:id="3564" w:name="_fnr2640"/>
      <w:r>
        <w:rPr>
          <w:rStyle w:val="a5"/>
        </w:rPr>
        <w:footnoteReference w:id="2647" w:customMarkFollows="0"/>
      </w:r>
      <w:bookmarkEnd w:id="3564"/>
      <w:r>
        <w:rPr>
          <w:rtl/>
        </w:rPr>
        <w:t>.</w:t>
      </w:r>
    </w:p>
    <w:p w14:paraId="4FE56DDA" w14:textId="77777777" w:rsidR="00AB3647" w:rsidRDefault="00000000" w:rsidP="007923E9">
      <w:pPr>
        <w:spacing w:after="120" w:line="276" w:lineRule="auto"/>
        <w:ind w:firstLine="283"/>
        <w:jc w:val="both"/>
      </w:pPr>
      <w:r>
        <w:rPr>
          <w:rtl/>
        </w:rPr>
        <w:lastRenderedPageBreak/>
        <w:t>השווה גם “עליות אליהו”</w:t>
      </w:r>
      <w:bookmarkStart w:id="3565" w:name="_fnr2641"/>
      <w:r>
        <w:rPr>
          <w:rStyle w:val="a5"/>
        </w:rPr>
        <w:footnoteReference w:id="2648" w:customMarkFollows="0"/>
      </w:r>
      <w:bookmarkEnd w:id="3565"/>
      <w:r>
        <w:rPr>
          <w:rtl/>
        </w:rPr>
        <w:t xml:space="preserve">, הקושר את ההתנגדות לתיקון מנהגים קיימים לחשש שיראו בשינוי הסכמה שבשתיקה לתנועת הרפורמה (“המחדשים”). ובלשונו של אבי בנושא: “‘רפורמה’ כוללת גם </w:t>
      </w:r>
      <w:r>
        <w:rPr>
          <w:b/>
          <w:bCs/>
          <w:rtl/>
        </w:rPr>
        <w:t>תיקון</w:t>
      </w:r>
      <w:r>
        <w:rPr>
          <w:rtl/>
        </w:rPr>
        <w:t xml:space="preserve"> של מנהגים; אסור לנו להיות אדוקים יותר מסבינו ומסבתותינו”</w:t>
      </w:r>
      <w:bookmarkStart w:id="3566" w:name="_fnr2642"/>
      <w:r>
        <w:rPr>
          <w:rStyle w:val="a5"/>
        </w:rPr>
        <w:footnoteReference w:id="2649" w:customMarkFollows="0"/>
      </w:r>
      <w:bookmarkEnd w:id="3566"/>
      <w:r>
        <w:rPr>
          <w:rtl/>
        </w:rPr>
        <w:t xml:space="preserve">. “עליות אליהו” מספר כיצד ביטל גדול בתורה את שינוי מנהג קריאת התורה בראש חודש לנוסח </w:t>
      </w:r>
      <w:proofErr w:type="spellStart"/>
      <w:r>
        <w:rPr>
          <w:rtl/>
        </w:rPr>
        <w:t>ה“נכון</w:t>
      </w:r>
      <w:proofErr w:type="spellEnd"/>
      <w:r>
        <w:rPr>
          <w:rtl/>
        </w:rPr>
        <w:t>” בשל איסור לא תתגודדו</w:t>
      </w:r>
      <w:bookmarkStart w:id="3567" w:name="_fnr2643"/>
      <w:r>
        <w:rPr>
          <w:rStyle w:val="a5"/>
        </w:rPr>
        <w:footnoteReference w:id="2650" w:customMarkFollows="0"/>
      </w:r>
      <w:bookmarkEnd w:id="3567"/>
      <w:r>
        <w:rPr>
          <w:rtl/>
        </w:rPr>
        <w:t xml:space="preserve"> – אף שבעיקרו של דבר הסכים להוכחת הגאון </w:t>
      </w:r>
      <w:proofErr w:type="spellStart"/>
      <w:r>
        <w:rPr>
          <w:rtl/>
        </w:rPr>
        <w:t>ש“חידושו</w:t>
      </w:r>
      <w:proofErr w:type="spellEnd"/>
      <w:r>
        <w:rPr>
          <w:rtl/>
        </w:rPr>
        <w:t xml:space="preserve">” הוא בעצם דרך הקריאה המקורית. מכאן שגדולי התורה סברו שלא יהיה אפשר להביא קהילות </w:t>
      </w:r>
      <w:r>
        <w:rPr>
          <w:b/>
          <w:bCs/>
          <w:rtl/>
        </w:rPr>
        <w:t>שלמות</w:t>
      </w:r>
      <w:r>
        <w:rPr>
          <w:rtl/>
        </w:rPr>
        <w:t xml:space="preserve"> לידי השינוי. כמו במקרה של ברכת כהנים, תמיד יימצא אותו “יהודי זקן” שלא יזוז מדרך קריאת התורה שהורגל בה, גם אם רבו, גדול ככל שיהיה, יפסוק אחרת.</w:t>
      </w:r>
    </w:p>
    <w:p w14:paraId="2FB42647" w14:textId="77777777" w:rsidR="00AB3647" w:rsidRDefault="00000000" w:rsidP="007923E9">
      <w:pPr>
        <w:spacing w:after="120" w:line="276" w:lineRule="auto"/>
        <w:ind w:firstLine="283"/>
        <w:jc w:val="both"/>
      </w:pPr>
      <w:r>
        <w:rPr>
          <w:rtl/>
        </w:rPr>
        <w:t xml:space="preserve">כדי להוכיח עד כמה קשה לשנות מנהגים, היה אבי חוזר ואומר שהגאון מווילנה נחשב </w:t>
      </w:r>
      <w:r>
        <w:rPr>
          <w:b/>
          <w:bCs/>
          <w:rtl/>
        </w:rPr>
        <w:t>בכל ליטא</w:t>
      </w:r>
      <w:r>
        <w:rPr>
          <w:rtl/>
        </w:rPr>
        <w:t xml:space="preserve"> גדול בהרבה מכל חכם בדורות רבים שקדמו לו, ובכל זאת רק שתי קהילות קטנות אימצו את כל תיקוניו של ענק התורה במנהגים </w:t>
      </w:r>
      <w:r>
        <w:rPr>
          <w:b/>
          <w:bCs/>
          <w:rtl/>
        </w:rPr>
        <w:t>בשלמותם</w:t>
      </w:r>
      <w:r>
        <w:rPr>
          <w:rtl/>
        </w:rPr>
        <w:t>. איני זוכר אם הזכיר שתי עיירות</w:t>
      </w:r>
      <w:bookmarkStart w:id="3568" w:name="_fnr2644"/>
      <w:r>
        <w:rPr>
          <w:rStyle w:val="a5"/>
        </w:rPr>
        <w:footnoteReference w:id="2651" w:customMarkFollows="0"/>
      </w:r>
      <w:bookmarkEnd w:id="3568"/>
      <w:r>
        <w:rPr>
          <w:rtl/>
        </w:rPr>
        <w:t xml:space="preserve"> או שתי קבוצות, כגון </w:t>
      </w:r>
      <w:proofErr w:type="spellStart"/>
      <w:r>
        <w:rPr>
          <w:rtl/>
        </w:rPr>
        <w:t>קלויז</w:t>
      </w:r>
      <w:proofErr w:type="spellEnd"/>
      <w:r>
        <w:rPr>
          <w:rtl/>
        </w:rPr>
        <w:t xml:space="preserve"> הגאון בווילנה ובית הרב (צאצאי תלמידו הגדול של הגאון, ר׳ חיים </w:t>
      </w:r>
      <w:proofErr w:type="spellStart"/>
      <w:r>
        <w:rPr>
          <w:rtl/>
        </w:rPr>
        <w:t>מוולוז׳ין</w:t>
      </w:r>
      <w:proofErr w:type="spellEnd"/>
      <w:r>
        <w:rPr>
          <w:rtl/>
        </w:rPr>
        <w:t>)</w:t>
      </w:r>
      <w:bookmarkStart w:id="3569" w:name="_fnr2645"/>
      <w:r>
        <w:rPr>
          <w:rStyle w:val="a5"/>
        </w:rPr>
        <w:footnoteReference w:id="2652" w:customMarkFollows="0"/>
      </w:r>
      <w:bookmarkEnd w:id="3569"/>
      <w:r>
        <w:rPr>
          <w:rtl/>
        </w:rPr>
        <w:t>.</w:t>
      </w:r>
    </w:p>
    <w:p w14:paraId="2D2D42B8" w14:textId="77777777" w:rsidR="00AB3647" w:rsidRDefault="00000000" w:rsidP="007923E9">
      <w:pPr>
        <w:spacing w:after="120" w:line="276" w:lineRule="auto"/>
        <w:ind w:firstLine="283"/>
        <w:jc w:val="both"/>
      </w:pPr>
      <w:r>
        <w:rPr>
          <w:rtl/>
        </w:rPr>
        <w:t xml:space="preserve">אגב, מספרים שר׳ </w:t>
      </w:r>
      <w:proofErr w:type="spellStart"/>
      <w:r>
        <w:rPr>
          <w:rtl/>
        </w:rPr>
        <w:t>ישראל־זאב</w:t>
      </w:r>
      <w:proofErr w:type="spellEnd"/>
      <w:r>
        <w:rPr>
          <w:rtl/>
        </w:rPr>
        <w:t xml:space="preserve"> </w:t>
      </w:r>
      <w:proofErr w:type="spellStart"/>
      <w:r>
        <w:rPr>
          <w:rtl/>
        </w:rPr>
        <w:t>גוסטמן</w:t>
      </w:r>
      <w:proofErr w:type="spellEnd"/>
      <w:r>
        <w:rPr>
          <w:rtl/>
        </w:rPr>
        <w:t xml:space="preserve">, חבר בית הדין האחרון בווילנה שלפני השואה</w:t>
      </w:r>
      <w:bookmarkStart w:id="3570" w:name="_fnr2646"/>
      <w:r>
        <w:rPr>
          <w:rStyle w:val="a5"/>
        </w:rPr>
        <w:footnoteReference w:id="2653" w:customMarkFollows="0"/>
      </w:r>
      <w:bookmarkEnd w:id="3570"/>
      <w:r>
        <w:rPr>
          <w:rtl/>
        </w:rPr>
        <w:t xml:space="preserve">, אמר שבזמנו כבר זנח אפילו </w:t>
      </w:r>
      <w:proofErr w:type="spellStart"/>
      <w:r>
        <w:rPr>
          <w:rtl/>
        </w:rPr>
        <w:t>הקלויז</w:t>
      </w:r>
      <w:proofErr w:type="spellEnd"/>
      <w:r>
        <w:rPr>
          <w:rtl/>
        </w:rPr>
        <w:t xml:space="preserve"> את המנהגים המיוחדים לגאון מווילנה. ייתכן שכאשר התיישבו מחדש בווילנה יהודי ליטא שגלו במלחמת העולם הראשונה</w:t>
      </w:r>
      <w:bookmarkStart w:id="3571" w:name="_fnr2647"/>
      <w:r>
        <w:rPr>
          <w:rStyle w:val="a5"/>
        </w:rPr>
        <w:footnoteReference w:id="2654" w:customMarkFollows="0"/>
      </w:r>
      <w:bookmarkEnd w:id="3571"/>
      <w:r>
        <w:rPr>
          <w:rtl/>
        </w:rPr>
        <w:t xml:space="preserve">, שמוצאם בעיירות רבות אחרות, חזר </w:t>
      </w:r>
      <w:proofErr w:type="spellStart"/>
      <w:r>
        <w:rPr>
          <w:rtl/>
        </w:rPr>
        <w:t>הקלויז</w:t>
      </w:r>
      <w:proofErr w:type="spellEnd"/>
      <w:r>
        <w:rPr>
          <w:rtl/>
        </w:rPr>
        <w:t xml:space="preserve"> לדרך ההנהגה הליטאית הרגילה.</w:t>
      </w:r>
    </w:p>
    <w:p w14:paraId="3C6546EA" w14:textId="77777777" w:rsidR="00AB3647" w:rsidRDefault="00000000" w:rsidP="007923E9">
      <w:pPr>
        <w:spacing w:after="120" w:line="276" w:lineRule="auto"/>
        <w:ind w:firstLine="283"/>
        <w:jc w:val="both"/>
      </w:pPr>
      <w:r>
        <w:rPr>
          <w:rtl/>
        </w:rPr>
        <w:t>השווה גם “הצדיק רבי שלמה”</w:t>
      </w:r>
      <w:bookmarkStart w:id="3572" w:name="_fnr2648"/>
      <w:r>
        <w:rPr>
          <w:rStyle w:val="a5"/>
        </w:rPr>
        <w:footnoteReference w:id="2655" w:customMarkFollows="0"/>
      </w:r>
      <w:bookmarkEnd w:id="3572"/>
      <w:r>
        <w:rPr>
          <w:rtl/>
        </w:rPr>
        <w:t xml:space="preserve">, המביא את דברי ר׳ </w:t>
      </w:r>
      <w:proofErr w:type="spellStart"/>
      <w:r>
        <w:rPr>
          <w:rtl/>
        </w:rPr>
        <w:t>שלמה־זלמן</w:t>
      </w:r>
      <w:proofErr w:type="spellEnd"/>
      <w:r>
        <w:rPr>
          <w:rtl/>
        </w:rPr>
        <w:t xml:space="preserve"> בלוך, תלמיד </w:t>
      </w:r>
      <w:proofErr w:type="spellStart"/>
      <w:r>
        <w:rPr>
          <w:rtl/>
        </w:rPr>
        <w:t>החפץ־חיים</w:t>
      </w:r>
      <w:proofErr w:type="spellEnd"/>
      <w:r>
        <w:rPr>
          <w:rtl/>
        </w:rPr>
        <w:t xml:space="preserve">, כך: “משום שרבו של מורי היה תלמיד של ר׳ חיים </w:t>
      </w:r>
      <w:proofErr w:type="spellStart"/>
      <w:r>
        <w:rPr>
          <w:rtl/>
        </w:rPr>
        <w:t>מוולוז׳ין</w:t>
      </w:r>
      <w:bookmarkStart w:id="3573" w:name="_fnr2649"/>
      <w:proofErr w:type="spellEnd"/>
      <w:r>
        <w:rPr>
          <w:rStyle w:val="a5"/>
        </w:rPr>
        <w:footnoteReference w:id="2656" w:customMarkFollows="0"/>
      </w:r>
      <w:bookmarkEnd w:id="3573"/>
      <w:r>
        <w:rPr>
          <w:rtl/>
        </w:rPr>
        <w:t xml:space="preserve">, ראה את עצמו כשייך </w:t>
      </w:r>
      <w:r>
        <w:rPr>
          <w:rtl/>
        </w:rPr>
        <w:lastRenderedPageBreak/>
        <w:t>לבית מדרשו [‘</w:t>
      </w:r>
      <w:proofErr w:type="spellStart"/>
      <w:r>
        <w:rPr>
          <w:rtl/>
        </w:rPr>
        <w:t>אסכולתו</w:t>
      </w:r>
      <w:proofErr w:type="spellEnd"/>
      <w:r>
        <w:rPr>
          <w:rtl/>
        </w:rPr>
        <w:t xml:space="preserve">’] של הגאון, ונהג כדעת הגאון מווילנה – אך רק בצנעה. כפי </w:t>
      </w:r>
      <w:proofErr w:type="spellStart"/>
      <w:r>
        <w:rPr>
          <w:rtl/>
        </w:rPr>
        <w:t>ש‘מנחת</w:t>
      </w:r>
      <w:proofErr w:type="spellEnd"/>
      <w:r>
        <w:rPr>
          <w:rtl/>
        </w:rPr>
        <w:t xml:space="preserve"> שמואל’, שחיבר תלמיד של ר׳ חיים </w:t>
      </w:r>
      <w:proofErr w:type="spellStart"/>
      <w:r>
        <w:rPr>
          <w:rtl/>
        </w:rPr>
        <w:t>מוולוז׳ין</w:t>
      </w:r>
      <w:bookmarkStart w:id="3574" w:name="_fnr2650"/>
      <w:proofErr w:type="spellEnd"/>
      <w:r>
        <w:rPr>
          <w:rStyle w:val="a5"/>
        </w:rPr>
        <w:footnoteReference w:id="2657" w:customMarkFollows="0"/>
      </w:r>
      <w:bookmarkEnd w:id="3574"/>
      <w:r>
        <w:rPr>
          <w:rtl/>
        </w:rPr>
        <w:t>, כותב</w:t>
      </w:r>
      <w:bookmarkStart w:id="3575" w:name="_fnr2651"/>
      <w:r>
        <w:rPr>
          <w:rStyle w:val="a5"/>
        </w:rPr>
        <w:footnoteReference w:id="2658" w:customMarkFollows="0"/>
      </w:r>
      <w:bookmarkEnd w:id="3575"/>
      <w:r>
        <w:rPr>
          <w:rtl/>
        </w:rPr>
        <w:t xml:space="preserve">: ‘רבנו ר׳ חיים לימדנו שכל הרוצה לנהוג כפסקי הגאון מווילנה יעשה זאת בצנעה בלבד’”.</w:t>
      </w:r>
    </w:p>
    <w:p w14:paraId="145E5015" w14:textId="77777777" w:rsidR="00AB3647" w:rsidRDefault="00000000" w:rsidP="007923E9">
      <w:pPr>
        <w:spacing w:after="120" w:line="276" w:lineRule="auto"/>
        <w:ind w:firstLine="283"/>
        <w:jc w:val="both"/>
      </w:pPr>
      <w:r>
        <w:rPr>
          <w:rtl/>
        </w:rPr>
        <w:t xml:space="preserve">דברי “מנחת שמואל” עולים בקנה אחד עם ההוראה </w:t>
      </w:r>
      <w:proofErr w:type="spellStart"/>
      <w:r>
        <w:rPr>
          <w:rtl/>
        </w:rPr>
        <w:t>שב“כתר</w:t>
      </w:r>
      <w:proofErr w:type="spellEnd"/>
      <w:r>
        <w:rPr>
          <w:rtl/>
        </w:rPr>
        <w:t xml:space="preserve"> ראש”</w:t>
      </w:r>
      <w:bookmarkStart w:id="3576" w:name="_fnr2652"/>
      <w:r>
        <w:rPr>
          <w:rStyle w:val="a5"/>
        </w:rPr>
        <w:footnoteReference w:id="2659" w:customMarkFollows="0"/>
      </w:r>
      <w:bookmarkEnd w:id="3576"/>
      <w:r>
        <w:rPr>
          <w:rtl/>
        </w:rPr>
        <w:t>: “</w:t>
      </w:r>
      <w:proofErr w:type="spellStart"/>
      <w:r>
        <w:rPr>
          <w:rtl/>
        </w:rPr>
        <w:t>לז</w:t>
      </w:r>
      <w:proofErr w:type="spellEnd"/>
      <w:r>
        <w:rPr>
          <w:rtl/>
        </w:rPr>
        <w:t xml:space="preserve">: [בעניין] תפלה, נוסחאות והנהגות, הכלל ללכת אחר הרוב ולא לשנות את מנהגיו, משום א) [איסור] לא תתגודדו; ב) שינוי במנהגים גורם לפירוד ביחסים. לח: [בעניין] דיני רבנו הגאון מווילנה, בדברים שבפרהסיה ושיש בהם מחלוקת הפוסקים – כגון בציעת שתי הכיכרות [שצריך להניח על שולחן השבת] – יש להקפיד [לנהוג כדעת הגאון] בצנעה. כאשר אין הדבר אפשרי, ראוי שלא לעשות כן במצב של מחלוקת – ואפילו אם דעה זו מבוססת על [הבנתו של הגאון ב]גמרא – משום ‘גדול השלום’ </w:t>
      </w:r>
      <w:proofErr w:type="spellStart"/>
      <w:r>
        <w:rPr>
          <w:rtl/>
        </w:rPr>
        <w:t>וכו</w:t>
      </w:r>
      <w:proofErr w:type="spellEnd"/>
      <w:r>
        <w:rPr>
          <w:rtl/>
        </w:rPr>
        <w:t>׳”</w:t>
      </w:r>
      <w:bookmarkStart w:id="3577" w:name="_fnr2653"/>
      <w:r>
        <w:rPr>
          <w:rStyle w:val="a5"/>
        </w:rPr>
        <w:footnoteReference w:id="2660" w:customMarkFollows="0"/>
      </w:r>
      <w:bookmarkEnd w:id="3577"/>
      <w:r>
        <w:rPr>
          <w:rtl/>
        </w:rPr>
        <w:t>.</w:t>
      </w:r>
    </w:p>
    <w:p w14:paraId="0132FDA4" w14:textId="77777777" w:rsidR="00AB3647" w:rsidRDefault="00000000" w:rsidP="007923E9">
      <w:pPr>
        <w:spacing w:after="120" w:line="276" w:lineRule="auto"/>
        <w:ind w:firstLine="283"/>
        <w:jc w:val="both"/>
      </w:pPr>
      <w:r>
        <w:rPr>
          <w:rtl/>
        </w:rPr>
        <w:t xml:space="preserve">ר׳ יהושע </w:t>
      </w:r>
      <w:proofErr w:type="spellStart"/>
      <w:r>
        <w:rPr>
          <w:rtl/>
        </w:rPr>
        <w:t>גלדצהלר</w:t>
      </w:r>
      <w:proofErr w:type="spellEnd"/>
      <w:r>
        <w:rPr>
          <w:rtl/>
        </w:rPr>
        <w:t xml:space="preserve"> הביא בשם אבי שאפילו בשמירת שבת, ואפילו בווילנה עירו של הגאון, רק </w:t>
      </w:r>
      <w:proofErr w:type="spellStart"/>
      <w:r>
        <w:rPr>
          <w:rtl/>
        </w:rPr>
        <w:t>ה“פרומע</w:t>
      </w:r>
      <w:proofErr w:type="spellEnd"/>
      <w:r>
        <w:rPr>
          <w:rtl/>
        </w:rPr>
        <w:t xml:space="preserve"> [המדקדקים ביותר]” נמנעו מהדלקת נרות לאחר השקיעה, כדעת הגאון המבוססת על דעת הגאונים. הציבור הרחב, לעומתם, סבר שקבלת השבת אינה חובה עד ארבעים ושתיים דקות אחרי השקיעה, כדעת רבנו תם, והדליק נרות זמן רב לאחר השקיעה. אבי הוסיף: “רק תפוצת ‘משנה ברורה’ [שנדפס לראשונה </w:t>
      </w:r>
      <w:proofErr w:type="spellStart"/>
      <w:r>
        <w:rPr>
          <w:rtl/>
        </w:rPr>
        <w:t>בתרנ״ב</w:t>
      </w:r>
      <w:proofErr w:type="spellEnd"/>
      <w:r>
        <w:rPr>
          <w:rtl/>
        </w:rPr>
        <w:t>, תשעים ושש שנים לאחר פטירת הגאון</w:t>
      </w:r>
      <w:bookmarkStart w:id="3578" w:name="_fnr2654"/>
      <w:bookmarkEnd w:id="3578"/>
      <w:r>
        <w:rPr>
          <w:rStyle w:val="a5"/>
        </w:rPr>
        <w:t/>
      </w:r>
      <w:bookmarkStart w:id="7030" w:name="_TranslatorNote_5388"/>
      <w:r>
        <w:rPr>
          <w:rStyle w:val="a5"/>
          <w:vertAlign w:val="superscript"/>
          <w:rtl/>
        </w:rPr>
        <w:footnoteReference w:id="2661" w:customMarkFollows="1"/>
        <w:t>*</w:t>
      </w:r>
      <w:bookmarkEnd w:id="7030"/>
      <w:r>
        <w:rPr>
          <w:rtl/>
        </w:rPr>
        <w:t>!], שפסק</w:t>
      </w:r>
      <w:bookmarkStart w:id="3579" w:name="_fnr2655"/>
      <w:bookmarkStart w:id="3580" w:name="pr_f_2554"/>
      <w:r>
        <w:rPr>
          <w:rStyle w:val="a5"/>
        </w:rPr>
        <w:footnoteReference w:id="2662" w:customMarkFollows="0"/>
      </w:r>
      <w:bookmarkEnd w:id="3579"/>
      <w:bookmarkEnd w:id="3580"/>
      <w:r>
        <w:rPr>
          <w:rtl/>
        </w:rPr>
        <w:t xml:space="preserve"> </w:t>
      </w:r>
      <w:proofErr w:type="spellStart"/>
      <w:r>
        <w:rPr>
          <w:rtl/>
        </w:rPr>
        <w:t>ש‘יש</w:t>
      </w:r>
      <w:proofErr w:type="spellEnd"/>
      <w:r>
        <w:rPr>
          <w:rtl/>
        </w:rPr>
        <w:t xml:space="preserve"> ליזהר מאד להימנע מכל מלאכה מיד לאחר השקיעה’, הביאה לקבלה כללית של פסק הגאון”</w:t>
      </w:r>
      <w:bookmarkStart w:id="3581" w:name="_fnr2656"/>
      <w:r>
        <w:rPr>
          <w:rStyle w:val="a5"/>
        </w:rPr>
        <w:footnoteReference w:id="2663" w:customMarkFollows="0"/>
      </w:r>
      <w:bookmarkEnd w:id="3581"/>
      <w:r>
        <w:rPr>
          <w:rtl/>
        </w:rPr>
        <w:t>.</w:t>
      </w:r>
    </w:p>
    <w:p w14:paraId="1C391F0C" w14:textId="77777777" w:rsidR="00AB3647" w:rsidRDefault="00000000" w:rsidP="007923E9">
      <w:pPr>
        <w:spacing w:after="120" w:line="276" w:lineRule="auto"/>
        <w:ind w:firstLine="283"/>
        <w:jc w:val="both"/>
      </w:pPr>
      <w:r>
        <w:rPr>
          <w:rtl/>
        </w:rPr>
        <w:lastRenderedPageBreak/>
        <w:t xml:space="preserve">אבי אמר לנכדו ר׳ יצחק </w:t>
      </w:r>
      <w:proofErr w:type="spellStart"/>
      <w:r>
        <w:rPr>
          <w:rtl/>
        </w:rPr>
        <w:t>שורין</w:t>
      </w:r>
      <w:bookmarkStart w:id="3582" w:name="_fnr2657"/>
      <w:proofErr w:type="spellEnd"/>
      <w:r>
        <w:rPr>
          <w:rStyle w:val="a5"/>
        </w:rPr>
        <w:footnoteReference w:id="2664" w:customMarkFollows="0"/>
      </w:r>
      <w:bookmarkEnd w:id="3582"/>
      <w:r>
        <w:rPr>
          <w:rtl/>
        </w:rPr>
        <w:t xml:space="preserve"> שהשפעתו של הגאון מווילנה הייתה גדולה בהרבה מכפי שנראה, שכן יחידים רבים נהגו על פי </w:t>
      </w:r>
      <w:proofErr w:type="spellStart"/>
      <w:r>
        <w:rPr>
          <w:rtl/>
        </w:rPr>
        <w:t>פסקיו</w:t>
      </w:r>
      <w:proofErr w:type="spellEnd"/>
      <w:r>
        <w:rPr>
          <w:rtl/>
        </w:rPr>
        <w:t xml:space="preserve"> – אך רק שלא לעיני הציבור. הוא הזכיר רב מסוים</w:t>
      </w:r>
      <w:bookmarkStart w:id="3583" w:name="_fnr2658"/>
      <w:r>
        <w:rPr>
          <w:rStyle w:val="a5"/>
        </w:rPr>
        <w:footnoteReference w:id="2665" w:customMarkFollows="0"/>
      </w:r>
      <w:bookmarkEnd w:id="3583"/>
      <w:r>
        <w:rPr>
          <w:rtl/>
        </w:rPr>
        <w:t xml:space="preserve"> שציווה בצוואתו לבדוק את זוג התפילין הנוסף שנהג להניח בזמנים מיוחדים, קודם שישתמש בו אדם אחר. לאחר מותו מצאו שהתפילין שהיה מניח רק בחול המועד היו ריקות מפרשיות: הוא נהג כפסק הגאון שאין להניח תפילין בחול המועד, ואיש לא ידע זאת בחייו.</w:t>
      </w:r>
    </w:p>
    <w:p w14:paraId="5668D81D" w14:textId="77777777" w:rsidR="00AB3647" w:rsidRDefault="00000000" w:rsidP="007923E9">
      <w:pPr>
        <w:spacing w:after="120" w:line="276" w:lineRule="auto"/>
        <w:ind w:firstLine="283"/>
        <w:jc w:val="both"/>
      </w:pPr>
      <w:r>
        <w:rPr>
          <w:rtl/>
        </w:rPr>
        <w:t>בני ר׳ יוסף סיפר שאבי אמר לו ששלוש המילים “כי הוא יום” בקידוש של ליל שבת מיותרות, כפי שנקבע בליקוט הנהגות הגאון, “מעשה רב”</w:t>
      </w:r>
      <w:bookmarkStart w:id="3584" w:name="_fnr2659"/>
      <w:r>
        <w:rPr>
          <w:rStyle w:val="a5"/>
        </w:rPr>
        <w:footnoteReference w:id="2666" w:customMarkFollows="0"/>
      </w:r>
      <w:bookmarkEnd w:id="3584"/>
      <w:r>
        <w:rPr>
          <w:rtl/>
        </w:rPr>
        <w:t>, ושהיה משמיט אותן – אלמלא העובדה שהנשים מכירות את נוסח הקידוש, ורעייתו הייתה סבורה שאין זה נכון לדלג עליהן. הוא לא היה אומר לה שהוא סוטה מן המנהג הכללי ונוהג כדעת הגאון.</w:t>
      </w:r>
    </w:p>
    <w:p w14:paraId="0F37C431" w14:textId="77777777" w:rsidR="00AB3647" w:rsidRDefault="00000000" w:rsidP="007923E9">
      <w:pPr>
        <w:spacing w:after="120" w:line="276" w:lineRule="auto"/>
        <w:ind w:firstLine="283"/>
        <w:jc w:val="both"/>
      </w:pPr>
      <w:r>
        <w:rPr>
          <w:rtl/>
        </w:rPr>
        <w:t xml:space="preserve">דוגמה נוספת לזהירותו של רבנו שלא לעקור מנהג מקובל היא השאלה אם לברך ברכה אחת או שתיים בהנחת תפילין, שבה מנהג האשכנזים לברך שתיים. כשאבי הראה לי כיצד להניח תפילין, בהיותי בן </w:t>
      </w:r>
      <w:proofErr w:type="spellStart"/>
      <w:r>
        <w:rPr>
          <w:rtl/>
        </w:rPr>
        <w:t>שתים־עשרה</w:t>
      </w:r>
      <w:proofErr w:type="spellEnd"/>
      <w:r>
        <w:rPr>
          <w:rtl/>
        </w:rPr>
        <w:t>, לימד אותי לברך שתי ברכות; אבל אחי ר׳ שמואל סיפר לי כעבור שנים רבות</w:t>
      </w:r>
      <w:bookmarkStart w:id="3585" w:name="_fnr2660"/>
      <w:r>
        <w:rPr>
          <w:rStyle w:val="a5"/>
        </w:rPr>
        <w:footnoteReference w:id="2667" w:customMarkFollows="0"/>
      </w:r>
      <w:bookmarkEnd w:id="3585"/>
      <w:r>
        <w:rPr>
          <w:rtl/>
        </w:rPr>
        <w:t xml:space="preserve"> שאבינו עצמו בירך ברכה אחת – כדעת הגאון מווילנה </w:t>
      </w:r>
      <w:proofErr w:type="spellStart"/>
      <w:r>
        <w:rPr>
          <w:rtl/>
        </w:rPr>
        <w:t>ב“מעשה</w:t>
      </w:r>
      <w:proofErr w:type="spellEnd"/>
      <w:r>
        <w:rPr>
          <w:rtl/>
        </w:rPr>
        <w:t xml:space="preserve"> רב”</w:t>
      </w:r>
      <w:bookmarkStart w:id="3586" w:name="_fnr2661"/>
      <w:r>
        <w:rPr>
          <w:rStyle w:val="a5"/>
        </w:rPr>
        <w:footnoteReference w:id="2668" w:customMarkFollows="0"/>
      </w:r>
      <w:bookmarkEnd w:id="3586"/>
      <w:r>
        <w:rPr>
          <w:rtl/>
        </w:rPr>
        <w:t xml:space="preserve">. שאלתי את ר׳ פרץ </w:t>
      </w:r>
      <w:proofErr w:type="spellStart"/>
      <w:r>
        <w:rPr>
          <w:rtl/>
        </w:rPr>
        <w:t>פוזן</w:t>
      </w:r>
      <w:proofErr w:type="spellEnd"/>
      <w:r>
        <w:rPr>
          <w:rtl/>
        </w:rPr>
        <w:t>, מתלמידיו הקרובים של אבי</w:t>
      </w:r>
      <w:bookmarkStart w:id="3587" w:name="_fnr2662"/>
      <w:r>
        <w:rPr>
          <w:rStyle w:val="a5"/>
        </w:rPr>
        <w:footnoteReference w:id="2669" w:customMarkFollows="0"/>
      </w:r>
      <w:bookmarkEnd w:id="3587"/>
      <w:r>
        <w:rPr>
          <w:rtl/>
        </w:rPr>
        <w:t>, אם הבחין אם רבנו בירך ברכה אחת או שתיים, והוא השיב: “אם אביך סטה מן המנהג המקובל, היה עושה זאת באופן שאיש לא יבחין בו. לכן, אם בירך ברכה אחת בלבד, איני חושב שמישהו ידע על כך”.</w:t>
      </w:r>
    </w:p>
    <w:p w14:paraId="696E39F4" w14:textId="77777777" w:rsidR="00AB3647" w:rsidRDefault="00000000" w:rsidP="007923E9">
      <w:pPr>
        <w:spacing w:after="120" w:line="276" w:lineRule="auto"/>
        <w:ind w:firstLine="283"/>
        <w:jc w:val="both"/>
      </w:pPr>
      <w:r>
        <w:rPr>
          <w:rtl/>
        </w:rPr>
        <w:t xml:space="preserve">אנו יכולים להיות בטוחים שגילויו של ר׳ </w:t>
      </w:r>
      <w:proofErr w:type="spellStart"/>
      <w:r>
        <w:rPr>
          <w:rtl/>
        </w:rPr>
        <w:t>שלמה־זלמן</w:t>
      </w:r>
      <w:proofErr w:type="spellEnd"/>
      <w:r>
        <w:rPr>
          <w:rtl/>
        </w:rPr>
        <w:t xml:space="preserve"> בלוך, </w:t>
      </w:r>
      <w:proofErr w:type="spellStart"/>
      <w:r>
        <w:rPr>
          <w:rtl/>
        </w:rPr>
        <w:t>שהחפץ־חיים</w:t>
      </w:r>
      <w:proofErr w:type="spellEnd"/>
      <w:r>
        <w:rPr>
          <w:rtl/>
        </w:rPr>
        <w:t xml:space="preserve"> נהג כפסקי הגאון מווילנה, הפתיע את הציבור הרחב, שכן גם דבקותו האישית של </w:t>
      </w:r>
      <w:proofErr w:type="spellStart"/>
      <w:r>
        <w:rPr>
          <w:rtl/>
        </w:rPr>
        <w:t>החפץ־חיים</w:t>
      </w:r>
      <w:proofErr w:type="spellEnd"/>
      <w:r>
        <w:rPr>
          <w:rtl/>
        </w:rPr>
        <w:t xml:space="preserve"> בדרכי הגאון הייתה בצנעה. בספרו “משנה ברורה” מוצג הגאון מווילנה, רשמית, רק כאחד הפוסקים מני רבים – אף שבין השורות אפשר להבחין שהמחבר מעדיף אותו.</w:t>
      </w:r>
    </w:p>
    <w:p w14:paraId="44B241A6" w14:textId="77777777" w:rsidR="00AB3647" w:rsidRDefault="00000000" w:rsidP="007923E9">
      <w:pPr>
        <w:spacing w:after="120" w:line="276" w:lineRule="auto"/>
        <w:ind w:firstLine="283"/>
        <w:jc w:val="both"/>
      </w:pPr>
      <w:r>
        <w:rPr>
          <w:rtl/>
        </w:rPr>
        <w:t>אפילו הגאון עצמו לא היה יכול להשתחרר לגמרי מן המנהגים הרווחים. כך מעיד אחד מחשובי תלמידיו, ר׳ יעקב כהנא, ששמע אותו אומר</w:t>
      </w:r>
      <w:bookmarkStart w:id="3588" w:name="_fnr2663"/>
      <w:r>
        <w:rPr>
          <w:rStyle w:val="a5"/>
        </w:rPr>
        <w:footnoteReference w:id="2670" w:customMarkFollows="0"/>
      </w:r>
      <w:bookmarkEnd w:id="3588"/>
      <w:r>
        <w:rPr>
          <w:rtl/>
        </w:rPr>
        <w:t xml:space="preserve"> שהוא חפץ להשתקע בארץ ישראל, “וכדאי זאת כדי להפטר עכ״פ ממנהגי </w:t>
      </w:r>
      <w:proofErr w:type="spellStart"/>
      <w:r>
        <w:rPr>
          <w:rtl/>
        </w:rPr>
        <w:t>פויליש</w:t>
      </w:r>
      <w:proofErr w:type="spellEnd"/>
      <w:r>
        <w:rPr>
          <w:rtl/>
        </w:rPr>
        <w:t xml:space="preserve">”. הוא הדגיש “עכ״פ ממנהגי </w:t>
      </w:r>
      <w:proofErr w:type="spellStart"/>
      <w:r>
        <w:rPr>
          <w:rtl/>
        </w:rPr>
        <w:t>פויליש</w:t>
      </w:r>
      <w:proofErr w:type="spellEnd"/>
      <w:r>
        <w:rPr>
          <w:rtl/>
        </w:rPr>
        <w:t xml:space="preserve">”, משום שידע שגם בארץ ישראל ייתקל במנהגים שלא יוכל להסכים עמם. ואכן, “הגאון החסיד </w:t>
      </w:r>
      <w:proofErr w:type="spellStart"/>
      <w:r>
        <w:rPr>
          <w:rtl/>
        </w:rPr>
        <w:t>מווילנא</w:t>
      </w:r>
      <w:proofErr w:type="spellEnd"/>
      <w:r>
        <w:rPr>
          <w:rtl/>
        </w:rPr>
        <w:t>”</w:t>
      </w:r>
      <w:bookmarkStart w:id="3589" w:name="_fnr2664"/>
      <w:r>
        <w:rPr>
          <w:rStyle w:val="a5"/>
        </w:rPr>
        <w:footnoteReference w:id="2671" w:customMarkFollows="0"/>
      </w:r>
      <w:bookmarkEnd w:id="3589"/>
      <w:r>
        <w:rPr>
          <w:rtl/>
        </w:rPr>
        <w:t xml:space="preserve"> מביא דעה ששיקול זה הוא שגרם לגאון לחזור בו מן התוכנית לעלות לארץ ישראל; אבל המנהגים </w:t>
      </w:r>
      <w:proofErr w:type="spellStart"/>
      <w:r>
        <w:rPr>
          <w:rtl/>
        </w:rPr>
        <w:t>ה“פולניים</w:t>
      </w:r>
      <w:proofErr w:type="spellEnd"/>
      <w:r>
        <w:rPr>
          <w:rtl/>
        </w:rPr>
        <w:t xml:space="preserve">” היו פסולים בעיניו יותר. כמובן, ייתכן </w:t>
      </w:r>
      <w:proofErr w:type="spellStart"/>
      <w:r>
        <w:rPr>
          <w:rtl/>
        </w:rPr>
        <w:t>ש“מנהגי</w:t>
      </w:r>
      <w:proofErr w:type="spellEnd"/>
      <w:r>
        <w:rPr>
          <w:rtl/>
        </w:rPr>
        <w:t xml:space="preserve"> </w:t>
      </w:r>
      <w:proofErr w:type="spellStart"/>
      <w:r>
        <w:rPr>
          <w:rtl/>
        </w:rPr>
        <w:t>פויליש</w:t>
      </w:r>
      <w:proofErr w:type="spellEnd"/>
      <w:r>
        <w:rPr>
          <w:rtl/>
        </w:rPr>
        <w:t xml:space="preserve">” </w:t>
      </w:r>
      <w:r>
        <w:rPr>
          <w:rtl/>
        </w:rPr>
        <w:lastRenderedPageBreak/>
        <w:t xml:space="preserve">הללו היו פשוט ביטול מצוות העשה היומית של נשיאת כפיים, שלא עלה בידו להשיבה על כנה בווילנה, אך נהגה בארץ ישראל.</w:t>
      </w:r>
    </w:p>
    <w:p w14:paraId="058D4863" w14:textId="77777777" w:rsidR="00AB3647" w:rsidRDefault="00000000" w:rsidP="007923E9">
      <w:pPr>
        <w:spacing w:after="120" w:line="276" w:lineRule="auto"/>
        <w:ind w:firstLine="283"/>
        <w:jc w:val="both"/>
      </w:pPr>
      <w:r>
        <w:rPr>
          <w:rtl/>
        </w:rPr>
        <w:t>יציאתו לארץ ישראל הייתה</w:t>
      </w:r>
      <w:bookmarkStart w:id="3590" w:name="_fnr2665"/>
      <w:r>
        <w:rPr>
          <w:rStyle w:val="a5"/>
        </w:rPr>
        <w:footnoteReference w:id="2672" w:customMarkFollows="0"/>
      </w:r>
      <w:bookmarkEnd w:id="3590"/>
      <w:r>
        <w:rPr>
          <w:rtl/>
        </w:rPr>
        <w:t xml:space="preserve"> – “ייתכן שבסביבות תקל״ב” – </w:t>
      </w:r>
      <w:proofErr w:type="spellStart"/>
      <w:r>
        <w:rPr>
          <w:rtl/>
        </w:rPr>
        <w:t>שש־עשרה</w:t>
      </w:r>
      <w:proofErr w:type="spellEnd"/>
      <w:r>
        <w:rPr>
          <w:rtl/>
        </w:rPr>
        <w:t xml:space="preserve"> שנה לפני ניסיונו להנהיג את המצווה היומית </w:t>
      </w:r>
      <w:proofErr w:type="spellStart"/>
      <w:r>
        <w:rPr>
          <w:rtl/>
        </w:rPr>
        <w:t>בקלויז</w:t>
      </w:r>
      <w:proofErr w:type="spellEnd"/>
      <w:r>
        <w:rPr>
          <w:rtl/>
        </w:rPr>
        <w:t xml:space="preserve"> שלו, ובכל זאת כבר אז ידע שיצטרך להיאבק קשות כדי שהבריות יקבלו את השינוי – אף שלא יכול היה לצפות שיהיה מעורב בבעיה קהילתית שמתנגדי השינוי ישתמשו בה כתירוץ לכליאתו, כמובא להלן.</w:t>
      </w:r>
    </w:p>
    <w:p w14:paraId="181EB198" w14:textId="77777777" w:rsidR="00AB3647" w:rsidRDefault="00000000" w:rsidP="007923E9">
      <w:pPr>
        <w:spacing w:after="120" w:line="276" w:lineRule="auto"/>
        <w:ind w:firstLine="283"/>
        <w:jc w:val="both"/>
      </w:pPr>
      <w:r>
        <w:rPr>
          <w:rtl/>
        </w:rPr>
        <w:t xml:space="preserve">תמיכה בהשערה שר׳ חיים </w:t>
      </w:r>
      <w:proofErr w:type="spellStart"/>
      <w:r>
        <w:rPr>
          <w:rtl/>
        </w:rPr>
        <w:t>מוולוז׳ין</w:t>
      </w:r>
      <w:proofErr w:type="spellEnd"/>
      <w:r>
        <w:rPr>
          <w:rtl/>
        </w:rPr>
        <w:t xml:space="preserve"> לא ראה יד שמים בשרפה </w:t>
      </w:r>
      <w:proofErr w:type="spellStart"/>
      <w:r>
        <w:rPr>
          <w:rtl/>
        </w:rPr>
        <w:t>בוולוז׳ין</w:t>
      </w:r>
      <w:proofErr w:type="spellEnd"/>
      <w:r>
        <w:rPr>
          <w:rtl/>
        </w:rPr>
        <w:t xml:space="preserve"> אפשר למצוא בדברים שאמר לאחר השרפה, על פי צאצאו ר׳ </w:t>
      </w:r>
      <w:proofErr w:type="spellStart"/>
      <w:r>
        <w:rPr>
          <w:rtl/>
        </w:rPr>
        <w:t xml:space="preserve">יוסף־דב</w:t>
      </w:r>
      <w:proofErr w:type="spellEnd"/>
      <w:r>
        <w:rPr>
          <w:rtl/>
        </w:rPr>
        <w:t xml:space="preserve"> </w:t>
      </w:r>
      <w:proofErr w:type="spellStart"/>
      <w:r>
        <w:rPr>
          <w:rtl/>
        </w:rPr>
        <w:t>סולובייצ׳יק</w:t>
      </w:r>
      <w:bookmarkStart w:id="3591" w:name="_fnr2666"/>
      <w:proofErr w:type="spellEnd"/>
      <w:r>
        <w:rPr>
          <w:rStyle w:val="a5"/>
        </w:rPr>
        <w:footnoteReference w:id="2673" w:customMarkFollows="0"/>
      </w:r>
      <w:bookmarkEnd w:id="3591"/>
      <w:r>
        <w:rPr>
          <w:rtl/>
        </w:rPr>
        <w:t>: “</w:t>
      </w:r>
      <w:proofErr w:type="spellStart"/>
      <w:r>
        <w:rPr>
          <w:rtl/>
        </w:rPr>
        <w:t>דער</w:t>
      </w:r>
      <w:proofErr w:type="spellEnd"/>
      <w:r>
        <w:rPr>
          <w:rtl/>
        </w:rPr>
        <w:t xml:space="preserve"> דין </w:t>
      </w:r>
      <w:proofErr w:type="spellStart"/>
      <w:r>
        <w:rPr>
          <w:rtl/>
        </w:rPr>
        <w:t>בלייבט</w:t>
      </w:r>
      <w:proofErr w:type="spellEnd"/>
      <w:r>
        <w:rPr>
          <w:rtl/>
        </w:rPr>
        <w:t xml:space="preserve"> </w:t>
      </w:r>
      <w:proofErr w:type="spellStart"/>
      <w:r>
        <w:rPr>
          <w:rtl/>
        </w:rPr>
        <w:t>אזוי</w:t>
      </w:r>
      <w:proofErr w:type="spellEnd"/>
      <w:r>
        <w:rPr>
          <w:rtl/>
        </w:rPr>
        <w:t xml:space="preserve">, אבער אז מען </w:t>
      </w:r>
      <w:proofErr w:type="spellStart"/>
      <w:r>
        <w:rPr>
          <w:rtl/>
        </w:rPr>
        <w:t>קען</w:t>
      </w:r>
      <w:proofErr w:type="spellEnd"/>
      <w:r>
        <w:rPr>
          <w:rtl/>
        </w:rPr>
        <w:t xml:space="preserve"> ניט, </w:t>
      </w:r>
      <w:proofErr w:type="spellStart"/>
      <w:r>
        <w:rPr>
          <w:rtl/>
        </w:rPr>
        <w:t>קען</w:t>
      </w:r>
      <w:proofErr w:type="spellEnd"/>
      <w:r>
        <w:rPr>
          <w:rtl/>
        </w:rPr>
        <w:t xml:space="preserve"> מען ניט” [הדין נשאר כך – שיש לשאת כפיים בימות החול – אבל כשאי אפשר, אי אפשר]. דברים אלה רומזים להסברו של רבנו לכך שר׳ חיים לא המשיך לעסוק בעניין לאחר המקרה. נראה שאבי הניח שהיקף השרפה היה כפי שתואר </w:t>
      </w:r>
      <w:proofErr w:type="spellStart"/>
      <w:r>
        <w:rPr>
          <w:rtl/>
        </w:rPr>
        <w:t>ב“עליות</w:t>
      </w:r>
      <w:proofErr w:type="spellEnd"/>
      <w:r>
        <w:rPr>
          <w:rtl/>
        </w:rPr>
        <w:t xml:space="preserve"> אליהו”, כלומר שהצטמצמה לבית הכנסת (כפי שהודגש לעיל בעמ׳ </w:t>
      </w:r>
      <w:r>
        <w:rPr>
          <w:rtl/>
        </w:rPr>
        <w:fldChar w:fldCharType="begin" w:dirty="true"/>
      </w:r>
      <w:r>
        <w:rPr>
          <w:rtl/>
        </w:rPr>
        <w:instrText xml:space="preserve"> PAGEREF pr_b_1558 \h </w:instrText>
      </w:r>
      <w:r>
        <w:rPr>
          <w:rtl/>
        </w:rPr>
      </w:r>
      <w:r>
        <w:rPr>
          <w:rtl/>
        </w:rPr>
        <w:fldChar w:fldCharType="separate"/>
      </w:r>
      <w:r w:rsidR="007923E9">
        <w:rPr>
          <w:noProof/>
          <w:rtl/>
        </w:rPr>
        <w:t>1</w:t>
      </w:r>
      <w:r>
        <w:rPr>
          <w:rtl/>
        </w:rPr>
        <w:fldChar w:fldCharType="end"/>
      </w:r>
      <w:r>
        <w:rPr>
          <w:rtl/>
        </w:rPr>
        <w:t xml:space="preserve">). הרי לא יעלה על הדעת שמצית, בלהיטותו לשמר מנהג קיים, יסכן את העיר כולה – כפי שאירע לפי תיאור השרפה של </w:t>
      </w:r>
      <w:proofErr w:type="spellStart"/>
      <w:r>
        <w:rPr>
          <w:rtl/>
        </w:rPr>
        <w:t>הנצי״ב</w:t>
      </w:r>
      <w:proofErr w:type="spellEnd"/>
      <w:r>
        <w:rPr>
          <w:rtl/>
        </w:rPr>
        <w:t xml:space="preserve"> בתשובתו המצוטטת לעיל.</w:t>
      </w:r>
    </w:p>
    <w:p w14:paraId="6C8FCD76" w14:textId="77777777" w:rsidR="00AB3647" w:rsidRDefault="00000000" w:rsidP="007923E9">
      <w:pPr>
        <w:spacing w:after="120" w:line="276" w:lineRule="auto"/>
        <w:ind w:firstLine="283"/>
        <w:jc w:val="both"/>
      </w:pPr>
      <w:r>
        <w:rPr>
          <w:rtl/>
        </w:rPr>
        <w:t xml:space="preserve">ייתכן </w:t>
      </w:r>
      <w:proofErr w:type="spellStart"/>
      <w:r>
        <w:rPr>
          <w:rtl/>
        </w:rPr>
        <w:t>שהנצי״ב</w:t>
      </w:r>
      <w:proofErr w:type="spellEnd"/>
      <w:r>
        <w:rPr>
          <w:rtl/>
        </w:rPr>
        <w:t xml:space="preserve"> החליף את השרפה שפרצה בעקבות הניסיון לשאת כפיים בשרפה אחרת, שאירעה שש שנים לפני פטירת ר׳ חיים. את השרפה המאוחרת תיאר אותו מקור שממנו “כמדומה” </w:t>
      </w:r>
      <w:proofErr w:type="spellStart"/>
      <w:r>
        <w:rPr>
          <w:rtl/>
        </w:rPr>
        <w:t>לנצי״ב</w:t>
      </w:r>
      <w:proofErr w:type="spellEnd"/>
      <w:r>
        <w:rPr>
          <w:rtl/>
        </w:rPr>
        <w:t xml:space="preserve"> </w:t>
      </w:r>
      <w:proofErr w:type="spellStart"/>
      <w:r>
        <w:rPr>
          <w:rtl/>
        </w:rPr>
        <w:t>ש“שמע</w:t>
      </w:r>
      <w:proofErr w:type="spellEnd"/>
      <w:r>
        <w:rPr>
          <w:rtl/>
        </w:rPr>
        <w:t xml:space="preserve">” על שרפת נשיאת הכפיים – חותנו ר׳ </w:t>
      </w:r>
      <w:proofErr w:type="spellStart"/>
      <w:r>
        <w:rPr>
          <w:rtl/>
        </w:rPr>
        <w:t>איצל׳ה</w:t>
      </w:r>
      <w:proofErr w:type="spellEnd"/>
      <w:r>
        <w:rPr>
          <w:rtl/>
        </w:rPr>
        <w:t xml:space="preserve"> – בהקדמתו </w:t>
      </w:r>
      <w:proofErr w:type="spellStart"/>
      <w:r>
        <w:rPr>
          <w:rtl/>
        </w:rPr>
        <w:t>ל“נפש</w:t>
      </w:r>
      <w:proofErr w:type="spellEnd"/>
      <w:r>
        <w:rPr>
          <w:rtl/>
        </w:rPr>
        <w:t xml:space="preserve"> החיים” של אביו, במילים: “אש שולח ממרום</w:t>
      </w:r>
      <w:bookmarkStart w:id="3592" w:name="_fnr2667"/>
      <w:r>
        <w:rPr>
          <w:rStyle w:val="a5"/>
        </w:rPr>
        <w:footnoteReference w:id="2674" w:customMarkFollows="0"/>
      </w:r>
      <w:bookmarkEnd w:id="3592"/>
      <w:r>
        <w:rPr>
          <w:rtl/>
        </w:rPr>
        <w:t xml:space="preserve"> ביום י״ד באייר תקע״ה, ונשרף ר״ל כחצי העיר”. אפשר לשער שבשרפת נשיאת הכפיים דאג המצית לא רק שהלהבות לא יתפשטו לעיר, אלא גם שספרי התורה והספרים שבבית המדרש לא יינזקו. “היהודי הזקן” הגביל את האש לבימה שעליה התכוננו הכוהנים לעמוד למחרת בבוקר – ובכך סיפק שלא במתכוון חיזוק לאמונה שהשרפה הייתה אות משמים שלא לקיים נשיאת כפיים בימות החול!</w:t>
      </w:r>
    </w:p>
    <w:p w14:paraId="63CA1F60" w14:textId="77777777" w:rsidR="00AB3647" w:rsidRDefault="00000000" w:rsidP="007923E9">
      <w:pPr>
        <w:spacing w:after="120" w:line="276" w:lineRule="auto"/>
        <w:ind w:firstLine="283"/>
        <w:jc w:val="both"/>
      </w:pPr>
      <w:r>
        <w:rPr>
          <w:rtl/>
        </w:rPr>
        <w:t xml:space="preserve">הערכתו של אבי בדבר מה שאירע באמת בימי ר׳ חיים פותחת פתח להיסטוריונים לברר את האירועים סביב כליאתו שלא בצדק של הגאון מווילנה, בעת המחלוקת על רבנות עירו בחורף תקמ״ח. שכן “עליות אליהו”</w:t>
      </w:r>
      <w:bookmarkStart w:id="3593" w:name="_fnr2668"/>
      <w:r>
        <w:rPr>
          <w:rStyle w:val="a5"/>
        </w:rPr>
        <w:footnoteReference w:id="2675" w:customMarkFollows="0"/>
      </w:r>
      <w:bookmarkEnd w:id="3593"/>
      <w:r>
        <w:rPr>
          <w:rtl/>
        </w:rPr>
        <w:t xml:space="preserve"> מציין בשם ר׳ חיים </w:t>
      </w:r>
      <w:proofErr w:type="spellStart"/>
      <w:r>
        <w:rPr>
          <w:rtl/>
        </w:rPr>
        <w:t>מוולוז׳ין</w:t>
      </w:r>
      <w:proofErr w:type="spellEnd"/>
      <w:r>
        <w:rPr>
          <w:rtl/>
        </w:rPr>
        <w:t xml:space="preserve"> שהמעצר אירע ביום שבו החליט רבו להתחיל לשאת כפיים למחרת בבוקר, ומעשה זה סיפר אף </w:t>
      </w:r>
      <w:proofErr w:type="spellStart"/>
      <w:r>
        <w:rPr>
          <w:rtl/>
        </w:rPr>
        <w:t>הנצי״ב</w:t>
      </w:r>
      <w:proofErr w:type="spellEnd"/>
      <w:r>
        <w:rPr>
          <w:rtl/>
        </w:rPr>
        <w:t xml:space="preserve"> </w:t>
      </w:r>
      <w:proofErr w:type="spellStart"/>
      <w:r>
        <w:rPr>
          <w:rtl/>
        </w:rPr>
        <w:t>ב“שו״ת</w:t>
      </w:r>
      <w:proofErr w:type="spellEnd"/>
      <w:r>
        <w:rPr>
          <w:rtl/>
        </w:rPr>
        <w:t xml:space="preserve"> משיב דבר”</w:t>
      </w:r>
      <w:bookmarkStart w:id="3594" w:name="_fnr2669"/>
      <w:r>
        <w:rPr>
          <w:rStyle w:val="a5"/>
        </w:rPr>
        <w:footnoteReference w:id="2676" w:customMarkFollows="0"/>
      </w:r>
      <w:bookmarkEnd w:id="3594"/>
      <w:r>
        <w:rPr>
          <w:rtl/>
        </w:rPr>
        <w:t xml:space="preserve">. “עליות אליהו” מסביר את ביטול תוכניתו של הגאון בעקבות זאת באומרו: “כנראה שמן השמים עכבו בדבר”; </w:t>
      </w:r>
      <w:proofErr w:type="spellStart"/>
      <w:r>
        <w:rPr>
          <w:rtl/>
        </w:rPr>
        <w:t>ו“שו״ת</w:t>
      </w:r>
      <w:proofErr w:type="spellEnd"/>
      <w:r>
        <w:rPr>
          <w:rtl/>
        </w:rPr>
        <w:t xml:space="preserve"> משיב דבר” מביע אותו רעיון בלשון החלטית יותר: “עיכבוהו מן השמים”.</w:t>
      </w:r>
    </w:p>
    <w:p w14:paraId="5C229B49" w14:textId="77777777" w:rsidR="00AB3647" w:rsidRDefault="00000000" w:rsidP="007923E9">
      <w:pPr>
        <w:spacing w:after="120" w:line="276" w:lineRule="auto"/>
        <w:ind w:firstLine="283"/>
        <w:jc w:val="both"/>
      </w:pPr>
      <w:r>
        <w:rPr>
          <w:rtl/>
        </w:rPr>
        <w:lastRenderedPageBreak/>
        <w:t>השווה גם “ערוך השולחן”</w:t>
      </w:r>
      <w:bookmarkStart w:id="3595" w:name="_fnr2670"/>
      <w:r>
        <w:rPr>
          <w:rStyle w:val="a5"/>
        </w:rPr>
        <w:footnoteReference w:id="2677" w:customMarkFollows="0"/>
      </w:r>
      <w:bookmarkEnd w:id="3595"/>
      <w:r>
        <w:rPr>
          <w:rtl/>
        </w:rPr>
        <w:t xml:space="preserve">, האומר: “מנהגנו [האשכנזי באירופה] שלא </w:t>
      </w:r>
      <w:proofErr w:type="spellStart"/>
      <w:r>
        <w:rPr>
          <w:rtl/>
        </w:rPr>
        <w:t>לישא</w:t>
      </w:r>
      <w:proofErr w:type="spellEnd"/>
      <w:r>
        <w:rPr>
          <w:rtl/>
        </w:rPr>
        <w:t xml:space="preserve"> כפים בכל יום הוא מנהג גרוע</w:t>
      </w:r>
      <w:bookmarkStart w:id="3596" w:name="_fnr2671"/>
      <w:r>
        <w:rPr>
          <w:rStyle w:val="a5"/>
        </w:rPr>
        <w:footnoteReference w:id="2678" w:customMarkFollows="0"/>
      </w:r>
      <w:bookmarkEnd w:id="3596"/>
      <w:r>
        <w:rPr>
          <w:rtl/>
        </w:rPr>
        <w:t xml:space="preserve">, אבל מה נעשה וכאלו בת קול יצא שלא להניח לנו </w:t>
      </w:r>
      <w:proofErr w:type="spellStart"/>
      <w:r>
        <w:rPr>
          <w:rtl/>
        </w:rPr>
        <w:t>לישא</w:t>
      </w:r>
      <w:proofErr w:type="spellEnd"/>
      <w:r>
        <w:rPr>
          <w:rtl/>
        </w:rPr>
        <w:t xml:space="preserve"> כפים בכל יום. ומקובלני ששני גדולי הדור בדורות שלפנינו הגאון ור׳ חיים, כל אחד במקומו, רצה להנהיג נשיאת כפים בכל יום, וכשהגבילו יום המוגבל לזה נתבלבל </w:t>
      </w:r>
      <w:proofErr w:type="spellStart"/>
      <w:r>
        <w:rPr>
          <w:rtl/>
        </w:rPr>
        <w:t>הענין</w:t>
      </w:r>
      <w:proofErr w:type="spellEnd"/>
      <w:r>
        <w:rPr>
          <w:rtl/>
        </w:rPr>
        <w:t xml:space="preserve"> ולא עלה להם, ואמרו שרואים כי מן השמים נגזרה כן”.</w:t>
      </w:r>
    </w:p>
    <w:p w14:paraId="36AC3190" w14:textId="77777777" w:rsidR="00AB3647" w:rsidRDefault="00000000" w:rsidP="007923E9">
      <w:pPr>
        <w:spacing w:after="120" w:line="276" w:lineRule="auto"/>
        <w:ind w:firstLine="283"/>
        <w:jc w:val="both"/>
      </w:pPr>
      <w:r>
        <w:rPr>
          <w:rtl/>
        </w:rPr>
        <w:t xml:space="preserve">לפי סברתו של אבי, הסיבה היחידה שהגאון לא חזר והנהיג נשיאת כפיים יומית </w:t>
      </w:r>
      <w:r>
        <w:rPr>
          <w:b/>
          <w:bCs/>
          <w:rtl/>
        </w:rPr>
        <w:t>לאחר שחרורו מן הכלא</w:t>
      </w:r>
      <w:r>
        <w:rPr>
          <w:rtl/>
        </w:rPr>
        <w:t xml:space="preserve"> הייתה חששו, ובפרפרזה על דברי אבי בדבר ניסיונו הדומה של ר׳ חיים </w:t>
      </w:r>
      <w:proofErr w:type="spellStart"/>
      <w:r>
        <w:rPr>
          <w:rtl/>
        </w:rPr>
        <w:t>מוולוז׳ין</w:t>
      </w:r>
      <w:proofErr w:type="spellEnd"/>
      <w:r>
        <w:rPr>
          <w:rtl/>
        </w:rPr>
        <w:t>: “הם [המלשינים] היו מביאים למעצרו שוב; אז מה התועלת?!” עובדה היא שההמונים שתמכו בר׳ שמואל בן אביגדור נלחמו בהנהגת הקהילה, שלכאורה נהנתה מתמיכת הגאון, באמצעות הלשנה עליה לשלטונות – ובכלל זה הטענה שהמנהיגים משלמים קצבה שבועית לאחד, ר׳ אליהו הגאון, “שאינו עושה דבר”</w:t>
      </w:r>
      <w:bookmarkStart w:id="3597" w:name="_fnr2672"/>
      <w:r>
        <w:rPr>
          <w:rStyle w:val="a5"/>
        </w:rPr>
        <w:footnoteReference w:id="2679" w:customMarkFollows="0"/>
      </w:r>
      <w:bookmarkEnd w:id="3597"/>
      <w:r>
        <w:rPr>
          <w:rtl/>
        </w:rPr>
        <w:t xml:space="preserve">. ניסיונו של ר׳ חיים </w:t>
      </w:r>
      <w:proofErr w:type="spellStart"/>
      <w:r>
        <w:rPr>
          <w:rtl/>
        </w:rPr>
        <w:t>מוולוז׳ין</w:t>
      </w:r>
      <w:proofErr w:type="spellEnd"/>
      <w:r>
        <w:rPr>
          <w:rtl/>
        </w:rPr>
        <w:t xml:space="preserve"> לחדש את נשיאת הכפיים בימות החול, </w:t>
      </w:r>
      <w:r>
        <w:rPr>
          <w:b/>
          <w:bCs/>
          <w:rtl/>
        </w:rPr>
        <w:t xml:space="preserve">לאחר שהגאון מווילנה ניסה ונכשל</w:t>
      </w:r>
      <w:r>
        <w:rPr>
          <w:rtl/>
        </w:rPr>
        <w:t>, מוכיח שר׳ חיים לא ראה בהתערבות שמים את סיבת כישלונו של הגאון, או שלא נרתע מלהתעמת עם שמים כשההלכה חייבה זאת!</w:t>
      </w:r>
    </w:p>
    <w:p w14:paraId="06F62653" w14:textId="77777777" w:rsidR="00AB3647" w:rsidRDefault="00000000" w:rsidP="007923E9">
      <w:pPr>
        <w:spacing w:after="120" w:line="276" w:lineRule="auto"/>
        <w:ind w:firstLine="283"/>
        <w:jc w:val="both"/>
      </w:pPr>
      <w:r>
        <w:rPr>
          <w:rtl/>
        </w:rPr>
        <w:t xml:space="preserve">(ועיין בים של שלמה </w:t>
      </w:r>
      <w:proofErr w:type="spellStart"/>
      <w:r>
        <w:rPr>
          <w:rtl/>
        </w:rPr>
        <w:t>ב״ק</w:t>
      </w:r>
      <w:proofErr w:type="spellEnd"/>
      <w:r>
        <w:rPr>
          <w:rtl/>
        </w:rPr>
        <w:t xml:space="preserve"> פ׳ מרובה סי׳ ל״ז שכ׳ שפעם הורה הלכה למעשה לברך “שהשמחה במעונו” בסיום מסכת “ונתבלבל השמחה במהומות גדולות ע״י סיבות קשות, ותליתי הסרחון בי שעברתי על דברי רבותי שלא שמעו מעולם דבר זה”.)</w:t>
      </w:r>
    </w:p>
    <w:p w14:paraId="2C28FCCB" w14:textId="77777777" w:rsidR="00AB3647" w:rsidRDefault="00000000" w:rsidP="007923E9">
      <w:pPr>
        <w:spacing w:after="120" w:line="276" w:lineRule="auto"/>
        <w:ind w:firstLine="283"/>
        <w:jc w:val="both"/>
      </w:pPr>
      <w:r>
        <w:rPr>
          <w:rtl/>
        </w:rPr>
        <w:t xml:space="preserve">השווה גם </w:t>
      </w:r>
      <w:proofErr w:type="spellStart"/>
      <w:r>
        <w:rPr>
          <w:rtl/>
        </w:rPr>
        <w:t>אלזט</w:t>
      </w:r>
      <w:proofErr w:type="spellEnd"/>
      <w:r>
        <w:rPr>
          <w:rtl/>
        </w:rPr>
        <w:t xml:space="preserve"> </w:t>
      </w:r>
      <w:proofErr w:type="spellStart"/>
      <w:r>
        <w:rPr>
          <w:rtl/>
        </w:rPr>
        <w:t>ב“רשומות</w:t>
      </w:r>
      <w:proofErr w:type="spellEnd"/>
      <w:r>
        <w:rPr>
          <w:rtl/>
        </w:rPr>
        <w:t xml:space="preserve"> ב”</w:t>
      </w:r>
      <w:bookmarkStart w:id="3598" w:name="_fnr2673"/>
      <w:r>
        <w:rPr>
          <w:rStyle w:val="a5"/>
        </w:rPr>
        <w:footnoteReference w:id="2680" w:customMarkFollows="0"/>
      </w:r>
      <w:bookmarkEnd w:id="3598"/>
      <w:r>
        <w:rPr>
          <w:rtl/>
        </w:rPr>
        <w:t xml:space="preserve">, המציג את ר׳ חיים </w:t>
      </w:r>
      <w:proofErr w:type="spellStart"/>
      <w:r>
        <w:rPr>
          <w:rtl/>
        </w:rPr>
        <w:t>מוולוז׳ין</w:t>
      </w:r>
      <w:proofErr w:type="spellEnd"/>
      <w:r>
        <w:rPr>
          <w:rtl/>
        </w:rPr>
        <w:t xml:space="preserve"> כמאמין באותות משמים בכיוון ההפוך, כלומר כדי לבטל מנהג ולחזק את עיקר ההלכה. נאמר שם: “מסופר שפעם אחת, כשהגיע ליל ניטל, לקח מייסד ישיבת </w:t>
      </w:r>
      <w:proofErr w:type="spellStart"/>
      <w:r>
        <w:rPr>
          <w:rtl/>
        </w:rPr>
        <w:t>וולוז׳ין</w:t>
      </w:r>
      <w:proofErr w:type="spellEnd"/>
      <w:r>
        <w:rPr>
          <w:rtl/>
        </w:rPr>
        <w:t xml:space="preserve">, ר׳ חיים, את כרך הגמרא שלו ורצה להניחו בארון, והוא נפל ארצה; החזירו, והוא נפל שוב. אז נכנס לישיבה ואמר לתלמידים: ‘קחו את הגמרות ולמדו. מן השמים אין מניחים לכם </w:t>
      </w:r>
      <w:proofErr w:type="spellStart"/>
      <w:r>
        <w:rPr>
          <w:rtl/>
        </w:rPr>
        <w:t>להיבטל</w:t>
      </w:r>
      <w:proofErr w:type="spellEnd"/>
      <w:r>
        <w:rPr>
          <w:rtl/>
        </w:rPr>
        <w:t>’”</w:t>
      </w:r>
      <w:bookmarkStart w:id="3599" w:name="_fnr2674"/>
      <w:bookmarkStart w:id="3600" w:name="pr_f_2573"/>
      <w:r>
        <w:rPr>
          <w:rStyle w:val="a5"/>
        </w:rPr>
        <w:footnoteReference w:id="2681" w:customMarkFollows="0"/>
      </w:r>
      <w:bookmarkEnd w:id="3599"/>
      <w:bookmarkEnd w:id="3600"/>
      <w:r>
        <w:rPr>
          <w:rtl/>
        </w:rPr>
        <w:t xml:space="preserve">. כמובן, ייתכן שסיפור הגמרא </w:t>
      </w:r>
      <w:r>
        <w:rPr>
          <w:rtl/>
        </w:rPr>
        <w:lastRenderedPageBreak/>
        <w:t xml:space="preserve">שסירבה להיכנס לארון הומצא כדי להפיג את חששותיהם של תלמידים שפחדו שלימודם באותו לילה עלול להיגזל בידי כוח הטומאה – חשש המשתמע </w:t>
      </w:r>
      <w:proofErr w:type="spellStart"/>
      <w:r>
        <w:rPr>
          <w:rtl/>
        </w:rPr>
        <w:t>ב“טעמי</w:t>
      </w:r>
      <w:proofErr w:type="spellEnd"/>
      <w:r>
        <w:rPr>
          <w:rtl/>
        </w:rPr>
        <w:t xml:space="preserve"> המנהגים ומקורי הדינים”</w:t>
      </w:r>
      <w:bookmarkStart w:id="3601" w:name="_fnr2675"/>
      <w:r>
        <w:rPr>
          <w:rStyle w:val="a5"/>
        </w:rPr>
        <w:footnoteReference w:id="2682" w:customMarkFollows="0"/>
      </w:r>
      <w:bookmarkEnd w:id="3601"/>
      <w:r>
        <w:rPr>
          <w:rtl/>
        </w:rPr>
        <w:t xml:space="preserve">. חשש זה מפורש </w:t>
      </w:r>
      <w:proofErr w:type="spellStart"/>
      <w:r>
        <w:rPr>
          <w:rtl/>
        </w:rPr>
        <w:t>ב“ליקוטי</w:t>
      </w:r>
      <w:proofErr w:type="spellEnd"/>
      <w:r>
        <w:rPr>
          <w:rtl/>
        </w:rPr>
        <w:t xml:space="preserve"> פרדס”</w:t>
      </w:r>
      <w:bookmarkStart w:id="3602" w:name="_fnr2676"/>
      <w:r>
        <w:rPr>
          <w:rStyle w:val="a5"/>
        </w:rPr>
        <w:footnoteReference w:id="2683" w:customMarkFollows="0"/>
      </w:r>
      <w:bookmarkEnd w:id="3602"/>
      <w:r>
        <w:rPr>
          <w:rtl/>
        </w:rPr>
        <w:t>, האומר: “העולם אומרים שעל ידי ביטול לימוד התורה [בליל הולדת ישו] אנו מבטיחים שלא תעמוד לו זכות התורה שלמד”.</w:t>
      </w:r>
    </w:p>
    <w:p w14:paraId="3B76CBE4" w14:textId="77777777" w:rsidR="00AB3647" w:rsidRDefault="00000000" w:rsidP="007923E9">
      <w:pPr>
        <w:spacing w:after="120" w:line="276" w:lineRule="auto"/>
        <w:ind w:firstLine="283"/>
        <w:jc w:val="both"/>
      </w:pPr>
      <w:r>
        <w:rPr>
          <w:rtl/>
        </w:rPr>
        <w:t xml:space="preserve">לשונו של “ליקוטי פרדס” מאפשרת לנו להבין כיצד תורה יכולה “להיגזל בידי </w:t>
      </w:r>
      <w:proofErr w:type="spellStart"/>
      <w:r>
        <w:rPr>
          <w:rtl/>
        </w:rPr>
        <w:t>כח</w:t>
      </w:r>
      <w:proofErr w:type="spellEnd"/>
      <w:r>
        <w:rPr>
          <w:rtl/>
        </w:rPr>
        <w:t xml:space="preserve"> הטומאה”: מאחר שישו למד תורה כלשהי בימי חייו, אנו מבטלים, באמצעות ביטול התורה הנרחב </w:t>
      </w:r>
      <w:r>
        <w:rPr>
          <w:b/>
          <w:bCs/>
          <w:rtl/>
        </w:rPr>
        <w:t>שהביא</w:t>
      </w:r>
      <w:r>
        <w:rPr>
          <w:rtl/>
        </w:rPr>
        <w:t xml:space="preserve"> במאות השנים שלאחר מכן, את הזכויות שצבר בשעתו [הוא, </w:t>
      </w:r>
      <w:proofErr w:type="spellStart"/>
      <w:r>
        <w:rPr>
          <w:rtl/>
        </w:rPr>
        <w:t>כח</w:t>
      </w:r>
      <w:proofErr w:type="spellEnd"/>
      <w:r>
        <w:rPr>
          <w:rtl/>
        </w:rPr>
        <w:t xml:space="preserve"> הטומאה]. ראה גם “אגרות סופרים”</w:t>
      </w:r>
      <w:bookmarkStart w:id="3603" w:name="_fnr2677"/>
      <w:r>
        <w:rPr>
          <w:rStyle w:val="a5"/>
        </w:rPr>
        <w:footnoteReference w:id="2684" w:customMarkFollows="0"/>
      </w:r>
      <w:bookmarkEnd w:id="3603"/>
      <w:r>
        <w:rPr>
          <w:rtl/>
        </w:rPr>
        <w:t xml:space="preserve">, ובו מכתב </w:t>
      </w:r>
      <w:proofErr w:type="spellStart"/>
      <w:r>
        <w:rPr>
          <w:rtl/>
        </w:rPr>
        <w:t>מהחתם־סופר</w:t>
      </w:r>
      <w:proofErr w:type="spellEnd"/>
      <w:r>
        <w:rPr>
          <w:rtl/>
        </w:rPr>
        <w:t xml:space="preserve"> האומר בלשון סתומה: “טעם מקובל לא שמעתי בזה, אבל נראה לי משום שלא ליתן לשטן לקטרג”. ייתכן שהתכוון להסברנו. (ראה להלן כיצד אפשר להטיל על ישו את האשמה בביטול התורה שלנו.)</w:t>
      </w:r>
    </w:p>
    <w:p w14:paraId="5778C2FE" w14:textId="77777777" w:rsidR="00AB3647" w:rsidRDefault="00000000" w:rsidP="007923E9">
      <w:pPr>
        <w:spacing w:after="120" w:line="276" w:lineRule="auto"/>
        <w:ind w:firstLine="283"/>
        <w:jc w:val="both"/>
      </w:pPr>
      <w:r>
        <w:rPr>
          <w:rtl/>
        </w:rPr>
        <w:t>השווה גם “טעמי המנהגים”</w:t>
      </w:r>
      <w:bookmarkStart w:id="3604" w:name="_fnr2678"/>
      <w:r>
        <w:rPr>
          <w:rStyle w:val="a5"/>
        </w:rPr>
        <w:footnoteReference w:id="2685" w:customMarkFollows="0"/>
      </w:r>
      <w:bookmarkEnd w:id="3604"/>
      <w:r>
        <w:rPr>
          <w:rtl/>
        </w:rPr>
        <w:t xml:space="preserve"> [בשם “ליקוטי פרדס”], המביא את הטעם הבא לביטול הלימוד בליל חג המולד: “מפני שבימים הקדמונים היו צוררי היהודים אורבים להם בלילה ההוא, ומכים אותם מכות אכזריות בכל עת שמצאום ברחובות – ולפעמים מתו היהודים בידיהם, שכן ההמון ראה בכך מצווה [לתקוף יהודים] – לכן תיקנו גדולי התורה שהמלמדים והתלמידים ובני הישיבות יישארו בבתיהם באותו לילה ולא יסתובבו בחוץ”.</w:t>
      </w:r>
    </w:p>
    <w:p w14:paraId="4EDD69F5" w14:textId="77777777" w:rsidR="00AB3647" w:rsidRDefault="00000000" w:rsidP="007923E9">
      <w:pPr>
        <w:spacing w:after="120" w:line="276" w:lineRule="auto"/>
        <w:ind w:firstLine="283"/>
        <w:jc w:val="both"/>
      </w:pPr>
      <w:r>
        <w:rPr>
          <w:rtl/>
        </w:rPr>
        <w:t xml:space="preserve">ר׳ יצחק </w:t>
      </w:r>
      <w:proofErr w:type="spellStart"/>
      <w:r>
        <w:rPr>
          <w:rtl/>
        </w:rPr>
        <w:t>שורין</w:t>
      </w:r>
      <w:proofErr w:type="spellEnd"/>
      <w:r>
        <w:rPr>
          <w:rtl/>
        </w:rPr>
        <w:t xml:space="preserve"> סיפר</w:t>
      </w:r>
      <w:bookmarkStart w:id="3605" w:name="_fnr2679"/>
      <w:r>
        <w:rPr>
          <w:rStyle w:val="a5"/>
        </w:rPr>
        <w:footnoteReference w:id="2686" w:customMarkFollows="0"/>
      </w:r>
      <w:bookmarkEnd w:id="3605"/>
      <w:r>
        <w:rPr>
          <w:rtl/>
        </w:rPr>
        <w:t xml:space="preserve"> שסבו, רבנו, אמר לו שמתקני המנהג שלא ללמוד בניטל התכוונו רק שלא ייצאו לרחובות; ומאחר שספרי קודש נמצאו רק בבתי המדרש, היה הדבר שקול לאיסור לימוד תורה באותו לילה. גם הטעם הקודם, כלומר </w:t>
      </w:r>
      <w:proofErr w:type="spellStart"/>
      <w:r>
        <w:rPr>
          <w:rtl/>
        </w:rPr>
        <w:t>גזילת</w:t>
      </w:r>
      <w:proofErr w:type="spellEnd"/>
      <w:r>
        <w:rPr>
          <w:rtl/>
        </w:rPr>
        <w:t xml:space="preserve"> התורה בידי כוח הטומאה, נסמך על הסכנה שארבה ברחובות: יכולנו למנוע את ביטול התורה באמצעות הכנת ספרים בבית, אבל כדי לתלות בישו את האשמה בביטול התורה, איננו יוצאים מגדרנו. לפי הבנה זו, שני הטעמים </w:t>
      </w:r>
      <w:proofErr w:type="spellStart"/>
      <w:r>
        <w:rPr>
          <w:rtl/>
        </w:rPr>
        <w:t>לאי־לימוד</w:t>
      </w:r>
      <w:proofErr w:type="spellEnd"/>
      <w:r>
        <w:rPr>
          <w:rtl/>
        </w:rPr>
        <w:t xml:space="preserve"> תורה באותו לילה משלימים זה את זה: אין לומדים בבתי המדרש משום הסכנה שביציאה החוצה, ואין נוקטים אמצעים מיוחדים להבטיח לימוד תורה בבית, כדי שהאשמה בביטול התורה תוכל לבטל את זכויותיו של ישו.</w:t>
      </w:r>
    </w:p>
    <w:p w14:paraId="1F36B41F" w14:textId="77777777" w:rsidR="00AB3647" w:rsidRDefault="00000000" w:rsidP="007923E9">
      <w:pPr>
        <w:spacing w:after="120" w:line="276" w:lineRule="auto"/>
        <w:ind w:firstLine="283"/>
        <w:jc w:val="both"/>
      </w:pPr>
      <w:r>
        <w:rPr>
          <w:rtl/>
        </w:rPr>
        <w:t xml:space="preserve">ייתכן מאוד שהמעשה בגמרא </w:t>
      </w:r>
      <w:proofErr w:type="spellStart"/>
      <w:r>
        <w:rPr>
          <w:rtl/>
        </w:rPr>
        <w:t>בוולוז׳ין</w:t>
      </w:r>
      <w:proofErr w:type="spellEnd"/>
      <w:r>
        <w:rPr>
          <w:rtl/>
        </w:rPr>
        <w:t xml:space="preserve">, אם אכן אירע, התרחש כשמשמרת הלימוד בישיבה עמדה להסתיים [והמשמרת הבאה לא הייתה צפויה להגיע בשל מנהג ליל ניטל]. בישיבת </w:t>
      </w:r>
      <w:proofErr w:type="spellStart"/>
      <w:r>
        <w:rPr>
          <w:rtl/>
        </w:rPr>
        <w:t>וולוז׳ין</w:t>
      </w:r>
      <w:proofErr w:type="spellEnd"/>
      <w:r>
        <w:rPr>
          <w:rtl/>
        </w:rPr>
        <w:t xml:space="preserve"> לא הייתה הפסקה בלימוד: לפי “מקור ברוך”</w:t>
      </w:r>
      <w:bookmarkStart w:id="3606" w:name="_fnr2680"/>
      <w:r>
        <w:rPr>
          <w:rStyle w:val="a5"/>
        </w:rPr>
        <w:footnoteReference w:id="2687" w:customMarkFollows="0"/>
      </w:r>
      <w:bookmarkEnd w:id="3606"/>
      <w:r>
        <w:rPr>
          <w:rtl/>
        </w:rPr>
        <w:t xml:space="preserve">, משמרת אחר הצהריים הסתיימה בשעה תשע בערב, ואז החליפה אותה משמרת ערב עד חצות, ובשעה זו באה משמרת הלילה </w:t>
      </w:r>
      <w:r>
        <w:rPr>
          <w:rtl/>
        </w:rPr>
        <w:lastRenderedPageBreak/>
        <w:t>המאוחרת להמשיך בלימוד עד עלות השחר</w:t>
      </w:r>
      <w:bookmarkStart w:id="3607" w:name="_fnr2681"/>
      <w:bookmarkStart w:id="3608" w:name="pr_f_2580"/>
      <w:r>
        <w:rPr>
          <w:rStyle w:val="a5"/>
        </w:rPr>
        <w:footnoteReference w:id="2688" w:customMarkFollows="0"/>
      </w:r>
      <w:bookmarkEnd w:id="3607"/>
      <w:bookmarkEnd w:id="3608"/>
      <w:r>
        <w:rPr>
          <w:rtl/>
        </w:rPr>
        <w:t xml:space="preserve">. ר׳ חיים </w:t>
      </w:r>
      <w:proofErr w:type="spellStart"/>
      <w:r>
        <w:rPr>
          <w:rtl/>
        </w:rPr>
        <w:t>מוולוז׳ין</w:t>
      </w:r>
      <w:proofErr w:type="spellEnd"/>
      <w:r>
        <w:rPr>
          <w:rtl/>
        </w:rPr>
        <w:t xml:space="preserve"> פירש את הגמרא הסרבנית כאות אזהרה שסכנה מן הגויים אורבת; וכשהורה למשמרת להמשיך ללמוד, הבטיח שלא ייצאו אל הרחובות המסוכנים.</w:t>
      </w:r>
    </w:p>
    <w:p w14:paraId="10A8D41E" w14:textId="77777777" w:rsidR="00AB3647" w:rsidRDefault="00000000" w:rsidP="007923E9">
      <w:pPr>
        <w:spacing w:after="120" w:line="276" w:lineRule="auto"/>
        <w:ind w:firstLine="283"/>
        <w:jc w:val="both"/>
      </w:pPr>
      <w:r>
        <w:rPr>
          <w:rtl/>
        </w:rPr>
        <w:t>השווה גם “עליות אליהו” המצוטט לעיל</w:t>
      </w:r>
      <w:bookmarkStart w:id="3609" w:name="_fnr2682"/>
      <w:r>
        <w:rPr>
          <w:rStyle w:val="a5"/>
        </w:rPr>
        <w:footnoteReference w:id="2689" w:customMarkFollows="0"/>
      </w:r>
      <w:bookmarkEnd w:id="3609"/>
      <w:r>
        <w:rPr>
          <w:rtl/>
        </w:rPr>
        <w:t xml:space="preserve">, המספר שהגאון ביקש לבטל את אמירת הסליחות בליל הושענא רבה, שנהגה בווילנה, שכן “שמחת בית השואבה</w:t>
      </w:r>
      <w:bookmarkStart w:id="3610" w:name="_fnr2683"/>
      <w:r>
        <w:rPr>
          <w:rStyle w:val="a5"/>
        </w:rPr>
        <w:footnoteReference w:id="2690" w:customMarkFollows="0"/>
      </w:r>
      <w:bookmarkEnd w:id="3610"/>
      <w:r>
        <w:rPr>
          <w:rtl/>
        </w:rPr>
        <w:t xml:space="preserve"> הייתה נחוגה בביתו בשמחה יתרה בכל ליל הושענא רבה. אלא ששמחתו הועמה כשאדם אחד מת פתאום באותו לילה בביתו במהלך החגיגה, ומאז חדל [לבטל את הסליחות] וחזר בו”. לפי מה שסיפר ר׳ יעקב </w:t>
      </w:r>
      <w:proofErr w:type="spellStart"/>
      <w:r>
        <w:rPr>
          <w:rtl/>
        </w:rPr>
        <w:t>יופן</w:t>
      </w:r>
      <w:proofErr w:type="spellEnd"/>
      <w:r>
        <w:rPr>
          <w:rtl/>
        </w:rPr>
        <w:t xml:space="preserve"> בשם אביו</w:t>
      </w:r>
      <w:bookmarkStart w:id="3611" w:name="_fnr2684"/>
      <w:r>
        <w:rPr>
          <w:rStyle w:val="a5"/>
        </w:rPr>
        <w:footnoteReference w:id="2691" w:customMarkFollows="0"/>
      </w:r>
      <w:bookmarkEnd w:id="3611"/>
      <w:r>
        <w:rPr>
          <w:rtl/>
        </w:rPr>
        <w:t xml:space="preserve"> – “הייתה מסורת אצל זקני ליטא שהגאון סבר ששמחת בית השואבה היא מדאורייתא אפילו בזמן הזה [כשאין מקדש בירושלים]” – עולה שיש להרחיק את אווירת יום הדין שאמירת הסליחות משרה.</w:t>
      </w:r>
    </w:p>
    <w:p w14:paraId="37DE47FC" w14:textId="77777777" w:rsidR="00AB3647" w:rsidRDefault="00000000" w:rsidP="007923E9">
      <w:pPr>
        <w:spacing w:after="120" w:line="276" w:lineRule="auto"/>
        <w:ind w:firstLine="283"/>
        <w:jc w:val="both"/>
      </w:pPr>
      <w:r>
        <w:rPr>
          <w:rtl/>
        </w:rPr>
        <w:t>בעניין זה השווה “לעיתים”</w:t>
      </w:r>
      <w:bookmarkStart w:id="3612" w:name="_fnr2685"/>
      <w:r>
        <w:rPr>
          <w:rStyle w:val="a5"/>
        </w:rPr>
        <w:footnoteReference w:id="2692" w:customMarkFollows="0"/>
      </w:r>
      <w:bookmarkEnd w:id="3612"/>
      <w:r>
        <w:rPr>
          <w:rtl/>
        </w:rPr>
        <w:t xml:space="preserve">, שבו מסביר אבי מדוע הידיעה שהושענא רבה הוא יום דין נמסרה רק ליודעי חכמת הקבלה, והושמטה הן מן הבבלי הן מן הירושלמי, שמהם היה כל יהודי יודע אותה. הוא נוקט את אותו טעם שנתן הגאון להשמטת הסליחות: שלא </w:t>
      </w:r>
      <w:proofErr w:type="spellStart"/>
      <w:r>
        <w:rPr>
          <w:rtl/>
        </w:rPr>
        <w:t>תתמעט</w:t>
      </w:r>
      <w:proofErr w:type="spellEnd"/>
      <w:r>
        <w:rPr>
          <w:rtl/>
        </w:rPr>
        <w:t xml:space="preserve"> שמחת החג מחמת פחד הדין. עוד הוא מסביר שבדורות מאוחרים, בשל הירידה הרוחנית, התמעט פחד ימי הדין עד כדי כך שידיעת מעמדו האמיתי של הושענא רבה כבר לא הייתה מעיבה על שמחת החג, ולכן לא נותר טעם לשמור את הדבר בסוד. רבנו מביא שם דוגמאות לשינויים שעשו חכמי התלמוד כשהדורות נעשו פחות יראי שמים.</w:t>
      </w:r>
    </w:p>
    <w:p w14:paraId="657C5427" w14:textId="77777777" w:rsidR="00AB3647" w:rsidRDefault="00000000" w:rsidP="007923E9">
      <w:pPr>
        <w:spacing w:after="120" w:line="276" w:lineRule="auto"/>
        <w:ind w:firstLine="283"/>
        <w:jc w:val="both"/>
      </w:pPr>
      <w:r>
        <w:rPr>
          <w:rtl/>
        </w:rPr>
        <w:t>השווה גם כרך 2 של “</w:t>
      </w:r>
      <w:proofErr w:type="spellStart"/>
      <w:r>
        <w:rPr>
          <w:rtl/>
        </w:rPr>
        <w:t>דאס</w:t>
      </w:r>
      <w:proofErr w:type="spellEnd"/>
      <w:r>
        <w:rPr>
          <w:rtl/>
        </w:rPr>
        <w:t xml:space="preserve"> </w:t>
      </w:r>
      <w:proofErr w:type="spellStart"/>
      <w:r>
        <w:rPr>
          <w:rtl/>
        </w:rPr>
        <w:t>לעבען</w:t>
      </w:r>
      <w:proofErr w:type="spellEnd"/>
      <w:r>
        <w:rPr>
          <w:rtl/>
        </w:rPr>
        <w:t xml:space="preserve"> און </w:t>
      </w:r>
      <w:proofErr w:type="spellStart"/>
      <w:r>
        <w:rPr>
          <w:rtl/>
        </w:rPr>
        <w:t>שאפען</w:t>
      </w:r>
      <w:proofErr w:type="spellEnd"/>
      <w:r>
        <w:rPr>
          <w:rtl/>
        </w:rPr>
        <w:t xml:space="preserve"> פון חפץ חיים” [חייו ופועלו של </w:t>
      </w:r>
      <w:proofErr w:type="spellStart"/>
      <w:r>
        <w:rPr>
          <w:rtl/>
        </w:rPr>
        <w:t>החפץ־חיים</w:t>
      </w:r>
      <w:proofErr w:type="spellEnd"/>
      <w:r>
        <w:rPr>
          <w:rtl/>
        </w:rPr>
        <w:t>]</w:t>
      </w:r>
      <w:bookmarkStart w:id="3613" w:name="_fnr2686"/>
      <w:r>
        <w:rPr>
          <w:rStyle w:val="a5"/>
        </w:rPr>
        <w:footnoteReference w:id="2693" w:customMarkFollows="0"/>
      </w:r>
      <w:bookmarkEnd w:id="3613"/>
      <w:r>
        <w:rPr>
          <w:rtl/>
        </w:rPr>
        <w:t xml:space="preserve">, האומר: “ר׳ </w:t>
      </w:r>
      <w:proofErr w:type="spellStart"/>
      <w:r>
        <w:rPr>
          <w:rtl/>
        </w:rPr>
        <w:t>יצחק־אייזיק</w:t>
      </w:r>
      <w:proofErr w:type="spellEnd"/>
      <w:r>
        <w:rPr>
          <w:rtl/>
        </w:rPr>
        <w:t xml:space="preserve"> הרצוג מארץ ישראל סיפר לי [הרב משה מאיר ישר], ששמע כי </w:t>
      </w:r>
      <w:r>
        <w:rPr>
          <w:b/>
          <w:bCs/>
          <w:rtl/>
        </w:rPr>
        <w:t>בפעם השנייה</w:t>
      </w:r>
      <w:bookmarkStart w:id="3614" w:name="_fnr2687"/>
      <w:r>
        <w:rPr>
          <w:rStyle w:val="a5"/>
        </w:rPr>
        <w:footnoteReference w:id="2694" w:customMarkFollows="0"/>
      </w:r>
      <w:bookmarkEnd w:id="3614"/>
      <w:r>
        <w:rPr>
          <w:rtl/>
        </w:rPr>
        <w:t xml:space="preserve"> קרא הגאון מווילנה </w:t>
      </w:r>
      <w:proofErr w:type="spellStart"/>
      <w:r>
        <w:rPr>
          <w:rtl/>
        </w:rPr>
        <w:t>לר</w:t>
      </w:r>
      <w:proofErr w:type="spellEnd"/>
      <w:r>
        <w:rPr>
          <w:rtl/>
        </w:rPr>
        <w:t xml:space="preserve">׳ מרדכי כהן, אחד מבני משפחת מיוחסי כהונה בווילנה, והורה לו להיות מוכן לשאת כפיים למחרת בבוקר </w:t>
      </w:r>
      <w:proofErr w:type="spellStart"/>
      <w:r>
        <w:rPr>
          <w:rtl/>
        </w:rPr>
        <w:t>בקלויז</w:t>
      </w:r>
      <w:proofErr w:type="spellEnd"/>
      <w:r>
        <w:rPr>
          <w:rtl/>
        </w:rPr>
        <w:t xml:space="preserve">. אלא שעיכבוהו מן השמים </w:t>
      </w:r>
      <w:r>
        <w:rPr>
          <w:b/>
          <w:bCs/>
          <w:rtl/>
        </w:rPr>
        <w:t>גם הפעם</w:t>
      </w:r>
      <w:r>
        <w:rPr>
          <w:rtl/>
        </w:rPr>
        <w:t xml:space="preserve">, שכן הכוהן מת באותו לילה. מאחר שהדין היה ברור לגאון, שחובה לשאת </w:t>
      </w:r>
      <w:r>
        <w:rPr>
          <w:rtl/>
        </w:rPr>
        <w:lastRenderedPageBreak/>
        <w:t xml:space="preserve">כפיים, הביע ר׳ ישראל </w:t>
      </w:r>
      <w:proofErr w:type="spellStart"/>
      <w:r>
        <w:rPr>
          <w:rtl/>
        </w:rPr>
        <w:t>סלנטר</w:t>
      </w:r>
      <w:proofErr w:type="spellEnd"/>
      <w:r>
        <w:rPr>
          <w:rtl/>
        </w:rPr>
        <w:t xml:space="preserve"> את פליאתו על שחדל מלנסות שוב נוכח [בגלל] האותות שהראוהו מן השמים – שהרי ‘לא בשמיים היא’</w:t>
      </w:r>
      <w:bookmarkStart w:id="3615" w:name="_fnr2688"/>
      <w:r>
        <w:rPr>
          <w:rStyle w:val="a5"/>
        </w:rPr>
        <w:footnoteReference w:id="2695" w:customMarkFollows="0"/>
      </w:r>
      <w:bookmarkEnd w:id="3615"/>
      <w:r>
        <w:rPr>
          <w:rtl/>
        </w:rPr>
        <w:t>”.</w:t>
      </w:r>
    </w:p>
    <w:p w14:paraId="6DB5528D" w14:textId="77777777" w:rsidR="00AB3647" w:rsidRDefault="00000000" w:rsidP="007923E9">
      <w:pPr>
        <w:spacing w:after="120" w:line="276" w:lineRule="auto"/>
        <w:ind w:firstLine="283"/>
        <w:jc w:val="both"/>
      </w:pPr>
      <w:r>
        <w:rPr>
          <w:rtl/>
        </w:rPr>
        <w:t xml:space="preserve">את השרפה שמנעה את נשיאת הכפיים אפשר להבין כמעשה מציתים, וכך אכן הבין אותה אבי. לא כן פרשת מותו של הכוהן, כפי שהיא מצטיירת במסורת הרצוג: אותה יש בהחלט להבין כיד שמים המפריעה לקיום המצווה. ברור שרבנו לא הכיר את סיפור הרצוג. יתרה מזו, אילו ביקר ר׳ ישראל </w:t>
      </w:r>
      <w:proofErr w:type="spellStart"/>
      <w:r>
        <w:rPr>
          <w:rtl/>
        </w:rPr>
        <w:t>סלנטר</w:t>
      </w:r>
      <w:proofErr w:type="spellEnd"/>
      <w:r>
        <w:rPr>
          <w:rtl/>
        </w:rPr>
        <w:t xml:space="preserve"> את הגאון על שנמנע מלפעול לאחר המאורע, כסיפורו של הרב הרצוג, היו מתנגדי המוסר בזמנו של אבי יכולים להביא ראיה חזקה יותר לחוצפתו של </w:t>
      </w:r>
      <w:proofErr w:type="spellStart"/>
      <w:r>
        <w:rPr>
          <w:rtl/>
        </w:rPr>
        <w:t>סלנטר</w:t>
      </w:r>
      <w:proofErr w:type="spellEnd"/>
      <w:r>
        <w:rPr>
          <w:rtl/>
        </w:rPr>
        <w:t xml:space="preserve">, שכן חלק על הגאון מווילנה עצמו, ולא רק על תלמידו ר׳ חיים </w:t>
      </w:r>
      <w:proofErr w:type="spellStart"/>
      <w:r>
        <w:rPr>
          <w:rtl/>
        </w:rPr>
        <w:t>מוולוז׳ין</w:t>
      </w:r>
      <w:proofErr w:type="spellEnd"/>
      <w:r>
        <w:rPr>
          <w:rtl/>
        </w:rPr>
        <w:t>, כפי שמסרה המסורת מימי נעוריו של אבי.</w:t>
      </w:r>
    </w:p>
    <w:p w14:paraId="602CEB20" w14:textId="77777777" w:rsidR="00AB3647" w:rsidRDefault="00000000" w:rsidP="007923E9">
      <w:pPr>
        <w:spacing w:after="120" w:line="276" w:lineRule="auto"/>
        <w:ind w:firstLine="283"/>
        <w:jc w:val="both"/>
      </w:pPr>
      <w:r>
        <w:rPr>
          <w:rtl/>
        </w:rPr>
        <w:t xml:space="preserve">אך סיפור כזה מחזק את ההשערה שהועלתה לעיל. ר׳ חיים התכוון להנהיג נשיאת כפיים בימות החול </w:t>
      </w:r>
      <w:r>
        <w:rPr>
          <w:b/>
          <w:bCs/>
          <w:rtl/>
        </w:rPr>
        <w:t>לאחר</w:t>
      </w:r>
      <w:r>
        <w:rPr>
          <w:rtl/>
        </w:rPr>
        <w:t xml:space="preserve"> שהגאון מווילנה ניסה זאת [לא פעם אחת אלא פעמיים] ונכשל; לכן ודאי הסכים ר׳ חיים עם דעת ר׳ ישראל שהתערבות שמים אינה יכולה למנוע הלכה – אפילו אם רבו הגאון מווילנה סבר אחרת! אם אכן היו לגאון </w:t>
      </w:r>
      <w:r>
        <w:rPr>
          <w:b/>
          <w:bCs/>
          <w:rtl/>
        </w:rPr>
        <w:t>שני</w:t>
      </w:r>
      <w:r>
        <w:rPr>
          <w:rtl/>
        </w:rPr>
        <w:t xml:space="preserve"> ניסיונות להנהיג נשיאת כפיים בימות החול, אפשר להציע [שלא כדיווחו של הרב הרצוג] שהניסיון </w:t>
      </w:r>
      <w:r>
        <w:rPr>
          <w:b/>
          <w:bCs/>
          <w:rtl/>
        </w:rPr>
        <w:t>הראשון</w:t>
      </w:r>
      <w:r>
        <w:rPr>
          <w:rtl/>
        </w:rPr>
        <w:t xml:space="preserve"> הוא שסוכל בידי מלאך המוות, ואחריו ניסה הגאון </w:t>
      </w:r>
      <w:r>
        <w:rPr>
          <w:b/>
          <w:bCs/>
          <w:rtl/>
        </w:rPr>
        <w:t>פעם שנייה</w:t>
      </w:r>
      <w:r>
        <w:rPr>
          <w:rtl/>
        </w:rPr>
        <w:t xml:space="preserve"> – דווקא מפני </w:t>
      </w:r>
      <w:proofErr w:type="spellStart"/>
      <w:r>
        <w:rPr>
          <w:rtl/>
        </w:rPr>
        <w:t>ש“לא</w:t>
      </w:r>
      <w:proofErr w:type="spellEnd"/>
      <w:r>
        <w:rPr>
          <w:rtl/>
        </w:rPr>
        <w:t xml:space="preserve"> בשמיים היא”. לאחר הניסיון </w:t>
      </w:r>
      <w:r>
        <w:rPr>
          <w:b/>
          <w:bCs/>
          <w:rtl/>
        </w:rPr>
        <w:t>השני</w:t>
      </w:r>
      <w:r>
        <w:rPr>
          <w:rtl/>
        </w:rPr>
        <w:t xml:space="preserve"> נעצר הגאון, ואחר כך לא הסתכן בניסיון שלישי, מחשש שהמלשינים “היו מביאים למעצרו שוב”.</w:t>
      </w:r>
    </w:p>
    <w:p w14:paraId="364506DD" w14:textId="77777777" w:rsidR="00AB3647" w:rsidRDefault="00000000" w:rsidP="007923E9">
      <w:pPr>
        <w:spacing w:after="120" w:line="276" w:lineRule="auto"/>
        <w:ind w:firstLine="283"/>
        <w:jc w:val="both"/>
      </w:pPr>
      <w:r>
        <w:rPr>
          <w:rtl/>
        </w:rPr>
        <w:t xml:space="preserve">אבל בשל הסתירה בין מסורת אבי לזו של הרב הרצוג, עלינו להניח שגרסת רבנו נכונה – במיוחד מפני שהסיפור נוגע גם </w:t>
      </w:r>
      <w:proofErr w:type="spellStart"/>
      <w:r>
        <w:rPr>
          <w:rtl/>
        </w:rPr>
        <w:t>לר</w:t>
      </w:r>
      <w:proofErr w:type="spellEnd"/>
      <w:r>
        <w:rPr>
          <w:rtl/>
        </w:rPr>
        <w:t xml:space="preserve">׳ ישראל </w:t>
      </w:r>
      <w:proofErr w:type="spellStart"/>
      <w:r>
        <w:rPr>
          <w:rtl/>
        </w:rPr>
        <w:t>סלנטר</w:t>
      </w:r>
      <w:proofErr w:type="spellEnd"/>
      <w:r>
        <w:rPr>
          <w:rtl/>
        </w:rPr>
        <w:t xml:space="preserve">, ואבי, איש אסכולת המוסר, ידע עליו יותר מהרב הרצוג. אפשר שסיפור הרצוג הוא פשוט שיבוש של סיפור אבי בשתי החלפות פשוטות: הגאון מווילנה בא במקום ר׳ חיים </w:t>
      </w:r>
      <w:proofErr w:type="spellStart"/>
      <w:r>
        <w:rPr>
          <w:rtl/>
        </w:rPr>
        <w:t>מוולוז׳ין</w:t>
      </w:r>
      <w:proofErr w:type="spellEnd"/>
      <w:r>
        <w:rPr>
          <w:rtl/>
        </w:rPr>
        <w:t>, ומלאך המוות במקום האש מן השמים.</w:t>
      </w:r>
    </w:p>
    <w:p w14:paraId="112516C4" w14:textId="77777777" w:rsidR="00AB3647" w:rsidRDefault="00000000" w:rsidP="007923E9">
      <w:pPr>
        <w:pStyle w:val="4"/>
        <w:spacing w:line="276" w:lineRule="auto"/>
      </w:pPr>
      <w:r>
        <w:t>· הפסקה הרביעית ·</w:t>
      </w:r>
    </w:p>
    <w:p w14:paraId="56E725CF" w14:textId="77777777" w:rsidR="00AB3647" w:rsidRDefault="00000000" w:rsidP="007923E9">
      <w:pPr>
        <w:pStyle w:val="5"/>
        <w:spacing w:line="276" w:lineRule="auto"/>
      </w:pPr>
      <w:r>
        <w:t>ר׳ ישראל מקדש את המנהג הרווח</w:t>
      </w:r>
    </w:p>
    <w:p w14:paraId="7CA25069" w14:textId="77777777" w:rsidR="00AB3647" w:rsidRDefault="00000000" w:rsidP="007923E9">
      <w:pPr>
        <w:spacing w:after="120" w:line="276" w:lineRule="auto"/>
        <w:ind w:firstLine="283"/>
        <w:jc w:val="both"/>
      </w:pPr>
      <w:r>
        <w:rPr>
          <w:rtl/>
        </w:rPr>
        <w:t xml:space="preserve">אני מציע שר׳ ישראל כלל לא התכוון לחלוק על ר׳ חיים </w:t>
      </w:r>
      <w:proofErr w:type="spellStart"/>
      <w:r>
        <w:rPr>
          <w:rtl/>
        </w:rPr>
        <w:t>מוולוז׳ין</w:t>
      </w:r>
      <w:proofErr w:type="spellEnd"/>
      <w:r>
        <w:rPr>
          <w:rtl/>
        </w:rPr>
        <w:t xml:space="preserve">, רבו של מורו ר׳ </w:t>
      </w:r>
      <w:proofErr w:type="spellStart"/>
      <w:r>
        <w:rPr>
          <w:rtl/>
        </w:rPr>
        <w:t>יוסף־זונדל</w:t>
      </w:r>
      <w:bookmarkStart w:id="3616" w:name="_fnr2689"/>
      <w:proofErr w:type="spellEnd"/>
      <w:r>
        <w:rPr>
          <w:rStyle w:val="a5"/>
        </w:rPr>
        <w:footnoteReference w:id="2696" w:customMarkFollows="0"/>
      </w:r>
      <w:bookmarkEnd w:id="3616"/>
      <w:r>
        <w:rPr>
          <w:rtl/>
        </w:rPr>
        <w:t xml:space="preserve">, ושאף הוא סבר שאין לשנות מנהגים קיימים. למעשה, ר׳ ישראל החשיב את המנהגים – לפחות בימיו – למקודשים </w:t>
      </w:r>
      <w:r>
        <w:rPr>
          <w:b/>
          <w:bCs/>
          <w:rtl/>
        </w:rPr>
        <w:t>יותר</w:t>
      </w:r>
      <w:r>
        <w:rPr>
          <w:rtl/>
        </w:rPr>
        <w:t xml:space="preserve"> משהחשיב אותם ר׳ חיים. כפי שאמר </w:t>
      </w:r>
      <w:proofErr w:type="spellStart"/>
      <w:r>
        <w:rPr>
          <w:rtl/>
        </w:rPr>
        <w:t>סלנטר</w:t>
      </w:r>
      <w:bookmarkStart w:id="3617" w:name="_fnr2690"/>
      <w:proofErr w:type="spellEnd"/>
      <w:r>
        <w:rPr>
          <w:rStyle w:val="a5"/>
        </w:rPr>
        <w:footnoteReference w:id="2697" w:customMarkFollows="0"/>
      </w:r>
      <w:bookmarkEnd w:id="3617"/>
      <w:r>
        <w:rPr>
          <w:rtl/>
        </w:rPr>
        <w:t xml:space="preserve">: “מה נשאר לנו מן היהדות מלבד מנהגים?!” בהתאם לכך, ר׳ ישראל, </w:t>
      </w:r>
      <w:r>
        <w:rPr>
          <w:b/>
          <w:bCs/>
          <w:rtl/>
        </w:rPr>
        <w:t>שלא כגאון</w:t>
      </w:r>
      <w:r>
        <w:rPr>
          <w:rtl/>
        </w:rPr>
        <w:t xml:space="preserve">, </w:t>
      </w:r>
      <w:r>
        <w:rPr>
          <w:b/>
          <w:bCs/>
          <w:rtl/>
        </w:rPr>
        <w:t>לא היה משפר מנהגים, אפילו במקרים שבהם לא הייתה מתעוררת התנגדות</w:t>
      </w:r>
      <w:bookmarkStart w:id="3618" w:name="_fnr2691"/>
      <w:r>
        <w:rPr>
          <w:rStyle w:val="a5"/>
        </w:rPr>
        <w:footnoteReference w:id="2698" w:customMarkFollows="0"/>
      </w:r>
      <w:bookmarkEnd w:id="3618"/>
      <w:r>
        <w:rPr>
          <w:rtl/>
        </w:rPr>
        <w:t xml:space="preserve">. לכן, כשאמר ר׳ ישראל שאילו סבר שעל פי הדין כוהנים חייבים לעלות לדוכן מדי יום, לא היה שולל את הנהגת הדבר </w:t>
      </w:r>
      <w:r>
        <w:rPr>
          <w:b/>
          <w:bCs/>
          <w:rtl/>
        </w:rPr>
        <w:t>למרות השרפה</w:t>
      </w:r>
      <w:r>
        <w:rPr>
          <w:rtl/>
        </w:rPr>
        <w:t xml:space="preserve"> – ביטא בכך כיצד </w:t>
      </w:r>
      <w:r>
        <w:rPr>
          <w:b/>
          <w:bCs/>
          <w:rtl/>
        </w:rPr>
        <w:t>היה</w:t>
      </w:r>
      <w:r>
        <w:rPr>
          <w:rtl/>
        </w:rPr>
        <w:t xml:space="preserve"> מתייחס לאותות משמים במקרה כזה: אפילו אם אדם </w:t>
      </w:r>
      <w:r>
        <w:rPr>
          <w:b/>
          <w:bCs/>
          <w:rtl/>
        </w:rPr>
        <w:lastRenderedPageBreak/>
        <w:t>מאמין</w:t>
      </w:r>
      <w:r>
        <w:rPr>
          <w:rtl/>
        </w:rPr>
        <w:t xml:space="preserve"> שהשמים מתערבים בהלכה, יש לקיים את ההלכה ולהתעלם מן האות משמים</w:t>
      </w:r>
      <w:bookmarkStart w:id="3619" w:name="_fnr2692"/>
      <w:r>
        <w:rPr>
          <w:rStyle w:val="a5"/>
        </w:rPr>
        <w:footnoteReference w:id="2699" w:customMarkFollows="0"/>
      </w:r>
      <w:bookmarkEnd w:id="3619"/>
      <w:r>
        <w:rPr>
          <w:rtl/>
        </w:rPr>
        <w:t xml:space="preserve">. כך גם לא ירא ר׳ ישראל מפני אנשים שהיו מסוגלים להזיק </w:t>
      </w:r>
      <w:proofErr w:type="spellStart"/>
      <w:r>
        <w:rPr>
          <w:rtl/>
        </w:rPr>
        <w:t>למציקיהם</w:t>
      </w:r>
      <w:proofErr w:type="spellEnd"/>
      <w:r>
        <w:rPr>
          <w:rtl/>
        </w:rPr>
        <w:t xml:space="preserve"> באמצעות קללות, אלא ביקר אותם על כך, כאמור לעיל בפסקה השנייה.</w:t>
      </w:r>
    </w:p>
    <w:p w14:paraId="79F3C0A8" w14:textId="77777777" w:rsidR="00AB3647" w:rsidRDefault="00000000" w:rsidP="007923E9">
      <w:pPr>
        <w:spacing w:after="120" w:line="276" w:lineRule="auto"/>
        <w:ind w:firstLine="283"/>
        <w:jc w:val="both"/>
      </w:pPr>
      <w:r>
        <w:rPr>
          <w:rtl/>
        </w:rPr>
        <w:t xml:space="preserve">בפועל, גם הוא ייחס את השרפה לא לאות שנשלח משמים, אלא למציתים שהתנגדו לשינוי – בדיוק כפי שייחס אותה ר׳ חיים </w:t>
      </w:r>
      <w:proofErr w:type="spellStart"/>
      <w:r>
        <w:rPr>
          <w:rtl/>
        </w:rPr>
        <w:t>מוולוז׳ין</w:t>
      </w:r>
      <w:proofErr w:type="spellEnd"/>
      <w:r>
        <w:rPr>
          <w:rtl/>
        </w:rPr>
        <w:t xml:space="preserve">, לדעת אבי. ולא זו בלבד שר׳ ישראל הסכים עם ר׳ חיים שאין לכפות שינוי מנהג לנוכח התנגדות; למעשה הסכים גם עם “היהודי הזקן” שהתנגד בתוקף לשינוי המנהג הרווח – אף שבוודאי לא הסכים עם האמצעי האלים שבו הביע “היהודי הזקן” את התנגדותו! גם בסיפור על ר׳ לייב חסיד עלה בדעת ר׳ ישראל </w:t>
      </w:r>
      <w:proofErr w:type="spellStart"/>
      <w:r>
        <w:rPr>
          <w:rtl/>
        </w:rPr>
        <w:t>סלנטר</w:t>
      </w:r>
      <w:proofErr w:type="spellEnd"/>
      <w:r>
        <w:rPr>
          <w:rtl/>
        </w:rPr>
        <w:t xml:space="preserve"> שהשרפה לא נגרמה בידי צדיק שנעשה לו עוול וביקש שהשמים יתערבו למענו. ביקורו האישי של </w:t>
      </w:r>
      <w:proofErr w:type="spellStart"/>
      <w:r>
        <w:rPr>
          <w:rtl/>
        </w:rPr>
        <w:t>סלנטר</w:t>
      </w:r>
      <w:proofErr w:type="spellEnd"/>
      <w:r>
        <w:rPr>
          <w:rtl/>
        </w:rPr>
        <w:t xml:space="preserve"> אצלו לאחר מכן הוכיח לו שר׳ לייב לעולם לא יקלל איש – אפילו גוי גס רוח.</w:t>
      </w:r>
    </w:p>
    <w:p w14:paraId="1732D842" w14:textId="77777777" w:rsidR="00AB3647" w:rsidRDefault="00000000" w:rsidP="007923E9">
      <w:pPr>
        <w:pStyle w:val="4"/>
        <w:spacing w:line="276" w:lineRule="auto"/>
      </w:pPr>
      <w:r>
        <w:t>· הפסקה החמישית ·</w:t>
      </w:r>
    </w:p>
    <w:p w14:paraId="149F0CC2" w14:textId="77777777" w:rsidR="00AB3647" w:rsidRDefault="00000000" w:rsidP="007923E9">
      <w:pPr>
        <w:pStyle w:val="5"/>
        <w:spacing w:line="276" w:lineRule="auto"/>
      </w:pPr>
      <w:r>
        <w:t xml:space="preserve">חצי שנה לפני פטירתו מבקר ר׳ ישראל אצל ר׳ לייב </w:t>
      </w:r>
      <w:proofErr w:type="spellStart"/>
      <w:r>
        <w:t>בקלם</w:t>
      </w:r>
      <w:proofErr w:type="spellEnd"/>
      <w:r>
        <w:t xml:space="preserve"> – </w:t>
      </w:r>
      <w:proofErr w:type="spellStart"/>
      <w:r>
        <w:t>אי־הבנה</w:t>
      </w:r>
      <w:proofErr w:type="spellEnd"/>
      <w:r>
        <w:t xml:space="preserve"> קלה בין השניים – ר׳ לייב שובר ומפנה את הקרח מסביב לבאר הציבורית – הוא מלווה סנדלר אל מחוץ לביתו</w:t>
      </w:r>
    </w:p>
    <w:p w14:paraId="34B92B78" w14:textId="77777777" w:rsidR="00AB3647" w:rsidRDefault="00000000" w:rsidP="007923E9">
      <w:pPr>
        <w:spacing w:after="120" w:line="276" w:lineRule="auto"/>
        <w:ind w:firstLine="283"/>
        <w:jc w:val="both"/>
      </w:pPr>
      <w:r>
        <w:rPr>
          <w:rtl/>
        </w:rPr>
        <w:t xml:space="preserve">בגיליון “שערי ציון” שהוקדש </w:t>
      </w:r>
      <w:proofErr w:type="spellStart"/>
      <w:r>
        <w:rPr>
          <w:rtl/>
        </w:rPr>
        <w:t>לר</w:t>
      </w:r>
      <w:proofErr w:type="spellEnd"/>
      <w:r>
        <w:rPr>
          <w:rtl/>
        </w:rPr>
        <w:t xml:space="preserve">׳ ישראל </w:t>
      </w:r>
      <w:proofErr w:type="spellStart"/>
      <w:r>
        <w:rPr>
          <w:rtl/>
        </w:rPr>
        <w:t>סלנטר</w:t>
      </w:r>
      <w:proofErr w:type="spellEnd"/>
      <w:r>
        <w:rPr>
          <w:rtl/>
        </w:rPr>
        <w:t xml:space="preserve"> במלאות חמישים שנה לפטירתו</w:t>
      </w:r>
      <w:bookmarkStart w:id="3620" w:name="_fnr2693"/>
      <w:r>
        <w:rPr>
          <w:rStyle w:val="a5"/>
        </w:rPr>
        <w:footnoteReference w:id="2700" w:customMarkFollows="0"/>
      </w:r>
      <w:bookmarkEnd w:id="3620"/>
      <w:r>
        <w:rPr>
          <w:rtl/>
        </w:rPr>
        <w:t xml:space="preserve">, מספר ר׳ </w:t>
      </w:r>
      <w:proofErr w:type="spellStart"/>
      <w:r>
        <w:rPr>
          <w:rtl/>
        </w:rPr>
        <w:t>בן־ציון</w:t>
      </w:r>
      <w:proofErr w:type="spellEnd"/>
      <w:r>
        <w:rPr>
          <w:rtl/>
        </w:rPr>
        <w:t xml:space="preserve"> אלפס על ביקורו של </w:t>
      </w:r>
      <w:proofErr w:type="spellStart"/>
      <w:r>
        <w:rPr>
          <w:rtl/>
        </w:rPr>
        <w:t>סלנטר</w:t>
      </w:r>
      <w:proofErr w:type="spellEnd"/>
      <w:r>
        <w:rPr>
          <w:rtl/>
        </w:rPr>
        <w:t xml:space="preserve"> </w:t>
      </w:r>
      <w:proofErr w:type="spellStart"/>
      <w:r>
        <w:rPr>
          <w:rtl/>
        </w:rPr>
        <w:t>בקלם</w:t>
      </w:r>
      <w:proofErr w:type="spellEnd"/>
      <w:r>
        <w:rPr>
          <w:rtl/>
        </w:rPr>
        <w:t xml:space="preserve"> לפגוש את ר׳ לייב חסיד. לפי תיאור העורך, ר׳ </w:t>
      </w:r>
      <w:proofErr w:type="spellStart"/>
      <w:r>
        <w:rPr>
          <w:rtl/>
        </w:rPr>
        <w:t>בן־ציון</w:t>
      </w:r>
      <w:proofErr w:type="spellEnd"/>
      <w:r>
        <w:rPr>
          <w:rtl/>
        </w:rPr>
        <w:t xml:space="preserve"> היה “מזקני הדור שזכה לראות את פני ר׳ ישראל וליהנות מזיו קדושתו </w:t>
      </w:r>
      <w:proofErr w:type="spellStart"/>
      <w:r>
        <w:rPr>
          <w:rtl/>
        </w:rPr>
        <w:t>וחכמתו</w:t>
      </w:r>
      <w:proofErr w:type="spellEnd"/>
      <w:r>
        <w:rPr>
          <w:rtl/>
        </w:rPr>
        <w:t xml:space="preserve">”. את זמן הפגישה אפשר לקבוע בדרך השלילה. היא לא הייתה יכולה להתרחש בין תרכ״ו </w:t>
      </w:r>
      <w:proofErr w:type="spellStart"/>
      <w:r>
        <w:rPr>
          <w:rtl/>
        </w:rPr>
        <w:t>לתר״מ</w:t>
      </w:r>
      <w:proofErr w:type="spellEnd"/>
      <w:r>
        <w:rPr>
          <w:rtl/>
        </w:rPr>
        <w:t xml:space="preserve">, משום שר׳ ישראל לא ביקר </w:t>
      </w:r>
      <w:proofErr w:type="spellStart"/>
      <w:r>
        <w:rPr>
          <w:rtl/>
        </w:rPr>
        <w:t>בקלם</w:t>
      </w:r>
      <w:proofErr w:type="spellEnd"/>
      <w:r>
        <w:rPr>
          <w:rtl/>
        </w:rPr>
        <w:t xml:space="preserve"> בשנים שבהן היה שם בית מדרשו של ר׳ </w:t>
      </w:r>
      <w:proofErr w:type="spellStart"/>
      <w:r>
        <w:rPr>
          <w:rtl/>
        </w:rPr>
        <w:t>שמחה־זיסל</w:t>
      </w:r>
      <w:bookmarkStart w:id="3621" w:name="_fnr2694"/>
      <w:proofErr w:type="spellEnd"/>
      <w:r>
        <w:rPr>
          <w:rStyle w:val="a5"/>
        </w:rPr>
        <w:footnoteReference w:id="2701" w:customMarkFollows="0"/>
      </w:r>
      <w:bookmarkEnd w:id="3621"/>
      <w:r>
        <w:rPr>
          <w:rtl/>
        </w:rPr>
        <w:t xml:space="preserve">. גם </w:t>
      </w:r>
      <w:r>
        <w:rPr>
          <w:b/>
          <w:bCs/>
          <w:rtl/>
        </w:rPr>
        <w:t>לפני</w:t>
      </w:r>
      <w:r>
        <w:rPr>
          <w:rtl/>
        </w:rPr>
        <w:t xml:space="preserve"> תרכ״ו לא הייתה יכולה להתרחש: ר׳ לייב היה אז לכל היותר בן ארבעים ושתיים [ולא התחיל ללמוד תורה ברצינות עד לאחר נישואיו, כאמור לעיל בפסקה הראשונה] ועוד לא עשה לו שם, ור׳ ישראל לא היה יוצא </w:t>
      </w:r>
      <w:proofErr w:type="spellStart"/>
      <w:r>
        <w:rPr>
          <w:rtl/>
        </w:rPr>
        <w:t>לפגשו</w:t>
      </w:r>
      <w:proofErr w:type="spellEnd"/>
      <w:r>
        <w:rPr>
          <w:rtl/>
        </w:rPr>
        <w:t xml:space="preserve">. גם תשובותיו של ר׳ </w:t>
      </w:r>
      <w:proofErr w:type="spellStart"/>
      <w:r>
        <w:rPr>
          <w:rtl/>
        </w:rPr>
        <w:t>יוסף־זכריה</w:t>
      </w:r>
      <w:proofErr w:type="spellEnd"/>
      <w:r>
        <w:rPr>
          <w:rtl/>
        </w:rPr>
        <w:t xml:space="preserve"> שטרן אליו, שנזכרו לעיל בפסקה הראשונה, מתחילות רק </w:t>
      </w:r>
      <w:proofErr w:type="spellStart"/>
      <w:r>
        <w:rPr>
          <w:rtl/>
        </w:rPr>
        <w:t>אחת־עשרה</w:t>
      </w:r>
      <w:proofErr w:type="spellEnd"/>
      <w:r>
        <w:rPr>
          <w:rtl/>
        </w:rPr>
        <w:t xml:space="preserve"> שנים לאחר מכן, </w:t>
      </w:r>
      <w:proofErr w:type="spellStart"/>
      <w:r>
        <w:rPr>
          <w:rtl/>
        </w:rPr>
        <w:t>בתרל״ה</w:t>
      </w:r>
      <w:bookmarkStart w:id="3622" w:name="_fnr2695"/>
      <w:bookmarkEnd w:id="3622"/>
      <w:proofErr w:type="spellEnd"/>
      <w:r>
        <w:rPr>
          <w:rStyle w:val="a5"/>
        </w:rPr>
        <w:t/>
      </w:r>
      <w:bookmarkStart w:id="7031" w:name="_TranslatorNote_2694"/>
      <w:r>
        <w:rPr>
          <w:rStyle w:val="a5"/>
          <w:vertAlign w:val="superscript"/>
          <w:rtl/>
        </w:rPr>
        <w:footnoteReference w:id="2702" w:customMarkFollows="1"/>
        <w:t>*</w:t>
      </w:r>
      <w:bookmarkEnd w:id="7031"/>
      <w:r>
        <w:rPr>
          <w:rtl/>
        </w:rPr>
        <w:t>.</w:t>
      </w:r>
    </w:p>
    <w:p w14:paraId="3EC56EE3" w14:textId="77777777" w:rsidR="00AB3647" w:rsidRDefault="00000000" w:rsidP="007923E9">
      <w:pPr>
        <w:spacing w:after="120" w:line="276" w:lineRule="auto"/>
        <w:ind w:firstLine="283"/>
        <w:jc w:val="both"/>
      </w:pPr>
      <w:r>
        <w:rPr>
          <w:rtl/>
        </w:rPr>
        <w:t xml:space="preserve">הפגישה ודאי הייתה </w:t>
      </w:r>
      <w:r>
        <w:rPr>
          <w:b/>
          <w:bCs/>
          <w:rtl/>
        </w:rPr>
        <w:t>לאחר</w:t>
      </w:r>
      <w:r>
        <w:rPr>
          <w:rtl/>
        </w:rPr>
        <w:t xml:space="preserve"> תר״מ. אז היה ר׳ משה </w:t>
      </w:r>
      <w:proofErr w:type="spellStart"/>
      <w:r>
        <w:rPr>
          <w:rtl/>
        </w:rPr>
        <w:t>ברלוביץ</w:t>
      </w:r>
      <w:proofErr w:type="spellEnd"/>
      <w:r>
        <w:rPr>
          <w:rtl/>
        </w:rPr>
        <w:t xml:space="preserve">, מארחו של ר׳ לייב </w:t>
      </w:r>
      <w:proofErr w:type="spellStart"/>
      <w:r>
        <w:rPr>
          <w:rtl/>
        </w:rPr>
        <w:t>בציטוביאן</w:t>
      </w:r>
      <w:proofErr w:type="spellEnd"/>
      <w:r>
        <w:rPr>
          <w:rtl/>
        </w:rPr>
        <w:t xml:space="preserve"> בקיץ, בן שלושים, ואשתו </w:t>
      </w:r>
      <w:proofErr w:type="spellStart"/>
      <w:r>
        <w:rPr>
          <w:rtl/>
        </w:rPr>
        <w:t>גוטל</w:t>
      </w:r>
      <w:proofErr w:type="spellEnd"/>
      <w:r>
        <w:rPr>
          <w:rtl/>
        </w:rPr>
        <w:t xml:space="preserve"> – שהייתה צעירה דיה כדי ללדת את בתה הצעירה ביותר שלושים ואחת שנים אחר כך, </w:t>
      </w:r>
      <w:proofErr w:type="spellStart"/>
      <w:r>
        <w:rPr>
          <w:rtl/>
        </w:rPr>
        <w:t>בתרע״א</w:t>
      </w:r>
      <w:proofErr w:type="spellEnd"/>
      <w:r>
        <w:rPr>
          <w:rtl/>
        </w:rPr>
        <w:t xml:space="preserve"> – הייתה אז צעירה, אך בגיל נישואין: בת </w:t>
      </w:r>
      <w:proofErr w:type="spellStart"/>
      <w:r>
        <w:rPr>
          <w:rtl/>
        </w:rPr>
        <w:t>שש־עשרה</w:t>
      </w:r>
      <w:proofErr w:type="spellEnd"/>
      <w:r>
        <w:rPr>
          <w:rtl/>
        </w:rPr>
        <w:t xml:space="preserve"> או </w:t>
      </w:r>
      <w:proofErr w:type="spellStart"/>
      <w:r>
        <w:rPr>
          <w:rtl/>
        </w:rPr>
        <w:t>שבע־עשרה</w:t>
      </w:r>
      <w:bookmarkStart w:id="3623" w:name="_fnr2696"/>
      <w:proofErr w:type="spellEnd"/>
      <w:r>
        <w:rPr>
          <w:rStyle w:val="a5"/>
        </w:rPr>
        <w:footnoteReference w:id="2703" w:customMarkFollows="0"/>
      </w:r>
      <w:bookmarkEnd w:id="3623"/>
      <w:r>
        <w:rPr>
          <w:rtl/>
        </w:rPr>
        <w:t xml:space="preserve">. ר׳ ישראל חי בפריז למעלה משנתיים החל </w:t>
      </w:r>
      <w:proofErr w:type="spellStart"/>
      <w:r>
        <w:rPr>
          <w:rtl/>
        </w:rPr>
        <w:t>מתר״מ</w:t>
      </w:r>
      <w:proofErr w:type="spellEnd"/>
      <w:r>
        <w:rPr>
          <w:rtl/>
        </w:rPr>
        <w:t>, חזר לליטא לפגישות בקובנה עם בני משפחה, תלמידים ואישי ציבור</w:t>
      </w:r>
      <w:bookmarkStart w:id="3624" w:name="_fnr2697"/>
      <w:r>
        <w:rPr>
          <w:rStyle w:val="a5"/>
        </w:rPr>
        <w:footnoteReference w:id="2704" w:customMarkFollows="0"/>
      </w:r>
      <w:bookmarkEnd w:id="3624"/>
      <w:r>
        <w:rPr>
          <w:rtl/>
        </w:rPr>
        <w:t xml:space="preserve"> בקיץ תרמ״ב, ואחר כך, לפני ראש השנה </w:t>
      </w:r>
      <w:r>
        <w:rPr>
          <w:rtl/>
        </w:rPr>
        <w:lastRenderedPageBreak/>
        <w:t>תרמ״ג</w:t>
      </w:r>
      <w:bookmarkStart w:id="3625" w:name="_fnr2698"/>
      <w:r>
        <w:rPr>
          <w:rStyle w:val="a5"/>
        </w:rPr>
        <w:footnoteReference w:id="2705" w:customMarkFollows="0"/>
      </w:r>
      <w:bookmarkEnd w:id="3625"/>
      <w:r>
        <w:rPr>
          <w:rtl/>
        </w:rPr>
        <w:t xml:space="preserve">, יצא לקניגסברג [שם נפטר באותו חורף]. מכאן אפשר להסיק שהפגישה </w:t>
      </w:r>
      <w:proofErr w:type="spellStart"/>
      <w:r>
        <w:rPr>
          <w:rtl/>
        </w:rPr>
        <w:t>בקלם</w:t>
      </w:r>
      <w:proofErr w:type="spellEnd"/>
      <w:r>
        <w:rPr>
          <w:rtl/>
        </w:rPr>
        <w:t xml:space="preserve"> בין שני הצדיקים התרחשה בשלהי קיץ תרמ״ב, בדרכו של ר׳ ישראל מקובנה לקניגסברג.</w:t>
      </w:r>
    </w:p>
    <w:p w14:paraId="373BE191" w14:textId="45937FBC" w:rsidR="00AB3647" w:rsidRDefault="00000000" w:rsidP="007923E9">
      <w:pPr>
        <w:spacing w:after="120" w:line="276" w:lineRule="auto"/>
        <w:ind w:firstLine="283"/>
        <w:jc w:val="both"/>
      </w:pPr>
      <w:r>
        <w:rPr>
          <w:rtl/>
        </w:rPr>
        <w:t xml:space="preserve">כפי שהוסבר, פגישה זו באה </w:t>
      </w:r>
      <w:r>
        <w:rPr>
          <w:b/>
          <w:bCs/>
          <w:rtl/>
        </w:rPr>
        <w:t>בעקבות</w:t>
      </w:r>
      <w:r>
        <w:rPr>
          <w:rtl/>
        </w:rPr>
        <w:t xml:space="preserve"> שיחותיו עם תלמידיו בקובנה בעניין קללתו של ר׳ לייב, שלכאורה פעלה את פעולתה, כמתועד </w:t>
      </w:r>
      <w:proofErr w:type="spellStart"/>
      <w:r>
        <w:rPr>
          <w:rtl/>
        </w:rPr>
        <w:t>ב“אור</w:t>
      </w:r>
      <w:proofErr w:type="spellEnd"/>
      <w:r>
        <w:rPr>
          <w:rtl/>
        </w:rPr>
        <w:t xml:space="preserve"> ישראל” – </w:t>
      </w:r>
      <w:r>
        <w:rPr>
          <w:b/>
          <w:bCs/>
          <w:rtl/>
        </w:rPr>
        <w:t>ומיד לאחר השיחות הללו</w:t>
      </w:r>
      <w:r>
        <w:rPr>
          <w:rtl/>
        </w:rPr>
        <w:t>.</w:t>
      </w:r>
      <w:bookmarkStart w:id="3626" w:name="_fnr2699"/>
      <w:r>
        <w:rPr>
          <w:rStyle w:val="a5"/>
        </w:rPr>
        <w:footnoteReference w:id="2706" w:customMarkFollows="0"/>
      </w:r>
      <w:bookmarkEnd w:id="3626"/>
      <w:r>
        <w:rPr>
          <w:rtl/>
        </w:rPr>
        <w:t xml:space="preserve"> השרפה שיוחסה לקללה אירעה בקיץ תרמ״א, כשהיה ר׳ משה </w:t>
      </w:r>
      <w:proofErr w:type="spellStart"/>
      <w:r>
        <w:rPr>
          <w:rtl/>
        </w:rPr>
        <w:t>ברלוביץ</w:t>
      </w:r>
      <w:proofErr w:type="spellEnd"/>
      <w:r>
        <w:rPr>
          <w:rtl/>
        </w:rPr>
        <w:t xml:space="preserve"> בן שלושים ואחת, או – מסתבר יותר – בקיץ תרמ״ב, </w:t>
      </w:r>
      <w:r>
        <w:rPr>
          <w:b/>
          <w:bCs/>
          <w:rtl/>
        </w:rPr>
        <w:t>ממש בעת</w:t>
      </w:r>
      <w:r>
        <w:rPr>
          <w:rtl/>
        </w:rPr>
        <w:t xml:space="preserve"> בואו של ר׳ ישראל לקובנה. אז היה </w:t>
      </w:r>
      <w:proofErr w:type="spellStart"/>
      <w:r>
        <w:rPr>
          <w:rtl/>
        </w:rPr>
        <w:t>ה“נס</w:t>
      </w:r>
      <w:proofErr w:type="spellEnd"/>
      <w:r>
        <w:rPr>
          <w:rtl/>
        </w:rPr>
        <w:t xml:space="preserve">” שגילה ר׳ משה הפשוט, עושה הזפת, חדשות טריות ונושא לשיחה! השווה גם סוף </w:t>
      </w:r>
      <w:r>
        <w:rPr>
          <w:rtl/>
        </w:rPr>
        <w:fldChar w:fldCharType="begin" w:dirty="true"/>
      </w:r>
      <w:r>
        <w:rPr>
          <w:rtl/>
        </w:rPr>
        <w:instrText xml:space="preserve"> REF b3_excD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ד</w:t>
      </w:r>
      <w:r>
        <w:rPr>
          <w:rtl/>
        </w:rPr>
        <w:fldChar w:fldCharType="end"/>
      </w:r>
      <w:r>
        <w:rPr>
          <w:rtl/>
        </w:rPr>
        <w:t xml:space="preserve"> לעיל, שבקיץ תרמ״ב פגש הסבא </w:t>
      </w:r>
      <w:proofErr w:type="spellStart"/>
      <w:r>
        <w:rPr>
          <w:rtl/>
        </w:rPr>
        <w:t>מסלבודקה</w:t>
      </w:r>
      <w:proofErr w:type="spellEnd"/>
      <w:r>
        <w:rPr>
          <w:rtl/>
        </w:rPr>
        <w:t xml:space="preserve"> את ר׳ ישראל בפעם היחידה.</w:t>
      </w:r>
    </w:p>
    <w:p w14:paraId="0F494F1F" w14:textId="77777777" w:rsidR="00AB3647" w:rsidRDefault="00000000" w:rsidP="007923E9">
      <w:pPr>
        <w:spacing w:after="120" w:line="276" w:lineRule="auto"/>
        <w:ind w:firstLine="283"/>
        <w:jc w:val="both"/>
      </w:pPr>
      <w:r>
        <w:rPr>
          <w:rtl/>
        </w:rPr>
        <w:t xml:space="preserve">ר׳ </w:t>
      </w:r>
      <w:proofErr w:type="spellStart"/>
      <w:r>
        <w:rPr>
          <w:rtl/>
        </w:rPr>
        <w:t>בן־ציון</w:t>
      </w:r>
      <w:proofErr w:type="spellEnd"/>
      <w:r>
        <w:rPr>
          <w:rtl/>
        </w:rPr>
        <w:t xml:space="preserve"> אלפס מתאר את ראשית המפגש בין שני הצדיקים כך: “החסיד ר׳ לייב, שלא הכיר את מראהו של רבנו ר׳ ישראל, הכין את עצמו ללכת לקבל את פני רבנו; אלא שרבנו הקדימו ובא [לביתו] לראותו תחילה. החסיד התנצל לפני אורחו [שלא זוהה] שאינו יכול להקדיש לו זמן רב, שכן הוא מתכונן ללכת לקבל את פני ‘הגאון הגדול ר׳ ישראל </w:t>
      </w:r>
      <w:proofErr w:type="spellStart"/>
      <w:r>
        <w:rPr>
          <w:rtl/>
        </w:rPr>
        <w:t>מסלנט</w:t>
      </w:r>
      <w:proofErr w:type="spellEnd"/>
      <w:r>
        <w:rPr>
          <w:rtl/>
        </w:rPr>
        <w:t>’. כששמע רבנו שהחסיד מכנה אותו ‘גאון גדול’, מלמל לעצמו: ‘גאון? ועוד גדול?!’ החסיד שמע זאת והתחנן בפניו שלא ידבר כך, שכן הוא פוגע בכבוד רבנו”.</w:t>
      </w:r>
    </w:p>
    <w:p w14:paraId="0A6D0AC4" w14:textId="77777777" w:rsidR="00AB3647" w:rsidRDefault="00000000" w:rsidP="007923E9">
      <w:pPr>
        <w:spacing w:after="120" w:line="276" w:lineRule="auto"/>
        <w:ind w:firstLine="283"/>
        <w:jc w:val="both"/>
      </w:pPr>
      <w:r>
        <w:rPr>
          <w:rtl/>
        </w:rPr>
        <w:t xml:space="preserve">סיפור דומה על ר׳ לייב סיפר ר׳ קופל </w:t>
      </w:r>
      <w:proofErr w:type="spellStart"/>
      <w:r>
        <w:rPr>
          <w:rtl/>
        </w:rPr>
        <w:t>וולפרט</w:t>
      </w:r>
      <w:bookmarkStart w:id="3627" w:name="_fnr2700"/>
      <w:proofErr w:type="spellEnd"/>
      <w:r>
        <w:rPr>
          <w:rStyle w:val="a5"/>
        </w:rPr>
        <w:footnoteReference w:id="2707" w:customMarkFollows="0"/>
      </w:r>
      <w:bookmarkEnd w:id="3627"/>
      <w:r>
        <w:rPr>
          <w:rtl/>
        </w:rPr>
        <w:t xml:space="preserve">. שאלתי את ר׳ קופל, יליד קלם, אם הוא מכיר סיפורים על ר׳ לייב, והוא סיפר שלושה סיפורים על “ר׳ </w:t>
      </w:r>
      <w:proofErr w:type="spellStart"/>
      <w:r>
        <w:rPr>
          <w:rtl/>
        </w:rPr>
        <w:t>לייבל׳ה</w:t>
      </w:r>
      <w:proofErr w:type="spellEnd"/>
      <w:r>
        <w:rPr>
          <w:rtl/>
        </w:rPr>
        <w:t xml:space="preserve">”: אחד שסיפר לו אבי, ושניים מפי אביו שלו, “שהכיר את ר׳ </w:t>
      </w:r>
      <w:proofErr w:type="spellStart"/>
      <w:r>
        <w:rPr>
          <w:rtl/>
        </w:rPr>
        <w:t>לייבל׳ה</w:t>
      </w:r>
      <w:proofErr w:type="spellEnd"/>
      <w:r>
        <w:rPr>
          <w:rtl/>
        </w:rPr>
        <w:t xml:space="preserve"> אישית”.</w:t>
      </w:r>
    </w:p>
    <w:p w14:paraId="1442C504" w14:textId="77777777" w:rsidR="00AB3647" w:rsidRDefault="00000000" w:rsidP="007923E9">
      <w:pPr>
        <w:spacing w:after="120" w:line="276" w:lineRule="auto"/>
        <w:ind w:firstLine="283"/>
        <w:jc w:val="both"/>
      </w:pPr>
      <w:r>
        <w:rPr>
          <w:rtl/>
        </w:rPr>
        <w:t xml:space="preserve">סיפורו של אבי היה שר׳ </w:t>
      </w:r>
      <w:proofErr w:type="spellStart"/>
      <w:r>
        <w:rPr>
          <w:rtl/>
        </w:rPr>
        <w:t>מאיר־שמחה</w:t>
      </w:r>
      <w:proofErr w:type="spellEnd"/>
      <w:r>
        <w:rPr>
          <w:rtl/>
        </w:rPr>
        <w:t xml:space="preserve"> כהן, רב </w:t>
      </w:r>
      <w:proofErr w:type="spellStart"/>
      <w:r>
        <w:rPr>
          <w:rtl/>
        </w:rPr>
        <w:t>דווינסק</w:t>
      </w:r>
      <w:proofErr w:type="spellEnd"/>
      <w:r>
        <w:rPr>
          <w:rtl/>
        </w:rPr>
        <w:t xml:space="preserve"> לאחר תרמ״ח, בא לבקר את ר׳ לייב. החסיד, שציפה לאורחו בשעה מסוימת, לבש את בגדי יום טוב שלו וניקה את ביתו זמן רב מראש, ור׳ </w:t>
      </w:r>
      <w:proofErr w:type="spellStart"/>
      <w:r>
        <w:rPr>
          <w:rtl/>
        </w:rPr>
        <w:t>מאיר־שמחה</w:t>
      </w:r>
      <w:proofErr w:type="spellEnd"/>
      <w:r>
        <w:rPr>
          <w:rtl/>
        </w:rPr>
        <w:t xml:space="preserve"> הגיע מוקדם. עוד לפני שהציג המבקר את עצמו, שאל את מארחו מדוע הוא לבוש בהידור כזה. ר׳ לייב השיב: “הגאון </w:t>
      </w:r>
      <w:proofErr w:type="spellStart"/>
      <w:r>
        <w:rPr>
          <w:rtl/>
        </w:rPr>
        <w:t>מדווינסק</w:t>
      </w:r>
      <w:proofErr w:type="spellEnd"/>
      <w:r>
        <w:rPr>
          <w:rtl/>
        </w:rPr>
        <w:t xml:space="preserve"> בא לבקרני”. האורח השיב: “כוונתך </w:t>
      </w:r>
      <w:proofErr w:type="spellStart"/>
      <w:r>
        <w:rPr>
          <w:rtl/>
        </w:rPr>
        <w:t>לר</w:t>
      </w:r>
      <w:proofErr w:type="spellEnd"/>
      <w:r>
        <w:rPr>
          <w:rtl/>
        </w:rPr>
        <w:t xml:space="preserve">׳ </w:t>
      </w:r>
      <w:proofErr w:type="spellStart"/>
      <w:r>
        <w:rPr>
          <w:rtl/>
        </w:rPr>
        <w:t>מאיר־שמחה</w:t>
      </w:r>
      <w:proofErr w:type="spellEnd"/>
      <w:r>
        <w:rPr>
          <w:rtl/>
        </w:rPr>
        <w:t xml:space="preserve">?! הוא אינו גאון גדול כל כך”. ר׳ לייב הגיב בחריפות: “ניט איך </w:t>
      </w:r>
      <w:proofErr w:type="spellStart"/>
      <w:r>
        <w:rPr>
          <w:rtl/>
        </w:rPr>
        <w:t>קען</w:t>
      </w:r>
      <w:proofErr w:type="spellEnd"/>
      <w:r>
        <w:rPr>
          <w:rtl/>
        </w:rPr>
        <w:t xml:space="preserve"> אייך, ניט איך ווייס אייך [איני מכיר אותך ואיני יודע מי אתה]; אבל אם אתה מעז להמעיט בערכו של הגאון </w:t>
      </w:r>
      <w:proofErr w:type="spellStart"/>
      <w:r>
        <w:rPr>
          <w:rtl/>
        </w:rPr>
        <w:t>מדווינסק</w:t>
      </w:r>
      <w:proofErr w:type="spellEnd"/>
      <w:r>
        <w:rPr>
          <w:rtl/>
        </w:rPr>
        <w:t>, איני רוצה לדבר אתך!” בדיוק אז נכנס אדם שהכיר את האור שמח וברכו לשלום, ור׳ לייב כרע על ברכיו לבקש מחילה.</w:t>
      </w:r>
    </w:p>
    <w:p w14:paraId="608CECB0" w14:textId="77777777" w:rsidR="00AB3647" w:rsidRDefault="00000000" w:rsidP="007923E9">
      <w:pPr>
        <w:spacing w:after="120" w:line="276" w:lineRule="auto"/>
        <w:ind w:firstLine="283"/>
        <w:jc w:val="both"/>
      </w:pPr>
      <w:r>
        <w:rPr>
          <w:rtl/>
        </w:rPr>
        <w:t xml:space="preserve">נראה שר׳ </w:t>
      </w:r>
      <w:proofErr w:type="spellStart"/>
      <w:r>
        <w:rPr>
          <w:rtl/>
        </w:rPr>
        <w:t>בן־ציון</w:t>
      </w:r>
      <w:proofErr w:type="spellEnd"/>
      <w:r>
        <w:rPr>
          <w:rtl/>
        </w:rPr>
        <w:t xml:space="preserve"> אלפס לא ידע מה אירע </w:t>
      </w:r>
      <w:r>
        <w:rPr>
          <w:b/>
          <w:bCs/>
          <w:rtl/>
        </w:rPr>
        <w:t>לאחר</w:t>
      </w:r>
      <w:r>
        <w:rPr>
          <w:rtl/>
        </w:rPr>
        <w:t xml:space="preserve"> </w:t>
      </w:r>
      <w:proofErr w:type="spellStart"/>
      <w:r>
        <w:rPr>
          <w:rtl/>
        </w:rPr>
        <w:t>אי־ההבנה</w:t>
      </w:r>
      <w:proofErr w:type="spellEnd"/>
      <w:r>
        <w:rPr>
          <w:rtl/>
        </w:rPr>
        <w:t xml:space="preserve"> הראשונית בין ר׳ ישראל </w:t>
      </w:r>
      <w:proofErr w:type="spellStart"/>
      <w:r>
        <w:rPr>
          <w:rtl/>
        </w:rPr>
        <w:t>לר</w:t>
      </w:r>
      <w:proofErr w:type="spellEnd"/>
      <w:r>
        <w:rPr>
          <w:rtl/>
        </w:rPr>
        <w:t xml:space="preserve">׳ לייב. אבל אני בטוח שר׳ ישראל חיבב את ר׳ לייב, הן בשל גישתו המקורית לקבלת אורחים, שתוארה בראש נספח זה [ובביקורו של ר׳ </w:t>
      </w:r>
      <w:proofErr w:type="spellStart"/>
      <w:r>
        <w:rPr>
          <w:rtl/>
        </w:rPr>
        <w:t>מאיר־שמחה</w:t>
      </w:r>
      <w:proofErr w:type="spellEnd"/>
      <w:r>
        <w:rPr>
          <w:rtl/>
        </w:rPr>
        <w:t>], הן בשל התחשבותו המופלגת בבריות ואחריותו הציבורית.</w:t>
      </w:r>
    </w:p>
    <w:p w14:paraId="19610BA9" w14:textId="77777777" w:rsidR="00AB3647" w:rsidRDefault="00000000" w:rsidP="007923E9">
      <w:pPr>
        <w:spacing w:after="120" w:line="276" w:lineRule="auto"/>
        <w:ind w:firstLine="283"/>
        <w:jc w:val="both"/>
      </w:pPr>
      <w:r>
        <w:rPr>
          <w:rtl/>
        </w:rPr>
        <w:lastRenderedPageBreak/>
        <w:t xml:space="preserve">את התחשבותו ואחריותו ממחיש אחד משני הסיפורים על ר׳ לייב חסיד שסיפר ר׳ קופל </w:t>
      </w:r>
      <w:proofErr w:type="spellStart"/>
      <w:r>
        <w:rPr>
          <w:rtl/>
        </w:rPr>
        <w:t>וולפרט</w:t>
      </w:r>
      <w:proofErr w:type="spellEnd"/>
      <w:r>
        <w:rPr>
          <w:rtl/>
        </w:rPr>
        <w:t xml:space="preserve"> בשם אביו. וזה לשונו: “ר׳ </w:t>
      </w:r>
      <w:proofErr w:type="spellStart"/>
      <w:r>
        <w:rPr>
          <w:rtl/>
        </w:rPr>
        <w:t>לייבל׳ה</w:t>
      </w:r>
      <w:proofErr w:type="spellEnd"/>
      <w:r>
        <w:rPr>
          <w:rtl/>
        </w:rPr>
        <w:t xml:space="preserve"> גר ברחוב בית הכנסת. למי שהלך משם אל בית המדרש הגדול, הייתה באר העיר משמאל. בערב היו נערים מביאים חביות מכוסות בסדינים, והמים שנשאבו מן הבאר נשפכו לחביות דרך הסדינים כדי לסננם מחרקים, שיהיו מוכנים בבוקר להובלה לבתי התושבים בידי </w:t>
      </w:r>
      <w:proofErr w:type="spellStart"/>
      <w:r>
        <w:rPr>
          <w:rtl/>
        </w:rPr>
        <w:t>הוואסערטרעגער</w:t>
      </w:r>
      <w:proofErr w:type="spellEnd"/>
      <w:r>
        <w:rPr>
          <w:rtl/>
        </w:rPr>
        <w:t xml:space="preserve"> [נושאי המים]. בליל חורף אחד היה הכפור כה קשה, שאצבע שנרטבה הייתה קופאת. ר׳ </w:t>
      </w:r>
      <w:proofErr w:type="spellStart"/>
      <w:r>
        <w:rPr>
          <w:rtl/>
        </w:rPr>
        <w:t>לייבל׳ה</w:t>
      </w:r>
      <w:proofErr w:type="spellEnd"/>
      <w:r>
        <w:rPr>
          <w:rtl/>
        </w:rPr>
        <w:t xml:space="preserve"> חסיד יצא מביתו עם עלות השחר ובידו גרזן, ושבר את הקרח שהצטבר סביב הבאר עקב מילוי המים, כדי שאיש לא יחליק”.</w:t>
      </w:r>
    </w:p>
    <w:p w14:paraId="3B08FF34" w14:textId="77777777" w:rsidR="00AB3647" w:rsidRDefault="00000000" w:rsidP="007923E9">
      <w:pPr>
        <w:spacing w:after="120" w:line="276" w:lineRule="auto"/>
        <w:ind w:firstLine="283"/>
        <w:jc w:val="both"/>
      </w:pPr>
      <w:r>
        <w:rPr>
          <w:rtl/>
        </w:rPr>
        <w:t xml:space="preserve">ודאי נהנה ר׳ ישראל גם מהבנתו הדקה של ר׳ לייב בטבע האדם, תכונה נוספת של ר׳ ישראל עצמו. כך ממחיש הסיפור הבא, שגם אותו סיפר ר׳ קופל בשם אביו: “ביתו של ר׳ </w:t>
      </w:r>
      <w:proofErr w:type="spellStart"/>
      <w:r>
        <w:rPr>
          <w:rtl/>
        </w:rPr>
        <w:t>לייבל׳ה</w:t>
      </w:r>
      <w:proofErr w:type="spellEnd"/>
      <w:r>
        <w:rPr>
          <w:rtl/>
        </w:rPr>
        <w:t xml:space="preserve"> היה מלא תמיד אורחים ותלמידי חכמים גדולים. פעם, כשכמה מבני המקום ישבו לשולחנו, הביא הסנדלר </w:t>
      </w:r>
      <w:proofErr w:type="spellStart"/>
      <w:r>
        <w:rPr>
          <w:rtl/>
        </w:rPr>
        <w:t>ברוך־מאיר</w:t>
      </w:r>
      <w:proofErr w:type="spellEnd"/>
      <w:r>
        <w:rPr>
          <w:rtl/>
        </w:rPr>
        <w:t xml:space="preserve"> </w:t>
      </w:r>
      <w:proofErr w:type="spellStart"/>
      <w:r>
        <w:rPr>
          <w:rtl/>
        </w:rPr>
        <w:t>לר</w:t>
      </w:r>
      <w:proofErr w:type="spellEnd"/>
      <w:r>
        <w:rPr>
          <w:rtl/>
        </w:rPr>
        <w:t xml:space="preserve">׳ </w:t>
      </w:r>
      <w:proofErr w:type="spellStart"/>
      <w:r>
        <w:rPr>
          <w:rtl/>
        </w:rPr>
        <w:t>לייבל׳ה</w:t>
      </w:r>
      <w:proofErr w:type="spellEnd"/>
      <w:r>
        <w:rPr>
          <w:rtl/>
        </w:rPr>
        <w:t xml:space="preserve"> זוג מגפיים שהזמין. ר׳ </w:t>
      </w:r>
      <w:proofErr w:type="spellStart"/>
      <w:r>
        <w:rPr>
          <w:rtl/>
        </w:rPr>
        <w:t>לייבל׳ה</w:t>
      </w:r>
      <w:proofErr w:type="spellEnd"/>
      <w:r>
        <w:rPr>
          <w:rtl/>
        </w:rPr>
        <w:t xml:space="preserve"> מדד אותם ושילם לו, וליווהו אל מחוץ לבית. כשחזר ר׳ </w:t>
      </w:r>
      <w:proofErr w:type="spellStart"/>
      <w:r>
        <w:rPr>
          <w:rtl/>
        </w:rPr>
        <w:t>לייבל׳ה</w:t>
      </w:r>
      <w:proofErr w:type="spellEnd"/>
      <w:r>
        <w:rPr>
          <w:rtl/>
        </w:rPr>
        <w:t xml:space="preserve"> לשולחן, אמר אחד האורחים: ‘רבי, תורה היא וללמוד אני צריך</w:t>
      </w:r>
      <w:bookmarkStart w:id="3628" w:name="_fnr2701"/>
      <w:r>
        <w:rPr>
          <w:rStyle w:val="a5"/>
        </w:rPr>
        <w:footnoteReference w:id="2708" w:customMarkFollows="0"/>
      </w:r>
      <w:bookmarkEnd w:id="3628"/>
      <w:r>
        <w:rPr>
          <w:rtl/>
        </w:rPr>
        <w:t xml:space="preserve">. אילו היה הסנדלר למדן או אדם מבוגר, הייתי מבין מדוע ליווית אותו. אך במה זכה </w:t>
      </w:r>
      <w:proofErr w:type="spellStart"/>
      <w:r>
        <w:rPr>
          <w:rtl/>
        </w:rPr>
        <w:t>ברוך־מאיר</w:t>
      </w:r>
      <w:proofErr w:type="spellEnd"/>
      <w:r>
        <w:rPr>
          <w:rtl/>
        </w:rPr>
        <w:t xml:space="preserve"> לכבוד כזה?’ השיב: ‘בפרוזדור יש ערמה של עצי הסקה מבוקעים. כשהחורף יגיע ויחסרו לי עצים, עלול לעבור במחשבתי חשד </w:t>
      </w:r>
      <w:proofErr w:type="spellStart"/>
      <w:r>
        <w:rPr>
          <w:rtl/>
        </w:rPr>
        <w:t>שברוך־מאיר</w:t>
      </w:r>
      <w:proofErr w:type="spellEnd"/>
      <w:r>
        <w:rPr>
          <w:rtl/>
        </w:rPr>
        <w:t xml:space="preserve"> נטל לעצמו חתיכה כשעבר בפרוזדור לבדו. לכן ליוויתי אותו החוצה’”.</w:t>
      </w:r>
    </w:p>
    <w:p w14:paraId="63333931" w14:textId="77777777" w:rsidR="00AB3647" w:rsidRDefault="00000000" w:rsidP="007923E9">
      <w:pPr>
        <w:spacing w:after="120" w:line="276" w:lineRule="auto"/>
        <w:ind w:firstLine="283"/>
        <w:jc w:val="both"/>
      </w:pPr>
      <w:r>
        <w:rPr>
          <w:rtl/>
        </w:rPr>
        <w:t>זהו יישום מדויק של המאמר בסוף מסכת דרך ארץ</w:t>
      </w:r>
      <w:bookmarkStart w:id="3629" w:name="_fnr2702"/>
      <w:r>
        <w:rPr>
          <w:rStyle w:val="a5"/>
        </w:rPr>
        <w:footnoteReference w:id="2709" w:customMarkFollows="0"/>
      </w:r>
      <w:bookmarkEnd w:id="3629"/>
      <w:r>
        <w:rPr>
          <w:rtl/>
        </w:rPr>
        <w:t xml:space="preserve">: “לעולם יהיו כל בני אדם בעיניך כליסטים </w:t>
      </w:r>
      <w:proofErr w:type="spellStart"/>
      <w:r>
        <w:rPr>
          <w:rtl/>
        </w:rPr>
        <w:t>והוי</w:t>
      </w:r>
      <w:proofErr w:type="spellEnd"/>
      <w:r>
        <w:rPr>
          <w:rtl/>
        </w:rPr>
        <w:t xml:space="preserve"> מכבדן כרבן גמליאל”. חשדו של ר׳ לייב </w:t>
      </w:r>
      <w:proofErr w:type="spellStart"/>
      <w:r>
        <w:rPr>
          <w:rtl/>
        </w:rPr>
        <w:t>בברוך־מאיר</w:t>
      </w:r>
      <w:proofErr w:type="spellEnd"/>
      <w:r>
        <w:rPr>
          <w:rtl/>
        </w:rPr>
        <w:t xml:space="preserve"> מזכיר אמירה של ר׳ ישראל </w:t>
      </w:r>
      <w:proofErr w:type="spellStart"/>
      <w:r>
        <w:rPr>
          <w:rtl/>
        </w:rPr>
        <w:t>סלנטר</w:t>
      </w:r>
      <w:proofErr w:type="spellEnd"/>
      <w:r>
        <w:rPr>
          <w:rtl/>
        </w:rPr>
        <w:t xml:space="preserve"> שרבנו חזר עליה: “אילו הייתי נוכח כשאסרו חכמים ייחוד עם אשת איש, הייתי אוסר ביתר שאת ייחוד עם ממונו של אחר – מפני שרוב בני האדם חשודים על הגזל, ורק מיעוטם על העריות [רוב בגזל ומיעוט בעריות]”</w:t>
      </w:r>
      <w:bookmarkStart w:id="3630" w:name="_fnr2703"/>
      <w:r>
        <w:rPr>
          <w:rStyle w:val="a5"/>
        </w:rPr>
        <w:footnoteReference w:id="2710" w:customMarkFollows="0"/>
      </w:r>
      <w:bookmarkEnd w:id="3630"/>
      <w:r>
        <w:rPr>
          <w:rtl/>
        </w:rPr>
        <w:t>.</w:t>
      </w:r>
    </w:p>
    <w:p w14:paraId="3F25FBB2" w14:textId="77777777" w:rsidR="00AB3647" w:rsidRDefault="00000000" w:rsidP="007923E9">
      <w:pPr>
        <w:spacing w:after="120" w:line="276" w:lineRule="auto"/>
        <w:ind w:firstLine="283"/>
        <w:jc w:val="both"/>
      </w:pPr>
      <w:r>
        <w:rPr>
          <w:rtl/>
        </w:rPr>
        <w:t xml:space="preserve">חריפותו של ר׳ לייב חסיד מתגלה גם בסיפור שסיפר עליו אבי, כפי שחזר עליו תלמידו ר׳ יצחק </w:t>
      </w:r>
      <w:proofErr w:type="spellStart"/>
      <w:r>
        <w:rPr>
          <w:rtl/>
        </w:rPr>
        <w:t>ביניק</w:t>
      </w:r>
      <w:bookmarkStart w:id="3631" w:name="_fnr2704"/>
      <w:proofErr w:type="spellEnd"/>
      <w:r>
        <w:rPr>
          <w:rStyle w:val="a5"/>
        </w:rPr>
        <w:footnoteReference w:id="2711" w:customMarkFollows="0"/>
      </w:r>
      <w:bookmarkEnd w:id="3631"/>
      <w:r>
        <w:rPr>
          <w:rtl/>
        </w:rPr>
        <w:t>. כששמע ר׳ לייב על אדם שהתכוון להיות שוחט, אמר לו: “שוחט! האינך יודע שאבות דרבי נתן מונה שוחט בין השבעה שאין להם חלק לעולם הבא</w:t>
      </w:r>
      <w:bookmarkStart w:id="3632" w:name="_fnr2705"/>
      <w:r>
        <w:rPr>
          <w:rStyle w:val="a5"/>
        </w:rPr>
        <w:footnoteReference w:id="2712" w:customMarkFollows="0"/>
      </w:r>
      <w:bookmarkEnd w:id="3632"/>
      <w:r>
        <w:rPr>
          <w:rtl/>
        </w:rPr>
        <w:t xml:space="preserve">?!” האיש האומלל אמר אז שיהיה עליו לחפש עיסוק אחר. אלא שר׳ לייב עצרו ואמר: “לא, לא, לך ושאל את הרב. עוד אחד מן השבעה הוא רב, והוא בוודאי מצא היתר כלשהו שאולי יחול גם עליך”. תלמיד אחר של אבי, שהיה נוכח אז, שאל את אבי מהו אם כן ההיתר להיות רב, והוא השיב: “כשקיבלתי את המשרה </w:t>
      </w:r>
      <w:proofErr w:type="spellStart"/>
      <w:r>
        <w:rPr>
          <w:rtl/>
        </w:rPr>
        <w:t>בציטוביאן</w:t>
      </w:r>
      <w:proofErr w:type="spellEnd"/>
      <w:r>
        <w:rPr>
          <w:rtl/>
        </w:rPr>
        <w:t xml:space="preserve"> חשבתי </w:t>
      </w:r>
      <w:proofErr w:type="spellStart"/>
      <w:r>
        <w:rPr>
          <w:rtl/>
        </w:rPr>
        <w:t>בלבי</w:t>
      </w:r>
      <w:proofErr w:type="spellEnd"/>
      <w:r>
        <w:rPr>
          <w:rtl/>
        </w:rPr>
        <w:t xml:space="preserve">, שאם יש בעיירה מישהו שמסוגל לפסוק </w:t>
      </w:r>
      <w:r>
        <w:rPr>
          <w:rtl/>
        </w:rPr>
        <w:lastRenderedPageBreak/>
        <w:t xml:space="preserve">בשאלות הלכתיות טוב ממני, אתפטר; ואם לא, אני </w:t>
      </w:r>
      <w:r>
        <w:rPr>
          <w:b/>
          <w:bCs/>
          <w:rtl/>
        </w:rPr>
        <w:t>מחויב</w:t>
      </w:r>
      <w:r>
        <w:rPr>
          <w:rtl/>
        </w:rPr>
        <w:t xml:space="preserve"> להיות הרב</w:t>
      </w:r>
      <w:bookmarkStart w:id="3633" w:name="_fnr2706"/>
      <w:r>
        <w:rPr>
          <w:rStyle w:val="a5"/>
        </w:rPr>
        <w:footnoteReference w:id="2713" w:customMarkFollows="0"/>
      </w:r>
      <w:bookmarkEnd w:id="3633"/>
      <w:r>
        <w:rPr>
          <w:rtl/>
        </w:rPr>
        <w:t>”. אבי התכוון לומר שחיוב גובר על שיקול העולם הבא.</w:t>
      </w:r>
    </w:p>
    <w:p w14:paraId="2F35AEE9" w14:textId="77777777" w:rsidR="00AB3647" w:rsidRDefault="00000000" w:rsidP="007923E9">
      <w:pPr>
        <w:pStyle w:val="4"/>
        <w:spacing w:line="276" w:lineRule="auto"/>
      </w:pPr>
      <w:r>
        <w:t>· הפסקה השישית ·</w:t>
      </w:r>
    </w:p>
    <w:p w14:paraId="3983F2EB" w14:textId="77777777" w:rsidR="00AB3647" w:rsidRDefault="00000000" w:rsidP="007923E9">
      <w:pPr>
        <w:pStyle w:val="5"/>
        <w:spacing w:line="276" w:lineRule="auto"/>
      </w:pPr>
      <w:r>
        <w:t xml:space="preserve">רבנו סבור שיש להצניע סיפורים על הנסתר – סיפור </w:t>
      </w:r>
      <w:proofErr w:type="spellStart"/>
      <w:r>
        <w:t>החפץ־חיים</w:t>
      </w:r>
      <w:proofErr w:type="spellEnd"/>
      <w:r>
        <w:t xml:space="preserve"> והדיבוק מתפרסם בישראל – מסתבר שרבנו התנגד לפרסום הסיפור – עיסוק במלחמה המתקרבת </w:t>
      </w:r>
      <w:proofErr w:type="spellStart"/>
      <w:r>
        <w:t>ובעל־טבעי</w:t>
      </w:r>
      <w:proofErr w:type="spellEnd"/>
      <w:r>
        <w:t xml:space="preserve"> – תיאור מעשה הדיבוק מפי ר׳ אלחנן וסרמן מופקד </w:t>
      </w:r>
      <w:proofErr w:type="spellStart"/>
      <w:r>
        <w:t>בקלם</w:t>
      </w:r>
      <w:proofErr w:type="spellEnd"/>
      <w:r>
        <w:t xml:space="preserve"> – ר׳ אלחנן אינו חוזר ומספר את המעשה לאחר </w:t>
      </w:r>
      <w:proofErr w:type="spellStart"/>
      <w:r>
        <w:t>שהחפץ־חיים</w:t>
      </w:r>
      <w:proofErr w:type="spellEnd"/>
      <w:r>
        <w:t xml:space="preserve"> נעשה חסר אונים – רבים פוסלים את סיפור הדיבוק – ר׳ אלחנן מספר את הסיפור לא רק בפורים</w:t>
      </w:r>
    </w:p>
    <w:p w14:paraId="160AE5C9" w14:textId="77777777" w:rsidR="00AB3647" w:rsidRDefault="00000000" w:rsidP="007923E9">
      <w:pPr>
        <w:spacing w:after="120" w:line="276" w:lineRule="auto"/>
        <w:ind w:firstLine="283"/>
        <w:jc w:val="both"/>
      </w:pPr>
      <w:r>
        <w:rPr>
          <w:rtl/>
        </w:rPr>
        <w:t xml:space="preserve">השקפת רבנו, שלא ר׳ חיים </w:t>
      </w:r>
      <w:proofErr w:type="spellStart"/>
      <w:r>
        <w:rPr>
          <w:rtl/>
        </w:rPr>
        <w:t>מוולוז׳ין</w:t>
      </w:r>
      <w:proofErr w:type="spellEnd"/>
      <w:r>
        <w:rPr>
          <w:rtl/>
        </w:rPr>
        <w:t xml:space="preserve"> ולא ר׳ ישראל </w:t>
      </w:r>
      <w:proofErr w:type="spellStart"/>
      <w:r>
        <w:rPr>
          <w:rtl/>
        </w:rPr>
        <w:t>סלנטר</w:t>
      </w:r>
      <w:proofErr w:type="spellEnd"/>
      <w:r>
        <w:rPr>
          <w:rtl/>
        </w:rPr>
        <w:t xml:space="preserve"> ראו בשרפת </w:t>
      </w:r>
      <w:proofErr w:type="spellStart"/>
      <w:r>
        <w:rPr>
          <w:rtl/>
        </w:rPr>
        <w:t>וולוז׳ין</w:t>
      </w:r>
      <w:proofErr w:type="spellEnd"/>
      <w:r>
        <w:rPr>
          <w:rtl/>
        </w:rPr>
        <w:t xml:space="preserve"> אות משמים, מתיישבת עם התנגדותו להפצת סיפורים על </w:t>
      </w:r>
      <w:proofErr w:type="spellStart"/>
      <w:r>
        <w:rPr>
          <w:rtl/>
        </w:rPr>
        <w:t>העל־טבעי</w:t>
      </w:r>
      <w:proofErr w:type="spellEnd"/>
      <w:r>
        <w:rPr>
          <w:rtl/>
        </w:rPr>
        <w:t xml:space="preserve">. הוא עצמו – לפחות בשנותיו הצעירות – היה כנראה מרותק </w:t>
      </w:r>
      <w:proofErr w:type="spellStart"/>
      <w:r>
        <w:rPr>
          <w:rtl/>
        </w:rPr>
        <w:t>לעל־טבעי</w:t>
      </w:r>
      <w:proofErr w:type="spellEnd"/>
      <w:r>
        <w:rPr>
          <w:rtl/>
        </w:rPr>
        <w:t>, כפי שהעיד ר׳ דוד פאם</w:t>
      </w:r>
      <w:bookmarkStart w:id="3634" w:name="_fnr2707"/>
      <w:r>
        <w:rPr>
          <w:rStyle w:val="a5"/>
        </w:rPr>
        <w:footnoteReference w:id="2714" w:customMarkFollows="0"/>
      </w:r>
      <w:bookmarkEnd w:id="3634"/>
      <w:r>
        <w:rPr>
          <w:rtl/>
        </w:rPr>
        <w:t xml:space="preserve">. אבי סיפר לו שתכנן להעתיק את סיפור הוצאת הדיבוק המיוחסת </w:t>
      </w:r>
      <w:proofErr w:type="spellStart"/>
      <w:r>
        <w:rPr>
          <w:rtl/>
        </w:rPr>
        <w:t>לחפץ־חיים</w:t>
      </w:r>
      <w:proofErr w:type="spellEnd"/>
      <w:r>
        <w:rPr>
          <w:rtl/>
        </w:rPr>
        <w:t xml:space="preserve">, מפי תלמידו ר׳ אלחנן וסרמן, שהועלה על הכתב ונשמר בתלמוד תורה של קלם; אבל דחה זאת מפעם לפעם, עד שהיה מאוחר מדי. ייתכן שהתעניינותו בסיפור התעוררה בעקבות חותנו ר׳ </w:t>
      </w:r>
      <w:proofErr w:type="spellStart"/>
      <w:r>
        <w:rPr>
          <w:rtl/>
        </w:rPr>
        <w:t xml:space="preserve">בער־הירש</w:t>
      </w:r>
      <w:proofErr w:type="spellEnd"/>
      <w:r>
        <w:rPr>
          <w:rtl/>
        </w:rPr>
        <w:t xml:space="preserve"> </w:t>
      </w:r>
      <w:proofErr w:type="spellStart"/>
      <w:r>
        <w:rPr>
          <w:rtl/>
        </w:rPr>
        <w:t xml:space="preserve">הלר</w:t>
      </w:r>
      <w:proofErr w:type="spellEnd"/>
      <w:r>
        <w:rPr>
          <w:rtl/>
        </w:rPr>
        <w:t xml:space="preserve">, ששמעו מר׳ אלחנן. הרב אהרן </w:t>
      </w:r>
      <w:proofErr w:type="spellStart"/>
      <w:r>
        <w:rPr>
          <w:rtl/>
        </w:rPr>
        <w:t>סורסקי</w:t>
      </w:r>
      <w:proofErr w:type="spellEnd"/>
      <w:r>
        <w:rPr>
          <w:rtl/>
        </w:rPr>
        <w:t xml:space="preserve"> מספר </w:t>
      </w:r>
      <w:proofErr w:type="spellStart"/>
      <w:r>
        <w:rPr>
          <w:rtl/>
        </w:rPr>
        <w:t>ב“אור</w:t>
      </w:r>
      <w:proofErr w:type="spellEnd"/>
      <w:r>
        <w:rPr>
          <w:rtl/>
        </w:rPr>
        <w:t xml:space="preserve"> אלחנן”</w:t>
      </w:r>
      <w:bookmarkStart w:id="3635" w:name="_fnr2708"/>
      <w:r>
        <w:rPr>
          <w:rStyle w:val="a5"/>
        </w:rPr>
        <w:footnoteReference w:id="2715" w:customMarkFollows="0"/>
      </w:r>
      <w:bookmarkEnd w:id="3635"/>
      <w:r>
        <w:rPr>
          <w:rtl/>
        </w:rPr>
        <w:t xml:space="preserve">: “תלמידו מתקופת </w:t>
      </w:r>
      <w:proofErr w:type="spellStart"/>
      <w:r>
        <w:rPr>
          <w:rtl/>
        </w:rPr>
        <w:t>סמילוביץ</w:t>
      </w:r>
      <w:proofErr w:type="spellEnd"/>
      <w:r>
        <w:rPr>
          <w:rtl/>
        </w:rPr>
        <w:t xml:space="preserve">׳ רבי דוב </w:t>
      </w:r>
      <w:proofErr w:type="spellStart"/>
      <w:r>
        <w:rPr>
          <w:rtl/>
        </w:rPr>
        <w:t>לאפין</w:t>
      </w:r>
      <w:proofErr w:type="spellEnd"/>
      <w:r>
        <w:rPr>
          <w:rtl/>
        </w:rPr>
        <w:t xml:space="preserve"> (חתנו של </w:t>
      </w:r>
      <w:proofErr w:type="spellStart"/>
      <w:r>
        <w:rPr>
          <w:rtl/>
        </w:rPr>
        <w:t>הגרח״י</w:t>
      </w:r>
      <w:proofErr w:type="spellEnd"/>
      <w:r>
        <w:rPr>
          <w:rtl/>
        </w:rPr>
        <w:t xml:space="preserve"> מישקובסקי אב״ד </w:t>
      </w:r>
      <w:proofErr w:type="spellStart"/>
      <w:r>
        <w:rPr>
          <w:rtl/>
        </w:rPr>
        <w:t>קרינקי</w:t>
      </w:r>
      <w:proofErr w:type="spellEnd"/>
      <w:r>
        <w:rPr>
          <w:rtl/>
        </w:rPr>
        <w:t xml:space="preserve">) מעיד שנוכח במינסק בתקופת מלחמת העולם א׳ כשעשה רבי אלחנן בביתו של רבי דוב צבי הלר (משגיח רוחני </w:t>
      </w:r>
      <w:proofErr w:type="spellStart"/>
      <w:r>
        <w:rPr>
          <w:rtl/>
        </w:rPr>
        <w:t>דישיבת</w:t>
      </w:r>
      <w:proofErr w:type="spellEnd"/>
      <w:r>
        <w:rPr>
          <w:rtl/>
        </w:rPr>
        <w:t xml:space="preserve"> </w:t>
      </w:r>
      <w:proofErr w:type="spellStart"/>
      <w:r>
        <w:rPr>
          <w:rtl/>
        </w:rPr>
        <w:t>סלובודקה</w:t>
      </w:r>
      <w:proofErr w:type="spellEnd"/>
      <w:r>
        <w:rPr>
          <w:rtl/>
        </w:rPr>
        <w:t xml:space="preserve">) וסיפר אז באימה וביראה את מעשה </w:t>
      </w:r>
      <w:proofErr w:type="spellStart"/>
      <w:r>
        <w:rPr>
          <w:rtl/>
        </w:rPr>
        <w:t>ה‘דיבוק</w:t>
      </w:r>
      <w:proofErr w:type="spellEnd"/>
      <w:r>
        <w:rPr>
          <w:rtl/>
        </w:rPr>
        <w:t>’ לכל פרטיו, וכל השומעים נתמלאו פחד גדול”.</w:t>
      </w:r>
    </w:p>
    <w:p w14:paraId="3B1DFD47" w14:textId="77777777" w:rsidR="00AB3647" w:rsidRDefault="00000000" w:rsidP="007923E9">
      <w:pPr>
        <w:spacing w:after="120" w:line="276" w:lineRule="auto"/>
        <w:ind w:firstLine="283"/>
        <w:jc w:val="both"/>
      </w:pPr>
      <w:r>
        <w:rPr>
          <w:rtl/>
        </w:rPr>
        <w:t xml:space="preserve">תלמיד אחר של אבי, ר׳ אהרן </w:t>
      </w:r>
      <w:proofErr w:type="spellStart"/>
      <w:r>
        <w:rPr>
          <w:rtl/>
        </w:rPr>
        <w:t>ברפמן</w:t>
      </w:r>
      <w:bookmarkStart w:id="3636" w:name="_fnr2709"/>
      <w:proofErr w:type="spellEnd"/>
      <w:r>
        <w:rPr>
          <w:rStyle w:val="a5"/>
        </w:rPr>
        <w:footnoteReference w:id="2716" w:customMarkFollows="0"/>
      </w:r>
      <w:bookmarkEnd w:id="3636"/>
      <w:r>
        <w:rPr>
          <w:rtl/>
        </w:rPr>
        <w:t>, סיפר: “ראש הישיבה רבנו התנגד נחרצות לעיסוק בשנות תש״כ בגלגולים ובעניינים מיסטיים אחרים, והצטער על שסיפור הגולם שברא המהר״ל</w:t>
      </w:r>
      <w:bookmarkStart w:id="3637" w:name="_fnr2710"/>
      <w:r>
        <w:rPr>
          <w:rStyle w:val="a5"/>
        </w:rPr>
        <w:footnoteReference w:id="2717" w:customMarkFollows="0"/>
      </w:r>
      <w:bookmarkEnd w:id="3637"/>
      <w:r>
        <w:rPr>
          <w:rtl/>
        </w:rPr>
        <w:t xml:space="preserve"> תורגם ופורסם. הוא אמר שדורנו אינו מבין דברים כאלה, וכל מה שייצא מכך הוא שאנשים יראו בתורה מעין אמונה תפלה”. בעת הריאיון לא הבהיר הרב </w:t>
      </w:r>
      <w:proofErr w:type="spellStart"/>
      <w:r>
        <w:rPr>
          <w:rtl/>
        </w:rPr>
        <w:t>ברפמן</w:t>
      </w:r>
      <w:proofErr w:type="spellEnd"/>
      <w:r>
        <w:rPr>
          <w:rtl/>
        </w:rPr>
        <w:t xml:space="preserve"> אם נאמר לרבנו שהספר על הגולם כלל מבוא מרשים שדן בחשש זה. ייתכן שאבי התנגד לפרסום הספר למרות זאת.</w:t>
      </w:r>
    </w:p>
    <w:p w14:paraId="088A5B8C" w14:textId="77777777" w:rsidR="00AB3647" w:rsidRDefault="00000000" w:rsidP="007923E9">
      <w:pPr>
        <w:spacing w:after="120" w:line="276" w:lineRule="auto"/>
        <w:ind w:firstLine="283"/>
        <w:jc w:val="both"/>
      </w:pPr>
      <w:r>
        <w:rPr>
          <w:rtl/>
        </w:rPr>
        <w:t xml:space="preserve">לפי “אור אלחנן”, “כפי שמוסרים בני משפחת רבי אריה מלכיאל פרידמן, מארחו בעיר ממל... סיפר רבי אלחנן את מעשה </w:t>
      </w:r>
      <w:proofErr w:type="spellStart"/>
      <w:r>
        <w:rPr>
          <w:rtl/>
        </w:rPr>
        <w:t>ה‘דיבוק</w:t>
      </w:r>
      <w:proofErr w:type="spellEnd"/>
      <w:r>
        <w:rPr>
          <w:rtl/>
        </w:rPr>
        <w:t xml:space="preserve">’ כשסעד על שולחנם ואמר לאביהם שיכתוב את הדברים אבל הזהיר שלא יספרו המעשה באזני אנשים שאין להם אמונה שלמה בסיפורים מסוג זה”. את סייגו של “אור אלחנן” אישר חתנו של ר׳ </w:t>
      </w:r>
      <w:proofErr w:type="spellStart"/>
      <w:r>
        <w:rPr>
          <w:rtl/>
        </w:rPr>
        <w:t>אריה־מלכיאל</w:t>
      </w:r>
      <w:proofErr w:type="spellEnd"/>
      <w:r>
        <w:rPr>
          <w:rtl/>
        </w:rPr>
        <w:t xml:space="preserve">, ר׳ חיים </w:t>
      </w:r>
      <w:proofErr w:type="spellStart"/>
      <w:r>
        <w:rPr>
          <w:rtl/>
        </w:rPr>
        <w:t>סרנא</w:t>
      </w:r>
      <w:proofErr w:type="spellEnd"/>
      <w:r>
        <w:rPr>
          <w:rtl/>
        </w:rPr>
        <w:t>, כשציין</w:t>
      </w:r>
      <w:bookmarkStart w:id="3638" w:name="_fnr2711"/>
      <w:r>
        <w:rPr>
          <w:rStyle w:val="a5"/>
        </w:rPr>
        <w:footnoteReference w:id="2718" w:customMarkFollows="0"/>
      </w:r>
      <w:bookmarkEnd w:id="3638"/>
      <w:r>
        <w:rPr>
          <w:rtl/>
        </w:rPr>
        <w:t xml:space="preserve"> </w:t>
      </w:r>
      <w:r>
        <w:rPr>
          <w:rtl/>
        </w:rPr>
        <w:lastRenderedPageBreak/>
        <w:t xml:space="preserve">שבטרם סיפר ר׳ אלחנן את המעשה, הזהיר גם את מארחו שלא להזמין שומעים אלא אם יש להם “אמונה שלמה </w:t>
      </w:r>
      <w:proofErr w:type="spellStart"/>
      <w:r>
        <w:rPr>
          <w:rtl/>
        </w:rPr>
        <w:t>וכו</w:t>
      </w:r>
      <w:proofErr w:type="spellEnd"/>
      <w:r>
        <w:rPr>
          <w:rtl/>
        </w:rPr>
        <w:t>׳”.</w:t>
      </w:r>
    </w:p>
    <w:p w14:paraId="3EE6B9AA" w14:textId="77777777" w:rsidR="00AB3647" w:rsidRDefault="00000000" w:rsidP="007923E9">
      <w:pPr>
        <w:spacing w:after="120" w:line="276" w:lineRule="auto"/>
        <w:ind w:firstLine="283"/>
        <w:jc w:val="both"/>
      </w:pPr>
      <w:r>
        <w:rPr>
          <w:rtl/>
        </w:rPr>
        <w:t xml:space="preserve">למרות הסייג החליט מחבר “אור אלחנן”, הרב אהרן </w:t>
      </w:r>
      <w:proofErr w:type="spellStart"/>
      <w:r>
        <w:rPr>
          <w:rtl/>
        </w:rPr>
        <w:t>סורסקי</w:t>
      </w:r>
      <w:proofErr w:type="spellEnd"/>
      <w:r>
        <w:rPr>
          <w:rtl/>
        </w:rPr>
        <w:t>, לכתוב את הסיפור במלואו</w:t>
      </w:r>
      <w:bookmarkStart w:id="3639" w:name="_fnr2712"/>
      <w:r>
        <w:rPr>
          <w:rStyle w:val="a5"/>
        </w:rPr>
        <w:footnoteReference w:id="2719" w:customMarkFollows="0"/>
      </w:r>
      <w:bookmarkEnd w:id="3639"/>
      <w:r>
        <w:rPr>
          <w:rtl/>
        </w:rPr>
        <w:t>, ובדברי המבוא לסיפור</w:t>
      </w:r>
      <w:bookmarkStart w:id="3640" w:name="_fnr2713"/>
      <w:r>
        <w:rPr>
          <w:rStyle w:val="a5"/>
        </w:rPr>
        <w:footnoteReference w:id="2720" w:customMarkFollows="0"/>
      </w:r>
      <w:bookmarkEnd w:id="3640"/>
      <w:r>
        <w:rPr>
          <w:rtl/>
        </w:rPr>
        <w:t xml:space="preserve"> הצדיק זאת כך: “כוונתו בסיפור הדברים </w:t>
      </w:r>
      <w:proofErr w:type="spellStart"/>
      <w:r>
        <w:rPr>
          <w:rtl/>
        </w:rPr>
        <w:t>היתה</w:t>
      </w:r>
      <w:proofErr w:type="spellEnd"/>
      <w:r>
        <w:rPr>
          <w:rtl/>
        </w:rPr>
        <w:t xml:space="preserve"> לחזק </w:t>
      </w:r>
      <w:proofErr w:type="spellStart"/>
      <w:r>
        <w:rPr>
          <w:rtl/>
        </w:rPr>
        <w:t>בלבם</w:t>
      </w:r>
      <w:proofErr w:type="spellEnd"/>
      <w:r>
        <w:rPr>
          <w:rtl/>
        </w:rPr>
        <w:t xml:space="preserve"> את האמונה </w:t>
      </w:r>
      <w:proofErr w:type="spellStart"/>
      <w:r>
        <w:rPr>
          <w:rtl/>
        </w:rPr>
        <w:t>באלקים</w:t>
      </w:r>
      <w:proofErr w:type="spellEnd"/>
      <w:r>
        <w:rPr>
          <w:rtl/>
        </w:rPr>
        <w:t xml:space="preserve"> </w:t>
      </w:r>
      <w:proofErr w:type="spellStart"/>
      <w:r>
        <w:rPr>
          <w:rtl/>
        </w:rPr>
        <w:t>במדות</w:t>
      </w:r>
      <w:proofErr w:type="spellEnd"/>
      <w:r>
        <w:rPr>
          <w:rtl/>
        </w:rPr>
        <w:t xml:space="preserve"> שמנהג בהן עולמו. מהאי טעמא תיכתב זאת לדור אחרון</w:t>
      </w:r>
      <w:bookmarkStart w:id="3641" w:name="_fnr2714"/>
      <w:r>
        <w:rPr>
          <w:rStyle w:val="a5"/>
        </w:rPr>
        <w:footnoteReference w:id="2721" w:customMarkFollows="0"/>
      </w:r>
      <w:bookmarkEnd w:id="3641"/>
      <w:r>
        <w:rPr>
          <w:rtl/>
        </w:rPr>
        <w:t>, ויחקקו הדברים גם פה בספר, לפי הנוסח המקורי שרשם מפיו מלה במלה בנו הצעיר רבי צבי יהודה לייב”. במכתב</w:t>
      </w:r>
      <w:bookmarkStart w:id="3642" w:name="_fnr2715"/>
      <w:r>
        <w:rPr>
          <w:rStyle w:val="a5"/>
        </w:rPr>
        <w:footnoteReference w:id="2722" w:customMarkFollows="0"/>
      </w:r>
      <w:bookmarkEnd w:id="3642"/>
      <w:r>
        <w:rPr>
          <w:rtl/>
        </w:rPr>
        <w:t xml:space="preserve"> אליי כתב הרב </w:t>
      </w:r>
      <w:proofErr w:type="spellStart"/>
      <w:r>
        <w:rPr>
          <w:rtl/>
        </w:rPr>
        <w:t>סורסקי</w:t>
      </w:r>
      <w:proofErr w:type="spellEnd"/>
      <w:r>
        <w:rPr>
          <w:rtl/>
        </w:rPr>
        <w:t xml:space="preserve"> שקיבל את המסמך מר׳ שמחה וסרמן, אחיו של ר׳ </w:t>
      </w:r>
      <w:proofErr w:type="spellStart"/>
      <w:r>
        <w:rPr>
          <w:rtl/>
        </w:rPr>
        <w:t>צבי־יהודה־לייב</w:t>
      </w:r>
      <w:proofErr w:type="spellEnd"/>
      <w:r>
        <w:rPr>
          <w:rtl/>
        </w:rPr>
        <w:t xml:space="preserve">. ברור שלדעת הרב </w:t>
      </w:r>
      <w:proofErr w:type="spellStart"/>
      <w:r>
        <w:rPr>
          <w:rtl/>
        </w:rPr>
        <w:t>סורסקי</w:t>
      </w:r>
      <w:proofErr w:type="spellEnd"/>
      <w:r>
        <w:rPr>
          <w:rtl/>
        </w:rPr>
        <w:t xml:space="preserve"> עמד ציבור קוראי העברית בתנאי של ר׳ אלחנן </w:t>
      </w:r>
      <w:proofErr w:type="spellStart"/>
      <w:r>
        <w:rPr>
          <w:rtl/>
        </w:rPr>
        <w:t>ל“הזמנה</w:t>
      </w:r>
      <w:proofErr w:type="spellEnd"/>
      <w:r>
        <w:rPr>
          <w:rtl/>
        </w:rPr>
        <w:t>” לקריאת המעשה.</w:t>
      </w:r>
    </w:p>
    <w:p w14:paraId="346D8441" w14:textId="77777777" w:rsidR="00AB3647" w:rsidRDefault="00000000" w:rsidP="007923E9">
      <w:pPr>
        <w:spacing w:after="120" w:line="276" w:lineRule="auto"/>
        <w:ind w:firstLine="283"/>
        <w:jc w:val="both"/>
      </w:pPr>
      <w:r>
        <w:rPr>
          <w:rtl/>
        </w:rPr>
        <w:t xml:space="preserve">ספר </w:t>
      </w:r>
      <w:proofErr w:type="spellStart"/>
      <w:r>
        <w:rPr>
          <w:rtl/>
        </w:rPr>
        <w:t>ארטסקרול</w:t>
      </w:r>
      <w:proofErr w:type="spellEnd"/>
      <w:r>
        <w:rPr>
          <w:rtl/>
        </w:rPr>
        <w:t xml:space="preserve"> “ר׳ אלחנן”</w:t>
      </w:r>
      <w:bookmarkStart w:id="3643" w:name="_fnr2716"/>
      <w:r>
        <w:rPr>
          <w:rStyle w:val="a5"/>
        </w:rPr>
        <w:footnoteReference w:id="2723" w:customMarkFollows="0"/>
      </w:r>
      <w:bookmarkEnd w:id="3643"/>
      <w:r>
        <w:rPr>
          <w:rtl/>
        </w:rPr>
        <w:t xml:space="preserve"> משמיט כל אזכור של מעשה הדיבוק, אף שבעמוד הפתיחה שלו נאמר שהוא “עיבוד מן הביוגרפיה העברית של אהרן </w:t>
      </w:r>
      <w:proofErr w:type="spellStart"/>
      <w:r>
        <w:rPr>
          <w:rtl/>
        </w:rPr>
        <w:t>סורסקי</w:t>
      </w:r>
      <w:proofErr w:type="spellEnd"/>
      <w:r>
        <w:rPr>
          <w:rtl/>
        </w:rPr>
        <w:t xml:space="preserve">: ‘אור אלחנן’”. בירור עם המוציאים לאור העלה שמקורו של הרב </w:t>
      </w:r>
      <w:proofErr w:type="spellStart"/>
      <w:r>
        <w:rPr>
          <w:rtl/>
        </w:rPr>
        <w:t>סורסקי</w:t>
      </w:r>
      <w:proofErr w:type="spellEnd"/>
      <w:r>
        <w:rPr>
          <w:rtl/>
        </w:rPr>
        <w:t>, ר׳ שמחה עצמו</w:t>
      </w:r>
      <w:bookmarkStart w:id="3644" w:name="_fnr2717"/>
      <w:r>
        <w:rPr>
          <w:rStyle w:val="a5"/>
        </w:rPr>
        <w:footnoteReference w:id="2724" w:customMarkFollows="0"/>
      </w:r>
      <w:bookmarkEnd w:id="3644"/>
      <w:r>
        <w:rPr>
          <w:rtl/>
        </w:rPr>
        <w:t xml:space="preserve">, הורה על השמטה זו, מסיבה שלא פורטה. אפשר לשער שסבר שקהל קוראי האנגלית </w:t>
      </w:r>
      <w:r>
        <w:rPr>
          <w:b/>
          <w:bCs/>
          <w:rtl/>
        </w:rPr>
        <w:t>אינו</w:t>
      </w:r>
      <w:r>
        <w:rPr>
          <w:rtl/>
        </w:rPr>
        <w:t xml:space="preserve"> עומד בתנאו של ר׳ אלחנן</w:t>
      </w:r>
      <w:bookmarkStart w:id="3645" w:name="_fnr2718"/>
      <w:bookmarkStart w:id="3646" w:name="pr_f_2615"/>
      <w:r>
        <w:rPr>
          <w:rStyle w:val="a5"/>
        </w:rPr>
        <w:footnoteReference w:id="2725" w:customMarkFollows="0"/>
      </w:r>
      <w:bookmarkEnd w:id="3645"/>
      <w:bookmarkEnd w:id="3646"/>
      <w:r>
        <w:rPr>
          <w:rtl/>
        </w:rPr>
        <w:t>.</w:t>
      </w:r>
    </w:p>
    <w:p w14:paraId="68776EC1" w14:textId="77777777" w:rsidR="00AB3647" w:rsidRDefault="00000000" w:rsidP="007923E9">
      <w:pPr>
        <w:spacing w:after="120" w:line="276" w:lineRule="auto"/>
        <w:ind w:firstLine="283"/>
        <w:jc w:val="both"/>
      </w:pPr>
      <w:r>
        <w:rPr>
          <w:rtl/>
        </w:rPr>
        <w:t xml:space="preserve">לא ברור אם יחסו של אבי עצמו לנסתר השתנה מאז ימי צעירותו, או שסבר שבארבעים השנים שלאחר מכן השתנו </w:t>
      </w:r>
      <w:r>
        <w:rPr>
          <w:b/>
          <w:bCs/>
          <w:rtl/>
        </w:rPr>
        <w:t>האנשים</w:t>
      </w:r>
      <w:r>
        <w:rPr>
          <w:rtl/>
        </w:rPr>
        <w:t xml:space="preserve"> ונעשו נוטים יותר להבין בטעות. להלן יוכח שכאשר ראה </w:t>
      </w:r>
      <w:proofErr w:type="spellStart"/>
      <w:r>
        <w:rPr>
          <w:rtl/>
        </w:rPr>
        <w:t>בקלם</w:t>
      </w:r>
      <w:proofErr w:type="spellEnd"/>
      <w:r>
        <w:rPr>
          <w:rtl/>
        </w:rPr>
        <w:t xml:space="preserve"> את כתב היד של ר׳ אלחנן על הוצאת הדיבוק, היה שם אברך כולל חדש, בן שלושים בקושי. כך או כך, מסתבר שאבי היה מתנגד גם לפרסום סיפורי הוצאת דיבוקים, כגון “דיבוק”, שנכתב ופורסם בידי אותו אדם ובאותה הוצאה</w:t>
      </w:r>
      <w:bookmarkStart w:id="3647" w:name="_fnr2719"/>
      <w:r>
        <w:rPr>
          <w:rStyle w:val="a5"/>
        </w:rPr>
        <w:footnoteReference w:id="2726" w:customMarkFollows="0"/>
      </w:r>
      <w:bookmarkEnd w:id="3647"/>
      <w:r>
        <w:rPr>
          <w:rtl/>
        </w:rPr>
        <w:t xml:space="preserve"> כמו “הגולם מפראג”, שנה קודם לכן – אף שאין לי על כך עדות ישירה, כמו שיש לי בנוגע לספר הגולם</w:t>
      </w:r>
      <w:bookmarkStart w:id="3648" w:name="_fnr2720"/>
      <w:r>
        <w:rPr>
          <w:rStyle w:val="a5"/>
        </w:rPr>
        <w:footnoteReference w:id="2727" w:customMarkFollows="0"/>
      </w:r>
      <w:bookmarkEnd w:id="3648"/>
      <w:r>
        <w:rPr>
          <w:rtl/>
        </w:rPr>
        <w:t>.</w:t>
      </w:r>
    </w:p>
    <w:p w14:paraId="48E0C458" w14:textId="77777777" w:rsidR="00AB3647" w:rsidRDefault="00000000" w:rsidP="007923E9">
      <w:pPr>
        <w:spacing w:after="120" w:line="276" w:lineRule="auto"/>
        <w:ind w:firstLine="283"/>
        <w:jc w:val="both"/>
      </w:pPr>
      <w:r>
        <w:rPr>
          <w:rtl/>
        </w:rPr>
        <w:t xml:space="preserve">הסיפור כיצד הוציא </w:t>
      </w:r>
      <w:proofErr w:type="spellStart"/>
      <w:r>
        <w:rPr>
          <w:rtl/>
        </w:rPr>
        <w:t>החפץ־חיים</w:t>
      </w:r>
      <w:proofErr w:type="spellEnd"/>
      <w:r>
        <w:rPr>
          <w:rtl/>
        </w:rPr>
        <w:t xml:space="preserve"> את הדיבוק מובא בספר “דיבוק” הנזכר</w:t>
      </w:r>
      <w:bookmarkStart w:id="3649" w:name="_fnr2721"/>
      <w:r>
        <w:rPr>
          <w:rStyle w:val="a5"/>
        </w:rPr>
        <w:footnoteReference w:id="2728" w:customMarkFollows="0"/>
      </w:r>
      <w:bookmarkEnd w:id="3649"/>
      <w:r>
        <w:rPr>
          <w:rtl/>
        </w:rPr>
        <w:t xml:space="preserve">, וההקדמה לו אומרת: “תיאור אמיתי ומתועד המבוסס על עדויות ראייה שאומתו ונאספו בידי הרב אשר </w:t>
      </w:r>
      <w:proofErr w:type="spellStart"/>
      <w:r>
        <w:rPr>
          <w:rtl/>
        </w:rPr>
        <w:lastRenderedPageBreak/>
        <w:t>קצמן</w:t>
      </w:r>
      <w:proofErr w:type="spellEnd"/>
      <w:r>
        <w:rPr>
          <w:rtl/>
        </w:rPr>
        <w:t xml:space="preserve">, [אשר] שמע את הסיפור ממקור ראשון מפי... הרב אלחנן וסרמן באספת תלמידי ישיבת </w:t>
      </w:r>
      <w:proofErr w:type="spellStart"/>
      <w:r>
        <w:rPr>
          <w:rtl/>
        </w:rPr>
        <w:t>ברנוביץ</w:t>
      </w:r>
      <w:proofErr w:type="spellEnd"/>
      <w:r>
        <w:rPr>
          <w:rtl/>
        </w:rPr>
        <w:t>׳ ביום... פורים, תרצ״ב”.</w:t>
      </w:r>
    </w:p>
    <w:p w14:paraId="71D942D3" w14:textId="77777777" w:rsidR="00AB3647" w:rsidRDefault="00000000" w:rsidP="007923E9">
      <w:pPr>
        <w:spacing w:after="120" w:line="276" w:lineRule="auto"/>
        <w:ind w:firstLine="283"/>
        <w:jc w:val="both"/>
      </w:pPr>
      <w:bookmarkStart w:id="3650" w:name="pr_b_1585"/>
      <w:bookmarkEnd w:id="3650"/>
      <w:r>
        <w:rPr>
          <w:rtl/>
        </w:rPr>
        <w:t xml:space="preserve">בקשר לסיפור הדיבוק שמעתי הערה נוקבת מפי רבנו: “הסיפור נכתב והונח במגירה של שידה שעמדה בפרוזדור בניין התלמוד תורה </w:t>
      </w:r>
      <w:proofErr w:type="spellStart"/>
      <w:r>
        <w:rPr>
          <w:rtl/>
        </w:rPr>
        <w:t>בקלם</w:t>
      </w:r>
      <w:proofErr w:type="spellEnd"/>
      <w:r>
        <w:rPr>
          <w:rtl/>
        </w:rPr>
        <w:t xml:space="preserve">; אלא שלא ידעו שכל התלמוד תורה ייחרב [בשואה]”. נראה שהתכוון שבמקום לעסוק במאורעות </w:t>
      </w:r>
      <w:proofErr w:type="spellStart"/>
      <w:r>
        <w:rPr>
          <w:rtl/>
        </w:rPr>
        <w:t>על־טבעיים</w:t>
      </w:r>
      <w:proofErr w:type="spellEnd"/>
      <w:r>
        <w:rPr>
          <w:rtl/>
        </w:rPr>
        <w:t xml:space="preserve">, היה עליהם לחשוב על ענייני </w:t>
      </w:r>
      <w:r>
        <w:rPr>
          <w:b/>
          <w:bCs/>
          <w:rtl/>
        </w:rPr>
        <w:t>העולם הזה</w:t>
      </w:r>
      <w:r>
        <w:rPr>
          <w:rtl/>
        </w:rPr>
        <w:t>, כגון האם בטוח להישאר בליטא.</w:t>
      </w:r>
    </w:p>
    <w:p w14:paraId="36E59735" w14:textId="77777777" w:rsidR="00AB3647" w:rsidRDefault="00000000" w:rsidP="007923E9">
      <w:pPr>
        <w:spacing w:after="120" w:line="276" w:lineRule="auto"/>
        <w:ind w:firstLine="283"/>
        <w:jc w:val="both"/>
      </w:pPr>
      <w:r>
        <w:rPr>
          <w:rtl/>
        </w:rPr>
        <w:t xml:space="preserve">דברים אלו תואמים את דבריו ערב צאתו מליטא </w:t>
      </w:r>
      <w:proofErr w:type="spellStart"/>
      <w:r>
        <w:rPr>
          <w:rtl/>
        </w:rPr>
        <w:t>בתרצ״ז</w:t>
      </w:r>
      <w:proofErr w:type="spellEnd"/>
      <w:r>
        <w:rPr>
          <w:rtl/>
        </w:rPr>
        <w:t xml:space="preserve">, שמסר ר׳ שלמה </w:t>
      </w:r>
      <w:proofErr w:type="spellStart"/>
      <w:r>
        <w:rPr>
          <w:rtl/>
        </w:rPr>
        <w:t>איידלשטיין</w:t>
      </w:r>
      <w:bookmarkStart w:id="3651" w:name="_fnr2722"/>
      <w:proofErr w:type="spellEnd"/>
      <w:r>
        <w:rPr>
          <w:rStyle w:val="a5"/>
        </w:rPr>
        <w:footnoteReference w:id="2729" w:customMarkFollows="0"/>
      </w:r>
      <w:bookmarkEnd w:id="3651"/>
      <w:r>
        <w:rPr>
          <w:rtl/>
        </w:rPr>
        <w:t xml:space="preserve"> [ששמעם </w:t>
      </w:r>
      <w:proofErr w:type="spellStart"/>
      <w:r>
        <w:rPr>
          <w:rtl/>
        </w:rPr>
        <w:t>מחיה־מרים</w:t>
      </w:r>
      <w:proofErr w:type="spellEnd"/>
      <w:r>
        <w:rPr>
          <w:rtl/>
        </w:rPr>
        <w:t xml:space="preserve"> </w:t>
      </w:r>
      <w:proofErr w:type="spellStart"/>
      <w:r>
        <w:rPr>
          <w:rtl/>
        </w:rPr>
        <w:t>שולמן</w:t>
      </w:r>
      <w:proofErr w:type="spellEnd"/>
      <w:r>
        <w:rPr>
          <w:rtl/>
        </w:rPr>
        <w:t xml:space="preserve">, נכדת הסבא </w:t>
      </w:r>
      <w:proofErr w:type="spellStart"/>
      <w:r>
        <w:rPr>
          <w:rtl/>
        </w:rPr>
        <w:t>מסלבודקה</w:t>
      </w:r>
      <w:proofErr w:type="spellEnd"/>
      <w:r>
        <w:rPr>
          <w:rtl/>
        </w:rPr>
        <w:t xml:space="preserve">]. כשנשאל אבי לסיבת נסיעתו הקרובה, אמר להנהלת ישיבת </w:t>
      </w:r>
      <w:proofErr w:type="spellStart"/>
      <w:r>
        <w:rPr>
          <w:rtl/>
        </w:rPr>
        <w:t>סלבודקה</w:t>
      </w:r>
      <w:proofErr w:type="spellEnd"/>
      <w:r>
        <w:rPr>
          <w:rtl/>
        </w:rPr>
        <w:t>: “אינני הרב והפוסק שלכם, אבל למשפחתי שלי אני כן. ואני פוסק שאסור להישאר בחלק זה של העולם בגלל המלחמה המאיימת”</w:t>
      </w:r>
      <w:bookmarkStart w:id="3652" w:name="_fnr2723"/>
      <w:r>
        <w:rPr>
          <w:rStyle w:val="a5"/>
        </w:rPr>
        <w:footnoteReference w:id="2730" w:customMarkFollows="0"/>
      </w:r>
      <w:bookmarkEnd w:id="3652"/>
      <w:r>
        <w:rPr>
          <w:rtl/>
        </w:rPr>
        <w:t xml:space="preserve">. הדבר אינו ברור כלל, אבל ייתכן שאבי רמז שמנהיגי התלמוד תורה </w:t>
      </w:r>
      <w:proofErr w:type="spellStart"/>
      <w:r>
        <w:rPr>
          <w:rtl/>
        </w:rPr>
        <w:t>בקלם</w:t>
      </w:r>
      <w:proofErr w:type="spellEnd"/>
      <w:r>
        <w:rPr>
          <w:rtl/>
        </w:rPr>
        <w:t xml:space="preserve"> לא הכירו בסכנות שריחפו מעליהם </w:t>
      </w:r>
      <w:r>
        <w:rPr>
          <w:b/>
          <w:bCs/>
          <w:rtl/>
        </w:rPr>
        <w:t>מפני</w:t>
      </w:r>
      <w:r>
        <w:rPr>
          <w:rtl/>
        </w:rPr>
        <w:t xml:space="preserve"> שלא ראו את מצבם נכוחה – כפי שסימלה שמירת מעשה הדיבוק כמין אוצר מקודש במגירת השידה.</w:t>
      </w:r>
    </w:p>
    <w:p w14:paraId="20E69E27" w14:textId="46983A38" w:rsidR="00AB3647" w:rsidRDefault="00000000" w:rsidP="007923E9">
      <w:pPr>
        <w:spacing w:after="120" w:line="276" w:lineRule="auto"/>
        <w:ind w:firstLine="283"/>
        <w:jc w:val="both"/>
      </w:pPr>
      <w:r>
        <w:rPr>
          <w:rtl/>
        </w:rPr>
        <w:t xml:space="preserve">נתקלתי בדוגמה נוספת לאמונה עיוורת בביטחונם של מקומות תורה בזמן מלחמה, במעשה אחר שמסרה </w:t>
      </w:r>
      <w:proofErr w:type="spellStart"/>
      <w:r>
        <w:rPr>
          <w:rtl/>
        </w:rPr>
        <w:t>חיה־מרים</w:t>
      </w:r>
      <w:proofErr w:type="spellEnd"/>
      <w:r>
        <w:rPr>
          <w:rtl/>
        </w:rPr>
        <w:t xml:space="preserve"> </w:t>
      </w:r>
      <w:proofErr w:type="spellStart"/>
      <w:r>
        <w:rPr>
          <w:rtl/>
        </w:rPr>
        <w:t>שולמן</w:t>
      </w:r>
      <w:proofErr w:type="spellEnd"/>
      <w:r>
        <w:rPr>
          <w:rtl/>
        </w:rPr>
        <w:t>. היא סיפרה</w:t>
      </w:r>
      <w:bookmarkStart w:id="3653" w:name="_fnr2724"/>
      <w:r>
        <w:rPr>
          <w:rStyle w:val="a5"/>
        </w:rPr>
        <w:footnoteReference w:id="2731" w:customMarkFollows="0"/>
      </w:r>
      <w:bookmarkEnd w:id="3653"/>
      <w:r>
        <w:rPr>
          <w:rtl/>
        </w:rPr>
        <w:t xml:space="preserve"> שאביה, ר׳ אייזיק שר, ור׳ </w:t>
      </w:r>
      <w:proofErr w:type="spellStart"/>
      <w:r>
        <w:rPr>
          <w:rtl/>
        </w:rPr>
        <w:t>משה־מרדכי</w:t>
      </w:r>
      <w:proofErr w:type="spellEnd"/>
      <w:r>
        <w:rPr>
          <w:rtl/>
        </w:rPr>
        <w:t xml:space="preserve"> אפשטיין לא האמינו שתפרוץ מלחמת העולם הראשונה, משום </w:t>
      </w:r>
      <w:proofErr w:type="spellStart"/>
      <w:r>
        <w:rPr>
          <w:rtl/>
        </w:rPr>
        <w:t>ש“לא</w:t>
      </w:r>
      <w:proofErr w:type="spellEnd"/>
      <w:r>
        <w:rPr>
          <w:rtl/>
        </w:rPr>
        <w:t xml:space="preserve"> יכלו להעלות על דעתם את פירוקו של כותל מערבי</w:t>
      </w:r>
      <w:bookmarkStart w:id="3654" w:name="_fnr2725"/>
      <w:r>
        <w:rPr>
          <w:rStyle w:val="a5"/>
        </w:rPr>
        <w:footnoteReference w:id="2732" w:customMarkFollows="0"/>
      </w:r>
      <w:bookmarkEnd w:id="3654"/>
      <w:r>
        <w:rPr>
          <w:rtl/>
        </w:rPr>
        <w:t xml:space="preserve">, די קדושה </w:t>
      </w:r>
      <w:proofErr w:type="spellStart"/>
      <w:r>
        <w:rPr>
          <w:rtl/>
        </w:rPr>
        <w:t>אליין</w:t>
      </w:r>
      <w:proofErr w:type="spellEnd"/>
      <w:r>
        <w:rPr>
          <w:rtl/>
        </w:rPr>
        <w:t xml:space="preserve"> [עצם הקדושה] שהישיבה [</w:t>
      </w:r>
      <w:proofErr w:type="spellStart"/>
      <w:r>
        <w:rPr>
          <w:rtl/>
        </w:rPr>
        <w:t>בסלבודקה</w:t>
      </w:r>
      <w:proofErr w:type="spellEnd"/>
      <w:r>
        <w:rPr>
          <w:rtl/>
        </w:rPr>
        <w:t xml:space="preserve">] ייצגה”. השקפה זו מזכירה את הקינה לתשעה באב שפתיחתה “זכור את אשר עש’”, המתארת “בחורים מבחוץ צגו מחוזקים” [מחוץ לקודש הקודשים, שאליו נכנס טיטוס], “ותרו כי </w:t>
      </w:r>
      <w:proofErr w:type="spellStart"/>
      <w:r>
        <w:rPr>
          <w:rtl/>
        </w:rPr>
        <w:t>יזק</w:t>
      </w:r>
      <w:proofErr w:type="spellEnd"/>
      <w:r>
        <w:rPr>
          <w:rtl/>
        </w:rPr>
        <w:t xml:space="preserve"> בששים </w:t>
      </w:r>
      <w:proofErr w:type="spellStart"/>
      <w:r>
        <w:rPr>
          <w:rtl/>
        </w:rPr>
        <w:t>רבוא</w:t>
      </w:r>
      <w:proofErr w:type="spellEnd"/>
      <w:r>
        <w:rPr>
          <w:rtl/>
        </w:rPr>
        <w:t xml:space="preserve"> מזיקים” – כלומר, ציפו שטיטוס [ייפול אז ו]יושמד בידי שישים ריבוא שדים</w:t>
      </w:r>
      <w:bookmarkStart w:id="3655" w:name="_fnr2726"/>
      <w:r>
        <w:rPr>
          <w:rStyle w:val="a5"/>
        </w:rPr>
        <w:footnoteReference w:id="2733" w:customMarkFollows="0"/>
      </w:r>
      <w:bookmarkEnd w:id="3655"/>
      <w:r>
        <w:rPr>
          <w:rtl/>
        </w:rPr>
        <w:t xml:space="preserve">. הרבנית </w:t>
      </w:r>
      <w:proofErr w:type="spellStart"/>
      <w:r>
        <w:rPr>
          <w:rtl/>
        </w:rPr>
        <w:t>שולמן</w:t>
      </w:r>
      <w:proofErr w:type="spellEnd"/>
      <w:r>
        <w:rPr>
          <w:rtl/>
        </w:rPr>
        <w:t xml:space="preserve"> הוסיפה שכאשר אמר אביה שמלחמה תהיה מעשה שוטים, השיבה לו אמה, בתו של הסבא: “ומי לדעתך מקבל את ההחלטות – חכמים? רק שוטים עומדים בראש. הם נתקפים חמת זעם ומחוללים סכסוך”.</w:t>
      </w:r>
      <w:bookmarkStart w:id="3656" w:name="_fnr2727"/>
      <w:r>
        <w:rPr>
          <w:rStyle w:val="a5"/>
        </w:rPr>
        <w:footnoteReference w:id="2734" w:customMarkFollows="0"/>
      </w:r>
      <w:bookmarkEnd w:id="3656"/>
      <w:r>
        <w:rPr>
          <w:rtl/>
        </w:rPr>
        <w:t xml:space="preserve"> השווה גם הערה </w:t>
      </w:r>
      <w:r>
        <w:rPr>
          <w:rtl/>
        </w:rPr>
        <w:fldChar w:fldCharType="begin" w:dirty="true"/>
      </w:r>
      <w:r>
        <w:rPr>
          <w:rtl/>
        </w:rPr>
        <w:instrText xml:space="preserve"> NOTEREF pr_f_2857 \h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Pr>
          <w:rtl/>
        </w:rPr>
        <w:t>1904</w:t>
      </w:r>
      <w:r>
        <w:rPr>
          <w:rtl/>
        </w:rPr>
        <w:fldChar w:fldCharType="end"/>
      </w:r>
      <w:r>
        <w:rPr>
          <w:rtl/>
        </w:rPr>
        <w:t xml:space="preserve"> (עמ׳ </w:t>
      </w:r>
      <w:r>
        <w:rPr>
          <w:rtl/>
        </w:rPr>
        <w:fldChar w:fldCharType="begin" w:dirty="true"/>
      </w:r>
      <w:r>
        <w:rPr>
          <w:rtl/>
        </w:rPr>
        <w:instrText xml:space="preserve"> PAGEREF pr_f_2857 \h </w:instrText>
      </w:r>
      <w:r>
        <w:rPr>
          <w:rtl/>
        </w:rPr>
      </w:r>
      <w:r>
        <w:rPr>
          <w:rtl/>
        </w:rPr>
        <w:fldChar w:fldCharType="separate"/>
      </w:r>
      <w:r w:rsidR="007923E9">
        <w:rPr>
          <w:noProof/>
          <w:rtl/>
        </w:rPr>
        <w:t>1</w:t>
      </w:r>
      <w:r>
        <w:rPr>
          <w:rtl/>
        </w:rPr>
        <w:fldChar w:fldCharType="end"/>
      </w:r>
      <w:r>
        <w:rPr>
          <w:rtl/>
        </w:rPr>
        <w:t xml:space="preserve">) בעניין ניבויו של ר׳ </w:t>
      </w:r>
      <w:proofErr w:type="spellStart"/>
      <w:r>
        <w:rPr>
          <w:rtl/>
        </w:rPr>
        <w:t>מאיר־שמחה</w:t>
      </w:r>
      <w:proofErr w:type="spellEnd"/>
      <w:r>
        <w:rPr>
          <w:rtl/>
        </w:rPr>
        <w:t xml:space="preserve"> על פרוץ המלחמה לאחר פגישתו עם הקיסר פרנץ יוזף </w:t>
      </w:r>
      <w:proofErr w:type="spellStart"/>
      <w:r>
        <w:rPr>
          <w:rtl/>
        </w:rPr>
        <w:t>בקרלסבד</w:t>
      </w:r>
      <w:proofErr w:type="spellEnd"/>
      <w:r>
        <w:rPr>
          <w:rtl/>
        </w:rPr>
        <w:t>.</w:t>
      </w:r>
    </w:p>
    <w:p w14:paraId="4A4E0619" w14:textId="77777777" w:rsidR="00AB3647" w:rsidRDefault="00000000" w:rsidP="007923E9">
      <w:pPr>
        <w:spacing w:after="120" w:line="276" w:lineRule="auto"/>
        <w:ind w:firstLine="283"/>
        <w:jc w:val="both"/>
      </w:pPr>
      <w:r>
        <w:rPr>
          <w:rtl/>
        </w:rPr>
        <w:lastRenderedPageBreak/>
        <w:t xml:space="preserve">למרות הביקורת המרומזת שיוחסה לאבי על הנהלת התלמוד תורה, יש לציין שאנשי הצוות לא עשו עניין מסיפור הדיבוק, אף שהופקד בישיבה. שאלתי את ר׳ שמואל שכטר, תלמיד קנדי שלמד </w:t>
      </w:r>
      <w:proofErr w:type="spellStart"/>
      <w:r>
        <w:rPr>
          <w:rtl/>
        </w:rPr>
        <w:t>בקלם</w:t>
      </w:r>
      <w:proofErr w:type="spellEnd"/>
      <w:r>
        <w:rPr>
          <w:rtl/>
        </w:rPr>
        <w:t xml:space="preserve"> שנתיים וחצי בתקופה האחרונה לקיומו של התלמוד תורה, </w:t>
      </w:r>
      <w:proofErr w:type="spellStart"/>
      <w:r>
        <w:rPr>
          <w:rtl/>
        </w:rPr>
        <w:t>מתרצ״ח</w:t>
      </w:r>
      <w:proofErr w:type="spellEnd"/>
      <w:r>
        <w:rPr>
          <w:rtl/>
        </w:rPr>
        <w:t xml:space="preserve"> ועד ת״ש, אם ידע על קיומו של מסמך כזה, והוא השיב לי בשלילה.</w:t>
      </w:r>
      <w:bookmarkStart w:id="3657" w:name="_fnr2728"/>
      <w:r>
        <w:rPr>
          <w:rStyle w:val="a5"/>
        </w:rPr>
        <w:footnoteReference w:id="2735" w:customMarkFollows="0"/>
      </w:r>
      <w:bookmarkEnd w:id="3657"/>
    </w:p>
    <w:p w14:paraId="2E4CD54F" w14:textId="77777777" w:rsidR="00AB3647" w:rsidRDefault="00000000" w:rsidP="007923E9">
      <w:pPr>
        <w:spacing w:after="120" w:line="276" w:lineRule="auto"/>
        <w:ind w:firstLine="283"/>
        <w:jc w:val="both"/>
      </w:pPr>
      <w:r>
        <w:rPr>
          <w:rtl/>
        </w:rPr>
        <w:t xml:space="preserve">כפי שנאמר בראש הפסקה הבאה, ר׳ אלחנן וסרמן עצמו, הדמות המרכזית בהוצאת הדיבוק, הוא שהעלה את הסיפור על הכתב למען התלמוד תורה </w:t>
      </w:r>
      <w:proofErr w:type="spellStart"/>
      <w:r>
        <w:rPr>
          <w:rtl/>
        </w:rPr>
        <w:t>בקלם</w:t>
      </w:r>
      <w:proofErr w:type="spellEnd"/>
      <w:r>
        <w:rPr>
          <w:rtl/>
        </w:rPr>
        <w:t xml:space="preserve">. הוא העריך את מוסד המוסר המעולה הזה עד כדי כך, שלאחר פטירת </w:t>
      </w:r>
      <w:proofErr w:type="spellStart"/>
      <w:r>
        <w:rPr>
          <w:rtl/>
        </w:rPr>
        <w:t>החפץ־חיים</w:t>
      </w:r>
      <w:proofErr w:type="spellEnd"/>
      <w:r>
        <w:rPr>
          <w:rtl/>
        </w:rPr>
        <w:t xml:space="preserve">, כששוב לא נמשך </w:t>
      </w:r>
      <w:proofErr w:type="spellStart"/>
      <w:r>
        <w:rPr>
          <w:rtl/>
        </w:rPr>
        <w:t>לראדין</w:t>
      </w:r>
      <w:proofErr w:type="spellEnd"/>
      <w:r>
        <w:rPr>
          <w:rtl/>
        </w:rPr>
        <w:t xml:space="preserve">, היה מבלה </w:t>
      </w:r>
      <w:proofErr w:type="spellStart"/>
      <w:r>
        <w:rPr>
          <w:rtl/>
        </w:rPr>
        <w:t>בקלם</w:t>
      </w:r>
      <w:proofErr w:type="spellEnd"/>
      <w:r>
        <w:rPr>
          <w:rtl/>
        </w:rPr>
        <w:t xml:space="preserve"> את החודש שלפני ראש השנה. אבל אין זה סביר שר׳ אלחנן כתב את הסיפור כשהחל לשהות שם בימים הנוראים, כלומר לאחר תרצ״ג, מאותו הטעם – יהא אשר יהא – שבגללו חדל לספר את הסיפור לאחר תרצ״ב, כמובא להלן. לכן ודאי הכין את כתב היד להפקדה כשעצר שם באחת הפעמים בדרכו מפולין לבקר את חותנו ר׳ מאיר אטלס (שנפטר </w:t>
      </w:r>
      <w:proofErr w:type="spellStart"/>
      <w:r>
        <w:rPr>
          <w:rtl/>
        </w:rPr>
        <w:t>בתרפ״ו</w:t>
      </w:r>
      <w:proofErr w:type="spellEnd"/>
      <w:r>
        <w:rPr>
          <w:rtl/>
        </w:rPr>
        <w:t>), רבה של שאוול, העיר השנייה בגודלה בליטא לאחר מלחמת העולם הראשונה,</w:t>
      </w:r>
      <w:bookmarkStart w:id="3658" w:name="_fnr2729"/>
      <w:r>
        <w:rPr>
          <w:rStyle w:val="a5"/>
        </w:rPr>
        <w:footnoteReference w:id="2736" w:customMarkFollows="0"/>
      </w:r>
      <w:bookmarkEnd w:id="3658"/>
      <w:r>
        <w:rPr>
          <w:rtl/>
        </w:rPr>
        <w:t xml:space="preserve"> במרחק 45 קילומטר מקלם.</w:t>
      </w:r>
      <w:bookmarkStart w:id="3659" w:name="_fnr2730"/>
      <w:r>
        <w:rPr>
          <w:rStyle w:val="a5"/>
        </w:rPr>
        <w:footnoteReference w:id="2737" w:customMarkFollows="0"/>
      </w:r>
      <w:bookmarkEnd w:id="3659"/>
    </w:p>
    <w:p w14:paraId="54A00493" w14:textId="77777777" w:rsidR="00AB3647" w:rsidRDefault="00000000" w:rsidP="007923E9">
      <w:pPr>
        <w:spacing w:after="120" w:line="276" w:lineRule="auto"/>
        <w:ind w:firstLine="283"/>
        <w:jc w:val="both"/>
      </w:pPr>
      <w:r>
        <w:rPr>
          <w:rtl/>
        </w:rPr>
        <w:t xml:space="preserve">ר׳ אלחנן זכה להערכה רבה מאוד </w:t>
      </w:r>
      <w:proofErr w:type="spellStart"/>
      <w:r>
        <w:rPr>
          <w:rtl/>
        </w:rPr>
        <w:t>בקלם</w:t>
      </w:r>
      <w:proofErr w:type="spellEnd"/>
      <w:r>
        <w:rPr>
          <w:rtl/>
        </w:rPr>
        <w:t>, כפי שהעיד תלמיד קלם ר׳ מרדכי צוקרמן,</w:t>
      </w:r>
      <w:bookmarkStart w:id="3660" w:name="_fnr2731"/>
      <w:r>
        <w:rPr>
          <w:rStyle w:val="a5"/>
        </w:rPr>
        <w:footnoteReference w:id="2738" w:customMarkFollows="0"/>
      </w:r>
      <w:bookmarkEnd w:id="3660"/>
      <w:r>
        <w:rPr>
          <w:rtl/>
        </w:rPr>
        <w:t xml:space="preserve"> שאמר כי היחידים שהורשו לדבר לפני ציבור התלמידים בתלמוד תורה </w:t>
      </w:r>
      <w:proofErr w:type="spellStart"/>
      <w:r>
        <w:rPr>
          <w:rtl/>
        </w:rPr>
        <w:t>בקלם</w:t>
      </w:r>
      <w:proofErr w:type="spellEnd"/>
      <w:r>
        <w:rPr>
          <w:rtl/>
        </w:rPr>
        <w:t xml:space="preserve"> היו ר׳ אלחנן וסרמן ורבה של שאוול הסמוכה, ר׳ </w:t>
      </w:r>
      <w:proofErr w:type="spellStart"/>
      <w:r>
        <w:rPr>
          <w:rtl/>
        </w:rPr>
        <w:t>ארצ׳יק</w:t>
      </w:r>
      <w:proofErr w:type="spellEnd"/>
      <w:r>
        <w:rPr>
          <w:rtl/>
        </w:rPr>
        <w:t xml:space="preserve"> בקשט, תלמידו של ר׳ </w:t>
      </w:r>
      <w:proofErr w:type="spellStart"/>
      <w:r>
        <w:rPr>
          <w:rtl/>
        </w:rPr>
        <w:t>שמחה־זיסל</w:t>
      </w:r>
      <w:proofErr w:type="spellEnd"/>
      <w:r>
        <w:rPr>
          <w:rtl/>
        </w:rPr>
        <w:t xml:space="preserve"> וממלא מקומו של ר׳ מאיר אטלס.</w:t>
      </w:r>
      <w:bookmarkStart w:id="3661" w:name="_fnr2732"/>
      <w:r>
        <w:rPr>
          <w:rStyle w:val="a5"/>
        </w:rPr>
        <w:footnoteReference w:id="2739" w:customMarkFollows="0"/>
      </w:r>
      <w:bookmarkEnd w:id="3661"/>
      <w:r>
        <w:rPr>
          <w:rtl/>
        </w:rPr>
        <w:t xml:space="preserve"> מכל מקום, מן האמור יש להניח שההזדמנות (שהוחמצה) של רבנו להעתיק את הסיפור הייתה בזמן שלמד </w:t>
      </w:r>
      <w:proofErr w:type="spellStart"/>
      <w:r>
        <w:rPr>
          <w:rtl/>
        </w:rPr>
        <w:t>בקלם</w:t>
      </w:r>
      <w:proofErr w:type="spellEnd"/>
      <w:r>
        <w:rPr>
          <w:rtl/>
        </w:rPr>
        <w:t xml:space="preserve"> </w:t>
      </w:r>
      <w:proofErr w:type="spellStart"/>
      <w:r>
        <w:rPr>
          <w:rtl/>
        </w:rPr>
        <w:t>בתרפ״א</w:t>
      </w:r>
      <w:proofErr w:type="spellEnd"/>
      <w:r>
        <w:rPr>
          <w:rtl/>
        </w:rPr>
        <w:t xml:space="preserve">, כשהיה בן פחות משלושים – ולא באחד מביקוריו הרבים שם לאחר שהחל לכהן כרב בעיירה הסמוכה </w:t>
      </w:r>
      <w:proofErr w:type="spellStart"/>
      <w:r>
        <w:rPr>
          <w:rtl/>
        </w:rPr>
        <w:t>ציטוביאן</w:t>
      </w:r>
      <w:proofErr w:type="spellEnd"/>
      <w:r>
        <w:rPr>
          <w:rtl/>
        </w:rPr>
        <w:t>, בשנים תרפ״ו–תרצ״ז.</w:t>
      </w:r>
      <w:bookmarkStart w:id="3662" w:name="_fnr2733"/>
      <w:r>
        <w:rPr>
          <w:rStyle w:val="a5"/>
        </w:rPr>
        <w:footnoteReference w:id="2740" w:customMarkFollows="0"/>
      </w:r>
      <w:bookmarkEnd w:id="3662"/>
      <w:r>
        <w:rPr>
          <w:rtl/>
        </w:rPr>
        <w:t xml:space="preserve"> השווה גם ציטוט מספרו של רבנו “עיונים”, המובא בראש הפסקה הבאה, שבו הוא מזכיר כי “</w:t>
      </w:r>
      <w:r>
        <w:rPr>
          <w:b/>
          <w:bCs/>
          <w:rtl/>
        </w:rPr>
        <w:t xml:space="preserve">בהיותי </w:t>
      </w:r>
      <w:proofErr w:type="spellStart"/>
      <w:r>
        <w:rPr>
          <w:b/>
          <w:bCs/>
          <w:rtl/>
        </w:rPr>
        <w:t>בקלם</w:t>
      </w:r>
      <w:proofErr w:type="spellEnd"/>
      <w:r>
        <w:rPr>
          <w:rtl/>
        </w:rPr>
        <w:t xml:space="preserve"> ראיתי” הערה מסוימת שכתב ר׳ אלחנן וסרמן בנוגע </w:t>
      </w:r>
      <w:proofErr w:type="spellStart"/>
      <w:r>
        <w:rPr>
          <w:rtl/>
        </w:rPr>
        <w:t>ל“מעשה</w:t>
      </w:r>
      <w:proofErr w:type="spellEnd"/>
      <w:r>
        <w:rPr>
          <w:rtl/>
        </w:rPr>
        <w:t xml:space="preserve"> הדיבוק המפורסם”. הביטוי (המודגש) שבחר בו, במקום “ראיתי </w:t>
      </w:r>
      <w:proofErr w:type="spellStart"/>
      <w:r>
        <w:rPr>
          <w:rtl/>
        </w:rPr>
        <w:t>בקלם</w:t>
      </w:r>
      <w:proofErr w:type="spellEnd"/>
      <w:r>
        <w:rPr>
          <w:rtl/>
        </w:rPr>
        <w:t xml:space="preserve">” בלבד, מורה שאבי ראה את הערתו של ר׳ אלחנן </w:t>
      </w:r>
      <w:r>
        <w:rPr>
          <w:b/>
          <w:bCs/>
          <w:rtl/>
        </w:rPr>
        <w:t xml:space="preserve">בשעה שלמד </w:t>
      </w:r>
      <w:proofErr w:type="spellStart"/>
      <w:r>
        <w:rPr>
          <w:b/>
          <w:bCs/>
          <w:rtl/>
        </w:rPr>
        <w:t>בקלם</w:t>
      </w:r>
      <w:proofErr w:type="spellEnd"/>
      <w:r>
        <w:rPr>
          <w:rtl/>
        </w:rPr>
        <w:t>, כפי שאני טוען.</w:t>
      </w:r>
      <w:bookmarkStart w:id="3663" w:name="_fnr2734"/>
      <w:r>
        <w:rPr>
          <w:rStyle w:val="a5"/>
        </w:rPr>
        <w:footnoteReference w:id="2741" w:customMarkFollows="0"/>
      </w:r>
      <w:bookmarkEnd w:id="3663"/>
    </w:p>
    <w:p w14:paraId="19DC632E" w14:textId="77777777" w:rsidR="00AB3647" w:rsidRDefault="00000000" w:rsidP="007923E9">
      <w:pPr>
        <w:spacing w:after="120" w:line="276" w:lineRule="auto"/>
        <w:ind w:firstLine="283"/>
        <w:jc w:val="both"/>
      </w:pPr>
      <w:r>
        <w:rPr>
          <w:rtl/>
        </w:rPr>
        <w:t xml:space="preserve">הרב </w:t>
      </w:r>
      <w:proofErr w:type="spellStart"/>
      <w:r>
        <w:rPr>
          <w:rtl/>
        </w:rPr>
        <w:t>קצמן</w:t>
      </w:r>
      <w:proofErr w:type="spellEnd"/>
      <w:r>
        <w:rPr>
          <w:rtl/>
        </w:rPr>
        <w:t xml:space="preserve"> מציין</w:t>
      </w:r>
      <w:bookmarkStart w:id="3664" w:name="_fnr2735"/>
      <w:r>
        <w:rPr>
          <w:rStyle w:val="a5"/>
        </w:rPr>
        <w:footnoteReference w:id="2742" w:customMarkFollows="0"/>
      </w:r>
      <w:bookmarkEnd w:id="3664"/>
      <w:r>
        <w:rPr>
          <w:rtl/>
        </w:rPr>
        <w:t xml:space="preserve"> כי ר׳ אלחנן שב וסיפר את הסיפור “בפורים בלבד, משום שבפורים הושלמה סוף סוף הוצאת הדיבוק”; כי</w:t>
      </w:r>
      <w:bookmarkStart w:id="3665" w:name="_fnr2736"/>
      <w:r>
        <w:rPr>
          <w:rStyle w:val="a5"/>
        </w:rPr>
        <w:footnoteReference w:id="2743" w:customMarkFollows="0"/>
      </w:r>
      <w:bookmarkEnd w:id="3665"/>
      <w:r>
        <w:rPr>
          <w:rtl/>
        </w:rPr>
        <w:t xml:space="preserve"> תרצ״ב הייתה השנה האחרונה שבה אמר ר׳ אלחנן את הקדיש השנתי לעילוי נשמתה של הרוח האובדת (“איש לא פקפק בכך שהנשמה מצאה </w:t>
      </w:r>
      <w:r>
        <w:rPr>
          <w:rtl/>
        </w:rPr>
        <w:lastRenderedPageBreak/>
        <w:t>סוף סוף מנוחת עולמים וחזרה לחיק [כך במקור] בוראה”); וכי</w:t>
      </w:r>
      <w:bookmarkStart w:id="3666" w:name="_fnr2737"/>
      <w:r>
        <w:rPr>
          <w:rStyle w:val="a5"/>
        </w:rPr>
        <w:footnoteReference w:id="2744" w:customMarkFollows="0"/>
      </w:r>
      <w:bookmarkEnd w:id="3666"/>
      <w:r>
        <w:rPr>
          <w:rtl/>
        </w:rPr>
        <w:t xml:space="preserve"> ר׳ אלחנן לא סיפר את הסיפור שוב לאחר אותה שנה. הרב </w:t>
      </w:r>
      <w:proofErr w:type="spellStart"/>
      <w:r>
        <w:rPr>
          <w:rtl/>
        </w:rPr>
        <w:t>קצמן</w:t>
      </w:r>
      <w:proofErr w:type="spellEnd"/>
      <w:r>
        <w:rPr>
          <w:rtl/>
        </w:rPr>
        <w:t xml:space="preserve"> אינו נותן טעם להפסקה, אבל ייתכן מאוד שר׳ אלחנן החליט שאין עוד טעם לספר את הסיפור משעה </w:t>
      </w:r>
      <w:proofErr w:type="spellStart"/>
      <w:r>
        <w:rPr>
          <w:rtl/>
        </w:rPr>
        <w:t>שהחפץ־חיים</w:t>
      </w:r>
      <w:proofErr w:type="spellEnd"/>
      <w:r>
        <w:rPr>
          <w:rtl/>
        </w:rPr>
        <w:t xml:space="preserve"> חדל לתפקד בשנת חייו האחרונה.</w:t>
      </w:r>
      <w:bookmarkStart w:id="3667" w:name="_fnr2738"/>
      <w:r>
        <w:rPr>
          <w:rStyle w:val="a5"/>
        </w:rPr>
        <w:footnoteReference w:id="2745" w:customMarkFollows="0"/>
      </w:r>
      <w:bookmarkEnd w:id="3667"/>
      <w:r>
        <w:rPr>
          <w:rtl/>
        </w:rPr>
        <w:t xml:space="preserve"> הרי ר׳ אלחנן זקף את כל זכות הוצאת הדיבוק לרבו </w:t>
      </w:r>
      <w:proofErr w:type="spellStart"/>
      <w:r>
        <w:rPr>
          <w:rtl/>
        </w:rPr>
        <w:t>החפץ־חיים</w:t>
      </w:r>
      <w:proofErr w:type="spellEnd"/>
      <w:r>
        <w:rPr>
          <w:rtl/>
        </w:rPr>
        <w:t xml:space="preserve">, למרות </w:t>
      </w:r>
      <w:proofErr w:type="spellStart"/>
      <w:r>
        <w:rPr>
          <w:rtl/>
        </w:rPr>
        <w:t>ה“עובדה</w:t>
      </w:r>
      <w:proofErr w:type="spellEnd"/>
      <w:r>
        <w:rPr>
          <w:rtl/>
        </w:rPr>
        <w:t xml:space="preserve">” שהוא, ולא </w:t>
      </w:r>
      <w:proofErr w:type="spellStart"/>
      <w:r>
        <w:rPr>
          <w:rtl/>
        </w:rPr>
        <w:t>החפץ־חיים</w:t>
      </w:r>
      <w:proofErr w:type="spellEnd"/>
      <w:r>
        <w:rPr>
          <w:rtl/>
        </w:rPr>
        <w:t xml:space="preserve">, עסק בדיבוק כל הזמן. ר׳ אלחנן היה מסיים את סיפורו במילים “מכאן יכולים אנו ללמוד עד כמה גדולה קדושתו של </w:t>
      </w:r>
      <w:proofErr w:type="spellStart"/>
      <w:r>
        <w:rPr>
          <w:rtl/>
        </w:rPr>
        <w:t>החפץ־חיים</w:t>
      </w:r>
      <w:proofErr w:type="spellEnd"/>
      <w:r>
        <w:rPr>
          <w:rtl/>
        </w:rPr>
        <w:t>”,</w:t>
      </w:r>
      <w:bookmarkStart w:id="3668" w:name="_fnr2739"/>
      <w:r>
        <w:rPr>
          <w:rStyle w:val="a5"/>
        </w:rPr>
        <w:footnoteReference w:id="2746" w:customMarkFollows="0"/>
      </w:r>
      <w:bookmarkEnd w:id="3668"/>
      <w:r>
        <w:rPr>
          <w:rtl/>
        </w:rPr>
        <w:t xml:space="preserve"> והרב וסרמן אמר</w:t>
      </w:r>
      <w:bookmarkStart w:id="3669" w:name="_fnr2740"/>
      <w:r>
        <w:rPr>
          <w:rStyle w:val="a5"/>
        </w:rPr>
        <w:footnoteReference w:id="2747" w:customMarkFollows="0"/>
      </w:r>
      <w:bookmarkEnd w:id="3669"/>
      <w:r>
        <w:rPr>
          <w:rtl/>
        </w:rPr>
        <w:t xml:space="preserve"> </w:t>
      </w:r>
      <w:proofErr w:type="spellStart"/>
      <w:r>
        <w:rPr>
          <w:rtl/>
        </w:rPr>
        <w:t>לר</w:t>
      </w:r>
      <w:proofErr w:type="spellEnd"/>
      <w:r>
        <w:rPr>
          <w:rtl/>
        </w:rPr>
        <w:t xml:space="preserve">׳ מנדל זקס, חתנו של </w:t>
      </w:r>
      <w:proofErr w:type="spellStart"/>
      <w:r>
        <w:rPr>
          <w:rtl/>
        </w:rPr>
        <w:t>החפץ־חיים</w:t>
      </w:r>
      <w:proofErr w:type="spellEnd"/>
      <w:r>
        <w:rPr>
          <w:rtl/>
        </w:rPr>
        <w:t>, שלא קיבל תשובה כששאל את חותנו על הוצאת הדיבוק,</w:t>
      </w:r>
      <w:bookmarkStart w:id="3670" w:name="_fnr2741"/>
      <w:bookmarkStart w:id="3671" w:name="pr_f_2638"/>
      <w:r>
        <w:rPr>
          <w:rStyle w:val="a5"/>
        </w:rPr>
        <w:footnoteReference w:id="2748" w:customMarkFollows="0"/>
      </w:r>
      <w:bookmarkEnd w:id="3670"/>
      <w:bookmarkEnd w:id="3671"/>
      <w:r>
        <w:rPr>
          <w:rtl/>
        </w:rPr>
        <w:t xml:space="preserve"> שהחכם “מחפש דרכים להסתיר את קדושתו </w:t>
      </w:r>
      <w:proofErr w:type="spellStart"/>
      <w:r>
        <w:rPr>
          <w:rtl/>
        </w:rPr>
        <w:t>וטהרתו</w:t>
      </w:r>
      <w:proofErr w:type="spellEnd"/>
      <w:r>
        <w:rPr>
          <w:rtl/>
        </w:rPr>
        <w:t>”.</w:t>
      </w:r>
      <w:bookmarkStart w:id="3672" w:name="_fnr2742"/>
      <w:r>
        <w:rPr>
          <w:rStyle w:val="a5"/>
        </w:rPr>
        <w:footnoteReference w:id="2749" w:customMarkFollows="0"/>
      </w:r>
      <w:bookmarkEnd w:id="3672"/>
    </w:p>
    <w:p w14:paraId="36D5A524" w14:textId="77777777" w:rsidR="00AB3647" w:rsidRDefault="00000000" w:rsidP="007923E9">
      <w:pPr>
        <w:spacing w:after="120" w:line="276" w:lineRule="auto"/>
        <w:ind w:firstLine="283"/>
        <w:jc w:val="both"/>
      </w:pPr>
      <w:r>
        <w:rPr>
          <w:rtl/>
        </w:rPr>
        <w:t xml:space="preserve">וייתכן שיש טעם נוסף לכך שר׳ אלחנן חדל לספר את סיפור הדיבוק בזמן שחדל, והוא קשור בדיווחו של ר׳ ישראל </w:t>
      </w:r>
      <w:proofErr w:type="spellStart"/>
      <w:r>
        <w:rPr>
          <w:rtl/>
        </w:rPr>
        <w:t>צ׳צ׳יק</w:t>
      </w:r>
      <w:proofErr w:type="spellEnd"/>
      <w:r>
        <w:rPr>
          <w:rtl/>
        </w:rPr>
        <w:t>.</w:t>
      </w:r>
      <w:bookmarkStart w:id="3673" w:name="_fnr2743"/>
      <w:r>
        <w:rPr>
          <w:rStyle w:val="a5"/>
        </w:rPr>
        <w:footnoteReference w:id="2750" w:customMarkFollows="0"/>
      </w:r>
      <w:bookmarkEnd w:id="3673"/>
      <w:r>
        <w:rPr>
          <w:rtl/>
        </w:rPr>
        <w:t xml:space="preserve"> אחיו המנוח ר׳ משה, שלמד </w:t>
      </w:r>
      <w:proofErr w:type="spellStart"/>
      <w:r>
        <w:rPr>
          <w:rtl/>
        </w:rPr>
        <w:t>בראדין</w:t>
      </w:r>
      <w:proofErr w:type="spellEnd"/>
      <w:r>
        <w:rPr>
          <w:rtl/>
        </w:rPr>
        <w:t xml:space="preserve"> </w:t>
      </w:r>
      <w:proofErr w:type="spellStart"/>
      <w:r>
        <w:rPr>
          <w:rtl/>
        </w:rPr>
        <w:t>מתרפ״ט</w:t>
      </w:r>
      <w:proofErr w:type="spellEnd"/>
      <w:r>
        <w:rPr>
          <w:rtl/>
        </w:rPr>
        <w:t xml:space="preserve"> ועד תרצ״ה, סיפר לו שבפורים אחד – לא זכר באיזו שנה – ביקשו כמה בחורים </w:t>
      </w:r>
      <w:proofErr w:type="spellStart"/>
      <w:r>
        <w:rPr>
          <w:rtl/>
        </w:rPr>
        <w:t>מהחפץ־חיים</w:t>
      </w:r>
      <w:proofErr w:type="spellEnd"/>
      <w:r>
        <w:rPr>
          <w:rtl/>
        </w:rPr>
        <w:t xml:space="preserve"> לספר להם את סיפור הדיבוק “כדי שתעלה [רמת] הרוחניות [שלהם]”. הוא סירב ואמר: “המנוף הדרוש להעלאת הרוחניות מצוי דיו בהוראות התורה”. אולי הובאה תשובת </w:t>
      </w:r>
      <w:proofErr w:type="spellStart"/>
      <w:r>
        <w:rPr>
          <w:rtl/>
        </w:rPr>
        <w:t>החפץ־חיים</w:t>
      </w:r>
      <w:proofErr w:type="spellEnd"/>
      <w:r>
        <w:rPr>
          <w:rtl/>
        </w:rPr>
        <w:t xml:space="preserve"> לידיעתו של ר׳ אלחנן, והוא החליט לאמץ את איפוקו של רבו. ואף ייתכן שמעשה </w:t>
      </w:r>
      <w:proofErr w:type="spellStart"/>
      <w:r>
        <w:rPr>
          <w:rtl/>
        </w:rPr>
        <w:t>צ׳צ׳יק</w:t>
      </w:r>
      <w:proofErr w:type="spellEnd"/>
      <w:r>
        <w:rPr>
          <w:rtl/>
        </w:rPr>
        <w:t xml:space="preserve"> התרחש בפורים תרצ״ב, ור׳ אלחנן שמע עליו במהלך השנה שלאחר מכן, ולכן לא חזר על הסיפור בפורים הבא, כפי שמדווח הרב </w:t>
      </w:r>
      <w:proofErr w:type="spellStart"/>
      <w:r>
        <w:rPr>
          <w:rtl/>
        </w:rPr>
        <w:t>קצמן</w:t>
      </w:r>
      <w:proofErr w:type="spellEnd"/>
      <w:r>
        <w:rPr>
          <w:rtl/>
        </w:rPr>
        <w:t>.</w:t>
      </w:r>
      <w:bookmarkStart w:id="3674" w:name="_fnr2744"/>
      <w:r>
        <w:rPr>
          <w:rStyle w:val="a5"/>
        </w:rPr>
        <w:footnoteReference w:id="2751" w:customMarkFollows="0"/>
      </w:r>
      <w:bookmarkEnd w:id="3674"/>
    </w:p>
    <w:p w14:paraId="3D2D3038" w14:textId="77777777" w:rsidR="00AB3647" w:rsidRDefault="00000000" w:rsidP="007923E9">
      <w:pPr>
        <w:spacing w:after="120" w:line="276" w:lineRule="auto"/>
        <w:ind w:firstLine="283"/>
        <w:jc w:val="both"/>
      </w:pPr>
      <w:r>
        <w:rPr>
          <w:rtl/>
        </w:rPr>
        <w:t xml:space="preserve">ודאי שבני משפחתו של </w:t>
      </w:r>
      <w:proofErr w:type="spellStart"/>
      <w:r>
        <w:rPr>
          <w:rtl/>
        </w:rPr>
        <w:t>החפץ־חיים</w:t>
      </w:r>
      <w:proofErr w:type="spellEnd"/>
      <w:r>
        <w:rPr>
          <w:rtl/>
        </w:rPr>
        <w:t xml:space="preserve"> ביטלו את סיפור הדיבוק כולו. שוחחתי עם צאצאים בני זמננו</w:t>
      </w:r>
      <w:bookmarkStart w:id="3675" w:name="_fnr2745"/>
      <w:r>
        <w:rPr>
          <w:rStyle w:val="a5"/>
        </w:rPr>
        <w:footnoteReference w:id="2752" w:customMarkFollows="0"/>
      </w:r>
      <w:bookmarkEnd w:id="3675"/>
      <w:r>
        <w:rPr>
          <w:rtl/>
        </w:rPr>
        <w:t xml:space="preserve"> המפקפקים </w:t>
      </w:r>
      <w:proofErr w:type="spellStart"/>
      <w:r>
        <w:rPr>
          <w:rtl/>
        </w:rPr>
        <w:t>באמיתותו</w:t>
      </w:r>
      <w:proofErr w:type="spellEnd"/>
      <w:r>
        <w:rPr>
          <w:rtl/>
        </w:rPr>
        <w:t xml:space="preserve">. ר׳ שלמה פישר דיווח כי מחותנו המנוח ר׳ הירש זקס, נכדו של </w:t>
      </w:r>
      <w:proofErr w:type="spellStart"/>
      <w:r>
        <w:rPr>
          <w:rtl/>
        </w:rPr>
        <w:t>החפץ־חיים</w:t>
      </w:r>
      <w:proofErr w:type="spellEnd"/>
      <w:r>
        <w:rPr>
          <w:rtl/>
        </w:rPr>
        <w:t>,</w:t>
      </w:r>
      <w:bookmarkStart w:id="3676" w:name="_fnr2746"/>
      <w:r>
        <w:rPr>
          <w:rStyle w:val="a5"/>
        </w:rPr>
        <w:footnoteReference w:id="2753" w:customMarkFollows="0"/>
      </w:r>
      <w:bookmarkEnd w:id="3676"/>
      <w:r>
        <w:rPr>
          <w:rtl/>
        </w:rPr>
        <w:t xml:space="preserve"> ביטל את הסיפור. ר׳ דוד </w:t>
      </w:r>
      <w:proofErr w:type="spellStart"/>
      <w:r>
        <w:rPr>
          <w:rtl/>
        </w:rPr>
        <w:t>מוסטופסקי</w:t>
      </w:r>
      <w:proofErr w:type="spellEnd"/>
      <w:r>
        <w:rPr>
          <w:rtl/>
        </w:rPr>
        <w:t xml:space="preserve"> גילה</w:t>
      </w:r>
      <w:bookmarkStart w:id="3677" w:name="_fnr2747"/>
      <w:r>
        <w:rPr>
          <w:rStyle w:val="a5"/>
        </w:rPr>
        <w:footnoteReference w:id="2754" w:customMarkFollows="0"/>
      </w:r>
      <w:bookmarkEnd w:id="3677"/>
      <w:r>
        <w:rPr>
          <w:rtl/>
        </w:rPr>
        <w:t xml:space="preserve"> כי ר׳ מנדל זקס, הבוחן </w:t>
      </w:r>
      <w:r>
        <w:rPr>
          <w:rtl/>
        </w:rPr>
        <w:lastRenderedPageBreak/>
        <w:t xml:space="preserve">בישיבה שבה למד, ישיבת רבנו יצחק אלחנן, לעג לסיפור. ר׳ </w:t>
      </w:r>
      <w:proofErr w:type="spellStart"/>
      <w:r>
        <w:rPr>
          <w:rtl/>
        </w:rPr>
        <w:t>בן־ציון</w:t>
      </w:r>
      <w:proofErr w:type="spellEnd"/>
      <w:r>
        <w:rPr>
          <w:rtl/>
        </w:rPr>
        <w:t xml:space="preserve"> סובל מסר</w:t>
      </w:r>
      <w:bookmarkStart w:id="3678" w:name="_fnr2748"/>
      <w:r>
        <w:rPr>
          <w:rStyle w:val="a5"/>
        </w:rPr>
        <w:footnoteReference w:id="2755" w:customMarkFollows="0"/>
      </w:r>
      <w:bookmarkEnd w:id="3678"/>
      <w:r>
        <w:rPr>
          <w:rtl/>
        </w:rPr>
        <w:t xml:space="preserve"> כי ר׳ רפאל ולרשטיין, “מי שהיה מקורב מאוד </w:t>
      </w:r>
      <w:proofErr w:type="spellStart"/>
      <w:r>
        <w:rPr>
          <w:rtl/>
        </w:rPr>
        <w:t>לר</w:t>
      </w:r>
      <w:proofErr w:type="spellEnd"/>
      <w:r>
        <w:rPr>
          <w:rtl/>
        </w:rPr>
        <w:t xml:space="preserve">׳ מנדל זקס”, הודיע לו שר׳ מנדל הכחיש את הסיפור כולו. כשר׳ </w:t>
      </w:r>
      <w:proofErr w:type="spellStart"/>
      <w:r>
        <w:rPr>
          <w:rtl/>
        </w:rPr>
        <w:t>בן־ציון</w:t>
      </w:r>
      <w:proofErr w:type="spellEnd"/>
      <w:r>
        <w:rPr>
          <w:rtl/>
        </w:rPr>
        <w:t xml:space="preserve"> שאל את ר׳ מנדל במישרין אם הסיפור התרחש באמת, השיב לו: “מי הוא כביכול שסיפר את הסיפור?” וכשהשיב ר׳ </w:t>
      </w:r>
      <w:proofErr w:type="spellStart"/>
      <w:r>
        <w:rPr>
          <w:rtl/>
        </w:rPr>
        <w:t>בן־ציון</w:t>
      </w:r>
      <w:proofErr w:type="spellEnd"/>
      <w:r>
        <w:rPr>
          <w:rtl/>
        </w:rPr>
        <w:t xml:space="preserve"> “ר׳ אלחנן”, הרב זקס פשוט שתק. מכאן שאף שהכחיש את הסיפור, לא רצה ר׳ מנדל להתעמת במישרין עם ר׳ אלחנן.</w:t>
      </w:r>
    </w:p>
    <w:p w14:paraId="099F9B87" w14:textId="77777777" w:rsidR="00AB3647" w:rsidRDefault="00000000" w:rsidP="007923E9">
      <w:pPr>
        <w:spacing w:after="120" w:line="276" w:lineRule="auto"/>
        <w:ind w:firstLine="283"/>
        <w:jc w:val="both"/>
      </w:pPr>
      <w:r>
        <w:rPr>
          <w:rtl/>
        </w:rPr>
        <w:t xml:space="preserve">בנו הבכור של </w:t>
      </w:r>
      <w:proofErr w:type="spellStart"/>
      <w:r>
        <w:rPr>
          <w:rtl/>
        </w:rPr>
        <w:t>החפץ־חיים</w:t>
      </w:r>
      <w:proofErr w:type="spellEnd"/>
      <w:r>
        <w:rPr>
          <w:rtl/>
        </w:rPr>
        <w:t xml:space="preserve">, ר׳ </w:t>
      </w:r>
      <w:proofErr w:type="spellStart"/>
      <w:r>
        <w:rPr>
          <w:rtl/>
        </w:rPr>
        <w:t>אריה־לייב</w:t>
      </w:r>
      <w:proofErr w:type="spellEnd"/>
      <w:r>
        <w:rPr>
          <w:rtl/>
        </w:rPr>
        <w:t xml:space="preserve"> </w:t>
      </w:r>
      <w:proofErr w:type="spellStart"/>
      <w:r>
        <w:rPr>
          <w:rtl/>
        </w:rPr>
        <w:t>פופקו</w:t>
      </w:r>
      <w:proofErr w:type="spellEnd"/>
      <w:r>
        <w:rPr>
          <w:rtl/>
        </w:rPr>
        <w:t>, הדפיס מחדש בספרו “כל כתבי החפץ חיים”</w:t>
      </w:r>
      <w:bookmarkStart w:id="3679" w:name="_fnr2749"/>
      <w:r>
        <w:rPr>
          <w:rStyle w:val="a5"/>
        </w:rPr>
        <w:footnoteReference w:id="2756" w:customMarkFollows="0"/>
      </w:r>
      <w:bookmarkEnd w:id="3679"/>
      <w:r>
        <w:rPr>
          <w:rtl/>
        </w:rPr>
        <w:t xml:space="preserve"> מאמר שהתפרסם בעיתון “הדרך” חודש לאחר פטירת אביו. את המאמר כתב, בשם העט “מחר הלוי”, אדם שהעיד על עצמו שהיה “מקורב לבית </w:t>
      </w:r>
      <w:proofErr w:type="spellStart"/>
      <w:r>
        <w:rPr>
          <w:rtl/>
        </w:rPr>
        <w:t>החפץ־חיים</w:t>
      </w:r>
      <w:proofErr w:type="spellEnd"/>
      <w:r>
        <w:rPr>
          <w:rtl/>
        </w:rPr>
        <w:t xml:space="preserve">”. הרב </w:t>
      </w:r>
      <w:proofErr w:type="spellStart"/>
      <w:r>
        <w:rPr>
          <w:rtl/>
        </w:rPr>
        <w:t>פופקו</w:t>
      </w:r>
      <w:proofErr w:type="spellEnd"/>
      <w:r>
        <w:rPr>
          <w:rtl/>
        </w:rPr>
        <w:t xml:space="preserve"> מקדים למאמר דברי שבח: “הדברים והתיאורים [שבמאמר] אינם מוגזמים. הם </w:t>
      </w:r>
      <w:r>
        <w:rPr>
          <w:b/>
          <w:bCs/>
          <w:rtl/>
        </w:rPr>
        <w:t>נעלה ונשגב</w:t>
      </w:r>
      <w:r>
        <w:rPr>
          <w:rtl/>
        </w:rPr>
        <w:t>, והם אמת”. בין השאר מספר המאמר</w:t>
      </w:r>
      <w:bookmarkStart w:id="3680" w:name="_fnr2750"/>
      <w:r>
        <w:rPr>
          <w:rStyle w:val="a5"/>
        </w:rPr>
        <w:footnoteReference w:id="2757" w:customMarkFollows="0"/>
      </w:r>
      <w:bookmarkEnd w:id="3680"/>
      <w:r>
        <w:rPr>
          <w:rtl/>
        </w:rPr>
        <w:t xml:space="preserve">: “השקפתו של </w:t>
      </w:r>
      <w:proofErr w:type="spellStart"/>
      <w:r>
        <w:rPr>
          <w:rtl/>
        </w:rPr>
        <w:t>החפץ־חיים</w:t>
      </w:r>
      <w:proofErr w:type="spellEnd"/>
      <w:r>
        <w:rPr>
          <w:rtl/>
        </w:rPr>
        <w:t xml:space="preserve"> הייתה רציונלית בעליל, בלי ערפול מיסטי </w:t>
      </w:r>
      <w:proofErr w:type="spellStart"/>
      <w:r>
        <w:rPr>
          <w:rtl/>
        </w:rPr>
        <w:t>ו‘השתלבות</w:t>
      </w:r>
      <w:proofErr w:type="spellEnd"/>
      <w:r>
        <w:rPr>
          <w:rtl/>
        </w:rPr>
        <w:t xml:space="preserve"> על </w:t>
      </w:r>
      <w:proofErr w:type="spellStart"/>
      <w:r>
        <w:rPr>
          <w:rtl/>
        </w:rPr>
        <w:t>סולמים</w:t>
      </w:r>
      <w:proofErr w:type="spellEnd"/>
      <w:r>
        <w:rPr>
          <w:rtl/>
        </w:rPr>
        <w:t>’ [טיפוס על סולמות]</w:t>
      </w:r>
      <w:bookmarkStart w:id="3681" w:name="_fnr2751"/>
      <w:r>
        <w:rPr>
          <w:rStyle w:val="a5"/>
        </w:rPr>
        <w:footnoteReference w:id="2758" w:customMarkFollows="0"/>
      </w:r>
      <w:bookmarkEnd w:id="3681"/>
      <w:r>
        <w:rPr>
          <w:rtl/>
        </w:rPr>
        <w:t xml:space="preserve">, בלי אשליות, בלי אמונות טפלות. מספרים כיצד יהודים כואבים ושבורים הביאו לפניו נערה צעירה שקראה כתרנגול והשמיעה קולות משונים. ‘רבנו הקדוש’, זעקו היהודים בבכי והתחננו לפניו, ‘הושיעה לנו! דיבוק נכנס בנערה – רחמנא ליצלן – ואתה, רבנו, חייב לגרשו מתוכה’. </w:t>
      </w:r>
      <w:proofErr w:type="spellStart"/>
      <w:r>
        <w:rPr>
          <w:rtl/>
        </w:rPr>
        <w:t>החפץ־חיים</w:t>
      </w:r>
      <w:proofErr w:type="spellEnd"/>
      <w:r>
        <w:rPr>
          <w:rtl/>
        </w:rPr>
        <w:t xml:space="preserve"> השתתף בצערם, ניחם אותם, דיבר על לבם: ‘אין זה דיבוק’, אמר. ‘זו מעין מחלה. לכו אל הרופא – הוא יהיה שליחו של הקדוש ברוך הוא וירפא אותה...’” ברור מן ההקשר </w:t>
      </w:r>
      <w:proofErr w:type="spellStart"/>
      <w:r>
        <w:rPr>
          <w:rtl/>
        </w:rPr>
        <w:t>ש“מחר</w:t>
      </w:r>
      <w:proofErr w:type="spellEnd"/>
      <w:r>
        <w:rPr>
          <w:rtl/>
        </w:rPr>
        <w:t xml:space="preserve"> הלוי” שלל את כל סיפורי הנסתר הנוגעים </w:t>
      </w:r>
      <w:proofErr w:type="spellStart"/>
      <w:r>
        <w:rPr>
          <w:rtl/>
        </w:rPr>
        <w:t>לחפץ־חיים</w:t>
      </w:r>
      <w:proofErr w:type="spellEnd"/>
      <w:r>
        <w:rPr>
          <w:rtl/>
        </w:rPr>
        <w:t xml:space="preserve">, ומהסכמתו של הרב </w:t>
      </w:r>
      <w:proofErr w:type="spellStart"/>
      <w:r>
        <w:rPr>
          <w:rtl/>
        </w:rPr>
        <w:t>פופקו</w:t>
      </w:r>
      <w:proofErr w:type="spellEnd"/>
      <w:r>
        <w:rPr>
          <w:rtl/>
        </w:rPr>
        <w:t xml:space="preserve"> ברור שהסכים עמו.</w:t>
      </w:r>
    </w:p>
    <w:p w14:paraId="4B1E52F3" w14:textId="77777777" w:rsidR="00AB3647" w:rsidRDefault="00000000" w:rsidP="007923E9">
      <w:pPr>
        <w:spacing w:after="120" w:line="276" w:lineRule="auto"/>
        <w:ind w:firstLine="283"/>
        <w:jc w:val="both"/>
      </w:pPr>
      <w:r>
        <w:rPr>
          <w:rtl/>
        </w:rPr>
        <w:t xml:space="preserve">ר׳ שלמה </w:t>
      </w:r>
      <w:proofErr w:type="spellStart"/>
      <w:r>
        <w:rPr>
          <w:rtl/>
        </w:rPr>
        <w:t>וולבה</w:t>
      </w:r>
      <w:proofErr w:type="spellEnd"/>
      <w:r>
        <w:rPr>
          <w:rtl/>
        </w:rPr>
        <w:t xml:space="preserve"> סיפר</w:t>
      </w:r>
      <w:bookmarkStart w:id="3682" w:name="_fnr2752"/>
      <w:r>
        <w:rPr>
          <w:rStyle w:val="a5"/>
        </w:rPr>
        <w:footnoteReference w:id="2759" w:customMarkFollows="0"/>
      </w:r>
      <w:bookmarkEnd w:id="3682"/>
      <w:r>
        <w:rPr>
          <w:rtl/>
        </w:rPr>
        <w:t xml:space="preserve"> שר׳ ירוחם </w:t>
      </w:r>
      <w:proofErr w:type="spellStart"/>
      <w:r>
        <w:rPr>
          <w:rtl/>
        </w:rPr>
        <w:t>ליבוביץ</w:t>
      </w:r>
      <w:proofErr w:type="spellEnd"/>
      <w:r>
        <w:rPr>
          <w:rtl/>
        </w:rPr>
        <w:t xml:space="preserve">, המשגיח של </w:t>
      </w:r>
      <w:proofErr w:type="spellStart"/>
      <w:r>
        <w:rPr>
          <w:rtl/>
        </w:rPr>
        <w:t>מיר</w:t>
      </w:r>
      <w:proofErr w:type="spellEnd"/>
      <w:r>
        <w:rPr>
          <w:rtl/>
        </w:rPr>
        <w:t>, שהיה שותף בסיפור הדיבוק</w:t>
      </w:r>
      <w:bookmarkStart w:id="3683" w:name="_fnr2753"/>
      <w:r>
        <w:rPr>
          <w:rStyle w:val="a5"/>
        </w:rPr>
        <w:footnoteReference w:id="2760" w:customMarkFollows="0"/>
      </w:r>
      <w:bookmarkEnd w:id="3683"/>
      <w:r>
        <w:rPr>
          <w:rtl/>
        </w:rPr>
        <w:t>, סבר שלא דיבוק נכנס בנערה הצעירה, אלא שהיא סבלה ממחלת נפש</w:t>
      </w:r>
      <w:bookmarkStart w:id="3684" w:name="_fnr2754"/>
      <w:r>
        <w:rPr>
          <w:rStyle w:val="a5"/>
        </w:rPr>
        <w:footnoteReference w:id="2761" w:customMarkFollows="0"/>
      </w:r>
      <w:bookmarkEnd w:id="3684"/>
      <w:r>
        <w:rPr>
          <w:rtl/>
        </w:rPr>
        <w:t xml:space="preserve">. ר׳ </w:t>
      </w:r>
      <w:proofErr w:type="spellStart"/>
      <w:r>
        <w:rPr>
          <w:rtl/>
        </w:rPr>
        <w:t>יוסף־שלמה</w:t>
      </w:r>
      <w:proofErr w:type="spellEnd"/>
      <w:r>
        <w:rPr>
          <w:rtl/>
        </w:rPr>
        <w:t xml:space="preserve"> </w:t>
      </w:r>
      <w:proofErr w:type="spellStart"/>
      <w:r>
        <w:rPr>
          <w:rtl/>
        </w:rPr>
        <w:t>כהנמן</w:t>
      </w:r>
      <w:proofErr w:type="spellEnd"/>
      <w:r>
        <w:rPr>
          <w:rtl/>
        </w:rPr>
        <w:t xml:space="preserve">, רב </w:t>
      </w:r>
      <w:proofErr w:type="spellStart"/>
      <w:r>
        <w:rPr>
          <w:rtl/>
        </w:rPr>
        <w:t>פוניבז</w:t>
      </w:r>
      <w:proofErr w:type="spellEnd"/>
      <w:r>
        <w:rPr>
          <w:rtl/>
        </w:rPr>
        <w:t>׳, שהיה אחד מן המשתתפים בשיחה עם הנערה</w:t>
      </w:r>
      <w:bookmarkStart w:id="3685" w:name="_fnr2755"/>
      <w:r>
        <w:rPr>
          <w:rStyle w:val="a5"/>
        </w:rPr>
        <w:footnoteReference w:id="2762" w:customMarkFollows="0"/>
      </w:r>
      <w:bookmarkEnd w:id="3685"/>
      <w:r>
        <w:rPr>
          <w:rtl/>
        </w:rPr>
        <w:t xml:space="preserve">, אמר לתלמידו המקורב בלונדון ר׳ יעקב </w:t>
      </w:r>
      <w:proofErr w:type="spellStart"/>
      <w:r>
        <w:rPr>
          <w:rtl/>
        </w:rPr>
        <w:t>לויסון</w:t>
      </w:r>
      <w:proofErr w:type="spellEnd"/>
      <w:r>
        <w:rPr>
          <w:rtl/>
        </w:rPr>
        <w:t xml:space="preserve"> שהיא – “בתו של ר׳ נחום </w:t>
      </w:r>
      <w:proofErr w:type="spellStart"/>
      <w:r>
        <w:rPr>
          <w:rtl/>
        </w:rPr>
        <w:t>סטרלצר</w:t>
      </w:r>
      <w:proofErr w:type="spellEnd"/>
      <w:r>
        <w:rPr>
          <w:rtl/>
        </w:rPr>
        <w:t xml:space="preserve"> מן הכפר הפולני הקטן </w:t>
      </w:r>
      <w:proofErr w:type="spellStart"/>
      <w:r>
        <w:rPr>
          <w:rtl/>
        </w:rPr>
        <w:t>פסקולי</w:t>
      </w:r>
      <w:proofErr w:type="spellEnd"/>
      <w:r>
        <w:rPr>
          <w:rtl/>
        </w:rPr>
        <w:t xml:space="preserve">” – השתמשה בלשון גסה בשעת ההתקף, ועובדה זו מעידה שלא “נכנס” בה יצור רוחני. רב </w:t>
      </w:r>
      <w:proofErr w:type="spellStart"/>
      <w:r>
        <w:rPr>
          <w:rtl/>
        </w:rPr>
        <w:t>פוניבז</w:t>
      </w:r>
      <w:proofErr w:type="spellEnd"/>
      <w:r>
        <w:rPr>
          <w:rtl/>
        </w:rPr>
        <w:t xml:space="preserve">׳ הוסיף שנראה אפשרי שרוח תשמיע דברי כפירה וגידוף, עניינים בעלי אופי פילוסופי, אך לא ניבול פה. ר׳ </w:t>
      </w:r>
      <w:proofErr w:type="spellStart"/>
      <w:r>
        <w:rPr>
          <w:rtl/>
        </w:rPr>
        <w:t>יוסף־שלמה</w:t>
      </w:r>
      <w:proofErr w:type="spellEnd"/>
      <w:r>
        <w:rPr>
          <w:rtl/>
        </w:rPr>
        <w:t xml:space="preserve"> טען </w:t>
      </w:r>
      <w:proofErr w:type="spellStart"/>
      <w:r>
        <w:rPr>
          <w:rtl/>
        </w:rPr>
        <w:t>שהחפץ־חיים</w:t>
      </w:r>
      <w:proofErr w:type="spellEnd"/>
      <w:r>
        <w:rPr>
          <w:rtl/>
        </w:rPr>
        <w:t xml:space="preserve"> חייך בהסכמה כשנאמרה דעה זו, ובכך יצר את הרושם שגם הרב לא האמין שדיבוק השתלט על הצעירה</w:t>
      </w:r>
      <w:bookmarkStart w:id="3686" w:name="_fnr2756"/>
      <w:r>
        <w:rPr>
          <w:rStyle w:val="a5"/>
        </w:rPr>
        <w:footnoteReference w:id="2763" w:customMarkFollows="0"/>
      </w:r>
      <w:bookmarkEnd w:id="3686"/>
      <w:r>
        <w:rPr>
          <w:rtl/>
        </w:rPr>
        <w:t xml:space="preserve">. לדעת ר׳ </w:t>
      </w:r>
      <w:proofErr w:type="spellStart"/>
      <w:r>
        <w:rPr>
          <w:rtl/>
        </w:rPr>
        <w:t>יוסף־</w:t>
      </w:r>
      <w:r>
        <w:rPr>
          <w:rtl/>
        </w:rPr>
        <w:lastRenderedPageBreak/>
        <w:t>שלמה</w:t>
      </w:r>
      <w:proofErr w:type="spellEnd"/>
      <w:r>
        <w:rPr>
          <w:rtl/>
        </w:rPr>
        <w:t xml:space="preserve"> </w:t>
      </w:r>
      <w:proofErr w:type="spellStart"/>
      <w:r>
        <w:rPr>
          <w:rtl/>
        </w:rPr>
        <w:t>כהנמן</w:t>
      </w:r>
      <w:proofErr w:type="spellEnd"/>
      <w:r>
        <w:rPr>
          <w:rtl/>
        </w:rPr>
        <w:t xml:space="preserve">, </w:t>
      </w:r>
      <w:proofErr w:type="spellStart"/>
      <w:r>
        <w:rPr>
          <w:rtl/>
        </w:rPr>
        <w:t>החפץ־חיים</w:t>
      </w:r>
      <w:proofErr w:type="spellEnd"/>
      <w:r>
        <w:rPr>
          <w:rtl/>
        </w:rPr>
        <w:t xml:space="preserve"> לא הכריז בגלוי שאין בנערה דיבוק אלא מצב נפשי, כדי שלא להכתים את שמה הטוב של הצעירה ושל כל משפחת </w:t>
      </w:r>
      <w:proofErr w:type="spellStart"/>
      <w:r>
        <w:rPr>
          <w:rtl/>
        </w:rPr>
        <w:t>סטרלצר</w:t>
      </w:r>
      <w:bookmarkStart w:id="3687" w:name="_fnr2757"/>
      <w:bookmarkStart w:id="3688" w:name="pr_f_2654"/>
      <w:proofErr w:type="spellEnd"/>
      <w:r>
        <w:rPr>
          <w:rStyle w:val="a5"/>
        </w:rPr>
        <w:footnoteReference w:id="2764" w:customMarkFollows="0"/>
      </w:r>
      <w:bookmarkEnd w:id="3687"/>
      <w:bookmarkEnd w:id="3688"/>
      <w:r>
        <w:rPr>
          <w:rtl/>
        </w:rPr>
        <w:t>.</w:t>
      </w:r>
    </w:p>
    <w:p w14:paraId="65610400" w14:textId="77777777" w:rsidR="00AB3647" w:rsidRDefault="00000000" w:rsidP="007923E9">
      <w:pPr>
        <w:spacing w:after="120" w:line="276" w:lineRule="auto"/>
        <w:ind w:firstLine="283"/>
        <w:jc w:val="both"/>
      </w:pPr>
      <w:r>
        <w:rPr>
          <w:rtl/>
        </w:rPr>
        <w:t>בני ר׳ יוסף סיפר</w:t>
      </w:r>
      <w:bookmarkStart w:id="3689" w:name="_fnr2758"/>
      <w:r>
        <w:rPr>
          <w:rStyle w:val="a5"/>
        </w:rPr>
        <w:footnoteReference w:id="2765" w:customMarkFollows="0"/>
      </w:r>
      <w:bookmarkEnd w:id="3689"/>
      <w:r>
        <w:rPr>
          <w:rtl/>
        </w:rPr>
        <w:t xml:space="preserve"> כי לדברי ר׳ נתן </w:t>
      </w:r>
      <w:proofErr w:type="spellStart"/>
      <w:r>
        <w:rPr>
          <w:rtl/>
        </w:rPr>
        <w:t>שולמן</w:t>
      </w:r>
      <w:proofErr w:type="spellEnd"/>
      <w:r>
        <w:rPr>
          <w:rtl/>
        </w:rPr>
        <w:t xml:space="preserve">, ר׳ נפתלי </w:t>
      </w:r>
      <w:proofErr w:type="spellStart"/>
      <w:r>
        <w:rPr>
          <w:rtl/>
        </w:rPr>
        <w:t>טרופ</w:t>
      </w:r>
      <w:proofErr w:type="spellEnd"/>
      <w:r>
        <w:rPr>
          <w:rtl/>
        </w:rPr>
        <w:t xml:space="preserve"> הכחיש את סיפור הדיבוק – אף ששמו נקשר בסיפור.</w:t>
      </w:r>
      <w:bookmarkStart w:id="3690" w:name="_fnr2759"/>
      <w:r>
        <w:rPr>
          <w:rStyle w:val="a5"/>
        </w:rPr>
        <w:footnoteReference w:id="2766" w:customMarkFollows="0"/>
      </w:r>
      <w:bookmarkEnd w:id="3690"/>
      <w:r>
        <w:rPr>
          <w:rtl/>
        </w:rPr>
        <w:t xml:space="preserve"> דודו של ר׳ נתן, ר׳ בנימין </w:t>
      </w:r>
      <w:proofErr w:type="spellStart"/>
      <w:r>
        <w:rPr>
          <w:rtl/>
        </w:rPr>
        <w:t>שולמן</w:t>
      </w:r>
      <w:proofErr w:type="spellEnd"/>
      <w:r>
        <w:rPr>
          <w:rtl/>
        </w:rPr>
        <w:t xml:space="preserve">, שלמד </w:t>
      </w:r>
      <w:proofErr w:type="spellStart"/>
      <w:r>
        <w:rPr>
          <w:rtl/>
        </w:rPr>
        <w:t>בראדין</w:t>
      </w:r>
      <w:proofErr w:type="spellEnd"/>
      <w:r>
        <w:rPr>
          <w:rtl/>
        </w:rPr>
        <w:t xml:space="preserve"> מאמצע שנות </w:t>
      </w:r>
      <w:proofErr w:type="spellStart"/>
      <w:r>
        <w:rPr>
          <w:rtl/>
        </w:rPr>
        <w:t>התר״פ</w:t>
      </w:r>
      <w:proofErr w:type="spellEnd"/>
      <w:r>
        <w:rPr>
          <w:rtl/>
        </w:rPr>
        <w:t xml:space="preserve">, היה נוכח כשאחיינו אמר זאת, והקשה שסיפור הדיבוק היה ידוע לכול בישיבת </w:t>
      </w:r>
      <w:proofErr w:type="spellStart"/>
      <w:r>
        <w:rPr>
          <w:rtl/>
        </w:rPr>
        <w:t>ראדין</w:t>
      </w:r>
      <w:proofErr w:type="spellEnd"/>
      <w:r>
        <w:rPr>
          <w:rtl/>
        </w:rPr>
        <w:t xml:space="preserve"> בימיו. ר׳ נתן השיב בבדיחות הדעת שאין זה המקרה הראשון שבו דודו חולק על דברי ר׳ נפתלי.</w:t>
      </w:r>
    </w:p>
    <w:p w14:paraId="55E35807" w14:textId="77777777" w:rsidR="00AB3647" w:rsidRDefault="00000000" w:rsidP="007923E9">
      <w:pPr>
        <w:spacing w:after="120" w:line="276" w:lineRule="auto"/>
        <w:ind w:firstLine="283"/>
        <w:jc w:val="both"/>
      </w:pPr>
      <w:r>
        <w:rPr>
          <w:rtl/>
        </w:rPr>
        <w:t>השווה גם “ספר מאיר עיני ישראל”,</w:t>
      </w:r>
      <w:bookmarkStart w:id="3691" w:name="_fnr2760"/>
      <w:r>
        <w:rPr>
          <w:rStyle w:val="a5"/>
        </w:rPr>
        <w:footnoteReference w:id="2767" w:customMarkFollows="0"/>
      </w:r>
      <w:bookmarkEnd w:id="3691"/>
      <w:r>
        <w:rPr>
          <w:rtl/>
        </w:rPr>
        <w:t xml:space="preserve"> שבו מדווח תלמיד </w:t>
      </w:r>
      <w:proofErr w:type="spellStart"/>
      <w:r>
        <w:rPr>
          <w:rtl/>
        </w:rPr>
        <w:t>ראדין</w:t>
      </w:r>
      <w:proofErr w:type="spellEnd"/>
      <w:r>
        <w:rPr>
          <w:rtl/>
        </w:rPr>
        <w:t xml:space="preserve"> אחר, ר׳ קלמן פרבר, שהגיע לישיבה מעט אחרי הרב </w:t>
      </w:r>
      <w:proofErr w:type="spellStart"/>
      <w:r>
        <w:rPr>
          <w:rtl/>
        </w:rPr>
        <w:t>שולמן</w:t>
      </w:r>
      <w:proofErr w:type="spellEnd"/>
      <w:r>
        <w:rPr>
          <w:rtl/>
        </w:rPr>
        <w:t>: “[אנשי הישיבה] נמנעו מלדבר על סיפור [הדיבוק] והשתדלו שלא לפרסמו, מפני שחששו שאנשים לא יאמינו בו וילעגו לו”. השווה גם שם,</w:t>
      </w:r>
      <w:bookmarkStart w:id="3692" w:name="_fnr2761"/>
      <w:r>
        <w:rPr>
          <w:rStyle w:val="a5"/>
        </w:rPr>
        <w:footnoteReference w:id="2768" w:customMarkFollows="0"/>
      </w:r>
      <w:bookmarkEnd w:id="3692"/>
      <w:r>
        <w:rPr>
          <w:rtl/>
        </w:rPr>
        <w:t xml:space="preserve"> שם מרחיק לכת בתיאורו תלמיד </w:t>
      </w:r>
      <w:proofErr w:type="spellStart"/>
      <w:r>
        <w:rPr>
          <w:rtl/>
        </w:rPr>
        <w:t>ראדין</w:t>
      </w:r>
      <w:proofErr w:type="spellEnd"/>
      <w:r>
        <w:rPr>
          <w:rtl/>
        </w:rPr>
        <w:t xml:space="preserve"> אחר, שהגיע מאוחר עוד יותר, ר׳ שלמה אפשטיין, שהצטרף לישיבה </w:t>
      </w:r>
      <w:proofErr w:type="spellStart"/>
      <w:r>
        <w:rPr>
          <w:rtl/>
        </w:rPr>
        <w:t>בתר״ץ</w:t>
      </w:r>
      <w:proofErr w:type="spellEnd"/>
      <w:r>
        <w:rPr>
          <w:rtl/>
        </w:rPr>
        <w:t>: “</w:t>
      </w:r>
      <w:proofErr w:type="spellStart"/>
      <w:r>
        <w:rPr>
          <w:rtl/>
        </w:rPr>
        <w:t>החפץ־חיים</w:t>
      </w:r>
      <w:proofErr w:type="spellEnd"/>
      <w:r>
        <w:rPr>
          <w:rtl/>
        </w:rPr>
        <w:t xml:space="preserve"> </w:t>
      </w:r>
      <w:r>
        <w:rPr>
          <w:b/>
          <w:bCs/>
          <w:rtl/>
        </w:rPr>
        <w:t>לא הרשה</w:t>
      </w:r>
      <w:r>
        <w:rPr>
          <w:rtl/>
        </w:rPr>
        <w:t xml:space="preserve"> (ההדגשה שלי) לדבר על סיפור הדיבוק – למעשה, איני זוכר שדיברו עליו בכל הזמן שהייתי בישיבה, ומלבד ר׳ אלחנן וסרמן איש מאיתנו לא ידע את כל פרטיו. </w:t>
      </w:r>
      <w:proofErr w:type="spellStart"/>
      <w:r>
        <w:rPr>
          <w:rtl/>
        </w:rPr>
        <w:t>החפץ־חיים</w:t>
      </w:r>
      <w:proofErr w:type="spellEnd"/>
      <w:r>
        <w:rPr>
          <w:rtl/>
        </w:rPr>
        <w:t xml:space="preserve"> ידע את הסיפור האמיתי, אך לא התיר לדבר עליו”. נראה שעם חלוף הזמן הלך וגבר דיכויו של סיפור הדיבוק </w:t>
      </w:r>
      <w:proofErr w:type="spellStart"/>
      <w:r>
        <w:rPr>
          <w:rtl/>
        </w:rPr>
        <w:t>בראדין</w:t>
      </w:r>
      <w:proofErr w:type="spellEnd"/>
      <w:r>
        <w:rPr>
          <w:rtl/>
        </w:rPr>
        <w:t>.</w:t>
      </w:r>
    </w:p>
    <w:p w14:paraId="0DB4F131" w14:textId="77777777" w:rsidR="00AB3647" w:rsidRDefault="00000000" w:rsidP="007923E9">
      <w:pPr>
        <w:spacing w:after="120" w:line="276" w:lineRule="auto"/>
        <w:ind w:firstLine="283"/>
        <w:jc w:val="both"/>
      </w:pPr>
      <w:r>
        <w:rPr>
          <w:rtl/>
        </w:rPr>
        <w:t xml:space="preserve">אבל ר׳ לייב </w:t>
      </w:r>
      <w:proofErr w:type="spellStart"/>
      <w:r>
        <w:rPr>
          <w:rtl/>
        </w:rPr>
        <w:t>גרוסנס</w:t>
      </w:r>
      <w:proofErr w:type="spellEnd"/>
      <w:r>
        <w:rPr>
          <w:rtl/>
        </w:rPr>
        <w:t xml:space="preserve"> ציין</w:t>
      </w:r>
      <w:bookmarkStart w:id="3693" w:name="_fnr2762"/>
      <w:r>
        <w:rPr>
          <w:rStyle w:val="a5"/>
        </w:rPr>
        <w:footnoteReference w:id="2769" w:customMarkFollows="0"/>
      </w:r>
      <w:bookmarkEnd w:id="3693"/>
      <w:r>
        <w:rPr>
          <w:rtl/>
        </w:rPr>
        <w:t xml:space="preserve"> ששמע את הרב וסרמן מספר את הסיפור </w:t>
      </w:r>
      <w:r>
        <w:rPr>
          <w:b/>
          <w:bCs/>
          <w:rtl/>
        </w:rPr>
        <w:t>בסוכות</w:t>
      </w:r>
      <w:r>
        <w:rPr>
          <w:rtl/>
        </w:rPr>
        <w:t xml:space="preserve"> תרפ״ו – בניגוד לעדותו של הרב </w:t>
      </w:r>
      <w:proofErr w:type="spellStart"/>
      <w:r>
        <w:rPr>
          <w:rtl/>
        </w:rPr>
        <w:t>קצמן</w:t>
      </w:r>
      <w:proofErr w:type="spellEnd"/>
      <w:r>
        <w:rPr>
          <w:rtl/>
        </w:rPr>
        <w:t xml:space="preserve"> שר׳ אלחנן חזר על הסיפור בפורים בלבד.</w:t>
      </w:r>
    </w:p>
    <w:p w14:paraId="7195A6CF" w14:textId="77777777" w:rsidR="00AB3647" w:rsidRDefault="00000000" w:rsidP="007923E9">
      <w:pPr>
        <w:spacing w:after="120" w:line="276" w:lineRule="auto"/>
        <w:ind w:firstLine="283"/>
        <w:jc w:val="both"/>
      </w:pPr>
      <w:r>
        <w:rPr>
          <w:rtl/>
        </w:rPr>
        <w:t xml:space="preserve">הרב </w:t>
      </w:r>
      <w:proofErr w:type="spellStart"/>
      <w:r>
        <w:rPr>
          <w:rtl/>
        </w:rPr>
        <w:t>גרוסנס</w:t>
      </w:r>
      <w:proofErr w:type="spellEnd"/>
      <w:r>
        <w:rPr>
          <w:rtl/>
        </w:rPr>
        <w:t xml:space="preserve"> נולד בלייפציג </w:t>
      </w:r>
      <w:proofErr w:type="spellStart"/>
      <w:r>
        <w:rPr>
          <w:rtl/>
        </w:rPr>
        <w:t>בתרע״א</w:t>
      </w:r>
      <w:proofErr w:type="spellEnd"/>
      <w:r>
        <w:rPr>
          <w:rtl/>
        </w:rPr>
        <w:t xml:space="preserve">, והצטרף לישיבת </w:t>
      </w:r>
      <w:proofErr w:type="spellStart"/>
      <w:r>
        <w:rPr>
          <w:rtl/>
        </w:rPr>
        <w:t>ראדין</w:t>
      </w:r>
      <w:proofErr w:type="spellEnd"/>
      <w:r>
        <w:rPr>
          <w:rtl/>
        </w:rPr>
        <w:t xml:space="preserve"> בגיל </w:t>
      </w:r>
      <w:proofErr w:type="spellStart"/>
      <w:r>
        <w:rPr>
          <w:rtl/>
        </w:rPr>
        <w:t>שלוש־עשרה</w:t>
      </w:r>
      <w:proofErr w:type="spellEnd"/>
      <w:r>
        <w:rPr>
          <w:rtl/>
        </w:rPr>
        <w:t xml:space="preserve">. הוא אמר: “כעבור שנתיים, בעשרת ימי תשובה, העזתי לגשת אל ר׳ אלחנן, שהיה בא אז מדי שנה </w:t>
      </w:r>
      <w:proofErr w:type="spellStart"/>
      <w:r>
        <w:rPr>
          <w:rtl/>
        </w:rPr>
        <w:t>לראדין</w:t>
      </w:r>
      <w:proofErr w:type="spellEnd"/>
      <w:r>
        <w:rPr>
          <w:rtl/>
        </w:rPr>
        <w:t xml:space="preserve"> לימים הנוראים, וביקשתי לשמוע את סיפור הדיבוק, מפני שהוא יחזק את אמונתי. באותו רגע ר׳ אלחנן רק ‘נתן בי מבט׳. אבל בשמחת בית השואבה, כשהזמין כמה בחורים מבוגרים לשמוע את הסיפור, שלח שליח לחפש את ‘הילד’ ולהזמינו לשמוע גם הוא”.</w:t>
      </w:r>
      <w:bookmarkStart w:id="3694" w:name="_fnr2763"/>
      <w:r>
        <w:rPr>
          <w:rStyle w:val="a5"/>
        </w:rPr>
        <w:footnoteReference w:id="2770" w:customMarkFollows="0"/>
      </w:r>
      <w:bookmarkEnd w:id="3694"/>
      <w:r>
        <w:rPr>
          <w:rtl/>
        </w:rPr>
        <w:t xml:space="preserve"> גם שני קהלים אחרים </w:t>
      </w:r>
      <w:r>
        <w:rPr>
          <w:rtl/>
        </w:rPr>
        <w:lastRenderedPageBreak/>
        <w:t xml:space="preserve">שנזכרו לעיל כמי ששמעו את הסיפור מפי ר׳ אלחנן – משפחת פרידמן בממל ור׳ </w:t>
      </w:r>
      <w:proofErr w:type="spellStart"/>
      <w:r>
        <w:rPr>
          <w:rtl/>
        </w:rPr>
        <w:t xml:space="preserve">בער־הירש</w:t>
      </w:r>
      <w:proofErr w:type="spellEnd"/>
      <w:r>
        <w:rPr>
          <w:rtl/>
        </w:rPr>
        <w:t xml:space="preserve"> </w:t>
      </w:r>
      <w:proofErr w:type="spellStart"/>
      <w:r>
        <w:rPr>
          <w:rtl/>
        </w:rPr>
        <w:t xml:space="preserve">הלר</w:t>
      </w:r>
      <w:proofErr w:type="spellEnd"/>
      <w:r>
        <w:rPr>
          <w:rtl/>
        </w:rPr>
        <w:t xml:space="preserve"> במינסק – לא שמעו אותו בפורים.</w:t>
      </w:r>
    </w:p>
    <w:p w14:paraId="152D5461" w14:textId="77777777" w:rsidR="00AB3647" w:rsidRDefault="00000000" w:rsidP="007923E9">
      <w:pPr>
        <w:pStyle w:val="4"/>
        <w:spacing w:line="276" w:lineRule="auto"/>
      </w:pPr>
      <w:r>
        <w:t>· הפסקה השביעית ·</w:t>
      </w:r>
    </w:p>
    <w:p w14:paraId="070AC66A" w14:textId="77777777" w:rsidR="00AB3647" w:rsidRDefault="00000000" w:rsidP="007923E9">
      <w:pPr>
        <w:pStyle w:val="5"/>
        <w:spacing w:line="276" w:lineRule="auto"/>
      </w:pPr>
      <w:r>
        <w:t>היעלמות הדיבוקים בעת החדשה</w:t>
      </w:r>
    </w:p>
    <w:p w14:paraId="436A7453" w14:textId="77777777" w:rsidR="00AB3647" w:rsidRDefault="00000000" w:rsidP="007923E9">
      <w:pPr>
        <w:spacing w:after="120" w:line="276" w:lineRule="auto"/>
        <w:ind w:firstLine="283"/>
        <w:jc w:val="both"/>
      </w:pPr>
      <w:r>
        <w:rPr>
          <w:rtl/>
        </w:rPr>
        <w:t>את יחסו של רבנו לתופעות כאלה אפשר ללמוד לא רק מהתנגדותו להאריך בדברים על הנסתר ולחקור אותו, אלא גם מספרו “עיונים”,</w:t>
      </w:r>
      <w:bookmarkStart w:id="3695" w:name="_fnr2764"/>
      <w:r>
        <w:rPr>
          <w:rStyle w:val="a5"/>
        </w:rPr>
        <w:footnoteReference w:id="2771" w:customMarkFollows="0"/>
      </w:r>
      <w:bookmarkEnd w:id="3695"/>
      <w:r>
        <w:rPr>
          <w:rtl/>
        </w:rPr>
        <w:t xml:space="preserve"> שבו הוא דן בכוחם של חרטומי מצרים הקדומים ובשאלה מדוע אין עוד מכשפים כאלה. הוא כותב שכל זמן שהתקיים כוח הקדושה </w:t>
      </w:r>
      <w:proofErr w:type="spellStart"/>
      <w:r>
        <w:rPr>
          <w:rtl/>
        </w:rPr>
        <w:t>העל־טבעי</w:t>
      </w:r>
      <w:proofErr w:type="spellEnd"/>
      <w:r>
        <w:rPr>
          <w:rtl/>
        </w:rPr>
        <w:t>, התקיים גם כוח הכישוף. מהדורה מאוחרת יותר של “עיונים במקרא” לאבי</w:t>
      </w:r>
      <w:bookmarkStart w:id="3696" w:name="_fnr2765"/>
      <w:r>
        <w:rPr>
          <w:rStyle w:val="a5"/>
        </w:rPr>
        <w:footnoteReference w:id="2772" w:customMarkFollows="0"/>
      </w:r>
      <w:bookmarkEnd w:id="3696"/>
      <w:r>
        <w:rPr>
          <w:rtl/>
        </w:rPr>
        <w:t xml:space="preserve"> מוסיפה, “מפי השמועה”, התייחסות מפורשת לסיפור הדיבוק: “בהיותי </w:t>
      </w:r>
      <w:proofErr w:type="spellStart"/>
      <w:r>
        <w:rPr>
          <w:rtl/>
        </w:rPr>
        <w:t>בקלם</w:t>
      </w:r>
      <w:proofErr w:type="spellEnd"/>
      <w:r>
        <w:rPr>
          <w:rtl/>
        </w:rPr>
        <w:t xml:space="preserve"> ראיתי שר׳ אלחנן וסרמן כתב בשם </w:t>
      </w:r>
      <w:proofErr w:type="spellStart"/>
      <w:r>
        <w:rPr>
          <w:rtl/>
        </w:rPr>
        <w:t>החפץ־חיים</w:t>
      </w:r>
      <w:proofErr w:type="spellEnd"/>
      <w:r>
        <w:rPr>
          <w:rtl/>
        </w:rPr>
        <w:t xml:space="preserve"> כי מעשה הדיבוק המפורסם שאירע בזמנו יהיה כנראה האחרון, שכן ככל שנחלש כוח התורה והרוחניות, כך ייחלש גם כוח הטומאה”. אבי הוסיף:</w:t>
      </w:r>
      <w:bookmarkStart w:id="3697" w:name="_fnr2766"/>
      <w:r>
        <w:rPr>
          <w:rStyle w:val="a5"/>
        </w:rPr>
        <w:footnoteReference w:id="2773" w:customMarkFollows="0"/>
      </w:r>
      <w:bookmarkEnd w:id="3697"/>
      <w:r>
        <w:rPr>
          <w:rtl/>
        </w:rPr>
        <w:t xml:space="preserve"> “אכן, ייתכן שגם בימינו, במקומות שיהודים עדיין חדורים באמונה וטהורים במעשיהם, יתחזק גם כוח הטומאה, מפני </w:t>
      </w:r>
      <w:proofErr w:type="spellStart"/>
      <w:r>
        <w:rPr>
          <w:rtl/>
        </w:rPr>
        <w:t>ש‘גם</w:t>
      </w:r>
      <w:proofErr w:type="spellEnd"/>
      <w:r>
        <w:rPr>
          <w:rtl/>
        </w:rPr>
        <w:t xml:space="preserve"> את זה לעומת זה עשה </w:t>
      </w:r>
      <w:proofErr w:type="spellStart"/>
      <w:r>
        <w:rPr>
          <w:rtl/>
        </w:rPr>
        <w:t>הא־להים</w:t>
      </w:r>
      <w:proofErr w:type="spellEnd"/>
      <w:r>
        <w:rPr>
          <w:rtl/>
        </w:rPr>
        <w:t>’”.</w:t>
      </w:r>
      <w:bookmarkStart w:id="3698" w:name="_fnr2767"/>
      <w:r>
        <w:rPr>
          <w:rStyle w:val="a5"/>
        </w:rPr>
        <w:footnoteReference w:id="2774" w:customMarkFollows="0"/>
      </w:r>
      <w:bookmarkEnd w:id="3698"/>
    </w:p>
    <w:p w14:paraId="65FD673F" w14:textId="77777777" w:rsidR="00AB3647" w:rsidRDefault="00000000" w:rsidP="007923E9">
      <w:pPr>
        <w:spacing w:after="120" w:line="276" w:lineRule="auto"/>
        <w:ind w:firstLine="283"/>
        <w:jc w:val="both"/>
      </w:pPr>
      <w:r>
        <w:rPr>
          <w:rtl/>
        </w:rPr>
        <w:t>השווה גם “אבי הישיבות”,</w:t>
      </w:r>
      <w:bookmarkStart w:id="3699" w:name="_fnr2768"/>
      <w:r>
        <w:rPr>
          <w:rStyle w:val="a5"/>
        </w:rPr>
        <w:footnoteReference w:id="2775" w:customMarkFollows="0"/>
      </w:r>
      <w:bookmarkEnd w:id="3699"/>
      <w:r>
        <w:rPr>
          <w:rtl/>
        </w:rPr>
        <w:t xml:space="preserve"> שבו נאמר שר׳ יצחק־זאב </w:t>
      </w:r>
      <w:proofErr w:type="spellStart"/>
      <w:r>
        <w:rPr>
          <w:rtl/>
        </w:rPr>
        <w:t>סולובייצ׳יק</w:t>
      </w:r>
      <w:proofErr w:type="spellEnd"/>
      <w:r>
        <w:rPr>
          <w:rtl/>
        </w:rPr>
        <w:t xml:space="preserve"> אמר בשם ר׳ חיים </w:t>
      </w:r>
      <w:proofErr w:type="spellStart"/>
      <w:r>
        <w:rPr>
          <w:rtl/>
        </w:rPr>
        <w:t>מוולוז׳ין</w:t>
      </w:r>
      <w:proofErr w:type="spellEnd"/>
      <w:r>
        <w:rPr>
          <w:rtl/>
        </w:rPr>
        <w:t xml:space="preserve"> שלא יהיה עוד דיבוק</w:t>
      </w:r>
      <w:bookmarkStart w:id="3700" w:name="_fnr2769"/>
      <w:r>
        <w:rPr>
          <w:rStyle w:val="a5"/>
        </w:rPr>
        <w:footnoteReference w:id="2776" w:customMarkFollows="0"/>
      </w:r>
      <w:bookmarkEnd w:id="3700"/>
      <w:r>
        <w:rPr>
          <w:rtl/>
        </w:rPr>
        <w:t xml:space="preserve"> (אחרי זה שהיה בזמנו של ר׳ חיים, </w:t>
      </w:r>
      <w:proofErr w:type="spellStart"/>
      <w:r>
        <w:rPr>
          <w:rtl/>
        </w:rPr>
        <w:t>ש“גילה</w:t>
      </w:r>
      <w:proofErr w:type="spellEnd"/>
      <w:r>
        <w:rPr>
          <w:rtl/>
        </w:rPr>
        <w:t xml:space="preserve"> פרטים מופלאים ומעניינים ביותר על עולם העליון”), אך מטעם אחר: “מפני שהסתר פנים</w:t>
      </w:r>
      <w:bookmarkStart w:id="3701" w:name="_fnr2770"/>
      <w:r>
        <w:rPr>
          <w:rStyle w:val="a5"/>
        </w:rPr>
        <w:footnoteReference w:id="2777" w:customMarkFollows="0"/>
      </w:r>
      <w:bookmarkEnd w:id="3701"/>
      <w:r>
        <w:rPr>
          <w:rtl/>
        </w:rPr>
        <w:t xml:space="preserve"> הולך ומתגבר”.</w:t>
      </w:r>
      <w:bookmarkStart w:id="3702" w:name="_fnr2771"/>
      <w:r>
        <w:rPr>
          <w:rStyle w:val="a5"/>
        </w:rPr>
        <w:footnoteReference w:id="2778" w:customMarkFollows="0"/>
      </w:r>
      <w:bookmarkEnd w:id="3702"/>
    </w:p>
    <w:p w14:paraId="456EC696" w14:textId="77777777" w:rsidR="00AB3647" w:rsidRDefault="00000000" w:rsidP="007923E9">
      <w:pPr>
        <w:pStyle w:val="4"/>
        <w:spacing w:line="276" w:lineRule="auto"/>
      </w:pPr>
      <w:r>
        <w:t>· הפסקה השמינית ·</w:t>
      </w:r>
    </w:p>
    <w:p w14:paraId="45C53525" w14:textId="77777777" w:rsidR="00AB3647" w:rsidRDefault="00000000" w:rsidP="007923E9">
      <w:pPr>
        <w:pStyle w:val="5"/>
        <w:spacing w:line="276" w:lineRule="auto"/>
      </w:pPr>
      <w:r>
        <w:t xml:space="preserve">מסופר סיפור על ראיית הנסתר – ר׳ </w:t>
      </w:r>
      <w:proofErr w:type="spellStart"/>
      <w:r>
        <w:t>מרדכי־מנחם־מנדל</w:t>
      </w:r>
      <w:proofErr w:type="spellEnd"/>
      <w:r>
        <w:t xml:space="preserve"> </w:t>
      </w:r>
      <w:proofErr w:type="spellStart"/>
      <w:r>
        <w:t>אברמצ׳יק</w:t>
      </w:r>
      <w:proofErr w:type="spellEnd"/>
      <w:r>
        <w:t xml:space="preserve"> נקרא בשם שגוי – רבנו לא הסיק שהרבי </w:t>
      </w:r>
      <w:proofErr w:type="spellStart"/>
      <w:r>
        <w:t>מליובאוויטש</w:t>
      </w:r>
      <w:proofErr w:type="spellEnd"/>
      <w:r>
        <w:t xml:space="preserve"> יודע שמטוס יתרסק – רבנו מכין בחור לחזרה ממתיבתא תורה ודעת לאורוגוואי</w:t>
      </w:r>
    </w:p>
    <w:p w14:paraId="39949F50" w14:textId="77777777" w:rsidR="00AB3647" w:rsidRDefault="00000000" w:rsidP="007923E9">
      <w:pPr>
        <w:spacing w:after="120" w:line="276" w:lineRule="auto"/>
        <w:ind w:firstLine="283"/>
        <w:jc w:val="both"/>
      </w:pPr>
      <w:r>
        <w:rPr>
          <w:rtl/>
        </w:rPr>
        <w:t xml:space="preserve">לכאורה, מאחר שאבי ייחס לנסתר מידה מוגבלת של אמינות, אפשר להסביר כך את תגובתו לעצה יוצאת דופן שניתנה </w:t>
      </w:r>
      <w:proofErr w:type="spellStart"/>
      <w:r>
        <w:rPr>
          <w:rtl/>
        </w:rPr>
        <w:t>לר</w:t>
      </w:r>
      <w:proofErr w:type="spellEnd"/>
      <w:r>
        <w:rPr>
          <w:rtl/>
        </w:rPr>
        <w:t xml:space="preserve">׳ </w:t>
      </w:r>
      <w:proofErr w:type="spellStart"/>
      <w:r>
        <w:rPr>
          <w:rtl/>
        </w:rPr>
        <w:t>מרדכי־מנחם־מנדל</w:t>
      </w:r>
      <w:proofErr w:type="spellEnd"/>
      <w:r>
        <w:rPr>
          <w:rtl/>
        </w:rPr>
        <w:t xml:space="preserve"> </w:t>
      </w:r>
      <w:proofErr w:type="spellStart"/>
      <w:r>
        <w:rPr>
          <w:rtl/>
        </w:rPr>
        <w:t>אברמצ׳יק</w:t>
      </w:r>
      <w:proofErr w:type="spellEnd"/>
      <w:r>
        <w:rPr>
          <w:rtl/>
        </w:rPr>
        <w:t xml:space="preserve"> מאורוגוואי, תלמיד מתיבתא תורה ודעת בשנים תשי״א–</w:t>
      </w:r>
      <w:proofErr w:type="spellStart"/>
      <w:r>
        <w:rPr>
          <w:rtl/>
        </w:rPr>
        <w:t>תש״ך</w:t>
      </w:r>
      <w:proofErr w:type="spellEnd"/>
      <w:r>
        <w:rPr>
          <w:rtl/>
        </w:rPr>
        <w:t>.</w:t>
      </w:r>
    </w:p>
    <w:p w14:paraId="15B095DC" w14:textId="77777777" w:rsidR="00AB3647" w:rsidRDefault="00000000" w:rsidP="007923E9">
      <w:pPr>
        <w:spacing w:after="120" w:line="276" w:lineRule="auto"/>
        <w:ind w:firstLine="283"/>
        <w:jc w:val="both"/>
      </w:pPr>
      <w:r>
        <w:rPr>
          <w:rtl/>
        </w:rPr>
        <w:lastRenderedPageBreak/>
        <w:t xml:space="preserve">מאמר בכתב העת </w:t>
      </w:r>
      <w:proofErr w:type="spellStart"/>
      <w:r>
        <w:rPr>
          <w:rtl/>
        </w:rPr>
        <w:t>החב״די</w:t>
      </w:r>
      <w:proofErr w:type="spellEnd"/>
      <w:r>
        <w:rPr>
          <w:rtl/>
        </w:rPr>
        <w:t xml:space="preserve"> “פנימיות (ירחון לבני ישיבות)”</w:t>
      </w:r>
      <w:bookmarkStart w:id="3703" w:name="_fnr2772"/>
      <w:r>
        <w:rPr>
          <w:rStyle w:val="a5"/>
        </w:rPr>
        <w:footnoteReference w:id="2779" w:customMarkFollows="0"/>
      </w:r>
      <w:bookmarkEnd w:id="3703"/>
      <w:r>
        <w:rPr>
          <w:rtl/>
        </w:rPr>
        <w:t xml:space="preserve"> מספר:</w:t>
      </w:r>
      <w:bookmarkStart w:id="3704" w:name="_fnr2773"/>
      <w:r>
        <w:rPr>
          <w:rStyle w:val="a5"/>
        </w:rPr>
        <w:footnoteReference w:id="2780" w:customMarkFollows="0"/>
      </w:r>
      <w:bookmarkEnd w:id="3704"/>
      <w:r>
        <w:rPr>
          <w:rtl/>
        </w:rPr>
        <w:t xml:space="preserve"> “יש סיפור על בחור בשם הרב </w:t>
      </w:r>
      <w:proofErr w:type="spellStart"/>
      <w:r>
        <w:rPr>
          <w:rtl/>
        </w:rPr>
        <w:t>אורלנצ׳יק</w:t>
      </w:r>
      <w:proofErr w:type="spellEnd"/>
      <w:r>
        <w:rPr>
          <w:rtl/>
        </w:rPr>
        <w:t xml:space="preserve">, שהתיישב באורוגוואי לאחר שניצל מן השואה. שמחתו הייתה רבה כשגילה שרבו לשעבר, רבנו, הגיע לארצות הברית, והרב </w:t>
      </w:r>
      <w:proofErr w:type="spellStart"/>
      <w:r>
        <w:rPr>
          <w:rtl/>
        </w:rPr>
        <w:t>אורלנצ׳יק</w:t>
      </w:r>
      <w:proofErr w:type="spellEnd"/>
      <w:r>
        <w:rPr>
          <w:rtl/>
        </w:rPr>
        <w:t xml:space="preserve"> אמר לעצמו: ‘עתה אוכל לשוחח עם מישהו בעניינים רוחניים’. הוא נסע לשם מיד... ו... הביע את רצונו לנצל את ההזדמנות כדי לבקר אצל גדולי התורה שם ולשמוע דברי חיזוק [רוחניים]... אחרי חוויותיו [שערערו את אמונתו] בשואה. ראש הישיבה רבנו המליץ על כמה רבנים מפורסמים, ובהם [ר׳ </w:t>
      </w:r>
      <w:proofErr w:type="spellStart"/>
      <w:r>
        <w:rPr>
          <w:rtl/>
        </w:rPr>
        <w:t>מנחם־מנדל</w:t>
      </w:r>
      <w:proofErr w:type="spellEnd"/>
      <w:r>
        <w:rPr>
          <w:rtl/>
        </w:rPr>
        <w:t xml:space="preserve"> שניאורסון], שזה עתה נתמנה לרבי, והוסיף: ‘מאחר שאומרים עליו שהוא אדם גדול, כדאי לשוחח גם </w:t>
      </w:r>
      <w:proofErr w:type="spellStart"/>
      <w:r>
        <w:rPr>
          <w:rtl/>
        </w:rPr>
        <w:t>איתו</w:t>
      </w:r>
      <w:proofErr w:type="spellEnd"/>
      <w:r>
        <w:rPr>
          <w:rtl/>
        </w:rPr>
        <w:t>’. כשנכנס [</w:t>
      </w:r>
      <w:proofErr w:type="spellStart"/>
      <w:r>
        <w:rPr>
          <w:rtl/>
        </w:rPr>
        <w:t>אורלנצ׳יק</w:t>
      </w:r>
      <w:proofErr w:type="spellEnd"/>
      <w:r>
        <w:rPr>
          <w:rtl/>
        </w:rPr>
        <w:t xml:space="preserve">] לשיחה פרטית </w:t>
      </w:r>
      <w:proofErr w:type="spellStart"/>
      <w:r>
        <w:rPr>
          <w:rtl/>
        </w:rPr>
        <w:t>איתו</w:t>
      </w:r>
      <w:proofErr w:type="spellEnd"/>
      <w:r>
        <w:rPr>
          <w:rtl/>
        </w:rPr>
        <w:t xml:space="preserve">, שאל אותו הרבי </w:t>
      </w:r>
      <w:proofErr w:type="spellStart"/>
      <w:r>
        <w:rPr>
          <w:rtl/>
        </w:rPr>
        <w:t>מליובאוויטש</w:t>
      </w:r>
      <w:proofErr w:type="spellEnd"/>
      <w:r>
        <w:rPr>
          <w:rtl/>
        </w:rPr>
        <w:t xml:space="preserve"> בסוף השיחה מתי ישוב לאורוגוואי. כשהשיב הרב </w:t>
      </w:r>
      <w:proofErr w:type="spellStart"/>
      <w:r>
        <w:rPr>
          <w:rtl/>
        </w:rPr>
        <w:t>אורלנצ׳יק</w:t>
      </w:r>
      <w:proofErr w:type="spellEnd"/>
      <w:r>
        <w:rPr>
          <w:rtl/>
        </w:rPr>
        <w:t xml:space="preserve"> שבקרוב יש לו טיסה, אמר הרבי: ‘מדוע אתה ממהר כל כך עד שאתה צריך לטוס במטוס? להפך, חזור באונייה. אין אתה צריך למהר כל כך. הדבר יארך עוד כמה ימים, אבל עליך לנסוע באונייה’. הרב </w:t>
      </w:r>
      <w:proofErr w:type="spellStart"/>
      <w:r>
        <w:rPr>
          <w:rtl/>
        </w:rPr>
        <w:t>אורלנצ׳יק</w:t>
      </w:r>
      <w:proofErr w:type="spellEnd"/>
      <w:r>
        <w:rPr>
          <w:rtl/>
        </w:rPr>
        <w:t xml:space="preserve"> הופתע מאוד מהתערבותו של הרבי בעניין שלא נשאל עליו, ובייחוד מעצתו, שנראתה תמוהה וחסרת היגיון. כשבא להיפרד מ[ראש ישיבתו] וסיפר לו שהרבי אמר... שייסע באונייה ולא במטוס, ושאל אם לשמוע בקולו, השיב רבו: ‘גם אני איני מבין מה רצה בזה ומה הייתה כוונתו. על פני הדברים נראה שאין לכך בסיס, ובכל זאת, מאחר שאמר לך זאת במפורש, כדאי לנהוג כך. לפחות “</w:t>
      </w:r>
      <w:proofErr w:type="spellStart"/>
      <w:r>
        <w:rPr>
          <w:rtl/>
        </w:rPr>
        <w:t>למיחש</w:t>
      </w:r>
      <w:proofErr w:type="spellEnd"/>
      <w:r>
        <w:rPr>
          <w:rtl/>
        </w:rPr>
        <w:t xml:space="preserve"> בעי”‘.</w:t>
      </w:r>
      <w:bookmarkStart w:id="3705" w:name="_fnr2774"/>
      <w:r>
        <w:rPr>
          <w:rStyle w:val="a5"/>
        </w:rPr>
        <w:footnoteReference w:id="2781" w:customMarkFollows="0"/>
      </w:r>
      <w:bookmarkEnd w:id="3705"/>
      <w:r>
        <w:rPr>
          <w:rtl/>
        </w:rPr>
        <w:t xml:space="preserve"> בסופו של דבר קיים הרב </w:t>
      </w:r>
      <w:proofErr w:type="spellStart"/>
      <w:r>
        <w:rPr>
          <w:rtl/>
        </w:rPr>
        <w:t>אורלנצ׳יק</w:t>
      </w:r>
      <w:proofErr w:type="spellEnd"/>
      <w:r>
        <w:rPr>
          <w:rtl/>
        </w:rPr>
        <w:t xml:space="preserve"> את ההוראה התמוהה... וכשהגיע לביתו דיברו כולם על התרסקותו של המטוס שבו היה אמור הרב </w:t>
      </w:r>
      <w:proofErr w:type="spellStart"/>
      <w:r>
        <w:rPr>
          <w:rtl/>
        </w:rPr>
        <w:t>אורלנצ׳יק</w:t>
      </w:r>
      <w:proofErr w:type="spellEnd"/>
      <w:r>
        <w:rPr>
          <w:rtl/>
        </w:rPr>
        <w:t xml:space="preserve"> לטוס – שלא היו ממנה ניצולים... מאז אומר הרב </w:t>
      </w:r>
      <w:proofErr w:type="spellStart"/>
      <w:r>
        <w:rPr>
          <w:rtl/>
        </w:rPr>
        <w:t>אורלנצ׳יק</w:t>
      </w:r>
      <w:proofErr w:type="spellEnd"/>
      <w:r>
        <w:rPr>
          <w:rtl/>
        </w:rPr>
        <w:t xml:space="preserve"> לעיתים קרובות: ‘הרבי </w:t>
      </w:r>
      <w:proofErr w:type="spellStart"/>
      <w:r>
        <w:rPr>
          <w:rtl/>
        </w:rPr>
        <w:t>מליובאוויטש</w:t>
      </w:r>
      <w:proofErr w:type="spellEnd"/>
      <w:r>
        <w:rPr>
          <w:rtl/>
        </w:rPr>
        <w:t xml:space="preserve"> הציל את חיי’. הרב </w:t>
      </w:r>
      <w:proofErr w:type="spellStart"/>
      <w:r>
        <w:rPr>
          <w:rtl/>
        </w:rPr>
        <w:t>אורלנצ׳יק</w:t>
      </w:r>
      <w:proofErr w:type="spellEnd"/>
      <w:r>
        <w:rPr>
          <w:rtl/>
        </w:rPr>
        <w:t xml:space="preserve"> ובני משפחתו הם ‘ליטאים’ טיפוסיים, וילדיו הם בוגרי </w:t>
      </w:r>
      <w:proofErr w:type="spellStart"/>
      <w:r>
        <w:rPr>
          <w:rtl/>
        </w:rPr>
        <w:t>ה‘ישיבות</w:t>
      </w:r>
      <w:proofErr w:type="spellEnd"/>
      <w:r>
        <w:rPr>
          <w:rtl/>
        </w:rPr>
        <w:t xml:space="preserve"> קדושות’ הליטאיות. בנו, תלמיד ישיבת תורה אור בירושלים, מגלה שאביו אינו מתיר לדבר נגד </w:t>
      </w:r>
      <w:proofErr w:type="spellStart"/>
      <w:r>
        <w:rPr>
          <w:rtl/>
        </w:rPr>
        <w:t>ליובאוויטש</w:t>
      </w:r>
      <w:proofErr w:type="spellEnd"/>
      <w:r>
        <w:rPr>
          <w:rtl/>
        </w:rPr>
        <w:t xml:space="preserve"> בבית, וכשידידיו אומרים: ‘ראה את הדברים התמוהים השונים [שעושה] הרבי </w:t>
      </w:r>
      <w:proofErr w:type="spellStart"/>
      <w:r>
        <w:rPr>
          <w:rtl/>
        </w:rPr>
        <w:t>מליובאוויטש</w:t>
      </w:r>
      <w:proofErr w:type="spellEnd"/>
      <w:r>
        <w:rPr>
          <w:rtl/>
        </w:rPr>
        <w:t>’, הוא משיב להם: ‘כשהורה לי לנסוע באונייה ולא במטוס, גם זה היה תמוה מאוד וחסר היגיון לחלוטין. ובכל זאת, עם הזמן התברר שהוא ראה דברים שלא ראינו והביא בחשבון דברים שלא הבאנו בחשבון’”.</w:t>
      </w:r>
    </w:p>
    <w:p w14:paraId="3271CB93" w14:textId="77777777" w:rsidR="00AB3647" w:rsidRDefault="00000000" w:rsidP="007923E9">
      <w:pPr>
        <w:spacing w:after="120" w:line="276" w:lineRule="auto"/>
        <w:ind w:firstLine="283"/>
        <w:jc w:val="both"/>
      </w:pPr>
      <w:r>
        <w:rPr>
          <w:rtl/>
        </w:rPr>
        <w:t xml:space="preserve">הקורא ודאי יבחין שפסקה זו נפתחה באדם ששמו </w:t>
      </w:r>
      <w:proofErr w:type="spellStart"/>
      <w:r>
        <w:rPr>
          <w:rtl/>
        </w:rPr>
        <w:t>אברמצ׳יק</w:t>
      </w:r>
      <w:proofErr w:type="spellEnd"/>
      <w:r>
        <w:rPr>
          <w:rtl/>
        </w:rPr>
        <w:t xml:space="preserve"> – ויש לו, כמו לכל אדם, לא רק שם משפחה אלא גם שם פרטי – ואחר כך ציטטה באריכות מאמר על אדם ששמו הרב </w:t>
      </w:r>
      <w:proofErr w:type="spellStart"/>
      <w:r>
        <w:rPr>
          <w:rtl/>
        </w:rPr>
        <w:t>אורלנצ׳יק</w:t>
      </w:r>
      <w:proofErr w:type="spellEnd"/>
      <w:r>
        <w:rPr>
          <w:rtl/>
        </w:rPr>
        <w:t xml:space="preserve">, בלי שם פרטי. אסביר. את עיקר הסיפור שנדפס שמעתי מחברותא של אחד מבניו של הרב </w:t>
      </w:r>
      <w:proofErr w:type="spellStart"/>
      <w:r>
        <w:rPr>
          <w:rtl/>
        </w:rPr>
        <w:t>אברמצ׳יק</w:t>
      </w:r>
      <w:proofErr w:type="spellEnd"/>
      <w:r>
        <w:rPr>
          <w:rtl/>
        </w:rPr>
        <w:t xml:space="preserve">, הלומד בישיבת תורה אור – בלי דברי חבריו של הרב </w:t>
      </w:r>
      <w:proofErr w:type="spellStart"/>
      <w:r>
        <w:rPr>
          <w:rtl/>
        </w:rPr>
        <w:t>אורלנצ׳יק</w:t>
      </w:r>
      <w:proofErr w:type="spellEnd"/>
      <w:r>
        <w:rPr>
          <w:rtl/>
        </w:rPr>
        <w:t xml:space="preserve"> המתנגדים לדרכיו הסתומות של הרבי, ובלי שהגן על הרבי בראיה מראיית הנסתר של הרבי. מאחר שאבי היה מעורב בסיפור, כתבתי מיד, בכ׳ בכסלו תשנ״ה, מכתב לאורוגוואי וביקשתי מהרב </w:t>
      </w:r>
      <w:proofErr w:type="spellStart"/>
      <w:r>
        <w:rPr>
          <w:rtl/>
        </w:rPr>
        <w:t>אברמצ׳יק</w:t>
      </w:r>
      <w:proofErr w:type="spellEnd"/>
      <w:r>
        <w:rPr>
          <w:rtl/>
        </w:rPr>
        <w:t xml:space="preserve"> פרטים. אבל בטעות פניתי אליו בשם “הרב </w:t>
      </w:r>
      <w:proofErr w:type="spellStart"/>
      <w:r>
        <w:rPr>
          <w:rtl/>
        </w:rPr>
        <w:t>אורלנצ׳יק</w:t>
      </w:r>
      <w:proofErr w:type="spellEnd"/>
      <w:r>
        <w:rPr>
          <w:rtl/>
        </w:rPr>
        <w:t xml:space="preserve">”, ולא השתמשתי בשמו הפרטי בהתכתבותי. נשגב מבינתי כיצד הגיע מכתבי, ובו שם מוטעה וחסר, לידי חסידי </w:t>
      </w:r>
      <w:proofErr w:type="spellStart"/>
      <w:r>
        <w:rPr>
          <w:rtl/>
        </w:rPr>
        <w:t>ליובאוויטש</w:t>
      </w:r>
      <w:proofErr w:type="spellEnd"/>
      <w:r>
        <w:rPr>
          <w:rtl/>
        </w:rPr>
        <w:t>, שיצרו על סמך הסיפור הזה מאמר שלם וצבעו אותו בגוונים שונים.</w:t>
      </w:r>
    </w:p>
    <w:p w14:paraId="529B9826" w14:textId="77777777" w:rsidR="00AB3647" w:rsidRDefault="00000000" w:rsidP="007923E9">
      <w:pPr>
        <w:spacing w:after="120" w:line="276" w:lineRule="auto"/>
        <w:ind w:firstLine="283"/>
        <w:jc w:val="both"/>
      </w:pPr>
      <w:r>
        <w:rPr>
          <w:b/>
          <w:bCs/>
          <w:rtl/>
        </w:rPr>
        <w:lastRenderedPageBreak/>
        <w:t>העובדות</w:t>
      </w:r>
      <w:r>
        <w:rPr>
          <w:rtl/>
        </w:rPr>
        <w:t xml:space="preserve">, לפי ראיונות עם שני בניו של הרב </w:t>
      </w:r>
      <w:proofErr w:type="spellStart"/>
      <w:r>
        <w:rPr>
          <w:rtl/>
        </w:rPr>
        <w:t>אברמצ׳יק</w:t>
      </w:r>
      <w:proofErr w:type="spellEnd"/>
      <w:r>
        <w:rPr>
          <w:rtl/>
        </w:rPr>
        <w:t xml:space="preserve"> הלומדים בירושלים ולפי מכתב ארוך מאביהם שתאריכו “יום חמישי לסדר ויחי יעקב תשנ״ה”, הן אלה: </w:t>
      </w:r>
      <w:proofErr w:type="spellStart"/>
      <w:r>
        <w:rPr>
          <w:rtl/>
        </w:rPr>
        <w:t>אברמצ׳יק־אורלנצ׳יק</w:t>
      </w:r>
      <w:proofErr w:type="spellEnd"/>
      <w:r>
        <w:rPr>
          <w:rtl/>
        </w:rPr>
        <w:t xml:space="preserve"> נולד </w:t>
      </w:r>
      <w:proofErr w:type="spellStart"/>
      <w:r>
        <w:rPr>
          <w:rtl/>
        </w:rPr>
        <w:t>בת״ש</w:t>
      </w:r>
      <w:proofErr w:type="spellEnd"/>
      <w:r>
        <w:rPr>
          <w:rtl/>
        </w:rPr>
        <w:t xml:space="preserve"> להורים שהגיעו למונטווידאו, בירת אורוגוואי, </w:t>
      </w:r>
      <w:proofErr w:type="spellStart"/>
      <w:r>
        <w:rPr>
          <w:rtl/>
        </w:rPr>
        <w:t>בתרצ״ד</w:t>
      </w:r>
      <w:proofErr w:type="spellEnd"/>
      <w:r>
        <w:rPr>
          <w:rtl/>
        </w:rPr>
        <w:t xml:space="preserve">, לפני השואה. אביו היה ממשפחת חסידי </w:t>
      </w:r>
      <w:proofErr w:type="spellStart"/>
      <w:r>
        <w:rPr>
          <w:rtl/>
        </w:rPr>
        <w:t>אמשינוב</w:t>
      </w:r>
      <w:proofErr w:type="spellEnd"/>
      <w:r>
        <w:rPr>
          <w:rtl/>
        </w:rPr>
        <w:t xml:space="preserve">, </w:t>
      </w:r>
      <w:proofErr w:type="spellStart"/>
      <w:r>
        <w:rPr>
          <w:rtl/>
        </w:rPr>
        <w:t>ואמו</w:t>
      </w:r>
      <w:proofErr w:type="spellEnd"/>
      <w:r>
        <w:rPr>
          <w:rtl/>
        </w:rPr>
        <w:t xml:space="preserve"> ממשפחת חסידי גור.</w:t>
      </w:r>
      <w:bookmarkStart w:id="3706" w:name="_fnr2775"/>
      <w:r>
        <w:rPr>
          <w:rStyle w:val="a5"/>
        </w:rPr>
        <w:footnoteReference w:id="2782" w:customMarkFollows="0"/>
      </w:r>
      <w:bookmarkEnd w:id="3706"/>
      <w:r>
        <w:rPr>
          <w:rtl/>
        </w:rPr>
        <w:t xml:space="preserve"> כשראו ההורים שבניהם הגדולים חדלים לשמור מצוות, שלחו את בנם הצעיר, </w:t>
      </w:r>
      <w:proofErr w:type="spellStart"/>
      <w:r>
        <w:rPr>
          <w:rtl/>
        </w:rPr>
        <w:t>מרדכי־מנחם־מנדל</w:t>
      </w:r>
      <w:proofErr w:type="spellEnd"/>
      <w:r>
        <w:rPr>
          <w:rtl/>
        </w:rPr>
        <w:t xml:space="preserve">, למתיבתא תורה ודעת, על פי עצת רבה של מונטווידאו ר׳ אהרן </w:t>
      </w:r>
      <w:proofErr w:type="spellStart"/>
      <w:r>
        <w:rPr>
          <w:rtl/>
        </w:rPr>
        <w:t>מילבסקי</w:t>
      </w:r>
      <w:proofErr w:type="spellEnd"/>
      <w:r>
        <w:rPr>
          <w:rtl/>
        </w:rPr>
        <w:t xml:space="preserve">, חברו של אבי </w:t>
      </w:r>
      <w:proofErr w:type="spellStart"/>
      <w:r>
        <w:rPr>
          <w:rtl/>
        </w:rPr>
        <w:t>בסלבודקה</w:t>
      </w:r>
      <w:proofErr w:type="spellEnd"/>
      <w:r>
        <w:rPr>
          <w:rtl/>
        </w:rPr>
        <w:t>. הנער פגש את רבנו לראשונה בצפון אמריקה, בישיבה בברוקלין, ושהה בה עד גיל עשרים בלי לבקר בביתו כלל. אחיו שאינם שומרי מצוות סייעו לפרנסו במשך תשע שנות שהותו בישיבה!</w:t>
      </w:r>
    </w:p>
    <w:p w14:paraId="3628CA2A" w14:textId="77777777" w:rsidR="00AB3647" w:rsidRDefault="00000000" w:rsidP="007923E9">
      <w:pPr>
        <w:spacing w:after="120" w:line="276" w:lineRule="auto"/>
        <w:ind w:firstLine="283"/>
        <w:jc w:val="both"/>
      </w:pPr>
      <w:r>
        <w:rPr>
          <w:rtl/>
        </w:rPr>
        <w:t xml:space="preserve">אבי לא המליץ לו לבקר אצל הרבי </w:t>
      </w:r>
      <w:proofErr w:type="spellStart"/>
      <w:r>
        <w:rPr>
          <w:rtl/>
        </w:rPr>
        <w:t>מליובאוויטש</w:t>
      </w:r>
      <w:proofErr w:type="spellEnd"/>
      <w:r>
        <w:rPr>
          <w:rtl/>
        </w:rPr>
        <w:t xml:space="preserve">, אלא התיר לו לעשות זאת. בין תלמידי המתיבתא נחשב בילוי מעניין, ולעיתים אף מועיל ברוחניות, להשתתף בליל שבת או בסעודה שלישית </w:t>
      </w:r>
      <w:proofErr w:type="spellStart"/>
      <w:r>
        <w:rPr>
          <w:rtl/>
        </w:rPr>
        <w:t>בטיש</w:t>
      </w:r>
      <w:proofErr w:type="spellEnd"/>
      <w:r>
        <w:rPr>
          <w:rtl/>
        </w:rPr>
        <w:t xml:space="preserve"> של הרבי </w:t>
      </w:r>
      <w:proofErr w:type="spellStart"/>
      <w:r>
        <w:rPr>
          <w:rtl/>
        </w:rPr>
        <w:t>מסאטמר</w:t>
      </w:r>
      <w:proofErr w:type="spellEnd"/>
      <w:r>
        <w:rPr>
          <w:rtl/>
        </w:rPr>
        <w:t xml:space="preserve">, </w:t>
      </w:r>
      <w:proofErr w:type="spellStart"/>
      <w:r>
        <w:rPr>
          <w:rtl/>
        </w:rPr>
        <w:t>מקלויזנבורג</w:t>
      </w:r>
      <w:proofErr w:type="spellEnd"/>
      <w:r>
        <w:rPr>
          <w:rtl/>
        </w:rPr>
        <w:t xml:space="preserve">, </w:t>
      </w:r>
      <w:proofErr w:type="spellStart"/>
      <w:r>
        <w:rPr>
          <w:rtl/>
        </w:rPr>
        <w:t>מבובוב</w:t>
      </w:r>
      <w:proofErr w:type="spellEnd"/>
      <w:r>
        <w:rPr>
          <w:rtl/>
        </w:rPr>
        <w:t xml:space="preserve"> או של רבי אחר. </w:t>
      </w:r>
      <w:proofErr w:type="spellStart"/>
      <w:r>
        <w:rPr>
          <w:rtl/>
        </w:rPr>
        <w:t>מרדכי־מנחם־מנדל</w:t>
      </w:r>
      <w:proofErr w:type="spellEnd"/>
      <w:r>
        <w:rPr>
          <w:rtl/>
        </w:rPr>
        <w:t xml:space="preserve"> </w:t>
      </w:r>
      <w:proofErr w:type="spellStart"/>
      <w:r>
        <w:rPr>
          <w:rtl/>
        </w:rPr>
        <w:t>אברמצ׳יק</w:t>
      </w:r>
      <w:proofErr w:type="spellEnd"/>
      <w:r>
        <w:rPr>
          <w:rtl/>
        </w:rPr>
        <w:t xml:space="preserve"> מצא עבודה לקיץ במחנה “גן ישראל” של </w:t>
      </w:r>
      <w:proofErr w:type="spellStart"/>
      <w:r>
        <w:rPr>
          <w:rtl/>
        </w:rPr>
        <w:t>ליובאוויטש</w:t>
      </w:r>
      <w:proofErr w:type="spellEnd"/>
      <w:r>
        <w:rPr>
          <w:rtl/>
        </w:rPr>
        <w:t xml:space="preserve">, ומשום כך התקרב לחסידי </w:t>
      </w:r>
      <w:proofErr w:type="spellStart"/>
      <w:r>
        <w:rPr>
          <w:rtl/>
        </w:rPr>
        <w:t>ליובאוויטש</w:t>
      </w:r>
      <w:proofErr w:type="spellEnd"/>
      <w:r>
        <w:rPr>
          <w:rtl/>
        </w:rPr>
        <w:t xml:space="preserve"> במידה שהספיקה כדי לבקר אצל רבם, בין שאר האדמו״רים שביקר אצלם מפעם לפעם. כשהמליץ לו הרבי </w:t>
      </w:r>
      <w:proofErr w:type="spellStart"/>
      <w:r>
        <w:rPr>
          <w:rtl/>
        </w:rPr>
        <w:t>מליובאוויטש</w:t>
      </w:r>
      <w:proofErr w:type="spellEnd"/>
      <w:r>
        <w:rPr>
          <w:rtl/>
        </w:rPr>
        <w:t xml:space="preserve"> להתחיל ללמוד את ספר היסוד </w:t>
      </w:r>
      <w:proofErr w:type="spellStart"/>
      <w:r>
        <w:rPr>
          <w:rtl/>
        </w:rPr>
        <w:t>החב״די</w:t>
      </w:r>
      <w:proofErr w:type="spellEnd"/>
      <w:r>
        <w:rPr>
          <w:rtl/>
        </w:rPr>
        <w:t xml:space="preserve"> “תניא [ליקוטי אמרים]”, נהג תחת זאת לפי עצת ראש ישיבתו: “דחה זאת עד שתהיה מבוגר יותר ובקי יותר בתורה”.</w:t>
      </w:r>
    </w:p>
    <w:p w14:paraId="55E0775C" w14:textId="77777777" w:rsidR="00AB3647" w:rsidRDefault="00000000" w:rsidP="007923E9">
      <w:pPr>
        <w:spacing w:after="120" w:line="276" w:lineRule="auto"/>
        <w:ind w:firstLine="283"/>
        <w:jc w:val="both"/>
      </w:pPr>
      <w:r>
        <w:rPr>
          <w:rtl/>
        </w:rPr>
        <w:t xml:space="preserve">לאחר מחשבה נוספת הגעתי למסקנה שאילו אירע עיקר הסיפור כפי שנדפס במאמר הנזכר, לא היה אבי מאשר לתלמידו לנסוע באונייה. שכן כיצד ייתכן שאדם שהשקפתו שכלית עד כדי כך שפקפק באופייה הנסתר של השרפה בימי ר׳ חיים </w:t>
      </w:r>
      <w:proofErr w:type="spellStart"/>
      <w:r>
        <w:rPr>
          <w:rtl/>
        </w:rPr>
        <w:t>מוולוז׳ין</w:t>
      </w:r>
      <w:proofErr w:type="spellEnd"/>
      <w:r>
        <w:rPr>
          <w:rtl/>
        </w:rPr>
        <w:t xml:space="preserve"> – אף שהמקורות מכנים אותה אות משמים – יקבל כאמינה, ולו רק לשם זהירות, תחזית חסרת היגיון בעניינו של ר׳ </w:t>
      </w:r>
      <w:proofErr w:type="spellStart"/>
      <w:r>
        <w:rPr>
          <w:rtl/>
        </w:rPr>
        <w:t>מרדכי־מנחם־מנדל</w:t>
      </w:r>
      <w:proofErr w:type="spellEnd"/>
      <w:r>
        <w:rPr>
          <w:rtl/>
        </w:rPr>
        <w:t xml:space="preserve"> </w:t>
      </w:r>
      <w:proofErr w:type="spellStart"/>
      <w:r>
        <w:rPr>
          <w:rtl/>
        </w:rPr>
        <w:t>אברמצ׳יק</w:t>
      </w:r>
      <w:proofErr w:type="spellEnd"/>
      <w:r>
        <w:rPr>
          <w:rtl/>
        </w:rPr>
        <w:t>?</w:t>
      </w:r>
    </w:p>
    <w:p w14:paraId="1F4FF6EA" w14:textId="77777777" w:rsidR="00AB3647" w:rsidRDefault="00000000" w:rsidP="007923E9">
      <w:pPr>
        <w:spacing w:after="120" w:line="276" w:lineRule="auto"/>
        <w:ind w:firstLine="283"/>
        <w:jc w:val="both"/>
      </w:pPr>
      <w:r>
        <w:rPr>
          <w:rtl/>
        </w:rPr>
        <w:t xml:space="preserve">כדי להקביל את היחס שיוחס לרבנו במקרה זה לפירושו את סיבת השרפה בבית מדרשו של ר׳ חיים </w:t>
      </w:r>
      <w:proofErr w:type="spellStart"/>
      <w:r>
        <w:rPr>
          <w:rtl/>
        </w:rPr>
        <w:t>מוולוז׳ין</w:t>
      </w:r>
      <w:proofErr w:type="spellEnd"/>
      <w:r>
        <w:rPr>
          <w:rtl/>
        </w:rPr>
        <w:t xml:space="preserve">, היינו מוכרחים להגיע למסקנה הרחוקה שאבי חשש שחסידי </w:t>
      </w:r>
      <w:proofErr w:type="spellStart"/>
      <w:r>
        <w:rPr>
          <w:rtl/>
        </w:rPr>
        <w:t>ליובאוויטש</w:t>
      </w:r>
      <w:proofErr w:type="spellEnd"/>
      <w:r>
        <w:rPr>
          <w:rtl/>
        </w:rPr>
        <w:t xml:space="preserve"> יודעים על מזימת חבלה הנוגעת לטיסות לדרום אמריקה באותה שעה, וסבר שמוטב לשמוע לעצת רבם – “</w:t>
      </w:r>
      <w:proofErr w:type="spellStart"/>
      <w:r>
        <w:rPr>
          <w:rtl/>
        </w:rPr>
        <w:t>למיחש</w:t>
      </w:r>
      <w:proofErr w:type="spellEnd"/>
      <w:r>
        <w:rPr>
          <w:rtl/>
        </w:rPr>
        <w:t xml:space="preserve"> בעי”. אבל אין ספק שאין להעלות על הדעת שאבי חשש חששות כאלה!</w:t>
      </w:r>
    </w:p>
    <w:p w14:paraId="59C03776" w14:textId="77777777" w:rsidR="00AB3647" w:rsidRDefault="00000000" w:rsidP="007923E9">
      <w:pPr>
        <w:spacing w:after="120" w:line="276" w:lineRule="auto"/>
        <w:ind w:firstLine="283"/>
        <w:jc w:val="both"/>
      </w:pPr>
      <w:r>
        <w:rPr>
          <w:rtl/>
        </w:rPr>
        <w:t xml:space="preserve">הבעיה נפתרה לבסוף בשיחת טלפון </w:t>
      </w:r>
      <w:proofErr w:type="spellStart"/>
      <w:r>
        <w:rPr>
          <w:rtl/>
        </w:rPr>
        <w:t>בין־לאומית</w:t>
      </w:r>
      <w:proofErr w:type="spellEnd"/>
      <w:r>
        <w:rPr>
          <w:rtl/>
        </w:rPr>
        <w:t xml:space="preserve"> לאורוגוואי,</w:t>
      </w:r>
      <w:bookmarkStart w:id="3707" w:name="_fnr2776"/>
      <w:r>
        <w:rPr>
          <w:rStyle w:val="a5"/>
        </w:rPr>
        <w:footnoteReference w:id="2783" w:customMarkFollows="0"/>
      </w:r>
      <w:bookmarkEnd w:id="3707"/>
      <w:r>
        <w:rPr>
          <w:rtl/>
        </w:rPr>
        <w:t xml:space="preserve"> ובה התבררו הפרטים הבאים. אבי הכין את הרב </w:t>
      </w:r>
      <w:proofErr w:type="spellStart"/>
      <w:r>
        <w:rPr>
          <w:rtl/>
        </w:rPr>
        <w:t>אברמצ׳יק</w:t>
      </w:r>
      <w:proofErr w:type="spellEnd"/>
      <w:r>
        <w:rPr>
          <w:rtl/>
        </w:rPr>
        <w:t xml:space="preserve"> לכל מה שהיה עתיד להתמודד </w:t>
      </w:r>
      <w:proofErr w:type="spellStart"/>
      <w:r>
        <w:rPr>
          <w:rtl/>
        </w:rPr>
        <w:t>איתו</w:t>
      </w:r>
      <w:proofErr w:type="spellEnd"/>
      <w:r>
        <w:rPr>
          <w:rtl/>
        </w:rPr>
        <w:t xml:space="preserve"> בשובו לאורוגוואי. ראשית, רבנו הביא את תלמידו ללמוד שחיטה, וסידר שר׳ משה </w:t>
      </w:r>
      <w:proofErr w:type="spellStart"/>
      <w:r>
        <w:rPr>
          <w:rtl/>
        </w:rPr>
        <w:t>פיינשטיין</w:t>
      </w:r>
      <w:proofErr w:type="spellEnd"/>
      <w:r>
        <w:rPr>
          <w:rtl/>
        </w:rPr>
        <w:t xml:space="preserve"> ייתן לו הרשאה, כדי שיחזור לביתו ופרנסתו בידו. ואכן, הרב </w:t>
      </w:r>
      <w:proofErr w:type="spellStart"/>
      <w:r>
        <w:rPr>
          <w:rtl/>
        </w:rPr>
        <w:t>אברמצ׳יק</w:t>
      </w:r>
      <w:proofErr w:type="spellEnd"/>
      <w:r>
        <w:rPr>
          <w:rtl/>
        </w:rPr>
        <w:t xml:space="preserve"> נעשה שוחט ועסק במקצוע מכובד זה עד פטירתו בטרם עת </w:t>
      </w:r>
      <w:proofErr w:type="spellStart"/>
      <w:r>
        <w:rPr>
          <w:rtl/>
        </w:rPr>
        <w:t>בתשנ״ז</w:t>
      </w:r>
      <w:proofErr w:type="spellEnd"/>
      <w:r>
        <w:rPr>
          <w:rtl/>
        </w:rPr>
        <w:t>.</w:t>
      </w:r>
    </w:p>
    <w:p w14:paraId="3E1C9C82" w14:textId="77777777" w:rsidR="00AB3647" w:rsidRDefault="00000000" w:rsidP="007923E9">
      <w:pPr>
        <w:spacing w:after="120" w:line="276" w:lineRule="auto"/>
        <w:ind w:firstLine="283"/>
        <w:jc w:val="both"/>
      </w:pPr>
      <w:r>
        <w:rPr>
          <w:rtl/>
        </w:rPr>
        <w:t xml:space="preserve">שנית, כשבא הבחור להיפרד ממנו, שוחח </w:t>
      </w:r>
      <w:proofErr w:type="spellStart"/>
      <w:r>
        <w:rPr>
          <w:rtl/>
        </w:rPr>
        <w:t>איתו</w:t>
      </w:r>
      <w:proofErr w:type="spellEnd"/>
      <w:r>
        <w:rPr>
          <w:rtl/>
        </w:rPr>
        <w:t xml:space="preserve"> אבי שעתיים על הנהגתו לאחר שיחזור לביתו, ובכלל זה איזו נערה עליו לשאת לאישה. בעניין זה היה התלמיד הצעיר תמים דיו להציע </w:t>
      </w:r>
      <w:r>
        <w:rPr>
          <w:rtl/>
        </w:rPr>
        <w:lastRenderedPageBreak/>
        <w:t xml:space="preserve">שאולי מוטב לו לשאת נערה </w:t>
      </w:r>
      <w:proofErr w:type="spellStart"/>
      <w:r>
        <w:rPr>
          <w:rtl/>
        </w:rPr>
        <w:t>לא־חרדית</w:t>
      </w:r>
      <w:proofErr w:type="spellEnd"/>
      <w:r>
        <w:rPr>
          <w:rtl/>
        </w:rPr>
        <w:t xml:space="preserve">, שאותה יוכל לחנך לדת, מאשר נערה שכבר הוטמעו בה רעיונות מוטעים על “יידישקייט”, כמו תלמידי בתי הספר היהודיים היחידים במונטווידאו, הציוניים </w:t>
      </w:r>
      <w:proofErr w:type="spellStart"/>
      <w:r>
        <w:rPr>
          <w:rtl/>
        </w:rPr>
        <w:t>והיידישיסטיים</w:t>
      </w:r>
      <w:proofErr w:type="spellEnd"/>
      <w:r>
        <w:rPr>
          <w:rtl/>
        </w:rPr>
        <w:t>. בסופו של דבר נשא נערה מבואנוס איירס שקיבלה שם חינוך מעולה של בית יעקב.</w:t>
      </w:r>
    </w:p>
    <w:p w14:paraId="6AACFD9E" w14:textId="77777777" w:rsidR="00AB3647" w:rsidRDefault="00000000" w:rsidP="007923E9">
      <w:pPr>
        <w:spacing w:after="120" w:line="276" w:lineRule="auto"/>
        <w:ind w:firstLine="283"/>
        <w:jc w:val="both"/>
      </w:pPr>
      <w:r>
        <w:rPr>
          <w:rtl/>
        </w:rPr>
        <w:t>כשאישר אבי את עצת הרבי לנסוע באונייה ולא במטוס, הוא מעולם לא השתמש במילים “</w:t>
      </w:r>
      <w:proofErr w:type="spellStart"/>
      <w:r>
        <w:rPr>
          <w:rtl/>
        </w:rPr>
        <w:t>למיחש</w:t>
      </w:r>
      <w:proofErr w:type="spellEnd"/>
      <w:r>
        <w:rPr>
          <w:rtl/>
        </w:rPr>
        <w:t xml:space="preserve"> בעי”! הוא הסכים עם הרבי שעל תלמידו להפליג לביתו באונייה איטית, כדי – כך רשאים אנו לשער – שיהיה לו זמן לחשוב ולהסתגל לשינוי העצום שיהיה מוכרח להתמודד </w:t>
      </w:r>
      <w:proofErr w:type="spellStart"/>
      <w:r>
        <w:rPr>
          <w:rtl/>
        </w:rPr>
        <w:t>איתו</w:t>
      </w:r>
      <w:proofErr w:type="spellEnd"/>
      <w:r>
        <w:rPr>
          <w:rtl/>
        </w:rPr>
        <w:t xml:space="preserve"> בשובו למונטווידאו, אחרי ששהה בישיבה בברוקלין את כל שנות נעוריו מאז גיל </w:t>
      </w:r>
      <w:proofErr w:type="spellStart"/>
      <w:r>
        <w:rPr>
          <w:rtl/>
        </w:rPr>
        <w:t>אחת־עשרה</w:t>
      </w:r>
      <w:proofErr w:type="spellEnd"/>
      <w:r>
        <w:rPr>
          <w:rtl/>
        </w:rPr>
        <w:t>. אבי רצה לוודא שהבחור יצעד אל עתידו בביתו בלי ליצור רושם ראשוני מוטעה בהתנהגות שהתאימה לסביבתו בישיבה.</w:t>
      </w:r>
      <w:bookmarkStart w:id="3708" w:name="_fnr2777"/>
      <w:r>
        <w:rPr>
          <w:rStyle w:val="a5"/>
        </w:rPr>
        <w:footnoteReference w:id="2784" w:customMarkFollows="0"/>
      </w:r>
      <w:bookmarkEnd w:id="3708"/>
    </w:p>
    <w:p w14:paraId="098A80CD" w14:textId="77777777" w:rsidR="00AB3647" w:rsidRDefault="00000000" w:rsidP="007923E9">
      <w:pPr>
        <w:spacing w:after="120" w:line="276" w:lineRule="auto"/>
        <w:ind w:firstLine="283"/>
        <w:jc w:val="both"/>
      </w:pPr>
      <w:r>
        <w:rPr>
          <w:rtl/>
        </w:rPr>
        <w:t xml:space="preserve">כנראה גם עצתו הטובה של הרבי הייתה מבוססת על שיקול זה, ולא על ראיית הנסתר – שאם לא כן היה אומר לו לטוס בטיסה אחרת, בלי שיצטרך לשהות </w:t>
      </w:r>
      <w:r>
        <w:rPr>
          <w:b/>
          <w:bCs/>
          <w:rtl/>
        </w:rPr>
        <w:t>שלושה שבועות</w:t>
      </w:r>
      <w:r>
        <w:rPr>
          <w:rtl/>
        </w:rPr>
        <w:t xml:space="preserve"> באונייה בלי אוכל כשר, כפי שסיפר הרב </w:t>
      </w:r>
      <w:proofErr w:type="spellStart"/>
      <w:r>
        <w:rPr>
          <w:rtl/>
        </w:rPr>
        <w:t>אברמצ׳יק</w:t>
      </w:r>
      <w:proofErr w:type="spellEnd"/>
      <w:r>
        <w:rPr>
          <w:rtl/>
        </w:rPr>
        <w:t xml:space="preserve"> שנאלץ לסבול!</w:t>
      </w:r>
    </w:p>
    <w:p w14:paraId="217BE941" w14:textId="77777777" w:rsidR="00AB3647" w:rsidRDefault="00000000" w:rsidP="007923E9">
      <w:pPr>
        <w:pStyle w:val="4"/>
        <w:spacing w:line="276" w:lineRule="auto"/>
      </w:pPr>
      <w:r>
        <w:t>· הפסקה התשיעית ·</w:t>
      </w:r>
    </w:p>
    <w:p w14:paraId="29B01F9B" w14:textId="77777777" w:rsidR="00AB3647" w:rsidRDefault="00000000" w:rsidP="007923E9">
      <w:pPr>
        <w:pStyle w:val="5"/>
        <w:spacing w:line="276" w:lineRule="auto"/>
      </w:pPr>
      <w:r>
        <w:t>רבנו נרתע מהפצת אמונות טפלות ומסרב להשתמש במחזור בעל חשיבות היסטורית – גנב פונה לעזרתו של רבי שנפטר – נסיעה לעמוקה</w:t>
      </w:r>
    </w:p>
    <w:p w14:paraId="64B9519A" w14:textId="77777777" w:rsidR="00AB3647" w:rsidRDefault="00000000" w:rsidP="007923E9">
      <w:pPr>
        <w:spacing w:after="120" w:line="276" w:lineRule="auto"/>
        <w:ind w:firstLine="283"/>
        <w:jc w:val="both"/>
      </w:pPr>
      <w:r>
        <w:rPr>
          <w:rtl/>
        </w:rPr>
        <w:t xml:space="preserve">כבר </w:t>
      </w:r>
      <w:proofErr w:type="spellStart"/>
      <w:r>
        <w:rPr>
          <w:rtl/>
        </w:rPr>
        <w:t>ב“מורה</w:t>
      </w:r>
      <w:proofErr w:type="spellEnd"/>
      <w:r>
        <w:rPr>
          <w:rtl/>
        </w:rPr>
        <w:t xml:space="preserve"> נבוכים” לרמב״ם</w:t>
      </w:r>
      <w:bookmarkStart w:id="3709" w:name="_fnr2778"/>
      <w:r>
        <w:rPr>
          <w:rStyle w:val="a5"/>
        </w:rPr>
        <w:footnoteReference w:id="2785" w:customMarkFollows="0"/>
      </w:r>
      <w:bookmarkEnd w:id="3709"/>
      <w:r>
        <w:rPr>
          <w:rtl/>
        </w:rPr>
        <w:t xml:space="preserve"> נאמר שאמונות טפלות רווחות, ובלשונו: “כי הרבה יטה ההמון להאמין בהבלים”.</w:t>
      </w:r>
      <w:bookmarkStart w:id="3710" w:name="_fnr2779"/>
      <w:bookmarkStart w:id="3711" w:name="pr_f_2676"/>
      <w:r>
        <w:rPr>
          <w:rStyle w:val="a5"/>
        </w:rPr>
        <w:footnoteReference w:id="2786" w:customMarkFollows="0"/>
      </w:r>
      <w:bookmarkEnd w:id="3710"/>
      <w:bookmarkEnd w:id="3711"/>
      <w:r>
        <w:rPr>
          <w:rtl/>
        </w:rPr>
        <w:t xml:space="preserve"> אבי הקפיד במיוחד שלא להזין את ילדיו בסיפורים על </w:t>
      </w:r>
      <w:proofErr w:type="spellStart"/>
      <w:r>
        <w:rPr>
          <w:rtl/>
        </w:rPr>
        <w:t>העל־טבעי</w:t>
      </w:r>
      <w:proofErr w:type="spellEnd"/>
      <w:r>
        <w:rPr>
          <w:rtl/>
        </w:rPr>
        <w:t>. דוגמה קטנה: בכל שנות ילדותנו לא שמענו מעולם שאליהו הנביא נכנס לבתי יהודים בליל הסדר ושותה מן הכוס</w:t>
      </w:r>
      <w:bookmarkStart w:id="3712" w:name="_fnr2780"/>
      <w:r>
        <w:rPr>
          <w:rStyle w:val="a5"/>
        </w:rPr>
        <w:footnoteReference w:id="2787" w:customMarkFollows="0"/>
      </w:r>
      <w:bookmarkEnd w:id="3712"/>
      <w:r>
        <w:rPr>
          <w:rtl/>
        </w:rPr>
        <w:t xml:space="preserve"> הקרויה על שמו [</w:t>
      </w:r>
      <w:r>
        <w:rPr>
          <w:b/>
          <w:bCs/>
          <w:rtl/>
        </w:rPr>
        <w:t>מטעם הלכתי</w:t>
      </w:r>
      <w:r>
        <w:rPr>
          <w:rtl/>
        </w:rPr>
        <w:t>].</w:t>
      </w:r>
    </w:p>
    <w:p w14:paraId="347C680C" w14:textId="77777777" w:rsidR="00AB3647" w:rsidRDefault="00000000" w:rsidP="007923E9">
      <w:pPr>
        <w:spacing w:after="120" w:line="276" w:lineRule="auto"/>
        <w:ind w:firstLine="283"/>
        <w:jc w:val="both"/>
      </w:pPr>
      <w:r>
        <w:rPr>
          <w:rtl/>
        </w:rPr>
        <w:t xml:space="preserve">ר׳ </w:t>
      </w:r>
      <w:proofErr w:type="spellStart"/>
      <w:r>
        <w:rPr>
          <w:rtl/>
        </w:rPr>
        <w:t>לייבל</w:t>
      </w:r>
      <w:proofErr w:type="spellEnd"/>
      <w:r>
        <w:rPr>
          <w:rtl/>
        </w:rPr>
        <w:t xml:space="preserve"> </w:t>
      </w:r>
      <w:proofErr w:type="spellStart"/>
      <w:r>
        <w:rPr>
          <w:rtl/>
        </w:rPr>
        <w:t>פרלשטיין</w:t>
      </w:r>
      <w:bookmarkStart w:id="3713" w:name="_fnr2781"/>
      <w:proofErr w:type="spellEnd"/>
      <w:r>
        <w:rPr>
          <w:rStyle w:val="a5"/>
        </w:rPr>
        <w:footnoteReference w:id="2788" w:customMarkFollows="0"/>
      </w:r>
      <w:bookmarkEnd w:id="3713"/>
      <w:r>
        <w:rPr>
          <w:rtl/>
        </w:rPr>
        <w:t xml:space="preserve"> סיפר שלפני יום הכיפורים נמצא בספריית מתיבתא תורה ודעת מחזור שהיה שייך </w:t>
      </w:r>
      <w:r>
        <w:rPr>
          <w:b/>
          <w:bCs/>
          <w:rtl/>
        </w:rPr>
        <w:t>לתלמיד של</w:t>
      </w:r>
      <w:r>
        <w:rPr>
          <w:rtl/>
        </w:rPr>
        <w:t xml:space="preserve"> הגאון מווילנה, והציעו לאבי להתפלל בו. “לא”, השיב, “לי די במחזור שיש לי”. אחר כך הסביר </w:t>
      </w:r>
      <w:proofErr w:type="spellStart"/>
      <w:r>
        <w:rPr>
          <w:rtl/>
        </w:rPr>
        <w:t>לר</w:t>
      </w:r>
      <w:proofErr w:type="spellEnd"/>
      <w:r>
        <w:rPr>
          <w:rtl/>
        </w:rPr>
        <w:t xml:space="preserve">׳ </w:t>
      </w:r>
      <w:proofErr w:type="spellStart"/>
      <w:r>
        <w:rPr>
          <w:rtl/>
        </w:rPr>
        <w:t>לייבל</w:t>
      </w:r>
      <w:proofErr w:type="spellEnd"/>
      <w:r>
        <w:rPr>
          <w:rtl/>
        </w:rPr>
        <w:t xml:space="preserve">: “מי שיתפלל במחזור הזה, מן הסתם לא </w:t>
      </w:r>
      <w:r>
        <w:rPr>
          <w:rtl/>
        </w:rPr>
        <w:lastRenderedPageBreak/>
        <w:t>תיענינה תפילותיו, מפני שיחשוב [מתוך אמונה טפלה] שתשובה טובה מלמעלה מובטחת לו, ולא יעשה תשובה כלל”.</w:t>
      </w:r>
      <w:bookmarkStart w:id="3714" w:name="_fnr2782"/>
      <w:r>
        <w:rPr>
          <w:rStyle w:val="a5"/>
        </w:rPr>
        <w:footnoteReference w:id="2789" w:customMarkFollows="0"/>
      </w:r>
      <w:bookmarkEnd w:id="3714"/>
    </w:p>
    <w:p w14:paraId="23B06BCE" w14:textId="77777777" w:rsidR="00AB3647" w:rsidRDefault="00000000" w:rsidP="007923E9">
      <w:pPr>
        <w:spacing w:after="120" w:line="276" w:lineRule="auto"/>
        <w:ind w:firstLine="283"/>
        <w:jc w:val="both"/>
      </w:pPr>
      <w:r>
        <w:rPr>
          <w:rtl/>
        </w:rPr>
        <w:t>נתקלתי במקרה שבו חששו בעלי מוסר שאמונה טפלה תבוא במקום תשובה. השווה כץ, “תנועת המוסר”, כרך ב,</w:t>
      </w:r>
      <w:bookmarkStart w:id="3715" w:name="_fnr2783"/>
      <w:r>
        <w:rPr>
          <w:rStyle w:val="a5"/>
        </w:rPr>
        <w:footnoteReference w:id="2790" w:customMarkFollows="0"/>
      </w:r>
      <w:bookmarkEnd w:id="3715"/>
      <w:r>
        <w:rPr>
          <w:rtl/>
        </w:rPr>
        <w:t xml:space="preserve"> המציין שהתלמוד תורה </w:t>
      </w:r>
      <w:proofErr w:type="spellStart"/>
      <w:r>
        <w:rPr>
          <w:rtl/>
        </w:rPr>
        <w:t>בקלם</w:t>
      </w:r>
      <w:proofErr w:type="spellEnd"/>
      <w:r>
        <w:rPr>
          <w:rtl/>
        </w:rPr>
        <w:t xml:space="preserve"> ביטל את מנהג תשליך – </w:t>
      </w:r>
      <w:proofErr w:type="spellStart"/>
      <w:r>
        <w:rPr>
          <w:rtl/>
        </w:rPr>
        <w:t>שהרמ״א</w:t>
      </w:r>
      <w:proofErr w:type="spellEnd"/>
      <w:r>
        <w:rPr>
          <w:rtl/>
        </w:rPr>
        <w:t xml:space="preserve"> ממליץ עליו</w:t>
      </w:r>
      <w:bookmarkStart w:id="3716" w:name="_fnr2784"/>
      <w:r>
        <w:rPr>
          <w:rStyle w:val="a5"/>
        </w:rPr>
        <w:footnoteReference w:id="2791" w:customMarkFollows="0"/>
      </w:r>
      <w:bookmarkEnd w:id="3716"/>
      <w:r>
        <w:rPr>
          <w:rtl/>
        </w:rPr>
        <w:t xml:space="preserve"> – כדי לשלול את האמונה הטפלה שאפשר להסיר את העוונות ולהשליכם לנהר. השווה גם “כוכבי אור”,</w:t>
      </w:r>
      <w:bookmarkStart w:id="3717" w:name="_fnr2785"/>
      <w:r>
        <w:rPr>
          <w:rStyle w:val="a5"/>
        </w:rPr>
        <w:footnoteReference w:id="2792" w:customMarkFollows="0"/>
      </w:r>
      <w:bookmarkEnd w:id="3717"/>
      <w:r>
        <w:rPr>
          <w:rtl/>
        </w:rPr>
        <w:t xml:space="preserve"> הכותב שכאשר שהה ר׳ </w:t>
      </w:r>
      <w:proofErr w:type="spellStart"/>
      <w:r>
        <w:rPr>
          <w:rtl/>
        </w:rPr>
        <w:t>איצל׳ה</w:t>
      </w:r>
      <w:proofErr w:type="spellEnd"/>
      <w:r>
        <w:rPr>
          <w:rtl/>
        </w:rPr>
        <w:t xml:space="preserve"> </w:t>
      </w:r>
      <w:proofErr w:type="spellStart"/>
      <w:r>
        <w:rPr>
          <w:rtl/>
        </w:rPr>
        <w:t>בלאזר</w:t>
      </w:r>
      <w:proofErr w:type="spellEnd"/>
      <w:r>
        <w:rPr>
          <w:rtl/>
        </w:rPr>
        <w:t xml:space="preserve"> בראש השנה </w:t>
      </w:r>
      <w:proofErr w:type="spellStart"/>
      <w:r>
        <w:rPr>
          <w:rtl/>
        </w:rPr>
        <w:t>בקלם</w:t>
      </w:r>
      <w:proofErr w:type="spellEnd"/>
      <w:r>
        <w:rPr>
          <w:rtl/>
        </w:rPr>
        <w:t xml:space="preserve"> – כפי שנהג לעשות אחרי פטירת ר׳ </w:t>
      </w:r>
      <w:proofErr w:type="spellStart"/>
      <w:r>
        <w:rPr>
          <w:rtl/>
        </w:rPr>
        <w:t>שמחה־זיסל</w:t>
      </w:r>
      <w:bookmarkStart w:id="3718" w:name="_fnr2786"/>
      <w:proofErr w:type="spellEnd"/>
      <w:r>
        <w:rPr>
          <w:rStyle w:val="a5"/>
        </w:rPr>
        <w:footnoteReference w:id="2793" w:customMarkFollows="0"/>
      </w:r>
      <w:bookmarkEnd w:id="3718"/>
      <w:r>
        <w:rPr>
          <w:rtl/>
        </w:rPr>
        <w:t xml:space="preserve"> – הוא אכן קיים את מנהג תשליך. מסופר שם: “פעם אחת שאל אותו אחד התלמידים מדוע אינו נוהג כמנהג המקום [שלא לומר תשליך], והשיב: ‘אם אהיה פיקח מדי, חושש אני שכשאבוא לדין לאחר מאה ועשרים שנה, יבדקו עד כמה אני באמת חכם. לכן מוטב שאנהג לפי פסק </w:t>
      </w:r>
      <w:proofErr w:type="spellStart"/>
      <w:r>
        <w:rPr>
          <w:rtl/>
        </w:rPr>
        <w:t>הרמ״א</w:t>
      </w:r>
      <w:proofErr w:type="spellEnd"/>
      <w:r>
        <w:rPr>
          <w:rtl/>
        </w:rPr>
        <w:t xml:space="preserve">׳. ר׳ </w:t>
      </w:r>
      <w:proofErr w:type="spellStart"/>
      <w:r>
        <w:rPr>
          <w:rtl/>
        </w:rPr>
        <w:t>איצל׳ה</w:t>
      </w:r>
      <w:proofErr w:type="spellEnd"/>
      <w:r>
        <w:rPr>
          <w:rtl/>
        </w:rPr>
        <w:t xml:space="preserve"> הוסיף גם [לכאורה כדי שלא להתעמת עם מי שביטל מלכתחילה את מנהג תשליך </w:t>
      </w:r>
      <w:proofErr w:type="spellStart"/>
      <w:r>
        <w:rPr>
          <w:rtl/>
        </w:rPr>
        <w:t>בקלם</w:t>
      </w:r>
      <w:proofErr w:type="spellEnd"/>
      <w:r>
        <w:rPr>
          <w:rtl/>
        </w:rPr>
        <w:t>]: ‘הכול לפי הכוונה’”.</w:t>
      </w:r>
      <w:bookmarkStart w:id="3719" w:name="_fnr2787"/>
      <w:r>
        <w:rPr>
          <w:rStyle w:val="a5"/>
        </w:rPr>
        <w:footnoteReference w:id="2794" w:customMarkFollows="0"/>
      </w:r>
      <w:bookmarkEnd w:id="3719"/>
    </w:p>
    <w:p w14:paraId="42247056" w14:textId="77777777" w:rsidR="00AB3647" w:rsidRDefault="00000000" w:rsidP="007923E9">
      <w:pPr>
        <w:spacing w:after="120" w:line="276" w:lineRule="auto"/>
        <w:ind w:firstLine="283"/>
        <w:jc w:val="both"/>
      </w:pPr>
      <w:r>
        <w:rPr>
          <w:rtl/>
        </w:rPr>
        <w:t xml:space="preserve">ברור לי שכאשר הציעו לאבי את המחזור הישן, לא היה לו, מתוך אמונה טפלה, שום עניין להתפלל בו. את “הסברו” – שתפילה במחזור תסיח את הדעת מן הצורך בתשובה – הוסיף אחר כך רק כדי שחוסר עניינו במחזור העתיק לא יזעזע תלמידים שחונכו כפי שתיאר </w:t>
      </w:r>
      <w:proofErr w:type="spellStart"/>
      <w:r>
        <w:rPr>
          <w:rtl/>
        </w:rPr>
        <w:t>ה“מורה</w:t>
      </w:r>
      <w:proofErr w:type="spellEnd"/>
      <w:r>
        <w:rPr>
          <w:rtl/>
        </w:rPr>
        <w:t xml:space="preserve"> נבוכים” המצוטט בראש פסקה זו.</w:t>
      </w:r>
    </w:p>
    <w:p w14:paraId="0AF67D6B" w14:textId="77777777" w:rsidR="00AB3647" w:rsidRDefault="00000000" w:rsidP="007923E9">
      <w:pPr>
        <w:spacing w:after="120" w:line="276" w:lineRule="auto"/>
        <w:ind w:firstLine="283"/>
        <w:jc w:val="both"/>
      </w:pPr>
      <w:r>
        <w:rPr>
          <w:rtl/>
        </w:rPr>
        <w:t xml:space="preserve">שתי דוגמאות לאמונות טפלות שהתגלו בימינו הגיעו לידיעתי. בספרייה הלאומית בירושלים היה עותק שלם של המהדורה הראשונה של “נועם אלימלך”. יום אחד שאל אותו אדם כדי “לקרוא” בו בחדר הקריאה ליהדות, והחזיר אותו כשחסרים בו שני עמודי השער – וכך פחת ערכו של הספר בחמישים אלף דולר מערכו בשעה שהוכנס לחדר. </w:t>
      </w:r>
      <w:proofErr w:type="spellStart"/>
      <w:r>
        <w:rPr>
          <w:rtl/>
        </w:rPr>
        <w:t>ה“קורא</w:t>
      </w:r>
      <w:proofErr w:type="spellEnd"/>
      <w:r>
        <w:rPr>
          <w:rtl/>
        </w:rPr>
        <w:t xml:space="preserve">” קרע את העמודים כדי להניחם מתחת לכריות של יולדות המקשות ללדת, שכן לפי אמונה עתיקה ר׳ אלימלך </w:t>
      </w:r>
      <w:proofErr w:type="spellStart"/>
      <w:r>
        <w:rPr>
          <w:rtl/>
        </w:rPr>
        <w:t>מליז׳נסק</w:t>
      </w:r>
      <w:proofErr w:type="spellEnd"/>
      <w:r>
        <w:rPr>
          <w:rtl/>
        </w:rPr>
        <w:t>, מחבר “נועם אלימלך”, מליץ טוב בעדן כשדפי השער של ספרו מונחים מתחת לראשיהן</w:t>
      </w:r>
      <w:bookmarkStart w:id="3720" w:name="_fnr2788"/>
      <w:r>
        <w:rPr>
          <w:rStyle w:val="a5"/>
        </w:rPr>
        <w:footnoteReference w:id="2795" w:customMarkFollows="0"/>
      </w:r>
      <w:bookmarkEnd w:id="3720"/>
      <w:bookmarkStart w:id="7032" w:name="_TranslatorNote_5389"/>
      <w:r>
        <w:rPr>
          <w:rStyle w:val="a5"/>
          <w:vertAlign w:val="superscript"/>
          <w:rtl/>
        </w:rPr>
        <w:footnoteReference w:id="2796" w:customMarkFollows="1"/>
        <w:t>*</w:t>
      </w:r>
      <w:bookmarkEnd w:id="7032"/>
      <w:r>
        <w:rPr>
          <w:rtl/>
        </w:rPr>
        <w:t>.</w:t>
      </w:r>
    </w:p>
    <w:p w14:paraId="2D36341C" w14:textId="77777777" w:rsidR="00AB3647" w:rsidRDefault="00000000" w:rsidP="007923E9">
      <w:pPr>
        <w:spacing w:after="120" w:line="276" w:lineRule="auto"/>
        <w:ind w:firstLine="283"/>
        <w:jc w:val="both"/>
      </w:pPr>
      <w:r>
        <w:rPr>
          <w:rtl/>
        </w:rPr>
        <w:lastRenderedPageBreak/>
        <w:t>אילו סבר העבריין שתפילות לקב״ה הן הגורמות לתועלת, ודאי היה מבין שהקב״ה לא ישמע תפילה שבאה בעקבות גזל. הנבל ודאי האמין באמונה טפלה שבדפי “נועם אלימלך” גלומים כוחות קסם מרפאים כשלעצמם.</w:t>
      </w:r>
    </w:p>
    <w:p w14:paraId="1379DF88" w14:textId="77777777" w:rsidR="00AB3647" w:rsidRDefault="00000000" w:rsidP="007923E9">
      <w:pPr>
        <w:spacing w:after="120" w:line="276" w:lineRule="auto"/>
        <w:ind w:firstLine="283"/>
        <w:jc w:val="both"/>
      </w:pPr>
      <w:r>
        <w:rPr>
          <w:rtl/>
        </w:rPr>
        <w:t>מקרה נוסף של אמונה טפלה הגיע לידיעתי מתוך ביקורת על הספר “אור הגליל” בעיתון “הצופה”</w:t>
      </w:r>
      <w:bookmarkStart w:id="3721" w:name="_fnr2789"/>
      <w:r>
        <w:rPr>
          <w:rStyle w:val="a5"/>
        </w:rPr>
        <w:footnoteReference w:id="2797" w:customMarkFollows="0"/>
      </w:r>
      <w:bookmarkEnd w:id="3721"/>
      <w:r>
        <w:rPr>
          <w:rtl/>
        </w:rPr>
        <w:t xml:space="preserve">. המבקר, ר׳ מאיר וונדר, חקר וגילה שהאמונה בכוחה של התפילה בקברו של התנא יונתן בן עוזיאל בעמוקה לא הייתה קיימת עד שחברת תיירות בירושלים המציאה את </w:t>
      </w:r>
      <w:proofErr w:type="spellStart"/>
      <w:r>
        <w:rPr>
          <w:rtl/>
        </w:rPr>
        <w:t>ה“מסורת</w:t>
      </w:r>
      <w:proofErr w:type="spellEnd"/>
      <w:r>
        <w:rPr>
          <w:rtl/>
        </w:rPr>
        <w:t>” בסביבות תשי״ג. ר׳ מאיר סיפר לי מה הביא אותו לחקירה: מכרה רווקה נסעה במונית פרטית עם נהג זר בדרך הארוכה והבודדה בין הרי הגליל ויערותיו, כדי לבקר בקבר – מקום שהתפילה בו על מציאת זיווג נחשבה יעילה במיוחד</w:t>
      </w:r>
      <w:bookmarkStart w:id="3722" w:name="_fnr2790"/>
      <w:bookmarkStart w:id="3723" w:name="pr_f_2687"/>
      <w:r>
        <w:rPr>
          <w:rStyle w:val="a5"/>
        </w:rPr>
        <w:footnoteReference w:id="2798" w:customMarkFollows="0"/>
      </w:r>
      <w:bookmarkEnd w:id="3722"/>
      <w:bookmarkEnd w:id="3723"/>
      <w:r>
        <w:rPr>
          <w:rtl/>
        </w:rPr>
        <w:t>.</w:t>
      </w:r>
    </w:p>
    <w:p w14:paraId="45811137" w14:textId="77777777" w:rsidR="00AB3647" w:rsidRDefault="00000000" w:rsidP="007923E9">
      <w:pPr>
        <w:spacing w:after="120" w:line="276" w:lineRule="auto"/>
        <w:ind w:firstLine="283"/>
        <w:jc w:val="both"/>
      </w:pPr>
      <w:r>
        <w:rPr>
          <w:rtl/>
        </w:rPr>
        <w:t>האישה הרווקה שדרבנה את המבקר למחקרו סיכנה את עצמה כדי להגיע לעמוקה. נראה בעליל שהאמינה אמונה טפלה במעשה שעשתה, עד שחשה מוגנת כבתוך רשת ביטחון קסומה בשעת הנסיעה המסוכנת עם הזר (וכנראה אף האסורה על פי ההלכה). הנסיעה לגליל לא הביאה עליה אסון, אבל גם לא שמחה.</w:t>
      </w:r>
    </w:p>
    <w:p w14:paraId="037E364A" w14:textId="77777777" w:rsidR="00AB3647" w:rsidRDefault="00000000" w:rsidP="007923E9">
      <w:pPr>
        <w:pStyle w:val="4"/>
        <w:spacing w:line="276" w:lineRule="auto"/>
      </w:pPr>
      <w:r>
        <w:t>· הפסקה העשירית ·</w:t>
      </w:r>
    </w:p>
    <w:p w14:paraId="1BF5570D" w14:textId="77777777" w:rsidR="00AB3647" w:rsidRDefault="00000000" w:rsidP="007923E9">
      <w:pPr>
        <w:pStyle w:val="5"/>
        <w:spacing w:line="276" w:lineRule="auto"/>
      </w:pPr>
      <w:r>
        <w:t xml:space="preserve">ר׳ לייב חסיד מסייע </w:t>
      </w:r>
      <w:proofErr w:type="spellStart"/>
      <w:r>
        <w:t>ב“טהרה</w:t>
      </w:r>
      <w:proofErr w:type="spellEnd"/>
      <w:r>
        <w:t>” של עצמו</w:t>
      </w:r>
    </w:p>
    <w:p w14:paraId="2E1960F8" w14:textId="77777777" w:rsidR="00AB3647" w:rsidRDefault="00000000" w:rsidP="007923E9">
      <w:pPr>
        <w:spacing w:after="120" w:line="276" w:lineRule="auto"/>
        <w:ind w:firstLine="283"/>
        <w:jc w:val="both"/>
      </w:pPr>
      <w:bookmarkStart w:id="3724" w:name="pr_b_1607"/>
      <w:bookmarkEnd w:id="3724"/>
      <w:r>
        <w:rPr>
          <w:rtl/>
        </w:rPr>
        <w:t xml:space="preserve">מלבד האגדה </w:t>
      </w:r>
      <w:proofErr w:type="spellStart"/>
      <w:r>
        <w:rPr>
          <w:rtl/>
        </w:rPr>
        <w:t>הציטוביאנית</w:t>
      </w:r>
      <w:proofErr w:type="spellEnd"/>
      <w:r>
        <w:rPr>
          <w:rtl/>
        </w:rPr>
        <w:t xml:space="preserve"> על ר׳ לייב חסיד שנרשמה בעמ׳ </w:t>
      </w:r>
      <w:r>
        <w:rPr>
          <w:rtl/>
        </w:rPr>
        <w:fldChar w:fldCharType="begin" w:dirty="true"/>
      </w:r>
      <w:r>
        <w:rPr>
          <w:rtl/>
        </w:rPr>
        <w:instrText xml:space="preserve"> PAGEREF pr_b_1546 \h </w:instrText>
      </w:r>
      <w:r>
        <w:rPr>
          <w:rtl/>
        </w:rPr>
      </w:r>
      <w:r>
        <w:rPr>
          <w:rtl/>
        </w:rPr>
        <w:fldChar w:fldCharType="separate"/>
      </w:r>
      <w:r w:rsidR="007923E9">
        <w:rPr>
          <w:noProof/>
          <w:rtl/>
        </w:rPr>
        <w:t>1</w:t>
      </w:r>
      <w:r>
        <w:rPr>
          <w:rtl/>
        </w:rPr>
        <w:fldChar w:fldCharType="end"/>
      </w:r>
      <w:r>
        <w:rPr>
          <w:rtl/>
        </w:rPr>
        <w:t xml:space="preserve"> לעיל, מסר ר׳ </w:t>
      </w:r>
      <w:proofErr w:type="spellStart"/>
      <w:r>
        <w:rPr>
          <w:rtl/>
        </w:rPr>
        <w:t>יאשה־לייזר</w:t>
      </w:r>
      <w:proofErr w:type="spellEnd"/>
      <w:r>
        <w:rPr>
          <w:rtl/>
        </w:rPr>
        <w:t xml:space="preserve"> </w:t>
      </w:r>
      <w:proofErr w:type="spellStart"/>
      <w:r>
        <w:rPr>
          <w:rtl/>
        </w:rPr>
        <w:t>סנסוליס</w:t>
      </w:r>
      <w:proofErr w:type="spellEnd"/>
      <w:r>
        <w:rPr>
          <w:rtl/>
        </w:rPr>
        <w:t xml:space="preserve">, ניצול השואה </w:t>
      </w:r>
      <w:proofErr w:type="spellStart"/>
      <w:r>
        <w:rPr>
          <w:rtl/>
        </w:rPr>
        <w:t>מציטוביאן</w:t>
      </w:r>
      <w:proofErr w:type="spellEnd"/>
      <w:r>
        <w:rPr>
          <w:rtl/>
        </w:rPr>
        <w:t xml:space="preserve">, עוד סיפור </w:t>
      </w:r>
      <w:proofErr w:type="spellStart"/>
      <w:r>
        <w:rPr>
          <w:rtl/>
        </w:rPr>
        <w:t>על־טבעי</w:t>
      </w:r>
      <w:proofErr w:type="spellEnd"/>
      <w:r>
        <w:rPr>
          <w:rtl/>
        </w:rPr>
        <w:t xml:space="preserve"> על הצדיק. כשנפטר ר׳ לייב, נשאו יהודי </w:t>
      </w:r>
      <w:proofErr w:type="spellStart"/>
      <w:r>
        <w:rPr>
          <w:rtl/>
        </w:rPr>
        <w:t>ציטוביאן</w:t>
      </w:r>
      <w:proofErr w:type="spellEnd"/>
      <w:r>
        <w:rPr>
          <w:rtl/>
        </w:rPr>
        <w:t xml:space="preserve"> את גופתו עד מחצית הדרך לעיר הולדתו, קלם, ומשם נשאו אותה יהודי קלם את יתרת הדרך. כשהונחה הגופה במקווה לטהרה, דיווחו אנשי החברה קדישא שהיא שקעה במים ואחר כך עלתה מעצמה. ביקרתי בבית העלמין של קלם</w:t>
      </w:r>
      <w:bookmarkStart w:id="3725" w:name="_fnr2791"/>
      <w:r>
        <w:rPr>
          <w:rStyle w:val="a5"/>
        </w:rPr>
        <w:footnoteReference w:id="2799" w:customMarkFollows="0"/>
      </w:r>
      <w:bookmarkEnd w:id="3725"/>
      <w:r>
        <w:rPr>
          <w:rtl/>
        </w:rPr>
        <w:t xml:space="preserve"> וראיתי בו שני אוהלים בלי ציון. לדברי ר׳ </w:t>
      </w:r>
      <w:proofErr w:type="spellStart"/>
      <w:r>
        <w:rPr>
          <w:rtl/>
        </w:rPr>
        <w:t>יאשה־לייזר</w:t>
      </w:r>
      <w:proofErr w:type="spellEnd"/>
      <w:r>
        <w:rPr>
          <w:rtl/>
        </w:rPr>
        <w:t>, אחד מהם עומד על קברו של ר׳ לייב חסיד, והשני על קברו של רב לא מזוהה מקלם.</w:t>
      </w:r>
    </w:p>
    <w:bookmarkStart w:id="3726" w:name="b3_excAA"/>
    <w:p w14:paraId="1EA9DC5E" w14:textId="77777777" w:rsidR="00AB3647" w:rsidRDefault="00000000" w:rsidP="007923E9">
      <w:pPr>
        <w:pStyle w:val="3"/>
        <w:spacing w:line="276" w:lineRule="auto"/>
      </w:pPr>
      <w:r>
        <w:lastRenderedPageBreak/>
        <w:fldChar w:fldCharType="begin" w:dirty="true"/>
      </w:r>
      <w:r>
        <w:rPr>
          <w:rtl w:val="0"/>
        </w:rPr>
        <w:instrText>HYPERLINK \l "b3_note116</w:instrText>
      </w:r>
      <w:r>
        <w:instrText>"</w:instrText>
      </w:r>
      <w:r>
        <w:fldChar w:fldCharType="separate"/>
      </w:r>
      <w:r>
        <w:t xml:space="preserve">נספח </w:t>
      </w:r>
      <w:proofErr w:type="spellStart"/>
      <w:r>
        <w:t>כז</w:t>
      </w:r>
      <w:proofErr w:type="spellEnd"/>
      <w:r>
        <w:fldChar w:fldCharType="end"/>
      </w:r>
      <w:bookmarkEnd w:id="3726"/>
    </w:p>
    <w:p w14:paraId="7577C68E" w14:textId="77777777" w:rsidR="00AB3647" w:rsidRDefault="00000000" w:rsidP="007923E9">
      <w:pPr>
        <w:pStyle w:val="af"/>
        <w:spacing w:line="276" w:lineRule="auto"/>
      </w:pPr>
      <w:r>
        <w:t xml:space="preserve">על תפקידיו ואופיו של ר׳ </w:t>
      </w:r>
      <w:proofErr w:type="spellStart"/>
      <w:r>
        <w:t xml:space="preserve">בער־הירש</w:t>
      </w:r>
      <w:proofErr w:type="spellEnd"/>
      <w:r>
        <w:t xml:space="preserve"> </w:t>
      </w:r>
      <w:proofErr w:type="spellStart"/>
      <w:r>
        <w:t xml:space="preserve">הלר</w:t>
      </w:r>
      <w:proofErr w:type="spellEnd"/>
    </w:p>
    <w:p w14:paraId="0F092F93" w14:textId="77777777" w:rsidR="00AB3647" w:rsidRDefault="00000000" w:rsidP="007923E9">
      <w:pPr>
        <w:pStyle w:val="4"/>
        <w:spacing w:line="276" w:lineRule="auto"/>
      </w:pPr>
      <w:r>
        <w:t>· הפסקה הראשונה ·</w:t>
      </w:r>
    </w:p>
    <w:p w14:paraId="6E72C2C9" w14:textId="77777777" w:rsidR="00AB3647" w:rsidRDefault="00000000" w:rsidP="007923E9">
      <w:pPr>
        <w:pStyle w:val="5"/>
        <w:spacing w:line="276" w:lineRule="auto"/>
      </w:pPr>
      <w:r>
        <w:t xml:space="preserve">תלמידים ותיקים מתארים את ר׳ </w:t>
      </w:r>
      <w:proofErr w:type="spellStart"/>
      <w:r>
        <w:t xml:space="preserve">בער־הירש</w:t>
      </w:r>
      <w:proofErr w:type="spellEnd"/>
      <w:r>
        <w:t xml:space="preserve"> – השפעתו על ציבור התלמידים</w:t>
      </w:r>
    </w:p>
    <w:p w14:paraId="43A7958D" w14:textId="77777777" w:rsidR="00AB3647" w:rsidRDefault="00000000" w:rsidP="007923E9">
      <w:pPr>
        <w:spacing w:after="120" w:line="276" w:lineRule="auto"/>
        <w:ind w:firstLine="283"/>
        <w:jc w:val="both"/>
      </w:pPr>
      <w:r>
        <w:rPr>
          <w:rtl/>
        </w:rPr>
        <w:t xml:space="preserve">הציטוטים הבאים, מפי כמה מרואיינים ומסודרים לפי נושא, מתארים כיצד מילא ר׳ </w:t>
      </w:r>
      <w:proofErr w:type="spellStart"/>
      <w:r>
        <w:rPr>
          <w:rtl/>
        </w:rPr>
        <w:t xml:space="preserve">בער־הירש</w:t>
      </w:r>
      <w:proofErr w:type="spellEnd"/>
      <w:r>
        <w:rPr>
          <w:rtl/>
        </w:rPr>
        <w:t xml:space="preserve"> את תפקידו. (1) ר׳ מרדכי </w:t>
      </w:r>
      <w:proofErr w:type="spellStart"/>
      <w:r>
        <w:rPr>
          <w:rtl/>
        </w:rPr>
        <w:t>קרלינסקי</w:t>
      </w:r>
      <w:bookmarkStart w:id="3727" w:name="_fnr2792"/>
      <w:proofErr w:type="spellEnd"/>
      <w:r>
        <w:rPr>
          <w:rStyle w:val="a5"/>
        </w:rPr>
        <w:footnoteReference w:id="2800" w:customMarkFollows="0"/>
      </w:r>
      <w:bookmarkEnd w:id="3727"/>
      <w:r>
        <w:rPr>
          <w:rtl/>
        </w:rPr>
        <w:t xml:space="preserve">: “קשה לתפוס איזה משגיח היה ר׳ </w:t>
      </w:r>
      <w:proofErr w:type="spellStart"/>
      <w:r>
        <w:rPr>
          <w:rtl/>
        </w:rPr>
        <w:t xml:space="preserve">בער־הירש</w:t>
      </w:r>
      <w:proofErr w:type="spellEnd"/>
      <w:r>
        <w:rPr>
          <w:rtl/>
        </w:rPr>
        <w:t xml:space="preserve">. לא היה בחור, גדול או קטן, שלא היה נתון להשגחת עינו. לא היה דבר שלא ידע.” (2) ר׳ </w:t>
      </w:r>
      <w:proofErr w:type="spellStart"/>
      <w:r>
        <w:rPr>
          <w:rtl/>
        </w:rPr>
        <w:t>אלעזר־מנחם־מן</w:t>
      </w:r>
      <w:proofErr w:type="spellEnd"/>
      <w:r>
        <w:rPr>
          <w:rtl/>
        </w:rPr>
        <w:t xml:space="preserve"> שך</w:t>
      </w:r>
      <w:bookmarkStart w:id="3728" w:name="_fnr2793"/>
      <w:r>
        <w:rPr>
          <w:rStyle w:val="a5"/>
        </w:rPr>
        <w:footnoteReference w:id="2801" w:customMarkFollows="0"/>
      </w:r>
      <w:bookmarkEnd w:id="3728"/>
      <w:r>
        <w:rPr>
          <w:rtl/>
        </w:rPr>
        <w:t>: “</w:t>
      </w:r>
      <w:proofErr w:type="spellStart"/>
      <w:r>
        <w:rPr>
          <w:rtl/>
        </w:rPr>
        <w:t>לר</w:t>
      </w:r>
      <w:proofErr w:type="spellEnd"/>
      <w:r>
        <w:rPr>
          <w:rtl/>
        </w:rPr>
        <w:t xml:space="preserve">׳ </w:t>
      </w:r>
      <w:proofErr w:type="spellStart"/>
      <w:r>
        <w:rPr>
          <w:rtl/>
        </w:rPr>
        <w:t xml:space="preserve">בער־הירש</w:t>
      </w:r>
      <w:proofErr w:type="spellEnd"/>
      <w:r>
        <w:rPr>
          <w:rtl/>
        </w:rPr>
        <w:t xml:space="preserve"> היו מודיעים אילו בחורים חולים, והוא היה שולח תלמיד לעמוד לומר פרק תהילים.”</w:t>
      </w:r>
    </w:p>
    <w:p w14:paraId="0F2117DE" w14:textId="77777777" w:rsidR="00AB3647" w:rsidRDefault="00000000" w:rsidP="007923E9">
      <w:pPr>
        <w:spacing w:after="120" w:line="276" w:lineRule="auto"/>
        <w:ind w:firstLine="283"/>
        <w:jc w:val="both"/>
      </w:pPr>
      <w:r>
        <w:rPr>
          <w:rtl/>
        </w:rPr>
        <w:t xml:space="preserve">(3) ר׳ אליהו </w:t>
      </w:r>
      <w:proofErr w:type="spellStart"/>
      <w:r>
        <w:rPr>
          <w:rtl/>
        </w:rPr>
        <w:t>קושלבסקי</w:t>
      </w:r>
      <w:bookmarkStart w:id="3729" w:name="_fnr2794"/>
      <w:proofErr w:type="spellEnd"/>
      <w:r>
        <w:rPr>
          <w:rStyle w:val="a5"/>
        </w:rPr>
        <w:footnoteReference w:id="2802" w:customMarkFollows="0"/>
      </w:r>
      <w:bookmarkEnd w:id="3729"/>
      <w:r>
        <w:rPr>
          <w:rtl/>
        </w:rPr>
        <w:t xml:space="preserve">: “כשלמדתי </w:t>
      </w:r>
      <w:proofErr w:type="spellStart"/>
      <w:r>
        <w:rPr>
          <w:rtl/>
        </w:rPr>
        <w:t>בסלבודקה</w:t>
      </w:r>
      <w:proofErr w:type="spellEnd"/>
      <w:r>
        <w:rPr>
          <w:rtl/>
        </w:rPr>
        <w:t xml:space="preserve"> הייתי צעיר מכדי להעריך את ר׳ </w:t>
      </w:r>
      <w:proofErr w:type="spellStart"/>
      <w:r>
        <w:rPr>
          <w:rtl/>
        </w:rPr>
        <w:t xml:space="preserve">בער־הירש</w:t>
      </w:r>
      <w:proofErr w:type="spellEnd"/>
      <w:r>
        <w:rPr>
          <w:rtl/>
        </w:rPr>
        <w:t xml:space="preserve"> במלואו, אבל הוא היה אדם אהוב מאוד. אינני זוכר שהטיח דברים באיש; הוא ראה הכול והניד בראשו – זו הייתה דרכו להוכיח תלמיד. הוא ישב במרכז בית המדרש, על ספסל סמוך לבימה שממנו נשקפה הכניסה, ומשם יכול היה לראות אם מישהו נכנס באיחור.</w:t>
      </w:r>
      <w:bookmarkStart w:id="3730" w:name="_fnr2795"/>
      <w:r>
        <w:rPr>
          <w:rStyle w:val="a5"/>
        </w:rPr>
        <w:footnoteReference w:id="2803" w:customMarkFollows="0"/>
      </w:r>
      <w:bookmarkEnd w:id="3730"/>
      <w:r>
        <w:rPr>
          <w:rtl/>
        </w:rPr>
        <w:t xml:space="preserve"> אם לא היה לתלמיד מקום לישון, היה ר׳ </w:t>
      </w:r>
      <w:proofErr w:type="spellStart"/>
      <w:r>
        <w:rPr>
          <w:rtl/>
        </w:rPr>
        <w:t xml:space="preserve">בער־הירש</w:t>
      </w:r>
      <w:proofErr w:type="spellEnd"/>
      <w:r>
        <w:rPr>
          <w:rtl/>
        </w:rPr>
        <w:t xml:space="preserve"> מכניס אותו לביתו – כפי שאירע לי: הייתי צריך לישון בביתו למעלה משבוע. היו </w:t>
      </w:r>
      <w:proofErr w:type="spellStart"/>
      <w:r>
        <w:rPr>
          <w:rtl/>
        </w:rPr>
        <w:t>סטנציות</w:t>
      </w:r>
      <w:proofErr w:type="spellEnd"/>
      <w:r>
        <w:rPr>
          <w:rtl/>
        </w:rPr>
        <w:t xml:space="preserve"> מיוחדות לאכילה בלבד, כשם שהיו כאלה שסיפקו גם לינה וגם מזון. בתקופה שבה ישנתי בבית ר׳ </w:t>
      </w:r>
      <w:proofErr w:type="spellStart"/>
      <w:r>
        <w:rPr>
          <w:rtl/>
        </w:rPr>
        <w:t xml:space="preserve">בער־הירש</w:t>
      </w:r>
      <w:proofErr w:type="spellEnd"/>
      <w:r>
        <w:rPr>
          <w:rtl/>
        </w:rPr>
        <w:t xml:space="preserve"> אכלתי </w:t>
      </w:r>
      <w:proofErr w:type="spellStart"/>
      <w:r>
        <w:rPr>
          <w:rtl/>
        </w:rPr>
        <w:t>ב‘סטנציה</w:t>
      </w:r>
      <w:proofErr w:type="spellEnd"/>
      <w:r>
        <w:rPr>
          <w:rtl/>
        </w:rPr>
        <w:t xml:space="preserve"> לאכילה’.”</w:t>
      </w:r>
    </w:p>
    <w:p w14:paraId="039D6ABB" w14:textId="77777777" w:rsidR="00AB3647" w:rsidRDefault="00000000" w:rsidP="007923E9">
      <w:pPr>
        <w:spacing w:after="120" w:line="276" w:lineRule="auto"/>
        <w:ind w:firstLine="283"/>
        <w:jc w:val="both"/>
      </w:pPr>
      <w:r>
        <w:rPr>
          <w:rtl/>
        </w:rPr>
        <w:t xml:space="preserve">(4) ר׳ קופל </w:t>
      </w:r>
      <w:proofErr w:type="spellStart"/>
      <w:r>
        <w:rPr>
          <w:rtl/>
        </w:rPr>
        <w:t>וולפרט</w:t>
      </w:r>
      <w:bookmarkStart w:id="3731" w:name="_fnr2796"/>
      <w:proofErr w:type="spellEnd"/>
      <w:r>
        <w:rPr>
          <w:rStyle w:val="a5"/>
        </w:rPr>
        <w:footnoteReference w:id="2804" w:customMarkFollows="0"/>
      </w:r>
      <w:bookmarkEnd w:id="3731"/>
      <w:r>
        <w:rPr>
          <w:rtl/>
        </w:rPr>
        <w:t xml:space="preserve">: “הוא היה ספר תורה; נהג כבוד בכל אדם ודיבר בענווה. הוא פעל כמשגיח בכוח האהבה שהקרין ולא בהטלת פחד. הוא היה אדם תמים כל כך, ועם זאת אדם גדול. ניחן בכוח משיכה עצום; כל תלמיד הרגיש כאילו הוא הבחור היחיד בישיבה. ר׳ </w:t>
      </w:r>
      <w:proofErr w:type="spellStart"/>
      <w:r>
        <w:rPr>
          <w:rtl/>
        </w:rPr>
        <w:t xml:space="preserve">בער־הירש</w:t>
      </w:r>
      <w:proofErr w:type="spellEnd"/>
      <w:r>
        <w:rPr>
          <w:rtl/>
        </w:rPr>
        <w:t xml:space="preserve"> הקשיב לתלונותיו של כל אחד. היה אדם שקט מאוד ומכובד, שהכול כיבדוהו בלי גבול. אינני יודע אם הרצה אי פעם בפני התלמידים,</w:t>
      </w:r>
      <w:bookmarkStart w:id="3732" w:name="_fnr2797"/>
      <w:r>
        <w:rPr>
          <w:rStyle w:val="a5"/>
        </w:rPr>
        <w:footnoteReference w:id="2805" w:customMarkFollows="0"/>
      </w:r>
      <w:bookmarkEnd w:id="3732"/>
      <w:r>
        <w:rPr>
          <w:rtl/>
        </w:rPr>
        <w:t xml:space="preserve"> אבל אם בחור נעדר יומיים או שלושה, היה עליו לדעת מה קרה. הוא היה שם כדי לייעץ לבחורים ולהשגיח עליהם.”</w:t>
      </w:r>
    </w:p>
    <w:p w14:paraId="49143B8F" w14:textId="77777777" w:rsidR="00AB3647" w:rsidRDefault="00000000" w:rsidP="007923E9">
      <w:pPr>
        <w:spacing w:after="120" w:line="276" w:lineRule="auto"/>
        <w:ind w:firstLine="283"/>
        <w:jc w:val="both"/>
      </w:pPr>
      <w:r>
        <w:rPr>
          <w:rtl/>
        </w:rPr>
        <w:t>(5) ר׳ שמואל כץ</w:t>
      </w:r>
      <w:bookmarkStart w:id="3733" w:name="_fnr2798"/>
      <w:r>
        <w:rPr>
          <w:rStyle w:val="a5"/>
        </w:rPr>
        <w:footnoteReference w:id="2806" w:customMarkFollows="0"/>
      </w:r>
      <w:bookmarkEnd w:id="3733"/>
      <w:r>
        <w:rPr>
          <w:rtl/>
        </w:rPr>
        <w:t xml:space="preserve">: “הוא דיבר בחמלה רבה כל כך, שהיו מוכרחים לציית לו. בדבריו היה רגש רב כל כך, שהתלמידים ראו שהוא עצמו נפגע כשבחור נהג שלא כראוי. למשל, הוא </w:t>
      </w:r>
      <w:r>
        <w:rPr>
          <w:rtl/>
        </w:rPr>
        <w:lastRenderedPageBreak/>
        <w:t>אמר: ‘למה הגעת מאוחר אמש?’ כאב המרחם על ילדו. הוא היה מן הצדיקים שאינם קיימים עוד.”</w:t>
      </w:r>
    </w:p>
    <w:p w14:paraId="283DBC8F" w14:textId="77777777" w:rsidR="00AB3647" w:rsidRDefault="00000000" w:rsidP="007923E9">
      <w:pPr>
        <w:spacing w:after="120" w:line="276" w:lineRule="auto"/>
        <w:ind w:firstLine="283"/>
        <w:jc w:val="both"/>
      </w:pPr>
      <w:r>
        <w:rPr>
          <w:rtl/>
        </w:rPr>
        <w:t xml:space="preserve">(6) ר׳ אהרן </w:t>
      </w:r>
      <w:proofErr w:type="spellStart"/>
      <w:r>
        <w:rPr>
          <w:rtl/>
        </w:rPr>
        <w:t>לופיאנסקי</w:t>
      </w:r>
      <w:bookmarkStart w:id="3734" w:name="_fnr2799"/>
      <w:proofErr w:type="spellEnd"/>
      <w:r>
        <w:rPr>
          <w:rStyle w:val="a5"/>
        </w:rPr>
        <w:footnoteReference w:id="2807" w:customMarkFollows="0"/>
      </w:r>
      <w:bookmarkEnd w:id="3734"/>
      <w:r>
        <w:rPr>
          <w:rtl/>
        </w:rPr>
        <w:t xml:space="preserve">: “באמצע הקיץ, כשסוף זמן קריאת שמע חייב את הישיבה להתחיל בתפילה מוקדם במיוחד, היו המעטים שאיחרו לקום הולכים למניין </w:t>
      </w:r>
      <w:proofErr w:type="spellStart"/>
      <w:r>
        <w:rPr>
          <w:rtl/>
        </w:rPr>
        <w:t>בקלויז</w:t>
      </w:r>
      <w:proofErr w:type="spellEnd"/>
      <w:r>
        <w:rPr>
          <w:rtl/>
        </w:rPr>
        <w:t xml:space="preserve"> בשמונה בבוקר. ר׳ </w:t>
      </w:r>
      <w:proofErr w:type="spellStart"/>
      <w:r>
        <w:rPr>
          <w:rtl/>
        </w:rPr>
        <w:t xml:space="preserve">בער־הירש</w:t>
      </w:r>
      <w:proofErr w:type="spellEnd"/>
      <w:r>
        <w:rPr>
          <w:rtl/>
        </w:rPr>
        <w:t xml:space="preserve"> היה עובר ליד </w:t>
      </w:r>
      <w:proofErr w:type="spellStart"/>
      <w:r>
        <w:rPr>
          <w:rtl/>
        </w:rPr>
        <w:t>הקלויז</w:t>
      </w:r>
      <w:proofErr w:type="spellEnd"/>
      <w:r>
        <w:rPr>
          <w:rtl/>
        </w:rPr>
        <w:t>, ובעודו מעמיד פנים שהוא משווה את שעון הכיס שלו לשעון שעל הקיר, היה סוקר במבטו את הקהל. במהלך אותו יום היה ניגש המשגיח אל הבחור שנתפס ושואל: ‘קשה לך לעמוד בסדרי הישיבה?’ די היה בכך כדי להביא את התלמיד לקום מוקדם למחרת.”</w:t>
      </w:r>
    </w:p>
    <w:p w14:paraId="63778B18" w14:textId="77777777" w:rsidR="00AB3647" w:rsidRDefault="00000000" w:rsidP="007923E9">
      <w:pPr>
        <w:spacing w:after="120" w:line="276" w:lineRule="auto"/>
        <w:ind w:firstLine="283"/>
        <w:jc w:val="both"/>
      </w:pPr>
      <w:r>
        <w:rPr>
          <w:rtl/>
        </w:rPr>
        <w:t xml:space="preserve">עדויותיהם של מרואיינים אלה מקיפות תקופה של עשרים וחמש שנה, </w:t>
      </w:r>
      <w:proofErr w:type="spellStart"/>
      <w:r>
        <w:rPr>
          <w:rtl/>
        </w:rPr>
        <w:t>מתרס״ח</w:t>
      </w:r>
      <w:proofErr w:type="spellEnd"/>
      <w:r>
        <w:rPr>
          <w:rtl/>
        </w:rPr>
        <w:t xml:space="preserve"> עד תרצ״ג. לפי תיאורו של כץ, “תנועת המוסר”, כרך ג</w:t>
      </w:r>
      <w:bookmarkStart w:id="3735" w:name="_fnr2800"/>
      <w:r>
        <w:rPr>
          <w:rStyle w:val="a5"/>
        </w:rPr>
        <w:footnoteReference w:id="2808" w:customMarkFollows="0"/>
      </w:r>
      <w:bookmarkEnd w:id="3735"/>
      <w:r>
        <w:rPr>
          <w:rtl/>
        </w:rPr>
        <w:t xml:space="preserve">, פעילות ההשגחה של הרב </w:t>
      </w:r>
      <w:proofErr w:type="spellStart"/>
      <w:r>
        <w:rPr>
          <w:rtl/>
        </w:rPr>
        <w:t xml:space="preserve">הלר</w:t>
      </w:r>
      <w:proofErr w:type="spellEnd"/>
      <w:r>
        <w:rPr>
          <w:rtl/>
        </w:rPr>
        <w:t xml:space="preserve"> בשנים תרמ״ה–תרנ״ה הייתה נעימה לא פחות.</w:t>
      </w:r>
    </w:p>
    <w:p w14:paraId="7C200D0E" w14:textId="77777777" w:rsidR="00AB3647" w:rsidRDefault="00000000" w:rsidP="007923E9">
      <w:pPr>
        <w:spacing w:after="120" w:line="276" w:lineRule="auto"/>
        <w:ind w:firstLine="283"/>
        <w:jc w:val="both"/>
      </w:pPr>
      <w:r>
        <w:rPr>
          <w:rtl/>
        </w:rPr>
        <w:t xml:space="preserve">בספר “ואמונתך בלילות” מאת רבקה </w:t>
      </w:r>
      <w:proofErr w:type="spellStart"/>
      <w:r>
        <w:rPr>
          <w:rtl/>
        </w:rPr>
        <w:t>וולבה</w:t>
      </w:r>
      <w:proofErr w:type="spellEnd"/>
      <w:r>
        <w:rPr>
          <w:rtl/>
        </w:rPr>
        <w:t>,</w:t>
      </w:r>
      <w:bookmarkStart w:id="3736" w:name="_fnr2801"/>
      <w:r>
        <w:rPr>
          <w:rStyle w:val="a5"/>
        </w:rPr>
        <w:footnoteReference w:id="2809" w:customMarkFollows="0"/>
      </w:r>
      <w:bookmarkEnd w:id="3736"/>
      <w:r>
        <w:rPr>
          <w:rtl/>
        </w:rPr>
        <w:t xml:space="preserve"> נכדתו של הרב </w:t>
      </w:r>
      <w:proofErr w:type="spellStart"/>
      <w:r>
        <w:rPr>
          <w:rtl/>
        </w:rPr>
        <w:t xml:space="preserve">הלר</w:t>
      </w:r>
      <w:proofErr w:type="spellEnd"/>
      <w:r>
        <w:rPr>
          <w:rtl/>
        </w:rPr>
        <w:t>, מופיע מתחת לתמונתו הכיתוב: “בישיבה קראו לו ‘</w:t>
      </w:r>
      <w:proofErr w:type="spellStart"/>
      <w:r>
        <w:rPr>
          <w:rtl/>
        </w:rPr>
        <w:t>גולפשטראם</w:t>
      </w:r>
      <w:proofErr w:type="spellEnd"/>
      <w:r>
        <w:rPr>
          <w:rtl/>
        </w:rPr>
        <w:t xml:space="preserve">’ [זרם הגולף ביידיש], בגלל טוב ליבו וחיוכו התמידי.” כינוי יוצא דופן זה הוא משנותיו האחרונות </w:t>
      </w:r>
      <w:proofErr w:type="spellStart"/>
      <w:r>
        <w:rPr>
          <w:rtl/>
        </w:rPr>
        <w:t>בסלבודקה</w:t>
      </w:r>
      <w:proofErr w:type="spellEnd"/>
      <w:r>
        <w:rPr>
          <w:rtl/>
        </w:rPr>
        <w:t xml:space="preserve">, כשהמחברת, שנולדה </w:t>
      </w:r>
      <w:proofErr w:type="spellStart"/>
      <w:r>
        <w:rPr>
          <w:rtl/>
        </w:rPr>
        <w:t>בתרפ״ב</w:t>
      </w:r>
      <w:proofErr w:type="spellEnd"/>
      <w:r>
        <w:rPr>
          <w:rtl/>
        </w:rPr>
        <w:t xml:space="preserve">, כבר הייתה גדולה דיה לשמוע אותו. הכינוי מתאר לא רק את המשגיח אלא גם את הישיבה כולה: בעיני תלמידיה הייתה מאיימת וסוערת כאוקיינוס האטלנטי, ודמותו של ר׳ </w:t>
      </w:r>
      <w:proofErr w:type="spellStart"/>
      <w:r>
        <w:rPr>
          <w:rtl/>
        </w:rPr>
        <w:t xml:space="preserve">בער־הירש</w:t>
      </w:r>
      <w:proofErr w:type="spellEnd"/>
      <w:r>
        <w:rPr>
          <w:rtl/>
        </w:rPr>
        <w:t xml:space="preserve"> הייתה בתוכה זרם מרגיע ומשקיט.</w:t>
      </w:r>
    </w:p>
    <w:p w14:paraId="74A1BD28" w14:textId="77777777" w:rsidR="00AB3647" w:rsidRDefault="00000000" w:rsidP="007923E9">
      <w:pPr>
        <w:spacing w:after="120" w:line="276" w:lineRule="auto"/>
        <w:ind w:firstLine="283"/>
        <w:jc w:val="both"/>
      </w:pPr>
      <w:r>
        <w:rPr>
          <w:rtl/>
        </w:rPr>
        <w:t xml:space="preserve">מסירותו של ר׳ </w:t>
      </w:r>
      <w:proofErr w:type="spellStart"/>
      <w:r>
        <w:rPr>
          <w:rtl/>
        </w:rPr>
        <w:t xml:space="preserve">בער־הירש</w:t>
      </w:r>
      <w:proofErr w:type="spellEnd"/>
      <w:r>
        <w:rPr>
          <w:rtl/>
        </w:rPr>
        <w:t xml:space="preserve"> לישיבה הייתה בלי גבול. מסורת במשפחתנו מספרת שהוא צם למען תלמידים שמצבם הרוחני היה נתון בסכנה. ראה גם בסוף הפסקה השלישית בנספח הבא, שבה מתועדים שני סיפורים על נדיבותו למען הישיבה.</w:t>
      </w:r>
    </w:p>
    <w:p w14:paraId="7BE29719" w14:textId="77777777" w:rsidR="00AB3647" w:rsidRDefault="00000000" w:rsidP="007923E9">
      <w:pPr>
        <w:pStyle w:val="4"/>
        <w:spacing w:line="276" w:lineRule="auto"/>
      </w:pPr>
      <w:r>
        <w:t>· הפסקה השנייה ·</w:t>
      </w:r>
    </w:p>
    <w:p w14:paraId="3ECB85C1" w14:textId="77777777" w:rsidR="00AB3647" w:rsidRDefault="00000000" w:rsidP="007923E9">
      <w:pPr>
        <w:pStyle w:val="5"/>
        <w:spacing w:line="276" w:lineRule="auto"/>
      </w:pPr>
      <w:r>
        <w:t xml:space="preserve">ר׳ </w:t>
      </w:r>
      <w:proofErr w:type="spellStart"/>
      <w:r>
        <w:t xml:space="preserve">בער־הירש</w:t>
      </w:r>
      <w:proofErr w:type="spellEnd"/>
      <w:r>
        <w:t xml:space="preserve"> מגייס כספים מתומכי תורה עשירים – הוא אוסף גם סכומים קטנים </w:t>
      </w:r>
      <w:proofErr w:type="spellStart"/>
      <w:r>
        <w:t>בקובנה־סלבודקה</w:t>
      </w:r>
      <w:proofErr w:type="spellEnd"/>
      <w:r>
        <w:t xml:space="preserve"> – מחלק כספים אלה לצרכים חריגים של התלמידים – מעניק לרבנו את עטו המיוחד</w:t>
      </w:r>
    </w:p>
    <w:p w14:paraId="20D717B4" w14:textId="77777777" w:rsidR="00AB3647" w:rsidRDefault="00000000" w:rsidP="007923E9">
      <w:pPr>
        <w:spacing w:after="120" w:line="276" w:lineRule="auto"/>
        <w:ind w:firstLine="283"/>
        <w:jc w:val="both"/>
      </w:pPr>
      <w:r>
        <w:rPr>
          <w:rtl/>
        </w:rPr>
        <w:t xml:space="preserve">מלבד תפקידי ההשגחה שלו, הוטל על הרב </w:t>
      </w:r>
      <w:proofErr w:type="spellStart"/>
      <w:r>
        <w:rPr>
          <w:rtl/>
        </w:rPr>
        <w:t xml:space="preserve">הלר</w:t>
      </w:r>
      <w:proofErr w:type="spellEnd"/>
      <w:r>
        <w:rPr>
          <w:rtl/>
        </w:rPr>
        <w:t xml:space="preserve"> לחלק לבחורים את ההקצבות. ר׳ מאיר חדש</w:t>
      </w:r>
      <w:bookmarkStart w:id="3737" w:name="_fnr2802"/>
      <w:r>
        <w:rPr>
          <w:rStyle w:val="a5"/>
        </w:rPr>
        <w:footnoteReference w:id="2810" w:customMarkFollows="0"/>
      </w:r>
      <w:bookmarkEnd w:id="3737"/>
      <w:r>
        <w:rPr>
          <w:rtl/>
        </w:rPr>
        <w:t xml:space="preserve"> כינה אותו בבדיחות הדעת “שר האוצר”. ר׳ </w:t>
      </w:r>
      <w:proofErr w:type="spellStart"/>
      <w:r>
        <w:rPr>
          <w:rtl/>
        </w:rPr>
        <w:t xml:space="preserve">בער־הירש</w:t>
      </w:r>
      <w:proofErr w:type="spellEnd"/>
      <w:r>
        <w:rPr>
          <w:rtl/>
        </w:rPr>
        <w:t xml:space="preserve"> השתתף מפעם לפעם גם בגיוס הכספים. רחל חדש</w:t>
      </w:r>
      <w:bookmarkStart w:id="3738" w:name="_fnr2803"/>
      <w:r>
        <w:rPr>
          <w:rStyle w:val="a5"/>
        </w:rPr>
        <w:footnoteReference w:id="2811" w:customMarkFollows="0"/>
      </w:r>
      <w:bookmarkEnd w:id="3738"/>
      <w:r>
        <w:rPr>
          <w:rtl/>
        </w:rPr>
        <w:t xml:space="preserve"> זכרה שלפני מלחמת העולם הראשונה התארח כמה פעמים בבית </w:t>
      </w:r>
      <w:r>
        <w:rPr>
          <w:rtl/>
        </w:rPr>
        <w:lastRenderedPageBreak/>
        <w:t xml:space="preserve">הוריה במינסק, כשבא לגייס כספים מתומכי התורה העשירים בעיר. ר׳ מאיר חדש סיפר שר׳ </w:t>
      </w:r>
      <w:proofErr w:type="spellStart"/>
      <w:r>
        <w:rPr>
          <w:rtl/>
        </w:rPr>
        <w:t xml:space="preserve">בער־הירש</w:t>
      </w:r>
      <w:proofErr w:type="spellEnd"/>
      <w:r>
        <w:rPr>
          <w:rtl/>
        </w:rPr>
        <w:t xml:space="preserve"> נסע עד מוסקבה כדי לאסוף כספים לישיבה.</w:t>
      </w:r>
      <w:bookmarkStart w:id="3739" w:name="_fnr2804"/>
      <w:r>
        <w:rPr>
          <w:rStyle w:val="a5"/>
        </w:rPr>
        <w:footnoteReference w:id="2812" w:customMarkFollows="0"/>
      </w:r>
      <w:bookmarkEnd w:id="3739"/>
    </w:p>
    <w:p w14:paraId="76B51F04" w14:textId="77777777" w:rsidR="00AB3647" w:rsidRDefault="00000000" w:rsidP="007923E9">
      <w:pPr>
        <w:spacing w:after="120" w:line="276" w:lineRule="auto"/>
        <w:ind w:firstLine="283"/>
        <w:jc w:val="both"/>
      </w:pPr>
      <w:r>
        <w:rPr>
          <w:rtl/>
        </w:rPr>
        <w:t xml:space="preserve">אבל מלבד מסעות רחוקים אלה, אסף הרב </w:t>
      </w:r>
      <w:proofErr w:type="spellStart"/>
      <w:r>
        <w:rPr>
          <w:rtl/>
        </w:rPr>
        <w:t xml:space="preserve">הלר</w:t>
      </w:r>
      <w:proofErr w:type="spellEnd"/>
      <w:r>
        <w:rPr>
          <w:rtl/>
        </w:rPr>
        <w:t xml:space="preserve"> בקביעות תרומות קטנות לישיבה מסוחרי קובנה.</w:t>
      </w:r>
      <w:bookmarkStart w:id="3740" w:name="_fnr2805"/>
      <w:r>
        <w:rPr>
          <w:rStyle w:val="a5"/>
        </w:rPr>
        <w:footnoteReference w:id="2813" w:customMarkFollows="0"/>
      </w:r>
      <w:bookmarkEnd w:id="3740"/>
      <w:r>
        <w:rPr>
          <w:rtl/>
        </w:rPr>
        <w:t xml:space="preserve"> נראה שפעילות זו, שוודאי לא הייתה מוטלת עליו מתוקף תפקידו כמשגיח, ביטאה את דאגתו האישית לרווחת תלמידיו. שכן מלבד מתן ההקצבה הקבועה שקבע הסבא לכל תלמיד, קיבל עליו הרב </w:t>
      </w:r>
      <w:proofErr w:type="spellStart"/>
      <w:r>
        <w:rPr>
          <w:rtl/>
        </w:rPr>
        <w:t xml:space="preserve">הלר</w:t>
      </w:r>
      <w:proofErr w:type="spellEnd"/>
      <w:r>
        <w:rPr>
          <w:rtl/>
        </w:rPr>
        <w:t xml:space="preserve"> אחריות לכספים לצרכים דחופים, שאותם גייס </w:t>
      </w:r>
      <w:proofErr w:type="spellStart"/>
      <w:r>
        <w:rPr>
          <w:rtl/>
        </w:rPr>
        <w:t>בקובנה־סלבודקה</w:t>
      </w:r>
      <w:proofErr w:type="spellEnd"/>
      <w:r>
        <w:rPr>
          <w:rtl/>
        </w:rPr>
        <w:t xml:space="preserve"> בכוחות עצמו והוציא לפי שיקול דעתו. לשם ההקצבה הקבועה קיבל כספים מר׳ </w:t>
      </w:r>
      <w:proofErr w:type="spellStart"/>
      <w:r>
        <w:rPr>
          <w:rtl/>
        </w:rPr>
        <w:t>משה־מרדכי</w:t>
      </w:r>
      <w:proofErr w:type="spellEnd"/>
      <w:r>
        <w:rPr>
          <w:rtl/>
        </w:rPr>
        <w:t>,</w:t>
      </w:r>
      <w:bookmarkStart w:id="3741" w:name="_fnr2806"/>
      <w:r>
        <w:rPr>
          <w:rStyle w:val="a5"/>
        </w:rPr>
        <w:footnoteReference w:id="2814" w:customMarkFollows="0"/>
      </w:r>
      <w:bookmarkEnd w:id="3741"/>
      <w:r>
        <w:rPr>
          <w:rtl/>
        </w:rPr>
        <w:t xml:space="preserve"> ולשמה מסר לראש הישיבה (או, כפי שסביר יותר, לסבא)</w:t>
      </w:r>
      <w:bookmarkStart w:id="3742" w:name="_fnr2807"/>
      <w:r>
        <w:rPr>
          <w:rStyle w:val="a5"/>
        </w:rPr>
        <w:footnoteReference w:id="2815" w:customMarkFollows="0"/>
      </w:r>
      <w:bookmarkEnd w:id="3742"/>
      <w:r>
        <w:rPr>
          <w:rtl/>
        </w:rPr>
        <w:t xml:space="preserve"> את הסכומים הגדולים יותר שגייס בנסיעותיו הרחוקות.</w:t>
      </w:r>
    </w:p>
    <w:p w14:paraId="1D73D95C" w14:textId="77777777" w:rsidR="00AB3647" w:rsidRDefault="00000000" w:rsidP="007923E9">
      <w:pPr>
        <w:spacing w:after="120" w:line="276" w:lineRule="auto"/>
        <w:ind w:firstLine="283"/>
        <w:jc w:val="both"/>
      </w:pPr>
      <w:r>
        <w:rPr>
          <w:rtl/>
        </w:rPr>
        <w:t xml:space="preserve">סברה זו נתמכת בכך שכאשר החליטו ר׳ </w:t>
      </w:r>
      <w:proofErr w:type="spellStart"/>
      <w:r>
        <w:rPr>
          <w:rtl/>
        </w:rPr>
        <w:t xml:space="preserve">בער־הירש</w:t>
      </w:r>
      <w:proofErr w:type="spellEnd"/>
      <w:r>
        <w:rPr>
          <w:rtl/>
        </w:rPr>
        <w:t xml:space="preserve"> ורבניתו לפרוש לארץ ישראל בחורף תרצ״ד, שמרו את ההחלטה בסוד אפילו מנכדיהם שלהם. רק פסק של הרב מקובנה</w:t>
      </w:r>
      <w:bookmarkStart w:id="3743" w:name="_fnr2808"/>
      <w:r>
        <w:rPr>
          <w:rStyle w:val="a5"/>
        </w:rPr>
        <w:footnoteReference w:id="2816" w:customMarkFollows="0"/>
      </w:r>
      <w:bookmarkEnd w:id="3743"/>
      <w:r>
        <w:rPr>
          <w:rtl/>
        </w:rPr>
        <w:t xml:space="preserve"> התיר לו להעביר את החובות להנהלת הישיבה</w:t>
      </w:r>
      <w:bookmarkStart w:id="3744" w:name="_fnr2809"/>
      <w:r>
        <w:rPr>
          <w:rStyle w:val="a5"/>
        </w:rPr>
        <w:footnoteReference w:id="2817" w:customMarkFollows="0"/>
      </w:r>
      <w:bookmarkEnd w:id="3744"/>
      <w:r>
        <w:rPr>
          <w:rtl/>
        </w:rPr>
        <w:t xml:space="preserve"> ולצאת בחשאי. ר׳ </w:t>
      </w:r>
      <w:proofErr w:type="spellStart"/>
      <w:r>
        <w:rPr>
          <w:rtl/>
        </w:rPr>
        <w:t xml:space="preserve">בער־הירש</w:t>
      </w:r>
      <w:proofErr w:type="spellEnd"/>
      <w:r>
        <w:rPr>
          <w:rtl/>
        </w:rPr>
        <w:t xml:space="preserve"> חשש שאם לא כן, ימנעו ממנו לעזוב בעלי החנויות שהיה חייב להם כסף על הוצאות התלמידים.</w:t>
      </w:r>
      <w:bookmarkStart w:id="3745" w:name="_fnr2810"/>
      <w:r>
        <w:rPr>
          <w:rStyle w:val="a5"/>
        </w:rPr>
        <w:footnoteReference w:id="2818" w:customMarkFollows="0"/>
      </w:r>
      <w:bookmarkEnd w:id="3745"/>
      <w:r>
        <w:rPr>
          <w:rtl/>
        </w:rPr>
        <w:t xml:space="preserve"> אחותי הבכורה מלכה, שלמדה אז בקובנה, זוכרת שהורינו באו </w:t>
      </w:r>
      <w:proofErr w:type="spellStart"/>
      <w:r>
        <w:rPr>
          <w:rtl/>
        </w:rPr>
        <w:t>לסלבודקה</w:t>
      </w:r>
      <w:proofErr w:type="spellEnd"/>
      <w:r>
        <w:rPr>
          <w:rtl/>
        </w:rPr>
        <w:t xml:space="preserve"> </w:t>
      </w:r>
      <w:proofErr w:type="spellStart"/>
      <w:r>
        <w:rPr>
          <w:rtl/>
        </w:rPr>
        <w:t>מציטוביאן</w:t>
      </w:r>
      <w:proofErr w:type="spellEnd"/>
      <w:r>
        <w:rPr>
          <w:rtl/>
        </w:rPr>
        <w:t xml:space="preserve"> למטרה חשאית, שהתבררה כפרידה מסבנו וסבתנו.</w:t>
      </w:r>
    </w:p>
    <w:p w14:paraId="00667079" w14:textId="77777777" w:rsidR="00AB3647" w:rsidRDefault="00000000" w:rsidP="007923E9">
      <w:pPr>
        <w:spacing w:after="120" w:line="276" w:lineRule="auto"/>
        <w:ind w:firstLine="283"/>
        <w:jc w:val="both"/>
      </w:pPr>
      <w:r>
        <w:rPr>
          <w:rtl/>
        </w:rPr>
        <w:t>בניגוד למנהגו להשתתף מדי ערב בסדר המוסר ובתפילת ערבית בישיבה, לפני צאתו החשאית מן העיר בלילה נכנס לישיבה, הביט סביבו בערגה ויצא.</w:t>
      </w:r>
      <w:bookmarkStart w:id="3746" w:name="_fnr2811"/>
      <w:r>
        <w:rPr>
          <w:rStyle w:val="a5"/>
        </w:rPr>
        <w:footnoteReference w:id="2819" w:customMarkFollows="0"/>
      </w:r>
      <w:bookmarkEnd w:id="3746"/>
      <w:r>
        <w:rPr>
          <w:rtl/>
        </w:rPr>
        <w:t xml:space="preserve"> ר׳ יצחק </w:t>
      </w:r>
      <w:proofErr w:type="spellStart"/>
      <w:r>
        <w:rPr>
          <w:rtl/>
        </w:rPr>
        <w:t>גרודזינסקי</w:t>
      </w:r>
      <w:proofErr w:type="spellEnd"/>
      <w:r>
        <w:rPr>
          <w:rtl/>
        </w:rPr>
        <w:t xml:space="preserve">, בנו של חתנו הבכור של ר׳ </w:t>
      </w:r>
      <w:proofErr w:type="spellStart"/>
      <w:r>
        <w:rPr>
          <w:rtl/>
        </w:rPr>
        <w:t xml:space="preserve">בער־הירש</w:t>
      </w:r>
      <w:proofErr w:type="spellEnd"/>
      <w:r>
        <w:rPr>
          <w:rtl/>
        </w:rPr>
        <w:t xml:space="preserve">, ר׳ אברהם </w:t>
      </w:r>
      <w:proofErr w:type="spellStart"/>
      <w:r>
        <w:rPr>
          <w:rtl/>
        </w:rPr>
        <w:t>גרודזינסקי</w:t>
      </w:r>
      <w:proofErr w:type="spellEnd"/>
      <w:r>
        <w:rPr>
          <w:rtl/>
        </w:rPr>
        <w:t>,</w:t>
      </w:r>
      <w:bookmarkStart w:id="3747" w:name="_fnr2812"/>
      <w:r>
        <w:rPr>
          <w:rStyle w:val="a5"/>
        </w:rPr>
        <w:footnoteReference w:id="2820" w:customMarkFollows="0"/>
      </w:r>
      <w:bookmarkEnd w:id="3747"/>
      <w:r>
        <w:rPr>
          <w:rtl/>
        </w:rPr>
        <w:t xml:space="preserve"> סיפר</w:t>
      </w:r>
      <w:bookmarkStart w:id="3748" w:name="_fnr2813"/>
      <w:r>
        <w:rPr>
          <w:rStyle w:val="a5"/>
        </w:rPr>
        <w:footnoteReference w:id="2821" w:customMarkFollows="0"/>
      </w:r>
      <w:bookmarkEnd w:id="3748"/>
      <w:r>
        <w:rPr>
          <w:rtl/>
        </w:rPr>
        <w:t xml:space="preserve"> שסבנו אף הקיש על הבימה להכריז על תחילת זמן המוסר לפני שיצא.</w:t>
      </w:r>
    </w:p>
    <w:p w14:paraId="74F58175" w14:textId="77777777" w:rsidR="00AB3647" w:rsidRDefault="00000000" w:rsidP="007923E9">
      <w:pPr>
        <w:spacing w:after="120" w:line="276" w:lineRule="auto"/>
        <w:ind w:firstLine="283"/>
        <w:jc w:val="both"/>
      </w:pPr>
      <w:r>
        <w:rPr>
          <w:rtl/>
        </w:rPr>
        <w:t xml:space="preserve">ר׳ </w:t>
      </w:r>
      <w:proofErr w:type="spellStart"/>
      <w:r>
        <w:rPr>
          <w:rtl/>
        </w:rPr>
        <w:t xml:space="preserve">בער־הירש</w:t>
      </w:r>
      <w:proofErr w:type="spellEnd"/>
      <w:r>
        <w:rPr>
          <w:rtl/>
        </w:rPr>
        <w:t xml:space="preserve"> נאלץ להתגנב מן העיר כגנב בלילה, וזו ראיה ברורה לכך שמעורבותו האישית בלקיחת ההלוואות הביאה את הנושים הללו לחוש שהחוב מוטל עליו ולא על הישיבה. ר׳ יצחק סיפר גם</w:t>
      </w:r>
      <w:bookmarkStart w:id="3749" w:name="_fnr2814"/>
      <w:r>
        <w:rPr>
          <w:rStyle w:val="a5"/>
        </w:rPr>
        <w:footnoteReference w:id="2822" w:customMarkFollows="0"/>
      </w:r>
      <w:bookmarkEnd w:id="3749"/>
      <w:r>
        <w:rPr>
          <w:rtl/>
        </w:rPr>
        <w:t xml:space="preserve"> שסבו וסבתו עלו לארץ ישראל משום שחששו שר׳ אברהם, שהיה כבר חמש שנים אלמן, אינו נושא אישה אחרת מפני שהוא חושש שייפגעו כשיראו אישה </w:t>
      </w:r>
      <w:r>
        <w:rPr>
          <w:rtl/>
        </w:rPr>
        <w:lastRenderedPageBreak/>
        <w:t xml:space="preserve">אחרת תופסת את מקום בתם. זו דוגמה נוגעת ללב הן לקדושתו של ר׳ אברהם והן לאופיו </w:t>
      </w:r>
      <w:proofErr w:type="spellStart"/>
      <w:r>
        <w:rPr>
          <w:rtl/>
        </w:rPr>
        <w:t>ה“משיי</w:t>
      </w:r>
      <w:proofErr w:type="spellEnd"/>
      <w:r>
        <w:rPr>
          <w:rtl/>
        </w:rPr>
        <w:t xml:space="preserve">” של ר׳ </w:t>
      </w:r>
      <w:proofErr w:type="spellStart"/>
      <w:r>
        <w:rPr>
          <w:rtl/>
        </w:rPr>
        <w:t xml:space="preserve">בער־הירש</w:t>
      </w:r>
      <w:bookmarkStart w:id="3750" w:name="_fnr2815"/>
      <w:proofErr w:type="spellEnd"/>
      <w:r>
        <w:rPr>
          <w:rStyle w:val="a5"/>
        </w:rPr>
        <w:footnoteReference w:id="2823" w:customMarkFollows="0"/>
      </w:r>
      <w:bookmarkEnd w:id="3750"/>
      <w:r>
        <w:rPr>
          <w:rtl/>
        </w:rPr>
        <w:t>!</w:t>
      </w:r>
    </w:p>
    <w:p w14:paraId="09746BDB" w14:textId="77777777" w:rsidR="00AB3647" w:rsidRDefault="00000000" w:rsidP="007923E9">
      <w:pPr>
        <w:spacing w:after="120" w:line="276" w:lineRule="auto"/>
        <w:ind w:firstLine="283"/>
        <w:jc w:val="both"/>
      </w:pPr>
      <w:r>
        <w:rPr>
          <w:rtl/>
        </w:rPr>
        <w:t xml:space="preserve">בהשגחה עליונה הגיע ר׳ אברהם לארץ ישראל בקיץ תרצ״ה כדי לבדוק הצעת שידוך – שלא עלתה יפה – והיה בארץ כשנפטר ר׳ </w:t>
      </w:r>
      <w:proofErr w:type="spellStart"/>
      <w:r>
        <w:rPr>
          <w:rtl/>
        </w:rPr>
        <w:t xml:space="preserve">בער־הירש</w:t>
      </w:r>
      <w:proofErr w:type="spellEnd"/>
      <w:r>
        <w:rPr>
          <w:rtl/>
        </w:rPr>
        <w:t xml:space="preserve">. הוא חזר מטבריה לירושלים בעוד מועד כדי להספיד את חמיו, יחד עם ר׳ </w:t>
      </w:r>
      <w:proofErr w:type="spellStart"/>
      <w:r>
        <w:rPr>
          <w:rtl/>
        </w:rPr>
        <w:t>איסר־זלמן</w:t>
      </w:r>
      <w:proofErr w:type="spellEnd"/>
      <w:r>
        <w:rPr>
          <w:rtl/>
        </w:rPr>
        <w:t xml:space="preserve"> מלצר, ר׳ ראובן כץ, ר׳ </w:t>
      </w:r>
      <w:proofErr w:type="spellStart"/>
      <w:r>
        <w:rPr>
          <w:rtl/>
        </w:rPr>
        <w:t>חצקל</w:t>
      </w:r>
      <w:proofErr w:type="spellEnd"/>
      <w:r>
        <w:rPr>
          <w:rtl/>
        </w:rPr>
        <w:t xml:space="preserve"> </w:t>
      </w:r>
      <w:proofErr w:type="spellStart"/>
      <w:r>
        <w:rPr>
          <w:rtl/>
        </w:rPr>
        <w:t>סרנא</w:t>
      </w:r>
      <w:proofErr w:type="spellEnd"/>
      <w:r>
        <w:rPr>
          <w:rtl/>
        </w:rPr>
        <w:t xml:space="preserve">, ר׳ אברהם </w:t>
      </w:r>
      <w:proofErr w:type="spellStart"/>
      <w:r>
        <w:rPr>
          <w:rtl/>
        </w:rPr>
        <w:t>יופן</w:t>
      </w:r>
      <w:proofErr w:type="spellEnd"/>
      <w:r>
        <w:rPr>
          <w:rtl/>
        </w:rPr>
        <w:t xml:space="preserve"> ור׳ ראובן </w:t>
      </w:r>
      <w:proofErr w:type="spellStart"/>
      <w:r>
        <w:rPr>
          <w:rtl/>
        </w:rPr>
        <w:t>מילצקי</w:t>
      </w:r>
      <w:bookmarkStart w:id="3751" w:name="_fnr2816"/>
      <w:proofErr w:type="spellEnd"/>
      <w:r>
        <w:rPr>
          <w:rStyle w:val="a5"/>
        </w:rPr>
        <w:footnoteReference w:id="2824" w:customMarkFollows="0"/>
      </w:r>
      <w:bookmarkEnd w:id="3751"/>
      <w:r>
        <w:rPr>
          <w:rtl/>
        </w:rPr>
        <w:t>.</w:t>
      </w:r>
    </w:p>
    <w:p w14:paraId="525A6648" w14:textId="77777777" w:rsidR="00AB3647" w:rsidRDefault="00000000" w:rsidP="007923E9">
      <w:pPr>
        <w:spacing w:after="120" w:line="276" w:lineRule="auto"/>
        <w:ind w:firstLine="283"/>
        <w:jc w:val="both"/>
      </w:pPr>
      <w:r>
        <w:rPr>
          <w:rtl/>
        </w:rPr>
        <w:t xml:space="preserve">להלן דוגמאות להוצאות חריגות של תלמידים שהרב </w:t>
      </w:r>
      <w:proofErr w:type="spellStart"/>
      <w:r>
        <w:rPr>
          <w:rtl/>
        </w:rPr>
        <w:t xml:space="preserve">הלר</w:t>
      </w:r>
      <w:proofErr w:type="spellEnd"/>
      <w:r>
        <w:rPr>
          <w:rtl/>
        </w:rPr>
        <w:t xml:space="preserve"> מימן: (1) ר׳ </w:t>
      </w:r>
      <w:proofErr w:type="spellStart"/>
      <w:r>
        <w:rPr>
          <w:rtl/>
        </w:rPr>
        <w:t>שמעון־ראובן</w:t>
      </w:r>
      <w:proofErr w:type="spellEnd"/>
      <w:r>
        <w:rPr>
          <w:rtl/>
        </w:rPr>
        <w:t xml:space="preserve"> </w:t>
      </w:r>
      <w:proofErr w:type="spellStart"/>
      <w:r>
        <w:rPr>
          <w:rtl/>
        </w:rPr>
        <w:t>דבורץ</w:t>
      </w:r>
      <w:proofErr w:type="spellEnd"/>
      <w:r>
        <w:rPr>
          <w:rtl/>
        </w:rPr>
        <w:t xml:space="preserve">, בנו של ר׳ </w:t>
      </w:r>
      <w:proofErr w:type="spellStart"/>
      <w:r>
        <w:rPr>
          <w:rtl/>
        </w:rPr>
        <w:t>ישראל־זיסל</w:t>
      </w:r>
      <w:proofErr w:type="spellEnd"/>
      <w:r>
        <w:rPr>
          <w:rtl/>
        </w:rPr>
        <w:t xml:space="preserve"> – המוציא לאור הידוע של כתבי עת ומחברם של ספרים ומאמרים רבים על מוסר –</w:t>
      </w:r>
      <w:bookmarkStart w:id="3752" w:name="_fnr2817"/>
      <w:r>
        <w:rPr>
          <w:rStyle w:val="a5"/>
        </w:rPr>
        <w:footnoteReference w:id="2825" w:customMarkFollows="0"/>
      </w:r>
      <w:bookmarkEnd w:id="3752"/>
      <w:r>
        <w:rPr>
          <w:rtl/>
        </w:rPr>
        <w:t xml:space="preserve"> סיפר:</w:t>
      </w:r>
      <w:bookmarkStart w:id="3753" w:name="_fnr2818"/>
      <w:r>
        <w:rPr>
          <w:rStyle w:val="a5"/>
        </w:rPr>
        <w:footnoteReference w:id="2826" w:customMarkFollows="0"/>
      </w:r>
      <w:bookmarkEnd w:id="3753"/>
      <w:r>
        <w:rPr>
          <w:rtl/>
        </w:rPr>
        <w:t xml:space="preserve"> “ר׳ </w:t>
      </w:r>
      <w:proofErr w:type="spellStart"/>
      <w:r>
        <w:rPr>
          <w:rtl/>
        </w:rPr>
        <w:t xml:space="preserve">בער־הירש</w:t>
      </w:r>
      <w:proofErr w:type="spellEnd"/>
      <w:r>
        <w:rPr>
          <w:rtl/>
        </w:rPr>
        <w:t xml:space="preserve"> היה צדיק, ‘</w:t>
      </w:r>
      <w:proofErr w:type="spellStart"/>
      <w:r>
        <w:rPr>
          <w:rtl/>
        </w:rPr>
        <w:t>חפץ־חיים</w:t>
      </w:r>
      <w:proofErr w:type="spellEnd"/>
      <w:r>
        <w:rPr>
          <w:rtl/>
        </w:rPr>
        <w:t>’;</w:t>
      </w:r>
      <w:bookmarkStart w:id="3754" w:name="_fnr2819"/>
      <w:r>
        <w:rPr>
          <w:rStyle w:val="a5"/>
        </w:rPr>
        <w:footnoteReference w:id="2827" w:customMarkFollows="0"/>
      </w:r>
      <w:bookmarkEnd w:id="3754"/>
      <w:r>
        <w:rPr>
          <w:rtl/>
        </w:rPr>
        <w:t xml:space="preserve"> הוא כונה ‘אם הישיבה’. הוא היה יכול לגשת לבחור ולשאול אם יש חורים בנעליו, ולתת לו פתק לסנדלר כדי שיתקן אותן על חשבון הישיבה.” ר׳ שמואל כץ אמר שהסבא עצמו אמר פעם </w:t>
      </w:r>
      <w:proofErr w:type="spellStart"/>
      <w:r>
        <w:rPr>
          <w:rtl/>
        </w:rPr>
        <w:t>לר</w:t>
      </w:r>
      <w:proofErr w:type="spellEnd"/>
      <w:r>
        <w:rPr>
          <w:rtl/>
        </w:rPr>
        <w:t xml:space="preserve">׳ </w:t>
      </w:r>
      <w:proofErr w:type="spellStart"/>
      <w:r>
        <w:rPr>
          <w:rtl/>
        </w:rPr>
        <w:t xml:space="preserve">בער־הירש</w:t>
      </w:r>
      <w:proofErr w:type="spellEnd"/>
      <w:r>
        <w:rPr>
          <w:rtl/>
        </w:rPr>
        <w:t xml:space="preserve"> שהוא אם הישיבה, ור׳ </w:t>
      </w:r>
      <w:proofErr w:type="spellStart"/>
      <w:r>
        <w:rPr>
          <w:rtl/>
        </w:rPr>
        <w:t xml:space="preserve">בער־הירש</w:t>
      </w:r>
      <w:proofErr w:type="spellEnd"/>
      <w:r>
        <w:rPr>
          <w:rtl/>
        </w:rPr>
        <w:t>, מוצף רגש, פרץ בבכי. השיב לו הסבא: “בדיוק כפי שאמרתי לך: אתה כמו אם [המביעה את רגשותיה בדמעות].”</w:t>
      </w:r>
    </w:p>
    <w:p w14:paraId="7112BB0F" w14:textId="77777777" w:rsidR="00AB3647" w:rsidRDefault="00000000" w:rsidP="007923E9">
      <w:pPr>
        <w:spacing w:after="120" w:line="276" w:lineRule="auto"/>
        <w:ind w:firstLine="283"/>
        <w:jc w:val="both"/>
      </w:pPr>
      <w:r>
        <w:rPr>
          <w:rtl/>
        </w:rPr>
        <w:t xml:space="preserve">(2) הספר “כי אם... – ציוני דרך בחיי רבי </w:t>
      </w:r>
      <w:proofErr w:type="spellStart"/>
      <w:r>
        <w:rPr>
          <w:rtl/>
        </w:rPr>
        <w:t>מרדכי־זאב</w:t>
      </w:r>
      <w:proofErr w:type="spellEnd"/>
      <w:r>
        <w:rPr>
          <w:rtl/>
        </w:rPr>
        <w:t xml:space="preserve"> </w:t>
      </w:r>
      <w:proofErr w:type="spellStart"/>
      <w:r>
        <w:rPr>
          <w:rtl/>
        </w:rPr>
        <w:t>שולמן</w:t>
      </w:r>
      <w:proofErr w:type="spellEnd"/>
      <w:r>
        <w:rPr>
          <w:rtl/>
        </w:rPr>
        <w:t>” מאת ראובן גרוסמן</w:t>
      </w:r>
      <w:bookmarkStart w:id="3755" w:name="_fnr2820"/>
      <w:r>
        <w:rPr>
          <w:rStyle w:val="a5"/>
        </w:rPr>
        <w:footnoteReference w:id="2828" w:customMarkFollows="0"/>
      </w:r>
      <w:bookmarkEnd w:id="3755"/>
      <w:r>
        <w:rPr>
          <w:rtl/>
        </w:rPr>
        <w:t xml:space="preserve"> מספר שכאשר הצטרף </w:t>
      </w:r>
      <w:proofErr w:type="spellStart"/>
      <w:r>
        <w:rPr>
          <w:rtl/>
        </w:rPr>
        <w:t>מרדכי־זאב</w:t>
      </w:r>
      <w:proofErr w:type="spellEnd"/>
      <w:r>
        <w:rPr>
          <w:rtl/>
        </w:rPr>
        <w:t xml:space="preserve">, בן </w:t>
      </w:r>
      <w:proofErr w:type="spellStart"/>
      <w:r>
        <w:rPr>
          <w:rtl/>
        </w:rPr>
        <w:t>חמש־עשרה</w:t>
      </w:r>
      <w:proofErr w:type="spellEnd"/>
      <w:r>
        <w:rPr>
          <w:rtl/>
        </w:rPr>
        <w:t xml:space="preserve">, לישיבת </w:t>
      </w:r>
      <w:proofErr w:type="spellStart"/>
      <w:r>
        <w:rPr>
          <w:rtl/>
        </w:rPr>
        <w:t>סלבודקה</w:t>
      </w:r>
      <w:proofErr w:type="spellEnd"/>
      <w:r>
        <w:rPr>
          <w:rtl/>
        </w:rPr>
        <w:t xml:space="preserve"> בעת גלותה במינסק, נפגמו התפילין שלו בנדודיו, והסבא אמר </w:t>
      </w:r>
      <w:proofErr w:type="spellStart"/>
      <w:r>
        <w:rPr>
          <w:rtl/>
        </w:rPr>
        <w:t>לר</w:t>
      </w:r>
      <w:proofErr w:type="spellEnd"/>
      <w:r>
        <w:rPr>
          <w:rtl/>
        </w:rPr>
        <w:t xml:space="preserve">׳ </w:t>
      </w:r>
      <w:proofErr w:type="spellStart"/>
      <w:r>
        <w:rPr>
          <w:rtl/>
        </w:rPr>
        <w:t xml:space="preserve">בער־הירש</w:t>
      </w:r>
      <w:proofErr w:type="spellEnd"/>
      <w:r>
        <w:rPr>
          <w:rtl/>
        </w:rPr>
        <w:t xml:space="preserve"> שתפקידו להשיג לנער זוג “מהודרות בתכלית ההידור”. כשטען ר׳ </w:t>
      </w:r>
      <w:proofErr w:type="spellStart"/>
      <w:r>
        <w:rPr>
          <w:rtl/>
        </w:rPr>
        <w:t xml:space="preserve">בער־הירש</w:t>
      </w:r>
      <w:proofErr w:type="spellEnd"/>
      <w:r>
        <w:rPr>
          <w:rtl/>
        </w:rPr>
        <w:t xml:space="preserve"> שהן יהיו יקרות מדי, אמר הסבא שהישיבה קיבלה עליה את תפקידו של אביו המנוח של הנער, בוגר </w:t>
      </w:r>
      <w:proofErr w:type="spellStart"/>
      <w:r>
        <w:rPr>
          <w:rtl/>
        </w:rPr>
        <w:t>סלבודקה</w:t>
      </w:r>
      <w:proofErr w:type="spellEnd"/>
      <w:r>
        <w:rPr>
          <w:rtl/>
        </w:rPr>
        <w:t>, שהיה נותן לבנו תפילין באיכות שאינה נופלת מזו.</w:t>
      </w:r>
    </w:p>
    <w:p w14:paraId="769F25A8" w14:textId="77777777" w:rsidR="00AB3647" w:rsidRDefault="00000000" w:rsidP="007923E9">
      <w:pPr>
        <w:spacing w:after="120" w:line="276" w:lineRule="auto"/>
        <w:ind w:firstLine="283"/>
        <w:jc w:val="both"/>
      </w:pPr>
      <w:r>
        <w:rPr>
          <w:rtl/>
        </w:rPr>
        <w:t xml:space="preserve">(3) ר׳ </w:t>
      </w:r>
      <w:proofErr w:type="spellStart"/>
      <w:r>
        <w:rPr>
          <w:rtl/>
        </w:rPr>
        <w:t>אלעזר־מנחם־מן</w:t>
      </w:r>
      <w:proofErr w:type="spellEnd"/>
      <w:r>
        <w:rPr>
          <w:rtl/>
        </w:rPr>
        <w:t xml:space="preserve"> שך סיפר</w:t>
      </w:r>
      <w:bookmarkStart w:id="3756" w:name="_fnr2821"/>
      <w:r>
        <w:rPr>
          <w:rStyle w:val="a5"/>
        </w:rPr>
        <w:footnoteReference w:id="2829" w:customMarkFollows="0"/>
      </w:r>
      <w:bookmarkEnd w:id="3756"/>
      <w:r>
        <w:rPr>
          <w:rtl/>
        </w:rPr>
        <w:t xml:space="preserve"> </w:t>
      </w:r>
      <w:proofErr w:type="spellStart"/>
      <w:r>
        <w:rPr>
          <w:rtl/>
        </w:rPr>
        <w:t>שבהיותו</w:t>
      </w:r>
      <w:proofErr w:type="spellEnd"/>
      <w:r>
        <w:rPr>
          <w:rtl/>
        </w:rPr>
        <w:t xml:space="preserve"> נער בן </w:t>
      </w:r>
      <w:proofErr w:type="spellStart"/>
      <w:r>
        <w:rPr>
          <w:rtl/>
        </w:rPr>
        <w:t>שלוש־עשרה</w:t>
      </w:r>
      <w:proofErr w:type="spellEnd"/>
      <w:r>
        <w:rPr>
          <w:rtl/>
        </w:rPr>
        <w:t xml:space="preserve"> היה נוטה להצטנן. בוקר שבת אחד, אחרי שישן על ספסל בבית מדרש בקובנה בתקופה שבה נסחף הגשר המחבר את העיר </w:t>
      </w:r>
      <w:proofErr w:type="spellStart"/>
      <w:r>
        <w:rPr>
          <w:rtl/>
        </w:rPr>
        <w:t>לסלבודקה</w:t>
      </w:r>
      <w:proofErr w:type="spellEnd"/>
      <w:r>
        <w:rPr>
          <w:rtl/>
        </w:rPr>
        <w:t>,</w:t>
      </w:r>
      <w:bookmarkStart w:id="3757" w:name="_fnr2822"/>
      <w:r>
        <w:rPr>
          <w:rStyle w:val="a5"/>
        </w:rPr>
        <w:footnoteReference w:id="2830" w:customMarkFollows="0"/>
      </w:r>
      <w:bookmarkEnd w:id="3757"/>
      <w:r>
        <w:rPr>
          <w:rtl/>
        </w:rPr>
        <w:t xml:space="preserve"> התעורר בעיניים כואבות ובנזלת. בשבוע שלאחר מכן אמר </w:t>
      </w:r>
      <w:proofErr w:type="spellStart"/>
      <w:r>
        <w:rPr>
          <w:rtl/>
        </w:rPr>
        <w:t>לר</w:t>
      </w:r>
      <w:proofErr w:type="spellEnd"/>
      <w:r>
        <w:rPr>
          <w:rtl/>
        </w:rPr>
        <w:t xml:space="preserve">׳ </w:t>
      </w:r>
      <w:proofErr w:type="spellStart"/>
      <w:r>
        <w:rPr>
          <w:rtl/>
        </w:rPr>
        <w:t xml:space="preserve">בער־הירש</w:t>
      </w:r>
      <w:proofErr w:type="spellEnd"/>
      <w:r>
        <w:rPr>
          <w:rtl/>
        </w:rPr>
        <w:t xml:space="preserve"> שאינו יכול להישאר בקובנה בשבת. ר׳ </w:t>
      </w:r>
      <w:proofErr w:type="spellStart"/>
      <w:r>
        <w:rPr>
          <w:rtl/>
        </w:rPr>
        <w:t xml:space="preserve">בער־הירש</w:t>
      </w:r>
      <w:proofErr w:type="spellEnd"/>
      <w:r>
        <w:rPr>
          <w:rtl/>
        </w:rPr>
        <w:t xml:space="preserve"> אמר שידבר עם ראש הישיבה, ואחר כך נתן לו חצי רובל לשלם לבעלת הבית שלו בימות החול בעבור סעודות השבת הנוספות; כך נמשך הדבר עד שנבנה הגשר מחדש. סביר שמתוך “הצנע לכת” העמיד הרב </w:t>
      </w:r>
      <w:proofErr w:type="spellStart"/>
      <w:r>
        <w:rPr>
          <w:rtl/>
        </w:rPr>
        <w:t xml:space="preserve">הלר</w:t>
      </w:r>
      <w:proofErr w:type="spellEnd"/>
      <w:r>
        <w:rPr>
          <w:rtl/>
        </w:rPr>
        <w:t xml:space="preserve"> פנים שהוא פונה </w:t>
      </w:r>
      <w:proofErr w:type="spellStart"/>
      <w:r>
        <w:rPr>
          <w:rtl/>
        </w:rPr>
        <w:t>לר</w:t>
      </w:r>
      <w:proofErr w:type="spellEnd"/>
      <w:r>
        <w:rPr>
          <w:rtl/>
        </w:rPr>
        <w:t xml:space="preserve">׳ </w:t>
      </w:r>
      <w:proofErr w:type="spellStart"/>
      <w:r>
        <w:rPr>
          <w:rtl/>
        </w:rPr>
        <w:t>משה־מרדכי</w:t>
      </w:r>
      <w:proofErr w:type="spellEnd"/>
      <w:r>
        <w:rPr>
          <w:rtl/>
        </w:rPr>
        <w:t>, ובאמת שילם את ההוצאה מן הסכומים הקטנים שגייס, כפי שתואר לעיל.</w:t>
      </w:r>
    </w:p>
    <w:p w14:paraId="52749DEF" w14:textId="77777777" w:rsidR="00AB3647" w:rsidRDefault="00000000" w:rsidP="007923E9">
      <w:pPr>
        <w:spacing w:after="120" w:line="276" w:lineRule="auto"/>
        <w:ind w:firstLine="283"/>
        <w:jc w:val="both"/>
      </w:pPr>
      <w:r>
        <w:rPr>
          <w:rtl/>
        </w:rPr>
        <w:lastRenderedPageBreak/>
        <w:t xml:space="preserve">על סיפור חצאי הרובלים שנתן ר׳ </w:t>
      </w:r>
      <w:proofErr w:type="spellStart"/>
      <w:r>
        <w:rPr>
          <w:rtl/>
        </w:rPr>
        <w:t xml:space="preserve">בער־הירש</w:t>
      </w:r>
      <w:proofErr w:type="spellEnd"/>
      <w:r>
        <w:rPr>
          <w:rtl/>
        </w:rPr>
        <w:t xml:space="preserve"> הוסיף ר׳ </w:t>
      </w:r>
      <w:proofErr w:type="spellStart"/>
      <w:r>
        <w:rPr>
          <w:rtl/>
        </w:rPr>
        <w:t>אלעזר־מנחם־מן</w:t>
      </w:r>
      <w:proofErr w:type="spellEnd"/>
      <w:r>
        <w:rPr>
          <w:rtl/>
        </w:rPr>
        <w:t xml:space="preserve"> שך</w:t>
      </w:r>
      <w:bookmarkStart w:id="3758" w:name="_fnr2823"/>
      <w:r>
        <w:rPr>
          <w:rStyle w:val="a5"/>
        </w:rPr>
        <w:footnoteReference w:id="2831" w:customMarkFollows="0"/>
      </w:r>
      <w:bookmarkEnd w:id="3758"/>
      <w:r>
        <w:rPr>
          <w:rtl/>
        </w:rPr>
        <w:t xml:space="preserve">: “באביב חזרתי אל </w:t>
      </w:r>
      <w:proofErr w:type="spellStart"/>
      <w:r>
        <w:rPr>
          <w:rtl/>
        </w:rPr>
        <w:t>השבת־בעל־הבית</w:t>
      </w:r>
      <w:proofErr w:type="spellEnd"/>
      <w:r>
        <w:rPr>
          <w:rtl/>
        </w:rPr>
        <w:t xml:space="preserve"> שלי [מארחי בשבת] בקובנה, שהיה לו בן בישיבת </w:t>
      </w:r>
      <w:proofErr w:type="spellStart"/>
      <w:r>
        <w:rPr>
          <w:rtl/>
        </w:rPr>
        <w:t>סלבודקה</w:t>
      </w:r>
      <w:proofErr w:type="spellEnd"/>
      <w:r>
        <w:rPr>
          <w:rtl/>
        </w:rPr>
        <w:t xml:space="preserve"> – אף שהוא עצמו התפלל בבית הכנסת הכוראלי המודרני.</w:t>
      </w:r>
      <w:bookmarkStart w:id="3759" w:name="_fnr2824"/>
      <w:r>
        <w:rPr>
          <w:rStyle w:val="a5"/>
        </w:rPr>
        <w:footnoteReference w:id="2832" w:customMarkFollows="0"/>
      </w:r>
      <w:bookmarkEnd w:id="3759"/>
      <w:r>
        <w:rPr>
          <w:rtl/>
        </w:rPr>
        <w:t xml:space="preserve"> שבת אחת ראיתי שהצ׳ולנט עומד על פרימוס [כירה נמוכה בעלת להבה אחת ושלוש רגליים], והאש גלויה. לכן לא אכלתי ולא הלכתי לשם עוד. כשהבן שאל מדוע חדלתי לבוא לביתו, אמרתי לו: ‘כי אצלכם בבית מבשלים בשבת.’ הבחור אמר שהצ׳ולנט כבר היה מבושל לגמרי בתנור, והניחו אותו על הפרימוס ממש לפני ההגשה כדי להגישו חם יותר, אבל עדיין סירבתי לחזור. ר׳ </w:t>
      </w:r>
      <w:proofErr w:type="spellStart"/>
      <w:r>
        <w:rPr>
          <w:rtl/>
        </w:rPr>
        <w:t xml:space="preserve">בער־הירש</w:t>
      </w:r>
      <w:proofErr w:type="spellEnd"/>
      <w:r>
        <w:rPr>
          <w:rtl/>
        </w:rPr>
        <w:t xml:space="preserve"> נתן לי אז חצי רובל מדי שבוע. חמישים </w:t>
      </w:r>
      <w:proofErr w:type="spellStart"/>
      <w:r>
        <w:rPr>
          <w:rtl/>
        </w:rPr>
        <w:t>הקופיקות</w:t>
      </w:r>
      <w:proofErr w:type="spellEnd"/>
      <w:r>
        <w:rPr>
          <w:rtl/>
        </w:rPr>
        <w:t xml:space="preserve"> שקיבלתי בכל שבוע הכפילו למעשה את הקצבתי, משום שבאותה תקופה קיבל כל תלמיד רובל אחד או שניים לחודש – ורק מעטים נבחרים קיבלו שלושה. ר׳ </w:t>
      </w:r>
      <w:proofErr w:type="spellStart"/>
      <w:r>
        <w:rPr>
          <w:rtl/>
        </w:rPr>
        <w:t>משה־מרדכי</w:t>
      </w:r>
      <w:proofErr w:type="spellEnd"/>
      <w:r>
        <w:rPr>
          <w:rtl/>
        </w:rPr>
        <w:t xml:space="preserve"> קבע כמה לתת לכל תלמיד – אף שלסבא היו כספים משלו, שמהם נתן עוד רובל או שניים למי שחפץ ביקרם.” הרב שך, שהיה אז בחור צעיר, לא ידע שגם הסכום שר׳ </w:t>
      </w:r>
      <w:proofErr w:type="spellStart"/>
      <w:r>
        <w:rPr>
          <w:rtl/>
        </w:rPr>
        <w:t>משה־מרדכי</w:t>
      </w:r>
      <w:proofErr w:type="spellEnd"/>
      <w:r>
        <w:rPr>
          <w:rtl/>
        </w:rPr>
        <w:t xml:space="preserve"> נתן לכל תלמיד נקבע בידי הסבא.</w:t>
      </w:r>
      <w:bookmarkStart w:id="3760" w:name="_fnr2825"/>
      <w:r>
        <w:rPr>
          <w:rStyle w:val="a5"/>
        </w:rPr>
        <w:footnoteReference w:id="2833" w:customMarkFollows="0"/>
      </w:r>
      <w:bookmarkEnd w:id="3760"/>
    </w:p>
    <w:p w14:paraId="5EDBB60F" w14:textId="77777777" w:rsidR="00AB3647" w:rsidRDefault="00000000" w:rsidP="007923E9">
      <w:pPr>
        <w:spacing w:after="120" w:line="276" w:lineRule="auto"/>
        <w:ind w:firstLine="283"/>
        <w:jc w:val="both"/>
      </w:pPr>
      <w:r>
        <w:rPr>
          <w:rtl/>
        </w:rPr>
        <w:t xml:space="preserve">(4) ר׳ זליג סטאר, שבדרך כלל מתח ביקורת על ישיבת </w:t>
      </w:r>
      <w:proofErr w:type="spellStart"/>
      <w:r>
        <w:rPr>
          <w:rtl/>
        </w:rPr>
        <w:t>סלבודקה</w:t>
      </w:r>
      <w:proofErr w:type="spellEnd"/>
      <w:r>
        <w:rPr>
          <w:rtl/>
        </w:rPr>
        <w:t xml:space="preserve">, זכר אף הוא: “מסירותו האגדית של ר׳ </w:t>
      </w:r>
      <w:proofErr w:type="spellStart"/>
      <w:r>
        <w:rPr>
          <w:rtl/>
        </w:rPr>
        <w:t xml:space="preserve">בער־הירש</w:t>
      </w:r>
      <w:proofErr w:type="spellEnd"/>
      <w:r>
        <w:rPr>
          <w:rtl/>
        </w:rPr>
        <w:t xml:space="preserve"> לבחורים התבטאה במטבעות הקטנים שנתן להם לצורכיהם הנוספים.”</w:t>
      </w:r>
    </w:p>
    <w:p w14:paraId="2DE44E4B" w14:textId="77777777" w:rsidR="00AB3647" w:rsidRDefault="00000000" w:rsidP="007923E9">
      <w:pPr>
        <w:spacing w:after="120" w:line="276" w:lineRule="auto"/>
        <w:ind w:firstLine="283"/>
        <w:jc w:val="both"/>
      </w:pPr>
      <w:r>
        <w:rPr>
          <w:rtl/>
        </w:rPr>
        <w:t xml:space="preserve">פן נוסף בעיסוקו של ר׳ </w:t>
      </w:r>
      <w:proofErr w:type="spellStart"/>
      <w:r>
        <w:rPr>
          <w:rtl/>
        </w:rPr>
        <w:t xml:space="preserve">בער־הירש</w:t>
      </w:r>
      <w:proofErr w:type="spellEnd"/>
      <w:r>
        <w:rPr>
          <w:rtl/>
        </w:rPr>
        <w:t xml:space="preserve"> בענייני כספים התגלה כשחתנו של רבנו, ר׳ ישראל </w:t>
      </w:r>
      <w:proofErr w:type="spellStart"/>
      <w:r>
        <w:rPr>
          <w:rtl/>
        </w:rPr>
        <w:t>שורין</w:t>
      </w:r>
      <w:proofErr w:type="spellEnd"/>
      <w:r>
        <w:rPr>
          <w:rtl/>
        </w:rPr>
        <w:t>, סיפר</w:t>
      </w:r>
      <w:bookmarkStart w:id="3761" w:name="_fnr2826"/>
      <w:r>
        <w:rPr>
          <w:rStyle w:val="a5"/>
        </w:rPr>
        <w:footnoteReference w:id="2834" w:customMarkFollows="0"/>
      </w:r>
      <w:bookmarkEnd w:id="3761"/>
      <w:r>
        <w:rPr>
          <w:rtl/>
        </w:rPr>
        <w:t xml:space="preserve"> שבסוף שנות </w:t>
      </w:r>
      <w:proofErr w:type="spellStart"/>
      <w:r>
        <w:rPr>
          <w:rtl/>
        </w:rPr>
        <w:t>התר״פ</w:t>
      </w:r>
      <w:proofErr w:type="spellEnd"/>
      <w:r>
        <w:rPr>
          <w:rtl/>
        </w:rPr>
        <w:t xml:space="preserve"> חתם ר׳ </w:t>
      </w:r>
      <w:proofErr w:type="spellStart"/>
      <w:r>
        <w:rPr>
          <w:rtl/>
        </w:rPr>
        <w:t xml:space="preserve">בער־הירש</w:t>
      </w:r>
      <w:proofErr w:type="spellEnd"/>
      <w:r>
        <w:rPr>
          <w:rtl/>
        </w:rPr>
        <w:t xml:space="preserve"> על ערבויות </w:t>
      </w:r>
      <w:proofErr w:type="spellStart"/>
      <w:r>
        <w:rPr>
          <w:rtl/>
        </w:rPr>
        <w:t>ל“השקעות</w:t>
      </w:r>
      <w:proofErr w:type="spellEnd"/>
      <w:r>
        <w:rPr>
          <w:rtl/>
        </w:rPr>
        <w:t xml:space="preserve">” – הלוואות למעשה – שנטלה הישיבה מאנשים פרטיים לצורכי תקציבה הרגיל. “השקעות” אלו הסתיימו באסון כשתמיכתם של יהודי אמריקה במוסדות שבאירופה הצטמצמה בעקבות מפולת הבורסה ב־1929. הישיבה לא יכלה להחזיר לעשרות המשקיעים האומללים אפילו את הקרן, והכריזה על פשיטת רגל. לפני שעזב ר׳ </w:t>
      </w:r>
      <w:proofErr w:type="spellStart"/>
      <w:r>
        <w:rPr>
          <w:rtl/>
        </w:rPr>
        <w:t xml:space="preserve">בער־הירש</w:t>
      </w:r>
      <w:proofErr w:type="spellEnd"/>
      <w:r>
        <w:rPr>
          <w:rtl/>
        </w:rPr>
        <w:t xml:space="preserve"> את ליטא, נתן לאבי, חתנו,</w:t>
      </w:r>
      <w:bookmarkStart w:id="3762" w:name="_fnr2827"/>
      <w:r>
        <w:rPr>
          <w:rStyle w:val="a5"/>
        </w:rPr>
        <w:footnoteReference w:id="2835" w:customMarkFollows="0"/>
      </w:r>
      <w:bookmarkEnd w:id="3762"/>
      <w:r>
        <w:rPr>
          <w:rtl/>
        </w:rPr>
        <w:t xml:space="preserve"> את העט שבו חתם על הערבויות, ואמר לו שישתמש בו לכתיבת חידושיו, משום שכבר שימש להחזקת תורה רבה כל כך. אבי השתמש אז בעט לכתיבת חידושיו </w:t>
      </w:r>
      <w:proofErr w:type="spellStart"/>
      <w:r>
        <w:rPr>
          <w:rtl/>
        </w:rPr>
        <w:t>בציטוביאן</w:t>
      </w:r>
      <w:proofErr w:type="spellEnd"/>
      <w:r>
        <w:rPr>
          <w:rtl/>
        </w:rPr>
        <w:t xml:space="preserve"> ובעולם החדש.</w:t>
      </w:r>
    </w:p>
    <w:p w14:paraId="2A9C5BDA" w14:textId="77777777" w:rsidR="00AB3647" w:rsidRDefault="00000000" w:rsidP="007923E9">
      <w:pPr>
        <w:spacing w:after="120" w:line="276" w:lineRule="auto"/>
        <w:ind w:firstLine="283"/>
        <w:jc w:val="both"/>
      </w:pPr>
      <w:r>
        <w:rPr>
          <w:rtl/>
        </w:rPr>
        <w:t>בקיץ תש״ה, אחרי שהחל רבנו את כהונתו במתיבתא תורה ודעת ובעוד משפחתו בקנדה</w:t>
      </w:r>
      <w:bookmarkStart w:id="3763" w:name="_fnr2828"/>
      <w:r>
        <w:rPr>
          <w:rStyle w:val="a5"/>
        </w:rPr>
        <w:footnoteReference w:id="2836" w:customMarkFollows="0"/>
      </w:r>
      <w:bookmarkEnd w:id="3763"/>
      <w:r>
        <w:rPr>
          <w:rtl/>
        </w:rPr>
        <w:t xml:space="preserve">, אבד לו העט. הוא אמר </w:t>
      </w:r>
      <w:proofErr w:type="spellStart"/>
      <w:r>
        <w:rPr>
          <w:rtl/>
        </w:rPr>
        <w:t>לר</w:t>
      </w:r>
      <w:proofErr w:type="spellEnd"/>
      <w:r>
        <w:rPr>
          <w:rtl/>
        </w:rPr>
        <w:t xml:space="preserve">׳ ישראל </w:t>
      </w:r>
      <w:proofErr w:type="spellStart"/>
      <w:r>
        <w:rPr>
          <w:rtl/>
        </w:rPr>
        <w:t>שורין</w:t>
      </w:r>
      <w:proofErr w:type="spellEnd"/>
      <w:r>
        <w:rPr>
          <w:rtl/>
        </w:rPr>
        <w:t xml:space="preserve">, שהיה אז מאורס לבתו, שרבניתו תתייסר כשתגיע לארצות הברית ותגלה שאינו משתמש עוד בעט המצווה של אביה. אבי ירד אז עם חתנו לעתיד לחנויות המשכון </w:t>
      </w:r>
      <w:proofErr w:type="spellStart"/>
      <w:r>
        <w:rPr>
          <w:rtl/>
        </w:rPr>
        <w:t>בבאוורי</w:t>
      </w:r>
      <w:proofErr w:type="spellEnd"/>
      <w:r>
        <w:rPr>
          <w:rtl/>
        </w:rPr>
        <w:t xml:space="preserve"> שבלואר </w:t>
      </w:r>
      <w:proofErr w:type="spellStart"/>
      <w:r>
        <w:rPr>
          <w:rtl/>
        </w:rPr>
        <w:t>איסט</w:t>
      </w:r>
      <w:proofErr w:type="spellEnd"/>
      <w:r>
        <w:rPr>
          <w:rtl/>
        </w:rPr>
        <w:t xml:space="preserve"> סייד, וקנה עט ישן שכמעט אין להבדיל בינו לבין העט שאבד לו. לימים נמצא העט האבוד!</w:t>
      </w:r>
    </w:p>
    <w:p w14:paraId="4B7C9469" w14:textId="58FE57E6" w:rsidR="00AB3647" w:rsidRDefault="00000000" w:rsidP="007923E9">
      <w:pPr>
        <w:spacing w:after="120" w:line="276" w:lineRule="auto"/>
        <w:ind w:firstLine="283"/>
        <w:jc w:val="both"/>
      </w:pPr>
      <w:r>
        <w:rPr>
          <w:rtl/>
        </w:rPr>
        <w:t>השווה גם תחילת הפסקה השנייה ב</w:t>
      </w:r>
      <w:r>
        <w:rPr>
          <w:rtl/>
        </w:rPr>
        <w:fldChar w:fldCharType="begin" w:dirty="true"/>
      </w:r>
      <w:r>
        <w:rPr>
          <w:rtl/>
        </w:rPr>
        <w:instrText xml:space="preserve"> REF b3_excW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כג</w:t>
      </w:r>
      <w:proofErr w:type="spellEnd"/>
      <w:r>
        <w:rPr>
          <w:rtl/>
        </w:rPr>
        <w:fldChar w:fldCharType="end"/>
      </w:r>
      <w:r>
        <w:rPr>
          <w:rtl/>
        </w:rPr>
        <w:t xml:space="preserve"> לעיל, שם מסר אבי שבתקופה מסוימת בשנותיה הראשונות של ישיבת </w:t>
      </w:r>
      <w:proofErr w:type="spellStart"/>
      <w:r>
        <w:rPr>
          <w:rtl/>
        </w:rPr>
        <w:t>סלבודקה</w:t>
      </w:r>
      <w:proofErr w:type="spellEnd"/>
      <w:r>
        <w:rPr>
          <w:rtl/>
        </w:rPr>
        <w:t xml:space="preserve"> ניהל ר׳ </w:t>
      </w:r>
      <w:proofErr w:type="spellStart"/>
      <w:r>
        <w:rPr>
          <w:rtl/>
        </w:rPr>
        <w:t xml:space="preserve">בער־הירש</w:t>
      </w:r>
      <w:proofErr w:type="spellEnd"/>
      <w:r>
        <w:rPr>
          <w:rtl/>
        </w:rPr>
        <w:t xml:space="preserve"> את חשבונות הישיבה.</w:t>
      </w:r>
    </w:p>
    <w:p w14:paraId="05564E4C" w14:textId="77777777" w:rsidR="00AB3647" w:rsidRDefault="00000000" w:rsidP="007923E9">
      <w:pPr>
        <w:pStyle w:val="4"/>
        <w:spacing w:line="276" w:lineRule="auto"/>
      </w:pPr>
      <w:r>
        <w:lastRenderedPageBreak/>
        <w:t>· הפסקה השלישית ·</w:t>
      </w:r>
    </w:p>
    <w:p w14:paraId="5B067E64" w14:textId="77777777" w:rsidR="00AB3647" w:rsidRDefault="00000000" w:rsidP="007923E9">
      <w:pPr>
        <w:pStyle w:val="5"/>
        <w:spacing w:line="276" w:lineRule="auto"/>
      </w:pPr>
      <w:r>
        <w:t xml:space="preserve">ר׳ </w:t>
      </w:r>
      <w:proofErr w:type="spellStart"/>
      <w:r>
        <w:t xml:space="preserve">בער־הירש</w:t>
      </w:r>
      <w:proofErr w:type="spellEnd"/>
      <w:r>
        <w:t xml:space="preserve"> תופס גנב יהודי – </w:t>
      </w:r>
      <w:proofErr w:type="spellStart"/>
      <w:r>
        <w:t>החפץ־חיים</w:t>
      </w:r>
      <w:proofErr w:type="spellEnd"/>
      <w:r>
        <w:t xml:space="preserve"> נשדד בידי יהודי</w:t>
      </w:r>
    </w:p>
    <w:p w14:paraId="232BB8CB" w14:textId="77777777" w:rsidR="00AB3647" w:rsidRDefault="00000000" w:rsidP="007923E9">
      <w:pPr>
        <w:spacing w:after="120" w:line="276" w:lineRule="auto"/>
        <w:ind w:firstLine="283"/>
        <w:jc w:val="both"/>
      </w:pPr>
      <w:r>
        <w:rPr>
          <w:rtl/>
        </w:rPr>
        <w:t xml:space="preserve">הסיפור המובהק על ר׳ </w:t>
      </w:r>
      <w:proofErr w:type="spellStart"/>
      <w:r>
        <w:rPr>
          <w:rtl/>
        </w:rPr>
        <w:t xml:space="preserve">בער־הירש</w:t>
      </w:r>
      <w:proofErr w:type="spellEnd"/>
      <w:r>
        <w:rPr>
          <w:rtl/>
        </w:rPr>
        <w:t xml:space="preserve">, המזכיר את הנהגת </w:t>
      </w:r>
      <w:proofErr w:type="spellStart"/>
      <w:r>
        <w:rPr>
          <w:rtl/>
        </w:rPr>
        <w:t>החפץ־חיים</w:t>
      </w:r>
      <w:proofErr w:type="spellEnd"/>
      <w:r>
        <w:rPr>
          <w:rtl/>
        </w:rPr>
        <w:t>, סופר בידי אחד מנכדיו, אחי ר׳ שמואל.</w:t>
      </w:r>
      <w:bookmarkStart w:id="3764" w:name="_fnr2829"/>
      <w:r>
        <w:rPr>
          <w:rStyle w:val="a5"/>
        </w:rPr>
        <w:footnoteReference w:id="2837" w:customMarkFollows="0"/>
      </w:r>
      <w:bookmarkEnd w:id="3764"/>
      <w:r>
        <w:rPr>
          <w:rtl/>
        </w:rPr>
        <w:t xml:space="preserve"> בוקר שבת אחד גנב אדם את הצ׳ולנט מן התנור בביתו של ר׳ </w:t>
      </w:r>
      <w:proofErr w:type="spellStart"/>
      <w:r>
        <w:rPr>
          <w:rtl/>
        </w:rPr>
        <w:t xml:space="preserve">בער־הירש</w:t>
      </w:r>
      <w:proofErr w:type="spellEnd"/>
      <w:r>
        <w:rPr>
          <w:rtl/>
        </w:rPr>
        <w:t xml:space="preserve">. ר׳ </w:t>
      </w:r>
      <w:proofErr w:type="spellStart"/>
      <w:r>
        <w:rPr>
          <w:rtl/>
        </w:rPr>
        <w:t xml:space="preserve">בער־הירש</w:t>
      </w:r>
      <w:proofErr w:type="spellEnd"/>
      <w:r>
        <w:rPr>
          <w:rtl/>
        </w:rPr>
        <w:t xml:space="preserve"> שמע את ההמולה במטבח, רץ אחר הגנב ותפס אותו. הוא אילץ את האיש, שניכר בו שהוא רעב, לשוב עימו לבית, ושם הושיב אותו ליד שולחן השבת לאכול מן הצ׳ולנט יחד עם המשפחה שממנה נגנב.</w:t>
      </w:r>
      <w:bookmarkStart w:id="3765" w:name="_fnr2830"/>
      <w:r>
        <w:rPr>
          <w:rStyle w:val="a5"/>
        </w:rPr>
        <w:footnoteReference w:id="2838" w:customMarkFollows="0"/>
      </w:r>
      <w:bookmarkEnd w:id="3765"/>
    </w:p>
    <w:p w14:paraId="5F5CFDE4" w14:textId="77777777" w:rsidR="00AB3647" w:rsidRDefault="00000000" w:rsidP="007923E9">
      <w:pPr>
        <w:spacing w:after="120" w:line="276" w:lineRule="auto"/>
        <w:ind w:firstLine="283"/>
        <w:jc w:val="both"/>
      </w:pPr>
      <w:r>
        <w:rPr>
          <w:rtl/>
        </w:rPr>
        <w:t>אל יתפלא הקורא על כך שאוכל נגנב בליטא. אחי ר׳ בנימין סיפר</w:t>
      </w:r>
      <w:bookmarkStart w:id="3766" w:name="_fnr2831"/>
      <w:r>
        <w:rPr>
          <w:rStyle w:val="a5"/>
        </w:rPr>
        <w:footnoteReference w:id="2839" w:customMarkFollows="0"/>
      </w:r>
      <w:bookmarkEnd w:id="3766"/>
      <w:r>
        <w:rPr>
          <w:rtl/>
        </w:rPr>
        <w:t xml:space="preserve"> שביום טוב של סוכות נגנבו סירי האוכל שלנו מסוכתנו </w:t>
      </w:r>
      <w:proofErr w:type="spellStart"/>
      <w:r>
        <w:rPr>
          <w:rtl/>
        </w:rPr>
        <w:t>בציטוביאן</w:t>
      </w:r>
      <w:proofErr w:type="spellEnd"/>
      <w:r>
        <w:rPr>
          <w:rtl/>
        </w:rPr>
        <w:t>. אבינו אמר: “אני יודע מי ודאי גנב אותם – וגם הוא צריך שמחת יום טוב. ואשר לסירים, אני בטוח שנקבל אותם בחזרה.” כעבור זמן מה בא מישהו – הגנב עצמו – ואמר שמצא כמה סירים בדרך. אבינו לקח אותם ואמר: “אחזיר אותם לבעליהם.”</w:t>
      </w:r>
    </w:p>
    <w:p w14:paraId="0D84EBDF" w14:textId="77777777" w:rsidR="00AB3647" w:rsidRDefault="00000000" w:rsidP="007923E9">
      <w:pPr>
        <w:spacing w:after="120" w:line="276" w:lineRule="auto"/>
        <w:ind w:firstLine="283"/>
        <w:jc w:val="both"/>
      </w:pPr>
      <w:r>
        <w:rPr>
          <w:rtl/>
        </w:rPr>
        <w:t xml:space="preserve">הסיפור הדומה על </w:t>
      </w:r>
      <w:proofErr w:type="spellStart"/>
      <w:r>
        <w:rPr>
          <w:rtl/>
        </w:rPr>
        <w:t>החפץ־חיים</w:t>
      </w:r>
      <w:proofErr w:type="spellEnd"/>
      <w:r>
        <w:rPr>
          <w:rtl/>
        </w:rPr>
        <w:t xml:space="preserve"> נרשם בכתב העת הירושלמי “שערי ציון”.</w:t>
      </w:r>
      <w:bookmarkStart w:id="3767" w:name="_fnr2832"/>
      <w:r>
        <w:rPr>
          <w:rStyle w:val="a5"/>
        </w:rPr>
        <w:footnoteReference w:id="2840" w:customMarkFollows="0"/>
      </w:r>
      <w:bookmarkEnd w:id="3767"/>
      <w:r>
        <w:rPr>
          <w:rtl/>
        </w:rPr>
        <w:t xml:space="preserve"> מובא שם</w:t>
      </w:r>
      <w:bookmarkStart w:id="3768" w:name="_fnr2833"/>
      <w:r>
        <w:rPr>
          <w:rStyle w:val="a5"/>
        </w:rPr>
        <w:footnoteReference w:id="2841" w:customMarkFollows="0"/>
      </w:r>
      <w:bookmarkEnd w:id="3768"/>
      <w:r>
        <w:rPr>
          <w:rtl/>
        </w:rPr>
        <w:t xml:space="preserve"> מאמר מתוך “היסוד” מאת מ. </w:t>
      </w:r>
      <w:proofErr w:type="spellStart"/>
      <w:r>
        <w:rPr>
          <w:rtl/>
        </w:rPr>
        <w:t>ליזרוביץ</w:t>
      </w:r>
      <w:proofErr w:type="spellEnd"/>
      <w:r>
        <w:rPr>
          <w:rtl/>
        </w:rPr>
        <w:t xml:space="preserve">: </w:t>
      </w:r>
      <w:proofErr w:type="spellStart"/>
      <w:r>
        <w:rPr>
          <w:rtl/>
        </w:rPr>
        <w:t>החפץ־חיים</w:t>
      </w:r>
      <w:proofErr w:type="spellEnd"/>
      <w:r>
        <w:rPr>
          <w:rtl/>
        </w:rPr>
        <w:t xml:space="preserve"> שהה פעם בוורשה והלך להתפלל בבית כנסת. אדם ניגש לברכו, הוציא שטר של חמישה רובלים ואמר שהוא חייב רובל בעבור ספר. כשאמר </w:t>
      </w:r>
      <w:proofErr w:type="spellStart"/>
      <w:r>
        <w:rPr>
          <w:rtl/>
        </w:rPr>
        <w:t>החפץ־חיים</w:t>
      </w:r>
      <w:proofErr w:type="spellEnd"/>
      <w:r>
        <w:rPr>
          <w:rtl/>
        </w:rPr>
        <w:t xml:space="preserve"> שאינו יכול לקבל את הכסף בלי חשבון, ושחתנו מטפל בכך, “הודה” האיש שהוא רק רוצה לתת לחכם רובל במתנה. כשאמר </w:t>
      </w:r>
      <w:proofErr w:type="spellStart"/>
      <w:r>
        <w:rPr>
          <w:rtl/>
        </w:rPr>
        <w:t>החפץ־חיים</w:t>
      </w:r>
      <w:proofErr w:type="spellEnd"/>
      <w:r>
        <w:rPr>
          <w:rtl/>
        </w:rPr>
        <w:t xml:space="preserve"> שאינו מקבל מתנות, אבל יכול לקבל את הכסף כתרומה לישיבתו, “הסכים” האיש. כשהוציא </w:t>
      </w:r>
      <w:proofErr w:type="spellStart"/>
      <w:r>
        <w:rPr>
          <w:rtl/>
        </w:rPr>
        <w:t>החפץ־חיים</w:t>
      </w:r>
      <w:proofErr w:type="spellEnd"/>
      <w:r>
        <w:rPr>
          <w:rtl/>
        </w:rPr>
        <w:t xml:space="preserve"> את ארנקו כדי לתת לו עודף על השטר, נמלט הלה עם הארנק – ובו כ־400 רובלים. האנשים רצו לרדוף אחרי הגנב, אבל </w:t>
      </w:r>
      <w:proofErr w:type="spellStart"/>
      <w:r>
        <w:rPr>
          <w:rtl/>
        </w:rPr>
        <w:t>החפץ־חיים</w:t>
      </w:r>
      <w:proofErr w:type="spellEnd"/>
      <w:r>
        <w:rPr>
          <w:rtl/>
        </w:rPr>
        <w:t xml:space="preserve"> התחנן שלא יעשו זאת, ואמר: “מי יודע אם אותו יהודי אינו זקוק לכסף כדי להשיא בת שכבר אינה צעירה?!”</w:t>
      </w:r>
    </w:p>
    <w:p w14:paraId="3F598DE6" w14:textId="77777777" w:rsidR="00AB3647" w:rsidRDefault="00000000" w:rsidP="007923E9">
      <w:pPr>
        <w:spacing w:after="120" w:line="276" w:lineRule="auto"/>
        <w:ind w:firstLine="283"/>
        <w:jc w:val="both"/>
      </w:pPr>
      <w:r>
        <w:rPr>
          <w:rtl/>
        </w:rPr>
        <w:t xml:space="preserve">ייתכן שהקורא יזדעזע מכך שגנב יהודי העז לשדוד את </w:t>
      </w:r>
      <w:proofErr w:type="spellStart"/>
      <w:r>
        <w:rPr>
          <w:rtl/>
        </w:rPr>
        <w:t>החפץ־חיים</w:t>
      </w:r>
      <w:proofErr w:type="spellEnd"/>
      <w:r>
        <w:rPr>
          <w:rtl/>
        </w:rPr>
        <w:t xml:space="preserve">, אבל מצאתי מקרה נוסף כזה </w:t>
      </w:r>
      <w:proofErr w:type="spellStart"/>
      <w:r>
        <w:rPr>
          <w:rtl/>
        </w:rPr>
        <w:t>ב“מינסק</w:t>
      </w:r>
      <w:proofErr w:type="spellEnd"/>
      <w:r>
        <w:rPr>
          <w:rtl/>
        </w:rPr>
        <w:t xml:space="preserve"> עיר ואם”, כרך א,</w:t>
      </w:r>
      <w:bookmarkStart w:id="3769" w:name="_fnr2834"/>
      <w:r>
        <w:rPr>
          <w:rStyle w:val="a5"/>
        </w:rPr>
        <w:footnoteReference w:id="2842" w:customMarkFollows="0"/>
      </w:r>
      <w:bookmarkEnd w:id="3769"/>
      <w:r>
        <w:rPr>
          <w:rtl/>
        </w:rPr>
        <w:t xml:space="preserve"> במאמר מאת רחל חדש. בימי מלחמת העולם הראשונה, </w:t>
      </w:r>
      <w:proofErr w:type="spellStart"/>
      <w:r>
        <w:rPr>
          <w:rtl/>
        </w:rPr>
        <w:t>כשהחפץ־חיים</w:t>
      </w:r>
      <w:proofErr w:type="spellEnd"/>
      <w:r>
        <w:rPr>
          <w:rtl/>
        </w:rPr>
        <w:t xml:space="preserve"> גלה למינסק, ליווה אותו אבי המחברת, המגיד ממינסק ר׳ בנימין </w:t>
      </w:r>
      <w:proofErr w:type="spellStart"/>
      <w:r>
        <w:rPr>
          <w:rtl/>
        </w:rPr>
        <w:t>שוקוביצקי</w:t>
      </w:r>
      <w:proofErr w:type="spellEnd"/>
      <w:r>
        <w:rPr>
          <w:rtl/>
        </w:rPr>
        <w:t xml:space="preserve">, לקבל תרומה לישיבה מאדם שזכה ב־200,000 רובלים בהגרלה, והם יצאו מביתו עם תרומה עצומה של 500 רובלים. אחרי שנפרדו </w:t>
      </w:r>
      <w:proofErr w:type="spellStart"/>
      <w:r>
        <w:rPr>
          <w:rtl/>
        </w:rPr>
        <w:t>החפץ־חיים</w:t>
      </w:r>
      <w:proofErr w:type="spellEnd"/>
      <w:r>
        <w:rPr>
          <w:rtl/>
        </w:rPr>
        <w:t xml:space="preserve"> והמגיד, </w:t>
      </w:r>
      <w:proofErr w:type="spellStart"/>
      <w:r>
        <w:rPr>
          <w:rtl/>
        </w:rPr>
        <w:t>והחפץ־חיים</w:t>
      </w:r>
      <w:proofErr w:type="spellEnd"/>
      <w:r>
        <w:rPr>
          <w:rtl/>
        </w:rPr>
        <w:t xml:space="preserve"> המשיך בדרכו, התחכך בו “שלא במתכוון” יהודי שנשא שק קמח. יהודי אחר ניגש </w:t>
      </w:r>
      <w:proofErr w:type="spellStart"/>
      <w:r>
        <w:rPr>
          <w:rtl/>
        </w:rPr>
        <w:t>לחפץ־חיים</w:t>
      </w:r>
      <w:proofErr w:type="spellEnd"/>
      <w:r>
        <w:rPr>
          <w:rtl/>
        </w:rPr>
        <w:t xml:space="preserve"> ואמר: “רבי, התלכלכת בקמח”, והחל לנער אותו מעליו. עוד לפני שהבין </w:t>
      </w:r>
      <w:proofErr w:type="spellStart"/>
      <w:r>
        <w:rPr>
          <w:rtl/>
        </w:rPr>
        <w:t>החפץ־חיים</w:t>
      </w:r>
      <w:proofErr w:type="spellEnd"/>
      <w:r>
        <w:rPr>
          <w:rtl/>
        </w:rPr>
        <w:t xml:space="preserve"> מה קורה, נגנבו ממנו 500 הרובלים.</w:t>
      </w:r>
    </w:p>
    <w:bookmarkStart w:id="3770" w:name="b3_excBB"/>
    <w:p w14:paraId="69A579C2" w14:textId="77777777" w:rsidR="00AB3647" w:rsidRDefault="00000000" w:rsidP="007923E9">
      <w:pPr>
        <w:pStyle w:val="3"/>
        <w:spacing w:line="276" w:lineRule="auto"/>
      </w:pPr>
      <w:r>
        <w:lastRenderedPageBreak/>
        <w:fldChar w:fldCharType="begin" w:dirty="true"/>
      </w:r>
      <w:r>
        <w:rPr>
          <w:rtl w:val="0"/>
        </w:rPr>
        <w:instrText>HYPERLINK \l "b3_note117</w:instrText>
      </w:r>
      <w:r>
        <w:instrText>"</w:instrText>
      </w:r>
      <w:r>
        <w:fldChar w:fldCharType="separate"/>
      </w:r>
      <w:r>
        <w:t xml:space="preserve">נספח </w:t>
      </w:r>
      <w:proofErr w:type="spellStart"/>
      <w:r>
        <w:t>כח</w:t>
      </w:r>
      <w:proofErr w:type="spellEnd"/>
      <w:r>
        <w:fldChar w:fldCharType="end"/>
      </w:r>
      <w:bookmarkEnd w:id="3770"/>
    </w:p>
    <w:p w14:paraId="0C3CF314" w14:textId="77777777" w:rsidR="00AB3647" w:rsidRDefault="00000000" w:rsidP="007923E9">
      <w:pPr>
        <w:pStyle w:val="af"/>
        <w:spacing w:line="276" w:lineRule="auto"/>
      </w:pPr>
      <w:r>
        <w:t xml:space="preserve">על אישיותו של ר׳ </w:t>
      </w:r>
      <w:proofErr w:type="spellStart"/>
      <w:r>
        <w:t xml:space="preserve">בער־הירש</w:t>
      </w:r>
      <w:proofErr w:type="spellEnd"/>
      <w:r>
        <w:t xml:space="preserve"> </w:t>
      </w:r>
      <w:proofErr w:type="spellStart"/>
      <w:r>
        <w:t xml:space="preserve">הלר</w:t>
      </w:r>
      <w:proofErr w:type="spellEnd"/>
      <w:r>
        <w:t xml:space="preserve"> ועל בנו שסָר מן הדרך</w:t>
      </w:r>
    </w:p>
    <w:p w14:paraId="1945F373" w14:textId="77777777" w:rsidR="00AB3647" w:rsidRDefault="00000000" w:rsidP="007923E9">
      <w:pPr>
        <w:pStyle w:val="4"/>
        <w:spacing w:line="276" w:lineRule="auto"/>
      </w:pPr>
      <w:r>
        <w:t>· הפסקה הראשונה ·</w:t>
      </w:r>
    </w:p>
    <w:p w14:paraId="2B994A8F" w14:textId="77777777" w:rsidR="00AB3647" w:rsidRDefault="00000000" w:rsidP="007923E9">
      <w:pPr>
        <w:pStyle w:val="5"/>
        <w:spacing w:line="276" w:lineRule="auto"/>
      </w:pPr>
      <w:r>
        <w:t xml:space="preserve">ר׳ </w:t>
      </w:r>
      <w:proofErr w:type="spellStart"/>
      <w:r>
        <w:t xml:space="preserve">בער־הירש</w:t>
      </w:r>
      <w:proofErr w:type="spellEnd"/>
      <w:r>
        <w:t xml:space="preserve"> מתחשב במיוחד בזולת – הוא מופת למוסר – חתנו ר׳ אברהם </w:t>
      </w:r>
      <w:proofErr w:type="spellStart"/>
      <w:r>
        <w:t>גרודזינסקי</w:t>
      </w:r>
      <w:proofErr w:type="spellEnd"/>
      <w:r>
        <w:t xml:space="preserve"> מספיד אותו בישיבה</w:t>
      </w:r>
    </w:p>
    <w:p w14:paraId="32CE2A3D" w14:textId="77777777" w:rsidR="00AB3647" w:rsidRDefault="00000000" w:rsidP="007923E9">
      <w:pPr>
        <w:spacing w:after="120" w:line="276" w:lineRule="auto"/>
        <w:ind w:firstLine="283"/>
        <w:jc w:val="both"/>
      </w:pPr>
      <w:r>
        <w:rPr>
          <w:rtl/>
        </w:rPr>
        <w:t>ר׳ זבולון גרז</w:t>
      </w:r>
      <w:bookmarkStart w:id="3771" w:name="_fnr2835"/>
      <w:r>
        <w:rPr>
          <w:rStyle w:val="a5"/>
        </w:rPr>
        <w:footnoteReference w:id="2843" w:customMarkFollows="0"/>
      </w:r>
      <w:bookmarkEnd w:id="3771"/>
      <w:r>
        <w:rPr>
          <w:rtl/>
        </w:rPr>
        <w:t xml:space="preserve"> הצהיר: “ר׳ </w:t>
      </w:r>
      <w:proofErr w:type="spellStart"/>
      <w:r>
        <w:rPr>
          <w:rtl/>
        </w:rPr>
        <w:t xml:space="preserve">בער־הירש</w:t>
      </w:r>
      <w:proofErr w:type="spellEnd"/>
      <w:r>
        <w:rPr>
          <w:rtl/>
        </w:rPr>
        <w:t xml:space="preserve"> פעל למען הישיבה במעשים.” כוונתו הייתה שר׳ </w:t>
      </w:r>
      <w:proofErr w:type="spellStart"/>
      <w:r>
        <w:rPr>
          <w:rtl/>
        </w:rPr>
        <w:t xml:space="preserve">בער־הירש</w:t>
      </w:r>
      <w:proofErr w:type="spellEnd"/>
      <w:r>
        <w:rPr>
          <w:rtl/>
        </w:rPr>
        <w:t xml:space="preserve"> פעל במישור המעשי. הוא הסביר: “אני זוכר איך הנהיג להאריך באמירת ‘עזרת’ בתפילת הבוקר, כדי שהבחורים המאחרים יוכלו להתפלל תפילת עמידה בלחש יחד עם כולם – הישיבה, כמובן, התחילה להתפלל מוקדם דיו כדי לקרוא את שמע לפי השעה המוקדמת יותר, המחמירה.”</w:t>
      </w:r>
      <w:bookmarkStart w:id="3772" w:name="_fnr2836"/>
      <w:r>
        <w:rPr>
          <w:rStyle w:val="a5"/>
        </w:rPr>
        <w:footnoteReference w:id="2844" w:customMarkFollows="0"/>
      </w:r>
      <w:bookmarkEnd w:id="3772"/>
      <w:r>
        <w:rPr>
          <w:rtl/>
        </w:rPr>
        <w:t xml:space="preserve"> כשהערתי שאולי ההארכה </w:t>
      </w:r>
      <w:proofErr w:type="spellStart"/>
      <w:r>
        <w:rPr>
          <w:rtl/>
        </w:rPr>
        <w:t>ב“עזרת</w:t>
      </w:r>
      <w:proofErr w:type="spellEnd"/>
      <w:r>
        <w:rPr>
          <w:rtl/>
        </w:rPr>
        <w:t xml:space="preserve">” עודדה איחורים, אמר הרב גרז: “ראשית, זה היה חסד עם התלמידים, שיוכלו להתפלל עם כולם, משום שתפילה משנה את האדם; ושנית, עצם העובדה שר׳ </w:t>
      </w:r>
      <w:proofErr w:type="spellStart"/>
      <w:r>
        <w:rPr>
          <w:rtl/>
        </w:rPr>
        <w:t xml:space="preserve">בער־הירש</w:t>
      </w:r>
      <w:proofErr w:type="spellEnd"/>
      <w:r>
        <w:rPr>
          <w:rtl/>
        </w:rPr>
        <w:t xml:space="preserve"> המתין בתפילת העמידה שלו המריצה את הבחורים לבוא בזמן.”</w:t>
      </w:r>
    </w:p>
    <w:p w14:paraId="2A373B48" w14:textId="77777777" w:rsidR="00AB3647" w:rsidRDefault="00000000" w:rsidP="007923E9">
      <w:pPr>
        <w:spacing w:after="120" w:line="276" w:lineRule="auto"/>
        <w:ind w:firstLine="283"/>
        <w:jc w:val="both"/>
      </w:pPr>
      <w:r>
        <w:rPr>
          <w:rtl/>
        </w:rPr>
        <w:t xml:space="preserve">“נישאתי”, המשיך ר׳ זבולון, “בכובע צילינדר ובמקל הליכה שהושאלו לי מתלמיד מן העיר </w:t>
      </w:r>
      <w:proofErr w:type="spellStart"/>
      <w:r>
        <w:rPr>
          <w:rtl/>
        </w:rPr>
        <w:t>וולוז׳ין</w:t>
      </w:r>
      <w:proofErr w:type="spellEnd"/>
      <w:r>
        <w:rPr>
          <w:rtl/>
        </w:rPr>
        <w:t xml:space="preserve">. אני מאמין שמנהג לבוש זה נקבע בידי ר׳ </w:t>
      </w:r>
      <w:proofErr w:type="spellStart"/>
      <w:r>
        <w:rPr>
          <w:rtl/>
        </w:rPr>
        <w:t xml:space="preserve">בער־הירש</w:t>
      </w:r>
      <w:proofErr w:type="spellEnd"/>
      <w:r>
        <w:rPr>
          <w:rtl/>
        </w:rPr>
        <w:t xml:space="preserve"> כדי להעניק לחתן יותר ‘מעמד’.” ר׳ שמואל ויציק אמר:</w:t>
      </w:r>
      <w:bookmarkStart w:id="3773" w:name="_fnr2837"/>
      <w:r>
        <w:rPr>
          <w:rStyle w:val="a5"/>
        </w:rPr>
        <w:footnoteReference w:id="2845" w:customMarkFollows="0"/>
      </w:r>
      <w:bookmarkEnd w:id="3773"/>
      <w:r>
        <w:rPr>
          <w:rtl/>
        </w:rPr>
        <w:t xml:space="preserve"> “ר׳ </w:t>
      </w:r>
      <w:proofErr w:type="spellStart"/>
      <w:r>
        <w:rPr>
          <w:rtl/>
        </w:rPr>
        <w:t xml:space="preserve">בער־הירש</w:t>
      </w:r>
      <w:proofErr w:type="spellEnd"/>
      <w:r>
        <w:rPr>
          <w:rtl/>
        </w:rPr>
        <w:t xml:space="preserve"> אהב את כולם, והיה א </w:t>
      </w:r>
      <w:proofErr w:type="spellStart"/>
      <w:r>
        <w:rPr>
          <w:rtl/>
        </w:rPr>
        <w:t>מורא׳דיגער</w:t>
      </w:r>
      <w:proofErr w:type="spellEnd"/>
      <w:r>
        <w:rPr>
          <w:rtl/>
        </w:rPr>
        <w:t xml:space="preserve"> עניו [עניו להפליא]. בתפקידו כמשגיח הקרין חסד שכל בחור הרגיש בו.”</w:t>
      </w:r>
    </w:p>
    <w:p w14:paraId="23E9F9D2" w14:textId="77777777" w:rsidR="00AB3647" w:rsidRDefault="00000000" w:rsidP="007923E9">
      <w:pPr>
        <w:spacing w:after="120" w:line="276" w:lineRule="auto"/>
        <w:ind w:firstLine="283"/>
        <w:jc w:val="both"/>
      </w:pPr>
      <w:r>
        <w:rPr>
          <w:rtl/>
        </w:rPr>
        <w:t xml:space="preserve">יהודית </w:t>
      </w:r>
      <w:proofErr w:type="spellStart"/>
      <w:r>
        <w:rPr>
          <w:rtl/>
        </w:rPr>
        <w:t>נויברגר</w:t>
      </w:r>
      <w:proofErr w:type="spellEnd"/>
      <w:r>
        <w:rPr>
          <w:rtl/>
        </w:rPr>
        <w:t xml:space="preserve">, נכדתו של ר׳ </w:t>
      </w:r>
      <w:proofErr w:type="spellStart"/>
      <w:r>
        <w:rPr>
          <w:rtl/>
        </w:rPr>
        <w:t>פייבל</w:t>
      </w:r>
      <w:proofErr w:type="spellEnd"/>
      <w:r>
        <w:rPr>
          <w:rtl/>
        </w:rPr>
        <w:t xml:space="preserve"> </w:t>
      </w:r>
      <w:proofErr w:type="spellStart"/>
      <w:r>
        <w:rPr>
          <w:rtl/>
        </w:rPr>
        <w:t>פרנקס</w:t>
      </w:r>
      <w:proofErr w:type="spellEnd"/>
      <w:r>
        <w:rPr>
          <w:rtl/>
        </w:rPr>
        <w:t>,</w:t>
      </w:r>
      <w:bookmarkStart w:id="3774" w:name="_fnr2838"/>
      <w:r>
        <w:rPr>
          <w:rStyle w:val="a5"/>
        </w:rPr>
        <w:footnoteReference w:id="2846" w:customMarkFollows="0"/>
      </w:r>
      <w:bookmarkEnd w:id="3774"/>
      <w:r>
        <w:rPr>
          <w:rtl/>
        </w:rPr>
        <w:t xml:space="preserve"> סיפרה:</w:t>
      </w:r>
      <w:bookmarkStart w:id="3775" w:name="_fnr2839"/>
      <w:r>
        <w:rPr>
          <w:rStyle w:val="a5"/>
        </w:rPr>
        <w:footnoteReference w:id="2847" w:customMarkFollows="0"/>
      </w:r>
      <w:bookmarkEnd w:id="3775"/>
      <w:r>
        <w:rPr>
          <w:rtl/>
        </w:rPr>
        <w:t xml:space="preserve"> “אנשים בצרה, רובם קשורים לישיבה, היו באים </w:t>
      </w:r>
      <w:proofErr w:type="spellStart"/>
      <w:r>
        <w:rPr>
          <w:rtl/>
        </w:rPr>
        <w:t>לר</w:t>
      </w:r>
      <w:proofErr w:type="spellEnd"/>
      <w:r>
        <w:rPr>
          <w:rtl/>
        </w:rPr>
        <w:t xml:space="preserve">׳ </w:t>
      </w:r>
      <w:proofErr w:type="spellStart"/>
      <w:r>
        <w:rPr>
          <w:rtl/>
        </w:rPr>
        <w:t xml:space="preserve">בער־הירש</w:t>
      </w:r>
      <w:proofErr w:type="spellEnd"/>
      <w:r>
        <w:rPr>
          <w:rtl/>
        </w:rPr>
        <w:t xml:space="preserve"> לשטוח לפניו את בעיותיהם. הוא היה מקשיב להם ומייעץ להם. מעניין היה לראות כיצד ניחן הצדיק בכישרון להסיר את האבנים הכבדות מליבות האנשים.” רחל חדש,</w:t>
      </w:r>
      <w:bookmarkStart w:id="3776" w:name="_fnr2840"/>
      <w:r>
        <w:rPr>
          <w:rStyle w:val="a5"/>
        </w:rPr>
        <w:footnoteReference w:id="2848" w:customMarkFollows="0"/>
      </w:r>
      <w:bookmarkEnd w:id="3776"/>
      <w:r>
        <w:rPr>
          <w:rtl/>
        </w:rPr>
        <w:t xml:space="preserve"> שזכרה את ביקוריו של הרב </w:t>
      </w:r>
      <w:proofErr w:type="spellStart"/>
      <w:r>
        <w:rPr>
          <w:rtl/>
        </w:rPr>
        <w:t xml:space="preserve">הלר</w:t>
      </w:r>
      <w:proofErr w:type="spellEnd"/>
      <w:r>
        <w:rPr>
          <w:rtl/>
        </w:rPr>
        <w:t xml:space="preserve"> בעיר הולדתה מינסק, אמרה: “הוא היה אדם מתוק מאוד, ואהב אותנו הילדים מאוד. הוא היה איש ‘משי׳,</w:t>
      </w:r>
      <w:bookmarkStart w:id="3777" w:name="_fnr2841"/>
      <w:r>
        <w:rPr>
          <w:rStyle w:val="a5"/>
        </w:rPr>
        <w:footnoteReference w:id="2849" w:customMarkFollows="0"/>
      </w:r>
      <w:bookmarkEnd w:id="3777"/>
      <w:r>
        <w:rPr>
          <w:rtl/>
        </w:rPr>
        <w:t xml:space="preserve"> נפש עדינה וטובה.”</w:t>
      </w:r>
    </w:p>
    <w:p w14:paraId="6221BDC3" w14:textId="77777777" w:rsidR="00AB3647" w:rsidRDefault="00000000" w:rsidP="007923E9">
      <w:pPr>
        <w:spacing w:after="120" w:line="276" w:lineRule="auto"/>
        <w:ind w:firstLine="283"/>
        <w:jc w:val="both"/>
      </w:pPr>
      <w:r>
        <w:rPr>
          <w:rtl/>
        </w:rPr>
        <w:t xml:space="preserve">בעניין עדינותו של ר׳ </w:t>
      </w:r>
      <w:proofErr w:type="spellStart"/>
      <w:r>
        <w:rPr>
          <w:rtl/>
        </w:rPr>
        <w:t xml:space="preserve">בער־הירש</w:t>
      </w:r>
      <w:proofErr w:type="spellEnd"/>
      <w:r>
        <w:rPr>
          <w:rtl/>
        </w:rPr>
        <w:t xml:space="preserve"> מסר ר׳ ישראל </w:t>
      </w:r>
      <w:proofErr w:type="spellStart"/>
      <w:r>
        <w:rPr>
          <w:rtl/>
        </w:rPr>
        <w:t>שורין</w:t>
      </w:r>
      <w:bookmarkStart w:id="3778" w:name="_fnr2842"/>
      <w:proofErr w:type="spellEnd"/>
      <w:r>
        <w:rPr>
          <w:rStyle w:val="a5"/>
        </w:rPr>
        <w:footnoteReference w:id="2850" w:customMarkFollows="0"/>
      </w:r>
      <w:bookmarkEnd w:id="3778"/>
      <w:r>
        <w:rPr>
          <w:rtl/>
        </w:rPr>
        <w:t xml:space="preserve"> שהיה בארץ ישראל בשעה שנפטר הרב </w:t>
      </w:r>
      <w:proofErr w:type="spellStart"/>
      <w:r>
        <w:rPr>
          <w:rtl/>
        </w:rPr>
        <w:t xml:space="preserve">הלר</w:t>
      </w:r>
      <w:proofErr w:type="spellEnd"/>
      <w:r>
        <w:rPr>
          <w:rtl/>
        </w:rPr>
        <w:t xml:space="preserve"> – באלול תרצ״ה, פחות משנה וחצי אחרי בואו מליטא – ואנשים אמרו אז שמת מרעב. לדברי ר׳ יצחק </w:t>
      </w:r>
      <w:proofErr w:type="spellStart"/>
      <w:r>
        <w:rPr>
          <w:rtl/>
        </w:rPr>
        <w:t>גרודזינסקי</w:t>
      </w:r>
      <w:proofErr w:type="spellEnd"/>
      <w:r>
        <w:rPr>
          <w:rtl/>
        </w:rPr>
        <w:t xml:space="preserve">, נכדו של ר׳ </w:t>
      </w:r>
      <w:proofErr w:type="spellStart"/>
      <w:r>
        <w:rPr>
          <w:rtl/>
        </w:rPr>
        <w:t xml:space="preserve">בער־הירש</w:t>
      </w:r>
      <w:proofErr w:type="spellEnd"/>
      <w:r>
        <w:rPr>
          <w:rtl/>
        </w:rPr>
        <w:t>,</w:t>
      </w:r>
      <w:bookmarkStart w:id="3779" w:name="_fnr2843"/>
      <w:r>
        <w:rPr>
          <w:rStyle w:val="a5"/>
        </w:rPr>
        <w:footnoteReference w:id="2851" w:customMarkFollows="0"/>
      </w:r>
      <w:bookmarkEnd w:id="3779"/>
      <w:r>
        <w:rPr>
          <w:rtl/>
        </w:rPr>
        <w:t xml:space="preserve"> אמר ר׳ </w:t>
      </w:r>
      <w:proofErr w:type="spellStart"/>
      <w:r>
        <w:rPr>
          <w:rtl/>
        </w:rPr>
        <w:t>חצקל</w:t>
      </w:r>
      <w:proofErr w:type="spellEnd"/>
      <w:r>
        <w:rPr>
          <w:rtl/>
        </w:rPr>
        <w:t xml:space="preserve"> </w:t>
      </w:r>
      <w:proofErr w:type="spellStart"/>
      <w:r>
        <w:rPr>
          <w:rtl/>
        </w:rPr>
        <w:t>סרנא</w:t>
      </w:r>
      <w:proofErr w:type="spellEnd"/>
      <w:r>
        <w:rPr>
          <w:rtl/>
        </w:rPr>
        <w:t xml:space="preserve">: “ר׳ </w:t>
      </w:r>
      <w:proofErr w:type="spellStart"/>
      <w:r>
        <w:rPr>
          <w:rtl/>
        </w:rPr>
        <w:lastRenderedPageBreak/>
        <w:t xml:space="preserve">בער־הירש</w:t>
      </w:r>
      <w:proofErr w:type="spellEnd"/>
      <w:r>
        <w:rPr>
          <w:rtl/>
        </w:rPr>
        <w:t xml:space="preserve"> לא היה ‘תובע’” – כלומר לא היה אדם בעל דרישות – </w:t>
      </w:r>
      <w:proofErr w:type="spellStart"/>
      <w:r>
        <w:rPr>
          <w:rtl/>
        </w:rPr>
        <w:t>וכשלא</w:t>
      </w:r>
      <w:proofErr w:type="spellEnd"/>
      <w:r>
        <w:rPr>
          <w:rtl/>
        </w:rPr>
        <w:t xml:space="preserve"> היה לו די מזון, איש לא ידע על כך.</w:t>
      </w:r>
    </w:p>
    <w:p w14:paraId="4379BED3" w14:textId="77777777" w:rsidR="00AB3647" w:rsidRDefault="00000000" w:rsidP="007923E9">
      <w:pPr>
        <w:spacing w:after="120" w:line="276" w:lineRule="auto"/>
        <w:ind w:firstLine="283"/>
        <w:jc w:val="both"/>
      </w:pPr>
      <w:r>
        <w:rPr>
          <w:rtl/>
        </w:rPr>
        <w:t xml:space="preserve">השאלה והתשובה הבאות, שמסר ר׳ אליהו </w:t>
      </w:r>
      <w:proofErr w:type="spellStart"/>
      <w:r>
        <w:rPr>
          <w:rtl/>
        </w:rPr>
        <w:t>באומוולשפינר</w:t>
      </w:r>
      <w:proofErr w:type="spellEnd"/>
      <w:r>
        <w:rPr>
          <w:rtl/>
        </w:rPr>
        <w:t>,</w:t>
      </w:r>
      <w:bookmarkStart w:id="3780" w:name="_fnr2844"/>
      <w:r>
        <w:rPr>
          <w:rStyle w:val="a5"/>
        </w:rPr>
        <w:footnoteReference w:id="2852" w:customMarkFollows="0"/>
      </w:r>
      <w:bookmarkEnd w:id="3780"/>
      <w:r>
        <w:rPr>
          <w:rtl/>
        </w:rPr>
        <w:t xml:space="preserve"> מסכמות את שיעור קומתו של הרב </w:t>
      </w:r>
      <w:proofErr w:type="spellStart"/>
      <w:r>
        <w:rPr>
          <w:rtl/>
        </w:rPr>
        <w:t xml:space="preserve">הלר</w:t>
      </w:r>
      <w:proofErr w:type="spellEnd"/>
      <w:r>
        <w:rPr>
          <w:rtl/>
        </w:rPr>
        <w:t xml:space="preserve">: “כששאלתי פעם את ראש הישיבה רבנו: ‘איך נראה בעל מוסר – מהי מטרת המוסר?’ השיב: ‘שאלה כזו ראוי היה להפנות אל חותני ר׳ </w:t>
      </w:r>
      <w:proofErr w:type="spellStart"/>
      <w:r>
        <w:rPr>
          <w:rtl/>
        </w:rPr>
        <w:t xml:space="preserve">בער־הירש</w:t>
      </w:r>
      <w:proofErr w:type="spellEnd"/>
      <w:r>
        <w:rPr>
          <w:rtl/>
        </w:rPr>
        <w:t xml:space="preserve"> </w:t>
      </w:r>
      <w:proofErr w:type="spellStart"/>
      <w:r>
        <w:rPr>
          <w:rtl/>
        </w:rPr>
        <w:t xml:space="preserve">הלר</w:t>
      </w:r>
      <w:proofErr w:type="spellEnd"/>
      <w:r>
        <w:rPr>
          <w:rtl/>
        </w:rPr>
        <w:t>.</w:t>
      </w:r>
      <w:bookmarkStart w:id="3781" w:name="_fnr2845"/>
      <w:r>
        <w:rPr>
          <w:rStyle w:val="a5"/>
        </w:rPr>
        <w:footnoteReference w:id="2853" w:customMarkFollows="0"/>
      </w:r>
      <w:bookmarkEnd w:id="3781"/>
      <w:r>
        <w:rPr>
          <w:rtl/>
        </w:rPr>
        <w:t xml:space="preserve"> שליטה בכל מידה ומידה היא מטרת המוסר: חותני, זכרונו לברכה, היה בעל מוסר אמיתי, שכל מידה ממידותיו הייתה במקומה הראוי.’”</w:t>
      </w:r>
      <w:bookmarkStart w:id="3782" w:name="_fnr2846"/>
      <w:r>
        <w:rPr>
          <w:rStyle w:val="a5"/>
        </w:rPr>
        <w:footnoteReference w:id="2854" w:customMarkFollows="0"/>
      </w:r>
      <w:bookmarkEnd w:id="3782"/>
    </w:p>
    <w:p w14:paraId="309A8E74" w14:textId="77777777" w:rsidR="00AB3647" w:rsidRDefault="00000000" w:rsidP="007923E9">
      <w:pPr>
        <w:spacing w:after="120" w:line="276" w:lineRule="auto"/>
        <w:ind w:firstLine="283"/>
        <w:jc w:val="both"/>
      </w:pPr>
      <w:r>
        <w:rPr>
          <w:rtl/>
        </w:rPr>
        <w:t xml:space="preserve">גם חתנו הבכור של ר׳ </w:t>
      </w:r>
      <w:proofErr w:type="spellStart"/>
      <w:r>
        <w:rPr>
          <w:rtl/>
        </w:rPr>
        <w:t xml:space="preserve">בער־הירש</w:t>
      </w:r>
      <w:proofErr w:type="spellEnd"/>
      <w:r>
        <w:rPr>
          <w:rtl/>
        </w:rPr>
        <w:t xml:space="preserve">, ר׳ אברהם </w:t>
      </w:r>
      <w:proofErr w:type="spellStart"/>
      <w:r>
        <w:rPr>
          <w:rtl/>
        </w:rPr>
        <w:t>גרודזינסקי</w:t>
      </w:r>
      <w:proofErr w:type="spellEnd"/>
      <w:r>
        <w:rPr>
          <w:rtl/>
        </w:rPr>
        <w:t xml:space="preserve">, העריך אותו הערכה מופלגת, כפי שסיפר תלמיד </w:t>
      </w:r>
      <w:proofErr w:type="spellStart"/>
      <w:r>
        <w:rPr>
          <w:rtl/>
        </w:rPr>
        <w:t>סלבודקה</w:t>
      </w:r>
      <w:proofErr w:type="spellEnd"/>
      <w:r>
        <w:rPr>
          <w:rtl/>
        </w:rPr>
        <w:t xml:space="preserve"> ר׳ עזריאל קרמר:</w:t>
      </w:r>
      <w:bookmarkStart w:id="3783" w:name="_fnr2847"/>
      <w:r>
        <w:rPr>
          <w:rStyle w:val="a5"/>
        </w:rPr>
        <w:footnoteReference w:id="2855" w:customMarkFollows="0"/>
      </w:r>
      <w:bookmarkEnd w:id="3783"/>
      <w:r>
        <w:rPr>
          <w:rtl/>
        </w:rPr>
        <w:t xml:space="preserve"> “כשחזר ר׳ אברהם </w:t>
      </w:r>
      <w:proofErr w:type="spellStart"/>
      <w:r>
        <w:rPr>
          <w:rtl/>
        </w:rPr>
        <w:t>לסלבודקה</w:t>
      </w:r>
      <w:proofErr w:type="spellEnd"/>
      <w:r>
        <w:rPr>
          <w:rtl/>
        </w:rPr>
        <w:t xml:space="preserve"> מביקורו בארץ ישראל </w:t>
      </w:r>
      <w:proofErr w:type="spellStart"/>
      <w:r>
        <w:rPr>
          <w:rtl/>
        </w:rPr>
        <w:t>בתרצ״ה</w:t>
      </w:r>
      <w:proofErr w:type="spellEnd"/>
      <w:r>
        <w:rPr>
          <w:rtl/>
        </w:rPr>
        <w:t>, הספיד את חותנו בשיחה, ואמר שלא נמצא בנפטר שום פגם, ושהוא ודאי מת רק בעטיו של נחש!”</w:t>
      </w:r>
      <w:bookmarkStart w:id="3784" w:name="_fnr2848"/>
      <w:r>
        <w:rPr>
          <w:rStyle w:val="a5"/>
        </w:rPr>
        <w:footnoteReference w:id="2856" w:customMarkFollows="0"/>
      </w:r>
      <w:bookmarkEnd w:id="3784"/>
    </w:p>
    <w:p w14:paraId="3457BDE6" w14:textId="77777777" w:rsidR="00AB3647" w:rsidRDefault="00000000" w:rsidP="007923E9">
      <w:pPr>
        <w:pStyle w:val="4"/>
        <w:spacing w:line="276" w:lineRule="auto"/>
      </w:pPr>
      <w:r>
        <w:t>· הפסקה השנייה ·</w:t>
      </w:r>
    </w:p>
    <w:p w14:paraId="251CFE84" w14:textId="77777777" w:rsidR="00AB3647" w:rsidRDefault="00000000" w:rsidP="007923E9">
      <w:pPr>
        <w:pStyle w:val="5"/>
        <w:spacing w:line="276" w:lineRule="auto"/>
      </w:pPr>
      <w:r>
        <w:t xml:space="preserve">בנו היחיד של ר׳ </w:t>
      </w:r>
      <w:proofErr w:type="spellStart"/>
      <w:r>
        <w:t xml:space="preserve">בער־הירש</w:t>
      </w:r>
      <w:proofErr w:type="spellEnd"/>
      <w:r>
        <w:t xml:space="preserve"> מפנה עורף לשמירת התורה</w:t>
      </w:r>
    </w:p>
    <w:p w14:paraId="645CDF40" w14:textId="77777777" w:rsidR="00AB3647" w:rsidRDefault="00000000" w:rsidP="007923E9">
      <w:pPr>
        <w:spacing w:after="120" w:line="276" w:lineRule="auto"/>
        <w:ind w:firstLine="283"/>
        <w:jc w:val="both"/>
      </w:pPr>
      <w:r>
        <w:rPr>
          <w:rtl/>
        </w:rPr>
        <w:t xml:space="preserve">לאחר פטירת הרב </w:t>
      </w:r>
      <w:proofErr w:type="spellStart"/>
      <w:r>
        <w:rPr>
          <w:rtl/>
        </w:rPr>
        <w:t xml:space="preserve">הלר</w:t>
      </w:r>
      <w:proofErr w:type="spellEnd"/>
      <w:r>
        <w:rPr>
          <w:rtl/>
        </w:rPr>
        <w:t xml:space="preserve"> פרסם מ׳ </w:t>
      </w:r>
      <w:proofErr w:type="spellStart"/>
      <w:r>
        <w:rPr>
          <w:rtl/>
        </w:rPr>
        <w:t>גרץ</w:t>
      </w:r>
      <w:bookmarkStart w:id="3785" w:name="_fnr2849"/>
      <w:proofErr w:type="spellEnd"/>
      <w:r>
        <w:rPr>
          <w:rStyle w:val="a5"/>
        </w:rPr>
        <w:footnoteReference w:id="2857" w:customMarkFollows="0"/>
      </w:r>
      <w:bookmarkEnd w:id="3785"/>
      <w:r>
        <w:rPr>
          <w:rtl/>
        </w:rPr>
        <w:t xml:space="preserve"> מאמר שבח בעיתון היידי </w:t>
      </w:r>
      <w:proofErr w:type="spellStart"/>
      <w:r>
        <w:rPr>
          <w:rtl/>
        </w:rPr>
        <w:t>הניו־יורקי</w:t>
      </w:r>
      <w:proofErr w:type="spellEnd"/>
      <w:r>
        <w:rPr>
          <w:rtl/>
        </w:rPr>
        <w:t xml:space="preserve"> “</w:t>
      </w:r>
      <w:proofErr w:type="spellStart"/>
      <w:r>
        <w:rPr>
          <w:rtl/>
        </w:rPr>
        <w:t>מורנינג</w:t>
      </w:r>
      <w:proofErr w:type="spellEnd"/>
      <w:r>
        <w:rPr>
          <w:rtl/>
        </w:rPr>
        <w:t xml:space="preserve"> </w:t>
      </w:r>
      <w:proofErr w:type="spellStart"/>
      <w:r>
        <w:rPr>
          <w:rtl/>
        </w:rPr>
        <w:t>ג׳ורנל</w:t>
      </w:r>
      <w:proofErr w:type="spellEnd"/>
      <w:r>
        <w:rPr>
          <w:rtl/>
        </w:rPr>
        <w:t>”.</w:t>
      </w:r>
      <w:bookmarkStart w:id="3786" w:name="_fnr2850"/>
      <w:r>
        <w:rPr>
          <w:rStyle w:val="a5"/>
        </w:rPr>
        <w:footnoteReference w:id="2858" w:customMarkFollows="0"/>
      </w:r>
      <w:bookmarkEnd w:id="3786"/>
      <w:r>
        <w:rPr>
          <w:rtl/>
        </w:rPr>
        <w:t xml:space="preserve"> הוא תיאר בו את הצדיק רך הדיבור, אבל ביקש לחשוף גם צד הפוך באופיו, כפי שיצוטט בתחילת הפסקה השלישית להלן. ילדו הבכור ובנו היחיד של ר׳ </w:t>
      </w:r>
      <w:proofErr w:type="spellStart"/>
      <w:r>
        <w:rPr>
          <w:rtl/>
        </w:rPr>
        <w:t xml:space="preserve">בער־הירש</w:t>
      </w:r>
      <w:proofErr w:type="spellEnd"/>
      <w:r>
        <w:rPr>
          <w:rtl/>
        </w:rPr>
        <w:t xml:space="preserve">, </w:t>
      </w:r>
      <w:proofErr w:type="spellStart"/>
      <w:r>
        <w:rPr>
          <w:rtl/>
        </w:rPr>
        <w:t>אברהם־מאיר</w:t>
      </w:r>
      <w:proofErr w:type="spellEnd"/>
      <w:r>
        <w:rPr>
          <w:rtl/>
        </w:rPr>
        <w:t xml:space="preserve">, עזב את ליטא </w:t>
      </w:r>
      <w:proofErr w:type="spellStart"/>
      <w:r>
        <w:rPr>
          <w:rtl/>
        </w:rPr>
        <w:t>בתרס״ו</w:t>
      </w:r>
      <w:proofErr w:type="spellEnd"/>
      <w:r>
        <w:rPr>
          <w:rtl/>
        </w:rPr>
        <w:t xml:space="preserve">, בן </w:t>
      </w:r>
      <w:proofErr w:type="spellStart"/>
      <w:r>
        <w:rPr>
          <w:rtl/>
        </w:rPr>
        <w:t>תשע־עשרה</w:t>
      </w:r>
      <w:proofErr w:type="spellEnd"/>
      <w:r>
        <w:rPr>
          <w:rtl/>
        </w:rPr>
        <w:t xml:space="preserve">, יחד עם בנו של הסבא </w:t>
      </w:r>
      <w:proofErr w:type="spellStart"/>
      <w:r>
        <w:rPr>
          <w:rtl/>
        </w:rPr>
        <w:t>מסלבודקה</w:t>
      </w:r>
      <w:proofErr w:type="spellEnd"/>
      <w:r>
        <w:rPr>
          <w:rtl/>
        </w:rPr>
        <w:t>,</w:t>
      </w:r>
      <w:bookmarkStart w:id="3787" w:name="_fnr2851"/>
      <w:r>
        <w:rPr>
          <w:rStyle w:val="a5"/>
        </w:rPr>
        <w:footnoteReference w:id="2859" w:customMarkFollows="0"/>
      </w:r>
      <w:bookmarkEnd w:id="3787"/>
      <w:r>
        <w:rPr>
          <w:rtl/>
        </w:rPr>
        <w:t xml:space="preserve"> ונטש את מסורת התורה. אמי, אחותו של הבן שסרח, סיפרה גם שכשעזב את הבית נתנה לו </w:t>
      </w:r>
      <w:proofErr w:type="spellStart"/>
      <w:r>
        <w:rPr>
          <w:rtl/>
        </w:rPr>
        <w:t>אמם</w:t>
      </w:r>
      <w:proofErr w:type="spellEnd"/>
      <w:r>
        <w:rPr>
          <w:rtl/>
        </w:rPr>
        <w:t xml:space="preserve"> ספר “מסילת ישרים” לקחת עמו. יותר משלושים שנה אחר כך פגשה אמי את אחיה בצפון אמריקה, והוא מסר לה את הספר, שלא היה לו בו צורך.</w:t>
      </w:r>
    </w:p>
    <w:p w14:paraId="59ED7729" w14:textId="77777777" w:rsidR="00AB3647" w:rsidRDefault="00000000" w:rsidP="007923E9">
      <w:pPr>
        <w:spacing w:after="120" w:line="276" w:lineRule="auto"/>
        <w:ind w:firstLine="283"/>
        <w:jc w:val="both"/>
      </w:pPr>
      <w:r>
        <w:rPr>
          <w:rtl/>
        </w:rPr>
        <w:t xml:space="preserve">בריאיון המוקלט על הסבא </w:t>
      </w:r>
      <w:proofErr w:type="spellStart"/>
      <w:r>
        <w:rPr>
          <w:rtl/>
        </w:rPr>
        <w:t>מסלבודקה</w:t>
      </w:r>
      <w:proofErr w:type="spellEnd"/>
      <w:r>
        <w:rPr>
          <w:rtl/>
        </w:rPr>
        <w:t xml:space="preserve"> ייחס אבי את פריקת העול של </w:t>
      </w:r>
      <w:proofErr w:type="spellStart"/>
      <w:r>
        <w:rPr>
          <w:rtl/>
        </w:rPr>
        <w:t>אברהם־מאיר</w:t>
      </w:r>
      <w:proofErr w:type="spellEnd"/>
      <w:r>
        <w:rPr>
          <w:rtl/>
        </w:rPr>
        <w:t xml:space="preserve"> לעוני המחפיר בביתו, ואמר: “</w:t>
      </w:r>
      <w:proofErr w:type="spellStart"/>
      <w:r>
        <w:rPr>
          <w:rtl/>
        </w:rPr>
        <w:t>ב׳ארמון</w:t>
      </w:r>
      <w:proofErr w:type="spellEnd"/>
      <w:r>
        <w:rPr>
          <w:rtl/>
        </w:rPr>
        <w:t>’ של הוריו לא הייתה לו אפילו מיטה לישון עליה.”</w:t>
      </w:r>
      <w:bookmarkStart w:id="3788" w:name="_fnr2852"/>
      <w:r>
        <w:rPr>
          <w:rStyle w:val="a5"/>
        </w:rPr>
        <w:footnoteReference w:id="2860" w:customMarkFollows="0"/>
      </w:r>
      <w:bookmarkEnd w:id="3788"/>
      <w:r>
        <w:rPr>
          <w:rtl/>
        </w:rPr>
        <w:t xml:space="preserve"> בהזדמנות אחרת טען רבנו שחותנו נהג שלא כראוי בחינוך בנו. “הוא לקח מבנו את הצעצועים כשהיה בן חמש בלבד”, אמר אבי, “וכשהילד גילה מרדנות של גיל הנעורים, שלח אותו ר׳ </w:t>
      </w:r>
      <w:proofErr w:type="spellStart"/>
      <w:r>
        <w:rPr>
          <w:rtl/>
        </w:rPr>
        <w:lastRenderedPageBreak/>
        <w:t xml:space="preserve">בער־הירש</w:t>
      </w:r>
      <w:proofErr w:type="spellEnd"/>
      <w:r>
        <w:rPr>
          <w:rtl/>
        </w:rPr>
        <w:t xml:space="preserve"> לישיבת </w:t>
      </w:r>
      <w:proofErr w:type="spellStart"/>
      <w:r>
        <w:rPr>
          <w:rtl/>
        </w:rPr>
        <w:t>נובהרדוק</w:t>
      </w:r>
      <w:proofErr w:type="spellEnd"/>
      <w:r>
        <w:rPr>
          <w:rtl/>
        </w:rPr>
        <w:t>.</w:t>
      </w:r>
      <w:bookmarkStart w:id="3789" w:name="_fnr2853"/>
      <w:r>
        <w:rPr>
          <w:rStyle w:val="a5"/>
        </w:rPr>
        <w:footnoteReference w:id="2861" w:customMarkFollows="0"/>
      </w:r>
      <w:bookmarkEnd w:id="3789"/>
      <w:r>
        <w:rPr>
          <w:rtl/>
        </w:rPr>
        <w:t xml:space="preserve"> כשאביו החליט לבסוף לשלחו לתיקון אל חברו הוותיק ללימודים </w:t>
      </w:r>
      <w:proofErr w:type="spellStart"/>
      <w:r>
        <w:rPr>
          <w:rtl/>
        </w:rPr>
        <w:t>בגרובין</w:t>
      </w:r>
      <w:proofErr w:type="spellEnd"/>
      <w:r>
        <w:rPr>
          <w:rtl/>
        </w:rPr>
        <w:t xml:space="preserve">, אחד מבחירי תלמידיו של ר׳ </w:t>
      </w:r>
      <w:proofErr w:type="spellStart"/>
      <w:r>
        <w:rPr>
          <w:rtl/>
        </w:rPr>
        <w:t>שמחה־זיסל</w:t>
      </w:r>
      <w:proofErr w:type="spellEnd"/>
      <w:r>
        <w:rPr>
          <w:rtl/>
        </w:rPr>
        <w:t xml:space="preserve">, ר׳ </w:t>
      </w:r>
      <w:proofErr w:type="spellStart"/>
      <w:r>
        <w:rPr>
          <w:rtl/>
        </w:rPr>
        <w:t xml:space="preserve">בנצה־וועלוול</w:t>
      </w:r>
      <w:proofErr w:type="spellEnd"/>
      <w:r>
        <w:rPr>
          <w:rtl/>
        </w:rPr>
        <w:t xml:space="preserve"> </w:t>
      </w:r>
      <w:proofErr w:type="spellStart"/>
      <w:r>
        <w:rPr>
          <w:rtl/>
        </w:rPr>
        <w:t>קרניץ־רוזאניס</w:t>
      </w:r>
      <w:proofErr w:type="spellEnd"/>
      <w:r>
        <w:rPr>
          <w:rtl/>
        </w:rPr>
        <w:t xml:space="preserve">, רבה של </w:t>
      </w:r>
      <w:proofErr w:type="spellStart"/>
      <w:r>
        <w:rPr>
          <w:rtl/>
        </w:rPr>
        <w:t>שווקשנה</w:t>
      </w:r>
      <w:proofErr w:type="spellEnd"/>
      <w:r>
        <w:rPr>
          <w:rtl/>
        </w:rPr>
        <w:t>,</w:t>
      </w:r>
      <w:bookmarkStart w:id="3790" w:name="_fnr2854"/>
      <w:r>
        <w:rPr>
          <w:rStyle w:val="a5"/>
        </w:rPr>
        <w:footnoteReference w:id="2862" w:customMarkFollows="0"/>
      </w:r>
      <w:bookmarkEnd w:id="3790"/>
      <w:r>
        <w:rPr>
          <w:rtl/>
        </w:rPr>
        <w:t xml:space="preserve"> כבר היה מאוחר מדי.”</w:t>
      </w:r>
    </w:p>
    <w:p w14:paraId="060142BB" w14:textId="307EFF6D" w:rsidR="00AB3647" w:rsidRDefault="00000000" w:rsidP="007923E9">
      <w:pPr>
        <w:spacing w:after="120" w:line="276" w:lineRule="auto"/>
        <w:ind w:firstLine="283"/>
        <w:jc w:val="both"/>
      </w:pPr>
      <w:r>
        <w:rPr>
          <w:rtl/>
        </w:rPr>
        <w:t xml:space="preserve">גם בנו הבכור של </w:t>
      </w:r>
      <w:proofErr w:type="spellStart"/>
      <w:r>
        <w:rPr>
          <w:rtl/>
        </w:rPr>
        <w:t>אברהם־מאיר</w:t>
      </w:r>
      <w:proofErr w:type="spellEnd"/>
      <w:r>
        <w:rPr>
          <w:rtl/>
        </w:rPr>
        <w:t xml:space="preserve">, ד״ר דייוויד ה. </w:t>
      </w:r>
      <w:proofErr w:type="spellStart"/>
      <w:r>
        <w:rPr>
          <w:rtl/>
        </w:rPr>
        <w:t>העלר</w:t>
      </w:r>
      <w:proofErr w:type="spellEnd"/>
      <w:r>
        <w:rPr>
          <w:rtl/>
        </w:rPr>
        <w:t>,</w:t>
      </w:r>
      <w:bookmarkStart w:id="3791" w:name="_fnr2855"/>
      <w:r>
        <w:rPr>
          <w:rStyle w:val="a5"/>
        </w:rPr>
        <w:footnoteReference w:id="2863" w:customMarkFollows="0"/>
      </w:r>
      <w:bookmarkEnd w:id="3791"/>
      <w:r>
        <w:rPr>
          <w:rtl/>
        </w:rPr>
        <w:t xml:space="preserve"> מזכיר במכתבו, המצוטט בחלקו להלן, שאביו עזב את הבית “בהיותו בן שמונה בערך” כדי ללמוד </w:t>
      </w:r>
      <w:proofErr w:type="spellStart"/>
      <w:r>
        <w:rPr>
          <w:rtl/>
        </w:rPr>
        <w:t>בטלז</w:t>
      </w:r>
      <w:proofErr w:type="spellEnd"/>
      <w:r>
        <w:rPr>
          <w:rtl/>
        </w:rPr>
        <w:t>, בישיבה קטנה.</w:t>
      </w:r>
      <w:bookmarkStart w:id="3792" w:name="_fnr2856"/>
      <w:r>
        <w:rPr>
          <w:rStyle w:val="a5"/>
        </w:rPr>
        <w:footnoteReference w:id="2864" w:customMarkFollows="0"/>
      </w:r>
      <w:bookmarkEnd w:id="3792"/>
      <w:r>
        <w:rPr>
          <w:rtl/>
        </w:rPr>
        <w:t xml:space="preserve"> כפי שסיפר </w:t>
      </w:r>
      <w:proofErr w:type="spellStart"/>
      <w:r>
        <w:rPr>
          <w:rtl/>
        </w:rPr>
        <w:t>אברהם־מאיר</w:t>
      </w:r>
      <w:proofErr w:type="spellEnd"/>
      <w:r>
        <w:rPr>
          <w:rtl/>
        </w:rPr>
        <w:t xml:space="preserve"> לבנו הצעיר יוג׳ין</w:t>
      </w:r>
      <w:bookmarkStart w:id="3793" w:name="_fnr2857"/>
      <w:r>
        <w:rPr>
          <w:rStyle w:val="a5"/>
        </w:rPr>
        <w:footnoteReference w:id="2865" w:customMarkFollows="0"/>
      </w:r>
      <w:bookmarkEnd w:id="3793"/>
      <w:r>
        <w:rPr>
          <w:rtl/>
        </w:rPr>
        <w:t xml:space="preserve">, באותה תקופה ראה את אביו רק פעמיים בשנה, משום שר׳ </w:t>
      </w:r>
      <w:proofErr w:type="spellStart"/>
      <w:r>
        <w:rPr>
          <w:rtl/>
        </w:rPr>
        <w:t xml:space="preserve">בער־הירש</w:t>
      </w:r>
      <w:proofErr w:type="spellEnd"/>
      <w:r>
        <w:rPr>
          <w:rtl/>
        </w:rPr>
        <w:t xml:space="preserve"> שהה כל השנה </w:t>
      </w:r>
      <w:proofErr w:type="spellStart"/>
      <w:r>
        <w:rPr>
          <w:rtl/>
        </w:rPr>
        <w:t>בסלבודקה</w:t>
      </w:r>
      <w:proofErr w:type="spellEnd"/>
      <w:r>
        <w:rPr>
          <w:rtl/>
        </w:rPr>
        <w:t xml:space="preserve">, הרחק מביתו </w:t>
      </w:r>
      <w:proofErr w:type="spellStart"/>
      <w:r>
        <w:rPr>
          <w:rtl/>
        </w:rPr>
        <w:t>בשילל</w:t>
      </w:r>
      <w:proofErr w:type="spellEnd"/>
      <w:r>
        <w:rPr>
          <w:rtl/>
        </w:rPr>
        <w:t xml:space="preserve"> (כמסופר בהערה </w:t>
      </w:r>
      <w:r>
        <w:rPr>
          <w:rtl/>
        </w:rPr>
        <w:fldChar w:fldCharType="begin" w:dirty="true"/>
      </w:r>
      <w:r>
        <w:rPr>
          <w:rtl/>
        </w:rPr>
        <w:instrText xml:space="preserve"> REF b3_note115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115</w:t>
      </w:r>
      <w:r>
        <w:rPr>
          <w:rtl/>
        </w:rPr>
        <w:fldChar w:fldCharType="end"/>
      </w:r>
      <w:r>
        <w:rPr>
          <w:rtl/>
        </w:rPr>
        <w:t xml:space="preserve"> לעיל).</w:t>
      </w:r>
    </w:p>
    <w:p w14:paraId="7969A372" w14:textId="77777777" w:rsidR="00AB3647" w:rsidRDefault="00000000" w:rsidP="007923E9">
      <w:pPr>
        <w:spacing w:after="120" w:line="276" w:lineRule="auto"/>
        <w:ind w:firstLine="283"/>
        <w:jc w:val="both"/>
      </w:pPr>
      <w:r>
        <w:rPr>
          <w:rtl/>
        </w:rPr>
        <w:t xml:space="preserve">דייוויד מתאר כך את עזיבת אביו את הישיבה, ואת שיבת צאצאיו ליהדות: “כשעזב אבי את הישיבה ואת הוריו לצמיתות, נסע תחילה לאנגליה. שם התגורר אצל אחות אביו, שפרה </w:t>
      </w:r>
      <w:proofErr w:type="spellStart"/>
      <w:r>
        <w:rPr>
          <w:rtl/>
        </w:rPr>
        <w:t>לייבוביץ</w:t>
      </w:r>
      <w:proofErr w:type="spellEnd"/>
      <w:r>
        <w:rPr>
          <w:rtl/>
        </w:rPr>
        <w:t>, במנצ׳סטר. ב־1909 הפליג לארצות הברית.</w:t>
      </w:r>
      <w:bookmarkStart w:id="3794" w:name="_fnr2858"/>
      <w:r>
        <w:rPr>
          <w:rStyle w:val="a5"/>
        </w:rPr>
        <w:footnoteReference w:id="2866" w:customMarkFollows="0"/>
      </w:r>
      <w:bookmarkEnd w:id="3794"/>
      <w:r>
        <w:rPr>
          <w:rtl/>
        </w:rPr>
        <w:t xml:space="preserve"> בן עשרים ושתיים, גובהו כ־157 ס״מ, בעל עיניים כחולות, עור חיוור ושיער שחור, בחור ישיבה לשעבר לבוש בקפידה, פועל בעל הכשרה חלקית, רציונליסט, תמים, חסר פרוטה ובלא נחמת הדת – נכנס לארץ הזהב. מי יכול היה לצפות שבעוד שמונים שנה יהיה אחד מבניו נשיא בית כנסת בטנסי</w:t>
      </w:r>
      <w:bookmarkStart w:id="3795" w:name="_fnr2859"/>
      <w:r>
        <w:rPr>
          <w:rStyle w:val="a5"/>
        </w:rPr>
        <w:footnoteReference w:id="2867" w:customMarkFollows="0"/>
      </w:r>
      <w:bookmarkEnd w:id="3795"/>
      <w:r>
        <w:rPr>
          <w:rtl/>
        </w:rPr>
        <w:t xml:space="preserve"> או שלבן אחר יהיו שתי בנות השומרות כשרות, קוראות עברית ומנסות בנימוס להסתיר את אכזבתן מכך שאביהן אינו אדוק כמותן?” דייוויד ה. </w:t>
      </w:r>
      <w:proofErr w:type="spellStart"/>
      <w:r>
        <w:rPr>
          <w:rtl/>
        </w:rPr>
        <w:t>העלר</w:t>
      </w:r>
      <w:proofErr w:type="spellEnd"/>
      <w:r>
        <w:rPr>
          <w:rtl/>
        </w:rPr>
        <w:t xml:space="preserve"> מסיים את מכתבו במילים: “[</w:t>
      </w:r>
      <w:proofErr w:type="spellStart"/>
      <w:r>
        <w:rPr>
          <w:rtl/>
        </w:rPr>
        <w:t>אברהם־מאיר</w:t>
      </w:r>
      <w:proofErr w:type="spellEnd"/>
      <w:r>
        <w:rPr>
          <w:rtl/>
        </w:rPr>
        <w:t>] אולי לא הבין לגמרי שרמת ההתנהגות המוסרית שהקפיד עליה כל חייו הייתה כמעט בדיוק זו שחונך עליה בנעוריו.”</w:t>
      </w:r>
    </w:p>
    <w:p w14:paraId="64B0505C" w14:textId="77777777" w:rsidR="00AB3647" w:rsidRDefault="00000000" w:rsidP="007923E9">
      <w:pPr>
        <w:pStyle w:val="4"/>
        <w:spacing w:line="276" w:lineRule="auto"/>
      </w:pPr>
      <w:r>
        <w:t>· הפסקה השלישית ·</w:t>
      </w:r>
    </w:p>
    <w:p w14:paraId="5B07D4AD" w14:textId="77777777" w:rsidR="00AB3647" w:rsidRDefault="00000000" w:rsidP="007923E9">
      <w:pPr>
        <w:pStyle w:val="5"/>
        <w:spacing w:line="276" w:lineRule="auto"/>
      </w:pPr>
      <w:proofErr w:type="spellStart"/>
      <w:r>
        <w:t>אברהם־מאיר</w:t>
      </w:r>
      <w:proofErr w:type="spellEnd"/>
      <w:r>
        <w:t xml:space="preserve"> </w:t>
      </w:r>
      <w:proofErr w:type="spellStart"/>
      <w:r>
        <w:t xml:space="preserve">הלר</w:t>
      </w:r>
      <w:proofErr w:type="spellEnd"/>
      <w:r>
        <w:t xml:space="preserve"> כותב </w:t>
      </w:r>
      <w:proofErr w:type="spellStart"/>
      <w:r>
        <w:t>לאמו</w:t>
      </w:r>
      <w:proofErr w:type="spellEnd"/>
      <w:r>
        <w:t xml:space="preserve"> – ר׳ </w:t>
      </w:r>
      <w:proofErr w:type="spellStart"/>
      <w:r>
        <w:t xml:space="preserve">בער־הירש</w:t>
      </w:r>
      <w:proofErr w:type="spellEnd"/>
      <w:r>
        <w:t xml:space="preserve"> מתואר שלא בצדק כמי שמסרב לקרוא את מכתבי בנו מחוץ לארץ – ר׳ </w:t>
      </w:r>
      <w:proofErr w:type="spellStart"/>
      <w:r>
        <w:t xml:space="preserve">בער־הירש</w:t>
      </w:r>
      <w:proofErr w:type="spellEnd"/>
      <w:r>
        <w:t xml:space="preserve"> אינו יודע על עזיבת בנו את הדת – הוא סבור שאין התורה יכולה לשכון אצל אדם חסר מוסר – הוא תורם הכול לישיבת </w:t>
      </w:r>
      <w:proofErr w:type="spellStart"/>
      <w:r>
        <w:t>סלבודקה</w:t>
      </w:r>
      <w:proofErr w:type="spellEnd"/>
    </w:p>
    <w:p w14:paraId="5676E955" w14:textId="77777777" w:rsidR="00AB3647" w:rsidRDefault="00000000" w:rsidP="007923E9">
      <w:pPr>
        <w:spacing w:after="120" w:line="276" w:lineRule="auto"/>
        <w:ind w:firstLine="283"/>
        <w:jc w:val="both"/>
      </w:pPr>
      <w:r>
        <w:rPr>
          <w:rtl/>
        </w:rPr>
        <w:t xml:space="preserve">במאמר השבח של מ׳ </w:t>
      </w:r>
      <w:proofErr w:type="spellStart"/>
      <w:r>
        <w:rPr>
          <w:rtl/>
        </w:rPr>
        <w:t>גרץ</w:t>
      </w:r>
      <w:proofErr w:type="spellEnd"/>
      <w:r>
        <w:rPr>
          <w:rtl/>
        </w:rPr>
        <w:t xml:space="preserve"> נטען שכאשר קיבלה הרבנית את מכתבי </w:t>
      </w:r>
      <w:proofErr w:type="spellStart"/>
      <w:r>
        <w:rPr>
          <w:rtl/>
        </w:rPr>
        <w:t>אברהם־מאיר</w:t>
      </w:r>
      <w:proofErr w:type="spellEnd"/>
      <w:r>
        <w:rPr>
          <w:rtl/>
        </w:rPr>
        <w:t xml:space="preserve"> מחוץ לארץ, סירב בעלה לקרוא אותם למרות הפצרותיה. לאחר מכן מתואר שם הצד האחר באופיו של ר׳ </w:t>
      </w:r>
      <w:proofErr w:type="spellStart"/>
      <w:r>
        <w:rPr>
          <w:rtl/>
        </w:rPr>
        <w:t xml:space="preserve">בער־הירש</w:t>
      </w:r>
      <w:proofErr w:type="spellEnd"/>
      <w:r>
        <w:rPr>
          <w:rtl/>
        </w:rPr>
        <w:t xml:space="preserve">, </w:t>
      </w:r>
      <w:proofErr w:type="spellStart"/>
      <w:r>
        <w:rPr>
          <w:rtl/>
        </w:rPr>
        <w:t>וגרץ</w:t>
      </w:r>
      <w:proofErr w:type="spellEnd"/>
      <w:r>
        <w:rPr>
          <w:rtl/>
        </w:rPr>
        <w:t xml:space="preserve"> כותב בלשון פיוטית: “היהודי המשיי, הנשמה העדינה והאצילה, </w:t>
      </w:r>
      <w:r>
        <w:rPr>
          <w:rtl/>
        </w:rPr>
        <w:lastRenderedPageBreak/>
        <w:t>נעשה קשה כסלע. הוא היה כפי שלימד הסבא: אדם צריך להיות כדוד המלך על שני צדדיו – עדין כמחבר תהילים, וחסר רחמים כלוחם”.</w:t>
      </w:r>
    </w:p>
    <w:p w14:paraId="2AE23EB7" w14:textId="77777777" w:rsidR="00AB3647" w:rsidRDefault="00000000" w:rsidP="007923E9">
      <w:pPr>
        <w:spacing w:after="120" w:line="276" w:lineRule="auto"/>
        <w:ind w:firstLine="283"/>
        <w:jc w:val="both"/>
      </w:pPr>
      <w:proofErr w:type="spellStart"/>
      <w:r>
        <w:rPr>
          <w:rtl/>
        </w:rPr>
        <w:t>גרץ</w:t>
      </w:r>
      <w:proofErr w:type="spellEnd"/>
      <w:r>
        <w:rPr>
          <w:rtl/>
        </w:rPr>
        <w:t xml:space="preserve"> בוודאי צודק בכך </w:t>
      </w:r>
      <w:proofErr w:type="spellStart"/>
      <w:r>
        <w:rPr>
          <w:rtl/>
        </w:rPr>
        <w:t>שאברהם־מאיר</w:t>
      </w:r>
      <w:proofErr w:type="spellEnd"/>
      <w:r>
        <w:rPr>
          <w:rtl/>
        </w:rPr>
        <w:t xml:space="preserve"> כתב </w:t>
      </w:r>
      <w:proofErr w:type="spellStart"/>
      <w:r>
        <w:rPr>
          <w:rtl/>
        </w:rPr>
        <w:t>לאמו</w:t>
      </w:r>
      <w:proofErr w:type="spellEnd"/>
      <w:r>
        <w:rPr>
          <w:rtl/>
        </w:rPr>
        <w:t xml:space="preserve">. למעשה המשיך הבן שסרח להתכתב עמה עד מותה. כך עולה מגלויה ששלחה, כשכבר הייתה אלמנה, מארץ ישראל אל בתה – אמי, שעדיין הייתה </w:t>
      </w:r>
      <w:proofErr w:type="spellStart"/>
      <w:r>
        <w:rPr>
          <w:rtl/>
        </w:rPr>
        <w:t>בציטוביאן</w:t>
      </w:r>
      <w:proofErr w:type="spellEnd"/>
      <w:r>
        <w:rPr>
          <w:rtl/>
        </w:rPr>
        <w:t xml:space="preserve"> – ביום “א׳ ויקרא תרצ״ח”</w:t>
      </w:r>
      <w:bookmarkStart w:id="3796" w:name="_fnr2860"/>
      <w:r>
        <w:rPr>
          <w:rStyle w:val="a5"/>
        </w:rPr>
        <w:footnoteReference w:id="2868" w:customMarkFollows="0"/>
      </w:r>
      <w:bookmarkEnd w:id="3796"/>
      <w:r>
        <w:rPr>
          <w:rtl/>
        </w:rPr>
        <w:t>. היא כתבה בה: “</w:t>
      </w:r>
      <w:proofErr w:type="spellStart"/>
      <w:r>
        <w:rPr>
          <w:rtl/>
        </w:rPr>
        <w:t>מאברהם־מאיר</w:t>
      </w:r>
      <w:proofErr w:type="spellEnd"/>
      <w:r>
        <w:rPr>
          <w:rtl/>
        </w:rPr>
        <w:t xml:space="preserve"> קיבלתי מכתב ובו דרישת שלום מפורשת</w:t>
      </w:r>
      <w:bookmarkStart w:id="3797" w:name="_fnr2861"/>
      <w:r>
        <w:rPr>
          <w:rStyle w:val="a5"/>
        </w:rPr>
        <w:footnoteReference w:id="2869" w:customMarkFollows="0"/>
      </w:r>
      <w:bookmarkEnd w:id="3797"/>
      <w:r>
        <w:rPr>
          <w:rtl/>
        </w:rPr>
        <w:t>; הוא, אשתו ושני בניו, ברוך השם, בריאים. הוא דורש [בשלומכם] בחום”.</w:t>
      </w:r>
    </w:p>
    <w:p w14:paraId="448CCE58" w14:textId="77777777" w:rsidR="00AB3647" w:rsidRDefault="00000000" w:rsidP="007923E9">
      <w:pPr>
        <w:spacing w:after="120" w:line="276" w:lineRule="auto"/>
        <w:ind w:firstLine="283"/>
        <w:jc w:val="both"/>
      </w:pPr>
      <w:r>
        <w:rPr>
          <w:rtl/>
        </w:rPr>
        <w:t xml:space="preserve">אף שייתכן שיחסיו של </w:t>
      </w:r>
      <w:proofErr w:type="spellStart"/>
      <w:r>
        <w:rPr>
          <w:rtl/>
        </w:rPr>
        <w:t>אברהם־מאיר</w:t>
      </w:r>
      <w:proofErr w:type="spellEnd"/>
      <w:r>
        <w:rPr>
          <w:rtl/>
        </w:rPr>
        <w:t xml:space="preserve"> עם </w:t>
      </w:r>
      <w:proofErr w:type="spellStart"/>
      <w:r>
        <w:rPr>
          <w:rtl/>
        </w:rPr>
        <w:t>אמו</w:t>
      </w:r>
      <w:proofErr w:type="spellEnd"/>
      <w:r>
        <w:rPr>
          <w:rtl/>
        </w:rPr>
        <w:t xml:space="preserve"> היו טובים יותר, </w:t>
      </w:r>
      <w:proofErr w:type="spellStart"/>
      <w:r>
        <w:rPr>
          <w:rtl/>
        </w:rPr>
        <w:t>גרץ</w:t>
      </w:r>
      <w:proofErr w:type="spellEnd"/>
      <w:r>
        <w:rPr>
          <w:rtl/>
        </w:rPr>
        <w:t xml:space="preserve"> טועה בטענתו שאיבד את הקשר עם אביו. הוכחה מכרעת לכך היא שתי אגרות ברכת מזל טוב שכתב ר׳ </w:t>
      </w:r>
      <w:proofErr w:type="spellStart"/>
      <w:r>
        <w:rPr>
          <w:rtl/>
        </w:rPr>
        <w:t xml:space="preserve">בער־הירש</w:t>
      </w:r>
      <w:proofErr w:type="spellEnd"/>
      <w:r>
        <w:rPr>
          <w:rtl/>
        </w:rPr>
        <w:t xml:space="preserve"> בראשית שנות </w:t>
      </w:r>
      <w:proofErr w:type="spellStart"/>
      <w:r>
        <w:rPr>
          <w:rtl/>
        </w:rPr>
        <w:t>הת״ר־צ</w:t>
      </w:r>
      <w:proofErr w:type="spellEnd"/>
      <w:r>
        <w:rPr>
          <w:rtl/>
        </w:rPr>
        <w:t>׳. את העתקי האגרות מסר</w:t>
      </w:r>
      <w:bookmarkStart w:id="3798" w:name="_fnr2862"/>
      <w:r>
        <w:rPr>
          <w:rStyle w:val="a5"/>
        </w:rPr>
        <w:footnoteReference w:id="2870" w:customMarkFollows="0"/>
      </w:r>
      <w:bookmarkEnd w:id="3798"/>
      <w:r>
        <w:rPr>
          <w:rtl/>
        </w:rPr>
        <w:t xml:space="preserve"> ר׳ </w:t>
      </w:r>
      <w:proofErr w:type="spellStart"/>
      <w:r>
        <w:rPr>
          <w:rtl/>
        </w:rPr>
        <w:t>אליהו־יהודה</w:t>
      </w:r>
      <w:proofErr w:type="spellEnd"/>
      <w:r>
        <w:rPr>
          <w:rtl/>
        </w:rPr>
        <w:t xml:space="preserve"> שוחט, קרוב משפחת </w:t>
      </w:r>
      <w:proofErr w:type="spellStart"/>
      <w:r>
        <w:rPr>
          <w:rtl/>
        </w:rPr>
        <w:t xml:space="preserve">הלר</w:t>
      </w:r>
      <w:proofErr w:type="spellEnd"/>
      <w:r>
        <w:rPr>
          <w:rtl/>
        </w:rPr>
        <w:t xml:space="preserve"> שבקליפורניה. הוא מצא אותן באוסף מסמכים שהשאיר אביו המנוח ר׳ יעקב, שהיה נכד מצד אביו של אחי </w:t>
      </w:r>
      <w:proofErr w:type="spellStart"/>
      <w:r>
        <w:rPr>
          <w:rtl/>
        </w:rPr>
        <w:t>אמו</w:t>
      </w:r>
      <w:proofErr w:type="spellEnd"/>
      <w:r>
        <w:rPr>
          <w:rtl/>
        </w:rPr>
        <w:t xml:space="preserve"> של ר׳ </w:t>
      </w:r>
      <w:proofErr w:type="spellStart"/>
      <w:r>
        <w:rPr>
          <w:rtl/>
        </w:rPr>
        <w:t xml:space="preserve">בער־הירש</w:t>
      </w:r>
      <w:bookmarkStart w:id="3799" w:name="_fnr2863"/>
      <w:proofErr w:type="spellEnd"/>
      <w:r>
        <w:rPr>
          <w:rStyle w:val="a5"/>
        </w:rPr>
        <w:footnoteReference w:id="2871" w:customMarkFollows="0"/>
      </w:r>
      <w:bookmarkEnd w:id="3799"/>
      <w:r>
        <w:rPr>
          <w:rtl/>
        </w:rPr>
        <w:t xml:space="preserve">. ר׳ יעקב היה תלמיד ישיבת </w:t>
      </w:r>
      <w:proofErr w:type="spellStart"/>
      <w:r>
        <w:rPr>
          <w:rtl/>
        </w:rPr>
        <w:t>סלבודקה</w:t>
      </w:r>
      <w:proofErr w:type="spellEnd"/>
      <w:r>
        <w:rPr>
          <w:rtl/>
        </w:rPr>
        <w:t xml:space="preserve">, ובשנת 1913 קיבל את סמיכתו מר׳ </w:t>
      </w:r>
      <w:proofErr w:type="spellStart"/>
      <w:r>
        <w:rPr>
          <w:rtl/>
        </w:rPr>
        <w:t>חיים־אברהם</w:t>
      </w:r>
      <w:proofErr w:type="spellEnd"/>
      <w:r>
        <w:rPr>
          <w:rtl/>
        </w:rPr>
        <w:t xml:space="preserve"> </w:t>
      </w:r>
      <w:proofErr w:type="spellStart"/>
      <w:r>
        <w:rPr>
          <w:rtl/>
        </w:rPr>
        <w:t>שס</w:t>
      </w:r>
      <w:bookmarkStart w:id="3800" w:name="_fnr2864"/>
      <w:proofErr w:type="spellEnd"/>
      <w:r>
        <w:rPr>
          <w:rStyle w:val="a5"/>
        </w:rPr>
        <w:footnoteReference w:id="2872" w:customMarkFollows="0"/>
      </w:r>
      <w:bookmarkEnd w:id="3800"/>
      <w:r>
        <w:rPr>
          <w:rtl/>
        </w:rPr>
        <w:t>.</w:t>
      </w:r>
    </w:p>
    <w:p w14:paraId="68D4D3F8" w14:textId="77777777" w:rsidR="00AB3647" w:rsidRDefault="00000000" w:rsidP="007923E9">
      <w:pPr>
        <w:spacing w:after="120" w:line="276" w:lineRule="auto"/>
        <w:ind w:firstLine="283"/>
        <w:jc w:val="both"/>
      </w:pPr>
      <w:r>
        <w:rPr>
          <w:rtl/>
        </w:rPr>
        <w:t>אגרת אחת נשלחה לשיקגו אל ר׳ יעקב לרגל אירוסיו, והיא נושאת את התאריך “עש״ק לסדר ושמחת בכל הטוב תרצ״ב” (יום שישי, י״ד באלול תרצ״ב</w:t>
      </w:r>
      <w:bookmarkStart w:id="3801" w:name="_fnr2865"/>
      <w:bookmarkEnd w:id="3801"/>
      <w:r>
        <w:rPr>
          <w:rStyle w:val="a5"/>
        </w:rPr>
        <w:t/>
      </w:r>
      <w:bookmarkStart w:id="7033" w:name="_TranslatorNote_5390"/>
      <w:r>
        <w:rPr>
          <w:rStyle w:val="a5"/>
          <w:vertAlign w:val="superscript"/>
          <w:rtl/>
        </w:rPr>
        <w:footnoteReference w:id="2873" w:customMarkFollows="1"/>
        <w:t>*</w:t>
      </w:r>
      <w:bookmarkEnd w:id="7033"/>
      <w:r>
        <w:rPr>
          <w:rtl/>
        </w:rPr>
        <w:t xml:space="preserve">). בין השאר נאמר בה: “כתוב לי יותר על מצב בני </w:t>
      </w:r>
      <w:proofErr w:type="spellStart"/>
      <w:r>
        <w:rPr>
          <w:rtl/>
        </w:rPr>
        <w:t>אברהם־מאיר</w:t>
      </w:r>
      <w:proofErr w:type="spellEnd"/>
      <w:r>
        <w:rPr>
          <w:rtl/>
        </w:rPr>
        <w:t>, נרו יאיר. מדוע הוא מצער אותנו ואינו כותב מאומה זמן רב כל כך? אין כדבר הזה, לגרום צער כה רב!</w:t>
      </w:r>
      <w:bookmarkStart w:id="3802" w:name="_fnr2866"/>
      <w:r>
        <w:rPr>
          <w:rStyle w:val="a5"/>
        </w:rPr>
        <w:footnoteReference w:id="2874" w:customMarkFollows="0"/>
      </w:r>
      <w:bookmarkEnd w:id="3802"/>
      <w:r>
        <w:rPr>
          <w:rtl/>
        </w:rPr>
        <w:t xml:space="preserve"> רציתי לכתוב אגרת גם לבני, אך היום, מחמת הטרדה בשבת קודש, זוגתי אינה יכולה לכתוב, ולא רציתי לשלוח [אגרת] בלי [דבריה ו]חתימתה. תוכל לומר לו כי ברוך השם השתפרה בריאותנו, אבל המצב בישיבה הקדושה נורא </w:t>
      </w:r>
      <w:r>
        <w:rPr>
          <w:rtl/>
        </w:rPr>
        <w:lastRenderedPageBreak/>
        <w:t>ומבהיל, השם ישמור [אותה]. תקוותנו חזקה שבזכות התורה ישלח את עזרתו בקרב עם ישראל, הזקוק לרחמים גדולים לקראת השנה הבאה לטובה</w:t>
      </w:r>
      <w:bookmarkStart w:id="3803" w:name="_fnr2867"/>
      <w:r>
        <w:rPr>
          <w:rStyle w:val="a5"/>
        </w:rPr>
        <w:footnoteReference w:id="2875" w:customMarkFollows="0"/>
      </w:r>
      <w:bookmarkEnd w:id="3803"/>
      <w:r>
        <w:rPr>
          <w:rtl/>
        </w:rPr>
        <w:t>”.</w:t>
      </w:r>
    </w:p>
    <w:p w14:paraId="47D4AE4E" w14:textId="77777777" w:rsidR="00AB3647" w:rsidRDefault="00000000" w:rsidP="007923E9">
      <w:pPr>
        <w:spacing w:after="120" w:line="276" w:lineRule="auto"/>
        <w:ind w:firstLine="283"/>
        <w:jc w:val="both"/>
      </w:pPr>
      <w:r>
        <w:rPr>
          <w:rtl/>
        </w:rPr>
        <w:t xml:space="preserve">האגרת השנייה אינה מתוארכת, ובה בירך ר׳ </w:t>
      </w:r>
      <w:proofErr w:type="spellStart"/>
      <w:r>
        <w:rPr>
          <w:rtl/>
        </w:rPr>
        <w:t xml:space="preserve">בער־הירש</w:t>
      </w:r>
      <w:proofErr w:type="spellEnd"/>
      <w:r>
        <w:rPr>
          <w:rtl/>
        </w:rPr>
        <w:t xml:space="preserve"> את ר׳ יעקב לרגל נישואיו. אליה צורפה אגרת נפרדת </w:t>
      </w:r>
      <w:proofErr w:type="spellStart"/>
      <w:r>
        <w:rPr>
          <w:rtl/>
        </w:rPr>
        <w:t>לאברהם־מאיר</w:t>
      </w:r>
      <w:proofErr w:type="spellEnd"/>
      <w:r>
        <w:rPr>
          <w:rtl/>
        </w:rPr>
        <w:t xml:space="preserve">, והרב </w:t>
      </w:r>
      <w:proofErr w:type="spellStart"/>
      <w:r>
        <w:rPr>
          <w:rtl/>
        </w:rPr>
        <w:t xml:space="preserve">הלר</w:t>
      </w:r>
      <w:proofErr w:type="spellEnd"/>
      <w:r>
        <w:rPr>
          <w:rtl/>
        </w:rPr>
        <w:t xml:space="preserve"> כותב בהערה בשולי אגרתו </w:t>
      </w:r>
      <w:proofErr w:type="spellStart"/>
      <w:r>
        <w:rPr>
          <w:rtl/>
        </w:rPr>
        <w:t>לר</w:t>
      </w:r>
      <w:proofErr w:type="spellEnd"/>
      <w:r>
        <w:rPr>
          <w:rtl/>
        </w:rPr>
        <w:t xml:space="preserve">׳ יעקב: “אבקשך לטרוח ולהעביר את האגרת המצורפת לבני </w:t>
      </w:r>
      <w:proofErr w:type="spellStart"/>
      <w:r>
        <w:rPr>
          <w:rtl/>
        </w:rPr>
        <w:t>אברהם־מאיר</w:t>
      </w:r>
      <w:proofErr w:type="spellEnd"/>
      <w:r>
        <w:rPr>
          <w:rtl/>
        </w:rPr>
        <w:t>, נרו יאיר”.</w:t>
      </w:r>
    </w:p>
    <w:p w14:paraId="452FBEAD" w14:textId="77777777" w:rsidR="00AB3647" w:rsidRDefault="00000000" w:rsidP="007923E9">
      <w:pPr>
        <w:spacing w:after="120" w:line="276" w:lineRule="auto"/>
        <w:ind w:firstLine="283"/>
        <w:jc w:val="both"/>
      </w:pPr>
      <w:r>
        <w:rPr>
          <w:rtl/>
        </w:rPr>
        <w:t>יתרה מזו, לדברי אחי הגדול ר׳ בנימין</w:t>
      </w:r>
      <w:bookmarkStart w:id="3804" w:name="_fnr2868"/>
      <w:r>
        <w:rPr>
          <w:rStyle w:val="a5"/>
        </w:rPr>
        <w:footnoteReference w:id="2876" w:customMarkFollows="0"/>
      </w:r>
      <w:bookmarkEnd w:id="3804"/>
      <w:r>
        <w:rPr>
          <w:rtl/>
        </w:rPr>
        <w:t xml:space="preserve">, לא הייתה </w:t>
      </w:r>
      <w:proofErr w:type="spellStart"/>
      <w:r>
        <w:rPr>
          <w:rtl/>
        </w:rPr>
        <w:t>לר</w:t>
      </w:r>
      <w:proofErr w:type="spellEnd"/>
      <w:r>
        <w:rPr>
          <w:rtl/>
        </w:rPr>
        <w:t xml:space="preserve">׳ </w:t>
      </w:r>
      <w:proofErr w:type="spellStart"/>
      <w:r>
        <w:rPr>
          <w:rtl/>
        </w:rPr>
        <w:t xml:space="preserve">בער־הירש</w:t>
      </w:r>
      <w:proofErr w:type="spellEnd"/>
      <w:r>
        <w:rPr>
          <w:rtl/>
        </w:rPr>
        <w:t xml:space="preserve"> סיבה לנתק את הקשר עם בנו. אחי סיפר שכמה שנים לפני פטירתו בפועל חשש סבנו שימיו ספורים</w:t>
      </w:r>
      <w:bookmarkStart w:id="3805" w:name="_fnr2869"/>
      <w:r>
        <w:rPr>
          <w:rStyle w:val="a5"/>
        </w:rPr>
        <w:footnoteReference w:id="2877" w:customMarkFollows="0"/>
      </w:r>
      <w:bookmarkEnd w:id="3805"/>
      <w:r>
        <w:rPr>
          <w:rtl/>
        </w:rPr>
        <w:t xml:space="preserve">, והכין צוואה שבה הורה </w:t>
      </w:r>
      <w:proofErr w:type="spellStart"/>
      <w:r>
        <w:rPr>
          <w:rtl/>
        </w:rPr>
        <w:t>ש“ביום</w:t>
      </w:r>
      <w:proofErr w:type="spellEnd"/>
      <w:r>
        <w:rPr>
          <w:rtl/>
        </w:rPr>
        <w:t xml:space="preserve"> שבו [בנו] אינו לומד תורה, לא יאמר קדיש”. הוראה זו מלמדת ללא ספק שר׳ </w:t>
      </w:r>
      <w:proofErr w:type="spellStart"/>
      <w:r>
        <w:rPr>
          <w:rtl/>
        </w:rPr>
        <w:t xml:space="preserve">בער־הירש</w:t>
      </w:r>
      <w:proofErr w:type="spellEnd"/>
      <w:r>
        <w:rPr>
          <w:rtl/>
        </w:rPr>
        <w:t xml:space="preserve"> לא ידע שבנו עזב את הדת לחלוטין.</w:t>
      </w:r>
    </w:p>
    <w:p w14:paraId="53B2D29B" w14:textId="77777777" w:rsidR="00AB3647" w:rsidRDefault="00000000" w:rsidP="007923E9">
      <w:pPr>
        <w:spacing w:after="120" w:line="276" w:lineRule="auto"/>
        <w:ind w:firstLine="283"/>
        <w:jc w:val="both"/>
      </w:pPr>
      <w:r>
        <w:rPr>
          <w:rtl/>
        </w:rPr>
        <w:t xml:space="preserve">חתן נכדתו של רבנו, ר׳ יצחק </w:t>
      </w:r>
      <w:proofErr w:type="spellStart"/>
      <w:r>
        <w:rPr>
          <w:rtl/>
        </w:rPr>
        <w:t>קנובל</w:t>
      </w:r>
      <w:proofErr w:type="spellEnd"/>
      <w:r>
        <w:rPr>
          <w:rtl/>
        </w:rPr>
        <w:t>, אמר</w:t>
      </w:r>
      <w:bookmarkStart w:id="3806" w:name="_fnr2870"/>
      <w:r>
        <w:rPr>
          <w:rStyle w:val="a5"/>
        </w:rPr>
        <w:footnoteReference w:id="2878" w:customMarkFollows="0"/>
      </w:r>
      <w:bookmarkEnd w:id="3806"/>
      <w:r>
        <w:rPr>
          <w:rtl/>
        </w:rPr>
        <w:t xml:space="preserve"> שאבי סיפר שכאשר חשב ר׳ </w:t>
      </w:r>
      <w:proofErr w:type="spellStart"/>
      <w:r>
        <w:rPr>
          <w:rtl/>
        </w:rPr>
        <w:t xml:space="preserve">בער־הירש</w:t>
      </w:r>
      <w:proofErr w:type="spellEnd"/>
      <w:r>
        <w:rPr>
          <w:rtl/>
        </w:rPr>
        <w:t xml:space="preserve"> שהוא עומד למות, ביקש שיזמינו את תכריכיו מאדם עשיר שהיה ידוע כקמצן מופלג. הוא הסביר שאותו אדם, על אף קמצנותו, הוציא ביד רחבה על הוצאות שבת ויום טוב, ולכן ודאי הייתה לו אמונה שלמה בדברי חכמים</w:t>
      </w:r>
      <w:bookmarkStart w:id="3807" w:name="_fnr2871"/>
      <w:r>
        <w:rPr>
          <w:rStyle w:val="a5"/>
        </w:rPr>
        <w:footnoteReference w:id="2879" w:customMarkFollows="0"/>
      </w:r>
      <w:bookmarkEnd w:id="3807"/>
      <w:r>
        <w:rPr>
          <w:rtl/>
        </w:rPr>
        <w:t xml:space="preserve"> </w:t>
      </w:r>
      <w:proofErr w:type="spellStart"/>
      <w:r>
        <w:rPr>
          <w:rtl/>
        </w:rPr>
        <w:t>ש“כל</w:t>
      </w:r>
      <w:proofErr w:type="spellEnd"/>
      <w:r>
        <w:rPr>
          <w:rtl/>
        </w:rPr>
        <w:t xml:space="preserve"> מזונותיו של אדם </w:t>
      </w:r>
      <w:proofErr w:type="spellStart"/>
      <w:r>
        <w:rPr>
          <w:rtl/>
        </w:rPr>
        <w:t>קצובין</w:t>
      </w:r>
      <w:proofErr w:type="spellEnd"/>
      <w:r>
        <w:rPr>
          <w:rtl/>
        </w:rPr>
        <w:t xml:space="preserve"> לו וכו׳ חוץ מהוצאת שבתות ויו״ט” (משמים לכל השנה). הקמצן המאמין חשש שכל הוצאה נגרעת מן ההכנסה שנקצבה לו משמים, ולכן חסך בדרך כלל; אבל בשבתות פתח את ידו מתוך ביטחון מלא שרכושו לא יפחת בשל כך.</w:t>
      </w:r>
    </w:p>
    <w:p w14:paraId="0E466365" w14:textId="77777777" w:rsidR="00AB3647" w:rsidRDefault="00000000" w:rsidP="007923E9">
      <w:pPr>
        <w:spacing w:after="120" w:line="276" w:lineRule="auto"/>
        <w:ind w:firstLine="283"/>
        <w:jc w:val="both"/>
      </w:pPr>
      <w:r>
        <w:rPr>
          <w:rtl/>
        </w:rPr>
        <w:t xml:space="preserve">גם </w:t>
      </w:r>
      <w:proofErr w:type="spellStart"/>
      <w:r>
        <w:rPr>
          <w:rtl/>
        </w:rPr>
        <w:t>אמו</w:t>
      </w:r>
      <w:proofErr w:type="spellEnd"/>
      <w:r>
        <w:rPr>
          <w:rtl/>
        </w:rPr>
        <w:t xml:space="preserve"> של </w:t>
      </w:r>
      <w:proofErr w:type="spellStart"/>
      <w:r>
        <w:rPr>
          <w:rtl/>
        </w:rPr>
        <w:t>אברהם־מאיר</w:t>
      </w:r>
      <w:proofErr w:type="spellEnd"/>
      <w:r>
        <w:rPr>
          <w:rtl/>
        </w:rPr>
        <w:t xml:space="preserve"> כנראה לא ידעה שעזב את היהדות, </w:t>
      </w:r>
      <w:proofErr w:type="spellStart"/>
      <w:r>
        <w:rPr>
          <w:rtl/>
        </w:rPr>
        <w:t>ו“מסילת</w:t>
      </w:r>
      <w:proofErr w:type="spellEnd"/>
      <w:r>
        <w:rPr>
          <w:rtl/>
        </w:rPr>
        <w:t xml:space="preserve"> ישרים” ניתן לו לא מתוך תקווה מופרזת שהספר הטוב ישיב אותו, אלא רק כדי לחזק בבן – שסברו בטעות שהוא שומר מצוות – את עניינו במוסר.</w:t>
      </w:r>
    </w:p>
    <w:p w14:paraId="3D5FE06D" w14:textId="77777777" w:rsidR="00AB3647" w:rsidRDefault="00000000" w:rsidP="007923E9">
      <w:pPr>
        <w:spacing w:after="120" w:line="276" w:lineRule="auto"/>
        <w:ind w:firstLine="283"/>
        <w:jc w:val="both"/>
      </w:pPr>
      <w:r>
        <w:rPr>
          <w:rtl/>
        </w:rPr>
        <w:t xml:space="preserve">יוג׳ין </w:t>
      </w:r>
      <w:proofErr w:type="spellStart"/>
      <w:r>
        <w:rPr>
          <w:rtl/>
        </w:rPr>
        <w:t>העלר</w:t>
      </w:r>
      <w:proofErr w:type="spellEnd"/>
      <w:r>
        <w:rPr>
          <w:rtl/>
        </w:rPr>
        <w:t xml:space="preserve"> נולד </w:t>
      </w:r>
      <w:proofErr w:type="spellStart"/>
      <w:r>
        <w:rPr>
          <w:rtl/>
        </w:rPr>
        <w:t>בתרפ״ב</w:t>
      </w:r>
      <w:proofErr w:type="spellEnd"/>
      <w:r>
        <w:rPr>
          <w:rtl/>
        </w:rPr>
        <w:t xml:space="preserve">, ונקרא </w:t>
      </w:r>
      <w:proofErr w:type="spellStart"/>
      <w:r>
        <w:rPr>
          <w:rtl/>
        </w:rPr>
        <w:t>אליעזר־יצחק</w:t>
      </w:r>
      <w:proofErr w:type="spellEnd"/>
      <w:r>
        <w:rPr>
          <w:rtl/>
        </w:rPr>
        <w:t xml:space="preserve"> על שם סבו של </w:t>
      </w:r>
      <w:proofErr w:type="spellStart"/>
      <w:r>
        <w:rPr>
          <w:rtl/>
        </w:rPr>
        <w:t>אברהם־מאיר</w:t>
      </w:r>
      <w:proofErr w:type="spellEnd"/>
      <w:r>
        <w:rPr>
          <w:rtl/>
        </w:rPr>
        <w:t xml:space="preserve"> מצד </w:t>
      </w:r>
      <w:proofErr w:type="spellStart"/>
      <w:r>
        <w:rPr>
          <w:rtl/>
        </w:rPr>
        <w:t>אמו</w:t>
      </w:r>
      <w:proofErr w:type="spellEnd"/>
      <w:r>
        <w:rPr>
          <w:rtl/>
        </w:rPr>
        <w:t>. הוא זוכר שאביו קיבל מהוריו שתי כיפות עבור שני בניו. עוד סיפר יוג׳ין שאביו אמר לו שכתב להוריו רק לעיתים ולא התכתב עמם בקביעות, כדי שלא יצטרך להשיב על שאלותיהם בדבר שמירת המצוות שלו – למשל אם הוא מקפיד להניח תפילין מדי יום ואם הוא שומר שבת כהלכתה. ברור אם כן שלהוריו לא היה מושג עד כמה התרחק, והוא לא רצה להונות אותם.</w:t>
      </w:r>
    </w:p>
    <w:p w14:paraId="22317B0F" w14:textId="77777777" w:rsidR="00AB3647" w:rsidRDefault="00000000" w:rsidP="007923E9">
      <w:pPr>
        <w:spacing w:after="120" w:line="276" w:lineRule="auto"/>
        <w:ind w:firstLine="283"/>
        <w:jc w:val="both"/>
      </w:pPr>
      <w:r>
        <w:rPr>
          <w:rtl/>
        </w:rPr>
        <w:lastRenderedPageBreak/>
        <w:t xml:space="preserve">צוואתו של ר׳ </w:t>
      </w:r>
      <w:proofErr w:type="spellStart"/>
      <w:r>
        <w:rPr>
          <w:rtl/>
        </w:rPr>
        <w:t xml:space="preserve">בער־הירש</w:t>
      </w:r>
      <w:proofErr w:type="spellEnd"/>
      <w:r>
        <w:rPr>
          <w:rtl/>
        </w:rPr>
        <w:t xml:space="preserve"> בעניין הקדיש קובעת את השקפתו שתפילה בלי לימוד תורה היא חסרת ערך. השווה גם “הראשון לשושלת </w:t>
      </w:r>
      <w:proofErr w:type="spellStart"/>
      <w:r>
        <w:rPr>
          <w:rtl/>
        </w:rPr>
        <w:t>בריסק</w:t>
      </w:r>
      <w:proofErr w:type="spellEnd"/>
      <w:r>
        <w:rPr>
          <w:rtl/>
        </w:rPr>
        <w:t>”</w:t>
      </w:r>
      <w:bookmarkStart w:id="3808" w:name="_fnr2872"/>
      <w:r>
        <w:rPr>
          <w:rStyle w:val="a5"/>
        </w:rPr>
        <w:footnoteReference w:id="2880" w:customMarkFollows="0"/>
      </w:r>
      <w:bookmarkEnd w:id="3808"/>
      <w:r>
        <w:rPr>
          <w:rtl/>
        </w:rPr>
        <w:t xml:space="preserve">, שלפיו הורה ר׳ יוסף־דב </w:t>
      </w:r>
      <w:proofErr w:type="spellStart"/>
      <w:r>
        <w:rPr>
          <w:rtl/>
        </w:rPr>
        <w:t>סולובייצ׳יק</w:t>
      </w:r>
      <w:proofErr w:type="spellEnd"/>
      <w:r>
        <w:rPr>
          <w:rtl/>
        </w:rPr>
        <w:t xml:space="preserve"> לבנו ר׳ חיים שלא יאמר קדיש ביום שבו לא למד משניות לעילוי נשמת אביו. לעומת זאת, הוראתו של הרב </w:t>
      </w:r>
      <w:proofErr w:type="spellStart"/>
      <w:r>
        <w:rPr>
          <w:rtl/>
        </w:rPr>
        <w:t xml:space="preserve">הלר</w:t>
      </w:r>
      <w:proofErr w:type="spellEnd"/>
      <w:r>
        <w:rPr>
          <w:rtl/>
        </w:rPr>
        <w:t>, אם נמסרה במדויק, התייחסה ללימוד תורה בכלל.</w:t>
      </w:r>
    </w:p>
    <w:p w14:paraId="5F4AB089" w14:textId="77777777" w:rsidR="00AB3647" w:rsidRDefault="00000000" w:rsidP="007923E9">
      <w:pPr>
        <w:spacing w:after="120" w:line="276" w:lineRule="auto"/>
        <w:ind w:firstLine="283"/>
        <w:jc w:val="both"/>
      </w:pPr>
      <w:r>
        <w:rPr>
          <w:rtl/>
        </w:rPr>
        <w:t xml:space="preserve">בדומה לכך, בעיני ר׳ </w:t>
      </w:r>
      <w:proofErr w:type="spellStart"/>
      <w:r>
        <w:rPr>
          <w:rtl/>
        </w:rPr>
        <w:t xml:space="preserve">בער־הירש</w:t>
      </w:r>
      <w:proofErr w:type="spellEnd"/>
      <w:r>
        <w:rPr>
          <w:rtl/>
        </w:rPr>
        <w:t xml:space="preserve"> תורה בלי התנהגות מוסרית ראויה לא הייתה מתקבלת על הדעת. כך עולה ממעשה שסיפר עליו אבי וחזר עליו ר׳ ישראל </w:t>
      </w:r>
      <w:proofErr w:type="spellStart"/>
      <w:r>
        <w:rPr>
          <w:rtl/>
        </w:rPr>
        <w:t>שורין</w:t>
      </w:r>
      <w:bookmarkStart w:id="3809" w:name="_fnr2873"/>
      <w:proofErr w:type="spellEnd"/>
      <w:r>
        <w:rPr>
          <w:rStyle w:val="a5"/>
        </w:rPr>
        <w:footnoteReference w:id="2881" w:customMarkFollows="0"/>
      </w:r>
      <w:bookmarkEnd w:id="3809"/>
      <w:r>
        <w:rPr>
          <w:rtl/>
        </w:rPr>
        <w:t xml:space="preserve">. בשנות </w:t>
      </w:r>
      <w:proofErr w:type="spellStart"/>
      <w:r>
        <w:rPr>
          <w:rtl/>
        </w:rPr>
        <w:t>הת״ר־פ</w:t>
      </w:r>
      <w:proofErr w:type="spellEnd"/>
      <w:r>
        <w:rPr>
          <w:rtl/>
        </w:rPr>
        <w:t xml:space="preserve">׳ בחן הרב </w:t>
      </w:r>
      <w:proofErr w:type="spellStart"/>
      <w:r>
        <w:rPr>
          <w:rtl/>
        </w:rPr>
        <w:t xml:space="preserve">הלר</w:t>
      </w:r>
      <w:proofErr w:type="spellEnd"/>
      <w:r>
        <w:rPr>
          <w:rtl/>
        </w:rPr>
        <w:t xml:space="preserve"> אדם שביקש להתקבל לישיבה. כשהבחין שהתנהגותו של המועמד אינה ראויה, אמר ר׳ </w:t>
      </w:r>
      <w:proofErr w:type="spellStart"/>
      <w:r>
        <w:rPr>
          <w:rtl/>
        </w:rPr>
        <w:t xml:space="preserve">בער־הירש</w:t>
      </w:r>
      <w:proofErr w:type="spellEnd"/>
      <w:r>
        <w:rPr>
          <w:rtl/>
        </w:rPr>
        <w:t xml:space="preserve"> למנהל – ככל הנראה חתנו ר׳ אברהם </w:t>
      </w:r>
      <w:proofErr w:type="spellStart"/>
      <w:r>
        <w:rPr>
          <w:rtl/>
        </w:rPr>
        <w:t>גרודזינסקי</w:t>
      </w:r>
      <w:proofErr w:type="spellEnd"/>
      <w:r>
        <w:rPr>
          <w:rtl/>
        </w:rPr>
        <w:t xml:space="preserve"> – </w:t>
      </w:r>
      <w:proofErr w:type="spellStart"/>
      <w:r>
        <w:rPr>
          <w:rtl/>
        </w:rPr>
        <w:t>ש“אסור</w:t>
      </w:r>
      <w:proofErr w:type="spellEnd"/>
      <w:r>
        <w:rPr>
          <w:rtl/>
        </w:rPr>
        <w:t xml:space="preserve">” לקבל את התלמיד. כשנשאל מדוע, השיב הרב </w:t>
      </w:r>
      <w:proofErr w:type="spellStart"/>
      <w:r>
        <w:rPr>
          <w:rtl/>
        </w:rPr>
        <w:t xml:space="preserve">הלר</w:t>
      </w:r>
      <w:proofErr w:type="spellEnd"/>
      <w:r>
        <w:rPr>
          <w:rtl/>
        </w:rPr>
        <w:t>: “מפני שאינו יודע ללמוד”. “אבל הוא כן יודע ללמוד”, טען האחר. “</w:t>
      </w:r>
      <w:r>
        <w:rPr>
          <w:b/>
          <w:bCs/>
          <w:rtl/>
        </w:rPr>
        <w:t>לא ייתכן</w:t>
      </w:r>
      <w:r>
        <w:rPr>
          <w:rtl/>
        </w:rPr>
        <w:t xml:space="preserve"> שהוא יודע ללמוד!” השיב ר׳ </w:t>
      </w:r>
      <w:proofErr w:type="spellStart"/>
      <w:r>
        <w:rPr>
          <w:rtl/>
        </w:rPr>
        <w:t xml:space="preserve">בער־הירש</w:t>
      </w:r>
      <w:proofErr w:type="spellEnd"/>
      <w:r>
        <w:rPr>
          <w:rtl/>
        </w:rPr>
        <w:t>.</w:t>
      </w:r>
    </w:p>
    <w:p w14:paraId="4F63598D" w14:textId="77777777" w:rsidR="00AB3647" w:rsidRDefault="00000000" w:rsidP="007923E9">
      <w:pPr>
        <w:spacing w:after="120" w:line="276" w:lineRule="auto"/>
        <w:ind w:firstLine="283"/>
        <w:jc w:val="both"/>
      </w:pPr>
      <w:r>
        <w:rPr>
          <w:rtl/>
        </w:rPr>
        <w:t xml:space="preserve">ועם זאת, אף שהמוסר תפס מקום עליון בסולם ערכיו, מסירותו ללימוד התורה עמדה בראש. זאת ממחיש תיאור של האופן שבו היה דופק על הבימה בישיבת </w:t>
      </w:r>
      <w:proofErr w:type="spellStart"/>
      <w:r>
        <w:rPr>
          <w:rtl/>
        </w:rPr>
        <w:t>סלבודקה</w:t>
      </w:r>
      <w:proofErr w:type="spellEnd"/>
      <w:r>
        <w:rPr>
          <w:rtl/>
        </w:rPr>
        <w:t xml:space="preserve"> כדי להודיע שסדר המוסר שלפני ערבית עומד להתחיל, אף שמידת מהימנותו של התיאור אינה ברורה. הוא היה מתחיל להוריד את זרועו לעבר הבימה, ולפתע עוצר את ידו. לא היה לו לב להפסיק את התלמידים מלימוד התורה. כמה ניסיונות מהוססים כאלה נדרשו </w:t>
      </w:r>
      <w:proofErr w:type="spellStart"/>
      <w:r>
        <w:rPr>
          <w:rtl/>
        </w:rPr>
        <w:t>לר</w:t>
      </w:r>
      <w:proofErr w:type="spellEnd"/>
      <w:r>
        <w:rPr>
          <w:rtl/>
        </w:rPr>
        <w:t xml:space="preserve">׳ </w:t>
      </w:r>
      <w:proofErr w:type="spellStart"/>
      <w:r>
        <w:rPr>
          <w:rtl/>
        </w:rPr>
        <w:t xml:space="preserve">בער־הירש</w:t>
      </w:r>
      <w:proofErr w:type="spellEnd"/>
      <w:r>
        <w:rPr>
          <w:rtl/>
        </w:rPr>
        <w:t xml:space="preserve"> עד שהצליח לגייס את הנחישות הדרושה ולמלא את חובתו כמשגיח. לבסוף התגבר על היסוסו, ידו ירדה על הבימה, והאות לפתיחת ספרי המוסר הדהד בכל בית המדרש</w:t>
      </w:r>
      <w:bookmarkStart w:id="3810" w:name="_fnr2874"/>
      <w:r>
        <w:rPr>
          <w:rStyle w:val="a5"/>
        </w:rPr>
        <w:footnoteReference w:id="2882" w:customMarkFollows="0"/>
      </w:r>
      <w:bookmarkEnd w:id="3810"/>
      <w:r>
        <w:rPr>
          <w:rtl/>
        </w:rPr>
        <w:t>.</w:t>
      </w:r>
    </w:p>
    <w:p w14:paraId="316F51A3" w14:textId="77777777" w:rsidR="00AB3647" w:rsidRDefault="00000000" w:rsidP="007923E9">
      <w:pPr>
        <w:spacing w:after="120" w:line="276" w:lineRule="auto"/>
        <w:ind w:firstLine="283"/>
        <w:jc w:val="both"/>
      </w:pPr>
      <w:r>
        <w:rPr>
          <w:rtl/>
        </w:rPr>
        <w:t xml:space="preserve">ייתכן שהיסוסו של ר׳ </w:t>
      </w:r>
      <w:proofErr w:type="spellStart"/>
      <w:r>
        <w:rPr>
          <w:rtl/>
        </w:rPr>
        <w:t xml:space="preserve">בער־הירש</w:t>
      </w:r>
      <w:proofErr w:type="spellEnd"/>
      <w:r>
        <w:rPr>
          <w:rtl/>
        </w:rPr>
        <w:t xml:space="preserve"> כשהתנגשו לימוד ההלכה ולימוד המוסר נבע מחינוכו המוקדם בישיבת </w:t>
      </w:r>
      <w:proofErr w:type="spellStart"/>
      <w:r>
        <w:rPr>
          <w:rtl/>
        </w:rPr>
        <w:t>וולוז׳ין</w:t>
      </w:r>
      <w:proofErr w:type="spellEnd"/>
      <w:r>
        <w:rPr>
          <w:rtl/>
        </w:rPr>
        <w:t>, שהתנגדה למוסר</w:t>
      </w:r>
      <w:bookmarkStart w:id="3811" w:name="_fnr2875"/>
      <w:r>
        <w:rPr>
          <w:rStyle w:val="a5"/>
        </w:rPr>
        <w:footnoteReference w:id="2883" w:customMarkFollows="0"/>
      </w:r>
      <w:bookmarkEnd w:id="3811"/>
      <w:r>
        <w:rPr>
          <w:rtl/>
        </w:rPr>
        <w:t xml:space="preserve">. אילו הוטל על הסבא </w:t>
      </w:r>
      <w:proofErr w:type="spellStart"/>
      <w:r>
        <w:rPr>
          <w:rtl/>
        </w:rPr>
        <w:t>מסלבודקה</w:t>
      </w:r>
      <w:proofErr w:type="spellEnd"/>
      <w:r>
        <w:rPr>
          <w:rtl/>
        </w:rPr>
        <w:t xml:space="preserve"> עצמו להכריז על הפסקת סדר הלימוד הרגיל לטובת המוסר, סביר שהיה עושה זאת בהתלהבות בלתי מרוסנת</w:t>
      </w:r>
      <w:bookmarkStart w:id="3812" w:name="_fnr2876"/>
      <w:r>
        <w:rPr>
          <w:rStyle w:val="a5"/>
        </w:rPr>
        <w:footnoteReference w:id="2884" w:customMarkFollows="0"/>
      </w:r>
      <w:bookmarkEnd w:id="3812"/>
      <w:r>
        <w:rPr>
          <w:rtl/>
        </w:rPr>
        <w:t>.</w:t>
      </w:r>
    </w:p>
    <w:p w14:paraId="169BA4C5" w14:textId="77777777" w:rsidR="00AB3647" w:rsidRDefault="00000000" w:rsidP="007923E9">
      <w:pPr>
        <w:spacing w:after="120" w:line="276" w:lineRule="auto"/>
        <w:ind w:firstLine="283"/>
        <w:jc w:val="both"/>
      </w:pPr>
      <w:r>
        <w:rPr>
          <w:rtl/>
        </w:rPr>
        <w:t xml:space="preserve">באגרתו הנזכרת לעיל גילה ד״ר </w:t>
      </w:r>
      <w:proofErr w:type="spellStart"/>
      <w:r>
        <w:rPr>
          <w:rtl/>
        </w:rPr>
        <w:t>העלר</w:t>
      </w:r>
      <w:proofErr w:type="spellEnd"/>
      <w:r>
        <w:rPr>
          <w:rtl/>
        </w:rPr>
        <w:t xml:space="preserve"> גם את הדברים הבאים: “אבי סיפר לי </w:t>
      </w:r>
      <w:proofErr w:type="spellStart"/>
      <w:r>
        <w:rPr>
          <w:rtl/>
        </w:rPr>
        <w:t>שאמו</w:t>
      </w:r>
      <w:proofErr w:type="spellEnd"/>
      <w:r>
        <w:rPr>
          <w:rtl/>
        </w:rPr>
        <w:t xml:space="preserve"> קיבלה פעם ירושה קטנה, ולמרות המחסור החמור בבית תרם אביו את כולה לישיבה”. מאמר השבח של מ׳ </w:t>
      </w:r>
      <w:proofErr w:type="spellStart"/>
      <w:r>
        <w:rPr>
          <w:rtl/>
        </w:rPr>
        <w:t>גרץ</w:t>
      </w:r>
      <w:proofErr w:type="spellEnd"/>
      <w:r>
        <w:rPr>
          <w:rtl/>
        </w:rPr>
        <w:t xml:space="preserve"> </w:t>
      </w:r>
      <w:proofErr w:type="spellStart"/>
      <w:r>
        <w:rPr>
          <w:rtl/>
        </w:rPr>
        <w:t>ב“ג׳ואיש</w:t>
      </w:r>
      <w:proofErr w:type="spellEnd"/>
      <w:r>
        <w:rPr>
          <w:rtl/>
        </w:rPr>
        <w:t xml:space="preserve"> </w:t>
      </w:r>
      <w:proofErr w:type="spellStart"/>
      <w:r>
        <w:rPr>
          <w:rtl/>
        </w:rPr>
        <w:t>מורנינג</w:t>
      </w:r>
      <w:proofErr w:type="spellEnd"/>
      <w:r>
        <w:rPr>
          <w:rtl/>
        </w:rPr>
        <w:t xml:space="preserve"> </w:t>
      </w:r>
      <w:proofErr w:type="spellStart"/>
      <w:r>
        <w:rPr>
          <w:rtl/>
        </w:rPr>
        <w:t>ג׳ורנל</w:t>
      </w:r>
      <w:proofErr w:type="spellEnd"/>
      <w:r>
        <w:rPr>
          <w:rtl/>
        </w:rPr>
        <w:t xml:space="preserve">” מספר גם סיפור מעניין, העולה בקנה אחד עם רוח הגילוי של ד״ר </w:t>
      </w:r>
      <w:proofErr w:type="spellStart"/>
      <w:r>
        <w:rPr>
          <w:rtl/>
        </w:rPr>
        <w:t>העלר</w:t>
      </w:r>
      <w:proofErr w:type="spellEnd"/>
      <w:r>
        <w:rPr>
          <w:rtl/>
        </w:rPr>
        <w:t xml:space="preserve">: “ב־1905 ניסו המשכילים למשוך אליהם תלמיד מבריק מאוד מן הישיבה, העשקה </w:t>
      </w:r>
      <w:proofErr w:type="spellStart"/>
      <w:r>
        <w:rPr>
          <w:rtl/>
        </w:rPr>
        <w:t>סומיאטיצ׳ר</w:t>
      </w:r>
      <w:proofErr w:type="spellEnd"/>
      <w:r>
        <w:rPr>
          <w:rtl/>
        </w:rPr>
        <w:t xml:space="preserve">. ר׳ </w:t>
      </w:r>
      <w:proofErr w:type="spellStart"/>
      <w:r>
        <w:rPr>
          <w:rtl/>
        </w:rPr>
        <w:t xml:space="preserve">בער־הירש</w:t>
      </w:r>
      <w:proofErr w:type="spellEnd"/>
      <w:r>
        <w:rPr>
          <w:rtl/>
        </w:rPr>
        <w:t xml:space="preserve"> החליט להילחם בהם בכליהם החומרניים שלהם. הוא מסר לבחור את כרו האחרון, ובפרוטותיו האחרונות קנה לו מאכלים יקרים”.</w:t>
      </w:r>
    </w:p>
    <w:p w14:paraId="6C0CE923" w14:textId="77777777" w:rsidR="00AB3647" w:rsidRDefault="00000000" w:rsidP="007923E9">
      <w:pPr>
        <w:spacing w:after="120" w:line="276" w:lineRule="auto"/>
        <w:ind w:firstLine="283"/>
        <w:jc w:val="both"/>
      </w:pPr>
      <w:r>
        <w:rPr>
          <w:rtl/>
        </w:rPr>
        <w:t xml:space="preserve">ברוח זו הוסיף ר׳ </w:t>
      </w:r>
      <w:proofErr w:type="spellStart"/>
      <w:r>
        <w:rPr>
          <w:rtl/>
        </w:rPr>
        <w:t xml:space="preserve">בער־הירש</w:t>
      </w:r>
      <w:proofErr w:type="spellEnd"/>
      <w:r>
        <w:rPr>
          <w:rtl/>
        </w:rPr>
        <w:t xml:space="preserve"> בסוף האגרת שכתב לבן בן דודו ר׳ יעקב שוחט לאחר נישואיו: “אבקשך גם להודיעני כמה נדוניה לקחת [כך במקור] ומה תעשה כעת. דרך אגב </w:t>
      </w:r>
      <w:r>
        <w:rPr>
          <w:rtl/>
        </w:rPr>
        <w:lastRenderedPageBreak/>
        <w:t>אזכיר [לך] – אולי תרצה להפריש מעשר מן הנדוניה, כי זו סגולה לקיום ממונך ולהצלחתך. אם תסכים, אבקשך להודיעני”</w:t>
      </w:r>
      <w:bookmarkStart w:id="3813" w:name="_fnr2877"/>
      <w:r>
        <w:rPr>
          <w:rStyle w:val="a5"/>
        </w:rPr>
        <w:footnoteReference w:id="2885" w:customMarkFollows="0"/>
      </w:r>
      <w:bookmarkEnd w:id="3813"/>
      <w:r>
        <w:rPr>
          <w:rtl/>
        </w:rPr>
        <w:t xml:space="preserve"> – כלשון [חכמינו]</w:t>
      </w:r>
      <w:bookmarkStart w:id="3814" w:name="_fnr2878"/>
      <w:r>
        <w:rPr>
          <w:rStyle w:val="a5"/>
        </w:rPr>
        <w:footnoteReference w:id="2886" w:customMarkFollows="0"/>
      </w:r>
      <w:bookmarkEnd w:id="3814"/>
      <w:r>
        <w:rPr>
          <w:rtl/>
        </w:rPr>
        <w:t>: “מלח כסף חסר; ואמרי לה חסד”</w:t>
      </w:r>
      <w:bookmarkStart w:id="3815" w:name="_fnr2879"/>
      <w:r>
        <w:rPr>
          <w:rStyle w:val="a5"/>
        </w:rPr>
        <w:footnoteReference w:id="2887" w:customMarkFollows="0"/>
      </w:r>
      <w:bookmarkEnd w:id="3815"/>
      <w:r>
        <w:rPr>
          <w:rtl/>
        </w:rPr>
        <w:t>.</w:t>
      </w:r>
    </w:p>
    <w:p w14:paraId="4658E02C" w14:textId="77777777" w:rsidR="00AB3647" w:rsidRDefault="00000000" w:rsidP="007923E9">
      <w:pPr>
        <w:pStyle w:val="4"/>
        <w:spacing w:line="276" w:lineRule="auto"/>
      </w:pPr>
      <w:r>
        <w:t>· הפסקה הרביעית ·</w:t>
      </w:r>
    </w:p>
    <w:p w14:paraId="5A9CC695" w14:textId="77777777" w:rsidR="00AB3647" w:rsidRDefault="00000000" w:rsidP="007923E9">
      <w:pPr>
        <w:pStyle w:val="5"/>
        <w:spacing w:line="276" w:lineRule="auto"/>
      </w:pPr>
      <w:r>
        <w:t>ר׳ אהרן קוטלר אוכל על שולחנו של הסבא</w:t>
      </w:r>
    </w:p>
    <w:p w14:paraId="4B7B30B9" w14:textId="77777777" w:rsidR="00AB3647" w:rsidRDefault="00000000" w:rsidP="007923E9">
      <w:pPr>
        <w:spacing w:after="120" w:line="276" w:lineRule="auto"/>
        <w:ind w:firstLine="283"/>
        <w:jc w:val="both"/>
      </w:pPr>
      <w:r>
        <w:rPr>
          <w:rtl/>
        </w:rPr>
        <w:t xml:space="preserve">חברו של רבנו ממינסק, אהרן </w:t>
      </w:r>
      <w:proofErr w:type="spellStart"/>
      <w:r>
        <w:rPr>
          <w:rtl/>
        </w:rPr>
        <w:t>סיסלוביצ׳ר</w:t>
      </w:r>
      <w:proofErr w:type="spellEnd"/>
      <w:r>
        <w:rPr>
          <w:rtl/>
        </w:rPr>
        <w:t xml:space="preserve"> (קוטלר), שובץ לשולחן שבת מובחר עוד יותר. על פי ריאיון שערך ר׳ דב כץ עם ר׳ אהרן</w:t>
      </w:r>
      <w:bookmarkStart w:id="3816" w:name="_fnr2880"/>
      <w:r>
        <w:rPr>
          <w:rStyle w:val="a5"/>
        </w:rPr>
        <w:footnoteReference w:id="2888" w:customMarkFollows="0"/>
      </w:r>
      <w:bookmarkEnd w:id="3816"/>
      <w:r>
        <w:rPr>
          <w:rtl/>
        </w:rPr>
        <w:t xml:space="preserve">, הוא “אכל שנים רבות על שולחן הסבא בשבתות ובחגים”. רבנו היה מוגן מהשפעת ההשכלה לאחר שהגיע </w:t>
      </w:r>
      <w:proofErr w:type="spellStart"/>
      <w:r>
        <w:rPr>
          <w:rtl/>
        </w:rPr>
        <w:t>לסלבודקה</w:t>
      </w:r>
      <w:proofErr w:type="spellEnd"/>
      <w:r>
        <w:rPr>
          <w:rtl/>
        </w:rPr>
        <w:t>, אבל ר׳ אהרן עדיין היה בסכנה</w:t>
      </w:r>
      <w:bookmarkStart w:id="3817" w:name="_fnr2881"/>
      <w:r>
        <w:rPr>
          <w:rStyle w:val="a5"/>
        </w:rPr>
        <w:footnoteReference w:id="2889" w:customMarkFollows="0"/>
      </w:r>
      <w:bookmarkEnd w:id="3817"/>
      <w:r>
        <w:rPr>
          <w:rtl/>
        </w:rPr>
        <w:t>, ואפשר שהסבא רצה לפקוח עליו עין ביתר שאת.</w:t>
      </w:r>
    </w:p>
    <w:bookmarkStart w:id="3818" w:name="b3_excCC"/>
    <w:p w14:paraId="500906F1" w14:textId="77777777" w:rsidR="00AB3647" w:rsidRDefault="00000000" w:rsidP="007923E9">
      <w:pPr>
        <w:pStyle w:val="3"/>
        <w:spacing w:line="276" w:lineRule="auto"/>
      </w:pPr>
      <w:r>
        <w:lastRenderedPageBreak/>
        <w:fldChar w:fldCharType="begin" w:dirty="true"/>
      </w:r>
      <w:r>
        <w:rPr>
          <w:rtl w:val="0"/>
        </w:rPr>
        <w:instrText>HYPERLINK \l "b3_note122</w:instrText>
      </w:r>
      <w:r>
        <w:instrText>"</w:instrText>
      </w:r>
      <w:r>
        <w:fldChar w:fldCharType="separate"/>
      </w:r>
      <w:r>
        <w:t xml:space="preserve">נספח </w:t>
      </w:r>
      <w:proofErr w:type="spellStart"/>
      <w:r>
        <w:t>כט</w:t>
      </w:r>
      <w:proofErr w:type="spellEnd"/>
      <w:r>
        <w:fldChar w:fldCharType="end"/>
      </w:r>
      <w:bookmarkEnd w:id="3818"/>
    </w:p>
    <w:p w14:paraId="055C2E4F" w14:textId="77777777" w:rsidR="00AB3647" w:rsidRDefault="00000000" w:rsidP="007923E9">
      <w:pPr>
        <w:pStyle w:val="af"/>
        <w:spacing w:line="276" w:lineRule="auto"/>
      </w:pPr>
      <w:r>
        <w:t xml:space="preserve">על צדקותו של ר׳ </w:t>
      </w:r>
      <w:proofErr w:type="spellStart"/>
      <w:r>
        <w:t>משה־מרדכי</w:t>
      </w:r>
      <w:proofErr w:type="spellEnd"/>
      <w:r>
        <w:t xml:space="preserve"> ועל </w:t>
      </w:r>
      <w:proofErr w:type="spellStart"/>
      <w:r>
        <w:t>אי־השתתפות</w:t>
      </w:r>
      <w:proofErr w:type="spellEnd"/>
      <w:r>
        <w:t xml:space="preserve"> בשיעורים </w:t>
      </w:r>
      <w:proofErr w:type="spellStart"/>
      <w:r>
        <w:t>בוולוז׳ין</w:t>
      </w:r>
      <w:proofErr w:type="spellEnd"/>
    </w:p>
    <w:p w14:paraId="3C694F9C" w14:textId="77777777" w:rsidR="00AB3647" w:rsidRDefault="00000000" w:rsidP="007923E9">
      <w:pPr>
        <w:pStyle w:val="4"/>
        <w:spacing w:line="276" w:lineRule="auto"/>
      </w:pPr>
      <w:r>
        <w:t>· הפסקה הראשונה ·</w:t>
      </w:r>
    </w:p>
    <w:p w14:paraId="2F1FF561" w14:textId="77777777" w:rsidR="00AB3647" w:rsidRDefault="00000000" w:rsidP="007923E9">
      <w:pPr>
        <w:pStyle w:val="5"/>
        <w:spacing w:line="276" w:lineRule="auto"/>
      </w:pPr>
      <w:r>
        <w:t xml:space="preserve">ר׳ </w:t>
      </w:r>
      <w:proofErr w:type="spellStart"/>
      <w:r>
        <w:t>משה־מרדכי</w:t>
      </w:r>
      <w:proofErr w:type="spellEnd"/>
      <w:r>
        <w:t xml:space="preserve"> אפשטיין מותיר לאחרים את הוצאת הכסף שהוא מגייס – הוא מקבל תרומות קטנות אך “כשרות” – הוא נחשב צדיק מופלג</w:t>
      </w:r>
    </w:p>
    <w:p w14:paraId="78155EAE" w14:textId="1319CF84" w:rsidR="00AB3647" w:rsidRDefault="00000000" w:rsidP="007923E9">
      <w:pPr>
        <w:spacing w:after="120" w:line="276" w:lineRule="auto"/>
        <w:ind w:firstLine="283"/>
        <w:jc w:val="both"/>
      </w:pPr>
      <w:r>
        <w:rPr>
          <w:rtl/>
        </w:rPr>
        <w:t xml:space="preserve">השווה הערה </w:t>
      </w:r>
      <w:r>
        <w:rPr>
          <w:rtl/>
        </w:rPr>
        <w:fldChar w:fldCharType="begin" w:dirty="true"/>
      </w:r>
      <w:r>
        <w:rPr>
          <w:rtl/>
        </w:rPr>
        <w:instrText xml:space="preserve"> REF b3_note133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133</w:t>
      </w:r>
      <w:r>
        <w:rPr>
          <w:rtl/>
        </w:rPr>
        <w:fldChar w:fldCharType="end"/>
      </w:r>
      <w:r>
        <w:rPr>
          <w:rtl/>
        </w:rPr>
        <w:t xml:space="preserve"> לעיל. השווה גם “לפרקים”</w:t>
      </w:r>
      <w:bookmarkStart w:id="3819" w:name="_fnr2882"/>
      <w:r>
        <w:rPr>
          <w:rStyle w:val="a5"/>
        </w:rPr>
        <w:footnoteReference w:id="2890" w:customMarkFollows="0"/>
      </w:r>
      <w:bookmarkEnd w:id="3819"/>
      <w:r>
        <w:rPr>
          <w:rtl/>
        </w:rPr>
        <w:t xml:space="preserve">, שבו ר׳ </w:t>
      </w:r>
      <w:proofErr w:type="spellStart"/>
      <w:r>
        <w:rPr>
          <w:rtl/>
        </w:rPr>
        <w:t>יחיאל־יעקב</w:t>
      </w:r>
      <w:proofErr w:type="spellEnd"/>
      <w:r>
        <w:rPr>
          <w:rtl/>
        </w:rPr>
        <w:t xml:space="preserve"> ויינברג מבכה את כישלונו ואת כישלון חבריו “לספוג את כל השפע שביקש ר׳ </w:t>
      </w:r>
      <w:proofErr w:type="spellStart"/>
      <w:r>
        <w:rPr>
          <w:rtl/>
        </w:rPr>
        <w:t>משה־מרדכי</w:t>
      </w:r>
      <w:proofErr w:type="spellEnd"/>
      <w:r>
        <w:rPr>
          <w:rtl/>
        </w:rPr>
        <w:t xml:space="preserve"> להניק [להם]”, ומסביר: “כשישבנו על ספסלי הישיבה, הילדותיות גרמה לנו שלא להטות אוזן לכל הגה שיצא מפיו הקדוש”.</w:t>
      </w:r>
    </w:p>
    <w:p w14:paraId="66DE2E3F" w14:textId="77777777" w:rsidR="00AB3647" w:rsidRDefault="00000000" w:rsidP="007923E9">
      <w:pPr>
        <w:spacing w:after="120" w:line="276" w:lineRule="auto"/>
        <w:ind w:firstLine="283"/>
        <w:jc w:val="both"/>
      </w:pPr>
      <w:proofErr w:type="spellStart"/>
      <w:r>
        <w:rPr>
          <w:rtl/>
        </w:rPr>
        <w:t>חיה־מרים</w:t>
      </w:r>
      <w:proofErr w:type="spellEnd"/>
      <w:r>
        <w:rPr>
          <w:rtl/>
        </w:rPr>
        <w:t xml:space="preserve"> </w:t>
      </w:r>
      <w:proofErr w:type="spellStart"/>
      <w:r>
        <w:rPr>
          <w:rtl/>
        </w:rPr>
        <w:t>שולמן</w:t>
      </w:r>
      <w:proofErr w:type="spellEnd"/>
      <w:r>
        <w:rPr>
          <w:rtl/>
        </w:rPr>
        <w:t xml:space="preserve"> סיפרה: “פעם אחת עצר סבי הסבא כמה בחורים שיצאו מבית המדרש לפני השיעור ואמר: ‘האם אתם חושבים שאם אינכם שומעים את שיעורו, יחדל להיות הגאון שהוא? ודאי אתם יודעים איזה גאון הוא, אבל יידרשו לכם עשרות שנים להבין איזה צדיק הוא!’ הסבא הביא דוגמה לצדקותו [של ר׳ </w:t>
      </w:r>
      <w:proofErr w:type="spellStart"/>
      <w:r>
        <w:rPr>
          <w:rtl/>
        </w:rPr>
        <w:t>משה־מרדכי</w:t>
      </w:r>
      <w:proofErr w:type="spellEnd"/>
      <w:r>
        <w:rPr>
          <w:rtl/>
        </w:rPr>
        <w:t xml:space="preserve"> אפשטיין]: ר׳ אברהם </w:t>
      </w:r>
      <w:proofErr w:type="spellStart"/>
      <w:r>
        <w:rPr>
          <w:rtl/>
        </w:rPr>
        <w:t>גרודזינסקי</w:t>
      </w:r>
      <w:proofErr w:type="spellEnd"/>
      <w:r>
        <w:rPr>
          <w:rtl/>
        </w:rPr>
        <w:t xml:space="preserve"> נהג להגיש לו חשבון בלתי מפורט [‘א </w:t>
      </w:r>
      <w:proofErr w:type="spellStart"/>
      <w:r>
        <w:rPr>
          <w:rtl/>
        </w:rPr>
        <w:t>דייטשער</w:t>
      </w:r>
      <w:proofErr w:type="spellEnd"/>
      <w:r>
        <w:rPr>
          <w:rtl/>
        </w:rPr>
        <w:t xml:space="preserve"> </w:t>
      </w:r>
      <w:proofErr w:type="spellStart"/>
      <w:r>
        <w:rPr>
          <w:rtl/>
        </w:rPr>
        <w:t>צעטיל</w:t>
      </w:r>
      <w:proofErr w:type="spellEnd"/>
      <w:r>
        <w:rPr>
          <w:rtl/>
        </w:rPr>
        <w:t xml:space="preserve">’ – פתק גרמני] על כביסת הישיבה, ור׳ </w:t>
      </w:r>
      <w:proofErr w:type="spellStart"/>
      <w:r>
        <w:rPr>
          <w:rtl/>
        </w:rPr>
        <w:t>משה־מרדכי</w:t>
      </w:r>
      <w:proofErr w:type="spellEnd"/>
      <w:r>
        <w:rPr>
          <w:rtl/>
        </w:rPr>
        <w:t xml:space="preserve"> היה נותן </w:t>
      </w:r>
      <w:proofErr w:type="spellStart"/>
      <w:r>
        <w:rPr>
          <w:rtl/>
        </w:rPr>
        <w:t>לר</w:t>
      </w:r>
      <w:proofErr w:type="spellEnd"/>
      <w:r>
        <w:rPr>
          <w:rtl/>
        </w:rPr>
        <w:t>׳ אברהם את הכסף. ‘מי נותן כסף בלי חשבון למה הוא מיועד?!’ שאל הסבא כשאלה רטורית”.</w:t>
      </w:r>
    </w:p>
    <w:p w14:paraId="74A11C99" w14:textId="77777777" w:rsidR="00AB3647" w:rsidRDefault="00000000" w:rsidP="007923E9">
      <w:pPr>
        <w:spacing w:after="120" w:line="276" w:lineRule="auto"/>
        <w:ind w:firstLine="283"/>
        <w:jc w:val="both"/>
      </w:pPr>
      <w:r>
        <w:rPr>
          <w:rtl/>
        </w:rPr>
        <w:t xml:space="preserve">נכדו של ר׳ </w:t>
      </w:r>
      <w:proofErr w:type="spellStart"/>
      <w:r>
        <w:rPr>
          <w:rtl/>
        </w:rPr>
        <w:t>משה־מרדכי</w:t>
      </w:r>
      <w:proofErr w:type="spellEnd"/>
      <w:r>
        <w:rPr>
          <w:rtl/>
        </w:rPr>
        <w:t xml:space="preserve">, ר׳ חיים </w:t>
      </w:r>
      <w:proofErr w:type="spellStart"/>
      <w:r>
        <w:rPr>
          <w:rtl/>
        </w:rPr>
        <w:t>סרנא</w:t>
      </w:r>
      <w:bookmarkStart w:id="3820" w:name="_fnr2883"/>
      <w:proofErr w:type="spellEnd"/>
      <w:r>
        <w:rPr>
          <w:rStyle w:val="a5"/>
        </w:rPr>
        <w:footnoteReference w:id="2891" w:customMarkFollows="0"/>
      </w:r>
      <w:bookmarkEnd w:id="3820"/>
      <w:r>
        <w:rPr>
          <w:rtl/>
        </w:rPr>
        <w:t xml:space="preserve">, סיפר בשם אביו ר׳ </w:t>
      </w:r>
      <w:proofErr w:type="spellStart"/>
      <w:r>
        <w:rPr>
          <w:rtl/>
        </w:rPr>
        <w:t>חצקל</w:t>
      </w:r>
      <w:proofErr w:type="spellEnd"/>
      <w:r>
        <w:rPr>
          <w:rtl/>
        </w:rPr>
        <w:t xml:space="preserve"> דוגמה דומה לצדקות מסוג זה, אך רחבה יותר: “במשך עשרות שנים ר׳ </w:t>
      </w:r>
      <w:proofErr w:type="spellStart"/>
      <w:r>
        <w:rPr>
          <w:rtl/>
        </w:rPr>
        <w:t>משה־מרדכי</w:t>
      </w:r>
      <w:proofErr w:type="spellEnd"/>
      <w:r>
        <w:rPr>
          <w:rtl/>
        </w:rPr>
        <w:t xml:space="preserve"> אפשטיין הוא שגייס את כל הכספים לישיבה, והוא נתן את כולם לסבא שינהל אותם, בלי להשאיר לעצמו שום זכות לקבוע כיצד יחולקו”. הסבא הביא כנראה רק את הדוגמה המצומצמת של הוצאות הכביסה, מפני שנמנע מלפרסם שגם הכספים שחילק כהקצבות לתלמידים היו הכספים שגייס ר׳ </w:t>
      </w:r>
      <w:proofErr w:type="spellStart"/>
      <w:r>
        <w:rPr>
          <w:rtl/>
        </w:rPr>
        <w:t>משה־מרדכי</w:t>
      </w:r>
      <w:proofErr w:type="spellEnd"/>
      <w:r>
        <w:rPr>
          <w:rtl/>
        </w:rPr>
        <w:t xml:space="preserve"> – אף שאנשים יכלו להסיק זאת בנקל.</w:t>
      </w:r>
    </w:p>
    <w:p w14:paraId="63D30122" w14:textId="77777777" w:rsidR="00AB3647" w:rsidRDefault="00000000" w:rsidP="007923E9">
      <w:pPr>
        <w:spacing w:after="120" w:line="276" w:lineRule="auto"/>
        <w:ind w:firstLine="283"/>
        <w:jc w:val="both"/>
      </w:pPr>
      <w:r>
        <w:rPr>
          <w:rtl/>
        </w:rPr>
        <w:t xml:space="preserve">“לאחר מלחמת העולם הראשונה”, המשיך ר׳ חיים </w:t>
      </w:r>
      <w:proofErr w:type="spellStart"/>
      <w:r>
        <w:rPr>
          <w:rtl/>
        </w:rPr>
        <w:t>סרנא</w:t>
      </w:r>
      <w:proofErr w:type="spellEnd"/>
      <w:r>
        <w:rPr>
          <w:rtl/>
        </w:rPr>
        <w:t xml:space="preserve">, “נסע ר׳ </w:t>
      </w:r>
      <w:proofErr w:type="spellStart"/>
      <w:r>
        <w:rPr>
          <w:rtl/>
        </w:rPr>
        <w:t>משה־מרדכי</w:t>
      </w:r>
      <w:proofErr w:type="spellEnd"/>
      <w:r>
        <w:rPr>
          <w:rtl/>
        </w:rPr>
        <w:t xml:space="preserve"> כמה פעמים לאמריקה ולמערב אירופה לגייס את תקציב הישיבה, ונעדר </w:t>
      </w:r>
      <w:proofErr w:type="spellStart"/>
      <w:r>
        <w:rPr>
          <w:rtl/>
        </w:rPr>
        <w:t>מסלבודקה</w:t>
      </w:r>
      <w:proofErr w:type="spellEnd"/>
      <w:r>
        <w:rPr>
          <w:rtl/>
        </w:rPr>
        <w:t xml:space="preserve"> שנים בכל פעם. כשביקרו אותו על קבלת תרומות קטנות – ‘הוא אוהב מטבעות של רבע דולר’, אמרו – אמר לסבא: ‘אני זקוק ל־3,000 דולר בחודש, ולא אכפת לי אם 12,000 נשים יהודיות באמריקה יספקו אותם, ובלבד שהכסף יהיה כשר׳. כוונתו הייתה: ובלבד שמטבעות רבע הדולר ניתנו מתוך הערכה אמיתית ללימוד התורה – כגון כסף שנחסך ממאכל נוסף שהתורמות היו מגישות על שולחנן אלמלא התרומה – ולפיכך נתרמו ‘בכל לבבך ובכל נפשך’</w:t>
      </w:r>
      <w:bookmarkStart w:id="3821" w:name="_fnr2884"/>
      <w:r>
        <w:rPr>
          <w:rStyle w:val="a5"/>
        </w:rPr>
        <w:footnoteReference w:id="2892" w:customMarkFollows="0"/>
      </w:r>
      <w:bookmarkEnd w:id="3821"/>
      <w:r>
        <w:rPr>
          <w:rtl/>
        </w:rPr>
        <w:t>”.</w:t>
      </w:r>
    </w:p>
    <w:p w14:paraId="30DF5064" w14:textId="77777777" w:rsidR="00AB3647" w:rsidRDefault="00000000" w:rsidP="007923E9">
      <w:pPr>
        <w:spacing w:after="120" w:line="276" w:lineRule="auto"/>
        <w:ind w:firstLine="283"/>
        <w:jc w:val="both"/>
      </w:pPr>
      <w:r>
        <w:rPr>
          <w:rtl/>
        </w:rPr>
        <w:lastRenderedPageBreak/>
        <w:t xml:space="preserve">דוגמה נוספת שנתן הסבא לצדקותו של ר׳ </w:t>
      </w:r>
      <w:proofErr w:type="spellStart"/>
      <w:r>
        <w:rPr>
          <w:rtl/>
        </w:rPr>
        <w:t>משה־מרדכי</w:t>
      </w:r>
      <w:proofErr w:type="spellEnd"/>
      <w:r>
        <w:rPr>
          <w:rtl/>
        </w:rPr>
        <w:t xml:space="preserve"> אפשטיין</w:t>
      </w:r>
      <w:bookmarkStart w:id="3822" w:name="_fnr2885"/>
      <w:r>
        <w:rPr>
          <w:rStyle w:val="a5"/>
        </w:rPr>
        <w:footnoteReference w:id="2893" w:customMarkFollows="0"/>
      </w:r>
      <w:bookmarkEnd w:id="3822"/>
      <w:r>
        <w:rPr>
          <w:rtl/>
        </w:rPr>
        <w:t xml:space="preserve"> קשורה לבריחה משיעוריו. פעם, כשהבחורים רצו החוצה, העיר ר׳ </w:t>
      </w:r>
      <w:proofErr w:type="spellStart"/>
      <w:r>
        <w:rPr>
          <w:rtl/>
        </w:rPr>
        <w:t>משה־מרדכי</w:t>
      </w:r>
      <w:proofErr w:type="spellEnd"/>
      <w:r>
        <w:rPr>
          <w:rtl/>
        </w:rPr>
        <w:t xml:space="preserve">: “האם אתם יודעים מדוע הם רצים החוצה? אני נענש על שברחתי משיעוריו של ר׳ חיים </w:t>
      </w:r>
      <w:proofErr w:type="spellStart"/>
      <w:r>
        <w:rPr>
          <w:rtl/>
        </w:rPr>
        <w:t>סולובייצ׳יק</w:t>
      </w:r>
      <w:proofErr w:type="spellEnd"/>
      <w:r>
        <w:rPr>
          <w:rtl/>
        </w:rPr>
        <w:t xml:space="preserve"> </w:t>
      </w:r>
      <w:proofErr w:type="spellStart"/>
      <w:r>
        <w:rPr>
          <w:rtl/>
        </w:rPr>
        <w:t>בוולוז׳ין</w:t>
      </w:r>
      <w:proofErr w:type="spellEnd"/>
      <w:r>
        <w:rPr>
          <w:rtl/>
        </w:rPr>
        <w:t xml:space="preserve">”. הסבא אמר אז: “מרוב חיפושו של ר׳ </w:t>
      </w:r>
      <w:proofErr w:type="spellStart"/>
      <w:r>
        <w:rPr>
          <w:rtl/>
        </w:rPr>
        <w:t>משה־מרדכי</w:t>
      </w:r>
      <w:proofErr w:type="spellEnd"/>
      <w:r>
        <w:rPr>
          <w:rtl/>
        </w:rPr>
        <w:t>, בצדקותו, אחר גילוי הכלל של גמול שמים, ‘מידה כנגד מידה’</w:t>
      </w:r>
      <w:bookmarkStart w:id="3823" w:name="_fnr2886"/>
      <w:r>
        <w:rPr>
          <w:rStyle w:val="a5"/>
        </w:rPr>
        <w:footnoteReference w:id="2894" w:customMarkFollows="0"/>
      </w:r>
      <w:bookmarkEnd w:id="3823"/>
      <w:r>
        <w:rPr>
          <w:rtl/>
        </w:rPr>
        <w:t>, בכל מה שקורה בחייו, הוא מתעלם מן האפשרות שהבחורים רצים החוצה פשוט מפני ששיעורו אינו מעניין דיו למשוך אותם”.</w:t>
      </w:r>
    </w:p>
    <w:p w14:paraId="021BDA68" w14:textId="603AC967" w:rsidR="00AB3647" w:rsidRDefault="00000000" w:rsidP="007923E9">
      <w:pPr>
        <w:spacing w:after="120" w:line="276" w:lineRule="auto"/>
        <w:ind w:firstLine="283"/>
        <w:jc w:val="both"/>
      </w:pPr>
      <w:r>
        <w:rPr>
          <w:rtl/>
        </w:rPr>
        <w:t xml:space="preserve">סמוך לאחר פטירת ר׳ </w:t>
      </w:r>
      <w:proofErr w:type="spellStart"/>
      <w:r>
        <w:rPr>
          <w:rtl/>
        </w:rPr>
        <w:t>משה־מרדכי</w:t>
      </w:r>
      <w:proofErr w:type="spellEnd"/>
      <w:r>
        <w:rPr>
          <w:rtl/>
        </w:rPr>
        <w:t xml:space="preserve"> כתב חתנו ר׳ </w:t>
      </w:r>
      <w:proofErr w:type="spellStart"/>
      <w:r>
        <w:rPr>
          <w:rtl/>
        </w:rPr>
        <w:t>חצקל</w:t>
      </w:r>
      <w:proofErr w:type="spellEnd"/>
      <w:r>
        <w:rPr>
          <w:rtl/>
        </w:rPr>
        <w:t xml:space="preserve"> </w:t>
      </w:r>
      <w:proofErr w:type="spellStart"/>
      <w:r>
        <w:rPr>
          <w:rtl/>
        </w:rPr>
        <w:t>סרנא</w:t>
      </w:r>
      <w:proofErr w:type="spellEnd"/>
      <w:r>
        <w:rPr>
          <w:rtl/>
        </w:rPr>
        <w:t xml:space="preserve"> אגרת אל אחי הנפטר ר׳ </w:t>
      </w:r>
      <w:proofErr w:type="spellStart"/>
      <w:r>
        <w:rPr>
          <w:rtl/>
        </w:rPr>
        <w:t>אפרים־פישל</w:t>
      </w:r>
      <w:proofErr w:type="spellEnd"/>
      <w:r>
        <w:rPr>
          <w:rtl/>
        </w:rPr>
        <w:t xml:space="preserve"> אפשטיין</w:t>
      </w:r>
      <w:bookmarkStart w:id="3824" w:name="_fnr2887"/>
      <w:r>
        <w:rPr>
          <w:rStyle w:val="a5"/>
        </w:rPr>
        <w:footnoteReference w:id="2895" w:customMarkFollows="0"/>
      </w:r>
      <w:bookmarkEnd w:id="3824"/>
      <w:r>
        <w:rPr>
          <w:rtl/>
        </w:rPr>
        <w:t xml:space="preserve">, ובה השווה את דרגת צדקותו של ר׳ </w:t>
      </w:r>
      <w:proofErr w:type="spellStart"/>
      <w:r>
        <w:rPr>
          <w:rtl/>
        </w:rPr>
        <w:t>משה־מרדכי</w:t>
      </w:r>
      <w:proofErr w:type="spellEnd"/>
      <w:r>
        <w:rPr>
          <w:rtl/>
        </w:rPr>
        <w:t xml:space="preserve"> </w:t>
      </w:r>
      <w:proofErr w:type="spellStart"/>
      <w:r>
        <w:rPr>
          <w:rtl/>
        </w:rPr>
        <w:t>ל“זו</w:t>
      </w:r>
      <w:proofErr w:type="spellEnd"/>
      <w:r>
        <w:rPr>
          <w:rtl/>
        </w:rPr>
        <w:t xml:space="preserve"> של דורות קדמונים”. בנו של ר׳ </w:t>
      </w:r>
      <w:proofErr w:type="spellStart"/>
      <w:r>
        <w:rPr>
          <w:rtl/>
        </w:rPr>
        <w:t>חצקל</w:t>
      </w:r>
      <w:proofErr w:type="spellEnd"/>
      <w:r>
        <w:rPr>
          <w:rtl/>
        </w:rPr>
        <w:t>, ר׳ חיים, גילה</w:t>
      </w:r>
      <w:bookmarkStart w:id="3825" w:name="_fnr2888"/>
      <w:r>
        <w:rPr>
          <w:rStyle w:val="a5"/>
        </w:rPr>
        <w:footnoteReference w:id="2896" w:customMarkFollows="0"/>
      </w:r>
      <w:bookmarkEnd w:id="3825"/>
      <w:r>
        <w:rPr>
          <w:rtl/>
        </w:rPr>
        <w:t xml:space="preserve"> שר׳ חיים </w:t>
      </w:r>
      <w:proofErr w:type="spellStart"/>
      <w:r>
        <w:rPr>
          <w:rtl/>
        </w:rPr>
        <w:t>סולובייצ׳יק</w:t>
      </w:r>
      <w:proofErr w:type="spellEnd"/>
      <w:r>
        <w:rPr>
          <w:rtl/>
        </w:rPr>
        <w:t xml:space="preserve"> היה שולח אנשים אל תלמידו ר׳ </w:t>
      </w:r>
      <w:proofErr w:type="spellStart"/>
      <w:r>
        <w:rPr>
          <w:rtl/>
        </w:rPr>
        <w:t>משה־מרדכי</w:t>
      </w:r>
      <w:proofErr w:type="spellEnd"/>
      <w:r>
        <w:rPr>
          <w:rtl/>
        </w:rPr>
        <w:t xml:space="preserve"> לקבל את ברכותיו, ואומר שהן מועילות משום שהוא לומד “תורה לשמה”. השווה גם פרק 4, סוף הפסקה הרביעית ב</w:t>
      </w:r>
      <w:r>
        <w:rPr>
          <w:rtl/>
        </w:rPr>
        <w:fldChar w:fldCharType="begin" w:dirty="true"/>
      </w:r>
      <w:r>
        <w:rPr>
          <w:rtl/>
        </w:rPr>
        <w:instrText xml:space="preserve"> REF b4_excE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ה</w:t>
      </w:r>
      <w:r>
        <w:rPr>
          <w:rtl/>
        </w:rPr>
        <w:fldChar w:fldCharType="end"/>
      </w:r>
      <w:r>
        <w:rPr>
          <w:rtl/>
        </w:rPr>
        <w:t xml:space="preserve"> וסוף נספח ב. צדקותו של ר׳ </w:t>
      </w:r>
      <w:proofErr w:type="spellStart"/>
      <w:r>
        <w:rPr>
          <w:rtl/>
        </w:rPr>
        <w:t>משה־מרדכי</w:t>
      </w:r>
      <w:proofErr w:type="spellEnd"/>
      <w:r>
        <w:rPr>
          <w:rtl/>
        </w:rPr>
        <w:t xml:space="preserve"> מתוארת גם ביד אמן בספרו של </w:t>
      </w:r>
      <w:proofErr w:type="spellStart"/>
      <w:r>
        <w:rPr>
          <w:rtl/>
        </w:rPr>
        <w:t>דבורץ</w:t>
      </w:r>
      <w:proofErr w:type="spellEnd"/>
      <w:r>
        <w:rPr>
          <w:rtl/>
        </w:rPr>
        <w:t>, “הגאון רבי משה מרדכי אפשטיין”, בניתוח מה שנאלץ לסבול בעומדו לצד הסבא בכל התהפוכות של העשור הראשון לכנסת ישראל</w:t>
      </w:r>
      <w:bookmarkStart w:id="3826" w:name="_fnr2889"/>
      <w:r>
        <w:rPr>
          <w:rStyle w:val="a5"/>
        </w:rPr>
        <w:footnoteReference w:id="2897" w:customMarkFollows="0"/>
      </w:r>
      <w:bookmarkEnd w:id="3826"/>
      <w:r>
        <w:rPr>
          <w:rtl/>
        </w:rPr>
        <w:t>.</w:t>
      </w:r>
    </w:p>
    <w:p w14:paraId="0196859A" w14:textId="77777777" w:rsidR="00AB3647" w:rsidRDefault="00000000" w:rsidP="007923E9">
      <w:pPr>
        <w:pStyle w:val="4"/>
        <w:spacing w:line="276" w:lineRule="auto"/>
      </w:pPr>
      <w:r>
        <w:t>· הפסקה השנייה ·</w:t>
      </w:r>
    </w:p>
    <w:p w14:paraId="069012CF" w14:textId="77777777" w:rsidR="00AB3647" w:rsidRDefault="00000000" w:rsidP="007923E9">
      <w:pPr>
        <w:pStyle w:val="5"/>
        <w:spacing w:line="276" w:lineRule="auto"/>
      </w:pPr>
      <w:proofErr w:type="spellStart"/>
      <w:r>
        <w:t>בוולוז׳ין</w:t>
      </w:r>
      <w:proofErr w:type="spellEnd"/>
      <w:r>
        <w:t xml:space="preserve"> כמה בחורים מתחמקים משיעורי ר׳ חיים </w:t>
      </w:r>
      <w:proofErr w:type="spellStart"/>
      <w:r>
        <w:t>סולובייצ׳יק</w:t>
      </w:r>
      <w:proofErr w:type="spellEnd"/>
      <w:r>
        <w:t xml:space="preserve"> – ר׳ ראובן </w:t>
      </w:r>
      <w:proofErr w:type="spellStart"/>
      <w:r>
        <w:t>בנגיס</w:t>
      </w:r>
      <w:proofErr w:type="spellEnd"/>
      <w:r>
        <w:t xml:space="preserve"> נמנע מר׳ חיים – הנסיבות מאלצות את ר׳ שמעון </w:t>
      </w:r>
      <w:proofErr w:type="spellStart"/>
      <w:r>
        <w:t>שקופ</w:t>
      </w:r>
      <w:proofErr w:type="spellEnd"/>
      <w:r>
        <w:t xml:space="preserve"> להשתתף בשיעור והוא נהנה ממנו – בתקופה מסוימת יכולים התלמידים להיעדר מן השיעורים כרצונם</w:t>
      </w:r>
    </w:p>
    <w:p w14:paraId="602E399A" w14:textId="77777777" w:rsidR="00AB3647" w:rsidRDefault="00000000" w:rsidP="007923E9">
      <w:pPr>
        <w:spacing w:after="120" w:line="276" w:lineRule="auto"/>
        <w:ind w:firstLine="283"/>
        <w:jc w:val="both"/>
      </w:pPr>
      <w:r>
        <w:rPr>
          <w:rtl/>
        </w:rPr>
        <w:t xml:space="preserve">כאמור בפסקה הקודמת, גם בישיבת </w:t>
      </w:r>
      <w:proofErr w:type="spellStart"/>
      <w:r>
        <w:rPr>
          <w:rtl/>
        </w:rPr>
        <w:t>וולוז׳ין</w:t>
      </w:r>
      <w:proofErr w:type="spellEnd"/>
      <w:r>
        <w:rPr>
          <w:rtl/>
        </w:rPr>
        <w:t xml:space="preserve"> היו בחורים בורחים משיעורי ראשי הישיבה שלהם: התלמידים הצעירים נמנעו מראש הישיבה המבוגר, </w:t>
      </w:r>
      <w:proofErr w:type="spellStart"/>
      <w:r>
        <w:rPr>
          <w:rtl/>
        </w:rPr>
        <w:t>הנצי״ב</w:t>
      </w:r>
      <w:proofErr w:type="spellEnd"/>
      <w:r>
        <w:rPr>
          <w:rtl/>
        </w:rPr>
        <w:t xml:space="preserve">, והמבוגרים נמנעו מעוזרו הצעיר, ר׳ חיים </w:t>
      </w:r>
      <w:proofErr w:type="spellStart"/>
      <w:r>
        <w:rPr>
          <w:rtl/>
        </w:rPr>
        <w:t>סולובייצ׳יק</w:t>
      </w:r>
      <w:proofErr w:type="spellEnd"/>
      <w:r>
        <w:rPr>
          <w:rtl/>
        </w:rPr>
        <w:t>. ר׳ שלמה פישר</w:t>
      </w:r>
      <w:bookmarkStart w:id="3827" w:name="_fnr2890"/>
      <w:r>
        <w:rPr>
          <w:rStyle w:val="a5"/>
        </w:rPr>
        <w:footnoteReference w:id="2898" w:customMarkFollows="0"/>
      </w:r>
      <w:bookmarkEnd w:id="3827"/>
      <w:r>
        <w:rPr>
          <w:rtl/>
        </w:rPr>
        <w:t xml:space="preserve"> שמע זאת מר׳ ראובן </w:t>
      </w:r>
      <w:proofErr w:type="spellStart"/>
      <w:r>
        <w:rPr>
          <w:rtl/>
        </w:rPr>
        <w:t>בנגיס</w:t>
      </w:r>
      <w:proofErr w:type="spellEnd"/>
      <w:r>
        <w:rPr>
          <w:rtl/>
        </w:rPr>
        <w:t xml:space="preserve">. ר׳ ראובן היה “הבחור המבוגר” שהוטל עליו ללמוד עם ר׳ </w:t>
      </w:r>
      <w:proofErr w:type="spellStart"/>
      <w:r>
        <w:rPr>
          <w:rtl/>
        </w:rPr>
        <w:t>איסר־זלמן</w:t>
      </w:r>
      <w:proofErr w:type="spellEnd"/>
      <w:r>
        <w:rPr>
          <w:rtl/>
        </w:rPr>
        <w:t xml:space="preserve"> מלצר, הצעיר ממנו בשש שנים, כשהגיע ר׳ </w:t>
      </w:r>
      <w:proofErr w:type="spellStart"/>
      <w:r>
        <w:rPr>
          <w:rtl/>
        </w:rPr>
        <w:t>איסר־זלמן</w:t>
      </w:r>
      <w:proofErr w:type="spellEnd"/>
      <w:r>
        <w:rPr>
          <w:rtl/>
        </w:rPr>
        <w:t xml:space="preserve"> </w:t>
      </w:r>
      <w:proofErr w:type="spellStart"/>
      <w:r>
        <w:rPr>
          <w:rtl/>
        </w:rPr>
        <w:t>לוולוז׳ין</w:t>
      </w:r>
      <w:proofErr w:type="spellEnd"/>
      <w:r>
        <w:rPr>
          <w:rtl/>
        </w:rPr>
        <w:t xml:space="preserve"> בן </w:t>
      </w:r>
      <w:proofErr w:type="spellStart"/>
      <w:r>
        <w:rPr>
          <w:rtl/>
        </w:rPr>
        <w:t>שלוש־עשרה</w:t>
      </w:r>
      <w:proofErr w:type="spellEnd"/>
      <w:r>
        <w:rPr>
          <w:rtl/>
        </w:rPr>
        <w:t>. לפי “אהבת חסדיך”</w:t>
      </w:r>
      <w:bookmarkStart w:id="3828" w:name="_fnr2891"/>
      <w:r>
        <w:rPr>
          <w:rStyle w:val="a5"/>
        </w:rPr>
        <w:footnoteReference w:id="2899" w:customMarkFollows="0"/>
      </w:r>
      <w:bookmarkEnd w:id="3828"/>
      <w:r>
        <w:rPr>
          <w:rtl/>
        </w:rPr>
        <w:t xml:space="preserve">, ר׳ חיים הוא שקבע את </w:t>
      </w:r>
      <w:proofErr w:type="spellStart"/>
      <w:r>
        <w:rPr>
          <w:rtl/>
        </w:rPr>
        <w:t>החברותות</w:t>
      </w:r>
      <w:proofErr w:type="spellEnd"/>
      <w:r>
        <w:rPr>
          <w:rtl/>
        </w:rPr>
        <w:t xml:space="preserve"> </w:t>
      </w:r>
      <w:proofErr w:type="spellStart"/>
      <w:r>
        <w:rPr>
          <w:rtl/>
        </w:rPr>
        <w:t>בוולוז׳ין</w:t>
      </w:r>
      <w:proofErr w:type="spellEnd"/>
      <w:r>
        <w:rPr>
          <w:rtl/>
        </w:rPr>
        <w:t xml:space="preserve"> בכלל, ואת זו בפרט.</w:t>
      </w:r>
    </w:p>
    <w:p w14:paraId="6864AEAD" w14:textId="4A4D5513" w:rsidR="00AB3647" w:rsidRDefault="00000000" w:rsidP="007923E9">
      <w:pPr>
        <w:spacing w:after="120" w:line="276" w:lineRule="auto"/>
        <w:ind w:firstLine="283"/>
        <w:jc w:val="both"/>
      </w:pPr>
      <w:r>
        <w:rPr>
          <w:rtl/>
        </w:rPr>
        <w:t xml:space="preserve">עם זאת נראה שגם כמה מן הבחורים “הצעירים” נמנעו משיעורו של ר׳ חיים, שכן ר׳ </w:t>
      </w:r>
      <w:proofErr w:type="spellStart"/>
      <w:r>
        <w:rPr>
          <w:rtl/>
        </w:rPr>
        <w:t>משה־מרדכי</w:t>
      </w:r>
      <w:proofErr w:type="spellEnd"/>
      <w:r>
        <w:rPr>
          <w:rtl/>
        </w:rPr>
        <w:t xml:space="preserve"> אפשטיין היה רק בן </w:t>
      </w:r>
      <w:proofErr w:type="spellStart"/>
      <w:r>
        <w:rPr>
          <w:rtl/>
        </w:rPr>
        <w:t>שש־עשרה</w:t>
      </w:r>
      <w:proofErr w:type="spellEnd"/>
      <w:r>
        <w:rPr>
          <w:rtl/>
        </w:rPr>
        <w:t xml:space="preserve"> כשבא </w:t>
      </w:r>
      <w:proofErr w:type="spellStart"/>
      <w:r>
        <w:rPr>
          <w:rtl/>
        </w:rPr>
        <w:t>לוולוז׳ין</w:t>
      </w:r>
      <w:proofErr w:type="spellEnd"/>
      <w:r>
        <w:rPr>
          <w:rtl/>
        </w:rPr>
        <w:t xml:space="preserve">, וגם הוא ברח משיעור זה, כמסופר לעיל. ייתכן שהתמדתו המופלגת של ר׳ </w:t>
      </w:r>
      <w:proofErr w:type="spellStart"/>
      <w:r>
        <w:rPr>
          <w:rtl/>
        </w:rPr>
        <w:t>משה־מרדכי</w:t>
      </w:r>
      <w:proofErr w:type="spellEnd"/>
      <w:r>
        <w:rPr>
          <w:rtl/>
        </w:rPr>
        <w:t xml:space="preserve"> (ראה תחילת נספח י והערה </w:t>
      </w:r>
      <w:r>
        <w:rPr>
          <w:rtl/>
        </w:rPr>
        <w:fldChar w:fldCharType="begin" w:dirty="true"/>
      </w:r>
      <w:r>
        <w:rPr>
          <w:rtl/>
        </w:rPr>
        <w:instrText xml:space="preserve"> REF b3_note119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119</w:t>
      </w:r>
      <w:r>
        <w:rPr>
          <w:rtl/>
        </w:rPr>
        <w:fldChar w:fldCharType="end"/>
      </w:r>
      <w:r>
        <w:rPr>
          <w:rtl/>
        </w:rPr>
        <w:t xml:space="preserve"> לעיל) הניעה אותו ללמוד בכוחות עצמו במקום להקשיב לשיעורו של מישהו.</w:t>
      </w:r>
    </w:p>
    <w:p w14:paraId="798E1E2D" w14:textId="77777777" w:rsidR="00AB3647" w:rsidRDefault="00000000" w:rsidP="007923E9">
      <w:pPr>
        <w:spacing w:after="120" w:line="276" w:lineRule="auto"/>
        <w:ind w:firstLine="283"/>
        <w:jc w:val="both"/>
      </w:pPr>
      <w:r>
        <w:rPr>
          <w:rtl/>
        </w:rPr>
        <w:lastRenderedPageBreak/>
        <w:t xml:space="preserve">ר׳ ראובן </w:t>
      </w:r>
      <w:proofErr w:type="spellStart"/>
      <w:r>
        <w:rPr>
          <w:rtl/>
        </w:rPr>
        <w:t>בנגיס</w:t>
      </w:r>
      <w:proofErr w:type="spellEnd"/>
      <w:r>
        <w:rPr>
          <w:rtl/>
        </w:rPr>
        <w:t xml:space="preserve"> סיפר לרב פישר גם שר׳ חיים </w:t>
      </w:r>
      <w:proofErr w:type="spellStart"/>
      <w:r>
        <w:rPr>
          <w:rtl/>
        </w:rPr>
        <w:t>סולובייצ׳יק</w:t>
      </w:r>
      <w:proofErr w:type="spellEnd"/>
      <w:r>
        <w:rPr>
          <w:rtl/>
        </w:rPr>
        <w:t xml:space="preserve"> היה מבלה כמעט את כל היום </w:t>
      </w:r>
      <w:proofErr w:type="spellStart"/>
      <w:r>
        <w:rPr>
          <w:rtl/>
        </w:rPr>
        <w:t>ב“דיבור</w:t>
      </w:r>
      <w:proofErr w:type="spellEnd"/>
      <w:r>
        <w:rPr>
          <w:rtl/>
        </w:rPr>
        <w:t xml:space="preserve"> בלימוד” עם הבחורים</w:t>
      </w:r>
      <w:bookmarkStart w:id="3829" w:name="_fnr2892"/>
      <w:r>
        <w:rPr>
          <w:rStyle w:val="a5"/>
        </w:rPr>
        <w:footnoteReference w:id="2900" w:customMarkFollows="0"/>
      </w:r>
      <w:bookmarkEnd w:id="3829"/>
      <w:r>
        <w:rPr>
          <w:rtl/>
        </w:rPr>
        <w:t xml:space="preserve">, ושהוא עצמו, </w:t>
      </w:r>
      <w:proofErr w:type="spellStart"/>
      <w:r>
        <w:rPr>
          <w:rtl/>
        </w:rPr>
        <w:t>בנגיס</w:t>
      </w:r>
      <w:proofErr w:type="spellEnd"/>
      <w:r>
        <w:rPr>
          <w:rtl/>
        </w:rPr>
        <w:t>, היה בא בכוונה לבית המדרש סמוך לחצות הלילה, אחרי שר׳ חיים הלך לביתו, כדי שלא ייתפס על ידו.</w:t>
      </w:r>
    </w:p>
    <w:p w14:paraId="5C28A3CD" w14:textId="77777777" w:rsidR="00AB3647" w:rsidRDefault="00000000" w:rsidP="007923E9">
      <w:pPr>
        <w:spacing w:after="120" w:line="276" w:lineRule="auto"/>
        <w:ind w:firstLine="283"/>
        <w:jc w:val="both"/>
      </w:pPr>
      <w:r>
        <w:rPr>
          <w:rtl/>
        </w:rPr>
        <w:t xml:space="preserve">עם זאת, ר׳ ראובן </w:t>
      </w:r>
      <w:proofErr w:type="spellStart"/>
      <w:r>
        <w:rPr>
          <w:rtl/>
        </w:rPr>
        <w:t>בנגיס</w:t>
      </w:r>
      <w:proofErr w:type="spellEnd"/>
      <w:r>
        <w:rPr>
          <w:rtl/>
        </w:rPr>
        <w:t xml:space="preserve"> ראה בר׳ חיים מורה שהשפיע השפעה מכרעת על דרכו. השווה “ספר פניני רבנו </w:t>
      </w:r>
      <w:proofErr w:type="spellStart"/>
      <w:r>
        <w:rPr>
          <w:rtl/>
        </w:rPr>
        <w:t>הגרי״ז</w:t>
      </w:r>
      <w:proofErr w:type="spellEnd"/>
      <w:r>
        <w:rPr>
          <w:rtl/>
        </w:rPr>
        <w:t xml:space="preserve"> </w:t>
      </w:r>
      <w:proofErr w:type="spellStart"/>
      <w:r>
        <w:rPr>
          <w:rtl/>
        </w:rPr>
        <w:t>הגאב״ד</w:t>
      </w:r>
      <w:proofErr w:type="spellEnd"/>
      <w:r>
        <w:rPr>
          <w:rtl/>
        </w:rPr>
        <w:t xml:space="preserve"> </w:t>
      </w:r>
      <w:proofErr w:type="spellStart"/>
      <w:r>
        <w:rPr>
          <w:rtl/>
        </w:rPr>
        <w:t>מבריסק</w:t>
      </w:r>
      <w:proofErr w:type="spellEnd"/>
      <w:r>
        <w:rPr>
          <w:rtl/>
        </w:rPr>
        <w:t xml:space="preserve">”, מאת משה מרדכי הלוי </w:t>
      </w:r>
      <w:proofErr w:type="spellStart"/>
      <w:r>
        <w:rPr>
          <w:rtl/>
        </w:rPr>
        <w:t>שולזינגר</w:t>
      </w:r>
      <w:bookmarkStart w:id="3830" w:name="_fnr2893"/>
      <w:proofErr w:type="spellEnd"/>
      <w:r>
        <w:rPr>
          <w:rStyle w:val="a5"/>
        </w:rPr>
        <w:footnoteReference w:id="2901" w:customMarkFollows="0"/>
      </w:r>
      <w:bookmarkEnd w:id="3830"/>
      <w:r>
        <w:rPr>
          <w:rtl/>
        </w:rPr>
        <w:t xml:space="preserve">, המביא בשם ר׳ ראובן </w:t>
      </w:r>
      <w:proofErr w:type="spellStart"/>
      <w:r>
        <w:rPr>
          <w:rtl/>
        </w:rPr>
        <w:t>בנגיס</w:t>
      </w:r>
      <w:proofErr w:type="spellEnd"/>
      <w:r>
        <w:rPr>
          <w:rtl/>
        </w:rPr>
        <w:t xml:space="preserve">: “באתי </w:t>
      </w:r>
      <w:proofErr w:type="spellStart"/>
      <w:r>
        <w:rPr>
          <w:rtl/>
        </w:rPr>
        <w:t>לוולוז׳ין</w:t>
      </w:r>
      <w:proofErr w:type="spellEnd"/>
      <w:r>
        <w:rPr>
          <w:rtl/>
        </w:rPr>
        <w:t xml:space="preserve"> סמוך לגיל בר מצווה. עד אז כבר למדתי 300[!] ספרים, ישרים ועקומים, וכשבאתי </w:t>
      </w:r>
      <w:proofErr w:type="spellStart"/>
      <w:r>
        <w:rPr>
          <w:rtl/>
        </w:rPr>
        <w:t>לר</w:t>
      </w:r>
      <w:proofErr w:type="spellEnd"/>
      <w:r>
        <w:rPr>
          <w:rtl/>
        </w:rPr>
        <w:t xml:space="preserve">׳ חיים הוא ‘יישר אותי’ מעט”. כשהחל ר׳ חיים למסור שיעורים </w:t>
      </w:r>
      <w:proofErr w:type="spellStart"/>
      <w:r>
        <w:rPr>
          <w:rtl/>
        </w:rPr>
        <w:t>בוולוז׳ין</w:t>
      </w:r>
      <w:proofErr w:type="spellEnd"/>
      <w:r>
        <w:rPr>
          <w:rtl/>
        </w:rPr>
        <w:t xml:space="preserve">, כבר היה ר׳ ראובן </w:t>
      </w:r>
      <w:proofErr w:type="spellStart"/>
      <w:r>
        <w:rPr>
          <w:rtl/>
        </w:rPr>
        <w:t>בנגיס</w:t>
      </w:r>
      <w:proofErr w:type="spellEnd"/>
      <w:r>
        <w:rPr>
          <w:rtl/>
        </w:rPr>
        <w:t xml:space="preserve"> בן </w:t>
      </w:r>
      <w:proofErr w:type="spellStart"/>
      <w:r>
        <w:rPr>
          <w:rtl/>
        </w:rPr>
        <w:t>שבע־עשרה</w:t>
      </w:r>
      <w:proofErr w:type="spellEnd"/>
      <w:r>
        <w:rPr>
          <w:rtl/>
        </w:rPr>
        <w:t>.</w:t>
      </w:r>
    </w:p>
    <w:p w14:paraId="1E20C844" w14:textId="77777777" w:rsidR="00AB3647" w:rsidRDefault="00000000" w:rsidP="007923E9">
      <w:pPr>
        <w:spacing w:after="120" w:line="276" w:lineRule="auto"/>
        <w:ind w:firstLine="283"/>
        <w:jc w:val="both"/>
      </w:pPr>
      <w:r>
        <w:rPr>
          <w:rtl/>
        </w:rPr>
        <w:t xml:space="preserve">ר׳ שמעון </w:t>
      </w:r>
      <w:proofErr w:type="spellStart"/>
      <w:r>
        <w:rPr>
          <w:rtl/>
        </w:rPr>
        <w:t>שקופ</w:t>
      </w:r>
      <w:proofErr w:type="spellEnd"/>
      <w:r>
        <w:rPr>
          <w:rtl/>
        </w:rPr>
        <w:t xml:space="preserve">, הצעיר מר׳ חיים </w:t>
      </w:r>
      <w:proofErr w:type="spellStart"/>
      <w:r>
        <w:rPr>
          <w:rtl/>
        </w:rPr>
        <w:t>סולובייצ׳יק</w:t>
      </w:r>
      <w:proofErr w:type="spellEnd"/>
      <w:r>
        <w:rPr>
          <w:rtl/>
        </w:rPr>
        <w:t xml:space="preserve"> בשבע שנים בלבד, היה בורח משיעוריו ברגע האחרון האפשרי, כדי לחטוף עוד מעט תורה בבית המדרש. כך נמשך הדבר עד שבעיה מעשית הפריעה. ר׳ שמעון בא ממשפחה ענייה, וכשהתנתקה הסוליה של נעלו, לא היה בידו לשלם על תיקונה. הוא קשר את הסוליה לחלקה העליון של הנעל בחוט</w:t>
      </w:r>
      <w:bookmarkStart w:id="3831" w:name="_fnr2894"/>
      <w:r>
        <w:rPr>
          <w:rStyle w:val="a5"/>
        </w:rPr>
        <w:footnoteReference w:id="2902" w:customMarkFollows="0"/>
      </w:r>
      <w:bookmarkEnd w:id="3831"/>
      <w:r>
        <w:rPr>
          <w:rtl/>
        </w:rPr>
        <w:t xml:space="preserve">, והדבר מנע ממנו לרוץ. מכיוון שלא העלה על דעתו לפגוע בר׳ חיים בכך שייצא </w:t>
      </w:r>
      <w:r>
        <w:rPr>
          <w:b/>
          <w:bCs/>
          <w:rtl/>
        </w:rPr>
        <w:t>בהליכה</w:t>
      </w:r>
      <w:r>
        <w:rPr>
          <w:rtl/>
        </w:rPr>
        <w:t xml:space="preserve"> בנוכחותו, נשאר לשיעור. באותו יום מצא השיעור חן בעיניו, והוא ניסה עוד אחד... ואחריו עוד אחד ועוד אחד.</w:t>
      </w:r>
    </w:p>
    <w:p w14:paraId="6AAF958B" w14:textId="13C59FE2" w:rsidR="00AB3647" w:rsidRDefault="00000000" w:rsidP="007923E9">
      <w:pPr>
        <w:spacing w:after="120" w:line="276" w:lineRule="auto"/>
        <w:ind w:firstLine="283"/>
        <w:jc w:val="both"/>
      </w:pPr>
      <w:r>
        <w:rPr>
          <w:rtl/>
        </w:rPr>
        <w:t xml:space="preserve">הדבר אירע כחצי שנה לפני שעזב ר׳ שמעון את </w:t>
      </w:r>
      <w:proofErr w:type="spellStart"/>
      <w:r>
        <w:rPr>
          <w:rtl/>
        </w:rPr>
        <w:t>וולוז׳ין</w:t>
      </w:r>
      <w:proofErr w:type="spellEnd"/>
      <w:r>
        <w:rPr>
          <w:rtl/>
        </w:rPr>
        <w:t xml:space="preserve">, ואחר כך אמר שהוא מצטער שלא ניצל את נוכחותו של ר׳ חיים </w:t>
      </w:r>
      <w:proofErr w:type="spellStart"/>
      <w:r>
        <w:rPr>
          <w:rtl/>
        </w:rPr>
        <w:t>בוולוז׳ין</w:t>
      </w:r>
      <w:proofErr w:type="spellEnd"/>
      <w:r>
        <w:rPr>
          <w:rtl/>
        </w:rPr>
        <w:t xml:space="preserve"> בשנים הקודמות</w:t>
      </w:r>
      <w:bookmarkStart w:id="3832" w:name="_fnr2895"/>
      <w:r>
        <w:rPr>
          <w:rStyle w:val="a5"/>
        </w:rPr>
        <w:footnoteReference w:id="2903" w:customMarkFollows="0"/>
      </w:r>
      <w:bookmarkEnd w:id="3832"/>
      <w:r>
        <w:rPr>
          <w:rtl/>
        </w:rPr>
        <w:t>. השווה גם פרק 4, הפסקה הרביעית ב</w:t>
      </w:r>
      <w:r>
        <w:rPr>
          <w:rtl/>
        </w:rPr>
        <w:fldChar w:fldCharType="begin" w:dirty="true"/>
      </w:r>
      <w:r>
        <w:rPr>
          <w:rtl/>
        </w:rPr>
        <w:instrText xml:space="preserve"> REF b4_excI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xml:space="preserve">, שמאז שהחל ר׳ שמעון להעריך את דרך לימודו הייחודית של ר׳ חיים, “דיבר בלימוד” עמו ללא הרף. לדברי ר׳ זליג אפשטיין, שנשא את נכדת ר׳ שמעון, מסורת המשפחה היא שר׳ שמעון לא ראה בעצמו תלמיד של ר׳ חיים אלא </w:t>
      </w:r>
      <w:proofErr w:type="spellStart"/>
      <w:r>
        <w:rPr>
          <w:rtl/>
        </w:rPr>
        <w:t>תלמיד־חבר</w:t>
      </w:r>
      <w:proofErr w:type="spellEnd"/>
      <w:r>
        <w:rPr>
          <w:rtl/>
        </w:rPr>
        <w:t>.</w:t>
      </w:r>
    </w:p>
    <w:p w14:paraId="6D08E237" w14:textId="77777777" w:rsidR="00AB3647" w:rsidRDefault="00000000" w:rsidP="007923E9">
      <w:pPr>
        <w:spacing w:after="120" w:line="276" w:lineRule="auto"/>
        <w:ind w:firstLine="283"/>
        <w:jc w:val="both"/>
      </w:pPr>
      <w:r>
        <w:rPr>
          <w:rtl/>
        </w:rPr>
        <w:t xml:space="preserve">השווה גם “עלי </w:t>
      </w:r>
      <w:proofErr w:type="spellStart"/>
      <w:r>
        <w:rPr>
          <w:rtl/>
        </w:rPr>
        <w:t>חלדי</w:t>
      </w:r>
      <w:proofErr w:type="spellEnd"/>
      <w:r>
        <w:rPr>
          <w:rtl/>
        </w:rPr>
        <w:t>”</w:t>
      </w:r>
      <w:bookmarkStart w:id="3833" w:name="_fnr2896"/>
      <w:r>
        <w:rPr>
          <w:rStyle w:val="a5"/>
        </w:rPr>
        <w:footnoteReference w:id="2904" w:customMarkFollows="0"/>
      </w:r>
      <w:bookmarkEnd w:id="3833"/>
      <w:r>
        <w:rPr>
          <w:rtl/>
        </w:rPr>
        <w:t xml:space="preserve">. לכאורה משתמע ממנו, בניגוד למעשה בסולייתו הקרועה של ר׳ שמעון, שהתלמידים לא היו צריכים להיעדר מן השיעורים בהיחבא. אבל ייתכן שזה היה המצב רק מאמצע שנות </w:t>
      </w:r>
      <w:proofErr w:type="spellStart"/>
      <w:r>
        <w:rPr>
          <w:rtl/>
        </w:rPr>
        <w:t>הת״ר־מ</w:t>
      </w:r>
      <w:proofErr w:type="spellEnd"/>
      <w:r>
        <w:rPr>
          <w:rtl/>
        </w:rPr>
        <w:t xml:space="preserve">׳, כשלמד </w:t>
      </w:r>
      <w:proofErr w:type="spellStart"/>
      <w:r>
        <w:rPr>
          <w:rtl/>
        </w:rPr>
        <w:t>בוולוז׳ין</w:t>
      </w:r>
      <w:proofErr w:type="spellEnd"/>
      <w:r>
        <w:rPr>
          <w:rtl/>
        </w:rPr>
        <w:t xml:space="preserve"> מחבר זיכרונות אלה, ר׳ יצחק </w:t>
      </w:r>
      <w:proofErr w:type="spellStart"/>
      <w:r>
        <w:rPr>
          <w:rtl/>
        </w:rPr>
        <w:t>ניסנבוים</w:t>
      </w:r>
      <w:proofErr w:type="spellEnd"/>
      <w:r>
        <w:rPr>
          <w:rtl/>
        </w:rPr>
        <w:t>.</w:t>
      </w:r>
    </w:p>
    <w:p w14:paraId="08DB4754" w14:textId="77777777" w:rsidR="00AB3647" w:rsidRDefault="00000000" w:rsidP="007923E9">
      <w:pPr>
        <w:spacing w:after="120" w:line="276" w:lineRule="auto"/>
        <w:ind w:firstLine="283"/>
        <w:jc w:val="both"/>
      </w:pPr>
      <w:r>
        <w:rPr>
          <w:rtl/>
        </w:rPr>
        <w:t xml:space="preserve">“עלי </w:t>
      </w:r>
      <w:proofErr w:type="spellStart"/>
      <w:r>
        <w:rPr>
          <w:rtl/>
        </w:rPr>
        <w:t>חלדי</w:t>
      </w:r>
      <w:proofErr w:type="spellEnd"/>
      <w:r>
        <w:rPr>
          <w:rtl/>
        </w:rPr>
        <w:t xml:space="preserve">” אומר: “שמיעת השיעורים לא הייתה חובה על התלמידים. </w:t>
      </w:r>
      <w:proofErr w:type="spellStart"/>
      <w:r>
        <w:rPr>
          <w:rtl/>
        </w:rPr>
        <w:t>כשהנצי״ב</w:t>
      </w:r>
      <w:proofErr w:type="spellEnd"/>
      <w:r>
        <w:rPr>
          <w:rtl/>
        </w:rPr>
        <w:t xml:space="preserve"> או ר׳ חיים נכנסו למסור את השיעור – תמיד בשעה הראשונה שלאחר חצות היום – דפק מישהו על הגמרא שלו כדי להודיע שמוסר השיעור הגיע. אז מי שלא רצה לשמוע את השיעור יצא מן הישיבה והלך לאכול את ארוחת הצהריים שלו, ומי שרצה לשמוע מיהר אל השולחן שבו נמסר השיעור”.</w:t>
      </w:r>
    </w:p>
    <w:bookmarkStart w:id="3834" w:name="b3_excDD"/>
    <w:p w14:paraId="5F4C11FE" w14:textId="77777777" w:rsidR="00AB3647" w:rsidRDefault="00000000" w:rsidP="007923E9">
      <w:pPr>
        <w:pStyle w:val="3"/>
        <w:spacing w:line="276" w:lineRule="auto"/>
      </w:pPr>
      <w:r>
        <w:lastRenderedPageBreak/>
        <w:fldChar w:fldCharType="begin" w:dirty="true"/>
      </w:r>
      <w:r>
        <w:rPr>
          <w:rtl w:val="0"/>
        </w:rPr>
        <w:instrText>HYPERLINK \l "b3_note128</w:instrText>
      </w:r>
      <w:r>
        <w:instrText>"</w:instrText>
      </w:r>
      <w:r>
        <w:fldChar w:fldCharType="separate"/>
      </w:r>
      <w:r>
        <w:t>נספח ל</w:t>
      </w:r>
      <w:r>
        <w:fldChar w:fldCharType="end"/>
      </w:r>
      <w:bookmarkEnd w:id="3834"/>
    </w:p>
    <w:p w14:paraId="045B2B1F" w14:textId="77777777" w:rsidR="00AB3647" w:rsidRDefault="00000000" w:rsidP="007923E9">
      <w:pPr>
        <w:pStyle w:val="af"/>
        <w:spacing w:line="276" w:lineRule="auto"/>
      </w:pPr>
      <w:r>
        <w:t xml:space="preserve">כיצד ראו התלמידים את הסבא </w:t>
      </w:r>
      <w:proofErr w:type="spellStart"/>
      <w:r>
        <w:t>מסלבודקה</w:t>
      </w:r>
      <w:proofErr w:type="spellEnd"/>
      <w:r>
        <w:t xml:space="preserve">, ועל הדרכת תלמידים בידי ר׳ חיים </w:t>
      </w:r>
      <w:proofErr w:type="spellStart"/>
      <w:r>
        <w:t>סולובייצ׳יק</w:t>
      </w:r>
      <w:proofErr w:type="spellEnd"/>
      <w:r>
        <w:t xml:space="preserve"> </w:t>
      </w:r>
      <w:proofErr w:type="spellStart"/>
      <w:r>
        <w:t>בוולוז׳ין</w:t>
      </w:r>
      <w:proofErr w:type="spellEnd"/>
    </w:p>
    <w:p w14:paraId="389202AE" w14:textId="77777777" w:rsidR="00AB3647" w:rsidRDefault="00000000" w:rsidP="007923E9">
      <w:pPr>
        <w:pStyle w:val="4"/>
        <w:spacing w:line="276" w:lineRule="auto"/>
      </w:pPr>
      <w:r>
        <w:t>· הפסקה הראשונה ·</w:t>
      </w:r>
    </w:p>
    <w:p w14:paraId="547D8C73" w14:textId="77777777" w:rsidR="00AB3647" w:rsidRDefault="00000000" w:rsidP="007923E9">
      <w:pPr>
        <w:pStyle w:val="5"/>
        <w:spacing w:line="276" w:lineRule="auto"/>
      </w:pPr>
      <w:r>
        <w:t>ריבוי פניו של הסבא משתקף בתלמידיו</w:t>
      </w:r>
    </w:p>
    <w:p w14:paraId="6F81FD4D" w14:textId="77777777" w:rsidR="00AB3647" w:rsidRDefault="00000000" w:rsidP="007923E9">
      <w:pPr>
        <w:spacing w:after="120" w:line="276" w:lineRule="auto"/>
        <w:ind w:firstLine="283"/>
        <w:jc w:val="both"/>
      </w:pPr>
      <w:r>
        <w:rPr>
          <w:rtl/>
        </w:rPr>
        <w:t xml:space="preserve">ר׳ דוד </w:t>
      </w:r>
      <w:proofErr w:type="spellStart"/>
      <w:r>
        <w:rPr>
          <w:rtl/>
        </w:rPr>
        <w:t>קמינצקי</w:t>
      </w:r>
      <w:bookmarkStart w:id="3835" w:name="_fnr2897"/>
      <w:proofErr w:type="spellEnd"/>
      <w:r>
        <w:rPr>
          <w:rStyle w:val="a5"/>
        </w:rPr>
        <w:footnoteReference w:id="2905" w:customMarkFollows="0"/>
      </w:r>
      <w:bookmarkEnd w:id="3835"/>
      <w:r>
        <w:rPr>
          <w:rtl/>
        </w:rPr>
        <w:t xml:space="preserve">. מסתבר שהסבא העדיף דווקא את ר׳ </w:t>
      </w:r>
      <w:proofErr w:type="spellStart"/>
      <w:r>
        <w:rPr>
          <w:rtl/>
        </w:rPr>
        <w:t>משה־מרדכי</w:t>
      </w:r>
      <w:proofErr w:type="spellEnd"/>
      <w:r>
        <w:rPr>
          <w:rtl/>
        </w:rPr>
        <w:t xml:space="preserve"> כראש ישיבת כנסת ישראל, מפני שכך יכול היה להחיל על התלמידים את שיטתו החינוכית, שעודדה אותם להתפתח בדרכים שונות, איש לפי כישרונותיו המיוחדים. יתר על כן, כל תלמיד ראה את עצמו מתפתח בדמותו של הסבא עצמו!</w:t>
      </w:r>
    </w:p>
    <w:p w14:paraId="68DF77E5" w14:textId="77777777" w:rsidR="00AB3647" w:rsidRDefault="00000000" w:rsidP="007923E9">
      <w:pPr>
        <w:spacing w:after="120" w:line="276" w:lineRule="auto"/>
        <w:ind w:firstLine="283"/>
        <w:jc w:val="both"/>
      </w:pPr>
      <w:r>
        <w:rPr>
          <w:rtl/>
        </w:rPr>
        <w:t xml:space="preserve">אבי הסביר זאת </w:t>
      </w:r>
      <w:proofErr w:type="spellStart"/>
      <w:r>
        <w:rPr>
          <w:rtl/>
        </w:rPr>
        <w:t>לר</w:t>
      </w:r>
      <w:proofErr w:type="spellEnd"/>
      <w:r>
        <w:rPr>
          <w:rtl/>
        </w:rPr>
        <w:t xml:space="preserve">׳ ישעיה </w:t>
      </w:r>
      <w:proofErr w:type="spellStart"/>
      <w:r>
        <w:rPr>
          <w:rtl/>
        </w:rPr>
        <w:t>פורטנוי</w:t>
      </w:r>
      <w:proofErr w:type="spellEnd"/>
      <w:r>
        <w:rPr>
          <w:rtl/>
        </w:rPr>
        <w:t>, כשבא עם איש צוות נוסף מישיבת קול תורה לשאול לדעתו על העסקתו של משגיח מסוים בישיבתם</w:t>
      </w:r>
      <w:bookmarkStart w:id="3836" w:name="_fnr2898"/>
      <w:r>
        <w:rPr>
          <w:rStyle w:val="a5"/>
        </w:rPr>
        <w:footnoteReference w:id="2906" w:customMarkFollows="0"/>
      </w:r>
      <w:bookmarkEnd w:id="3836"/>
      <w:r>
        <w:rPr>
          <w:rtl/>
        </w:rPr>
        <w:t xml:space="preserve">. לפני שנתן את עצתו תיאר אבי את כוחו של הסבא בחינוך תלמידים, ואמר: “לסבא היו חמישה תלמידים, וכל אחד היה שונה מחברו: ר׳ אהרן קוטלר – כולו תורה; ר׳ מאיר חדש – כולו מוסר; ר׳ </w:t>
      </w:r>
      <w:proofErr w:type="spellStart"/>
      <w:r>
        <w:rPr>
          <w:rtl/>
        </w:rPr>
        <w:t>חצקל</w:t>
      </w:r>
      <w:proofErr w:type="spellEnd"/>
      <w:r>
        <w:rPr>
          <w:rtl/>
        </w:rPr>
        <w:t xml:space="preserve"> </w:t>
      </w:r>
      <w:proofErr w:type="spellStart"/>
      <w:r>
        <w:rPr>
          <w:rtl/>
        </w:rPr>
        <w:t>סרנא</w:t>
      </w:r>
      <w:proofErr w:type="spellEnd"/>
      <w:r>
        <w:rPr>
          <w:rtl/>
        </w:rPr>
        <w:t xml:space="preserve"> – חריפות, המשלבת תורה ומחשבה; ר׳ יצחק </w:t>
      </w:r>
      <w:proofErr w:type="spellStart"/>
      <w:r>
        <w:rPr>
          <w:rtl/>
        </w:rPr>
        <w:t>הוטנר</w:t>
      </w:r>
      <w:proofErr w:type="spellEnd"/>
      <w:r>
        <w:rPr>
          <w:rtl/>
        </w:rPr>
        <w:t xml:space="preserve"> – מאמרים </w:t>
      </w:r>
      <w:proofErr w:type="spellStart"/>
      <w:r>
        <w:rPr>
          <w:rtl/>
        </w:rPr>
        <w:t>וענינים</w:t>
      </w:r>
      <w:proofErr w:type="spellEnd"/>
      <w:r>
        <w:rPr>
          <w:rtl/>
        </w:rPr>
        <w:t xml:space="preserve">; אני – </w:t>
      </w:r>
      <w:proofErr w:type="spellStart"/>
      <w:r>
        <w:rPr>
          <w:rtl/>
        </w:rPr>
        <w:t>פארקראכען</w:t>
      </w:r>
      <w:proofErr w:type="spellEnd"/>
      <w:r>
        <w:rPr>
          <w:rtl/>
        </w:rPr>
        <w:t xml:space="preserve"> [תעיתי] לעניינים צדדיים, [כגון] דקדוק והיסטוריה. וכל אחד יאמר לך שאת התחום שבחר הוא מייחס לסבא, וממנו לקח אותו. אילו היו לאב חמישה ילדים, אחד </w:t>
      </w:r>
      <w:proofErr w:type="spellStart"/>
      <w:r>
        <w:rPr>
          <w:rtl/>
        </w:rPr>
        <w:t>סאטמרי</w:t>
      </w:r>
      <w:proofErr w:type="spellEnd"/>
      <w:r>
        <w:rPr>
          <w:rtl/>
        </w:rPr>
        <w:t xml:space="preserve">, אחד ליטאי, אחד איש המזרחי, אחד חסיד גור </w:t>
      </w:r>
      <w:proofErr w:type="spellStart"/>
      <w:r>
        <w:rPr>
          <w:rtl/>
        </w:rPr>
        <w:t>וכו</w:t>
      </w:r>
      <w:proofErr w:type="spellEnd"/>
      <w:r>
        <w:rPr>
          <w:rtl/>
        </w:rPr>
        <w:t>׳, היית אומר שאין לאב חוט השדרה הדרוש לחינוך ילדיו; אבל אצל הסבא היה הדבר שונה. כל תלמיד התבונן בפן אחר של הסבא. אחד ראה אותו ‘</w:t>
      </w:r>
      <w:proofErr w:type="spellStart"/>
      <w:r>
        <w:rPr>
          <w:rtl/>
        </w:rPr>
        <w:t>מלאחריו</w:t>
      </w:r>
      <w:proofErr w:type="spellEnd"/>
      <w:r>
        <w:rPr>
          <w:rtl/>
        </w:rPr>
        <w:t>’</w:t>
      </w:r>
      <w:bookmarkStart w:id="3837" w:name="_fnr2899"/>
      <w:r>
        <w:rPr>
          <w:rStyle w:val="a5"/>
        </w:rPr>
        <w:footnoteReference w:id="2907" w:customMarkFollows="0"/>
      </w:r>
      <w:bookmarkEnd w:id="3837"/>
      <w:r>
        <w:rPr>
          <w:rtl/>
        </w:rPr>
        <w:t>, אחר ראה אותו ‘מלפניו’</w:t>
      </w:r>
      <w:bookmarkStart w:id="3838" w:name="_fnr2900"/>
      <w:r>
        <w:rPr>
          <w:rStyle w:val="a5"/>
        </w:rPr>
        <w:footnoteReference w:id="2908" w:customMarkFollows="0"/>
      </w:r>
      <w:bookmarkEnd w:id="3838"/>
      <w:r>
        <w:rPr>
          <w:rtl/>
        </w:rPr>
        <w:t xml:space="preserve">, ואחר ראה אותו מן הצד הימני </w:t>
      </w:r>
      <w:proofErr w:type="spellStart"/>
      <w:r>
        <w:rPr>
          <w:rtl/>
        </w:rPr>
        <w:t>וכו</w:t>
      </w:r>
      <w:proofErr w:type="spellEnd"/>
      <w:r>
        <w:rPr>
          <w:rtl/>
        </w:rPr>
        <w:t>׳.” לעניין שאלתם של ר׳ ישעיה ועמיתו הסיק רבנו שאישיותו של המועמד צרה מכדי להתאים לתפקיד.</w:t>
      </w:r>
    </w:p>
    <w:p w14:paraId="60076F05" w14:textId="77777777" w:rsidR="00AB3647" w:rsidRDefault="00000000" w:rsidP="007923E9">
      <w:pPr>
        <w:pStyle w:val="4"/>
        <w:spacing w:line="276" w:lineRule="auto"/>
      </w:pPr>
      <w:r>
        <w:t>· הפסקה השנייה ·</w:t>
      </w:r>
    </w:p>
    <w:p w14:paraId="183B0310" w14:textId="77777777" w:rsidR="00AB3647" w:rsidRDefault="00000000" w:rsidP="007923E9">
      <w:pPr>
        <w:pStyle w:val="5"/>
        <w:spacing w:line="276" w:lineRule="auto"/>
      </w:pPr>
      <w:r>
        <w:t xml:space="preserve">רבנו מציע שר׳ </w:t>
      </w:r>
      <w:proofErr w:type="spellStart"/>
      <w:r>
        <w:t>ברוך־בער</w:t>
      </w:r>
      <w:proofErr w:type="spellEnd"/>
      <w:r>
        <w:t xml:space="preserve"> יכול היה להיות גדול מכפי שהיה – ר׳ </w:t>
      </w:r>
      <w:proofErr w:type="spellStart"/>
      <w:r>
        <w:t>ברוך־בער</w:t>
      </w:r>
      <w:proofErr w:type="spellEnd"/>
      <w:r>
        <w:t xml:space="preserve"> לא עקר לגמרי את דרכו הטבעית – ר׳ חיים </w:t>
      </w:r>
      <w:proofErr w:type="spellStart"/>
      <w:r>
        <w:t>סולובייצ׳יק</w:t>
      </w:r>
      <w:proofErr w:type="spellEnd"/>
      <w:r>
        <w:t xml:space="preserve"> משבח ייחודיות מוגבלת</w:t>
      </w:r>
    </w:p>
    <w:p w14:paraId="2AF13409" w14:textId="77777777" w:rsidR="00AB3647" w:rsidRDefault="00000000" w:rsidP="007923E9">
      <w:pPr>
        <w:spacing w:after="120" w:line="276" w:lineRule="auto"/>
        <w:ind w:firstLine="283"/>
        <w:jc w:val="both"/>
      </w:pPr>
      <w:r>
        <w:rPr>
          <w:rtl/>
        </w:rPr>
        <w:t>רבנו דגל בהתלהבות בתורת החינוך של הסבא, ולכן הגיע למסקנה הנועזת שהשמיע בפומבי בשיחה בישיבת פילדלפיה</w:t>
      </w:r>
      <w:bookmarkStart w:id="3839" w:name="_fnr2901"/>
      <w:r>
        <w:rPr>
          <w:rStyle w:val="a5"/>
        </w:rPr>
        <w:footnoteReference w:id="2909" w:customMarkFollows="0"/>
      </w:r>
      <w:bookmarkEnd w:id="3839"/>
      <w:r>
        <w:rPr>
          <w:rtl/>
        </w:rPr>
        <w:t xml:space="preserve">: ר׳ </w:t>
      </w:r>
      <w:proofErr w:type="spellStart"/>
      <w:r>
        <w:rPr>
          <w:rtl/>
        </w:rPr>
        <w:t>ברוך־בער</w:t>
      </w:r>
      <w:proofErr w:type="spellEnd"/>
      <w:r>
        <w:rPr>
          <w:rtl/>
        </w:rPr>
        <w:t xml:space="preserve"> </w:t>
      </w:r>
      <w:proofErr w:type="spellStart"/>
      <w:r>
        <w:rPr>
          <w:rtl/>
        </w:rPr>
        <w:t>ליבוביץ</w:t>
      </w:r>
      <w:proofErr w:type="spellEnd"/>
      <w:r>
        <w:rPr>
          <w:rtl/>
        </w:rPr>
        <w:t xml:space="preserve">, תלמידו המובהק והמסור כליל של ר׳ חיים </w:t>
      </w:r>
      <w:proofErr w:type="spellStart"/>
      <w:r>
        <w:rPr>
          <w:rtl/>
        </w:rPr>
        <w:t>סולובייצ׳יק</w:t>
      </w:r>
      <w:bookmarkStart w:id="3840" w:name="_fnr2902"/>
      <w:proofErr w:type="spellEnd"/>
      <w:r>
        <w:rPr>
          <w:rStyle w:val="a5"/>
        </w:rPr>
        <w:footnoteReference w:id="2910" w:customMarkFollows="0"/>
      </w:r>
      <w:bookmarkEnd w:id="3840"/>
      <w:r>
        <w:rPr>
          <w:rtl/>
        </w:rPr>
        <w:t xml:space="preserve">, היה נעשה גדול יותר אילו לא דחק את דרך הלימוד </w:t>
      </w:r>
      <w:r>
        <w:rPr>
          <w:b/>
          <w:bCs/>
          <w:rtl/>
        </w:rPr>
        <w:t>שאליה נטה מטבעו</w:t>
      </w:r>
      <w:r>
        <w:rPr>
          <w:rtl/>
        </w:rPr>
        <w:t xml:space="preserve"> מפני שיטת רבו.</w:t>
      </w:r>
    </w:p>
    <w:p w14:paraId="02661218" w14:textId="77777777" w:rsidR="00AB3647" w:rsidRDefault="00000000" w:rsidP="007923E9">
      <w:pPr>
        <w:spacing w:after="120" w:line="276" w:lineRule="auto"/>
        <w:ind w:firstLine="283"/>
        <w:jc w:val="both"/>
      </w:pPr>
      <w:r>
        <w:rPr>
          <w:rtl/>
        </w:rPr>
        <w:lastRenderedPageBreak/>
        <w:t>“ר׳ ברוך בר”</w:t>
      </w:r>
      <w:bookmarkStart w:id="3841" w:name="_fnr2903"/>
      <w:r>
        <w:rPr>
          <w:rStyle w:val="a5"/>
        </w:rPr>
        <w:footnoteReference w:id="2911" w:customMarkFollows="0"/>
      </w:r>
      <w:bookmarkEnd w:id="3841"/>
      <w:r>
        <w:rPr>
          <w:rtl/>
        </w:rPr>
        <w:t xml:space="preserve"> מספר שכאשר בא ר׳ </w:t>
      </w:r>
      <w:proofErr w:type="spellStart"/>
      <w:r>
        <w:rPr>
          <w:rtl/>
        </w:rPr>
        <w:t>ברוך־בער</w:t>
      </w:r>
      <w:proofErr w:type="spellEnd"/>
      <w:r>
        <w:rPr>
          <w:rtl/>
        </w:rPr>
        <w:t xml:space="preserve"> </w:t>
      </w:r>
      <w:proofErr w:type="spellStart"/>
      <w:r>
        <w:rPr>
          <w:rtl/>
        </w:rPr>
        <w:t>מסלוצק</w:t>
      </w:r>
      <w:proofErr w:type="spellEnd"/>
      <w:r>
        <w:rPr>
          <w:rtl/>
        </w:rPr>
        <w:t xml:space="preserve"> עיר הולדתו </w:t>
      </w:r>
      <w:proofErr w:type="spellStart"/>
      <w:r>
        <w:rPr>
          <w:rtl/>
        </w:rPr>
        <w:t>ו“הציף</w:t>
      </w:r>
      <w:proofErr w:type="spellEnd"/>
      <w:r>
        <w:rPr>
          <w:rtl/>
        </w:rPr>
        <w:t xml:space="preserve">” את </w:t>
      </w:r>
      <w:proofErr w:type="spellStart"/>
      <w:r>
        <w:rPr>
          <w:rtl/>
        </w:rPr>
        <w:t>וולוז׳ין</w:t>
      </w:r>
      <w:proofErr w:type="spellEnd"/>
      <w:r>
        <w:rPr>
          <w:rtl/>
        </w:rPr>
        <w:t xml:space="preserve"> בפלפוליו, לעגו לו חבריו. כשהתלונן בפני ר׳ חיים, אמר לו הלה בגלוי: “אבל </w:t>
      </w:r>
      <w:proofErr w:type="spellStart"/>
      <w:r>
        <w:rPr>
          <w:rtl/>
        </w:rPr>
        <w:t>סלוצקאי</w:t>
      </w:r>
      <w:proofErr w:type="spellEnd"/>
      <w:r>
        <w:rPr>
          <w:rtl/>
        </w:rPr>
        <w:t xml:space="preserve"> קטן, הם צודקים!” לאחר ששינה את דרך לימודו והתאים אותה לדרך רבו, ושוב לעגו לו, אמר לו ר׳ חיים: “</w:t>
      </w:r>
      <w:proofErr w:type="spellStart"/>
      <w:r>
        <w:rPr>
          <w:rtl/>
        </w:rPr>
        <w:t>סלוצקאי</w:t>
      </w:r>
      <w:proofErr w:type="spellEnd"/>
      <w:r>
        <w:rPr>
          <w:rtl/>
        </w:rPr>
        <w:t xml:space="preserve"> קטן, אל תשים לב, מפני שאתה צודק!”</w:t>
      </w:r>
    </w:p>
    <w:p w14:paraId="20D0C783" w14:textId="77777777" w:rsidR="00AB3647" w:rsidRDefault="00000000" w:rsidP="007923E9">
      <w:pPr>
        <w:spacing w:after="120" w:line="276" w:lineRule="auto"/>
        <w:ind w:firstLine="283"/>
        <w:jc w:val="both"/>
      </w:pPr>
      <w:r>
        <w:rPr>
          <w:rtl/>
        </w:rPr>
        <w:t xml:space="preserve">אחיינו של ר׳ </w:t>
      </w:r>
      <w:proofErr w:type="spellStart"/>
      <w:r>
        <w:rPr>
          <w:rtl/>
        </w:rPr>
        <w:t>ברוך־בער</w:t>
      </w:r>
      <w:proofErr w:type="spellEnd"/>
      <w:r>
        <w:rPr>
          <w:rtl/>
        </w:rPr>
        <w:t>, ר׳ ישראל גרבר, סיפר</w:t>
      </w:r>
      <w:bookmarkStart w:id="3842" w:name="_fnr2904"/>
      <w:r>
        <w:rPr>
          <w:rStyle w:val="a5"/>
        </w:rPr>
        <w:footnoteReference w:id="2912" w:customMarkFollows="0"/>
      </w:r>
      <w:bookmarkEnd w:id="3842"/>
      <w:r>
        <w:rPr>
          <w:rtl/>
        </w:rPr>
        <w:t xml:space="preserve"> שדודו אמר כי בבואו </w:t>
      </w:r>
      <w:proofErr w:type="spellStart"/>
      <w:r>
        <w:rPr>
          <w:rtl/>
        </w:rPr>
        <w:t>לוולוז׳ין</w:t>
      </w:r>
      <w:proofErr w:type="spellEnd"/>
      <w:r>
        <w:rPr>
          <w:rtl/>
        </w:rPr>
        <w:t xml:space="preserve"> נהג ללכת לבית ר׳ חיים אחרי סעודה שלישית, בשעה שהיו שם כמה תלמידים מבוגרים. ר׳ חיים היה שואל: “</w:t>
      </w:r>
      <w:proofErr w:type="spellStart"/>
      <w:r>
        <w:rPr>
          <w:rtl/>
        </w:rPr>
        <w:t>סלוצקאי</w:t>
      </w:r>
      <w:proofErr w:type="spellEnd"/>
      <w:r>
        <w:rPr>
          <w:rtl/>
        </w:rPr>
        <w:t xml:space="preserve"> קטן, איזו ‘סחורה’ יש לך לומר?” והוא היה מתחיל לומר פלפולים. כשאחד הבחורים הפסיקו בשאלה, ניסה ר׳ </w:t>
      </w:r>
      <w:proofErr w:type="spellStart"/>
      <w:r>
        <w:rPr>
          <w:rtl/>
        </w:rPr>
        <w:t>ברוך־בער</w:t>
      </w:r>
      <w:proofErr w:type="spellEnd"/>
      <w:r>
        <w:rPr>
          <w:rtl/>
        </w:rPr>
        <w:t xml:space="preserve"> לדלג עליה כדי להמשיך לבנות את המבנה המענג של פלפולו, אבל ר׳ חיים היה עוצר אותו ואומר: “אבל הוא שואל שאלה טובה!” “אז הבנתי”, סיים ר׳ </w:t>
      </w:r>
      <w:proofErr w:type="spellStart"/>
      <w:r>
        <w:rPr>
          <w:rtl/>
        </w:rPr>
        <w:t>ברוך־בער</w:t>
      </w:r>
      <w:proofErr w:type="spellEnd"/>
      <w:r>
        <w:rPr>
          <w:rtl/>
        </w:rPr>
        <w:t xml:space="preserve">, “שעלי לחדול מאמירת פלפולים ולהתרכז </w:t>
      </w:r>
      <w:proofErr w:type="spellStart"/>
      <w:r>
        <w:rPr>
          <w:rtl/>
        </w:rPr>
        <w:t>ב‘דברים</w:t>
      </w:r>
      <w:proofErr w:type="spellEnd"/>
      <w:r>
        <w:rPr>
          <w:rtl/>
        </w:rPr>
        <w:t>’ קצרים וקולעים, שעליהם יאמר ר׳ חיים: ‘זה טוב!’”</w:t>
      </w:r>
    </w:p>
    <w:p w14:paraId="0482A731" w14:textId="77777777" w:rsidR="00AB3647" w:rsidRDefault="00000000" w:rsidP="007923E9">
      <w:pPr>
        <w:spacing w:after="120" w:line="276" w:lineRule="auto"/>
        <w:ind w:firstLine="283"/>
        <w:jc w:val="both"/>
      </w:pPr>
      <w:r>
        <w:rPr>
          <w:rtl/>
        </w:rPr>
        <w:t xml:space="preserve">על הסתייגותו של ר׳ חיים </w:t>
      </w:r>
      <w:proofErr w:type="spellStart"/>
      <w:r>
        <w:rPr>
          <w:rtl/>
        </w:rPr>
        <w:t>סולובייצ׳יק</w:t>
      </w:r>
      <w:proofErr w:type="spellEnd"/>
      <w:r>
        <w:rPr>
          <w:rtl/>
        </w:rPr>
        <w:t xml:space="preserve"> מפלפול סיפר ר׳ לייב בקשט</w:t>
      </w:r>
      <w:bookmarkStart w:id="3843" w:name="_fnr2905"/>
      <w:r>
        <w:rPr>
          <w:rStyle w:val="a5"/>
        </w:rPr>
        <w:footnoteReference w:id="2913" w:customMarkFollows="0"/>
      </w:r>
      <w:bookmarkEnd w:id="3843"/>
      <w:r>
        <w:rPr>
          <w:rtl/>
        </w:rPr>
        <w:t xml:space="preserve"> שכאשר חזר ר׳ </w:t>
      </w:r>
      <w:proofErr w:type="spellStart"/>
      <w:r>
        <w:rPr>
          <w:rtl/>
        </w:rPr>
        <w:t>משה־מרדכי</w:t>
      </w:r>
      <w:proofErr w:type="spellEnd"/>
      <w:r>
        <w:rPr>
          <w:rtl/>
        </w:rPr>
        <w:t xml:space="preserve"> בפני רבו במינסק על פלפול, אמר ר׳ חיים על הפלפולים: “אם ניקח את הגמרא ביד, בנינים שלמים מתפרקים.” בלשונו של ר׳ חיים, “לקחת את הגמרא ביד” פירושו היה להבין את הפשט הנכון בסוגיה.</w:t>
      </w:r>
    </w:p>
    <w:p w14:paraId="2354A891" w14:textId="77777777" w:rsidR="00AB3647" w:rsidRDefault="00000000" w:rsidP="007923E9">
      <w:pPr>
        <w:spacing w:after="120" w:line="276" w:lineRule="auto"/>
        <w:ind w:firstLine="283"/>
        <w:jc w:val="both"/>
      </w:pPr>
      <w:r>
        <w:rPr>
          <w:rtl/>
        </w:rPr>
        <w:t>מסופר שם</w:t>
      </w:r>
      <w:bookmarkStart w:id="3844" w:name="_fnr2906"/>
      <w:r>
        <w:rPr>
          <w:rStyle w:val="a5"/>
        </w:rPr>
        <w:footnoteReference w:id="2914" w:customMarkFollows="0"/>
      </w:r>
      <w:bookmarkEnd w:id="3844"/>
      <w:r>
        <w:rPr>
          <w:rtl/>
        </w:rPr>
        <w:t xml:space="preserve"> שר׳ </w:t>
      </w:r>
      <w:proofErr w:type="spellStart"/>
      <w:r>
        <w:rPr>
          <w:rtl/>
        </w:rPr>
        <w:t>ברוך־בער</w:t>
      </w:r>
      <w:proofErr w:type="spellEnd"/>
      <w:r>
        <w:rPr>
          <w:rtl/>
        </w:rPr>
        <w:t xml:space="preserve"> “היה רגיל לומר (בשנים שכבר שימש ראש ישיבה) שהיה מחבר עשרים כרכים, אלמלא (אימץ את דרך הלימוד של) רבו”. בשנותיו </w:t>
      </w:r>
      <w:proofErr w:type="spellStart"/>
      <w:r>
        <w:rPr>
          <w:rtl/>
        </w:rPr>
        <w:t>בוולוז׳ין</w:t>
      </w:r>
      <w:proofErr w:type="spellEnd"/>
      <w:r>
        <w:rPr>
          <w:rtl/>
        </w:rPr>
        <w:t xml:space="preserve">, ולאחר מכן </w:t>
      </w:r>
      <w:proofErr w:type="spellStart"/>
      <w:r>
        <w:rPr>
          <w:rtl/>
        </w:rPr>
        <w:t>בהלוסק</w:t>
      </w:r>
      <w:proofErr w:type="spellEnd"/>
      <w:r>
        <w:rPr>
          <w:rtl/>
        </w:rPr>
        <w:t xml:space="preserve">, לא עקר ר׳ </w:t>
      </w:r>
      <w:proofErr w:type="spellStart"/>
      <w:r>
        <w:rPr>
          <w:rtl/>
        </w:rPr>
        <w:t>ברוך־בער</w:t>
      </w:r>
      <w:proofErr w:type="spellEnd"/>
      <w:r>
        <w:rPr>
          <w:rtl/>
        </w:rPr>
        <w:t xml:space="preserve"> לגמרי את דרך לימודו הטבעית. הדבר מוכח מכך שכאשר נתמנה לראש ישיבת כנסת בית יצחק </w:t>
      </w:r>
      <w:proofErr w:type="spellStart"/>
      <w:r>
        <w:rPr>
          <w:rtl/>
        </w:rPr>
        <w:t>בסלבודקה</w:t>
      </w:r>
      <w:proofErr w:type="spellEnd"/>
      <w:r>
        <w:rPr>
          <w:rtl/>
        </w:rPr>
        <w:t xml:space="preserve">, בחר לשיעורו הראשון חידוש שחידש עשרים ושתיים שנים קודם לכן, כשהיה בן </w:t>
      </w:r>
      <w:proofErr w:type="spellStart"/>
      <w:r>
        <w:rPr>
          <w:rtl/>
        </w:rPr>
        <w:t>שש־עשרה</w:t>
      </w:r>
      <w:proofErr w:type="spellEnd"/>
      <w:r>
        <w:rPr>
          <w:rtl/>
        </w:rPr>
        <w:t>. הוא הסביר שלמעמד כזה בחר דבר שבו חש נינוח ביותר. “</w:t>
      </w:r>
      <w:proofErr w:type="spellStart"/>
      <w:r>
        <w:rPr>
          <w:rtl/>
        </w:rPr>
        <w:t>זיי</w:t>
      </w:r>
      <w:proofErr w:type="spellEnd"/>
      <w:r>
        <w:rPr>
          <w:rtl/>
        </w:rPr>
        <w:t xml:space="preserve"> </w:t>
      </w:r>
      <w:proofErr w:type="spellStart"/>
      <w:r>
        <w:rPr>
          <w:rtl/>
        </w:rPr>
        <w:t>זיינען</w:t>
      </w:r>
      <w:proofErr w:type="spellEnd"/>
      <w:r>
        <w:rPr>
          <w:rtl/>
        </w:rPr>
        <w:t xml:space="preserve"> </w:t>
      </w:r>
      <w:proofErr w:type="spellStart"/>
      <w:r>
        <w:rPr>
          <w:rtl/>
        </w:rPr>
        <w:t>אהן</w:t>
      </w:r>
      <w:proofErr w:type="spellEnd"/>
      <w:r>
        <w:rPr>
          <w:rtl/>
        </w:rPr>
        <w:t xml:space="preserve"> </w:t>
      </w:r>
      <w:proofErr w:type="spellStart"/>
      <w:r>
        <w:rPr>
          <w:rtl/>
        </w:rPr>
        <w:t>נערווען</w:t>
      </w:r>
      <w:proofErr w:type="spellEnd"/>
      <w:r>
        <w:rPr>
          <w:rtl/>
        </w:rPr>
        <w:t xml:space="preserve"> [אלה [החידושים] [טבעיים לי, ו]אין בהם עצבנות]”, אמר</w:t>
      </w:r>
      <w:bookmarkStart w:id="3845" w:name="_fnr2907"/>
      <w:r>
        <w:rPr>
          <w:rStyle w:val="a5"/>
        </w:rPr>
        <w:footnoteReference w:id="2915" w:customMarkFollows="0"/>
      </w:r>
      <w:bookmarkEnd w:id="3845"/>
      <w:r>
        <w:rPr>
          <w:rtl/>
        </w:rPr>
        <w:t>.</w:t>
      </w:r>
    </w:p>
    <w:p w14:paraId="01D38B23" w14:textId="77777777" w:rsidR="00AB3647" w:rsidRDefault="00000000" w:rsidP="007923E9">
      <w:pPr>
        <w:spacing w:after="120" w:line="276" w:lineRule="auto"/>
        <w:ind w:firstLine="283"/>
        <w:jc w:val="both"/>
      </w:pPr>
      <w:r>
        <w:rPr>
          <w:rtl/>
        </w:rPr>
        <w:t xml:space="preserve">נראה שאף שזמן קצר לאחר שהצטרף לישיבת </w:t>
      </w:r>
      <w:proofErr w:type="spellStart"/>
      <w:r>
        <w:rPr>
          <w:rtl/>
        </w:rPr>
        <w:t>וולוז׳ין</w:t>
      </w:r>
      <w:proofErr w:type="spellEnd"/>
      <w:r>
        <w:rPr>
          <w:rtl/>
        </w:rPr>
        <w:t xml:space="preserve"> בגיל </w:t>
      </w:r>
      <w:proofErr w:type="spellStart"/>
      <w:r>
        <w:rPr>
          <w:rtl/>
        </w:rPr>
        <w:t>שש־עשרה</w:t>
      </w:r>
      <w:bookmarkStart w:id="3846" w:name="_fnr2908"/>
      <w:proofErr w:type="spellEnd"/>
      <w:r>
        <w:rPr>
          <w:rStyle w:val="a5"/>
        </w:rPr>
        <w:footnoteReference w:id="2916" w:customMarkFollows="0"/>
      </w:r>
      <w:bookmarkEnd w:id="3846"/>
      <w:r>
        <w:rPr>
          <w:rtl/>
        </w:rPr>
        <w:t xml:space="preserve"> התבטל בפני רבו ביטול שאין דומה לו, נשארו תפיסותיו הפנימיות ביותר – אלה שצפו ועלו בשעת לחץ – רעיונותיו הטבעיים, שקדמו ללימודו אצל ר׳ חיים!</w:t>
      </w:r>
    </w:p>
    <w:p w14:paraId="2B8D63A1" w14:textId="77777777" w:rsidR="00AB3647" w:rsidRDefault="00000000" w:rsidP="007923E9">
      <w:pPr>
        <w:spacing w:after="120" w:line="276" w:lineRule="auto"/>
        <w:ind w:firstLine="283"/>
        <w:jc w:val="both"/>
      </w:pPr>
      <w:proofErr w:type="spellStart"/>
      <w:r>
        <w:rPr>
          <w:rtl/>
        </w:rPr>
        <w:t>ב“תורת</w:t>
      </w:r>
      <w:proofErr w:type="spellEnd"/>
      <w:r>
        <w:rPr>
          <w:rtl/>
        </w:rPr>
        <w:t xml:space="preserve"> חיים”</w:t>
      </w:r>
      <w:bookmarkStart w:id="3847" w:name="_fnr2909"/>
      <w:r>
        <w:rPr>
          <w:rStyle w:val="a5"/>
        </w:rPr>
        <w:footnoteReference w:id="2917" w:customMarkFollows="0"/>
      </w:r>
      <w:bookmarkEnd w:id="3847"/>
      <w:r>
        <w:rPr>
          <w:rtl/>
        </w:rPr>
        <w:t xml:space="preserve"> מסופר שר׳ חיים אמר פעם לאחד הבחורים: “אינני רוצה שתלמד ותחשוב כפי שאני לומד וחושב; אני רוצה שתלמד ותחשוב כפי שאתה צריך ויכול לחשוב...” בהמשך מסופר: “פעם אחת, אחרי שיעורו של ר׳ חיים, התאספו ר׳ </w:t>
      </w:r>
      <w:proofErr w:type="spellStart"/>
      <w:r>
        <w:rPr>
          <w:rtl/>
        </w:rPr>
        <w:t>ברוך־בער</w:t>
      </w:r>
      <w:proofErr w:type="spellEnd"/>
      <w:r>
        <w:rPr>
          <w:rtl/>
        </w:rPr>
        <w:t xml:space="preserve">, ר׳ שמעון </w:t>
      </w:r>
      <w:proofErr w:type="spellStart"/>
      <w:r>
        <w:rPr>
          <w:rtl/>
        </w:rPr>
        <w:t>שקופ</w:t>
      </w:r>
      <w:proofErr w:type="spellEnd"/>
      <w:r>
        <w:rPr>
          <w:rtl/>
        </w:rPr>
        <w:t xml:space="preserve"> ואחרים כדי לדון במה שאמר ר׳ חיים ומה הייתה כוונתו, אבל לא הגיעו להסכמה. החליטו </w:t>
      </w:r>
      <w:r>
        <w:rPr>
          <w:rtl/>
        </w:rPr>
        <w:lastRenderedPageBreak/>
        <w:t>לשאול את ר׳ חיים עצמו למה התכוון, והוא השיב: ‘באמת, התכוונתי לכל ההסברים, כדי שכל אחד יוכל להבין בשכלו ובהבנתו שלו.’”</w:t>
      </w:r>
    </w:p>
    <w:p w14:paraId="6A33EDE1" w14:textId="77777777" w:rsidR="00AB3647" w:rsidRDefault="00000000" w:rsidP="007923E9">
      <w:pPr>
        <w:spacing w:after="120" w:line="276" w:lineRule="auto"/>
        <w:ind w:firstLine="283"/>
        <w:jc w:val="both"/>
      </w:pPr>
      <w:r>
        <w:rPr>
          <w:rtl/>
        </w:rPr>
        <w:t xml:space="preserve">מסתבר שר׳ חיים לא הביע כאן את אותה השקפה שהביע רבנו. הוא דיבר רק על </w:t>
      </w:r>
      <w:r>
        <w:rPr>
          <w:b/>
          <w:bCs/>
          <w:rtl/>
        </w:rPr>
        <w:t>הגדרת הרעיונות</w:t>
      </w:r>
      <w:r>
        <w:rPr>
          <w:rtl/>
        </w:rPr>
        <w:t>: כל אדם מבין עניין אחרת, ועליו להסבירו במילים ובמונחים המיוחדים לו. אבל הוא שלל כל מידה של הסכמה לדרך לימוד שאינה דרכו שלו.</w:t>
      </w:r>
    </w:p>
    <w:p w14:paraId="6539D223" w14:textId="77777777" w:rsidR="00AB3647" w:rsidRDefault="00000000" w:rsidP="007923E9">
      <w:pPr>
        <w:spacing w:after="120" w:line="276" w:lineRule="auto"/>
        <w:ind w:firstLine="283"/>
        <w:jc w:val="both"/>
      </w:pPr>
      <w:r>
        <w:rPr>
          <w:rtl/>
        </w:rPr>
        <w:t xml:space="preserve">הבחנה זו מיישבת את הסתירה הנראית בין השקפתו של ר׳ חיים על תלמידו ר׳ </w:t>
      </w:r>
      <w:proofErr w:type="spellStart"/>
      <w:r>
        <w:rPr>
          <w:rtl/>
        </w:rPr>
        <w:t>איסר־זלמן</w:t>
      </w:r>
      <w:proofErr w:type="spellEnd"/>
      <w:r>
        <w:rPr>
          <w:rtl/>
        </w:rPr>
        <w:t xml:space="preserve"> לבין העצה שנתן לו. מצד אחד סבר ר׳ חיים שר׳ </w:t>
      </w:r>
      <w:proofErr w:type="spellStart"/>
      <w:r>
        <w:rPr>
          <w:rtl/>
        </w:rPr>
        <w:t>איסר־זלמן</w:t>
      </w:r>
      <w:proofErr w:type="spellEnd"/>
      <w:r>
        <w:rPr>
          <w:rtl/>
        </w:rPr>
        <w:t xml:space="preserve"> לא נעשה “גאון עולם” מפני שלא אימץ במלואה את שיטתו שלו, של ר׳ חיים, בלימוד – אומנם מחמת חסידותו</w:t>
      </w:r>
      <w:bookmarkStart w:id="3848" w:name="_fnr2910"/>
      <w:r>
        <w:rPr>
          <w:rStyle w:val="a5"/>
        </w:rPr>
        <w:footnoteReference w:id="2918" w:customMarkFollows="0"/>
      </w:r>
      <w:bookmarkEnd w:id="3848"/>
      <w:r>
        <w:rPr>
          <w:rtl/>
        </w:rPr>
        <w:t xml:space="preserve">. מצד שני, ממעשה שאירע בינו לבין רבו הסיק ר׳ </w:t>
      </w:r>
      <w:proofErr w:type="spellStart"/>
      <w:r>
        <w:rPr>
          <w:rtl/>
        </w:rPr>
        <w:t>איסר־זלמן</w:t>
      </w:r>
      <w:proofErr w:type="spellEnd"/>
      <w:r>
        <w:rPr>
          <w:rtl/>
        </w:rPr>
        <w:t xml:space="preserve"> שר׳ חיים מייעץ לו “שלא יחקה את ר׳ חיים, אלא יסלול את דרכו שלו”</w:t>
      </w:r>
      <w:bookmarkStart w:id="3849" w:name="_fnr2911"/>
      <w:r>
        <w:rPr>
          <w:rStyle w:val="a5"/>
        </w:rPr>
        <w:footnoteReference w:id="2919" w:customMarkFollows="0"/>
      </w:r>
      <w:bookmarkEnd w:id="3849"/>
      <w:r>
        <w:rPr>
          <w:rtl/>
        </w:rPr>
        <w:t>. אין סתירה בין שני העקרונות: את ההבנה הנכונה והשלמה של הנושא יש לקבל מן הרב, ואילו דרך הגדרת המושג צריכה להיות של התלמיד עצמו.</w:t>
      </w:r>
    </w:p>
    <w:bookmarkStart w:id="3850" w:name="b3_excEE"/>
    <w:p w14:paraId="763F7D27" w14:textId="77777777" w:rsidR="00AB3647" w:rsidRDefault="00000000" w:rsidP="007923E9">
      <w:pPr>
        <w:pStyle w:val="3"/>
        <w:spacing w:line="276" w:lineRule="auto"/>
      </w:pPr>
      <w:r>
        <w:lastRenderedPageBreak/>
        <w:fldChar w:fldCharType="begin" w:dirty="true"/>
      </w:r>
      <w:r>
        <w:rPr>
          <w:rtl w:val="0"/>
        </w:rPr>
        <w:instrText>HYPERLINK \l "b3_note132</w:instrText>
      </w:r>
      <w:r>
        <w:instrText>"</w:instrText>
      </w:r>
      <w:r>
        <w:fldChar w:fldCharType="separate"/>
      </w:r>
      <w:r>
        <w:t>נספח לא</w:t>
      </w:r>
      <w:r>
        <w:fldChar w:fldCharType="end"/>
      </w:r>
      <w:bookmarkEnd w:id="3850"/>
    </w:p>
    <w:p w14:paraId="7CB12558" w14:textId="77777777" w:rsidR="00AB3647" w:rsidRDefault="00000000" w:rsidP="007923E9">
      <w:pPr>
        <w:pStyle w:val="af"/>
        <w:spacing w:line="276" w:lineRule="auto"/>
      </w:pPr>
      <w:r>
        <w:t xml:space="preserve">על הקפדתו של ר׳ חיים </w:t>
      </w:r>
      <w:proofErr w:type="spellStart"/>
      <w:r>
        <w:t>סולובייצ׳יק</w:t>
      </w:r>
      <w:proofErr w:type="spellEnd"/>
      <w:r>
        <w:t xml:space="preserve"> על דיוק בדיבור ובדפוס</w:t>
      </w:r>
    </w:p>
    <w:p w14:paraId="32F29BA1" w14:textId="77777777" w:rsidR="00AB3647" w:rsidRDefault="00000000" w:rsidP="007923E9">
      <w:pPr>
        <w:pStyle w:val="5"/>
        <w:spacing w:line="276" w:lineRule="auto"/>
      </w:pPr>
      <w:r>
        <w:t xml:space="preserve">ר׳ חיים </w:t>
      </w:r>
      <w:proofErr w:type="spellStart"/>
      <w:r>
        <w:t>סולובייצ׳יק</w:t>
      </w:r>
      <w:proofErr w:type="spellEnd"/>
      <w:r>
        <w:t xml:space="preserve"> מתנער ממסורות שאינן מדויקות – הוא נוסע ברכבת בלי להזדהות – שני תלמידי </w:t>
      </w:r>
      <w:proofErr w:type="spellStart"/>
      <w:r>
        <w:t>סלבודקה</w:t>
      </w:r>
      <w:proofErr w:type="spellEnd"/>
      <w:r>
        <w:t xml:space="preserve"> חוזרים על חידושים המיוחסים לו – ר׳ </w:t>
      </w:r>
      <w:proofErr w:type="spellStart"/>
      <w:r>
        <w:t>ברוך־בער</w:t>
      </w:r>
      <w:proofErr w:type="spellEnd"/>
      <w:r>
        <w:t xml:space="preserve"> מופתע שרבו מכחיש את בעלותו עליהם – ר׳ חיים שוקל כל מילה לקראת הדפוס – ר׳ </w:t>
      </w:r>
      <w:proofErr w:type="spellStart"/>
      <w:r>
        <w:t>ברוך־בער</w:t>
      </w:r>
      <w:proofErr w:type="spellEnd"/>
      <w:r>
        <w:t xml:space="preserve"> בוחן כל תגובה של רבו – ר׳ חיים ממליץ על ר׳ ראובן </w:t>
      </w:r>
      <w:proofErr w:type="spellStart"/>
      <w:r>
        <w:t>גרוזובסקי</w:t>
      </w:r>
      <w:proofErr w:type="spellEnd"/>
      <w:r>
        <w:t xml:space="preserve"> בפני תלמידו</w:t>
      </w:r>
    </w:p>
    <w:p w14:paraId="2049304E" w14:textId="77777777" w:rsidR="00AB3647" w:rsidRDefault="00000000" w:rsidP="007923E9">
      <w:pPr>
        <w:spacing w:after="120" w:line="276" w:lineRule="auto"/>
        <w:ind w:firstLine="283"/>
        <w:jc w:val="both"/>
      </w:pPr>
      <w:r>
        <w:rPr>
          <w:rtl/>
        </w:rPr>
        <w:t>ר׳ יצחק פרמן סיפר</w:t>
      </w:r>
      <w:bookmarkStart w:id="3851" w:name="_fnr2912"/>
      <w:r>
        <w:rPr>
          <w:rStyle w:val="a5"/>
        </w:rPr>
        <w:footnoteReference w:id="2920" w:customMarkFollows="0"/>
      </w:r>
      <w:bookmarkEnd w:id="3851"/>
      <w:r>
        <w:rPr>
          <w:rtl/>
        </w:rPr>
        <w:t xml:space="preserve">: “כשמכרי ר׳ </w:t>
      </w:r>
      <w:proofErr w:type="spellStart"/>
      <w:r>
        <w:rPr>
          <w:rtl/>
        </w:rPr>
        <w:t>שלמה־פייבל</w:t>
      </w:r>
      <w:proofErr w:type="spellEnd"/>
      <w:r>
        <w:rPr>
          <w:rtl/>
        </w:rPr>
        <w:t xml:space="preserve"> </w:t>
      </w:r>
      <w:proofErr w:type="spellStart"/>
      <w:r>
        <w:rPr>
          <w:rtl/>
        </w:rPr>
        <w:t>שוסטל</w:t>
      </w:r>
      <w:proofErr w:type="spellEnd"/>
      <w:r>
        <w:rPr>
          <w:rtl/>
        </w:rPr>
        <w:t xml:space="preserve"> עמד לצאת </w:t>
      </w:r>
      <w:proofErr w:type="spellStart"/>
      <w:r>
        <w:rPr>
          <w:rtl/>
        </w:rPr>
        <w:t>ממונסי</w:t>
      </w:r>
      <w:proofErr w:type="spellEnd"/>
      <w:r>
        <w:rPr>
          <w:rtl/>
        </w:rPr>
        <w:t xml:space="preserve"> לארץ ישראל כדי ללמוד אצל ר׳ </w:t>
      </w:r>
      <w:proofErr w:type="spellStart"/>
      <w:r>
        <w:rPr>
          <w:rtl/>
        </w:rPr>
        <w:t xml:space="preserve">יושע־בערל</w:t>
      </w:r>
      <w:proofErr w:type="spellEnd"/>
      <w:r>
        <w:rPr>
          <w:rtl/>
        </w:rPr>
        <w:t xml:space="preserve"> </w:t>
      </w:r>
      <w:proofErr w:type="spellStart"/>
      <w:r>
        <w:rPr>
          <w:rtl/>
        </w:rPr>
        <w:t>סולובייצ׳יק</w:t>
      </w:r>
      <w:proofErr w:type="spellEnd"/>
      <w:r>
        <w:rPr>
          <w:rtl/>
        </w:rPr>
        <w:t xml:space="preserve">, הלך להיפרד מראש הישיבה רבנו. הלה אמר לו: ‘אחת ממעלותיה של </w:t>
      </w:r>
      <w:proofErr w:type="spellStart"/>
      <w:r>
        <w:rPr>
          <w:rtl/>
        </w:rPr>
        <w:t>בריסק</w:t>
      </w:r>
      <w:proofErr w:type="spellEnd"/>
      <w:r>
        <w:rPr>
          <w:rtl/>
        </w:rPr>
        <w:t xml:space="preserve"> היא שהיא מלמדת דיוק. היו לי חברים </w:t>
      </w:r>
      <w:proofErr w:type="spellStart"/>
      <w:r>
        <w:rPr>
          <w:rtl/>
        </w:rPr>
        <w:t>בסלבודקה</w:t>
      </w:r>
      <w:proofErr w:type="spellEnd"/>
      <w:r>
        <w:rPr>
          <w:rtl/>
        </w:rPr>
        <w:t xml:space="preserve"> שפגשו פעם את ר׳ חיים </w:t>
      </w:r>
      <w:proofErr w:type="spellStart"/>
      <w:r>
        <w:rPr>
          <w:rtl/>
        </w:rPr>
        <w:t>סולובייצ׳יק</w:t>
      </w:r>
      <w:proofErr w:type="spellEnd"/>
      <w:r>
        <w:rPr>
          <w:rtl/>
        </w:rPr>
        <w:t xml:space="preserve"> בנסיעה ברכבת. הם התיישבו לצדו ושאלו אם יסודות מסוימים שחזרו עליהם בשמו בישיבה נכונים – אז הכול היה מפי השמועה, [בלי דברים שבכתב]. ניסו יסוד אחד, ור׳ חיים אמר: “מעולם לא אמרתי זאת”; ניסו יסוד אחר וקיבלו אותה תשובה.’ ‘מה הפשט?!’, סיים ראש הישיבה. ‘האם המציאו את היסודות האלה </w:t>
      </w:r>
      <w:proofErr w:type="spellStart"/>
      <w:r>
        <w:rPr>
          <w:rtl/>
        </w:rPr>
        <w:t>בסלבודקה</w:t>
      </w:r>
      <w:proofErr w:type="spellEnd"/>
      <w:r>
        <w:rPr>
          <w:rtl/>
        </w:rPr>
        <w:t>? לא, אלא שאם לא חזרו על היסוד במדויק, ר׳ חיים התנער ממנו.’”</w:t>
      </w:r>
    </w:p>
    <w:p w14:paraId="32CED862" w14:textId="77777777" w:rsidR="00AB3647" w:rsidRDefault="00000000" w:rsidP="007923E9">
      <w:pPr>
        <w:spacing w:after="120" w:line="276" w:lineRule="auto"/>
        <w:ind w:firstLine="283"/>
        <w:jc w:val="both"/>
      </w:pPr>
      <w:r>
        <w:rPr>
          <w:rtl/>
        </w:rPr>
        <w:t xml:space="preserve">באמצעות ר׳ בנימין </w:t>
      </w:r>
      <w:proofErr w:type="spellStart"/>
      <w:r>
        <w:rPr>
          <w:rtl/>
        </w:rPr>
        <w:t>קורלנסקי</w:t>
      </w:r>
      <w:bookmarkStart w:id="3852" w:name="_fnr2913"/>
      <w:proofErr w:type="spellEnd"/>
      <w:r>
        <w:rPr>
          <w:rStyle w:val="a5"/>
        </w:rPr>
        <w:footnoteReference w:id="2921" w:customMarkFollows="0"/>
      </w:r>
      <w:bookmarkEnd w:id="3852"/>
      <w:r>
        <w:rPr>
          <w:rtl/>
        </w:rPr>
        <w:t xml:space="preserve"> גיליתי מי היו אותם “חברים </w:t>
      </w:r>
      <w:proofErr w:type="spellStart"/>
      <w:r>
        <w:rPr>
          <w:rtl/>
        </w:rPr>
        <w:t>בסלבודקה</w:t>
      </w:r>
      <w:proofErr w:type="spellEnd"/>
      <w:r>
        <w:rPr>
          <w:rtl/>
        </w:rPr>
        <w:t>”, ולמדתי פרטים נוספים על פגישתם עם ר׳ חיים. אחד מהם היה ר׳ מנדל שוק</w:t>
      </w:r>
      <w:bookmarkStart w:id="3853" w:name="_fnr2914"/>
      <w:r>
        <w:rPr>
          <w:rStyle w:val="a5"/>
        </w:rPr>
        <w:footnoteReference w:id="2922" w:customMarkFollows="0"/>
      </w:r>
      <w:bookmarkEnd w:id="3853"/>
      <w:r>
        <w:rPr>
          <w:rtl/>
        </w:rPr>
        <w:t xml:space="preserve">, שסיפר לרב </w:t>
      </w:r>
      <w:proofErr w:type="spellStart"/>
      <w:r>
        <w:rPr>
          <w:rtl/>
        </w:rPr>
        <w:t>קורלנסקי</w:t>
      </w:r>
      <w:proofErr w:type="spellEnd"/>
      <w:r>
        <w:rPr>
          <w:rtl/>
        </w:rPr>
        <w:t xml:space="preserve"> את המעשה לפרטיו, והאחר היה ר׳ ראובן </w:t>
      </w:r>
      <w:proofErr w:type="spellStart"/>
      <w:r>
        <w:rPr>
          <w:rtl/>
        </w:rPr>
        <w:t>גרוזובסקי</w:t>
      </w:r>
      <w:proofErr w:type="spellEnd"/>
      <w:r>
        <w:rPr>
          <w:rtl/>
        </w:rPr>
        <w:t>. בהיותם ברכבת ראו את ר׳ חיים מנמנם.</w:t>
      </w:r>
    </w:p>
    <w:p w14:paraId="444FFC58" w14:textId="1F935CBF" w:rsidR="00AB3647" w:rsidRDefault="00000000" w:rsidP="007923E9">
      <w:pPr>
        <w:spacing w:after="120" w:line="276" w:lineRule="auto"/>
        <w:ind w:firstLine="283"/>
        <w:jc w:val="both"/>
      </w:pPr>
      <w:r>
        <w:rPr>
          <w:rtl/>
        </w:rPr>
        <w:t>“</w:t>
      </w:r>
      <w:proofErr w:type="spellStart"/>
      <w:r>
        <w:rPr>
          <w:rtl/>
        </w:rPr>
        <w:t>וולוז׳ין</w:t>
      </w:r>
      <w:proofErr w:type="spellEnd"/>
      <w:r>
        <w:rPr>
          <w:rtl/>
        </w:rPr>
        <w:t xml:space="preserve"> – ספרה של העיר ושל ישיבת עץ חיים”</w:t>
      </w:r>
      <w:bookmarkStart w:id="3854" w:name="_fnr2915"/>
      <w:r>
        <w:rPr>
          <w:rStyle w:val="a5"/>
        </w:rPr>
        <w:footnoteReference w:id="2923" w:customMarkFollows="0"/>
      </w:r>
      <w:bookmarkEnd w:id="3854"/>
      <w:r>
        <w:rPr>
          <w:rtl/>
        </w:rPr>
        <w:t xml:space="preserve"> מספר [על התקופה שבה היה ר׳ חיים </w:t>
      </w:r>
      <w:proofErr w:type="spellStart"/>
      <w:r>
        <w:rPr>
          <w:rtl/>
        </w:rPr>
        <w:t>סולובייצ׳יק</w:t>
      </w:r>
      <w:proofErr w:type="spellEnd"/>
      <w:r>
        <w:rPr>
          <w:rtl/>
        </w:rPr>
        <w:t xml:space="preserve"> עדיין </w:t>
      </w:r>
      <w:proofErr w:type="spellStart"/>
      <w:r>
        <w:rPr>
          <w:rtl/>
        </w:rPr>
        <w:t>בוולוז׳ין</w:t>
      </w:r>
      <w:proofErr w:type="spellEnd"/>
      <w:r>
        <w:rPr>
          <w:rtl/>
        </w:rPr>
        <w:t xml:space="preserve">]: “על אף שכלו הגדול ובקיאותו הרחבה, נהג ר׳ חיים בהצנע לכת. כשיצא לנסיעה הסתיר את פאותיו וחבש כובע פשוט כאדם מן הרחוב, ולא את הכובע בעל השוליים שחבש </w:t>
      </w:r>
      <w:proofErr w:type="spellStart"/>
      <w:r>
        <w:rPr>
          <w:rtl/>
        </w:rPr>
        <w:t>בוולוז׳ין</w:t>
      </w:r>
      <w:proofErr w:type="spellEnd"/>
      <w:r>
        <w:rPr>
          <w:rtl/>
        </w:rPr>
        <w:t xml:space="preserve">. כשישב ברכבת לא קרא בספר, וכשנכנס לבית כנסת לא עמד </w:t>
      </w:r>
      <w:proofErr w:type="spellStart"/>
      <w:r>
        <w:rPr>
          <w:rtl/>
        </w:rPr>
        <w:t>ב‘מזרח</w:t>
      </w:r>
      <w:proofErr w:type="spellEnd"/>
      <w:r>
        <w:rPr>
          <w:rtl/>
        </w:rPr>
        <w:t>’. כשישב בחברת זרים שוחח עמם על ענייניהם, על מסחר, על ‘פכים קטנים’ – שיחתו הפשוטה של אדם מן הרחוב.”</w:t>
      </w:r>
      <w:bookmarkStart w:id="3855" w:name="_fnr2916"/>
      <w:r>
        <w:rPr>
          <w:rStyle w:val="a5"/>
        </w:rPr>
        <w:footnoteReference w:id="2924" w:customMarkFollows="0"/>
      </w:r>
      <w:bookmarkEnd w:id="3855"/>
      <w:r>
        <w:rPr>
          <w:rtl/>
        </w:rPr>
        <w:t xml:space="preserve"> ר׳ חיים העדיף ללמוד בעל פה, כמו שנזכר בסוף הפסקה הראשונה ב</w:t>
      </w:r>
      <w:r>
        <w:rPr>
          <w:rtl/>
        </w:rPr>
        <w:fldChar w:fldCharType="begin" w:dirty="true"/>
      </w:r>
      <w:r>
        <w:rPr>
          <w:rtl/>
        </w:rPr>
        <w:instrText xml:space="preserve"> REF b3_excR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יח</w:t>
      </w:r>
      <w:proofErr w:type="spellEnd"/>
      <w:r>
        <w:rPr>
          <w:rtl/>
        </w:rPr>
        <w:fldChar w:fldCharType="end"/>
      </w:r>
      <w:r>
        <w:rPr>
          <w:rtl/>
        </w:rPr>
        <w:t xml:space="preserve"> לעיל, ולכן אין פלא שישב ברכבת בלי ספר בידו.</w:t>
      </w:r>
    </w:p>
    <w:p w14:paraId="4B90A684" w14:textId="585A4F28" w:rsidR="00AB3647" w:rsidRDefault="00000000" w:rsidP="007923E9">
      <w:pPr>
        <w:spacing w:after="120" w:line="276" w:lineRule="auto"/>
        <w:ind w:firstLine="283"/>
        <w:jc w:val="both"/>
      </w:pPr>
      <w:r>
        <w:rPr>
          <w:rtl/>
        </w:rPr>
        <w:t xml:space="preserve">תהיתי אילו מן ההרגלים המתוארים שם המשיך ר׳ חיים לקיים לאחר שהתמנה לרב </w:t>
      </w:r>
      <w:proofErr w:type="spellStart"/>
      <w:r>
        <w:rPr>
          <w:rtl/>
        </w:rPr>
        <w:t>בריסק</w:t>
      </w:r>
      <w:proofErr w:type="spellEnd"/>
      <w:r>
        <w:rPr>
          <w:rtl/>
        </w:rPr>
        <w:t>. ודאי חבש כובע שאינו כובע רבני בכל פעם ששהה מחוץ לעיר, ו</w:t>
      </w:r>
      <w:r>
        <w:rPr>
          <w:b/>
          <w:bCs/>
          <w:rtl/>
        </w:rPr>
        <w:t>לא רק</w:t>
      </w:r>
      <w:r>
        <w:rPr>
          <w:rtl/>
        </w:rPr>
        <w:t xml:space="preserve"> בשנים הראשונות לאחר מינויו, כמו שמעיד הציטוט המובא בפרק 5, </w:t>
      </w:r>
      <w:r>
        <w:rPr>
          <w:rtl/>
        </w:rPr>
        <w:fldChar w:fldCharType="begin" w:dirty="true"/>
      </w:r>
      <w:r>
        <w:rPr>
          <w:rtl/>
        </w:rPr>
        <w:instrText xml:space="preserve"> REF b5_excJ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w:t>
      </w:r>
      <w:r>
        <w:rPr>
          <w:rtl/>
        </w:rPr>
        <w:fldChar w:fldCharType="end"/>
      </w:r>
      <w:r>
        <w:rPr>
          <w:rtl/>
        </w:rPr>
        <w:t xml:space="preserve">, אלא גם בנסיעה ברכבת המתוארת </w:t>
      </w:r>
      <w:r>
        <w:rPr>
          <w:rtl/>
        </w:rPr>
        <w:lastRenderedPageBreak/>
        <w:t xml:space="preserve">כאן, כמעט שני עשורים לאחר מכן. מכל מקום, לא היה קשה לזהות את ר׳ חיים בשל תווי פניו המיוחדים (השווה פרק 5, </w:t>
      </w:r>
      <w:r>
        <w:rPr>
          <w:rtl/>
        </w:rPr>
        <w:fldChar w:fldCharType="begin" w:dirty="true"/>
      </w:r>
      <w:r>
        <w:rPr>
          <w:rtl/>
        </w:rPr>
        <w:instrText xml:space="preserve"> REF b5_excJ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w:t>
      </w:r>
      <w:r>
        <w:rPr>
          <w:rtl/>
        </w:rPr>
        <w:fldChar w:fldCharType="end"/>
      </w:r>
      <w:r>
        <w:rPr>
          <w:rtl/>
        </w:rPr>
        <w:t>).</w:t>
      </w:r>
    </w:p>
    <w:p w14:paraId="0750FB09" w14:textId="77777777" w:rsidR="00AB3647" w:rsidRDefault="00000000" w:rsidP="007923E9">
      <w:pPr>
        <w:spacing w:after="120" w:line="276" w:lineRule="auto"/>
        <w:ind w:firstLine="283"/>
        <w:jc w:val="both"/>
      </w:pPr>
      <w:r>
        <w:rPr>
          <w:rtl/>
        </w:rPr>
        <w:t xml:space="preserve">“הם לא יכלו להתאפק”, המשיך הרב </w:t>
      </w:r>
      <w:proofErr w:type="spellStart"/>
      <w:r>
        <w:rPr>
          <w:rtl/>
        </w:rPr>
        <w:t>קורלנסקי</w:t>
      </w:r>
      <w:proofErr w:type="spellEnd"/>
      <w:r>
        <w:rPr>
          <w:rtl/>
        </w:rPr>
        <w:t xml:space="preserve">, “מלעשות רעש כדי להעירו ולדבר עמו. כשאמרו לו שהם לומדים אצל ר׳ </w:t>
      </w:r>
      <w:proofErr w:type="spellStart"/>
      <w:r>
        <w:rPr>
          <w:rtl/>
        </w:rPr>
        <w:t>אליהו־ברוך</w:t>
      </w:r>
      <w:proofErr w:type="spellEnd"/>
      <w:r>
        <w:rPr>
          <w:rtl/>
        </w:rPr>
        <w:t xml:space="preserve"> קמאי </w:t>
      </w:r>
      <w:proofErr w:type="spellStart"/>
      <w:r>
        <w:rPr>
          <w:rtl/>
        </w:rPr>
        <w:t>במיר</w:t>
      </w:r>
      <w:proofErr w:type="spellEnd"/>
      <w:r>
        <w:rPr>
          <w:rtl/>
        </w:rPr>
        <w:t xml:space="preserve"> – הם היו מן הקבוצה שנשלחה לשם </w:t>
      </w:r>
      <w:proofErr w:type="spellStart"/>
      <w:r>
        <w:rPr>
          <w:rtl/>
        </w:rPr>
        <w:t>מסלבודקה</w:t>
      </w:r>
      <w:proofErr w:type="spellEnd"/>
      <w:r>
        <w:rPr>
          <w:rtl/>
        </w:rPr>
        <w:t xml:space="preserve"> באותה עת – זכו לתנועת זרוע ולהנהון ראש של ר׳ חיים לאות הסכמה. אז ביקשו ממנו לומר להם דבר תורה. כשאמר שאין לו מה לומר להם, אך ישמח לשמוע מהם, הציעו לחזור בפניו על מה שנאמר בשמו בישיבות. תחילה אמר לו ר׳ ראובן </w:t>
      </w:r>
      <w:proofErr w:type="spellStart"/>
      <w:r>
        <w:rPr>
          <w:rtl/>
        </w:rPr>
        <w:t>דבר־מה</w:t>
      </w:r>
      <w:bookmarkStart w:id="3856" w:name="_fnr2917"/>
      <w:proofErr w:type="spellEnd"/>
      <w:r>
        <w:rPr>
          <w:rStyle w:val="a5"/>
        </w:rPr>
        <w:footnoteReference w:id="2925" w:customMarkFollows="0"/>
      </w:r>
      <w:bookmarkEnd w:id="3856"/>
      <w:r>
        <w:rPr>
          <w:rtl/>
        </w:rPr>
        <w:t>, ור׳ חיים העיר שמעולם לא אמר דבר כזה. אחר כך אמר לו ר׳ מנדל שוק את התשובה שחזרו עליה בשמו לשאלה מדוע חוגגים את חנוכה שמונה ימים מלאים, אף שבפך שנמצא היה די שמן ליום אחד בלי נס</w:t>
      </w:r>
      <w:bookmarkStart w:id="3857" w:name="_fnr2918"/>
      <w:r>
        <w:rPr>
          <w:rStyle w:val="a5"/>
        </w:rPr>
        <w:footnoteReference w:id="2926" w:customMarkFollows="0"/>
      </w:r>
      <w:bookmarkEnd w:id="3857"/>
      <w:r>
        <w:rPr>
          <w:rtl/>
        </w:rPr>
        <w:t xml:space="preserve">. תשובתו של ר׳ חיים </w:t>
      </w:r>
      <w:proofErr w:type="spellStart"/>
      <w:r>
        <w:rPr>
          <w:rtl/>
        </w:rPr>
        <w:t>לר</w:t>
      </w:r>
      <w:proofErr w:type="spellEnd"/>
      <w:r>
        <w:rPr>
          <w:rtl/>
        </w:rPr>
        <w:t>׳ מנדל הייתה: ‘</w:t>
      </w:r>
      <w:proofErr w:type="spellStart"/>
      <w:r>
        <w:rPr>
          <w:rtl/>
        </w:rPr>
        <w:t>זעהר</w:t>
      </w:r>
      <w:proofErr w:type="spellEnd"/>
      <w:r>
        <w:rPr>
          <w:rtl/>
        </w:rPr>
        <w:t xml:space="preserve"> </w:t>
      </w:r>
      <w:proofErr w:type="spellStart"/>
      <w:r>
        <w:rPr>
          <w:rtl/>
        </w:rPr>
        <w:t>גוט</w:t>
      </w:r>
      <w:proofErr w:type="spellEnd"/>
      <w:r>
        <w:rPr>
          <w:rtl/>
        </w:rPr>
        <w:t xml:space="preserve">, אבער איך האב </w:t>
      </w:r>
      <w:proofErr w:type="spellStart"/>
      <w:r>
        <w:rPr>
          <w:rtl/>
        </w:rPr>
        <w:t>דאס</w:t>
      </w:r>
      <w:proofErr w:type="spellEnd"/>
      <w:r>
        <w:rPr>
          <w:rtl/>
        </w:rPr>
        <w:t xml:space="preserve"> ניט </w:t>
      </w:r>
      <w:proofErr w:type="spellStart"/>
      <w:r>
        <w:rPr>
          <w:rtl/>
        </w:rPr>
        <w:t>געזאגט</w:t>
      </w:r>
      <w:proofErr w:type="spellEnd"/>
      <w:r>
        <w:rPr>
          <w:rtl/>
        </w:rPr>
        <w:t xml:space="preserve"> [טוב מאוד, אבל אני לא אמרתי זאת].’”</w:t>
      </w:r>
    </w:p>
    <w:p w14:paraId="48BB3D05" w14:textId="77777777" w:rsidR="00AB3647" w:rsidRDefault="00000000" w:rsidP="007923E9">
      <w:pPr>
        <w:spacing w:after="120" w:line="276" w:lineRule="auto"/>
        <w:ind w:firstLine="283"/>
        <w:jc w:val="both"/>
      </w:pPr>
      <w:r>
        <w:rPr>
          <w:rtl/>
        </w:rPr>
        <w:t xml:space="preserve">הרב </w:t>
      </w:r>
      <w:proofErr w:type="spellStart"/>
      <w:r>
        <w:rPr>
          <w:rtl/>
        </w:rPr>
        <w:t>קורלנסקי</w:t>
      </w:r>
      <w:proofErr w:type="spellEnd"/>
      <w:r>
        <w:rPr>
          <w:rtl/>
        </w:rPr>
        <w:t xml:space="preserve"> סיים את סיפורו כך: “כששני הנוסעים הגיעו </w:t>
      </w:r>
      <w:proofErr w:type="spellStart"/>
      <w:r>
        <w:rPr>
          <w:rtl/>
        </w:rPr>
        <w:t>לסלבודקה</w:t>
      </w:r>
      <w:proofErr w:type="spellEnd"/>
      <w:r>
        <w:rPr>
          <w:rtl/>
        </w:rPr>
        <w:t>, שבה גרו הוריו של ר׳ מנדל</w:t>
      </w:r>
      <w:bookmarkStart w:id="3858" w:name="_fnr2919"/>
      <w:r>
        <w:rPr>
          <w:rStyle w:val="a5"/>
        </w:rPr>
        <w:footnoteReference w:id="2927" w:customMarkFollows="0"/>
      </w:r>
      <w:bookmarkEnd w:id="3858"/>
      <w:r>
        <w:rPr>
          <w:rtl/>
        </w:rPr>
        <w:t xml:space="preserve">, סיפר לאביו שנפגשו במקרה עם ר׳ חיים </w:t>
      </w:r>
      <w:proofErr w:type="spellStart"/>
      <w:r>
        <w:rPr>
          <w:rtl/>
        </w:rPr>
        <w:t>סולובייצ׳יק</w:t>
      </w:r>
      <w:proofErr w:type="spellEnd"/>
      <w:r>
        <w:rPr>
          <w:rtl/>
        </w:rPr>
        <w:t xml:space="preserve"> ברכבת. האב העביר את המידע </w:t>
      </w:r>
      <w:proofErr w:type="spellStart"/>
      <w:r>
        <w:rPr>
          <w:rtl/>
        </w:rPr>
        <w:t>לר</w:t>
      </w:r>
      <w:proofErr w:type="spellEnd"/>
      <w:r>
        <w:rPr>
          <w:rtl/>
        </w:rPr>
        <w:t xml:space="preserve">׳ </w:t>
      </w:r>
      <w:proofErr w:type="spellStart"/>
      <w:r>
        <w:rPr>
          <w:rtl/>
        </w:rPr>
        <w:t>ברוך־בער</w:t>
      </w:r>
      <w:proofErr w:type="spellEnd"/>
      <w:r>
        <w:rPr>
          <w:rtl/>
        </w:rPr>
        <w:t xml:space="preserve">, שביקש מיד שישלחו אליו את הבחור שדיבר עם רבו. כשר׳ </w:t>
      </w:r>
      <w:proofErr w:type="spellStart"/>
      <w:r>
        <w:rPr>
          <w:rtl/>
        </w:rPr>
        <w:t>ברוך־בער</w:t>
      </w:r>
      <w:proofErr w:type="spellEnd"/>
      <w:r>
        <w:rPr>
          <w:rtl/>
        </w:rPr>
        <w:t xml:space="preserve"> חקר אותו על מה שאמר </w:t>
      </w:r>
      <w:proofErr w:type="spellStart"/>
      <w:r>
        <w:rPr>
          <w:rtl/>
        </w:rPr>
        <w:t>ל‘רבי</w:t>
      </w:r>
      <w:proofErr w:type="spellEnd"/>
      <w:r>
        <w:rPr>
          <w:rtl/>
        </w:rPr>
        <w:t xml:space="preserve">’, חזר במדויק על חילופי הדברים. אז אמר ר׳ </w:t>
      </w:r>
      <w:proofErr w:type="spellStart"/>
      <w:r>
        <w:rPr>
          <w:rtl/>
        </w:rPr>
        <w:t>ברוך־בער</w:t>
      </w:r>
      <w:proofErr w:type="spellEnd"/>
      <w:r>
        <w:rPr>
          <w:rtl/>
        </w:rPr>
        <w:t>: ‘</w:t>
      </w:r>
      <w:proofErr w:type="spellStart"/>
      <w:r>
        <w:rPr>
          <w:rtl/>
        </w:rPr>
        <w:t>וואס</w:t>
      </w:r>
      <w:proofErr w:type="spellEnd"/>
      <w:r>
        <w:rPr>
          <w:rtl/>
        </w:rPr>
        <w:t xml:space="preserve"> </w:t>
      </w:r>
      <w:proofErr w:type="spellStart"/>
      <w:r>
        <w:rPr>
          <w:rtl/>
        </w:rPr>
        <w:t>הייסט</w:t>
      </w:r>
      <w:proofErr w:type="spellEnd"/>
      <w:r>
        <w:rPr>
          <w:rtl/>
        </w:rPr>
        <w:t xml:space="preserve"> [מה זאת אומרת]?! אני עצמי שמעתי את הרבי אומר את התשובה הזאת!’”</w:t>
      </w:r>
    </w:p>
    <w:p w14:paraId="5220BDDC" w14:textId="77777777" w:rsidR="00AB3647" w:rsidRDefault="00000000" w:rsidP="007923E9">
      <w:pPr>
        <w:spacing w:after="120" w:line="276" w:lineRule="auto"/>
        <w:ind w:firstLine="283"/>
        <w:jc w:val="both"/>
      </w:pPr>
      <w:r>
        <w:rPr>
          <w:rtl/>
        </w:rPr>
        <w:t xml:space="preserve">הסברו של אבי יישב את תמיהת ר׳ </w:t>
      </w:r>
      <w:proofErr w:type="spellStart"/>
      <w:r>
        <w:rPr>
          <w:rtl/>
        </w:rPr>
        <w:t>ברוך־בער</w:t>
      </w:r>
      <w:proofErr w:type="spellEnd"/>
      <w:r>
        <w:rPr>
          <w:rtl/>
        </w:rPr>
        <w:t>: אם לא חזרו על יסודו של ר׳ חיים בלשונו המדויקת, הרי הוא “מעולם לא אמר אותו”.</w:t>
      </w:r>
    </w:p>
    <w:p w14:paraId="4D2080FB" w14:textId="77777777" w:rsidR="00AB3647" w:rsidRDefault="00000000" w:rsidP="007923E9">
      <w:pPr>
        <w:spacing w:after="120" w:line="276" w:lineRule="auto"/>
        <w:ind w:firstLine="283"/>
        <w:jc w:val="both"/>
      </w:pPr>
      <w:r>
        <w:rPr>
          <w:rtl/>
        </w:rPr>
        <w:t>השווה גם את הקדמת “חידושי רבנו חיים הלוי”</w:t>
      </w:r>
      <w:bookmarkStart w:id="3859" w:name="_fnr2920"/>
      <w:r>
        <w:rPr>
          <w:rStyle w:val="a5"/>
        </w:rPr>
        <w:footnoteReference w:id="2928" w:customMarkFollows="0"/>
      </w:r>
      <w:bookmarkEnd w:id="3859"/>
      <w:r>
        <w:rPr>
          <w:rtl/>
        </w:rPr>
        <w:t xml:space="preserve">, הספר היחיד שר׳ חיים הכין לדפוס, שיצא לאחר פטירתו. בהקדמה כותבים “בני הגאון המחבר”, </w:t>
      </w:r>
      <w:proofErr w:type="spellStart"/>
      <w:r>
        <w:rPr>
          <w:rtl/>
        </w:rPr>
        <w:t>ש“חותמים</w:t>
      </w:r>
      <w:proofErr w:type="spellEnd"/>
      <w:r>
        <w:rPr>
          <w:rtl/>
        </w:rPr>
        <w:t xml:space="preserve"> ברעדה ביום כ״א באב תרצ״ו”</w:t>
      </w:r>
      <w:bookmarkStart w:id="3860" w:name="_fnr2921"/>
      <w:r>
        <w:rPr>
          <w:rStyle w:val="a5"/>
        </w:rPr>
        <w:footnoteReference w:id="2929" w:customMarkFollows="0"/>
      </w:r>
      <w:bookmarkEnd w:id="3860"/>
      <w:r>
        <w:rPr>
          <w:rtl/>
        </w:rPr>
        <w:t xml:space="preserve">, לאמור: “כשם שדרכו של </w:t>
      </w:r>
      <w:proofErr w:type="spellStart"/>
      <w:r>
        <w:rPr>
          <w:rtl/>
        </w:rPr>
        <w:t>אאמו״ר</w:t>
      </w:r>
      <w:proofErr w:type="spellEnd"/>
      <w:r>
        <w:rPr>
          <w:rtl/>
        </w:rPr>
        <w:t xml:space="preserve"> בעניין דרך הלימוד והחידוש הייתה מופלאה, בעמלו בהם עמל עצום בשכלו הכביר והמופלא, כדי שהכול יהיה מכוון לאמיתה של תורה בעומק עצום, כך ממש נהג בעניין כתיבת חידושיו והעלאתם על הכתב – שגם זו הייתה אצלו חלק מן הלימוד. הוא השקיע בכך את שכלו כמו בלימוד עצמו, ובמאזני הבנתו הנעלה </w:t>
      </w:r>
      <w:r>
        <w:rPr>
          <w:rtl/>
        </w:rPr>
        <w:lastRenderedPageBreak/>
        <w:t>והעמוקה שקל ממש כל מילה ומילה וזיקק אותה שבעתיים, כדי שיהיו הדברים מדויקים ומכוונים עד כחוט השערה.”</w:t>
      </w:r>
    </w:p>
    <w:p w14:paraId="7300F1C6" w14:textId="77777777" w:rsidR="00AB3647" w:rsidRDefault="00000000" w:rsidP="007923E9">
      <w:pPr>
        <w:spacing w:after="120" w:line="276" w:lineRule="auto"/>
        <w:ind w:firstLine="283"/>
        <w:jc w:val="both"/>
      </w:pPr>
      <w:r>
        <w:rPr>
          <w:rtl/>
        </w:rPr>
        <w:t xml:space="preserve">ר׳ גבריאל </w:t>
      </w:r>
      <w:proofErr w:type="spellStart"/>
      <w:r>
        <w:rPr>
          <w:rtl/>
        </w:rPr>
        <w:t>גינזבורג</w:t>
      </w:r>
      <w:proofErr w:type="spellEnd"/>
      <w:r>
        <w:rPr>
          <w:rtl/>
        </w:rPr>
        <w:t xml:space="preserve"> סיפר</w:t>
      </w:r>
      <w:bookmarkStart w:id="3861" w:name="_fnr2922"/>
      <w:r>
        <w:rPr>
          <w:rStyle w:val="a5"/>
        </w:rPr>
        <w:footnoteReference w:id="2930" w:customMarkFollows="0"/>
      </w:r>
      <w:bookmarkEnd w:id="3861"/>
      <w:r>
        <w:rPr>
          <w:rtl/>
        </w:rPr>
        <w:t xml:space="preserve"> שר׳ אליעזר </w:t>
      </w:r>
      <w:proofErr w:type="spellStart"/>
      <w:r>
        <w:rPr>
          <w:rtl/>
        </w:rPr>
        <w:t>סילבר</w:t>
      </w:r>
      <w:proofErr w:type="spellEnd"/>
      <w:r>
        <w:rPr>
          <w:rtl/>
        </w:rPr>
        <w:t xml:space="preserve"> אמר לו: “ר׳ חיים הכתיב את חידושיו מילה במילה לעילוי </w:t>
      </w:r>
      <w:proofErr w:type="spellStart"/>
      <w:r>
        <w:rPr>
          <w:rtl/>
        </w:rPr>
        <w:t>ממייצ׳ט</w:t>
      </w:r>
      <w:proofErr w:type="spellEnd"/>
      <w:r>
        <w:rPr>
          <w:rtl/>
        </w:rPr>
        <w:t xml:space="preserve">, ר׳ שלמה </w:t>
      </w:r>
      <w:proofErr w:type="spellStart"/>
      <w:r>
        <w:rPr>
          <w:rtl/>
        </w:rPr>
        <w:t>פוליצ׳ק</w:t>
      </w:r>
      <w:proofErr w:type="spellEnd"/>
      <w:r>
        <w:rPr>
          <w:rtl/>
        </w:rPr>
        <w:t>, היחיד שהשיג את מלוא עומקה של תורת ר׳ חיים. אבל ר׳ שלמה לא יכול היה להעלותם כראוי על הכתב בכוחות עצמו. לאחר שר׳ שלמה כתב אותם, לקח ר׳ חיים את הנייר, עיין בו – וקרע אותו. הדבר חזר ארבע פעמים, עד שנחה דעתו של ר׳ חיים.”</w:t>
      </w:r>
      <w:bookmarkStart w:id="3862" w:name="_fnr2923"/>
      <w:r>
        <w:rPr>
          <w:rStyle w:val="a5"/>
        </w:rPr>
        <w:footnoteReference w:id="2931" w:customMarkFollows="0"/>
      </w:r>
      <w:bookmarkEnd w:id="3862"/>
    </w:p>
    <w:p w14:paraId="06483BE8" w14:textId="77777777" w:rsidR="00AB3647" w:rsidRDefault="00000000" w:rsidP="007923E9">
      <w:pPr>
        <w:spacing w:after="120" w:line="276" w:lineRule="auto"/>
        <w:ind w:firstLine="283"/>
        <w:jc w:val="both"/>
      </w:pPr>
      <w:r>
        <w:rPr>
          <w:rtl/>
        </w:rPr>
        <w:t xml:space="preserve">ר׳ חיים </w:t>
      </w:r>
      <w:proofErr w:type="spellStart"/>
      <w:r>
        <w:rPr>
          <w:rtl/>
        </w:rPr>
        <w:t>גרוזובסקי</w:t>
      </w:r>
      <w:bookmarkStart w:id="3863" w:name="_fnr2924"/>
      <w:proofErr w:type="spellEnd"/>
      <w:r>
        <w:rPr>
          <w:rStyle w:val="a5"/>
        </w:rPr>
        <w:footnoteReference w:id="2932" w:customMarkFollows="0"/>
      </w:r>
      <w:bookmarkEnd w:id="3863"/>
      <w:r>
        <w:rPr>
          <w:rtl/>
        </w:rPr>
        <w:t xml:space="preserve"> השלים את סיפורו של הרב </w:t>
      </w:r>
      <w:proofErr w:type="spellStart"/>
      <w:r>
        <w:rPr>
          <w:rtl/>
        </w:rPr>
        <w:t>קורלנסקי</w:t>
      </w:r>
      <w:proofErr w:type="spellEnd"/>
      <w:r>
        <w:rPr>
          <w:rtl/>
        </w:rPr>
        <w:t xml:space="preserve">: הוא סיפר מה חזר לפני ר׳ חיים ר׳ ראובן, חברו של ר׳ מנדל שוק לנסיעה – ור׳ חיים התנער ממנו. ר׳ ראובן, אביו של ר׳ חיים </w:t>
      </w:r>
      <w:proofErr w:type="spellStart"/>
      <w:r>
        <w:rPr>
          <w:rtl/>
        </w:rPr>
        <w:t>גרוזובסקי</w:t>
      </w:r>
      <w:proofErr w:type="spellEnd"/>
      <w:r>
        <w:rPr>
          <w:rtl/>
        </w:rPr>
        <w:t xml:space="preserve">, חזר על אחד החידושים ששמע מר׳ </w:t>
      </w:r>
      <w:proofErr w:type="spellStart"/>
      <w:r>
        <w:rPr>
          <w:rtl/>
        </w:rPr>
        <w:t>ברוך־בער</w:t>
      </w:r>
      <w:proofErr w:type="spellEnd"/>
      <w:r>
        <w:rPr>
          <w:rtl/>
        </w:rPr>
        <w:t xml:space="preserve"> </w:t>
      </w:r>
      <w:r>
        <w:rPr>
          <w:b/>
          <w:bCs/>
          <w:rtl/>
        </w:rPr>
        <w:t>בשם ר׳ חיים</w:t>
      </w:r>
      <w:bookmarkStart w:id="3864" w:name="_fnr2925"/>
      <w:r>
        <w:rPr>
          <w:rStyle w:val="a5"/>
        </w:rPr>
        <w:footnoteReference w:id="2933" w:customMarkFollows="0"/>
      </w:r>
      <w:bookmarkEnd w:id="3864"/>
      <w:r>
        <w:rPr>
          <w:rtl/>
        </w:rPr>
        <w:t xml:space="preserve">. כשהגיעו הנוסעים </w:t>
      </w:r>
      <w:proofErr w:type="spellStart"/>
      <w:r>
        <w:rPr>
          <w:rtl/>
        </w:rPr>
        <w:t>לסלבודקה</w:t>
      </w:r>
      <w:proofErr w:type="spellEnd"/>
      <w:r>
        <w:rPr>
          <w:rtl/>
        </w:rPr>
        <w:t xml:space="preserve"> וסיפר ר׳ ראובן </w:t>
      </w:r>
      <w:proofErr w:type="spellStart"/>
      <w:r>
        <w:rPr>
          <w:rtl/>
        </w:rPr>
        <w:t>לר</w:t>
      </w:r>
      <w:proofErr w:type="spellEnd"/>
      <w:r>
        <w:rPr>
          <w:rtl/>
        </w:rPr>
        <w:t xml:space="preserve">׳ </w:t>
      </w:r>
      <w:proofErr w:type="spellStart"/>
      <w:r>
        <w:rPr>
          <w:rtl/>
        </w:rPr>
        <w:t>ברוך־בער</w:t>
      </w:r>
      <w:proofErr w:type="spellEnd"/>
      <w:r>
        <w:rPr>
          <w:rtl/>
        </w:rPr>
        <w:t xml:space="preserve"> מאיזה ביאור התנער ר׳ חיים, הסביר ר׳ </w:t>
      </w:r>
      <w:proofErr w:type="spellStart"/>
      <w:r>
        <w:rPr>
          <w:rtl/>
        </w:rPr>
        <w:t>ברוך־בער</w:t>
      </w:r>
      <w:proofErr w:type="spellEnd"/>
      <w:r>
        <w:rPr>
          <w:rtl/>
        </w:rPr>
        <w:t xml:space="preserve"> שר׳ ראובן לא חזר עליו בעמקות מספקת</w:t>
      </w:r>
      <w:bookmarkStart w:id="3865" w:name="_fnr2926"/>
      <w:r>
        <w:rPr>
          <w:rStyle w:val="a5"/>
        </w:rPr>
        <w:footnoteReference w:id="2934" w:customMarkFollows="0"/>
      </w:r>
      <w:bookmarkEnd w:id="3865"/>
      <w:r>
        <w:rPr>
          <w:rtl/>
        </w:rPr>
        <w:t>.</w:t>
      </w:r>
    </w:p>
    <w:p w14:paraId="1C2EFA3E" w14:textId="77777777" w:rsidR="00AB3647" w:rsidRDefault="00000000" w:rsidP="007923E9">
      <w:pPr>
        <w:spacing w:after="120" w:line="276" w:lineRule="auto"/>
        <w:ind w:firstLine="283"/>
        <w:jc w:val="both"/>
      </w:pPr>
      <w:r>
        <w:rPr>
          <w:rtl/>
        </w:rPr>
        <w:t xml:space="preserve">על מה שנחשב אצל ר׳ </w:t>
      </w:r>
      <w:proofErr w:type="spellStart"/>
      <w:r>
        <w:rPr>
          <w:rtl/>
        </w:rPr>
        <w:t>ברוך־בער</w:t>
      </w:r>
      <w:proofErr w:type="spellEnd"/>
      <w:r>
        <w:rPr>
          <w:rtl/>
        </w:rPr>
        <w:t xml:space="preserve"> “ביאור מעמיק יותר” השווה הקדמת “שיעורי וזכר רבי ברוך דוב זצ״ל </w:t>
      </w:r>
      <w:proofErr w:type="spellStart"/>
      <w:r>
        <w:rPr>
          <w:rtl/>
        </w:rPr>
        <w:t>ליבוביץ</w:t>
      </w:r>
      <w:proofErr w:type="spellEnd"/>
      <w:r>
        <w:rPr>
          <w:rtl/>
        </w:rPr>
        <w:t>”</w:t>
      </w:r>
      <w:bookmarkStart w:id="3866" w:name="_fnr2927"/>
      <w:r>
        <w:rPr>
          <w:rStyle w:val="a5"/>
        </w:rPr>
        <w:footnoteReference w:id="2935" w:customMarkFollows="0"/>
      </w:r>
      <w:bookmarkEnd w:id="3866"/>
      <w:r>
        <w:rPr>
          <w:rtl/>
        </w:rPr>
        <w:t xml:space="preserve">. ר׳ </w:t>
      </w:r>
      <w:proofErr w:type="spellStart"/>
      <w:r>
        <w:rPr>
          <w:rtl/>
        </w:rPr>
        <w:t>ישראל־זאב</w:t>
      </w:r>
      <w:proofErr w:type="spellEnd"/>
      <w:r>
        <w:rPr>
          <w:rtl/>
        </w:rPr>
        <w:t xml:space="preserve"> </w:t>
      </w:r>
      <w:proofErr w:type="spellStart"/>
      <w:r>
        <w:rPr>
          <w:rtl/>
        </w:rPr>
        <w:t>גוסטמן</w:t>
      </w:r>
      <w:proofErr w:type="spellEnd"/>
      <w:r>
        <w:rPr>
          <w:rtl/>
        </w:rPr>
        <w:t xml:space="preserve"> סיפר שם שר׳ </w:t>
      </w:r>
      <w:proofErr w:type="spellStart"/>
      <w:r>
        <w:rPr>
          <w:rtl/>
        </w:rPr>
        <w:t>ברוך־בער</w:t>
      </w:r>
      <w:proofErr w:type="spellEnd"/>
      <w:r>
        <w:rPr>
          <w:rtl/>
        </w:rPr>
        <w:t xml:space="preserve"> חזר על אותו שיעור פעמיים, מילה במילה, אבל הסביר שבפעם השנייה היה הביאור טוב יותר בזכות תנועותיו ומחוותיו השונות: בפעם הראשונה היו עיניו פתוחות ובשנייה עצומות, ובפעם הראשונה היו ידיו שקטות ובשנייה נעו – או להפך. השווה גם “ר׳ ברוך בר”</w:t>
      </w:r>
      <w:bookmarkStart w:id="3867" w:name="_fnr2928"/>
      <w:r>
        <w:rPr>
          <w:rStyle w:val="a5"/>
        </w:rPr>
        <w:footnoteReference w:id="2936" w:customMarkFollows="0"/>
      </w:r>
      <w:bookmarkEnd w:id="3867"/>
      <w:r>
        <w:rPr>
          <w:rtl/>
        </w:rPr>
        <w:t xml:space="preserve">: “ר׳ </w:t>
      </w:r>
      <w:proofErr w:type="spellStart"/>
      <w:r>
        <w:rPr>
          <w:rtl/>
        </w:rPr>
        <w:t>ברוך־בער</w:t>
      </w:r>
      <w:proofErr w:type="spellEnd"/>
      <w:r>
        <w:rPr>
          <w:rtl/>
        </w:rPr>
        <w:t xml:space="preserve"> ניסה תמיד להבין את תגובת רבו – את תנועותיו ואת דבריו – לחידושים שהרצה לפניו. על חידושים מסוימים שתק הרב, ועל אחרים חייך. חידושים שעליהם אמר הרב שהם ‘הגיוניים’ לא ראה ר׳ </w:t>
      </w:r>
      <w:proofErr w:type="spellStart"/>
      <w:r>
        <w:rPr>
          <w:rtl/>
        </w:rPr>
        <w:t>ברוך־בער</w:t>
      </w:r>
      <w:proofErr w:type="spellEnd"/>
      <w:r>
        <w:rPr>
          <w:rtl/>
        </w:rPr>
        <w:t xml:space="preserve"> ראויים להיכלל </w:t>
      </w:r>
      <w:proofErr w:type="spellStart"/>
      <w:r>
        <w:rPr>
          <w:rtl/>
        </w:rPr>
        <w:t>ב‘ספר</w:t>
      </w:r>
      <w:proofErr w:type="spellEnd"/>
      <w:r>
        <w:rPr>
          <w:rtl/>
        </w:rPr>
        <w:t xml:space="preserve"> ברכת שמואל’.”</w:t>
      </w:r>
    </w:p>
    <w:p w14:paraId="5142D086" w14:textId="77777777" w:rsidR="00AB3647" w:rsidRDefault="00000000" w:rsidP="007923E9">
      <w:pPr>
        <w:spacing w:after="120" w:line="276" w:lineRule="auto"/>
        <w:ind w:firstLine="283"/>
        <w:jc w:val="both"/>
      </w:pPr>
      <w:r>
        <w:rPr>
          <w:rtl/>
        </w:rPr>
        <w:t xml:space="preserve">גם שנים רבות לאחר מכן זכר ר׳ חיים לפחות אחד משני התלמידים שפגש בנסיעה ברכבת. ר׳ חיים </w:t>
      </w:r>
      <w:proofErr w:type="spellStart"/>
      <w:r>
        <w:rPr>
          <w:rtl/>
        </w:rPr>
        <w:t>גרוזובסקי</w:t>
      </w:r>
      <w:proofErr w:type="spellEnd"/>
      <w:r>
        <w:rPr>
          <w:rtl/>
        </w:rPr>
        <w:t xml:space="preserve"> סיפר</w:t>
      </w:r>
      <w:bookmarkStart w:id="3868" w:name="_fnr2929"/>
      <w:r>
        <w:rPr>
          <w:rStyle w:val="a5"/>
        </w:rPr>
        <w:footnoteReference w:id="2937" w:customMarkFollows="0"/>
      </w:r>
      <w:bookmarkEnd w:id="3868"/>
      <w:r>
        <w:rPr>
          <w:rtl/>
        </w:rPr>
        <w:t xml:space="preserve">, בעניין נישואי הוריו </w:t>
      </w:r>
      <w:proofErr w:type="spellStart"/>
      <w:r>
        <w:rPr>
          <w:rtl/>
        </w:rPr>
        <w:t>בקרמנצ׳וג</w:t>
      </w:r>
      <w:proofErr w:type="spellEnd"/>
      <w:r>
        <w:rPr>
          <w:rtl/>
        </w:rPr>
        <w:t xml:space="preserve"> </w:t>
      </w:r>
      <w:proofErr w:type="spellStart"/>
      <w:r>
        <w:rPr>
          <w:rtl/>
        </w:rPr>
        <w:t>בתרע״ט</w:t>
      </w:r>
      <w:proofErr w:type="spellEnd"/>
      <w:r>
        <w:rPr>
          <w:rtl/>
        </w:rPr>
        <w:t xml:space="preserve">, שכאשר דן ר׳ </w:t>
      </w:r>
      <w:proofErr w:type="spellStart"/>
      <w:r>
        <w:rPr>
          <w:rtl/>
        </w:rPr>
        <w:t>ברוך־בער</w:t>
      </w:r>
      <w:proofErr w:type="spellEnd"/>
      <w:r>
        <w:rPr>
          <w:rtl/>
        </w:rPr>
        <w:t xml:space="preserve"> </w:t>
      </w:r>
      <w:r>
        <w:rPr>
          <w:rtl/>
        </w:rPr>
        <w:lastRenderedPageBreak/>
        <w:t xml:space="preserve">עם רבו בבחירת חתן לבתו השנייה, הציע ר׳ חיים “את ר׳ ראובן </w:t>
      </w:r>
      <w:proofErr w:type="spellStart"/>
      <w:r>
        <w:rPr>
          <w:rtl/>
        </w:rPr>
        <w:t>מינסקר</w:t>
      </w:r>
      <w:proofErr w:type="spellEnd"/>
      <w:r>
        <w:rPr>
          <w:rtl/>
        </w:rPr>
        <w:t xml:space="preserve"> (</w:t>
      </w:r>
      <w:proofErr w:type="spellStart"/>
      <w:r>
        <w:rPr>
          <w:rtl/>
        </w:rPr>
        <w:t>גרוזובסקי</w:t>
      </w:r>
      <w:proofErr w:type="spellEnd"/>
      <w:r>
        <w:rPr>
          <w:rtl/>
        </w:rPr>
        <w:t>), שהכרתיו מן הפגישה המקרית ברכבת”.</w:t>
      </w:r>
    </w:p>
    <w:p w14:paraId="0B4680C5" w14:textId="77777777" w:rsidR="00AB3647" w:rsidRDefault="00000000" w:rsidP="007923E9">
      <w:pPr>
        <w:spacing w:after="120" w:line="276" w:lineRule="auto"/>
        <w:ind w:firstLine="283"/>
        <w:jc w:val="both"/>
      </w:pPr>
      <w:r>
        <w:rPr>
          <w:rtl/>
        </w:rPr>
        <w:t xml:space="preserve">בנישואין אלה ודאי פעל ר׳ </w:t>
      </w:r>
      <w:proofErr w:type="spellStart"/>
      <w:r>
        <w:rPr>
          <w:rtl/>
        </w:rPr>
        <w:t>ברוך־בער</w:t>
      </w:r>
      <w:proofErr w:type="spellEnd"/>
      <w:r>
        <w:rPr>
          <w:rtl/>
        </w:rPr>
        <w:t xml:space="preserve"> על פי עצה שקיבל מר׳ חיים זמן רב קודם לכן. ההזדמנות האחרונה של השניים לשוחח בעניינים הייתה בשנת תרע״ה, כשעזב ר׳ </w:t>
      </w:r>
      <w:proofErr w:type="spellStart"/>
      <w:r>
        <w:rPr>
          <w:rtl/>
        </w:rPr>
        <w:t>ברוך־בער</w:t>
      </w:r>
      <w:proofErr w:type="spellEnd"/>
      <w:r>
        <w:rPr>
          <w:rtl/>
        </w:rPr>
        <w:t xml:space="preserve"> את מינסק – שאליה נמלט ר׳ חיים קודם לכן </w:t>
      </w:r>
      <w:proofErr w:type="spellStart"/>
      <w:r>
        <w:rPr>
          <w:rtl/>
        </w:rPr>
        <w:t>מבריסק</w:t>
      </w:r>
      <w:proofErr w:type="spellEnd"/>
      <w:r>
        <w:rPr>
          <w:rtl/>
        </w:rPr>
        <w:t xml:space="preserve"> – ויצא </w:t>
      </w:r>
      <w:proofErr w:type="spellStart"/>
      <w:r>
        <w:rPr>
          <w:rtl/>
        </w:rPr>
        <w:t>לקרמנצ׳וג</w:t>
      </w:r>
      <w:proofErr w:type="spellEnd"/>
      <w:r>
        <w:rPr>
          <w:rtl/>
        </w:rPr>
        <w:t xml:space="preserve">. באותה עת הייתה בתו בת </w:t>
      </w:r>
      <w:proofErr w:type="spellStart"/>
      <w:r>
        <w:rPr>
          <w:rtl/>
        </w:rPr>
        <w:t>שבע־עשרה</w:t>
      </w:r>
      <w:proofErr w:type="spellEnd"/>
      <w:r>
        <w:rPr>
          <w:rtl/>
        </w:rPr>
        <w:t xml:space="preserve"> בלבד. מאז פרוץ המלחמה באב תרע״ד, שנה קודם לכן, ועד שנפגשו כפליטים במינסק, ודאי לא היה קשר ביניהם, ולפני כן לא היה ר׳ </w:t>
      </w:r>
      <w:proofErr w:type="spellStart"/>
      <w:r>
        <w:rPr>
          <w:rtl/>
        </w:rPr>
        <w:t>ברוך־בער</w:t>
      </w:r>
      <w:proofErr w:type="spellEnd"/>
      <w:r>
        <w:rPr>
          <w:rtl/>
        </w:rPr>
        <w:t xml:space="preserve"> מודאג משידוך לבתו בת </w:t>
      </w:r>
      <w:proofErr w:type="spellStart"/>
      <w:r>
        <w:rPr>
          <w:rtl/>
        </w:rPr>
        <w:t>החמש־עשרה</w:t>
      </w:r>
      <w:proofErr w:type="spellEnd"/>
      <w:r>
        <w:rPr>
          <w:rtl/>
        </w:rPr>
        <w:t xml:space="preserve"> או </w:t>
      </w:r>
      <w:proofErr w:type="spellStart"/>
      <w:r>
        <w:rPr>
          <w:rtl/>
        </w:rPr>
        <w:t>השש־עשרה</w:t>
      </w:r>
      <w:proofErr w:type="spellEnd"/>
      <w:r>
        <w:rPr>
          <w:rtl/>
        </w:rPr>
        <w:t>.</w:t>
      </w:r>
    </w:p>
    <w:p w14:paraId="2AC6C21C" w14:textId="1B9BA8BF" w:rsidR="00AB3647" w:rsidRDefault="00000000" w:rsidP="007923E9">
      <w:pPr>
        <w:spacing w:after="120" w:line="276" w:lineRule="auto"/>
        <w:ind w:firstLine="283"/>
        <w:jc w:val="both"/>
      </w:pPr>
      <w:r>
        <w:rPr>
          <w:rtl/>
        </w:rPr>
        <w:t xml:space="preserve">עד שהגיע ר׳ חיים למינסק </w:t>
      </w:r>
      <w:proofErr w:type="spellStart"/>
      <w:r>
        <w:rPr>
          <w:rtl/>
        </w:rPr>
        <w:t>בתרע״ה</w:t>
      </w:r>
      <w:proofErr w:type="spellEnd"/>
      <w:r>
        <w:rPr>
          <w:rtl/>
        </w:rPr>
        <w:t xml:space="preserve">, כבר נמלט ר׳ ראובן לווילנה, ושם הסתתר מהגיוס הרוסי בבית אחותו המבוגרת ממנו, שרה </w:t>
      </w:r>
      <w:proofErr w:type="spellStart"/>
      <w:r>
        <w:rPr>
          <w:rtl/>
        </w:rPr>
        <w:t>שטופלר</w:t>
      </w:r>
      <w:bookmarkStart w:id="3869" w:name="_fnr2930"/>
      <w:proofErr w:type="spellEnd"/>
      <w:r>
        <w:rPr>
          <w:rStyle w:val="a5"/>
        </w:rPr>
        <w:footnoteReference w:id="2938" w:customMarkFollows="0"/>
      </w:r>
      <w:bookmarkEnd w:id="3869"/>
      <w:r>
        <w:rPr>
          <w:rtl/>
        </w:rPr>
        <w:t xml:space="preserve">. לכן אי אפשר היה לפעול על פי הצעת רבו עד שתמה המלחמה ברוסיה וחזר ר׳ ראובן לישיבת </w:t>
      </w:r>
      <w:proofErr w:type="spellStart"/>
      <w:r>
        <w:rPr>
          <w:rtl/>
        </w:rPr>
        <w:t>סלבודקה</w:t>
      </w:r>
      <w:proofErr w:type="spellEnd"/>
      <w:r>
        <w:rPr>
          <w:rtl/>
        </w:rPr>
        <w:t xml:space="preserve">, שהייתה אז </w:t>
      </w:r>
      <w:proofErr w:type="spellStart"/>
      <w:r>
        <w:rPr>
          <w:rtl/>
        </w:rPr>
        <w:t>בקרמנצ׳וג</w:t>
      </w:r>
      <w:proofErr w:type="spellEnd"/>
      <w:r>
        <w:rPr>
          <w:rtl/>
        </w:rPr>
        <w:t xml:space="preserve">. מתברר אם כן שעצתו של ר׳ חיים ניתנה כארבע שנים לפני החתונה, ויושמה לאחר שנפטר ר׳ חיים </w:t>
      </w:r>
      <w:proofErr w:type="spellStart"/>
      <w:r>
        <w:rPr>
          <w:rtl/>
        </w:rPr>
        <w:t>בתרע״ח</w:t>
      </w:r>
      <w:proofErr w:type="spellEnd"/>
      <w:r>
        <w:rPr>
          <w:rtl/>
        </w:rPr>
        <w:t xml:space="preserve">. מעניין גם שר׳ </w:t>
      </w:r>
      <w:proofErr w:type="spellStart"/>
      <w:r>
        <w:rPr>
          <w:rtl/>
        </w:rPr>
        <w:t>ברוך־בער</w:t>
      </w:r>
      <w:proofErr w:type="spellEnd"/>
      <w:r>
        <w:rPr>
          <w:rtl/>
        </w:rPr>
        <w:t xml:space="preserve"> ביקש עצה מר׳ חיים בעניין בתו השנייה, בשעה שבתו הבכורה, שכבר הייתה בת 25 </w:t>
      </w:r>
      <w:proofErr w:type="spellStart"/>
      <w:r>
        <w:rPr>
          <w:rtl/>
        </w:rPr>
        <w:t>בתרע״ה</w:t>
      </w:r>
      <w:proofErr w:type="spellEnd"/>
      <w:r>
        <w:rPr>
          <w:rtl/>
        </w:rPr>
        <w:t>, עדיין לא נישאה. אבל השווה סוף הפסקה השלישית ב</w:t>
      </w:r>
      <w:r>
        <w:rPr>
          <w:rtl/>
        </w:rPr>
        <w:fldChar w:fldCharType="begin" w:dirty="true"/>
      </w:r>
      <w:r>
        <w:rPr>
          <w:rtl/>
        </w:rPr>
        <w:instrText xml:space="preserve"> REF b3_excR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יח</w:t>
      </w:r>
      <w:proofErr w:type="spellEnd"/>
      <w:r>
        <w:rPr>
          <w:rtl/>
        </w:rPr>
        <w:fldChar w:fldCharType="end"/>
      </w:r>
      <w:r>
        <w:rPr>
          <w:rtl/>
        </w:rPr>
        <w:t xml:space="preserve"> לעיל, בעניין המצב המיוחד של הבת הבכורה.</w:t>
      </w:r>
    </w:p>
    <w:bookmarkStart w:id="3870" w:name="b3_excFF"/>
    <w:p w14:paraId="26117D05" w14:textId="77777777" w:rsidR="00AB3647" w:rsidRDefault="00000000" w:rsidP="007923E9">
      <w:pPr>
        <w:pStyle w:val="3"/>
        <w:spacing w:line="276" w:lineRule="auto"/>
      </w:pPr>
      <w:r>
        <w:lastRenderedPageBreak/>
        <w:fldChar w:fldCharType="begin" w:dirty="true"/>
      </w:r>
      <w:r>
        <w:rPr>
          <w:rtl w:val="0"/>
        </w:rPr>
        <w:instrText>HYPERLINK \l "b3_note136</w:instrText>
      </w:r>
      <w:r>
        <w:instrText>"</w:instrText>
      </w:r>
      <w:r>
        <w:fldChar w:fldCharType="separate"/>
      </w:r>
      <w:r>
        <w:t>נספח לב</w:t>
      </w:r>
      <w:r>
        <w:fldChar w:fldCharType="end"/>
      </w:r>
      <w:bookmarkEnd w:id="3870"/>
    </w:p>
    <w:p w14:paraId="07F60249" w14:textId="77777777" w:rsidR="00AB3647" w:rsidRDefault="00000000" w:rsidP="007923E9">
      <w:pPr>
        <w:pStyle w:val="af"/>
        <w:spacing w:line="276" w:lineRule="auto"/>
      </w:pPr>
      <w:r>
        <w:t xml:space="preserve">על דירוג גדולי התורה בנעוריו של רבנו ועל התמודדותו של ר׳ חיים </w:t>
      </w:r>
      <w:proofErr w:type="spellStart"/>
      <w:r>
        <w:t>סולובייצ׳יק</w:t>
      </w:r>
      <w:proofErr w:type="spellEnd"/>
      <w:r>
        <w:t xml:space="preserve"> עם ר׳ יוסף </w:t>
      </w:r>
      <w:proofErr w:type="spellStart"/>
      <w:r>
        <w:t>רוזין</w:t>
      </w:r>
      <w:proofErr w:type="spellEnd"/>
      <w:r>
        <w:t xml:space="preserve">, הגאון </w:t>
      </w:r>
      <w:proofErr w:type="spellStart"/>
      <w:r>
        <w:t>הרוגצ׳ובר</w:t>
      </w:r>
      <w:proofErr w:type="spellEnd"/>
    </w:p>
    <w:p w14:paraId="03C2595B" w14:textId="77777777" w:rsidR="00AB3647" w:rsidRDefault="00000000" w:rsidP="007923E9">
      <w:pPr>
        <w:pStyle w:val="5"/>
        <w:spacing w:line="276" w:lineRule="auto"/>
      </w:pPr>
      <w:r>
        <w:t xml:space="preserve">תלמידי </w:t>
      </w:r>
      <w:proofErr w:type="spellStart"/>
      <w:r>
        <w:t>סלבודקה</w:t>
      </w:r>
      <w:proofErr w:type="spellEnd"/>
      <w:r>
        <w:t xml:space="preserve"> מדרגים את </w:t>
      </w:r>
      <w:proofErr w:type="spellStart"/>
      <w:r>
        <w:t>ה“גדולים</w:t>
      </w:r>
      <w:proofErr w:type="spellEnd"/>
      <w:r>
        <w:t xml:space="preserve">” – ר׳ חיים </w:t>
      </w:r>
      <w:proofErr w:type="spellStart"/>
      <w:r>
        <w:t>סולובייצ׳יק</w:t>
      </w:r>
      <w:proofErr w:type="spellEnd"/>
      <w:r>
        <w:t xml:space="preserve"> אינו מתפעל מר׳ יוסף </w:t>
      </w:r>
      <w:proofErr w:type="spellStart"/>
      <w:r>
        <w:t>רוזין</w:t>
      </w:r>
      <w:proofErr w:type="spellEnd"/>
      <w:r>
        <w:t xml:space="preserve"> – הלה מקבל אורחים מאמריקה – הראשון מפריך את ראיותיו של האחרון – ר׳ </w:t>
      </w:r>
      <w:proofErr w:type="spellStart"/>
      <w:r>
        <w:t>מנדל׳ה</w:t>
      </w:r>
      <w:proofErr w:type="spellEnd"/>
      <w:r>
        <w:t xml:space="preserve"> אפשטיין מלמד את שניהם בנעוריהם </w:t>
      </w:r>
      <w:proofErr w:type="spellStart"/>
      <w:r>
        <w:t>בסלוצק</w:t>
      </w:r>
      <w:proofErr w:type="spellEnd"/>
      <w:r>
        <w:t xml:space="preserve"> – </w:t>
      </w:r>
      <w:proofErr w:type="spellStart"/>
      <w:r>
        <w:t>הרוגצ׳ובר</w:t>
      </w:r>
      <w:proofErr w:type="spellEnd"/>
      <w:r>
        <w:t xml:space="preserve"> שוהה זמן קצר </w:t>
      </w:r>
      <w:proofErr w:type="spellStart"/>
      <w:r>
        <w:t>בסלוצק</w:t>
      </w:r>
      <w:proofErr w:type="spellEnd"/>
    </w:p>
    <w:p w14:paraId="51EA9953" w14:textId="77777777" w:rsidR="00AB3647" w:rsidRDefault="00000000" w:rsidP="007923E9">
      <w:pPr>
        <w:spacing w:after="120" w:line="276" w:lineRule="auto"/>
        <w:ind w:firstLine="283"/>
        <w:jc w:val="both"/>
      </w:pPr>
      <w:r>
        <w:rPr>
          <w:rtl/>
        </w:rPr>
        <w:t xml:space="preserve">אבי אמר שבימיו </w:t>
      </w:r>
      <w:proofErr w:type="spellStart"/>
      <w:r>
        <w:rPr>
          <w:rtl/>
        </w:rPr>
        <w:t>בסלבודקה</w:t>
      </w:r>
      <w:proofErr w:type="spellEnd"/>
      <w:r>
        <w:rPr>
          <w:rtl/>
        </w:rPr>
        <w:t xml:space="preserve"> נחשבו ארבעה לגדולי הדור: ר׳ </w:t>
      </w:r>
      <w:proofErr w:type="spellStart"/>
      <w:r>
        <w:rPr>
          <w:rtl/>
        </w:rPr>
        <w:t>מאיר־שמחה</w:t>
      </w:r>
      <w:proofErr w:type="spellEnd"/>
      <w:r>
        <w:rPr>
          <w:rtl/>
        </w:rPr>
        <w:t xml:space="preserve"> כהן, ר׳ </w:t>
      </w:r>
      <w:proofErr w:type="spellStart"/>
      <w:r>
        <w:rPr>
          <w:rtl/>
        </w:rPr>
        <w:t>דוד׳ל</w:t>
      </w:r>
      <w:proofErr w:type="spellEnd"/>
      <w:r>
        <w:rPr>
          <w:rtl/>
        </w:rPr>
        <w:t xml:space="preserve"> פרידמן (</w:t>
      </w:r>
      <w:proofErr w:type="spellStart"/>
      <w:r>
        <w:rPr>
          <w:rtl/>
        </w:rPr>
        <w:t>קארלינער</w:t>
      </w:r>
      <w:proofErr w:type="spellEnd"/>
      <w:r>
        <w:rPr>
          <w:rtl/>
        </w:rPr>
        <w:t xml:space="preserve">), ר׳ יוסף </w:t>
      </w:r>
      <w:proofErr w:type="spellStart"/>
      <w:r>
        <w:rPr>
          <w:rtl/>
        </w:rPr>
        <w:t>רוזין</w:t>
      </w:r>
      <w:proofErr w:type="spellEnd"/>
      <w:r>
        <w:rPr>
          <w:rtl/>
        </w:rPr>
        <w:t xml:space="preserve"> (הגאון </w:t>
      </w:r>
      <w:proofErr w:type="spellStart"/>
      <w:r>
        <w:rPr>
          <w:rtl/>
        </w:rPr>
        <w:t>הרוגצ׳ובר</w:t>
      </w:r>
      <w:proofErr w:type="spellEnd"/>
      <w:r>
        <w:rPr>
          <w:rtl/>
        </w:rPr>
        <w:t xml:space="preserve">) ור׳ חיים </w:t>
      </w:r>
      <w:proofErr w:type="spellStart"/>
      <w:r>
        <w:rPr>
          <w:rtl/>
        </w:rPr>
        <w:t>סולובייצ׳יק</w:t>
      </w:r>
      <w:proofErr w:type="spellEnd"/>
      <w:r>
        <w:rPr>
          <w:rtl/>
        </w:rPr>
        <w:t xml:space="preserve">. בהזדמנויות אחרות חילק את הארבעה לשתי דרגות, והוסיף שמות של “גדולים מן הדרגה השלישית”. הוא אמר שר׳ חיים ור׳ </w:t>
      </w:r>
      <w:proofErr w:type="spellStart"/>
      <w:r>
        <w:rPr>
          <w:rtl/>
        </w:rPr>
        <w:t>דוד׳ל</w:t>
      </w:r>
      <w:proofErr w:type="spellEnd"/>
      <w:r>
        <w:rPr>
          <w:rtl/>
        </w:rPr>
        <w:t xml:space="preserve"> היו בדרגה הראשונה, ור׳ </w:t>
      </w:r>
      <w:proofErr w:type="spellStart"/>
      <w:r>
        <w:rPr>
          <w:rtl/>
        </w:rPr>
        <w:t>מאיר־שמחה</w:t>
      </w:r>
      <w:proofErr w:type="spellEnd"/>
      <w:r>
        <w:rPr>
          <w:rtl/>
        </w:rPr>
        <w:t xml:space="preserve"> </w:t>
      </w:r>
      <w:proofErr w:type="spellStart"/>
      <w:r>
        <w:rPr>
          <w:rtl/>
        </w:rPr>
        <w:t>והרוגצ׳ובר</w:t>
      </w:r>
      <w:proofErr w:type="spellEnd"/>
      <w:r>
        <w:rPr>
          <w:rtl/>
        </w:rPr>
        <w:t xml:space="preserve"> בשנייה. בריאיון על הסבא אמר על ר׳ </w:t>
      </w:r>
      <w:proofErr w:type="spellStart"/>
      <w:r>
        <w:rPr>
          <w:rtl/>
        </w:rPr>
        <w:t>איצל׳ה</w:t>
      </w:r>
      <w:proofErr w:type="spellEnd"/>
      <w:r>
        <w:rPr>
          <w:rtl/>
        </w:rPr>
        <w:t xml:space="preserve"> </w:t>
      </w:r>
      <w:proofErr w:type="spellStart"/>
      <w:r>
        <w:rPr>
          <w:rtl/>
        </w:rPr>
        <w:t>הפוניבז׳ער</w:t>
      </w:r>
      <w:proofErr w:type="spellEnd"/>
      <w:r>
        <w:rPr>
          <w:rtl/>
        </w:rPr>
        <w:t xml:space="preserve">: “הוא היה גאון עצום, אבל לא בדרגתו של ר׳ חיים </w:t>
      </w:r>
      <w:proofErr w:type="spellStart"/>
      <w:r>
        <w:rPr>
          <w:rtl/>
        </w:rPr>
        <w:t>סולובייצ׳יק</w:t>
      </w:r>
      <w:proofErr w:type="spellEnd"/>
      <w:r>
        <w:rPr>
          <w:rtl/>
        </w:rPr>
        <w:t>: הוא היה מן הדרגה השלישית של גדולי התורה, אבל היה גדול.”</w:t>
      </w:r>
    </w:p>
    <w:p w14:paraId="3008F7DE" w14:textId="77777777" w:rsidR="00AB3647" w:rsidRDefault="00000000" w:rsidP="007923E9">
      <w:pPr>
        <w:spacing w:after="120" w:line="276" w:lineRule="auto"/>
        <w:ind w:firstLine="283"/>
        <w:jc w:val="both"/>
      </w:pPr>
      <w:r>
        <w:rPr>
          <w:rtl/>
        </w:rPr>
        <w:t xml:space="preserve">בהספד על ר׳ </w:t>
      </w:r>
      <w:proofErr w:type="spellStart"/>
      <w:r>
        <w:rPr>
          <w:rtl/>
        </w:rPr>
        <w:t>לייזר־יודל</w:t>
      </w:r>
      <w:proofErr w:type="spellEnd"/>
      <w:r>
        <w:rPr>
          <w:rtl/>
        </w:rPr>
        <w:t xml:space="preserve"> </w:t>
      </w:r>
      <w:proofErr w:type="spellStart"/>
      <w:r>
        <w:rPr>
          <w:rtl/>
        </w:rPr>
        <w:t>פינקל</w:t>
      </w:r>
      <w:proofErr w:type="spellEnd"/>
      <w:r>
        <w:rPr>
          <w:rtl/>
        </w:rPr>
        <w:t xml:space="preserve">, ראש ישיבת </w:t>
      </w:r>
      <w:proofErr w:type="spellStart"/>
      <w:r>
        <w:rPr>
          <w:rtl/>
        </w:rPr>
        <w:t>מיר</w:t>
      </w:r>
      <w:proofErr w:type="spellEnd"/>
      <w:r>
        <w:rPr>
          <w:rtl/>
        </w:rPr>
        <w:t xml:space="preserve"> וחתנו של ר׳ </w:t>
      </w:r>
      <w:proofErr w:type="spellStart"/>
      <w:r>
        <w:rPr>
          <w:rtl/>
        </w:rPr>
        <w:t>אליהו־ברוך</w:t>
      </w:r>
      <w:proofErr w:type="spellEnd"/>
      <w:r>
        <w:rPr>
          <w:rtl/>
        </w:rPr>
        <w:t xml:space="preserve"> קמאי, אמר אבי שר׳ </w:t>
      </w:r>
      <w:proofErr w:type="spellStart"/>
      <w:r>
        <w:rPr>
          <w:rtl/>
        </w:rPr>
        <w:t>אליהו־ברוך</w:t>
      </w:r>
      <w:proofErr w:type="spellEnd"/>
      <w:r>
        <w:rPr>
          <w:rtl/>
        </w:rPr>
        <w:t xml:space="preserve"> היה מן “הדרגה השלישית”. על גדולתו של ר׳ </w:t>
      </w:r>
      <w:proofErr w:type="spellStart"/>
      <w:r>
        <w:rPr>
          <w:rtl/>
        </w:rPr>
        <w:t>אליהו־ברוך</w:t>
      </w:r>
      <w:proofErr w:type="spellEnd"/>
      <w:r>
        <w:rPr>
          <w:rtl/>
        </w:rPr>
        <w:t xml:space="preserve"> אמר רבנו באותה הזדמנות שהיה בקי כל כך בגדולי התורה של הדורות הקודמים, עד שכינה את מחבר “נתיבות המשפט” הנודע לא על שם ספרו אלא על שם העיר שבה כיהן: “הרב </w:t>
      </w:r>
      <w:proofErr w:type="spellStart"/>
      <w:r>
        <w:rPr>
          <w:rtl/>
        </w:rPr>
        <w:t>מליסא</w:t>
      </w:r>
      <w:proofErr w:type="spellEnd"/>
      <w:r>
        <w:rPr>
          <w:rtl/>
        </w:rPr>
        <w:t xml:space="preserve">”. עוד אמר שר׳ </w:t>
      </w:r>
      <w:proofErr w:type="spellStart"/>
      <w:r>
        <w:rPr>
          <w:rtl/>
        </w:rPr>
        <w:t>אליהו־ברוך</w:t>
      </w:r>
      <w:proofErr w:type="spellEnd"/>
      <w:r>
        <w:rPr>
          <w:rtl/>
        </w:rPr>
        <w:t xml:space="preserve"> לגלג על ספריו של ר׳ </w:t>
      </w:r>
      <w:proofErr w:type="spellStart"/>
      <w:r>
        <w:rPr>
          <w:rtl/>
        </w:rPr>
        <w:t>יצחק־אלחנן</w:t>
      </w:r>
      <w:proofErr w:type="spellEnd"/>
      <w:r>
        <w:rPr>
          <w:rtl/>
        </w:rPr>
        <w:t xml:space="preserve"> </w:t>
      </w:r>
      <w:proofErr w:type="spellStart"/>
      <w:r>
        <w:rPr>
          <w:rtl/>
        </w:rPr>
        <w:t>ספקטור</w:t>
      </w:r>
      <w:proofErr w:type="spellEnd"/>
      <w:r>
        <w:rPr>
          <w:rtl/>
        </w:rPr>
        <w:t xml:space="preserve"> וחלק עליהם. “הוא היה </w:t>
      </w:r>
      <w:proofErr w:type="spellStart"/>
      <w:r>
        <w:rPr>
          <w:rtl/>
        </w:rPr>
        <w:t>אויסלאכען</w:t>
      </w:r>
      <w:proofErr w:type="spellEnd"/>
      <w:r>
        <w:rPr>
          <w:rtl/>
        </w:rPr>
        <w:t xml:space="preserve"> [מלגלג על] הספרים האלה”, אמר אבי, “וכששאל אותו מישהו: ‘ומה עם שלך?’ היה משיב: ‘בלי שלי, </w:t>
      </w:r>
      <w:proofErr w:type="spellStart"/>
      <w:r>
        <w:rPr>
          <w:rtl/>
        </w:rPr>
        <w:t>קען</w:t>
      </w:r>
      <w:proofErr w:type="spellEnd"/>
      <w:r>
        <w:rPr>
          <w:rtl/>
        </w:rPr>
        <w:t xml:space="preserve"> מען דאך קיין פשט ניט </w:t>
      </w:r>
      <w:proofErr w:type="spellStart"/>
      <w:r>
        <w:rPr>
          <w:rtl/>
        </w:rPr>
        <w:t>לערנען</w:t>
      </w:r>
      <w:proofErr w:type="spellEnd"/>
      <w:r>
        <w:rPr>
          <w:rtl/>
        </w:rPr>
        <w:t xml:space="preserve"> [הרי אי אפשר ללמוד שום פשט].’”</w:t>
      </w:r>
    </w:p>
    <w:p w14:paraId="6319DD02" w14:textId="77777777" w:rsidR="00AB3647" w:rsidRDefault="00000000" w:rsidP="007923E9">
      <w:pPr>
        <w:spacing w:after="120" w:line="276" w:lineRule="auto"/>
        <w:ind w:firstLine="283"/>
        <w:jc w:val="both"/>
      </w:pPr>
      <w:r>
        <w:rPr>
          <w:rtl/>
        </w:rPr>
        <w:t xml:space="preserve">בריאיון על ר׳ ישראל </w:t>
      </w:r>
      <w:proofErr w:type="spellStart"/>
      <w:r>
        <w:rPr>
          <w:rtl/>
        </w:rPr>
        <w:t>סלנטר</w:t>
      </w:r>
      <w:bookmarkStart w:id="3871" w:name="_fnr2931"/>
      <w:proofErr w:type="spellEnd"/>
      <w:r>
        <w:rPr>
          <w:rStyle w:val="a5"/>
        </w:rPr>
        <w:footnoteReference w:id="2939" w:customMarkFollows="0"/>
      </w:r>
      <w:bookmarkEnd w:id="3871"/>
      <w:r>
        <w:rPr>
          <w:rtl/>
        </w:rPr>
        <w:t xml:space="preserve"> העיר המראיין ששמע כי אחד מארבעת חכמי הדור הקודם שנחשבו מעין ראשונים שמנה ר׳ חיים</w:t>
      </w:r>
      <w:bookmarkStart w:id="3872" w:name="_fnr2932"/>
      <w:r>
        <w:rPr>
          <w:rStyle w:val="a5"/>
        </w:rPr>
        <w:footnoteReference w:id="2940" w:customMarkFollows="0"/>
      </w:r>
      <w:bookmarkEnd w:id="3872"/>
      <w:r>
        <w:rPr>
          <w:rtl/>
        </w:rPr>
        <w:t xml:space="preserve"> היה ר׳ </w:t>
      </w:r>
      <w:proofErr w:type="spellStart"/>
      <w:r>
        <w:rPr>
          <w:rtl/>
        </w:rPr>
        <w:t>דוד׳ל</w:t>
      </w:r>
      <w:proofErr w:type="spellEnd"/>
      <w:r>
        <w:rPr>
          <w:rtl/>
        </w:rPr>
        <w:t xml:space="preserve"> </w:t>
      </w:r>
      <w:proofErr w:type="spellStart"/>
      <w:r>
        <w:rPr>
          <w:rtl/>
        </w:rPr>
        <w:t>קארלינער</w:t>
      </w:r>
      <w:proofErr w:type="spellEnd"/>
      <w:r>
        <w:rPr>
          <w:rtl/>
        </w:rPr>
        <w:t xml:space="preserve">, המבוגר מר׳ חיים בעשרים וחמש שנה. השיב אבי: “אלה שטויות. ר׳ חיים לא היה נתפעל מר׳ </w:t>
      </w:r>
      <w:proofErr w:type="spellStart"/>
      <w:r>
        <w:rPr>
          <w:rtl/>
        </w:rPr>
        <w:t>דוד׳ל</w:t>
      </w:r>
      <w:proofErr w:type="spellEnd"/>
      <w:r>
        <w:rPr>
          <w:rtl/>
        </w:rPr>
        <w:t xml:space="preserve">.” ובכל זאת בירך תלמידו המובהק של ר׳ חיים, ר׳ </w:t>
      </w:r>
      <w:proofErr w:type="spellStart"/>
      <w:r>
        <w:rPr>
          <w:rtl/>
        </w:rPr>
        <w:t>ברוך־בער</w:t>
      </w:r>
      <w:proofErr w:type="spellEnd"/>
      <w:r>
        <w:rPr>
          <w:rtl/>
        </w:rPr>
        <w:t xml:space="preserve">, את ברכת הכבוד לחכמי ישראל, “שחלק מכבודו </w:t>
      </w:r>
      <w:proofErr w:type="spellStart"/>
      <w:r>
        <w:rPr>
          <w:rtl/>
        </w:rPr>
        <w:t>ליראיו</w:t>
      </w:r>
      <w:proofErr w:type="spellEnd"/>
      <w:r>
        <w:rPr>
          <w:rtl/>
        </w:rPr>
        <w:t xml:space="preserve">”, כשראה את ר׳ </w:t>
      </w:r>
      <w:proofErr w:type="spellStart"/>
      <w:r>
        <w:rPr>
          <w:rtl/>
        </w:rPr>
        <w:t>דוד׳ל</w:t>
      </w:r>
      <w:bookmarkStart w:id="3873" w:name="_fnr2933"/>
      <w:bookmarkEnd w:id="3873"/>
      <w:proofErr w:type="spellEnd"/>
      <w:r>
        <w:rPr>
          <w:rStyle w:val="a5"/>
        </w:rPr>
        <w:t/>
      </w:r>
      <w:bookmarkStart w:id="7034" w:name="_TranslatorNote_5391"/>
      <w:r>
        <w:rPr>
          <w:rStyle w:val="a5"/>
          <w:vertAlign w:val="superscript"/>
          <w:rtl/>
        </w:rPr>
        <w:footnoteReference w:id="2941" w:customMarkFollows="1"/>
        <w:t>*</w:t>
      </w:r>
      <w:bookmarkEnd w:id="7034"/>
      <w:bookmarkStart w:id="3874" w:name="_fnr2934"/>
      <w:r>
        <w:rPr>
          <w:rStyle w:val="a5"/>
        </w:rPr>
        <w:footnoteReference w:id="2942" w:customMarkFollows="0"/>
      </w:r>
      <w:bookmarkEnd w:id="3874"/>
      <w:r>
        <w:rPr>
          <w:rtl/>
        </w:rPr>
        <w:t xml:space="preserve">. אם ר׳ חיים לא היה נתפעל מר׳ </w:t>
      </w:r>
      <w:proofErr w:type="spellStart"/>
      <w:r>
        <w:rPr>
          <w:rtl/>
        </w:rPr>
        <w:t>דוד׳ל</w:t>
      </w:r>
      <w:proofErr w:type="spellEnd"/>
      <w:r>
        <w:rPr>
          <w:rtl/>
        </w:rPr>
        <w:t xml:space="preserve"> </w:t>
      </w:r>
      <w:proofErr w:type="spellStart"/>
      <w:r>
        <w:rPr>
          <w:rtl/>
        </w:rPr>
        <w:t>קארלינער</w:t>
      </w:r>
      <w:proofErr w:type="spellEnd"/>
      <w:r>
        <w:rPr>
          <w:rtl/>
        </w:rPr>
        <w:t xml:space="preserve">, ודאי לא היה נתפעל </w:t>
      </w:r>
      <w:proofErr w:type="spellStart"/>
      <w:r>
        <w:rPr>
          <w:rtl/>
        </w:rPr>
        <w:t>מהרוגצ׳ובר</w:t>
      </w:r>
      <w:proofErr w:type="spellEnd"/>
      <w:r>
        <w:rPr>
          <w:rtl/>
        </w:rPr>
        <w:t>, שדורג בדרגה השנייה.</w:t>
      </w:r>
    </w:p>
    <w:p w14:paraId="72407C00" w14:textId="77777777" w:rsidR="00AB3647" w:rsidRDefault="00000000" w:rsidP="007923E9">
      <w:pPr>
        <w:spacing w:after="120" w:line="276" w:lineRule="auto"/>
        <w:ind w:firstLine="283"/>
        <w:jc w:val="both"/>
      </w:pPr>
      <w:r>
        <w:rPr>
          <w:rtl/>
        </w:rPr>
        <w:t>הדבר מתברר ממעשה שסיפר ר׳ מאיר ליברמן</w:t>
      </w:r>
      <w:bookmarkStart w:id="3875" w:name="_fnr2935"/>
      <w:r>
        <w:rPr>
          <w:rStyle w:val="a5"/>
        </w:rPr>
        <w:footnoteReference w:id="2943" w:customMarkFollows="0"/>
      </w:r>
      <w:bookmarkEnd w:id="3875"/>
      <w:r>
        <w:rPr>
          <w:rtl/>
        </w:rPr>
        <w:t xml:space="preserve"> בשם ר׳ יצחק־זאב </w:t>
      </w:r>
      <w:proofErr w:type="spellStart"/>
      <w:r>
        <w:rPr>
          <w:rtl/>
        </w:rPr>
        <w:t>סולובייצ׳יק</w:t>
      </w:r>
      <w:proofErr w:type="spellEnd"/>
      <w:r>
        <w:rPr>
          <w:rtl/>
        </w:rPr>
        <w:t xml:space="preserve">: בוורשה התקיים דין תורה מפורסם מאוד על סכום כסף גדול. בעלי הדין בחרו, כל אחד מצדו, את ר׳ חיים ואת </w:t>
      </w:r>
      <w:proofErr w:type="spellStart"/>
      <w:r>
        <w:rPr>
          <w:rtl/>
        </w:rPr>
        <w:t>הרוגצ׳ובר</w:t>
      </w:r>
      <w:proofErr w:type="spellEnd"/>
      <w:r>
        <w:rPr>
          <w:rtl/>
        </w:rPr>
        <w:t xml:space="preserve"> לדיינים, ומאחר שר׳ </w:t>
      </w:r>
      <w:proofErr w:type="spellStart"/>
      <w:r>
        <w:rPr>
          <w:rtl/>
        </w:rPr>
        <w:t>דוד׳ל</w:t>
      </w:r>
      <w:proofErr w:type="spellEnd"/>
      <w:r>
        <w:rPr>
          <w:rtl/>
        </w:rPr>
        <w:t xml:space="preserve"> </w:t>
      </w:r>
      <w:proofErr w:type="spellStart"/>
      <w:r>
        <w:rPr>
          <w:rtl/>
        </w:rPr>
        <w:t>קארלינער</w:t>
      </w:r>
      <w:proofErr w:type="spellEnd"/>
      <w:r>
        <w:rPr>
          <w:rtl/>
        </w:rPr>
        <w:t xml:space="preserve"> כבר היה זקן, נלקח ר׳ </w:t>
      </w:r>
      <w:proofErr w:type="spellStart"/>
      <w:r>
        <w:rPr>
          <w:rtl/>
        </w:rPr>
        <w:t>חיים־עוזר</w:t>
      </w:r>
      <w:proofErr w:type="spellEnd"/>
      <w:r>
        <w:rPr>
          <w:rtl/>
        </w:rPr>
        <w:t xml:space="preserve"> </w:t>
      </w:r>
      <w:proofErr w:type="spellStart"/>
      <w:r>
        <w:rPr>
          <w:rtl/>
        </w:rPr>
        <w:lastRenderedPageBreak/>
        <w:t>גרודזנסקי</w:t>
      </w:r>
      <w:proofErr w:type="spellEnd"/>
      <w:r>
        <w:rPr>
          <w:rtl/>
        </w:rPr>
        <w:t xml:space="preserve"> כשליש. בתוך עשרים וארבע שעות פילסו ר׳ חיים ור׳ </w:t>
      </w:r>
      <w:proofErr w:type="spellStart"/>
      <w:r>
        <w:rPr>
          <w:rtl/>
        </w:rPr>
        <w:t>חיים־עוזר</w:t>
      </w:r>
      <w:proofErr w:type="spellEnd"/>
      <w:r>
        <w:rPr>
          <w:rtl/>
        </w:rPr>
        <w:t xml:space="preserve"> את דרכם בסבך ההתדיינות המורכבת והכריעו איזה צד צודק, אבל לכבודו של </w:t>
      </w:r>
      <w:proofErr w:type="spellStart"/>
      <w:r>
        <w:rPr>
          <w:rtl/>
        </w:rPr>
        <w:t>הרוגצ׳ובר</w:t>
      </w:r>
      <w:proofErr w:type="spellEnd"/>
      <w:r>
        <w:rPr>
          <w:rtl/>
        </w:rPr>
        <w:t>, שטרם עמד על הדברים, הניחו לדין התורה להימשך שבועיים.</w:t>
      </w:r>
    </w:p>
    <w:p w14:paraId="2EE209E2" w14:textId="3DA55A7D" w:rsidR="00AB3647" w:rsidRDefault="00000000" w:rsidP="007923E9">
      <w:pPr>
        <w:spacing w:after="120" w:line="276" w:lineRule="auto"/>
        <w:ind w:firstLine="283"/>
        <w:jc w:val="both"/>
      </w:pPr>
      <w:r>
        <w:rPr>
          <w:rtl/>
        </w:rPr>
        <w:t xml:space="preserve">אין ללמוד מכך </w:t>
      </w:r>
      <w:proofErr w:type="spellStart"/>
      <w:r>
        <w:rPr>
          <w:rtl/>
        </w:rPr>
        <w:t>שהרוגצ׳ובר</w:t>
      </w:r>
      <w:proofErr w:type="spellEnd"/>
      <w:r>
        <w:rPr>
          <w:rtl/>
        </w:rPr>
        <w:t xml:space="preserve"> לא הצליח לתפוס את המקרה כמותם שכוחות שכלו היו חלשים משל ר׳ חיים ור׳ </w:t>
      </w:r>
      <w:proofErr w:type="spellStart"/>
      <w:r>
        <w:rPr>
          <w:rtl/>
        </w:rPr>
        <w:t>חיים־עוזר</w:t>
      </w:r>
      <w:proofErr w:type="spellEnd"/>
      <w:r>
        <w:rPr>
          <w:rtl/>
        </w:rPr>
        <w:t xml:space="preserve"> </w:t>
      </w:r>
      <w:proofErr w:type="spellStart"/>
      <w:r>
        <w:rPr>
          <w:rtl/>
        </w:rPr>
        <w:t>גרודזנסקי</w:t>
      </w:r>
      <w:proofErr w:type="spellEnd"/>
      <w:r>
        <w:rPr>
          <w:rtl/>
        </w:rPr>
        <w:t xml:space="preserve">. פשוט, </w:t>
      </w:r>
      <w:proofErr w:type="spellStart"/>
      <w:r>
        <w:rPr>
          <w:rtl/>
        </w:rPr>
        <w:t>לר</w:t>
      </w:r>
      <w:proofErr w:type="spellEnd"/>
      <w:r>
        <w:rPr>
          <w:rtl/>
        </w:rPr>
        <w:t xml:space="preserve">׳ חיים </w:t>
      </w:r>
      <w:proofErr w:type="spellStart"/>
      <w:r>
        <w:rPr>
          <w:rtl/>
        </w:rPr>
        <w:t>ולר</w:t>
      </w:r>
      <w:proofErr w:type="spellEnd"/>
      <w:r>
        <w:rPr>
          <w:rtl/>
        </w:rPr>
        <w:t xml:space="preserve">׳ </w:t>
      </w:r>
      <w:proofErr w:type="spellStart"/>
      <w:r>
        <w:rPr>
          <w:rtl/>
        </w:rPr>
        <w:t>חיים־עוזר</w:t>
      </w:r>
      <w:proofErr w:type="spellEnd"/>
      <w:r>
        <w:rPr>
          <w:rtl/>
        </w:rPr>
        <w:t xml:space="preserve"> הייתה הבנה רבה יותר בבני אדם מאשר לרב </w:t>
      </w:r>
      <w:proofErr w:type="spellStart"/>
      <w:r>
        <w:rPr>
          <w:rtl/>
        </w:rPr>
        <w:t>רוזין</w:t>
      </w:r>
      <w:bookmarkStart w:id="3876" w:name="_fnr2936"/>
      <w:proofErr w:type="spellEnd"/>
      <w:r>
        <w:rPr>
          <w:rStyle w:val="a5"/>
        </w:rPr>
        <w:footnoteReference w:id="2944" w:customMarkFollows="0"/>
      </w:r>
      <w:bookmarkEnd w:id="3876"/>
      <w:r>
        <w:rPr>
          <w:rtl/>
        </w:rPr>
        <w:t xml:space="preserve"> – ראה פרק 4, הפסקה החמישית ב</w:t>
      </w:r>
      <w:r>
        <w:rPr>
          <w:rtl/>
        </w:rPr>
        <w:fldChar w:fldCharType="begin" w:dirty="true"/>
      </w:r>
      <w:r>
        <w:rPr>
          <w:rtl/>
        </w:rPr>
        <w:instrText xml:space="preserve"> REF b4_excI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xml:space="preserve">, על ר׳ חיים, ונספח ט בפרקנו על היות ר׳ </w:t>
      </w:r>
      <w:proofErr w:type="spellStart"/>
      <w:r>
        <w:rPr>
          <w:rtl/>
        </w:rPr>
        <w:t>חיים־עוזר</w:t>
      </w:r>
      <w:proofErr w:type="spellEnd"/>
      <w:r>
        <w:rPr>
          <w:rtl/>
        </w:rPr>
        <w:t xml:space="preserve"> מופת </w:t>
      </w:r>
      <w:proofErr w:type="spellStart"/>
      <w:r>
        <w:rPr>
          <w:rtl/>
        </w:rPr>
        <w:t>לחכמת</w:t>
      </w:r>
      <w:proofErr w:type="spellEnd"/>
      <w:r>
        <w:rPr>
          <w:rtl/>
        </w:rPr>
        <w:t xml:space="preserve"> המעשה.</w:t>
      </w:r>
    </w:p>
    <w:p w14:paraId="30A1DC93" w14:textId="77777777" w:rsidR="00AB3647" w:rsidRDefault="00000000" w:rsidP="007923E9">
      <w:pPr>
        <w:spacing w:after="120" w:line="276" w:lineRule="auto"/>
        <w:ind w:firstLine="283"/>
        <w:jc w:val="both"/>
      </w:pPr>
      <w:r>
        <w:rPr>
          <w:rtl/>
        </w:rPr>
        <w:t xml:space="preserve">כולם התאכסנו באותו מלון, ומובן שכינוסם של שלושה גאונים כאלה חולל סערת ברקים, כשכל אחד ממטיר את ראיותיו ממקורות שונים בש״ס ובפוסקים. בכל פעם שהתחיל </w:t>
      </w:r>
      <w:proofErr w:type="spellStart"/>
      <w:r>
        <w:rPr>
          <w:rtl/>
        </w:rPr>
        <w:t>הרוגצ׳ובר</w:t>
      </w:r>
      <w:proofErr w:type="spellEnd"/>
      <w:r>
        <w:rPr>
          <w:rtl/>
        </w:rPr>
        <w:t xml:space="preserve"> לדבר, היה ר׳ חיים מפסיקו ואומר: “אתה מתכוון </w:t>
      </w:r>
      <w:proofErr w:type="spellStart"/>
      <w:r>
        <w:rPr>
          <w:rtl/>
        </w:rPr>
        <w:t>לתוספתא</w:t>
      </w:r>
      <w:proofErr w:type="spellEnd"/>
      <w:r>
        <w:rPr>
          <w:rtl/>
        </w:rPr>
        <w:t xml:space="preserve"> פלונית, לירושלמי פלוני – אבל משם הראיה היא </w:t>
      </w:r>
      <w:proofErr w:type="spellStart"/>
      <w:r>
        <w:rPr>
          <w:rtl/>
        </w:rPr>
        <w:t>פארקערט</w:t>
      </w:r>
      <w:proofErr w:type="spellEnd"/>
      <w:r>
        <w:rPr>
          <w:rtl/>
        </w:rPr>
        <w:t xml:space="preserve"> [להפך].” לאחר שבועיים הרים </w:t>
      </w:r>
      <w:proofErr w:type="spellStart"/>
      <w:r>
        <w:rPr>
          <w:rtl/>
        </w:rPr>
        <w:t>הרוגצ׳ובר</w:t>
      </w:r>
      <w:proofErr w:type="spellEnd"/>
      <w:r>
        <w:rPr>
          <w:rtl/>
        </w:rPr>
        <w:t xml:space="preserve"> ידיים ואמר </w:t>
      </w:r>
      <w:r>
        <w:rPr>
          <w:b/>
          <w:bCs/>
          <w:rtl/>
        </w:rPr>
        <w:t xml:space="preserve">בפני ר׳ </w:t>
      </w:r>
      <w:proofErr w:type="spellStart"/>
      <w:r>
        <w:rPr>
          <w:b/>
          <w:bCs/>
          <w:rtl/>
        </w:rPr>
        <w:t>חיים־עוזר</w:t>
      </w:r>
      <w:proofErr w:type="spellEnd"/>
      <w:r>
        <w:rPr>
          <w:rtl/>
        </w:rPr>
        <w:t xml:space="preserve">: “מילא ר׳ חיים [מסוגל לתפוס את העניין טוב ממני], אבל ראו איך ‘המזכיר’ מתערב!” הרב </w:t>
      </w:r>
      <w:proofErr w:type="spellStart"/>
      <w:r>
        <w:rPr>
          <w:rtl/>
        </w:rPr>
        <w:t>רוזין</w:t>
      </w:r>
      <w:proofErr w:type="spellEnd"/>
      <w:r>
        <w:rPr>
          <w:rtl/>
        </w:rPr>
        <w:t xml:space="preserve"> כינה את ר׳ </w:t>
      </w:r>
      <w:proofErr w:type="spellStart"/>
      <w:r>
        <w:rPr>
          <w:rtl/>
        </w:rPr>
        <w:t>חיים־עוזר</w:t>
      </w:r>
      <w:proofErr w:type="spellEnd"/>
      <w:r>
        <w:rPr>
          <w:rtl/>
        </w:rPr>
        <w:t xml:space="preserve"> </w:t>
      </w:r>
      <w:proofErr w:type="spellStart"/>
      <w:r>
        <w:rPr>
          <w:rtl/>
        </w:rPr>
        <w:t>גרודזנסקי</w:t>
      </w:r>
      <w:proofErr w:type="spellEnd"/>
      <w:r>
        <w:rPr>
          <w:rtl/>
        </w:rPr>
        <w:t xml:space="preserve"> “מזכיר”, מפני שהלה הקדיש זמן רב כל כך לעזרה לנזקקים</w:t>
      </w:r>
      <w:bookmarkStart w:id="3877" w:name="_fnr2937"/>
      <w:bookmarkStart w:id="3878" w:name="pr_f_2832"/>
      <w:r>
        <w:rPr>
          <w:rStyle w:val="a5"/>
        </w:rPr>
        <w:footnoteReference w:id="2945" w:customMarkFollows="0"/>
      </w:r>
      <w:bookmarkEnd w:id="3877"/>
      <w:bookmarkEnd w:id="3878"/>
      <w:r>
        <w:rPr>
          <w:rtl/>
        </w:rPr>
        <w:t xml:space="preserve"> ולרישום ההכנסות וההוצאות של הכספים שאסף וחילק לצדקה, עד </w:t>
      </w:r>
      <w:proofErr w:type="spellStart"/>
      <w:r>
        <w:rPr>
          <w:rtl/>
        </w:rPr>
        <w:t>שהרוגצ׳ובר</w:t>
      </w:r>
      <w:proofErr w:type="spellEnd"/>
      <w:r>
        <w:rPr>
          <w:rtl/>
        </w:rPr>
        <w:t xml:space="preserve"> לא החשיבו לבר סמכא בתורה.</w:t>
      </w:r>
    </w:p>
    <w:p w14:paraId="4C97B317" w14:textId="77777777" w:rsidR="00AB3647" w:rsidRDefault="00000000" w:rsidP="007923E9">
      <w:pPr>
        <w:spacing w:after="120" w:line="276" w:lineRule="auto"/>
        <w:ind w:firstLine="283"/>
        <w:jc w:val="both"/>
      </w:pPr>
      <w:r>
        <w:rPr>
          <w:rtl/>
        </w:rPr>
        <w:t xml:space="preserve">ר׳ מאיר ליברמן סיים: “העולם אומר בשם ר׳ </w:t>
      </w:r>
      <w:proofErr w:type="spellStart"/>
      <w:r>
        <w:rPr>
          <w:rtl/>
        </w:rPr>
        <w:t>מאיר־שמחה</w:t>
      </w:r>
      <w:proofErr w:type="spellEnd"/>
      <w:r>
        <w:rPr>
          <w:rtl/>
        </w:rPr>
        <w:t xml:space="preserve"> </w:t>
      </w:r>
      <w:proofErr w:type="spellStart"/>
      <w:r>
        <w:rPr>
          <w:rtl/>
        </w:rPr>
        <w:t>שלרוגצ׳ובר</w:t>
      </w:r>
      <w:proofErr w:type="spellEnd"/>
      <w:r>
        <w:rPr>
          <w:rtl/>
        </w:rPr>
        <w:t xml:space="preserve"> היו </w:t>
      </w:r>
      <w:proofErr w:type="spellStart"/>
      <w:r>
        <w:rPr>
          <w:rtl/>
        </w:rPr>
        <w:t>שמונה־עשרה</w:t>
      </w:r>
      <w:proofErr w:type="spellEnd"/>
      <w:r>
        <w:rPr>
          <w:rtl/>
        </w:rPr>
        <w:t xml:space="preserve"> ראיות לכל דבר: שש היו ‘</w:t>
      </w:r>
      <w:proofErr w:type="spellStart"/>
      <w:r>
        <w:rPr>
          <w:rtl/>
        </w:rPr>
        <w:t>אייזען</w:t>
      </w:r>
      <w:proofErr w:type="spellEnd"/>
      <w:r>
        <w:rPr>
          <w:rtl/>
        </w:rPr>
        <w:t xml:space="preserve"> [ברזל, איתנות ובלתי ניתנות לערעור]’; על שש </w:t>
      </w:r>
      <w:proofErr w:type="spellStart"/>
      <w:r>
        <w:rPr>
          <w:rtl/>
        </w:rPr>
        <w:t>קען</w:t>
      </w:r>
      <w:proofErr w:type="spellEnd"/>
      <w:r>
        <w:rPr>
          <w:rtl/>
        </w:rPr>
        <w:t xml:space="preserve"> מען </w:t>
      </w:r>
      <w:proofErr w:type="spellStart"/>
      <w:r>
        <w:rPr>
          <w:rtl/>
        </w:rPr>
        <w:t>זיך</w:t>
      </w:r>
      <w:proofErr w:type="spellEnd"/>
      <w:r>
        <w:rPr>
          <w:rtl/>
        </w:rPr>
        <w:t xml:space="preserve"> </w:t>
      </w:r>
      <w:proofErr w:type="spellStart"/>
      <w:r>
        <w:rPr>
          <w:rtl/>
        </w:rPr>
        <w:t>דינגען</w:t>
      </w:r>
      <w:proofErr w:type="spellEnd"/>
      <w:r>
        <w:rPr>
          <w:rtl/>
        </w:rPr>
        <w:t xml:space="preserve"> [אפשר להתווכח]; ושש היו קיין שייכות [בלי שום שייכות] לנושא הנידון.” לפי סיפורו של ר׳ אביגדור אפן, הביקורת הייתה הדדית. הוא סיפר</w:t>
      </w:r>
      <w:bookmarkStart w:id="3879" w:name="_fnr2938"/>
      <w:r>
        <w:rPr>
          <w:rStyle w:val="a5"/>
        </w:rPr>
        <w:footnoteReference w:id="2946" w:customMarkFollows="0"/>
      </w:r>
      <w:bookmarkEnd w:id="3879"/>
      <w:r>
        <w:rPr>
          <w:rtl/>
        </w:rPr>
        <w:t xml:space="preserve"> מעשה מפי יהודי זקן </w:t>
      </w:r>
      <w:proofErr w:type="spellStart"/>
      <w:r>
        <w:rPr>
          <w:rtl/>
        </w:rPr>
        <w:t>מדווינסק</w:t>
      </w:r>
      <w:proofErr w:type="spellEnd"/>
      <w:r>
        <w:rPr>
          <w:rtl/>
        </w:rPr>
        <w:t xml:space="preserve">, שהיה נוכח בבית </w:t>
      </w:r>
      <w:proofErr w:type="spellStart"/>
      <w:r>
        <w:rPr>
          <w:rtl/>
        </w:rPr>
        <w:t>הרוגצ׳ובר</w:t>
      </w:r>
      <w:proofErr w:type="spellEnd"/>
      <w:r>
        <w:rPr>
          <w:rtl/>
        </w:rPr>
        <w:t xml:space="preserve"> כשבא ר׳ </w:t>
      </w:r>
      <w:proofErr w:type="spellStart"/>
      <w:r>
        <w:rPr>
          <w:rtl/>
        </w:rPr>
        <w:t>מאיר־שמחה</w:t>
      </w:r>
      <w:proofErr w:type="spellEnd"/>
      <w:r>
        <w:rPr>
          <w:rtl/>
        </w:rPr>
        <w:t xml:space="preserve"> לבקש הסכמה </w:t>
      </w:r>
      <w:proofErr w:type="spellStart"/>
      <w:r>
        <w:rPr>
          <w:rtl/>
        </w:rPr>
        <w:t>ל“אור</w:t>
      </w:r>
      <w:proofErr w:type="spellEnd"/>
      <w:r>
        <w:rPr>
          <w:rtl/>
        </w:rPr>
        <w:t xml:space="preserve"> שמח”. </w:t>
      </w:r>
      <w:proofErr w:type="spellStart"/>
      <w:r>
        <w:rPr>
          <w:rtl/>
        </w:rPr>
        <w:t>הרוגצ׳ובר</w:t>
      </w:r>
      <w:proofErr w:type="spellEnd"/>
      <w:r>
        <w:rPr>
          <w:rtl/>
        </w:rPr>
        <w:t xml:space="preserve"> אמר לו בחרוזים בעברית: “</w:t>
      </w:r>
      <w:proofErr w:type="spellStart"/>
      <w:r>
        <w:rPr>
          <w:rtl/>
        </w:rPr>
        <w:t>ה׳אור</w:t>
      </w:r>
      <w:proofErr w:type="spellEnd"/>
      <w:r>
        <w:rPr>
          <w:rtl/>
        </w:rPr>
        <w:t xml:space="preserve"> שמח׳ שלך / </w:t>
      </w:r>
      <w:proofErr w:type="spellStart"/>
      <w:r>
        <w:rPr>
          <w:rtl/>
        </w:rPr>
        <w:t>וה‘צפנת</w:t>
      </w:r>
      <w:proofErr w:type="spellEnd"/>
      <w:r>
        <w:rPr>
          <w:rtl/>
        </w:rPr>
        <w:t xml:space="preserve"> פענח’ שלי</w:t>
      </w:r>
      <w:bookmarkStart w:id="3880" w:name="_fnr2939"/>
      <w:r>
        <w:rPr>
          <w:rStyle w:val="a5"/>
        </w:rPr>
        <w:footnoteReference w:id="2947" w:customMarkFollows="0"/>
      </w:r>
      <w:bookmarkEnd w:id="3880"/>
      <w:r>
        <w:rPr>
          <w:rtl/>
        </w:rPr>
        <w:t xml:space="preserve"> / אין בהם טעם / ואין בהם ריח.”</w:t>
      </w:r>
    </w:p>
    <w:p w14:paraId="72BE6254" w14:textId="77777777" w:rsidR="00AB3647" w:rsidRDefault="00000000" w:rsidP="007923E9">
      <w:pPr>
        <w:spacing w:after="120" w:line="276" w:lineRule="auto"/>
        <w:ind w:firstLine="283"/>
        <w:jc w:val="both"/>
      </w:pPr>
      <w:r>
        <w:rPr>
          <w:rtl/>
        </w:rPr>
        <w:lastRenderedPageBreak/>
        <w:t>ר׳ שלמה שטרן</w:t>
      </w:r>
      <w:bookmarkStart w:id="3881" w:name="_fnr2940"/>
      <w:r>
        <w:rPr>
          <w:rStyle w:val="a5"/>
        </w:rPr>
        <w:footnoteReference w:id="2948" w:customMarkFollows="0"/>
      </w:r>
      <w:bookmarkEnd w:id="3881"/>
      <w:r>
        <w:rPr>
          <w:rtl/>
        </w:rPr>
        <w:t xml:space="preserve"> הוסיף פרט ששמע מר׳ יוסף מרמלשטיין</w:t>
      </w:r>
      <w:bookmarkStart w:id="3882" w:name="_fnr2941"/>
      <w:r>
        <w:rPr>
          <w:rStyle w:val="a5"/>
        </w:rPr>
        <w:footnoteReference w:id="2949" w:customMarkFollows="0"/>
      </w:r>
      <w:bookmarkEnd w:id="3882"/>
      <w:r>
        <w:rPr>
          <w:rtl/>
        </w:rPr>
        <w:t xml:space="preserve">: ר׳ </w:t>
      </w:r>
      <w:proofErr w:type="spellStart"/>
      <w:r>
        <w:rPr>
          <w:rtl/>
        </w:rPr>
        <w:t>חיים־עוזר</w:t>
      </w:r>
      <w:proofErr w:type="spellEnd"/>
      <w:r>
        <w:rPr>
          <w:rtl/>
        </w:rPr>
        <w:t xml:space="preserve"> לא היה מסוגל לצפות מראש את הראיות שהתכוון </w:t>
      </w:r>
      <w:proofErr w:type="spellStart"/>
      <w:r>
        <w:rPr>
          <w:rtl/>
        </w:rPr>
        <w:t>הרוגצ׳ובר</w:t>
      </w:r>
      <w:proofErr w:type="spellEnd"/>
      <w:r>
        <w:rPr>
          <w:rtl/>
        </w:rPr>
        <w:t xml:space="preserve"> להביא, כמו שעשה ר׳ חיים, שדחה אותן עוד בטרם יצאו לדרך. ר׳ </w:t>
      </w:r>
      <w:proofErr w:type="spellStart"/>
      <w:r>
        <w:rPr>
          <w:rtl/>
        </w:rPr>
        <w:t>חיים־עוזר</w:t>
      </w:r>
      <w:proofErr w:type="spellEnd"/>
      <w:r>
        <w:rPr>
          <w:rtl/>
        </w:rPr>
        <w:t xml:space="preserve"> שאל את ר׳ חיים כיצד יתמודד עם אותו גאון כשר׳ חיים ייצא מן החדר מסיבה כלשהי. ר׳ חיים אמר לו לומר תחילה: “אין גמרא כזאת”, ואז, עד שיפרוש </w:t>
      </w:r>
      <w:proofErr w:type="spellStart"/>
      <w:r>
        <w:rPr>
          <w:rtl/>
        </w:rPr>
        <w:t>הרוגצ׳ובר</w:t>
      </w:r>
      <w:proofErr w:type="spellEnd"/>
      <w:r>
        <w:rPr>
          <w:rtl/>
        </w:rPr>
        <w:t xml:space="preserve"> את הבנתו במקור ואת “הראיה” ממנו, יהיה גם </w:t>
      </w:r>
      <w:proofErr w:type="spellStart"/>
      <w:r>
        <w:rPr>
          <w:rtl/>
        </w:rPr>
        <w:t>לר</w:t>
      </w:r>
      <w:proofErr w:type="spellEnd"/>
      <w:r>
        <w:rPr>
          <w:rtl/>
        </w:rPr>
        <w:t xml:space="preserve">׳ </w:t>
      </w:r>
      <w:proofErr w:type="spellStart"/>
      <w:r>
        <w:rPr>
          <w:rtl/>
        </w:rPr>
        <w:t>חיים־עוזר</w:t>
      </w:r>
      <w:proofErr w:type="spellEnd"/>
      <w:r>
        <w:rPr>
          <w:rtl/>
        </w:rPr>
        <w:t xml:space="preserve"> די זמן לעמוד על כך שאין לה שייכות לעניין. הרב מרמלשטיין סיים </w:t>
      </w:r>
      <w:proofErr w:type="spellStart"/>
      <w:r>
        <w:rPr>
          <w:rtl/>
        </w:rPr>
        <w:t>שהרוגצ׳ובר</w:t>
      </w:r>
      <w:proofErr w:type="spellEnd"/>
      <w:r>
        <w:rPr>
          <w:rtl/>
        </w:rPr>
        <w:t xml:space="preserve"> כעס כל כך על ר׳ </w:t>
      </w:r>
      <w:proofErr w:type="spellStart"/>
      <w:r>
        <w:rPr>
          <w:rtl/>
        </w:rPr>
        <w:t>חיים־עוזר</w:t>
      </w:r>
      <w:proofErr w:type="spellEnd"/>
      <w:r>
        <w:rPr>
          <w:rtl/>
        </w:rPr>
        <w:t xml:space="preserve"> עד </w:t>
      </w:r>
      <w:proofErr w:type="spellStart"/>
      <w:r>
        <w:rPr>
          <w:rtl/>
        </w:rPr>
        <w:t>ש“זרק</w:t>
      </w:r>
      <w:proofErr w:type="spellEnd"/>
      <w:r>
        <w:rPr>
          <w:rtl/>
        </w:rPr>
        <w:t xml:space="preserve"> עליו כיסאות”</w:t>
      </w:r>
      <w:bookmarkStart w:id="3883" w:name="_fnr2942"/>
      <w:bookmarkStart w:id="3884" w:name="pr_f_2837"/>
      <w:r>
        <w:rPr>
          <w:rStyle w:val="a5"/>
        </w:rPr>
        <w:footnoteReference w:id="2950" w:customMarkFollows="0"/>
      </w:r>
      <w:bookmarkEnd w:id="3883"/>
      <w:bookmarkEnd w:id="3884"/>
      <w:r>
        <w:rPr>
          <w:rtl/>
        </w:rPr>
        <w:t>.</w:t>
      </w:r>
    </w:p>
    <w:p w14:paraId="0CCF1CB7" w14:textId="77777777" w:rsidR="00AB3647" w:rsidRDefault="00000000" w:rsidP="007923E9">
      <w:pPr>
        <w:spacing w:after="120" w:line="276" w:lineRule="auto"/>
        <w:ind w:firstLine="283"/>
        <w:jc w:val="both"/>
      </w:pPr>
      <w:r>
        <w:rPr>
          <w:rtl/>
        </w:rPr>
        <w:t xml:space="preserve">מעשה השייך לעניין סיפר ר׳ אשר </w:t>
      </w:r>
      <w:proofErr w:type="spellStart"/>
      <w:r>
        <w:rPr>
          <w:rtl/>
        </w:rPr>
        <w:t>פסמן</w:t>
      </w:r>
      <w:bookmarkStart w:id="3885" w:name="_fnr2943"/>
      <w:proofErr w:type="spellEnd"/>
      <w:r>
        <w:rPr>
          <w:rStyle w:val="a5"/>
        </w:rPr>
        <w:footnoteReference w:id="2951" w:customMarkFollows="0"/>
      </w:r>
      <w:bookmarkEnd w:id="3885"/>
      <w:r>
        <w:rPr>
          <w:rtl/>
        </w:rPr>
        <w:t xml:space="preserve">, שיצא עם ר׳ אורי מילר בקיץ תרצ״ד למסע של עשרה שבועות באירופה ובארץ ישראל. בצום </w:t>
      </w:r>
      <w:proofErr w:type="spellStart"/>
      <w:r>
        <w:rPr>
          <w:rtl/>
        </w:rPr>
        <w:t>שבעה־עשר</w:t>
      </w:r>
      <w:proofErr w:type="spellEnd"/>
      <w:r>
        <w:rPr>
          <w:rtl/>
        </w:rPr>
        <w:t xml:space="preserve"> בתמוז ביקרו את </w:t>
      </w:r>
      <w:proofErr w:type="spellStart"/>
      <w:r>
        <w:rPr>
          <w:rtl/>
        </w:rPr>
        <w:t>הרוגצ׳ובר</w:t>
      </w:r>
      <w:proofErr w:type="spellEnd"/>
      <w:r>
        <w:rPr>
          <w:rtl/>
        </w:rPr>
        <w:t xml:space="preserve"> בבית קיץ סמוך לווילנה, ומצאו שאינו מתענה: הרופאים אמרו שעדיין הוא חולה, אחרי שחזר מניתוח בווינה. כשהציגו עצמם כרבנים מאמריקה – הרב </w:t>
      </w:r>
      <w:proofErr w:type="spellStart"/>
      <w:r>
        <w:rPr>
          <w:rtl/>
        </w:rPr>
        <w:t>פסמן</w:t>
      </w:r>
      <w:proofErr w:type="spellEnd"/>
      <w:r>
        <w:rPr>
          <w:rtl/>
        </w:rPr>
        <w:t xml:space="preserve"> היה אז רבה של </w:t>
      </w:r>
      <w:proofErr w:type="spellStart"/>
      <w:r>
        <w:rPr>
          <w:rtl/>
        </w:rPr>
        <w:t>טולסה</w:t>
      </w:r>
      <w:proofErr w:type="spellEnd"/>
      <w:r>
        <w:rPr>
          <w:rtl/>
        </w:rPr>
        <w:t xml:space="preserve"> שבאוקלהומה, ור׳ אורי מילר רבה של ניו אורלינס שבלואיזיאנה – קידם אותם הרב </w:t>
      </w:r>
      <w:proofErr w:type="spellStart"/>
      <w:r>
        <w:rPr>
          <w:rtl/>
        </w:rPr>
        <w:t>רוזין</w:t>
      </w:r>
      <w:proofErr w:type="spellEnd"/>
      <w:r>
        <w:rPr>
          <w:rtl/>
        </w:rPr>
        <w:t xml:space="preserve"> במילים: “אמריקה?! זה עתה קיבלתי משם שאלה אם מותר להנהיג לימודי חול בישיבה אם הממשלה מחייבת זאת</w:t>
      </w:r>
      <w:bookmarkStart w:id="3886" w:name="_fnr2944"/>
      <w:r>
        <w:rPr>
          <w:rStyle w:val="a5"/>
        </w:rPr>
        <w:footnoteReference w:id="2952" w:customMarkFollows="0"/>
      </w:r>
      <w:bookmarkEnd w:id="3886"/>
      <w:r>
        <w:rPr>
          <w:rtl/>
        </w:rPr>
        <w:t>; שבו!”</w:t>
      </w:r>
    </w:p>
    <w:p w14:paraId="008D570D" w14:textId="77777777" w:rsidR="00AB3647" w:rsidRDefault="00000000" w:rsidP="007923E9">
      <w:pPr>
        <w:spacing w:after="120" w:line="276" w:lineRule="auto"/>
        <w:ind w:firstLine="283"/>
        <w:jc w:val="both"/>
      </w:pPr>
      <w:r>
        <w:rPr>
          <w:rtl/>
        </w:rPr>
        <w:t xml:space="preserve">“אז”, סיפר ר׳ אשר, “במשך שעה וחצי המטיר </w:t>
      </w:r>
      <w:proofErr w:type="spellStart"/>
      <w:r>
        <w:rPr>
          <w:rtl/>
        </w:rPr>
        <w:t>הרוגצ׳ובר</w:t>
      </w:r>
      <w:proofErr w:type="spellEnd"/>
      <w:r>
        <w:rPr>
          <w:rtl/>
        </w:rPr>
        <w:t xml:space="preserve"> מקורות לתשובתו על השאלה האמריקאית. אחר כך נסענו לווילנה לראות את ר׳ </w:t>
      </w:r>
      <w:proofErr w:type="spellStart"/>
      <w:r>
        <w:rPr>
          <w:rtl/>
        </w:rPr>
        <w:t>חיים־עוזר</w:t>
      </w:r>
      <w:proofErr w:type="spellEnd"/>
      <w:r>
        <w:rPr>
          <w:rtl/>
        </w:rPr>
        <w:t>.” (ר׳ אשר הוסיף שלא היה להם כסף למלונות, ולכן נסעו בלילה וישנו ברכבות</w:t>
      </w:r>
      <w:bookmarkStart w:id="3887" w:name="_fnr2945"/>
      <w:r>
        <w:rPr>
          <w:rStyle w:val="a5"/>
        </w:rPr>
        <w:footnoteReference w:id="2953" w:customMarkFollows="0"/>
      </w:r>
      <w:bookmarkEnd w:id="3887"/>
      <w:r>
        <w:rPr>
          <w:rtl/>
        </w:rPr>
        <w:t xml:space="preserve">.) “כשהצגנו עצמנו לפני ר׳ </w:t>
      </w:r>
      <w:proofErr w:type="spellStart"/>
      <w:r>
        <w:rPr>
          <w:rtl/>
        </w:rPr>
        <w:t>חיים־עוזר</w:t>
      </w:r>
      <w:proofErr w:type="spellEnd"/>
      <w:r>
        <w:rPr>
          <w:rtl/>
        </w:rPr>
        <w:t xml:space="preserve"> והתחלנו לשאול שאלה על תוספות, אמר: ‘נדבר קודם על אמריקה’, ושאל אותנו שאלות רבות על מצבן של קהילות קטנות כשלנו מבחינת היהדות. כשאמרנו שבאנו </w:t>
      </w:r>
      <w:proofErr w:type="spellStart"/>
      <w:r>
        <w:rPr>
          <w:rtl/>
        </w:rPr>
        <w:t>מהרוגצ׳ובר</w:t>
      </w:r>
      <w:proofErr w:type="spellEnd"/>
      <w:r>
        <w:rPr>
          <w:rtl/>
        </w:rPr>
        <w:t xml:space="preserve">, שאל לשלומו; וכשאמרנו שלא התענה, אמר ר׳ </w:t>
      </w:r>
      <w:proofErr w:type="spellStart"/>
      <w:r>
        <w:rPr>
          <w:rtl/>
        </w:rPr>
        <w:t>חיים־עוזר</w:t>
      </w:r>
      <w:proofErr w:type="spellEnd"/>
      <w:r>
        <w:rPr>
          <w:rtl/>
        </w:rPr>
        <w:t xml:space="preserve">: ‘אמרו לי: כשדיבר איתכם בלימוד, ישב או התרוצץ?’ כשהשבנו שישב, אמר ר׳ </w:t>
      </w:r>
      <w:proofErr w:type="spellStart"/>
      <w:r>
        <w:rPr>
          <w:rtl/>
        </w:rPr>
        <w:t>חיים־עוזר</w:t>
      </w:r>
      <w:proofErr w:type="spellEnd"/>
      <w:r>
        <w:rPr>
          <w:rtl/>
        </w:rPr>
        <w:t>: ‘אם כך, הוא עדיין אינו בריא.’”</w:t>
      </w:r>
    </w:p>
    <w:p w14:paraId="49513489" w14:textId="77777777" w:rsidR="00AB3647" w:rsidRDefault="00000000" w:rsidP="007923E9">
      <w:pPr>
        <w:spacing w:after="120" w:line="276" w:lineRule="auto"/>
        <w:ind w:firstLine="283"/>
        <w:jc w:val="both"/>
      </w:pPr>
      <w:r>
        <w:rPr>
          <w:rtl/>
        </w:rPr>
        <w:t>השווה גם “תורת חיים”</w:t>
      </w:r>
      <w:bookmarkStart w:id="3888" w:name="_fnr2946"/>
      <w:r>
        <w:rPr>
          <w:rStyle w:val="a5"/>
        </w:rPr>
        <w:footnoteReference w:id="2954" w:customMarkFollows="0"/>
      </w:r>
      <w:bookmarkEnd w:id="3888"/>
      <w:r>
        <w:rPr>
          <w:rtl/>
        </w:rPr>
        <w:t xml:space="preserve">: ר׳ חיים הכשיל את </w:t>
      </w:r>
      <w:proofErr w:type="spellStart"/>
      <w:r>
        <w:rPr>
          <w:rtl/>
        </w:rPr>
        <w:t>הרוגצ׳ובר</w:t>
      </w:r>
      <w:proofErr w:type="spellEnd"/>
      <w:r>
        <w:rPr>
          <w:rtl/>
        </w:rPr>
        <w:t xml:space="preserve"> בתחום שנחשב לכוחו המיוחד, הבקיאות, מפני שהרב </w:t>
      </w:r>
      <w:proofErr w:type="spellStart"/>
      <w:r>
        <w:rPr>
          <w:rtl/>
        </w:rPr>
        <w:t>רוזין</w:t>
      </w:r>
      <w:proofErr w:type="spellEnd"/>
      <w:r>
        <w:rPr>
          <w:rtl/>
        </w:rPr>
        <w:t xml:space="preserve"> פגע </w:t>
      </w:r>
      <w:proofErr w:type="spellStart"/>
      <w:r>
        <w:rPr>
          <w:rtl/>
        </w:rPr>
        <w:t>ב“ריתחא</w:t>
      </w:r>
      <w:proofErr w:type="spellEnd"/>
      <w:r>
        <w:rPr>
          <w:rtl/>
        </w:rPr>
        <w:t xml:space="preserve"> דאורייתא” באביו של ר׳ חיים, ר׳ יוסף־דב. רק לאחר שנאמר </w:t>
      </w:r>
      <w:proofErr w:type="spellStart"/>
      <w:r>
        <w:rPr>
          <w:rtl/>
        </w:rPr>
        <w:t>לרוגצ׳ובר</w:t>
      </w:r>
      <w:proofErr w:type="spellEnd"/>
      <w:r>
        <w:rPr>
          <w:rtl/>
        </w:rPr>
        <w:t xml:space="preserve"> שר׳ חיים ציפה שלא ידע את התשובה הנכונה, התאמץ למצוא את המקור הנסתר שהתבקש.</w:t>
      </w:r>
    </w:p>
    <w:p w14:paraId="4B59490E" w14:textId="77777777" w:rsidR="00AB3647" w:rsidRDefault="00000000" w:rsidP="007923E9">
      <w:pPr>
        <w:spacing w:after="120" w:line="276" w:lineRule="auto"/>
        <w:ind w:firstLine="283"/>
        <w:jc w:val="both"/>
      </w:pPr>
      <w:r>
        <w:rPr>
          <w:rtl/>
        </w:rPr>
        <w:lastRenderedPageBreak/>
        <w:t xml:space="preserve">ר׳ יצחק </w:t>
      </w:r>
      <w:proofErr w:type="spellStart"/>
      <w:r>
        <w:rPr>
          <w:rtl/>
        </w:rPr>
        <w:t>שורין</w:t>
      </w:r>
      <w:proofErr w:type="spellEnd"/>
      <w:r>
        <w:rPr>
          <w:rtl/>
        </w:rPr>
        <w:t xml:space="preserve"> סיפר</w:t>
      </w:r>
      <w:bookmarkStart w:id="3889" w:name="_fnr2947"/>
      <w:r>
        <w:rPr>
          <w:rStyle w:val="a5"/>
        </w:rPr>
        <w:footnoteReference w:id="2955" w:customMarkFollows="0"/>
      </w:r>
      <w:bookmarkEnd w:id="3889"/>
      <w:r>
        <w:rPr>
          <w:rtl/>
        </w:rPr>
        <w:t xml:space="preserve"> מעשה דומה על הרב </w:t>
      </w:r>
      <w:proofErr w:type="spellStart"/>
      <w:r>
        <w:rPr>
          <w:rtl/>
        </w:rPr>
        <w:t>רוזין</w:t>
      </w:r>
      <w:proofErr w:type="spellEnd"/>
      <w:r>
        <w:rPr>
          <w:rtl/>
        </w:rPr>
        <w:t xml:space="preserve">, שסיפר רבנו, אבל עם אדם אחר: עמיתו ברבנות </w:t>
      </w:r>
      <w:proofErr w:type="spellStart"/>
      <w:r>
        <w:rPr>
          <w:rtl/>
        </w:rPr>
        <w:t>דווינסק</w:t>
      </w:r>
      <w:proofErr w:type="spellEnd"/>
      <w:r>
        <w:rPr>
          <w:rtl/>
        </w:rPr>
        <w:t xml:space="preserve">, ר׳ </w:t>
      </w:r>
      <w:proofErr w:type="spellStart"/>
      <w:r>
        <w:rPr>
          <w:rtl/>
        </w:rPr>
        <w:t>מאיר־שמחה</w:t>
      </w:r>
      <w:proofErr w:type="spellEnd"/>
      <w:r>
        <w:rPr>
          <w:rtl/>
        </w:rPr>
        <w:t xml:space="preserve"> כהן. ר׳ </w:t>
      </w:r>
      <w:proofErr w:type="spellStart"/>
      <w:r>
        <w:rPr>
          <w:rtl/>
        </w:rPr>
        <w:t>מאיר־שמחה</w:t>
      </w:r>
      <w:proofErr w:type="spellEnd"/>
      <w:r>
        <w:rPr>
          <w:rtl/>
        </w:rPr>
        <w:t xml:space="preserve"> שלח פעם אדם שביקר בעיר לבחון בחשאי את </w:t>
      </w:r>
      <w:proofErr w:type="spellStart"/>
      <w:r>
        <w:rPr>
          <w:rtl/>
        </w:rPr>
        <w:t>הרוגצ׳ובר</w:t>
      </w:r>
      <w:proofErr w:type="spellEnd"/>
      <w:r>
        <w:rPr>
          <w:rtl/>
        </w:rPr>
        <w:t xml:space="preserve">, אם יוכל למצוא מקור לפתרון בעיה מסוימת. </w:t>
      </w:r>
      <w:proofErr w:type="spellStart"/>
      <w:r>
        <w:rPr>
          <w:rtl/>
        </w:rPr>
        <w:t>הרוגצ׳ובר</w:t>
      </w:r>
      <w:proofErr w:type="spellEnd"/>
      <w:r>
        <w:rPr>
          <w:rtl/>
        </w:rPr>
        <w:t xml:space="preserve"> לא מצא את המקור, ונתן למבקר שרשרת עקיפה של ראיות. כשחזר השליח, אמר ר׳ </w:t>
      </w:r>
      <w:proofErr w:type="spellStart"/>
      <w:r>
        <w:rPr>
          <w:rtl/>
        </w:rPr>
        <w:t>מאיר־שמחה</w:t>
      </w:r>
      <w:proofErr w:type="spellEnd"/>
      <w:r>
        <w:rPr>
          <w:rtl/>
        </w:rPr>
        <w:t xml:space="preserve">: “זה בפירוש בספרי; חזור ואמור לו.” כשפתח המבקר את דלתו של </w:t>
      </w:r>
      <w:proofErr w:type="spellStart"/>
      <w:r>
        <w:rPr>
          <w:rtl/>
        </w:rPr>
        <w:t>הרוגצ׳ובר</w:t>
      </w:r>
      <w:proofErr w:type="spellEnd"/>
      <w:r>
        <w:rPr>
          <w:rtl/>
        </w:rPr>
        <w:t xml:space="preserve">, התנפל עליו הרב </w:t>
      </w:r>
      <w:proofErr w:type="spellStart"/>
      <w:r>
        <w:rPr>
          <w:rtl/>
        </w:rPr>
        <w:t>רוזין</w:t>
      </w:r>
      <w:proofErr w:type="spellEnd"/>
      <w:r>
        <w:rPr>
          <w:rtl/>
        </w:rPr>
        <w:t xml:space="preserve"> במילים: “אה, נוכחתי לאחר שיצאת שזה בפירוש בספרי.”</w:t>
      </w:r>
    </w:p>
    <w:p w14:paraId="3B5488DC" w14:textId="77777777" w:rsidR="00AB3647" w:rsidRDefault="00000000" w:rsidP="007923E9">
      <w:pPr>
        <w:spacing w:after="120" w:line="276" w:lineRule="auto"/>
        <w:ind w:firstLine="283"/>
        <w:jc w:val="both"/>
      </w:pPr>
      <w:r>
        <w:rPr>
          <w:rtl/>
        </w:rPr>
        <w:t xml:space="preserve">מעשה אחר – שעשוי להיות נוסח שונה של המעשה המובא </w:t>
      </w:r>
      <w:proofErr w:type="spellStart"/>
      <w:r>
        <w:rPr>
          <w:rtl/>
        </w:rPr>
        <w:t>ב“תורת</w:t>
      </w:r>
      <w:proofErr w:type="spellEnd"/>
      <w:r>
        <w:rPr>
          <w:rtl/>
        </w:rPr>
        <w:t xml:space="preserve"> חיים” – סיפר אבי: </w:t>
      </w:r>
      <w:proofErr w:type="spellStart"/>
      <w:r>
        <w:rPr>
          <w:rtl/>
        </w:rPr>
        <w:t>הרוגצ׳ובר</w:t>
      </w:r>
      <w:proofErr w:type="spellEnd"/>
      <w:r>
        <w:rPr>
          <w:rtl/>
        </w:rPr>
        <w:t xml:space="preserve"> אמר </w:t>
      </w:r>
      <w:proofErr w:type="spellStart"/>
      <w:r>
        <w:rPr>
          <w:rtl/>
        </w:rPr>
        <w:t>לר</w:t>
      </w:r>
      <w:proofErr w:type="spellEnd"/>
      <w:r>
        <w:rPr>
          <w:rtl/>
        </w:rPr>
        <w:t xml:space="preserve">׳ חיים </w:t>
      </w:r>
      <w:proofErr w:type="spellStart"/>
      <w:r>
        <w:rPr>
          <w:rtl/>
        </w:rPr>
        <w:t>סולובייצ׳יק</w:t>
      </w:r>
      <w:proofErr w:type="spellEnd"/>
      <w:r>
        <w:rPr>
          <w:rtl/>
        </w:rPr>
        <w:t xml:space="preserve"> שאביו, ר׳ יוסף־דב (שממנו קיבל </w:t>
      </w:r>
      <w:proofErr w:type="spellStart"/>
      <w:r>
        <w:rPr>
          <w:rtl/>
        </w:rPr>
        <w:t>הרוגצ׳ובר</w:t>
      </w:r>
      <w:proofErr w:type="spellEnd"/>
      <w:r>
        <w:rPr>
          <w:rtl/>
        </w:rPr>
        <w:t xml:space="preserve"> את סמיכתו), החמיץ בספרו “בית הלוי” כמה מקורות בתלמוד הירושלמי</w:t>
      </w:r>
      <w:bookmarkStart w:id="3890" w:name="_fnr2948"/>
      <w:bookmarkStart w:id="3891" w:name="pr_f_2843"/>
      <w:r>
        <w:rPr>
          <w:rStyle w:val="a5"/>
        </w:rPr>
        <w:footnoteReference w:id="2956" w:customMarkFollows="0"/>
      </w:r>
      <w:bookmarkEnd w:id="3890"/>
      <w:bookmarkEnd w:id="3891"/>
      <w:r>
        <w:rPr>
          <w:rtl/>
        </w:rPr>
        <w:t xml:space="preserve">. הדבר הכעיס את ר׳ חיים, והוא אמר: “אשמע נא מהם המקורות האלה.” על כל מקור שהביא הרב </w:t>
      </w:r>
      <w:proofErr w:type="spellStart"/>
      <w:r>
        <w:rPr>
          <w:rtl/>
        </w:rPr>
        <w:t>רוזין</w:t>
      </w:r>
      <w:proofErr w:type="spellEnd"/>
      <w:r>
        <w:rPr>
          <w:rtl/>
        </w:rPr>
        <w:t xml:space="preserve"> הראה ר׳ חיים שאינו נוגע לעניין. </w:t>
      </w:r>
      <w:proofErr w:type="spellStart"/>
      <w:r>
        <w:rPr>
          <w:rtl/>
        </w:rPr>
        <w:t>הרוגצ׳ובר</w:t>
      </w:r>
      <w:proofErr w:type="spellEnd"/>
      <w:r>
        <w:rPr>
          <w:rtl/>
        </w:rPr>
        <w:t xml:space="preserve"> כעס כל כך עד ש</w:t>
      </w:r>
      <w:r>
        <w:rPr>
          <w:b/>
          <w:bCs/>
          <w:rtl/>
        </w:rPr>
        <w:t>רצה</w:t>
      </w:r>
      <w:bookmarkStart w:id="3892" w:name="_fnr2949"/>
      <w:r>
        <w:rPr>
          <w:rStyle w:val="a5"/>
        </w:rPr>
        <w:footnoteReference w:id="2957" w:customMarkFollows="0"/>
      </w:r>
      <w:bookmarkEnd w:id="3892"/>
      <w:r>
        <w:rPr>
          <w:rtl/>
        </w:rPr>
        <w:t xml:space="preserve"> לזרוק כיסא על ר׳ חיים</w:t>
      </w:r>
      <w:bookmarkStart w:id="3893" w:name="_fnr2950"/>
      <w:r>
        <w:rPr>
          <w:rStyle w:val="a5"/>
        </w:rPr>
        <w:footnoteReference w:id="2958" w:customMarkFollows="0"/>
      </w:r>
      <w:bookmarkEnd w:id="3893"/>
      <w:r>
        <w:rPr>
          <w:rtl/>
        </w:rPr>
        <w:t>!</w:t>
      </w:r>
    </w:p>
    <w:p w14:paraId="3513338B" w14:textId="77777777" w:rsidR="00AB3647" w:rsidRDefault="00000000" w:rsidP="007923E9">
      <w:pPr>
        <w:spacing w:after="120" w:line="276" w:lineRule="auto"/>
        <w:ind w:firstLine="283"/>
        <w:jc w:val="both"/>
      </w:pPr>
      <w:r>
        <w:rPr>
          <w:rtl/>
        </w:rPr>
        <w:t>ר׳ אורי אשר סיפר</w:t>
      </w:r>
      <w:bookmarkStart w:id="3894" w:name="_fnr2951"/>
      <w:r>
        <w:rPr>
          <w:rStyle w:val="a5"/>
        </w:rPr>
        <w:footnoteReference w:id="2959" w:customMarkFollows="0"/>
      </w:r>
      <w:bookmarkEnd w:id="3894"/>
      <w:r>
        <w:rPr>
          <w:rtl/>
        </w:rPr>
        <w:t xml:space="preserve"> שאביו, ר׳ שמעון אשר, סיים </w:t>
      </w:r>
      <w:proofErr w:type="spellStart"/>
      <w:r>
        <w:rPr>
          <w:rtl/>
        </w:rPr>
        <w:t>בתרצ״א</w:t>
      </w:r>
      <w:proofErr w:type="spellEnd"/>
      <w:r>
        <w:rPr>
          <w:rtl/>
        </w:rPr>
        <w:t xml:space="preserve"> שש שנות לימוד בישיבת </w:t>
      </w:r>
      <w:proofErr w:type="spellStart"/>
      <w:r>
        <w:rPr>
          <w:rtl/>
        </w:rPr>
        <w:t>טלז</w:t>
      </w:r>
      <w:proofErr w:type="spellEnd"/>
      <w:r>
        <w:rPr>
          <w:rtl/>
        </w:rPr>
        <w:t xml:space="preserve">, ולפני ששב לביתו בשווייץ ביקר אצל </w:t>
      </w:r>
      <w:proofErr w:type="spellStart"/>
      <w:r>
        <w:rPr>
          <w:rtl/>
        </w:rPr>
        <w:t>הרוגצ׳ובר</w:t>
      </w:r>
      <w:proofErr w:type="spellEnd"/>
      <w:r>
        <w:rPr>
          <w:rtl/>
        </w:rPr>
        <w:t xml:space="preserve">. ביודעו שהגאון אינו לומד אחרונים, שאל המבקר שאלה שמקשה ר׳ עקיבא איגר. </w:t>
      </w:r>
      <w:proofErr w:type="spellStart"/>
      <w:r>
        <w:rPr>
          <w:rtl/>
        </w:rPr>
        <w:t>הרוגצ׳ובר</w:t>
      </w:r>
      <w:proofErr w:type="spellEnd"/>
      <w:r>
        <w:rPr>
          <w:rtl/>
        </w:rPr>
        <w:t xml:space="preserve"> השיב </w:t>
      </w:r>
      <w:proofErr w:type="spellStart"/>
      <w:r>
        <w:rPr>
          <w:rtl/>
        </w:rPr>
        <w:t>לר</w:t>
      </w:r>
      <w:proofErr w:type="spellEnd"/>
      <w:r>
        <w:rPr>
          <w:rtl/>
        </w:rPr>
        <w:t>׳ שמעון תשובה שונה מתשובתו של ר׳ עקיבא איגר, ונתן לבן העשרים וחמש סטירת לחי בלי שום גינונים על ששאל שאלה חלשה כל כך!</w:t>
      </w:r>
    </w:p>
    <w:p w14:paraId="3CAD2A3F" w14:textId="77777777" w:rsidR="00AB3647" w:rsidRDefault="00000000" w:rsidP="007923E9">
      <w:pPr>
        <w:spacing w:after="120" w:line="276" w:lineRule="auto"/>
        <w:ind w:firstLine="283"/>
        <w:jc w:val="both"/>
      </w:pPr>
      <w:r>
        <w:rPr>
          <w:rtl/>
        </w:rPr>
        <w:t xml:space="preserve">לפי מאמרו של הרב ניסן וקסמן, “אכסניה של תורה”, </w:t>
      </w:r>
      <w:proofErr w:type="spellStart"/>
      <w:r>
        <w:rPr>
          <w:rtl/>
        </w:rPr>
        <w:t>ב“פנקס</w:t>
      </w:r>
      <w:proofErr w:type="spellEnd"/>
      <w:r>
        <w:rPr>
          <w:rtl/>
        </w:rPr>
        <w:t xml:space="preserve"> </w:t>
      </w:r>
      <w:proofErr w:type="spellStart"/>
      <w:r>
        <w:rPr>
          <w:rtl/>
        </w:rPr>
        <w:t>סלוצק</w:t>
      </w:r>
      <w:proofErr w:type="spellEnd"/>
      <w:r>
        <w:rPr>
          <w:rtl/>
        </w:rPr>
        <w:t>”</w:t>
      </w:r>
      <w:bookmarkStart w:id="3895" w:name="_fnr2952"/>
      <w:r>
        <w:rPr>
          <w:rStyle w:val="a5"/>
        </w:rPr>
        <w:footnoteReference w:id="2960" w:customMarkFollows="0"/>
      </w:r>
      <w:bookmarkEnd w:id="3895"/>
      <w:r>
        <w:rPr>
          <w:rtl/>
        </w:rPr>
        <w:t xml:space="preserve">, ר׳ יוסף־דב </w:t>
      </w:r>
      <w:proofErr w:type="spellStart"/>
      <w:r>
        <w:rPr>
          <w:rtl/>
        </w:rPr>
        <w:t>סולובייצ׳יק</w:t>
      </w:r>
      <w:proofErr w:type="spellEnd"/>
      <w:r>
        <w:rPr>
          <w:rtl/>
        </w:rPr>
        <w:t xml:space="preserve"> התמנה לרב </w:t>
      </w:r>
      <w:proofErr w:type="spellStart"/>
      <w:r>
        <w:rPr>
          <w:rtl/>
        </w:rPr>
        <w:t>סלוצק</w:t>
      </w:r>
      <w:proofErr w:type="spellEnd"/>
      <w:r>
        <w:rPr>
          <w:rtl/>
        </w:rPr>
        <w:t xml:space="preserve"> </w:t>
      </w:r>
      <w:proofErr w:type="spellStart"/>
      <w:r>
        <w:rPr>
          <w:rtl/>
        </w:rPr>
        <w:t>בתרכ״ה</w:t>
      </w:r>
      <w:proofErr w:type="spellEnd"/>
      <w:r>
        <w:rPr>
          <w:rtl/>
        </w:rPr>
        <w:t xml:space="preserve">, ושנה אחר כך סידר לבנו חיים, בן </w:t>
      </w:r>
      <w:proofErr w:type="spellStart"/>
      <w:r>
        <w:rPr>
          <w:rtl/>
        </w:rPr>
        <w:t>האחת־עשרה</w:t>
      </w:r>
      <w:proofErr w:type="spellEnd"/>
      <w:r>
        <w:rPr>
          <w:rtl/>
        </w:rPr>
        <w:t xml:space="preserve">, ללמוד שם אצל הגאון ר׳ </w:t>
      </w:r>
      <w:proofErr w:type="spellStart"/>
      <w:r>
        <w:rPr>
          <w:rtl/>
        </w:rPr>
        <w:t>מנדל׳ה</w:t>
      </w:r>
      <w:proofErr w:type="spellEnd"/>
      <w:r>
        <w:rPr>
          <w:rtl/>
        </w:rPr>
        <w:t xml:space="preserve"> אפשטיין, תלמידו של ר׳ חיים </w:t>
      </w:r>
      <w:proofErr w:type="spellStart"/>
      <w:r>
        <w:rPr>
          <w:rtl/>
        </w:rPr>
        <w:t>מוולוז׳ין</w:t>
      </w:r>
      <w:proofErr w:type="spellEnd"/>
      <w:r>
        <w:rPr>
          <w:rtl/>
        </w:rPr>
        <w:t xml:space="preserve">. אל הילד הצטרף תלמיד אחר, יוסף </w:t>
      </w:r>
      <w:proofErr w:type="spellStart"/>
      <w:r>
        <w:rPr>
          <w:rtl/>
        </w:rPr>
        <w:t>רוזין</w:t>
      </w:r>
      <w:proofErr w:type="spellEnd"/>
      <w:r>
        <w:rPr>
          <w:rtl/>
        </w:rPr>
        <w:t xml:space="preserve">, שאביו, חסיד חב״ד, הביאו </w:t>
      </w:r>
      <w:proofErr w:type="spellStart"/>
      <w:r>
        <w:rPr>
          <w:rtl/>
        </w:rPr>
        <w:t>מרוגצ׳וב</w:t>
      </w:r>
      <w:proofErr w:type="spellEnd"/>
      <w:r>
        <w:rPr>
          <w:rtl/>
        </w:rPr>
        <w:t xml:space="preserve"> ללמוד אצל ר׳ </w:t>
      </w:r>
      <w:proofErr w:type="spellStart"/>
      <w:r>
        <w:rPr>
          <w:rtl/>
        </w:rPr>
        <w:t>מנדל׳ה</w:t>
      </w:r>
      <w:proofErr w:type="spellEnd"/>
      <w:r>
        <w:rPr>
          <w:rtl/>
        </w:rPr>
        <w:t xml:space="preserve"> </w:t>
      </w:r>
      <w:proofErr w:type="spellStart"/>
      <w:r>
        <w:rPr>
          <w:rtl/>
        </w:rPr>
        <w:t>בסלוצק</w:t>
      </w:r>
      <w:proofErr w:type="spellEnd"/>
      <w:r>
        <w:rPr>
          <w:rtl/>
        </w:rPr>
        <w:t xml:space="preserve"> </w:t>
      </w:r>
      <w:proofErr w:type="spellStart"/>
      <w:r>
        <w:rPr>
          <w:rtl/>
        </w:rPr>
        <w:t>המתנגדית</w:t>
      </w:r>
      <w:bookmarkStart w:id="3896" w:name="_fnr2953"/>
      <w:proofErr w:type="spellEnd"/>
      <w:r>
        <w:rPr>
          <w:rStyle w:val="a5"/>
        </w:rPr>
        <w:footnoteReference w:id="2961" w:customMarkFollows="0"/>
      </w:r>
      <w:bookmarkEnd w:id="3896"/>
      <w:r>
        <w:rPr>
          <w:rtl/>
        </w:rPr>
        <w:t xml:space="preserve">. אבל יוסף נשאר ללמוד אצל ר׳ </w:t>
      </w:r>
      <w:proofErr w:type="spellStart"/>
      <w:r>
        <w:rPr>
          <w:rtl/>
        </w:rPr>
        <w:t>מנדל׳ה</w:t>
      </w:r>
      <w:proofErr w:type="spellEnd"/>
      <w:r>
        <w:rPr>
          <w:rtl/>
        </w:rPr>
        <w:t xml:space="preserve"> שנה אחת בלבד, ואילו חיים נשאר כמה שנים, עד שעבר </w:t>
      </w:r>
      <w:proofErr w:type="spellStart"/>
      <w:r>
        <w:rPr>
          <w:rtl/>
        </w:rPr>
        <w:t>לוולוז׳ין</w:t>
      </w:r>
      <w:proofErr w:type="spellEnd"/>
      <w:r>
        <w:rPr>
          <w:rtl/>
        </w:rPr>
        <w:t xml:space="preserve">. הרב וקסמן כותב: “ויש להניח שמרבי מנדלי רכש ר׳ חיים את יסודי שיטת לימודו בהפרדת עיקרי ההלכה ושרשיה לגורמיהם היסודיים, אותה שיטה שחוללה פלאים בעולם התורה וכבשה רוב מבצריה תחת דגלה... בלי ספק הטביע רבי מנדלי את חותמו, </w:t>
      </w:r>
      <w:r>
        <w:rPr>
          <w:rtl/>
        </w:rPr>
        <w:lastRenderedPageBreak/>
        <w:t xml:space="preserve">אם כי </w:t>
      </w:r>
      <w:proofErr w:type="spellStart"/>
      <w:r>
        <w:rPr>
          <w:rtl/>
        </w:rPr>
        <w:t>במדה</w:t>
      </w:r>
      <w:proofErr w:type="spellEnd"/>
      <w:r>
        <w:rPr>
          <w:rtl/>
        </w:rPr>
        <w:t xml:space="preserve"> יותר מצומצמת, גם על תלמידו השני שנודע במשך הימים לאחד מגדולי הדורות הגאון </w:t>
      </w:r>
      <w:proofErr w:type="spellStart"/>
      <w:r>
        <w:rPr>
          <w:rtl/>
        </w:rPr>
        <w:t>הרוגצ׳ובר</w:t>
      </w:r>
      <w:proofErr w:type="spellEnd"/>
      <w:r>
        <w:rPr>
          <w:rtl/>
        </w:rPr>
        <w:t xml:space="preserve">, רבה של עדת החסידים </w:t>
      </w:r>
      <w:proofErr w:type="spellStart"/>
      <w:r>
        <w:rPr>
          <w:rtl/>
        </w:rPr>
        <w:t>בדווינסק</w:t>
      </w:r>
      <w:proofErr w:type="spellEnd"/>
      <w:r>
        <w:rPr>
          <w:rtl/>
        </w:rPr>
        <w:t>.”</w:t>
      </w:r>
    </w:p>
    <w:p w14:paraId="5A3A890E" w14:textId="77777777" w:rsidR="00AB3647" w:rsidRDefault="00000000" w:rsidP="007923E9">
      <w:pPr>
        <w:spacing w:after="120" w:line="276" w:lineRule="auto"/>
        <w:ind w:firstLine="283"/>
        <w:jc w:val="both"/>
      </w:pPr>
      <w:r>
        <w:rPr>
          <w:rtl/>
        </w:rPr>
        <w:t>והנה בס׳ “נפש הרב”</w:t>
      </w:r>
      <w:bookmarkStart w:id="3897" w:name="_fnr2954"/>
      <w:r>
        <w:rPr>
          <w:rStyle w:val="a5"/>
        </w:rPr>
        <w:footnoteReference w:id="2962" w:customMarkFollows="0"/>
      </w:r>
      <w:bookmarkEnd w:id="3897"/>
      <w:r>
        <w:rPr>
          <w:rtl/>
        </w:rPr>
        <w:t xml:space="preserve"> הובא בשמו של ר׳ </w:t>
      </w:r>
      <w:proofErr w:type="spellStart"/>
      <w:r>
        <w:rPr>
          <w:rtl/>
        </w:rPr>
        <w:t xml:space="preserve">יוסף־דב</w:t>
      </w:r>
      <w:proofErr w:type="spellEnd"/>
      <w:r>
        <w:rPr>
          <w:rtl/>
        </w:rPr>
        <w:t xml:space="preserve"> הלוי </w:t>
      </w:r>
      <w:proofErr w:type="spellStart"/>
      <w:r>
        <w:rPr>
          <w:rtl/>
        </w:rPr>
        <w:t>סולובייצ׳יק</w:t>
      </w:r>
      <w:proofErr w:type="spellEnd"/>
      <w:r>
        <w:rPr>
          <w:rtl/>
        </w:rPr>
        <w:t xml:space="preserve"> מבוסטון שסבו ר׳ חיים אמר בפירוש שאת שיטתו בהבנת הגמרא רכש מאת ר׳ מנדלי – וזה אינו סותר מה שיש בספר “תורת חיים”, עמ׳ </w:t>
      </w:r>
      <w:proofErr w:type="spellStart"/>
      <w:r>
        <w:rPr>
          <w:rtl/>
        </w:rPr>
        <w:t>קפב</w:t>
      </w:r>
      <w:proofErr w:type="spellEnd"/>
      <w:r>
        <w:rPr>
          <w:rtl/>
        </w:rPr>
        <w:t xml:space="preserve">, שר׳ חיים אמר שכבר בגיל שלש הי׳ לו דרך בלימוד, עיי״ש. ואם צדק ר׳ </w:t>
      </w:r>
      <w:proofErr w:type="spellStart"/>
      <w:r>
        <w:rPr>
          <w:rtl/>
        </w:rPr>
        <w:t>מאיר־שמחה</w:t>
      </w:r>
      <w:proofErr w:type="spellEnd"/>
      <w:r>
        <w:rPr>
          <w:rtl/>
        </w:rPr>
        <w:t xml:space="preserve"> במה שהעריך את ראיותיו של </w:t>
      </w:r>
      <w:proofErr w:type="spellStart"/>
      <w:r>
        <w:rPr>
          <w:rtl/>
        </w:rPr>
        <w:t>הרוגצ׳ובר</w:t>
      </w:r>
      <w:proofErr w:type="spellEnd"/>
      <w:r>
        <w:rPr>
          <w:rtl/>
        </w:rPr>
        <w:t xml:space="preserve">, כנ״ל, יכולים אנו לומר שר׳ יוסף </w:t>
      </w:r>
      <w:proofErr w:type="spellStart"/>
      <w:r>
        <w:rPr>
          <w:rtl/>
        </w:rPr>
        <w:t>רוזין</w:t>
      </w:r>
      <w:proofErr w:type="spellEnd"/>
      <w:r>
        <w:rPr>
          <w:rtl/>
        </w:rPr>
        <w:t xml:space="preserve"> לא למד מאת ר׳ מנדלי </w:t>
      </w:r>
      <w:r>
        <w:rPr>
          <w:b/>
          <w:bCs/>
          <w:rtl/>
        </w:rPr>
        <w:t>מה שלא לומר</w:t>
      </w:r>
      <w:r>
        <w:rPr>
          <w:rtl/>
        </w:rPr>
        <w:t>, דבר שאצל ר׳ חיים היה חשוב במיוחד</w:t>
      </w:r>
      <w:bookmarkStart w:id="3898" w:name="_fnr2955"/>
      <w:r>
        <w:rPr>
          <w:rStyle w:val="a5"/>
        </w:rPr>
        <w:footnoteReference w:id="2963" w:customMarkFollows="0"/>
      </w:r>
      <w:bookmarkEnd w:id="3898"/>
      <w:r>
        <w:rPr>
          <w:rtl/>
        </w:rPr>
        <w:t>.</w:t>
      </w:r>
    </w:p>
    <w:p w14:paraId="12A8B395" w14:textId="77777777" w:rsidR="00AB3647" w:rsidRDefault="00000000" w:rsidP="007923E9">
      <w:pPr>
        <w:spacing w:after="120" w:line="276" w:lineRule="auto"/>
        <w:ind w:firstLine="283"/>
        <w:jc w:val="both"/>
      </w:pPr>
      <w:r>
        <w:rPr>
          <w:rtl/>
        </w:rPr>
        <w:t xml:space="preserve">השווה גם “הראשון לשושלת </w:t>
      </w:r>
      <w:proofErr w:type="spellStart"/>
      <w:r>
        <w:rPr>
          <w:rtl/>
        </w:rPr>
        <w:t>בריסק</w:t>
      </w:r>
      <w:proofErr w:type="spellEnd"/>
      <w:r>
        <w:rPr>
          <w:rtl/>
        </w:rPr>
        <w:t>”</w:t>
      </w:r>
      <w:bookmarkStart w:id="3899" w:name="_fnr2956"/>
      <w:r>
        <w:rPr>
          <w:rStyle w:val="a5"/>
        </w:rPr>
        <w:footnoteReference w:id="2964" w:customMarkFollows="0"/>
      </w:r>
      <w:bookmarkEnd w:id="3899"/>
      <w:r>
        <w:rPr>
          <w:rtl/>
        </w:rPr>
        <w:t xml:space="preserve">: כשהוצעה </w:t>
      </w:r>
      <w:proofErr w:type="spellStart"/>
      <w:r>
        <w:rPr>
          <w:rtl/>
        </w:rPr>
        <w:t>לר</w:t>
      </w:r>
      <w:proofErr w:type="spellEnd"/>
      <w:r>
        <w:rPr>
          <w:rtl/>
        </w:rPr>
        <w:t xml:space="preserve">׳ יוסף־דב רבנות </w:t>
      </w:r>
      <w:proofErr w:type="spellStart"/>
      <w:r>
        <w:rPr>
          <w:rtl/>
        </w:rPr>
        <w:t>סלוצק</w:t>
      </w:r>
      <w:proofErr w:type="spellEnd"/>
      <w:r>
        <w:rPr>
          <w:rtl/>
        </w:rPr>
        <w:t xml:space="preserve">, אמר על ר׳ </w:t>
      </w:r>
      <w:proofErr w:type="spellStart"/>
      <w:r>
        <w:rPr>
          <w:rtl/>
        </w:rPr>
        <w:t>מנדל׳ה</w:t>
      </w:r>
      <w:proofErr w:type="spellEnd"/>
      <w:r>
        <w:rPr>
          <w:rtl/>
        </w:rPr>
        <w:t xml:space="preserve">: “אריה שוכן </w:t>
      </w:r>
      <w:proofErr w:type="spellStart"/>
      <w:r>
        <w:rPr>
          <w:rtl/>
        </w:rPr>
        <w:t>בסלוצק</w:t>
      </w:r>
      <w:proofErr w:type="spellEnd"/>
      <w:r>
        <w:rPr>
          <w:rtl/>
        </w:rPr>
        <w:t xml:space="preserve">, ואתם באים אל שועל </w:t>
      </w:r>
      <w:proofErr w:type="spellStart"/>
      <w:r>
        <w:rPr>
          <w:rtl/>
        </w:rPr>
        <w:t>בוולוז׳ין</w:t>
      </w:r>
      <w:proofErr w:type="spellEnd"/>
      <w:r>
        <w:rPr>
          <w:rtl/>
        </w:rPr>
        <w:t xml:space="preserve">?!” בזיכרונותיו של </w:t>
      </w:r>
      <w:proofErr w:type="spellStart"/>
      <w:r>
        <w:rPr>
          <w:rtl/>
        </w:rPr>
        <w:t>צבי־הירש</w:t>
      </w:r>
      <w:proofErr w:type="spellEnd"/>
      <w:r>
        <w:rPr>
          <w:rtl/>
        </w:rPr>
        <w:t xml:space="preserve"> </w:t>
      </w:r>
      <w:proofErr w:type="spellStart"/>
      <w:r>
        <w:rPr>
          <w:rtl/>
        </w:rPr>
        <w:t>מסליאנסקי</w:t>
      </w:r>
      <w:proofErr w:type="spellEnd"/>
      <w:r>
        <w:rPr>
          <w:rtl/>
        </w:rPr>
        <w:t xml:space="preserve"> באנגלית (1929)</w:t>
      </w:r>
      <w:bookmarkStart w:id="3900" w:name="_fnr2957"/>
      <w:r>
        <w:rPr>
          <w:rStyle w:val="a5"/>
        </w:rPr>
        <w:footnoteReference w:id="2965" w:customMarkFollows="0"/>
      </w:r>
      <w:bookmarkEnd w:id="3900"/>
      <w:r>
        <w:rPr>
          <w:rtl/>
        </w:rPr>
        <w:t xml:space="preserve"> דבריו של הבית הלוי חדים יותר, והם מובאים כך: “אריה רובץ בבית מדרשו של הרב </w:t>
      </w:r>
      <w:proofErr w:type="spellStart"/>
      <w:r>
        <w:rPr>
          <w:rtl/>
        </w:rPr>
        <w:t>איסרלין</w:t>
      </w:r>
      <w:proofErr w:type="spellEnd"/>
      <w:r>
        <w:rPr>
          <w:rtl/>
        </w:rPr>
        <w:t xml:space="preserve"> העשיר [</w:t>
      </w:r>
      <w:proofErr w:type="spellStart"/>
      <w:r>
        <w:rPr>
          <w:rtl/>
        </w:rPr>
        <w:t>בסלוצק</w:t>
      </w:r>
      <w:proofErr w:type="spellEnd"/>
      <w:r>
        <w:rPr>
          <w:rtl/>
        </w:rPr>
        <w:t>], ואתם קוראים לשועל למשול בכם</w:t>
      </w:r>
      <w:bookmarkStart w:id="3901" w:name="_fnr2958"/>
      <w:r>
        <w:rPr>
          <w:rStyle w:val="a5"/>
        </w:rPr>
        <w:footnoteReference w:id="2966" w:customMarkFollows="0"/>
      </w:r>
      <w:bookmarkEnd w:id="3901"/>
      <w:r>
        <w:rPr>
          <w:rtl/>
        </w:rPr>
        <w:t xml:space="preserve">?!” השווה גם “הראשון לשושלת </w:t>
      </w:r>
      <w:proofErr w:type="spellStart"/>
      <w:r>
        <w:rPr>
          <w:rtl/>
        </w:rPr>
        <w:t>בריסק</w:t>
      </w:r>
      <w:proofErr w:type="spellEnd"/>
      <w:r>
        <w:rPr>
          <w:rtl/>
        </w:rPr>
        <w:t>”</w:t>
      </w:r>
      <w:bookmarkStart w:id="3902" w:name="_fnr2959"/>
      <w:r>
        <w:rPr>
          <w:rStyle w:val="a5"/>
        </w:rPr>
        <w:footnoteReference w:id="2967" w:customMarkFollows="0"/>
      </w:r>
      <w:bookmarkEnd w:id="3902"/>
      <w:r>
        <w:rPr>
          <w:rtl/>
        </w:rPr>
        <w:t xml:space="preserve"> לפרטים נוספים על ר׳ </w:t>
      </w:r>
      <w:proofErr w:type="spellStart"/>
      <w:r>
        <w:rPr>
          <w:rtl/>
        </w:rPr>
        <w:t>מנדל׳ה</w:t>
      </w:r>
      <w:proofErr w:type="spellEnd"/>
      <w:r>
        <w:rPr>
          <w:rtl/>
        </w:rPr>
        <w:t xml:space="preserve">, ובהם שמסר שיעורים </w:t>
      </w:r>
      <w:proofErr w:type="spellStart"/>
      <w:r>
        <w:rPr>
          <w:rtl/>
        </w:rPr>
        <w:t>לשנים־עשר</w:t>
      </w:r>
      <w:proofErr w:type="spellEnd"/>
      <w:r>
        <w:rPr>
          <w:rtl/>
        </w:rPr>
        <w:t xml:space="preserve"> אברכים שהחזיקו אב ובנו ממשפחת </w:t>
      </w:r>
      <w:proofErr w:type="spellStart"/>
      <w:r>
        <w:rPr>
          <w:rtl/>
        </w:rPr>
        <w:t>איסרלין</w:t>
      </w:r>
      <w:proofErr w:type="spellEnd"/>
      <w:r>
        <w:rPr>
          <w:rtl/>
        </w:rPr>
        <w:t xml:space="preserve"> העשירה</w:t>
      </w:r>
      <w:bookmarkStart w:id="3903" w:name="_fnr2960"/>
      <w:r>
        <w:rPr>
          <w:rStyle w:val="a5"/>
        </w:rPr>
        <w:footnoteReference w:id="2968" w:customMarkFollows="0"/>
      </w:r>
      <w:bookmarkEnd w:id="3903"/>
      <w:r>
        <w:rPr>
          <w:rtl/>
        </w:rPr>
        <w:t>.</w:t>
      </w:r>
    </w:p>
    <w:p w14:paraId="6CFE1845" w14:textId="77777777" w:rsidR="00AB3647" w:rsidRDefault="00000000" w:rsidP="007923E9">
      <w:pPr>
        <w:spacing w:after="120" w:line="276" w:lineRule="auto"/>
        <w:ind w:firstLine="283"/>
        <w:jc w:val="both"/>
      </w:pPr>
      <w:r>
        <w:rPr>
          <w:rtl/>
        </w:rPr>
        <w:t xml:space="preserve">על שהותו של </w:t>
      </w:r>
      <w:proofErr w:type="spellStart"/>
      <w:r>
        <w:rPr>
          <w:rtl/>
        </w:rPr>
        <w:t>הרוגצ׳ובר</w:t>
      </w:r>
      <w:proofErr w:type="spellEnd"/>
      <w:r>
        <w:rPr>
          <w:rtl/>
        </w:rPr>
        <w:t xml:space="preserve"> </w:t>
      </w:r>
      <w:proofErr w:type="spellStart"/>
      <w:r>
        <w:rPr>
          <w:rtl/>
        </w:rPr>
        <w:t>בסלוצק</w:t>
      </w:r>
      <w:proofErr w:type="spellEnd"/>
      <w:r>
        <w:rPr>
          <w:rtl/>
        </w:rPr>
        <w:t xml:space="preserve"> סיפר ר׳ חיים </w:t>
      </w:r>
      <w:proofErr w:type="spellStart"/>
      <w:r>
        <w:rPr>
          <w:rtl/>
        </w:rPr>
        <w:t>זוננפלד</w:t>
      </w:r>
      <w:bookmarkStart w:id="3904" w:name="_fnr2961"/>
      <w:proofErr w:type="spellEnd"/>
      <w:r>
        <w:rPr>
          <w:rStyle w:val="a5"/>
        </w:rPr>
        <w:footnoteReference w:id="2969" w:customMarkFollows="0"/>
      </w:r>
      <w:bookmarkEnd w:id="3904"/>
      <w:r>
        <w:rPr>
          <w:rtl/>
        </w:rPr>
        <w:t xml:space="preserve"> את המעשה הבא מפי חותנו ר׳ שפטיה סגל, יליד </w:t>
      </w:r>
      <w:proofErr w:type="spellStart"/>
      <w:r>
        <w:rPr>
          <w:rtl/>
        </w:rPr>
        <w:t>ינישקל</w:t>
      </w:r>
      <w:proofErr w:type="spellEnd"/>
      <w:r>
        <w:rPr>
          <w:rtl/>
        </w:rPr>
        <w:t xml:space="preserve"> (הרב </w:t>
      </w:r>
      <w:proofErr w:type="spellStart"/>
      <w:r>
        <w:rPr>
          <w:rtl/>
        </w:rPr>
        <w:t>מפוניבז</w:t>
      </w:r>
      <w:proofErr w:type="spellEnd"/>
      <w:r>
        <w:rPr>
          <w:rtl/>
        </w:rPr>
        <w:t xml:space="preserve">׳ כינהו “העילוי </w:t>
      </w:r>
      <w:proofErr w:type="spellStart"/>
      <w:r>
        <w:rPr>
          <w:rtl/>
        </w:rPr>
        <w:t>מינישקל</w:t>
      </w:r>
      <w:proofErr w:type="spellEnd"/>
      <w:r>
        <w:rPr>
          <w:rtl/>
        </w:rPr>
        <w:t xml:space="preserve">”), שהיה מצוי בביתו של ר׳ </w:t>
      </w:r>
      <w:proofErr w:type="spellStart"/>
      <w:r>
        <w:rPr>
          <w:rtl/>
        </w:rPr>
        <w:t>מאיר־שמחה</w:t>
      </w:r>
      <w:proofErr w:type="spellEnd"/>
      <w:r>
        <w:rPr>
          <w:rtl/>
        </w:rPr>
        <w:t xml:space="preserve"> כהן </w:t>
      </w:r>
      <w:proofErr w:type="spellStart"/>
      <w:r>
        <w:rPr>
          <w:rtl/>
        </w:rPr>
        <w:t>בדווינסק</w:t>
      </w:r>
      <w:bookmarkStart w:id="3905" w:name="_fnr2962"/>
      <w:bookmarkStart w:id="3906" w:name="pr_f_2857"/>
      <w:proofErr w:type="spellEnd"/>
      <w:r>
        <w:rPr>
          <w:rStyle w:val="a5"/>
        </w:rPr>
        <w:footnoteReference w:id="2970" w:customMarkFollows="0"/>
      </w:r>
      <w:bookmarkEnd w:id="3905"/>
      <w:bookmarkEnd w:id="3906"/>
      <w:r>
        <w:rPr>
          <w:rtl/>
        </w:rPr>
        <w:t xml:space="preserve">. ר׳ שפטיה שמע מר׳ </w:t>
      </w:r>
      <w:proofErr w:type="spellStart"/>
      <w:r>
        <w:rPr>
          <w:rtl/>
        </w:rPr>
        <w:t>צבי־הירש</w:t>
      </w:r>
      <w:proofErr w:type="spellEnd"/>
      <w:r>
        <w:rPr>
          <w:rtl/>
        </w:rPr>
        <w:t xml:space="preserve"> </w:t>
      </w:r>
      <w:proofErr w:type="spellStart"/>
      <w:r>
        <w:rPr>
          <w:rtl/>
        </w:rPr>
        <w:t>מסליאנסקי</w:t>
      </w:r>
      <w:bookmarkStart w:id="3907" w:name="_fnr2963"/>
      <w:proofErr w:type="spellEnd"/>
      <w:r>
        <w:rPr>
          <w:rStyle w:val="a5"/>
        </w:rPr>
        <w:footnoteReference w:id="2971" w:customMarkFollows="0"/>
      </w:r>
      <w:bookmarkEnd w:id="3907"/>
      <w:r>
        <w:rPr>
          <w:rtl/>
        </w:rPr>
        <w:t xml:space="preserve">, יליד </w:t>
      </w:r>
      <w:proofErr w:type="spellStart"/>
      <w:r>
        <w:rPr>
          <w:rtl/>
        </w:rPr>
        <w:t>סלוצק</w:t>
      </w:r>
      <w:proofErr w:type="spellEnd"/>
      <w:r>
        <w:rPr>
          <w:rtl/>
        </w:rPr>
        <w:t xml:space="preserve">, שבכל יום שישי היה רב העיר, ר׳ יוסף־דב, בוחן את התלמידים הצעירים. כשבא יוסף בן </w:t>
      </w:r>
      <w:proofErr w:type="spellStart"/>
      <w:r>
        <w:rPr>
          <w:rtl/>
        </w:rPr>
        <w:t>השתים־עשרה</w:t>
      </w:r>
      <w:proofErr w:type="spellEnd"/>
      <w:r>
        <w:rPr>
          <w:rtl/>
        </w:rPr>
        <w:t xml:space="preserve"> לעיר, “במכנסיים קצרים, מושך את גרביו כלפי מעלה”, הלך מיד אל הרב להציג את עצמו ולהודיע שבא ללמוד בעירו אצל ר׳ </w:t>
      </w:r>
      <w:proofErr w:type="spellStart"/>
      <w:r>
        <w:rPr>
          <w:rtl/>
        </w:rPr>
        <w:t>מנדל׳ה</w:t>
      </w:r>
      <w:proofErr w:type="spellEnd"/>
      <w:r>
        <w:rPr>
          <w:rtl/>
        </w:rPr>
        <w:t xml:space="preserve">. כששאל אותו ר׳ יוסף־דב מה הוא יודע, </w:t>
      </w:r>
      <w:r>
        <w:rPr>
          <w:rtl/>
        </w:rPr>
        <w:lastRenderedPageBreak/>
        <w:t xml:space="preserve">השיב הנער: “חצי ש״ס”; וכששאל הרב: “איזה חצי?”, השיב: “איזה חצי שהרב מעדיף.” לאחר שבחן את הנער אמר ר׳ יוסף־דב: “צי ער </w:t>
      </w:r>
      <w:proofErr w:type="spellStart"/>
      <w:r>
        <w:rPr>
          <w:rtl/>
        </w:rPr>
        <w:t>פארשטעהט</w:t>
      </w:r>
      <w:proofErr w:type="spellEnd"/>
      <w:r>
        <w:rPr>
          <w:rtl/>
        </w:rPr>
        <w:t xml:space="preserve"> יא, צי ער </w:t>
      </w:r>
      <w:proofErr w:type="spellStart"/>
      <w:r>
        <w:rPr>
          <w:rtl/>
        </w:rPr>
        <w:t>פארשטעהט</w:t>
      </w:r>
      <w:proofErr w:type="spellEnd"/>
      <w:r>
        <w:rPr>
          <w:rtl/>
        </w:rPr>
        <w:t xml:space="preserve"> ניט – אבער ער </w:t>
      </w:r>
      <w:proofErr w:type="spellStart"/>
      <w:r>
        <w:rPr>
          <w:rtl/>
        </w:rPr>
        <w:t>זאגט</w:t>
      </w:r>
      <w:proofErr w:type="spellEnd"/>
      <w:r>
        <w:rPr>
          <w:rtl/>
        </w:rPr>
        <w:t xml:space="preserve"> דאך! [בין שהוא מבין ובין שאינו מבין – אבל הרי הוא אומר!]”</w:t>
      </w:r>
    </w:p>
    <w:p w14:paraId="6AF5F14C" w14:textId="77777777" w:rsidR="00AB3647" w:rsidRDefault="00000000" w:rsidP="007923E9">
      <w:pPr>
        <w:spacing w:after="120" w:line="276" w:lineRule="auto"/>
        <w:ind w:firstLine="283"/>
        <w:jc w:val="both"/>
      </w:pPr>
      <w:r>
        <w:rPr>
          <w:rtl/>
        </w:rPr>
        <w:t xml:space="preserve">לטובת חינוכו של הילד הורה ר׳ יוסף־דב לשמש לספק לנער את כל הגמרות שיבקש, אבל לנעול את כרכי הרמב״ם. כשבא השמש לבית המדרש, מצא את הנער כבר יושב ליד שולחן ועליו ערמת גמרות ורמב״ם. כשניסה השמש לקחת ממנו את הרמב״ם, חטף הנער את הספר וברח, ובעוד השמש רודף אחריו, מיהר אל עזרת הנשים ומשם קפץ אל התנור הגבוה. כשירד השמש וראה את הילד מעיין ברמב״ם, ורגליו מתנדנדות בסכנה מעבר לשפת התנור, הלך אל הרב ואמר לו: “איך האב </w:t>
      </w:r>
      <w:proofErr w:type="spellStart"/>
      <w:r>
        <w:rPr>
          <w:rtl/>
        </w:rPr>
        <w:t>נישט</w:t>
      </w:r>
      <w:proofErr w:type="spellEnd"/>
      <w:r>
        <w:rPr>
          <w:rtl/>
        </w:rPr>
        <w:t xml:space="preserve"> קיין </w:t>
      </w:r>
      <w:proofErr w:type="spellStart"/>
      <w:r>
        <w:rPr>
          <w:rtl/>
        </w:rPr>
        <w:t>כח</w:t>
      </w:r>
      <w:proofErr w:type="spellEnd"/>
      <w:r>
        <w:rPr>
          <w:rtl/>
        </w:rPr>
        <w:t xml:space="preserve"> [אין בי כוח]” לסכן את חייו של בן </w:t>
      </w:r>
      <w:proofErr w:type="spellStart"/>
      <w:r>
        <w:rPr>
          <w:rtl/>
        </w:rPr>
        <w:t>השתים־עשרה</w:t>
      </w:r>
      <w:proofErr w:type="spellEnd"/>
      <w:r>
        <w:rPr>
          <w:rtl/>
        </w:rPr>
        <w:t>, ושאינו יכול לקיים את ההוראה.</w:t>
      </w:r>
    </w:p>
    <w:p w14:paraId="7836CF8A" w14:textId="77777777" w:rsidR="00AB3647" w:rsidRDefault="00000000" w:rsidP="007923E9">
      <w:pPr>
        <w:spacing w:after="120" w:line="276" w:lineRule="auto"/>
        <w:ind w:firstLine="283"/>
        <w:jc w:val="both"/>
      </w:pPr>
      <w:r>
        <w:rPr>
          <w:rtl/>
        </w:rPr>
        <w:t xml:space="preserve">“ר׳ יוסף לא שהה </w:t>
      </w:r>
      <w:proofErr w:type="spellStart"/>
      <w:r>
        <w:rPr>
          <w:rtl/>
        </w:rPr>
        <w:t>בסלוצק</w:t>
      </w:r>
      <w:proofErr w:type="spellEnd"/>
      <w:r>
        <w:rPr>
          <w:rtl/>
        </w:rPr>
        <w:t xml:space="preserve"> זמן רב”, סיפר </w:t>
      </w:r>
      <w:proofErr w:type="spellStart"/>
      <w:r>
        <w:rPr>
          <w:rtl/>
        </w:rPr>
        <w:t>מסליאנסקי</w:t>
      </w:r>
      <w:proofErr w:type="spellEnd"/>
      <w:r>
        <w:rPr>
          <w:rtl/>
        </w:rPr>
        <w:t>. “כשביקרתי באירופה לאחר המלחמה כחבר משלחת של ארגון סיוע אמריקאי</w:t>
      </w:r>
      <w:bookmarkStart w:id="3908" w:name="_fnr2964"/>
      <w:bookmarkStart w:id="3909" w:name="pr_f_2859"/>
      <w:r>
        <w:rPr>
          <w:rStyle w:val="a5"/>
        </w:rPr>
        <w:footnoteReference w:id="2972" w:customMarkFollows="0"/>
      </w:r>
      <w:bookmarkEnd w:id="3908"/>
      <w:bookmarkEnd w:id="3909"/>
      <w:r>
        <w:rPr>
          <w:rtl/>
        </w:rPr>
        <w:t xml:space="preserve">, החלטתי לבקר אצל הגאון </w:t>
      </w:r>
      <w:proofErr w:type="spellStart"/>
      <w:r>
        <w:rPr>
          <w:rtl/>
        </w:rPr>
        <w:t>הרוגצ׳ובר</w:t>
      </w:r>
      <w:proofErr w:type="spellEnd"/>
      <w:r>
        <w:rPr>
          <w:rtl/>
        </w:rPr>
        <w:t xml:space="preserve"> המפורסם בלי שידעתי מיהו. אך מיד כשנכנסתי לחדרו זיהה אותי</w:t>
      </w:r>
      <w:bookmarkStart w:id="3910" w:name="_fnr2965"/>
      <w:r>
        <w:rPr>
          <w:rStyle w:val="a5"/>
        </w:rPr>
        <w:footnoteReference w:id="2973" w:customMarkFollows="0"/>
      </w:r>
      <w:bookmarkEnd w:id="3910"/>
      <w:r>
        <w:rPr>
          <w:rtl/>
        </w:rPr>
        <w:t xml:space="preserve"> ואמר: ‘</w:t>
      </w:r>
      <w:proofErr w:type="spellStart"/>
      <w:r>
        <w:rPr>
          <w:rtl/>
        </w:rPr>
        <w:t>הירשקה</w:t>
      </w:r>
      <w:proofErr w:type="spellEnd"/>
      <w:r>
        <w:rPr>
          <w:rtl/>
        </w:rPr>
        <w:t xml:space="preserve">, מה אתה עושה כאן? אני זוכר שכשבאתי </w:t>
      </w:r>
      <w:proofErr w:type="spellStart"/>
      <w:r>
        <w:rPr>
          <w:rtl/>
        </w:rPr>
        <w:t>לסלוצק</w:t>
      </w:r>
      <w:proofErr w:type="spellEnd"/>
      <w:r>
        <w:rPr>
          <w:rtl/>
        </w:rPr>
        <w:t xml:space="preserve"> להיבחן אצל הרב, ישבת שלישי בשורת הבחורים לימינו’”, סיים </w:t>
      </w:r>
      <w:proofErr w:type="spellStart"/>
      <w:r>
        <w:rPr>
          <w:rtl/>
        </w:rPr>
        <w:t>מסליאנסקי</w:t>
      </w:r>
      <w:proofErr w:type="spellEnd"/>
      <w:r>
        <w:rPr>
          <w:rtl/>
        </w:rPr>
        <w:t xml:space="preserve"> – לפי הרב סגל.</w:t>
      </w:r>
    </w:p>
    <w:p w14:paraId="69C4E6BA" w14:textId="77777777" w:rsidR="00AB3647" w:rsidRDefault="00000000" w:rsidP="007923E9">
      <w:pPr>
        <w:spacing w:after="120" w:line="276" w:lineRule="auto"/>
        <w:ind w:firstLine="283"/>
        <w:jc w:val="both"/>
      </w:pPr>
      <w:r>
        <w:rPr>
          <w:rtl/>
        </w:rPr>
        <w:t xml:space="preserve">ר׳ ישראל </w:t>
      </w:r>
      <w:proofErr w:type="spellStart"/>
      <w:r>
        <w:rPr>
          <w:rtl/>
        </w:rPr>
        <w:t>שורין</w:t>
      </w:r>
      <w:proofErr w:type="spellEnd"/>
      <w:r>
        <w:rPr>
          <w:rtl/>
        </w:rPr>
        <w:t xml:space="preserve"> גילה</w:t>
      </w:r>
      <w:bookmarkStart w:id="3911" w:name="_fnr2966"/>
      <w:r>
        <w:rPr>
          <w:rStyle w:val="a5"/>
        </w:rPr>
        <w:footnoteReference w:id="2974" w:customMarkFollows="0"/>
      </w:r>
      <w:bookmarkEnd w:id="3911"/>
      <w:r>
        <w:rPr>
          <w:rtl/>
        </w:rPr>
        <w:t xml:space="preserve"> ששמע מר׳ ראובן כץ, רב פתח תקווה, </w:t>
      </w:r>
      <w:proofErr w:type="spellStart"/>
      <w:r>
        <w:rPr>
          <w:rtl/>
        </w:rPr>
        <w:t>שמסליאנסקי</w:t>
      </w:r>
      <w:proofErr w:type="spellEnd"/>
      <w:r>
        <w:rPr>
          <w:rtl/>
        </w:rPr>
        <w:t xml:space="preserve"> סיפר לו</w:t>
      </w:r>
      <w:bookmarkStart w:id="3912" w:name="_fnr2967"/>
      <w:r>
        <w:rPr>
          <w:rStyle w:val="a5"/>
        </w:rPr>
        <w:footnoteReference w:id="2975" w:customMarkFollows="0"/>
      </w:r>
      <w:bookmarkEnd w:id="3912"/>
      <w:r>
        <w:rPr>
          <w:rtl/>
        </w:rPr>
        <w:t xml:space="preserve"> </w:t>
      </w:r>
      <w:proofErr w:type="spellStart"/>
      <w:r>
        <w:rPr>
          <w:rtl/>
        </w:rPr>
        <w:t>שהרוגצ׳ובר</w:t>
      </w:r>
      <w:proofErr w:type="spellEnd"/>
      <w:r>
        <w:rPr>
          <w:rtl/>
        </w:rPr>
        <w:t xml:space="preserve"> הוסיף פרט נוסף מיד לאחר שזיהה את מבקרו, “שלא ראה למעלה מארבעים </w:t>
      </w:r>
      <w:r>
        <w:rPr>
          <w:rtl/>
        </w:rPr>
        <w:lastRenderedPageBreak/>
        <w:t>שנה</w:t>
      </w:r>
      <w:bookmarkStart w:id="3913" w:name="_fnr2968"/>
      <w:bookmarkStart w:id="3914" w:name="pr_f_2863"/>
      <w:r>
        <w:rPr>
          <w:rStyle w:val="a5"/>
        </w:rPr>
        <w:footnoteReference w:id="2976" w:customMarkFollows="0"/>
      </w:r>
      <w:bookmarkEnd w:id="3913"/>
      <w:bookmarkEnd w:id="3914"/>
      <w:r>
        <w:rPr>
          <w:rtl/>
        </w:rPr>
        <w:t xml:space="preserve">”, ואמר כך: “ואתה חושב שהוא [ר׳ </w:t>
      </w:r>
      <w:proofErr w:type="spellStart"/>
      <w:r>
        <w:rPr>
          <w:rtl/>
        </w:rPr>
        <w:t xml:space="preserve">יושע־בער</w:t>
      </w:r>
      <w:proofErr w:type="spellEnd"/>
      <w:r>
        <w:rPr>
          <w:rtl/>
        </w:rPr>
        <w:t>] ידע ללמוד? לא הרבה</w:t>
      </w:r>
      <w:bookmarkStart w:id="3915" w:name="_fnr2969"/>
      <w:bookmarkStart w:id="3916" w:name="pr_f_2864"/>
      <w:r>
        <w:rPr>
          <w:rStyle w:val="a5"/>
        </w:rPr>
        <w:footnoteReference w:id="2977" w:customMarkFollows="0"/>
      </w:r>
      <w:bookmarkEnd w:id="3915"/>
      <w:bookmarkEnd w:id="3916"/>
      <w:r>
        <w:rPr>
          <w:rtl/>
        </w:rPr>
        <w:t>!” ראה “אישים ושיטות”</w:t>
      </w:r>
      <w:bookmarkStart w:id="3917" w:name="_fnr2970"/>
      <w:r>
        <w:rPr>
          <w:rStyle w:val="a5"/>
        </w:rPr>
        <w:footnoteReference w:id="2978" w:customMarkFollows="0"/>
      </w:r>
      <w:bookmarkEnd w:id="3917"/>
      <w:r>
        <w:rPr>
          <w:rtl/>
        </w:rPr>
        <w:t xml:space="preserve">, שר׳ </w:t>
      </w:r>
      <w:proofErr w:type="spellStart"/>
      <w:r>
        <w:rPr>
          <w:rtl/>
        </w:rPr>
        <w:t>מאיר־שמחה</w:t>
      </w:r>
      <w:proofErr w:type="spellEnd"/>
      <w:r>
        <w:rPr>
          <w:rtl/>
        </w:rPr>
        <w:t xml:space="preserve"> אמר: “אומרים </w:t>
      </w:r>
      <w:proofErr w:type="spellStart"/>
      <w:r>
        <w:rPr>
          <w:rtl/>
        </w:rPr>
        <w:t>שלרוגצ׳ובר</w:t>
      </w:r>
      <w:proofErr w:type="spellEnd"/>
      <w:r>
        <w:rPr>
          <w:rtl/>
        </w:rPr>
        <w:t xml:space="preserve"> זיכרון מופלא, אבל אין זה כך... [הוא לומד תמיד, ו]אין דבר בתורה שלא חזר עליו ממש לאחרונה.” אבל המעשה שסיפר </w:t>
      </w:r>
      <w:proofErr w:type="spellStart"/>
      <w:r>
        <w:rPr>
          <w:rtl/>
        </w:rPr>
        <w:t>מסליאנסקי</w:t>
      </w:r>
      <w:proofErr w:type="spellEnd"/>
      <w:r>
        <w:rPr>
          <w:rtl/>
        </w:rPr>
        <w:t xml:space="preserve"> מורה שזיכרונו של </w:t>
      </w:r>
      <w:proofErr w:type="spellStart"/>
      <w:r>
        <w:rPr>
          <w:rtl/>
        </w:rPr>
        <w:t>הרוגצ׳ובר</w:t>
      </w:r>
      <w:proofErr w:type="spellEnd"/>
      <w:r>
        <w:rPr>
          <w:rtl/>
        </w:rPr>
        <w:t xml:space="preserve"> אכן היה יוצא מן הכלל.</w:t>
      </w:r>
    </w:p>
    <w:bookmarkStart w:id="3918" w:name="b3_excGG"/>
    <w:p w14:paraId="41D468AD" w14:textId="77777777" w:rsidR="00AB3647" w:rsidRDefault="00000000" w:rsidP="007923E9">
      <w:pPr>
        <w:pStyle w:val="3"/>
        <w:spacing w:line="276" w:lineRule="auto"/>
      </w:pPr>
      <w:r>
        <w:lastRenderedPageBreak/>
        <w:fldChar w:fldCharType="begin" w:dirty="true"/>
      </w:r>
      <w:r>
        <w:rPr>
          <w:rtl w:val="0"/>
        </w:rPr>
        <w:instrText>HYPERLINK \l "b3_note142</w:instrText>
      </w:r>
      <w:r>
        <w:instrText>"</w:instrText>
      </w:r>
      <w:r>
        <w:fldChar w:fldCharType="separate"/>
      </w:r>
      <w:r>
        <w:t>נספח לג</w:t>
      </w:r>
      <w:r>
        <w:fldChar w:fldCharType="end"/>
      </w:r>
      <w:bookmarkEnd w:id="3918"/>
    </w:p>
    <w:p w14:paraId="0CC09F66" w14:textId="77777777" w:rsidR="00AB3647" w:rsidRDefault="00000000" w:rsidP="007923E9">
      <w:pPr>
        <w:pStyle w:val="af"/>
        <w:spacing w:line="276" w:lineRule="auto"/>
      </w:pPr>
      <w:r>
        <w:t>על השתתפות תלמידי כנסת בית יצחק בשיחות הסבא</w:t>
      </w:r>
    </w:p>
    <w:p w14:paraId="54AFCAC5" w14:textId="77777777" w:rsidR="00AB3647" w:rsidRDefault="00000000" w:rsidP="007923E9">
      <w:pPr>
        <w:pStyle w:val="4"/>
        <w:spacing w:line="276" w:lineRule="auto"/>
      </w:pPr>
      <w:r>
        <w:t>· הפסקה הראשונה ·</w:t>
      </w:r>
    </w:p>
    <w:p w14:paraId="7702C2AD" w14:textId="77777777" w:rsidR="00AB3647" w:rsidRDefault="00000000" w:rsidP="007923E9">
      <w:pPr>
        <w:pStyle w:val="5"/>
        <w:spacing w:line="276" w:lineRule="auto"/>
      </w:pPr>
      <w:r>
        <w:t xml:space="preserve">קופל </w:t>
      </w:r>
      <w:proofErr w:type="spellStart"/>
      <w:r>
        <w:t>וולפרט</w:t>
      </w:r>
      <w:proofErr w:type="spellEnd"/>
      <w:r>
        <w:t xml:space="preserve"> הצעיר מגיע </w:t>
      </w:r>
      <w:proofErr w:type="spellStart"/>
      <w:r>
        <w:t>לסלבודקה</w:t>
      </w:r>
      <w:proofErr w:type="spellEnd"/>
      <w:r>
        <w:t xml:space="preserve"> – הוא מצטרף לכנסת בית יצחק</w:t>
      </w:r>
    </w:p>
    <w:p w14:paraId="3FF36241" w14:textId="77777777" w:rsidR="00AB3647" w:rsidRDefault="00000000" w:rsidP="007923E9">
      <w:pPr>
        <w:spacing w:after="120" w:line="276" w:lineRule="auto"/>
        <w:ind w:firstLine="283"/>
        <w:jc w:val="both"/>
      </w:pPr>
      <w:r>
        <w:rPr>
          <w:rtl/>
        </w:rPr>
        <w:t xml:space="preserve">הקורא ימצא עניין בסיפורו של אחד מתלמידי בית יצחק האלה, ר׳ קופל </w:t>
      </w:r>
      <w:proofErr w:type="spellStart"/>
      <w:r>
        <w:rPr>
          <w:rtl/>
        </w:rPr>
        <w:t>וולפרט</w:t>
      </w:r>
      <w:bookmarkStart w:id="3919" w:name="_fnr2971"/>
      <w:proofErr w:type="spellEnd"/>
      <w:r>
        <w:rPr>
          <w:rStyle w:val="a5"/>
        </w:rPr>
        <w:footnoteReference w:id="2979" w:customMarkFollows="0"/>
      </w:r>
      <w:bookmarkEnd w:id="3919"/>
      <w:r>
        <w:rPr>
          <w:rtl/>
        </w:rPr>
        <w:t>: “הייתי יליד קלם, שבה התגוררה הסבתא, והסבא היה מבקר בה חודשיים בכל שנה</w:t>
      </w:r>
      <w:bookmarkStart w:id="3920" w:name="_fnr2972"/>
      <w:r>
        <w:rPr>
          <w:rStyle w:val="a5"/>
        </w:rPr>
        <w:footnoteReference w:id="2980" w:customMarkFollows="0"/>
      </w:r>
      <w:bookmarkEnd w:id="3920"/>
      <w:r>
        <w:rPr>
          <w:rtl/>
        </w:rPr>
        <w:t xml:space="preserve"> כאדם פרטי</w:t>
      </w:r>
      <w:bookmarkStart w:id="3921" w:name="_fnr2973"/>
      <w:r>
        <w:rPr>
          <w:rStyle w:val="a5"/>
        </w:rPr>
        <w:footnoteReference w:id="2981" w:customMarkFollows="0"/>
      </w:r>
      <w:bookmarkEnd w:id="3921"/>
      <w:r>
        <w:rPr>
          <w:rtl/>
        </w:rPr>
        <w:t xml:space="preserve">, אך כשבאתי ללמוד </w:t>
      </w:r>
      <w:proofErr w:type="spellStart"/>
      <w:r>
        <w:rPr>
          <w:rtl/>
        </w:rPr>
        <w:t>בסלבודקה</w:t>
      </w:r>
      <w:proofErr w:type="spellEnd"/>
      <w:r>
        <w:rPr>
          <w:rtl/>
        </w:rPr>
        <w:t xml:space="preserve"> בגיל </w:t>
      </w:r>
      <w:proofErr w:type="spellStart"/>
      <w:r>
        <w:rPr>
          <w:rtl/>
        </w:rPr>
        <w:t>ארבע־עשרה</w:t>
      </w:r>
      <w:proofErr w:type="spellEnd"/>
      <w:r>
        <w:rPr>
          <w:rtl/>
        </w:rPr>
        <w:t xml:space="preserve">, לא ידעתי שהסבא </w:t>
      </w:r>
      <w:proofErr w:type="spellStart"/>
      <w:r>
        <w:rPr>
          <w:rtl/>
        </w:rPr>
        <w:t>מסלבודקה</w:t>
      </w:r>
      <w:proofErr w:type="spellEnd"/>
      <w:r>
        <w:rPr>
          <w:rtl/>
        </w:rPr>
        <w:t xml:space="preserve"> הוא מישהו מיוחד. העגלון שביקשתי ממנו בתחנת הרכבת להביאני אל ‘הישיבה שבעיר’ הביא אותי לכנסת ישראל. תחילה ראיתי את ר׳ משה </w:t>
      </w:r>
      <w:proofErr w:type="spellStart"/>
      <w:r>
        <w:rPr>
          <w:rtl/>
        </w:rPr>
        <w:t>פינקל</w:t>
      </w:r>
      <w:proofErr w:type="spellEnd"/>
      <w:r>
        <w:rPr>
          <w:rtl/>
        </w:rPr>
        <w:t xml:space="preserve">, שגם אותו הכרתי מקלם – הוא היה גאון עולם, ולימים נעשה חתנו של ר׳ </w:t>
      </w:r>
      <w:proofErr w:type="spellStart"/>
      <w:r>
        <w:rPr>
          <w:rtl/>
        </w:rPr>
        <w:t>משה־מרדכי</w:t>
      </w:r>
      <w:proofErr w:type="spellEnd"/>
      <w:r>
        <w:rPr>
          <w:rtl/>
        </w:rPr>
        <w:t xml:space="preserve"> אפשטיין</w:t>
      </w:r>
      <w:bookmarkStart w:id="3922" w:name="_fnr2974"/>
      <w:r>
        <w:rPr>
          <w:rStyle w:val="a5"/>
        </w:rPr>
        <w:footnoteReference w:id="2982" w:customMarkFollows="0"/>
      </w:r>
      <w:bookmarkEnd w:id="3922"/>
      <w:r>
        <w:rPr>
          <w:rtl/>
        </w:rPr>
        <w:t xml:space="preserve"> – ואמרתי: ‘מה שלומך, משה?’ אחר כך, כשראיתי את הסבא, אמרתי: ‘מה שלומך, </w:t>
      </w:r>
      <w:proofErr w:type="spellStart"/>
      <w:r>
        <w:rPr>
          <w:rtl/>
        </w:rPr>
        <w:t>נטע־הירש</w:t>
      </w:r>
      <w:proofErr w:type="spellEnd"/>
      <w:r>
        <w:rPr>
          <w:rtl/>
        </w:rPr>
        <w:t xml:space="preserve">?’ – אפילו ‘רב’ לא אמרתי! </w:t>
      </w:r>
      <w:proofErr w:type="spellStart"/>
      <w:r>
        <w:rPr>
          <w:rtl/>
        </w:rPr>
        <w:t>בקלם</w:t>
      </w:r>
      <w:proofErr w:type="spellEnd"/>
      <w:r>
        <w:rPr>
          <w:rtl/>
        </w:rPr>
        <w:t xml:space="preserve"> לא הכירו את התואר שכבר כינו אותו בו </w:t>
      </w:r>
      <w:proofErr w:type="spellStart"/>
      <w:r>
        <w:rPr>
          <w:rtl/>
        </w:rPr>
        <w:t>בסלבודקה</w:t>
      </w:r>
      <w:proofErr w:type="spellEnd"/>
      <w:r>
        <w:rPr>
          <w:rtl/>
        </w:rPr>
        <w:t>, ‘הסבא’, או ‘המחזק’ [כינוי ששימש אז למי שמסר את השיחות]</w:t>
      </w:r>
      <w:bookmarkStart w:id="3923" w:name="_fnr2975"/>
      <w:r>
        <w:rPr>
          <w:rStyle w:val="a5"/>
        </w:rPr>
        <w:footnoteReference w:id="2983" w:customMarkFollows="0"/>
      </w:r>
      <w:bookmarkEnd w:id="3923"/>
      <w:r>
        <w:rPr>
          <w:rtl/>
        </w:rPr>
        <w:t xml:space="preserve">. </w:t>
      </w:r>
      <w:proofErr w:type="spellStart"/>
      <w:r>
        <w:rPr>
          <w:rtl/>
        </w:rPr>
        <w:t>בקלם</w:t>
      </w:r>
      <w:proofErr w:type="spellEnd"/>
      <w:r>
        <w:rPr>
          <w:rtl/>
        </w:rPr>
        <w:t xml:space="preserve"> חשבנו שהסבא הוא משולח של איזו ישיבה</w:t>
      </w:r>
      <w:bookmarkStart w:id="3924" w:name="_fnr2976"/>
      <w:r>
        <w:rPr>
          <w:rStyle w:val="a5"/>
        </w:rPr>
        <w:footnoteReference w:id="2984" w:customMarkFollows="0"/>
      </w:r>
      <w:bookmarkEnd w:id="3924"/>
      <w:r>
        <w:rPr>
          <w:rtl/>
        </w:rPr>
        <w:t>. ר׳ משה אחז בדשי בגדי וטלטל אותי, באומרו: ‘אתה יודע כמה גדול אבא שלי?!’ השתחררתי מאחיזתו, אך חששתי שצפויות לי צרות בכנסת ישראל אחרי מעידתי הראשונה.”</w:t>
      </w:r>
    </w:p>
    <w:p w14:paraId="770D37BE" w14:textId="77777777" w:rsidR="00AB3647" w:rsidRDefault="00000000" w:rsidP="007923E9">
      <w:pPr>
        <w:spacing w:after="120" w:line="276" w:lineRule="auto"/>
        <w:ind w:firstLine="283"/>
        <w:jc w:val="both"/>
      </w:pPr>
      <w:r>
        <w:rPr>
          <w:rtl/>
        </w:rPr>
        <w:t xml:space="preserve">ר׳ קופל המשיך: “כשיצאתי לרחוב ראיתי בחור וגמרא תחת זרועו, מתרחק מן הישיבה. כששאלתי לאן הוא הולך והשיב ‘לישיבה’, והקשיתי עליו ‘אבל הישיבה בכיוון הזה’, גיליתי שיש שתי ישיבות </w:t>
      </w:r>
      <w:proofErr w:type="spellStart"/>
      <w:r>
        <w:rPr>
          <w:rtl/>
        </w:rPr>
        <w:t>בסלבודקה</w:t>
      </w:r>
      <w:proofErr w:type="spellEnd"/>
      <w:r>
        <w:rPr>
          <w:rtl/>
        </w:rPr>
        <w:t xml:space="preserve">. הוא אמר לי שכנסת בית יצחק סמוכה לנהר </w:t>
      </w:r>
      <w:proofErr w:type="spellStart"/>
      <w:r>
        <w:rPr>
          <w:rtl/>
        </w:rPr>
        <w:t>וויליה</w:t>
      </w:r>
      <w:proofErr w:type="spellEnd"/>
      <w:r>
        <w:rPr>
          <w:rtl/>
        </w:rPr>
        <w:t xml:space="preserve">, והצטרפתי אליו לשם. אולם לא עבר זמן רב ור׳ משה ביקר אצלי ובפיו הודעה מאביו: ‘בוא לבקר ואל תהיה </w:t>
      </w:r>
      <w:proofErr w:type="spellStart"/>
      <w:r>
        <w:rPr>
          <w:rtl/>
        </w:rPr>
        <w:t>אפגעפרעמדט</w:t>
      </w:r>
      <w:proofErr w:type="spellEnd"/>
      <w:r>
        <w:rPr>
          <w:rtl/>
        </w:rPr>
        <w:t xml:space="preserve"> [מרוחק].’ נעניתי להזמנה והשתתפתי בשיחות הסבא.”</w:t>
      </w:r>
    </w:p>
    <w:p w14:paraId="512075F3" w14:textId="77777777" w:rsidR="00AB3647" w:rsidRDefault="00000000" w:rsidP="007923E9">
      <w:pPr>
        <w:pStyle w:val="4"/>
        <w:spacing w:line="276" w:lineRule="auto"/>
      </w:pPr>
      <w:r>
        <w:lastRenderedPageBreak/>
        <w:t>· הפסקה השנייה ·</w:t>
      </w:r>
    </w:p>
    <w:p w14:paraId="6559C3EA" w14:textId="77777777" w:rsidR="00AB3647" w:rsidRDefault="00000000" w:rsidP="007923E9">
      <w:pPr>
        <w:pStyle w:val="5"/>
        <w:spacing w:line="276" w:lineRule="auto"/>
      </w:pPr>
      <w:proofErr w:type="spellStart"/>
      <w:r>
        <w:t>וולפרט</w:t>
      </w:r>
      <w:proofErr w:type="spellEnd"/>
      <w:r>
        <w:t xml:space="preserve"> מתאר שיחה של הסבא – רבנו מלמד אותו רעיון ממקור אחר</w:t>
      </w:r>
    </w:p>
    <w:p w14:paraId="3FBDE3A4" w14:textId="77777777" w:rsidR="00AB3647" w:rsidRDefault="00000000" w:rsidP="007923E9">
      <w:pPr>
        <w:spacing w:after="120" w:line="276" w:lineRule="auto"/>
        <w:ind w:firstLine="283"/>
        <w:jc w:val="both"/>
      </w:pPr>
      <w:r>
        <w:rPr>
          <w:rtl/>
        </w:rPr>
        <w:t>“הסבא פתח את שיחתו בקול נמוך שכמעט אי אפשר היה לשמוע. הוא היה מאריך לשעתיים סיפור שהיה צריך להימשך חמש דקות – אבל הקהל הצפוף הקשיב לכל מילה שלו. השקט היה מוחלט; אפשר היה לשמוע סיכה נופלת. הקהל היה תלוי בכל מילה שהוציא מפיו, מצפה בדריכות למילה הבאה. איש לא הסיח את דעתו ואיש לא שמט את ראשו בנמנום. כדי שהתלמידים יעמדו על הניגוד, היה הסבא מרומם דמות אחת עד השמים ומשפיל את הדמות שכנגדה עד התהום. שיחה אחת שאני זוכר עסקה בגמרא במסכת שבת</w:t>
      </w:r>
      <w:bookmarkStart w:id="3925" w:name="_fnr2977"/>
      <w:r>
        <w:rPr>
          <w:rStyle w:val="a5"/>
        </w:rPr>
        <w:footnoteReference w:id="2985" w:customMarkFollows="0"/>
      </w:r>
      <w:bookmarkEnd w:id="3925"/>
      <w:r>
        <w:rPr>
          <w:rtl/>
        </w:rPr>
        <w:t>. הוא ציטט את הגמרא באריכות. היא מספרת על שתי שאלות ששאל שלמה המלך בעת ובעונה אחת: כיצד מותר בשבת לטלטל את גופת אביו (מן השמש החמה), וכיצד להאכיל את כלביו הרעבים? והסבא שאל: ‘שלמה המלך, חכם מכל אדם</w:t>
      </w:r>
      <w:bookmarkStart w:id="3926" w:name="_fnr2978"/>
      <w:r>
        <w:rPr>
          <w:rStyle w:val="a5"/>
        </w:rPr>
        <w:footnoteReference w:id="2986" w:customMarkFollows="0"/>
      </w:r>
      <w:bookmarkEnd w:id="3926"/>
      <w:r>
        <w:rPr>
          <w:rtl/>
        </w:rPr>
        <w:t xml:space="preserve">, איך אתה מזכיר את אביך יחד עם הכלבים?’ והשיב: ‘אבל זו החכמה! כשאסון פוקד אנשים, הם מאבדים את השליטה ואינם יודעים מה קורה. הם עלולים אז לעשות דברים נוראים. אבל שלמה המלך חשב </w:t>
      </w:r>
      <w:proofErr w:type="spellStart"/>
      <w:r>
        <w:rPr>
          <w:rtl/>
        </w:rPr>
        <w:t>בלבו</w:t>
      </w:r>
      <w:proofErr w:type="spellEnd"/>
      <w:r>
        <w:rPr>
          <w:rtl/>
        </w:rPr>
        <w:t>: “נכון, אבי מת, והוא דוד המלך, אבל עדיין עליי לחשוב על כלבים רעבים, על צער בעלי חיים.”‘”</w:t>
      </w:r>
    </w:p>
    <w:p w14:paraId="72D2D92D" w14:textId="77777777" w:rsidR="00AB3647" w:rsidRDefault="00000000" w:rsidP="007923E9">
      <w:pPr>
        <w:spacing w:after="120" w:line="276" w:lineRule="auto"/>
        <w:ind w:firstLine="283"/>
        <w:jc w:val="both"/>
      </w:pPr>
      <w:r>
        <w:rPr>
          <w:rtl/>
        </w:rPr>
        <w:t xml:space="preserve">ר׳ שמעון </w:t>
      </w:r>
      <w:proofErr w:type="spellStart"/>
      <w:r>
        <w:rPr>
          <w:rtl/>
        </w:rPr>
        <w:t>קצמן</w:t>
      </w:r>
      <w:bookmarkStart w:id="3927" w:name="_fnr2979"/>
      <w:proofErr w:type="spellEnd"/>
      <w:r>
        <w:rPr>
          <w:rStyle w:val="a5"/>
        </w:rPr>
        <w:footnoteReference w:id="2987" w:customMarkFollows="0"/>
      </w:r>
      <w:bookmarkEnd w:id="3927"/>
      <w:r>
        <w:rPr>
          <w:rtl/>
        </w:rPr>
        <w:t xml:space="preserve"> סיפר שבאחת משיחותיו בתורה ודעת לימד אבי את אותו רעיון, אבל ביסס אותו על מקור אחר. הוא קבע שהתורה מפרטת כל צד של המשא ומתן בין אברהם אבינו לבני חת על קניית מערת המכפלה, כדי ללמדנו: “אף שאברהם היה אונן ופטור מן החיוב לקיים מצוות, היה עליו להישאר אדם הגון – א </w:t>
      </w:r>
      <w:proofErr w:type="spellStart"/>
      <w:r>
        <w:rPr>
          <w:rtl/>
        </w:rPr>
        <w:t>מענש</w:t>
      </w:r>
      <w:proofErr w:type="spellEnd"/>
      <w:r>
        <w:rPr>
          <w:rtl/>
        </w:rPr>
        <w:t xml:space="preserve"> מוז מען זיין [אדם צריך להיות] – ישר ולא מבולבל. התורה רוצה ללמדנו”, אמר, “שבכל מצב שבו יימצא האדם, עליו להיות ‘מענטש’.” ר׳ קופל סיפר גם </w:t>
      </w:r>
      <w:proofErr w:type="spellStart"/>
      <w:r>
        <w:rPr>
          <w:rtl/>
        </w:rPr>
        <w:t>ש“פעמים</w:t>
      </w:r>
      <w:proofErr w:type="spellEnd"/>
      <w:r>
        <w:rPr>
          <w:rtl/>
        </w:rPr>
        <w:t xml:space="preserve"> רבות בחר הסבא כנושא לשיחתו עניין מפרשת השבוע”.</w:t>
      </w:r>
    </w:p>
    <w:p w14:paraId="1DE281F2" w14:textId="77777777" w:rsidR="00AB3647" w:rsidRDefault="00000000" w:rsidP="007923E9">
      <w:pPr>
        <w:pStyle w:val="4"/>
        <w:spacing w:line="276" w:lineRule="auto"/>
      </w:pPr>
      <w:r>
        <w:t>· הפסקה השלישית ·</w:t>
      </w:r>
    </w:p>
    <w:p w14:paraId="159FD84A" w14:textId="77777777" w:rsidR="00AB3647" w:rsidRDefault="00000000" w:rsidP="007923E9">
      <w:pPr>
        <w:pStyle w:val="5"/>
        <w:spacing w:line="276" w:lineRule="auto"/>
      </w:pPr>
      <w:r>
        <w:t xml:space="preserve">תלמיד אחר של כנסת בית יצחק טוען שהיו מריבות בעיר בין תלמידי המוסר למתנגדיו – הוא אינו יודע שתלמידים שבאו עם ר׳ </w:t>
      </w:r>
      <w:proofErr w:type="spellStart"/>
      <w:r>
        <w:t>ברוך־בער</w:t>
      </w:r>
      <w:proofErr w:type="spellEnd"/>
      <w:r>
        <w:t xml:space="preserve"> הקשיבו לשיחות</w:t>
      </w:r>
    </w:p>
    <w:p w14:paraId="30394B47" w14:textId="77777777" w:rsidR="00AB3647" w:rsidRDefault="00000000" w:rsidP="007923E9">
      <w:pPr>
        <w:spacing w:after="120" w:line="276" w:lineRule="auto"/>
        <w:ind w:firstLine="283"/>
        <w:jc w:val="both"/>
      </w:pPr>
      <w:r>
        <w:rPr>
          <w:rtl/>
        </w:rPr>
        <w:t xml:space="preserve">תלמיד אחר בכנסת בית יצחק, מחבר המאמר המתנגד למוסר </w:t>
      </w:r>
      <w:proofErr w:type="spellStart"/>
      <w:r>
        <w:rPr>
          <w:rtl/>
        </w:rPr>
        <w:t>ב“הדואר</w:t>
      </w:r>
      <w:proofErr w:type="spellEnd"/>
      <w:r>
        <w:rPr>
          <w:rtl/>
        </w:rPr>
        <w:t>” (תשכ״ה)</w:t>
      </w:r>
      <w:bookmarkStart w:id="3928" w:name="_fnr2980"/>
      <w:r>
        <w:rPr>
          <w:rStyle w:val="a5"/>
        </w:rPr>
        <w:footnoteReference w:id="2988" w:customMarkFollows="0"/>
      </w:r>
      <w:bookmarkEnd w:id="3928"/>
      <w:r>
        <w:rPr>
          <w:rtl/>
        </w:rPr>
        <w:t>, טועה בזיכרונותיו</w:t>
      </w:r>
      <w:bookmarkStart w:id="3929" w:name="_fnr2981"/>
      <w:r>
        <w:rPr>
          <w:rStyle w:val="a5"/>
        </w:rPr>
        <w:footnoteReference w:id="2989" w:customMarkFollows="0"/>
      </w:r>
      <w:bookmarkEnd w:id="3929"/>
      <w:r>
        <w:rPr>
          <w:rtl/>
        </w:rPr>
        <w:t xml:space="preserve">: “אמנם אחרי שעזבתי את ישיבת ר׳ </w:t>
      </w:r>
      <w:proofErr w:type="spellStart"/>
      <w:r>
        <w:rPr>
          <w:rtl/>
        </w:rPr>
        <w:t>הירשל׳ה</w:t>
      </w:r>
      <w:proofErr w:type="spellEnd"/>
      <w:r>
        <w:rPr>
          <w:rtl/>
        </w:rPr>
        <w:t xml:space="preserve"> ונכנסתי לכנסת בית יצחק, לימוד המוסר כבר לא היה חלק מתוכנית לימודיי</w:t>
      </w:r>
      <w:bookmarkStart w:id="3930" w:name="_fnr2982"/>
      <w:r>
        <w:rPr>
          <w:rStyle w:val="a5"/>
        </w:rPr>
        <w:footnoteReference w:id="2990" w:customMarkFollows="0"/>
      </w:r>
      <w:bookmarkEnd w:id="3930"/>
      <w:r>
        <w:rPr>
          <w:rtl/>
        </w:rPr>
        <w:t xml:space="preserve">, אבל לא ניתקתי את קשריי עם תלמידי ישיבת המוסר שלמדו בכנסת ישראל, מרכז תנועת המוסר בכל ליטא. הייתי בא לעיתים קרובות לישיבה זו בערבים ונפגש עם כמה מן הבחורים </w:t>
      </w:r>
      <w:proofErr w:type="spellStart"/>
      <w:r>
        <w:rPr>
          <w:rtl/>
        </w:rPr>
        <w:t>המוסרניקים</w:t>
      </w:r>
      <w:proofErr w:type="spellEnd"/>
      <w:r>
        <w:rPr>
          <w:rtl/>
        </w:rPr>
        <w:t xml:space="preserve">, ואגב כך, כמשקיף מן החוץ, </w:t>
      </w:r>
      <w:r>
        <w:rPr>
          <w:rtl/>
        </w:rPr>
        <w:lastRenderedPageBreak/>
        <w:t xml:space="preserve">הייתי מתבונן מקרוב במעשיהם ובהתנהגותם. בתקופת כהונתו של ר׳ </w:t>
      </w:r>
      <w:proofErr w:type="spellStart"/>
      <w:r>
        <w:rPr>
          <w:rtl/>
        </w:rPr>
        <w:t>ברוך־בער</w:t>
      </w:r>
      <w:proofErr w:type="spellEnd"/>
      <w:r>
        <w:rPr>
          <w:rtl/>
        </w:rPr>
        <w:t xml:space="preserve"> כראש ישיבת כנסת בית יצחק – שהתנגדה ביסודה לתנועת המוסר וללימוד מוסר בישיבות – היטשטשו במקצת הגבולות החיצוניים בין </w:t>
      </w:r>
      <w:proofErr w:type="spellStart"/>
      <w:r>
        <w:rPr>
          <w:rtl/>
        </w:rPr>
        <w:t>המוסרניקים</w:t>
      </w:r>
      <w:proofErr w:type="spellEnd"/>
      <w:r>
        <w:rPr>
          <w:rtl/>
        </w:rPr>
        <w:t xml:space="preserve"> למתנגדיהם, משום שהיה נוח לבריות והתרחק ממחלוקת. כלפי חוץ נראה כאילו פסקה המריבה ושככו הרוחות, וקנאי תנועת המוסר חדלו מתעמולתם ומהטפותיהם; אבל למעשה נמשך הקרע, והמאבקים והמריבות בין הצדדים לא פסקו.”</w:t>
      </w:r>
    </w:p>
    <w:p w14:paraId="2109A5B5" w14:textId="77777777" w:rsidR="00AB3647" w:rsidRDefault="00000000" w:rsidP="007923E9">
      <w:pPr>
        <w:spacing w:after="120" w:line="276" w:lineRule="auto"/>
        <w:ind w:firstLine="283"/>
        <w:jc w:val="both"/>
      </w:pPr>
      <w:r>
        <w:rPr>
          <w:rtl/>
        </w:rPr>
        <w:t>מאבקו המתמשך של אותו כותב נגד המוסר ניכר בבירור</w:t>
      </w:r>
      <w:bookmarkStart w:id="3931" w:name="_fnr2983"/>
      <w:r>
        <w:rPr>
          <w:rStyle w:val="a5"/>
        </w:rPr>
        <w:footnoteReference w:id="2991" w:customMarkFollows="0"/>
      </w:r>
      <w:bookmarkEnd w:id="3931"/>
      <w:r>
        <w:rPr>
          <w:rtl/>
        </w:rPr>
        <w:t xml:space="preserve"> כשהוא מאשים את ר׳ דב כץ </w:t>
      </w:r>
      <w:proofErr w:type="spellStart"/>
      <w:r>
        <w:rPr>
          <w:rtl/>
        </w:rPr>
        <w:t>ב“סילוף</w:t>
      </w:r>
      <w:proofErr w:type="spellEnd"/>
      <w:r>
        <w:rPr>
          <w:rtl/>
        </w:rPr>
        <w:t xml:space="preserve"> (ההיסטוריה)”, על שקבע </w:t>
      </w:r>
      <w:proofErr w:type="spellStart"/>
      <w:r>
        <w:rPr>
          <w:rtl/>
        </w:rPr>
        <w:t>ב“תנועת</w:t>
      </w:r>
      <w:proofErr w:type="spellEnd"/>
      <w:r>
        <w:rPr>
          <w:rtl/>
        </w:rPr>
        <w:t xml:space="preserve"> המוסר”</w:t>
      </w:r>
      <w:bookmarkStart w:id="3932" w:name="_fnr2984"/>
      <w:r>
        <w:rPr>
          <w:rStyle w:val="a5"/>
        </w:rPr>
        <w:footnoteReference w:id="2992" w:customMarkFollows="0"/>
      </w:r>
      <w:bookmarkEnd w:id="3932"/>
      <w:r>
        <w:rPr>
          <w:rtl/>
        </w:rPr>
        <w:t xml:space="preserve"> </w:t>
      </w:r>
      <w:proofErr w:type="spellStart"/>
      <w:r>
        <w:rPr>
          <w:rtl/>
        </w:rPr>
        <w:t>ש“רבים</w:t>
      </w:r>
      <w:proofErr w:type="spellEnd"/>
      <w:r>
        <w:rPr>
          <w:rtl/>
        </w:rPr>
        <w:t xml:space="preserve"> מתלמידי ר׳ </w:t>
      </w:r>
      <w:proofErr w:type="spellStart"/>
      <w:r>
        <w:rPr>
          <w:rtl/>
        </w:rPr>
        <w:t>ברוך־בער</w:t>
      </w:r>
      <w:proofErr w:type="spellEnd"/>
      <w:r>
        <w:rPr>
          <w:rtl/>
        </w:rPr>
        <w:t xml:space="preserve"> (שבאו עמו </w:t>
      </w:r>
      <w:proofErr w:type="spellStart"/>
      <w:r>
        <w:rPr>
          <w:rtl/>
        </w:rPr>
        <w:t>לסלבודקה</w:t>
      </w:r>
      <w:proofErr w:type="spellEnd"/>
      <w:r>
        <w:rPr>
          <w:rtl/>
        </w:rPr>
        <w:t xml:space="preserve">) מן הישיבה </w:t>
      </w:r>
      <w:proofErr w:type="spellStart"/>
      <w:r>
        <w:rPr>
          <w:rtl/>
        </w:rPr>
        <w:t>בהלוסק</w:t>
      </w:r>
      <w:proofErr w:type="spellEnd"/>
      <w:r>
        <w:rPr>
          <w:rtl/>
        </w:rPr>
        <w:t xml:space="preserve"> – </w:t>
      </w:r>
      <w:r>
        <w:rPr>
          <w:b/>
          <w:bCs/>
          <w:rtl/>
        </w:rPr>
        <w:t>שהתנהלה בהשפעת שיטת המוסר</w:t>
      </w:r>
      <w:r>
        <w:rPr>
          <w:rtl/>
        </w:rPr>
        <w:t xml:space="preserve"> (ההדגשה שלי) – היו באים לבית הסבא לשם השפעה והדרכה”. הכותב קובע נחרצות: “שום תלמידים של ר׳ </w:t>
      </w:r>
      <w:proofErr w:type="spellStart"/>
      <w:r>
        <w:rPr>
          <w:rtl/>
        </w:rPr>
        <w:t>ברוך־בער</w:t>
      </w:r>
      <w:proofErr w:type="spellEnd"/>
      <w:r>
        <w:rPr>
          <w:rtl/>
        </w:rPr>
        <w:t xml:space="preserve"> לא הלכו </w:t>
      </w:r>
      <w:proofErr w:type="spellStart"/>
      <w:r>
        <w:rPr>
          <w:rtl/>
        </w:rPr>
        <w:t>לר</w:t>
      </w:r>
      <w:proofErr w:type="spellEnd"/>
      <w:r>
        <w:rPr>
          <w:rtl/>
        </w:rPr>
        <w:t xml:space="preserve">׳ </w:t>
      </w:r>
      <w:proofErr w:type="spellStart"/>
      <w:r>
        <w:rPr>
          <w:rtl/>
        </w:rPr>
        <w:t>נתן־צבי</w:t>
      </w:r>
      <w:proofErr w:type="spellEnd"/>
      <w:r>
        <w:rPr>
          <w:rtl/>
        </w:rPr>
        <w:t xml:space="preserve"> כדי לקבל השפעה והדרכה. רק תלמידי כנסת בית [כך במקור] ישראל באו אלינו לשמוע עמנו את שיעוריו של ר׳ </w:t>
      </w:r>
      <w:proofErr w:type="spellStart"/>
      <w:r>
        <w:rPr>
          <w:rtl/>
        </w:rPr>
        <w:t>ברוך־בער</w:t>
      </w:r>
      <w:proofErr w:type="spellEnd"/>
      <w:r>
        <w:rPr>
          <w:rtl/>
        </w:rPr>
        <w:t xml:space="preserve"> – שהיה ירא שמים ולא הסכים לבזבז אפילו רגע אחד של לימוד תורה על לימוד מוסר.”</w:t>
      </w:r>
    </w:p>
    <w:p w14:paraId="0A26CC1A" w14:textId="77777777" w:rsidR="00AB3647" w:rsidRDefault="00000000" w:rsidP="007923E9">
      <w:pPr>
        <w:spacing w:after="120" w:line="276" w:lineRule="auto"/>
        <w:ind w:firstLine="283"/>
        <w:jc w:val="both"/>
      </w:pPr>
      <w:r>
        <w:rPr>
          <w:rtl/>
        </w:rPr>
        <w:t xml:space="preserve">ייתכן שיש מקום לדיון בשאלה אם ישיבת </w:t>
      </w:r>
      <w:proofErr w:type="spellStart"/>
      <w:r>
        <w:rPr>
          <w:rtl/>
        </w:rPr>
        <w:t>הלוסק</w:t>
      </w:r>
      <w:proofErr w:type="spellEnd"/>
      <w:r>
        <w:rPr>
          <w:rtl/>
        </w:rPr>
        <w:t xml:space="preserve"> “התנהלה בהשפעת שיטת המוסר” (כמודגש) – קשה באמת להבין כיצד ייתכן הדבר, כשמייסד אותו קיבוץ היה ר׳ </w:t>
      </w:r>
      <w:proofErr w:type="spellStart"/>
      <w:r>
        <w:rPr>
          <w:rtl/>
        </w:rPr>
        <w:t>ברוך־בער</w:t>
      </w:r>
      <w:proofErr w:type="spellEnd"/>
      <w:r>
        <w:rPr>
          <w:rtl/>
        </w:rPr>
        <w:t xml:space="preserve">. אבל אין ספק שתלמידי כנסת בית יצחק באו אל הסבא – קופל </w:t>
      </w:r>
      <w:proofErr w:type="spellStart"/>
      <w:r>
        <w:rPr>
          <w:rtl/>
        </w:rPr>
        <w:t>וולפרט</w:t>
      </w:r>
      <w:proofErr w:type="spellEnd"/>
      <w:r>
        <w:rPr>
          <w:rtl/>
        </w:rPr>
        <w:t xml:space="preserve">, למשל – ובכללם היו כמה תלמידים מצוינים שהביא ר׳ </w:t>
      </w:r>
      <w:proofErr w:type="spellStart"/>
      <w:r>
        <w:rPr>
          <w:rtl/>
        </w:rPr>
        <w:t>ברוך־בער</w:t>
      </w:r>
      <w:proofErr w:type="spellEnd"/>
      <w:r>
        <w:rPr>
          <w:rtl/>
        </w:rPr>
        <w:t xml:space="preserve"> עמו </w:t>
      </w:r>
      <w:proofErr w:type="spellStart"/>
      <w:r>
        <w:rPr>
          <w:rtl/>
        </w:rPr>
        <w:t>מהלוסק</w:t>
      </w:r>
      <w:proofErr w:type="spellEnd"/>
      <w:r>
        <w:rPr>
          <w:rtl/>
        </w:rPr>
        <w:t xml:space="preserve">, כפי שמוכח בנספח הבא. אפשר לסלוח </w:t>
      </w:r>
      <w:proofErr w:type="spellStart"/>
      <w:r>
        <w:rPr>
          <w:rtl/>
        </w:rPr>
        <w:t>להירש־לייב</w:t>
      </w:r>
      <w:proofErr w:type="spellEnd"/>
      <w:r>
        <w:rPr>
          <w:rtl/>
        </w:rPr>
        <w:t xml:space="preserve"> גורדון, מחבר המאמר “על גדות </w:t>
      </w:r>
      <w:proofErr w:type="spellStart"/>
      <w:r>
        <w:rPr>
          <w:rtl/>
        </w:rPr>
        <w:t>הוויליה</w:t>
      </w:r>
      <w:proofErr w:type="spellEnd"/>
      <w:r>
        <w:rPr>
          <w:rtl/>
        </w:rPr>
        <w:t xml:space="preserve"> </w:t>
      </w:r>
      <w:proofErr w:type="spellStart"/>
      <w:r>
        <w:rPr>
          <w:rtl/>
        </w:rPr>
        <w:t>והנימן</w:t>
      </w:r>
      <w:proofErr w:type="spellEnd"/>
      <w:r>
        <w:rPr>
          <w:rtl/>
        </w:rPr>
        <w:t xml:space="preserve">” </w:t>
      </w:r>
      <w:proofErr w:type="spellStart"/>
      <w:r>
        <w:rPr>
          <w:rtl/>
        </w:rPr>
        <w:t>ב“הדואר</w:t>
      </w:r>
      <w:proofErr w:type="spellEnd"/>
      <w:r>
        <w:rPr>
          <w:rtl/>
        </w:rPr>
        <w:t xml:space="preserve">”, על שלא ידע עובדה זו, מפני שהיה צעיר מאוד כשנכנס לכנסת בית יצחק – בן </w:t>
      </w:r>
      <w:proofErr w:type="spellStart"/>
      <w:r>
        <w:rPr>
          <w:rtl/>
        </w:rPr>
        <w:t>שלוש־עשרה</w:t>
      </w:r>
      <w:proofErr w:type="spellEnd"/>
      <w:r>
        <w:rPr>
          <w:rtl/>
        </w:rPr>
        <w:t xml:space="preserve"> בלבד. אבל אילו ניגש לעניין בהגינות, יכול היה למצוא בקלות אישור לטענתו של כץ. השווה גם הנספח הבא.</w:t>
      </w:r>
    </w:p>
    <w:bookmarkStart w:id="3933" w:name="b3_excHH"/>
    <w:p w14:paraId="0D70AF88" w14:textId="77777777" w:rsidR="00AB3647" w:rsidRDefault="00000000" w:rsidP="007923E9">
      <w:pPr>
        <w:pStyle w:val="3"/>
        <w:spacing w:line="276" w:lineRule="auto"/>
      </w:pPr>
      <w:r>
        <w:lastRenderedPageBreak/>
        <w:fldChar w:fldCharType="begin" w:dirty="true"/>
      </w:r>
      <w:r>
        <w:rPr>
          <w:rtl w:val="0"/>
        </w:rPr>
        <w:instrText>HYPERLINK \l "b3_note143</w:instrText>
      </w:r>
      <w:r>
        <w:instrText>"</w:instrText>
      </w:r>
      <w:r>
        <w:fldChar w:fldCharType="separate"/>
      </w:r>
      <w:r>
        <w:t>נספח לד</w:t>
      </w:r>
      <w:r>
        <w:fldChar w:fldCharType="end"/>
      </w:r>
      <w:bookmarkEnd w:id="3933"/>
    </w:p>
    <w:p w14:paraId="370A9CB8" w14:textId="77777777" w:rsidR="00AB3647" w:rsidRDefault="00000000" w:rsidP="007923E9">
      <w:pPr>
        <w:pStyle w:val="af"/>
        <w:spacing w:line="276" w:lineRule="auto"/>
      </w:pPr>
      <w:r>
        <w:t xml:space="preserve">על יחסו של ר׳ </w:t>
      </w:r>
      <w:proofErr w:type="spellStart"/>
      <w:r>
        <w:t>ברוך־בער</w:t>
      </w:r>
      <w:proofErr w:type="spellEnd"/>
      <w:r>
        <w:t xml:space="preserve"> למוסר</w:t>
      </w:r>
    </w:p>
    <w:p w14:paraId="2D2B0E0B" w14:textId="77777777" w:rsidR="00AB3647" w:rsidRDefault="00000000" w:rsidP="007923E9">
      <w:pPr>
        <w:pStyle w:val="5"/>
        <w:spacing w:line="276" w:lineRule="auto"/>
      </w:pPr>
      <w:r>
        <w:t xml:space="preserve">ר׳ קופל </w:t>
      </w:r>
      <w:proofErr w:type="spellStart"/>
      <w:r>
        <w:t>וולפרט</w:t>
      </w:r>
      <w:proofErr w:type="spellEnd"/>
      <w:r>
        <w:t xml:space="preserve"> נשלח לוועד מוסר – בחורים טובים מכנסת בית יצחק משתתפים בשיחות – ר׳ </w:t>
      </w:r>
      <w:proofErr w:type="spellStart"/>
      <w:r>
        <w:t>ברוך־בער</w:t>
      </w:r>
      <w:proofErr w:type="spellEnd"/>
      <w:r>
        <w:t xml:space="preserve"> משבח מאוד את כנסת ישראל – יחסו למוסר משתנה</w:t>
      </w:r>
    </w:p>
    <w:p w14:paraId="67C6959C" w14:textId="77777777" w:rsidR="00AB3647" w:rsidRDefault="00000000" w:rsidP="007923E9">
      <w:pPr>
        <w:spacing w:after="120" w:line="276" w:lineRule="auto"/>
        <w:ind w:firstLine="283"/>
        <w:jc w:val="both"/>
      </w:pPr>
      <w:r>
        <w:rPr>
          <w:rtl/>
        </w:rPr>
        <w:t xml:space="preserve">ר׳ קופל </w:t>
      </w:r>
      <w:proofErr w:type="spellStart"/>
      <w:r>
        <w:rPr>
          <w:rtl/>
        </w:rPr>
        <w:t>וולפרט</w:t>
      </w:r>
      <w:proofErr w:type="spellEnd"/>
      <w:r>
        <w:rPr>
          <w:rtl/>
        </w:rPr>
        <w:t xml:space="preserve"> סיפר: “פעם אמר לי הסבא שעליי להשתתף בכל ליל חמישי בשיחה של ר׳ זלמן </w:t>
      </w:r>
      <w:proofErr w:type="spellStart"/>
      <w:r>
        <w:rPr>
          <w:rtl/>
        </w:rPr>
        <w:t>ראדינער</w:t>
      </w:r>
      <w:bookmarkStart w:id="3934" w:name="_fnr2985"/>
      <w:proofErr w:type="spellEnd"/>
      <w:r>
        <w:rPr>
          <w:rStyle w:val="a5"/>
        </w:rPr>
        <w:footnoteReference w:id="2993" w:customMarkFollows="0"/>
      </w:r>
      <w:bookmarkEnd w:id="3934"/>
      <w:r>
        <w:rPr>
          <w:rtl/>
        </w:rPr>
        <w:t xml:space="preserve"> – היה זה כאילו אמר לי: ‘אתה רוצה לבוא לשיחות שלי? לך לשלו במקום זאת.’ ואף על פי כן הלכתי.”</w:t>
      </w:r>
    </w:p>
    <w:p w14:paraId="486664CD" w14:textId="77777777" w:rsidR="00AB3647" w:rsidRDefault="00000000" w:rsidP="007923E9">
      <w:pPr>
        <w:spacing w:after="120" w:line="276" w:lineRule="auto"/>
        <w:ind w:firstLine="283"/>
        <w:jc w:val="both"/>
      </w:pPr>
      <w:r>
        <w:rPr>
          <w:rtl/>
        </w:rPr>
        <w:t>במעמד “ירום”</w:t>
      </w:r>
      <w:bookmarkStart w:id="3935" w:name="_fnr2986"/>
      <w:r>
        <w:rPr>
          <w:rStyle w:val="a5"/>
        </w:rPr>
        <w:footnoteReference w:id="2994" w:customMarkFollows="0"/>
      </w:r>
      <w:bookmarkEnd w:id="3935"/>
      <w:r>
        <w:rPr>
          <w:rtl/>
        </w:rPr>
        <w:t xml:space="preserve"> אמר אבי: “ר׳ </w:t>
      </w:r>
      <w:proofErr w:type="spellStart"/>
      <w:r>
        <w:rPr>
          <w:rtl/>
        </w:rPr>
        <w:t>ברוך־בער</w:t>
      </w:r>
      <w:proofErr w:type="spellEnd"/>
      <w:r>
        <w:rPr>
          <w:rtl/>
        </w:rPr>
        <w:t xml:space="preserve"> היה מתנגד למוסר, מפני שהרבי [ר׳ חיים </w:t>
      </w:r>
      <w:proofErr w:type="spellStart"/>
      <w:r>
        <w:rPr>
          <w:rtl/>
        </w:rPr>
        <w:t>סולובייצ׳יק</w:t>
      </w:r>
      <w:proofErr w:type="spellEnd"/>
      <w:r>
        <w:rPr>
          <w:rtl/>
        </w:rPr>
        <w:t xml:space="preserve">] האט ניט </w:t>
      </w:r>
      <w:proofErr w:type="spellStart"/>
      <w:r>
        <w:rPr>
          <w:rtl/>
        </w:rPr>
        <w:t>געהייסען</w:t>
      </w:r>
      <w:proofErr w:type="spellEnd"/>
      <w:r>
        <w:rPr>
          <w:rtl/>
        </w:rPr>
        <w:t xml:space="preserve"> [לא הורה ללמוד מוסר]</w:t>
      </w:r>
      <w:bookmarkStart w:id="3936" w:name="_fnr2987"/>
      <w:r>
        <w:rPr>
          <w:rStyle w:val="a5"/>
        </w:rPr>
        <w:footnoteReference w:id="2995" w:customMarkFollows="0"/>
      </w:r>
      <w:bookmarkEnd w:id="3936"/>
      <w:r>
        <w:rPr>
          <w:rtl/>
        </w:rPr>
        <w:t xml:space="preserve">. ר׳ </w:t>
      </w:r>
      <w:proofErr w:type="spellStart"/>
      <w:r>
        <w:rPr>
          <w:rtl/>
        </w:rPr>
        <w:t>ברוך־בער</w:t>
      </w:r>
      <w:proofErr w:type="spellEnd"/>
      <w:r>
        <w:rPr>
          <w:rtl/>
        </w:rPr>
        <w:t xml:space="preserve"> לא הרשה ללמוד מוסר בתוך בית המדרש, אלא בחדר צדדי בלבד. מיטב תלמידיו באו לשיחות של הסבא. לסבא היה ועד עם תלמידיו של ר׳ </w:t>
      </w:r>
      <w:proofErr w:type="spellStart"/>
      <w:r>
        <w:rPr>
          <w:rtl/>
        </w:rPr>
        <w:t>ברוך־בער</w:t>
      </w:r>
      <w:proofErr w:type="spellEnd"/>
      <w:r>
        <w:rPr>
          <w:rtl/>
        </w:rPr>
        <w:t xml:space="preserve">, וכל העולם [של כנסת בית יצחק] היה משתתף בו – כלומר, כל הבחורים הטובים, ובהם ר׳ שלמה </w:t>
      </w:r>
      <w:proofErr w:type="spellStart"/>
      <w:r>
        <w:rPr>
          <w:rtl/>
        </w:rPr>
        <w:t>פאריצ׳ר</w:t>
      </w:r>
      <w:proofErr w:type="spellEnd"/>
      <w:r>
        <w:rPr>
          <w:rtl/>
        </w:rPr>
        <w:t xml:space="preserve"> [היימן]</w:t>
      </w:r>
      <w:bookmarkStart w:id="3937" w:name="_fnr2988"/>
      <w:r>
        <w:rPr>
          <w:rStyle w:val="a5"/>
        </w:rPr>
        <w:footnoteReference w:id="2996" w:customMarkFollows="0"/>
      </w:r>
      <w:bookmarkEnd w:id="3937"/>
      <w:r>
        <w:rPr>
          <w:rtl/>
        </w:rPr>
        <w:t xml:space="preserve">. העובדה שר׳ </w:t>
      </w:r>
      <w:proofErr w:type="spellStart"/>
      <w:r>
        <w:rPr>
          <w:rtl/>
        </w:rPr>
        <w:t>ברוך־בער</w:t>
      </w:r>
      <w:proofErr w:type="spellEnd"/>
      <w:r>
        <w:rPr>
          <w:rtl/>
        </w:rPr>
        <w:t xml:space="preserve"> לקח את ר׳ ראובן </w:t>
      </w:r>
      <w:proofErr w:type="spellStart"/>
      <w:r>
        <w:rPr>
          <w:rtl/>
        </w:rPr>
        <w:t>גרוזובסקי</w:t>
      </w:r>
      <w:proofErr w:type="spellEnd"/>
      <w:r>
        <w:rPr>
          <w:rtl/>
        </w:rPr>
        <w:t xml:space="preserve"> מכנסת ישראל לחתן מעידה שיחסו לישיבת המוסר השתנה.” בריאיון על הסבא</w:t>
      </w:r>
      <w:bookmarkStart w:id="3938" w:name="_fnr2989"/>
      <w:r>
        <w:rPr>
          <w:rStyle w:val="a5"/>
        </w:rPr>
        <w:footnoteReference w:id="2997" w:customMarkFollows="0"/>
      </w:r>
      <w:bookmarkEnd w:id="3938"/>
      <w:r>
        <w:rPr>
          <w:rtl/>
        </w:rPr>
        <w:t xml:space="preserve"> הוסיף אבי: “ר׳ שלמה </w:t>
      </w:r>
      <w:proofErr w:type="spellStart"/>
      <w:r>
        <w:rPr>
          <w:rtl/>
        </w:rPr>
        <w:t>פאריצ׳ר</w:t>
      </w:r>
      <w:proofErr w:type="spellEnd"/>
      <w:r>
        <w:rPr>
          <w:rtl/>
        </w:rPr>
        <w:t xml:space="preserve"> היה מושפע מאוד מן הסבא.” </w:t>
      </w:r>
      <w:proofErr w:type="spellStart"/>
      <w:r>
        <w:rPr>
          <w:rtl/>
        </w:rPr>
        <w:t>דבורץ</w:t>
      </w:r>
      <w:proofErr w:type="spellEnd"/>
      <w:r>
        <w:rPr>
          <w:rtl/>
        </w:rPr>
        <w:t>, “הגאון רבי משה מרדכי אפשטיין”</w:t>
      </w:r>
      <w:bookmarkStart w:id="3939" w:name="_fnr2990"/>
      <w:r>
        <w:rPr>
          <w:rStyle w:val="a5"/>
        </w:rPr>
        <w:footnoteReference w:id="2998" w:customMarkFollows="0"/>
      </w:r>
      <w:bookmarkEnd w:id="3939"/>
      <w:r>
        <w:rPr>
          <w:rtl/>
        </w:rPr>
        <w:t xml:space="preserve">, מצטט מכתב שכתב ר׳ שלמה </w:t>
      </w:r>
      <w:proofErr w:type="spellStart"/>
      <w:r>
        <w:rPr>
          <w:rtl/>
        </w:rPr>
        <w:t>בתרצ״ט</w:t>
      </w:r>
      <w:proofErr w:type="spellEnd"/>
      <w:r>
        <w:rPr>
          <w:rtl/>
        </w:rPr>
        <w:t xml:space="preserve">, שבו הוא מזכיר את שיחותיו של הרב </w:t>
      </w:r>
      <w:proofErr w:type="spellStart"/>
      <w:r>
        <w:rPr>
          <w:rtl/>
        </w:rPr>
        <w:t>דולינסקי</w:t>
      </w:r>
      <w:proofErr w:type="spellEnd"/>
      <w:r>
        <w:rPr>
          <w:rtl/>
        </w:rPr>
        <w:t xml:space="preserve"> ומצהיר שהן הותירו על תלמידי בית יצחק “רושם בל יימחה”.</w:t>
      </w:r>
    </w:p>
    <w:p w14:paraId="1B35F23A" w14:textId="77777777" w:rsidR="00AB3647" w:rsidRDefault="00000000" w:rsidP="007923E9">
      <w:pPr>
        <w:spacing w:after="120" w:line="276" w:lineRule="auto"/>
        <w:ind w:firstLine="283"/>
        <w:jc w:val="both"/>
      </w:pPr>
      <w:r>
        <w:rPr>
          <w:rtl/>
        </w:rPr>
        <w:t xml:space="preserve">על דברי אבי האחרונים </w:t>
      </w:r>
      <w:proofErr w:type="spellStart"/>
      <w:r>
        <w:rPr>
          <w:rtl/>
        </w:rPr>
        <w:t>ב“מעמד</w:t>
      </w:r>
      <w:proofErr w:type="spellEnd"/>
      <w:r>
        <w:rPr>
          <w:rtl/>
        </w:rPr>
        <w:t xml:space="preserve"> ירום” – שלקיחתו של ר׳ ראובן לחתן מעידה על התקרבותו של ר׳ </w:t>
      </w:r>
      <w:proofErr w:type="spellStart"/>
      <w:r>
        <w:rPr>
          <w:rtl/>
        </w:rPr>
        <w:t>ברוך־בער</w:t>
      </w:r>
      <w:proofErr w:type="spellEnd"/>
      <w:r>
        <w:rPr>
          <w:rtl/>
        </w:rPr>
        <w:t xml:space="preserve"> למוסר – שמעתי מפי </w:t>
      </w:r>
      <w:proofErr w:type="spellStart"/>
      <w:r>
        <w:rPr>
          <w:rtl/>
        </w:rPr>
        <w:t>חיה־מרים</w:t>
      </w:r>
      <w:proofErr w:type="spellEnd"/>
      <w:r>
        <w:rPr>
          <w:rtl/>
        </w:rPr>
        <w:t xml:space="preserve"> </w:t>
      </w:r>
      <w:proofErr w:type="spellStart"/>
      <w:r>
        <w:rPr>
          <w:rtl/>
        </w:rPr>
        <w:t>שולמן</w:t>
      </w:r>
      <w:proofErr w:type="spellEnd"/>
      <w:r>
        <w:rPr>
          <w:rtl/>
        </w:rPr>
        <w:t xml:space="preserve"> סיפור מעניין מאוד</w:t>
      </w:r>
      <w:bookmarkStart w:id="3940" w:name="_fnr2991"/>
      <w:r>
        <w:rPr>
          <w:rStyle w:val="a5"/>
        </w:rPr>
        <w:footnoteReference w:id="2999" w:customMarkFollows="0"/>
      </w:r>
      <w:bookmarkEnd w:id="3940"/>
      <w:r>
        <w:rPr>
          <w:rtl/>
        </w:rPr>
        <w:t xml:space="preserve">: “כשהייתי ילדה קטנה </w:t>
      </w:r>
      <w:proofErr w:type="spellStart"/>
      <w:r>
        <w:rPr>
          <w:rtl/>
        </w:rPr>
        <w:t>בקרמנצ׳וג</w:t>
      </w:r>
      <w:proofErr w:type="spellEnd"/>
      <w:r>
        <w:rPr>
          <w:rtl/>
        </w:rPr>
        <w:t xml:space="preserve">, נישאה שרה, בתו של ר׳ </w:t>
      </w:r>
      <w:proofErr w:type="spellStart"/>
      <w:r>
        <w:rPr>
          <w:rtl/>
        </w:rPr>
        <w:t>ברוך־בער</w:t>
      </w:r>
      <w:proofErr w:type="spellEnd"/>
      <w:r>
        <w:rPr>
          <w:rtl/>
        </w:rPr>
        <w:t xml:space="preserve">, </w:t>
      </w:r>
      <w:proofErr w:type="spellStart"/>
      <w:r>
        <w:rPr>
          <w:rtl/>
        </w:rPr>
        <w:t>לר</w:t>
      </w:r>
      <w:proofErr w:type="spellEnd"/>
      <w:r>
        <w:rPr>
          <w:rtl/>
        </w:rPr>
        <w:t xml:space="preserve">׳ ראובן </w:t>
      </w:r>
      <w:proofErr w:type="spellStart"/>
      <w:r>
        <w:rPr>
          <w:rtl/>
        </w:rPr>
        <w:t>גרוזובסקי</w:t>
      </w:r>
      <w:proofErr w:type="spellEnd"/>
      <w:r>
        <w:rPr>
          <w:rtl/>
        </w:rPr>
        <w:t xml:space="preserve">. פעם אחת שלח אותי ר׳ </w:t>
      </w:r>
      <w:proofErr w:type="spellStart"/>
      <w:r>
        <w:rPr>
          <w:rtl/>
        </w:rPr>
        <w:t>ברוך־בער</w:t>
      </w:r>
      <w:proofErr w:type="spellEnd"/>
      <w:r>
        <w:rPr>
          <w:rtl/>
        </w:rPr>
        <w:t xml:space="preserve"> אל אבי ואמר: ‘האם תמסרי הודעה [</w:t>
      </w:r>
      <w:proofErr w:type="spellStart"/>
      <w:r>
        <w:rPr>
          <w:rtl/>
        </w:rPr>
        <w:t>ווילסט</w:t>
      </w:r>
      <w:proofErr w:type="spellEnd"/>
      <w:r>
        <w:rPr>
          <w:rtl/>
        </w:rPr>
        <w:t xml:space="preserve"> </w:t>
      </w:r>
      <w:proofErr w:type="spellStart"/>
      <w:r>
        <w:rPr>
          <w:rtl/>
        </w:rPr>
        <w:t>גיין</w:t>
      </w:r>
      <w:proofErr w:type="spellEnd"/>
      <w:r>
        <w:rPr>
          <w:rtl/>
        </w:rPr>
        <w:t xml:space="preserve"> א </w:t>
      </w:r>
      <w:proofErr w:type="spellStart"/>
      <w:r>
        <w:rPr>
          <w:rtl/>
        </w:rPr>
        <w:t>גאנג</w:t>
      </w:r>
      <w:proofErr w:type="spellEnd"/>
      <w:r>
        <w:rPr>
          <w:rtl/>
        </w:rPr>
        <w:t xml:space="preserve">]? לכי ואמרי לאביך [ר׳ אייזיק שר] את הדברים האלה: אומרים עליי שאני מתנגד למוסר, אבל אני אומר שבחור כר׳ ראובן </w:t>
      </w:r>
      <w:proofErr w:type="spellStart"/>
      <w:r>
        <w:rPr>
          <w:rtl/>
        </w:rPr>
        <w:t>מינסקער</w:t>
      </w:r>
      <w:proofErr w:type="spellEnd"/>
      <w:r>
        <w:rPr>
          <w:rtl/>
        </w:rPr>
        <w:t xml:space="preserve"> [</w:t>
      </w:r>
      <w:proofErr w:type="spellStart"/>
      <w:r>
        <w:rPr>
          <w:rtl/>
        </w:rPr>
        <w:t>גרוזובסקי</w:t>
      </w:r>
      <w:proofErr w:type="spellEnd"/>
      <w:r>
        <w:rPr>
          <w:rtl/>
        </w:rPr>
        <w:t xml:space="preserve">] אי אפשר להצמיח באף ישיבה בעולם מלבד בכנסת ישראל.’ התחלתי לרוץ ברחוב </w:t>
      </w:r>
      <w:proofErr w:type="spellStart"/>
      <w:r>
        <w:rPr>
          <w:rtl/>
        </w:rPr>
        <w:t>דוקטורסקה</w:t>
      </w:r>
      <w:proofErr w:type="spellEnd"/>
      <w:r>
        <w:rPr>
          <w:rtl/>
        </w:rPr>
        <w:t xml:space="preserve">, אך חזרתי לשאול אם אוכל לומר זאת גם לסבי [הסבא], והוא השיב בחיוב. כשהגעתי הביתה למסור את ההודעה, ישבתי תחילה על הרצפה בחדרו של סבי, במקום שממנו יכולתי להבחין בתגובת אבי – היה לו מבט מסוים בעיניים כשהיה מרוצה, שאותו אפשר היה לראות רק מתחת למשקפיו. אבי אכן שאל אותי </w:t>
      </w:r>
      <w:r>
        <w:rPr>
          <w:rtl/>
        </w:rPr>
        <w:lastRenderedPageBreak/>
        <w:t>מדוע אני יושבת על הרצפה, ואמרתי שאספר לו אחר כך. ראיתי שגם אבי וגם סבי שמחו מאוד ושבעו נחת מן המסר. הם קראו: ‘כך הוא אמר?!’”</w:t>
      </w:r>
    </w:p>
    <w:p w14:paraId="7F9A682B" w14:textId="77777777" w:rsidR="00AB3647" w:rsidRDefault="00000000" w:rsidP="007923E9">
      <w:pPr>
        <w:spacing w:after="120" w:line="276" w:lineRule="auto"/>
        <w:ind w:firstLine="283"/>
        <w:jc w:val="both"/>
      </w:pPr>
      <w:proofErr w:type="spellStart"/>
      <w:r>
        <w:rPr>
          <w:rtl/>
        </w:rPr>
        <w:t>ב“ר</w:t>
      </w:r>
      <w:proofErr w:type="spellEnd"/>
      <w:r>
        <w:rPr>
          <w:rtl/>
        </w:rPr>
        <w:t>׳ ברוך בר”</w:t>
      </w:r>
      <w:bookmarkStart w:id="3941" w:name="_fnr2992"/>
      <w:r>
        <w:rPr>
          <w:rStyle w:val="a5"/>
        </w:rPr>
        <w:footnoteReference w:id="3000" w:customMarkFollows="0"/>
      </w:r>
      <w:bookmarkEnd w:id="3941"/>
      <w:r>
        <w:rPr>
          <w:rtl/>
        </w:rPr>
        <w:t xml:space="preserve"> מובאת אמרתו של ר׳ </w:t>
      </w:r>
      <w:proofErr w:type="spellStart"/>
      <w:r>
        <w:rPr>
          <w:rtl/>
        </w:rPr>
        <w:t>ברוך־בער</w:t>
      </w:r>
      <w:proofErr w:type="spellEnd"/>
      <w:r>
        <w:rPr>
          <w:rtl/>
        </w:rPr>
        <w:t xml:space="preserve">: “ספר המוסר הטוב ביותר הוא דף גמרא.” שם מובאות אמרות נוספות שלו ברוח זו, כגון: “לדבר היטב בלימוד – זהו המוסר הטוב ביותר”, “אם מבינים סברה של ר׳ עקיבא איגר, נעשים </w:t>
      </w:r>
      <w:proofErr w:type="spellStart"/>
      <w:r>
        <w:rPr>
          <w:rtl/>
        </w:rPr>
        <w:t>ערליכער</w:t>
      </w:r>
      <w:proofErr w:type="spellEnd"/>
      <w:r>
        <w:rPr>
          <w:rtl/>
        </w:rPr>
        <w:t xml:space="preserve"> איד [יהודי ירא שמים]”, </w:t>
      </w:r>
      <w:proofErr w:type="spellStart"/>
      <w:r>
        <w:rPr>
          <w:rtl/>
        </w:rPr>
        <w:t>ו“אם</w:t>
      </w:r>
      <w:proofErr w:type="spellEnd"/>
      <w:r>
        <w:rPr>
          <w:rtl/>
        </w:rPr>
        <w:t xml:space="preserve"> לומדים שור שנגח את הפרה, רואים את האמת של היהדות מול העיניים”.</w:t>
      </w:r>
    </w:p>
    <w:p w14:paraId="619B364D" w14:textId="77777777" w:rsidR="00AB3647" w:rsidRDefault="00000000" w:rsidP="007923E9">
      <w:pPr>
        <w:spacing w:after="120" w:line="276" w:lineRule="auto"/>
        <w:ind w:firstLine="283"/>
        <w:jc w:val="both"/>
      </w:pPr>
      <w:r>
        <w:rPr>
          <w:rtl/>
        </w:rPr>
        <w:t>“</w:t>
      </w:r>
      <w:proofErr w:type="spellStart"/>
      <w:r>
        <w:rPr>
          <w:rtl/>
        </w:rPr>
        <w:t>שמוש</w:t>
      </w:r>
      <w:proofErr w:type="spellEnd"/>
      <w:r>
        <w:rPr>
          <w:rtl/>
        </w:rPr>
        <w:t xml:space="preserve"> חכמים”</w:t>
      </w:r>
      <w:bookmarkStart w:id="3942" w:name="_fnr2993"/>
      <w:r>
        <w:rPr>
          <w:rStyle w:val="a5"/>
        </w:rPr>
        <w:footnoteReference w:id="3001" w:customMarkFollows="0"/>
      </w:r>
      <w:bookmarkEnd w:id="3942"/>
      <w:r>
        <w:rPr>
          <w:rtl/>
        </w:rPr>
        <w:t xml:space="preserve"> מעיד על שינוי חלקי ביחסו של ר׳ </w:t>
      </w:r>
      <w:proofErr w:type="spellStart"/>
      <w:r>
        <w:rPr>
          <w:rtl/>
        </w:rPr>
        <w:t>ברוך־בער</w:t>
      </w:r>
      <w:proofErr w:type="spellEnd"/>
      <w:r>
        <w:rPr>
          <w:rtl/>
        </w:rPr>
        <w:t xml:space="preserve"> למוסר, ומצטט את ר׳ זאב </w:t>
      </w:r>
      <w:proofErr w:type="spellStart"/>
      <w:r>
        <w:rPr>
          <w:rtl/>
        </w:rPr>
        <w:t>איידלמן</w:t>
      </w:r>
      <w:proofErr w:type="spellEnd"/>
      <w:r>
        <w:rPr>
          <w:rtl/>
        </w:rPr>
        <w:t xml:space="preserve">, “יליד </w:t>
      </w:r>
      <w:proofErr w:type="spellStart"/>
      <w:r>
        <w:rPr>
          <w:rtl/>
        </w:rPr>
        <w:t>בריסק</w:t>
      </w:r>
      <w:proofErr w:type="spellEnd"/>
      <w:r>
        <w:rPr>
          <w:rtl/>
        </w:rPr>
        <w:t xml:space="preserve"> ומן התלמידים הנאמנים של ר׳ </w:t>
      </w:r>
      <w:proofErr w:type="spellStart"/>
      <w:r>
        <w:rPr>
          <w:rtl/>
        </w:rPr>
        <w:t>ברוך־בער</w:t>
      </w:r>
      <w:proofErr w:type="spellEnd"/>
      <w:r>
        <w:rPr>
          <w:rtl/>
        </w:rPr>
        <w:t xml:space="preserve">”, שסיפר כי כמה תלמידים דיברו בלימוד בהפסקה שלפני נעילה, עד שרבם “אמר להם: ‘עכשיו הזמן ללמוד ספרי יראים.’ ואז הוסיף: ‘מאחר </w:t>
      </w:r>
      <w:proofErr w:type="spellStart"/>
      <w:r>
        <w:rPr>
          <w:rtl/>
        </w:rPr>
        <w:t>שהחפץ־חיים</w:t>
      </w:r>
      <w:proofErr w:type="spellEnd"/>
      <w:r>
        <w:rPr>
          <w:rtl/>
        </w:rPr>
        <w:t xml:space="preserve"> אמר שצריך ללמוד מוסר, הרי זו חובה. ואף שאין דבר המשתווה ללימוד גמרא, הקב״ה ישלם לכם פי כמה על הזמן שאתם גורעים מלימוד הגמרא כדי ללמוד מוסר.’” אבל “ר׳ ברוך בר”</w:t>
      </w:r>
      <w:bookmarkStart w:id="3943" w:name="_fnr2994"/>
      <w:r>
        <w:rPr>
          <w:rStyle w:val="a5"/>
        </w:rPr>
        <w:footnoteReference w:id="3002" w:customMarkFollows="0"/>
      </w:r>
      <w:bookmarkEnd w:id="3943"/>
      <w:r>
        <w:rPr>
          <w:rtl/>
        </w:rPr>
        <w:t xml:space="preserve"> אינו מסתפק בכך שהוא מייחס </w:t>
      </w:r>
      <w:proofErr w:type="spellStart"/>
      <w:r>
        <w:rPr>
          <w:rtl/>
        </w:rPr>
        <w:t>לר</w:t>
      </w:r>
      <w:proofErr w:type="spellEnd"/>
      <w:r>
        <w:rPr>
          <w:rtl/>
        </w:rPr>
        <w:t xml:space="preserve">׳ </w:t>
      </w:r>
      <w:proofErr w:type="spellStart"/>
      <w:r>
        <w:rPr>
          <w:rtl/>
        </w:rPr>
        <w:t>ברוך־בער</w:t>
      </w:r>
      <w:proofErr w:type="spellEnd"/>
      <w:r>
        <w:rPr>
          <w:rtl/>
        </w:rPr>
        <w:t xml:space="preserve"> דברי הצטדקות בלבד בעניין לימוד המוסר, אלא מצטט את שיחתו לתלמידיו בליל ראש השנה אחד: “בעצם לא היינו צריכים להפסיק מלימוד תורה אפילו לתפילה, אבל איך [בלעדיה] נשיג יראת ה׳ ואהבת ה׳?!”</w:t>
      </w:r>
    </w:p>
    <w:p w14:paraId="1A7F0B68" w14:textId="77777777" w:rsidR="00AB3647" w:rsidRDefault="00000000" w:rsidP="007923E9">
      <w:pPr>
        <w:spacing w:after="120" w:line="276" w:lineRule="auto"/>
        <w:ind w:firstLine="283"/>
        <w:jc w:val="both"/>
      </w:pPr>
      <w:r>
        <w:rPr>
          <w:rtl/>
        </w:rPr>
        <w:t xml:space="preserve">על התקופה האחרונה בחייו של ר׳ </w:t>
      </w:r>
      <w:proofErr w:type="spellStart"/>
      <w:r>
        <w:rPr>
          <w:rtl/>
        </w:rPr>
        <w:t>ברוך־בער</w:t>
      </w:r>
      <w:proofErr w:type="spellEnd"/>
      <w:r>
        <w:rPr>
          <w:rtl/>
        </w:rPr>
        <w:t xml:space="preserve"> אמר אבי</w:t>
      </w:r>
      <w:bookmarkStart w:id="3944" w:name="_fnr2995"/>
      <w:r>
        <w:rPr>
          <w:rStyle w:val="a5"/>
        </w:rPr>
        <w:footnoteReference w:id="3003" w:customMarkFollows="0"/>
      </w:r>
      <w:bookmarkEnd w:id="3944"/>
      <w:r>
        <w:rPr>
          <w:rtl/>
        </w:rPr>
        <w:t xml:space="preserve">: “בסוף ימיו סבר ר׳ </w:t>
      </w:r>
      <w:proofErr w:type="spellStart"/>
      <w:r>
        <w:rPr>
          <w:rtl/>
        </w:rPr>
        <w:t>ברוך־בער</w:t>
      </w:r>
      <w:proofErr w:type="spellEnd"/>
      <w:r>
        <w:rPr>
          <w:rtl/>
        </w:rPr>
        <w:t xml:space="preserve"> שצריך ללמוד מוסר. עד אז סבר שאפשר ללמוד מוסר מתוך הגמרא עצמה, אבל עם ירידת הדור נעשה המוסר נחוץ כמקצוע בפני עצמו.” נמצא שר׳ </w:t>
      </w:r>
      <w:proofErr w:type="spellStart"/>
      <w:r>
        <w:rPr>
          <w:rtl/>
        </w:rPr>
        <w:t>ברוך־בער</w:t>
      </w:r>
      <w:proofErr w:type="spellEnd"/>
      <w:r>
        <w:rPr>
          <w:rtl/>
        </w:rPr>
        <w:t xml:space="preserve"> עבר שינוי הדרגתי ביחסו למוסר: מהתנגדות לסובלנות, לקבלה, לאהדה ולתמיכה</w:t>
      </w:r>
      <w:bookmarkStart w:id="3945" w:name="_fnr2996"/>
      <w:r>
        <w:rPr>
          <w:rStyle w:val="a5"/>
        </w:rPr>
        <w:footnoteReference w:id="3004" w:customMarkFollows="0"/>
      </w:r>
      <w:bookmarkEnd w:id="3945"/>
      <w:r>
        <w:rPr>
          <w:rtl/>
        </w:rPr>
        <w:t>.</w:t>
      </w:r>
    </w:p>
    <w:p w14:paraId="16E549AF" w14:textId="77777777" w:rsidR="00AB3647" w:rsidRDefault="00000000" w:rsidP="007923E9">
      <w:pPr>
        <w:spacing w:after="120" w:line="276" w:lineRule="auto"/>
        <w:ind w:firstLine="283"/>
        <w:jc w:val="both"/>
      </w:pPr>
      <w:r>
        <w:rPr>
          <w:rtl/>
        </w:rPr>
        <w:t>“תורת חיים”</w:t>
      </w:r>
      <w:bookmarkStart w:id="3946" w:name="_fnr2997"/>
      <w:r>
        <w:rPr>
          <w:rStyle w:val="a5"/>
        </w:rPr>
        <w:footnoteReference w:id="3005" w:customMarkFollows="0"/>
      </w:r>
      <w:bookmarkEnd w:id="3946"/>
      <w:r>
        <w:rPr>
          <w:rtl/>
        </w:rPr>
        <w:t xml:space="preserve"> מספר: “פעם באו כמה בחורים לשכנע את ר׳ </w:t>
      </w:r>
      <w:proofErr w:type="spellStart"/>
      <w:r>
        <w:rPr>
          <w:rtl/>
        </w:rPr>
        <w:t>ברוך־בער</w:t>
      </w:r>
      <w:proofErr w:type="spellEnd"/>
      <w:r>
        <w:rPr>
          <w:rtl/>
        </w:rPr>
        <w:t xml:space="preserve"> בחשיבות לימוד המוסר – עד שהציעו לו שאולי ילמד [מוסר] ויראה את התועלת המופלאה שבו, והוא הסכים. באותו ערב ישב ולמד מוסר בדרכו הנלהבת. בבוקר, כשבאו הבחורים לשאול אותו: ‘נו, מה אומר הרבי עכשיו?’, השיב: ‘רק עכשיו אני רואה באמת כמה חשוב </w:t>
      </w:r>
      <w:r>
        <w:rPr>
          <w:b/>
          <w:bCs/>
          <w:rtl/>
        </w:rPr>
        <w:t>לא</w:t>
      </w:r>
      <w:r>
        <w:rPr>
          <w:rtl/>
        </w:rPr>
        <w:t xml:space="preserve"> ללמוד מוסר. כל הלילה לא יכולתי לישון מרוב הרהורים ודאגות על גן עדן </w:t>
      </w:r>
      <w:proofErr w:type="spellStart"/>
      <w:r>
        <w:rPr>
          <w:rtl/>
        </w:rPr>
        <w:t>וגיהנם</w:t>
      </w:r>
      <w:proofErr w:type="spellEnd"/>
      <w:r>
        <w:rPr>
          <w:rtl/>
        </w:rPr>
        <w:t xml:space="preserve">, ומרוב פחד לא יכולתי ללמוד ולהתפלל כראוי אחר כך. לא כך צריכים בחורים ללמוד תורה...’” אם סיפור זה מוסמך, נראה שהמעשה אירע </w:t>
      </w:r>
      <w:proofErr w:type="spellStart"/>
      <w:r>
        <w:rPr>
          <w:rtl/>
        </w:rPr>
        <w:t>זמן־מה</w:t>
      </w:r>
      <w:proofErr w:type="spellEnd"/>
      <w:r>
        <w:rPr>
          <w:rtl/>
        </w:rPr>
        <w:t xml:space="preserve"> לאחר שהחל השינוי בר׳ </w:t>
      </w:r>
      <w:proofErr w:type="spellStart"/>
      <w:r>
        <w:rPr>
          <w:rtl/>
        </w:rPr>
        <w:t>ברוך־בער</w:t>
      </w:r>
      <w:proofErr w:type="spellEnd"/>
      <w:r>
        <w:rPr>
          <w:rtl/>
        </w:rPr>
        <w:t xml:space="preserve">, </w:t>
      </w:r>
      <w:proofErr w:type="spellStart"/>
      <w:r>
        <w:rPr>
          <w:rtl/>
        </w:rPr>
        <w:t>כשנתעוררו</w:t>
      </w:r>
      <w:proofErr w:type="spellEnd"/>
      <w:r>
        <w:rPr>
          <w:rtl/>
        </w:rPr>
        <w:t xml:space="preserve"> בליבו ספקות אם </w:t>
      </w:r>
      <w:r>
        <w:rPr>
          <w:rtl/>
        </w:rPr>
        <w:lastRenderedPageBreak/>
        <w:t>איסורו של רבו עדיין עומד בתוקפו. מן הסתם ביקש לבחון ולגלות מה היה במוסר שר׳ חיים התנגד לו.</w:t>
      </w:r>
    </w:p>
    <w:p w14:paraId="75487B30" w14:textId="77777777" w:rsidR="00AB3647" w:rsidRDefault="00000000" w:rsidP="007923E9">
      <w:pPr>
        <w:spacing w:after="120" w:line="276" w:lineRule="auto"/>
        <w:ind w:firstLine="283"/>
        <w:jc w:val="both"/>
      </w:pPr>
      <w:r>
        <w:rPr>
          <w:rtl/>
        </w:rPr>
        <w:t>אבל “</w:t>
      </w:r>
      <w:proofErr w:type="spellStart"/>
      <w:r>
        <w:rPr>
          <w:rtl/>
        </w:rPr>
        <w:t>שמוש</w:t>
      </w:r>
      <w:proofErr w:type="spellEnd"/>
      <w:r>
        <w:rPr>
          <w:rtl/>
        </w:rPr>
        <w:t xml:space="preserve"> חכמים”</w:t>
      </w:r>
      <w:bookmarkStart w:id="3947" w:name="_fnr2998"/>
      <w:r>
        <w:rPr>
          <w:rStyle w:val="a5"/>
        </w:rPr>
        <w:footnoteReference w:id="3006" w:customMarkFollows="0"/>
      </w:r>
      <w:bookmarkEnd w:id="3947"/>
      <w:r>
        <w:rPr>
          <w:rtl/>
        </w:rPr>
        <w:t xml:space="preserve"> קובע שמעשה כזה אירע </w:t>
      </w:r>
      <w:proofErr w:type="spellStart"/>
      <w:r>
        <w:rPr>
          <w:rtl/>
        </w:rPr>
        <w:t>בהלוסק</w:t>
      </w:r>
      <w:proofErr w:type="spellEnd"/>
      <w:r>
        <w:rPr>
          <w:rtl/>
        </w:rPr>
        <w:t xml:space="preserve">, לפני שבא ר׳ </w:t>
      </w:r>
      <w:proofErr w:type="spellStart"/>
      <w:r>
        <w:rPr>
          <w:rtl/>
        </w:rPr>
        <w:t>ברוך־בער</w:t>
      </w:r>
      <w:proofErr w:type="spellEnd"/>
      <w:r>
        <w:rPr>
          <w:rtl/>
        </w:rPr>
        <w:t xml:space="preserve"> </w:t>
      </w:r>
      <w:proofErr w:type="spellStart"/>
      <w:r>
        <w:rPr>
          <w:rtl/>
        </w:rPr>
        <w:t>לסלבודקה</w:t>
      </w:r>
      <w:proofErr w:type="spellEnd"/>
      <w:r>
        <w:rPr>
          <w:rtl/>
        </w:rPr>
        <w:t xml:space="preserve">, ושהתלמיד שהציע לו לנסות את המוסר היה ר׳ אייזיק שר, יליד המקום שלמד אצלו שם, “שנטה למוסר עוד לפני שפגש את הסבא </w:t>
      </w:r>
      <w:proofErr w:type="spellStart"/>
      <w:r>
        <w:rPr>
          <w:rtl/>
        </w:rPr>
        <w:t>מסלבודקה</w:t>
      </w:r>
      <w:bookmarkStart w:id="3948" w:name="_fnr2999"/>
      <w:proofErr w:type="spellEnd"/>
      <w:r>
        <w:rPr>
          <w:rStyle w:val="a5"/>
        </w:rPr>
        <w:footnoteReference w:id="3007" w:customMarkFollows="0"/>
      </w:r>
      <w:bookmarkEnd w:id="3948"/>
      <w:r>
        <w:rPr>
          <w:rtl/>
        </w:rPr>
        <w:t xml:space="preserve"> ונעשה חתנו”. הספר שהציע ר׳ אייזיק היה “שערי תשובה” לרבנו יונה, ולאחר שלמד בו חמש דקות בלבד סבל ר׳ ברוך מן ההשפעה הרעה בלילה.</w:t>
      </w:r>
    </w:p>
    <w:p w14:paraId="78AADE9D" w14:textId="77777777" w:rsidR="00AB3647" w:rsidRDefault="00000000" w:rsidP="007923E9">
      <w:pPr>
        <w:spacing w:after="120" w:line="276" w:lineRule="auto"/>
        <w:ind w:firstLine="283"/>
        <w:jc w:val="both"/>
      </w:pPr>
      <w:r>
        <w:rPr>
          <w:rtl/>
        </w:rPr>
        <w:t>“במשך היובל”</w:t>
      </w:r>
      <w:bookmarkStart w:id="3949" w:name="_fnr3000"/>
      <w:r>
        <w:rPr>
          <w:rStyle w:val="a5"/>
        </w:rPr>
        <w:footnoteReference w:id="3008" w:customMarkFollows="0"/>
      </w:r>
      <w:bookmarkEnd w:id="3949"/>
      <w:r>
        <w:rPr>
          <w:rtl/>
        </w:rPr>
        <w:t xml:space="preserve"> מצטט את ר׳ </w:t>
      </w:r>
      <w:proofErr w:type="spellStart"/>
      <w:r>
        <w:rPr>
          <w:rtl/>
        </w:rPr>
        <w:t>חצקל</w:t>
      </w:r>
      <w:proofErr w:type="spellEnd"/>
      <w:r>
        <w:rPr>
          <w:rtl/>
        </w:rPr>
        <w:t xml:space="preserve"> </w:t>
      </w:r>
      <w:proofErr w:type="spellStart"/>
      <w:r>
        <w:rPr>
          <w:rtl/>
        </w:rPr>
        <w:t>סרנא</w:t>
      </w:r>
      <w:proofErr w:type="spellEnd"/>
      <w:r>
        <w:rPr>
          <w:rtl/>
        </w:rPr>
        <w:t xml:space="preserve">, שר׳ </w:t>
      </w:r>
      <w:proofErr w:type="spellStart"/>
      <w:r>
        <w:rPr>
          <w:rtl/>
        </w:rPr>
        <w:t>ברוך־בער</w:t>
      </w:r>
      <w:proofErr w:type="spellEnd"/>
      <w:r>
        <w:rPr>
          <w:rtl/>
        </w:rPr>
        <w:t xml:space="preserve"> אמר: “כשעברתי ליד ישיבת כנסת ישראל [</w:t>
      </w:r>
      <w:proofErr w:type="spellStart"/>
      <w:r>
        <w:rPr>
          <w:rtl/>
        </w:rPr>
        <w:t>בסלבודקה</w:t>
      </w:r>
      <w:proofErr w:type="spellEnd"/>
      <w:r>
        <w:rPr>
          <w:rtl/>
        </w:rPr>
        <w:t xml:space="preserve"> שלפני מלחמת העולם הראשונה], נעצרתי והרמתי את שתי ידיי ואמרתי: ‘</w:t>
      </w:r>
      <w:proofErr w:type="spellStart"/>
      <w:r>
        <w:rPr>
          <w:rtl/>
        </w:rPr>
        <w:t>דאס</w:t>
      </w:r>
      <w:proofErr w:type="spellEnd"/>
      <w:r>
        <w:rPr>
          <w:rtl/>
        </w:rPr>
        <w:t xml:space="preserve"> </w:t>
      </w:r>
      <w:proofErr w:type="spellStart"/>
      <w:r>
        <w:rPr>
          <w:rtl/>
        </w:rPr>
        <w:t>איז</w:t>
      </w:r>
      <w:proofErr w:type="spellEnd"/>
      <w:r>
        <w:rPr>
          <w:rtl/>
        </w:rPr>
        <w:t xml:space="preserve"> דאך א בית המקדש [הרי זה בית מקדש ממש]!’” אבל באותה עת כינה ר׳ </w:t>
      </w:r>
      <w:proofErr w:type="spellStart"/>
      <w:r>
        <w:rPr>
          <w:rtl/>
        </w:rPr>
        <w:t>ברוך־בער</w:t>
      </w:r>
      <w:proofErr w:type="spellEnd"/>
      <w:r>
        <w:rPr>
          <w:rtl/>
        </w:rPr>
        <w:t xml:space="preserve"> ישיבה זו “בית המקדש” רק בשל התורה שנלמדה בה ורמת תלמידיה – שאותם פגש כשבאו לשמוע את שיעוריו ולדבר עמו בלימוד – ולא בשל המוסר שנלמד בה, או נכון יותר: </w:t>
      </w:r>
      <w:r>
        <w:rPr>
          <w:b/>
          <w:bCs/>
          <w:rtl/>
        </w:rPr>
        <w:t>למרות המוסר</w:t>
      </w:r>
      <w:r>
        <w:rPr>
          <w:rtl/>
        </w:rPr>
        <w:t>.</w:t>
      </w:r>
    </w:p>
    <w:bookmarkStart w:id="3950" w:name="b3_excII"/>
    <w:p w14:paraId="4E2B28BE" w14:textId="77777777" w:rsidR="00AB3647" w:rsidRDefault="00000000" w:rsidP="007923E9">
      <w:pPr>
        <w:pStyle w:val="3"/>
        <w:spacing w:line="276" w:lineRule="auto"/>
      </w:pPr>
      <w:r>
        <w:lastRenderedPageBreak/>
        <w:fldChar w:fldCharType="begin" w:dirty="true"/>
      </w:r>
      <w:r>
        <w:rPr>
          <w:rtl w:val="0"/>
        </w:rPr>
        <w:instrText>HYPERLINK \l "b3_note144</w:instrText>
      </w:r>
      <w:r>
        <w:instrText>"</w:instrText>
      </w:r>
      <w:r>
        <w:fldChar w:fldCharType="separate"/>
      </w:r>
      <w:r>
        <w:t>נספח לה</w:t>
      </w:r>
      <w:r>
        <w:fldChar w:fldCharType="end"/>
      </w:r>
      <w:bookmarkEnd w:id="3950"/>
    </w:p>
    <w:p w14:paraId="68C6D6AA" w14:textId="77777777" w:rsidR="00AB3647" w:rsidRDefault="00000000" w:rsidP="007923E9">
      <w:pPr>
        <w:pStyle w:val="af"/>
        <w:spacing w:line="276" w:lineRule="auto"/>
      </w:pPr>
      <w:r>
        <w:t xml:space="preserve">על היחסים בין שתי הישיבות </w:t>
      </w:r>
      <w:proofErr w:type="spellStart"/>
      <w:r>
        <w:t>בסלבודקה</w:t>
      </w:r>
      <w:proofErr w:type="spellEnd"/>
    </w:p>
    <w:p w14:paraId="2F262933" w14:textId="77777777" w:rsidR="00AB3647" w:rsidRDefault="00000000" w:rsidP="007923E9">
      <w:pPr>
        <w:pStyle w:val="4"/>
        <w:spacing w:line="276" w:lineRule="auto"/>
      </w:pPr>
      <w:r>
        <w:t>· הפסקה הראשונה ·</w:t>
      </w:r>
    </w:p>
    <w:p w14:paraId="66076384" w14:textId="77777777" w:rsidR="00AB3647" w:rsidRDefault="00000000" w:rsidP="007923E9">
      <w:pPr>
        <w:pStyle w:val="5"/>
        <w:spacing w:line="276" w:lineRule="auto"/>
      </w:pPr>
      <w:r>
        <w:t>בחורים אינם רשאים לעבור מישיבה אחת לחברתה</w:t>
      </w:r>
    </w:p>
    <w:p w14:paraId="44819E90" w14:textId="77777777" w:rsidR="00AB3647" w:rsidRDefault="00000000" w:rsidP="007923E9">
      <w:pPr>
        <w:spacing w:after="120" w:line="276" w:lineRule="auto"/>
        <w:ind w:firstLine="283"/>
        <w:jc w:val="both"/>
      </w:pPr>
      <w:r>
        <w:rPr>
          <w:rtl/>
        </w:rPr>
        <w:t xml:space="preserve">לפי ר׳ קופל </w:t>
      </w:r>
      <w:proofErr w:type="spellStart"/>
      <w:r>
        <w:rPr>
          <w:rtl/>
        </w:rPr>
        <w:t>וולפרט</w:t>
      </w:r>
      <w:bookmarkStart w:id="3951" w:name="_fnr3001"/>
      <w:proofErr w:type="spellEnd"/>
      <w:r>
        <w:rPr>
          <w:rStyle w:val="a5"/>
        </w:rPr>
        <w:footnoteReference w:id="3009" w:customMarkFollows="0"/>
      </w:r>
      <w:bookmarkEnd w:id="3951"/>
      <w:r>
        <w:rPr>
          <w:rtl/>
        </w:rPr>
        <w:t>, היו אז בכנסת בית יצחק יותר מ־300 תלמידים. אבי סיפר שלא זו בלבד ששום ישיבה לא ניסתה למשוך אליה תלמידים מן האחרת, אלא אף תלמיד שביקש לעבור מרצונו לא התקבל – אלא אם למד בינתיים במקום אחר</w:t>
      </w:r>
      <w:bookmarkStart w:id="3952" w:name="_fnr3002"/>
      <w:bookmarkStart w:id="3953" w:name="pr_f_2896"/>
      <w:r>
        <w:rPr>
          <w:rStyle w:val="a5"/>
        </w:rPr>
        <w:footnoteReference w:id="3010" w:customMarkFollows="0"/>
      </w:r>
      <w:bookmarkEnd w:id="3952"/>
      <w:bookmarkEnd w:id="3953"/>
      <w:r>
        <w:rPr>
          <w:rtl/>
        </w:rPr>
        <w:t>.</w:t>
      </w:r>
    </w:p>
    <w:p w14:paraId="3BACCB76" w14:textId="77777777" w:rsidR="00AB3647" w:rsidRDefault="00000000" w:rsidP="007923E9">
      <w:pPr>
        <w:pStyle w:val="4"/>
        <w:spacing w:line="276" w:lineRule="auto"/>
      </w:pPr>
      <w:r>
        <w:lastRenderedPageBreak/>
        <w:t>· הפסקה השנייה ·</w:t>
      </w:r>
    </w:p>
    <w:p w14:paraId="6F063CD7" w14:textId="77777777" w:rsidR="00AB3647" w:rsidRDefault="00000000" w:rsidP="007923E9">
      <w:pPr>
        <w:pStyle w:val="5"/>
        <w:spacing w:line="276" w:lineRule="auto"/>
      </w:pPr>
      <w:r>
        <w:t xml:space="preserve">הסבא מזמין את </w:t>
      </w:r>
      <w:proofErr w:type="spellStart"/>
      <w:r>
        <w:t>לייבל</w:t>
      </w:r>
      <w:proofErr w:type="spellEnd"/>
      <w:r>
        <w:t xml:space="preserve"> שווי לעבור לישיבתו – ר׳ לייב מניח את חפציו בקומה העליונה בבית ר׳ </w:t>
      </w:r>
      <w:proofErr w:type="spellStart"/>
      <w:r>
        <w:t>ברוך־בער</w:t>
      </w:r>
      <w:proofErr w:type="spellEnd"/>
      <w:r>
        <w:t xml:space="preserve"> – שווי נרשם לכנסת בית יצחק כששני אחיו הגדולים סרים מן הדרך – נעשה ניסיון להשיבו לכנסת ישראל</w:t>
      </w:r>
    </w:p>
    <w:p w14:paraId="5D58EF2D" w14:textId="77777777" w:rsidR="00AB3647" w:rsidRDefault="00000000" w:rsidP="007923E9">
      <w:pPr>
        <w:spacing w:after="120" w:line="276" w:lineRule="auto"/>
        <w:ind w:firstLine="283"/>
        <w:jc w:val="both"/>
      </w:pPr>
      <w:r>
        <w:rPr>
          <w:rtl/>
        </w:rPr>
        <w:t>מקרה שנראה כיוצא מן הכלל, הן מן העיקרון הן מן הנוהל, נודע לי מפי ר׳ אלי׳ שווי</w:t>
      </w:r>
      <w:bookmarkStart w:id="3954" w:name="_fnr3003"/>
      <w:r>
        <w:rPr>
          <w:rStyle w:val="a5"/>
        </w:rPr>
        <w:footnoteReference w:id="3011" w:customMarkFollows="0"/>
      </w:r>
      <w:bookmarkEnd w:id="3954"/>
      <w:r>
        <w:rPr>
          <w:rtl/>
        </w:rPr>
        <w:t xml:space="preserve">, בנו של התלמיד הנידון. בסביבות תר״ע, בליל חורף אחד, ניגש ר׳ משה </w:t>
      </w:r>
      <w:proofErr w:type="spellStart"/>
      <w:r>
        <w:rPr>
          <w:rtl/>
        </w:rPr>
        <w:t>פינקל</w:t>
      </w:r>
      <w:proofErr w:type="spellEnd"/>
      <w:r>
        <w:rPr>
          <w:rtl/>
        </w:rPr>
        <w:t xml:space="preserve"> אל ר׳ </w:t>
      </w:r>
      <w:proofErr w:type="spellStart"/>
      <w:r>
        <w:rPr>
          <w:rtl/>
        </w:rPr>
        <w:t>שמואל־לייב</w:t>
      </w:r>
      <w:proofErr w:type="spellEnd"/>
      <w:r>
        <w:rPr>
          <w:rtl/>
        </w:rPr>
        <w:t xml:space="preserve"> שווי, שנודע אז </w:t>
      </w:r>
      <w:proofErr w:type="spellStart"/>
      <w:r>
        <w:rPr>
          <w:rtl/>
        </w:rPr>
        <w:t>כלייבל</w:t>
      </w:r>
      <w:proofErr w:type="spellEnd"/>
      <w:r>
        <w:rPr>
          <w:rtl/>
        </w:rPr>
        <w:t xml:space="preserve"> </w:t>
      </w:r>
      <w:proofErr w:type="spellStart"/>
      <w:r>
        <w:rPr>
          <w:rtl/>
        </w:rPr>
        <w:t>דווינסקער</w:t>
      </w:r>
      <w:proofErr w:type="spellEnd"/>
      <w:r>
        <w:rPr>
          <w:rtl/>
        </w:rPr>
        <w:t xml:space="preserve"> המבריק</w:t>
      </w:r>
      <w:bookmarkStart w:id="3955" w:name="_fnr3004"/>
      <w:r>
        <w:rPr>
          <w:rStyle w:val="a5"/>
        </w:rPr>
        <w:footnoteReference w:id="3012" w:customMarkFollows="0"/>
      </w:r>
      <w:bookmarkEnd w:id="3955"/>
      <w:r>
        <w:rPr>
          <w:rtl/>
        </w:rPr>
        <w:t xml:space="preserve">, בישיבתו, כנסת בית יצחק, ואמר לו שאביו, הסבא, מבקש לראותו. “הסבא, שהכיר את אבי מביקוריו החוזרים, אמר לו אז שעליו לעבור לכנסת ישראל בזמן הבא, ולכן עליו לסיים את זמן החורף </w:t>
      </w:r>
      <w:proofErr w:type="spellStart"/>
      <w:r>
        <w:rPr>
          <w:rtl/>
        </w:rPr>
        <w:t>בראדין</w:t>
      </w:r>
      <w:proofErr w:type="spellEnd"/>
      <w:r>
        <w:rPr>
          <w:rtl/>
        </w:rPr>
        <w:t xml:space="preserve">”, סיפר ר׳ אליהו. “כשאבי הסביר בכנות שאינו מעלה על דעתו לנסוע </w:t>
      </w:r>
      <w:proofErr w:type="spellStart"/>
      <w:r>
        <w:rPr>
          <w:rtl/>
        </w:rPr>
        <w:t>לראדין</w:t>
      </w:r>
      <w:proofErr w:type="spellEnd"/>
      <w:r>
        <w:rPr>
          <w:rtl/>
        </w:rPr>
        <w:t xml:space="preserve"> הרחוקה, ויתר ר׳ </w:t>
      </w:r>
      <w:proofErr w:type="spellStart"/>
      <w:r>
        <w:rPr>
          <w:rtl/>
        </w:rPr>
        <w:t>נתן־צבי</w:t>
      </w:r>
      <w:proofErr w:type="spellEnd"/>
      <w:r>
        <w:rPr>
          <w:rtl/>
        </w:rPr>
        <w:t xml:space="preserve"> </w:t>
      </w:r>
      <w:proofErr w:type="spellStart"/>
      <w:r>
        <w:rPr>
          <w:rtl/>
        </w:rPr>
        <w:t>פינקל</w:t>
      </w:r>
      <w:proofErr w:type="spellEnd"/>
      <w:r>
        <w:rPr>
          <w:rtl/>
        </w:rPr>
        <w:t xml:space="preserve"> ואמר לו לעבור לכנסת ישראל אחרי פסח בכל זאת.”</w:t>
      </w:r>
    </w:p>
    <w:p w14:paraId="37DC80EB" w14:textId="77777777" w:rsidR="00AB3647" w:rsidRDefault="00000000" w:rsidP="007923E9">
      <w:pPr>
        <w:spacing w:after="120" w:line="276" w:lineRule="auto"/>
        <w:ind w:firstLine="283"/>
        <w:jc w:val="both"/>
      </w:pPr>
      <w:r>
        <w:rPr>
          <w:rtl/>
        </w:rPr>
        <w:t>מעניין שהמעבר מעולם לא יצא לפועל, מפני שכשבא ר׳ לייב אל הסבא לאחר פסח ונשאל היכן הניח את חפציו, השיב: “</w:t>
      </w:r>
      <w:proofErr w:type="spellStart"/>
      <w:r>
        <w:rPr>
          <w:rtl/>
        </w:rPr>
        <w:t>באכסניה</w:t>
      </w:r>
      <w:proofErr w:type="spellEnd"/>
      <w:r>
        <w:rPr>
          <w:rtl/>
        </w:rPr>
        <w:t xml:space="preserve"> שבה התגוררתי עד עכשיו, בקומה העליונה בביתו של ר׳ </w:t>
      </w:r>
      <w:proofErr w:type="spellStart"/>
      <w:r>
        <w:rPr>
          <w:rtl/>
        </w:rPr>
        <w:t>ברוך־בער</w:t>
      </w:r>
      <w:proofErr w:type="spellEnd"/>
      <w:r>
        <w:rPr>
          <w:rtl/>
        </w:rPr>
        <w:t xml:space="preserve">.” אז קרא הסבא: “עברת לביתו של ר׳ </w:t>
      </w:r>
      <w:proofErr w:type="spellStart"/>
      <w:r>
        <w:rPr>
          <w:rtl/>
        </w:rPr>
        <w:t>ברוך־בער</w:t>
      </w:r>
      <w:proofErr w:type="spellEnd"/>
      <w:r>
        <w:rPr>
          <w:rtl/>
        </w:rPr>
        <w:t>? אם כן, עליך להישאר בישיבתו!</w:t>
      </w:r>
      <w:bookmarkStart w:id="3956" w:name="_fnr3005"/>
      <w:r>
        <w:rPr>
          <w:rStyle w:val="a5"/>
        </w:rPr>
        <w:footnoteReference w:id="3013" w:customMarkFollows="0"/>
      </w:r>
      <w:bookmarkEnd w:id="3956"/>
      <w:r>
        <w:rPr>
          <w:rtl/>
        </w:rPr>
        <w:t>”</w:t>
      </w:r>
    </w:p>
    <w:p w14:paraId="214A7C9B" w14:textId="77777777" w:rsidR="00AB3647" w:rsidRDefault="00000000" w:rsidP="007923E9">
      <w:pPr>
        <w:spacing w:after="120" w:line="276" w:lineRule="auto"/>
        <w:ind w:firstLine="283"/>
        <w:jc w:val="both"/>
      </w:pPr>
      <w:r>
        <w:rPr>
          <w:rtl/>
        </w:rPr>
        <w:t xml:space="preserve">כשסופר מעשה זה </w:t>
      </w:r>
      <w:proofErr w:type="spellStart"/>
      <w:r>
        <w:rPr>
          <w:rtl/>
        </w:rPr>
        <w:t>לר</w:t>
      </w:r>
      <w:proofErr w:type="spellEnd"/>
      <w:r>
        <w:rPr>
          <w:rtl/>
        </w:rPr>
        <w:t xml:space="preserve">׳ קופל </w:t>
      </w:r>
      <w:proofErr w:type="spellStart"/>
      <w:r>
        <w:rPr>
          <w:rtl/>
        </w:rPr>
        <w:t>וולפרט</w:t>
      </w:r>
      <w:bookmarkStart w:id="3957" w:name="_fnr3006"/>
      <w:proofErr w:type="spellEnd"/>
      <w:r>
        <w:rPr>
          <w:rStyle w:val="a5"/>
        </w:rPr>
        <w:footnoteReference w:id="3014" w:customMarkFollows="0"/>
      </w:r>
      <w:bookmarkEnd w:id="3957"/>
      <w:r>
        <w:rPr>
          <w:rtl/>
        </w:rPr>
        <w:t xml:space="preserve">, הוא נדהם ומחה: “זו לא הייתה הדרך שבה נהגו – אפילו מלמד בחדר לא ניסה לקחת תלמיד ממתחרהו – ולסבא היו דברים אחרים לחשוב עליהם! ובכל זאת, עליי לומר שמאחר שר׳ לייב שווי סיפר זאת לבנו, ודאי הדבר אמת. ר׳ </w:t>
      </w:r>
      <w:proofErr w:type="spellStart"/>
      <w:r>
        <w:rPr>
          <w:rtl/>
        </w:rPr>
        <w:t>שמואל־לייב</w:t>
      </w:r>
      <w:proofErr w:type="spellEnd"/>
      <w:r>
        <w:rPr>
          <w:rtl/>
        </w:rPr>
        <w:t xml:space="preserve"> היה מן הסתם יוצא מן הכלל.”</w:t>
      </w:r>
    </w:p>
    <w:p w14:paraId="419B19DB" w14:textId="77777777" w:rsidR="00AB3647" w:rsidRDefault="00000000" w:rsidP="007923E9">
      <w:pPr>
        <w:spacing w:after="120" w:line="276" w:lineRule="auto"/>
        <w:ind w:firstLine="283"/>
        <w:jc w:val="both"/>
      </w:pPr>
      <w:r>
        <w:rPr>
          <w:rtl/>
        </w:rPr>
        <w:t xml:space="preserve">השווה גם זיכרונותיו של </w:t>
      </w:r>
      <w:proofErr w:type="spellStart"/>
      <w:r>
        <w:rPr>
          <w:rtl/>
        </w:rPr>
        <w:t>יהושע־לייב</w:t>
      </w:r>
      <w:proofErr w:type="spellEnd"/>
      <w:r>
        <w:rPr>
          <w:rtl/>
        </w:rPr>
        <w:t xml:space="preserve"> </w:t>
      </w:r>
      <w:proofErr w:type="spellStart"/>
      <w:r>
        <w:rPr>
          <w:rtl/>
        </w:rPr>
        <w:t>ראדוס</w:t>
      </w:r>
      <w:bookmarkStart w:id="3958" w:name="_fnr3007"/>
      <w:proofErr w:type="spellEnd"/>
      <w:r>
        <w:rPr>
          <w:rStyle w:val="a5"/>
        </w:rPr>
        <w:footnoteReference w:id="3015" w:customMarkFollows="0"/>
      </w:r>
      <w:bookmarkEnd w:id="3958"/>
      <w:r>
        <w:rPr>
          <w:rtl/>
        </w:rPr>
        <w:t xml:space="preserve">. מחברם טוען – אומנם על תקופה מוקדמת בהרבה בחיי הסבא, זמן קצר לאחר שייסד את הישיבה </w:t>
      </w:r>
      <w:proofErr w:type="spellStart"/>
      <w:r>
        <w:rPr>
          <w:rtl/>
        </w:rPr>
        <w:t>בסלבודקה</w:t>
      </w:r>
      <w:proofErr w:type="spellEnd"/>
      <w:r>
        <w:rPr>
          <w:rtl/>
        </w:rPr>
        <w:t xml:space="preserve"> – שלמחרת בואו לקובנה שלח ר׳ </w:t>
      </w:r>
      <w:proofErr w:type="spellStart"/>
      <w:r>
        <w:rPr>
          <w:rtl/>
        </w:rPr>
        <w:t>נתן־צבי</w:t>
      </w:r>
      <w:proofErr w:type="spellEnd"/>
      <w:r>
        <w:rPr>
          <w:rtl/>
        </w:rPr>
        <w:t xml:space="preserve"> שני נערים </w:t>
      </w:r>
      <w:proofErr w:type="spellStart"/>
      <w:r>
        <w:rPr>
          <w:rtl/>
        </w:rPr>
        <w:t>מדווינסק</w:t>
      </w:r>
      <w:proofErr w:type="spellEnd"/>
      <w:r>
        <w:rPr>
          <w:rtl/>
        </w:rPr>
        <w:t>, עיר הולדתו של המחבר, לשכנעו לעבור מן הישיבה בקובנה, שבראשה עמד ר׳ שלמה מסוים</w:t>
      </w:r>
      <w:bookmarkStart w:id="3959" w:name="_fnr3008"/>
      <w:r>
        <w:rPr>
          <w:rStyle w:val="a5"/>
        </w:rPr>
        <w:footnoteReference w:id="3016" w:customMarkFollows="0"/>
      </w:r>
      <w:bookmarkEnd w:id="3959"/>
      <w:r>
        <w:rPr>
          <w:rtl/>
        </w:rPr>
        <w:t xml:space="preserve">, לישיבת הסבא </w:t>
      </w:r>
      <w:proofErr w:type="spellStart"/>
      <w:r>
        <w:rPr>
          <w:rtl/>
        </w:rPr>
        <w:t>בסלבודקה</w:t>
      </w:r>
      <w:proofErr w:type="spellEnd"/>
      <w:r>
        <w:rPr>
          <w:rtl/>
        </w:rPr>
        <w:t xml:space="preserve">. את זה עשו הנערים במרמה: אמרו לו שהם פועלים בשליחות אביו. אך אין </w:t>
      </w:r>
      <w:proofErr w:type="spellStart"/>
      <w:r>
        <w:rPr>
          <w:rtl/>
        </w:rPr>
        <w:t>לראדוס</w:t>
      </w:r>
      <w:proofErr w:type="spellEnd"/>
      <w:r>
        <w:rPr>
          <w:rtl/>
        </w:rPr>
        <w:t xml:space="preserve"> ראיה מוחלטת שהסבא עמד מאחורי פעולת הנערים, מלבד </w:t>
      </w:r>
      <w:proofErr w:type="spellStart"/>
      <w:r>
        <w:rPr>
          <w:rtl/>
        </w:rPr>
        <w:t>ש“נודע</w:t>
      </w:r>
      <w:proofErr w:type="spellEnd"/>
      <w:r>
        <w:rPr>
          <w:rtl/>
        </w:rPr>
        <w:t xml:space="preserve"> [למחבר] הדבר ממקור מהימן”</w:t>
      </w:r>
      <w:bookmarkStart w:id="3960" w:name="_fnr3009"/>
      <w:r>
        <w:rPr>
          <w:rStyle w:val="a5"/>
        </w:rPr>
        <w:footnoteReference w:id="3017" w:customMarkFollows="0"/>
      </w:r>
      <w:bookmarkEnd w:id="3960"/>
      <w:r>
        <w:rPr>
          <w:rtl/>
        </w:rPr>
        <w:t>.</w:t>
      </w:r>
    </w:p>
    <w:p w14:paraId="763BAE56" w14:textId="77777777" w:rsidR="00AB3647" w:rsidRDefault="00000000" w:rsidP="007923E9">
      <w:pPr>
        <w:spacing w:after="120" w:line="276" w:lineRule="auto"/>
        <w:ind w:firstLine="283"/>
        <w:jc w:val="both"/>
      </w:pPr>
      <w:r>
        <w:rPr>
          <w:rtl/>
        </w:rPr>
        <w:t xml:space="preserve">ר׳ אליהו הסביר שהיה לסבא עניין מיוחד להביא את התלמיד </w:t>
      </w:r>
      <w:proofErr w:type="spellStart"/>
      <w:r>
        <w:rPr>
          <w:rtl/>
        </w:rPr>
        <w:t>מדווינסק</w:t>
      </w:r>
      <w:proofErr w:type="spellEnd"/>
      <w:r>
        <w:rPr>
          <w:rtl/>
        </w:rPr>
        <w:t xml:space="preserve"> לכנסת ישראל: </w:t>
      </w:r>
      <w:proofErr w:type="spellStart"/>
      <w:r>
        <w:rPr>
          <w:rtl/>
        </w:rPr>
        <w:t>לר</w:t>
      </w:r>
      <w:proofErr w:type="spellEnd"/>
      <w:r>
        <w:rPr>
          <w:rtl/>
        </w:rPr>
        <w:t xml:space="preserve">׳ </w:t>
      </w:r>
      <w:proofErr w:type="spellStart"/>
      <w:r>
        <w:rPr>
          <w:rtl/>
        </w:rPr>
        <w:t>שמואל־לייב</w:t>
      </w:r>
      <w:proofErr w:type="spellEnd"/>
      <w:r>
        <w:rPr>
          <w:rtl/>
        </w:rPr>
        <w:t xml:space="preserve"> היו שני אחים גדולים שלמדו בכנסת ישראל וסרו מן הדרך בשנות המהפכה הכושלת</w:t>
      </w:r>
      <w:bookmarkStart w:id="3961" w:name="_fnr3010"/>
      <w:r>
        <w:rPr>
          <w:rStyle w:val="a5"/>
        </w:rPr>
        <w:footnoteReference w:id="3018" w:customMarkFollows="0"/>
      </w:r>
      <w:bookmarkEnd w:id="3961"/>
      <w:r>
        <w:rPr>
          <w:rtl/>
        </w:rPr>
        <w:t xml:space="preserve">, ומשום כך שלחו אותו הוריו </w:t>
      </w:r>
      <w:proofErr w:type="spellStart"/>
      <w:r>
        <w:rPr>
          <w:rtl/>
        </w:rPr>
        <w:t>ל“ישיבה</w:t>
      </w:r>
      <w:proofErr w:type="spellEnd"/>
      <w:r>
        <w:rPr>
          <w:rtl/>
        </w:rPr>
        <w:t xml:space="preserve"> האחרת, החרדית” </w:t>
      </w:r>
      <w:proofErr w:type="spellStart"/>
      <w:r>
        <w:rPr>
          <w:rtl/>
        </w:rPr>
        <w:t>בסלבודקה</w:t>
      </w:r>
      <w:proofErr w:type="spellEnd"/>
      <w:r>
        <w:rPr>
          <w:rtl/>
        </w:rPr>
        <w:t xml:space="preserve">. בהבאת </w:t>
      </w:r>
      <w:r>
        <w:rPr>
          <w:rtl/>
        </w:rPr>
        <w:lastRenderedPageBreak/>
        <w:t xml:space="preserve">תלמיד זה לכנסת ישראל היה הסבא מוכיח שאין עוד חשש שתלמידים יסורו מן הדרך בישיבתו. קשה לקבל שטעם זה הספיק כדי שהסבא יחרוג הן מן הכלל הן מן “הדרך”, וירשה </w:t>
      </w:r>
      <w:proofErr w:type="spellStart"/>
      <w:r>
        <w:rPr>
          <w:rtl/>
        </w:rPr>
        <w:t>לר</w:t>
      </w:r>
      <w:proofErr w:type="spellEnd"/>
      <w:r>
        <w:rPr>
          <w:rtl/>
        </w:rPr>
        <w:t xml:space="preserve">׳ </w:t>
      </w:r>
      <w:proofErr w:type="spellStart"/>
      <w:r>
        <w:rPr>
          <w:rtl/>
        </w:rPr>
        <w:t>שמואל־לייב</w:t>
      </w:r>
      <w:proofErr w:type="spellEnd"/>
      <w:r>
        <w:rPr>
          <w:rtl/>
        </w:rPr>
        <w:t xml:space="preserve"> לעבור במישרין.</w:t>
      </w:r>
    </w:p>
    <w:p w14:paraId="6A9C19E4" w14:textId="0B8D429B" w:rsidR="00AB3647" w:rsidRDefault="00000000" w:rsidP="007923E9">
      <w:pPr>
        <w:spacing w:after="120" w:line="276" w:lineRule="auto"/>
        <w:ind w:firstLine="283"/>
        <w:jc w:val="both"/>
      </w:pPr>
      <w:r>
        <w:rPr>
          <w:rtl/>
        </w:rPr>
        <w:t xml:space="preserve">אבל ייתכן שנכונה ההשערה שבהערה </w:t>
      </w:r>
      <w:r>
        <w:rPr>
          <w:rtl/>
        </w:rPr>
        <w:fldChar w:fldCharType="begin" w:dirty="true"/>
      </w:r>
      <w:r>
        <w:rPr>
          <w:rtl/>
        </w:rPr>
        <w:instrText xml:space="preserve"> REF b3_note50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50</w:t>
      </w:r>
      <w:r>
        <w:rPr>
          <w:rtl/>
        </w:rPr>
        <w:fldChar w:fldCharType="end"/>
      </w:r>
      <w:r>
        <w:rPr>
          <w:rtl/>
        </w:rPr>
        <w:t xml:space="preserve"> לעיל: שר׳ </w:t>
      </w:r>
      <w:proofErr w:type="spellStart"/>
      <w:r>
        <w:rPr>
          <w:rtl/>
        </w:rPr>
        <w:t>שמואל־לייב</w:t>
      </w:r>
      <w:proofErr w:type="spellEnd"/>
      <w:r>
        <w:rPr>
          <w:rtl/>
        </w:rPr>
        <w:t xml:space="preserve"> בא </w:t>
      </w:r>
      <w:proofErr w:type="spellStart"/>
      <w:r>
        <w:rPr>
          <w:rtl/>
        </w:rPr>
        <w:t>מדווינסק</w:t>
      </w:r>
      <w:proofErr w:type="spellEnd"/>
      <w:r>
        <w:rPr>
          <w:rtl/>
        </w:rPr>
        <w:t xml:space="preserve"> היישר לכנסת ישראל </w:t>
      </w:r>
      <w:r>
        <w:rPr>
          <w:b/>
          <w:bCs/>
          <w:rtl/>
        </w:rPr>
        <w:t>כשמונה שנים קודם לכן</w:t>
      </w:r>
      <w:r>
        <w:rPr>
          <w:rtl/>
        </w:rPr>
        <w:t xml:space="preserve">, בעוד אחיו הגדולים שם, והוריו העבירוהו לכנסת בית יצחק כשבא ר׳ </w:t>
      </w:r>
      <w:proofErr w:type="spellStart"/>
      <w:r>
        <w:rPr>
          <w:rtl/>
        </w:rPr>
        <w:t>ברוך־בער</w:t>
      </w:r>
      <w:proofErr w:type="spellEnd"/>
      <w:r>
        <w:rPr>
          <w:rtl/>
        </w:rPr>
        <w:t xml:space="preserve"> לעיר ואחיו סרו מן הדרך. אם כך, הסבא רק השיב לעצמו אחד מתלמידיו שלו. לפיכך לא חל כאן כלל המעבר, ואף לא היה הדבר מנוגד כלל </w:t>
      </w:r>
      <w:proofErr w:type="spellStart"/>
      <w:r>
        <w:rPr>
          <w:rtl/>
        </w:rPr>
        <w:t>ל“דרך</w:t>
      </w:r>
      <w:proofErr w:type="spellEnd"/>
      <w:r>
        <w:rPr>
          <w:rtl/>
        </w:rPr>
        <w:t>”</w:t>
      </w:r>
      <w:bookmarkStart w:id="3962" w:name="_fnr3011"/>
      <w:r>
        <w:rPr>
          <w:rStyle w:val="a5"/>
        </w:rPr>
        <w:footnoteReference w:id="3019" w:customMarkFollows="0"/>
      </w:r>
      <w:bookmarkEnd w:id="3962"/>
      <w:r>
        <w:rPr>
          <w:rtl/>
        </w:rPr>
        <w:t>.</w:t>
      </w:r>
    </w:p>
    <w:p w14:paraId="019A3B64" w14:textId="77777777" w:rsidR="00AB3647" w:rsidRDefault="00000000" w:rsidP="007923E9">
      <w:pPr>
        <w:spacing w:after="120" w:line="276" w:lineRule="auto"/>
        <w:ind w:firstLine="283"/>
        <w:jc w:val="both"/>
      </w:pPr>
      <w:r>
        <w:rPr>
          <w:rtl/>
        </w:rPr>
        <w:t xml:space="preserve">לפי זה היה על ר׳ אלי׳ שווי להוסיף כמה מילים כשאמר: “הסבא... הכיר את אבי מביקוריו החוזרים...”. היה עליו לומר: “הסבא... ידע מביקוריו החוזרים </w:t>
      </w:r>
      <w:r>
        <w:rPr>
          <w:b/>
          <w:bCs/>
          <w:rtl/>
        </w:rPr>
        <w:t>כיצד התפתח אבי</w:t>
      </w:r>
      <w:r>
        <w:rPr>
          <w:rtl/>
        </w:rPr>
        <w:t xml:space="preserve"> [שאותו הכיר שנים רבות קודם לכן].” סביר שהסבא ביקש להחזיר את </w:t>
      </w:r>
      <w:proofErr w:type="spellStart"/>
      <w:r>
        <w:rPr>
          <w:rtl/>
        </w:rPr>
        <w:t>לייבל</w:t>
      </w:r>
      <w:proofErr w:type="spellEnd"/>
      <w:r>
        <w:rPr>
          <w:rtl/>
        </w:rPr>
        <w:t xml:space="preserve"> </w:t>
      </w:r>
      <w:proofErr w:type="spellStart"/>
      <w:r>
        <w:rPr>
          <w:rtl/>
        </w:rPr>
        <w:t>דווינסקער</w:t>
      </w:r>
      <w:proofErr w:type="spellEnd"/>
      <w:r>
        <w:rPr>
          <w:rtl/>
        </w:rPr>
        <w:t xml:space="preserve"> לכנסת ישראל בהזדמנות המוקדמת ביותר, אך עד סביבות תר״ע לא ראו הוריו של ר׳ </w:t>
      </w:r>
      <w:proofErr w:type="spellStart"/>
      <w:r>
        <w:rPr>
          <w:rtl/>
        </w:rPr>
        <w:t>שמואל־לייב</w:t>
      </w:r>
      <w:proofErr w:type="spellEnd"/>
      <w:r>
        <w:rPr>
          <w:rtl/>
        </w:rPr>
        <w:t xml:space="preserve"> שווי, כרבים אחרים, בכנסת ישראל ישיבה “חרדית” דיה.</w:t>
      </w:r>
    </w:p>
    <w:p w14:paraId="14E50C99" w14:textId="77777777" w:rsidR="00AB3647" w:rsidRDefault="00000000" w:rsidP="007923E9">
      <w:pPr>
        <w:pStyle w:val="4"/>
        <w:spacing w:line="276" w:lineRule="auto"/>
      </w:pPr>
      <w:r>
        <w:t>· הפסקה השלישית ·</w:t>
      </w:r>
    </w:p>
    <w:p w14:paraId="322115F0" w14:textId="77777777" w:rsidR="00AB3647" w:rsidRDefault="00000000" w:rsidP="007923E9">
      <w:pPr>
        <w:pStyle w:val="5"/>
        <w:spacing w:line="276" w:lineRule="auto"/>
      </w:pPr>
      <w:r>
        <w:t>מתח בין תלמידי שתי הישיבות</w:t>
      </w:r>
    </w:p>
    <w:p w14:paraId="3A535AB0" w14:textId="77777777" w:rsidR="00AB3647" w:rsidRDefault="00000000" w:rsidP="007923E9">
      <w:pPr>
        <w:spacing w:after="120" w:line="276" w:lineRule="auto"/>
        <w:ind w:firstLine="283"/>
        <w:jc w:val="both"/>
      </w:pPr>
      <w:r>
        <w:rPr>
          <w:rtl/>
        </w:rPr>
        <w:t xml:space="preserve">למרות הידידות בין הנהלות שתי הישיבות </w:t>
      </w:r>
      <w:proofErr w:type="spellStart"/>
      <w:r>
        <w:rPr>
          <w:rtl/>
        </w:rPr>
        <w:t>בסלבודקה</w:t>
      </w:r>
      <w:proofErr w:type="spellEnd"/>
      <w:r>
        <w:rPr>
          <w:rtl/>
        </w:rPr>
        <w:t xml:space="preserve">, תלמידי כנסת בית יצחק לא תמיד שיתפו פעולה עם תלמידי כנסת ישראל. לעיתים סירבו תלמידי ר׳ </w:t>
      </w:r>
      <w:proofErr w:type="spellStart"/>
      <w:r>
        <w:rPr>
          <w:rtl/>
        </w:rPr>
        <w:t>ברוך־בער</w:t>
      </w:r>
      <w:proofErr w:type="spellEnd"/>
      <w:r>
        <w:rPr>
          <w:rtl/>
        </w:rPr>
        <w:t xml:space="preserve"> להכניס את תלמידי כנסת ישראל לשמוע את שיעורו של ראש הישיבה, בטענה: “אם השיעורים בישיבתנו מוצאים חן בעיניכם כל כך, מדוע אינכם מצטרפים אלינו לגמרי?!” פעם נעלו את הדלתות לפני זמן השיעור, ואהרן </w:t>
      </w:r>
      <w:proofErr w:type="spellStart"/>
      <w:r>
        <w:rPr>
          <w:rtl/>
        </w:rPr>
        <w:t>סיסלוביצ׳ר</w:t>
      </w:r>
      <w:proofErr w:type="spellEnd"/>
      <w:r>
        <w:rPr>
          <w:rtl/>
        </w:rPr>
        <w:t xml:space="preserve"> (קוטלר) טיפס דרך החלון כדי לשמוע את ר׳ </w:t>
      </w:r>
      <w:proofErr w:type="spellStart"/>
      <w:r>
        <w:rPr>
          <w:rtl/>
        </w:rPr>
        <w:t>ברוך־בער</w:t>
      </w:r>
      <w:bookmarkStart w:id="3963" w:name="_fnr3012"/>
      <w:proofErr w:type="spellEnd"/>
      <w:r>
        <w:rPr>
          <w:rStyle w:val="a5"/>
        </w:rPr>
        <w:footnoteReference w:id="3020" w:customMarkFollows="0"/>
      </w:r>
      <w:bookmarkEnd w:id="3963"/>
      <w:r>
        <w:rPr>
          <w:rtl/>
        </w:rPr>
        <w:t>. תלמידי שתי הישיבות גם היו מטיילים בשבת ברחובות שונים</w:t>
      </w:r>
      <w:bookmarkStart w:id="3964" w:name="_fnr3013"/>
      <w:r>
        <w:rPr>
          <w:rStyle w:val="a5"/>
        </w:rPr>
        <w:footnoteReference w:id="3021" w:customMarkFollows="0"/>
      </w:r>
      <w:bookmarkEnd w:id="3964"/>
      <w:r>
        <w:rPr>
          <w:rtl/>
        </w:rPr>
        <w:t>.</w:t>
      </w:r>
    </w:p>
    <w:bookmarkStart w:id="3965" w:name="b3_excJJ"/>
    <w:p w14:paraId="2ACAE080" w14:textId="77777777" w:rsidR="00AB3647" w:rsidRDefault="00000000" w:rsidP="007923E9">
      <w:pPr>
        <w:pStyle w:val="3"/>
        <w:spacing w:line="276" w:lineRule="auto"/>
      </w:pPr>
      <w:r>
        <w:lastRenderedPageBreak/>
        <w:fldChar w:fldCharType="begin" w:dirty="true"/>
      </w:r>
      <w:r>
        <w:rPr>
          <w:rtl w:val="0"/>
        </w:rPr>
        <w:instrText>HYPERLINK \l "b3_note147</w:instrText>
      </w:r>
      <w:r>
        <w:instrText>"</w:instrText>
      </w:r>
      <w:r>
        <w:fldChar w:fldCharType="separate"/>
      </w:r>
      <w:r>
        <w:t>נספח לו</w:t>
      </w:r>
      <w:r>
        <w:fldChar w:fldCharType="end"/>
      </w:r>
      <w:bookmarkEnd w:id="3965"/>
    </w:p>
    <w:p w14:paraId="44136677" w14:textId="77777777" w:rsidR="00AB3647" w:rsidRDefault="00000000" w:rsidP="007923E9">
      <w:pPr>
        <w:pStyle w:val="af"/>
        <w:spacing w:line="276" w:lineRule="auto"/>
      </w:pPr>
      <w:r>
        <w:t xml:space="preserve">על ר׳ זלמן </w:t>
      </w:r>
      <w:proofErr w:type="spellStart"/>
      <w:r>
        <w:t>דולינסקי</w:t>
      </w:r>
      <w:proofErr w:type="spellEnd"/>
      <w:r>
        <w:t xml:space="preserve">, שניהל ועדים בהדרכת הסבא </w:t>
      </w:r>
      <w:proofErr w:type="spellStart"/>
      <w:r>
        <w:t>מסלבודקה</w:t>
      </w:r>
      <w:proofErr w:type="spellEnd"/>
    </w:p>
    <w:p w14:paraId="374EC683" w14:textId="77777777" w:rsidR="00AB3647" w:rsidRDefault="00000000" w:rsidP="007923E9">
      <w:pPr>
        <w:pStyle w:val="4"/>
        <w:spacing w:line="276" w:lineRule="auto"/>
      </w:pPr>
      <w:r>
        <w:t>· הפסקה הראשונה ·</w:t>
      </w:r>
    </w:p>
    <w:p w14:paraId="64225CEA" w14:textId="77777777" w:rsidR="00AB3647" w:rsidRDefault="00000000" w:rsidP="007923E9">
      <w:pPr>
        <w:pStyle w:val="5"/>
        <w:spacing w:line="276" w:lineRule="auto"/>
      </w:pPr>
      <w:r>
        <w:t xml:space="preserve">ר׳ זלמן </w:t>
      </w:r>
      <w:proofErr w:type="spellStart"/>
      <w:r>
        <w:t>דולינסקי</w:t>
      </w:r>
      <w:proofErr w:type="spellEnd"/>
      <w:r>
        <w:t xml:space="preserve"> פועל למען המוסר</w:t>
      </w:r>
    </w:p>
    <w:p w14:paraId="1553683C" w14:textId="4540FBF1" w:rsidR="00AB3647" w:rsidRDefault="00000000" w:rsidP="007923E9">
      <w:pPr>
        <w:spacing w:after="120" w:line="276" w:lineRule="auto"/>
        <w:ind w:firstLine="283"/>
        <w:jc w:val="both"/>
      </w:pPr>
      <w:r>
        <w:rPr>
          <w:rtl/>
        </w:rPr>
        <w:t xml:space="preserve">“הוא היה תלמיד קלם שסייע לסבא </w:t>
      </w:r>
      <w:proofErr w:type="spellStart"/>
      <w:r>
        <w:rPr>
          <w:rtl/>
        </w:rPr>
        <w:t>בסלבודקה</w:t>
      </w:r>
      <w:proofErr w:type="spellEnd"/>
      <w:r>
        <w:rPr>
          <w:rtl/>
        </w:rPr>
        <w:t xml:space="preserve"> עוד מלפני פולמוס המוסר ואילך. הוא היה מן התומכים המשפיעים ביותר של המוסר בימיו – חכם מופלג ומחנך מבריק, שהלהיב תלמידים בשיחות מלאות אש”</w:t>
      </w:r>
      <w:bookmarkStart w:id="3966" w:name="_fnr3014"/>
      <w:r>
        <w:rPr>
          <w:rStyle w:val="a5"/>
        </w:rPr>
        <w:footnoteReference w:id="3022" w:customMarkFollows="0"/>
      </w:r>
      <w:bookmarkEnd w:id="3966"/>
      <w:r>
        <w:rPr>
          <w:rtl/>
        </w:rPr>
        <w:t xml:space="preserve">. </w:t>
      </w:r>
      <w:proofErr w:type="spellStart"/>
      <w:r>
        <w:rPr>
          <w:rtl/>
        </w:rPr>
        <w:t>בתרס״ז</w:t>
      </w:r>
      <w:proofErr w:type="spellEnd"/>
      <w:r>
        <w:rPr>
          <w:rtl/>
        </w:rPr>
        <w:t xml:space="preserve"> נשלח לחזק את ישיבת </w:t>
      </w:r>
      <w:proofErr w:type="spellStart"/>
      <w:r>
        <w:rPr>
          <w:rtl/>
        </w:rPr>
        <w:t>מיר</w:t>
      </w:r>
      <w:proofErr w:type="spellEnd"/>
      <w:r>
        <w:rPr>
          <w:rtl/>
        </w:rPr>
        <w:t xml:space="preserve">. אחרי שסידר את הישיבה בדרך המוסר חזר </w:t>
      </w:r>
      <w:proofErr w:type="spellStart"/>
      <w:r>
        <w:rPr>
          <w:rtl/>
        </w:rPr>
        <w:t>לסלבודקה</w:t>
      </w:r>
      <w:proofErr w:type="spellEnd"/>
      <w:r>
        <w:rPr>
          <w:rtl/>
        </w:rPr>
        <w:t xml:space="preserve"> באותה שנה, ובשנה שלאחריה שב </w:t>
      </w:r>
      <w:proofErr w:type="spellStart"/>
      <w:r>
        <w:rPr>
          <w:rtl/>
        </w:rPr>
        <w:t>למיר</w:t>
      </w:r>
      <w:proofErr w:type="spellEnd"/>
      <w:r>
        <w:rPr>
          <w:rtl/>
        </w:rPr>
        <w:t xml:space="preserve"> עם תגבורת של תלמידים</w:t>
      </w:r>
      <w:bookmarkStart w:id="3967" w:name="_fnr3015"/>
      <w:r>
        <w:rPr>
          <w:rStyle w:val="a5"/>
        </w:rPr>
        <w:footnoteReference w:id="3023" w:customMarkFollows="0"/>
      </w:r>
      <w:bookmarkEnd w:id="3967"/>
      <w:r>
        <w:rPr>
          <w:rtl/>
        </w:rPr>
        <w:t xml:space="preserve">. ר׳ זלמן חלה במחלה אנושה </w:t>
      </w:r>
      <w:proofErr w:type="spellStart"/>
      <w:r>
        <w:rPr>
          <w:rtl/>
        </w:rPr>
        <w:t>בתרס״ח</w:t>
      </w:r>
      <w:proofErr w:type="spellEnd"/>
      <w:r>
        <w:rPr>
          <w:rtl/>
        </w:rPr>
        <w:t>, ונפטר שלוש שנים לאחר מכן</w:t>
      </w:r>
      <w:bookmarkStart w:id="3968" w:name="_fnr3016"/>
      <w:r>
        <w:rPr>
          <w:rStyle w:val="a5"/>
        </w:rPr>
        <w:footnoteReference w:id="3024" w:customMarkFollows="0"/>
      </w:r>
      <w:bookmarkEnd w:id="3968"/>
      <w:r>
        <w:rPr>
          <w:rtl/>
        </w:rPr>
        <w:t xml:space="preserve">. כשכבר לא היה יכול לתפקד, הובא ר׳ ירוחם </w:t>
      </w:r>
      <w:proofErr w:type="spellStart"/>
      <w:r>
        <w:rPr>
          <w:rtl/>
        </w:rPr>
        <w:t>ליבוביץ</w:t>
      </w:r>
      <w:bookmarkStart w:id="3969" w:name="_fnr3017"/>
      <w:proofErr w:type="spellEnd"/>
      <w:r>
        <w:rPr>
          <w:rStyle w:val="a5"/>
        </w:rPr>
        <w:footnoteReference w:id="3025" w:customMarkFollows="0"/>
      </w:r>
      <w:bookmarkEnd w:id="3969"/>
      <w:r>
        <w:rPr>
          <w:rtl/>
        </w:rPr>
        <w:t xml:space="preserve"> לישיבת </w:t>
      </w:r>
      <w:proofErr w:type="spellStart"/>
      <w:r>
        <w:rPr>
          <w:rtl/>
        </w:rPr>
        <w:t>מיר</w:t>
      </w:r>
      <w:proofErr w:type="spellEnd"/>
      <w:r>
        <w:rPr>
          <w:rtl/>
        </w:rPr>
        <w:t xml:space="preserve"> כמשגיח בפעם הראשונה. השווה גם תחילת </w:t>
      </w:r>
      <w:r>
        <w:rPr>
          <w:rtl/>
        </w:rPr>
        <w:fldChar w:fldCharType="begin" w:dirty="true"/>
      </w:r>
      <w:r>
        <w:rPr>
          <w:rtl/>
        </w:rPr>
        <w:instrText xml:space="preserve"> REF b3_excHH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לד</w:t>
      </w:r>
      <w:r>
        <w:rPr>
          <w:rtl/>
        </w:rPr>
        <w:fldChar w:fldCharType="end"/>
      </w:r>
      <w:r>
        <w:rPr>
          <w:rtl/>
        </w:rPr>
        <w:t xml:space="preserve"> לעיל.</w:t>
      </w:r>
    </w:p>
    <w:p w14:paraId="3BD27680" w14:textId="77777777" w:rsidR="00AB3647" w:rsidRDefault="00000000" w:rsidP="007923E9">
      <w:pPr>
        <w:pStyle w:val="4"/>
        <w:spacing w:line="276" w:lineRule="auto"/>
      </w:pPr>
      <w:r>
        <w:t>· הפסקה השנייה ·</w:t>
      </w:r>
    </w:p>
    <w:p w14:paraId="1418E8E4" w14:textId="77777777" w:rsidR="00AB3647" w:rsidRDefault="00000000" w:rsidP="007923E9">
      <w:pPr>
        <w:pStyle w:val="5"/>
        <w:spacing w:line="276" w:lineRule="auto"/>
      </w:pPr>
      <w:r>
        <w:t xml:space="preserve">המוסר של הרב </w:t>
      </w:r>
      <w:proofErr w:type="spellStart"/>
      <w:r>
        <w:t>דולינסקי</w:t>
      </w:r>
      <w:proofErr w:type="spellEnd"/>
      <w:r>
        <w:t xml:space="preserve"> מדליק את לבבות הצעירים – נסיעתו </w:t>
      </w:r>
      <w:proofErr w:type="spellStart"/>
      <w:r>
        <w:t>לקלם</w:t>
      </w:r>
      <w:proofErr w:type="spellEnd"/>
      <w:r>
        <w:t xml:space="preserve"> עם קופל </w:t>
      </w:r>
      <w:proofErr w:type="spellStart"/>
      <w:r>
        <w:t>וולפרט</w:t>
      </w:r>
      <w:proofErr w:type="spellEnd"/>
      <w:r>
        <w:t xml:space="preserve"> – </w:t>
      </w:r>
      <w:proofErr w:type="spellStart"/>
      <w:r>
        <w:t>בסלבודקה</w:t>
      </w:r>
      <w:proofErr w:type="spellEnd"/>
      <w:r>
        <w:t xml:space="preserve"> החכמה קודמת ליראת שמים – גדולים רואים בחכמה תנאי יסודי</w:t>
      </w:r>
    </w:p>
    <w:p w14:paraId="1AAB24E2" w14:textId="77777777" w:rsidR="00AB3647" w:rsidRDefault="00000000" w:rsidP="007923E9">
      <w:pPr>
        <w:spacing w:after="120" w:line="276" w:lineRule="auto"/>
        <w:ind w:firstLine="283"/>
        <w:jc w:val="both"/>
      </w:pPr>
      <w:r>
        <w:rPr>
          <w:rtl/>
        </w:rPr>
        <w:t>הפרק השמיני בספרו של כץ, “תנועת המוסר”, כרך ה</w:t>
      </w:r>
      <w:bookmarkStart w:id="3970" w:name="_fnr3018"/>
      <w:r>
        <w:rPr>
          <w:rStyle w:val="a5"/>
        </w:rPr>
        <w:footnoteReference w:id="3026" w:customMarkFollows="0"/>
      </w:r>
      <w:bookmarkEnd w:id="3970"/>
      <w:r>
        <w:rPr>
          <w:rtl/>
        </w:rPr>
        <w:t xml:space="preserve">, מוקדש לרב </w:t>
      </w:r>
      <w:proofErr w:type="spellStart"/>
      <w:r>
        <w:rPr>
          <w:rtl/>
        </w:rPr>
        <w:t>דולינסקי</w:t>
      </w:r>
      <w:proofErr w:type="spellEnd"/>
      <w:r>
        <w:rPr>
          <w:rtl/>
        </w:rPr>
        <w:t xml:space="preserve">. הפרק מביא דוגמאות של מוסר מוועדיו, ומסתיים בהספד פיוטי שפרסם בוגר </w:t>
      </w:r>
      <w:proofErr w:type="spellStart"/>
      <w:r>
        <w:rPr>
          <w:rtl/>
        </w:rPr>
        <w:t>סלבודקה</w:t>
      </w:r>
      <w:proofErr w:type="spellEnd"/>
      <w:r>
        <w:rPr>
          <w:rtl/>
        </w:rPr>
        <w:t xml:space="preserve"> ר׳ </w:t>
      </w:r>
      <w:proofErr w:type="spellStart"/>
      <w:r>
        <w:rPr>
          <w:rtl/>
        </w:rPr>
        <w:t>יחיאל־יעקב</w:t>
      </w:r>
      <w:proofErr w:type="spellEnd"/>
      <w:r>
        <w:rPr>
          <w:rtl/>
        </w:rPr>
        <w:t xml:space="preserve"> ויינברג, גאון בעל כישרונות יוצאי דופן ורב־גוניים (לימים מחבר שו״ת “שרידי אש” </w:t>
      </w:r>
      <w:proofErr w:type="spellStart"/>
      <w:r>
        <w:rPr>
          <w:rtl/>
        </w:rPr>
        <w:t>ו“לפרקים</w:t>
      </w:r>
      <w:proofErr w:type="spellEnd"/>
      <w:r>
        <w:rPr>
          <w:rtl/>
        </w:rPr>
        <w:t xml:space="preserve">”). וכך הוא מתאר את הרב </w:t>
      </w:r>
      <w:proofErr w:type="spellStart"/>
      <w:r>
        <w:rPr>
          <w:rtl/>
        </w:rPr>
        <w:t>דולינסקי</w:t>
      </w:r>
      <w:proofErr w:type="spellEnd"/>
      <w:r>
        <w:rPr>
          <w:rtl/>
        </w:rPr>
        <w:t>: “להבה בוערת; בלפיד השזור וארוג מעורקי ליבו הבוער, הדליק את הנר בלבבות הנערים.”</w:t>
      </w:r>
    </w:p>
    <w:p w14:paraId="32B2B277" w14:textId="77777777" w:rsidR="00AB3647" w:rsidRDefault="00000000" w:rsidP="007923E9">
      <w:pPr>
        <w:spacing w:after="120" w:line="276" w:lineRule="auto"/>
        <w:ind w:firstLine="283"/>
        <w:jc w:val="both"/>
      </w:pPr>
      <w:r>
        <w:rPr>
          <w:rtl/>
        </w:rPr>
        <w:t xml:space="preserve">ר׳ קופל </w:t>
      </w:r>
      <w:proofErr w:type="spellStart"/>
      <w:r>
        <w:rPr>
          <w:rtl/>
        </w:rPr>
        <w:t>וולפרט</w:t>
      </w:r>
      <w:bookmarkStart w:id="3971" w:name="_fnr3019"/>
      <w:proofErr w:type="spellEnd"/>
      <w:r>
        <w:rPr>
          <w:rStyle w:val="a5"/>
        </w:rPr>
        <w:footnoteReference w:id="3027" w:customMarkFollows="0"/>
      </w:r>
      <w:bookmarkEnd w:id="3971"/>
      <w:r>
        <w:rPr>
          <w:rtl/>
        </w:rPr>
        <w:t xml:space="preserve"> סיפר סיפור מעניין המאפיין את האיש יוצא הדופן הזה. פעם נסע ר׳ קופל </w:t>
      </w:r>
      <w:proofErr w:type="spellStart"/>
      <w:r>
        <w:rPr>
          <w:rtl/>
        </w:rPr>
        <w:t>לקלם</w:t>
      </w:r>
      <w:proofErr w:type="spellEnd"/>
      <w:r>
        <w:rPr>
          <w:rtl/>
        </w:rPr>
        <w:t xml:space="preserve"> באותה רכבת עם ר׳ זלמן – ר׳ קופל התגורר </w:t>
      </w:r>
      <w:proofErr w:type="spellStart"/>
      <w:r>
        <w:rPr>
          <w:rtl/>
        </w:rPr>
        <w:t>בקלם</w:t>
      </w:r>
      <w:proofErr w:type="spellEnd"/>
      <w:r>
        <w:rPr>
          <w:rtl/>
        </w:rPr>
        <w:t xml:space="preserve">, ולחמותו של הרב </w:t>
      </w:r>
      <w:proofErr w:type="spellStart"/>
      <w:r>
        <w:rPr>
          <w:rtl/>
        </w:rPr>
        <w:t>דולינסקי</w:t>
      </w:r>
      <w:proofErr w:type="spellEnd"/>
      <w:r>
        <w:rPr>
          <w:rtl/>
        </w:rPr>
        <w:t xml:space="preserve"> הייתה שם אכסניה. בתחילת הנסיעה שאל אותו הרב </w:t>
      </w:r>
      <w:proofErr w:type="spellStart"/>
      <w:r>
        <w:rPr>
          <w:rtl/>
        </w:rPr>
        <w:t>דולינסקי</w:t>
      </w:r>
      <w:proofErr w:type="spellEnd"/>
      <w:r>
        <w:rPr>
          <w:rtl/>
        </w:rPr>
        <w:t>: “מה עדיף: חכם או ירא שמים [</w:t>
      </w:r>
      <w:proofErr w:type="spellStart"/>
      <w:r>
        <w:rPr>
          <w:rtl/>
        </w:rPr>
        <w:t>קלוג</w:t>
      </w:r>
      <w:proofErr w:type="spellEnd"/>
      <w:r>
        <w:rPr>
          <w:rtl/>
        </w:rPr>
        <w:t xml:space="preserve"> צי פרום]?” קופל הצעיר, שהיה אז בן </w:t>
      </w:r>
      <w:proofErr w:type="spellStart"/>
      <w:r>
        <w:rPr>
          <w:rtl/>
        </w:rPr>
        <w:t>חמש־עשרה</w:t>
      </w:r>
      <w:proofErr w:type="spellEnd"/>
      <w:r>
        <w:rPr>
          <w:rtl/>
        </w:rPr>
        <w:t xml:space="preserve">, ניסה להתחמק מתשובה ואמר ששניהם חשובים. אמר לו הרב </w:t>
      </w:r>
      <w:proofErr w:type="spellStart"/>
      <w:r>
        <w:rPr>
          <w:rtl/>
        </w:rPr>
        <w:t>דולינסקי</w:t>
      </w:r>
      <w:proofErr w:type="spellEnd"/>
      <w:r>
        <w:rPr>
          <w:rtl/>
        </w:rPr>
        <w:t>: “אתה מזכיר לי את הילד העונה כך כששואלים אותו מי מהוריו חביב עליו יותר. ציפיתי ממך לתשובה טובה יותר.”</w:t>
      </w:r>
    </w:p>
    <w:p w14:paraId="0C755A32" w14:textId="77777777" w:rsidR="00AB3647" w:rsidRDefault="00000000" w:rsidP="007923E9">
      <w:pPr>
        <w:spacing w:after="120" w:line="276" w:lineRule="auto"/>
        <w:ind w:firstLine="283"/>
        <w:jc w:val="both"/>
      </w:pPr>
      <w:r>
        <w:rPr>
          <w:rtl/>
        </w:rPr>
        <w:lastRenderedPageBreak/>
        <w:t xml:space="preserve">ככל שהתקדמה הנסיעה נהג ר׳ זלמן באופן </w:t>
      </w:r>
      <w:proofErr w:type="spellStart"/>
      <w:r>
        <w:rPr>
          <w:rtl/>
        </w:rPr>
        <w:t>שוולפרט</w:t>
      </w:r>
      <w:proofErr w:type="spellEnd"/>
      <w:r>
        <w:rPr>
          <w:rtl/>
        </w:rPr>
        <w:t xml:space="preserve"> חש שאינו הולם בן תורה: תחילה שוחח על ספרות רוסית עם אב ובתו שאינם דתיים, ואחר כך שר יחד עם כמה חיילים רוסים שיכורים שעלו לרכבת. קופל, כמובן, שמר את ביקורתו על ר׳ זלמן לעצמו.</w:t>
      </w:r>
    </w:p>
    <w:p w14:paraId="0D11F746" w14:textId="77777777" w:rsidR="00AB3647" w:rsidRDefault="00000000" w:rsidP="007923E9">
      <w:pPr>
        <w:spacing w:after="120" w:line="276" w:lineRule="auto"/>
        <w:ind w:firstLine="283"/>
        <w:jc w:val="both"/>
      </w:pPr>
      <w:r>
        <w:rPr>
          <w:rtl/>
        </w:rPr>
        <w:t xml:space="preserve">אך כשהגיעו </w:t>
      </w:r>
      <w:proofErr w:type="spellStart"/>
      <w:r>
        <w:rPr>
          <w:rtl/>
        </w:rPr>
        <w:t>לקלם</w:t>
      </w:r>
      <w:proofErr w:type="spellEnd"/>
      <w:r>
        <w:rPr>
          <w:rtl/>
        </w:rPr>
        <w:t xml:space="preserve"> וישבו לסעוד </w:t>
      </w:r>
      <w:proofErr w:type="spellStart"/>
      <w:r>
        <w:rPr>
          <w:rtl/>
        </w:rPr>
        <w:t>באכסניה</w:t>
      </w:r>
      <w:proofErr w:type="spellEnd"/>
      <w:r>
        <w:rPr>
          <w:rtl/>
        </w:rPr>
        <w:t xml:space="preserve"> – ר׳ אליהו </w:t>
      </w:r>
      <w:proofErr w:type="spellStart"/>
      <w:r>
        <w:rPr>
          <w:rtl/>
        </w:rPr>
        <w:t>לופיאן</w:t>
      </w:r>
      <w:proofErr w:type="spellEnd"/>
      <w:r>
        <w:rPr>
          <w:rtl/>
        </w:rPr>
        <w:t xml:space="preserve">, שהיה אז </w:t>
      </w:r>
      <w:proofErr w:type="spellStart"/>
      <w:r>
        <w:rPr>
          <w:rtl/>
        </w:rPr>
        <w:t>בקלם</w:t>
      </w:r>
      <w:proofErr w:type="spellEnd"/>
      <w:r>
        <w:rPr>
          <w:rtl/>
        </w:rPr>
        <w:t xml:space="preserve">, נזדמן להיות השלישי במזומן שלהם – פתח ר׳ זלמן, כאילו קרא את מחשבותיו של בן לווייתו הצעיר, והסביר מדוע נהג ברכבת כפי שנהג. הוא נאלץ לפייס את האב ובתו הלא־דתיים</w:t>
      </w:r>
      <w:proofErr w:type="spellStart"/>
      <w:r>
        <w:rPr>
          <w:rtl/>
        </w:rPr>
        <w:t xml:space="preserve"/>
      </w:r>
      <w:proofErr w:type="spellEnd"/>
      <w:r>
        <w:rPr>
          <w:rtl/>
        </w:rPr>
        <w:t>, כדי ליישר את ההדורים אחרי שאילץ את האב לצמצם את מקום ישיבתו בנסיעה הארוכה, כדי שיהיה מקום לשבת גם לו. והיה עליו לוודא שהשיכורים לא יחליטו להתנפל על שני היהודים הדתיים בעליל, עליו ועל בן לווייתו הצעיר. ר׳ זלמן סיכם בניצחון: “עכשיו, משידעת מדוע נהגתי כפי שנהגתי, מצאת גם את התשובה לשאלה ששאלתי בתחילת נסיעתנו. צריך להיות חכם כדי להיות פרום [ירא שמים].”</w:t>
      </w:r>
    </w:p>
    <w:p w14:paraId="0547FA5F" w14:textId="77777777" w:rsidR="00AB3647" w:rsidRDefault="00000000" w:rsidP="007923E9">
      <w:pPr>
        <w:spacing w:after="120" w:line="276" w:lineRule="auto"/>
        <w:ind w:firstLine="283"/>
        <w:jc w:val="both"/>
      </w:pPr>
      <w:r>
        <w:rPr>
          <w:rtl/>
        </w:rPr>
        <w:t>רעיון זה הוא אחד מעקרונות היסוד של המוסר, ופרק</w:t>
      </w:r>
      <w:bookmarkStart w:id="3972" w:name="_fnr3020"/>
      <w:r>
        <w:rPr>
          <w:rStyle w:val="a5"/>
        </w:rPr>
        <w:footnoteReference w:id="3028" w:customMarkFollows="0"/>
      </w:r>
      <w:bookmarkEnd w:id="3972"/>
      <w:r>
        <w:rPr>
          <w:rtl/>
        </w:rPr>
        <w:t xml:space="preserve"> </w:t>
      </w:r>
      <w:proofErr w:type="spellStart"/>
      <w:r>
        <w:rPr>
          <w:rtl/>
        </w:rPr>
        <w:t>ב“מסילת</w:t>
      </w:r>
      <w:proofErr w:type="spellEnd"/>
      <w:r>
        <w:rPr>
          <w:rtl/>
        </w:rPr>
        <w:t xml:space="preserve"> ישרים” מוקדש לו</w:t>
      </w:r>
      <w:bookmarkStart w:id="3973" w:name="_fnr3021"/>
      <w:r>
        <w:rPr>
          <w:rStyle w:val="a5"/>
        </w:rPr>
        <w:footnoteReference w:id="3029" w:customMarkFollows="0"/>
      </w:r>
      <w:bookmarkEnd w:id="3973"/>
      <w:r>
        <w:rPr>
          <w:rtl/>
        </w:rPr>
        <w:t xml:space="preserve">. וריאציה על נושא זה מצויה </w:t>
      </w:r>
      <w:proofErr w:type="spellStart"/>
      <w:r>
        <w:rPr>
          <w:rtl/>
        </w:rPr>
        <w:t>ב“יתד</w:t>
      </w:r>
      <w:proofErr w:type="spellEnd"/>
      <w:r>
        <w:rPr>
          <w:rtl/>
        </w:rPr>
        <w:t xml:space="preserve"> נאמן”</w:t>
      </w:r>
      <w:bookmarkStart w:id="3974" w:name="_fnr3022"/>
      <w:r>
        <w:rPr>
          <w:rStyle w:val="a5"/>
        </w:rPr>
        <w:footnoteReference w:id="3030" w:customMarkFollows="0"/>
      </w:r>
      <w:bookmarkEnd w:id="3974"/>
      <w:r>
        <w:rPr>
          <w:rtl/>
        </w:rPr>
        <w:t>, במאמר “</w:t>
      </w:r>
      <w:proofErr w:type="spellStart"/>
      <w:r>
        <w:rPr>
          <w:rtl/>
        </w:rPr>
        <w:t>מזכרונותיו</w:t>
      </w:r>
      <w:proofErr w:type="spellEnd"/>
      <w:r>
        <w:rPr>
          <w:rtl/>
        </w:rPr>
        <w:t xml:space="preserve"> של רבי בנימין </w:t>
      </w:r>
      <w:proofErr w:type="spellStart"/>
      <w:r>
        <w:rPr>
          <w:rtl/>
        </w:rPr>
        <w:t>גרודקה</w:t>
      </w:r>
      <w:proofErr w:type="spellEnd"/>
      <w:r>
        <w:rPr>
          <w:rtl/>
        </w:rPr>
        <w:t xml:space="preserve">”. שם מובאים דברי ר׳ </w:t>
      </w:r>
      <w:proofErr w:type="spellStart"/>
      <w:r>
        <w:rPr>
          <w:rtl/>
        </w:rPr>
        <w:t>יהודה־לייב</w:t>
      </w:r>
      <w:proofErr w:type="spellEnd"/>
      <w:r>
        <w:rPr>
          <w:rtl/>
        </w:rPr>
        <w:t xml:space="preserve"> ברנשטיין, רבה האחרון של </w:t>
      </w:r>
      <w:proofErr w:type="spellStart"/>
      <w:r>
        <w:rPr>
          <w:rtl/>
        </w:rPr>
        <w:t>בירז</w:t>
      </w:r>
      <w:proofErr w:type="spellEnd"/>
      <w:r>
        <w:rPr>
          <w:rtl/>
        </w:rPr>
        <w:t xml:space="preserve">׳, שנהרג על קידוש השם, שאמר בשם הסבא: “תחילה היה מענטש [אדם], ואחר כך </w:t>
      </w:r>
      <w:proofErr w:type="spellStart"/>
      <w:r>
        <w:rPr>
          <w:rtl/>
        </w:rPr>
        <w:t>פרומער</w:t>
      </w:r>
      <w:proofErr w:type="spellEnd"/>
      <w:r>
        <w:rPr>
          <w:rtl/>
        </w:rPr>
        <w:t xml:space="preserve"> [ירא שמים].” ר׳ </w:t>
      </w:r>
      <w:proofErr w:type="spellStart"/>
      <w:r>
        <w:rPr>
          <w:rtl/>
        </w:rPr>
        <w:t>יהודה־לייב</w:t>
      </w:r>
      <w:proofErr w:type="spellEnd"/>
      <w:r>
        <w:rPr>
          <w:rtl/>
        </w:rPr>
        <w:t xml:space="preserve"> נולד </w:t>
      </w:r>
      <w:proofErr w:type="spellStart"/>
      <w:r>
        <w:rPr>
          <w:rtl/>
        </w:rPr>
        <w:t>בתרמ״ז</w:t>
      </w:r>
      <w:proofErr w:type="spellEnd"/>
      <w:r>
        <w:rPr>
          <w:rtl/>
        </w:rPr>
        <w:t xml:space="preserve">, </w:t>
      </w:r>
      <w:proofErr w:type="spellStart"/>
      <w:r>
        <w:rPr>
          <w:rtl/>
        </w:rPr>
        <w:t>ובסלבודקה</w:t>
      </w:r>
      <w:proofErr w:type="spellEnd"/>
      <w:r>
        <w:rPr>
          <w:rtl/>
        </w:rPr>
        <w:t xml:space="preserve">, שם היה מקורב מאוד לסבא, נודע כמוטל </w:t>
      </w:r>
      <w:proofErr w:type="spellStart"/>
      <w:r>
        <w:rPr>
          <w:rtl/>
        </w:rPr>
        <w:t>מינסקער</w:t>
      </w:r>
      <w:proofErr w:type="spellEnd"/>
      <w:r>
        <w:rPr>
          <w:rtl/>
        </w:rPr>
        <w:t>.</w:t>
      </w:r>
    </w:p>
    <w:p w14:paraId="355CBBFF" w14:textId="77777777" w:rsidR="00AB3647" w:rsidRDefault="00000000" w:rsidP="007923E9">
      <w:pPr>
        <w:spacing w:after="120" w:line="276" w:lineRule="auto"/>
        <w:ind w:firstLine="283"/>
        <w:jc w:val="both"/>
      </w:pPr>
      <w:r>
        <w:rPr>
          <w:rtl/>
        </w:rPr>
        <w:t xml:space="preserve">ר׳ </w:t>
      </w:r>
      <w:proofErr w:type="spellStart"/>
      <w:r>
        <w:rPr>
          <w:rtl/>
        </w:rPr>
        <w:t>הירשל</w:t>
      </w:r>
      <w:proofErr w:type="spellEnd"/>
      <w:r>
        <w:rPr>
          <w:rtl/>
        </w:rPr>
        <w:t xml:space="preserve"> פריד סיפר</w:t>
      </w:r>
      <w:bookmarkStart w:id="3975" w:name="_fnr3023"/>
      <w:r>
        <w:rPr>
          <w:rStyle w:val="a5"/>
        </w:rPr>
        <w:footnoteReference w:id="3031" w:customMarkFollows="0"/>
      </w:r>
      <w:bookmarkEnd w:id="3975"/>
      <w:r>
        <w:rPr>
          <w:rtl/>
        </w:rPr>
        <w:t xml:space="preserve"> שאבי אמר לו כי בביקורו בארץ ישראל </w:t>
      </w:r>
      <w:proofErr w:type="spellStart"/>
      <w:r>
        <w:rPr>
          <w:rtl/>
        </w:rPr>
        <w:t>בתשמ״ב</w:t>
      </w:r>
      <w:proofErr w:type="spellEnd"/>
      <w:r>
        <w:rPr>
          <w:rtl/>
        </w:rPr>
        <w:t xml:space="preserve"> – ביקורו האחרון – פגש חבר מימי החדר, ששאל שאלה מעניינת: “כשהייתי בן </w:t>
      </w:r>
      <w:proofErr w:type="spellStart"/>
      <w:r>
        <w:rPr>
          <w:rtl/>
        </w:rPr>
        <w:t>אחת־עשרה</w:t>
      </w:r>
      <w:proofErr w:type="spellEnd"/>
      <w:r>
        <w:rPr>
          <w:rtl/>
        </w:rPr>
        <w:t xml:space="preserve"> ואתה היית בן עשר, הייתי פרום יותר ממך. היו לי פאות ארוכות משלך, והתפללתי </w:t>
      </w:r>
      <w:proofErr w:type="spellStart"/>
      <w:r>
        <w:rPr>
          <w:rtl/>
        </w:rPr>
        <w:t>בגארטל</w:t>
      </w:r>
      <w:proofErr w:type="spellEnd"/>
      <w:r>
        <w:rPr>
          <w:rtl/>
        </w:rPr>
        <w:t xml:space="preserve"> ואתה לא. ואף על פי כן איני שומר שבת לגמרי כיום, ואילו אתה כן. כיצד קרה הדבר?” התשובה שקיבל הייתה: “זה פשוט: אתה היית יותר פרום, אבל אני הייתי יותר חכם.”</w:t>
      </w:r>
    </w:p>
    <w:p w14:paraId="41A4E2EE" w14:textId="77777777" w:rsidR="00AB3647" w:rsidRDefault="00000000" w:rsidP="007923E9">
      <w:pPr>
        <w:spacing w:after="120" w:line="276" w:lineRule="auto"/>
        <w:ind w:firstLine="283"/>
        <w:jc w:val="both"/>
      </w:pPr>
      <w:r>
        <w:rPr>
          <w:rtl/>
        </w:rPr>
        <w:t>השווה גם כץ, “תנועת המוסר”, כרך ג</w:t>
      </w:r>
      <w:bookmarkStart w:id="3976" w:name="_fnr3024"/>
      <w:r>
        <w:rPr>
          <w:rStyle w:val="a5"/>
        </w:rPr>
        <w:footnoteReference w:id="3032" w:customMarkFollows="0"/>
      </w:r>
      <w:bookmarkEnd w:id="3976"/>
      <w:r>
        <w:rPr>
          <w:rtl/>
        </w:rPr>
        <w:t xml:space="preserve">, המספר שכאשר באו כמה משכילים לישיבה ושאלו את הסבא מה חידושו, אמר להם: “מען </w:t>
      </w:r>
      <w:proofErr w:type="spellStart"/>
      <w:r>
        <w:rPr>
          <w:rtl/>
        </w:rPr>
        <w:t>זאל</w:t>
      </w:r>
      <w:proofErr w:type="spellEnd"/>
      <w:r>
        <w:rPr>
          <w:rtl/>
        </w:rPr>
        <w:t xml:space="preserve"> זיין </w:t>
      </w:r>
      <w:proofErr w:type="spellStart"/>
      <w:r>
        <w:rPr>
          <w:rtl/>
        </w:rPr>
        <w:t>קלוג</w:t>
      </w:r>
      <w:proofErr w:type="spellEnd"/>
      <w:r>
        <w:rPr>
          <w:rtl/>
        </w:rPr>
        <w:t xml:space="preserve"> און </w:t>
      </w:r>
      <w:proofErr w:type="spellStart"/>
      <w:r>
        <w:rPr>
          <w:rtl/>
        </w:rPr>
        <w:t>גוט</w:t>
      </w:r>
      <w:proofErr w:type="spellEnd"/>
      <w:r>
        <w:rPr>
          <w:rtl/>
        </w:rPr>
        <w:t xml:space="preserve"> [שיהיו חכמים וטובים]”. בהזדמנות אחרת אמר שמטרתו “להפוך כסילים לחכמים, עמי ארצות ללמדנים, וחסרי דרך ארץ לבני תרבות”. תמיד העמיד את החכמה בראש מעייניו.</w:t>
      </w:r>
    </w:p>
    <w:p w14:paraId="6DA28E43" w14:textId="77777777" w:rsidR="00AB3647" w:rsidRDefault="00000000" w:rsidP="007923E9">
      <w:pPr>
        <w:spacing w:after="120" w:line="276" w:lineRule="auto"/>
        <w:ind w:firstLine="283"/>
        <w:jc w:val="both"/>
      </w:pPr>
      <w:r>
        <w:rPr>
          <w:rtl/>
        </w:rPr>
        <w:t xml:space="preserve">האדמו״ר ר׳ </w:t>
      </w:r>
      <w:proofErr w:type="spellStart"/>
      <w:r>
        <w:rPr>
          <w:rtl/>
        </w:rPr>
        <w:t>יחזקאל־שרגא</w:t>
      </w:r>
      <w:proofErr w:type="spellEnd"/>
      <w:r>
        <w:rPr>
          <w:rtl/>
        </w:rPr>
        <w:t xml:space="preserve"> </w:t>
      </w:r>
      <w:proofErr w:type="spellStart"/>
      <w:r>
        <w:rPr>
          <w:rtl/>
        </w:rPr>
        <w:t>הלברשטם</w:t>
      </w:r>
      <w:proofErr w:type="spellEnd"/>
      <w:r>
        <w:rPr>
          <w:rtl/>
        </w:rPr>
        <w:t xml:space="preserve">, רבה של </w:t>
      </w:r>
      <w:proofErr w:type="spellStart"/>
      <w:r>
        <w:rPr>
          <w:rtl/>
        </w:rPr>
        <w:t>שינאווא</w:t>
      </w:r>
      <w:proofErr w:type="spellEnd"/>
      <w:r>
        <w:rPr>
          <w:rtl/>
        </w:rPr>
        <w:t xml:space="preserve">, אמר שעל יהודי להיות טוב, ירא שמים וחכם: טוב כמידת החסד של אברהם אבינו, ירא שמים כמידת הגבורה של יצחק אבינו, </w:t>
      </w:r>
      <w:r>
        <w:rPr>
          <w:rtl/>
        </w:rPr>
        <w:lastRenderedPageBreak/>
        <w:t xml:space="preserve">וחכם כדי לדעת כיצד ליישב את שני ההפכים – וזוהי מידת התפארת של יעקב אבינו. בעיקרו של דבר זו גישת המוסר עצמה, אלא </w:t>
      </w:r>
      <w:r>
        <w:rPr>
          <w:b/>
          <w:bCs/>
          <w:rtl/>
        </w:rPr>
        <w:t>בסדר שונה</w:t>
      </w:r>
      <w:bookmarkStart w:id="3977" w:name="_fnr3025"/>
      <w:r>
        <w:rPr>
          <w:rStyle w:val="a5"/>
        </w:rPr>
        <w:footnoteReference w:id="3033" w:customMarkFollows="0"/>
      </w:r>
      <w:bookmarkEnd w:id="3977"/>
      <w:r>
        <w:rPr>
          <w:rtl/>
        </w:rPr>
        <w:t>.</w:t>
      </w:r>
    </w:p>
    <w:p w14:paraId="10389D53" w14:textId="77777777" w:rsidR="00AB3647" w:rsidRDefault="00000000" w:rsidP="007923E9">
      <w:pPr>
        <w:spacing w:after="120" w:line="276" w:lineRule="auto"/>
        <w:ind w:firstLine="283"/>
        <w:jc w:val="both"/>
      </w:pPr>
      <w:r>
        <w:rPr>
          <w:rtl/>
        </w:rPr>
        <w:t xml:space="preserve">השווה גם מאמר הזיכרון במלאות חמישים שנה לפטירת ר׳ דוד </w:t>
      </w:r>
      <w:proofErr w:type="spellStart"/>
      <w:r>
        <w:rPr>
          <w:rtl/>
        </w:rPr>
        <w:t>ליבוביץ</w:t>
      </w:r>
      <w:bookmarkStart w:id="3978" w:name="_fnr3026"/>
      <w:proofErr w:type="spellEnd"/>
      <w:r>
        <w:rPr>
          <w:rStyle w:val="a5"/>
        </w:rPr>
        <w:footnoteReference w:id="3034" w:customMarkFollows="0"/>
      </w:r>
      <w:bookmarkEnd w:id="3978"/>
      <w:r>
        <w:rPr>
          <w:rtl/>
        </w:rPr>
        <w:t xml:space="preserve">, מאת ר׳ יצחק </w:t>
      </w:r>
      <w:proofErr w:type="spellStart"/>
      <w:r>
        <w:rPr>
          <w:rtl/>
        </w:rPr>
        <w:t>ברנדריס</w:t>
      </w:r>
      <w:proofErr w:type="spellEnd"/>
      <w:r>
        <w:rPr>
          <w:rtl/>
        </w:rPr>
        <w:t xml:space="preserve"> </w:t>
      </w:r>
      <w:proofErr w:type="spellStart"/>
      <w:r>
        <w:rPr>
          <w:rtl/>
        </w:rPr>
        <w:t>בג׳ואיש</w:t>
      </w:r>
      <w:proofErr w:type="spellEnd"/>
      <w:r>
        <w:rPr>
          <w:rtl/>
        </w:rPr>
        <w:t xml:space="preserve"> </w:t>
      </w:r>
      <w:proofErr w:type="spellStart"/>
      <w:r>
        <w:rPr>
          <w:rtl/>
        </w:rPr>
        <w:t>אובזרבר</w:t>
      </w:r>
      <w:bookmarkStart w:id="3979" w:name="_fnr3027"/>
      <w:proofErr w:type="spellEnd"/>
      <w:r>
        <w:rPr>
          <w:rStyle w:val="a5"/>
        </w:rPr>
        <w:footnoteReference w:id="3035" w:customMarkFollows="0"/>
      </w:r>
      <w:bookmarkEnd w:id="3979"/>
      <w:r>
        <w:rPr>
          <w:rtl/>
        </w:rPr>
        <w:t>. המאמר מספר</w:t>
      </w:r>
      <w:bookmarkStart w:id="3980" w:name="_fnr3028"/>
      <w:r>
        <w:rPr>
          <w:rStyle w:val="a5"/>
        </w:rPr>
        <w:footnoteReference w:id="3036" w:customMarkFollows="0"/>
      </w:r>
      <w:bookmarkEnd w:id="3980"/>
      <w:r>
        <w:rPr>
          <w:rtl/>
        </w:rPr>
        <w:t xml:space="preserve"> על ויכוח בין ר׳ דוד לבין </w:t>
      </w:r>
      <w:proofErr w:type="spellStart"/>
      <w:r>
        <w:rPr>
          <w:rtl/>
        </w:rPr>
        <w:t>בר־פלוגתו</w:t>
      </w:r>
      <w:proofErr w:type="spellEnd"/>
      <w:r>
        <w:rPr>
          <w:rtl/>
        </w:rPr>
        <w:t xml:space="preserve"> על סדר הקדימה בין טוּב ליראת שמים, ומביא את דברי ר׳ </w:t>
      </w:r>
      <w:proofErr w:type="spellStart"/>
      <w:r>
        <w:rPr>
          <w:rtl/>
        </w:rPr>
        <w:t>מנחם־מנדל</w:t>
      </w:r>
      <w:proofErr w:type="spellEnd"/>
      <w:r>
        <w:rPr>
          <w:rtl/>
        </w:rPr>
        <w:t xml:space="preserve"> מורגנשטרן, הרבי </w:t>
      </w:r>
      <w:proofErr w:type="spellStart"/>
      <w:r>
        <w:rPr>
          <w:rtl/>
        </w:rPr>
        <w:t>מקוצק</w:t>
      </w:r>
      <w:proofErr w:type="spellEnd"/>
      <w:r>
        <w:rPr>
          <w:rtl/>
        </w:rPr>
        <w:t xml:space="preserve">, שהוסיף את המידה השלישית, חכמה – וככל הנראה באותו סדר שבו מנה אותן הרב </w:t>
      </w:r>
      <w:proofErr w:type="spellStart"/>
      <w:r>
        <w:rPr>
          <w:rtl/>
        </w:rPr>
        <w:t>משינאווא</w:t>
      </w:r>
      <w:proofErr w:type="spellEnd"/>
      <w:r>
        <w:rPr>
          <w:rtl/>
        </w:rPr>
        <w:t>. השווה גם “כל כתבי החפץ חיים”</w:t>
      </w:r>
      <w:bookmarkStart w:id="3981" w:name="_fnr3029"/>
      <w:r>
        <w:rPr>
          <w:rStyle w:val="a5"/>
        </w:rPr>
        <w:footnoteReference w:id="3037" w:customMarkFollows="0"/>
      </w:r>
      <w:bookmarkEnd w:id="3981"/>
      <w:r>
        <w:rPr>
          <w:rtl/>
        </w:rPr>
        <w:t xml:space="preserve">, המביא אמרה של </w:t>
      </w:r>
      <w:proofErr w:type="spellStart"/>
      <w:r>
        <w:rPr>
          <w:rtl/>
        </w:rPr>
        <w:t>החפץ־חיים</w:t>
      </w:r>
      <w:proofErr w:type="spellEnd"/>
      <w:r>
        <w:rPr>
          <w:rtl/>
        </w:rPr>
        <w:t>: “על אדם להיות ירא שמים, טוב וחכם” – סדר השונה הן מזה של בעלי המוסר הן מזה של האדמו״רים החסידיים</w:t>
      </w:r>
      <w:bookmarkStart w:id="3982" w:name="_fnr3030"/>
      <w:r>
        <w:rPr>
          <w:rStyle w:val="a5"/>
        </w:rPr>
        <w:footnoteReference w:id="3038" w:customMarkFollows="0"/>
      </w:r>
      <w:bookmarkEnd w:id="3982"/>
      <w:r>
        <w:rPr>
          <w:rtl/>
        </w:rPr>
        <w:t>.</w:t>
      </w:r>
    </w:p>
    <w:p w14:paraId="66F82BBA" w14:textId="77777777" w:rsidR="00AB3647" w:rsidRDefault="00AB3647" w:rsidP="007923E9">
      <w:pPr>
        <w:spacing w:line="276" w:lineRule="auto"/>
        <w:sectPr w:rsidR="00AB3647">
          <w:footerReference w:type="default" r:id="rId14"/>
          <w:footnotePr>
            <w:pos w:val="pageBottom"/>
            <w:numRestart w:val="eachSect"/>
          </w:footnotePr>
          <w:pgSz w:w="9638" w:h="13606"/>
          <w:pgMar w:top="1134" w:right="1077" w:bottom="1134" w:left="1077" w:header="567" w:footer="567" w:gutter="0"/>
          <w:cols w:space="720"/>
          <w:bidi/>
          <w:docGrid w:linePitch="360"/>
        </w:sectPr>
      </w:pPr>
    </w:p>
    <w:p w14:paraId="59B26FB6" w14:textId="77777777" w:rsidR="00AB3647" w:rsidRDefault="00000000" w:rsidP="007923E9">
      <w:pPr>
        <w:pStyle w:val="ae"/>
        <w:spacing w:after="160" w:line="276" w:lineRule="auto"/>
      </w:pPr>
      <w:bookmarkStart w:id="3983" w:name="b4_chapter"/>
      <w:r>
        <w:lastRenderedPageBreak/>
        <w:t>פרק רביעי</w:t>
      </w:r>
      <w:bookmarkEnd w:id="3983"/>
    </w:p>
    <w:p w14:paraId="2D747D99" w14:textId="77777777" w:rsidR="00AB3647" w:rsidRDefault="00000000" w:rsidP="007923E9">
      <w:pPr>
        <w:pStyle w:val="1"/>
        <w:spacing w:after="160" w:line="276" w:lineRule="auto"/>
      </w:pPr>
      <w:r>
        <w:t xml:space="preserve">העשור השני – ג: ישיבת </w:t>
      </w:r>
      <w:proofErr w:type="spellStart"/>
      <w:r>
        <w:t>סלבודקה</w:t>
      </w:r>
      <w:proofErr w:type="spellEnd"/>
    </w:p>
    <w:p w14:paraId="6903204F" w14:textId="77777777" w:rsidR="00AB3647" w:rsidRDefault="00000000" w:rsidP="007923E9">
      <w:pPr>
        <w:pStyle w:val="2"/>
        <w:spacing w:after="160" w:line="276" w:lineRule="auto"/>
      </w:pPr>
      <w:bookmarkStart w:id="3984" w:name="b4_notes"/>
      <w:r>
        <w:rPr>
          <w:sz w:val="36"/>
          <w:szCs w:val="36"/>
        </w:rPr>
        <w:t>הסיפור וההערות</w:t>
      </w:r>
      <w:bookmarkEnd w:id="3984"/>
    </w:p>
    <w:p w14:paraId="37FB6CB6" w14:textId="77777777" w:rsidR="00AB3647" w:rsidRDefault="00000000" w:rsidP="007923E9">
      <w:pPr>
        <w:pStyle w:val="2"/>
        <w:spacing w:after="160" w:line="276" w:lineRule="auto"/>
      </w:pPr>
      <w:bookmarkStart w:id="3985" w:name="b4_sec1"/>
      <w:r>
        <w:rPr>
          <w:sz w:val="26"/>
          <w:szCs w:val="26"/>
        </w:rPr>
        <w:t>1.</w:t>
      </w:r>
      <w:bookmarkEnd w:id="3985"/>
    </w:p>
    <w:p w14:paraId="43865F2E" w14:textId="53621112"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 xml:space="preserve">אף שכל היום עסק בעשרות תלמידים, נשאר הסבא </w:t>
      </w:r>
      <w:proofErr w:type="spellStart"/>
      <w:r>
        <w:rPr>
          <w:rtl/>
        </w:rPr>
        <w:t>מסלבודקה</w:t>
      </w:r>
      <w:proofErr w:type="spellEnd"/>
      <w:r>
        <w:rPr>
          <w:rtl/>
        </w:rPr>
        <w:t xml:space="preserve"> דמות נסתרת. הוא עשה כל שביכולתו להסתיר את עבודתו הרוחנית</w:t>
      </w:r>
      <w:bookmarkStart w:id="3986" w:name="b4_text1"/>
      <w:bookmarkEnd w:id="3986"/>
      <w:r>
        <w:rPr>
          <w:sz w:val="18"/>
          <w:szCs w:val="18"/>
          <w:vertAlign w:val="superscript"/>
          <w:rtl/>
        </w:rPr>
        <w:fldChar w:fldCharType="begin" w:dirty="true"/>
      </w:r>
      <w:r>
        <w:rPr>
          <w:sz w:val="18"/>
          <w:szCs w:val="18"/>
          <w:vertAlign w:val="superscript"/>
          <w:rtl/>
        </w:rPr>
        <w:instrText xml:space="preserve"> REF b4_note1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w:t>
      </w:r>
      <w:r>
        <w:rPr>
          <w:sz w:val="18"/>
          <w:szCs w:val="18"/>
          <w:vertAlign w:val="superscript"/>
          <w:rtl/>
        </w:rPr>
        <w:fldChar w:fldCharType="end"/>
      </w:r>
      <w:r>
        <w:rPr>
          <w:rtl/>
        </w:rPr>
        <w:t>. תלמידיו מעולם לא ראוהו לומד</w:t>
      </w:r>
      <w:bookmarkStart w:id="3987" w:name="b4_text2"/>
      <w:bookmarkEnd w:id="3987"/>
      <w:r>
        <w:rPr>
          <w:sz w:val="18"/>
          <w:szCs w:val="18"/>
          <w:vertAlign w:val="superscript"/>
          <w:rtl/>
        </w:rPr>
        <w:fldChar w:fldCharType="begin" w:dirty="true"/>
      </w:r>
      <w:r>
        <w:rPr>
          <w:sz w:val="18"/>
          <w:szCs w:val="18"/>
          <w:vertAlign w:val="superscript"/>
          <w:rtl/>
        </w:rPr>
        <w:instrText xml:space="preserve"> REF b4_note2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2</w:t>
      </w:r>
      <w:r>
        <w:rPr>
          <w:sz w:val="18"/>
          <w:szCs w:val="18"/>
          <w:vertAlign w:val="superscript"/>
          <w:rtl/>
        </w:rPr>
        <w:fldChar w:fldCharType="end"/>
      </w:r>
      <w:r>
        <w:rPr>
          <w:rtl/>
        </w:rPr>
        <w:t xml:space="preserve">, ואלמלא ביקש מהם מפעם לפעם לחזור לפניו על השיעור ועל החידושים ששמעו מפי ר׳ </w:t>
      </w:r>
      <w:proofErr w:type="spellStart"/>
      <w:r>
        <w:rPr>
          <w:rtl/>
        </w:rPr>
        <w:t>ברוך־בער</w:t>
      </w:r>
      <w:proofErr w:type="spellEnd"/>
      <w:r>
        <w:rPr>
          <w:rtl/>
        </w:rPr>
        <w:t xml:space="preserve"> בישיבה האחרת, היו סבורים שאין לו כל ידיעה בתלמוד ובהלכה</w:t>
      </w:r>
      <w:bookmarkStart w:id="3988" w:name="b4_text3"/>
      <w:bookmarkEnd w:id="3988"/>
      <w:r>
        <w:rPr>
          <w:sz w:val="18"/>
          <w:szCs w:val="18"/>
          <w:vertAlign w:val="superscript"/>
          <w:rtl/>
        </w:rPr>
        <w:fldChar w:fldCharType="begin" w:dirty="true"/>
      </w:r>
      <w:r>
        <w:rPr>
          <w:sz w:val="18"/>
          <w:szCs w:val="18"/>
          <w:vertAlign w:val="superscript"/>
          <w:rtl/>
        </w:rPr>
        <w:instrText xml:space="preserve"> REF b4_note3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3</w:t>
      </w:r>
      <w:r>
        <w:rPr>
          <w:sz w:val="18"/>
          <w:szCs w:val="18"/>
          <w:vertAlign w:val="superscript"/>
          <w:rtl/>
        </w:rPr>
        <w:fldChar w:fldCharType="end"/>
      </w:r>
      <w:r>
        <w:rPr>
          <w:rtl/>
        </w:rPr>
        <w:t>.</w:t>
      </w:r>
    </w:p>
    <w:bookmarkStart w:id="3989" w:name="b4_note1"/>
    <w:p w14:paraId="14FE321E" w14:textId="77777777" w:rsidR="00AB3647" w:rsidRDefault="00000000" w:rsidP="007923E9">
      <w:pPr>
        <w:spacing w:before="120" w:after="100" w:line="276" w:lineRule="auto"/>
        <w:jc w:val="both"/>
      </w:pPr>
      <w:r>
        <w:fldChar w:fldCharType="begin" w:dirty="true"/>
      </w:r>
      <w:r>
        <w:instrText>HYPERLINK \l "b4_text1" \h</w:instrText>
      </w:r>
      <w:r>
        <w:fldChar w:fldCharType="separate"/>
      </w:r>
      <w:r>
        <w:rPr>
          <w:b/>
          <w:bCs/>
          <w:rtl/>
        </w:rPr>
        <w:t>1</w:t>
      </w:r>
      <w:r>
        <w:rPr>
          <w:b/>
          <w:bCs/>
        </w:rPr>
        <w:fldChar w:fldCharType="end"/>
      </w:r>
      <w:bookmarkEnd w:id="3989"/>
      <w:r>
        <w:rPr>
          <w:rtl/>
        </w:rPr>
        <w:t xml:space="preserve"> השווה פרק 3, הפסקה הראשונה של נספח לג. בספר הזיכרון לסבא </w:t>
      </w:r>
      <w:proofErr w:type="spellStart"/>
      <w:r>
        <w:rPr>
          <w:rtl/>
        </w:rPr>
        <w:t>מסלבודקה</w:t>
      </w:r>
      <w:proofErr w:type="spellEnd"/>
      <w:r>
        <w:rPr>
          <w:rtl/>
        </w:rPr>
        <w:t xml:space="preserve"> שערך ר׳ </w:t>
      </w:r>
      <w:proofErr w:type="spellStart"/>
      <w:r>
        <w:rPr>
          <w:rtl/>
        </w:rPr>
        <w:t>ישראל־זיסל</w:t>
      </w:r>
      <w:proofErr w:type="spellEnd"/>
      <w:r>
        <w:rPr>
          <w:rtl/>
        </w:rPr>
        <w:t xml:space="preserve"> </w:t>
      </w:r>
      <w:proofErr w:type="spellStart"/>
      <w:r>
        <w:rPr>
          <w:rtl/>
        </w:rPr>
        <w:t>דבורץ</w:t>
      </w:r>
      <w:bookmarkStart w:id="3990" w:name="_fnr3031"/>
      <w:proofErr w:type="spellEnd"/>
      <w:r>
        <w:rPr>
          <w:vertAlign w:val="superscript"/>
          <w:rtl/>
        </w:rPr>
        <w:footnoteReference w:id="3039" w:customMarkFollows="0"/>
      </w:r>
      <w:bookmarkEnd w:id="3990"/>
      <w:r>
        <w:rPr>
          <w:rtl/>
        </w:rPr>
        <w:t xml:space="preserve"> נאמר: “בחיצוניותו לא היה דבר שהבדיל אותו מאחרים. הוא היה ממש כאחד מאתנו – לא ניכרו על פניו סימנים לפנימיותו. מעולם לא השתרר ולא התנשא על איש בחייו. תמיד התהלך בצניעות שאין דוגמתה”</w:t>
      </w:r>
      <w:bookmarkStart w:id="3991" w:name="_fnr3032"/>
      <w:r>
        <w:rPr>
          <w:vertAlign w:val="superscript"/>
          <w:rtl/>
        </w:rPr>
        <w:footnoteReference w:id="3040" w:customMarkFollows="0"/>
      </w:r>
      <w:bookmarkEnd w:id="3991"/>
      <w:r>
        <w:rPr>
          <w:rtl/>
        </w:rPr>
        <w:t>. העורך כותב שם</w:t>
      </w:r>
      <w:bookmarkStart w:id="3992" w:name="_fnr3033"/>
      <w:r>
        <w:rPr>
          <w:vertAlign w:val="superscript"/>
          <w:rtl/>
        </w:rPr>
        <w:footnoteReference w:id="3041" w:customMarkFollows="0"/>
      </w:r>
      <w:bookmarkEnd w:id="3992"/>
      <w:r>
        <w:rPr>
          <w:rtl/>
        </w:rPr>
        <w:t>: “הוא היה אמן בהסתרה גמורה של גדולת תורתו ועליונות שכלו, מפני שלא ראה בגילוין תועלת לפעולותיו”. עוד מעיר העורך</w:t>
      </w:r>
      <w:bookmarkStart w:id="3993" w:name="_fnr3034"/>
      <w:r>
        <w:rPr>
          <w:vertAlign w:val="superscript"/>
          <w:rtl/>
        </w:rPr>
        <w:footnoteReference w:id="3042" w:customMarkFollows="0"/>
      </w:r>
      <w:bookmarkEnd w:id="3993"/>
      <w:r>
        <w:rPr>
          <w:rtl/>
        </w:rPr>
        <w:t xml:space="preserve"> שהפסוק “ואת צנועים חכמה”</w:t>
      </w:r>
      <w:bookmarkStart w:id="3994" w:name="_fnr3035"/>
      <w:r>
        <w:rPr>
          <w:vertAlign w:val="superscript"/>
          <w:rtl/>
        </w:rPr>
        <w:footnoteReference w:id="3043" w:customMarkFollows="0"/>
      </w:r>
      <w:bookmarkEnd w:id="3994"/>
      <w:r>
        <w:rPr>
          <w:rtl/>
        </w:rPr>
        <w:t xml:space="preserve"> היה שגור בפיו</w:t>
      </w:r>
      <w:bookmarkStart w:id="3995" w:name="_fnr3036"/>
      <w:r>
        <w:rPr>
          <w:vertAlign w:val="superscript"/>
          <w:rtl/>
        </w:rPr>
        <w:footnoteReference w:id="3044" w:customMarkFollows="0"/>
      </w:r>
      <w:bookmarkEnd w:id="3995"/>
      <w:r>
        <w:rPr>
          <w:rtl/>
        </w:rPr>
        <w:t>.</w:t>
      </w:r>
    </w:p>
    <w:p w14:paraId="76D56A88" w14:textId="77777777" w:rsidR="00AB3647" w:rsidRDefault="00000000" w:rsidP="007923E9">
      <w:pPr>
        <w:spacing w:before="120" w:after="100" w:line="276" w:lineRule="auto"/>
        <w:jc w:val="both"/>
      </w:pPr>
      <w:r>
        <w:rPr>
          <w:rtl/>
        </w:rPr>
        <w:lastRenderedPageBreak/>
        <w:t xml:space="preserve">השווה גם שיר המדגיש את התכסותו של הסבא, בספר “הדת והחיים” מאת תלמיד </w:t>
      </w:r>
      <w:proofErr w:type="spellStart"/>
      <w:r>
        <w:rPr>
          <w:rtl/>
        </w:rPr>
        <w:t>סלבודקה</w:t>
      </w:r>
      <w:proofErr w:type="spellEnd"/>
      <w:r>
        <w:rPr>
          <w:rtl/>
        </w:rPr>
        <w:t xml:space="preserve"> הרב אלעזר ראובן </w:t>
      </w:r>
      <w:proofErr w:type="spellStart"/>
      <w:r>
        <w:rPr>
          <w:rtl/>
        </w:rPr>
        <w:t>מושקין</w:t>
      </w:r>
      <w:proofErr w:type="spellEnd"/>
      <w:r>
        <w:rPr>
          <w:rtl/>
        </w:rPr>
        <w:t>, שכותרתו “הסבא”</w:t>
      </w:r>
      <w:bookmarkStart w:id="3996" w:name="_fnr3037"/>
      <w:r>
        <w:rPr>
          <w:vertAlign w:val="superscript"/>
          <w:rtl/>
        </w:rPr>
        <w:footnoteReference w:id="3045" w:customMarkFollows="0"/>
      </w:r>
      <w:bookmarkEnd w:id="3996"/>
      <w:r>
        <w:rPr>
          <w:rtl/>
        </w:rPr>
        <w:t xml:space="preserve">. נראה שהשיר נכתב בעת פטירת הסבא </w:t>
      </w:r>
      <w:proofErr w:type="spellStart"/>
      <w:r>
        <w:rPr>
          <w:rtl/>
        </w:rPr>
        <w:t>מסלבודקה</w:t>
      </w:r>
      <w:proofErr w:type="spellEnd"/>
      <w:r>
        <w:rPr>
          <w:rtl/>
        </w:rPr>
        <w:t>, שמונה שנים אחרי שמחברו עבר לאמריקה. וזו לשונו</w:t>
      </w:r>
      <w:bookmarkStart w:id="3997" w:name="_fnr3038"/>
      <w:r>
        <w:rPr>
          <w:rStyle w:val="a5"/>
        </w:rPr>
        <w:t/>
      </w:r>
      <w:bookmarkStart w:id="7035" w:name="_TranslatorNote_3037"/>
      <w:r>
        <w:rPr>
          <w:rStyle w:val="a5"/>
          <w:vertAlign w:val="superscript"/>
          <w:rtl/>
        </w:rPr>
        <w:footnoteReference w:id="3046" w:customMarkFollows="1"/>
        <w:t>*</w:t>
      </w:r>
      <w:bookmarkEnd w:id="7035"/>
      <w:bookmarkEnd w:id="3997"/>
      <w:r>
        <w:rPr>
          <w:rtl/>
        </w:rPr>
        <w:t>:</w:t>
      </w:r>
    </w:p>
    <w:p w14:paraId="7464E81A" w14:textId="77777777" w:rsidR="00AB3647" w:rsidRDefault="00000000" w:rsidP="007923E9">
      <w:pPr>
        <w:pStyle w:val="af1"/>
        <w:keepNext/>
        <w:spacing w:line="276" w:lineRule="auto"/>
      </w:pPr>
      <w:r>
        <w:rPr>
          <w:sz w:val="26"/>
          <w:szCs w:val="26"/>
        </w:rPr>
        <w:t>עטוף, בקרב בני הנביאים,</w:t>
      </w:r>
    </w:p>
    <w:p w14:paraId="5E2921A8" w14:textId="77777777" w:rsidR="00AB3647" w:rsidRDefault="00000000" w:rsidP="007923E9">
      <w:pPr>
        <w:pStyle w:val="af1"/>
        <w:keepNext/>
        <w:spacing w:line="276" w:lineRule="auto"/>
      </w:pPr>
      <w:r>
        <w:rPr>
          <w:sz w:val="26"/>
          <w:szCs w:val="26"/>
        </w:rPr>
        <w:t>יצא הסבא בצנעה,</w:t>
      </w:r>
    </w:p>
    <w:p w14:paraId="6AFD1FBE" w14:textId="77777777" w:rsidR="00AB3647" w:rsidRDefault="00000000" w:rsidP="007923E9">
      <w:pPr>
        <w:pStyle w:val="af1"/>
        <w:keepNext/>
        <w:spacing w:line="276" w:lineRule="auto"/>
      </w:pPr>
      <w:r>
        <w:rPr>
          <w:sz w:val="26"/>
          <w:szCs w:val="26"/>
        </w:rPr>
        <w:t xml:space="preserve">מסווה על פניו ורוחו מגעת </w:t>
      </w:r>
      <w:proofErr w:type="spellStart"/>
      <w:r>
        <w:rPr>
          <w:sz w:val="26"/>
          <w:szCs w:val="26"/>
        </w:rPr>
        <w:t>השמימה</w:t>
      </w:r>
      <w:proofErr w:type="spellEnd"/>
      <w:r>
        <w:rPr>
          <w:sz w:val="26"/>
          <w:szCs w:val="26"/>
        </w:rPr>
        <w:t>.</w:t>
      </w:r>
    </w:p>
    <w:p w14:paraId="0BB7A394" w14:textId="77777777" w:rsidR="00AB3647" w:rsidRDefault="00000000" w:rsidP="007923E9">
      <w:pPr>
        <w:pStyle w:val="af1"/>
        <w:keepNext/>
        <w:spacing w:line="276" w:lineRule="auto"/>
      </w:pPr>
      <w:r>
        <w:rPr>
          <w:sz w:val="26"/>
          <w:szCs w:val="26"/>
        </w:rPr>
        <w:t>צללים מסתוריים וסודות עולם</w:t>
      </w:r>
    </w:p>
    <w:p w14:paraId="1F0B1971" w14:textId="77777777" w:rsidR="00AB3647" w:rsidRDefault="00000000" w:rsidP="007923E9">
      <w:pPr>
        <w:pStyle w:val="af1"/>
        <w:keepNext/>
        <w:spacing w:line="276" w:lineRule="auto"/>
      </w:pPr>
      <w:r>
        <w:rPr>
          <w:sz w:val="26"/>
          <w:szCs w:val="26"/>
        </w:rPr>
        <w:t>הקיפוהו בדממה,</w:t>
      </w:r>
    </w:p>
    <w:p w14:paraId="07DBD221" w14:textId="77777777" w:rsidR="00AB3647" w:rsidRDefault="00000000" w:rsidP="007923E9">
      <w:pPr>
        <w:pStyle w:val="af1"/>
        <w:keepNext/>
        <w:spacing w:line="276" w:lineRule="auto"/>
      </w:pPr>
      <w:r>
        <w:rPr>
          <w:sz w:val="26"/>
          <w:szCs w:val="26"/>
        </w:rPr>
        <w:t>ורק מעיניו הבוערות הבזיק הוד</w:t>
      </w:r>
    </w:p>
    <w:p w14:paraId="1718F9CF" w14:textId="77777777" w:rsidR="00AB3647" w:rsidRDefault="00000000" w:rsidP="007923E9">
      <w:pPr>
        <w:pStyle w:val="af1"/>
        <w:keepNext/>
        <w:spacing w:line="276" w:lineRule="auto"/>
      </w:pPr>
      <w:r>
        <w:rPr>
          <w:sz w:val="26"/>
          <w:szCs w:val="26"/>
        </w:rPr>
        <w:t>מראה הנשמה;</w:t>
      </w:r>
    </w:p>
    <w:p w14:paraId="3434280E" w14:textId="77777777" w:rsidR="00AB3647" w:rsidRDefault="00000000" w:rsidP="007923E9">
      <w:pPr>
        <w:pStyle w:val="af1"/>
        <w:keepNext/>
        <w:spacing w:line="276" w:lineRule="auto"/>
      </w:pPr>
      <w:r>
        <w:rPr>
          <w:sz w:val="26"/>
          <w:szCs w:val="26"/>
        </w:rPr>
        <w:t>לבו הרוגש, נהר האש המלא סער</w:t>
      </w:r>
    </w:p>
    <w:p w14:paraId="4FF18138" w14:textId="77777777" w:rsidR="00AB3647" w:rsidRDefault="00000000" w:rsidP="007923E9">
      <w:pPr>
        <w:pStyle w:val="af1"/>
        <w:keepNext/>
        <w:spacing w:line="276" w:lineRule="auto"/>
      </w:pPr>
      <w:r>
        <w:rPr>
          <w:sz w:val="26"/>
          <w:szCs w:val="26"/>
        </w:rPr>
        <w:t>וסופה,</w:t>
      </w:r>
    </w:p>
    <w:p w14:paraId="7EF71CE7" w14:textId="77777777" w:rsidR="00AB3647" w:rsidRDefault="00000000" w:rsidP="007923E9">
      <w:pPr>
        <w:pStyle w:val="af1"/>
        <w:keepNext/>
        <w:spacing w:line="276" w:lineRule="auto"/>
      </w:pPr>
      <w:r>
        <w:rPr>
          <w:sz w:val="26"/>
          <w:szCs w:val="26"/>
        </w:rPr>
        <w:t>נרגע בהשפעת שכלו הצלול, הבהיר והקר.</w:t>
      </w:r>
    </w:p>
    <w:p w14:paraId="691CC8C5" w14:textId="77777777" w:rsidR="00AB3647" w:rsidRDefault="00000000" w:rsidP="007923E9">
      <w:pPr>
        <w:pStyle w:val="af1"/>
        <w:keepNext/>
        <w:spacing w:line="276" w:lineRule="auto"/>
      </w:pPr>
      <w:r>
        <w:rPr>
          <w:sz w:val="26"/>
          <w:szCs w:val="26"/>
        </w:rPr>
        <w:t>וחי חיי סתר, חיי זוהר,</w:t>
      </w:r>
    </w:p>
    <w:p w14:paraId="104F1B57" w14:textId="77777777" w:rsidR="00AB3647" w:rsidRDefault="00000000" w:rsidP="007923E9">
      <w:pPr>
        <w:pStyle w:val="af1"/>
        <w:keepNext/>
        <w:spacing w:line="276" w:lineRule="auto"/>
      </w:pPr>
      <w:r>
        <w:rPr>
          <w:sz w:val="26"/>
          <w:szCs w:val="26"/>
        </w:rPr>
        <w:t>חיי רז,</w:t>
      </w:r>
    </w:p>
    <w:p w14:paraId="45D8900D" w14:textId="77777777" w:rsidR="00AB3647" w:rsidRDefault="00000000" w:rsidP="007923E9">
      <w:pPr>
        <w:pStyle w:val="af1"/>
        <w:keepNext/>
        <w:spacing w:line="276" w:lineRule="auto"/>
      </w:pPr>
      <w:r>
        <w:rPr>
          <w:sz w:val="26"/>
          <w:szCs w:val="26"/>
        </w:rPr>
        <w:t>ואיש לא הבחין בו מעולם</w:t>
      </w:r>
    </w:p>
    <w:p w14:paraId="201B2C73" w14:textId="77777777" w:rsidR="00AB3647" w:rsidRDefault="00000000" w:rsidP="007923E9">
      <w:pPr>
        <w:pStyle w:val="af1"/>
        <w:keepNext/>
        <w:spacing w:line="276" w:lineRule="auto"/>
      </w:pPr>
      <w:r>
        <w:rPr>
          <w:sz w:val="26"/>
          <w:szCs w:val="26"/>
        </w:rPr>
        <w:t>בנועם אותו הוד.</w:t>
      </w:r>
    </w:p>
    <w:p w14:paraId="4D84F691" w14:textId="77777777" w:rsidR="00AB3647" w:rsidRDefault="00000000" w:rsidP="007923E9">
      <w:pPr>
        <w:pStyle w:val="af1"/>
        <w:keepNext/>
        <w:spacing w:line="276" w:lineRule="auto"/>
      </w:pPr>
      <w:r>
        <w:rPr>
          <w:sz w:val="26"/>
          <w:szCs w:val="26"/>
        </w:rPr>
        <w:t>בסתר פעל ובנה</w:t>
      </w:r>
    </w:p>
    <w:p w14:paraId="00F3FAC3" w14:textId="77777777" w:rsidR="00AB3647" w:rsidRDefault="00000000" w:rsidP="007923E9">
      <w:pPr>
        <w:pStyle w:val="af1"/>
        <w:keepNext/>
        <w:spacing w:line="276" w:lineRule="auto"/>
      </w:pPr>
      <w:r>
        <w:rPr>
          <w:sz w:val="26"/>
          <w:szCs w:val="26"/>
        </w:rPr>
        <w:t>מגדל אדיר ונפלא,</w:t>
      </w:r>
    </w:p>
    <w:p w14:paraId="2AE7B567" w14:textId="77777777" w:rsidR="00AB3647" w:rsidRDefault="00000000" w:rsidP="007923E9">
      <w:pPr>
        <w:pStyle w:val="af1"/>
        <w:keepNext/>
        <w:spacing w:line="276" w:lineRule="auto"/>
      </w:pPr>
      <w:r>
        <w:rPr>
          <w:sz w:val="26"/>
          <w:szCs w:val="26"/>
        </w:rPr>
        <w:t>והאיר את העולם במוסר האדם,</w:t>
      </w:r>
    </w:p>
    <w:p w14:paraId="1626EA7E" w14:textId="77777777" w:rsidR="00AB3647" w:rsidRDefault="00000000" w:rsidP="007923E9">
      <w:pPr>
        <w:pStyle w:val="af1"/>
        <w:keepNext/>
        <w:spacing w:line="276" w:lineRule="auto"/>
      </w:pPr>
      <w:r>
        <w:rPr>
          <w:sz w:val="26"/>
          <w:szCs w:val="26"/>
        </w:rPr>
        <w:t>בקדושת התורה.</w:t>
      </w:r>
    </w:p>
    <w:p w14:paraId="6DFE99FB" w14:textId="77777777" w:rsidR="00AB3647" w:rsidRDefault="00000000" w:rsidP="007923E9">
      <w:pPr>
        <w:pStyle w:val="af1"/>
        <w:keepNext/>
        <w:spacing w:line="276" w:lineRule="auto"/>
      </w:pPr>
      <w:r>
        <w:rPr>
          <w:sz w:val="26"/>
          <w:szCs w:val="26"/>
        </w:rPr>
        <w:t xml:space="preserve">והסתיר את מעשיו, את </w:t>
      </w:r>
      <w:proofErr w:type="spellStart"/>
      <w:r>
        <w:rPr>
          <w:sz w:val="26"/>
          <w:szCs w:val="26"/>
        </w:rPr>
        <w:t>חכמתו</w:t>
      </w:r>
      <w:proofErr w:type="spellEnd"/>
    </w:p>
    <w:p w14:paraId="5B662F33" w14:textId="77777777" w:rsidR="00AB3647" w:rsidRDefault="00000000" w:rsidP="007923E9">
      <w:pPr>
        <w:pStyle w:val="af1"/>
        <w:keepNext/>
        <w:spacing w:line="276" w:lineRule="auto"/>
      </w:pPr>
      <w:r>
        <w:rPr>
          <w:sz w:val="26"/>
          <w:szCs w:val="26"/>
        </w:rPr>
        <w:t>ואת אמונתו המזוככת,</w:t>
      </w:r>
    </w:p>
    <w:p w14:paraId="7A2DA73E" w14:textId="77777777" w:rsidR="00AB3647" w:rsidRDefault="00000000" w:rsidP="007923E9">
      <w:pPr>
        <w:pStyle w:val="af1"/>
        <w:keepNext/>
        <w:spacing w:line="276" w:lineRule="auto"/>
      </w:pPr>
      <w:r>
        <w:rPr>
          <w:sz w:val="26"/>
          <w:szCs w:val="26"/>
        </w:rPr>
        <w:t>ונאסף אל עמיו</w:t>
      </w:r>
    </w:p>
    <w:p w14:paraId="4475EF0F" w14:textId="77777777" w:rsidR="00AB3647" w:rsidRDefault="00000000" w:rsidP="007923E9">
      <w:pPr>
        <w:pStyle w:val="af1"/>
        <w:keepNext/>
        <w:spacing w:line="276" w:lineRule="auto"/>
      </w:pPr>
      <w:r>
        <w:rPr>
          <w:sz w:val="26"/>
          <w:szCs w:val="26"/>
        </w:rPr>
        <w:t>ברוממותו העטופה...</w:t>
      </w:r>
    </w:p>
    <w:p w14:paraId="7B60DDE6" w14:textId="77777777" w:rsidR="00AB3647" w:rsidRDefault="00000000" w:rsidP="007923E9">
      <w:pPr>
        <w:spacing w:after="120" w:line="276" w:lineRule="auto"/>
        <w:jc w:val="both"/>
      </w:pPr>
      <w:r>
        <w:rPr>
          <w:rtl/>
        </w:rPr>
        <w:t>הסבא חתם את שמו “הצפן”: ראשי התיבות של שמו</w:t>
      </w:r>
      <w:bookmarkStart w:id="3998" w:name="_fnr3039"/>
      <w:r>
        <w:rPr>
          <w:vertAlign w:val="superscript"/>
          <w:rtl/>
        </w:rPr>
        <w:footnoteReference w:id="3047" w:customMarkFollows="0"/>
      </w:r>
      <w:bookmarkEnd w:id="3998"/>
      <w:r>
        <w:rPr>
          <w:rtl/>
        </w:rPr>
        <w:t xml:space="preserve"> בתוספת ה״א הידיעה</w:t>
      </w:r>
      <w:bookmarkStart w:id="3999" w:name="_fnr3040"/>
      <w:r>
        <w:rPr>
          <w:vertAlign w:val="superscript"/>
          <w:rtl/>
        </w:rPr>
        <w:footnoteReference w:id="3048" w:customMarkFollows="0"/>
      </w:r>
      <w:bookmarkEnd w:id="3999"/>
      <w:r>
        <w:rPr>
          <w:rtl/>
        </w:rPr>
        <w:t>, בסדר שמשמעותו “הנסתר”</w:t>
      </w:r>
      <w:bookmarkStart w:id="4000" w:name="_fnr3041"/>
      <w:r>
        <w:rPr>
          <w:vertAlign w:val="superscript"/>
          <w:rtl/>
        </w:rPr>
        <w:footnoteReference w:id="3049" w:customMarkFollows="0"/>
      </w:r>
      <w:bookmarkEnd w:id="4000"/>
      <w:r>
        <w:rPr>
          <w:rtl/>
        </w:rPr>
        <w:t xml:space="preserve">. כשנתמנה אבי לרבה של </w:t>
      </w:r>
      <w:proofErr w:type="spellStart"/>
      <w:r>
        <w:rPr>
          <w:rtl/>
        </w:rPr>
        <w:t>ציטוביאן</w:t>
      </w:r>
      <w:bookmarkStart w:id="4001" w:name="_fnr3042"/>
      <w:proofErr w:type="spellEnd"/>
      <w:r>
        <w:rPr>
          <w:vertAlign w:val="superscript"/>
          <w:rtl/>
        </w:rPr>
        <w:footnoteReference w:id="3050" w:customMarkFollows="0"/>
      </w:r>
      <w:bookmarkEnd w:id="4001"/>
      <w:r>
        <w:rPr>
          <w:rtl/>
        </w:rPr>
        <w:t xml:space="preserve">, קיבל ממנו מכתב ברכה שנכתב </w:t>
      </w:r>
      <w:proofErr w:type="spellStart"/>
      <w:r>
        <w:rPr>
          <w:rtl/>
        </w:rPr>
        <w:t>בתרפ״ו</w:t>
      </w:r>
      <w:proofErr w:type="spellEnd"/>
      <w:r>
        <w:rPr>
          <w:rtl/>
        </w:rPr>
        <w:t xml:space="preserve">, חמישה חודשים לפני פטירתו, ובו חתם בשמו המלא. בריאיון המוקלט על הסבא </w:t>
      </w:r>
      <w:proofErr w:type="spellStart"/>
      <w:r>
        <w:rPr>
          <w:rtl/>
        </w:rPr>
        <w:t>מסלבודקה</w:t>
      </w:r>
      <w:bookmarkStart w:id="4002" w:name="_fnr3043"/>
      <w:proofErr w:type="spellEnd"/>
      <w:r>
        <w:rPr>
          <w:vertAlign w:val="superscript"/>
          <w:rtl/>
        </w:rPr>
        <w:footnoteReference w:id="3051" w:customMarkFollows="0"/>
      </w:r>
      <w:bookmarkEnd w:id="4002"/>
      <w:r>
        <w:rPr>
          <w:rtl/>
        </w:rPr>
        <w:t xml:space="preserve"> ייחס רבנו שינוי זה, בלשון סתומה, לכך שר׳ </w:t>
      </w:r>
      <w:proofErr w:type="spellStart"/>
      <w:r>
        <w:rPr>
          <w:rtl/>
        </w:rPr>
        <w:t>נתן־צבי</w:t>
      </w:r>
      <w:proofErr w:type="spellEnd"/>
      <w:r>
        <w:rPr>
          <w:rtl/>
        </w:rPr>
        <w:t xml:space="preserve"> כבר היה “בשנותיו </w:t>
      </w:r>
      <w:r>
        <w:rPr>
          <w:rtl/>
        </w:rPr>
        <w:lastRenderedPageBreak/>
        <w:t xml:space="preserve">האחרונות”. נראה שכוונת אבי הייתה שהסבא </w:t>
      </w:r>
      <w:proofErr w:type="spellStart"/>
      <w:r>
        <w:rPr>
          <w:rtl/>
        </w:rPr>
        <w:t>מסלבודקה</w:t>
      </w:r>
      <w:proofErr w:type="spellEnd"/>
      <w:r>
        <w:rPr>
          <w:rtl/>
        </w:rPr>
        <w:t xml:space="preserve"> המציא את החתימה הסתומה כדי להתרחק מן הפרסום, אבל בזקנותו כבר לא חש בכך צורך, משום שחדל לתת דעתו למה שהבריות חושבות עליו.</w:t>
      </w:r>
    </w:p>
    <w:p w14:paraId="4E2DBD62" w14:textId="77777777" w:rsidR="00AB3647" w:rsidRDefault="00000000" w:rsidP="007923E9">
      <w:pPr>
        <w:spacing w:after="120" w:line="276" w:lineRule="auto"/>
        <w:jc w:val="both"/>
      </w:pPr>
      <w:r>
        <w:rPr>
          <w:rtl/>
        </w:rPr>
        <w:t xml:space="preserve">בספר הזיכרון לסבא </w:t>
      </w:r>
      <w:proofErr w:type="spellStart"/>
      <w:r>
        <w:rPr>
          <w:rtl/>
        </w:rPr>
        <w:t>מסלבודקה</w:t>
      </w:r>
      <w:proofErr w:type="spellEnd"/>
      <w:r>
        <w:rPr>
          <w:rtl/>
        </w:rPr>
        <w:t xml:space="preserve"> שערך ר׳ </w:t>
      </w:r>
      <w:proofErr w:type="spellStart"/>
      <w:r>
        <w:rPr>
          <w:rtl/>
        </w:rPr>
        <w:t>ישראל־זיסל</w:t>
      </w:r>
      <w:proofErr w:type="spellEnd"/>
      <w:r>
        <w:rPr>
          <w:rtl/>
        </w:rPr>
        <w:t xml:space="preserve"> </w:t>
      </w:r>
      <w:proofErr w:type="spellStart"/>
      <w:r>
        <w:rPr>
          <w:rtl/>
        </w:rPr>
        <w:t>דבורץ</w:t>
      </w:r>
      <w:bookmarkStart w:id="4003" w:name="_fnr3044"/>
      <w:proofErr w:type="spellEnd"/>
      <w:r>
        <w:rPr>
          <w:vertAlign w:val="superscript"/>
          <w:rtl/>
        </w:rPr>
        <w:footnoteReference w:id="3052" w:customMarkFollows="0"/>
      </w:r>
      <w:bookmarkEnd w:id="4003"/>
      <w:r>
        <w:rPr>
          <w:rtl/>
        </w:rPr>
        <w:t xml:space="preserve"> מתואר שינוי זה בהנהגת הסבא כך: “במעשיו הציבוריים הסתתר מאחורי מסווה של אחרים, וטיכס תחבולות מורכבות כדי להעלים את שמו, </w:t>
      </w:r>
      <w:r>
        <w:rPr>
          <w:b/>
          <w:bCs/>
          <w:rtl/>
        </w:rPr>
        <w:t>עד שנותיו האחרונות, שבהן הגיע למידת ההשתוות הגמורה</w:t>
      </w:r>
      <w:r>
        <w:rPr>
          <w:rtl/>
        </w:rPr>
        <w:t>” (ההדגשה שלי). אולם השווה בספרו של כץ, “תנועת המוסר”, כרך ג</w:t>
      </w:r>
      <w:bookmarkStart w:id="4004" w:name="_fnr3045"/>
      <w:r>
        <w:rPr>
          <w:vertAlign w:val="superscript"/>
          <w:rtl/>
        </w:rPr>
        <w:footnoteReference w:id="3053" w:customMarkFollows="0"/>
      </w:r>
      <w:bookmarkEnd w:id="4004"/>
      <w:r>
        <w:rPr>
          <w:rtl/>
        </w:rPr>
        <w:t xml:space="preserve">, תצלום מכתב שכתב הסבא בדרכו לארץ ישראל אל תלמיד </w:t>
      </w:r>
      <w:proofErr w:type="spellStart"/>
      <w:r>
        <w:rPr>
          <w:rtl/>
        </w:rPr>
        <w:t>בסלבודקה</w:t>
      </w:r>
      <w:proofErr w:type="spellEnd"/>
      <w:r>
        <w:rPr>
          <w:rtl/>
        </w:rPr>
        <w:t xml:space="preserve">, וחתם בו “הצפן” – אף שתאריכו מוקדם בשנה אחת בלבד מן המכתב שנשלח לאבי, כשר׳ </w:t>
      </w:r>
      <w:proofErr w:type="spellStart"/>
      <w:r>
        <w:rPr>
          <w:rtl/>
        </w:rPr>
        <w:t>נתן־צבי</w:t>
      </w:r>
      <w:proofErr w:type="spellEnd"/>
      <w:r>
        <w:rPr>
          <w:rtl/>
        </w:rPr>
        <w:t xml:space="preserve"> כבר היה “בשנותיו האחרונות”.</w:t>
      </w:r>
    </w:p>
    <w:p w14:paraId="4BC74A1E" w14:textId="77777777" w:rsidR="00AB3647" w:rsidRDefault="00000000" w:rsidP="007923E9">
      <w:pPr>
        <w:spacing w:after="120" w:line="276" w:lineRule="auto"/>
        <w:jc w:val="both"/>
      </w:pPr>
      <w:r>
        <w:rPr>
          <w:rtl/>
        </w:rPr>
        <w:t>אפשר לשער שהחתימה המוצפנת של הסבא, שפירושה “הנסתר”, לא הייתה אלא ביטוי לנטייתו לכתוב בצורות סתומות: (א) מילות צופן שהמציא בעצמו</w:t>
      </w:r>
      <w:bookmarkStart w:id="4005" w:name="_fnr3046"/>
      <w:r>
        <w:rPr>
          <w:vertAlign w:val="superscript"/>
          <w:rtl/>
        </w:rPr>
        <w:footnoteReference w:id="3054" w:customMarkFollows="0"/>
      </w:r>
      <w:bookmarkEnd w:id="4005"/>
      <w:r>
        <w:rPr>
          <w:rtl/>
        </w:rPr>
        <w:t>; (ב) ראשי תיבות נדירים</w:t>
      </w:r>
      <w:bookmarkStart w:id="4006" w:name="_fnr3047"/>
      <w:r>
        <w:rPr>
          <w:vertAlign w:val="superscript"/>
          <w:rtl/>
        </w:rPr>
        <w:footnoteReference w:id="3055" w:customMarkFollows="0"/>
      </w:r>
      <w:bookmarkEnd w:id="4006"/>
      <w:r>
        <w:rPr>
          <w:rtl/>
        </w:rPr>
        <w:t xml:space="preserve">; ו(ג) אותיות </w:t>
      </w:r>
      <w:proofErr w:type="spellStart"/>
      <w:r>
        <w:rPr>
          <w:rtl/>
        </w:rPr>
        <w:t>שגימטרייתן</w:t>
      </w:r>
      <w:proofErr w:type="spellEnd"/>
      <w:r>
        <w:rPr>
          <w:rtl/>
        </w:rPr>
        <w:t xml:space="preserve"> כשנת הכתיבה</w:t>
      </w:r>
      <w:bookmarkStart w:id="4007" w:name="_fnr3048"/>
      <w:r>
        <w:rPr>
          <w:vertAlign w:val="superscript"/>
          <w:rtl/>
        </w:rPr>
        <w:footnoteReference w:id="3056" w:customMarkFollows="0"/>
      </w:r>
      <w:bookmarkEnd w:id="4007"/>
      <w:r>
        <w:rPr>
          <w:rtl/>
        </w:rPr>
        <w:t xml:space="preserve">. לפי זה דרוש טעם אחר מזה שנתן אבי, כדי להסביר מדוע חתם הסבא </w:t>
      </w:r>
      <w:proofErr w:type="spellStart"/>
      <w:r>
        <w:rPr>
          <w:rtl/>
        </w:rPr>
        <w:t>מסלבודקה</w:t>
      </w:r>
      <w:proofErr w:type="spellEnd"/>
      <w:r>
        <w:rPr>
          <w:rtl/>
        </w:rPr>
        <w:t xml:space="preserve"> בשמו המלא על המכתב </w:t>
      </w:r>
      <w:proofErr w:type="spellStart"/>
      <w:r>
        <w:rPr>
          <w:rtl/>
        </w:rPr>
        <w:t>לציטוביאן</w:t>
      </w:r>
      <w:proofErr w:type="spellEnd"/>
      <w:r>
        <w:rPr>
          <w:rtl/>
        </w:rPr>
        <w:t>.</w:t>
      </w:r>
    </w:p>
    <w:p w14:paraId="377341DB" w14:textId="77777777" w:rsidR="00AB3647" w:rsidRDefault="00000000" w:rsidP="007923E9">
      <w:pPr>
        <w:spacing w:after="120" w:line="276" w:lineRule="auto"/>
        <w:jc w:val="both"/>
      </w:pPr>
      <w:r>
        <w:rPr>
          <w:rtl/>
        </w:rPr>
        <w:t xml:space="preserve">אפשר להציע שהסבא רצה שאבי, שהיה אז רב שנתמנה זה מקרוב, יוכל להראות את המכתב לבני </w:t>
      </w:r>
      <w:proofErr w:type="spellStart"/>
      <w:r>
        <w:rPr>
          <w:rtl/>
        </w:rPr>
        <w:t>ציטוביאן</w:t>
      </w:r>
      <w:proofErr w:type="spellEnd"/>
      <w:r>
        <w:rPr>
          <w:rtl/>
        </w:rPr>
        <w:t>. בלי כותרת המזהה את הכותב</w:t>
      </w:r>
      <w:bookmarkStart w:id="4008" w:name="_fnr3049"/>
      <w:r>
        <w:rPr>
          <w:vertAlign w:val="superscript"/>
          <w:rtl/>
        </w:rPr>
        <w:footnoteReference w:id="3057" w:customMarkFollows="0"/>
      </w:r>
      <w:bookmarkEnd w:id="4008"/>
      <w:r>
        <w:rPr>
          <w:rtl/>
        </w:rPr>
        <w:t xml:space="preserve"> לא היו יכולים לזהות את מחברו, שכבר היה מפורסם, אילו חתם בחתימתו הרגילה והבלתי מובנת. אבי לא היה מן האנשים המראים לאחרים מכתב שנשלח אליהם</w:t>
      </w:r>
      <w:bookmarkStart w:id="4009" w:name="_fnr3050"/>
      <w:r>
        <w:rPr>
          <w:vertAlign w:val="superscript"/>
          <w:rtl/>
        </w:rPr>
        <w:footnoteReference w:id="3058" w:customMarkFollows="0"/>
      </w:r>
      <w:bookmarkEnd w:id="4009"/>
      <w:r>
        <w:rPr>
          <w:rtl/>
        </w:rPr>
        <w:t>, ובייחוד כשנכתבו בו דברי שבח עליהם</w:t>
      </w:r>
      <w:bookmarkStart w:id="4010" w:name="_fnr3051"/>
      <w:r>
        <w:rPr>
          <w:vertAlign w:val="superscript"/>
          <w:rtl/>
        </w:rPr>
        <w:footnoteReference w:id="3059" w:customMarkFollows="0"/>
      </w:r>
      <w:bookmarkEnd w:id="4010"/>
      <w:r>
        <w:rPr>
          <w:rtl/>
        </w:rPr>
        <w:t>, ולכן מצא הסבר אחר לכך שרבו חתם בשמו המלא.</w:t>
      </w:r>
    </w:p>
    <w:bookmarkStart w:id="4011" w:name="b4_note2"/>
    <w:p w14:paraId="5BB24A0B" w14:textId="77777777" w:rsidR="00AB3647" w:rsidRDefault="00000000" w:rsidP="007923E9">
      <w:pPr>
        <w:spacing w:before="120" w:after="100" w:line="276" w:lineRule="auto"/>
        <w:jc w:val="both"/>
      </w:pPr>
      <w:r>
        <w:fldChar w:fldCharType="begin" w:dirty="true"/>
      </w:r>
      <w:r>
        <w:instrText>HYPERLINK \l "b4_text2" \h</w:instrText>
      </w:r>
      <w:r>
        <w:fldChar w:fldCharType="separate"/>
      </w:r>
      <w:r>
        <w:rPr>
          <w:b/>
          <w:bCs/>
          <w:rtl/>
        </w:rPr>
        <w:t>2</w:t>
      </w:r>
      <w:r>
        <w:rPr>
          <w:b/>
          <w:bCs/>
        </w:rPr>
        <w:fldChar w:fldCharType="end"/>
      </w:r>
      <w:bookmarkEnd w:id="4011"/>
      <w:r>
        <w:rPr>
          <w:rtl/>
        </w:rPr>
        <w:t xml:space="preserve"> מובן מאליו שידיעת הסבא במאמרי חז״ל ובאגדה בכלל הייתה מקיפה ביותר. השווה כץ, “תנועת המוסר”, כרך ג</w:t>
      </w:r>
      <w:bookmarkStart w:id="4012" w:name="_fnr3052"/>
      <w:r>
        <w:rPr>
          <w:vertAlign w:val="superscript"/>
          <w:rtl/>
        </w:rPr>
        <w:footnoteReference w:id="3060" w:customMarkFollows="0"/>
      </w:r>
      <w:bookmarkEnd w:id="4012"/>
      <w:r>
        <w:rPr>
          <w:rtl/>
        </w:rPr>
        <w:t>, וכן קטע משיחה בהערה 11 להלן, המדגים את הדרך המופלאה שבה צירף מאמרי חז״ל רבים ממקורות שונים כדי לבנות את שיחות המוסר שלו.</w:t>
      </w:r>
    </w:p>
    <w:p w14:paraId="61CF7FE1" w14:textId="77777777" w:rsidR="00AB3647" w:rsidRDefault="00000000" w:rsidP="007923E9">
      <w:pPr>
        <w:spacing w:before="120" w:after="100" w:line="276" w:lineRule="auto"/>
        <w:jc w:val="both"/>
      </w:pPr>
      <w:r>
        <w:rPr>
          <w:rtl/>
        </w:rPr>
        <w:t>ר׳ צבי ברקוביץ סיפר</w:t>
      </w:r>
      <w:bookmarkStart w:id="4013" w:name="_fnr3053"/>
      <w:r>
        <w:rPr>
          <w:vertAlign w:val="superscript"/>
          <w:rtl/>
        </w:rPr>
        <w:footnoteReference w:id="3061" w:customMarkFollows="0"/>
      </w:r>
      <w:bookmarkEnd w:id="4013"/>
      <w:r>
        <w:rPr>
          <w:rtl/>
        </w:rPr>
        <w:t xml:space="preserve"> ששמע הן מרבנו הן מר׳ </w:t>
      </w:r>
      <w:proofErr w:type="spellStart"/>
      <w:r>
        <w:rPr>
          <w:rtl/>
        </w:rPr>
        <w:t>יעקב־יצחק</w:t>
      </w:r>
      <w:proofErr w:type="spellEnd"/>
      <w:r>
        <w:rPr>
          <w:rtl/>
        </w:rPr>
        <w:t xml:space="preserve"> </w:t>
      </w:r>
      <w:proofErr w:type="spellStart"/>
      <w:r>
        <w:rPr>
          <w:rtl/>
        </w:rPr>
        <w:t>רודרמן</w:t>
      </w:r>
      <w:proofErr w:type="spellEnd"/>
      <w:r>
        <w:rPr>
          <w:rtl/>
        </w:rPr>
        <w:t xml:space="preserve"> שהתלמידים מעולם לא ראו את הסבא לומד. פעם טען ר׳ צבי שראה כתב עת שהוציאו בוגרי </w:t>
      </w:r>
      <w:proofErr w:type="spellStart"/>
      <w:r>
        <w:rPr>
          <w:rtl/>
        </w:rPr>
        <w:t>סלבודקה</w:t>
      </w:r>
      <w:proofErr w:type="spellEnd"/>
      <w:r>
        <w:rPr>
          <w:rtl/>
        </w:rPr>
        <w:t xml:space="preserve">, ובו כתב אחד מהם שנכנס פעם לחדרו של הסבא וראה אותו לומד מסכת סוכה, והסבא ביקש ממנו אז לבאר </w:t>
      </w:r>
      <w:r>
        <w:rPr>
          <w:rtl/>
        </w:rPr>
        <w:lastRenderedPageBreak/>
        <w:t xml:space="preserve">דבר בתוספות. ר׳ </w:t>
      </w:r>
      <w:proofErr w:type="spellStart"/>
      <w:r>
        <w:rPr>
          <w:rtl/>
        </w:rPr>
        <w:t>יעקב־יצחק</w:t>
      </w:r>
      <w:proofErr w:type="spellEnd"/>
      <w:r>
        <w:rPr>
          <w:rtl/>
        </w:rPr>
        <w:t xml:space="preserve"> </w:t>
      </w:r>
      <w:proofErr w:type="spellStart"/>
      <w:r>
        <w:rPr>
          <w:rtl/>
        </w:rPr>
        <w:t>רודרמן</w:t>
      </w:r>
      <w:proofErr w:type="spellEnd"/>
      <w:r>
        <w:rPr>
          <w:rtl/>
        </w:rPr>
        <w:t xml:space="preserve"> ביקש מיד לראות את המאמר</w:t>
      </w:r>
      <w:bookmarkStart w:id="4014" w:name="_fnr3054"/>
      <w:r>
        <w:rPr>
          <w:vertAlign w:val="superscript"/>
          <w:rtl/>
        </w:rPr>
        <w:footnoteReference w:id="3062" w:customMarkFollows="0"/>
      </w:r>
      <w:bookmarkEnd w:id="4014"/>
      <w:r>
        <w:rPr>
          <w:rtl/>
        </w:rPr>
        <w:t xml:space="preserve">, שהרי ר׳ </w:t>
      </w:r>
      <w:proofErr w:type="spellStart"/>
      <w:r>
        <w:rPr>
          <w:rtl/>
        </w:rPr>
        <w:t>נתן־צבי</w:t>
      </w:r>
      <w:proofErr w:type="spellEnd"/>
      <w:r>
        <w:rPr>
          <w:rtl/>
        </w:rPr>
        <w:t xml:space="preserve"> היה ידוע כמי שמעולם לא נראה כשגמרא בידו.</w:t>
      </w:r>
    </w:p>
    <w:p w14:paraId="7069CC8D" w14:textId="77777777" w:rsidR="00AB3647" w:rsidRDefault="00000000" w:rsidP="007923E9">
      <w:pPr>
        <w:spacing w:after="120" w:line="276" w:lineRule="auto"/>
        <w:jc w:val="both"/>
      </w:pPr>
      <w:r>
        <w:rPr>
          <w:rtl/>
        </w:rPr>
        <w:t>כץ, “תנועת המוסר”, כרך ג</w:t>
      </w:r>
      <w:bookmarkStart w:id="4015" w:name="_fnr3055"/>
      <w:r>
        <w:rPr>
          <w:vertAlign w:val="superscript"/>
          <w:rtl/>
        </w:rPr>
        <w:footnoteReference w:id="3063" w:customMarkFollows="0"/>
      </w:r>
      <w:bookmarkEnd w:id="4015"/>
      <w:r>
        <w:rPr>
          <w:rtl/>
        </w:rPr>
        <w:t xml:space="preserve">, מביא דוגמה מופלאה להסתרת לימודו. לאחר שאשתו עברה מקלם אל בניין ישיבת </w:t>
      </w:r>
      <w:proofErr w:type="spellStart"/>
      <w:r>
        <w:rPr>
          <w:rtl/>
        </w:rPr>
        <w:t>סלבודקה</w:t>
      </w:r>
      <w:bookmarkStart w:id="4016" w:name="_fnr3056"/>
      <w:proofErr w:type="spellEnd"/>
      <w:r>
        <w:rPr>
          <w:vertAlign w:val="superscript"/>
          <w:rtl/>
        </w:rPr>
        <w:footnoteReference w:id="3064" w:customMarkFollows="0"/>
      </w:r>
      <w:bookmarkEnd w:id="4016"/>
      <w:r>
        <w:rPr>
          <w:rtl/>
        </w:rPr>
        <w:t xml:space="preserve">, הייתה מזמינה לעיתים את הבחורים שלמדו במשך כל ליל חמישי לדירת משפחת </w:t>
      </w:r>
      <w:proofErr w:type="spellStart"/>
      <w:r>
        <w:rPr>
          <w:rtl/>
        </w:rPr>
        <w:t>פינקל</w:t>
      </w:r>
      <w:proofErr w:type="spellEnd"/>
      <w:r>
        <w:rPr>
          <w:rtl/>
        </w:rPr>
        <w:t>, לשתות תה ולאכול עוגה. בבואם מצאו את הסבא מכוסה במיטתו, ונזהרו שלא להרעיש, שמא יפריעו לשנתו. פעם גילתה הסבתא באקראי שאין להם מה לחשוש: גם הוא לומד כמותם, אלא שבדיוק כשהיא מזמינה אותם להיכנס, הוא נכנס למיטתו ומעמיד פנים שהוא ישן.</w:t>
      </w:r>
    </w:p>
    <w:p w14:paraId="25D93A0E" w14:textId="77777777" w:rsidR="00AB3647" w:rsidRDefault="00000000" w:rsidP="007923E9">
      <w:pPr>
        <w:spacing w:after="120" w:line="276" w:lineRule="auto"/>
        <w:jc w:val="both"/>
      </w:pPr>
      <w:r>
        <w:rPr>
          <w:rtl/>
        </w:rPr>
        <w:t xml:space="preserve">סיפור זה של כץ אינו עולה בקנה אחד עם מה שסיפר לי </w:t>
      </w:r>
      <w:proofErr w:type="spellStart"/>
      <w:r>
        <w:rPr>
          <w:rtl/>
        </w:rPr>
        <w:t>נינו</w:t>
      </w:r>
      <w:proofErr w:type="spellEnd"/>
      <w:r>
        <w:rPr>
          <w:rtl/>
        </w:rPr>
        <w:t xml:space="preserve"> של הסבא, ר׳ רפאל </w:t>
      </w:r>
      <w:proofErr w:type="spellStart"/>
      <w:r>
        <w:rPr>
          <w:rtl/>
        </w:rPr>
        <w:t>שמואלביץ</w:t>
      </w:r>
      <w:proofErr w:type="spellEnd"/>
      <w:r>
        <w:rPr>
          <w:rtl/>
        </w:rPr>
        <w:t xml:space="preserve">: הסבתא אמרה פעם לבעלה שהיא מאוכזבת ממנו, מפני </w:t>
      </w:r>
      <w:proofErr w:type="spellStart"/>
      <w:r>
        <w:rPr>
          <w:rtl/>
        </w:rPr>
        <w:t>ש“זה</w:t>
      </w:r>
      <w:proofErr w:type="spellEnd"/>
      <w:r>
        <w:rPr>
          <w:rtl/>
        </w:rPr>
        <w:t xml:space="preserve"> שלושים שנה לא פתח ספר” – ומכאן שהסתיר את לימודו אפילו ממנה. אבל אני חושד שהסבא עצמו המציא את השיחה הזאת – “אשתי אמרה לי: ‘זה שלושים שנה לא פתחת ספר’, </w:t>
      </w:r>
      <w:proofErr w:type="spellStart"/>
      <w:r>
        <w:rPr>
          <w:rtl/>
        </w:rPr>
        <w:t>וכו</w:t>
      </w:r>
      <w:proofErr w:type="spellEnd"/>
      <w:r>
        <w:rPr>
          <w:rtl/>
        </w:rPr>
        <w:t xml:space="preserve">׳” – כדי לטפח את השמועה שאינו לומד כלל. התחבולה הצליחה כל כך, שאפילו בני משפחתו קיבלו את הסיפור כפשוטו! (ועי׳ </w:t>
      </w:r>
      <w:proofErr w:type="spellStart"/>
      <w:r>
        <w:rPr>
          <w:rtl/>
        </w:rPr>
        <w:t>ב״מ</w:t>
      </w:r>
      <w:proofErr w:type="spellEnd"/>
      <w:r>
        <w:rPr>
          <w:rtl/>
        </w:rPr>
        <w:t xml:space="preserve"> כ״ג </w:t>
      </w:r>
      <w:proofErr w:type="spellStart"/>
      <w:r>
        <w:rPr>
          <w:rtl/>
        </w:rPr>
        <w:t>סע״ב</w:t>
      </w:r>
      <w:proofErr w:type="spellEnd"/>
      <w:r>
        <w:rPr>
          <w:rtl/>
        </w:rPr>
        <w:t xml:space="preserve"> רש״י, ד״ה במסכת.)</w:t>
      </w:r>
      <w:bookmarkStart w:id="4017" w:name="_fnr3057"/>
      <w:r>
        <w:rPr>
          <w:vertAlign w:val="superscript"/>
          <w:rtl/>
        </w:rPr>
        <w:footnoteReference w:id="3065" w:customMarkFollows="0"/>
      </w:r>
      <w:bookmarkEnd w:id="4017"/>
    </w:p>
    <w:bookmarkStart w:id="4018" w:name="b4_note3"/>
    <w:p w14:paraId="1994F63E" w14:textId="7435B70D" w:rsidR="00AB3647" w:rsidRDefault="00000000" w:rsidP="007923E9">
      <w:pPr>
        <w:spacing w:before="120" w:after="100" w:line="276" w:lineRule="auto"/>
        <w:jc w:val="both"/>
      </w:pPr>
      <w:r>
        <w:fldChar w:fldCharType="begin" w:dirty="true"/>
      </w:r>
      <w:r>
        <w:instrText>HYPERLINK \l "b4_text3" \h</w:instrText>
      </w:r>
      <w:r>
        <w:fldChar w:fldCharType="separate"/>
      </w:r>
      <w:r>
        <w:rPr>
          <w:b/>
          <w:bCs/>
          <w:rtl/>
        </w:rPr>
        <w:t>3</w:t>
      </w:r>
      <w:r>
        <w:rPr>
          <w:b/>
          <w:bCs/>
        </w:rPr>
        <w:fldChar w:fldCharType="end"/>
      </w:r>
      <w:bookmarkEnd w:id="4018"/>
      <w:r>
        <w:rPr>
          <w:rtl/>
        </w:rPr>
        <w:t xml:space="preserve"> ראה </w:t>
      </w:r>
      <w:r>
        <w:rPr>
          <w:rtl/>
        </w:rPr>
        <w:fldChar w:fldCharType="begin" w:dirty="true"/>
      </w:r>
      <w:r>
        <w:rPr>
          <w:rtl/>
        </w:rPr>
        <w:instrText xml:space="preserve"> REF b4_excA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א</w:t>
      </w:r>
      <w:r>
        <w:rPr>
          <w:rtl/>
        </w:rPr>
        <w:fldChar w:fldCharType="end"/>
      </w:r>
      <w:r>
        <w:rPr>
          <w:rtl/>
        </w:rPr>
        <w:t>.</w:t>
      </w:r>
    </w:p>
    <w:p w14:paraId="02B7631F" w14:textId="04C5CC15"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גם על כל פרט ופרט בהלכה הקפיד לא רק בלא פרסום, אלא מתוך מאמץ מכוון להסתיר את הקפדתו מן העין</w:t>
      </w:r>
      <w:bookmarkStart w:id="4019" w:name="b4_text4"/>
      <w:bookmarkEnd w:id="4019"/>
      <w:r>
        <w:rPr>
          <w:sz w:val="18"/>
          <w:szCs w:val="18"/>
          <w:vertAlign w:val="superscript"/>
          <w:rtl/>
        </w:rPr>
        <w:fldChar w:fldCharType="begin" w:dirty="true"/>
      </w:r>
      <w:r>
        <w:rPr>
          <w:sz w:val="18"/>
          <w:szCs w:val="18"/>
          <w:vertAlign w:val="superscript"/>
          <w:rtl/>
        </w:rPr>
        <w:instrText xml:space="preserve"> REF b4_note4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4</w:t>
      </w:r>
      <w:r>
        <w:rPr>
          <w:sz w:val="18"/>
          <w:szCs w:val="18"/>
          <w:vertAlign w:val="superscript"/>
          <w:rtl/>
        </w:rPr>
        <w:fldChar w:fldCharType="end"/>
      </w:r>
      <w:r>
        <w:rPr>
          <w:rtl/>
        </w:rPr>
        <w:t>. ואף על פי כן העריכו התלמידים את הסבא במלוא ערכו</w:t>
      </w:r>
      <w:bookmarkStart w:id="4020" w:name="b4_text5"/>
      <w:bookmarkEnd w:id="4020"/>
      <w:r>
        <w:rPr>
          <w:sz w:val="18"/>
          <w:szCs w:val="18"/>
          <w:vertAlign w:val="superscript"/>
          <w:rtl/>
        </w:rPr>
        <w:fldChar w:fldCharType="begin" w:dirty="true"/>
      </w:r>
      <w:r>
        <w:rPr>
          <w:sz w:val="18"/>
          <w:szCs w:val="18"/>
          <w:vertAlign w:val="superscript"/>
          <w:rtl/>
        </w:rPr>
        <w:instrText xml:space="preserve"> REF b4_note5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5</w:t>
      </w:r>
      <w:r>
        <w:rPr>
          <w:sz w:val="18"/>
          <w:szCs w:val="18"/>
          <w:vertAlign w:val="superscript"/>
          <w:rtl/>
        </w:rPr>
        <w:fldChar w:fldCharType="end"/>
      </w:r>
      <w:r>
        <w:rPr>
          <w:rtl/>
        </w:rPr>
        <w:t>. הם ראו בבירור שמטרתו היחידה בחיים היא לחנכם להיות תלמידי חכמים, להעלותם למדרגת בני אדם נעלים ולהוציא את שמם לתהילה, בעוד הוא עצמו מסתפק בעמידה ברקע</w:t>
      </w:r>
      <w:bookmarkStart w:id="4021" w:name="b4_text6"/>
      <w:bookmarkEnd w:id="4021"/>
      <w:r>
        <w:rPr>
          <w:sz w:val="18"/>
          <w:szCs w:val="18"/>
          <w:vertAlign w:val="superscript"/>
          <w:rtl/>
        </w:rPr>
        <w:fldChar w:fldCharType="begin" w:dirty="true"/>
      </w:r>
      <w:r>
        <w:rPr>
          <w:sz w:val="18"/>
          <w:szCs w:val="18"/>
          <w:vertAlign w:val="superscript"/>
          <w:rtl/>
        </w:rPr>
        <w:instrText xml:space="preserve"> REF b4_note6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6</w:t>
      </w:r>
      <w:r>
        <w:rPr>
          <w:sz w:val="18"/>
          <w:szCs w:val="18"/>
          <w:vertAlign w:val="superscript"/>
          <w:rtl/>
        </w:rPr>
        <w:fldChar w:fldCharType="end"/>
      </w:r>
      <w:r>
        <w:rPr>
          <w:rtl/>
        </w:rPr>
        <w:t>.</w:t>
      </w:r>
    </w:p>
    <w:bookmarkStart w:id="4022" w:name="b4_note4"/>
    <w:p w14:paraId="50625163" w14:textId="77777777" w:rsidR="00AB3647" w:rsidRDefault="00000000" w:rsidP="007923E9">
      <w:pPr>
        <w:spacing w:before="120" w:after="100" w:line="276" w:lineRule="auto"/>
        <w:jc w:val="both"/>
      </w:pPr>
      <w:r>
        <w:fldChar w:fldCharType="begin" w:dirty="true"/>
      </w:r>
      <w:r>
        <w:instrText>HYPERLINK \l "b4_text4" \h</w:instrText>
      </w:r>
      <w:r>
        <w:fldChar w:fldCharType="separate"/>
      </w:r>
      <w:r>
        <w:rPr>
          <w:b/>
          <w:bCs/>
          <w:rtl/>
        </w:rPr>
        <w:t>4</w:t>
      </w:r>
      <w:r>
        <w:rPr>
          <w:b/>
          <w:bCs/>
        </w:rPr>
        <w:fldChar w:fldCharType="end"/>
      </w:r>
      <w:bookmarkEnd w:id="4022"/>
      <w:r>
        <w:rPr>
          <w:rtl/>
        </w:rPr>
        <w:t xml:space="preserve"> השווה כץ, “תנועת המוסר”, כרך ג</w:t>
      </w:r>
      <w:bookmarkStart w:id="4023" w:name="_fnr3058"/>
      <w:r>
        <w:rPr>
          <w:vertAlign w:val="superscript"/>
          <w:rtl/>
        </w:rPr>
        <w:footnoteReference w:id="3066" w:customMarkFollows="0"/>
      </w:r>
      <w:bookmarkEnd w:id="4023"/>
      <w:r>
        <w:rPr>
          <w:rtl/>
        </w:rPr>
        <w:t xml:space="preserve">: על יסוד פסק </w:t>
      </w:r>
      <w:proofErr w:type="spellStart"/>
      <w:r>
        <w:rPr>
          <w:rtl/>
        </w:rPr>
        <w:t>הרא״ש</w:t>
      </w:r>
      <w:bookmarkStart w:id="4024" w:name="_fnr3059"/>
      <w:proofErr w:type="spellEnd"/>
      <w:r>
        <w:rPr>
          <w:vertAlign w:val="superscript"/>
          <w:rtl/>
        </w:rPr>
        <w:footnoteReference w:id="3067" w:customMarkFollows="0"/>
      </w:r>
      <w:bookmarkEnd w:id="4024"/>
      <w:r>
        <w:rPr>
          <w:rtl/>
        </w:rPr>
        <w:t xml:space="preserve"> בעניין ברכות השתדל הסבא </w:t>
      </w:r>
      <w:proofErr w:type="spellStart"/>
      <w:r>
        <w:rPr>
          <w:rtl/>
        </w:rPr>
        <w:t>מסלבודקה</w:t>
      </w:r>
      <w:proofErr w:type="spellEnd"/>
      <w:r>
        <w:rPr>
          <w:rtl/>
        </w:rPr>
        <w:t xml:space="preserve"> לעשות “את כל מעשי המצוות שלו מלמדים לתלמידיו – אך בפשטות ובישרות, באופן שנראה בעיניהם כדבר הרגיל”. אבי אמר בשיחה המוקלטת במלאות חמישים שנה לפטירת הסבא</w:t>
      </w:r>
      <w:bookmarkStart w:id="4025" w:name="_fnr3060"/>
      <w:r>
        <w:rPr>
          <w:vertAlign w:val="superscript"/>
          <w:rtl/>
        </w:rPr>
        <w:footnoteReference w:id="3068" w:customMarkFollows="0"/>
      </w:r>
      <w:bookmarkEnd w:id="4025"/>
      <w:r>
        <w:rPr>
          <w:rtl/>
        </w:rPr>
        <w:t xml:space="preserve"> שכאשר היה הסבא צריך לעשות דבר שהרואים היו מבחינים בו בדקדוק מצוות יוצא מגדר הרגיל, היה עושה אותו בסתר. רבנו סיפר מעשה להמחשת הדבר: אורח שלן בדירת הסבא בליל חמישי התעורר באמצע הלילה לקול חריקה. הוא סבר שיש עכברים </w:t>
      </w:r>
      <w:r>
        <w:rPr>
          <w:rtl/>
        </w:rPr>
        <w:lastRenderedPageBreak/>
        <w:t>במטבחון, הציץ החוצה וראה את מארחו משחיז סכין. הסבא קיים באין רואים מנהג של כבוד שבת המובא בשולחן ערוך</w:t>
      </w:r>
      <w:bookmarkStart w:id="4026" w:name="_fnr3061"/>
      <w:r>
        <w:rPr>
          <w:vertAlign w:val="superscript"/>
          <w:rtl/>
        </w:rPr>
        <w:footnoteReference w:id="3069" w:customMarkFollows="0"/>
      </w:r>
      <w:bookmarkEnd w:id="4026"/>
      <w:r>
        <w:rPr>
          <w:rtl/>
        </w:rPr>
        <w:t>, שהכול מתעלמים ממנו.</w:t>
      </w:r>
    </w:p>
    <w:bookmarkStart w:id="4027" w:name="b4_note5"/>
    <w:p w14:paraId="66D9147D" w14:textId="77777777" w:rsidR="00AB3647" w:rsidRDefault="00000000" w:rsidP="007923E9">
      <w:pPr>
        <w:spacing w:before="120" w:after="100" w:line="276" w:lineRule="auto"/>
        <w:jc w:val="both"/>
      </w:pPr>
      <w:r>
        <w:fldChar w:fldCharType="begin" w:dirty="true"/>
      </w:r>
      <w:r>
        <w:instrText>HYPERLINK \l "b4_text5" \h</w:instrText>
      </w:r>
      <w:r>
        <w:fldChar w:fldCharType="separate"/>
      </w:r>
      <w:r>
        <w:rPr>
          <w:b/>
          <w:bCs/>
          <w:rtl/>
        </w:rPr>
        <w:t>5</w:t>
      </w:r>
      <w:r>
        <w:rPr>
          <w:b/>
          <w:bCs/>
        </w:rPr>
        <w:fldChar w:fldCharType="end"/>
      </w:r>
      <w:bookmarkEnd w:id="4027"/>
      <w:r>
        <w:rPr>
          <w:rtl/>
        </w:rPr>
        <w:t xml:space="preserve"> בספר הזיכרון לסבא </w:t>
      </w:r>
      <w:proofErr w:type="spellStart"/>
      <w:r>
        <w:rPr>
          <w:rtl/>
        </w:rPr>
        <w:t>מסלבודקה</w:t>
      </w:r>
      <w:proofErr w:type="spellEnd"/>
      <w:r>
        <w:rPr>
          <w:rtl/>
        </w:rPr>
        <w:t xml:space="preserve"> שערך ר׳ </w:t>
      </w:r>
      <w:proofErr w:type="spellStart"/>
      <w:r>
        <w:rPr>
          <w:rtl/>
        </w:rPr>
        <w:t>ישראל־זיסל</w:t>
      </w:r>
      <w:proofErr w:type="spellEnd"/>
      <w:r>
        <w:rPr>
          <w:rtl/>
        </w:rPr>
        <w:t xml:space="preserve"> </w:t>
      </w:r>
      <w:proofErr w:type="spellStart"/>
      <w:r>
        <w:rPr>
          <w:rtl/>
        </w:rPr>
        <w:t>דבורץ</w:t>
      </w:r>
      <w:bookmarkStart w:id="4028" w:name="_fnr3062"/>
      <w:proofErr w:type="spellEnd"/>
      <w:r>
        <w:rPr>
          <w:vertAlign w:val="superscript"/>
          <w:rtl/>
        </w:rPr>
        <w:footnoteReference w:id="3070" w:customMarkFollows="0"/>
      </w:r>
      <w:bookmarkEnd w:id="4028"/>
      <w:r>
        <w:rPr>
          <w:rtl/>
        </w:rPr>
        <w:t xml:space="preserve"> נאמר: “רק אנשי הישיבה ידעו להעריך את חסידותו הגדולה ואת פרישותו, וראו בו איש קדוש ומנהיג הדור... הם היו קשורים אליו בעבותות אהבה נאמנה”. ר׳ </w:t>
      </w:r>
      <w:proofErr w:type="spellStart"/>
      <w:r>
        <w:rPr>
          <w:rtl/>
        </w:rPr>
        <w:t>לייבל</w:t>
      </w:r>
      <w:proofErr w:type="spellEnd"/>
      <w:r>
        <w:rPr>
          <w:rtl/>
        </w:rPr>
        <w:t xml:space="preserve"> </w:t>
      </w:r>
      <w:proofErr w:type="spellStart"/>
      <w:r>
        <w:rPr>
          <w:rtl/>
        </w:rPr>
        <w:t>פרלשטיין</w:t>
      </w:r>
      <w:bookmarkStart w:id="4029" w:name="_fnr3063"/>
      <w:proofErr w:type="spellEnd"/>
      <w:r>
        <w:rPr>
          <w:vertAlign w:val="superscript"/>
          <w:rtl/>
        </w:rPr>
        <w:footnoteReference w:id="3071" w:customMarkFollows="0"/>
      </w:r>
      <w:bookmarkEnd w:id="4029"/>
      <w:r>
        <w:rPr>
          <w:rtl/>
        </w:rPr>
        <w:t xml:space="preserve"> סיפר בשם אבי שלא זו בלבד שהסבא דאג לטובתו של כל בחור, אלא שהייתה בו היכולת להשרות על כל תלמיד את התחושה שטובתו שלו היא הדבר היחיד שמחנכו נותן עליו את דעתו.</w:t>
      </w:r>
    </w:p>
    <w:bookmarkStart w:id="4030" w:name="b4_note6"/>
    <w:p w14:paraId="30F3E1DE" w14:textId="77777777" w:rsidR="00AB3647" w:rsidRDefault="00000000" w:rsidP="007923E9">
      <w:pPr>
        <w:spacing w:before="120" w:after="100" w:line="276" w:lineRule="auto"/>
        <w:jc w:val="both"/>
      </w:pPr>
      <w:r>
        <w:fldChar w:fldCharType="begin" w:dirty="true"/>
      </w:r>
      <w:r>
        <w:instrText>HYPERLINK \l "b4_text6" \h</w:instrText>
      </w:r>
      <w:r>
        <w:fldChar w:fldCharType="separate"/>
      </w:r>
      <w:r>
        <w:rPr>
          <w:b/>
          <w:bCs/>
          <w:rtl/>
        </w:rPr>
        <w:t>6</w:t>
      </w:r>
      <w:r>
        <w:rPr>
          <w:b/>
          <w:bCs/>
        </w:rPr>
        <w:fldChar w:fldCharType="end"/>
      </w:r>
      <w:bookmarkEnd w:id="4030"/>
      <w:r>
        <w:rPr>
          <w:rtl/>
        </w:rPr>
        <w:t xml:space="preserve"> משפט זה הוא מובאה מספר הזיכרון לסבא </w:t>
      </w:r>
      <w:proofErr w:type="spellStart"/>
      <w:r>
        <w:rPr>
          <w:rtl/>
        </w:rPr>
        <w:t>מסלבודקה</w:t>
      </w:r>
      <w:proofErr w:type="spellEnd"/>
      <w:r>
        <w:rPr>
          <w:rtl/>
        </w:rPr>
        <w:t xml:space="preserve"> שערך ר׳ </w:t>
      </w:r>
      <w:proofErr w:type="spellStart"/>
      <w:r>
        <w:rPr>
          <w:rtl/>
        </w:rPr>
        <w:t>ישראל־זיסל</w:t>
      </w:r>
      <w:proofErr w:type="spellEnd"/>
      <w:r>
        <w:rPr>
          <w:rtl/>
        </w:rPr>
        <w:t xml:space="preserve"> </w:t>
      </w:r>
      <w:proofErr w:type="spellStart"/>
      <w:r>
        <w:rPr>
          <w:rtl/>
        </w:rPr>
        <w:t>דבורץ</w:t>
      </w:r>
      <w:bookmarkStart w:id="4031" w:name="_fnr3064"/>
      <w:proofErr w:type="spellEnd"/>
      <w:r>
        <w:rPr>
          <w:vertAlign w:val="superscript"/>
          <w:rtl/>
        </w:rPr>
        <w:footnoteReference w:id="3072" w:customMarkFollows="0"/>
      </w:r>
      <w:bookmarkEnd w:id="4031"/>
      <w:r>
        <w:rPr>
          <w:rtl/>
        </w:rPr>
        <w:t xml:space="preserve">. בשונה מן היחסים המקובלים בין רב לתלמיד, דרך חינוכו של הסבא </w:t>
      </w:r>
      <w:proofErr w:type="spellStart"/>
      <w:r>
        <w:rPr>
          <w:rtl/>
        </w:rPr>
        <w:t>מסלבודקה</w:t>
      </w:r>
      <w:proofErr w:type="spellEnd"/>
      <w:r>
        <w:rPr>
          <w:rtl/>
        </w:rPr>
        <w:t xml:space="preserve"> לא חייבה אותו לגלות את עצמו לתלמידיו, משום שלימדם לפתח את כוחותיהם שלהם ולא לחקות את רבם</w:t>
      </w:r>
      <w:bookmarkStart w:id="4032" w:name="_fnr3065"/>
      <w:r>
        <w:rPr>
          <w:vertAlign w:val="superscript"/>
          <w:rtl/>
        </w:rPr>
        <w:footnoteReference w:id="3073" w:customMarkFollows="0"/>
      </w:r>
      <w:bookmarkEnd w:id="4032"/>
      <w:r>
        <w:rPr>
          <w:rtl/>
        </w:rPr>
        <w:t>. ראה גם הערה 38 להלן. להרחבה על גישתו של הסבא בחינוך כל תלמיד לפי ייחודו, השווה כץ, “תנועת המוסר”, כרך ג</w:t>
      </w:r>
      <w:bookmarkStart w:id="4033" w:name="_fnr3066"/>
      <w:r>
        <w:rPr>
          <w:vertAlign w:val="superscript"/>
          <w:rtl/>
        </w:rPr>
        <w:footnoteReference w:id="3074" w:customMarkFollows="0"/>
      </w:r>
      <w:bookmarkEnd w:id="4033"/>
      <w:r>
        <w:rPr>
          <w:rtl/>
        </w:rPr>
        <w:t>.</w:t>
      </w:r>
    </w:p>
    <w:p w14:paraId="172CCF0D" w14:textId="33330358"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 xml:space="preserve">דבר אחד לא יכול היה ר׳ </w:t>
      </w:r>
      <w:proofErr w:type="spellStart"/>
      <w:r>
        <w:rPr>
          <w:rtl/>
        </w:rPr>
        <w:t>נתן־צבי</w:t>
      </w:r>
      <w:proofErr w:type="spellEnd"/>
      <w:r>
        <w:rPr>
          <w:rtl/>
        </w:rPr>
        <w:t xml:space="preserve"> </w:t>
      </w:r>
      <w:proofErr w:type="spellStart"/>
      <w:r>
        <w:rPr>
          <w:rtl/>
        </w:rPr>
        <w:t>פינקל</w:t>
      </w:r>
      <w:proofErr w:type="spellEnd"/>
      <w:r>
        <w:rPr>
          <w:rtl/>
        </w:rPr>
        <w:t xml:space="preserve"> להסתיר מתלמידיו: ידיעתו המקיפה באגדות התלמוד והמדרשים ובמסורות על הנהגות התנאים והאמוראים, הפזורות בתלמוד ובספרות הקשורה בו. אלו היו כלי הוראתו, הלבנים והטיט של שיחות המוסר שלו</w:t>
      </w:r>
      <w:bookmarkStart w:id="4034" w:name="b4_text7"/>
      <w:bookmarkEnd w:id="4034"/>
      <w:r>
        <w:rPr>
          <w:sz w:val="18"/>
          <w:szCs w:val="18"/>
          <w:vertAlign w:val="superscript"/>
          <w:rtl/>
        </w:rPr>
        <w:fldChar w:fldCharType="begin" w:dirty="true"/>
      </w:r>
      <w:r>
        <w:rPr>
          <w:sz w:val="18"/>
          <w:szCs w:val="18"/>
          <w:vertAlign w:val="superscript"/>
          <w:rtl/>
        </w:rPr>
        <w:instrText xml:space="preserve"> REF b4_note7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7</w:t>
      </w:r>
      <w:r>
        <w:rPr>
          <w:sz w:val="18"/>
          <w:szCs w:val="18"/>
          <w:vertAlign w:val="superscript"/>
          <w:rtl/>
        </w:rPr>
        <w:fldChar w:fldCharType="end"/>
      </w:r>
      <w:r>
        <w:rPr>
          <w:rtl/>
        </w:rPr>
        <w:t>.</w:t>
      </w:r>
    </w:p>
    <w:bookmarkStart w:id="4035" w:name="b4_note7"/>
    <w:p w14:paraId="2D0FF18D" w14:textId="471405E9" w:rsidR="00AB3647" w:rsidRDefault="00000000" w:rsidP="007923E9">
      <w:pPr>
        <w:spacing w:before="120" w:after="100" w:line="276" w:lineRule="auto"/>
        <w:jc w:val="both"/>
      </w:pPr>
      <w:r>
        <w:fldChar w:fldCharType="begin" w:dirty="true"/>
      </w:r>
      <w:r>
        <w:instrText>HYPERLINK \l "b4_text7" \h</w:instrText>
      </w:r>
      <w:r>
        <w:fldChar w:fldCharType="separate"/>
      </w:r>
      <w:r>
        <w:rPr>
          <w:b/>
          <w:bCs/>
          <w:rtl/>
        </w:rPr>
        <w:t>7</w:t>
      </w:r>
      <w:r>
        <w:rPr>
          <w:b/>
          <w:bCs/>
        </w:rPr>
        <w:fldChar w:fldCharType="end"/>
      </w:r>
      <w:bookmarkEnd w:id="4035"/>
      <w:r>
        <w:rPr>
          <w:rtl/>
        </w:rPr>
        <w:t xml:space="preserve"> מעקרונות היסוד של תנועת המוסר הוא שגם בענייני מידות יש דיני הלכה, שמקורותיהם נמצאים לעיתים קרובות בתיאורי התלמוד את מעשי החכמים. השווה כץ, “תנועת המוסר”, כרך ב</w:t>
      </w:r>
      <w:bookmarkStart w:id="4036" w:name="_fnr3067"/>
      <w:r>
        <w:rPr>
          <w:vertAlign w:val="superscript"/>
          <w:rtl/>
        </w:rPr>
        <w:footnoteReference w:id="3075" w:customMarkFollows="0"/>
      </w:r>
      <w:bookmarkEnd w:id="4036"/>
      <w:r>
        <w:rPr>
          <w:rtl/>
        </w:rPr>
        <w:t xml:space="preserve">, המביא מכתב של הסבא </w:t>
      </w:r>
      <w:proofErr w:type="spellStart"/>
      <w:r>
        <w:rPr>
          <w:rtl/>
        </w:rPr>
        <w:t>מסלבודקה</w:t>
      </w:r>
      <w:proofErr w:type="spellEnd"/>
      <w:r>
        <w:rPr>
          <w:rtl/>
        </w:rPr>
        <w:t xml:space="preserve">: “[המוסר] פקח עיניים עיוורות לדרכי הלכות התורה בדברים העומדים ברומו של עולם, שבמשך עשרות שנים קודם לכן לא העלו אותם על הדעת; חידש חידושי תורה בהלכות דרך ארץ ובין אדם לחברו, ובייחוד בהלכות יראה, שהיא צורת התורה כולה – דברים שנעלמו מחוגי הגדולים ביותר”. השווה גם פרק 3, הערה </w:t>
      </w:r>
      <w:r>
        <w:rPr>
          <w:rtl/>
        </w:rPr>
        <w:fldChar w:fldCharType="begin" w:dirty="true"/>
      </w:r>
      <w:r>
        <w:rPr>
          <w:rtl/>
        </w:rPr>
        <w:instrText xml:space="preserve"> REF b3_note51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51</w:t>
      </w:r>
      <w:r>
        <w:rPr>
          <w:rtl/>
        </w:rPr>
        <w:fldChar w:fldCharType="end"/>
      </w:r>
      <w:r>
        <w:rPr>
          <w:rtl/>
        </w:rPr>
        <w:t>, והערה 10 להלן</w:t>
      </w:r>
      <w:bookmarkStart w:id="4037" w:name="_fnr3068"/>
      <w:r>
        <w:rPr>
          <w:vertAlign w:val="superscript"/>
          <w:rtl/>
        </w:rPr>
        <w:footnoteReference w:id="3076" w:customMarkFollows="0"/>
      </w:r>
      <w:bookmarkEnd w:id="4037"/>
      <w:r>
        <w:rPr>
          <w:rtl/>
        </w:rPr>
        <w:t>.</w:t>
      </w:r>
    </w:p>
    <w:p w14:paraId="57B2812B" w14:textId="77777777" w:rsidR="00AB3647" w:rsidRDefault="00000000" w:rsidP="007923E9">
      <w:pPr>
        <w:spacing w:after="120" w:line="276" w:lineRule="auto"/>
        <w:jc w:val="both"/>
      </w:pPr>
      <w:r>
        <w:rPr>
          <w:rtl/>
        </w:rPr>
        <w:t>הוא אף היה “בקי להפליא” בתנ״ך עם פירושים</w:t>
      </w:r>
      <w:bookmarkStart w:id="4038" w:name="_fnr3069"/>
      <w:r>
        <w:rPr>
          <w:vertAlign w:val="superscript"/>
          <w:rtl/>
        </w:rPr>
        <w:footnoteReference w:id="3077" w:customMarkFollows="0"/>
      </w:r>
      <w:bookmarkEnd w:id="4038"/>
      <w:r>
        <w:rPr>
          <w:rtl/>
        </w:rPr>
        <w:t xml:space="preserve">, מקצוע שלימד </w:t>
      </w:r>
      <w:proofErr w:type="spellStart"/>
      <w:r>
        <w:rPr>
          <w:rtl/>
        </w:rPr>
        <w:t>בגרובין</w:t>
      </w:r>
      <w:bookmarkStart w:id="4039" w:name="_fnr3070"/>
      <w:proofErr w:type="spellEnd"/>
      <w:r>
        <w:rPr>
          <w:vertAlign w:val="superscript"/>
          <w:rtl/>
        </w:rPr>
        <w:footnoteReference w:id="3078" w:customMarkFollows="0"/>
      </w:r>
      <w:bookmarkEnd w:id="4039"/>
      <w:r>
        <w:rPr>
          <w:rtl/>
        </w:rPr>
        <w:t>.</w:t>
      </w:r>
    </w:p>
    <w:p w14:paraId="76122B61" w14:textId="5EC85B39"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lastRenderedPageBreak/>
        <w:t>אף שמעולם לא נראה שהוא מכין את שיחותיו מראש, היו מלאות רעיונות מבריקים</w:t>
      </w:r>
      <w:bookmarkStart w:id="4040" w:name="b4_text8"/>
      <w:bookmarkEnd w:id="4040"/>
      <w:r>
        <w:rPr>
          <w:sz w:val="18"/>
          <w:szCs w:val="18"/>
          <w:vertAlign w:val="superscript"/>
          <w:rtl/>
        </w:rPr>
        <w:fldChar w:fldCharType="begin" w:dirty="true"/>
      </w:r>
      <w:r>
        <w:rPr>
          <w:sz w:val="18"/>
          <w:szCs w:val="18"/>
          <w:vertAlign w:val="superscript"/>
          <w:rtl/>
        </w:rPr>
        <w:instrText xml:space="preserve"> REF b4_note8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8</w:t>
      </w:r>
      <w:r>
        <w:rPr>
          <w:sz w:val="18"/>
          <w:szCs w:val="18"/>
          <w:vertAlign w:val="superscript"/>
          <w:rtl/>
        </w:rPr>
        <w:fldChar w:fldCharType="end"/>
      </w:r>
      <w:r>
        <w:rPr>
          <w:rtl/>
        </w:rPr>
        <w:t>. הוא דיבר בשקט ונזהר שלא להוציא מפיו מילה מיותרת או בלתי שקולה</w:t>
      </w:r>
      <w:bookmarkStart w:id="4041" w:name="b4_text9"/>
      <w:bookmarkEnd w:id="4041"/>
      <w:r>
        <w:rPr>
          <w:sz w:val="18"/>
          <w:szCs w:val="18"/>
          <w:vertAlign w:val="superscript"/>
          <w:rtl/>
        </w:rPr>
        <w:fldChar w:fldCharType="begin" w:dirty="true"/>
      </w:r>
      <w:r>
        <w:rPr>
          <w:sz w:val="18"/>
          <w:szCs w:val="18"/>
          <w:vertAlign w:val="superscript"/>
          <w:rtl/>
        </w:rPr>
        <w:instrText xml:space="preserve"> REF b4_note9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9</w:t>
      </w:r>
      <w:r>
        <w:rPr>
          <w:sz w:val="18"/>
          <w:szCs w:val="18"/>
          <w:vertAlign w:val="superscript"/>
          <w:rtl/>
        </w:rPr>
        <w:fldChar w:fldCharType="end"/>
      </w:r>
      <w:r>
        <w:rPr>
          <w:rtl/>
        </w:rPr>
        <w:t>. בדיבורו לא שילב שום אמצעי רטורי – לא הרמת קול, לא הכאה באגרוף ולא מעבר לניגון – ודבריו נמסרו בלי גינוני נואם. הוא היה קוטע את שיחתו בפתאומיות ומשאיר משפטים בלתי גמורים</w:t>
      </w:r>
      <w:bookmarkStart w:id="4042" w:name="b4_text10"/>
      <w:bookmarkEnd w:id="4042"/>
      <w:r>
        <w:rPr>
          <w:sz w:val="18"/>
          <w:szCs w:val="18"/>
          <w:vertAlign w:val="superscript"/>
          <w:rtl/>
        </w:rPr>
        <w:fldChar w:fldCharType="begin" w:dirty="true"/>
      </w:r>
      <w:r>
        <w:rPr>
          <w:sz w:val="18"/>
          <w:szCs w:val="18"/>
          <w:vertAlign w:val="superscript"/>
          <w:rtl/>
        </w:rPr>
        <w:instrText xml:space="preserve"> REF b4_note10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10</w:t>
      </w:r>
      <w:r>
        <w:rPr>
          <w:sz w:val="18"/>
          <w:szCs w:val="18"/>
          <w:vertAlign w:val="superscript"/>
          <w:rtl/>
        </w:rPr>
        <w:fldChar w:fldCharType="end"/>
      </w:r>
      <w:r>
        <w:rPr>
          <w:rtl/>
        </w:rPr>
        <w:t>. כל שיחתו הייתה רמזים, פסוקים ומאמרים, שהשומעים היו צריכים לצרף בדעתם ליחידה אחת רצופה</w:t>
      </w:r>
      <w:bookmarkStart w:id="4043" w:name="b4_text11"/>
      <w:bookmarkEnd w:id="4043"/>
      <w:r>
        <w:rPr>
          <w:sz w:val="18"/>
          <w:szCs w:val="18"/>
          <w:vertAlign w:val="superscript"/>
          <w:rtl/>
        </w:rPr>
        <w:fldChar w:fldCharType="begin" w:dirty="true"/>
      </w:r>
      <w:r>
        <w:rPr>
          <w:sz w:val="18"/>
          <w:szCs w:val="18"/>
          <w:vertAlign w:val="superscript"/>
          <w:rtl/>
        </w:rPr>
        <w:instrText xml:space="preserve"> REF b4_note11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11</w:t>
      </w:r>
      <w:r>
        <w:rPr>
          <w:sz w:val="18"/>
          <w:szCs w:val="18"/>
          <w:vertAlign w:val="superscript"/>
          <w:rtl/>
        </w:rPr>
        <w:fldChar w:fldCharType="end"/>
      </w:r>
      <w:r>
        <w:rPr>
          <w:rtl/>
        </w:rPr>
        <w:t>.</w:t>
      </w:r>
    </w:p>
    <w:bookmarkStart w:id="4044" w:name="b4_note8"/>
    <w:p w14:paraId="3217237F" w14:textId="77777777" w:rsidR="00AB3647" w:rsidRDefault="00000000" w:rsidP="007923E9">
      <w:pPr>
        <w:spacing w:before="120" w:after="100" w:line="276" w:lineRule="auto"/>
        <w:jc w:val="both"/>
      </w:pPr>
      <w:r>
        <w:fldChar w:fldCharType="begin" w:dirty="true"/>
      </w:r>
      <w:r>
        <w:instrText>HYPERLINK \l "b4_text8" \h</w:instrText>
      </w:r>
      <w:r>
        <w:fldChar w:fldCharType="separate"/>
      </w:r>
      <w:r>
        <w:rPr>
          <w:b/>
          <w:bCs/>
          <w:rtl/>
        </w:rPr>
        <w:t>8</w:t>
      </w:r>
      <w:r>
        <w:rPr>
          <w:b/>
          <w:bCs/>
        </w:rPr>
        <w:fldChar w:fldCharType="end"/>
      </w:r>
      <w:bookmarkEnd w:id="4044"/>
      <w:r>
        <w:rPr>
          <w:rtl/>
        </w:rPr>
        <w:t xml:space="preserve"> כץ, “תנועת המוסר”, כרך ג</w:t>
      </w:r>
      <w:bookmarkStart w:id="4045" w:name="_fnr3071"/>
      <w:r>
        <w:rPr>
          <w:vertAlign w:val="superscript"/>
          <w:rtl/>
        </w:rPr>
        <w:footnoteReference w:id="3079" w:customMarkFollows="0"/>
      </w:r>
      <w:bookmarkEnd w:id="4045"/>
      <w:r>
        <w:rPr>
          <w:rtl/>
        </w:rPr>
        <w:t xml:space="preserve">. על הרושם שהותירו שיחות הסבא בתלמידים בדבר גדולתו, כותב אלעזר ראובן </w:t>
      </w:r>
      <w:proofErr w:type="spellStart"/>
      <w:r>
        <w:rPr>
          <w:rtl/>
        </w:rPr>
        <w:t>מושקין</w:t>
      </w:r>
      <w:proofErr w:type="spellEnd"/>
      <w:r>
        <w:rPr>
          <w:rtl/>
        </w:rPr>
        <w:t>, תרמ״ח–תש״י</w:t>
      </w:r>
      <w:bookmarkStart w:id="4046" w:name="_fnr3072"/>
      <w:r>
        <w:rPr>
          <w:vertAlign w:val="superscript"/>
          <w:rtl/>
        </w:rPr>
        <w:footnoteReference w:id="3080" w:customMarkFollows="0"/>
      </w:r>
      <w:bookmarkEnd w:id="4046"/>
      <w:r>
        <w:rPr>
          <w:rtl/>
        </w:rPr>
        <w:t xml:space="preserve">, בספר הזיכרון לסבא </w:t>
      </w:r>
      <w:proofErr w:type="spellStart"/>
      <w:r>
        <w:rPr>
          <w:rtl/>
        </w:rPr>
        <w:t>מסלבודקה</w:t>
      </w:r>
      <w:proofErr w:type="spellEnd"/>
      <w:r>
        <w:rPr>
          <w:rtl/>
        </w:rPr>
        <w:t xml:space="preserve"> שערך ר׳ </w:t>
      </w:r>
      <w:proofErr w:type="spellStart"/>
      <w:r>
        <w:rPr>
          <w:rtl/>
        </w:rPr>
        <w:t>ישראל־זיסל</w:t>
      </w:r>
      <w:proofErr w:type="spellEnd"/>
      <w:r>
        <w:rPr>
          <w:rtl/>
        </w:rPr>
        <w:t xml:space="preserve"> </w:t>
      </w:r>
      <w:proofErr w:type="spellStart"/>
      <w:r>
        <w:rPr>
          <w:rtl/>
        </w:rPr>
        <w:t>דבורץ</w:t>
      </w:r>
      <w:bookmarkStart w:id="4047" w:name="_fnr3073"/>
      <w:proofErr w:type="spellEnd"/>
      <w:r>
        <w:rPr>
          <w:vertAlign w:val="superscript"/>
          <w:rtl/>
        </w:rPr>
        <w:footnoteReference w:id="3081" w:customMarkFollows="0"/>
      </w:r>
      <w:bookmarkEnd w:id="4047"/>
      <w:r>
        <w:rPr>
          <w:rtl/>
        </w:rPr>
        <w:t xml:space="preserve">: “רבים שהתנגדו למוסר קודם בואם </w:t>
      </w:r>
      <w:proofErr w:type="spellStart"/>
      <w:r>
        <w:rPr>
          <w:rtl/>
        </w:rPr>
        <w:t>לסלבודקה</w:t>
      </w:r>
      <w:proofErr w:type="spellEnd"/>
      <w:r>
        <w:rPr>
          <w:rtl/>
        </w:rPr>
        <w:t xml:space="preserve"> והתביישו להעלות את הדבר, היו מחפים על התנגדותם בזלזול בסבא, ואומרים: יודעים אנו שהוא גדול במוסר, אבל בראש מוסד תורה כזה צריך לעמוד גאון גדול. ואולם המבקרים הללו היו באים גם הם לשיחותיו המופלאות, ונעשו גדולי מעריציו ומשבחיו, אף שבתחילה זלזלו בו. נוצרה אמרה: אי אפשר להיות ממעריצי הסבא בלי להיות תחילה </w:t>
      </w:r>
      <w:proofErr w:type="spellStart"/>
      <w:r>
        <w:rPr>
          <w:rtl/>
        </w:rPr>
        <w:t>ממקטרגיו</w:t>
      </w:r>
      <w:proofErr w:type="spellEnd"/>
      <w:r>
        <w:rPr>
          <w:rtl/>
        </w:rPr>
        <w:t>... ידוע שהסבא לא היה בעל לשון מלוטשת – ומכאן שההכרה שזכה לה לא באה מצחות לשון שיחותיו, אלא מתוכנן העמוק”.</w:t>
      </w:r>
    </w:p>
    <w:p w14:paraId="3CB99155" w14:textId="77777777" w:rsidR="00AB3647" w:rsidRDefault="00000000" w:rsidP="007923E9">
      <w:pPr>
        <w:spacing w:after="120" w:line="276" w:lineRule="auto"/>
        <w:jc w:val="both"/>
      </w:pPr>
      <w:r>
        <w:rPr>
          <w:rtl/>
        </w:rPr>
        <w:t>אבי ראה בסבא עילוי</w:t>
      </w:r>
      <w:bookmarkStart w:id="4048" w:name="_fnr3074"/>
      <w:r>
        <w:rPr>
          <w:vertAlign w:val="superscript"/>
          <w:rtl/>
        </w:rPr>
        <w:footnoteReference w:id="3082" w:customMarkFollows="0"/>
      </w:r>
      <w:bookmarkEnd w:id="4048"/>
      <w:r>
        <w:rPr>
          <w:rtl/>
        </w:rPr>
        <w:t>. בשיחה המוקלטת במלאות חמישים שנה לפטירת הסבא</w:t>
      </w:r>
      <w:bookmarkStart w:id="4049" w:name="_fnr3075"/>
      <w:r>
        <w:rPr>
          <w:vertAlign w:val="superscript"/>
          <w:rtl/>
        </w:rPr>
        <w:footnoteReference w:id="3083" w:customMarkFollows="0"/>
      </w:r>
      <w:bookmarkEnd w:id="4049"/>
      <w:r>
        <w:rPr>
          <w:rtl/>
        </w:rPr>
        <w:t xml:space="preserve"> המחיש רבנו את גאונות ר׳ </w:t>
      </w:r>
      <w:proofErr w:type="spellStart"/>
      <w:r>
        <w:rPr>
          <w:rtl/>
        </w:rPr>
        <w:t>נתן־צבי</w:t>
      </w:r>
      <w:proofErr w:type="spellEnd"/>
      <w:r>
        <w:rPr>
          <w:rtl/>
        </w:rPr>
        <w:t xml:space="preserve"> בזיכרונו היוצא מן הכלל. אבי סיפר כמה נדהם כשהסבא הזכיר לו </w:t>
      </w:r>
      <w:proofErr w:type="spellStart"/>
      <w:r>
        <w:rPr>
          <w:rtl/>
        </w:rPr>
        <w:t>בתרע״ח</w:t>
      </w:r>
      <w:proofErr w:type="spellEnd"/>
      <w:r>
        <w:rPr>
          <w:rtl/>
        </w:rPr>
        <w:t xml:space="preserve"> – בשובו לישיבה אחרי שלוש שנים רבות מאורעות של מלחמת עולם</w:t>
      </w:r>
      <w:bookmarkStart w:id="4050" w:name="_fnr3076"/>
      <w:r>
        <w:rPr>
          <w:vertAlign w:val="superscript"/>
          <w:rtl/>
        </w:rPr>
        <w:footnoteReference w:id="3084" w:customMarkFollows="0"/>
      </w:r>
      <w:bookmarkEnd w:id="4050"/>
      <w:r>
        <w:rPr>
          <w:rtl/>
        </w:rPr>
        <w:t xml:space="preserve"> – דבר ביקורת שאמר על פלוני שש שנים קודם לכן. רבנו אמר: “דיברתי אז לשון הרע על אדם מסוים ואמרתי שאינו מאמין. עתה הוכיח הסבא שאין הערכתי נכונה, שכן ר׳ </w:t>
      </w:r>
      <w:proofErr w:type="spellStart"/>
      <w:r>
        <w:rPr>
          <w:rtl/>
        </w:rPr>
        <w:t>בן־ציון</w:t>
      </w:r>
      <w:proofErr w:type="spellEnd"/>
      <w:r>
        <w:rPr>
          <w:rtl/>
        </w:rPr>
        <w:t xml:space="preserve"> </w:t>
      </w:r>
      <w:proofErr w:type="spellStart"/>
      <w:r>
        <w:rPr>
          <w:rtl/>
        </w:rPr>
        <w:t>בילסקר</w:t>
      </w:r>
      <w:proofErr w:type="spellEnd"/>
      <w:r>
        <w:rPr>
          <w:rtl/>
        </w:rPr>
        <w:t xml:space="preserve"> [</w:t>
      </w:r>
      <w:proofErr w:type="spellStart"/>
      <w:r>
        <w:rPr>
          <w:rtl/>
        </w:rPr>
        <w:t>שטרנפלד</w:t>
      </w:r>
      <w:proofErr w:type="spellEnd"/>
      <w:r>
        <w:rPr>
          <w:rtl/>
        </w:rPr>
        <w:t>] נתן לאותו אדם מכתב המלצה למשרת רבנות”. אבי הוסיף שלא ידע אם לכנות כוח זה של הסבא “</w:t>
      </w:r>
      <w:proofErr w:type="spellStart"/>
      <w:r>
        <w:rPr>
          <w:rtl/>
        </w:rPr>
        <w:t>עילויות</w:t>
      </w:r>
      <w:proofErr w:type="spellEnd"/>
      <w:r>
        <w:rPr>
          <w:rtl/>
        </w:rPr>
        <w:t>” או “סייעתא דשמיא”, ונטה לאפשרות השנייה.</w:t>
      </w:r>
    </w:p>
    <w:p w14:paraId="36094DAF" w14:textId="77777777" w:rsidR="00AB3647" w:rsidRDefault="00000000" w:rsidP="007923E9">
      <w:pPr>
        <w:spacing w:after="120" w:line="276" w:lineRule="auto"/>
        <w:jc w:val="both"/>
      </w:pPr>
      <w:r>
        <w:rPr>
          <w:rtl/>
        </w:rPr>
        <w:t xml:space="preserve">ר׳ </w:t>
      </w:r>
      <w:proofErr w:type="spellStart"/>
      <w:r>
        <w:rPr>
          <w:rtl/>
        </w:rPr>
        <w:t>בן־ציון</w:t>
      </w:r>
      <w:proofErr w:type="spellEnd"/>
      <w:r>
        <w:rPr>
          <w:rtl/>
        </w:rPr>
        <w:t xml:space="preserve"> </w:t>
      </w:r>
      <w:proofErr w:type="spellStart"/>
      <w:r>
        <w:rPr>
          <w:rtl/>
        </w:rPr>
        <w:t>בילסקר</w:t>
      </w:r>
      <w:proofErr w:type="spellEnd"/>
      <w:r>
        <w:rPr>
          <w:rtl/>
        </w:rPr>
        <w:t xml:space="preserve"> [</w:t>
      </w:r>
      <w:proofErr w:type="spellStart"/>
      <w:r>
        <w:rPr>
          <w:rtl/>
        </w:rPr>
        <w:t>שטרנפלד</w:t>
      </w:r>
      <w:proofErr w:type="spellEnd"/>
      <w:r>
        <w:rPr>
          <w:rtl/>
        </w:rPr>
        <w:t>], אחד מראשי כולל קובנה בעת ייסודו</w:t>
      </w:r>
      <w:bookmarkStart w:id="4051" w:name="_fnr3077"/>
      <w:r>
        <w:rPr>
          <w:vertAlign w:val="superscript"/>
          <w:rtl/>
        </w:rPr>
        <w:footnoteReference w:id="3085" w:customMarkFollows="0"/>
      </w:r>
      <w:bookmarkEnd w:id="4051"/>
      <w:r>
        <w:rPr>
          <w:rtl/>
        </w:rPr>
        <w:t xml:space="preserve">, כתב את ההסכמה העיקרית </w:t>
      </w:r>
      <w:proofErr w:type="spellStart"/>
      <w:r>
        <w:rPr>
          <w:rtl/>
        </w:rPr>
        <w:t>ל“משנה</w:t>
      </w:r>
      <w:proofErr w:type="spellEnd"/>
      <w:r>
        <w:rPr>
          <w:rtl/>
        </w:rPr>
        <w:t xml:space="preserve"> ברורה”, ונתן את הסכמתו גם </w:t>
      </w:r>
      <w:proofErr w:type="spellStart"/>
      <w:r>
        <w:rPr>
          <w:rtl/>
        </w:rPr>
        <w:t>ל“ספר</w:t>
      </w:r>
      <w:proofErr w:type="spellEnd"/>
      <w:r>
        <w:rPr>
          <w:rtl/>
        </w:rPr>
        <w:t xml:space="preserve"> ליקוטי הלכות” של אותו מחבר</w:t>
      </w:r>
      <w:bookmarkStart w:id="4052" w:name="_fnr3078"/>
      <w:r>
        <w:rPr>
          <w:vertAlign w:val="superscript"/>
          <w:rtl/>
        </w:rPr>
        <w:footnoteReference w:id="3086" w:customMarkFollows="0"/>
      </w:r>
      <w:bookmarkEnd w:id="4052"/>
      <w:r>
        <w:rPr>
          <w:rtl/>
        </w:rPr>
        <w:t xml:space="preserve">. </w:t>
      </w:r>
      <w:proofErr w:type="spellStart"/>
      <w:r>
        <w:rPr>
          <w:rtl/>
        </w:rPr>
        <w:t>החפץ־חיים</w:t>
      </w:r>
      <w:proofErr w:type="spellEnd"/>
      <w:r>
        <w:rPr>
          <w:rtl/>
        </w:rPr>
        <w:t xml:space="preserve"> אמר שכאשר חיפש לעצמו רב, שקל להסתופף אצל ר׳ </w:t>
      </w:r>
      <w:proofErr w:type="spellStart"/>
      <w:r>
        <w:rPr>
          <w:rtl/>
        </w:rPr>
        <w:t>בן־ציון</w:t>
      </w:r>
      <w:proofErr w:type="spellEnd"/>
      <w:r>
        <w:rPr>
          <w:rtl/>
        </w:rPr>
        <w:t xml:space="preserve">, אצל ר׳ </w:t>
      </w:r>
      <w:proofErr w:type="spellStart"/>
      <w:r>
        <w:rPr>
          <w:rtl/>
        </w:rPr>
        <w:t>חיים־לייב</w:t>
      </w:r>
      <w:proofErr w:type="spellEnd"/>
      <w:r>
        <w:rPr>
          <w:rtl/>
        </w:rPr>
        <w:t xml:space="preserve"> </w:t>
      </w:r>
      <w:proofErr w:type="spellStart"/>
      <w:r>
        <w:rPr>
          <w:rtl/>
        </w:rPr>
        <w:lastRenderedPageBreak/>
        <w:t>סטוויסקר</w:t>
      </w:r>
      <w:proofErr w:type="spellEnd"/>
      <w:r>
        <w:rPr>
          <w:rtl/>
        </w:rPr>
        <w:t xml:space="preserve"> [מישקובסקי] או אצל ר׳ </w:t>
      </w:r>
      <w:proofErr w:type="spellStart"/>
      <w:r>
        <w:rPr>
          <w:rtl/>
        </w:rPr>
        <w:t>נחומק׳ה</w:t>
      </w:r>
      <w:proofErr w:type="spellEnd"/>
      <w:r>
        <w:rPr>
          <w:rtl/>
        </w:rPr>
        <w:t xml:space="preserve"> </w:t>
      </w:r>
      <w:proofErr w:type="spellStart"/>
      <w:r>
        <w:rPr>
          <w:rtl/>
        </w:rPr>
        <w:t>הורודנר</w:t>
      </w:r>
      <w:proofErr w:type="spellEnd"/>
      <w:r>
        <w:rPr>
          <w:rtl/>
        </w:rPr>
        <w:t xml:space="preserve"> [קפלן], ולבסוף בחר באחרון</w:t>
      </w:r>
      <w:bookmarkStart w:id="4053" w:name="_fnr3079"/>
      <w:r>
        <w:rPr>
          <w:vertAlign w:val="superscript"/>
          <w:rtl/>
        </w:rPr>
        <w:footnoteReference w:id="3087" w:customMarkFollows="0"/>
      </w:r>
      <w:bookmarkEnd w:id="4053"/>
      <w:r>
        <w:rPr>
          <w:rtl/>
        </w:rPr>
        <w:t xml:space="preserve">. בנו של </w:t>
      </w:r>
      <w:proofErr w:type="spellStart"/>
      <w:r>
        <w:rPr>
          <w:rtl/>
        </w:rPr>
        <w:t>החפץ־חיים</w:t>
      </w:r>
      <w:proofErr w:type="spellEnd"/>
      <w:r>
        <w:rPr>
          <w:rtl/>
        </w:rPr>
        <w:t xml:space="preserve">, ר׳ </w:t>
      </w:r>
      <w:proofErr w:type="spellStart"/>
      <w:r>
        <w:rPr>
          <w:rtl/>
        </w:rPr>
        <w:t>אריה־לייב</w:t>
      </w:r>
      <w:proofErr w:type="spellEnd"/>
      <w:r>
        <w:rPr>
          <w:rtl/>
        </w:rPr>
        <w:t xml:space="preserve"> </w:t>
      </w:r>
      <w:proofErr w:type="spellStart"/>
      <w:r>
        <w:rPr>
          <w:rtl/>
        </w:rPr>
        <w:t>פופקו</w:t>
      </w:r>
      <w:bookmarkStart w:id="4054" w:name="_fnr3080"/>
      <w:proofErr w:type="spellEnd"/>
      <w:r>
        <w:rPr>
          <w:vertAlign w:val="superscript"/>
          <w:rtl/>
        </w:rPr>
        <w:footnoteReference w:id="3088" w:customMarkFollows="0"/>
      </w:r>
      <w:bookmarkEnd w:id="4054"/>
      <w:r>
        <w:rPr>
          <w:rtl/>
        </w:rPr>
        <w:t xml:space="preserve">, מתאר את אביו ואת ר׳ </w:t>
      </w:r>
      <w:proofErr w:type="spellStart"/>
      <w:r>
        <w:rPr>
          <w:rtl/>
        </w:rPr>
        <w:t>בן־ציון</w:t>
      </w:r>
      <w:proofErr w:type="spellEnd"/>
      <w:r>
        <w:rPr>
          <w:rtl/>
        </w:rPr>
        <w:t xml:space="preserve"> </w:t>
      </w:r>
      <w:proofErr w:type="spellStart"/>
      <w:r>
        <w:rPr>
          <w:rtl/>
        </w:rPr>
        <w:t>כ“קרובים</w:t>
      </w:r>
      <w:proofErr w:type="spellEnd"/>
      <w:r>
        <w:rPr>
          <w:rtl/>
        </w:rPr>
        <w:t xml:space="preserve"> מאוד”.</w:t>
      </w:r>
    </w:p>
    <w:p w14:paraId="1DF60A51" w14:textId="4760853B" w:rsidR="00AB3647" w:rsidRDefault="00000000" w:rsidP="007923E9">
      <w:pPr>
        <w:spacing w:after="120" w:line="276" w:lineRule="auto"/>
        <w:jc w:val="both"/>
      </w:pPr>
      <w:r>
        <w:rPr>
          <w:rtl/>
        </w:rPr>
        <w:t xml:space="preserve">השווה גם הערה </w:t>
      </w:r>
      <w:r>
        <w:rPr>
          <w:rtl/>
        </w:rPr>
        <w:fldChar w:fldCharType="begin" w:dirty="true"/>
      </w:r>
      <w:r>
        <w:rPr>
          <w:rtl/>
        </w:rPr>
        <w:instrText xml:space="preserve"> REF b4_note48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48</w:t>
      </w:r>
      <w:r>
        <w:rPr>
          <w:rtl/>
        </w:rPr>
        <w:fldChar w:fldCharType="end"/>
      </w:r>
      <w:r>
        <w:rPr>
          <w:rtl/>
        </w:rPr>
        <w:t xml:space="preserve"> להלן לדוגמה נוספת לזיכרונו המצוין של הסבא </w:t>
      </w:r>
      <w:proofErr w:type="spellStart"/>
      <w:r>
        <w:rPr>
          <w:rtl/>
        </w:rPr>
        <w:t>מסלבודקה</w:t>
      </w:r>
      <w:proofErr w:type="spellEnd"/>
      <w:r>
        <w:rPr>
          <w:rtl/>
        </w:rPr>
        <w:t xml:space="preserve">, וכן את מאמרו הנזכר לעיל של אלעזר ראובן </w:t>
      </w:r>
      <w:proofErr w:type="spellStart"/>
      <w:r>
        <w:rPr>
          <w:rtl/>
        </w:rPr>
        <w:t>מושקין</w:t>
      </w:r>
      <w:proofErr w:type="spellEnd"/>
      <w:r>
        <w:rPr>
          <w:rtl/>
        </w:rPr>
        <w:t xml:space="preserve"> בספר הזיכרון לסבא </w:t>
      </w:r>
      <w:proofErr w:type="spellStart"/>
      <w:r>
        <w:rPr>
          <w:rtl/>
        </w:rPr>
        <w:t>מסלבודקה</w:t>
      </w:r>
      <w:proofErr w:type="spellEnd"/>
      <w:r>
        <w:rPr>
          <w:rtl/>
        </w:rPr>
        <w:t xml:space="preserve"> שערך ר׳ </w:t>
      </w:r>
      <w:proofErr w:type="spellStart"/>
      <w:r>
        <w:rPr>
          <w:rtl/>
        </w:rPr>
        <w:t>ישראל־זיסל</w:t>
      </w:r>
      <w:proofErr w:type="spellEnd"/>
      <w:r>
        <w:rPr>
          <w:rtl/>
        </w:rPr>
        <w:t xml:space="preserve"> </w:t>
      </w:r>
      <w:proofErr w:type="spellStart"/>
      <w:r>
        <w:rPr>
          <w:rtl/>
        </w:rPr>
        <w:t>דבורץ</w:t>
      </w:r>
      <w:bookmarkStart w:id="4055" w:name="_fnr3081"/>
      <w:proofErr w:type="spellEnd"/>
      <w:r>
        <w:rPr>
          <w:vertAlign w:val="superscript"/>
          <w:rtl/>
        </w:rPr>
        <w:footnoteReference w:id="3089" w:customMarkFollows="0"/>
      </w:r>
      <w:bookmarkEnd w:id="4055"/>
      <w:r>
        <w:rPr>
          <w:rtl/>
        </w:rPr>
        <w:t>, המציין את “זיכרונו המופלא” במעשי התלמידים, “גם שנים רבות אחרי שעזבו את הישיבה”. המאמר מספר: “לעיתים קרובות היה מזכיר לאנשים שלמדו בישיבה רק זמן קצר, שנים אחדות, מה עשו בזמן שהותם בה, ומדגיש את המעשים והפעולות שהשפיעו על תלמידים אחרים באותה תקופה”.</w:t>
      </w:r>
    </w:p>
    <w:bookmarkStart w:id="4056" w:name="b4_note9"/>
    <w:p w14:paraId="02F693CE" w14:textId="77777777" w:rsidR="00AB3647" w:rsidRDefault="00000000" w:rsidP="007923E9">
      <w:pPr>
        <w:spacing w:before="120" w:after="100" w:line="276" w:lineRule="auto"/>
        <w:jc w:val="both"/>
      </w:pPr>
      <w:r>
        <w:fldChar w:fldCharType="begin" w:dirty="true"/>
      </w:r>
      <w:r>
        <w:instrText>HYPERLINK \l "b4_text9" \h</w:instrText>
      </w:r>
      <w:r>
        <w:fldChar w:fldCharType="separate"/>
      </w:r>
      <w:r>
        <w:rPr>
          <w:b/>
          <w:bCs/>
          <w:rtl/>
        </w:rPr>
        <w:t>9</w:t>
      </w:r>
      <w:r>
        <w:rPr>
          <w:b/>
          <w:bCs/>
        </w:rPr>
        <w:fldChar w:fldCharType="end"/>
      </w:r>
      <w:bookmarkEnd w:id="4056"/>
      <w:r>
        <w:rPr>
          <w:rtl/>
        </w:rPr>
        <w:t xml:space="preserve"> “בעקבות היראה”</w:t>
      </w:r>
      <w:bookmarkStart w:id="4057" w:name="_fnr3082"/>
      <w:r>
        <w:rPr>
          <w:vertAlign w:val="superscript"/>
          <w:rtl/>
        </w:rPr>
        <w:footnoteReference w:id="3090" w:customMarkFollows="0"/>
      </w:r>
      <w:bookmarkEnd w:id="4057"/>
      <w:r>
        <w:rPr>
          <w:rtl/>
        </w:rPr>
        <w:t xml:space="preserve"> מתאר את דרך מסירת השיחה בערב שבו שב המחבר </w:t>
      </w:r>
      <w:proofErr w:type="spellStart"/>
      <w:r>
        <w:rPr>
          <w:rtl/>
        </w:rPr>
        <w:t>לסלבודקה</w:t>
      </w:r>
      <w:proofErr w:type="spellEnd"/>
      <w:r>
        <w:rPr>
          <w:rtl/>
        </w:rPr>
        <w:t xml:space="preserve"> מן החופשה, ביום שני, י״ג באלול תרע״ג: “כל דבר פשוט, כל מחשבה קצרה וכל תנועה נשקלים ונמדדים, ואתה חש רוגע וביטחון”.</w:t>
      </w:r>
    </w:p>
    <w:bookmarkStart w:id="4058" w:name="b4_note10"/>
    <w:p w14:paraId="4890F929" w14:textId="77777777" w:rsidR="00AB3647" w:rsidRDefault="00000000" w:rsidP="007923E9">
      <w:pPr>
        <w:spacing w:before="120" w:after="100" w:line="276" w:lineRule="auto"/>
        <w:jc w:val="both"/>
      </w:pPr>
      <w:r>
        <w:fldChar w:fldCharType="begin" w:dirty="true"/>
      </w:r>
      <w:r>
        <w:instrText>HYPERLINK \l "b4_text10" \h</w:instrText>
      </w:r>
      <w:r>
        <w:fldChar w:fldCharType="separate"/>
      </w:r>
      <w:r>
        <w:rPr>
          <w:b/>
          <w:bCs/>
          <w:rtl/>
        </w:rPr>
        <w:t>10</w:t>
      </w:r>
      <w:r>
        <w:rPr>
          <w:b/>
          <w:bCs/>
        </w:rPr>
        <w:fldChar w:fldCharType="end"/>
      </w:r>
      <w:bookmarkEnd w:id="4058"/>
      <w:r>
        <w:rPr>
          <w:rtl/>
        </w:rPr>
        <w:t xml:space="preserve"> כץ, “תנועת המוסר”, כרך ג</w:t>
      </w:r>
      <w:bookmarkStart w:id="4059" w:name="_fnr3083"/>
      <w:r>
        <w:rPr>
          <w:vertAlign w:val="superscript"/>
          <w:rtl/>
        </w:rPr>
        <w:footnoteReference w:id="3091" w:customMarkFollows="0"/>
      </w:r>
      <w:bookmarkEnd w:id="4059"/>
      <w:r>
        <w:rPr>
          <w:rtl/>
        </w:rPr>
        <w:t>. שם מוסברת דרך המסירה המיוחדת ברצונו של הסבא לתת לדבריו אופי של התבוננות שכלית, נקייה מהתלהבות, כאופיו של שיעור הלכתי</w:t>
      </w:r>
      <w:bookmarkStart w:id="4060" w:name="_fnr3084"/>
      <w:r>
        <w:rPr>
          <w:vertAlign w:val="superscript"/>
          <w:rtl/>
        </w:rPr>
        <w:footnoteReference w:id="3092" w:customMarkFollows="0"/>
      </w:r>
      <w:bookmarkEnd w:id="4060"/>
      <w:r>
        <w:rPr>
          <w:rtl/>
        </w:rPr>
        <w:t>. אבל נראה שעם כל מאמציו לא הצליח הסבא ליישב לגמרי בין שיחת המוסר לשיעור ההלכה. השווה שם</w:t>
      </w:r>
      <w:bookmarkStart w:id="4061" w:name="_fnr3085"/>
      <w:r>
        <w:rPr>
          <w:vertAlign w:val="superscript"/>
          <w:rtl/>
        </w:rPr>
        <w:footnoteReference w:id="3093" w:customMarkFollows="0"/>
      </w:r>
      <w:bookmarkEnd w:id="4061"/>
      <w:r>
        <w:rPr>
          <w:rtl/>
        </w:rPr>
        <w:t>: “שיחותיו היו משפיעות עליו מאוד – ואף שנאבק לרסן את התלהבותו, לא תמיד הצליח בכך. לפעמים היו פניו מאדימות, מצחו מבהיק ועיניו נוצצות, וניכר היה שהוא מלא להט... [השומעים] הרגישו פעמים רבות שהוא נחנק בדמעות של התרוממות רוח, עד שלעיתים היה מתחיל לנשוך את שפתיו ולהקיש באצבעותיו כדי לעצור אותן”.</w:t>
      </w:r>
    </w:p>
    <w:bookmarkStart w:id="4062" w:name="b4_note11"/>
    <w:p w14:paraId="7CB383FE" w14:textId="77777777" w:rsidR="00AB3647" w:rsidRDefault="00000000" w:rsidP="007923E9">
      <w:pPr>
        <w:spacing w:before="120" w:after="100" w:line="276" w:lineRule="auto"/>
        <w:jc w:val="both"/>
      </w:pPr>
      <w:r>
        <w:fldChar w:fldCharType="begin" w:dirty="true"/>
      </w:r>
      <w:r>
        <w:instrText>HYPERLINK \l "b4_text11" \h</w:instrText>
      </w:r>
      <w:r>
        <w:fldChar w:fldCharType="separate"/>
      </w:r>
      <w:r>
        <w:rPr>
          <w:b/>
          <w:bCs/>
          <w:rtl/>
        </w:rPr>
        <w:t>11</w:t>
      </w:r>
      <w:r>
        <w:rPr>
          <w:b/>
          <w:bCs/>
        </w:rPr>
        <w:fldChar w:fldCharType="end"/>
      </w:r>
      <w:bookmarkEnd w:id="4062"/>
      <w:r>
        <w:rPr>
          <w:rtl/>
        </w:rPr>
        <w:t xml:space="preserve"> כץ, “תנועת המוסר”, כרך ג</w:t>
      </w:r>
      <w:bookmarkStart w:id="4063" w:name="_fnr3086"/>
      <w:r>
        <w:rPr>
          <w:vertAlign w:val="superscript"/>
          <w:rtl/>
        </w:rPr>
        <w:footnoteReference w:id="3094" w:customMarkFollows="0"/>
      </w:r>
      <w:bookmarkEnd w:id="4063"/>
      <w:r>
        <w:rPr>
          <w:rtl/>
        </w:rPr>
        <w:t xml:space="preserve">. השווה גם מאמרו של </w:t>
      </w:r>
      <w:proofErr w:type="spellStart"/>
      <w:r>
        <w:rPr>
          <w:rtl/>
        </w:rPr>
        <w:t>הירש־לייב</w:t>
      </w:r>
      <w:proofErr w:type="spellEnd"/>
      <w:r>
        <w:rPr>
          <w:rtl/>
        </w:rPr>
        <w:t xml:space="preserve"> גורדון “על גדות </w:t>
      </w:r>
      <w:proofErr w:type="spellStart"/>
      <w:r>
        <w:rPr>
          <w:rtl/>
        </w:rPr>
        <w:t>הוויליה</w:t>
      </w:r>
      <w:proofErr w:type="spellEnd"/>
      <w:r>
        <w:rPr>
          <w:rtl/>
        </w:rPr>
        <w:t xml:space="preserve"> </w:t>
      </w:r>
      <w:proofErr w:type="spellStart"/>
      <w:r>
        <w:rPr>
          <w:rtl/>
        </w:rPr>
        <w:t>והנימן</w:t>
      </w:r>
      <w:proofErr w:type="spellEnd"/>
      <w:r>
        <w:rPr>
          <w:rtl/>
        </w:rPr>
        <w:t xml:space="preserve">” </w:t>
      </w:r>
      <w:proofErr w:type="spellStart"/>
      <w:r>
        <w:rPr>
          <w:rtl/>
        </w:rPr>
        <w:t>ב“הדואר</w:t>
      </w:r>
      <w:proofErr w:type="spellEnd"/>
      <w:r>
        <w:rPr>
          <w:rtl/>
        </w:rPr>
        <w:t>”</w:t>
      </w:r>
      <w:bookmarkStart w:id="4064" w:name="_fnr3087"/>
      <w:r>
        <w:rPr>
          <w:vertAlign w:val="superscript"/>
          <w:rtl/>
        </w:rPr>
        <w:footnoteReference w:id="3095" w:customMarkFollows="0"/>
      </w:r>
      <w:bookmarkEnd w:id="4064"/>
      <w:r>
        <w:rPr>
          <w:rtl/>
        </w:rPr>
        <w:t>. מחבר המאמר, המתנגד למוסר, טוען שם שהוא זוכר את צורתו המדויקת של “</w:t>
      </w:r>
      <w:r>
        <w:rPr>
          <w:b/>
          <w:bCs/>
          <w:rtl/>
        </w:rPr>
        <w:t>חלק</w:t>
      </w:r>
      <w:r>
        <w:rPr>
          <w:rtl/>
        </w:rPr>
        <w:t xml:space="preserve"> (ההדגשה שלי) משיחה אחת שנאמרה בחודש אלול”. הוא תרגם את הדברים מיידיש לעברית, והם מובאים כאן [ברובם] בתרגום חוזר מן האנגלית: “תשובה... תשובה ומעשים טובים... קשה להשיגם... ואף על פי כן צריך להשתדל... אין דבר עומד בפני בעלי תשובה... פתחה של </w:t>
      </w:r>
      <w:proofErr w:type="spellStart"/>
      <w:r>
        <w:rPr>
          <w:rtl/>
        </w:rPr>
        <w:t>גיהנם</w:t>
      </w:r>
      <w:proofErr w:type="spellEnd"/>
      <w:r>
        <w:rPr>
          <w:rtl/>
        </w:rPr>
        <w:t xml:space="preserve">... כל המרבה שיחה עם </w:t>
      </w:r>
      <w:proofErr w:type="spellStart"/>
      <w:r>
        <w:rPr>
          <w:rtl/>
        </w:rPr>
        <w:t>האשה</w:t>
      </w:r>
      <w:proofErr w:type="spellEnd"/>
      <w:r>
        <w:rPr>
          <w:rtl/>
        </w:rPr>
        <w:t xml:space="preserve"> יורש </w:t>
      </w:r>
      <w:proofErr w:type="spellStart"/>
      <w:r>
        <w:rPr>
          <w:rtl/>
        </w:rPr>
        <w:t>גיהנם</w:t>
      </w:r>
      <w:proofErr w:type="spellEnd"/>
      <w:r>
        <w:rPr>
          <w:rtl/>
        </w:rPr>
        <w:t xml:space="preserve">... המנבל את פיו... כל הכועס... מי שיש בו חנופה... גסות הרוח... כל הפורש מדברי תורה נופל </w:t>
      </w:r>
      <w:proofErr w:type="spellStart"/>
      <w:r>
        <w:rPr>
          <w:rtl/>
        </w:rPr>
        <w:t>בגיהנם</w:t>
      </w:r>
      <w:proofErr w:type="spellEnd"/>
      <w:r>
        <w:rPr>
          <w:rtl/>
        </w:rPr>
        <w:t xml:space="preserve">... אבל הקורא שמע ומדקדק באותיותיה </w:t>
      </w:r>
      <w:proofErr w:type="spellStart"/>
      <w:r>
        <w:rPr>
          <w:rtl/>
        </w:rPr>
        <w:t>מצננין</w:t>
      </w:r>
      <w:proofErr w:type="spellEnd"/>
      <w:r>
        <w:rPr>
          <w:rtl/>
        </w:rPr>
        <w:t xml:space="preserve"> לו </w:t>
      </w:r>
      <w:proofErr w:type="spellStart"/>
      <w:r>
        <w:rPr>
          <w:rtl/>
        </w:rPr>
        <w:t>גיהנם</w:t>
      </w:r>
      <w:proofErr w:type="spellEnd"/>
      <w:r>
        <w:rPr>
          <w:rtl/>
        </w:rPr>
        <w:t xml:space="preserve">... כל זמן שאדם חי יש לו תקווה... היום </w:t>
      </w:r>
      <w:r>
        <w:rPr>
          <w:rtl/>
        </w:rPr>
        <w:lastRenderedPageBreak/>
        <w:t>עדיין יש זמן, אבל מי יודע אם מחר...? כל הבוכה בלילה קולו נשמע... כאן פרץ כל הקהל בבכי, והניגש לפני התיבה לערבית היה כשליח ציבור המתפלל כל נדרי: כאילו העולם כולו הגיע אל קצו בלא תקווה”.</w:t>
      </w:r>
    </w:p>
    <w:p w14:paraId="0DDB9FE9" w14:textId="77777777" w:rsidR="00AB3647" w:rsidRDefault="00000000" w:rsidP="007923E9">
      <w:pPr>
        <w:spacing w:before="120" w:after="100" w:line="276" w:lineRule="auto"/>
        <w:jc w:val="both"/>
      </w:pPr>
      <w:r>
        <w:rPr>
          <w:rtl/>
        </w:rPr>
        <w:t xml:space="preserve">המשפט האחרון מוטה ואינו אמת. מחבר המאמר מצייר את השפעתה של שיחת מוסר בקווים משכיליים טיפוסיים, ובוודאי לא כפי שהיה </w:t>
      </w:r>
      <w:proofErr w:type="spellStart"/>
      <w:r>
        <w:rPr>
          <w:rtl/>
        </w:rPr>
        <w:t>בסלבודקה</w:t>
      </w:r>
      <w:proofErr w:type="spellEnd"/>
      <w:r>
        <w:rPr>
          <w:rtl/>
        </w:rPr>
        <w:t>, שבה הוא טוען שחווה אותה. אולם תיאורו את צורת מסירת הדברים של הסבא, המתיישב עם דברי כץ התומך במוסר, מסתבר שהוא נאמן.</w:t>
      </w:r>
    </w:p>
    <w:p w14:paraId="3D927234" w14:textId="77777777" w:rsidR="00AB3647" w:rsidRDefault="00000000" w:rsidP="007923E9">
      <w:pPr>
        <w:spacing w:before="120" w:after="100" w:line="276" w:lineRule="auto"/>
        <w:jc w:val="both"/>
      </w:pPr>
      <w:r>
        <w:rPr>
          <w:rtl/>
        </w:rPr>
        <w:t xml:space="preserve">בשיחה זו – שהכותב מודה שהיא רק חלק משיחה, כפי שהודגש לעיל – הביא הסבא בזה אחר זה </w:t>
      </w:r>
      <w:proofErr w:type="spellStart"/>
      <w:r>
        <w:rPr>
          <w:rtl/>
        </w:rPr>
        <w:t>שנים־עשר</w:t>
      </w:r>
      <w:proofErr w:type="spellEnd"/>
      <w:r>
        <w:rPr>
          <w:rtl/>
        </w:rPr>
        <w:t xml:space="preserve"> מאמרי חז״ל ממקורות שונים: ברכות </w:t>
      </w:r>
      <w:proofErr w:type="spellStart"/>
      <w:r>
        <w:rPr>
          <w:rtl/>
        </w:rPr>
        <w:t>יז</w:t>
      </w:r>
      <w:proofErr w:type="spellEnd"/>
      <w:r>
        <w:rPr>
          <w:rtl/>
        </w:rPr>
        <w:t xml:space="preserve"> ע״א; ירושלמי פאה פ״א ה״א; עירובין </w:t>
      </w:r>
      <w:proofErr w:type="spellStart"/>
      <w:r>
        <w:rPr>
          <w:rtl/>
        </w:rPr>
        <w:t>יט</w:t>
      </w:r>
      <w:proofErr w:type="spellEnd"/>
      <w:r>
        <w:rPr>
          <w:rtl/>
        </w:rPr>
        <w:t xml:space="preserve"> ע״א; אבות פ״א מ״ה; שבת לג ע״א; נדרים </w:t>
      </w:r>
      <w:proofErr w:type="spellStart"/>
      <w:r>
        <w:rPr>
          <w:rtl/>
        </w:rPr>
        <w:t>כב</w:t>
      </w:r>
      <w:proofErr w:type="spellEnd"/>
      <w:r>
        <w:rPr>
          <w:rtl/>
        </w:rPr>
        <w:t xml:space="preserve"> ע״א; סוטה </w:t>
      </w:r>
      <w:proofErr w:type="spellStart"/>
      <w:r>
        <w:rPr>
          <w:rtl/>
        </w:rPr>
        <w:t>מא</w:t>
      </w:r>
      <w:proofErr w:type="spellEnd"/>
      <w:r>
        <w:rPr>
          <w:rtl/>
        </w:rPr>
        <w:t xml:space="preserve"> ע״ב; ב״ב י ע״ב; ושם עט ע״א; ברכות טו ע״ב; שבת </w:t>
      </w:r>
      <w:proofErr w:type="spellStart"/>
      <w:r>
        <w:rPr>
          <w:rtl/>
        </w:rPr>
        <w:t>קנג</w:t>
      </w:r>
      <w:proofErr w:type="spellEnd"/>
      <w:r>
        <w:rPr>
          <w:rtl/>
        </w:rPr>
        <w:t xml:space="preserve"> ע״א; סנהדרין קד ע״ב. המאזין, שעקב אחר סדרם, צירף אותם לשיחה רצופה אחת.</w:t>
      </w:r>
    </w:p>
    <w:p w14:paraId="36341673" w14:textId="5CE3F502"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התלמידים היו מצטופפים סביבו, רוכנים ומטים אוזן במאמץ שלא להחמיץ מילה או צליל</w:t>
      </w:r>
      <w:bookmarkStart w:id="4065" w:name="b4_text12"/>
      <w:bookmarkEnd w:id="4065"/>
      <w:r>
        <w:rPr>
          <w:sz w:val="18"/>
          <w:szCs w:val="18"/>
          <w:vertAlign w:val="superscript"/>
          <w:rtl/>
        </w:rPr>
        <w:fldChar w:fldCharType="begin" w:dirty="true"/>
      </w:r>
      <w:r>
        <w:rPr>
          <w:sz w:val="18"/>
          <w:szCs w:val="18"/>
          <w:vertAlign w:val="superscript"/>
          <w:rtl/>
        </w:rPr>
        <w:instrText xml:space="preserve"> REF b4_note12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12</w:t>
      </w:r>
      <w:r>
        <w:rPr>
          <w:sz w:val="18"/>
          <w:szCs w:val="18"/>
          <w:vertAlign w:val="superscript"/>
          <w:rtl/>
        </w:rPr>
        <w:fldChar w:fldCharType="end"/>
      </w:r>
      <w:r>
        <w:rPr>
          <w:rtl/>
        </w:rPr>
        <w:t>.</w:t>
      </w:r>
    </w:p>
    <w:bookmarkStart w:id="4066" w:name="b4_note12"/>
    <w:p w14:paraId="074E004A" w14:textId="77777777" w:rsidR="00AB3647" w:rsidRDefault="00000000" w:rsidP="007923E9">
      <w:pPr>
        <w:spacing w:before="120" w:after="100" w:line="276" w:lineRule="auto"/>
        <w:jc w:val="both"/>
      </w:pPr>
      <w:r>
        <w:fldChar w:fldCharType="begin" w:dirty="true"/>
      </w:r>
      <w:r>
        <w:instrText>HYPERLINK \l "b4_text12" \h</w:instrText>
      </w:r>
      <w:r>
        <w:fldChar w:fldCharType="separate"/>
      </w:r>
      <w:r>
        <w:rPr>
          <w:b/>
          <w:bCs/>
          <w:rtl/>
        </w:rPr>
        <w:t>12</w:t>
      </w:r>
      <w:r>
        <w:rPr>
          <w:b/>
          <w:bCs/>
        </w:rPr>
        <w:fldChar w:fldCharType="end"/>
      </w:r>
      <w:bookmarkEnd w:id="4066"/>
      <w:r>
        <w:rPr>
          <w:rtl/>
        </w:rPr>
        <w:t xml:space="preserve"> כץ, “תנועת המוסר”, כרך ג</w:t>
      </w:r>
      <w:bookmarkStart w:id="4067" w:name="_fnr3088"/>
      <w:r>
        <w:rPr>
          <w:vertAlign w:val="superscript"/>
          <w:rtl/>
        </w:rPr>
        <w:footnoteReference w:id="3096" w:customMarkFollows="0"/>
      </w:r>
      <w:bookmarkEnd w:id="4067"/>
      <w:r>
        <w:rPr>
          <w:rtl/>
        </w:rPr>
        <w:t>. המתח שהצליח הסבא ליצור סביב שיחותיו מיוחס לדרכי הוראתו: “מפני שדיבר בשקט ובלא בהירות”, ניצב השומע בפני האתגר “לתפוס מילה, להשיג מחשבה, להבין משהו”. ר׳ זבולון גרז</w:t>
      </w:r>
      <w:bookmarkStart w:id="4068" w:name="_fnr3089"/>
      <w:r>
        <w:rPr>
          <w:vertAlign w:val="superscript"/>
          <w:rtl/>
        </w:rPr>
        <w:footnoteReference w:id="3097" w:customMarkFollows="0"/>
      </w:r>
      <w:bookmarkEnd w:id="4068"/>
      <w:r>
        <w:rPr>
          <w:rtl/>
        </w:rPr>
        <w:t xml:space="preserve"> תיאר זאת כך: “הסבא דיבר בקול נמוך – למיטב זיכרוני – לפחות שעה</w:t>
      </w:r>
      <w:bookmarkStart w:id="4069" w:name="_fnr3090"/>
      <w:r>
        <w:rPr>
          <w:vertAlign w:val="superscript"/>
          <w:rtl/>
        </w:rPr>
        <w:footnoteReference w:id="3098" w:customMarkFollows="0"/>
      </w:r>
      <w:bookmarkEnd w:id="4069"/>
      <w:r>
        <w:rPr>
          <w:rtl/>
        </w:rPr>
        <w:t>, והתלמידים היו מאזינים בדריכות ובלהיטות לכל מילה. כל מילה הייתה נטעמת ונבלעת”. השווה גם פרק 3, הפסקה השנייה של נספח לג.</w:t>
      </w:r>
    </w:p>
    <w:p w14:paraId="566DC76F" w14:textId="28568314"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אחרי כל שיחה היו דנים ביניהם למה בדיוק התכוון רבם, ולעיתים קרובות פנו אליו לבקש הבהרה</w:t>
      </w:r>
      <w:bookmarkStart w:id="4070" w:name="b4_text13"/>
      <w:bookmarkEnd w:id="4070"/>
      <w:r>
        <w:rPr>
          <w:sz w:val="18"/>
          <w:szCs w:val="18"/>
          <w:vertAlign w:val="superscript"/>
          <w:rtl/>
        </w:rPr>
        <w:fldChar w:fldCharType="begin" w:dirty="true"/>
      </w:r>
      <w:r>
        <w:rPr>
          <w:sz w:val="18"/>
          <w:szCs w:val="18"/>
          <w:vertAlign w:val="superscript"/>
          <w:rtl/>
        </w:rPr>
        <w:instrText xml:space="preserve"> REF b4_note13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13</w:t>
      </w:r>
      <w:r>
        <w:rPr>
          <w:sz w:val="18"/>
          <w:szCs w:val="18"/>
          <w:vertAlign w:val="superscript"/>
          <w:rtl/>
        </w:rPr>
        <w:fldChar w:fldCharType="end"/>
      </w:r>
      <w:r>
        <w:rPr>
          <w:rtl/>
        </w:rPr>
        <w:t xml:space="preserve">. כשפנה ר׳ </w:t>
      </w:r>
      <w:proofErr w:type="spellStart"/>
      <w:r>
        <w:rPr>
          <w:rtl/>
        </w:rPr>
        <w:t>נתן־צבי</w:t>
      </w:r>
      <w:proofErr w:type="spellEnd"/>
      <w:r>
        <w:rPr>
          <w:rtl/>
        </w:rPr>
        <w:t xml:space="preserve"> אל קבוצה, או אפילו אל יחיד שלא הכיר היטב, נהג הנהגה משונה: בשעת דיבורו היה משפיל את מבטו אל ציפורניו, מסובב את מפרקי ידיו ומכופף ופושט את אצבעותיו, כדי שלא להסיר את עיניו מן הציפורניים</w:t>
      </w:r>
      <w:bookmarkStart w:id="4071" w:name="b4_text14"/>
      <w:bookmarkEnd w:id="4071"/>
      <w:r>
        <w:rPr>
          <w:sz w:val="18"/>
          <w:szCs w:val="18"/>
          <w:vertAlign w:val="superscript"/>
          <w:rtl/>
        </w:rPr>
        <w:fldChar w:fldCharType="begin" w:dirty="true"/>
      </w:r>
      <w:r>
        <w:rPr>
          <w:sz w:val="18"/>
          <w:szCs w:val="18"/>
          <w:vertAlign w:val="superscript"/>
          <w:rtl/>
        </w:rPr>
        <w:instrText xml:space="preserve"> REF b4_note14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14</w:t>
      </w:r>
      <w:r>
        <w:rPr>
          <w:sz w:val="18"/>
          <w:szCs w:val="18"/>
          <w:vertAlign w:val="superscript"/>
          <w:rtl/>
        </w:rPr>
        <w:fldChar w:fldCharType="end"/>
      </w:r>
      <w:r>
        <w:rPr>
          <w:rtl/>
        </w:rPr>
        <w:t>. הוא חשש להסתכל בפני שומעיו</w:t>
      </w:r>
      <w:bookmarkStart w:id="4072" w:name="b4_text15"/>
      <w:bookmarkEnd w:id="4072"/>
      <w:r>
        <w:rPr>
          <w:sz w:val="18"/>
          <w:szCs w:val="18"/>
          <w:vertAlign w:val="superscript"/>
          <w:rtl/>
        </w:rPr>
        <w:fldChar w:fldCharType="begin" w:dirty="true"/>
      </w:r>
      <w:r>
        <w:rPr>
          <w:sz w:val="18"/>
          <w:szCs w:val="18"/>
          <w:vertAlign w:val="superscript"/>
          <w:rtl/>
        </w:rPr>
        <w:instrText xml:space="preserve"> REF b4_note15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15</w:t>
      </w:r>
      <w:r>
        <w:rPr>
          <w:sz w:val="18"/>
          <w:szCs w:val="18"/>
          <w:vertAlign w:val="superscript"/>
          <w:rtl/>
        </w:rPr>
        <w:fldChar w:fldCharType="end"/>
      </w:r>
      <w:r>
        <w:rPr>
          <w:rtl/>
        </w:rPr>
        <w:t>.</w:t>
      </w:r>
    </w:p>
    <w:bookmarkStart w:id="4073" w:name="b4_note13"/>
    <w:p w14:paraId="4C88E223" w14:textId="77777777" w:rsidR="00AB3647" w:rsidRDefault="00000000" w:rsidP="007923E9">
      <w:pPr>
        <w:spacing w:before="120" w:after="100" w:line="276" w:lineRule="auto"/>
        <w:jc w:val="both"/>
      </w:pPr>
      <w:r>
        <w:fldChar w:fldCharType="begin" w:dirty="true"/>
      </w:r>
      <w:r>
        <w:instrText>HYPERLINK \l "b4_text13" \h</w:instrText>
      </w:r>
      <w:r>
        <w:fldChar w:fldCharType="separate"/>
      </w:r>
      <w:r>
        <w:rPr>
          <w:b/>
          <w:bCs/>
          <w:rtl/>
        </w:rPr>
        <w:t>13</w:t>
      </w:r>
      <w:r>
        <w:rPr>
          <w:b/>
          <w:bCs/>
        </w:rPr>
        <w:fldChar w:fldCharType="end"/>
      </w:r>
      <w:bookmarkEnd w:id="4073"/>
      <w:r>
        <w:rPr>
          <w:rtl/>
        </w:rPr>
        <w:t xml:space="preserve"> ר׳ זבולון גרז אמר: “כל מילה מן השיחה הייתה נידונה ומתבררת – ממש כמו שיעור – והיו מבקשים מן הסבא לבאר נקודות מסוימות, והוא שמח מאוד לעשות כן”. “תורת אברהם”</w:t>
      </w:r>
      <w:bookmarkStart w:id="4074" w:name="_fnr3091"/>
      <w:r>
        <w:rPr>
          <w:vertAlign w:val="superscript"/>
          <w:rtl/>
        </w:rPr>
        <w:footnoteReference w:id="3099" w:customMarkFollows="0"/>
      </w:r>
      <w:bookmarkEnd w:id="4074"/>
      <w:r>
        <w:rPr>
          <w:rtl/>
        </w:rPr>
        <w:t xml:space="preserve"> מוסיף: “גדולי העילויים והבקיאים ביותר נמשכו אל המשא ומתן המחודד, בייחוד מפני שהדיון ההלכתי הזה עסק בנושאים חדשים – נושאים שהציבור בכללו ראה בהם אגדה – ואילו אצל רבנו </w:t>
      </w:r>
      <w:proofErr w:type="spellStart"/>
      <w:r>
        <w:rPr>
          <w:rtl/>
        </w:rPr>
        <w:t>נתברר</w:t>
      </w:r>
      <w:proofErr w:type="spellEnd"/>
      <w:r>
        <w:rPr>
          <w:rtl/>
        </w:rPr>
        <w:t xml:space="preserve"> להם שכולם ענייני הלכה, מן הגדולים והקשים שבש״ס. תפיסה </w:t>
      </w:r>
      <w:r>
        <w:rPr>
          <w:rtl/>
        </w:rPr>
        <w:lastRenderedPageBreak/>
        <w:t xml:space="preserve">חדשה זו גרמה [לאנשים] להרהר בעניינים הללו יותר ויותר – לשאול ולהשיב, לסתור ולבנות. כך </w:t>
      </w:r>
      <w:proofErr w:type="spellStart"/>
      <w:r>
        <w:rPr>
          <w:rtl/>
        </w:rPr>
        <w:t>נתלבנו</w:t>
      </w:r>
      <w:proofErr w:type="spellEnd"/>
      <w:r>
        <w:rPr>
          <w:rtl/>
        </w:rPr>
        <w:t xml:space="preserve"> הנושאים </w:t>
      </w:r>
      <w:proofErr w:type="spellStart"/>
      <w:r>
        <w:rPr>
          <w:rtl/>
        </w:rPr>
        <w:t>ונתרחבו</w:t>
      </w:r>
      <w:proofErr w:type="spellEnd"/>
      <w:r>
        <w:rPr>
          <w:rtl/>
        </w:rPr>
        <w:t>”.</w:t>
      </w:r>
    </w:p>
    <w:p w14:paraId="3A58395F" w14:textId="77777777" w:rsidR="00AB3647" w:rsidRDefault="00000000" w:rsidP="007923E9">
      <w:pPr>
        <w:spacing w:before="120" w:after="100" w:line="276" w:lineRule="auto"/>
        <w:jc w:val="both"/>
      </w:pPr>
      <w:r>
        <w:rPr>
          <w:rtl/>
        </w:rPr>
        <w:t>מחבר “תורת אברהם” מנתח את הדבר שם</w:t>
      </w:r>
      <w:bookmarkStart w:id="4075" w:name="_fnr3092"/>
      <w:r>
        <w:rPr>
          <w:vertAlign w:val="superscript"/>
          <w:rtl/>
        </w:rPr>
        <w:footnoteReference w:id="3100" w:customMarkFollows="0"/>
      </w:r>
      <w:bookmarkEnd w:id="4075"/>
      <w:r>
        <w:rPr>
          <w:rtl/>
        </w:rPr>
        <w:t>: “אילו היו שיחות המוסר לשם התעוררות והתחזקות, לא היה מקום למשא ומתן כדרך ההלכה, אלא להקשבה בלבד – לשמוע ולציית. אולם מאחר שהתוכן והדרך</w:t>
      </w:r>
      <w:bookmarkStart w:id="4076" w:name="_fnr3093"/>
      <w:r>
        <w:rPr>
          <w:vertAlign w:val="superscript"/>
          <w:rtl/>
        </w:rPr>
        <w:footnoteReference w:id="3101" w:customMarkFollows="0"/>
      </w:r>
      <w:bookmarkEnd w:id="4076"/>
      <w:r>
        <w:rPr>
          <w:rtl/>
        </w:rPr>
        <w:t xml:space="preserve"> היו עניין של תורה, כלומר עניין הלכתי, היה המשא ומתן מרכיב מרכזי”.</w:t>
      </w:r>
    </w:p>
    <w:p w14:paraId="659DD77D" w14:textId="77777777" w:rsidR="00AB3647" w:rsidRDefault="00000000" w:rsidP="007923E9">
      <w:pPr>
        <w:spacing w:before="120" w:after="100" w:line="276" w:lineRule="auto"/>
        <w:jc w:val="both"/>
      </w:pPr>
      <w:r>
        <w:rPr>
          <w:rtl/>
        </w:rPr>
        <w:t xml:space="preserve">לדברי ר׳ שלמה </w:t>
      </w:r>
      <w:proofErr w:type="spellStart"/>
      <w:r>
        <w:rPr>
          <w:rtl/>
        </w:rPr>
        <w:t>איידלשטיין</w:t>
      </w:r>
      <w:bookmarkStart w:id="4077" w:name="_fnr3094"/>
      <w:proofErr w:type="spellEnd"/>
      <w:r>
        <w:rPr>
          <w:vertAlign w:val="superscript"/>
          <w:rtl/>
        </w:rPr>
        <w:footnoteReference w:id="3102" w:customMarkFollows="0"/>
      </w:r>
      <w:bookmarkEnd w:id="4077"/>
      <w:r>
        <w:rPr>
          <w:rtl/>
        </w:rPr>
        <w:t xml:space="preserve">, אמר ר׳ יוסף </w:t>
      </w:r>
      <w:proofErr w:type="spellStart"/>
      <w:r>
        <w:rPr>
          <w:rtl/>
        </w:rPr>
        <w:t>דינקלס</w:t>
      </w:r>
      <w:proofErr w:type="spellEnd"/>
      <w:r>
        <w:rPr>
          <w:rtl/>
        </w:rPr>
        <w:t xml:space="preserve">: “את החריפות שהראה ר׳ </w:t>
      </w:r>
      <w:proofErr w:type="spellStart"/>
      <w:r>
        <w:rPr>
          <w:rtl/>
        </w:rPr>
        <w:t>איצל׳ה</w:t>
      </w:r>
      <w:proofErr w:type="spellEnd"/>
      <w:r>
        <w:rPr>
          <w:rtl/>
        </w:rPr>
        <w:t xml:space="preserve"> [</w:t>
      </w:r>
      <w:proofErr w:type="spellStart"/>
      <w:r>
        <w:rPr>
          <w:rtl/>
        </w:rPr>
        <w:t>פוניבז׳ר</w:t>
      </w:r>
      <w:proofErr w:type="spellEnd"/>
      <w:r>
        <w:rPr>
          <w:rtl/>
        </w:rPr>
        <w:t xml:space="preserve">] בלמדנות, הראה הסבא במוסר”. הרב </w:t>
      </w:r>
      <w:proofErr w:type="spellStart"/>
      <w:r>
        <w:rPr>
          <w:rtl/>
        </w:rPr>
        <w:t>דינקלס</w:t>
      </w:r>
      <w:proofErr w:type="spellEnd"/>
      <w:r>
        <w:rPr>
          <w:rtl/>
        </w:rPr>
        <w:t xml:space="preserve"> למד חצי שנה אצל ר׳ </w:t>
      </w:r>
      <w:proofErr w:type="spellStart"/>
      <w:r>
        <w:rPr>
          <w:rtl/>
        </w:rPr>
        <w:t>איצל׳ה</w:t>
      </w:r>
      <w:proofErr w:type="spellEnd"/>
      <w:r>
        <w:rPr>
          <w:rtl/>
        </w:rPr>
        <w:t xml:space="preserve"> </w:t>
      </w:r>
      <w:proofErr w:type="spellStart"/>
      <w:r>
        <w:rPr>
          <w:rtl/>
        </w:rPr>
        <w:t>רבינוביץ</w:t>
      </w:r>
      <w:proofErr w:type="spellEnd"/>
      <w:r>
        <w:rPr>
          <w:rtl/>
        </w:rPr>
        <w:t xml:space="preserve"> </w:t>
      </w:r>
      <w:proofErr w:type="spellStart"/>
      <w:r>
        <w:rPr>
          <w:rtl/>
        </w:rPr>
        <w:t>במריופול</w:t>
      </w:r>
      <w:proofErr w:type="spellEnd"/>
      <w:r>
        <w:rPr>
          <w:rtl/>
        </w:rPr>
        <w:t xml:space="preserve"> שבאוקראינה, בקיץ תרע״ז</w:t>
      </w:r>
      <w:bookmarkStart w:id="4078" w:name="_fnr3095"/>
      <w:r>
        <w:rPr>
          <w:vertAlign w:val="superscript"/>
          <w:rtl/>
        </w:rPr>
        <w:footnoteReference w:id="3103" w:customMarkFollows="0"/>
      </w:r>
      <w:bookmarkEnd w:id="4078"/>
      <w:r>
        <w:rPr>
          <w:rtl/>
        </w:rPr>
        <w:t xml:space="preserve">, ואצל הסבא – אחרי ששב </w:t>
      </w:r>
      <w:proofErr w:type="spellStart"/>
      <w:r>
        <w:rPr>
          <w:rtl/>
        </w:rPr>
        <w:t>לסלבודקה</w:t>
      </w:r>
      <w:proofErr w:type="spellEnd"/>
      <w:r>
        <w:rPr>
          <w:rtl/>
        </w:rPr>
        <w:t xml:space="preserve"> </w:t>
      </w:r>
      <w:proofErr w:type="spellStart"/>
      <w:r>
        <w:rPr>
          <w:rtl/>
        </w:rPr>
        <w:t>מקרמנצ׳וג</w:t>
      </w:r>
      <w:proofErr w:type="spellEnd"/>
      <w:r>
        <w:rPr>
          <w:rtl/>
        </w:rPr>
        <w:t>.</w:t>
      </w:r>
    </w:p>
    <w:bookmarkStart w:id="4079" w:name="b4_note14"/>
    <w:p w14:paraId="7360B86A" w14:textId="77777777" w:rsidR="00AB3647" w:rsidRDefault="00000000" w:rsidP="007923E9">
      <w:pPr>
        <w:spacing w:before="120" w:after="100" w:line="276" w:lineRule="auto"/>
        <w:jc w:val="both"/>
      </w:pPr>
      <w:r>
        <w:fldChar w:fldCharType="begin" w:dirty="true"/>
      </w:r>
      <w:r>
        <w:instrText>HYPERLINK \l "b4_text14" \h</w:instrText>
      </w:r>
      <w:r>
        <w:fldChar w:fldCharType="separate"/>
      </w:r>
      <w:r>
        <w:rPr>
          <w:b/>
          <w:bCs/>
          <w:rtl/>
        </w:rPr>
        <w:t>14</w:t>
      </w:r>
      <w:r>
        <w:rPr>
          <w:b/>
          <w:bCs/>
        </w:rPr>
        <w:fldChar w:fldCharType="end"/>
      </w:r>
      <w:bookmarkEnd w:id="4079"/>
      <w:r>
        <w:rPr>
          <w:rtl/>
        </w:rPr>
        <w:t xml:space="preserve"> במסורת היהודית קשורה הנהגה זו ברגש אחר מזה שהניע את הסבא – בכובד ראש. כך </w:t>
      </w:r>
      <w:proofErr w:type="spellStart"/>
      <w:r>
        <w:rPr>
          <w:rtl/>
        </w:rPr>
        <w:t>ב“ספר</w:t>
      </w:r>
      <w:proofErr w:type="spellEnd"/>
      <w:r>
        <w:rPr>
          <w:rtl/>
        </w:rPr>
        <w:t xml:space="preserve"> הבדיחה והחידוד”</w:t>
      </w:r>
      <w:bookmarkStart w:id="4080" w:name="_fnr3096"/>
      <w:r>
        <w:rPr>
          <w:vertAlign w:val="superscript"/>
          <w:rtl/>
        </w:rPr>
        <w:footnoteReference w:id="3104" w:customMarkFollows="0"/>
      </w:r>
      <w:bookmarkEnd w:id="4080"/>
      <w:r>
        <w:rPr>
          <w:rtl/>
        </w:rPr>
        <w:t xml:space="preserve">: “מי שנתקף בצחוק ורוצה להפסיק ואינו יכול, יסתכל בציפורניו ומיד יחדל מלצחוק”. אולם לדברי עורך הספר, אלתר </w:t>
      </w:r>
      <w:proofErr w:type="spellStart"/>
      <w:r>
        <w:rPr>
          <w:rtl/>
        </w:rPr>
        <w:t>דרויאנוב</w:t>
      </w:r>
      <w:proofErr w:type="spellEnd"/>
      <w:r>
        <w:rPr>
          <w:rtl/>
        </w:rPr>
        <w:t xml:space="preserve">, דווקא אותה תכונה של אימת הציבור – תחושת ההשפלה – היא המביאה לכובד ראש, על פי הקשר שהוא יוצר. בהערת שוליים שם הוא כותב: “ניתן ‘טעם’ לכך [שההסתכלות בציפורניים מפסיקה את הצחוק]. כאשר כעס הקדוש ברוך הוא על אדם </w:t>
      </w:r>
      <w:proofErr w:type="spellStart"/>
      <w:r>
        <w:rPr>
          <w:rtl/>
        </w:rPr>
        <w:t>וחוה</w:t>
      </w:r>
      <w:proofErr w:type="spellEnd"/>
      <w:r>
        <w:rPr>
          <w:rtl/>
        </w:rPr>
        <w:t xml:space="preserve"> על שאכלו מעץ הדעת, התביישו ו</w:t>
      </w:r>
      <w:r>
        <w:rPr>
          <w:b/>
          <w:bCs/>
          <w:rtl/>
        </w:rPr>
        <w:t>השפילו מבטם אל ציפורניהם, כדרך בני אדם המתביישים ומרגישים מושפלים</w:t>
      </w:r>
      <w:r>
        <w:rPr>
          <w:rtl/>
        </w:rPr>
        <w:t xml:space="preserve"> (ההדגשה שלי). מאז והלאה מזכירה ההסתכלות בציפורניים את חטא האדם הראשון [שבו אירעה ההשפלה הראשונה], ומשביתה כל צחוק ועליצות”.</w:t>
      </w:r>
    </w:p>
    <w:p w14:paraId="608FAAD3" w14:textId="77777777" w:rsidR="00AB3647" w:rsidRDefault="00000000" w:rsidP="007923E9">
      <w:pPr>
        <w:spacing w:before="120" w:after="100" w:line="276" w:lineRule="auto"/>
        <w:jc w:val="both"/>
      </w:pPr>
      <w:r>
        <w:rPr>
          <w:rtl/>
        </w:rPr>
        <w:t xml:space="preserve">הסברו של </w:t>
      </w:r>
      <w:proofErr w:type="spellStart"/>
      <w:r>
        <w:rPr>
          <w:rtl/>
        </w:rPr>
        <w:t>דרויאנוב</w:t>
      </w:r>
      <w:proofErr w:type="spellEnd"/>
      <w:r>
        <w:rPr>
          <w:rtl/>
        </w:rPr>
        <w:t xml:space="preserve"> לקוי. אם עליו להסביר מדוע ההסתכלות בציפורניים מביאה לכובד ראש, אינו מרוויח דבר מקישורה לאנשים המשפילים מבטם אל ציפורניהם כשהם מתביישים ומושפלים, שכן כשם שההרגל הנידון טעון הסבר, כך גם ההרגל האחר – והעורך אינו מסבירו! ובכל זאת יש תועלת בדברי </w:t>
      </w:r>
      <w:proofErr w:type="spellStart"/>
      <w:r>
        <w:rPr>
          <w:rtl/>
        </w:rPr>
        <w:t>דרויאנוב</w:t>
      </w:r>
      <w:proofErr w:type="spellEnd"/>
      <w:r>
        <w:rPr>
          <w:rtl/>
        </w:rPr>
        <w:t xml:space="preserve">: הציפורניים מזכירות במישרין את חטא אדם הראשון, כמובא </w:t>
      </w:r>
      <w:proofErr w:type="spellStart"/>
      <w:r>
        <w:rPr>
          <w:rtl/>
        </w:rPr>
        <w:t>ב“ספר</w:t>
      </w:r>
      <w:proofErr w:type="spellEnd"/>
      <w:r>
        <w:rPr>
          <w:rtl/>
        </w:rPr>
        <w:t xml:space="preserve"> טעמי המנהגים ומקורי הדינים”</w:t>
      </w:r>
      <w:bookmarkStart w:id="4081" w:name="_fnr3097"/>
      <w:r>
        <w:rPr>
          <w:vertAlign w:val="superscript"/>
          <w:rtl/>
        </w:rPr>
        <w:footnoteReference w:id="3105" w:customMarkFollows="0"/>
      </w:r>
      <w:bookmarkEnd w:id="4081"/>
      <w:r>
        <w:rPr>
          <w:rtl/>
        </w:rPr>
        <w:t>, מפני שבתחילה היה כל גופו מכוסה בחומר הציפורן, והחטא הסיר כיסוי זה והותירו ערום, מלבד קצות אצבעותיו.</w:t>
      </w:r>
    </w:p>
    <w:p w14:paraId="02994549" w14:textId="77777777" w:rsidR="00AB3647" w:rsidRDefault="00000000" w:rsidP="007923E9">
      <w:pPr>
        <w:spacing w:before="120" w:after="100" w:line="276" w:lineRule="auto"/>
        <w:jc w:val="both"/>
      </w:pPr>
      <w:r>
        <w:rPr>
          <w:rtl/>
        </w:rPr>
        <w:t xml:space="preserve">לפיכך ההסתכלות בציפורניים, וההבחנה שרק קצות האצבעות מכוסים עתה בחומר קרני, מזכירות את אותו חטא ומביאות לכובד ראש. ההסתכלות בציפורניים היא גם הרגל הקשור </w:t>
      </w:r>
      <w:r>
        <w:rPr>
          <w:rtl/>
        </w:rPr>
        <w:lastRenderedPageBreak/>
        <w:t>בתחושת השפלה, ובאימת הציבור הכרוכה בה, מאז ימי האדם הראשון, שהושפל כשנוכח, מתוך ראיית ציפורניו, שאיבד את כיסוי שאר גופו</w:t>
      </w:r>
      <w:bookmarkStart w:id="4082" w:name="_fnr3098"/>
      <w:r>
        <w:rPr>
          <w:vertAlign w:val="superscript"/>
          <w:rtl/>
        </w:rPr>
        <w:footnoteReference w:id="3106" w:customMarkFollows="0"/>
      </w:r>
      <w:bookmarkEnd w:id="4082"/>
      <w:r>
        <w:rPr>
          <w:rtl/>
        </w:rPr>
        <w:t>.</w:t>
      </w:r>
    </w:p>
    <w:bookmarkStart w:id="4083" w:name="b4_note15"/>
    <w:p w14:paraId="4D03B2D2" w14:textId="19EF6B9D" w:rsidR="00AB3647" w:rsidRDefault="00000000" w:rsidP="007923E9">
      <w:pPr>
        <w:spacing w:before="120" w:after="100" w:line="276" w:lineRule="auto"/>
        <w:jc w:val="both"/>
      </w:pPr>
      <w:r>
        <w:fldChar w:fldCharType="begin" w:dirty="true"/>
      </w:r>
      <w:r>
        <w:instrText>HYPERLINK \l "b4_text15" \h</w:instrText>
      </w:r>
      <w:r>
        <w:fldChar w:fldCharType="separate"/>
      </w:r>
      <w:r>
        <w:rPr>
          <w:b/>
          <w:bCs/>
          <w:rtl/>
        </w:rPr>
        <w:t>15</w:t>
      </w:r>
      <w:r>
        <w:rPr>
          <w:b/>
          <w:bCs/>
        </w:rPr>
        <w:fldChar w:fldCharType="end"/>
      </w:r>
      <w:bookmarkEnd w:id="4083"/>
      <w:r>
        <w:rPr>
          <w:rtl/>
        </w:rPr>
        <w:t xml:space="preserve"> ראה </w:t>
      </w:r>
      <w:r>
        <w:rPr>
          <w:rtl/>
        </w:rPr>
        <w:fldChar w:fldCharType="begin" w:dirty="true"/>
      </w:r>
      <w:r>
        <w:rPr>
          <w:rtl/>
        </w:rPr>
        <w:instrText xml:space="preserve"> REF b4_excB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w:t>
      </w:r>
    </w:p>
    <w:p w14:paraId="21F01010" w14:textId="1100153E"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 xml:space="preserve">אבל כשדיבר ביחידות עם תלמיד מוכר, פג חששו של הסבא. אחרי שהסתכל </w:t>
      </w:r>
      <w:proofErr w:type="spellStart"/>
      <w:r>
        <w:rPr>
          <w:rtl/>
        </w:rPr>
        <w:t>זמן־מה</w:t>
      </w:r>
      <w:proofErr w:type="spellEnd"/>
      <w:r>
        <w:rPr>
          <w:rtl/>
        </w:rPr>
        <w:t xml:space="preserve"> בשולחן שלפניו, היה מפנה לפתע אל בן שיחו מבט חודר, שדקר בכוח הבחנתו ועם זאת ליטף באהבה</w:t>
      </w:r>
      <w:bookmarkStart w:id="4084" w:name="b4_text16"/>
      <w:bookmarkEnd w:id="4084"/>
      <w:r>
        <w:rPr>
          <w:sz w:val="18"/>
          <w:szCs w:val="18"/>
          <w:vertAlign w:val="superscript"/>
          <w:rtl/>
        </w:rPr>
        <w:fldChar w:fldCharType="begin" w:dirty="true"/>
      </w:r>
      <w:r>
        <w:rPr>
          <w:sz w:val="18"/>
          <w:szCs w:val="18"/>
          <w:vertAlign w:val="superscript"/>
          <w:rtl/>
        </w:rPr>
        <w:instrText xml:space="preserve"> REF b4_note16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16</w:t>
      </w:r>
      <w:r>
        <w:rPr>
          <w:sz w:val="18"/>
          <w:szCs w:val="18"/>
          <w:vertAlign w:val="superscript"/>
          <w:rtl/>
        </w:rPr>
        <w:fldChar w:fldCharType="end"/>
      </w:r>
      <w:r>
        <w:rPr>
          <w:rtl/>
        </w:rPr>
        <w:t>. הוא התעמק בהתקדמותו של כל תלמיד בלימוד, ביראת שמים ובהנהגה, ופתח את מעיינות נפשו. אם התלמיד לא בא מעצמו אל המשגיח, הוזמן לשיחה שפתחה את לבו, חשפה את שאיפותיו וכיוונה את חלומותיו לאפיקים פוריים.</w:t>
      </w:r>
    </w:p>
    <w:bookmarkStart w:id="4085" w:name="b4_note16"/>
    <w:p w14:paraId="11A50444" w14:textId="77777777" w:rsidR="00AB3647" w:rsidRDefault="00000000" w:rsidP="007923E9">
      <w:pPr>
        <w:spacing w:before="120" w:after="100" w:line="276" w:lineRule="auto"/>
        <w:jc w:val="both"/>
      </w:pPr>
      <w:r>
        <w:fldChar w:fldCharType="begin" w:dirty="true"/>
      </w:r>
      <w:r>
        <w:instrText>HYPERLINK \l "b4_text16" \h</w:instrText>
      </w:r>
      <w:r>
        <w:fldChar w:fldCharType="separate"/>
      </w:r>
      <w:r>
        <w:rPr>
          <w:b/>
          <w:bCs/>
          <w:rtl/>
        </w:rPr>
        <w:t>16</w:t>
      </w:r>
      <w:r>
        <w:rPr>
          <w:b/>
          <w:bCs/>
        </w:rPr>
        <w:fldChar w:fldCharType="end"/>
      </w:r>
      <w:bookmarkEnd w:id="4085"/>
      <w:r>
        <w:rPr>
          <w:rtl/>
        </w:rPr>
        <w:t xml:space="preserve"> מתיאורו של ר׳ </w:t>
      </w:r>
      <w:proofErr w:type="spellStart"/>
      <w:r>
        <w:rPr>
          <w:rtl/>
        </w:rPr>
        <w:t>אברהם־אליהו</w:t>
      </w:r>
      <w:proofErr w:type="spellEnd"/>
      <w:r>
        <w:rPr>
          <w:rtl/>
        </w:rPr>
        <w:t xml:space="preserve"> קפלן את שיחתו הפרטית עם הסבא </w:t>
      </w:r>
      <w:proofErr w:type="spellStart"/>
      <w:r>
        <w:rPr>
          <w:rtl/>
        </w:rPr>
        <w:t>מסלבודקה</w:t>
      </w:r>
      <w:proofErr w:type="spellEnd"/>
      <w:r>
        <w:rPr>
          <w:rtl/>
        </w:rPr>
        <w:t xml:space="preserve"> ביום רביעי, ט״ו באלול תרע״ג</w:t>
      </w:r>
      <w:bookmarkStart w:id="4086" w:name="_fnr3099"/>
      <w:r>
        <w:rPr>
          <w:vertAlign w:val="superscript"/>
          <w:rtl/>
        </w:rPr>
        <w:footnoteReference w:id="3107" w:customMarkFollows="0"/>
      </w:r>
      <w:bookmarkEnd w:id="4086"/>
      <w:r>
        <w:rPr>
          <w:rtl/>
        </w:rPr>
        <w:t>. הרב קפלן ממשיך ומתאר את השפעת השיחה: “באותו רגע אתה מרגיש שהוא מוציא ממך את הביקורת והמחאה כלפי דבריו, ומעלה לאור באמצעות מבטיו את כל מה שאתה חושב עליו. עוד רגע של שתיקה חולף במהירות, והוא ממשיך לדבר בתוקף ובאהבה נסתרת. השיחה נסתיימה באמירה שנאמרה בכוח רב כל כך, עד שנדמה היה שהיא קורעת את האוויר לגזרים”.</w:t>
      </w:r>
    </w:p>
    <w:p w14:paraId="02A15F00" w14:textId="4B3BAFA2"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 xml:space="preserve">לעיתים, כשנרתע התלמיד מלגלות את מחשבותיו הפנימיות, נקט הסבא דרכים עקיפות כדי להתגבר על מחסומי חוסר האמון. הוא אף היה מעמיד פנים שהוא מבקש מן התלמיד עצה בבעיה שבדה, כאילו ניצבה בפניו, ומתוך שמיעת פתרונו של הצעיר עמד על מדרגתו הרוחנית. אי אפשר להפריז בתיאור השמחה שגילה הסבא כשראה שתלמיד תיקן את דרכיו: הסבא </w:t>
      </w:r>
      <w:proofErr w:type="spellStart"/>
      <w:r>
        <w:rPr>
          <w:rtl/>
        </w:rPr>
        <w:t>מסלבודקה</w:t>
      </w:r>
      <w:proofErr w:type="spellEnd"/>
      <w:r>
        <w:rPr>
          <w:rtl/>
        </w:rPr>
        <w:t xml:space="preserve"> נהג כאילו עשה לו התלמיד את הטובה הגדולה ביותר</w:t>
      </w:r>
      <w:bookmarkStart w:id="4087" w:name="b4_text17"/>
      <w:bookmarkEnd w:id="4087"/>
      <w:r>
        <w:rPr>
          <w:sz w:val="18"/>
          <w:szCs w:val="18"/>
          <w:vertAlign w:val="superscript"/>
          <w:rtl/>
        </w:rPr>
        <w:fldChar w:fldCharType="begin" w:dirty="true"/>
      </w:r>
      <w:r>
        <w:rPr>
          <w:sz w:val="18"/>
          <w:szCs w:val="18"/>
          <w:vertAlign w:val="superscript"/>
          <w:rtl/>
        </w:rPr>
        <w:instrText xml:space="preserve"> REF b4_note17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17</w:t>
      </w:r>
      <w:r>
        <w:rPr>
          <w:sz w:val="18"/>
          <w:szCs w:val="18"/>
          <w:vertAlign w:val="superscript"/>
          <w:rtl/>
        </w:rPr>
        <w:fldChar w:fldCharType="end"/>
      </w:r>
      <w:r>
        <w:rPr>
          <w:rtl/>
        </w:rPr>
        <w:t>.</w:t>
      </w:r>
    </w:p>
    <w:bookmarkStart w:id="4088" w:name="b4_note17"/>
    <w:p w14:paraId="03C6429E" w14:textId="77777777" w:rsidR="00AB3647" w:rsidRDefault="00000000" w:rsidP="007923E9">
      <w:pPr>
        <w:spacing w:before="120" w:after="100" w:line="276" w:lineRule="auto"/>
        <w:jc w:val="both"/>
      </w:pPr>
      <w:r>
        <w:fldChar w:fldCharType="begin" w:dirty="true"/>
      </w:r>
      <w:r>
        <w:instrText>HYPERLINK \l "b4_text17" \h</w:instrText>
      </w:r>
      <w:r>
        <w:fldChar w:fldCharType="separate"/>
      </w:r>
      <w:r>
        <w:rPr>
          <w:b/>
          <w:bCs/>
          <w:rtl/>
        </w:rPr>
        <w:t>17</w:t>
      </w:r>
      <w:r>
        <w:rPr>
          <w:b/>
          <w:bCs/>
        </w:rPr>
        <w:fldChar w:fldCharType="end"/>
      </w:r>
      <w:bookmarkEnd w:id="4088"/>
      <w:r>
        <w:rPr>
          <w:rtl/>
        </w:rPr>
        <w:t xml:space="preserve"> ספר הזיכרון לסבא </w:t>
      </w:r>
      <w:proofErr w:type="spellStart"/>
      <w:r>
        <w:rPr>
          <w:rtl/>
        </w:rPr>
        <w:t>מסלבודקה</w:t>
      </w:r>
      <w:proofErr w:type="spellEnd"/>
      <w:r>
        <w:rPr>
          <w:rtl/>
        </w:rPr>
        <w:t xml:space="preserve"> שערך ר׳ </w:t>
      </w:r>
      <w:proofErr w:type="spellStart"/>
      <w:r>
        <w:rPr>
          <w:rtl/>
        </w:rPr>
        <w:t>ישראל־זיסל</w:t>
      </w:r>
      <w:proofErr w:type="spellEnd"/>
      <w:r>
        <w:rPr>
          <w:rtl/>
        </w:rPr>
        <w:t xml:space="preserve"> </w:t>
      </w:r>
      <w:proofErr w:type="spellStart"/>
      <w:r>
        <w:rPr>
          <w:rtl/>
        </w:rPr>
        <w:t>דבורץ</w:t>
      </w:r>
      <w:bookmarkStart w:id="4089" w:name="_fnr3100"/>
      <w:proofErr w:type="spellEnd"/>
      <w:r>
        <w:rPr>
          <w:vertAlign w:val="superscript"/>
          <w:rtl/>
        </w:rPr>
        <w:footnoteReference w:id="3108" w:customMarkFollows="0"/>
      </w:r>
      <w:bookmarkEnd w:id="4089"/>
      <w:r>
        <w:rPr>
          <w:rtl/>
        </w:rPr>
        <w:t>.</w:t>
      </w:r>
    </w:p>
    <w:p w14:paraId="67F6630B" w14:textId="4BCDB7F6"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בישיבה בגודלה של כנסת ישראל לא היה ביכולתו של אדם יחיד זה לקיים קשר אישי עם כל התלמידים</w:t>
      </w:r>
      <w:bookmarkStart w:id="4090" w:name="b4_text18"/>
      <w:bookmarkEnd w:id="4090"/>
      <w:r>
        <w:rPr>
          <w:sz w:val="18"/>
          <w:szCs w:val="18"/>
          <w:vertAlign w:val="superscript"/>
          <w:rtl/>
        </w:rPr>
        <w:fldChar w:fldCharType="begin" w:dirty="true"/>
      </w:r>
      <w:r>
        <w:rPr>
          <w:sz w:val="18"/>
          <w:szCs w:val="18"/>
          <w:vertAlign w:val="superscript"/>
          <w:rtl/>
        </w:rPr>
        <w:instrText xml:space="preserve"> REF b4_note18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18</w:t>
      </w:r>
      <w:r>
        <w:rPr>
          <w:sz w:val="18"/>
          <w:szCs w:val="18"/>
          <w:vertAlign w:val="superscript"/>
          <w:rtl/>
        </w:rPr>
        <w:fldChar w:fldCharType="end"/>
      </w:r>
      <w:r>
        <w:rPr>
          <w:rtl/>
        </w:rPr>
        <w:t>.</w:t>
      </w:r>
    </w:p>
    <w:bookmarkStart w:id="4091" w:name="b4_note18"/>
    <w:p w14:paraId="72427DF1" w14:textId="2E17379A" w:rsidR="00AB3647" w:rsidRDefault="00000000" w:rsidP="007923E9">
      <w:pPr>
        <w:spacing w:before="120" w:after="100" w:line="276" w:lineRule="auto"/>
        <w:jc w:val="both"/>
      </w:pPr>
      <w:r>
        <w:lastRenderedPageBreak/>
        <w:fldChar w:fldCharType="begin" w:dirty="true"/>
      </w:r>
      <w:r>
        <w:instrText>HYPERLINK \l "b4_text18" \h</w:instrText>
      </w:r>
      <w:r>
        <w:fldChar w:fldCharType="separate"/>
      </w:r>
      <w:r>
        <w:rPr>
          <w:b/>
          <w:bCs/>
          <w:rtl/>
        </w:rPr>
        <w:t>18</w:t>
      </w:r>
      <w:r>
        <w:rPr>
          <w:b/>
          <w:bCs/>
        </w:rPr>
        <w:fldChar w:fldCharType="end"/>
      </w:r>
      <w:bookmarkEnd w:id="4091"/>
      <w:r>
        <w:rPr>
          <w:rtl/>
        </w:rPr>
        <w:t xml:space="preserve"> עורך ספר הזיכרון לסבא </w:t>
      </w:r>
      <w:proofErr w:type="spellStart"/>
      <w:r>
        <w:rPr>
          <w:rtl/>
        </w:rPr>
        <w:t>מסלבודקה</w:t>
      </w:r>
      <w:bookmarkStart w:id="4092" w:name="_fnr3101"/>
      <w:proofErr w:type="spellEnd"/>
      <w:r>
        <w:rPr>
          <w:vertAlign w:val="superscript"/>
          <w:rtl/>
        </w:rPr>
        <w:footnoteReference w:id="3109" w:customMarkFollows="0"/>
      </w:r>
      <w:bookmarkEnd w:id="4092"/>
      <w:r>
        <w:rPr>
          <w:rtl/>
        </w:rPr>
        <w:t xml:space="preserve"> כותב דבר מפתיע: “חלק גדול מתלמידי הישיבה לא הכיר כראוי את התפקיד שמילא הסבא בה”. בריאיון עם ר׳ קופל </w:t>
      </w:r>
      <w:proofErr w:type="spellStart"/>
      <w:r>
        <w:rPr>
          <w:rtl/>
        </w:rPr>
        <w:t>וולפרט</w:t>
      </w:r>
      <w:bookmarkStart w:id="4093" w:name="_fnr3102"/>
      <w:proofErr w:type="spellEnd"/>
      <w:r>
        <w:rPr>
          <w:vertAlign w:val="superscript"/>
          <w:rtl/>
        </w:rPr>
        <w:footnoteReference w:id="3110" w:customMarkFollows="0"/>
      </w:r>
      <w:bookmarkEnd w:id="4093"/>
      <w:r>
        <w:rPr>
          <w:rtl/>
        </w:rPr>
        <w:t xml:space="preserve"> שאלתי אם לדעתו הכיר הסבא את כל תלמידי כנסת ישראל. הוא השיב בלשון סתומה: “את מי שהיה צריך להכיר, הכיר; עם האחרים נהג כעם זרים ושאל אותם: ‘מי אתה?’” (השווה גם סוף הערה </w:t>
      </w:r>
      <w:r>
        <w:rPr>
          <w:rtl/>
        </w:rPr>
        <w:fldChar w:fldCharType="begin" w:dirty="true"/>
      </w:r>
      <w:r>
        <w:rPr>
          <w:rtl/>
        </w:rPr>
        <w:instrText xml:space="preserve"> REF b4_note23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23</w:t>
      </w:r>
      <w:r>
        <w:rPr>
          <w:rtl/>
        </w:rPr>
        <w:fldChar w:fldCharType="end"/>
      </w:r>
      <w:r>
        <w:rPr>
          <w:rtl/>
        </w:rPr>
        <w:t xml:space="preserve"> להלן: שאלה כזאת מפי הסבא לא לימדה בהכרח שלא ידע מיהו התלמיד.) “איך יכול היה להכיר את כולם?”, סיים </w:t>
      </w:r>
      <w:proofErr w:type="spellStart"/>
      <w:r>
        <w:rPr>
          <w:rtl/>
        </w:rPr>
        <w:t>וולפרט</w:t>
      </w:r>
      <w:proofErr w:type="spellEnd"/>
      <w:r>
        <w:rPr>
          <w:rtl/>
        </w:rPr>
        <w:t>. “אלא שאלו שהחזיקו מן הסבא עשו ממנו מלאך”.</w:t>
      </w:r>
    </w:p>
    <w:p w14:paraId="7BE6791D" w14:textId="77777777" w:rsidR="00AB3647" w:rsidRDefault="00000000" w:rsidP="007923E9">
      <w:pPr>
        <w:spacing w:after="120" w:line="276" w:lineRule="auto"/>
        <w:jc w:val="both"/>
      </w:pPr>
      <w:r>
        <w:rPr>
          <w:rtl/>
        </w:rPr>
        <w:t xml:space="preserve">הוא המשיך וסיפר את המעשה הבא, כדי להראות שלא כל הבחורים שהסבא השתדל להשפיע עליהם נמשכו אליו: “זכור לי”, אמר, “שפעם באתי לשמוע את הסבא, והוא אמר: ‘אם הבחורים יניחו את הסטנדרים שלהם על הספסלים כשהם הולכים לאכול בשעה שתיים, יהיה קל יותר לשמש לטאטא את בית המדרש’. ראובן </w:t>
      </w:r>
      <w:proofErr w:type="spellStart"/>
      <w:r>
        <w:rPr>
          <w:rtl/>
        </w:rPr>
        <w:t>לאצקעווער</w:t>
      </w:r>
      <w:proofErr w:type="spellEnd"/>
      <w:r>
        <w:rPr>
          <w:rtl/>
        </w:rPr>
        <w:t xml:space="preserve">, תלמיד טוב אבל בבירור לא מחסידי הסבא, התערב ואמר: ‘אם יוסיפו לשכר השמש רק </w:t>
      </w:r>
      <w:proofErr w:type="spellStart"/>
      <w:r>
        <w:rPr>
          <w:rtl/>
        </w:rPr>
        <w:t>ליט</w:t>
      </w:r>
      <w:proofErr w:type="spellEnd"/>
      <w:r>
        <w:rPr>
          <w:rtl/>
        </w:rPr>
        <w:t xml:space="preserve"> אחד בשבוע, ישמח מאוד להעלות בעצמו את הסטנדרים’. פעם קרא לו הסבא, ובהסתכלו בציפורניו – כדרך שמסתכלים בהן בברכת בורא מאורי האש במוצאי שבת, וכפי שנהג כשהיה מדבר עם אנשים – אמר: ‘כשצריך להגיע לקובנה, צריך לעבור את נהר </w:t>
      </w:r>
      <w:proofErr w:type="spellStart"/>
      <w:r>
        <w:rPr>
          <w:rtl/>
        </w:rPr>
        <w:t>הוויליה</w:t>
      </w:r>
      <w:proofErr w:type="spellEnd"/>
      <w:r>
        <w:rPr>
          <w:rtl/>
        </w:rPr>
        <w:t>. יש גשר שעוברים בו. אבל כשאי אפשר להשתמש בגשר מחמת הקרח</w:t>
      </w:r>
      <w:bookmarkStart w:id="4094" w:name="_fnr3103"/>
      <w:r>
        <w:rPr>
          <w:vertAlign w:val="superscript"/>
          <w:rtl/>
        </w:rPr>
        <w:footnoteReference w:id="3111" w:customMarkFollows="0"/>
      </w:r>
      <w:bookmarkEnd w:id="4094"/>
      <w:r>
        <w:rPr>
          <w:rtl/>
        </w:rPr>
        <w:t xml:space="preserve">, הדרך היחידה לעבור היא במעבורות, שהגויים גובים עליהן סכום זעום. הייתי צריך לנסוע לקובנה, אבל שקלתי בדעתי אם לסכן את חיי ולמסור את עצמי בידי גוי. אז ראיתי שהוא מעביר קבוצה אחת, ואחר כך עוד קבוצה, והחלטתי שגם אני אניח לו להעביר אותי. ראובן, אינני גרוע מן הגוי. מדוע אינך מניח גם לי להעביר אותך?’ הבחור השיב בחוצפה: ‘אתה ראית שהגוי העביר את האחרים. אני עדיין אינני רואה שהעברת מישהו’. לבסוף נאלץ ראובן לעזוב את </w:t>
      </w:r>
      <w:proofErr w:type="spellStart"/>
      <w:r>
        <w:rPr>
          <w:rtl/>
        </w:rPr>
        <w:t>סלבודקה</w:t>
      </w:r>
      <w:proofErr w:type="spellEnd"/>
      <w:r>
        <w:rPr>
          <w:rtl/>
        </w:rPr>
        <w:t xml:space="preserve"> – כנראה </w:t>
      </w:r>
      <w:proofErr w:type="spellStart"/>
      <w:r>
        <w:rPr>
          <w:rtl/>
        </w:rPr>
        <w:t>למיר</w:t>
      </w:r>
      <w:proofErr w:type="spellEnd"/>
      <w:r>
        <w:rPr>
          <w:rtl/>
        </w:rPr>
        <w:t>”.</w:t>
      </w:r>
    </w:p>
    <w:p w14:paraId="53C14365" w14:textId="27002D3C"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אף שכל תלמידי הישיבה היו בעלי כישרון</w:t>
      </w:r>
      <w:bookmarkStart w:id="4095" w:name="b4_text19"/>
      <w:bookmarkEnd w:id="4095"/>
      <w:r>
        <w:rPr>
          <w:sz w:val="18"/>
          <w:szCs w:val="18"/>
          <w:vertAlign w:val="superscript"/>
          <w:rtl/>
        </w:rPr>
        <w:fldChar w:fldCharType="begin" w:dirty="true"/>
      </w:r>
      <w:r>
        <w:rPr>
          <w:sz w:val="18"/>
          <w:szCs w:val="18"/>
          <w:vertAlign w:val="superscript"/>
          <w:rtl/>
        </w:rPr>
        <w:instrText xml:space="preserve"> REF b4_note19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19</w:t>
      </w:r>
      <w:r>
        <w:rPr>
          <w:sz w:val="18"/>
          <w:szCs w:val="18"/>
          <w:vertAlign w:val="superscript"/>
          <w:rtl/>
        </w:rPr>
        <w:fldChar w:fldCharType="end"/>
      </w:r>
      <w:r>
        <w:rPr>
          <w:rtl/>
        </w:rPr>
        <w:t xml:space="preserve">, בחר ר׳ </w:t>
      </w:r>
      <w:proofErr w:type="spellStart"/>
      <w:r>
        <w:rPr>
          <w:rtl/>
        </w:rPr>
        <w:t>נתן־צבי</w:t>
      </w:r>
      <w:proofErr w:type="spellEnd"/>
      <w:r>
        <w:rPr>
          <w:rtl/>
        </w:rPr>
        <w:t xml:space="preserve"> לרכז את מאמציו במוכשרים ביותר</w:t>
      </w:r>
      <w:bookmarkStart w:id="4096" w:name="b4_text20"/>
      <w:bookmarkEnd w:id="4096"/>
      <w:r>
        <w:rPr>
          <w:sz w:val="18"/>
          <w:szCs w:val="18"/>
          <w:vertAlign w:val="superscript"/>
          <w:rtl/>
        </w:rPr>
        <w:fldChar w:fldCharType="begin" w:dirty="true"/>
      </w:r>
      <w:r>
        <w:rPr>
          <w:sz w:val="18"/>
          <w:szCs w:val="18"/>
          <w:vertAlign w:val="superscript"/>
          <w:rtl/>
        </w:rPr>
        <w:instrText xml:space="preserve"> REF b4_note20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20</w:t>
      </w:r>
      <w:r>
        <w:rPr>
          <w:sz w:val="18"/>
          <w:szCs w:val="18"/>
          <w:vertAlign w:val="superscript"/>
          <w:rtl/>
        </w:rPr>
        <w:fldChar w:fldCharType="end"/>
      </w:r>
      <w:r>
        <w:rPr>
          <w:rtl/>
        </w:rPr>
        <w:t>. לא זו בלבד שמכוח גאונותו שלו מצא עמם שפה משותפת טובה יותר, אלא שבאמצעות תלמידים כאלה יכול היה להגשים על הצד הטוב ביותר את מטרתו הסופית – לשרת את עם ישראל</w:t>
      </w:r>
      <w:bookmarkStart w:id="4097" w:name="b4_text21"/>
      <w:bookmarkEnd w:id="4097"/>
      <w:r>
        <w:rPr>
          <w:sz w:val="18"/>
          <w:szCs w:val="18"/>
          <w:vertAlign w:val="superscript"/>
          <w:rtl/>
        </w:rPr>
        <w:fldChar w:fldCharType="begin" w:dirty="true"/>
      </w:r>
      <w:r>
        <w:rPr>
          <w:sz w:val="18"/>
          <w:szCs w:val="18"/>
          <w:vertAlign w:val="superscript"/>
          <w:rtl/>
        </w:rPr>
        <w:instrText xml:space="preserve"> REF b4_note21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21</w:t>
      </w:r>
      <w:r>
        <w:rPr>
          <w:sz w:val="18"/>
          <w:szCs w:val="18"/>
          <w:vertAlign w:val="superscript"/>
          <w:rtl/>
        </w:rPr>
        <w:fldChar w:fldCharType="end"/>
      </w:r>
      <w:r>
        <w:rPr>
          <w:rtl/>
        </w:rPr>
        <w:t>.</w:t>
      </w:r>
    </w:p>
    <w:bookmarkStart w:id="4098" w:name="b4_note19"/>
    <w:p w14:paraId="38436F41" w14:textId="77777777" w:rsidR="00AB3647" w:rsidRDefault="00000000" w:rsidP="007923E9">
      <w:pPr>
        <w:spacing w:before="120" w:after="100" w:line="276" w:lineRule="auto"/>
        <w:jc w:val="both"/>
      </w:pPr>
      <w:r>
        <w:fldChar w:fldCharType="begin" w:dirty="true"/>
      </w:r>
      <w:r>
        <w:instrText>HYPERLINK \l "b4_text19" \h</w:instrText>
      </w:r>
      <w:r>
        <w:fldChar w:fldCharType="separate"/>
      </w:r>
      <w:r>
        <w:rPr>
          <w:b/>
          <w:bCs/>
          <w:rtl/>
        </w:rPr>
        <w:t>19</w:t>
      </w:r>
      <w:r>
        <w:rPr>
          <w:b/>
          <w:bCs/>
        </w:rPr>
        <w:fldChar w:fldCharType="end"/>
      </w:r>
      <w:bookmarkEnd w:id="4098"/>
      <w:r>
        <w:rPr>
          <w:rtl/>
        </w:rPr>
        <w:t xml:space="preserve"> לדברי ר׳ </w:t>
      </w:r>
      <w:proofErr w:type="spellStart"/>
      <w:r>
        <w:rPr>
          <w:rtl/>
        </w:rPr>
        <w:t>לייבל</w:t>
      </w:r>
      <w:proofErr w:type="spellEnd"/>
      <w:r>
        <w:rPr>
          <w:rtl/>
        </w:rPr>
        <w:t xml:space="preserve"> </w:t>
      </w:r>
      <w:proofErr w:type="spellStart"/>
      <w:r>
        <w:rPr>
          <w:rtl/>
        </w:rPr>
        <w:t>פרלשטיין</w:t>
      </w:r>
      <w:bookmarkStart w:id="4099" w:name="_fnr3104"/>
      <w:proofErr w:type="spellEnd"/>
      <w:r>
        <w:rPr>
          <w:vertAlign w:val="superscript"/>
          <w:rtl/>
        </w:rPr>
        <w:footnoteReference w:id="3112" w:customMarkFollows="0"/>
      </w:r>
      <w:bookmarkEnd w:id="4099"/>
      <w:r>
        <w:rPr>
          <w:rtl/>
        </w:rPr>
        <w:t xml:space="preserve">, </w:t>
      </w:r>
      <w:proofErr w:type="spellStart"/>
      <w:r>
        <w:rPr>
          <w:rtl/>
        </w:rPr>
        <w:t>בסלבודקה</w:t>
      </w:r>
      <w:proofErr w:type="spellEnd"/>
      <w:r>
        <w:rPr>
          <w:rtl/>
        </w:rPr>
        <w:t xml:space="preserve"> התקבלו רק בעלי כישרון, “מפני שהסבא לא רצה שיהיו סביבו תלמידים שאינם בעלי כישרון” – אולם השווה פרק 3, הערה 1.</w:t>
      </w:r>
    </w:p>
    <w:bookmarkStart w:id="4100" w:name="b4_note20"/>
    <w:p w14:paraId="0E0FEA3B" w14:textId="77777777" w:rsidR="00AB3647" w:rsidRDefault="00000000" w:rsidP="007923E9">
      <w:pPr>
        <w:spacing w:before="120" w:after="100" w:line="276" w:lineRule="auto"/>
        <w:jc w:val="both"/>
      </w:pPr>
      <w:r>
        <w:fldChar w:fldCharType="begin" w:dirty="true"/>
      </w:r>
      <w:r>
        <w:instrText>HYPERLINK \l "b4_text20" \h</w:instrText>
      </w:r>
      <w:r>
        <w:fldChar w:fldCharType="separate"/>
      </w:r>
      <w:r>
        <w:rPr>
          <w:b/>
          <w:bCs/>
          <w:rtl/>
        </w:rPr>
        <w:t>20</w:t>
      </w:r>
      <w:r>
        <w:rPr>
          <w:b/>
          <w:bCs/>
        </w:rPr>
        <w:fldChar w:fldCharType="end"/>
      </w:r>
      <w:bookmarkEnd w:id="4100"/>
      <w:r>
        <w:rPr>
          <w:rtl/>
        </w:rPr>
        <w:t xml:space="preserve"> כץ, “תנועת המוסר”, כרך ג</w:t>
      </w:r>
      <w:bookmarkStart w:id="4101" w:name="_fnr3105"/>
      <w:r>
        <w:rPr>
          <w:vertAlign w:val="superscript"/>
          <w:rtl/>
        </w:rPr>
        <w:footnoteReference w:id="3113" w:customMarkFollows="0"/>
      </w:r>
      <w:bookmarkEnd w:id="4101"/>
      <w:r>
        <w:rPr>
          <w:rtl/>
        </w:rPr>
        <w:t xml:space="preserve">, כותב: “הסבא הקדיש תשומת לב מיוחדת לבעלי הכישרונות הגדולים. כשהרגיש שיש בתלמיד אפשרות לגדלות, לא הניח לו. הוא התמסר [לאותו תלמיד] בכל נפשו. אפילו לא הצטיין התלמיד במידותיו, או שהשקפתו הייתה מוטעית, תלה הסבא </w:t>
      </w:r>
      <w:r>
        <w:rPr>
          <w:rtl/>
        </w:rPr>
        <w:lastRenderedPageBreak/>
        <w:t xml:space="preserve">תקווה להעלותו לגדלות מכוח שכלו המעולה. בכל תקופות הישיבה הקיף עצמו ר׳ </w:t>
      </w:r>
      <w:proofErr w:type="spellStart"/>
      <w:r>
        <w:rPr>
          <w:rtl/>
        </w:rPr>
        <w:t>נתן־צבי</w:t>
      </w:r>
      <w:proofErr w:type="spellEnd"/>
      <w:r>
        <w:rPr>
          <w:rtl/>
        </w:rPr>
        <w:t xml:space="preserve"> בקבוצה של עילויים או צעירים חריפים במיוחד, שלהם הקדיש את רוב זמנו”.</w:t>
      </w:r>
    </w:p>
    <w:p w14:paraId="13999634" w14:textId="77777777" w:rsidR="00AB3647" w:rsidRDefault="00000000" w:rsidP="007923E9">
      <w:pPr>
        <w:spacing w:before="120" w:after="100" w:line="276" w:lineRule="auto"/>
        <w:jc w:val="both"/>
      </w:pPr>
      <w:r>
        <w:rPr>
          <w:rtl/>
        </w:rPr>
        <w:t>ברשימותיו של ר׳ משה גרוסמן</w:t>
      </w:r>
      <w:bookmarkStart w:id="4102" w:name="_fnr3106"/>
      <w:r>
        <w:rPr>
          <w:vertAlign w:val="superscript"/>
          <w:rtl/>
        </w:rPr>
        <w:footnoteReference w:id="3114" w:customMarkFollows="0"/>
      </w:r>
      <w:bookmarkEnd w:id="4102"/>
      <w:r>
        <w:rPr>
          <w:rtl/>
        </w:rPr>
        <w:t xml:space="preserve"> מובא בשם ר׳ </w:t>
      </w:r>
      <w:proofErr w:type="spellStart"/>
      <w:r>
        <w:rPr>
          <w:rtl/>
        </w:rPr>
        <w:t>יעקב־יצחק</w:t>
      </w:r>
      <w:proofErr w:type="spellEnd"/>
      <w:r>
        <w:rPr>
          <w:rtl/>
        </w:rPr>
        <w:t xml:space="preserve"> </w:t>
      </w:r>
      <w:proofErr w:type="spellStart"/>
      <w:r>
        <w:rPr>
          <w:rtl/>
        </w:rPr>
        <w:t>רודרמן</w:t>
      </w:r>
      <w:proofErr w:type="spellEnd"/>
      <w:r>
        <w:rPr>
          <w:rtl/>
        </w:rPr>
        <w:t>, שאם בחור שהסבא הוכיחו בחריפות השיב לו תוך כדי כך תשובה מחוכמת, היה הסבא מנשקו וסולח לו</w:t>
      </w:r>
      <w:bookmarkStart w:id="4103" w:name="_fnr3107"/>
      <w:r>
        <w:rPr>
          <w:vertAlign w:val="superscript"/>
          <w:rtl/>
        </w:rPr>
        <w:footnoteReference w:id="3115" w:customMarkFollows="0"/>
      </w:r>
      <w:bookmarkEnd w:id="4103"/>
      <w:r>
        <w:rPr>
          <w:rtl/>
        </w:rPr>
        <w:t xml:space="preserve">. </w:t>
      </w:r>
      <w:proofErr w:type="spellStart"/>
      <w:r>
        <w:rPr>
          <w:rtl/>
        </w:rPr>
        <w:t>ב“פרקי</w:t>
      </w:r>
      <w:proofErr w:type="spellEnd"/>
      <w:r>
        <w:rPr>
          <w:rtl/>
        </w:rPr>
        <w:t xml:space="preserve"> חיים” שבפתח “חידושי בעל שרידי אש”</w:t>
      </w:r>
      <w:bookmarkStart w:id="4104" w:name="_fnr3108"/>
      <w:r>
        <w:rPr>
          <w:vertAlign w:val="superscript"/>
          <w:rtl/>
        </w:rPr>
        <w:footnoteReference w:id="3116" w:customMarkFollows="0"/>
      </w:r>
      <w:bookmarkEnd w:id="4104"/>
      <w:r>
        <w:rPr>
          <w:rtl/>
        </w:rPr>
        <w:t xml:space="preserve"> מספר ר׳ </w:t>
      </w:r>
      <w:proofErr w:type="spellStart"/>
      <w:r>
        <w:rPr>
          <w:rtl/>
        </w:rPr>
        <w:t>יחיאל־יעקב</w:t>
      </w:r>
      <w:proofErr w:type="spellEnd"/>
      <w:r>
        <w:rPr>
          <w:rtl/>
        </w:rPr>
        <w:t xml:space="preserve"> ויינברג שכאשר תיאר באריכות את סדר אפיית המצות של ר׳ </w:t>
      </w:r>
      <w:proofErr w:type="spellStart"/>
      <w:r>
        <w:rPr>
          <w:rtl/>
        </w:rPr>
        <w:t>איצל׳ה</w:t>
      </w:r>
      <w:proofErr w:type="spellEnd"/>
      <w:r>
        <w:rPr>
          <w:rtl/>
        </w:rPr>
        <w:t xml:space="preserve"> </w:t>
      </w:r>
      <w:proofErr w:type="spellStart"/>
      <w:r>
        <w:rPr>
          <w:rtl/>
        </w:rPr>
        <w:t>בלאזר</w:t>
      </w:r>
      <w:proofErr w:type="spellEnd"/>
      <w:r>
        <w:rPr>
          <w:rtl/>
        </w:rPr>
        <w:t>, הסבא “נתפעל ונשק לי בידי’”. חתן נכדתו של הסבא, ר׳ לייזר גולדשמידט, אמר</w:t>
      </w:r>
      <w:bookmarkStart w:id="4105" w:name="_fnr3109"/>
      <w:r>
        <w:rPr>
          <w:vertAlign w:val="superscript"/>
          <w:rtl/>
        </w:rPr>
        <w:footnoteReference w:id="3117" w:customMarkFollows="0"/>
      </w:r>
      <w:bookmarkEnd w:id="4105"/>
      <w:r>
        <w:rPr>
          <w:rtl/>
        </w:rPr>
        <w:t xml:space="preserve"> שסב אשתו ראה את מסירותו לבעלי הכישרון כמופרזת. הסבא </w:t>
      </w:r>
      <w:proofErr w:type="spellStart"/>
      <w:r>
        <w:rPr>
          <w:rtl/>
        </w:rPr>
        <w:t>מסלבודקה</w:t>
      </w:r>
      <w:proofErr w:type="spellEnd"/>
      <w:r>
        <w:rPr>
          <w:rtl/>
        </w:rPr>
        <w:t xml:space="preserve"> הודה: “יש לי חולשה לתלמיד בעל כישרון”. </w:t>
      </w:r>
      <w:proofErr w:type="spellStart"/>
      <w:r>
        <w:rPr>
          <w:rtl/>
        </w:rPr>
        <w:t>ב“שרידי</w:t>
      </w:r>
      <w:proofErr w:type="spellEnd"/>
      <w:r>
        <w:rPr>
          <w:rtl/>
        </w:rPr>
        <w:t xml:space="preserve"> אש”</w:t>
      </w:r>
      <w:bookmarkStart w:id="4106" w:name="_fnr3110"/>
      <w:r>
        <w:rPr>
          <w:vertAlign w:val="superscript"/>
          <w:rtl/>
        </w:rPr>
        <w:footnoteReference w:id="3118" w:customMarkFollows="0"/>
      </w:r>
      <w:bookmarkEnd w:id="4106"/>
      <w:r>
        <w:rPr>
          <w:rtl/>
        </w:rPr>
        <w:t xml:space="preserve"> נמסר שרבה של קובנה, ר׳ </w:t>
      </w:r>
      <w:proofErr w:type="spellStart"/>
      <w:r>
        <w:rPr>
          <w:rtl/>
        </w:rPr>
        <w:t>אברהם־דובער</w:t>
      </w:r>
      <w:proofErr w:type="spellEnd"/>
      <w:r>
        <w:rPr>
          <w:rtl/>
        </w:rPr>
        <w:t xml:space="preserve"> </w:t>
      </w:r>
      <w:proofErr w:type="spellStart"/>
      <w:r>
        <w:rPr>
          <w:rtl/>
        </w:rPr>
        <w:t>כהנא־שפירא</w:t>
      </w:r>
      <w:bookmarkStart w:id="4107" w:name="_fnr3111"/>
      <w:proofErr w:type="spellEnd"/>
      <w:r>
        <w:rPr>
          <w:vertAlign w:val="superscript"/>
          <w:rtl/>
        </w:rPr>
        <w:footnoteReference w:id="3119" w:customMarkFollows="0"/>
      </w:r>
      <w:bookmarkEnd w:id="4107"/>
      <w:r>
        <w:rPr>
          <w:rtl/>
        </w:rPr>
        <w:t xml:space="preserve">, אמר בהספדו על הסבא </w:t>
      </w:r>
      <w:proofErr w:type="spellStart"/>
      <w:r>
        <w:rPr>
          <w:rtl/>
        </w:rPr>
        <w:t>מסלבודקה</w:t>
      </w:r>
      <w:proofErr w:type="spellEnd"/>
      <w:r>
        <w:rPr>
          <w:rtl/>
        </w:rPr>
        <w:t xml:space="preserve"> דבר מפתיע: שאהב בעל כישרון יותר משאב אוהב את בנו יחידו.</w:t>
      </w:r>
    </w:p>
    <w:p w14:paraId="06240849" w14:textId="77777777" w:rsidR="00AB3647" w:rsidRDefault="00000000" w:rsidP="007923E9">
      <w:pPr>
        <w:spacing w:after="120" w:line="276" w:lineRule="auto"/>
        <w:jc w:val="both"/>
      </w:pPr>
      <w:r>
        <w:rPr>
          <w:rtl/>
        </w:rPr>
        <w:t xml:space="preserve">אפשר שהסבא למד לנתח את שכלו ואופיו של כל תלמיד בתקופת לימודו אצל ר׳ </w:t>
      </w:r>
      <w:proofErr w:type="spellStart"/>
      <w:r>
        <w:rPr>
          <w:rtl/>
        </w:rPr>
        <w:t>שמחה־זיסל</w:t>
      </w:r>
      <w:proofErr w:type="spellEnd"/>
      <w:r>
        <w:rPr>
          <w:rtl/>
        </w:rPr>
        <w:t xml:space="preserve"> </w:t>
      </w:r>
      <w:proofErr w:type="spellStart"/>
      <w:r>
        <w:rPr>
          <w:rtl/>
        </w:rPr>
        <w:t>בקלם</w:t>
      </w:r>
      <w:proofErr w:type="spellEnd"/>
      <w:r>
        <w:rPr>
          <w:rtl/>
        </w:rPr>
        <w:t xml:space="preserve"> </w:t>
      </w:r>
      <w:proofErr w:type="spellStart"/>
      <w:r>
        <w:rPr>
          <w:rtl/>
        </w:rPr>
        <w:t>ובגרובין</w:t>
      </w:r>
      <w:proofErr w:type="spellEnd"/>
      <w:r>
        <w:rPr>
          <w:rtl/>
        </w:rPr>
        <w:t xml:space="preserve">. השווה פרק 3, הפסקה השנייה של נספח </w:t>
      </w:r>
      <w:proofErr w:type="spellStart"/>
      <w:r>
        <w:rPr>
          <w:rtl/>
        </w:rPr>
        <w:t>יז</w:t>
      </w:r>
      <w:proofErr w:type="spellEnd"/>
      <w:r>
        <w:rPr>
          <w:rtl/>
        </w:rPr>
        <w:t xml:space="preserve">, </w:t>
      </w:r>
      <w:proofErr w:type="spellStart"/>
      <w:r>
        <w:rPr>
          <w:rtl/>
        </w:rPr>
        <w:t>ו“כתבי</w:t>
      </w:r>
      <w:proofErr w:type="spellEnd"/>
      <w:r>
        <w:rPr>
          <w:rtl/>
        </w:rPr>
        <w:t xml:space="preserve"> הסבא”</w:t>
      </w:r>
      <w:bookmarkStart w:id="4108" w:name="_fnr3112"/>
      <w:r>
        <w:rPr>
          <w:vertAlign w:val="superscript"/>
          <w:rtl/>
        </w:rPr>
        <w:footnoteReference w:id="3120" w:customMarkFollows="0"/>
      </w:r>
      <w:bookmarkEnd w:id="4108"/>
      <w:r>
        <w:rPr>
          <w:rtl/>
        </w:rPr>
        <w:t xml:space="preserve">. שם מביא ר׳ גרשון </w:t>
      </w:r>
      <w:proofErr w:type="spellStart"/>
      <w:r>
        <w:rPr>
          <w:rtl/>
        </w:rPr>
        <w:t>מיאדניק</w:t>
      </w:r>
      <w:bookmarkStart w:id="4109" w:name="_fnr3113"/>
      <w:proofErr w:type="spellEnd"/>
      <w:r>
        <w:rPr>
          <w:vertAlign w:val="superscript"/>
          <w:rtl/>
        </w:rPr>
        <w:footnoteReference w:id="3121" w:customMarkFollows="0"/>
      </w:r>
      <w:bookmarkEnd w:id="4109"/>
      <w:r>
        <w:rPr>
          <w:rtl/>
        </w:rPr>
        <w:t xml:space="preserve"> בשם ר׳ נפתלי אמסטרדם </w:t>
      </w:r>
      <w:proofErr w:type="spellStart"/>
      <w:r>
        <w:rPr>
          <w:rtl/>
        </w:rPr>
        <w:t>שבגרובין</w:t>
      </w:r>
      <w:proofErr w:type="spellEnd"/>
      <w:r>
        <w:rPr>
          <w:rtl/>
        </w:rPr>
        <w:t xml:space="preserve"> היה הסבא מקלם “מקדיש חמש או שש שעות להתבוננות בצעיר אחד, כדי לדעת את כוחותיו, את טבעו ואת תכונותיו”, וללמוד כיצד להשפיע עליו בדרך הטובה ביותר. “הדבר היה ידוע למכירי ישיבת </w:t>
      </w:r>
      <w:proofErr w:type="spellStart"/>
      <w:r>
        <w:rPr>
          <w:rtl/>
        </w:rPr>
        <w:t>גרובין</w:t>
      </w:r>
      <w:proofErr w:type="spellEnd"/>
      <w:r>
        <w:rPr>
          <w:rtl/>
        </w:rPr>
        <w:t>”, אמר ר׳ נפתלי.</w:t>
      </w:r>
    </w:p>
    <w:p w14:paraId="2F5E7F42" w14:textId="77777777" w:rsidR="00AB3647" w:rsidRDefault="00000000" w:rsidP="007923E9">
      <w:pPr>
        <w:spacing w:after="120" w:line="276" w:lineRule="auto"/>
        <w:jc w:val="both"/>
      </w:pPr>
      <w:r>
        <w:rPr>
          <w:rtl/>
        </w:rPr>
        <w:t xml:space="preserve">ר׳ </w:t>
      </w:r>
      <w:proofErr w:type="spellStart"/>
      <w:r>
        <w:rPr>
          <w:rtl/>
        </w:rPr>
        <w:t>לייבל</w:t>
      </w:r>
      <w:proofErr w:type="spellEnd"/>
      <w:r>
        <w:rPr>
          <w:rtl/>
        </w:rPr>
        <w:t xml:space="preserve"> </w:t>
      </w:r>
      <w:proofErr w:type="spellStart"/>
      <w:r>
        <w:rPr>
          <w:rtl/>
        </w:rPr>
        <w:t>פרלשטיין</w:t>
      </w:r>
      <w:proofErr w:type="spellEnd"/>
      <w:r>
        <w:rPr>
          <w:rtl/>
        </w:rPr>
        <w:t xml:space="preserve"> שאל את אבי: “האם כוונתך שהסבא הבין תלמיד כפי שפרויד הבין אנשים?” ואבי השיב: “אח, אין שום השוואה. הסבא הבין אדם הרבה יותר טוב. הוא הכיר את תכונותיו של כל אחד – מה ייעודו של זה ומה ייעודו של האחר. בלעדיו לא היה ר׳ אהרן [קוטלר] נעשה ‘ר׳ אהרן’</w:t>
      </w:r>
      <w:bookmarkStart w:id="4110" w:name="_fnr3114"/>
      <w:bookmarkStart w:id="4111" w:name="pr_f_3006"/>
      <w:r>
        <w:rPr>
          <w:vertAlign w:val="superscript"/>
          <w:rtl/>
        </w:rPr>
        <w:footnoteReference w:id="3122" w:customMarkFollows="0"/>
      </w:r>
      <w:bookmarkEnd w:id="4110"/>
      <w:bookmarkEnd w:id="4111"/>
      <w:r>
        <w:rPr>
          <w:rtl/>
        </w:rPr>
        <w:t>; איש לא היה נעשה מה שנעשה”. באמירה האחרונה לא הוציא את עצמו מן הכלל, ואפשר שזו הייתה דרכו המיוחדת לרמוז על עצמו. (בעניין ר׳ אהרן השווה הערה 42 להלן ופרק 2, הערה 106.)</w:t>
      </w:r>
    </w:p>
    <w:p w14:paraId="5744DD4B" w14:textId="77777777" w:rsidR="00AB3647" w:rsidRDefault="00000000" w:rsidP="007923E9">
      <w:pPr>
        <w:spacing w:after="120" w:line="276" w:lineRule="auto"/>
        <w:jc w:val="both"/>
      </w:pPr>
      <w:r>
        <w:rPr>
          <w:rtl/>
        </w:rPr>
        <w:t xml:space="preserve">מקרה שבו נשתמרה לדורות הבחנת הסבא באופיו של תלמיד מובא </w:t>
      </w:r>
      <w:proofErr w:type="spellStart"/>
      <w:r>
        <w:rPr>
          <w:rtl/>
        </w:rPr>
        <w:t>ב“יתד</w:t>
      </w:r>
      <w:proofErr w:type="spellEnd"/>
      <w:r>
        <w:rPr>
          <w:rtl/>
        </w:rPr>
        <w:t xml:space="preserve"> נאמן”</w:t>
      </w:r>
      <w:bookmarkStart w:id="4112" w:name="_fnr3115"/>
      <w:r>
        <w:rPr>
          <w:vertAlign w:val="superscript"/>
          <w:rtl/>
        </w:rPr>
        <w:footnoteReference w:id="3123" w:customMarkFollows="0"/>
      </w:r>
      <w:bookmarkEnd w:id="4112"/>
      <w:r>
        <w:rPr>
          <w:rtl/>
        </w:rPr>
        <w:t xml:space="preserve">: כשחלה ר׳ </w:t>
      </w:r>
      <w:proofErr w:type="spellStart"/>
      <w:r>
        <w:rPr>
          <w:rtl/>
        </w:rPr>
        <w:t>ישראל־זיסל</w:t>
      </w:r>
      <w:proofErr w:type="spellEnd"/>
      <w:r>
        <w:rPr>
          <w:rtl/>
        </w:rPr>
        <w:t xml:space="preserve"> </w:t>
      </w:r>
      <w:proofErr w:type="spellStart"/>
      <w:r>
        <w:rPr>
          <w:rtl/>
        </w:rPr>
        <w:t>דבורץ</w:t>
      </w:r>
      <w:bookmarkStart w:id="4113" w:name="_fnr3116"/>
      <w:proofErr w:type="spellEnd"/>
      <w:r>
        <w:rPr>
          <w:vertAlign w:val="superscript"/>
          <w:rtl/>
        </w:rPr>
        <w:footnoteReference w:id="3124" w:customMarkFollows="0"/>
      </w:r>
      <w:bookmarkEnd w:id="4113"/>
      <w:r>
        <w:rPr>
          <w:rtl/>
        </w:rPr>
        <w:t xml:space="preserve"> מחלה קשה ביותר בעת לימודו בכנסת ישראל, והוחלט לשנות את </w:t>
      </w:r>
      <w:r>
        <w:rPr>
          <w:rtl/>
        </w:rPr>
        <w:lastRenderedPageBreak/>
        <w:t>שמו</w:t>
      </w:r>
      <w:bookmarkStart w:id="4114" w:name="_fnr3117"/>
      <w:r>
        <w:rPr>
          <w:vertAlign w:val="superscript"/>
          <w:rtl/>
        </w:rPr>
        <w:footnoteReference w:id="3125" w:customMarkFollows="0"/>
      </w:r>
      <w:bookmarkEnd w:id="4114"/>
      <w:r>
        <w:rPr>
          <w:rtl/>
        </w:rPr>
        <w:t xml:space="preserve">, פסק הסבא להוסיף את השם “כלב”, “מפני שהצעיר כולו לב”. ר׳ </w:t>
      </w:r>
      <w:proofErr w:type="spellStart"/>
      <w:r>
        <w:rPr>
          <w:rtl/>
        </w:rPr>
        <w:t>ישראל־זיסל</w:t>
      </w:r>
      <w:proofErr w:type="spellEnd"/>
      <w:r>
        <w:rPr>
          <w:rtl/>
        </w:rPr>
        <w:t xml:space="preserve"> נשא שם זה כל ימיו. השווה גם פרק 3, הפסקה השנייה של נספח כ.</w:t>
      </w:r>
    </w:p>
    <w:bookmarkStart w:id="4115" w:name="b4_note21"/>
    <w:p w14:paraId="07EA69AE" w14:textId="77777777" w:rsidR="00AB3647" w:rsidRDefault="00000000" w:rsidP="007923E9">
      <w:pPr>
        <w:spacing w:before="120" w:after="100" w:line="276" w:lineRule="auto"/>
        <w:jc w:val="both"/>
      </w:pPr>
      <w:r>
        <w:fldChar w:fldCharType="begin" w:dirty="true"/>
      </w:r>
      <w:r>
        <w:instrText>HYPERLINK \l "b4_text21" \h</w:instrText>
      </w:r>
      <w:r>
        <w:fldChar w:fldCharType="separate"/>
      </w:r>
      <w:r>
        <w:rPr>
          <w:b/>
          <w:bCs/>
          <w:rtl/>
        </w:rPr>
        <w:t>21</w:t>
      </w:r>
      <w:r>
        <w:rPr>
          <w:b/>
          <w:bCs/>
        </w:rPr>
        <w:fldChar w:fldCharType="end"/>
      </w:r>
      <w:bookmarkEnd w:id="4115"/>
      <w:r>
        <w:rPr>
          <w:rtl/>
        </w:rPr>
        <w:t xml:space="preserve"> כץ, “תנועת המוסר”, כרך ג, שם: “הוא טען שחינוך בעלי הכישרון הוא תכלית הישיבה, ולמענם בלבד כדאי כל המאמץ והעמל. בתקופה מסוימת, כשמצב ציבור התלמידים היה רופף, העיר מישהו שמספר התלמידים קטן. כששאל ר׳ </w:t>
      </w:r>
      <w:proofErr w:type="spellStart"/>
      <w:r>
        <w:rPr>
          <w:rtl/>
        </w:rPr>
        <w:t>נתן־צבי</w:t>
      </w:r>
      <w:proofErr w:type="spellEnd"/>
      <w:r>
        <w:rPr>
          <w:rtl/>
        </w:rPr>
        <w:t xml:space="preserve"> אם בחור מסוים נמצא בישיבה ונענה בחיוב, אמר הסבא שבעבור אותו תלמיד כדאי לקיים את הישיבה כולה”. רבנו סיפר שהסבא אמר פעם שהוא זקוק לישיבה של 400 תלמידים כדי להוציא מתוכה את האחד שאליו הוא מכוון; האחרים נחוצים לשמש </w:t>
      </w:r>
      <w:proofErr w:type="spellStart"/>
      <w:r>
        <w:rPr>
          <w:rtl/>
        </w:rPr>
        <w:t>חברותות</w:t>
      </w:r>
      <w:proofErr w:type="spellEnd"/>
      <w:r>
        <w:rPr>
          <w:rtl/>
        </w:rPr>
        <w:t xml:space="preserve">, </w:t>
      </w:r>
      <w:proofErr w:type="spellStart"/>
      <w:r>
        <w:rPr>
          <w:rtl/>
        </w:rPr>
        <w:t>וחברותות</w:t>
      </w:r>
      <w:proofErr w:type="spellEnd"/>
      <w:r>
        <w:rPr>
          <w:rtl/>
        </w:rPr>
        <w:t xml:space="preserve"> של </w:t>
      </w:r>
      <w:proofErr w:type="spellStart"/>
      <w:r>
        <w:rPr>
          <w:rtl/>
        </w:rPr>
        <w:t>החברותות</w:t>
      </w:r>
      <w:proofErr w:type="spellEnd"/>
      <w:r>
        <w:rPr>
          <w:rtl/>
        </w:rPr>
        <w:t>, וכן הלאה</w:t>
      </w:r>
      <w:bookmarkStart w:id="4116" w:name="_fnr3118"/>
      <w:r>
        <w:rPr>
          <w:vertAlign w:val="superscript"/>
          <w:rtl/>
        </w:rPr>
        <w:footnoteReference w:id="3126" w:customMarkFollows="0"/>
      </w:r>
      <w:bookmarkEnd w:id="4116"/>
      <w:r>
        <w:rPr>
          <w:rtl/>
        </w:rPr>
        <w:t>.</w:t>
      </w:r>
    </w:p>
    <w:p w14:paraId="46E4ED1C" w14:textId="77777777" w:rsidR="00AB3647" w:rsidRDefault="00000000" w:rsidP="007923E9">
      <w:pPr>
        <w:spacing w:before="120" w:after="100" w:line="276" w:lineRule="auto"/>
        <w:jc w:val="both"/>
      </w:pPr>
      <w:r>
        <w:rPr>
          <w:rtl/>
        </w:rPr>
        <w:t>אבי מעולם לא זיהה את “האחד” שאליו כיוון הסבא – אם אומנם חשב על מישהו מסוים בשעת אמירת הדברים. השווה כרך 2, שבו נדונים ארבעת הבחורים המעולים בישיבה והמחלוקת בשאלה מי מהם היה הגדול ביותר.</w:t>
      </w:r>
    </w:p>
    <w:p w14:paraId="57692E27" w14:textId="74410A8A"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 xml:space="preserve">הסבא </w:t>
      </w:r>
      <w:proofErr w:type="spellStart"/>
      <w:r>
        <w:rPr>
          <w:rtl/>
        </w:rPr>
        <w:t>מסלבודקה</w:t>
      </w:r>
      <w:proofErr w:type="spellEnd"/>
      <w:r>
        <w:rPr>
          <w:rtl/>
        </w:rPr>
        <w:t xml:space="preserve"> סבר שבעל שכל טוב יצטיין בשני היעדים של ישיבת כנסת ישראל: תורה ומוסר</w:t>
      </w:r>
      <w:bookmarkStart w:id="4117" w:name="b4_text22"/>
      <w:bookmarkEnd w:id="4117"/>
      <w:r>
        <w:rPr>
          <w:sz w:val="18"/>
          <w:szCs w:val="18"/>
          <w:vertAlign w:val="superscript"/>
          <w:rtl/>
        </w:rPr>
        <w:fldChar w:fldCharType="begin" w:dirty="true"/>
      </w:r>
      <w:r>
        <w:rPr>
          <w:sz w:val="18"/>
          <w:szCs w:val="18"/>
          <w:vertAlign w:val="superscript"/>
          <w:rtl/>
        </w:rPr>
        <w:instrText xml:space="preserve"> REF b4_note22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22</w:t>
      </w:r>
      <w:r>
        <w:rPr>
          <w:sz w:val="18"/>
          <w:szCs w:val="18"/>
          <w:vertAlign w:val="superscript"/>
          <w:rtl/>
        </w:rPr>
        <w:fldChar w:fldCharType="end"/>
      </w:r>
      <w:r>
        <w:rPr>
          <w:rtl/>
        </w:rPr>
        <w:t>. אם חיבב הסבא תלמיד בתחילה, ואחר כך גילה שאינו רוצה או אינו מסוגל למצוא עניין בשני התחומים הללו, היה זונח אותו</w:t>
      </w:r>
      <w:bookmarkStart w:id="4118" w:name="b4_text23"/>
      <w:bookmarkEnd w:id="4118"/>
      <w:r>
        <w:rPr>
          <w:sz w:val="18"/>
          <w:szCs w:val="18"/>
          <w:vertAlign w:val="superscript"/>
          <w:rtl/>
        </w:rPr>
        <w:fldChar w:fldCharType="begin" w:dirty="true"/>
      </w:r>
      <w:r>
        <w:rPr>
          <w:sz w:val="18"/>
          <w:szCs w:val="18"/>
          <w:vertAlign w:val="superscript"/>
          <w:rtl/>
        </w:rPr>
        <w:instrText xml:space="preserve"> REF b4_note23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23</w:t>
      </w:r>
      <w:r>
        <w:rPr>
          <w:sz w:val="18"/>
          <w:szCs w:val="18"/>
          <w:vertAlign w:val="superscript"/>
          <w:rtl/>
        </w:rPr>
        <w:fldChar w:fldCharType="end"/>
      </w:r>
      <w:r>
        <w:rPr>
          <w:rtl/>
        </w:rPr>
        <w:t>. התלמידים הרבים שנשארו חביבים על הסבא וזכו לתשומת לבו המיוחדת הבינו שהוא אוהב אותם כשם שהוא אוהב את ילדיו</w:t>
      </w:r>
      <w:bookmarkStart w:id="4119" w:name="b4_text24"/>
      <w:bookmarkEnd w:id="4119"/>
      <w:r>
        <w:rPr>
          <w:sz w:val="18"/>
          <w:szCs w:val="18"/>
          <w:vertAlign w:val="superscript"/>
          <w:rtl/>
        </w:rPr>
        <w:fldChar w:fldCharType="begin" w:dirty="true"/>
      </w:r>
      <w:r>
        <w:rPr>
          <w:sz w:val="18"/>
          <w:szCs w:val="18"/>
          <w:vertAlign w:val="superscript"/>
          <w:rtl/>
        </w:rPr>
        <w:instrText xml:space="preserve"> REF b4_note24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24</w:t>
      </w:r>
      <w:r>
        <w:rPr>
          <w:sz w:val="18"/>
          <w:szCs w:val="18"/>
          <w:vertAlign w:val="superscript"/>
          <w:rtl/>
        </w:rPr>
        <w:fldChar w:fldCharType="end"/>
      </w:r>
      <w:r>
        <w:rPr>
          <w:rtl/>
        </w:rPr>
        <w:t>.</w:t>
      </w:r>
    </w:p>
    <w:bookmarkStart w:id="4120" w:name="b4_note22"/>
    <w:p w14:paraId="791C65FB" w14:textId="77777777" w:rsidR="00AB3647" w:rsidRDefault="00000000" w:rsidP="007923E9">
      <w:pPr>
        <w:spacing w:before="120" w:after="100" w:line="276" w:lineRule="auto"/>
        <w:jc w:val="both"/>
      </w:pPr>
      <w:r>
        <w:fldChar w:fldCharType="begin" w:dirty="true"/>
      </w:r>
      <w:r>
        <w:instrText>HYPERLINK \l "b4_text22" \h</w:instrText>
      </w:r>
      <w:r>
        <w:fldChar w:fldCharType="separate"/>
      </w:r>
      <w:r>
        <w:rPr>
          <w:b/>
          <w:bCs/>
          <w:rtl/>
        </w:rPr>
        <w:t>22</w:t>
      </w:r>
      <w:r>
        <w:rPr>
          <w:b/>
          <w:bCs/>
        </w:rPr>
        <w:fldChar w:fldCharType="end"/>
      </w:r>
      <w:bookmarkEnd w:id="4120"/>
      <w:r>
        <w:rPr>
          <w:rtl/>
        </w:rPr>
        <w:t xml:space="preserve"> כץ, “תנועת המוסר”, כרך ג</w:t>
      </w:r>
      <w:bookmarkStart w:id="4121" w:name="_fnr3119"/>
      <w:r>
        <w:rPr>
          <w:vertAlign w:val="superscript"/>
          <w:rtl/>
        </w:rPr>
        <w:footnoteReference w:id="3127" w:customMarkFollows="0"/>
      </w:r>
      <w:bookmarkEnd w:id="4121"/>
      <w:r>
        <w:rPr>
          <w:rtl/>
        </w:rPr>
        <w:t>, מביא בשם הסבא: “מי שיש לו טעם בפלפול ההלכה, יש לו טעם במוסר; ומי שיש לו טעם במוסר, יש לו טעם בפלפול ההלכה”</w:t>
      </w:r>
      <w:bookmarkStart w:id="4122" w:name="_fnr3120"/>
      <w:r>
        <w:rPr>
          <w:vertAlign w:val="superscript"/>
          <w:rtl/>
        </w:rPr>
        <w:footnoteReference w:id="3128" w:customMarkFollows="0"/>
      </w:r>
      <w:bookmarkEnd w:id="4122"/>
      <w:r>
        <w:rPr>
          <w:rtl/>
        </w:rPr>
        <w:t>.</w:t>
      </w:r>
    </w:p>
    <w:bookmarkStart w:id="4123" w:name="b4_note23"/>
    <w:p w14:paraId="518149E4" w14:textId="77777777" w:rsidR="00AB3647" w:rsidRDefault="00000000" w:rsidP="007923E9">
      <w:pPr>
        <w:spacing w:before="120" w:after="100" w:line="276" w:lineRule="auto"/>
        <w:jc w:val="both"/>
      </w:pPr>
      <w:r>
        <w:fldChar w:fldCharType="begin" w:dirty="true"/>
      </w:r>
      <w:r>
        <w:instrText>HYPERLINK \l "b4_text23" \h</w:instrText>
      </w:r>
      <w:r>
        <w:fldChar w:fldCharType="separate"/>
      </w:r>
      <w:r>
        <w:rPr>
          <w:b/>
          <w:bCs/>
          <w:rtl/>
        </w:rPr>
        <w:t>23</w:t>
      </w:r>
      <w:r>
        <w:rPr>
          <w:b/>
          <w:bCs/>
        </w:rPr>
        <w:fldChar w:fldCharType="end"/>
      </w:r>
      <w:bookmarkEnd w:id="4123"/>
      <w:r>
        <w:rPr>
          <w:rtl/>
        </w:rPr>
        <w:t xml:space="preserve"> בספר הזיכרון לסבא </w:t>
      </w:r>
      <w:proofErr w:type="spellStart"/>
      <w:r>
        <w:rPr>
          <w:rtl/>
        </w:rPr>
        <w:t>מסלבודקה</w:t>
      </w:r>
      <w:proofErr w:type="spellEnd"/>
      <w:r>
        <w:rPr>
          <w:rtl/>
        </w:rPr>
        <w:t xml:space="preserve"> שערך ר׳ </w:t>
      </w:r>
      <w:proofErr w:type="spellStart"/>
      <w:r>
        <w:rPr>
          <w:rtl/>
        </w:rPr>
        <w:t>ישראל־זיסל</w:t>
      </w:r>
      <w:proofErr w:type="spellEnd"/>
      <w:r>
        <w:rPr>
          <w:rtl/>
        </w:rPr>
        <w:t xml:space="preserve"> </w:t>
      </w:r>
      <w:proofErr w:type="spellStart"/>
      <w:r>
        <w:rPr>
          <w:rtl/>
        </w:rPr>
        <w:t>דבורץ</w:t>
      </w:r>
      <w:bookmarkStart w:id="4124" w:name="_fnr3121"/>
      <w:proofErr w:type="spellEnd"/>
      <w:r>
        <w:rPr>
          <w:vertAlign w:val="superscript"/>
          <w:rtl/>
        </w:rPr>
        <w:footnoteReference w:id="3129" w:customMarkFollows="0"/>
      </w:r>
      <w:bookmarkEnd w:id="4124"/>
      <w:r>
        <w:rPr>
          <w:rtl/>
        </w:rPr>
        <w:t xml:space="preserve"> נאמר: “כשראה הסבא שטעה בתלמידים שהיה מחשיבם, היה משליכם ועוזבם”. נראה שהכותב מכוון למאורע מסוים. ר׳ זבולון גרז</w:t>
      </w:r>
      <w:bookmarkStart w:id="4125" w:name="_fnr3122"/>
      <w:r>
        <w:rPr>
          <w:vertAlign w:val="superscript"/>
          <w:rtl/>
        </w:rPr>
        <w:footnoteReference w:id="3130" w:customMarkFollows="0"/>
      </w:r>
      <w:bookmarkEnd w:id="4125"/>
      <w:r>
        <w:rPr>
          <w:rtl/>
        </w:rPr>
        <w:t xml:space="preserve"> אמר אף הוא כך, והוסיף שדחיית תלמיד בידי הסבא ניכרה בדרך פנייתו אליו: הוא היה פונה אליו בצורה הרשמית, בגוף שני רבים, “איר”, במקום בצורת היחיד </w:t>
      </w:r>
      <w:proofErr w:type="spellStart"/>
      <w:r>
        <w:rPr>
          <w:rtl/>
        </w:rPr>
        <w:t>הלא־רשמית</w:t>
      </w:r>
      <w:proofErr w:type="spellEnd"/>
      <w:r>
        <w:rPr>
          <w:rtl/>
        </w:rPr>
        <w:t>, “דו”. “אם שמע תלמיד ‘</w:t>
      </w:r>
      <w:proofErr w:type="spellStart"/>
      <w:r>
        <w:rPr>
          <w:rtl/>
        </w:rPr>
        <w:t>וואס</w:t>
      </w:r>
      <w:proofErr w:type="spellEnd"/>
      <w:r>
        <w:rPr>
          <w:rtl/>
        </w:rPr>
        <w:t xml:space="preserve"> </w:t>
      </w:r>
      <w:proofErr w:type="spellStart"/>
      <w:r>
        <w:rPr>
          <w:rtl/>
        </w:rPr>
        <w:t>מאכט</w:t>
      </w:r>
      <w:proofErr w:type="spellEnd"/>
      <w:r>
        <w:rPr>
          <w:rtl/>
        </w:rPr>
        <w:t xml:space="preserve"> איר?’ [מה שלומכם?], במקום ‘</w:t>
      </w:r>
      <w:proofErr w:type="spellStart"/>
      <w:r>
        <w:rPr>
          <w:rtl/>
        </w:rPr>
        <w:t>וואס</w:t>
      </w:r>
      <w:proofErr w:type="spellEnd"/>
      <w:r>
        <w:rPr>
          <w:rtl/>
        </w:rPr>
        <w:t xml:space="preserve"> </w:t>
      </w:r>
      <w:proofErr w:type="spellStart"/>
      <w:r>
        <w:rPr>
          <w:rtl/>
        </w:rPr>
        <w:t>מאכסט</w:t>
      </w:r>
      <w:proofErr w:type="spellEnd"/>
      <w:r>
        <w:rPr>
          <w:rtl/>
        </w:rPr>
        <w:t xml:space="preserve"> דו?’ [מה שלומך?], יכול היה להתעלף”, אמר ר׳ זבולון.</w:t>
      </w:r>
    </w:p>
    <w:p w14:paraId="67FC8578" w14:textId="77777777" w:rsidR="00AB3647" w:rsidRDefault="00000000" w:rsidP="007923E9">
      <w:pPr>
        <w:spacing w:before="120" w:after="100" w:line="276" w:lineRule="auto"/>
        <w:jc w:val="both"/>
      </w:pPr>
      <w:r>
        <w:rPr>
          <w:rtl/>
        </w:rPr>
        <w:t>גם כץ, “תנועת המוסר”, כרך ג</w:t>
      </w:r>
      <w:bookmarkStart w:id="4126" w:name="_fnr3123"/>
      <w:r>
        <w:rPr>
          <w:vertAlign w:val="superscript"/>
          <w:rtl/>
        </w:rPr>
        <w:footnoteReference w:id="3131" w:customMarkFollows="0"/>
      </w:r>
      <w:bookmarkEnd w:id="4126"/>
      <w:r>
        <w:rPr>
          <w:rtl/>
        </w:rPr>
        <w:t>, מזכיר שינוי זה בברכה כאות למורת רוח. שם מוזכר גם אות משונה יותר: “היה יכול לקרות שהסבא יושיט לפתע את ידו לתלמיד ותיק ויאמר: ‘שלום עליכם. מי אתם? מאין אתם? מתי באתם לכאן?’ בברכה זו רמז הסבא לתלמיד שמעתה אינו אלא אורח בישיבה”.</w:t>
      </w:r>
    </w:p>
    <w:bookmarkStart w:id="4127" w:name="b4_note24"/>
    <w:p w14:paraId="5D993E09" w14:textId="7E3E4937" w:rsidR="00AB3647" w:rsidRDefault="00000000" w:rsidP="007923E9">
      <w:pPr>
        <w:spacing w:before="120" w:after="100" w:line="276" w:lineRule="auto"/>
        <w:jc w:val="both"/>
      </w:pPr>
      <w:r>
        <w:lastRenderedPageBreak/>
        <w:fldChar w:fldCharType="begin" w:dirty="true"/>
      </w:r>
      <w:r>
        <w:instrText>HYPERLINK \l "b4_text24" \h</w:instrText>
      </w:r>
      <w:r>
        <w:fldChar w:fldCharType="separate"/>
      </w:r>
      <w:r>
        <w:rPr>
          <w:b/>
          <w:bCs/>
          <w:rtl/>
        </w:rPr>
        <w:t>24</w:t>
      </w:r>
      <w:r>
        <w:rPr>
          <w:b/>
          <w:bCs/>
        </w:rPr>
        <w:fldChar w:fldCharType="end"/>
      </w:r>
      <w:bookmarkEnd w:id="4127"/>
      <w:r>
        <w:rPr>
          <w:rtl/>
        </w:rPr>
        <w:t xml:space="preserve"> ראה </w:t>
      </w:r>
      <w:r>
        <w:rPr>
          <w:rtl/>
        </w:rPr>
        <w:fldChar w:fldCharType="begin" w:dirty="true"/>
      </w:r>
      <w:r>
        <w:rPr>
          <w:rtl/>
        </w:rPr>
        <w:instrText xml:space="preserve"> REF b4_excC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ג</w:t>
      </w:r>
      <w:r>
        <w:rPr>
          <w:rtl/>
        </w:rPr>
        <w:fldChar w:fldCharType="end"/>
      </w:r>
      <w:r>
        <w:rPr>
          <w:rtl/>
        </w:rPr>
        <w:t>.</w:t>
      </w:r>
    </w:p>
    <w:p w14:paraId="5AEDB942" w14:textId="368BB133"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הוא התעניין בכל פרט של טובת התלמיד, בבעיותיו ובמכאוביו. לעיתים קרובות היה מרטיב את כריתו בדמעות דאגה על תלמיד שנקרא להתייצב בפני ועדת גיוס או ששכב על מיטת חוליו</w:t>
      </w:r>
      <w:bookmarkStart w:id="4128" w:name="b4_text25"/>
      <w:bookmarkEnd w:id="4128"/>
      <w:r>
        <w:rPr>
          <w:sz w:val="18"/>
          <w:szCs w:val="18"/>
          <w:vertAlign w:val="superscript"/>
          <w:rtl/>
        </w:rPr>
        <w:fldChar w:fldCharType="begin" w:dirty="true"/>
      </w:r>
      <w:r>
        <w:rPr>
          <w:sz w:val="18"/>
          <w:szCs w:val="18"/>
          <w:vertAlign w:val="superscript"/>
          <w:rtl/>
        </w:rPr>
        <w:instrText xml:space="preserve"> REF b4_note25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25</w:t>
      </w:r>
      <w:r>
        <w:rPr>
          <w:sz w:val="18"/>
          <w:szCs w:val="18"/>
          <w:vertAlign w:val="superscript"/>
          <w:rtl/>
        </w:rPr>
        <w:fldChar w:fldCharType="end"/>
      </w:r>
      <w:r>
        <w:rPr>
          <w:rtl/>
        </w:rPr>
        <w:t>.</w:t>
      </w:r>
    </w:p>
    <w:bookmarkStart w:id="4129" w:name="b4_note25"/>
    <w:p w14:paraId="6CE8F895" w14:textId="77777777" w:rsidR="00AB3647" w:rsidRDefault="00000000" w:rsidP="007923E9">
      <w:pPr>
        <w:spacing w:before="120" w:after="100" w:line="276" w:lineRule="auto"/>
        <w:jc w:val="both"/>
      </w:pPr>
      <w:r>
        <w:fldChar w:fldCharType="begin" w:dirty="true"/>
      </w:r>
      <w:r>
        <w:instrText>HYPERLINK \l "b4_text25" \h</w:instrText>
      </w:r>
      <w:r>
        <w:fldChar w:fldCharType="separate"/>
      </w:r>
      <w:r>
        <w:rPr>
          <w:b/>
          <w:bCs/>
          <w:rtl/>
        </w:rPr>
        <w:t>25</w:t>
      </w:r>
      <w:r>
        <w:rPr>
          <w:b/>
          <w:bCs/>
        </w:rPr>
        <w:fldChar w:fldCharType="end"/>
      </w:r>
      <w:bookmarkEnd w:id="4129"/>
      <w:r>
        <w:rPr>
          <w:rtl/>
        </w:rPr>
        <w:t xml:space="preserve"> ספר הזיכרון לסבא </w:t>
      </w:r>
      <w:proofErr w:type="spellStart"/>
      <w:r>
        <w:rPr>
          <w:rtl/>
        </w:rPr>
        <w:t>מסלבודקה</w:t>
      </w:r>
      <w:proofErr w:type="spellEnd"/>
      <w:r>
        <w:rPr>
          <w:rtl/>
        </w:rPr>
        <w:t xml:space="preserve"> שערך ר׳ </w:t>
      </w:r>
      <w:proofErr w:type="spellStart"/>
      <w:r>
        <w:rPr>
          <w:rtl/>
        </w:rPr>
        <w:t>ישראל־זיסל</w:t>
      </w:r>
      <w:proofErr w:type="spellEnd"/>
      <w:r>
        <w:rPr>
          <w:rtl/>
        </w:rPr>
        <w:t xml:space="preserve"> </w:t>
      </w:r>
      <w:proofErr w:type="spellStart"/>
      <w:r>
        <w:rPr>
          <w:rtl/>
        </w:rPr>
        <w:t>דבורץ</w:t>
      </w:r>
      <w:bookmarkStart w:id="4130" w:name="_fnr3124"/>
      <w:proofErr w:type="spellEnd"/>
      <w:r>
        <w:rPr>
          <w:vertAlign w:val="superscript"/>
          <w:rtl/>
        </w:rPr>
        <w:footnoteReference w:id="3132" w:customMarkFollows="0"/>
      </w:r>
      <w:bookmarkEnd w:id="4130"/>
      <w:r>
        <w:rPr>
          <w:rtl/>
        </w:rPr>
        <w:t>. עוד נאמר בו</w:t>
      </w:r>
      <w:bookmarkStart w:id="4131" w:name="_fnr3125"/>
      <w:r>
        <w:rPr>
          <w:vertAlign w:val="superscript"/>
          <w:rtl/>
        </w:rPr>
        <w:footnoteReference w:id="3133" w:customMarkFollows="0"/>
      </w:r>
      <w:bookmarkEnd w:id="4131"/>
      <w:r>
        <w:rPr>
          <w:rtl/>
        </w:rPr>
        <w:t xml:space="preserve"> שהסבא </w:t>
      </w:r>
      <w:proofErr w:type="spellStart"/>
      <w:r>
        <w:rPr>
          <w:rtl/>
        </w:rPr>
        <w:t>מסלבודקה</w:t>
      </w:r>
      <w:proofErr w:type="spellEnd"/>
      <w:r>
        <w:rPr>
          <w:rtl/>
        </w:rPr>
        <w:t xml:space="preserve"> “דאג במיוחד שבחורים מבוגרים לא ייפלו למעמסה על הוריהם”. כץ, “תנועת המוסר”, כרך ג</w:t>
      </w:r>
      <w:bookmarkStart w:id="4132" w:name="_fnr3126"/>
      <w:r>
        <w:rPr>
          <w:vertAlign w:val="superscript"/>
          <w:rtl/>
        </w:rPr>
        <w:footnoteReference w:id="3134" w:customMarkFollows="0"/>
      </w:r>
      <w:bookmarkEnd w:id="4132"/>
      <w:r>
        <w:rPr>
          <w:rtl/>
        </w:rPr>
        <w:t xml:space="preserve">, מציין שהסבא השתדל להכניס את תלמידיו למשרות רבנות פנויות, אבל הוא מייחס זאת הן לכוונת ר׳ </w:t>
      </w:r>
      <w:proofErr w:type="spellStart"/>
      <w:r>
        <w:rPr>
          <w:rtl/>
        </w:rPr>
        <w:t>נתן־צבי</w:t>
      </w:r>
      <w:proofErr w:type="spellEnd"/>
      <w:r>
        <w:rPr>
          <w:rtl/>
        </w:rPr>
        <w:t xml:space="preserve"> להפיץ את השפעת המוסר, הן לרצונו “לספק </w:t>
      </w:r>
      <w:proofErr w:type="spellStart"/>
      <w:r>
        <w:rPr>
          <w:rtl/>
        </w:rPr>
        <w:t>לתלמידיו־בניו</w:t>
      </w:r>
      <w:proofErr w:type="spellEnd"/>
      <w:r>
        <w:rPr>
          <w:rtl/>
        </w:rPr>
        <w:t xml:space="preserve"> מקומות להתפתחותם הגשמית והרוחנית”.</w:t>
      </w:r>
    </w:p>
    <w:p w14:paraId="409563A4" w14:textId="2819D2DC"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 xml:space="preserve">זמן לא רב אחרי בואו </w:t>
      </w:r>
      <w:proofErr w:type="spellStart"/>
      <w:r>
        <w:rPr>
          <w:rtl/>
        </w:rPr>
        <w:t>לסלבודקה</w:t>
      </w:r>
      <w:proofErr w:type="spellEnd"/>
      <w:r>
        <w:rPr>
          <w:rtl/>
        </w:rPr>
        <w:t xml:space="preserve"> קרא הסבא </w:t>
      </w:r>
      <w:proofErr w:type="spellStart"/>
      <w:r>
        <w:rPr>
          <w:rtl/>
        </w:rPr>
        <w:t>לדולהינובר</w:t>
      </w:r>
      <w:proofErr w:type="spellEnd"/>
      <w:r>
        <w:rPr>
          <w:rtl/>
        </w:rPr>
        <w:t xml:space="preserve"> לשיחה אישית בדירתו הזעירה, שנבנתה מאחורי הקיר המערבי של בית המדרש, בפינה </w:t>
      </w:r>
      <w:proofErr w:type="spellStart"/>
      <w:r>
        <w:rPr>
          <w:rtl/>
        </w:rPr>
        <w:t>הצפונית־מערבית</w:t>
      </w:r>
      <w:proofErr w:type="spellEnd"/>
      <w:r>
        <w:rPr>
          <w:rtl/>
        </w:rPr>
        <w:t xml:space="preserve"> של בניין הישיבה</w:t>
      </w:r>
      <w:bookmarkStart w:id="4133" w:name="b4_text26"/>
      <w:bookmarkEnd w:id="4133"/>
      <w:r>
        <w:rPr>
          <w:sz w:val="18"/>
          <w:szCs w:val="18"/>
          <w:vertAlign w:val="superscript"/>
          <w:rtl/>
        </w:rPr>
        <w:fldChar w:fldCharType="begin" w:dirty="true"/>
      </w:r>
      <w:r>
        <w:rPr>
          <w:sz w:val="18"/>
          <w:szCs w:val="18"/>
          <w:vertAlign w:val="superscript"/>
          <w:rtl/>
        </w:rPr>
        <w:instrText xml:space="preserve"> REF b4_note26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26</w:t>
      </w:r>
      <w:r>
        <w:rPr>
          <w:sz w:val="18"/>
          <w:szCs w:val="18"/>
          <w:vertAlign w:val="superscript"/>
          <w:rtl/>
        </w:rPr>
        <w:fldChar w:fldCharType="end"/>
      </w:r>
      <w:r>
        <w:rPr>
          <w:rtl/>
        </w:rPr>
        <w:t>. צדו הארוך של הבניין, הקיר הצפוני, היה מקביל לרחוב גלזר, ולא הייתה בו כניסה. ארון הקודש ניצב בקיר המזרחי, ולכן הייתה כניסת הישיבה בקיר המערבי, מול ארון הקודש. כדי להגיע אליה היו פונים מן הרחוב דרומה, אל החצר שלפני הכניסה, ואחר כך שמאלה, מזרחה. הנכנס לחצר ראה מיד את מעונו של הסבא, שבלט מן הבניין לכיוונו.</w:t>
      </w:r>
    </w:p>
    <w:bookmarkStart w:id="4134" w:name="b4_note26"/>
    <w:p w14:paraId="3E1C59A1" w14:textId="77777777" w:rsidR="00AB3647" w:rsidRDefault="00000000" w:rsidP="007923E9">
      <w:pPr>
        <w:spacing w:before="120" w:after="100" w:line="276" w:lineRule="auto"/>
        <w:jc w:val="both"/>
      </w:pPr>
      <w:r>
        <w:fldChar w:fldCharType="begin" w:dirty="true"/>
      </w:r>
      <w:r>
        <w:instrText>HYPERLINK \l "b4_text26" \h</w:instrText>
      </w:r>
      <w:r>
        <w:fldChar w:fldCharType="separate"/>
      </w:r>
      <w:r>
        <w:rPr>
          <w:b/>
          <w:bCs/>
          <w:rtl/>
        </w:rPr>
        <w:t>26</w:t>
      </w:r>
      <w:r>
        <w:rPr>
          <w:b/>
          <w:bCs/>
        </w:rPr>
        <w:fldChar w:fldCharType="end"/>
      </w:r>
      <w:bookmarkEnd w:id="4134"/>
      <w:r>
        <w:rPr>
          <w:rtl/>
        </w:rPr>
        <w:t xml:space="preserve"> ר׳ </w:t>
      </w:r>
      <w:proofErr w:type="spellStart"/>
      <w:r>
        <w:rPr>
          <w:rtl/>
        </w:rPr>
        <w:t xml:space="preserve">בער־הירש</w:t>
      </w:r>
      <w:proofErr w:type="spellEnd"/>
      <w:r>
        <w:rPr>
          <w:rtl/>
        </w:rPr>
        <w:t xml:space="preserve">, שאשתו עברה </w:t>
      </w:r>
      <w:proofErr w:type="spellStart"/>
      <w:r>
        <w:rPr>
          <w:rtl/>
        </w:rPr>
        <w:t>לסלבודקה</w:t>
      </w:r>
      <w:bookmarkStart w:id="4135" w:name="_fnr3127"/>
      <w:proofErr w:type="spellEnd"/>
      <w:r>
        <w:rPr>
          <w:vertAlign w:val="superscript"/>
          <w:rtl/>
        </w:rPr>
        <w:footnoteReference w:id="3135" w:customMarkFollows="0"/>
      </w:r>
      <w:bookmarkEnd w:id="4135"/>
      <w:r>
        <w:rPr>
          <w:rtl/>
        </w:rPr>
        <w:t xml:space="preserve"> לפני אשת הסבא </w:t>
      </w:r>
      <w:proofErr w:type="spellStart"/>
      <w:r>
        <w:rPr>
          <w:rtl/>
        </w:rPr>
        <w:t>מסלבודקה</w:t>
      </w:r>
      <w:proofErr w:type="spellEnd"/>
      <w:r>
        <w:rPr>
          <w:rtl/>
        </w:rPr>
        <w:t xml:space="preserve">, התגורר בדירה הזאת </w:t>
      </w:r>
      <w:proofErr w:type="spellStart"/>
      <w:r>
        <w:rPr>
          <w:rtl/>
        </w:rPr>
        <w:t>זמן־מה</w:t>
      </w:r>
      <w:proofErr w:type="spellEnd"/>
      <w:r>
        <w:rPr>
          <w:rtl/>
        </w:rPr>
        <w:t xml:space="preserve"> קודם לכן</w:t>
      </w:r>
      <w:bookmarkStart w:id="4136" w:name="_fnr3128"/>
      <w:r>
        <w:rPr>
          <w:vertAlign w:val="superscript"/>
          <w:rtl/>
        </w:rPr>
        <w:footnoteReference w:id="3136" w:customMarkFollows="0"/>
      </w:r>
      <w:bookmarkEnd w:id="4136"/>
      <w:r>
        <w:rPr>
          <w:rtl/>
        </w:rPr>
        <w:t xml:space="preserve">. לפי נכדת הסבא </w:t>
      </w:r>
      <w:proofErr w:type="spellStart"/>
      <w:r>
        <w:rPr>
          <w:rtl/>
        </w:rPr>
        <w:t>מסלבודקה</w:t>
      </w:r>
      <w:proofErr w:type="spellEnd"/>
      <w:r>
        <w:rPr>
          <w:rtl/>
        </w:rPr>
        <w:t xml:space="preserve"> </w:t>
      </w:r>
      <w:proofErr w:type="spellStart"/>
      <w:r>
        <w:rPr>
          <w:rtl/>
        </w:rPr>
        <w:t>רבקה־לאה</w:t>
      </w:r>
      <w:proofErr w:type="spellEnd"/>
      <w:r>
        <w:rPr>
          <w:rtl/>
        </w:rPr>
        <w:t xml:space="preserve"> פרבר</w:t>
      </w:r>
      <w:bookmarkStart w:id="4137" w:name="_fnr3129"/>
      <w:r>
        <w:rPr>
          <w:vertAlign w:val="superscript"/>
          <w:rtl/>
        </w:rPr>
        <w:footnoteReference w:id="3137" w:customMarkFollows="0"/>
      </w:r>
      <w:bookmarkEnd w:id="4137"/>
      <w:r>
        <w:rPr>
          <w:rtl/>
        </w:rPr>
        <w:t xml:space="preserve">, הסבא עבר לבניין הישיבה לפני שאשתו עברה מקלם </w:t>
      </w:r>
      <w:proofErr w:type="spellStart"/>
      <w:r>
        <w:rPr>
          <w:rtl/>
        </w:rPr>
        <w:t>לסלבודקה</w:t>
      </w:r>
      <w:proofErr w:type="spellEnd"/>
      <w:r>
        <w:rPr>
          <w:rtl/>
        </w:rPr>
        <w:t>, וקיבלתי זאת כעובדה, למרות הסתירה שבדברי כץ</w:t>
      </w:r>
      <w:bookmarkStart w:id="4138" w:name="_fnr3130"/>
      <w:r>
        <w:rPr>
          <w:vertAlign w:val="superscript"/>
          <w:rtl/>
        </w:rPr>
        <w:footnoteReference w:id="3138" w:customMarkFollows="0"/>
      </w:r>
      <w:bookmarkEnd w:id="4138"/>
      <w:r>
        <w:rPr>
          <w:rtl/>
        </w:rPr>
        <w:t xml:space="preserve">. לדעתי יצא ר׳ </w:t>
      </w:r>
      <w:proofErr w:type="spellStart"/>
      <w:r>
        <w:rPr>
          <w:rtl/>
        </w:rPr>
        <w:t xml:space="preserve">בער־הירש</w:t>
      </w:r>
      <w:proofErr w:type="spellEnd"/>
      <w:r>
        <w:rPr>
          <w:rtl/>
        </w:rPr>
        <w:t xml:space="preserve"> מבניין הישיבה בסביבות תרס״ד, כשבתו הבכורה מבין שלוש בנותיו התבגרה, ומגוריה סמוך לבית המדרש לא היו הולמים עוד. אפשר גם שיצא במועד אחר, כשקיבל בית משלו לא הרחק מן הישיבה, בפינת רחוב </w:t>
      </w:r>
      <w:proofErr w:type="spellStart"/>
      <w:r>
        <w:rPr>
          <w:rtl/>
        </w:rPr>
        <w:t>פנריו</w:t>
      </w:r>
      <w:proofErr w:type="spellEnd"/>
      <w:r>
        <w:rPr>
          <w:rtl/>
        </w:rPr>
        <w:t xml:space="preserve"> ורחוב קטן שכונה “סמטת הגויים”.</w:t>
      </w:r>
    </w:p>
    <w:p w14:paraId="60A7412A" w14:textId="77777777" w:rsidR="00AB3647" w:rsidRDefault="00000000" w:rsidP="007923E9">
      <w:pPr>
        <w:spacing w:before="120" w:after="100" w:line="276" w:lineRule="auto"/>
        <w:jc w:val="both"/>
      </w:pPr>
      <w:r>
        <w:rPr>
          <w:rtl/>
        </w:rPr>
        <w:t xml:space="preserve">לפי </w:t>
      </w:r>
      <w:proofErr w:type="spellStart"/>
      <w:r>
        <w:rPr>
          <w:rtl/>
        </w:rPr>
        <w:t>חיה־מרים</w:t>
      </w:r>
      <w:proofErr w:type="spellEnd"/>
      <w:r>
        <w:rPr>
          <w:rtl/>
        </w:rPr>
        <w:t xml:space="preserve"> </w:t>
      </w:r>
      <w:proofErr w:type="spellStart"/>
      <w:r>
        <w:rPr>
          <w:rtl/>
        </w:rPr>
        <w:t>שולמן</w:t>
      </w:r>
      <w:bookmarkStart w:id="4139" w:name="_fnr3131"/>
      <w:proofErr w:type="spellEnd"/>
      <w:r>
        <w:rPr>
          <w:vertAlign w:val="superscript"/>
          <w:rtl/>
        </w:rPr>
        <w:footnoteReference w:id="3139" w:customMarkFollows="0"/>
      </w:r>
      <w:bookmarkEnd w:id="4139"/>
      <w:r>
        <w:rPr>
          <w:rtl/>
        </w:rPr>
        <w:t xml:space="preserve">, היה ידוע בחוגי הישיבה שחמותו של ר׳ </w:t>
      </w:r>
      <w:proofErr w:type="spellStart"/>
      <w:r>
        <w:rPr>
          <w:rtl/>
        </w:rPr>
        <w:t xml:space="preserve">בער־הירש</w:t>
      </w:r>
      <w:proofErr w:type="spellEnd"/>
      <w:r>
        <w:rPr>
          <w:rtl/>
        </w:rPr>
        <w:t xml:space="preserve"> קנתה לו את הבית – ייתכן שעשתה זאת מפני בנותיו הגדלות. הרבנית </w:t>
      </w:r>
      <w:proofErr w:type="spellStart"/>
      <w:r>
        <w:rPr>
          <w:rtl/>
        </w:rPr>
        <w:t>שולמן</w:t>
      </w:r>
      <w:proofErr w:type="spellEnd"/>
      <w:r>
        <w:rPr>
          <w:rtl/>
        </w:rPr>
        <w:t xml:space="preserve"> סיפרה גם שכשכבשו הרוסים </w:t>
      </w:r>
      <w:r>
        <w:rPr>
          <w:rtl/>
        </w:rPr>
        <w:lastRenderedPageBreak/>
        <w:t xml:space="preserve">את ליטא </w:t>
      </w:r>
      <w:proofErr w:type="spellStart"/>
      <w:r>
        <w:rPr>
          <w:rtl/>
        </w:rPr>
        <w:t>בת״ש</w:t>
      </w:r>
      <w:proofErr w:type="spellEnd"/>
      <w:r>
        <w:rPr>
          <w:rtl/>
        </w:rPr>
        <w:t xml:space="preserve">, סגרו את הישיבה והחרימו את בניינה, ולקחו גם את בית ר׳ </w:t>
      </w:r>
      <w:proofErr w:type="spellStart"/>
      <w:r>
        <w:rPr>
          <w:rtl/>
        </w:rPr>
        <w:t xml:space="preserve">בער־הירש</w:t>
      </w:r>
      <w:proofErr w:type="spellEnd"/>
      <w:r>
        <w:rPr>
          <w:rtl/>
        </w:rPr>
        <w:t xml:space="preserve"> בטענה: “זה אותו ארגון [כמו הישיבה]”. באותה עת התגורר בבית חתנו ר׳ אברהם </w:t>
      </w:r>
      <w:proofErr w:type="spellStart"/>
      <w:r>
        <w:rPr>
          <w:rtl/>
        </w:rPr>
        <w:t>גרודזינסקי</w:t>
      </w:r>
      <w:proofErr w:type="spellEnd"/>
      <w:r>
        <w:rPr>
          <w:rtl/>
        </w:rPr>
        <w:t>.</w:t>
      </w:r>
    </w:p>
    <w:p w14:paraId="0B7BD3A2" w14:textId="77777777" w:rsidR="00AB3647" w:rsidRDefault="00000000" w:rsidP="007923E9">
      <w:pPr>
        <w:spacing w:after="120" w:line="276" w:lineRule="auto"/>
        <w:jc w:val="both"/>
      </w:pPr>
      <w:r>
        <w:rPr>
          <w:rtl/>
        </w:rPr>
        <w:t xml:space="preserve">ר׳ </w:t>
      </w:r>
      <w:proofErr w:type="spellStart"/>
      <w:r>
        <w:rPr>
          <w:rtl/>
        </w:rPr>
        <w:t>משה־מרדכי</w:t>
      </w:r>
      <w:proofErr w:type="spellEnd"/>
      <w:r>
        <w:rPr>
          <w:rtl/>
        </w:rPr>
        <w:t xml:space="preserve"> ומשפחתו התגוררו בדירה אחרת, צמודה לקיר הישיבה, מעל דירת הסבא. לפי הרבנית </w:t>
      </w:r>
      <w:proofErr w:type="spellStart"/>
      <w:r>
        <w:rPr>
          <w:rtl/>
        </w:rPr>
        <w:t>שולמן</w:t>
      </w:r>
      <w:proofErr w:type="spellEnd"/>
      <w:r>
        <w:rPr>
          <w:rtl/>
        </w:rPr>
        <w:t>, אמיל [עובדיה] לחמן</w:t>
      </w:r>
      <w:bookmarkStart w:id="4140" w:name="_fnr3132"/>
      <w:r>
        <w:rPr>
          <w:vertAlign w:val="superscript"/>
          <w:rtl/>
        </w:rPr>
        <w:footnoteReference w:id="3140" w:customMarkFollows="0"/>
      </w:r>
      <w:bookmarkEnd w:id="4140"/>
      <w:r>
        <w:rPr>
          <w:rtl/>
        </w:rPr>
        <w:t xml:space="preserve"> מימן את בניית הדירות, וייעד אותן </w:t>
      </w:r>
      <w:proofErr w:type="spellStart"/>
      <w:r>
        <w:rPr>
          <w:rtl/>
        </w:rPr>
        <w:t>ל“ראש</w:t>
      </w:r>
      <w:proofErr w:type="spellEnd"/>
      <w:r>
        <w:rPr>
          <w:rtl/>
        </w:rPr>
        <w:t xml:space="preserve"> הישיבה”. לחמן התכוון לסבא, אבל הסבא </w:t>
      </w:r>
      <w:proofErr w:type="spellStart"/>
      <w:r>
        <w:rPr>
          <w:rtl/>
        </w:rPr>
        <w:t>מסלבודקה</w:t>
      </w:r>
      <w:proofErr w:type="spellEnd"/>
      <w:r>
        <w:rPr>
          <w:rtl/>
        </w:rPr>
        <w:t xml:space="preserve"> אמר שראש הישיבה הוא ר׳ </w:t>
      </w:r>
      <w:proofErr w:type="spellStart"/>
      <w:r>
        <w:rPr>
          <w:rtl/>
        </w:rPr>
        <w:t>משה־מרדכי</w:t>
      </w:r>
      <w:proofErr w:type="spellEnd"/>
      <w:r>
        <w:rPr>
          <w:rtl/>
        </w:rPr>
        <w:t xml:space="preserve"> ולא הוא, ומשום כך יש לתת </w:t>
      </w:r>
      <w:proofErr w:type="spellStart"/>
      <w:r>
        <w:rPr>
          <w:rtl/>
        </w:rPr>
        <w:t>לר</w:t>
      </w:r>
      <w:proofErr w:type="spellEnd"/>
      <w:r>
        <w:rPr>
          <w:rtl/>
        </w:rPr>
        <w:t xml:space="preserve">׳ </w:t>
      </w:r>
      <w:proofErr w:type="spellStart"/>
      <w:r>
        <w:rPr>
          <w:rtl/>
        </w:rPr>
        <w:t>משה־מרדכי</w:t>
      </w:r>
      <w:proofErr w:type="spellEnd"/>
      <w:r>
        <w:rPr>
          <w:rtl/>
        </w:rPr>
        <w:t xml:space="preserve"> אפשטיין את הדירה הטובה יותר, שבקומה העליונה. אפשר שטעם זה לא היה אלא אמתלה שנתן הסבא לבני משפחתו על שקיבל את הדירה הגרועה יותר. השווה כץ, “תנועת המוסר”, כרך ג</w:t>
      </w:r>
      <w:bookmarkStart w:id="4141" w:name="_fnr3133"/>
      <w:r>
        <w:rPr>
          <w:vertAlign w:val="superscript"/>
          <w:rtl/>
        </w:rPr>
        <w:footnoteReference w:id="3141" w:customMarkFollows="0"/>
      </w:r>
      <w:bookmarkEnd w:id="4141"/>
      <w:r>
        <w:rPr>
          <w:rtl/>
        </w:rPr>
        <w:t>, על הימנעותו מלקחת לעצמו מאכלים או חפצים טובים מאלה שהיו לאחרים.</w:t>
      </w:r>
    </w:p>
    <w:p w14:paraId="2872AC7E" w14:textId="01DCFCC0"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דירת הסבא – וליתר דיוק צריפו – הייתה חדר יחיד, קטן, נמוך תקרה וכמעט מרובע, שקירו הרחוק היה משותף לצריף ולישיבה</w:t>
      </w:r>
      <w:bookmarkStart w:id="4142" w:name="b4_text27"/>
      <w:bookmarkEnd w:id="4142"/>
      <w:r>
        <w:rPr>
          <w:sz w:val="18"/>
          <w:szCs w:val="18"/>
          <w:vertAlign w:val="superscript"/>
          <w:rtl/>
        </w:rPr>
        <w:fldChar w:fldCharType="begin" w:dirty="true"/>
      </w:r>
      <w:r>
        <w:rPr>
          <w:sz w:val="18"/>
          <w:szCs w:val="18"/>
          <w:vertAlign w:val="superscript"/>
          <w:rtl/>
        </w:rPr>
        <w:instrText xml:space="preserve"> REF b4_note27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27</w:t>
      </w:r>
      <w:r>
        <w:rPr>
          <w:sz w:val="18"/>
          <w:szCs w:val="18"/>
          <w:vertAlign w:val="superscript"/>
          <w:rtl/>
        </w:rPr>
        <w:fldChar w:fldCharType="end"/>
      </w:r>
      <w:r>
        <w:rPr>
          <w:rtl/>
        </w:rPr>
        <w:t>. גבוה בקיר זה, סמוך לתקרה, היה פתח קטן. מי שעמד על סולם מדרגות יכול היה להציץ דרכו אל בית המדרש ולראותו לכל אורכו, מן הספסלים האחוריים ועד ארון הקודש</w:t>
      </w:r>
      <w:bookmarkStart w:id="4143" w:name="b4_text28"/>
      <w:bookmarkEnd w:id="4143"/>
      <w:r>
        <w:rPr>
          <w:sz w:val="18"/>
          <w:szCs w:val="18"/>
          <w:vertAlign w:val="superscript"/>
          <w:rtl/>
        </w:rPr>
        <w:fldChar w:fldCharType="begin" w:dirty="true"/>
      </w:r>
      <w:r>
        <w:rPr>
          <w:sz w:val="18"/>
          <w:szCs w:val="18"/>
          <w:vertAlign w:val="superscript"/>
          <w:rtl/>
        </w:rPr>
        <w:instrText xml:space="preserve"> REF b4_note28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28</w:t>
      </w:r>
      <w:r>
        <w:rPr>
          <w:sz w:val="18"/>
          <w:szCs w:val="18"/>
          <w:vertAlign w:val="superscript"/>
          <w:rtl/>
        </w:rPr>
        <w:fldChar w:fldCharType="end"/>
      </w:r>
      <w:r>
        <w:rPr>
          <w:rtl/>
        </w:rPr>
        <w:t>.</w:t>
      </w:r>
    </w:p>
    <w:bookmarkStart w:id="4144" w:name="b4_note27"/>
    <w:p w14:paraId="525031EB" w14:textId="77777777" w:rsidR="00AB3647" w:rsidRDefault="00000000" w:rsidP="007923E9">
      <w:pPr>
        <w:spacing w:before="120" w:after="100" w:line="276" w:lineRule="auto"/>
        <w:jc w:val="both"/>
      </w:pPr>
      <w:r>
        <w:fldChar w:fldCharType="begin" w:dirty="true"/>
      </w:r>
      <w:r>
        <w:instrText>HYPERLINK \l "b4_text27" \h</w:instrText>
      </w:r>
      <w:r>
        <w:fldChar w:fldCharType="separate"/>
      </w:r>
      <w:r>
        <w:rPr>
          <w:b/>
          <w:bCs/>
          <w:rtl/>
        </w:rPr>
        <w:t>27</w:t>
      </w:r>
      <w:r>
        <w:rPr>
          <w:b/>
          <w:bCs/>
        </w:rPr>
        <w:fldChar w:fldCharType="end"/>
      </w:r>
      <w:bookmarkEnd w:id="4144"/>
      <w:r>
        <w:rPr>
          <w:rtl/>
        </w:rPr>
        <w:t xml:space="preserve"> תיאור הדירה הורכב מראיונות עם ארבע מנכדות הסבא: </w:t>
      </w:r>
      <w:proofErr w:type="spellStart"/>
      <w:r>
        <w:rPr>
          <w:rtl/>
        </w:rPr>
        <w:t>חיה־מרים</w:t>
      </w:r>
      <w:proofErr w:type="spellEnd"/>
      <w:r>
        <w:rPr>
          <w:rtl/>
        </w:rPr>
        <w:t xml:space="preserve"> </w:t>
      </w:r>
      <w:proofErr w:type="spellStart"/>
      <w:r>
        <w:rPr>
          <w:rtl/>
        </w:rPr>
        <w:t>שר־שולמן</w:t>
      </w:r>
      <w:proofErr w:type="spellEnd"/>
      <w:r>
        <w:rPr>
          <w:rtl/>
        </w:rPr>
        <w:t>, ילידת תרס״ו</w:t>
      </w:r>
      <w:bookmarkStart w:id="4145" w:name="_fnr3134"/>
      <w:r>
        <w:rPr>
          <w:vertAlign w:val="superscript"/>
          <w:rtl/>
        </w:rPr>
        <w:footnoteReference w:id="3142" w:customMarkFollows="0"/>
      </w:r>
      <w:bookmarkEnd w:id="4145"/>
      <w:r>
        <w:rPr>
          <w:rtl/>
        </w:rPr>
        <w:t xml:space="preserve">; </w:t>
      </w:r>
      <w:proofErr w:type="spellStart"/>
      <w:r>
        <w:rPr>
          <w:rtl/>
        </w:rPr>
        <w:t>רבקה־לאה</w:t>
      </w:r>
      <w:proofErr w:type="spellEnd"/>
      <w:r>
        <w:rPr>
          <w:rtl/>
        </w:rPr>
        <w:t xml:space="preserve"> </w:t>
      </w:r>
      <w:proofErr w:type="spellStart"/>
      <w:r>
        <w:rPr>
          <w:rtl/>
        </w:rPr>
        <w:t>פלצ׳ינסקי־פרבר</w:t>
      </w:r>
      <w:proofErr w:type="spellEnd"/>
      <w:r>
        <w:rPr>
          <w:rtl/>
        </w:rPr>
        <w:t>, ילידת תר״ס</w:t>
      </w:r>
      <w:bookmarkStart w:id="4146" w:name="_fnr3135"/>
      <w:r>
        <w:rPr>
          <w:vertAlign w:val="superscript"/>
          <w:rtl/>
        </w:rPr>
        <w:footnoteReference w:id="3143" w:customMarkFollows="0"/>
      </w:r>
      <w:bookmarkEnd w:id="4146"/>
      <w:r>
        <w:rPr>
          <w:rtl/>
        </w:rPr>
        <w:t xml:space="preserve">; מרים </w:t>
      </w:r>
      <w:proofErr w:type="spellStart"/>
      <w:r>
        <w:rPr>
          <w:rtl/>
        </w:rPr>
        <w:t>פלצ׳ינסקי־גולדשמידט</w:t>
      </w:r>
      <w:proofErr w:type="spellEnd"/>
      <w:r>
        <w:rPr>
          <w:rtl/>
        </w:rPr>
        <w:t>, ילידת תרע״ד</w:t>
      </w:r>
      <w:bookmarkStart w:id="4147" w:name="_fnr3136"/>
      <w:r>
        <w:rPr>
          <w:vertAlign w:val="superscript"/>
          <w:rtl/>
        </w:rPr>
        <w:footnoteReference w:id="3144" w:customMarkFollows="0"/>
      </w:r>
      <w:bookmarkEnd w:id="4147"/>
      <w:r>
        <w:rPr>
          <w:rtl/>
        </w:rPr>
        <w:t xml:space="preserve">; </w:t>
      </w:r>
      <w:proofErr w:type="spellStart"/>
      <w:r>
        <w:rPr>
          <w:rtl/>
        </w:rPr>
        <w:t>וחנה־מרים</w:t>
      </w:r>
      <w:proofErr w:type="spellEnd"/>
      <w:r>
        <w:rPr>
          <w:rtl/>
        </w:rPr>
        <w:t xml:space="preserve"> </w:t>
      </w:r>
      <w:proofErr w:type="spellStart"/>
      <w:r>
        <w:rPr>
          <w:rtl/>
        </w:rPr>
        <w:t>פינקל־שמואלביץ</w:t>
      </w:r>
      <w:bookmarkStart w:id="4148" w:name="_fnr3137"/>
      <w:proofErr w:type="spellEnd"/>
      <w:r>
        <w:rPr>
          <w:vertAlign w:val="superscript"/>
          <w:rtl/>
        </w:rPr>
        <w:footnoteReference w:id="3145" w:customMarkFollows="0"/>
      </w:r>
      <w:bookmarkEnd w:id="4148"/>
      <w:r>
        <w:rPr>
          <w:rtl/>
        </w:rPr>
        <w:t>, ילידת תרס״ז</w:t>
      </w:r>
      <w:bookmarkStart w:id="4149" w:name="_fnr3138"/>
      <w:r>
        <w:rPr>
          <w:vertAlign w:val="superscript"/>
          <w:rtl/>
        </w:rPr>
        <w:footnoteReference w:id="3146" w:customMarkFollows="0"/>
      </w:r>
      <w:bookmarkEnd w:id="4149"/>
      <w:r>
        <w:rPr>
          <w:rtl/>
        </w:rPr>
        <w:t>.</w:t>
      </w:r>
    </w:p>
    <w:bookmarkStart w:id="4150" w:name="b4_note28"/>
    <w:p w14:paraId="6997DD89" w14:textId="77777777" w:rsidR="00AB3647" w:rsidRDefault="00000000" w:rsidP="007923E9">
      <w:pPr>
        <w:spacing w:before="120" w:after="100" w:line="276" w:lineRule="auto"/>
        <w:jc w:val="both"/>
      </w:pPr>
      <w:r>
        <w:fldChar w:fldCharType="begin" w:dirty="true"/>
      </w:r>
      <w:r>
        <w:instrText>HYPERLINK \l "b4_text28" \h</w:instrText>
      </w:r>
      <w:r>
        <w:fldChar w:fldCharType="separate"/>
      </w:r>
      <w:r>
        <w:rPr>
          <w:b/>
          <w:bCs/>
          <w:rtl/>
        </w:rPr>
        <w:t>28</w:t>
      </w:r>
      <w:r>
        <w:rPr>
          <w:b/>
          <w:bCs/>
        </w:rPr>
        <w:fldChar w:fldCharType="end"/>
      </w:r>
      <w:bookmarkEnd w:id="4150"/>
      <w:r>
        <w:rPr>
          <w:rtl/>
        </w:rPr>
        <w:t xml:space="preserve"> הסבתא הייתה מגישה דרך הפתח הזה</w:t>
      </w:r>
      <w:bookmarkStart w:id="4151" w:name="_fnr3139"/>
      <w:r>
        <w:rPr>
          <w:vertAlign w:val="superscript"/>
          <w:rtl/>
        </w:rPr>
        <w:footnoteReference w:id="3147" w:customMarkFollows="0"/>
      </w:r>
      <w:bookmarkEnd w:id="4151"/>
      <w:r>
        <w:rPr>
          <w:rtl/>
        </w:rPr>
        <w:t xml:space="preserve"> תה לתלמידים שלמדו עד שעה מאוחרת בלילות חמישי. מרוב אהבתה לתורה</w:t>
      </w:r>
      <w:bookmarkStart w:id="4152" w:name="_fnr3140"/>
      <w:r>
        <w:rPr>
          <w:vertAlign w:val="superscript"/>
          <w:rtl/>
        </w:rPr>
        <w:footnoteReference w:id="3148" w:customMarkFollows="0"/>
      </w:r>
      <w:bookmarkEnd w:id="4152"/>
      <w:r>
        <w:rPr>
          <w:rtl/>
        </w:rPr>
        <w:t xml:space="preserve"> לא היה לה קשה מדי לעלות בסולם המדרגות עם התה החם – כך סיפרה </w:t>
      </w:r>
      <w:proofErr w:type="spellStart"/>
      <w:r>
        <w:rPr>
          <w:rtl/>
        </w:rPr>
        <w:t>חנה־מרים</w:t>
      </w:r>
      <w:proofErr w:type="spellEnd"/>
      <w:r>
        <w:rPr>
          <w:rtl/>
        </w:rPr>
        <w:t xml:space="preserve"> </w:t>
      </w:r>
      <w:proofErr w:type="spellStart"/>
      <w:r>
        <w:rPr>
          <w:rtl/>
        </w:rPr>
        <w:t>שמואלביץ</w:t>
      </w:r>
      <w:bookmarkStart w:id="4153" w:name="_fnr3141"/>
      <w:proofErr w:type="spellEnd"/>
      <w:r>
        <w:rPr>
          <w:vertAlign w:val="superscript"/>
          <w:rtl/>
        </w:rPr>
        <w:footnoteReference w:id="3149" w:customMarkFollows="0"/>
      </w:r>
      <w:bookmarkEnd w:id="4153"/>
      <w:r>
        <w:rPr>
          <w:rtl/>
        </w:rPr>
        <w:t xml:space="preserve">. כשהזכרתי את הדבר לפני בת דודתה </w:t>
      </w:r>
      <w:proofErr w:type="spellStart"/>
      <w:r>
        <w:rPr>
          <w:rtl/>
        </w:rPr>
        <w:t>חיה־מרים</w:t>
      </w:r>
      <w:proofErr w:type="spellEnd"/>
      <w:r>
        <w:rPr>
          <w:rtl/>
        </w:rPr>
        <w:t xml:space="preserve"> </w:t>
      </w:r>
      <w:proofErr w:type="spellStart"/>
      <w:r>
        <w:rPr>
          <w:rtl/>
        </w:rPr>
        <w:t>שולמן</w:t>
      </w:r>
      <w:proofErr w:type="spellEnd"/>
      <w:r>
        <w:rPr>
          <w:rtl/>
        </w:rPr>
        <w:t>, הוסיפה זו</w:t>
      </w:r>
      <w:bookmarkStart w:id="4154" w:name="_fnr3142"/>
      <w:r>
        <w:rPr>
          <w:vertAlign w:val="superscript"/>
          <w:rtl/>
        </w:rPr>
        <w:footnoteReference w:id="3150" w:customMarkFollows="0"/>
      </w:r>
      <w:bookmarkEnd w:id="4154"/>
      <w:r>
        <w:rPr>
          <w:rtl/>
        </w:rPr>
        <w:t xml:space="preserve"> שלפעמים הגישה הסבתא דרך הפתח גם בשר ותוספות. “סבתי הייתה לפעמים ‘מקבלת’ בחורים לישיבה”, אמרה הרבנית </w:t>
      </w:r>
      <w:proofErr w:type="spellStart"/>
      <w:r>
        <w:rPr>
          <w:rtl/>
        </w:rPr>
        <w:t>שולמן</w:t>
      </w:r>
      <w:proofErr w:type="spellEnd"/>
      <w:r>
        <w:rPr>
          <w:rtl/>
        </w:rPr>
        <w:t>. “למועמדים שנדחו אמרה: ‘קחו גמרא לבית המדרש ושבו ללמוד. מלגה מן הישיבה לא תקבלו, אבל אני אאכיל אתכם’”. וכך עשתה, דרך אותו פתח.</w:t>
      </w:r>
    </w:p>
    <w:p w14:paraId="021AB075" w14:textId="15D8F8B8"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lastRenderedPageBreak/>
        <w:t>כשנכנס אבי לצריף, ראה לפניו חבית מים נמוכה, המכוסה במכסה עשוי עשב קלוע, גדול דיו לשבת עליו. מעבר לה ניצב תנור הסקה ארוך, שהשתרע לעבר הקצה הרחוק של החדר. התנור היה עיקרו של המעון, שכן חילק את החדר לשניים: ברצועת החלל הארוכה שמשמאל לתנור המתין הסבא לקבלו, ומימין היה מטבח קטן. במטבחון היו שני חלונות</w:t>
      </w:r>
      <w:bookmarkStart w:id="4155" w:name="b4_text29"/>
      <w:bookmarkEnd w:id="4155"/>
      <w:r>
        <w:rPr>
          <w:sz w:val="18"/>
          <w:szCs w:val="18"/>
          <w:vertAlign w:val="superscript"/>
          <w:rtl/>
        </w:rPr>
        <w:fldChar w:fldCharType="begin" w:dirty="true"/>
      </w:r>
      <w:r>
        <w:rPr>
          <w:sz w:val="18"/>
          <w:szCs w:val="18"/>
          <w:vertAlign w:val="superscript"/>
          <w:rtl/>
        </w:rPr>
        <w:instrText xml:space="preserve"> REF b4_note29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29</w:t>
      </w:r>
      <w:r>
        <w:rPr>
          <w:sz w:val="18"/>
          <w:szCs w:val="18"/>
          <w:vertAlign w:val="superscript"/>
          <w:rtl/>
        </w:rPr>
        <w:fldChar w:fldCharType="end"/>
      </w:r>
      <w:r>
        <w:rPr>
          <w:rtl/>
        </w:rPr>
        <w:t xml:space="preserve"> בחזית, שמהם נראו הבחורים העוברים ליד דלת הצריף בדרכם לכניסת הישיבה.</w:t>
      </w:r>
    </w:p>
    <w:bookmarkStart w:id="4156" w:name="b4_note29"/>
    <w:p w14:paraId="54F02A41" w14:textId="77777777" w:rsidR="00AB3647" w:rsidRDefault="00000000" w:rsidP="007923E9">
      <w:pPr>
        <w:spacing w:before="120" w:after="100" w:line="276" w:lineRule="auto"/>
        <w:jc w:val="both"/>
      </w:pPr>
      <w:r>
        <w:fldChar w:fldCharType="begin" w:dirty="true"/>
      </w:r>
      <w:r>
        <w:instrText>HYPERLINK \l "b4_text29" \h</w:instrText>
      </w:r>
      <w:r>
        <w:fldChar w:fldCharType="separate"/>
      </w:r>
      <w:r>
        <w:rPr>
          <w:b/>
          <w:bCs/>
          <w:rtl/>
        </w:rPr>
        <w:t>29</w:t>
      </w:r>
      <w:r>
        <w:rPr>
          <w:b/>
          <w:bCs/>
        </w:rPr>
        <w:fldChar w:fldCharType="end"/>
      </w:r>
      <w:bookmarkEnd w:id="4156"/>
      <w:r>
        <w:rPr>
          <w:rtl/>
        </w:rPr>
        <w:t xml:space="preserve"> “כשסבתי עברה מקלם, הועמדה מחיצה [ממערב למזרח] בין החלונות, ונוצר ‘חדר הסבתא’ נפרד, בעל חלון אחד, קרוב יותר לפינת הצריף מן המטבח שנותר, שגם בו היה חלון אחד”, אמרה </w:t>
      </w:r>
      <w:proofErr w:type="spellStart"/>
      <w:r>
        <w:rPr>
          <w:rtl/>
        </w:rPr>
        <w:t>חיה־מרים</w:t>
      </w:r>
      <w:proofErr w:type="spellEnd"/>
      <w:r>
        <w:rPr>
          <w:rtl/>
        </w:rPr>
        <w:t xml:space="preserve"> </w:t>
      </w:r>
      <w:proofErr w:type="spellStart"/>
      <w:r>
        <w:rPr>
          <w:rtl/>
        </w:rPr>
        <w:t>שולמן</w:t>
      </w:r>
      <w:bookmarkStart w:id="4157" w:name="_fnr3143"/>
      <w:proofErr w:type="spellEnd"/>
      <w:r>
        <w:rPr>
          <w:vertAlign w:val="superscript"/>
          <w:rtl/>
        </w:rPr>
        <w:footnoteReference w:id="3151" w:customMarkFollows="0"/>
      </w:r>
      <w:bookmarkEnd w:id="4157"/>
      <w:r>
        <w:rPr>
          <w:rtl/>
        </w:rPr>
        <w:t>.</w:t>
      </w:r>
    </w:p>
    <w:p w14:paraId="1C91F0D6" w14:textId="3FCA605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סמוך לאמצע אורכו של התנור עברה מחיצה לרוחב צד המטבח של החדר, והפרידה את חלקו האחורי של הצריף, ששימש כנראה לשינה. בצד הסבא, “חדרו”, היו שני חלונות בצד הפונה לרחוב גלזר</w:t>
      </w:r>
      <w:bookmarkStart w:id="4158" w:name="b4_text30"/>
      <w:bookmarkEnd w:id="4158"/>
      <w:r>
        <w:rPr>
          <w:sz w:val="18"/>
          <w:szCs w:val="18"/>
          <w:vertAlign w:val="superscript"/>
          <w:rtl/>
        </w:rPr>
        <w:fldChar w:fldCharType="begin" w:dirty="true"/>
      </w:r>
      <w:r>
        <w:rPr>
          <w:sz w:val="18"/>
          <w:szCs w:val="18"/>
          <w:vertAlign w:val="superscript"/>
          <w:rtl/>
        </w:rPr>
        <w:instrText xml:space="preserve"> REF b4_note30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30</w:t>
      </w:r>
      <w:r>
        <w:rPr>
          <w:sz w:val="18"/>
          <w:szCs w:val="18"/>
          <w:vertAlign w:val="superscript"/>
          <w:rtl/>
        </w:rPr>
        <w:fldChar w:fldCharType="end"/>
      </w:r>
      <w:r>
        <w:rPr>
          <w:rtl/>
        </w:rPr>
        <w:t xml:space="preserve">, ושולחן </w:t>
      </w:r>
      <w:proofErr w:type="spellStart"/>
      <w:r>
        <w:rPr>
          <w:rtl/>
        </w:rPr>
        <w:t>ולצדו</w:t>
      </w:r>
      <w:proofErr w:type="spellEnd"/>
      <w:r>
        <w:rPr>
          <w:rtl/>
        </w:rPr>
        <w:t xml:space="preserve"> ספסלים, שנמשך לאורך החדר והסתיים סמוך לקיר המשותף לצריף ולבניין הישיבה.</w:t>
      </w:r>
    </w:p>
    <w:bookmarkStart w:id="4159" w:name="b4_note30"/>
    <w:p w14:paraId="25D0F778" w14:textId="77777777" w:rsidR="00AB3647" w:rsidRDefault="00000000" w:rsidP="007923E9">
      <w:pPr>
        <w:spacing w:before="120" w:after="100" w:line="276" w:lineRule="auto"/>
        <w:jc w:val="both"/>
      </w:pPr>
      <w:r>
        <w:fldChar w:fldCharType="begin" w:dirty="true"/>
      </w:r>
      <w:r>
        <w:instrText>HYPERLINK \l "b4_text30" \h</w:instrText>
      </w:r>
      <w:r>
        <w:fldChar w:fldCharType="separate"/>
      </w:r>
      <w:r>
        <w:rPr>
          <w:b/>
          <w:bCs/>
          <w:rtl/>
        </w:rPr>
        <w:t>30</w:t>
      </w:r>
      <w:r>
        <w:rPr>
          <w:b/>
          <w:bCs/>
        </w:rPr>
        <w:fldChar w:fldCharType="end"/>
      </w:r>
      <w:bookmarkEnd w:id="4159"/>
      <w:r>
        <w:rPr>
          <w:rtl/>
        </w:rPr>
        <w:t xml:space="preserve"> </w:t>
      </w:r>
      <w:proofErr w:type="spellStart"/>
      <w:r>
        <w:rPr>
          <w:rtl/>
        </w:rPr>
        <w:t>חיה־מרים</w:t>
      </w:r>
      <w:proofErr w:type="spellEnd"/>
      <w:r>
        <w:rPr>
          <w:rtl/>
        </w:rPr>
        <w:t xml:space="preserve"> </w:t>
      </w:r>
      <w:proofErr w:type="spellStart"/>
      <w:r>
        <w:rPr>
          <w:rtl/>
        </w:rPr>
        <w:t>שולמן</w:t>
      </w:r>
      <w:bookmarkStart w:id="4160" w:name="_fnr3144"/>
      <w:proofErr w:type="spellEnd"/>
      <w:r>
        <w:rPr>
          <w:vertAlign w:val="superscript"/>
          <w:rtl/>
        </w:rPr>
        <w:footnoteReference w:id="3152" w:customMarkFollows="0"/>
      </w:r>
      <w:bookmarkEnd w:id="4160"/>
      <w:r>
        <w:rPr>
          <w:rtl/>
        </w:rPr>
        <w:t xml:space="preserve"> סיפרה לי מעשה נאה הקשור למיקום החלונות, הן במטבחון הן בחדר הסבא. ביום שישי בחנוכה, אחר הצהריים, רצתה הסבתא להדליק נרות שבת מוקדם, כמנהגה בכל שבוע. אבל הסבא אמר שמוקדם מדי בשבילו להדליק נרות חנוכה, ואותם צריך להדליק תחילה. אבי המרואיינת היה גאה בכך שהשיב את שלום הבית: הוא הציע לסבתא להדליק נרות חנוכה לעצמה.</w:t>
      </w:r>
    </w:p>
    <w:p w14:paraId="5CB27322" w14:textId="77777777" w:rsidR="00AB3647" w:rsidRDefault="00000000" w:rsidP="007923E9">
      <w:pPr>
        <w:spacing w:before="120" w:after="100" w:line="276" w:lineRule="auto"/>
        <w:jc w:val="both"/>
      </w:pPr>
      <w:r>
        <w:rPr>
          <w:rtl/>
        </w:rPr>
        <w:t xml:space="preserve">הסבתא קיבלה את עצתו ואמרה: “איזה רעיון מצוין. ידליק הסבא את נרותיו בחלונותיו הפונים לרחוב גלזר, ויעבור שם זגג אחד או שניים ויראה אותם; אני אדליק את נרותיי בחלון חדרי, ששם עוברים ששים </w:t>
      </w:r>
      <w:proofErr w:type="spellStart"/>
      <w:r>
        <w:rPr>
          <w:rtl/>
        </w:rPr>
        <w:t>רבוא</w:t>
      </w:r>
      <w:proofErr w:type="spellEnd"/>
      <w:r>
        <w:rPr>
          <w:rtl/>
        </w:rPr>
        <w:t>”. אהבתה לתורה הייתה גדולה כל כך, עד שתלמידי הישיבה העוברים ורואים את נרות החנוכה שלה היו בעיניה ציבור שמספרו אינו פחות ממספר היהודים שקיבלו את התורה בהר סיני</w:t>
      </w:r>
      <w:bookmarkStart w:id="4161" w:name="_fnr3145"/>
      <w:r>
        <w:rPr>
          <w:vertAlign w:val="superscript"/>
          <w:rtl/>
        </w:rPr>
        <w:footnoteReference w:id="3153" w:customMarkFollows="0"/>
      </w:r>
      <w:bookmarkEnd w:id="4161"/>
      <w:r>
        <w:rPr>
          <w:rtl/>
        </w:rPr>
        <w:t>.</w:t>
      </w:r>
    </w:p>
    <w:p w14:paraId="44F7D690" w14:textId="671217A8"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 xml:space="preserve">כשקרא לאורחו להיכנס, ישב הסבא על כיסא פשוט סמוך לכניסת חדרו, בקצה השולחן. סמוך לקצה הרחוק של השולחן, לעבר ראשו, הבחין </w:t>
      </w:r>
      <w:proofErr w:type="spellStart"/>
      <w:r>
        <w:rPr>
          <w:rtl/>
        </w:rPr>
        <w:t>הדולהינובר</w:t>
      </w:r>
      <w:proofErr w:type="spellEnd"/>
      <w:r>
        <w:rPr>
          <w:rtl/>
        </w:rPr>
        <w:t xml:space="preserve"> בסדין התלוי מאמצע קצהו האחורי של התנור</w:t>
      </w:r>
      <w:bookmarkStart w:id="4162" w:name="b4_text31"/>
      <w:bookmarkEnd w:id="4162"/>
      <w:r>
        <w:rPr>
          <w:sz w:val="18"/>
          <w:szCs w:val="18"/>
          <w:vertAlign w:val="superscript"/>
          <w:rtl/>
        </w:rPr>
        <w:fldChar w:fldCharType="begin" w:dirty="true"/>
      </w:r>
      <w:r>
        <w:rPr>
          <w:sz w:val="18"/>
          <w:szCs w:val="18"/>
          <w:vertAlign w:val="superscript"/>
          <w:rtl/>
        </w:rPr>
        <w:instrText xml:space="preserve"> REF b4_note31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31</w:t>
      </w:r>
      <w:r>
        <w:rPr>
          <w:sz w:val="18"/>
          <w:szCs w:val="18"/>
          <w:vertAlign w:val="superscript"/>
          <w:rtl/>
        </w:rPr>
        <w:fldChar w:fldCharType="end"/>
      </w:r>
      <w:r>
        <w:rPr>
          <w:rtl/>
        </w:rPr>
        <w:t xml:space="preserve"> ועד הקיר האחורי, כדי להפריד בין קצה מקום השינה</w:t>
      </w:r>
      <w:bookmarkStart w:id="4163" w:name="b4_text32"/>
      <w:bookmarkEnd w:id="4163"/>
      <w:r>
        <w:rPr>
          <w:sz w:val="18"/>
          <w:szCs w:val="18"/>
          <w:vertAlign w:val="superscript"/>
          <w:rtl/>
        </w:rPr>
        <w:fldChar w:fldCharType="begin" w:dirty="true"/>
      </w:r>
      <w:r>
        <w:rPr>
          <w:sz w:val="18"/>
          <w:szCs w:val="18"/>
          <w:vertAlign w:val="superscript"/>
          <w:rtl/>
        </w:rPr>
        <w:instrText xml:space="preserve"> REF b4_note32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32</w:t>
      </w:r>
      <w:r>
        <w:rPr>
          <w:sz w:val="18"/>
          <w:szCs w:val="18"/>
          <w:vertAlign w:val="superscript"/>
          <w:rtl/>
        </w:rPr>
        <w:fldChar w:fldCharType="end"/>
      </w:r>
      <w:r>
        <w:rPr>
          <w:rtl/>
        </w:rPr>
        <w:t xml:space="preserve"> ובין קצה “חדר הסבא”.</w:t>
      </w:r>
    </w:p>
    <w:bookmarkStart w:id="4164" w:name="b4_note31"/>
    <w:p w14:paraId="72EF2BC6" w14:textId="77777777" w:rsidR="00AB3647" w:rsidRDefault="00000000" w:rsidP="007923E9">
      <w:pPr>
        <w:spacing w:before="120" w:after="100" w:line="276" w:lineRule="auto"/>
        <w:jc w:val="both"/>
      </w:pPr>
      <w:r>
        <w:lastRenderedPageBreak/>
        <w:fldChar w:fldCharType="begin" w:dirty="true"/>
      </w:r>
      <w:r>
        <w:instrText>HYPERLINK \l "b4_text31" \h</w:instrText>
      </w:r>
      <w:r>
        <w:fldChar w:fldCharType="separate"/>
      </w:r>
      <w:r>
        <w:rPr>
          <w:b/>
          <w:bCs/>
          <w:rtl/>
        </w:rPr>
        <w:t>31</w:t>
      </w:r>
      <w:r>
        <w:rPr>
          <w:b/>
          <w:bCs/>
        </w:rPr>
        <w:fldChar w:fldCharType="end"/>
      </w:r>
      <w:bookmarkEnd w:id="4164"/>
      <w:r>
        <w:rPr>
          <w:rtl/>
        </w:rPr>
        <w:t xml:space="preserve"> “במשך היובל”</w:t>
      </w:r>
      <w:bookmarkStart w:id="4165" w:name="_fnr3146"/>
      <w:r>
        <w:rPr>
          <w:vertAlign w:val="superscript"/>
          <w:rtl/>
        </w:rPr>
        <w:footnoteReference w:id="3154" w:customMarkFollows="0"/>
      </w:r>
      <w:bookmarkEnd w:id="4165"/>
      <w:r>
        <w:rPr>
          <w:rtl/>
        </w:rPr>
        <w:t xml:space="preserve"> קובע שרק בקצה הרחוק הזה של “חדר הסבא”, מאחורי התנור, יכול היה הסבא לדבר עם תלמיד ביחידות: בפינה הקטנה והמשוקעת, שתחמו אותה משלושה צדדים אחורי התנור, הסדין התלוי וקיר הבניין.</w:t>
      </w:r>
    </w:p>
    <w:bookmarkStart w:id="4166" w:name="b4_note32"/>
    <w:p w14:paraId="5C6F467C" w14:textId="77777777" w:rsidR="00AB3647" w:rsidRDefault="00000000" w:rsidP="007923E9">
      <w:pPr>
        <w:spacing w:before="120" w:after="100" w:line="276" w:lineRule="auto"/>
        <w:jc w:val="both"/>
      </w:pPr>
      <w:r>
        <w:fldChar w:fldCharType="begin" w:dirty="true"/>
      </w:r>
      <w:r>
        <w:instrText>HYPERLINK \l "b4_text32" \h</w:instrText>
      </w:r>
      <w:r>
        <w:fldChar w:fldCharType="separate"/>
      </w:r>
      <w:r>
        <w:rPr>
          <w:b/>
          <w:bCs/>
          <w:rtl/>
        </w:rPr>
        <w:t>32</w:t>
      </w:r>
      <w:r>
        <w:rPr>
          <w:b/>
          <w:bCs/>
        </w:rPr>
        <w:fldChar w:fldCharType="end"/>
      </w:r>
      <w:bookmarkEnd w:id="4166"/>
      <w:r>
        <w:rPr>
          <w:rtl/>
        </w:rPr>
        <w:t xml:space="preserve"> לפי </w:t>
      </w:r>
      <w:proofErr w:type="spellStart"/>
      <w:r>
        <w:rPr>
          <w:rtl/>
        </w:rPr>
        <w:t>חיה־מרים</w:t>
      </w:r>
      <w:proofErr w:type="spellEnd"/>
      <w:r>
        <w:rPr>
          <w:rtl/>
        </w:rPr>
        <w:t xml:space="preserve"> </w:t>
      </w:r>
      <w:proofErr w:type="spellStart"/>
      <w:r>
        <w:rPr>
          <w:rtl/>
        </w:rPr>
        <w:t>שולמן</w:t>
      </w:r>
      <w:bookmarkStart w:id="4167" w:name="_fnr3147"/>
      <w:proofErr w:type="spellEnd"/>
      <w:r>
        <w:rPr>
          <w:vertAlign w:val="superscript"/>
          <w:rtl/>
        </w:rPr>
        <w:footnoteReference w:id="3155" w:customMarkFollows="0"/>
      </w:r>
      <w:bookmarkEnd w:id="4167"/>
      <w:r>
        <w:rPr>
          <w:rtl/>
        </w:rPr>
        <w:t>, היה מקום לשתי מיטות, שהוצבו בניצב זו לזו: אחת לאורך הקיר המשותף עם הישיבה, שכיוונו מצפון לדרום, והאחרת לאורך הקיר שממזרח למערב, מול הסדין.</w:t>
      </w:r>
    </w:p>
    <w:p w14:paraId="33EFF11E" w14:textId="548F229F"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 xml:space="preserve">הנער, שנכנס למעון הזה בפעם הראשונה, לא התרשם מן המראה – בחייו הצעירים כבר ראה די בקתות דלות. אבל נשבה בהקשבתו המרוכזת של מארחו לדבריו על עצמו, ובהבנתו החודרת של הסבא </w:t>
      </w:r>
      <w:proofErr w:type="spellStart"/>
      <w:r>
        <w:rPr>
          <w:rtl/>
        </w:rPr>
        <w:t>מסלבודקה</w:t>
      </w:r>
      <w:proofErr w:type="spellEnd"/>
      <w:r>
        <w:rPr>
          <w:rtl/>
        </w:rPr>
        <w:t xml:space="preserve"> את רעיונותיו ומחשבותיו. מראה הסבא לא הטיל מורא</w:t>
      </w:r>
      <w:bookmarkStart w:id="4168" w:name="b4_text33"/>
      <w:bookmarkEnd w:id="4168"/>
      <w:r>
        <w:rPr>
          <w:sz w:val="18"/>
          <w:szCs w:val="18"/>
          <w:vertAlign w:val="superscript"/>
          <w:rtl/>
        </w:rPr>
        <w:fldChar w:fldCharType="begin" w:dirty="true"/>
      </w:r>
      <w:r>
        <w:rPr>
          <w:sz w:val="18"/>
          <w:szCs w:val="18"/>
          <w:vertAlign w:val="superscript"/>
          <w:rtl/>
        </w:rPr>
        <w:instrText xml:space="preserve"> REF b4_note33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33</w:t>
      </w:r>
      <w:r>
        <w:rPr>
          <w:sz w:val="18"/>
          <w:szCs w:val="18"/>
          <w:vertAlign w:val="superscript"/>
          <w:rtl/>
        </w:rPr>
        <w:fldChar w:fldCharType="end"/>
      </w:r>
      <w:r>
        <w:rPr>
          <w:rtl/>
        </w:rPr>
        <w:t>, והנהגתו השרתה נינוחות על מבקרו; אבל אבי הבין מיד שהוא יושב במחיצת אדם שיוכל להיות רבו ומדריכו</w:t>
      </w:r>
      <w:bookmarkStart w:id="4169" w:name="b4_text34"/>
      <w:bookmarkEnd w:id="4169"/>
      <w:r>
        <w:rPr>
          <w:sz w:val="18"/>
          <w:szCs w:val="18"/>
          <w:vertAlign w:val="superscript"/>
          <w:rtl/>
        </w:rPr>
        <w:fldChar w:fldCharType="begin" w:dirty="true"/>
      </w:r>
      <w:r>
        <w:rPr>
          <w:sz w:val="18"/>
          <w:szCs w:val="18"/>
          <w:vertAlign w:val="superscript"/>
          <w:rtl/>
        </w:rPr>
        <w:instrText xml:space="preserve"> REF b4_note34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34</w:t>
      </w:r>
      <w:r>
        <w:rPr>
          <w:sz w:val="18"/>
          <w:szCs w:val="18"/>
          <w:vertAlign w:val="superscript"/>
          <w:rtl/>
        </w:rPr>
        <w:fldChar w:fldCharType="end"/>
      </w:r>
      <w:r>
        <w:rPr>
          <w:rtl/>
        </w:rPr>
        <w:t>. גם הסבא הכיר בשכלו המהיר ובאופיו העדין של הצעיר, וידע שנזדמן לו עוד תלמיד הראוי ליחס מועדף</w:t>
      </w:r>
      <w:bookmarkStart w:id="4170" w:name="b4_text35"/>
      <w:bookmarkEnd w:id="4170"/>
      <w:r>
        <w:rPr>
          <w:sz w:val="18"/>
          <w:szCs w:val="18"/>
          <w:vertAlign w:val="superscript"/>
          <w:rtl/>
        </w:rPr>
        <w:fldChar w:fldCharType="begin" w:dirty="true"/>
      </w:r>
      <w:r>
        <w:rPr>
          <w:sz w:val="18"/>
          <w:szCs w:val="18"/>
          <w:vertAlign w:val="superscript"/>
          <w:rtl/>
        </w:rPr>
        <w:instrText xml:space="preserve"> REF b4_note35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35</w:t>
      </w:r>
      <w:r>
        <w:rPr>
          <w:sz w:val="18"/>
          <w:szCs w:val="18"/>
          <w:vertAlign w:val="superscript"/>
          <w:rtl/>
        </w:rPr>
        <w:fldChar w:fldCharType="end"/>
      </w:r>
      <w:r>
        <w:rPr>
          <w:rtl/>
        </w:rPr>
        <w:t>.</w:t>
      </w:r>
    </w:p>
    <w:bookmarkStart w:id="4171" w:name="b4_note33"/>
    <w:p w14:paraId="1701DF39" w14:textId="77777777" w:rsidR="00AB3647" w:rsidRDefault="00000000" w:rsidP="007923E9">
      <w:pPr>
        <w:spacing w:before="120" w:after="100" w:line="276" w:lineRule="auto"/>
        <w:jc w:val="both"/>
      </w:pPr>
      <w:r>
        <w:fldChar w:fldCharType="begin" w:dirty="true"/>
      </w:r>
      <w:r>
        <w:instrText>HYPERLINK \l "b4_text33" \h</w:instrText>
      </w:r>
      <w:r>
        <w:fldChar w:fldCharType="separate"/>
      </w:r>
      <w:r>
        <w:rPr>
          <w:b/>
          <w:bCs/>
          <w:rtl/>
        </w:rPr>
        <w:t>33</w:t>
      </w:r>
      <w:r>
        <w:rPr>
          <w:b/>
          <w:bCs/>
        </w:rPr>
        <w:fldChar w:fldCharType="end"/>
      </w:r>
      <w:bookmarkEnd w:id="4171"/>
      <w:r>
        <w:rPr>
          <w:rtl/>
        </w:rPr>
        <w:t xml:space="preserve"> בשיחה המוקלטת במלאות חמישים שנה לפטירת הסבא</w:t>
      </w:r>
      <w:bookmarkStart w:id="4172" w:name="_fnr3148"/>
      <w:r>
        <w:rPr>
          <w:vertAlign w:val="superscript"/>
          <w:rtl/>
        </w:rPr>
        <w:footnoteReference w:id="3156" w:customMarkFollows="0"/>
      </w:r>
      <w:bookmarkEnd w:id="4172"/>
      <w:r>
        <w:rPr>
          <w:rtl/>
        </w:rPr>
        <w:t xml:space="preserve"> אמר אבי: “הסבא חבש כובע פשוט – לא כמו </w:t>
      </w:r>
      <w:proofErr w:type="spellStart"/>
      <w:r>
        <w:rPr>
          <w:rtl/>
        </w:rPr>
        <w:t>החפץ־חיים</w:t>
      </w:r>
      <w:proofErr w:type="spellEnd"/>
      <w:r>
        <w:rPr>
          <w:rtl/>
        </w:rPr>
        <w:t xml:space="preserve">, שגם הוא חבש כובע שאינו רבני, אלא כמו חנווני – עד תרע״ג, כשבנו ר׳ משה התארס עם בתו של רב </w:t>
      </w:r>
      <w:proofErr w:type="spellStart"/>
      <w:r>
        <w:rPr>
          <w:rtl/>
        </w:rPr>
        <w:t>סלבודקה</w:t>
      </w:r>
      <w:proofErr w:type="spellEnd"/>
      <w:r>
        <w:rPr>
          <w:rtl/>
        </w:rPr>
        <w:t xml:space="preserve"> וראש הישיבה, ר׳ </w:t>
      </w:r>
      <w:proofErr w:type="spellStart"/>
      <w:r>
        <w:rPr>
          <w:rtl/>
        </w:rPr>
        <w:t>משה־מרדכי</w:t>
      </w:r>
      <w:proofErr w:type="spellEnd"/>
      <w:r>
        <w:rPr>
          <w:rtl/>
        </w:rPr>
        <w:t xml:space="preserve"> אפשטיין, והרגיש הסבא </w:t>
      </w:r>
      <w:proofErr w:type="spellStart"/>
      <w:r>
        <w:rPr>
          <w:rtl/>
        </w:rPr>
        <w:t>מסלבודקה</w:t>
      </w:r>
      <w:proofErr w:type="spellEnd"/>
      <w:r>
        <w:rPr>
          <w:rtl/>
        </w:rPr>
        <w:t xml:space="preserve"> שלבושו כיהודי פשוט יפגע בכבוד מחותנו”. גם שלושה ממחותניו הקודמים של הסבא היו רבנים, אבל הם גרו בעיירות רחוקות </w:t>
      </w:r>
      <w:proofErr w:type="spellStart"/>
      <w:r>
        <w:rPr>
          <w:rtl/>
        </w:rPr>
        <w:t>מסלבודקה</w:t>
      </w:r>
      <w:proofErr w:type="spellEnd"/>
      <w:r>
        <w:rPr>
          <w:rtl/>
        </w:rPr>
        <w:t>.</w:t>
      </w:r>
    </w:p>
    <w:p w14:paraId="3DDD4095" w14:textId="77777777" w:rsidR="00AB3647" w:rsidRDefault="00000000" w:rsidP="007923E9">
      <w:pPr>
        <w:spacing w:before="120" w:after="100" w:line="276" w:lineRule="auto"/>
        <w:jc w:val="both"/>
      </w:pPr>
      <w:r>
        <w:rPr>
          <w:rtl/>
        </w:rPr>
        <w:t xml:space="preserve">לבוש הסבא כבעל בית מזכיר חילופי דברים מפורסמים בין ר׳ אליעזר </w:t>
      </w:r>
      <w:proofErr w:type="spellStart"/>
      <w:r>
        <w:rPr>
          <w:rtl/>
        </w:rPr>
        <w:t>סילבר</w:t>
      </w:r>
      <w:proofErr w:type="spellEnd"/>
      <w:r>
        <w:rPr>
          <w:rtl/>
        </w:rPr>
        <w:t xml:space="preserve">, נשיא אגודת הרבנים </w:t>
      </w:r>
      <w:proofErr w:type="spellStart"/>
      <w:r>
        <w:rPr>
          <w:rtl/>
        </w:rPr>
        <w:t>דארה״ב</w:t>
      </w:r>
      <w:proofErr w:type="spellEnd"/>
      <w:r>
        <w:rPr>
          <w:rtl/>
        </w:rPr>
        <w:t xml:space="preserve"> וקנדה, לבין </w:t>
      </w:r>
      <w:proofErr w:type="spellStart"/>
      <w:r>
        <w:rPr>
          <w:rtl/>
        </w:rPr>
        <w:t>החזון־איש</w:t>
      </w:r>
      <w:proofErr w:type="spellEnd"/>
      <w:r>
        <w:rPr>
          <w:rtl/>
        </w:rPr>
        <w:t xml:space="preserve">. הרב </w:t>
      </w:r>
      <w:proofErr w:type="spellStart"/>
      <w:r>
        <w:rPr>
          <w:rtl/>
        </w:rPr>
        <w:t>סילבר</w:t>
      </w:r>
      <w:proofErr w:type="spellEnd"/>
      <w:r>
        <w:rPr>
          <w:rtl/>
        </w:rPr>
        <w:t xml:space="preserve"> אמר: “</w:t>
      </w:r>
      <w:proofErr w:type="spellStart"/>
      <w:r>
        <w:rPr>
          <w:rtl/>
        </w:rPr>
        <w:t>החפץ־חיים</w:t>
      </w:r>
      <w:proofErr w:type="spellEnd"/>
      <w:r>
        <w:rPr>
          <w:rtl/>
        </w:rPr>
        <w:t xml:space="preserve"> היה, אחרי הכול, רק </w:t>
      </w:r>
      <w:proofErr w:type="spellStart"/>
      <w:r>
        <w:rPr>
          <w:rtl/>
        </w:rPr>
        <w:t>בעל־הבית</w:t>
      </w:r>
      <w:proofErr w:type="spellEnd"/>
      <w:r>
        <w:rPr>
          <w:rtl/>
        </w:rPr>
        <w:t>”</w:t>
      </w:r>
      <w:bookmarkStart w:id="4173" w:name="_fnr3149"/>
      <w:r>
        <w:rPr>
          <w:vertAlign w:val="superscript"/>
          <w:rtl/>
        </w:rPr>
        <w:footnoteReference w:id="3157" w:customMarkFollows="0"/>
      </w:r>
      <w:bookmarkEnd w:id="4173"/>
      <w:r>
        <w:rPr>
          <w:rtl/>
        </w:rPr>
        <w:t xml:space="preserve"> [לעומת רב שמשרת הרבנות היא עיסוקו]</w:t>
      </w:r>
      <w:bookmarkStart w:id="4174" w:name="_fnr3150"/>
      <w:r>
        <w:rPr>
          <w:vertAlign w:val="superscript"/>
          <w:rtl/>
        </w:rPr>
        <w:footnoteReference w:id="3158" w:customMarkFollows="0"/>
      </w:r>
      <w:bookmarkEnd w:id="4174"/>
      <w:r>
        <w:rPr>
          <w:rtl/>
        </w:rPr>
        <w:t xml:space="preserve">. השיב לו </w:t>
      </w:r>
      <w:proofErr w:type="spellStart"/>
      <w:r>
        <w:rPr>
          <w:rtl/>
        </w:rPr>
        <w:t>החזון־איש</w:t>
      </w:r>
      <w:proofErr w:type="spellEnd"/>
      <w:r>
        <w:rPr>
          <w:rtl/>
        </w:rPr>
        <w:t xml:space="preserve">, שאף הוא לא כיהן כרב במשרה רשמית: “כן, </w:t>
      </w:r>
      <w:proofErr w:type="spellStart"/>
      <w:r>
        <w:rPr>
          <w:rtl/>
        </w:rPr>
        <w:t>בעל־הבית</w:t>
      </w:r>
      <w:bookmarkStart w:id="4175" w:name="_fnr3151"/>
      <w:proofErr w:type="spellEnd"/>
      <w:r>
        <w:rPr>
          <w:vertAlign w:val="superscript"/>
          <w:rtl/>
        </w:rPr>
        <w:footnoteReference w:id="3159" w:customMarkFollows="0"/>
      </w:r>
      <w:bookmarkEnd w:id="4175"/>
      <w:r>
        <w:rPr>
          <w:rtl/>
        </w:rPr>
        <w:t xml:space="preserve"> בש״ס, </w:t>
      </w:r>
      <w:proofErr w:type="spellStart"/>
      <w:r>
        <w:rPr>
          <w:rtl/>
        </w:rPr>
        <w:t>בעל־הבית</w:t>
      </w:r>
      <w:proofErr w:type="spellEnd"/>
      <w:r>
        <w:rPr>
          <w:rtl/>
        </w:rPr>
        <w:t xml:space="preserve"> בשולחן ערוך, </w:t>
      </w:r>
      <w:proofErr w:type="spellStart"/>
      <w:r>
        <w:rPr>
          <w:rtl/>
        </w:rPr>
        <w:t>בעל־הבית</w:t>
      </w:r>
      <w:proofErr w:type="spellEnd"/>
      <w:r>
        <w:rPr>
          <w:rtl/>
        </w:rPr>
        <w:t xml:space="preserve"> בראשונים </w:t>
      </w:r>
      <w:proofErr w:type="spellStart"/>
      <w:r>
        <w:rPr>
          <w:rtl/>
        </w:rPr>
        <w:t>ובעל־הבית</w:t>
      </w:r>
      <w:proofErr w:type="spellEnd"/>
      <w:r>
        <w:rPr>
          <w:rtl/>
        </w:rPr>
        <w:t xml:space="preserve"> באחרונים”</w:t>
      </w:r>
      <w:bookmarkStart w:id="4176" w:name="_fnr3152"/>
      <w:r>
        <w:rPr>
          <w:vertAlign w:val="superscript"/>
          <w:rtl/>
        </w:rPr>
        <w:footnoteReference w:id="3160" w:customMarkFollows="0"/>
      </w:r>
      <w:bookmarkEnd w:id="4176"/>
      <w:r>
        <w:rPr>
          <w:rtl/>
        </w:rPr>
        <w:t xml:space="preserve">. לפי השקפת </w:t>
      </w:r>
      <w:proofErr w:type="spellStart"/>
      <w:r>
        <w:rPr>
          <w:rtl/>
        </w:rPr>
        <w:t>החזון־איש</w:t>
      </w:r>
      <w:proofErr w:type="spellEnd"/>
      <w:r>
        <w:rPr>
          <w:rtl/>
        </w:rPr>
        <w:t xml:space="preserve"> על מקומו של </w:t>
      </w:r>
      <w:proofErr w:type="spellStart"/>
      <w:r>
        <w:rPr>
          <w:rtl/>
        </w:rPr>
        <w:t>החפץ־חיים</w:t>
      </w:r>
      <w:proofErr w:type="spellEnd"/>
      <w:r>
        <w:rPr>
          <w:rtl/>
        </w:rPr>
        <w:t xml:space="preserve"> במסורת הרבנית, לא יכול היה הרב </w:t>
      </w:r>
      <w:proofErr w:type="spellStart"/>
      <w:r>
        <w:rPr>
          <w:rtl/>
        </w:rPr>
        <w:t>סילבר</w:t>
      </w:r>
      <w:proofErr w:type="spellEnd"/>
      <w:r>
        <w:rPr>
          <w:rtl/>
        </w:rPr>
        <w:t xml:space="preserve"> לבחור אדם פחות מתאים להמעטת ערכו. השווה “פאר הדור”, חלק א, עמ׳ </w:t>
      </w:r>
      <w:proofErr w:type="spellStart"/>
      <w:r>
        <w:rPr>
          <w:rtl/>
        </w:rPr>
        <w:t>רמב</w:t>
      </w:r>
      <w:proofErr w:type="spellEnd"/>
      <w:r>
        <w:rPr>
          <w:rtl/>
        </w:rPr>
        <w:t xml:space="preserve">, המביא מכתב מן </w:t>
      </w:r>
      <w:proofErr w:type="spellStart"/>
      <w:r>
        <w:rPr>
          <w:rtl/>
        </w:rPr>
        <w:t>החזון־איש</w:t>
      </w:r>
      <w:proofErr w:type="spellEnd"/>
      <w:r>
        <w:rPr>
          <w:rtl/>
        </w:rPr>
        <w:t xml:space="preserve">: “פסק היוצא מפי רבותינו המחזיקים אותנו, כגון רבותינו [מחברי] ‘בית יוסף’, ‘מגן אברהם’ </w:t>
      </w:r>
      <w:proofErr w:type="spellStart"/>
      <w:r>
        <w:rPr>
          <w:rtl/>
        </w:rPr>
        <w:t>ו‘משנה</w:t>
      </w:r>
      <w:proofErr w:type="spellEnd"/>
      <w:r>
        <w:rPr>
          <w:rtl/>
        </w:rPr>
        <w:t xml:space="preserve"> ברורה’, מוחזק כאילו יצא מפי הסנהדרין בלשכת הגזית, ואינו מניח מקום להקל [או לחלוק]”.</w:t>
      </w:r>
    </w:p>
    <w:p w14:paraId="6C037AC7" w14:textId="77777777" w:rsidR="00AB3647" w:rsidRDefault="00000000" w:rsidP="007923E9">
      <w:pPr>
        <w:spacing w:after="120" w:line="276" w:lineRule="auto"/>
        <w:jc w:val="both"/>
      </w:pPr>
      <w:r>
        <w:rPr>
          <w:rtl/>
        </w:rPr>
        <w:lastRenderedPageBreak/>
        <w:t xml:space="preserve">העיתונאי מ׳ </w:t>
      </w:r>
      <w:proofErr w:type="spellStart"/>
      <w:r>
        <w:rPr>
          <w:rtl/>
        </w:rPr>
        <w:t>גרץ</w:t>
      </w:r>
      <w:proofErr w:type="spellEnd"/>
      <w:r>
        <w:rPr>
          <w:rtl/>
        </w:rPr>
        <w:t xml:space="preserve"> מתאר את הסבא כמי שהיה רגיל לתחוב את זקנו הארוך למדי לתוך צווארון חולצתו</w:t>
      </w:r>
      <w:bookmarkStart w:id="4177" w:name="_fnr3153"/>
      <w:r>
        <w:rPr>
          <w:vertAlign w:val="superscript"/>
          <w:rtl/>
        </w:rPr>
        <w:footnoteReference w:id="3161" w:customMarkFollows="0"/>
      </w:r>
      <w:bookmarkEnd w:id="4177"/>
      <w:r>
        <w:rPr>
          <w:rtl/>
        </w:rPr>
        <w:t xml:space="preserve">. מסתבר שהוא מתאר את הסבא בתקופה שקדמה מעט לבוא אבי, שאם לא כן לא היה אבי משמיט פרט מיוחד זה. מן המובאות שהבאתי בפרק 3, הערה 56 ונספח </w:t>
      </w:r>
      <w:proofErr w:type="spellStart"/>
      <w:r>
        <w:rPr>
          <w:rtl/>
        </w:rPr>
        <w:t>כח</w:t>
      </w:r>
      <w:proofErr w:type="spellEnd"/>
      <w:r>
        <w:rPr>
          <w:rtl/>
        </w:rPr>
        <w:t xml:space="preserve">, נראה </w:t>
      </w:r>
      <w:proofErr w:type="spellStart"/>
      <w:r>
        <w:rPr>
          <w:rtl/>
        </w:rPr>
        <w:t>שגרץ</w:t>
      </w:r>
      <w:proofErr w:type="spellEnd"/>
      <w:r>
        <w:rPr>
          <w:rtl/>
        </w:rPr>
        <w:t xml:space="preserve"> למד </w:t>
      </w:r>
      <w:proofErr w:type="spellStart"/>
      <w:r>
        <w:rPr>
          <w:rtl/>
        </w:rPr>
        <w:t>בסלבודקה</w:t>
      </w:r>
      <w:proofErr w:type="spellEnd"/>
      <w:r>
        <w:rPr>
          <w:rtl/>
        </w:rPr>
        <w:t xml:space="preserve"> בשנים הסוערות תרס״ד–תרס״ה, אף שהיה צעיר מרבנו בשנה.</w:t>
      </w:r>
    </w:p>
    <w:p w14:paraId="5C8A1EA6" w14:textId="77777777" w:rsidR="00AB3647" w:rsidRDefault="00000000" w:rsidP="007923E9">
      <w:pPr>
        <w:spacing w:after="120" w:line="276" w:lineRule="auto"/>
        <w:jc w:val="both"/>
      </w:pPr>
      <w:r>
        <w:rPr>
          <w:rtl/>
        </w:rPr>
        <w:t xml:space="preserve">נראה שזקנו של הסבא היה תו בולט במראהו. ברור שגם </w:t>
      </w:r>
      <w:proofErr w:type="spellStart"/>
      <w:r>
        <w:rPr>
          <w:rtl/>
        </w:rPr>
        <w:t>יהושע־לייב</w:t>
      </w:r>
      <w:proofErr w:type="spellEnd"/>
      <w:r>
        <w:rPr>
          <w:rtl/>
        </w:rPr>
        <w:t xml:space="preserve"> </w:t>
      </w:r>
      <w:proofErr w:type="spellStart"/>
      <w:r>
        <w:rPr>
          <w:rtl/>
        </w:rPr>
        <w:t>ראדוס</w:t>
      </w:r>
      <w:proofErr w:type="spellEnd"/>
      <w:r>
        <w:rPr>
          <w:rtl/>
        </w:rPr>
        <w:t>, מחבר “</w:t>
      </w:r>
      <w:proofErr w:type="spellStart"/>
      <w:r>
        <w:rPr>
          <w:rtl/>
        </w:rPr>
        <w:t>זכרונות</w:t>
      </w:r>
      <w:proofErr w:type="spellEnd"/>
      <w:r>
        <w:rPr>
          <w:rtl/>
        </w:rPr>
        <w:t>”</w:t>
      </w:r>
      <w:bookmarkStart w:id="4178" w:name="_fnr3154"/>
      <w:r>
        <w:rPr>
          <w:vertAlign w:val="superscript"/>
          <w:rtl/>
        </w:rPr>
        <w:footnoteReference w:id="3162" w:customMarkFollows="0"/>
      </w:r>
      <w:bookmarkEnd w:id="4178"/>
      <w:r>
        <w:rPr>
          <w:rtl/>
        </w:rPr>
        <w:t xml:space="preserve">, התרשם ממנו מאוד: לאחר שלמד רק חצי שנה </w:t>
      </w:r>
      <w:proofErr w:type="spellStart"/>
      <w:r>
        <w:rPr>
          <w:rtl/>
        </w:rPr>
        <w:t>בצלו</w:t>
      </w:r>
      <w:proofErr w:type="spellEnd"/>
      <w:r>
        <w:rPr>
          <w:rtl/>
        </w:rPr>
        <w:t xml:space="preserve"> של הסבא בישיבת </w:t>
      </w:r>
      <w:proofErr w:type="spellStart"/>
      <w:r>
        <w:rPr>
          <w:rtl/>
        </w:rPr>
        <w:t>סלבודקה</w:t>
      </w:r>
      <w:proofErr w:type="spellEnd"/>
      <w:r>
        <w:rPr>
          <w:rtl/>
        </w:rPr>
        <w:t xml:space="preserve"> בראשית ימיה, תיאר אותו כעבור יותר מחמישים שנה </w:t>
      </w:r>
      <w:proofErr w:type="spellStart"/>
      <w:r>
        <w:rPr>
          <w:rtl/>
        </w:rPr>
        <w:t>כ“אדם</w:t>
      </w:r>
      <w:proofErr w:type="spellEnd"/>
      <w:r>
        <w:rPr>
          <w:rtl/>
        </w:rPr>
        <w:t xml:space="preserve"> שגובהו מעט מעל הממוצע, פניו עגולות, זקנו שחור ושערותיו חדות כמסמרי ברזל, ועיניו גדולות ופקוחות לרווחה”</w:t>
      </w:r>
      <w:bookmarkStart w:id="4179" w:name="_fnr3155"/>
      <w:r>
        <w:rPr>
          <w:vertAlign w:val="superscript"/>
          <w:rtl/>
        </w:rPr>
        <w:footnoteReference w:id="3163" w:customMarkFollows="0"/>
      </w:r>
      <w:bookmarkEnd w:id="4179"/>
      <w:r>
        <w:rPr>
          <w:rtl/>
        </w:rPr>
        <w:t>.</w:t>
      </w:r>
    </w:p>
    <w:bookmarkStart w:id="4180" w:name="b4_note34"/>
    <w:p w14:paraId="39C6B7F9" w14:textId="77777777" w:rsidR="00AB3647" w:rsidRDefault="00000000" w:rsidP="007923E9">
      <w:pPr>
        <w:spacing w:before="120" w:after="100" w:line="276" w:lineRule="auto"/>
        <w:jc w:val="both"/>
      </w:pPr>
      <w:r>
        <w:fldChar w:fldCharType="begin" w:dirty="true"/>
      </w:r>
      <w:r>
        <w:instrText>HYPERLINK \l "b4_text34" \h</w:instrText>
      </w:r>
      <w:r>
        <w:fldChar w:fldCharType="separate"/>
      </w:r>
      <w:r>
        <w:rPr>
          <w:b/>
          <w:bCs/>
          <w:rtl/>
        </w:rPr>
        <w:t>34</w:t>
      </w:r>
      <w:r>
        <w:rPr>
          <w:b/>
          <w:bCs/>
        </w:rPr>
        <w:fldChar w:fldCharType="end"/>
      </w:r>
      <w:bookmarkEnd w:id="4180"/>
      <w:r>
        <w:rPr>
          <w:rtl/>
        </w:rPr>
        <w:t xml:space="preserve"> השווה פרק 3, סוף הערה 69 והערה 127.</w:t>
      </w:r>
    </w:p>
    <w:bookmarkStart w:id="4181" w:name="b4_note35"/>
    <w:p w14:paraId="178C93FE" w14:textId="77777777" w:rsidR="00AB3647" w:rsidRDefault="00000000" w:rsidP="007923E9">
      <w:pPr>
        <w:spacing w:before="120" w:after="100" w:line="276" w:lineRule="auto"/>
        <w:jc w:val="both"/>
      </w:pPr>
      <w:r>
        <w:fldChar w:fldCharType="begin" w:dirty="true"/>
      </w:r>
      <w:r>
        <w:instrText>HYPERLINK \l "b4_text35" \h</w:instrText>
      </w:r>
      <w:r>
        <w:fldChar w:fldCharType="separate"/>
      </w:r>
      <w:r>
        <w:rPr>
          <w:b/>
          <w:bCs/>
          <w:rtl/>
        </w:rPr>
        <w:t>35</w:t>
      </w:r>
      <w:r>
        <w:rPr>
          <w:b/>
          <w:bCs/>
        </w:rPr>
        <w:fldChar w:fldCharType="end"/>
      </w:r>
      <w:bookmarkEnd w:id="4181"/>
      <w:r>
        <w:rPr>
          <w:rtl/>
        </w:rPr>
        <w:t xml:space="preserve"> ר׳ אייזיק </w:t>
      </w:r>
      <w:proofErr w:type="spellStart"/>
      <w:r>
        <w:rPr>
          <w:rtl/>
        </w:rPr>
        <w:t>הנדלר</w:t>
      </w:r>
      <w:proofErr w:type="spellEnd"/>
      <w:r>
        <w:rPr>
          <w:rtl/>
        </w:rPr>
        <w:t xml:space="preserve"> סיפר</w:t>
      </w:r>
      <w:bookmarkStart w:id="4182" w:name="_fnr3156"/>
      <w:r>
        <w:rPr>
          <w:vertAlign w:val="superscript"/>
          <w:rtl/>
        </w:rPr>
        <w:footnoteReference w:id="3164" w:customMarkFollows="0"/>
      </w:r>
      <w:bookmarkEnd w:id="4182"/>
      <w:r>
        <w:rPr>
          <w:rtl/>
        </w:rPr>
        <w:t xml:space="preserve"> שאבי אמר לו שר׳ ראובן </w:t>
      </w:r>
      <w:proofErr w:type="spellStart"/>
      <w:r>
        <w:rPr>
          <w:rtl/>
        </w:rPr>
        <w:t>גרוזובסקי</w:t>
      </w:r>
      <w:proofErr w:type="spellEnd"/>
      <w:r>
        <w:rPr>
          <w:rtl/>
        </w:rPr>
        <w:t xml:space="preserve"> ביקש מן הסבא לתת לתלמיד החדש שהביא ממינסק – רבנו – מלגה חודשית גדולה מן הרגיל. אפשר להניח שר׳ ראובן, בן מינסק, ידע שהורי אבי עניים מאוד ואינם יכולים לשלוח לו כסף. אבל הסבא, שהיה אחראי להשקיע את כספי הישיבה רק בתלמידים מבטיחים, לא רצה להסתמך על דברי השבח של תלמידו ר׳ ראובן על הבחור החדש, עד שיבדוק את התלמיד בעצמו.</w:t>
      </w:r>
    </w:p>
    <w:p w14:paraId="07162429" w14:textId="35A7C9E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 xml:space="preserve">ר׳ </w:t>
      </w:r>
      <w:proofErr w:type="spellStart"/>
      <w:r>
        <w:rPr>
          <w:rtl/>
        </w:rPr>
        <w:t>נתן־צבי</w:t>
      </w:r>
      <w:proofErr w:type="spellEnd"/>
      <w:r>
        <w:rPr>
          <w:rtl/>
        </w:rPr>
        <w:t xml:space="preserve"> היה מסור כולו לתלמידיו. את שיחותיו האישיות עמם היה מתחיל בעשר בבוקר ומסיים בחצות הלילה</w:t>
      </w:r>
      <w:bookmarkStart w:id="4183" w:name="b4_text36"/>
      <w:bookmarkEnd w:id="4183"/>
      <w:r>
        <w:rPr>
          <w:sz w:val="18"/>
          <w:szCs w:val="18"/>
          <w:vertAlign w:val="superscript"/>
          <w:rtl/>
        </w:rPr>
        <w:fldChar w:fldCharType="begin" w:dirty="true"/>
      </w:r>
      <w:r>
        <w:rPr>
          <w:sz w:val="18"/>
          <w:szCs w:val="18"/>
          <w:vertAlign w:val="superscript"/>
          <w:rtl/>
        </w:rPr>
        <w:instrText xml:space="preserve"> REF b4_note36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36</w:t>
      </w:r>
      <w:r>
        <w:rPr>
          <w:sz w:val="18"/>
          <w:szCs w:val="18"/>
          <w:vertAlign w:val="superscript"/>
          <w:rtl/>
        </w:rPr>
        <w:fldChar w:fldCharType="end"/>
      </w:r>
      <w:r>
        <w:rPr>
          <w:rtl/>
        </w:rPr>
        <w:t>. אם חשש האורח המאוחר ללכת לבדו לאכסנייתו, היה הסבא מלווהו</w:t>
      </w:r>
      <w:bookmarkStart w:id="4184" w:name="b4_text37"/>
      <w:bookmarkEnd w:id="4184"/>
      <w:r>
        <w:rPr>
          <w:sz w:val="18"/>
          <w:szCs w:val="18"/>
          <w:vertAlign w:val="superscript"/>
          <w:rtl/>
        </w:rPr>
        <w:fldChar w:fldCharType="begin" w:dirty="true"/>
      </w:r>
      <w:r>
        <w:rPr>
          <w:sz w:val="18"/>
          <w:szCs w:val="18"/>
          <w:vertAlign w:val="superscript"/>
          <w:rtl/>
        </w:rPr>
        <w:instrText xml:space="preserve"> REF b4_note37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37</w:t>
      </w:r>
      <w:r>
        <w:rPr>
          <w:sz w:val="18"/>
          <w:szCs w:val="18"/>
          <w:vertAlign w:val="superscript"/>
          <w:rtl/>
        </w:rPr>
        <w:fldChar w:fldCharType="end"/>
      </w:r>
      <w:r>
        <w:rPr>
          <w:rtl/>
        </w:rPr>
        <w:t>. הסבא נהג תמיד בתלמיד בכבוד</w:t>
      </w:r>
      <w:bookmarkStart w:id="4185" w:name="b4_text38"/>
      <w:bookmarkEnd w:id="4185"/>
      <w:r>
        <w:rPr>
          <w:sz w:val="18"/>
          <w:szCs w:val="18"/>
          <w:vertAlign w:val="superscript"/>
          <w:rtl/>
        </w:rPr>
        <w:fldChar w:fldCharType="begin" w:dirty="true"/>
      </w:r>
      <w:r>
        <w:rPr>
          <w:sz w:val="18"/>
          <w:szCs w:val="18"/>
          <w:vertAlign w:val="superscript"/>
          <w:rtl/>
        </w:rPr>
        <w:instrText xml:space="preserve"> REF b4_note38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38</w:t>
      </w:r>
      <w:r>
        <w:rPr>
          <w:sz w:val="18"/>
          <w:szCs w:val="18"/>
          <w:vertAlign w:val="superscript"/>
          <w:rtl/>
        </w:rPr>
        <w:fldChar w:fldCharType="end"/>
      </w:r>
      <w:r>
        <w:rPr>
          <w:rtl/>
        </w:rPr>
        <w:t>, ומעולם לא נתן לו להרגיש שמצווים עליו לנהוג כך או אחרת. הוא הודרך בעדינות להגיע למסקנה שדרך הסבא היא הדרך הנכונה והטובה ביותר בשבילו. הדרך התקיפה ביותר שבה היה הסבא מצווה על תלמיד הייתה לומר לו: “כך נוהגים בישיבה”</w:t>
      </w:r>
      <w:bookmarkStart w:id="4186" w:name="b4_text39"/>
      <w:bookmarkEnd w:id="4186"/>
      <w:r>
        <w:rPr>
          <w:sz w:val="18"/>
          <w:szCs w:val="18"/>
          <w:vertAlign w:val="superscript"/>
          <w:rtl/>
        </w:rPr>
        <w:fldChar w:fldCharType="begin" w:dirty="true"/>
      </w:r>
      <w:r>
        <w:rPr>
          <w:sz w:val="18"/>
          <w:szCs w:val="18"/>
          <w:vertAlign w:val="superscript"/>
          <w:rtl/>
        </w:rPr>
        <w:instrText xml:space="preserve"> REF b4_note39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39</w:t>
      </w:r>
      <w:r>
        <w:rPr>
          <w:sz w:val="18"/>
          <w:szCs w:val="18"/>
          <w:vertAlign w:val="superscript"/>
          <w:rtl/>
        </w:rPr>
        <w:fldChar w:fldCharType="end"/>
      </w:r>
      <w:r>
        <w:rPr>
          <w:rtl/>
        </w:rPr>
        <w:t>.</w:t>
      </w:r>
    </w:p>
    <w:bookmarkStart w:id="4187" w:name="b4_note36"/>
    <w:p w14:paraId="7775E4CD" w14:textId="77777777" w:rsidR="00AB3647" w:rsidRDefault="00000000" w:rsidP="007923E9">
      <w:pPr>
        <w:spacing w:before="120" w:after="100" w:line="276" w:lineRule="auto"/>
        <w:jc w:val="both"/>
      </w:pPr>
      <w:r>
        <w:fldChar w:fldCharType="begin" w:dirty="true"/>
      </w:r>
      <w:r>
        <w:instrText>HYPERLINK \l "b4_text36" \h</w:instrText>
      </w:r>
      <w:r>
        <w:fldChar w:fldCharType="separate"/>
      </w:r>
      <w:r>
        <w:rPr>
          <w:b/>
          <w:bCs/>
          <w:rtl/>
        </w:rPr>
        <w:t>36</w:t>
      </w:r>
      <w:r>
        <w:rPr>
          <w:b/>
          <w:bCs/>
        </w:rPr>
        <w:fldChar w:fldCharType="end"/>
      </w:r>
      <w:bookmarkEnd w:id="4187"/>
      <w:r>
        <w:rPr>
          <w:rtl/>
        </w:rPr>
        <w:t xml:space="preserve"> רשימותיו של ר׳ משה גרוסמן</w:t>
      </w:r>
      <w:bookmarkStart w:id="4188" w:name="_fnr3157"/>
      <w:r>
        <w:rPr>
          <w:vertAlign w:val="superscript"/>
          <w:rtl/>
        </w:rPr>
        <w:footnoteReference w:id="3165" w:customMarkFollows="0"/>
      </w:r>
      <w:bookmarkEnd w:id="4188"/>
      <w:r>
        <w:rPr>
          <w:rtl/>
        </w:rPr>
        <w:t>. כץ, “תנועת המוסר”, כרך ג</w:t>
      </w:r>
      <w:bookmarkStart w:id="4189" w:name="_fnr3158"/>
      <w:r>
        <w:rPr>
          <w:vertAlign w:val="superscript"/>
          <w:rtl/>
        </w:rPr>
        <w:footnoteReference w:id="3166" w:customMarkFollows="0"/>
      </w:r>
      <w:bookmarkEnd w:id="4189"/>
      <w:r>
        <w:rPr>
          <w:rtl/>
        </w:rPr>
        <w:t>, כותב: “[הסבא] היה משוחח עם תלמידים מסוימים כל הלילה, כדי לגלות להם את אור התורה... דרכו הייתה על פי רוב להביא את בן שיחו, באמצעות שאלות ובירורים שונים, להגיע למסקנות בעצמו ולשוב אל יסודות האמונה”.</w:t>
      </w:r>
    </w:p>
    <w:p w14:paraId="00D77740" w14:textId="77777777" w:rsidR="00AB3647" w:rsidRDefault="00000000" w:rsidP="007923E9">
      <w:pPr>
        <w:spacing w:before="120" w:after="100" w:line="276" w:lineRule="auto"/>
        <w:jc w:val="both"/>
      </w:pPr>
      <w:r>
        <w:rPr>
          <w:rtl/>
        </w:rPr>
        <w:t xml:space="preserve">בספר הזיכרון לסבא </w:t>
      </w:r>
      <w:proofErr w:type="spellStart"/>
      <w:r>
        <w:rPr>
          <w:rtl/>
        </w:rPr>
        <w:t>מסלבודקה</w:t>
      </w:r>
      <w:proofErr w:type="spellEnd"/>
      <w:r>
        <w:rPr>
          <w:rtl/>
        </w:rPr>
        <w:t xml:space="preserve"> שערך ר׳ </w:t>
      </w:r>
      <w:proofErr w:type="spellStart"/>
      <w:r>
        <w:rPr>
          <w:rtl/>
        </w:rPr>
        <w:t>ישראל־זיסל</w:t>
      </w:r>
      <w:proofErr w:type="spellEnd"/>
      <w:r>
        <w:rPr>
          <w:rtl/>
        </w:rPr>
        <w:t xml:space="preserve"> </w:t>
      </w:r>
      <w:proofErr w:type="spellStart"/>
      <w:r>
        <w:rPr>
          <w:rtl/>
        </w:rPr>
        <w:t>דבורץ</w:t>
      </w:r>
      <w:bookmarkStart w:id="4190" w:name="_fnr3159"/>
      <w:proofErr w:type="spellEnd"/>
      <w:r>
        <w:rPr>
          <w:vertAlign w:val="superscript"/>
          <w:rtl/>
        </w:rPr>
        <w:footnoteReference w:id="3167" w:customMarkFollows="0"/>
      </w:r>
      <w:bookmarkEnd w:id="4190"/>
      <w:r>
        <w:rPr>
          <w:rtl/>
        </w:rPr>
        <w:t xml:space="preserve"> נאמר שהסבא </w:t>
      </w:r>
      <w:proofErr w:type="spellStart"/>
      <w:r>
        <w:rPr>
          <w:rtl/>
        </w:rPr>
        <w:t>מסלבודקה</w:t>
      </w:r>
      <w:proofErr w:type="spellEnd"/>
      <w:r>
        <w:rPr>
          <w:rtl/>
        </w:rPr>
        <w:t xml:space="preserve"> התעניין גם ברווחתם הגשמית של התלמידים: “הוא ידע על כל סבל ומחלה, וחיפש דרכים </w:t>
      </w:r>
      <w:r>
        <w:rPr>
          <w:rtl/>
        </w:rPr>
        <w:lastRenderedPageBreak/>
        <w:t xml:space="preserve">להקל עליהם או להיטיב את מצבם”. במאמרו של ר׳ אפרים אשרי </w:t>
      </w:r>
      <w:proofErr w:type="spellStart"/>
      <w:r>
        <w:rPr>
          <w:rtl/>
        </w:rPr>
        <w:t>ב“מוסדות</w:t>
      </w:r>
      <w:proofErr w:type="spellEnd"/>
      <w:r>
        <w:rPr>
          <w:rtl/>
        </w:rPr>
        <w:t xml:space="preserve"> תורה באירופה”</w:t>
      </w:r>
      <w:bookmarkStart w:id="4191" w:name="_fnr3160"/>
      <w:r>
        <w:rPr>
          <w:vertAlign w:val="superscript"/>
          <w:rtl/>
        </w:rPr>
        <w:footnoteReference w:id="3168" w:customMarkFollows="0"/>
      </w:r>
      <w:bookmarkEnd w:id="4191"/>
      <w:r>
        <w:rPr>
          <w:rtl/>
        </w:rPr>
        <w:t xml:space="preserve"> מובאות דוגמאות מוחשיות לעזרתו לתלמידים. כשתלמיד היה עסוק בשידוך, התעניין הסבא וברר בדיוק מי הבחורה ומי הוריה, ודאג להביא את האירוסין לידי גמר ולספק את הבגדים ואת שאר צורכי החתן. כשתלמיד חלה, חיפש הסבא רופאים והביא תרופות עד שהבריא. כשהוצעה לתלמיד משרת רבנות, בירר הסבא את טיב הקהילה ואם היא מתאימה לבן תורה ומוסר. כשתלמיד הוזמן לגיוס, לא נח הסבא עד שהושג שחרור</w:t>
      </w:r>
      <w:bookmarkStart w:id="4192" w:name="_fnr3161"/>
      <w:r>
        <w:rPr>
          <w:vertAlign w:val="superscript"/>
          <w:rtl/>
        </w:rPr>
        <w:footnoteReference w:id="3169" w:customMarkFollows="0"/>
      </w:r>
      <w:bookmarkEnd w:id="4192"/>
      <w:r>
        <w:rPr>
          <w:rtl/>
        </w:rPr>
        <w:t>.</w:t>
      </w:r>
    </w:p>
    <w:p w14:paraId="65067F94" w14:textId="77777777" w:rsidR="00AB3647" w:rsidRDefault="00000000" w:rsidP="007923E9">
      <w:pPr>
        <w:spacing w:before="120" w:after="100" w:line="276" w:lineRule="auto"/>
        <w:jc w:val="both"/>
      </w:pPr>
      <w:r>
        <w:rPr>
          <w:rtl/>
        </w:rPr>
        <w:t>ר׳ דוד ויסקי</w:t>
      </w:r>
      <w:bookmarkStart w:id="4193" w:name="_fnr3162"/>
      <w:r>
        <w:rPr>
          <w:vertAlign w:val="superscript"/>
          <w:rtl/>
        </w:rPr>
        <w:footnoteReference w:id="3170" w:customMarkFollows="0"/>
      </w:r>
      <w:bookmarkEnd w:id="4193"/>
      <w:r>
        <w:rPr>
          <w:rtl/>
        </w:rPr>
        <w:t xml:space="preserve"> סיפר שסבו ר׳ </w:t>
      </w:r>
      <w:proofErr w:type="spellStart"/>
      <w:r>
        <w:rPr>
          <w:rtl/>
        </w:rPr>
        <w:t>ישראל־זיסל</w:t>
      </w:r>
      <w:proofErr w:type="spellEnd"/>
      <w:r>
        <w:rPr>
          <w:rtl/>
        </w:rPr>
        <w:t xml:space="preserve"> </w:t>
      </w:r>
      <w:proofErr w:type="spellStart"/>
      <w:r>
        <w:rPr>
          <w:rtl/>
        </w:rPr>
        <w:t>דבורץ</w:t>
      </w:r>
      <w:proofErr w:type="spellEnd"/>
      <w:r>
        <w:rPr>
          <w:rtl/>
        </w:rPr>
        <w:t xml:space="preserve"> סיפר לו כיצד נעשה שידוכו: ר׳ אליעזר לופט</w:t>
      </w:r>
      <w:bookmarkStart w:id="4194" w:name="_fnr3163"/>
      <w:r>
        <w:rPr>
          <w:vertAlign w:val="superscript"/>
          <w:rtl/>
        </w:rPr>
        <w:footnoteReference w:id="3171" w:customMarkFollows="0"/>
      </w:r>
      <w:bookmarkEnd w:id="4194"/>
      <w:r>
        <w:rPr>
          <w:rtl/>
        </w:rPr>
        <w:t xml:space="preserve"> כתב לסבא וביקש שידוך לאחותו. הסבא </w:t>
      </w:r>
      <w:proofErr w:type="spellStart"/>
      <w:r>
        <w:rPr>
          <w:rtl/>
        </w:rPr>
        <w:t>מסלבודקה</w:t>
      </w:r>
      <w:proofErr w:type="spellEnd"/>
      <w:r>
        <w:rPr>
          <w:rtl/>
        </w:rPr>
        <w:t xml:space="preserve"> קרא </w:t>
      </w:r>
      <w:proofErr w:type="spellStart"/>
      <w:r>
        <w:rPr>
          <w:rtl/>
        </w:rPr>
        <w:t>לר</w:t>
      </w:r>
      <w:proofErr w:type="spellEnd"/>
      <w:r>
        <w:rPr>
          <w:rtl/>
        </w:rPr>
        <w:t xml:space="preserve">׳ </w:t>
      </w:r>
      <w:proofErr w:type="spellStart"/>
      <w:r>
        <w:rPr>
          <w:rtl/>
        </w:rPr>
        <w:t>ישראל־זיסל</w:t>
      </w:r>
      <w:proofErr w:type="spellEnd"/>
      <w:r>
        <w:rPr>
          <w:rtl/>
        </w:rPr>
        <w:t>, הציע לו את השידוך, הוציא מיד גלויה ואמר לו לכתוב שהוא מעוניין.</w:t>
      </w:r>
    </w:p>
    <w:bookmarkStart w:id="4195" w:name="b4_note37"/>
    <w:p w14:paraId="45594CD9" w14:textId="77777777" w:rsidR="00AB3647" w:rsidRDefault="00000000" w:rsidP="007923E9">
      <w:pPr>
        <w:spacing w:before="120" w:after="100" w:line="276" w:lineRule="auto"/>
        <w:jc w:val="both"/>
      </w:pPr>
      <w:r>
        <w:fldChar w:fldCharType="begin" w:dirty="true"/>
      </w:r>
      <w:r>
        <w:instrText>HYPERLINK \l "b4_text37" \h</w:instrText>
      </w:r>
      <w:r>
        <w:fldChar w:fldCharType="separate"/>
      </w:r>
      <w:r>
        <w:rPr>
          <w:b/>
          <w:bCs/>
          <w:rtl/>
        </w:rPr>
        <w:t>37</w:t>
      </w:r>
      <w:r>
        <w:rPr>
          <w:b/>
          <w:bCs/>
        </w:rPr>
        <w:fldChar w:fldCharType="end"/>
      </w:r>
      <w:bookmarkEnd w:id="4195"/>
      <w:r>
        <w:rPr>
          <w:rtl/>
        </w:rPr>
        <w:t xml:space="preserve"> ר׳ אהרן קוטלר סיפר זאת </w:t>
      </w:r>
      <w:proofErr w:type="spellStart"/>
      <w:r>
        <w:rPr>
          <w:rtl/>
        </w:rPr>
        <w:t>לר</w:t>
      </w:r>
      <w:proofErr w:type="spellEnd"/>
      <w:r>
        <w:rPr>
          <w:rtl/>
        </w:rPr>
        <w:t>׳ דב כץ מניסיונו האישי, כפי שנרשם בספרו של כץ, “תנועת המוסר”, כרך ג</w:t>
      </w:r>
      <w:bookmarkStart w:id="4196" w:name="_fnr3164"/>
      <w:r>
        <w:rPr>
          <w:vertAlign w:val="superscript"/>
          <w:rtl/>
        </w:rPr>
        <w:footnoteReference w:id="3172" w:customMarkFollows="0"/>
      </w:r>
      <w:bookmarkEnd w:id="4196"/>
      <w:r>
        <w:rPr>
          <w:rtl/>
        </w:rPr>
        <w:t>.</w:t>
      </w:r>
    </w:p>
    <w:bookmarkStart w:id="4197" w:name="b4_note38"/>
    <w:p w14:paraId="0DE5FE59" w14:textId="77777777" w:rsidR="00AB3647" w:rsidRDefault="00000000" w:rsidP="007923E9">
      <w:pPr>
        <w:spacing w:before="120" w:after="100" w:line="276" w:lineRule="auto"/>
        <w:jc w:val="both"/>
      </w:pPr>
      <w:r>
        <w:fldChar w:fldCharType="begin" w:dirty="true"/>
      </w:r>
      <w:r>
        <w:instrText>HYPERLINK \l "b4_text38" \h</w:instrText>
      </w:r>
      <w:r>
        <w:fldChar w:fldCharType="separate"/>
      </w:r>
      <w:r>
        <w:rPr>
          <w:b/>
          <w:bCs/>
          <w:rtl/>
        </w:rPr>
        <w:t>38</w:t>
      </w:r>
      <w:r>
        <w:rPr>
          <w:b/>
          <w:bCs/>
        </w:rPr>
        <w:fldChar w:fldCharType="end"/>
      </w:r>
      <w:bookmarkEnd w:id="4197"/>
      <w:r>
        <w:rPr>
          <w:rtl/>
        </w:rPr>
        <w:t xml:space="preserve"> יש להדגיש שכבוד הסבא לתלמידיו לא הביא לריחוק ביחסו אליהם – השווה הערה 23 לעיל. בריאיון המוקלט עם ר׳ </w:t>
      </w:r>
      <w:proofErr w:type="spellStart"/>
      <w:r>
        <w:rPr>
          <w:rtl/>
        </w:rPr>
        <w:t>יעקב־יצחק</w:t>
      </w:r>
      <w:proofErr w:type="spellEnd"/>
      <w:r>
        <w:rPr>
          <w:rtl/>
        </w:rPr>
        <w:t xml:space="preserve"> </w:t>
      </w:r>
      <w:proofErr w:type="spellStart"/>
      <w:r>
        <w:rPr>
          <w:rtl/>
        </w:rPr>
        <w:t>רודרמן</w:t>
      </w:r>
      <w:bookmarkStart w:id="4198" w:name="_fnr3165"/>
      <w:proofErr w:type="spellEnd"/>
      <w:r>
        <w:rPr>
          <w:vertAlign w:val="superscript"/>
          <w:rtl/>
        </w:rPr>
        <w:footnoteReference w:id="3173" w:customMarkFollows="0"/>
      </w:r>
      <w:bookmarkEnd w:id="4198"/>
      <w:r>
        <w:rPr>
          <w:rtl/>
        </w:rPr>
        <w:t xml:space="preserve"> שאל אחד המראיינים אם הסבא היה דומה לאדמו״ר חסידי, ור׳ </w:t>
      </w:r>
      <w:proofErr w:type="spellStart"/>
      <w:r>
        <w:rPr>
          <w:rtl/>
        </w:rPr>
        <w:t>יעקב־יצחק</w:t>
      </w:r>
      <w:proofErr w:type="spellEnd"/>
      <w:r>
        <w:rPr>
          <w:rtl/>
        </w:rPr>
        <w:t xml:space="preserve"> השיב: “היפך בתכלית: אם מישהו קרא לו ‘רבי’, היה מתנגד. יכולת להתווכח עמו, יכולת לומר שאינך מסכים</w:t>
      </w:r>
      <w:bookmarkStart w:id="4199" w:name="_fnr3166"/>
      <w:r>
        <w:rPr>
          <w:vertAlign w:val="superscript"/>
          <w:rtl/>
        </w:rPr>
        <w:footnoteReference w:id="3174" w:customMarkFollows="0"/>
      </w:r>
      <w:bookmarkEnd w:id="4199"/>
      <w:r>
        <w:rPr>
          <w:rtl/>
        </w:rPr>
        <w:t>. הוא לימד את התלמיד להיות עצמאי – אפילו כלפיו”.</w:t>
      </w:r>
    </w:p>
    <w:bookmarkStart w:id="4200" w:name="b4_note39"/>
    <w:p w14:paraId="4B5B43D2" w14:textId="00F98168" w:rsidR="00AB3647" w:rsidRDefault="00000000" w:rsidP="007923E9">
      <w:pPr>
        <w:spacing w:before="120" w:after="100" w:line="276" w:lineRule="auto"/>
        <w:jc w:val="both"/>
      </w:pPr>
      <w:r>
        <w:fldChar w:fldCharType="begin" w:dirty="true"/>
      </w:r>
      <w:r>
        <w:instrText>HYPERLINK \l "b4_text39" \h</w:instrText>
      </w:r>
      <w:r>
        <w:fldChar w:fldCharType="separate"/>
      </w:r>
      <w:r>
        <w:rPr>
          <w:b/>
          <w:bCs/>
          <w:rtl/>
        </w:rPr>
        <w:t>39</w:t>
      </w:r>
      <w:r>
        <w:rPr>
          <w:b/>
          <w:bCs/>
        </w:rPr>
        <w:fldChar w:fldCharType="end"/>
      </w:r>
      <w:bookmarkEnd w:id="4200"/>
      <w:r>
        <w:rPr>
          <w:rtl/>
        </w:rPr>
        <w:t xml:space="preserve"> ראה </w:t>
      </w:r>
      <w:r>
        <w:rPr>
          <w:rtl/>
        </w:rPr>
        <w:fldChar w:fldCharType="begin" w:dirty="true"/>
      </w:r>
      <w:r>
        <w:rPr>
          <w:rtl/>
        </w:rPr>
        <w:instrText xml:space="preserve"> REF b4_excD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ד</w:t>
      </w:r>
      <w:r>
        <w:rPr>
          <w:rtl/>
        </w:rPr>
        <w:fldChar w:fldCharType="end"/>
      </w:r>
      <w:r>
        <w:rPr>
          <w:rtl/>
        </w:rPr>
        <w:t>.</w:t>
      </w:r>
    </w:p>
    <w:p w14:paraId="07459E91" w14:textId="3092F033"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הסבא העריך כל אחד מתלמידיו, והחליט איזו מן הדרכים המגוונות להפליא תניב את התוצאות הטובות ביותר: תלמיד זה יתקדם רק אם יקבל כבוד</w:t>
      </w:r>
      <w:bookmarkStart w:id="4201" w:name="b4_text40"/>
      <w:bookmarkEnd w:id="4201"/>
      <w:r>
        <w:rPr>
          <w:sz w:val="18"/>
          <w:szCs w:val="18"/>
          <w:vertAlign w:val="superscript"/>
          <w:rtl/>
        </w:rPr>
        <w:fldChar w:fldCharType="begin" w:dirty="true"/>
      </w:r>
      <w:r>
        <w:rPr>
          <w:sz w:val="18"/>
          <w:szCs w:val="18"/>
          <w:vertAlign w:val="superscript"/>
          <w:rtl/>
        </w:rPr>
        <w:instrText xml:space="preserve"> REF b4_note40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40</w:t>
      </w:r>
      <w:r>
        <w:rPr>
          <w:sz w:val="18"/>
          <w:szCs w:val="18"/>
          <w:vertAlign w:val="superscript"/>
          <w:rtl/>
        </w:rPr>
        <w:fldChar w:fldCharType="end"/>
      </w:r>
      <w:r>
        <w:rPr>
          <w:rtl/>
        </w:rPr>
        <w:t>; האחר זקוק לתוכחה</w:t>
      </w:r>
      <w:bookmarkStart w:id="4202" w:name="b4_text41"/>
      <w:bookmarkEnd w:id="4202"/>
      <w:r>
        <w:rPr>
          <w:sz w:val="18"/>
          <w:szCs w:val="18"/>
          <w:vertAlign w:val="superscript"/>
          <w:rtl/>
        </w:rPr>
        <w:fldChar w:fldCharType="begin" w:dirty="true"/>
      </w:r>
      <w:r>
        <w:rPr>
          <w:sz w:val="18"/>
          <w:szCs w:val="18"/>
          <w:vertAlign w:val="superscript"/>
          <w:rtl/>
        </w:rPr>
        <w:instrText xml:space="preserve"> REF b4_note41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41</w:t>
      </w:r>
      <w:r>
        <w:rPr>
          <w:sz w:val="18"/>
          <w:szCs w:val="18"/>
          <w:vertAlign w:val="superscript"/>
          <w:rtl/>
        </w:rPr>
        <w:fldChar w:fldCharType="end"/>
      </w:r>
      <w:r>
        <w:rPr>
          <w:rtl/>
        </w:rPr>
        <w:t>; השלישי יפיק את מרב התועלת מעידוד בשבחים</w:t>
      </w:r>
      <w:bookmarkStart w:id="4203" w:name="b4_text42"/>
      <w:bookmarkEnd w:id="4203"/>
      <w:r>
        <w:rPr>
          <w:sz w:val="18"/>
          <w:szCs w:val="18"/>
          <w:vertAlign w:val="superscript"/>
          <w:rtl/>
        </w:rPr>
        <w:fldChar w:fldCharType="begin" w:dirty="true"/>
      </w:r>
      <w:r>
        <w:rPr>
          <w:sz w:val="18"/>
          <w:szCs w:val="18"/>
          <w:vertAlign w:val="superscript"/>
          <w:rtl/>
        </w:rPr>
        <w:instrText xml:space="preserve"> REF b4_note42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42</w:t>
      </w:r>
      <w:r>
        <w:rPr>
          <w:sz w:val="18"/>
          <w:szCs w:val="18"/>
          <w:vertAlign w:val="superscript"/>
          <w:rtl/>
        </w:rPr>
        <w:fldChar w:fldCharType="end"/>
      </w:r>
      <w:r>
        <w:rPr>
          <w:rtl/>
        </w:rPr>
        <w:t>; וברביעי יש לנהוג בעדינות רבה</w:t>
      </w:r>
      <w:bookmarkStart w:id="4204" w:name="b4_text43"/>
      <w:bookmarkEnd w:id="4204"/>
      <w:r>
        <w:rPr>
          <w:sz w:val="18"/>
          <w:szCs w:val="18"/>
          <w:vertAlign w:val="superscript"/>
          <w:rtl/>
        </w:rPr>
        <w:fldChar w:fldCharType="begin" w:dirty="true"/>
      </w:r>
      <w:r>
        <w:rPr>
          <w:sz w:val="18"/>
          <w:szCs w:val="18"/>
          <w:vertAlign w:val="superscript"/>
          <w:rtl/>
        </w:rPr>
        <w:instrText xml:space="preserve"> REF b4_note43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43</w:t>
      </w:r>
      <w:r>
        <w:rPr>
          <w:sz w:val="18"/>
          <w:szCs w:val="18"/>
          <w:vertAlign w:val="superscript"/>
          <w:rtl/>
        </w:rPr>
        <w:fldChar w:fldCharType="end"/>
      </w:r>
      <w:r>
        <w:rPr>
          <w:rtl/>
        </w:rPr>
        <w:t>. לפעמים היו נותנים לתלמיד להרגיש חסר ערך ודוחים אותו</w:t>
      </w:r>
      <w:bookmarkStart w:id="4205" w:name="b4_text44"/>
      <w:bookmarkEnd w:id="4205"/>
      <w:r>
        <w:rPr>
          <w:sz w:val="18"/>
          <w:szCs w:val="18"/>
          <w:vertAlign w:val="superscript"/>
          <w:rtl/>
        </w:rPr>
        <w:fldChar w:fldCharType="begin" w:dirty="true"/>
      </w:r>
      <w:r>
        <w:rPr>
          <w:sz w:val="18"/>
          <w:szCs w:val="18"/>
          <w:vertAlign w:val="superscript"/>
          <w:rtl/>
        </w:rPr>
        <w:instrText xml:space="preserve"> REF b4_note44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44</w:t>
      </w:r>
      <w:r>
        <w:rPr>
          <w:sz w:val="18"/>
          <w:szCs w:val="18"/>
          <w:vertAlign w:val="superscript"/>
          <w:rtl/>
        </w:rPr>
        <w:fldChar w:fldCharType="end"/>
      </w:r>
      <w:r>
        <w:rPr>
          <w:rtl/>
        </w:rPr>
        <w:t>. אבל גם במקרים שבהם לא הייתה זו תחבולה חינוכית בלבד, מעולם לא סילק הסבא תלמיד במפורש</w:t>
      </w:r>
      <w:bookmarkStart w:id="4206" w:name="b4_text45"/>
      <w:bookmarkEnd w:id="4206"/>
      <w:r>
        <w:rPr>
          <w:sz w:val="18"/>
          <w:szCs w:val="18"/>
          <w:vertAlign w:val="superscript"/>
          <w:rtl/>
        </w:rPr>
        <w:fldChar w:fldCharType="begin" w:dirty="true"/>
      </w:r>
      <w:r>
        <w:rPr>
          <w:sz w:val="18"/>
          <w:szCs w:val="18"/>
          <w:vertAlign w:val="superscript"/>
          <w:rtl/>
        </w:rPr>
        <w:instrText xml:space="preserve"> REF b4_note45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45</w:t>
      </w:r>
      <w:r>
        <w:rPr>
          <w:sz w:val="18"/>
          <w:szCs w:val="18"/>
          <w:vertAlign w:val="superscript"/>
          <w:rtl/>
        </w:rPr>
        <w:fldChar w:fldCharType="end"/>
      </w:r>
      <w:r>
        <w:rPr>
          <w:rtl/>
        </w:rPr>
        <w:t>.</w:t>
      </w:r>
    </w:p>
    <w:bookmarkStart w:id="4207" w:name="b4_note40"/>
    <w:p w14:paraId="14E0DAE6" w14:textId="77777777" w:rsidR="00AB3647" w:rsidRDefault="00000000" w:rsidP="007923E9">
      <w:pPr>
        <w:keepLines/>
        <w:spacing w:before="120" w:after="100" w:line="276" w:lineRule="auto"/>
        <w:jc w:val="both"/>
      </w:pPr>
      <w:r>
        <w:lastRenderedPageBreak/>
        <w:fldChar w:fldCharType="begin" w:dirty="true"/>
      </w:r>
      <w:r>
        <w:instrText>HYPERLINK \l "b4_text40" \h</w:instrText>
      </w:r>
      <w:r>
        <w:fldChar w:fldCharType="separate"/>
      </w:r>
      <w:r>
        <w:rPr>
          <w:b/>
          <w:bCs/>
          <w:rtl/>
        </w:rPr>
        <w:t>40</w:t>
      </w:r>
      <w:r>
        <w:rPr>
          <w:b/>
          <w:bCs/>
        </w:rPr>
        <w:fldChar w:fldCharType="end"/>
      </w:r>
      <w:bookmarkEnd w:id="4207"/>
      <w:r>
        <w:rPr>
          <w:rtl/>
        </w:rPr>
        <w:t xml:space="preserve"> לפי כץ, “תנועת המוסר”, כרך ג</w:t>
      </w:r>
      <w:bookmarkStart w:id="4208" w:name="_fnr3167"/>
      <w:r>
        <w:rPr>
          <w:vertAlign w:val="superscript"/>
          <w:rtl/>
        </w:rPr>
        <w:footnoteReference w:id="3175" w:customMarkFollows="0"/>
      </w:r>
      <w:bookmarkEnd w:id="4208"/>
      <w:r>
        <w:rPr>
          <w:rtl/>
        </w:rPr>
        <w:t xml:space="preserve">, הסבא – למרבה הפלא – היה קם מלוא קומתו בפני כמה מן התלמידים, מכנה אותם “גאון” </w:t>
      </w:r>
      <w:proofErr w:type="spellStart"/>
      <w:r>
        <w:rPr>
          <w:rtl/>
        </w:rPr>
        <w:t>ו“צדיק</w:t>
      </w:r>
      <w:proofErr w:type="spellEnd"/>
      <w:r>
        <w:rPr>
          <w:rtl/>
        </w:rPr>
        <w:t xml:space="preserve">”, מבקש את ברכתם ואומר לתלמידים אחרים לעשות כן. ר׳ חיים </w:t>
      </w:r>
      <w:proofErr w:type="spellStart"/>
      <w:r>
        <w:rPr>
          <w:rtl/>
        </w:rPr>
        <w:t>סרנא</w:t>
      </w:r>
      <w:bookmarkStart w:id="4209" w:name="_fnr3168"/>
      <w:proofErr w:type="spellEnd"/>
      <w:r>
        <w:rPr>
          <w:vertAlign w:val="superscript"/>
          <w:rtl/>
        </w:rPr>
        <w:footnoteReference w:id="3176" w:customMarkFollows="0"/>
      </w:r>
      <w:bookmarkEnd w:id="4209"/>
      <w:r>
        <w:rPr>
          <w:rtl/>
        </w:rPr>
        <w:t xml:space="preserve"> הביא דוגמה ממשית להנהגה זו: כשאביו ר׳ </w:t>
      </w:r>
      <w:proofErr w:type="spellStart"/>
      <w:r>
        <w:rPr>
          <w:rtl/>
        </w:rPr>
        <w:t>חצקל</w:t>
      </w:r>
      <w:proofErr w:type="spellEnd"/>
      <w:r>
        <w:rPr>
          <w:rtl/>
        </w:rPr>
        <w:t xml:space="preserve"> ערך קידוש לרגל הולדת בתו ואמר דברי תורה, ניגש אליו הסבא, נשק לו וקרא: “רבי ומורי!” השווה גם “שרידי אש”</w:t>
      </w:r>
      <w:bookmarkStart w:id="4210" w:name="_fnr3169"/>
      <w:r>
        <w:rPr>
          <w:vertAlign w:val="superscript"/>
          <w:rtl/>
        </w:rPr>
        <w:footnoteReference w:id="3177" w:customMarkFollows="0"/>
      </w:r>
      <w:bookmarkEnd w:id="4210"/>
      <w:r>
        <w:rPr>
          <w:rtl/>
        </w:rPr>
        <w:t>: רק עילויים שהסבא עצמו הכיר בהם ככאלה היו יושבים לאורך כותל המזרח המכובד של בית המדרש.</w:t>
      </w:r>
    </w:p>
    <w:bookmarkStart w:id="4211" w:name="b4_note41"/>
    <w:p w14:paraId="113A6234" w14:textId="77777777" w:rsidR="00AB3647" w:rsidRDefault="00000000" w:rsidP="007923E9">
      <w:pPr>
        <w:spacing w:before="120" w:after="100" w:line="276" w:lineRule="auto"/>
        <w:jc w:val="both"/>
      </w:pPr>
      <w:r>
        <w:fldChar w:fldCharType="begin" w:dirty="true"/>
      </w:r>
      <w:r>
        <w:instrText>HYPERLINK \l "b4_text41" \h</w:instrText>
      </w:r>
      <w:r>
        <w:fldChar w:fldCharType="separate"/>
      </w:r>
      <w:r>
        <w:rPr>
          <w:b/>
          <w:bCs/>
          <w:rtl/>
        </w:rPr>
        <w:t>41</w:t>
      </w:r>
      <w:r>
        <w:rPr>
          <w:b/>
          <w:bCs/>
        </w:rPr>
        <w:fldChar w:fldCharType="end"/>
      </w:r>
      <w:bookmarkEnd w:id="4211"/>
      <w:r>
        <w:rPr>
          <w:rtl/>
        </w:rPr>
        <w:t xml:space="preserve"> לפי ר׳ שפטל </w:t>
      </w:r>
      <w:proofErr w:type="spellStart"/>
      <w:r>
        <w:rPr>
          <w:rtl/>
        </w:rPr>
        <w:t>נויברגר</w:t>
      </w:r>
      <w:bookmarkStart w:id="4212" w:name="_fnr3170"/>
      <w:proofErr w:type="spellEnd"/>
      <w:r>
        <w:rPr>
          <w:vertAlign w:val="superscript"/>
          <w:rtl/>
        </w:rPr>
        <w:footnoteReference w:id="3178" w:customMarkFollows="0"/>
      </w:r>
      <w:bookmarkEnd w:id="4212"/>
      <w:r>
        <w:rPr>
          <w:rtl/>
        </w:rPr>
        <w:t xml:space="preserve">, סיפר ר׳ </w:t>
      </w:r>
      <w:proofErr w:type="spellStart"/>
      <w:r>
        <w:rPr>
          <w:rtl/>
        </w:rPr>
        <w:t>יעקב־יצחק</w:t>
      </w:r>
      <w:proofErr w:type="spellEnd"/>
      <w:r>
        <w:rPr>
          <w:rtl/>
        </w:rPr>
        <w:t xml:space="preserve"> </w:t>
      </w:r>
      <w:proofErr w:type="spellStart"/>
      <w:r>
        <w:rPr>
          <w:rtl/>
        </w:rPr>
        <w:t>רודרמן</w:t>
      </w:r>
      <w:proofErr w:type="spellEnd"/>
      <w:r>
        <w:rPr>
          <w:rtl/>
        </w:rPr>
        <w:t xml:space="preserve"> שהסבא היה מטיח בר׳ ירוחם </w:t>
      </w:r>
      <w:proofErr w:type="spellStart"/>
      <w:r>
        <w:rPr>
          <w:rtl/>
        </w:rPr>
        <w:t>ליבוביץ</w:t>
      </w:r>
      <w:proofErr w:type="spellEnd"/>
      <w:r>
        <w:rPr>
          <w:rtl/>
        </w:rPr>
        <w:t xml:space="preserve"> ברבים, גם לאחר שכבר היה משגיח בישיבת </w:t>
      </w:r>
      <w:proofErr w:type="spellStart"/>
      <w:r>
        <w:rPr>
          <w:rtl/>
        </w:rPr>
        <w:t>מיר</w:t>
      </w:r>
      <w:proofErr w:type="spellEnd"/>
      <w:r>
        <w:rPr>
          <w:rtl/>
        </w:rPr>
        <w:t xml:space="preserve">: “איזו מין הנהגה זו עם תלמידים? אתה הופך אותם </w:t>
      </w:r>
      <w:proofErr w:type="spellStart"/>
      <w:r>
        <w:rPr>
          <w:rtl/>
        </w:rPr>
        <w:t>לגולמים</w:t>
      </w:r>
      <w:proofErr w:type="spellEnd"/>
      <w:r>
        <w:rPr>
          <w:rtl/>
        </w:rPr>
        <w:t xml:space="preserve"> [דו </w:t>
      </w:r>
      <w:proofErr w:type="spellStart"/>
      <w:r>
        <w:rPr>
          <w:rtl/>
        </w:rPr>
        <w:t>פאר׳גולפ׳סט</w:t>
      </w:r>
      <w:proofErr w:type="spellEnd"/>
      <w:r>
        <w:rPr>
          <w:rtl/>
        </w:rPr>
        <w:t xml:space="preserve"> </w:t>
      </w:r>
      <w:proofErr w:type="spellStart"/>
      <w:r>
        <w:rPr>
          <w:rtl/>
        </w:rPr>
        <w:t>זיי</w:t>
      </w:r>
      <w:proofErr w:type="spellEnd"/>
      <w:r>
        <w:rPr>
          <w:rtl/>
        </w:rPr>
        <w:t xml:space="preserve">]”. וכך תיאר ר׳ </w:t>
      </w:r>
      <w:proofErr w:type="spellStart"/>
      <w:r>
        <w:rPr>
          <w:rtl/>
        </w:rPr>
        <w:t>יעקב־יצחק</w:t>
      </w:r>
      <w:proofErr w:type="spellEnd"/>
      <w:r>
        <w:rPr>
          <w:rtl/>
        </w:rPr>
        <w:t xml:space="preserve"> </w:t>
      </w:r>
      <w:proofErr w:type="spellStart"/>
      <w:r>
        <w:rPr>
          <w:rtl/>
        </w:rPr>
        <w:t>רודרמן</w:t>
      </w:r>
      <w:proofErr w:type="spellEnd"/>
      <w:r>
        <w:rPr>
          <w:rtl/>
        </w:rPr>
        <w:t xml:space="preserve"> את הנהגת הסבא עם ר׳ ירוחם: “אילו הייתי מדבר אל בחור כפי שהסבא דיבר אל ר׳ ירוחם, יכולתי לסגור את ישיבתי בן רגע, מפני שכולם היו בורחים מיד”. בתארו כך את החינוך שקיבלו תלמידי ר׳ ירוחם, התכוון הסבא כנראה לכך שאינם מפתחים את כוחותיהם האישיים, וכולם נוצקים בתבנית אחת. השווה הפסקה השלישית בנספח ה להלן, על כך שהסבא נמנע מלעצב את תלמידיו לפי דגם אחיד.</w:t>
      </w:r>
    </w:p>
    <w:p w14:paraId="07D624A9" w14:textId="77777777" w:rsidR="00AB3647" w:rsidRDefault="00000000" w:rsidP="007923E9">
      <w:pPr>
        <w:spacing w:after="120" w:line="276" w:lineRule="auto"/>
        <w:jc w:val="both"/>
      </w:pPr>
      <w:bookmarkStart w:id="4213" w:name="pr_b_1855"/>
      <w:bookmarkEnd w:id="4213"/>
      <w:r>
        <w:rPr>
          <w:rtl/>
        </w:rPr>
        <w:t xml:space="preserve">ר׳ ירוחם שימש בישיבת </w:t>
      </w:r>
      <w:proofErr w:type="spellStart"/>
      <w:r>
        <w:rPr>
          <w:rtl/>
        </w:rPr>
        <w:t>מיר</w:t>
      </w:r>
      <w:proofErr w:type="spellEnd"/>
      <w:r>
        <w:rPr>
          <w:rtl/>
        </w:rPr>
        <w:t xml:space="preserve"> כארבע שנים לפני מלחמת העולם הראשונה, ובזמן המלחמה שהה כמה שנים עם הישיבה בגלותה, </w:t>
      </w:r>
      <w:proofErr w:type="spellStart"/>
      <w:r>
        <w:rPr>
          <w:rtl/>
        </w:rPr>
        <w:t>בפולטבה</w:t>
      </w:r>
      <w:proofErr w:type="spellEnd"/>
      <w:r>
        <w:rPr>
          <w:rtl/>
        </w:rPr>
        <w:t xml:space="preserve"> שבאוקראינה. לאחר המלחמה שימש משגיח בישיבה שהקים </w:t>
      </w:r>
      <w:proofErr w:type="spellStart"/>
      <w:r>
        <w:rPr>
          <w:rtl/>
        </w:rPr>
        <w:t>בפוניבז</w:t>
      </w:r>
      <w:proofErr w:type="spellEnd"/>
      <w:r>
        <w:rPr>
          <w:rtl/>
        </w:rPr>
        <w:t xml:space="preserve">׳ ר׳ </w:t>
      </w:r>
      <w:proofErr w:type="spellStart"/>
      <w:r>
        <w:rPr>
          <w:rtl/>
        </w:rPr>
        <w:t>יוסף־שלמה</w:t>
      </w:r>
      <w:proofErr w:type="spellEnd"/>
      <w:r>
        <w:rPr>
          <w:rtl/>
        </w:rPr>
        <w:t xml:space="preserve"> </w:t>
      </w:r>
      <w:proofErr w:type="spellStart"/>
      <w:r>
        <w:rPr>
          <w:rtl/>
        </w:rPr>
        <w:t>כהנמן</w:t>
      </w:r>
      <w:proofErr w:type="spellEnd"/>
      <w:r>
        <w:rPr>
          <w:rtl/>
        </w:rPr>
        <w:t xml:space="preserve">, הרב </w:t>
      </w:r>
      <w:proofErr w:type="spellStart"/>
      <w:r>
        <w:rPr>
          <w:rtl/>
        </w:rPr>
        <w:t>מפוניבז</w:t>
      </w:r>
      <w:proofErr w:type="spellEnd"/>
      <w:r>
        <w:rPr>
          <w:rtl/>
        </w:rPr>
        <w:t xml:space="preserve">׳, ואחר כך חזר </w:t>
      </w:r>
      <w:proofErr w:type="spellStart"/>
      <w:r>
        <w:rPr>
          <w:rtl/>
        </w:rPr>
        <w:t>למיר</w:t>
      </w:r>
      <w:proofErr w:type="spellEnd"/>
      <w:r>
        <w:rPr>
          <w:rtl/>
        </w:rPr>
        <w:t xml:space="preserve"> </w:t>
      </w:r>
      <w:proofErr w:type="spellStart"/>
      <w:r>
        <w:rPr>
          <w:rtl/>
        </w:rPr>
        <w:t>בתרפ״ג</w:t>
      </w:r>
      <w:bookmarkStart w:id="4214" w:name="_fnr3171"/>
      <w:proofErr w:type="spellEnd"/>
      <w:r>
        <w:rPr>
          <w:vertAlign w:val="superscript"/>
          <w:rtl/>
        </w:rPr>
        <w:footnoteReference w:id="3179" w:customMarkFollows="0"/>
      </w:r>
      <w:bookmarkEnd w:id="4214"/>
      <w:r>
        <w:rPr>
          <w:rtl/>
        </w:rPr>
        <w:t xml:space="preserve">, עד פטירתו </w:t>
      </w:r>
      <w:proofErr w:type="spellStart"/>
      <w:r>
        <w:rPr>
          <w:rtl/>
        </w:rPr>
        <w:t>בתרצ״ו</w:t>
      </w:r>
      <w:proofErr w:type="spellEnd"/>
      <w:r>
        <w:rPr>
          <w:rtl/>
        </w:rPr>
        <w:t>.</w:t>
      </w:r>
    </w:p>
    <w:p w14:paraId="3D490A9C" w14:textId="77777777" w:rsidR="00AB3647" w:rsidRDefault="00000000" w:rsidP="007923E9">
      <w:pPr>
        <w:spacing w:after="120" w:line="276" w:lineRule="auto"/>
        <w:jc w:val="both"/>
      </w:pPr>
      <w:r>
        <w:rPr>
          <w:rtl/>
        </w:rPr>
        <w:t xml:space="preserve">מסתבר שהמעשה, או המעשים, שעליהם סיפר ר׳ </w:t>
      </w:r>
      <w:proofErr w:type="spellStart"/>
      <w:r>
        <w:rPr>
          <w:rtl/>
        </w:rPr>
        <w:t>יעקב־יצחק</w:t>
      </w:r>
      <w:proofErr w:type="spellEnd"/>
      <w:r>
        <w:rPr>
          <w:rtl/>
        </w:rPr>
        <w:t xml:space="preserve"> </w:t>
      </w:r>
      <w:proofErr w:type="spellStart"/>
      <w:r>
        <w:rPr>
          <w:rtl/>
        </w:rPr>
        <w:t>רודרמן</w:t>
      </w:r>
      <w:proofErr w:type="spellEnd"/>
      <w:r>
        <w:rPr>
          <w:rtl/>
        </w:rPr>
        <w:t xml:space="preserve"> אירעו בתקופת כהונתו הראשונה של ר׳ ירוחם </w:t>
      </w:r>
      <w:proofErr w:type="spellStart"/>
      <w:r>
        <w:rPr>
          <w:rtl/>
        </w:rPr>
        <w:t>במיר</w:t>
      </w:r>
      <w:proofErr w:type="spellEnd"/>
      <w:r>
        <w:rPr>
          <w:rtl/>
        </w:rPr>
        <w:t xml:space="preserve">, כלומר לפני מלחמת העולם. שהרי לאחר המלחמה, כשחזר ר׳ ירוחם לישיבת </w:t>
      </w:r>
      <w:proofErr w:type="spellStart"/>
      <w:r>
        <w:rPr>
          <w:rtl/>
        </w:rPr>
        <w:t>מיר</w:t>
      </w:r>
      <w:proofErr w:type="spellEnd"/>
      <w:r>
        <w:rPr>
          <w:rtl/>
        </w:rPr>
        <w:t xml:space="preserve">, כמעט לא הייתה אפשרות לנסוע בין </w:t>
      </w:r>
      <w:proofErr w:type="spellStart"/>
      <w:r>
        <w:rPr>
          <w:rtl/>
        </w:rPr>
        <w:t>מיר</w:t>
      </w:r>
      <w:proofErr w:type="spellEnd"/>
      <w:r>
        <w:rPr>
          <w:rtl/>
        </w:rPr>
        <w:t xml:space="preserve"> שבפולין </w:t>
      </w:r>
      <w:proofErr w:type="spellStart"/>
      <w:r>
        <w:rPr>
          <w:rtl/>
        </w:rPr>
        <w:t>לסלבודקה</w:t>
      </w:r>
      <w:proofErr w:type="spellEnd"/>
      <w:r>
        <w:rPr>
          <w:rtl/>
        </w:rPr>
        <w:t xml:space="preserve"> שבליטא, בשל סגירת הגבול </w:t>
      </w:r>
      <w:proofErr w:type="spellStart"/>
      <w:r>
        <w:rPr>
          <w:rtl/>
        </w:rPr>
        <w:t>הבין־לאומי</w:t>
      </w:r>
      <w:proofErr w:type="spellEnd"/>
      <w:r>
        <w:rPr>
          <w:rtl/>
        </w:rPr>
        <w:t xml:space="preserve">; ומסתבר שהסבא לא היה יודע כיצד מחנך ר׳ ירוחם את תלמידיו. השווה גם פרק 3, הפסקה השנייה של נספח </w:t>
      </w:r>
      <w:proofErr w:type="spellStart"/>
      <w:r>
        <w:rPr>
          <w:rtl/>
        </w:rPr>
        <w:t>יז</w:t>
      </w:r>
      <w:proofErr w:type="spellEnd"/>
      <w:r>
        <w:rPr>
          <w:rtl/>
        </w:rPr>
        <w:t xml:space="preserve">, על מקרה של עימות בין הסבא </w:t>
      </w:r>
      <w:proofErr w:type="spellStart"/>
      <w:r>
        <w:rPr>
          <w:rtl/>
        </w:rPr>
        <w:t>לר</w:t>
      </w:r>
      <w:proofErr w:type="spellEnd"/>
      <w:r>
        <w:rPr>
          <w:rtl/>
        </w:rPr>
        <w:t xml:space="preserve">׳ ירוחם, שנראה שאירע בזמן ששימש </w:t>
      </w:r>
      <w:proofErr w:type="spellStart"/>
      <w:r>
        <w:rPr>
          <w:rtl/>
        </w:rPr>
        <w:t>בפוניבז</w:t>
      </w:r>
      <w:proofErr w:type="spellEnd"/>
      <w:r>
        <w:rPr>
          <w:rtl/>
        </w:rPr>
        <w:t>׳.</w:t>
      </w:r>
    </w:p>
    <w:p w14:paraId="3628EAC0" w14:textId="77777777" w:rsidR="00AB3647" w:rsidRDefault="00000000" w:rsidP="007923E9">
      <w:pPr>
        <w:spacing w:after="120" w:line="276" w:lineRule="auto"/>
        <w:jc w:val="both"/>
      </w:pPr>
      <w:bookmarkStart w:id="4215" w:name="pr_close_b_2966"/>
      <w:bookmarkEnd w:id="4215"/>
      <w:r>
        <w:rPr>
          <w:rtl/>
        </w:rPr>
        <w:t xml:space="preserve">לפי בנו ר׳ </w:t>
      </w:r>
      <w:proofErr w:type="spellStart"/>
      <w:r>
        <w:rPr>
          <w:rtl/>
        </w:rPr>
        <w:t>שמחה־זיסל</w:t>
      </w:r>
      <w:proofErr w:type="spellEnd"/>
      <w:r>
        <w:rPr>
          <w:rtl/>
        </w:rPr>
        <w:t xml:space="preserve">, בא ר׳ ירוחם </w:t>
      </w:r>
      <w:proofErr w:type="spellStart"/>
      <w:r>
        <w:rPr>
          <w:rtl/>
        </w:rPr>
        <w:t>ליבוביץ</w:t>
      </w:r>
      <w:proofErr w:type="spellEnd"/>
      <w:r>
        <w:rPr>
          <w:rtl/>
        </w:rPr>
        <w:t xml:space="preserve"> לראשונה לישיבת </w:t>
      </w:r>
      <w:proofErr w:type="spellStart"/>
      <w:r>
        <w:rPr>
          <w:rtl/>
        </w:rPr>
        <w:t>מיר</w:t>
      </w:r>
      <w:proofErr w:type="spellEnd"/>
      <w:r>
        <w:rPr>
          <w:rtl/>
        </w:rPr>
        <w:t xml:space="preserve"> בעצת הסבא, כדי שיעמיד בה ישיבה מן השורה הראשונה יחד עם בן הסבא ר׳ </w:t>
      </w:r>
      <w:proofErr w:type="spellStart"/>
      <w:r>
        <w:rPr>
          <w:rtl/>
        </w:rPr>
        <w:t>לייזר־יודל</w:t>
      </w:r>
      <w:proofErr w:type="spellEnd"/>
      <w:r>
        <w:rPr>
          <w:rtl/>
        </w:rPr>
        <w:t xml:space="preserve">, חתנו של ראש ישיבת </w:t>
      </w:r>
      <w:proofErr w:type="spellStart"/>
      <w:r>
        <w:rPr>
          <w:rtl/>
        </w:rPr>
        <w:t>מיר</w:t>
      </w:r>
      <w:proofErr w:type="spellEnd"/>
      <w:r>
        <w:rPr>
          <w:rtl/>
        </w:rPr>
        <w:t xml:space="preserve"> באותה עת</w:t>
      </w:r>
      <w:bookmarkStart w:id="4216" w:name="_fnr3172"/>
      <w:r>
        <w:rPr>
          <w:vertAlign w:val="superscript"/>
          <w:rtl/>
        </w:rPr>
        <w:footnoteReference w:id="3180" w:customMarkFollows="0"/>
      </w:r>
      <w:bookmarkEnd w:id="4216"/>
      <w:r>
        <w:rPr>
          <w:rtl/>
        </w:rPr>
        <w:t xml:space="preserve">. ר׳ </w:t>
      </w:r>
      <w:proofErr w:type="spellStart"/>
      <w:r>
        <w:rPr>
          <w:rtl/>
        </w:rPr>
        <w:t>נתן־מאיר</w:t>
      </w:r>
      <w:proofErr w:type="spellEnd"/>
      <w:r>
        <w:rPr>
          <w:rtl/>
        </w:rPr>
        <w:t xml:space="preserve"> </w:t>
      </w:r>
      <w:proofErr w:type="spellStart"/>
      <w:r>
        <w:rPr>
          <w:rtl/>
        </w:rPr>
        <w:t>וכטפוגל</w:t>
      </w:r>
      <w:proofErr w:type="spellEnd"/>
      <w:r>
        <w:rPr>
          <w:rtl/>
        </w:rPr>
        <w:t xml:space="preserve">, שלמד אצל ר׳ ירוחם </w:t>
      </w:r>
      <w:proofErr w:type="spellStart"/>
      <w:r>
        <w:rPr>
          <w:rtl/>
        </w:rPr>
        <w:t>במיר</w:t>
      </w:r>
      <w:proofErr w:type="spellEnd"/>
      <w:r>
        <w:rPr>
          <w:rtl/>
        </w:rPr>
        <w:t xml:space="preserve"> שבע שנים, גילה</w:t>
      </w:r>
      <w:bookmarkStart w:id="4217" w:name="_fnr3173"/>
      <w:bookmarkStart w:id="4218" w:name="pr_f_3065"/>
      <w:r>
        <w:rPr>
          <w:vertAlign w:val="superscript"/>
          <w:rtl/>
        </w:rPr>
        <w:footnoteReference w:id="3181" w:customMarkFollows="0"/>
      </w:r>
      <w:bookmarkEnd w:id="4217"/>
      <w:bookmarkEnd w:id="4218"/>
      <w:r>
        <w:rPr>
          <w:rtl/>
        </w:rPr>
        <w:t xml:space="preserve"> שרבו אמר </w:t>
      </w:r>
      <w:r>
        <w:rPr>
          <w:rtl/>
        </w:rPr>
        <w:lastRenderedPageBreak/>
        <w:t xml:space="preserve">על עצמו: “כל מה שהשגתי בא לי מן הסבא </w:t>
      </w:r>
      <w:proofErr w:type="spellStart"/>
      <w:r>
        <w:rPr>
          <w:rtl/>
        </w:rPr>
        <w:t>מסלבודקה</w:t>
      </w:r>
      <w:proofErr w:type="spellEnd"/>
      <w:r>
        <w:rPr>
          <w:rtl/>
        </w:rPr>
        <w:t xml:space="preserve">”. ר׳ ירוחם היה תלמיד הסבא שש שנים, </w:t>
      </w:r>
      <w:proofErr w:type="spellStart"/>
      <w:r>
        <w:rPr>
          <w:rtl/>
        </w:rPr>
        <w:t>מתרנ״א</w:t>
      </w:r>
      <w:proofErr w:type="spellEnd"/>
      <w:r>
        <w:rPr>
          <w:rtl/>
        </w:rPr>
        <w:t xml:space="preserve">, כשהיה בן </w:t>
      </w:r>
      <w:proofErr w:type="spellStart"/>
      <w:r>
        <w:rPr>
          <w:rtl/>
        </w:rPr>
        <w:t>שש־עשרה</w:t>
      </w:r>
      <w:proofErr w:type="spellEnd"/>
      <w:r>
        <w:rPr>
          <w:rtl/>
        </w:rPr>
        <w:t>, עד תרנ״ז</w:t>
      </w:r>
      <w:bookmarkStart w:id="4219" w:name="_fnr3174"/>
      <w:r>
        <w:rPr>
          <w:vertAlign w:val="superscript"/>
          <w:rtl/>
        </w:rPr>
        <w:footnoteReference w:id="3182" w:customMarkFollows="0"/>
      </w:r>
      <w:bookmarkEnd w:id="4219"/>
      <w:r>
        <w:rPr>
          <w:rtl/>
        </w:rPr>
        <w:t>, שאז סייע לרבו במחלוקת המוסר</w:t>
      </w:r>
      <w:bookmarkStart w:id="4220" w:name="_fnr3175"/>
      <w:r>
        <w:rPr>
          <w:vertAlign w:val="superscript"/>
          <w:rtl/>
        </w:rPr>
        <w:footnoteReference w:id="3183" w:customMarkFollows="0"/>
      </w:r>
      <w:bookmarkEnd w:id="4220"/>
      <w:r>
        <w:rPr>
          <w:rtl/>
        </w:rPr>
        <w:t>.</w:t>
      </w:r>
    </w:p>
    <w:bookmarkStart w:id="4221" w:name="b4_note42"/>
    <w:p w14:paraId="5AC286B0" w14:textId="77777777" w:rsidR="00AB3647" w:rsidRDefault="00000000" w:rsidP="007923E9">
      <w:pPr>
        <w:spacing w:before="120" w:after="100" w:line="276" w:lineRule="auto"/>
        <w:jc w:val="both"/>
      </w:pPr>
      <w:r>
        <w:fldChar w:fldCharType="begin" w:dirty="true"/>
      </w:r>
      <w:r>
        <w:instrText>HYPERLINK \l "b4_text42" \h</w:instrText>
      </w:r>
      <w:r>
        <w:fldChar w:fldCharType="separate"/>
      </w:r>
      <w:r>
        <w:rPr>
          <w:b/>
          <w:bCs/>
          <w:rtl/>
        </w:rPr>
        <w:t>42</w:t>
      </w:r>
      <w:r>
        <w:rPr>
          <w:b/>
          <w:bCs/>
        </w:rPr>
        <w:fldChar w:fldCharType="end"/>
      </w:r>
      <w:bookmarkEnd w:id="4221"/>
      <w:r>
        <w:rPr>
          <w:rtl/>
        </w:rPr>
        <w:t xml:space="preserve"> הוא היה משבח כמה מן הבחורים בלשון מופלגת, ואומר שהם יכולים להיות רבי עקיבא איגר שני, שאגת אריה שני, ושהם עתידים להיות רשכבה״ג</w:t>
      </w:r>
      <w:bookmarkStart w:id="4222" w:name="_fnr3176"/>
      <w:r>
        <w:rPr>
          <w:vertAlign w:val="superscript"/>
          <w:rtl/>
        </w:rPr>
        <w:footnoteReference w:id="3184" w:customMarkFollows="0"/>
      </w:r>
      <w:bookmarkEnd w:id="4222"/>
      <w:r>
        <w:rPr>
          <w:rtl/>
        </w:rPr>
        <w:t>.</w:t>
      </w:r>
    </w:p>
    <w:p w14:paraId="73B5FDF4" w14:textId="77777777" w:rsidR="00AB3647" w:rsidRDefault="00000000" w:rsidP="007923E9">
      <w:pPr>
        <w:spacing w:before="120" w:after="100" w:line="276" w:lineRule="auto"/>
        <w:jc w:val="both"/>
      </w:pPr>
      <w:r>
        <w:rPr>
          <w:rtl/>
        </w:rPr>
        <w:t>ר׳ זאב לב סיפר</w:t>
      </w:r>
      <w:bookmarkStart w:id="4223" w:name="_fnr3177"/>
      <w:r>
        <w:rPr>
          <w:vertAlign w:val="superscript"/>
          <w:rtl/>
        </w:rPr>
        <w:footnoteReference w:id="3185" w:customMarkFollows="0"/>
      </w:r>
      <w:bookmarkEnd w:id="4223"/>
      <w:r>
        <w:rPr>
          <w:rtl/>
        </w:rPr>
        <w:t xml:space="preserve"> שכדי להמחיש את ההבדל בין מחנך חכם למחנך בינוני, אמר לו אבי שפעם גילה הסבא </w:t>
      </w:r>
      <w:proofErr w:type="spellStart"/>
      <w:r>
        <w:rPr>
          <w:rtl/>
        </w:rPr>
        <w:t>בסלבודקה</w:t>
      </w:r>
      <w:proofErr w:type="spellEnd"/>
      <w:r>
        <w:rPr>
          <w:rtl/>
        </w:rPr>
        <w:t xml:space="preserve"> שאהרן פינס הצעיר (קוטלר) חוזר על רעיונות שקלט מאחותו הקומוניסטית</w:t>
      </w:r>
      <w:bookmarkStart w:id="4224" w:name="_fnr3178"/>
      <w:r>
        <w:rPr>
          <w:vertAlign w:val="superscript"/>
          <w:rtl/>
        </w:rPr>
        <w:footnoteReference w:id="3186" w:customMarkFollows="0"/>
      </w:r>
      <w:bookmarkEnd w:id="4224"/>
      <w:r>
        <w:rPr>
          <w:rtl/>
        </w:rPr>
        <w:t xml:space="preserve">. במקום לגעור בו, ביקר הסבא אצל ר׳ אהרן באכסנייתו כמה ערבים כדי לשבח את לימודו. “‘אתה הרי לומד כל כך טוב [דו </w:t>
      </w:r>
      <w:proofErr w:type="spellStart"/>
      <w:r>
        <w:rPr>
          <w:rtl/>
        </w:rPr>
        <w:t>לערנסט</w:t>
      </w:r>
      <w:proofErr w:type="spellEnd"/>
      <w:r>
        <w:rPr>
          <w:rtl/>
        </w:rPr>
        <w:t xml:space="preserve"> דאך </w:t>
      </w:r>
      <w:proofErr w:type="spellStart"/>
      <w:r>
        <w:rPr>
          <w:rtl/>
        </w:rPr>
        <w:t>אזוי</w:t>
      </w:r>
      <w:proofErr w:type="spellEnd"/>
      <w:r>
        <w:rPr>
          <w:rtl/>
        </w:rPr>
        <w:t xml:space="preserve"> </w:t>
      </w:r>
      <w:proofErr w:type="spellStart"/>
      <w:r>
        <w:rPr>
          <w:rtl/>
        </w:rPr>
        <w:t>גוט</w:t>
      </w:r>
      <w:proofErr w:type="spellEnd"/>
      <w:r>
        <w:rPr>
          <w:rtl/>
        </w:rPr>
        <w:t xml:space="preserve">]’, אמר לו”, סיפר אבי, וסיכם: “אילו אמר לו הסבא אז מילה חריפה, מי יודע מה היה נעשה מר׳ אהרן?” השווה גם סוף הערה 20 לעיל והפסקה השלישית של נספח ו להלן, על מידת דאגתו של ר׳ </w:t>
      </w:r>
      <w:proofErr w:type="spellStart"/>
      <w:r>
        <w:rPr>
          <w:rtl/>
        </w:rPr>
        <w:t>נתן־צבי</w:t>
      </w:r>
      <w:proofErr w:type="spellEnd"/>
      <w:r>
        <w:rPr>
          <w:rtl/>
        </w:rPr>
        <w:t xml:space="preserve"> </w:t>
      </w:r>
      <w:proofErr w:type="spellStart"/>
      <w:r>
        <w:rPr>
          <w:rtl/>
        </w:rPr>
        <w:t>פינקל</w:t>
      </w:r>
      <w:proofErr w:type="spellEnd"/>
      <w:r>
        <w:rPr>
          <w:rtl/>
        </w:rPr>
        <w:t xml:space="preserve"> להתפתחות ר׳ אהרן; וכן פרק 2, הערה 106, על הפעם שבה הציל אותו הסבא מעזיבת הישיבה כליל.</w:t>
      </w:r>
    </w:p>
    <w:bookmarkStart w:id="4225" w:name="b4_note43"/>
    <w:p w14:paraId="27DC68B0" w14:textId="77777777" w:rsidR="00AB3647" w:rsidRDefault="00000000" w:rsidP="007923E9">
      <w:pPr>
        <w:spacing w:before="120" w:after="100" w:line="276" w:lineRule="auto"/>
        <w:jc w:val="both"/>
      </w:pPr>
      <w:r>
        <w:fldChar w:fldCharType="begin" w:dirty="true"/>
      </w:r>
      <w:r>
        <w:instrText>HYPERLINK \l "b4_text43" \h</w:instrText>
      </w:r>
      <w:r>
        <w:fldChar w:fldCharType="separate"/>
      </w:r>
      <w:r>
        <w:rPr>
          <w:b/>
          <w:bCs/>
          <w:rtl/>
        </w:rPr>
        <w:t>43</w:t>
      </w:r>
      <w:r>
        <w:rPr>
          <w:b/>
          <w:bCs/>
        </w:rPr>
        <w:fldChar w:fldCharType="end"/>
      </w:r>
      <w:bookmarkEnd w:id="4225"/>
      <w:r>
        <w:rPr>
          <w:rtl/>
        </w:rPr>
        <w:t xml:space="preserve"> ר׳ שפטל </w:t>
      </w:r>
      <w:proofErr w:type="spellStart"/>
      <w:r>
        <w:rPr>
          <w:rtl/>
        </w:rPr>
        <w:t>נויברגר</w:t>
      </w:r>
      <w:proofErr w:type="spellEnd"/>
      <w:r>
        <w:rPr>
          <w:rtl/>
        </w:rPr>
        <w:t xml:space="preserve"> בשם ר׳ </w:t>
      </w:r>
      <w:proofErr w:type="spellStart"/>
      <w:r>
        <w:rPr>
          <w:rtl/>
        </w:rPr>
        <w:t>יעקב־יצחק</w:t>
      </w:r>
      <w:proofErr w:type="spellEnd"/>
      <w:r>
        <w:rPr>
          <w:rtl/>
        </w:rPr>
        <w:t xml:space="preserve"> </w:t>
      </w:r>
      <w:proofErr w:type="spellStart"/>
      <w:r>
        <w:rPr>
          <w:rtl/>
        </w:rPr>
        <w:t>רודרמן</w:t>
      </w:r>
      <w:proofErr w:type="spellEnd"/>
      <w:r>
        <w:rPr>
          <w:rtl/>
        </w:rPr>
        <w:t xml:space="preserve">. ר׳ </w:t>
      </w:r>
      <w:proofErr w:type="spellStart"/>
      <w:r>
        <w:rPr>
          <w:rtl/>
        </w:rPr>
        <w:t>יעקב־יצחק</w:t>
      </w:r>
      <w:proofErr w:type="spellEnd"/>
      <w:r>
        <w:rPr>
          <w:rtl/>
        </w:rPr>
        <w:t xml:space="preserve"> </w:t>
      </w:r>
      <w:proofErr w:type="spellStart"/>
      <w:r>
        <w:rPr>
          <w:rtl/>
        </w:rPr>
        <w:t>רודרמן</w:t>
      </w:r>
      <w:proofErr w:type="spellEnd"/>
      <w:r>
        <w:rPr>
          <w:rtl/>
        </w:rPr>
        <w:t xml:space="preserve"> אמר שהיו בחורים שהסבא מעולם לא השמיע באוזניהם דבר ביקורת. פעם שמע במקרה את הסבא אומר לתלמיד כזה: “האם יש לי רשות להזכיר לך </w:t>
      </w:r>
      <w:proofErr w:type="spellStart"/>
      <w:r>
        <w:rPr>
          <w:rtl/>
        </w:rPr>
        <w:t>דבר־מה</w:t>
      </w:r>
      <w:proofErr w:type="spellEnd"/>
      <w:r>
        <w:rPr>
          <w:rtl/>
        </w:rPr>
        <w:t>...?”</w:t>
      </w:r>
    </w:p>
    <w:bookmarkStart w:id="4226" w:name="b4_note44"/>
    <w:p w14:paraId="4DA8E2E8" w14:textId="10158EC0" w:rsidR="00AB3647" w:rsidRDefault="00000000" w:rsidP="007923E9">
      <w:pPr>
        <w:spacing w:before="120" w:after="100" w:line="276" w:lineRule="auto"/>
        <w:jc w:val="both"/>
      </w:pPr>
      <w:r>
        <w:fldChar w:fldCharType="begin" w:dirty="true"/>
      </w:r>
      <w:r>
        <w:instrText>HYPERLINK \l "b4_text44" \h</w:instrText>
      </w:r>
      <w:r>
        <w:fldChar w:fldCharType="separate"/>
      </w:r>
      <w:r>
        <w:rPr>
          <w:b/>
          <w:bCs/>
          <w:rtl/>
        </w:rPr>
        <w:t>44</w:t>
      </w:r>
      <w:r>
        <w:rPr>
          <w:b/>
          <w:bCs/>
        </w:rPr>
        <w:fldChar w:fldCharType="end"/>
      </w:r>
      <w:bookmarkEnd w:id="4226"/>
      <w:r>
        <w:rPr>
          <w:rtl/>
        </w:rPr>
        <w:t xml:space="preserve"> ראה </w:t>
      </w:r>
      <w:r>
        <w:rPr>
          <w:rtl/>
        </w:rPr>
        <w:fldChar w:fldCharType="begin" w:dirty="true"/>
      </w:r>
      <w:r>
        <w:rPr>
          <w:rtl/>
        </w:rPr>
        <w:instrText xml:space="preserve"> REF b4_excE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ה</w:t>
      </w:r>
      <w:r>
        <w:rPr>
          <w:rtl/>
        </w:rPr>
        <w:fldChar w:fldCharType="end"/>
      </w:r>
      <w:r>
        <w:rPr>
          <w:rtl/>
        </w:rPr>
        <w:t>.</w:t>
      </w:r>
    </w:p>
    <w:bookmarkStart w:id="4227" w:name="b4_note45"/>
    <w:p w14:paraId="6315B63F" w14:textId="26121466" w:rsidR="00AB3647" w:rsidRDefault="00000000" w:rsidP="007923E9">
      <w:pPr>
        <w:spacing w:before="120" w:after="100" w:line="276" w:lineRule="auto"/>
        <w:jc w:val="both"/>
      </w:pPr>
      <w:r>
        <w:fldChar w:fldCharType="begin" w:dirty="true"/>
      </w:r>
      <w:r>
        <w:instrText>HYPERLINK \l "b4_text45" \h</w:instrText>
      </w:r>
      <w:r>
        <w:fldChar w:fldCharType="separate"/>
      </w:r>
      <w:r>
        <w:rPr>
          <w:b/>
          <w:bCs/>
          <w:rtl/>
        </w:rPr>
        <w:t>45</w:t>
      </w:r>
      <w:r>
        <w:rPr>
          <w:b/>
          <w:bCs/>
        </w:rPr>
        <w:fldChar w:fldCharType="end"/>
      </w:r>
      <w:bookmarkEnd w:id="4227"/>
      <w:r>
        <w:rPr>
          <w:rtl/>
        </w:rPr>
        <w:t xml:space="preserve"> ראה </w:t>
      </w:r>
      <w:r>
        <w:rPr>
          <w:rtl/>
        </w:rPr>
        <w:fldChar w:fldCharType="begin" w:dirty="true"/>
      </w:r>
      <w:r>
        <w:rPr>
          <w:rtl/>
        </w:rPr>
        <w:instrText xml:space="preserve"> REF b4_excF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ו</w:t>
      </w:r>
      <w:r>
        <w:rPr>
          <w:rtl/>
        </w:rPr>
        <w:fldChar w:fldCharType="end"/>
      </w:r>
      <w:r>
        <w:rPr>
          <w:rtl/>
        </w:rPr>
        <w:t>.</w:t>
      </w:r>
    </w:p>
    <w:p w14:paraId="52FD722A" w14:textId="58CC75B9"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הסבא שם לב לכל פרט במעשי תלמידו – כיצד הלך, כיצד עמד, כיצד ישב</w:t>
      </w:r>
      <w:bookmarkStart w:id="4228" w:name="b4_text46"/>
      <w:bookmarkEnd w:id="4228"/>
      <w:r>
        <w:rPr>
          <w:sz w:val="18"/>
          <w:szCs w:val="18"/>
          <w:vertAlign w:val="superscript"/>
          <w:rtl/>
        </w:rPr>
        <w:fldChar w:fldCharType="begin" w:dirty="true"/>
      </w:r>
      <w:r>
        <w:rPr>
          <w:sz w:val="18"/>
          <w:szCs w:val="18"/>
          <w:vertAlign w:val="superscript"/>
          <w:rtl/>
        </w:rPr>
        <w:instrText xml:space="preserve"> REF b4_note46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46</w:t>
      </w:r>
      <w:r>
        <w:rPr>
          <w:sz w:val="18"/>
          <w:szCs w:val="18"/>
          <w:vertAlign w:val="superscript"/>
          <w:rtl/>
        </w:rPr>
        <w:fldChar w:fldCharType="end"/>
      </w:r>
      <w:r>
        <w:rPr>
          <w:rtl/>
        </w:rPr>
        <w:t>. כל מילה, כל אמירה</w:t>
      </w:r>
      <w:bookmarkStart w:id="4229" w:name="b4_text47"/>
      <w:bookmarkEnd w:id="4229"/>
      <w:r>
        <w:rPr>
          <w:sz w:val="18"/>
          <w:szCs w:val="18"/>
          <w:vertAlign w:val="superscript"/>
          <w:rtl/>
        </w:rPr>
        <w:fldChar w:fldCharType="begin" w:dirty="true"/>
      </w:r>
      <w:r>
        <w:rPr>
          <w:sz w:val="18"/>
          <w:szCs w:val="18"/>
          <w:vertAlign w:val="superscript"/>
          <w:rtl/>
        </w:rPr>
        <w:instrText xml:space="preserve"> REF b4_note47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47</w:t>
      </w:r>
      <w:r>
        <w:rPr>
          <w:sz w:val="18"/>
          <w:szCs w:val="18"/>
          <w:vertAlign w:val="superscript"/>
          <w:rtl/>
        </w:rPr>
        <w:fldChar w:fldCharType="end"/>
      </w:r>
      <w:r>
        <w:rPr>
          <w:rtl/>
        </w:rPr>
        <w:t>, כל מצמוץ עין וכל כיווץ שפתיים</w:t>
      </w:r>
      <w:bookmarkStart w:id="4230" w:name="b4_text48"/>
      <w:bookmarkEnd w:id="4230"/>
      <w:r>
        <w:rPr>
          <w:sz w:val="18"/>
          <w:szCs w:val="18"/>
          <w:vertAlign w:val="superscript"/>
          <w:rtl/>
        </w:rPr>
        <w:fldChar w:fldCharType="begin" w:dirty="true"/>
      </w:r>
      <w:r>
        <w:rPr>
          <w:sz w:val="18"/>
          <w:szCs w:val="18"/>
          <w:vertAlign w:val="superscript"/>
          <w:rtl/>
        </w:rPr>
        <w:instrText xml:space="preserve"> REF b4_note48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48</w:t>
      </w:r>
      <w:r>
        <w:rPr>
          <w:sz w:val="18"/>
          <w:szCs w:val="18"/>
          <w:vertAlign w:val="superscript"/>
          <w:rtl/>
        </w:rPr>
        <w:fldChar w:fldCharType="end"/>
      </w:r>
      <w:r>
        <w:rPr>
          <w:rtl/>
        </w:rPr>
        <w:t xml:space="preserve"> עברו תחת ביקורתו. שום דבר במעשי תלמיד לא היה חסר משמעות, ובכל פגישה עבר התלמיד בחינה מחודשת. בעיני ר׳ </w:t>
      </w:r>
      <w:proofErr w:type="spellStart"/>
      <w:r>
        <w:rPr>
          <w:rtl/>
        </w:rPr>
        <w:t>נתן־צבי</w:t>
      </w:r>
      <w:proofErr w:type="spellEnd"/>
      <w:r>
        <w:rPr>
          <w:rtl/>
        </w:rPr>
        <w:t xml:space="preserve"> </w:t>
      </w:r>
      <w:proofErr w:type="spellStart"/>
      <w:r>
        <w:rPr>
          <w:rtl/>
        </w:rPr>
        <w:t>פינקל</w:t>
      </w:r>
      <w:proofErr w:type="spellEnd"/>
      <w:r>
        <w:rPr>
          <w:rtl/>
        </w:rPr>
        <w:t xml:space="preserve"> האדם מעולם לא היה קבוע ועומד, אלא יצור בעל בחירה חופשית, המסוגל להשתנות.</w:t>
      </w:r>
    </w:p>
    <w:bookmarkStart w:id="4231" w:name="b4_note46"/>
    <w:p w14:paraId="6011A8F2" w14:textId="77777777" w:rsidR="00AB3647" w:rsidRDefault="00000000" w:rsidP="007923E9">
      <w:pPr>
        <w:spacing w:before="120" w:after="100" w:line="276" w:lineRule="auto"/>
        <w:jc w:val="both"/>
      </w:pPr>
      <w:r>
        <w:fldChar w:fldCharType="begin" w:dirty="true"/>
      </w:r>
      <w:r>
        <w:instrText>HYPERLINK \l "b4_text46" \h</w:instrText>
      </w:r>
      <w:r>
        <w:fldChar w:fldCharType="separate"/>
      </w:r>
      <w:r>
        <w:rPr>
          <w:b/>
          <w:bCs/>
          <w:rtl/>
        </w:rPr>
        <w:t>46</w:t>
      </w:r>
      <w:r>
        <w:rPr>
          <w:b/>
          <w:bCs/>
        </w:rPr>
        <w:fldChar w:fldCharType="end"/>
      </w:r>
      <w:bookmarkEnd w:id="4231"/>
      <w:r>
        <w:rPr>
          <w:rtl/>
        </w:rPr>
        <w:t xml:space="preserve"> כץ, “תנועת המוסר”, כרך ג</w:t>
      </w:r>
      <w:bookmarkStart w:id="4232" w:name="_fnr3179"/>
      <w:r>
        <w:rPr>
          <w:vertAlign w:val="superscript"/>
          <w:rtl/>
        </w:rPr>
        <w:footnoteReference w:id="3187" w:customMarkFollows="0"/>
      </w:r>
      <w:bookmarkEnd w:id="4232"/>
      <w:r>
        <w:rPr>
          <w:rtl/>
        </w:rPr>
        <w:t>, כותב: “אוי לו לבחור ששיחק בשולי המפה או התנדנד בכיסאו בשעת שיחתו. הסבא ראה בכל תנועה חסרת תכלית מעשה רשלנות”.</w:t>
      </w:r>
    </w:p>
    <w:bookmarkStart w:id="4233" w:name="b4_note47"/>
    <w:p w14:paraId="208B3724" w14:textId="77777777" w:rsidR="00AB3647" w:rsidRDefault="00000000" w:rsidP="007923E9">
      <w:pPr>
        <w:spacing w:before="120" w:after="100" w:line="276" w:lineRule="auto"/>
        <w:jc w:val="both"/>
      </w:pPr>
      <w:r>
        <w:fldChar w:fldCharType="begin" w:dirty="true"/>
      </w:r>
      <w:r>
        <w:instrText>HYPERLINK \l "b4_text47" \h</w:instrText>
      </w:r>
      <w:r>
        <w:fldChar w:fldCharType="separate"/>
      </w:r>
      <w:r>
        <w:rPr>
          <w:b/>
          <w:bCs/>
          <w:rtl/>
        </w:rPr>
        <w:t>47</w:t>
      </w:r>
      <w:r>
        <w:rPr>
          <w:b/>
          <w:bCs/>
        </w:rPr>
        <w:fldChar w:fldCharType="end"/>
      </w:r>
      <w:bookmarkEnd w:id="4233"/>
      <w:r>
        <w:rPr>
          <w:rtl/>
        </w:rPr>
        <w:t xml:space="preserve"> כדי להעריך את אופיו של התלמיד הערכה מקיפה, היה על הסבא להקדיש תשומת לב מלאה לכל גוון דק. מאותו טעם התעקש אבי, שייעץ לאלפי אנשים בעניינים שונים בשנותיו המאוחרות, לשמוע את דברי בן שיחו בדיוק מוחלט לפני שייתן עצה.</w:t>
      </w:r>
    </w:p>
    <w:p w14:paraId="17CF10C9" w14:textId="77777777" w:rsidR="00AB3647" w:rsidRDefault="00000000" w:rsidP="007923E9">
      <w:pPr>
        <w:spacing w:before="120" w:after="100" w:line="276" w:lineRule="auto"/>
        <w:jc w:val="both"/>
      </w:pPr>
      <w:r>
        <w:rPr>
          <w:rtl/>
        </w:rPr>
        <w:lastRenderedPageBreak/>
        <w:t>בהספד על רבנו</w:t>
      </w:r>
      <w:bookmarkStart w:id="4234" w:name="_fnr3180"/>
      <w:r>
        <w:rPr>
          <w:vertAlign w:val="superscript"/>
          <w:rtl/>
        </w:rPr>
        <w:footnoteReference w:id="3188" w:customMarkFollows="0"/>
      </w:r>
      <w:bookmarkEnd w:id="4234"/>
      <w:r>
        <w:rPr>
          <w:rtl/>
        </w:rPr>
        <w:t xml:space="preserve"> הזכיר חתן נכדתו ר׳ יצחק </w:t>
      </w:r>
      <w:proofErr w:type="spellStart"/>
      <w:r>
        <w:rPr>
          <w:rtl/>
        </w:rPr>
        <w:t>קנובל</w:t>
      </w:r>
      <w:proofErr w:type="spellEnd"/>
      <w:r>
        <w:rPr>
          <w:rtl/>
        </w:rPr>
        <w:t xml:space="preserve"> מקרה שבו בא לבקש עצה מאבי אדם שעמד על פרשת דרכים בחייו. אבל לא ניתנה לו האפשרות לדון בבעייתו, מפני שדיבר אנגלית בלבד, ואבי, אף שהבין את השפה, לא היה בקי בדיבורה. הפצרותיו לדבר באמצעות מתורגמן לא הועילו. אבי הסביר שאינו נותן תשובות שגרתיות, ולא יוכל לעמוד על טיבו של אותו אדם ועל מה שטוב לו ביותר, אלא אם ישמע כל גוון דק בשיחה – ואת זה תרגום אינו יכול למסור.</w:t>
      </w:r>
    </w:p>
    <w:bookmarkStart w:id="4235" w:name="b4_note48"/>
    <w:p w14:paraId="7DC3A50A" w14:textId="77777777" w:rsidR="00AB3647" w:rsidRDefault="00000000" w:rsidP="007923E9">
      <w:pPr>
        <w:spacing w:before="120" w:after="100" w:line="276" w:lineRule="auto"/>
        <w:jc w:val="both"/>
      </w:pPr>
      <w:r>
        <w:fldChar w:fldCharType="begin" w:dirty="true"/>
      </w:r>
      <w:r>
        <w:instrText>HYPERLINK \l "b4_text48" \h</w:instrText>
      </w:r>
      <w:r>
        <w:fldChar w:fldCharType="separate"/>
      </w:r>
      <w:r>
        <w:rPr>
          <w:b/>
          <w:bCs/>
          <w:rtl/>
        </w:rPr>
        <w:t>48</w:t>
      </w:r>
      <w:r>
        <w:rPr>
          <w:b/>
          <w:bCs/>
        </w:rPr>
        <w:fldChar w:fldCharType="end"/>
      </w:r>
      <w:bookmarkEnd w:id="4235"/>
      <w:r>
        <w:rPr>
          <w:rtl/>
        </w:rPr>
        <w:t xml:space="preserve"> ר׳ שפטל </w:t>
      </w:r>
      <w:proofErr w:type="spellStart"/>
      <w:r>
        <w:rPr>
          <w:rtl/>
        </w:rPr>
        <w:t>נויברגר</w:t>
      </w:r>
      <w:bookmarkStart w:id="4236" w:name="_fnr3181"/>
      <w:proofErr w:type="spellEnd"/>
      <w:r>
        <w:rPr>
          <w:vertAlign w:val="superscript"/>
          <w:rtl/>
        </w:rPr>
        <w:footnoteReference w:id="3189" w:customMarkFollows="0"/>
      </w:r>
      <w:bookmarkEnd w:id="4236"/>
      <w:r>
        <w:rPr>
          <w:rtl/>
        </w:rPr>
        <w:t xml:space="preserve"> סיפר את הדוגמה הבאה להבחנתו החדה של הסבא בהנהגה. הוא שמע אותה מנכד הסבא ר׳ לייזר </w:t>
      </w:r>
      <w:proofErr w:type="spellStart"/>
      <w:r>
        <w:rPr>
          <w:rtl/>
        </w:rPr>
        <w:t>פלצ׳ינסקי</w:t>
      </w:r>
      <w:proofErr w:type="spellEnd"/>
      <w:r>
        <w:rPr>
          <w:rtl/>
        </w:rPr>
        <w:t xml:space="preserve">, ששמע אותה מבעל המעשה, מזכיר ישיבת כנסת ישראל ר׳ </w:t>
      </w:r>
      <w:proofErr w:type="spellStart"/>
      <w:r>
        <w:rPr>
          <w:rtl/>
        </w:rPr>
        <w:t>יעקב־שלמה</w:t>
      </w:r>
      <w:proofErr w:type="spellEnd"/>
      <w:r>
        <w:rPr>
          <w:rtl/>
        </w:rPr>
        <w:t xml:space="preserve"> הורביץ:</w:t>
      </w:r>
    </w:p>
    <w:p w14:paraId="559F6F69" w14:textId="77777777" w:rsidR="00AB3647" w:rsidRDefault="00000000" w:rsidP="007923E9">
      <w:pPr>
        <w:spacing w:before="120" w:after="100" w:line="276" w:lineRule="auto"/>
        <w:jc w:val="both"/>
      </w:pPr>
      <w:r>
        <w:rPr>
          <w:rtl/>
        </w:rPr>
        <w:t xml:space="preserve">“בשבת אחת קראו לי לתורה </w:t>
      </w:r>
      <w:proofErr w:type="spellStart"/>
      <w:r>
        <w:rPr>
          <w:rtl/>
        </w:rPr>
        <w:t>ל‘חמישי</w:t>
      </w:r>
      <w:proofErr w:type="spellEnd"/>
      <w:r>
        <w:rPr>
          <w:rtl/>
        </w:rPr>
        <w:t xml:space="preserve">’ חלש. ערכה של עלייה לתורה נקבע לא רק לפי מקומה בין שבע העליות של שבת, אלא גם לפי חשיבות שאר העולים – ככל שהאדם שקיבל את העלייה השלישית, המכובדת ביותר, היה חשוב יותר, כך גם </w:t>
      </w:r>
      <w:proofErr w:type="spellStart"/>
      <w:r>
        <w:rPr>
          <w:rtl/>
        </w:rPr>
        <w:t>ה‘חמישי</w:t>
      </w:r>
      <w:proofErr w:type="spellEnd"/>
      <w:r>
        <w:rPr>
          <w:rtl/>
        </w:rPr>
        <w:t xml:space="preserve">’ נחשב יותר. באותה שבת ניתנה עליית שלישי לאדם חסר משקל, ולפיכך היה החמישי, שבדרך כלל לא היה מזהיר, </w:t>
      </w:r>
      <w:proofErr w:type="spellStart"/>
      <w:r>
        <w:rPr>
          <w:rtl/>
        </w:rPr>
        <w:t>ב‘חולשתו</w:t>
      </w:r>
      <w:proofErr w:type="spellEnd"/>
      <w:r>
        <w:rPr>
          <w:rtl/>
        </w:rPr>
        <w:t>’ המרבית. מכאן הבנתי שבקריאתי לעלות הוכיחו אותי... אבל על מה? לאחר התפילה ניגשתי לסבא ושאלתי מה עשיתי. הסבא השיב: ‘אתה מצפה לכבוד? אדם המתכבד בקלון חברו</w:t>
      </w:r>
      <w:bookmarkStart w:id="4237" w:name="_fnr3182"/>
      <w:r>
        <w:rPr>
          <w:vertAlign w:val="superscript"/>
          <w:rtl/>
        </w:rPr>
        <w:footnoteReference w:id="3190" w:customMarkFollows="0"/>
      </w:r>
      <w:bookmarkEnd w:id="4237"/>
      <w:r>
        <w:rPr>
          <w:rtl/>
        </w:rPr>
        <w:t xml:space="preserve"> מבקש שיכירו בכבודו?!’ כשעניתי שאיני יודע לאיזה ממעשיי הוא מתכוון, הזכיר לי שעשר שנים קודם לכן נכנס ראובן </w:t>
      </w:r>
      <w:proofErr w:type="spellStart"/>
      <w:r>
        <w:rPr>
          <w:rtl/>
        </w:rPr>
        <w:t>מינסקער</w:t>
      </w:r>
      <w:proofErr w:type="spellEnd"/>
      <w:r>
        <w:rPr>
          <w:rtl/>
        </w:rPr>
        <w:t xml:space="preserve"> [</w:t>
      </w:r>
      <w:proofErr w:type="spellStart"/>
      <w:r>
        <w:rPr>
          <w:rtl/>
        </w:rPr>
        <w:t>גרוזובסקי</w:t>
      </w:r>
      <w:proofErr w:type="spellEnd"/>
      <w:r>
        <w:rPr>
          <w:rtl/>
        </w:rPr>
        <w:t>], שהיה שקוע במחשבות, לבית המדרש בבוקר שבת אחד. הוא הוציא את זרועו השמאלית משרוול מעילו כדי להניח תפילין. הסבא סימן לי במהירות לגשת אל ר׳ ראובן ולהזכיר לו איזה יום היום. עשיתי בדיוק כך – אבל בחיוך קל של לעג שלא נעלם מעיני הסבא. על אותו חיוך ענש אותי הסבא בחמישי כעבור עשור”</w:t>
      </w:r>
      <w:bookmarkStart w:id="4238" w:name="_fnr3183"/>
      <w:r>
        <w:rPr>
          <w:vertAlign w:val="superscript"/>
          <w:rtl/>
        </w:rPr>
        <w:footnoteReference w:id="3191" w:customMarkFollows="0"/>
      </w:r>
      <w:bookmarkEnd w:id="4238"/>
      <w:r>
        <w:rPr>
          <w:rtl/>
        </w:rPr>
        <w:t>.</w:t>
      </w:r>
    </w:p>
    <w:p w14:paraId="6081F5DF" w14:textId="77777777" w:rsidR="00AB3647" w:rsidRDefault="00000000" w:rsidP="007923E9">
      <w:pPr>
        <w:spacing w:before="120" w:after="100" w:line="276" w:lineRule="auto"/>
        <w:jc w:val="both"/>
      </w:pPr>
      <w:r>
        <w:rPr>
          <w:rtl/>
        </w:rPr>
        <w:t>על כמה מן הפרטים לעיל השווה את המקורות הבאים: כץ, “תנועת המוסר”, כרך ג</w:t>
      </w:r>
      <w:bookmarkStart w:id="4239" w:name="_fnr3184"/>
      <w:r>
        <w:rPr>
          <w:vertAlign w:val="superscript"/>
          <w:rtl/>
        </w:rPr>
        <w:footnoteReference w:id="3192" w:customMarkFollows="0"/>
      </w:r>
      <w:bookmarkEnd w:id="4239"/>
      <w:r>
        <w:rPr>
          <w:rtl/>
        </w:rPr>
        <w:t xml:space="preserve">, שהסבא השתמש בדרך כלל בחלוקת העליות, שבה טיפל בעצמו, כדי לרומם תלמיד או להוריד את מעמדו; הערה 8 לעיל, על זיכרונו המופלא של ר׳ </w:t>
      </w:r>
      <w:proofErr w:type="spellStart"/>
      <w:r>
        <w:rPr>
          <w:rtl/>
        </w:rPr>
        <w:t>נתן־צבי</w:t>
      </w:r>
      <w:proofErr w:type="spellEnd"/>
      <w:r>
        <w:rPr>
          <w:rtl/>
        </w:rPr>
        <w:t xml:space="preserve"> </w:t>
      </w:r>
      <w:proofErr w:type="spellStart"/>
      <w:r>
        <w:rPr>
          <w:rtl/>
        </w:rPr>
        <w:t>פינקל</w:t>
      </w:r>
      <w:proofErr w:type="spellEnd"/>
      <w:r>
        <w:rPr>
          <w:rtl/>
        </w:rPr>
        <w:t>; וכץ, שם</w:t>
      </w:r>
      <w:bookmarkStart w:id="4240" w:name="_fnr3185"/>
      <w:r>
        <w:rPr>
          <w:vertAlign w:val="superscript"/>
          <w:rtl/>
        </w:rPr>
        <w:footnoteReference w:id="3193" w:customMarkFollows="0"/>
      </w:r>
      <w:bookmarkEnd w:id="4240"/>
      <w:r>
        <w:rPr>
          <w:rtl/>
        </w:rPr>
        <w:t>, על רגישותו למתכבד בקלון חברו, כפי שניכרה במעשה מעניין בחודשי חייו האחרונים</w:t>
      </w:r>
      <w:bookmarkStart w:id="4241" w:name="_fnr3186"/>
      <w:r>
        <w:rPr>
          <w:vertAlign w:val="superscript"/>
          <w:rtl/>
        </w:rPr>
        <w:footnoteReference w:id="3194" w:customMarkFollows="0"/>
      </w:r>
      <w:bookmarkEnd w:id="4241"/>
      <w:r>
        <w:rPr>
          <w:rtl/>
        </w:rPr>
        <w:t>.</w:t>
      </w:r>
    </w:p>
    <w:p w14:paraId="74C246F9" w14:textId="77777777" w:rsidR="00AB3647" w:rsidRDefault="00000000" w:rsidP="007923E9">
      <w:pPr>
        <w:spacing w:before="120" w:after="100" w:line="276" w:lineRule="auto"/>
        <w:jc w:val="both"/>
      </w:pPr>
      <w:r>
        <w:rPr>
          <w:rtl/>
        </w:rPr>
        <w:t xml:space="preserve">על השימוש בעליות כדי לדרג תלמידים סיפר ר׳ אהרן </w:t>
      </w:r>
      <w:proofErr w:type="spellStart"/>
      <w:r>
        <w:rPr>
          <w:rtl/>
        </w:rPr>
        <w:t>לופיאנסקי</w:t>
      </w:r>
      <w:bookmarkStart w:id="4242" w:name="_fnr3187"/>
      <w:proofErr w:type="spellEnd"/>
      <w:r>
        <w:rPr>
          <w:vertAlign w:val="superscript"/>
          <w:rtl/>
        </w:rPr>
        <w:footnoteReference w:id="3195" w:customMarkFollows="0"/>
      </w:r>
      <w:bookmarkEnd w:id="4242"/>
      <w:r>
        <w:rPr>
          <w:rtl/>
        </w:rPr>
        <w:t xml:space="preserve"> ששמע מאביו ר׳ </w:t>
      </w:r>
      <w:proofErr w:type="spellStart"/>
      <w:r>
        <w:rPr>
          <w:rtl/>
        </w:rPr>
        <w:t>בן־ציון</w:t>
      </w:r>
      <w:proofErr w:type="spellEnd"/>
      <w:r>
        <w:rPr>
          <w:rtl/>
        </w:rPr>
        <w:t xml:space="preserve"> – תושב קובנה לאחר מלחמת העולם הראשונה, שהיה מקורב לחוגי ישיבת </w:t>
      </w:r>
      <w:proofErr w:type="spellStart"/>
      <w:r>
        <w:rPr>
          <w:rtl/>
        </w:rPr>
        <w:t>סלבודקה</w:t>
      </w:r>
      <w:proofErr w:type="spellEnd"/>
      <w:r>
        <w:rPr>
          <w:rtl/>
        </w:rPr>
        <w:t xml:space="preserve"> – שבכל שבת, לפני קריאת התורה, היו מנהלי הישיבה מתכנסים ליד הבימה לעין כול. הם היו מביטים סביב לראות מי נוכח, ומחליטים בדיון בלחש את מי לכבד ובאיזו עלייה.</w:t>
      </w:r>
    </w:p>
    <w:p w14:paraId="5C29ABED" w14:textId="77777777" w:rsidR="00AB3647" w:rsidRDefault="00000000" w:rsidP="007923E9">
      <w:pPr>
        <w:spacing w:after="120" w:line="276" w:lineRule="auto"/>
        <w:jc w:val="both"/>
      </w:pPr>
      <w:r>
        <w:rPr>
          <w:rtl/>
        </w:rPr>
        <w:lastRenderedPageBreak/>
        <w:t xml:space="preserve">ר׳ ראובן </w:t>
      </w:r>
      <w:proofErr w:type="spellStart"/>
      <w:r>
        <w:rPr>
          <w:rtl/>
        </w:rPr>
        <w:t>גרוזובסקי</w:t>
      </w:r>
      <w:proofErr w:type="spellEnd"/>
      <w:r>
        <w:rPr>
          <w:rtl/>
        </w:rPr>
        <w:t xml:space="preserve"> שכח ששבת היא מפני שהיה שקוע בתורה, במידה המתוארת בעירובין נד ע״ב על האמורא ר׳ אלעזר בן </w:t>
      </w:r>
      <w:proofErr w:type="spellStart"/>
      <w:r>
        <w:rPr>
          <w:rtl/>
        </w:rPr>
        <w:t>פדת</w:t>
      </w:r>
      <w:bookmarkStart w:id="4243" w:name="_fnr3188"/>
      <w:proofErr w:type="spellEnd"/>
      <w:r>
        <w:rPr>
          <w:vertAlign w:val="superscript"/>
          <w:rtl/>
        </w:rPr>
        <w:footnoteReference w:id="3196" w:customMarkFollows="0"/>
      </w:r>
      <w:bookmarkEnd w:id="4243"/>
      <w:r>
        <w:rPr>
          <w:rtl/>
        </w:rPr>
        <w:t xml:space="preserve">. בשנים המאוחרות יותר, כששימש ראש ישיבת בית מדרש עליון </w:t>
      </w:r>
      <w:proofErr w:type="spellStart"/>
      <w:r>
        <w:rPr>
          <w:rtl/>
        </w:rPr>
        <w:t>במונסי</w:t>
      </w:r>
      <w:proofErr w:type="spellEnd"/>
      <w:r>
        <w:rPr>
          <w:rtl/>
        </w:rPr>
        <w:t xml:space="preserve"> (שבה למדתי אצלו), היה ר׳ ראובן שקוע כך בלימוד, ולפעמים נשמע מערבב את הברכות בתפילת </w:t>
      </w:r>
      <w:proofErr w:type="spellStart"/>
      <w:r>
        <w:rPr>
          <w:rtl/>
        </w:rPr>
        <w:t>שמונה־עשרה</w:t>
      </w:r>
      <w:proofErr w:type="spellEnd"/>
      <w:r>
        <w:rPr>
          <w:rtl/>
        </w:rPr>
        <w:t xml:space="preserve">. בפעמים אחרות, מפני שמחשבתו הייתה נתונה כולה לסוגיה שלמד, היה נכנס לבית המדרש בחולצתו, בלי הקפוטה הרבנית הארוכה שלו. השווה גם </w:t>
      </w:r>
      <w:proofErr w:type="spellStart"/>
      <w:r>
        <w:rPr>
          <w:rtl/>
        </w:rPr>
        <w:t>רבינר</w:t>
      </w:r>
      <w:proofErr w:type="spellEnd"/>
      <w:r>
        <w:rPr>
          <w:rtl/>
        </w:rPr>
        <w:t>, “הגאון רבי אליעזר גורדון”</w:t>
      </w:r>
      <w:bookmarkStart w:id="4244" w:name="_fnr3189"/>
      <w:r>
        <w:rPr>
          <w:vertAlign w:val="superscript"/>
          <w:rtl/>
        </w:rPr>
        <w:footnoteReference w:id="3197" w:customMarkFollows="0"/>
      </w:r>
      <w:bookmarkEnd w:id="4244"/>
      <w:r>
        <w:rPr>
          <w:rtl/>
        </w:rPr>
        <w:t>, על מאבקו הנמרץ של ר׳ לייזר גורדון לדחות את מחשבות התורה שהשתלטו עליו, כדי לקרוא קריאת שמע בכוונה; וכן פרק 3</w:t>
      </w:r>
      <w:bookmarkStart w:id="4245" w:name="_fnr3190"/>
      <w:r>
        <w:rPr>
          <w:vertAlign w:val="superscript"/>
          <w:rtl/>
        </w:rPr>
        <w:footnoteReference w:id="3198" w:customMarkFollows="0"/>
      </w:r>
      <w:bookmarkEnd w:id="4245"/>
      <w:r>
        <w:rPr>
          <w:rtl/>
        </w:rPr>
        <w:t xml:space="preserve"> בכרך זה, על ר׳ </w:t>
      </w:r>
      <w:proofErr w:type="spellStart"/>
      <w:r>
        <w:rPr>
          <w:rtl/>
        </w:rPr>
        <w:t>איצל׳ה</w:t>
      </w:r>
      <w:proofErr w:type="spellEnd"/>
      <w:r>
        <w:rPr>
          <w:rtl/>
        </w:rPr>
        <w:t xml:space="preserve"> </w:t>
      </w:r>
      <w:proofErr w:type="spellStart"/>
      <w:r>
        <w:rPr>
          <w:rtl/>
        </w:rPr>
        <w:t>פוניבז׳ר</w:t>
      </w:r>
      <w:proofErr w:type="spellEnd"/>
      <w:r>
        <w:rPr>
          <w:rtl/>
        </w:rPr>
        <w:t xml:space="preserve"> שהדחיק את מחשבותיו כדי להקשיב לקריאת התורה.</w:t>
      </w:r>
    </w:p>
    <w:p w14:paraId="45B58B79" w14:textId="36CD1F83"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מפליא היה כיצד חש הסבא בכל נטייה קלה של התלמיד להתקדמות או לירידה. הוא היה עשוי לשנות לפתע את דעתו על תלמיד, עוד לפני שהבחינו אחרים אפילו ברמז של שינוי בו. אבל תהיה הערכתו את האדם אשר תהיה, מעולם לא הגיע אליה באמצעות הכללות. הוא הביא בחשבון את כל הצדדים שיכול היה לזהות כפועלים באישיותו של היחיד, ואיש לא נראה בעיניו שחור או לבן לגמרי. הוא הבחין במידותיו הטובות של אדם לצד מידותיו הרעות, ולהפך. לפיכך לא שלל שום אדם: גם במי שנראו כפחותים שבבני אדם ראה נבראים “בצלם אלוהים”, וממילא בעלי יכולת להגיע למדרגות הגבוהות ביותר</w:t>
      </w:r>
      <w:bookmarkStart w:id="4246" w:name="b4_text49"/>
      <w:bookmarkEnd w:id="4246"/>
      <w:r>
        <w:rPr>
          <w:sz w:val="18"/>
          <w:szCs w:val="18"/>
          <w:vertAlign w:val="superscript"/>
          <w:rtl/>
        </w:rPr>
        <w:fldChar w:fldCharType="begin" w:dirty="true"/>
      </w:r>
      <w:r>
        <w:rPr>
          <w:sz w:val="18"/>
          <w:szCs w:val="18"/>
          <w:vertAlign w:val="superscript"/>
          <w:rtl/>
        </w:rPr>
        <w:instrText xml:space="preserve"> REF b4_note49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49</w:t>
      </w:r>
      <w:r>
        <w:rPr>
          <w:sz w:val="18"/>
          <w:szCs w:val="18"/>
          <w:vertAlign w:val="superscript"/>
          <w:rtl/>
        </w:rPr>
        <w:fldChar w:fldCharType="end"/>
      </w:r>
      <w:r>
        <w:rPr>
          <w:rtl/>
        </w:rPr>
        <w:t>.</w:t>
      </w:r>
    </w:p>
    <w:bookmarkStart w:id="4247" w:name="b4_note49"/>
    <w:p w14:paraId="60B47BC5" w14:textId="77777777" w:rsidR="00AB3647" w:rsidRDefault="00000000" w:rsidP="007923E9">
      <w:pPr>
        <w:keepLines/>
        <w:spacing w:before="120" w:after="100" w:line="276" w:lineRule="auto"/>
        <w:jc w:val="both"/>
      </w:pPr>
      <w:r>
        <w:fldChar w:fldCharType="begin" w:dirty="true"/>
      </w:r>
      <w:r>
        <w:instrText>HYPERLINK \l "b4_text49" \h</w:instrText>
      </w:r>
      <w:r>
        <w:fldChar w:fldCharType="separate"/>
      </w:r>
      <w:r>
        <w:rPr>
          <w:b/>
          <w:bCs/>
          <w:rtl/>
        </w:rPr>
        <w:t>49</w:t>
      </w:r>
      <w:r>
        <w:rPr>
          <w:b/>
          <w:bCs/>
        </w:rPr>
        <w:fldChar w:fldCharType="end"/>
      </w:r>
      <w:bookmarkEnd w:id="4247"/>
      <w:r>
        <w:rPr>
          <w:rtl/>
        </w:rPr>
        <w:t xml:space="preserve"> פסקה זו מבוססת על ספר הזיכרון לסבא </w:t>
      </w:r>
      <w:proofErr w:type="spellStart"/>
      <w:r>
        <w:rPr>
          <w:rtl/>
        </w:rPr>
        <w:t>מסלבודקה</w:t>
      </w:r>
      <w:proofErr w:type="spellEnd"/>
      <w:r>
        <w:rPr>
          <w:rtl/>
        </w:rPr>
        <w:t xml:space="preserve"> שערך ר׳ </w:t>
      </w:r>
      <w:proofErr w:type="spellStart"/>
      <w:r>
        <w:rPr>
          <w:rtl/>
        </w:rPr>
        <w:t>ישראל־זיסל</w:t>
      </w:r>
      <w:proofErr w:type="spellEnd"/>
      <w:r>
        <w:rPr>
          <w:rtl/>
        </w:rPr>
        <w:t xml:space="preserve"> </w:t>
      </w:r>
      <w:proofErr w:type="spellStart"/>
      <w:r>
        <w:rPr>
          <w:rtl/>
        </w:rPr>
        <w:t>דבורץ</w:t>
      </w:r>
      <w:bookmarkStart w:id="4248" w:name="_fnr3191"/>
      <w:proofErr w:type="spellEnd"/>
      <w:r>
        <w:rPr>
          <w:vertAlign w:val="superscript"/>
          <w:rtl/>
        </w:rPr>
        <w:footnoteReference w:id="3199" w:customMarkFollows="0"/>
      </w:r>
      <w:bookmarkEnd w:id="4248"/>
      <w:r>
        <w:rPr>
          <w:rtl/>
        </w:rPr>
        <w:t>. לפי כץ, “תנועת המוסר”, כרך ג</w:t>
      </w:r>
      <w:bookmarkStart w:id="4249" w:name="_fnr3192"/>
      <w:r>
        <w:rPr>
          <w:vertAlign w:val="superscript"/>
          <w:rtl/>
        </w:rPr>
        <w:footnoteReference w:id="3200" w:customMarkFollows="0"/>
      </w:r>
      <w:bookmarkEnd w:id="4249"/>
      <w:r>
        <w:rPr>
          <w:rtl/>
        </w:rPr>
        <w:t>, ייחס הסבא חשיבות רבה לשורשי התלמיד – לייחוסו ולמקום מוצאו – על יסוד דברי חכמי התלמוד. הוא התקשה למצוא פגם בתלמידים שמוצאם ממשפחות טובות או מעיירות טובות, ולהפך: התקשה לראות בעין טובה תלמידים שרקעם היה רצוי פחות. את שורש הגנֵבה – נאמר, גנֵבת תפוח מעגלה – ראה בסבו של הגנב. הסב מוכרח היה להיות גונב דעת, כגון מי שמעמיד פני עניו ובאמת הוא בעל גאווה. בנו, אבי הגנב, כבר התקדם מן הסתם צעד נוסף, וגנב דבר תורה כדי לפרסמו בשמו. כל דור שבא אחר כך רק קירב את גנֵבת קודמו לתוצאתה הסופית בדור השלישי – גנֵבת תפוחים מעגלה.</w:t>
      </w:r>
    </w:p>
    <w:p w14:paraId="06FD141B" w14:textId="77777777" w:rsidR="00AB3647" w:rsidRDefault="00000000" w:rsidP="007923E9">
      <w:pPr>
        <w:keepLines/>
        <w:spacing w:before="120" w:after="100" w:line="276" w:lineRule="auto"/>
        <w:jc w:val="both"/>
      </w:pPr>
      <w:r>
        <w:rPr>
          <w:rtl/>
        </w:rPr>
        <w:lastRenderedPageBreak/>
        <w:t>השווה גם “תורת חיים”</w:t>
      </w:r>
      <w:bookmarkStart w:id="4250" w:name="_fnr3193"/>
      <w:r>
        <w:rPr>
          <w:vertAlign w:val="superscript"/>
          <w:rtl/>
        </w:rPr>
        <w:footnoteReference w:id="3201" w:customMarkFollows="0"/>
      </w:r>
      <w:bookmarkEnd w:id="4250"/>
      <w:r>
        <w:rPr>
          <w:rtl/>
        </w:rPr>
        <w:t xml:space="preserve">: ר׳ חיים </w:t>
      </w:r>
      <w:proofErr w:type="spellStart"/>
      <w:r>
        <w:rPr>
          <w:rtl/>
        </w:rPr>
        <w:t>סולובייצ׳יק</w:t>
      </w:r>
      <w:proofErr w:type="spellEnd"/>
      <w:r>
        <w:rPr>
          <w:rtl/>
        </w:rPr>
        <w:t xml:space="preserve"> אמר אמירה מפתיעה, ואחר כך ביאר אותה. הוא אמר: “לפעמים יכול לקרות שדווקא מפני שאב קיים מצוות בכל כוחו, יפרוץ בנו לחנותו של אדם כדי לגנוב את הסחורה”. והסביר שאם האב הונע מתאווה לשכר, אף שהשיג אותו באמצעות קיום מצוות, עשוי הבן לבקש שכר בדרכים אחרות. גישה זו נראית כמאשרת את דעת הסבא על ר׳ חיים, כפי שנרשמה בפרק 3, סוף הפסקה השלישית של נספח יד, שהוא בעל מוסר “שאינו יודע זאת”.</w:t>
      </w:r>
    </w:p>
    <w:p w14:paraId="35F8F3A0" w14:textId="77777777" w:rsidR="00AB3647" w:rsidRDefault="00000000" w:rsidP="007923E9">
      <w:pPr>
        <w:spacing w:after="120" w:line="276" w:lineRule="auto"/>
        <w:jc w:val="both"/>
      </w:pPr>
      <w:r>
        <w:rPr>
          <w:rtl/>
        </w:rPr>
        <w:t xml:space="preserve">בריאיון המוקלט עם ר׳ </w:t>
      </w:r>
      <w:proofErr w:type="spellStart"/>
      <w:r>
        <w:rPr>
          <w:rtl/>
        </w:rPr>
        <w:t>יעקב־יצחק</w:t>
      </w:r>
      <w:proofErr w:type="spellEnd"/>
      <w:r>
        <w:rPr>
          <w:rtl/>
        </w:rPr>
        <w:t xml:space="preserve"> </w:t>
      </w:r>
      <w:proofErr w:type="spellStart"/>
      <w:r>
        <w:rPr>
          <w:rtl/>
        </w:rPr>
        <w:t>רודרמן</w:t>
      </w:r>
      <w:bookmarkStart w:id="4251" w:name="_fnr3194"/>
      <w:proofErr w:type="spellEnd"/>
      <w:r>
        <w:rPr>
          <w:vertAlign w:val="superscript"/>
          <w:rtl/>
        </w:rPr>
        <w:footnoteReference w:id="3202" w:customMarkFollows="0"/>
      </w:r>
      <w:bookmarkEnd w:id="4251"/>
      <w:r>
        <w:rPr>
          <w:rtl/>
        </w:rPr>
        <w:t xml:space="preserve"> אמר המרואיין: “הסבא כמעט לא דיבר על תיקון המידות, מפני שלא האמין שאדם יכול לשנות את אופיו – </w:t>
      </w:r>
      <w:proofErr w:type="spellStart"/>
      <w:r>
        <w:rPr>
          <w:rtl/>
        </w:rPr>
        <w:t>בקלם</w:t>
      </w:r>
      <w:proofErr w:type="spellEnd"/>
      <w:r>
        <w:rPr>
          <w:rtl/>
        </w:rPr>
        <w:t xml:space="preserve"> סברו אחרת. הוא לא חיבב במיוחד את לימוד ספר חשבון הנפש</w:t>
      </w:r>
      <w:bookmarkStart w:id="4252" w:name="_fnr3195"/>
      <w:r>
        <w:rPr>
          <w:vertAlign w:val="superscript"/>
          <w:rtl/>
        </w:rPr>
        <w:footnoteReference w:id="3203" w:customMarkFollows="0"/>
      </w:r>
      <w:bookmarkEnd w:id="4252"/>
      <w:r>
        <w:rPr>
          <w:rtl/>
        </w:rPr>
        <w:t>. ר׳ אייזיק שר הוציאו לאור [</w:t>
      </w:r>
      <w:proofErr w:type="spellStart"/>
      <w:r>
        <w:rPr>
          <w:rtl/>
        </w:rPr>
        <w:t>בתרצ״ז</w:t>
      </w:r>
      <w:proofErr w:type="spellEnd"/>
      <w:r>
        <w:rPr>
          <w:rtl/>
        </w:rPr>
        <w:t xml:space="preserve">, ללימוד בישיבת </w:t>
      </w:r>
      <w:proofErr w:type="spellStart"/>
      <w:r>
        <w:rPr>
          <w:rtl/>
        </w:rPr>
        <w:t>סלבודקה</w:t>
      </w:r>
      <w:proofErr w:type="spellEnd"/>
      <w:r>
        <w:rPr>
          <w:rtl/>
        </w:rPr>
        <w:t xml:space="preserve"> שעמד אז בראשה], מפני שלא היה תלמיד הסבא במובן המדויק</w:t>
      </w:r>
      <w:bookmarkStart w:id="4253" w:name="_fnr3196"/>
      <w:r>
        <w:rPr>
          <w:vertAlign w:val="superscript"/>
          <w:rtl/>
        </w:rPr>
        <w:footnoteReference w:id="3204" w:customMarkFollows="0"/>
      </w:r>
      <w:bookmarkEnd w:id="4253"/>
      <w:r>
        <w:rPr>
          <w:rtl/>
        </w:rPr>
        <w:t xml:space="preserve">. הסבא סבר שאדם יכול לרסן את מידותיו הרעות רק באמצעות יראת שמים”. נראה שדעה זו אינה תואמת את דעת ר׳ אברהם </w:t>
      </w:r>
      <w:proofErr w:type="spellStart"/>
      <w:r>
        <w:rPr>
          <w:rtl/>
        </w:rPr>
        <w:t>גרודזינסקי</w:t>
      </w:r>
      <w:proofErr w:type="spellEnd"/>
      <w:r>
        <w:rPr>
          <w:rtl/>
        </w:rPr>
        <w:t>, המובאת בתחילת נספח ז.</w:t>
      </w:r>
    </w:p>
    <w:p w14:paraId="2AA71439" w14:textId="01C32496"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הסבא היה מחנך מעולה</w:t>
      </w:r>
      <w:bookmarkStart w:id="4254" w:name="b4_text50"/>
      <w:bookmarkEnd w:id="4254"/>
      <w:r>
        <w:rPr>
          <w:sz w:val="18"/>
          <w:szCs w:val="18"/>
          <w:vertAlign w:val="superscript"/>
          <w:rtl/>
        </w:rPr>
        <w:fldChar w:fldCharType="begin" w:dirty="true"/>
      </w:r>
      <w:r>
        <w:rPr>
          <w:sz w:val="18"/>
          <w:szCs w:val="18"/>
          <w:vertAlign w:val="superscript"/>
          <w:rtl/>
        </w:rPr>
        <w:instrText xml:space="preserve"> REF b4_note50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50</w:t>
      </w:r>
      <w:r>
        <w:rPr>
          <w:sz w:val="18"/>
          <w:szCs w:val="18"/>
          <w:vertAlign w:val="superscript"/>
          <w:rtl/>
        </w:rPr>
        <w:fldChar w:fldCharType="end"/>
      </w:r>
      <w:r>
        <w:rPr>
          <w:rtl/>
        </w:rPr>
        <w:t>, מפני שהתקדמותו שלו לא פסקה אף לרגע</w:t>
      </w:r>
      <w:bookmarkStart w:id="4255" w:name="b4_text51"/>
      <w:bookmarkEnd w:id="4255"/>
      <w:r>
        <w:rPr>
          <w:sz w:val="18"/>
          <w:szCs w:val="18"/>
          <w:vertAlign w:val="superscript"/>
          <w:rtl/>
        </w:rPr>
        <w:fldChar w:fldCharType="begin" w:dirty="true"/>
      </w:r>
      <w:r>
        <w:rPr>
          <w:sz w:val="18"/>
          <w:szCs w:val="18"/>
          <w:vertAlign w:val="superscript"/>
          <w:rtl/>
        </w:rPr>
        <w:instrText xml:space="preserve"> REF b4_note51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51</w:t>
      </w:r>
      <w:r>
        <w:rPr>
          <w:sz w:val="18"/>
          <w:szCs w:val="18"/>
          <w:vertAlign w:val="superscript"/>
          <w:rtl/>
        </w:rPr>
        <w:fldChar w:fldCharType="end"/>
      </w:r>
      <w:r>
        <w:rPr>
          <w:rtl/>
        </w:rPr>
        <w:t>. הוא נשאר צעיר ומתפתח תמיד. ביסודו</w:t>
      </w:r>
      <w:bookmarkStart w:id="4256" w:name="b4_text52"/>
      <w:bookmarkEnd w:id="4256"/>
      <w:r>
        <w:rPr>
          <w:sz w:val="18"/>
          <w:szCs w:val="18"/>
          <w:vertAlign w:val="superscript"/>
          <w:rtl/>
        </w:rPr>
        <w:fldChar w:fldCharType="begin" w:dirty="true"/>
      </w:r>
      <w:r>
        <w:rPr>
          <w:sz w:val="18"/>
          <w:szCs w:val="18"/>
          <w:vertAlign w:val="superscript"/>
          <w:rtl/>
        </w:rPr>
        <w:instrText xml:space="preserve"> REF b4_note52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52</w:t>
      </w:r>
      <w:r>
        <w:rPr>
          <w:sz w:val="18"/>
          <w:szCs w:val="18"/>
          <w:vertAlign w:val="superscript"/>
          <w:rtl/>
        </w:rPr>
        <w:fldChar w:fldCharType="end"/>
      </w:r>
      <w:r>
        <w:rPr>
          <w:rtl/>
        </w:rPr>
        <w:t xml:space="preserve"> היה רך ונעים, נוח לבריות, נבהל מכל דבר קטן</w:t>
      </w:r>
      <w:bookmarkStart w:id="4257" w:name="b4_text53"/>
      <w:bookmarkEnd w:id="4257"/>
      <w:r>
        <w:rPr>
          <w:sz w:val="18"/>
          <w:szCs w:val="18"/>
          <w:vertAlign w:val="superscript"/>
          <w:rtl/>
        </w:rPr>
        <w:fldChar w:fldCharType="begin" w:dirty="true"/>
      </w:r>
      <w:r>
        <w:rPr>
          <w:sz w:val="18"/>
          <w:szCs w:val="18"/>
          <w:vertAlign w:val="superscript"/>
          <w:rtl/>
        </w:rPr>
        <w:instrText xml:space="preserve"> REF b4_note53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53</w:t>
      </w:r>
      <w:r>
        <w:rPr>
          <w:sz w:val="18"/>
          <w:szCs w:val="18"/>
          <w:vertAlign w:val="superscript"/>
          <w:rtl/>
        </w:rPr>
        <w:fldChar w:fldCharType="end"/>
      </w:r>
      <w:r>
        <w:rPr>
          <w:rtl/>
        </w:rPr>
        <w:t xml:space="preserve"> ודואג לכל מאורע קל</w:t>
      </w:r>
      <w:bookmarkStart w:id="4258" w:name="b4_text54"/>
      <w:bookmarkEnd w:id="4258"/>
      <w:r>
        <w:rPr>
          <w:sz w:val="18"/>
          <w:szCs w:val="18"/>
          <w:vertAlign w:val="superscript"/>
          <w:rtl/>
        </w:rPr>
        <w:fldChar w:fldCharType="begin" w:dirty="true"/>
      </w:r>
      <w:r>
        <w:rPr>
          <w:sz w:val="18"/>
          <w:szCs w:val="18"/>
          <w:vertAlign w:val="superscript"/>
          <w:rtl/>
        </w:rPr>
        <w:instrText xml:space="preserve"> REF b4_note54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54</w:t>
      </w:r>
      <w:r>
        <w:rPr>
          <w:sz w:val="18"/>
          <w:szCs w:val="18"/>
          <w:vertAlign w:val="superscript"/>
          <w:rtl/>
        </w:rPr>
        <w:fldChar w:fldCharType="end"/>
      </w:r>
      <w:r>
        <w:rPr>
          <w:rtl/>
        </w:rPr>
        <w:t>.</w:t>
      </w:r>
    </w:p>
    <w:bookmarkStart w:id="4259" w:name="b4_note50"/>
    <w:p w14:paraId="66BF930A" w14:textId="365F3588" w:rsidR="00AB3647" w:rsidRDefault="00000000" w:rsidP="007923E9">
      <w:pPr>
        <w:spacing w:before="120" w:after="100" w:line="276" w:lineRule="auto"/>
        <w:jc w:val="both"/>
      </w:pPr>
      <w:r>
        <w:fldChar w:fldCharType="begin" w:dirty="true"/>
      </w:r>
      <w:r>
        <w:instrText>HYPERLINK \l "b4_text50" \h</w:instrText>
      </w:r>
      <w:r>
        <w:fldChar w:fldCharType="separate"/>
      </w:r>
      <w:r>
        <w:rPr>
          <w:b/>
          <w:bCs/>
          <w:rtl/>
        </w:rPr>
        <w:t>50</w:t>
      </w:r>
      <w:r>
        <w:rPr>
          <w:b/>
          <w:bCs/>
        </w:rPr>
        <w:fldChar w:fldCharType="end"/>
      </w:r>
      <w:bookmarkEnd w:id="4259"/>
      <w:r>
        <w:rPr>
          <w:rtl/>
        </w:rPr>
        <w:t xml:space="preserve"> ראה </w:t>
      </w:r>
      <w:r>
        <w:rPr>
          <w:rtl/>
        </w:rPr>
        <w:fldChar w:fldCharType="begin" w:dirty="true"/>
      </w:r>
      <w:r>
        <w:rPr>
          <w:rtl/>
        </w:rPr>
        <w:instrText xml:space="preserve"> REF b4_excG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ז</w:t>
      </w:r>
      <w:r>
        <w:rPr>
          <w:rtl/>
        </w:rPr>
        <w:fldChar w:fldCharType="end"/>
      </w:r>
      <w:r>
        <w:rPr>
          <w:rtl/>
        </w:rPr>
        <w:t>.</w:t>
      </w:r>
    </w:p>
    <w:bookmarkStart w:id="4260" w:name="b4_note51"/>
    <w:p w14:paraId="5E78D9A5" w14:textId="77777777" w:rsidR="00AB3647" w:rsidRDefault="00000000" w:rsidP="007923E9">
      <w:pPr>
        <w:spacing w:before="120" w:after="100" w:line="276" w:lineRule="auto"/>
        <w:jc w:val="both"/>
      </w:pPr>
      <w:r>
        <w:fldChar w:fldCharType="begin" w:dirty="true"/>
      </w:r>
      <w:r>
        <w:instrText>HYPERLINK \l "b4_text51" \h</w:instrText>
      </w:r>
      <w:r>
        <w:fldChar w:fldCharType="separate"/>
      </w:r>
      <w:r>
        <w:rPr>
          <w:b/>
          <w:bCs/>
          <w:rtl/>
        </w:rPr>
        <w:t>51</w:t>
      </w:r>
      <w:r>
        <w:rPr>
          <w:b/>
          <w:bCs/>
        </w:rPr>
        <w:fldChar w:fldCharType="end"/>
      </w:r>
      <w:bookmarkEnd w:id="4260"/>
      <w:r>
        <w:rPr>
          <w:rtl/>
        </w:rPr>
        <w:t xml:space="preserve"> השווה את תחילת דברי ר׳ אברהם </w:t>
      </w:r>
      <w:proofErr w:type="spellStart"/>
      <w:r>
        <w:rPr>
          <w:rtl/>
        </w:rPr>
        <w:t>גרודזינסקי</w:t>
      </w:r>
      <w:proofErr w:type="spellEnd"/>
      <w:r>
        <w:rPr>
          <w:rtl/>
        </w:rPr>
        <w:t xml:space="preserve"> שהובאו בפסקה הראשונה של נספח ז, וכן ספר הזיכרון לסבא </w:t>
      </w:r>
      <w:proofErr w:type="spellStart"/>
      <w:r>
        <w:rPr>
          <w:rtl/>
        </w:rPr>
        <w:t>מסלבודקה</w:t>
      </w:r>
      <w:proofErr w:type="spellEnd"/>
      <w:r>
        <w:rPr>
          <w:rtl/>
        </w:rPr>
        <w:t xml:space="preserve"> שערך ר׳ </w:t>
      </w:r>
      <w:proofErr w:type="spellStart"/>
      <w:r>
        <w:rPr>
          <w:rtl/>
        </w:rPr>
        <w:t>ישראל־זיסל</w:t>
      </w:r>
      <w:proofErr w:type="spellEnd"/>
      <w:r>
        <w:rPr>
          <w:rtl/>
        </w:rPr>
        <w:t xml:space="preserve"> </w:t>
      </w:r>
      <w:proofErr w:type="spellStart"/>
      <w:r>
        <w:rPr>
          <w:rtl/>
        </w:rPr>
        <w:t>דבורץ</w:t>
      </w:r>
      <w:bookmarkStart w:id="4261" w:name="_fnr3197"/>
      <w:proofErr w:type="spellEnd"/>
      <w:r>
        <w:rPr>
          <w:vertAlign w:val="superscript"/>
          <w:rtl/>
        </w:rPr>
        <w:footnoteReference w:id="3205" w:customMarkFollows="0"/>
      </w:r>
      <w:bookmarkEnd w:id="4261"/>
      <w:r>
        <w:rPr>
          <w:rtl/>
        </w:rPr>
        <w:t xml:space="preserve">. ר׳ ניסן וקסמן מביא בספרו של </w:t>
      </w:r>
      <w:proofErr w:type="spellStart"/>
      <w:r>
        <w:rPr>
          <w:rtl/>
        </w:rPr>
        <w:t>רבינר</w:t>
      </w:r>
      <w:proofErr w:type="spellEnd"/>
      <w:r>
        <w:rPr>
          <w:rtl/>
        </w:rPr>
        <w:t xml:space="preserve"> על ר׳ </w:t>
      </w:r>
      <w:proofErr w:type="spellStart"/>
      <w:r>
        <w:rPr>
          <w:rtl/>
        </w:rPr>
        <w:t>יהודה־לייב</w:t>
      </w:r>
      <w:proofErr w:type="spellEnd"/>
      <w:r>
        <w:rPr>
          <w:rtl/>
        </w:rPr>
        <w:t xml:space="preserve"> פיין את דברי ר׳ </w:t>
      </w:r>
      <w:proofErr w:type="spellStart"/>
      <w:r>
        <w:rPr>
          <w:rtl/>
        </w:rPr>
        <w:t>יהודה־לייב</w:t>
      </w:r>
      <w:proofErr w:type="spellEnd"/>
      <w:r>
        <w:rPr>
          <w:rtl/>
        </w:rPr>
        <w:t xml:space="preserve">, שהיה תלמיד בסוף שנות </w:t>
      </w:r>
      <w:proofErr w:type="spellStart"/>
      <w:r>
        <w:rPr>
          <w:rtl/>
        </w:rPr>
        <w:t>התר״מ</w:t>
      </w:r>
      <w:proofErr w:type="spellEnd"/>
      <w:r>
        <w:rPr>
          <w:rtl/>
        </w:rPr>
        <w:t>:</w:t>
      </w:r>
      <w:bookmarkStart w:id="4262" w:name="_fnr3198"/>
      <w:r>
        <w:rPr>
          <w:vertAlign w:val="superscript"/>
          <w:rtl/>
        </w:rPr>
        <w:footnoteReference w:id="3206" w:customMarkFollows="0"/>
      </w:r>
      <w:bookmarkEnd w:id="4262"/>
      <w:r>
        <w:rPr>
          <w:rtl/>
        </w:rPr>
        <w:t xml:space="preserve"> “התבוננתי בדרכיו של הסבא ועיינתי בו היטב, ומצאתי שיותר משהיה מוכיח את תלמידיו – וזאת, כמובן, עשה תמיד – היה מוכיח את עצמו ובודק את כל מעשיו באופן מופלא”.</w:t>
      </w:r>
    </w:p>
    <w:bookmarkStart w:id="4263" w:name="b4_note52"/>
    <w:p w14:paraId="5D42882D" w14:textId="77777777" w:rsidR="00AB3647" w:rsidRDefault="00000000" w:rsidP="007923E9">
      <w:pPr>
        <w:spacing w:before="120" w:after="100" w:line="276" w:lineRule="auto"/>
        <w:jc w:val="both"/>
      </w:pPr>
      <w:r>
        <w:fldChar w:fldCharType="begin" w:dirty="true"/>
      </w:r>
      <w:r>
        <w:instrText>HYPERLINK \l "b4_text52" \h</w:instrText>
      </w:r>
      <w:r>
        <w:fldChar w:fldCharType="separate"/>
      </w:r>
      <w:r>
        <w:rPr>
          <w:b/>
          <w:bCs/>
          <w:rtl/>
        </w:rPr>
        <w:t>52</w:t>
      </w:r>
      <w:r>
        <w:rPr>
          <w:b/>
          <w:bCs/>
        </w:rPr>
        <w:fldChar w:fldCharType="end"/>
      </w:r>
      <w:bookmarkEnd w:id="4263"/>
      <w:r>
        <w:rPr>
          <w:rtl/>
        </w:rPr>
        <w:t xml:space="preserve"> משפט זה לקוח מספר הזיכרון לסבא </w:t>
      </w:r>
      <w:proofErr w:type="spellStart"/>
      <w:r>
        <w:rPr>
          <w:rtl/>
        </w:rPr>
        <w:t>מסלבודקה</w:t>
      </w:r>
      <w:proofErr w:type="spellEnd"/>
      <w:r>
        <w:rPr>
          <w:rtl/>
        </w:rPr>
        <w:t xml:space="preserve"> שערך ר׳ </w:t>
      </w:r>
      <w:proofErr w:type="spellStart"/>
      <w:r>
        <w:rPr>
          <w:rtl/>
        </w:rPr>
        <w:t>ישראל־זיסל</w:t>
      </w:r>
      <w:proofErr w:type="spellEnd"/>
      <w:r>
        <w:rPr>
          <w:rtl/>
        </w:rPr>
        <w:t xml:space="preserve"> </w:t>
      </w:r>
      <w:proofErr w:type="spellStart"/>
      <w:r>
        <w:rPr>
          <w:rtl/>
        </w:rPr>
        <w:t>דבורץ</w:t>
      </w:r>
      <w:bookmarkStart w:id="4264" w:name="_fnr3199"/>
      <w:proofErr w:type="spellEnd"/>
      <w:r>
        <w:rPr>
          <w:vertAlign w:val="superscript"/>
          <w:rtl/>
        </w:rPr>
        <w:footnoteReference w:id="3207" w:customMarkFollows="0"/>
      </w:r>
      <w:bookmarkEnd w:id="4264"/>
      <w:r>
        <w:rPr>
          <w:rtl/>
        </w:rPr>
        <w:t>.</w:t>
      </w:r>
    </w:p>
    <w:bookmarkStart w:id="4265" w:name="b4_note53"/>
    <w:p w14:paraId="5C6EFC24" w14:textId="77777777" w:rsidR="00AB3647" w:rsidRDefault="00000000" w:rsidP="007923E9">
      <w:pPr>
        <w:spacing w:before="120" w:after="100" w:line="276" w:lineRule="auto"/>
        <w:jc w:val="both"/>
      </w:pPr>
      <w:r>
        <w:fldChar w:fldCharType="begin" w:dirty="true"/>
      </w:r>
      <w:r>
        <w:instrText>HYPERLINK \l "b4_text53" \h</w:instrText>
      </w:r>
      <w:r>
        <w:fldChar w:fldCharType="separate"/>
      </w:r>
      <w:r>
        <w:rPr>
          <w:b/>
          <w:bCs/>
          <w:rtl/>
        </w:rPr>
        <w:t>53</w:t>
      </w:r>
      <w:r>
        <w:rPr>
          <w:b/>
          <w:bCs/>
        </w:rPr>
        <w:fldChar w:fldCharType="end"/>
      </w:r>
      <w:bookmarkEnd w:id="4265"/>
      <w:r>
        <w:rPr>
          <w:rtl/>
        </w:rPr>
        <w:t xml:space="preserve"> הוא היה רגיש ביותר. </w:t>
      </w:r>
      <w:proofErr w:type="spellStart"/>
      <w:r>
        <w:rPr>
          <w:rtl/>
        </w:rPr>
        <w:t>ב“מינסק</w:t>
      </w:r>
      <w:proofErr w:type="spellEnd"/>
      <w:r>
        <w:rPr>
          <w:rtl/>
        </w:rPr>
        <w:t xml:space="preserve"> עיר ואם” א</w:t>
      </w:r>
      <w:bookmarkStart w:id="4266" w:name="_fnr3200"/>
      <w:r>
        <w:rPr>
          <w:vertAlign w:val="superscript"/>
          <w:rtl/>
        </w:rPr>
        <w:footnoteReference w:id="3208" w:customMarkFollows="0"/>
      </w:r>
      <w:bookmarkEnd w:id="4266"/>
      <w:r>
        <w:rPr>
          <w:rtl/>
        </w:rPr>
        <w:t xml:space="preserve"> מספר צבי גורדון בשם אחיו </w:t>
      </w:r>
      <w:proofErr w:type="spellStart"/>
      <w:r>
        <w:rPr>
          <w:rtl/>
        </w:rPr>
        <w:t>ישראל־שלמה</w:t>
      </w:r>
      <w:proofErr w:type="spellEnd"/>
      <w:r>
        <w:rPr>
          <w:rtl/>
        </w:rPr>
        <w:t xml:space="preserve"> גורדון ממינסק, תלמיד </w:t>
      </w:r>
      <w:proofErr w:type="spellStart"/>
      <w:r>
        <w:rPr>
          <w:rtl/>
        </w:rPr>
        <w:t>סלבודקה</w:t>
      </w:r>
      <w:proofErr w:type="spellEnd"/>
      <w:r>
        <w:rPr>
          <w:rtl/>
        </w:rPr>
        <w:t xml:space="preserve"> (תרס״ה–תרע״ב), שהסבא ביקש פעם </w:t>
      </w:r>
      <w:proofErr w:type="spellStart"/>
      <w:r>
        <w:rPr>
          <w:rtl/>
        </w:rPr>
        <w:t>מישראל־שלמה</w:t>
      </w:r>
      <w:proofErr w:type="spellEnd"/>
      <w:r>
        <w:rPr>
          <w:rtl/>
        </w:rPr>
        <w:t xml:space="preserve"> לשיר ניגון מאת ר׳ יעקב </w:t>
      </w:r>
      <w:proofErr w:type="spellStart"/>
      <w:r>
        <w:rPr>
          <w:rtl/>
        </w:rPr>
        <w:t>טלחנר</w:t>
      </w:r>
      <w:proofErr w:type="spellEnd"/>
      <w:r>
        <w:rPr>
          <w:rtl/>
        </w:rPr>
        <w:t xml:space="preserve">, מלחין חסידי. הסבא ישב כשמרפקיו נשענים על השולחן וכפות </w:t>
      </w:r>
      <w:r>
        <w:rPr>
          <w:rtl/>
        </w:rPr>
        <w:lastRenderedPageBreak/>
        <w:t xml:space="preserve">ידיו מכסות את פניו, </w:t>
      </w:r>
      <w:proofErr w:type="spellStart"/>
      <w:r>
        <w:rPr>
          <w:rtl/>
        </w:rPr>
        <w:t>וישראל־שלמה</w:t>
      </w:r>
      <w:proofErr w:type="spellEnd"/>
      <w:r>
        <w:rPr>
          <w:rtl/>
        </w:rPr>
        <w:t xml:space="preserve"> שר ניגון מרגש מאוד. כשסיים, חשף הסבא פנים רטובות מדמעות.</w:t>
      </w:r>
    </w:p>
    <w:p w14:paraId="28CBCA18" w14:textId="77777777" w:rsidR="00AB3647" w:rsidRDefault="00000000" w:rsidP="007923E9">
      <w:pPr>
        <w:spacing w:before="120" w:after="100" w:line="276" w:lineRule="auto"/>
        <w:jc w:val="both"/>
      </w:pPr>
      <w:r>
        <w:rPr>
          <w:rtl/>
        </w:rPr>
        <w:t xml:space="preserve">ר׳ </w:t>
      </w:r>
      <w:proofErr w:type="spellStart"/>
      <w:r>
        <w:rPr>
          <w:rtl/>
        </w:rPr>
        <w:t>ישראל־שלמה</w:t>
      </w:r>
      <w:proofErr w:type="spellEnd"/>
      <w:r>
        <w:rPr>
          <w:rtl/>
        </w:rPr>
        <w:t xml:space="preserve"> גורדון היה ממשפחה של חסידי </w:t>
      </w:r>
      <w:proofErr w:type="spellStart"/>
      <w:r>
        <w:rPr>
          <w:rtl/>
        </w:rPr>
        <w:t>קוידנוב</w:t>
      </w:r>
      <w:proofErr w:type="spellEnd"/>
      <w:r>
        <w:rPr>
          <w:rtl/>
        </w:rPr>
        <w:t>. הוא כתב על הסבא מאמר בכתב העת “היסוד”</w:t>
      </w:r>
      <w:bookmarkStart w:id="4267" w:name="_fnr3201"/>
      <w:r>
        <w:rPr>
          <w:vertAlign w:val="superscript"/>
          <w:rtl/>
        </w:rPr>
        <w:footnoteReference w:id="3209" w:customMarkFollows="0"/>
      </w:r>
      <w:bookmarkEnd w:id="4267"/>
      <w:r>
        <w:rPr>
          <w:rtl/>
        </w:rPr>
        <w:t>, המעיד על נטיית מחברו למוזיקה, שכן הוא מתאר בו את רבו במונחים פיוטיים ומוזיקליים: כינורו של דוד; הצלילים המהדהדים של ניגוני הסבא, שהרעידו את מיתרי לב תלמידיו; שירת מלאכים שהסבא ידע לקלוט; הוא שמע את השירה שבה ביקשו מלאכי השרת לשבח את אדם הראשון; ועוד</w:t>
      </w:r>
      <w:bookmarkStart w:id="4268" w:name="_fnr3202"/>
      <w:r>
        <w:rPr>
          <w:vertAlign w:val="superscript"/>
          <w:rtl/>
        </w:rPr>
        <w:footnoteReference w:id="3210" w:customMarkFollows="0"/>
      </w:r>
      <w:bookmarkEnd w:id="4268"/>
      <w:r>
        <w:rPr>
          <w:rtl/>
        </w:rPr>
        <w:t xml:space="preserve">. דוגמה נוספת לרגישותו המופלגת של ר׳ </w:t>
      </w:r>
      <w:proofErr w:type="spellStart"/>
      <w:r>
        <w:rPr>
          <w:rtl/>
        </w:rPr>
        <w:t>נתן־צבי</w:t>
      </w:r>
      <w:proofErr w:type="spellEnd"/>
      <w:r>
        <w:rPr>
          <w:rtl/>
        </w:rPr>
        <w:t xml:space="preserve"> </w:t>
      </w:r>
      <w:proofErr w:type="spellStart"/>
      <w:r>
        <w:rPr>
          <w:rtl/>
        </w:rPr>
        <w:t>פינקל</w:t>
      </w:r>
      <w:proofErr w:type="spellEnd"/>
      <w:r>
        <w:rPr>
          <w:rtl/>
        </w:rPr>
        <w:t xml:space="preserve"> הייתה שבחודשי חייו האחרונים בארץ ישראל לא היה מסוגל להוציא את לשונו בפני הרופא בשעת בדיקות רפואיות (!)</w:t>
      </w:r>
      <w:bookmarkStart w:id="4269" w:name="_fnr3203"/>
      <w:r>
        <w:rPr>
          <w:vertAlign w:val="superscript"/>
          <w:rtl/>
        </w:rPr>
        <w:footnoteReference w:id="3211" w:customMarkFollows="0"/>
      </w:r>
      <w:bookmarkEnd w:id="4269"/>
      <w:r>
        <w:rPr>
          <w:rtl/>
        </w:rPr>
        <w:t>.</w:t>
      </w:r>
    </w:p>
    <w:bookmarkStart w:id="4270" w:name="b4_note54"/>
    <w:p w14:paraId="2D14CC78" w14:textId="7D956E3C" w:rsidR="00AB3647" w:rsidRDefault="00000000" w:rsidP="007923E9">
      <w:pPr>
        <w:spacing w:before="120" w:after="100" w:line="276" w:lineRule="auto"/>
        <w:jc w:val="both"/>
      </w:pPr>
      <w:r>
        <w:fldChar w:fldCharType="begin" w:dirty="true"/>
      </w:r>
      <w:r>
        <w:instrText>HYPERLINK \l "b4_text54" \h</w:instrText>
      </w:r>
      <w:r>
        <w:fldChar w:fldCharType="separate"/>
      </w:r>
      <w:r>
        <w:rPr>
          <w:b/>
          <w:bCs/>
          <w:rtl/>
        </w:rPr>
        <w:t>54</w:t>
      </w:r>
      <w:r>
        <w:rPr>
          <w:b/>
          <w:bCs/>
        </w:rPr>
        <w:fldChar w:fldCharType="end"/>
      </w:r>
      <w:bookmarkEnd w:id="4270"/>
      <w:r>
        <w:rPr>
          <w:rtl/>
        </w:rPr>
        <w:t xml:space="preserve"> ראה </w:t>
      </w:r>
      <w:r>
        <w:rPr>
          <w:rtl/>
        </w:rPr>
        <w:fldChar w:fldCharType="begin" w:dirty="true"/>
      </w:r>
      <w:r>
        <w:rPr>
          <w:rtl/>
        </w:rPr>
        <w:instrText xml:space="preserve"> REF b4_excH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ח</w:t>
      </w:r>
      <w:r>
        <w:rPr>
          <w:rtl/>
        </w:rPr>
        <w:fldChar w:fldCharType="end"/>
      </w:r>
      <w:r>
        <w:rPr>
          <w:rtl/>
        </w:rPr>
        <w:t>.</w:t>
      </w:r>
    </w:p>
    <w:p w14:paraId="11F4D197" w14:textId="30F1BC3C"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מלחמתו הבלתי פוסקת למען האמת וחתירתו הנועזת אל מעמקי הנפש היו ביטויים של אומץ הנעורים שגילה כשעמד מול אתגרים להתפתחותו שלו. בהשתאות של צעיר התבונן בהישגיו והשווה אותם למה שהיה עשוי להיות לולא זכה לפגוש את מוריו</w:t>
      </w:r>
      <w:bookmarkStart w:id="4271" w:name="b4_text55"/>
      <w:bookmarkEnd w:id="4271"/>
      <w:r>
        <w:rPr>
          <w:sz w:val="18"/>
          <w:szCs w:val="18"/>
          <w:vertAlign w:val="superscript"/>
          <w:rtl/>
        </w:rPr>
        <w:fldChar w:fldCharType="begin" w:dirty="true"/>
      </w:r>
      <w:r>
        <w:rPr>
          <w:sz w:val="18"/>
          <w:szCs w:val="18"/>
          <w:vertAlign w:val="superscript"/>
          <w:rtl/>
        </w:rPr>
        <w:instrText xml:space="preserve"> REF b4_note55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55</w:t>
      </w:r>
      <w:r>
        <w:rPr>
          <w:sz w:val="18"/>
          <w:szCs w:val="18"/>
          <w:vertAlign w:val="superscript"/>
          <w:rtl/>
        </w:rPr>
        <w:fldChar w:fldCharType="end"/>
      </w:r>
      <w:r>
        <w:rPr>
          <w:rtl/>
        </w:rPr>
        <w:t>. לעיתים היה נכנס למצב רוח רע</w:t>
      </w:r>
      <w:bookmarkStart w:id="4272" w:name="b4_text56"/>
      <w:bookmarkEnd w:id="4272"/>
      <w:r>
        <w:rPr>
          <w:sz w:val="18"/>
          <w:szCs w:val="18"/>
          <w:vertAlign w:val="superscript"/>
          <w:rtl/>
        </w:rPr>
        <w:fldChar w:fldCharType="begin" w:dirty="true"/>
      </w:r>
      <w:r>
        <w:rPr>
          <w:sz w:val="18"/>
          <w:szCs w:val="18"/>
          <w:vertAlign w:val="superscript"/>
          <w:rtl/>
        </w:rPr>
        <w:instrText xml:space="preserve"> REF b4_note56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56</w:t>
      </w:r>
      <w:r>
        <w:rPr>
          <w:sz w:val="18"/>
          <w:szCs w:val="18"/>
          <w:vertAlign w:val="superscript"/>
          <w:rtl/>
        </w:rPr>
        <w:fldChar w:fldCharType="end"/>
      </w:r>
      <w:r>
        <w:rPr>
          <w:rtl/>
        </w:rPr>
        <w:t xml:space="preserve">, חסר סבלנות לשטחיותו של תלמיד או להתקדמותו הלקויה – בהשוואה להתקדמותו של הסבא עצמו. לפיכך יכול היה </w:t>
      </w:r>
      <w:proofErr w:type="spellStart"/>
      <w:r>
        <w:rPr>
          <w:rtl/>
        </w:rPr>
        <w:t>הדולהינובר</w:t>
      </w:r>
      <w:proofErr w:type="spellEnd"/>
      <w:r>
        <w:rPr>
          <w:rtl/>
        </w:rPr>
        <w:t xml:space="preserve"> </w:t>
      </w:r>
      <w:proofErr w:type="spellStart"/>
      <w:r>
        <w:rPr>
          <w:rtl/>
        </w:rPr>
        <w:t>לאמוד</w:t>
      </w:r>
      <w:proofErr w:type="spellEnd"/>
      <w:r>
        <w:rPr>
          <w:rtl/>
        </w:rPr>
        <w:t xml:space="preserve"> את התקדמותו </w:t>
      </w:r>
      <w:proofErr w:type="spellStart"/>
      <w:r>
        <w:rPr>
          <w:rtl/>
        </w:rPr>
        <w:t>בסלבודקה</w:t>
      </w:r>
      <w:proofErr w:type="spellEnd"/>
      <w:r>
        <w:rPr>
          <w:rtl/>
        </w:rPr>
        <w:t xml:space="preserve"> לפי יחסו של הסבא אליו.</w:t>
      </w:r>
    </w:p>
    <w:bookmarkStart w:id="4273" w:name="b4_note55"/>
    <w:p w14:paraId="781957F5" w14:textId="77777777" w:rsidR="00AB3647" w:rsidRDefault="00000000" w:rsidP="007923E9">
      <w:pPr>
        <w:spacing w:before="120" w:after="100" w:line="276" w:lineRule="auto"/>
        <w:jc w:val="both"/>
      </w:pPr>
      <w:r>
        <w:fldChar w:fldCharType="begin" w:dirty="true"/>
      </w:r>
      <w:r>
        <w:instrText>HYPERLINK \l "b4_text55" \h</w:instrText>
      </w:r>
      <w:r>
        <w:fldChar w:fldCharType="separate"/>
      </w:r>
      <w:r>
        <w:rPr>
          <w:b/>
          <w:bCs/>
          <w:rtl/>
        </w:rPr>
        <w:t>55</w:t>
      </w:r>
      <w:r>
        <w:rPr>
          <w:b/>
          <w:bCs/>
        </w:rPr>
        <w:fldChar w:fldCharType="end"/>
      </w:r>
      <w:bookmarkEnd w:id="4273"/>
      <w:r>
        <w:rPr>
          <w:rtl/>
        </w:rPr>
        <w:t xml:space="preserve"> </w:t>
      </w:r>
      <w:proofErr w:type="spellStart"/>
      <w:r>
        <w:rPr>
          <w:rtl/>
        </w:rPr>
        <w:t>ב“אור</w:t>
      </w:r>
      <w:proofErr w:type="spellEnd"/>
      <w:r>
        <w:rPr>
          <w:rtl/>
        </w:rPr>
        <w:t xml:space="preserve"> הצפון”</w:t>
      </w:r>
      <w:bookmarkStart w:id="4274" w:name="_fnr3204"/>
      <w:r>
        <w:rPr>
          <w:vertAlign w:val="superscript"/>
          <w:rtl/>
        </w:rPr>
        <w:footnoteReference w:id="3212" w:customMarkFollows="0"/>
      </w:r>
      <w:bookmarkEnd w:id="4274"/>
      <w:r>
        <w:rPr>
          <w:rtl/>
        </w:rPr>
        <w:t xml:space="preserve"> מובא אחד </w:t>
      </w:r>
      <w:proofErr w:type="spellStart"/>
      <w:r>
        <w:rPr>
          <w:rtl/>
        </w:rPr>
        <w:t>מ“שני</w:t>
      </w:r>
      <w:proofErr w:type="spellEnd"/>
      <w:r>
        <w:rPr>
          <w:rtl/>
        </w:rPr>
        <w:t xml:space="preserve"> מכתבים בלבד מאת הסבא שנודע על קיומם”</w:t>
      </w:r>
      <w:bookmarkStart w:id="4275" w:name="_fnr3205"/>
      <w:bookmarkStart w:id="4276" w:name="pr_f_3097"/>
      <w:r>
        <w:rPr>
          <w:vertAlign w:val="superscript"/>
          <w:rtl/>
        </w:rPr>
        <w:footnoteReference w:id="3213" w:customMarkFollows="0"/>
      </w:r>
      <w:bookmarkEnd w:id="4275"/>
      <w:bookmarkEnd w:id="4276"/>
      <w:r>
        <w:rPr>
          <w:rtl/>
        </w:rPr>
        <w:t>, וכך גם בספרו של כץ, “תנועת המוסר”, כרך ג</w:t>
      </w:r>
      <w:bookmarkStart w:id="4277" w:name="_fnr3206"/>
      <w:r>
        <w:rPr>
          <w:vertAlign w:val="superscript"/>
          <w:rtl/>
        </w:rPr>
        <w:footnoteReference w:id="3214" w:customMarkFollows="0"/>
      </w:r>
      <w:bookmarkEnd w:id="4277"/>
      <w:r>
        <w:rPr>
          <w:rtl/>
        </w:rPr>
        <w:t xml:space="preserve">. במכתב זה דחה ר׳ </w:t>
      </w:r>
      <w:proofErr w:type="spellStart"/>
      <w:r>
        <w:rPr>
          <w:rtl/>
        </w:rPr>
        <w:t>נתן־צבי</w:t>
      </w:r>
      <w:proofErr w:type="spellEnd"/>
      <w:r>
        <w:rPr>
          <w:rtl/>
        </w:rPr>
        <w:t xml:space="preserve"> </w:t>
      </w:r>
      <w:proofErr w:type="spellStart"/>
      <w:r>
        <w:rPr>
          <w:rtl/>
        </w:rPr>
        <w:t>פינקל</w:t>
      </w:r>
      <w:proofErr w:type="spellEnd"/>
      <w:r>
        <w:rPr>
          <w:rtl/>
        </w:rPr>
        <w:t xml:space="preserve"> בקשה לכתוב הקדמה לאוסף כתבי ר׳ </w:t>
      </w:r>
      <w:proofErr w:type="spellStart"/>
      <w:r>
        <w:rPr>
          <w:rtl/>
        </w:rPr>
        <w:t>שמחה־זיסל</w:t>
      </w:r>
      <w:proofErr w:type="spellEnd"/>
      <w:r>
        <w:rPr>
          <w:rtl/>
        </w:rPr>
        <w:t xml:space="preserve"> זיו, וכתב בין השאר: “ואני, בעת שזכות </w:t>
      </w:r>
      <w:proofErr w:type="spellStart"/>
      <w:r>
        <w:rPr>
          <w:rtl/>
        </w:rPr>
        <w:t>אבותי</w:t>
      </w:r>
      <w:proofErr w:type="spellEnd"/>
      <w:r>
        <w:rPr>
          <w:rtl/>
        </w:rPr>
        <w:t xml:space="preserve"> עמדה לי להתוודע אל אדמו״ר </w:t>
      </w:r>
      <w:proofErr w:type="spellStart"/>
      <w:r>
        <w:rPr>
          <w:rtl/>
        </w:rPr>
        <w:t>זצללה״ה</w:t>
      </w:r>
      <w:proofErr w:type="spellEnd"/>
      <w:r>
        <w:rPr>
          <w:rtl/>
        </w:rPr>
        <w:t xml:space="preserve"> ר׳ </w:t>
      </w:r>
      <w:proofErr w:type="spellStart"/>
      <w:r>
        <w:rPr>
          <w:rtl/>
        </w:rPr>
        <w:t>שמחה־זיסל</w:t>
      </w:r>
      <w:proofErr w:type="spellEnd"/>
      <w:r>
        <w:rPr>
          <w:rtl/>
        </w:rPr>
        <w:t xml:space="preserve"> זיו, בתחילה ראיתי בעיני החלשות, ככל גדולים רבים, עולם הפוך; אולם לאחר שנים אחדות התחלתי לראות במקצת כי כולנו תעינו מדרך השכל הישר. אור התורה האמיתי לא האיר לי, והמרתי אמת בשקר וטוב ברע, ואת צורת התורה בהפכה. אז התחלתי להבין כי האיש הזה, הדגול מרבבה, איננו אדם, אלא רוח ה׳ הי׳ דובר בו, בזכות שקיעתו הגדולה בתורה לשמה וההתבוננות בה, שעל ידה “זוכה לדברים הרבה”</w:t>
      </w:r>
      <w:bookmarkStart w:id="4278" w:name="_fnr3207"/>
      <w:r>
        <w:rPr>
          <w:vertAlign w:val="superscript"/>
          <w:rtl/>
        </w:rPr>
        <w:footnoteReference w:id="3215" w:customMarkFollows="0"/>
      </w:r>
      <w:bookmarkEnd w:id="4278"/>
      <w:r>
        <w:rPr>
          <w:rtl/>
        </w:rPr>
        <w:t>”.</w:t>
      </w:r>
    </w:p>
    <w:p w14:paraId="7F50447E" w14:textId="77777777" w:rsidR="00AB3647" w:rsidRDefault="00000000" w:rsidP="007923E9">
      <w:pPr>
        <w:spacing w:before="120" w:after="100" w:line="276" w:lineRule="auto"/>
        <w:jc w:val="both"/>
      </w:pPr>
      <w:r>
        <w:rPr>
          <w:rtl/>
        </w:rPr>
        <w:lastRenderedPageBreak/>
        <w:t xml:space="preserve">הסבא ייחס את פגישתו עם ר׳ </w:t>
      </w:r>
      <w:proofErr w:type="spellStart"/>
      <w:r>
        <w:rPr>
          <w:rtl/>
        </w:rPr>
        <w:t>שמחה־זיסל</w:t>
      </w:r>
      <w:proofErr w:type="spellEnd"/>
      <w:r>
        <w:rPr>
          <w:rtl/>
        </w:rPr>
        <w:t xml:space="preserve"> זיו </w:t>
      </w:r>
      <w:proofErr w:type="spellStart"/>
      <w:r>
        <w:rPr>
          <w:rtl/>
        </w:rPr>
        <w:t>ל“זכות</w:t>
      </w:r>
      <w:proofErr w:type="spellEnd"/>
      <w:r>
        <w:rPr>
          <w:rtl/>
        </w:rPr>
        <w:t xml:space="preserve"> אבותיו”, משום שנודע לאותו חכם בדרך עקיפה, בהשגחה פרטית</w:t>
      </w:r>
      <w:bookmarkStart w:id="4279" w:name="_fnr3208"/>
      <w:r>
        <w:rPr>
          <w:vertAlign w:val="superscript"/>
          <w:rtl/>
        </w:rPr>
        <w:footnoteReference w:id="3216" w:customMarkFollows="0"/>
      </w:r>
      <w:bookmarkEnd w:id="4279"/>
      <w:r>
        <w:rPr>
          <w:rtl/>
        </w:rPr>
        <w:t>. ר׳ לייזר לוין, תלמיד התלמוד תורה ותושב קלם במשך שנים רבות, מסר</w:t>
      </w:r>
      <w:bookmarkStart w:id="4280" w:name="_fnr3209"/>
      <w:r>
        <w:rPr>
          <w:vertAlign w:val="superscript"/>
          <w:rtl/>
        </w:rPr>
        <w:footnoteReference w:id="3217" w:customMarkFollows="0"/>
      </w:r>
      <w:bookmarkEnd w:id="4280"/>
      <w:r>
        <w:rPr>
          <w:rtl/>
        </w:rPr>
        <w:t xml:space="preserve"> מסורת מקלם על צעדיו הראשונים של ר׳ </w:t>
      </w:r>
      <w:proofErr w:type="spellStart"/>
      <w:r>
        <w:rPr>
          <w:rtl/>
        </w:rPr>
        <w:t>נתן־צבי</w:t>
      </w:r>
      <w:proofErr w:type="spellEnd"/>
      <w:r>
        <w:rPr>
          <w:rtl/>
        </w:rPr>
        <w:t xml:space="preserve"> </w:t>
      </w:r>
      <w:proofErr w:type="spellStart"/>
      <w:r>
        <w:rPr>
          <w:rtl/>
        </w:rPr>
        <w:t>פינקל</w:t>
      </w:r>
      <w:proofErr w:type="spellEnd"/>
      <w:r>
        <w:rPr>
          <w:rtl/>
        </w:rPr>
        <w:t xml:space="preserve"> שם, ומסורת זו מעידה על היבט נוסף בהשגחה שהוליכה אותו להיות תלמידו של ר׳ </w:t>
      </w:r>
      <w:proofErr w:type="spellStart"/>
      <w:r>
        <w:rPr>
          <w:rtl/>
        </w:rPr>
        <w:t>שמחה־זיסל</w:t>
      </w:r>
      <w:proofErr w:type="spellEnd"/>
      <w:r>
        <w:rPr>
          <w:rtl/>
        </w:rPr>
        <w:t xml:space="preserve"> זיו.</w:t>
      </w:r>
    </w:p>
    <w:p w14:paraId="45608498" w14:textId="77777777" w:rsidR="00AB3647" w:rsidRDefault="00000000" w:rsidP="007923E9">
      <w:pPr>
        <w:spacing w:after="120" w:line="276" w:lineRule="auto"/>
        <w:jc w:val="both"/>
      </w:pPr>
      <w:r>
        <w:rPr>
          <w:rtl/>
        </w:rPr>
        <w:t xml:space="preserve">כשבא ר׳ </w:t>
      </w:r>
      <w:proofErr w:type="spellStart"/>
      <w:r>
        <w:rPr>
          <w:rtl/>
        </w:rPr>
        <w:t>נתן־צבי</w:t>
      </w:r>
      <w:proofErr w:type="spellEnd"/>
      <w:r>
        <w:rPr>
          <w:rtl/>
        </w:rPr>
        <w:t xml:space="preserve"> הצעיר </w:t>
      </w:r>
      <w:proofErr w:type="spellStart"/>
      <w:r>
        <w:rPr>
          <w:rtl/>
        </w:rPr>
        <w:t>לקלם</w:t>
      </w:r>
      <w:proofErr w:type="spellEnd"/>
      <w:r>
        <w:rPr>
          <w:rtl/>
        </w:rPr>
        <w:t xml:space="preserve">, סברו תלמידיו הקרובים של ר׳ </w:t>
      </w:r>
      <w:proofErr w:type="spellStart"/>
      <w:r>
        <w:rPr>
          <w:rtl/>
        </w:rPr>
        <w:t>שמחה־זיסל</w:t>
      </w:r>
      <w:proofErr w:type="spellEnd"/>
      <w:r>
        <w:rPr>
          <w:rtl/>
        </w:rPr>
        <w:t xml:space="preserve"> שהוא “ארצי ומודרני מדי” מכדי להתאים להיות תלמיד במקום. אף על פי כן, מפני שהכירו בכישרונותיו הגדולים, החליטו לנסות, ושכנעו אותו לבקש רשות – תנאי מוקדם באותם ימים – להאזין לשיחת מוסר. שיחתו של ר׳ </w:t>
      </w:r>
      <w:proofErr w:type="spellStart"/>
      <w:r>
        <w:rPr>
          <w:rtl/>
        </w:rPr>
        <w:t>שמחה־זיסל</w:t>
      </w:r>
      <w:proofErr w:type="spellEnd"/>
      <w:r>
        <w:rPr>
          <w:rtl/>
        </w:rPr>
        <w:t xml:space="preserve"> זיו השפיעה עליו בעוצמה כה רבה, עד ששינה את דרך מחשבתו, וכך נפתחה לפניו הדרך להיות תלמידו.</w:t>
      </w:r>
    </w:p>
    <w:p w14:paraId="22CB8793" w14:textId="77777777" w:rsidR="00AB3647" w:rsidRDefault="00000000" w:rsidP="007923E9">
      <w:pPr>
        <w:spacing w:after="120" w:line="276" w:lineRule="auto"/>
        <w:jc w:val="both"/>
      </w:pPr>
      <w:r>
        <w:rPr>
          <w:rtl/>
        </w:rPr>
        <w:t xml:space="preserve">על כוחן של שיחות המוסר של ר׳ </w:t>
      </w:r>
      <w:proofErr w:type="spellStart"/>
      <w:r>
        <w:rPr>
          <w:rtl/>
        </w:rPr>
        <w:t>שמחה־זיסל</w:t>
      </w:r>
      <w:proofErr w:type="spellEnd"/>
      <w:r>
        <w:rPr>
          <w:rtl/>
        </w:rPr>
        <w:t xml:space="preserve"> סיפר המרואיין משל שהשמיע חתנו וממלא מקומו ר׳ הירש </w:t>
      </w:r>
      <w:proofErr w:type="spellStart"/>
      <w:r>
        <w:rPr>
          <w:rtl/>
        </w:rPr>
        <w:t>ברוידא</w:t>
      </w:r>
      <w:proofErr w:type="spellEnd"/>
      <w:r>
        <w:rPr>
          <w:rtl/>
        </w:rPr>
        <w:t xml:space="preserve">, כדי להמחיש את ההבדל בין “קלם” של חותנו לבין זו שלו. אמר ר׳ הירש: “כשקיבתו של אדם חולה, יכול מנתח לרפאו על ידי כריתת שלושה רבעים ממנה. אם אין בנמצא מומחה, ירשום הרופא הרגיל דיאטה מחמירה מאוד, שתאפשר לחולה להמשיך לחיות במצבו. הסבא ר׳ </w:t>
      </w:r>
      <w:proofErr w:type="spellStart"/>
      <w:r>
        <w:rPr>
          <w:rtl/>
        </w:rPr>
        <w:t>שמחה־זיסל</w:t>
      </w:r>
      <w:proofErr w:type="spellEnd"/>
      <w:r>
        <w:rPr>
          <w:rtl/>
        </w:rPr>
        <w:t xml:space="preserve"> זיו יכול היה בשיחה אחת לעקור את הרע מתוך האדם; כיום אנו לומדים תורה ומוסר ושומעים שיחות – והתלמוד תורה הוא כעין דיאטה, המחזיקה אותנו בחיים על אף חוליינו”.</w:t>
      </w:r>
    </w:p>
    <w:bookmarkStart w:id="4281" w:name="b4_note56"/>
    <w:p w14:paraId="751CC966" w14:textId="77777777" w:rsidR="00AB3647" w:rsidRDefault="00000000" w:rsidP="007923E9">
      <w:pPr>
        <w:spacing w:before="120" w:after="100" w:line="276" w:lineRule="auto"/>
        <w:jc w:val="both"/>
      </w:pPr>
      <w:r>
        <w:fldChar w:fldCharType="begin" w:dirty="true"/>
      </w:r>
      <w:r>
        <w:instrText>HYPERLINK \l "b4_text56" \h</w:instrText>
      </w:r>
      <w:r>
        <w:fldChar w:fldCharType="separate"/>
      </w:r>
      <w:r>
        <w:rPr>
          <w:b/>
          <w:bCs/>
          <w:rtl/>
        </w:rPr>
        <w:t>56</w:t>
      </w:r>
      <w:r>
        <w:rPr>
          <w:b/>
          <w:bCs/>
        </w:rPr>
        <w:fldChar w:fldCharType="end"/>
      </w:r>
      <w:bookmarkEnd w:id="4281"/>
      <w:r>
        <w:rPr>
          <w:rtl/>
        </w:rPr>
        <w:t xml:space="preserve"> ריאיון עם ר׳ </w:t>
      </w:r>
      <w:proofErr w:type="spellStart"/>
      <w:r>
        <w:rPr>
          <w:rtl/>
        </w:rPr>
        <w:t>יוסף־דוד</w:t>
      </w:r>
      <w:proofErr w:type="spellEnd"/>
      <w:r>
        <w:rPr>
          <w:rtl/>
        </w:rPr>
        <w:t xml:space="preserve"> אפשטיין, שאבי סיפר לו את העובדה המפתיעה הזאת</w:t>
      </w:r>
      <w:bookmarkStart w:id="4282" w:name="_fnr3210"/>
      <w:r>
        <w:rPr>
          <w:vertAlign w:val="superscript"/>
          <w:rtl/>
        </w:rPr>
        <w:footnoteReference w:id="3218" w:customMarkFollows="0"/>
      </w:r>
      <w:bookmarkEnd w:id="4282"/>
      <w:r>
        <w:rPr>
          <w:rtl/>
        </w:rPr>
        <w:t>. השווה גם פרק 3, תחילת הפסקה השנייה של נספח ד, לדוגמה למקרה שבו כעס הסבא – אבל מסיבה אחרת מזו המתוארת כאן.</w:t>
      </w:r>
    </w:p>
    <w:p w14:paraId="6C673454" w14:textId="77777777" w:rsidR="00AB3647" w:rsidRDefault="00000000" w:rsidP="007923E9">
      <w:pPr>
        <w:pStyle w:val="2"/>
        <w:spacing w:after="160" w:line="276" w:lineRule="auto"/>
      </w:pPr>
      <w:bookmarkStart w:id="4283" w:name="b4_sec2"/>
      <w:r>
        <w:rPr>
          <w:sz w:val="26"/>
          <w:szCs w:val="26"/>
        </w:rPr>
        <w:t>2.</w:t>
      </w:r>
      <w:bookmarkEnd w:id="4283"/>
    </w:p>
    <w:p w14:paraId="4E4F7878" w14:textId="70984682"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עם תחילת זמן הקיץ משכו שקידתו יוצאת הדופן של גיבור סיפורנו, חריפותו הבלתי מתבלטת ואופיו הנעים את תשומת לבם של שאר הבחורים בישיבה, ובהם גם התלמידים המבוגרים. מקומו של הסבא בבית המדרש לא היה בחזית, ליד הקיר המזרחי שבו עמד ראש הישיבה, אלא באמצע, לאורך הקיר הצפוני</w:t>
      </w:r>
      <w:bookmarkStart w:id="4284" w:name="b4_text57"/>
      <w:bookmarkEnd w:id="4284"/>
      <w:r>
        <w:rPr>
          <w:sz w:val="18"/>
          <w:szCs w:val="18"/>
          <w:vertAlign w:val="superscript"/>
          <w:rtl/>
        </w:rPr>
        <w:fldChar w:fldCharType="begin" w:dirty="true"/>
      </w:r>
      <w:r>
        <w:rPr>
          <w:sz w:val="18"/>
          <w:szCs w:val="18"/>
          <w:vertAlign w:val="superscript"/>
          <w:rtl/>
        </w:rPr>
        <w:instrText xml:space="preserve"> REF b4_note57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57</w:t>
      </w:r>
      <w:r>
        <w:rPr>
          <w:sz w:val="18"/>
          <w:szCs w:val="18"/>
          <w:vertAlign w:val="superscript"/>
          <w:rtl/>
        </w:rPr>
        <w:fldChar w:fldCharType="end"/>
      </w:r>
      <w:r>
        <w:rPr>
          <w:rtl/>
        </w:rPr>
        <w:t xml:space="preserve">. למרבה מזלו זכה </w:t>
      </w:r>
      <w:proofErr w:type="spellStart"/>
      <w:r>
        <w:rPr>
          <w:rtl/>
        </w:rPr>
        <w:t>הדולהינובר</w:t>
      </w:r>
      <w:proofErr w:type="spellEnd"/>
      <w:r>
        <w:rPr>
          <w:rtl/>
        </w:rPr>
        <w:t xml:space="preserve"> למקום ישיבה לא רחוק מן הסבא, והיה מתבונן בריכוז במשגיח בשעת תפילתו ועוקב אחר כל תנועה שלו. הוא ראה כיצד הסבא מרכז את כל ישותו בתפילה</w:t>
      </w:r>
      <w:bookmarkStart w:id="4285" w:name="b4_text58"/>
      <w:bookmarkEnd w:id="4285"/>
      <w:r>
        <w:rPr>
          <w:sz w:val="18"/>
          <w:szCs w:val="18"/>
          <w:vertAlign w:val="superscript"/>
          <w:rtl/>
        </w:rPr>
        <w:fldChar w:fldCharType="begin" w:dirty="true"/>
      </w:r>
      <w:r>
        <w:rPr>
          <w:sz w:val="18"/>
          <w:szCs w:val="18"/>
          <w:vertAlign w:val="superscript"/>
          <w:rtl/>
        </w:rPr>
        <w:instrText xml:space="preserve"> REF b4_note58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58</w:t>
      </w:r>
      <w:r>
        <w:rPr>
          <w:sz w:val="18"/>
          <w:szCs w:val="18"/>
          <w:vertAlign w:val="superscript"/>
          <w:rtl/>
        </w:rPr>
        <w:fldChar w:fldCharType="end"/>
      </w:r>
      <w:r>
        <w:rPr>
          <w:rtl/>
        </w:rPr>
        <w:t>, ומקיים לא רק כל דרישה הלכתית</w:t>
      </w:r>
      <w:bookmarkStart w:id="4286" w:name="b4_text59"/>
      <w:bookmarkEnd w:id="4286"/>
      <w:r>
        <w:rPr>
          <w:sz w:val="18"/>
          <w:szCs w:val="18"/>
          <w:vertAlign w:val="superscript"/>
          <w:rtl/>
        </w:rPr>
        <w:fldChar w:fldCharType="begin" w:dirty="true"/>
      </w:r>
      <w:r>
        <w:rPr>
          <w:sz w:val="18"/>
          <w:szCs w:val="18"/>
          <w:vertAlign w:val="superscript"/>
          <w:rtl/>
        </w:rPr>
        <w:instrText xml:space="preserve"> REF b4_note59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59</w:t>
      </w:r>
      <w:r>
        <w:rPr>
          <w:sz w:val="18"/>
          <w:szCs w:val="18"/>
          <w:vertAlign w:val="superscript"/>
          <w:rtl/>
        </w:rPr>
        <w:fldChar w:fldCharType="end"/>
      </w:r>
      <w:r>
        <w:rPr>
          <w:rtl/>
        </w:rPr>
        <w:t xml:space="preserve"> אלא גם כל מה שמשתמע ממנה.</w:t>
      </w:r>
    </w:p>
    <w:bookmarkStart w:id="4287" w:name="b4_note57"/>
    <w:p w14:paraId="59CD7A78" w14:textId="77777777" w:rsidR="00AB3647" w:rsidRDefault="00000000" w:rsidP="007923E9">
      <w:pPr>
        <w:spacing w:before="120" w:after="100" w:line="276" w:lineRule="auto"/>
        <w:jc w:val="both"/>
      </w:pPr>
      <w:r>
        <w:lastRenderedPageBreak/>
        <w:fldChar w:fldCharType="begin" w:dirty="true"/>
      </w:r>
      <w:r>
        <w:instrText>HYPERLINK \l "b4_text57" \h</w:instrText>
      </w:r>
      <w:r>
        <w:fldChar w:fldCharType="separate"/>
      </w:r>
      <w:r>
        <w:rPr>
          <w:b/>
          <w:bCs/>
          <w:rtl/>
        </w:rPr>
        <w:t>57</w:t>
      </w:r>
      <w:r>
        <w:rPr>
          <w:b/>
          <w:bCs/>
        </w:rPr>
        <w:fldChar w:fldCharType="end"/>
      </w:r>
      <w:bookmarkEnd w:id="4287"/>
      <w:r>
        <w:rPr>
          <w:rtl/>
        </w:rPr>
        <w:t xml:space="preserve"> לדברי ר׳ אביגדור מילר</w:t>
      </w:r>
      <w:bookmarkStart w:id="4288" w:name="_fnr3211"/>
      <w:r>
        <w:rPr>
          <w:vertAlign w:val="superscript"/>
          <w:rtl/>
        </w:rPr>
        <w:footnoteReference w:id="3219" w:customMarkFollows="0"/>
      </w:r>
      <w:bookmarkEnd w:id="4288"/>
      <w:r>
        <w:rPr>
          <w:rtl/>
        </w:rPr>
        <w:t xml:space="preserve">, ר׳ </w:t>
      </w:r>
      <w:proofErr w:type="spellStart"/>
      <w:r>
        <w:rPr>
          <w:rtl/>
        </w:rPr>
        <w:t>נתן־צבי</w:t>
      </w:r>
      <w:proofErr w:type="spellEnd"/>
      <w:r>
        <w:rPr>
          <w:rtl/>
        </w:rPr>
        <w:t xml:space="preserve"> </w:t>
      </w:r>
      <w:proofErr w:type="spellStart"/>
      <w:r>
        <w:rPr>
          <w:rtl/>
        </w:rPr>
        <w:t>פינקל</w:t>
      </w:r>
      <w:proofErr w:type="spellEnd"/>
      <w:r>
        <w:rPr>
          <w:rtl/>
        </w:rPr>
        <w:t xml:space="preserve"> לא עמד בחזית קהל התלמידים. המרואיין לא ידע לקבוע את מקומו המדויק, משום שבא </w:t>
      </w:r>
      <w:proofErr w:type="spellStart"/>
      <w:r>
        <w:rPr>
          <w:rtl/>
        </w:rPr>
        <w:t>לסלבודקה</w:t>
      </w:r>
      <w:proofErr w:type="spellEnd"/>
      <w:r>
        <w:rPr>
          <w:rtl/>
        </w:rPr>
        <w:t xml:space="preserve"> בשנת תרצ״ב, שש שנים אחרי שר׳ </w:t>
      </w:r>
      <w:proofErr w:type="spellStart"/>
      <w:r>
        <w:rPr>
          <w:rtl/>
        </w:rPr>
        <w:t>נתן־צבי</w:t>
      </w:r>
      <w:proofErr w:type="spellEnd"/>
      <w:r>
        <w:rPr>
          <w:rtl/>
        </w:rPr>
        <w:t xml:space="preserve"> עבר לארץ ישראל וחמש שנים אחרי פטירתו שם. ר׳ </w:t>
      </w:r>
      <w:proofErr w:type="spellStart"/>
      <w:r>
        <w:rPr>
          <w:rtl/>
        </w:rPr>
        <w:t>אלעזר־מנחם־מן</w:t>
      </w:r>
      <w:proofErr w:type="spellEnd"/>
      <w:r>
        <w:rPr>
          <w:rtl/>
        </w:rPr>
        <w:t xml:space="preserve"> שך</w:t>
      </w:r>
      <w:bookmarkStart w:id="4289" w:name="_fnr3212"/>
      <w:r>
        <w:rPr>
          <w:vertAlign w:val="superscript"/>
          <w:rtl/>
        </w:rPr>
        <w:footnoteReference w:id="3220" w:customMarkFollows="0"/>
      </w:r>
      <w:bookmarkEnd w:id="4289"/>
      <w:r>
        <w:rPr>
          <w:rtl/>
        </w:rPr>
        <w:t xml:space="preserve">, לעומת זאת, מסר את מקומו המדויק, וסיפר שבמוצאי שבת היה ר׳ </w:t>
      </w:r>
      <w:proofErr w:type="spellStart"/>
      <w:r>
        <w:rPr>
          <w:rtl/>
        </w:rPr>
        <w:t>נתן־צבי</w:t>
      </w:r>
      <w:proofErr w:type="spellEnd"/>
      <w:r>
        <w:rPr>
          <w:rtl/>
        </w:rPr>
        <w:t xml:space="preserve"> </w:t>
      </w:r>
      <w:proofErr w:type="spellStart"/>
      <w:r>
        <w:rPr>
          <w:rtl/>
        </w:rPr>
        <w:t>פינקל</w:t>
      </w:r>
      <w:proofErr w:type="spellEnd"/>
      <w:r>
        <w:rPr>
          <w:rtl/>
        </w:rPr>
        <w:t xml:space="preserve"> עובר בכל בית המדרש ומברך כל אחד ב“אַ </w:t>
      </w:r>
      <w:proofErr w:type="spellStart"/>
      <w:r>
        <w:rPr>
          <w:rtl/>
        </w:rPr>
        <w:t>גוטע</w:t>
      </w:r>
      <w:proofErr w:type="spellEnd"/>
      <w:r>
        <w:rPr>
          <w:rtl/>
        </w:rPr>
        <w:t xml:space="preserve"> </w:t>
      </w:r>
      <w:proofErr w:type="spellStart"/>
      <w:r>
        <w:rPr>
          <w:rtl/>
        </w:rPr>
        <w:t>וואָך</w:t>
      </w:r>
      <w:proofErr w:type="spellEnd"/>
      <w:r>
        <w:rPr>
          <w:rtl/>
        </w:rPr>
        <w:t>” – שבוע טוב. אם היו תלמידים עסוקים בשיחה, המתין מן הצד עד שיכול היה להשתלב ולברך אותם.</w:t>
      </w:r>
    </w:p>
    <w:p w14:paraId="3AE0367E" w14:textId="77777777" w:rsidR="00AB3647" w:rsidRDefault="00000000" w:rsidP="007923E9">
      <w:pPr>
        <w:spacing w:after="120" w:line="276" w:lineRule="auto"/>
        <w:jc w:val="both"/>
      </w:pPr>
      <w:r>
        <w:rPr>
          <w:rtl/>
        </w:rPr>
        <w:t xml:space="preserve">ר׳ </w:t>
      </w:r>
      <w:proofErr w:type="spellStart"/>
      <w:r>
        <w:rPr>
          <w:rtl/>
        </w:rPr>
        <w:t>אלעזר־מנחם־מן</w:t>
      </w:r>
      <w:proofErr w:type="spellEnd"/>
      <w:r>
        <w:rPr>
          <w:rtl/>
        </w:rPr>
        <w:t xml:space="preserve"> שך לא ידע לספר כיצד נהג הסבא בברכות “</w:t>
      </w:r>
      <w:proofErr w:type="spellStart"/>
      <w:r>
        <w:rPr>
          <w:rtl/>
        </w:rPr>
        <w:t>גוט</w:t>
      </w:r>
      <w:proofErr w:type="spellEnd"/>
      <w:r>
        <w:rPr>
          <w:rtl/>
        </w:rPr>
        <w:t xml:space="preserve"> שבת” בליל שבת ובשבת בבוקר. עדותו סותרת בשני פרטים – שהבחורים הם שעברו לפני הסבא, ושהם שהקדימו לברכו – את התיאור </w:t>
      </w:r>
      <w:proofErr w:type="spellStart"/>
      <w:r>
        <w:rPr>
          <w:rtl/>
        </w:rPr>
        <w:t>ב“שמושה</w:t>
      </w:r>
      <w:proofErr w:type="spellEnd"/>
      <w:r>
        <w:rPr>
          <w:rtl/>
        </w:rPr>
        <w:t xml:space="preserve"> של תורה”</w:t>
      </w:r>
      <w:bookmarkStart w:id="4290" w:name="_fnr3213"/>
      <w:r>
        <w:rPr>
          <w:vertAlign w:val="superscript"/>
          <w:rtl/>
        </w:rPr>
        <w:footnoteReference w:id="3221" w:customMarkFollows="0"/>
      </w:r>
      <w:bookmarkEnd w:id="4290"/>
      <w:r>
        <w:rPr>
          <w:rtl/>
        </w:rPr>
        <w:t xml:space="preserve">. לפי תיאור זה, במוצאי שבת, כאשר </w:t>
      </w:r>
      <w:r>
        <w:rPr>
          <w:b/>
          <w:bCs/>
          <w:rtl/>
        </w:rPr>
        <w:t>עברו</w:t>
      </w:r>
      <w:r>
        <w:rPr>
          <w:rtl/>
        </w:rPr>
        <w:t xml:space="preserve"> הבחורים לפני הסבא לברכו ולהתברך ב“</w:t>
      </w:r>
      <w:r>
        <w:rPr>
          <w:b/>
          <w:bCs/>
          <w:rtl/>
        </w:rPr>
        <w:t xml:space="preserve">אַ </w:t>
      </w:r>
      <w:proofErr w:type="spellStart"/>
      <w:r>
        <w:rPr>
          <w:b/>
          <w:bCs/>
          <w:rtl/>
        </w:rPr>
        <w:t>גוטע</w:t>
      </w:r>
      <w:proofErr w:type="spellEnd"/>
      <w:r>
        <w:rPr>
          <w:b/>
          <w:bCs/>
          <w:rtl/>
        </w:rPr>
        <w:t xml:space="preserve"> </w:t>
      </w:r>
      <w:proofErr w:type="spellStart"/>
      <w:r>
        <w:rPr>
          <w:b/>
          <w:bCs/>
          <w:rtl/>
        </w:rPr>
        <w:t>וואָך</w:t>
      </w:r>
      <w:proofErr w:type="spellEnd"/>
      <w:r>
        <w:rPr>
          <w:rtl/>
        </w:rPr>
        <w:t>”, עמד על כך ש</w:t>
      </w:r>
      <w:r>
        <w:rPr>
          <w:b/>
          <w:bCs/>
          <w:rtl/>
        </w:rPr>
        <w:t>הבחורים יקדימו לברך אותו</w:t>
      </w:r>
      <w:r>
        <w:rPr>
          <w:rtl/>
        </w:rPr>
        <w:t>, ורק אחר כך השיב להם, כדי לחנכם לדרך ארץ ולמנהג “להיות מקדים בשלום”</w:t>
      </w:r>
      <w:bookmarkStart w:id="4291" w:name="_fnr3214"/>
      <w:r>
        <w:rPr>
          <w:vertAlign w:val="superscript"/>
          <w:rtl/>
        </w:rPr>
        <w:footnoteReference w:id="3222" w:customMarkFollows="0"/>
      </w:r>
      <w:bookmarkEnd w:id="4291"/>
      <w:r>
        <w:rPr>
          <w:rtl/>
        </w:rPr>
        <w:t>.</w:t>
      </w:r>
    </w:p>
    <w:p w14:paraId="46976500" w14:textId="77777777" w:rsidR="00AB3647" w:rsidRDefault="00000000" w:rsidP="007923E9">
      <w:pPr>
        <w:spacing w:after="120" w:line="276" w:lineRule="auto"/>
        <w:jc w:val="both"/>
      </w:pPr>
      <w:r>
        <w:rPr>
          <w:rtl/>
        </w:rPr>
        <w:t xml:space="preserve">מצאתי גם מקור כתוב נוסף למקומו של הסבא בבית המדרש: במאמר הספד מאת הרב מנחם מנדל שוק </w:t>
      </w:r>
      <w:proofErr w:type="spellStart"/>
      <w:r>
        <w:rPr>
          <w:rtl/>
        </w:rPr>
        <w:t>ב“הדואר</w:t>
      </w:r>
      <w:proofErr w:type="spellEnd"/>
      <w:r>
        <w:rPr>
          <w:rtl/>
        </w:rPr>
        <w:t>”</w:t>
      </w:r>
      <w:bookmarkStart w:id="4292" w:name="_fnr3215"/>
      <w:r>
        <w:rPr>
          <w:vertAlign w:val="superscript"/>
          <w:rtl/>
        </w:rPr>
        <w:footnoteReference w:id="3223" w:customMarkFollows="0"/>
      </w:r>
      <w:bookmarkEnd w:id="4292"/>
      <w:r>
        <w:rPr>
          <w:rtl/>
        </w:rPr>
        <w:t xml:space="preserve">, שהתפרסם עשרים ותשע שנים אחרי פטירת הסבא, נאמר: “מעולם לא ישב </w:t>
      </w:r>
      <w:proofErr w:type="spellStart"/>
      <w:r>
        <w:rPr>
          <w:rtl/>
        </w:rPr>
        <w:t>ב‘מזרח</w:t>
      </w:r>
      <w:proofErr w:type="spellEnd"/>
      <w:r>
        <w:rPr>
          <w:rtl/>
        </w:rPr>
        <w:t xml:space="preserve">’ [השורה שליד הקיר המזרחי, בחזית קהל התלמידים]; מקומו היה בפינה, על אחד הספסלים שבצד הצפוני”</w:t>
      </w:r>
      <w:bookmarkStart w:id="4293" w:name="_fnr3216"/>
      <w:r>
        <w:rPr>
          <w:vertAlign w:val="superscript"/>
          <w:rtl/>
        </w:rPr>
        <w:footnoteReference w:id="3224" w:customMarkFollows="0"/>
      </w:r>
      <w:bookmarkEnd w:id="4293"/>
      <w:r>
        <w:rPr>
          <w:rtl/>
        </w:rPr>
        <w:t>.</w:t>
      </w:r>
    </w:p>
    <w:bookmarkStart w:id="4294" w:name="b4_note58"/>
    <w:p w14:paraId="390A9A0D" w14:textId="77777777" w:rsidR="00AB3647" w:rsidRDefault="00000000" w:rsidP="007923E9">
      <w:pPr>
        <w:spacing w:before="120" w:after="100" w:line="276" w:lineRule="auto"/>
        <w:jc w:val="both"/>
      </w:pPr>
      <w:r>
        <w:fldChar w:fldCharType="begin" w:dirty="true"/>
      </w:r>
      <w:r>
        <w:instrText>HYPERLINK \l "b4_text58" \h</w:instrText>
      </w:r>
      <w:r>
        <w:fldChar w:fldCharType="separate"/>
      </w:r>
      <w:r>
        <w:rPr>
          <w:b/>
          <w:bCs/>
          <w:rtl/>
        </w:rPr>
        <w:t>58</w:t>
      </w:r>
      <w:r>
        <w:rPr>
          <w:b/>
          <w:bCs/>
        </w:rPr>
        <w:fldChar w:fldCharType="end"/>
      </w:r>
      <w:bookmarkEnd w:id="4294"/>
      <w:r>
        <w:rPr>
          <w:rtl/>
        </w:rPr>
        <w:t xml:space="preserve"> בריאיון המוקלט על הסבא </w:t>
      </w:r>
      <w:proofErr w:type="spellStart"/>
      <w:r>
        <w:rPr>
          <w:rtl/>
        </w:rPr>
        <w:t>מסלבודקה</w:t>
      </w:r>
      <w:bookmarkStart w:id="4295" w:name="_fnr3217"/>
      <w:proofErr w:type="spellEnd"/>
      <w:r>
        <w:rPr>
          <w:vertAlign w:val="superscript"/>
          <w:rtl/>
        </w:rPr>
        <w:footnoteReference w:id="3225" w:customMarkFollows="0"/>
      </w:r>
      <w:bookmarkEnd w:id="4295"/>
      <w:r>
        <w:rPr>
          <w:rtl/>
        </w:rPr>
        <w:t xml:space="preserve"> סיפר אבי שני מעשים הממחישים את ריכוזו של הסבא בתפילה</w:t>
      </w:r>
      <w:bookmarkStart w:id="4296" w:name="_fnr3218"/>
      <w:r>
        <w:rPr>
          <w:vertAlign w:val="superscript"/>
          <w:rtl/>
        </w:rPr>
        <w:footnoteReference w:id="3226" w:customMarkFollows="0"/>
      </w:r>
      <w:bookmarkEnd w:id="4296"/>
      <w:r>
        <w:rPr>
          <w:rtl/>
        </w:rPr>
        <w:t xml:space="preserve">. הראשון אירע ביער </w:t>
      </w:r>
      <w:proofErr w:type="spellStart"/>
      <w:r>
        <w:rPr>
          <w:rtl/>
        </w:rPr>
        <w:t>רומשישוק</w:t>
      </w:r>
      <w:proofErr w:type="spellEnd"/>
      <w:r>
        <w:rPr>
          <w:rtl/>
        </w:rPr>
        <w:t xml:space="preserve">, שאליו נסע הסבא לנפוש בקיץ שלפני המלחמה. בשעה שעמד בתפילת </w:t>
      </w:r>
      <w:proofErr w:type="spellStart"/>
      <w:r>
        <w:rPr>
          <w:rtl/>
        </w:rPr>
        <w:t>שמונה־עשרה</w:t>
      </w:r>
      <w:proofErr w:type="spellEnd"/>
      <w:r>
        <w:rPr>
          <w:rtl/>
        </w:rPr>
        <w:t>, ניגש אל קבוצתם גוי שיכור ובידו בקבוק, והחל לצעוק. כולם ברחו חוץ מן הסבא, שהתנתק מן ההמולה סביבו והמשיך בתפילתו. המאורע הסתיים בלי אסון: כשהגיע השיכור אל היהודי היחיד שנשאר, התבלבל נוכח נענועיו של המתפלל, שלא הבחין בו כלל, והלך לדרכו.</w:t>
      </w:r>
    </w:p>
    <w:p w14:paraId="66C4B186" w14:textId="77777777" w:rsidR="00AB3647" w:rsidRDefault="00000000" w:rsidP="007923E9">
      <w:pPr>
        <w:spacing w:after="120" w:line="276" w:lineRule="auto"/>
        <w:jc w:val="both"/>
      </w:pPr>
      <w:r>
        <w:rPr>
          <w:rtl/>
        </w:rPr>
        <w:t xml:space="preserve">המעשה השני אירע בשנת תרע״ט, כשהישיבה שהתה </w:t>
      </w:r>
      <w:proofErr w:type="spellStart"/>
      <w:r>
        <w:rPr>
          <w:rtl/>
        </w:rPr>
        <w:t>בקרמנצ׳וג</w:t>
      </w:r>
      <w:bookmarkStart w:id="4297" w:name="_fnr3219"/>
      <w:proofErr w:type="spellEnd"/>
      <w:r>
        <w:rPr>
          <w:vertAlign w:val="superscript"/>
          <w:rtl/>
        </w:rPr>
        <w:footnoteReference w:id="3227" w:customMarkFollows="0"/>
      </w:r>
      <w:bookmarkEnd w:id="4297"/>
      <w:r>
        <w:rPr>
          <w:rtl/>
        </w:rPr>
        <w:t xml:space="preserve">, והסבא והסבתא התגוררו עם חתנם ר׳ אייזיק שר. העיר, שהייתה נתונה בקרבות בין הלבנים לאדומים, עברה מיד ליד כמה פעמים. יום אחד, בזמן שהתנהלו קרבות ברחובות, התפללו בבית, בחדר אוכל שלא היו בו חלונות, והאור חדר אליו דרך צוהר בתקרה מעל השולחן. הדף של פגז מתפוצץ ניפץ את זכוכית הצוהר, ורסיסים נפלו על השולחן. הסבא היה אז באמצע תפילת </w:t>
      </w:r>
      <w:proofErr w:type="spellStart"/>
      <w:r>
        <w:rPr>
          <w:rtl/>
        </w:rPr>
        <w:t>שמונה־עשרה</w:t>
      </w:r>
      <w:proofErr w:type="spellEnd"/>
      <w:r>
        <w:rPr>
          <w:rtl/>
        </w:rPr>
        <w:t xml:space="preserve">. כשסיים </w:t>
      </w:r>
      <w:r>
        <w:rPr>
          <w:rtl/>
        </w:rPr>
        <w:lastRenderedPageBreak/>
        <w:t>את תפילתו וראה את השברים, לא ידע מניין באו, ושאל את ר׳ יצחק מי פיזר זכוכית שבורה על השולחן.</w:t>
      </w:r>
    </w:p>
    <w:bookmarkStart w:id="4298" w:name="b4_note59"/>
    <w:p w14:paraId="22DB427D" w14:textId="1CD5E888" w:rsidR="00AB3647" w:rsidRDefault="00000000" w:rsidP="007923E9">
      <w:pPr>
        <w:spacing w:before="120" w:after="100" w:line="276" w:lineRule="auto"/>
        <w:jc w:val="both"/>
      </w:pPr>
      <w:r>
        <w:fldChar w:fldCharType="begin" w:dirty="true"/>
      </w:r>
      <w:r>
        <w:instrText>HYPERLINK \l "b4_text59" \h</w:instrText>
      </w:r>
      <w:r>
        <w:fldChar w:fldCharType="separate"/>
      </w:r>
      <w:r>
        <w:rPr>
          <w:b/>
          <w:bCs/>
          <w:rtl/>
        </w:rPr>
        <w:t>59</w:t>
      </w:r>
      <w:r>
        <w:rPr>
          <w:b/>
          <w:bCs/>
        </w:rPr>
        <w:fldChar w:fldCharType="end"/>
      </w:r>
      <w:bookmarkEnd w:id="4298"/>
      <w:r>
        <w:rPr>
          <w:rtl/>
        </w:rPr>
        <w:t xml:space="preserve"> השווה הפסקה הרביעית של </w:t>
      </w:r>
      <w:r>
        <w:rPr>
          <w:rtl/>
        </w:rPr>
        <w:fldChar w:fldCharType="begin" w:dirty="true"/>
      </w:r>
      <w:r>
        <w:rPr>
          <w:rtl/>
        </w:rPr>
        <w:instrText xml:space="preserve"> REF b4_excA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א</w:t>
      </w:r>
      <w:r>
        <w:rPr>
          <w:rtl/>
        </w:rPr>
        <w:fldChar w:fldCharType="end"/>
      </w:r>
      <w:r>
        <w:rPr>
          <w:rtl/>
        </w:rPr>
        <w:t xml:space="preserve"> להלן.</w:t>
      </w:r>
    </w:p>
    <w:p w14:paraId="509282F6" w14:textId="55467442"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 xml:space="preserve">אבל זמן קצר לאחר מכן העיר לו ר׳ </w:t>
      </w:r>
      <w:proofErr w:type="spellStart"/>
      <w:r>
        <w:rPr>
          <w:rtl/>
        </w:rPr>
        <w:t>נתן־צבי</w:t>
      </w:r>
      <w:proofErr w:type="spellEnd"/>
      <w:r>
        <w:rPr>
          <w:rtl/>
        </w:rPr>
        <w:t xml:space="preserve"> </w:t>
      </w:r>
      <w:proofErr w:type="spellStart"/>
      <w:r>
        <w:rPr>
          <w:rtl/>
        </w:rPr>
        <w:t>פינקל</w:t>
      </w:r>
      <w:proofErr w:type="spellEnd"/>
      <w:r>
        <w:rPr>
          <w:rtl/>
        </w:rPr>
        <w:t xml:space="preserve"> בחביבות: “שמתי לב שאתה מסתכל בי במשך כל התפילה; האם אתה בודק שאני מתפלל כראוי?”</w:t>
      </w:r>
      <w:bookmarkStart w:id="4299" w:name="b4_text60"/>
      <w:bookmarkEnd w:id="4299"/>
      <w:r>
        <w:rPr>
          <w:sz w:val="18"/>
          <w:szCs w:val="18"/>
          <w:vertAlign w:val="superscript"/>
          <w:rtl/>
        </w:rPr>
        <w:fldChar w:fldCharType="begin" w:dirty="true"/>
      </w:r>
      <w:r>
        <w:rPr>
          <w:sz w:val="18"/>
          <w:szCs w:val="18"/>
          <w:vertAlign w:val="superscript"/>
          <w:rtl/>
        </w:rPr>
        <w:instrText xml:space="preserve"> REF b4_note60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60</w:t>
      </w:r>
      <w:r>
        <w:rPr>
          <w:sz w:val="18"/>
          <w:szCs w:val="18"/>
          <w:vertAlign w:val="superscript"/>
          <w:rtl/>
        </w:rPr>
        <w:fldChar w:fldCharType="end"/>
      </w:r>
    </w:p>
    <w:bookmarkStart w:id="4300" w:name="b4_note60"/>
    <w:p w14:paraId="1FB6F122" w14:textId="77777777" w:rsidR="00AB3647" w:rsidRDefault="00000000" w:rsidP="007923E9">
      <w:pPr>
        <w:spacing w:before="120" w:after="100" w:line="276" w:lineRule="auto"/>
        <w:jc w:val="both"/>
      </w:pPr>
      <w:r>
        <w:fldChar w:fldCharType="begin" w:dirty="true"/>
      </w:r>
      <w:r>
        <w:instrText>HYPERLINK \l "b4_text60" \h</w:instrText>
      </w:r>
      <w:r>
        <w:fldChar w:fldCharType="separate"/>
      </w:r>
      <w:r>
        <w:rPr>
          <w:b/>
          <w:bCs/>
          <w:rtl/>
        </w:rPr>
        <w:t>60</w:t>
      </w:r>
      <w:r>
        <w:rPr>
          <w:b/>
          <w:bCs/>
        </w:rPr>
        <w:fldChar w:fldCharType="end"/>
      </w:r>
      <w:bookmarkEnd w:id="4300"/>
      <w:r>
        <w:rPr>
          <w:rtl/>
        </w:rPr>
        <w:t xml:space="preserve"> ר׳ יצחק </w:t>
      </w:r>
      <w:proofErr w:type="spellStart"/>
      <w:r>
        <w:rPr>
          <w:rtl/>
        </w:rPr>
        <w:t>קנובל</w:t>
      </w:r>
      <w:bookmarkStart w:id="4301" w:name="_fnr3220"/>
      <w:proofErr w:type="spellEnd"/>
      <w:r>
        <w:rPr>
          <w:vertAlign w:val="superscript"/>
          <w:rtl/>
        </w:rPr>
        <w:footnoteReference w:id="3228" w:customMarkFollows="0"/>
      </w:r>
      <w:bookmarkEnd w:id="4301"/>
      <w:r>
        <w:rPr>
          <w:rtl/>
        </w:rPr>
        <w:t xml:space="preserve">. שמעתי פעם מאבי שהסבא היה בוחן אם תלמידיו אומרים את מילות התפילה בכוונה: הוא שאל אותם היכן מופיעה בהן לשון המשנה ולא לשון המקרא. </w:t>
      </w:r>
      <w:proofErr w:type="spellStart"/>
      <w:r>
        <w:rPr>
          <w:rtl/>
        </w:rPr>
        <w:t>כשלא</w:t>
      </w:r>
      <w:proofErr w:type="spellEnd"/>
      <w:r>
        <w:rPr>
          <w:rtl/>
        </w:rPr>
        <w:t xml:space="preserve"> ידעו להשיב, הצביע על המילה “אלא” שבסוף “ברוך ה׳ לעולם” – הברכה האחרונה בברכות קריאת שמע של ערבית</w:t>
      </w:r>
      <w:bookmarkStart w:id="4302" w:name="_fnr3221"/>
      <w:r>
        <w:rPr>
          <w:vertAlign w:val="superscript"/>
          <w:rtl/>
        </w:rPr>
        <w:footnoteReference w:id="3229" w:customMarkFollows="0"/>
      </w:r>
      <w:bookmarkEnd w:id="4302"/>
      <w:r>
        <w:rPr>
          <w:rtl/>
        </w:rPr>
        <w:t xml:space="preserve"> – שבמקרא הייתה נאמרת במקומה “רק” או “בלעדי”.</w:t>
      </w:r>
    </w:p>
    <w:p w14:paraId="484D700E" w14:textId="77777777" w:rsidR="00AB3647" w:rsidRDefault="00000000" w:rsidP="007923E9">
      <w:pPr>
        <w:spacing w:after="120" w:line="276" w:lineRule="auto"/>
        <w:jc w:val="both"/>
      </w:pPr>
      <w:r>
        <w:rPr>
          <w:rtl/>
        </w:rPr>
        <w:t>אבי סבר שבישיבה חייבים הרבנים ושליח הציבור לדקדק בכל דרישה הלכתית, גם בזו שמשקלה כשלעצמה מועט ביותר, משום שכל מעשה הנעשה בפומבי בישיבה הוא הוראה – לימוד תורה – ועל כן הוא מקבל חשיבות של מצוות תורה מדאורייתא. הוא הביא לכך ראיה מלימוד מסכת עירובין, העוסקת כמעט כולה בדינים מדרבנן: אין ספק שהלומד אותה מקיים את מצוות תלמוד תורה מן התורה, שהרי לימוד הלכות דרבנן מחויב מן התורה כלימוד שאר חלקי התורה.</w:t>
      </w:r>
    </w:p>
    <w:p w14:paraId="5DD0A698" w14:textId="77777777" w:rsidR="00AB3647" w:rsidRDefault="00000000" w:rsidP="007923E9">
      <w:pPr>
        <w:spacing w:after="120" w:line="276" w:lineRule="auto"/>
        <w:jc w:val="both"/>
      </w:pPr>
      <w:r>
        <w:rPr>
          <w:rtl/>
        </w:rPr>
        <w:t xml:space="preserve">בשנת האבל על אבי התלבטתי כיצד יש לומר קדיש בדקדוק בישיבה. כשהצגתי את השאלה לפני הפוסק הירושלמי הנודע ר׳ שלמה זלמן </w:t>
      </w:r>
      <w:proofErr w:type="spellStart"/>
      <w:r>
        <w:rPr>
          <w:rtl/>
        </w:rPr>
        <w:t xml:space="preserve">אוירבך</w:t>
      </w:r>
      <w:proofErr w:type="spellEnd"/>
      <w:r>
        <w:rPr>
          <w:rtl/>
        </w:rPr>
        <w:t>, הסכים הלה עם עיקר סברת אבי – שזו שאלה של דאורייתא – אף שעצם אמירת הקדיש אינה חובה גמורה אפילו מדרבנן.</w:t>
      </w:r>
    </w:p>
    <w:p w14:paraId="2894096F" w14:textId="59156234"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 xml:space="preserve">אחרי תשעה באב יצאו מקצת התלמידים, וכן הסבא, מן העיר לחופשה קצרה בעיירות מוקפות יערות מחטניים או בקרבת חוף הים. אבל התלמיד החדש נשאר </w:t>
      </w:r>
      <w:proofErr w:type="spellStart"/>
      <w:r>
        <w:rPr>
          <w:rtl/>
        </w:rPr>
        <w:t>בסלבודקה</w:t>
      </w:r>
      <w:proofErr w:type="spellEnd"/>
      <w:r>
        <w:rPr>
          <w:rtl/>
        </w:rPr>
        <w:t>, ומדי פעם התרענן במשחק שחמט</w:t>
      </w:r>
      <w:bookmarkStart w:id="4303" w:name="b4_text61"/>
      <w:bookmarkEnd w:id="4303"/>
      <w:r>
        <w:rPr>
          <w:sz w:val="18"/>
          <w:szCs w:val="18"/>
          <w:vertAlign w:val="superscript"/>
          <w:rtl/>
        </w:rPr>
        <w:fldChar w:fldCharType="begin" w:dirty="true"/>
      </w:r>
      <w:r>
        <w:rPr>
          <w:sz w:val="18"/>
          <w:szCs w:val="18"/>
          <w:vertAlign w:val="superscript"/>
          <w:rtl/>
        </w:rPr>
        <w:instrText xml:space="preserve"> REF b4_note61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61</w:t>
      </w:r>
      <w:r>
        <w:rPr>
          <w:sz w:val="18"/>
          <w:szCs w:val="18"/>
          <w:vertAlign w:val="superscript"/>
          <w:rtl/>
        </w:rPr>
        <w:fldChar w:fldCharType="end"/>
      </w:r>
      <w:r>
        <w:rPr>
          <w:rtl/>
        </w:rPr>
        <w:t xml:space="preserve"> או בטבילה מצננת</w:t>
      </w:r>
      <w:bookmarkStart w:id="4304" w:name="b4_text62"/>
      <w:bookmarkEnd w:id="4304"/>
      <w:r>
        <w:rPr>
          <w:sz w:val="18"/>
          <w:szCs w:val="18"/>
          <w:vertAlign w:val="superscript"/>
          <w:rtl/>
        </w:rPr>
        <w:fldChar w:fldCharType="begin" w:dirty="true"/>
      </w:r>
      <w:r>
        <w:rPr>
          <w:sz w:val="18"/>
          <w:szCs w:val="18"/>
          <w:vertAlign w:val="superscript"/>
          <w:rtl/>
        </w:rPr>
        <w:instrText xml:space="preserve"> REF b4_note62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62</w:t>
      </w:r>
      <w:r>
        <w:rPr>
          <w:sz w:val="18"/>
          <w:szCs w:val="18"/>
          <w:vertAlign w:val="superscript"/>
          <w:rtl/>
        </w:rPr>
        <w:fldChar w:fldCharType="end"/>
      </w:r>
      <w:r>
        <w:rPr>
          <w:rtl/>
        </w:rPr>
        <w:t xml:space="preserve"> בנהר </w:t>
      </w:r>
      <w:proofErr w:type="spellStart"/>
      <w:r>
        <w:rPr>
          <w:rtl/>
        </w:rPr>
        <w:t>וויליה</w:t>
      </w:r>
      <w:proofErr w:type="spellEnd"/>
      <w:r>
        <w:rPr>
          <w:rtl/>
        </w:rPr>
        <w:t>.</w:t>
      </w:r>
    </w:p>
    <w:bookmarkStart w:id="4305" w:name="b4_note61"/>
    <w:p w14:paraId="523AB699" w14:textId="24655B48" w:rsidR="00AB3647" w:rsidRDefault="00000000" w:rsidP="007923E9">
      <w:pPr>
        <w:spacing w:before="120" w:after="100" w:line="276" w:lineRule="auto"/>
        <w:jc w:val="both"/>
      </w:pPr>
      <w:r>
        <w:fldChar w:fldCharType="begin" w:dirty="true"/>
      </w:r>
      <w:r>
        <w:instrText>HYPERLINK \l "b4_text61" \h</w:instrText>
      </w:r>
      <w:r>
        <w:fldChar w:fldCharType="separate"/>
      </w:r>
      <w:r>
        <w:rPr>
          <w:b/>
          <w:bCs/>
          <w:rtl/>
        </w:rPr>
        <w:t>61</w:t>
      </w:r>
      <w:r>
        <w:rPr>
          <w:b/>
          <w:bCs/>
        </w:rPr>
        <w:fldChar w:fldCharType="end"/>
      </w:r>
      <w:bookmarkEnd w:id="4305"/>
      <w:r>
        <w:rPr>
          <w:rtl/>
        </w:rPr>
        <w:t xml:space="preserve"> השווה </w:t>
      </w:r>
      <w:r>
        <w:rPr>
          <w:rtl/>
        </w:rPr>
        <w:fldChar w:fldCharType="begin" w:dirty="true"/>
      </w:r>
      <w:r>
        <w:rPr>
          <w:rtl/>
        </w:rPr>
        <w:instrText xml:space="preserve"> REF b4_excR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יח</w:t>
      </w:r>
      <w:proofErr w:type="spellEnd"/>
      <w:r>
        <w:rPr>
          <w:rtl/>
        </w:rPr>
        <w:fldChar w:fldCharType="end"/>
      </w:r>
      <w:r>
        <w:rPr>
          <w:rtl/>
        </w:rPr>
        <w:t xml:space="preserve"> להלן. ר׳ זאב לב מסר</w:t>
      </w:r>
      <w:bookmarkStart w:id="4306" w:name="_fnr3222"/>
      <w:r>
        <w:rPr>
          <w:vertAlign w:val="superscript"/>
          <w:rtl/>
        </w:rPr>
        <w:footnoteReference w:id="3230" w:customMarkFollows="0"/>
      </w:r>
      <w:bookmarkEnd w:id="4306"/>
      <w:r>
        <w:rPr>
          <w:rtl/>
        </w:rPr>
        <w:t xml:space="preserve"> בשם אבי שכאשר הוא ור׳ אהרן קוטלר היו </w:t>
      </w:r>
      <w:proofErr w:type="spellStart"/>
      <w:r>
        <w:rPr>
          <w:rtl/>
        </w:rPr>
        <w:t>בסלבודקה</w:t>
      </w:r>
      <w:proofErr w:type="spellEnd"/>
      <w:r>
        <w:rPr>
          <w:rtl/>
        </w:rPr>
        <w:t xml:space="preserve">, בני </w:t>
      </w:r>
      <w:proofErr w:type="spellStart"/>
      <w:r>
        <w:rPr>
          <w:rtl/>
        </w:rPr>
        <w:t>שבע־עשרה</w:t>
      </w:r>
      <w:proofErr w:type="spellEnd"/>
      <w:r>
        <w:rPr>
          <w:rtl/>
        </w:rPr>
        <w:t xml:space="preserve"> </w:t>
      </w:r>
      <w:proofErr w:type="spellStart"/>
      <w:r>
        <w:rPr>
          <w:rtl/>
        </w:rPr>
        <w:t>ושש־עשרה</w:t>
      </w:r>
      <w:proofErr w:type="spellEnd"/>
      <w:r>
        <w:rPr>
          <w:rtl/>
        </w:rPr>
        <w:t xml:space="preserve"> בהתאמה, הזמין אבי את ר׳ אהרן למשחק שחמט וניצח אותו. שניהם היו שקועים כל כך ברצון לנצח, עד שהמפסיד פרץ בבכי מאליו, ומשנפתח מעיין דמעותיו המשיך לבכות כחצי שעה. אגב, אחיינו של אבי, יעקב</w:t>
      </w:r>
      <w:bookmarkStart w:id="4307" w:name="_fnr3223"/>
      <w:r>
        <w:rPr>
          <w:vertAlign w:val="superscript"/>
          <w:rtl/>
        </w:rPr>
        <w:footnoteReference w:id="3231" w:customMarkFollows="0"/>
      </w:r>
      <w:bookmarkEnd w:id="4307"/>
      <w:r>
        <w:rPr>
          <w:rtl/>
        </w:rPr>
        <w:t>, היה שחמטאי מקצועי וכתב טור שבועי בענייני שחמט בעיתון במינסק. בפגישתו עמי במינסק</w:t>
      </w:r>
      <w:bookmarkStart w:id="4308" w:name="_fnr3224"/>
      <w:r>
        <w:rPr>
          <w:vertAlign w:val="superscript"/>
          <w:rtl/>
        </w:rPr>
        <w:footnoteReference w:id="3232" w:customMarkFollows="0"/>
      </w:r>
      <w:bookmarkEnd w:id="4308"/>
      <w:r>
        <w:rPr>
          <w:rtl/>
        </w:rPr>
        <w:t xml:space="preserve"> טען שאלוף העולם גארי </w:t>
      </w:r>
      <w:proofErr w:type="spellStart"/>
      <w:r>
        <w:rPr>
          <w:rtl/>
        </w:rPr>
        <w:t>קספרוב</w:t>
      </w:r>
      <w:proofErr w:type="spellEnd"/>
      <w:r>
        <w:rPr>
          <w:rtl/>
        </w:rPr>
        <w:t xml:space="preserve"> – שנולד בשם </w:t>
      </w:r>
      <w:proofErr w:type="spellStart"/>
      <w:r>
        <w:rPr>
          <w:rtl/>
        </w:rPr>
        <w:t>ויינשטיין</w:t>
      </w:r>
      <w:proofErr w:type="spellEnd"/>
      <w:r>
        <w:rPr>
          <w:rtl/>
        </w:rPr>
        <w:t xml:space="preserve"> – </w:t>
      </w:r>
      <w:proofErr w:type="spellStart"/>
      <w:r>
        <w:rPr>
          <w:rtl/>
        </w:rPr>
        <w:t>ורב־האמן</w:t>
      </w:r>
      <w:proofErr w:type="spellEnd"/>
      <w:r>
        <w:rPr>
          <w:rtl/>
        </w:rPr>
        <w:t xml:space="preserve"> בוריס </w:t>
      </w:r>
      <w:proofErr w:type="spellStart"/>
      <w:r>
        <w:rPr>
          <w:rtl/>
        </w:rPr>
        <w:t>גלפנד</w:t>
      </w:r>
      <w:proofErr w:type="spellEnd"/>
      <w:r>
        <w:rPr>
          <w:rtl/>
        </w:rPr>
        <w:t xml:space="preserve"> למדו אצלו.</w:t>
      </w:r>
    </w:p>
    <w:bookmarkStart w:id="4309" w:name="b4_note62"/>
    <w:p w14:paraId="317BEC2A" w14:textId="5F6B8C55" w:rsidR="00AB3647" w:rsidRDefault="00000000" w:rsidP="007923E9">
      <w:pPr>
        <w:spacing w:before="120" w:after="100" w:line="276" w:lineRule="auto"/>
        <w:jc w:val="both"/>
      </w:pPr>
      <w:r>
        <w:lastRenderedPageBreak/>
        <w:fldChar w:fldCharType="begin" w:dirty="true"/>
      </w:r>
      <w:r>
        <w:instrText>HYPERLINK \l "b4_text62" \h</w:instrText>
      </w:r>
      <w:r>
        <w:fldChar w:fldCharType="separate"/>
      </w:r>
      <w:r>
        <w:rPr>
          <w:b/>
          <w:bCs/>
          <w:rtl/>
        </w:rPr>
        <w:t>62</w:t>
      </w:r>
      <w:r>
        <w:rPr>
          <w:b/>
          <w:bCs/>
        </w:rPr>
        <w:fldChar w:fldCharType="end"/>
      </w:r>
      <w:bookmarkEnd w:id="4309"/>
      <w:r>
        <w:rPr>
          <w:rtl/>
        </w:rPr>
        <w:t xml:space="preserve"> ראה פרק 5, סוף </w:t>
      </w:r>
      <w:r>
        <w:rPr>
          <w:rtl/>
        </w:rPr>
        <w:fldChar w:fldCharType="begin" w:dirty="true"/>
      </w:r>
      <w:r>
        <w:rPr>
          <w:rtl/>
        </w:rPr>
        <w:instrText xml:space="preserve"> REF b5_excC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ג</w:t>
      </w:r>
      <w:r>
        <w:rPr>
          <w:rtl/>
        </w:rPr>
        <w:fldChar w:fldCharType="end"/>
      </w:r>
      <w:r>
        <w:rPr>
          <w:rtl/>
        </w:rPr>
        <w:t xml:space="preserve">. ר׳ ישעיה </w:t>
      </w:r>
      <w:proofErr w:type="spellStart"/>
      <w:r>
        <w:rPr>
          <w:rtl/>
        </w:rPr>
        <w:t>פורטנוי</w:t>
      </w:r>
      <w:proofErr w:type="spellEnd"/>
      <w:r>
        <w:rPr>
          <w:rtl/>
        </w:rPr>
        <w:t xml:space="preserve"> סיפר</w:t>
      </w:r>
      <w:bookmarkStart w:id="4310" w:name="_fnr3225"/>
      <w:r>
        <w:rPr>
          <w:vertAlign w:val="superscript"/>
          <w:rtl/>
        </w:rPr>
        <w:footnoteReference w:id="3233" w:customMarkFollows="0"/>
      </w:r>
      <w:bookmarkEnd w:id="4310"/>
      <w:r>
        <w:rPr>
          <w:rtl/>
        </w:rPr>
        <w:t xml:space="preserve"> בשם אבי שעל הקיר החיצוני של בניין הישיבה </w:t>
      </w:r>
      <w:proofErr w:type="spellStart"/>
      <w:r>
        <w:rPr>
          <w:rtl/>
        </w:rPr>
        <w:t>בסלבודקה</w:t>
      </w:r>
      <w:proofErr w:type="spellEnd"/>
      <w:r>
        <w:rPr>
          <w:rtl/>
        </w:rPr>
        <w:t xml:space="preserve"> נותרו מאז בנייתו שני מוטות מתכת. אחדים מן הבחורים השתמשו בהם לתרגילי מתח, ואחרים היו מתלוננים על כך לפני הסבא. הסבא גילה לאבי בסוד שכשהושלמה בניית הבית, הוא עצמו אמר לבנאים “לשכוח” להסיר את המוטות, דווקא לשימוש זה. “הבחורים שמרגישים צורך לעשות מתח צריכים להשתמש במוטות; והתלמידים </w:t>
      </w:r>
      <w:proofErr w:type="spellStart"/>
      <w:r>
        <w:rPr>
          <w:rtl/>
        </w:rPr>
        <w:t>ה‘פרומע</w:t>
      </w:r>
      <w:proofErr w:type="spellEnd"/>
      <w:r>
        <w:rPr>
          <w:rtl/>
        </w:rPr>
        <w:t>’ צריכים להתלונן”, סיכם. אבי אימץ פעמים רבות גישה זו של הסבא: סובלנות, ואף הסכמה, לשתי עמדות סותרות, מתוך ראייה שכל אחת מהן מתאימה לקבוצת אנשים אחרת.</w:t>
      </w:r>
    </w:p>
    <w:p w14:paraId="7A1FE643" w14:textId="3BF3750B"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 xml:space="preserve">עם תחילת אלול הופתע </w:t>
      </w:r>
      <w:proofErr w:type="spellStart"/>
      <w:r>
        <w:rPr>
          <w:rtl/>
        </w:rPr>
        <w:t>הדולהינובר</w:t>
      </w:r>
      <w:proofErr w:type="spellEnd"/>
      <w:r>
        <w:rPr>
          <w:rtl/>
        </w:rPr>
        <w:t xml:space="preserve"> לראות זרם של אנשים עטורי טלית ובעלי זקנים – אנשים נשואים, ובהם רבנים – המצטרפים אל ציבור הישיבה. התברר לו שאלו תלמידים לשעבר של סלבודקה</w:t>
      </w:r>
      <w:bookmarkStart w:id="4311" w:name="b4_text63"/>
      <w:bookmarkEnd w:id="4311"/>
      <w:r>
        <w:rPr>
          <w:sz w:val="18"/>
          <w:szCs w:val="18"/>
          <w:vertAlign w:val="superscript"/>
          <w:rtl/>
        </w:rPr>
        <w:fldChar w:fldCharType="begin" w:dirty="true"/>
      </w:r>
      <w:r>
        <w:rPr>
          <w:sz w:val="18"/>
          <w:szCs w:val="18"/>
          <w:vertAlign w:val="superscript"/>
          <w:rtl/>
        </w:rPr>
        <w:instrText xml:space="preserve"> REF b4_note63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63</w:t>
      </w:r>
      <w:r>
        <w:rPr>
          <w:sz w:val="18"/>
          <w:szCs w:val="18"/>
          <w:vertAlign w:val="superscript"/>
          <w:rtl/>
        </w:rPr>
        <w:fldChar w:fldCharType="end"/>
      </w:r>
      <w:r>
        <w:rPr>
          <w:rtl/>
        </w:rPr>
        <w:t xml:space="preserve">, שעזבו את בתיהם ואת עיסוקיהם כדי לשהות בישיבה במשך החודש ולהתכונן לימים הנוראים. הישיבה התמלאה עד אפס מקום, וחדרו של הסבא היה גדוש בוגרים שנדחקו סביבו לשמוע את שיחות המוסר שלו. התלמידים הנוכחיים נהגו בבוגרים דרך כבוד, ואפשרו להם לעמוד קרוב יותר למשגיח.</w:t>
      </w:r>
    </w:p>
    <w:bookmarkStart w:id="4312" w:name="b4_note63"/>
    <w:p w14:paraId="34D1A4D5" w14:textId="05DDEA83" w:rsidR="00AB3647" w:rsidRDefault="00000000" w:rsidP="007923E9">
      <w:pPr>
        <w:spacing w:before="120" w:after="100" w:line="276" w:lineRule="auto"/>
        <w:jc w:val="both"/>
      </w:pPr>
      <w:r>
        <w:fldChar w:fldCharType="begin" w:dirty="true"/>
      </w:r>
      <w:r>
        <w:instrText>HYPERLINK \l "b4_text63" \h</w:instrText>
      </w:r>
      <w:r>
        <w:fldChar w:fldCharType="separate"/>
      </w:r>
      <w:r>
        <w:rPr>
          <w:b/>
          <w:bCs/>
          <w:rtl/>
        </w:rPr>
        <w:t>63</w:t>
      </w:r>
      <w:r>
        <w:rPr>
          <w:b/>
          <w:bCs/>
        </w:rPr>
        <w:fldChar w:fldCharType="end"/>
      </w:r>
      <w:bookmarkEnd w:id="4312"/>
      <w:r>
        <w:rPr>
          <w:rtl/>
        </w:rPr>
        <w:t xml:space="preserve"> בין האורחים היו בוגרי כנסת ישראל וגם בוגרי כנסת בית יצחק</w:t>
      </w:r>
      <w:bookmarkStart w:id="4313" w:name="_fnr3226"/>
      <w:r>
        <w:rPr>
          <w:vertAlign w:val="superscript"/>
          <w:rtl/>
        </w:rPr>
        <w:footnoteReference w:id="3234" w:customMarkFollows="0"/>
      </w:r>
      <w:bookmarkEnd w:id="4313"/>
      <w:r>
        <w:rPr>
          <w:rtl/>
        </w:rPr>
        <w:t xml:space="preserve">. מקצת בוגרי כנסת בית יצחק, שבאו ללמוד זמן קצר בכנסת ישראל באלול, שכרו חדרים בבית שבו גר ר׳ </w:t>
      </w:r>
      <w:proofErr w:type="spellStart"/>
      <w:r>
        <w:rPr>
          <w:rtl/>
        </w:rPr>
        <w:t>ברוך־בער</w:t>
      </w:r>
      <w:proofErr w:type="spellEnd"/>
      <w:r>
        <w:rPr>
          <w:rtl/>
        </w:rPr>
        <w:t xml:space="preserve">. לכן סבר ר׳ </w:t>
      </w:r>
      <w:proofErr w:type="spellStart"/>
      <w:r>
        <w:rPr>
          <w:rtl/>
        </w:rPr>
        <w:t>שמואל־לייב</w:t>
      </w:r>
      <w:proofErr w:type="spellEnd"/>
      <w:r>
        <w:rPr>
          <w:rtl/>
        </w:rPr>
        <w:t xml:space="preserve"> שווי שגם הוא יוכל להמשיך לגור שם, אף שהתכוון לעבור לכנסת ישראל – השווה פרק 3, הפסקה השנייה של </w:t>
      </w:r>
      <w:r>
        <w:rPr>
          <w:rtl/>
        </w:rPr>
        <w:fldChar w:fldCharType="begin" w:dirty="true"/>
      </w:r>
      <w:r>
        <w:rPr>
          <w:rtl/>
        </w:rPr>
        <w:instrText xml:space="preserve"> REF b3_excII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לה</w:t>
      </w:r>
      <w:r>
        <w:rPr>
          <w:rtl/>
        </w:rPr>
        <w:fldChar w:fldCharType="end"/>
      </w:r>
      <w:r>
        <w:rPr>
          <w:rtl/>
        </w:rPr>
        <w:t>. כך הסביר זאת לבנו ר׳ אליהו, כשנשאל על חוסר הטקט, הבולט לכאורה, שלא כדרכו.</w:t>
      </w:r>
    </w:p>
    <w:p w14:paraId="69AD4908" w14:textId="45B7135B"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בראש השנה, בשעה שראש הישיבה נשא דברים לפני התקיעות</w:t>
      </w:r>
      <w:bookmarkStart w:id="4314" w:name="b4_text64"/>
      <w:bookmarkEnd w:id="4314"/>
      <w:r>
        <w:rPr>
          <w:sz w:val="18"/>
          <w:szCs w:val="18"/>
          <w:vertAlign w:val="superscript"/>
          <w:rtl/>
        </w:rPr>
        <w:fldChar w:fldCharType="begin" w:dirty="true"/>
      </w:r>
      <w:r>
        <w:rPr>
          <w:sz w:val="18"/>
          <w:szCs w:val="18"/>
          <w:vertAlign w:val="superscript"/>
          <w:rtl/>
        </w:rPr>
        <w:instrText xml:space="preserve"> REF b4_note64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64</w:t>
      </w:r>
      <w:r>
        <w:rPr>
          <w:sz w:val="18"/>
          <w:szCs w:val="18"/>
          <w:vertAlign w:val="superscript"/>
          <w:rtl/>
        </w:rPr>
        <w:fldChar w:fldCharType="end"/>
      </w:r>
      <w:r>
        <w:rPr>
          <w:rtl/>
        </w:rPr>
        <w:t>, הגיעה ההתעוררות הדתית בישיבה לרמה גבוהה, ושיאה היה ביום הכיפורים. הסבא בחר באבי וזיכה אותו בכבוד לעמוד לצדו בשעת אמירת “כל נדרי”</w:t>
      </w:r>
      <w:bookmarkStart w:id="4315" w:name="b4_text65"/>
      <w:bookmarkEnd w:id="4315"/>
      <w:r>
        <w:rPr>
          <w:sz w:val="18"/>
          <w:szCs w:val="18"/>
          <w:vertAlign w:val="superscript"/>
          <w:rtl/>
        </w:rPr>
        <w:fldChar w:fldCharType="begin" w:dirty="true"/>
      </w:r>
      <w:r>
        <w:rPr>
          <w:sz w:val="18"/>
          <w:szCs w:val="18"/>
          <w:vertAlign w:val="superscript"/>
          <w:rtl/>
        </w:rPr>
        <w:instrText xml:space="preserve"> REF b4_note65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65</w:t>
      </w:r>
      <w:r>
        <w:rPr>
          <w:sz w:val="18"/>
          <w:szCs w:val="18"/>
          <w:vertAlign w:val="superscript"/>
          <w:rtl/>
        </w:rPr>
        <w:fldChar w:fldCharType="end"/>
      </w:r>
      <w:r>
        <w:rPr>
          <w:rtl/>
        </w:rPr>
        <w:t>. הנער התבונן מרותק בפניו המאירות של הזקן כשבירך “שהחיינו”, מתוך ציפייה למחילת העוונות המבושרת בבוא היום הקדוש ביותר</w:t>
      </w:r>
      <w:bookmarkStart w:id="4316" w:name="b4_text66"/>
      <w:bookmarkEnd w:id="4316"/>
      <w:r>
        <w:rPr>
          <w:sz w:val="18"/>
          <w:szCs w:val="18"/>
          <w:vertAlign w:val="superscript"/>
          <w:rtl/>
        </w:rPr>
        <w:fldChar w:fldCharType="begin" w:dirty="true"/>
      </w:r>
      <w:r>
        <w:rPr>
          <w:sz w:val="18"/>
          <w:szCs w:val="18"/>
          <w:vertAlign w:val="superscript"/>
          <w:rtl/>
        </w:rPr>
        <w:instrText xml:space="preserve"> REF b4_note66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66</w:t>
      </w:r>
      <w:r>
        <w:rPr>
          <w:sz w:val="18"/>
          <w:szCs w:val="18"/>
          <w:vertAlign w:val="superscript"/>
          <w:rtl/>
        </w:rPr>
        <w:fldChar w:fldCharType="end"/>
      </w:r>
      <w:r>
        <w:rPr>
          <w:rtl/>
        </w:rPr>
        <w:t>.</w:t>
      </w:r>
    </w:p>
    <w:bookmarkStart w:id="4317" w:name="b4_note64"/>
    <w:p w14:paraId="37D7A6F3" w14:textId="77777777" w:rsidR="00AB3647" w:rsidRDefault="00000000" w:rsidP="007923E9">
      <w:pPr>
        <w:spacing w:before="120" w:after="100" w:line="276" w:lineRule="auto"/>
        <w:jc w:val="both"/>
      </w:pPr>
      <w:r>
        <w:fldChar w:fldCharType="begin" w:dirty="true"/>
      </w:r>
      <w:r>
        <w:instrText>HYPERLINK \l "b4_text64" \h</w:instrText>
      </w:r>
      <w:r>
        <w:fldChar w:fldCharType="separate"/>
      </w:r>
      <w:r>
        <w:rPr>
          <w:b/>
          <w:bCs/>
          <w:rtl/>
        </w:rPr>
        <w:t>64</w:t>
      </w:r>
      <w:r>
        <w:rPr>
          <w:b/>
          <w:bCs/>
        </w:rPr>
        <w:fldChar w:fldCharType="end"/>
      </w:r>
      <w:bookmarkEnd w:id="4317"/>
      <w:r>
        <w:rPr>
          <w:rtl/>
        </w:rPr>
        <w:t xml:space="preserve"> שעת תקיעת השופר מחייבת התעוררות</w:t>
      </w:r>
      <w:bookmarkStart w:id="4318" w:name="_fnr3227"/>
      <w:r>
        <w:rPr>
          <w:vertAlign w:val="superscript"/>
          <w:rtl/>
        </w:rPr>
        <w:footnoteReference w:id="3235" w:customMarkFollows="0"/>
      </w:r>
      <w:bookmarkEnd w:id="4318"/>
      <w:r>
        <w:rPr>
          <w:rtl/>
        </w:rPr>
        <w:t>, ולא דרך דיבורו של הסבא ולא תוכן שיחותיו התאימו לכך</w:t>
      </w:r>
      <w:bookmarkStart w:id="4319" w:name="_fnr3228"/>
      <w:r>
        <w:rPr>
          <w:vertAlign w:val="superscript"/>
          <w:rtl/>
        </w:rPr>
        <w:footnoteReference w:id="3236" w:customMarkFollows="0"/>
      </w:r>
      <w:bookmarkEnd w:id="4319"/>
      <w:r>
        <w:rPr>
          <w:rtl/>
        </w:rPr>
        <w:t xml:space="preserve">. לכן ביקש מר׳ </w:t>
      </w:r>
      <w:proofErr w:type="spellStart"/>
      <w:r>
        <w:rPr>
          <w:rtl/>
        </w:rPr>
        <w:t>משה־מרדכי</w:t>
      </w:r>
      <w:proofErr w:type="spellEnd"/>
      <w:r>
        <w:rPr>
          <w:rtl/>
        </w:rPr>
        <w:t xml:space="preserve"> אפשטיין</w:t>
      </w:r>
      <w:bookmarkStart w:id="4320" w:name="_fnr3229"/>
      <w:r>
        <w:rPr>
          <w:vertAlign w:val="superscript"/>
          <w:rtl/>
        </w:rPr>
        <w:footnoteReference w:id="3237" w:customMarkFollows="0"/>
      </w:r>
      <w:bookmarkEnd w:id="4320"/>
      <w:r>
        <w:rPr>
          <w:rtl/>
        </w:rPr>
        <w:t xml:space="preserve"> לשאת את שיחת ההתעוררות במקומו. כך מסר </w:t>
      </w:r>
      <w:proofErr w:type="spellStart"/>
      <w:r>
        <w:rPr>
          <w:rtl/>
        </w:rPr>
        <w:t>נכדו־חתנו</w:t>
      </w:r>
      <w:proofErr w:type="spellEnd"/>
      <w:r>
        <w:rPr>
          <w:rtl/>
        </w:rPr>
        <w:t xml:space="preserve"> של ר׳ </w:t>
      </w:r>
      <w:proofErr w:type="spellStart"/>
      <w:r>
        <w:rPr>
          <w:rtl/>
        </w:rPr>
        <w:t>משה־מרדכי</w:t>
      </w:r>
      <w:proofErr w:type="spellEnd"/>
      <w:r>
        <w:rPr>
          <w:rtl/>
        </w:rPr>
        <w:t>, ר׳ אהרן יפה</w:t>
      </w:r>
      <w:bookmarkStart w:id="4321" w:name="_fnr3230"/>
      <w:r>
        <w:rPr>
          <w:vertAlign w:val="superscript"/>
          <w:rtl/>
        </w:rPr>
        <w:footnoteReference w:id="3238" w:customMarkFollows="0"/>
      </w:r>
      <w:bookmarkEnd w:id="4321"/>
      <w:r>
        <w:rPr>
          <w:rtl/>
        </w:rPr>
        <w:t>.</w:t>
      </w:r>
    </w:p>
    <w:bookmarkStart w:id="4322" w:name="b4_note65"/>
    <w:p w14:paraId="672C9975" w14:textId="77777777" w:rsidR="00AB3647" w:rsidRDefault="00000000" w:rsidP="007923E9">
      <w:pPr>
        <w:spacing w:before="120" w:after="100" w:line="276" w:lineRule="auto"/>
        <w:jc w:val="both"/>
      </w:pPr>
      <w:r>
        <w:lastRenderedPageBreak/>
        <w:fldChar w:fldCharType="begin" w:dirty="true"/>
      </w:r>
      <w:r>
        <w:instrText>HYPERLINK \l "b4_text65" \h</w:instrText>
      </w:r>
      <w:r>
        <w:fldChar w:fldCharType="separate"/>
      </w:r>
      <w:r>
        <w:rPr>
          <w:b/>
          <w:bCs/>
          <w:rtl/>
        </w:rPr>
        <w:t>65</w:t>
      </w:r>
      <w:r>
        <w:rPr>
          <w:b/>
          <w:bCs/>
        </w:rPr>
        <w:fldChar w:fldCharType="end"/>
      </w:r>
      <w:bookmarkEnd w:id="4322"/>
      <w:r>
        <w:rPr>
          <w:rtl/>
        </w:rPr>
        <w:t xml:space="preserve"> ר׳ יצחק </w:t>
      </w:r>
      <w:proofErr w:type="spellStart"/>
      <w:r>
        <w:rPr>
          <w:rtl/>
        </w:rPr>
        <w:t>שורין</w:t>
      </w:r>
      <w:bookmarkStart w:id="4323" w:name="_fnr3231"/>
      <w:proofErr w:type="spellEnd"/>
      <w:r>
        <w:rPr>
          <w:vertAlign w:val="superscript"/>
          <w:rtl/>
        </w:rPr>
        <w:footnoteReference w:id="3239" w:customMarkFollows="0"/>
      </w:r>
      <w:bookmarkEnd w:id="4323"/>
      <w:r>
        <w:rPr>
          <w:rtl/>
        </w:rPr>
        <w:t xml:space="preserve"> סיפר שאבי, שהגיע </w:t>
      </w:r>
      <w:proofErr w:type="spellStart"/>
      <w:r>
        <w:rPr>
          <w:rtl/>
        </w:rPr>
        <w:t>לסלבודקה</w:t>
      </w:r>
      <w:proofErr w:type="spellEnd"/>
      <w:r>
        <w:rPr>
          <w:rtl/>
        </w:rPr>
        <w:t xml:space="preserve"> פחות משישה חודשים קודם לכן, הוזמן לעמוד ליד הסבא במעמד זה. ייתכן שכך גמל רבו לתלמיד הצעיר על תשומת הלב הרבה שהקדיש לתפילתו של המשגיח.</w:t>
      </w:r>
    </w:p>
    <w:bookmarkStart w:id="4324" w:name="b4_note66"/>
    <w:p w14:paraId="35080DE6" w14:textId="77777777" w:rsidR="00AB3647" w:rsidRDefault="00000000" w:rsidP="007923E9">
      <w:pPr>
        <w:spacing w:before="120" w:after="100" w:line="276" w:lineRule="auto"/>
        <w:jc w:val="both"/>
      </w:pPr>
      <w:r>
        <w:fldChar w:fldCharType="begin" w:dirty="true"/>
      </w:r>
      <w:r>
        <w:instrText>HYPERLINK \l "b4_text66" \h</w:instrText>
      </w:r>
      <w:r>
        <w:fldChar w:fldCharType="separate"/>
      </w:r>
      <w:r>
        <w:rPr>
          <w:b/>
          <w:bCs/>
          <w:rtl/>
        </w:rPr>
        <w:t>66</w:t>
      </w:r>
      <w:r>
        <w:rPr>
          <w:b/>
          <w:bCs/>
        </w:rPr>
        <w:fldChar w:fldCharType="end"/>
      </w:r>
      <w:bookmarkEnd w:id="4324"/>
      <w:r>
        <w:rPr>
          <w:rtl/>
        </w:rPr>
        <w:t xml:space="preserve"> ר׳ יצחק </w:t>
      </w:r>
      <w:proofErr w:type="spellStart"/>
      <w:r>
        <w:rPr>
          <w:rtl/>
        </w:rPr>
        <w:t>קנובל</w:t>
      </w:r>
      <w:bookmarkStart w:id="4325" w:name="_fnr3232"/>
      <w:proofErr w:type="spellEnd"/>
      <w:r>
        <w:rPr>
          <w:vertAlign w:val="superscript"/>
          <w:rtl/>
        </w:rPr>
        <w:footnoteReference w:id="3240" w:customMarkFollows="0"/>
      </w:r>
      <w:bookmarkEnd w:id="4325"/>
      <w:r>
        <w:rPr>
          <w:rtl/>
        </w:rPr>
        <w:t xml:space="preserve">. אבי ראה במעשהו של הסבא רוממות שכמעט אי אפשר להשיגה בדורות המאוחרים. בשבת פרשת חיי שרה, כ״ז בחשוון </w:t>
      </w:r>
      <w:proofErr w:type="spellStart"/>
      <w:r>
        <w:rPr>
          <w:rtl/>
        </w:rPr>
        <w:t>תש״ם</w:t>
      </w:r>
      <w:proofErr w:type="spellEnd"/>
      <w:r>
        <w:rPr>
          <w:rtl/>
        </w:rPr>
        <w:t xml:space="preserve">, העלה אבי זיכרונות עם ר׳ לייזר לוין </w:t>
      </w:r>
      <w:proofErr w:type="spellStart"/>
      <w:r>
        <w:rPr>
          <w:rtl/>
        </w:rPr>
        <w:t>במונסי</w:t>
      </w:r>
      <w:proofErr w:type="spellEnd"/>
      <w:r>
        <w:rPr>
          <w:rtl/>
        </w:rPr>
        <w:t xml:space="preserve">. כשניסה ר׳ יצחק </w:t>
      </w:r>
      <w:proofErr w:type="spellStart"/>
      <w:r>
        <w:rPr>
          <w:rtl/>
        </w:rPr>
        <w:t>קנובל</w:t>
      </w:r>
      <w:proofErr w:type="spellEnd"/>
      <w:r>
        <w:rPr>
          <w:rtl/>
        </w:rPr>
        <w:t xml:space="preserve"> להתערב, קטע אותו אבי ושאלו: “האם ראית פעם את הסבא אומר שהחיינו בליל יום הכיפורים?” כלומר: לא ראית כמעט מאומה מן הגדולה שראינו אנחנו, שני המשוחחים; מוטב שתאזין, והרי לפניך דוגמה לגדולה של ימים עברו.</w:t>
      </w:r>
    </w:p>
    <w:p w14:paraId="1109F5B7" w14:textId="77777777" w:rsidR="00AB3647" w:rsidRDefault="00000000" w:rsidP="007923E9">
      <w:pPr>
        <w:spacing w:after="120" w:line="276" w:lineRule="auto"/>
        <w:jc w:val="both"/>
      </w:pPr>
      <w:r>
        <w:rPr>
          <w:rtl/>
        </w:rPr>
        <w:t xml:space="preserve">ר׳ יוסף </w:t>
      </w:r>
      <w:proofErr w:type="spellStart"/>
      <w:r>
        <w:rPr>
          <w:rtl/>
        </w:rPr>
        <w:t>וולק</w:t>
      </w:r>
      <w:proofErr w:type="spellEnd"/>
      <w:r>
        <w:rPr>
          <w:rtl/>
        </w:rPr>
        <w:t xml:space="preserve"> סיפר</w:t>
      </w:r>
      <w:bookmarkStart w:id="4326" w:name="_fnr3233"/>
      <w:r>
        <w:rPr>
          <w:vertAlign w:val="superscript"/>
          <w:rtl/>
        </w:rPr>
        <w:footnoteReference w:id="3241" w:customMarkFollows="0"/>
      </w:r>
      <w:bookmarkEnd w:id="4326"/>
      <w:r>
        <w:rPr>
          <w:rtl/>
        </w:rPr>
        <w:t xml:space="preserve"> שאבי הזכיר את המעשה הזה </w:t>
      </w:r>
      <w:proofErr w:type="spellStart"/>
      <w:r>
        <w:rPr>
          <w:rtl/>
        </w:rPr>
        <w:t>כשלא</w:t>
      </w:r>
      <w:proofErr w:type="spellEnd"/>
      <w:r>
        <w:rPr>
          <w:rtl/>
        </w:rPr>
        <w:t xml:space="preserve"> הסכים לריקוד שערכו בנות בית יעקב בבולטימור בין יום הכיפורים לסוכות. הוא אמר: “אין זו השמחה של הימים האלה”. כשנשאל מהי אותה שמחה, השיב בלשון חידתית: “מי שראה את הסבא ממש רוקד מרוב שמחה באמירת שהחיינו בליל יום הכיפורים לא היה שואל שאלה כזאת”. נראה שהתכוון לומר ששמחת מחילת העוונות היא שמחה אישית ופנימית לחלוטין, ואינה יכולה לבוא לידי ביטוי בשמחה ציבורית.</w:t>
      </w:r>
    </w:p>
    <w:p w14:paraId="46243A0F" w14:textId="74EA0100"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 xml:space="preserve">זמן הקיץ הסתיים. לרוב התלמידים, כמו </w:t>
      </w:r>
      <w:proofErr w:type="spellStart"/>
      <w:r>
        <w:rPr>
          <w:rtl/>
        </w:rPr>
        <w:t>לדולהינובר</w:t>
      </w:r>
      <w:proofErr w:type="spellEnd"/>
      <w:r>
        <w:rPr>
          <w:rtl/>
        </w:rPr>
        <w:t>, לא היה הכסף הדרוש לנסוע לביתם לחג הסוכות, וגם לא רצו להפסיד את רוח השמחה שפיעמה בישיבה בימי בין הזמנים</w:t>
      </w:r>
      <w:bookmarkStart w:id="4327" w:name="b4_text67"/>
      <w:bookmarkEnd w:id="4327"/>
      <w:r>
        <w:rPr>
          <w:sz w:val="18"/>
          <w:szCs w:val="18"/>
          <w:vertAlign w:val="superscript"/>
          <w:rtl/>
        </w:rPr>
        <w:fldChar w:fldCharType="begin" w:dirty="true"/>
      </w:r>
      <w:r>
        <w:rPr>
          <w:sz w:val="18"/>
          <w:szCs w:val="18"/>
          <w:vertAlign w:val="superscript"/>
          <w:rtl/>
        </w:rPr>
        <w:instrText xml:space="preserve"> REF b4_note67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67</w:t>
      </w:r>
      <w:r>
        <w:rPr>
          <w:sz w:val="18"/>
          <w:szCs w:val="18"/>
          <w:vertAlign w:val="superscript"/>
          <w:rtl/>
        </w:rPr>
        <w:fldChar w:fldCharType="end"/>
      </w:r>
      <w:r>
        <w:rPr>
          <w:rtl/>
        </w:rPr>
        <w:t xml:space="preserve">. בעלי התפילה נבחרו לפי כישרונם לשתף את הציבור בשירת החג. ניגון המבוצע כראוי ביום טוב נחשב לעבודת ה׳, </w:t>
      </w:r>
      <w:proofErr w:type="spellStart"/>
      <w:r>
        <w:rPr>
          <w:rtl/>
        </w:rPr>
        <w:t>וכשלא</w:t>
      </w:r>
      <w:proofErr w:type="spellEnd"/>
      <w:r>
        <w:rPr>
          <w:rtl/>
        </w:rPr>
        <w:t xml:space="preserve"> היה בקהל אבל המחויב באמירת קדיש, הורה הסבא לציבור לפתוח בשירה במקומו</w:t>
      </w:r>
      <w:bookmarkStart w:id="4328" w:name="b4_text68"/>
      <w:bookmarkEnd w:id="4328"/>
      <w:r>
        <w:rPr>
          <w:sz w:val="18"/>
          <w:szCs w:val="18"/>
          <w:vertAlign w:val="superscript"/>
          <w:rtl/>
        </w:rPr>
        <w:fldChar w:fldCharType="begin" w:dirty="true"/>
      </w:r>
      <w:r>
        <w:rPr>
          <w:sz w:val="18"/>
          <w:szCs w:val="18"/>
          <w:vertAlign w:val="superscript"/>
          <w:rtl/>
        </w:rPr>
        <w:instrText xml:space="preserve"> REF b4_note68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68</w:t>
      </w:r>
      <w:r>
        <w:rPr>
          <w:sz w:val="18"/>
          <w:szCs w:val="18"/>
          <w:vertAlign w:val="superscript"/>
          <w:rtl/>
        </w:rPr>
        <w:fldChar w:fldCharType="end"/>
      </w:r>
      <w:r>
        <w:rPr>
          <w:rtl/>
        </w:rPr>
        <w:t>.</w:t>
      </w:r>
    </w:p>
    <w:bookmarkStart w:id="4329" w:name="b4_note67"/>
    <w:p w14:paraId="76D41D59" w14:textId="77777777" w:rsidR="00AB3647" w:rsidRDefault="00000000" w:rsidP="007923E9">
      <w:pPr>
        <w:spacing w:before="120" w:after="100" w:line="276" w:lineRule="auto"/>
        <w:jc w:val="both"/>
      </w:pPr>
      <w:r>
        <w:fldChar w:fldCharType="begin" w:dirty="true"/>
      </w:r>
      <w:r>
        <w:instrText>HYPERLINK \l "b4_text67" \h</w:instrText>
      </w:r>
      <w:r>
        <w:fldChar w:fldCharType="separate"/>
      </w:r>
      <w:r>
        <w:rPr>
          <w:b/>
          <w:bCs/>
          <w:rtl/>
        </w:rPr>
        <w:t>67</w:t>
      </w:r>
      <w:r>
        <w:rPr>
          <w:b/>
          <w:bCs/>
        </w:rPr>
        <w:fldChar w:fldCharType="end"/>
      </w:r>
      <w:bookmarkEnd w:id="4329"/>
      <w:r>
        <w:rPr>
          <w:rtl/>
        </w:rPr>
        <w:t xml:space="preserve"> בהערותיו </w:t>
      </w:r>
      <w:proofErr w:type="spellStart"/>
      <w:r>
        <w:rPr>
          <w:rtl/>
        </w:rPr>
        <w:t>לאלזט</w:t>
      </w:r>
      <w:bookmarkStart w:id="4330" w:name="_fnr3234"/>
      <w:proofErr w:type="spellEnd"/>
      <w:r>
        <w:rPr>
          <w:vertAlign w:val="superscript"/>
          <w:rtl/>
        </w:rPr>
        <w:footnoteReference w:id="3242" w:customMarkFollows="0"/>
      </w:r>
      <w:bookmarkEnd w:id="4330"/>
      <w:r>
        <w:rPr>
          <w:rtl/>
        </w:rPr>
        <w:t xml:space="preserve"> נזכר העורך </w:t>
      </w:r>
      <w:proofErr w:type="spellStart"/>
      <w:r>
        <w:rPr>
          <w:rtl/>
        </w:rPr>
        <w:t>דרויאנוב</w:t>
      </w:r>
      <w:proofErr w:type="spellEnd"/>
      <w:r>
        <w:rPr>
          <w:rtl/>
        </w:rPr>
        <w:t xml:space="preserve">: “בשמחת בית השואבה </w:t>
      </w:r>
      <w:proofErr w:type="spellStart"/>
      <w:r>
        <w:rPr>
          <w:rtl/>
        </w:rPr>
        <w:t>בוולוז׳ין</w:t>
      </w:r>
      <w:bookmarkStart w:id="4331" w:name="_fnr3235"/>
      <w:proofErr w:type="spellEnd"/>
      <w:r>
        <w:rPr>
          <w:vertAlign w:val="superscript"/>
          <w:rtl/>
        </w:rPr>
        <w:footnoteReference w:id="3243" w:customMarkFollows="0"/>
      </w:r>
      <w:bookmarkEnd w:id="4331"/>
      <w:r>
        <w:rPr>
          <w:rtl/>
        </w:rPr>
        <w:t xml:space="preserve"> היו בני הישיבה שמחים, משתעשעים, רוקדים ואף שותים עד שעה מאוחרת מאוד בלילה, לעיתים עד אור הבוקר. גם </w:t>
      </w:r>
      <w:proofErr w:type="spellStart"/>
      <w:r>
        <w:rPr>
          <w:rtl/>
        </w:rPr>
        <w:t>הנצי״ב</w:t>
      </w:r>
      <w:bookmarkStart w:id="4332" w:name="_fnr3236"/>
      <w:proofErr w:type="spellEnd"/>
      <w:r>
        <w:rPr>
          <w:vertAlign w:val="superscript"/>
          <w:rtl/>
        </w:rPr>
        <w:footnoteReference w:id="3244" w:customMarkFollows="0"/>
      </w:r>
      <w:bookmarkEnd w:id="4332"/>
      <w:r>
        <w:rPr>
          <w:rtl/>
        </w:rPr>
        <w:t xml:space="preserve"> היה משתתף בשמחתם ונשאר עמם ער כל הלילה. לאחר שתש כוחם של החוגגים והרוקדים ושמחתם דעכה מרוב עייפות, היה </w:t>
      </w:r>
      <w:proofErr w:type="spellStart"/>
      <w:r>
        <w:rPr>
          <w:rtl/>
        </w:rPr>
        <w:t>הנצי״ב</w:t>
      </w:r>
      <w:proofErr w:type="spellEnd"/>
      <w:r>
        <w:rPr>
          <w:rtl/>
        </w:rPr>
        <w:t xml:space="preserve"> פותח את ארון הקודש, ובני הישיבה היו שרים ‘עלינו’ בניגון של הימים הנוראים. כשהגיעו </w:t>
      </w:r>
      <w:proofErr w:type="spellStart"/>
      <w:r>
        <w:rPr>
          <w:rtl/>
        </w:rPr>
        <w:t>ל‘ואנחנו</w:t>
      </w:r>
      <w:proofErr w:type="spellEnd"/>
      <w:r>
        <w:rPr>
          <w:rtl/>
        </w:rPr>
        <w:t xml:space="preserve"> כורעים’, היו כורעים ומשתחווים כפי שעושים בימים הנוראים, </w:t>
      </w:r>
      <w:proofErr w:type="spellStart"/>
      <w:r>
        <w:rPr>
          <w:rtl/>
        </w:rPr>
        <w:t>והנצי״ב</w:t>
      </w:r>
      <w:proofErr w:type="spellEnd"/>
      <w:r>
        <w:rPr>
          <w:rtl/>
        </w:rPr>
        <w:t xml:space="preserve"> עמם. מנהג זה מסתמך כנראה על הפסוק באיוב א, ה: ‘ויהי כי הקיפו ימי המשתה וישלח איוב ויקדשם... כי אמר איוב אולי חטאו בניי’”.</w:t>
      </w:r>
    </w:p>
    <w:bookmarkStart w:id="4333" w:name="b4_note68"/>
    <w:p w14:paraId="4276DF9C" w14:textId="50354F1D" w:rsidR="00AB3647" w:rsidRDefault="00000000" w:rsidP="007923E9">
      <w:pPr>
        <w:spacing w:before="120" w:after="100" w:line="276" w:lineRule="auto"/>
        <w:jc w:val="both"/>
      </w:pPr>
      <w:r>
        <w:lastRenderedPageBreak/>
        <w:fldChar w:fldCharType="begin" w:dirty="true"/>
      </w:r>
      <w:r>
        <w:instrText>HYPERLINK \l "b4_text68" \h</w:instrText>
      </w:r>
      <w:r>
        <w:fldChar w:fldCharType="separate"/>
      </w:r>
      <w:r>
        <w:rPr>
          <w:b/>
          <w:bCs/>
          <w:rtl/>
        </w:rPr>
        <w:t>68</w:t>
      </w:r>
      <w:r>
        <w:rPr>
          <w:b/>
          <w:bCs/>
        </w:rPr>
        <w:fldChar w:fldCharType="end"/>
      </w:r>
      <w:bookmarkEnd w:id="4333"/>
      <w:r>
        <w:rPr>
          <w:rtl/>
        </w:rPr>
        <w:t xml:space="preserve"> כץ, “תנועת המוסר”, כרך ג</w:t>
      </w:r>
      <w:bookmarkStart w:id="4334" w:name="_fnr3237"/>
      <w:r>
        <w:rPr>
          <w:vertAlign w:val="superscript"/>
          <w:rtl/>
        </w:rPr>
        <w:footnoteReference w:id="3245" w:customMarkFollows="0"/>
      </w:r>
      <w:bookmarkEnd w:id="4334"/>
      <w:r>
        <w:rPr>
          <w:rtl/>
        </w:rPr>
        <w:t>. עוד מסופר שם</w:t>
      </w:r>
      <w:bookmarkStart w:id="4335" w:name="_fnr3238"/>
      <w:r>
        <w:rPr>
          <w:vertAlign w:val="superscript"/>
          <w:rtl/>
        </w:rPr>
        <w:footnoteReference w:id="3246" w:customMarkFollows="0"/>
      </w:r>
      <w:bookmarkEnd w:id="4335"/>
      <w:r>
        <w:rPr>
          <w:rtl/>
        </w:rPr>
        <w:t xml:space="preserve"> שהישיבה “</w:t>
      </w:r>
      <w:proofErr w:type="spellStart"/>
      <w:r>
        <w:rPr>
          <w:rtl/>
        </w:rPr>
        <w:t>נתפרסמה</w:t>
      </w:r>
      <w:proofErr w:type="spellEnd"/>
      <w:r>
        <w:rPr>
          <w:rtl/>
        </w:rPr>
        <w:t xml:space="preserve"> בסביבותיה בשיריה העליזים ובריקודיה מלאי השמחה, ורבים מבעלי הבתים היו באים להצטרף לתלמידים בשמחתם”. גם בשבתות היה שולחנו של הסבא מלא שירה, וכן חדרי מגורי הבחורים. למרות המתח המתמיד והחרדה שלא הרפתה ממנו, יצר הסבא אווירה שבה חשו תלמידיו ואורחיו שמחים ונינוחים. בכלל השתדל להכניס לישיבה רוח של שמחה ואף עליצות, מפני שראה בהן אמצעי לעורר את השכל לערנות ולבהירות. השווה גם הערה </w:t>
      </w:r>
      <w:r>
        <w:rPr>
          <w:rtl/>
        </w:rPr>
        <w:fldChar w:fldCharType="begin" w:dirty="true"/>
      </w:r>
      <w:r>
        <w:rPr>
          <w:rtl/>
        </w:rPr>
        <w:instrText xml:space="preserve"> REF b4_note53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53</w:t>
      </w:r>
      <w:r>
        <w:rPr>
          <w:rtl/>
        </w:rPr>
        <w:fldChar w:fldCharType="end"/>
      </w:r>
      <w:r>
        <w:rPr>
          <w:rtl/>
        </w:rPr>
        <w:t xml:space="preserve"> לעיל, על יחסו האישי של הסבא למוזיקה.</w:t>
      </w:r>
    </w:p>
    <w:p w14:paraId="656D3C4F" w14:textId="5A1378FB"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bookmarkStart w:id="4336" w:name="pr_b_1769"/>
      <w:bookmarkEnd w:id="4336"/>
      <w:r>
        <w:rPr>
          <w:rtl/>
        </w:rPr>
        <w:t>בעיני רבנו, גולת הכותרת של החג הייתה ההזדמנות לפגוש את ר׳ נפתלי אמסטרדם ולשהות במחיצתו. ר׳ נפתלי היה בעל מוסר מן הדור שקדם לדורו של הסבא ומבכירי תלמידיו של ר׳ ישראל סלנטר</w:t>
      </w:r>
      <w:bookmarkStart w:id="4337" w:name="b4_text69"/>
      <w:bookmarkEnd w:id="4337"/>
      <w:r>
        <w:rPr>
          <w:sz w:val="18"/>
          <w:szCs w:val="18"/>
          <w:vertAlign w:val="superscript"/>
          <w:rtl/>
        </w:rPr>
        <w:fldChar w:fldCharType="begin" w:dirty="true"/>
      </w:r>
      <w:r>
        <w:rPr>
          <w:sz w:val="18"/>
          <w:szCs w:val="18"/>
          <w:vertAlign w:val="superscript"/>
          <w:rtl/>
        </w:rPr>
        <w:instrText xml:space="preserve"> REF b4_note69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69</w:t>
      </w:r>
      <w:r>
        <w:rPr>
          <w:sz w:val="18"/>
          <w:szCs w:val="18"/>
          <w:vertAlign w:val="superscript"/>
          <w:rtl/>
        </w:rPr>
        <w:fldChar w:fldCharType="end"/>
      </w:r>
      <w:r>
        <w:rPr>
          <w:rtl/>
        </w:rPr>
        <w:t>. הוא נולד בשנת תקצ״ב</w:t>
      </w:r>
      <w:bookmarkStart w:id="4338" w:name="b4_text70"/>
      <w:bookmarkEnd w:id="4338"/>
      <w:r>
        <w:rPr>
          <w:sz w:val="18"/>
          <w:szCs w:val="18"/>
          <w:vertAlign w:val="superscript"/>
          <w:rtl/>
        </w:rPr>
        <w:fldChar w:fldCharType="begin" w:dirty="true"/>
      </w:r>
      <w:r>
        <w:rPr>
          <w:sz w:val="18"/>
          <w:szCs w:val="18"/>
          <w:vertAlign w:val="superscript"/>
          <w:rtl/>
        </w:rPr>
        <w:instrText xml:space="preserve"> REF b4_note70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70</w:t>
      </w:r>
      <w:r>
        <w:rPr>
          <w:sz w:val="18"/>
          <w:szCs w:val="18"/>
          <w:vertAlign w:val="superscript"/>
          <w:rtl/>
        </w:rPr>
        <w:fldChar w:fldCharType="end"/>
      </w:r>
      <w:r>
        <w:rPr>
          <w:rtl/>
        </w:rPr>
        <w:t>, התיישב בקובנה והתמסר ללימוד התורה בשקידה גדולה. כבר בנעוריו דבק בו הכינוי “נפתלי מתמיד”</w:t>
      </w:r>
      <w:bookmarkStart w:id="4339" w:name="b4_text71"/>
      <w:bookmarkEnd w:id="4339"/>
      <w:r>
        <w:rPr>
          <w:sz w:val="18"/>
          <w:szCs w:val="18"/>
          <w:vertAlign w:val="superscript"/>
          <w:rtl/>
        </w:rPr>
        <w:fldChar w:fldCharType="begin" w:dirty="true"/>
      </w:r>
      <w:r>
        <w:rPr>
          <w:sz w:val="18"/>
          <w:szCs w:val="18"/>
          <w:vertAlign w:val="superscript"/>
          <w:rtl/>
        </w:rPr>
        <w:instrText xml:space="preserve"> REF b4_note71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71</w:t>
      </w:r>
      <w:r>
        <w:rPr>
          <w:sz w:val="18"/>
          <w:szCs w:val="18"/>
          <w:vertAlign w:val="superscript"/>
          <w:rtl/>
        </w:rPr>
        <w:fldChar w:fldCharType="end"/>
      </w:r>
      <w:r>
        <w:rPr>
          <w:rtl/>
        </w:rPr>
        <w:t>, ואילו אשתו התפרנסה בדוחק ממכירת מאפים. הוא היה בקי מופלג בש״ס ובפוסקים</w:t>
      </w:r>
      <w:bookmarkStart w:id="4340" w:name="b4_text72"/>
      <w:bookmarkEnd w:id="4340"/>
      <w:r>
        <w:rPr>
          <w:sz w:val="18"/>
          <w:szCs w:val="18"/>
          <w:vertAlign w:val="superscript"/>
          <w:rtl/>
        </w:rPr>
        <w:fldChar w:fldCharType="begin" w:dirty="true"/>
      </w:r>
      <w:r>
        <w:rPr>
          <w:sz w:val="18"/>
          <w:szCs w:val="18"/>
          <w:vertAlign w:val="superscript"/>
          <w:rtl/>
        </w:rPr>
        <w:instrText xml:space="preserve"> REF b4_note72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72</w:t>
      </w:r>
      <w:r>
        <w:rPr>
          <w:sz w:val="18"/>
          <w:szCs w:val="18"/>
          <w:vertAlign w:val="superscript"/>
          <w:rtl/>
        </w:rPr>
        <w:fldChar w:fldCharType="end"/>
      </w:r>
      <w:r>
        <w:rPr>
          <w:rtl/>
        </w:rPr>
        <w:t>.</w:t>
      </w:r>
    </w:p>
    <w:bookmarkStart w:id="4341" w:name="b4_note69"/>
    <w:p w14:paraId="2AAF9E55" w14:textId="3815231B" w:rsidR="00AB3647" w:rsidRDefault="00000000" w:rsidP="007923E9">
      <w:pPr>
        <w:spacing w:before="120" w:after="100" w:line="276" w:lineRule="auto"/>
        <w:jc w:val="both"/>
      </w:pPr>
      <w:r>
        <w:fldChar w:fldCharType="begin" w:dirty="true"/>
      </w:r>
      <w:r>
        <w:instrText>HYPERLINK \l "b4_text69" \h</w:instrText>
      </w:r>
      <w:r>
        <w:fldChar w:fldCharType="separate"/>
      </w:r>
      <w:r>
        <w:rPr>
          <w:b/>
          <w:bCs/>
          <w:rtl/>
        </w:rPr>
        <w:t>69</w:t>
      </w:r>
      <w:r>
        <w:rPr>
          <w:b/>
          <w:bCs/>
        </w:rPr>
        <w:fldChar w:fldCharType="end"/>
      </w:r>
      <w:bookmarkEnd w:id="4341"/>
      <w:r>
        <w:rPr>
          <w:rtl/>
        </w:rPr>
        <w:t xml:space="preserve"> השווה פרק 3, </w:t>
      </w:r>
      <w:r>
        <w:rPr>
          <w:rtl/>
        </w:rPr>
        <w:fldChar w:fldCharType="begin" w:dirty="true"/>
      </w:r>
      <w:r>
        <w:rPr>
          <w:rtl/>
        </w:rPr>
        <w:instrText xml:space="preserve"> REF b3_excB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 xml:space="preserve">. ר׳ דוד </w:t>
      </w:r>
      <w:proofErr w:type="spellStart"/>
      <w:r>
        <w:rPr>
          <w:rtl/>
        </w:rPr>
        <w:t>צימט</w:t>
      </w:r>
      <w:bookmarkStart w:id="4342" w:name="_fnr3239"/>
      <w:proofErr w:type="spellEnd"/>
      <w:r>
        <w:rPr>
          <w:vertAlign w:val="superscript"/>
          <w:rtl/>
        </w:rPr>
        <w:footnoteReference w:id="3247" w:customMarkFollows="0"/>
      </w:r>
      <w:bookmarkEnd w:id="4342"/>
      <w:r>
        <w:rPr>
          <w:rtl/>
        </w:rPr>
        <w:t xml:space="preserve"> סיפר ששאל את אבי, שקרא אז את “תנועת המוסר” שראה אור זה מקרוב, מי היה הגדול בתלמידי ר׳ ישראל </w:t>
      </w:r>
      <w:proofErr w:type="spellStart"/>
      <w:r>
        <w:rPr>
          <w:rtl/>
        </w:rPr>
        <w:t>סלנטר</w:t>
      </w:r>
      <w:proofErr w:type="spellEnd"/>
      <w:r>
        <w:rPr>
          <w:rtl/>
        </w:rPr>
        <w:t>, ואבי השיב ללא היסוס: “ר׳ נפתלי אמסטרדם”. לרמזים אפשריים למה שהביא את רבנו למסקנה זו השווה את הפסקאות הראשונות של הערות 77 ו־78 להלן. כץ, “תנועת המוסר”, כרך ב</w:t>
      </w:r>
      <w:bookmarkStart w:id="4343" w:name="_fnr3240"/>
      <w:r>
        <w:rPr>
          <w:vertAlign w:val="superscript"/>
          <w:rtl/>
        </w:rPr>
        <w:footnoteReference w:id="3248" w:customMarkFollows="0"/>
      </w:r>
      <w:bookmarkEnd w:id="4343"/>
      <w:r>
        <w:rPr>
          <w:rtl/>
        </w:rPr>
        <w:t xml:space="preserve"> וכרך א</w:t>
      </w:r>
      <w:bookmarkStart w:id="4344" w:name="_fnr3241"/>
      <w:r>
        <w:rPr>
          <w:vertAlign w:val="superscript"/>
          <w:rtl/>
        </w:rPr>
        <w:footnoteReference w:id="3249" w:customMarkFollows="0"/>
      </w:r>
      <w:bookmarkEnd w:id="4344"/>
      <w:r>
        <w:rPr>
          <w:rtl/>
        </w:rPr>
        <w:t xml:space="preserve">, מונה אותו עם תלמידי ר׳ ישראל </w:t>
      </w:r>
      <w:proofErr w:type="spellStart"/>
      <w:r>
        <w:rPr>
          <w:rtl/>
        </w:rPr>
        <w:t>בקלויז</w:t>
      </w:r>
      <w:proofErr w:type="spellEnd"/>
      <w:r>
        <w:rPr>
          <w:rtl/>
        </w:rPr>
        <w:t xml:space="preserve"> </w:t>
      </w:r>
      <w:proofErr w:type="spellStart"/>
      <w:r>
        <w:rPr>
          <w:rtl/>
        </w:rPr>
        <w:t>נביאזר</w:t>
      </w:r>
      <w:proofErr w:type="spellEnd"/>
      <w:r>
        <w:rPr>
          <w:rtl/>
        </w:rPr>
        <w:t xml:space="preserve"> בקובנה</w:t>
      </w:r>
      <w:bookmarkStart w:id="4345" w:name="_fnr3242"/>
      <w:r>
        <w:rPr>
          <w:vertAlign w:val="superscript"/>
          <w:rtl/>
        </w:rPr>
        <w:footnoteReference w:id="3250" w:customMarkFollows="0"/>
      </w:r>
      <w:bookmarkEnd w:id="4345"/>
      <w:r>
        <w:rPr>
          <w:rtl/>
        </w:rPr>
        <w:t xml:space="preserve">, בגיל </w:t>
      </w:r>
      <w:proofErr w:type="spellStart"/>
      <w:r>
        <w:rPr>
          <w:rtl/>
        </w:rPr>
        <w:t>שבע־עשרה</w:t>
      </w:r>
      <w:proofErr w:type="spellEnd"/>
      <w:r>
        <w:rPr>
          <w:rtl/>
        </w:rPr>
        <w:t xml:space="preserve">. המקור הראשון אומר: “משערים שכבר למד לפני כן אצל ר׳ ישראל ב[בית המדרש שבאחוזת] </w:t>
      </w:r>
      <w:proofErr w:type="spellStart"/>
      <w:r>
        <w:rPr>
          <w:rtl/>
        </w:rPr>
        <w:t>זארעטשע</w:t>
      </w:r>
      <w:proofErr w:type="spellEnd"/>
      <w:r>
        <w:rPr>
          <w:rtl/>
        </w:rPr>
        <w:t xml:space="preserve"> בווילנה</w:t>
      </w:r>
      <w:bookmarkStart w:id="4346" w:name="_fnr3243"/>
      <w:r>
        <w:rPr>
          <w:vertAlign w:val="superscript"/>
          <w:rtl/>
        </w:rPr>
        <w:footnoteReference w:id="3251" w:customMarkFollows="0"/>
      </w:r>
      <w:bookmarkEnd w:id="4346"/>
      <w:r>
        <w:rPr>
          <w:rtl/>
        </w:rPr>
        <w:t>”.</w:t>
      </w:r>
    </w:p>
    <w:bookmarkStart w:id="4347" w:name="b4_note70"/>
    <w:p w14:paraId="2E59F17B" w14:textId="77777777" w:rsidR="00AB3647" w:rsidRDefault="00000000" w:rsidP="007923E9">
      <w:pPr>
        <w:spacing w:before="120" w:after="100" w:line="276" w:lineRule="auto"/>
        <w:jc w:val="both"/>
      </w:pPr>
      <w:r>
        <w:fldChar w:fldCharType="begin" w:dirty="true"/>
      </w:r>
      <w:r>
        <w:instrText>HYPERLINK \l "b4_text70" \h</w:instrText>
      </w:r>
      <w:r>
        <w:fldChar w:fldCharType="separate"/>
      </w:r>
      <w:r>
        <w:rPr>
          <w:b/>
          <w:bCs/>
          <w:rtl/>
        </w:rPr>
        <w:t>70</w:t>
      </w:r>
      <w:r>
        <w:rPr>
          <w:b/>
          <w:bCs/>
        </w:rPr>
        <w:fldChar w:fldCharType="end"/>
      </w:r>
      <w:bookmarkEnd w:id="4347"/>
      <w:r>
        <w:rPr>
          <w:rtl/>
        </w:rPr>
        <w:t xml:space="preserve"> כץ, “תנועת המוסר”, כרך ב</w:t>
      </w:r>
      <w:bookmarkStart w:id="4348" w:name="_fnr3244"/>
      <w:r>
        <w:rPr>
          <w:vertAlign w:val="superscript"/>
          <w:rtl/>
        </w:rPr>
        <w:footnoteReference w:id="3252" w:customMarkFollows="0"/>
      </w:r>
      <w:bookmarkEnd w:id="4348"/>
      <w:r>
        <w:rPr>
          <w:rtl/>
        </w:rPr>
        <w:t xml:space="preserve">. בשנותיו האחרונות התגורר בירושלים. לפי עדות אבי בריאיון המוקלט על הסבא </w:t>
      </w:r>
      <w:proofErr w:type="spellStart"/>
      <w:r>
        <w:rPr>
          <w:rtl/>
        </w:rPr>
        <w:t>מסלבודקה</w:t>
      </w:r>
      <w:bookmarkStart w:id="4349" w:name="_fnr3245"/>
      <w:proofErr w:type="spellEnd"/>
      <w:r>
        <w:rPr>
          <w:vertAlign w:val="superscript"/>
          <w:rtl/>
        </w:rPr>
        <w:footnoteReference w:id="3253" w:customMarkFollows="0"/>
      </w:r>
      <w:bookmarkEnd w:id="4349"/>
      <w:r>
        <w:rPr>
          <w:rtl/>
        </w:rPr>
        <w:t xml:space="preserve">, עבר לשם “אחרי פסח תרס״ז, כשרבנו היה בן </w:t>
      </w:r>
      <w:proofErr w:type="spellStart"/>
      <w:r>
        <w:rPr>
          <w:rtl/>
        </w:rPr>
        <w:t>שש־עשרה</w:t>
      </w:r>
      <w:proofErr w:type="spellEnd"/>
      <w:r>
        <w:rPr>
          <w:rtl/>
        </w:rPr>
        <w:t>”</w:t>
      </w:r>
      <w:bookmarkStart w:id="4350" w:name="_fnr3246"/>
      <w:r>
        <w:rPr>
          <w:vertAlign w:val="superscript"/>
          <w:rtl/>
        </w:rPr>
        <w:footnoteReference w:id="3254" w:customMarkFollows="0"/>
      </w:r>
      <w:bookmarkEnd w:id="4350"/>
      <w:r>
        <w:rPr>
          <w:rtl/>
        </w:rPr>
        <w:t>. ר׳ נפתלי נפטר בירושלים בשנת תרע״ו.</w:t>
      </w:r>
    </w:p>
    <w:bookmarkStart w:id="4351" w:name="b4_note71"/>
    <w:p w14:paraId="4B91C3EA" w14:textId="77777777" w:rsidR="00AB3647" w:rsidRDefault="00000000" w:rsidP="007923E9">
      <w:pPr>
        <w:spacing w:before="120" w:after="100" w:line="276" w:lineRule="auto"/>
        <w:jc w:val="both"/>
      </w:pPr>
      <w:r>
        <w:fldChar w:fldCharType="begin" w:dirty="true"/>
      </w:r>
      <w:r>
        <w:instrText>HYPERLINK \l "b4_text71" \h</w:instrText>
      </w:r>
      <w:r>
        <w:fldChar w:fldCharType="separate"/>
      </w:r>
      <w:r>
        <w:rPr>
          <w:b/>
          <w:bCs/>
          <w:rtl/>
        </w:rPr>
        <w:t>71</w:t>
      </w:r>
      <w:r>
        <w:rPr>
          <w:b/>
          <w:bCs/>
        </w:rPr>
        <w:fldChar w:fldCharType="end"/>
      </w:r>
      <w:bookmarkEnd w:id="4351"/>
      <w:r>
        <w:rPr>
          <w:rtl/>
        </w:rPr>
        <w:t xml:space="preserve"> כץ, “תנועת המוסר”, כרך ב</w:t>
      </w:r>
      <w:bookmarkStart w:id="4352" w:name="_fnr3247"/>
      <w:r>
        <w:rPr>
          <w:vertAlign w:val="superscript"/>
          <w:rtl/>
        </w:rPr>
        <w:footnoteReference w:id="3255" w:customMarkFollows="0"/>
      </w:r>
      <w:bookmarkEnd w:id="4352"/>
      <w:r>
        <w:rPr>
          <w:rtl/>
        </w:rPr>
        <w:t>. השווה גם “כתבי הסבא”</w:t>
      </w:r>
      <w:bookmarkStart w:id="4353" w:name="_fnr3248"/>
      <w:r>
        <w:rPr>
          <w:vertAlign w:val="superscript"/>
          <w:rtl/>
        </w:rPr>
        <w:footnoteReference w:id="3256" w:customMarkFollows="0"/>
      </w:r>
      <w:bookmarkEnd w:id="4353"/>
      <w:r>
        <w:rPr>
          <w:rtl/>
        </w:rPr>
        <w:t xml:space="preserve">, המצטט את ר׳ גרשון </w:t>
      </w:r>
      <w:proofErr w:type="spellStart"/>
      <w:r>
        <w:rPr>
          <w:rtl/>
        </w:rPr>
        <w:t>מיאדניק</w:t>
      </w:r>
      <w:proofErr w:type="spellEnd"/>
      <w:r>
        <w:rPr>
          <w:rtl/>
        </w:rPr>
        <w:t xml:space="preserve"> בשם ר׳ נפתלי. ר׳ נפתלי סיפר עד כמה העריך ר׳ ישראל את מידת ההתמדה: פעם אמר לו רבו: </w:t>
      </w:r>
      <w:r>
        <w:rPr>
          <w:rtl/>
        </w:rPr>
        <w:lastRenderedPageBreak/>
        <w:t xml:space="preserve">“היודע אתה שיש לך דבר שאפשר לקנא בו? הרי יש לך כוח ההתמדה! יש לך ממש </w:t>
      </w:r>
      <w:proofErr w:type="spellStart"/>
      <w:r>
        <w:rPr>
          <w:rtl/>
        </w:rPr>
        <w:t>מאיאנטעק</w:t>
      </w:r>
      <w:proofErr w:type="spellEnd"/>
      <w:r>
        <w:rPr>
          <w:rtl/>
        </w:rPr>
        <w:t xml:space="preserve"> [אוצר]!” לפי כץ, שם</w:t>
      </w:r>
      <w:bookmarkStart w:id="4354" w:name="_fnr3249"/>
      <w:r>
        <w:rPr>
          <w:vertAlign w:val="superscript"/>
          <w:rtl/>
        </w:rPr>
        <w:footnoteReference w:id="3257" w:customMarkFollows="0"/>
      </w:r>
      <w:bookmarkEnd w:id="4354"/>
      <w:r>
        <w:rPr>
          <w:rtl/>
        </w:rPr>
        <w:t xml:space="preserve">, אמר ר׳ </w:t>
      </w:r>
      <w:proofErr w:type="spellStart"/>
      <w:r>
        <w:rPr>
          <w:rtl/>
        </w:rPr>
        <w:t>איצל׳ה</w:t>
      </w:r>
      <w:proofErr w:type="spellEnd"/>
      <w:r>
        <w:rPr>
          <w:rtl/>
        </w:rPr>
        <w:t xml:space="preserve"> </w:t>
      </w:r>
      <w:proofErr w:type="spellStart"/>
      <w:r>
        <w:rPr>
          <w:rtl/>
        </w:rPr>
        <w:t>בלאזר</w:t>
      </w:r>
      <w:proofErr w:type="spellEnd"/>
      <w:r>
        <w:rPr>
          <w:rtl/>
        </w:rPr>
        <w:t xml:space="preserve"> שר׳ נפתלי יכול היה לתת לפני הקב״ה דין וחשבון על זמן לימוד התורה שביטל.</w:t>
      </w:r>
    </w:p>
    <w:p w14:paraId="3215C5BF" w14:textId="77777777" w:rsidR="00AB3647" w:rsidRDefault="00000000" w:rsidP="007923E9">
      <w:pPr>
        <w:spacing w:before="120" w:after="100" w:line="276" w:lineRule="auto"/>
        <w:jc w:val="both"/>
      </w:pPr>
      <w:r>
        <w:rPr>
          <w:rtl/>
        </w:rPr>
        <w:t xml:space="preserve">מצאתי לכך דוגמה מעניינת משנותיו האחרונות בארץ ישראל. ר׳ שלום </w:t>
      </w:r>
      <w:proofErr w:type="spellStart"/>
      <w:r>
        <w:rPr>
          <w:rtl/>
        </w:rPr>
        <w:t>גלבר</w:t>
      </w:r>
      <w:bookmarkStart w:id="4355" w:name="_fnr3250"/>
      <w:proofErr w:type="spellEnd"/>
      <w:r>
        <w:rPr>
          <w:vertAlign w:val="superscript"/>
          <w:rtl/>
        </w:rPr>
        <w:footnoteReference w:id="3258" w:customMarkFollows="0"/>
      </w:r>
      <w:bookmarkEnd w:id="4355"/>
      <w:r>
        <w:rPr>
          <w:rtl/>
        </w:rPr>
        <w:t xml:space="preserve"> סיפר בשם ר׳ שמואל </w:t>
      </w:r>
      <w:proofErr w:type="spellStart"/>
      <w:r>
        <w:rPr>
          <w:rtl/>
        </w:rPr>
        <w:t xml:space="preserve">אוירבך</w:t>
      </w:r>
      <w:proofErr w:type="spellEnd"/>
      <w:r>
        <w:rPr>
          <w:rtl/>
        </w:rPr>
        <w:t xml:space="preserve"> שבכל פעם שהשתתף ר׳ נפתלי בלוויה בירושלים, היה נמנע מלימוד מוסר במשך שלושת השבועות שאחריה. הוא אמר: “לימוד המוסר מיותר כל עוד רושם המפגש עם המוות שרוי עליי, ויכול אני לנצל את שעת המוסר היומית ללימוד הלכה”. כץ, שם</w:t>
      </w:r>
      <w:bookmarkStart w:id="4356" w:name="_fnr3251"/>
      <w:r>
        <w:rPr>
          <w:vertAlign w:val="superscript"/>
          <w:rtl/>
        </w:rPr>
        <w:footnoteReference w:id="3259" w:customMarkFollows="0"/>
      </w:r>
      <w:bookmarkEnd w:id="4356"/>
      <w:r>
        <w:rPr>
          <w:rtl/>
        </w:rPr>
        <w:t>, מזכיר גם כינוי נעורים נוסף: “נפתלי הגלוק” – הפעמון – שביטא את שקידתו הנלהבת</w:t>
      </w:r>
      <w:bookmarkStart w:id="4357" w:name="_fnr3252"/>
      <w:r>
        <w:rPr>
          <w:vertAlign w:val="superscript"/>
          <w:rtl/>
        </w:rPr>
        <w:footnoteReference w:id="3260" w:customMarkFollows="0"/>
      </w:r>
      <w:bookmarkEnd w:id="4357"/>
      <w:r>
        <w:rPr>
          <w:rtl/>
        </w:rPr>
        <w:t>.</w:t>
      </w:r>
    </w:p>
    <w:bookmarkStart w:id="4358" w:name="b4_note72"/>
    <w:p w14:paraId="084FECC8" w14:textId="1DF08832" w:rsidR="00AB3647" w:rsidRDefault="00000000" w:rsidP="007923E9">
      <w:pPr>
        <w:spacing w:before="120" w:after="100" w:line="276" w:lineRule="auto"/>
        <w:jc w:val="both"/>
      </w:pPr>
      <w:r>
        <w:fldChar w:fldCharType="begin" w:dirty="true"/>
      </w:r>
      <w:r>
        <w:instrText>HYPERLINK \l "b4_text72" \h</w:instrText>
      </w:r>
      <w:r>
        <w:fldChar w:fldCharType="separate"/>
      </w:r>
      <w:r>
        <w:rPr>
          <w:b/>
          <w:bCs/>
          <w:rtl/>
        </w:rPr>
        <w:t>72</w:t>
      </w:r>
      <w:r>
        <w:rPr>
          <w:b/>
          <w:bCs/>
        </w:rPr>
        <w:fldChar w:fldCharType="end"/>
      </w:r>
      <w:bookmarkEnd w:id="4358"/>
      <w:r>
        <w:rPr>
          <w:rtl/>
        </w:rPr>
        <w:t xml:space="preserve"> השווה פרק 3, </w:t>
      </w:r>
      <w:r>
        <w:rPr>
          <w:rtl/>
        </w:rPr>
        <w:fldChar w:fldCharType="begin" w:dirty="true"/>
      </w:r>
      <w:r>
        <w:rPr>
          <w:rtl/>
        </w:rPr>
        <w:instrText xml:space="preserve"> REF b3_excB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w:t>
      </w:r>
    </w:p>
    <w:p w14:paraId="7D3B7790" w14:textId="46B2737D"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 xml:space="preserve">בשנת תרכ״ז נתמנה לרבה של הלסינקי שבפינלנד, וכיהן שם שמונה שנים. אחרי ששב לשנה לקובנה, שימש שנתיים מורה צדק בפטרבורג, תחת </w:t>
      </w:r>
      <w:proofErr w:type="spellStart"/>
      <w:r>
        <w:rPr>
          <w:rtl/>
        </w:rPr>
        <w:t>רבנותו</w:t>
      </w:r>
      <w:proofErr w:type="spellEnd"/>
      <w:r>
        <w:rPr>
          <w:rtl/>
        </w:rPr>
        <w:t xml:space="preserve"> של חברו הוותיק ר׳ </w:t>
      </w:r>
      <w:proofErr w:type="spellStart"/>
      <w:r>
        <w:rPr>
          <w:rtl/>
        </w:rPr>
        <w:t>איצל׳ה</w:t>
      </w:r>
      <w:proofErr w:type="spellEnd"/>
      <w:r>
        <w:rPr>
          <w:rtl/>
        </w:rPr>
        <w:t xml:space="preserve"> בלאזר</w:t>
      </w:r>
      <w:bookmarkStart w:id="4359" w:name="b4_text73"/>
      <w:bookmarkEnd w:id="4359"/>
      <w:r>
        <w:rPr>
          <w:sz w:val="18"/>
          <w:szCs w:val="18"/>
          <w:vertAlign w:val="superscript"/>
          <w:rtl/>
        </w:rPr>
        <w:fldChar w:fldCharType="begin" w:dirty="true"/>
      </w:r>
      <w:r>
        <w:rPr>
          <w:sz w:val="18"/>
          <w:szCs w:val="18"/>
          <w:vertAlign w:val="superscript"/>
          <w:rtl/>
        </w:rPr>
        <w:instrText xml:space="preserve"> REF b4_note73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73</w:t>
      </w:r>
      <w:r>
        <w:rPr>
          <w:sz w:val="18"/>
          <w:szCs w:val="18"/>
          <w:vertAlign w:val="superscript"/>
          <w:rtl/>
        </w:rPr>
        <w:fldChar w:fldCharType="end"/>
      </w:r>
      <w:r>
        <w:rPr>
          <w:rtl/>
        </w:rPr>
        <w:t>. הוא ניסה עוד לכהן ברבנות לתקופות קצרות במוסקבה</w:t>
      </w:r>
      <w:bookmarkStart w:id="4360" w:name="b4_text74"/>
      <w:bookmarkEnd w:id="4360"/>
      <w:r>
        <w:rPr>
          <w:sz w:val="18"/>
          <w:szCs w:val="18"/>
          <w:vertAlign w:val="superscript"/>
          <w:rtl/>
        </w:rPr>
        <w:fldChar w:fldCharType="begin" w:dirty="true"/>
      </w:r>
      <w:r>
        <w:rPr>
          <w:sz w:val="18"/>
          <w:szCs w:val="18"/>
          <w:vertAlign w:val="superscript"/>
          <w:rtl/>
        </w:rPr>
        <w:instrText xml:space="preserve"> REF b4_note74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74</w:t>
      </w:r>
      <w:r>
        <w:rPr>
          <w:sz w:val="18"/>
          <w:szCs w:val="18"/>
          <w:vertAlign w:val="superscript"/>
          <w:rtl/>
        </w:rPr>
        <w:fldChar w:fldCharType="end"/>
      </w:r>
      <w:r>
        <w:rPr>
          <w:rtl/>
        </w:rPr>
        <w:t xml:space="preserve">, וכן בעיירות הליטאיות </w:t>
      </w:r>
      <w:proofErr w:type="spellStart"/>
      <w:r>
        <w:rPr>
          <w:rtl/>
        </w:rPr>
        <w:t>יאסווען</w:t>
      </w:r>
      <w:proofErr w:type="spellEnd"/>
      <w:r>
        <w:rPr>
          <w:rtl/>
        </w:rPr>
        <w:t xml:space="preserve"> שליד </w:t>
      </w:r>
      <w:proofErr w:type="spellStart"/>
      <w:r>
        <w:rPr>
          <w:rtl/>
        </w:rPr>
        <w:t>קיידאן</w:t>
      </w:r>
      <w:proofErr w:type="spellEnd"/>
      <w:r>
        <w:rPr>
          <w:rtl/>
        </w:rPr>
        <w:t xml:space="preserve"> </w:t>
      </w:r>
      <w:proofErr w:type="spellStart"/>
      <w:r>
        <w:rPr>
          <w:rtl/>
        </w:rPr>
        <w:t>ואלקסוט</w:t>
      </w:r>
      <w:proofErr w:type="spellEnd"/>
      <w:r>
        <w:rPr>
          <w:rtl/>
        </w:rPr>
        <w:t xml:space="preserve"> התחתית שליד קובנה. בעשרים השנים הבאות שב להתגורר בקובנה, ושוב התבססה פרנסת המשפחה על מומחיותה של אשתו באפייה</w:t>
      </w:r>
      <w:bookmarkStart w:id="4361" w:name="b4_text75"/>
      <w:bookmarkEnd w:id="4361"/>
      <w:r>
        <w:rPr>
          <w:sz w:val="18"/>
          <w:szCs w:val="18"/>
          <w:vertAlign w:val="superscript"/>
          <w:rtl/>
        </w:rPr>
        <w:fldChar w:fldCharType="begin" w:dirty="true"/>
      </w:r>
      <w:r>
        <w:rPr>
          <w:sz w:val="18"/>
          <w:szCs w:val="18"/>
          <w:vertAlign w:val="superscript"/>
          <w:rtl/>
        </w:rPr>
        <w:instrText xml:space="preserve"> REF b4_note75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75</w:t>
      </w:r>
      <w:r>
        <w:rPr>
          <w:sz w:val="18"/>
          <w:szCs w:val="18"/>
          <w:vertAlign w:val="superscript"/>
          <w:rtl/>
        </w:rPr>
        <w:fldChar w:fldCharType="end"/>
      </w:r>
      <w:r>
        <w:rPr>
          <w:rtl/>
        </w:rPr>
        <w:t>.</w:t>
      </w:r>
    </w:p>
    <w:bookmarkStart w:id="4362" w:name="b4_note73"/>
    <w:p w14:paraId="6D66D761" w14:textId="77777777" w:rsidR="00AB3647" w:rsidRDefault="00000000" w:rsidP="007923E9">
      <w:pPr>
        <w:spacing w:before="120" w:after="100" w:line="276" w:lineRule="auto"/>
        <w:jc w:val="both"/>
      </w:pPr>
      <w:r>
        <w:fldChar w:fldCharType="begin" w:dirty="true"/>
      </w:r>
      <w:r>
        <w:instrText>HYPERLINK \l "b4_text73" \h</w:instrText>
      </w:r>
      <w:r>
        <w:fldChar w:fldCharType="separate"/>
      </w:r>
      <w:r>
        <w:rPr>
          <w:b/>
          <w:bCs/>
          <w:rtl/>
        </w:rPr>
        <w:t>73</w:t>
      </w:r>
      <w:r>
        <w:rPr>
          <w:b/>
          <w:bCs/>
        </w:rPr>
        <w:fldChar w:fldCharType="end"/>
      </w:r>
      <w:bookmarkEnd w:id="4362"/>
      <w:r>
        <w:rPr>
          <w:rtl/>
        </w:rPr>
        <w:t xml:space="preserve"> שם. לפי כץ, “תנועת המוסר”, כרך א</w:t>
      </w:r>
      <w:bookmarkStart w:id="4363" w:name="_fnr3253"/>
      <w:r>
        <w:rPr>
          <w:vertAlign w:val="superscript"/>
          <w:rtl/>
        </w:rPr>
        <w:footnoteReference w:id="3261" w:customMarkFollows="0"/>
      </w:r>
      <w:bookmarkEnd w:id="4363"/>
      <w:r>
        <w:rPr>
          <w:rtl/>
        </w:rPr>
        <w:t xml:space="preserve">, ר׳ נפתלי ור׳ </w:t>
      </w:r>
      <w:proofErr w:type="spellStart"/>
      <w:r>
        <w:rPr>
          <w:rtl/>
        </w:rPr>
        <w:t>איצל׳ה</w:t>
      </w:r>
      <w:proofErr w:type="spellEnd"/>
      <w:r>
        <w:rPr>
          <w:rtl/>
        </w:rPr>
        <w:t xml:space="preserve"> למדו שניהם </w:t>
      </w:r>
      <w:proofErr w:type="spellStart"/>
      <w:r>
        <w:rPr>
          <w:rtl/>
        </w:rPr>
        <w:t>בקלויז</w:t>
      </w:r>
      <w:proofErr w:type="spellEnd"/>
      <w:r>
        <w:rPr>
          <w:rtl/>
        </w:rPr>
        <w:t xml:space="preserve"> </w:t>
      </w:r>
      <w:proofErr w:type="spellStart"/>
      <w:r>
        <w:rPr>
          <w:rtl/>
        </w:rPr>
        <w:t>נביאזר</w:t>
      </w:r>
      <w:proofErr w:type="spellEnd"/>
      <w:r>
        <w:rPr>
          <w:rtl/>
        </w:rPr>
        <w:t xml:space="preserve">, וגם ר׳ </w:t>
      </w:r>
      <w:proofErr w:type="spellStart"/>
      <w:r>
        <w:rPr>
          <w:rtl/>
        </w:rPr>
        <w:t>שמחה־זיסל</w:t>
      </w:r>
      <w:proofErr w:type="spellEnd"/>
      <w:r>
        <w:rPr>
          <w:rtl/>
        </w:rPr>
        <w:t xml:space="preserve"> זיו למד שם</w:t>
      </w:r>
      <w:bookmarkStart w:id="4364" w:name="_fnr3254"/>
      <w:r>
        <w:rPr>
          <w:vertAlign w:val="superscript"/>
          <w:rtl/>
        </w:rPr>
        <w:footnoteReference w:id="3262" w:customMarkFollows="0"/>
      </w:r>
      <w:bookmarkEnd w:id="4364"/>
      <w:r>
        <w:rPr>
          <w:rtl/>
        </w:rPr>
        <w:t xml:space="preserve">. ר׳ </w:t>
      </w:r>
      <w:proofErr w:type="spellStart"/>
      <w:r>
        <w:rPr>
          <w:rtl/>
        </w:rPr>
        <w:t>איצל׳ה</w:t>
      </w:r>
      <w:proofErr w:type="spellEnd"/>
      <w:r>
        <w:rPr>
          <w:rtl/>
        </w:rPr>
        <w:t xml:space="preserve"> התחיל ללמוד שם אחרי נישואיו, בגיל </w:t>
      </w:r>
      <w:proofErr w:type="spellStart"/>
      <w:r>
        <w:rPr>
          <w:rtl/>
        </w:rPr>
        <w:t>חמש־עשרה</w:t>
      </w:r>
      <w:bookmarkStart w:id="4365" w:name="_fnr3255"/>
      <w:proofErr w:type="spellEnd"/>
      <w:r>
        <w:rPr>
          <w:vertAlign w:val="superscript"/>
          <w:rtl/>
        </w:rPr>
        <w:footnoteReference w:id="3263" w:customMarkFollows="0"/>
      </w:r>
      <w:bookmarkEnd w:id="4365"/>
      <w:r>
        <w:rPr>
          <w:rtl/>
        </w:rPr>
        <w:t>. ר׳ נפתלי כבר היה אז בן עשרים, ולמד שם שלוש שנים</w:t>
      </w:r>
      <w:bookmarkStart w:id="4366" w:name="_fnr3256"/>
      <w:r>
        <w:rPr>
          <w:vertAlign w:val="superscript"/>
          <w:rtl/>
        </w:rPr>
        <w:footnoteReference w:id="3264" w:customMarkFollows="0"/>
      </w:r>
      <w:bookmarkEnd w:id="4366"/>
      <w:r>
        <w:rPr>
          <w:rtl/>
        </w:rPr>
        <w:t>. לפי כץ, כרך ב</w:t>
      </w:r>
      <w:bookmarkStart w:id="4367" w:name="_fnr3257"/>
      <w:r>
        <w:rPr>
          <w:vertAlign w:val="superscript"/>
          <w:rtl/>
        </w:rPr>
        <w:footnoteReference w:id="3265" w:customMarkFollows="0"/>
      </w:r>
      <w:bookmarkEnd w:id="4367"/>
      <w:r>
        <w:rPr>
          <w:rtl/>
        </w:rPr>
        <w:t>, היכרותם התחילה עוד קודם לכן.</w:t>
      </w:r>
    </w:p>
    <w:bookmarkStart w:id="4368" w:name="b4_note74"/>
    <w:p w14:paraId="1D619F0C" w14:textId="4705507D" w:rsidR="00AB3647" w:rsidRDefault="00000000" w:rsidP="007923E9">
      <w:pPr>
        <w:spacing w:before="120" w:after="100" w:line="276" w:lineRule="auto"/>
        <w:jc w:val="both"/>
      </w:pPr>
      <w:r>
        <w:fldChar w:fldCharType="begin" w:dirty="true"/>
      </w:r>
      <w:r>
        <w:instrText>HYPERLINK \l "b4_text74" \h</w:instrText>
      </w:r>
      <w:r>
        <w:fldChar w:fldCharType="separate"/>
      </w:r>
      <w:r>
        <w:rPr>
          <w:b/>
          <w:bCs/>
          <w:rtl/>
        </w:rPr>
        <w:t>74</w:t>
      </w:r>
      <w:r>
        <w:rPr>
          <w:b/>
          <w:bCs/>
        </w:rPr>
        <w:fldChar w:fldCharType="end"/>
      </w:r>
      <w:bookmarkEnd w:id="4368"/>
      <w:r>
        <w:rPr>
          <w:rtl/>
        </w:rPr>
        <w:t xml:space="preserve"> </w:t>
      </w:r>
      <w:proofErr w:type="spellStart"/>
      <w:r>
        <w:rPr>
          <w:rtl/>
        </w:rPr>
        <w:t>ב“כוכבי</w:t>
      </w:r>
      <w:proofErr w:type="spellEnd"/>
      <w:r>
        <w:rPr>
          <w:rtl/>
        </w:rPr>
        <w:t xml:space="preserve"> אור”</w:t>
      </w:r>
      <w:bookmarkStart w:id="4369" w:name="_fnr3258"/>
      <w:r>
        <w:rPr>
          <w:vertAlign w:val="superscript"/>
          <w:rtl/>
        </w:rPr>
        <w:footnoteReference w:id="3266" w:customMarkFollows="0"/>
      </w:r>
      <w:bookmarkEnd w:id="4369"/>
      <w:r>
        <w:rPr>
          <w:rtl/>
        </w:rPr>
        <w:t xml:space="preserve"> נדפס מכתב ששלח ר׳ נפתלי </w:t>
      </w:r>
      <w:proofErr w:type="spellStart"/>
      <w:r>
        <w:rPr>
          <w:rtl/>
        </w:rPr>
        <w:t>לר</w:t>
      </w:r>
      <w:proofErr w:type="spellEnd"/>
      <w:r>
        <w:rPr>
          <w:rtl/>
        </w:rPr>
        <w:t xml:space="preserve">׳ </w:t>
      </w:r>
      <w:proofErr w:type="spellStart"/>
      <w:r>
        <w:rPr>
          <w:rtl/>
        </w:rPr>
        <w:t>איצל׳ה</w:t>
      </w:r>
      <w:proofErr w:type="spellEnd"/>
      <w:r>
        <w:rPr>
          <w:rtl/>
        </w:rPr>
        <w:t xml:space="preserve"> </w:t>
      </w:r>
      <w:proofErr w:type="spellStart"/>
      <w:r>
        <w:rPr>
          <w:rtl/>
        </w:rPr>
        <w:t>בלאזר</w:t>
      </w:r>
      <w:proofErr w:type="spellEnd"/>
      <w:r>
        <w:rPr>
          <w:rtl/>
        </w:rPr>
        <w:t xml:space="preserve"> זמן קצר לפני התמנותו לרב בהלסינקי. מן המכתב עולה שר׳ ישראל פעל לכך שכמה אנשים יפנו במכתבים אל אנשי הקהילה היהודית במוסקבה – ובהם “ידידם ר׳ </w:t>
      </w:r>
      <w:proofErr w:type="spellStart"/>
      <w:r>
        <w:rPr>
          <w:rtl/>
        </w:rPr>
        <w:t>קלמן־וולף</w:t>
      </w:r>
      <w:proofErr w:type="spellEnd"/>
      <w:r>
        <w:rPr>
          <w:rtl/>
        </w:rPr>
        <w:t xml:space="preserve"> [ויסוצקי]” – ויבקשו שימנו שם את ר׳ נפתלי. נראה שחלפו שנים רבות עד שהשתדלות זו נשאה פרי. ר׳ נפתלי מתלונן במכתב שאין לו פרנסה, ומציין שהיה יכול לפתור את הבעיה אילו עזר לאשתו באפיית הלחם, “שהיא מלאכה קשה מאוד, שאין כוח באישה אחת לעמול בה בלי עזרת בעלה”; אלא שר׳ ישראל “הסיר ממנו מחשבות אלה”. על “מקצוע” זה של ר׳ נפתלי השווה גם הערה </w:t>
      </w:r>
      <w:r>
        <w:rPr>
          <w:rtl/>
        </w:rPr>
        <w:fldChar w:fldCharType="begin" w:dirty="true"/>
      </w:r>
      <w:r>
        <w:rPr>
          <w:rtl/>
        </w:rPr>
        <w:instrText xml:space="preserve"> REF b4_note77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77</w:t>
      </w:r>
      <w:r>
        <w:rPr>
          <w:rtl/>
        </w:rPr>
        <w:fldChar w:fldCharType="end"/>
      </w:r>
      <w:r>
        <w:rPr>
          <w:rtl/>
        </w:rPr>
        <w:t xml:space="preserve"> להלן.</w:t>
      </w:r>
    </w:p>
    <w:bookmarkStart w:id="4370" w:name="b4_note75"/>
    <w:p w14:paraId="451F5E1C" w14:textId="77777777" w:rsidR="00AB3647" w:rsidRDefault="00000000" w:rsidP="007923E9">
      <w:pPr>
        <w:spacing w:before="120" w:after="100" w:line="276" w:lineRule="auto"/>
        <w:jc w:val="both"/>
      </w:pPr>
      <w:r>
        <w:lastRenderedPageBreak/>
        <w:fldChar w:fldCharType="begin" w:dirty="true"/>
      </w:r>
      <w:r>
        <w:instrText>HYPERLINK \l "b4_text75" \h</w:instrText>
      </w:r>
      <w:r>
        <w:fldChar w:fldCharType="separate"/>
      </w:r>
      <w:r>
        <w:rPr>
          <w:b/>
          <w:bCs/>
          <w:rtl/>
        </w:rPr>
        <w:t>75</w:t>
      </w:r>
      <w:r>
        <w:rPr>
          <w:b/>
          <w:bCs/>
        </w:rPr>
        <w:fldChar w:fldCharType="end"/>
      </w:r>
      <w:bookmarkEnd w:id="4370"/>
      <w:r>
        <w:rPr>
          <w:rtl/>
        </w:rPr>
        <w:t xml:space="preserve"> פרטי נדודיו, מלבד פרשת מוסקבה, לקוחים מספרו של כץ, “תנועת המוסר”, כרך ב</w:t>
      </w:r>
      <w:bookmarkStart w:id="4371" w:name="_fnr3259"/>
      <w:r>
        <w:rPr>
          <w:vertAlign w:val="superscript"/>
          <w:rtl/>
        </w:rPr>
        <w:footnoteReference w:id="3267" w:customMarkFollows="0"/>
      </w:r>
      <w:bookmarkEnd w:id="4371"/>
      <w:r>
        <w:rPr>
          <w:rtl/>
        </w:rPr>
        <w:t xml:space="preserve">. </w:t>
      </w:r>
      <w:proofErr w:type="spellStart"/>
      <w:r>
        <w:rPr>
          <w:rtl/>
        </w:rPr>
        <w:t>ב“כתבי</w:t>
      </w:r>
      <w:proofErr w:type="spellEnd"/>
      <w:r>
        <w:rPr>
          <w:rtl/>
        </w:rPr>
        <w:t xml:space="preserve"> הסבא”</w:t>
      </w:r>
      <w:bookmarkStart w:id="4372" w:name="_fnr3260"/>
      <w:r>
        <w:rPr>
          <w:vertAlign w:val="superscript"/>
          <w:rtl/>
        </w:rPr>
        <w:footnoteReference w:id="3268" w:customMarkFollows="0"/>
      </w:r>
      <w:bookmarkEnd w:id="4372"/>
      <w:r>
        <w:rPr>
          <w:rtl/>
        </w:rPr>
        <w:t xml:space="preserve"> מובא שר׳ גרשון </w:t>
      </w:r>
      <w:proofErr w:type="spellStart"/>
      <w:r>
        <w:rPr>
          <w:rtl/>
        </w:rPr>
        <w:t>מיאדניק</w:t>
      </w:r>
      <w:proofErr w:type="spellEnd"/>
      <w:r>
        <w:rPr>
          <w:rtl/>
        </w:rPr>
        <w:t xml:space="preserve"> שמע מפי ר׳ נפתלי עצמו שר׳ ישראל </w:t>
      </w:r>
      <w:proofErr w:type="spellStart"/>
      <w:r>
        <w:rPr>
          <w:rtl/>
        </w:rPr>
        <w:t>סלנטר</w:t>
      </w:r>
      <w:proofErr w:type="spellEnd"/>
      <w:r>
        <w:rPr>
          <w:rtl/>
        </w:rPr>
        <w:t xml:space="preserve"> שלחו להיות רב במוסקבה. ר׳ נפתלי כיהן שם כשלושת רבעי שנה, עד שקראו ר׳ ישראל לחזור לקובנה. עוד מסופר שם: “לאחר זמן שאלו ר׳ ישראל: ‘נו, נפתלי, האם אתה מצטער שלא נשארת רב במוסקבה? הרי כבר היה לך עכשיו שק מלא כסף!’ כשסיפר ר׳ נפתלי את הדברים, היה מצחקק ואומר שרבו ביטא ‘שק מלא כסף’ באותו ניגון כאילו אמר ‘שק מלא בצלים רקובים’.” מאחר שכץ, “תנועת המוסר”, כרך ב, השמיט את השהות במוסקבה, ברור שלא ידע עליה.</w:t>
      </w:r>
      <w:bookmarkStart w:id="4373" w:name="_fnr3261"/>
      <w:r>
        <w:rPr>
          <w:vertAlign w:val="superscript"/>
          <w:rtl/>
        </w:rPr>
        <w:footnoteReference w:id="3269" w:customMarkFollows="0"/>
      </w:r>
      <w:bookmarkEnd w:id="4373"/>
    </w:p>
    <w:p w14:paraId="5F6A2E56" w14:textId="77777777" w:rsidR="00AB3647" w:rsidRDefault="00000000" w:rsidP="007923E9">
      <w:pPr>
        <w:spacing w:before="120" w:after="100" w:line="276" w:lineRule="auto"/>
        <w:jc w:val="both"/>
      </w:pPr>
      <w:r>
        <w:rPr>
          <w:rtl/>
        </w:rPr>
        <w:t>כץ, כרך ג</w:t>
      </w:r>
      <w:bookmarkStart w:id="4374" w:name="_fnr3262"/>
      <w:r>
        <w:rPr>
          <w:vertAlign w:val="superscript"/>
          <w:rtl/>
        </w:rPr>
        <w:footnoteReference w:id="3270" w:customMarkFollows="0"/>
      </w:r>
      <w:bookmarkEnd w:id="4374"/>
      <w:r>
        <w:rPr>
          <w:rtl/>
        </w:rPr>
        <w:t>, מונה את ר׳ נפתלי עם עשרת חברי המניין הראשונים של כולל קובנה, שנוסד ב־1879</w:t>
      </w:r>
      <w:bookmarkStart w:id="4375" w:name="_fnr3263"/>
      <w:bookmarkEnd w:id="4375"/>
      <w:r>
        <w:rPr>
          <w:rStyle w:val="a5"/>
        </w:rPr>
        <w:t/>
      </w:r>
      <w:bookmarkStart w:id="7036" w:name="_TranslatorNote_5392"/>
      <w:r>
        <w:rPr>
          <w:rStyle w:val="a5"/>
          <w:vertAlign w:val="superscript"/>
          <w:rtl/>
        </w:rPr>
        <w:footnoteReference w:id="3271" w:customMarkFollows="1"/>
        <w:t>*</w:t>
      </w:r>
      <w:bookmarkEnd w:id="7036"/>
      <w:r>
        <w:rPr>
          <w:rtl/>
        </w:rPr>
        <w:t xml:space="preserve">. מבחינה כרונולוגית, הדבר היה אמור להתרחש בין כהונתו </w:t>
      </w:r>
      <w:proofErr w:type="spellStart"/>
      <w:r>
        <w:rPr>
          <w:rtl/>
        </w:rPr>
        <w:t>כמ״ץ</w:t>
      </w:r>
      <w:proofErr w:type="spellEnd"/>
      <w:r>
        <w:rPr>
          <w:rtl/>
        </w:rPr>
        <w:t xml:space="preserve"> לבין חזרתו למשרת רבנות. אולם מסתבר יותר שלא היה רק חבר מן המניין בכולל, אלא מילא בו תפקיד – כנראה מעין “משפיע”. שהרי בגיל ארבעים וחמש, אחרי שהפנה עורף לרבנות, היה מבוגר מדי ובעל אופי אחר מכדי להימנות עם תלמידי כולל שנועד להכשיר צעירים לרבנות.</w:t>
      </w:r>
      <w:bookmarkStart w:id="4376" w:name="_fnr3264"/>
      <w:r>
        <w:rPr>
          <w:vertAlign w:val="superscript"/>
          <w:rtl/>
        </w:rPr>
        <w:footnoteReference w:id="3272" w:customMarkFollows="0"/>
      </w:r>
      <w:bookmarkEnd w:id="4376"/>
    </w:p>
    <w:p w14:paraId="0780951A" w14:textId="31ED979D" w:rsidR="00AB3647" w:rsidRDefault="00000000" w:rsidP="007923E9">
      <w:pPr>
        <w:spacing w:before="120" w:after="100" w:line="276" w:lineRule="auto"/>
        <w:jc w:val="both"/>
      </w:pPr>
      <w:r>
        <w:rPr>
          <w:rtl/>
        </w:rPr>
        <w:t>לפי כץ, כרך ב</w:t>
      </w:r>
      <w:bookmarkStart w:id="4377" w:name="_fnr3265"/>
      <w:r>
        <w:rPr>
          <w:vertAlign w:val="superscript"/>
          <w:rtl/>
        </w:rPr>
        <w:footnoteReference w:id="3273" w:customMarkFollows="0"/>
      </w:r>
      <w:bookmarkEnd w:id="4377"/>
      <w:r>
        <w:rPr>
          <w:rtl/>
        </w:rPr>
        <w:t xml:space="preserve">, אשתו של ר׳ נפתלי נשארה בקובנה בזמן כהונתו כרב בהלסינקי, וכנראה גם בזמן מסעותיו המאוחרים יותר. ראה פרק 3, </w:t>
      </w:r>
      <w:r>
        <w:rPr>
          <w:rtl/>
        </w:rPr>
        <w:fldChar w:fldCharType="begin" w:dirty="true"/>
      </w:r>
      <w:r>
        <w:rPr>
          <w:rtl/>
        </w:rPr>
        <w:instrText xml:space="preserve"> REF b3_excW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כג</w:t>
      </w:r>
      <w:proofErr w:type="spellEnd"/>
      <w:r>
        <w:rPr>
          <w:rtl/>
        </w:rPr>
        <w:fldChar w:fldCharType="end"/>
      </w:r>
      <w:r>
        <w:rPr>
          <w:rtl/>
        </w:rPr>
        <w:t xml:space="preserve">: גם הסבא </w:t>
      </w:r>
      <w:proofErr w:type="spellStart"/>
      <w:r>
        <w:rPr>
          <w:rtl/>
        </w:rPr>
        <w:t>מסלבודקה</w:t>
      </w:r>
      <w:proofErr w:type="spellEnd"/>
      <w:r>
        <w:rPr>
          <w:rtl/>
        </w:rPr>
        <w:t>, שהעריץ מאוד את ר׳ נפתלי אמסטרדם, היה רחוק מאשתו פרקי זמן ממושכים – צורת חיי משפחה שרבנו כינה “</w:t>
      </w:r>
      <w:proofErr w:type="spellStart"/>
      <w:r>
        <w:rPr>
          <w:rtl/>
        </w:rPr>
        <w:t>מאיימדיג</w:t>
      </w:r>
      <w:proofErr w:type="spellEnd"/>
      <w:r>
        <w:rPr>
          <w:rtl/>
        </w:rPr>
        <w:t>”, מעוררת אימה.</w:t>
      </w:r>
    </w:p>
    <w:p w14:paraId="6AE4C396" w14:textId="2C0498C1"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 xml:space="preserve">ר׳ </w:t>
      </w:r>
      <w:proofErr w:type="spellStart"/>
      <w:r>
        <w:rPr>
          <w:rtl/>
        </w:rPr>
        <w:t>איצל׳ה</w:t>
      </w:r>
      <w:proofErr w:type="spellEnd"/>
      <w:r>
        <w:rPr>
          <w:rtl/>
        </w:rPr>
        <w:t xml:space="preserve"> </w:t>
      </w:r>
      <w:proofErr w:type="spellStart"/>
      <w:r>
        <w:rPr>
          <w:rtl/>
        </w:rPr>
        <w:t>בלאזר</w:t>
      </w:r>
      <w:proofErr w:type="spellEnd"/>
      <w:r>
        <w:rPr>
          <w:rtl/>
        </w:rPr>
        <w:t xml:space="preserve"> עזב את קובנה שנתיים לפני בואו של רבנו </w:t>
      </w:r>
      <w:proofErr w:type="spellStart"/>
      <w:r>
        <w:rPr>
          <w:rtl/>
        </w:rPr>
        <w:t>לסלבודקה</w:t>
      </w:r>
      <w:proofErr w:type="spellEnd"/>
      <w:r>
        <w:rPr>
          <w:rtl/>
        </w:rPr>
        <w:t xml:space="preserve">. במשך רבע מאה עסק ר׳ </w:t>
      </w:r>
      <w:proofErr w:type="spellStart"/>
      <w:r>
        <w:rPr>
          <w:rtl/>
        </w:rPr>
        <w:t>איצל׳ה</w:t>
      </w:r>
      <w:proofErr w:type="spellEnd"/>
      <w:r>
        <w:rPr>
          <w:rtl/>
        </w:rPr>
        <w:t xml:space="preserve"> במרץ בהפצת רעיון המוסר בקובנה ובסביבותיה</w:t>
      </w:r>
      <w:bookmarkStart w:id="4378" w:name="b4_text76"/>
      <w:bookmarkEnd w:id="4378"/>
      <w:r>
        <w:rPr>
          <w:sz w:val="18"/>
          <w:szCs w:val="18"/>
          <w:vertAlign w:val="superscript"/>
          <w:rtl/>
        </w:rPr>
        <w:fldChar w:fldCharType="begin" w:dirty="true"/>
      </w:r>
      <w:r>
        <w:rPr>
          <w:sz w:val="18"/>
          <w:szCs w:val="18"/>
          <w:vertAlign w:val="superscript"/>
          <w:rtl/>
        </w:rPr>
        <w:instrText xml:space="preserve"> REF b4_note76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76</w:t>
      </w:r>
      <w:r>
        <w:rPr>
          <w:sz w:val="18"/>
          <w:szCs w:val="18"/>
          <w:vertAlign w:val="superscript"/>
          <w:rtl/>
        </w:rPr>
        <w:fldChar w:fldCharType="end"/>
      </w:r>
      <w:r>
        <w:rPr>
          <w:rtl/>
        </w:rPr>
        <w:t>, ואחר כך עקר משם לארץ ישראל. אבל ר׳ נפתלי חי בצנעה</w:t>
      </w:r>
      <w:bookmarkStart w:id="4379" w:name="b4_text77"/>
      <w:bookmarkEnd w:id="4379"/>
      <w:r>
        <w:rPr>
          <w:sz w:val="18"/>
          <w:szCs w:val="18"/>
          <w:vertAlign w:val="superscript"/>
          <w:rtl/>
        </w:rPr>
        <w:fldChar w:fldCharType="begin" w:dirty="true"/>
      </w:r>
      <w:r>
        <w:rPr>
          <w:sz w:val="18"/>
          <w:szCs w:val="18"/>
          <w:vertAlign w:val="superscript"/>
          <w:rtl/>
        </w:rPr>
        <w:instrText xml:space="preserve"> REF b4_note77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77</w:t>
      </w:r>
      <w:r>
        <w:rPr>
          <w:sz w:val="18"/>
          <w:szCs w:val="18"/>
          <w:vertAlign w:val="superscript"/>
          <w:rtl/>
        </w:rPr>
        <w:fldChar w:fldCharType="end"/>
      </w:r>
      <w:r>
        <w:rPr>
          <w:rtl/>
        </w:rPr>
        <w:t>, ורק גילם באישיותו את אידיאל המוסר</w:t>
      </w:r>
      <w:bookmarkStart w:id="4380" w:name="b4_text78"/>
      <w:bookmarkEnd w:id="4380"/>
      <w:r>
        <w:rPr>
          <w:sz w:val="18"/>
          <w:szCs w:val="18"/>
          <w:vertAlign w:val="superscript"/>
          <w:rtl/>
        </w:rPr>
        <w:fldChar w:fldCharType="begin" w:dirty="true"/>
      </w:r>
      <w:r>
        <w:rPr>
          <w:sz w:val="18"/>
          <w:szCs w:val="18"/>
          <w:vertAlign w:val="superscript"/>
          <w:rtl/>
        </w:rPr>
        <w:instrText xml:space="preserve"> REF b4_note78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78</w:t>
      </w:r>
      <w:r>
        <w:rPr>
          <w:sz w:val="18"/>
          <w:szCs w:val="18"/>
          <w:vertAlign w:val="superscript"/>
          <w:rtl/>
        </w:rPr>
        <w:fldChar w:fldCharType="end"/>
      </w:r>
      <w:r>
        <w:rPr>
          <w:rtl/>
        </w:rPr>
        <w:t>. אף על פי כן, בחול המועד</w:t>
      </w:r>
      <w:bookmarkStart w:id="4381" w:name="b4_text79"/>
      <w:bookmarkEnd w:id="4381"/>
      <w:r>
        <w:rPr>
          <w:sz w:val="18"/>
          <w:szCs w:val="18"/>
          <w:vertAlign w:val="superscript"/>
          <w:rtl/>
        </w:rPr>
        <w:fldChar w:fldCharType="begin" w:dirty="true"/>
      </w:r>
      <w:r>
        <w:rPr>
          <w:sz w:val="18"/>
          <w:szCs w:val="18"/>
          <w:vertAlign w:val="superscript"/>
          <w:rtl/>
        </w:rPr>
        <w:instrText xml:space="preserve"> REF b4_note79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79</w:t>
      </w:r>
      <w:r>
        <w:rPr>
          <w:sz w:val="18"/>
          <w:szCs w:val="18"/>
          <w:vertAlign w:val="superscript"/>
          <w:rtl/>
        </w:rPr>
        <w:fldChar w:fldCharType="end"/>
      </w:r>
      <w:r>
        <w:rPr>
          <w:rtl/>
        </w:rPr>
        <w:t xml:space="preserve"> יצא ר׳ נפתלי אל הציבור: הוא קיבל תלמידי כנסת ישראל וסיפר להם סיפורים</w:t>
      </w:r>
      <w:bookmarkStart w:id="4382" w:name="b4_text80"/>
      <w:bookmarkEnd w:id="4382"/>
      <w:r>
        <w:rPr>
          <w:sz w:val="18"/>
          <w:szCs w:val="18"/>
          <w:vertAlign w:val="superscript"/>
          <w:rtl/>
        </w:rPr>
        <w:fldChar w:fldCharType="begin" w:dirty="true"/>
      </w:r>
      <w:r>
        <w:rPr>
          <w:sz w:val="18"/>
          <w:szCs w:val="18"/>
          <w:vertAlign w:val="superscript"/>
          <w:rtl/>
        </w:rPr>
        <w:instrText xml:space="preserve"> REF b4_note80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80</w:t>
      </w:r>
      <w:r>
        <w:rPr>
          <w:sz w:val="18"/>
          <w:szCs w:val="18"/>
          <w:vertAlign w:val="superscript"/>
          <w:rtl/>
        </w:rPr>
        <w:fldChar w:fldCharType="end"/>
      </w:r>
      <w:r>
        <w:rPr>
          <w:rtl/>
        </w:rPr>
        <w:t xml:space="preserve"> על רבו ועל שאר גדולי העבר</w:t>
      </w:r>
      <w:bookmarkStart w:id="4383" w:name="b4_text81"/>
      <w:bookmarkEnd w:id="4383"/>
      <w:r>
        <w:rPr>
          <w:sz w:val="18"/>
          <w:szCs w:val="18"/>
          <w:vertAlign w:val="superscript"/>
          <w:rtl/>
        </w:rPr>
        <w:fldChar w:fldCharType="begin" w:dirty="true"/>
      </w:r>
      <w:r>
        <w:rPr>
          <w:sz w:val="18"/>
          <w:szCs w:val="18"/>
          <w:vertAlign w:val="superscript"/>
          <w:rtl/>
        </w:rPr>
        <w:instrText xml:space="preserve"> REF b4_note81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81</w:t>
      </w:r>
      <w:r>
        <w:rPr>
          <w:sz w:val="18"/>
          <w:szCs w:val="18"/>
          <w:vertAlign w:val="superscript"/>
          <w:rtl/>
        </w:rPr>
        <w:fldChar w:fldCharType="end"/>
      </w:r>
      <w:r>
        <w:rPr>
          <w:rtl/>
        </w:rPr>
        <w:t xml:space="preserve">. </w:t>
      </w:r>
      <w:proofErr w:type="spellStart"/>
      <w:r>
        <w:rPr>
          <w:rtl/>
        </w:rPr>
        <w:t>הדולהינובר</w:t>
      </w:r>
      <w:proofErr w:type="spellEnd"/>
      <w:r>
        <w:rPr>
          <w:rtl/>
        </w:rPr>
        <w:t xml:space="preserve"> שאף כל מילה שהוציא מפיו החכם, שהיה בשנות השבעים לחייו. הן דמותו של החכם</w:t>
      </w:r>
      <w:bookmarkStart w:id="4384" w:name="b4_text82"/>
      <w:bookmarkEnd w:id="4384"/>
      <w:r>
        <w:rPr>
          <w:sz w:val="18"/>
          <w:szCs w:val="18"/>
          <w:vertAlign w:val="superscript"/>
          <w:rtl/>
        </w:rPr>
        <w:fldChar w:fldCharType="begin" w:dirty="true"/>
      </w:r>
      <w:r>
        <w:rPr>
          <w:sz w:val="18"/>
          <w:szCs w:val="18"/>
          <w:vertAlign w:val="superscript"/>
          <w:rtl/>
        </w:rPr>
        <w:instrText xml:space="preserve"> REF b4_note82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82</w:t>
      </w:r>
      <w:r>
        <w:rPr>
          <w:sz w:val="18"/>
          <w:szCs w:val="18"/>
          <w:vertAlign w:val="superscript"/>
          <w:rtl/>
        </w:rPr>
        <w:fldChar w:fldCharType="end"/>
      </w:r>
      <w:r>
        <w:rPr>
          <w:rtl/>
        </w:rPr>
        <w:t xml:space="preserve"> והן דבריו השפיעו עליו השפעה מתמשכת</w:t>
      </w:r>
      <w:bookmarkStart w:id="4385" w:name="b4_text83"/>
      <w:bookmarkEnd w:id="4385"/>
      <w:r>
        <w:rPr>
          <w:sz w:val="18"/>
          <w:szCs w:val="18"/>
          <w:vertAlign w:val="superscript"/>
          <w:rtl/>
        </w:rPr>
        <w:fldChar w:fldCharType="begin" w:dirty="true"/>
      </w:r>
      <w:r>
        <w:rPr>
          <w:sz w:val="18"/>
          <w:szCs w:val="18"/>
          <w:vertAlign w:val="superscript"/>
          <w:rtl/>
        </w:rPr>
        <w:instrText xml:space="preserve"> REF b4_note83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83</w:t>
      </w:r>
      <w:r>
        <w:rPr>
          <w:sz w:val="18"/>
          <w:szCs w:val="18"/>
          <w:vertAlign w:val="superscript"/>
          <w:rtl/>
        </w:rPr>
        <w:fldChar w:fldCharType="end"/>
      </w:r>
      <w:r>
        <w:rPr>
          <w:rtl/>
        </w:rPr>
        <w:t>.</w:t>
      </w:r>
    </w:p>
    <w:bookmarkStart w:id="4386" w:name="b4_note76"/>
    <w:p w14:paraId="653033B9" w14:textId="4764E2AE" w:rsidR="00AB3647" w:rsidRDefault="00000000" w:rsidP="007923E9">
      <w:pPr>
        <w:spacing w:before="120" w:after="100" w:line="276" w:lineRule="auto"/>
        <w:jc w:val="both"/>
      </w:pPr>
      <w:r>
        <w:fldChar w:fldCharType="begin" w:dirty="true"/>
      </w:r>
      <w:r>
        <w:instrText>HYPERLINK \l "b4_text76" \h</w:instrText>
      </w:r>
      <w:r>
        <w:fldChar w:fldCharType="separate"/>
      </w:r>
      <w:r>
        <w:rPr>
          <w:b/>
          <w:bCs/>
          <w:rtl/>
        </w:rPr>
        <w:t>76</w:t>
      </w:r>
      <w:r>
        <w:rPr>
          <w:b/>
          <w:bCs/>
        </w:rPr>
        <w:fldChar w:fldCharType="end"/>
      </w:r>
      <w:bookmarkEnd w:id="4386"/>
      <w:r>
        <w:rPr>
          <w:rtl/>
        </w:rPr>
        <w:t xml:space="preserve"> ראה </w:t>
      </w:r>
      <w:r>
        <w:rPr>
          <w:rtl/>
        </w:rPr>
        <w:fldChar w:fldCharType="begin" w:dirty="true"/>
      </w:r>
      <w:r>
        <w:rPr>
          <w:rtl/>
        </w:rPr>
        <w:instrText xml:space="preserve"> REF b4_excI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w:t>
      </w:r>
    </w:p>
    <w:bookmarkStart w:id="4387" w:name="pr_b_1900"/>
    <w:bookmarkStart w:id="4388" w:name="b4_note77"/>
    <w:bookmarkEnd w:id="4387"/>
    <w:p w14:paraId="053D1F25" w14:textId="77777777" w:rsidR="00AB3647" w:rsidRDefault="00000000" w:rsidP="007923E9">
      <w:pPr>
        <w:spacing w:before="120" w:after="100" w:line="276" w:lineRule="auto"/>
        <w:jc w:val="both"/>
      </w:pPr>
      <w:r>
        <w:lastRenderedPageBreak/>
        <w:fldChar w:fldCharType="begin" w:dirty="true"/>
      </w:r>
      <w:r>
        <w:instrText>HYPERLINK \l "b4_text77" \h</w:instrText>
      </w:r>
      <w:r>
        <w:fldChar w:fldCharType="separate"/>
      </w:r>
      <w:r>
        <w:rPr>
          <w:b/>
          <w:bCs/>
          <w:rtl/>
        </w:rPr>
        <w:t>77</w:t>
      </w:r>
      <w:r>
        <w:rPr>
          <w:b/>
          <w:bCs/>
        </w:rPr>
        <w:fldChar w:fldCharType="end"/>
      </w:r>
      <w:bookmarkEnd w:id="4388"/>
      <w:r>
        <w:rPr>
          <w:rtl/>
        </w:rPr>
        <w:t xml:space="preserve"> בריאיון המוקלט על הסבא </w:t>
      </w:r>
      <w:proofErr w:type="spellStart"/>
      <w:r>
        <w:rPr>
          <w:rtl/>
        </w:rPr>
        <w:t>מסלבודקה</w:t>
      </w:r>
      <w:bookmarkStart w:id="4389" w:name="_fnr3266"/>
      <w:proofErr w:type="spellEnd"/>
      <w:r>
        <w:rPr>
          <w:vertAlign w:val="superscript"/>
          <w:rtl/>
        </w:rPr>
        <w:footnoteReference w:id="3274" w:customMarkFollows="0"/>
      </w:r>
      <w:bookmarkEnd w:id="4389"/>
      <w:r>
        <w:rPr>
          <w:rtl/>
        </w:rPr>
        <w:t xml:space="preserve"> אמר אבי בלשון זו: “הוא לא נהג להשפיע [ער האט ניט </w:t>
      </w:r>
      <w:proofErr w:type="spellStart"/>
      <w:r>
        <w:rPr>
          <w:rtl/>
        </w:rPr>
        <w:t>געפראוועט</w:t>
      </w:r>
      <w:proofErr w:type="spellEnd"/>
      <w:r>
        <w:rPr>
          <w:rtl/>
        </w:rPr>
        <w:t xml:space="preserve"> </w:t>
      </w:r>
      <w:proofErr w:type="spellStart"/>
      <w:r>
        <w:rPr>
          <w:rtl/>
        </w:rPr>
        <w:t>קיינע</w:t>
      </w:r>
      <w:proofErr w:type="spellEnd"/>
      <w:r>
        <w:rPr>
          <w:rtl/>
        </w:rPr>
        <w:t xml:space="preserve"> השפעות]”. כלומר, ר׳ נפתלי לא ניסה להשפיע על אחרים במכוון, ולא העמיד את עצמו בתפקיד הכרוך ביחס אבהי כלפיהם. בהזדמנות אחרת</w:t>
      </w:r>
      <w:bookmarkStart w:id="4390" w:name="_fnr3267"/>
      <w:r>
        <w:rPr>
          <w:vertAlign w:val="superscript"/>
          <w:rtl/>
        </w:rPr>
        <w:footnoteReference w:id="3275" w:customMarkFollows="0"/>
      </w:r>
      <w:bookmarkEnd w:id="4390"/>
      <w:r>
        <w:rPr>
          <w:rtl/>
        </w:rPr>
        <w:t xml:space="preserve"> אמר אבי: “על ר׳ נפתלי לא היה אפשר לראות דבר [של פעילות להפצת מוסר].” עם זאת, ר׳ נפתלי הרבה לכתוב מאמרי מוסר בפרסומים שונים</w:t>
      </w:r>
      <w:bookmarkStart w:id="4391" w:name="_fnr3268"/>
      <w:r>
        <w:rPr>
          <w:vertAlign w:val="superscript"/>
          <w:rtl/>
        </w:rPr>
        <w:footnoteReference w:id="3276" w:customMarkFollows="0"/>
      </w:r>
      <w:bookmarkEnd w:id="4391"/>
      <w:r>
        <w:rPr>
          <w:rtl/>
        </w:rPr>
        <w:t>.</w:t>
      </w:r>
    </w:p>
    <w:p w14:paraId="14E0873D" w14:textId="77777777" w:rsidR="00AB3647" w:rsidRDefault="00000000" w:rsidP="007923E9">
      <w:pPr>
        <w:spacing w:after="120" w:line="276" w:lineRule="auto"/>
        <w:jc w:val="both"/>
      </w:pPr>
      <w:r>
        <w:rPr>
          <w:rtl/>
        </w:rPr>
        <w:t>כץ, “תנועת המוסר”, כרך ב</w:t>
      </w:r>
      <w:bookmarkStart w:id="4392" w:name="_fnr3269"/>
      <w:r>
        <w:rPr>
          <w:vertAlign w:val="superscript"/>
          <w:rtl/>
        </w:rPr>
        <w:footnoteReference w:id="3277" w:customMarkFollows="0"/>
      </w:r>
      <w:bookmarkEnd w:id="4392"/>
      <w:r>
        <w:rPr>
          <w:rtl/>
        </w:rPr>
        <w:t xml:space="preserve">, מספר שאחרי חתונתו רצה ר׳ נפתלי ללמוד אפייה ולהיות לעוזר אשתו, אבל ר׳ ישראל </w:t>
      </w:r>
      <w:proofErr w:type="spellStart"/>
      <w:r>
        <w:rPr>
          <w:rtl/>
        </w:rPr>
        <w:t>סלנטר</w:t>
      </w:r>
      <w:proofErr w:type="spellEnd"/>
      <w:r>
        <w:rPr>
          <w:rtl/>
        </w:rPr>
        <w:t xml:space="preserve"> לא התיר לו זאת</w:t>
      </w:r>
      <w:bookmarkStart w:id="4393" w:name="_fnr3270"/>
      <w:r>
        <w:rPr>
          <w:vertAlign w:val="superscript"/>
          <w:rtl/>
        </w:rPr>
        <w:footnoteReference w:id="3278" w:customMarkFollows="0"/>
      </w:r>
      <w:bookmarkEnd w:id="4393"/>
      <w:r>
        <w:rPr>
          <w:rtl/>
        </w:rPr>
        <w:t>. ר׳ נפתלי גם התלבש כפועל פשוט, עד שאשתו התלוננה לפני ר׳ ישראל, וזה חייב אותו ללבוש בגדי רב, ולו רק כדי לרצותה</w:t>
      </w:r>
      <w:bookmarkStart w:id="4394" w:name="_fnr3271"/>
      <w:r>
        <w:rPr>
          <w:vertAlign w:val="superscript"/>
          <w:rtl/>
        </w:rPr>
        <w:footnoteReference w:id="3279" w:customMarkFollows="0"/>
      </w:r>
      <w:bookmarkEnd w:id="4394"/>
      <w:r>
        <w:rPr>
          <w:rtl/>
        </w:rPr>
        <w:t xml:space="preserve">. נראה שר׳ ישראל חזה שר׳ נפתלי יהיה לבסוף לרב, ולו רק משום שהכנסתה של אשתו לא תספיק לפרנסת המשפחה. זו אכן הייתה הסיבה שנכנס אחר כך לרבנות. ר׳ ישראל דאג שתלמידו ילמד רוסית, כמו שעשה עם ר׳ </w:t>
      </w:r>
      <w:proofErr w:type="spellStart"/>
      <w:r>
        <w:rPr>
          <w:rtl/>
        </w:rPr>
        <w:t>איצל׳ה</w:t>
      </w:r>
      <w:proofErr w:type="spellEnd"/>
      <w:r>
        <w:rPr>
          <w:rtl/>
        </w:rPr>
        <w:t>, ושניהם השתמשו בידיעה זו בכהונתם ברבנות</w:t>
      </w:r>
      <w:bookmarkStart w:id="4395" w:name="_fnr3272"/>
      <w:r>
        <w:rPr>
          <w:vertAlign w:val="superscript"/>
          <w:rtl/>
        </w:rPr>
        <w:footnoteReference w:id="3280" w:customMarkFollows="0"/>
      </w:r>
      <w:bookmarkEnd w:id="4395"/>
      <w:r>
        <w:rPr>
          <w:rtl/>
        </w:rPr>
        <w:t>.</w:t>
      </w:r>
    </w:p>
    <w:p w14:paraId="04B0FCDD" w14:textId="77777777" w:rsidR="00AB3647" w:rsidRDefault="00000000" w:rsidP="007923E9">
      <w:pPr>
        <w:spacing w:after="120" w:line="276" w:lineRule="auto"/>
        <w:jc w:val="both"/>
      </w:pPr>
      <w:r>
        <w:rPr>
          <w:rtl/>
        </w:rPr>
        <w:t>מעניין שגם אחרי ששימש במשרות נכבדות, ראה ר׳ נפתלי את עצמו כאופה בלבד – או כעוזר אופה, ואשתו היא האופה המומחית – ואת דרכו ברבנות כמקרה בלתי צפוי. כץ, שם</w:t>
      </w:r>
      <w:bookmarkStart w:id="4396" w:name="_fnr3273"/>
      <w:r>
        <w:rPr>
          <w:vertAlign w:val="superscript"/>
          <w:rtl/>
        </w:rPr>
        <w:footnoteReference w:id="3281" w:customMarkFollows="0"/>
      </w:r>
      <w:bookmarkEnd w:id="4396"/>
      <w:r>
        <w:rPr>
          <w:rtl/>
        </w:rPr>
        <w:t xml:space="preserve">, מספר שאחרי שעלה לארץ ישראל בשנותיו האחרונות, נפגש עם ר׳ </w:t>
      </w:r>
      <w:proofErr w:type="spellStart"/>
      <w:r>
        <w:rPr>
          <w:rtl/>
        </w:rPr>
        <w:t>יעקב־משה</w:t>
      </w:r>
      <w:proofErr w:type="spellEnd"/>
      <w:r>
        <w:rPr>
          <w:rtl/>
        </w:rPr>
        <w:t xml:space="preserve"> חרל״פ בעניין ציבורי כלשהו, והציג את עצמו לפניו במילים: “הייתי אופה פשוט; אחר כך חשקתי להיות רב. אבל כשראו שאיני מוכשר דיי לכך, פיטרו אותי.”</w:t>
      </w:r>
    </w:p>
    <w:p w14:paraId="14E16BA0" w14:textId="77777777" w:rsidR="00AB3647" w:rsidRDefault="00000000" w:rsidP="007923E9">
      <w:pPr>
        <w:spacing w:after="120" w:line="276" w:lineRule="auto"/>
        <w:jc w:val="both"/>
      </w:pPr>
      <w:r>
        <w:rPr>
          <w:rtl/>
        </w:rPr>
        <w:t xml:space="preserve">חלילה </w:t>
      </w:r>
      <w:proofErr w:type="spellStart"/>
      <w:r>
        <w:rPr>
          <w:rtl/>
        </w:rPr>
        <w:t>לר</w:t>
      </w:r>
      <w:proofErr w:type="spellEnd"/>
      <w:r>
        <w:rPr>
          <w:rtl/>
        </w:rPr>
        <w:t xml:space="preserve">׳ נפתלי החסיד, אפילו מתוך ענווה רבה, להמציא סיפור כזה. אני סבור שהבסיס המציאותי למשפט האחרון היה התפטרותו ממשרת הרבנות האחרונה שכיהן בה, רב </w:t>
      </w:r>
      <w:proofErr w:type="spellStart"/>
      <w:r>
        <w:rPr>
          <w:rtl/>
        </w:rPr>
        <w:t>אלקסוט</w:t>
      </w:r>
      <w:proofErr w:type="spellEnd"/>
      <w:r>
        <w:rPr>
          <w:rtl/>
        </w:rPr>
        <w:t xml:space="preserve"> התחתית. הוא נקרא לערוך חתונה ביום שישי אחר הצהריים, כמו שהיה מקובל, והורה שלא להמתין לאורח שאיחר לבוא, מפני ששעת כניסת השבת מתקרבת. </w:t>
      </w:r>
      <w:proofErr w:type="spellStart"/>
      <w:r>
        <w:rPr>
          <w:rtl/>
        </w:rPr>
        <w:t>משלא</w:t>
      </w:r>
      <w:proofErr w:type="spellEnd"/>
      <w:r>
        <w:rPr>
          <w:rtl/>
        </w:rPr>
        <w:t xml:space="preserve"> שמעו להוראתו, ראה בכך ר׳ נפתלי דחייה של סמכותו, והתפטר למחרת</w:t>
      </w:r>
      <w:bookmarkStart w:id="4397" w:name="_fnr3274"/>
      <w:r>
        <w:rPr>
          <w:vertAlign w:val="superscript"/>
          <w:rtl/>
        </w:rPr>
        <w:footnoteReference w:id="3282" w:customMarkFollows="0"/>
      </w:r>
      <w:bookmarkEnd w:id="4397"/>
      <w:r>
        <w:rPr>
          <w:rtl/>
        </w:rPr>
        <w:t>. הוא כינה את שאירע “פיטורים”.</w:t>
      </w:r>
    </w:p>
    <w:bookmarkStart w:id="4398" w:name="b4_note78"/>
    <w:p w14:paraId="26EA9B97" w14:textId="77777777" w:rsidR="00AB3647" w:rsidRDefault="00000000" w:rsidP="007923E9">
      <w:pPr>
        <w:spacing w:before="120" w:after="100" w:line="276" w:lineRule="auto"/>
        <w:jc w:val="both"/>
      </w:pPr>
      <w:r>
        <w:fldChar w:fldCharType="begin" w:dirty="true"/>
      </w:r>
      <w:r>
        <w:instrText>HYPERLINK \l "b4_text78" \h</w:instrText>
      </w:r>
      <w:r>
        <w:fldChar w:fldCharType="separate"/>
      </w:r>
      <w:r>
        <w:rPr>
          <w:b/>
          <w:bCs/>
          <w:rtl/>
        </w:rPr>
        <w:t>78</w:t>
      </w:r>
      <w:r>
        <w:rPr>
          <w:b/>
          <w:bCs/>
        </w:rPr>
        <w:fldChar w:fldCharType="end"/>
      </w:r>
      <w:bookmarkEnd w:id="4398"/>
      <w:r>
        <w:rPr>
          <w:rtl/>
        </w:rPr>
        <w:t xml:space="preserve"> הוא הצטיין בענווה. בהיותו בהלסינקי מעולם לא נכנס לבית הכנסת בלי ספר קודש תחת זרועו, שאם לא כן חש שלא בנוח כשראה אנשים קמים, לכאורה לכבודו</w:t>
      </w:r>
      <w:bookmarkStart w:id="4399" w:name="_fnr3275"/>
      <w:r>
        <w:rPr>
          <w:vertAlign w:val="superscript"/>
          <w:rtl/>
        </w:rPr>
        <w:footnoteReference w:id="3283" w:customMarkFollows="0"/>
      </w:r>
      <w:bookmarkEnd w:id="4399"/>
      <w:r>
        <w:rPr>
          <w:rtl/>
        </w:rPr>
        <w:t>. כשערערו על דבריו שהוא רק יהודי בור, והזכירו לו ששימש רב של עיר בירה, היה משיב: “</w:t>
      </w:r>
      <w:proofErr w:type="spellStart"/>
      <w:r>
        <w:rPr>
          <w:rtl/>
        </w:rPr>
        <w:t>בובט</w:t>
      </w:r>
      <w:proofErr w:type="spellEnd"/>
      <w:r>
        <w:rPr>
          <w:rtl/>
        </w:rPr>
        <w:t xml:space="preserve"> [כפר ליד קובנה] היא [משרת רבנות] חשובה יותר מהלסינקי</w:t>
      </w:r>
      <w:bookmarkStart w:id="4400" w:name="_fnr3276"/>
      <w:r>
        <w:rPr>
          <w:vertAlign w:val="superscript"/>
          <w:rtl/>
        </w:rPr>
        <w:footnoteReference w:id="3284" w:customMarkFollows="0"/>
      </w:r>
      <w:bookmarkEnd w:id="4400"/>
      <w:r>
        <w:rPr>
          <w:rtl/>
        </w:rPr>
        <w:t>”. וכך מוכרח היה להיות, שאם לא כן לא היה ר׳ נפתלי הקדוש אומר זאת.</w:t>
      </w:r>
    </w:p>
    <w:p w14:paraId="115FA7C1" w14:textId="77777777" w:rsidR="00AB3647" w:rsidRDefault="00000000" w:rsidP="007923E9">
      <w:pPr>
        <w:spacing w:before="120" w:after="100" w:line="276" w:lineRule="auto"/>
        <w:jc w:val="both"/>
      </w:pPr>
      <w:r>
        <w:rPr>
          <w:rtl/>
        </w:rPr>
        <w:lastRenderedPageBreak/>
        <w:t xml:space="preserve">ר׳ </w:t>
      </w:r>
      <w:proofErr w:type="spellStart"/>
      <w:r>
        <w:rPr>
          <w:rtl/>
        </w:rPr>
        <w:t>איצל׳ה</w:t>
      </w:r>
      <w:proofErr w:type="spellEnd"/>
      <w:r>
        <w:rPr>
          <w:rtl/>
        </w:rPr>
        <w:t xml:space="preserve"> </w:t>
      </w:r>
      <w:proofErr w:type="spellStart"/>
      <w:r>
        <w:rPr>
          <w:rtl/>
        </w:rPr>
        <w:t>בלאזר</w:t>
      </w:r>
      <w:proofErr w:type="spellEnd"/>
      <w:r>
        <w:rPr>
          <w:rtl/>
        </w:rPr>
        <w:t xml:space="preserve"> נפטר בירושלים זמן קצר אחרי בואו של ר׳ נפתלי. כשגילה ר׳ נפתלי שעמיתו הורה שלא יספידוהו, היה נבוך ואמר: “רבנו [ר׳ ישראל </w:t>
      </w:r>
      <w:proofErr w:type="spellStart"/>
      <w:r>
        <w:rPr>
          <w:rtl/>
        </w:rPr>
        <w:t>סלנטר</w:t>
      </w:r>
      <w:proofErr w:type="spellEnd"/>
      <w:r>
        <w:rPr>
          <w:rtl/>
        </w:rPr>
        <w:t xml:space="preserve">] לא נהג כך.” ובכל זאת הורה שגם במותו שלו לא יספידוהו. כשנשאל מדוע ביקורתו על ר׳ </w:t>
      </w:r>
      <w:proofErr w:type="spellStart"/>
      <w:r>
        <w:rPr>
          <w:rtl/>
        </w:rPr>
        <w:t>איצל׳ה</w:t>
      </w:r>
      <w:proofErr w:type="spellEnd"/>
      <w:r>
        <w:rPr>
          <w:rtl/>
        </w:rPr>
        <w:t xml:space="preserve"> אינה חלה באותה מידה עליו עצמו, השיב: “הלא ר׳ </w:t>
      </w:r>
      <w:proofErr w:type="spellStart"/>
      <w:r>
        <w:rPr>
          <w:rtl/>
        </w:rPr>
        <w:t>איצל׳ה</w:t>
      </w:r>
      <w:proofErr w:type="spellEnd"/>
      <w:r>
        <w:rPr>
          <w:rtl/>
        </w:rPr>
        <w:t xml:space="preserve"> היה ראוי להספד, אבל עליי באמת אין מה לומר</w:t>
      </w:r>
      <w:bookmarkStart w:id="4401" w:name="_fnr3277"/>
      <w:r>
        <w:rPr>
          <w:vertAlign w:val="superscript"/>
          <w:rtl/>
        </w:rPr>
        <w:footnoteReference w:id="3285" w:customMarkFollows="0"/>
      </w:r>
      <w:bookmarkEnd w:id="4401"/>
      <w:r>
        <w:rPr>
          <w:rtl/>
        </w:rPr>
        <w:t>.”</w:t>
      </w:r>
    </w:p>
    <w:p w14:paraId="1DB35DEC" w14:textId="77777777" w:rsidR="00AB3647" w:rsidRDefault="00000000" w:rsidP="007923E9">
      <w:pPr>
        <w:spacing w:after="120" w:line="276" w:lineRule="auto"/>
        <w:jc w:val="both"/>
      </w:pPr>
      <w:r>
        <w:rPr>
          <w:rtl/>
        </w:rPr>
        <w:t>בשיחת יום השנה</w:t>
      </w:r>
      <w:bookmarkStart w:id="4402" w:name="_fnr3278"/>
      <w:r>
        <w:rPr>
          <w:vertAlign w:val="superscript"/>
          <w:rtl/>
        </w:rPr>
        <w:footnoteReference w:id="3286" w:customMarkFollows="0"/>
      </w:r>
      <w:bookmarkEnd w:id="4402"/>
      <w:r>
        <w:rPr>
          <w:rtl/>
        </w:rPr>
        <w:t xml:space="preserve"> סיפר אבי: “זכיתי לשמוע דרשה אחת מר׳ נפתלי, בבית המוסר </w:t>
      </w:r>
      <w:proofErr w:type="spellStart"/>
      <w:r>
        <w:rPr>
          <w:rtl/>
        </w:rPr>
        <w:t>שבקלויז</w:t>
      </w:r>
      <w:proofErr w:type="spellEnd"/>
      <w:r>
        <w:rPr>
          <w:rtl/>
        </w:rPr>
        <w:t xml:space="preserve"> </w:t>
      </w:r>
      <w:proofErr w:type="spellStart"/>
      <w:r>
        <w:rPr>
          <w:rtl/>
        </w:rPr>
        <w:t>זגרשה</w:t>
      </w:r>
      <w:proofErr w:type="spellEnd"/>
      <w:r>
        <w:rPr>
          <w:rtl/>
        </w:rPr>
        <w:t>, בצום גדליה”. דוגמה לניתוח המוסרי של ר׳ נפתלי היא הערתו ליהודי שבא אליו לקבל היתר מאה רבנים, והתחיל לספר על מעשיה הרעים של אשתו. ר׳ נפתלי עצרו מיד בשאלה: “האם כבר קיבלת היתר מאה רבנים לדבר לשון הרע</w:t>
      </w:r>
      <w:bookmarkStart w:id="4403" w:name="_fnr3279"/>
      <w:r>
        <w:rPr>
          <w:vertAlign w:val="superscript"/>
          <w:rtl/>
        </w:rPr>
        <w:footnoteReference w:id="3287" w:customMarkFollows="0"/>
      </w:r>
      <w:bookmarkEnd w:id="4403"/>
      <w:r>
        <w:rPr>
          <w:rtl/>
        </w:rPr>
        <w:t>?”</w:t>
      </w:r>
    </w:p>
    <w:bookmarkStart w:id="4404" w:name="b4_note79"/>
    <w:p w14:paraId="0526F32A" w14:textId="77777777" w:rsidR="00AB3647" w:rsidRDefault="00000000" w:rsidP="007923E9">
      <w:pPr>
        <w:spacing w:before="120" w:after="100" w:line="276" w:lineRule="auto"/>
        <w:jc w:val="both"/>
      </w:pPr>
      <w:r>
        <w:fldChar w:fldCharType="begin" w:dirty="true"/>
      </w:r>
      <w:r>
        <w:instrText>HYPERLINK \l "b4_text79" \h</w:instrText>
      </w:r>
      <w:r>
        <w:fldChar w:fldCharType="separate"/>
      </w:r>
      <w:r>
        <w:rPr>
          <w:b/>
          <w:bCs/>
          <w:rtl/>
        </w:rPr>
        <w:t>79</w:t>
      </w:r>
      <w:r>
        <w:rPr>
          <w:b/>
          <w:bCs/>
        </w:rPr>
        <w:fldChar w:fldCharType="end"/>
      </w:r>
      <w:bookmarkEnd w:id="4404"/>
      <w:r>
        <w:rPr>
          <w:rtl/>
        </w:rPr>
        <w:t xml:space="preserve"> בריאיון המוקלט על הסבא </w:t>
      </w:r>
      <w:proofErr w:type="spellStart"/>
      <w:r>
        <w:rPr>
          <w:rtl/>
        </w:rPr>
        <w:t>מסלבודקה</w:t>
      </w:r>
      <w:proofErr w:type="spellEnd"/>
      <w:r>
        <w:rPr>
          <w:rtl/>
        </w:rPr>
        <w:t xml:space="preserve"> הזכיר אבי רק את חול המועד כמועד שבו קיבל ר׳ נפתלי תלמידים. אבל בשיחת יום השנה הזכיר שני מועדים לביקורים: שמחת בית השואבה ופורים. ר׳ יצחק </w:t>
      </w:r>
      <w:proofErr w:type="spellStart"/>
      <w:r>
        <w:rPr>
          <w:rtl/>
        </w:rPr>
        <w:t>שורין</w:t>
      </w:r>
      <w:proofErr w:type="spellEnd"/>
      <w:r>
        <w:rPr>
          <w:rtl/>
        </w:rPr>
        <w:t xml:space="preserve"> סיפר</w:t>
      </w:r>
      <w:bookmarkStart w:id="4405" w:name="_fnr3280"/>
      <w:r>
        <w:rPr>
          <w:vertAlign w:val="superscript"/>
          <w:rtl/>
        </w:rPr>
        <w:footnoteReference w:id="3288" w:customMarkFollows="0"/>
      </w:r>
      <w:bookmarkEnd w:id="4405"/>
      <w:r>
        <w:rPr>
          <w:rtl/>
        </w:rPr>
        <w:t xml:space="preserve"> שסבו, רבנו, הזכיר – מלבד פורים – שהביקור בסוכות התקיים רק באחד מימי חול המועד, כלומר ביום האחרון, הושענא רבה. לוח מועדים זה מאומת בדברי כץ, “תנועת המוסר”, כרך ב</w:t>
      </w:r>
      <w:bookmarkStart w:id="4406" w:name="_fnr3281"/>
      <w:r>
        <w:rPr>
          <w:vertAlign w:val="superscript"/>
          <w:rtl/>
        </w:rPr>
        <w:footnoteReference w:id="3289" w:customMarkFollows="0"/>
      </w:r>
      <w:bookmarkEnd w:id="4406"/>
      <w:r>
        <w:rPr>
          <w:rtl/>
        </w:rPr>
        <w:t xml:space="preserve">: “רבים מדברים במיוחד על </w:t>
      </w:r>
      <w:r>
        <w:rPr>
          <w:b/>
          <w:bCs/>
          <w:rtl/>
        </w:rPr>
        <w:t>המנהג הקבוע</w:t>
      </w:r>
      <w:r>
        <w:rPr>
          <w:rtl/>
        </w:rPr>
        <w:t xml:space="preserve"> (ההדגשה שלי</w:t>
      </w:r>
      <w:bookmarkStart w:id="4407" w:name="_fnr3282"/>
      <w:r>
        <w:rPr>
          <w:vertAlign w:val="superscript"/>
          <w:rtl/>
        </w:rPr>
        <w:footnoteReference w:id="3290" w:customMarkFollows="0"/>
      </w:r>
      <w:bookmarkEnd w:id="4407"/>
      <w:r>
        <w:rPr>
          <w:rtl/>
        </w:rPr>
        <w:t xml:space="preserve">) לבקר את [ר׳ נפתלי] בהושענא רבה ובפורים.” לפיכך, אחרי היכרותם הראשונה בתשרי הראשון של אבי </w:t>
      </w:r>
      <w:proofErr w:type="spellStart"/>
      <w:r>
        <w:rPr>
          <w:rtl/>
        </w:rPr>
        <w:t>בסלבודקה</w:t>
      </w:r>
      <w:proofErr w:type="spellEnd"/>
      <w:r>
        <w:rPr>
          <w:rtl/>
        </w:rPr>
        <w:t>, הייתה לו הזדמנות נוספת לבקר את ר׳ נפתלי, בפורים</w:t>
      </w:r>
      <w:bookmarkStart w:id="4408" w:name="_fnr3283"/>
      <w:r>
        <w:rPr>
          <w:vertAlign w:val="superscript"/>
          <w:rtl/>
        </w:rPr>
        <w:footnoteReference w:id="3291" w:customMarkFollows="0"/>
      </w:r>
      <w:bookmarkEnd w:id="4408"/>
      <w:r>
        <w:rPr>
          <w:rtl/>
        </w:rPr>
        <w:t xml:space="preserve">. אך זו הייתה ההזדמנות הנוספת היחידה, שכן כששב רבנו </w:t>
      </w:r>
      <w:proofErr w:type="spellStart"/>
      <w:r>
        <w:rPr>
          <w:rtl/>
        </w:rPr>
        <w:t>לסלבודקה</w:t>
      </w:r>
      <w:proofErr w:type="spellEnd"/>
      <w:r>
        <w:rPr>
          <w:rtl/>
        </w:rPr>
        <w:t xml:space="preserve"> מבית הוריו במינסק אחרי פסח תרס״ז, עמד ר׳ נפתלי לצאת לארץ ישראל</w:t>
      </w:r>
      <w:bookmarkStart w:id="4409" w:name="_fnr3284"/>
      <w:r>
        <w:rPr>
          <w:vertAlign w:val="superscript"/>
          <w:rtl/>
        </w:rPr>
        <w:footnoteReference w:id="3292" w:customMarkFollows="0"/>
      </w:r>
      <w:bookmarkEnd w:id="4409"/>
      <w:r>
        <w:rPr>
          <w:rtl/>
        </w:rPr>
        <w:t>.</w:t>
      </w:r>
    </w:p>
    <w:p w14:paraId="424B5039" w14:textId="77777777" w:rsidR="00AB3647" w:rsidRDefault="00000000" w:rsidP="007923E9">
      <w:pPr>
        <w:spacing w:before="120" w:after="100" w:line="276" w:lineRule="auto"/>
        <w:jc w:val="both"/>
      </w:pPr>
      <w:r>
        <w:rPr>
          <w:rtl/>
        </w:rPr>
        <w:t>מלבד שיחות לקבוצות תלמידים בחגים, שוחח ר׳ נפתלי עם בחורים יחידים שפנו אליו כשהלך מדי יום מביתו לבית המוסר ובחזרה</w:t>
      </w:r>
      <w:bookmarkStart w:id="4410" w:name="_fnr3285"/>
      <w:bookmarkStart w:id="4411" w:name="pr_f_3176"/>
      <w:r>
        <w:rPr>
          <w:vertAlign w:val="superscript"/>
          <w:rtl/>
        </w:rPr>
        <w:footnoteReference w:id="3293" w:customMarkFollows="0"/>
      </w:r>
      <w:bookmarkEnd w:id="4410"/>
      <w:bookmarkEnd w:id="4411"/>
      <w:r>
        <w:rPr>
          <w:rtl/>
        </w:rPr>
        <w:t xml:space="preserve">. מי שזכה יכול היה לשהות עמו בשעת לימודו במוצאי שבת, כשלמד “קצות החושן” – מנהג ששמר עליו מימיו אצל ר׳ ישראל </w:t>
      </w:r>
      <w:proofErr w:type="spellStart"/>
      <w:r>
        <w:rPr>
          <w:rtl/>
        </w:rPr>
        <w:t>סלנטר</w:t>
      </w:r>
      <w:proofErr w:type="spellEnd"/>
      <w:r>
        <w:rPr>
          <w:rtl/>
        </w:rPr>
        <w:t>, ובהוראת ר׳ ישראל. לשם כך סיפק לו הסבא חברותא מבין תלמידי הישיבה.</w:t>
      </w:r>
    </w:p>
    <w:p w14:paraId="5E517CDD" w14:textId="77777777" w:rsidR="00AB3647" w:rsidRDefault="00000000" w:rsidP="007923E9">
      <w:pPr>
        <w:spacing w:before="120" w:after="100" w:line="276" w:lineRule="auto"/>
        <w:jc w:val="both"/>
      </w:pPr>
      <w:proofErr w:type="spellStart"/>
      <w:r>
        <w:rPr>
          <w:rtl/>
        </w:rPr>
        <w:lastRenderedPageBreak/>
        <w:t>ב“שרידי</w:t>
      </w:r>
      <w:proofErr w:type="spellEnd"/>
      <w:r>
        <w:rPr>
          <w:rtl/>
        </w:rPr>
        <w:t xml:space="preserve"> אש”</w:t>
      </w:r>
      <w:bookmarkStart w:id="4412" w:name="_fnr3286"/>
      <w:r>
        <w:rPr>
          <w:vertAlign w:val="superscript"/>
          <w:rtl/>
        </w:rPr>
        <w:footnoteReference w:id="3294" w:customMarkFollows="0"/>
      </w:r>
      <w:bookmarkEnd w:id="4412"/>
      <w:r>
        <w:rPr>
          <w:rtl/>
        </w:rPr>
        <w:t xml:space="preserve"> מספר ר׳ </w:t>
      </w:r>
      <w:proofErr w:type="spellStart"/>
      <w:r>
        <w:rPr>
          <w:rtl/>
        </w:rPr>
        <w:t>יחיאל־יעקב</w:t>
      </w:r>
      <w:proofErr w:type="spellEnd"/>
      <w:r>
        <w:rPr>
          <w:rtl/>
        </w:rPr>
        <w:t xml:space="preserve"> ויינברג שבמשך זמן חורף אחד הוטלה עליו “זכות וכבוד גדולים אלה”. הוא מספר: “אני, נער צעיר, לא יכולתי להבין כיצד חכם זקן יכול לנהוג בי כאילו הייתי רבו! לא זו בלבד שלא הניח לי לשרת אותו, אלא כשנדרש ספר מאחד המדפים העליונים של ארון ספריו, היה עולה בסולם ומוסרו לידי. בסוף הערב היה מודה לי בחום רב על שסייעתי לו להתקדם בלימוד התורה, ומלווה אותי אל מחוץ לבית.”</w:t>
      </w:r>
    </w:p>
    <w:p w14:paraId="7730022C" w14:textId="77777777" w:rsidR="00AB3647" w:rsidRDefault="00000000" w:rsidP="007923E9">
      <w:pPr>
        <w:spacing w:before="120" w:after="100" w:line="276" w:lineRule="auto"/>
        <w:jc w:val="both"/>
      </w:pPr>
      <w:r>
        <w:rPr>
          <w:rtl/>
        </w:rPr>
        <w:t xml:space="preserve">ר׳ </w:t>
      </w:r>
      <w:proofErr w:type="spellStart"/>
      <w:r>
        <w:rPr>
          <w:rtl/>
        </w:rPr>
        <w:t>ליפא</w:t>
      </w:r>
      <w:proofErr w:type="spellEnd"/>
      <w:r>
        <w:rPr>
          <w:rtl/>
        </w:rPr>
        <w:t xml:space="preserve"> </w:t>
      </w:r>
      <w:proofErr w:type="spellStart"/>
      <w:r>
        <w:rPr>
          <w:rtl/>
        </w:rPr>
        <w:t>גלדווערט</w:t>
      </w:r>
      <w:proofErr w:type="spellEnd"/>
      <w:r>
        <w:rPr>
          <w:rtl/>
        </w:rPr>
        <w:t xml:space="preserve"> הוסיף</w:t>
      </w:r>
      <w:bookmarkStart w:id="4413" w:name="_fnr3287"/>
      <w:r>
        <w:rPr>
          <w:vertAlign w:val="superscript"/>
          <w:rtl/>
        </w:rPr>
        <w:footnoteReference w:id="3295" w:customMarkFollows="0"/>
      </w:r>
      <w:bookmarkEnd w:id="4413"/>
      <w:r>
        <w:rPr>
          <w:rtl/>
        </w:rPr>
        <w:t xml:space="preserve"> שבריאיון המוקלט על תנועת המוסר</w:t>
      </w:r>
      <w:bookmarkStart w:id="4414" w:name="_fnr3288"/>
      <w:r>
        <w:rPr>
          <w:vertAlign w:val="superscript"/>
          <w:rtl/>
        </w:rPr>
        <w:footnoteReference w:id="3296" w:customMarkFollows="0"/>
      </w:r>
      <w:bookmarkEnd w:id="4414"/>
      <w:r>
        <w:rPr>
          <w:rtl/>
        </w:rPr>
        <w:t xml:space="preserve"> אמר לו אבי שהוא זוכר שיחת מוסר ששמע מר׳ נפתלי. אבי לא אמר אז באיזו הזדמנות נמסרה, אבל כנראה הייתה זו “הדרשה האחת” ששמע “בבית המוסר... בצום גדליה”, שהוזכרה בהערה הקודמת.</w:t>
      </w:r>
    </w:p>
    <w:p w14:paraId="07D054AA" w14:textId="77777777" w:rsidR="00AB3647" w:rsidRDefault="00000000" w:rsidP="007923E9">
      <w:pPr>
        <w:spacing w:before="120" w:after="100" w:line="276" w:lineRule="auto"/>
        <w:jc w:val="both"/>
      </w:pPr>
      <w:r>
        <w:rPr>
          <w:rtl/>
        </w:rPr>
        <w:t xml:space="preserve">המראיין ציין לפני אבי שידוע לו ממקורות מסוימים שר׳ ישראל </w:t>
      </w:r>
      <w:proofErr w:type="spellStart"/>
      <w:r>
        <w:rPr>
          <w:rtl/>
        </w:rPr>
        <w:t>סלנטר</w:t>
      </w:r>
      <w:proofErr w:type="spellEnd"/>
      <w:r>
        <w:rPr>
          <w:rtl/>
        </w:rPr>
        <w:t xml:space="preserve"> שהה בבית משפחת פרנק בזמן שהיה בקובנה. רבנו העיר בלשון סתומה שר׳ נפתלי אמסטרדם אמר לו שר׳ ישראל שהה שם, ושפעם, בתענית אסתר, כשמסר שם התעוררות, הפריעו לו – ור׳ ישראל נפגע מכך. אפשר לשער שר׳ נפתלי הזכיר את המעשה כשגם שיחת המוסר שלו עצמו הופרעה, מסיבה כלשהי. היה מעניין ומלמד גם יחד לדעת בדיוק כיצד ביטאו בעלי המוסר הגדולים את “פגיעתם” – בוודאי לא בכעס, כמו שהייתי עושה אני [ואולי גם הקורא] – אבל אבי לא הרחיב.</w:t>
      </w:r>
    </w:p>
    <w:bookmarkStart w:id="4415" w:name="b4_note80"/>
    <w:p w14:paraId="5E4CA8D7" w14:textId="0458FA64" w:rsidR="00AB3647" w:rsidRDefault="00000000" w:rsidP="007923E9">
      <w:pPr>
        <w:spacing w:before="120" w:after="100" w:line="276" w:lineRule="auto"/>
        <w:jc w:val="both"/>
      </w:pPr>
      <w:r>
        <w:fldChar w:fldCharType="begin" w:dirty="true"/>
      </w:r>
      <w:r>
        <w:instrText>HYPERLINK \l "b4_text80" \h</w:instrText>
      </w:r>
      <w:r>
        <w:fldChar w:fldCharType="separate"/>
      </w:r>
      <w:r>
        <w:rPr>
          <w:b/>
          <w:bCs/>
          <w:rtl/>
        </w:rPr>
        <w:t>80</w:t>
      </w:r>
      <w:r>
        <w:rPr>
          <w:b/>
          <w:bCs/>
        </w:rPr>
        <w:fldChar w:fldCharType="end"/>
      </w:r>
      <w:bookmarkEnd w:id="4415"/>
      <w:r>
        <w:rPr>
          <w:rtl/>
        </w:rPr>
        <w:t xml:space="preserve"> ראה </w:t>
      </w:r>
      <w:r>
        <w:rPr>
          <w:rtl/>
        </w:rPr>
        <w:fldChar w:fldCharType="begin" w:dirty="true"/>
      </w:r>
      <w:r>
        <w:rPr>
          <w:rtl/>
        </w:rPr>
        <w:instrText xml:space="preserve"> REF b4_excJ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w:t>
      </w:r>
      <w:r>
        <w:rPr>
          <w:rtl/>
        </w:rPr>
        <w:fldChar w:fldCharType="end"/>
      </w:r>
      <w:r>
        <w:rPr>
          <w:rtl/>
        </w:rPr>
        <w:t>.</w:t>
      </w:r>
    </w:p>
    <w:bookmarkStart w:id="4416" w:name="b4_note81"/>
    <w:p w14:paraId="3DF62AF4" w14:textId="77777777" w:rsidR="00AB3647" w:rsidRDefault="00000000" w:rsidP="007923E9">
      <w:pPr>
        <w:spacing w:before="120" w:after="100" w:line="276" w:lineRule="auto"/>
        <w:jc w:val="both"/>
      </w:pPr>
      <w:r>
        <w:fldChar w:fldCharType="begin" w:dirty="true"/>
      </w:r>
      <w:r>
        <w:instrText>HYPERLINK \l "b4_text81" \h</w:instrText>
      </w:r>
      <w:r>
        <w:fldChar w:fldCharType="separate"/>
      </w:r>
      <w:r>
        <w:rPr>
          <w:b/>
          <w:bCs/>
          <w:rtl/>
        </w:rPr>
        <w:t>81</w:t>
      </w:r>
      <w:r>
        <w:rPr>
          <w:b/>
          <w:bCs/>
        </w:rPr>
        <w:fldChar w:fldCharType="end"/>
      </w:r>
      <w:bookmarkEnd w:id="4416"/>
      <w:r>
        <w:rPr>
          <w:rtl/>
        </w:rPr>
        <w:t xml:space="preserve"> </w:t>
      </w:r>
      <w:proofErr w:type="spellStart"/>
      <w:r>
        <w:rPr>
          <w:rtl/>
        </w:rPr>
        <w:t>ב“אור</w:t>
      </w:r>
      <w:proofErr w:type="spellEnd"/>
      <w:r>
        <w:rPr>
          <w:rtl/>
        </w:rPr>
        <w:t xml:space="preserve"> ישראל” מצטט</w:t>
      </w:r>
      <w:bookmarkStart w:id="4417" w:name="_fnr3289"/>
      <w:r>
        <w:rPr>
          <w:vertAlign w:val="superscript"/>
          <w:rtl/>
        </w:rPr>
        <w:footnoteReference w:id="3297" w:customMarkFollows="0"/>
      </w:r>
      <w:bookmarkEnd w:id="4417"/>
      <w:r>
        <w:rPr>
          <w:rtl/>
        </w:rPr>
        <w:t xml:space="preserve"> המחבר מכתב מאת ר׳ נפתלי אמסטרדם, ובו סיפורים על ר׳ </w:t>
      </w:r>
      <w:proofErr w:type="spellStart"/>
      <w:r>
        <w:rPr>
          <w:rtl/>
        </w:rPr>
        <w:t>יוסף־זונדל</w:t>
      </w:r>
      <w:proofErr w:type="spellEnd"/>
      <w:r>
        <w:rPr>
          <w:rtl/>
        </w:rPr>
        <w:t xml:space="preserve"> ששמע מפי ר׳ ישראל. נראה שר׳ נפתלי הצטיין בקליטת סיפורים על גדולי הדורות הקודמים ובהעברתם, ולכן פנה אליו ר׳ </w:t>
      </w:r>
      <w:proofErr w:type="spellStart"/>
      <w:r>
        <w:rPr>
          <w:rtl/>
        </w:rPr>
        <w:t>איצל׳ה</w:t>
      </w:r>
      <w:proofErr w:type="spellEnd"/>
      <w:r>
        <w:rPr>
          <w:rtl/>
        </w:rPr>
        <w:t xml:space="preserve"> כשביקש חומר ביוגרפי. השווה גם שם</w:t>
      </w:r>
      <w:bookmarkStart w:id="4418" w:name="_fnr3290"/>
      <w:r>
        <w:rPr>
          <w:vertAlign w:val="superscript"/>
          <w:rtl/>
        </w:rPr>
        <w:footnoteReference w:id="3298" w:customMarkFollows="0"/>
      </w:r>
      <w:bookmarkEnd w:id="4418"/>
      <w:r>
        <w:rPr>
          <w:rtl/>
        </w:rPr>
        <w:t>: שם מובאת גישתו הכללית של ר׳ ישראל להישאר “נסתר”, כפי שנרשמה בתחילת נספח י, אך בלי התוספת הסיפורית של ר׳ נפתלי.</w:t>
      </w:r>
    </w:p>
    <w:p w14:paraId="27DAAD3B" w14:textId="77777777" w:rsidR="00AB3647" w:rsidRDefault="00000000" w:rsidP="007923E9">
      <w:pPr>
        <w:spacing w:after="120" w:line="276" w:lineRule="auto"/>
        <w:jc w:val="both"/>
      </w:pPr>
      <w:r>
        <w:rPr>
          <w:rtl/>
        </w:rPr>
        <w:t xml:space="preserve">מלבד הסיפורים המסוימים ששמע אבי מר׳ נפתלי, למד ממנו עד כמה רב הלקח שאפשר להפיק מסיפורי הדורות הקודמים. בשנותיו המאוחרות גם הוא הרבה לספר סיפורים על תלמידי חכמים ששמע עליהם מאחרים או שהשתתף בהם בעצמו, ודיבר על החשיבות שבהעברת הסיפורים לדורות הבאים</w:t>
      </w:r>
      <w:bookmarkStart w:id="4419" w:name="_fnr3291"/>
      <w:r>
        <w:rPr>
          <w:vertAlign w:val="superscript"/>
          <w:rtl/>
        </w:rPr>
        <w:footnoteReference w:id="3299" w:customMarkFollows="0"/>
      </w:r>
      <w:bookmarkEnd w:id="4419"/>
      <w:r>
        <w:rPr>
          <w:rtl/>
        </w:rPr>
        <w:t>.</w:t>
      </w:r>
    </w:p>
    <w:bookmarkStart w:id="4420" w:name="b4_note82"/>
    <w:p w14:paraId="0B347B11" w14:textId="77777777" w:rsidR="00AB3647" w:rsidRDefault="00000000" w:rsidP="007923E9">
      <w:pPr>
        <w:spacing w:before="120" w:after="100" w:line="276" w:lineRule="auto"/>
        <w:jc w:val="both"/>
      </w:pPr>
      <w:r>
        <w:fldChar w:fldCharType="begin" w:dirty="true"/>
      </w:r>
      <w:r>
        <w:instrText>HYPERLINK \l "b4_text82" \h</w:instrText>
      </w:r>
      <w:r>
        <w:fldChar w:fldCharType="separate"/>
      </w:r>
      <w:r>
        <w:rPr>
          <w:b/>
          <w:bCs/>
          <w:rtl/>
        </w:rPr>
        <w:t>82</w:t>
      </w:r>
      <w:r>
        <w:rPr>
          <w:b/>
          <w:bCs/>
        </w:rPr>
        <w:fldChar w:fldCharType="end"/>
      </w:r>
      <w:bookmarkEnd w:id="4420"/>
      <w:r>
        <w:rPr>
          <w:rtl/>
        </w:rPr>
        <w:t xml:space="preserve"> אף שהזמן לשיחה עם ר׳ נפתלי היה מוגבל, הצליח אבי לראותו במועדים אחרים בשנה – אולי בדרכו לבית המוסר</w:t>
      </w:r>
      <w:bookmarkStart w:id="4421" w:name="_fnr3292"/>
      <w:r>
        <w:rPr>
          <w:vertAlign w:val="superscript"/>
          <w:rtl/>
        </w:rPr>
        <w:footnoteReference w:id="3300" w:customMarkFollows="0"/>
      </w:r>
      <w:bookmarkEnd w:id="4421"/>
      <w:r>
        <w:rPr>
          <w:rtl/>
        </w:rPr>
        <w:t xml:space="preserve">. ר׳ אשר </w:t>
      </w:r>
      <w:proofErr w:type="spellStart"/>
      <w:r>
        <w:rPr>
          <w:rtl/>
        </w:rPr>
        <w:t>קצמן</w:t>
      </w:r>
      <w:bookmarkStart w:id="4422" w:name="_fnr3293"/>
      <w:proofErr w:type="spellEnd"/>
      <w:r>
        <w:rPr>
          <w:vertAlign w:val="superscript"/>
          <w:rtl/>
        </w:rPr>
        <w:footnoteReference w:id="3301" w:customMarkFollows="0"/>
      </w:r>
      <w:bookmarkEnd w:id="4422"/>
      <w:r>
        <w:rPr>
          <w:rtl/>
        </w:rPr>
        <w:t xml:space="preserve"> סיפר שאבי תיאר את ר׳ נפתלי </w:t>
      </w:r>
      <w:proofErr w:type="spellStart"/>
      <w:r>
        <w:rPr>
          <w:rtl/>
        </w:rPr>
        <w:t>כ“עטוף</w:t>
      </w:r>
      <w:proofErr w:type="spellEnd"/>
      <w:r>
        <w:rPr>
          <w:rtl/>
        </w:rPr>
        <w:t xml:space="preserve"> באימה ופחד נוראים בראש השנה”, וכמי </w:t>
      </w:r>
      <w:proofErr w:type="spellStart"/>
      <w:r>
        <w:rPr>
          <w:rtl/>
        </w:rPr>
        <w:t>ש“לא</w:t>
      </w:r>
      <w:proofErr w:type="spellEnd"/>
      <w:r>
        <w:rPr>
          <w:rtl/>
        </w:rPr>
        <w:t xml:space="preserve"> היה אפשר להכירו [מען האט </w:t>
      </w:r>
      <w:proofErr w:type="spellStart"/>
      <w:r>
        <w:rPr>
          <w:rtl/>
        </w:rPr>
        <w:t>אים</w:t>
      </w:r>
      <w:proofErr w:type="spellEnd"/>
      <w:r>
        <w:rPr>
          <w:rtl/>
        </w:rPr>
        <w:t xml:space="preserve"> ניט </w:t>
      </w:r>
      <w:proofErr w:type="spellStart"/>
      <w:r>
        <w:rPr>
          <w:rtl/>
        </w:rPr>
        <w:t>געקענט</w:t>
      </w:r>
      <w:proofErr w:type="spellEnd"/>
      <w:r>
        <w:rPr>
          <w:rtl/>
        </w:rPr>
        <w:t xml:space="preserve"> </w:t>
      </w:r>
      <w:proofErr w:type="spellStart"/>
      <w:r>
        <w:rPr>
          <w:rtl/>
        </w:rPr>
        <w:t>דערקענען</w:t>
      </w:r>
      <w:proofErr w:type="spellEnd"/>
      <w:r>
        <w:rPr>
          <w:rtl/>
        </w:rPr>
        <w:t xml:space="preserve">] בין ראש השנה לשמחת תורה”. ברשימותיו של ר׳ אשר </w:t>
      </w:r>
      <w:proofErr w:type="spellStart"/>
      <w:r>
        <w:rPr>
          <w:rtl/>
        </w:rPr>
        <w:t>קצמן</w:t>
      </w:r>
      <w:proofErr w:type="spellEnd"/>
      <w:r>
        <w:rPr>
          <w:rtl/>
        </w:rPr>
        <w:t xml:space="preserve"> משיחותיו עם אבי </w:t>
      </w:r>
      <w:r>
        <w:rPr>
          <w:rtl/>
        </w:rPr>
        <w:lastRenderedPageBreak/>
        <w:t>בפלורידה</w:t>
      </w:r>
      <w:bookmarkStart w:id="4423" w:name="_fnr3294"/>
      <w:r>
        <w:rPr>
          <w:vertAlign w:val="superscript"/>
          <w:rtl/>
        </w:rPr>
        <w:footnoteReference w:id="3302" w:customMarkFollows="0"/>
      </w:r>
      <w:bookmarkEnd w:id="4423"/>
      <w:r>
        <w:rPr>
          <w:rtl/>
        </w:rPr>
        <w:t xml:space="preserve"> סיפר אבי שר׳ נפתלי, כמו עמיתו ר׳ </w:t>
      </w:r>
      <w:proofErr w:type="spellStart"/>
      <w:r>
        <w:rPr>
          <w:rtl/>
        </w:rPr>
        <w:t>איצל׳ה</w:t>
      </w:r>
      <w:proofErr w:type="spellEnd"/>
      <w:r>
        <w:rPr>
          <w:rtl/>
        </w:rPr>
        <w:t xml:space="preserve"> </w:t>
      </w:r>
      <w:proofErr w:type="spellStart"/>
      <w:r>
        <w:rPr>
          <w:rtl/>
        </w:rPr>
        <w:t>פטרבורגר</w:t>
      </w:r>
      <w:proofErr w:type="spellEnd"/>
      <w:r>
        <w:rPr>
          <w:rtl/>
        </w:rPr>
        <w:t xml:space="preserve"> (</w:t>
      </w:r>
      <w:proofErr w:type="spellStart"/>
      <w:r>
        <w:rPr>
          <w:rtl/>
        </w:rPr>
        <w:t>בלאזר</w:t>
      </w:r>
      <w:proofErr w:type="spellEnd"/>
      <w:r>
        <w:rPr>
          <w:rtl/>
        </w:rPr>
        <w:t>), לא הוציא מפיו מילה שאינה תורה מראשית אלול ועד אחרי יום הכיפורים. אבי הוסיף: “מלבד צום גדליה, כאשר באו אנשים לביתו והוא מסר שיחה – אבל אלה היו דברי תורה, שמהם לא נמנע, כמובן.”</w:t>
      </w:r>
    </w:p>
    <w:p w14:paraId="7761EB5A" w14:textId="77777777" w:rsidR="00AB3647" w:rsidRDefault="00000000" w:rsidP="007923E9">
      <w:pPr>
        <w:spacing w:before="120" w:after="100" w:line="276" w:lineRule="auto"/>
        <w:jc w:val="both"/>
      </w:pPr>
      <w:r>
        <w:rPr>
          <w:rtl/>
        </w:rPr>
        <w:t>החכם סיפר פעם</w:t>
      </w:r>
      <w:bookmarkStart w:id="4424" w:name="_fnr3295"/>
      <w:r>
        <w:rPr>
          <w:vertAlign w:val="superscript"/>
          <w:rtl/>
        </w:rPr>
        <w:footnoteReference w:id="3303" w:customMarkFollows="0"/>
      </w:r>
      <w:bookmarkEnd w:id="4424"/>
      <w:r>
        <w:rPr>
          <w:rtl/>
        </w:rPr>
        <w:t xml:space="preserve"> שרבו, ר׳ ישראל, הגיע לקובנה פעם אחת באלול ובירכו </w:t>
      </w:r>
      <w:proofErr w:type="spellStart"/>
      <w:r>
        <w:rPr>
          <w:rtl/>
        </w:rPr>
        <w:t>ב“שלום</w:t>
      </w:r>
      <w:proofErr w:type="spellEnd"/>
      <w:r>
        <w:rPr>
          <w:rtl/>
        </w:rPr>
        <w:t xml:space="preserve"> עליכם”, והוא לא השיב. אז אמר ר׳ ישראל: “נפתלי, מותר לך להשיב לברכתי אפילו באמצע קריאת שמע</w:t>
      </w:r>
      <w:bookmarkStart w:id="4425" w:name="_fnr3296"/>
      <w:r>
        <w:rPr>
          <w:vertAlign w:val="superscript"/>
          <w:rtl/>
        </w:rPr>
        <w:footnoteReference w:id="3304" w:customMarkFollows="0"/>
      </w:r>
      <w:bookmarkEnd w:id="4425"/>
      <w:r>
        <w:rPr>
          <w:rtl/>
        </w:rPr>
        <w:t>” – אבל ר׳ נפתלי שמר על שתיקתו.</w:t>
      </w:r>
    </w:p>
    <w:p w14:paraId="028ED409" w14:textId="77777777" w:rsidR="00AB3647" w:rsidRDefault="00000000" w:rsidP="007923E9">
      <w:pPr>
        <w:spacing w:before="120" w:after="100" w:line="276" w:lineRule="auto"/>
        <w:jc w:val="both"/>
      </w:pPr>
      <w:r>
        <w:rPr>
          <w:rtl/>
        </w:rPr>
        <w:t xml:space="preserve">ר׳ שלמה </w:t>
      </w:r>
      <w:proofErr w:type="spellStart"/>
      <w:r>
        <w:rPr>
          <w:rtl/>
        </w:rPr>
        <w:t>פרשווטר</w:t>
      </w:r>
      <w:proofErr w:type="spellEnd"/>
      <w:r>
        <w:rPr>
          <w:rtl/>
        </w:rPr>
        <w:t xml:space="preserve"> סיפר</w:t>
      </w:r>
      <w:bookmarkStart w:id="4426" w:name="_fnr3297"/>
      <w:r>
        <w:rPr>
          <w:vertAlign w:val="superscript"/>
          <w:rtl/>
        </w:rPr>
        <w:footnoteReference w:id="3305" w:customMarkFollows="0"/>
      </w:r>
      <w:bookmarkEnd w:id="4426"/>
      <w:r>
        <w:rPr>
          <w:rtl/>
        </w:rPr>
        <w:t xml:space="preserve"> שאבי סיפר לו את הסיפור בשבת שבה שהו יחד בבר מצווה בטורונטו, </w:t>
      </w:r>
      <w:proofErr w:type="spellStart"/>
      <w:r>
        <w:rPr>
          <w:rtl/>
        </w:rPr>
        <w:t>בתש״ם</w:t>
      </w:r>
      <w:proofErr w:type="spellEnd"/>
      <w:r>
        <w:rPr>
          <w:rtl/>
        </w:rPr>
        <w:t>. ר׳ שלמה היה באמצע קריאת הפרשה</w:t>
      </w:r>
      <w:bookmarkStart w:id="4427" w:name="_fnr3298"/>
      <w:r>
        <w:rPr>
          <w:vertAlign w:val="superscript"/>
          <w:rtl/>
        </w:rPr>
        <w:footnoteReference w:id="3306" w:customMarkFollows="0"/>
      </w:r>
      <w:bookmarkEnd w:id="4427"/>
      <w:r>
        <w:rPr>
          <w:rtl/>
        </w:rPr>
        <w:t xml:space="preserve"> כששאלה אותו </w:t>
      </w:r>
      <w:proofErr w:type="spellStart"/>
      <w:r>
        <w:rPr>
          <w:rtl/>
        </w:rPr>
        <w:t>אמו</w:t>
      </w:r>
      <w:proofErr w:type="spellEnd"/>
      <w:r>
        <w:rPr>
          <w:rtl/>
        </w:rPr>
        <w:t xml:space="preserve"> שאלה, ורבנו ראה אותו מסמן לה שאינו יכול להפסיק את קריאת התורה</w:t>
      </w:r>
      <w:bookmarkStart w:id="4428" w:name="_fnr3299"/>
      <w:r>
        <w:rPr>
          <w:vertAlign w:val="superscript"/>
          <w:rtl/>
        </w:rPr>
        <w:footnoteReference w:id="3307" w:customMarkFollows="0"/>
      </w:r>
      <w:bookmarkEnd w:id="4428"/>
      <w:r>
        <w:rPr>
          <w:rtl/>
        </w:rPr>
        <w:t xml:space="preserve"> כדי להשיב. אחר כך סיפר לו אבי את הסיפור הזה על ר׳ נפתלי ועל תוכחת ר׳ ישראל, ופתח בהתנצלות: “אני אדם זקן ויודע סיפורים רבים.” אבי הוסיף </w:t>
      </w:r>
      <w:proofErr w:type="spellStart"/>
      <w:r>
        <w:rPr>
          <w:rtl/>
        </w:rPr>
        <w:t>שאי־הפסקת</w:t>
      </w:r>
      <w:proofErr w:type="spellEnd"/>
      <w:r>
        <w:rPr>
          <w:rtl/>
        </w:rPr>
        <w:t xml:space="preserve"> קריאת הפרשה אינה חובה</w:t>
      </w:r>
      <w:bookmarkStart w:id="4429" w:name="_fnr3300"/>
      <w:r>
        <w:rPr>
          <w:vertAlign w:val="superscript"/>
          <w:rtl/>
        </w:rPr>
        <w:footnoteReference w:id="3308" w:customMarkFollows="0"/>
      </w:r>
      <w:bookmarkEnd w:id="4429"/>
      <w:r>
        <w:rPr>
          <w:rtl/>
        </w:rPr>
        <w:t>, אלא רק חומרה נוספת</w:t>
      </w:r>
      <w:bookmarkStart w:id="4430" w:name="_fnr3301"/>
      <w:r>
        <w:rPr>
          <w:vertAlign w:val="superscript"/>
          <w:rtl/>
        </w:rPr>
        <w:footnoteReference w:id="3309" w:customMarkFollows="0"/>
      </w:r>
      <w:bookmarkEnd w:id="4430"/>
      <w:r>
        <w:rPr>
          <w:rtl/>
        </w:rPr>
        <w:t>.</w:t>
      </w:r>
    </w:p>
    <w:p w14:paraId="3C6905F5" w14:textId="77777777" w:rsidR="00AB3647" w:rsidRDefault="00000000" w:rsidP="007923E9">
      <w:pPr>
        <w:spacing w:after="120" w:line="276" w:lineRule="auto"/>
        <w:jc w:val="both"/>
      </w:pPr>
      <w:r>
        <w:rPr>
          <w:rtl/>
        </w:rPr>
        <w:t>אבי גם סיפר</w:t>
      </w:r>
      <w:bookmarkStart w:id="4431" w:name="_fnr3302"/>
      <w:r>
        <w:rPr>
          <w:vertAlign w:val="superscript"/>
          <w:rtl/>
        </w:rPr>
        <w:footnoteReference w:id="3310" w:customMarkFollows="0"/>
      </w:r>
      <w:bookmarkEnd w:id="4431"/>
      <w:r>
        <w:rPr>
          <w:rtl/>
        </w:rPr>
        <w:t xml:space="preserve"> – ככל הנראה מניסיונו האישי – שר׳ נפתלי היה אומר למבקרו לא “שב”, אלא “שב </w:t>
      </w:r>
      <w:r>
        <w:rPr>
          <w:b/>
          <w:bCs/>
          <w:rtl/>
        </w:rPr>
        <w:t>אם תרצה</w:t>
      </w:r>
      <w:r>
        <w:rPr>
          <w:rtl/>
        </w:rPr>
        <w:t>”. הוא חש שאם ישמיט את ההסתייגות המודגשת, תחייב הזמנתו לשבת את המבקר להיענות, על פי הכלל “כל מה שיאמר לך בעל הבית, עשה”</w:t>
      </w:r>
      <w:bookmarkStart w:id="4432" w:name="_fnr3303"/>
      <w:r>
        <w:rPr>
          <w:vertAlign w:val="superscript"/>
          <w:rtl/>
        </w:rPr>
        <w:footnoteReference w:id="3311" w:customMarkFollows="0"/>
      </w:r>
      <w:bookmarkEnd w:id="4432"/>
      <w:r>
        <w:rPr>
          <w:rtl/>
        </w:rPr>
        <w:t>, גם אם אינו חש בנוח לעשות זאת.</w:t>
      </w:r>
    </w:p>
    <w:bookmarkStart w:id="4433" w:name="b4_note83"/>
    <w:p w14:paraId="241653B0" w14:textId="77777777" w:rsidR="00AB3647" w:rsidRDefault="00000000" w:rsidP="007923E9">
      <w:pPr>
        <w:spacing w:before="120" w:after="100" w:line="276" w:lineRule="auto"/>
        <w:jc w:val="both"/>
      </w:pPr>
      <w:r>
        <w:fldChar w:fldCharType="begin" w:dirty="true"/>
      </w:r>
      <w:r>
        <w:instrText>HYPERLINK \l "b4_text83" \h</w:instrText>
      </w:r>
      <w:r>
        <w:fldChar w:fldCharType="separate"/>
      </w:r>
      <w:r>
        <w:rPr>
          <w:b/>
          <w:bCs/>
          <w:rtl/>
        </w:rPr>
        <w:t>83</w:t>
      </w:r>
      <w:r>
        <w:rPr>
          <w:b/>
          <w:bCs/>
        </w:rPr>
        <w:fldChar w:fldCharType="end"/>
      </w:r>
      <w:bookmarkEnd w:id="4433"/>
      <w:r>
        <w:rPr>
          <w:rtl/>
        </w:rPr>
        <w:t xml:space="preserve"> מן הפעמים הרבות שבהן דיבר אבי על פגישתו עם ר׳ נפתלי נראה כך: רבו של רבנו היה ונשאר תמיד הסבא </w:t>
      </w:r>
      <w:proofErr w:type="spellStart"/>
      <w:r>
        <w:rPr>
          <w:rtl/>
        </w:rPr>
        <w:t>מסלבודקה</w:t>
      </w:r>
      <w:proofErr w:type="spellEnd"/>
      <w:r>
        <w:rPr>
          <w:rtl/>
        </w:rPr>
        <w:t>, איש הדור השני למוסר. אף על פי כן, המגע של אבי עם ר׳ נפתלי, בן הדור הראשון, תרם תרומה ניכרת להטבעת תורת המוסר במצפונו – וליתר דיוק, להפנמת המוסר כדרך חיים, כפי שהתגלם באותו חכם.</w:t>
      </w:r>
    </w:p>
    <w:p w14:paraId="07953C97" w14:textId="648A8540" w:rsidR="00AB3647" w:rsidRDefault="00000000" w:rsidP="007923E9">
      <w:pPr>
        <w:spacing w:after="120" w:line="276" w:lineRule="auto"/>
        <w:jc w:val="both"/>
      </w:pPr>
      <w:r>
        <w:rPr>
          <w:rtl/>
        </w:rPr>
        <w:t xml:space="preserve">אבי חיקה בעניין זה את רבו, ר׳ </w:t>
      </w:r>
      <w:proofErr w:type="spellStart"/>
      <w:r>
        <w:rPr>
          <w:rtl/>
        </w:rPr>
        <w:t>נתן־צבי</w:t>
      </w:r>
      <w:proofErr w:type="spellEnd"/>
      <w:r>
        <w:rPr>
          <w:rtl/>
        </w:rPr>
        <w:t xml:space="preserve"> </w:t>
      </w:r>
      <w:proofErr w:type="spellStart"/>
      <w:r>
        <w:rPr>
          <w:rtl/>
        </w:rPr>
        <w:t>פינקל</w:t>
      </w:r>
      <w:proofErr w:type="spellEnd"/>
      <w:r>
        <w:rPr>
          <w:rtl/>
        </w:rPr>
        <w:t xml:space="preserve">. הסבא, תלמידו של ר׳ </w:t>
      </w:r>
      <w:proofErr w:type="spellStart"/>
      <w:r>
        <w:rPr>
          <w:rtl/>
        </w:rPr>
        <w:t>שמחה־זיסל</w:t>
      </w:r>
      <w:proofErr w:type="spellEnd"/>
      <w:r>
        <w:rPr>
          <w:rtl/>
        </w:rPr>
        <w:t xml:space="preserve"> זיו מן הדור הראשון למוסר, נזקק לפגישה אישית עם קודמו ורבו של רבו, ר׳ ישראל </w:t>
      </w:r>
      <w:proofErr w:type="spellStart"/>
      <w:r>
        <w:rPr>
          <w:rtl/>
        </w:rPr>
        <w:t>סלנטר</w:t>
      </w:r>
      <w:proofErr w:type="spellEnd"/>
      <w:r>
        <w:rPr>
          <w:rtl/>
        </w:rPr>
        <w:t xml:space="preserve">, כדי להפנים את מסר המוסר – השווה פרק 3, הפסקה השלישית של </w:t>
      </w:r>
      <w:r>
        <w:rPr>
          <w:rtl/>
        </w:rPr>
        <w:fldChar w:fldCharType="begin" w:dirty="true"/>
      </w:r>
      <w:r>
        <w:rPr>
          <w:rtl/>
        </w:rPr>
        <w:instrText xml:space="preserve"> REF b3_excD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ד</w:t>
      </w:r>
      <w:r>
        <w:rPr>
          <w:rtl/>
        </w:rPr>
        <w:fldChar w:fldCharType="end"/>
      </w:r>
      <w:r>
        <w:rPr>
          <w:rtl/>
        </w:rPr>
        <w:t>.</w:t>
      </w:r>
    </w:p>
    <w:p w14:paraId="0342226F" w14:textId="1148DCDB"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lastRenderedPageBreak/>
        <w:t>בתחילת זמן החורף של תרס״ז שקל הסבא לשלוח את אבי, יחד עם תלמידים אחרים מבוגרים ממנו</w:t>
      </w:r>
      <w:bookmarkStart w:id="4434" w:name="b4_text84"/>
      <w:bookmarkEnd w:id="4434"/>
      <w:r>
        <w:rPr>
          <w:sz w:val="18"/>
          <w:szCs w:val="18"/>
          <w:vertAlign w:val="superscript"/>
          <w:rtl/>
        </w:rPr>
        <w:fldChar w:fldCharType="begin" w:dirty="true"/>
      </w:r>
      <w:r>
        <w:rPr>
          <w:sz w:val="18"/>
          <w:szCs w:val="18"/>
          <w:vertAlign w:val="superscript"/>
          <w:rtl/>
        </w:rPr>
        <w:instrText xml:space="preserve"> REF b4_note84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84</w:t>
      </w:r>
      <w:r>
        <w:rPr>
          <w:sz w:val="18"/>
          <w:szCs w:val="18"/>
          <w:vertAlign w:val="superscript"/>
          <w:rtl/>
        </w:rPr>
        <w:fldChar w:fldCharType="end"/>
      </w:r>
      <w:r>
        <w:rPr>
          <w:rtl/>
        </w:rPr>
        <w:t xml:space="preserve">, בשליחות לחזק את קבוצת </w:t>
      </w:r>
      <w:proofErr w:type="spellStart"/>
      <w:r>
        <w:rPr>
          <w:rtl/>
        </w:rPr>
        <w:t>סלבודקה</w:t>
      </w:r>
      <w:proofErr w:type="spellEnd"/>
      <w:r>
        <w:rPr>
          <w:rtl/>
        </w:rPr>
        <w:t xml:space="preserve"> בהנהגת ר׳ שמואל </w:t>
      </w:r>
      <w:proofErr w:type="spellStart"/>
      <w:r>
        <w:rPr>
          <w:rtl/>
        </w:rPr>
        <w:t>פונדילער</w:t>
      </w:r>
      <w:proofErr w:type="spellEnd"/>
      <w:r>
        <w:rPr>
          <w:rtl/>
        </w:rPr>
        <w:t xml:space="preserve">, שיצאה לחזק את ישיבת </w:t>
      </w:r>
      <w:proofErr w:type="spellStart"/>
      <w:r>
        <w:rPr>
          <w:rtl/>
        </w:rPr>
        <w:t>טלז</w:t>
      </w:r>
      <w:proofErr w:type="spellEnd"/>
      <w:r>
        <w:rPr>
          <w:rtl/>
        </w:rPr>
        <w:t xml:space="preserve"> חצי שנה קודם לכן</w:t>
      </w:r>
      <w:bookmarkStart w:id="4435" w:name="b4_text85"/>
      <w:bookmarkEnd w:id="4435"/>
      <w:r>
        <w:rPr>
          <w:sz w:val="18"/>
          <w:szCs w:val="18"/>
          <w:vertAlign w:val="superscript"/>
          <w:rtl/>
        </w:rPr>
        <w:fldChar w:fldCharType="begin" w:dirty="true"/>
      </w:r>
      <w:r>
        <w:rPr>
          <w:sz w:val="18"/>
          <w:szCs w:val="18"/>
          <w:vertAlign w:val="superscript"/>
          <w:rtl/>
        </w:rPr>
        <w:instrText xml:space="preserve"> REF b4_note85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85</w:t>
      </w:r>
      <w:r>
        <w:rPr>
          <w:sz w:val="18"/>
          <w:szCs w:val="18"/>
          <w:vertAlign w:val="superscript"/>
          <w:rtl/>
        </w:rPr>
        <w:fldChar w:fldCharType="end"/>
      </w:r>
      <w:r>
        <w:rPr>
          <w:rtl/>
        </w:rPr>
        <w:t>. אבל הסבא החליט</w:t>
      </w:r>
      <w:bookmarkStart w:id="4436" w:name="b4_text86"/>
      <w:bookmarkEnd w:id="4436"/>
      <w:r>
        <w:rPr>
          <w:sz w:val="18"/>
          <w:szCs w:val="18"/>
          <w:vertAlign w:val="superscript"/>
          <w:rtl/>
        </w:rPr>
        <w:fldChar w:fldCharType="begin" w:dirty="true"/>
      </w:r>
      <w:r>
        <w:rPr>
          <w:sz w:val="18"/>
          <w:szCs w:val="18"/>
          <w:vertAlign w:val="superscript"/>
          <w:rtl/>
        </w:rPr>
        <w:instrText xml:space="preserve"> REF b4_note86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86</w:t>
      </w:r>
      <w:r>
        <w:rPr>
          <w:sz w:val="18"/>
          <w:szCs w:val="18"/>
          <w:vertAlign w:val="superscript"/>
          <w:rtl/>
        </w:rPr>
        <w:fldChar w:fldCharType="end"/>
      </w:r>
      <w:r>
        <w:rPr>
          <w:rtl/>
        </w:rPr>
        <w:t xml:space="preserve"> </w:t>
      </w:r>
      <w:proofErr w:type="spellStart"/>
      <w:r>
        <w:rPr>
          <w:rtl/>
        </w:rPr>
        <w:t>שהדולהינובר</w:t>
      </w:r>
      <w:proofErr w:type="spellEnd"/>
      <w:r>
        <w:rPr>
          <w:rtl/>
        </w:rPr>
        <w:t xml:space="preserve">, בגלל גילו הצעיר, לא יתקבל יפה </w:t>
      </w:r>
      <w:proofErr w:type="spellStart"/>
      <w:r>
        <w:rPr>
          <w:rtl/>
        </w:rPr>
        <w:t>בטלז</w:t>
      </w:r>
      <w:proofErr w:type="spellEnd"/>
      <w:r>
        <w:rPr>
          <w:rtl/>
        </w:rPr>
        <w:t xml:space="preserve">, והוא נשאר </w:t>
      </w:r>
      <w:proofErr w:type="spellStart"/>
      <w:r>
        <w:rPr>
          <w:rtl/>
        </w:rPr>
        <w:t>בסלבודקה</w:t>
      </w:r>
      <w:proofErr w:type="spellEnd"/>
      <w:r>
        <w:rPr>
          <w:rtl/>
        </w:rPr>
        <w:t>, שבה נלמדה באותו זמן מסכת בבא בתרא</w:t>
      </w:r>
      <w:bookmarkStart w:id="4437" w:name="b4_text87"/>
      <w:bookmarkEnd w:id="4437"/>
      <w:r>
        <w:rPr>
          <w:sz w:val="18"/>
          <w:szCs w:val="18"/>
          <w:vertAlign w:val="superscript"/>
          <w:rtl/>
        </w:rPr>
        <w:fldChar w:fldCharType="begin" w:dirty="true"/>
      </w:r>
      <w:r>
        <w:rPr>
          <w:sz w:val="18"/>
          <w:szCs w:val="18"/>
          <w:vertAlign w:val="superscript"/>
          <w:rtl/>
        </w:rPr>
        <w:instrText xml:space="preserve"> REF b4_note87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87</w:t>
      </w:r>
      <w:r>
        <w:rPr>
          <w:sz w:val="18"/>
          <w:szCs w:val="18"/>
          <w:vertAlign w:val="superscript"/>
          <w:rtl/>
        </w:rPr>
        <w:fldChar w:fldCharType="end"/>
      </w:r>
      <w:r>
        <w:rPr>
          <w:rtl/>
        </w:rPr>
        <w:t xml:space="preserve">. בזמן החדש כבר לא נזקק רבנו לעזרה במציאת </w:t>
      </w:r>
      <w:proofErr w:type="spellStart"/>
      <w:r>
        <w:rPr>
          <w:rtl/>
        </w:rPr>
        <w:t>חברותות</w:t>
      </w:r>
      <w:proofErr w:type="spellEnd"/>
      <w:r>
        <w:rPr>
          <w:rtl/>
        </w:rPr>
        <w:t>; להפך, היה עליו להחליט אילו מן ההצעות הרבות לחברותא ידחה.</w:t>
      </w:r>
    </w:p>
    <w:bookmarkStart w:id="4438" w:name="b4_note84"/>
    <w:p w14:paraId="1B2FAAEF" w14:textId="77777777" w:rsidR="00AB3647" w:rsidRDefault="00000000" w:rsidP="007923E9">
      <w:pPr>
        <w:spacing w:before="120" w:after="100" w:line="276" w:lineRule="auto"/>
        <w:jc w:val="both"/>
      </w:pPr>
      <w:r>
        <w:fldChar w:fldCharType="begin" w:dirty="true"/>
      </w:r>
      <w:r>
        <w:instrText>HYPERLINK \l "b4_text84" \h</w:instrText>
      </w:r>
      <w:r>
        <w:fldChar w:fldCharType="separate"/>
      </w:r>
      <w:r>
        <w:rPr>
          <w:b/>
          <w:bCs/>
          <w:rtl/>
        </w:rPr>
        <w:t>84</w:t>
      </w:r>
      <w:r>
        <w:rPr>
          <w:b/>
          <w:bCs/>
        </w:rPr>
        <w:fldChar w:fldCharType="end"/>
      </w:r>
      <w:bookmarkEnd w:id="4438"/>
      <w:r>
        <w:rPr>
          <w:rtl/>
        </w:rPr>
        <w:t xml:space="preserve"> את הידיעה שאבי כמעט נשלח </w:t>
      </w:r>
      <w:proofErr w:type="spellStart"/>
      <w:r>
        <w:rPr>
          <w:rtl/>
        </w:rPr>
        <w:t>לטלז</w:t>
      </w:r>
      <w:proofErr w:type="spellEnd"/>
      <w:r>
        <w:rPr>
          <w:rtl/>
        </w:rPr>
        <w:t xml:space="preserve"> זמן קצר כל כך אחרי בואו, ואת הסיבה שהדבר בוטל, מסר ר׳ </w:t>
      </w:r>
      <w:proofErr w:type="spellStart"/>
      <w:r>
        <w:rPr>
          <w:rtl/>
        </w:rPr>
        <w:t>לייבל</w:t>
      </w:r>
      <w:proofErr w:type="spellEnd"/>
      <w:r>
        <w:rPr>
          <w:rtl/>
        </w:rPr>
        <w:t xml:space="preserve"> </w:t>
      </w:r>
      <w:proofErr w:type="spellStart"/>
      <w:r>
        <w:rPr>
          <w:rtl/>
        </w:rPr>
        <w:t>פרלשטיין</w:t>
      </w:r>
      <w:proofErr w:type="spellEnd"/>
      <w:r>
        <w:rPr>
          <w:rtl/>
        </w:rPr>
        <w:t>, ששמע זאת מפי רבנו</w:t>
      </w:r>
      <w:bookmarkStart w:id="4439" w:name="_fnr3304"/>
      <w:r>
        <w:rPr>
          <w:vertAlign w:val="superscript"/>
          <w:rtl/>
        </w:rPr>
        <w:footnoteReference w:id="3312" w:customMarkFollows="0"/>
      </w:r>
      <w:bookmarkEnd w:id="4439"/>
      <w:r>
        <w:rPr>
          <w:rtl/>
        </w:rPr>
        <w:t>.</w:t>
      </w:r>
    </w:p>
    <w:bookmarkStart w:id="4440" w:name="b4_note85"/>
    <w:p w14:paraId="0EBD458E" w14:textId="77777777" w:rsidR="00AB3647" w:rsidRDefault="00000000" w:rsidP="007923E9">
      <w:pPr>
        <w:spacing w:before="120" w:after="100" w:line="276" w:lineRule="auto"/>
        <w:jc w:val="both"/>
      </w:pPr>
      <w:r>
        <w:fldChar w:fldCharType="begin" w:dirty="true"/>
      </w:r>
      <w:r>
        <w:instrText>HYPERLINK \l "b4_text85" \h</w:instrText>
      </w:r>
      <w:r>
        <w:fldChar w:fldCharType="separate"/>
      </w:r>
      <w:r>
        <w:rPr>
          <w:b/>
          <w:bCs/>
          <w:rtl/>
        </w:rPr>
        <w:t>85</w:t>
      </w:r>
      <w:r>
        <w:rPr>
          <w:b/>
          <w:bCs/>
        </w:rPr>
        <w:fldChar w:fldCharType="end"/>
      </w:r>
      <w:bookmarkEnd w:id="4440"/>
      <w:r>
        <w:rPr>
          <w:rtl/>
        </w:rPr>
        <w:t xml:space="preserve"> ראה בסעיף 2 בפרק זה, בפסקה הפותחת “איזה כאב היה על ר׳ לייזר לשאת”, על שליחת הקבוצה בראשות ר׳ שמואל </w:t>
      </w:r>
      <w:proofErr w:type="spellStart"/>
      <w:r>
        <w:rPr>
          <w:rtl/>
        </w:rPr>
        <w:t>פונדילער</w:t>
      </w:r>
      <w:proofErr w:type="spellEnd"/>
      <w:r>
        <w:rPr>
          <w:rtl/>
        </w:rPr>
        <w:t>.</w:t>
      </w:r>
    </w:p>
    <w:bookmarkStart w:id="4441" w:name="b4_note86"/>
    <w:p w14:paraId="0E2221F2" w14:textId="77777777" w:rsidR="00AB3647" w:rsidRDefault="00000000" w:rsidP="007923E9">
      <w:pPr>
        <w:spacing w:before="120" w:after="100" w:line="276" w:lineRule="auto"/>
        <w:jc w:val="both"/>
      </w:pPr>
      <w:r>
        <w:fldChar w:fldCharType="begin" w:dirty="true"/>
      </w:r>
      <w:r>
        <w:instrText>HYPERLINK \l "b4_text86" \h</w:instrText>
      </w:r>
      <w:r>
        <w:fldChar w:fldCharType="separate"/>
      </w:r>
      <w:r>
        <w:rPr>
          <w:b/>
          <w:bCs/>
          <w:rtl/>
        </w:rPr>
        <w:t>86</w:t>
      </w:r>
      <w:r>
        <w:rPr>
          <w:b/>
          <w:bCs/>
        </w:rPr>
        <w:fldChar w:fldCharType="end"/>
      </w:r>
      <w:bookmarkEnd w:id="4441"/>
      <w:r>
        <w:rPr>
          <w:rtl/>
        </w:rPr>
        <w:t xml:space="preserve"> לפי ר׳ </w:t>
      </w:r>
      <w:proofErr w:type="spellStart"/>
      <w:r>
        <w:rPr>
          <w:rtl/>
        </w:rPr>
        <w:t>לייבל</w:t>
      </w:r>
      <w:proofErr w:type="spellEnd"/>
      <w:r>
        <w:rPr>
          <w:rtl/>
        </w:rPr>
        <w:t xml:space="preserve"> </w:t>
      </w:r>
      <w:proofErr w:type="spellStart"/>
      <w:r>
        <w:rPr>
          <w:rtl/>
        </w:rPr>
        <w:t>פרלשטיין</w:t>
      </w:r>
      <w:proofErr w:type="spellEnd"/>
      <w:r>
        <w:rPr>
          <w:rtl/>
        </w:rPr>
        <w:t>, שינה הסבא את דעתו כשאבי כבר היה באמצע ההכנות לצאת עם האחרים. אבי השתמש בלשון התלמוד ושאל את הסבא: “מעיקרא מאי סברת?</w:t>
      </w:r>
      <w:bookmarkStart w:id="4442" w:name="_fnr3305"/>
      <w:r>
        <w:rPr>
          <w:vertAlign w:val="superscript"/>
          <w:rtl/>
        </w:rPr>
        <w:footnoteReference w:id="3313" w:customMarkFollows="0"/>
      </w:r>
      <w:bookmarkEnd w:id="4442"/>
      <w:r>
        <w:rPr>
          <w:rtl/>
        </w:rPr>
        <w:t xml:space="preserve">” ר׳ </w:t>
      </w:r>
      <w:proofErr w:type="spellStart"/>
      <w:r>
        <w:rPr>
          <w:rtl/>
        </w:rPr>
        <w:t>נתן־צבי</w:t>
      </w:r>
      <w:proofErr w:type="spellEnd"/>
      <w:r>
        <w:rPr>
          <w:rtl/>
        </w:rPr>
        <w:t xml:space="preserve"> </w:t>
      </w:r>
      <w:proofErr w:type="spellStart"/>
      <w:r>
        <w:rPr>
          <w:rtl/>
        </w:rPr>
        <w:t>פינקל</w:t>
      </w:r>
      <w:proofErr w:type="spellEnd"/>
      <w:r>
        <w:rPr>
          <w:rtl/>
        </w:rPr>
        <w:t xml:space="preserve"> השיב: “חשבתי עליך למרות גילך, משום שאתה </w:t>
      </w:r>
      <w:proofErr w:type="spellStart"/>
      <w:r>
        <w:rPr>
          <w:rtl/>
        </w:rPr>
        <w:t>מוסטער</w:t>
      </w:r>
      <w:proofErr w:type="spellEnd"/>
      <w:r>
        <w:rPr>
          <w:rtl/>
        </w:rPr>
        <w:t xml:space="preserve"> [דגם] של מוסר</w:t>
      </w:r>
      <w:bookmarkStart w:id="4443" w:name="_fnr3306"/>
      <w:r>
        <w:rPr>
          <w:vertAlign w:val="superscript"/>
          <w:rtl/>
        </w:rPr>
        <w:footnoteReference w:id="3314" w:customMarkFollows="0"/>
      </w:r>
      <w:bookmarkEnd w:id="4443"/>
      <w:r>
        <w:rPr>
          <w:rtl/>
        </w:rPr>
        <w:t>.”</w:t>
      </w:r>
    </w:p>
    <w:bookmarkStart w:id="4444" w:name="b4_note87"/>
    <w:p w14:paraId="4E7CEDB8" w14:textId="77777777" w:rsidR="00AB3647" w:rsidRDefault="00000000" w:rsidP="007923E9">
      <w:pPr>
        <w:spacing w:before="120" w:after="100" w:line="276" w:lineRule="auto"/>
        <w:jc w:val="both"/>
      </w:pPr>
      <w:r>
        <w:fldChar w:fldCharType="begin" w:dirty="true"/>
      </w:r>
      <w:r>
        <w:instrText>HYPERLINK \l "b4_text87" \h</w:instrText>
      </w:r>
      <w:r>
        <w:fldChar w:fldCharType="separate"/>
      </w:r>
      <w:r>
        <w:rPr>
          <w:b/>
          <w:bCs/>
          <w:rtl/>
        </w:rPr>
        <w:t>87</w:t>
      </w:r>
      <w:r>
        <w:rPr>
          <w:b/>
          <w:bCs/>
        </w:rPr>
        <w:fldChar w:fldCharType="end"/>
      </w:r>
      <w:bookmarkEnd w:id="4444"/>
      <w:r>
        <w:rPr>
          <w:rtl/>
        </w:rPr>
        <w:t xml:space="preserve"> מתוך רשימות ביוגרפיות</w:t>
      </w:r>
      <w:bookmarkStart w:id="4445" w:name="_fnr3307"/>
      <w:r>
        <w:rPr>
          <w:vertAlign w:val="superscript"/>
          <w:rtl/>
        </w:rPr>
        <w:footnoteReference w:id="3315" w:customMarkFollows="0"/>
      </w:r>
      <w:bookmarkEnd w:id="4445"/>
      <w:r>
        <w:rPr>
          <w:rtl/>
        </w:rPr>
        <w:t>.</w:t>
      </w:r>
    </w:p>
    <w:p w14:paraId="29B89D83" w14:textId="334D6E6A"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באותו סתיו גילה שהוא קצר רואי: בלילה זרוע כוכבים הציע לו חבר, לשם שעשוע, לנסות את משקפיו, וכשהרכיב אותם ראה כוכבים רבים יותר מכפי שראה בכל חייו</w:t>
      </w:r>
      <w:bookmarkStart w:id="4446" w:name="b4_text88"/>
      <w:bookmarkEnd w:id="4446"/>
      <w:r>
        <w:rPr>
          <w:sz w:val="18"/>
          <w:szCs w:val="18"/>
          <w:vertAlign w:val="superscript"/>
          <w:rtl/>
        </w:rPr>
        <w:fldChar w:fldCharType="begin" w:dirty="true"/>
      </w:r>
      <w:r>
        <w:rPr>
          <w:sz w:val="18"/>
          <w:szCs w:val="18"/>
          <w:vertAlign w:val="superscript"/>
          <w:rtl/>
        </w:rPr>
        <w:instrText xml:space="preserve"> REF b4_note88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88</w:t>
      </w:r>
      <w:r>
        <w:rPr>
          <w:sz w:val="18"/>
          <w:szCs w:val="18"/>
          <w:vertAlign w:val="superscript"/>
          <w:rtl/>
        </w:rPr>
        <w:fldChar w:fldCharType="end"/>
      </w:r>
      <w:r>
        <w:rPr>
          <w:rtl/>
        </w:rPr>
        <w:t>. הוא הבין שסבל מקוצר ראייה מאז ינקותו, אבל לא היה בידו לעשות דבר לתיקון ראייתו עד שיבקר אצל הוריו במינסק בפסח.</w:t>
      </w:r>
    </w:p>
    <w:bookmarkStart w:id="4447" w:name="pr_b_1916"/>
    <w:bookmarkStart w:id="4448" w:name="b4_note88"/>
    <w:bookmarkEnd w:id="4447"/>
    <w:p w14:paraId="2A7F731F" w14:textId="77777777" w:rsidR="00AB3647" w:rsidRDefault="00000000" w:rsidP="007923E9">
      <w:pPr>
        <w:spacing w:before="120" w:after="100" w:line="276" w:lineRule="auto"/>
        <w:jc w:val="both"/>
      </w:pPr>
      <w:r>
        <w:fldChar w:fldCharType="begin" w:dirty="true"/>
      </w:r>
      <w:r>
        <w:instrText>HYPERLINK \l "b4_text88" \h</w:instrText>
      </w:r>
      <w:r>
        <w:fldChar w:fldCharType="separate"/>
      </w:r>
      <w:r>
        <w:rPr>
          <w:b/>
          <w:bCs/>
          <w:rtl/>
        </w:rPr>
        <w:t>88</w:t>
      </w:r>
      <w:r>
        <w:rPr>
          <w:b/>
          <w:bCs/>
        </w:rPr>
        <w:fldChar w:fldCharType="end"/>
      </w:r>
      <w:bookmarkEnd w:id="4448"/>
      <w:r>
        <w:rPr>
          <w:rtl/>
        </w:rPr>
        <w:t xml:space="preserve"> בביקורו בקריית נוער בירושלים בחורף תשמ״א הוצג אבי לפני אופטיקאי שהיה מעורב בתוכנית לבדיקות עיניים לתלמידי ישיבות. אבי סיפר לו כיצד עמד מניסיונו שלו על הצורך בכך, ותיאר את תחושתו כשניסה את משקפי חברו: “הייתה בהירות כזאת, חשבתי שאני רואה חזיון</w:t>
      </w:r>
      <w:bookmarkStart w:id="4449" w:name="_fnr3308"/>
      <w:r>
        <w:rPr>
          <w:vertAlign w:val="superscript"/>
          <w:rtl/>
        </w:rPr>
        <w:footnoteReference w:id="3316" w:customMarkFollows="0"/>
      </w:r>
      <w:bookmarkEnd w:id="4449"/>
      <w:r>
        <w:rPr>
          <w:rtl/>
        </w:rPr>
        <w:t>.”</w:t>
      </w:r>
    </w:p>
    <w:p w14:paraId="76703F81" w14:textId="40AAC422"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 xml:space="preserve">בעונות הסתיו והחורף התרחב הבוץ </w:t>
      </w:r>
      <w:proofErr w:type="spellStart"/>
      <w:r>
        <w:rPr>
          <w:rtl/>
        </w:rPr>
        <w:t>בסלבודקה</w:t>
      </w:r>
      <w:proofErr w:type="spellEnd"/>
      <w:r>
        <w:rPr>
          <w:rtl/>
        </w:rPr>
        <w:t xml:space="preserve"> והעמיק, עד שלא היה אפשר לעבור ברחובות</w:t>
      </w:r>
      <w:bookmarkStart w:id="4450" w:name="b4_text89"/>
      <w:bookmarkEnd w:id="4450"/>
      <w:r>
        <w:rPr>
          <w:sz w:val="18"/>
          <w:szCs w:val="18"/>
          <w:vertAlign w:val="superscript"/>
          <w:rtl/>
        </w:rPr>
        <w:fldChar w:fldCharType="begin" w:dirty="true"/>
      </w:r>
      <w:r>
        <w:rPr>
          <w:sz w:val="18"/>
          <w:szCs w:val="18"/>
          <w:vertAlign w:val="superscript"/>
          <w:rtl/>
        </w:rPr>
        <w:instrText xml:space="preserve"> REF b4_note89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89</w:t>
      </w:r>
      <w:r>
        <w:rPr>
          <w:sz w:val="18"/>
          <w:szCs w:val="18"/>
          <w:vertAlign w:val="superscript"/>
          <w:rtl/>
        </w:rPr>
        <w:fldChar w:fldCharType="end"/>
      </w:r>
      <w:r>
        <w:rPr>
          <w:rtl/>
        </w:rPr>
        <w:t>. אבל בתקופה זו של השנה נהנו בחורי הישיבה לראות שני מבקרים נכבדים. האחד היה ר׳ לייזר גורדון</w:t>
      </w:r>
      <w:bookmarkStart w:id="4451" w:name="b4_text90"/>
      <w:bookmarkEnd w:id="4451"/>
      <w:r>
        <w:rPr>
          <w:sz w:val="18"/>
          <w:szCs w:val="18"/>
          <w:vertAlign w:val="superscript"/>
          <w:rtl/>
        </w:rPr>
        <w:fldChar w:fldCharType="begin" w:dirty="true"/>
      </w:r>
      <w:r>
        <w:rPr>
          <w:sz w:val="18"/>
          <w:szCs w:val="18"/>
          <w:vertAlign w:val="superscript"/>
          <w:rtl/>
        </w:rPr>
        <w:instrText xml:space="preserve"> REF b4_note90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90</w:t>
      </w:r>
      <w:r>
        <w:rPr>
          <w:sz w:val="18"/>
          <w:szCs w:val="18"/>
          <w:vertAlign w:val="superscript"/>
          <w:rtl/>
        </w:rPr>
        <w:fldChar w:fldCharType="end"/>
      </w:r>
      <w:r>
        <w:rPr>
          <w:rtl/>
        </w:rPr>
        <w:t>, שאהבתו ללימוד התורה הייתה לשם דבר</w:t>
      </w:r>
      <w:bookmarkStart w:id="4452" w:name="b4_text91"/>
      <w:bookmarkEnd w:id="4452"/>
      <w:r>
        <w:rPr>
          <w:sz w:val="18"/>
          <w:szCs w:val="18"/>
          <w:vertAlign w:val="superscript"/>
          <w:rtl/>
        </w:rPr>
        <w:fldChar w:fldCharType="begin" w:dirty="true"/>
      </w:r>
      <w:r>
        <w:rPr>
          <w:sz w:val="18"/>
          <w:szCs w:val="18"/>
          <w:vertAlign w:val="superscript"/>
          <w:rtl/>
        </w:rPr>
        <w:instrText xml:space="preserve"> REF b4_note91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91</w:t>
      </w:r>
      <w:r>
        <w:rPr>
          <w:sz w:val="18"/>
          <w:szCs w:val="18"/>
          <w:vertAlign w:val="superscript"/>
          <w:rtl/>
        </w:rPr>
        <w:fldChar w:fldCharType="end"/>
      </w:r>
      <w:r>
        <w:rPr>
          <w:rtl/>
        </w:rPr>
        <w:t xml:space="preserve">. הוא היה בדרכו לווילנה לפגוש את ר׳ </w:t>
      </w:r>
      <w:proofErr w:type="spellStart"/>
      <w:r>
        <w:rPr>
          <w:rtl/>
        </w:rPr>
        <w:t>חיים־עוזר</w:t>
      </w:r>
      <w:proofErr w:type="spellEnd"/>
      <w:r>
        <w:rPr>
          <w:rtl/>
        </w:rPr>
        <w:t xml:space="preserve"> </w:t>
      </w:r>
      <w:proofErr w:type="spellStart"/>
      <w:r>
        <w:rPr>
          <w:rtl/>
        </w:rPr>
        <w:t>גרודזנסקי</w:t>
      </w:r>
      <w:proofErr w:type="spellEnd"/>
      <w:r>
        <w:rPr>
          <w:rtl/>
        </w:rPr>
        <w:t>, וניצל את מעברו בעיר</w:t>
      </w:r>
      <w:r>
        <w:rPr>
          <w:sz w:val="18"/>
          <w:szCs w:val="18"/>
          <w:vertAlign w:val="superscript"/>
          <w:rtl/>
        </w:rPr>
        <w:fldChar w:fldCharType="begin" w:dirty="true"/>
      </w:r>
      <w:r>
        <w:rPr>
          <w:sz w:val="18"/>
          <w:szCs w:val="18"/>
          <w:vertAlign w:val="superscript"/>
          <w:rtl/>
        </w:rPr>
        <w:instrText xml:space="preserve"> REF b4_note90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90</w:t>
      </w:r>
      <w:r>
        <w:rPr>
          <w:sz w:val="18"/>
          <w:szCs w:val="18"/>
          <w:vertAlign w:val="superscript"/>
          <w:rtl/>
        </w:rPr>
        <w:fldChar w:fldCharType="end"/>
      </w:r>
      <w:r>
        <w:rPr>
          <w:rtl/>
        </w:rPr>
        <w:t xml:space="preserve"> כדי לעדכן את ר׳ </w:t>
      </w:r>
      <w:proofErr w:type="spellStart"/>
      <w:r>
        <w:rPr>
          <w:rtl/>
        </w:rPr>
        <w:t>נתן־צבי</w:t>
      </w:r>
      <w:proofErr w:type="spellEnd"/>
      <w:r>
        <w:rPr>
          <w:rtl/>
        </w:rPr>
        <w:t xml:space="preserve"> </w:t>
      </w:r>
      <w:proofErr w:type="spellStart"/>
      <w:r>
        <w:rPr>
          <w:rtl/>
        </w:rPr>
        <w:t>פינקל</w:t>
      </w:r>
      <w:proofErr w:type="spellEnd"/>
      <w:r>
        <w:rPr>
          <w:rtl/>
        </w:rPr>
        <w:t xml:space="preserve"> </w:t>
      </w:r>
      <w:r>
        <w:rPr>
          <w:rtl/>
        </w:rPr>
        <w:lastRenderedPageBreak/>
        <w:t xml:space="preserve">במצב ישיבת </w:t>
      </w:r>
      <w:proofErr w:type="spellStart"/>
      <w:r>
        <w:rPr>
          <w:rtl/>
        </w:rPr>
        <w:t>טלז</w:t>
      </w:r>
      <w:proofErr w:type="spellEnd"/>
      <w:r>
        <w:rPr>
          <w:rtl/>
        </w:rPr>
        <w:t xml:space="preserve">. הישיבה </w:t>
      </w:r>
      <w:proofErr w:type="spellStart"/>
      <w:r>
        <w:rPr>
          <w:rtl/>
        </w:rPr>
        <w:t>בטלז</w:t>
      </w:r>
      <w:proofErr w:type="spellEnd"/>
      <w:r>
        <w:rPr>
          <w:rtl/>
        </w:rPr>
        <w:t xml:space="preserve"> עברה מאורעות דרמטיים רבים מאז נעשה ר׳ לייזר לרב ולראש ישיבה שם, עשרים ושלוש שנה קודם לכן.</w:t>
      </w:r>
    </w:p>
    <w:bookmarkStart w:id="4453" w:name="b4_note89"/>
    <w:p w14:paraId="4B41307F" w14:textId="7233109C" w:rsidR="00AB3647" w:rsidRDefault="00000000" w:rsidP="007923E9">
      <w:pPr>
        <w:spacing w:before="120" w:after="100" w:line="276" w:lineRule="auto"/>
        <w:jc w:val="both"/>
      </w:pPr>
      <w:r>
        <w:fldChar w:fldCharType="begin" w:dirty="true"/>
      </w:r>
      <w:r>
        <w:instrText>HYPERLINK \l "b4_text89" \h</w:instrText>
      </w:r>
      <w:r>
        <w:fldChar w:fldCharType="separate"/>
      </w:r>
      <w:r>
        <w:rPr>
          <w:b/>
          <w:bCs/>
          <w:rtl/>
        </w:rPr>
        <w:t>89</w:t>
      </w:r>
      <w:r>
        <w:rPr>
          <w:b/>
          <w:bCs/>
        </w:rPr>
        <w:fldChar w:fldCharType="end"/>
      </w:r>
      <w:bookmarkEnd w:id="4453"/>
      <w:r>
        <w:rPr>
          <w:rtl/>
        </w:rPr>
        <w:t xml:space="preserve"> התיאור הזה לקוח ממאמרו של </w:t>
      </w:r>
      <w:proofErr w:type="spellStart"/>
      <w:r>
        <w:rPr>
          <w:rtl/>
        </w:rPr>
        <w:t>הירש־לייב</w:t>
      </w:r>
      <w:proofErr w:type="spellEnd"/>
      <w:r>
        <w:rPr>
          <w:rtl/>
        </w:rPr>
        <w:t xml:space="preserve"> גורדון “על גדות </w:t>
      </w:r>
      <w:proofErr w:type="spellStart"/>
      <w:r>
        <w:rPr>
          <w:rtl/>
        </w:rPr>
        <w:t>הוויליה</w:t>
      </w:r>
      <w:proofErr w:type="spellEnd"/>
      <w:r>
        <w:rPr>
          <w:rtl/>
        </w:rPr>
        <w:t xml:space="preserve"> </w:t>
      </w:r>
      <w:proofErr w:type="spellStart"/>
      <w:r>
        <w:rPr>
          <w:rtl/>
        </w:rPr>
        <w:t>והנימן</w:t>
      </w:r>
      <w:proofErr w:type="spellEnd"/>
      <w:r>
        <w:rPr>
          <w:rtl/>
        </w:rPr>
        <w:t xml:space="preserve">” </w:t>
      </w:r>
      <w:proofErr w:type="spellStart"/>
      <w:r>
        <w:rPr>
          <w:rtl/>
        </w:rPr>
        <w:t>ב“הדואר</w:t>
      </w:r>
      <w:proofErr w:type="spellEnd"/>
      <w:r>
        <w:rPr>
          <w:rtl/>
        </w:rPr>
        <w:t>”</w:t>
      </w:r>
      <w:bookmarkStart w:id="4454" w:name="_fnr3309"/>
      <w:r>
        <w:rPr>
          <w:vertAlign w:val="superscript"/>
          <w:rtl/>
        </w:rPr>
        <w:footnoteReference w:id="3317" w:customMarkFollows="0"/>
      </w:r>
      <w:bookmarkEnd w:id="4454"/>
      <w:r>
        <w:rPr>
          <w:rtl/>
        </w:rPr>
        <w:t xml:space="preserve">. (ראה פרק 3, הערה </w:t>
      </w:r>
      <w:r>
        <w:rPr>
          <w:rtl/>
        </w:rPr>
        <w:fldChar w:fldCharType="begin" w:dirty="true"/>
      </w:r>
      <w:r>
        <w:rPr>
          <w:rtl/>
        </w:rPr>
        <w:instrText xml:space="preserve"> REF b3_note72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72</w:t>
      </w:r>
      <w:r>
        <w:rPr>
          <w:rtl/>
        </w:rPr>
        <w:fldChar w:fldCharType="end"/>
      </w:r>
      <w:r>
        <w:rPr>
          <w:rtl/>
        </w:rPr>
        <w:t>.)</w:t>
      </w:r>
    </w:p>
    <w:bookmarkStart w:id="4455" w:name="b4_note90"/>
    <w:p w14:paraId="1EEE6310" w14:textId="2C111CB8" w:rsidR="00AB3647" w:rsidRDefault="00000000" w:rsidP="007923E9">
      <w:pPr>
        <w:spacing w:before="120" w:after="100" w:line="276" w:lineRule="auto"/>
        <w:jc w:val="both"/>
      </w:pPr>
      <w:r>
        <w:fldChar w:fldCharType="begin" w:dirty="true"/>
      </w:r>
      <w:r>
        <w:instrText>HYPERLINK \l "b4_text90" \h</w:instrText>
      </w:r>
      <w:r>
        <w:fldChar w:fldCharType="separate"/>
      </w:r>
      <w:r>
        <w:rPr>
          <w:b/>
          <w:bCs/>
          <w:rtl/>
        </w:rPr>
        <w:t>90</w:t>
      </w:r>
      <w:r>
        <w:rPr>
          <w:b/>
          <w:bCs/>
        </w:rPr>
        <w:fldChar w:fldCharType="end"/>
      </w:r>
      <w:bookmarkEnd w:id="4455"/>
      <w:r>
        <w:rPr>
          <w:rtl/>
        </w:rPr>
        <w:t xml:space="preserve"> ראה </w:t>
      </w:r>
      <w:r>
        <w:rPr>
          <w:rtl/>
        </w:rPr>
        <w:fldChar w:fldCharType="begin" w:dirty="true"/>
      </w:r>
      <w:r>
        <w:rPr>
          <w:rtl/>
        </w:rPr>
        <w:instrText xml:space="preserve"> REF b4_excK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יא</w:t>
      </w:r>
      <w:r>
        <w:rPr>
          <w:rtl/>
        </w:rPr>
        <w:fldChar w:fldCharType="end"/>
      </w:r>
      <w:r>
        <w:rPr>
          <w:rtl/>
        </w:rPr>
        <w:t>.</w:t>
      </w:r>
    </w:p>
    <w:bookmarkStart w:id="4456" w:name="b4_note91"/>
    <w:p w14:paraId="3A5B1802" w14:textId="77777777" w:rsidR="00AB3647" w:rsidRDefault="00000000" w:rsidP="007923E9">
      <w:pPr>
        <w:spacing w:before="120" w:after="100" w:line="276" w:lineRule="auto"/>
        <w:jc w:val="both"/>
      </w:pPr>
      <w:r>
        <w:fldChar w:fldCharType="begin" w:dirty="true"/>
      </w:r>
      <w:r>
        <w:instrText>HYPERLINK \l "b4_text91" \h</w:instrText>
      </w:r>
      <w:r>
        <w:fldChar w:fldCharType="separate"/>
      </w:r>
      <w:r>
        <w:rPr>
          <w:b/>
          <w:bCs/>
          <w:rtl/>
        </w:rPr>
        <w:t>91</w:t>
      </w:r>
      <w:r>
        <w:rPr>
          <w:b/>
          <w:bCs/>
        </w:rPr>
        <w:fldChar w:fldCharType="end"/>
      </w:r>
      <w:bookmarkEnd w:id="4456"/>
      <w:r>
        <w:rPr>
          <w:rtl/>
        </w:rPr>
        <w:t xml:space="preserve"> </w:t>
      </w:r>
      <w:proofErr w:type="spellStart"/>
      <w:r>
        <w:rPr>
          <w:rtl/>
        </w:rPr>
        <w:t>רבינר</w:t>
      </w:r>
      <w:proofErr w:type="spellEnd"/>
      <w:r>
        <w:rPr>
          <w:rtl/>
        </w:rPr>
        <w:t>, “הגאון רבי אליעזר גורדון”</w:t>
      </w:r>
      <w:bookmarkStart w:id="4457" w:name="_fnr3310"/>
      <w:r>
        <w:rPr>
          <w:vertAlign w:val="superscript"/>
          <w:rtl/>
        </w:rPr>
        <w:footnoteReference w:id="3318" w:customMarkFollows="0"/>
      </w:r>
      <w:bookmarkEnd w:id="4457"/>
      <w:r>
        <w:rPr>
          <w:rtl/>
        </w:rPr>
        <w:t xml:space="preserve"> מביא מכתב ששלח ר׳ </w:t>
      </w:r>
      <w:proofErr w:type="spellStart"/>
      <w:r>
        <w:rPr>
          <w:rtl/>
        </w:rPr>
        <w:t>יחיאל־יעקב</w:t>
      </w:r>
      <w:proofErr w:type="spellEnd"/>
      <w:r>
        <w:rPr>
          <w:rtl/>
        </w:rPr>
        <w:t xml:space="preserve"> ויינברג</w:t>
      </w:r>
      <w:bookmarkStart w:id="4458" w:name="_fnr3311"/>
      <w:r>
        <w:rPr>
          <w:vertAlign w:val="superscript"/>
          <w:rtl/>
        </w:rPr>
        <w:footnoteReference w:id="3319" w:customMarkFollows="0"/>
      </w:r>
      <w:bookmarkEnd w:id="4458"/>
      <w:r>
        <w:rPr>
          <w:rtl/>
        </w:rPr>
        <w:t xml:space="preserve"> </w:t>
      </w:r>
      <w:proofErr w:type="spellStart"/>
      <w:r>
        <w:rPr>
          <w:rtl/>
        </w:rPr>
        <w:t>לר</w:t>
      </w:r>
      <w:proofErr w:type="spellEnd"/>
      <w:r>
        <w:rPr>
          <w:rtl/>
        </w:rPr>
        <w:t xml:space="preserve">׳ </w:t>
      </w:r>
      <w:proofErr w:type="spellStart"/>
      <w:r>
        <w:rPr>
          <w:rtl/>
        </w:rPr>
        <w:t>זאב־אריה</w:t>
      </w:r>
      <w:proofErr w:type="spellEnd"/>
      <w:r>
        <w:rPr>
          <w:rtl/>
        </w:rPr>
        <w:t xml:space="preserve"> </w:t>
      </w:r>
      <w:proofErr w:type="spellStart"/>
      <w:r>
        <w:rPr>
          <w:rtl/>
        </w:rPr>
        <w:t>רבינר</w:t>
      </w:r>
      <w:proofErr w:type="spellEnd"/>
      <w:r>
        <w:rPr>
          <w:rtl/>
        </w:rPr>
        <w:t xml:space="preserve">, מחבר הספר. ר׳ </w:t>
      </w:r>
      <w:proofErr w:type="spellStart"/>
      <w:r>
        <w:rPr>
          <w:rtl/>
        </w:rPr>
        <w:t>יחיאל־יעקב</w:t>
      </w:r>
      <w:proofErr w:type="spellEnd"/>
      <w:r>
        <w:rPr>
          <w:rtl/>
        </w:rPr>
        <w:t xml:space="preserve"> מתאר בו פגישה אחת שהייתה לו עם ר׳ לייזר גורדון, כשפגש במקרה את הגאון הגדול בתחנת הרכבת בקניגסברג. ר׳ לייזר אמר לו: “שמעתי שיש לך </w:t>
      </w:r>
      <w:proofErr w:type="spellStart"/>
      <w:r>
        <w:rPr>
          <w:rtl/>
        </w:rPr>
        <w:t>גוטע</w:t>
      </w:r>
      <w:proofErr w:type="spellEnd"/>
      <w:r>
        <w:rPr>
          <w:rtl/>
        </w:rPr>
        <w:t xml:space="preserve"> </w:t>
      </w:r>
      <w:proofErr w:type="spellStart"/>
      <w:r>
        <w:rPr>
          <w:rtl/>
        </w:rPr>
        <w:t>קעפל</w:t>
      </w:r>
      <w:proofErr w:type="spellEnd"/>
      <w:r>
        <w:rPr>
          <w:rtl/>
        </w:rPr>
        <w:t xml:space="preserve"> [ראש טוב]; אשאל אותך שאלה [תלמודית].” כשהציע ר׳ </w:t>
      </w:r>
      <w:proofErr w:type="spellStart"/>
      <w:r>
        <w:rPr>
          <w:rtl/>
        </w:rPr>
        <w:t>יחיאל־יעקב</w:t>
      </w:r>
      <w:proofErr w:type="spellEnd"/>
      <w:r>
        <w:rPr>
          <w:rtl/>
        </w:rPr>
        <w:t xml:space="preserve"> ויינברג תשובה, ר׳ לייזר “נישק [אותו] באהבה על מצחו”. הכותב מסיים במילים: “אהבתו [של ר׳ לייזר גורדון] לתורה וללומדיה הייתה ללא גבול.” אבי כינה את ר׳ לייזר “אוהב התורה” הגדול בדורו. לפי ר׳ אברהם שושנה</w:t>
      </w:r>
      <w:bookmarkStart w:id="4459" w:name="_fnr3312"/>
      <w:r>
        <w:rPr>
          <w:vertAlign w:val="superscript"/>
          <w:rtl/>
        </w:rPr>
        <w:footnoteReference w:id="3320" w:customMarkFollows="0"/>
      </w:r>
      <w:bookmarkEnd w:id="4459"/>
      <w:r>
        <w:rPr>
          <w:rtl/>
        </w:rPr>
        <w:t xml:space="preserve">, “מסופר” שר׳ חיים </w:t>
      </w:r>
      <w:proofErr w:type="spellStart"/>
      <w:r>
        <w:rPr>
          <w:rtl/>
        </w:rPr>
        <w:t>סולובייצ׳יק</w:t>
      </w:r>
      <w:proofErr w:type="spellEnd"/>
      <w:r>
        <w:rPr>
          <w:rtl/>
        </w:rPr>
        <w:t xml:space="preserve"> העניק </w:t>
      </w:r>
      <w:proofErr w:type="spellStart"/>
      <w:r>
        <w:rPr>
          <w:rtl/>
        </w:rPr>
        <w:t>לר</w:t>
      </w:r>
      <w:proofErr w:type="spellEnd"/>
      <w:r>
        <w:rPr>
          <w:rtl/>
        </w:rPr>
        <w:t xml:space="preserve">׳ לייזר גורדון את התואר הזה </w:t>
      </w:r>
      <w:proofErr w:type="spellStart"/>
      <w:r>
        <w:rPr>
          <w:rtl/>
        </w:rPr>
        <w:t>בתרס״א</w:t>
      </w:r>
      <w:proofErr w:type="spellEnd"/>
      <w:r>
        <w:rPr>
          <w:rtl/>
        </w:rPr>
        <w:t xml:space="preserve">, כשהסביר מדוע בחר בו, מבין כל הרבנים הגדולים שנכחו, לכבוד סידור הקידושין בחתונת בנו ר׳ משה </w:t>
      </w:r>
      <w:proofErr w:type="spellStart"/>
      <w:r>
        <w:rPr>
          <w:rtl/>
        </w:rPr>
        <w:t>בפרוז׳ני</w:t>
      </w:r>
      <w:proofErr w:type="spellEnd"/>
      <w:r>
        <w:rPr>
          <w:rtl/>
        </w:rPr>
        <w:t>.</w:t>
      </w:r>
    </w:p>
    <w:p w14:paraId="53B4CB3C" w14:textId="77777777" w:rsidR="00AB3647" w:rsidRDefault="00000000" w:rsidP="007923E9">
      <w:pPr>
        <w:spacing w:before="120" w:after="100" w:line="276" w:lineRule="auto"/>
        <w:jc w:val="both"/>
      </w:pPr>
      <w:r>
        <w:rPr>
          <w:rtl/>
        </w:rPr>
        <w:t xml:space="preserve">ר׳ חיים </w:t>
      </w:r>
      <w:proofErr w:type="spellStart"/>
      <w:r>
        <w:rPr>
          <w:rtl/>
        </w:rPr>
        <w:t>וולקין</w:t>
      </w:r>
      <w:proofErr w:type="spellEnd"/>
      <w:r>
        <w:rPr>
          <w:rtl/>
        </w:rPr>
        <w:t xml:space="preserve"> סיפר</w:t>
      </w:r>
      <w:bookmarkStart w:id="4460" w:name="_fnr3313"/>
      <w:r>
        <w:rPr>
          <w:vertAlign w:val="superscript"/>
          <w:rtl/>
        </w:rPr>
        <w:footnoteReference w:id="3321" w:customMarkFollows="0"/>
      </w:r>
      <w:bookmarkEnd w:id="4460"/>
      <w:r>
        <w:rPr>
          <w:rtl/>
        </w:rPr>
        <w:t xml:space="preserve"> ששמע מאביו, ששמע מאביו שלו, ר׳ אהרן </w:t>
      </w:r>
      <w:proofErr w:type="spellStart"/>
      <w:r>
        <w:rPr>
          <w:rtl/>
        </w:rPr>
        <w:t>וולקין</w:t>
      </w:r>
      <w:proofErr w:type="spellEnd"/>
      <w:r>
        <w:rPr>
          <w:rtl/>
        </w:rPr>
        <w:t>, שר׳ לייזר הופיע באופן בלתי צפוי בקבלת הפנים שלפני החתונה. הוא בא לאירוע מפני שידע שרבנים רבים יהיו שם, וקיווה לעורר בהם עניין להשתתף בכתבי עת תורניים</w:t>
      </w:r>
      <w:bookmarkStart w:id="4461" w:name="_fnr3314"/>
      <w:r>
        <w:rPr>
          <w:vertAlign w:val="superscript"/>
          <w:rtl/>
        </w:rPr>
        <w:footnoteReference w:id="3322" w:customMarkFollows="0"/>
      </w:r>
      <w:bookmarkEnd w:id="4461"/>
      <w:r>
        <w:rPr>
          <w:rtl/>
        </w:rPr>
        <w:t>, שאת פרסומם קידם יחד עם מנהיגים רבניים אחרים. כששמע ר׳ חיים מה הייתה מטרת בואו של ר׳ לייזר, קיצר את העניין באומרו: “בני משה [החתן, וצעירים אחרים לומדי תורה כמוהו] ממילא לא יקרא דברים כאלה [כספרות יפה]</w:t>
      </w:r>
      <w:bookmarkStart w:id="4462" w:name="_fnr3315"/>
      <w:r>
        <w:rPr>
          <w:vertAlign w:val="superscript"/>
          <w:rtl/>
        </w:rPr>
        <w:footnoteReference w:id="3323" w:customMarkFollows="0"/>
      </w:r>
      <w:bookmarkEnd w:id="4462"/>
      <w:r>
        <w:rPr>
          <w:rtl/>
        </w:rPr>
        <w:t>.”</w:t>
      </w:r>
    </w:p>
    <w:p w14:paraId="59E593B6" w14:textId="77777777" w:rsidR="00AB3647" w:rsidRDefault="00000000" w:rsidP="007923E9">
      <w:pPr>
        <w:spacing w:after="120" w:line="276" w:lineRule="auto"/>
        <w:jc w:val="both"/>
      </w:pPr>
      <w:r>
        <w:rPr>
          <w:rtl/>
        </w:rPr>
        <w:t xml:space="preserve">הביוגרפיה שבפתח “ליקוטי תשובות ר׳ אליעזר וחידושיו” מספרת שפעם אחת, בזמן כהונתו הקצרה כרב </w:t>
      </w:r>
      <w:proofErr w:type="spellStart"/>
      <w:r>
        <w:rPr>
          <w:rtl/>
        </w:rPr>
        <w:t>בסלבודקה</w:t>
      </w:r>
      <w:bookmarkStart w:id="4463" w:name="_fnr3316"/>
      <w:proofErr w:type="spellEnd"/>
      <w:r>
        <w:rPr>
          <w:vertAlign w:val="superscript"/>
          <w:rtl/>
        </w:rPr>
        <w:footnoteReference w:id="3324" w:customMarkFollows="0"/>
      </w:r>
      <w:bookmarkEnd w:id="4463"/>
      <w:r>
        <w:rPr>
          <w:rtl/>
        </w:rPr>
        <w:t xml:space="preserve">, עבר ר׳ לייזר גורדון ליד בית כנסת ושמע צעיר שואל את חברו </w:t>
      </w:r>
      <w:r>
        <w:rPr>
          <w:rtl/>
        </w:rPr>
        <w:lastRenderedPageBreak/>
        <w:t>שאלה תלמודית מסקרנת. ר׳ לייזר מצא מיד תשובה למסור להם, ודפק על הדלת הנעולה כדי להיכנס. התלמידים שבפנים לא ידעו מי עומד ליד הדלת, והתעלמו מדפיקותיו. לכן טיפס ונכנס דרך חלון פתוח כדי לדון בשאלה ששמע.</w:t>
      </w:r>
    </w:p>
    <w:p w14:paraId="5760A1EE" w14:textId="77777777" w:rsidR="00AB3647" w:rsidRDefault="00000000" w:rsidP="007923E9">
      <w:pPr>
        <w:spacing w:after="120" w:line="276" w:lineRule="auto"/>
        <w:jc w:val="both"/>
      </w:pPr>
      <w:proofErr w:type="spellStart"/>
      <w:r>
        <w:rPr>
          <w:rtl/>
        </w:rPr>
        <w:t>רבינר</w:t>
      </w:r>
      <w:proofErr w:type="spellEnd"/>
      <w:r>
        <w:rPr>
          <w:rtl/>
        </w:rPr>
        <w:t>, “הגאון רבי אליעזר גורדון”</w:t>
      </w:r>
      <w:bookmarkStart w:id="4464" w:name="_fnr3317"/>
      <w:r>
        <w:rPr>
          <w:vertAlign w:val="superscript"/>
          <w:rtl/>
        </w:rPr>
        <w:footnoteReference w:id="3325" w:customMarkFollows="0"/>
      </w:r>
      <w:bookmarkEnd w:id="4464"/>
      <w:r>
        <w:rPr>
          <w:rtl/>
        </w:rPr>
        <w:t xml:space="preserve"> מביא בשם ר׳ </w:t>
      </w:r>
      <w:proofErr w:type="spellStart"/>
      <w:r>
        <w:rPr>
          <w:rtl/>
        </w:rPr>
        <w:t>יוסף־שלמה</w:t>
      </w:r>
      <w:proofErr w:type="spellEnd"/>
      <w:r>
        <w:rPr>
          <w:rtl/>
        </w:rPr>
        <w:t xml:space="preserve"> </w:t>
      </w:r>
      <w:proofErr w:type="spellStart"/>
      <w:r>
        <w:rPr>
          <w:rtl/>
        </w:rPr>
        <w:t>כהנמן</w:t>
      </w:r>
      <w:proofErr w:type="spellEnd"/>
      <w:r>
        <w:rPr>
          <w:rtl/>
        </w:rPr>
        <w:t xml:space="preserve"> סיפור שאולי הוא חלק מאותו מעשה: ר׳ לייזר גורדון היה בדרכו לשמש סנדק כשעבר ליד בית כנסת </w:t>
      </w:r>
      <w:proofErr w:type="spellStart"/>
      <w:r>
        <w:rPr>
          <w:rtl/>
        </w:rPr>
        <w:t>בסלבודקה</w:t>
      </w:r>
      <w:proofErr w:type="spellEnd"/>
      <w:r>
        <w:rPr>
          <w:rtl/>
        </w:rPr>
        <w:t xml:space="preserve"> ושמע תלמיד שואל את חברו שאלה. ר׳ לייזר עמד ליד החלון ומסר את תשובתו. התשובה הביאה לוויכוח, ותלמידים נוספים הצטרפו לדיון. אחרי שהמתינו שעתיים, יצאו אורחי הברית לחפשו “ומצאוהו בבית המדרש מוקף בחורים הדנים בלהט בדברי תורה. ר׳ לייזר, שהיה נבוך מעט, התנצל לפניהם ואמר: ‘האם יכול שיכור להימנע מוויסקי שמניחים לפניו?! כך איני יכול להתאפק מלפתור קושי תלמודי.’”</w:t>
      </w:r>
    </w:p>
    <w:p w14:paraId="3131081F" w14:textId="77777777" w:rsidR="00AB3647" w:rsidRDefault="00000000" w:rsidP="007923E9">
      <w:pPr>
        <w:spacing w:after="120" w:line="276" w:lineRule="auto"/>
        <w:jc w:val="both"/>
      </w:pPr>
      <w:r>
        <w:rPr>
          <w:rtl/>
        </w:rPr>
        <w:t>כץ, “תנועת המוסר”, כרך ב</w:t>
      </w:r>
      <w:bookmarkStart w:id="4465" w:name="_fnr3318"/>
      <w:r>
        <w:rPr>
          <w:vertAlign w:val="superscript"/>
          <w:rtl/>
        </w:rPr>
        <w:footnoteReference w:id="3326" w:customMarkFollows="0"/>
      </w:r>
      <w:bookmarkEnd w:id="4465"/>
      <w:r>
        <w:rPr>
          <w:rtl/>
        </w:rPr>
        <w:t xml:space="preserve">, מספר את המעשה הבא מתקופה מאוחרת יותר. שני תושבי </w:t>
      </w:r>
      <w:proofErr w:type="spellStart"/>
      <w:r>
        <w:rPr>
          <w:rtl/>
        </w:rPr>
        <w:t>טלז</w:t>
      </w:r>
      <w:proofErr w:type="spellEnd"/>
      <w:r>
        <w:rPr>
          <w:rtl/>
        </w:rPr>
        <w:t xml:space="preserve"> באו </w:t>
      </w:r>
      <w:proofErr w:type="spellStart"/>
      <w:r>
        <w:rPr>
          <w:rtl/>
        </w:rPr>
        <w:t>לר</w:t>
      </w:r>
      <w:proofErr w:type="spellEnd"/>
      <w:r>
        <w:rPr>
          <w:rtl/>
        </w:rPr>
        <w:t xml:space="preserve">׳ לייזר להתדיין. הוא דחה אותם למועד אחר ואמר שהוא עסוק כרגע בעניין ציבורי כלשהו. בדיוק אז ניגש אליו תלמיד עם שאלה, והוא נכנס לדיון שנמשך שעות. כשבני הקהילה הביעו לפניו את השתוממותם, הסביר </w:t>
      </w:r>
      <w:proofErr w:type="spellStart"/>
      <w:r>
        <w:rPr>
          <w:rtl/>
        </w:rPr>
        <w:t>ש“באשר</w:t>
      </w:r>
      <w:proofErr w:type="spellEnd"/>
      <w:r>
        <w:rPr>
          <w:rtl/>
        </w:rPr>
        <w:t xml:space="preserve"> לפלפולי אורייתא, הוא דומה לאלכוהוליסט שאינו יכול לשלוט בעצמו כשהוא רואה משקה חריף</w:t>
      </w:r>
      <w:bookmarkStart w:id="4466" w:name="_fnr3319"/>
      <w:r>
        <w:rPr>
          <w:vertAlign w:val="superscript"/>
          <w:rtl/>
        </w:rPr>
        <w:footnoteReference w:id="3327" w:customMarkFollows="0"/>
      </w:r>
      <w:bookmarkEnd w:id="4466"/>
      <w:r>
        <w:rPr>
          <w:rtl/>
        </w:rPr>
        <w:t>”.</w:t>
      </w:r>
    </w:p>
    <w:p w14:paraId="41114CE0" w14:textId="278795FD" w:rsidR="00AB3647" w:rsidRDefault="00000000" w:rsidP="007923E9">
      <w:pPr>
        <w:spacing w:after="120" w:line="276" w:lineRule="auto"/>
        <w:jc w:val="both"/>
      </w:pPr>
      <w:r>
        <w:rPr>
          <w:rtl/>
        </w:rPr>
        <w:t>ר׳ נחמן קליין סיפר</w:t>
      </w:r>
      <w:bookmarkStart w:id="4467" w:name="_fnr3320"/>
      <w:r>
        <w:rPr>
          <w:vertAlign w:val="superscript"/>
          <w:rtl/>
        </w:rPr>
        <w:footnoteReference w:id="3328" w:customMarkFollows="0"/>
      </w:r>
      <w:bookmarkEnd w:id="4467"/>
      <w:r>
        <w:rPr>
          <w:rtl/>
        </w:rPr>
        <w:t xml:space="preserve"> בשם ר׳ יהודה </w:t>
      </w:r>
      <w:proofErr w:type="spellStart"/>
      <w:r>
        <w:rPr>
          <w:rtl/>
        </w:rPr>
        <w:t>הלפנד</w:t>
      </w:r>
      <w:proofErr w:type="spellEnd"/>
      <w:r>
        <w:rPr>
          <w:rtl/>
        </w:rPr>
        <w:t xml:space="preserve">, תושב בולטימור הוותיק: כשבא ר׳ יהודה ללמוד </w:t>
      </w:r>
      <w:proofErr w:type="spellStart"/>
      <w:r>
        <w:rPr>
          <w:rtl/>
        </w:rPr>
        <w:t>בטלז</w:t>
      </w:r>
      <w:proofErr w:type="spellEnd"/>
      <w:r>
        <w:rPr>
          <w:rtl/>
        </w:rPr>
        <w:t xml:space="preserve"> “עם כמה עילויים”, בחן אותם ר׳ לייזר </w:t>
      </w:r>
      <w:proofErr w:type="spellStart"/>
      <w:r>
        <w:rPr>
          <w:rtl/>
        </w:rPr>
        <w:t>בקושיה</w:t>
      </w:r>
      <w:proofErr w:type="spellEnd"/>
      <w:r>
        <w:rPr>
          <w:rtl/>
        </w:rPr>
        <w:t xml:space="preserve"> שהיה עליהם לפתור. ר׳ לייזר גורדון אמר להם שאם תהיה להם תשובה, יוכלו לבוא לביתו בכל שעה ולמסור לו אותה. ר׳ יהודה עמל על הקושיה, ובשעה שתיים וחצי לפנות בוקר מצא תשובה “מיניה וביה”, והלך מיד לבית ראש הישיבה למסור לו אותה. אפילו תלמידים חדשים ידעו שר׳ לייזר גורדון יעריך דבר תורה מחוכם בכל שעה ביום או בלילה. ראה גם הערה </w:t>
      </w:r>
      <w:r>
        <w:rPr>
          <w:rtl/>
        </w:rPr>
        <w:fldChar w:fldCharType="begin" w:dirty="true"/>
      </w:r>
      <w:r>
        <w:rPr>
          <w:rtl/>
        </w:rPr>
        <w:instrText xml:space="preserve"> REF b4_note97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97</w:t>
      </w:r>
      <w:r>
        <w:rPr>
          <w:rtl/>
        </w:rPr>
        <w:fldChar w:fldCharType="end"/>
      </w:r>
      <w:r>
        <w:rPr>
          <w:rtl/>
        </w:rPr>
        <w:t xml:space="preserve"> להלן, על מידת מעורבותו הגופנית של ר׳ לייזר בשעת דיון בתורה ועל התעלמותו אז מכל כללי הנימוס.</w:t>
      </w:r>
    </w:p>
    <w:p w14:paraId="4FBF0F61" w14:textId="5B381549"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שמו כמגיד שיעור מצטיין</w:t>
      </w:r>
      <w:bookmarkStart w:id="4468" w:name="b4_text92"/>
      <w:bookmarkEnd w:id="4468"/>
      <w:r>
        <w:rPr>
          <w:sz w:val="18"/>
          <w:szCs w:val="18"/>
          <w:vertAlign w:val="superscript"/>
          <w:rtl/>
        </w:rPr>
        <w:fldChar w:fldCharType="begin" w:dirty="true"/>
      </w:r>
      <w:r>
        <w:rPr>
          <w:sz w:val="18"/>
          <w:szCs w:val="18"/>
          <w:vertAlign w:val="superscript"/>
          <w:rtl/>
        </w:rPr>
        <w:instrText xml:space="preserve"> REF b4_note92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92</w:t>
      </w:r>
      <w:r>
        <w:rPr>
          <w:sz w:val="18"/>
          <w:szCs w:val="18"/>
          <w:vertAlign w:val="superscript"/>
          <w:rtl/>
        </w:rPr>
        <w:fldChar w:fldCharType="end"/>
      </w:r>
      <w:r>
        <w:rPr>
          <w:rtl/>
        </w:rPr>
        <w:t xml:space="preserve"> הגיע </w:t>
      </w:r>
      <w:proofErr w:type="spellStart"/>
      <w:r>
        <w:rPr>
          <w:rtl/>
        </w:rPr>
        <w:t>לטלז</w:t>
      </w:r>
      <w:proofErr w:type="spellEnd"/>
      <w:r>
        <w:rPr>
          <w:rtl/>
        </w:rPr>
        <w:t xml:space="preserve"> לפני בואו, והביא זרם של תלמידים חדשים אל הישיבה הקטנה שכבר הייתה קיימת שם</w:t>
      </w:r>
      <w:bookmarkStart w:id="4469" w:name="b4_text93"/>
      <w:bookmarkEnd w:id="4469"/>
      <w:r>
        <w:rPr>
          <w:sz w:val="18"/>
          <w:szCs w:val="18"/>
          <w:vertAlign w:val="superscript"/>
          <w:rtl/>
        </w:rPr>
        <w:fldChar w:fldCharType="begin" w:dirty="true"/>
      </w:r>
      <w:r>
        <w:rPr>
          <w:sz w:val="18"/>
          <w:szCs w:val="18"/>
          <w:vertAlign w:val="superscript"/>
          <w:rtl/>
        </w:rPr>
        <w:instrText xml:space="preserve"> REF b4_note93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93</w:t>
      </w:r>
      <w:r>
        <w:rPr>
          <w:sz w:val="18"/>
          <w:szCs w:val="18"/>
          <w:vertAlign w:val="superscript"/>
          <w:rtl/>
        </w:rPr>
        <w:fldChar w:fldCharType="end"/>
      </w:r>
      <w:r>
        <w:rPr>
          <w:rtl/>
        </w:rPr>
        <w:t xml:space="preserve">. הוא צירף לצוות את אחיינו ר׳ שמעון </w:t>
      </w:r>
      <w:proofErr w:type="spellStart"/>
      <w:r>
        <w:rPr>
          <w:rtl/>
        </w:rPr>
        <w:t>הסמרגוני</w:t>
      </w:r>
      <w:proofErr w:type="spellEnd"/>
      <w:r>
        <w:rPr>
          <w:rtl/>
        </w:rPr>
        <w:t xml:space="preserve"> (</w:t>
      </w:r>
      <w:proofErr w:type="spellStart"/>
      <w:r>
        <w:rPr>
          <w:rtl/>
        </w:rPr>
        <w:t>שקופ</w:t>
      </w:r>
      <w:proofErr w:type="spellEnd"/>
      <w:r>
        <w:rPr>
          <w:rtl/>
        </w:rPr>
        <w:t>)</w:t>
      </w:r>
      <w:bookmarkStart w:id="4470" w:name="b4_text94"/>
      <w:bookmarkEnd w:id="4470"/>
      <w:r>
        <w:rPr>
          <w:sz w:val="18"/>
          <w:szCs w:val="18"/>
          <w:vertAlign w:val="superscript"/>
          <w:rtl/>
        </w:rPr>
        <w:fldChar w:fldCharType="begin" w:dirty="true"/>
      </w:r>
      <w:r>
        <w:rPr>
          <w:sz w:val="18"/>
          <w:szCs w:val="18"/>
          <w:vertAlign w:val="superscript"/>
          <w:rtl/>
        </w:rPr>
        <w:instrText xml:space="preserve"> REF b4_note94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94</w:t>
      </w:r>
      <w:r>
        <w:rPr>
          <w:sz w:val="18"/>
          <w:szCs w:val="18"/>
          <w:vertAlign w:val="superscript"/>
          <w:rtl/>
        </w:rPr>
        <w:fldChar w:fldCharType="end"/>
      </w:r>
      <w:r>
        <w:rPr>
          <w:rtl/>
        </w:rPr>
        <w:t>, שדרך הפלפול שלו בלימוד הגמרא הייתה כשלו. בשנה שלאחר מכן הביא את חתנו הבכור, ר׳ יוסף לייב בלוך, למדן ומחנך נחוש וחדשני</w:t>
      </w:r>
      <w:bookmarkStart w:id="4471" w:name="b4_text95"/>
      <w:bookmarkEnd w:id="4471"/>
      <w:r>
        <w:rPr>
          <w:sz w:val="18"/>
          <w:szCs w:val="18"/>
          <w:vertAlign w:val="superscript"/>
          <w:rtl/>
        </w:rPr>
        <w:fldChar w:fldCharType="begin" w:dirty="true"/>
      </w:r>
      <w:r>
        <w:rPr>
          <w:sz w:val="18"/>
          <w:szCs w:val="18"/>
          <w:vertAlign w:val="superscript"/>
          <w:rtl/>
        </w:rPr>
        <w:instrText xml:space="preserve"> REF b4_note95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95</w:t>
      </w:r>
      <w:r>
        <w:rPr>
          <w:sz w:val="18"/>
          <w:szCs w:val="18"/>
          <w:vertAlign w:val="superscript"/>
          <w:rtl/>
        </w:rPr>
        <w:fldChar w:fldCharType="end"/>
      </w:r>
      <w:r>
        <w:rPr>
          <w:rtl/>
        </w:rPr>
        <w:t>. הישיבה שגשגה, ובתוך זמן קצר הגיע מספר תלמידיה ל־400.</w:t>
      </w:r>
    </w:p>
    <w:bookmarkStart w:id="4472" w:name="b4_note92"/>
    <w:p w14:paraId="6FBDEC8E" w14:textId="77777777" w:rsidR="00AB3647" w:rsidRDefault="00000000" w:rsidP="007923E9">
      <w:pPr>
        <w:spacing w:before="120" w:after="100" w:line="276" w:lineRule="auto"/>
        <w:jc w:val="both"/>
      </w:pPr>
      <w:r>
        <w:fldChar w:fldCharType="begin" w:dirty="true"/>
      </w:r>
      <w:r>
        <w:instrText>HYPERLINK \l "b4_text92" \h</w:instrText>
      </w:r>
      <w:r>
        <w:fldChar w:fldCharType="separate"/>
      </w:r>
      <w:r>
        <w:rPr>
          <w:b/>
          <w:bCs/>
          <w:rtl/>
        </w:rPr>
        <w:t>92</w:t>
      </w:r>
      <w:r>
        <w:rPr>
          <w:b/>
          <w:bCs/>
        </w:rPr>
        <w:fldChar w:fldCharType="end"/>
      </w:r>
      <w:bookmarkEnd w:id="4472"/>
      <w:r>
        <w:rPr>
          <w:rtl/>
        </w:rPr>
        <w:t xml:space="preserve"> ר׳ ישראל </w:t>
      </w:r>
      <w:proofErr w:type="spellStart"/>
      <w:r>
        <w:rPr>
          <w:rtl/>
        </w:rPr>
        <w:t>סלנטר</w:t>
      </w:r>
      <w:proofErr w:type="spellEnd"/>
      <w:r>
        <w:rPr>
          <w:rtl/>
        </w:rPr>
        <w:t xml:space="preserve"> הכיר בכישרונות ההוראה המעולים של ר׳ לייזר גורדון, ומינהו למסור שיעורים </w:t>
      </w:r>
      <w:proofErr w:type="spellStart"/>
      <w:r>
        <w:rPr>
          <w:rtl/>
        </w:rPr>
        <w:t>בקלויז</w:t>
      </w:r>
      <w:proofErr w:type="spellEnd"/>
      <w:r>
        <w:rPr>
          <w:rtl/>
        </w:rPr>
        <w:t xml:space="preserve"> </w:t>
      </w:r>
      <w:proofErr w:type="spellStart"/>
      <w:r>
        <w:rPr>
          <w:rtl/>
        </w:rPr>
        <w:t>נוויאז</w:t>
      </w:r>
      <w:proofErr w:type="spellEnd"/>
      <w:r>
        <w:rPr>
          <w:rtl/>
        </w:rPr>
        <w:t xml:space="preserve">׳. ר׳ לייזר היסס בתחילה לעשות דבר שמעולם לא ניסה, וכדי להתגבר </w:t>
      </w:r>
      <w:r>
        <w:rPr>
          <w:rtl/>
        </w:rPr>
        <w:lastRenderedPageBreak/>
        <w:t>על היסוסו הבטיח לו ר׳ ישראל שבחצי השנה הראשונה יתחלף עמו בעצמו וימסור שני שיעורים בשבוע לקבוצתו. הדבר לא התקיים בפועל, מפני שמצב בריאותו של ר׳ ישראל אילץ אותו לצאת לגרמניה בדיוק אז. כשביקר בבית לאחר מכן, קיים את הבטחתו באופן סמלי ומסר שיעור אחד לתלמידי ר׳ לייזר</w:t>
      </w:r>
      <w:bookmarkStart w:id="4473" w:name="_fnr3321"/>
      <w:r>
        <w:rPr>
          <w:vertAlign w:val="superscript"/>
          <w:rtl/>
        </w:rPr>
        <w:footnoteReference w:id="3329" w:customMarkFollows="0"/>
      </w:r>
      <w:bookmarkEnd w:id="4473"/>
      <w:r>
        <w:rPr>
          <w:rtl/>
        </w:rPr>
        <w:t>.</w:t>
      </w:r>
    </w:p>
    <w:p w14:paraId="6428E823" w14:textId="77777777" w:rsidR="00AB3647" w:rsidRDefault="00000000" w:rsidP="007923E9">
      <w:pPr>
        <w:spacing w:before="120" w:after="100" w:line="276" w:lineRule="auto"/>
        <w:jc w:val="both"/>
      </w:pPr>
      <w:r>
        <w:rPr>
          <w:rtl/>
        </w:rPr>
        <w:t xml:space="preserve">כשבא ר׳ לייזר </w:t>
      </w:r>
      <w:proofErr w:type="spellStart"/>
      <w:r>
        <w:rPr>
          <w:rtl/>
        </w:rPr>
        <w:t>לקלם</w:t>
      </w:r>
      <w:proofErr w:type="spellEnd"/>
      <w:r>
        <w:rPr>
          <w:rtl/>
        </w:rPr>
        <w:t xml:space="preserve">, מסר שלושה שיעורים בשבוע לתלמידים נבחרים מן התלמוד תורה של ר׳ </w:t>
      </w:r>
      <w:proofErr w:type="spellStart"/>
      <w:r>
        <w:rPr>
          <w:rtl/>
        </w:rPr>
        <w:t>שמחה־זיסל</w:t>
      </w:r>
      <w:proofErr w:type="spellEnd"/>
      <w:r>
        <w:rPr>
          <w:rtl/>
        </w:rPr>
        <w:t xml:space="preserve"> זיו</w:t>
      </w:r>
      <w:bookmarkStart w:id="4474" w:name="_fnr3322"/>
      <w:r>
        <w:rPr>
          <w:vertAlign w:val="superscript"/>
          <w:rtl/>
        </w:rPr>
        <w:footnoteReference w:id="3330" w:customMarkFollows="0"/>
      </w:r>
      <w:bookmarkEnd w:id="4474"/>
      <w:r>
        <w:rPr>
          <w:rtl/>
        </w:rPr>
        <w:t>, מלבד פתיחת ישיבה משלו שם</w:t>
      </w:r>
      <w:bookmarkStart w:id="4475" w:name="_fnr3323"/>
      <w:r>
        <w:rPr>
          <w:vertAlign w:val="superscript"/>
          <w:rtl/>
        </w:rPr>
        <w:footnoteReference w:id="3331" w:customMarkFollows="0"/>
      </w:r>
      <w:bookmarkEnd w:id="4475"/>
      <w:r>
        <w:rPr>
          <w:rtl/>
        </w:rPr>
        <w:t xml:space="preserve">. גם בזמן כהונתו </w:t>
      </w:r>
      <w:proofErr w:type="spellStart"/>
      <w:r>
        <w:rPr>
          <w:rtl/>
        </w:rPr>
        <w:t>בסלבודקה</w:t>
      </w:r>
      <w:proofErr w:type="spellEnd"/>
      <w:r>
        <w:rPr>
          <w:rtl/>
        </w:rPr>
        <w:t xml:space="preserve"> מסר כמה שיעורי אורח בישיבה שארגן ר׳ </w:t>
      </w:r>
      <w:proofErr w:type="spellStart"/>
      <w:r>
        <w:rPr>
          <w:rtl/>
        </w:rPr>
        <w:t>נתן־צבי</w:t>
      </w:r>
      <w:proofErr w:type="spellEnd"/>
      <w:r>
        <w:rPr>
          <w:rtl/>
        </w:rPr>
        <w:t xml:space="preserve"> </w:t>
      </w:r>
      <w:proofErr w:type="spellStart"/>
      <w:r>
        <w:rPr>
          <w:rtl/>
        </w:rPr>
        <w:t>פינקל</w:t>
      </w:r>
      <w:proofErr w:type="spellEnd"/>
      <w:r>
        <w:rPr>
          <w:rtl/>
        </w:rPr>
        <w:t xml:space="preserve"> במסגרת כולל קובנה</w:t>
      </w:r>
      <w:bookmarkStart w:id="4476" w:name="_fnr3324"/>
      <w:r>
        <w:rPr>
          <w:vertAlign w:val="superscript"/>
          <w:rtl/>
        </w:rPr>
        <w:footnoteReference w:id="3332" w:customMarkFollows="0"/>
      </w:r>
      <w:bookmarkEnd w:id="4476"/>
      <w:r>
        <w:rPr>
          <w:rtl/>
        </w:rPr>
        <w:t>.</w:t>
      </w:r>
    </w:p>
    <w:bookmarkStart w:id="4477" w:name="b4_note93"/>
    <w:p w14:paraId="105E7DEE" w14:textId="11956A63" w:rsidR="00AB3647" w:rsidRDefault="00000000" w:rsidP="007923E9">
      <w:pPr>
        <w:spacing w:before="120" w:after="100" w:line="276" w:lineRule="auto"/>
        <w:jc w:val="both"/>
      </w:pPr>
      <w:r>
        <w:fldChar w:fldCharType="begin" w:dirty="true"/>
      </w:r>
      <w:r>
        <w:instrText>HYPERLINK \l "b4_text93" \h</w:instrText>
      </w:r>
      <w:r>
        <w:fldChar w:fldCharType="separate"/>
      </w:r>
      <w:r>
        <w:rPr>
          <w:b/>
          <w:bCs/>
          <w:rtl/>
        </w:rPr>
        <w:t>93</w:t>
      </w:r>
      <w:r>
        <w:rPr>
          <w:b/>
          <w:bCs/>
        </w:rPr>
        <w:fldChar w:fldCharType="end"/>
      </w:r>
      <w:bookmarkEnd w:id="4477"/>
      <w:r>
        <w:rPr>
          <w:rtl/>
        </w:rPr>
        <w:t xml:space="preserve"> ראה </w:t>
      </w:r>
      <w:r>
        <w:rPr>
          <w:rtl/>
        </w:rPr>
        <w:fldChar w:fldCharType="begin" w:dirty="true"/>
      </w:r>
      <w:r>
        <w:rPr>
          <w:rtl/>
        </w:rPr>
        <w:instrText xml:space="preserve"> REF b4_excL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יב</w:t>
      </w:r>
      <w:proofErr w:type="spellEnd"/>
      <w:r>
        <w:rPr>
          <w:rtl/>
        </w:rPr>
        <w:fldChar w:fldCharType="end"/>
      </w:r>
      <w:r>
        <w:rPr>
          <w:rtl/>
        </w:rPr>
        <w:t>.</w:t>
      </w:r>
    </w:p>
    <w:bookmarkStart w:id="4478" w:name="b4_note94"/>
    <w:p w14:paraId="1411C691" w14:textId="77777777" w:rsidR="00AB3647" w:rsidRDefault="00000000" w:rsidP="007923E9">
      <w:pPr>
        <w:spacing w:before="120" w:after="100" w:line="276" w:lineRule="auto"/>
        <w:jc w:val="both"/>
      </w:pPr>
      <w:r>
        <w:fldChar w:fldCharType="begin" w:dirty="true"/>
      </w:r>
      <w:r>
        <w:instrText>HYPERLINK \l "b4_text94" \h</w:instrText>
      </w:r>
      <w:r>
        <w:fldChar w:fldCharType="separate"/>
      </w:r>
      <w:r>
        <w:rPr>
          <w:b/>
          <w:bCs/>
          <w:rtl/>
        </w:rPr>
        <w:t>94</w:t>
      </w:r>
      <w:r>
        <w:rPr>
          <w:b/>
          <w:bCs/>
        </w:rPr>
        <w:fldChar w:fldCharType="end"/>
      </w:r>
      <w:bookmarkEnd w:id="4478"/>
      <w:r>
        <w:rPr>
          <w:rtl/>
        </w:rPr>
        <w:t xml:space="preserve"> נולד </w:t>
      </w:r>
      <w:proofErr w:type="spellStart"/>
      <w:r>
        <w:rPr>
          <w:rtl/>
        </w:rPr>
        <w:t>בתר״ך</w:t>
      </w:r>
      <w:proofErr w:type="spellEnd"/>
      <w:r>
        <w:rPr>
          <w:rtl/>
        </w:rPr>
        <w:t>, נפטר בתחילת ת״ש.</w:t>
      </w:r>
    </w:p>
    <w:bookmarkStart w:id="4479" w:name="b4_note95"/>
    <w:p w14:paraId="08FB5782" w14:textId="77777777" w:rsidR="00AB3647" w:rsidRDefault="00000000" w:rsidP="007923E9">
      <w:pPr>
        <w:spacing w:before="120" w:after="100" w:line="276" w:lineRule="auto"/>
        <w:jc w:val="both"/>
      </w:pPr>
      <w:r>
        <w:fldChar w:fldCharType="begin" w:dirty="true"/>
      </w:r>
      <w:r>
        <w:instrText>HYPERLINK \l "b4_text95" \h</w:instrText>
      </w:r>
      <w:r>
        <w:fldChar w:fldCharType="separate"/>
      </w:r>
      <w:r>
        <w:rPr>
          <w:b/>
          <w:bCs/>
          <w:rtl/>
        </w:rPr>
        <w:t>95</w:t>
      </w:r>
      <w:r>
        <w:rPr>
          <w:b/>
          <w:bCs/>
        </w:rPr>
        <w:fldChar w:fldCharType="end"/>
      </w:r>
      <w:bookmarkEnd w:id="4479"/>
      <w:r>
        <w:rPr>
          <w:rtl/>
        </w:rPr>
        <w:t xml:space="preserve"> כץ, “תנועת המוסר”, כרך ה</w:t>
      </w:r>
      <w:bookmarkStart w:id="4480" w:name="_fnr3325"/>
      <w:r>
        <w:rPr>
          <w:vertAlign w:val="superscript"/>
          <w:rtl/>
        </w:rPr>
        <w:footnoteReference w:id="3333" w:customMarkFollows="0"/>
      </w:r>
      <w:bookmarkEnd w:id="4480"/>
      <w:r>
        <w:rPr>
          <w:rtl/>
        </w:rPr>
        <w:t xml:space="preserve">, מקדיש לו את ששת הפרקים הראשונים. הוא נולד </w:t>
      </w:r>
      <w:proofErr w:type="spellStart"/>
      <w:r>
        <w:rPr>
          <w:rtl/>
        </w:rPr>
        <w:t>בראסיין</w:t>
      </w:r>
      <w:proofErr w:type="spellEnd"/>
      <w:r>
        <w:rPr>
          <w:rtl/>
        </w:rPr>
        <w:t xml:space="preserve"> </w:t>
      </w:r>
      <w:proofErr w:type="spellStart"/>
      <w:r>
        <w:rPr>
          <w:rtl/>
        </w:rPr>
        <w:t>בתר״ך</w:t>
      </w:r>
      <w:proofErr w:type="spellEnd"/>
      <w:r>
        <w:rPr>
          <w:rtl/>
        </w:rPr>
        <w:t xml:space="preserve">, ובא </w:t>
      </w:r>
      <w:proofErr w:type="spellStart"/>
      <w:r>
        <w:rPr>
          <w:rtl/>
        </w:rPr>
        <w:t>לקלם</w:t>
      </w:r>
      <w:proofErr w:type="spellEnd"/>
      <w:r>
        <w:rPr>
          <w:rtl/>
        </w:rPr>
        <w:t xml:space="preserve"> ללמוד אצל ר׳ לייזר גורדון </w:t>
      </w:r>
      <w:proofErr w:type="spellStart"/>
      <w:r>
        <w:rPr>
          <w:rtl/>
        </w:rPr>
        <w:t>בתרל״ה</w:t>
      </w:r>
      <w:proofErr w:type="spellEnd"/>
      <w:r>
        <w:rPr>
          <w:rtl/>
        </w:rPr>
        <w:t xml:space="preserve">. בגיל 20 נשא את בתו הבכורה של ר׳ לייזר. </w:t>
      </w:r>
      <w:proofErr w:type="spellStart"/>
      <w:r>
        <w:rPr>
          <w:rtl/>
        </w:rPr>
        <w:t>בתרמ״ה</w:t>
      </w:r>
      <w:proofErr w:type="spellEnd"/>
      <w:r>
        <w:rPr>
          <w:rtl/>
        </w:rPr>
        <w:t xml:space="preserve">, שנה אחרי שהתמנה ר׳ שמעון </w:t>
      </w:r>
      <w:proofErr w:type="spellStart"/>
      <w:r>
        <w:rPr>
          <w:rtl/>
        </w:rPr>
        <w:t>שקופ</w:t>
      </w:r>
      <w:proofErr w:type="spellEnd"/>
      <w:r>
        <w:rPr>
          <w:rtl/>
        </w:rPr>
        <w:t xml:space="preserve"> בישיבת </w:t>
      </w:r>
      <w:proofErr w:type="spellStart"/>
      <w:r>
        <w:rPr>
          <w:rtl/>
        </w:rPr>
        <w:t>טלז</w:t>
      </w:r>
      <w:proofErr w:type="spellEnd"/>
      <w:r>
        <w:rPr>
          <w:rtl/>
        </w:rPr>
        <w:t>, התמנה גם ר׳ יוסף לייב למסור שם שיעור.</w:t>
      </w:r>
    </w:p>
    <w:p w14:paraId="2D58DDDC" w14:textId="0BEC21C4"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במקום ללמוד את דקדוקי הפשט שבדף עם המפרשים המעמיקים בהם, הדגישו ר׳ לייזר וצוותו את הראשונים ואת אותם אחרונים המנתחים את עקרונות היסוד של הסוגיה</w:t>
      </w:r>
      <w:bookmarkStart w:id="4481" w:name="b4_text96"/>
      <w:bookmarkEnd w:id="4481"/>
      <w:r>
        <w:rPr>
          <w:sz w:val="18"/>
          <w:szCs w:val="18"/>
          <w:vertAlign w:val="superscript"/>
          <w:rtl/>
        </w:rPr>
        <w:fldChar w:fldCharType="begin" w:dirty="true"/>
      </w:r>
      <w:r>
        <w:rPr>
          <w:sz w:val="18"/>
          <w:szCs w:val="18"/>
          <w:vertAlign w:val="superscript"/>
          <w:rtl/>
        </w:rPr>
        <w:instrText xml:space="preserve"> REF b4_note96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96</w:t>
      </w:r>
      <w:r>
        <w:rPr>
          <w:sz w:val="18"/>
          <w:szCs w:val="18"/>
          <w:vertAlign w:val="superscript"/>
          <w:rtl/>
        </w:rPr>
        <w:fldChar w:fldCharType="end"/>
      </w:r>
      <w:r>
        <w:rPr>
          <w:rtl/>
        </w:rPr>
        <w:t>. הדבר הותיר מרחב רב לדיונים בשאלה כיצד יש להבין כל עניין. מקולות קבוצות התלמידים שהתווכחו ללא הרף רעשה הישיבה בכל עת כים סוער, והרעש הגיע לשיאו אחרי שיעורו של ראש הישיבה – ולפעמים בעיצומו</w:t>
      </w:r>
      <w:bookmarkStart w:id="4482" w:name="b4_text97"/>
      <w:bookmarkEnd w:id="4482"/>
      <w:r>
        <w:rPr>
          <w:sz w:val="18"/>
          <w:szCs w:val="18"/>
          <w:vertAlign w:val="superscript"/>
          <w:rtl/>
        </w:rPr>
        <w:fldChar w:fldCharType="begin" w:dirty="true"/>
      </w:r>
      <w:r>
        <w:rPr>
          <w:sz w:val="18"/>
          <w:szCs w:val="18"/>
          <w:vertAlign w:val="superscript"/>
          <w:rtl/>
        </w:rPr>
        <w:instrText xml:space="preserve"> REF b4_note97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97</w:t>
      </w:r>
      <w:r>
        <w:rPr>
          <w:sz w:val="18"/>
          <w:szCs w:val="18"/>
          <w:vertAlign w:val="superscript"/>
          <w:rtl/>
        </w:rPr>
        <w:fldChar w:fldCharType="end"/>
      </w:r>
      <w:r>
        <w:rPr>
          <w:rtl/>
        </w:rPr>
        <w:t>. רוב שעות היום, ובכל מקום שהיו בו, געשו הדיונים בין התלמידים. האכסניות, הרחובות – כל עירו של ר׳ לייזר גורדון – הפכו לישיבה אחת גדולה, שקול התורה לא פסק בה לעולם</w:t>
      </w:r>
      <w:bookmarkStart w:id="4483" w:name="b4_text98"/>
      <w:bookmarkEnd w:id="4483"/>
      <w:r>
        <w:rPr>
          <w:sz w:val="18"/>
          <w:szCs w:val="18"/>
          <w:vertAlign w:val="superscript"/>
          <w:rtl/>
        </w:rPr>
        <w:fldChar w:fldCharType="begin" w:dirty="true"/>
      </w:r>
      <w:r>
        <w:rPr>
          <w:sz w:val="18"/>
          <w:szCs w:val="18"/>
          <w:vertAlign w:val="superscript"/>
          <w:rtl/>
        </w:rPr>
        <w:instrText xml:space="preserve"> REF b4_note98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98</w:t>
      </w:r>
      <w:r>
        <w:rPr>
          <w:sz w:val="18"/>
          <w:szCs w:val="18"/>
          <w:vertAlign w:val="superscript"/>
          <w:rtl/>
        </w:rPr>
        <w:fldChar w:fldCharType="end"/>
      </w:r>
      <w:r>
        <w:rPr>
          <w:rtl/>
        </w:rPr>
        <w:t>.</w:t>
      </w:r>
    </w:p>
    <w:bookmarkStart w:id="4484" w:name="b4_note96"/>
    <w:p w14:paraId="45440D46" w14:textId="77777777" w:rsidR="00AB3647" w:rsidRDefault="00000000" w:rsidP="007923E9">
      <w:pPr>
        <w:spacing w:before="120" w:after="100" w:line="276" w:lineRule="auto"/>
        <w:jc w:val="both"/>
      </w:pPr>
      <w:r>
        <w:fldChar w:fldCharType="begin" w:dirty="true"/>
      </w:r>
      <w:r>
        <w:instrText>HYPERLINK \l "b4_text96" \h</w:instrText>
      </w:r>
      <w:r>
        <w:fldChar w:fldCharType="separate"/>
      </w:r>
      <w:r>
        <w:rPr>
          <w:b/>
          <w:bCs/>
          <w:rtl/>
        </w:rPr>
        <w:t>96</w:t>
      </w:r>
      <w:r>
        <w:rPr>
          <w:b/>
          <w:bCs/>
        </w:rPr>
        <w:fldChar w:fldCharType="end"/>
      </w:r>
      <w:bookmarkEnd w:id="4484"/>
      <w:r>
        <w:rPr>
          <w:rtl/>
        </w:rPr>
        <w:t xml:space="preserve"> המפרשים המקובלים שעיינו בהם בלימוד </w:t>
      </w:r>
      <w:proofErr w:type="spellStart"/>
      <w:r>
        <w:rPr>
          <w:rtl/>
        </w:rPr>
        <w:t>הסוגיה</w:t>
      </w:r>
      <w:proofErr w:type="spellEnd"/>
      <w:r>
        <w:rPr>
          <w:rtl/>
        </w:rPr>
        <w:t xml:space="preserve"> התלמודית היו </w:t>
      </w:r>
      <w:proofErr w:type="spellStart"/>
      <w:r>
        <w:rPr>
          <w:rtl/>
        </w:rPr>
        <w:t>מהרש״א</w:t>
      </w:r>
      <w:proofErr w:type="spellEnd"/>
      <w:r>
        <w:rPr>
          <w:rtl/>
        </w:rPr>
        <w:t xml:space="preserve"> </w:t>
      </w:r>
      <w:proofErr w:type="spellStart"/>
      <w:r>
        <w:rPr>
          <w:rtl/>
        </w:rPr>
        <w:t>ומהר״ם</w:t>
      </w:r>
      <w:proofErr w:type="spellEnd"/>
      <w:r>
        <w:rPr>
          <w:rtl/>
        </w:rPr>
        <w:t xml:space="preserve">, שנדפסו לנוחות העיון בדפים האחרונים של המהדורות המוקדמות של התלמוד; </w:t>
      </w:r>
      <w:proofErr w:type="spellStart"/>
      <w:r>
        <w:rPr>
          <w:rtl/>
        </w:rPr>
        <w:t>מהר״ם</w:t>
      </w:r>
      <w:proofErr w:type="spellEnd"/>
      <w:r>
        <w:rPr>
          <w:rtl/>
        </w:rPr>
        <w:t xml:space="preserve"> </w:t>
      </w:r>
      <w:proofErr w:type="spellStart"/>
      <w:r>
        <w:rPr>
          <w:rtl/>
        </w:rPr>
        <w:t>שיף</w:t>
      </w:r>
      <w:proofErr w:type="spellEnd"/>
      <w:r>
        <w:rPr>
          <w:rtl/>
        </w:rPr>
        <w:t xml:space="preserve">, שמוציאי תלמוד וילנה לאור הוסיפו למהדורותיהם; ופני יהושע. </w:t>
      </w:r>
      <w:proofErr w:type="spellStart"/>
      <w:r>
        <w:rPr>
          <w:rtl/>
        </w:rPr>
        <w:t>בטלז</w:t>
      </w:r>
      <w:proofErr w:type="spellEnd"/>
      <w:r>
        <w:rPr>
          <w:rtl/>
        </w:rPr>
        <w:t xml:space="preserve"> נעשו לספרי הלימוד המקובלים רמב״ן, </w:t>
      </w:r>
      <w:proofErr w:type="spellStart"/>
      <w:r>
        <w:rPr>
          <w:rtl/>
        </w:rPr>
        <w:t>רשב״א</w:t>
      </w:r>
      <w:proofErr w:type="spellEnd"/>
      <w:r>
        <w:rPr>
          <w:rtl/>
        </w:rPr>
        <w:t xml:space="preserve"> </w:t>
      </w:r>
      <w:proofErr w:type="spellStart"/>
      <w:r>
        <w:rPr>
          <w:rtl/>
        </w:rPr>
        <w:t>וריטב״א</w:t>
      </w:r>
      <w:proofErr w:type="spellEnd"/>
      <w:r>
        <w:rPr>
          <w:rtl/>
        </w:rPr>
        <w:t xml:space="preserve"> מן הראשונים, וקצות החושן ונתיבות המשפט מן האחרונים. התלמידים הרבו כל כך ללמוד קצות החושן, עד שנטבעה האמרה: “תלמידי </w:t>
      </w:r>
      <w:proofErr w:type="spellStart"/>
      <w:r>
        <w:rPr>
          <w:rtl/>
        </w:rPr>
        <w:t>טלז</w:t>
      </w:r>
      <w:proofErr w:type="spellEnd"/>
      <w:r>
        <w:rPr>
          <w:rtl/>
        </w:rPr>
        <w:t xml:space="preserve"> מכירים את הגמרא מתוך הקצות</w:t>
      </w:r>
      <w:bookmarkStart w:id="4485" w:name="_fnr3326"/>
      <w:r>
        <w:rPr>
          <w:vertAlign w:val="superscript"/>
          <w:rtl/>
        </w:rPr>
        <w:footnoteReference w:id="3334" w:customMarkFollows="0"/>
      </w:r>
      <w:bookmarkEnd w:id="4485"/>
      <w:r>
        <w:rPr>
          <w:rtl/>
        </w:rPr>
        <w:t>”.</w:t>
      </w:r>
    </w:p>
    <w:p w14:paraId="5EBE13CA" w14:textId="77777777" w:rsidR="00AB3647" w:rsidRDefault="00000000" w:rsidP="007923E9">
      <w:pPr>
        <w:spacing w:before="120" w:after="100" w:line="276" w:lineRule="auto"/>
        <w:jc w:val="both"/>
      </w:pPr>
      <w:r>
        <w:rPr>
          <w:rtl/>
        </w:rPr>
        <w:lastRenderedPageBreak/>
        <w:t>יעקב מארק</w:t>
      </w:r>
      <w:bookmarkStart w:id="4486" w:name="_fnr3327"/>
      <w:r>
        <w:rPr>
          <w:vertAlign w:val="superscript"/>
          <w:rtl/>
        </w:rPr>
        <w:footnoteReference w:id="3335" w:customMarkFollows="0"/>
      </w:r>
      <w:bookmarkEnd w:id="4486"/>
      <w:r>
        <w:rPr>
          <w:rtl/>
        </w:rPr>
        <w:t xml:space="preserve"> מביא תוספת שנראית כהפרזה: “ואת הפסוקים הם מכירים מתוך הגמרא”. אבל השווה “שערי ציון”,</w:t>
      </w:r>
      <w:bookmarkStart w:id="4487" w:name="_fnr3328"/>
      <w:r>
        <w:rPr>
          <w:vertAlign w:val="superscript"/>
          <w:rtl/>
        </w:rPr>
        <w:footnoteReference w:id="3336" w:customMarkFollows="0"/>
      </w:r>
      <w:bookmarkEnd w:id="4487"/>
      <w:r>
        <w:rPr>
          <w:rtl/>
        </w:rPr>
        <w:t xml:space="preserve"> שמביא מעשה בר׳ ישראל </w:t>
      </w:r>
      <w:proofErr w:type="spellStart"/>
      <w:r>
        <w:rPr>
          <w:rtl/>
        </w:rPr>
        <w:t>סלנטר</w:t>
      </w:r>
      <w:proofErr w:type="spellEnd"/>
      <w:r>
        <w:rPr>
          <w:rtl/>
        </w:rPr>
        <w:t xml:space="preserve"> שסיפר ר׳ </w:t>
      </w:r>
      <w:proofErr w:type="spellStart"/>
      <w:r>
        <w:rPr>
          <w:rtl/>
        </w:rPr>
        <w:t>יצחק־יהודה</w:t>
      </w:r>
      <w:proofErr w:type="spellEnd"/>
      <w:r>
        <w:rPr>
          <w:rtl/>
        </w:rPr>
        <w:t xml:space="preserve"> ספיר: ר׳ ישראל ישב עם קבוצת תלמידי חכמים, והוזכר מאמר חז״ל שמקורו לא היה ידוע. ר׳ ישראל העיר שהמאמר מובא בתוספות מסוים, והוסיף בענווה: “בימים עברו, כשנזקקתי למצוא ציטוט של פסוק מן התנ״ך, מצאתיו באמצעות הגמרא, והיום, כשאני מבקש למצוא ציטוט מן הגמרא, עליי לחפש בתוספות”</w:t>
      </w:r>
      <w:bookmarkStart w:id="4488" w:name="_fnr3329"/>
      <w:bookmarkStart w:id="4489" w:name="pr_f_3220"/>
      <w:r>
        <w:rPr>
          <w:vertAlign w:val="superscript"/>
          <w:rtl/>
        </w:rPr>
        <w:footnoteReference w:id="3337" w:customMarkFollows="0"/>
      </w:r>
      <w:bookmarkEnd w:id="4488"/>
      <w:bookmarkEnd w:id="4489"/>
      <w:r>
        <w:rPr>
          <w:rtl/>
        </w:rPr>
        <w:t>.</w:t>
      </w:r>
    </w:p>
    <w:p w14:paraId="3D0A12A9" w14:textId="77777777" w:rsidR="00AB3647" w:rsidRDefault="00000000" w:rsidP="007923E9">
      <w:pPr>
        <w:spacing w:before="120" w:after="100" w:line="276" w:lineRule="auto"/>
        <w:jc w:val="both"/>
      </w:pPr>
      <w:r>
        <w:rPr>
          <w:rtl/>
        </w:rPr>
        <w:t>כץ, “תנועת המוסר”, כרך ה</w:t>
      </w:r>
      <w:bookmarkStart w:id="4490" w:name="_fnr3330"/>
      <w:r>
        <w:rPr>
          <w:vertAlign w:val="superscript"/>
          <w:rtl/>
        </w:rPr>
        <w:footnoteReference w:id="3338" w:customMarkFollows="0"/>
      </w:r>
      <w:bookmarkEnd w:id="4490"/>
      <w:r>
        <w:rPr>
          <w:rtl/>
        </w:rPr>
        <w:t xml:space="preserve">, מייחס </w:t>
      </w:r>
      <w:proofErr w:type="spellStart"/>
      <w:r>
        <w:rPr>
          <w:rtl/>
        </w:rPr>
        <w:t>לר</w:t>
      </w:r>
      <w:proofErr w:type="spellEnd"/>
      <w:r>
        <w:rPr>
          <w:rtl/>
        </w:rPr>
        <w:t xml:space="preserve">׳ שמעון </w:t>
      </w:r>
      <w:proofErr w:type="spellStart"/>
      <w:r>
        <w:rPr>
          <w:rtl/>
        </w:rPr>
        <w:t>שקופ</w:t>
      </w:r>
      <w:proofErr w:type="spellEnd"/>
      <w:r>
        <w:rPr>
          <w:rtl/>
        </w:rPr>
        <w:t xml:space="preserve"> את האמרה שהשדות סביב </w:t>
      </w:r>
      <w:proofErr w:type="spellStart"/>
      <w:r>
        <w:rPr>
          <w:rtl/>
        </w:rPr>
        <w:t>טלז</w:t>
      </w:r>
      <w:proofErr w:type="spellEnd"/>
      <w:r>
        <w:rPr>
          <w:rtl/>
        </w:rPr>
        <w:t xml:space="preserve"> היו אפופים בריחו של קצות החושן. אבל השווה בערל </w:t>
      </w:r>
      <w:proofErr w:type="spellStart"/>
      <w:r>
        <w:rPr>
          <w:rtl/>
        </w:rPr>
        <w:t>קגן</w:t>
      </w:r>
      <w:bookmarkStart w:id="4491" w:name="_fnr3331"/>
      <w:proofErr w:type="spellEnd"/>
      <w:r>
        <w:rPr>
          <w:vertAlign w:val="superscript"/>
          <w:rtl/>
        </w:rPr>
        <w:footnoteReference w:id="3339" w:customMarkFollows="0"/>
      </w:r>
      <w:bookmarkEnd w:id="4491"/>
      <w:r>
        <w:rPr>
          <w:rtl/>
        </w:rPr>
        <w:t xml:space="preserve">, שמייחס אמרה זו </w:t>
      </w:r>
      <w:proofErr w:type="spellStart"/>
      <w:r>
        <w:rPr>
          <w:rtl/>
        </w:rPr>
        <w:t>לר</w:t>
      </w:r>
      <w:proofErr w:type="spellEnd"/>
      <w:r>
        <w:rPr>
          <w:rtl/>
        </w:rPr>
        <w:t xml:space="preserve">׳ </w:t>
      </w:r>
      <w:proofErr w:type="spellStart"/>
      <w:r>
        <w:rPr>
          <w:rtl/>
        </w:rPr>
        <w:t>ירוחם־יהודה־לייב</w:t>
      </w:r>
      <w:proofErr w:type="spellEnd"/>
      <w:r>
        <w:rPr>
          <w:rtl/>
        </w:rPr>
        <w:t xml:space="preserve"> פרלמן, </w:t>
      </w:r>
      <w:proofErr w:type="spellStart"/>
      <w:r>
        <w:rPr>
          <w:rtl/>
        </w:rPr>
        <w:t>ה“גדול</w:t>
      </w:r>
      <w:proofErr w:type="spellEnd"/>
      <w:r>
        <w:rPr>
          <w:rtl/>
        </w:rPr>
        <w:t>” ממינסק</w:t>
      </w:r>
      <w:bookmarkStart w:id="4492" w:name="_fnr3332"/>
      <w:r>
        <w:rPr>
          <w:vertAlign w:val="superscript"/>
          <w:rtl/>
        </w:rPr>
        <w:footnoteReference w:id="3340" w:customMarkFollows="0"/>
      </w:r>
      <w:bookmarkEnd w:id="4492"/>
      <w:r>
        <w:rPr>
          <w:rtl/>
        </w:rPr>
        <w:t xml:space="preserve">, וכך גם </w:t>
      </w:r>
      <w:proofErr w:type="spellStart"/>
      <w:r>
        <w:rPr>
          <w:rtl/>
        </w:rPr>
        <w:t>רבינר</w:t>
      </w:r>
      <w:proofErr w:type="spellEnd"/>
      <w:r>
        <w:rPr>
          <w:rtl/>
        </w:rPr>
        <w:t>, “הגאון רבי אליעזר גורדון”</w:t>
      </w:r>
      <w:bookmarkStart w:id="4493" w:name="_fnr3333"/>
      <w:r>
        <w:rPr>
          <w:vertAlign w:val="superscript"/>
          <w:rtl/>
        </w:rPr>
        <w:footnoteReference w:id="3341" w:customMarkFollows="0"/>
      </w:r>
      <w:bookmarkEnd w:id="4493"/>
      <w:r>
        <w:rPr>
          <w:rtl/>
        </w:rPr>
        <w:t xml:space="preserve"> ור׳ משה </w:t>
      </w:r>
      <w:proofErr w:type="spellStart"/>
      <w:r>
        <w:rPr>
          <w:rtl/>
        </w:rPr>
        <w:t>רוזנשטיין</w:t>
      </w:r>
      <w:proofErr w:type="spellEnd"/>
      <w:r>
        <w:rPr>
          <w:rtl/>
        </w:rPr>
        <w:t xml:space="preserve"> במאמר בספר היובל</w:t>
      </w:r>
      <w:bookmarkStart w:id="4494" w:name="_fnr3334"/>
      <w:r>
        <w:rPr>
          <w:vertAlign w:val="superscript"/>
          <w:rtl/>
        </w:rPr>
        <w:footnoteReference w:id="3342" w:customMarkFollows="0"/>
      </w:r>
      <w:bookmarkEnd w:id="4494"/>
      <w:r>
        <w:rPr>
          <w:rtl/>
        </w:rPr>
        <w:t xml:space="preserve">. </w:t>
      </w:r>
      <w:proofErr w:type="spellStart"/>
      <w:r>
        <w:rPr>
          <w:rtl/>
        </w:rPr>
        <w:t>רבינר</w:t>
      </w:r>
      <w:proofErr w:type="spellEnd"/>
      <w:r>
        <w:rPr>
          <w:rtl/>
        </w:rPr>
        <w:t xml:space="preserve">, “הגאון רבי אליעזר גורדון” וספר היובל מציינים מתי נטבעה האמרה: בעת “ביקורו של </w:t>
      </w:r>
      <w:proofErr w:type="spellStart"/>
      <w:r>
        <w:rPr>
          <w:rtl/>
        </w:rPr>
        <w:t>ה‘גדול</w:t>
      </w:r>
      <w:proofErr w:type="spellEnd"/>
      <w:r>
        <w:rPr>
          <w:rtl/>
        </w:rPr>
        <w:t xml:space="preserve">’ </w:t>
      </w:r>
      <w:proofErr w:type="spellStart"/>
      <w:r>
        <w:rPr>
          <w:rtl/>
        </w:rPr>
        <w:t>בטלז</w:t>
      </w:r>
      <w:proofErr w:type="spellEnd"/>
      <w:r>
        <w:rPr>
          <w:rtl/>
        </w:rPr>
        <w:t>”</w:t>
      </w:r>
      <w:bookmarkStart w:id="4495" w:name="_fnr3335"/>
      <w:r>
        <w:rPr>
          <w:vertAlign w:val="superscript"/>
          <w:rtl/>
        </w:rPr>
        <w:footnoteReference w:id="3343" w:customMarkFollows="0"/>
      </w:r>
      <w:bookmarkEnd w:id="4495"/>
      <w:bookmarkStart w:id="7037" w:name="_TranslatorNote_5393"/>
      <w:r>
        <w:rPr>
          <w:rStyle w:val="a5"/>
          <w:vertAlign w:val="superscript"/>
          <w:rtl/>
        </w:rPr>
        <w:footnoteReference w:id="3344" w:customMarkFollows="1"/>
        <w:t>*</w:t>
      </w:r>
      <w:bookmarkEnd w:id="7037"/>
      <w:r>
        <w:rPr>
          <w:rtl/>
        </w:rPr>
        <w:t>.</w:t>
      </w:r>
    </w:p>
    <w:p w14:paraId="467AB4E9" w14:textId="06DE8366" w:rsidR="00AB3647" w:rsidRDefault="00000000" w:rsidP="007923E9">
      <w:pPr>
        <w:spacing w:after="120" w:line="276" w:lineRule="auto"/>
        <w:jc w:val="both"/>
      </w:pPr>
      <w:r>
        <w:rPr>
          <w:rtl/>
        </w:rPr>
        <w:t xml:space="preserve">לפי </w:t>
      </w:r>
      <w:proofErr w:type="spellStart"/>
      <w:r>
        <w:rPr>
          <w:rtl/>
        </w:rPr>
        <w:t>רבינר</w:t>
      </w:r>
      <w:proofErr w:type="spellEnd"/>
      <w:r>
        <w:rPr>
          <w:rtl/>
        </w:rPr>
        <w:t>, “הגאון רבי אליעזר גורדון”</w:t>
      </w:r>
      <w:bookmarkStart w:id="4496" w:name="_fnr3336"/>
      <w:r>
        <w:rPr>
          <w:vertAlign w:val="superscript"/>
          <w:rtl/>
        </w:rPr>
        <w:footnoteReference w:id="3345" w:customMarkFollows="0"/>
      </w:r>
      <w:bookmarkEnd w:id="4496"/>
      <w:r>
        <w:rPr>
          <w:rtl/>
        </w:rPr>
        <w:t xml:space="preserve">, ר׳ ישראל </w:t>
      </w:r>
      <w:proofErr w:type="spellStart"/>
      <w:r>
        <w:rPr>
          <w:rtl/>
        </w:rPr>
        <w:t>סלנטר</w:t>
      </w:r>
      <w:proofErr w:type="spellEnd"/>
      <w:r>
        <w:rPr>
          <w:rtl/>
        </w:rPr>
        <w:t xml:space="preserve"> הוא שיעץ </w:t>
      </w:r>
      <w:proofErr w:type="spellStart"/>
      <w:r>
        <w:rPr>
          <w:rtl/>
        </w:rPr>
        <w:t>לר</w:t>
      </w:r>
      <w:proofErr w:type="spellEnd"/>
      <w:r>
        <w:rPr>
          <w:rtl/>
        </w:rPr>
        <w:t xml:space="preserve">׳ לייזר לעשות את הקצות לנושא לימוד מרכזי בישיבתו. השווה גם הערה </w:t>
      </w:r>
      <w:r>
        <w:rPr>
          <w:rtl/>
        </w:rPr>
        <w:fldChar w:fldCharType="begin" w:dirty="true"/>
      </w:r>
      <w:r>
        <w:rPr>
          <w:rtl/>
        </w:rPr>
        <w:instrText xml:space="preserve"> REF b4_note79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79</w:t>
      </w:r>
      <w:r>
        <w:rPr>
          <w:rtl/>
        </w:rPr>
        <w:fldChar w:fldCharType="end"/>
      </w:r>
      <w:r>
        <w:rPr>
          <w:rtl/>
        </w:rPr>
        <w:t xml:space="preserve"> לעיל, על המלצתו של ר׳ ישראל על </w:t>
      </w:r>
      <w:r>
        <w:rPr>
          <w:rtl/>
        </w:rPr>
        <w:lastRenderedPageBreak/>
        <w:t xml:space="preserve">ספר זה </w:t>
      </w:r>
      <w:proofErr w:type="spellStart"/>
      <w:r>
        <w:rPr>
          <w:rtl/>
        </w:rPr>
        <w:t>לר</w:t>
      </w:r>
      <w:proofErr w:type="spellEnd"/>
      <w:r>
        <w:rPr>
          <w:rtl/>
        </w:rPr>
        <w:t xml:space="preserve">׳ נפתלי אמסטרדם, ופרק 3, הפסקה הראשונה של </w:t>
      </w:r>
      <w:r>
        <w:rPr>
          <w:rtl/>
        </w:rPr>
        <w:fldChar w:fldCharType="begin" w:dirty="true"/>
      </w:r>
      <w:r>
        <w:rPr>
          <w:rtl/>
        </w:rPr>
        <w:instrText xml:space="preserve"> REF b3_excH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ח</w:t>
      </w:r>
      <w:r>
        <w:rPr>
          <w:rtl/>
        </w:rPr>
        <w:fldChar w:fldCharType="end"/>
      </w:r>
      <w:r>
        <w:rPr>
          <w:rtl/>
        </w:rPr>
        <w:t xml:space="preserve">, על תמיכתו של ר׳ ישראל בשיטת הלימוד התלמודית של ר׳ חיים </w:t>
      </w:r>
      <w:proofErr w:type="spellStart"/>
      <w:r>
        <w:rPr>
          <w:rtl/>
        </w:rPr>
        <w:t>סולובייצ׳יק</w:t>
      </w:r>
      <w:proofErr w:type="spellEnd"/>
      <w:r>
        <w:rPr>
          <w:rtl/>
        </w:rPr>
        <w:t xml:space="preserve"> כשיטה ההולמת את העת החדשה.</w:t>
      </w:r>
    </w:p>
    <w:p w14:paraId="6C7B2E7A" w14:textId="77777777" w:rsidR="00AB3647" w:rsidRDefault="00000000" w:rsidP="007923E9">
      <w:pPr>
        <w:spacing w:after="120" w:line="276" w:lineRule="auto"/>
        <w:jc w:val="both"/>
      </w:pPr>
      <w:r>
        <w:rPr>
          <w:rtl/>
        </w:rPr>
        <w:t xml:space="preserve">גם </w:t>
      </w:r>
      <w:proofErr w:type="spellStart"/>
      <w:r>
        <w:rPr>
          <w:rtl/>
        </w:rPr>
        <w:t>בסלבודקה</w:t>
      </w:r>
      <w:proofErr w:type="spellEnd"/>
      <w:r>
        <w:rPr>
          <w:rtl/>
        </w:rPr>
        <w:t xml:space="preserve"> העריכו מאוד ספרים כגון הקצות, אך תוכנית הלימודים שנהגה בה הייתה דומה למתווה שהציג ראש הישיבה, ר׳ </w:t>
      </w:r>
      <w:proofErr w:type="spellStart"/>
      <w:r>
        <w:rPr>
          <w:rtl/>
        </w:rPr>
        <w:t>משה־מרדכי</w:t>
      </w:r>
      <w:proofErr w:type="spellEnd"/>
      <w:r>
        <w:rPr>
          <w:rtl/>
        </w:rPr>
        <w:t xml:space="preserve"> אפשטיין, בהקדמת ספרו “לבוש מרדכי”:</w:t>
      </w:r>
      <w:bookmarkStart w:id="4497" w:name="_fnr3337"/>
      <w:r>
        <w:rPr>
          <w:vertAlign w:val="superscript"/>
          <w:rtl/>
        </w:rPr>
        <w:footnoteReference w:id="3346" w:customMarkFollows="0"/>
      </w:r>
      <w:bookmarkEnd w:id="4497"/>
      <w:r>
        <w:rPr>
          <w:rtl/>
        </w:rPr>
        <w:t xml:space="preserve"> מצד אחד, “פלפול הבנוי כדי לקרב אל ההוראה שבמסכת ברכות</w:t>
      </w:r>
      <w:bookmarkStart w:id="4498" w:name="_fnr3338"/>
      <w:r>
        <w:rPr>
          <w:vertAlign w:val="superscript"/>
          <w:rtl/>
        </w:rPr>
        <w:footnoteReference w:id="3347" w:customMarkFollows="0"/>
      </w:r>
      <w:bookmarkEnd w:id="4498"/>
      <w:r>
        <w:rPr>
          <w:rtl/>
        </w:rPr>
        <w:t xml:space="preserve">, ‘אגרא </w:t>
      </w:r>
      <w:proofErr w:type="spellStart"/>
      <w:r>
        <w:rPr>
          <w:rtl/>
        </w:rPr>
        <w:t>דשמעתא</w:t>
      </w:r>
      <w:proofErr w:type="spellEnd"/>
      <w:r>
        <w:rPr>
          <w:rtl/>
        </w:rPr>
        <w:t xml:space="preserve"> </w:t>
      </w:r>
      <w:proofErr w:type="spellStart"/>
      <w:r>
        <w:rPr>
          <w:rtl/>
        </w:rPr>
        <w:t>סברא</w:t>
      </w:r>
      <w:proofErr w:type="spellEnd"/>
      <w:r>
        <w:rPr>
          <w:rtl/>
        </w:rPr>
        <w:t xml:space="preserve">’, כגון </w:t>
      </w:r>
      <w:r>
        <w:rPr>
          <w:b/>
          <w:bCs/>
          <w:rtl/>
        </w:rPr>
        <w:t>הפלפול שלימדונו רבותינו</w:t>
      </w:r>
      <w:r>
        <w:rPr>
          <w:rtl/>
        </w:rPr>
        <w:t xml:space="preserve"> קצות ונתיבות (ההדגשה שלי)”; ומצד שני, “בקיאות” – מפני </w:t>
      </w:r>
      <w:proofErr w:type="spellStart"/>
      <w:r>
        <w:rPr>
          <w:rtl/>
        </w:rPr>
        <w:t>ש“כל</w:t>
      </w:r>
      <w:proofErr w:type="spellEnd"/>
      <w:r>
        <w:rPr>
          <w:rtl/>
        </w:rPr>
        <w:t xml:space="preserve"> מבין יבין שבפלפול בלבד אי אפשר ‘להיכנס אל הקודש’</w:t>
      </w:r>
      <w:bookmarkStart w:id="4499" w:name="_fnr3339"/>
      <w:r>
        <w:rPr>
          <w:vertAlign w:val="superscript"/>
          <w:rtl/>
        </w:rPr>
        <w:footnoteReference w:id="3348" w:customMarkFollows="0"/>
      </w:r>
      <w:bookmarkEnd w:id="4499"/>
      <w:r>
        <w:rPr>
          <w:rtl/>
        </w:rPr>
        <w:t xml:space="preserve">, שכן חריפות ויכולת לנתח דברים </w:t>
      </w:r>
      <w:proofErr w:type="spellStart"/>
      <w:r>
        <w:rPr>
          <w:rtl/>
        </w:rPr>
        <w:t>בסברא</w:t>
      </w:r>
      <w:proofErr w:type="spellEnd"/>
      <w:r>
        <w:rPr>
          <w:rtl/>
        </w:rPr>
        <w:t xml:space="preserve"> נכונה אינן מועילות” בלי הבקיאות שמורה היכן ליישמן.</w:t>
      </w:r>
    </w:p>
    <w:bookmarkStart w:id="4500" w:name="b4_note97"/>
    <w:p w14:paraId="4CB2E45F" w14:textId="77777777" w:rsidR="00AB3647" w:rsidRDefault="00000000" w:rsidP="007923E9">
      <w:pPr>
        <w:spacing w:before="120" w:after="100" w:line="276" w:lineRule="auto"/>
        <w:jc w:val="both"/>
      </w:pPr>
      <w:r>
        <w:fldChar w:fldCharType="begin" w:dirty="true"/>
      </w:r>
      <w:r>
        <w:instrText>HYPERLINK \l "b4_text97" \h</w:instrText>
      </w:r>
      <w:r>
        <w:fldChar w:fldCharType="separate"/>
      </w:r>
      <w:r>
        <w:rPr>
          <w:b/>
          <w:bCs/>
          <w:rtl/>
        </w:rPr>
        <w:t>97</w:t>
      </w:r>
      <w:r>
        <w:rPr>
          <w:b/>
          <w:bCs/>
        </w:rPr>
        <w:fldChar w:fldCharType="end"/>
      </w:r>
      <w:bookmarkEnd w:id="4500"/>
      <w:r>
        <w:rPr>
          <w:rtl/>
        </w:rPr>
        <w:t xml:space="preserve"> כשביקר רבנו בביתו של ר׳ </w:t>
      </w:r>
      <w:proofErr w:type="spellStart"/>
      <w:r>
        <w:rPr>
          <w:rtl/>
        </w:rPr>
        <w:t>אברהם־חיים</w:t>
      </w:r>
      <w:proofErr w:type="spellEnd"/>
      <w:r>
        <w:rPr>
          <w:rtl/>
        </w:rPr>
        <w:t xml:space="preserve"> </w:t>
      </w:r>
      <w:proofErr w:type="spellStart"/>
      <w:r>
        <w:rPr>
          <w:rtl/>
        </w:rPr>
        <w:t>פויער</w:t>
      </w:r>
      <w:proofErr w:type="spellEnd"/>
      <w:r>
        <w:rPr>
          <w:rtl/>
        </w:rPr>
        <w:t xml:space="preserve">, קפץ בנו בן השנתיים של המארח והכה באגרופו ברגלו של אבי. אבי צחק מכל הלב, והזכיר את סערת רוחו של ר׳ לייזר גורדון בדיון בנושא תורני. הוא אמר לילד: “טוב, אתה גברא! גם סבך ר׳ לייזר היה סוער. ראיתי אותו מדבר בלימוד עם ר׳ </w:t>
      </w:r>
      <w:proofErr w:type="spellStart"/>
      <w:r>
        <w:rPr>
          <w:rtl/>
        </w:rPr>
        <w:t>משה־מרדכי</w:t>
      </w:r>
      <w:proofErr w:type="spellEnd"/>
      <w:r>
        <w:rPr>
          <w:rtl/>
        </w:rPr>
        <w:t>, והוא התלהב כל כך עד שהניף את ידו והפיל כוס מלאה תה</w:t>
      </w:r>
      <w:bookmarkStart w:id="4501" w:name="_fnr3340"/>
      <w:r>
        <w:rPr>
          <w:vertAlign w:val="superscript"/>
          <w:rtl/>
        </w:rPr>
        <w:footnoteReference w:id="3349" w:customMarkFollows="0"/>
      </w:r>
      <w:bookmarkEnd w:id="4501"/>
      <w:r>
        <w:rPr>
          <w:rtl/>
        </w:rPr>
        <w:t>”.</w:t>
      </w:r>
    </w:p>
    <w:p w14:paraId="05EFF9A4" w14:textId="77777777" w:rsidR="00AB3647" w:rsidRDefault="00000000" w:rsidP="007923E9">
      <w:pPr>
        <w:spacing w:before="120" w:after="100" w:line="276" w:lineRule="auto"/>
        <w:jc w:val="both"/>
      </w:pPr>
      <w:r>
        <w:rPr>
          <w:rtl/>
        </w:rPr>
        <w:t xml:space="preserve">ר׳ משה </w:t>
      </w:r>
      <w:proofErr w:type="spellStart"/>
      <w:r>
        <w:rPr>
          <w:rtl/>
        </w:rPr>
        <w:t>שצקס</w:t>
      </w:r>
      <w:proofErr w:type="spellEnd"/>
      <w:r>
        <w:rPr>
          <w:rtl/>
        </w:rPr>
        <w:t xml:space="preserve"> אמר</w:t>
      </w:r>
      <w:bookmarkStart w:id="4502" w:name="_fnr3341"/>
      <w:r>
        <w:rPr>
          <w:vertAlign w:val="superscript"/>
          <w:rtl/>
        </w:rPr>
        <w:footnoteReference w:id="3350" w:customMarkFollows="0"/>
      </w:r>
      <w:bookmarkEnd w:id="4502"/>
      <w:r>
        <w:rPr>
          <w:rtl/>
        </w:rPr>
        <w:t>: “לא היה קל להישאר בקרבת ר׳ לייזר כשהיה ‘מדבר בלימוד’. כשהדיון התארך, הייתה להבת אש התורה בוערת בו כדליקה. לפעמים הגיע ללהט ולהתרגשות כאלה עד שהיה תופס בשערו של בן שיחו וצובט את לחיו; וכשהלה התרחק, היה ר׳ לייזר רודף אחריו”.</w:t>
      </w:r>
    </w:p>
    <w:p w14:paraId="6248B5FC" w14:textId="77777777" w:rsidR="00AB3647" w:rsidRDefault="00000000" w:rsidP="007923E9">
      <w:pPr>
        <w:spacing w:before="120" w:after="100" w:line="276" w:lineRule="auto"/>
        <w:jc w:val="both"/>
      </w:pPr>
      <w:r>
        <w:rPr>
          <w:rtl/>
        </w:rPr>
        <w:t xml:space="preserve">ר׳ יצחק </w:t>
      </w:r>
      <w:proofErr w:type="spellStart"/>
      <w:r>
        <w:rPr>
          <w:rtl/>
        </w:rPr>
        <w:t>קוסובסקי</w:t>
      </w:r>
      <w:proofErr w:type="spellEnd"/>
      <w:r>
        <w:rPr>
          <w:rtl/>
        </w:rPr>
        <w:t>, תלמיד מתחילת תרנ״ח ועד סוף תרנ״ט</w:t>
      </w:r>
      <w:bookmarkStart w:id="4503" w:name="_fnr3342"/>
      <w:r>
        <w:rPr>
          <w:vertAlign w:val="superscript"/>
          <w:rtl/>
        </w:rPr>
        <w:footnoteReference w:id="3351" w:customMarkFollows="0"/>
      </w:r>
      <w:bookmarkEnd w:id="4503"/>
      <w:r>
        <w:rPr>
          <w:rtl/>
        </w:rPr>
        <w:t>, סיפר שכשמסר ר׳ לייזר גורדון את שיעורו, “איבריו היו רועדים בהתרגשות בלתי רגילה וניצוצות היו ניתזים מפיו”. לפעמים עוררה שאלה שנשאלה באמצע השיעור ויכוח לוהט בין כל הנוכחים על נכונות הטענה שהועלתה. אז היה ר׳ לייזר עשוי לרדת מן הבימה ולהצטרף לוויכוח, ומשהוכרע, היה חוזר למקומו להמשיך בשיעור</w:t>
      </w:r>
      <w:bookmarkStart w:id="4504" w:name="_fnr3343"/>
      <w:r>
        <w:rPr>
          <w:vertAlign w:val="superscript"/>
          <w:rtl/>
        </w:rPr>
        <w:footnoteReference w:id="3352" w:customMarkFollows="0"/>
      </w:r>
      <w:bookmarkEnd w:id="4504"/>
      <w:r>
        <w:rPr>
          <w:rtl/>
        </w:rPr>
        <w:t>.</w:t>
      </w:r>
    </w:p>
    <w:p w14:paraId="1A7A613C" w14:textId="77777777" w:rsidR="00AB3647" w:rsidRDefault="00000000" w:rsidP="007923E9">
      <w:pPr>
        <w:spacing w:before="120" w:after="100" w:line="276" w:lineRule="auto"/>
        <w:jc w:val="both"/>
      </w:pPr>
      <w:r>
        <w:rPr>
          <w:rtl/>
        </w:rPr>
        <w:t xml:space="preserve">יש אגדה על שיעורו הראשון בישיבת </w:t>
      </w:r>
      <w:proofErr w:type="spellStart"/>
      <w:r>
        <w:rPr>
          <w:rtl/>
        </w:rPr>
        <w:t>סלבודקה</w:t>
      </w:r>
      <w:bookmarkStart w:id="4505" w:name="_fnr3344"/>
      <w:proofErr w:type="spellEnd"/>
      <w:r>
        <w:rPr>
          <w:vertAlign w:val="superscript"/>
          <w:rtl/>
        </w:rPr>
        <w:footnoteReference w:id="3353" w:customMarkFollows="0"/>
      </w:r>
      <w:bookmarkEnd w:id="4505"/>
      <w:r>
        <w:rPr>
          <w:rtl/>
        </w:rPr>
        <w:t xml:space="preserve">: כל ציבור הלומדים בקובנה </w:t>
      </w:r>
      <w:proofErr w:type="spellStart"/>
      <w:r>
        <w:rPr>
          <w:rtl/>
        </w:rPr>
        <w:t>ובסלבודקה</w:t>
      </w:r>
      <w:proofErr w:type="spellEnd"/>
      <w:r>
        <w:rPr>
          <w:rtl/>
        </w:rPr>
        <w:t xml:space="preserve"> בא לשמוע את הלמדן המפורסם, והתנהל עמו ויכוח ער כל כך, עד שהשיעור נמשך שש שעות, והוא נאלץ להחליף את בגדיו שלוש פעמים במהלכו, מפני שנרטבו כליל מזיעה.</w:t>
      </w:r>
    </w:p>
    <w:bookmarkStart w:id="4506" w:name="b4_note98"/>
    <w:p w14:paraId="63F108B8" w14:textId="2163824D" w:rsidR="00AB3647" w:rsidRDefault="00000000" w:rsidP="007923E9">
      <w:pPr>
        <w:spacing w:before="120" w:after="100" w:line="276" w:lineRule="auto"/>
        <w:jc w:val="both"/>
      </w:pPr>
      <w:r>
        <w:fldChar w:fldCharType="begin" w:dirty="true"/>
      </w:r>
      <w:r>
        <w:instrText>HYPERLINK \l "b4_text98" \h</w:instrText>
      </w:r>
      <w:r>
        <w:fldChar w:fldCharType="separate"/>
      </w:r>
      <w:r>
        <w:rPr>
          <w:b/>
          <w:bCs/>
          <w:rtl/>
        </w:rPr>
        <w:t>98</w:t>
      </w:r>
      <w:r>
        <w:rPr>
          <w:b/>
          <w:bCs/>
        </w:rPr>
        <w:fldChar w:fldCharType="end"/>
      </w:r>
      <w:bookmarkEnd w:id="4506"/>
      <w:r>
        <w:rPr>
          <w:rtl/>
        </w:rPr>
        <w:t xml:space="preserve"> חלק מן הביטויים האלה לקוחים מספרו של כץ, “תנועת המוסר”, כרך ה</w:t>
      </w:r>
      <w:bookmarkStart w:id="4507" w:name="_fnr3345"/>
      <w:r>
        <w:rPr>
          <w:vertAlign w:val="superscript"/>
          <w:rtl/>
        </w:rPr>
        <w:footnoteReference w:id="3354" w:customMarkFollows="0"/>
      </w:r>
      <w:bookmarkEnd w:id="4507"/>
      <w:r>
        <w:rPr>
          <w:rtl/>
        </w:rPr>
        <w:t xml:space="preserve">, שמתאר כך: “הישיבה רעשה תמיד כים סוער, כשקבוצות עומדות ומתווכחות [התנגחו בהלכה]. בעקבות השיעורים, ששימשו חומר לוויכוחים, הגיע השאון לשיאו. רוב היום עבר בדיונים בין </w:t>
      </w:r>
      <w:r>
        <w:rPr>
          <w:rtl/>
        </w:rPr>
        <w:lastRenderedPageBreak/>
        <w:t xml:space="preserve">התלמידים – שמהם למדו יותר מאשר מן הספרים. ולא רק בין כותלי הישיבה, אלא בכל מקום שפגשת אותם – באכסניות וברחובות, בשבתָם בבתיהם ובלכתָם בדרך, </w:t>
      </w:r>
      <w:proofErr w:type="spellStart"/>
      <w:r>
        <w:rPr>
          <w:rtl/>
        </w:rPr>
        <w:t>בשכבָם</w:t>
      </w:r>
      <w:proofErr w:type="spellEnd"/>
      <w:r>
        <w:rPr>
          <w:rtl/>
        </w:rPr>
        <w:t xml:space="preserve"> ובקומָם</w:t>
      </w:r>
      <w:bookmarkStart w:id="4508" w:name="_fnr3346"/>
      <w:r>
        <w:rPr>
          <w:vertAlign w:val="superscript"/>
          <w:rtl/>
        </w:rPr>
        <w:footnoteReference w:id="3355" w:customMarkFollows="0"/>
      </w:r>
      <w:bookmarkEnd w:id="4508"/>
      <w:r>
        <w:rPr>
          <w:rtl/>
        </w:rPr>
        <w:t xml:space="preserve"> – היו עוסקים בפלפולי אורייתא בכל עוז המרץ ובכל עוצמת הלהט. כל העיר </w:t>
      </w:r>
      <w:proofErr w:type="spellStart"/>
      <w:r>
        <w:rPr>
          <w:rtl/>
        </w:rPr>
        <w:t>טלז</w:t>
      </w:r>
      <w:proofErr w:type="spellEnd"/>
      <w:r>
        <w:rPr>
          <w:rtl/>
        </w:rPr>
        <w:t xml:space="preserve"> הפכה </w:t>
      </w:r>
      <w:proofErr w:type="spellStart"/>
      <w:r>
        <w:rPr>
          <w:rtl/>
        </w:rPr>
        <w:t>ל‘ישיבה</w:t>
      </w:r>
      <w:proofErr w:type="spellEnd"/>
      <w:r>
        <w:rPr>
          <w:rtl/>
        </w:rPr>
        <w:t xml:space="preserve"> אחת גדולה’, שקול התורה לא נדם בה לרגע</w:t>
      </w:r>
      <w:bookmarkStart w:id="4509" w:name="_fnr3347"/>
      <w:r>
        <w:rPr>
          <w:vertAlign w:val="superscript"/>
          <w:rtl/>
        </w:rPr>
        <w:footnoteReference w:id="3356" w:customMarkFollows="0"/>
      </w:r>
      <w:bookmarkEnd w:id="4509"/>
      <w:r>
        <w:rPr>
          <w:rtl/>
        </w:rPr>
        <w:t xml:space="preserve">”. השווה גם הערה </w:t>
      </w:r>
      <w:r>
        <w:rPr>
          <w:rtl/>
        </w:rPr>
        <w:fldChar w:fldCharType="begin" w:dirty="true"/>
      </w:r>
      <w:r>
        <w:rPr>
          <w:rtl/>
        </w:rPr>
        <w:instrText xml:space="preserve"> REF b4_note96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96</w:t>
      </w:r>
      <w:r>
        <w:rPr>
          <w:rtl/>
        </w:rPr>
        <w:fldChar w:fldCharType="end"/>
      </w:r>
      <w:r>
        <w:rPr>
          <w:rtl/>
        </w:rPr>
        <w:t xml:space="preserve"> לעיל, על דברי </w:t>
      </w:r>
      <w:proofErr w:type="spellStart"/>
      <w:r>
        <w:rPr>
          <w:rtl/>
        </w:rPr>
        <w:t>ה“גדול</w:t>
      </w:r>
      <w:proofErr w:type="spellEnd"/>
      <w:r>
        <w:rPr>
          <w:rtl/>
        </w:rPr>
        <w:t xml:space="preserve">” ממינסק (או ר׳ שמעון </w:t>
      </w:r>
      <w:proofErr w:type="spellStart"/>
      <w:r>
        <w:rPr>
          <w:rtl/>
        </w:rPr>
        <w:t>שקופ</w:t>
      </w:r>
      <w:proofErr w:type="spellEnd"/>
      <w:r>
        <w:rPr>
          <w:rtl/>
        </w:rPr>
        <w:t xml:space="preserve">) בעניין השדות שמסביב </w:t>
      </w:r>
      <w:proofErr w:type="spellStart"/>
      <w:r>
        <w:rPr>
          <w:rtl/>
        </w:rPr>
        <w:t>לטלז</w:t>
      </w:r>
      <w:proofErr w:type="spellEnd"/>
      <w:r>
        <w:rPr>
          <w:rtl/>
        </w:rPr>
        <w:t>.</w:t>
      </w:r>
    </w:p>
    <w:p w14:paraId="30E87773" w14:textId="3823A7CE"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ר׳ לייזר לא רק היה מבריק, אלא עסק בלימוד תורה מלא חיים בכל כוחו, ולכן שימש דוגמה מזהירה לתלמידים. בהתלהבות שהשרה עליהם ראש ישיבתם לא ידעו הצעירים מעצורים, ואף “דיברו בלימוד”, לעיתים בסערה, בשעת קריאת התורה וחזרת הש״ץ. כל שאיפתם הייתה מכוונת להתקדמות בהבנת התורה, והם “לחמו את מלחמותיה” בגבורה יומם ולילה</w:t>
      </w:r>
      <w:bookmarkStart w:id="4510" w:name="b4_text99"/>
      <w:bookmarkEnd w:id="4510"/>
      <w:r>
        <w:rPr>
          <w:sz w:val="18"/>
          <w:szCs w:val="18"/>
          <w:vertAlign w:val="superscript"/>
          <w:rtl/>
        </w:rPr>
        <w:fldChar w:fldCharType="begin" w:dirty="true"/>
      </w:r>
      <w:r>
        <w:rPr>
          <w:sz w:val="18"/>
          <w:szCs w:val="18"/>
          <w:vertAlign w:val="superscript"/>
          <w:rtl/>
        </w:rPr>
        <w:instrText xml:space="preserve"> REF b4_note99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99</w:t>
      </w:r>
      <w:r>
        <w:rPr>
          <w:sz w:val="18"/>
          <w:szCs w:val="18"/>
          <w:vertAlign w:val="superscript"/>
          <w:rtl/>
        </w:rPr>
        <w:fldChar w:fldCharType="end"/>
      </w:r>
      <w:r>
        <w:rPr>
          <w:rtl/>
        </w:rPr>
        <w:t xml:space="preserve">. ישיבת </w:t>
      </w:r>
      <w:proofErr w:type="spellStart"/>
      <w:r>
        <w:rPr>
          <w:rtl/>
        </w:rPr>
        <w:t>טלז</w:t>
      </w:r>
      <w:proofErr w:type="spellEnd"/>
      <w:r>
        <w:rPr>
          <w:rtl/>
        </w:rPr>
        <w:t xml:space="preserve"> נודעה כמוסד המוביל לפיתוח הלמדנות</w:t>
      </w:r>
      <w:bookmarkStart w:id="4511" w:name="b4_text100"/>
      <w:bookmarkEnd w:id="4511"/>
      <w:r>
        <w:rPr>
          <w:sz w:val="18"/>
          <w:szCs w:val="18"/>
          <w:vertAlign w:val="superscript"/>
          <w:rtl/>
        </w:rPr>
        <w:fldChar w:fldCharType="begin" w:dirty="true"/>
      </w:r>
      <w:r>
        <w:rPr>
          <w:sz w:val="18"/>
          <w:szCs w:val="18"/>
          <w:vertAlign w:val="superscript"/>
          <w:rtl/>
        </w:rPr>
        <w:instrText xml:space="preserve"> REF b4_note100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100</w:t>
      </w:r>
      <w:r>
        <w:rPr>
          <w:sz w:val="18"/>
          <w:szCs w:val="18"/>
          <w:vertAlign w:val="superscript"/>
          <w:rtl/>
        </w:rPr>
        <w:fldChar w:fldCharType="end"/>
      </w:r>
      <w:r>
        <w:rPr>
          <w:rtl/>
        </w:rPr>
        <w:t>.</w:t>
      </w:r>
    </w:p>
    <w:bookmarkStart w:id="4512" w:name="b4_note99"/>
    <w:p w14:paraId="613B533D" w14:textId="77777777" w:rsidR="00AB3647" w:rsidRDefault="00000000" w:rsidP="007923E9">
      <w:pPr>
        <w:spacing w:before="120" w:after="100" w:line="276" w:lineRule="auto"/>
        <w:jc w:val="both"/>
      </w:pPr>
      <w:r>
        <w:fldChar w:fldCharType="begin" w:dirty="true"/>
      </w:r>
      <w:r>
        <w:instrText>HYPERLINK \l "b4_text99" \h</w:instrText>
      </w:r>
      <w:r>
        <w:fldChar w:fldCharType="separate"/>
      </w:r>
      <w:r>
        <w:rPr>
          <w:b/>
          <w:bCs/>
          <w:rtl/>
        </w:rPr>
        <w:t>99</w:t>
      </w:r>
      <w:r>
        <w:rPr>
          <w:b/>
          <w:bCs/>
        </w:rPr>
        <w:fldChar w:fldCharType="end"/>
      </w:r>
      <w:bookmarkEnd w:id="4512"/>
      <w:r>
        <w:rPr>
          <w:rtl/>
        </w:rPr>
        <w:t xml:space="preserve"> ר׳ </w:t>
      </w:r>
      <w:proofErr w:type="spellStart"/>
      <w:r>
        <w:rPr>
          <w:rtl/>
        </w:rPr>
        <w:t>ירוחם־אשר</w:t>
      </w:r>
      <w:proofErr w:type="spellEnd"/>
      <w:r>
        <w:rPr>
          <w:rtl/>
        </w:rPr>
        <w:t xml:space="preserve"> </w:t>
      </w:r>
      <w:proofErr w:type="spellStart"/>
      <w:r>
        <w:rPr>
          <w:rtl/>
        </w:rPr>
        <w:t>ורהפטיג</w:t>
      </w:r>
      <w:proofErr w:type="spellEnd"/>
      <w:r>
        <w:rPr>
          <w:rtl/>
        </w:rPr>
        <w:t xml:space="preserve">, תלמיד </w:t>
      </w:r>
      <w:proofErr w:type="spellStart"/>
      <w:r>
        <w:rPr>
          <w:rtl/>
        </w:rPr>
        <w:t>בטלז</w:t>
      </w:r>
      <w:proofErr w:type="spellEnd"/>
      <w:r>
        <w:rPr>
          <w:rtl/>
        </w:rPr>
        <w:t xml:space="preserve"> בשלהי שנות תר״נ, כותב בהקדמת “שלמי ירוחם” שלו</w:t>
      </w:r>
      <w:bookmarkStart w:id="4513" w:name="_fnr3348"/>
      <w:r>
        <w:rPr>
          <w:vertAlign w:val="superscript"/>
          <w:rtl/>
        </w:rPr>
        <w:footnoteReference w:id="3357" w:customMarkFollows="0"/>
      </w:r>
      <w:bookmarkEnd w:id="4513"/>
      <w:r>
        <w:rPr>
          <w:rtl/>
        </w:rPr>
        <w:t xml:space="preserve"> שבזמנו היו 450 תלמידים, “רובם בעלי כישרונות מעולים, כולם מחדדים זה את זה בהלכה ומתנצחים זה עם זה בשקידה. הדיבור והפלפול בגמרא, בראשונים ובאחרונים לא פסקו מפיהם אפילו בשעת קריאת התורה וחזרת הש״ץ. כל רוחם הייתה מכוונת אך להגדיל תורה ולהאדירה. הם לחמו את מלחמותיה בגבורה יומם ולילה, תמיד מתקדמים ועולים”. </w:t>
      </w:r>
      <w:proofErr w:type="spellStart"/>
      <w:r>
        <w:rPr>
          <w:rtl/>
        </w:rPr>
        <w:t>ורהפטיג</w:t>
      </w:r>
      <w:proofErr w:type="spellEnd"/>
      <w:r>
        <w:rPr>
          <w:rtl/>
        </w:rPr>
        <w:t xml:space="preserve"> מגלה שמיד כשהתמנה ר׳ לייב חסמן למשגיח</w:t>
      </w:r>
      <w:bookmarkStart w:id="4514" w:name="_fnr3349"/>
      <w:r>
        <w:rPr>
          <w:vertAlign w:val="superscript"/>
          <w:rtl/>
        </w:rPr>
        <w:footnoteReference w:id="3358" w:customMarkFollows="0"/>
      </w:r>
      <w:bookmarkEnd w:id="4514"/>
      <w:r>
        <w:rPr>
          <w:rtl/>
        </w:rPr>
        <w:t xml:space="preserve">, שם קץ </w:t>
      </w:r>
      <w:proofErr w:type="spellStart"/>
      <w:r>
        <w:rPr>
          <w:rtl/>
        </w:rPr>
        <w:t>ל“דיבור</w:t>
      </w:r>
      <w:proofErr w:type="spellEnd"/>
      <w:r>
        <w:rPr>
          <w:rtl/>
        </w:rPr>
        <w:t xml:space="preserve"> בלימוד” באותם חלקים של התפילה שבהם הדבר אסור על פי ההלכה</w:t>
      </w:r>
      <w:bookmarkStart w:id="4515" w:name="_fnr3350"/>
      <w:r>
        <w:rPr>
          <w:vertAlign w:val="superscript"/>
          <w:rtl/>
        </w:rPr>
        <w:footnoteReference w:id="3359" w:customMarkFollows="0"/>
      </w:r>
      <w:bookmarkEnd w:id="4515"/>
      <w:r>
        <w:rPr>
          <w:rtl/>
        </w:rPr>
        <w:t>.</w:t>
      </w:r>
    </w:p>
    <w:bookmarkStart w:id="4516" w:name="b4_note100"/>
    <w:p w14:paraId="3BF52A8B" w14:textId="77777777" w:rsidR="00AB3647" w:rsidRDefault="00000000" w:rsidP="007923E9">
      <w:pPr>
        <w:spacing w:before="120" w:after="100" w:line="276" w:lineRule="auto"/>
        <w:jc w:val="both"/>
      </w:pPr>
      <w:r>
        <w:fldChar w:fldCharType="begin" w:dirty="true"/>
      </w:r>
      <w:r>
        <w:instrText>HYPERLINK \l "b4_text100" \h</w:instrText>
      </w:r>
      <w:r>
        <w:fldChar w:fldCharType="separate"/>
      </w:r>
      <w:r>
        <w:rPr>
          <w:b/>
          <w:bCs/>
          <w:rtl/>
        </w:rPr>
        <w:t>100</w:t>
      </w:r>
      <w:r>
        <w:rPr>
          <w:b/>
          <w:bCs/>
        </w:rPr>
        <w:fldChar w:fldCharType="end"/>
      </w:r>
      <w:bookmarkEnd w:id="4516"/>
      <w:r>
        <w:rPr>
          <w:rtl/>
        </w:rPr>
        <w:t xml:space="preserve"> </w:t>
      </w:r>
      <w:proofErr w:type="spellStart"/>
      <w:r>
        <w:rPr>
          <w:rtl/>
        </w:rPr>
        <w:t>רבינר</w:t>
      </w:r>
      <w:proofErr w:type="spellEnd"/>
      <w:r>
        <w:rPr>
          <w:rtl/>
        </w:rPr>
        <w:t>, “הגאון רבי אליעזר גורדון”</w:t>
      </w:r>
      <w:bookmarkStart w:id="4517" w:name="_fnr3351"/>
      <w:r>
        <w:rPr>
          <w:vertAlign w:val="superscript"/>
          <w:rtl/>
        </w:rPr>
        <w:footnoteReference w:id="3360" w:customMarkFollows="0"/>
      </w:r>
      <w:bookmarkEnd w:id="4517"/>
      <w:r>
        <w:rPr>
          <w:rtl/>
        </w:rPr>
        <w:t xml:space="preserve"> מספר</w:t>
      </w:r>
      <w:bookmarkStart w:id="4518" w:name="_fnr3352"/>
      <w:r>
        <w:rPr>
          <w:vertAlign w:val="superscript"/>
          <w:rtl/>
        </w:rPr>
        <w:footnoteReference w:id="3361" w:customMarkFollows="0"/>
      </w:r>
      <w:bookmarkEnd w:id="4518"/>
      <w:r>
        <w:rPr>
          <w:rtl/>
        </w:rPr>
        <w:t xml:space="preserve"> שר׳ </w:t>
      </w:r>
      <w:proofErr w:type="spellStart"/>
      <w:r>
        <w:rPr>
          <w:rtl/>
        </w:rPr>
        <w:t>לייזר־יודל</w:t>
      </w:r>
      <w:proofErr w:type="spellEnd"/>
      <w:r>
        <w:rPr>
          <w:rtl/>
        </w:rPr>
        <w:t xml:space="preserve"> </w:t>
      </w:r>
      <w:proofErr w:type="spellStart"/>
      <w:r>
        <w:rPr>
          <w:rtl/>
        </w:rPr>
        <w:t>פינקל</w:t>
      </w:r>
      <w:proofErr w:type="spellEnd"/>
      <w:r>
        <w:rPr>
          <w:rtl/>
        </w:rPr>
        <w:t xml:space="preserve">, בנו הבכור של הסבא, אמר: “ראוי לתלמיד ישיבה ללכת </w:t>
      </w:r>
      <w:proofErr w:type="spellStart"/>
      <w:r>
        <w:rPr>
          <w:rtl/>
        </w:rPr>
        <w:t>לטלז</w:t>
      </w:r>
      <w:proofErr w:type="spellEnd"/>
      <w:r>
        <w:rPr>
          <w:rtl/>
        </w:rPr>
        <w:t xml:space="preserve"> לשנתיים כדי לפתח ולטפח כוח מחשבה, דרכי חשיבה ותובנה בעומק דברי הראשונים ותפיסתם – לפי הכללים וההגדרות המוצקות של ‘נוסח </w:t>
      </w:r>
      <w:proofErr w:type="spellStart"/>
      <w:r>
        <w:rPr>
          <w:rtl/>
        </w:rPr>
        <w:t>טלז</w:t>
      </w:r>
      <w:proofErr w:type="spellEnd"/>
      <w:r>
        <w:rPr>
          <w:rtl/>
        </w:rPr>
        <w:t>’ – ואחר כך להמשיך ללמוד באחת הישיבות האחרות”.</w:t>
      </w:r>
    </w:p>
    <w:p w14:paraId="476DF91A" w14:textId="77777777" w:rsidR="00AB3647" w:rsidRDefault="00000000" w:rsidP="007923E9">
      <w:pPr>
        <w:spacing w:before="120" w:after="100" w:line="276" w:lineRule="auto"/>
        <w:jc w:val="both"/>
      </w:pPr>
      <w:r>
        <w:rPr>
          <w:rtl/>
        </w:rPr>
        <w:t xml:space="preserve">לפני שהיה לחתנו ולעוזרו של ר׳ </w:t>
      </w:r>
      <w:proofErr w:type="spellStart"/>
      <w:r>
        <w:rPr>
          <w:rtl/>
        </w:rPr>
        <w:t>אליהו־ברוך</w:t>
      </w:r>
      <w:proofErr w:type="spellEnd"/>
      <w:r>
        <w:rPr>
          <w:rtl/>
        </w:rPr>
        <w:t xml:space="preserve"> קמאי בישיבת </w:t>
      </w:r>
      <w:proofErr w:type="spellStart"/>
      <w:r>
        <w:rPr>
          <w:rtl/>
        </w:rPr>
        <w:t>מיר</w:t>
      </w:r>
      <w:proofErr w:type="spellEnd"/>
      <w:r>
        <w:rPr>
          <w:rtl/>
        </w:rPr>
        <w:t xml:space="preserve">, הלך ר׳ </w:t>
      </w:r>
      <w:proofErr w:type="spellStart"/>
      <w:r>
        <w:rPr>
          <w:rtl/>
        </w:rPr>
        <w:t>לייזר־יודל</w:t>
      </w:r>
      <w:proofErr w:type="spellEnd"/>
      <w:r>
        <w:rPr>
          <w:rtl/>
        </w:rPr>
        <w:t xml:space="preserve"> </w:t>
      </w:r>
      <w:proofErr w:type="spellStart"/>
      <w:r>
        <w:rPr>
          <w:rtl/>
        </w:rPr>
        <w:t>פינקל</w:t>
      </w:r>
      <w:proofErr w:type="spellEnd"/>
      <w:r>
        <w:rPr>
          <w:rtl/>
        </w:rPr>
        <w:t xml:space="preserve"> עצמו בדרך זו. הוא למד </w:t>
      </w:r>
      <w:proofErr w:type="spellStart"/>
      <w:r>
        <w:rPr>
          <w:rtl/>
        </w:rPr>
        <w:t>בטלז</w:t>
      </w:r>
      <w:proofErr w:type="spellEnd"/>
      <w:r>
        <w:rPr>
          <w:rtl/>
        </w:rPr>
        <w:t xml:space="preserve"> אצל ר׳ לייזר גורדון ור׳ שמעון </w:t>
      </w:r>
      <w:proofErr w:type="spellStart"/>
      <w:r>
        <w:rPr>
          <w:rtl/>
        </w:rPr>
        <w:t>שקופ</w:t>
      </w:r>
      <w:proofErr w:type="spellEnd"/>
      <w:r>
        <w:rPr>
          <w:rtl/>
        </w:rPr>
        <w:t xml:space="preserve">; משם הלך </w:t>
      </w:r>
      <w:proofErr w:type="spellStart"/>
      <w:r>
        <w:rPr>
          <w:rtl/>
        </w:rPr>
        <w:t>לבריסק</w:t>
      </w:r>
      <w:proofErr w:type="spellEnd"/>
      <w:r>
        <w:rPr>
          <w:rtl/>
        </w:rPr>
        <w:t xml:space="preserve">, ללמוד אצל ר׳ חיים </w:t>
      </w:r>
      <w:proofErr w:type="spellStart"/>
      <w:r>
        <w:rPr>
          <w:rtl/>
        </w:rPr>
        <w:t>סולובייצ׳יק</w:t>
      </w:r>
      <w:bookmarkStart w:id="4519" w:name="_fnr3353"/>
      <w:proofErr w:type="spellEnd"/>
      <w:r>
        <w:rPr>
          <w:vertAlign w:val="superscript"/>
          <w:rtl/>
        </w:rPr>
        <w:footnoteReference w:id="3362" w:customMarkFollows="0"/>
      </w:r>
      <w:bookmarkEnd w:id="4519"/>
      <w:r>
        <w:rPr>
          <w:rtl/>
        </w:rPr>
        <w:t xml:space="preserve">; </w:t>
      </w:r>
      <w:proofErr w:type="spellStart"/>
      <w:r>
        <w:rPr>
          <w:rtl/>
        </w:rPr>
        <w:t>לסלוצק</w:t>
      </w:r>
      <w:proofErr w:type="spellEnd"/>
      <w:r>
        <w:rPr>
          <w:rtl/>
        </w:rPr>
        <w:t xml:space="preserve">, אצל ר׳ </w:t>
      </w:r>
      <w:proofErr w:type="spellStart"/>
      <w:r>
        <w:rPr>
          <w:rtl/>
        </w:rPr>
        <w:t>איסר־זלמן</w:t>
      </w:r>
      <w:proofErr w:type="spellEnd"/>
      <w:r>
        <w:rPr>
          <w:rtl/>
        </w:rPr>
        <w:t xml:space="preserve">, ושם נמנה עם קבוצת המייסדים; </w:t>
      </w:r>
      <w:proofErr w:type="spellStart"/>
      <w:r>
        <w:rPr>
          <w:rtl/>
        </w:rPr>
        <w:t>להלוסק</w:t>
      </w:r>
      <w:proofErr w:type="spellEnd"/>
      <w:r>
        <w:rPr>
          <w:rtl/>
        </w:rPr>
        <w:t xml:space="preserve">, אצל ר׳ </w:t>
      </w:r>
      <w:proofErr w:type="spellStart"/>
      <w:r>
        <w:rPr>
          <w:rtl/>
        </w:rPr>
        <w:t>ברוך־בער</w:t>
      </w:r>
      <w:proofErr w:type="spellEnd"/>
      <w:r>
        <w:rPr>
          <w:rtl/>
        </w:rPr>
        <w:t xml:space="preserve">; </w:t>
      </w:r>
      <w:proofErr w:type="spellStart"/>
      <w:r>
        <w:rPr>
          <w:rtl/>
        </w:rPr>
        <w:t>ולראדין</w:t>
      </w:r>
      <w:proofErr w:type="spellEnd"/>
      <w:r>
        <w:rPr>
          <w:rtl/>
        </w:rPr>
        <w:t xml:space="preserve">, לכולל קודשים של החפץ חיים. כץ, “תנועת </w:t>
      </w:r>
      <w:r>
        <w:rPr>
          <w:rtl/>
        </w:rPr>
        <w:lastRenderedPageBreak/>
        <w:t>המוסר”, כרך ה</w:t>
      </w:r>
      <w:bookmarkStart w:id="4520" w:name="_fnr3354"/>
      <w:r>
        <w:rPr>
          <w:vertAlign w:val="superscript"/>
          <w:rtl/>
        </w:rPr>
        <w:footnoteReference w:id="3363" w:customMarkFollows="0"/>
      </w:r>
      <w:bookmarkEnd w:id="4520"/>
      <w:r>
        <w:rPr>
          <w:rtl/>
        </w:rPr>
        <w:t xml:space="preserve">, קובע: “בעולם הישיבות היה זה מובן מאליו שכל מי שרצה להתקדם בחריפות ובהבנה יסודית בתורה חייב היה ללכת </w:t>
      </w:r>
      <w:proofErr w:type="spellStart"/>
      <w:r>
        <w:rPr>
          <w:rtl/>
        </w:rPr>
        <w:t>לטלז</w:t>
      </w:r>
      <w:proofErr w:type="spellEnd"/>
      <w:r>
        <w:rPr>
          <w:rtl/>
        </w:rPr>
        <w:t>”</w:t>
      </w:r>
      <w:bookmarkStart w:id="4521" w:name="_fnr3355"/>
      <w:r>
        <w:rPr>
          <w:vertAlign w:val="superscript"/>
          <w:rtl/>
        </w:rPr>
        <w:footnoteReference w:id="3364" w:customMarkFollows="0"/>
      </w:r>
      <w:bookmarkEnd w:id="4521"/>
      <w:r>
        <w:rPr>
          <w:rtl/>
        </w:rPr>
        <w:t>.</w:t>
      </w:r>
    </w:p>
    <w:p w14:paraId="60FA35C8" w14:textId="2F839659"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ר׳ לייזר ניחן במרץ עצום. אף שהיה שקוע כל כולו בלימוד ההלכה ובחידושיה, הצליח למלא בנאמנות את תפקידיו הרבניים בעירו, שהוקירה אותו</w:t>
      </w:r>
      <w:bookmarkStart w:id="4522" w:name="b4_text101"/>
      <w:bookmarkEnd w:id="4522"/>
      <w:r>
        <w:rPr>
          <w:sz w:val="18"/>
          <w:szCs w:val="18"/>
          <w:vertAlign w:val="superscript"/>
          <w:rtl/>
        </w:rPr>
        <w:fldChar w:fldCharType="begin" w:dirty="true"/>
      </w:r>
      <w:r>
        <w:rPr>
          <w:sz w:val="18"/>
          <w:szCs w:val="18"/>
          <w:vertAlign w:val="superscript"/>
          <w:rtl/>
        </w:rPr>
        <w:instrText xml:space="preserve"> REF b4_note101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101</w:t>
      </w:r>
      <w:r>
        <w:rPr>
          <w:sz w:val="18"/>
          <w:szCs w:val="18"/>
          <w:vertAlign w:val="superscript"/>
          <w:rtl/>
        </w:rPr>
        <w:fldChar w:fldCharType="end"/>
      </w:r>
      <w:r>
        <w:rPr>
          <w:rtl/>
        </w:rPr>
        <w:t xml:space="preserve">, </w:t>
      </w:r>
      <w:proofErr w:type="spellStart"/>
      <w:r>
        <w:rPr>
          <w:rtl/>
        </w:rPr>
        <w:t>וכשנזדמנה</w:t>
      </w:r>
      <w:proofErr w:type="spellEnd"/>
      <w:r>
        <w:rPr>
          <w:rtl/>
        </w:rPr>
        <w:t xml:space="preserve"> לו האפשרות שירת גם את כלל ישראל</w:t>
      </w:r>
      <w:bookmarkStart w:id="4523" w:name="b4_text102"/>
      <w:bookmarkEnd w:id="4523"/>
      <w:r>
        <w:rPr>
          <w:sz w:val="18"/>
          <w:szCs w:val="18"/>
          <w:vertAlign w:val="superscript"/>
          <w:rtl/>
        </w:rPr>
        <w:fldChar w:fldCharType="begin" w:dirty="true"/>
      </w:r>
      <w:r>
        <w:rPr>
          <w:sz w:val="18"/>
          <w:szCs w:val="18"/>
          <w:vertAlign w:val="superscript"/>
          <w:rtl/>
        </w:rPr>
        <w:instrText xml:space="preserve"> REF b4_note102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102</w:t>
      </w:r>
      <w:r>
        <w:rPr>
          <w:sz w:val="18"/>
          <w:szCs w:val="18"/>
          <w:vertAlign w:val="superscript"/>
          <w:rtl/>
        </w:rPr>
        <w:fldChar w:fldCharType="end"/>
      </w:r>
      <w:r>
        <w:rPr>
          <w:rtl/>
        </w:rPr>
        <w:t>. אבל שום פעילות לא הסיחה אותו מעולם מתשוקתו העיקרית: מסירת שיעורים ודיון בסוגיות הלכתיות עם תלמידים. אהבתו ללומדי תורה הייתה ללא גבול</w:t>
      </w:r>
      <w:bookmarkStart w:id="4524" w:name="b4_text103"/>
      <w:bookmarkEnd w:id="4524"/>
      <w:r>
        <w:rPr>
          <w:sz w:val="18"/>
          <w:szCs w:val="18"/>
          <w:vertAlign w:val="superscript"/>
          <w:rtl/>
        </w:rPr>
        <w:fldChar w:fldCharType="begin" w:dirty="true"/>
      </w:r>
      <w:r>
        <w:rPr>
          <w:sz w:val="18"/>
          <w:szCs w:val="18"/>
          <w:vertAlign w:val="superscript"/>
          <w:rtl/>
        </w:rPr>
        <w:instrText xml:space="preserve"> REF b4_note103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103</w:t>
      </w:r>
      <w:r>
        <w:rPr>
          <w:sz w:val="18"/>
          <w:szCs w:val="18"/>
          <w:vertAlign w:val="superscript"/>
          <w:rtl/>
        </w:rPr>
        <w:fldChar w:fldCharType="end"/>
      </w:r>
      <w:r>
        <w:rPr>
          <w:rtl/>
        </w:rPr>
        <w:t>, והאהבה הייתה הדדית: הוא נחשב לראש הישיבה האהוב ביותר בליטא</w:t>
      </w:r>
      <w:bookmarkStart w:id="4525" w:name="b4_text104"/>
      <w:bookmarkEnd w:id="4525"/>
      <w:r>
        <w:rPr>
          <w:sz w:val="18"/>
          <w:szCs w:val="18"/>
          <w:vertAlign w:val="superscript"/>
          <w:rtl/>
        </w:rPr>
        <w:fldChar w:fldCharType="begin" w:dirty="true"/>
      </w:r>
      <w:r>
        <w:rPr>
          <w:sz w:val="18"/>
          <w:szCs w:val="18"/>
          <w:vertAlign w:val="superscript"/>
          <w:rtl/>
        </w:rPr>
        <w:instrText xml:space="preserve"> REF b4_note104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104</w:t>
      </w:r>
      <w:r>
        <w:rPr>
          <w:sz w:val="18"/>
          <w:szCs w:val="18"/>
          <w:vertAlign w:val="superscript"/>
          <w:rtl/>
        </w:rPr>
        <w:fldChar w:fldCharType="end"/>
      </w:r>
      <w:r>
        <w:rPr>
          <w:rtl/>
        </w:rPr>
        <w:t>.</w:t>
      </w:r>
    </w:p>
    <w:bookmarkStart w:id="4526" w:name="b4_note101"/>
    <w:p w14:paraId="79EE239A" w14:textId="77777777" w:rsidR="00AB3647" w:rsidRDefault="00000000" w:rsidP="007923E9">
      <w:pPr>
        <w:spacing w:before="120" w:after="100" w:line="276" w:lineRule="auto"/>
        <w:jc w:val="both"/>
      </w:pPr>
      <w:r>
        <w:fldChar w:fldCharType="begin" w:dirty="true"/>
      </w:r>
      <w:r>
        <w:instrText>HYPERLINK \l "b4_text101" \h</w:instrText>
      </w:r>
      <w:r>
        <w:fldChar w:fldCharType="separate"/>
      </w:r>
      <w:r>
        <w:rPr>
          <w:b/>
          <w:bCs/>
          <w:rtl/>
        </w:rPr>
        <w:t>101</w:t>
      </w:r>
      <w:r>
        <w:rPr>
          <w:b/>
          <w:bCs/>
        </w:rPr>
        <w:fldChar w:fldCharType="end"/>
      </w:r>
      <w:bookmarkEnd w:id="4526"/>
      <w:r>
        <w:rPr>
          <w:rtl/>
        </w:rPr>
        <w:t xml:space="preserve"> יעקב מארק</w:t>
      </w:r>
      <w:bookmarkStart w:id="4527" w:name="_fnr3356"/>
      <w:r>
        <w:rPr>
          <w:vertAlign w:val="superscript"/>
          <w:rtl/>
        </w:rPr>
        <w:footnoteReference w:id="3365" w:customMarkFollows="0"/>
      </w:r>
      <w:bookmarkEnd w:id="4527"/>
      <w:r>
        <w:rPr>
          <w:rtl/>
        </w:rPr>
        <w:t xml:space="preserve"> מכנה אותו “הראשון מן הטיפוס החדש של רב שהופיע בדור האחרון</w:t>
      </w:r>
      <w:bookmarkStart w:id="4528" w:name="_fnr3357"/>
      <w:r>
        <w:rPr>
          <w:vertAlign w:val="superscript"/>
          <w:rtl/>
        </w:rPr>
        <w:footnoteReference w:id="3366" w:customMarkFollows="0"/>
      </w:r>
      <w:bookmarkEnd w:id="4528"/>
      <w:r>
        <w:rPr>
          <w:rtl/>
        </w:rPr>
        <w:t xml:space="preserve"> ברוסיה. רבנים אלה היו בעלי ידע בענייני העולם, קיבלו על עצמם שירות ציבורי והוציאו את הנהגת הקהילה מידי בעלי שררה בורים, עד שכעבור זמן חדלו אנשים לראות ברבנים ‘בטלנים קדושים’”.</w:t>
      </w:r>
    </w:p>
    <w:p w14:paraId="3FD8C501" w14:textId="77777777" w:rsidR="00AB3647" w:rsidRDefault="00000000" w:rsidP="007923E9">
      <w:pPr>
        <w:spacing w:before="120" w:after="100" w:line="276" w:lineRule="auto"/>
        <w:jc w:val="both"/>
      </w:pPr>
      <w:r>
        <w:rPr>
          <w:rtl/>
        </w:rPr>
        <w:t>על ר׳ לייזר גורדון מצוין שם</w:t>
      </w:r>
      <w:bookmarkStart w:id="4529" w:name="_fnr3358"/>
      <w:r>
        <w:rPr>
          <w:vertAlign w:val="superscript"/>
          <w:rtl/>
        </w:rPr>
        <w:footnoteReference w:id="3367" w:customMarkFollows="0"/>
      </w:r>
      <w:bookmarkEnd w:id="4529"/>
      <w:r>
        <w:rPr>
          <w:rtl/>
        </w:rPr>
        <w:t xml:space="preserve">: “דבר לא נעשה </w:t>
      </w:r>
      <w:proofErr w:type="spellStart"/>
      <w:r>
        <w:rPr>
          <w:rtl/>
        </w:rPr>
        <w:t>בטלז</w:t>
      </w:r>
      <w:proofErr w:type="spellEnd"/>
      <w:r>
        <w:rPr>
          <w:rtl/>
        </w:rPr>
        <w:t xml:space="preserve"> בלי ידיעתו ואישורו של ר׳ לייזר. למשל, לא הייתה בעיר שרפה שלא נכח בה והורה לכבאים כיצד לפעול. ביתו היה מלא תמיד אנשים שבאו לבקש עצה, בייחוד בעניינים הנוגעים לחוק הרוסי. בין ספרי הקודש שעל שולחנו היה מונח </w:t>
      </w:r>
      <w:proofErr w:type="spellStart"/>
      <w:r>
        <w:rPr>
          <w:rtl/>
        </w:rPr>
        <w:t>הסְבוֹד</w:t>
      </w:r>
      <w:proofErr w:type="spellEnd"/>
      <w:r>
        <w:rPr>
          <w:rtl/>
        </w:rPr>
        <w:t xml:space="preserve"> </w:t>
      </w:r>
      <w:proofErr w:type="spellStart"/>
      <w:r>
        <w:rPr>
          <w:rtl/>
        </w:rPr>
        <w:t>זאקוֹן</w:t>
      </w:r>
      <w:proofErr w:type="spellEnd"/>
      <w:r>
        <w:rPr>
          <w:rtl/>
        </w:rPr>
        <w:t xml:space="preserve"> הרוסי (קובץ החוקים), ובו היה בקי אולי יותר מכל עורך דין”. בשלהי שנות השישים לחייו טיפח רעיון “מודרני” מעניין: להדפיס “ספר הישיבה”, שיכלול את תולדות ראשי הישיבה ובוגרי </w:t>
      </w:r>
      <w:proofErr w:type="spellStart"/>
      <w:r>
        <w:rPr>
          <w:rtl/>
        </w:rPr>
        <w:t>טלז</w:t>
      </w:r>
      <w:bookmarkStart w:id="4530" w:name="_fnr3359"/>
      <w:proofErr w:type="spellEnd"/>
      <w:r>
        <w:rPr>
          <w:vertAlign w:val="superscript"/>
          <w:rtl/>
        </w:rPr>
        <w:footnoteReference w:id="3368" w:customMarkFollows="0"/>
      </w:r>
      <w:bookmarkEnd w:id="4530"/>
      <w:r>
        <w:rPr>
          <w:rtl/>
        </w:rPr>
        <w:t>. מותו סיכל תוכנית זו. השווה גם ההערה הבאה.</w:t>
      </w:r>
    </w:p>
    <w:bookmarkStart w:id="4531" w:name="b4_note102"/>
    <w:p w14:paraId="7A0A8D27" w14:textId="77777777" w:rsidR="00AB3647" w:rsidRDefault="00000000" w:rsidP="007923E9">
      <w:pPr>
        <w:spacing w:before="120" w:after="100" w:line="276" w:lineRule="auto"/>
        <w:jc w:val="both"/>
      </w:pPr>
      <w:r>
        <w:fldChar w:fldCharType="begin" w:dirty="true"/>
      </w:r>
      <w:r>
        <w:instrText>HYPERLINK \l "b4_text102" \h</w:instrText>
      </w:r>
      <w:r>
        <w:fldChar w:fldCharType="separate"/>
      </w:r>
      <w:r>
        <w:rPr>
          <w:b/>
          <w:bCs/>
          <w:rtl/>
        </w:rPr>
        <w:t>102</w:t>
      </w:r>
      <w:r>
        <w:rPr>
          <w:b/>
          <w:bCs/>
        </w:rPr>
        <w:fldChar w:fldCharType="end"/>
      </w:r>
      <w:bookmarkEnd w:id="4531"/>
      <w:r>
        <w:rPr>
          <w:rtl/>
        </w:rPr>
        <w:t xml:space="preserve"> יעקב מארק</w:t>
      </w:r>
      <w:bookmarkStart w:id="4532" w:name="_fnr3360"/>
      <w:r>
        <w:rPr>
          <w:vertAlign w:val="superscript"/>
          <w:rtl/>
        </w:rPr>
        <w:footnoteReference w:id="3369" w:customMarkFollows="0"/>
      </w:r>
      <w:bookmarkEnd w:id="4532"/>
      <w:r>
        <w:rPr>
          <w:rtl/>
        </w:rPr>
        <w:t xml:space="preserve"> אומר: “ר׳ לייזר שילב את מעלות הרב מן הסוג הישן והמודרני. מצד אחד היה גאון וצדיק גדול, ומצד שני איש מלא מרץ וחיים, חכם מחוכם בענייני העולם, ומן הפעילים הציבוריים הפוריים ביותר בזמנו”. להלן רשימה כרונולוגית של פעולותיו הציבוריות הידועות ביותר</w:t>
      </w:r>
      <w:bookmarkStart w:id="4533" w:name="_fnr3361"/>
      <w:r>
        <w:rPr>
          <w:vertAlign w:val="superscript"/>
          <w:rtl/>
        </w:rPr>
        <w:footnoteReference w:id="3370" w:customMarkFollows="0"/>
      </w:r>
      <w:bookmarkEnd w:id="4533"/>
      <w:r>
        <w:rPr>
          <w:rtl/>
        </w:rPr>
        <w:t xml:space="preserve">. בשנת תר״ל, עוד לפני כהונתו הראשונה ברבנות, פעל יחד עם ר׳ </w:t>
      </w:r>
      <w:proofErr w:type="spellStart"/>
      <w:r>
        <w:rPr>
          <w:rtl/>
        </w:rPr>
        <w:t>אלכסנדר־משה</w:t>
      </w:r>
      <w:proofErr w:type="spellEnd"/>
      <w:r>
        <w:rPr>
          <w:rtl/>
        </w:rPr>
        <w:t xml:space="preserve"> לפידות</w:t>
      </w:r>
      <w:bookmarkStart w:id="4534" w:name="_fnr3362"/>
      <w:r>
        <w:rPr>
          <w:vertAlign w:val="superscript"/>
          <w:rtl/>
        </w:rPr>
        <w:footnoteReference w:id="3371" w:customMarkFollows="0"/>
      </w:r>
      <w:bookmarkEnd w:id="4534"/>
      <w:r>
        <w:rPr>
          <w:rtl/>
        </w:rPr>
        <w:t xml:space="preserve"> להפוך את “הלבנון”, אחד מכתבי העת העבריים של התקופה, לשופרה של </w:t>
      </w:r>
      <w:r>
        <w:rPr>
          <w:rtl/>
        </w:rPr>
        <w:lastRenderedPageBreak/>
        <w:t>יהדות רוסיה הדתית, כמשקל נגד לכתבי העת שקידמו את ההשכלה</w:t>
      </w:r>
      <w:bookmarkStart w:id="4535" w:name="_fnr3363"/>
      <w:r>
        <w:rPr>
          <w:vertAlign w:val="superscript"/>
          <w:rtl/>
        </w:rPr>
        <w:footnoteReference w:id="3372" w:customMarkFollows="0"/>
      </w:r>
      <w:bookmarkEnd w:id="4535"/>
      <w:r>
        <w:rPr>
          <w:rtl/>
        </w:rPr>
        <w:t xml:space="preserve">: “הכרמל”, “המגיד” </w:t>
      </w:r>
      <w:proofErr w:type="spellStart"/>
      <w:r>
        <w:rPr>
          <w:rtl/>
        </w:rPr>
        <w:t>ו“המליץ</w:t>
      </w:r>
      <w:proofErr w:type="spellEnd"/>
      <w:r>
        <w:rPr>
          <w:rtl/>
        </w:rPr>
        <w:t xml:space="preserve">”. שלוש שנים לאחר מכן השתתף, שוב עם ר׳ </w:t>
      </w:r>
      <w:proofErr w:type="spellStart"/>
      <w:r>
        <w:rPr>
          <w:rtl/>
        </w:rPr>
        <w:t>אלכסנדר־משה</w:t>
      </w:r>
      <w:proofErr w:type="spellEnd"/>
      <w:r>
        <w:rPr>
          <w:rtl/>
        </w:rPr>
        <w:t xml:space="preserve"> לפידות (ועם גדולי תורה אחרים), בהנהגת המאבק בגזרת ממשלה שנועדה לחייב את מלמדי החדרים להשיג תעודות בלימודי חול</w:t>
      </w:r>
      <w:bookmarkStart w:id="4536" w:name="_fnr3364"/>
      <w:r>
        <w:rPr>
          <w:vertAlign w:val="superscript"/>
          <w:rtl/>
        </w:rPr>
        <w:footnoteReference w:id="3373" w:customMarkFollows="0"/>
      </w:r>
      <w:bookmarkEnd w:id="4536"/>
      <w:r>
        <w:rPr>
          <w:rtl/>
        </w:rPr>
        <w:t>.</w:t>
      </w:r>
    </w:p>
    <w:p w14:paraId="01D6108D" w14:textId="77777777" w:rsidR="00AB3647" w:rsidRDefault="00000000" w:rsidP="007923E9">
      <w:pPr>
        <w:spacing w:before="120" w:after="100" w:line="276" w:lineRule="auto"/>
        <w:jc w:val="both"/>
      </w:pPr>
      <w:proofErr w:type="spellStart"/>
      <w:r>
        <w:rPr>
          <w:rtl/>
        </w:rPr>
        <w:t>בתרמ״ב</w:t>
      </w:r>
      <w:proofErr w:type="spellEnd"/>
      <w:r>
        <w:rPr>
          <w:rtl/>
        </w:rPr>
        <w:t xml:space="preserve"> היה מראשי הניסיון להושיב בפטרבורג דרך קבע אישים דתיים בעלי השפעה, שיעקבו אחר פעולות הממשלה בענייני היהודים</w:t>
      </w:r>
      <w:bookmarkStart w:id="4537" w:name="_fnr3365"/>
      <w:r>
        <w:rPr>
          <w:vertAlign w:val="superscript"/>
          <w:rtl/>
        </w:rPr>
        <w:footnoteReference w:id="3374" w:customMarkFollows="0"/>
      </w:r>
      <w:bookmarkEnd w:id="4537"/>
      <w:r>
        <w:rPr>
          <w:rtl/>
        </w:rPr>
        <w:t xml:space="preserve">. החל בסביבות תרנ״א ניסה לעניין סופרים אורתודוקסים בפרסום ספרות יפה ברוח דתית, </w:t>
      </w:r>
      <w:proofErr w:type="spellStart"/>
      <w:r>
        <w:rPr>
          <w:rtl/>
        </w:rPr>
        <w:t>ובתרנ״ט</w:t>
      </w:r>
      <w:proofErr w:type="spellEnd"/>
      <w:r>
        <w:rPr>
          <w:rtl/>
        </w:rPr>
        <w:t xml:space="preserve"> פרסם למטרה זו קריאה לציבור, יחד עם ר׳ </w:t>
      </w:r>
      <w:proofErr w:type="spellStart"/>
      <w:r>
        <w:rPr>
          <w:rtl/>
        </w:rPr>
        <w:t>מאיר־שמחה</w:t>
      </w:r>
      <w:proofErr w:type="spellEnd"/>
      <w:r>
        <w:rPr>
          <w:rtl/>
        </w:rPr>
        <w:t xml:space="preserve"> כהן, ר׳ </w:t>
      </w:r>
      <w:proofErr w:type="spellStart"/>
      <w:r>
        <w:rPr>
          <w:rtl/>
        </w:rPr>
        <w:t>איצל׳ה</w:t>
      </w:r>
      <w:proofErr w:type="spellEnd"/>
      <w:r>
        <w:rPr>
          <w:rtl/>
        </w:rPr>
        <w:t xml:space="preserve"> </w:t>
      </w:r>
      <w:proofErr w:type="spellStart"/>
      <w:r>
        <w:rPr>
          <w:rtl/>
        </w:rPr>
        <w:t>רבינוביץ</w:t>
      </w:r>
      <w:proofErr w:type="spellEnd"/>
      <w:r>
        <w:rPr>
          <w:rtl/>
        </w:rPr>
        <w:t xml:space="preserve">, </w:t>
      </w:r>
      <w:proofErr w:type="spellStart"/>
      <w:r>
        <w:rPr>
          <w:rtl/>
        </w:rPr>
        <w:t>האדר״ת</w:t>
      </w:r>
      <w:bookmarkStart w:id="4538" w:name="_fnr3366"/>
      <w:proofErr w:type="spellEnd"/>
      <w:r>
        <w:rPr>
          <w:vertAlign w:val="superscript"/>
          <w:rtl/>
        </w:rPr>
        <w:footnoteReference w:id="3375" w:customMarkFollows="0"/>
      </w:r>
      <w:bookmarkEnd w:id="4538"/>
      <w:r>
        <w:rPr>
          <w:rtl/>
        </w:rPr>
        <w:t xml:space="preserve"> וחתנו ר׳ </w:t>
      </w:r>
      <w:proofErr w:type="spellStart"/>
      <w:r>
        <w:rPr>
          <w:rtl/>
        </w:rPr>
        <w:t>אברהם־יצחק</w:t>
      </w:r>
      <w:proofErr w:type="spellEnd"/>
      <w:r>
        <w:rPr>
          <w:rtl/>
        </w:rPr>
        <w:t xml:space="preserve"> קוק</w:t>
      </w:r>
      <w:bookmarkStart w:id="4539" w:name="_fnr3367"/>
      <w:r>
        <w:rPr>
          <w:vertAlign w:val="superscript"/>
          <w:rtl/>
        </w:rPr>
        <w:footnoteReference w:id="3376" w:customMarkFollows="0"/>
      </w:r>
      <w:bookmarkEnd w:id="4539"/>
      <w:r>
        <w:rPr>
          <w:rtl/>
        </w:rPr>
        <w:t xml:space="preserve">. </w:t>
      </w:r>
      <w:proofErr w:type="spellStart"/>
      <w:r>
        <w:rPr>
          <w:rtl/>
        </w:rPr>
        <w:t>בתרס״א</w:t>
      </w:r>
      <w:proofErr w:type="spellEnd"/>
      <w:r>
        <w:rPr>
          <w:rtl/>
        </w:rPr>
        <w:t xml:space="preserve"> הקים ר׳ לייזר גורדון יחד עם ר׳ </w:t>
      </w:r>
      <w:proofErr w:type="spellStart"/>
      <w:r>
        <w:rPr>
          <w:rtl/>
        </w:rPr>
        <w:t>חיים־עוזר</w:t>
      </w:r>
      <w:proofErr w:type="spellEnd"/>
      <w:r>
        <w:rPr>
          <w:rtl/>
        </w:rPr>
        <w:t xml:space="preserve"> </w:t>
      </w:r>
      <w:proofErr w:type="spellStart"/>
      <w:r>
        <w:rPr>
          <w:rtl/>
        </w:rPr>
        <w:t>גרודזנסקי</w:t>
      </w:r>
      <w:bookmarkStart w:id="4540" w:name="_fnr3368"/>
      <w:proofErr w:type="spellEnd"/>
      <w:r>
        <w:rPr>
          <w:vertAlign w:val="superscript"/>
          <w:rtl/>
        </w:rPr>
        <w:footnoteReference w:id="3377" w:customMarkFollows="0"/>
      </w:r>
      <w:bookmarkEnd w:id="4540"/>
      <w:r>
        <w:rPr>
          <w:rtl/>
        </w:rPr>
        <w:t xml:space="preserve"> את ארגון “מחזיקי הדת”. </w:t>
      </w:r>
      <w:proofErr w:type="spellStart"/>
      <w:r>
        <w:rPr>
          <w:rtl/>
        </w:rPr>
        <w:t>בתרס״ז</w:t>
      </w:r>
      <w:proofErr w:type="spellEnd"/>
      <w:r>
        <w:rPr>
          <w:rtl/>
        </w:rPr>
        <w:t xml:space="preserve"> ייסד את “כנסת ישראל” (מבשרת אגודת ישראל), יחד עם ר׳ </w:t>
      </w:r>
      <w:proofErr w:type="spellStart"/>
      <w:r>
        <w:rPr>
          <w:rtl/>
        </w:rPr>
        <w:t>חיים־עוזר</w:t>
      </w:r>
      <w:proofErr w:type="spellEnd"/>
      <w:r>
        <w:rPr>
          <w:rtl/>
        </w:rPr>
        <w:t xml:space="preserve"> </w:t>
      </w:r>
      <w:proofErr w:type="spellStart"/>
      <w:r>
        <w:rPr>
          <w:rtl/>
        </w:rPr>
        <w:t>גרודזנסקי</w:t>
      </w:r>
      <w:proofErr w:type="spellEnd"/>
      <w:r>
        <w:rPr>
          <w:rtl/>
        </w:rPr>
        <w:t xml:space="preserve">, ר׳ </w:t>
      </w:r>
      <w:proofErr w:type="spellStart"/>
      <w:r>
        <w:rPr>
          <w:rtl/>
        </w:rPr>
        <w:t>אליהו־חיים</w:t>
      </w:r>
      <w:proofErr w:type="spellEnd"/>
      <w:r>
        <w:rPr>
          <w:rtl/>
        </w:rPr>
        <w:t xml:space="preserve"> </w:t>
      </w:r>
      <w:proofErr w:type="spellStart"/>
      <w:r>
        <w:rPr>
          <w:rtl/>
        </w:rPr>
        <w:t>מייזל</w:t>
      </w:r>
      <w:proofErr w:type="spellEnd"/>
      <w:r>
        <w:rPr>
          <w:rtl/>
        </w:rPr>
        <w:t xml:space="preserve"> </w:t>
      </w:r>
      <w:proofErr w:type="spellStart"/>
      <w:r>
        <w:rPr>
          <w:rtl/>
        </w:rPr>
        <w:t>מלודז</w:t>
      </w:r>
      <w:proofErr w:type="spellEnd"/>
      <w:r>
        <w:rPr>
          <w:rtl/>
        </w:rPr>
        <w:t xml:space="preserve">׳, ר׳ </w:t>
      </w:r>
      <w:proofErr w:type="spellStart"/>
      <w:r>
        <w:rPr>
          <w:rtl/>
        </w:rPr>
        <w:t>צבי־הירש</w:t>
      </w:r>
      <w:proofErr w:type="spellEnd"/>
      <w:r>
        <w:rPr>
          <w:rtl/>
        </w:rPr>
        <w:t xml:space="preserve"> </w:t>
      </w:r>
      <w:proofErr w:type="spellStart"/>
      <w:r>
        <w:rPr>
          <w:rtl/>
        </w:rPr>
        <w:t>רבינוביץ</w:t>
      </w:r>
      <w:proofErr w:type="spellEnd"/>
      <w:r>
        <w:rPr>
          <w:rtl/>
        </w:rPr>
        <w:t xml:space="preserve">, ר׳ </w:t>
      </w:r>
      <w:proofErr w:type="spellStart"/>
      <w:r>
        <w:rPr>
          <w:rtl/>
        </w:rPr>
        <w:t>דוד׳ל</w:t>
      </w:r>
      <w:proofErr w:type="spellEnd"/>
      <w:r>
        <w:rPr>
          <w:rtl/>
        </w:rPr>
        <w:t xml:space="preserve"> </w:t>
      </w:r>
      <w:proofErr w:type="spellStart"/>
      <w:r>
        <w:rPr>
          <w:rtl/>
        </w:rPr>
        <w:t>מקרלין</w:t>
      </w:r>
      <w:proofErr w:type="spellEnd"/>
      <w:r>
        <w:rPr>
          <w:rtl/>
        </w:rPr>
        <w:t xml:space="preserve"> ור׳ חיים </w:t>
      </w:r>
      <w:proofErr w:type="spellStart"/>
      <w:r>
        <w:rPr>
          <w:rtl/>
        </w:rPr>
        <w:t>סולובייצ׳יק</w:t>
      </w:r>
      <w:proofErr w:type="spellEnd"/>
      <w:r>
        <w:rPr>
          <w:rtl/>
        </w:rPr>
        <w:t xml:space="preserve">; והשתתף בכינוסים שבאו בעקבות זאת </w:t>
      </w:r>
      <w:proofErr w:type="spellStart"/>
      <w:r>
        <w:rPr>
          <w:rtl/>
        </w:rPr>
        <w:t>בבאד</w:t>
      </w:r>
      <w:proofErr w:type="spellEnd"/>
      <w:r>
        <w:rPr>
          <w:rtl/>
        </w:rPr>
        <w:t xml:space="preserve"> </w:t>
      </w:r>
      <w:proofErr w:type="spellStart"/>
      <w:r>
        <w:rPr>
          <w:rtl/>
        </w:rPr>
        <w:t>הומבורג</w:t>
      </w:r>
      <w:proofErr w:type="spellEnd"/>
      <w:r>
        <w:rPr>
          <w:rtl/>
        </w:rPr>
        <w:t xml:space="preserve">, שכינס ר׳ </w:t>
      </w:r>
      <w:proofErr w:type="spellStart"/>
      <w:r>
        <w:rPr>
          <w:rtl/>
        </w:rPr>
        <w:t>יצחק־אייזיק</w:t>
      </w:r>
      <w:proofErr w:type="spellEnd"/>
      <w:r>
        <w:rPr>
          <w:rtl/>
        </w:rPr>
        <w:t xml:space="preserve"> הלוי בקיץ תרס״ט</w:t>
      </w:r>
      <w:bookmarkStart w:id="4541" w:name="_fnr3369"/>
      <w:r>
        <w:rPr>
          <w:vertAlign w:val="superscript"/>
          <w:rtl/>
        </w:rPr>
        <w:footnoteReference w:id="3378" w:customMarkFollows="0"/>
      </w:r>
      <w:bookmarkEnd w:id="4541"/>
      <w:r>
        <w:rPr>
          <w:rtl/>
        </w:rPr>
        <w:t>.</w:t>
      </w:r>
    </w:p>
    <w:p w14:paraId="0C459C9C" w14:textId="77777777" w:rsidR="00AB3647" w:rsidRDefault="00000000" w:rsidP="007923E9">
      <w:pPr>
        <w:spacing w:after="120" w:line="276" w:lineRule="auto"/>
        <w:jc w:val="both"/>
      </w:pPr>
      <w:r>
        <w:rPr>
          <w:rtl/>
        </w:rPr>
        <w:t>השווה גם הקדמת “</w:t>
      </w:r>
      <w:proofErr w:type="spellStart"/>
      <w:r>
        <w:rPr>
          <w:rtl/>
        </w:rPr>
        <w:t>אהלי</w:t>
      </w:r>
      <w:proofErr w:type="spellEnd"/>
      <w:r>
        <w:rPr>
          <w:rtl/>
        </w:rPr>
        <w:t xml:space="preserve"> שם”</w:t>
      </w:r>
      <w:bookmarkStart w:id="4542" w:name="_fnr3370"/>
      <w:r>
        <w:rPr>
          <w:vertAlign w:val="superscript"/>
          <w:rtl/>
        </w:rPr>
        <w:footnoteReference w:id="3379" w:customMarkFollows="0"/>
      </w:r>
      <w:bookmarkEnd w:id="4542"/>
      <w:r>
        <w:rPr>
          <w:rtl/>
        </w:rPr>
        <w:t xml:space="preserve">, כרך שיצא לאור </w:t>
      </w:r>
      <w:proofErr w:type="spellStart"/>
      <w:r>
        <w:rPr>
          <w:rtl/>
        </w:rPr>
        <w:t>בתרע״ב</w:t>
      </w:r>
      <w:proofErr w:type="spellEnd"/>
      <w:r>
        <w:rPr>
          <w:rtl/>
        </w:rPr>
        <w:t>, אחרי פטירת ר׳ לייזר, ובו שמותיהם וכתובותיהם של כל הרבנים האורתודוקסים בעולם (!), עם תולדות קצרות של כל רב. הספר היה ניסיון ראשוני לארגן גוף עולמי של רבנים כמשקל נגד לבעלי הבתים הבורים והרחוקים מן הדת, שנטלו לעצמם – כפי שהספר מתאר בהרחבה – את הנהגת היהדות. סביר שהגוף הרבני המתוכנן היה קם בהצלחה אלמלא פרצה מלחמת העולם.</w:t>
      </w:r>
    </w:p>
    <w:p w14:paraId="6595C6AB" w14:textId="77777777" w:rsidR="00AB3647" w:rsidRDefault="00000000" w:rsidP="007923E9">
      <w:pPr>
        <w:spacing w:after="120" w:line="276" w:lineRule="auto"/>
        <w:jc w:val="both"/>
      </w:pPr>
      <w:r>
        <w:rPr>
          <w:rtl/>
        </w:rPr>
        <w:t>בהקדמת “</w:t>
      </w:r>
      <w:proofErr w:type="spellStart"/>
      <w:r>
        <w:rPr>
          <w:rtl/>
        </w:rPr>
        <w:t>אהלי</w:t>
      </w:r>
      <w:proofErr w:type="spellEnd"/>
      <w:r>
        <w:rPr>
          <w:rtl/>
        </w:rPr>
        <w:t xml:space="preserve"> שם” מסופר</w:t>
      </w:r>
      <w:bookmarkStart w:id="4543" w:name="_fnr3371"/>
      <w:r>
        <w:rPr>
          <w:vertAlign w:val="superscript"/>
          <w:rtl/>
        </w:rPr>
        <w:footnoteReference w:id="3380" w:customMarkFollows="0"/>
      </w:r>
      <w:bookmarkEnd w:id="4543"/>
      <w:r>
        <w:rPr>
          <w:rtl/>
        </w:rPr>
        <w:t>: “הראשון שהתעורר לחשיבותו של ספר מסוג זה היה הגאון והעסקן הדגול... ר׳ לייזר גורדון</w:t>
      </w:r>
      <w:bookmarkStart w:id="4544" w:name="_fnr3372"/>
      <w:r>
        <w:rPr>
          <w:vertAlign w:val="superscript"/>
          <w:rtl/>
        </w:rPr>
        <w:footnoteReference w:id="3381" w:customMarkFollows="0"/>
      </w:r>
      <w:bookmarkEnd w:id="4544"/>
      <w:r>
        <w:rPr>
          <w:rtl/>
        </w:rPr>
        <w:t xml:space="preserve">, אשר למרות טרדותיו העצומות התחיל בעצמו לאסוף כתובות של רבנים ברוסיה ובפולין, ופעמים רבות עודד אותי לקבל עליי את חיבור הספר הזה... </w:t>
      </w:r>
      <w:proofErr w:type="spellStart"/>
      <w:r>
        <w:rPr>
          <w:rtl/>
        </w:rPr>
        <w:t>בתר״ע</w:t>
      </w:r>
      <w:proofErr w:type="spellEnd"/>
      <w:r>
        <w:rPr>
          <w:rtl/>
        </w:rPr>
        <w:t xml:space="preserve"> ניגשתי אני [</w:t>
      </w:r>
      <w:proofErr w:type="spellStart"/>
      <w:r>
        <w:rPr>
          <w:rtl/>
        </w:rPr>
        <w:t>שמואל־נח</w:t>
      </w:r>
      <w:proofErr w:type="spellEnd"/>
      <w:r>
        <w:rPr>
          <w:rtl/>
        </w:rPr>
        <w:t xml:space="preserve"> גוטליב] למלאכה הגדולה הזאת”.</w:t>
      </w:r>
    </w:p>
    <w:p w14:paraId="3DF36F38" w14:textId="77777777" w:rsidR="00AB3647" w:rsidRDefault="00000000" w:rsidP="007923E9">
      <w:pPr>
        <w:spacing w:after="120" w:line="276" w:lineRule="auto"/>
        <w:jc w:val="both"/>
      </w:pPr>
      <w:r>
        <w:rPr>
          <w:rtl/>
        </w:rPr>
        <w:t xml:space="preserve">“נצח ישראל”, שחיבר ר׳ </w:t>
      </w:r>
      <w:proofErr w:type="spellStart"/>
      <w:r>
        <w:rPr>
          <w:rtl/>
        </w:rPr>
        <w:t>אליהו־מאיר</w:t>
      </w:r>
      <w:proofErr w:type="spellEnd"/>
      <w:r>
        <w:rPr>
          <w:rtl/>
        </w:rPr>
        <w:t xml:space="preserve"> </w:t>
      </w:r>
      <w:proofErr w:type="spellStart"/>
      <w:r>
        <w:rPr>
          <w:rtl/>
        </w:rPr>
        <w:t>פייבלזון</w:t>
      </w:r>
      <w:proofErr w:type="spellEnd"/>
      <w:r>
        <w:rPr>
          <w:rtl/>
        </w:rPr>
        <w:t>, הוא ספר</w:t>
      </w:r>
      <w:bookmarkStart w:id="4545" w:name="_fnr3373"/>
      <w:r>
        <w:rPr>
          <w:vertAlign w:val="superscript"/>
          <w:rtl/>
        </w:rPr>
        <w:footnoteReference w:id="3382" w:customMarkFollows="0"/>
      </w:r>
      <w:bookmarkEnd w:id="4545"/>
      <w:r>
        <w:rPr>
          <w:rtl/>
        </w:rPr>
        <w:t xml:space="preserve"> המניח את היסוד הרעיוני לצורך באיחוד מאורגן של כל היהודים הדתיים, כפי שהוכרז בוועידת הייסוד של אגודת ישראל </w:t>
      </w:r>
      <w:proofErr w:type="spellStart"/>
      <w:r>
        <w:rPr>
          <w:rtl/>
        </w:rPr>
        <w:lastRenderedPageBreak/>
        <w:t>בקטוביץ</w:t>
      </w:r>
      <w:proofErr w:type="spellEnd"/>
      <w:r>
        <w:rPr>
          <w:rtl/>
        </w:rPr>
        <w:t xml:space="preserve"> שנתיים קודם לכן. ר׳ </w:t>
      </w:r>
      <w:proofErr w:type="spellStart"/>
      <w:r>
        <w:rPr>
          <w:rtl/>
        </w:rPr>
        <w:t>אליהו־מאיר</w:t>
      </w:r>
      <w:proofErr w:type="spellEnd"/>
      <w:r>
        <w:rPr>
          <w:rtl/>
        </w:rPr>
        <w:t xml:space="preserve"> </w:t>
      </w:r>
      <w:proofErr w:type="spellStart"/>
      <w:r>
        <w:rPr>
          <w:rtl/>
        </w:rPr>
        <w:t>פייבלזון</w:t>
      </w:r>
      <w:proofErr w:type="spellEnd"/>
      <w:r>
        <w:rPr>
          <w:rtl/>
        </w:rPr>
        <w:t xml:space="preserve"> אומר</w:t>
      </w:r>
      <w:bookmarkStart w:id="4546" w:name="_fnr3374"/>
      <w:r>
        <w:rPr>
          <w:vertAlign w:val="superscript"/>
          <w:rtl/>
        </w:rPr>
        <w:footnoteReference w:id="3383" w:customMarkFollows="0"/>
      </w:r>
      <w:bookmarkEnd w:id="4546"/>
      <w:r>
        <w:rPr>
          <w:rtl/>
        </w:rPr>
        <w:t>: “אכן שר בישראל נפל ללא רוח חיים בלונדון</w:t>
      </w:r>
      <w:bookmarkStart w:id="4547" w:name="_fnr3375"/>
      <w:r>
        <w:rPr>
          <w:vertAlign w:val="superscript"/>
          <w:rtl/>
        </w:rPr>
        <w:footnoteReference w:id="3384" w:customMarkFollows="0"/>
      </w:r>
      <w:bookmarkEnd w:id="4547"/>
      <w:r>
        <w:rPr>
          <w:rtl/>
        </w:rPr>
        <w:t xml:space="preserve">. מצד אחד היה עמוד התורה... ומצד שני היה כמו שר; לבו הטהור היה ער לכל דבר בבית יעקב. בתקנות של רבנות – ר׳ לייזר [גורדון]! בשאלת העיתונות – ר׳ לייזר! בהקמת ‘כנסת ישראל’ – ר׳ לייזר! ועוד </w:t>
      </w:r>
      <w:proofErr w:type="spellStart"/>
      <w:r>
        <w:rPr>
          <w:rtl/>
        </w:rPr>
        <w:t>ועוד</w:t>
      </w:r>
      <w:proofErr w:type="spellEnd"/>
      <w:r>
        <w:rPr>
          <w:rtl/>
        </w:rPr>
        <w:t>”. מדברים אלה ברור שגם שלוש שנים וחצי אחרי פטירת ר׳ לייזר גורדון עדיין לא נמצא מי שימלא את מקומו בזירה הציבורית.</w:t>
      </w:r>
    </w:p>
    <w:bookmarkStart w:id="4548" w:name="b4_note103"/>
    <w:p w14:paraId="3EFE917C" w14:textId="77777777" w:rsidR="00AB3647" w:rsidRDefault="00000000" w:rsidP="007923E9">
      <w:pPr>
        <w:spacing w:before="120" w:after="100" w:line="276" w:lineRule="auto"/>
        <w:jc w:val="both"/>
      </w:pPr>
      <w:r>
        <w:fldChar w:fldCharType="begin" w:dirty="true"/>
      </w:r>
      <w:r>
        <w:instrText>HYPERLINK \l "b4_text103" \h</w:instrText>
      </w:r>
      <w:r>
        <w:fldChar w:fldCharType="separate"/>
      </w:r>
      <w:r>
        <w:rPr>
          <w:b/>
          <w:bCs/>
          <w:rtl/>
        </w:rPr>
        <w:t>103</w:t>
      </w:r>
      <w:r>
        <w:rPr>
          <w:b/>
          <w:bCs/>
        </w:rPr>
        <w:fldChar w:fldCharType="end"/>
      </w:r>
      <w:bookmarkEnd w:id="4548"/>
      <w:r>
        <w:rPr>
          <w:rtl/>
        </w:rPr>
        <w:t xml:space="preserve"> לפי כץ, “תנועת המוסר”, כרך ה</w:t>
      </w:r>
      <w:bookmarkStart w:id="4549" w:name="_fnr3376"/>
      <w:r>
        <w:rPr>
          <w:vertAlign w:val="superscript"/>
          <w:rtl/>
        </w:rPr>
        <w:footnoteReference w:id="3385" w:customMarkFollows="0"/>
      </w:r>
      <w:bookmarkEnd w:id="4549"/>
      <w:r>
        <w:rPr>
          <w:rtl/>
        </w:rPr>
        <w:t>, אהבתו לתורה הייתה גדולה כל כך, שכל תלמיד שהעלה הסבר חריף בגמרא זכה לחיבוק ולנשיקה מר׳ לייזר – אפילו מורד שהכול ידעו שהוא מורד, ואפילו בעיצומן של המרידות. כץ, “תנועת המוסר”, כרך ב</w:t>
      </w:r>
      <w:bookmarkStart w:id="4550" w:name="_fnr3377"/>
      <w:r>
        <w:rPr>
          <w:vertAlign w:val="superscript"/>
          <w:rtl/>
        </w:rPr>
        <w:footnoteReference w:id="3386" w:customMarkFollows="0"/>
      </w:r>
      <w:bookmarkEnd w:id="4550"/>
      <w:r>
        <w:rPr>
          <w:rtl/>
        </w:rPr>
        <w:t xml:space="preserve"> וכרך ה</w:t>
      </w:r>
      <w:bookmarkStart w:id="4551" w:name="_fnr3378"/>
      <w:r>
        <w:rPr>
          <w:vertAlign w:val="superscript"/>
          <w:rtl/>
        </w:rPr>
        <w:footnoteReference w:id="3387" w:customMarkFollows="0"/>
      </w:r>
      <w:bookmarkEnd w:id="4551"/>
      <w:r>
        <w:rPr>
          <w:rtl/>
        </w:rPr>
        <w:t xml:space="preserve">, מביא בשם ר׳ </w:t>
      </w:r>
      <w:proofErr w:type="spellStart"/>
      <w:r>
        <w:rPr>
          <w:rtl/>
        </w:rPr>
        <w:t>יוסף־שלמה</w:t>
      </w:r>
      <w:proofErr w:type="spellEnd"/>
      <w:r>
        <w:rPr>
          <w:rtl/>
        </w:rPr>
        <w:t xml:space="preserve"> </w:t>
      </w:r>
      <w:proofErr w:type="spellStart"/>
      <w:r>
        <w:rPr>
          <w:rtl/>
        </w:rPr>
        <w:t>כהנמן</w:t>
      </w:r>
      <w:proofErr w:type="spellEnd"/>
      <w:r>
        <w:rPr>
          <w:rtl/>
        </w:rPr>
        <w:t xml:space="preserve">, לימים הרב </w:t>
      </w:r>
      <w:proofErr w:type="spellStart"/>
      <w:r>
        <w:rPr>
          <w:rtl/>
        </w:rPr>
        <w:t>מפוניבז</w:t>
      </w:r>
      <w:proofErr w:type="spellEnd"/>
      <w:r>
        <w:rPr>
          <w:rtl/>
        </w:rPr>
        <w:t xml:space="preserve">׳ (שהצטרף לישיבת </w:t>
      </w:r>
      <w:proofErr w:type="spellStart"/>
      <w:r>
        <w:rPr>
          <w:rtl/>
        </w:rPr>
        <w:t>טלז</w:t>
      </w:r>
      <w:proofErr w:type="spellEnd"/>
      <w:r>
        <w:rPr>
          <w:rtl/>
        </w:rPr>
        <w:t xml:space="preserve"> </w:t>
      </w:r>
      <w:proofErr w:type="spellStart"/>
      <w:r>
        <w:rPr>
          <w:rtl/>
        </w:rPr>
        <w:t>בתרס״א</w:t>
      </w:r>
      <w:proofErr w:type="spellEnd"/>
      <w:r>
        <w:rPr>
          <w:rtl/>
        </w:rPr>
        <w:t>, לפי כץ, כרך ה</w:t>
      </w:r>
      <w:bookmarkStart w:id="4552" w:name="_fnr3379"/>
      <w:r>
        <w:rPr>
          <w:vertAlign w:val="superscript"/>
          <w:rtl/>
        </w:rPr>
        <w:footnoteReference w:id="3388" w:customMarkFollows="0"/>
      </w:r>
      <w:bookmarkEnd w:id="4552"/>
      <w:r>
        <w:rPr>
          <w:rtl/>
        </w:rPr>
        <w:t xml:space="preserve">), שכאשר נסגרה הישיבה נשארה קבוצת המורדים שלו באחד מבתי הכנסת </w:t>
      </w:r>
      <w:proofErr w:type="spellStart"/>
      <w:r>
        <w:rPr>
          <w:rtl/>
        </w:rPr>
        <w:t>בטלז</w:t>
      </w:r>
      <w:proofErr w:type="spellEnd"/>
      <w:r>
        <w:rPr>
          <w:rtl/>
        </w:rPr>
        <w:t xml:space="preserve">, וניסתה, בהצלחה מועטה, להסתדר בכוחות עצמה. לפי </w:t>
      </w:r>
      <w:proofErr w:type="spellStart"/>
      <w:r>
        <w:rPr>
          <w:rtl/>
        </w:rPr>
        <w:t>רבינר</w:t>
      </w:r>
      <w:proofErr w:type="spellEnd"/>
      <w:r>
        <w:rPr>
          <w:rtl/>
        </w:rPr>
        <w:t>, “הגאון רבי אליעזר גורדון”</w:t>
      </w:r>
      <w:bookmarkStart w:id="4553" w:name="_fnr3380"/>
      <w:r>
        <w:rPr>
          <w:vertAlign w:val="superscript"/>
          <w:rtl/>
        </w:rPr>
        <w:footnoteReference w:id="3389" w:customMarkFollows="0"/>
      </w:r>
      <w:bookmarkEnd w:id="4553"/>
      <w:r>
        <w:rPr>
          <w:rtl/>
        </w:rPr>
        <w:t xml:space="preserve">, סיפר ר׳ </w:t>
      </w:r>
      <w:proofErr w:type="spellStart"/>
      <w:r>
        <w:rPr>
          <w:rtl/>
        </w:rPr>
        <w:t>יוסף־שלמה</w:t>
      </w:r>
      <w:proofErr w:type="spellEnd"/>
      <w:r>
        <w:rPr>
          <w:rtl/>
        </w:rPr>
        <w:t xml:space="preserve"> </w:t>
      </w:r>
      <w:proofErr w:type="spellStart"/>
      <w:r>
        <w:rPr>
          <w:rtl/>
        </w:rPr>
        <w:t>כהנמן</w:t>
      </w:r>
      <w:proofErr w:type="spellEnd"/>
      <w:r>
        <w:rPr>
          <w:rtl/>
        </w:rPr>
        <w:t xml:space="preserve"> שהיה זה </w:t>
      </w:r>
      <w:proofErr w:type="spellStart"/>
      <w:r>
        <w:rPr>
          <w:rtl/>
        </w:rPr>
        <w:t>קלויז</w:t>
      </w:r>
      <w:proofErr w:type="spellEnd"/>
      <w:r>
        <w:rPr>
          <w:rtl/>
        </w:rPr>
        <w:t xml:space="preserve"> היוונים היפה</w:t>
      </w:r>
      <w:bookmarkStart w:id="4554" w:name="_fnr3381"/>
      <w:r>
        <w:rPr>
          <w:vertAlign w:val="superscript"/>
          <w:rtl/>
        </w:rPr>
        <w:footnoteReference w:id="3390" w:customMarkFollows="0"/>
      </w:r>
      <w:bookmarkEnd w:id="4554"/>
      <w:r>
        <w:rPr>
          <w:rtl/>
        </w:rPr>
        <w:t>. לבסוף הקימו המורדים משלחת בראשותו, כדי לשאת ולתת עם ראש ישיבתם. כשהעירו חברי המשלחת כבדרך אגב:</w:t>
      </w:r>
    </w:p>
    <w:p w14:paraId="4720093B" w14:textId="77777777" w:rsidR="00AB3647" w:rsidRDefault="00000000" w:rsidP="007923E9">
      <w:pPr>
        <w:spacing w:after="120" w:line="276" w:lineRule="auto"/>
        <w:jc w:val="both"/>
      </w:pPr>
      <w:r>
        <w:rPr>
          <w:rtl/>
        </w:rPr>
        <w:t>“תלמידיכם רעבים, אבל הם יושבים ולומדים”, הזדעזע ר׳ לייזר כל כך עד שמסר להם 25 רובל, סכום גדול באותם ימים, לקניית לחם למתנגדים הידועים להנהלת הישיבה</w:t>
      </w:r>
      <w:bookmarkStart w:id="4555" w:name="_fnr3382"/>
      <w:r>
        <w:rPr>
          <w:vertAlign w:val="superscript"/>
          <w:rtl/>
        </w:rPr>
        <w:footnoteReference w:id="3391" w:customMarkFollows="0"/>
      </w:r>
      <w:bookmarkEnd w:id="4555"/>
      <w:r>
        <w:rPr>
          <w:rtl/>
        </w:rPr>
        <w:t>.</w:t>
      </w:r>
    </w:p>
    <w:p w14:paraId="330EE557" w14:textId="77777777" w:rsidR="00AB3647" w:rsidRDefault="00000000" w:rsidP="007923E9">
      <w:pPr>
        <w:spacing w:after="120" w:line="276" w:lineRule="auto"/>
        <w:jc w:val="both"/>
      </w:pPr>
      <w:r>
        <w:rPr>
          <w:rtl/>
        </w:rPr>
        <w:t xml:space="preserve">ר׳ ישראל </w:t>
      </w:r>
      <w:proofErr w:type="spellStart"/>
      <w:r>
        <w:rPr>
          <w:rtl/>
        </w:rPr>
        <w:t>שורין</w:t>
      </w:r>
      <w:proofErr w:type="spellEnd"/>
      <w:r>
        <w:rPr>
          <w:rtl/>
        </w:rPr>
        <w:t xml:space="preserve"> סיפר</w:t>
      </w:r>
      <w:bookmarkStart w:id="4556" w:name="_fnr3383"/>
      <w:r>
        <w:rPr>
          <w:vertAlign w:val="superscript"/>
          <w:rtl/>
        </w:rPr>
        <w:footnoteReference w:id="3392" w:customMarkFollows="0"/>
      </w:r>
      <w:bookmarkEnd w:id="4556"/>
      <w:r>
        <w:rPr>
          <w:rtl/>
        </w:rPr>
        <w:t xml:space="preserve"> שר׳ חיים הלר תיאר לו כיצד היה ר׳ לייזר מרעיף שבחים על כל מי שדברי תורתו מצאו חן בעיניו. ר׳ חיים הלר היה בן פחות </w:t>
      </w:r>
      <w:proofErr w:type="spellStart"/>
      <w:r>
        <w:rPr>
          <w:rtl/>
        </w:rPr>
        <w:t>משלוש־עשרה</w:t>
      </w:r>
      <w:proofErr w:type="spellEnd"/>
      <w:r>
        <w:rPr>
          <w:rtl/>
        </w:rPr>
        <w:t xml:space="preserve"> כשביקר ר׳ לייזר גורדון בבית אביו והחל בדיון תורני ער עם הנער. לפתע קרא ר׳ לייזר: “אתה לא תהיה גאון... כי אתה כבר גאון!”</w:t>
      </w:r>
      <w:bookmarkStart w:id="4557" w:name="_fnr3384"/>
      <w:r>
        <w:rPr>
          <w:vertAlign w:val="superscript"/>
          <w:rtl/>
        </w:rPr>
        <w:footnoteReference w:id="3393" w:customMarkFollows="0"/>
      </w:r>
      <w:bookmarkEnd w:id="4557"/>
    </w:p>
    <w:bookmarkStart w:id="4558" w:name="b4_note104"/>
    <w:p w14:paraId="5D810A54" w14:textId="77777777" w:rsidR="00AB3647" w:rsidRDefault="00000000" w:rsidP="007923E9">
      <w:pPr>
        <w:spacing w:before="120" w:after="100" w:line="276" w:lineRule="auto"/>
        <w:jc w:val="both"/>
      </w:pPr>
      <w:r>
        <w:fldChar w:fldCharType="begin" w:dirty="true"/>
      </w:r>
      <w:r>
        <w:instrText>HYPERLINK \l "b4_text104" \h</w:instrText>
      </w:r>
      <w:r>
        <w:fldChar w:fldCharType="separate"/>
      </w:r>
      <w:r>
        <w:rPr>
          <w:b/>
          <w:bCs/>
          <w:rtl/>
        </w:rPr>
        <w:t>104</w:t>
      </w:r>
      <w:r>
        <w:rPr>
          <w:b/>
          <w:bCs/>
        </w:rPr>
        <w:fldChar w:fldCharType="end"/>
      </w:r>
      <w:bookmarkEnd w:id="4558"/>
      <w:r>
        <w:rPr>
          <w:rtl/>
        </w:rPr>
        <w:t xml:space="preserve"> יעקב מארק</w:t>
      </w:r>
      <w:bookmarkStart w:id="4559" w:name="_fnr3385"/>
      <w:r>
        <w:rPr>
          <w:vertAlign w:val="superscript"/>
          <w:rtl/>
        </w:rPr>
        <w:footnoteReference w:id="3394" w:customMarkFollows="0"/>
      </w:r>
      <w:bookmarkEnd w:id="4559"/>
      <w:r>
        <w:rPr>
          <w:rtl/>
        </w:rPr>
        <w:t>.</w:t>
      </w:r>
    </w:p>
    <w:p w14:paraId="3A761C8C" w14:textId="711EB5A0"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אף שבעיקרו לא התעניין בשום דבר מלבד לימוד תורה בעיון, שיבח את המוסר ככלי חינוכי נחוץ</w:t>
      </w:r>
      <w:bookmarkStart w:id="4560" w:name="b4_text105"/>
      <w:bookmarkEnd w:id="4560"/>
      <w:r>
        <w:rPr>
          <w:sz w:val="18"/>
          <w:szCs w:val="18"/>
          <w:vertAlign w:val="superscript"/>
          <w:rtl/>
        </w:rPr>
        <w:fldChar w:fldCharType="begin" w:dirty="true"/>
      </w:r>
      <w:r>
        <w:rPr>
          <w:sz w:val="18"/>
          <w:szCs w:val="18"/>
          <w:vertAlign w:val="superscript"/>
          <w:rtl/>
        </w:rPr>
        <w:instrText xml:space="preserve"> REF b4_note105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105</w:t>
      </w:r>
      <w:r>
        <w:rPr>
          <w:sz w:val="18"/>
          <w:szCs w:val="18"/>
          <w:vertAlign w:val="superscript"/>
          <w:rtl/>
        </w:rPr>
        <w:fldChar w:fldCharType="end"/>
      </w:r>
      <w:r>
        <w:rPr>
          <w:rtl/>
        </w:rPr>
        <w:t>, והביא לישיבתו משגיחים בעלי שיעור קומה</w:t>
      </w:r>
      <w:bookmarkStart w:id="4561" w:name="b4_text106"/>
      <w:bookmarkEnd w:id="4561"/>
      <w:r>
        <w:rPr>
          <w:sz w:val="18"/>
          <w:szCs w:val="18"/>
          <w:vertAlign w:val="superscript"/>
          <w:rtl/>
        </w:rPr>
        <w:fldChar w:fldCharType="begin" w:dirty="true"/>
      </w:r>
      <w:r>
        <w:rPr>
          <w:sz w:val="18"/>
          <w:szCs w:val="18"/>
          <w:vertAlign w:val="superscript"/>
          <w:rtl/>
        </w:rPr>
        <w:instrText xml:space="preserve"> REF b4_note106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106</w:t>
      </w:r>
      <w:r>
        <w:rPr>
          <w:sz w:val="18"/>
          <w:szCs w:val="18"/>
          <w:vertAlign w:val="superscript"/>
          <w:rtl/>
        </w:rPr>
        <w:fldChar w:fldCharType="end"/>
      </w:r>
      <w:r>
        <w:rPr>
          <w:rtl/>
        </w:rPr>
        <w:t xml:space="preserve">. חתנו ר׳ יוסף לייב, מנהל הישיבה, היה </w:t>
      </w:r>
      <w:r>
        <w:rPr>
          <w:rtl/>
        </w:rPr>
        <w:lastRenderedPageBreak/>
        <w:t xml:space="preserve">בעל מוסר מובהק, ואחרי תקופת לימוד קצרה אצל ר׳ </w:t>
      </w:r>
      <w:proofErr w:type="spellStart"/>
      <w:r>
        <w:rPr>
          <w:rtl/>
        </w:rPr>
        <w:t>שמחה־זיסל</w:t>
      </w:r>
      <w:proofErr w:type="spellEnd"/>
      <w:r>
        <w:rPr>
          <w:rtl/>
        </w:rPr>
        <w:t xml:space="preserve"> זיו </w:t>
      </w:r>
      <w:proofErr w:type="spellStart"/>
      <w:r>
        <w:rPr>
          <w:rtl/>
        </w:rPr>
        <w:t>בקלם</w:t>
      </w:r>
      <w:proofErr w:type="spellEnd"/>
      <w:r>
        <w:rPr>
          <w:rtl/>
        </w:rPr>
        <w:t xml:space="preserve"> פיתח שיטת מוסר מקורית</w:t>
      </w:r>
      <w:bookmarkStart w:id="4562" w:name="b4_text107"/>
      <w:bookmarkEnd w:id="4562"/>
      <w:r>
        <w:rPr>
          <w:sz w:val="18"/>
          <w:szCs w:val="18"/>
          <w:vertAlign w:val="superscript"/>
          <w:rtl/>
        </w:rPr>
        <w:fldChar w:fldCharType="begin" w:dirty="true"/>
      </w:r>
      <w:r>
        <w:rPr>
          <w:sz w:val="18"/>
          <w:szCs w:val="18"/>
          <w:vertAlign w:val="superscript"/>
          <w:rtl/>
        </w:rPr>
        <w:instrText xml:space="preserve"> REF b4_note107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107</w:t>
      </w:r>
      <w:r>
        <w:rPr>
          <w:sz w:val="18"/>
          <w:szCs w:val="18"/>
          <w:vertAlign w:val="superscript"/>
          <w:rtl/>
        </w:rPr>
        <w:fldChar w:fldCharType="end"/>
      </w:r>
      <w:r>
        <w:rPr>
          <w:rtl/>
        </w:rPr>
        <w:t>.</w:t>
      </w:r>
    </w:p>
    <w:bookmarkStart w:id="4563" w:name="b4_note105"/>
    <w:p w14:paraId="6031ED24" w14:textId="422A9D35" w:rsidR="00AB3647" w:rsidRDefault="00000000" w:rsidP="007923E9">
      <w:pPr>
        <w:spacing w:before="120" w:after="100" w:line="276" w:lineRule="auto"/>
        <w:jc w:val="both"/>
      </w:pPr>
      <w:r>
        <w:fldChar w:fldCharType="begin" w:dirty="true"/>
      </w:r>
      <w:r>
        <w:instrText>HYPERLINK \l "b4_text105" \h</w:instrText>
      </w:r>
      <w:r>
        <w:fldChar w:fldCharType="separate"/>
      </w:r>
      <w:r>
        <w:rPr>
          <w:b/>
          <w:bCs/>
          <w:rtl/>
        </w:rPr>
        <w:t>105</w:t>
      </w:r>
      <w:r>
        <w:rPr>
          <w:b/>
          <w:bCs/>
        </w:rPr>
        <w:fldChar w:fldCharType="end"/>
      </w:r>
      <w:bookmarkEnd w:id="4563"/>
      <w:r>
        <w:rPr>
          <w:rtl/>
        </w:rPr>
        <w:t xml:space="preserve"> השווה ל</w:t>
      </w:r>
      <w:r>
        <w:rPr>
          <w:rtl/>
        </w:rPr>
        <w:fldChar w:fldCharType="begin" w:dirty="true"/>
      </w:r>
      <w:r>
        <w:rPr>
          <w:rtl/>
        </w:rPr>
        <w:instrText xml:space="preserve"> REF b4_excN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יד</w:t>
      </w:r>
      <w:r>
        <w:rPr>
          <w:rtl/>
        </w:rPr>
        <w:fldChar w:fldCharType="end"/>
      </w:r>
      <w:r>
        <w:rPr>
          <w:rtl/>
        </w:rPr>
        <w:t xml:space="preserve"> להלן.</w:t>
      </w:r>
    </w:p>
    <w:bookmarkStart w:id="4564" w:name="b4_note106"/>
    <w:p w14:paraId="76636673" w14:textId="77777777" w:rsidR="00AB3647" w:rsidRDefault="00000000" w:rsidP="007923E9">
      <w:pPr>
        <w:spacing w:before="120" w:after="100" w:line="276" w:lineRule="auto"/>
        <w:jc w:val="both"/>
      </w:pPr>
      <w:r>
        <w:fldChar w:fldCharType="begin" w:dirty="true"/>
      </w:r>
      <w:r>
        <w:instrText>HYPERLINK \l "b4_text106" \h</w:instrText>
      </w:r>
      <w:r>
        <w:fldChar w:fldCharType="separate"/>
      </w:r>
      <w:r>
        <w:rPr>
          <w:b/>
          <w:bCs/>
          <w:rtl/>
        </w:rPr>
        <w:t>106</w:t>
      </w:r>
      <w:r>
        <w:rPr>
          <w:b/>
          <w:bCs/>
        </w:rPr>
        <w:fldChar w:fldCharType="end"/>
      </w:r>
      <w:bookmarkEnd w:id="4564"/>
      <w:r>
        <w:rPr>
          <w:rtl/>
        </w:rPr>
        <w:t xml:space="preserve"> בתקופת גורדון היו אלה: ר׳ </w:t>
      </w:r>
      <w:proofErr w:type="spellStart"/>
      <w:r>
        <w:rPr>
          <w:rtl/>
        </w:rPr>
        <w:t xml:space="preserve">בנצה־וועלוול</w:t>
      </w:r>
      <w:proofErr w:type="spellEnd"/>
      <w:r>
        <w:rPr>
          <w:rtl/>
        </w:rPr>
        <w:t xml:space="preserve"> </w:t>
      </w:r>
      <w:proofErr w:type="spellStart"/>
      <w:r>
        <w:rPr>
          <w:rtl/>
        </w:rPr>
        <w:t>קרניץ</w:t>
      </w:r>
      <w:proofErr w:type="spellEnd"/>
      <w:r>
        <w:rPr>
          <w:rtl/>
        </w:rPr>
        <w:t xml:space="preserve"> (תרנ״ג–תרנ״ה)</w:t>
      </w:r>
      <w:bookmarkStart w:id="4565" w:name="_fnr3386"/>
      <w:r>
        <w:rPr>
          <w:vertAlign w:val="superscript"/>
          <w:rtl/>
        </w:rPr>
        <w:footnoteReference w:id="3395" w:customMarkFollows="0"/>
      </w:r>
      <w:bookmarkEnd w:id="4565"/>
      <w:r>
        <w:rPr>
          <w:rtl/>
        </w:rPr>
        <w:t>; ר׳ לייב חסמן (תרנ״ז–תרס״ג, מלבד הפסקה קצרה כמה חודשים אחרי מינויו, כשפרש בעקבות “הופקה”)</w:t>
      </w:r>
      <w:bookmarkStart w:id="4566" w:name="_fnr3387"/>
      <w:r>
        <w:rPr>
          <w:vertAlign w:val="superscript"/>
          <w:rtl/>
        </w:rPr>
        <w:footnoteReference w:id="3396" w:customMarkFollows="0"/>
      </w:r>
      <w:bookmarkEnd w:id="4566"/>
      <w:r>
        <w:rPr>
          <w:rtl/>
        </w:rPr>
        <w:t>; ר׳ יעקב כץ (תרס״ג–תרס״ד)</w:t>
      </w:r>
      <w:bookmarkStart w:id="4567" w:name="_fnr3388"/>
      <w:r>
        <w:rPr>
          <w:vertAlign w:val="superscript"/>
          <w:rtl/>
        </w:rPr>
        <w:footnoteReference w:id="3397" w:customMarkFollows="0"/>
      </w:r>
      <w:bookmarkEnd w:id="4567"/>
      <w:r>
        <w:rPr>
          <w:rtl/>
        </w:rPr>
        <w:t>; ר׳ אליעזר לופט (חצי שנת תרס״ה, עד סגירת הישיבה)</w:t>
      </w:r>
      <w:bookmarkStart w:id="4568" w:name="_fnr3389"/>
      <w:r>
        <w:rPr>
          <w:vertAlign w:val="superscript"/>
          <w:rtl/>
        </w:rPr>
        <w:footnoteReference w:id="3398" w:customMarkFollows="0"/>
      </w:r>
      <w:bookmarkEnd w:id="4568"/>
      <w:r>
        <w:rPr>
          <w:rtl/>
        </w:rPr>
        <w:t xml:space="preserve">; ור׳ שמואל </w:t>
      </w:r>
      <w:proofErr w:type="spellStart"/>
      <w:r>
        <w:rPr>
          <w:rtl/>
        </w:rPr>
        <w:t>פונדילער</w:t>
      </w:r>
      <w:proofErr w:type="spellEnd"/>
      <w:r>
        <w:rPr>
          <w:rtl/>
        </w:rPr>
        <w:t xml:space="preserve"> (</w:t>
      </w:r>
      <w:proofErr w:type="spellStart"/>
      <w:r>
        <w:rPr>
          <w:rtl/>
        </w:rPr>
        <w:t>מתרס״ו</w:t>
      </w:r>
      <w:proofErr w:type="spellEnd"/>
      <w:r>
        <w:rPr>
          <w:rtl/>
        </w:rPr>
        <w:t xml:space="preserve"> ואילך)</w:t>
      </w:r>
      <w:bookmarkStart w:id="4569" w:name="_fnr3390"/>
      <w:r>
        <w:rPr>
          <w:vertAlign w:val="superscript"/>
          <w:rtl/>
        </w:rPr>
        <w:footnoteReference w:id="3399" w:customMarkFollows="0"/>
      </w:r>
      <w:bookmarkEnd w:id="4569"/>
      <w:r>
        <w:rPr>
          <w:rtl/>
        </w:rPr>
        <w:t xml:space="preserve">. </w:t>
      </w:r>
      <w:proofErr w:type="spellStart"/>
      <w:r>
        <w:rPr>
          <w:rtl/>
        </w:rPr>
        <w:t>זמן־מה</w:t>
      </w:r>
      <w:proofErr w:type="spellEnd"/>
      <w:r>
        <w:rPr>
          <w:rtl/>
        </w:rPr>
        <w:t xml:space="preserve"> אחרי כהונת חסמן – כנראה לפני שר׳ יעקב כץ קיבל עליו את התפקיד, ובוודאי לפני ר׳ אליעזר לופט – ניסה ר׳ לייזר לפנות לכיוון אחר, שאינו המוסר: הוא הציע את משרת המשגיח </w:t>
      </w:r>
      <w:proofErr w:type="spellStart"/>
      <w:r>
        <w:rPr>
          <w:rtl/>
        </w:rPr>
        <w:t>לר</w:t>
      </w:r>
      <w:proofErr w:type="spellEnd"/>
      <w:r>
        <w:rPr>
          <w:rtl/>
        </w:rPr>
        <w:t xml:space="preserve">׳ </w:t>
      </w:r>
      <w:proofErr w:type="spellStart"/>
      <w:r>
        <w:rPr>
          <w:rtl/>
        </w:rPr>
        <w:t>אברהם־יצחק</w:t>
      </w:r>
      <w:proofErr w:type="spellEnd"/>
      <w:r>
        <w:rPr>
          <w:rtl/>
        </w:rPr>
        <w:t xml:space="preserve"> קוק, שכיהן אז ברבנות </w:t>
      </w:r>
      <w:proofErr w:type="spellStart"/>
      <w:r>
        <w:rPr>
          <w:rtl/>
        </w:rPr>
        <w:t>בויסק</w:t>
      </w:r>
      <w:proofErr w:type="spellEnd"/>
      <w:r>
        <w:rPr>
          <w:rtl/>
        </w:rPr>
        <w:t xml:space="preserve">. ר׳ </w:t>
      </w:r>
      <w:proofErr w:type="spellStart"/>
      <w:r>
        <w:rPr>
          <w:rtl/>
        </w:rPr>
        <w:t>אברהם־יצחק</w:t>
      </w:r>
      <w:proofErr w:type="spellEnd"/>
      <w:r>
        <w:rPr>
          <w:rtl/>
        </w:rPr>
        <w:t xml:space="preserve"> קוק שהה כמה ימים </w:t>
      </w:r>
      <w:proofErr w:type="spellStart"/>
      <w:r>
        <w:rPr>
          <w:rtl/>
        </w:rPr>
        <w:t>בטלז</w:t>
      </w:r>
      <w:proofErr w:type="spellEnd"/>
      <w:r>
        <w:rPr>
          <w:rtl/>
        </w:rPr>
        <w:t xml:space="preserve"> ודחה את ההצעה, מפני שבאותה עת הוצעה לו רבנות יפו שבארץ ישראל. אבל לפני כן העלה לפני ר׳ לייזר גורדון הצעה מהפכנית: </w:t>
      </w:r>
      <w:proofErr w:type="spellStart"/>
      <w:r>
        <w:rPr>
          <w:rtl/>
        </w:rPr>
        <w:t>ש“הישיבה</w:t>
      </w:r>
      <w:proofErr w:type="spellEnd"/>
      <w:r>
        <w:rPr>
          <w:rtl/>
        </w:rPr>
        <w:t xml:space="preserve"> תנהיג שיעורים בתנ״ך, במדרש, בזוהר, בכוזרי, </w:t>
      </w:r>
      <w:proofErr w:type="spellStart"/>
      <w:r>
        <w:rPr>
          <w:rtl/>
        </w:rPr>
        <w:t>בהאמונות</w:t>
      </w:r>
      <w:proofErr w:type="spellEnd"/>
      <w:r>
        <w:rPr>
          <w:rtl/>
        </w:rPr>
        <w:t xml:space="preserve"> והדעות </w:t>
      </w:r>
      <w:proofErr w:type="spellStart"/>
      <w:r>
        <w:rPr>
          <w:rtl/>
        </w:rPr>
        <w:t>לר</w:t>
      </w:r>
      <w:proofErr w:type="spellEnd"/>
      <w:r>
        <w:rPr>
          <w:rtl/>
        </w:rPr>
        <w:t xml:space="preserve">׳ סעדיה גאון, בשמנה פרקים </w:t>
      </w:r>
      <w:proofErr w:type="spellStart"/>
      <w:r>
        <w:rPr>
          <w:rtl/>
        </w:rPr>
        <w:t>להרמב״ם</w:t>
      </w:r>
      <w:proofErr w:type="spellEnd"/>
      <w:r>
        <w:rPr>
          <w:rtl/>
        </w:rPr>
        <w:t>, בחובות הלבבות וכיוצא באלה</w:t>
      </w:r>
      <w:bookmarkStart w:id="4570" w:name="_fnr3391"/>
      <w:r>
        <w:rPr>
          <w:vertAlign w:val="superscript"/>
          <w:rtl/>
        </w:rPr>
        <w:footnoteReference w:id="3400" w:customMarkFollows="0"/>
      </w:r>
      <w:bookmarkEnd w:id="4570"/>
      <w:r>
        <w:rPr>
          <w:rtl/>
        </w:rPr>
        <w:t>”.</w:t>
      </w:r>
    </w:p>
    <w:p w14:paraId="5E5E4AF4" w14:textId="77777777" w:rsidR="00AB3647" w:rsidRDefault="00000000" w:rsidP="007923E9">
      <w:pPr>
        <w:spacing w:before="120" w:after="100" w:line="276" w:lineRule="auto"/>
        <w:jc w:val="both"/>
      </w:pPr>
      <w:r>
        <w:rPr>
          <w:rtl/>
        </w:rPr>
        <w:t xml:space="preserve">על ההצעה שבחורי ישיבה ילמדו זוהר השווה “אגרות </w:t>
      </w:r>
      <w:proofErr w:type="spellStart"/>
      <w:r>
        <w:rPr>
          <w:rtl/>
        </w:rPr>
        <w:t>הראי״ה</w:t>
      </w:r>
      <w:proofErr w:type="spellEnd"/>
      <w:r>
        <w:rPr>
          <w:rtl/>
        </w:rPr>
        <w:t xml:space="preserve">”, </w:t>
      </w:r>
      <w:proofErr w:type="spellStart"/>
      <w:r>
        <w:rPr>
          <w:rtl/>
        </w:rPr>
        <w:t>ח״ב</w:t>
      </w:r>
      <w:bookmarkStart w:id="4571" w:name="_fnr3392"/>
      <w:proofErr w:type="spellEnd"/>
      <w:r>
        <w:rPr>
          <w:vertAlign w:val="superscript"/>
          <w:rtl/>
        </w:rPr>
        <w:footnoteReference w:id="3401" w:customMarkFollows="0"/>
      </w:r>
      <w:bookmarkEnd w:id="4571"/>
      <w:r>
        <w:rPr>
          <w:rtl/>
        </w:rPr>
        <w:t xml:space="preserve">: במכתב </w:t>
      </w:r>
      <w:proofErr w:type="spellStart"/>
      <w:r>
        <w:rPr>
          <w:rtl/>
        </w:rPr>
        <w:t>להרב</w:t>
      </w:r>
      <w:proofErr w:type="spellEnd"/>
      <w:r>
        <w:rPr>
          <w:rtl/>
        </w:rPr>
        <w:t xml:space="preserve"> וכו׳ יהודה ליב </w:t>
      </w:r>
      <w:proofErr w:type="spellStart"/>
      <w:r>
        <w:rPr>
          <w:rtl/>
        </w:rPr>
        <w:t>זעלצער</w:t>
      </w:r>
      <w:proofErr w:type="spellEnd"/>
      <w:r>
        <w:rPr>
          <w:rtl/>
        </w:rPr>
        <w:t xml:space="preserve">, מראש חודש אלול תרע״ג, כעשור אחרי ביקורו </w:t>
      </w:r>
      <w:proofErr w:type="spellStart"/>
      <w:r>
        <w:rPr>
          <w:rtl/>
        </w:rPr>
        <w:t>בטלז</w:t>
      </w:r>
      <w:proofErr w:type="spellEnd"/>
      <w:r>
        <w:rPr>
          <w:rtl/>
        </w:rPr>
        <w:t xml:space="preserve">, מגן ר׳ </w:t>
      </w:r>
      <w:proofErr w:type="spellStart"/>
      <w:r>
        <w:rPr>
          <w:rtl/>
        </w:rPr>
        <w:t>אברהם־יצחק</w:t>
      </w:r>
      <w:proofErr w:type="spellEnd"/>
      <w:r>
        <w:rPr>
          <w:rtl/>
        </w:rPr>
        <w:t xml:space="preserve"> קוק על לימוד קבלה לפני שהאדם “מלא לחם ובשר” של לימוד תלמוד.</w:t>
      </w:r>
    </w:p>
    <w:bookmarkStart w:id="4572" w:name="b4_note107"/>
    <w:p w14:paraId="626E522C" w14:textId="77777777" w:rsidR="00AB3647" w:rsidRDefault="00000000" w:rsidP="007923E9">
      <w:pPr>
        <w:spacing w:before="120" w:after="100" w:line="276" w:lineRule="auto"/>
        <w:jc w:val="both"/>
      </w:pPr>
      <w:r>
        <w:fldChar w:fldCharType="begin" w:dirty="true"/>
      </w:r>
      <w:r>
        <w:instrText>HYPERLINK \l "b4_text107" \h</w:instrText>
      </w:r>
      <w:r>
        <w:fldChar w:fldCharType="separate"/>
      </w:r>
      <w:r>
        <w:rPr>
          <w:b/>
          <w:bCs/>
          <w:rtl/>
        </w:rPr>
        <w:t>107</w:t>
      </w:r>
      <w:r>
        <w:rPr>
          <w:b/>
          <w:bCs/>
        </w:rPr>
        <w:fldChar w:fldCharType="end"/>
      </w:r>
      <w:bookmarkEnd w:id="4572"/>
      <w:r>
        <w:rPr>
          <w:rtl/>
        </w:rPr>
        <w:t xml:space="preserve"> ר׳ </w:t>
      </w:r>
      <w:proofErr w:type="spellStart"/>
      <w:r>
        <w:rPr>
          <w:rtl/>
        </w:rPr>
        <w:t>נתן־צבי</w:t>
      </w:r>
      <w:proofErr w:type="spellEnd"/>
      <w:r>
        <w:rPr>
          <w:rtl/>
        </w:rPr>
        <w:t xml:space="preserve"> </w:t>
      </w:r>
      <w:proofErr w:type="spellStart"/>
      <w:r>
        <w:rPr>
          <w:rtl/>
        </w:rPr>
        <w:t>פינקל</w:t>
      </w:r>
      <w:proofErr w:type="spellEnd"/>
      <w:r>
        <w:rPr>
          <w:rtl/>
        </w:rPr>
        <w:t xml:space="preserve">, שחיפש תמיד אנשים מבריקים, הכיר בתבונתו הרבה של ר׳ יוסף לייב ובעניינו במוסר ובכתבים פילוסופיים כשבא הלה </w:t>
      </w:r>
      <w:proofErr w:type="spellStart"/>
      <w:r>
        <w:rPr>
          <w:rtl/>
        </w:rPr>
        <w:t>לקלם</w:t>
      </w:r>
      <w:bookmarkStart w:id="4573" w:name="_fnr3393"/>
      <w:proofErr w:type="spellEnd"/>
      <w:r>
        <w:rPr>
          <w:vertAlign w:val="superscript"/>
          <w:rtl/>
        </w:rPr>
        <w:footnoteReference w:id="3402" w:customMarkFollows="0"/>
      </w:r>
      <w:bookmarkEnd w:id="4573"/>
      <w:r>
        <w:rPr>
          <w:rtl/>
        </w:rPr>
        <w:t xml:space="preserve">. </w:t>
      </w:r>
      <w:proofErr w:type="spellStart"/>
      <w:r>
        <w:rPr>
          <w:rtl/>
        </w:rPr>
        <w:t>בתרל״ז</w:t>
      </w:r>
      <w:proofErr w:type="spellEnd"/>
      <w:r>
        <w:rPr>
          <w:rtl/>
        </w:rPr>
        <w:t xml:space="preserve"> השתדל ר׳ </w:t>
      </w:r>
      <w:proofErr w:type="spellStart"/>
      <w:r>
        <w:rPr>
          <w:rtl/>
        </w:rPr>
        <w:t>נתן־צבי</w:t>
      </w:r>
      <w:proofErr w:type="spellEnd"/>
      <w:r>
        <w:rPr>
          <w:rtl/>
        </w:rPr>
        <w:t xml:space="preserve"> </w:t>
      </w:r>
      <w:proofErr w:type="spellStart"/>
      <w:r>
        <w:rPr>
          <w:rtl/>
        </w:rPr>
        <w:t>פינקל</w:t>
      </w:r>
      <w:proofErr w:type="spellEnd"/>
      <w:r>
        <w:rPr>
          <w:rtl/>
        </w:rPr>
        <w:t xml:space="preserve"> אצל ר׳ </w:t>
      </w:r>
      <w:proofErr w:type="spellStart"/>
      <w:r>
        <w:rPr>
          <w:rtl/>
        </w:rPr>
        <w:t>שמחה־זיסל</w:t>
      </w:r>
      <w:proofErr w:type="spellEnd"/>
      <w:r>
        <w:rPr>
          <w:rtl/>
        </w:rPr>
        <w:t xml:space="preserve"> זיו שיתיר </w:t>
      </w:r>
      <w:proofErr w:type="spellStart"/>
      <w:r>
        <w:rPr>
          <w:rtl/>
        </w:rPr>
        <w:t>לר</w:t>
      </w:r>
      <w:proofErr w:type="spellEnd"/>
      <w:r>
        <w:rPr>
          <w:rtl/>
        </w:rPr>
        <w:t xml:space="preserve">׳ יוסף לייב להיכנס לשיחותיו, אפילו לשיחות </w:t>
      </w:r>
      <w:proofErr w:type="spellStart"/>
      <w:r>
        <w:rPr>
          <w:rtl/>
        </w:rPr>
        <w:t>ה“סגורות</w:t>
      </w:r>
      <w:proofErr w:type="spellEnd"/>
      <w:r>
        <w:rPr>
          <w:rtl/>
        </w:rPr>
        <w:t xml:space="preserve">” לתלמידים מובחרים. אבל כעבור כמה חודשים פרש ר׳ יוסף לייב, מפני שחלק על תורתו של ר׳ </w:t>
      </w:r>
      <w:proofErr w:type="spellStart"/>
      <w:r>
        <w:rPr>
          <w:rtl/>
        </w:rPr>
        <w:t>שמחה־זיסל</w:t>
      </w:r>
      <w:proofErr w:type="spellEnd"/>
      <w:r>
        <w:rPr>
          <w:rtl/>
        </w:rPr>
        <w:t xml:space="preserve"> זיו – בגיל 17, וכדרכו בעצמאות מחשבתו</w:t>
      </w:r>
      <w:bookmarkStart w:id="4574" w:name="_fnr3394"/>
      <w:r>
        <w:rPr>
          <w:vertAlign w:val="superscript"/>
          <w:rtl/>
        </w:rPr>
        <w:footnoteReference w:id="3403" w:customMarkFollows="0"/>
      </w:r>
      <w:bookmarkEnd w:id="4574"/>
      <w:r>
        <w:rPr>
          <w:rtl/>
        </w:rPr>
        <w:t xml:space="preserve">. אחרי נישואיו, כעבור שלוש שנים, רצה לשוב לשיחות ר׳ </w:t>
      </w:r>
      <w:proofErr w:type="spellStart"/>
      <w:r>
        <w:rPr>
          <w:rtl/>
        </w:rPr>
        <w:t>שמחה־זיסל</w:t>
      </w:r>
      <w:proofErr w:type="spellEnd"/>
      <w:r>
        <w:rPr>
          <w:rtl/>
        </w:rPr>
        <w:t xml:space="preserve"> זיו, אבל ר׳ </w:t>
      </w:r>
      <w:proofErr w:type="spellStart"/>
      <w:r>
        <w:rPr>
          <w:rtl/>
        </w:rPr>
        <w:t>שמחה־זיסל</w:t>
      </w:r>
      <w:proofErr w:type="spellEnd"/>
      <w:r>
        <w:rPr>
          <w:rtl/>
        </w:rPr>
        <w:t xml:space="preserve"> סירב להכניסו, “באומרו: ‘כבר יש לו דרך משלו’. היו שראו בדבריו [של ר׳ </w:t>
      </w:r>
      <w:proofErr w:type="spellStart"/>
      <w:r>
        <w:rPr>
          <w:rtl/>
        </w:rPr>
        <w:t>שמחה־זיסל</w:t>
      </w:r>
      <w:proofErr w:type="spellEnd"/>
      <w:r>
        <w:rPr>
          <w:rtl/>
        </w:rPr>
        <w:t xml:space="preserve"> זיו] מחמאה, שכן ראה שר׳ יוסף לייב בלוך אינו זקוק להדרכה לאחר שגילה את הגישה המתאימה ביותר לאופיו. אחרים ראו בדבריו [של ר׳ </w:t>
      </w:r>
      <w:proofErr w:type="spellStart"/>
      <w:r>
        <w:rPr>
          <w:rtl/>
        </w:rPr>
        <w:t>שמחה־זיסל</w:t>
      </w:r>
      <w:proofErr w:type="spellEnd"/>
      <w:r>
        <w:rPr>
          <w:rtl/>
        </w:rPr>
        <w:t xml:space="preserve"> זיו] ביקורת, שכן ראה שר׳ יוסף לייב בלוך מושרש כל כך בגישתו שלו עד שלא תועיל שום השתדלות להעבירו [אל הגישה הנכונה]</w:t>
      </w:r>
      <w:bookmarkStart w:id="4575" w:name="_fnr3395"/>
      <w:r>
        <w:rPr>
          <w:vertAlign w:val="superscript"/>
          <w:rtl/>
        </w:rPr>
        <w:footnoteReference w:id="3404" w:customMarkFollows="0"/>
      </w:r>
      <w:bookmarkEnd w:id="4575"/>
      <w:r>
        <w:rPr>
          <w:rtl/>
        </w:rPr>
        <w:t>”.</w:t>
      </w:r>
    </w:p>
    <w:p w14:paraId="3D535287" w14:textId="77777777" w:rsidR="00AB3647" w:rsidRDefault="00000000" w:rsidP="007923E9">
      <w:pPr>
        <w:spacing w:before="120" w:after="100" w:line="276" w:lineRule="auto"/>
        <w:jc w:val="both"/>
      </w:pPr>
      <w:r>
        <w:rPr>
          <w:rtl/>
        </w:rPr>
        <w:lastRenderedPageBreak/>
        <w:t xml:space="preserve">תלמידי </w:t>
      </w:r>
      <w:proofErr w:type="spellStart"/>
      <w:r>
        <w:rPr>
          <w:rtl/>
        </w:rPr>
        <w:t>סלבודקה</w:t>
      </w:r>
      <w:proofErr w:type="spellEnd"/>
      <w:r>
        <w:rPr>
          <w:rtl/>
        </w:rPr>
        <w:t>, כגון רבנו</w:t>
      </w:r>
      <w:bookmarkStart w:id="4576" w:name="_fnr3396"/>
      <w:r>
        <w:rPr>
          <w:vertAlign w:val="superscript"/>
          <w:rtl/>
        </w:rPr>
        <w:footnoteReference w:id="3405" w:customMarkFollows="0"/>
      </w:r>
      <w:bookmarkEnd w:id="4576"/>
      <w:r>
        <w:rPr>
          <w:rtl/>
        </w:rPr>
        <w:t xml:space="preserve">, קיבלו את הדעה השנייה, וראו ברעיונות ר׳ יוסף לייב לא מוסר אלא, כפי שהוא עצמו קרא להם, “שיעורי דעת”. “שיעורי דעת לא הוכנסו לישיבה כל עוד </w:t>
      </w:r>
      <w:proofErr w:type="spellStart"/>
      <w:r>
        <w:rPr>
          <w:rtl/>
        </w:rPr>
        <w:t>טלז</w:t>
      </w:r>
      <w:proofErr w:type="spellEnd"/>
      <w:r>
        <w:rPr>
          <w:rtl/>
        </w:rPr>
        <w:t xml:space="preserve"> הייתה סניף של </w:t>
      </w:r>
      <w:proofErr w:type="spellStart"/>
      <w:r>
        <w:rPr>
          <w:rtl/>
        </w:rPr>
        <w:t>סלבודקה</w:t>
      </w:r>
      <w:proofErr w:type="spellEnd"/>
      <w:r>
        <w:rPr>
          <w:rtl/>
        </w:rPr>
        <w:t xml:space="preserve">”, אמר אבי, “אלא רק מאוחר יותר, כשר׳ יוסף לייב קיבל לידיו את ישיבת </w:t>
      </w:r>
      <w:proofErr w:type="spellStart"/>
      <w:r>
        <w:rPr>
          <w:rtl/>
        </w:rPr>
        <w:t>טלז</w:t>
      </w:r>
      <w:proofErr w:type="spellEnd"/>
      <w:r>
        <w:rPr>
          <w:rtl/>
        </w:rPr>
        <w:t>, שנה לאחר פטירת חותנו</w:t>
      </w:r>
      <w:bookmarkStart w:id="4577" w:name="_fnr3397"/>
      <w:r>
        <w:rPr>
          <w:vertAlign w:val="superscript"/>
          <w:rtl/>
        </w:rPr>
        <w:footnoteReference w:id="3406" w:customMarkFollows="0"/>
      </w:r>
      <w:bookmarkEnd w:id="4577"/>
      <w:r>
        <w:rPr>
          <w:rtl/>
        </w:rPr>
        <w:t>”.</w:t>
      </w:r>
    </w:p>
    <w:p w14:paraId="4091D824" w14:textId="77777777" w:rsidR="00AB3647" w:rsidRDefault="00000000" w:rsidP="007923E9">
      <w:pPr>
        <w:spacing w:before="120" w:after="100" w:line="276" w:lineRule="auto"/>
        <w:jc w:val="both"/>
      </w:pPr>
      <w:r>
        <w:rPr>
          <w:rtl/>
        </w:rPr>
        <w:t xml:space="preserve">את נקודת המבט </w:t>
      </w:r>
      <w:proofErr w:type="spellStart"/>
      <w:r>
        <w:rPr>
          <w:rtl/>
        </w:rPr>
        <w:t>הטלזאית</w:t>
      </w:r>
      <w:proofErr w:type="spellEnd"/>
      <w:r>
        <w:rPr>
          <w:rtl/>
        </w:rPr>
        <w:t xml:space="preserve"> הכרתי כשסיפר לי ר׳ </w:t>
      </w:r>
      <w:proofErr w:type="spellStart"/>
      <w:r>
        <w:rPr>
          <w:rtl/>
        </w:rPr>
        <w:t>אהרן־בן־ציון</w:t>
      </w:r>
      <w:proofErr w:type="spellEnd"/>
      <w:r>
        <w:rPr>
          <w:rtl/>
        </w:rPr>
        <w:t xml:space="preserve"> </w:t>
      </w:r>
      <w:proofErr w:type="spellStart"/>
      <w:r>
        <w:rPr>
          <w:rtl/>
        </w:rPr>
        <w:t>שורין</w:t>
      </w:r>
      <w:bookmarkStart w:id="4578" w:name="_fnr3398"/>
      <w:proofErr w:type="spellEnd"/>
      <w:r>
        <w:rPr>
          <w:vertAlign w:val="superscript"/>
          <w:rtl/>
        </w:rPr>
        <w:footnoteReference w:id="3407" w:customMarkFollows="0"/>
      </w:r>
      <w:bookmarkEnd w:id="4578"/>
      <w:r>
        <w:rPr>
          <w:rtl/>
        </w:rPr>
        <w:t xml:space="preserve">, שלמד שם בראשית שנות </w:t>
      </w:r>
      <w:proofErr w:type="spellStart"/>
      <w:r>
        <w:rPr>
          <w:rtl/>
        </w:rPr>
        <w:t>הת״ר־צ</w:t>
      </w:r>
      <w:proofErr w:type="spellEnd"/>
      <w:r>
        <w:rPr>
          <w:rtl/>
        </w:rPr>
        <w:t xml:space="preserve">׳, על מסורת שהייתה בישיבה: “עשר שנים קודם לכן” החיל ר׳ יוסף לייב את שני הפסוקים הרצופים בשמות </w:t>
      </w:r>
      <w:proofErr w:type="spellStart"/>
      <w:r>
        <w:rPr>
          <w:rtl/>
        </w:rPr>
        <w:t>כח</w:t>
      </w:r>
      <w:proofErr w:type="spellEnd"/>
      <w:r>
        <w:rPr>
          <w:rtl/>
        </w:rPr>
        <w:t xml:space="preserve">, ב–ג: “ועשית בגדי קודש לאהרן אחיך לכבוד ולתפארת. ועשו את בגדי אהרן לקדשו לכהנו לי” – הראשון על </w:t>
      </w:r>
      <w:proofErr w:type="spellStart"/>
      <w:r>
        <w:rPr>
          <w:rtl/>
        </w:rPr>
        <w:t>סלבודקה</w:t>
      </w:r>
      <w:proofErr w:type="spellEnd"/>
      <w:r>
        <w:rPr>
          <w:rtl/>
        </w:rPr>
        <w:t xml:space="preserve">, לגנותה, והשני על </w:t>
      </w:r>
      <w:proofErr w:type="spellStart"/>
      <w:r>
        <w:rPr>
          <w:rtl/>
        </w:rPr>
        <w:t>טלז</w:t>
      </w:r>
      <w:proofErr w:type="spellEnd"/>
      <w:r>
        <w:rPr>
          <w:rtl/>
        </w:rPr>
        <w:t xml:space="preserve">, לשבחה. בגאווה מקומית אופיינית הסביר </w:t>
      </w:r>
      <w:proofErr w:type="spellStart"/>
      <w:r>
        <w:rPr>
          <w:rtl/>
        </w:rPr>
        <w:t>שסלבודקה</w:t>
      </w:r>
      <w:proofErr w:type="spellEnd"/>
      <w:r>
        <w:rPr>
          <w:rtl/>
        </w:rPr>
        <w:t xml:space="preserve"> חינכה רק “לקבל כבוד ותפארת”, ואילו </w:t>
      </w:r>
      <w:proofErr w:type="spellStart"/>
      <w:r>
        <w:rPr>
          <w:rtl/>
        </w:rPr>
        <w:t>טלז</w:t>
      </w:r>
      <w:proofErr w:type="spellEnd"/>
      <w:r>
        <w:rPr>
          <w:rtl/>
        </w:rPr>
        <w:t xml:space="preserve"> “קידשה” והכשירה אנשים “לכהן לה׳”.</w:t>
      </w:r>
    </w:p>
    <w:p w14:paraId="361DA16A" w14:textId="77777777" w:rsidR="00AB3647" w:rsidRDefault="00000000" w:rsidP="007923E9">
      <w:pPr>
        <w:spacing w:before="120" w:after="100" w:line="276" w:lineRule="auto"/>
        <w:jc w:val="both"/>
      </w:pPr>
      <w:r>
        <w:rPr>
          <w:rtl/>
        </w:rPr>
        <w:t xml:space="preserve">ר׳ </w:t>
      </w:r>
      <w:proofErr w:type="spellStart"/>
      <w:r>
        <w:rPr>
          <w:rtl/>
        </w:rPr>
        <w:t>אהרן־בן־ציון</w:t>
      </w:r>
      <w:proofErr w:type="spellEnd"/>
      <w:r>
        <w:rPr>
          <w:rtl/>
        </w:rPr>
        <w:t xml:space="preserve"> </w:t>
      </w:r>
      <w:proofErr w:type="spellStart"/>
      <w:r>
        <w:rPr>
          <w:rtl/>
        </w:rPr>
        <w:t>שורין</w:t>
      </w:r>
      <w:proofErr w:type="spellEnd"/>
      <w:r>
        <w:rPr>
          <w:rtl/>
        </w:rPr>
        <w:t xml:space="preserve"> סיפר גם שבחנוכת הקמפוס של ישיבת </w:t>
      </w:r>
      <w:proofErr w:type="spellStart"/>
      <w:r>
        <w:rPr>
          <w:rtl/>
        </w:rPr>
        <w:t>טלז־קליבלנד</w:t>
      </w:r>
      <w:proofErr w:type="spellEnd"/>
      <w:r>
        <w:rPr>
          <w:rtl/>
        </w:rPr>
        <w:t xml:space="preserve"> ישב לצד ראש הישיבה, ר׳ מוטל כץ, כשנשא אבי נאום. אבי סיפר בנאומו שמתיבתא תורה ודעת שלחה תלמידים לסייע בהקמת ישיבת </w:t>
      </w:r>
      <w:proofErr w:type="spellStart"/>
      <w:r>
        <w:rPr>
          <w:rtl/>
        </w:rPr>
        <w:t>טלז</w:t>
      </w:r>
      <w:proofErr w:type="spellEnd"/>
      <w:r>
        <w:rPr>
          <w:rtl/>
        </w:rPr>
        <w:t xml:space="preserve"> באמריקה אחרי מלחמת העולם השנייה. ר׳ מוטל העיר </w:t>
      </w:r>
      <w:proofErr w:type="spellStart"/>
      <w:r>
        <w:rPr>
          <w:rtl/>
        </w:rPr>
        <w:t>לר</w:t>
      </w:r>
      <w:proofErr w:type="spellEnd"/>
      <w:r>
        <w:rPr>
          <w:rtl/>
        </w:rPr>
        <w:t xml:space="preserve">׳ </w:t>
      </w:r>
      <w:proofErr w:type="spellStart"/>
      <w:r>
        <w:rPr>
          <w:rtl/>
        </w:rPr>
        <w:t>אהרן־בן־ציון</w:t>
      </w:r>
      <w:proofErr w:type="spellEnd"/>
      <w:r>
        <w:rPr>
          <w:rtl/>
        </w:rPr>
        <w:t xml:space="preserve"> </w:t>
      </w:r>
      <w:proofErr w:type="spellStart"/>
      <w:r>
        <w:rPr>
          <w:rtl/>
        </w:rPr>
        <w:t>שורין</w:t>
      </w:r>
      <w:proofErr w:type="spellEnd"/>
      <w:r>
        <w:rPr>
          <w:rtl/>
        </w:rPr>
        <w:t xml:space="preserve"> בעוקצנות: “כמו </w:t>
      </w:r>
      <w:proofErr w:type="spellStart"/>
      <w:r>
        <w:rPr>
          <w:rtl/>
        </w:rPr>
        <w:t>שסלבודקה</w:t>
      </w:r>
      <w:proofErr w:type="spellEnd"/>
      <w:r>
        <w:rPr>
          <w:rtl/>
        </w:rPr>
        <w:t xml:space="preserve"> בנתה את </w:t>
      </w:r>
      <w:proofErr w:type="spellStart"/>
      <w:r>
        <w:rPr>
          <w:rtl/>
        </w:rPr>
        <w:t>טלז</w:t>
      </w:r>
      <w:proofErr w:type="spellEnd"/>
      <w:r>
        <w:rPr>
          <w:rtl/>
        </w:rPr>
        <w:t xml:space="preserve"> באירופה, תורה ודעת בנתה את </w:t>
      </w:r>
      <w:proofErr w:type="spellStart"/>
      <w:r>
        <w:rPr>
          <w:rtl/>
        </w:rPr>
        <w:t>טלז</w:t>
      </w:r>
      <w:proofErr w:type="spellEnd"/>
      <w:r>
        <w:rPr>
          <w:rtl/>
        </w:rPr>
        <w:t xml:space="preserve"> באמריקה”. ברוח תורתו של ר׳ יוסף לייב רמז ר׳ מוטל כץ </w:t>
      </w:r>
      <w:proofErr w:type="spellStart"/>
      <w:r>
        <w:rPr>
          <w:rtl/>
        </w:rPr>
        <w:t>שטלז־קליבלנד</w:t>
      </w:r>
      <w:proofErr w:type="spellEnd"/>
      <w:r>
        <w:rPr>
          <w:rtl/>
        </w:rPr>
        <w:t xml:space="preserve"> התגלתה כנעלה על </w:t>
      </w:r>
      <w:proofErr w:type="spellStart"/>
      <w:r>
        <w:rPr>
          <w:rtl/>
        </w:rPr>
        <w:t>מיטיבתה</w:t>
      </w:r>
      <w:proofErr w:type="spellEnd"/>
      <w:r>
        <w:rPr>
          <w:rtl/>
        </w:rPr>
        <w:t xml:space="preserve"> לשעבר, מתיבתא תורה ודעת, כמו </w:t>
      </w:r>
      <w:proofErr w:type="spellStart"/>
      <w:r>
        <w:rPr>
          <w:rtl/>
        </w:rPr>
        <w:t>שטלז</w:t>
      </w:r>
      <w:proofErr w:type="spellEnd"/>
      <w:r>
        <w:rPr>
          <w:rtl/>
        </w:rPr>
        <w:t xml:space="preserve"> עלתה על </w:t>
      </w:r>
      <w:proofErr w:type="spellStart"/>
      <w:r>
        <w:rPr>
          <w:rtl/>
        </w:rPr>
        <w:t>סלבודקה</w:t>
      </w:r>
      <w:proofErr w:type="spellEnd"/>
      <w:r>
        <w:rPr>
          <w:rtl/>
        </w:rPr>
        <w:t xml:space="preserve"> אף שנזקקה לעזרתה בשעה מכרעת – כפי שהיה “מובן מאליו” לבוגר </w:t>
      </w:r>
      <w:proofErr w:type="spellStart"/>
      <w:r>
        <w:rPr>
          <w:rtl/>
        </w:rPr>
        <w:t>טלז</w:t>
      </w:r>
      <w:proofErr w:type="spellEnd"/>
      <w:r>
        <w:rPr>
          <w:rtl/>
        </w:rPr>
        <w:t xml:space="preserve"> המסור שישב לצדו, ר׳ </w:t>
      </w:r>
      <w:proofErr w:type="spellStart"/>
      <w:r>
        <w:rPr>
          <w:rtl/>
        </w:rPr>
        <w:t>אהרן־בן־ציון</w:t>
      </w:r>
      <w:proofErr w:type="spellEnd"/>
      <w:r>
        <w:rPr>
          <w:rtl/>
        </w:rPr>
        <w:t xml:space="preserve"> </w:t>
      </w:r>
      <w:proofErr w:type="spellStart"/>
      <w:r>
        <w:rPr>
          <w:rtl/>
        </w:rPr>
        <w:t>שורין</w:t>
      </w:r>
      <w:proofErr w:type="spellEnd"/>
      <w:r>
        <w:rPr>
          <w:rtl/>
        </w:rPr>
        <w:t>.</w:t>
      </w:r>
    </w:p>
    <w:p w14:paraId="29C62C29" w14:textId="1EA81844"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בסביבות תרנ״ז החלו</w:t>
      </w:r>
      <w:bookmarkStart w:id="4579" w:name="b4_text108"/>
      <w:bookmarkEnd w:id="4579"/>
      <w:r>
        <w:rPr>
          <w:sz w:val="18"/>
          <w:szCs w:val="18"/>
          <w:vertAlign w:val="superscript"/>
          <w:rtl/>
        </w:rPr>
        <w:fldChar w:fldCharType="begin" w:dirty="true"/>
      </w:r>
      <w:r>
        <w:rPr>
          <w:sz w:val="18"/>
          <w:szCs w:val="18"/>
          <w:vertAlign w:val="superscript"/>
          <w:rtl/>
        </w:rPr>
        <w:instrText xml:space="preserve"> REF b4_note108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108</w:t>
      </w:r>
      <w:r>
        <w:rPr>
          <w:sz w:val="18"/>
          <w:szCs w:val="18"/>
          <w:vertAlign w:val="superscript"/>
          <w:rtl/>
        </w:rPr>
        <w:fldChar w:fldCharType="end"/>
      </w:r>
      <w:r>
        <w:rPr>
          <w:rtl/>
        </w:rPr>
        <w:t xml:space="preserve"> להיות מורגשים בישיבת </w:t>
      </w:r>
      <w:proofErr w:type="spellStart"/>
      <w:r>
        <w:rPr>
          <w:rtl/>
        </w:rPr>
        <w:t>טלז</w:t>
      </w:r>
      <w:proofErr w:type="spellEnd"/>
      <w:r>
        <w:rPr>
          <w:rtl/>
        </w:rPr>
        <w:t xml:space="preserve"> הזעזועים שפקדו את עולם הישיבות בעניין המוסר</w:t>
      </w:r>
      <w:bookmarkStart w:id="4580" w:name="b4_text109"/>
      <w:bookmarkEnd w:id="4580"/>
      <w:r>
        <w:rPr>
          <w:sz w:val="18"/>
          <w:szCs w:val="18"/>
          <w:vertAlign w:val="superscript"/>
          <w:rtl/>
        </w:rPr>
        <w:fldChar w:fldCharType="begin" w:dirty="true"/>
      </w:r>
      <w:r>
        <w:rPr>
          <w:sz w:val="18"/>
          <w:szCs w:val="18"/>
          <w:vertAlign w:val="superscript"/>
          <w:rtl/>
        </w:rPr>
        <w:instrText xml:space="preserve"> REF b4_note109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109</w:t>
      </w:r>
      <w:r>
        <w:rPr>
          <w:sz w:val="18"/>
          <w:szCs w:val="18"/>
          <w:vertAlign w:val="superscript"/>
          <w:rtl/>
        </w:rPr>
        <w:fldChar w:fldCharType="end"/>
      </w:r>
      <w:r>
        <w:rPr>
          <w:rtl/>
        </w:rPr>
        <w:t>, ובעשור שלאחר מכן הגיעו לממדים של התפרצות הר געש. תחילה כוונו הרעשים כלפי המשגיח</w:t>
      </w:r>
      <w:bookmarkStart w:id="4581" w:name="b4_text110"/>
      <w:bookmarkEnd w:id="4581"/>
      <w:r>
        <w:rPr>
          <w:sz w:val="18"/>
          <w:szCs w:val="18"/>
          <w:vertAlign w:val="superscript"/>
          <w:rtl/>
        </w:rPr>
        <w:fldChar w:fldCharType="begin" w:dirty="true"/>
      </w:r>
      <w:r>
        <w:rPr>
          <w:sz w:val="18"/>
          <w:szCs w:val="18"/>
          <w:vertAlign w:val="superscript"/>
          <w:rtl/>
        </w:rPr>
        <w:instrText xml:space="preserve"> REF b4_note110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110</w:t>
      </w:r>
      <w:r>
        <w:rPr>
          <w:sz w:val="18"/>
          <w:szCs w:val="18"/>
          <w:vertAlign w:val="superscript"/>
          <w:rtl/>
        </w:rPr>
        <w:fldChar w:fldCharType="end"/>
      </w:r>
      <w:r>
        <w:rPr>
          <w:rtl/>
        </w:rPr>
        <w:t>, ר׳ לייב חסמן</w:t>
      </w:r>
      <w:bookmarkStart w:id="4582" w:name="b4_text111"/>
      <w:bookmarkEnd w:id="4582"/>
      <w:r>
        <w:rPr>
          <w:sz w:val="18"/>
          <w:szCs w:val="18"/>
          <w:vertAlign w:val="superscript"/>
          <w:rtl/>
        </w:rPr>
        <w:fldChar w:fldCharType="begin" w:dirty="true"/>
      </w:r>
      <w:r>
        <w:rPr>
          <w:sz w:val="18"/>
          <w:szCs w:val="18"/>
          <w:vertAlign w:val="superscript"/>
          <w:rtl/>
        </w:rPr>
        <w:instrText xml:space="preserve"> REF b4_note111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111</w:t>
      </w:r>
      <w:r>
        <w:rPr>
          <w:sz w:val="18"/>
          <w:szCs w:val="18"/>
          <w:vertAlign w:val="superscript"/>
          <w:rtl/>
        </w:rPr>
        <w:fldChar w:fldCharType="end"/>
      </w:r>
      <w:r>
        <w:rPr>
          <w:rtl/>
        </w:rPr>
        <w:t>, ואחר כך נגד ר׳ יוסף לייב, בגלל הקפדתו הנוקשה על סדרי הישיבה, שכללו זמן ללימוד מוסר</w:t>
      </w:r>
      <w:bookmarkStart w:id="4583" w:name="b4_text112"/>
      <w:bookmarkEnd w:id="4583"/>
      <w:r>
        <w:rPr>
          <w:sz w:val="18"/>
          <w:szCs w:val="18"/>
          <w:vertAlign w:val="superscript"/>
          <w:rtl/>
        </w:rPr>
        <w:fldChar w:fldCharType="begin" w:dirty="true"/>
      </w:r>
      <w:r>
        <w:rPr>
          <w:sz w:val="18"/>
          <w:szCs w:val="18"/>
          <w:vertAlign w:val="superscript"/>
          <w:rtl/>
        </w:rPr>
        <w:instrText xml:space="preserve"> REF b4_note112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112</w:t>
      </w:r>
      <w:r>
        <w:rPr>
          <w:sz w:val="18"/>
          <w:szCs w:val="18"/>
          <w:vertAlign w:val="superscript"/>
          <w:rtl/>
        </w:rPr>
        <w:fldChar w:fldCharType="end"/>
      </w:r>
      <w:r>
        <w:rPr>
          <w:rtl/>
        </w:rPr>
        <w:t xml:space="preserve">. האחרון התפטר מן הישיבה בתחילת תרס״ב; ר׳ שמעון </w:t>
      </w:r>
      <w:proofErr w:type="spellStart"/>
      <w:r>
        <w:rPr>
          <w:rtl/>
        </w:rPr>
        <w:t>שקופ</w:t>
      </w:r>
      <w:proofErr w:type="spellEnd"/>
      <w:r>
        <w:rPr>
          <w:rtl/>
        </w:rPr>
        <w:t xml:space="preserve"> פרש בשנה שלאחר מכן, וכך גם המשגיח</w:t>
      </w:r>
      <w:bookmarkStart w:id="4584" w:name="b4_text113"/>
      <w:bookmarkEnd w:id="4584"/>
      <w:r>
        <w:rPr>
          <w:sz w:val="18"/>
          <w:szCs w:val="18"/>
          <w:vertAlign w:val="superscript"/>
          <w:rtl/>
        </w:rPr>
        <w:fldChar w:fldCharType="begin" w:dirty="true"/>
      </w:r>
      <w:r>
        <w:rPr>
          <w:sz w:val="18"/>
          <w:szCs w:val="18"/>
          <w:vertAlign w:val="superscript"/>
          <w:rtl/>
        </w:rPr>
        <w:instrText xml:space="preserve"> REF b4_note113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113</w:t>
      </w:r>
      <w:r>
        <w:rPr>
          <w:sz w:val="18"/>
          <w:szCs w:val="18"/>
          <w:vertAlign w:val="superscript"/>
          <w:rtl/>
        </w:rPr>
        <w:fldChar w:fldCharType="end"/>
      </w:r>
      <w:r>
        <w:rPr>
          <w:rtl/>
        </w:rPr>
        <w:t>.</w:t>
      </w:r>
    </w:p>
    <w:bookmarkStart w:id="4585" w:name="b4_note108"/>
    <w:p w14:paraId="3298F3C4" w14:textId="77777777" w:rsidR="00AB3647" w:rsidRDefault="00000000" w:rsidP="007923E9">
      <w:pPr>
        <w:spacing w:before="120" w:after="100" w:line="276" w:lineRule="auto"/>
        <w:jc w:val="both"/>
      </w:pPr>
      <w:r>
        <w:fldChar w:fldCharType="begin" w:dirty="true"/>
      </w:r>
      <w:r>
        <w:instrText>HYPERLINK \l "b4_text108" \h</w:instrText>
      </w:r>
      <w:r>
        <w:fldChar w:fldCharType="separate"/>
      </w:r>
      <w:r>
        <w:rPr>
          <w:b/>
          <w:bCs/>
          <w:rtl/>
        </w:rPr>
        <w:t>108</w:t>
      </w:r>
      <w:r>
        <w:rPr>
          <w:b/>
          <w:bCs/>
        </w:rPr>
        <w:fldChar w:fldCharType="end"/>
      </w:r>
      <w:bookmarkEnd w:id="4585"/>
      <w:r>
        <w:rPr>
          <w:rtl/>
        </w:rPr>
        <w:t xml:space="preserve"> השווה סוף סעיף 1 בפרק 3.</w:t>
      </w:r>
    </w:p>
    <w:bookmarkStart w:id="4586" w:name="b4_note109"/>
    <w:p w14:paraId="30CC7BFF" w14:textId="31B7AC5D" w:rsidR="00AB3647" w:rsidRDefault="00000000" w:rsidP="007923E9">
      <w:pPr>
        <w:spacing w:before="120" w:after="100" w:line="276" w:lineRule="auto"/>
        <w:jc w:val="both"/>
      </w:pPr>
      <w:r>
        <w:fldChar w:fldCharType="begin" w:dirty="true"/>
      </w:r>
      <w:r>
        <w:instrText>HYPERLINK \l "b4_text109" \h</w:instrText>
      </w:r>
      <w:r>
        <w:fldChar w:fldCharType="separate"/>
      </w:r>
      <w:r>
        <w:rPr>
          <w:b/>
          <w:bCs/>
          <w:rtl/>
        </w:rPr>
        <w:t>109</w:t>
      </w:r>
      <w:r>
        <w:rPr>
          <w:b/>
          <w:bCs/>
        </w:rPr>
        <w:fldChar w:fldCharType="end"/>
      </w:r>
      <w:bookmarkEnd w:id="4586"/>
      <w:r>
        <w:rPr>
          <w:rtl/>
        </w:rPr>
        <w:t xml:space="preserve"> ראה </w:t>
      </w:r>
      <w:r>
        <w:rPr>
          <w:rtl/>
        </w:rPr>
        <w:fldChar w:fldCharType="begin" w:dirty="true"/>
      </w:r>
      <w:r>
        <w:rPr>
          <w:rtl/>
        </w:rPr>
        <w:instrText xml:space="preserve"> REF b4_excM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יג</w:t>
      </w:r>
      <w:proofErr w:type="spellEnd"/>
      <w:r>
        <w:rPr>
          <w:rtl/>
        </w:rPr>
        <w:fldChar w:fldCharType="end"/>
      </w:r>
      <w:r>
        <w:rPr>
          <w:rtl/>
        </w:rPr>
        <w:t>.</w:t>
      </w:r>
    </w:p>
    <w:bookmarkStart w:id="4587" w:name="b4_note110"/>
    <w:p w14:paraId="2FBDBEA7" w14:textId="77777777" w:rsidR="00AB3647" w:rsidRDefault="00000000" w:rsidP="007923E9">
      <w:pPr>
        <w:spacing w:before="120" w:after="100" w:line="276" w:lineRule="auto"/>
        <w:jc w:val="both"/>
      </w:pPr>
      <w:r>
        <w:fldChar w:fldCharType="begin" w:dirty="true"/>
      </w:r>
      <w:r>
        <w:instrText>HYPERLINK \l "b4_text110" \h</w:instrText>
      </w:r>
      <w:r>
        <w:fldChar w:fldCharType="separate"/>
      </w:r>
      <w:r>
        <w:rPr>
          <w:b/>
          <w:bCs/>
          <w:rtl/>
        </w:rPr>
        <w:t>110</w:t>
      </w:r>
      <w:r>
        <w:rPr>
          <w:b/>
          <w:bCs/>
        </w:rPr>
        <w:fldChar w:fldCharType="end"/>
      </w:r>
      <w:bookmarkEnd w:id="4587"/>
      <w:r>
        <w:rPr>
          <w:rtl/>
        </w:rPr>
        <w:t xml:space="preserve"> כשהפעיל ר׳ לייב את סמכותו בתקיפות בישיבה – השווה לדוגמה הערה 99, ולדוגמה לעמדתו הבלתי מתפשרת בכלל הערה 111 – התפתחה עוינות סמויה כלפיו וכלפי ר׳ יוסף לייב בלוך, שתמך בו בעקביות</w:t>
      </w:r>
      <w:bookmarkStart w:id="4588" w:name="_fnr3399"/>
      <w:r>
        <w:rPr>
          <w:vertAlign w:val="superscript"/>
          <w:rtl/>
        </w:rPr>
        <w:footnoteReference w:id="3408" w:customMarkFollows="0"/>
      </w:r>
      <w:bookmarkEnd w:id="4588"/>
      <w:r>
        <w:rPr>
          <w:rtl/>
        </w:rPr>
        <w:t xml:space="preserve">. </w:t>
      </w:r>
      <w:proofErr w:type="spellStart"/>
      <w:r>
        <w:rPr>
          <w:rtl/>
        </w:rPr>
        <w:t>ורהפטיג</w:t>
      </w:r>
      <w:bookmarkStart w:id="4589" w:name="_fnr3400"/>
      <w:proofErr w:type="spellEnd"/>
      <w:r>
        <w:rPr>
          <w:vertAlign w:val="superscript"/>
          <w:rtl/>
        </w:rPr>
        <w:footnoteReference w:id="3409" w:customMarkFollows="0"/>
      </w:r>
      <w:bookmarkEnd w:id="4589"/>
      <w:r>
        <w:rPr>
          <w:rtl/>
        </w:rPr>
        <w:t xml:space="preserve"> מתאר את </w:t>
      </w:r>
      <w:proofErr w:type="spellStart"/>
      <w:r>
        <w:rPr>
          <w:rtl/>
        </w:rPr>
        <w:t>ה“הופקה</w:t>
      </w:r>
      <w:proofErr w:type="spellEnd"/>
      <w:r>
        <w:rPr>
          <w:rtl/>
        </w:rPr>
        <w:t xml:space="preserve">” שהתרחשה בלילה אחד באמצע החורף, </w:t>
      </w:r>
      <w:proofErr w:type="spellStart"/>
      <w:r>
        <w:rPr>
          <w:rtl/>
        </w:rPr>
        <w:t>בתרנ״ז</w:t>
      </w:r>
      <w:proofErr w:type="spellEnd"/>
      <w:r>
        <w:rPr>
          <w:rtl/>
        </w:rPr>
        <w:t xml:space="preserve">: “באמצע סדר הלימוד הלילי, עם צלצול השעה תשע, השליכו </w:t>
      </w:r>
      <w:r>
        <w:rPr>
          <w:rtl/>
        </w:rPr>
        <w:lastRenderedPageBreak/>
        <w:t>המורדים מים על מנורות השמן, שהתפוצצו ושפכו את חומר הבעירה הבוער שלהן על רצפת העץ. האש כובתה מיד, אבל בתוך צעקות התלמידים הממהרים לצאת, נותר בית המדרש הרוס, בחשכה מעשנת ומצחינה”. כץ</w:t>
      </w:r>
      <w:bookmarkStart w:id="4590" w:name="_fnr3401"/>
      <w:r>
        <w:rPr>
          <w:vertAlign w:val="superscript"/>
          <w:rtl/>
        </w:rPr>
        <w:footnoteReference w:id="3410" w:customMarkFollows="0"/>
      </w:r>
      <w:bookmarkEnd w:id="4590"/>
      <w:r>
        <w:rPr>
          <w:rtl/>
        </w:rPr>
        <w:t xml:space="preserve"> מביא תיאור זה, אבל משמיט ממקורו של </w:t>
      </w:r>
      <w:proofErr w:type="spellStart"/>
      <w:r>
        <w:rPr>
          <w:rtl/>
        </w:rPr>
        <w:t>ורהפטיג</w:t>
      </w:r>
      <w:proofErr w:type="spellEnd"/>
      <w:r>
        <w:rPr>
          <w:rtl/>
        </w:rPr>
        <w:t xml:space="preserve"> את המעשה המזעזע ביותר, </w:t>
      </w:r>
      <w:proofErr w:type="spellStart"/>
      <w:r>
        <w:rPr>
          <w:rtl/>
        </w:rPr>
        <w:t>האנטי־תורני</w:t>
      </w:r>
      <w:proofErr w:type="spellEnd"/>
      <w:r>
        <w:rPr>
          <w:rtl/>
        </w:rPr>
        <w:t>: מתנגדי המוסר ניצלו את החשכה כדי להכות את התלמידים שתמכו במשגיח, ואת הרב חסמן עצמו.</w:t>
      </w:r>
    </w:p>
    <w:p w14:paraId="1D47DE6B" w14:textId="77777777" w:rsidR="00AB3647" w:rsidRDefault="00000000" w:rsidP="007923E9">
      <w:pPr>
        <w:spacing w:before="120" w:after="100" w:line="276" w:lineRule="auto"/>
        <w:jc w:val="both"/>
      </w:pPr>
      <w:r>
        <w:rPr>
          <w:rtl/>
        </w:rPr>
        <w:t xml:space="preserve">ר׳ לייזר בא מביתו והורה לתלמידים לשוב לבית המדרש ולהדליק מחדש את המנורות. “כל בני הישיבה, ובהם הקיצוניים שבמורדים, מתוך אהבתם הגדולה לרבם – כאהבת בנים לאביהם – צייתו לו מיד, ובתוך רבע שעה חזר הכול למקומו”, אומר </w:t>
      </w:r>
      <w:proofErr w:type="spellStart"/>
      <w:r>
        <w:rPr>
          <w:rtl/>
        </w:rPr>
        <w:t>ורהפטיג</w:t>
      </w:r>
      <w:proofErr w:type="spellEnd"/>
      <w:r>
        <w:rPr>
          <w:rtl/>
        </w:rPr>
        <w:t xml:space="preserve">. “משהתיישבו, שאל ר׳ לייזר גורדון בתקיפות: ‘מי ראש המורדים?’ וכשבחור </w:t>
      </w:r>
      <w:proofErr w:type="spellStart"/>
      <w:r>
        <w:rPr>
          <w:rtl/>
        </w:rPr>
        <w:t>מקורסק</w:t>
      </w:r>
      <w:proofErr w:type="spellEnd"/>
      <w:r>
        <w:rPr>
          <w:rtl/>
        </w:rPr>
        <w:t xml:space="preserve"> הזדהה, סטר לו ראש הישיבה שלוש פעמים על פניו. אבל הדבר הכאיב לראש הישיבה יותר </w:t>
      </w:r>
      <w:proofErr w:type="spellStart"/>
      <w:r>
        <w:rPr>
          <w:rtl/>
        </w:rPr>
        <w:t>מלתלמיד</w:t>
      </w:r>
      <w:proofErr w:type="spellEnd"/>
      <w:r>
        <w:rPr>
          <w:rtl/>
        </w:rPr>
        <w:t>; ר׳ לייזר גורדון חלה מן הצער והתעלף כמה פעמים”.</w:t>
      </w:r>
    </w:p>
    <w:p w14:paraId="692C68DD" w14:textId="77777777" w:rsidR="00AB3647" w:rsidRDefault="00000000" w:rsidP="007923E9">
      <w:pPr>
        <w:spacing w:after="120" w:line="276" w:lineRule="auto"/>
        <w:jc w:val="both"/>
      </w:pPr>
      <w:r>
        <w:rPr>
          <w:rtl/>
        </w:rPr>
        <w:t>בפעם אחרת חסמו המורדים בבוקר את הכניסה לבית המדרש בסטנדרים שלהם, כדי למנוע מראשי הישיבה להיכנס</w:t>
      </w:r>
      <w:bookmarkStart w:id="4591" w:name="_fnr3402"/>
      <w:r>
        <w:rPr>
          <w:vertAlign w:val="superscript"/>
          <w:rtl/>
        </w:rPr>
        <w:footnoteReference w:id="3411" w:customMarkFollows="0"/>
      </w:r>
      <w:bookmarkEnd w:id="4591"/>
      <w:r>
        <w:rPr>
          <w:rtl/>
        </w:rPr>
        <w:t xml:space="preserve">. ר׳ יוסף לייב סילק כמה ממארגני </w:t>
      </w:r>
      <w:proofErr w:type="spellStart"/>
      <w:r>
        <w:rPr>
          <w:rtl/>
        </w:rPr>
        <w:t>ה“הופקה</w:t>
      </w:r>
      <w:proofErr w:type="spellEnd"/>
      <w:r>
        <w:rPr>
          <w:rtl/>
        </w:rPr>
        <w:t>”</w:t>
      </w:r>
      <w:bookmarkStart w:id="4592" w:name="_fnr3403"/>
      <w:r>
        <w:rPr>
          <w:vertAlign w:val="superscript"/>
          <w:rtl/>
        </w:rPr>
        <w:footnoteReference w:id="3412" w:customMarkFollows="0"/>
      </w:r>
      <w:bookmarkEnd w:id="4592"/>
      <w:r>
        <w:rPr>
          <w:rtl/>
        </w:rPr>
        <w:t>. סוג נוסף של “הופקה” מתואר בזיכרונותיו של ברוך צוקרמן</w:t>
      </w:r>
      <w:bookmarkStart w:id="4593" w:name="_fnr3404"/>
      <w:r>
        <w:rPr>
          <w:vertAlign w:val="superscript"/>
          <w:rtl/>
        </w:rPr>
        <w:footnoteReference w:id="3413" w:customMarkFollows="0"/>
      </w:r>
      <w:bookmarkEnd w:id="4593"/>
      <w:r>
        <w:rPr>
          <w:rtl/>
        </w:rPr>
        <w:t xml:space="preserve">. המחבר, שלמד בישיבה זמן קצר ובא אליה </w:t>
      </w:r>
      <w:proofErr w:type="spellStart"/>
      <w:r>
        <w:rPr>
          <w:rtl/>
        </w:rPr>
        <w:t>בתרס״ב</w:t>
      </w:r>
      <w:proofErr w:type="spellEnd"/>
      <w:r>
        <w:rPr>
          <w:rtl/>
        </w:rPr>
        <w:t>, שמע שהדבר אירע ארבע שנים קודם לכן, וחשד שהתלמידים המבוגרים דיברו על המאורע משום ששקלו לחזור עליו – חשד שהתברר כנכון לפי אסף (ראה בהמשך). “הופקה” מסוג זה, “שביתת שא־שא”, נעשתה על ידי “חבטותיהם של התלמידים בסטנדרים שלהם בזמן שנקבע, ושאגות ‘שא! שא!’”.</w:t>
      </w:r>
    </w:p>
    <w:p w14:paraId="67BFD6C0" w14:textId="77777777" w:rsidR="00AB3647" w:rsidRDefault="00000000" w:rsidP="007923E9">
      <w:pPr>
        <w:spacing w:after="120" w:line="276" w:lineRule="auto"/>
        <w:jc w:val="both"/>
      </w:pPr>
      <w:r>
        <w:rPr>
          <w:rtl/>
        </w:rPr>
        <w:t xml:space="preserve">הרב פרופ׳ ש׳ אסף, שבא </w:t>
      </w:r>
      <w:proofErr w:type="spellStart"/>
      <w:r>
        <w:rPr>
          <w:rtl/>
        </w:rPr>
        <w:t>לטלז</w:t>
      </w:r>
      <w:proofErr w:type="spellEnd"/>
      <w:r>
        <w:rPr>
          <w:rtl/>
        </w:rPr>
        <w:t xml:space="preserve"> בתחילת תרס״ה, מתאר “הופקה” זו במאמר “שנות הלימודים שלי בישיבת </w:t>
      </w:r>
      <w:proofErr w:type="spellStart"/>
      <w:r>
        <w:rPr>
          <w:rtl/>
        </w:rPr>
        <w:t>טלז</w:t>
      </w:r>
      <w:proofErr w:type="spellEnd"/>
      <w:r>
        <w:rPr>
          <w:rtl/>
        </w:rPr>
        <w:t>”</w:t>
      </w:r>
      <w:bookmarkStart w:id="4594" w:name="_fnr3405"/>
      <w:r>
        <w:rPr>
          <w:vertAlign w:val="superscript"/>
          <w:rtl/>
        </w:rPr>
        <w:footnoteReference w:id="3414" w:customMarkFollows="0"/>
      </w:r>
      <w:bookmarkEnd w:id="4594"/>
      <w:r>
        <w:rPr>
          <w:rtl/>
        </w:rPr>
        <w:t>, ולדבריו הסתיימה באלימות: “מאות הבחורים היו לומדים בקול רם יותר מן הרגיל, ופתאום השתררה דממה. לחש, ‘</w:t>
      </w:r>
      <w:proofErr w:type="spellStart"/>
      <w:r>
        <w:rPr>
          <w:rtl/>
        </w:rPr>
        <w:t>שאאא</w:t>
      </w:r>
      <w:proofErr w:type="spellEnd"/>
      <w:r>
        <w:rPr>
          <w:rtl/>
        </w:rPr>
        <w:t xml:space="preserve">’, עבר בבית המדרש, שנעשה שקט כל כך עד שאפשר היה לשמוע זמזום זבוב. לאחר כמה שניות היו הבחורים מתחילים שוב ללמוד בקול, עד </w:t>
      </w:r>
      <w:proofErr w:type="spellStart"/>
      <w:r>
        <w:rPr>
          <w:rtl/>
        </w:rPr>
        <w:t>ל‘שאאא</w:t>
      </w:r>
      <w:proofErr w:type="spellEnd"/>
      <w:r>
        <w:rPr>
          <w:rtl/>
        </w:rPr>
        <w:t>’ שני; וכך פעם שלישית ורביעית. ‘</w:t>
      </w:r>
      <w:proofErr w:type="spellStart"/>
      <w:r>
        <w:rPr>
          <w:rtl/>
        </w:rPr>
        <w:t>שאאא</w:t>
      </w:r>
      <w:proofErr w:type="spellEnd"/>
      <w:r>
        <w:rPr>
          <w:rtl/>
        </w:rPr>
        <w:t xml:space="preserve">’ לא בישר טובות. בסוף זמן הלימוד הקבוע הפכו התלמידים את הספסלים והסטנדרים והותירו את בית המדרש במהומה”. “הופקה” כזו אירעה “סמוך לחנוכה” בזמן הראשון של המחבר </w:t>
      </w:r>
      <w:proofErr w:type="spellStart"/>
      <w:r>
        <w:rPr>
          <w:rtl/>
        </w:rPr>
        <w:t>בטלז</w:t>
      </w:r>
      <w:proofErr w:type="spellEnd"/>
      <w:r>
        <w:rPr>
          <w:rtl/>
        </w:rPr>
        <w:t xml:space="preserve">, בגלל ניסיונו של ר׳ לייזר למנות את חתנו השני, ר׳ </w:t>
      </w:r>
      <w:proofErr w:type="spellStart"/>
      <w:r>
        <w:rPr>
          <w:rtl/>
        </w:rPr>
        <w:t>יצחק־אייזיק</w:t>
      </w:r>
      <w:proofErr w:type="spellEnd"/>
      <w:r>
        <w:rPr>
          <w:rtl/>
        </w:rPr>
        <w:t xml:space="preserve"> </w:t>
      </w:r>
      <w:proofErr w:type="spellStart"/>
      <w:r>
        <w:rPr>
          <w:rtl/>
        </w:rPr>
        <w:t>הירשוביץ</w:t>
      </w:r>
      <w:bookmarkStart w:id="4595" w:name="_fnr3406"/>
      <w:proofErr w:type="spellEnd"/>
      <w:r>
        <w:rPr>
          <w:vertAlign w:val="superscript"/>
          <w:rtl/>
        </w:rPr>
        <w:footnoteReference w:id="3415" w:customMarkFollows="0"/>
      </w:r>
      <w:bookmarkEnd w:id="4595"/>
      <w:r>
        <w:rPr>
          <w:rtl/>
        </w:rPr>
        <w:t xml:space="preserve">, לר״מ בישיבה. אסף טוען </w:t>
      </w:r>
      <w:proofErr w:type="spellStart"/>
      <w:r>
        <w:rPr>
          <w:rtl/>
        </w:rPr>
        <w:t>ש“הופקות</w:t>
      </w:r>
      <w:proofErr w:type="spellEnd"/>
      <w:r>
        <w:rPr>
          <w:rtl/>
        </w:rPr>
        <w:t>” כאלה היו (מסיבה זו או אחרת) גם בתחילת שתי שנות הלימוד הקודמות.</w:t>
      </w:r>
    </w:p>
    <w:p w14:paraId="459E763E" w14:textId="77777777" w:rsidR="00AB3647" w:rsidRDefault="00000000" w:rsidP="007923E9">
      <w:pPr>
        <w:spacing w:after="120" w:line="276" w:lineRule="auto"/>
        <w:jc w:val="both"/>
      </w:pPr>
      <w:r>
        <w:rPr>
          <w:rtl/>
        </w:rPr>
        <w:t xml:space="preserve">נראה גם שאסף מבקש לחסוך מחבריו את המבוכה שבגילוי </w:t>
      </w:r>
      <w:proofErr w:type="spellStart"/>
      <w:r>
        <w:rPr>
          <w:rtl/>
        </w:rPr>
        <w:t>ש“המהומה</w:t>
      </w:r>
      <w:proofErr w:type="spellEnd"/>
      <w:r>
        <w:rPr>
          <w:rtl/>
        </w:rPr>
        <w:t>” שלהם כללה את שבירת המנורות</w:t>
      </w:r>
      <w:bookmarkStart w:id="4596" w:name="_fnr3407"/>
      <w:r>
        <w:rPr>
          <w:vertAlign w:val="superscript"/>
          <w:rtl/>
        </w:rPr>
        <w:footnoteReference w:id="3416" w:customMarkFollows="0"/>
      </w:r>
      <w:bookmarkEnd w:id="4596"/>
      <w:r>
        <w:rPr>
          <w:rtl/>
        </w:rPr>
        <w:t xml:space="preserve">, כמו שתיאר תלמיד מתקופה מוקדמת יותר, ר׳ </w:t>
      </w:r>
      <w:proofErr w:type="spellStart"/>
      <w:r>
        <w:rPr>
          <w:rtl/>
        </w:rPr>
        <w:t>ירוחם־אשר</w:t>
      </w:r>
      <w:proofErr w:type="spellEnd"/>
      <w:r>
        <w:rPr>
          <w:rtl/>
        </w:rPr>
        <w:t xml:space="preserve"> </w:t>
      </w:r>
      <w:proofErr w:type="spellStart"/>
      <w:r>
        <w:rPr>
          <w:rtl/>
        </w:rPr>
        <w:t>ורהפטיג</w:t>
      </w:r>
      <w:proofErr w:type="spellEnd"/>
      <w:r>
        <w:rPr>
          <w:rtl/>
        </w:rPr>
        <w:t xml:space="preserve">. </w:t>
      </w:r>
      <w:r>
        <w:rPr>
          <w:rtl/>
        </w:rPr>
        <w:lastRenderedPageBreak/>
        <w:t xml:space="preserve">שבירת המנורות גם </w:t>
      </w:r>
      <w:proofErr w:type="spellStart"/>
      <w:r>
        <w:rPr>
          <w:rtl/>
        </w:rPr>
        <w:t>ב“הופקה</w:t>
      </w:r>
      <w:proofErr w:type="spellEnd"/>
      <w:r>
        <w:rPr>
          <w:rtl/>
        </w:rPr>
        <w:t xml:space="preserve">” שתיאר אסף מתבררת מעדות הראייה של שמעון </w:t>
      </w:r>
      <w:proofErr w:type="spellStart"/>
      <w:r>
        <w:rPr>
          <w:rtl/>
        </w:rPr>
        <w:t>זאק</w:t>
      </w:r>
      <w:proofErr w:type="spellEnd"/>
      <w:r>
        <w:rPr>
          <w:rtl/>
        </w:rPr>
        <w:t xml:space="preserve">, שנדפסה </w:t>
      </w:r>
      <w:proofErr w:type="spellStart"/>
      <w:r>
        <w:rPr>
          <w:rtl/>
        </w:rPr>
        <w:t>ב“נתיבות</w:t>
      </w:r>
      <w:proofErr w:type="spellEnd"/>
      <w:r>
        <w:rPr>
          <w:rtl/>
        </w:rPr>
        <w:t xml:space="preserve"> החינוך”</w:t>
      </w:r>
      <w:bookmarkStart w:id="4597" w:name="_fnr3409"/>
      <w:r>
        <w:rPr>
          <w:vertAlign w:val="superscript"/>
          <w:rtl/>
        </w:rPr>
        <w:footnoteReference w:id="3417" w:customMarkFollows="0"/>
      </w:r>
      <w:bookmarkEnd w:id="4597"/>
      <w:r>
        <w:rPr>
          <w:rtl/>
        </w:rPr>
        <w:t xml:space="preserve"> ומצוטטת אצל </w:t>
      </w:r>
      <w:proofErr w:type="spellStart"/>
      <w:r>
        <w:rPr>
          <w:rtl/>
        </w:rPr>
        <w:t>רבינר</w:t>
      </w:r>
      <w:proofErr w:type="spellEnd"/>
      <w:r>
        <w:rPr>
          <w:rtl/>
        </w:rPr>
        <w:t>, “הגאון רבי אליעזר גורדון”</w:t>
      </w:r>
      <w:bookmarkStart w:id="4598" w:name="_fnr3408"/>
      <w:r>
        <w:rPr>
          <w:vertAlign w:val="superscript"/>
          <w:rtl/>
        </w:rPr>
        <w:footnoteReference w:id="3418" w:customMarkFollows="0"/>
      </w:r>
      <w:bookmarkEnd w:id="4598"/>
      <w:r>
        <w:rPr>
          <w:rtl/>
        </w:rPr>
        <w:t xml:space="preserve">: אחרי קריאות </w:t>
      </w:r>
      <w:proofErr w:type="spellStart"/>
      <w:r>
        <w:rPr>
          <w:rtl/>
        </w:rPr>
        <w:t>ה“שאאא</w:t>
      </w:r>
      <w:proofErr w:type="spellEnd"/>
      <w:r>
        <w:rPr>
          <w:rtl/>
        </w:rPr>
        <w:t xml:space="preserve">”, שהיו “מין אות לפתיחת מרד, בא עיקר הביטוי אחר כך בשבירת חלונות, רהיטים </w:t>
      </w:r>
      <w:proofErr w:type="spellStart"/>
      <w:r>
        <w:rPr>
          <w:rtl/>
        </w:rPr>
        <w:t>וכו</w:t>
      </w:r>
      <w:proofErr w:type="spellEnd"/>
      <w:r>
        <w:rPr>
          <w:rtl/>
        </w:rPr>
        <w:t xml:space="preserve">׳. במרד כזה, מנורות </w:t>
      </w:r>
      <w:proofErr w:type="spellStart"/>
      <w:r>
        <w:rPr>
          <w:rtl/>
        </w:rPr>
        <w:t>ה‘לוקס</w:t>
      </w:r>
      <w:proofErr w:type="spellEnd"/>
      <w:r>
        <w:rPr>
          <w:rtl/>
        </w:rPr>
        <w:t xml:space="preserve">’ היפות שתרם לישיבה ר׳ [יהושע־]זליג </w:t>
      </w:r>
      <w:proofErr w:type="spellStart"/>
      <w:r>
        <w:rPr>
          <w:rtl/>
        </w:rPr>
        <w:t>פרסיץ</w:t>
      </w:r>
      <w:proofErr w:type="spellEnd"/>
      <w:r>
        <w:rPr>
          <w:rtl/>
        </w:rPr>
        <w:t xml:space="preserve"> ממוסקבה כשבנו יוסף למד שם – הוא היה גם תלמיד באוניברסיטת מוסקבה באותה עת – נופצו לרסיסים”. הדבר הביא את ר׳ לייזר “לחצר הישיבה, מובל בידי בתו הבכורה הנושאת פנס, והוא קרא בדמעות: ‘גזלנים, מה אתם רוצים ממני?!’” אסף גם אומר</w:t>
      </w:r>
      <w:bookmarkStart w:id="4599" w:name="_fnr3410"/>
      <w:r>
        <w:rPr>
          <w:vertAlign w:val="superscript"/>
          <w:rtl/>
        </w:rPr>
        <w:footnoteReference w:id="3419" w:customMarkFollows="0"/>
      </w:r>
      <w:bookmarkEnd w:id="4599"/>
      <w:r>
        <w:rPr>
          <w:rtl/>
        </w:rPr>
        <w:t>: “</w:t>
      </w:r>
      <w:r>
        <w:rPr>
          <w:b/>
          <w:bCs/>
          <w:rtl/>
        </w:rPr>
        <w:t>בזמני (ההדגשה נוספה)</w:t>
      </w:r>
      <w:r>
        <w:rPr>
          <w:rtl/>
        </w:rPr>
        <w:t xml:space="preserve"> למד בישיבה יוסף </w:t>
      </w:r>
      <w:proofErr w:type="spellStart"/>
      <w:r>
        <w:rPr>
          <w:rtl/>
        </w:rPr>
        <w:t>פרסיץ</w:t>
      </w:r>
      <w:proofErr w:type="spellEnd"/>
      <w:r>
        <w:rPr>
          <w:rtl/>
        </w:rPr>
        <w:t>, שלמד בישיבה ובאוניברסיטת מוסקבה בעת ובעונה אחת</w:t>
      </w:r>
      <w:bookmarkStart w:id="4600" w:name="_fnr3411"/>
      <w:r>
        <w:rPr>
          <w:vertAlign w:val="superscript"/>
          <w:rtl/>
        </w:rPr>
        <w:footnoteReference w:id="3420" w:customMarkFollows="0"/>
      </w:r>
      <w:bookmarkEnd w:id="4600"/>
      <w:r>
        <w:rPr>
          <w:rtl/>
        </w:rPr>
        <w:t>”.</w:t>
      </w:r>
    </w:p>
    <w:p w14:paraId="6B2AF0FA" w14:textId="6E5C4672" w:rsidR="00AB3647" w:rsidRDefault="00000000" w:rsidP="007923E9">
      <w:pPr>
        <w:spacing w:after="120" w:line="276" w:lineRule="auto"/>
        <w:jc w:val="both"/>
      </w:pPr>
      <w:r>
        <w:rPr>
          <w:rtl/>
        </w:rPr>
        <w:t>השווה שם</w:t>
      </w:r>
      <w:bookmarkStart w:id="4601" w:name="_fnr3412"/>
      <w:r>
        <w:rPr>
          <w:vertAlign w:val="superscript"/>
          <w:rtl/>
        </w:rPr>
        <w:footnoteReference w:id="3421" w:customMarkFollows="0"/>
      </w:r>
      <w:bookmarkEnd w:id="4601"/>
      <w:r>
        <w:rPr>
          <w:rtl/>
        </w:rPr>
        <w:t xml:space="preserve">, </w:t>
      </w:r>
      <w:proofErr w:type="spellStart"/>
      <w:r>
        <w:rPr>
          <w:rtl/>
        </w:rPr>
        <w:t>ש“השאור</w:t>
      </w:r>
      <w:proofErr w:type="spellEnd"/>
      <w:r>
        <w:rPr>
          <w:rtl/>
        </w:rPr>
        <w:t xml:space="preserve"> שבעיסה”</w:t>
      </w:r>
      <w:bookmarkStart w:id="4602" w:name="_fnr3413"/>
      <w:r>
        <w:rPr>
          <w:vertAlign w:val="superscript"/>
          <w:rtl/>
        </w:rPr>
        <w:footnoteReference w:id="3422" w:customMarkFollows="0"/>
      </w:r>
      <w:bookmarkEnd w:id="4602"/>
      <w:r>
        <w:rPr>
          <w:rtl/>
        </w:rPr>
        <w:t xml:space="preserve"> כמעט בכל ההתגרויות והמרידות שפרצו מדי פעם היו התלמידים בני </w:t>
      </w:r>
      <w:proofErr w:type="spellStart"/>
      <w:r>
        <w:rPr>
          <w:rtl/>
        </w:rPr>
        <w:t>השבע־עשרה</w:t>
      </w:r>
      <w:proofErr w:type="spellEnd"/>
      <w:r>
        <w:rPr>
          <w:rtl/>
        </w:rPr>
        <w:t xml:space="preserve"> </w:t>
      </w:r>
      <w:proofErr w:type="spellStart"/>
      <w:r>
        <w:rPr>
          <w:rtl/>
        </w:rPr>
        <w:t>והשמונה־עשרה</w:t>
      </w:r>
      <w:proofErr w:type="spellEnd"/>
      <w:r>
        <w:rPr>
          <w:rtl/>
        </w:rPr>
        <w:t xml:space="preserve"> – אין פלא שמחאות התלמידים לבשו צורה ילדותית כל כך. עוד נטען שם</w:t>
      </w:r>
      <w:bookmarkStart w:id="4603" w:name="_fnr3414"/>
      <w:r>
        <w:rPr>
          <w:vertAlign w:val="superscript"/>
          <w:rtl/>
        </w:rPr>
        <w:footnoteReference w:id="3423" w:customMarkFollows="0"/>
      </w:r>
      <w:bookmarkEnd w:id="4603"/>
      <w:r>
        <w:rPr>
          <w:rtl/>
        </w:rPr>
        <w:t xml:space="preserve"> שדווקא המחלוקת על </w:t>
      </w:r>
      <w:proofErr w:type="spellStart"/>
      <w:r>
        <w:rPr>
          <w:rtl/>
        </w:rPr>
        <w:t>הירשוביץ</w:t>
      </w:r>
      <w:proofErr w:type="spellEnd"/>
      <w:r>
        <w:rPr>
          <w:rtl/>
        </w:rPr>
        <w:t xml:space="preserve"> היא ששכנעה את ר׳ לייזר שהמוסר הכרחי כדי להרחיק את התלמידים “מן התנועות הציוניות והשמאליות ולהביא להפסקת קריאתם בספרי ההשכלה – דבר שישפיע גם על התלמידים לציית יותר להנהלת הישיבה”. עד אז חשש ר׳ לייזר גורדון </w:t>
      </w:r>
      <w:proofErr w:type="spellStart"/>
      <w:r>
        <w:rPr>
          <w:rtl/>
        </w:rPr>
        <w:t>ש“לימוד</w:t>
      </w:r>
      <w:proofErr w:type="spellEnd"/>
      <w:r>
        <w:rPr>
          <w:rtl/>
        </w:rPr>
        <w:t xml:space="preserve"> המוסר יסיח את הבחורים במידה מסוימת מלימוד התורה, הדורש את כל כוחות הנפש של התלמידים הצעירים”. אבל על השקפת אבי בדבר יחסו של ר׳ לייזר גורדון למוסר השווה </w:t>
      </w:r>
      <w:r>
        <w:rPr>
          <w:rtl/>
        </w:rPr>
        <w:fldChar w:fldCharType="begin" w:dirty="true"/>
      </w:r>
      <w:r>
        <w:rPr>
          <w:rtl/>
        </w:rPr>
        <w:instrText xml:space="preserve"> REF b4_excN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יד</w:t>
      </w:r>
      <w:r>
        <w:rPr>
          <w:rtl/>
        </w:rPr>
        <w:fldChar w:fldCharType="end"/>
      </w:r>
      <w:r>
        <w:rPr>
          <w:rtl/>
        </w:rPr>
        <w:t xml:space="preserve"> להלן.</w:t>
      </w:r>
    </w:p>
    <w:bookmarkStart w:id="4604" w:name="b4_note111"/>
    <w:p w14:paraId="696B9975" w14:textId="77777777" w:rsidR="00AB3647" w:rsidRDefault="00000000" w:rsidP="007923E9">
      <w:pPr>
        <w:spacing w:before="120" w:after="100" w:line="276" w:lineRule="auto"/>
        <w:jc w:val="both"/>
      </w:pPr>
      <w:r>
        <w:fldChar w:fldCharType="begin" w:dirty="true"/>
      </w:r>
      <w:r>
        <w:instrText>HYPERLINK \l "b4_text111" \h</w:instrText>
      </w:r>
      <w:r>
        <w:fldChar w:fldCharType="separate"/>
      </w:r>
      <w:r>
        <w:rPr>
          <w:b/>
          <w:bCs/>
          <w:rtl/>
        </w:rPr>
        <w:t>111</w:t>
      </w:r>
      <w:r>
        <w:rPr>
          <w:b/>
          <w:bCs/>
        </w:rPr>
        <w:fldChar w:fldCharType="end"/>
      </w:r>
      <w:bookmarkEnd w:id="4604"/>
      <w:r>
        <w:rPr>
          <w:rtl/>
        </w:rPr>
        <w:t xml:space="preserve"> ר׳ לייב, שנולד </w:t>
      </w:r>
      <w:proofErr w:type="spellStart"/>
      <w:r>
        <w:rPr>
          <w:rtl/>
        </w:rPr>
        <w:t>בתרכ״ט</w:t>
      </w:r>
      <w:proofErr w:type="spellEnd"/>
      <w:r>
        <w:rPr>
          <w:rtl/>
        </w:rPr>
        <w:t xml:space="preserve"> ונפטר </w:t>
      </w:r>
      <w:proofErr w:type="spellStart"/>
      <w:r>
        <w:rPr>
          <w:rtl/>
        </w:rPr>
        <w:t>בתרצ״ו</w:t>
      </w:r>
      <w:proofErr w:type="spellEnd"/>
      <w:r>
        <w:rPr>
          <w:rtl/>
        </w:rPr>
        <w:t xml:space="preserve">, נאלץ לפרוש חודשים ספורים אחרי מינויו, בעקבות </w:t>
      </w:r>
      <w:proofErr w:type="spellStart"/>
      <w:r>
        <w:rPr>
          <w:rtl/>
        </w:rPr>
        <w:t>ה“הופקה</w:t>
      </w:r>
      <w:proofErr w:type="spellEnd"/>
      <w:r>
        <w:rPr>
          <w:rtl/>
        </w:rPr>
        <w:t>” המתוארת בפסקה הראשונה של ההערה הקודמת. הוא עזב את העיר, אבל כעבור זמן קצר קרא לו ר׳ לייזר לשוב</w:t>
      </w:r>
      <w:bookmarkStart w:id="4605" w:name="_fnr3415"/>
      <w:r>
        <w:rPr>
          <w:vertAlign w:val="superscript"/>
          <w:rtl/>
        </w:rPr>
        <w:footnoteReference w:id="3424" w:customMarkFollows="0"/>
      </w:r>
      <w:bookmarkEnd w:id="4605"/>
      <w:r>
        <w:rPr>
          <w:rtl/>
        </w:rPr>
        <w:t xml:space="preserve">. לבסוף עזב ר׳ לייב חסמן את </w:t>
      </w:r>
      <w:proofErr w:type="spellStart"/>
      <w:r>
        <w:rPr>
          <w:rtl/>
        </w:rPr>
        <w:t>טלז</w:t>
      </w:r>
      <w:proofErr w:type="spellEnd"/>
      <w:r>
        <w:rPr>
          <w:rtl/>
        </w:rPr>
        <w:t xml:space="preserve"> </w:t>
      </w:r>
      <w:proofErr w:type="spellStart"/>
      <w:r>
        <w:rPr>
          <w:rtl/>
        </w:rPr>
        <w:t>בתרס״ג</w:t>
      </w:r>
      <w:proofErr w:type="spellEnd"/>
      <w:r>
        <w:rPr>
          <w:rtl/>
        </w:rPr>
        <w:t>.</w:t>
      </w:r>
    </w:p>
    <w:p w14:paraId="5FEB1A68" w14:textId="65077B5F" w:rsidR="00AB3647" w:rsidRDefault="00000000" w:rsidP="007923E9">
      <w:pPr>
        <w:spacing w:after="120" w:line="276" w:lineRule="auto"/>
        <w:jc w:val="both"/>
      </w:pPr>
      <w:r>
        <w:rPr>
          <w:rtl/>
        </w:rPr>
        <w:t xml:space="preserve">כץ, “תנועת המוסר”, כרך ה, מקדיש </w:t>
      </w:r>
      <w:proofErr w:type="spellStart"/>
      <w:r>
        <w:rPr>
          <w:rtl/>
        </w:rPr>
        <w:t>לר</w:t>
      </w:r>
      <w:proofErr w:type="spellEnd"/>
      <w:r>
        <w:rPr>
          <w:rtl/>
        </w:rPr>
        <w:t>׳ לייב את פרקים 11–14</w:t>
      </w:r>
      <w:bookmarkStart w:id="4606" w:name="_fnr3416"/>
      <w:r>
        <w:rPr>
          <w:vertAlign w:val="superscript"/>
          <w:rtl/>
        </w:rPr>
        <w:footnoteReference w:id="3425" w:customMarkFollows="0"/>
      </w:r>
      <w:bookmarkEnd w:id="4606"/>
      <w:r>
        <w:rPr>
          <w:rtl/>
        </w:rPr>
        <w:t xml:space="preserve">. לפי ר׳ ישראל </w:t>
      </w:r>
      <w:proofErr w:type="spellStart"/>
      <w:r>
        <w:rPr>
          <w:rtl/>
        </w:rPr>
        <w:t>שורין</w:t>
      </w:r>
      <w:bookmarkStart w:id="4607" w:name="_fnr3417"/>
      <w:proofErr w:type="spellEnd"/>
      <w:r>
        <w:rPr>
          <w:vertAlign w:val="superscript"/>
          <w:rtl/>
        </w:rPr>
        <w:footnoteReference w:id="3426" w:customMarkFollows="0"/>
      </w:r>
      <w:bookmarkEnd w:id="4607"/>
      <w:r>
        <w:rPr>
          <w:rtl/>
        </w:rPr>
        <w:t>, הוסיף אבי פרט מעניין לאחד הסיפורים המובאים שם</w:t>
      </w:r>
      <w:bookmarkStart w:id="4608" w:name="_fnr3418"/>
      <w:r>
        <w:rPr>
          <w:vertAlign w:val="superscript"/>
          <w:rtl/>
        </w:rPr>
        <w:footnoteReference w:id="3427" w:customMarkFollows="0"/>
      </w:r>
      <w:bookmarkEnd w:id="4608"/>
      <w:r>
        <w:rPr>
          <w:rtl/>
        </w:rPr>
        <w:t xml:space="preserve">. כץ מספר שכאשר ביקר ר׳ לייב חסמן </w:t>
      </w:r>
      <w:proofErr w:type="spellStart"/>
      <w:r>
        <w:rPr>
          <w:rtl/>
        </w:rPr>
        <w:t>בסלבודקה</w:t>
      </w:r>
      <w:proofErr w:type="spellEnd"/>
      <w:r>
        <w:rPr>
          <w:rtl/>
        </w:rPr>
        <w:t xml:space="preserve"> </w:t>
      </w:r>
      <w:proofErr w:type="spellStart"/>
      <w:r>
        <w:rPr>
          <w:rtl/>
        </w:rPr>
        <w:t>בתרפ״א</w:t>
      </w:r>
      <w:proofErr w:type="spellEnd"/>
      <w:r>
        <w:rPr>
          <w:rtl/>
        </w:rPr>
        <w:t xml:space="preserve">, והסבא הזמין אותו למסור שיחה, פתח במתקפה חזיתית על ישיבת </w:t>
      </w:r>
      <w:proofErr w:type="spellStart"/>
      <w:r>
        <w:rPr>
          <w:rtl/>
        </w:rPr>
        <w:t>סלבודקה</w:t>
      </w:r>
      <w:proofErr w:type="spellEnd"/>
      <w:r>
        <w:rPr>
          <w:rtl/>
        </w:rPr>
        <w:t xml:space="preserve"> – גם על רמת הלמדנות שבה וגם על סדרי המוסר שלה. אבי סיפר שהסבא עצמו נכח בשעת המתקפה המילולית: הוא עמד מאחורי הבימה וחייך. ר׳ ישראל </w:t>
      </w:r>
      <w:proofErr w:type="spellStart"/>
      <w:r>
        <w:rPr>
          <w:rtl/>
        </w:rPr>
        <w:t>שורין</w:t>
      </w:r>
      <w:proofErr w:type="spellEnd"/>
      <w:r>
        <w:rPr>
          <w:rtl/>
        </w:rPr>
        <w:t xml:space="preserve"> שאל את רבנו: </w:t>
      </w:r>
      <w:r>
        <w:rPr>
          <w:rtl/>
        </w:rPr>
        <w:lastRenderedPageBreak/>
        <w:t xml:space="preserve">“האם הסבא באמת נהנה מן ההתקפה?” והתשובה הייתה: “אצל הסבא אי אפשר היה לדעת [האט מען </w:t>
      </w:r>
      <w:proofErr w:type="spellStart"/>
      <w:r>
        <w:rPr>
          <w:rtl/>
        </w:rPr>
        <w:t>נישט</w:t>
      </w:r>
      <w:proofErr w:type="spellEnd"/>
      <w:r>
        <w:rPr>
          <w:rtl/>
        </w:rPr>
        <w:t xml:space="preserve"> </w:t>
      </w:r>
      <w:proofErr w:type="spellStart"/>
      <w:r>
        <w:rPr>
          <w:rtl/>
        </w:rPr>
        <w:t>געקענט</w:t>
      </w:r>
      <w:proofErr w:type="spellEnd"/>
      <w:r>
        <w:rPr>
          <w:rtl/>
        </w:rPr>
        <w:t xml:space="preserve"> </w:t>
      </w:r>
      <w:proofErr w:type="spellStart"/>
      <w:r>
        <w:rPr>
          <w:rtl/>
        </w:rPr>
        <w:t>וויסען</w:t>
      </w:r>
      <w:proofErr w:type="spellEnd"/>
      <w:r>
        <w:rPr>
          <w:rtl/>
        </w:rPr>
        <w:t xml:space="preserve">]”. השווה גם פרק 3, הערה </w:t>
      </w:r>
      <w:r>
        <w:rPr>
          <w:rtl/>
        </w:rPr>
        <w:fldChar w:fldCharType="begin" w:dirty="true"/>
      </w:r>
      <w:r>
        <w:rPr>
          <w:rtl/>
        </w:rPr>
        <w:instrText xml:space="preserve"> REF b3_note80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80</w:t>
      </w:r>
      <w:r>
        <w:rPr>
          <w:rtl/>
        </w:rPr>
        <w:fldChar w:fldCharType="end"/>
      </w:r>
      <w:r>
        <w:rPr>
          <w:rtl/>
        </w:rPr>
        <w:t>.</w:t>
      </w:r>
    </w:p>
    <w:bookmarkStart w:id="4609" w:name="b4_note112"/>
    <w:p w14:paraId="5961001D" w14:textId="6B14E45E" w:rsidR="00AB3647" w:rsidRDefault="00000000" w:rsidP="007923E9">
      <w:pPr>
        <w:spacing w:before="120" w:after="100" w:line="276" w:lineRule="auto"/>
        <w:jc w:val="both"/>
      </w:pPr>
      <w:r>
        <w:fldChar w:fldCharType="begin" w:dirty="true"/>
      </w:r>
      <w:r>
        <w:instrText>HYPERLINK \l "b4_text112" \h</w:instrText>
      </w:r>
      <w:r>
        <w:fldChar w:fldCharType="separate"/>
      </w:r>
      <w:r>
        <w:rPr>
          <w:b/>
          <w:bCs/>
          <w:rtl/>
        </w:rPr>
        <w:t>112</w:t>
      </w:r>
      <w:r>
        <w:rPr>
          <w:b/>
          <w:bCs/>
        </w:rPr>
        <w:fldChar w:fldCharType="end"/>
      </w:r>
      <w:bookmarkEnd w:id="4609"/>
      <w:r>
        <w:rPr>
          <w:rtl/>
        </w:rPr>
        <w:t xml:space="preserve"> השווה לסוף הערה </w:t>
      </w:r>
      <w:r>
        <w:rPr>
          <w:rtl/>
        </w:rPr>
        <w:fldChar w:fldCharType="begin" w:dirty="true"/>
      </w:r>
      <w:r>
        <w:rPr>
          <w:rtl/>
        </w:rPr>
        <w:instrText xml:space="preserve"> REF b4_note127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127</w:t>
      </w:r>
      <w:r>
        <w:rPr>
          <w:rtl/>
        </w:rPr>
        <w:fldChar w:fldCharType="end"/>
      </w:r>
      <w:r>
        <w:rPr>
          <w:rtl/>
        </w:rPr>
        <w:t xml:space="preserve"> להלן.</w:t>
      </w:r>
    </w:p>
    <w:bookmarkStart w:id="4610" w:name="b4_note113"/>
    <w:p w14:paraId="794E4DCB" w14:textId="77777777" w:rsidR="00AB3647" w:rsidRDefault="00000000" w:rsidP="007923E9">
      <w:pPr>
        <w:spacing w:before="120" w:after="100" w:line="276" w:lineRule="auto"/>
        <w:jc w:val="both"/>
      </w:pPr>
      <w:r>
        <w:fldChar w:fldCharType="begin" w:dirty="true"/>
      </w:r>
      <w:r>
        <w:instrText>HYPERLINK \l "b4_text113" \h</w:instrText>
      </w:r>
      <w:r>
        <w:fldChar w:fldCharType="separate"/>
      </w:r>
      <w:r>
        <w:rPr>
          <w:b/>
          <w:bCs/>
          <w:rtl/>
        </w:rPr>
        <w:t>113</w:t>
      </w:r>
      <w:r>
        <w:rPr>
          <w:b/>
          <w:bCs/>
        </w:rPr>
        <w:fldChar w:fldCharType="end"/>
      </w:r>
      <w:bookmarkEnd w:id="4610"/>
      <w:r>
        <w:rPr>
          <w:rtl/>
        </w:rPr>
        <w:t xml:space="preserve"> “שדות ולב” טועה</w:t>
      </w:r>
      <w:bookmarkStart w:id="4611" w:name="_fnr3419"/>
      <w:r>
        <w:rPr>
          <w:vertAlign w:val="superscript"/>
          <w:rtl/>
        </w:rPr>
        <w:footnoteReference w:id="3428" w:customMarkFollows="0"/>
      </w:r>
      <w:bookmarkEnd w:id="4611"/>
      <w:r>
        <w:rPr>
          <w:rtl/>
        </w:rPr>
        <w:t xml:space="preserve"> כשהוא אומר שר׳ יוסף לייב בלוך עזב את </w:t>
      </w:r>
      <w:proofErr w:type="spellStart"/>
      <w:r>
        <w:rPr>
          <w:rtl/>
        </w:rPr>
        <w:t>טלז</w:t>
      </w:r>
      <w:proofErr w:type="spellEnd"/>
      <w:r>
        <w:rPr>
          <w:rtl/>
        </w:rPr>
        <w:t xml:space="preserve"> יחד עם הקבוצה (הראשונה) </w:t>
      </w:r>
      <w:proofErr w:type="spellStart"/>
      <w:r>
        <w:rPr>
          <w:rtl/>
        </w:rPr>
        <w:t>מסלבודקה</w:t>
      </w:r>
      <w:proofErr w:type="spellEnd"/>
      <w:r>
        <w:rPr>
          <w:rtl/>
        </w:rPr>
        <w:t xml:space="preserve"> בתחילת תרס״ז, כשנסגרה הישיבה – כמתואר במשפטים הבאים. למעשה, כשהחליט ר׳ לייזר לפתוח מחדש את הישיבה, הוזמן ר׳ יוסף לייב בלוך, </w:t>
      </w:r>
      <w:r>
        <w:rPr>
          <w:b/>
          <w:bCs/>
          <w:rtl/>
        </w:rPr>
        <w:t>כאדם מבחוץ שלא היה מעורב במהומה</w:t>
      </w:r>
      <w:r>
        <w:rPr>
          <w:rtl/>
        </w:rPr>
        <w:t xml:space="preserve">, לתווך בין תלמידי </w:t>
      </w:r>
      <w:proofErr w:type="spellStart"/>
      <w:r>
        <w:rPr>
          <w:rtl/>
        </w:rPr>
        <w:t>טלז</w:t>
      </w:r>
      <w:proofErr w:type="spellEnd"/>
      <w:r>
        <w:rPr>
          <w:rtl/>
        </w:rPr>
        <w:t xml:space="preserve"> להנהלה, והוא נשא את נאום הפתיחה בחנוכת הישיבה מחדש</w:t>
      </w:r>
      <w:bookmarkStart w:id="4612" w:name="_fnr3420"/>
      <w:r>
        <w:rPr>
          <w:vertAlign w:val="superscript"/>
          <w:rtl/>
        </w:rPr>
        <w:footnoteReference w:id="3429" w:customMarkFollows="0"/>
      </w:r>
      <w:bookmarkEnd w:id="4612"/>
      <w:r>
        <w:rPr>
          <w:rtl/>
        </w:rPr>
        <w:t xml:space="preserve">. הוא נעשה רב </w:t>
      </w:r>
      <w:proofErr w:type="spellStart"/>
      <w:r>
        <w:rPr>
          <w:rtl/>
        </w:rPr>
        <w:t>בוורנה</w:t>
      </w:r>
      <w:proofErr w:type="spellEnd"/>
      <w:r>
        <w:rPr>
          <w:rtl/>
        </w:rPr>
        <w:t xml:space="preserve"> בחנוכה תרס״ב, </w:t>
      </w:r>
      <w:proofErr w:type="spellStart"/>
      <w:r>
        <w:rPr>
          <w:rtl/>
        </w:rPr>
        <w:t>ובשדובה</w:t>
      </w:r>
      <w:proofErr w:type="spellEnd"/>
      <w:r>
        <w:rPr>
          <w:rtl/>
        </w:rPr>
        <w:t xml:space="preserve"> כעבור שנתיים וחצי, ובשתי העיירות ניהל ישיבה בזמן כהונתו</w:t>
      </w:r>
      <w:bookmarkStart w:id="4613" w:name="_fnr3421"/>
      <w:r>
        <w:rPr>
          <w:vertAlign w:val="superscript"/>
          <w:rtl/>
        </w:rPr>
        <w:footnoteReference w:id="3430" w:customMarkFollows="0"/>
      </w:r>
      <w:bookmarkEnd w:id="4613"/>
      <w:r>
        <w:rPr>
          <w:rtl/>
        </w:rPr>
        <w:t>.</w:t>
      </w:r>
    </w:p>
    <w:p w14:paraId="4C0B6F37" w14:textId="77777777" w:rsidR="00AB3647" w:rsidRDefault="00000000" w:rsidP="007923E9">
      <w:pPr>
        <w:spacing w:before="120" w:after="100" w:line="276" w:lineRule="auto"/>
        <w:jc w:val="both"/>
      </w:pPr>
      <w:r>
        <w:rPr>
          <w:rtl/>
        </w:rPr>
        <w:t xml:space="preserve">ר׳ שמעון </w:t>
      </w:r>
      <w:proofErr w:type="spellStart"/>
      <w:r>
        <w:rPr>
          <w:rtl/>
        </w:rPr>
        <w:t>שקופ</w:t>
      </w:r>
      <w:bookmarkStart w:id="4614" w:name="_fnr3422"/>
      <w:proofErr w:type="spellEnd"/>
      <w:r>
        <w:rPr>
          <w:vertAlign w:val="superscript"/>
          <w:rtl/>
        </w:rPr>
        <w:footnoteReference w:id="3431" w:customMarkFollows="0"/>
      </w:r>
      <w:bookmarkEnd w:id="4614"/>
      <w:r>
        <w:rPr>
          <w:rtl/>
        </w:rPr>
        <w:t xml:space="preserve"> כיהן ברבנות </w:t>
      </w:r>
      <w:proofErr w:type="spellStart"/>
      <w:r>
        <w:rPr>
          <w:rtl/>
        </w:rPr>
        <w:t>מאלטש</w:t>
      </w:r>
      <w:proofErr w:type="spellEnd"/>
      <w:r>
        <w:rPr>
          <w:rtl/>
        </w:rPr>
        <w:t xml:space="preserve"> עד תרס״ז, ואחר כך </w:t>
      </w:r>
      <w:proofErr w:type="spellStart"/>
      <w:r>
        <w:rPr>
          <w:rtl/>
        </w:rPr>
        <w:t>בבריינסק</w:t>
      </w:r>
      <w:proofErr w:type="spellEnd"/>
      <w:r>
        <w:rPr>
          <w:rtl/>
        </w:rPr>
        <w:t xml:space="preserve">. </w:t>
      </w:r>
      <w:proofErr w:type="spellStart"/>
      <w:r>
        <w:rPr>
          <w:rtl/>
        </w:rPr>
        <w:t>בתר״פ</w:t>
      </w:r>
      <w:proofErr w:type="spellEnd"/>
      <w:r>
        <w:rPr>
          <w:rtl/>
        </w:rPr>
        <w:t xml:space="preserve"> נעשה ר׳ שמעון רב </w:t>
      </w:r>
      <w:proofErr w:type="spellStart"/>
      <w:r>
        <w:rPr>
          <w:rtl/>
        </w:rPr>
        <w:t>בגרודנא</w:t>
      </w:r>
      <w:proofErr w:type="spellEnd"/>
      <w:r>
        <w:rPr>
          <w:rtl/>
        </w:rPr>
        <w:t>. בכל מקום שכיהן בו ניהל ישיבה. ר׳ לייב</w:t>
      </w:r>
      <w:bookmarkStart w:id="4615" w:name="_fnr3423"/>
      <w:r>
        <w:rPr>
          <w:vertAlign w:val="superscript"/>
          <w:rtl/>
        </w:rPr>
        <w:footnoteReference w:id="3432" w:customMarkFollows="0"/>
      </w:r>
      <w:bookmarkEnd w:id="4615"/>
      <w:r>
        <w:rPr>
          <w:rtl/>
        </w:rPr>
        <w:t xml:space="preserve"> שהה </w:t>
      </w:r>
      <w:proofErr w:type="spellStart"/>
      <w:r>
        <w:rPr>
          <w:rtl/>
        </w:rPr>
        <w:t>בקלם</w:t>
      </w:r>
      <w:proofErr w:type="spellEnd"/>
      <w:r>
        <w:rPr>
          <w:rtl/>
        </w:rPr>
        <w:t xml:space="preserve"> שנתיים, אחר כך נעשה רב בכפר </w:t>
      </w:r>
      <w:proofErr w:type="spellStart"/>
      <w:r>
        <w:rPr>
          <w:rtl/>
        </w:rPr>
        <w:t>לודווינובה</w:t>
      </w:r>
      <w:proofErr w:type="spellEnd"/>
      <w:r>
        <w:rPr>
          <w:rtl/>
        </w:rPr>
        <w:t xml:space="preserve"> לארבע שנים, ולאחר מכן </w:t>
      </w:r>
      <w:proofErr w:type="spellStart"/>
      <w:r>
        <w:rPr>
          <w:rtl/>
        </w:rPr>
        <w:t>בשצ׳וצ׳ין</w:t>
      </w:r>
      <w:proofErr w:type="spellEnd"/>
      <w:r>
        <w:rPr>
          <w:rtl/>
        </w:rPr>
        <w:t xml:space="preserve">, ושם פתח ישיבה בעזרת הסבא (וקרא לה בשם ההולם “ענף כנסת ישראל”). אחרי מלחמת העולם הראשונה, </w:t>
      </w:r>
      <w:proofErr w:type="spellStart"/>
      <w:r>
        <w:rPr>
          <w:rtl/>
        </w:rPr>
        <w:t>כששצ׳וצ׳ין</w:t>
      </w:r>
      <w:proofErr w:type="spellEnd"/>
      <w:r>
        <w:rPr>
          <w:rtl/>
        </w:rPr>
        <w:t xml:space="preserve"> כבר לא התאימה לישיבה, פעל ר׳ לייב יד ביד עם ר׳ </w:t>
      </w:r>
      <w:proofErr w:type="spellStart"/>
      <w:r>
        <w:rPr>
          <w:rtl/>
        </w:rPr>
        <w:t>חיים־עוזר</w:t>
      </w:r>
      <w:proofErr w:type="spellEnd"/>
      <w:r>
        <w:rPr>
          <w:rtl/>
        </w:rPr>
        <w:t xml:space="preserve"> </w:t>
      </w:r>
      <w:proofErr w:type="spellStart"/>
      <w:r>
        <w:rPr>
          <w:rtl/>
        </w:rPr>
        <w:t>גרודזנסקי</w:t>
      </w:r>
      <w:proofErr w:type="spellEnd"/>
      <w:r>
        <w:rPr>
          <w:rtl/>
        </w:rPr>
        <w:t xml:space="preserve"> בניהול ועד הישיבות, שמרכזו בווילנה. </w:t>
      </w:r>
      <w:proofErr w:type="spellStart"/>
      <w:r>
        <w:rPr>
          <w:rtl/>
        </w:rPr>
        <w:t>בתרפ״ז</w:t>
      </w:r>
      <w:proofErr w:type="spellEnd"/>
      <w:r>
        <w:rPr>
          <w:rtl/>
        </w:rPr>
        <w:t xml:space="preserve"> התיישב ר׳ לייב חסמן בארץ ישראל, ושם כיהן כמשגיח בישיבת חברון.</w:t>
      </w:r>
    </w:p>
    <w:p w14:paraId="6DB65E3B" w14:textId="5310F49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 xml:space="preserve">אבל המהפכה נגד הצאר, שהגיעה לשיאה </w:t>
      </w:r>
      <w:proofErr w:type="spellStart"/>
      <w:r>
        <w:rPr>
          <w:rtl/>
        </w:rPr>
        <w:t>בתרס״ד</w:t>
      </w:r>
      <w:proofErr w:type="spellEnd"/>
      <w:r>
        <w:rPr>
          <w:rtl/>
        </w:rPr>
        <w:t xml:space="preserve"> </w:t>
      </w:r>
      <w:proofErr w:type="spellStart"/>
      <w:r>
        <w:rPr>
          <w:rtl/>
        </w:rPr>
        <w:t>ובתרס״ה</w:t>
      </w:r>
      <w:proofErr w:type="spellEnd"/>
      <w:r>
        <w:rPr>
          <w:rtl/>
        </w:rPr>
        <w:t xml:space="preserve">, היא שהביאה את ההתפרצויות </w:t>
      </w:r>
      <w:proofErr w:type="spellStart"/>
      <w:r>
        <w:rPr>
          <w:rtl/>
        </w:rPr>
        <w:t>בטלז</w:t>
      </w:r>
      <w:proofErr w:type="spellEnd"/>
      <w:r>
        <w:rPr>
          <w:rtl/>
        </w:rPr>
        <w:t xml:space="preserve"> למלוא עוצמתן. כמו בסלבודקה</w:t>
      </w:r>
      <w:bookmarkStart w:id="4616" w:name="b4_text114"/>
      <w:bookmarkEnd w:id="4616"/>
      <w:r>
        <w:rPr>
          <w:sz w:val="18"/>
          <w:szCs w:val="18"/>
          <w:vertAlign w:val="superscript"/>
          <w:rtl/>
        </w:rPr>
        <w:fldChar w:fldCharType="begin" w:dirty="true"/>
      </w:r>
      <w:r>
        <w:rPr>
          <w:sz w:val="18"/>
          <w:szCs w:val="18"/>
          <w:vertAlign w:val="superscript"/>
          <w:rtl/>
        </w:rPr>
        <w:instrText xml:space="preserve"> REF b4_note114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114</w:t>
      </w:r>
      <w:r>
        <w:rPr>
          <w:sz w:val="18"/>
          <w:szCs w:val="18"/>
          <w:vertAlign w:val="superscript"/>
          <w:rtl/>
        </w:rPr>
        <w:fldChar w:fldCharType="end"/>
      </w:r>
      <w:r>
        <w:rPr>
          <w:rtl/>
        </w:rPr>
        <w:t xml:space="preserve">, נמשכו תלמידים רבים לסוציאליזם, </w:t>
      </w:r>
      <w:proofErr w:type="spellStart"/>
      <w:r>
        <w:rPr>
          <w:rtl/>
        </w:rPr>
        <w:t>וה“הופקות</w:t>
      </w:r>
      <w:proofErr w:type="spellEnd"/>
      <w:r>
        <w:rPr>
          <w:rtl/>
        </w:rPr>
        <w:t xml:space="preserve">” (מהומות) החוזרות בתוך הישיבה הביאו את ר׳ לייזר לפנות לסבא </w:t>
      </w:r>
      <w:proofErr w:type="spellStart"/>
      <w:r>
        <w:rPr>
          <w:rtl/>
        </w:rPr>
        <w:t>מסלבודקה</w:t>
      </w:r>
      <w:proofErr w:type="spellEnd"/>
      <w:r>
        <w:rPr>
          <w:rtl/>
        </w:rPr>
        <w:t>, הצעיר ממנו בשמונה שנים, בבקשת תגבורת</w:t>
      </w:r>
      <w:bookmarkStart w:id="4617" w:name="b4_text115"/>
      <w:bookmarkEnd w:id="4617"/>
      <w:r>
        <w:rPr>
          <w:sz w:val="18"/>
          <w:szCs w:val="18"/>
          <w:vertAlign w:val="superscript"/>
          <w:rtl/>
        </w:rPr>
        <w:fldChar w:fldCharType="begin" w:dirty="true"/>
      </w:r>
      <w:r>
        <w:rPr>
          <w:sz w:val="18"/>
          <w:szCs w:val="18"/>
          <w:vertAlign w:val="superscript"/>
          <w:rtl/>
        </w:rPr>
        <w:instrText xml:space="preserve"> REF b4_note115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115</w:t>
      </w:r>
      <w:r>
        <w:rPr>
          <w:sz w:val="18"/>
          <w:szCs w:val="18"/>
          <w:vertAlign w:val="superscript"/>
          <w:rtl/>
        </w:rPr>
        <w:fldChar w:fldCharType="end"/>
      </w:r>
      <w:r>
        <w:rPr>
          <w:rtl/>
        </w:rPr>
        <w:t xml:space="preserve">. לזמן הקיץ של תרס״ה באה </w:t>
      </w:r>
      <w:proofErr w:type="spellStart"/>
      <w:r>
        <w:rPr>
          <w:rtl/>
        </w:rPr>
        <w:t>לטלז</w:t>
      </w:r>
      <w:proofErr w:type="spellEnd"/>
      <w:r>
        <w:rPr>
          <w:rtl/>
        </w:rPr>
        <w:t xml:space="preserve"> קבוצה של יותר מעשרים</w:t>
      </w:r>
      <w:bookmarkStart w:id="4618" w:name="b4_text116"/>
      <w:bookmarkEnd w:id="4618"/>
      <w:r>
        <w:rPr>
          <w:sz w:val="18"/>
          <w:szCs w:val="18"/>
          <w:vertAlign w:val="superscript"/>
          <w:rtl/>
        </w:rPr>
        <w:fldChar w:fldCharType="begin" w:dirty="true"/>
      </w:r>
      <w:r>
        <w:rPr>
          <w:sz w:val="18"/>
          <w:szCs w:val="18"/>
          <w:vertAlign w:val="superscript"/>
          <w:rtl/>
        </w:rPr>
        <w:instrText xml:space="preserve"> REF b4_note116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116</w:t>
      </w:r>
      <w:r>
        <w:rPr>
          <w:sz w:val="18"/>
          <w:szCs w:val="18"/>
          <w:vertAlign w:val="superscript"/>
          <w:rtl/>
        </w:rPr>
        <w:fldChar w:fldCharType="end"/>
      </w:r>
      <w:r>
        <w:rPr>
          <w:rtl/>
        </w:rPr>
        <w:t xml:space="preserve"> מן התלמידים המעולים של </w:t>
      </w:r>
      <w:proofErr w:type="spellStart"/>
      <w:r>
        <w:rPr>
          <w:rtl/>
        </w:rPr>
        <w:t>סלבודקה</w:t>
      </w:r>
      <w:proofErr w:type="spellEnd"/>
      <w:r>
        <w:rPr>
          <w:rtl/>
        </w:rPr>
        <w:t>, יחד עם משגיח</w:t>
      </w:r>
      <w:bookmarkStart w:id="4619" w:name="b4_text117"/>
      <w:bookmarkEnd w:id="4619"/>
      <w:r>
        <w:rPr>
          <w:sz w:val="18"/>
          <w:szCs w:val="18"/>
          <w:vertAlign w:val="superscript"/>
          <w:rtl/>
        </w:rPr>
        <w:fldChar w:fldCharType="begin" w:dirty="true"/>
      </w:r>
      <w:r>
        <w:rPr>
          <w:sz w:val="18"/>
          <w:szCs w:val="18"/>
          <w:vertAlign w:val="superscript"/>
          <w:rtl/>
        </w:rPr>
        <w:instrText xml:space="preserve"> REF b4_note117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117</w:t>
      </w:r>
      <w:r>
        <w:rPr>
          <w:sz w:val="18"/>
          <w:szCs w:val="18"/>
          <w:vertAlign w:val="superscript"/>
          <w:rtl/>
        </w:rPr>
        <w:fldChar w:fldCharType="end"/>
      </w:r>
      <w:r>
        <w:rPr>
          <w:rtl/>
        </w:rPr>
        <w:t xml:space="preserve">. תלמידי </w:t>
      </w:r>
      <w:proofErr w:type="spellStart"/>
      <w:r>
        <w:rPr>
          <w:rtl/>
        </w:rPr>
        <w:t>טלז</w:t>
      </w:r>
      <w:proofErr w:type="spellEnd"/>
      <w:r>
        <w:rPr>
          <w:rtl/>
        </w:rPr>
        <w:t xml:space="preserve"> היו גאים, ובצדק, אבל לא קיבלו בעין יפה את הבאים החדשים, </w:t>
      </w:r>
      <w:proofErr w:type="spellStart"/>
      <w:r>
        <w:rPr>
          <w:rtl/>
        </w:rPr>
        <w:t>וה“הופקות</w:t>
      </w:r>
      <w:proofErr w:type="spellEnd"/>
      <w:r>
        <w:rPr>
          <w:rtl/>
        </w:rPr>
        <w:t>” הגיעו לעוצמה נפיצה</w:t>
      </w:r>
      <w:bookmarkStart w:id="4620" w:name="b4_text118"/>
      <w:bookmarkEnd w:id="4620"/>
      <w:r>
        <w:rPr>
          <w:sz w:val="18"/>
          <w:szCs w:val="18"/>
          <w:vertAlign w:val="superscript"/>
          <w:rtl/>
        </w:rPr>
        <w:fldChar w:fldCharType="begin" w:dirty="true"/>
      </w:r>
      <w:r>
        <w:rPr>
          <w:sz w:val="18"/>
          <w:szCs w:val="18"/>
          <w:vertAlign w:val="superscript"/>
          <w:rtl/>
        </w:rPr>
        <w:instrText xml:space="preserve"> REF b4_note118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118</w:t>
      </w:r>
      <w:r>
        <w:rPr>
          <w:sz w:val="18"/>
          <w:szCs w:val="18"/>
          <w:vertAlign w:val="superscript"/>
          <w:rtl/>
        </w:rPr>
        <w:fldChar w:fldCharType="end"/>
      </w:r>
      <w:r>
        <w:rPr>
          <w:rtl/>
        </w:rPr>
        <w:t>.</w:t>
      </w:r>
    </w:p>
    <w:bookmarkStart w:id="4621" w:name="b4_note114"/>
    <w:p w14:paraId="0849E1B1" w14:textId="77777777" w:rsidR="00AB3647" w:rsidRDefault="00000000" w:rsidP="007923E9">
      <w:pPr>
        <w:spacing w:before="120" w:after="100" w:line="276" w:lineRule="auto"/>
        <w:jc w:val="both"/>
      </w:pPr>
      <w:r>
        <w:fldChar w:fldCharType="begin" w:dirty="true"/>
      </w:r>
      <w:r>
        <w:instrText>HYPERLINK \l "b4_text114" \h</w:instrText>
      </w:r>
      <w:r>
        <w:fldChar w:fldCharType="separate"/>
      </w:r>
      <w:r>
        <w:rPr>
          <w:b/>
          <w:bCs/>
          <w:rtl/>
        </w:rPr>
        <w:t>114</w:t>
      </w:r>
      <w:r>
        <w:rPr>
          <w:b/>
          <w:bCs/>
        </w:rPr>
        <w:fldChar w:fldCharType="end"/>
      </w:r>
      <w:bookmarkEnd w:id="4621"/>
      <w:r>
        <w:rPr>
          <w:rtl/>
        </w:rPr>
        <w:t xml:space="preserve"> השווה סוף סעיף 1 בפרק 3.</w:t>
      </w:r>
    </w:p>
    <w:bookmarkStart w:id="4622" w:name="b4_note115"/>
    <w:p w14:paraId="1563F847" w14:textId="77777777" w:rsidR="00AB3647" w:rsidRDefault="00000000" w:rsidP="007923E9">
      <w:pPr>
        <w:spacing w:before="120" w:after="100" w:line="276" w:lineRule="auto"/>
        <w:jc w:val="both"/>
      </w:pPr>
      <w:r>
        <w:fldChar w:fldCharType="begin" w:dirty="true"/>
      </w:r>
      <w:r>
        <w:instrText>HYPERLINK \l "b4_text115" \h</w:instrText>
      </w:r>
      <w:r>
        <w:fldChar w:fldCharType="separate"/>
      </w:r>
      <w:r>
        <w:rPr>
          <w:b/>
          <w:bCs/>
          <w:rtl/>
        </w:rPr>
        <w:t>115</w:t>
      </w:r>
      <w:r>
        <w:rPr>
          <w:b/>
          <w:bCs/>
        </w:rPr>
        <w:fldChar w:fldCharType="end"/>
      </w:r>
      <w:bookmarkEnd w:id="4622"/>
      <w:r>
        <w:rPr>
          <w:rtl/>
        </w:rPr>
        <w:t xml:space="preserve"> ב׳ </w:t>
      </w:r>
      <w:proofErr w:type="spellStart"/>
      <w:r>
        <w:rPr>
          <w:rtl/>
        </w:rPr>
        <w:t>שולמן</w:t>
      </w:r>
      <w:proofErr w:type="spellEnd"/>
      <w:r>
        <w:rPr>
          <w:rtl/>
        </w:rPr>
        <w:t xml:space="preserve">, שלמד </w:t>
      </w:r>
      <w:proofErr w:type="spellStart"/>
      <w:r>
        <w:rPr>
          <w:rtl/>
        </w:rPr>
        <w:t>בטלז</w:t>
      </w:r>
      <w:proofErr w:type="spellEnd"/>
      <w:r>
        <w:rPr>
          <w:rtl/>
        </w:rPr>
        <w:t xml:space="preserve"> באותה תקופה, במאמר שכותרתו “הרוח המהפכנית בישיבות </w:t>
      </w:r>
      <w:proofErr w:type="spellStart"/>
      <w:r>
        <w:rPr>
          <w:rtl/>
        </w:rPr>
        <w:t>טלז</w:t>
      </w:r>
      <w:proofErr w:type="spellEnd"/>
      <w:r>
        <w:rPr>
          <w:rtl/>
        </w:rPr>
        <w:t xml:space="preserve"> ושאדוב בשנים 1906–1909”</w:t>
      </w:r>
      <w:bookmarkStart w:id="4623" w:name="_fnr3424"/>
      <w:bookmarkStart w:id="4624" w:name="_fnr3425"/>
      <w:bookmarkEnd w:id="4623"/>
      <w:r>
        <w:rPr>
          <w:vertAlign w:val="superscript"/>
          <w:rtl/>
        </w:rPr>
        <w:footnoteReference w:id="3433" w:customMarkFollows="0"/>
      </w:r>
      <w:bookmarkEnd w:id="4624"/>
      <w:r>
        <w:rPr>
          <w:rtl/>
        </w:rPr>
        <w:t>, כותב</w:t>
      </w:r>
      <w:bookmarkStart w:id="4625" w:name="_fnr3426"/>
      <w:r>
        <w:rPr>
          <w:vertAlign w:val="superscript"/>
          <w:rtl/>
        </w:rPr>
        <w:footnoteReference w:id="3434" w:customMarkFollows="0"/>
      </w:r>
      <w:bookmarkEnd w:id="4625"/>
      <w:r>
        <w:rPr>
          <w:rtl/>
        </w:rPr>
        <w:t xml:space="preserve">: “ראשי הישיבה שלנו הרגישו בצדק כי לא התנועה הציונית ולא המהפכה [הסוציאליסטית] לא פגעו במבצר אנשי המוסר. </w:t>
      </w:r>
      <w:proofErr w:type="spellStart"/>
      <w:r>
        <w:rPr>
          <w:rtl/>
        </w:rPr>
        <w:t>בסלובודקה</w:t>
      </w:r>
      <w:proofErr w:type="spellEnd"/>
      <w:r>
        <w:rPr>
          <w:rtl/>
        </w:rPr>
        <w:t xml:space="preserve"> הסעירה </w:t>
      </w:r>
      <w:r>
        <w:rPr>
          <w:rtl/>
        </w:rPr>
        <w:lastRenderedPageBreak/>
        <w:t>התנועה הציונית את כל הישיבות</w:t>
      </w:r>
      <w:bookmarkStart w:id="4626" w:name="_fnr3427"/>
      <w:r>
        <w:rPr>
          <w:vertAlign w:val="superscript"/>
          <w:rtl/>
        </w:rPr>
        <w:footnoteReference w:id="3435" w:customMarkFollows="0"/>
      </w:r>
      <w:bookmarkEnd w:id="4626"/>
      <w:r>
        <w:rPr>
          <w:rtl/>
        </w:rPr>
        <w:t xml:space="preserve"> [מלבד כנסת ישראל] עד היסוד. הן יצאו מן המאבק נגד הציונות מזועזעות ומרופות וניטלה מהן כמחצית בחורי הישיבה הפעילים והמוכשרים ביותר. גם התנועות המהפכניות השתקפו בהרבה בחיי ישיבות ליטא... רק ישיבת המוסר בהנהלת ‘הסבא’ נשארה שלימה ללא פגם. שום תנועה וזרם שרוקנו ישיבות אחרות לא פגעו בבחורי </w:t>
      </w:r>
      <w:proofErr w:type="spellStart"/>
      <w:r>
        <w:rPr>
          <w:rtl/>
        </w:rPr>
        <w:t>סלובודקה</w:t>
      </w:r>
      <w:proofErr w:type="spellEnd"/>
      <w:r>
        <w:rPr>
          <w:rtl/>
        </w:rPr>
        <w:t xml:space="preserve">. הם ראו את </w:t>
      </w:r>
      <w:proofErr w:type="spellStart"/>
      <w:r>
        <w:rPr>
          <w:rtl/>
        </w:rPr>
        <w:t>הכל</w:t>
      </w:r>
      <w:proofErr w:type="spellEnd"/>
      <w:r>
        <w:rPr>
          <w:rtl/>
        </w:rPr>
        <w:t xml:space="preserve"> וידעו את </w:t>
      </w:r>
      <w:proofErr w:type="spellStart"/>
      <w:r>
        <w:rPr>
          <w:rtl/>
        </w:rPr>
        <w:t>הכל</w:t>
      </w:r>
      <w:proofErr w:type="spellEnd"/>
      <w:r>
        <w:rPr>
          <w:rtl/>
        </w:rPr>
        <w:t xml:space="preserve">, אבל לא נפגעו. כולנו ידענו היטב </w:t>
      </w:r>
      <w:proofErr w:type="spellStart"/>
      <w:r>
        <w:rPr>
          <w:rtl/>
        </w:rPr>
        <w:t>שהמוסרניקים</w:t>
      </w:r>
      <w:proofErr w:type="spellEnd"/>
      <w:r>
        <w:rPr>
          <w:rtl/>
        </w:rPr>
        <w:t xml:space="preserve"> קוראים </w:t>
      </w:r>
      <w:proofErr w:type="spellStart"/>
      <w:r>
        <w:rPr>
          <w:rtl/>
        </w:rPr>
        <w:t>עתונים</w:t>
      </w:r>
      <w:proofErr w:type="spellEnd"/>
      <w:r>
        <w:rPr>
          <w:rtl/>
        </w:rPr>
        <w:t xml:space="preserve">, קוראים ואחדים אפילו בקיאים בספרות העברית החדשה ובכל זאת הם חיים בעולם משלהם. לפיכך השתדלו כמה הנהלות של ישיבות בשנות 1907–1908 [תרס״ז–תרס״ח] לשתול גם אצלם את </w:t>
      </w:r>
      <w:proofErr w:type="spellStart"/>
      <w:r>
        <w:rPr>
          <w:rtl/>
        </w:rPr>
        <w:t>ה‘מוסר</w:t>
      </w:r>
      <w:proofErr w:type="spellEnd"/>
      <w:r>
        <w:rPr>
          <w:rtl/>
        </w:rPr>
        <w:t xml:space="preserve">’ ולבנות [מחדש] את הישיבות הישנות כמתכונת ‘כנסת ישראל’ </w:t>
      </w:r>
      <w:proofErr w:type="spellStart"/>
      <w:r>
        <w:rPr>
          <w:rtl/>
        </w:rPr>
        <w:t>בסלובודקה</w:t>
      </w:r>
      <w:proofErr w:type="spellEnd"/>
      <w:r>
        <w:rPr>
          <w:rtl/>
        </w:rPr>
        <w:t>”.</w:t>
      </w:r>
    </w:p>
    <w:p w14:paraId="37387F61" w14:textId="77777777" w:rsidR="00AB3647" w:rsidRDefault="00000000" w:rsidP="007923E9">
      <w:pPr>
        <w:spacing w:before="120" w:after="100" w:line="276" w:lineRule="auto"/>
        <w:jc w:val="both"/>
      </w:pPr>
      <w:r>
        <w:rPr>
          <w:rtl/>
        </w:rPr>
        <w:t xml:space="preserve">למעשה, ההכרה </w:t>
      </w:r>
      <w:proofErr w:type="spellStart"/>
      <w:r>
        <w:rPr>
          <w:rtl/>
        </w:rPr>
        <w:t>שסלבודקה</w:t>
      </w:r>
      <w:proofErr w:type="spellEnd"/>
      <w:r>
        <w:rPr>
          <w:rtl/>
        </w:rPr>
        <w:t xml:space="preserve"> עשויה להציל ישיבות אחרות באה לפני תרס״ז, הזמן שקבע המחבר, והוא עצמו, שלמד </w:t>
      </w:r>
      <w:proofErr w:type="spellStart"/>
      <w:r>
        <w:rPr>
          <w:rtl/>
        </w:rPr>
        <w:t>בטלז</w:t>
      </w:r>
      <w:proofErr w:type="spellEnd"/>
      <w:r>
        <w:rPr>
          <w:rtl/>
        </w:rPr>
        <w:t xml:space="preserve"> לפני שנה זו</w:t>
      </w:r>
      <w:bookmarkStart w:id="4627" w:name="_fnr3428"/>
      <w:r>
        <w:rPr>
          <w:vertAlign w:val="superscript"/>
          <w:rtl/>
        </w:rPr>
        <w:footnoteReference w:id="3436" w:customMarkFollows="0"/>
      </w:r>
      <w:bookmarkEnd w:id="4627"/>
      <w:r>
        <w:rPr>
          <w:rtl/>
        </w:rPr>
        <w:t xml:space="preserve">, ראה בעיניו את בוא תלמידי </w:t>
      </w:r>
      <w:proofErr w:type="spellStart"/>
      <w:r>
        <w:rPr>
          <w:rtl/>
        </w:rPr>
        <w:t>סלבודקה</w:t>
      </w:r>
      <w:proofErr w:type="spellEnd"/>
      <w:r>
        <w:rPr>
          <w:rtl/>
        </w:rPr>
        <w:t xml:space="preserve"> לשם. ייתכן שהמחבר, שהיה מתנגד חריף למוסר, ניסה – למרות תיאורו המשבח מאוד את המוסר – להמעיט בפועלו של הסבא, בכך שגרע שנה או שנתיים מהישגיו. יתר על כן, המחבר לא הבין שגם ישיבת הסבא נאבקה בציונות ובסוציאליזם גם יחד, אבל יצאה מן המאבק בשלום בזכות הנהגתו – השווה הפסקה שלפני האחרונה של פרק 3.1.</w:t>
      </w:r>
    </w:p>
    <w:bookmarkStart w:id="4628" w:name="b4_note116"/>
    <w:p w14:paraId="0D7B7FF0" w14:textId="77777777" w:rsidR="00AB3647" w:rsidRDefault="00000000" w:rsidP="007923E9">
      <w:pPr>
        <w:spacing w:before="120" w:after="100" w:line="276" w:lineRule="auto"/>
        <w:jc w:val="both"/>
      </w:pPr>
      <w:r>
        <w:fldChar w:fldCharType="begin" w:dirty="true"/>
      </w:r>
      <w:r>
        <w:instrText>HYPERLINK \l "b4_text116" \h</w:instrText>
      </w:r>
      <w:r>
        <w:fldChar w:fldCharType="separate"/>
      </w:r>
      <w:r>
        <w:rPr>
          <w:b/>
          <w:bCs/>
          <w:rtl/>
        </w:rPr>
        <w:t>116</w:t>
      </w:r>
      <w:r>
        <w:rPr>
          <w:b/>
          <w:bCs/>
        </w:rPr>
        <w:fldChar w:fldCharType="end"/>
      </w:r>
      <w:bookmarkEnd w:id="4628"/>
      <w:r>
        <w:rPr>
          <w:rtl/>
        </w:rPr>
        <w:t xml:space="preserve"> כץ, “תנועת המוסר”, כרך ה</w:t>
      </w:r>
      <w:bookmarkStart w:id="4629" w:name="_fnr3429"/>
      <w:r>
        <w:rPr>
          <w:vertAlign w:val="superscript"/>
          <w:rtl/>
        </w:rPr>
        <w:footnoteReference w:id="3437" w:customMarkFollows="0"/>
      </w:r>
      <w:bookmarkEnd w:id="4629"/>
      <w:r>
        <w:rPr>
          <w:rtl/>
        </w:rPr>
        <w:t>. אבל אסף</w:t>
      </w:r>
      <w:bookmarkStart w:id="4630" w:name="_fnr3430"/>
      <w:r>
        <w:rPr>
          <w:vertAlign w:val="superscript"/>
          <w:rtl/>
        </w:rPr>
        <w:footnoteReference w:id="3438" w:customMarkFollows="0"/>
      </w:r>
      <w:bookmarkEnd w:id="4630"/>
      <w:r>
        <w:rPr>
          <w:rtl/>
        </w:rPr>
        <w:t xml:space="preserve"> נוקב במספר של שלושים עד ארבעים.</w:t>
      </w:r>
    </w:p>
    <w:bookmarkStart w:id="4631" w:name="b4_note117"/>
    <w:p w14:paraId="55E7C98B" w14:textId="77777777" w:rsidR="00AB3647" w:rsidRDefault="00000000" w:rsidP="007923E9">
      <w:pPr>
        <w:spacing w:before="120" w:after="100" w:line="276" w:lineRule="auto"/>
        <w:jc w:val="both"/>
      </w:pPr>
      <w:r>
        <w:fldChar w:fldCharType="begin" w:dirty="true"/>
      </w:r>
      <w:r>
        <w:instrText>HYPERLINK \l "b4_text117" \h</w:instrText>
      </w:r>
      <w:r>
        <w:fldChar w:fldCharType="separate"/>
      </w:r>
      <w:r>
        <w:rPr>
          <w:b/>
          <w:bCs/>
          <w:rtl/>
        </w:rPr>
        <w:t>117</w:t>
      </w:r>
      <w:r>
        <w:rPr>
          <w:b/>
          <w:bCs/>
        </w:rPr>
        <w:fldChar w:fldCharType="end"/>
      </w:r>
      <w:bookmarkEnd w:id="4631"/>
      <w:r>
        <w:rPr>
          <w:rtl/>
        </w:rPr>
        <w:t xml:space="preserve"> היה זה ר׳ אליעזר לופט</w:t>
      </w:r>
      <w:bookmarkStart w:id="4632" w:name="_fnr3431"/>
      <w:r>
        <w:rPr>
          <w:vertAlign w:val="superscript"/>
          <w:rtl/>
        </w:rPr>
        <w:footnoteReference w:id="3439" w:customMarkFollows="0"/>
      </w:r>
      <w:bookmarkEnd w:id="4632"/>
      <w:r>
        <w:rPr>
          <w:rtl/>
        </w:rPr>
        <w:t xml:space="preserve">. בקבוצה היו ר׳ אברהם </w:t>
      </w:r>
      <w:proofErr w:type="spellStart"/>
      <w:r>
        <w:rPr>
          <w:rtl/>
        </w:rPr>
        <w:t>הוורשאי</w:t>
      </w:r>
      <w:proofErr w:type="spellEnd"/>
      <w:r>
        <w:rPr>
          <w:rtl/>
        </w:rPr>
        <w:t xml:space="preserve"> (</w:t>
      </w:r>
      <w:proofErr w:type="spellStart"/>
      <w:r>
        <w:rPr>
          <w:rtl/>
        </w:rPr>
        <w:t>גרודזינסקי</w:t>
      </w:r>
      <w:proofErr w:type="spellEnd"/>
      <w:r>
        <w:rPr>
          <w:rtl/>
        </w:rPr>
        <w:t>)</w:t>
      </w:r>
      <w:bookmarkStart w:id="4633" w:name="_fnr3432"/>
      <w:r>
        <w:rPr>
          <w:vertAlign w:val="superscript"/>
          <w:rtl/>
        </w:rPr>
        <w:footnoteReference w:id="3440" w:customMarkFollows="0"/>
      </w:r>
      <w:bookmarkEnd w:id="4633"/>
      <w:r>
        <w:rPr>
          <w:rtl/>
        </w:rPr>
        <w:t xml:space="preserve">, שהוערך מאוד, ולימים נעשה מנהלה הרוחני של ישיבת </w:t>
      </w:r>
      <w:proofErr w:type="spellStart"/>
      <w:r>
        <w:rPr>
          <w:rtl/>
        </w:rPr>
        <w:t>סלבודקה</w:t>
      </w:r>
      <w:proofErr w:type="spellEnd"/>
      <w:r>
        <w:rPr>
          <w:rtl/>
        </w:rPr>
        <w:t xml:space="preserve"> אחרי שעלה ר׳ </w:t>
      </w:r>
      <w:proofErr w:type="spellStart"/>
      <w:r>
        <w:rPr>
          <w:rtl/>
        </w:rPr>
        <w:t>נתן־צבי</w:t>
      </w:r>
      <w:proofErr w:type="spellEnd"/>
      <w:r>
        <w:rPr>
          <w:rtl/>
        </w:rPr>
        <w:t xml:space="preserve"> </w:t>
      </w:r>
      <w:proofErr w:type="spellStart"/>
      <w:r>
        <w:rPr>
          <w:rtl/>
        </w:rPr>
        <w:t>פינקל</w:t>
      </w:r>
      <w:proofErr w:type="spellEnd"/>
      <w:r>
        <w:rPr>
          <w:rtl/>
        </w:rPr>
        <w:t xml:space="preserve"> לארץ ישראל; ר׳ </w:t>
      </w:r>
      <w:proofErr w:type="spellStart"/>
      <w:r>
        <w:rPr>
          <w:rtl/>
        </w:rPr>
        <w:t>פייבל</w:t>
      </w:r>
      <w:proofErr w:type="spellEnd"/>
      <w:r>
        <w:rPr>
          <w:rtl/>
        </w:rPr>
        <w:t xml:space="preserve"> </w:t>
      </w:r>
      <w:proofErr w:type="spellStart"/>
      <w:r>
        <w:rPr>
          <w:rtl/>
        </w:rPr>
        <w:t>הינדס</w:t>
      </w:r>
      <w:proofErr w:type="spellEnd"/>
      <w:r>
        <w:rPr>
          <w:rtl/>
        </w:rPr>
        <w:t xml:space="preserve"> (שאבי תיארו </w:t>
      </w:r>
      <w:proofErr w:type="spellStart"/>
      <w:r>
        <w:rPr>
          <w:rtl/>
        </w:rPr>
        <w:t>כ“עילוי</w:t>
      </w:r>
      <w:proofErr w:type="spellEnd"/>
      <w:r>
        <w:rPr>
          <w:rtl/>
        </w:rPr>
        <w:t xml:space="preserve"> הגדול ביותר שהיה אי פעם </w:t>
      </w:r>
      <w:proofErr w:type="spellStart"/>
      <w:r>
        <w:rPr>
          <w:rtl/>
        </w:rPr>
        <w:t>בסלבודקה</w:t>
      </w:r>
      <w:proofErr w:type="spellEnd"/>
      <w:r>
        <w:rPr>
          <w:rtl/>
        </w:rPr>
        <w:t xml:space="preserve">”), לימים חתנו של ר׳ שמעון </w:t>
      </w:r>
      <w:proofErr w:type="spellStart"/>
      <w:r>
        <w:rPr>
          <w:rtl/>
        </w:rPr>
        <w:t>שקופ</w:t>
      </w:r>
      <w:proofErr w:type="spellEnd"/>
      <w:r>
        <w:rPr>
          <w:rtl/>
        </w:rPr>
        <w:t xml:space="preserve"> ואחר כך ר״מ בישיבת חותנו </w:t>
      </w:r>
      <w:proofErr w:type="spellStart"/>
      <w:r>
        <w:rPr>
          <w:rtl/>
        </w:rPr>
        <w:t>בגרודנא</w:t>
      </w:r>
      <w:proofErr w:type="spellEnd"/>
      <w:r>
        <w:rPr>
          <w:rtl/>
        </w:rPr>
        <w:t xml:space="preserve">; ר׳ </w:t>
      </w:r>
      <w:proofErr w:type="spellStart"/>
      <w:r>
        <w:rPr>
          <w:rtl/>
        </w:rPr>
        <w:t>יהושע־זליג</w:t>
      </w:r>
      <w:proofErr w:type="spellEnd"/>
      <w:r>
        <w:rPr>
          <w:rtl/>
        </w:rPr>
        <w:t xml:space="preserve"> רוך, לימים חתנו של ר׳ לייזר </w:t>
      </w:r>
      <w:proofErr w:type="spellStart"/>
      <w:r>
        <w:rPr>
          <w:rtl/>
        </w:rPr>
        <w:t>שולביץ</w:t>
      </w:r>
      <w:proofErr w:type="spellEnd"/>
      <w:r>
        <w:rPr>
          <w:rtl/>
        </w:rPr>
        <w:t xml:space="preserve"> וראש ישיבה בישיבת חותנו </w:t>
      </w:r>
      <w:proofErr w:type="spellStart"/>
      <w:r>
        <w:rPr>
          <w:rtl/>
        </w:rPr>
        <w:t>בלומז׳ה</w:t>
      </w:r>
      <w:proofErr w:type="spellEnd"/>
      <w:r>
        <w:rPr>
          <w:rtl/>
        </w:rPr>
        <w:t xml:space="preserve">; ור׳ שלמה </w:t>
      </w:r>
      <w:proofErr w:type="spellStart"/>
      <w:r>
        <w:rPr>
          <w:rtl/>
        </w:rPr>
        <w:t>גבורין</w:t>
      </w:r>
      <w:proofErr w:type="spellEnd"/>
      <w:r>
        <w:rPr>
          <w:rtl/>
        </w:rPr>
        <w:t xml:space="preserve">, לימים חתנו של ר׳ </w:t>
      </w:r>
      <w:proofErr w:type="spellStart"/>
      <w:r>
        <w:rPr>
          <w:rtl/>
        </w:rPr>
        <w:t>דוד־טעביל</w:t>
      </w:r>
      <w:proofErr w:type="spellEnd"/>
      <w:r>
        <w:rPr>
          <w:rtl/>
        </w:rPr>
        <w:t xml:space="preserve"> </w:t>
      </w:r>
      <w:proofErr w:type="spellStart"/>
      <w:r>
        <w:rPr>
          <w:rtl/>
        </w:rPr>
        <w:t>דינובסקי</w:t>
      </w:r>
      <w:proofErr w:type="spellEnd"/>
      <w:r>
        <w:rPr>
          <w:rtl/>
        </w:rPr>
        <w:t xml:space="preserve"> וראש ישיבת </w:t>
      </w:r>
      <w:proofErr w:type="spellStart"/>
      <w:r>
        <w:rPr>
          <w:rtl/>
        </w:rPr>
        <w:t>מאלטש</w:t>
      </w:r>
      <w:bookmarkStart w:id="4634" w:name="_fnr3433"/>
      <w:proofErr w:type="spellEnd"/>
      <w:r>
        <w:rPr>
          <w:vertAlign w:val="superscript"/>
          <w:rtl/>
        </w:rPr>
        <w:footnoteReference w:id="3441" w:customMarkFollows="0"/>
      </w:r>
      <w:bookmarkEnd w:id="4634"/>
      <w:r>
        <w:rPr>
          <w:rtl/>
        </w:rPr>
        <w:t>.</w:t>
      </w:r>
    </w:p>
    <w:p w14:paraId="382BAB8B" w14:textId="77777777" w:rsidR="00AB3647" w:rsidRDefault="00000000" w:rsidP="007923E9">
      <w:pPr>
        <w:spacing w:before="120" w:after="100" w:line="276" w:lineRule="auto"/>
        <w:jc w:val="both"/>
      </w:pPr>
      <w:r>
        <w:rPr>
          <w:rtl/>
        </w:rPr>
        <w:t>“תורת אברהם” אומר</w:t>
      </w:r>
      <w:bookmarkStart w:id="4635" w:name="_fnr3434"/>
      <w:r>
        <w:rPr>
          <w:vertAlign w:val="superscript"/>
          <w:rtl/>
        </w:rPr>
        <w:footnoteReference w:id="3442" w:customMarkFollows="0"/>
      </w:r>
      <w:bookmarkEnd w:id="4635"/>
      <w:r>
        <w:rPr>
          <w:rtl/>
        </w:rPr>
        <w:t xml:space="preserve"> </w:t>
      </w:r>
      <w:proofErr w:type="spellStart"/>
      <w:r>
        <w:rPr>
          <w:rtl/>
        </w:rPr>
        <w:t>ש“שלושה</w:t>
      </w:r>
      <w:proofErr w:type="spellEnd"/>
      <w:r>
        <w:rPr>
          <w:rtl/>
        </w:rPr>
        <w:t xml:space="preserve"> מתלמידיו המובהקים [של הסבא]” נשלחו [עם אחרים]. יש להניח שאלה שלושת הראשונים שמניתי לעיל. הרביעי ברשימה, שהיה בתחילה מתנגד למוסר, אינו מתאים לתיאור – למרות הסכמתו המאוחרת להשקפת הסבא</w:t>
      </w:r>
      <w:bookmarkStart w:id="4636" w:name="_fnr3435"/>
      <w:r>
        <w:rPr>
          <w:vertAlign w:val="superscript"/>
          <w:rtl/>
        </w:rPr>
        <w:footnoteReference w:id="3443" w:customMarkFollows="0"/>
      </w:r>
      <w:bookmarkEnd w:id="4636"/>
      <w:r>
        <w:rPr>
          <w:rtl/>
        </w:rPr>
        <w:t xml:space="preserve">. ר׳ </w:t>
      </w:r>
      <w:proofErr w:type="spellStart"/>
      <w:r>
        <w:rPr>
          <w:rtl/>
        </w:rPr>
        <w:t>נתן־מאיר</w:t>
      </w:r>
      <w:proofErr w:type="spellEnd"/>
      <w:r>
        <w:rPr>
          <w:rtl/>
        </w:rPr>
        <w:t xml:space="preserve"> </w:t>
      </w:r>
      <w:proofErr w:type="spellStart"/>
      <w:r>
        <w:rPr>
          <w:rtl/>
        </w:rPr>
        <w:lastRenderedPageBreak/>
        <w:t>וכטפוגל</w:t>
      </w:r>
      <w:proofErr w:type="spellEnd"/>
      <w:r>
        <w:rPr>
          <w:rtl/>
        </w:rPr>
        <w:t xml:space="preserve"> אמר</w:t>
      </w:r>
      <w:bookmarkStart w:id="4637" w:name="_fnr3436"/>
      <w:r>
        <w:rPr>
          <w:vertAlign w:val="superscript"/>
          <w:rtl/>
        </w:rPr>
        <w:footnoteReference w:id="3444" w:customMarkFollows="0"/>
      </w:r>
      <w:bookmarkEnd w:id="4637"/>
      <w:r>
        <w:rPr>
          <w:rtl/>
        </w:rPr>
        <w:t xml:space="preserve"> שהסבא שכנע כמה מתלמידיו לעבור </w:t>
      </w:r>
      <w:proofErr w:type="spellStart"/>
      <w:r>
        <w:rPr>
          <w:rtl/>
        </w:rPr>
        <w:t>לטלז</w:t>
      </w:r>
      <w:proofErr w:type="spellEnd"/>
      <w:r>
        <w:rPr>
          <w:rtl/>
        </w:rPr>
        <w:t xml:space="preserve"> בהצעה לפרוע את כל החובות שצברו </w:t>
      </w:r>
      <w:proofErr w:type="spellStart"/>
      <w:r>
        <w:rPr>
          <w:rtl/>
        </w:rPr>
        <w:t>בסלבודקה</w:t>
      </w:r>
      <w:proofErr w:type="spellEnd"/>
      <w:r>
        <w:rPr>
          <w:rtl/>
        </w:rPr>
        <w:t xml:space="preserve">. תלמיד </w:t>
      </w:r>
      <w:proofErr w:type="spellStart"/>
      <w:r>
        <w:rPr>
          <w:rtl/>
        </w:rPr>
        <w:t>סלבודקה</w:t>
      </w:r>
      <w:proofErr w:type="spellEnd"/>
      <w:r>
        <w:rPr>
          <w:rtl/>
        </w:rPr>
        <w:t xml:space="preserve"> אומנם ידע שעשויים לגייס אותו לתוכניות של “פעולה כלפי חוץ”, אבל התלמידים הוותיקים, שכבר היו מושרשים היטב, נזקקו לדחיפה נוספת ולתמריצים כדי לעזוב את ישיבתם.</w:t>
      </w:r>
    </w:p>
    <w:p w14:paraId="7E60C95C" w14:textId="4C842DFB" w:rsidR="00AB3647" w:rsidRDefault="00000000" w:rsidP="007923E9">
      <w:pPr>
        <w:spacing w:after="120" w:line="276" w:lineRule="auto"/>
        <w:jc w:val="both"/>
      </w:pPr>
      <w:proofErr w:type="spellStart"/>
      <w:r>
        <w:rPr>
          <w:rtl/>
        </w:rPr>
        <w:t>דבורץ</w:t>
      </w:r>
      <w:proofErr w:type="spellEnd"/>
      <w:r>
        <w:rPr>
          <w:rtl/>
        </w:rPr>
        <w:t>, “הגאון רבי משה מרדכי אפשטיין”</w:t>
      </w:r>
      <w:bookmarkStart w:id="4638" w:name="_fnr3437"/>
      <w:r>
        <w:rPr>
          <w:vertAlign w:val="superscript"/>
          <w:rtl/>
        </w:rPr>
        <w:footnoteReference w:id="3445" w:customMarkFollows="0"/>
      </w:r>
      <w:bookmarkEnd w:id="4638"/>
      <w:r>
        <w:rPr>
          <w:rtl/>
        </w:rPr>
        <w:t xml:space="preserve">, סבור שהעברת התלמידים המצטיינים </w:t>
      </w:r>
      <w:proofErr w:type="spellStart"/>
      <w:r>
        <w:rPr>
          <w:rtl/>
        </w:rPr>
        <w:t>לטלז</w:t>
      </w:r>
      <w:proofErr w:type="spellEnd"/>
      <w:r>
        <w:rPr>
          <w:rtl/>
        </w:rPr>
        <w:t xml:space="preserve"> נעשתה בעת זעזועי פולמוס המוסר בכנסת ישראל </w:t>
      </w:r>
      <w:r>
        <w:rPr>
          <w:b/>
          <w:bCs/>
          <w:rtl/>
        </w:rPr>
        <w:t>והייתה הסיבה לסיומו</w:t>
      </w:r>
      <w:r>
        <w:rPr>
          <w:rtl/>
        </w:rPr>
        <w:t xml:space="preserve">, ובהתאם לכך הוא טוען שהסבא “ראה שלפי מצב רוחם של תלמידיו הוותיקים, לא כדאי להם להישאר </w:t>
      </w:r>
      <w:proofErr w:type="spellStart"/>
      <w:r>
        <w:rPr>
          <w:rtl/>
        </w:rPr>
        <w:t>בסלבודקה</w:t>
      </w:r>
      <w:proofErr w:type="spellEnd"/>
      <w:r>
        <w:rPr>
          <w:rtl/>
        </w:rPr>
        <w:t xml:space="preserve">. הוא השתדל לשכנעם להיות חלוצים בהצלת ישיבת </w:t>
      </w:r>
      <w:proofErr w:type="spellStart"/>
      <w:r>
        <w:rPr>
          <w:rtl/>
        </w:rPr>
        <w:t>טלז</w:t>
      </w:r>
      <w:proofErr w:type="spellEnd"/>
      <w:r>
        <w:rPr>
          <w:rtl/>
        </w:rPr>
        <w:t xml:space="preserve"> מן הרוח המרדנית ששררה בה ולהחדיר בה את רוח המוסר – והתנדבו 25 [כך במקור] בחורים מובחרים”. אבל השווה פרק 3, הפסקה השלישית של </w:t>
      </w:r>
      <w:r>
        <w:rPr>
          <w:rtl/>
        </w:rPr>
        <w:fldChar w:fldCharType="begin" w:dirty="true"/>
      </w:r>
      <w:r>
        <w:rPr>
          <w:rtl/>
        </w:rPr>
        <w:instrText xml:space="preserve"> REF b3_excT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כ</w:t>
      </w:r>
      <w:r>
        <w:rPr>
          <w:rtl/>
        </w:rPr>
        <w:fldChar w:fldCharType="end"/>
      </w:r>
      <w:r>
        <w:rPr>
          <w:rtl/>
        </w:rPr>
        <w:t xml:space="preserve">, שם אני מפקפק בנכונות התיאור בספרו של </w:t>
      </w:r>
      <w:proofErr w:type="spellStart"/>
      <w:r>
        <w:rPr>
          <w:rtl/>
        </w:rPr>
        <w:t>דבורץ</w:t>
      </w:r>
      <w:proofErr w:type="spellEnd"/>
      <w:r>
        <w:rPr>
          <w:rtl/>
        </w:rPr>
        <w:t>.</w:t>
      </w:r>
    </w:p>
    <w:bookmarkStart w:id="4639" w:name="b4_note118"/>
    <w:p w14:paraId="6219D4C4" w14:textId="77777777" w:rsidR="00AB3647" w:rsidRDefault="00000000" w:rsidP="007923E9">
      <w:pPr>
        <w:spacing w:before="120" w:after="100" w:line="276" w:lineRule="auto"/>
        <w:jc w:val="both"/>
      </w:pPr>
      <w:r>
        <w:fldChar w:fldCharType="begin" w:dirty="true"/>
      </w:r>
      <w:r>
        <w:instrText>HYPERLINK \l "b4_text118" \h</w:instrText>
      </w:r>
      <w:r>
        <w:fldChar w:fldCharType="separate"/>
      </w:r>
      <w:r>
        <w:rPr>
          <w:b/>
          <w:bCs/>
          <w:rtl/>
        </w:rPr>
        <w:t>118</w:t>
      </w:r>
      <w:r>
        <w:rPr>
          <w:b/>
          <w:bCs/>
        </w:rPr>
        <w:fldChar w:fldCharType="end"/>
      </w:r>
      <w:bookmarkEnd w:id="4639"/>
      <w:r>
        <w:rPr>
          <w:rtl/>
        </w:rPr>
        <w:t xml:space="preserve"> כץ, “תנועת המוסר”, כרך ה</w:t>
      </w:r>
      <w:bookmarkStart w:id="4640" w:name="_fnr3438"/>
      <w:r>
        <w:rPr>
          <w:vertAlign w:val="superscript"/>
          <w:rtl/>
        </w:rPr>
        <w:footnoteReference w:id="3446" w:customMarkFollows="0"/>
      </w:r>
      <w:bookmarkEnd w:id="4640"/>
      <w:r>
        <w:rPr>
          <w:rtl/>
        </w:rPr>
        <w:t xml:space="preserve">, מתאר את המאורעות שהביאו לסגירתה הזמנית של </w:t>
      </w:r>
      <w:proofErr w:type="spellStart"/>
      <w:r>
        <w:rPr>
          <w:rtl/>
        </w:rPr>
        <w:t>טלז</w:t>
      </w:r>
      <w:proofErr w:type="spellEnd"/>
      <w:r>
        <w:rPr>
          <w:rtl/>
        </w:rPr>
        <w:t xml:space="preserve">. תחילה העבירו תלמידי </w:t>
      </w:r>
      <w:proofErr w:type="spellStart"/>
      <w:r>
        <w:rPr>
          <w:rtl/>
        </w:rPr>
        <w:t>טלז</w:t>
      </w:r>
      <w:proofErr w:type="spellEnd"/>
      <w:r>
        <w:rPr>
          <w:rtl/>
        </w:rPr>
        <w:t xml:space="preserve"> הסוררים בבית המדרש פתקי השמצה, ובהם פסוק מתהלים בעיבוד</w:t>
      </w:r>
      <w:bookmarkStart w:id="4641" w:name="_fnr3439"/>
      <w:r>
        <w:rPr>
          <w:vertAlign w:val="superscript"/>
          <w:rtl/>
        </w:rPr>
        <w:footnoteReference w:id="3447" w:customMarkFollows="0"/>
      </w:r>
      <w:bookmarkEnd w:id="4641"/>
      <w:r>
        <w:rPr>
          <w:rtl/>
        </w:rPr>
        <w:t xml:space="preserve">: “באו זרים בנחלתנו טימאו את היכל קדשנו”. אחר כך התחילו הוותיקים להציק לחדשים על כל צעד. בשמחת תורה הקיפו תלמידי </w:t>
      </w:r>
      <w:proofErr w:type="spellStart"/>
      <w:r>
        <w:rPr>
          <w:rtl/>
        </w:rPr>
        <w:t>טלז</w:t>
      </w:r>
      <w:proofErr w:type="spellEnd"/>
      <w:r>
        <w:rPr>
          <w:rtl/>
        </w:rPr>
        <w:t xml:space="preserve"> את הבית שבו חגגו תלמידי </w:t>
      </w:r>
      <w:proofErr w:type="spellStart"/>
      <w:r>
        <w:rPr>
          <w:rtl/>
        </w:rPr>
        <w:t>סלבודקה</w:t>
      </w:r>
      <w:proofErr w:type="spellEnd"/>
      <w:r>
        <w:rPr>
          <w:rtl/>
        </w:rPr>
        <w:t xml:space="preserve"> והמשגיח החדש, ורגמוהו באבנים. בתחילת זמן החורף הפריעו אותם בחורים בבית המדרש בשריקות ובצעקות, והחביאו את ספרי המוסר לפני סדר המוסר. מה שהגדיש את הסאה היה שהבריונים הסירו לילה אחד את המנורות, וניצלו את החשכה להתפרע, לשבור סטנדרים ולנפץ חלונות.</w:t>
      </w:r>
    </w:p>
    <w:p w14:paraId="14045745" w14:textId="77777777" w:rsidR="00AB3647" w:rsidRDefault="00000000" w:rsidP="007923E9">
      <w:pPr>
        <w:spacing w:before="120" w:after="100" w:line="276" w:lineRule="auto"/>
        <w:jc w:val="both"/>
      </w:pPr>
      <w:r>
        <w:rPr>
          <w:rtl/>
        </w:rPr>
        <w:t xml:space="preserve">לפי ר׳ נחמיה </w:t>
      </w:r>
      <w:proofErr w:type="spellStart"/>
      <w:r>
        <w:rPr>
          <w:rtl/>
        </w:rPr>
        <w:t>פיונטק</w:t>
      </w:r>
      <w:bookmarkStart w:id="4642" w:name="_fnr3440"/>
      <w:proofErr w:type="spellEnd"/>
      <w:r>
        <w:rPr>
          <w:vertAlign w:val="superscript"/>
          <w:rtl/>
        </w:rPr>
        <w:footnoteReference w:id="3448" w:customMarkFollows="0"/>
      </w:r>
      <w:bookmarkEnd w:id="4642"/>
      <w:r>
        <w:rPr>
          <w:rtl/>
        </w:rPr>
        <w:t xml:space="preserve">, תלמידי </w:t>
      </w:r>
      <w:proofErr w:type="spellStart"/>
      <w:r>
        <w:rPr>
          <w:rtl/>
        </w:rPr>
        <w:t>טלז</w:t>
      </w:r>
      <w:proofErr w:type="spellEnd"/>
      <w:r>
        <w:rPr>
          <w:rtl/>
        </w:rPr>
        <w:t xml:space="preserve"> רתחו על דברי ר׳ לייזר גורדון, שכל חייו לא ציפה להגיע למדרגת התפילה שהגיע אליה ר׳ אליעזר לופט באותו ראש השנה. ר׳ נחמיה </w:t>
      </w:r>
      <w:proofErr w:type="spellStart"/>
      <w:r>
        <w:rPr>
          <w:rtl/>
        </w:rPr>
        <w:t>פיונטק</w:t>
      </w:r>
      <w:proofErr w:type="spellEnd"/>
      <w:r>
        <w:rPr>
          <w:rtl/>
        </w:rPr>
        <w:t xml:space="preserve"> גילה גם שבשמחת תורה, כשהמורדים היו שיכורים, הם ממש איימו להרוג את המשגיח. הדבר הגיע לידי כך – כנראה אחרי תחילת זמן הסתיו, אף שהמרואיין לא אמר זאת – שניסו לפרוץ לבית ר׳ אליעזר לופט ולפגוע בו ובתלמידיו. כשהרהיטים שנערמו ליד הדלת החלו לקרוס, החזיק ר׳ אברהם </w:t>
      </w:r>
      <w:proofErr w:type="spellStart"/>
      <w:r>
        <w:rPr>
          <w:rtl/>
        </w:rPr>
        <w:t>גרודזינסקי</w:t>
      </w:r>
      <w:proofErr w:type="spellEnd"/>
      <w:r>
        <w:rPr>
          <w:rtl/>
        </w:rPr>
        <w:t xml:space="preserve">, בחור חזק במיוחד, בדלת שעות ארוכות, עד שהמשקוף חתך בבשרו והותיר בזרועו צלקת לכל ימי חייו. לבסוף הצליחה הקבוצה הנצורה להביא עגלה אל אחד החלונות; הם קפצו אליה ונמלטו </w:t>
      </w:r>
      <w:proofErr w:type="spellStart"/>
      <w:r>
        <w:rPr>
          <w:rtl/>
        </w:rPr>
        <w:t>מטלז</w:t>
      </w:r>
      <w:proofErr w:type="spellEnd"/>
      <w:r>
        <w:rPr>
          <w:rtl/>
        </w:rPr>
        <w:t xml:space="preserve"> על נפשם.</w:t>
      </w:r>
    </w:p>
    <w:p w14:paraId="0594B368" w14:textId="77777777" w:rsidR="00AB3647" w:rsidRDefault="00000000" w:rsidP="007923E9">
      <w:pPr>
        <w:spacing w:before="120" w:after="100" w:line="276" w:lineRule="auto"/>
        <w:jc w:val="both"/>
      </w:pPr>
      <w:r>
        <w:rPr>
          <w:rtl/>
        </w:rPr>
        <w:t>“שדות ולב” מביא</w:t>
      </w:r>
      <w:bookmarkStart w:id="4643" w:name="_fnr3441"/>
      <w:r>
        <w:rPr>
          <w:vertAlign w:val="superscript"/>
          <w:rtl/>
        </w:rPr>
        <w:footnoteReference w:id="3449" w:customMarkFollows="0"/>
      </w:r>
      <w:bookmarkEnd w:id="4643"/>
      <w:r>
        <w:rPr>
          <w:rtl/>
        </w:rPr>
        <w:t xml:space="preserve"> את נקודת המבט של המורדים: אחד מראשי המרד, גיבור הספר אברהם הרצפלד, חזר </w:t>
      </w:r>
      <w:proofErr w:type="spellStart"/>
      <w:r>
        <w:rPr>
          <w:rtl/>
        </w:rPr>
        <w:t>לטלז</w:t>
      </w:r>
      <w:proofErr w:type="spellEnd"/>
      <w:r>
        <w:rPr>
          <w:rtl/>
        </w:rPr>
        <w:t xml:space="preserve"> – אחרי ששהה חודשיים, מאלול, בתלמוד התורה </w:t>
      </w:r>
      <w:proofErr w:type="spellStart"/>
      <w:r>
        <w:rPr>
          <w:rtl/>
        </w:rPr>
        <w:t>בקלם</w:t>
      </w:r>
      <w:proofErr w:type="spellEnd"/>
      <w:r>
        <w:rPr>
          <w:rtl/>
        </w:rPr>
        <w:t xml:space="preserve"> – והמורדים מינו אותו לוועדה של שלושה, שדרשה לשלוח את הקבוצה </w:t>
      </w:r>
      <w:proofErr w:type="spellStart"/>
      <w:r>
        <w:rPr>
          <w:rtl/>
        </w:rPr>
        <w:t>מסלבודקה</w:t>
      </w:r>
      <w:proofErr w:type="spellEnd"/>
      <w:r>
        <w:rPr>
          <w:rtl/>
        </w:rPr>
        <w:t xml:space="preserve"> הביתה. הדרישה נדחתה, </w:t>
      </w:r>
      <w:r>
        <w:rPr>
          <w:rtl/>
        </w:rPr>
        <w:lastRenderedPageBreak/>
        <w:t>הישיבה נסגרה, ובפתיחתה מחדש סולקו הוא ושאר ראשי ההתנגדות. “שדות ולב” אינו מגלה שאנשי המחנה המתנגד למוסר נקטו אלימות.</w:t>
      </w:r>
    </w:p>
    <w:p w14:paraId="34B35F3E" w14:textId="11BD6C66"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איזה כאב היה על ר׳ לייזר לשאת כדי להגיע להחלטה לסגור את הישיבה ולפזר את התלמידים</w:t>
      </w:r>
      <w:bookmarkStart w:id="4644" w:name="b4_text119"/>
      <w:bookmarkEnd w:id="4644"/>
      <w:r>
        <w:rPr>
          <w:sz w:val="18"/>
          <w:szCs w:val="18"/>
          <w:vertAlign w:val="superscript"/>
          <w:rtl/>
        </w:rPr>
        <w:fldChar w:fldCharType="begin" w:dirty="true"/>
      </w:r>
      <w:r>
        <w:rPr>
          <w:sz w:val="18"/>
          <w:szCs w:val="18"/>
          <w:vertAlign w:val="superscript"/>
          <w:rtl/>
        </w:rPr>
        <w:instrText xml:space="preserve"> REF b4_note119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119</w:t>
      </w:r>
      <w:r>
        <w:rPr>
          <w:sz w:val="18"/>
          <w:szCs w:val="18"/>
          <w:vertAlign w:val="superscript"/>
          <w:rtl/>
        </w:rPr>
        <w:fldChar w:fldCharType="end"/>
      </w:r>
      <w:r>
        <w:rPr>
          <w:rtl/>
        </w:rPr>
        <w:t>! וכמה זמן יכול היה ר׳ לייזר להמשיך לחיות</w:t>
      </w:r>
      <w:bookmarkStart w:id="4645" w:name="b4_text120"/>
      <w:bookmarkEnd w:id="4645"/>
      <w:r>
        <w:rPr>
          <w:sz w:val="18"/>
          <w:szCs w:val="18"/>
          <w:vertAlign w:val="superscript"/>
          <w:rtl/>
        </w:rPr>
        <w:fldChar w:fldCharType="begin" w:dirty="true"/>
      </w:r>
      <w:r>
        <w:rPr>
          <w:sz w:val="18"/>
          <w:szCs w:val="18"/>
          <w:vertAlign w:val="superscript"/>
          <w:rtl/>
        </w:rPr>
        <w:instrText xml:space="preserve"> REF b4_note120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120</w:t>
      </w:r>
      <w:r>
        <w:rPr>
          <w:sz w:val="18"/>
          <w:szCs w:val="18"/>
          <w:vertAlign w:val="superscript"/>
          <w:rtl/>
        </w:rPr>
        <w:fldChar w:fldCharType="end"/>
      </w:r>
      <w:r>
        <w:rPr>
          <w:rtl/>
        </w:rPr>
        <w:t xml:space="preserve"> בלי שיעורים, תלמידים ודיוני תורה? בחנוכה, אחרי סגירה של חודשיים</w:t>
      </w:r>
      <w:bookmarkStart w:id="4646" w:name="b4_text121"/>
      <w:bookmarkEnd w:id="4646"/>
      <w:r>
        <w:rPr>
          <w:sz w:val="18"/>
          <w:szCs w:val="18"/>
          <w:vertAlign w:val="superscript"/>
          <w:rtl/>
        </w:rPr>
        <w:fldChar w:fldCharType="begin" w:dirty="true"/>
      </w:r>
      <w:r>
        <w:rPr>
          <w:sz w:val="18"/>
          <w:szCs w:val="18"/>
          <w:vertAlign w:val="superscript"/>
          <w:rtl/>
        </w:rPr>
        <w:instrText xml:space="preserve"> REF b4_note121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121</w:t>
      </w:r>
      <w:r>
        <w:rPr>
          <w:sz w:val="18"/>
          <w:szCs w:val="18"/>
          <w:vertAlign w:val="superscript"/>
          <w:rtl/>
        </w:rPr>
        <w:fldChar w:fldCharType="end"/>
      </w:r>
      <w:r>
        <w:rPr>
          <w:rtl/>
        </w:rPr>
        <w:t>, פתח את הישיבה מחדש ופנה לסבא בבקשה לבוא שוב לעזרתו</w:t>
      </w:r>
      <w:bookmarkStart w:id="4647" w:name="b4_text122"/>
      <w:bookmarkEnd w:id="4647"/>
      <w:r>
        <w:rPr>
          <w:sz w:val="18"/>
          <w:szCs w:val="18"/>
          <w:vertAlign w:val="superscript"/>
          <w:rtl/>
        </w:rPr>
        <w:fldChar w:fldCharType="begin" w:dirty="true"/>
      </w:r>
      <w:r>
        <w:rPr>
          <w:sz w:val="18"/>
          <w:szCs w:val="18"/>
          <w:vertAlign w:val="superscript"/>
          <w:rtl/>
        </w:rPr>
        <w:instrText xml:space="preserve"> REF b4_note122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122</w:t>
      </w:r>
      <w:r>
        <w:rPr>
          <w:sz w:val="18"/>
          <w:szCs w:val="18"/>
          <w:vertAlign w:val="superscript"/>
          <w:rtl/>
        </w:rPr>
        <w:fldChar w:fldCharType="end"/>
      </w:r>
      <w:r>
        <w:rPr>
          <w:rtl/>
        </w:rPr>
        <w:t>. זמן קצר אחרי תחילת זמן הקיץ של תרס״ו</w:t>
      </w:r>
      <w:r>
        <w:rPr>
          <w:sz w:val="18"/>
          <w:szCs w:val="18"/>
          <w:vertAlign w:val="superscript"/>
          <w:rtl/>
        </w:rPr>
        <w:fldChar w:fldCharType="begin" w:dirty="true"/>
      </w:r>
      <w:r>
        <w:rPr>
          <w:sz w:val="18"/>
          <w:szCs w:val="18"/>
          <w:vertAlign w:val="superscript"/>
          <w:rtl/>
        </w:rPr>
        <w:instrText xml:space="preserve"> REF b4_note121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121</w:t>
      </w:r>
      <w:r>
        <w:rPr>
          <w:sz w:val="18"/>
          <w:szCs w:val="18"/>
          <w:vertAlign w:val="superscript"/>
          <w:rtl/>
        </w:rPr>
        <w:fldChar w:fldCharType="end"/>
      </w:r>
      <w:r>
        <w:rPr>
          <w:rtl/>
        </w:rPr>
        <w:t xml:space="preserve"> שלח אליו ר׳ </w:t>
      </w:r>
      <w:proofErr w:type="spellStart"/>
      <w:r>
        <w:rPr>
          <w:rtl/>
        </w:rPr>
        <w:t>נתן־צבי</w:t>
      </w:r>
      <w:proofErr w:type="spellEnd"/>
      <w:r>
        <w:rPr>
          <w:rtl/>
        </w:rPr>
        <w:t xml:space="preserve"> </w:t>
      </w:r>
      <w:proofErr w:type="spellStart"/>
      <w:r>
        <w:rPr>
          <w:rtl/>
        </w:rPr>
        <w:t>פינקל</w:t>
      </w:r>
      <w:proofErr w:type="spellEnd"/>
      <w:r>
        <w:rPr>
          <w:rtl/>
        </w:rPr>
        <w:t xml:space="preserve"> קבוצה גדולה של בחורים</w:t>
      </w:r>
      <w:bookmarkStart w:id="4648" w:name="b4_text123"/>
      <w:bookmarkEnd w:id="4648"/>
      <w:r>
        <w:rPr>
          <w:sz w:val="18"/>
          <w:szCs w:val="18"/>
          <w:vertAlign w:val="superscript"/>
          <w:rtl/>
        </w:rPr>
        <w:fldChar w:fldCharType="begin" w:dirty="true"/>
      </w:r>
      <w:r>
        <w:rPr>
          <w:sz w:val="18"/>
          <w:szCs w:val="18"/>
          <w:vertAlign w:val="superscript"/>
          <w:rtl/>
        </w:rPr>
        <w:instrText xml:space="preserve"> REF b4_note123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123</w:t>
      </w:r>
      <w:r>
        <w:rPr>
          <w:sz w:val="18"/>
          <w:szCs w:val="18"/>
          <w:vertAlign w:val="superscript"/>
          <w:rtl/>
        </w:rPr>
        <w:fldChar w:fldCharType="end"/>
      </w:r>
      <w:r>
        <w:rPr>
          <w:rtl/>
        </w:rPr>
        <w:t>, בלוויית המשגיח הצעיר יחסית ובעל ההדר, ר׳ שמואל פונדילער</w:t>
      </w:r>
      <w:bookmarkStart w:id="4649" w:name="b4_text124"/>
      <w:bookmarkEnd w:id="4649"/>
      <w:r>
        <w:rPr>
          <w:sz w:val="18"/>
          <w:szCs w:val="18"/>
          <w:vertAlign w:val="superscript"/>
          <w:rtl/>
        </w:rPr>
        <w:fldChar w:fldCharType="begin" w:dirty="true"/>
      </w:r>
      <w:r>
        <w:rPr>
          <w:sz w:val="18"/>
          <w:szCs w:val="18"/>
          <w:vertAlign w:val="superscript"/>
          <w:rtl/>
        </w:rPr>
        <w:instrText xml:space="preserve"> REF b4_note124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124</w:t>
      </w:r>
      <w:r>
        <w:rPr>
          <w:sz w:val="18"/>
          <w:szCs w:val="18"/>
          <w:vertAlign w:val="superscript"/>
          <w:rtl/>
        </w:rPr>
        <w:fldChar w:fldCharType="end"/>
      </w:r>
      <w:r>
        <w:rPr>
          <w:rtl/>
        </w:rPr>
        <w:t>, כדי לבנות מחדש את הישיבה.</w:t>
      </w:r>
    </w:p>
    <w:bookmarkStart w:id="4650" w:name="b4_note119"/>
    <w:p w14:paraId="6059ABC8" w14:textId="77777777" w:rsidR="00AB3647" w:rsidRDefault="00000000" w:rsidP="007923E9">
      <w:pPr>
        <w:spacing w:before="120" w:after="100" w:line="276" w:lineRule="auto"/>
        <w:jc w:val="both"/>
      </w:pPr>
      <w:r>
        <w:fldChar w:fldCharType="begin" w:dirty="true"/>
      </w:r>
      <w:r>
        <w:instrText>HYPERLINK \l "b4_text119" \h</w:instrText>
      </w:r>
      <w:r>
        <w:fldChar w:fldCharType="separate"/>
      </w:r>
      <w:r>
        <w:rPr>
          <w:b/>
          <w:bCs/>
          <w:rtl/>
        </w:rPr>
        <w:t>119</w:t>
      </w:r>
      <w:r>
        <w:rPr>
          <w:b/>
          <w:bCs/>
        </w:rPr>
        <w:fldChar w:fldCharType="end"/>
      </w:r>
      <w:bookmarkEnd w:id="4650"/>
      <w:r>
        <w:rPr>
          <w:rtl/>
        </w:rPr>
        <w:t xml:space="preserve"> ר׳ לייזר גורדון היה איש בעל רצון ברזל. אבל תקיף ככל שהיה כלפי בני קהילתו ובענייני הכלל, עם תלמידים נעשה רך כחמאה – אפילו אחרי עימותים מרים עמם. כשראה שישיבתו נעשתה פרועה עד כדי חרפה, פשוט התייאש והרים ידיים. ישרותו ואהבתו לתורה לא הותירו לו דרך אחרת לנהוג בתלמידים סוררים</w:t>
      </w:r>
      <w:bookmarkStart w:id="4651" w:name="_fnr3442"/>
      <w:r>
        <w:rPr>
          <w:vertAlign w:val="superscript"/>
          <w:rtl/>
        </w:rPr>
        <w:footnoteReference w:id="3450" w:customMarkFollows="0"/>
      </w:r>
      <w:bookmarkEnd w:id="4651"/>
      <w:r>
        <w:rPr>
          <w:rtl/>
        </w:rPr>
        <w:t>.</w:t>
      </w:r>
    </w:p>
    <w:p w14:paraId="6B2004D3" w14:textId="77777777" w:rsidR="00AB3647" w:rsidRDefault="00000000" w:rsidP="007923E9">
      <w:pPr>
        <w:spacing w:after="120" w:line="276" w:lineRule="auto"/>
        <w:jc w:val="both"/>
      </w:pPr>
      <w:proofErr w:type="spellStart"/>
      <w:r>
        <w:rPr>
          <w:rtl/>
        </w:rPr>
        <w:t>דבורץ</w:t>
      </w:r>
      <w:proofErr w:type="spellEnd"/>
      <w:r>
        <w:rPr>
          <w:rtl/>
        </w:rPr>
        <w:t>, “הגאון רבי משה מרדכי אפשטיין”</w:t>
      </w:r>
      <w:bookmarkStart w:id="4652" w:name="_fnr3443"/>
      <w:r>
        <w:rPr>
          <w:vertAlign w:val="superscript"/>
          <w:rtl/>
        </w:rPr>
        <w:footnoteReference w:id="3451" w:customMarkFollows="0"/>
      </w:r>
      <w:bookmarkEnd w:id="4652"/>
      <w:r>
        <w:rPr>
          <w:rtl/>
        </w:rPr>
        <w:t xml:space="preserve">, מתאר את שובם של תלמידי </w:t>
      </w:r>
      <w:proofErr w:type="spellStart"/>
      <w:r>
        <w:rPr>
          <w:rtl/>
        </w:rPr>
        <w:t>סלבודקה</w:t>
      </w:r>
      <w:proofErr w:type="spellEnd"/>
      <w:r>
        <w:rPr>
          <w:rtl/>
        </w:rPr>
        <w:t xml:space="preserve"> המאוכזבים לישיבתם: “עם שובם מצאו ותיקי </w:t>
      </w:r>
      <w:proofErr w:type="spellStart"/>
      <w:r>
        <w:rPr>
          <w:rtl/>
        </w:rPr>
        <w:t>סלבודקה</w:t>
      </w:r>
      <w:proofErr w:type="spellEnd"/>
      <w:r>
        <w:rPr>
          <w:rtl/>
        </w:rPr>
        <w:t xml:space="preserve"> ישיבה חדשה ברוח חדשה, הן בדרך הלימוד והן בשיטת המוסר</w:t>
      </w:r>
      <w:bookmarkStart w:id="4653" w:name="_fnr3444"/>
      <w:r>
        <w:rPr>
          <w:vertAlign w:val="superscript"/>
          <w:rtl/>
        </w:rPr>
        <w:footnoteReference w:id="3452" w:customMarkFollows="0"/>
      </w:r>
      <w:bookmarkEnd w:id="4653"/>
      <w:r>
        <w:rPr>
          <w:rtl/>
        </w:rPr>
        <w:t xml:space="preserve">. השיחות עסקו בעניינים חדשים ובסגנון חדש, שלא הורגלו בהם. הם הרגישו כתלמידים חדשים שעליהם להראות את כוחם בתורה ובמוסר, או להיעשות מבודדים ומיושנים. רבים בחרו בדרך הראשונה – ומילאו את הישיבה </w:t>
      </w:r>
      <w:proofErr w:type="spellStart"/>
      <w:r>
        <w:rPr>
          <w:rtl/>
        </w:rPr>
        <w:t>בריתחא</w:t>
      </w:r>
      <w:proofErr w:type="spellEnd"/>
      <w:r>
        <w:rPr>
          <w:rtl/>
        </w:rPr>
        <w:t xml:space="preserve"> דאורייתא</w:t>
      </w:r>
      <w:bookmarkStart w:id="4654" w:name="_fnr3445"/>
      <w:r>
        <w:rPr>
          <w:vertAlign w:val="superscript"/>
          <w:rtl/>
        </w:rPr>
        <w:footnoteReference w:id="3453" w:customMarkFollows="0"/>
      </w:r>
      <w:bookmarkEnd w:id="4654"/>
      <w:r>
        <w:rPr>
          <w:rtl/>
        </w:rPr>
        <w:t xml:space="preserve"> </w:t>
      </w:r>
      <w:r>
        <w:rPr>
          <w:b/>
          <w:bCs/>
          <w:rtl/>
        </w:rPr>
        <w:t xml:space="preserve">שרכשו </w:t>
      </w:r>
      <w:proofErr w:type="spellStart"/>
      <w:r>
        <w:rPr>
          <w:b/>
          <w:bCs/>
          <w:rtl/>
        </w:rPr>
        <w:t>בטלז</w:t>
      </w:r>
      <w:proofErr w:type="spellEnd"/>
      <w:r>
        <w:rPr>
          <w:rtl/>
        </w:rPr>
        <w:t xml:space="preserve"> (ההדגשה שלי)”. ועוד נאמר שם: “בין תלמידי </w:t>
      </w:r>
      <w:proofErr w:type="spellStart"/>
      <w:r>
        <w:rPr>
          <w:rtl/>
        </w:rPr>
        <w:t>טלז</w:t>
      </w:r>
      <w:proofErr w:type="spellEnd"/>
      <w:r>
        <w:rPr>
          <w:rtl/>
        </w:rPr>
        <w:t xml:space="preserve"> שליוו אותם בשובם </w:t>
      </w:r>
      <w:proofErr w:type="spellStart"/>
      <w:r>
        <w:rPr>
          <w:rtl/>
        </w:rPr>
        <w:t>לסלבודקה</w:t>
      </w:r>
      <w:proofErr w:type="spellEnd"/>
      <w:r>
        <w:rPr>
          <w:rtl/>
        </w:rPr>
        <w:t xml:space="preserve"> היו גם תלמידים רבים שהצטיינו להפליא – בלמדנות יוצאת דופן ובמעלות רוחניות גדולות. ‘וינועו אמות הסיפים’ [של כנסת ישראל] ‘מקול התורה’</w:t>
      </w:r>
      <w:bookmarkStart w:id="4655" w:name="_fnr3446"/>
      <w:r>
        <w:rPr>
          <w:vertAlign w:val="superscript"/>
          <w:rtl/>
        </w:rPr>
        <w:footnoteReference w:id="3454" w:customMarkFollows="0"/>
      </w:r>
      <w:bookmarkEnd w:id="4655"/>
      <w:r>
        <w:rPr>
          <w:rtl/>
        </w:rPr>
        <w:t xml:space="preserve"> של תלמידי הישיבה, ועלייתם הן בתורה והן במוסר הייתה גדולה ועצומה. באותה תקופה הגיעה רמת הישיבה לגבהים שאין כמותם”.</w:t>
      </w:r>
    </w:p>
    <w:bookmarkStart w:id="4656" w:name="b4_note120"/>
    <w:p w14:paraId="46660571" w14:textId="776E5C76" w:rsidR="00AB3647" w:rsidRDefault="00000000" w:rsidP="007923E9">
      <w:pPr>
        <w:spacing w:before="120" w:after="100" w:line="276" w:lineRule="auto"/>
        <w:jc w:val="both"/>
      </w:pPr>
      <w:r>
        <w:fldChar w:fldCharType="begin" w:dirty="true"/>
      </w:r>
      <w:r>
        <w:instrText>HYPERLINK \l "b4_text120" \h</w:instrText>
      </w:r>
      <w:r>
        <w:fldChar w:fldCharType="separate"/>
      </w:r>
      <w:r>
        <w:rPr>
          <w:b/>
          <w:bCs/>
          <w:rtl/>
        </w:rPr>
        <w:t>120</w:t>
      </w:r>
      <w:r>
        <w:rPr>
          <w:b/>
          <w:bCs/>
        </w:rPr>
        <w:fldChar w:fldCharType="end"/>
      </w:r>
      <w:bookmarkEnd w:id="4656"/>
      <w:r>
        <w:rPr>
          <w:rtl/>
        </w:rPr>
        <w:t xml:space="preserve"> </w:t>
      </w:r>
      <w:proofErr w:type="spellStart"/>
      <w:r>
        <w:rPr>
          <w:rtl/>
        </w:rPr>
        <w:t>רבינר</w:t>
      </w:r>
      <w:proofErr w:type="spellEnd"/>
      <w:r>
        <w:rPr>
          <w:rtl/>
        </w:rPr>
        <w:t>, “הגאון רבי אליעזר גורדון”</w:t>
      </w:r>
      <w:bookmarkStart w:id="4657" w:name="_fnr3447"/>
      <w:r>
        <w:rPr>
          <w:vertAlign w:val="superscript"/>
          <w:rtl/>
        </w:rPr>
        <w:footnoteReference w:id="3455" w:customMarkFollows="0"/>
      </w:r>
      <w:bookmarkEnd w:id="4657"/>
      <w:r>
        <w:rPr>
          <w:rtl/>
        </w:rPr>
        <w:t xml:space="preserve"> מספר שפעם עמדה הישיבה בסכנה שהממשלה הרוסית תסגור אותה, </w:t>
      </w:r>
      <w:proofErr w:type="spellStart"/>
      <w:r>
        <w:rPr>
          <w:rtl/>
        </w:rPr>
        <w:t>ו“התלמידים</w:t>
      </w:r>
      <w:proofErr w:type="spellEnd"/>
      <w:r>
        <w:rPr>
          <w:rtl/>
        </w:rPr>
        <w:t xml:space="preserve"> באו [לבית ר׳ לייזר גורדון] ומצאוהו בוכה בכי מר. כשראה את תמיהתם על התנהגותו, נאנח ואמר להם: ‘איך לא אבכה? אם יסגרו, חס ושלום, את הישיבה, למה לי חיים</w:t>
      </w:r>
      <w:bookmarkStart w:id="4658" w:name="_fnr3448"/>
      <w:r>
        <w:rPr>
          <w:vertAlign w:val="superscript"/>
          <w:rtl/>
        </w:rPr>
        <w:footnoteReference w:id="3456" w:customMarkFollows="0"/>
      </w:r>
      <w:bookmarkEnd w:id="4658"/>
      <w:r>
        <w:rPr>
          <w:rtl/>
        </w:rPr>
        <w:t xml:space="preserve">?!’” השווה </w:t>
      </w:r>
      <w:r>
        <w:rPr>
          <w:rtl/>
        </w:rPr>
        <w:fldChar w:fldCharType="begin" w:dirty="true"/>
      </w:r>
      <w:r>
        <w:rPr>
          <w:rtl/>
        </w:rPr>
        <w:instrText xml:space="preserve"> REF b4_excK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יא</w:t>
      </w:r>
      <w:r>
        <w:rPr>
          <w:rtl/>
        </w:rPr>
        <w:fldChar w:fldCharType="end"/>
      </w:r>
      <w:r>
        <w:rPr>
          <w:rtl/>
        </w:rPr>
        <w:t xml:space="preserve"> להלן, על כך שייתכן שסגירת הישיבה לזמן קצר תרמה בעקיפין למותו, והערה </w:t>
      </w:r>
      <w:r>
        <w:rPr>
          <w:rtl/>
        </w:rPr>
        <w:fldChar w:fldCharType="begin" w:dirty="true"/>
      </w:r>
      <w:r>
        <w:rPr>
          <w:rtl/>
        </w:rPr>
        <w:instrText xml:space="preserve"> REF b4_note129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129</w:t>
      </w:r>
      <w:r>
        <w:rPr>
          <w:rtl/>
        </w:rPr>
        <w:fldChar w:fldCharType="end"/>
      </w:r>
      <w:r>
        <w:rPr>
          <w:rtl/>
        </w:rPr>
        <w:t xml:space="preserve"> להלן, על כך שהייסורים שלאחר פתיחתה מחדש הרסו את בריאותו.</w:t>
      </w:r>
    </w:p>
    <w:bookmarkStart w:id="4659" w:name="b4_note121"/>
    <w:p w14:paraId="52EBA461" w14:textId="77777777" w:rsidR="00AB3647" w:rsidRDefault="00000000" w:rsidP="007923E9">
      <w:pPr>
        <w:spacing w:before="120" w:after="100" w:line="276" w:lineRule="auto"/>
        <w:jc w:val="both"/>
      </w:pPr>
      <w:r>
        <w:lastRenderedPageBreak/>
        <w:fldChar w:fldCharType="begin" w:dirty="true"/>
      </w:r>
      <w:r>
        <w:instrText>HYPERLINK \l "b4_text121" \h</w:instrText>
      </w:r>
      <w:r>
        <w:fldChar w:fldCharType="separate"/>
      </w:r>
      <w:r>
        <w:rPr>
          <w:b/>
          <w:bCs/>
          <w:rtl/>
        </w:rPr>
        <w:t>121</w:t>
      </w:r>
      <w:r>
        <w:rPr>
          <w:b/>
          <w:bCs/>
        </w:rPr>
        <w:fldChar w:fldCharType="end"/>
      </w:r>
      <w:bookmarkEnd w:id="4659"/>
      <w:r>
        <w:rPr>
          <w:rtl/>
        </w:rPr>
        <w:t xml:space="preserve"> כץ, “תנועת המוסר”, כרך ה</w:t>
      </w:r>
      <w:bookmarkStart w:id="4660" w:name="_fnr3449"/>
      <w:r>
        <w:rPr>
          <w:vertAlign w:val="superscript"/>
          <w:rtl/>
        </w:rPr>
        <w:footnoteReference w:id="3457" w:customMarkFollows="0"/>
      </w:r>
      <w:bookmarkEnd w:id="4660"/>
      <w:r>
        <w:rPr>
          <w:rtl/>
        </w:rPr>
        <w:t xml:space="preserve">, אינו מדייק כשהוא אומר שהישיבה הייתה סגורה חצי שנה. פרופסור אסף, שהצטרף לישיבה מיד אחרי סוכות תרס״ה ונכח במאורעות אלה, כותב במאמרו </w:t>
      </w:r>
      <w:proofErr w:type="spellStart"/>
      <w:r>
        <w:rPr>
          <w:rtl/>
        </w:rPr>
        <w:t>ב“העבר</w:t>
      </w:r>
      <w:proofErr w:type="spellEnd"/>
      <w:r>
        <w:rPr>
          <w:rtl/>
        </w:rPr>
        <w:t>”</w:t>
      </w:r>
      <w:bookmarkStart w:id="4661" w:name="_fnr3450"/>
      <w:r>
        <w:rPr>
          <w:vertAlign w:val="superscript"/>
          <w:rtl/>
        </w:rPr>
        <w:footnoteReference w:id="3458" w:customMarkFollows="0"/>
      </w:r>
      <w:bookmarkEnd w:id="4661"/>
      <w:r>
        <w:rPr>
          <w:rtl/>
        </w:rPr>
        <w:t xml:space="preserve"> שהישיבה הודיעה על סגירתה </w:t>
      </w:r>
      <w:proofErr w:type="spellStart"/>
      <w:r>
        <w:rPr>
          <w:rtl/>
        </w:rPr>
        <w:t>ב“</w:t>
      </w:r>
      <w:r>
        <w:rPr>
          <w:b/>
          <w:bCs/>
          <w:rtl/>
        </w:rPr>
        <w:t>יום</w:t>
      </w:r>
      <w:proofErr w:type="spellEnd"/>
      <w:r>
        <w:rPr>
          <w:b/>
          <w:bCs/>
          <w:rtl/>
        </w:rPr>
        <w:t xml:space="preserve"> שאחרי סוכות</w:t>
      </w:r>
      <w:r>
        <w:rPr>
          <w:rtl/>
        </w:rPr>
        <w:t xml:space="preserve"> (אסרו חג של סוכות)”, ונפתחה מחדש “בימי חנוכה”, ולאחר מכן “הבחורים למדו בשקידה רבה במשך </w:t>
      </w:r>
      <w:r>
        <w:rPr>
          <w:b/>
          <w:bCs/>
          <w:rtl/>
        </w:rPr>
        <w:t>שלושת החודשים שנותרו</w:t>
      </w:r>
      <w:r>
        <w:rPr>
          <w:rtl/>
        </w:rPr>
        <w:t xml:space="preserve"> של זמן החורף (ההדגשות נוספו)”. אבל השווה המקורות המובאים בהערה 118, המאשרים שהישיבה נשארה פתוחה לפחות ימים אחדים אחרי סוכות. אסף טועה גם כשהוא מקצה שלושה חודשי לימוד בלבד מחנוכה, מפני </w:t>
      </w:r>
      <w:proofErr w:type="spellStart"/>
      <w:r>
        <w:rPr>
          <w:rtl/>
        </w:rPr>
        <w:t>שתרס״ה</w:t>
      </w:r>
      <w:proofErr w:type="spellEnd"/>
      <w:r>
        <w:rPr>
          <w:rtl/>
        </w:rPr>
        <w:t xml:space="preserve"> הייתה שנה מעוברת, ובה שני חודשי אדר, כך שמחנוכה ועד סוף הזמן נותרו ארבעה חודשי לימוד.</w:t>
      </w:r>
    </w:p>
    <w:p w14:paraId="350DFF65" w14:textId="77777777" w:rsidR="00AB3647" w:rsidRDefault="00000000" w:rsidP="007923E9">
      <w:pPr>
        <w:spacing w:after="120" w:line="276" w:lineRule="auto"/>
        <w:jc w:val="both"/>
      </w:pPr>
      <w:r>
        <w:rPr>
          <w:rtl/>
        </w:rPr>
        <w:t xml:space="preserve">תלמיד אחר </w:t>
      </w:r>
      <w:proofErr w:type="spellStart"/>
      <w:r>
        <w:rPr>
          <w:rtl/>
        </w:rPr>
        <w:t>בטלז</w:t>
      </w:r>
      <w:proofErr w:type="spellEnd"/>
      <w:r>
        <w:rPr>
          <w:rtl/>
        </w:rPr>
        <w:t xml:space="preserve"> באותה תקופה, ב׳ </w:t>
      </w:r>
      <w:proofErr w:type="spellStart"/>
      <w:r>
        <w:rPr>
          <w:rtl/>
        </w:rPr>
        <w:t>שולמן</w:t>
      </w:r>
      <w:proofErr w:type="spellEnd"/>
      <w:r>
        <w:rPr>
          <w:rtl/>
        </w:rPr>
        <w:t xml:space="preserve">, כותב במאמרו </w:t>
      </w:r>
      <w:proofErr w:type="spellStart"/>
      <w:r>
        <w:rPr>
          <w:rtl/>
        </w:rPr>
        <w:t>ב“העבר</w:t>
      </w:r>
      <w:proofErr w:type="spellEnd"/>
      <w:r>
        <w:rPr>
          <w:rtl/>
        </w:rPr>
        <w:t>”</w:t>
      </w:r>
      <w:bookmarkStart w:id="4662" w:name="_fnr3451"/>
      <w:r>
        <w:rPr>
          <w:vertAlign w:val="superscript"/>
          <w:rtl/>
        </w:rPr>
        <w:footnoteReference w:id="3459" w:customMarkFollows="0"/>
      </w:r>
      <w:bookmarkEnd w:id="4662"/>
      <w:r>
        <w:rPr>
          <w:rtl/>
        </w:rPr>
        <w:t xml:space="preserve"> שהצטרף לישיבה “בתחילת 1906” – כשלפי טענת כץ, “תנועת המוסר”, כרך ה, הייתה סגורה לגמרי. עוד הוא כותב</w:t>
      </w:r>
      <w:bookmarkStart w:id="4663" w:name="_fnr3452"/>
      <w:r>
        <w:rPr>
          <w:vertAlign w:val="superscript"/>
          <w:rtl/>
        </w:rPr>
        <w:footnoteReference w:id="3460" w:customMarkFollows="0"/>
      </w:r>
      <w:bookmarkEnd w:id="4663"/>
      <w:r>
        <w:rPr>
          <w:rtl/>
        </w:rPr>
        <w:t xml:space="preserve">, בסיפורו על המאורעות שסבבו את בואו המאוחר יותר של ר׳ שמואל </w:t>
      </w:r>
      <w:proofErr w:type="spellStart"/>
      <w:r>
        <w:rPr>
          <w:rtl/>
        </w:rPr>
        <w:t>פונדילער</w:t>
      </w:r>
      <w:proofErr w:type="spellEnd"/>
      <w:r>
        <w:rPr>
          <w:rtl/>
        </w:rPr>
        <w:t xml:space="preserve">, שהקבוצה החדשה </w:t>
      </w:r>
      <w:proofErr w:type="spellStart"/>
      <w:r>
        <w:rPr>
          <w:rtl/>
        </w:rPr>
        <w:t>מסלבודקה</w:t>
      </w:r>
      <w:proofErr w:type="spellEnd"/>
      <w:r>
        <w:rPr>
          <w:rtl/>
        </w:rPr>
        <w:t xml:space="preserve"> הגיעה </w:t>
      </w:r>
      <w:proofErr w:type="spellStart"/>
      <w:r>
        <w:rPr>
          <w:rtl/>
        </w:rPr>
        <w:t>זמן־מה</w:t>
      </w:r>
      <w:proofErr w:type="spellEnd"/>
      <w:r>
        <w:rPr>
          <w:rtl/>
        </w:rPr>
        <w:t xml:space="preserve"> אחרי תחילת זמן הקיץ שלאחר מכן. מסופר שם</w:t>
      </w:r>
      <w:bookmarkStart w:id="4664" w:name="_fnr3453"/>
      <w:r>
        <w:rPr>
          <w:vertAlign w:val="superscript"/>
          <w:rtl/>
        </w:rPr>
        <w:footnoteReference w:id="3461" w:customMarkFollows="0"/>
      </w:r>
      <w:bookmarkEnd w:id="4664"/>
      <w:r>
        <w:rPr>
          <w:rtl/>
        </w:rPr>
        <w:t xml:space="preserve">: “ר׳ לייזר היה נוהג </w:t>
      </w:r>
      <w:proofErr w:type="spellStart"/>
      <w:r>
        <w:rPr>
          <w:rtl/>
        </w:rPr>
        <w:t>לאמר</w:t>
      </w:r>
      <w:proofErr w:type="spellEnd"/>
      <w:r>
        <w:rPr>
          <w:rtl/>
        </w:rPr>
        <w:t xml:space="preserve"> בנאומיו, שהישיבה זקוקה לכוון חדש, שיש להכניס ללימוד רעיון חדש ורוח חדשה ושרוח זאת צריכה לחדור לתוכנו. לולא זאת תהיה תורתנו מוכנית </w:t>
      </w:r>
      <w:proofErr w:type="spellStart"/>
      <w:r>
        <w:rPr>
          <w:rtl/>
        </w:rPr>
        <w:t>ותחלש</w:t>
      </w:r>
      <w:proofErr w:type="spellEnd"/>
      <w:r>
        <w:rPr>
          <w:rtl/>
        </w:rPr>
        <w:t xml:space="preserve"> מיום ליום: ההתלהבות מצטננת, השלהבת יורדת וברוח כלשהי לא נוכל לעמוד והזרם</w:t>
      </w:r>
      <w:bookmarkStart w:id="4665" w:name="_fnr3454"/>
      <w:r>
        <w:rPr>
          <w:vertAlign w:val="superscript"/>
          <w:rtl/>
        </w:rPr>
        <w:footnoteReference w:id="3462" w:customMarkFollows="0"/>
      </w:r>
      <w:bookmarkEnd w:id="4665"/>
      <w:r>
        <w:rPr>
          <w:rtl/>
        </w:rPr>
        <w:t xml:space="preserve"> יציף אותנו. הבינונו היטב רמזים אלה. בישיבה היו מספרים שר׳ לייזר מחליף מכתבים עם ‘הזקן’ </w:t>
      </w:r>
      <w:proofErr w:type="spellStart"/>
      <w:r>
        <w:rPr>
          <w:rtl/>
        </w:rPr>
        <w:t>מסלובודקה</w:t>
      </w:r>
      <w:proofErr w:type="spellEnd"/>
      <w:r>
        <w:rPr>
          <w:rtl/>
        </w:rPr>
        <w:t xml:space="preserve"> וזה הציע לו להזמין את ר׳ שמואל </w:t>
      </w:r>
      <w:proofErr w:type="spellStart"/>
      <w:r>
        <w:rPr>
          <w:rtl/>
        </w:rPr>
        <w:t>מראדין</w:t>
      </w:r>
      <w:proofErr w:type="spellEnd"/>
      <w:r>
        <w:rPr>
          <w:rtl/>
        </w:rPr>
        <w:t xml:space="preserve"> [</w:t>
      </w:r>
      <w:proofErr w:type="spellStart"/>
      <w:r>
        <w:rPr>
          <w:rtl/>
        </w:rPr>
        <w:t>פונדילער</w:t>
      </w:r>
      <w:proofErr w:type="spellEnd"/>
      <w:r>
        <w:rPr>
          <w:rtl/>
        </w:rPr>
        <w:t xml:space="preserve">] כמשגיח על המוסר וכן להזמין </w:t>
      </w:r>
      <w:proofErr w:type="spellStart"/>
      <w:r>
        <w:rPr>
          <w:rtl/>
        </w:rPr>
        <w:t>חמשים</w:t>
      </w:r>
      <w:proofErr w:type="spellEnd"/>
      <w:r>
        <w:rPr>
          <w:rtl/>
        </w:rPr>
        <w:t xml:space="preserve"> בחורים </w:t>
      </w:r>
      <w:proofErr w:type="spellStart"/>
      <w:r>
        <w:rPr>
          <w:rtl/>
        </w:rPr>
        <w:t>מוסרניקים</w:t>
      </w:r>
      <w:proofErr w:type="spellEnd"/>
      <w:r>
        <w:rPr>
          <w:rtl/>
        </w:rPr>
        <w:t xml:space="preserve"> </w:t>
      </w:r>
      <w:proofErr w:type="spellStart"/>
      <w:r>
        <w:rPr>
          <w:rtl/>
        </w:rPr>
        <w:t>מסלובודקה</w:t>
      </w:r>
      <w:proofErr w:type="spellEnd"/>
      <w:r>
        <w:rPr>
          <w:rtl/>
        </w:rPr>
        <w:t>. היינו מקבלים מחברים שעברו לישיבות אחרות (</w:t>
      </w:r>
      <w:proofErr w:type="spellStart"/>
      <w:r>
        <w:rPr>
          <w:rtl/>
        </w:rPr>
        <w:t>לומז׳ה</w:t>
      </w:r>
      <w:proofErr w:type="spellEnd"/>
      <w:r>
        <w:rPr>
          <w:rtl/>
        </w:rPr>
        <w:t xml:space="preserve">, </w:t>
      </w:r>
      <w:proofErr w:type="spellStart"/>
      <w:r>
        <w:rPr>
          <w:rtl/>
        </w:rPr>
        <w:t>מיר</w:t>
      </w:r>
      <w:proofErr w:type="spellEnd"/>
      <w:r>
        <w:rPr>
          <w:rtl/>
        </w:rPr>
        <w:t xml:space="preserve">, </w:t>
      </w:r>
      <w:proofErr w:type="spellStart"/>
      <w:r>
        <w:rPr>
          <w:rtl/>
        </w:rPr>
        <w:t>מאלטש</w:t>
      </w:r>
      <w:proofErr w:type="spellEnd"/>
      <w:r>
        <w:rPr>
          <w:rtl/>
        </w:rPr>
        <w:t xml:space="preserve">) מכתבים, </w:t>
      </w:r>
      <w:proofErr w:type="spellStart"/>
      <w:r>
        <w:rPr>
          <w:rtl/>
        </w:rPr>
        <w:t>שהמוסרניקים</w:t>
      </w:r>
      <w:proofErr w:type="spellEnd"/>
      <w:r>
        <w:rPr>
          <w:rtl/>
        </w:rPr>
        <w:t xml:space="preserve"> מתכוננים לעלות למלחמה על כל הישיבה ולשתול בכל מקום ומקום את תורתם”.</w:t>
      </w:r>
    </w:p>
    <w:p w14:paraId="750B9D94" w14:textId="77777777" w:rsidR="00AB3647" w:rsidRDefault="00000000" w:rsidP="007923E9">
      <w:pPr>
        <w:spacing w:after="120" w:line="276" w:lineRule="auto"/>
        <w:jc w:val="both"/>
      </w:pPr>
      <w:proofErr w:type="spellStart"/>
      <w:r>
        <w:rPr>
          <w:rtl/>
        </w:rPr>
        <w:t>שולמן</w:t>
      </w:r>
      <w:proofErr w:type="spellEnd"/>
      <w:r>
        <w:rPr>
          <w:rtl/>
        </w:rPr>
        <w:t xml:space="preserve"> מוסיף ומספר שתלמידי </w:t>
      </w:r>
      <w:proofErr w:type="spellStart"/>
      <w:r>
        <w:rPr>
          <w:rtl/>
        </w:rPr>
        <w:t>טלז</w:t>
      </w:r>
      <w:proofErr w:type="spellEnd"/>
      <w:r>
        <w:rPr>
          <w:rtl/>
        </w:rPr>
        <w:t xml:space="preserve"> הקימו ועד של עשרה תלמידים, כדי </w:t>
      </w:r>
      <w:proofErr w:type="spellStart"/>
      <w:r>
        <w:rPr>
          <w:rtl/>
        </w:rPr>
        <w:t>שטלז</w:t>
      </w:r>
      <w:proofErr w:type="spellEnd"/>
      <w:r>
        <w:rPr>
          <w:rtl/>
        </w:rPr>
        <w:t xml:space="preserve"> לא תיפול במלכודת אנשי המוסר. חברי הוועד נפגשו עם ראש הישיבה, אבל לא הצליחו להניאו מלהביא את “אנשי המוסר”. אז החליט הוועד להכריז על שביתה ולסגור את הישיבה לשלושה ימים. הפזיזות הזאת חזרה אליהם כבומרנג: ההנהלה שלחה מברק </w:t>
      </w:r>
      <w:proofErr w:type="spellStart"/>
      <w:r>
        <w:rPr>
          <w:rtl/>
        </w:rPr>
        <w:t>לר</w:t>
      </w:r>
      <w:proofErr w:type="spellEnd"/>
      <w:r>
        <w:rPr>
          <w:rtl/>
        </w:rPr>
        <w:t xml:space="preserve">׳ שמואל ולקבוצה </w:t>
      </w:r>
      <w:proofErr w:type="spellStart"/>
      <w:r>
        <w:rPr>
          <w:rtl/>
        </w:rPr>
        <w:t>מסלבודקה</w:t>
      </w:r>
      <w:proofErr w:type="spellEnd"/>
      <w:r>
        <w:rPr>
          <w:rtl/>
        </w:rPr>
        <w:t>, וביקשה שיבואו מיד. אז תלה הוועד מודעה על דלתות בית המדרש שהישיבה תיסגר לשישה שבועות. אבל “כעבור ימים אחדים הגיעו ‘אנשי המוסר’ עם ר׳ שמואל”.</w:t>
      </w:r>
    </w:p>
    <w:p w14:paraId="59A93970" w14:textId="77777777" w:rsidR="00AB3647" w:rsidRDefault="00000000" w:rsidP="007923E9">
      <w:pPr>
        <w:spacing w:after="120" w:line="276" w:lineRule="auto"/>
        <w:jc w:val="both"/>
      </w:pPr>
      <w:r>
        <w:rPr>
          <w:rtl/>
        </w:rPr>
        <w:t>אסף</w:t>
      </w:r>
      <w:bookmarkStart w:id="4666" w:name="_fnr3455"/>
      <w:r>
        <w:rPr>
          <w:vertAlign w:val="superscript"/>
          <w:rtl/>
        </w:rPr>
        <w:footnoteReference w:id="3463" w:customMarkFollows="0"/>
      </w:r>
      <w:bookmarkEnd w:id="4666"/>
      <w:r>
        <w:rPr>
          <w:rtl/>
        </w:rPr>
        <w:t xml:space="preserve"> אינו דן בבואו של ר׳ שמואל </w:t>
      </w:r>
      <w:proofErr w:type="spellStart"/>
      <w:r>
        <w:rPr>
          <w:rtl/>
        </w:rPr>
        <w:t>פונדילער</w:t>
      </w:r>
      <w:proofErr w:type="spellEnd"/>
      <w:r>
        <w:rPr>
          <w:rtl/>
        </w:rPr>
        <w:t xml:space="preserve">, אבל מזכיר את הקמת הוועד כך: “בעקבות חילוקי הדעות החריפים בין הנהלת הישיבה לבחורים, שהתפרצו מדי פעם בשנים האחרונות, החליט הרב [ר׳ לייזר גורדון] (ההדגשה נוספה) שטוב יהיה לתלמידים שתהיה להם נציגות משלהם, שעמה תבוא הנהלת הישיבה בדברים בעת הצורך... הבחורים בחרו ועד של </w:t>
      </w:r>
      <w:proofErr w:type="spellStart"/>
      <w:r>
        <w:rPr>
          <w:b/>
          <w:bCs/>
          <w:rtl/>
        </w:rPr>
        <w:t>אחד־</w:t>
      </w:r>
      <w:r>
        <w:rPr>
          <w:b/>
          <w:bCs/>
          <w:rtl/>
        </w:rPr>
        <w:lastRenderedPageBreak/>
        <w:t>עשר</w:t>
      </w:r>
      <w:proofErr w:type="spellEnd"/>
      <w:r>
        <w:rPr>
          <w:rtl/>
        </w:rPr>
        <w:t xml:space="preserve"> (ההדגשה שלי) חברים, שבו יוצגו תלמידי כל חמשת השיעורים; וגם אני זכיתי להיות בין הנבחרים”.</w:t>
      </w:r>
    </w:p>
    <w:p w14:paraId="4C0D757F" w14:textId="77777777" w:rsidR="00AB3647" w:rsidRDefault="00000000" w:rsidP="007923E9">
      <w:pPr>
        <w:spacing w:after="120" w:line="276" w:lineRule="auto"/>
        <w:jc w:val="both"/>
      </w:pPr>
      <w:proofErr w:type="spellStart"/>
      <w:r>
        <w:rPr>
          <w:rtl/>
        </w:rPr>
        <w:t>שולמן</w:t>
      </w:r>
      <w:proofErr w:type="spellEnd"/>
      <w:r>
        <w:rPr>
          <w:rtl/>
        </w:rPr>
        <w:t xml:space="preserve">, כפי שצוטט לעיל, טועה בבירור בשני העניינים שהודגשו – מי יזם את הקמת ועד התלמידים, וכמה חברים היו בו – שהרי סותר אותו מי שהיה בעצמו חבר בוועד. מובן שהמחבר ב׳ </w:t>
      </w:r>
      <w:proofErr w:type="spellStart"/>
      <w:r>
        <w:rPr>
          <w:rtl/>
        </w:rPr>
        <w:t>שולמן</w:t>
      </w:r>
      <w:proofErr w:type="spellEnd"/>
      <w:r>
        <w:rPr>
          <w:rtl/>
        </w:rPr>
        <w:t xml:space="preserve">, שהגיע לישיבה מעיר הולדתו </w:t>
      </w:r>
      <w:proofErr w:type="spellStart"/>
      <w:r>
        <w:rPr>
          <w:rtl/>
        </w:rPr>
        <w:t>זאגר</w:t>
      </w:r>
      <w:proofErr w:type="spellEnd"/>
      <w:r>
        <w:rPr>
          <w:rtl/>
        </w:rPr>
        <w:t xml:space="preserve"> זמן לא רב לפני הקמת הוועד, לא הכיר היטב את תולדותיו ואת הרכבו.</w:t>
      </w:r>
    </w:p>
    <w:p w14:paraId="3B6173FC" w14:textId="77777777" w:rsidR="00AB3647" w:rsidRDefault="00000000" w:rsidP="007923E9">
      <w:pPr>
        <w:spacing w:after="120" w:line="276" w:lineRule="auto"/>
        <w:jc w:val="both"/>
      </w:pPr>
      <w:r>
        <w:rPr>
          <w:rtl/>
        </w:rPr>
        <w:t xml:space="preserve">גם במאמרו של </w:t>
      </w:r>
      <w:proofErr w:type="spellStart"/>
      <w:r>
        <w:rPr>
          <w:rtl/>
        </w:rPr>
        <w:t>שולמן</w:t>
      </w:r>
      <w:proofErr w:type="spellEnd"/>
      <w:r>
        <w:rPr>
          <w:rtl/>
        </w:rPr>
        <w:t xml:space="preserve"> יש סתירה בולטת, והיא מביאה אותי לשער שמחברו אינו מגלה מידע אישי מסוים הנוגע לעניין. לפי סיפורו, הגיע </w:t>
      </w:r>
      <w:proofErr w:type="spellStart"/>
      <w:r>
        <w:rPr>
          <w:rtl/>
        </w:rPr>
        <w:t>לטלז</w:t>
      </w:r>
      <w:proofErr w:type="spellEnd"/>
      <w:r>
        <w:rPr>
          <w:rtl/>
        </w:rPr>
        <w:t xml:space="preserve"> “בתחילת 1906”, וכשנשרפה העיר בקיץ תרס״ח יצא </w:t>
      </w:r>
      <w:proofErr w:type="spellStart"/>
      <w:r>
        <w:rPr>
          <w:rtl/>
        </w:rPr>
        <w:t>לשדובה</w:t>
      </w:r>
      <w:proofErr w:type="spellEnd"/>
      <w:r>
        <w:rPr>
          <w:rtl/>
        </w:rPr>
        <w:t xml:space="preserve"> להמשיך ללמוד אצל ר׳ יוסף לייב בלוך</w:t>
      </w:r>
      <w:bookmarkStart w:id="4667" w:name="_fnr3456"/>
      <w:r>
        <w:rPr>
          <w:vertAlign w:val="superscript"/>
          <w:rtl/>
        </w:rPr>
        <w:footnoteReference w:id="3464" w:customMarkFollows="0"/>
      </w:r>
      <w:bookmarkEnd w:id="4667"/>
      <w:r>
        <w:rPr>
          <w:rtl/>
        </w:rPr>
        <w:t xml:space="preserve"> (שם, עמ׳ 142). ובכל זאת הוא טוען (שם, עמ׳ 141, כפי שצוטט להלן בעמ׳ </w:t>
      </w:r>
      <w:r>
        <w:rPr>
          <w:rtl/>
        </w:rPr>
        <w:fldChar w:fldCharType="begin" w:dirty="true"/>
      </w:r>
      <w:r>
        <w:rPr>
          <w:rtl/>
        </w:rPr>
        <w:instrText xml:space="preserve"> PAGEREF pr_b_2399 \h </w:instrText>
      </w:r>
      <w:r>
        <w:rPr>
          <w:rtl/>
        </w:rPr>
      </w:r>
      <w:r>
        <w:rPr>
          <w:rtl/>
        </w:rPr>
        <w:fldChar w:fldCharType="separate"/>
      </w:r>
      <w:r w:rsidR="007923E9">
        <w:rPr>
          <w:noProof/>
          <w:rtl/>
        </w:rPr>
        <w:t>1</w:t>
      </w:r>
      <w:r>
        <w:rPr>
          <w:rtl/>
        </w:rPr>
        <w:fldChar w:fldCharType="end"/>
      </w:r>
      <w:r>
        <w:rPr>
          <w:rtl/>
        </w:rPr>
        <w:t xml:space="preserve">) </w:t>
      </w:r>
      <w:proofErr w:type="spellStart"/>
      <w:r>
        <w:rPr>
          <w:rtl/>
        </w:rPr>
        <w:t>ש“לימודינו</w:t>
      </w:r>
      <w:proofErr w:type="spellEnd"/>
      <w:r>
        <w:rPr>
          <w:rtl/>
        </w:rPr>
        <w:t xml:space="preserve"> המשותפים עם ‘אנשי המוסר’ נמשכו שנה שלמה” – אף שעד השרפה היו צריכים להימשך שנתיים שלמות. יתר על כן, כשעבר המחבר </w:t>
      </w:r>
      <w:proofErr w:type="spellStart"/>
      <w:r>
        <w:rPr>
          <w:rtl/>
        </w:rPr>
        <w:t>לשדובה</w:t>
      </w:r>
      <w:proofErr w:type="spellEnd"/>
      <w:r>
        <w:rPr>
          <w:rtl/>
        </w:rPr>
        <w:t xml:space="preserve"> ונחקר על ספרות אסורה, ובה תעמולה סוציאליסטית, שנמצאה באכסנייתו (שם, עמ׳ 146), הוא אמר לבית הדין, לפי המסופר, שהספרים היו עמו במשך “השנה וחצי שלמדתי </w:t>
      </w:r>
      <w:proofErr w:type="spellStart"/>
      <w:r>
        <w:rPr>
          <w:rtl/>
        </w:rPr>
        <w:t>בטלז</w:t>
      </w:r>
      <w:proofErr w:type="spellEnd"/>
      <w:r>
        <w:rPr>
          <w:rtl/>
        </w:rPr>
        <w:t>” – ולא שנתיים וחצי, כפי שהיה צריך להיות.</w:t>
      </w:r>
    </w:p>
    <w:p w14:paraId="24AB6523" w14:textId="77777777" w:rsidR="00AB3647" w:rsidRDefault="00000000" w:rsidP="007923E9">
      <w:pPr>
        <w:spacing w:after="120" w:line="276" w:lineRule="auto"/>
        <w:jc w:val="both"/>
      </w:pPr>
      <w:r>
        <w:rPr>
          <w:rtl/>
        </w:rPr>
        <w:t xml:space="preserve">המידע שהמאמר אינו מוסר הוא כנראה שבזמן החסר, השנה שלפני השרפה, שהה המחבר </w:t>
      </w:r>
      <w:r>
        <w:rPr>
          <w:b/>
          <w:bCs/>
          <w:rtl/>
        </w:rPr>
        <w:t xml:space="preserve">בעיר </w:t>
      </w:r>
      <w:proofErr w:type="spellStart"/>
      <w:r>
        <w:rPr>
          <w:b/>
          <w:bCs/>
          <w:rtl/>
        </w:rPr>
        <w:t>טלז</w:t>
      </w:r>
      <w:proofErr w:type="spellEnd"/>
      <w:r>
        <w:rPr>
          <w:b/>
          <w:bCs/>
          <w:rtl/>
        </w:rPr>
        <w:t>, אך לא בישיבה</w:t>
      </w:r>
      <w:r>
        <w:rPr>
          <w:rtl/>
        </w:rPr>
        <w:t>. מה בדיוק עשה באותה שנה – אין להכריע. שם</w:t>
      </w:r>
      <w:bookmarkStart w:id="4668" w:name="_fnr3457"/>
      <w:r>
        <w:rPr>
          <w:vertAlign w:val="superscript"/>
          <w:rtl/>
        </w:rPr>
        <w:footnoteReference w:id="3465" w:customMarkFollows="0"/>
      </w:r>
      <w:bookmarkEnd w:id="4668"/>
      <w:r>
        <w:rPr>
          <w:rtl/>
        </w:rPr>
        <w:t xml:space="preserve"> מסופר על תלמידים אחרים </w:t>
      </w:r>
      <w:proofErr w:type="spellStart"/>
      <w:r>
        <w:rPr>
          <w:rtl/>
        </w:rPr>
        <w:t>מזאגר</w:t>
      </w:r>
      <w:proofErr w:type="spellEnd"/>
      <w:r>
        <w:rPr>
          <w:rtl/>
        </w:rPr>
        <w:t xml:space="preserve">, שסולקו מן הישיבה בשנה שלפני בוא </w:t>
      </w:r>
      <w:proofErr w:type="spellStart"/>
      <w:r>
        <w:rPr>
          <w:rtl/>
        </w:rPr>
        <w:t>שולמן</w:t>
      </w:r>
      <w:proofErr w:type="spellEnd"/>
      <w:r>
        <w:rPr>
          <w:rtl/>
        </w:rPr>
        <w:t xml:space="preserve"> </w:t>
      </w:r>
      <w:proofErr w:type="spellStart"/>
      <w:r>
        <w:rPr>
          <w:rtl/>
        </w:rPr>
        <w:t>לטלז</w:t>
      </w:r>
      <w:proofErr w:type="spellEnd"/>
      <w:r>
        <w:rPr>
          <w:rtl/>
        </w:rPr>
        <w:t xml:space="preserve"> ונשארו בעיר, והוריהם המשיכו לשלוח להם תמיכה בחושבם שבניהם עדיין לומדים תורה. פורשים אלה – “שנו ופירשו”</w:t>
      </w:r>
      <w:bookmarkStart w:id="4669" w:name="_fnr3458"/>
      <w:r>
        <w:rPr>
          <w:vertAlign w:val="superscript"/>
          <w:rtl/>
        </w:rPr>
        <w:footnoteReference w:id="3466" w:customMarkFollows="0"/>
      </w:r>
      <w:bookmarkEnd w:id="4669"/>
      <w:r>
        <w:rPr>
          <w:rtl/>
        </w:rPr>
        <w:t xml:space="preserve"> – ניסו לשכנע את המחבר מיד כשבא לעיר להטעות גם הוא את הוריו: למצוא עבודה ולפעול עמם בהפצת הסוציאליזם. אף שבאותה עת דחה אותם, ייתכן שקיבל את עצתם הרעה כעבור שנה וחצי, בקיץ תרס״ז. בעמ׳ 141 שם, כפי שצוטט בעמ׳ </w:t>
      </w:r>
      <w:r>
        <w:rPr>
          <w:rtl/>
        </w:rPr>
        <w:fldChar w:fldCharType="begin" w:dirty="true"/>
      </w:r>
      <w:r>
        <w:rPr>
          <w:rtl/>
        </w:rPr>
        <w:instrText xml:space="preserve"> PAGEREF pr_b_2399 \h </w:instrText>
      </w:r>
      <w:r>
        <w:rPr>
          <w:rtl/>
        </w:rPr>
      </w:r>
      <w:r>
        <w:rPr>
          <w:rtl/>
        </w:rPr>
        <w:fldChar w:fldCharType="separate"/>
      </w:r>
      <w:r w:rsidR="007923E9">
        <w:rPr>
          <w:noProof/>
          <w:rtl/>
        </w:rPr>
        <w:t>1</w:t>
      </w:r>
      <w:r>
        <w:rPr>
          <w:rtl/>
        </w:rPr>
        <w:fldChar w:fldCharType="end"/>
      </w:r>
      <w:r>
        <w:rPr>
          <w:rtl/>
        </w:rPr>
        <w:t xml:space="preserve"> להלן, מספר המחבר: “‘אנשי המוסר’... למדו בישיבה יחד אתנו, ואף </w:t>
      </w:r>
      <w:r>
        <w:rPr>
          <w:b/>
          <w:bCs/>
          <w:rtl/>
        </w:rPr>
        <w:t>קשרו קשרים עם הפורשים</w:t>
      </w:r>
      <w:r>
        <w:rPr>
          <w:rtl/>
        </w:rPr>
        <w:t xml:space="preserve"> (ההדגשה שלי)”; ייתכן </w:t>
      </w:r>
      <w:proofErr w:type="spellStart"/>
      <w:r>
        <w:rPr>
          <w:rtl/>
        </w:rPr>
        <w:t>ששולמן</w:t>
      </w:r>
      <w:proofErr w:type="spellEnd"/>
      <w:r>
        <w:rPr>
          <w:rtl/>
        </w:rPr>
        <w:t xml:space="preserve"> ידע על קשרים אלה מפני שנעשה בעצמו אחד מן הפורשים.</w:t>
      </w:r>
    </w:p>
    <w:p w14:paraId="5E53BA58" w14:textId="77777777" w:rsidR="00AB3647" w:rsidRDefault="00000000" w:rsidP="007923E9">
      <w:pPr>
        <w:spacing w:after="120" w:line="276" w:lineRule="auto"/>
        <w:jc w:val="both"/>
      </w:pPr>
      <w:r>
        <w:rPr>
          <w:rtl/>
        </w:rPr>
        <w:t xml:space="preserve">לחלופין, ייתכן </w:t>
      </w:r>
      <w:proofErr w:type="spellStart"/>
      <w:r>
        <w:rPr>
          <w:rtl/>
        </w:rPr>
        <w:t>ששולמן</w:t>
      </w:r>
      <w:proofErr w:type="spellEnd"/>
      <w:r>
        <w:rPr>
          <w:rtl/>
        </w:rPr>
        <w:t xml:space="preserve"> – שתיאר את עצמו </w:t>
      </w:r>
      <w:proofErr w:type="spellStart"/>
      <w:r>
        <w:rPr>
          <w:rtl/>
        </w:rPr>
        <w:t>כ“עקשן</w:t>
      </w:r>
      <w:proofErr w:type="spellEnd"/>
      <w:r>
        <w:rPr>
          <w:rtl/>
        </w:rPr>
        <w:t xml:space="preserve"> בשנאתי </w:t>
      </w:r>
      <w:proofErr w:type="spellStart"/>
      <w:r>
        <w:rPr>
          <w:rtl/>
        </w:rPr>
        <w:t>ל‘אנשי</w:t>
      </w:r>
      <w:proofErr w:type="spellEnd"/>
      <w:r>
        <w:rPr>
          <w:rtl/>
        </w:rPr>
        <w:t xml:space="preserve"> המוסר’”</w:t>
      </w:r>
      <w:bookmarkStart w:id="4670" w:name="_fnr3459"/>
      <w:r>
        <w:rPr>
          <w:vertAlign w:val="superscript"/>
          <w:rtl/>
        </w:rPr>
        <w:footnoteReference w:id="3467" w:customMarkFollows="0"/>
      </w:r>
      <w:bookmarkEnd w:id="4670"/>
      <w:r>
        <w:rPr>
          <w:rtl/>
        </w:rPr>
        <w:t xml:space="preserve"> – פשוט עזב את הישיבה ולמד תורה לבדו באחד מבתי הכנסת בעיר, כמו שעשו תלמידים אחרים כשננעלו בפניהם דלתות הישיבה שנה ושלושה רבעים קודם לכן</w:t>
      </w:r>
      <w:bookmarkStart w:id="4671" w:name="_fnr3460"/>
      <w:r>
        <w:rPr>
          <w:vertAlign w:val="superscript"/>
          <w:rtl/>
        </w:rPr>
        <w:footnoteReference w:id="3468" w:customMarkFollows="0"/>
      </w:r>
      <w:bookmarkEnd w:id="4671"/>
      <w:r>
        <w:rPr>
          <w:rtl/>
        </w:rPr>
        <w:t xml:space="preserve">. לפי זה נמשכו “לימודיו המשותפים עם ‘אנשי המוסר’” כשנה וחודשיים – </w:t>
      </w:r>
      <w:proofErr w:type="spellStart"/>
      <w:r>
        <w:rPr>
          <w:rtl/>
        </w:rPr>
        <w:t>ששולמן</w:t>
      </w:r>
      <w:proofErr w:type="spellEnd"/>
      <w:r>
        <w:rPr>
          <w:rtl/>
        </w:rPr>
        <w:t xml:space="preserve"> מכנה שנה “שלמה” – אף ששהה בעיר </w:t>
      </w:r>
      <w:proofErr w:type="spellStart"/>
      <w:r>
        <w:rPr>
          <w:rtl/>
        </w:rPr>
        <w:t>טלז</w:t>
      </w:r>
      <w:proofErr w:type="spellEnd"/>
      <w:r>
        <w:rPr>
          <w:rtl/>
        </w:rPr>
        <w:t xml:space="preserve"> שנתיים וחצי.</w:t>
      </w:r>
    </w:p>
    <w:bookmarkStart w:id="4672" w:name="b4_note122"/>
    <w:p w14:paraId="4D209883" w14:textId="5FDE154C" w:rsidR="00AB3647" w:rsidRDefault="00000000" w:rsidP="007923E9">
      <w:pPr>
        <w:spacing w:before="120" w:after="100" w:line="276" w:lineRule="auto"/>
        <w:jc w:val="both"/>
      </w:pPr>
      <w:r>
        <w:fldChar w:fldCharType="begin" w:dirty="true"/>
      </w:r>
      <w:r>
        <w:instrText>HYPERLINK \l "b4_text122" \h</w:instrText>
      </w:r>
      <w:r>
        <w:fldChar w:fldCharType="separate"/>
      </w:r>
      <w:r>
        <w:rPr>
          <w:b/>
          <w:bCs/>
          <w:rtl/>
        </w:rPr>
        <w:t>122</w:t>
      </w:r>
      <w:r>
        <w:rPr>
          <w:b/>
          <w:bCs/>
        </w:rPr>
        <w:fldChar w:fldCharType="end"/>
      </w:r>
      <w:bookmarkEnd w:id="4672"/>
      <w:r>
        <w:rPr>
          <w:rtl/>
        </w:rPr>
        <w:t xml:space="preserve"> ראה </w:t>
      </w:r>
      <w:r>
        <w:rPr>
          <w:rtl/>
        </w:rPr>
        <w:fldChar w:fldCharType="begin" w:dirty="true"/>
      </w:r>
      <w:r>
        <w:rPr>
          <w:rtl/>
        </w:rPr>
        <w:instrText xml:space="preserve"> REF b4_excN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יד</w:t>
      </w:r>
      <w:r>
        <w:rPr>
          <w:rtl/>
        </w:rPr>
        <w:fldChar w:fldCharType="end"/>
      </w:r>
      <w:r>
        <w:rPr>
          <w:rtl/>
        </w:rPr>
        <w:t>.</w:t>
      </w:r>
    </w:p>
    <w:bookmarkStart w:id="4673" w:name="b4_note123"/>
    <w:p w14:paraId="7687AB8F" w14:textId="77777777" w:rsidR="00AB3647" w:rsidRDefault="00000000" w:rsidP="007923E9">
      <w:pPr>
        <w:spacing w:before="120" w:after="100" w:line="276" w:lineRule="auto"/>
        <w:jc w:val="both"/>
      </w:pPr>
      <w:r>
        <w:lastRenderedPageBreak/>
        <w:fldChar w:fldCharType="begin" w:dirty="true"/>
      </w:r>
      <w:r>
        <w:instrText>HYPERLINK \l "b4_text123" \h</w:instrText>
      </w:r>
      <w:r>
        <w:fldChar w:fldCharType="separate"/>
      </w:r>
      <w:r>
        <w:rPr>
          <w:b/>
          <w:bCs/>
          <w:rtl/>
        </w:rPr>
        <w:t>123</w:t>
      </w:r>
      <w:r>
        <w:rPr>
          <w:b/>
          <w:bCs/>
        </w:rPr>
        <w:fldChar w:fldCharType="end"/>
      </w:r>
      <w:bookmarkEnd w:id="4673"/>
      <w:r>
        <w:rPr>
          <w:rtl/>
        </w:rPr>
        <w:t xml:space="preserve"> </w:t>
      </w:r>
      <w:proofErr w:type="spellStart"/>
      <w:r>
        <w:rPr>
          <w:rtl/>
        </w:rPr>
        <w:t>שולמן</w:t>
      </w:r>
      <w:bookmarkStart w:id="4674" w:name="_fnr3461"/>
      <w:proofErr w:type="spellEnd"/>
      <w:r>
        <w:rPr>
          <w:vertAlign w:val="superscript"/>
          <w:rtl/>
        </w:rPr>
        <w:footnoteReference w:id="3469" w:customMarkFollows="0"/>
      </w:r>
      <w:bookmarkEnd w:id="4674"/>
      <w:r>
        <w:rPr>
          <w:rtl/>
        </w:rPr>
        <w:t xml:space="preserve"> קובע שמספר התלמידים שהוזמנו לבוא עם ר׳ שמואל היה חמישים.</w:t>
      </w:r>
    </w:p>
    <w:bookmarkStart w:id="4675" w:name="b4_note124"/>
    <w:p w14:paraId="4DCD8236" w14:textId="65E3FD51" w:rsidR="00AB3647" w:rsidRDefault="00000000" w:rsidP="007923E9">
      <w:pPr>
        <w:spacing w:before="120" w:after="100" w:line="276" w:lineRule="auto"/>
        <w:jc w:val="both"/>
      </w:pPr>
      <w:r>
        <w:fldChar w:fldCharType="begin" w:dirty="true"/>
      </w:r>
      <w:r>
        <w:instrText>HYPERLINK \l "b4_text124" \h</w:instrText>
      </w:r>
      <w:r>
        <w:fldChar w:fldCharType="separate"/>
      </w:r>
      <w:r>
        <w:rPr>
          <w:b/>
          <w:bCs/>
          <w:rtl/>
        </w:rPr>
        <w:t>124</w:t>
      </w:r>
      <w:r>
        <w:rPr>
          <w:b/>
          <w:bCs/>
        </w:rPr>
        <w:fldChar w:fldCharType="end"/>
      </w:r>
      <w:bookmarkEnd w:id="4675"/>
      <w:r>
        <w:rPr>
          <w:rtl/>
        </w:rPr>
        <w:t xml:space="preserve"> ראה </w:t>
      </w:r>
      <w:r>
        <w:rPr>
          <w:rtl/>
        </w:rPr>
        <w:fldChar w:fldCharType="begin" w:dirty="true"/>
      </w:r>
      <w:r>
        <w:rPr>
          <w:rtl/>
        </w:rPr>
        <w:instrText xml:space="preserve"> REF b4_excO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טו</w:t>
      </w:r>
      <w:r>
        <w:rPr>
          <w:rtl/>
        </w:rPr>
        <w:fldChar w:fldCharType="end"/>
      </w:r>
      <w:r>
        <w:rPr>
          <w:rtl/>
        </w:rPr>
        <w:t>.</w:t>
      </w:r>
    </w:p>
    <w:p w14:paraId="600935CB" w14:textId="7679FE2A"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 xml:space="preserve">חודש לאחר תחילת זמן החורף שלאחר מכן – שבתחילתו תוגברה קבוצת </w:t>
      </w:r>
      <w:proofErr w:type="spellStart"/>
      <w:r>
        <w:rPr>
          <w:rtl/>
        </w:rPr>
        <w:t>סלבודקה</w:t>
      </w:r>
      <w:proofErr w:type="spellEnd"/>
      <w:r>
        <w:rPr>
          <w:rtl/>
        </w:rPr>
        <w:t xml:space="preserve"> בתלמידים נוספים</w:t>
      </w:r>
      <w:bookmarkStart w:id="4676" w:name="b4_text125"/>
      <w:bookmarkEnd w:id="4676"/>
      <w:r>
        <w:rPr>
          <w:sz w:val="18"/>
          <w:szCs w:val="18"/>
          <w:vertAlign w:val="superscript"/>
          <w:rtl/>
        </w:rPr>
        <w:fldChar w:fldCharType="begin" w:dirty="true"/>
      </w:r>
      <w:r>
        <w:rPr>
          <w:sz w:val="18"/>
          <w:szCs w:val="18"/>
          <w:vertAlign w:val="superscript"/>
          <w:rtl/>
        </w:rPr>
        <w:instrText xml:space="preserve"> REF b4_note125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125</w:t>
      </w:r>
      <w:r>
        <w:rPr>
          <w:sz w:val="18"/>
          <w:szCs w:val="18"/>
          <w:vertAlign w:val="superscript"/>
          <w:rtl/>
        </w:rPr>
        <w:fldChar w:fldCharType="end"/>
      </w:r>
      <w:r>
        <w:rPr>
          <w:rtl/>
        </w:rPr>
        <w:t xml:space="preserve"> – הגיע ר׳ לייזר לקובנה בערב שבת, ויכול היה לדווח לסבא </w:t>
      </w:r>
      <w:proofErr w:type="spellStart"/>
      <w:r>
        <w:rPr>
          <w:rtl/>
        </w:rPr>
        <w:t>מסלבודקה</w:t>
      </w:r>
      <w:proofErr w:type="spellEnd"/>
      <w:r>
        <w:rPr>
          <w:rtl/>
        </w:rPr>
        <w:t xml:space="preserve"> על ההתפתחויות בישיבתו </w:t>
      </w:r>
      <w:proofErr w:type="spellStart"/>
      <w:r>
        <w:rPr>
          <w:rtl/>
        </w:rPr>
        <w:t>הישנה־החדשה</w:t>
      </w:r>
      <w:proofErr w:type="spellEnd"/>
      <w:r>
        <w:rPr>
          <w:rtl/>
        </w:rPr>
        <w:t>.</w:t>
      </w:r>
    </w:p>
    <w:bookmarkStart w:id="4677" w:name="b4_note125"/>
    <w:p w14:paraId="5C61A754" w14:textId="77777777" w:rsidR="00AB3647" w:rsidRDefault="00000000" w:rsidP="007923E9">
      <w:pPr>
        <w:spacing w:before="120" w:after="100" w:line="276" w:lineRule="auto"/>
        <w:jc w:val="both"/>
      </w:pPr>
      <w:r>
        <w:fldChar w:fldCharType="begin" w:dirty="true"/>
      </w:r>
      <w:r>
        <w:instrText>HYPERLINK \l "b4_text125" \h</w:instrText>
      </w:r>
      <w:r>
        <w:fldChar w:fldCharType="separate"/>
      </w:r>
      <w:r>
        <w:rPr>
          <w:b/>
          <w:bCs/>
          <w:rtl/>
        </w:rPr>
        <w:t>125</w:t>
      </w:r>
      <w:r>
        <w:rPr>
          <w:b/>
          <w:bCs/>
        </w:rPr>
        <w:fldChar w:fldCharType="end"/>
      </w:r>
      <w:bookmarkEnd w:id="4677"/>
      <w:r>
        <w:rPr>
          <w:rtl/>
        </w:rPr>
        <w:t xml:space="preserve"> מידע זה התברר מתוך מה שסיפר אבי </w:t>
      </w:r>
      <w:proofErr w:type="spellStart"/>
      <w:r>
        <w:rPr>
          <w:rtl/>
        </w:rPr>
        <w:t>לר</w:t>
      </w:r>
      <w:proofErr w:type="spellEnd"/>
      <w:r>
        <w:rPr>
          <w:rtl/>
        </w:rPr>
        <w:t xml:space="preserve">׳ </w:t>
      </w:r>
      <w:proofErr w:type="spellStart"/>
      <w:r>
        <w:rPr>
          <w:rtl/>
        </w:rPr>
        <w:t>לייבל</w:t>
      </w:r>
      <w:proofErr w:type="spellEnd"/>
      <w:r>
        <w:rPr>
          <w:rtl/>
        </w:rPr>
        <w:t xml:space="preserve"> </w:t>
      </w:r>
      <w:proofErr w:type="spellStart"/>
      <w:r>
        <w:rPr>
          <w:rtl/>
        </w:rPr>
        <w:t>פרלשטיין</w:t>
      </w:r>
      <w:bookmarkStart w:id="4678" w:name="_fnr3462"/>
      <w:proofErr w:type="spellEnd"/>
      <w:r>
        <w:rPr>
          <w:vertAlign w:val="superscript"/>
          <w:rtl/>
        </w:rPr>
        <w:footnoteReference w:id="3470" w:customMarkFollows="0"/>
      </w:r>
      <w:bookmarkEnd w:id="4678"/>
      <w:r>
        <w:rPr>
          <w:rtl/>
        </w:rPr>
        <w:t xml:space="preserve">, והוא נראה סביר לנוכח חומרת הבעיות שהיו </w:t>
      </w:r>
      <w:proofErr w:type="spellStart"/>
      <w:r>
        <w:rPr>
          <w:rtl/>
        </w:rPr>
        <w:t>לר</w:t>
      </w:r>
      <w:proofErr w:type="spellEnd"/>
      <w:r>
        <w:rPr>
          <w:rtl/>
        </w:rPr>
        <w:t xml:space="preserve">׳ שמואל עם תלמידי </w:t>
      </w:r>
      <w:proofErr w:type="spellStart"/>
      <w:r>
        <w:rPr>
          <w:rtl/>
        </w:rPr>
        <w:t>טלז</w:t>
      </w:r>
      <w:proofErr w:type="spellEnd"/>
      <w:r>
        <w:rPr>
          <w:rtl/>
        </w:rPr>
        <w:t xml:space="preserve">, כמתואר בנספח טו בפרק זה. לפי המסופר שם מפי </w:t>
      </w:r>
      <w:proofErr w:type="spellStart"/>
      <w:r>
        <w:rPr>
          <w:rtl/>
        </w:rPr>
        <w:t>שולמן</w:t>
      </w:r>
      <w:proofErr w:type="spellEnd"/>
      <w:r>
        <w:rPr>
          <w:rtl/>
        </w:rPr>
        <w:t>, היה זה “מזל” – ר׳ לייזר כמעט לקה בשיתוק – שהביא לבסוף להשתלטות על המצב. כץ, “תנועת המוסר”, כרך ה</w:t>
      </w:r>
      <w:bookmarkStart w:id="4679" w:name="_fnr3463"/>
      <w:r>
        <w:rPr>
          <w:vertAlign w:val="superscript"/>
          <w:rtl/>
        </w:rPr>
        <w:footnoteReference w:id="3471" w:customMarkFollows="0"/>
      </w:r>
      <w:bookmarkEnd w:id="4679"/>
      <w:r>
        <w:rPr>
          <w:rtl/>
        </w:rPr>
        <w:t xml:space="preserve">, הזוקף את כיבוש </w:t>
      </w:r>
      <w:proofErr w:type="spellStart"/>
      <w:r>
        <w:rPr>
          <w:rtl/>
        </w:rPr>
        <w:t>טלז</w:t>
      </w:r>
      <w:proofErr w:type="spellEnd"/>
      <w:r>
        <w:rPr>
          <w:rtl/>
        </w:rPr>
        <w:t xml:space="preserve"> לזכות אישיותו של ר׳ שמואל </w:t>
      </w:r>
      <w:proofErr w:type="spellStart"/>
      <w:r>
        <w:rPr>
          <w:rtl/>
        </w:rPr>
        <w:t>פונדילער</w:t>
      </w:r>
      <w:proofErr w:type="spellEnd"/>
      <w:r>
        <w:rPr>
          <w:rtl/>
        </w:rPr>
        <w:t>, אינו מזכיר כלל את הזעקת התגבורת, ונראה שאינו יודע על עובדה זו.</w:t>
      </w:r>
    </w:p>
    <w:p w14:paraId="295D21A6" w14:textId="4118871F"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bookmarkStart w:id="4680" w:name="pr_b_1776"/>
      <w:bookmarkEnd w:id="4680"/>
      <w:r>
        <w:rPr>
          <w:rtl/>
        </w:rPr>
        <w:t xml:space="preserve">רק בשבת אחר הצהריים נודע מי הגיע ביום הקודם, והידיעה התפשטה כאש </w:t>
      </w:r>
      <w:proofErr w:type="spellStart"/>
      <w:r>
        <w:rPr>
          <w:rtl/>
        </w:rPr>
        <w:t>בסלבודקה</w:t>
      </w:r>
      <w:proofErr w:type="spellEnd"/>
      <w:r>
        <w:rPr>
          <w:rtl/>
        </w:rPr>
        <w:t>. למעלה מ־500 בחורים משתי הישיבות חצו את הגשר לקובנה והתאספו במלון שבו התאכסן ר׳ לייזר. דמדומי הערב הליטאיים, הנמשכים שעתיים, כבר ירדו כשבא ר׳ לייזר אל אולם הכניסה וראה את המון התלמידים הממתין לו, ומיד החל למסור שיעור</w:t>
      </w:r>
      <w:bookmarkStart w:id="4681" w:name="b4_text126"/>
      <w:bookmarkEnd w:id="4681"/>
      <w:r>
        <w:rPr>
          <w:sz w:val="18"/>
          <w:szCs w:val="18"/>
          <w:vertAlign w:val="superscript"/>
          <w:rtl/>
        </w:rPr>
        <w:fldChar w:fldCharType="begin" w:dirty="true"/>
      </w:r>
      <w:r>
        <w:rPr>
          <w:sz w:val="18"/>
          <w:szCs w:val="18"/>
          <w:vertAlign w:val="superscript"/>
          <w:rtl/>
        </w:rPr>
        <w:instrText xml:space="preserve"> REF b4_note126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126</w:t>
      </w:r>
      <w:r>
        <w:rPr>
          <w:sz w:val="18"/>
          <w:szCs w:val="18"/>
          <w:vertAlign w:val="superscript"/>
          <w:rtl/>
        </w:rPr>
        <w:fldChar w:fldCharType="end"/>
      </w:r>
      <w:r>
        <w:rPr>
          <w:rtl/>
        </w:rPr>
        <w:t xml:space="preserve">. ראש ישיבת </w:t>
      </w:r>
      <w:proofErr w:type="spellStart"/>
      <w:r>
        <w:rPr>
          <w:rtl/>
        </w:rPr>
        <w:t>טלז</w:t>
      </w:r>
      <w:proofErr w:type="spellEnd"/>
      <w:r>
        <w:rPr>
          <w:rtl/>
        </w:rPr>
        <w:t xml:space="preserve"> שקע כל כך בשיעורו, עד ששב להרגלו לסובב את שעון הכיס בשרשרתו הזהובה תוך כדי דיבורו הנלהב.</w:t>
      </w:r>
    </w:p>
    <w:bookmarkStart w:id="4682" w:name="b4_note126"/>
    <w:p w14:paraId="74E0B8DD" w14:textId="77777777" w:rsidR="00AB3647" w:rsidRDefault="00000000" w:rsidP="007923E9">
      <w:pPr>
        <w:spacing w:before="120" w:after="100" w:line="276" w:lineRule="auto"/>
        <w:jc w:val="both"/>
      </w:pPr>
      <w:r>
        <w:fldChar w:fldCharType="begin" w:dirty="true"/>
      </w:r>
      <w:r>
        <w:instrText>HYPERLINK \l "b4_text126" \h</w:instrText>
      </w:r>
      <w:r>
        <w:fldChar w:fldCharType="separate"/>
      </w:r>
      <w:r>
        <w:rPr>
          <w:b/>
          <w:bCs/>
          <w:rtl/>
        </w:rPr>
        <w:t>126</w:t>
      </w:r>
      <w:r>
        <w:rPr>
          <w:b/>
          <w:bCs/>
        </w:rPr>
        <w:fldChar w:fldCharType="end"/>
      </w:r>
      <w:bookmarkEnd w:id="4682"/>
      <w:r>
        <w:rPr>
          <w:rtl/>
        </w:rPr>
        <w:t xml:space="preserve"> אבי הזכיר זאת בחורף תשמ״ג, בשמחת בר המצווה של אחד מצאצאי ר׳ לייזר גורדון, ואמר שהדבר “</w:t>
      </w:r>
      <w:proofErr w:type="spellStart"/>
      <w:r>
        <w:rPr>
          <w:rtl/>
        </w:rPr>
        <w:t>געוואלדיג</w:t>
      </w:r>
      <w:proofErr w:type="spellEnd"/>
      <w:r>
        <w:rPr>
          <w:rtl/>
        </w:rPr>
        <w:t xml:space="preserve"> [אדיר]”. בדמעות התרגשות אמר אבי שבשעה ששמע את שיעורו של ר׳ לייזר, לא היה מאמין ולא מעלה בדעתו שכעבור שבעים ושבע שנים יראה את צאצאו של הגאון הגדול בדור החמישי, לאחר שהכיר אישית כל חוליה בשלשלת הדורות: החתן ר׳ יוסף לייב בלוך, בנו ר׳ זלמן בלוך, חתנו ר׳ מרדכי </w:t>
      </w:r>
      <w:proofErr w:type="spellStart"/>
      <w:r>
        <w:rPr>
          <w:rtl/>
        </w:rPr>
        <w:t>גיפטר</w:t>
      </w:r>
      <w:proofErr w:type="spellEnd"/>
      <w:r>
        <w:rPr>
          <w:rtl/>
        </w:rPr>
        <w:t xml:space="preserve">, חתנו ר׳ </w:t>
      </w:r>
      <w:proofErr w:type="spellStart"/>
      <w:r>
        <w:rPr>
          <w:rtl/>
        </w:rPr>
        <w:t>אברהם־חיים</w:t>
      </w:r>
      <w:proofErr w:type="spellEnd"/>
      <w:r>
        <w:rPr>
          <w:rtl/>
        </w:rPr>
        <w:t xml:space="preserve"> </w:t>
      </w:r>
      <w:proofErr w:type="spellStart"/>
      <w:r>
        <w:rPr>
          <w:rtl/>
        </w:rPr>
        <w:t>פויער</w:t>
      </w:r>
      <w:proofErr w:type="spellEnd"/>
      <w:r>
        <w:rPr>
          <w:rtl/>
        </w:rPr>
        <w:t xml:space="preserve">, ונער בר המצווה, </w:t>
      </w:r>
      <w:proofErr w:type="spellStart"/>
      <w:r>
        <w:rPr>
          <w:rtl/>
        </w:rPr>
        <w:t>אליהו־מאיר</w:t>
      </w:r>
      <w:proofErr w:type="spellEnd"/>
      <w:r>
        <w:rPr>
          <w:rtl/>
        </w:rPr>
        <w:t>. “ריבונו של עולם זיכה אותי באריכות ימים כדי שאוכל לספר לדור הזה כיצד היו הדורות הקודמים – לגשר על הפער”, הכריז אז</w:t>
      </w:r>
      <w:bookmarkStart w:id="4683" w:name="_fnr3464"/>
      <w:r>
        <w:rPr>
          <w:vertAlign w:val="superscript"/>
          <w:rtl/>
        </w:rPr>
        <w:footnoteReference w:id="3472" w:customMarkFollows="0"/>
      </w:r>
      <w:bookmarkEnd w:id="4683"/>
      <w:r>
        <w:rPr>
          <w:rtl/>
        </w:rPr>
        <w:t>.</w:t>
      </w:r>
    </w:p>
    <w:p w14:paraId="6C20F523" w14:textId="77777777" w:rsidR="00AB3647" w:rsidRDefault="00000000" w:rsidP="007923E9">
      <w:pPr>
        <w:spacing w:after="120" w:line="276" w:lineRule="auto"/>
        <w:jc w:val="both"/>
      </w:pPr>
      <w:proofErr w:type="spellStart"/>
      <w:r>
        <w:rPr>
          <w:rtl/>
        </w:rPr>
        <w:t>בתשכ״ט</w:t>
      </w:r>
      <w:proofErr w:type="spellEnd"/>
      <w:r>
        <w:rPr>
          <w:rtl/>
        </w:rPr>
        <w:t xml:space="preserve"> השתתף ר׳ יחזקאל </w:t>
      </w:r>
      <w:proofErr w:type="spellStart"/>
      <w:r>
        <w:rPr>
          <w:rtl/>
        </w:rPr>
        <w:t>אברמסקי</w:t>
      </w:r>
      <w:proofErr w:type="spellEnd"/>
      <w:r>
        <w:rPr>
          <w:rtl/>
        </w:rPr>
        <w:t xml:space="preserve"> (תרמ״ו–תשל״ו) בשמחת בר המצווה של בני, בישיבה בירושלים. כשנכנס לראות את בית המדרש, הוזמן למסור שיעור ונענה מיד. כששאלה אותו </w:t>
      </w:r>
      <w:r>
        <w:rPr>
          <w:rtl/>
        </w:rPr>
        <w:lastRenderedPageBreak/>
        <w:t>הרבנית אחר כך מדוע התאמץ מעבר לכוחותיו כדי למסור שיעור, אמר: “כשאני רואה בית מדרש מלא בחורים, אני מוכרח לומר שיעור, כשם ששיכור מוכרח לשתות כשהוא רואה בקבוק ויסקי”. הדימוי מקורו ברבו ר׳ לייזר</w:t>
      </w:r>
      <w:bookmarkStart w:id="4684" w:name="_fnr3465"/>
      <w:r>
        <w:rPr>
          <w:vertAlign w:val="superscript"/>
          <w:rtl/>
        </w:rPr>
        <w:footnoteReference w:id="3473" w:customMarkFollows="0"/>
      </w:r>
      <w:bookmarkEnd w:id="4684"/>
      <w:r>
        <w:rPr>
          <w:rtl/>
        </w:rPr>
        <w:t xml:space="preserve">, שאצלו למד </w:t>
      </w:r>
      <w:proofErr w:type="spellStart"/>
      <w:r>
        <w:rPr>
          <w:rtl/>
        </w:rPr>
        <w:t>בטלז</w:t>
      </w:r>
      <w:proofErr w:type="spellEnd"/>
      <w:r>
        <w:rPr>
          <w:rtl/>
        </w:rPr>
        <w:t xml:space="preserve"> בשנים תרס״ד–תרס״ז.</w:t>
      </w:r>
    </w:p>
    <w:p w14:paraId="47692D7C" w14:textId="24DF53C6"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השומעים ידעו שאם יפסיקוהו בשאלות מתוך הקהל, הם עלולים לספוג את כעסו המוצדק אך החולף של ר׳ לייזר</w:t>
      </w:r>
      <w:bookmarkStart w:id="4685" w:name="b4_text127"/>
      <w:bookmarkEnd w:id="4685"/>
      <w:r>
        <w:rPr>
          <w:sz w:val="18"/>
          <w:szCs w:val="18"/>
          <w:vertAlign w:val="superscript"/>
          <w:rtl/>
        </w:rPr>
        <w:fldChar w:fldCharType="begin" w:dirty="true"/>
      </w:r>
      <w:r>
        <w:rPr>
          <w:sz w:val="18"/>
          <w:szCs w:val="18"/>
          <w:vertAlign w:val="superscript"/>
          <w:rtl/>
        </w:rPr>
        <w:instrText xml:space="preserve"> REF b4_note127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127</w:t>
      </w:r>
      <w:r>
        <w:rPr>
          <w:sz w:val="18"/>
          <w:szCs w:val="18"/>
          <w:vertAlign w:val="superscript"/>
          <w:rtl/>
        </w:rPr>
        <w:fldChar w:fldCharType="end"/>
      </w:r>
      <w:r>
        <w:rPr>
          <w:rtl/>
        </w:rPr>
        <w:t xml:space="preserve">; אבל אם עולה במוחו של אדם טענה חדה, מי יכול לכבוש אותה? הראשון שנכנס לתוך דבריו היה אהרן </w:t>
      </w:r>
      <w:proofErr w:type="spellStart"/>
      <w:r>
        <w:rPr>
          <w:rtl/>
        </w:rPr>
        <w:t>הסיסלוביצ׳ר</w:t>
      </w:r>
      <w:proofErr w:type="spellEnd"/>
      <w:r>
        <w:rPr>
          <w:rtl/>
        </w:rPr>
        <w:t xml:space="preserve"> העז מכנסת ישראל</w:t>
      </w:r>
      <w:bookmarkStart w:id="4686" w:name="b4_text128"/>
      <w:bookmarkEnd w:id="4686"/>
      <w:r>
        <w:rPr>
          <w:sz w:val="18"/>
          <w:szCs w:val="18"/>
          <w:vertAlign w:val="superscript"/>
          <w:rtl/>
        </w:rPr>
        <w:fldChar w:fldCharType="begin" w:dirty="true"/>
      </w:r>
      <w:r>
        <w:rPr>
          <w:sz w:val="18"/>
          <w:szCs w:val="18"/>
          <w:vertAlign w:val="superscript"/>
          <w:rtl/>
        </w:rPr>
        <w:instrText xml:space="preserve"> REF b4_note128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128</w:t>
      </w:r>
      <w:r>
        <w:rPr>
          <w:sz w:val="18"/>
          <w:szCs w:val="18"/>
          <w:vertAlign w:val="superscript"/>
          <w:rtl/>
        </w:rPr>
        <w:fldChar w:fldCharType="end"/>
      </w:r>
      <w:r>
        <w:rPr>
          <w:rtl/>
        </w:rPr>
        <w:t>. הנואם, בעודו מחפש במחשבתו תשובה מכרעת</w:t>
      </w:r>
      <w:bookmarkStart w:id="4687" w:name="b4_text129"/>
      <w:bookmarkEnd w:id="4687"/>
      <w:r>
        <w:rPr>
          <w:sz w:val="18"/>
          <w:szCs w:val="18"/>
          <w:vertAlign w:val="superscript"/>
          <w:rtl/>
        </w:rPr>
        <w:fldChar w:fldCharType="begin" w:dirty="true"/>
      </w:r>
      <w:r>
        <w:rPr>
          <w:sz w:val="18"/>
          <w:szCs w:val="18"/>
          <w:vertAlign w:val="superscript"/>
          <w:rtl/>
        </w:rPr>
        <w:instrText xml:space="preserve"> REF b4_note129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129</w:t>
      </w:r>
      <w:r>
        <w:rPr>
          <w:sz w:val="18"/>
          <w:szCs w:val="18"/>
          <w:vertAlign w:val="superscript"/>
          <w:rtl/>
        </w:rPr>
        <w:fldChar w:fldCharType="end"/>
      </w:r>
      <w:r>
        <w:rPr>
          <w:rtl/>
        </w:rPr>
        <w:t xml:space="preserve"> לטענת הבחור, הגיב: “דו </w:t>
      </w:r>
      <w:proofErr w:type="spellStart"/>
      <w:r>
        <w:rPr>
          <w:rtl/>
        </w:rPr>
        <w:t>ביסט</w:t>
      </w:r>
      <w:proofErr w:type="spellEnd"/>
      <w:r>
        <w:rPr>
          <w:rtl/>
        </w:rPr>
        <w:t xml:space="preserve"> א </w:t>
      </w:r>
      <w:proofErr w:type="spellStart"/>
      <w:r>
        <w:rPr>
          <w:rtl/>
        </w:rPr>
        <w:t>שייגעץ</w:t>
      </w:r>
      <w:proofErr w:type="spellEnd"/>
      <w:r>
        <w:rPr>
          <w:rtl/>
        </w:rPr>
        <w:t xml:space="preserve">; דו </w:t>
      </w:r>
      <w:proofErr w:type="spellStart"/>
      <w:r>
        <w:rPr>
          <w:rtl/>
        </w:rPr>
        <w:t>פלוידערסט</w:t>
      </w:r>
      <w:proofErr w:type="spellEnd"/>
      <w:r>
        <w:rPr>
          <w:rtl/>
        </w:rPr>
        <w:t xml:space="preserve"> ווי א </w:t>
      </w:r>
      <w:proofErr w:type="spellStart"/>
      <w:r>
        <w:rPr>
          <w:rtl/>
        </w:rPr>
        <w:t>שייגעץ</w:t>
      </w:r>
      <w:proofErr w:type="spellEnd"/>
      <w:r>
        <w:rPr>
          <w:rtl/>
        </w:rPr>
        <w:t xml:space="preserve"> [אתה שייגעץ</w:t>
      </w:r>
      <w:bookmarkStart w:id="4688" w:name="b4_text130"/>
      <w:bookmarkEnd w:id="4688"/>
      <w:r>
        <w:rPr>
          <w:sz w:val="18"/>
          <w:szCs w:val="18"/>
          <w:vertAlign w:val="superscript"/>
          <w:rtl/>
        </w:rPr>
        <w:fldChar w:fldCharType="begin" w:dirty="true"/>
      </w:r>
      <w:r>
        <w:rPr>
          <w:sz w:val="18"/>
          <w:szCs w:val="18"/>
          <w:vertAlign w:val="superscript"/>
          <w:rtl/>
        </w:rPr>
        <w:instrText xml:space="preserve"> REF b4_note130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130</w:t>
      </w:r>
      <w:r>
        <w:rPr>
          <w:sz w:val="18"/>
          <w:szCs w:val="18"/>
          <w:vertAlign w:val="superscript"/>
          <w:rtl/>
        </w:rPr>
        <w:fldChar w:fldCharType="end"/>
      </w:r>
      <w:r>
        <w:rPr>
          <w:rtl/>
        </w:rPr>
        <w:t>; אתה מפטפט כמו שייגעץ</w:t>
      </w:r>
      <w:r>
        <w:rPr>
          <w:sz w:val="18"/>
          <w:szCs w:val="18"/>
          <w:vertAlign w:val="superscript"/>
          <w:rtl/>
        </w:rPr>
        <w:fldChar w:fldCharType="begin" w:dirty="true"/>
      </w:r>
      <w:r>
        <w:rPr>
          <w:sz w:val="18"/>
          <w:szCs w:val="18"/>
          <w:vertAlign w:val="superscript"/>
          <w:rtl/>
        </w:rPr>
        <w:instrText xml:space="preserve"> REF b4_note130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130</w:t>
      </w:r>
      <w:r>
        <w:rPr>
          <w:sz w:val="18"/>
          <w:szCs w:val="18"/>
          <w:vertAlign w:val="superscript"/>
          <w:rtl/>
        </w:rPr>
        <w:fldChar w:fldCharType="end"/>
      </w:r>
      <w:r>
        <w:rPr>
          <w:rtl/>
        </w:rPr>
        <w:t>]!” איש לא נפגע מדרכו של ר׳ לייזר להגן על חידושיו מפני התקפה</w:t>
      </w:r>
      <w:bookmarkStart w:id="4689" w:name="b4_text131"/>
      <w:bookmarkEnd w:id="4689"/>
      <w:r>
        <w:rPr>
          <w:sz w:val="18"/>
          <w:szCs w:val="18"/>
          <w:vertAlign w:val="superscript"/>
          <w:rtl/>
        </w:rPr>
        <w:fldChar w:fldCharType="begin" w:dirty="true"/>
      </w:r>
      <w:r>
        <w:rPr>
          <w:sz w:val="18"/>
          <w:szCs w:val="18"/>
          <w:vertAlign w:val="superscript"/>
          <w:rtl/>
        </w:rPr>
        <w:instrText xml:space="preserve"> REF b4_note131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131</w:t>
      </w:r>
      <w:r>
        <w:rPr>
          <w:sz w:val="18"/>
          <w:szCs w:val="18"/>
          <w:vertAlign w:val="superscript"/>
          <w:rtl/>
        </w:rPr>
        <w:fldChar w:fldCharType="end"/>
      </w:r>
      <w:r>
        <w:rPr>
          <w:rtl/>
        </w:rPr>
        <w:t>, מפני שלא היה ארס בדבריו</w:t>
      </w:r>
      <w:bookmarkStart w:id="4690" w:name="b4_text132"/>
      <w:bookmarkEnd w:id="4690"/>
      <w:r>
        <w:rPr>
          <w:sz w:val="18"/>
          <w:szCs w:val="18"/>
          <w:vertAlign w:val="superscript"/>
          <w:rtl/>
        </w:rPr>
        <w:fldChar w:fldCharType="begin" w:dirty="true"/>
      </w:r>
      <w:r>
        <w:rPr>
          <w:sz w:val="18"/>
          <w:szCs w:val="18"/>
          <w:vertAlign w:val="superscript"/>
          <w:rtl/>
        </w:rPr>
        <w:instrText xml:space="preserve"> REF b4_note132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 xml:space="preserve">132 </w:t>
      </w:r>
      <w:r>
        <w:rPr>
          <w:sz w:val="18"/>
          <w:szCs w:val="18"/>
          <w:vertAlign w:val="superscript"/>
          <w:rtl/>
        </w:rPr>
        <w:fldChar w:fldCharType="end"/>
      </w:r>
      <w:r>
        <w:rPr>
          <w:rtl/>
        </w:rPr>
        <w:t xml:space="preserve">; זו הייתה דרכו לבטא את התלהבותו שאין לה גבול </w:t>
      </w:r>
      <w:proofErr w:type="spellStart"/>
      <w:r>
        <w:rPr>
          <w:rtl/>
        </w:rPr>
        <w:t>ל“מלחמתה</w:t>
      </w:r>
      <w:proofErr w:type="spellEnd"/>
      <w:r>
        <w:rPr>
          <w:rtl/>
        </w:rPr>
        <w:t xml:space="preserve"> של תורה”</w:t>
      </w:r>
      <w:bookmarkStart w:id="4691" w:name="b4_text133"/>
      <w:bookmarkEnd w:id="4691"/>
      <w:r>
        <w:rPr>
          <w:sz w:val="18"/>
          <w:szCs w:val="18"/>
          <w:vertAlign w:val="superscript"/>
          <w:rtl/>
        </w:rPr>
        <w:fldChar w:fldCharType="begin" w:dirty="true"/>
      </w:r>
      <w:r>
        <w:rPr>
          <w:sz w:val="18"/>
          <w:szCs w:val="18"/>
          <w:vertAlign w:val="superscript"/>
          <w:rtl/>
        </w:rPr>
        <w:instrText xml:space="preserve"> REF b4_note133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133</w:t>
      </w:r>
      <w:r>
        <w:rPr>
          <w:sz w:val="18"/>
          <w:szCs w:val="18"/>
          <w:vertAlign w:val="superscript"/>
          <w:rtl/>
        </w:rPr>
        <w:fldChar w:fldCharType="end"/>
      </w:r>
      <w:r>
        <w:rPr>
          <w:rtl/>
        </w:rPr>
        <w:t>.</w:t>
      </w:r>
    </w:p>
    <w:bookmarkStart w:id="4692" w:name="b4_note127"/>
    <w:p w14:paraId="2902CBEF" w14:textId="77777777" w:rsidR="00AB3647" w:rsidRDefault="00000000" w:rsidP="007923E9">
      <w:pPr>
        <w:spacing w:before="120" w:after="100" w:line="276" w:lineRule="auto"/>
        <w:jc w:val="both"/>
      </w:pPr>
      <w:r>
        <w:fldChar w:fldCharType="begin" w:dirty="true"/>
      </w:r>
      <w:r>
        <w:instrText>HYPERLINK \l "b4_text127" \h</w:instrText>
      </w:r>
      <w:r>
        <w:fldChar w:fldCharType="separate"/>
      </w:r>
      <w:r>
        <w:rPr>
          <w:b/>
          <w:bCs/>
          <w:rtl/>
        </w:rPr>
        <w:t>127</w:t>
      </w:r>
      <w:r>
        <w:rPr>
          <w:b/>
          <w:bCs/>
        </w:rPr>
        <w:fldChar w:fldCharType="end"/>
      </w:r>
      <w:bookmarkEnd w:id="4692"/>
      <w:r>
        <w:rPr>
          <w:rtl/>
        </w:rPr>
        <w:t xml:space="preserve"> בזיכרונותיו של ברוך צוקרמן</w:t>
      </w:r>
      <w:bookmarkStart w:id="4693" w:name="_fnr3466"/>
      <w:r>
        <w:rPr>
          <w:vertAlign w:val="superscript"/>
          <w:rtl/>
        </w:rPr>
        <w:footnoteReference w:id="3474" w:customMarkFollows="0"/>
      </w:r>
      <w:bookmarkEnd w:id="4693"/>
      <w:r>
        <w:rPr>
          <w:rtl/>
        </w:rPr>
        <w:t xml:space="preserve"> נאמר: “הביטוי המתון ביותר של ר׳ לייזר כלפי מי שענה תשובה שגויה על שאלה ששאל היה: ‘</w:t>
      </w:r>
      <w:proofErr w:type="spellStart"/>
      <w:r>
        <w:rPr>
          <w:rtl/>
        </w:rPr>
        <w:t>קריך</w:t>
      </w:r>
      <w:proofErr w:type="spellEnd"/>
      <w:r>
        <w:rPr>
          <w:rtl/>
        </w:rPr>
        <w:t xml:space="preserve">, </w:t>
      </w:r>
      <w:proofErr w:type="spellStart"/>
      <w:r>
        <w:rPr>
          <w:rtl/>
        </w:rPr>
        <w:t>קריך</w:t>
      </w:r>
      <w:proofErr w:type="spellEnd"/>
      <w:r>
        <w:rPr>
          <w:rtl/>
        </w:rPr>
        <w:t xml:space="preserve">, </w:t>
      </w:r>
      <w:proofErr w:type="spellStart"/>
      <w:r>
        <w:rPr>
          <w:rtl/>
        </w:rPr>
        <w:t>קריך</w:t>
      </w:r>
      <w:proofErr w:type="spellEnd"/>
      <w:r>
        <w:rPr>
          <w:rtl/>
        </w:rPr>
        <w:t xml:space="preserve"> </w:t>
      </w:r>
      <w:proofErr w:type="spellStart"/>
      <w:r>
        <w:rPr>
          <w:rtl/>
        </w:rPr>
        <w:t>אויף</w:t>
      </w:r>
      <w:proofErr w:type="spellEnd"/>
      <w:r>
        <w:rPr>
          <w:rtl/>
        </w:rPr>
        <w:t xml:space="preserve"> די </w:t>
      </w:r>
      <w:proofErr w:type="spellStart"/>
      <w:r>
        <w:rPr>
          <w:rtl/>
        </w:rPr>
        <w:t>גלאטע</w:t>
      </w:r>
      <w:proofErr w:type="spellEnd"/>
      <w:r>
        <w:rPr>
          <w:rtl/>
        </w:rPr>
        <w:t xml:space="preserve"> </w:t>
      </w:r>
      <w:proofErr w:type="spellStart"/>
      <w:r>
        <w:rPr>
          <w:rtl/>
        </w:rPr>
        <w:t>ווענט</w:t>
      </w:r>
      <w:proofErr w:type="spellEnd"/>
      <w:r>
        <w:rPr>
          <w:rtl/>
        </w:rPr>
        <w:t xml:space="preserve">, </w:t>
      </w:r>
      <w:proofErr w:type="spellStart"/>
      <w:r>
        <w:rPr>
          <w:rtl/>
        </w:rPr>
        <w:t>וועסט</w:t>
      </w:r>
      <w:proofErr w:type="spellEnd"/>
      <w:r>
        <w:rPr>
          <w:rtl/>
        </w:rPr>
        <w:t xml:space="preserve"> </w:t>
      </w:r>
      <w:proofErr w:type="spellStart"/>
      <w:r>
        <w:rPr>
          <w:rtl/>
        </w:rPr>
        <w:t>אראפפאלען</w:t>
      </w:r>
      <w:proofErr w:type="spellEnd"/>
      <w:r>
        <w:rPr>
          <w:rtl/>
        </w:rPr>
        <w:t xml:space="preserve"> און </w:t>
      </w:r>
      <w:proofErr w:type="spellStart"/>
      <w:r>
        <w:rPr>
          <w:rtl/>
        </w:rPr>
        <w:t>צושלאגען</w:t>
      </w:r>
      <w:proofErr w:type="spellEnd"/>
      <w:r>
        <w:rPr>
          <w:rtl/>
        </w:rPr>
        <w:t xml:space="preserve"> דיין </w:t>
      </w:r>
      <w:proofErr w:type="spellStart"/>
      <w:r>
        <w:rPr>
          <w:rtl/>
        </w:rPr>
        <w:t>פויערשע</w:t>
      </w:r>
      <w:proofErr w:type="spellEnd"/>
      <w:r>
        <w:rPr>
          <w:rtl/>
        </w:rPr>
        <w:t xml:space="preserve"> </w:t>
      </w:r>
      <w:proofErr w:type="spellStart"/>
      <w:r>
        <w:rPr>
          <w:rtl/>
        </w:rPr>
        <w:t>קאפ</w:t>
      </w:r>
      <w:proofErr w:type="spellEnd"/>
      <w:r>
        <w:rPr>
          <w:rtl/>
        </w:rPr>
        <w:t xml:space="preserve"> [טפס, טפס, טפס על הקירות החלקים, תיפול ותפגע בראשך האיכרי – הטיפש]!’” אסף</w:t>
      </w:r>
      <w:bookmarkStart w:id="4694" w:name="_fnr3467"/>
      <w:r>
        <w:rPr>
          <w:vertAlign w:val="superscript"/>
          <w:rtl/>
        </w:rPr>
        <w:footnoteReference w:id="3475" w:customMarkFollows="0"/>
      </w:r>
      <w:bookmarkEnd w:id="4694"/>
      <w:r>
        <w:rPr>
          <w:rtl/>
        </w:rPr>
        <w:t xml:space="preserve"> מונה עוד כמה פנינים שהיה ר׳ לייזר משמיע במקרים כאלה: “אתה בור דאורייתא [בור בתורה, בור גמור]; אינך יודע מה אתה אומר; לתינוק בן יומו יש יותר שכל ממך”. ואסף מוסיף: “אך שום תלמיד לא נפגע מכך מעולם. כולם ידעו שהוא מדבר אליהם כאב לילדיו, שמח בהצלחתם וגוער באיוולתם, ודבריו לא העליבו ולא פגעו”.</w:t>
      </w:r>
    </w:p>
    <w:p w14:paraId="6B565A27" w14:textId="77777777" w:rsidR="00AB3647" w:rsidRDefault="00000000" w:rsidP="007923E9">
      <w:pPr>
        <w:spacing w:after="120" w:line="276" w:lineRule="auto"/>
        <w:jc w:val="both"/>
      </w:pPr>
      <w:r>
        <w:rPr>
          <w:rtl/>
        </w:rPr>
        <w:t xml:space="preserve">גם בוויכוח עם ועד התלמידים, שניסה להניאו מלהביא את ר׳ שמואל </w:t>
      </w:r>
      <w:proofErr w:type="spellStart"/>
      <w:r>
        <w:rPr>
          <w:rtl/>
        </w:rPr>
        <w:t>פונדילער</w:t>
      </w:r>
      <w:proofErr w:type="spellEnd"/>
      <w:r>
        <w:rPr>
          <w:rtl/>
        </w:rPr>
        <w:t xml:space="preserve"> ואת קבוצת </w:t>
      </w:r>
      <w:proofErr w:type="spellStart"/>
      <w:r>
        <w:rPr>
          <w:rtl/>
        </w:rPr>
        <w:t>סלבודקה</w:t>
      </w:r>
      <w:bookmarkStart w:id="4695" w:name="_fnr3468"/>
      <w:proofErr w:type="spellEnd"/>
      <w:r>
        <w:rPr>
          <w:vertAlign w:val="superscript"/>
          <w:rtl/>
        </w:rPr>
        <w:footnoteReference w:id="3476" w:customMarkFollows="0"/>
      </w:r>
      <w:bookmarkEnd w:id="4695"/>
      <w:r>
        <w:rPr>
          <w:rtl/>
        </w:rPr>
        <w:t xml:space="preserve">, לא דקדק ר׳ לייזר בבחירת מילותיו. כך מתאר </w:t>
      </w:r>
      <w:proofErr w:type="spellStart"/>
      <w:r>
        <w:rPr>
          <w:rtl/>
        </w:rPr>
        <w:t>שולמן</w:t>
      </w:r>
      <w:bookmarkStart w:id="4696" w:name="_fnr3469"/>
      <w:proofErr w:type="spellEnd"/>
      <w:r>
        <w:rPr>
          <w:vertAlign w:val="superscript"/>
          <w:rtl/>
        </w:rPr>
        <w:footnoteReference w:id="3477" w:customMarkFollows="0"/>
      </w:r>
      <w:bookmarkEnd w:id="4696"/>
      <w:r>
        <w:rPr>
          <w:rtl/>
        </w:rPr>
        <w:t xml:space="preserve"> את העימות בין ר׳ לייזר לבין משלחת הוועד, שמנתה שני חברים וניסתה להזהירו מפני “סכנת המוסר”: “מיד הופיע ר׳ לייזר, חוור, נרגש וזועם. בישיבה השתררה דממת בית הקברות. נשמעו אנחות </w:t>
      </w:r>
      <w:proofErr w:type="spellStart"/>
      <w:r>
        <w:rPr>
          <w:rtl/>
        </w:rPr>
        <w:t>מלבו</w:t>
      </w:r>
      <w:proofErr w:type="spellEnd"/>
      <w:r>
        <w:rPr>
          <w:rtl/>
        </w:rPr>
        <w:t xml:space="preserve"> של הגאון הזקן. ‘אתם תלמדוני? אתם תשגיחו עלי? גידלתי כל כך הרבה דורות בישיבה. כל הרבנים הצעירים בפולין ובליטא הם תלמידי ומי מכיר אתכם? אתם טורקים. היכן הייתם כשבניתי את הישיבה? למה לא עזרו </w:t>
      </w:r>
      <w:proofErr w:type="spellStart"/>
      <w:r>
        <w:rPr>
          <w:rtl/>
        </w:rPr>
        <w:t>הועדים</w:t>
      </w:r>
      <w:proofErr w:type="spellEnd"/>
      <w:r>
        <w:rPr>
          <w:rtl/>
        </w:rPr>
        <w:t xml:space="preserve"> בימים ההם?’ והוא התחיל לצעוק ולרקוע ברגליו ולבסוף פרץ בבכי. אז הופיע בשם כל הישיבה בחור מן </w:t>
      </w:r>
      <w:proofErr w:type="spellStart"/>
      <w:r>
        <w:rPr>
          <w:rtl/>
        </w:rPr>
        <w:t>השעור</w:t>
      </w:r>
      <w:proofErr w:type="spellEnd"/>
      <w:r>
        <w:rPr>
          <w:rtl/>
        </w:rPr>
        <w:t xml:space="preserve"> החמישי ושמו ויסוקר: ‘כל הימים היינו נאמנים להנהלת הישיבה בידי ר׳ לייזר. הוא אבינו, רבנו הגדול, המקרב אותנו למקורות הראשונים של התורה. אין איש מאתנו פוגע בכבודו של הגאון. כל אחד מאתנו רואה כתקופת האושר בחייו את הימים שלמד בישיבת </w:t>
      </w:r>
      <w:proofErr w:type="spellStart"/>
      <w:r>
        <w:rPr>
          <w:rtl/>
        </w:rPr>
        <w:t>טלז</w:t>
      </w:r>
      <w:proofErr w:type="spellEnd"/>
      <w:r>
        <w:rPr>
          <w:rtl/>
        </w:rPr>
        <w:t xml:space="preserve">, אולם לא נסבול את המוסר בקירות </w:t>
      </w:r>
      <w:r>
        <w:rPr>
          <w:rtl/>
        </w:rPr>
        <w:lastRenderedPageBreak/>
        <w:t xml:space="preserve">הישיבה, כי המוסר בנוסח </w:t>
      </w:r>
      <w:proofErr w:type="spellStart"/>
      <w:r>
        <w:rPr>
          <w:rtl/>
        </w:rPr>
        <w:t>סלובודקה</w:t>
      </w:r>
      <w:proofErr w:type="spellEnd"/>
      <w:r>
        <w:rPr>
          <w:rtl/>
        </w:rPr>
        <w:t xml:space="preserve"> גורר אחריו לחץ, תקיפות, בילוש ובדיקת הנפש</w:t>
      </w:r>
      <w:bookmarkStart w:id="4697" w:name="_fnr3470"/>
      <w:r>
        <w:rPr>
          <w:vertAlign w:val="superscript"/>
          <w:rtl/>
        </w:rPr>
        <w:footnoteReference w:id="3478" w:customMarkFollows="0"/>
      </w:r>
      <w:bookmarkEnd w:id="4697"/>
      <w:r>
        <w:rPr>
          <w:rtl/>
        </w:rPr>
        <w:t xml:space="preserve"> של כל </w:t>
      </w:r>
      <w:proofErr w:type="spellStart"/>
      <w:r>
        <w:rPr>
          <w:rtl/>
        </w:rPr>
        <w:t>בחור־ישיבה</w:t>
      </w:r>
      <w:proofErr w:type="spellEnd"/>
      <w:r>
        <w:rPr>
          <w:rtl/>
        </w:rPr>
        <w:t xml:space="preserve">. אנחנו נושאים באחריות הישיבה כמו הגאון רבנו ולא נרשה כניסת המוסר שהוא כרקב בגוף הישיבה, הישיבה </w:t>
      </w:r>
      <w:proofErr w:type="spellStart"/>
      <w:r>
        <w:rPr>
          <w:rtl/>
        </w:rPr>
        <w:t>הותיקה</w:t>
      </w:r>
      <w:proofErr w:type="spellEnd"/>
      <w:r>
        <w:rPr>
          <w:rtl/>
        </w:rPr>
        <w:t xml:space="preserve"> שלנו </w:t>
      </w:r>
      <w:proofErr w:type="spellStart"/>
      <w:r>
        <w:rPr>
          <w:rtl/>
        </w:rPr>
        <w:t>בטלז</w:t>
      </w:r>
      <w:proofErr w:type="spellEnd"/>
      <w:r>
        <w:rPr>
          <w:rtl/>
        </w:rPr>
        <w:t>.’ בשעת נאומו של ויסוקר חזר ר׳ לייזר לאיתנו, קם ואמר: ‘כולכם הדיוטים ופראים</w:t>
      </w:r>
      <w:bookmarkStart w:id="4698" w:name="_fnr3471"/>
      <w:r>
        <w:rPr>
          <w:vertAlign w:val="superscript"/>
          <w:rtl/>
        </w:rPr>
        <w:footnoteReference w:id="3479" w:customMarkFollows="0"/>
      </w:r>
      <w:bookmarkEnd w:id="4698"/>
      <w:r>
        <w:rPr>
          <w:rtl/>
        </w:rPr>
        <w:t>, אגרש את כולכם ואבחר הרכב חדש של בחירים. את הנבחרים שלכם אגרש מן הישיבה ומן העיר. העיר תשמע לקולי ולא לקולכם, פרחחים גסים</w:t>
      </w:r>
      <w:bookmarkStart w:id="4699" w:name="_fnr3472"/>
      <w:r>
        <w:rPr>
          <w:vertAlign w:val="superscript"/>
          <w:rtl/>
        </w:rPr>
        <w:footnoteReference w:id="3480" w:customMarkFollows="0"/>
      </w:r>
      <w:bookmarkEnd w:id="4699"/>
      <w:r>
        <w:rPr>
          <w:rtl/>
        </w:rPr>
        <w:t xml:space="preserve">.’ והתחיל שוב לרקוע ברגליו ולדפוק באגרופים על השולחן: ‘המוסר יחדור לישיבה, ונבחריכם לא יועילו לכם. בקרוב יבוא ר׳ שמואל </w:t>
      </w:r>
      <w:proofErr w:type="spellStart"/>
      <w:r>
        <w:rPr>
          <w:rtl/>
        </w:rPr>
        <w:t>מראדין</w:t>
      </w:r>
      <w:proofErr w:type="spellEnd"/>
      <w:r>
        <w:rPr>
          <w:rtl/>
        </w:rPr>
        <w:t xml:space="preserve"> [</w:t>
      </w:r>
      <w:proofErr w:type="spellStart"/>
      <w:r>
        <w:rPr>
          <w:rtl/>
        </w:rPr>
        <w:t>פונדילער</w:t>
      </w:r>
      <w:proofErr w:type="spellEnd"/>
      <w:r>
        <w:rPr>
          <w:rtl/>
        </w:rPr>
        <w:t xml:space="preserve">] ויביא אתו את </w:t>
      </w:r>
      <w:proofErr w:type="spellStart"/>
      <w:r>
        <w:rPr>
          <w:rtl/>
        </w:rPr>
        <w:t>המוסרניקים</w:t>
      </w:r>
      <w:proofErr w:type="spellEnd"/>
      <w:r>
        <w:rPr>
          <w:rtl/>
        </w:rPr>
        <w:t xml:space="preserve"> ואתכם יגרש ככלבים</w:t>
      </w:r>
      <w:bookmarkStart w:id="4700" w:name="_fnr3473"/>
      <w:r>
        <w:rPr>
          <w:vertAlign w:val="superscript"/>
          <w:rtl/>
        </w:rPr>
        <w:footnoteReference w:id="3481" w:customMarkFollows="0"/>
      </w:r>
      <w:bookmarkEnd w:id="4700"/>
      <w:r>
        <w:rPr>
          <w:rtl/>
        </w:rPr>
        <w:t>.’”</w:t>
      </w:r>
    </w:p>
    <w:p w14:paraId="6ACD6B33" w14:textId="77777777" w:rsidR="00AB3647" w:rsidRDefault="00000000" w:rsidP="007923E9">
      <w:pPr>
        <w:spacing w:after="120" w:line="276" w:lineRule="auto"/>
        <w:jc w:val="both"/>
      </w:pPr>
      <w:r>
        <w:rPr>
          <w:rtl/>
        </w:rPr>
        <w:t>אסף</w:t>
      </w:r>
      <w:bookmarkStart w:id="4701" w:name="_fnr3474"/>
      <w:r>
        <w:rPr>
          <w:vertAlign w:val="superscript"/>
          <w:rtl/>
        </w:rPr>
        <w:footnoteReference w:id="3482" w:customMarkFollows="0"/>
      </w:r>
      <w:bookmarkEnd w:id="4701"/>
      <w:r>
        <w:rPr>
          <w:rtl/>
        </w:rPr>
        <w:t xml:space="preserve"> מספר על עימות נוסף בין הוועד </w:t>
      </w:r>
      <w:proofErr w:type="spellStart"/>
      <w:r>
        <w:rPr>
          <w:rtl/>
        </w:rPr>
        <w:t>לר</w:t>
      </w:r>
      <w:proofErr w:type="spellEnd"/>
      <w:r>
        <w:rPr>
          <w:rtl/>
        </w:rPr>
        <w:t xml:space="preserve">׳ לייזר גורדון: “לעיתים העלה הוועד דרישות מופלגות למדי. זכורני שפעם נכנסנו [לבית] הרב ורצינו לשכנעו שלא לסלק בחורי ישיבה ‘חשודים’, או לסרב לקבלם מחדש, בלי להתייעץ תחילה עם הוועד. כדי </w:t>
      </w:r>
      <w:proofErr w:type="spellStart"/>
      <w:r>
        <w:rPr>
          <w:rtl/>
        </w:rPr>
        <w:t>להפיס</w:t>
      </w:r>
      <w:proofErr w:type="spellEnd"/>
      <w:r>
        <w:rPr>
          <w:rtl/>
        </w:rPr>
        <w:t xml:space="preserve"> את דעתו אמרנו לו: ‘רבנו, גם </w:t>
      </w:r>
      <w:proofErr w:type="spellStart"/>
      <w:r>
        <w:rPr>
          <w:rtl/>
        </w:rPr>
        <w:t>בסלבודקה</w:t>
      </w:r>
      <w:proofErr w:type="spellEnd"/>
      <w:r>
        <w:rPr>
          <w:rtl/>
        </w:rPr>
        <w:t xml:space="preserve"> יש לבחורים הגדולים השפעה מסוימת על ניהול ענייני הישיבה</w:t>
      </w:r>
      <w:bookmarkStart w:id="4702" w:name="_fnr3475"/>
      <w:r>
        <w:rPr>
          <w:vertAlign w:val="superscript"/>
          <w:rtl/>
        </w:rPr>
        <w:footnoteReference w:id="3483" w:customMarkFollows="0"/>
      </w:r>
      <w:bookmarkEnd w:id="4702"/>
      <w:r>
        <w:rPr>
          <w:rtl/>
        </w:rPr>
        <w:t xml:space="preserve">’. הוא השיב: ‘איך אתם משווים את </w:t>
      </w:r>
      <w:proofErr w:type="spellStart"/>
      <w:r>
        <w:rPr>
          <w:rtl/>
        </w:rPr>
        <w:t>טלז</w:t>
      </w:r>
      <w:proofErr w:type="spellEnd"/>
      <w:r>
        <w:rPr>
          <w:rtl/>
        </w:rPr>
        <w:t xml:space="preserve"> </w:t>
      </w:r>
      <w:proofErr w:type="spellStart"/>
      <w:r>
        <w:rPr>
          <w:rtl/>
        </w:rPr>
        <w:t>לסלבודקה</w:t>
      </w:r>
      <w:proofErr w:type="spellEnd"/>
      <w:r>
        <w:rPr>
          <w:rtl/>
        </w:rPr>
        <w:t xml:space="preserve">? </w:t>
      </w:r>
      <w:proofErr w:type="spellStart"/>
      <w:r>
        <w:rPr>
          <w:rtl/>
        </w:rPr>
        <w:t>בסלבודקה</w:t>
      </w:r>
      <w:proofErr w:type="spellEnd"/>
      <w:r>
        <w:rPr>
          <w:rtl/>
        </w:rPr>
        <w:t xml:space="preserve"> אין בחורים; יש בולי עץ! אילו אמר להם ר׳ </w:t>
      </w:r>
      <w:proofErr w:type="spellStart"/>
      <w:r>
        <w:rPr>
          <w:rtl/>
        </w:rPr>
        <w:t>נטע־הירש</w:t>
      </w:r>
      <w:proofErr w:type="spellEnd"/>
      <w:r>
        <w:rPr>
          <w:rtl/>
        </w:rPr>
        <w:t xml:space="preserve"> [הסבא </w:t>
      </w:r>
      <w:proofErr w:type="spellStart"/>
      <w:r>
        <w:rPr>
          <w:rtl/>
        </w:rPr>
        <w:t>מסלבודקה</w:t>
      </w:r>
      <w:proofErr w:type="spellEnd"/>
      <w:r>
        <w:rPr>
          <w:rtl/>
        </w:rPr>
        <w:t>] לקפוץ למים, היו קופצים למים</w:t>
      </w:r>
      <w:bookmarkStart w:id="4703" w:name="_fnr3476"/>
      <w:r>
        <w:rPr>
          <w:vertAlign w:val="superscript"/>
          <w:rtl/>
        </w:rPr>
        <w:footnoteReference w:id="3484" w:customMarkFollows="0"/>
      </w:r>
      <w:bookmarkEnd w:id="4703"/>
      <w:r>
        <w:rPr>
          <w:rtl/>
        </w:rPr>
        <w:t xml:space="preserve">. אבל בחורי </w:t>
      </w:r>
      <w:proofErr w:type="spellStart"/>
      <w:r>
        <w:rPr>
          <w:rtl/>
        </w:rPr>
        <w:t>טלז</w:t>
      </w:r>
      <w:proofErr w:type="spellEnd"/>
      <w:r>
        <w:rPr>
          <w:rtl/>
        </w:rPr>
        <w:t xml:space="preserve"> – לכל אחד דעה משלו’. אהבת הרב לתלמידיו וגאוותו בהם – למרות המרירות שגרמו לו מפעם לפעם – ניכרו בשיחה זו</w:t>
      </w:r>
      <w:bookmarkStart w:id="4704" w:name="_fnr3477"/>
      <w:r>
        <w:rPr>
          <w:vertAlign w:val="superscript"/>
          <w:rtl/>
        </w:rPr>
        <w:footnoteReference w:id="3485" w:customMarkFollows="0"/>
      </w:r>
      <w:bookmarkEnd w:id="4704"/>
      <w:r>
        <w:rPr>
          <w:rtl/>
        </w:rPr>
        <w:t>”.</w:t>
      </w:r>
    </w:p>
    <w:p w14:paraId="6596660E" w14:textId="77777777" w:rsidR="00AB3647" w:rsidRDefault="00000000" w:rsidP="007923E9">
      <w:pPr>
        <w:spacing w:after="120" w:line="276" w:lineRule="auto"/>
        <w:jc w:val="both"/>
      </w:pPr>
      <w:r>
        <w:rPr>
          <w:rtl/>
        </w:rPr>
        <w:t>גם “יובל המאה”</w:t>
      </w:r>
      <w:bookmarkStart w:id="4705" w:name="_fnr3478"/>
      <w:r>
        <w:rPr>
          <w:vertAlign w:val="superscript"/>
          <w:rtl/>
        </w:rPr>
        <w:footnoteReference w:id="3486" w:customMarkFollows="0"/>
      </w:r>
      <w:bookmarkEnd w:id="4705"/>
      <w:r>
        <w:rPr>
          <w:rtl/>
        </w:rPr>
        <w:t xml:space="preserve"> מספר שחברים חשובים בקהילת </w:t>
      </w:r>
      <w:proofErr w:type="spellStart"/>
      <w:r>
        <w:rPr>
          <w:rtl/>
        </w:rPr>
        <w:t>טלז</w:t>
      </w:r>
      <w:proofErr w:type="spellEnd"/>
      <w:r>
        <w:rPr>
          <w:rtl/>
        </w:rPr>
        <w:t xml:space="preserve"> התנגדו להכנסת המוסר לישיבה: “מסופר שר׳ </w:t>
      </w:r>
      <w:proofErr w:type="spellStart"/>
      <w:r>
        <w:rPr>
          <w:rtl/>
        </w:rPr>
        <w:t>קלמן־דוד</w:t>
      </w:r>
      <w:proofErr w:type="spellEnd"/>
      <w:r>
        <w:rPr>
          <w:rtl/>
        </w:rPr>
        <w:t xml:space="preserve"> אבל, אביו של ר׳ </w:t>
      </w:r>
      <w:proofErr w:type="spellStart"/>
      <w:r>
        <w:rPr>
          <w:rtl/>
        </w:rPr>
        <w:t>שלמה־זלמן</w:t>
      </w:r>
      <w:bookmarkStart w:id="4706" w:name="_fnr3479"/>
      <w:proofErr w:type="spellEnd"/>
      <w:r>
        <w:rPr>
          <w:vertAlign w:val="superscript"/>
          <w:rtl/>
        </w:rPr>
        <w:footnoteReference w:id="3487" w:customMarkFollows="0"/>
      </w:r>
      <w:bookmarkEnd w:id="4706"/>
      <w:r>
        <w:rPr>
          <w:rtl/>
        </w:rPr>
        <w:t xml:space="preserve">, רץ אל ר׳ לייזר” – כאשר הנהיג ר׳ לייזר לראשונה, בהשפעת חתנו ר׳ יוסף לייב בלוך, את לימוד המוסר בישיבה, </w:t>
      </w:r>
      <w:proofErr w:type="spellStart"/>
      <w:r>
        <w:rPr>
          <w:rtl/>
        </w:rPr>
        <w:t>בתרנ״ד</w:t>
      </w:r>
      <w:proofErr w:type="spellEnd"/>
      <w:r>
        <w:rPr>
          <w:rtl/>
        </w:rPr>
        <w:t xml:space="preserve">, בתקופה הקצרה שבה כיהן ר׳ </w:t>
      </w:r>
      <w:proofErr w:type="spellStart"/>
      <w:r>
        <w:rPr>
          <w:rtl/>
        </w:rPr>
        <w:t xml:space="preserve">בנצה־וועלוול</w:t>
      </w:r>
      <w:proofErr w:type="spellEnd"/>
      <w:r>
        <w:rPr>
          <w:rtl/>
        </w:rPr>
        <w:t xml:space="preserve"> </w:t>
      </w:r>
      <w:proofErr w:type="spellStart"/>
      <w:r>
        <w:rPr>
          <w:rtl/>
        </w:rPr>
        <w:t>קרניץ</w:t>
      </w:r>
      <w:proofErr w:type="spellEnd"/>
      <w:r>
        <w:rPr>
          <w:rtl/>
        </w:rPr>
        <w:t xml:space="preserve"> כמשגיח</w:t>
      </w:r>
      <w:bookmarkStart w:id="4707" w:name="_fnr3480"/>
      <w:r>
        <w:rPr>
          <w:vertAlign w:val="superscript"/>
          <w:rtl/>
        </w:rPr>
        <w:footnoteReference w:id="3488" w:customMarkFollows="0"/>
      </w:r>
      <w:bookmarkEnd w:id="4707"/>
      <w:r>
        <w:rPr>
          <w:rtl/>
        </w:rPr>
        <w:t xml:space="preserve"> – “והכריז: ‘הרב מביא חורבן גדול על הישיבה’”.</w:t>
      </w:r>
    </w:p>
    <w:bookmarkStart w:id="4708" w:name="b4_note128"/>
    <w:p w14:paraId="55D621E4" w14:textId="77777777" w:rsidR="00AB3647" w:rsidRDefault="00000000" w:rsidP="007923E9">
      <w:pPr>
        <w:spacing w:before="120" w:after="100" w:line="276" w:lineRule="auto"/>
        <w:jc w:val="both"/>
      </w:pPr>
      <w:r>
        <w:fldChar w:fldCharType="begin" w:dirty="true"/>
      </w:r>
      <w:r>
        <w:instrText>HYPERLINK \l "b4_text128" \h</w:instrText>
      </w:r>
      <w:r>
        <w:fldChar w:fldCharType="separate"/>
      </w:r>
      <w:r>
        <w:rPr>
          <w:b/>
          <w:bCs/>
          <w:rtl/>
        </w:rPr>
        <w:t>128</w:t>
      </w:r>
      <w:r>
        <w:rPr>
          <w:b/>
          <w:bCs/>
        </w:rPr>
        <w:fldChar w:fldCharType="end"/>
      </w:r>
      <w:bookmarkEnd w:id="4708"/>
      <w:r>
        <w:rPr>
          <w:rtl/>
        </w:rPr>
        <w:t xml:space="preserve"> השווה סעיף 2 בפרק 3, שבו מסופר שר׳ אהרן לא היסס להיכנס בדברים גם בשיעורו של ר׳ </w:t>
      </w:r>
      <w:proofErr w:type="spellStart"/>
      <w:r>
        <w:rPr>
          <w:rtl/>
        </w:rPr>
        <w:t>משה־מרדכי</w:t>
      </w:r>
      <w:proofErr w:type="spellEnd"/>
      <w:r>
        <w:rPr>
          <w:rtl/>
        </w:rPr>
        <w:t xml:space="preserve"> אפשטיין.</w:t>
      </w:r>
    </w:p>
    <w:bookmarkStart w:id="4709" w:name="b4_note129"/>
    <w:p w14:paraId="12DF1CDF" w14:textId="77777777" w:rsidR="00AB3647" w:rsidRDefault="00000000" w:rsidP="007923E9">
      <w:pPr>
        <w:spacing w:before="120" w:after="100" w:line="276" w:lineRule="auto"/>
        <w:jc w:val="both"/>
      </w:pPr>
      <w:r>
        <w:fldChar w:fldCharType="begin" w:dirty="true"/>
      </w:r>
      <w:r>
        <w:instrText>HYPERLINK \l "b4_text129" \h</w:instrText>
      </w:r>
      <w:r>
        <w:fldChar w:fldCharType="separate"/>
      </w:r>
      <w:r>
        <w:rPr>
          <w:b/>
          <w:bCs/>
          <w:rtl/>
        </w:rPr>
        <w:t>129</w:t>
      </w:r>
      <w:r>
        <w:rPr>
          <w:b/>
          <w:bCs/>
        </w:rPr>
        <w:fldChar w:fldCharType="end"/>
      </w:r>
      <w:bookmarkEnd w:id="4709"/>
      <w:r>
        <w:rPr>
          <w:rtl/>
        </w:rPr>
        <w:t xml:space="preserve"> השווה “פון </w:t>
      </w:r>
      <w:proofErr w:type="spellStart"/>
      <w:r>
        <w:rPr>
          <w:rtl/>
        </w:rPr>
        <w:t>וואלאזין</w:t>
      </w:r>
      <w:proofErr w:type="spellEnd"/>
      <w:r>
        <w:rPr>
          <w:rtl/>
        </w:rPr>
        <w:t xml:space="preserve"> </w:t>
      </w:r>
      <w:proofErr w:type="spellStart"/>
      <w:r>
        <w:rPr>
          <w:rtl/>
        </w:rPr>
        <w:t>ביז</w:t>
      </w:r>
      <w:proofErr w:type="spellEnd"/>
      <w:r>
        <w:rPr>
          <w:rtl/>
        </w:rPr>
        <w:t xml:space="preserve"> ירושלים”</w:t>
      </w:r>
      <w:bookmarkStart w:id="4710" w:name="_fnr3481"/>
      <w:r>
        <w:rPr>
          <w:vertAlign w:val="superscript"/>
          <w:rtl/>
        </w:rPr>
        <w:footnoteReference w:id="3489" w:customMarkFollows="0"/>
      </w:r>
      <w:bookmarkEnd w:id="4710"/>
      <w:r>
        <w:rPr>
          <w:rtl/>
        </w:rPr>
        <w:t>.</w:t>
      </w:r>
    </w:p>
    <w:bookmarkStart w:id="4711" w:name="b4_note130"/>
    <w:p w14:paraId="14633FDA" w14:textId="77777777" w:rsidR="00AB3647" w:rsidRDefault="00000000" w:rsidP="007923E9">
      <w:pPr>
        <w:spacing w:before="120" w:after="100" w:line="276" w:lineRule="auto"/>
        <w:jc w:val="both"/>
      </w:pPr>
      <w:r>
        <w:lastRenderedPageBreak/>
        <w:fldChar w:fldCharType="begin" w:dirty="true"/>
      </w:r>
      <w:r>
        <w:instrText>HYPERLINK \l "b4_text130" \h</w:instrText>
      </w:r>
      <w:r>
        <w:fldChar w:fldCharType="separate"/>
      </w:r>
      <w:r>
        <w:rPr>
          <w:b/>
          <w:bCs/>
          <w:rtl/>
        </w:rPr>
        <w:t>130</w:t>
      </w:r>
      <w:r>
        <w:rPr>
          <w:b/>
          <w:bCs/>
        </w:rPr>
        <w:fldChar w:fldCharType="end"/>
      </w:r>
      <w:bookmarkEnd w:id="4711"/>
      <w:r>
        <w:rPr>
          <w:rtl/>
        </w:rPr>
        <w:t xml:space="preserve"> למילה היידית “</w:t>
      </w:r>
      <w:proofErr w:type="spellStart"/>
      <w:r>
        <w:rPr>
          <w:rtl/>
        </w:rPr>
        <w:t>שייגעץ</w:t>
      </w:r>
      <w:proofErr w:type="spellEnd"/>
      <w:r>
        <w:rPr>
          <w:rtl/>
        </w:rPr>
        <w:t>”, שמקורה במילה העברית “שקץ”, יש משמעות בסיסית ומשמעות מושאלת. במשמעותה הבסיסית היא משמשת לגוי צעיר, ויש בה גוון של חוסר דתיות ושל חוצפה, וגם של גסות ובערות</w:t>
      </w:r>
      <w:bookmarkStart w:id="4712" w:name="_fnr3482"/>
      <w:r>
        <w:rPr>
          <w:vertAlign w:val="superscript"/>
          <w:rtl/>
        </w:rPr>
        <w:footnoteReference w:id="3490" w:customMarkFollows="0"/>
      </w:r>
      <w:bookmarkEnd w:id="4712"/>
      <w:r>
        <w:rPr>
          <w:rtl/>
        </w:rPr>
        <w:t xml:space="preserve">, שכן נטבעה בזמן שבו ילדים </w:t>
      </w:r>
      <w:proofErr w:type="spellStart"/>
      <w:r>
        <w:rPr>
          <w:rtl/>
        </w:rPr>
        <w:t>לא־יהודים</w:t>
      </w:r>
      <w:proofErr w:type="spellEnd"/>
      <w:r>
        <w:rPr>
          <w:rtl/>
        </w:rPr>
        <w:t xml:space="preserve"> היו בדרך כלל חסרי ידיעת קרוא וכתוב. כשמכנים יהודי “</w:t>
      </w:r>
      <w:proofErr w:type="spellStart"/>
      <w:r>
        <w:rPr>
          <w:rtl/>
        </w:rPr>
        <w:t>שייגעץ</w:t>
      </w:r>
      <w:proofErr w:type="spellEnd"/>
      <w:r>
        <w:rPr>
          <w:rtl/>
        </w:rPr>
        <w:t>”, הכוונה לאדם שיש בו אחת משלוש התכונות המיוחסות לגויים צעירים: חוסר דתיות, חוצפה או גסות ובערות.</w:t>
      </w:r>
    </w:p>
    <w:p w14:paraId="3E954172" w14:textId="77777777" w:rsidR="00AB3647" w:rsidRDefault="00000000" w:rsidP="007923E9">
      <w:pPr>
        <w:spacing w:before="120" w:after="100" w:line="276" w:lineRule="auto"/>
        <w:jc w:val="both"/>
      </w:pPr>
      <w:r>
        <w:rPr>
          <w:rtl/>
        </w:rPr>
        <w:t xml:space="preserve">ר׳ לייזר השתמש במילה פעמיים, בשתי משמעויות שונות: </w:t>
      </w:r>
      <w:proofErr w:type="spellStart"/>
      <w:r>
        <w:rPr>
          <w:rtl/>
        </w:rPr>
        <w:t>ב“שייגעץ</w:t>
      </w:r>
      <w:proofErr w:type="spellEnd"/>
      <w:r>
        <w:rPr>
          <w:rtl/>
        </w:rPr>
        <w:t xml:space="preserve">” הראשון התכוון לומר: “איזו חוצפה להפריע לשיעורי בדבר זניח כשאלתך!”, ובשני התכוון לומר: “שאלתך גסה וחסרת דעת מעיקרה”. ובמילה “טורקי” (בעמ׳ </w:t>
      </w:r>
      <w:r>
        <w:rPr>
          <w:rtl/>
        </w:rPr>
        <w:fldChar w:fldCharType="begin" w:dirty="true"/>
      </w:r>
      <w:r>
        <w:rPr>
          <w:rtl/>
        </w:rPr>
        <w:instrText xml:space="preserve"> PAGEREF pr_b_1776 \h </w:instrText>
      </w:r>
      <w:r>
        <w:rPr>
          <w:rtl/>
        </w:rPr>
      </w:r>
      <w:r>
        <w:rPr>
          <w:rtl/>
        </w:rPr>
        <w:fldChar w:fldCharType="separate"/>
      </w:r>
      <w:r w:rsidR="007923E9">
        <w:rPr>
          <w:noProof/>
          <w:rtl/>
        </w:rPr>
        <w:t>1</w:t>
      </w:r>
      <w:r>
        <w:rPr>
          <w:rtl/>
        </w:rPr>
        <w:fldChar w:fldCharType="end"/>
      </w:r>
      <w:r>
        <w:rPr>
          <w:rtl/>
        </w:rPr>
        <w:t xml:space="preserve">) התכוון לומר: “שאלתך מובנת לנו באותה מידה שמובנים דברי טורקי בלשונו </w:t>
      </w:r>
      <w:proofErr w:type="spellStart"/>
      <w:r>
        <w:rPr>
          <w:rtl/>
        </w:rPr>
        <w:t>הבלתי־מובנת</w:t>
      </w:r>
      <w:proofErr w:type="spellEnd"/>
      <w:r>
        <w:rPr>
          <w:rtl/>
        </w:rPr>
        <w:t>”.</w:t>
      </w:r>
    </w:p>
    <w:bookmarkStart w:id="4713" w:name="b4_note131"/>
    <w:p w14:paraId="7EFC958A" w14:textId="77777777" w:rsidR="00AB3647" w:rsidRDefault="00000000" w:rsidP="007923E9">
      <w:pPr>
        <w:spacing w:before="120" w:after="100" w:line="276" w:lineRule="auto"/>
        <w:jc w:val="both"/>
      </w:pPr>
      <w:r>
        <w:fldChar w:fldCharType="begin" w:dirty="true"/>
      </w:r>
      <w:r>
        <w:instrText>HYPERLINK \l "b4_text131" \h</w:instrText>
      </w:r>
      <w:r>
        <w:fldChar w:fldCharType="separate"/>
      </w:r>
      <w:r>
        <w:rPr>
          <w:b/>
          <w:bCs/>
          <w:rtl/>
        </w:rPr>
        <w:t>131</w:t>
      </w:r>
      <w:r>
        <w:rPr>
          <w:b/>
          <w:bCs/>
        </w:rPr>
        <w:fldChar w:fldCharType="end"/>
      </w:r>
      <w:bookmarkEnd w:id="4713"/>
      <w:r>
        <w:rPr>
          <w:rtl/>
        </w:rPr>
        <w:t xml:space="preserve"> כץ, “תנועת המוסר”, כרך ב</w:t>
      </w:r>
      <w:bookmarkStart w:id="4714" w:name="_fnr3483"/>
      <w:r>
        <w:rPr>
          <w:vertAlign w:val="superscript"/>
          <w:rtl/>
        </w:rPr>
        <w:footnoteReference w:id="3491" w:customMarkFollows="0"/>
      </w:r>
      <w:bookmarkEnd w:id="4714"/>
      <w:r>
        <w:rPr>
          <w:rtl/>
        </w:rPr>
        <w:t xml:space="preserve">, מספר: “[ר׳ לייזר גורדון] לא פסק מלחשוב בדברי תורה אף לרגע. תמיד בער </w:t>
      </w:r>
      <w:proofErr w:type="spellStart"/>
      <w:r>
        <w:rPr>
          <w:rtl/>
        </w:rPr>
        <w:t>בריתחא</w:t>
      </w:r>
      <w:proofErr w:type="spellEnd"/>
      <w:r>
        <w:rPr>
          <w:rtl/>
        </w:rPr>
        <w:t xml:space="preserve"> דאורייתא</w:t>
      </w:r>
      <w:bookmarkStart w:id="4715" w:name="_fnr3484"/>
      <w:r>
        <w:rPr>
          <w:vertAlign w:val="superscript"/>
          <w:rtl/>
        </w:rPr>
        <w:footnoteReference w:id="3492" w:customMarkFollows="0"/>
      </w:r>
      <w:bookmarkEnd w:id="4715"/>
      <w:r>
        <w:rPr>
          <w:rtl/>
        </w:rPr>
        <w:t xml:space="preserve">. בדיון בדברי תורה היה כלוחם בשדה הקרב; כל כוחותיו היו מעורבים”. גם כשר׳ לייזר הביע </w:t>
      </w:r>
      <w:r>
        <w:rPr>
          <w:b/>
          <w:bCs/>
          <w:rtl/>
        </w:rPr>
        <w:t>שביעות רצון</w:t>
      </w:r>
      <w:r>
        <w:rPr>
          <w:rtl/>
        </w:rPr>
        <w:t xml:space="preserve"> משאלת תלמידו, עשה זאת בכוחו הנוקב של יריב במלחמה, כפי שממחישה תגובתו המובאת </w:t>
      </w:r>
      <w:proofErr w:type="spellStart"/>
      <w:r>
        <w:rPr>
          <w:rtl/>
        </w:rPr>
        <w:t>ב“משואה</w:t>
      </w:r>
      <w:proofErr w:type="spellEnd"/>
      <w:r>
        <w:rPr>
          <w:rtl/>
        </w:rPr>
        <w:t xml:space="preserve"> לדוד”</w:t>
      </w:r>
      <w:bookmarkStart w:id="4716" w:name="_fnr3485"/>
      <w:r>
        <w:rPr>
          <w:vertAlign w:val="superscript"/>
          <w:rtl/>
        </w:rPr>
        <w:footnoteReference w:id="3493" w:customMarkFollows="0"/>
      </w:r>
      <w:bookmarkEnd w:id="4716"/>
      <w:r>
        <w:rPr>
          <w:rtl/>
        </w:rPr>
        <w:t xml:space="preserve">: “אינך יודע כלל עד כמה </w:t>
      </w:r>
      <w:r>
        <w:rPr>
          <w:b/>
          <w:bCs/>
          <w:rtl/>
        </w:rPr>
        <w:t>טובה</w:t>
      </w:r>
      <w:r>
        <w:rPr>
          <w:rtl/>
        </w:rPr>
        <w:t xml:space="preserve"> שאלתך”</w:t>
      </w:r>
      <w:bookmarkStart w:id="4717" w:name="_fnr3486"/>
      <w:r>
        <w:rPr>
          <w:vertAlign w:val="superscript"/>
          <w:rtl/>
        </w:rPr>
        <w:footnoteReference w:id="3494" w:customMarkFollows="0"/>
      </w:r>
      <w:bookmarkEnd w:id="4717"/>
      <w:r>
        <w:rPr>
          <w:rtl/>
        </w:rPr>
        <w:t>.</w:t>
      </w:r>
    </w:p>
    <w:p w14:paraId="3B01DB40" w14:textId="77777777" w:rsidR="00AB3647" w:rsidRDefault="00000000" w:rsidP="007923E9">
      <w:pPr>
        <w:spacing w:after="120" w:line="276" w:lineRule="auto"/>
        <w:jc w:val="both"/>
      </w:pPr>
      <w:r>
        <w:rPr>
          <w:rtl/>
        </w:rPr>
        <w:t xml:space="preserve">ר׳ אהרן קוטלר, שספג את ההערות העוקצניות בהיותו תלמיד צעיר </w:t>
      </w:r>
      <w:proofErr w:type="spellStart"/>
      <w:r>
        <w:rPr>
          <w:rtl/>
        </w:rPr>
        <w:t>בסלבודקה</w:t>
      </w:r>
      <w:proofErr w:type="spellEnd"/>
      <w:r>
        <w:rPr>
          <w:rtl/>
        </w:rPr>
        <w:t xml:space="preserve"> באותה עת, השמיע כמותן שנים אחר כך בשיעוריו </w:t>
      </w:r>
      <w:proofErr w:type="spellStart"/>
      <w:r>
        <w:rPr>
          <w:rtl/>
        </w:rPr>
        <w:t>בלייקווד</w:t>
      </w:r>
      <w:proofErr w:type="spellEnd"/>
      <w:r>
        <w:rPr>
          <w:rtl/>
        </w:rPr>
        <w:t>, ומי שנכנס לדבריו שם יכול היה לצפות למטר של עקיצות. לדברי ר׳ הלל זקס</w:t>
      </w:r>
      <w:bookmarkStart w:id="4718" w:name="_fnr3487"/>
      <w:r>
        <w:rPr>
          <w:vertAlign w:val="superscript"/>
          <w:rtl/>
        </w:rPr>
        <w:footnoteReference w:id="3495" w:customMarkFollows="0"/>
      </w:r>
      <w:bookmarkEnd w:id="4718"/>
      <w:r>
        <w:rPr>
          <w:rtl/>
        </w:rPr>
        <w:t xml:space="preserve">, גערתו השכיחה והפחות פוגעת הייתה: “דו </w:t>
      </w:r>
      <w:proofErr w:type="spellStart"/>
      <w:r>
        <w:rPr>
          <w:rtl/>
        </w:rPr>
        <w:t>פלוידערסט</w:t>
      </w:r>
      <w:proofErr w:type="spellEnd"/>
      <w:r>
        <w:rPr>
          <w:rtl/>
        </w:rPr>
        <w:t xml:space="preserve"> ווי א </w:t>
      </w:r>
      <w:proofErr w:type="spellStart"/>
      <w:r>
        <w:rPr>
          <w:rtl/>
        </w:rPr>
        <w:t>שיכור׳ער</w:t>
      </w:r>
      <w:proofErr w:type="spellEnd"/>
      <w:r>
        <w:rPr>
          <w:rtl/>
        </w:rPr>
        <w:t xml:space="preserve"> </w:t>
      </w:r>
      <w:proofErr w:type="spellStart"/>
      <w:r>
        <w:rPr>
          <w:rtl/>
        </w:rPr>
        <w:t>טערק</w:t>
      </w:r>
      <w:proofErr w:type="spellEnd"/>
      <w:r>
        <w:rPr>
          <w:rtl/>
        </w:rPr>
        <w:t xml:space="preserve"> [אתה מפטפט כמו טורקי שיכור]”. בפורים אחד שאל אותו תלמיד, שמשקה חריף ששתה נתן בו אומץ, למה הוא מתכוון בביטוי זה. ר׳ אהרן הסביר: “טורקי יודע היטב מה הוא אומר, ורק השומע אינו מבין אותו; ואילו שיכור אינו יודע מה הוא אומר, אך השומע מבין אותו. טורקי שיכור – אי אפשר להבינו, ואף הוא אינו יודע מה הוא אומר. לפעמים קם מישהו בשיעורי ואומר דברים שאיני מבין וגם הוא אינו מבין”.</w:t>
      </w:r>
    </w:p>
    <w:p w14:paraId="5144F380" w14:textId="77777777" w:rsidR="00AB3647" w:rsidRDefault="00000000" w:rsidP="007923E9">
      <w:pPr>
        <w:spacing w:after="120" w:line="276" w:lineRule="auto"/>
        <w:jc w:val="both"/>
      </w:pPr>
      <w:r>
        <w:rPr>
          <w:rtl/>
        </w:rPr>
        <w:t xml:space="preserve">עקיצה חריפה יותר ושכיחה פחות של ר׳ אהרן הייתה: “מען </w:t>
      </w:r>
      <w:proofErr w:type="spellStart"/>
      <w:r>
        <w:rPr>
          <w:rtl/>
        </w:rPr>
        <w:t>דארף</w:t>
      </w:r>
      <w:proofErr w:type="spellEnd"/>
      <w:r>
        <w:rPr>
          <w:rtl/>
        </w:rPr>
        <w:t xml:space="preserve"> דיר </w:t>
      </w:r>
      <w:proofErr w:type="spellStart"/>
      <w:r>
        <w:rPr>
          <w:rtl/>
        </w:rPr>
        <w:t>צוריקשיקען</w:t>
      </w:r>
      <w:proofErr w:type="spellEnd"/>
      <w:r>
        <w:rPr>
          <w:rtl/>
        </w:rPr>
        <w:t xml:space="preserve"> אין חדר [צריך לשלוח אותך בחזרה לחדר]”. תגובה קשה עוד יותר למי שהפסיק את שיעורו אירעה כשמסר שיעור באנגליה, בישיבה שייסד ר׳ משה שניידר</w:t>
      </w:r>
      <w:bookmarkStart w:id="4719" w:name="_fnr3488"/>
      <w:r>
        <w:rPr>
          <w:vertAlign w:val="superscript"/>
          <w:rtl/>
        </w:rPr>
        <w:footnoteReference w:id="3496" w:customMarkFollows="0"/>
      </w:r>
      <w:bookmarkEnd w:id="4719"/>
      <w:r>
        <w:rPr>
          <w:rtl/>
        </w:rPr>
        <w:t>: תלמיד חכם בעל זקן אדום קפץ בשאלה, ור׳ אהרן פלט: “פרה אדומה, שתוק!”</w:t>
      </w:r>
    </w:p>
    <w:p w14:paraId="5D3E59C1" w14:textId="77777777" w:rsidR="00AB3647" w:rsidRDefault="00000000" w:rsidP="007923E9">
      <w:pPr>
        <w:spacing w:after="120" w:line="276" w:lineRule="auto"/>
        <w:jc w:val="both"/>
      </w:pPr>
      <w:r>
        <w:rPr>
          <w:rtl/>
        </w:rPr>
        <w:lastRenderedPageBreak/>
        <w:t>אחי ר׳ אברהם</w:t>
      </w:r>
      <w:bookmarkStart w:id="4720" w:name="_fnr3489"/>
      <w:r>
        <w:rPr>
          <w:vertAlign w:val="superscript"/>
          <w:rtl/>
        </w:rPr>
        <w:footnoteReference w:id="3497" w:customMarkFollows="0"/>
      </w:r>
      <w:bookmarkEnd w:id="4720"/>
      <w:r>
        <w:rPr>
          <w:rtl/>
        </w:rPr>
        <w:t xml:space="preserve"> סיפר על תגובתו של ר׳ אהרן לטענה נגד אחד מחידושיו – תגובה שנעשתה לסיפור. הוא היה עד למעשה שאירע כשבעל בית עשיר, הרמן מרקין, שנפש בעיר הנופש </w:t>
      </w:r>
      <w:proofErr w:type="spellStart"/>
      <w:r>
        <w:rPr>
          <w:rtl/>
        </w:rPr>
        <w:t>לייקווד</w:t>
      </w:r>
      <w:proofErr w:type="spellEnd"/>
      <w:r>
        <w:rPr>
          <w:rtl/>
        </w:rPr>
        <w:t xml:space="preserve">, נכח ביום ראשון בבוקר בשיעורו של ר׳ אהרן בבית מדרש גבוה של הרב קוטלר. מר מרקין היה </w:t>
      </w:r>
      <w:proofErr w:type="spellStart"/>
      <w:r>
        <w:rPr>
          <w:rtl/>
        </w:rPr>
        <w:t>בר־אוריין</w:t>
      </w:r>
      <w:proofErr w:type="spellEnd"/>
      <w:r>
        <w:rPr>
          <w:rtl/>
        </w:rPr>
        <w:t>, ונהג לבוא לישיבה בשבת ולעיין ברשימת מראי המקומות לשיעור שהוצגה שם. באמצע השיעור, כשר׳ אהרן הסביר בהתלהבות רעיון שחידש, במילים “ברור כשמש בצהרים ש...”, נכנס מר מרקין לדבריו וטען שהוא רואה את העניין אחרת מכפי שרואה אותו ראש הישיבה.</w:t>
      </w:r>
    </w:p>
    <w:p w14:paraId="3C061C4D" w14:textId="77777777" w:rsidR="00AB3647" w:rsidRDefault="00000000" w:rsidP="007923E9">
      <w:pPr>
        <w:spacing w:after="120" w:line="276" w:lineRule="auto"/>
        <w:jc w:val="both"/>
      </w:pPr>
      <w:r>
        <w:rPr>
          <w:rtl/>
        </w:rPr>
        <w:t xml:space="preserve">בדיבורו הנלהב והמהיר הפך ר׳ אהרן את טענת האורח, והכריז לפני כל התלמידים שזה עתה השיג ראיה נוספת לחידושו: מכיוון שהרעיון שהציע מר מרקין מנוגד לדעתו, הרי שמסקנת ר׳ אהרן היא בהכרח הנכונה. הוא ביסס סברה זו על האמור </w:t>
      </w:r>
      <w:proofErr w:type="spellStart"/>
      <w:r>
        <w:rPr>
          <w:rtl/>
        </w:rPr>
        <w:t>ב“תשובות</w:t>
      </w:r>
      <w:proofErr w:type="spellEnd"/>
      <w:r>
        <w:rPr>
          <w:rtl/>
        </w:rPr>
        <w:t xml:space="preserve"> </w:t>
      </w:r>
      <w:proofErr w:type="spellStart"/>
      <w:r>
        <w:rPr>
          <w:rtl/>
        </w:rPr>
        <w:t>מהר״י</w:t>
      </w:r>
      <w:proofErr w:type="spellEnd"/>
      <w:r>
        <w:rPr>
          <w:rtl/>
        </w:rPr>
        <w:t xml:space="preserve"> וייל”</w:t>
      </w:r>
      <w:bookmarkStart w:id="4721" w:name="_fnr3490"/>
      <w:r>
        <w:rPr>
          <w:vertAlign w:val="superscript"/>
          <w:rtl/>
        </w:rPr>
        <w:footnoteReference w:id="3498" w:customMarkFollows="0"/>
      </w:r>
      <w:bookmarkEnd w:id="4721"/>
      <w:r>
        <w:rPr>
          <w:rtl/>
        </w:rPr>
        <w:t xml:space="preserve">: “פסקי </w:t>
      </w:r>
      <w:proofErr w:type="spellStart"/>
      <w:r>
        <w:rPr>
          <w:rtl/>
        </w:rPr>
        <w:t>בעלי־בתים</w:t>
      </w:r>
      <w:proofErr w:type="spellEnd"/>
      <w:r>
        <w:rPr>
          <w:rtl/>
        </w:rPr>
        <w:t xml:space="preserve"> ופסקי לומדים שני הפכים הם”</w:t>
      </w:r>
      <w:bookmarkStart w:id="4722" w:name="_fnr3491"/>
      <w:r>
        <w:rPr>
          <w:vertAlign w:val="superscript"/>
          <w:rtl/>
        </w:rPr>
        <w:footnoteReference w:id="3499" w:customMarkFollows="0"/>
      </w:r>
      <w:bookmarkEnd w:id="4722"/>
      <w:r>
        <w:rPr>
          <w:rtl/>
        </w:rPr>
        <w:t>.</w:t>
      </w:r>
    </w:p>
    <w:p w14:paraId="517891FC" w14:textId="77777777" w:rsidR="00AB3647" w:rsidRDefault="00000000" w:rsidP="007923E9">
      <w:pPr>
        <w:spacing w:after="120" w:line="276" w:lineRule="auto"/>
        <w:jc w:val="both"/>
      </w:pPr>
      <w:r>
        <w:rPr>
          <w:rtl/>
        </w:rPr>
        <w:t xml:space="preserve">לפי עדות שמסר לי ר׳ </w:t>
      </w:r>
      <w:proofErr w:type="spellStart"/>
      <w:r>
        <w:rPr>
          <w:rtl/>
        </w:rPr>
        <w:t>דב־צבי</w:t>
      </w:r>
      <w:proofErr w:type="spellEnd"/>
      <w:r>
        <w:rPr>
          <w:rtl/>
        </w:rPr>
        <w:t xml:space="preserve"> </w:t>
      </w:r>
      <w:proofErr w:type="spellStart"/>
      <w:r>
        <w:rPr>
          <w:rtl/>
        </w:rPr>
        <w:t>רוטשטיין</w:t>
      </w:r>
      <w:bookmarkStart w:id="4723" w:name="_fnr3492"/>
      <w:proofErr w:type="spellEnd"/>
      <w:r>
        <w:rPr>
          <w:vertAlign w:val="superscript"/>
          <w:rtl/>
        </w:rPr>
        <w:footnoteReference w:id="3500" w:customMarkFollows="0"/>
      </w:r>
      <w:bookmarkEnd w:id="4723"/>
      <w:r>
        <w:rPr>
          <w:rtl/>
        </w:rPr>
        <w:t xml:space="preserve">, ששמע אותה מר׳ שניאור קוטלר, אכן הייתה זו גישתו של ר׳ אהרן לדעות בעלי בתים, גם </w:t>
      </w:r>
      <w:proofErr w:type="spellStart"/>
      <w:r>
        <w:rPr>
          <w:rtl/>
        </w:rPr>
        <w:t>כשלא</w:t>
      </w:r>
      <w:proofErr w:type="spellEnd"/>
      <w:r>
        <w:rPr>
          <w:rtl/>
        </w:rPr>
        <w:t xml:space="preserve"> נאמרו נגד שיעורו ובאמצעו. הרב </w:t>
      </w:r>
      <w:proofErr w:type="spellStart"/>
      <w:r>
        <w:rPr>
          <w:rtl/>
        </w:rPr>
        <w:t>רוטשטיין</w:t>
      </w:r>
      <w:proofErr w:type="spellEnd"/>
      <w:r>
        <w:rPr>
          <w:rtl/>
        </w:rPr>
        <w:t xml:space="preserve"> סיפר שר׳ שניאור אמר לו שכאשר אביו לא יכול היה להכריע כיצד לפעול בעניין מסוים, היה הולך לבית הכנסת הגדול שבשכונתו ושואל שלושה בעלי בתים כיצד היו פותרים דילמה כזאת – ואחר כך עושה את ההפך מהמלצתם. [המרואיין לא היה בטוח אם אין סיפורו של ר׳ שניאור אלא סיפור </w:t>
      </w:r>
      <w:proofErr w:type="spellStart"/>
      <w:r>
        <w:rPr>
          <w:rtl/>
        </w:rPr>
        <w:t>בלתי־מבוסס</w:t>
      </w:r>
      <w:bookmarkStart w:id="4724" w:name="_fnr3493"/>
      <w:proofErr w:type="spellEnd"/>
      <w:r>
        <w:rPr>
          <w:vertAlign w:val="superscript"/>
          <w:rtl/>
        </w:rPr>
        <w:footnoteReference w:id="3501" w:customMarkFollows="0"/>
      </w:r>
      <w:bookmarkEnd w:id="4724"/>
      <w:r>
        <w:rPr>
          <w:rtl/>
        </w:rPr>
        <w:t xml:space="preserve">.] השווה גם “עובדות והנהגות לבית </w:t>
      </w:r>
      <w:proofErr w:type="spellStart"/>
      <w:r>
        <w:rPr>
          <w:rtl/>
        </w:rPr>
        <w:t>בריסק</w:t>
      </w:r>
      <w:proofErr w:type="spellEnd"/>
      <w:r>
        <w:rPr>
          <w:rtl/>
        </w:rPr>
        <w:t>”</w:t>
      </w:r>
      <w:bookmarkStart w:id="4725" w:name="_fnr3494"/>
      <w:r>
        <w:rPr>
          <w:vertAlign w:val="superscript"/>
          <w:rtl/>
        </w:rPr>
        <w:footnoteReference w:id="3502" w:customMarkFollows="0"/>
      </w:r>
      <w:bookmarkEnd w:id="4725"/>
      <w:r>
        <w:rPr>
          <w:rtl/>
        </w:rPr>
        <w:t xml:space="preserve">: ר׳ יצחק־זאב </w:t>
      </w:r>
      <w:proofErr w:type="spellStart"/>
      <w:r>
        <w:rPr>
          <w:rtl/>
        </w:rPr>
        <w:t>סולובייצ׳יק</w:t>
      </w:r>
      <w:proofErr w:type="spellEnd"/>
      <w:r>
        <w:rPr>
          <w:rtl/>
        </w:rPr>
        <w:t>, שהעריך את מאמריו של העיתונאי ר׳ משה שיינפלד, “שיבח מאוד” את תשובת הכותב כשנשאל כיצד הוא מצליח לבטא היטב כל כך “דעת תורה”. ר׳ משה השיב שהוא שואל בעלי בתים לדעתם, וכותב את ההפך.</w:t>
      </w:r>
    </w:p>
    <w:p w14:paraId="19854C7D" w14:textId="77777777" w:rsidR="00AB3647" w:rsidRDefault="00000000" w:rsidP="007923E9">
      <w:pPr>
        <w:spacing w:after="120" w:line="276" w:lineRule="auto"/>
        <w:jc w:val="both"/>
      </w:pPr>
      <w:r>
        <w:rPr>
          <w:rtl/>
        </w:rPr>
        <w:t xml:space="preserve">השווה גם </w:t>
      </w:r>
      <w:proofErr w:type="spellStart"/>
      <w:r>
        <w:rPr>
          <w:rtl/>
        </w:rPr>
        <w:t>רבינר</w:t>
      </w:r>
      <w:proofErr w:type="spellEnd"/>
      <w:r>
        <w:rPr>
          <w:rtl/>
        </w:rPr>
        <w:t>, “רבינו מאיר שמחה הכהן”</w:t>
      </w:r>
      <w:bookmarkStart w:id="4726" w:name="_fnr3495"/>
      <w:r>
        <w:rPr>
          <w:vertAlign w:val="superscript"/>
          <w:rtl/>
        </w:rPr>
        <w:footnoteReference w:id="3503" w:customMarkFollows="0"/>
      </w:r>
      <w:bookmarkEnd w:id="4726"/>
      <w:r>
        <w:rPr>
          <w:rtl/>
        </w:rPr>
        <w:t xml:space="preserve">: ר׳ </w:t>
      </w:r>
      <w:proofErr w:type="spellStart"/>
      <w:r>
        <w:rPr>
          <w:rtl/>
        </w:rPr>
        <w:t>מאיר־שמחה</w:t>
      </w:r>
      <w:proofErr w:type="spellEnd"/>
      <w:r>
        <w:rPr>
          <w:rtl/>
        </w:rPr>
        <w:t xml:space="preserve"> כהן [בעודו </w:t>
      </w:r>
      <w:proofErr w:type="spellStart"/>
      <w:r>
        <w:rPr>
          <w:rtl/>
        </w:rPr>
        <w:t>בביאליסטוק</w:t>
      </w:r>
      <w:proofErr w:type="spellEnd"/>
      <w:r>
        <w:rPr>
          <w:rtl/>
        </w:rPr>
        <w:t xml:space="preserve">] וגיסו ר׳ שמואל ליפשיץ החליטו לפנות לרב מעיירה קטנה, שנחשב בעיניהם למי </w:t>
      </w:r>
      <w:proofErr w:type="spellStart"/>
      <w:r>
        <w:rPr>
          <w:rtl/>
        </w:rPr>
        <w:t>ש“אין</w:t>
      </w:r>
      <w:proofErr w:type="spellEnd"/>
      <w:r>
        <w:rPr>
          <w:rtl/>
        </w:rPr>
        <w:t xml:space="preserve"> לו </w:t>
      </w:r>
      <w:r>
        <w:rPr>
          <w:rtl/>
        </w:rPr>
        <w:lastRenderedPageBreak/>
        <w:t xml:space="preserve">שכל ישר”, כדי שיכריע במחלוקת תלמודית ביניהם – והדעה שיסכים לה הרב תהיה בוודאי שגויה! כשביקר הרב </w:t>
      </w:r>
      <w:proofErr w:type="spellStart"/>
      <w:r>
        <w:rPr>
          <w:rtl/>
        </w:rPr>
        <w:t>בביאליסטוק</w:t>
      </w:r>
      <w:proofErr w:type="spellEnd"/>
      <w:r>
        <w:rPr>
          <w:rtl/>
        </w:rPr>
        <w:t xml:space="preserve"> לפני פסח הציגו לו את המחלוקת, והוא הכריע לטובת ר׳ </w:t>
      </w:r>
      <w:proofErr w:type="spellStart"/>
      <w:r>
        <w:rPr>
          <w:rtl/>
        </w:rPr>
        <w:t>מאיר־שמחה</w:t>
      </w:r>
      <w:proofErr w:type="spellEnd"/>
      <w:r>
        <w:rPr>
          <w:rtl/>
        </w:rPr>
        <w:t xml:space="preserve"> – ובכך הורה שדווקא גיסו צודק. אך האור שמח התחמק: “מאחר שעתה סמוך לפסח, ודעת הרב מבולבלת מחמת עיסוקו בדינים המורכבים של החג, הגיע למסקנה הפוכה מזו שהיה מגיע אליה בנסיבות רגילות – </w:t>
      </w:r>
      <w:r>
        <w:rPr>
          <w:b/>
          <w:bCs/>
          <w:rtl/>
        </w:rPr>
        <w:t>ואני</w:t>
      </w:r>
      <w:r>
        <w:rPr>
          <w:rtl/>
        </w:rPr>
        <w:t xml:space="preserve"> הצודק”.</w:t>
      </w:r>
    </w:p>
    <w:p w14:paraId="29D40604" w14:textId="77777777" w:rsidR="00AB3647" w:rsidRDefault="00000000" w:rsidP="007923E9">
      <w:pPr>
        <w:spacing w:after="120" w:line="276" w:lineRule="auto"/>
        <w:jc w:val="both"/>
      </w:pPr>
      <w:r>
        <w:rPr>
          <w:rtl/>
        </w:rPr>
        <w:t>ר׳ יהושע סלומון סיפר את עיקרו של מעשה זה</w:t>
      </w:r>
      <w:bookmarkStart w:id="4727" w:name="_fnr3496"/>
      <w:r>
        <w:rPr>
          <w:vertAlign w:val="superscript"/>
          <w:rtl/>
        </w:rPr>
        <w:footnoteReference w:id="3504" w:customMarkFollows="0"/>
      </w:r>
      <w:bookmarkEnd w:id="4727"/>
      <w:r>
        <w:rPr>
          <w:rtl/>
        </w:rPr>
        <w:t xml:space="preserve"> בשם ר׳ </w:t>
      </w:r>
      <w:proofErr w:type="spellStart"/>
      <w:r>
        <w:rPr>
          <w:rtl/>
        </w:rPr>
        <w:t>חצקל</w:t>
      </w:r>
      <w:proofErr w:type="spellEnd"/>
      <w:r>
        <w:rPr>
          <w:rtl/>
        </w:rPr>
        <w:t xml:space="preserve"> </w:t>
      </w:r>
      <w:proofErr w:type="spellStart"/>
      <w:r>
        <w:rPr>
          <w:rtl/>
        </w:rPr>
        <w:t>סרנא</w:t>
      </w:r>
      <w:proofErr w:type="spellEnd"/>
      <w:r>
        <w:rPr>
          <w:rtl/>
        </w:rPr>
        <w:t xml:space="preserve">, אלא שלפי גרסתו הייתה המחלוקת בין ר׳ </w:t>
      </w:r>
      <w:proofErr w:type="spellStart"/>
      <w:r>
        <w:rPr>
          <w:rtl/>
        </w:rPr>
        <w:t>מאיר־שמחה</w:t>
      </w:r>
      <w:proofErr w:type="spellEnd"/>
      <w:r>
        <w:rPr>
          <w:rtl/>
        </w:rPr>
        <w:t xml:space="preserve"> לחברותא שלו, ר׳ </w:t>
      </w:r>
      <w:proofErr w:type="spellStart"/>
      <w:r>
        <w:rPr>
          <w:rtl/>
        </w:rPr>
        <w:t>העניך</w:t>
      </w:r>
      <w:proofErr w:type="spellEnd"/>
      <w:r>
        <w:rPr>
          <w:rtl/>
        </w:rPr>
        <w:t xml:space="preserve"> </w:t>
      </w:r>
      <w:proofErr w:type="spellStart"/>
      <w:r>
        <w:rPr>
          <w:rtl/>
        </w:rPr>
        <w:t>אייגש</w:t>
      </w:r>
      <w:proofErr w:type="spellEnd"/>
      <w:r>
        <w:rPr>
          <w:rtl/>
        </w:rPr>
        <w:t xml:space="preserve"> (לימים מחבר “מרחשת”), ומי שהיה אמור להכריע בה היה שמש בית הכנסת. ר׳ </w:t>
      </w:r>
      <w:proofErr w:type="spellStart"/>
      <w:r>
        <w:rPr>
          <w:rtl/>
        </w:rPr>
        <w:t>חצקל</w:t>
      </w:r>
      <w:proofErr w:type="spellEnd"/>
      <w:r>
        <w:rPr>
          <w:rtl/>
        </w:rPr>
        <w:t xml:space="preserve"> הוסיף: “אמרו שר׳ </w:t>
      </w:r>
      <w:proofErr w:type="spellStart"/>
      <w:r>
        <w:rPr>
          <w:rtl/>
        </w:rPr>
        <w:t>מאיר־שמחה</w:t>
      </w:r>
      <w:proofErr w:type="spellEnd"/>
      <w:r>
        <w:rPr>
          <w:rtl/>
        </w:rPr>
        <w:t xml:space="preserve"> למד ‘</w:t>
      </w:r>
      <w:proofErr w:type="spellStart"/>
      <w:r>
        <w:rPr>
          <w:rtl/>
        </w:rPr>
        <w:t>שמונה־עשרה</w:t>
      </w:r>
      <w:proofErr w:type="spellEnd"/>
      <w:r>
        <w:rPr>
          <w:rtl/>
        </w:rPr>
        <w:t xml:space="preserve"> – </w:t>
      </w:r>
      <w:proofErr w:type="spellStart"/>
      <w:r>
        <w:rPr>
          <w:rtl/>
        </w:rPr>
        <w:t>שמונה־עשרה</w:t>
      </w:r>
      <w:proofErr w:type="spellEnd"/>
      <w:r>
        <w:rPr>
          <w:rtl/>
        </w:rPr>
        <w:t xml:space="preserve">’ לאחר נישואיו </w:t>
      </w:r>
      <w:proofErr w:type="spellStart"/>
      <w:r>
        <w:rPr>
          <w:rtl/>
        </w:rPr>
        <w:t>בביאליסטוק</w:t>
      </w:r>
      <w:proofErr w:type="spellEnd"/>
      <w:r>
        <w:rPr>
          <w:rtl/>
        </w:rPr>
        <w:t xml:space="preserve">”, והסביר שלמד </w:t>
      </w:r>
      <w:proofErr w:type="spellStart"/>
      <w:r>
        <w:rPr>
          <w:rtl/>
        </w:rPr>
        <w:t>שמונה־עשרה</w:t>
      </w:r>
      <w:proofErr w:type="spellEnd"/>
      <w:r>
        <w:rPr>
          <w:rtl/>
        </w:rPr>
        <w:t xml:space="preserve"> שעות ביום במשך </w:t>
      </w:r>
      <w:proofErr w:type="spellStart"/>
      <w:r>
        <w:rPr>
          <w:rtl/>
        </w:rPr>
        <w:t>שמונה־עשרה</w:t>
      </w:r>
      <w:proofErr w:type="spellEnd"/>
      <w:r>
        <w:rPr>
          <w:rtl/>
        </w:rPr>
        <w:t xml:space="preserve"> שנים רצופות, וכך צמח לגאון המפורסם שהיה.</w:t>
      </w:r>
    </w:p>
    <w:p w14:paraId="45F7A08B" w14:textId="77777777" w:rsidR="00AB3647" w:rsidRDefault="00000000" w:rsidP="007923E9">
      <w:pPr>
        <w:spacing w:after="120" w:line="276" w:lineRule="auto"/>
        <w:jc w:val="both"/>
      </w:pPr>
      <w:r>
        <w:rPr>
          <w:rtl/>
        </w:rPr>
        <w:t xml:space="preserve">כדי שקוראים שלא הכירו את הרב קוטלר לא יטעו באופיו העדין של אותו גאון, אמסור כיצד תיארו רבנו, כפי שהביא ר׳ יצחק </w:t>
      </w:r>
      <w:proofErr w:type="spellStart"/>
      <w:r>
        <w:rPr>
          <w:rtl/>
        </w:rPr>
        <w:t>קנובל</w:t>
      </w:r>
      <w:proofErr w:type="spellEnd"/>
      <w:r>
        <w:rPr>
          <w:rtl/>
        </w:rPr>
        <w:t xml:space="preserve"> בהספד השלושים על אבי בלוס אנג׳לס</w:t>
      </w:r>
      <w:bookmarkStart w:id="4728" w:name="_fnr3497"/>
      <w:r>
        <w:rPr>
          <w:vertAlign w:val="superscript"/>
          <w:rtl/>
        </w:rPr>
        <w:footnoteReference w:id="3505" w:customMarkFollows="0"/>
      </w:r>
      <w:bookmarkEnd w:id="4728"/>
      <w:r>
        <w:rPr>
          <w:rtl/>
        </w:rPr>
        <w:t>: “ר׳ אהרן היה גאון בקנה מידה עולמי בלי ההשחתה של עילוי, הגאון בלי הקשיחות”</w:t>
      </w:r>
      <w:bookmarkStart w:id="4729" w:name="_fnr3498"/>
      <w:r>
        <w:rPr>
          <w:vertAlign w:val="superscript"/>
          <w:rtl/>
        </w:rPr>
        <w:footnoteReference w:id="3506" w:customMarkFollows="0"/>
      </w:r>
      <w:bookmarkEnd w:id="4729"/>
      <w:r>
        <w:rPr>
          <w:rtl/>
        </w:rPr>
        <w:t>. באותו אופן אפשר לתאר את ר׳ לייזר גורדון.</w:t>
      </w:r>
    </w:p>
    <w:bookmarkStart w:id="4730" w:name="b4_note132"/>
    <w:p w14:paraId="47D6CD36" w14:textId="269DA43B" w:rsidR="00AB3647" w:rsidRDefault="00000000" w:rsidP="007923E9">
      <w:pPr>
        <w:spacing w:before="120" w:after="100" w:line="276" w:lineRule="auto"/>
        <w:jc w:val="both"/>
      </w:pPr>
      <w:r>
        <w:fldChar w:fldCharType="begin" w:dirty="true"/>
      </w:r>
      <w:r>
        <w:instrText>HYPERLINK \l "b4_text132"</w:instrText>
      </w:r>
      <w:r>
        <w:fldChar w:fldCharType="separate"/>
      </w:r>
      <w:r>
        <w:rPr>
          <w:b/>
          <w:bCs/>
          <w:rtl/>
        </w:rPr>
        <w:t xml:space="preserve">132 </w:t>
      </w:r>
      <w:r>
        <w:rPr>
          <w:b/>
          <w:bCs/>
        </w:rPr>
        <w:fldChar w:fldCharType="end"/>
      </w:r>
      <w:bookmarkEnd w:id="4730"/>
      <w:r>
        <w:rPr>
          <w:rtl/>
        </w:rPr>
        <w:t xml:space="preserve">השווה תחילת הערה </w:t>
      </w:r>
      <w:hyperlink w:anchor="b4_text132">
        <w:r w:rsidR="007923E9" w:rsidRPr="007923E9">
          <w:rPr>
            <w:rStyle w:val="Hyperlink"/>
          </w:rPr>
          <w:t xml:space="preserve"/>
        </w:r>
      </w:hyperlink>
      <w:r>
        <w:rPr>
          <w:sz w:val="18"/>
          <w:szCs w:val="18"/>
          <w:vertAlign w:val="superscript"/>
          <w:rtl/>
        </w:rPr>
        <w:fldChar w:fldCharType="begin" w:dirty="true"/>
      </w:r>
      <w:r>
        <w:rPr>
          <w:sz w:val="18"/>
          <w:szCs w:val="18"/>
          <w:vertAlign w:val="superscript"/>
          <w:rtl/>
        </w:rPr>
        <w:instrText xml:space="preserve"> REF b4_note127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127</w:t>
      </w:r>
      <w:r>
        <w:rPr>
          <w:sz w:val="18"/>
          <w:szCs w:val="18"/>
          <w:vertAlign w:val="superscript"/>
          <w:rtl/>
        </w:rPr>
        <w:fldChar w:fldCharType="end"/>
      </w:r>
      <w:r>
        <w:rPr>
          <w:rtl/>
        </w:rPr>
        <w:t xml:space="preserve"> לעיל. </w:t>
      </w:r>
      <w:proofErr w:type="spellStart"/>
      <w:r>
        <w:rPr>
          <w:rtl/>
        </w:rPr>
        <w:t>רבינר</w:t>
      </w:r>
      <w:proofErr w:type="spellEnd"/>
      <w:r>
        <w:rPr>
          <w:rtl/>
        </w:rPr>
        <w:t>, “הגאון רבי אליעזר גורדון”</w:t>
      </w:r>
      <w:bookmarkStart w:id="4731" w:name="_fnr3499"/>
      <w:r>
        <w:rPr>
          <w:vertAlign w:val="superscript"/>
          <w:rtl/>
        </w:rPr>
        <w:footnoteReference w:id="3507" w:customMarkFollows="0"/>
      </w:r>
      <w:bookmarkEnd w:id="4731"/>
      <w:r>
        <w:rPr>
          <w:rtl/>
        </w:rPr>
        <w:t xml:space="preserve"> מביא את דברי ר׳ יצחק </w:t>
      </w:r>
      <w:proofErr w:type="spellStart"/>
      <w:r>
        <w:rPr>
          <w:rtl/>
        </w:rPr>
        <w:t>קוסובסקי</w:t>
      </w:r>
      <w:proofErr w:type="spellEnd"/>
      <w:r>
        <w:rPr>
          <w:rtl/>
        </w:rPr>
        <w:t>: “זעמו שכך במהירות, ובדברי אהבה וחיבה היה פונה אל התלמידים שהכעיסוהו ומפייסם בנעימות יתֵרה. וככל שגבר כעס רבנו עלינו, תלמידיו, כך גדלה אהבת כולנו אליו... לאחר שסיים את שיעורו היה מיד לאדם אחר; פניו האירו באור נעים, ובחיוך על שפתיו היה פונה אל תלמידיו בדברי אהבה וחיבה, כאהבת אב לבניו”.</w:t>
      </w:r>
    </w:p>
    <w:p w14:paraId="168B6CDB" w14:textId="77777777" w:rsidR="00AB3647" w:rsidRDefault="00000000" w:rsidP="007923E9">
      <w:pPr>
        <w:spacing w:after="120" w:line="276" w:lineRule="auto"/>
        <w:jc w:val="both"/>
      </w:pPr>
      <w:r>
        <w:rPr>
          <w:rtl/>
        </w:rPr>
        <w:t xml:space="preserve">“ספר דעת חיים”, מאת ר׳ חיים </w:t>
      </w:r>
      <w:proofErr w:type="spellStart"/>
      <w:r>
        <w:rPr>
          <w:rtl/>
        </w:rPr>
        <w:t>וולקין</w:t>
      </w:r>
      <w:bookmarkStart w:id="4732" w:name="_fnr3500"/>
      <w:proofErr w:type="spellEnd"/>
      <w:r>
        <w:rPr>
          <w:vertAlign w:val="superscript"/>
          <w:rtl/>
        </w:rPr>
        <w:footnoteReference w:id="3508" w:customMarkFollows="0"/>
      </w:r>
      <w:bookmarkEnd w:id="4732"/>
      <w:r>
        <w:rPr>
          <w:rtl/>
        </w:rPr>
        <w:t xml:space="preserve">, מביא מעשה שנראה </w:t>
      </w:r>
      <w:proofErr w:type="spellStart"/>
      <w:r>
        <w:rPr>
          <w:rtl/>
        </w:rPr>
        <w:t>בלתי־מבוסס</w:t>
      </w:r>
      <w:proofErr w:type="spellEnd"/>
      <w:r>
        <w:rPr>
          <w:rtl/>
        </w:rPr>
        <w:t xml:space="preserve">, </w:t>
      </w:r>
      <w:proofErr w:type="spellStart"/>
      <w:r>
        <w:rPr>
          <w:rtl/>
        </w:rPr>
        <w:t>ש“החזון־איש</w:t>
      </w:r>
      <w:proofErr w:type="spellEnd"/>
      <w:r>
        <w:rPr>
          <w:rtl/>
        </w:rPr>
        <w:t xml:space="preserve"> היה רגיל לספר על ר׳ לייזר גורדון”: “פעם בא אל ר׳ לייזר עשיר, מכבד ואוהב תלמידי חכמים, לחפש חתן לבתו שיוכל לאפשר לו ללמוד תורה כל חייו. ר׳ לייזר אמר לו: ‘בוא עמי ובחר לך בחור שימצא חן בעיניך’. כשעמדו בפתח בית המדרש... נמשכו עיני האיש לתלמיד שישב בצד ולמד במתיקות, והוא שאל מיהו. ר׳ לייזר אמר לו: ‘הוא בני היחיד’. העשיר סבר שבחור כזה ראוי להיות בנו של ראש הישיבה, ומובן שלא העז לבקש שיהיה חתנו. עיניו חיפשו בחור מתאים אחר, וכשנפלו על אחד שב ושאל על הצעיר. גם הפעם השיב ר׳ לייזר: ‘הוא בני היחיד’ – תשובה שהפליאה אותו, אך לא היה נועז דיו להביע את פליאתו. רק כשהדבר חזר בפעם השלישית פקעה סבלנות העשיר, ושאל: ‘רבי, כמה בנים “יחידים” יש לך?’ ור׳ לייזר ענה: ‘האמן לי, יש לי ארבע מאות “בנים יחידים” בישיבה הזאת’”.</w:t>
      </w:r>
    </w:p>
    <w:p w14:paraId="7DDBD809" w14:textId="77777777" w:rsidR="00AB3647" w:rsidRDefault="00000000" w:rsidP="007923E9">
      <w:pPr>
        <w:spacing w:after="120" w:line="276" w:lineRule="auto"/>
        <w:jc w:val="both"/>
      </w:pPr>
      <w:proofErr w:type="spellStart"/>
      <w:r>
        <w:rPr>
          <w:rtl/>
        </w:rPr>
        <w:lastRenderedPageBreak/>
        <w:t>ב“פון</w:t>
      </w:r>
      <w:proofErr w:type="spellEnd"/>
      <w:r>
        <w:rPr>
          <w:rtl/>
        </w:rPr>
        <w:t xml:space="preserve"> </w:t>
      </w:r>
      <w:proofErr w:type="spellStart"/>
      <w:r>
        <w:rPr>
          <w:rtl/>
        </w:rPr>
        <w:t>וואלאזין</w:t>
      </w:r>
      <w:proofErr w:type="spellEnd"/>
      <w:r>
        <w:rPr>
          <w:rtl/>
        </w:rPr>
        <w:t xml:space="preserve"> </w:t>
      </w:r>
      <w:proofErr w:type="spellStart"/>
      <w:r>
        <w:rPr>
          <w:rtl/>
        </w:rPr>
        <w:t>ביז</w:t>
      </w:r>
      <w:proofErr w:type="spellEnd"/>
      <w:r>
        <w:rPr>
          <w:rtl/>
        </w:rPr>
        <w:t xml:space="preserve"> ירושלים”</w:t>
      </w:r>
      <w:bookmarkStart w:id="4733" w:name="_fnr3501"/>
      <w:r>
        <w:rPr>
          <w:vertAlign w:val="superscript"/>
          <w:rtl/>
        </w:rPr>
        <w:footnoteReference w:id="3509" w:customMarkFollows="0"/>
      </w:r>
      <w:bookmarkEnd w:id="4733"/>
      <w:r>
        <w:rPr>
          <w:rtl/>
        </w:rPr>
        <w:t xml:space="preserve"> מיוחסת תשובה זו לאבי המחבר, </w:t>
      </w:r>
      <w:proofErr w:type="spellStart"/>
      <w:r>
        <w:rPr>
          <w:rtl/>
        </w:rPr>
        <w:t>הנצי״ב</w:t>
      </w:r>
      <w:proofErr w:type="spellEnd"/>
      <w:r>
        <w:rPr>
          <w:rtl/>
        </w:rPr>
        <w:t xml:space="preserve">, כאשר “רב זקן הביא את בנו </w:t>
      </w:r>
      <w:proofErr w:type="spellStart"/>
      <w:r>
        <w:rPr>
          <w:rtl/>
        </w:rPr>
        <w:t>לוולוז׳ין</w:t>
      </w:r>
      <w:proofErr w:type="spellEnd"/>
      <w:r>
        <w:rPr>
          <w:rtl/>
        </w:rPr>
        <w:t xml:space="preserve">” וביקש </w:t>
      </w:r>
      <w:proofErr w:type="spellStart"/>
      <w:r>
        <w:rPr>
          <w:rtl/>
        </w:rPr>
        <w:t>ש“ראש</w:t>
      </w:r>
      <w:proofErr w:type="spellEnd"/>
      <w:r>
        <w:rPr>
          <w:rtl/>
        </w:rPr>
        <w:t xml:space="preserve"> הישיבה ישים לב במיוחד” לצעיר, מפני שהיה בנו היחיד.</w:t>
      </w:r>
    </w:p>
    <w:bookmarkStart w:id="4734" w:name="b4_note133"/>
    <w:p w14:paraId="75FBC03C" w14:textId="77777777" w:rsidR="00AB3647" w:rsidRDefault="00000000" w:rsidP="007923E9">
      <w:pPr>
        <w:spacing w:before="120" w:after="100" w:line="276" w:lineRule="auto"/>
        <w:jc w:val="both"/>
      </w:pPr>
      <w:r>
        <w:fldChar w:fldCharType="begin" w:dirty="true"/>
      </w:r>
      <w:r>
        <w:instrText>HYPERLINK \l "b4_text133" \h</w:instrText>
      </w:r>
      <w:r>
        <w:fldChar w:fldCharType="separate"/>
      </w:r>
      <w:r>
        <w:rPr>
          <w:b/>
          <w:bCs/>
          <w:rtl/>
        </w:rPr>
        <w:t>133</w:t>
      </w:r>
      <w:r>
        <w:rPr>
          <w:b/>
          <w:bCs/>
        </w:rPr>
        <w:fldChar w:fldCharType="end"/>
      </w:r>
      <w:bookmarkEnd w:id="4734"/>
      <w:r>
        <w:rPr>
          <w:rtl/>
        </w:rPr>
        <w:t xml:space="preserve"> אמר רב </w:t>
      </w:r>
      <w:proofErr w:type="spellStart"/>
      <w:r>
        <w:rPr>
          <w:rtl/>
        </w:rPr>
        <w:t>חייא</w:t>
      </w:r>
      <w:proofErr w:type="spellEnd"/>
      <w:r>
        <w:rPr>
          <w:rtl/>
        </w:rPr>
        <w:t xml:space="preserve"> בר אבא, אפילו האב ובנו הרב ותלמידו </w:t>
      </w:r>
      <w:proofErr w:type="spellStart"/>
      <w:r>
        <w:rPr>
          <w:rtl/>
        </w:rPr>
        <w:t>שעוסקין</w:t>
      </w:r>
      <w:proofErr w:type="spellEnd"/>
      <w:r>
        <w:rPr>
          <w:rtl/>
        </w:rPr>
        <w:t xml:space="preserve"> בתורה בשער אחד [בית מדרש], נעשים אויבים זה את זה; ואינם זזים משם עד שנעשים אוהבים זה את זה שנא’ אֶת </w:t>
      </w:r>
      <w:proofErr w:type="spellStart"/>
      <w:r>
        <w:rPr>
          <w:rtl/>
        </w:rPr>
        <w:t>וָהֵב</w:t>
      </w:r>
      <w:proofErr w:type="spellEnd"/>
      <w:r>
        <w:rPr>
          <w:rtl/>
        </w:rPr>
        <w:t xml:space="preserve"> בְּסוּפָה</w:t>
      </w:r>
      <w:bookmarkStart w:id="4735" w:name="_fnr3502"/>
      <w:r>
        <w:rPr>
          <w:vertAlign w:val="superscript"/>
          <w:rtl/>
        </w:rPr>
        <w:footnoteReference w:id="3510" w:customMarkFollows="0"/>
      </w:r>
      <w:bookmarkStart w:id="4736" w:name="_fnr3503"/>
      <w:bookmarkEnd w:id="4735"/>
      <w:r>
        <w:rPr>
          <w:vertAlign w:val="superscript"/>
          <w:rtl/>
        </w:rPr>
        <w:footnoteReference w:id="3511" w:customMarkFollows="0"/>
      </w:r>
      <w:bookmarkEnd w:id="4736"/>
      <w:r>
        <w:rPr>
          <w:rtl/>
        </w:rPr>
        <w:t xml:space="preserve">. אבל לשונו הנוקבת של ר׳ לייזר </w:t>
      </w:r>
      <w:r>
        <w:rPr>
          <w:b/>
          <w:bCs/>
          <w:rtl/>
        </w:rPr>
        <w:t>מחוץ</w:t>
      </w:r>
      <w:r>
        <w:rPr>
          <w:rtl/>
        </w:rPr>
        <w:t xml:space="preserve"> לבית המדרש סיבכה אותו בצרות – השווה אמצע הפסקה השלישית של נספח יא להלן.</w:t>
      </w:r>
    </w:p>
    <w:p w14:paraId="560ABE73" w14:textId="77777777" w:rsidR="00AB3647" w:rsidRDefault="00000000" w:rsidP="007923E9">
      <w:pPr>
        <w:spacing w:after="120" w:line="276" w:lineRule="auto"/>
        <w:jc w:val="both"/>
      </w:pPr>
      <w:r>
        <w:rPr>
          <w:rtl/>
        </w:rPr>
        <w:t xml:space="preserve">בישיבת </w:t>
      </w:r>
      <w:proofErr w:type="spellStart"/>
      <w:r>
        <w:rPr>
          <w:rtl/>
        </w:rPr>
        <w:t>מיר</w:t>
      </w:r>
      <w:proofErr w:type="spellEnd"/>
      <w:r>
        <w:rPr>
          <w:rtl/>
        </w:rPr>
        <w:t xml:space="preserve"> בתקופה מאוחרת יותר עדיין היה מקובל להטיח עלבונות איש ברעהו בשעת “מלחמתה של תורה”, כפי שסיפר ר׳ שלמה לורנץ</w:t>
      </w:r>
      <w:bookmarkStart w:id="4737" w:name="_fnr3504"/>
      <w:r>
        <w:rPr>
          <w:vertAlign w:val="superscript"/>
          <w:rtl/>
        </w:rPr>
        <w:footnoteReference w:id="3512" w:customMarkFollows="0"/>
      </w:r>
      <w:bookmarkEnd w:id="4737"/>
      <w:r>
        <w:rPr>
          <w:rtl/>
        </w:rPr>
        <w:t xml:space="preserve">, שלמד </w:t>
      </w:r>
      <w:proofErr w:type="spellStart"/>
      <w:r>
        <w:rPr>
          <w:rtl/>
        </w:rPr>
        <w:t>במיר</w:t>
      </w:r>
      <w:proofErr w:type="spellEnd"/>
      <w:r>
        <w:rPr>
          <w:rtl/>
        </w:rPr>
        <w:t xml:space="preserve"> שנתיים וחצי החל </w:t>
      </w:r>
      <w:proofErr w:type="spellStart"/>
      <w:r>
        <w:rPr>
          <w:rtl/>
        </w:rPr>
        <w:t>מתרצ״ו</w:t>
      </w:r>
      <w:proofErr w:type="spellEnd"/>
      <w:r>
        <w:rPr>
          <w:rtl/>
        </w:rPr>
        <w:t xml:space="preserve">. הוא סיפר שכשבא מבודפשט הזדעזע לשמוע בחור צועק על חברו: “אתה עם הארץ!”, והלה משיב: “ואתה </w:t>
      </w:r>
      <w:proofErr w:type="spellStart"/>
      <w:r>
        <w:rPr>
          <w:rtl/>
        </w:rPr>
        <w:t>פויער</w:t>
      </w:r>
      <w:proofErr w:type="spellEnd"/>
      <w:r>
        <w:rPr>
          <w:rtl/>
        </w:rPr>
        <w:t xml:space="preserve"> [איכר]!” ר׳ שלמה ציין שבישיבות הונגריה, מי שהיה צועק כך על חברו היה מסולק בוודאי. הוא סיפר גם שבאחת משיחותיו מתח ר׳ </w:t>
      </w:r>
      <w:proofErr w:type="spellStart"/>
      <w:r>
        <w:rPr>
          <w:rtl/>
        </w:rPr>
        <w:t>חצקל</w:t>
      </w:r>
      <w:proofErr w:type="spellEnd"/>
      <w:r>
        <w:rPr>
          <w:rtl/>
        </w:rPr>
        <w:t xml:space="preserve"> </w:t>
      </w:r>
      <w:proofErr w:type="spellStart"/>
      <w:r>
        <w:rPr>
          <w:rtl/>
        </w:rPr>
        <w:t>לוינשטיין</w:t>
      </w:r>
      <w:proofErr w:type="spellEnd"/>
      <w:r>
        <w:rPr>
          <w:rtl/>
        </w:rPr>
        <w:t xml:space="preserve"> ביקורת על דיבור מסוג זה בין חברים, אך רק במתינות.</w:t>
      </w:r>
    </w:p>
    <w:p w14:paraId="753916F8" w14:textId="08B221FC"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 xml:space="preserve">כשהשיב ר׳ לייזר גורדון והמשיך בשיעור, הקשה שלמה </w:t>
      </w:r>
      <w:proofErr w:type="spellStart"/>
      <w:r>
        <w:rPr>
          <w:rtl/>
        </w:rPr>
        <w:t>פאריטשער</w:t>
      </w:r>
      <w:proofErr w:type="spellEnd"/>
      <w:r>
        <w:rPr>
          <w:rtl/>
        </w:rPr>
        <w:t xml:space="preserve"> מכנסת בית יצחק על נקודה מאוחרת יותר, ור׳ לייזר השיב, בעודו מחפש את תשובתו: “איי </w:t>
      </w:r>
      <w:proofErr w:type="spellStart"/>
      <w:r>
        <w:rPr>
          <w:rtl/>
        </w:rPr>
        <w:t>טערק</w:t>
      </w:r>
      <w:proofErr w:type="spellEnd"/>
      <w:r>
        <w:rPr>
          <w:rtl/>
        </w:rPr>
        <w:t xml:space="preserve"> [הו, טורקי]! אתה מפטפט כמו טורקי</w:t>
      </w:r>
      <w:r>
        <w:rPr>
          <w:sz w:val="18"/>
          <w:szCs w:val="18"/>
          <w:vertAlign w:val="superscript"/>
          <w:rtl/>
        </w:rPr>
        <w:fldChar w:fldCharType="begin" w:dirty="true"/>
      </w:r>
      <w:r>
        <w:rPr>
          <w:sz w:val="18"/>
          <w:szCs w:val="18"/>
          <w:vertAlign w:val="superscript"/>
          <w:rtl/>
        </w:rPr>
        <w:instrText xml:space="preserve"> REF b4_note130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130</w:t>
      </w:r>
      <w:r>
        <w:rPr>
          <w:sz w:val="18"/>
          <w:szCs w:val="18"/>
          <w:vertAlign w:val="superscript"/>
          <w:rtl/>
        </w:rPr>
        <w:fldChar w:fldCharType="end"/>
      </w:r>
      <w:r>
        <w:rPr>
          <w:rtl/>
        </w:rPr>
        <w:t>”.</w:t>
      </w:r>
    </w:p>
    <w:p w14:paraId="2A331617" w14:textId="1D91C820"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לאחר ערבית והבדלה, בדרכם חזרה ברגל על הגשר, דנו הבחורים בשיעור מכל צדדיו. ישראל פיליפובער</w:t>
      </w:r>
      <w:bookmarkStart w:id="4738" w:name="b4_text134"/>
      <w:bookmarkEnd w:id="4738"/>
      <w:r>
        <w:rPr>
          <w:sz w:val="18"/>
          <w:szCs w:val="18"/>
          <w:vertAlign w:val="superscript"/>
          <w:rtl/>
        </w:rPr>
        <w:fldChar w:fldCharType="begin" w:dirty="true"/>
      </w:r>
      <w:r>
        <w:rPr>
          <w:sz w:val="18"/>
          <w:szCs w:val="18"/>
          <w:vertAlign w:val="superscript"/>
          <w:rtl/>
        </w:rPr>
        <w:instrText xml:space="preserve"> REF b4_note134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134</w:t>
      </w:r>
      <w:r>
        <w:rPr>
          <w:sz w:val="18"/>
          <w:szCs w:val="18"/>
          <w:vertAlign w:val="superscript"/>
          <w:rtl/>
        </w:rPr>
        <w:fldChar w:fldCharType="end"/>
      </w:r>
      <w:r>
        <w:rPr>
          <w:rtl/>
        </w:rPr>
        <w:t xml:space="preserve">, תלמיד כנסת בית יצחק, הציע: “הבה ננתח איזו שאלה הייתה חזקה יותר – של </w:t>
      </w:r>
      <w:proofErr w:type="spellStart"/>
      <w:r>
        <w:rPr>
          <w:rtl/>
        </w:rPr>
        <w:t>הסיסלוביצ׳ר</w:t>
      </w:r>
      <w:proofErr w:type="spellEnd"/>
      <w:r>
        <w:rPr>
          <w:rtl/>
        </w:rPr>
        <w:t xml:space="preserve"> או של </w:t>
      </w:r>
      <w:proofErr w:type="spellStart"/>
      <w:r>
        <w:rPr>
          <w:rtl/>
        </w:rPr>
        <w:t>פאריטשער</w:t>
      </w:r>
      <w:proofErr w:type="spellEnd"/>
      <w:r>
        <w:rPr>
          <w:rtl/>
        </w:rPr>
        <w:t xml:space="preserve"> – לפי תגובת ר׳ לייזר, ולא לפי </w:t>
      </w:r>
      <w:proofErr w:type="spellStart"/>
      <w:r>
        <w:rPr>
          <w:rtl/>
        </w:rPr>
        <w:t>היגיונן</w:t>
      </w:r>
      <w:proofErr w:type="spellEnd"/>
      <w:r>
        <w:rPr>
          <w:rtl/>
        </w:rPr>
        <w:t xml:space="preserve"> הפנימי. אנו יודעים שככל שהשאלה על שיעורו הייתה תקיפה יותר, כך הייתה תשובתו נוקבת יותר</w:t>
      </w:r>
      <w:bookmarkStart w:id="4739" w:name="b4_text135"/>
      <w:bookmarkEnd w:id="4739"/>
      <w:r>
        <w:rPr>
          <w:sz w:val="18"/>
          <w:szCs w:val="18"/>
          <w:vertAlign w:val="superscript"/>
          <w:rtl/>
        </w:rPr>
        <w:fldChar w:fldCharType="begin" w:dirty="true"/>
      </w:r>
      <w:r>
        <w:rPr>
          <w:sz w:val="18"/>
          <w:szCs w:val="18"/>
          <w:vertAlign w:val="superscript"/>
          <w:rtl/>
        </w:rPr>
        <w:instrText xml:space="preserve"> REF b4_note135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135</w:t>
      </w:r>
      <w:r>
        <w:rPr>
          <w:sz w:val="18"/>
          <w:szCs w:val="18"/>
          <w:vertAlign w:val="superscript"/>
          <w:rtl/>
        </w:rPr>
        <w:fldChar w:fldCharType="end"/>
      </w:r>
      <w:r>
        <w:rPr>
          <w:rtl/>
        </w:rPr>
        <w:t xml:space="preserve">. את מי, אם כן, ‘כיבד’ בכינוי המבזה יותר?” </w:t>
      </w:r>
      <w:proofErr w:type="spellStart"/>
      <w:r>
        <w:rPr>
          <w:rtl/>
        </w:rPr>
        <w:t>קאפל</w:t>
      </w:r>
      <w:proofErr w:type="spellEnd"/>
      <w:r>
        <w:rPr>
          <w:rtl/>
        </w:rPr>
        <w:t xml:space="preserve"> </w:t>
      </w:r>
      <w:proofErr w:type="spellStart"/>
      <w:r>
        <w:rPr>
          <w:rtl/>
        </w:rPr>
        <w:t>קעלמער</w:t>
      </w:r>
      <w:proofErr w:type="spellEnd"/>
      <w:r>
        <w:rPr>
          <w:rtl/>
        </w:rPr>
        <w:t xml:space="preserve">, חבר צעיר מכנסת בית יצחק, הכריע את השאלה </w:t>
      </w:r>
      <w:proofErr w:type="spellStart"/>
      <w:r>
        <w:rPr>
          <w:rtl/>
        </w:rPr>
        <w:t>חד־משמעית</w:t>
      </w:r>
      <w:proofErr w:type="spellEnd"/>
      <w:r>
        <w:rPr>
          <w:rtl/>
        </w:rPr>
        <w:t xml:space="preserve">: “טורקי מבזה יותר </w:t>
      </w:r>
      <w:proofErr w:type="spellStart"/>
      <w:r>
        <w:rPr>
          <w:rtl/>
        </w:rPr>
        <w:t>משייגעץ</w:t>
      </w:r>
      <w:proofErr w:type="spellEnd"/>
      <w:r>
        <w:rPr>
          <w:rtl/>
        </w:rPr>
        <w:t>, שכן טורקי הוא גם שייגעץ</w:t>
      </w:r>
      <w:bookmarkStart w:id="4740" w:name="b4_text136"/>
      <w:bookmarkEnd w:id="4740"/>
      <w:r>
        <w:rPr>
          <w:sz w:val="18"/>
          <w:szCs w:val="18"/>
          <w:vertAlign w:val="superscript"/>
          <w:rtl/>
        </w:rPr>
        <w:fldChar w:fldCharType="begin" w:dirty="true"/>
      </w:r>
      <w:r>
        <w:rPr>
          <w:sz w:val="18"/>
          <w:szCs w:val="18"/>
          <w:vertAlign w:val="superscript"/>
          <w:rtl/>
        </w:rPr>
        <w:instrText xml:space="preserve"> REF b4_note136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 xml:space="preserve">136 </w:t>
      </w:r>
      <w:r>
        <w:rPr>
          <w:sz w:val="18"/>
          <w:szCs w:val="18"/>
          <w:vertAlign w:val="superscript"/>
          <w:rtl/>
        </w:rPr>
        <w:fldChar w:fldCharType="end"/>
      </w:r>
      <w:r>
        <w:rPr>
          <w:rtl/>
        </w:rPr>
        <w:t xml:space="preserve">. ברור אם כן ששלמה </w:t>
      </w:r>
      <w:proofErr w:type="spellStart"/>
      <w:r>
        <w:rPr>
          <w:rtl/>
        </w:rPr>
        <w:t>פאריטשער</w:t>
      </w:r>
      <w:proofErr w:type="spellEnd"/>
      <w:r>
        <w:rPr>
          <w:rtl/>
        </w:rPr>
        <w:t xml:space="preserve"> שאל את השאלה הטובה יותר</w:t>
      </w:r>
      <w:bookmarkStart w:id="4741" w:name="b4_text137"/>
      <w:bookmarkEnd w:id="4741"/>
      <w:r>
        <w:rPr>
          <w:sz w:val="18"/>
          <w:szCs w:val="18"/>
          <w:vertAlign w:val="superscript"/>
          <w:rtl/>
        </w:rPr>
        <w:fldChar w:fldCharType="begin" w:dirty="true"/>
      </w:r>
      <w:r>
        <w:rPr>
          <w:sz w:val="18"/>
          <w:szCs w:val="18"/>
          <w:vertAlign w:val="superscript"/>
          <w:rtl/>
        </w:rPr>
        <w:instrText xml:space="preserve"> REF b4_note137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137</w:t>
      </w:r>
      <w:r>
        <w:rPr>
          <w:sz w:val="18"/>
          <w:szCs w:val="18"/>
          <w:vertAlign w:val="superscript"/>
          <w:rtl/>
        </w:rPr>
        <w:fldChar w:fldCharType="end"/>
      </w:r>
      <w:r>
        <w:rPr>
          <w:rtl/>
        </w:rPr>
        <w:t>”.</w:t>
      </w:r>
    </w:p>
    <w:bookmarkStart w:id="4742" w:name="b4_note134"/>
    <w:p w14:paraId="04E33CB6" w14:textId="77777777" w:rsidR="00AB3647" w:rsidRDefault="00000000" w:rsidP="007923E9">
      <w:pPr>
        <w:spacing w:before="120" w:after="100" w:line="276" w:lineRule="auto"/>
        <w:jc w:val="both"/>
      </w:pPr>
      <w:r>
        <w:fldChar w:fldCharType="begin" w:dirty="true"/>
      </w:r>
      <w:r>
        <w:instrText>HYPERLINK \l "b4_text134" \h</w:instrText>
      </w:r>
      <w:r>
        <w:fldChar w:fldCharType="separate"/>
      </w:r>
      <w:r>
        <w:rPr>
          <w:b/>
          <w:bCs/>
          <w:rtl/>
        </w:rPr>
        <w:t>134</w:t>
      </w:r>
      <w:r>
        <w:rPr>
          <w:b/>
          <w:bCs/>
        </w:rPr>
        <w:fldChar w:fldCharType="end"/>
      </w:r>
      <w:bookmarkEnd w:id="4742"/>
      <w:r>
        <w:rPr>
          <w:rtl/>
        </w:rPr>
        <w:t xml:space="preserve"> ר׳ ישראל </w:t>
      </w:r>
      <w:proofErr w:type="spellStart"/>
      <w:r>
        <w:rPr>
          <w:rtl/>
        </w:rPr>
        <w:t>פיליפובער</w:t>
      </w:r>
      <w:proofErr w:type="spellEnd"/>
      <w:r>
        <w:rPr>
          <w:rtl/>
        </w:rPr>
        <w:t xml:space="preserve"> – שם משפחתו היה גולדמן – כיהן לימים כרב </w:t>
      </w:r>
      <w:proofErr w:type="spellStart"/>
      <w:r>
        <w:rPr>
          <w:rtl/>
        </w:rPr>
        <w:t>בווילקס־באר</w:t>
      </w:r>
      <w:proofErr w:type="spellEnd"/>
      <w:r>
        <w:rPr>
          <w:rtl/>
        </w:rPr>
        <w:t xml:space="preserve">, פנסילבניה. לדברי ר׳ קופל </w:t>
      </w:r>
      <w:proofErr w:type="spellStart"/>
      <w:r>
        <w:rPr>
          <w:rtl/>
        </w:rPr>
        <w:t>וולפרט</w:t>
      </w:r>
      <w:bookmarkStart w:id="4743" w:name="_fnr3505"/>
      <w:proofErr w:type="spellEnd"/>
      <w:r>
        <w:rPr>
          <w:vertAlign w:val="superscript"/>
          <w:rtl/>
        </w:rPr>
        <w:footnoteReference w:id="3513" w:customMarkFollows="0"/>
      </w:r>
      <w:bookmarkEnd w:id="4743"/>
      <w:r>
        <w:rPr>
          <w:rtl/>
        </w:rPr>
        <w:t xml:space="preserve">, כשר׳ </w:t>
      </w:r>
      <w:proofErr w:type="spellStart"/>
      <w:r>
        <w:rPr>
          <w:rtl/>
        </w:rPr>
        <w:t>יעקב־יצחק</w:t>
      </w:r>
      <w:proofErr w:type="spellEnd"/>
      <w:r>
        <w:rPr>
          <w:rtl/>
        </w:rPr>
        <w:t xml:space="preserve"> </w:t>
      </w:r>
      <w:proofErr w:type="spellStart"/>
      <w:r>
        <w:rPr>
          <w:rtl/>
        </w:rPr>
        <w:t>רודרמן</w:t>
      </w:r>
      <w:proofErr w:type="spellEnd"/>
      <w:r>
        <w:rPr>
          <w:rtl/>
        </w:rPr>
        <w:t xml:space="preserve"> “דיבר בלימוד” עם </w:t>
      </w:r>
      <w:proofErr w:type="spellStart"/>
      <w:r>
        <w:rPr>
          <w:rtl/>
        </w:rPr>
        <w:t>פיליפובער</w:t>
      </w:r>
      <w:proofErr w:type="spellEnd"/>
      <w:r>
        <w:rPr>
          <w:rtl/>
        </w:rPr>
        <w:t xml:space="preserve"> בפעם הראשונה – הם נפגשו בארצות הברית – התרשם כל כך מגאונותו, שמכאן ואילך כינה אותו “</w:t>
      </w:r>
      <w:proofErr w:type="spellStart"/>
      <w:r>
        <w:rPr>
          <w:rtl/>
        </w:rPr>
        <w:t>קליינער</w:t>
      </w:r>
      <w:proofErr w:type="spellEnd"/>
      <w:r>
        <w:rPr>
          <w:rtl/>
        </w:rPr>
        <w:t xml:space="preserve"> רבי מאיר שמחה [ר׳ </w:t>
      </w:r>
      <w:proofErr w:type="spellStart"/>
      <w:r>
        <w:rPr>
          <w:rtl/>
        </w:rPr>
        <w:t>מאיר־שמחה</w:t>
      </w:r>
      <w:proofErr w:type="spellEnd"/>
      <w:r>
        <w:rPr>
          <w:rtl/>
        </w:rPr>
        <w:t xml:space="preserve"> הקטן (כהן, הגאון </w:t>
      </w:r>
      <w:proofErr w:type="spellStart"/>
      <w:r>
        <w:rPr>
          <w:rtl/>
        </w:rPr>
        <w:t>מדווינסק</w:t>
      </w:r>
      <w:proofErr w:type="spellEnd"/>
      <w:r>
        <w:rPr>
          <w:rtl/>
        </w:rPr>
        <w:t>)]”.</w:t>
      </w:r>
    </w:p>
    <w:p w14:paraId="1C9CC91E" w14:textId="77777777" w:rsidR="00AB3647" w:rsidRDefault="00000000" w:rsidP="007923E9">
      <w:pPr>
        <w:spacing w:before="120" w:after="100" w:line="276" w:lineRule="auto"/>
        <w:jc w:val="both"/>
      </w:pPr>
      <w:r>
        <w:rPr>
          <w:rtl/>
        </w:rPr>
        <w:lastRenderedPageBreak/>
        <w:t xml:space="preserve">תלמיד זה מוזכר גם במאמרו של </w:t>
      </w:r>
      <w:proofErr w:type="spellStart"/>
      <w:r>
        <w:rPr>
          <w:rtl/>
        </w:rPr>
        <w:t>הירש־לייב</w:t>
      </w:r>
      <w:proofErr w:type="spellEnd"/>
      <w:r>
        <w:rPr>
          <w:rtl/>
        </w:rPr>
        <w:t xml:space="preserve"> גורדון “על גדות </w:t>
      </w:r>
      <w:proofErr w:type="spellStart"/>
      <w:r>
        <w:rPr>
          <w:rtl/>
        </w:rPr>
        <w:t>הוויליה</w:t>
      </w:r>
      <w:proofErr w:type="spellEnd"/>
      <w:r>
        <w:rPr>
          <w:rtl/>
        </w:rPr>
        <w:t xml:space="preserve"> </w:t>
      </w:r>
      <w:proofErr w:type="spellStart"/>
      <w:r>
        <w:rPr>
          <w:rtl/>
        </w:rPr>
        <w:t>והנימן</w:t>
      </w:r>
      <w:proofErr w:type="spellEnd"/>
      <w:r>
        <w:rPr>
          <w:rtl/>
        </w:rPr>
        <w:t xml:space="preserve">” </w:t>
      </w:r>
      <w:proofErr w:type="spellStart"/>
      <w:r>
        <w:rPr>
          <w:rtl/>
        </w:rPr>
        <w:t>ב“הדואר</w:t>
      </w:r>
      <w:proofErr w:type="spellEnd"/>
      <w:r>
        <w:rPr>
          <w:rtl/>
        </w:rPr>
        <w:t>”</w:t>
      </w:r>
      <w:bookmarkStart w:id="4744" w:name="_fnr3506"/>
      <w:bookmarkStart w:id="4745" w:name="pr_f_3396"/>
      <w:r>
        <w:rPr>
          <w:vertAlign w:val="superscript"/>
          <w:rtl/>
        </w:rPr>
        <w:footnoteReference w:id="3514" w:customMarkFollows="0"/>
      </w:r>
      <w:bookmarkEnd w:id="4744"/>
      <w:bookmarkEnd w:id="4745"/>
      <w:r>
        <w:rPr>
          <w:rtl/>
        </w:rPr>
        <w:t xml:space="preserve">, בין שלושה “בחורים מצוינים” שחלקו אכסניה </w:t>
      </w:r>
      <w:proofErr w:type="spellStart"/>
      <w:r>
        <w:rPr>
          <w:rtl/>
        </w:rPr>
        <w:t>ב“מאפיית</w:t>
      </w:r>
      <w:proofErr w:type="spellEnd"/>
      <w:r>
        <w:rPr>
          <w:rtl/>
        </w:rPr>
        <w:t xml:space="preserve"> ריבה </w:t>
      </w:r>
      <w:proofErr w:type="spellStart"/>
      <w:r>
        <w:rPr>
          <w:rtl/>
        </w:rPr>
        <w:t>רייץ</w:t>
      </w:r>
      <w:proofErr w:type="spellEnd"/>
      <w:r>
        <w:rPr>
          <w:rtl/>
        </w:rPr>
        <w:t xml:space="preserve">, שאפתה עוגות טעימות ביותר וגם הכינה קקאו מעולה מתוצרת ואן </w:t>
      </w:r>
      <w:proofErr w:type="spellStart"/>
      <w:r>
        <w:rPr>
          <w:rtl/>
        </w:rPr>
        <w:t>הוטן</w:t>
      </w:r>
      <w:proofErr w:type="spellEnd"/>
      <w:r>
        <w:rPr>
          <w:rtl/>
        </w:rPr>
        <w:t xml:space="preserve">; אנשי הבונד היו נפגשים שם גם הם בחשאי, ובני משפחת ריבה היו הנואמים המרכזיים </w:t>
      </w:r>
      <w:proofErr w:type="spellStart"/>
      <w:r>
        <w:rPr>
          <w:rtl/>
        </w:rPr>
        <w:t>באספות</w:t>
      </w:r>
      <w:proofErr w:type="spellEnd"/>
      <w:r>
        <w:rPr>
          <w:rtl/>
        </w:rPr>
        <w:t xml:space="preserve"> הללו”. שני </w:t>
      </w:r>
      <w:proofErr w:type="spellStart"/>
      <w:r>
        <w:rPr>
          <w:rtl/>
        </w:rPr>
        <w:t>ה“בחורים</w:t>
      </w:r>
      <w:proofErr w:type="spellEnd"/>
      <w:r>
        <w:rPr>
          <w:rtl/>
        </w:rPr>
        <w:t xml:space="preserve"> המצוינים” האחרים היו שמעון </w:t>
      </w:r>
      <w:proofErr w:type="spellStart"/>
      <w:r>
        <w:rPr>
          <w:rtl/>
        </w:rPr>
        <w:t>הקריצ׳בר</w:t>
      </w:r>
      <w:proofErr w:type="spellEnd"/>
      <w:r>
        <w:rPr>
          <w:rtl/>
        </w:rPr>
        <w:t xml:space="preserve"> ושאול </w:t>
      </w:r>
      <w:proofErr w:type="spellStart"/>
      <w:r>
        <w:rPr>
          <w:rtl/>
        </w:rPr>
        <w:t>רצקר</w:t>
      </w:r>
      <w:proofErr w:type="spellEnd"/>
      <w:r>
        <w:rPr>
          <w:rtl/>
        </w:rPr>
        <w:t>.</w:t>
      </w:r>
    </w:p>
    <w:bookmarkStart w:id="4746" w:name="b4_note135"/>
    <w:p w14:paraId="45DC43D0" w14:textId="77777777" w:rsidR="00AB3647" w:rsidRDefault="00000000" w:rsidP="007923E9">
      <w:pPr>
        <w:spacing w:before="120" w:after="100" w:line="276" w:lineRule="auto"/>
        <w:jc w:val="both"/>
      </w:pPr>
      <w:r>
        <w:fldChar w:fldCharType="begin" w:dirty="true"/>
      </w:r>
      <w:r>
        <w:instrText>HYPERLINK \l "b4_text135" \h</w:instrText>
      </w:r>
      <w:r>
        <w:fldChar w:fldCharType="separate"/>
      </w:r>
      <w:r>
        <w:rPr>
          <w:b/>
          <w:bCs/>
          <w:rtl/>
        </w:rPr>
        <w:t>135</w:t>
      </w:r>
      <w:r>
        <w:rPr>
          <w:b/>
          <w:bCs/>
        </w:rPr>
        <w:fldChar w:fldCharType="end"/>
      </w:r>
      <w:bookmarkEnd w:id="4746"/>
      <w:r>
        <w:rPr>
          <w:rtl/>
        </w:rPr>
        <w:t xml:space="preserve"> השווה “פון </w:t>
      </w:r>
      <w:proofErr w:type="spellStart"/>
      <w:r>
        <w:rPr>
          <w:rtl/>
        </w:rPr>
        <w:t>וואלאזין</w:t>
      </w:r>
      <w:proofErr w:type="spellEnd"/>
      <w:r>
        <w:rPr>
          <w:rtl/>
        </w:rPr>
        <w:t xml:space="preserve"> </w:t>
      </w:r>
      <w:proofErr w:type="spellStart"/>
      <w:r>
        <w:rPr>
          <w:rtl/>
        </w:rPr>
        <w:t>ביז</w:t>
      </w:r>
      <w:proofErr w:type="spellEnd"/>
      <w:r>
        <w:rPr>
          <w:rtl/>
        </w:rPr>
        <w:t xml:space="preserve"> ירושלים”</w:t>
      </w:r>
      <w:bookmarkStart w:id="4747" w:name="_fnr3507"/>
      <w:r>
        <w:rPr>
          <w:vertAlign w:val="superscript"/>
          <w:rtl/>
        </w:rPr>
        <w:footnoteReference w:id="3515" w:customMarkFollows="0"/>
      </w:r>
      <w:bookmarkEnd w:id="4747"/>
      <w:r>
        <w:rPr>
          <w:rtl/>
        </w:rPr>
        <w:t>.</w:t>
      </w:r>
    </w:p>
    <w:bookmarkStart w:id="4748" w:name="b4_note136"/>
    <w:p w14:paraId="2E225A15" w14:textId="7CB745BE" w:rsidR="00AB3647" w:rsidRDefault="00000000" w:rsidP="007923E9">
      <w:pPr>
        <w:spacing w:before="120" w:after="100" w:line="276" w:lineRule="auto"/>
        <w:jc w:val="both"/>
      </w:pPr>
      <w:r>
        <w:fldChar w:fldCharType="begin" w:dirty="true"/>
      </w:r>
      <w:r>
        <w:instrText>HYPERLINK \l "b4_text136"</w:instrText>
      </w:r>
      <w:r>
        <w:fldChar w:fldCharType="separate"/>
      </w:r>
      <w:r>
        <w:rPr>
          <w:b/>
          <w:bCs/>
          <w:rtl/>
        </w:rPr>
        <w:t xml:space="preserve">136 </w:t>
      </w:r>
      <w:r>
        <w:rPr>
          <w:b/>
          <w:bCs/>
        </w:rPr>
        <w:fldChar w:fldCharType="end"/>
      </w:r>
      <w:bookmarkEnd w:id="4748"/>
      <w:r>
        <w:rPr>
          <w:rtl/>
        </w:rPr>
        <w:t xml:space="preserve">השווה הערה </w:t>
      </w:r>
      <w:hyperlink w:anchor="b4_text136">
        <w:r w:rsidR="007923E9" w:rsidRPr="007923E9">
          <w:rPr>
            <w:rStyle w:val="Hyperlink"/>
          </w:rPr>
          <w:t xml:space="preserve"/>
        </w:r>
      </w:hyperlink>
      <w:r>
        <w:rPr>
          <w:sz w:val="18"/>
          <w:szCs w:val="18"/>
          <w:vertAlign w:val="superscript"/>
          <w:rtl/>
        </w:rPr>
        <w:fldChar w:fldCharType="begin" w:dirty="true"/>
      </w:r>
      <w:r>
        <w:rPr>
          <w:sz w:val="18"/>
          <w:szCs w:val="18"/>
          <w:vertAlign w:val="superscript"/>
          <w:rtl/>
        </w:rPr>
        <w:instrText xml:space="preserve"> REF b4_note130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130</w:t>
      </w:r>
      <w:r>
        <w:rPr>
          <w:sz w:val="18"/>
          <w:szCs w:val="18"/>
          <w:vertAlign w:val="superscript"/>
          <w:rtl/>
        </w:rPr>
        <w:fldChar w:fldCharType="end"/>
      </w:r>
      <w:r>
        <w:rPr>
          <w:rtl/>
        </w:rPr>
        <w:t xml:space="preserve"> לעיל. השימוש של </w:t>
      </w:r>
      <w:proofErr w:type="spellStart"/>
      <w:r>
        <w:rPr>
          <w:rtl/>
        </w:rPr>
        <w:t>קעלמער</w:t>
      </w:r>
      <w:proofErr w:type="spellEnd"/>
      <w:r>
        <w:rPr>
          <w:rtl/>
        </w:rPr>
        <w:t xml:space="preserve"> במילה “</w:t>
      </w:r>
      <w:proofErr w:type="spellStart"/>
      <w:r>
        <w:rPr>
          <w:rtl/>
        </w:rPr>
        <w:t>שייגעץ</w:t>
      </w:r>
      <w:proofErr w:type="spellEnd"/>
      <w:r>
        <w:rPr>
          <w:rtl/>
        </w:rPr>
        <w:t>” חוזר למשמעותה הבסיסית של המילה: גוי (צעיר).</w:t>
      </w:r>
    </w:p>
    <w:bookmarkStart w:id="4749" w:name="b4_note137"/>
    <w:p w14:paraId="76E69119" w14:textId="1DFB8D3A" w:rsidR="00AB3647" w:rsidRDefault="00000000" w:rsidP="007923E9">
      <w:pPr>
        <w:spacing w:before="120" w:after="100" w:line="276" w:lineRule="auto"/>
        <w:jc w:val="both"/>
      </w:pPr>
      <w:r>
        <w:fldChar w:fldCharType="begin" w:dirty="true"/>
      </w:r>
      <w:r>
        <w:instrText>HYPERLINK \l "b4_text137" \h</w:instrText>
      </w:r>
      <w:r>
        <w:fldChar w:fldCharType="separate"/>
      </w:r>
      <w:r>
        <w:rPr>
          <w:b/>
          <w:bCs/>
          <w:rtl/>
        </w:rPr>
        <w:t>137</w:t>
      </w:r>
      <w:r>
        <w:rPr>
          <w:b/>
          <w:bCs/>
        </w:rPr>
        <w:fldChar w:fldCharType="end"/>
      </w:r>
      <w:bookmarkEnd w:id="4749"/>
      <w:r>
        <w:rPr>
          <w:rtl/>
        </w:rPr>
        <w:t xml:space="preserve"> ראה </w:t>
      </w:r>
      <w:r>
        <w:rPr>
          <w:rtl/>
        </w:rPr>
        <w:fldChar w:fldCharType="begin" w:dirty="true"/>
      </w:r>
      <w:r>
        <w:rPr>
          <w:rtl/>
        </w:rPr>
        <w:instrText xml:space="preserve"> REF b4_excP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טז</w:t>
      </w:r>
      <w:proofErr w:type="spellEnd"/>
      <w:r>
        <w:rPr>
          <w:rtl/>
        </w:rPr>
        <w:fldChar w:fldCharType="end"/>
      </w:r>
      <w:r>
        <w:rPr>
          <w:rtl/>
        </w:rPr>
        <w:t>.</w:t>
      </w:r>
    </w:p>
    <w:p w14:paraId="06595223" w14:textId="13AA51EA"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 xml:space="preserve">המבקר האחר באותו חורף היה ר׳ </w:t>
      </w:r>
      <w:proofErr w:type="spellStart"/>
      <w:r>
        <w:rPr>
          <w:rtl/>
        </w:rPr>
        <w:t>דוד׳ל</w:t>
      </w:r>
      <w:proofErr w:type="spellEnd"/>
      <w:r>
        <w:rPr>
          <w:rtl/>
        </w:rPr>
        <w:t xml:space="preserve"> </w:t>
      </w:r>
      <w:proofErr w:type="spellStart"/>
      <w:r>
        <w:rPr>
          <w:rtl/>
        </w:rPr>
        <w:t>קארלינער</w:t>
      </w:r>
      <w:proofErr w:type="spellEnd"/>
      <w:r>
        <w:rPr>
          <w:rtl/>
        </w:rPr>
        <w:t xml:space="preserve"> (פרידמן)</w:t>
      </w:r>
      <w:bookmarkStart w:id="4750" w:name="b4_text138"/>
      <w:bookmarkEnd w:id="4750"/>
      <w:r>
        <w:rPr>
          <w:sz w:val="18"/>
          <w:szCs w:val="18"/>
          <w:vertAlign w:val="superscript"/>
          <w:rtl/>
        </w:rPr>
        <w:fldChar w:fldCharType="begin" w:dirty="true"/>
      </w:r>
      <w:r>
        <w:rPr>
          <w:sz w:val="18"/>
          <w:szCs w:val="18"/>
          <w:vertAlign w:val="superscript"/>
          <w:rtl/>
        </w:rPr>
        <w:instrText xml:space="preserve"> REF b4_note138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138</w:t>
      </w:r>
      <w:r>
        <w:rPr>
          <w:sz w:val="18"/>
          <w:szCs w:val="18"/>
          <w:vertAlign w:val="superscript"/>
          <w:rtl/>
        </w:rPr>
        <w:fldChar w:fldCharType="end"/>
      </w:r>
      <w:r>
        <w:rPr>
          <w:rtl/>
        </w:rPr>
        <w:t>, שבא לקובנה</w:t>
      </w:r>
      <w:bookmarkStart w:id="4751" w:name="b4_text139"/>
      <w:bookmarkEnd w:id="4751"/>
      <w:r>
        <w:rPr>
          <w:sz w:val="18"/>
          <w:szCs w:val="18"/>
          <w:vertAlign w:val="superscript"/>
          <w:rtl/>
        </w:rPr>
        <w:fldChar w:fldCharType="begin" w:dirty="true"/>
      </w:r>
      <w:r>
        <w:rPr>
          <w:sz w:val="18"/>
          <w:szCs w:val="18"/>
          <w:vertAlign w:val="superscript"/>
          <w:rtl/>
        </w:rPr>
        <w:instrText xml:space="preserve"> REF b4_note139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139</w:t>
      </w:r>
      <w:r>
        <w:rPr>
          <w:sz w:val="18"/>
          <w:szCs w:val="18"/>
          <w:vertAlign w:val="superscript"/>
          <w:rtl/>
        </w:rPr>
        <w:fldChar w:fldCharType="end"/>
      </w:r>
      <w:r>
        <w:rPr>
          <w:rtl/>
        </w:rPr>
        <w:t xml:space="preserve"> לשבת. שתי ישיבות </w:t>
      </w:r>
      <w:proofErr w:type="spellStart"/>
      <w:r>
        <w:rPr>
          <w:rtl/>
        </w:rPr>
        <w:t>סלבודקה</w:t>
      </w:r>
      <w:proofErr w:type="spellEnd"/>
      <w:r>
        <w:rPr>
          <w:rtl/>
        </w:rPr>
        <w:t xml:space="preserve"> רעשו מן הידיעה שנזדמן להן לראות אחד מגדולי הגאונים של הדור. בעלי בתים חשובים, ידידי מארחו של ר׳ </w:t>
      </w:r>
      <w:proofErr w:type="spellStart"/>
      <w:r>
        <w:rPr>
          <w:rtl/>
        </w:rPr>
        <w:t>דוד׳ל</w:t>
      </w:r>
      <w:proofErr w:type="spellEnd"/>
      <w:r>
        <w:rPr>
          <w:rtl/>
        </w:rPr>
        <w:t xml:space="preserve">, הוזמנו במיוחד לדירה שבקומה העליונה, שבה התאכסן </w:t>
      </w:r>
      <w:proofErr w:type="spellStart"/>
      <w:r>
        <w:rPr>
          <w:rtl/>
        </w:rPr>
        <w:t>הקארלינער</w:t>
      </w:r>
      <w:proofErr w:type="spellEnd"/>
      <w:r>
        <w:rPr>
          <w:rtl/>
        </w:rPr>
        <w:t xml:space="preserve">. כשהגיעו תלמידי הישיבה, ובהם </w:t>
      </w:r>
      <w:proofErr w:type="spellStart"/>
      <w:r>
        <w:rPr>
          <w:rtl/>
        </w:rPr>
        <w:t>הדולהינובר</w:t>
      </w:r>
      <w:proofErr w:type="spellEnd"/>
      <w:r>
        <w:rPr>
          <w:rtl/>
        </w:rPr>
        <w:t>, היו המדרגות החיצוניות שעלו לדירה עמוסות אנשים שהמתינו להציץ בחכם הזקן.</w:t>
      </w:r>
    </w:p>
    <w:bookmarkStart w:id="4752" w:name="b4_note138"/>
    <w:p w14:paraId="2BB0CB7A" w14:textId="77777777" w:rsidR="00AB3647" w:rsidRDefault="00000000" w:rsidP="007923E9">
      <w:pPr>
        <w:spacing w:before="120" w:after="100" w:line="276" w:lineRule="auto"/>
        <w:jc w:val="both"/>
      </w:pPr>
      <w:r>
        <w:fldChar w:fldCharType="begin" w:dirty="true"/>
      </w:r>
      <w:r>
        <w:instrText>HYPERLINK \l "b4_text138" \h</w:instrText>
      </w:r>
      <w:r>
        <w:fldChar w:fldCharType="separate"/>
      </w:r>
      <w:r>
        <w:rPr>
          <w:b/>
          <w:bCs/>
          <w:rtl/>
        </w:rPr>
        <w:t>138</w:t>
      </w:r>
      <w:r>
        <w:rPr>
          <w:b/>
          <w:bCs/>
        </w:rPr>
        <w:fldChar w:fldCharType="end"/>
      </w:r>
      <w:bookmarkEnd w:id="4752"/>
      <w:r>
        <w:rPr>
          <w:rtl/>
        </w:rPr>
        <w:t xml:space="preserve"> נולד </w:t>
      </w:r>
      <w:proofErr w:type="spellStart"/>
      <w:r>
        <w:rPr>
          <w:rtl/>
        </w:rPr>
        <w:t>בתקפ״ח</w:t>
      </w:r>
      <w:proofErr w:type="spellEnd"/>
      <w:r>
        <w:rPr>
          <w:rtl/>
        </w:rPr>
        <w:t xml:space="preserve">, נפטר </w:t>
      </w:r>
      <w:proofErr w:type="spellStart"/>
      <w:r>
        <w:rPr>
          <w:rtl/>
        </w:rPr>
        <w:t>בתרע״ה</w:t>
      </w:r>
      <w:proofErr w:type="spellEnd"/>
      <w:r>
        <w:rPr>
          <w:rtl/>
        </w:rPr>
        <w:t xml:space="preserve">. כיהן כרב </w:t>
      </w:r>
      <w:proofErr w:type="spellStart"/>
      <w:r>
        <w:rPr>
          <w:rtl/>
        </w:rPr>
        <w:t>קרלין</w:t>
      </w:r>
      <w:proofErr w:type="spellEnd"/>
      <w:r>
        <w:rPr>
          <w:rtl/>
        </w:rPr>
        <w:t xml:space="preserve"> </w:t>
      </w:r>
      <w:proofErr w:type="spellStart"/>
      <w:r>
        <w:rPr>
          <w:rtl/>
        </w:rPr>
        <w:t>מתרכ״ו</w:t>
      </w:r>
      <w:proofErr w:type="spellEnd"/>
      <w:r>
        <w:rPr>
          <w:rtl/>
        </w:rPr>
        <w:t xml:space="preserve"> ואילך.</w:t>
      </w:r>
    </w:p>
    <w:bookmarkStart w:id="4753" w:name="b4_note139"/>
    <w:p w14:paraId="387ADB17" w14:textId="77777777" w:rsidR="00AB3647" w:rsidRDefault="00000000" w:rsidP="007923E9">
      <w:pPr>
        <w:spacing w:before="120" w:after="100" w:line="276" w:lineRule="auto"/>
        <w:jc w:val="both"/>
      </w:pPr>
      <w:r>
        <w:fldChar w:fldCharType="begin" w:dirty="true"/>
      </w:r>
      <w:r>
        <w:instrText>HYPERLINK \l "b4_text139" \h</w:instrText>
      </w:r>
      <w:r>
        <w:fldChar w:fldCharType="separate"/>
      </w:r>
      <w:r>
        <w:rPr>
          <w:b/>
          <w:bCs/>
          <w:rtl/>
        </w:rPr>
        <w:t>139</w:t>
      </w:r>
      <w:r>
        <w:rPr>
          <w:b/>
          <w:bCs/>
        </w:rPr>
        <w:fldChar w:fldCharType="end"/>
      </w:r>
      <w:bookmarkEnd w:id="4753"/>
      <w:r>
        <w:rPr>
          <w:rtl/>
        </w:rPr>
        <w:t xml:space="preserve"> המרואיין שמסר את כל פרטי הביקור, ר׳ קופל </w:t>
      </w:r>
      <w:proofErr w:type="spellStart"/>
      <w:r>
        <w:rPr>
          <w:rtl/>
        </w:rPr>
        <w:t>וולפרט</w:t>
      </w:r>
      <w:bookmarkStart w:id="4754" w:name="_fnr3508"/>
      <w:proofErr w:type="spellEnd"/>
      <w:r>
        <w:rPr>
          <w:vertAlign w:val="superscript"/>
          <w:rtl/>
        </w:rPr>
        <w:footnoteReference w:id="3516" w:customMarkFollows="0"/>
      </w:r>
      <w:bookmarkEnd w:id="4754"/>
      <w:r>
        <w:rPr>
          <w:rtl/>
        </w:rPr>
        <w:t xml:space="preserve">, אמר שר׳ </w:t>
      </w:r>
      <w:proofErr w:type="spellStart"/>
      <w:r>
        <w:rPr>
          <w:rtl/>
        </w:rPr>
        <w:t>דוד׳ל</w:t>
      </w:r>
      <w:proofErr w:type="spellEnd"/>
      <w:r>
        <w:rPr>
          <w:rtl/>
        </w:rPr>
        <w:t xml:space="preserve"> ביקר את “בנו ד״ר ישראל אלישיב, רופא שכתב בשם העט ‘בעל מחשבות’”. אבל אלישיב לא היה בנו של ר׳ </w:t>
      </w:r>
      <w:proofErr w:type="spellStart"/>
      <w:r>
        <w:rPr>
          <w:rtl/>
        </w:rPr>
        <w:t>דוד׳ל</w:t>
      </w:r>
      <w:proofErr w:type="spellEnd"/>
      <w:r>
        <w:rPr>
          <w:rtl/>
        </w:rPr>
        <w:t xml:space="preserve">. במאמרו </w:t>
      </w:r>
      <w:proofErr w:type="spellStart"/>
      <w:r>
        <w:rPr>
          <w:rtl/>
        </w:rPr>
        <w:t>ב“העבר</w:t>
      </w:r>
      <w:proofErr w:type="spellEnd"/>
      <w:r>
        <w:rPr>
          <w:rtl/>
        </w:rPr>
        <w:t>”</w:t>
      </w:r>
      <w:bookmarkStart w:id="4755" w:name="_fnr3509"/>
      <w:r>
        <w:rPr>
          <w:vertAlign w:val="superscript"/>
          <w:rtl/>
        </w:rPr>
        <w:footnoteReference w:id="3517" w:customMarkFollows="0"/>
      </w:r>
      <w:bookmarkEnd w:id="4755"/>
      <w:r>
        <w:rPr>
          <w:rtl/>
        </w:rPr>
        <w:t xml:space="preserve"> מתאר אלישיב את אביו כסוחר בקובנה. על פי מונוגרפיה בעברית </w:t>
      </w:r>
      <w:proofErr w:type="spellStart"/>
      <w:r>
        <w:rPr>
          <w:rtl/>
        </w:rPr>
        <w:t>ב“יהדות</w:t>
      </w:r>
      <w:proofErr w:type="spellEnd"/>
      <w:r>
        <w:rPr>
          <w:rtl/>
        </w:rPr>
        <w:t xml:space="preserve"> ליטא”</w:t>
      </w:r>
      <w:bookmarkStart w:id="4756" w:name="_fnr3510"/>
      <w:r>
        <w:rPr>
          <w:vertAlign w:val="superscript"/>
          <w:rtl/>
        </w:rPr>
        <w:footnoteReference w:id="3518" w:customMarkFollows="0"/>
      </w:r>
      <w:bookmarkEnd w:id="4756"/>
      <w:r>
        <w:rPr>
          <w:rtl/>
        </w:rPr>
        <w:t xml:space="preserve"> ובספרו של </w:t>
      </w:r>
      <w:proofErr w:type="spellStart"/>
      <w:r>
        <w:rPr>
          <w:rtl/>
        </w:rPr>
        <w:t>אטקס</w:t>
      </w:r>
      <w:proofErr w:type="spellEnd"/>
      <w:r>
        <w:rPr>
          <w:rtl/>
        </w:rPr>
        <w:t xml:space="preserve">, “ר׳ ישראל </w:t>
      </w:r>
      <w:proofErr w:type="spellStart"/>
      <w:r>
        <w:rPr>
          <w:rtl/>
        </w:rPr>
        <w:t>סלנטר</w:t>
      </w:r>
      <w:proofErr w:type="spellEnd"/>
      <w:r>
        <w:rPr>
          <w:rtl/>
        </w:rPr>
        <w:t xml:space="preserve"> וראשיתה של תנועת המוסר”</w:t>
      </w:r>
      <w:bookmarkStart w:id="4757" w:name="_fnr3511"/>
      <w:r>
        <w:rPr>
          <w:vertAlign w:val="superscript"/>
          <w:rtl/>
        </w:rPr>
        <w:footnoteReference w:id="3519" w:customMarkFollows="0"/>
      </w:r>
      <w:bookmarkEnd w:id="4757"/>
      <w:r>
        <w:rPr>
          <w:rtl/>
        </w:rPr>
        <w:t xml:space="preserve">, אביו של ישראל אלישיב היה ר׳ </w:t>
      </w:r>
      <w:proofErr w:type="spellStart"/>
      <w:r>
        <w:rPr>
          <w:rtl/>
        </w:rPr>
        <w:t>שלמה־זלקינד</w:t>
      </w:r>
      <w:proofErr w:type="spellEnd"/>
      <w:r>
        <w:rPr>
          <w:rtl/>
        </w:rPr>
        <w:t>, הוא “</w:t>
      </w:r>
      <w:proofErr w:type="spellStart"/>
      <w:r>
        <w:rPr>
          <w:rtl/>
        </w:rPr>
        <w:t>זלקינד</w:t>
      </w:r>
      <w:proofErr w:type="spellEnd"/>
      <w:r>
        <w:rPr>
          <w:rtl/>
        </w:rPr>
        <w:t xml:space="preserve"> </w:t>
      </w:r>
      <w:proofErr w:type="spellStart"/>
      <w:r>
        <w:rPr>
          <w:rtl/>
        </w:rPr>
        <w:t>אלישב</w:t>
      </w:r>
      <w:proofErr w:type="spellEnd"/>
      <w:r>
        <w:rPr>
          <w:rtl/>
        </w:rPr>
        <w:t xml:space="preserve"> (כך במקור), אחד מבעלי הבתים האמידים בקובנה”, שפרסם </w:t>
      </w:r>
      <w:proofErr w:type="spellStart"/>
      <w:r>
        <w:rPr>
          <w:rtl/>
        </w:rPr>
        <w:t>בתרנ״ז</w:t>
      </w:r>
      <w:proofErr w:type="spellEnd"/>
      <w:r>
        <w:rPr>
          <w:rtl/>
        </w:rPr>
        <w:t xml:space="preserve"> מודעה נגד התקפתו של ר׳ </w:t>
      </w:r>
      <w:proofErr w:type="spellStart"/>
      <w:r>
        <w:rPr>
          <w:rtl/>
        </w:rPr>
        <w:t>אברהם־אהרן</w:t>
      </w:r>
      <w:proofErr w:type="spellEnd"/>
      <w:r>
        <w:rPr>
          <w:rtl/>
        </w:rPr>
        <w:t xml:space="preserve"> </w:t>
      </w:r>
      <w:proofErr w:type="spellStart"/>
      <w:r>
        <w:rPr>
          <w:rtl/>
        </w:rPr>
        <w:t>בורשטין</w:t>
      </w:r>
      <w:bookmarkStart w:id="4758" w:name="_fnr3512"/>
      <w:proofErr w:type="spellEnd"/>
      <w:r>
        <w:rPr>
          <w:vertAlign w:val="superscript"/>
          <w:rtl/>
        </w:rPr>
        <w:footnoteReference w:id="3520" w:customMarkFollows="0"/>
      </w:r>
      <w:bookmarkEnd w:id="4758"/>
      <w:r>
        <w:rPr>
          <w:rtl/>
        </w:rPr>
        <w:t xml:space="preserve"> על בעלי המוסר</w:t>
      </w:r>
      <w:bookmarkStart w:id="4759" w:name="_fnr3513"/>
      <w:r>
        <w:rPr>
          <w:vertAlign w:val="superscript"/>
          <w:rtl/>
        </w:rPr>
        <w:footnoteReference w:id="3521" w:customMarkFollows="0"/>
      </w:r>
      <w:bookmarkEnd w:id="4759"/>
      <w:r>
        <w:rPr>
          <w:rtl/>
        </w:rPr>
        <w:t xml:space="preserve">. </w:t>
      </w:r>
      <w:proofErr w:type="spellStart"/>
      <w:r>
        <w:rPr>
          <w:rtl/>
        </w:rPr>
        <w:t>אמו</w:t>
      </w:r>
      <w:proofErr w:type="spellEnd"/>
      <w:r>
        <w:rPr>
          <w:rtl/>
        </w:rPr>
        <w:t xml:space="preserve"> של הסופר הייתה אחייניתו של ר׳ יעקב </w:t>
      </w:r>
      <w:proofErr w:type="spellStart"/>
      <w:r>
        <w:rPr>
          <w:rtl/>
        </w:rPr>
        <w:t>קרפס</w:t>
      </w:r>
      <w:proofErr w:type="spellEnd"/>
      <w:r>
        <w:rPr>
          <w:rtl/>
        </w:rPr>
        <w:t xml:space="preserve">, בן חסותו של ר׳ ישראל </w:t>
      </w:r>
      <w:proofErr w:type="spellStart"/>
      <w:r>
        <w:rPr>
          <w:rtl/>
        </w:rPr>
        <w:t>סלנטר</w:t>
      </w:r>
      <w:bookmarkStart w:id="4760" w:name="_fnr3514"/>
      <w:proofErr w:type="spellEnd"/>
      <w:r>
        <w:rPr>
          <w:vertAlign w:val="superscript"/>
          <w:rtl/>
        </w:rPr>
        <w:footnoteReference w:id="3522" w:customMarkFollows="0"/>
      </w:r>
      <w:bookmarkEnd w:id="4760"/>
      <w:r>
        <w:rPr>
          <w:rtl/>
        </w:rPr>
        <w:t>.</w:t>
      </w:r>
    </w:p>
    <w:p w14:paraId="5C33DE0A" w14:textId="77777777" w:rsidR="00AB3647" w:rsidRDefault="00000000" w:rsidP="007923E9">
      <w:pPr>
        <w:spacing w:before="120" w:after="100" w:line="276" w:lineRule="auto"/>
        <w:jc w:val="both"/>
      </w:pPr>
      <w:r>
        <w:rPr>
          <w:rtl/>
        </w:rPr>
        <w:t xml:space="preserve">בגיל עשר, </w:t>
      </w:r>
      <w:proofErr w:type="spellStart"/>
      <w:r>
        <w:rPr>
          <w:rtl/>
        </w:rPr>
        <w:t>בתרמ״ד</w:t>
      </w:r>
      <w:proofErr w:type="spellEnd"/>
      <w:r>
        <w:rPr>
          <w:rtl/>
        </w:rPr>
        <w:t xml:space="preserve">, נשלח ישראל אלישיב ללמוד </w:t>
      </w:r>
      <w:proofErr w:type="spellStart"/>
      <w:r>
        <w:rPr>
          <w:rtl/>
        </w:rPr>
        <w:t>בגרובין</w:t>
      </w:r>
      <w:proofErr w:type="spellEnd"/>
      <w:r>
        <w:rPr>
          <w:rtl/>
        </w:rPr>
        <w:t xml:space="preserve"> אצל ר׳ </w:t>
      </w:r>
      <w:proofErr w:type="spellStart"/>
      <w:r>
        <w:rPr>
          <w:rtl/>
        </w:rPr>
        <w:t>שמחה־זיסל</w:t>
      </w:r>
      <w:proofErr w:type="spellEnd"/>
      <w:r>
        <w:rPr>
          <w:rtl/>
        </w:rPr>
        <w:t xml:space="preserve"> זיו, אך החזיק שם מעמד שנתיים בלבד, ונותרו לו מן החוויה זיכרונות מרים, כפי שכתב במאמרו </w:t>
      </w:r>
      <w:proofErr w:type="spellStart"/>
      <w:r>
        <w:rPr>
          <w:rtl/>
        </w:rPr>
        <w:lastRenderedPageBreak/>
        <w:t>ב“העבר</w:t>
      </w:r>
      <w:proofErr w:type="spellEnd"/>
      <w:r>
        <w:rPr>
          <w:rtl/>
        </w:rPr>
        <w:t>”</w:t>
      </w:r>
      <w:bookmarkStart w:id="4761" w:name="_fnr3515"/>
      <w:r>
        <w:rPr>
          <w:vertAlign w:val="superscript"/>
          <w:rtl/>
        </w:rPr>
        <w:footnoteReference w:id="3523" w:customMarkFollows="0"/>
      </w:r>
      <w:bookmarkEnd w:id="4761"/>
      <w:r>
        <w:rPr>
          <w:rtl/>
        </w:rPr>
        <w:t xml:space="preserve">. </w:t>
      </w:r>
      <w:proofErr w:type="spellStart"/>
      <w:r>
        <w:rPr>
          <w:rtl/>
        </w:rPr>
        <w:t>צינוביץ</w:t>
      </w:r>
      <w:proofErr w:type="spellEnd"/>
      <w:r>
        <w:rPr>
          <w:rtl/>
        </w:rPr>
        <w:t>, “אישים וקהילות”</w:t>
      </w:r>
      <w:bookmarkStart w:id="4762" w:name="_fnr3516"/>
      <w:r>
        <w:rPr>
          <w:vertAlign w:val="superscript"/>
          <w:rtl/>
        </w:rPr>
        <w:footnoteReference w:id="3524" w:customMarkFollows="0"/>
      </w:r>
      <w:bookmarkEnd w:id="4762"/>
      <w:r>
        <w:rPr>
          <w:rtl/>
        </w:rPr>
        <w:t xml:space="preserve">, מוסיף מידע: אחת מכלותיו של ר׳ </w:t>
      </w:r>
      <w:proofErr w:type="spellStart"/>
      <w:r>
        <w:rPr>
          <w:rtl/>
        </w:rPr>
        <w:t>דוד׳ל</w:t>
      </w:r>
      <w:proofErr w:type="spellEnd"/>
      <w:r>
        <w:rPr>
          <w:rtl/>
        </w:rPr>
        <w:t xml:space="preserve"> הייתה בת משפחת אלישיב, אחות הסופר. לפי הסקירה הביוגרפית </w:t>
      </w:r>
      <w:proofErr w:type="spellStart"/>
      <w:r>
        <w:rPr>
          <w:rtl/>
        </w:rPr>
        <w:t>ב“יהדות</w:t>
      </w:r>
      <w:proofErr w:type="spellEnd"/>
      <w:r>
        <w:rPr>
          <w:rtl/>
        </w:rPr>
        <w:t xml:space="preserve"> ליטא”, שב הרופא, בן שלושים וארבע, לקובנה מולדתו ב־1907, לאחר שהות ממושכת במערב אירופה. מכאן מסגרת זמן המתאימה לביקורו של ר׳ </w:t>
      </w:r>
      <w:proofErr w:type="spellStart"/>
      <w:r>
        <w:rPr>
          <w:rtl/>
        </w:rPr>
        <w:t>דוד׳ל</w:t>
      </w:r>
      <w:proofErr w:type="spellEnd"/>
      <w:r>
        <w:rPr>
          <w:rtl/>
        </w:rPr>
        <w:t xml:space="preserve"> פרידמן בקובנה, ואולי גם הסבר למטרתו: רצונו לשמוע מאחי כלתו עדות מכלי ראשון על המצב במערב אירופה</w:t>
      </w:r>
      <w:bookmarkStart w:id="4763" w:name="_fnr3517"/>
      <w:r>
        <w:rPr>
          <w:vertAlign w:val="superscript"/>
          <w:rtl/>
        </w:rPr>
        <w:footnoteReference w:id="3525" w:customMarkFollows="0"/>
      </w:r>
      <w:bookmarkEnd w:id="4763"/>
      <w:r>
        <w:rPr>
          <w:rtl/>
        </w:rPr>
        <w:t>.</w:t>
      </w:r>
    </w:p>
    <w:p w14:paraId="4CDA19EC" w14:textId="2FFB7503"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 xml:space="preserve">החצר שלפני הבית הייתה מלאה אנשים כשבא גם ר׳ </w:t>
      </w:r>
      <w:proofErr w:type="spellStart"/>
      <w:r>
        <w:rPr>
          <w:rtl/>
        </w:rPr>
        <w:t>ברוך־בער</w:t>
      </w:r>
      <w:proofErr w:type="spellEnd"/>
      <w:r>
        <w:rPr>
          <w:rtl/>
        </w:rPr>
        <w:t xml:space="preserve"> לראות את ר׳ דוד׳ל</w:t>
      </w:r>
      <w:bookmarkStart w:id="4764" w:name="b4_text140"/>
      <w:bookmarkEnd w:id="4764"/>
      <w:r>
        <w:rPr>
          <w:sz w:val="18"/>
          <w:szCs w:val="18"/>
          <w:vertAlign w:val="superscript"/>
          <w:rtl/>
        </w:rPr>
        <w:fldChar w:fldCharType="begin" w:dirty="true"/>
      </w:r>
      <w:r>
        <w:rPr>
          <w:sz w:val="18"/>
          <w:szCs w:val="18"/>
          <w:vertAlign w:val="superscript"/>
          <w:rtl/>
        </w:rPr>
        <w:instrText xml:space="preserve"> REF b4_note140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140</w:t>
      </w:r>
      <w:r>
        <w:rPr>
          <w:sz w:val="18"/>
          <w:szCs w:val="18"/>
          <w:vertAlign w:val="superscript"/>
          <w:rtl/>
        </w:rPr>
        <w:fldChar w:fldCharType="end"/>
      </w:r>
      <w:r>
        <w:rPr>
          <w:rtl/>
        </w:rPr>
        <w:t>, והוא לא יכול היה להיכנס היישר לבית. בתנועת יד דחה את הצעת הקהל לפנות לו דרך, ונשאר עומד בחצר. אבל הידיעה מי ממתין בחוץ עברה מפה לפה, במעלה המדרגות ודרך הבית, עד שהגיעה לאוזני האורח. אז הובאה דמותו הזעירה של ר׳ דוד׳ל</w:t>
      </w:r>
      <w:bookmarkStart w:id="4765" w:name="b4_text141"/>
      <w:bookmarkEnd w:id="4765"/>
      <w:r>
        <w:rPr>
          <w:sz w:val="18"/>
          <w:szCs w:val="18"/>
          <w:vertAlign w:val="superscript"/>
          <w:rtl/>
        </w:rPr>
        <w:fldChar w:fldCharType="begin" w:dirty="true"/>
      </w:r>
      <w:r>
        <w:rPr>
          <w:sz w:val="18"/>
          <w:szCs w:val="18"/>
          <w:vertAlign w:val="superscript"/>
          <w:rtl/>
        </w:rPr>
        <w:instrText xml:space="preserve"> REF b4_note141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141</w:t>
      </w:r>
      <w:r>
        <w:rPr>
          <w:sz w:val="18"/>
          <w:szCs w:val="18"/>
          <w:vertAlign w:val="superscript"/>
          <w:rtl/>
        </w:rPr>
        <w:fldChar w:fldCharType="end"/>
      </w:r>
      <w:r>
        <w:rPr>
          <w:rtl/>
        </w:rPr>
        <w:t xml:space="preserve"> אל המרפסת, כשבני משפחתו תומכים בו מתחת לזרועותיו, כדי שיניד בראשו ויברך: “</w:t>
      </w:r>
      <w:proofErr w:type="spellStart"/>
      <w:r>
        <w:rPr>
          <w:rtl/>
        </w:rPr>
        <w:t xml:space="preserve">גוט שבת, גוט שבת”</w:t>
      </w:r>
      <w:proofErr w:type="spellEnd"/>
      <w:r>
        <w:rPr>
          <w:rtl/>
        </w:rPr>
        <w:t xml:space="preserve"/>
      </w:r>
      <w:proofErr w:type="spellStart"/>
      <w:r>
        <w:rPr>
          <w:rtl/>
        </w:rPr>
        <w:t xml:space="preserve"/>
      </w:r>
      <w:proofErr w:type="spellEnd"/>
      <w:r>
        <w:rPr>
          <w:rtl/>
        </w:rPr>
        <w:t xml:space="preserve">.</w:t>
      </w:r>
    </w:p>
    <w:bookmarkStart w:id="4766" w:name="b4_note140"/>
    <w:p w14:paraId="662148FA" w14:textId="5CC4D053" w:rsidR="00AB3647" w:rsidRDefault="00000000" w:rsidP="007923E9">
      <w:pPr>
        <w:spacing w:before="120" w:after="100" w:line="276" w:lineRule="auto"/>
        <w:jc w:val="both"/>
      </w:pPr>
      <w:r>
        <w:fldChar w:fldCharType="begin" w:dirty="true"/>
      </w:r>
      <w:r>
        <w:instrText>HYPERLINK \l "b4_text140" \h</w:instrText>
      </w:r>
      <w:r>
        <w:fldChar w:fldCharType="separate"/>
      </w:r>
      <w:r>
        <w:rPr>
          <w:b/>
          <w:bCs/>
          <w:rtl/>
        </w:rPr>
        <w:t>140</w:t>
      </w:r>
      <w:r>
        <w:rPr>
          <w:b/>
          <w:bCs/>
        </w:rPr>
        <w:fldChar w:fldCharType="end"/>
      </w:r>
      <w:bookmarkEnd w:id="4766"/>
      <w:r>
        <w:rPr>
          <w:rtl/>
        </w:rPr>
        <w:t xml:space="preserve"> ברשימותיו של ר׳ משה גרוסמן</w:t>
      </w:r>
      <w:bookmarkStart w:id="4767" w:name="_fnr3518"/>
      <w:r>
        <w:rPr>
          <w:vertAlign w:val="superscript"/>
          <w:rtl/>
        </w:rPr>
        <w:footnoteReference w:id="3526" w:customMarkFollows="0"/>
      </w:r>
      <w:bookmarkEnd w:id="4767"/>
      <w:r>
        <w:rPr>
          <w:rtl/>
        </w:rPr>
        <w:t xml:space="preserve"> מובאים דברי ר׳ מרדכי </w:t>
      </w:r>
      <w:proofErr w:type="spellStart"/>
      <w:r>
        <w:rPr>
          <w:rtl/>
        </w:rPr>
        <w:t>גיפטר</w:t>
      </w:r>
      <w:proofErr w:type="spellEnd"/>
      <w:r>
        <w:rPr>
          <w:rtl/>
        </w:rPr>
        <w:t xml:space="preserve">, שר׳ חיים </w:t>
      </w:r>
      <w:proofErr w:type="spellStart"/>
      <w:r>
        <w:rPr>
          <w:rtl/>
        </w:rPr>
        <w:t>סולובייצ׳יק</w:t>
      </w:r>
      <w:proofErr w:type="spellEnd"/>
      <w:r>
        <w:rPr>
          <w:rtl/>
        </w:rPr>
        <w:t xml:space="preserve"> פגש פעם את ר׳ </w:t>
      </w:r>
      <w:proofErr w:type="spellStart"/>
      <w:r>
        <w:rPr>
          <w:rtl/>
        </w:rPr>
        <w:t>דוד׳ל</w:t>
      </w:r>
      <w:proofErr w:type="spellEnd"/>
      <w:r>
        <w:rPr>
          <w:rtl/>
        </w:rPr>
        <w:t xml:space="preserve"> ברכבת, והם “דיברו בלימוד”. כשהזכיר ר׳ חיים חקירה שעסק בה באותה שעה, אמר לו ר׳ </w:t>
      </w:r>
      <w:proofErr w:type="spellStart"/>
      <w:r>
        <w:rPr>
          <w:rtl/>
        </w:rPr>
        <w:t>דוד׳ל</w:t>
      </w:r>
      <w:proofErr w:type="spellEnd"/>
      <w:r>
        <w:rPr>
          <w:rtl/>
        </w:rPr>
        <w:t xml:space="preserve"> שיש ראיה ברורה לאחד מצדדיה מתוך תוספות. ר׳ </w:t>
      </w:r>
      <w:proofErr w:type="spellStart"/>
      <w:r>
        <w:rPr>
          <w:rtl/>
        </w:rPr>
        <w:t>ברוך־בער</w:t>
      </w:r>
      <w:proofErr w:type="spellEnd"/>
      <w:r>
        <w:rPr>
          <w:rtl/>
        </w:rPr>
        <w:t xml:space="preserve"> סיפר שר׳ חיים התרשם כל כך, שמכאן ואילך היה אומר: “ר׳ </w:t>
      </w:r>
      <w:proofErr w:type="spellStart"/>
      <w:r>
        <w:rPr>
          <w:rtl/>
        </w:rPr>
        <w:t>דוד׳ל</w:t>
      </w:r>
      <w:proofErr w:type="spellEnd"/>
      <w:r>
        <w:rPr>
          <w:rtl/>
        </w:rPr>
        <w:t xml:space="preserve"> הוא תוספות!” אין פלא שר׳ </w:t>
      </w:r>
      <w:proofErr w:type="spellStart"/>
      <w:r>
        <w:rPr>
          <w:rtl/>
        </w:rPr>
        <w:t>ברוך־בער</w:t>
      </w:r>
      <w:proofErr w:type="spellEnd"/>
      <w:r>
        <w:rPr>
          <w:rtl/>
        </w:rPr>
        <w:t xml:space="preserve"> בא לראות חכם שרבו הוקירו כל כך. השווה גם פרק 3, </w:t>
      </w:r>
      <w:r>
        <w:rPr>
          <w:rtl/>
        </w:rPr>
        <w:fldChar w:fldCharType="begin" w:dirty="true"/>
      </w:r>
      <w:r>
        <w:rPr>
          <w:rtl/>
        </w:rPr>
        <w:instrText xml:space="preserve"> REF b3_excFF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לב</w:t>
      </w:r>
      <w:r>
        <w:rPr>
          <w:rtl/>
        </w:rPr>
        <w:fldChar w:fldCharType="end"/>
      </w:r>
      <w:r>
        <w:rPr>
          <w:rtl/>
        </w:rPr>
        <w:t xml:space="preserve">, שר׳ </w:t>
      </w:r>
      <w:proofErr w:type="spellStart"/>
      <w:r>
        <w:rPr>
          <w:rtl/>
        </w:rPr>
        <w:t>דוד׳ל</w:t>
      </w:r>
      <w:proofErr w:type="spellEnd"/>
      <w:r>
        <w:rPr>
          <w:rtl/>
        </w:rPr>
        <w:t xml:space="preserve"> נחשב גדול מן המעלה העליונה.</w:t>
      </w:r>
    </w:p>
    <w:p w14:paraId="25F97B49" w14:textId="77777777" w:rsidR="00AB3647" w:rsidRDefault="00000000" w:rsidP="007923E9">
      <w:pPr>
        <w:spacing w:before="120" w:after="100" w:line="276" w:lineRule="auto"/>
        <w:jc w:val="both"/>
      </w:pPr>
      <w:r>
        <w:rPr>
          <w:rtl/>
        </w:rPr>
        <w:t xml:space="preserve">ר׳ אלי׳ </w:t>
      </w:r>
      <w:proofErr w:type="spellStart"/>
      <w:r>
        <w:rPr>
          <w:rtl/>
        </w:rPr>
        <w:t>קושלבסקי</w:t>
      </w:r>
      <w:proofErr w:type="spellEnd"/>
      <w:r>
        <w:rPr>
          <w:rtl/>
        </w:rPr>
        <w:t xml:space="preserve"> סיפר</w:t>
      </w:r>
      <w:bookmarkStart w:id="4768" w:name="_fnr3519"/>
      <w:r>
        <w:rPr>
          <w:vertAlign w:val="superscript"/>
          <w:rtl/>
        </w:rPr>
        <w:footnoteReference w:id="3527" w:customMarkFollows="0"/>
      </w:r>
      <w:bookmarkEnd w:id="4768"/>
      <w:r>
        <w:rPr>
          <w:rtl/>
        </w:rPr>
        <w:t xml:space="preserve"> שאדם בא לבקר את ר׳ </w:t>
      </w:r>
      <w:proofErr w:type="spellStart"/>
      <w:r>
        <w:rPr>
          <w:rtl/>
        </w:rPr>
        <w:t>דוד׳ל</w:t>
      </w:r>
      <w:proofErr w:type="spellEnd"/>
      <w:r>
        <w:rPr>
          <w:rtl/>
        </w:rPr>
        <w:t xml:space="preserve">, ופגש בחדר הכניסה את ר׳ חיים, שגם הוא המתין לו. המבקר שאל את ר׳ חיים שאלה, בלי לציין את מקורה – תוספות שאינו מצוי – ור׳ חיים החל לנסות להשיב. אז נכנס ר׳ </w:t>
      </w:r>
      <w:proofErr w:type="spellStart"/>
      <w:r>
        <w:rPr>
          <w:rtl/>
        </w:rPr>
        <w:t>דוד׳ל</w:t>
      </w:r>
      <w:proofErr w:type="spellEnd"/>
      <w:r>
        <w:rPr>
          <w:rtl/>
        </w:rPr>
        <w:t xml:space="preserve"> ושאל על מה דנים, והאיש חזר על השאלה ששאל את ר׳ חיים. ר׳ </w:t>
      </w:r>
      <w:proofErr w:type="spellStart"/>
      <w:r>
        <w:rPr>
          <w:rtl/>
        </w:rPr>
        <w:t>דוד׳ל</w:t>
      </w:r>
      <w:proofErr w:type="spellEnd"/>
      <w:r>
        <w:rPr>
          <w:rtl/>
        </w:rPr>
        <w:t xml:space="preserve"> חייך ויצא מיד [כדי שלא להביך את ר׳ חיים בציינו שנעלמו ממנו דברי תוספות]. ייתכן שסיפורו של ר׳ אלי׳ הוא גרסה של אותו מאורע שסיפר ר׳ מרדכי </w:t>
      </w:r>
      <w:proofErr w:type="spellStart"/>
      <w:r>
        <w:rPr>
          <w:rtl/>
        </w:rPr>
        <w:t>גיפטר</w:t>
      </w:r>
      <w:proofErr w:type="spellEnd"/>
      <w:r>
        <w:rPr>
          <w:rtl/>
        </w:rPr>
        <w:t>.</w:t>
      </w:r>
    </w:p>
    <w:bookmarkStart w:id="4769" w:name="b4_note141"/>
    <w:p w14:paraId="6EFB588A" w14:textId="0578F100" w:rsidR="00AB3647" w:rsidRDefault="00000000" w:rsidP="007923E9">
      <w:pPr>
        <w:spacing w:before="120" w:after="100" w:line="276" w:lineRule="auto"/>
        <w:jc w:val="both"/>
      </w:pPr>
      <w:r>
        <w:fldChar w:fldCharType="begin" w:dirty="true"/>
      </w:r>
      <w:r>
        <w:instrText>HYPERLINK \l "b4_text141" \h</w:instrText>
      </w:r>
      <w:r>
        <w:fldChar w:fldCharType="separate"/>
      </w:r>
      <w:r>
        <w:rPr>
          <w:b/>
          <w:bCs/>
          <w:rtl/>
        </w:rPr>
        <w:t>141</w:t>
      </w:r>
      <w:r>
        <w:rPr>
          <w:b/>
          <w:bCs/>
        </w:rPr>
        <w:fldChar w:fldCharType="end"/>
      </w:r>
      <w:bookmarkEnd w:id="4769"/>
      <w:r>
        <w:rPr>
          <w:rtl/>
        </w:rPr>
        <w:t xml:space="preserve"> ראה </w:t>
      </w:r>
      <w:r>
        <w:rPr>
          <w:rtl/>
        </w:rPr>
        <w:fldChar w:fldCharType="begin" w:dirty="true"/>
      </w:r>
      <w:r>
        <w:rPr>
          <w:rtl/>
        </w:rPr>
        <w:instrText xml:space="preserve"> REF b4_excQ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יז</w:t>
      </w:r>
      <w:proofErr w:type="spellEnd"/>
      <w:r>
        <w:rPr>
          <w:rtl/>
        </w:rPr>
        <w:fldChar w:fldCharType="end"/>
      </w:r>
      <w:r>
        <w:rPr>
          <w:rtl/>
        </w:rPr>
        <w:t>.</w:t>
      </w:r>
    </w:p>
    <w:p w14:paraId="3B8088BD" w14:textId="3955BF59"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 xml:space="preserve">כשראה ר׳ </w:t>
      </w:r>
      <w:proofErr w:type="spellStart"/>
      <w:r>
        <w:rPr>
          <w:rtl/>
        </w:rPr>
        <w:t>ברוך־בער</w:t>
      </w:r>
      <w:proofErr w:type="spellEnd"/>
      <w:r>
        <w:rPr>
          <w:rtl/>
        </w:rPr>
        <w:t xml:space="preserve"> את פניו המאירות, הדומות לקלף, של ר׳ דוד׳ל</w:t>
      </w:r>
      <w:bookmarkStart w:id="4770" w:name="b4_text142"/>
      <w:bookmarkEnd w:id="4770"/>
      <w:r>
        <w:rPr>
          <w:sz w:val="18"/>
          <w:szCs w:val="18"/>
          <w:vertAlign w:val="superscript"/>
          <w:rtl/>
        </w:rPr>
        <w:fldChar w:fldCharType="begin" w:dirty="true"/>
      </w:r>
      <w:r>
        <w:rPr>
          <w:sz w:val="18"/>
          <w:szCs w:val="18"/>
          <w:vertAlign w:val="superscript"/>
          <w:rtl/>
        </w:rPr>
        <w:instrText xml:space="preserve"> REF b4_note142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142</w:t>
      </w:r>
      <w:r>
        <w:rPr>
          <w:sz w:val="18"/>
          <w:szCs w:val="18"/>
          <w:vertAlign w:val="superscript"/>
          <w:rtl/>
        </w:rPr>
        <w:fldChar w:fldCharType="end"/>
      </w:r>
      <w:r>
        <w:rPr>
          <w:rtl/>
        </w:rPr>
        <w:t xml:space="preserve">, בירך בקול את הברכה לראיית תלמיד חכם גדול: “ברוך אתה... שחלק </w:t>
      </w:r>
      <w:proofErr w:type="spellStart"/>
      <w:r>
        <w:rPr>
          <w:rtl/>
        </w:rPr>
        <w:t>מחכמתו</w:t>
      </w:r>
      <w:proofErr w:type="spellEnd"/>
      <w:r>
        <w:rPr>
          <w:rtl/>
        </w:rPr>
        <w:t xml:space="preserve"> ליראיו”</w:t>
      </w:r>
      <w:bookmarkStart w:id="4771" w:name="b4_text143"/>
      <w:bookmarkEnd w:id="4771"/>
      <w:r>
        <w:rPr>
          <w:sz w:val="18"/>
          <w:szCs w:val="18"/>
          <w:vertAlign w:val="superscript"/>
          <w:rtl/>
        </w:rPr>
        <w:fldChar w:fldCharType="begin" w:dirty="true"/>
      </w:r>
      <w:r>
        <w:rPr>
          <w:sz w:val="18"/>
          <w:szCs w:val="18"/>
          <w:vertAlign w:val="superscript"/>
          <w:rtl/>
        </w:rPr>
        <w:instrText xml:space="preserve"> REF b4_note143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143</w:t>
      </w:r>
      <w:r>
        <w:rPr>
          <w:sz w:val="18"/>
          <w:szCs w:val="18"/>
          <w:vertAlign w:val="superscript"/>
          <w:rtl/>
        </w:rPr>
        <w:fldChar w:fldCharType="end"/>
      </w:r>
      <w:r>
        <w:rPr>
          <w:rtl/>
        </w:rPr>
        <w:t>, וממעלה המדרגות נשמעה תשובת החכם: “אמן”</w:t>
      </w:r>
      <w:bookmarkStart w:id="4772" w:name="b4_text144"/>
      <w:bookmarkEnd w:id="4772"/>
      <w:r>
        <w:rPr>
          <w:sz w:val="18"/>
          <w:szCs w:val="18"/>
          <w:vertAlign w:val="superscript"/>
          <w:rtl/>
        </w:rPr>
        <w:fldChar w:fldCharType="begin" w:dirty="true"/>
      </w:r>
      <w:r>
        <w:rPr>
          <w:sz w:val="18"/>
          <w:szCs w:val="18"/>
          <w:vertAlign w:val="superscript"/>
          <w:rtl/>
        </w:rPr>
        <w:instrText xml:space="preserve"> REF b4_note144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144</w:t>
      </w:r>
      <w:r>
        <w:rPr>
          <w:sz w:val="18"/>
          <w:szCs w:val="18"/>
          <w:vertAlign w:val="superscript"/>
          <w:rtl/>
        </w:rPr>
        <w:fldChar w:fldCharType="end"/>
      </w:r>
      <w:r>
        <w:rPr>
          <w:rtl/>
        </w:rPr>
        <w:t xml:space="preserve">. כשהוחזרה הדמות השברירית אל הבית, החל ר׳ </w:t>
      </w:r>
      <w:proofErr w:type="spellStart"/>
      <w:r>
        <w:rPr>
          <w:rtl/>
        </w:rPr>
        <w:t>ברוך־בער</w:t>
      </w:r>
      <w:proofErr w:type="spellEnd"/>
      <w:r>
        <w:rPr>
          <w:rtl/>
        </w:rPr>
        <w:t xml:space="preserve"> להתנענע – סימן ברור שהוא עומד לומר דבר – ואמר: “פלאי פלאים! אילו נערום את התלמוד הבבלי, התלמוד הירושלמי, המכילתא, הספרא, הספרי </w:t>
      </w:r>
      <w:proofErr w:type="spellStart"/>
      <w:r>
        <w:rPr>
          <w:rtl/>
        </w:rPr>
        <w:t>והתוספתא</w:t>
      </w:r>
      <w:proofErr w:type="spellEnd"/>
      <w:r>
        <w:rPr>
          <w:rtl/>
        </w:rPr>
        <w:t xml:space="preserve">, ונוסיף את הרמב״ם ואת </w:t>
      </w:r>
      <w:r>
        <w:rPr>
          <w:rtl/>
        </w:rPr>
        <w:lastRenderedPageBreak/>
        <w:t>הטורים, ועליהם את כתבי היד שלו עצמו, תהיה הערמה גדולה בהרבה מגופו הזעיר – הוא לא יוכל אפילו להזיזה; ואת הכול הוא נושא בראשו!”</w:t>
      </w:r>
      <w:bookmarkStart w:id="4773" w:name="b4_text145"/>
      <w:bookmarkEnd w:id="4773"/>
      <w:r>
        <w:rPr>
          <w:sz w:val="18"/>
          <w:szCs w:val="18"/>
          <w:vertAlign w:val="superscript"/>
          <w:rtl/>
        </w:rPr>
        <w:fldChar w:fldCharType="begin" w:dirty="true"/>
      </w:r>
      <w:r>
        <w:rPr>
          <w:sz w:val="18"/>
          <w:szCs w:val="18"/>
          <w:vertAlign w:val="superscript"/>
          <w:rtl/>
        </w:rPr>
        <w:instrText xml:space="preserve"> REF b4_note145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145</w:t>
      </w:r>
      <w:r>
        <w:rPr>
          <w:sz w:val="18"/>
          <w:szCs w:val="18"/>
          <w:vertAlign w:val="superscript"/>
          <w:rtl/>
        </w:rPr>
        <w:fldChar w:fldCharType="end"/>
      </w:r>
    </w:p>
    <w:bookmarkStart w:id="4774" w:name="b4_note142"/>
    <w:p w14:paraId="4D0A95FF" w14:textId="77777777" w:rsidR="00AB3647" w:rsidRDefault="00000000" w:rsidP="007923E9">
      <w:pPr>
        <w:spacing w:before="120" w:after="100" w:line="276" w:lineRule="auto"/>
        <w:jc w:val="both"/>
      </w:pPr>
      <w:r>
        <w:fldChar w:fldCharType="begin" w:dirty="true"/>
      </w:r>
      <w:r>
        <w:instrText>HYPERLINK \l "b4_text142" \h</w:instrText>
      </w:r>
      <w:r>
        <w:fldChar w:fldCharType="separate"/>
      </w:r>
      <w:r>
        <w:rPr>
          <w:b/>
          <w:bCs/>
          <w:rtl/>
        </w:rPr>
        <w:t>142</w:t>
      </w:r>
      <w:r>
        <w:rPr>
          <w:b/>
          <w:bCs/>
        </w:rPr>
        <w:fldChar w:fldCharType="end"/>
      </w:r>
      <w:bookmarkEnd w:id="4774"/>
      <w:r>
        <w:rPr>
          <w:rtl/>
        </w:rPr>
        <w:t xml:space="preserve"> ר׳ קופל </w:t>
      </w:r>
      <w:proofErr w:type="spellStart"/>
      <w:r>
        <w:rPr>
          <w:rtl/>
        </w:rPr>
        <w:t>וולפרט</w:t>
      </w:r>
      <w:bookmarkStart w:id="4775" w:name="_fnr3520"/>
      <w:proofErr w:type="spellEnd"/>
      <w:r>
        <w:rPr>
          <w:vertAlign w:val="superscript"/>
          <w:rtl/>
        </w:rPr>
        <w:footnoteReference w:id="3528" w:customMarkFollows="0"/>
      </w:r>
      <w:bookmarkEnd w:id="4775"/>
      <w:r>
        <w:rPr>
          <w:rtl/>
        </w:rPr>
        <w:t xml:space="preserve">, שהיה בקהל התלמידים שלמטה, תיאר את ר׳ </w:t>
      </w:r>
      <w:proofErr w:type="spellStart"/>
      <w:r>
        <w:rPr>
          <w:rtl/>
        </w:rPr>
        <w:t>דוד׳ל</w:t>
      </w:r>
      <w:proofErr w:type="spellEnd"/>
      <w:r>
        <w:rPr>
          <w:rtl/>
        </w:rPr>
        <w:t xml:space="preserve"> כך: “הוא היה זעיר – א </w:t>
      </w:r>
      <w:proofErr w:type="spellStart"/>
      <w:r>
        <w:rPr>
          <w:rtl/>
        </w:rPr>
        <w:t>ברעקאלע</w:t>
      </w:r>
      <w:proofErr w:type="spellEnd"/>
      <w:r>
        <w:rPr>
          <w:rtl/>
        </w:rPr>
        <w:t xml:space="preserve"> [פירור] – בעל פנים מאירות שאין לתארן, כקלף יפה, ועיניים נפלאות; </w:t>
      </w:r>
      <w:proofErr w:type="spellStart"/>
      <w:r>
        <w:rPr>
          <w:rtl/>
        </w:rPr>
        <w:t>זלדקן</w:t>
      </w:r>
      <w:proofErr w:type="spellEnd"/>
      <w:r>
        <w:rPr>
          <w:rtl/>
        </w:rPr>
        <w:t xml:space="preserve"> </w:t>
      </w:r>
      <w:proofErr w:type="spellStart"/>
      <w:r>
        <w:rPr>
          <w:rtl/>
        </w:rPr>
        <w:t>קורטמן</w:t>
      </w:r>
      <w:proofErr w:type="spellEnd"/>
      <w:r>
        <w:rPr>
          <w:rtl/>
        </w:rPr>
        <w:t xml:space="preserve"> [חכם חד בעל זקן דליל]”</w:t>
      </w:r>
      <w:bookmarkStart w:id="4776" w:name="_fnr3521"/>
      <w:r>
        <w:rPr>
          <w:vertAlign w:val="superscript"/>
          <w:rtl/>
        </w:rPr>
        <w:footnoteReference w:id="3529" w:customMarkFollows="0"/>
      </w:r>
      <w:bookmarkEnd w:id="4776"/>
      <w:r>
        <w:rPr>
          <w:rtl/>
        </w:rPr>
        <w:t xml:space="preserve">. </w:t>
      </w:r>
      <w:proofErr w:type="spellStart"/>
      <w:r>
        <w:rPr>
          <w:rtl/>
        </w:rPr>
        <w:t>צינוביץ</w:t>
      </w:r>
      <w:proofErr w:type="spellEnd"/>
      <w:r>
        <w:rPr>
          <w:rtl/>
        </w:rPr>
        <w:t>, “אישים וקהילות”</w:t>
      </w:r>
      <w:bookmarkStart w:id="4777" w:name="_fnr3522"/>
      <w:r>
        <w:rPr>
          <w:vertAlign w:val="superscript"/>
          <w:rtl/>
        </w:rPr>
        <w:footnoteReference w:id="3530" w:customMarkFollows="0"/>
      </w:r>
      <w:bookmarkEnd w:id="4777"/>
      <w:r>
        <w:rPr>
          <w:rtl/>
        </w:rPr>
        <w:t xml:space="preserve">, מספר שפניו שימשו דגם לציורו של האמן </w:t>
      </w:r>
      <w:proofErr w:type="spellStart"/>
      <w:r>
        <w:rPr>
          <w:rtl/>
        </w:rPr>
        <w:t>משה־אפרים</w:t>
      </w:r>
      <w:proofErr w:type="spellEnd"/>
      <w:r>
        <w:rPr>
          <w:rtl/>
        </w:rPr>
        <w:t xml:space="preserve"> </w:t>
      </w:r>
      <w:proofErr w:type="spellStart"/>
      <w:r>
        <w:rPr>
          <w:rtl/>
        </w:rPr>
        <w:t>ליליין</w:t>
      </w:r>
      <w:proofErr w:type="spellEnd"/>
      <w:r>
        <w:rPr>
          <w:rtl/>
        </w:rPr>
        <w:t xml:space="preserve">, “מאור הגולה”. הגאון, שהיה שקוע בלימודו, ישב ליד חלון פתוח ולא ידע </w:t>
      </w:r>
      <w:proofErr w:type="spellStart"/>
      <w:r>
        <w:rPr>
          <w:rtl/>
        </w:rPr>
        <w:t>שליליין</w:t>
      </w:r>
      <w:proofErr w:type="spellEnd"/>
      <w:r>
        <w:rPr>
          <w:rtl/>
        </w:rPr>
        <w:t xml:space="preserve"> עומד ברחוב ומצייר את דיוקנו, ברשות כלתו של ר׳ </w:t>
      </w:r>
      <w:proofErr w:type="spellStart"/>
      <w:r>
        <w:rPr>
          <w:rtl/>
        </w:rPr>
        <w:t>דוד׳ל</w:t>
      </w:r>
      <w:bookmarkStart w:id="4778" w:name="_fnr3523"/>
      <w:proofErr w:type="spellEnd"/>
      <w:r>
        <w:rPr>
          <w:vertAlign w:val="superscript"/>
          <w:rtl/>
        </w:rPr>
        <w:footnoteReference w:id="3531" w:customMarkFollows="0"/>
      </w:r>
      <w:bookmarkEnd w:id="4778"/>
      <w:r>
        <w:rPr>
          <w:rtl/>
        </w:rPr>
        <w:t>.</w:t>
      </w:r>
    </w:p>
    <w:bookmarkStart w:id="4779" w:name="b4_note143"/>
    <w:p w14:paraId="2A294196" w14:textId="77777777" w:rsidR="00AB3647" w:rsidRDefault="00000000" w:rsidP="007923E9">
      <w:pPr>
        <w:spacing w:before="120" w:after="100" w:line="276" w:lineRule="auto"/>
        <w:jc w:val="both"/>
      </w:pPr>
      <w:r>
        <w:fldChar w:fldCharType="begin" w:dirty="true"/>
      </w:r>
      <w:r>
        <w:instrText>HYPERLINK \l "b4_text143" \h</w:instrText>
      </w:r>
      <w:r>
        <w:fldChar w:fldCharType="separate"/>
      </w:r>
      <w:r>
        <w:rPr>
          <w:b/>
          <w:bCs/>
          <w:rtl/>
        </w:rPr>
        <w:t>143</w:t>
      </w:r>
      <w:r>
        <w:rPr>
          <w:b/>
          <w:bCs/>
        </w:rPr>
        <w:fldChar w:fldCharType="end"/>
      </w:r>
      <w:bookmarkEnd w:id="4779"/>
      <w:r>
        <w:rPr>
          <w:rtl/>
        </w:rPr>
        <w:t xml:space="preserve"> ר׳ אשר </w:t>
      </w:r>
      <w:proofErr w:type="spellStart"/>
      <w:r>
        <w:rPr>
          <w:rtl/>
        </w:rPr>
        <w:t>קצמן</w:t>
      </w:r>
      <w:bookmarkStart w:id="4780" w:name="_fnr3524"/>
      <w:proofErr w:type="spellEnd"/>
      <w:r>
        <w:rPr>
          <w:vertAlign w:val="superscript"/>
          <w:rtl/>
        </w:rPr>
        <w:footnoteReference w:id="3532" w:customMarkFollows="0"/>
      </w:r>
      <w:bookmarkEnd w:id="4780"/>
      <w:r>
        <w:rPr>
          <w:rtl/>
        </w:rPr>
        <w:t xml:space="preserve">. ר׳ מאיר </w:t>
      </w:r>
      <w:proofErr w:type="spellStart"/>
      <w:r>
        <w:rPr>
          <w:rtl/>
        </w:rPr>
        <w:t>טריביץ</w:t>
      </w:r>
      <w:proofErr w:type="spellEnd"/>
      <w:r>
        <w:rPr>
          <w:rtl/>
        </w:rPr>
        <w:t xml:space="preserve"> סיפר</w:t>
      </w:r>
      <w:bookmarkStart w:id="4781" w:name="_fnr3525"/>
      <w:r>
        <w:rPr>
          <w:vertAlign w:val="superscript"/>
          <w:rtl/>
        </w:rPr>
        <w:footnoteReference w:id="3533" w:customMarkFollows="0"/>
      </w:r>
      <w:bookmarkEnd w:id="4781"/>
      <w:r>
        <w:rPr>
          <w:rtl/>
        </w:rPr>
        <w:t xml:space="preserve"> שסב אשתו, רבנו, בירך את הברכה כשראה את ר׳ </w:t>
      </w:r>
      <w:proofErr w:type="spellStart"/>
      <w:r>
        <w:rPr>
          <w:rtl/>
        </w:rPr>
        <w:t>דוד׳ל</w:t>
      </w:r>
      <w:proofErr w:type="spellEnd"/>
      <w:r>
        <w:rPr>
          <w:rtl/>
        </w:rPr>
        <w:t xml:space="preserve">, אך לא כשראה את ר׳ חיים </w:t>
      </w:r>
      <w:proofErr w:type="spellStart"/>
      <w:r>
        <w:rPr>
          <w:rtl/>
        </w:rPr>
        <w:t>סולובייצ׳יק</w:t>
      </w:r>
      <w:bookmarkStart w:id="4782" w:name="_fnr3526"/>
      <w:proofErr w:type="spellEnd"/>
      <w:r>
        <w:rPr>
          <w:vertAlign w:val="superscript"/>
          <w:rtl/>
        </w:rPr>
        <w:footnoteReference w:id="3534" w:customMarkFollows="0"/>
      </w:r>
      <w:bookmarkEnd w:id="4782"/>
      <w:r>
        <w:rPr>
          <w:rtl/>
        </w:rPr>
        <w:t>. אבי לא פירט את ההבדל בין שני החכמים הגדולים</w:t>
      </w:r>
      <w:bookmarkStart w:id="4783" w:name="_fnr3527"/>
      <w:r>
        <w:rPr>
          <w:vertAlign w:val="superscript"/>
          <w:rtl/>
        </w:rPr>
        <w:footnoteReference w:id="3535" w:customMarkFollows="0"/>
      </w:r>
      <w:bookmarkEnd w:id="4783"/>
      <w:r>
        <w:rPr>
          <w:rtl/>
        </w:rPr>
        <w:t xml:space="preserve">. ייתכן שנוכחות אבי בשעה שר׳ </w:t>
      </w:r>
      <w:proofErr w:type="spellStart"/>
      <w:r>
        <w:rPr>
          <w:rtl/>
        </w:rPr>
        <w:t>ברוך־בער</w:t>
      </w:r>
      <w:proofErr w:type="spellEnd"/>
      <w:r>
        <w:rPr>
          <w:rtl/>
        </w:rPr>
        <w:t xml:space="preserve"> בירך את הברכה על ר׳ </w:t>
      </w:r>
      <w:proofErr w:type="spellStart"/>
      <w:r>
        <w:rPr>
          <w:rtl/>
        </w:rPr>
        <w:t>דוד׳ל</w:t>
      </w:r>
      <w:proofErr w:type="spellEnd"/>
      <w:r>
        <w:rPr>
          <w:rtl/>
        </w:rPr>
        <w:t xml:space="preserve"> עוררה אותו לנהוג כמותו באותה שעה.</w:t>
      </w:r>
    </w:p>
    <w:p w14:paraId="0BC5EB31" w14:textId="77777777" w:rsidR="00AB3647" w:rsidRDefault="00000000" w:rsidP="007923E9">
      <w:pPr>
        <w:spacing w:after="120" w:line="276" w:lineRule="auto"/>
        <w:jc w:val="both"/>
      </w:pPr>
      <w:r>
        <w:rPr>
          <w:rtl/>
        </w:rPr>
        <w:t xml:space="preserve">חיבורו הגדול של ר׳ </w:t>
      </w:r>
      <w:proofErr w:type="spellStart"/>
      <w:r>
        <w:rPr>
          <w:rtl/>
        </w:rPr>
        <w:t>דוד׳ל</w:t>
      </w:r>
      <w:proofErr w:type="spellEnd"/>
      <w:r>
        <w:rPr>
          <w:rtl/>
        </w:rPr>
        <w:t xml:space="preserve"> הוא “פסקי הלכות”, שרק שניים מעשרת כרכיו נדפסו (ורשה, תרנ״ח </w:t>
      </w:r>
      <w:proofErr w:type="spellStart"/>
      <w:r>
        <w:rPr>
          <w:rtl/>
        </w:rPr>
        <w:t>ותר״ס</w:t>
      </w:r>
      <w:proofErr w:type="spellEnd"/>
      <w:r>
        <w:rPr>
          <w:rtl/>
        </w:rPr>
        <w:t>), והנותרים אבדו לאחר פטירתו, במלחמת העולם הראשונה. החיבור נכתב במתכונת של שולחן ערוך: נוסח של פסקי הלכה ופירוש המסביר, על יסוד עיון בתלמוד הבבלי והירושלמי, מדוע העדיף המחבר דעה אחת של הראשונים על פני אחרת בקביעת מסקנותיו ההלכתיות.</w:t>
      </w:r>
    </w:p>
    <w:bookmarkStart w:id="4784" w:name="b4_note144"/>
    <w:p w14:paraId="42DC6628" w14:textId="77777777" w:rsidR="00AB3647" w:rsidRDefault="00000000" w:rsidP="007923E9">
      <w:pPr>
        <w:spacing w:before="120" w:after="100" w:line="276" w:lineRule="auto"/>
        <w:jc w:val="both"/>
      </w:pPr>
      <w:r>
        <w:fldChar w:fldCharType="begin" w:dirty="true"/>
      </w:r>
      <w:r>
        <w:instrText>HYPERLINK \l "b4_text144" \h</w:instrText>
      </w:r>
      <w:r>
        <w:fldChar w:fldCharType="separate"/>
      </w:r>
      <w:r>
        <w:rPr>
          <w:b/>
          <w:bCs/>
          <w:rtl/>
        </w:rPr>
        <w:t>144</w:t>
      </w:r>
      <w:r>
        <w:rPr>
          <w:b/>
          <w:bCs/>
        </w:rPr>
        <w:fldChar w:fldCharType="end"/>
      </w:r>
      <w:bookmarkEnd w:id="4784"/>
      <w:r>
        <w:rPr>
          <w:rtl/>
        </w:rPr>
        <w:t xml:space="preserve"> לנוכח הוראת התלמוד במסכת נידה, “ואפילו כל העולם כולו אומרים לך צדיק אתה, היה בעיניך כרשע”</w:t>
      </w:r>
      <w:bookmarkStart w:id="4785" w:name="_fnr3528"/>
      <w:r>
        <w:rPr>
          <w:vertAlign w:val="superscript"/>
          <w:rtl/>
        </w:rPr>
        <w:footnoteReference w:id="3536" w:customMarkFollows="0"/>
      </w:r>
      <w:bookmarkEnd w:id="4785"/>
      <w:r>
        <w:rPr>
          <w:rtl/>
        </w:rPr>
        <w:t xml:space="preserve">, קשה להבין כיצד יכול מי שמברכים עליו לענות “אמן”. ר׳ </w:t>
      </w:r>
      <w:proofErr w:type="spellStart"/>
      <w:r>
        <w:rPr>
          <w:rtl/>
        </w:rPr>
        <w:t>משה־מרדכי</w:t>
      </w:r>
      <w:proofErr w:type="spellEnd"/>
      <w:r>
        <w:rPr>
          <w:rtl/>
        </w:rPr>
        <w:t xml:space="preserve"> לוי סיפר</w:t>
      </w:r>
      <w:bookmarkStart w:id="4786" w:name="_fnr3529"/>
      <w:r>
        <w:rPr>
          <w:vertAlign w:val="superscript"/>
          <w:rtl/>
        </w:rPr>
        <w:footnoteReference w:id="3537" w:customMarkFollows="0"/>
      </w:r>
      <w:bookmarkEnd w:id="4786"/>
      <w:r>
        <w:rPr>
          <w:rtl/>
        </w:rPr>
        <w:t xml:space="preserve"> בשם רבנו, שפעם בירך ר׳ </w:t>
      </w:r>
      <w:proofErr w:type="spellStart"/>
      <w:r>
        <w:rPr>
          <w:rtl/>
        </w:rPr>
        <w:t>דוד׳ל</w:t>
      </w:r>
      <w:proofErr w:type="spellEnd"/>
      <w:r>
        <w:rPr>
          <w:rtl/>
        </w:rPr>
        <w:t xml:space="preserve"> עצמו את הברכה בראותו את ר׳ </w:t>
      </w:r>
      <w:proofErr w:type="spellStart"/>
      <w:r>
        <w:rPr>
          <w:rtl/>
        </w:rPr>
        <w:t>יהושע׳לה</w:t>
      </w:r>
      <w:proofErr w:type="spellEnd"/>
      <w:r>
        <w:rPr>
          <w:rtl/>
        </w:rPr>
        <w:t xml:space="preserve"> </w:t>
      </w:r>
      <w:proofErr w:type="spellStart"/>
      <w:r>
        <w:rPr>
          <w:rtl/>
        </w:rPr>
        <w:t>טרונק</w:t>
      </w:r>
      <w:proofErr w:type="spellEnd"/>
      <w:r>
        <w:rPr>
          <w:rtl/>
        </w:rPr>
        <w:t xml:space="preserve"> (מקוטנה, תקפ״א–תרנ״ג), ור׳ </w:t>
      </w:r>
      <w:proofErr w:type="spellStart"/>
      <w:r>
        <w:rPr>
          <w:rtl/>
        </w:rPr>
        <w:t>יהושע׳לה</w:t>
      </w:r>
      <w:proofErr w:type="spellEnd"/>
      <w:r>
        <w:rPr>
          <w:rtl/>
        </w:rPr>
        <w:t xml:space="preserve"> הסתפק אם לענות אמן; אבי לא אמר אם ענה אמן אם לאו.</w:t>
      </w:r>
    </w:p>
    <w:p w14:paraId="1C47DE95" w14:textId="77777777" w:rsidR="00AB3647" w:rsidRDefault="00000000" w:rsidP="007923E9">
      <w:pPr>
        <w:spacing w:before="120" w:after="100" w:line="276" w:lineRule="auto"/>
        <w:jc w:val="both"/>
      </w:pPr>
      <w:r>
        <w:rPr>
          <w:rtl/>
        </w:rPr>
        <w:t xml:space="preserve">אבי סיפר מעשה זה כשבירך עליו הרב לוי את הברכה. היה זה כשקבוצת מתפללים הביאה את הרב לוי לפגוש את רבנו, שבועיים לאחר שנתמנה ר׳ </w:t>
      </w:r>
      <w:proofErr w:type="spellStart"/>
      <w:r>
        <w:rPr>
          <w:rtl/>
        </w:rPr>
        <w:t>משה־מרדכי</w:t>
      </w:r>
      <w:proofErr w:type="spellEnd"/>
      <w:r>
        <w:rPr>
          <w:rtl/>
        </w:rPr>
        <w:t xml:space="preserve"> לרב בית הכנסת אגודת ישראל בטורונטו. אבי דחק זמן רב באנשי הקהילה שלא להניח את בית הכנסת בלא רב, וסירב </w:t>
      </w:r>
      <w:r>
        <w:rPr>
          <w:rtl/>
        </w:rPr>
        <w:lastRenderedPageBreak/>
        <w:t xml:space="preserve">להתפלל בו עד שיקבלו רב. לאחר שענה אמן לברכת הרב לוי, הודה אבי שגם הוא, כר׳ </w:t>
      </w:r>
      <w:proofErr w:type="spellStart"/>
      <w:r>
        <w:rPr>
          <w:rtl/>
        </w:rPr>
        <w:t>יהושע׳לה</w:t>
      </w:r>
      <w:proofErr w:type="spellEnd"/>
      <w:r>
        <w:rPr>
          <w:rtl/>
        </w:rPr>
        <w:t>, הסתפק אם לעשות זאת.</w:t>
      </w:r>
    </w:p>
    <w:p w14:paraId="0C32A9A3" w14:textId="77777777" w:rsidR="00AB3647" w:rsidRDefault="00000000" w:rsidP="007923E9">
      <w:pPr>
        <w:spacing w:before="120" w:after="100" w:line="276" w:lineRule="auto"/>
        <w:jc w:val="both"/>
      </w:pPr>
      <w:r>
        <w:rPr>
          <w:rtl/>
        </w:rPr>
        <w:t xml:space="preserve">בדומה לכך, ייתכן שר׳ </w:t>
      </w:r>
      <w:proofErr w:type="spellStart"/>
      <w:r>
        <w:rPr>
          <w:rtl/>
        </w:rPr>
        <w:t>דוד׳ל</w:t>
      </w:r>
      <w:proofErr w:type="spellEnd"/>
      <w:r>
        <w:rPr>
          <w:rtl/>
        </w:rPr>
        <w:t xml:space="preserve"> שמע את ר׳ </w:t>
      </w:r>
      <w:proofErr w:type="spellStart"/>
      <w:r>
        <w:rPr>
          <w:rtl/>
        </w:rPr>
        <w:t>יהושע׳לה</w:t>
      </w:r>
      <w:proofErr w:type="spellEnd"/>
      <w:r>
        <w:rPr>
          <w:rtl/>
        </w:rPr>
        <w:t xml:space="preserve"> עונה אמן, ולכן נהג כך כשנאמרה הברכה עליו – למרות הקושי מן הגמרא במסכת נידה – ואולי משום כך ענה גם רבנו “אמן”. במקרה של אבי, ייתכן שאמירת האמן קשורה להיותו חניך אסכולת המוסר: הוא לא רצה להעמיד את הרב הצעיר במצב שבו יוכלו מתפלליו, שעדיין לא הכיר היטב, לטעון אחר כך שהרב </w:t>
      </w:r>
      <w:proofErr w:type="spellStart"/>
      <w:r>
        <w:rPr>
          <w:rtl/>
        </w:rPr>
        <w:t>קמינצקי</w:t>
      </w:r>
      <w:proofErr w:type="spellEnd"/>
      <w:r>
        <w:rPr>
          <w:rtl/>
        </w:rPr>
        <w:t xml:space="preserve"> פסק שרבם החדש בירך ברכה לבטלה.</w:t>
      </w:r>
    </w:p>
    <w:bookmarkStart w:id="4787" w:name="b4_note145"/>
    <w:p w14:paraId="0EA28BD7" w14:textId="77777777" w:rsidR="00AB3647" w:rsidRDefault="00000000" w:rsidP="007923E9">
      <w:pPr>
        <w:spacing w:before="120" w:after="100" w:line="276" w:lineRule="auto"/>
        <w:jc w:val="both"/>
      </w:pPr>
      <w:r>
        <w:fldChar w:fldCharType="begin" w:dirty="true"/>
      </w:r>
      <w:r>
        <w:instrText>HYPERLINK \l "b4_text145" \h</w:instrText>
      </w:r>
      <w:r>
        <w:fldChar w:fldCharType="separate"/>
      </w:r>
      <w:r>
        <w:rPr>
          <w:b/>
          <w:bCs/>
          <w:rtl/>
        </w:rPr>
        <w:t>145</w:t>
      </w:r>
      <w:r>
        <w:rPr>
          <w:b/>
          <w:bCs/>
        </w:rPr>
        <w:fldChar w:fldCharType="end"/>
      </w:r>
      <w:bookmarkEnd w:id="4787"/>
      <w:r>
        <w:rPr>
          <w:rtl/>
        </w:rPr>
        <w:t xml:space="preserve"> ר׳ קופל </w:t>
      </w:r>
      <w:proofErr w:type="spellStart"/>
      <w:r>
        <w:rPr>
          <w:rtl/>
        </w:rPr>
        <w:t>וולפרט</w:t>
      </w:r>
      <w:bookmarkStart w:id="4788" w:name="_fnr3530"/>
      <w:proofErr w:type="spellEnd"/>
      <w:r>
        <w:rPr>
          <w:vertAlign w:val="superscript"/>
          <w:rtl/>
        </w:rPr>
        <w:footnoteReference w:id="3538" w:customMarkFollows="0"/>
      </w:r>
      <w:bookmarkEnd w:id="4788"/>
      <w:r>
        <w:rPr>
          <w:rtl/>
        </w:rPr>
        <w:t xml:space="preserve">. אכסנייתו הייתה בקומה שמעל בית ר׳ </w:t>
      </w:r>
      <w:proofErr w:type="spellStart"/>
      <w:r>
        <w:rPr>
          <w:rtl/>
        </w:rPr>
        <w:t>ברוך־בער</w:t>
      </w:r>
      <w:proofErr w:type="spellEnd"/>
      <w:r>
        <w:rPr>
          <w:rtl/>
        </w:rPr>
        <w:t xml:space="preserve">, וראש הישיבה ביקש ממנו במיוחד להתלוות אליו בביקור. ייתכן שר׳ </w:t>
      </w:r>
      <w:proofErr w:type="spellStart"/>
      <w:r>
        <w:rPr>
          <w:rtl/>
        </w:rPr>
        <w:t>ברוך־בער</w:t>
      </w:r>
      <w:proofErr w:type="spellEnd"/>
      <w:r>
        <w:rPr>
          <w:rtl/>
        </w:rPr>
        <w:t xml:space="preserve"> התאים </w:t>
      </w:r>
      <w:proofErr w:type="spellStart"/>
      <w:r>
        <w:rPr>
          <w:rtl/>
        </w:rPr>
        <w:t>לר</w:t>
      </w:r>
      <w:proofErr w:type="spellEnd"/>
      <w:r>
        <w:rPr>
          <w:rtl/>
        </w:rPr>
        <w:t xml:space="preserve">׳ </w:t>
      </w:r>
      <w:proofErr w:type="spellStart"/>
      <w:r>
        <w:rPr>
          <w:rtl/>
        </w:rPr>
        <w:t>דוד׳ל</w:t>
      </w:r>
      <w:proofErr w:type="spellEnd"/>
      <w:r>
        <w:rPr>
          <w:rtl/>
        </w:rPr>
        <w:t xml:space="preserve"> מעשה שנמסר על ר׳ </w:t>
      </w:r>
      <w:proofErr w:type="spellStart"/>
      <w:r>
        <w:rPr>
          <w:rtl/>
        </w:rPr>
        <w:t>זלמל׳ה</w:t>
      </w:r>
      <w:proofErr w:type="spellEnd"/>
      <w:r>
        <w:rPr>
          <w:rtl/>
        </w:rPr>
        <w:t xml:space="preserve">, אחיו של ר׳ חיים </w:t>
      </w:r>
      <w:proofErr w:type="spellStart"/>
      <w:r>
        <w:rPr>
          <w:rtl/>
        </w:rPr>
        <w:t>מוולוז׳ין</w:t>
      </w:r>
      <w:proofErr w:type="spellEnd"/>
      <w:r>
        <w:rPr>
          <w:rtl/>
        </w:rPr>
        <w:t xml:space="preserve">, המובא </w:t>
      </w:r>
      <w:proofErr w:type="spellStart"/>
      <w:r>
        <w:rPr>
          <w:rtl/>
        </w:rPr>
        <w:t>ב“הגאון</w:t>
      </w:r>
      <w:proofErr w:type="spellEnd"/>
      <w:r>
        <w:rPr>
          <w:rtl/>
        </w:rPr>
        <w:t xml:space="preserve"> החסיד </w:t>
      </w:r>
      <w:proofErr w:type="spellStart"/>
      <w:r>
        <w:rPr>
          <w:rtl/>
        </w:rPr>
        <w:t>מוילנא</w:t>
      </w:r>
      <w:proofErr w:type="spellEnd"/>
      <w:r>
        <w:rPr>
          <w:rtl/>
        </w:rPr>
        <w:t>”</w:t>
      </w:r>
      <w:bookmarkStart w:id="4789" w:name="_fnr3531"/>
      <w:r>
        <w:rPr>
          <w:vertAlign w:val="superscript"/>
          <w:rtl/>
        </w:rPr>
        <w:footnoteReference w:id="3539" w:customMarkFollows="0"/>
      </w:r>
      <w:bookmarkEnd w:id="4789"/>
      <w:r>
        <w:rPr>
          <w:rtl/>
        </w:rPr>
        <w:t xml:space="preserve">: פעם התנמנם ר׳ </w:t>
      </w:r>
      <w:proofErr w:type="spellStart"/>
      <w:r>
        <w:rPr>
          <w:rtl/>
        </w:rPr>
        <w:t>זלמל׳ה</w:t>
      </w:r>
      <w:proofErr w:type="spellEnd"/>
      <w:r>
        <w:rPr>
          <w:rtl/>
        </w:rPr>
        <w:t xml:space="preserve"> ליד שולחן רבו, הגאון מווילנה, והגאון ניגש והושיט את ידיו כדי לתמוך בראש תלמידו המתנודד. כשנכנס אדם לחדר, היסה אותו הגאון באמרו: “הס, כל התורה כולה מונחת עתה על ידי”.</w:t>
      </w:r>
    </w:p>
    <w:p w14:paraId="0CDB5E5F" w14:textId="77777777" w:rsidR="00AB3647" w:rsidRDefault="00000000" w:rsidP="007923E9">
      <w:pPr>
        <w:spacing w:before="120" w:after="100" w:line="276" w:lineRule="auto"/>
        <w:jc w:val="both"/>
      </w:pPr>
      <w:r>
        <w:rPr>
          <w:rtl/>
        </w:rPr>
        <w:t xml:space="preserve">אמרה זו מפתיעה אפילו מפי ר׳ </w:t>
      </w:r>
      <w:proofErr w:type="spellStart"/>
      <w:r>
        <w:rPr>
          <w:rtl/>
        </w:rPr>
        <w:t>ברוך־בער</w:t>
      </w:r>
      <w:proofErr w:type="spellEnd"/>
      <w:r>
        <w:rPr>
          <w:rtl/>
        </w:rPr>
        <w:t>, ובמקרה של הגאון אפשר להבינה אם נקשר את המאורע למעשה אחר</w:t>
      </w:r>
      <w:bookmarkStart w:id="4790" w:name="_fnr3532"/>
      <w:r>
        <w:rPr>
          <w:vertAlign w:val="superscript"/>
          <w:rtl/>
        </w:rPr>
        <w:footnoteReference w:id="3540" w:customMarkFollows="0"/>
      </w:r>
      <w:bookmarkEnd w:id="4790"/>
      <w:r>
        <w:rPr>
          <w:rtl/>
        </w:rPr>
        <w:t xml:space="preserve">: ר׳ </w:t>
      </w:r>
      <w:proofErr w:type="spellStart"/>
      <w:r>
        <w:rPr>
          <w:rtl/>
        </w:rPr>
        <w:t>זלמל׳ה</w:t>
      </w:r>
      <w:proofErr w:type="spellEnd"/>
      <w:r>
        <w:rPr>
          <w:rtl/>
        </w:rPr>
        <w:t xml:space="preserve"> התנמנם ליד שולחן הגאון בפורים, וידו נגעה בכלי שהיו בו פירות משלוח מנות. הגאון ציווה לחתוך את “התפוזים [הנדירים] והתפוחים הטובים” לחתיכות קטנות ולהשליכם [מפני </w:t>
      </w:r>
      <w:proofErr w:type="spellStart"/>
      <w:r>
        <w:rPr>
          <w:rtl/>
        </w:rPr>
        <w:t>ה“רוח</w:t>
      </w:r>
      <w:proofErr w:type="spellEnd"/>
      <w:r>
        <w:rPr>
          <w:rtl/>
        </w:rPr>
        <w:t xml:space="preserve"> רעה” שעל ידיו של ר׳ </w:t>
      </w:r>
      <w:proofErr w:type="spellStart"/>
      <w:r>
        <w:rPr>
          <w:rtl/>
        </w:rPr>
        <w:t>זלמל׳ה</w:t>
      </w:r>
      <w:proofErr w:type="spellEnd"/>
      <w:r>
        <w:rPr>
          <w:rtl/>
        </w:rPr>
        <w:t xml:space="preserve"> הישן]. אפשר לשער ששני המאורעות אירעו באותו פורים: לאחר שר׳ </w:t>
      </w:r>
      <w:proofErr w:type="spellStart"/>
      <w:r>
        <w:rPr>
          <w:rtl/>
        </w:rPr>
        <w:t>זלמל׳ה</w:t>
      </w:r>
      <w:proofErr w:type="spellEnd"/>
      <w:r>
        <w:rPr>
          <w:rtl/>
        </w:rPr>
        <w:t xml:space="preserve"> הישן “טימא” בשוגג את הפירות היקרים, אמר הגאון בבדיחות הדעת את דבריו על ידיעותיו המקיפות של תלמידו, כדי לרומם את מעמדו בעיני בני בית הגאון עד שאיש לא יעלה בדעתו להאשימו בנזק שגרם.</w:t>
      </w:r>
    </w:p>
    <w:p w14:paraId="56C01CE1" w14:textId="299A896F"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 xml:space="preserve">למחרת הובא ר׳ </w:t>
      </w:r>
      <w:proofErr w:type="spellStart"/>
      <w:r>
        <w:rPr>
          <w:rtl/>
        </w:rPr>
        <w:t>דוד׳ל</w:t>
      </w:r>
      <w:proofErr w:type="spellEnd"/>
      <w:r>
        <w:rPr>
          <w:rtl/>
        </w:rPr>
        <w:t xml:space="preserve"> לאולם גדול, כדי שבני התורה ישביעו את עיניהם בו. הוא ישב, אמר מילים אחדות בקול חלש, והשתמש בזכוכית מגדלת לקריאה</w:t>
      </w:r>
      <w:bookmarkStart w:id="4791" w:name="b4_text146"/>
      <w:bookmarkEnd w:id="4791"/>
      <w:r>
        <w:rPr>
          <w:sz w:val="18"/>
          <w:szCs w:val="18"/>
          <w:vertAlign w:val="superscript"/>
          <w:rtl/>
        </w:rPr>
        <w:fldChar w:fldCharType="begin" w:dirty="true"/>
      </w:r>
      <w:r>
        <w:rPr>
          <w:sz w:val="18"/>
          <w:szCs w:val="18"/>
          <w:vertAlign w:val="superscript"/>
          <w:rtl/>
        </w:rPr>
        <w:instrText xml:space="preserve"> REF b4_note146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146</w:t>
      </w:r>
      <w:r>
        <w:rPr>
          <w:sz w:val="18"/>
          <w:szCs w:val="18"/>
          <w:vertAlign w:val="superscript"/>
          <w:rtl/>
        </w:rPr>
        <w:fldChar w:fldCharType="end"/>
      </w:r>
      <w:r>
        <w:rPr>
          <w:rtl/>
        </w:rPr>
        <w:t>.</w:t>
      </w:r>
    </w:p>
    <w:bookmarkStart w:id="4792" w:name="b4_note146"/>
    <w:p w14:paraId="2320D0B0" w14:textId="77777777" w:rsidR="00AB3647" w:rsidRDefault="00000000" w:rsidP="007923E9">
      <w:pPr>
        <w:spacing w:before="120" w:after="100" w:line="276" w:lineRule="auto"/>
        <w:jc w:val="both"/>
      </w:pPr>
      <w:r>
        <w:fldChar w:fldCharType="begin" w:dirty="true"/>
      </w:r>
      <w:r>
        <w:instrText>HYPERLINK \l "b4_text146" \h</w:instrText>
      </w:r>
      <w:r>
        <w:fldChar w:fldCharType="separate"/>
      </w:r>
      <w:r>
        <w:rPr>
          <w:b/>
          <w:bCs/>
          <w:rtl/>
        </w:rPr>
        <w:t>146</w:t>
      </w:r>
      <w:r>
        <w:rPr>
          <w:b/>
          <w:bCs/>
        </w:rPr>
        <w:fldChar w:fldCharType="end"/>
      </w:r>
      <w:bookmarkEnd w:id="4792"/>
      <w:r>
        <w:rPr>
          <w:rtl/>
        </w:rPr>
        <w:t xml:space="preserve"> “הוא ישב כשדיבר בקול חלש, והשתמש בזכוכית מגדלת לקריאה”, אמר ר׳ קופל </w:t>
      </w:r>
      <w:proofErr w:type="spellStart"/>
      <w:r>
        <w:rPr>
          <w:rtl/>
        </w:rPr>
        <w:t>וולפרט</w:t>
      </w:r>
      <w:proofErr w:type="spellEnd"/>
      <w:r>
        <w:rPr>
          <w:rtl/>
        </w:rPr>
        <w:t xml:space="preserve">. ר׳ </w:t>
      </w:r>
      <w:proofErr w:type="spellStart"/>
      <w:r>
        <w:rPr>
          <w:rtl/>
        </w:rPr>
        <w:t>דוד׳ל</w:t>
      </w:r>
      <w:proofErr w:type="spellEnd"/>
      <w:r>
        <w:rPr>
          <w:rtl/>
        </w:rPr>
        <w:t xml:space="preserve"> היה אז בן שבעים ותשע. </w:t>
      </w:r>
      <w:proofErr w:type="spellStart"/>
      <w:r>
        <w:rPr>
          <w:rtl/>
        </w:rPr>
        <w:t>בתר״ע</w:t>
      </w:r>
      <w:proofErr w:type="spellEnd"/>
      <w:r>
        <w:rPr>
          <w:rtl/>
        </w:rPr>
        <w:t xml:space="preserve"> אזר כוח ונסע לבירת רוסיה, פטרבורג, להשתתף באספת הרבנים שנבחר לנשיא הכבוד שלה, כדי להגן בתקיפות על הרבנות ברוסיה מפני פגיעתם של המשכילים הרפורמיסטים</w:t>
      </w:r>
      <w:bookmarkStart w:id="4793" w:name="_fnr3533"/>
      <w:r>
        <w:rPr>
          <w:vertAlign w:val="superscript"/>
          <w:rtl/>
        </w:rPr>
        <w:footnoteReference w:id="3541" w:customMarkFollows="0"/>
      </w:r>
      <w:bookmarkEnd w:id="4793"/>
      <w:r>
        <w:rPr>
          <w:rtl/>
        </w:rPr>
        <w:t>.</w:t>
      </w:r>
    </w:p>
    <w:p w14:paraId="3CF2A776" w14:textId="77777777" w:rsidR="00AB3647" w:rsidRDefault="00000000" w:rsidP="007923E9">
      <w:pPr>
        <w:spacing w:before="120" w:after="100" w:line="276" w:lineRule="auto"/>
        <w:jc w:val="both"/>
      </w:pPr>
      <w:r>
        <w:rPr>
          <w:rtl/>
        </w:rPr>
        <w:t xml:space="preserve">בן שמונים וחמש פרסם איגרת נגד “חברת מפיצי השכלה”, בשל ניסיונה לשנות את סדרי החדר המסורתיים. במכתב נאמר (בחלקו): “אחיי, שמעו לעצת זקן בא בימים, שראה בעיניו את כל תקופת ההשכלה מראשית צמיחתה, ואת כל הרעה הנוראה שעוללה לבית ישראל. האין </w:t>
      </w:r>
      <w:r>
        <w:rPr>
          <w:rtl/>
        </w:rPr>
        <w:lastRenderedPageBreak/>
        <w:t xml:space="preserve">די לכם בכל השגגות והזדונות שעשתה חברתכם במשך קיומה? האין די, אחיי, בניסיון המר מפירות </w:t>
      </w:r>
      <w:proofErr w:type="spellStart"/>
      <w:r>
        <w:rPr>
          <w:rtl/>
        </w:rPr>
        <w:t>ה‘השכלה</w:t>
      </w:r>
      <w:proofErr w:type="spellEnd"/>
      <w:r>
        <w:rPr>
          <w:rtl/>
        </w:rPr>
        <w:t>’ המזויפת? חדלו מתוכניתכם הרעה להכניס ‘</w:t>
      </w:r>
      <w:proofErr w:type="spellStart"/>
      <w:r>
        <w:rPr>
          <w:rtl/>
        </w:rPr>
        <w:t>תיקונים’־קלקולים</w:t>
      </w:r>
      <w:proofErr w:type="spellEnd"/>
      <w:r>
        <w:rPr>
          <w:rtl/>
        </w:rPr>
        <w:t xml:space="preserve"> </w:t>
      </w:r>
      <w:proofErr w:type="spellStart"/>
      <w:r>
        <w:rPr>
          <w:rtl/>
        </w:rPr>
        <w:t>ל‘חדר</w:t>
      </w:r>
      <w:proofErr w:type="spellEnd"/>
      <w:r>
        <w:rPr>
          <w:rtl/>
        </w:rPr>
        <w:t>’ של ילדי ישראל – ‘אל תגעו במשיחי’</w:t>
      </w:r>
      <w:bookmarkStart w:id="4794" w:name="_fnr3534"/>
      <w:r>
        <w:rPr>
          <w:vertAlign w:val="superscript"/>
          <w:rtl/>
        </w:rPr>
        <w:footnoteReference w:id="3542" w:customMarkFollows="0"/>
      </w:r>
      <w:bookmarkEnd w:id="4794"/>
      <w:r>
        <w:rPr>
          <w:rtl/>
        </w:rPr>
        <w:t xml:space="preserve"> אלו תינוקות של בית רבן, אומרים חז״ל</w:t>
      </w:r>
      <w:bookmarkStart w:id="4795" w:name="_fnr3535"/>
      <w:r>
        <w:rPr>
          <w:vertAlign w:val="superscript"/>
          <w:rtl/>
        </w:rPr>
        <w:footnoteReference w:id="3543" w:customMarkFollows="0"/>
      </w:r>
      <w:bookmarkEnd w:id="4795"/>
      <w:r>
        <w:rPr>
          <w:rtl/>
        </w:rPr>
        <w:t xml:space="preserve"> – כי בכך נביא, חס ושלום, כליה מוחלטת על היהדות כולה”.</w:t>
      </w:r>
    </w:p>
    <w:p w14:paraId="440F2432" w14:textId="77777777" w:rsidR="00AB3647" w:rsidRDefault="00000000" w:rsidP="007923E9">
      <w:pPr>
        <w:spacing w:before="120" w:after="100" w:line="276" w:lineRule="auto"/>
        <w:jc w:val="both"/>
      </w:pPr>
      <w:r>
        <w:rPr>
          <w:rtl/>
        </w:rPr>
        <w:t xml:space="preserve">מעניין שיחסו לקבוצות הציוניות שהתגבשו באמצע שנות </w:t>
      </w:r>
      <w:proofErr w:type="spellStart"/>
      <w:r>
        <w:rPr>
          <w:rtl/>
        </w:rPr>
        <w:t>הת״ר</w:t>
      </w:r>
      <w:proofErr w:type="spellEnd"/>
      <w:r>
        <w:rPr>
          <w:rtl/>
        </w:rPr>
        <w:t xml:space="preserve"> היה חיובי, שלא כמקובל, והוא השתתף בוועידת “חובבי ציון” </w:t>
      </w:r>
      <w:proofErr w:type="spellStart"/>
      <w:r>
        <w:rPr>
          <w:rtl/>
        </w:rPr>
        <w:t>בקטוביץ</w:t>
      </w:r>
      <w:proofErr w:type="spellEnd"/>
      <w:r>
        <w:rPr>
          <w:rtl/>
        </w:rPr>
        <w:t xml:space="preserve"> </w:t>
      </w:r>
      <w:proofErr w:type="spellStart"/>
      <w:r>
        <w:rPr>
          <w:rtl/>
        </w:rPr>
        <w:t>בתרמ״ה</w:t>
      </w:r>
      <w:bookmarkStart w:id="4796" w:name="_fnr3536"/>
      <w:proofErr w:type="spellEnd"/>
      <w:r>
        <w:rPr>
          <w:vertAlign w:val="superscript"/>
          <w:rtl/>
        </w:rPr>
        <w:footnoteReference w:id="3544" w:customMarkFollows="0"/>
      </w:r>
      <w:bookmarkEnd w:id="4796"/>
      <w:r>
        <w:rPr>
          <w:rtl/>
        </w:rPr>
        <w:t>. אבל פחות מעשרים שנה אחר כך שינה את דעתו על התנועה</w:t>
      </w:r>
      <w:bookmarkStart w:id="4797" w:name="_fnr3537"/>
      <w:r>
        <w:rPr>
          <w:vertAlign w:val="superscript"/>
          <w:rtl/>
        </w:rPr>
        <w:footnoteReference w:id="3545" w:customMarkFollows="0"/>
      </w:r>
      <w:bookmarkStart w:id="4798" w:name="_fnr3538"/>
      <w:bookmarkEnd w:id="4797"/>
      <w:r>
        <w:rPr>
          <w:vertAlign w:val="superscript"/>
          <w:rtl/>
        </w:rPr>
        <w:footnoteReference w:id="3546" w:customMarkFollows="0"/>
      </w:r>
      <w:bookmarkEnd w:id="4798"/>
      <w:r>
        <w:rPr>
          <w:rtl/>
        </w:rPr>
        <w:t xml:space="preserve">. במכתב שהתגלה לאחרונה, לגיסו ר׳ </w:t>
      </w:r>
      <w:proofErr w:type="spellStart"/>
      <w:r>
        <w:rPr>
          <w:rtl/>
        </w:rPr>
        <w:t>יחיאל־מיכל</w:t>
      </w:r>
      <w:proofErr w:type="spellEnd"/>
      <w:r>
        <w:rPr>
          <w:rtl/>
        </w:rPr>
        <w:t xml:space="preserve"> פינס, מתאריך י״ד באלול תרס״א</w:t>
      </w:r>
      <w:bookmarkStart w:id="4799" w:name="_fnr3539"/>
      <w:r>
        <w:rPr>
          <w:vertAlign w:val="superscript"/>
          <w:rtl/>
        </w:rPr>
        <w:footnoteReference w:id="3547" w:customMarkFollows="0"/>
      </w:r>
      <w:bookmarkEnd w:id="4799"/>
      <w:r>
        <w:rPr>
          <w:rtl/>
        </w:rPr>
        <w:t xml:space="preserve">, כתב: “פעולות הצדקה נקלעו למצוקה בארצנו [רוסיה]. [הסיבה העיקרית] היא שקהל עריצי הציונים, החוטאים </w:t>
      </w:r>
      <w:proofErr w:type="spellStart"/>
      <w:r>
        <w:rPr>
          <w:rtl/>
        </w:rPr>
        <w:t>בנפשותם</w:t>
      </w:r>
      <w:proofErr w:type="spellEnd"/>
      <w:r>
        <w:rPr>
          <w:rtl/>
        </w:rPr>
        <w:t xml:space="preserve">, שופכים סכומי כסף גדולים לתוך אחוזותיהם [מושבותיהם] לתוהו, לשיגעון ולאיוולת, </w:t>
      </w:r>
      <w:proofErr w:type="spellStart"/>
      <w:r>
        <w:rPr>
          <w:rtl/>
        </w:rPr>
        <w:t>לחרמות</w:t>
      </w:r>
      <w:proofErr w:type="spellEnd"/>
      <w:r>
        <w:rPr>
          <w:rtl/>
        </w:rPr>
        <w:t xml:space="preserve"> ולשקרים, ו[למען] נביאי השקר שלהם, המתירים להם עריות וחילול שבת </w:t>
      </w:r>
      <w:proofErr w:type="spellStart"/>
      <w:r>
        <w:rPr>
          <w:rtl/>
        </w:rPr>
        <w:t>בפרהסיא</w:t>
      </w:r>
      <w:proofErr w:type="spellEnd"/>
      <w:r>
        <w:rPr>
          <w:rtl/>
        </w:rPr>
        <w:t xml:space="preserve"> – ובלבד שיהיו לאומי...”</w:t>
      </w:r>
    </w:p>
    <w:p w14:paraId="13EC7333" w14:textId="19AFC11A"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רבנו נהנה מחגיגות הפורים בישיבה, כשהזמן קרב לסיומו</w:t>
      </w:r>
      <w:bookmarkStart w:id="4800" w:name="b4_text147"/>
      <w:bookmarkEnd w:id="4800"/>
      <w:r>
        <w:rPr>
          <w:sz w:val="18"/>
          <w:szCs w:val="18"/>
          <w:vertAlign w:val="superscript"/>
          <w:rtl/>
        </w:rPr>
        <w:fldChar w:fldCharType="begin" w:dirty="true"/>
      </w:r>
      <w:r>
        <w:rPr>
          <w:sz w:val="18"/>
          <w:szCs w:val="18"/>
          <w:vertAlign w:val="superscript"/>
          <w:rtl/>
        </w:rPr>
        <w:instrText xml:space="preserve"> REF b4_note147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147</w:t>
      </w:r>
      <w:r>
        <w:rPr>
          <w:sz w:val="18"/>
          <w:szCs w:val="18"/>
          <w:vertAlign w:val="superscript"/>
          <w:rtl/>
        </w:rPr>
        <w:fldChar w:fldCharType="end"/>
      </w:r>
      <w:r>
        <w:rPr>
          <w:rtl/>
        </w:rPr>
        <w:t>. הוא העריך את חריפות המחשבה</w:t>
      </w:r>
      <w:bookmarkStart w:id="4801" w:name="b4_text148"/>
      <w:bookmarkEnd w:id="4801"/>
      <w:r>
        <w:rPr>
          <w:sz w:val="18"/>
          <w:szCs w:val="18"/>
          <w:vertAlign w:val="superscript"/>
          <w:rtl/>
        </w:rPr>
        <w:fldChar w:fldCharType="begin" w:dirty="true"/>
      </w:r>
      <w:r>
        <w:rPr>
          <w:sz w:val="18"/>
          <w:szCs w:val="18"/>
          <w:vertAlign w:val="superscript"/>
          <w:rtl/>
        </w:rPr>
        <w:instrText xml:space="preserve"> REF b4_note148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148</w:t>
      </w:r>
      <w:r>
        <w:rPr>
          <w:sz w:val="18"/>
          <w:szCs w:val="18"/>
          <w:vertAlign w:val="superscript"/>
          <w:rtl/>
        </w:rPr>
        <w:fldChar w:fldCharType="end"/>
      </w:r>
      <w:r>
        <w:rPr>
          <w:rtl/>
        </w:rPr>
        <w:t xml:space="preserve"> שהפגין </w:t>
      </w:r>
      <w:proofErr w:type="spellStart"/>
      <w:r>
        <w:rPr>
          <w:rtl/>
        </w:rPr>
        <w:t>ה“פורים־רב</w:t>
      </w:r>
      <w:proofErr w:type="spellEnd"/>
      <w:r>
        <w:rPr>
          <w:rtl/>
        </w:rPr>
        <w:t xml:space="preserve">” של כנסת ישראל, אליה </w:t>
      </w:r>
      <w:proofErr w:type="spellStart"/>
      <w:r>
        <w:rPr>
          <w:rtl/>
        </w:rPr>
        <w:t>ריטעווער</w:t>
      </w:r>
      <w:proofErr w:type="spellEnd"/>
      <w:r>
        <w:rPr>
          <w:rtl/>
        </w:rPr>
        <w:t xml:space="preserve"> (בירק)</w:t>
      </w:r>
      <w:bookmarkStart w:id="4802" w:name="b4_text149"/>
      <w:bookmarkEnd w:id="4802"/>
      <w:r>
        <w:rPr>
          <w:sz w:val="18"/>
          <w:szCs w:val="18"/>
          <w:vertAlign w:val="superscript"/>
          <w:rtl/>
        </w:rPr>
        <w:fldChar w:fldCharType="begin" w:dirty="true"/>
      </w:r>
      <w:r>
        <w:rPr>
          <w:sz w:val="18"/>
          <w:szCs w:val="18"/>
          <w:vertAlign w:val="superscript"/>
          <w:rtl/>
        </w:rPr>
        <w:instrText xml:space="preserve"> REF b4_note149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149</w:t>
      </w:r>
      <w:r>
        <w:rPr>
          <w:sz w:val="18"/>
          <w:szCs w:val="18"/>
          <w:vertAlign w:val="superscript"/>
          <w:rtl/>
        </w:rPr>
        <w:fldChar w:fldCharType="end"/>
      </w:r>
      <w:r>
        <w:rPr>
          <w:rtl/>
        </w:rPr>
        <w:t xml:space="preserve">. באותה שנה ספגו שתי ישיבות </w:t>
      </w:r>
      <w:proofErr w:type="spellStart"/>
      <w:r>
        <w:rPr>
          <w:rtl/>
        </w:rPr>
        <w:t>סלבודקה</w:t>
      </w:r>
      <w:proofErr w:type="spellEnd"/>
      <w:r>
        <w:rPr>
          <w:rtl/>
        </w:rPr>
        <w:t xml:space="preserve"> את חיצי הביקורת.</w:t>
      </w:r>
    </w:p>
    <w:bookmarkStart w:id="4803" w:name="b4_note147"/>
    <w:p w14:paraId="710C279E" w14:textId="068FCBA7" w:rsidR="00AB3647" w:rsidRDefault="00000000" w:rsidP="007923E9">
      <w:pPr>
        <w:spacing w:before="120" w:after="100" w:line="276" w:lineRule="auto"/>
        <w:jc w:val="both"/>
      </w:pPr>
      <w:r>
        <w:fldChar w:fldCharType="begin" w:dirty="true"/>
      </w:r>
      <w:r>
        <w:instrText>HYPERLINK \l "b4_text147" \h</w:instrText>
      </w:r>
      <w:r>
        <w:fldChar w:fldCharType="separate"/>
      </w:r>
      <w:r>
        <w:rPr>
          <w:b/>
          <w:bCs/>
          <w:rtl/>
        </w:rPr>
        <w:t>147</w:t>
      </w:r>
      <w:r>
        <w:rPr>
          <w:b/>
          <w:bCs/>
        </w:rPr>
        <w:fldChar w:fldCharType="end"/>
      </w:r>
      <w:bookmarkEnd w:id="4803"/>
      <w:r>
        <w:rPr>
          <w:rtl/>
        </w:rPr>
        <w:t xml:space="preserve"> בישיבה התקיים בפורים סדר בוקר רגיל, לאחר קריאת המגילה. עובדה מפתיעה זו סיפר אבי לנכדו ר׳ יצחק </w:t>
      </w:r>
      <w:proofErr w:type="spellStart"/>
      <w:r>
        <w:rPr>
          <w:rtl/>
        </w:rPr>
        <w:t>שורין</w:t>
      </w:r>
      <w:bookmarkStart w:id="4804" w:name="_fnr3540"/>
      <w:proofErr w:type="spellEnd"/>
      <w:r>
        <w:rPr>
          <w:vertAlign w:val="superscript"/>
          <w:rtl/>
        </w:rPr>
        <w:footnoteReference w:id="3548" w:customMarkFollows="0"/>
      </w:r>
      <w:bookmarkEnd w:id="4804"/>
      <w:r>
        <w:rPr>
          <w:rtl/>
        </w:rPr>
        <w:t>, כשסיפר שבשעות אחר הצהריים של פורים ביקר רבנו אצל ר׳ נפתלי אמסטרדם</w:t>
      </w:r>
      <w:bookmarkStart w:id="4805" w:name="_fnr3541"/>
      <w:r>
        <w:rPr>
          <w:vertAlign w:val="superscript"/>
          <w:rtl/>
        </w:rPr>
        <w:footnoteReference w:id="3549" w:customMarkFollows="0"/>
      </w:r>
      <w:bookmarkEnd w:id="4805"/>
      <w:r>
        <w:rPr>
          <w:rtl/>
        </w:rPr>
        <w:t xml:space="preserve">. השווה גם פרק 4, הפסקה הרביעית של </w:t>
      </w:r>
      <w:r>
        <w:rPr>
          <w:rtl/>
        </w:rPr>
        <w:fldChar w:fldCharType="begin" w:dirty="true"/>
      </w:r>
      <w:r>
        <w:rPr>
          <w:rtl/>
        </w:rPr>
        <w:instrText xml:space="preserve"> REF b4_excI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xml:space="preserve">, על ימי השבוע במהלך השנה שבהם לא שמעו התלמידים שיעורים בישיבת </w:t>
      </w:r>
      <w:proofErr w:type="spellStart"/>
      <w:r>
        <w:rPr>
          <w:rtl/>
        </w:rPr>
        <w:t>וולוז׳ין</w:t>
      </w:r>
      <w:proofErr w:type="spellEnd"/>
      <w:r>
        <w:rPr>
          <w:rtl/>
        </w:rPr>
        <w:t>; נראה שגם בפורים נאמר השיעור היומי הרגיל</w:t>
      </w:r>
      <w:bookmarkStart w:id="4806" w:name="_fnr3542"/>
      <w:r>
        <w:rPr>
          <w:vertAlign w:val="superscript"/>
          <w:rtl/>
        </w:rPr>
        <w:footnoteReference w:id="3550" w:customMarkFollows="0"/>
      </w:r>
      <w:bookmarkEnd w:id="4806"/>
      <w:r>
        <w:rPr>
          <w:rtl/>
        </w:rPr>
        <w:t>.</w:t>
      </w:r>
    </w:p>
    <w:bookmarkStart w:id="4807" w:name="b4_note148"/>
    <w:p w14:paraId="7A58CC29" w14:textId="55848AE7" w:rsidR="00AB3647" w:rsidRDefault="00000000" w:rsidP="007923E9">
      <w:pPr>
        <w:spacing w:before="120" w:after="100" w:line="276" w:lineRule="auto"/>
        <w:jc w:val="both"/>
      </w:pPr>
      <w:r>
        <w:fldChar w:fldCharType="begin" w:dirty="true"/>
      </w:r>
      <w:r>
        <w:instrText>HYPERLINK \l "b4_text148" \h</w:instrText>
      </w:r>
      <w:r>
        <w:fldChar w:fldCharType="separate"/>
      </w:r>
      <w:r>
        <w:rPr>
          <w:b/>
          <w:bCs/>
          <w:rtl/>
        </w:rPr>
        <w:t>148</w:t>
      </w:r>
      <w:r>
        <w:rPr>
          <w:b/>
          <w:bCs/>
        </w:rPr>
        <w:fldChar w:fldCharType="end"/>
      </w:r>
      <w:bookmarkEnd w:id="4807"/>
      <w:r>
        <w:rPr>
          <w:rtl/>
        </w:rPr>
        <w:t xml:space="preserve"> ראה </w:t>
      </w:r>
      <w:r>
        <w:rPr>
          <w:rtl/>
        </w:rPr>
        <w:fldChar w:fldCharType="begin" w:dirty="true"/>
      </w:r>
      <w:r>
        <w:rPr>
          <w:rtl/>
        </w:rPr>
        <w:instrText xml:space="preserve"> REF b4_excR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יח</w:t>
      </w:r>
      <w:proofErr w:type="spellEnd"/>
      <w:r>
        <w:rPr>
          <w:rtl/>
        </w:rPr>
        <w:fldChar w:fldCharType="end"/>
      </w:r>
      <w:r>
        <w:rPr>
          <w:rtl/>
        </w:rPr>
        <w:t>.</w:t>
      </w:r>
    </w:p>
    <w:bookmarkStart w:id="4808" w:name="b4_note149"/>
    <w:p w14:paraId="3B9D3329" w14:textId="77777777" w:rsidR="00AB3647" w:rsidRDefault="00000000" w:rsidP="007923E9">
      <w:pPr>
        <w:spacing w:before="120" w:after="100" w:line="276" w:lineRule="auto"/>
        <w:jc w:val="both"/>
      </w:pPr>
      <w:r>
        <w:fldChar w:fldCharType="begin" w:dirty="true"/>
      </w:r>
      <w:r>
        <w:instrText>HYPERLINK \l "b4_text149" \h</w:instrText>
      </w:r>
      <w:r>
        <w:fldChar w:fldCharType="separate"/>
      </w:r>
      <w:r>
        <w:rPr>
          <w:b/>
          <w:bCs/>
          <w:rtl/>
        </w:rPr>
        <w:t>149</w:t>
      </w:r>
      <w:r>
        <w:rPr>
          <w:b/>
          <w:bCs/>
        </w:rPr>
        <w:fldChar w:fldCharType="end"/>
      </w:r>
      <w:bookmarkEnd w:id="4808"/>
      <w:r>
        <w:rPr>
          <w:rtl/>
        </w:rPr>
        <w:t xml:space="preserve"> חתנו הגדול של רבנו, ר׳ ישראל </w:t>
      </w:r>
      <w:proofErr w:type="spellStart"/>
      <w:r>
        <w:rPr>
          <w:rtl/>
        </w:rPr>
        <w:t>שורין</w:t>
      </w:r>
      <w:proofErr w:type="spellEnd"/>
      <w:r>
        <w:rPr>
          <w:rtl/>
        </w:rPr>
        <w:t xml:space="preserve">, יליד </w:t>
      </w:r>
      <w:proofErr w:type="spellStart"/>
      <w:r>
        <w:rPr>
          <w:rtl/>
        </w:rPr>
        <w:t>ריטובה</w:t>
      </w:r>
      <w:proofErr w:type="spellEnd"/>
      <w:r>
        <w:rPr>
          <w:rtl/>
        </w:rPr>
        <w:t>, זכר אותו משם וגם לאחר שעבר לארץ ישראל, שם היו לו פרדסי תפוזים שעיבד</w:t>
      </w:r>
      <w:bookmarkStart w:id="4809" w:name="_fnr3543"/>
      <w:r>
        <w:rPr>
          <w:vertAlign w:val="superscript"/>
          <w:rtl/>
        </w:rPr>
        <w:footnoteReference w:id="3551" w:customMarkFollows="0"/>
      </w:r>
      <w:bookmarkEnd w:id="4809"/>
      <w:r>
        <w:rPr>
          <w:rtl/>
        </w:rPr>
        <w:t>.</w:t>
      </w:r>
    </w:p>
    <w:p w14:paraId="18C085E3" w14:textId="7B130402"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זמן קצר לפני פורים אירע מאורע חמור בכנסת בית יצחק. אחד הבחורים המבוגרים והחשובים בא אל ר׳ משה פקרוביץ׳</w:t>
      </w:r>
      <w:bookmarkStart w:id="4810" w:name="b4_text150"/>
      <w:bookmarkEnd w:id="4810"/>
      <w:r>
        <w:rPr>
          <w:sz w:val="18"/>
          <w:szCs w:val="18"/>
          <w:vertAlign w:val="superscript"/>
          <w:rtl/>
        </w:rPr>
        <w:fldChar w:fldCharType="begin" w:dirty="true"/>
      </w:r>
      <w:r>
        <w:rPr>
          <w:sz w:val="18"/>
          <w:szCs w:val="18"/>
          <w:vertAlign w:val="superscript"/>
          <w:rtl/>
        </w:rPr>
        <w:instrText xml:space="preserve"> REF b4_note150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150</w:t>
      </w:r>
      <w:r>
        <w:rPr>
          <w:sz w:val="18"/>
          <w:szCs w:val="18"/>
          <w:vertAlign w:val="superscript"/>
          <w:rtl/>
        </w:rPr>
        <w:fldChar w:fldCharType="end"/>
      </w:r>
      <w:r>
        <w:rPr>
          <w:rtl/>
        </w:rPr>
        <w:t xml:space="preserve">, המשגיח שהיה ממונה על חלוקת התמיכות, וביקש תוספת. </w:t>
      </w:r>
      <w:r>
        <w:rPr>
          <w:rtl/>
        </w:rPr>
        <w:lastRenderedPageBreak/>
        <w:t>כשנענה בשלילה, איבד את עשתונותיו וסטר סטירה מצלצלת על לחיו של ר׳ משה</w:t>
      </w:r>
      <w:bookmarkStart w:id="4811" w:name="b4_text151"/>
      <w:bookmarkEnd w:id="4811"/>
      <w:r>
        <w:rPr>
          <w:sz w:val="18"/>
          <w:szCs w:val="18"/>
          <w:vertAlign w:val="superscript"/>
          <w:rtl/>
        </w:rPr>
        <w:fldChar w:fldCharType="begin" w:dirty="true"/>
      </w:r>
      <w:r>
        <w:rPr>
          <w:sz w:val="18"/>
          <w:szCs w:val="18"/>
          <w:vertAlign w:val="superscript"/>
          <w:rtl/>
        </w:rPr>
        <w:instrText xml:space="preserve"> REF b4_note151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151</w:t>
      </w:r>
      <w:r>
        <w:rPr>
          <w:sz w:val="18"/>
          <w:szCs w:val="18"/>
          <w:vertAlign w:val="superscript"/>
          <w:rtl/>
        </w:rPr>
        <w:fldChar w:fldCharType="end"/>
      </w:r>
      <w:r>
        <w:rPr>
          <w:rtl/>
        </w:rPr>
        <w:t>. מאורע כזה סיפק חומר גלם מתבקש לבדיחות הפורים.</w:t>
      </w:r>
    </w:p>
    <w:bookmarkStart w:id="4812" w:name="b4_note150"/>
    <w:p w14:paraId="2CDD0EB6" w14:textId="77777777" w:rsidR="00AB3647" w:rsidRDefault="00000000" w:rsidP="007923E9">
      <w:pPr>
        <w:spacing w:before="120" w:after="100" w:line="276" w:lineRule="auto"/>
        <w:jc w:val="both"/>
      </w:pPr>
      <w:r>
        <w:fldChar w:fldCharType="begin" w:dirty="true"/>
      </w:r>
      <w:r>
        <w:instrText>HYPERLINK \l "b4_text150" \h</w:instrText>
      </w:r>
      <w:r>
        <w:fldChar w:fldCharType="separate"/>
      </w:r>
      <w:r>
        <w:rPr>
          <w:b/>
          <w:bCs/>
          <w:rtl/>
        </w:rPr>
        <w:t>150</w:t>
      </w:r>
      <w:r>
        <w:rPr>
          <w:b/>
          <w:bCs/>
        </w:rPr>
        <w:fldChar w:fldCharType="end"/>
      </w:r>
      <w:bookmarkEnd w:id="4812"/>
      <w:r>
        <w:rPr>
          <w:rtl/>
        </w:rPr>
        <w:t xml:space="preserve"> ר׳ קופל </w:t>
      </w:r>
      <w:proofErr w:type="spellStart"/>
      <w:r>
        <w:rPr>
          <w:rtl/>
        </w:rPr>
        <w:t>וולפרט</w:t>
      </w:r>
      <w:bookmarkStart w:id="4813" w:name="_fnr3544"/>
      <w:proofErr w:type="spellEnd"/>
      <w:r>
        <w:rPr>
          <w:vertAlign w:val="superscript"/>
          <w:rtl/>
        </w:rPr>
        <w:footnoteReference w:id="3552" w:customMarkFollows="0"/>
      </w:r>
      <w:bookmarkEnd w:id="4813"/>
      <w:r>
        <w:rPr>
          <w:rtl/>
        </w:rPr>
        <w:t xml:space="preserve"> תיאר את ר׳ משה </w:t>
      </w:r>
      <w:proofErr w:type="spellStart"/>
      <w:r>
        <w:rPr>
          <w:rtl/>
        </w:rPr>
        <w:t>פקרוביץ</w:t>
      </w:r>
      <w:proofErr w:type="spellEnd"/>
      <w:r>
        <w:rPr>
          <w:rtl/>
        </w:rPr>
        <w:t xml:space="preserve">׳ </w:t>
      </w:r>
      <w:proofErr w:type="spellStart"/>
      <w:r>
        <w:rPr>
          <w:rtl/>
        </w:rPr>
        <w:t>כ“אדם</w:t>
      </w:r>
      <w:proofErr w:type="spellEnd"/>
      <w:r>
        <w:rPr>
          <w:rtl/>
        </w:rPr>
        <w:t xml:space="preserve"> </w:t>
      </w:r>
      <w:proofErr w:type="spellStart"/>
      <w:r>
        <w:rPr>
          <w:rtl/>
        </w:rPr>
        <w:t>עב־בשר</w:t>
      </w:r>
      <w:proofErr w:type="spellEnd"/>
      <w:r>
        <w:rPr>
          <w:rtl/>
        </w:rPr>
        <w:t xml:space="preserve"> שמשקלו לפחות 113 ק״ג, ויהודי פיקח שהיה מסרק לאיטו את זקנו באצבעותיו כשהוא בוחן אותך – כקצין משטרה רוסי”. גם במאמרו של </w:t>
      </w:r>
      <w:proofErr w:type="spellStart"/>
      <w:r>
        <w:rPr>
          <w:rtl/>
        </w:rPr>
        <w:t>הירש־לייב</w:t>
      </w:r>
      <w:proofErr w:type="spellEnd"/>
      <w:r>
        <w:rPr>
          <w:rtl/>
        </w:rPr>
        <w:t xml:space="preserve"> גורדון “על גדות </w:t>
      </w:r>
      <w:proofErr w:type="spellStart"/>
      <w:r>
        <w:rPr>
          <w:rtl/>
        </w:rPr>
        <w:t>הוויליה</w:t>
      </w:r>
      <w:proofErr w:type="spellEnd"/>
      <w:r>
        <w:rPr>
          <w:rtl/>
        </w:rPr>
        <w:t xml:space="preserve"> </w:t>
      </w:r>
      <w:proofErr w:type="spellStart"/>
      <w:r>
        <w:rPr>
          <w:rtl/>
        </w:rPr>
        <w:t>והנימן</w:t>
      </w:r>
      <w:proofErr w:type="spellEnd"/>
      <w:r>
        <w:rPr>
          <w:rtl/>
        </w:rPr>
        <w:t xml:space="preserve">” </w:t>
      </w:r>
      <w:proofErr w:type="spellStart"/>
      <w:r>
        <w:rPr>
          <w:rtl/>
        </w:rPr>
        <w:t>ב“הדואר</w:t>
      </w:r>
      <w:proofErr w:type="spellEnd"/>
      <w:r>
        <w:rPr>
          <w:rtl/>
        </w:rPr>
        <w:t>”</w:t>
      </w:r>
      <w:bookmarkStart w:id="4814" w:name="_fnr3545"/>
      <w:r>
        <w:rPr>
          <w:vertAlign w:val="superscript"/>
          <w:rtl/>
        </w:rPr>
        <w:footnoteReference w:id="3553" w:customMarkFollows="0"/>
      </w:r>
      <w:bookmarkEnd w:id="4814"/>
      <w:r>
        <w:rPr>
          <w:rtl/>
        </w:rPr>
        <w:t xml:space="preserve"> מתוארות תכונותיו בדרך דומה: “הוא היה יהודי פיקח ושקול בדעתו”. לפי כץ, “תנועת המוסר”, כרך ג</w:t>
      </w:r>
      <w:bookmarkStart w:id="4815" w:name="_fnr3546"/>
      <w:r>
        <w:rPr>
          <w:vertAlign w:val="superscript"/>
          <w:rtl/>
        </w:rPr>
        <w:footnoteReference w:id="3554" w:customMarkFollows="0"/>
      </w:r>
      <w:bookmarkEnd w:id="4815"/>
      <w:r>
        <w:rPr>
          <w:rtl/>
        </w:rPr>
        <w:t xml:space="preserve">, בעת ייסוד הישיבה </w:t>
      </w:r>
      <w:proofErr w:type="spellStart"/>
      <w:r>
        <w:rPr>
          <w:rtl/>
        </w:rPr>
        <w:t>בתרנ״ז</w:t>
      </w:r>
      <w:proofErr w:type="spellEnd"/>
      <w:r>
        <w:rPr>
          <w:rtl/>
        </w:rPr>
        <w:t xml:space="preserve"> היה רק משגיח, ואחר כך – כנראה </w:t>
      </w:r>
      <w:proofErr w:type="spellStart"/>
      <w:r>
        <w:rPr>
          <w:rtl/>
        </w:rPr>
        <w:t>זמן־מה</w:t>
      </w:r>
      <w:proofErr w:type="spellEnd"/>
      <w:r>
        <w:rPr>
          <w:rtl/>
        </w:rPr>
        <w:t xml:space="preserve"> לאחר המאורע המסופר כאן – נעשה מנהל ממש.</w:t>
      </w:r>
    </w:p>
    <w:p w14:paraId="378A2D44" w14:textId="77777777" w:rsidR="00AB3647" w:rsidRDefault="00000000" w:rsidP="007923E9">
      <w:pPr>
        <w:spacing w:before="120" w:after="100" w:line="276" w:lineRule="auto"/>
        <w:jc w:val="both"/>
      </w:pPr>
      <w:proofErr w:type="spellStart"/>
      <w:r>
        <w:rPr>
          <w:rtl/>
        </w:rPr>
        <w:t>בתר״ע</w:t>
      </w:r>
      <w:proofErr w:type="spellEnd"/>
      <w:r>
        <w:rPr>
          <w:rtl/>
        </w:rPr>
        <w:t xml:space="preserve">, לאחר שנפטר ר׳ </w:t>
      </w:r>
      <w:proofErr w:type="spellStart"/>
      <w:r>
        <w:rPr>
          <w:rtl/>
        </w:rPr>
        <w:t>צבי־הירש</w:t>
      </w:r>
      <w:proofErr w:type="spellEnd"/>
      <w:r>
        <w:rPr>
          <w:rtl/>
        </w:rPr>
        <w:t xml:space="preserve"> </w:t>
      </w:r>
      <w:proofErr w:type="spellStart"/>
      <w:r>
        <w:rPr>
          <w:rtl/>
        </w:rPr>
        <w:t>רבינוביץ</w:t>
      </w:r>
      <w:proofErr w:type="spellEnd"/>
      <w:r>
        <w:rPr>
          <w:rtl/>
        </w:rPr>
        <w:t xml:space="preserve"> (“שנמנה עם ראשי מתנגדי המוסר”), הועלתה תוכנית לאחד את שתי ישיבות </w:t>
      </w:r>
      <w:proofErr w:type="spellStart"/>
      <w:r>
        <w:rPr>
          <w:rtl/>
        </w:rPr>
        <w:t>סלבודקה</w:t>
      </w:r>
      <w:bookmarkStart w:id="4816" w:name="_fnr3547"/>
      <w:proofErr w:type="spellEnd"/>
      <w:r>
        <w:rPr>
          <w:vertAlign w:val="superscript"/>
          <w:rtl/>
        </w:rPr>
        <w:footnoteReference w:id="3555" w:customMarkFollows="0"/>
      </w:r>
      <w:bookmarkEnd w:id="4816"/>
      <w:r>
        <w:rPr>
          <w:rtl/>
        </w:rPr>
        <w:t xml:space="preserve">. ר׳ </w:t>
      </w:r>
      <w:proofErr w:type="spellStart"/>
      <w:r>
        <w:rPr>
          <w:rtl/>
        </w:rPr>
        <w:t>משה־מרדכי</w:t>
      </w:r>
      <w:proofErr w:type="spellEnd"/>
      <w:r>
        <w:rPr>
          <w:rtl/>
        </w:rPr>
        <w:t xml:space="preserve"> אפשטיין נתמנה אז לרבה של </w:t>
      </w:r>
      <w:proofErr w:type="spellStart"/>
      <w:r>
        <w:rPr>
          <w:rtl/>
        </w:rPr>
        <w:t>סלבודקה</w:t>
      </w:r>
      <w:bookmarkStart w:id="4817" w:name="_fnr3548"/>
      <w:proofErr w:type="spellEnd"/>
      <w:r>
        <w:rPr>
          <w:vertAlign w:val="superscript"/>
          <w:rtl/>
        </w:rPr>
        <w:footnoteReference w:id="3556" w:customMarkFollows="0"/>
      </w:r>
      <w:bookmarkEnd w:id="4817"/>
      <w:r>
        <w:rPr>
          <w:rtl/>
        </w:rPr>
        <w:t xml:space="preserve">, ובלא ספק היה ר׳ </w:t>
      </w:r>
      <w:proofErr w:type="spellStart"/>
      <w:r>
        <w:rPr>
          <w:rtl/>
        </w:rPr>
        <w:t>ברוך־בער</w:t>
      </w:r>
      <w:proofErr w:type="spellEnd"/>
      <w:r>
        <w:rPr>
          <w:rtl/>
        </w:rPr>
        <w:t xml:space="preserve"> נעשה ראש הישיבה של שני המוסדות המאוחדים. אף שבשל דבקות התלמידים בר׳ </w:t>
      </w:r>
      <w:proofErr w:type="spellStart"/>
      <w:r>
        <w:rPr>
          <w:rtl/>
        </w:rPr>
        <w:t>ברוך־בער</w:t>
      </w:r>
      <w:proofErr w:type="spellEnd"/>
      <w:r>
        <w:rPr>
          <w:rtl/>
        </w:rPr>
        <w:t xml:space="preserve"> עשוי היה הסבא להעדיף ראש ישיבה מסוג אחר</w:t>
      </w:r>
      <w:bookmarkStart w:id="4818" w:name="_fnr3549"/>
      <w:r>
        <w:rPr>
          <w:vertAlign w:val="superscript"/>
          <w:rtl/>
        </w:rPr>
        <w:footnoteReference w:id="3557" w:customMarkFollows="0"/>
      </w:r>
      <w:bookmarkEnd w:id="4818"/>
      <w:r>
        <w:rPr>
          <w:rtl/>
        </w:rPr>
        <w:t xml:space="preserve">, ודאי נתן את הסכמתו לתוכנית, שהרי היא הפכה את תבוסתו במחלוקת המוסר </w:t>
      </w:r>
      <w:proofErr w:type="spellStart"/>
      <w:r>
        <w:rPr>
          <w:rtl/>
        </w:rPr>
        <w:t>שלוש־עשרה</w:t>
      </w:r>
      <w:proofErr w:type="spellEnd"/>
      <w:r>
        <w:rPr>
          <w:rtl/>
        </w:rPr>
        <w:t xml:space="preserve"> שנה קודם לכן, ואפשרה למוסר לכבוש מוסד תורה נוסף.</w:t>
      </w:r>
    </w:p>
    <w:p w14:paraId="4AF758AD" w14:textId="77777777" w:rsidR="00AB3647" w:rsidRDefault="00000000" w:rsidP="007923E9">
      <w:pPr>
        <w:spacing w:before="120" w:after="100" w:line="276" w:lineRule="auto"/>
        <w:jc w:val="both"/>
      </w:pPr>
      <w:r>
        <w:rPr>
          <w:rtl/>
        </w:rPr>
        <w:t xml:space="preserve">התוכנית “סוכלה בידי גורמים מבחוץ, מתנגדי המוסר”, אך בעקבות המשא ומתן עזב הרב </w:t>
      </w:r>
      <w:proofErr w:type="spellStart"/>
      <w:r>
        <w:rPr>
          <w:rtl/>
        </w:rPr>
        <w:t>פקרוביץ</w:t>
      </w:r>
      <w:proofErr w:type="spellEnd"/>
      <w:r>
        <w:rPr>
          <w:rtl/>
        </w:rPr>
        <w:t xml:space="preserve">׳ את כנסת בית יצחק ונעשה שד״ר של כנסת ישראל. מסתבר שזה התפקיד שיועד לו בתוכנית האיחוד. גם מינויו של ר׳ </w:t>
      </w:r>
      <w:proofErr w:type="spellStart"/>
      <w:r>
        <w:rPr>
          <w:rtl/>
        </w:rPr>
        <w:t>משה־מרדכי</w:t>
      </w:r>
      <w:proofErr w:type="spellEnd"/>
      <w:r>
        <w:rPr>
          <w:rtl/>
        </w:rPr>
        <w:t xml:space="preserve"> לרבנות </w:t>
      </w:r>
      <w:proofErr w:type="spellStart"/>
      <w:r>
        <w:rPr>
          <w:rtl/>
        </w:rPr>
        <w:t>סלבודקה</w:t>
      </w:r>
      <w:proofErr w:type="spellEnd"/>
      <w:r>
        <w:rPr>
          <w:rtl/>
        </w:rPr>
        <w:t xml:space="preserve"> עשוי היה להיות תוצאה של התוכנית [שלא יצאה לפועל]!</w:t>
      </w:r>
    </w:p>
    <w:p w14:paraId="0E11CFEC" w14:textId="77777777" w:rsidR="00AB3647" w:rsidRDefault="00000000" w:rsidP="007923E9">
      <w:pPr>
        <w:spacing w:before="120" w:after="100" w:line="276" w:lineRule="auto"/>
        <w:jc w:val="both"/>
      </w:pPr>
      <w:r>
        <w:rPr>
          <w:rtl/>
        </w:rPr>
        <w:t xml:space="preserve">אבל לפי ר׳ </w:t>
      </w:r>
      <w:proofErr w:type="spellStart"/>
      <w:r>
        <w:rPr>
          <w:rtl/>
        </w:rPr>
        <w:t>ישראל־אליעזר</w:t>
      </w:r>
      <w:proofErr w:type="spellEnd"/>
      <w:r>
        <w:rPr>
          <w:rtl/>
        </w:rPr>
        <w:t xml:space="preserve"> </w:t>
      </w:r>
      <w:proofErr w:type="spellStart"/>
      <w:r>
        <w:rPr>
          <w:rtl/>
        </w:rPr>
        <w:t>גרוזובסקי</w:t>
      </w:r>
      <w:bookmarkStart w:id="4819" w:name="_fnr3550"/>
      <w:proofErr w:type="spellEnd"/>
      <w:r>
        <w:rPr>
          <w:vertAlign w:val="superscript"/>
          <w:rtl/>
        </w:rPr>
        <w:footnoteReference w:id="3558" w:customMarkFollows="0"/>
      </w:r>
      <w:bookmarkEnd w:id="4819"/>
      <w:r>
        <w:rPr>
          <w:rtl/>
        </w:rPr>
        <w:t xml:space="preserve">, סיפר ר׳ קופל </w:t>
      </w:r>
      <w:proofErr w:type="spellStart"/>
      <w:r>
        <w:rPr>
          <w:rtl/>
        </w:rPr>
        <w:t>וולפרט</w:t>
      </w:r>
      <w:bookmarkStart w:id="4820" w:name="_fnr3551"/>
      <w:proofErr w:type="spellEnd"/>
      <w:r>
        <w:rPr>
          <w:vertAlign w:val="superscript"/>
          <w:rtl/>
        </w:rPr>
        <w:footnoteReference w:id="3559" w:customMarkFollows="0"/>
      </w:r>
      <w:bookmarkEnd w:id="4820"/>
      <w:r>
        <w:rPr>
          <w:rtl/>
        </w:rPr>
        <w:t xml:space="preserve"> מעשה אחר על האופן שבו נתמנה ר׳ </w:t>
      </w:r>
      <w:proofErr w:type="spellStart"/>
      <w:r>
        <w:rPr>
          <w:rtl/>
        </w:rPr>
        <w:t>משה־מרדכי</w:t>
      </w:r>
      <w:proofErr w:type="spellEnd"/>
      <w:r>
        <w:rPr>
          <w:rtl/>
        </w:rPr>
        <w:t xml:space="preserve">: “אספת הבוחרים החליטה תחילה למנות את ר׳ </w:t>
      </w:r>
      <w:proofErr w:type="spellStart"/>
      <w:r>
        <w:rPr>
          <w:rtl/>
        </w:rPr>
        <w:t>ברוך־בער</w:t>
      </w:r>
      <w:proofErr w:type="spellEnd"/>
      <w:r>
        <w:rPr>
          <w:rtl/>
        </w:rPr>
        <w:t xml:space="preserve"> לרבה של </w:t>
      </w:r>
      <w:proofErr w:type="spellStart"/>
      <w:r>
        <w:rPr>
          <w:rtl/>
        </w:rPr>
        <w:t>סלבודקה</w:t>
      </w:r>
      <w:proofErr w:type="spellEnd"/>
      <w:r>
        <w:rPr>
          <w:rtl/>
        </w:rPr>
        <w:t xml:space="preserve">, ושלחה את ר׳ </w:t>
      </w:r>
      <w:proofErr w:type="spellStart"/>
      <w:r>
        <w:rPr>
          <w:rtl/>
        </w:rPr>
        <w:t>חייקל</w:t>
      </w:r>
      <w:proofErr w:type="spellEnd"/>
      <w:r>
        <w:rPr>
          <w:rtl/>
        </w:rPr>
        <w:t xml:space="preserve">, מראשי הקהילה [שהיה מקורב מאוד לרב הקודם, ר׳ משה </w:t>
      </w:r>
      <w:proofErr w:type="spellStart"/>
      <w:r>
        <w:rPr>
          <w:rtl/>
        </w:rPr>
        <w:t>דנישבסקי</w:t>
      </w:r>
      <w:proofErr w:type="spellEnd"/>
      <w:r>
        <w:rPr>
          <w:rtl/>
        </w:rPr>
        <w:t xml:space="preserve">], ללכת לביתו ולהודיעו על המינוי. ר׳ </w:t>
      </w:r>
      <w:proofErr w:type="spellStart"/>
      <w:r>
        <w:rPr>
          <w:rtl/>
        </w:rPr>
        <w:t>ברוך־בער</w:t>
      </w:r>
      <w:proofErr w:type="spellEnd"/>
      <w:r>
        <w:rPr>
          <w:rtl/>
        </w:rPr>
        <w:t xml:space="preserve"> השיב שהוא זקוק לחצי שעה לפני שייתן תשובה. לאחר מכן הלך לבית ר׳ </w:t>
      </w:r>
      <w:proofErr w:type="spellStart"/>
      <w:r>
        <w:rPr>
          <w:rtl/>
        </w:rPr>
        <w:t>משה־מרדכי</w:t>
      </w:r>
      <w:proofErr w:type="spellEnd"/>
      <w:r>
        <w:rPr>
          <w:rtl/>
        </w:rPr>
        <w:t xml:space="preserve"> והציע לו את המינוי – והלה קיבל מיד”. לפי ר׳ קופל, סבר ר׳ </w:t>
      </w:r>
      <w:proofErr w:type="spellStart"/>
      <w:r>
        <w:rPr>
          <w:rtl/>
        </w:rPr>
        <w:t>ברוך־בער</w:t>
      </w:r>
      <w:proofErr w:type="spellEnd"/>
      <w:r>
        <w:rPr>
          <w:rtl/>
        </w:rPr>
        <w:t xml:space="preserve"> שזכות הקדימה </w:t>
      </w:r>
      <w:proofErr w:type="spellStart"/>
      <w:r>
        <w:rPr>
          <w:rtl/>
        </w:rPr>
        <w:t>לר</w:t>
      </w:r>
      <w:proofErr w:type="spellEnd"/>
      <w:r>
        <w:rPr>
          <w:rtl/>
        </w:rPr>
        <w:t xml:space="preserve">׳ </w:t>
      </w:r>
      <w:proofErr w:type="spellStart"/>
      <w:r>
        <w:rPr>
          <w:rtl/>
        </w:rPr>
        <w:t>משה־מרדכי</w:t>
      </w:r>
      <w:proofErr w:type="spellEnd"/>
      <w:r>
        <w:rPr>
          <w:rtl/>
        </w:rPr>
        <w:t xml:space="preserve">, מפני שכבר היה מו״ץ בעיר. “ר׳ </w:t>
      </w:r>
      <w:proofErr w:type="spellStart"/>
      <w:r>
        <w:rPr>
          <w:rtl/>
        </w:rPr>
        <w:t>ברוך־בער</w:t>
      </w:r>
      <w:proofErr w:type="spellEnd"/>
      <w:r>
        <w:rPr>
          <w:rtl/>
        </w:rPr>
        <w:t xml:space="preserve"> שב אז לאספה ובירך את הבוחרים במזל טוב על רבם החדש, ר׳ </w:t>
      </w:r>
      <w:proofErr w:type="spellStart"/>
      <w:r>
        <w:rPr>
          <w:rtl/>
        </w:rPr>
        <w:t>משה־מרדכי</w:t>
      </w:r>
      <w:proofErr w:type="spellEnd"/>
      <w:r>
        <w:rPr>
          <w:rtl/>
        </w:rPr>
        <w:t xml:space="preserve"> אפשטיין, והוסיף: ‘אילו ידעתי נשים </w:t>
      </w:r>
      <w:proofErr w:type="spellStart"/>
      <w:r>
        <w:rPr>
          <w:rtl/>
        </w:rPr>
        <w:t>ונזיקין</w:t>
      </w:r>
      <w:proofErr w:type="spellEnd"/>
      <w:r>
        <w:rPr>
          <w:rtl/>
        </w:rPr>
        <w:t xml:space="preserve"> כשם שהוא יודע קדשים</w:t>
      </w:r>
      <w:bookmarkStart w:id="4821" w:name="_fnr3552"/>
      <w:r>
        <w:rPr>
          <w:vertAlign w:val="superscript"/>
          <w:rtl/>
        </w:rPr>
        <w:footnoteReference w:id="3560" w:customMarkFollows="0"/>
      </w:r>
      <w:bookmarkEnd w:id="4821"/>
      <w:r>
        <w:rPr>
          <w:rtl/>
        </w:rPr>
        <w:t xml:space="preserve">, הייתי תלמיד חכם </w:t>
      </w:r>
      <w:r>
        <w:rPr>
          <w:rtl/>
        </w:rPr>
        <w:lastRenderedPageBreak/>
        <w:t>גדול’”. [אדלשטיין</w:t>
      </w:r>
      <w:bookmarkStart w:id="4822" w:name="_fnr3553"/>
      <w:r>
        <w:rPr>
          <w:vertAlign w:val="superscript"/>
          <w:rtl/>
        </w:rPr>
        <w:footnoteReference w:id="3561" w:customMarkFollows="0"/>
      </w:r>
      <w:bookmarkEnd w:id="4822"/>
      <w:r>
        <w:rPr>
          <w:rtl/>
        </w:rPr>
        <w:t xml:space="preserve"> מגלה שר׳ </w:t>
      </w:r>
      <w:proofErr w:type="spellStart"/>
      <w:r>
        <w:rPr>
          <w:rtl/>
        </w:rPr>
        <w:t>ברוך־בער</w:t>
      </w:r>
      <w:proofErr w:type="spellEnd"/>
      <w:r>
        <w:rPr>
          <w:rtl/>
        </w:rPr>
        <w:t xml:space="preserve"> סירב לתפקיד מפני שסבר שר׳ </w:t>
      </w:r>
      <w:proofErr w:type="spellStart"/>
      <w:r>
        <w:rPr>
          <w:rtl/>
        </w:rPr>
        <w:t>משה־מרדכי</w:t>
      </w:r>
      <w:proofErr w:type="spellEnd"/>
      <w:r>
        <w:rPr>
          <w:rtl/>
        </w:rPr>
        <w:t xml:space="preserve"> אפשטיין גדול ממנו בתורה – דבר העולה בקנה אחד עם הכרזתו הפומבית לבוחרים כפי שנמסרה כאן.]</w:t>
      </w:r>
    </w:p>
    <w:p w14:paraId="5C6259DD" w14:textId="77777777" w:rsidR="00AB3647" w:rsidRDefault="00000000" w:rsidP="007923E9">
      <w:pPr>
        <w:spacing w:before="120" w:after="100" w:line="276" w:lineRule="auto"/>
        <w:jc w:val="both"/>
      </w:pPr>
      <w:r>
        <w:rPr>
          <w:rtl/>
        </w:rPr>
        <w:t xml:space="preserve">אין סיבה לחשוד שתקוות להיעשות ראש הישיבה של המוסדות המאוחדים עמדו מאחורי החלטת ר׳ </w:t>
      </w:r>
      <w:proofErr w:type="spellStart"/>
      <w:r>
        <w:rPr>
          <w:rtl/>
        </w:rPr>
        <w:t>ברוך־בער</w:t>
      </w:r>
      <w:proofErr w:type="spellEnd"/>
      <w:r>
        <w:rPr>
          <w:rtl/>
        </w:rPr>
        <w:t xml:space="preserve"> לקדם את ר׳ </w:t>
      </w:r>
      <w:proofErr w:type="spellStart"/>
      <w:r>
        <w:rPr>
          <w:rtl/>
        </w:rPr>
        <w:t>משה־מרדכי</w:t>
      </w:r>
      <w:proofErr w:type="spellEnd"/>
      <w:r>
        <w:rPr>
          <w:rtl/>
        </w:rPr>
        <w:t xml:space="preserve"> אפשטיין – להחליף את הרבנות בראשות הישיבה – שהרי ר׳ </w:t>
      </w:r>
      <w:proofErr w:type="spellStart"/>
      <w:r>
        <w:rPr>
          <w:rtl/>
        </w:rPr>
        <w:t>ברוך־בער</w:t>
      </w:r>
      <w:proofErr w:type="spellEnd"/>
      <w:r>
        <w:rPr>
          <w:rtl/>
        </w:rPr>
        <w:t xml:space="preserve"> היה צדיק כל כך, שראוי לקבל את נימוקיו המוצהרים כפשוטם. השווה גם אדלשטיין</w:t>
      </w:r>
      <w:bookmarkStart w:id="4823" w:name="_fnr3554"/>
      <w:r>
        <w:rPr>
          <w:vertAlign w:val="superscript"/>
          <w:rtl/>
        </w:rPr>
        <w:footnoteReference w:id="3562" w:customMarkFollows="0"/>
      </w:r>
      <w:bookmarkEnd w:id="4823"/>
      <w:r>
        <w:rPr>
          <w:rtl/>
        </w:rPr>
        <w:t xml:space="preserve">: “בהזדמנות מאוחרת יותר, כשהתלונן ר׳ </w:t>
      </w:r>
      <w:proofErr w:type="spellStart"/>
      <w:r>
        <w:rPr>
          <w:rtl/>
        </w:rPr>
        <w:t>ברוך־בער</w:t>
      </w:r>
      <w:proofErr w:type="spellEnd"/>
      <w:r>
        <w:rPr>
          <w:rtl/>
        </w:rPr>
        <w:t xml:space="preserve"> בפני ר׳ חיים </w:t>
      </w:r>
      <w:proofErr w:type="spellStart"/>
      <w:r>
        <w:rPr>
          <w:rtl/>
        </w:rPr>
        <w:t>סולובייצ׳יק</w:t>
      </w:r>
      <w:proofErr w:type="spellEnd"/>
      <w:r>
        <w:rPr>
          <w:rtl/>
        </w:rPr>
        <w:t xml:space="preserve"> על קשיי פרנסה, אמר לו רבו: ‘איש לא אמר לך להיות צדיק כזה ולוותר על רבנות </w:t>
      </w:r>
      <w:proofErr w:type="spellStart"/>
      <w:r>
        <w:rPr>
          <w:rtl/>
        </w:rPr>
        <w:t>סלבודקה</w:t>
      </w:r>
      <w:proofErr w:type="spellEnd"/>
      <w:r>
        <w:rPr>
          <w:rtl/>
        </w:rPr>
        <w:t>’”</w:t>
      </w:r>
      <w:bookmarkStart w:id="4824" w:name="_fnr3555"/>
      <w:r>
        <w:rPr>
          <w:vertAlign w:val="superscript"/>
          <w:rtl/>
        </w:rPr>
        <w:footnoteReference w:id="3563" w:customMarkFollows="0"/>
      </w:r>
      <w:bookmarkEnd w:id="4824"/>
      <w:r>
        <w:rPr>
          <w:rtl/>
        </w:rPr>
        <w:t xml:space="preserve">. דבר זה מוכיח שהחלטת ר׳ </w:t>
      </w:r>
      <w:proofErr w:type="spellStart"/>
      <w:r>
        <w:rPr>
          <w:rtl/>
        </w:rPr>
        <w:t>ברוך־בער</w:t>
      </w:r>
      <w:proofErr w:type="spellEnd"/>
      <w:r>
        <w:rPr>
          <w:rtl/>
        </w:rPr>
        <w:t xml:space="preserve"> הייתה מבוססת על צדקות, ולא על פוליטיקה. ומאחר שניסיונו הקודם כרב </w:t>
      </w:r>
      <w:proofErr w:type="spellStart"/>
      <w:r>
        <w:rPr>
          <w:rtl/>
        </w:rPr>
        <w:t>בהלוסק</w:t>
      </w:r>
      <w:proofErr w:type="spellEnd"/>
      <w:r>
        <w:rPr>
          <w:rtl/>
        </w:rPr>
        <w:t xml:space="preserve"> לא היה מוצלח</w:t>
      </w:r>
      <w:bookmarkStart w:id="4825" w:name="_fnr3556"/>
      <w:r>
        <w:rPr>
          <w:vertAlign w:val="superscript"/>
          <w:rtl/>
        </w:rPr>
        <w:footnoteReference w:id="3564" w:customMarkFollows="0"/>
      </w:r>
      <w:bookmarkEnd w:id="4825"/>
      <w:r>
        <w:rPr>
          <w:rtl/>
        </w:rPr>
        <w:t>, אפשר לשער שגם דבר זה היה שיקול בהחלטתו – בלי לשאול אפילו את רבו – שלא לשוב ולהיות רב.</w:t>
      </w:r>
    </w:p>
    <w:p w14:paraId="441E57EA" w14:textId="77777777" w:rsidR="00AB3647" w:rsidRDefault="00000000" w:rsidP="007923E9">
      <w:pPr>
        <w:spacing w:before="120" w:after="100" w:line="276" w:lineRule="auto"/>
        <w:jc w:val="both"/>
      </w:pPr>
      <w:r>
        <w:rPr>
          <w:rtl/>
        </w:rPr>
        <w:t xml:space="preserve">כץ ממשיך: “[הרב </w:t>
      </w:r>
      <w:proofErr w:type="spellStart"/>
      <w:r>
        <w:rPr>
          <w:rtl/>
        </w:rPr>
        <w:t>פקרוביץ</w:t>
      </w:r>
      <w:proofErr w:type="spellEnd"/>
      <w:r>
        <w:rPr>
          <w:rtl/>
        </w:rPr>
        <w:t xml:space="preserve">׳] התמסר מיד ליצירת בסיס כלכלי ל[כנסת ישראל]. בנסיעתו עם ר׳ </w:t>
      </w:r>
      <w:proofErr w:type="spellStart"/>
      <w:r>
        <w:rPr>
          <w:rtl/>
        </w:rPr>
        <w:t>משה־מרדכי</w:t>
      </w:r>
      <w:proofErr w:type="spellEnd"/>
      <w:r>
        <w:rPr>
          <w:rtl/>
        </w:rPr>
        <w:t xml:space="preserve"> לפטרבורג הצליח לחלץ את [הישיבה] מן המשבר ולבסס את מעמדה”. לפי מאמרו של גורדון, ניצל הרב </w:t>
      </w:r>
      <w:proofErr w:type="spellStart"/>
      <w:r>
        <w:rPr>
          <w:rtl/>
        </w:rPr>
        <w:t>פקרוביץ</w:t>
      </w:r>
      <w:proofErr w:type="spellEnd"/>
      <w:r>
        <w:rPr>
          <w:rtl/>
        </w:rPr>
        <w:t xml:space="preserve">׳ מן השואה ונפטר באנגליה. מסתבר שהיה מחוץ לליטא בשליחות לגיוס כספים בעת פלישת הגרמנים </w:t>
      </w:r>
      <w:proofErr w:type="spellStart"/>
      <w:r>
        <w:rPr>
          <w:rtl/>
        </w:rPr>
        <w:t>בתש״א</w:t>
      </w:r>
      <w:proofErr w:type="spellEnd"/>
      <w:r>
        <w:rPr>
          <w:rtl/>
        </w:rPr>
        <w:t>. נמצא ששינוי עיסוקו הציל את חייו בהשגחה!</w:t>
      </w:r>
    </w:p>
    <w:bookmarkStart w:id="4826" w:name="b4_note151"/>
    <w:p w14:paraId="5B1F83AC" w14:textId="77777777" w:rsidR="00AB3647" w:rsidRDefault="00000000" w:rsidP="007923E9">
      <w:pPr>
        <w:spacing w:before="120" w:after="100" w:line="276" w:lineRule="auto"/>
        <w:jc w:val="both"/>
      </w:pPr>
      <w:r>
        <w:fldChar w:fldCharType="begin" w:dirty="true"/>
      </w:r>
      <w:r>
        <w:instrText>HYPERLINK \l "b4_text151" \h</w:instrText>
      </w:r>
      <w:r>
        <w:fldChar w:fldCharType="separate"/>
      </w:r>
      <w:r>
        <w:rPr>
          <w:b/>
          <w:bCs/>
          <w:rtl/>
        </w:rPr>
        <w:t>151</w:t>
      </w:r>
      <w:r>
        <w:rPr>
          <w:b/>
          <w:bCs/>
        </w:rPr>
        <w:fldChar w:fldCharType="end"/>
      </w:r>
      <w:bookmarkEnd w:id="4826"/>
      <w:r>
        <w:rPr>
          <w:rtl/>
        </w:rPr>
        <w:t xml:space="preserve"> מאמרו של </w:t>
      </w:r>
      <w:proofErr w:type="spellStart"/>
      <w:r>
        <w:rPr>
          <w:rtl/>
        </w:rPr>
        <w:t>הירש־לייב</w:t>
      </w:r>
      <w:proofErr w:type="spellEnd"/>
      <w:r>
        <w:rPr>
          <w:rtl/>
        </w:rPr>
        <w:t xml:space="preserve"> גורדון “על גדות </w:t>
      </w:r>
      <w:proofErr w:type="spellStart"/>
      <w:r>
        <w:rPr>
          <w:rtl/>
        </w:rPr>
        <w:t>הוויליה</w:t>
      </w:r>
      <w:proofErr w:type="spellEnd"/>
      <w:r>
        <w:rPr>
          <w:rtl/>
        </w:rPr>
        <w:t xml:space="preserve"> </w:t>
      </w:r>
      <w:proofErr w:type="spellStart"/>
      <w:r>
        <w:rPr>
          <w:rtl/>
        </w:rPr>
        <w:t>והנימן</w:t>
      </w:r>
      <w:proofErr w:type="spellEnd"/>
      <w:r>
        <w:rPr>
          <w:rtl/>
        </w:rPr>
        <w:t xml:space="preserve">” </w:t>
      </w:r>
      <w:proofErr w:type="spellStart"/>
      <w:r>
        <w:rPr>
          <w:rtl/>
        </w:rPr>
        <w:t>ב“הדואר</w:t>
      </w:r>
      <w:proofErr w:type="spellEnd"/>
      <w:r>
        <w:rPr>
          <w:rtl/>
        </w:rPr>
        <w:t>”</w:t>
      </w:r>
      <w:bookmarkStart w:id="4827" w:name="_fnr3557"/>
      <w:r>
        <w:rPr>
          <w:vertAlign w:val="superscript"/>
          <w:rtl/>
        </w:rPr>
        <w:footnoteReference w:id="3565" w:customMarkFollows="0"/>
      </w:r>
      <w:bookmarkEnd w:id="4827"/>
      <w:r>
        <w:rPr>
          <w:rtl/>
        </w:rPr>
        <w:t xml:space="preserve"> מתעד עוד בקשה לתוספת תמיכה שנדחתה, אך הסתיימה בדרך הפוכה. המחבר מספר: “ברוח טובה ובלי כעס סיפר לי אחד מחשובי התלמידים [בכנסת בית יצחק], שלמה </w:t>
      </w:r>
      <w:proofErr w:type="spellStart"/>
      <w:r>
        <w:rPr>
          <w:rtl/>
        </w:rPr>
        <w:t>נובו־אלכסנדרובסקר</w:t>
      </w:r>
      <w:bookmarkStart w:id="4828" w:name="_fnr3558"/>
      <w:proofErr w:type="spellEnd"/>
      <w:r>
        <w:rPr>
          <w:vertAlign w:val="superscript"/>
          <w:rtl/>
        </w:rPr>
        <w:footnoteReference w:id="3566" w:customMarkFollows="0"/>
      </w:r>
      <w:bookmarkEnd w:id="4828"/>
      <w:r>
        <w:rPr>
          <w:rtl/>
        </w:rPr>
        <w:t xml:space="preserve">, שפעם הלך לבית ראש הישיבה [דאז], ר׳ משה </w:t>
      </w:r>
      <w:proofErr w:type="spellStart"/>
      <w:r>
        <w:rPr>
          <w:rtl/>
        </w:rPr>
        <w:t>דנישבסקי</w:t>
      </w:r>
      <w:bookmarkStart w:id="4829" w:name="_fnr3559"/>
      <w:proofErr w:type="spellEnd"/>
      <w:r>
        <w:rPr>
          <w:vertAlign w:val="superscript"/>
          <w:rtl/>
        </w:rPr>
        <w:footnoteReference w:id="3567" w:customMarkFollows="0"/>
      </w:r>
      <w:bookmarkEnd w:id="4829"/>
      <w:r>
        <w:rPr>
          <w:rtl/>
        </w:rPr>
        <w:t xml:space="preserve">, רבה של </w:t>
      </w:r>
      <w:proofErr w:type="spellStart"/>
      <w:r>
        <w:rPr>
          <w:rtl/>
        </w:rPr>
        <w:t>סלבודקה</w:t>
      </w:r>
      <w:proofErr w:type="spellEnd"/>
      <w:r>
        <w:rPr>
          <w:rtl/>
        </w:rPr>
        <w:t xml:space="preserve">, ודרש תוספת של רובל אחד לחודש לתמיכתו. ר׳ משה, שהיה נמוך, ביקש משלמה הגבוה להרימו אל כיסא שעמד לידו, ולאחר שמילא המבקש את הבקשה סטר לו [ר׳ משה </w:t>
      </w:r>
      <w:proofErr w:type="spellStart"/>
      <w:r>
        <w:rPr>
          <w:rtl/>
        </w:rPr>
        <w:t>דנישבסקי</w:t>
      </w:r>
      <w:proofErr w:type="spellEnd"/>
      <w:r>
        <w:rPr>
          <w:rtl/>
        </w:rPr>
        <w:t>] על פניו”.</w:t>
      </w:r>
    </w:p>
    <w:p w14:paraId="630B4B41" w14:textId="10407B6F"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proofErr w:type="spellStart"/>
      <w:r>
        <w:rPr>
          <w:rtl/>
        </w:rPr>
        <w:t>הפורים־רב</w:t>
      </w:r>
      <w:proofErr w:type="spellEnd"/>
      <w:r>
        <w:rPr>
          <w:rtl/>
        </w:rPr>
        <w:t>, שמילא את תפקיד ראש הישיבה</w:t>
      </w:r>
      <w:bookmarkStart w:id="4830" w:name="b4_text152"/>
      <w:bookmarkEnd w:id="4830"/>
      <w:r>
        <w:rPr>
          <w:sz w:val="18"/>
          <w:szCs w:val="18"/>
          <w:vertAlign w:val="superscript"/>
          <w:rtl/>
        </w:rPr>
        <w:fldChar w:fldCharType="begin" w:dirty="true"/>
      </w:r>
      <w:r>
        <w:rPr>
          <w:sz w:val="18"/>
          <w:szCs w:val="18"/>
          <w:vertAlign w:val="superscript"/>
          <w:rtl/>
        </w:rPr>
        <w:instrText xml:space="preserve"> REF b4_note152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152</w:t>
      </w:r>
      <w:r>
        <w:rPr>
          <w:sz w:val="18"/>
          <w:szCs w:val="18"/>
          <w:vertAlign w:val="superscript"/>
          <w:rtl/>
        </w:rPr>
        <w:fldChar w:fldCharType="end"/>
      </w:r>
      <w:r>
        <w:rPr>
          <w:rtl/>
        </w:rPr>
        <w:t xml:space="preserve">, הקשה קושיה מחודדת: כיצד יצא התלמיד החשוב, שבא לקבל (כסף), כשהוא נותן (סטירה)? והרי שני המושגים סותרים זה את זה! אחרי שהציע כמה תירוצים ופרך אותם בפלפולו, הגיע לפתרון “פשוט”, על יסוד דין במסכת קידושין, אחת המסכתות שלמדה הישיבה מאז פורים אשתקד. כדי שיחולו קידושין, הדין דורש שהאיש ייתן לאישה דבר שווה כסף, ולא האישה לאיש. אבל אם האיש אדם חשוב, גם נתינת </w:t>
      </w:r>
      <w:r>
        <w:rPr>
          <w:rtl/>
        </w:rPr>
        <w:lastRenderedPageBreak/>
        <w:t xml:space="preserve">האישה לו פועלת קידושין, משום </w:t>
      </w:r>
      <w:proofErr w:type="spellStart"/>
      <w:r>
        <w:rPr>
          <w:rtl/>
        </w:rPr>
        <w:t>ש“כשאדם</w:t>
      </w:r>
      <w:proofErr w:type="spellEnd"/>
      <w:r>
        <w:rPr>
          <w:rtl/>
        </w:rPr>
        <w:t xml:space="preserve"> חשוב ניאות לקבל מתנה, הרי הוא נותן (כבוד, שיש לו ערך) לנותן”</w:t>
      </w:r>
      <w:bookmarkStart w:id="4831" w:name="b4_text153"/>
      <w:bookmarkEnd w:id="4831"/>
      <w:r>
        <w:rPr>
          <w:sz w:val="18"/>
          <w:szCs w:val="18"/>
          <w:vertAlign w:val="superscript"/>
          <w:rtl/>
        </w:rPr>
        <w:fldChar w:fldCharType="begin" w:dirty="true"/>
      </w:r>
      <w:r>
        <w:rPr>
          <w:sz w:val="18"/>
          <w:szCs w:val="18"/>
          <w:vertAlign w:val="superscript"/>
          <w:rtl/>
        </w:rPr>
        <w:instrText xml:space="preserve"> REF b4_note153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153</w:t>
      </w:r>
      <w:r>
        <w:rPr>
          <w:sz w:val="18"/>
          <w:szCs w:val="18"/>
          <w:vertAlign w:val="superscript"/>
          <w:rtl/>
        </w:rPr>
        <w:fldChar w:fldCharType="end"/>
      </w:r>
      <w:r>
        <w:rPr>
          <w:rtl/>
        </w:rPr>
        <w:t>.</w:t>
      </w:r>
    </w:p>
    <w:bookmarkStart w:id="4832" w:name="b4_note152"/>
    <w:p w14:paraId="4352DA6C" w14:textId="77777777" w:rsidR="00AB3647" w:rsidRDefault="00000000" w:rsidP="007923E9">
      <w:pPr>
        <w:spacing w:before="120" w:after="100" w:line="276" w:lineRule="auto"/>
        <w:jc w:val="both"/>
      </w:pPr>
      <w:r>
        <w:fldChar w:fldCharType="begin" w:dirty="true"/>
      </w:r>
      <w:r>
        <w:instrText>HYPERLINK \l "b4_text152" \h</w:instrText>
      </w:r>
      <w:r>
        <w:fldChar w:fldCharType="separate"/>
      </w:r>
      <w:r>
        <w:rPr>
          <w:b/>
          <w:bCs/>
          <w:rtl/>
        </w:rPr>
        <w:t>152</w:t>
      </w:r>
      <w:r>
        <w:rPr>
          <w:b/>
          <w:bCs/>
        </w:rPr>
        <w:fldChar w:fldCharType="end"/>
      </w:r>
      <w:bookmarkEnd w:id="4832"/>
      <w:r>
        <w:rPr>
          <w:rtl/>
        </w:rPr>
        <w:t xml:space="preserve"> מאמר </w:t>
      </w:r>
      <w:proofErr w:type="spellStart"/>
      <w:r>
        <w:rPr>
          <w:rtl/>
        </w:rPr>
        <w:t>ב“הצפירה</w:t>
      </w:r>
      <w:proofErr w:type="spellEnd"/>
      <w:r>
        <w:rPr>
          <w:rtl/>
        </w:rPr>
        <w:t>”</w:t>
      </w:r>
      <w:bookmarkStart w:id="4833" w:name="_fnr3560"/>
      <w:r>
        <w:rPr>
          <w:vertAlign w:val="superscript"/>
          <w:rtl/>
        </w:rPr>
        <w:footnoteReference w:id="3568" w:customMarkFollows="0"/>
      </w:r>
      <w:bookmarkEnd w:id="4833"/>
      <w:r>
        <w:rPr>
          <w:rtl/>
        </w:rPr>
        <w:t xml:space="preserve"> מאת מ. </w:t>
      </w:r>
      <w:proofErr w:type="spellStart"/>
      <w:r>
        <w:rPr>
          <w:rtl/>
        </w:rPr>
        <w:t>אייזנשטאדט</w:t>
      </w:r>
      <w:proofErr w:type="spellEnd"/>
      <w:r>
        <w:rPr>
          <w:rtl/>
        </w:rPr>
        <w:t>, שכותרתו “‘</w:t>
      </w:r>
      <w:proofErr w:type="spellStart"/>
      <w:r>
        <w:rPr>
          <w:rtl/>
        </w:rPr>
        <w:t>פורים־רב</w:t>
      </w:r>
      <w:proofErr w:type="spellEnd"/>
      <w:r>
        <w:rPr>
          <w:rtl/>
        </w:rPr>
        <w:t xml:space="preserve">’”, טוען </w:t>
      </w:r>
      <w:proofErr w:type="spellStart"/>
      <w:r>
        <w:rPr>
          <w:rtl/>
        </w:rPr>
        <w:t>ש“מסופר</w:t>
      </w:r>
      <w:proofErr w:type="spellEnd"/>
      <w:r>
        <w:rPr>
          <w:rtl/>
        </w:rPr>
        <w:t xml:space="preserve">” שר׳ חיים </w:t>
      </w:r>
      <w:proofErr w:type="spellStart"/>
      <w:r>
        <w:rPr>
          <w:rtl/>
        </w:rPr>
        <w:t>מוולוז׳ין</w:t>
      </w:r>
      <w:proofErr w:type="spellEnd"/>
      <w:r>
        <w:rPr>
          <w:rtl/>
        </w:rPr>
        <w:t xml:space="preserve"> הנהיג בישיבתו את המנהג למנות </w:t>
      </w:r>
      <w:proofErr w:type="spellStart"/>
      <w:r>
        <w:rPr>
          <w:rtl/>
        </w:rPr>
        <w:t>פורים־רב</w:t>
      </w:r>
      <w:proofErr w:type="spellEnd"/>
      <w:r>
        <w:rPr>
          <w:rtl/>
        </w:rPr>
        <w:t xml:space="preserve"> – “ראש ישיבה” ליום אחד – כדי לתת ביטוי לטענות שהיו לתלמידים כלפי הנהלת הישיבה במשך השנה, אך היו עדינים מכדי להשמיען. לדברי המחבר, המנהג נמשך בישיבת </w:t>
      </w:r>
      <w:proofErr w:type="spellStart"/>
      <w:r>
        <w:rPr>
          <w:rtl/>
        </w:rPr>
        <w:t>וולוז׳ין</w:t>
      </w:r>
      <w:proofErr w:type="spellEnd"/>
      <w:r>
        <w:rPr>
          <w:rtl/>
        </w:rPr>
        <w:t xml:space="preserve"> עד שביטלו </w:t>
      </w:r>
      <w:proofErr w:type="spellStart"/>
      <w:r>
        <w:rPr>
          <w:rtl/>
        </w:rPr>
        <w:t>הנצי״ב</w:t>
      </w:r>
      <w:bookmarkStart w:id="4834" w:name="_fnr3561"/>
      <w:proofErr w:type="spellEnd"/>
      <w:r>
        <w:rPr>
          <w:vertAlign w:val="superscript"/>
          <w:rtl/>
        </w:rPr>
        <w:footnoteReference w:id="3569" w:customMarkFollows="0"/>
      </w:r>
      <w:bookmarkEnd w:id="4834"/>
      <w:r>
        <w:rPr>
          <w:rtl/>
        </w:rPr>
        <w:t>.</w:t>
      </w:r>
    </w:p>
    <w:p w14:paraId="5C924AF5" w14:textId="77777777" w:rsidR="00AB3647" w:rsidRDefault="00000000" w:rsidP="007923E9">
      <w:pPr>
        <w:spacing w:before="120" w:after="100" w:line="276" w:lineRule="auto"/>
        <w:jc w:val="both"/>
      </w:pPr>
      <w:r>
        <w:rPr>
          <w:rtl/>
        </w:rPr>
        <w:t xml:space="preserve">לטענה שר׳ חיים </w:t>
      </w:r>
      <w:proofErr w:type="spellStart"/>
      <w:r>
        <w:rPr>
          <w:rtl/>
        </w:rPr>
        <w:t>מוולוז׳ין</w:t>
      </w:r>
      <w:proofErr w:type="spellEnd"/>
      <w:r>
        <w:rPr>
          <w:rtl/>
        </w:rPr>
        <w:t xml:space="preserve"> יצר את תפקיד </w:t>
      </w:r>
      <w:proofErr w:type="spellStart"/>
      <w:r>
        <w:rPr>
          <w:rtl/>
        </w:rPr>
        <w:t>הפורים־רב</w:t>
      </w:r>
      <w:proofErr w:type="spellEnd"/>
      <w:r>
        <w:rPr>
          <w:rtl/>
        </w:rPr>
        <w:t xml:space="preserve"> השווה “חגים ומועדים” מאת הרב יהודה ליב הכהן פישמן</w:t>
      </w:r>
      <w:bookmarkStart w:id="4835" w:name="_fnr3562"/>
      <w:r>
        <w:rPr>
          <w:vertAlign w:val="superscript"/>
          <w:rtl/>
        </w:rPr>
        <w:footnoteReference w:id="3570" w:customMarkFollows="0"/>
      </w:r>
      <w:bookmarkEnd w:id="4835"/>
      <w:r>
        <w:rPr>
          <w:rtl/>
        </w:rPr>
        <w:t xml:space="preserve">, הטוען שר׳ יהונתן </w:t>
      </w:r>
      <w:proofErr w:type="spellStart"/>
      <w:r>
        <w:rPr>
          <w:rtl/>
        </w:rPr>
        <w:t>אייבשיץ</w:t>
      </w:r>
      <w:proofErr w:type="spellEnd"/>
      <w:r>
        <w:rPr>
          <w:rtl/>
        </w:rPr>
        <w:t xml:space="preserve"> היה בן </w:t>
      </w:r>
      <w:proofErr w:type="spellStart"/>
      <w:r>
        <w:rPr>
          <w:rtl/>
        </w:rPr>
        <w:t>שלוש־עשרה</w:t>
      </w:r>
      <w:proofErr w:type="spellEnd"/>
      <w:r>
        <w:rPr>
          <w:rtl/>
        </w:rPr>
        <w:t xml:space="preserve"> בלבד כשמינהו </w:t>
      </w:r>
      <w:proofErr w:type="spellStart"/>
      <w:r>
        <w:rPr>
          <w:rtl/>
        </w:rPr>
        <w:t>לפורים־רב</w:t>
      </w:r>
      <w:proofErr w:type="spellEnd"/>
      <w:r>
        <w:rPr>
          <w:rtl/>
        </w:rPr>
        <w:t xml:space="preserve"> רבו ר׳ מאיר </w:t>
      </w:r>
      <w:proofErr w:type="spellStart"/>
      <w:r>
        <w:rPr>
          <w:rtl/>
        </w:rPr>
        <w:t>כ״ץ־אשכנזי</w:t>
      </w:r>
      <w:proofErr w:type="spellEnd"/>
      <w:r>
        <w:rPr>
          <w:rtl/>
        </w:rPr>
        <w:t xml:space="preserve">, שאצלו למד </w:t>
      </w:r>
      <w:proofErr w:type="spellStart"/>
      <w:r>
        <w:rPr>
          <w:rtl/>
        </w:rPr>
        <w:t>בפרוסניץ</w:t>
      </w:r>
      <w:proofErr w:type="spellEnd"/>
      <w:r>
        <w:rPr>
          <w:rtl/>
        </w:rPr>
        <w:t xml:space="preserve"> (ר׳ מאיר הוא מחבר שו״ת “פנים מאירות”, ונודע אחר כך בשם </w:t>
      </w:r>
      <w:proofErr w:type="spellStart"/>
      <w:r>
        <w:rPr>
          <w:rtl/>
        </w:rPr>
        <w:t>אייזנשטט</w:t>
      </w:r>
      <w:proofErr w:type="spellEnd"/>
      <w:r>
        <w:rPr>
          <w:rtl/>
        </w:rPr>
        <w:t xml:space="preserve">, על שם העיר של </w:t>
      </w:r>
      <w:proofErr w:type="spellStart"/>
      <w:r>
        <w:rPr>
          <w:rtl/>
        </w:rPr>
        <w:t>רבנותו</w:t>
      </w:r>
      <w:proofErr w:type="spellEnd"/>
      <w:r>
        <w:rPr>
          <w:rtl/>
        </w:rPr>
        <w:t xml:space="preserve"> האחרונה). נמצא שמנהג זה קדום לפחות במאה שנה לייסוד ישיבת </w:t>
      </w:r>
      <w:proofErr w:type="spellStart"/>
      <w:r>
        <w:rPr>
          <w:rtl/>
        </w:rPr>
        <w:t>וולוז׳ין</w:t>
      </w:r>
      <w:proofErr w:type="spellEnd"/>
      <w:r>
        <w:rPr>
          <w:rtl/>
        </w:rPr>
        <w:t>.</w:t>
      </w:r>
    </w:p>
    <w:p w14:paraId="73527E27" w14:textId="77777777" w:rsidR="00AB3647" w:rsidRDefault="00000000" w:rsidP="007923E9">
      <w:pPr>
        <w:spacing w:after="120" w:line="276" w:lineRule="auto"/>
        <w:jc w:val="both"/>
      </w:pPr>
      <w:r>
        <w:rPr>
          <w:rtl/>
        </w:rPr>
        <w:t>מחבר “</w:t>
      </w:r>
      <w:proofErr w:type="spellStart"/>
      <w:r>
        <w:rPr>
          <w:rtl/>
        </w:rPr>
        <w:t>זכרון</w:t>
      </w:r>
      <w:proofErr w:type="spellEnd"/>
      <w:r>
        <w:rPr>
          <w:rtl/>
        </w:rPr>
        <w:t xml:space="preserve"> יעקב”</w:t>
      </w:r>
      <w:bookmarkStart w:id="4836" w:name="_fnr3563"/>
      <w:r>
        <w:rPr>
          <w:vertAlign w:val="superscript"/>
          <w:rtl/>
        </w:rPr>
        <w:footnoteReference w:id="3571" w:customMarkFollows="0"/>
      </w:r>
      <w:bookmarkEnd w:id="4836"/>
      <w:r>
        <w:rPr>
          <w:rtl/>
        </w:rPr>
        <w:t>, ר׳ יעקב הלוי ליפשיץ, יליד תקצ״ח, זכר “מילדותו”</w:t>
      </w:r>
      <w:bookmarkStart w:id="4837" w:name="_fnr3564"/>
      <w:r>
        <w:rPr>
          <w:vertAlign w:val="superscript"/>
          <w:rtl/>
        </w:rPr>
        <w:footnoteReference w:id="3572" w:customMarkFollows="0"/>
      </w:r>
      <w:bookmarkEnd w:id="4837"/>
      <w:r>
        <w:rPr>
          <w:rtl/>
        </w:rPr>
        <w:t xml:space="preserve"> שכאשר שבו כמה בחורים הביתה </w:t>
      </w:r>
      <w:proofErr w:type="spellStart"/>
      <w:r>
        <w:rPr>
          <w:rtl/>
        </w:rPr>
        <w:t>לווילקומיר</w:t>
      </w:r>
      <w:proofErr w:type="spellEnd"/>
      <w:r>
        <w:rPr>
          <w:rtl/>
        </w:rPr>
        <w:t xml:space="preserve"> </w:t>
      </w:r>
      <w:proofErr w:type="spellStart"/>
      <w:r>
        <w:rPr>
          <w:rtl/>
        </w:rPr>
        <w:t>מוולוז׳ין</w:t>
      </w:r>
      <w:proofErr w:type="spellEnd"/>
      <w:r>
        <w:rPr>
          <w:rtl/>
        </w:rPr>
        <w:t xml:space="preserve"> לחג הפסח, נהנו “תלמידי חכמים מכובדים” רבים מבני המקום לשמוע מפיהם את הדברים שהשמיע </w:t>
      </w:r>
      <w:proofErr w:type="spellStart"/>
      <w:r>
        <w:rPr>
          <w:rtl/>
        </w:rPr>
        <w:t>הפורים־רב</w:t>
      </w:r>
      <w:proofErr w:type="spellEnd"/>
      <w:r>
        <w:rPr>
          <w:rtl/>
        </w:rPr>
        <w:t xml:space="preserve"> בחודש שלפני כן.</w:t>
      </w:r>
    </w:p>
    <w:bookmarkStart w:id="4838" w:name="b4_note153"/>
    <w:p w14:paraId="3EBEA69D" w14:textId="77777777" w:rsidR="00AB3647" w:rsidRDefault="00000000" w:rsidP="007923E9">
      <w:pPr>
        <w:spacing w:before="120" w:after="100" w:line="276" w:lineRule="auto"/>
        <w:jc w:val="both"/>
      </w:pPr>
      <w:r>
        <w:fldChar w:fldCharType="begin" w:dirty="true"/>
      </w:r>
      <w:r>
        <w:instrText>HYPERLINK \l "b4_text153" \h</w:instrText>
      </w:r>
      <w:r>
        <w:fldChar w:fldCharType="separate"/>
      </w:r>
      <w:r>
        <w:rPr>
          <w:b/>
          <w:bCs/>
          <w:rtl/>
        </w:rPr>
        <w:t>153</w:t>
      </w:r>
      <w:r>
        <w:rPr>
          <w:b/>
          <w:bCs/>
        </w:rPr>
        <w:fldChar w:fldCharType="end"/>
      </w:r>
      <w:bookmarkEnd w:id="4838"/>
      <w:r>
        <w:rPr>
          <w:rtl/>
        </w:rPr>
        <w:t xml:space="preserve"> “באדם חשוב וכו׳ </w:t>
      </w:r>
      <w:proofErr w:type="spellStart"/>
      <w:r>
        <w:rPr>
          <w:rtl/>
        </w:rPr>
        <w:t>בההיא</w:t>
      </w:r>
      <w:proofErr w:type="spellEnd"/>
      <w:r>
        <w:rPr>
          <w:rtl/>
        </w:rPr>
        <w:t xml:space="preserve"> הנאה </w:t>
      </w:r>
      <w:proofErr w:type="spellStart"/>
      <w:r>
        <w:rPr>
          <w:rtl/>
        </w:rPr>
        <w:t>דקא</w:t>
      </w:r>
      <w:proofErr w:type="spellEnd"/>
      <w:r>
        <w:rPr>
          <w:rtl/>
        </w:rPr>
        <w:t xml:space="preserve"> מקבל מתנה מינה גמרה </w:t>
      </w:r>
      <w:proofErr w:type="spellStart"/>
      <w:r>
        <w:rPr>
          <w:rtl/>
        </w:rPr>
        <w:t>ומקניא</w:t>
      </w:r>
      <w:proofErr w:type="spellEnd"/>
      <w:r>
        <w:rPr>
          <w:rtl/>
        </w:rPr>
        <w:t xml:space="preserve"> ליה נפשה”</w:t>
      </w:r>
      <w:bookmarkStart w:id="4839" w:name="_fnr3565"/>
      <w:r>
        <w:rPr>
          <w:vertAlign w:val="superscript"/>
          <w:rtl/>
        </w:rPr>
        <w:footnoteReference w:id="3573" w:customMarkFollows="0"/>
      </w:r>
      <w:bookmarkEnd w:id="4839"/>
      <w:r>
        <w:rPr>
          <w:rtl/>
        </w:rPr>
        <w:t>.</w:t>
      </w:r>
    </w:p>
    <w:p w14:paraId="330AA609" w14:textId="2A10C24D"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proofErr w:type="spellStart"/>
      <w:r>
        <w:rPr>
          <w:rtl/>
        </w:rPr>
        <w:t>הפורים־רב</w:t>
      </w:r>
      <w:proofErr w:type="spellEnd"/>
      <w:r>
        <w:rPr>
          <w:rtl/>
        </w:rPr>
        <w:t xml:space="preserve"> השתמש בכלל זה בכיוון ההפוך</w:t>
      </w:r>
      <w:bookmarkStart w:id="4840" w:name="b4_text154"/>
      <w:bookmarkEnd w:id="4840"/>
      <w:r>
        <w:rPr>
          <w:sz w:val="18"/>
          <w:szCs w:val="18"/>
          <w:vertAlign w:val="superscript"/>
          <w:rtl/>
        </w:rPr>
        <w:fldChar w:fldCharType="begin" w:dirty="true"/>
      </w:r>
      <w:r>
        <w:rPr>
          <w:sz w:val="18"/>
          <w:szCs w:val="18"/>
          <w:vertAlign w:val="superscript"/>
          <w:rtl/>
        </w:rPr>
        <w:instrText xml:space="preserve"> REF b4_note154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154</w:t>
      </w:r>
      <w:r>
        <w:rPr>
          <w:sz w:val="18"/>
          <w:szCs w:val="18"/>
          <w:vertAlign w:val="superscript"/>
          <w:rtl/>
        </w:rPr>
        <w:fldChar w:fldCharType="end"/>
      </w:r>
      <w:r>
        <w:rPr>
          <w:rtl/>
        </w:rPr>
        <w:t xml:space="preserve">: הבחור הנידון היה אדם חשוב, ולכן כשנתן – היה בעצם מקבל. אחד השומעים הפסיק את </w:t>
      </w:r>
      <w:proofErr w:type="spellStart"/>
      <w:r>
        <w:rPr>
          <w:rtl/>
        </w:rPr>
        <w:t>ה“שיעור</w:t>
      </w:r>
      <w:proofErr w:type="spellEnd"/>
      <w:r>
        <w:rPr>
          <w:rtl/>
        </w:rPr>
        <w:t xml:space="preserve">” המדומה ושאל: “אבל היכן מוצא ‘ראש הישיבה’ הנכבד שלנו מקור לשימוש בכלל בדרך ההפוכה?” אליה </w:t>
      </w:r>
      <w:proofErr w:type="spellStart"/>
      <w:r>
        <w:rPr>
          <w:rtl/>
        </w:rPr>
        <w:t>ריטעווער</w:t>
      </w:r>
      <w:proofErr w:type="spellEnd"/>
      <w:r>
        <w:rPr>
          <w:rtl/>
        </w:rPr>
        <w:t xml:space="preserve"> השיב מיד: “הוא נדפס בפירוש בספר שיצא לאחרונה”. הוא רמז למנוחה </w:t>
      </w:r>
      <w:proofErr w:type="spellStart"/>
      <w:r>
        <w:rPr>
          <w:rtl/>
        </w:rPr>
        <w:t>פרנק־אפשטיין</w:t>
      </w:r>
      <w:proofErr w:type="spellEnd"/>
      <w:r>
        <w:rPr>
          <w:rtl/>
        </w:rPr>
        <w:t>, אשת ר׳ משה־מרדכי</w:t>
      </w:r>
      <w:bookmarkStart w:id="4841" w:name="b4_text155"/>
      <w:bookmarkEnd w:id="4841"/>
      <w:r>
        <w:rPr>
          <w:sz w:val="18"/>
          <w:szCs w:val="18"/>
          <w:vertAlign w:val="superscript"/>
          <w:rtl/>
        </w:rPr>
        <w:fldChar w:fldCharType="begin" w:dirty="true"/>
      </w:r>
      <w:r>
        <w:rPr>
          <w:sz w:val="18"/>
          <w:szCs w:val="18"/>
          <w:vertAlign w:val="superscript"/>
          <w:rtl/>
        </w:rPr>
        <w:instrText xml:space="preserve"> REF b4_note155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155</w:t>
      </w:r>
      <w:r>
        <w:rPr>
          <w:sz w:val="18"/>
          <w:szCs w:val="18"/>
          <w:vertAlign w:val="superscript"/>
          <w:rtl/>
        </w:rPr>
        <w:fldChar w:fldCharType="end"/>
      </w:r>
      <w:r>
        <w:rPr>
          <w:rtl/>
        </w:rPr>
        <w:t>, אישה תקיפה שבחורי הישיבה פחדו ממנה</w:t>
      </w:r>
      <w:bookmarkStart w:id="4842" w:name="b4_text156"/>
      <w:bookmarkEnd w:id="4842"/>
      <w:r>
        <w:rPr>
          <w:sz w:val="18"/>
          <w:szCs w:val="18"/>
          <w:vertAlign w:val="superscript"/>
          <w:rtl/>
        </w:rPr>
        <w:fldChar w:fldCharType="begin" w:dirty="true"/>
      </w:r>
      <w:r>
        <w:rPr>
          <w:sz w:val="18"/>
          <w:szCs w:val="18"/>
          <w:vertAlign w:val="superscript"/>
          <w:rtl/>
        </w:rPr>
        <w:instrText xml:space="preserve"> REF b4_note156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156</w:t>
      </w:r>
      <w:r>
        <w:rPr>
          <w:sz w:val="18"/>
          <w:szCs w:val="18"/>
          <w:vertAlign w:val="superscript"/>
          <w:rtl/>
        </w:rPr>
        <w:fldChar w:fldCharType="end"/>
      </w:r>
      <w:r>
        <w:rPr>
          <w:rtl/>
        </w:rPr>
        <w:t>, ונקב בשם המקור הבדוי: ספר בשם “כסות מנוחה”. כך שיבש את שם ספרו של ראש ישיבתם הנערץ, שהתקבל באהדה, “לבוש מרדכי”</w:t>
      </w:r>
      <w:bookmarkStart w:id="4843" w:name="b4_text157"/>
      <w:bookmarkEnd w:id="4843"/>
      <w:r>
        <w:rPr>
          <w:sz w:val="18"/>
          <w:szCs w:val="18"/>
          <w:vertAlign w:val="superscript"/>
          <w:rtl/>
        </w:rPr>
        <w:fldChar w:fldCharType="begin" w:dirty="true"/>
      </w:r>
      <w:r>
        <w:rPr>
          <w:sz w:val="18"/>
          <w:szCs w:val="18"/>
          <w:vertAlign w:val="superscript"/>
          <w:rtl/>
        </w:rPr>
        <w:instrText xml:space="preserve"> REF b4_note157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157</w:t>
      </w:r>
      <w:r>
        <w:rPr>
          <w:sz w:val="18"/>
          <w:szCs w:val="18"/>
          <w:vertAlign w:val="superscript"/>
          <w:rtl/>
        </w:rPr>
        <w:fldChar w:fldCharType="end"/>
      </w:r>
      <w:r>
        <w:rPr>
          <w:rtl/>
        </w:rPr>
        <w:t>, והפכו לכפיל בדוי.</w:t>
      </w:r>
    </w:p>
    <w:bookmarkStart w:id="4844" w:name="b4_note154"/>
    <w:p w14:paraId="3A90684F" w14:textId="77777777" w:rsidR="00AB3647" w:rsidRDefault="00000000" w:rsidP="007923E9">
      <w:pPr>
        <w:spacing w:before="120" w:after="100" w:line="276" w:lineRule="auto"/>
        <w:jc w:val="both"/>
      </w:pPr>
      <w:r>
        <w:fldChar w:fldCharType="begin" w:dirty="true"/>
      </w:r>
      <w:r>
        <w:instrText>HYPERLINK \l "b4_text154" \h</w:instrText>
      </w:r>
      <w:r>
        <w:fldChar w:fldCharType="separate"/>
      </w:r>
      <w:r>
        <w:rPr>
          <w:b/>
          <w:bCs/>
          <w:rtl/>
        </w:rPr>
        <w:t>154</w:t>
      </w:r>
      <w:r>
        <w:rPr>
          <w:b/>
          <w:bCs/>
        </w:rPr>
        <w:fldChar w:fldCharType="end"/>
      </w:r>
      <w:bookmarkEnd w:id="4844"/>
      <w:r>
        <w:rPr>
          <w:rtl/>
        </w:rPr>
        <w:t xml:space="preserve"> נוסח הפורים המשובש יהיה “מה שנותן לה מתנה, כאילו קיבל ממנה” – היפוכו של הביטוי הנכון שנקט הטור</w:t>
      </w:r>
      <w:bookmarkStart w:id="4845" w:name="_fnr3566"/>
      <w:r>
        <w:rPr>
          <w:vertAlign w:val="superscript"/>
          <w:rtl/>
        </w:rPr>
        <w:footnoteReference w:id="3574" w:customMarkFollows="0"/>
      </w:r>
      <w:bookmarkEnd w:id="4845"/>
      <w:r>
        <w:rPr>
          <w:rtl/>
        </w:rPr>
        <w:t>, “מה שמקבל מתנה ממנה, כאילו נתן לה”.</w:t>
      </w:r>
    </w:p>
    <w:bookmarkStart w:id="4846" w:name="b4_note155"/>
    <w:p w14:paraId="50FE6BA6" w14:textId="5FFAC310" w:rsidR="00AB3647" w:rsidRDefault="00000000" w:rsidP="007923E9">
      <w:pPr>
        <w:spacing w:before="120" w:after="100" w:line="276" w:lineRule="auto"/>
        <w:jc w:val="both"/>
      </w:pPr>
      <w:r>
        <w:fldChar w:fldCharType="begin" w:dirty="true"/>
      </w:r>
      <w:r>
        <w:instrText>HYPERLINK \l "b4_text155" \h</w:instrText>
      </w:r>
      <w:r>
        <w:fldChar w:fldCharType="separate"/>
      </w:r>
      <w:r>
        <w:rPr>
          <w:b/>
          <w:bCs/>
          <w:rtl/>
        </w:rPr>
        <w:t>155</w:t>
      </w:r>
      <w:r>
        <w:rPr>
          <w:b/>
          <w:bCs/>
        </w:rPr>
        <w:fldChar w:fldCharType="end"/>
      </w:r>
      <w:bookmarkEnd w:id="4846"/>
      <w:r>
        <w:rPr>
          <w:rtl/>
        </w:rPr>
        <w:t xml:space="preserve"> השווה פרק 3, הפסקה השנייה של </w:t>
      </w:r>
      <w:r>
        <w:rPr>
          <w:rtl/>
        </w:rPr>
        <w:fldChar w:fldCharType="begin" w:dirty="true"/>
      </w:r>
      <w:r>
        <w:rPr>
          <w:rtl/>
        </w:rPr>
        <w:instrText xml:space="preserve"> REF b3_excJ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w:t>
      </w:r>
      <w:r>
        <w:rPr>
          <w:rtl/>
        </w:rPr>
        <w:fldChar w:fldCharType="end"/>
      </w:r>
      <w:r>
        <w:rPr>
          <w:rtl/>
        </w:rPr>
        <w:t>.</w:t>
      </w:r>
    </w:p>
    <w:bookmarkStart w:id="4847" w:name="b4_note156"/>
    <w:p w14:paraId="4B74AE0C" w14:textId="321A1468" w:rsidR="00AB3647" w:rsidRDefault="00000000" w:rsidP="007923E9">
      <w:pPr>
        <w:spacing w:before="120" w:after="100" w:line="276" w:lineRule="auto"/>
        <w:jc w:val="both"/>
      </w:pPr>
      <w:r>
        <w:lastRenderedPageBreak/>
        <w:fldChar w:fldCharType="begin" w:dirty="true"/>
      </w:r>
      <w:r>
        <w:instrText>HYPERLINK \l "b4_text156" \h</w:instrText>
      </w:r>
      <w:r>
        <w:fldChar w:fldCharType="separate"/>
      </w:r>
      <w:r>
        <w:rPr>
          <w:b/>
          <w:bCs/>
          <w:rtl/>
        </w:rPr>
        <w:t>156</w:t>
      </w:r>
      <w:r>
        <w:rPr>
          <w:b/>
          <w:bCs/>
        </w:rPr>
        <w:fldChar w:fldCharType="end"/>
      </w:r>
      <w:bookmarkEnd w:id="4847"/>
      <w:r>
        <w:rPr>
          <w:rtl/>
        </w:rPr>
        <w:t xml:space="preserve"> ראה </w:t>
      </w:r>
      <w:r>
        <w:rPr>
          <w:rtl/>
        </w:rPr>
        <w:fldChar w:fldCharType="begin" w:dirty="true"/>
      </w:r>
      <w:r>
        <w:rPr>
          <w:rtl/>
        </w:rPr>
        <w:instrText xml:space="preserve"> REF b4_excS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יט</w:t>
      </w:r>
      <w:proofErr w:type="spellEnd"/>
      <w:r>
        <w:rPr>
          <w:rtl/>
        </w:rPr>
        <w:fldChar w:fldCharType="end"/>
      </w:r>
      <w:r>
        <w:rPr>
          <w:rtl/>
        </w:rPr>
        <w:t>.</w:t>
      </w:r>
    </w:p>
    <w:bookmarkStart w:id="4848" w:name="b4_note157"/>
    <w:p w14:paraId="5645EE08" w14:textId="77777777" w:rsidR="00AB3647" w:rsidRDefault="00000000" w:rsidP="007923E9">
      <w:pPr>
        <w:spacing w:before="120" w:after="100" w:line="276" w:lineRule="auto"/>
        <w:jc w:val="both"/>
      </w:pPr>
      <w:r>
        <w:fldChar w:fldCharType="begin" w:dirty="true"/>
      </w:r>
      <w:r>
        <w:instrText>HYPERLINK \l "b4_text157" \h</w:instrText>
      </w:r>
      <w:r>
        <w:fldChar w:fldCharType="separate"/>
      </w:r>
      <w:r>
        <w:rPr>
          <w:b/>
          <w:bCs/>
          <w:rtl/>
        </w:rPr>
        <w:t>157</w:t>
      </w:r>
      <w:r>
        <w:rPr>
          <w:b/>
          <w:bCs/>
        </w:rPr>
        <w:fldChar w:fldCharType="end"/>
      </w:r>
      <w:bookmarkEnd w:id="4848"/>
      <w:r>
        <w:rPr>
          <w:rtl/>
        </w:rPr>
        <w:t xml:space="preserve"> “לבוש מרדכי” נדפס שש שנים קודם לכן, </w:t>
      </w:r>
      <w:proofErr w:type="spellStart"/>
      <w:r>
        <w:rPr>
          <w:rtl/>
        </w:rPr>
        <w:t>בתרס״א</w:t>
      </w:r>
      <w:proofErr w:type="spellEnd"/>
      <w:r>
        <w:rPr>
          <w:rtl/>
        </w:rPr>
        <w:t>, וזכה לשבח בכל חוגי התורה</w:t>
      </w:r>
      <w:bookmarkStart w:id="4849" w:name="_fnr3567"/>
      <w:r>
        <w:rPr>
          <w:vertAlign w:val="superscript"/>
          <w:rtl/>
        </w:rPr>
        <w:footnoteReference w:id="3575" w:customMarkFollows="0"/>
      </w:r>
      <w:bookmarkEnd w:id="4849"/>
      <w:r>
        <w:rPr>
          <w:rtl/>
        </w:rPr>
        <w:t>.</w:t>
      </w:r>
    </w:p>
    <w:p w14:paraId="53C9836B" w14:textId="2C62384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proofErr w:type="spellStart"/>
      <w:r>
        <w:rPr>
          <w:rtl/>
        </w:rPr>
        <w:t>הדולהינובר</w:t>
      </w:r>
      <w:proofErr w:type="spellEnd"/>
      <w:r>
        <w:rPr>
          <w:rtl/>
        </w:rPr>
        <w:t xml:space="preserve"> היה צעיר מכדי לשתות משקאות משכרים, אבל רבים מהתלמידים המבוגרים השתכרו בפורים</w:t>
      </w:r>
      <w:bookmarkStart w:id="4850" w:name="b4_text158"/>
      <w:bookmarkEnd w:id="4850"/>
      <w:r>
        <w:rPr>
          <w:sz w:val="18"/>
          <w:szCs w:val="18"/>
          <w:vertAlign w:val="superscript"/>
          <w:rtl/>
        </w:rPr>
        <w:fldChar w:fldCharType="begin" w:dirty="true"/>
      </w:r>
      <w:r>
        <w:rPr>
          <w:sz w:val="18"/>
          <w:szCs w:val="18"/>
          <w:vertAlign w:val="superscript"/>
          <w:rtl/>
        </w:rPr>
        <w:instrText xml:space="preserve"> REF b4_note158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158</w:t>
      </w:r>
      <w:r>
        <w:rPr>
          <w:sz w:val="18"/>
          <w:szCs w:val="18"/>
          <w:vertAlign w:val="superscript"/>
          <w:rtl/>
        </w:rPr>
        <w:fldChar w:fldCharType="end"/>
      </w:r>
      <w:r>
        <w:rPr>
          <w:rtl/>
        </w:rPr>
        <w:t>. מפיהם פרצו דברי תורה ומוסר</w:t>
      </w:r>
      <w:bookmarkStart w:id="4851" w:name="b4_text159"/>
      <w:bookmarkEnd w:id="4851"/>
      <w:r>
        <w:rPr>
          <w:sz w:val="18"/>
          <w:szCs w:val="18"/>
          <w:vertAlign w:val="superscript"/>
          <w:rtl/>
        </w:rPr>
        <w:fldChar w:fldCharType="begin" w:dirty="true"/>
      </w:r>
      <w:r>
        <w:rPr>
          <w:sz w:val="18"/>
          <w:szCs w:val="18"/>
          <w:vertAlign w:val="superscript"/>
          <w:rtl/>
        </w:rPr>
        <w:instrText xml:space="preserve"> REF b4_note159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159</w:t>
      </w:r>
      <w:r>
        <w:rPr>
          <w:sz w:val="18"/>
          <w:szCs w:val="18"/>
          <w:vertAlign w:val="superscript"/>
          <w:rtl/>
        </w:rPr>
        <w:fldChar w:fldCharType="end"/>
      </w:r>
      <w:r>
        <w:rPr>
          <w:rtl/>
        </w:rPr>
        <w:t>, ואלה העידו שענייניהם הרוחניים לא היו חיצוניים ושטחיים. הצעיר שמח להימצא בחברה כזו.</w:t>
      </w:r>
    </w:p>
    <w:bookmarkStart w:id="4852" w:name="b4_note158"/>
    <w:p w14:paraId="74C389E4" w14:textId="77777777" w:rsidR="00AB3647" w:rsidRDefault="00000000" w:rsidP="007923E9">
      <w:pPr>
        <w:spacing w:before="120" w:after="100" w:line="276" w:lineRule="auto"/>
        <w:jc w:val="both"/>
      </w:pPr>
      <w:r>
        <w:fldChar w:fldCharType="begin" w:dirty="true"/>
      </w:r>
      <w:r>
        <w:instrText>HYPERLINK \l "b4_text158" \h</w:instrText>
      </w:r>
      <w:r>
        <w:fldChar w:fldCharType="separate"/>
      </w:r>
      <w:r>
        <w:rPr>
          <w:b/>
          <w:bCs/>
          <w:rtl/>
        </w:rPr>
        <w:t>158</w:t>
      </w:r>
      <w:r>
        <w:rPr>
          <w:b/>
          <w:bCs/>
        </w:rPr>
        <w:fldChar w:fldCharType="end"/>
      </w:r>
      <w:bookmarkEnd w:id="4852"/>
      <w:r>
        <w:rPr>
          <w:rtl/>
        </w:rPr>
        <w:t xml:space="preserve"> מעניין ששני תלמידי ר׳ ישראל שהתגוררו בקובנה, ר׳ נפתלי אמסטרדם ור׳ </w:t>
      </w:r>
      <w:proofErr w:type="spellStart"/>
      <w:r>
        <w:rPr>
          <w:rtl/>
        </w:rPr>
        <w:t>איצל׳ה</w:t>
      </w:r>
      <w:proofErr w:type="spellEnd"/>
      <w:r>
        <w:rPr>
          <w:rtl/>
        </w:rPr>
        <w:t xml:space="preserve"> </w:t>
      </w:r>
      <w:proofErr w:type="spellStart"/>
      <w:r>
        <w:rPr>
          <w:rtl/>
        </w:rPr>
        <w:t>בלאזר</w:t>
      </w:r>
      <w:proofErr w:type="spellEnd"/>
      <w:r>
        <w:rPr>
          <w:rtl/>
        </w:rPr>
        <w:t>, שתו בפורים עד כדי שכרות. לפי כץ, “תנועת המוסר”, כרך ב</w:t>
      </w:r>
      <w:bookmarkStart w:id="4853" w:name="_fnr3568"/>
      <w:r>
        <w:rPr>
          <w:vertAlign w:val="superscript"/>
          <w:rtl/>
        </w:rPr>
        <w:footnoteReference w:id="3576" w:customMarkFollows="0"/>
      </w:r>
      <w:bookmarkEnd w:id="4853"/>
      <w:r>
        <w:rPr>
          <w:rtl/>
        </w:rPr>
        <w:t xml:space="preserve">, נשאל ר׳ נפתלי מדוע אינו סומך על פסק </w:t>
      </w:r>
      <w:proofErr w:type="spellStart"/>
      <w:r>
        <w:rPr>
          <w:rtl/>
        </w:rPr>
        <w:t>הרמ״א</w:t>
      </w:r>
      <w:bookmarkStart w:id="4854" w:name="_fnr3569"/>
      <w:proofErr w:type="spellEnd"/>
      <w:r>
        <w:rPr>
          <w:vertAlign w:val="superscript"/>
          <w:rtl/>
        </w:rPr>
        <w:footnoteReference w:id="3577" w:customMarkFollows="0"/>
      </w:r>
      <w:bookmarkEnd w:id="4854"/>
      <w:r>
        <w:rPr>
          <w:rtl/>
        </w:rPr>
        <w:t xml:space="preserve"> שאפשר לצאת ידי חובת “</w:t>
      </w:r>
      <w:proofErr w:type="spellStart"/>
      <w:r>
        <w:rPr>
          <w:rtl/>
        </w:rPr>
        <w:t>לבסומי</w:t>
      </w:r>
      <w:proofErr w:type="spellEnd"/>
      <w:r>
        <w:rPr>
          <w:rtl/>
        </w:rPr>
        <w:t xml:space="preserve"> </w:t>
      </w:r>
      <w:proofErr w:type="spellStart"/>
      <w:r>
        <w:rPr>
          <w:rtl/>
        </w:rPr>
        <w:t>בפוריא</w:t>
      </w:r>
      <w:proofErr w:type="spellEnd"/>
      <w:r>
        <w:rPr>
          <w:rtl/>
        </w:rPr>
        <w:t>”</w:t>
      </w:r>
      <w:bookmarkStart w:id="4855" w:name="_fnr3570"/>
      <w:r>
        <w:rPr>
          <w:vertAlign w:val="superscript"/>
          <w:rtl/>
        </w:rPr>
        <w:footnoteReference w:id="3578" w:customMarkFollows="0"/>
      </w:r>
      <w:bookmarkEnd w:id="4855"/>
      <w:r>
        <w:rPr>
          <w:rtl/>
        </w:rPr>
        <w:t xml:space="preserve"> בשתייה מעט יותר מן הרגיל (יותר מלימודו) ובשינה אחריה, כפי שאכן ממליץ </w:t>
      </w:r>
      <w:proofErr w:type="spellStart"/>
      <w:r>
        <w:rPr>
          <w:rtl/>
        </w:rPr>
        <w:t>ה“פרי</w:t>
      </w:r>
      <w:proofErr w:type="spellEnd"/>
      <w:r>
        <w:rPr>
          <w:rtl/>
        </w:rPr>
        <w:t xml:space="preserve"> מגדים”</w:t>
      </w:r>
      <w:bookmarkStart w:id="4856" w:name="_fnr3571"/>
      <w:r>
        <w:rPr>
          <w:vertAlign w:val="superscript"/>
          <w:rtl/>
        </w:rPr>
        <w:footnoteReference w:id="3579" w:customMarkFollows="0"/>
      </w:r>
      <w:bookmarkEnd w:id="4856"/>
      <w:r>
        <w:rPr>
          <w:rtl/>
        </w:rPr>
        <w:t>. הוא השיב שאילו ביקש מרדכי בלשן, גיבור המגילה, למצוא קולות, ודאי היה משתחווה להמן, וכל מעשה המגילה לא היה מתרחש. לפיכך אין לבקש קולות כדי להימנע מקיום דקדקני של הלכות פורים!</w:t>
      </w:r>
    </w:p>
    <w:p w14:paraId="0C8DF0DC" w14:textId="77777777" w:rsidR="00AB3647" w:rsidRDefault="00000000" w:rsidP="007923E9">
      <w:pPr>
        <w:spacing w:before="120" w:after="100" w:line="276" w:lineRule="auto"/>
        <w:jc w:val="both"/>
      </w:pPr>
      <w:r>
        <w:rPr>
          <w:rtl/>
        </w:rPr>
        <w:t>לפי כץ, שם</w:t>
      </w:r>
      <w:bookmarkStart w:id="4857" w:name="_fnr3572"/>
      <w:r>
        <w:rPr>
          <w:vertAlign w:val="superscript"/>
          <w:rtl/>
        </w:rPr>
        <w:footnoteReference w:id="3580" w:customMarkFollows="0"/>
      </w:r>
      <w:bookmarkEnd w:id="4857"/>
      <w:r>
        <w:rPr>
          <w:rtl/>
        </w:rPr>
        <w:t xml:space="preserve">, אמר ר׳ </w:t>
      </w:r>
      <w:proofErr w:type="spellStart"/>
      <w:r>
        <w:rPr>
          <w:rtl/>
        </w:rPr>
        <w:t>איצל׳ה</w:t>
      </w:r>
      <w:proofErr w:type="spellEnd"/>
      <w:r>
        <w:rPr>
          <w:rtl/>
        </w:rPr>
        <w:t xml:space="preserve"> בשם רבו שאין חובה להשתכר, אלא רק לשתות כל היום. אם בשעה כלשהי במשך היום נשתכר מחמת מה שכבר שתה (לא ידע בין ארור המן לברוך מרדכי), הוא פטור משתייה נוספת, כשם שהוא פטור מכל חיובי התורה</w:t>
      </w:r>
      <w:bookmarkStart w:id="4858" w:name="_fnr3573"/>
      <w:r>
        <w:rPr>
          <w:vertAlign w:val="superscript"/>
          <w:rtl/>
        </w:rPr>
        <w:footnoteReference w:id="3581" w:customMarkFollows="0"/>
      </w:r>
      <w:bookmarkEnd w:id="4858"/>
      <w:r>
        <w:rPr>
          <w:rtl/>
        </w:rPr>
        <w:t>. לפי כץ, שם</w:t>
      </w:r>
      <w:bookmarkStart w:id="4859" w:name="_fnr3574"/>
      <w:r>
        <w:rPr>
          <w:vertAlign w:val="superscript"/>
          <w:rtl/>
        </w:rPr>
        <w:footnoteReference w:id="3582" w:customMarkFollows="0"/>
      </w:r>
      <w:bookmarkEnd w:id="4859"/>
      <w:r>
        <w:rPr>
          <w:rtl/>
        </w:rPr>
        <w:t xml:space="preserve">, ר׳ </w:t>
      </w:r>
      <w:proofErr w:type="spellStart"/>
      <w:r>
        <w:rPr>
          <w:rtl/>
        </w:rPr>
        <w:t>איצל׳ה</w:t>
      </w:r>
      <w:proofErr w:type="spellEnd"/>
      <w:r>
        <w:rPr>
          <w:rtl/>
        </w:rPr>
        <w:t xml:space="preserve"> אכן השתכר מן השתייה הרצופה.</w:t>
      </w:r>
    </w:p>
    <w:p w14:paraId="3C5DD34E" w14:textId="77777777" w:rsidR="00AB3647" w:rsidRDefault="00000000" w:rsidP="007923E9">
      <w:pPr>
        <w:spacing w:before="120" w:after="100" w:line="276" w:lineRule="auto"/>
        <w:jc w:val="both"/>
      </w:pPr>
      <w:r>
        <w:rPr>
          <w:rtl/>
        </w:rPr>
        <w:t xml:space="preserve">כשחזר אבי על פירושו החדש של ר׳ ישראל </w:t>
      </w:r>
      <w:proofErr w:type="spellStart"/>
      <w:r>
        <w:rPr>
          <w:rtl/>
        </w:rPr>
        <w:t>סלנטר</w:t>
      </w:r>
      <w:proofErr w:type="spellEnd"/>
      <w:r>
        <w:rPr>
          <w:rtl/>
        </w:rPr>
        <w:t xml:space="preserve"> </w:t>
      </w:r>
      <w:proofErr w:type="spellStart"/>
      <w:r>
        <w:rPr>
          <w:rtl/>
        </w:rPr>
        <w:t>ל“חייב</w:t>
      </w:r>
      <w:proofErr w:type="spellEnd"/>
      <w:r>
        <w:rPr>
          <w:rtl/>
        </w:rPr>
        <w:t xml:space="preserve"> </w:t>
      </w:r>
      <w:proofErr w:type="spellStart"/>
      <w:r>
        <w:rPr>
          <w:rtl/>
        </w:rPr>
        <w:t>איניש</w:t>
      </w:r>
      <w:proofErr w:type="spellEnd"/>
      <w:r>
        <w:rPr>
          <w:rtl/>
        </w:rPr>
        <w:t xml:space="preserve"> </w:t>
      </w:r>
      <w:proofErr w:type="spellStart"/>
      <w:r>
        <w:rPr>
          <w:rtl/>
        </w:rPr>
        <w:t>לבסומי</w:t>
      </w:r>
      <w:proofErr w:type="spellEnd"/>
      <w:r>
        <w:rPr>
          <w:rtl/>
        </w:rPr>
        <w:t xml:space="preserve"> </w:t>
      </w:r>
      <w:proofErr w:type="spellStart"/>
      <w:r>
        <w:rPr>
          <w:rtl/>
        </w:rPr>
        <w:t>בפוריא</w:t>
      </w:r>
      <w:proofErr w:type="spellEnd"/>
      <w:r>
        <w:rPr>
          <w:rtl/>
        </w:rPr>
        <w:t xml:space="preserve"> עד דלא ידע </w:t>
      </w:r>
      <w:proofErr w:type="spellStart"/>
      <w:r>
        <w:rPr>
          <w:rtl/>
        </w:rPr>
        <w:t>וכו</w:t>
      </w:r>
      <w:proofErr w:type="spellEnd"/>
      <w:r>
        <w:rPr>
          <w:rtl/>
        </w:rPr>
        <w:t>׳”, הוסיף שר׳ נפתלי שתה כל הפורים, אבל משקה אלכוהולי קל, שרבנו קרא לו “</w:t>
      </w:r>
      <w:proofErr w:type="spellStart"/>
      <w:r>
        <w:rPr>
          <w:rtl/>
        </w:rPr>
        <w:t>פאנש</w:t>
      </w:r>
      <w:proofErr w:type="spellEnd"/>
      <w:r>
        <w:rPr>
          <w:rtl/>
        </w:rPr>
        <w:t>”. “השפעת השתייה המצטברת הספיקה לשנות את התנהגותו של ר׳ נפתלי רק עד הלילה</w:t>
      </w:r>
      <w:bookmarkStart w:id="4860" w:name="_fnr3575"/>
      <w:r>
        <w:rPr>
          <w:vertAlign w:val="superscript"/>
          <w:rtl/>
        </w:rPr>
        <w:footnoteReference w:id="3583" w:customMarkFollows="0"/>
      </w:r>
      <w:bookmarkEnd w:id="4860"/>
      <w:r>
        <w:rPr>
          <w:rtl/>
        </w:rPr>
        <w:t>”, אמר אבי.</w:t>
      </w:r>
    </w:p>
    <w:p w14:paraId="768037B1" w14:textId="77777777" w:rsidR="00AB3647" w:rsidRDefault="00000000" w:rsidP="007923E9">
      <w:pPr>
        <w:spacing w:before="120" w:after="100" w:line="276" w:lineRule="auto"/>
        <w:jc w:val="both"/>
      </w:pPr>
      <w:r>
        <w:rPr>
          <w:rtl/>
        </w:rPr>
        <w:t xml:space="preserve">עדות על חגיגת הפורים של ר׳ ישראל </w:t>
      </w:r>
      <w:proofErr w:type="spellStart"/>
      <w:r>
        <w:rPr>
          <w:rtl/>
        </w:rPr>
        <w:t>סלנטר</w:t>
      </w:r>
      <w:proofErr w:type="spellEnd"/>
      <w:r>
        <w:rPr>
          <w:rtl/>
        </w:rPr>
        <w:t xml:space="preserve"> עצמו יש </w:t>
      </w:r>
      <w:proofErr w:type="spellStart"/>
      <w:r>
        <w:rPr>
          <w:rtl/>
        </w:rPr>
        <w:t>ב“סדר</w:t>
      </w:r>
      <w:proofErr w:type="spellEnd"/>
      <w:r>
        <w:rPr>
          <w:rtl/>
        </w:rPr>
        <w:t xml:space="preserve"> אליהו”</w:t>
      </w:r>
      <w:bookmarkStart w:id="4861" w:name="_fnr3576"/>
      <w:r>
        <w:rPr>
          <w:vertAlign w:val="superscript"/>
          <w:rtl/>
        </w:rPr>
        <w:footnoteReference w:id="3584" w:customMarkFollows="0"/>
      </w:r>
      <w:bookmarkEnd w:id="4861"/>
      <w:r>
        <w:rPr>
          <w:rtl/>
        </w:rPr>
        <w:t xml:space="preserve">. המחבר, </w:t>
      </w:r>
      <w:proofErr w:type="spellStart"/>
      <w:r>
        <w:rPr>
          <w:rtl/>
        </w:rPr>
        <w:t>האדר״ת</w:t>
      </w:r>
      <w:bookmarkStart w:id="4862" w:name="_fnr3577"/>
      <w:proofErr w:type="spellEnd"/>
      <w:r>
        <w:rPr>
          <w:vertAlign w:val="superscript"/>
          <w:rtl/>
        </w:rPr>
        <w:footnoteReference w:id="3585" w:customMarkFollows="0"/>
      </w:r>
      <w:bookmarkEnd w:id="4862"/>
      <w:r>
        <w:rPr>
          <w:rtl/>
        </w:rPr>
        <w:t xml:space="preserve">, כותב שם ברשימה </w:t>
      </w:r>
      <w:proofErr w:type="spellStart"/>
      <w:r>
        <w:rPr>
          <w:rtl/>
        </w:rPr>
        <w:t>מתרכ״ה</w:t>
      </w:r>
      <w:proofErr w:type="spellEnd"/>
      <w:r>
        <w:rPr>
          <w:rtl/>
        </w:rPr>
        <w:t xml:space="preserve"> שקיצר את סעודת הפורים שלו בווילנה כדי לבקר את ר׳ ישראל, שעשה שם את החג אצל בתו. וזה תרגום הקטע המתאר את מה שאירע: “כשבאתי לבית [חתנו </w:t>
      </w:r>
      <w:r>
        <w:rPr>
          <w:rtl/>
        </w:rPr>
        <w:lastRenderedPageBreak/>
        <w:t xml:space="preserve">של ר׳ ישראל], מצאתי את [ר׳ ישראל] ישן לאחר </w:t>
      </w:r>
      <w:r>
        <w:rPr>
          <w:b/>
          <w:bCs/>
          <w:rtl/>
        </w:rPr>
        <w:t>שקיים כראוי את מצוות היום, חובת השכרות</w:t>
      </w:r>
      <w:r>
        <w:rPr>
          <w:rtl/>
        </w:rPr>
        <w:t xml:space="preserve"> (ההדגשה שלי), וציווה להעירו לאחר השעה </w:t>
      </w:r>
      <w:proofErr w:type="spellStart"/>
      <w:r>
        <w:rPr>
          <w:rtl/>
        </w:rPr>
        <w:t>אחת־עשרה</w:t>
      </w:r>
      <w:proofErr w:type="spellEnd"/>
      <w:r>
        <w:rPr>
          <w:rtl/>
        </w:rPr>
        <w:t xml:space="preserve">, לפני חצות. העירוהו </w:t>
      </w:r>
      <w:proofErr w:type="spellStart"/>
      <w:r>
        <w:rPr>
          <w:rtl/>
        </w:rPr>
        <w:t>באחת־עשרה</w:t>
      </w:r>
      <w:proofErr w:type="spellEnd"/>
      <w:r>
        <w:rPr>
          <w:rtl/>
        </w:rPr>
        <w:t xml:space="preserve"> וחצי, התפלל ערבית ואחר כך שוחח עמי... ואחר כך ביקש שאניח לו לנוח מפני שהוא עייף. וכשנפרדתי ממנו אמר לי שמאחר שאני נוסע ברכבת בפעם הראשונה, עליי להיזהר שלא להתפלל בתחנה, מפני שתלו שם אזהרות [ברוסית] האוסרות זאת, והעוברים על האיסור נקנסים בעשרים וחמישה רובל”. עדות נוספת על הדרך שבה חגג ר׳ ישראל את פורים מצויה </w:t>
      </w:r>
      <w:proofErr w:type="spellStart"/>
      <w:r>
        <w:rPr>
          <w:rtl/>
        </w:rPr>
        <w:t>ב“עלי</w:t>
      </w:r>
      <w:proofErr w:type="spellEnd"/>
      <w:r>
        <w:rPr>
          <w:rtl/>
        </w:rPr>
        <w:t xml:space="preserve"> שור”, חלק שני</w:t>
      </w:r>
      <w:bookmarkStart w:id="4863" w:name="_fnr3578"/>
      <w:r>
        <w:rPr>
          <w:vertAlign w:val="superscript"/>
          <w:rtl/>
        </w:rPr>
        <w:footnoteReference w:id="3586" w:customMarkFollows="0"/>
      </w:r>
      <w:bookmarkEnd w:id="4863"/>
      <w:r>
        <w:rPr>
          <w:rtl/>
        </w:rPr>
        <w:t>: “הוא השתכר לגמרי [</w:t>
      </w:r>
      <w:proofErr w:type="spellStart"/>
      <w:r>
        <w:rPr>
          <w:rtl/>
        </w:rPr>
        <w:t>כשיכרותו</w:t>
      </w:r>
      <w:proofErr w:type="spellEnd"/>
      <w:r>
        <w:rPr>
          <w:rtl/>
        </w:rPr>
        <w:t xml:space="preserve"> של לוט ממש], ובמצב זה אמר חידושים בכל הש״ס בלי הפסק כל היום, בחריפות ובחידוד מופלאים”.</w:t>
      </w:r>
    </w:p>
    <w:p w14:paraId="2FE571C5" w14:textId="77777777" w:rsidR="00AB3647" w:rsidRDefault="00000000" w:rsidP="007923E9">
      <w:pPr>
        <w:spacing w:before="120" w:after="100" w:line="276" w:lineRule="auto"/>
        <w:jc w:val="both"/>
      </w:pPr>
      <w:r>
        <w:rPr>
          <w:rtl/>
        </w:rPr>
        <w:t xml:space="preserve">ר׳ יצחק </w:t>
      </w:r>
      <w:proofErr w:type="spellStart"/>
      <w:r>
        <w:rPr>
          <w:rtl/>
        </w:rPr>
        <w:t>שורין</w:t>
      </w:r>
      <w:proofErr w:type="spellEnd"/>
      <w:r>
        <w:rPr>
          <w:rtl/>
        </w:rPr>
        <w:t xml:space="preserve"> סיפר</w:t>
      </w:r>
      <w:bookmarkStart w:id="4864" w:name="_fnr3579"/>
      <w:r>
        <w:rPr>
          <w:vertAlign w:val="superscript"/>
          <w:rtl/>
        </w:rPr>
        <w:footnoteReference w:id="3587" w:customMarkFollows="0"/>
      </w:r>
      <w:bookmarkEnd w:id="4864"/>
      <w:r>
        <w:rPr>
          <w:rtl/>
        </w:rPr>
        <w:t xml:space="preserve"> שמחבר “עלי שור” גילה ששמע זאת מרבו ר׳ ירוחם </w:t>
      </w:r>
      <w:proofErr w:type="spellStart"/>
      <w:r>
        <w:rPr>
          <w:rtl/>
        </w:rPr>
        <w:t>ליבוביץ</w:t>
      </w:r>
      <w:proofErr w:type="spellEnd"/>
      <w:r>
        <w:rPr>
          <w:rtl/>
        </w:rPr>
        <w:t xml:space="preserve">. מסתבר שר׳ ירוחם שמע זאת מתלמידו המובהק של ר׳ ישראל, ר׳ </w:t>
      </w:r>
      <w:proofErr w:type="spellStart"/>
      <w:r>
        <w:rPr>
          <w:rtl/>
        </w:rPr>
        <w:t>שמחה־זיסל</w:t>
      </w:r>
      <w:proofErr w:type="spellEnd"/>
      <w:r>
        <w:rPr>
          <w:rtl/>
        </w:rPr>
        <w:t xml:space="preserve"> זיו</w:t>
      </w:r>
      <w:bookmarkStart w:id="4865" w:name="_fnr3580"/>
      <w:r>
        <w:rPr>
          <w:vertAlign w:val="superscript"/>
          <w:rtl/>
        </w:rPr>
        <w:footnoteReference w:id="3588" w:customMarkFollows="0"/>
      </w:r>
      <w:bookmarkEnd w:id="4865"/>
      <w:r>
        <w:rPr>
          <w:rtl/>
        </w:rPr>
        <w:t xml:space="preserve">, בשנת חייו האחרונה, כשלמד ר׳ ירוחם אצלו </w:t>
      </w:r>
      <w:proofErr w:type="spellStart"/>
      <w:r>
        <w:rPr>
          <w:rtl/>
        </w:rPr>
        <w:t>בקלם</w:t>
      </w:r>
      <w:proofErr w:type="spellEnd"/>
      <w:r>
        <w:rPr>
          <w:rtl/>
        </w:rPr>
        <w:t>.</w:t>
      </w:r>
    </w:p>
    <w:p w14:paraId="104A5EC6" w14:textId="77777777" w:rsidR="00AB3647" w:rsidRDefault="00000000" w:rsidP="007923E9">
      <w:pPr>
        <w:spacing w:before="120" w:after="100" w:line="276" w:lineRule="auto"/>
        <w:jc w:val="both"/>
      </w:pPr>
      <w:r>
        <w:rPr>
          <w:rtl/>
        </w:rPr>
        <w:t>לא מצאתי מקור על האופן שבו חגג הסבא מקלם עצמו את פורים. אבל “הצדיק רבי שלמה”</w:t>
      </w:r>
      <w:bookmarkStart w:id="4866" w:name="_fnr3581"/>
      <w:r>
        <w:rPr>
          <w:vertAlign w:val="superscript"/>
          <w:rtl/>
        </w:rPr>
        <w:footnoteReference w:id="3589" w:customMarkFollows="0"/>
      </w:r>
      <w:bookmarkEnd w:id="4866"/>
      <w:r>
        <w:rPr>
          <w:rtl/>
        </w:rPr>
        <w:t xml:space="preserve"> מביא מפי ר׳ שלמה בלוך, שלמד </w:t>
      </w:r>
      <w:proofErr w:type="spellStart"/>
      <w:r>
        <w:rPr>
          <w:rtl/>
        </w:rPr>
        <w:t>בקלם</w:t>
      </w:r>
      <w:proofErr w:type="spellEnd"/>
      <w:r>
        <w:rPr>
          <w:rtl/>
        </w:rPr>
        <w:t xml:space="preserve"> </w:t>
      </w:r>
      <w:proofErr w:type="spellStart"/>
      <w:r>
        <w:rPr>
          <w:rtl/>
        </w:rPr>
        <w:t>מתרע״ז</w:t>
      </w:r>
      <w:proofErr w:type="spellEnd"/>
      <w:r>
        <w:rPr>
          <w:rtl/>
        </w:rPr>
        <w:t xml:space="preserve"> עד תרפ״ה, </w:t>
      </w:r>
      <w:proofErr w:type="spellStart"/>
      <w:r>
        <w:rPr>
          <w:rtl/>
        </w:rPr>
        <w:t>ש“אפילו</w:t>
      </w:r>
      <w:proofErr w:type="spellEnd"/>
      <w:r>
        <w:rPr>
          <w:rtl/>
        </w:rPr>
        <w:t xml:space="preserve"> ראשי התלמוד תורה קיימו את החובה של ‘</w:t>
      </w:r>
      <w:proofErr w:type="spellStart"/>
      <w:r>
        <w:rPr>
          <w:rtl/>
        </w:rPr>
        <w:t>לבסומי</w:t>
      </w:r>
      <w:proofErr w:type="spellEnd"/>
      <w:r>
        <w:rPr>
          <w:rtl/>
        </w:rPr>
        <w:t xml:space="preserve"> </w:t>
      </w:r>
      <w:proofErr w:type="spellStart"/>
      <w:r>
        <w:rPr>
          <w:rtl/>
        </w:rPr>
        <w:t>בפוריא</w:t>
      </w:r>
      <w:proofErr w:type="spellEnd"/>
      <w:r>
        <w:rPr>
          <w:rtl/>
        </w:rPr>
        <w:t xml:space="preserve">’ כפשוטה” – ומכאן יש לשער שגם ר׳ </w:t>
      </w:r>
      <w:proofErr w:type="spellStart"/>
      <w:r>
        <w:rPr>
          <w:rtl/>
        </w:rPr>
        <w:t>שמחה־זיסל</w:t>
      </w:r>
      <w:proofErr w:type="spellEnd"/>
      <w:r>
        <w:rPr>
          <w:rtl/>
        </w:rPr>
        <w:t xml:space="preserve">, מייסד התלמוד תורה </w:t>
      </w:r>
      <w:proofErr w:type="spellStart"/>
      <w:r>
        <w:rPr>
          <w:rtl/>
        </w:rPr>
        <w:t>בקלם</w:t>
      </w:r>
      <w:proofErr w:type="spellEnd"/>
      <w:r>
        <w:rPr>
          <w:rtl/>
        </w:rPr>
        <w:t xml:space="preserve"> ומורה דרכו, היה משתכר</w:t>
      </w:r>
      <w:bookmarkStart w:id="4867" w:name="_fnr3582"/>
      <w:r>
        <w:rPr>
          <w:vertAlign w:val="superscript"/>
          <w:rtl/>
        </w:rPr>
        <w:footnoteReference w:id="3590" w:customMarkFollows="0"/>
      </w:r>
      <w:bookmarkEnd w:id="4867"/>
      <w:r>
        <w:rPr>
          <w:rtl/>
        </w:rPr>
        <w:t xml:space="preserve">. ר׳ </w:t>
      </w:r>
      <w:proofErr w:type="spellStart"/>
      <w:r>
        <w:rPr>
          <w:rtl/>
        </w:rPr>
        <w:t>שלמה־זלמן</w:t>
      </w:r>
      <w:proofErr w:type="spellEnd"/>
      <w:r>
        <w:rPr>
          <w:rtl/>
        </w:rPr>
        <w:t xml:space="preserve"> בלוך מספר גם </w:t>
      </w:r>
      <w:proofErr w:type="spellStart"/>
      <w:r>
        <w:rPr>
          <w:rtl/>
        </w:rPr>
        <w:t>ש“היה</w:t>
      </w:r>
      <w:proofErr w:type="spellEnd"/>
      <w:r>
        <w:rPr>
          <w:rtl/>
        </w:rPr>
        <w:t xml:space="preserve"> פלא שברגע השקיעה ממש חזרו [ראשי התלמוד תורה] לצלילותם”</w:t>
      </w:r>
      <w:bookmarkStart w:id="4868" w:name="_fnr3583"/>
      <w:r>
        <w:rPr>
          <w:vertAlign w:val="superscript"/>
          <w:rtl/>
        </w:rPr>
        <w:footnoteReference w:id="3591" w:customMarkFollows="0"/>
      </w:r>
      <w:bookmarkEnd w:id="4868"/>
      <w:r>
        <w:rPr>
          <w:rtl/>
        </w:rPr>
        <w:t>.</w:t>
      </w:r>
    </w:p>
    <w:p w14:paraId="10227AFE" w14:textId="77777777" w:rsidR="00AB3647" w:rsidRDefault="00000000" w:rsidP="007923E9">
      <w:pPr>
        <w:spacing w:after="120" w:line="276" w:lineRule="auto"/>
        <w:jc w:val="both"/>
      </w:pPr>
      <w:r>
        <w:rPr>
          <w:rtl/>
        </w:rPr>
        <w:t xml:space="preserve">בלי האמרה הבאה של ר׳ ישראל </w:t>
      </w:r>
      <w:proofErr w:type="spellStart"/>
      <w:r>
        <w:rPr>
          <w:rtl/>
        </w:rPr>
        <w:t>סלנטר</w:t>
      </w:r>
      <w:proofErr w:type="spellEnd"/>
      <w:r>
        <w:rPr>
          <w:rtl/>
        </w:rPr>
        <w:t xml:space="preserve"> לא נבין כראוי את חגיגת הפורים של בעלי המוסר: “השוטה זהיר פחות בתפילת נעילה של יום הכיפורים מן החכם בסעודת פורים”</w:t>
      </w:r>
      <w:bookmarkStart w:id="4869" w:name="_fnr3584"/>
      <w:r>
        <w:rPr>
          <w:vertAlign w:val="superscript"/>
          <w:rtl/>
        </w:rPr>
        <w:footnoteReference w:id="3592" w:customMarkFollows="0"/>
      </w:r>
      <w:bookmarkEnd w:id="4869"/>
      <w:r>
        <w:rPr>
          <w:rtl/>
        </w:rPr>
        <w:t>.</w:t>
      </w:r>
    </w:p>
    <w:bookmarkStart w:id="4870" w:name="b4_note159"/>
    <w:p w14:paraId="15D52A6F" w14:textId="77777777" w:rsidR="00AB3647" w:rsidRDefault="00000000" w:rsidP="007923E9">
      <w:pPr>
        <w:spacing w:before="120" w:after="100" w:line="276" w:lineRule="auto"/>
        <w:jc w:val="both"/>
      </w:pPr>
      <w:r>
        <w:fldChar w:fldCharType="begin" w:dirty="true"/>
      </w:r>
      <w:r>
        <w:instrText>HYPERLINK \l "b4_text159" \h</w:instrText>
      </w:r>
      <w:r>
        <w:fldChar w:fldCharType="separate"/>
      </w:r>
      <w:r>
        <w:rPr>
          <w:b/>
          <w:bCs/>
          <w:rtl/>
        </w:rPr>
        <w:t>159</w:t>
      </w:r>
      <w:r>
        <w:rPr>
          <w:b/>
          <w:bCs/>
        </w:rPr>
        <w:fldChar w:fldCharType="end"/>
      </w:r>
      <w:bookmarkEnd w:id="4870"/>
      <w:r>
        <w:rPr>
          <w:rtl/>
        </w:rPr>
        <w:t xml:space="preserve"> השווה הציטוט </w:t>
      </w:r>
      <w:proofErr w:type="spellStart"/>
      <w:r>
        <w:rPr>
          <w:rtl/>
        </w:rPr>
        <w:t>מ“עלי</w:t>
      </w:r>
      <w:proofErr w:type="spellEnd"/>
      <w:r>
        <w:rPr>
          <w:rtl/>
        </w:rPr>
        <w:t xml:space="preserve"> שור” בהערה הקודמת, על הדרך שבה נהג ר׳ ישראל </w:t>
      </w:r>
      <w:proofErr w:type="spellStart"/>
      <w:r>
        <w:rPr>
          <w:rtl/>
        </w:rPr>
        <w:t>סלנטר</w:t>
      </w:r>
      <w:proofErr w:type="spellEnd"/>
      <w:r>
        <w:rPr>
          <w:rtl/>
        </w:rPr>
        <w:t xml:space="preserve"> בשכרותו.</w:t>
      </w:r>
    </w:p>
    <w:p w14:paraId="2DC994BB" w14:textId="38ABBA6B"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רבנו כתב מכתבים הביתה בשנת היעדרו, וגם קיבל מכתבים</w:t>
      </w:r>
      <w:bookmarkStart w:id="4871" w:name="b4_text160"/>
      <w:bookmarkEnd w:id="4871"/>
      <w:r>
        <w:rPr>
          <w:sz w:val="18"/>
          <w:szCs w:val="18"/>
          <w:vertAlign w:val="superscript"/>
          <w:rtl/>
        </w:rPr>
        <w:fldChar w:fldCharType="begin" w:dirty="true"/>
      </w:r>
      <w:r>
        <w:rPr>
          <w:sz w:val="18"/>
          <w:szCs w:val="18"/>
          <w:vertAlign w:val="superscript"/>
          <w:rtl/>
        </w:rPr>
        <w:instrText xml:space="preserve"> REF b4_note160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160</w:t>
      </w:r>
      <w:r>
        <w:rPr>
          <w:sz w:val="18"/>
          <w:szCs w:val="18"/>
          <w:vertAlign w:val="superscript"/>
          <w:rtl/>
        </w:rPr>
        <w:fldChar w:fldCharType="end"/>
      </w:r>
      <w:r>
        <w:rPr>
          <w:rtl/>
        </w:rPr>
        <w:t>. עתה הודיע להוריו שיבוא הביתה לפסח</w:t>
      </w:r>
      <w:bookmarkStart w:id="4872" w:name="b4_text161"/>
      <w:bookmarkEnd w:id="4872"/>
      <w:r>
        <w:rPr>
          <w:sz w:val="18"/>
          <w:szCs w:val="18"/>
          <w:vertAlign w:val="superscript"/>
          <w:rtl/>
        </w:rPr>
        <w:fldChar w:fldCharType="begin" w:dirty="true"/>
      </w:r>
      <w:r>
        <w:rPr>
          <w:sz w:val="18"/>
          <w:szCs w:val="18"/>
          <w:vertAlign w:val="superscript"/>
          <w:rtl/>
        </w:rPr>
        <w:instrText xml:space="preserve"> REF b4_note161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161</w:t>
      </w:r>
      <w:r>
        <w:rPr>
          <w:sz w:val="18"/>
          <w:szCs w:val="18"/>
          <w:vertAlign w:val="superscript"/>
          <w:rtl/>
        </w:rPr>
        <w:fldChar w:fldCharType="end"/>
      </w:r>
      <w:r>
        <w:rPr>
          <w:rtl/>
        </w:rPr>
        <w:t xml:space="preserve">. הסבא דיבר אל הבחורים היוצאים מן הישיבה על הדרך שבה עליהם לנהוג בחברת בעלי בתים, שם מוטל עליהם לייצג את ההתרוממות שבאה מלימוד התורה. הוא </w:t>
      </w:r>
      <w:r>
        <w:rPr>
          <w:rtl/>
        </w:rPr>
        <w:lastRenderedPageBreak/>
        <w:t>הזהירם שלא להאריך בתפילת העמידה בבית הכנסת, פן יראו בהם המתפללים אנשים שאינם מן העולם הזה, מנותקים מן המציאות</w:t>
      </w:r>
      <w:bookmarkStart w:id="4873" w:name="b4_text162"/>
      <w:bookmarkEnd w:id="4873"/>
      <w:r>
        <w:rPr>
          <w:sz w:val="18"/>
          <w:szCs w:val="18"/>
          <w:vertAlign w:val="superscript"/>
          <w:rtl/>
        </w:rPr>
        <w:fldChar w:fldCharType="begin" w:dirty="true"/>
      </w:r>
      <w:r>
        <w:rPr>
          <w:sz w:val="18"/>
          <w:szCs w:val="18"/>
          <w:vertAlign w:val="superscript"/>
          <w:rtl/>
        </w:rPr>
        <w:instrText xml:space="preserve"> REF b4_note162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162</w:t>
      </w:r>
      <w:r>
        <w:rPr>
          <w:sz w:val="18"/>
          <w:szCs w:val="18"/>
          <w:vertAlign w:val="superscript"/>
          <w:rtl/>
        </w:rPr>
        <w:fldChar w:fldCharType="end"/>
      </w:r>
      <w:r>
        <w:rPr>
          <w:rtl/>
        </w:rPr>
        <w:t>.</w:t>
      </w:r>
    </w:p>
    <w:bookmarkStart w:id="4874" w:name="b4_note160"/>
    <w:p w14:paraId="295B8A73" w14:textId="77777777" w:rsidR="00AB3647" w:rsidRDefault="00000000" w:rsidP="007923E9">
      <w:pPr>
        <w:spacing w:before="120" w:after="100" w:line="276" w:lineRule="auto"/>
        <w:jc w:val="both"/>
      </w:pPr>
      <w:r>
        <w:fldChar w:fldCharType="begin" w:dirty="true"/>
      </w:r>
      <w:r>
        <w:instrText>HYPERLINK \l "b4_text160" \h</w:instrText>
      </w:r>
      <w:r>
        <w:fldChar w:fldCharType="separate"/>
      </w:r>
      <w:r>
        <w:rPr>
          <w:b/>
          <w:bCs/>
          <w:rtl/>
        </w:rPr>
        <w:t>160</w:t>
      </w:r>
      <w:r>
        <w:rPr>
          <w:b/>
          <w:bCs/>
        </w:rPr>
        <w:fldChar w:fldCharType="end"/>
      </w:r>
      <w:bookmarkEnd w:id="4874"/>
      <w:r>
        <w:rPr>
          <w:rtl/>
        </w:rPr>
        <w:t xml:space="preserve"> בעיירה </w:t>
      </w:r>
      <w:proofErr w:type="spellStart"/>
      <w:r>
        <w:rPr>
          <w:rtl/>
        </w:rPr>
        <w:t>סלבודקה</w:t>
      </w:r>
      <w:proofErr w:type="spellEnd"/>
      <w:r>
        <w:rPr>
          <w:rtl/>
        </w:rPr>
        <w:t xml:space="preserve"> לא היה בית דואר, והדואר שלה הגיע דרך קובנה. בחור מבוגר הופקד על איסוף דואר הישיבה; הוא היה תולה רשימת נמענים, והללו היו באים אליו לקבל את מכתביהם. בשיטה זו יכול היה הסבא לבדוק בקלות מי מקבל מכתבים וממי, ולנקוט אמצעי זהירות בעת הצורך</w:t>
      </w:r>
      <w:bookmarkStart w:id="4875" w:name="_fnr3585"/>
      <w:r>
        <w:rPr>
          <w:vertAlign w:val="superscript"/>
          <w:rtl/>
        </w:rPr>
        <w:footnoteReference w:id="3593" w:customMarkFollows="0"/>
      </w:r>
      <w:bookmarkEnd w:id="4875"/>
      <w:r>
        <w:rPr>
          <w:rtl/>
        </w:rPr>
        <w:t xml:space="preserve">. השווה גם </w:t>
      </w:r>
      <w:proofErr w:type="spellStart"/>
      <w:r>
        <w:rPr>
          <w:rtl/>
        </w:rPr>
        <w:t>צינוביץ</w:t>
      </w:r>
      <w:proofErr w:type="spellEnd"/>
      <w:r>
        <w:rPr>
          <w:rtl/>
        </w:rPr>
        <w:t>, “עץ חיים”</w:t>
      </w:r>
      <w:bookmarkStart w:id="4876" w:name="_fnr3586"/>
      <w:r>
        <w:rPr>
          <w:vertAlign w:val="superscript"/>
          <w:rtl/>
        </w:rPr>
        <w:footnoteReference w:id="3594" w:customMarkFollows="0"/>
      </w:r>
      <w:bookmarkEnd w:id="4876"/>
      <w:r>
        <w:rPr>
          <w:rtl/>
        </w:rPr>
        <w:t xml:space="preserve">, המביא ידיעה </w:t>
      </w:r>
      <w:proofErr w:type="spellStart"/>
      <w:r>
        <w:rPr>
          <w:rtl/>
        </w:rPr>
        <w:t>מ“המליץ</w:t>
      </w:r>
      <w:proofErr w:type="spellEnd"/>
      <w:r>
        <w:rPr>
          <w:rtl/>
        </w:rPr>
        <w:t>”</w:t>
      </w:r>
      <w:bookmarkStart w:id="4877" w:name="_fnr3587"/>
      <w:r>
        <w:rPr>
          <w:vertAlign w:val="superscript"/>
          <w:rtl/>
        </w:rPr>
        <w:footnoteReference w:id="3595" w:customMarkFollows="0"/>
      </w:r>
      <w:bookmarkEnd w:id="4877"/>
      <w:r>
        <w:rPr>
          <w:rtl/>
        </w:rPr>
        <w:t xml:space="preserve">: </w:t>
      </w:r>
      <w:proofErr w:type="spellStart"/>
      <w:r>
        <w:rPr>
          <w:rtl/>
        </w:rPr>
        <w:t>בוולוז׳ין</w:t>
      </w:r>
      <w:proofErr w:type="spellEnd"/>
      <w:r>
        <w:rPr>
          <w:rtl/>
        </w:rPr>
        <w:t xml:space="preserve">, עיירה קטנה שבית הדואר בה היה קרוב, הורה ראש הישיבה, </w:t>
      </w:r>
      <w:proofErr w:type="spellStart"/>
      <w:r>
        <w:rPr>
          <w:rtl/>
        </w:rPr>
        <w:t>הנצי״ב</w:t>
      </w:r>
      <w:proofErr w:type="spellEnd"/>
      <w:r>
        <w:rPr>
          <w:rtl/>
        </w:rPr>
        <w:t xml:space="preserve">, </w:t>
      </w:r>
      <w:proofErr w:type="spellStart"/>
      <w:r>
        <w:rPr>
          <w:rtl/>
        </w:rPr>
        <w:t>ש“לא</w:t>
      </w:r>
      <w:proofErr w:type="spellEnd"/>
      <w:r>
        <w:rPr>
          <w:rtl/>
        </w:rPr>
        <w:t xml:space="preserve"> תדרוך רגלו של שום תלמיד על סף בית הדואר כדי לקבל מכתבים או כתבי עת”, שמא יגיע חומר קריאה בלתי ראוי לידי התלמידים, “וכדי שלא יתלוננו התלמידים שמונעים מהם את מכתבי הוריהם וקרוביהם, קבע שכאשר יגיע דואר [לעיירה] ילך המנהל לקבל את כל המכתבים וכתבי העת הממוענים ל[ראש הישיבה], לתלמידים ולכל ארגון הישיבה”.</w:t>
      </w:r>
    </w:p>
    <w:p w14:paraId="37DB2051" w14:textId="2F1B69EC" w:rsidR="00AB3647" w:rsidRDefault="00000000" w:rsidP="007923E9">
      <w:pPr>
        <w:spacing w:before="120" w:after="100" w:line="276" w:lineRule="auto"/>
        <w:jc w:val="both"/>
      </w:pPr>
      <w:r>
        <w:rPr>
          <w:rtl/>
        </w:rPr>
        <w:t>ר׳ מאיר חדש סיפר</w:t>
      </w:r>
      <w:bookmarkStart w:id="4878" w:name="_fnr3588"/>
      <w:r>
        <w:rPr>
          <w:vertAlign w:val="superscript"/>
          <w:rtl/>
        </w:rPr>
        <w:footnoteReference w:id="3596" w:customMarkFollows="0"/>
      </w:r>
      <w:bookmarkEnd w:id="4878"/>
      <w:r>
        <w:rPr>
          <w:rtl/>
        </w:rPr>
        <w:t xml:space="preserve"> שכאשר בא </w:t>
      </w:r>
      <w:proofErr w:type="spellStart"/>
      <w:r>
        <w:rPr>
          <w:rtl/>
        </w:rPr>
        <w:t>לסלבודקה</w:t>
      </w:r>
      <w:proofErr w:type="spellEnd"/>
      <w:r>
        <w:rPr>
          <w:rtl/>
        </w:rPr>
        <w:t xml:space="preserve"> </w:t>
      </w:r>
      <w:proofErr w:type="spellStart"/>
      <w:r>
        <w:rPr>
          <w:rtl/>
        </w:rPr>
        <w:t>בתר״ע</w:t>
      </w:r>
      <w:proofErr w:type="spellEnd"/>
      <w:r>
        <w:rPr>
          <w:rtl/>
        </w:rPr>
        <w:t xml:space="preserve">, לפני בר המצווה שלו ובלי תקווה להתקבל רשמית כתלמיד, היה מקבל את מכתביו על שם </w:t>
      </w:r>
      <w:proofErr w:type="spellStart"/>
      <w:r>
        <w:rPr>
          <w:rtl/>
        </w:rPr>
        <w:t>בן־דוד</w:t>
      </w:r>
      <w:proofErr w:type="spellEnd"/>
      <w:r>
        <w:rPr>
          <w:rtl/>
        </w:rPr>
        <w:t xml:space="preserve"> מבוגר שלמד שם. כעבור שנה וחצי כתב לו אביו מכתב – שבטעות היה ממוען </w:t>
      </w:r>
      <w:proofErr w:type="spellStart"/>
      <w:r>
        <w:rPr>
          <w:rtl/>
        </w:rPr>
        <w:t>לר</w:t>
      </w:r>
      <w:proofErr w:type="spellEnd"/>
      <w:r>
        <w:rPr>
          <w:rtl/>
        </w:rPr>
        <w:t xml:space="preserve">׳ מאיר עצמו – ובו הורה לו להמתין בתחנת קובנה ביום מסוים, שבו תעצור לכמה דקות הרכבת המביאה את האב לנמל, לקראת נסיעתו באונייה לאמריקה. כך יוכלו להיפרד זה מזה. המכתב הגיע לידי ר׳ מאיר חדש רק יומיים אחרי שעברה רכבת אביו, מפני שהבחור המבוגר שאסף את הדואר לא ראה מעולם קודם לכן את השם “מאיר חדש” על מעטפה! נמצא שבפעם האחרונה ראה את אביו בגיל </w:t>
      </w:r>
      <w:proofErr w:type="spellStart"/>
      <w:r>
        <w:rPr>
          <w:rtl/>
        </w:rPr>
        <w:t>שתים־עשרה</w:t>
      </w:r>
      <w:proofErr w:type="spellEnd"/>
      <w:r>
        <w:rPr>
          <w:rtl/>
        </w:rPr>
        <w:t xml:space="preserve">, לפני שיצא מביתו </w:t>
      </w:r>
      <w:proofErr w:type="spellStart"/>
      <w:r>
        <w:rPr>
          <w:rtl/>
        </w:rPr>
        <w:t>לסלבודקה</w:t>
      </w:r>
      <w:proofErr w:type="spellEnd"/>
      <w:r>
        <w:rPr>
          <w:rtl/>
        </w:rPr>
        <w:t xml:space="preserve">, שהרי לא יצא מן הישיבה לביקור בביתו </w:t>
      </w:r>
      <w:proofErr w:type="spellStart"/>
      <w:r>
        <w:rPr>
          <w:rtl/>
        </w:rPr>
        <w:t>בפאריטש</w:t>
      </w:r>
      <w:proofErr w:type="spellEnd"/>
      <w:r>
        <w:rPr>
          <w:rtl/>
        </w:rPr>
        <w:t xml:space="preserve"> אלא אחרי שנתיים </w:t>
      </w:r>
      <w:proofErr w:type="spellStart"/>
      <w:r>
        <w:rPr>
          <w:rtl/>
        </w:rPr>
        <w:t>בסלבודקה</w:t>
      </w:r>
      <w:proofErr w:type="spellEnd"/>
      <w:r>
        <w:rPr>
          <w:rtl/>
        </w:rPr>
        <w:t xml:space="preserve">. על עוניו השווה פרק 3, הערה </w:t>
      </w:r>
      <w:r>
        <w:rPr>
          <w:rtl/>
        </w:rPr>
        <w:fldChar w:fldCharType="begin" w:dirty="true"/>
      </w:r>
      <w:r>
        <w:rPr>
          <w:rtl/>
        </w:rPr>
        <w:instrText xml:space="preserve"> REF b3_note83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83</w:t>
      </w:r>
      <w:r>
        <w:rPr>
          <w:rtl/>
        </w:rPr>
        <w:fldChar w:fldCharType="end"/>
      </w:r>
      <w:r>
        <w:rPr>
          <w:rtl/>
        </w:rPr>
        <w:t>.</w:t>
      </w:r>
    </w:p>
    <w:p w14:paraId="6C73824A" w14:textId="77777777" w:rsidR="00AB3647" w:rsidRDefault="00000000" w:rsidP="007923E9">
      <w:pPr>
        <w:spacing w:before="120" w:after="100" w:line="276" w:lineRule="auto"/>
        <w:jc w:val="both"/>
      </w:pPr>
      <w:r>
        <w:rPr>
          <w:rtl/>
        </w:rPr>
        <w:t xml:space="preserve">לאביו של ר׳ מאיר נדרשו כמה שנים לחסוך די כסף כדי לשלוח כרטיסים למשפחתו, שתצטרף אליו בארצות הברית. עד שמכרו את חפציהם והתכוננו לנסיעה חלתה </w:t>
      </w:r>
      <w:proofErr w:type="spellStart"/>
      <w:r>
        <w:rPr>
          <w:rtl/>
        </w:rPr>
        <w:t>אמו</w:t>
      </w:r>
      <w:proofErr w:type="spellEnd"/>
      <w:r>
        <w:rPr>
          <w:rtl/>
        </w:rPr>
        <w:t xml:space="preserve"> של ר׳ מאיר ונפטרה, והשאירה שני בנים ובת באירופה. אחר כך פרצה מלחמת העולם, והנסיעה כולה בוטלה. אביו נישא שוב וחי את שארית ימיו בארצות הברית, ובנו לא ראה אותו עוד.</w:t>
      </w:r>
    </w:p>
    <w:bookmarkStart w:id="4879" w:name="b4_note161"/>
    <w:p w14:paraId="265A39EF" w14:textId="77777777" w:rsidR="00AB3647" w:rsidRDefault="00000000" w:rsidP="007923E9">
      <w:pPr>
        <w:spacing w:before="120" w:after="100" w:line="276" w:lineRule="auto"/>
        <w:jc w:val="both"/>
      </w:pPr>
      <w:r>
        <w:fldChar w:fldCharType="begin" w:dirty="true"/>
      </w:r>
      <w:r>
        <w:instrText>HYPERLINK \l "b4_text161" \h</w:instrText>
      </w:r>
      <w:r>
        <w:fldChar w:fldCharType="separate"/>
      </w:r>
      <w:r>
        <w:rPr>
          <w:b/>
          <w:bCs/>
          <w:rtl/>
        </w:rPr>
        <w:t>161</w:t>
      </w:r>
      <w:r>
        <w:rPr>
          <w:b/>
          <w:bCs/>
        </w:rPr>
        <w:fldChar w:fldCharType="end"/>
      </w:r>
      <w:bookmarkEnd w:id="4879"/>
      <w:r>
        <w:rPr>
          <w:rtl/>
        </w:rPr>
        <w:t xml:space="preserve"> בינתיים עברו מרחוב </w:t>
      </w:r>
      <w:proofErr w:type="spellStart"/>
      <w:r>
        <w:rPr>
          <w:rtl/>
        </w:rPr>
        <w:t>בוגדלניה</w:t>
      </w:r>
      <w:proofErr w:type="spellEnd"/>
      <w:r>
        <w:rPr>
          <w:rtl/>
        </w:rPr>
        <w:t xml:space="preserve"> לשכונת לחובקה הענייה יותר, מעברו השני של נהר </w:t>
      </w:r>
      <w:proofErr w:type="spellStart"/>
      <w:r>
        <w:rPr>
          <w:rtl/>
        </w:rPr>
        <w:t>סביסלוץ</w:t>
      </w:r>
      <w:proofErr w:type="spellEnd"/>
      <w:r>
        <w:rPr>
          <w:rtl/>
        </w:rPr>
        <w:t>׳</w:t>
      </w:r>
      <w:bookmarkStart w:id="4880" w:name="_fnr3589"/>
      <w:r>
        <w:rPr>
          <w:vertAlign w:val="superscript"/>
          <w:rtl/>
        </w:rPr>
        <w:footnoteReference w:id="3597" w:customMarkFollows="0"/>
      </w:r>
      <w:bookmarkEnd w:id="4880"/>
      <w:r>
        <w:rPr>
          <w:rtl/>
        </w:rPr>
        <w:t>.</w:t>
      </w:r>
    </w:p>
    <w:bookmarkStart w:id="4881" w:name="b4_note162"/>
    <w:p w14:paraId="6E6D52C6" w14:textId="77777777" w:rsidR="00AB3647" w:rsidRDefault="00000000" w:rsidP="007923E9">
      <w:pPr>
        <w:spacing w:before="120" w:after="100" w:line="276" w:lineRule="auto"/>
        <w:jc w:val="both"/>
      </w:pPr>
      <w:r>
        <w:lastRenderedPageBreak/>
        <w:fldChar w:fldCharType="begin" w:dirty="true"/>
      </w:r>
      <w:r>
        <w:instrText>HYPERLINK \l "b4_text162" \h</w:instrText>
      </w:r>
      <w:r>
        <w:fldChar w:fldCharType="separate"/>
      </w:r>
      <w:r>
        <w:rPr>
          <w:b/>
          <w:bCs/>
          <w:rtl/>
        </w:rPr>
        <w:t>162</w:t>
      </w:r>
      <w:r>
        <w:rPr>
          <w:b/>
          <w:bCs/>
        </w:rPr>
        <w:fldChar w:fldCharType="end"/>
      </w:r>
      <w:bookmarkEnd w:id="4881"/>
      <w:r>
        <w:rPr>
          <w:rtl/>
        </w:rPr>
        <w:t xml:space="preserve"> ר׳ לייזר פר סיפר</w:t>
      </w:r>
      <w:bookmarkStart w:id="4882" w:name="_fnr3590"/>
      <w:r>
        <w:rPr>
          <w:vertAlign w:val="superscript"/>
          <w:rtl/>
        </w:rPr>
        <w:footnoteReference w:id="3598" w:customMarkFollows="0"/>
      </w:r>
      <w:bookmarkEnd w:id="4882"/>
      <w:r>
        <w:rPr>
          <w:rtl/>
        </w:rPr>
        <w:t xml:space="preserve"> בשם אביו, ר׳ מנחם</w:t>
      </w:r>
      <w:bookmarkStart w:id="4883" w:name="_fnr3591"/>
      <w:r>
        <w:rPr>
          <w:vertAlign w:val="superscript"/>
          <w:rtl/>
        </w:rPr>
        <w:footnoteReference w:id="3599" w:customMarkFollows="0"/>
      </w:r>
      <w:bookmarkEnd w:id="4883"/>
      <w:r>
        <w:rPr>
          <w:rtl/>
        </w:rPr>
        <w:t xml:space="preserve">: “הסבא היה קורא לכל בחור לפני כל בין הזמנים ומורה לו: ‘עליך לדעת שאתה הולך הביתה בין פשוטי עם; אל תאריך בתפילת העמידה ואל </w:t>
      </w:r>
      <w:proofErr w:type="spellStart"/>
      <w:r>
        <w:rPr>
          <w:rtl/>
        </w:rPr>
        <w:t>תצדק׳ע</w:t>
      </w:r>
      <w:proofErr w:type="spellEnd"/>
      <w:r>
        <w:rPr>
          <w:rtl/>
        </w:rPr>
        <w:t xml:space="preserve"> </w:t>
      </w:r>
      <w:proofErr w:type="spellStart"/>
      <w:r>
        <w:rPr>
          <w:rtl/>
        </w:rPr>
        <w:t>דיך</w:t>
      </w:r>
      <w:proofErr w:type="spellEnd"/>
      <w:r>
        <w:rPr>
          <w:rtl/>
        </w:rPr>
        <w:t xml:space="preserve"> [תנהג בצדקות יתרה]’”.</w:t>
      </w:r>
    </w:p>
    <w:p w14:paraId="730D64AC" w14:textId="68FAAC25"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jc w:val="both"/>
      </w:pPr>
      <w:r>
        <w:rPr>
          <w:rtl/>
        </w:rPr>
        <w:t xml:space="preserve">אחרי נסיעתו הארוכה הביתה ברכבת קיבלה משפחתו את רבנו בחום. הוא יצא ילד וחזר איש, רציני ומעודן יותר בהליכותיו, וזקן התחיל לצמוח על לחייו של בן </w:t>
      </w:r>
      <w:proofErr w:type="spellStart"/>
      <w:r>
        <w:rPr>
          <w:rtl/>
        </w:rPr>
        <w:t>השש־עשרה</w:t>
      </w:r>
      <w:proofErr w:type="spellEnd"/>
      <w:r>
        <w:rPr>
          <w:rtl/>
        </w:rPr>
        <w:t>. השבועות שעשה במינסק לא עברו בבטלה: הוא ביקר בספריית ספרי הקודש שבבית איל העצים ברוך זלדוביץ׳</w:t>
      </w:r>
      <w:bookmarkStart w:id="4884" w:name="b4_text163"/>
      <w:bookmarkEnd w:id="4884"/>
      <w:r>
        <w:rPr>
          <w:sz w:val="18"/>
          <w:szCs w:val="18"/>
          <w:vertAlign w:val="superscript"/>
          <w:rtl/>
        </w:rPr>
        <w:fldChar w:fldCharType="begin" w:dirty="true"/>
      </w:r>
      <w:r>
        <w:rPr>
          <w:sz w:val="18"/>
          <w:szCs w:val="18"/>
          <w:vertAlign w:val="superscript"/>
          <w:rtl/>
        </w:rPr>
        <w:instrText xml:space="preserve"> REF b4_note163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163</w:t>
      </w:r>
      <w:r>
        <w:rPr>
          <w:sz w:val="18"/>
          <w:szCs w:val="18"/>
          <w:vertAlign w:val="superscript"/>
          <w:rtl/>
        </w:rPr>
        <w:fldChar w:fldCharType="end"/>
      </w:r>
      <w:r>
        <w:rPr>
          <w:rtl/>
        </w:rPr>
        <w:t xml:space="preserve"> ושאל כמה ספרים</w:t>
      </w:r>
      <w:bookmarkStart w:id="4885" w:name="b4_text164"/>
      <w:bookmarkEnd w:id="4885"/>
      <w:r>
        <w:rPr>
          <w:sz w:val="18"/>
          <w:szCs w:val="18"/>
          <w:vertAlign w:val="superscript"/>
          <w:rtl/>
        </w:rPr>
        <w:fldChar w:fldCharType="begin" w:dirty="true"/>
      </w:r>
      <w:r>
        <w:rPr>
          <w:sz w:val="18"/>
          <w:szCs w:val="18"/>
          <w:vertAlign w:val="superscript"/>
          <w:rtl/>
        </w:rPr>
        <w:instrText xml:space="preserve"> REF b4_note164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164</w:t>
      </w:r>
      <w:r>
        <w:rPr>
          <w:sz w:val="18"/>
          <w:szCs w:val="18"/>
          <w:vertAlign w:val="superscript"/>
          <w:rtl/>
        </w:rPr>
        <w:fldChar w:fldCharType="end"/>
      </w:r>
      <w:r>
        <w:rPr>
          <w:rtl/>
        </w:rPr>
        <w:t>, כדי ללמוד כמה עניינים שחיבב ושסדרי הישיבה במשך השנה לא הותירו לו זמן ללומדם</w:t>
      </w:r>
      <w:bookmarkStart w:id="4886" w:name="b4_text165"/>
      <w:bookmarkEnd w:id="4886"/>
      <w:r>
        <w:rPr>
          <w:sz w:val="18"/>
          <w:szCs w:val="18"/>
          <w:vertAlign w:val="superscript"/>
          <w:rtl/>
        </w:rPr>
        <w:fldChar w:fldCharType="begin" w:dirty="true"/>
      </w:r>
      <w:r>
        <w:rPr>
          <w:sz w:val="18"/>
          <w:szCs w:val="18"/>
          <w:vertAlign w:val="superscript"/>
          <w:rtl/>
        </w:rPr>
        <w:instrText xml:space="preserve"> REF b4_note165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165</w:t>
      </w:r>
      <w:r>
        <w:rPr>
          <w:sz w:val="18"/>
          <w:szCs w:val="18"/>
          <w:vertAlign w:val="superscript"/>
          <w:rtl/>
        </w:rPr>
        <w:fldChar w:fldCharType="end"/>
      </w:r>
      <w:r>
        <w:rPr>
          <w:rtl/>
        </w:rPr>
        <w:t xml:space="preserve">. הוריו, ובייחוד סבו, היו גאים בצאצאם, שהיה עתה בן תורה צעיר. </w:t>
      </w:r>
      <w:proofErr w:type="spellStart"/>
      <w:r>
        <w:rPr>
          <w:rtl/>
        </w:rPr>
        <w:t>אמו</w:t>
      </w:r>
      <w:proofErr w:type="spellEnd"/>
      <w:r>
        <w:rPr>
          <w:rtl/>
        </w:rPr>
        <w:t xml:space="preserve"> ראתה שהאבן הטובה שלה מתחילה להבהיק</w:t>
      </w:r>
      <w:bookmarkStart w:id="4887" w:name="b4_text166"/>
      <w:bookmarkEnd w:id="4887"/>
      <w:r>
        <w:rPr>
          <w:sz w:val="18"/>
          <w:szCs w:val="18"/>
          <w:vertAlign w:val="superscript"/>
          <w:rtl/>
        </w:rPr>
        <w:fldChar w:fldCharType="begin" w:dirty="true"/>
      </w:r>
      <w:r>
        <w:rPr>
          <w:sz w:val="18"/>
          <w:szCs w:val="18"/>
          <w:vertAlign w:val="superscript"/>
          <w:rtl/>
        </w:rPr>
        <w:instrText xml:space="preserve"> REF b4_note166 \h \* CHARFORMAT </w:instrText>
      </w:r>
      <w:r>
        <w:rPr>
          <w:sz w:val="18"/>
          <w:szCs w:val="18"/>
          <w:vertAlign w:val="superscript"/>
          <w:rtl/>
        </w:rPr>
      </w:r>
      <w:r w:rsidR="007923E9">
        <w:rPr>
          <w:sz w:val="18"/>
          <w:szCs w:val="18"/>
          <w:vertAlign w:val="superscript"/>
          <w:rtl/>
        </w:rPr>
        <w:instrText xml:space="preserve"> \* </w:instrText>
      </w:r>
      <w:r w:rsidR="007923E9">
        <w:rPr>
          <w:sz w:val="18"/>
          <w:szCs w:val="18"/>
          <w:vertAlign w:val="superscript"/>
        </w:rPr>
        <w:instrText>MERGEFORMAT</w:instrText>
      </w:r>
      <w:r w:rsidR="007923E9">
        <w:rPr>
          <w:sz w:val="18"/>
          <w:szCs w:val="18"/>
          <w:vertAlign w:val="superscript"/>
          <w:rtl/>
        </w:rPr>
        <w:instrText xml:space="preserve"> </w:instrText>
      </w:r>
      <w:r>
        <w:rPr>
          <w:sz w:val="18"/>
          <w:szCs w:val="18"/>
          <w:vertAlign w:val="superscript"/>
          <w:rtl/>
        </w:rPr>
        <w:fldChar w:fldCharType="separate"/>
      </w:r>
      <w:r w:rsidR="007923E9" w:rsidRPr="007923E9">
        <w:rPr>
          <w:sz w:val="18"/>
          <w:szCs w:val="18"/>
          <w:vertAlign w:val="superscript"/>
          <w:rtl/>
        </w:rPr>
        <w:t>166</w:t>
      </w:r>
      <w:r>
        <w:rPr>
          <w:sz w:val="18"/>
          <w:szCs w:val="18"/>
          <w:vertAlign w:val="superscript"/>
          <w:rtl/>
        </w:rPr>
        <w:fldChar w:fldCharType="end"/>
      </w:r>
      <w:r>
        <w:rPr>
          <w:rtl/>
        </w:rPr>
        <w:t>.</w:t>
      </w:r>
    </w:p>
    <w:bookmarkStart w:id="4888" w:name="b4_note163"/>
    <w:p w14:paraId="63DC064E" w14:textId="73AB06F7" w:rsidR="00AB3647" w:rsidRDefault="00000000" w:rsidP="007923E9">
      <w:pPr>
        <w:spacing w:before="120" w:after="100" w:line="276" w:lineRule="auto"/>
        <w:jc w:val="both"/>
      </w:pPr>
      <w:r>
        <w:fldChar w:fldCharType="begin" w:dirty="true"/>
      </w:r>
      <w:r>
        <w:instrText>HYPERLINK \l "b4_text163" \h</w:instrText>
      </w:r>
      <w:r>
        <w:fldChar w:fldCharType="separate"/>
      </w:r>
      <w:r>
        <w:rPr>
          <w:b/>
          <w:bCs/>
          <w:rtl/>
        </w:rPr>
        <w:t>163</w:t>
      </w:r>
      <w:r>
        <w:rPr>
          <w:b/>
          <w:bCs/>
        </w:rPr>
        <w:fldChar w:fldCharType="end"/>
      </w:r>
      <w:bookmarkEnd w:id="4888"/>
      <w:r>
        <w:rPr>
          <w:rtl/>
        </w:rPr>
        <w:t xml:space="preserve"> ראה </w:t>
      </w:r>
      <w:r>
        <w:rPr>
          <w:rtl/>
        </w:rPr>
        <w:fldChar w:fldCharType="begin" w:dirty="true"/>
      </w:r>
      <w:r>
        <w:rPr>
          <w:rtl/>
        </w:rPr>
        <w:instrText xml:space="preserve"> REF b4_excT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כ</w:t>
      </w:r>
      <w:r>
        <w:rPr>
          <w:rtl/>
        </w:rPr>
        <w:fldChar w:fldCharType="end"/>
      </w:r>
      <w:r>
        <w:rPr>
          <w:rtl/>
        </w:rPr>
        <w:t>.</w:t>
      </w:r>
    </w:p>
    <w:p w14:paraId="0AEAC6DD" w14:textId="77777777" w:rsidR="00AB3647" w:rsidRDefault="00AB3647" w:rsidP="007923E9">
      <w:pPr>
        <w:spacing w:line="276" w:lineRule="auto"/>
      </w:pPr>
    </w:p>
    <w:bookmarkStart w:id="4889" w:name="b4_note164"/>
    <w:p w14:paraId="6BDBCEAB" w14:textId="033737C8" w:rsidR="00AB3647" w:rsidRDefault="00000000" w:rsidP="007923E9">
      <w:pPr>
        <w:spacing w:before="120" w:after="100" w:line="276" w:lineRule="auto"/>
        <w:jc w:val="both"/>
      </w:pPr>
      <w:r>
        <w:fldChar w:fldCharType="begin" w:dirty="true"/>
      </w:r>
      <w:r>
        <w:instrText>HYPERLINK \l "b4_text164" \h</w:instrText>
      </w:r>
      <w:r>
        <w:fldChar w:fldCharType="separate"/>
      </w:r>
      <w:r>
        <w:rPr>
          <w:b/>
          <w:bCs/>
          <w:rtl/>
        </w:rPr>
        <w:t>164</w:t>
      </w:r>
      <w:r>
        <w:rPr>
          <w:b/>
          <w:bCs/>
        </w:rPr>
        <w:fldChar w:fldCharType="end"/>
      </w:r>
      <w:bookmarkEnd w:id="4889"/>
      <w:r>
        <w:rPr>
          <w:rtl/>
        </w:rPr>
        <w:t xml:space="preserve"> מעשה מעניין אירע לאבי בספריית השאלה זו. בתוך כרך ששאל מצא פתק בכתב ידו ובחתימתו של ר׳ ישראל </w:t>
      </w:r>
      <w:proofErr w:type="spellStart"/>
      <w:r>
        <w:rPr>
          <w:rtl/>
        </w:rPr>
        <w:t>סלנטר</w:t>
      </w:r>
      <w:proofErr w:type="spellEnd"/>
      <w:r>
        <w:rPr>
          <w:rtl/>
        </w:rPr>
        <w:t>, ובו הורה לנשארים אחריו להשיב את הספר לספרייה אם יימצא בין חפציו לאחר פטירתו</w:t>
      </w:r>
      <w:bookmarkStart w:id="4890" w:name="_fnr3592"/>
      <w:r>
        <w:rPr>
          <w:vertAlign w:val="superscript"/>
          <w:rtl/>
        </w:rPr>
        <w:footnoteReference w:id="3600" w:customMarkFollows="0"/>
      </w:r>
      <w:bookmarkEnd w:id="4890"/>
      <w:r>
        <w:rPr>
          <w:rtl/>
        </w:rPr>
        <w:t>. בשנים מאוחרות יותר הצטער אבי שהשאיר את הפתק בספר כשהחזירו לספרייה</w:t>
      </w:r>
      <w:bookmarkStart w:id="4891" w:name="_fnr3593"/>
      <w:r>
        <w:rPr>
          <w:vertAlign w:val="superscript"/>
          <w:rtl/>
        </w:rPr>
        <w:footnoteReference w:id="3601" w:customMarkFollows="0"/>
      </w:r>
      <w:bookmarkEnd w:id="4891"/>
      <w:r>
        <w:rPr>
          <w:rtl/>
        </w:rPr>
        <w:t xml:space="preserve">. רבנו סיפר זאת לנכדו ר׳ יצחק </w:t>
      </w:r>
      <w:proofErr w:type="spellStart"/>
      <w:r>
        <w:rPr>
          <w:rtl/>
        </w:rPr>
        <w:t>שורין</w:t>
      </w:r>
      <w:bookmarkStart w:id="4892" w:name="_fnr3594"/>
      <w:proofErr w:type="spellEnd"/>
      <w:r>
        <w:rPr>
          <w:vertAlign w:val="superscript"/>
          <w:rtl/>
        </w:rPr>
        <w:footnoteReference w:id="3602" w:customMarkFollows="0"/>
      </w:r>
      <w:bookmarkEnd w:id="4892"/>
      <w:r>
        <w:rPr>
          <w:rtl/>
        </w:rPr>
        <w:t xml:space="preserve">, כדי להראות כמה פחד ר׳ ישראל ממוות פתאומי – השווה פרק 5, הפסקה השביעית של </w:t>
      </w:r>
      <w:r>
        <w:rPr>
          <w:rtl/>
        </w:rPr>
        <w:fldChar w:fldCharType="begin" w:dirty="true"/>
      </w:r>
      <w:r>
        <w:rPr>
          <w:rtl/>
        </w:rPr>
        <w:instrText xml:space="preserve"> REF b5_excB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 והפסקה השנייה שם, על שיתוקו הפתאומי.</w:t>
      </w:r>
    </w:p>
    <w:p w14:paraId="6A9473C6" w14:textId="77777777" w:rsidR="00AB3647" w:rsidRDefault="00000000" w:rsidP="007923E9">
      <w:pPr>
        <w:spacing w:before="120" w:after="100" w:line="276" w:lineRule="auto"/>
        <w:jc w:val="both"/>
      </w:pPr>
      <w:r>
        <w:rPr>
          <w:rtl/>
        </w:rPr>
        <w:t>השווה גם כץ, “תנועת המוסר”, כרך א</w:t>
      </w:r>
      <w:bookmarkStart w:id="4893" w:name="_fnr3595"/>
      <w:r>
        <w:rPr>
          <w:vertAlign w:val="superscript"/>
          <w:rtl/>
        </w:rPr>
        <w:footnoteReference w:id="3603" w:customMarkFollows="0"/>
      </w:r>
      <w:bookmarkEnd w:id="4893"/>
      <w:r>
        <w:rPr>
          <w:rtl/>
        </w:rPr>
        <w:t xml:space="preserve">: ראו את ר׳ ישראל מנסה לפתות חתול להיכנס לביתו לפני יום הכיפורים, מפני שחשש שבזמן שבני האדם ייעדרו מן הבית שעות ארוכות בתפילה יֵצאו עכברים ויכרסמו את ספריו השאולים. </w:t>
      </w:r>
      <w:proofErr w:type="spellStart"/>
      <w:r>
        <w:rPr>
          <w:rtl/>
        </w:rPr>
        <w:t>ב“לנתיבות</w:t>
      </w:r>
      <w:proofErr w:type="spellEnd"/>
      <w:r>
        <w:rPr>
          <w:rtl/>
        </w:rPr>
        <w:t xml:space="preserve"> אור”</w:t>
      </w:r>
      <w:bookmarkStart w:id="4894" w:name="_fnr3596"/>
      <w:r>
        <w:rPr>
          <w:vertAlign w:val="superscript"/>
          <w:rtl/>
        </w:rPr>
        <w:footnoteReference w:id="3604" w:customMarkFollows="0"/>
      </w:r>
      <w:bookmarkEnd w:id="4894"/>
      <w:r>
        <w:rPr>
          <w:rtl/>
        </w:rPr>
        <w:t xml:space="preserve"> כותב ר׳ </w:t>
      </w:r>
      <w:proofErr w:type="spellStart"/>
      <w:r>
        <w:rPr>
          <w:rtl/>
        </w:rPr>
        <w:t>איצל׳ה</w:t>
      </w:r>
      <w:proofErr w:type="spellEnd"/>
      <w:r>
        <w:rPr>
          <w:rtl/>
        </w:rPr>
        <w:t xml:space="preserve"> </w:t>
      </w:r>
      <w:proofErr w:type="spellStart"/>
      <w:r>
        <w:rPr>
          <w:rtl/>
        </w:rPr>
        <w:t>בלאזר</w:t>
      </w:r>
      <w:proofErr w:type="spellEnd"/>
      <w:r>
        <w:rPr>
          <w:rtl/>
        </w:rPr>
        <w:t xml:space="preserve">: “ר׳ ישראל לא השאיר דבר ליורשיו [מלבד טלית ישנה </w:t>
      </w:r>
      <w:proofErr w:type="spellStart"/>
      <w:r>
        <w:rPr>
          <w:rtl/>
        </w:rPr>
        <w:t>ותפיליו</w:t>
      </w:r>
      <w:proofErr w:type="spellEnd"/>
      <w:r>
        <w:rPr>
          <w:rtl/>
        </w:rPr>
        <w:t>] – אף לא ספר, מפני שלא רצה ליהנות מאחרים [שבתמיכתם הכספית היה תלוי] לצורך קניית ספרים; הוא השתמש בספרים שאולים [ללימודו]”</w:t>
      </w:r>
      <w:bookmarkStart w:id="4895" w:name="_fnr3597"/>
      <w:r>
        <w:rPr>
          <w:vertAlign w:val="superscript"/>
          <w:rtl/>
        </w:rPr>
        <w:footnoteReference w:id="3605" w:customMarkFollows="0"/>
      </w:r>
      <w:bookmarkEnd w:id="4895"/>
      <w:r>
        <w:rPr>
          <w:rtl/>
        </w:rPr>
        <w:t>.</w:t>
      </w:r>
    </w:p>
    <w:bookmarkStart w:id="4896" w:name="b4_note165"/>
    <w:p w14:paraId="5C2A644B" w14:textId="77777777" w:rsidR="00AB3647" w:rsidRDefault="00000000" w:rsidP="007923E9">
      <w:pPr>
        <w:spacing w:before="120" w:after="100" w:line="276" w:lineRule="auto"/>
        <w:jc w:val="both"/>
      </w:pPr>
      <w:r>
        <w:fldChar w:fldCharType="begin" w:dirty="true"/>
      </w:r>
      <w:r>
        <w:instrText>HYPERLINK \l "b4_text165" \h</w:instrText>
      </w:r>
      <w:r>
        <w:fldChar w:fldCharType="separate"/>
      </w:r>
      <w:r>
        <w:rPr>
          <w:b/>
          <w:bCs/>
          <w:rtl/>
        </w:rPr>
        <w:t>165</w:t>
      </w:r>
      <w:r>
        <w:rPr>
          <w:b/>
          <w:bCs/>
        </w:rPr>
        <w:fldChar w:fldCharType="end"/>
      </w:r>
      <w:bookmarkEnd w:id="4896"/>
      <w:r>
        <w:rPr>
          <w:rtl/>
        </w:rPr>
        <w:t xml:space="preserve"> בשיחה לתלמידי הישיבה התלמודית של פילדלפיה המריץ אבי את התלמידים לנצל לשם כך את בין הזמנים של הקיץ – כך סיפר לי ר׳ יצחק פרמן</w:t>
      </w:r>
      <w:bookmarkStart w:id="4897" w:name="_fnr3598"/>
      <w:r>
        <w:rPr>
          <w:vertAlign w:val="superscript"/>
          <w:rtl/>
        </w:rPr>
        <w:footnoteReference w:id="3606" w:customMarkFollows="0"/>
      </w:r>
      <w:bookmarkEnd w:id="4897"/>
      <w:r>
        <w:rPr>
          <w:rtl/>
        </w:rPr>
        <w:t>.</w:t>
      </w:r>
    </w:p>
    <w:bookmarkStart w:id="4898" w:name="b4_note166"/>
    <w:p w14:paraId="61568AA1" w14:textId="77777777" w:rsidR="00AB3647" w:rsidRDefault="00000000" w:rsidP="007923E9">
      <w:pPr>
        <w:spacing w:before="120" w:after="100" w:line="276" w:lineRule="auto"/>
        <w:jc w:val="both"/>
      </w:pPr>
      <w:r>
        <w:lastRenderedPageBreak/>
        <w:fldChar w:fldCharType="begin" w:dirty="true"/>
      </w:r>
      <w:r>
        <w:instrText>HYPERLINK \l "b4_text166" \h</w:instrText>
      </w:r>
      <w:r>
        <w:fldChar w:fldCharType="separate"/>
      </w:r>
      <w:r>
        <w:rPr>
          <w:b/>
          <w:bCs/>
          <w:rtl/>
        </w:rPr>
        <w:t>166</w:t>
      </w:r>
      <w:r>
        <w:rPr>
          <w:b/>
          <w:bCs/>
        </w:rPr>
        <w:fldChar w:fldCharType="end"/>
      </w:r>
      <w:bookmarkEnd w:id="4898"/>
      <w:r>
        <w:rPr>
          <w:rtl/>
        </w:rPr>
        <w:t xml:space="preserve"> השווה סוף פרק 1, על הדימוי החביב על </w:t>
      </w:r>
      <w:proofErr w:type="spellStart"/>
      <w:r>
        <w:rPr>
          <w:rtl/>
        </w:rPr>
        <w:t>אמו</w:t>
      </w:r>
      <w:proofErr w:type="spellEnd"/>
      <w:r>
        <w:rPr>
          <w:rtl/>
        </w:rPr>
        <w:t xml:space="preserve"> בשעה שדיברה עליו.</w:t>
      </w:r>
    </w:p>
    <w:p w14:paraId="50112638" w14:textId="77777777" w:rsidR="00AB3647" w:rsidRDefault="00000000" w:rsidP="007923E9">
      <w:pPr>
        <w:pStyle w:val="2"/>
        <w:pageBreakBefore/>
        <w:spacing w:after="160" w:line="276" w:lineRule="auto"/>
      </w:pPr>
      <w:bookmarkStart w:id="4899" w:name="b4_excursuses"/>
      <w:r>
        <w:lastRenderedPageBreak/>
        <w:t>נספחים</w:t>
      </w:r>
      <w:bookmarkEnd w:id="4899"/>
    </w:p>
    <w:bookmarkStart w:id="4900" w:name="b4_excA"/>
    <w:bookmarkStart w:id="4901" w:name="b4_annexA"/>
    <w:p w14:paraId="3CF4031E" w14:textId="77777777" w:rsidR="00AB3647" w:rsidRDefault="00000000" w:rsidP="007923E9">
      <w:pPr>
        <w:pStyle w:val="3"/>
        <w:pageBreakBefore w:val="0"/>
        <w:spacing w:line="276" w:lineRule="auto"/>
      </w:pPr>
      <w:r>
        <w:fldChar w:fldCharType="begin" w:dirty="true"/>
      </w:r>
      <w:r>
        <w:rPr>
          <w:rtl w:val="0"/>
        </w:rPr>
        <w:instrText>HYPERLINK \l "b4_note3</w:instrText>
      </w:r>
      <w:r>
        <w:instrText>"</w:instrText>
      </w:r>
      <w:r>
        <w:fldChar w:fldCharType="separate"/>
      </w:r>
      <w:r>
        <w:t>נספח א</w:t>
      </w:r>
      <w:r>
        <w:fldChar w:fldCharType="end"/>
      </w:r>
      <w:bookmarkEnd w:id="4900"/>
      <w:bookmarkEnd w:id="4901"/>
    </w:p>
    <w:p w14:paraId="78286864" w14:textId="77777777" w:rsidR="00AB3647" w:rsidRDefault="00000000" w:rsidP="007923E9">
      <w:pPr>
        <w:pStyle w:val="af"/>
        <w:spacing w:line="276" w:lineRule="auto"/>
      </w:pPr>
      <w:r>
        <w:t xml:space="preserve">על ידיעת הסבא בחלקי ההלכה שבש״ס ועל החומרות שהנהיג בתפילה בישיבת </w:t>
      </w:r>
      <w:proofErr w:type="spellStart"/>
      <w:r>
        <w:t>סלבודקה</w:t>
      </w:r>
      <w:proofErr w:type="spellEnd"/>
      <w:r>
        <w:t xml:space="preserve"> ושאומצו בישיבות אחרות</w:t>
      </w:r>
    </w:p>
    <w:p w14:paraId="4139C402" w14:textId="77777777" w:rsidR="00AB3647" w:rsidRDefault="00000000" w:rsidP="007923E9">
      <w:pPr>
        <w:pStyle w:val="4"/>
        <w:spacing w:line="276" w:lineRule="auto"/>
      </w:pPr>
      <w:r>
        <w:t>· הפסקה הראשונה ·</w:t>
      </w:r>
    </w:p>
    <w:p w14:paraId="602147FB" w14:textId="77777777" w:rsidR="00AB3647" w:rsidRDefault="00000000" w:rsidP="007923E9">
      <w:pPr>
        <w:pStyle w:val="5"/>
        <w:spacing w:line="276" w:lineRule="auto"/>
      </w:pPr>
      <w:r>
        <w:rPr>
          <w:bCs/>
          <w:szCs w:val="26"/>
        </w:rPr>
        <w:t>הסבא מעריך את למדנותו של כל תלמיד</w:t>
      </w:r>
    </w:p>
    <w:p w14:paraId="77D35E6B" w14:textId="7863A57B" w:rsidR="00AB3647" w:rsidRDefault="00000000" w:rsidP="007923E9">
      <w:pPr>
        <w:spacing w:after="120" w:line="276" w:lineRule="auto"/>
        <w:ind w:firstLine="283"/>
        <w:jc w:val="both"/>
      </w:pPr>
      <w:r>
        <w:rPr>
          <w:rtl/>
        </w:rPr>
        <w:t>השווה פרק 3, הערה 133. רשימותיו של ר׳ משה גרוסמן</w:t>
      </w:r>
      <w:bookmarkStart w:id="4902" w:name="_fnr3599"/>
      <w:r>
        <w:rPr>
          <w:vertAlign w:val="superscript"/>
          <w:rtl/>
        </w:rPr>
        <w:footnoteReference w:id="3607" w:customMarkFollows="0"/>
      </w:r>
      <w:bookmarkEnd w:id="4902"/>
      <w:r>
        <w:rPr>
          <w:rtl/>
        </w:rPr>
        <w:t xml:space="preserve"> מביאות בשם ר׳ </w:t>
      </w:r>
      <w:proofErr w:type="spellStart"/>
      <w:r>
        <w:rPr>
          <w:rtl/>
        </w:rPr>
        <w:t>יעקב־יצחק</w:t>
      </w:r>
      <w:proofErr w:type="spellEnd"/>
      <w:r>
        <w:rPr>
          <w:rtl/>
        </w:rPr>
        <w:t xml:space="preserve"> </w:t>
      </w:r>
      <w:proofErr w:type="spellStart"/>
      <w:r>
        <w:rPr>
          <w:rtl/>
        </w:rPr>
        <w:t>רודרמן</w:t>
      </w:r>
      <w:proofErr w:type="spellEnd"/>
      <w:r>
        <w:rPr>
          <w:rtl/>
        </w:rPr>
        <w:t xml:space="preserve"> </w:t>
      </w:r>
      <w:proofErr w:type="spellStart"/>
      <w:r>
        <w:rPr>
          <w:rtl/>
        </w:rPr>
        <w:t>ש“הטבריגר</w:t>
      </w:r>
      <w:proofErr w:type="spellEnd"/>
      <w:r>
        <w:rPr>
          <w:rtl/>
        </w:rPr>
        <w:t xml:space="preserve">”, ר׳ </w:t>
      </w:r>
      <w:proofErr w:type="spellStart"/>
      <w:r>
        <w:rPr>
          <w:rtl/>
        </w:rPr>
        <w:t>אברהם־אהרן</w:t>
      </w:r>
      <w:proofErr w:type="spellEnd"/>
      <w:r>
        <w:rPr>
          <w:rtl/>
        </w:rPr>
        <w:t xml:space="preserve"> </w:t>
      </w:r>
      <w:proofErr w:type="spellStart"/>
      <w:r>
        <w:rPr>
          <w:rtl/>
        </w:rPr>
        <w:t>בורשטין</w:t>
      </w:r>
      <w:proofErr w:type="spellEnd"/>
      <w:r>
        <w:rPr>
          <w:rtl/>
        </w:rPr>
        <w:t xml:space="preserve"> – מן הראשונים שמסרו שיעורים </w:t>
      </w:r>
      <w:proofErr w:type="spellStart"/>
      <w:r>
        <w:rPr>
          <w:rtl/>
        </w:rPr>
        <w:t>בסלבודקה</w:t>
      </w:r>
      <w:proofErr w:type="spellEnd"/>
      <w:r>
        <w:rPr>
          <w:rtl/>
        </w:rPr>
        <w:t>, ומתנגד למוסר</w:t>
      </w:r>
      <w:bookmarkStart w:id="4903" w:name="_fnr3600"/>
      <w:r>
        <w:rPr>
          <w:vertAlign w:val="superscript"/>
          <w:rtl/>
        </w:rPr>
        <w:footnoteReference w:id="3608" w:customMarkFollows="0"/>
      </w:r>
      <w:bookmarkEnd w:id="4903"/>
      <w:r>
        <w:rPr>
          <w:rtl/>
        </w:rPr>
        <w:t xml:space="preserve"> – אמר שהסבא </w:t>
      </w:r>
      <w:proofErr w:type="spellStart"/>
      <w:r>
        <w:rPr>
          <w:rtl/>
        </w:rPr>
        <w:t>מסלבודקה</w:t>
      </w:r>
      <w:proofErr w:type="spellEnd"/>
      <w:r>
        <w:rPr>
          <w:rtl/>
        </w:rPr>
        <w:t xml:space="preserve"> ידע במדויק את דרגת למדנותו של כל בחור ובחור. בספר הזיכרון לסבא </w:t>
      </w:r>
      <w:proofErr w:type="spellStart"/>
      <w:r>
        <w:rPr>
          <w:rtl/>
        </w:rPr>
        <w:t>מסלבודקה</w:t>
      </w:r>
      <w:proofErr w:type="spellEnd"/>
      <w:r>
        <w:rPr>
          <w:rtl/>
        </w:rPr>
        <w:t xml:space="preserve"> שערך ר׳ </w:t>
      </w:r>
      <w:proofErr w:type="spellStart"/>
      <w:r>
        <w:rPr>
          <w:rtl/>
        </w:rPr>
        <w:t>ישראל־זיסל</w:t>
      </w:r>
      <w:proofErr w:type="spellEnd"/>
      <w:r>
        <w:rPr>
          <w:rtl/>
        </w:rPr>
        <w:t xml:space="preserve"> </w:t>
      </w:r>
      <w:proofErr w:type="spellStart"/>
      <w:r>
        <w:rPr>
          <w:rtl/>
        </w:rPr>
        <w:t>דבורץ</w:t>
      </w:r>
      <w:bookmarkStart w:id="4904" w:name="_fnr3601"/>
      <w:proofErr w:type="spellEnd"/>
      <w:r>
        <w:rPr>
          <w:vertAlign w:val="superscript"/>
          <w:rtl/>
        </w:rPr>
        <w:footnoteReference w:id="3609" w:customMarkFollows="0"/>
      </w:r>
      <w:bookmarkEnd w:id="4904"/>
      <w:r>
        <w:rPr>
          <w:rtl/>
        </w:rPr>
        <w:t xml:space="preserve"> כותב העורך: “אחד הגאונים הגדולים, שהיה פעם מן המתנגדים הקיצוניים למוסר, אמר לי בלשון זו: חייבים אנו להודות שהסבא </w:t>
      </w:r>
      <w:proofErr w:type="spellStart"/>
      <w:r>
        <w:rPr>
          <w:rtl/>
        </w:rPr>
        <w:t>מסלבודקה</w:t>
      </w:r>
      <w:proofErr w:type="spellEnd"/>
      <w:r>
        <w:rPr>
          <w:rtl/>
        </w:rPr>
        <w:t xml:space="preserve"> היה מבין מיוחד בלמדנות”. לאור דברי ר׳ </w:t>
      </w:r>
      <w:proofErr w:type="spellStart"/>
      <w:r>
        <w:rPr>
          <w:rtl/>
        </w:rPr>
        <w:t>יעקב־יצחק</w:t>
      </w:r>
      <w:proofErr w:type="spellEnd"/>
      <w:r>
        <w:rPr>
          <w:rtl/>
        </w:rPr>
        <w:t xml:space="preserve"> </w:t>
      </w:r>
      <w:proofErr w:type="spellStart"/>
      <w:r>
        <w:rPr>
          <w:rtl/>
        </w:rPr>
        <w:t>רודרמן</w:t>
      </w:r>
      <w:proofErr w:type="spellEnd"/>
      <w:r>
        <w:rPr>
          <w:rtl/>
        </w:rPr>
        <w:t xml:space="preserve"> אפשר להניח שאותו “גאון גדול” שלא נזכר בשמו היה ר׳ </w:t>
      </w:r>
      <w:proofErr w:type="spellStart"/>
      <w:r>
        <w:rPr>
          <w:rtl/>
        </w:rPr>
        <w:t>אברהם־אהרן</w:t>
      </w:r>
      <w:proofErr w:type="spellEnd"/>
      <w:r>
        <w:rPr>
          <w:rtl/>
        </w:rPr>
        <w:t xml:space="preserve"> </w:t>
      </w:r>
      <w:proofErr w:type="spellStart"/>
      <w:r>
        <w:rPr>
          <w:rtl/>
        </w:rPr>
        <w:t>בורשטין</w:t>
      </w:r>
      <w:proofErr w:type="spellEnd"/>
      <w:r>
        <w:rPr>
          <w:rtl/>
        </w:rPr>
        <w:t xml:space="preserve"> (ראה פרק 3, </w:t>
      </w:r>
      <w:r>
        <w:rPr>
          <w:rtl/>
        </w:rPr>
        <w:fldChar w:fldCharType="begin" w:dirty="true"/>
      </w:r>
      <w:r>
        <w:rPr>
          <w:rtl/>
        </w:rPr>
        <w:instrText xml:space="preserve"> REF b3_excG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ז</w:t>
      </w:r>
      <w:r>
        <w:rPr>
          <w:rtl/>
        </w:rPr>
        <w:fldChar w:fldCharType="end"/>
      </w:r>
      <w:r>
        <w:rPr>
          <w:rtl/>
        </w:rPr>
        <w:t>).</w:t>
      </w:r>
    </w:p>
    <w:p w14:paraId="02DA20D7" w14:textId="77777777" w:rsidR="00AB3647" w:rsidRDefault="00000000" w:rsidP="007923E9">
      <w:pPr>
        <w:spacing w:after="120" w:line="276" w:lineRule="auto"/>
        <w:ind w:firstLine="283"/>
        <w:jc w:val="both"/>
      </w:pPr>
      <w:r>
        <w:rPr>
          <w:rtl/>
        </w:rPr>
        <w:t>השווה גם כץ, “תנועת המוסר”, כרך ג</w:t>
      </w:r>
      <w:bookmarkStart w:id="4905" w:name="_fnr3602"/>
      <w:r>
        <w:rPr>
          <w:vertAlign w:val="superscript"/>
          <w:rtl/>
        </w:rPr>
        <w:footnoteReference w:id="3610" w:customMarkFollows="0"/>
      </w:r>
      <w:bookmarkEnd w:id="4905"/>
      <w:r>
        <w:rPr>
          <w:rtl/>
        </w:rPr>
        <w:t xml:space="preserve">, המביא את עדותו של ר׳ </w:t>
      </w:r>
      <w:proofErr w:type="spellStart"/>
      <w:r>
        <w:rPr>
          <w:rtl/>
        </w:rPr>
        <w:t>איסר־זלמן</w:t>
      </w:r>
      <w:proofErr w:type="spellEnd"/>
      <w:r>
        <w:rPr>
          <w:rtl/>
        </w:rPr>
        <w:t xml:space="preserve"> מלצר על למדנותו המעולה של הסבא </w:t>
      </w:r>
      <w:proofErr w:type="spellStart"/>
      <w:r>
        <w:rPr>
          <w:rtl/>
        </w:rPr>
        <w:t>מסלבודקה</w:t>
      </w:r>
      <w:proofErr w:type="spellEnd"/>
      <w:r>
        <w:rPr>
          <w:rtl/>
        </w:rPr>
        <w:t>, ומציין</w:t>
      </w:r>
      <w:bookmarkStart w:id="4906" w:name="_fnr3603"/>
      <w:r>
        <w:rPr>
          <w:vertAlign w:val="superscript"/>
          <w:rtl/>
        </w:rPr>
        <w:footnoteReference w:id="3611" w:customMarkFollows="0"/>
      </w:r>
      <w:bookmarkEnd w:id="4906"/>
      <w:r>
        <w:rPr>
          <w:rtl/>
        </w:rPr>
        <w:t xml:space="preserve"> </w:t>
      </w:r>
      <w:proofErr w:type="spellStart"/>
      <w:r>
        <w:rPr>
          <w:rtl/>
        </w:rPr>
        <w:t>ש“מעניין</w:t>
      </w:r>
      <w:proofErr w:type="spellEnd"/>
      <w:r>
        <w:rPr>
          <w:rtl/>
        </w:rPr>
        <w:t>” שהסבא היה בוחן לפעמים תלמיד בלמדנות, כדי לעמוד על אפשרויות התפתחותו במוסר. ספר הזיכרון</w:t>
      </w:r>
      <w:bookmarkStart w:id="4907" w:name="_fnr3604"/>
      <w:r>
        <w:rPr>
          <w:vertAlign w:val="superscript"/>
          <w:rtl/>
        </w:rPr>
        <w:footnoteReference w:id="3612" w:customMarkFollows="0"/>
      </w:r>
      <w:bookmarkEnd w:id="4907"/>
      <w:r>
        <w:rPr>
          <w:rtl/>
        </w:rPr>
        <w:t xml:space="preserve"> קובע </w:t>
      </w:r>
      <w:proofErr w:type="spellStart"/>
      <w:r>
        <w:rPr>
          <w:rtl/>
        </w:rPr>
        <w:t>ש“כל</w:t>
      </w:r>
      <w:proofErr w:type="spellEnd"/>
      <w:r>
        <w:rPr>
          <w:rtl/>
        </w:rPr>
        <w:t xml:space="preserve"> מי שלמד בישיבה ידע שהסבא הכיר את טיב למדנותו של כל תלמיד ותלמיד. הוא ניתח בדקות רבה את מידת כישרונו וידיעותיו של כל אחד ואחד, טוב יותר מראשי הישיבה</w:t>
      </w:r>
      <w:bookmarkStart w:id="4908" w:name="_fnr3605"/>
      <w:r>
        <w:rPr>
          <w:vertAlign w:val="superscript"/>
          <w:rtl/>
        </w:rPr>
        <w:footnoteReference w:id="3613" w:customMarkFollows="0"/>
      </w:r>
      <w:bookmarkEnd w:id="4908"/>
      <w:r>
        <w:rPr>
          <w:rtl/>
        </w:rPr>
        <w:t xml:space="preserve"> בתחום הלמדנות”. לאור הדברים שבהערה 2 בפרק זה, ודאי תמהו התלמידים: כיצד יכול אדם להיות למדן אם אינו מקדיש זמן ללימוד?</w:t>
      </w:r>
    </w:p>
    <w:p w14:paraId="052A963A" w14:textId="77777777" w:rsidR="00AB3647" w:rsidRDefault="00000000" w:rsidP="007923E9">
      <w:pPr>
        <w:pStyle w:val="4"/>
        <w:spacing w:line="276" w:lineRule="auto"/>
      </w:pPr>
      <w:r>
        <w:lastRenderedPageBreak/>
        <w:t>· הפסקה השנייה ·</w:t>
      </w:r>
    </w:p>
    <w:p w14:paraId="4DD1D270" w14:textId="77777777" w:rsidR="00AB3647" w:rsidRDefault="00000000" w:rsidP="007923E9">
      <w:pPr>
        <w:pStyle w:val="5"/>
        <w:spacing w:line="276" w:lineRule="auto"/>
      </w:pPr>
      <w:r>
        <w:rPr>
          <w:bCs/>
          <w:szCs w:val="26"/>
        </w:rPr>
        <w:t>הסבא מדבר בלימוד</w:t>
      </w:r>
    </w:p>
    <w:p w14:paraId="0582F955" w14:textId="77777777" w:rsidR="00AB3647" w:rsidRDefault="00000000" w:rsidP="007923E9">
      <w:pPr>
        <w:spacing w:after="120" w:line="276" w:lineRule="auto"/>
        <w:ind w:firstLine="283"/>
        <w:jc w:val="both"/>
      </w:pPr>
      <w:r>
        <w:rPr>
          <w:rtl/>
        </w:rPr>
        <w:t xml:space="preserve">ר׳ צבי ברקוביץ המשיך כך את הסיפור שהובא בתחילת הערה 2 בפרק זה: כשסיפר לרבנו מה אמר ר׳ </w:t>
      </w:r>
      <w:proofErr w:type="spellStart"/>
      <w:r>
        <w:rPr>
          <w:rtl/>
        </w:rPr>
        <w:t>יעקב־יצחק</w:t>
      </w:r>
      <w:proofErr w:type="spellEnd"/>
      <w:r>
        <w:rPr>
          <w:rtl/>
        </w:rPr>
        <w:t xml:space="preserve"> </w:t>
      </w:r>
      <w:proofErr w:type="spellStart"/>
      <w:r>
        <w:rPr>
          <w:rtl/>
        </w:rPr>
        <w:t>רודרמן</w:t>
      </w:r>
      <w:proofErr w:type="spellEnd"/>
      <w:r>
        <w:rPr>
          <w:rtl/>
        </w:rPr>
        <w:t>, השיב אבי שאומנם הסבא מעולם לא נראה כשגמרא בידו, אבל הוא היה בקי בש״ס.</w:t>
      </w:r>
    </w:p>
    <w:p w14:paraId="0CA3F697" w14:textId="77777777" w:rsidR="00AB3647" w:rsidRDefault="00000000" w:rsidP="007923E9">
      <w:pPr>
        <w:spacing w:after="120" w:line="276" w:lineRule="auto"/>
        <w:ind w:firstLine="283"/>
        <w:jc w:val="both"/>
      </w:pPr>
      <w:r>
        <w:rPr>
          <w:rtl/>
        </w:rPr>
        <w:t xml:space="preserve">ר׳ יצחק </w:t>
      </w:r>
      <w:proofErr w:type="spellStart"/>
      <w:r>
        <w:rPr>
          <w:rtl/>
        </w:rPr>
        <w:t>שורין</w:t>
      </w:r>
      <w:proofErr w:type="spellEnd"/>
      <w:r>
        <w:rPr>
          <w:rtl/>
        </w:rPr>
        <w:t xml:space="preserve"> סיפר</w:t>
      </w:r>
      <w:bookmarkStart w:id="4909" w:name="_fnr3606"/>
      <w:r>
        <w:rPr>
          <w:vertAlign w:val="superscript"/>
          <w:rtl/>
        </w:rPr>
        <w:footnoteReference w:id="3614" w:customMarkFollows="0"/>
      </w:r>
      <w:bookmarkEnd w:id="4909"/>
      <w:r>
        <w:rPr>
          <w:rtl/>
        </w:rPr>
        <w:t xml:space="preserve"> שחזר בפני סבו, רבנו, על דברי ר׳ יצחק </w:t>
      </w:r>
      <w:proofErr w:type="spellStart"/>
      <w:r>
        <w:rPr>
          <w:rtl/>
        </w:rPr>
        <w:t>הוטנר</w:t>
      </w:r>
      <w:proofErr w:type="spellEnd"/>
      <w:r>
        <w:rPr>
          <w:rtl/>
        </w:rPr>
        <w:t xml:space="preserve"> למשגיח שמינה בישיבתו: “אינך צריך לדעת ללמוד טוב כל כך; אתה יכול להיות כאן כפי שהיה הסבא </w:t>
      </w:r>
      <w:proofErr w:type="spellStart"/>
      <w:r>
        <w:rPr>
          <w:rtl/>
        </w:rPr>
        <w:t>בסלבודקה</w:t>
      </w:r>
      <w:proofErr w:type="spellEnd"/>
      <w:r>
        <w:rPr>
          <w:rtl/>
        </w:rPr>
        <w:t xml:space="preserve">”. אבי חייך ואמר שהסבא ידע ללמוד טוב מאוד. רבנו סיפר שניצל את שאלות הסבא על שיעורו של ר׳ </w:t>
      </w:r>
      <w:proofErr w:type="spellStart"/>
      <w:r>
        <w:rPr>
          <w:rtl/>
        </w:rPr>
        <w:t>ברוך־בער</w:t>
      </w:r>
      <w:bookmarkStart w:id="4910" w:name="_fnr3607"/>
      <w:proofErr w:type="spellEnd"/>
      <w:r>
        <w:rPr>
          <w:vertAlign w:val="superscript"/>
          <w:rtl/>
        </w:rPr>
        <w:footnoteReference w:id="3615" w:customMarkFollows="0"/>
      </w:r>
      <w:bookmarkEnd w:id="4910"/>
      <w:r>
        <w:rPr>
          <w:rtl/>
        </w:rPr>
        <w:t xml:space="preserve"> כדי “לבחון” את הסבא </w:t>
      </w:r>
      <w:proofErr w:type="spellStart"/>
      <w:r>
        <w:rPr>
          <w:rtl/>
        </w:rPr>
        <w:t>מסלבודקה</w:t>
      </w:r>
      <w:proofErr w:type="spellEnd"/>
      <w:r>
        <w:rPr>
          <w:rtl/>
        </w:rPr>
        <w:t xml:space="preserve"> בלי שירגיש, ויכול היה “להעיד שהסבא ידע ש״ס עם פירוש רש״י, ואולי גם תוספות, מילה במילה”.</w:t>
      </w:r>
    </w:p>
    <w:p w14:paraId="0937C7FD" w14:textId="77777777" w:rsidR="00AB3647" w:rsidRDefault="00000000" w:rsidP="007923E9">
      <w:pPr>
        <w:spacing w:after="120" w:line="276" w:lineRule="auto"/>
        <w:ind w:firstLine="283"/>
        <w:jc w:val="both"/>
      </w:pPr>
      <w:r>
        <w:rPr>
          <w:rtl/>
        </w:rPr>
        <w:t>בני ר׳ יוסף אמר בהספד במלאות שנה לפטירת רבנו שהנפטר היה מצטער כשנשמעו השערות שהסבא לא היה בקי בלימודי ההלכה, והיה אומר שהעולם אינו יודע כמה גבוהה הייתה רמת ידיעותיו של הסבא, מפני שהסתירן מן הציבור. אבי סיפר שפעמים, כשהתווכחו שני בחורים בלהט על עניין בגמרא, היה הסבא אומר בשקט, בדרכו, באיזה תוספות בש״ס עליהם לעיין. ההפניה הייתה מוכיחה מי מן המתווכחים צדק, ושמה קץ לוויכוח.</w:t>
      </w:r>
    </w:p>
    <w:p w14:paraId="3BFFF32D" w14:textId="77777777" w:rsidR="00AB3647" w:rsidRDefault="00000000" w:rsidP="007923E9">
      <w:pPr>
        <w:spacing w:after="120" w:line="276" w:lineRule="auto"/>
        <w:ind w:firstLine="283"/>
        <w:jc w:val="both"/>
      </w:pPr>
      <w:r>
        <w:rPr>
          <w:rtl/>
        </w:rPr>
        <w:t>גם ר׳ ישעיה זינגר</w:t>
      </w:r>
      <w:bookmarkStart w:id="4911" w:name="_fnr3608"/>
      <w:r>
        <w:rPr>
          <w:vertAlign w:val="superscript"/>
          <w:rtl/>
        </w:rPr>
        <w:footnoteReference w:id="3616" w:customMarkFollows="0"/>
      </w:r>
      <w:bookmarkEnd w:id="4911"/>
      <w:r>
        <w:rPr>
          <w:rtl/>
        </w:rPr>
        <w:t xml:space="preserve"> סיפר שסבו ר׳ ראובן </w:t>
      </w:r>
      <w:proofErr w:type="spellStart"/>
      <w:r>
        <w:rPr>
          <w:rtl/>
        </w:rPr>
        <w:t>טרופ</w:t>
      </w:r>
      <w:proofErr w:type="spellEnd"/>
      <w:r>
        <w:rPr>
          <w:rtl/>
        </w:rPr>
        <w:t xml:space="preserve"> אמר לו ששמע מאביו, ר׳ נפתלי – שכמעט נעשה חתנו של הסבא, כמסופר בפסקה השנייה של נספח ג בפרק 3 – שר׳ </w:t>
      </w:r>
      <w:proofErr w:type="spellStart"/>
      <w:r>
        <w:rPr>
          <w:rtl/>
        </w:rPr>
        <w:t>נתן־צבי</w:t>
      </w:r>
      <w:proofErr w:type="spellEnd"/>
      <w:r>
        <w:rPr>
          <w:rtl/>
        </w:rPr>
        <w:t xml:space="preserve"> “דיבר בלימוד” עמו, ורק עמו. אפשר לשער שהסבא נתכוון בכך להבטיח </w:t>
      </w:r>
      <w:proofErr w:type="spellStart"/>
      <w:r>
        <w:rPr>
          <w:rtl/>
        </w:rPr>
        <w:t>לר</w:t>
      </w:r>
      <w:proofErr w:type="spellEnd"/>
      <w:r>
        <w:rPr>
          <w:rtl/>
        </w:rPr>
        <w:t>׳ נפתלי שהוא נושא בת תלמיד חכם, כפי שמורה התלמוד</w:t>
      </w:r>
      <w:bookmarkStart w:id="4912" w:name="_fnr3609"/>
      <w:r>
        <w:rPr>
          <w:vertAlign w:val="superscript"/>
          <w:rtl/>
        </w:rPr>
        <w:footnoteReference w:id="3617" w:customMarkFollows="0"/>
      </w:r>
      <w:bookmarkEnd w:id="4912"/>
      <w:r>
        <w:rPr>
          <w:rtl/>
        </w:rPr>
        <w:t>.</w:t>
      </w:r>
    </w:p>
    <w:p w14:paraId="6520DD03" w14:textId="77777777" w:rsidR="00AB3647" w:rsidRDefault="00000000" w:rsidP="007923E9">
      <w:pPr>
        <w:pStyle w:val="4"/>
        <w:spacing w:line="276" w:lineRule="auto"/>
      </w:pPr>
      <w:r>
        <w:t>· הפסקה השלישית ·</w:t>
      </w:r>
    </w:p>
    <w:p w14:paraId="38CBA9DC" w14:textId="77777777" w:rsidR="00AB3647" w:rsidRDefault="00000000" w:rsidP="007923E9">
      <w:pPr>
        <w:pStyle w:val="5"/>
        <w:spacing w:line="276" w:lineRule="auto"/>
      </w:pPr>
      <w:r>
        <w:rPr>
          <w:bCs/>
          <w:szCs w:val="26"/>
        </w:rPr>
        <w:t>הסבא לומד בחברותא בחלקו האחרון של הקיץ</w:t>
      </w:r>
    </w:p>
    <w:p w14:paraId="78403ABB" w14:textId="77777777" w:rsidR="00AB3647" w:rsidRDefault="00000000" w:rsidP="007923E9">
      <w:pPr>
        <w:spacing w:after="120" w:line="276" w:lineRule="auto"/>
        <w:ind w:firstLine="283"/>
        <w:jc w:val="both"/>
      </w:pPr>
      <w:r>
        <w:rPr>
          <w:rtl/>
        </w:rPr>
        <w:t>בני ר׳ יוסף סיפר</w:t>
      </w:r>
      <w:bookmarkStart w:id="4913" w:name="_fnr3610"/>
      <w:r>
        <w:rPr>
          <w:vertAlign w:val="superscript"/>
          <w:rtl/>
        </w:rPr>
        <w:footnoteReference w:id="3618" w:customMarkFollows="0"/>
      </w:r>
      <w:bookmarkEnd w:id="4913"/>
      <w:r>
        <w:rPr>
          <w:rtl/>
        </w:rPr>
        <w:t xml:space="preserve"> שרבנו אמר לו כי הסבא היה מגיע </w:t>
      </w:r>
      <w:proofErr w:type="spellStart"/>
      <w:r>
        <w:rPr>
          <w:rtl/>
        </w:rPr>
        <w:t>לסלבודקה</w:t>
      </w:r>
      <w:proofErr w:type="spellEnd"/>
      <w:r>
        <w:rPr>
          <w:rtl/>
        </w:rPr>
        <w:t xml:space="preserve"> באמצע אלול</w:t>
      </w:r>
      <w:bookmarkStart w:id="4914" w:name="_fnr3611"/>
      <w:r>
        <w:rPr>
          <w:vertAlign w:val="superscript"/>
          <w:rtl/>
        </w:rPr>
        <w:footnoteReference w:id="3619" w:customMarkFollows="0"/>
      </w:r>
      <w:bookmarkEnd w:id="4914"/>
      <w:r>
        <w:rPr>
          <w:rtl/>
        </w:rPr>
        <w:t xml:space="preserve">, מפני שמסוף הקיץ ועד אז היה שוהה בעיירה סידרה ולומד את סדרי נשים </w:t>
      </w:r>
      <w:proofErr w:type="spellStart"/>
      <w:r>
        <w:rPr>
          <w:rtl/>
        </w:rPr>
        <w:t>ונזיקין</w:t>
      </w:r>
      <w:proofErr w:type="spellEnd"/>
      <w:r>
        <w:rPr>
          <w:rtl/>
        </w:rPr>
        <w:t xml:space="preserve"> עם רב העיירה, ר׳ </w:t>
      </w:r>
      <w:proofErr w:type="spellStart"/>
      <w:r>
        <w:rPr>
          <w:rtl/>
        </w:rPr>
        <w:t>משה־גרשון</w:t>
      </w:r>
      <w:proofErr w:type="spellEnd"/>
      <w:r>
        <w:rPr>
          <w:rtl/>
        </w:rPr>
        <w:t xml:space="preserve"> </w:t>
      </w:r>
      <w:proofErr w:type="spellStart"/>
      <w:r>
        <w:rPr>
          <w:rtl/>
        </w:rPr>
        <w:t>מובשוביץ</w:t>
      </w:r>
      <w:proofErr w:type="spellEnd"/>
      <w:r>
        <w:rPr>
          <w:rtl/>
        </w:rPr>
        <w:t xml:space="preserve">. ר׳ </w:t>
      </w:r>
      <w:proofErr w:type="spellStart"/>
      <w:r>
        <w:rPr>
          <w:rtl/>
        </w:rPr>
        <w:t>משה־גרשון</w:t>
      </w:r>
      <w:proofErr w:type="spellEnd"/>
      <w:r>
        <w:rPr>
          <w:rtl/>
        </w:rPr>
        <w:t xml:space="preserve"> היה אביו של ר׳ דניאל</w:t>
      </w:r>
      <w:bookmarkStart w:id="4915" w:name="_fnr3612"/>
      <w:r>
        <w:rPr>
          <w:vertAlign w:val="superscript"/>
          <w:rtl/>
        </w:rPr>
        <w:footnoteReference w:id="3620" w:customMarkFollows="0"/>
      </w:r>
      <w:bookmarkEnd w:id="4915"/>
      <w:r>
        <w:rPr>
          <w:rtl/>
        </w:rPr>
        <w:t xml:space="preserve">, שנעשה לימים מנהל התלמוד תורה </w:t>
      </w:r>
      <w:proofErr w:type="spellStart"/>
      <w:r>
        <w:rPr>
          <w:rtl/>
        </w:rPr>
        <w:t>בקלם</w:t>
      </w:r>
      <w:proofErr w:type="spellEnd"/>
      <w:r>
        <w:rPr>
          <w:rtl/>
        </w:rPr>
        <w:t>.</w:t>
      </w:r>
    </w:p>
    <w:p w14:paraId="531A01A8" w14:textId="77777777" w:rsidR="00AB3647" w:rsidRDefault="00000000" w:rsidP="007923E9">
      <w:pPr>
        <w:spacing w:after="120" w:line="276" w:lineRule="auto"/>
        <w:ind w:firstLine="283"/>
        <w:jc w:val="both"/>
      </w:pPr>
      <w:r>
        <w:rPr>
          <w:rtl/>
        </w:rPr>
        <w:lastRenderedPageBreak/>
        <w:t xml:space="preserve">נכד אחר של רבנו, ר׳ יצחק </w:t>
      </w:r>
      <w:proofErr w:type="spellStart"/>
      <w:r>
        <w:rPr>
          <w:rtl/>
        </w:rPr>
        <w:t>שורין</w:t>
      </w:r>
      <w:proofErr w:type="spellEnd"/>
      <w:r>
        <w:rPr>
          <w:rtl/>
        </w:rPr>
        <w:t>, סיפר</w:t>
      </w:r>
      <w:bookmarkStart w:id="4916" w:name="_fnr3613"/>
      <w:r>
        <w:rPr>
          <w:vertAlign w:val="superscript"/>
          <w:rtl/>
        </w:rPr>
        <w:footnoteReference w:id="3621" w:customMarkFollows="0"/>
      </w:r>
      <w:bookmarkEnd w:id="4916"/>
      <w:r>
        <w:rPr>
          <w:rtl/>
        </w:rPr>
        <w:t xml:space="preserve"> בשם ר׳ שלמה </w:t>
      </w:r>
      <w:proofErr w:type="spellStart"/>
      <w:r>
        <w:rPr>
          <w:rtl/>
        </w:rPr>
        <w:t>וולבה</w:t>
      </w:r>
      <w:proofErr w:type="spellEnd"/>
      <w:r>
        <w:rPr>
          <w:rtl/>
        </w:rPr>
        <w:t xml:space="preserve"> שכאשר אמרו </w:t>
      </w:r>
      <w:proofErr w:type="spellStart"/>
      <w:r>
        <w:rPr>
          <w:rtl/>
        </w:rPr>
        <w:t>לר</w:t>
      </w:r>
      <w:proofErr w:type="spellEnd"/>
      <w:r>
        <w:rPr>
          <w:rtl/>
        </w:rPr>
        <w:t xml:space="preserve">׳ יצחק </w:t>
      </w:r>
      <w:proofErr w:type="spellStart"/>
      <w:r>
        <w:rPr>
          <w:rtl/>
        </w:rPr>
        <w:t>הוטנר</w:t>
      </w:r>
      <w:proofErr w:type="spellEnd"/>
      <w:r>
        <w:rPr>
          <w:rtl/>
        </w:rPr>
        <w:t xml:space="preserve"> שלדברי ר׳ מאיר חדש הסבא היה מקדיש את קיציו לקניית בקיאות, השיב: “</w:t>
      </w:r>
      <w:proofErr w:type="spellStart"/>
      <w:r>
        <w:rPr>
          <w:rtl/>
        </w:rPr>
        <w:t>לאקשען</w:t>
      </w:r>
      <w:proofErr w:type="spellEnd"/>
      <w:r>
        <w:rPr>
          <w:rtl/>
        </w:rPr>
        <w:t xml:space="preserve"> </w:t>
      </w:r>
      <w:proofErr w:type="spellStart"/>
      <w:r>
        <w:rPr>
          <w:rtl/>
        </w:rPr>
        <w:t>זאל</w:t>
      </w:r>
      <w:proofErr w:type="spellEnd"/>
      <w:r>
        <w:rPr>
          <w:rtl/>
        </w:rPr>
        <w:t xml:space="preserve"> ער עסן [שיאכל אטריות]</w:t>
      </w:r>
      <w:bookmarkStart w:id="4917" w:name="_fnr3614"/>
      <w:r>
        <w:rPr>
          <w:vertAlign w:val="superscript"/>
          <w:rtl/>
        </w:rPr>
        <w:footnoteReference w:id="3622" w:customMarkFollows="0"/>
      </w:r>
      <w:bookmarkEnd w:id="4917"/>
      <w:r>
        <w:rPr>
          <w:rtl/>
        </w:rPr>
        <w:t xml:space="preserve">! אז למד קבלה”. </w:t>
      </w:r>
      <w:proofErr w:type="spellStart"/>
      <w:r>
        <w:rPr>
          <w:rtl/>
        </w:rPr>
        <w:t>לר</w:t>
      </w:r>
      <w:proofErr w:type="spellEnd"/>
      <w:r>
        <w:rPr>
          <w:rtl/>
        </w:rPr>
        <w:t xml:space="preserve">׳ מאיר עצמו היה סדר לימוד קבוע עם הסבא בטור “לתקופה מסוימת”, כמובא </w:t>
      </w:r>
      <w:proofErr w:type="spellStart"/>
      <w:r>
        <w:rPr>
          <w:rtl/>
        </w:rPr>
        <w:t>ב“המאיר</w:t>
      </w:r>
      <w:proofErr w:type="spellEnd"/>
      <w:r>
        <w:rPr>
          <w:rtl/>
        </w:rPr>
        <w:t xml:space="preserve"> – ספר </w:t>
      </w:r>
      <w:proofErr w:type="spellStart"/>
      <w:r>
        <w:rPr>
          <w:rtl/>
        </w:rPr>
        <w:t>זכרון</w:t>
      </w:r>
      <w:proofErr w:type="spellEnd"/>
      <w:r>
        <w:rPr>
          <w:rtl/>
        </w:rPr>
        <w:t>”</w:t>
      </w:r>
      <w:bookmarkStart w:id="4918" w:name="_fnr3615"/>
      <w:r>
        <w:rPr>
          <w:vertAlign w:val="superscript"/>
          <w:rtl/>
        </w:rPr>
        <w:footnoteReference w:id="3623" w:customMarkFollows="0"/>
      </w:r>
      <w:bookmarkEnd w:id="4918"/>
      <w:r>
        <w:rPr>
          <w:rtl/>
        </w:rPr>
        <w:t xml:space="preserve">, ומסתבר שידע היטב כיצד היה הסבא </w:t>
      </w:r>
      <w:proofErr w:type="spellStart"/>
      <w:r>
        <w:rPr>
          <w:rtl/>
        </w:rPr>
        <w:t>מסלבודקה</w:t>
      </w:r>
      <w:proofErr w:type="spellEnd"/>
      <w:r>
        <w:rPr>
          <w:rtl/>
        </w:rPr>
        <w:t xml:space="preserve"> מבלה את קיציו.</w:t>
      </w:r>
    </w:p>
    <w:p w14:paraId="27BE6F43" w14:textId="77777777" w:rsidR="00AB3647" w:rsidRDefault="00000000" w:rsidP="007923E9">
      <w:pPr>
        <w:pStyle w:val="4"/>
        <w:spacing w:line="276" w:lineRule="auto"/>
      </w:pPr>
      <w:r>
        <w:t>· הפסקה הרביעית ·</w:t>
      </w:r>
    </w:p>
    <w:p w14:paraId="4FBF2007" w14:textId="77777777" w:rsidR="00AB3647" w:rsidRDefault="00000000" w:rsidP="007923E9">
      <w:pPr>
        <w:pStyle w:val="5"/>
        <w:spacing w:line="276" w:lineRule="auto"/>
      </w:pPr>
      <w:r>
        <w:rPr>
          <w:bCs/>
          <w:szCs w:val="26"/>
        </w:rPr>
        <w:t xml:space="preserve">בקיאות הסבא באורח חיים ומנהגי </w:t>
      </w:r>
      <w:proofErr w:type="spellStart"/>
      <w:r>
        <w:rPr>
          <w:bCs/>
          <w:szCs w:val="26"/>
        </w:rPr>
        <w:t>סלבודקה</w:t>
      </w:r>
      <w:proofErr w:type="spellEnd"/>
      <w:r>
        <w:rPr>
          <w:bCs/>
          <w:szCs w:val="26"/>
        </w:rPr>
        <w:t xml:space="preserve"> כראיה להלכה</w:t>
      </w:r>
    </w:p>
    <w:p w14:paraId="723C7957" w14:textId="77777777" w:rsidR="00AB3647" w:rsidRDefault="00000000" w:rsidP="007923E9">
      <w:pPr>
        <w:pStyle w:val="5"/>
        <w:spacing w:after="160" w:line="276" w:lineRule="auto"/>
      </w:pPr>
      <w:r>
        <w:rPr>
          <w:b/>
          <w:bCs/>
          <w:sz w:val="26"/>
          <w:szCs w:val="26"/>
        </w:rPr>
        <w:t>נוסח עלינו וקדושת מנהגי ישראל</w:t>
      </w:r>
    </w:p>
    <w:p w14:paraId="150805C7" w14:textId="77777777" w:rsidR="00AB3647" w:rsidRDefault="00000000" w:rsidP="007923E9">
      <w:pPr>
        <w:spacing w:after="120" w:line="276" w:lineRule="auto"/>
        <w:ind w:firstLine="283"/>
        <w:jc w:val="both"/>
      </w:pPr>
      <w:r>
        <w:rPr>
          <w:rtl/>
        </w:rPr>
        <w:t xml:space="preserve">גם ר׳ </w:t>
      </w:r>
      <w:proofErr w:type="spellStart"/>
      <w:r>
        <w:rPr>
          <w:rtl/>
        </w:rPr>
        <w:t>יעקב־יצחק</w:t>
      </w:r>
      <w:proofErr w:type="spellEnd"/>
      <w:r>
        <w:rPr>
          <w:rtl/>
        </w:rPr>
        <w:t xml:space="preserve"> </w:t>
      </w:r>
      <w:proofErr w:type="spellStart"/>
      <w:r>
        <w:rPr>
          <w:rtl/>
        </w:rPr>
        <w:t>רודרמן</w:t>
      </w:r>
      <w:proofErr w:type="spellEnd"/>
      <w:r>
        <w:rPr>
          <w:rtl/>
        </w:rPr>
        <w:t xml:space="preserve"> וגם אבי אמרו </w:t>
      </w:r>
      <w:proofErr w:type="spellStart"/>
      <w:r>
        <w:rPr>
          <w:rtl/>
        </w:rPr>
        <w:t>לר</w:t>
      </w:r>
      <w:proofErr w:type="spellEnd"/>
      <w:r>
        <w:rPr>
          <w:rtl/>
        </w:rPr>
        <w:t xml:space="preserve">׳ צבי ברקוביץ </w:t>
      </w:r>
      <w:proofErr w:type="spellStart"/>
      <w:r>
        <w:rPr>
          <w:rtl/>
        </w:rPr>
        <w:t>ש“הסבא</w:t>
      </w:r>
      <w:proofErr w:type="spellEnd"/>
      <w:r>
        <w:rPr>
          <w:rtl/>
        </w:rPr>
        <w:t xml:space="preserve"> ידע לספור אותיות בחלק אורח חיים של השולחן ערוך”. על בקיאותו בחלק זה כתב תלמידו ר׳ אברהם </w:t>
      </w:r>
      <w:proofErr w:type="spellStart"/>
      <w:r>
        <w:rPr>
          <w:rtl/>
        </w:rPr>
        <w:t>גרודזינסקי</w:t>
      </w:r>
      <w:bookmarkStart w:id="4919" w:name="_fnr3616"/>
      <w:proofErr w:type="spellEnd"/>
      <w:r>
        <w:rPr>
          <w:vertAlign w:val="superscript"/>
          <w:rtl/>
        </w:rPr>
        <w:footnoteReference w:id="3624" w:customMarkFollows="0"/>
      </w:r>
      <w:bookmarkEnd w:id="4919"/>
      <w:r>
        <w:rPr>
          <w:rtl/>
        </w:rPr>
        <w:t xml:space="preserve">: “יודע הי׳ רבנו את </w:t>
      </w:r>
      <w:proofErr w:type="spellStart"/>
      <w:r>
        <w:rPr>
          <w:rtl/>
        </w:rPr>
        <w:t>שו״ע</w:t>
      </w:r>
      <w:proofErr w:type="spellEnd"/>
      <w:r>
        <w:rPr>
          <w:rtl/>
        </w:rPr>
        <w:t xml:space="preserve"> </w:t>
      </w:r>
      <w:proofErr w:type="spellStart"/>
      <w:r>
        <w:rPr>
          <w:rtl/>
        </w:rPr>
        <w:t>או״ח</w:t>
      </w:r>
      <w:proofErr w:type="spellEnd"/>
      <w:r>
        <w:rPr>
          <w:rtl/>
        </w:rPr>
        <w:t xml:space="preserve"> ידיעה גאונית: הטור </w:t>
      </w:r>
      <w:proofErr w:type="spellStart"/>
      <w:r>
        <w:rPr>
          <w:rtl/>
        </w:rPr>
        <w:t>והשו״ע</w:t>
      </w:r>
      <w:proofErr w:type="spellEnd"/>
      <w:r>
        <w:rPr>
          <w:rtl/>
        </w:rPr>
        <w:t xml:space="preserve"> רמב״ם ונושאי כליהם עד אחרוני אחרונים שגורים היו אצלו בעל פה”. הוא ציין עוד</w:t>
      </w:r>
      <w:bookmarkStart w:id="4920" w:name="_fnr3617"/>
      <w:r>
        <w:rPr>
          <w:vertAlign w:val="superscript"/>
          <w:rtl/>
        </w:rPr>
        <w:footnoteReference w:id="3625" w:customMarkFollows="0"/>
      </w:r>
      <w:bookmarkEnd w:id="4920"/>
      <w:r>
        <w:rPr>
          <w:rtl/>
        </w:rPr>
        <w:t xml:space="preserve"> שבזכות ידיעתו המקיפה באורח חיים הנהיג הסבא בישיבתו סדרי תפילה שאומצו לימים בישיבות אחרות, ובהם חומרות שרבים לא הקפידו עליהן, כגון עמידה בקדיש, בקריאת התורה ובחזרת הש״ץ. “הוא דן ובירר את מקורו של כל פרט בהלכה זו [מתי חייבים לעמוד]; תלמידי הישיבה נעשו בקיאים בהלכות תפילה מתוך שיחותיו”, מסיים הרב </w:t>
      </w:r>
      <w:proofErr w:type="spellStart"/>
      <w:r>
        <w:rPr>
          <w:rtl/>
        </w:rPr>
        <w:t>גרודזינסקי</w:t>
      </w:r>
      <w:proofErr w:type="spellEnd"/>
      <w:r>
        <w:rPr>
          <w:rtl/>
        </w:rPr>
        <w:t>. השווה גם כץ, “תנועת המוסר”, כרך ג</w:t>
      </w:r>
      <w:bookmarkStart w:id="4921" w:name="_fnr3618"/>
      <w:r>
        <w:rPr>
          <w:vertAlign w:val="superscript"/>
          <w:rtl/>
        </w:rPr>
        <w:footnoteReference w:id="3626" w:customMarkFollows="0"/>
      </w:r>
      <w:bookmarkEnd w:id="4921"/>
      <w:r>
        <w:rPr>
          <w:rtl/>
        </w:rPr>
        <w:t>, על שאלתו ההלכתית של הסבא בדבר בכייה ביום טוב כשפקד אותו אסון – שאלה המלמדת על גישתו הלמדנית לאורח חיים.</w:t>
      </w:r>
    </w:p>
    <w:p w14:paraId="6FD270D7" w14:textId="77777777" w:rsidR="00AB3647" w:rsidRDefault="00000000" w:rsidP="007923E9">
      <w:pPr>
        <w:spacing w:after="120" w:line="276" w:lineRule="auto"/>
        <w:ind w:firstLine="283"/>
        <w:jc w:val="both"/>
      </w:pPr>
      <w:r>
        <w:rPr>
          <w:rtl/>
        </w:rPr>
        <w:t>הקורא ימצא עניין בחילופי דברים בין ר׳ ישעיה שכטר</w:t>
      </w:r>
      <w:bookmarkStart w:id="4922" w:name="_fnr3619"/>
      <w:r>
        <w:rPr>
          <w:vertAlign w:val="superscript"/>
          <w:rtl/>
        </w:rPr>
        <w:footnoteReference w:id="3627" w:customMarkFollows="0"/>
      </w:r>
      <w:bookmarkEnd w:id="4922"/>
      <w:r>
        <w:rPr>
          <w:rtl/>
        </w:rPr>
        <w:t xml:space="preserve"> ובין רבנו, סב אשתו. ר׳ ישעיה הביא בשם ראש ישיבה “ליטאי” שאין ראוי לומר תהלים בלילה בעד חולים. אבי השיב: “</w:t>
      </w:r>
      <w:proofErr w:type="spellStart"/>
      <w:r>
        <w:rPr>
          <w:rtl/>
        </w:rPr>
        <w:t>בסלבודקה</w:t>
      </w:r>
      <w:proofErr w:type="spellEnd"/>
      <w:r>
        <w:rPr>
          <w:rtl/>
        </w:rPr>
        <w:t xml:space="preserve"> אמרנו תהלים בלילה</w:t>
      </w:r>
      <w:bookmarkStart w:id="4923" w:name="_fnr3620"/>
      <w:r>
        <w:rPr>
          <w:vertAlign w:val="superscript"/>
          <w:rtl/>
        </w:rPr>
        <w:footnoteReference w:id="3628" w:customMarkFollows="0"/>
      </w:r>
      <w:bookmarkEnd w:id="4923"/>
      <w:r>
        <w:rPr>
          <w:rtl/>
        </w:rPr>
        <w:t xml:space="preserve">, והסבא ידע </w:t>
      </w:r>
      <w:proofErr w:type="spellStart"/>
      <w:r>
        <w:rPr>
          <w:rtl/>
        </w:rPr>
        <w:t>וואס</w:t>
      </w:r>
      <w:proofErr w:type="spellEnd"/>
      <w:r>
        <w:rPr>
          <w:rtl/>
        </w:rPr>
        <w:t xml:space="preserve"> </w:t>
      </w:r>
      <w:proofErr w:type="spellStart"/>
      <w:r>
        <w:rPr>
          <w:rtl/>
        </w:rPr>
        <w:t>עס</w:t>
      </w:r>
      <w:proofErr w:type="spellEnd"/>
      <w:r>
        <w:rPr>
          <w:rtl/>
        </w:rPr>
        <w:t xml:space="preserve"> </w:t>
      </w:r>
      <w:proofErr w:type="spellStart"/>
      <w:r>
        <w:rPr>
          <w:rtl/>
        </w:rPr>
        <w:t>טוהט</w:t>
      </w:r>
      <w:proofErr w:type="spellEnd"/>
      <w:r>
        <w:rPr>
          <w:rtl/>
        </w:rPr>
        <w:t xml:space="preserve"> </w:t>
      </w:r>
      <w:proofErr w:type="spellStart"/>
      <w:r>
        <w:rPr>
          <w:rtl/>
        </w:rPr>
        <w:t>זיך</w:t>
      </w:r>
      <w:proofErr w:type="spellEnd"/>
      <w:r>
        <w:rPr>
          <w:rtl/>
        </w:rPr>
        <w:t xml:space="preserve"> אין הימעל [מה מתרחש בשמים] טוב יותר מאותו ראש ישיבה”.</w:t>
      </w:r>
    </w:p>
    <w:p w14:paraId="773FE83B" w14:textId="77777777" w:rsidR="00AB3647" w:rsidRDefault="00000000" w:rsidP="007923E9">
      <w:pPr>
        <w:spacing w:after="120" w:line="276" w:lineRule="auto"/>
        <w:ind w:firstLine="283"/>
        <w:jc w:val="both"/>
      </w:pPr>
      <w:r>
        <w:rPr>
          <w:rtl/>
        </w:rPr>
        <w:t xml:space="preserve">הערה מעניינת נוספת שמע ר׳ שלמה </w:t>
      </w:r>
      <w:proofErr w:type="spellStart"/>
      <w:r>
        <w:rPr>
          <w:rtl/>
        </w:rPr>
        <w:t>ברסלאואר</w:t>
      </w:r>
      <w:bookmarkStart w:id="4924" w:name="_fnr3621"/>
      <w:proofErr w:type="spellEnd"/>
      <w:r>
        <w:rPr>
          <w:vertAlign w:val="superscript"/>
          <w:rtl/>
        </w:rPr>
        <w:footnoteReference w:id="3629" w:customMarkFollows="0"/>
      </w:r>
      <w:bookmarkEnd w:id="4924"/>
      <w:r>
        <w:rPr>
          <w:rtl/>
        </w:rPr>
        <w:t xml:space="preserve"> מאבי, כששאלו אם יש לומר במניין את הקדושה של “ואתה קדוש” במוצאי שבת, כמו קדושה </w:t>
      </w:r>
      <w:proofErr w:type="spellStart"/>
      <w:r>
        <w:rPr>
          <w:rtl/>
        </w:rPr>
        <w:t>דסידרא</w:t>
      </w:r>
      <w:proofErr w:type="spellEnd"/>
      <w:r>
        <w:rPr>
          <w:rtl/>
        </w:rPr>
        <w:t xml:space="preserve"> בבקרים של ימות החול. אבי השיב ששמע בשם אדמו״ר חסידי ידוע שאין צורך בכך, אבל מאחר </w:t>
      </w:r>
      <w:proofErr w:type="spellStart"/>
      <w:r>
        <w:rPr>
          <w:rtl/>
        </w:rPr>
        <w:t>שבסלבודקה</w:t>
      </w:r>
      <w:proofErr w:type="spellEnd"/>
      <w:r>
        <w:rPr>
          <w:rtl/>
        </w:rPr>
        <w:t xml:space="preserve"> אמרו אותה </w:t>
      </w:r>
      <w:r>
        <w:rPr>
          <w:rtl/>
        </w:rPr>
        <w:lastRenderedPageBreak/>
        <w:t xml:space="preserve">יחד, “ושם” – כלומר הסבא, שקבע את הסדרים בעניינים אלו, כאמור לעיל – “התעמקו בהלכה”, יש לאומרה במניין. באותה שעה סיפר אבי </w:t>
      </w:r>
      <w:proofErr w:type="spellStart"/>
      <w:r>
        <w:rPr>
          <w:rtl/>
        </w:rPr>
        <w:t>שבסלבודקה</w:t>
      </w:r>
      <w:proofErr w:type="spellEnd"/>
      <w:r>
        <w:rPr>
          <w:rtl/>
        </w:rPr>
        <w:t xml:space="preserve"> אמרו את הפיוטים של יום טוב אחרי חזרת הש״ץ, והוסיף: “כמה תלמידים אמרו את הפיוטים, ואחרים שוחחו”</w:t>
      </w:r>
      <w:bookmarkStart w:id="4925" w:name="_fnr3622"/>
      <w:r>
        <w:rPr>
          <w:vertAlign w:val="superscript"/>
          <w:rtl/>
        </w:rPr>
        <w:footnoteReference w:id="3630" w:customMarkFollows="0"/>
      </w:r>
      <w:bookmarkEnd w:id="4925"/>
      <w:r>
        <w:rPr>
          <w:rtl/>
        </w:rPr>
        <w:t>.</w:t>
      </w:r>
    </w:p>
    <w:p w14:paraId="69BD10A6" w14:textId="77777777" w:rsidR="00AB3647" w:rsidRDefault="00000000" w:rsidP="007923E9">
      <w:pPr>
        <w:spacing w:after="120" w:line="276" w:lineRule="auto"/>
        <w:ind w:firstLine="283"/>
        <w:jc w:val="both"/>
      </w:pPr>
      <w:r>
        <w:rPr>
          <w:rtl/>
        </w:rPr>
        <w:t xml:space="preserve">כאשר סיפר ר׳ אברהם פישמן שבישיבת </w:t>
      </w:r>
      <w:proofErr w:type="spellStart"/>
      <w:r>
        <w:rPr>
          <w:rtl/>
        </w:rPr>
        <w:t>טלז</w:t>
      </w:r>
      <w:proofErr w:type="spellEnd"/>
      <w:r>
        <w:rPr>
          <w:rtl/>
        </w:rPr>
        <w:t xml:space="preserve"> </w:t>
      </w:r>
      <w:proofErr w:type="spellStart"/>
      <w:r>
        <w:rPr>
          <w:rtl/>
        </w:rPr>
        <w:t>שבקליבלנד</w:t>
      </w:r>
      <w:proofErr w:type="spellEnd"/>
      <w:r>
        <w:rPr>
          <w:rtl/>
        </w:rPr>
        <w:t xml:space="preserve"> נטל ר׳ </w:t>
      </w:r>
      <w:proofErr w:type="spellStart"/>
      <w:r>
        <w:rPr>
          <w:rtl/>
        </w:rPr>
        <w:t>אליהו־מאיר</w:t>
      </w:r>
      <w:proofErr w:type="spellEnd"/>
      <w:r>
        <w:rPr>
          <w:rtl/>
        </w:rPr>
        <w:t xml:space="preserve"> בלוך את ספרי התורה אל הנשים כדי שינשקו אותם בשמחת תורה</w:t>
      </w:r>
      <w:bookmarkStart w:id="4926" w:name="_fnr3623"/>
      <w:r>
        <w:rPr>
          <w:vertAlign w:val="superscript"/>
          <w:rtl/>
        </w:rPr>
        <w:footnoteReference w:id="3631" w:customMarkFollows="0"/>
      </w:r>
      <w:bookmarkEnd w:id="4926"/>
      <w:r>
        <w:rPr>
          <w:rtl/>
        </w:rPr>
        <w:t xml:space="preserve">, אמר אבי שגם </w:t>
      </w:r>
      <w:proofErr w:type="spellStart"/>
      <w:r>
        <w:rPr>
          <w:rtl/>
        </w:rPr>
        <w:t>בסלבודקה</w:t>
      </w:r>
      <w:proofErr w:type="spellEnd"/>
      <w:r>
        <w:rPr>
          <w:rtl/>
        </w:rPr>
        <w:t xml:space="preserve"> נהגו כך – כלומר, שמנהג זה כשר ותקף. הוא הוסיף שמצא את מקורו בפיוט “שישו ושמחו בשמחת תורה”, המתאר את אלה ששמחו בשמחת תורה לפני שלמה המלך (הראשון שנודע ששמח בה) בלשון “תורה היא עץ חיים, כולם חיים” – ובכלל זה נשים, בהתאם לשאלה הרטורית שבמסכת קידושין</w:t>
      </w:r>
      <w:bookmarkStart w:id="4927" w:name="_fnr3624"/>
      <w:r>
        <w:rPr>
          <w:vertAlign w:val="superscript"/>
          <w:rtl/>
        </w:rPr>
        <w:footnoteReference w:id="3632" w:customMarkFollows="0"/>
      </w:r>
      <w:bookmarkEnd w:id="4927"/>
      <w:r>
        <w:rPr>
          <w:rtl/>
        </w:rPr>
        <w:t xml:space="preserve"> על הפסוק “למען ירבו ימיכם”</w:t>
      </w:r>
      <w:bookmarkStart w:id="4928" w:name="_fnr3625"/>
      <w:r>
        <w:rPr>
          <w:vertAlign w:val="superscript"/>
          <w:rtl/>
        </w:rPr>
        <w:footnoteReference w:id="3633" w:customMarkFollows="0"/>
      </w:r>
      <w:bookmarkEnd w:id="4928"/>
      <w:r>
        <w:rPr>
          <w:rtl/>
        </w:rPr>
        <w:t>: גברי בעי חיי, נשי לא בעי חיי?!</w:t>
      </w:r>
    </w:p>
    <w:p w14:paraId="15349BD4" w14:textId="77777777" w:rsidR="00AB3647" w:rsidRDefault="00000000" w:rsidP="007923E9">
      <w:pPr>
        <w:spacing w:after="120" w:line="276" w:lineRule="auto"/>
        <w:ind w:firstLine="283"/>
        <w:jc w:val="both"/>
      </w:pPr>
      <w:r>
        <w:rPr>
          <w:rtl/>
        </w:rPr>
        <w:t xml:space="preserve">כיוצא בזה, כששאל ר׳ ישראל </w:t>
      </w:r>
      <w:proofErr w:type="spellStart"/>
      <w:r>
        <w:rPr>
          <w:rtl/>
        </w:rPr>
        <w:t>בלסקי</w:t>
      </w:r>
      <w:bookmarkStart w:id="4929" w:name="_fnr3626"/>
      <w:proofErr w:type="spellEnd"/>
      <w:r>
        <w:rPr>
          <w:vertAlign w:val="superscript"/>
          <w:rtl/>
        </w:rPr>
        <w:footnoteReference w:id="3634" w:customMarkFollows="0"/>
      </w:r>
      <w:bookmarkEnd w:id="4929"/>
      <w:r>
        <w:rPr>
          <w:rtl/>
        </w:rPr>
        <w:t xml:space="preserve"> את אבי אם צריך לומר בתפילת “עלינו” את המילים “שהם </w:t>
      </w:r>
      <w:proofErr w:type="spellStart"/>
      <w:r>
        <w:rPr>
          <w:rtl/>
        </w:rPr>
        <w:t>משתחוים</w:t>
      </w:r>
      <w:proofErr w:type="spellEnd"/>
      <w:r>
        <w:rPr>
          <w:rtl/>
        </w:rPr>
        <w:t xml:space="preserve"> להבל </w:t>
      </w:r>
      <w:proofErr w:type="spellStart"/>
      <w:r>
        <w:rPr>
          <w:rtl/>
        </w:rPr>
        <w:t>וכו</w:t>
      </w:r>
      <w:proofErr w:type="spellEnd"/>
      <w:r>
        <w:rPr>
          <w:rtl/>
        </w:rPr>
        <w:t xml:space="preserve">׳”, השיב: “בוודאי צריך לומר אותן: ר׳ דוד </w:t>
      </w:r>
      <w:proofErr w:type="spellStart"/>
      <w:r>
        <w:rPr>
          <w:rtl/>
        </w:rPr>
        <w:t>ליבוביץ</w:t>
      </w:r>
      <w:proofErr w:type="spellEnd"/>
      <w:r>
        <w:rPr>
          <w:rtl/>
        </w:rPr>
        <w:t xml:space="preserve">, שהיה שליח הציבור במוסף של ראש השנה </w:t>
      </w:r>
      <w:proofErr w:type="spellStart"/>
      <w:r>
        <w:rPr>
          <w:rtl/>
        </w:rPr>
        <w:t>בסלבודקה</w:t>
      </w:r>
      <w:proofErr w:type="spellEnd"/>
      <w:r>
        <w:rPr>
          <w:rtl/>
        </w:rPr>
        <w:t xml:space="preserve">, אמר אותן”. הוא הוסיף שהנוסח שנהג שם היה “שהם </w:t>
      </w:r>
      <w:proofErr w:type="spellStart"/>
      <w:r>
        <w:rPr>
          <w:rtl/>
        </w:rPr>
        <w:t>משתחוים</w:t>
      </w:r>
      <w:proofErr w:type="spellEnd"/>
      <w:r>
        <w:rPr>
          <w:rtl/>
        </w:rPr>
        <w:t xml:space="preserve"> </w:t>
      </w:r>
      <w:r>
        <w:rPr>
          <w:bCs/>
          <w:rtl/>
        </w:rPr>
        <w:t xml:space="preserve">להבל </w:t>
      </w:r>
      <w:r>
        <w:rPr>
          <w:b/>
          <w:bCs/>
          <w:rtl/>
        </w:rPr>
        <w:t>וריק</w:t>
      </w:r>
      <w:r>
        <w:rPr>
          <w:rtl/>
        </w:rPr>
        <w:t xml:space="preserve"> ומתפללים </w:t>
      </w:r>
      <w:r>
        <w:rPr>
          <w:b/>
          <w:bCs/>
          <w:rtl/>
        </w:rPr>
        <w:t>לאל לא</w:t>
      </w:r>
      <w:r>
        <w:rPr>
          <w:bCs/>
          <w:rtl/>
        </w:rPr>
        <w:t xml:space="preserve"> יושיע</w:t>
      </w:r>
      <w:r>
        <w:rPr>
          <w:rtl/>
        </w:rPr>
        <w:t xml:space="preserve">”, והמילים המודגשות שוות </w:t>
      </w:r>
      <w:proofErr w:type="spellStart"/>
      <w:r>
        <w:rPr>
          <w:rtl/>
        </w:rPr>
        <w:t>בגימטריה</w:t>
      </w:r>
      <w:proofErr w:type="spellEnd"/>
      <w:r>
        <w:rPr>
          <w:rtl/>
        </w:rPr>
        <w:t xml:space="preserve"> </w:t>
      </w:r>
      <w:proofErr w:type="spellStart"/>
      <w:r>
        <w:rPr>
          <w:rtl/>
        </w:rPr>
        <w:t>ל“ישו</w:t>
      </w:r>
      <w:proofErr w:type="spellEnd"/>
      <w:r>
        <w:rPr>
          <w:rtl/>
        </w:rPr>
        <w:t xml:space="preserve">” </w:t>
      </w:r>
      <w:proofErr w:type="spellStart"/>
      <w:r>
        <w:rPr>
          <w:rtl/>
        </w:rPr>
        <w:t>ול“מחמד</w:t>
      </w:r>
      <w:proofErr w:type="spellEnd"/>
      <w:r>
        <w:rPr>
          <w:rtl/>
        </w:rPr>
        <w:t>”, הדמויות המרכזיות בשתי הדתות שבין מאמיניהן פזורים רוב היהודים</w:t>
      </w:r>
      <w:bookmarkStart w:id="4930" w:name="_fnr3627"/>
      <w:r>
        <w:rPr>
          <w:vertAlign w:val="superscript"/>
          <w:rtl/>
        </w:rPr>
        <w:footnoteReference w:id="3635" w:customMarkFollows="0"/>
      </w:r>
      <w:bookmarkEnd w:id="4930"/>
      <w:r>
        <w:rPr>
          <w:rtl/>
        </w:rPr>
        <w:t>. עוד אמר אבי שלדעתו כמה קהילות בימינו שרות יחד את תחילת תפילת “עלינו” כדי להראות בחנופה שהקהל משמיט את המילים המגנות את דתות העמים האחרים, להבדיל</w:t>
      </w:r>
      <w:bookmarkStart w:id="4931" w:name="_fnr3628"/>
      <w:r>
        <w:rPr>
          <w:vertAlign w:val="superscript"/>
          <w:rtl/>
        </w:rPr>
        <w:footnoteReference w:id="3636" w:customMarkFollows="0"/>
      </w:r>
      <w:bookmarkEnd w:id="4931"/>
      <w:r>
        <w:rPr>
          <w:rtl/>
        </w:rPr>
        <w:t>.</w:t>
      </w:r>
    </w:p>
    <w:p w14:paraId="1E4AE098" w14:textId="77777777" w:rsidR="00AB3647" w:rsidRDefault="00000000" w:rsidP="007923E9">
      <w:pPr>
        <w:spacing w:after="120" w:line="276" w:lineRule="auto"/>
        <w:ind w:firstLine="283"/>
        <w:jc w:val="both"/>
      </w:pPr>
      <w:r>
        <w:rPr>
          <w:rtl/>
        </w:rPr>
        <w:t xml:space="preserve">השווה גם מאמרו של ר׳ </w:t>
      </w:r>
      <w:proofErr w:type="spellStart"/>
      <w:r>
        <w:rPr>
          <w:rtl/>
        </w:rPr>
        <w:t>מנחם־מנדל</w:t>
      </w:r>
      <w:proofErr w:type="spellEnd"/>
      <w:r>
        <w:rPr>
          <w:rtl/>
        </w:rPr>
        <w:t xml:space="preserve"> שוק </w:t>
      </w:r>
      <w:proofErr w:type="spellStart"/>
      <w:r>
        <w:rPr>
          <w:rtl/>
        </w:rPr>
        <w:t>ב“מוריה</w:t>
      </w:r>
      <w:proofErr w:type="spellEnd"/>
      <w:r>
        <w:rPr>
          <w:rtl/>
        </w:rPr>
        <w:t>”</w:t>
      </w:r>
      <w:bookmarkStart w:id="4932" w:name="_fnr3629"/>
      <w:r>
        <w:rPr>
          <w:vertAlign w:val="superscript"/>
          <w:rtl/>
        </w:rPr>
        <w:footnoteReference w:id="3637" w:customMarkFollows="0"/>
      </w:r>
      <w:bookmarkEnd w:id="4932"/>
      <w:r>
        <w:rPr>
          <w:rtl/>
        </w:rPr>
        <w:t xml:space="preserve">: “יש לדעת זאת: בני הישיבות בליטא, כגון </w:t>
      </w:r>
      <w:proofErr w:type="spellStart"/>
      <w:r>
        <w:rPr>
          <w:rtl/>
        </w:rPr>
        <w:t>בסלבודקה</w:t>
      </w:r>
      <w:proofErr w:type="spellEnd"/>
      <w:r>
        <w:rPr>
          <w:rtl/>
        </w:rPr>
        <w:t xml:space="preserve">, </w:t>
      </w:r>
      <w:proofErr w:type="spellStart"/>
      <w:r>
        <w:rPr>
          <w:rtl/>
        </w:rPr>
        <w:t>במיר</w:t>
      </w:r>
      <w:proofErr w:type="spellEnd"/>
      <w:r>
        <w:rPr>
          <w:rtl/>
        </w:rPr>
        <w:t xml:space="preserve">, </w:t>
      </w:r>
      <w:proofErr w:type="spellStart"/>
      <w:r>
        <w:rPr>
          <w:rtl/>
        </w:rPr>
        <w:t>בסלוצק</w:t>
      </w:r>
      <w:proofErr w:type="spellEnd"/>
      <w:r>
        <w:rPr>
          <w:rtl/>
        </w:rPr>
        <w:t xml:space="preserve">, </w:t>
      </w:r>
      <w:proofErr w:type="spellStart"/>
      <w:r>
        <w:rPr>
          <w:rtl/>
        </w:rPr>
        <w:t>בראדין</w:t>
      </w:r>
      <w:proofErr w:type="spellEnd"/>
      <w:r>
        <w:rPr>
          <w:rtl/>
        </w:rPr>
        <w:t xml:space="preserve">, </w:t>
      </w:r>
      <w:proofErr w:type="spellStart"/>
      <w:r>
        <w:rPr>
          <w:rtl/>
        </w:rPr>
        <w:t>בפוניבז</w:t>
      </w:r>
      <w:proofErr w:type="spellEnd"/>
      <w:r>
        <w:rPr>
          <w:rtl/>
        </w:rPr>
        <w:t xml:space="preserve">׳, </w:t>
      </w:r>
      <w:proofErr w:type="spellStart"/>
      <w:r>
        <w:rPr>
          <w:rtl/>
        </w:rPr>
        <w:t>בלומז׳ה</w:t>
      </w:r>
      <w:proofErr w:type="spellEnd"/>
      <w:r>
        <w:rPr>
          <w:rtl/>
        </w:rPr>
        <w:t xml:space="preserve"> וכיוצא בהן, לא היו ילדים </w:t>
      </w:r>
      <w:proofErr w:type="spellStart"/>
      <w:r>
        <w:rPr>
          <w:rtl/>
        </w:rPr>
        <w:t>ו‘קטלי</w:t>
      </w:r>
      <w:proofErr w:type="spellEnd"/>
      <w:r>
        <w:rPr>
          <w:rtl/>
        </w:rPr>
        <w:t xml:space="preserve"> קניא’</w:t>
      </w:r>
      <w:bookmarkStart w:id="4933" w:name="_fnr3630"/>
      <w:r>
        <w:rPr>
          <w:vertAlign w:val="superscript"/>
          <w:rtl/>
        </w:rPr>
        <w:footnoteReference w:id="3638" w:customMarkFollows="0"/>
      </w:r>
      <w:bookmarkEnd w:id="4933"/>
      <w:r>
        <w:rPr>
          <w:rtl/>
        </w:rPr>
        <w:t xml:space="preserve">. רובם היו גדולים בתורה ויראה ורבנים, וגדולי התורה התחשבו בדעותיהם. </w:t>
      </w:r>
      <w:r>
        <w:rPr>
          <w:rtl/>
        </w:rPr>
        <w:lastRenderedPageBreak/>
        <w:t xml:space="preserve">ובעניינים שבהם הסתפקו [גדולי התורה] היו שואלים כיצד נוהגים בישיבות”. ובהמשך: “ר׳ </w:t>
      </w:r>
      <w:proofErr w:type="spellStart"/>
      <w:r>
        <w:rPr>
          <w:rtl/>
        </w:rPr>
        <w:t>איצל׳ה</w:t>
      </w:r>
      <w:proofErr w:type="spellEnd"/>
      <w:r>
        <w:rPr>
          <w:rtl/>
        </w:rPr>
        <w:t xml:space="preserve"> [</w:t>
      </w:r>
      <w:proofErr w:type="spellStart"/>
      <w:r>
        <w:rPr>
          <w:rtl/>
        </w:rPr>
        <w:t>בלאזר</w:t>
      </w:r>
      <w:proofErr w:type="spellEnd"/>
      <w:r>
        <w:rPr>
          <w:rtl/>
        </w:rPr>
        <w:t xml:space="preserve">] </w:t>
      </w:r>
      <w:proofErr w:type="spellStart"/>
      <w:r>
        <w:rPr>
          <w:rtl/>
        </w:rPr>
        <w:t>פטרבורגר</w:t>
      </w:r>
      <w:proofErr w:type="spellEnd"/>
      <w:r>
        <w:rPr>
          <w:rtl/>
        </w:rPr>
        <w:t xml:space="preserve">, ר׳ לייזר [גורדון] </w:t>
      </w:r>
      <w:proofErr w:type="spellStart"/>
      <w:r>
        <w:rPr>
          <w:rtl/>
        </w:rPr>
        <w:t>טלזר</w:t>
      </w:r>
      <w:proofErr w:type="spellEnd"/>
      <w:r>
        <w:rPr>
          <w:rtl/>
        </w:rPr>
        <w:t xml:space="preserve"> ומורי ורבי הסבא </w:t>
      </w:r>
      <w:proofErr w:type="spellStart"/>
      <w:r>
        <w:rPr>
          <w:rtl/>
        </w:rPr>
        <w:t>מסלבודקה</w:t>
      </w:r>
      <w:proofErr w:type="spellEnd"/>
      <w:r>
        <w:rPr>
          <w:rtl/>
        </w:rPr>
        <w:t xml:space="preserve"> היו תלמידים מובהקים של... ר׳ ישראל </w:t>
      </w:r>
      <w:proofErr w:type="spellStart"/>
      <w:r>
        <w:rPr>
          <w:rtl/>
        </w:rPr>
        <w:t>סלנטר</w:t>
      </w:r>
      <w:proofErr w:type="spellEnd"/>
      <w:r>
        <w:rPr>
          <w:rtl/>
        </w:rPr>
        <w:t xml:space="preserve">, ולא זו בלבד שנזהרו מצל של ספק ספקא </w:t>
      </w:r>
      <w:proofErr w:type="spellStart"/>
      <w:r>
        <w:rPr>
          <w:rtl/>
        </w:rPr>
        <w:t>לאיסורא</w:t>
      </w:r>
      <w:proofErr w:type="spellEnd"/>
      <w:r>
        <w:rPr>
          <w:rtl/>
        </w:rPr>
        <w:t xml:space="preserve">, אלא אף דקדקו בקיום מנהגים קלים. זכורני שהסבא </w:t>
      </w:r>
      <w:proofErr w:type="spellStart"/>
      <w:r>
        <w:rPr>
          <w:rtl/>
        </w:rPr>
        <w:t>מסלבודקה</w:t>
      </w:r>
      <w:proofErr w:type="spellEnd"/>
      <w:r>
        <w:rPr>
          <w:rtl/>
        </w:rPr>
        <w:t xml:space="preserve"> היה מוסר שיחות מוסר בביתו בין קבלת שבת לערבית, ופעם אחת היה נושא השיחה קדושת מנהגי ישראל. שעה שלמה ביאר, בדרכו [המיוחדת], את מקורות המנהגים ואת קדושתם, וכיצד נטבעה בהם קדושת ישראל”.</w:t>
      </w:r>
    </w:p>
    <w:p w14:paraId="3996F31F" w14:textId="77777777" w:rsidR="00AB3647" w:rsidRDefault="00000000" w:rsidP="007923E9">
      <w:pPr>
        <w:spacing w:after="120" w:line="276" w:lineRule="auto"/>
        <w:ind w:firstLine="283"/>
        <w:jc w:val="both"/>
      </w:pPr>
      <w:r>
        <w:rPr>
          <w:rtl/>
        </w:rPr>
        <w:t xml:space="preserve">המחבר מסיים: “מאז ועד היום אני זוכר שיחה זו גם למעשה”. הוא אינו מדייק כשהוא מכנה את הסבא “תלמיד מובהק” של ר׳ ישראל </w:t>
      </w:r>
      <w:proofErr w:type="spellStart"/>
      <w:r>
        <w:rPr>
          <w:rtl/>
        </w:rPr>
        <w:t>סלנטר</w:t>
      </w:r>
      <w:bookmarkStart w:id="4934" w:name="_fnr3631"/>
      <w:proofErr w:type="spellEnd"/>
      <w:r>
        <w:rPr>
          <w:vertAlign w:val="superscript"/>
          <w:rtl/>
        </w:rPr>
        <w:footnoteReference w:id="3639" w:customMarkFollows="0"/>
      </w:r>
      <w:bookmarkEnd w:id="4934"/>
      <w:r>
        <w:rPr>
          <w:rtl/>
        </w:rPr>
        <w:t xml:space="preserve">, וגם אינו מציין, כמו “תורת אברהם”, שמנהגי הישיבות האחרות נתקבלו </w:t>
      </w:r>
      <w:proofErr w:type="spellStart"/>
      <w:r>
        <w:rPr>
          <w:rtl/>
        </w:rPr>
        <w:t>מסלבודקה</w:t>
      </w:r>
      <w:proofErr w:type="spellEnd"/>
      <w:r>
        <w:rPr>
          <w:rtl/>
        </w:rPr>
        <w:t xml:space="preserve">. הוא גם אינו מזכיר שהסבא עצמו, ולא ציבור התלמידים בכללו, הוא שהביא את הבקיאות בהלכה </w:t>
      </w:r>
      <w:proofErr w:type="spellStart"/>
      <w:r>
        <w:rPr>
          <w:rtl/>
        </w:rPr>
        <w:t>לסלבודקה</w:t>
      </w:r>
      <w:proofErr w:type="spellEnd"/>
      <w:r>
        <w:rPr>
          <w:rtl/>
        </w:rPr>
        <w:t xml:space="preserve">. אולם השווה נספח ד להלן: הסבא היה רגיל לייחס </w:t>
      </w:r>
      <w:proofErr w:type="spellStart"/>
      <w:r>
        <w:rPr>
          <w:rtl/>
        </w:rPr>
        <w:t>ל“ישיבה</w:t>
      </w:r>
      <w:proofErr w:type="spellEnd"/>
      <w:r>
        <w:rPr>
          <w:rtl/>
        </w:rPr>
        <w:t xml:space="preserve">” את חידושיו שלו, ור׳ </w:t>
      </w:r>
      <w:proofErr w:type="spellStart"/>
      <w:r>
        <w:rPr>
          <w:rtl/>
        </w:rPr>
        <w:t>מנחם־מנדל</w:t>
      </w:r>
      <w:proofErr w:type="spellEnd"/>
      <w:r>
        <w:rPr>
          <w:rtl/>
        </w:rPr>
        <w:t xml:space="preserve"> שוק קיבל את הדברים כפשוטם.</w:t>
      </w:r>
    </w:p>
    <w:bookmarkStart w:id="4935" w:name="b4_excB"/>
    <w:bookmarkStart w:id="4936" w:name="b4_annexB"/>
    <w:p w14:paraId="6EF9C62C" w14:textId="77777777" w:rsidR="00AB3647" w:rsidRDefault="00000000" w:rsidP="007923E9">
      <w:pPr>
        <w:pStyle w:val="3"/>
        <w:spacing w:line="276" w:lineRule="auto"/>
      </w:pPr>
      <w:r>
        <w:lastRenderedPageBreak/>
        <w:fldChar w:fldCharType="begin" w:dirty="true"/>
      </w:r>
      <w:r>
        <w:rPr>
          <w:rtl w:val="0"/>
        </w:rPr>
        <w:instrText>HYPERLINK \l "b4_note15</w:instrText>
      </w:r>
      <w:r>
        <w:instrText>"</w:instrText>
      </w:r>
      <w:r>
        <w:fldChar w:fldCharType="separate"/>
      </w:r>
      <w:r>
        <w:t>נספח ב</w:t>
      </w:r>
      <w:r>
        <w:fldChar w:fldCharType="end"/>
      </w:r>
      <w:bookmarkEnd w:id="4935"/>
      <w:bookmarkEnd w:id="4936"/>
    </w:p>
    <w:p w14:paraId="7F3484FC" w14:textId="77777777" w:rsidR="00AB3647" w:rsidRDefault="00000000" w:rsidP="007923E9">
      <w:pPr>
        <w:pStyle w:val="af"/>
        <w:spacing w:line="276" w:lineRule="auto"/>
      </w:pPr>
      <w:r>
        <w:t xml:space="preserve">על אימת הציבור של הסבא ועל סירובו של ר׳ </w:t>
      </w:r>
      <w:proofErr w:type="spellStart"/>
      <w:r>
        <w:t>חצקל</w:t>
      </w:r>
      <w:proofErr w:type="spellEnd"/>
      <w:r>
        <w:t xml:space="preserve"> </w:t>
      </w:r>
      <w:proofErr w:type="spellStart"/>
      <w:r>
        <w:t>ליבשיץ</w:t>
      </w:r>
      <w:proofErr w:type="spellEnd"/>
      <w:r>
        <w:t xml:space="preserve"> להיות רבה של קובנה</w:t>
      </w:r>
    </w:p>
    <w:p w14:paraId="1CDEB342" w14:textId="77777777" w:rsidR="00AB3647" w:rsidRDefault="00000000" w:rsidP="007923E9">
      <w:pPr>
        <w:pStyle w:val="4"/>
        <w:spacing w:line="276" w:lineRule="auto"/>
      </w:pPr>
      <w:r>
        <w:t>· הפסקה הראשונה ·</w:t>
      </w:r>
    </w:p>
    <w:p w14:paraId="268F9A42" w14:textId="77777777" w:rsidR="00AB3647" w:rsidRDefault="00000000" w:rsidP="007923E9">
      <w:pPr>
        <w:pStyle w:val="5"/>
        <w:spacing w:line="276" w:lineRule="auto"/>
      </w:pPr>
      <w:r>
        <w:rPr>
          <w:bCs/>
          <w:szCs w:val="26"/>
        </w:rPr>
        <w:t>תלמידים מחקים את הסתכלות הסבא באצבעותיו</w:t>
      </w:r>
    </w:p>
    <w:p w14:paraId="6E1DA10D" w14:textId="77777777" w:rsidR="00AB3647" w:rsidRDefault="00000000" w:rsidP="007923E9">
      <w:pPr>
        <w:spacing w:after="120" w:line="276" w:lineRule="auto"/>
        <w:ind w:firstLine="283"/>
        <w:jc w:val="both"/>
      </w:pPr>
      <w:r>
        <w:rPr>
          <w:rtl/>
        </w:rPr>
        <w:t>השווה הערה 18 בפרק זה, ובה תיאור מפי עד ראייה של הסבא המסתכל באצבעותיו. כשאבי הזכיר הנהגה זו בשיחה המוקלטת במלאות חמישים שנה לפטירת הסבא</w:t>
      </w:r>
      <w:bookmarkStart w:id="4937" w:name="_fnr3632"/>
      <w:r>
        <w:rPr>
          <w:vertAlign w:val="superscript"/>
          <w:rtl/>
        </w:rPr>
        <w:footnoteReference w:id="3640" w:customMarkFollows="0"/>
      </w:r>
      <w:bookmarkEnd w:id="4937"/>
      <w:r>
        <w:rPr>
          <w:rtl/>
        </w:rPr>
        <w:t>, הוסיף: “היו תלמידים שביקשו לחקות אותו”. אבי לא נתן דעתו לכך שהוא עצמו היה מאותם תלמידים: כך נהג בראשית מסירת שיחות המוסר שלו במתיבתא תורה ודעת</w:t>
      </w:r>
      <w:bookmarkStart w:id="4938" w:name="_fnr3633"/>
      <w:r>
        <w:rPr>
          <w:vertAlign w:val="superscript"/>
          <w:rtl/>
        </w:rPr>
        <w:footnoteReference w:id="3641" w:customMarkFollows="0"/>
      </w:r>
      <w:bookmarkEnd w:id="4938"/>
      <w:r>
        <w:rPr>
          <w:rtl/>
        </w:rPr>
        <w:t>.</w:t>
      </w:r>
    </w:p>
    <w:p w14:paraId="01B87014" w14:textId="77777777" w:rsidR="00AB3647" w:rsidRDefault="00000000" w:rsidP="007923E9">
      <w:pPr>
        <w:spacing w:after="120" w:line="276" w:lineRule="auto"/>
        <w:ind w:firstLine="283"/>
        <w:jc w:val="both"/>
      </w:pPr>
      <w:r>
        <w:rPr>
          <w:rtl/>
        </w:rPr>
        <w:t>השווה סוף הפסקה הבאה, שממנה עולה שהסבא היה מודע להנהגתו. ברור שרבנו אימץ אותה לא מתוך הערצה לרבו, אלא מחמת אימת הציבור שלו עצמו</w:t>
      </w:r>
      <w:bookmarkStart w:id="4939" w:name="_fnr3634"/>
      <w:r>
        <w:rPr>
          <w:vertAlign w:val="superscript"/>
          <w:rtl/>
        </w:rPr>
        <w:footnoteReference w:id="3642" w:customMarkFollows="0"/>
      </w:r>
      <w:bookmarkEnd w:id="4939"/>
      <w:r>
        <w:rPr>
          <w:rtl/>
        </w:rPr>
        <w:t xml:space="preserve">, שהייתה גדולה משל הסבא וגרמה לו להשפיל מבטו אל ידיו בלא משים. מעניין שגם ר׳ </w:t>
      </w:r>
      <w:proofErr w:type="spellStart"/>
      <w:r>
        <w:rPr>
          <w:rtl/>
        </w:rPr>
        <w:t>יעקב־יצחק</w:t>
      </w:r>
      <w:proofErr w:type="spellEnd"/>
      <w:r>
        <w:rPr>
          <w:rtl/>
        </w:rPr>
        <w:t xml:space="preserve"> </w:t>
      </w:r>
      <w:proofErr w:type="spellStart"/>
      <w:r>
        <w:rPr>
          <w:rtl/>
        </w:rPr>
        <w:t>רודרמן</w:t>
      </w:r>
      <w:bookmarkStart w:id="4940" w:name="_fnr3635"/>
      <w:proofErr w:type="spellEnd"/>
      <w:r>
        <w:rPr>
          <w:vertAlign w:val="superscript"/>
          <w:rtl/>
        </w:rPr>
        <w:footnoteReference w:id="3643" w:customMarkFollows="0"/>
      </w:r>
      <w:bookmarkEnd w:id="4940"/>
      <w:r>
        <w:rPr>
          <w:rtl/>
        </w:rPr>
        <w:t xml:space="preserve"> סבל מאימת הציבור במידה רבה: ר׳ לייב היימן סיפר</w:t>
      </w:r>
      <w:bookmarkStart w:id="4941" w:name="_fnr3636"/>
      <w:r>
        <w:rPr>
          <w:vertAlign w:val="superscript"/>
          <w:rtl/>
        </w:rPr>
        <w:footnoteReference w:id="3644" w:customMarkFollows="0"/>
      </w:r>
      <w:bookmarkEnd w:id="4941"/>
      <w:r>
        <w:rPr>
          <w:rtl/>
        </w:rPr>
        <w:t xml:space="preserve"> שבשעת מסירת שיעורו היה ר׳ </w:t>
      </w:r>
      <w:proofErr w:type="spellStart"/>
      <w:r>
        <w:rPr>
          <w:rtl/>
        </w:rPr>
        <w:t>יעקב־יצחק</w:t>
      </w:r>
      <w:proofErr w:type="spellEnd"/>
      <w:r>
        <w:rPr>
          <w:rtl/>
        </w:rPr>
        <w:t xml:space="preserve"> </w:t>
      </w:r>
      <w:proofErr w:type="spellStart"/>
      <w:r>
        <w:rPr>
          <w:rtl/>
        </w:rPr>
        <w:t>רודרמן</w:t>
      </w:r>
      <w:proofErr w:type="spellEnd"/>
      <w:r>
        <w:rPr>
          <w:rtl/>
        </w:rPr>
        <w:t xml:space="preserve"> יושב מאחורי סטנדר גבוה, שכמעט הסתיר את פניו. אפשר גם שאבי חיקה למעשה את תלמידי הסבא. לאחר שמסר רבנו את השיחות תקופה מסוימת פחתה הנהגה זו, והוא היה מקדים לשיחתו רגע של שתיקה, שבו הסיר את משקפיו וניגב אותם במטפחתו במתינות</w:t>
      </w:r>
      <w:bookmarkStart w:id="4942" w:name="_fnr3637"/>
      <w:r>
        <w:rPr>
          <w:vertAlign w:val="superscript"/>
          <w:rtl/>
        </w:rPr>
        <w:footnoteReference w:id="3645" w:customMarkFollows="0"/>
      </w:r>
      <w:bookmarkEnd w:id="4942"/>
      <w:r>
        <w:rPr>
          <w:rtl/>
        </w:rPr>
        <w:t>.</w:t>
      </w:r>
    </w:p>
    <w:p w14:paraId="1BB06897" w14:textId="77777777" w:rsidR="00AB3647" w:rsidRDefault="00000000" w:rsidP="007923E9">
      <w:pPr>
        <w:pStyle w:val="4"/>
        <w:spacing w:line="276" w:lineRule="auto"/>
      </w:pPr>
      <w:r>
        <w:t>· הפסקה השנייה ·</w:t>
      </w:r>
    </w:p>
    <w:p w14:paraId="59A91A9C" w14:textId="77777777" w:rsidR="00AB3647" w:rsidRDefault="00000000" w:rsidP="007923E9">
      <w:pPr>
        <w:pStyle w:val="5"/>
        <w:spacing w:line="276" w:lineRule="auto"/>
      </w:pPr>
      <w:r>
        <w:rPr>
          <w:bCs/>
          <w:szCs w:val="26"/>
        </w:rPr>
        <w:t xml:space="preserve">ר׳ </w:t>
      </w:r>
      <w:proofErr w:type="spellStart"/>
      <w:r>
        <w:rPr>
          <w:bCs/>
          <w:szCs w:val="26"/>
        </w:rPr>
        <w:t>חצקל</w:t>
      </w:r>
      <w:proofErr w:type="spellEnd"/>
      <w:r>
        <w:rPr>
          <w:bCs/>
          <w:szCs w:val="26"/>
        </w:rPr>
        <w:t xml:space="preserve"> </w:t>
      </w:r>
      <w:proofErr w:type="spellStart"/>
      <w:r>
        <w:rPr>
          <w:bCs/>
          <w:szCs w:val="26"/>
        </w:rPr>
        <w:t>ליבשיץ</w:t>
      </w:r>
      <w:proofErr w:type="spellEnd"/>
      <w:r>
        <w:rPr>
          <w:bCs/>
          <w:szCs w:val="26"/>
        </w:rPr>
        <w:t xml:space="preserve"> כמעט נעשה רבה של קובנה</w:t>
      </w:r>
    </w:p>
    <w:p w14:paraId="476EB487" w14:textId="77777777" w:rsidR="00AB3647" w:rsidRDefault="00000000" w:rsidP="007923E9">
      <w:pPr>
        <w:pStyle w:val="5"/>
        <w:spacing w:after="160" w:line="276" w:lineRule="auto"/>
      </w:pPr>
      <w:r>
        <w:rPr>
          <w:b/>
          <w:bCs/>
          <w:sz w:val="26"/>
          <w:szCs w:val="26"/>
        </w:rPr>
        <w:t>השכלתו הכללית ורצונה של קובנה ברב מודרני</w:t>
      </w:r>
    </w:p>
    <w:p w14:paraId="7D10816C" w14:textId="77777777" w:rsidR="00AB3647" w:rsidRDefault="00000000" w:rsidP="007923E9">
      <w:pPr>
        <w:pStyle w:val="5"/>
        <w:spacing w:after="160" w:line="276" w:lineRule="auto"/>
      </w:pPr>
      <w:r>
        <w:rPr>
          <w:b/>
          <w:bCs/>
          <w:sz w:val="26"/>
          <w:szCs w:val="26"/>
        </w:rPr>
        <w:t>הסבא מסביר לרבנו מדוע נשאר בירכתי החדר</w:t>
      </w:r>
    </w:p>
    <w:p w14:paraId="7D41F907" w14:textId="77777777" w:rsidR="00AB3647" w:rsidRDefault="00000000" w:rsidP="007923E9">
      <w:pPr>
        <w:spacing w:after="120" w:line="276" w:lineRule="auto"/>
        <w:ind w:firstLine="283"/>
        <w:jc w:val="both"/>
      </w:pPr>
      <w:bookmarkStart w:id="4943" w:name="pr_b_2047"/>
      <w:bookmarkEnd w:id="4943"/>
      <w:r>
        <w:rPr>
          <w:rtl/>
        </w:rPr>
        <w:t xml:space="preserve">בשיחה המוקלטת במלאות חמישים שנה לפטירת הסבא סיפר אבי כיצד השפיעה אימת הציבור של הסבא על בחירת רב לקובנה: “ר׳ </w:t>
      </w:r>
      <w:proofErr w:type="spellStart"/>
      <w:r>
        <w:rPr>
          <w:rtl/>
        </w:rPr>
        <w:t>חצקל</w:t>
      </w:r>
      <w:proofErr w:type="spellEnd"/>
      <w:r>
        <w:rPr>
          <w:rtl/>
        </w:rPr>
        <w:t xml:space="preserve"> </w:t>
      </w:r>
      <w:proofErr w:type="spellStart"/>
      <w:r>
        <w:rPr>
          <w:rtl/>
        </w:rPr>
        <w:t>ליבשיץ</w:t>
      </w:r>
      <w:proofErr w:type="spellEnd"/>
      <w:r>
        <w:rPr>
          <w:rtl/>
        </w:rPr>
        <w:t xml:space="preserve">, מחבר ‘המדרש והמעשה’, רבה של </w:t>
      </w:r>
      <w:proofErr w:type="spellStart"/>
      <w:r>
        <w:rPr>
          <w:rtl/>
        </w:rPr>
        <w:t>קאליש</w:t>
      </w:r>
      <w:proofErr w:type="spellEnd"/>
      <w:r>
        <w:rPr>
          <w:rtl/>
        </w:rPr>
        <w:t xml:space="preserve">, ולאחר מלחמת העולם הראשונה יושב ראש אגודת הרבנים בפולין, בא לקובנה בין פסח לשבועות, לאחר שקיבל כתב רבנות מראשי העיר למלא את מקומו של ר׳ </w:t>
      </w:r>
      <w:proofErr w:type="spellStart"/>
      <w:r>
        <w:rPr>
          <w:rtl/>
        </w:rPr>
        <w:t>צבי־הירש</w:t>
      </w:r>
      <w:proofErr w:type="spellEnd"/>
      <w:r>
        <w:rPr>
          <w:rtl/>
        </w:rPr>
        <w:t xml:space="preserve"> </w:t>
      </w:r>
      <w:proofErr w:type="spellStart"/>
      <w:r>
        <w:rPr>
          <w:rtl/>
        </w:rPr>
        <w:lastRenderedPageBreak/>
        <w:t>רבינוביץ</w:t>
      </w:r>
      <w:bookmarkStart w:id="4944" w:name="_fnr3638"/>
      <w:proofErr w:type="spellEnd"/>
      <w:r>
        <w:rPr>
          <w:vertAlign w:val="superscript"/>
          <w:rtl/>
        </w:rPr>
        <w:footnoteReference w:id="3646" w:customMarkFollows="0"/>
      </w:r>
      <w:bookmarkEnd w:id="4944"/>
      <w:r>
        <w:rPr>
          <w:rtl/>
        </w:rPr>
        <w:t xml:space="preserve">, ושהה בה </w:t>
      </w:r>
      <w:proofErr w:type="spellStart"/>
      <w:r>
        <w:rPr>
          <w:rtl/>
        </w:rPr>
        <w:t>זמן־מה</w:t>
      </w:r>
      <w:proofErr w:type="spellEnd"/>
      <w:r>
        <w:rPr>
          <w:rtl/>
        </w:rPr>
        <w:t xml:space="preserve"> כדי להיפגש עם ראשי הקהילה. כשחזר לביתו התכוון לסדר את ענייני </w:t>
      </w:r>
      <w:proofErr w:type="spellStart"/>
      <w:r>
        <w:rPr>
          <w:rtl/>
        </w:rPr>
        <w:t>קאליש</w:t>
      </w:r>
      <w:proofErr w:type="spellEnd"/>
      <w:r>
        <w:rPr>
          <w:rtl/>
        </w:rPr>
        <w:t xml:space="preserve"> – צורך טבעי לרבה של עיר גדולה – ולשוב לקובנה לקראת הימים הנוראים כרבה. אולם באלול החזיר את כתב הרבנות: הוא החליט שלא לבוא לקובנה”. הכול היו בטוחים כל כך שהוא רבה החדש של קובנה</w:t>
      </w:r>
      <w:bookmarkStart w:id="4945" w:name="_fnr3639"/>
      <w:r>
        <w:rPr>
          <w:vertAlign w:val="superscript"/>
          <w:rtl/>
        </w:rPr>
        <w:footnoteReference w:id="3647" w:customMarkFollows="0"/>
      </w:r>
      <w:bookmarkEnd w:id="4945"/>
      <w:r>
        <w:rPr>
          <w:rtl/>
        </w:rPr>
        <w:t xml:space="preserve">, עד שמשה </w:t>
      </w:r>
      <w:proofErr w:type="spellStart"/>
      <w:r>
        <w:rPr>
          <w:rtl/>
        </w:rPr>
        <w:t>מארקאוויץ</w:t>
      </w:r>
      <w:proofErr w:type="spellEnd"/>
      <w:r>
        <w:rPr>
          <w:rtl/>
        </w:rPr>
        <w:t xml:space="preserve">, תושב </w:t>
      </w:r>
      <w:proofErr w:type="spellStart"/>
      <w:r>
        <w:rPr>
          <w:rtl/>
        </w:rPr>
        <w:t>ראסיין</w:t>
      </w:r>
      <w:proofErr w:type="spellEnd"/>
      <w:r>
        <w:rPr>
          <w:rtl/>
        </w:rPr>
        <w:t>, ציין בגאוות בן העיר</w:t>
      </w:r>
      <w:bookmarkStart w:id="4946" w:name="_fnr3640"/>
      <w:r>
        <w:rPr>
          <w:vertAlign w:val="superscript"/>
          <w:rtl/>
        </w:rPr>
        <w:footnoteReference w:id="3648" w:customMarkFollows="0"/>
      </w:r>
      <w:bookmarkEnd w:id="4946"/>
      <w:r>
        <w:rPr>
          <w:rtl/>
        </w:rPr>
        <w:t xml:space="preserve"> בספר שפרסם באותה עת, בהקדמת “לקורות”</w:t>
      </w:r>
      <w:bookmarkStart w:id="4947" w:name="_fnr3641"/>
      <w:r>
        <w:rPr>
          <w:vertAlign w:val="superscript"/>
          <w:rtl/>
        </w:rPr>
        <w:footnoteReference w:id="3649" w:customMarkFollows="0"/>
      </w:r>
      <w:bookmarkEnd w:id="4947"/>
      <w:r>
        <w:rPr>
          <w:rtl/>
        </w:rPr>
        <w:t xml:space="preserve">, כי “ר׳ יחזקאל </w:t>
      </w:r>
      <w:proofErr w:type="spellStart"/>
      <w:r>
        <w:rPr>
          <w:rtl/>
        </w:rPr>
        <w:t>ליבשיץ</w:t>
      </w:r>
      <w:proofErr w:type="spellEnd"/>
      <w:r>
        <w:rPr>
          <w:rtl/>
        </w:rPr>
        <w:t xml:space="preserve">, יליד </w:t>
      </w:r>
      <w:proofErr w:type="spellStart"/>
      <w:r>
        <w:rPr>
          <w:rtl/>
        </w:rPr>
        <w:t>ראסיין</w:t>
      </w:r>
      <w:proofErr w:type="spellEnd"/>
      <w:r>
        <w:rPr>
          <w:rtl/>
        </w:rPr>
        <w:t>, נתמנה עתה לרבה של קובנה”.</w:t>
      </w:r>
    </w:p>
    <w:p w14:paraId="66FB77DA" w14:textId="77777777" w:rsidR="00AB3647" w:rsidRDefault="00000000" w:rsidP="007923E9">
      <w:pPr>
        <w:spacing w:after="120" w:line="276" w:lineRule="auto"/>
        <w:ind w:firstLine="283"/>
        <w:jc w:val="both"/>
      </w:pPr>
      <w:r>
        <w:rPr>
          <w:rtl/>
        </w:rPr>
        <w:t xml:space="preserve">אבי המשיך: “איש לא ידע מדוע שינה את דעתו, אבל דיברו שישיבת </w:t>
      </w:r>
      <w:proofErr w:type="spellStart"/>
      <w:r>
        <w:rPr>
          <w:rtl/>
        </w:rPr>
        <w:t>סלבודקה</w:t>
      </w:r>
      <w:proofErr w:type="spellEnd"/>
      <w:r>
        <w:rPr>
          <w:rtl/>
        </w:rPr>
        <w:t xml:space="preserve"> התנגדה למועמדותו. </w:t>
      </w:r>
      <w:proofErr w:type="spellStart"/>
      <w:r>
        <w:rPr>
          <w:rtl/>
        </w:rPr>
        <w:t>ה‘פוליטיקה</w:t>
      </w:r>
      <w:proofErr w:type="spellEnd"/>
      <w:r>
        <w:rPr>
          <w:rtl/>
        </w:rPr>
        <w:t xml:space="preserve"> העמוקה’ של אותם ימים אינה ידועה לי, ותהא הפוליטיקה אשר תהא, ‘גם שנאתם גם קנאתם כבר אבדה’</w:t>
      </w:r>
      <w:bookmarkStart w:id="4948" w:name="_fnr3642"/>
      <w:r>
        <w:rPr>
          <w:vertAlign w:val="superscript"/>
          <w:rtl/>
        </w:rPr>
        <w:footnoteReference w:id="3650" w:customMarkFollows="0"/>
      </w:r>
      <w:bookmarkEnd w:id="4948"/>
      <w:r>
        <w:rPr>
          <w:rtl/>
        </w:rPr>
        <w:t xml:space="preserve">; אבל אז דיברו כך: </w:t>
      </w:r>
      <w:proofErr w:type="spellStart"/>
      <w:r>
        <w:rPr>
          <w:rtl/>
        </w:rPr>
        <w:t>סלבודקה</w:t>
      </w:r>
      <w:proofErr w:type="spellEnd"/>
      <w:r>
        <w:rPr>
          <w:rtl/>
        </w:rPr>
        <w:t xml:space="preserve"> לא הסכימה לקבלו, מפני שר׳ </w:t>
      </w:r>
      <w:proofErr w:type="spellStart"/>
      <w:r>
        <w:rPr>
          <w:rtl/>
        </w:rPr>
        <w:t>חצקל</w:t>
      </w:r>
      <w:proofErr w:type="spellEnd"/>
      <w:r>
        <w:rPr>
          <w:rtl/>
        </w:rPr>
        <w:t xml:space="preserve"> </w:t>
      </w:r>
      <w:proofErr w:type="spellStart"/>
      <w:r>
        <w:rPr>
          <w:rtl/>
        </w:rPr>
        <w:t>ליבשיץ</w:t>
      </w:r>
      <w:proofErr w:type="spellEnd"/>
      <w:r>
        <w:rPr>
          <w:rtl/>
        </w:rPr>
        <w:t xml:space="preserve"> סיים גימנסיה</w:t>
      </w:r>
      <w:bookmarkStart w:id="4949" w:name="_fnr3643"/>
      <w:r>
        <w:rPr>
          <w:vertAlign w:val="superscript"/>
          <w:rtl/>
        </w:rPr>
        <w:footnoteReference w:id="3651" w:customMarkFollows="0"/>
      </w:r>
      <w:bookmarkEnd w:id="4949"/>
      <w:r>
        <w:rPr>
          <w:rtl/>
        </w:rPr>
        <w:t xml:space="preserve"> וקיבל תעודה</w:t>
      </w:r>
      <w:bookmarkStart w:id="4950" w:name="_fnr3644"/>
      <w:r>
        <w:rPr>
          <w:vertAlign w:val="superscript"/>
          <w:rtl/>
        </w:rPr>
        <w:footnoteReference w:id="3652" w:customMarkFollows="0"/>
      </w:r>
      <w:bookmarkEnd w:id="4950"/>
      <w:r>
        <w:rPr>
          <w:rtl/>
        </w:rPr>
        <w:t xml:space="preserve">”. ר׳ </w:t>
      </w:r>
      <w:proofErr w:type="spellStart"/>
      <w:r>
        <w:rPr>
          <w:rtl/>
        </w:rPr>
        <w:t>חצקל</w:t>
      </w:r>
      <w:proofErr w:type="spellEnd"/>
      <w:r>
        <w:rPr>
          <w:rtl/>
        </w:rPr>
        <w:t xml:space="preserve"> </w:t>
      </w:r>
      <w:proofErr w:type="spellStart"/>
      <w:r>
        <w:rPr>
          <w:rtl/>
        </w:rPr>
        <w:t>ליבשיץ</w:t>
      </w:r>
      <w:proofErr w:type="spellEnd"/>
      <w:r>
        <w:rPr>
          <w:rtl/>
        </w:rPr>
        <w:t xml:space="preserve"> אכן היה אדם משכיל, שדיבר צרפתית, גרמנית, רוסית ופולנית. </w:t>
      </w:r>
      <w:proofErr w:type="spellStart"/>
      <w:r>
        <w:rPr>
          <w:rtl/>
        </w:rPr>
        <w:t>בתרפ״ז</w:t>
      </w:r>
      <w:proofErr w:type="spellEnd"/>
      <w:r>
        <w:rPr>
          <w:rtl/>
        </w:rPr>
        <w:t xml:space="preserve"> ביקר בארצות הברית בתפקידו כיושב ראש אגודת הרבנים בפולין, כדי לעיין ברשימות של משרד המלחמה על חיילים אמריקנים שנפלו, וכך לאפשר לנשותיהם שנותרו בפולין להינשא מחדש (תקנת עגונות). בביקור זה הוצג בפני הנשיא </w:t>
      </w:r>
      <w:proofErr w:type="spellStart"/>
      <w:r>
        <w:rPr>
          <w:rtl/>
        </w:rPr>
        <w:t>קולידג</w:t>
      </w:r>
      <w:proofErr w:type="spellEnd"/>
      <w:r>
        <w:rPr>
          <w:rtl/>
        </w:rPr>
        <w:t xml:space="preserve">׳, ונוכח שמנהיג המעצמה מדבר אנגלית בלבד ואינו יכול לשוחח עמו. לימים העיר ר׳ </w:t>
      </w:r>
      <w:proofErr w:type="spellStart"/>
      <w:r>
        <w:rPr>
          <w:rtl/>
        </w:rPr>
        <w:t>חצקל</w:t>
      </w:r>
      <w:proofErr w:type="spellEnd"/>
      <w:r>
        <w:rPr>
          <w:rtl/>
        </w:rPr>
        <w:t xml:space="preserve"> שהופתע לגלות כי העומד בראש מעצמה גדולה אינו יודע לדבר בשפות האירופיות העיקריות.</w:t>
      </w:r>
    </w:p>
    <w:p w14:paraId="5831DF34" w14:textId="77777777" w:rsidR="00AB3647" w:rsidRDefault="00000000" w:rsidP="007923E9">
      <w:pPr>
        <w:spacing w:after="120" w:line="276" w:lineRule="auto"/>
        <w:ind w:firstLine="283"/>
        <w:jc w:val="both"/>
      </w:pPr>
      <w:r>
        <w:rPr>
          <w:rtl/>
        </w:rPr>
        <w:t xml:space="preserve">אבי המשיך: “לגופו של עניין אמר הסבא כך: ‘משכיל אינו מי שיש לו ידיעות חול, </w:t>
      </w:r>
      <w:proofErr w:type="spellStart"/>
      <w:r>
        <w:rPr>
          <w:rtl/>
        </w:rPr>
        <w:t>דער</w:t>
      </w:r>
      <w:proofErr w:type="spellEnd"/>
      <w:r>
        <w:rPr>
          <w:rtl/>
        </w:rPr>
        <w:t xml:space="preserve"> </w:t>
      </w:r>
      <w:proofErr w:type="spellStart"/>
      <w:r>
        <w:rPr>
          <w:rtl/>
        </w:rPr>
        <w:t>וואס</w:t>
      </w:r>
      <w:proofErr w:type="spellEnd"/>
      <w:r>
        <w:rPr>
          <w:rtl/>
        </w:rPr>
        <w:t xml:space="preserve"> </w:t>
      </w:r>
      <w:proofErr w:type="spellStart"/>
      <w:r>
        <w:rPr>
          <w:rtl/>
        </w:rPr>
        <w:t>קען</w:t>
      </w:r>
      <w:proofErr w:type="spellEnd"/>
      <w:r>
        <w:rPr>
          <w:rtl/>
        </w:rPr>
        <w:t xml:space="preserve"> [מי שיודע]. כמו בכסף, מותר שיהיו לאדם ידיעות כאלה, אבל אסור לאהוב אותן: </w:t>
      </w:r>
      <w:proofErr w:type="spellStart"/>
      <w:r>
        <w:rPr>
          <w:rtl/>
        </w:rPr>
        <w:t>קענטשאפט</w:t>
      </w:r>
      <w:proofErr w:type="spellEnd"/>
      <w:r>
        <w:rPr>
          <w:rtl/>
        </w:rPr>
        <w:t xml:space="preserve"> [ידיעות חול] – טרף לאהוב. ואני יודע שר׳ </w:t>
      </w:r>
      <w:proofErr w:type="spellStart"/>
      <w:r>
        <w:rPr>
          <w:rtl/>
        </w:rPr>
        <w:t>חצקל</w:t>
      </w:r>
      <w:proofErr w:type="spellEnd"/>
      <w:r>
        <w:rPr>
          <w:rtl/>
        </w:rPr>
        <w:t xml:space="preserve"> אינו אוהב את הידיעות הללו’”</w:t>
      </w:r>
      <w:bookmarkStart w:id="4951" w:name="_fnr3645"/>
      <w:r>
        <w:rPr>
          <w:vertAlign w:val="superscript"/>
          <w:rtl/>
        </w:rPr>
        <w:footnoteReference w:id="3653" w:customMarkFollows="0"/>
      </w:r>
      <w:bookmarkEnd w:id="4951"/>
      <w:r>
        <w:rPr>
          <w:rtl/>
        </w:rPr>
        <w:t>.</w:t>
      </w:r>
    </w:p>
    <w:p w14:paraId="0C4CB525" w14:textId="77777777" w:rsidR="00AB3647" w:rsidRDefault="00000000" w:rsidP="007923E9">
      <w:pPr>
        <w:spacing w:after="120" w:line="276" w:lineRule="auto"/>
        <w:ind w:firstLine="283"/>
        <w:jc w:val="both"/>
      </w:pPr>
      <w:bookmarkStart w:id="4952" w:name="pr_b_2049"/>
      <w:bookmarkEnd w:id="4952"/>
      <w:r>
        <w:rPr>
          <w:rtl/>
        </w:rPr>
        <w:t xml:space="preserve">בהזדמנות אחרת העיר אבי באירוניה שכאשר “העיר לא רצתה את ר׳ </w:t>
      </w:r>
      <w:proofErr w:type="spellStart"/>
      <w:r>
        <w:rPr>
          <w:rtl/>
        </w:rPr>
        <w:t>חצקל</w:t>
      </w:r>
      <w:proofErr w:type="spellEnd"/>
      <w:r>
        <w:rPr>
          <w:rtl/>
        </w:rPr>
        <w:t xml:space="preserve"> </w:t>
      </w:r>
      <w:proofErr w:type="spellStart"/>
      <w:r>
        <w:rPr>
          <w:rtl/>
        </w:rPr>
        <w:t>ליבשיץ</w:t>
      </w:r>
      <w:proofErr w:type="spellEnd"/>
      <w:r>
        <w:rPr>
          <w:rtl/>
        </w:rPr>
        <w:t xml:space="preserve">, שהיה בעל השכלה בלבד” – דבר שהסבא לא התנגד לו – “קיבלה במקומו מי שבעצמו היה קרוב להשכלה (!)”, ר׳ </w:t>
      </w:r>
      <w:proofErr w:type="spellStart"/>
      <w:r>
        <w:rPr>
          <w:rtl/>
        </w:rPr>
        <w:t>אברהם־דובער</w:t>
      </w:r>
      <w:proofErr w:type="spellEnd"/>
      <w:r>
        <w:rPr>
          <w:rtl/>
        </w:rPr>
        <w:t xml:space="preserve"> </w:t>
      </w:r>
      <w:proofErr w:type="spellStart"/>
      <w:r>
        <w:rPr>
          <w:rtl/>
        </w:rPr>
        <w:t>כהנא־שפירא</w:t>
      </w:r>
      <w:proofErr w:type="spellEnd"/>
      <w:r>
        <w:rPr>
          <w:rtl/>
        </w:rPr>
        <w:t>. אף שכך העריך אבי את רבה האחרון של קובנה, היה קרוב אליו מאוד, העריצו וקיבל ממנו סמיכה</w:t>
      </w:r>
      <w:bookmarkStart w:id="4953" w:name="_fnr3646"/>
      <w:bookmarkStart w:id="4954" w:name="pr_f_3536"/>
      <w:r>
        <w:rPr>
          <w:vertAlign w:val="superscript"/>
          <w:rtl/>
        </w:rPr>
        <w:footnoteReference w:id="3654" w:customMarkFollows="0"/>
      </w:r>
      <w:bookmarkEnd w:id="4953"/>
      <w:bookmarkEnd w:id="4954"/>
      <w:r>
        <w:rPr>
          <w:rtl/>
        </w:rPr>
        <w:t xml:space="preserve">. השווה גם “עובדות והנהגות לבית </w:t>
      </w:r>
      <w:proofErr w:type="spellStart"/>
      <w:r>
        <w:rPr>
          <w:rtl/>
        </w:rPr>
        <w:lastRenderedPageBreak/>
        <w:t>בריסק</w:t>
      </w:r>
      <w:proofErr w:type="spellEnd"/>
      <w:r>
        <w:rPr>
          <w:rtl/>
        </w:rPr>
        <w:t>”</w:t>
      </w:r>
      <w:bookmarkStart w:id="4955" w:name="_fnr3647"/>
      <w:r>
        <w:rPr>
          <w:vertAlign w:val="superscript"/>
          <w:rtl/>
        </w:rPr>
        <w:footnoteReference w:id="3655" w:customMarkFollows="0"/>
      </w:r>
      <w:bookmarkEnd w:id="4955"/>
      <w:r>
        <w:rPr>
          <w:rtl/>
        </w:rPr>
        <w:t xml:space="preserve">, ובו דיווח מפתיע מפי “מקורב </w:t>
      </w:r>
      <w:proofErr w:type="spellStart"/>
      <w:r>
        <w:rPr>
          <w:rtl/>
        </w:rPr>
        <w:t>לר</w:t>
      </w:r>
      <w:proofErr w:type="spellEnd"/>
      <w:r>
        <w:rPr>
          <w:rtl/>
        </w:rPr>
        <w:t xml:space="preserve">׳ </w:t>
      </w:r>
      <w:proofErr w:type="spellStart"/>
      <w:r>
        <w:rPr>
          <w:rtl/>
        </w:rPr>
        <w:t xml:space="preserve">וועלוול׳ה</w:t>
      </w:r>
      <w:proofErr w:type="spellEnd"/>
      <w:r>
        <w:rPr>
          <w:rtl/>
        </w:rPr>
        <w:t xml:space="preserve"> </w:t>
      </w:r>
      <w:proofErr w:type="spellStart"/>
      <w:r>
        <w:rPr>
          <w:rtl/>
        </w:rPr>
        <w:t>סולובייצ׳יק</w:t>
      </w:r>
      <w:proofErr w:type="spellEnd"/>
      <w:r>
        <w:rPr>
          <w:rtl/>
        </w:rPr>
        <w:t xml:space="preserve">”: ר׳ יצחק־זאב אמר שאביו, ר׳ חיים, חשד ברוב רבני ליטא שיש להם נטייה מסוימת להשכלה</w:t>
      </w:r>
      <w:bookmarkStart w:id="4956" w:name="_fnr3648"/>
      <w:r>
        <w:rPr>
          <w:vertAlign w:val="superscript"/>
          <w:rtl/>
        </w:rPr>
        <w:footnoteReference w:id="3656" w:customMarkFollows="0"/>
      </w:r>
      <w:bookmarkEnd w:id="4956"/>
      <w:r>
        <w:rPr>
          <w:rtl/>
        </w:rPr>
        <w:t xml:space="preserve">. תיאורו הנזכר של אבי את ר׳ </w:t>
      </w:r>
      <w:proofErr w:type="spellStart"/>
      <w:r>
        <w:rPr>
          <w:rtl/>
        </w:rPr>
        <w:t>אברהם־דובער</w:t>
      </w:r>
      <w:proofErr w:type="spellEnd"/>
      <w:r>
        <w:rPr>
          <w:rtl/>
        </w:rPr>
        <w:t xml:space="preserve"> </w:t>
      </w:r>
      <w:proofErr w:type="spellStart"/>
      <w:r>
        <w:rPr>
          <w:rtl/>
        </w:rPr>
        <w:t>כהנא־שפירא</w:t>
      </w:r>
      <w:proofErr w:type="spellEnd"/>
      <w:r>
        <w:rPr>
          <w:rtl/>
        </w:rPr>
        <w:t xml:space="preserve"> – שהיה למעשה הרב הראשי של ליטא לאחר מלחמת העולם הראשונה, כשווילנה נלקחה מליטא בידי פולין – נותן יסוד לחשדו של ר׳ חיים.</w:t>
      </w:r>
    </w:p>
    <w:p w14:paraId="75CE0B74" w14:textId="77777777" w:rsidR="00AB3647" w:rsidRDefault="00000000" w:rsidP="007923E9">
      <w:pPr>
        <w:spacing w:after="120" w:line="276" w:lineRule="auto"/>
        <w:ind w:firstLine="283"/>
        <w:jc w:val="both"/>
      </w:pPr>
      <w:r>
        <w:rPr>
          <w:rtl/>
        </w:rPr>
        <w:t xml:space="preserve">כשאמר אבי </w:t>
      </w:r>
      <w:proofErr w:type="spellStart"/>
      <w:r>
        <w:rPr>
          <w:rtl/>
        </w:rPr>
        <w:t>ש“העיר</w:t>
      </w:r>
      <w:proofErr w:type="spellEnd"/>
      <w:r>
        <w:rPr>
          <w:rtl/>
        </w:rPr>
        <w:t xml:space="preserve">” לא רצתה את ר׳ </w:t>
      </w:r>
      <w:proofErr w:type="spellStart"/>
      <w:r>
        <w:rPr>
          <w:rtl/>
        </w:rPr>
        <w:t>חצקל</w:t>
      </w:r>
      <w:proofErr w:type="spellEnd"/>
      <w:r>
        <w:rPr>
          <w:rtl/>
        </w:rPr>
        <w:t xml:space="preserve"> </w:t>
      </w:r>
      <w:proofErr w:type="spellStart"/>
      <w:r>
        <w:rPr>
          <w:rtl/>
        </w:rPr>
        <w:t>ליבשיץ</w:t>
      </w:r>
      <w:proofErr w:type="spellEnd"/>
      <w:r>
        <w:rPr>
          <w:rtl/>
        </w:rPr>
        <w:t xml:space="preserve"> בעל ההשכלה המודרנית, התכוון ללוחם בהשכלה ר׳ יעקב הלוי ליפשיץ, כמבואר בפסקה הרביעית להלן. אולם לפי דברי ר׳ ישראל </w:t>
      </w:r>
      <w:proofErr w:type="spellStart"/>
      <w:r>
        <w:rPr>
          <w:rtl/>
        </w:rPr>
        <w:t>שורין</w:t>
      </w:r>
      <w:bookmarkStart w:id="4957" w:name="_fnr3649"/>
      <w:proofErr w:type="spellEnd"/>
      <w:r>
        <w:rPr>
          <w:vertAlign w:val="superscript"/>
          <w:rtl/>
        </w:rPr>
        <w:footnoteReference w:id="3657" w:customMarkFollows="0"/>
      </w:r>
      <w:bookmarkEnd w:id="4957"/>
      <w:r>
        <w:rPr>
          <w:rtl/>
        </w:rPr>
        <w:t xml:space="preserve"> בשם ר׳ </w:t>
      </w:r>
      <w:proofErr w:type="spellStart"/>
      <w:r>
        <w:rPr>
          <w:rtl/>
        </w:rPr>
        <w:t xml:space="preserve">יוסף־דב</w:t>
      </w:r>
      <w:proofErr w:type="spellEnd"/>
      <w:r>
        <w:rPr>
          <w:rtl/>
        </w:rPr>
        <w:t xml:space="preserve"> </w:t>
      </w:r>
      <w:proofErr w:type="spellStart"/>
      <w:r>
        <w:rPr>
          <w:rtl/>
        </w:rPr>
        <w:t>סולובייצ׳יק</w:t>
      </w:r>
      <w:proofErr w:type="spellEnd"/>
      <w:r>
        <w:rPr>
          <w:rtl/>
        </w:rPr>
        <w:t xml:space="preserve">, השפעתו של ר׳ יעקב הלוי ליפשיץ על בחירת רב לעיר הייתה אז קטנה כל כך, שר׳ </w:t>
      </w:r>
      <w:proofErr w:type="spellStart"/>
      <w:r>
        <w:rPr>
          <w:rtl/>
        </w:rPr>
        <w:t>אברהם־דובער</w:t>
      </w:r>
      <w:proofErr w:type="spellEnd"/>
      <w:r>
        <w:rPr>
          <w:rtl/>
        </w:rPr>
        <w:t xml:space="preserve"> </w:t>
      </w:r>
      <w:proofErr w:type="spellStart"/>
      <w:r>
        <w:rPr>
          <w:rtl/>
        </w:rPr>
        <w:t>כהנא־שפירא</w:t>
      </w:r>
      <w:proofErr w:type="spellEnd"/>
      <w:r>
        <w:rPr>
          <w:rtl/>
        </w:rPr>
        <w:t xml:space="preserve"> קיבל את רבנות קובנה דווקא “מפני שהיה מודרני”. כשגילה ר׳ </w:t>
      </w:r>
      <w:proofErr w:type="spellStart"/>
      <w:r>
        <w:rPr>
          <w:rtl/>
        </w:rPr>
        <w:t xml:space="preserve">יוסף־דב</w:t>
      </w:r>
      <w:proofErr w:type="spellEnd"/>
      <w:r>
        <w:rPr>
          <w:rtl/>
        </w:rPr>
        <w:t xml:space="preserve"> דבר זה, הוסיף: “אל תחשבו שהטעם לכך שסבי ר׳ חיים לא נעשה רבה של קובנה הוא שלא רצה ברבנות הזאת; העיר לא רצתה אותו [מפני שלא היה ‘מודרני’]”.</w:t>
      </w:r>
    </w:p>
    <w:p w14:paraId="7C9A5820" w14:textId="77777777" w:rsidR="00AB3647" w:rsidRDefault="00000000" w:rsidP="007923E9">
      <w:pPr>
        <w:spacing w:after="120" w:line="276" w:lineRule="auto"/>
        <w:ind w:firstLine="283"/>
        <w:jc w:val="both"/>
      </w:pPr>
      <w:r>
        <w:rPr>
          <w:rtl/>
        </w:rPr>
        <w:t xml:space="preserve">נראה אפוא שר׳ חיים </w:t>
      </w:r>
      <w:proofErr w:type="spellStart"/>
      <w:r>
        <w:rPr>
          <w:rtl/>
        </w:rPr>
        <w:t>סולובייצ׳יק</w:t>
      </w:r>
      <w:proofErr w:type="spellEnd"/>
      <w:r>
        <w:rPr>
          <w:rtl/>
        </w:rPr>
        <w:t xml:space="preserve"> היה מעוניין ברבנות קובנה ובעזיבת </w:t>
      </w:r>
      <w:proofErr w:type="spellStart"/>
      <w:r>
        <w:rPr>
          <w:rtl/>
        </w:rPr>
        <w:t>בריסק</w:t>
      </w:r>
      <w:proofErr w:type="spellEnd"/>
      <w:r>
        <w:rPr>
          <w:rtl/>
        </w:rPr>
        <w:t xml:space="preserve"> (!) – לא שהציג בפועל את מועמדותו, אלא שוודאי הביע באוזני מקורביו משאלה כמוסה זו. ייתכן גם שאמירתו שחשד ברוב רבני ליטא, המובאת לעיל </w:t>
      </w:r>
      <w:proofErr w:type="spellStart"/>
      <w:r>
        <w:rPr>
          <w:rtl/>
        </w:rPr>
        <w:t>מ“עובדות</w:t>
      </w:r>
      <w:proofErr w:type="spellEnd"/>
      <w:r>
        <w:rPr>
          <w:rtl/>
        </w:rPr>
        <w:t xml:space="preserve"> והנהגות לבית </w:t>
      </w:r>
      <w:proofErr w:type="spellStart"/>
      <w:r>
        <w:rPr>
          <w:rtl/>
        </w:rPr>
        <w:t>בריסק</w:t>
      </w:r>
      <w:proofErr w:type="spellEnd"/>
      <w:r>
        <w:rPr>
          <w:rtl/>
        </w:rPr>
        <w:t>”, נאמרה בהקשר למשאלה זו. מסתבר שהעדיף את קובנה, שבה ישבו ושימשו אבי אביו ואבות משפחתו משנת תקי״א</w:t>
      </w:r>
      <w:bookmarkStart w:id="4958" w:name="_fnr3650"/>
      <w:r>
        <w:rPr>
          <w:vertAlign w:val="superscript"/>
          <w:rtl/>
        </w:rPr>
        <w:footnoteReference w:id="3658" w:customMarkFollows="0"/>
      </w:r>
      <w:bookmarkEnd w:id="4958"/>
      <w:r>
        <w:rPr>
          <w:rtl/>
        </w:rPr>
        <w:t xml:space="preserve">, על פני </w:t>
      </w:r>
      <w:proofErr w:type="spellStart"/>
      <w:r>
        <w:rPr>
          <w:rtl/>
        </w:rPr>
        <w:t>בריסק</w:t>
      </w:r>
      <w:proofErr w:type="spellEnd"/>
      <w:r>
        <w:rPr>
          <w:rtl/>
        </w:rPr>
        <w:t xml:space="preserve">, שבה היה אביו רב, מפני שאהבת התורה וכבוד תלמידי החכמים היו גדולים בעיר הראשונה, הליטאית, יותר </w:t>
      </w:r>
      <w:proofErr w:type="spellStart"/>
      <w:r>
        <w:rPr>
          <w:rtl/>
        </w:rPr>
        <w:t>מבשנייה</w:t>
      </w:r>
      <w:proofErr w:type="spellEnd"/>
      <w:r>
        <w:rPr>
          <w:rtl/>
        </w:rPr>
        <w:t>, הפולנית</w:t>
      </w:r>
      <w:bookmarkStart w:id="4959" w:name="_fnr3651"/>
      <w:r>
        <w:rPr>
          <w:vertAlign w:val="superscript"/>
          <w:rtl/>
        </w:rPr>
        <w:footnoteReference w:id="3659" w:customMarkFollows="0"/>
      </w:r>
      <w:bookmarkEnd w:id="4959"/>
      <w:r>
        <w:rPr>
          <w:rtl/>
        </w:rPr>
        <w:t>.</w:t>
      </w:r>
    </w:p>
    <w:p w14:paraId="4833AE8C" w14:textId="77777777" w:rsidR="00AB3647" w:rsidRDefault="00000000" w:rsidP="007923E9">
      <w:pPr>
        <w:spacing w:after="120" w:line="276" w:lineRule="auto"/>
        <w:ind w:firstLine="283"/>
        <w:jc w:val="both"/>
      </w:pPr>
      <w:r>
        <w:rPr>
          <w:rtl/>
        </w:rPr>
        <w:t xml:space="preserve">“על סמך מה הניחו”, המשיך אבי, “שהסבא התנגד למועמדות? נערכה </w:t>
      </w:r>
      <w:proofErr w:type="spellStart"/>
      <w:r>
        <w:rPr>
          <w:rtl/>
        </w:rPr>
        <w:t>לר</w:t>
      </w:r>
      <w:proofErr w:type="spellEnd"/>
      <w:r>
        <w:rPr>
          <w:rtl/>
        </w:rPr>
        <w:t xml:space="preserve">׳ </w:t>
      </w:r>
      <w:proofErr w:type="spellStart"/>
      <w:r>
        <w:rPr>
          <w:rtl/>
        </w:rPr>
        <w:t>חצקל</w:t>
      </w:r>
      <w:proofErr w:type="spellEnd"/>
      <w:r>
        <w:rPr>
          <w:rtl/>
        </w:rPr>
        <w:t xml:space="preserve"> קבלת פנים באולם גדול, ובה נכחו כל נכבדי יהודי קובנה. ר׳ </w:t>
      </w:r>
      <w:proofErr w:type="spellStart"/>
      <w:r>
        <w:rPr>
          <w:rtl/>
        </w:rPr>
        <w:t>חצקל</w:t>
      </w:r>
      <w:proofErr w:type="spellEnd"/>
      <w:r>
        <w:rPr>
          <w:rtl/>
        </w:rPr>
        <w:t xml:space="preserve"> ישב, כמנהג המקובל, בראש השולחן המרוחק מן הכניסה לאולם. כשנכנס הסבא, ניגש לקצה השולחן הקרוב לכניסה ונשען עליו. מסתבר שר׳ </w:t>
      </w:r>
      <w:proofErr w:type="spellStart"/>
      <w:r>
        <w:rPr>
          <w:rtl/>
        </w:rPr>
        <w:t>חצקל</w:t>
      </w:r>
      <w:proofErr w:type="spellEnd"/>
      <w:r>
        <w:rPr>
          <w:rtl/>
        </w:rPr>
        <w:t xml:space="preserve"> שאל מי הוא, ומשנאמר לו, ניגש אל הסבא ואמר: ‘שלום עליך רבי ומורי’, והסביר לנאספים: ‘זהו רבי לתנ״ך׳. ר׳ </w:t>
      </w:r>
      <w:proofErr w:type="spellStart"/>
      <w:r>
        <w:rPr>
          <w:rtl/>
        </w:rPr>
        <w:t>חצקל</w:t>
      </w:r>
      <w:proofErr w:type="spellEnd"/>
      <w:r>
        <w:rPr>
          <w:rtl/>
        </w:rPr>
        <w:t xml:space="preserve"> למד אצל ר׳ </w:t>
      </w:r>
      <w:proofErr w:type="spellStart"/>
      <w:r>
        <w:rPr>
          <w:rtl/>
        </w:rPr>
        <w:t>שמחה־זיסל</w:t>
      </w:r>
      <w:proofErr w:type="spellEnd"/>
      <w:r>
        <w:rPr>
          <w:rtl/>
        </w:rPr>
        <w:t xml:space="preserve"> זיו </w:t>
      </w:r>
      <w:proofErr w:type="spellStart"/>
      <w:r>
        <w:rPr>
          <w:rtl/>
        </w:rPr>
        <w:t>בגרובין</w:t>
      </w:r>
      <w:bookmarkStart w:id="4960" w:name="_fnr3652"/>
      <w:proofErr w:type="spellEnd"/>
      <w:r>
        <w:rPr>
          <w:vertAlign w:val="superscript"/>
          <w:rtl/>
        </w:rPr>
        <w:footnoteReference w:id="3660" w:customMarkFollows="0"/>
      </w:r>
      <w:bookmarkEnd w:id="4960"/>
      <w:r>
        <w:rPr>
          <w:rtl/>
        </w:rPr>
        <w:t xml:space="preserve">, שבה לימד הסבא תנ״ך שלושה עשורים קודם לכן. אחר כך הוליך ר׳ </w:t>
      </w:r>
      <w:proofErr w:type="spellStart"/>
      <w:r>
        <w:rPr>
          <w:rtl/>
        </w:rPr>
        <w:t>חצקל</w:t>
      </w:r>
      <w:proofErr w:type="spellEnd"/>
      <w:r>
        <w:rPr>
          <w:rtl/>
        </w:rPr>
        <w:t xml:space="preserve"> את הסבא לראש השולחן. מעשה זה נתפרש כביטוי להתנגדות הסבא: הוא לא ניגש לברך את ר׳ </w:t>
      </w:r>
      <w:proofErr w:type="spellStart"/>
      <w:r>
        <w:rPr>
          <w:rtl/>
        </w:rPr>
        <w:t>חצקל</w:t>
      </w:r>
      <w:proofErr w:type="spellEnd"/>
      <w:r>
        <w:rPr>
          <w:rtl/>
        </w:rPr>
        <w:t xml:space="preserve">, מועמד שכבר נתקבל לרבנות העיר הגדולה שבה שכנה ישיבתו, אלא המתין שר׳ </w:t>
      </w:r>
      <w:proofErr w:type="spellStart"/>
      <w:r>
        <w:rPr>
          <w:rtl/>
        </w:rPr>
        <w:t>חצקל</w:t>
      </w:r>
      <w:proofErr w:type="spellEnd"/>
      <w:r>
        <w:rPr>
          <w:rtl/>
        </w:rPr>
        <w:t xml:space="preserve"> יבוא אליו – זה היה האות למורת רוחו. אולם הסבא אמר לי כך: ‘אז אמרו דברים שונים, אבל אספר לך מה היה באמת. כשנכנסתי וראיתי קהל גדול כל כך, כמעט התעלפתי מחמת </w:t>
      </w:r>
      <w:proofErr w:type="spellStart"/>
      <w:r>
        <w:rPr>
          <w:rtl/>
        </w:rPr>
        <w:t>אימתא</w:t>
      </w:r>
      <w:proofErr w:type="spellEnd"/>
      <w:r>
        <w:rPr>
          <w:rtl/>
        </w:rPr>
        <w:t xml:space="preserve"> </w:t>
      </w:r>
      <w:proofErr w:type="spellStart"/>
      <w:r>
        <w:rPr>
          <w:rtl/>
        </w:rPr>
        <w:t>דציבורא</w:t>
      </w:r>
      <w:proofErr w:type="spellEnd"/>
      <w:r>
        <w:rPr>
          <w:rtl/>
        </w:rPr>
        <w:t xml:space="preserve">, ולכן </w:t>
      </w:r>
      <w:r>
        <w:rPr>
          <w:rtl/>
        </w:rPr>
        <w:lastRenderedPageBreak/>
        <w:t>ניגשתי אל קצה השולחן הקרוב ונשענתי עליו. הם חידשו “דרשות” על הטעם לכך שנשענתי’ – הפירוש המוטעה נודע לסבא כשכבר היה מאוחר מכדי להעמיד את הדברים על אמיתם – ‘אבל האמן לי: כשאני מוסר שיחה לתלמידים, אילו הייתי מסתכל בקהל הייתי מתעלף. אינני יודע שיש קהל סביבי; אני מסתכל בידיי ואינני רואה יותר’”. השווה גם כץ, “תנועת המוסר”, כרך ג</w:t>
      </w:r>
      <w:bookmarkStart w:id="4961" w:name="_fnr3653"/>
      <w:r>
        <w:rPr>
          <w:vertAlign w:val="superscript"/>
          <w:rtl/>
        </w:rPr>
        <w:footnoteReference w:id="3661" w:customMarkFollows="0"/>
      </w:r>
      <w:bookmarkEnd w:id="4961"/>
      <w:r>
        <w:rPr>
          <w:rtl/>
        </w:rPr>
        <w:t>, המגלה שהסבא מעולם לא דיבר באירועים ציבוריים, אבל מייחס זאת לענווה ולא לאימת הציבור.</w:t>
      </w:r>
    </w:p>
    <w:p w14:paraId="01BC127F" w14:textId="77777777" w:rsidR="00AB3647" w:rsidRDefault="00000000" w:rsidP="007923E9">
      <w:pPr>
        <w:pStyle w:val="4"/>
        <w:spacing w:line="276" w:lineRule="auto"/>
      </w:pPr>
      <w:r>
        <w:t>· הפסקה השלישית ·</w:t>
      </w:r>
    </w:p>
    <w:p w14:paraId="271E3940" w14:textId="77777777" w:rsidR="00AB3647" w:rsidRDefault="00000000" w:rsidP="007923E9">
      <w:pPr>
        <w:pStyle w:val="5"/>
        <w:spacing w:line="276" w:lineRule="auto"/>
      </w:pPr>
      <w:r>
        <w:rPr>
          <w:bCs/>
          <w:szCs w:val="26"/>
        </w:rPr>
        <w:t>תמיהת רבנו על אימת הציבור של הסבא</w:t>
      </w:r>
    </w:p>
    <w:p w14:paraId="4D871F0C" w14:textId="77777777" w:rsidR="00AB3647" w:rsidRDefault="00000000" w:rsidP="007923E9">
      <w:pPr>
        <w:pStyle w:val="5"/>
        <w:spacing w:after="160" w:line="276" w:lineRule="auto"/>
      </w:pPr>
      <w:r>
        <w:rPr>
          <w:b/>
          <w:bCs/>
          <w:sz w:val="26"/>
          <w:szCs w:val="26"/>
        </w:rPr>
        <w:t>גדולי תורה נוספים שסבלו ממנה</w:t>
      </w:r>
    </w:p>
    <w:p w14:paraId="53BEF530" w14:textId="77777777" w:rsidR="00AB3647" w:rsidRDefault="00000000" w:rsidP="007923E9">
      <w:pPr>
        <w:spacing w:after="120" w:line="276" w:lineRule="auto"/>
        <w:ind w:firstLine="283"/>
        <w:jc w:val="both"/>
      </w:pPr>
      <w:r>
        <w:rPr>
          <w:rtl/>
        </w:rPr>
        <w:t xml:space="preserve">רבנו תמה מאוד על הסתירה </w:t>
      </w:r>
      <w:proofErr w:type="spellStart"/>
      <w:r>
        <w:rPr>
          <w:rtl/>
        </w:rPr>
        <w:t>שבאימתא</w:t>
      </w:r>
      <w:proofErr w:type="spellEnd"/>
      <w:r>
        <w:rPr>
          <w:rtl/>
        </w:rPr>
        <w:t xml:space="preserve"> </w:t>
      </w:r>
      <w:proofErr w:type="spellStart"/>
      <w:r>
        <w:rPr>
          <w:rtl/>
        </w:rPr>
        <w:t>דציבורא</w:t>
      </w:r>
      <w:proofErr w:type="spellEnd"/>
      <w:r>
        <w:rPr>
          <w:rtl/>
        </w:rPr>
        <w:t xml:space="preserve"> של הסבא, וקרא: “הוא אינו רואה את ד׳ אמותיו, אלא רק את ידיו. זה הטעם להרגלו המוזר: הוא מדבר אל ידיו ואינו רואה אנשים! האיש ניהל מה שקוראים (רופט </w:t>
      </w:r>
      <w:proofErr w:type="spellStart"/>
      <w:r>
        <w:rPr>
          <w:rtl/>
        </w:rPr>
        <w:t>זיך</w:t>
      </w:r>
      <w:proofErr w:type="spellEnd"/>
      <w:r>
        <w:rPr>
          <w:rtl/>
        </w:rPr>
        <w:t xml:space="preserve"> </w:t>
      </w:r>
      <w:proofErr w:type="spellStart"/>
      <w:r>
        <w:rPr>
          <w:rtl/>
        </w:rPr>
        <w:t>דאס</w:t>
      </w:r>
      <w:proofErr w:type="spellEnd"/>
      <w:r>
        <w:rPr>
          <w:rtl/>
        </w:rPr>
        <w:t>) מלחמה נגד העולם; זה לא היה דבר פשוט כלל...</w:t>
      </w:r>
      <w:bookmarkStart w:id="4962" w:name="_fnr3654"/>
      <w:r>
        <w:rPr>
          <w:vertAlign w:val="superscript"/>
          <w:rtl/>
        </w:rPr>
        <w:footnoteReference w:id="3662" w:customMarkFollows="0"/>
      </w:r>
      <w:bookmarkEnd w:id="4962"/>
      <w:r>
        <w:rPr>
          <w:rtl/>
        </w:rPr>
        <w:t xml:space="preserve"> אדם בעל תקיפות הדעת כזאת סבל </w:t>
      </w:r>
      <w:proofErr w:type="spellStart"/>
      <w:r>
        <w:rPr>
          <w:rtl/>
        </w:rPr>
        <w:t>מאימתא</w:t>
      </w:r>
      <w:proofErr w:type="spellEnd"/>
      <w:r>
        <w:rPr>
          <w:rtl/>
        </w:rPr>
        <w:t xml:space="preserve"> </w:t>
      </w:r>
      <w:proofErr w:type="spellStart"/>
      <w:r>
        <w:rPr>
          <w:rtl/>
        </w:rPr>
        <w:t>דציבורא</w:t>
      </w:r>
      <w:proofErr w:type="spellEnd"/>
      <w:r>
        <w:rPr>
          <w:rtl/>
        </w:rPr>
        <w:t xml:space="preserve"> כשעמדו סביבו כמה מאות בחורים – לא כולם ‘דובים’ [אנשים שיש לחשוש מפניהם]; היו ביניהם </w:t>
      </w:r>
      <w:proofErr w:type="spellStart"/>
      <w:r>
        <w:rPr>
          <w:rtl/>
        </w:rPr>
        <w:t>בחורים׳לאך</w:t>
      </w:r>
      <w:proofErr w:type="spellEnd"/>
      <w:r>
        <w:rPr>
          <w:rtl/>
        </w:rPr>
        <w:t xml:space="preserve">, </w:t>
      </w:r>
      <w:proofErr w:type="spellStart"/>
      <w:r>
        <w:rPr>
          <w:rtl/>
        </w:rPr>
        <w:t>יונגע</w:t>
      </w:r>
      <w:proofErr w:type="spellEnd"/>
      <w:r>
        <w:rPr>
          <w:rtl/>
        </w:rPr>
        <w:t xml:space="preserve"> </w:t>
      </w:r>
      <w:proofErr w:type="spellStart"/>
      <w:r>
        <w:rPr>
          <w:rtl/>
        </w:rPr>
        <w:t>אינגלאך</w:t>
      </w:r>
      <w:proofErr w:type="spellEnd"/>
      <w:r>
        <w:rPr>
          <w:rtl/>
        </w:rPr>
        <w:t xml:space="preserve"> [בחורים צעירים, ילדים צעירים] רבים – והייתה לו </w:t>
      </w:r>
      <w:proofErr w:type="spellStart"/>
      <w:r>
        <w:rPr>
          <w:rtl/>
        </w:rPr>
        <w:t>אימתא</w:t>
      </w:r>
      <w:proofErr w:type="spellEnd"/>
      <w:r>
        <w:rPr>
          <w:rtl/>
        </w:rPr>
        <w:t xml:space="preserve"> </w:t>
      </w:r>
      <w:proofErr w:type="spellStart"/>
      <w:r>
        <w:rPr>
          <w:rtl/>
        </w:rPr>
        <w:t>דציבורא</w:t>
      </w:r>
      <w:proofErr w:type="spellEnd"/>
      <w:r>
        <w:rPr>
          <w:rtl/>
        </w:rPr>
        <w:t>! הוא ראה [</w:t>
      </w:r>
      <w:proofErr w:type="spellStart"/>
      <w:r>
        <w:rPr>
          <w:rtl/>
        </w:rPr>
        <w:t>דערזעהן</w:t>
      </w:r>
      <w:proofErr w:type="spellEnd"/>
      <w:r>
        <w:rPr>
          <w:rtl/>
        </w:rPr>
        <w:t>] שולחן מלא אנשים, וכדבריו כמעט התמוטט ונאלץ להיאחז בשולחן!”</w:t>
      </w:r>
    </w:p>
    <w:p w14:paraId="5FD10681" w14:textId="50C7DE0D" w:rsidR="00AB3647" w:rsidRDefault="00000000" w:rsidP="007923E9">
      <w:pPr>
        <w:spacing w:after="120" w:line="276" w:lineRule="auto"/>
        <w:ind w:firstLine="283"/>
        <w:jc w:val="both"/>
      </w:pPr>
      <w:r>
        <w:rPr>
          <w:rtl/>
        </w:rPr>
        <w:t xml:space="preserve">התמיהה גדלה אם נקבל את הדיווח שבהערה </w:t>
      </w:r>
      <w:r>
        <w:rPr>
          <w:rtl/>
        </w:rPr>
        <w:fldChar w:fldCharType="begin" w:dirty="true"/>
      </w:r>
      <w:r>
        <w:rPr>
          <w:rtl/>
        </w:rPr>
        <w:instrText xml:space="preserve"> REF b4_note18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18</w:t>
      </w:r>
      <w:r>
        <w:rPr>
          <w:rtl/>
        </w:rPr>
        <w:fldChar w:fldCharType="end"/>
      </w:r>
      <w:r>
        <w:rPr>
          <w:rtl/>
        </w:rPr>
        <w:t xml:space="preserve"> לעיל, שהסבא היה נבהל ומשפיל מבטו אל ציפורניו אפילו בשיחה עם יחידים שאינם מוכרים לו – ואבי לא סיפר שתלמידי ר׳ </w:t>
      </w:r>
      <w:proofErr w:type="spellStart"/>
      <w:r>
        <w:rPr>
          <w:rtl/>
        </w:rPr>
        <w:t>נתן־צבי</w:t>
      </w:r>
      <w:proofErr w:type="spellEnd"/>
      <w:r>
        <w:rPr>
          <w:rtl/>
        </w:rPr>
        <w:t xml:space="preserve"> חיקו את ההנהגה הזאת. השווה גם פרק 3, תחילת </w:t>
      </w:r>
      <w:r>
        <w:rPr>
          <w:rtl/>
        </w:rPr>
        <w:fldChar w:fldCharType="begin" w:dirty="true"/>
      </w:r>
      <w:r>
        <w:rPr>
          <w:rtl/>
        </w:rPr>
        <w:instrText xml:space="preserve"> REF b3_excE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ה</w:t>
      </w:r>
      <w:r>
        <w:rPr>
          <w:rtl/>
        </w:rPr>
        <w:fldChar w:fldCharType="end"/>
      </w:r>
      <w:r>
        <w:rPr>
          <w:rtl/>
        </w:rPr>
        <w:t>.</w:t>
      </w:r>
    </w:p>
    <w:p w14:paraId="70F37B6C" w14:textId="77777777" w:rsidR="00AB3647" w:rsidRDefault="00000000" w:rsidP="007923E9">
      <w:pPr>
        <w:spacing w:after="120" w:line="276" w:lineRule="auto"/>
        <w:ind w:firstLine="283"/>
        <w:jc w:val="both"/>
      </w:pPr>
      <w:r>
        <w:rPr>
          <w:rtl/>
        </w:rPr>
        <w:t xml:space="preserve">נראה שאימת הציבור הייתה תכונה משפחתית: ר׳ שלמה פישר, תלמיד קרוב לבנו של הסבא, ר׳ </w:t>
      </w:r>
      <w:proofErr w:type="spellStart"/>
      <w:r>
        <w:rPr>
          <w:rtl/>
        </w:rPr>
        <w:t>לייזר־יודל</w:t>
      </w:r>
      <w:proofErr w:type="spellEnd"/>
      <w:r>
        <w:rPr>
          <w:rtl/>
        </w:rPr>
        <w:t xml:space="preserve">, בישיבת </w:t>
      </w:r>
      <w:proofErr w:type="spellStart"/>
      <w:r>
        <w:rPr>
          <w:rtl/>
        </w:rPr>
        <w:t>מיר</w:t>
      </w:r>
      <w:proofErr w:type="spellEnd"/>
      <w:r>
        <w:rPr>
          <w:rtl/>
        </w:rPr>
        <w:t xml:space="preserve"> בירושלים, סיפר</w:t>
      </w:r>
      <w:bookmarkStart w:id="4963" w:name="_fnr3655"/>
      <w:r>
        <w:rPr>
          <w:vertAlign w:val="superscript"/>
          <w:rtl/>
        </w:rPr>
        <w:footnoteReference w:id="3663" w:customMarkFollows="0"/>
      </w:r>
      <w:bookmarkEnd w:id="4963"/>
      <w:r>
        <w:rPr>
          <w:rtl/>
        </w:rPr>
        <w:t xml:space="preserve"> שרבו היה מוסר את שיעורו בעיניים עצומות מחמת אימת הציבור. השווה גם מאמרו של הרב ניסן וקסמן על ר׳ </w:t>
      </w:r>
      <w:proofErr w:type="spellStart"/>
      <w:r>
        <w:rPr>
          <w:rtl/>
        </w:rPr>
        <w:t>אליעזר־יהודה</w:t>
      </w:r>
      <w:proofErr w:type="spellEnd"/>
      <w:r>
        <w:rPr>
          <w:rtl/>
        </w:rPr>
        <w:t xml:space="preserve"> </w:t>
      </w:r>
      <w:proofErr w:type="spellStart"/>
      <w:r>
        <w:rPr>
          <w:rtl/>
        </w:rPr>
        <w:t>פינקל</w:t>
      </w:r>
      <w:bookmarkStart w:id="4964" w:name="_fnr3656"/>
      <w:proofErr w:type="spellEnd"/>
      <w:r>
        <w:rPr>
          <w:vertAlign w:val="superscript"/>
          <w:rtl/>
        </w:rPr>
        <w:footnoteReference w:id="3664" w:customMarkFollows="0"/>
      </w:r>
      <w:bookmarkEnd w:id="4964"/>
      <w:r>
        <w:rPr>
          <w:rtl/>
        </w:rPr>
        <w:t xml:space="preserve">: המחבר מספר ששאל את ר׳ </w:t>
      </w:r>
      <w:proofErr w:type="spellStart"/>
      <w:r>
        <w:rPr>
          <w:rtl/>
        </w:rPr>
        <w:t>לייזר־יודל</w:t>
      </w:r>
      <w:proofErr w:type="spellEnd"/>
      <w:r>
        <w:rPr>
          <w:rtl/>
        </w:rPr>
        <w:t>, כשהיה ראש ישיבה באירופה – שלושים שנה לפני שלמד אצלו הרב פישר – מדוע הוא עוצם עיניים בשיעורו, הנמסר פעמיים בשבוע. “הוא השיב בפשטות: ‘מפני שאני מתבייש להסתכל בפני הציבור’”.</w:t>
      </w:r>
    </w:p>
    <w:p w14:paraId="47D2C20A" w14:textId="1E9E82F9" w:rsidR="00AB3647" w:rsidRDefault="00000000" w:rsidP="007923E9">
      <w:pPr>
        <w:spacing w:after="120" w:line="276" w:lineRule="auto"/>
        <w:ind w:firstLine="283"/>
        <w:jc w:val="both"/>
      </w:pPr>
      <w:r>
        <w:rPr>
          <w:rtl/>
        </w:rPr>
        <w:t xml:space="preserve">מפתיע ביותר הגילוי </w:t>
      </w:r>
      <w:proofErr w:type="spellStart"/>
      <w:r>
        <w:rPr>
          <w:rtl/>
        </w:rPr>
        <w:t>ב“שמושה</w:t>
      </w:r>
      <w:proofErr w:type="spellEnd"/>
      <w:r>
        <w:rPr>
          <w:rtl/>
        </w:rPr>
        <w:t xml:space="preserve"> של תורה”</w:t>
      </w:r>
      <w:bookmarkStart w:id="4965" w:name="_fnr3657"/>
      <w:r>
        <w:rPr>
          <w:vertAlign w:val="superscript"/>
          <w:rtl/>
        </w:rPr>
        <w:footnoteReference w:id="3665" w:customMarkFollows="0"/>
      </w:r>
      <w:bookmarkEnd w:id="4965"/>
      <w:r>
        <w:rPr>
          <w:rtl/>
        </w:rPr>
        <w:t xml:space="preserve">, שר׳ </w:t>
      </w:r>
      <w:proofErr w:type="spellStart"/>
      <w:r>
        <w:rPr>
          <w:rtl/>
        </w:rPr>
        <w:t>צבי־הירש</w:t>
      </w:r>
      <w:proofErr w:type="spellEnd"/>
      <w:r>
        <w:rPr>
          <w:rtl/>
        </w:rPr>
        <w:t xml:space="preserve"> </w:t>
      </w:r>
      <w:proofErr w:type="spellStart"/>
      <w:r>
        <w:rPr>
          <w:rtl/>
        </w:rPr>
        <w:t>רבינוביץ</w:t>
      </w:r>
      <w:bookmarkStart w:id="4966" w:name="_fnr3658"/>
      <w:proofErr w:type="spellEnd"/>
      <w:r>
        <w:rPr>
          <w:vertAlign w:val="superscript"/>
          <w:rtl/>
        </w:rPr>
        <w:footnoteReference w:id="3666" w:customMarkFollows="0"/>
      </w:r>
      <w:bookmarkEnd w:id="4966"/>
      <w:r>
        <w:rPr>
          <w:rtl/>
        </w:rPr>
        <w:t xml:space="preserve"> סבל מאימת הציבור במידה גדולה מאוד. כפי שסיפר בעצמו, בזקנותו גבר הדבר עד שהיה “מפחד </w:t>
      </w:r>
      <w:r>
        <w:rPr>
          <w:rtl/>
        </w:rPr>
        <w:lastRenderedPageBreak/>
        <w:t xml:space="preserve">שיקראוהו לעלות לתורה”. השווה גם פרק 4, הפסקה הראשונה של </w:t>
      </w:r>
      <w:r>
        <w:rPr>
          <w:rtl/>
        </w:rPr>
        <w:fldChar w:fldCharType="begin" w:dirty="true"/>
      </w:r>
      <w:r>
        <w:rPr>
          <w:rtl/>
        </w:rPr>
        <w:instrText xml:space="preserve"> REF b4_excM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יג</w:t>
      </w:r>
      <w:proofErr w:type="spellEnd"/>
      <w:r>
        <w:rPr>
          <w:rtl/>
        </w:rPr>
        <w:fldChar w:fldCharType="end"/>
      </w:r>
      <w:r>
        <w:rPr>
          <w:rtl/>
        </w:rPr>
        <w:t xml:space="preserve">, שגם ר׳ חיים </w:t>
      </w:r>
      <w:proofErr w:type="spellStart"/>
      <w:r>
        <w:rPr>
          <w:rtl/>
        </w:rPr>
        <w:t>סולובייצ׳יק</w:t>
      </w:r>
      <w:proofErr w:type="spellEnd"/>
      <w:r>
        <w:rPr>
          <w:rtl/>
        </w:rPr>
        <w:t xml:space="preserve"> סבל </w:t>
      </w:r>
      <w:proofErr w:type="spellStart"/>
      <w:r>
        <w:rPr>
          <w:rtl/>
        </w:rPr>
        <w:t>מאימתא</w:t>
      </w:r>
      <w:proofErr w:type="spellEnd"/>
      <w:r>
        <w:rPr>
          <w:rtl/>
        </w:rPr>
        <w:t xml:space="preserve"> </w:t>
      </w:r>
      <w:proofErr w:type="spellStart"/>
      <w:r>
        <w:rPr>
          <w:rtl/>
        </w:rPr>
        <w:t>דציבורא</w:t>
      </w:r>
      <w:proofErr w:type="spellEnd"/>
      <w:r>
        <w:rPr>
          <w:rtl/>
        </w:rPr>
        <w:t>.</w:t>
      </w:r>
    </w:p>
    <w:p w14:paraId="7B6AD15F" w14:textId="77777777" w:rsidR="00AB3647" w:rsidRDefault="00000000" w:rsidP="007923E9">
      <w:pPr>
        <w:pStyle w:val="4"/>
        <w:spacing w:line="276" w:lineRule="auto"/>
      </w:pPr>
      <w:r>
        <w:t>· הפסקה הרביעית ·</w:t>
      </w:r>
    </w:p>
    <w:p w14:paraId="4BEF1E40" w14:textId="77777777" w:rsidR="00AB3647" w:rsidRDefault="00000000" w:rsidP="007923E9">
      <w:pPr>
        <w:pStyle w:val="5"/>
        <w:spacing w:line="276" w:lineRule="auto"/>
      </w:pPr>
      <w:r>
        <w:rPr>
          <w:bCs/>
          <w:szCs w:val="26"/>
        </w:rPr>
        <w:t xml:space="preserve">ר׳ יעקב הלוי ליפשיץ מחליט למנוע את שובו של ר׳ </w:t>
      </w:r>
      <w:proofErr w:type="spellStart"/>
      <w:r>
        <w:rPr>
          <w:bCs/>
          <w:szCs w:val="26"/>
        </w:rPr>
        <w:t>חצקל</w:t>
      </w:r>
      <w:proofErr w:type="spellEnd"/>
      <w:r>
        <w:rPr>
          <w:bCs/>
          <w:szCs w:val="26"/>
        </w:rPr>
        <w:t xml:space="preserve"> </w:t>
      </w:r>
      <w:proofErr w:type="spellStart"/>
      <w:r>
        <w:rPr>
          <w:bCs/>
          <w:szCs w:val="26"/>
        </w:rPr>
        <w:t>ליבשיץ</w:t>
      </w:r>
      <w:proofErr w:type="spellEnd"/>
      <w:r>
        <w:rPr>
          <w:bCs/>
          <w:szCs w:val="26"/>
        </w:rPr>
        <w:t xml:space="preserve"> לקובנה</w:t>
      </w:r>
    </w:p>
    <w:p w14:paraId="2F685717" w14:textId="77777777" w:rsidR="00AB3647" w:rsidRDefault="00000000" w:rsidP="007923E9">
      <w:pPr>
        <w:pStyle w:val="5"/>
        <w:spacing w:after="160" w:line="276" w:lineRule="auto"/>
      </w:pPr>
      <w:r>
        <w:rPr>
          <w:b/>
          <w:bCs/>
          <w:sz w:val="26"/>
          <w:szCs w:val="26"/>
        </w:rPr>
        <w:t xml:space="preserve">התנגדות ר׳ </w:t>
      </w:r>
      <w:proofErr w:type="spellStart"/>
      <w:r>
        <w:rPr>
          <w:b/>
          <w:bCs/>
          <w:sz w:val="26"/>
          <w:szCs w:val="26"/>
        </w:rPr>
        <w:t>אליהו־חיים</w:t>
      </w:r>
      <w:proofErr w:type="spellEnd"/>
      <w:r>
        <w:rPr>
          <w:b/>
          <w:bCs/>
          <w:sz w:val="26"/>
          <w:szCs w:val="26"/>
        </w:rPr>
        <w:t xml:space="preserve"> </w:t>
      </w:r>
      <w:proofErr w:type="spellStart"/>
      <w:r>
        <w:rPr>
          <w:b/>
          <w:bCs/>
          <w:sz w:val="26"/>
          <w:szCs w:val="26"/>
        </w:rPr>
        <w:t>מייזל</w:t>
      </w:r>
      <w:proofErr w:type="spellEnd"/>
      <w:r>
        <w:rPr>
          <w:b/>
          <w:bCs/>
          <w:sz w:val="26"/>
          <w:szCs w:val="26"/>
        </w:rPr>
        <w:t xml:space="preserve"> למינוי ר׳ חיים </w:t>
      </w:r>
      <w:proofErr w:type="spellStart"/>
      <w:r>
        <w:rPr>
          <w:b/>
          <w:bCs/>
          <w:sz w:val="26"/>
          <w:szCs w:val="26"/>
        </w:rPr>
        <w:t xml:space="preserve">הלר</w:t>
      </w:r>
      <w:proofErr w:type="spellEnd"/>
      <w:r>
        <w:rPr>
          <w:b/>
          <w:bCs/>
          <w:sz w:val="26"/>
          <w:szCs w:val="26"/>
        </w:rPr>
        <w:t xml:space="preserve"> </w:t>
      </w:r>
      <w:proofErr w:type="spellStart"/>
      <w:r>
        <w:rPr>
          <w:b/>
          <w:bCs/>
          <w:sz w:val="26"/>
          <w:szCs w:val="26"/>
        </w:rPr>
        <w:t>בלומז׳ה</w:t>
      </w:r>
      <w:proofErr w:type="spellEnd"/>
    </w:p>
    <w:p w14:paraId="50E1DF07" w14:textId="77777777" w:rsidR="00AB3647" w:rsidRDefault="00000000" w:rsidP="007923E9">
      <w:pPr>
        <w:pStyle w:val="5"/>
        <w:spacing w:after="160" w:line="276" w:lineRule="auto"/>
      </w:pPr>
      <w:r>
        <w:rPr>
          <w:b/>
          <w:bCs/>
          <w:sz w:val="26"/>
          <w:szCs w:val="26"/>
        </w:rPr>
        <w:t xml:space="preserve">ר׳ </w:t>
      </w:r>
      <w:proofErr w:type="spellStart"/>
      <w:r>
        <w:rPr>
          <w:b/>
          <w:bCs/>
          <w:sz w:val="26"/>
          <w:szCs w:val="26"/>
        </w:rPr>
        <w:t>חצקל</w:t>
      </w:r>
      <w:proofErr w:type="spellEnd"/>
      <w:r>
        <w:rPr>
          <w:b/>
          <w:bCs/>
          <w:sz w:val="26"/>
          <w:szCs w:val="26"/>
        </w:rPr>
        <w:t xml:space="preserve"> </w:t>
      </w:r>
      <w:proofErr w:type="spellStart"/>
      <w:r>
        <w:rPr>
          <w:b/>
          <w:bCs/>
          <w:sz w:val="26"/>
          <w:szCs w:val="26"/>
        </w:rPr>
        <w:t>ליבשיץ</w:t>
      </w:r>
      <w:proofErr w:type="spellEnd"/>
      <w:r>
        <w:rPr>
          <w:b/>
          <w:bCs/>
          <w:sz w:val="26"/>
          <w:szCs w:val="26"/>
        </w:rPr>
        <w:t xml:space="preserve"> אינו מוזמן לסדר קידושין בחתונת ר׳ משה </w:t>
      </w:r>
      <w:proofErr w:type="spellStart"/>
      <w:r>
        <w:rPr>
          <w:b/>
          <w:bCs/>
          <w:sz w:val="26"/>
          <w:szCs w:val="26"/>
        </w:rPr>
        <w:t>פינקל</w:t>
      </w:r>
      <w:proofErr w:type="spellEnd"/>
    </w:p>
    <w:p w14:paraId="0435E8F0" w14:textId="77777777" w:rsidR="00AB3647" w:rsidRDefault="00000000" w:rsidP="007923E9">
      <w:pPr>
        <w:spacing w:after="120" w:line="276" w:lineRule="auto"/>
        <w:ind w:firstLine="283"/>
        <w:jc w:val="both"/>
      </w:pPr>
      <w:r>
        <w:rPr>
          <w:rtl/>
        </w:rPr>
        <w:t>ר׳ יעקב ליפשיץ סיפר</w:t>
      </w:r>
      <w:bookmarkStart w:id="4967" w:name="_fnr3659"/>
      <w:r>
        <w:rPr>
          <w:vertAlign w:val="superscript"/>
          <w:rtl/>
        </w:rPr>
        <w:footnoteReference w:id="3667" w:customMarkFollows="0"/>
      </w:r>
      <w:bookmarkEnd w:id="4967"/>
      <w:r>
        <w:rPr>
          <w:rtl/>
        </w:rPr>
        <w:t xml:space="preserve"> שסבו, שנקרא אף הוא ר׳ יעקב הלוי ליפשיץ, ליווה עם משלחת מראשי העיר את ר׳ </w:t>
      </w:r>
      <w:proofErr w:type="spellStart"/>
      <w:r>
        <w:rPr>
          <w:rtl/>
        </w:rPr>
        <w:t>חצקל</w:t>
      </w:r>
      <w:proofErr w:type="spellEnd"/>
      <w:r>
        <w:rPr>
          <w:rtl/>
        </w:rPr>
        <w:t xml:space="preserve"> לתחנת הרכבת בקובנה, ולאחר מכן הכריז בתוקף שרבה של </w:t>
      </w:r>
      <w:proofErr w:type="spellStart"/>
      <w:r>
        <w:rPr>
          <w:rtl/>
        </w:rPr>
        <w:t>קאליש</w:t>
      </w:r>
      <w:proofErr w:type="spellEnd"/>
      <w:r>
        <w:rPr>
          <w:rtl/>
        </w:rPr>
        <w:t xml:space="preserve"> לא יתמנה בעירם. כשיצאה הרכבת מן התחנה הרים ר׳ </w:t>
      </w:r>
      <w:proofErr w:type="spellStart"/>
      <w:r>
        <w:rPr>
          <w:rtl/>
        </w:rPr>
        <w:t>חצקל</w:t>
      </w:r>
      <w:proofErr w:type="spellEnd"/>
      <w:r>
        <w:rPr>
          <w:rtl/>
        </w:rPr>
        <w:t xml:space="preserve"> </w:t>
      </w:r>
      <w:proofErr w:type="spellStart"/>
      <w:r>
        <w:rPr>
          <w:rtl/>
        </w:rPr>
        <w:t>ליבשיץ</w:t>
      </w:r>
      <w:proofErr w:type="spellEnd"/>
      <w:r>
        <w:rPr>
          <w:rtl/>
        </w:rPr>
        <w:t xml:space="preserve"> את כובעו כדי לברך את בעלי הבתים שליוו אותו – מחווה </w:t>
      </w:r>
      <w:proofErr w:type="spellStart"/>
      <w:r>
        <w:rPr>
          <w:rtl/>
        </w:rPr>
        <w:t>מערב־אירופית</w:t>
      </w:r>
      <w:proofErr w:type="spellEnd"/>
      <w:r>
        <w:rPr>
          <w:rtl/>
        </w:rPr>
        <w:t>, שעוררה חשד שהוא נוטה להשכלה.</w:t>
      </w:r>
    </w:p>
    <w:p w14:paraId="2335E70D" w14:textId="77777777" w:rsidR="00AB3647" w:rsidRDefault="00000000" w:rsidP="007923E9">
      <w:pPr>
        <w:spacing w:after="120" w:line="276" w:lineRule="auto"/>
        <w:ind w:firstLine="283"/>
        <w:jc w:val="both"/>
      </w:pPr>
      <w:r>
        <w:rPr>
          <w:rtl/>
        </w:rPr>
        <w:t>הביטוי “</w:t>
      </w:r>
      <w:proofErr w:type="spellStart"/>
      <w:r>
        <w:rPr>
          <w:rtl/>
        </w:rPr>
        <w:t>ה׳פוליטיקה</w:t>
      </w:r>
      <w:proofErr w:type="spellEnd"/>
      <w:r>
        <w:rPr>
          <w:rtl/>
        </w:rPr>
        <w:t xml:space="preserve"> העמוקה’ של אותם ימים”, שהובא מפי רבנו בפסקה השנייה לעיל, מכוון בוודאי למדיניותו של ר׳ יעקב הלוי ליפשיץ בקובנה. הוא היה הכוח המרכזי בניהול העיר מאז ימי ר׳ </w:t>
      </w:r>
      <w:proofErr w:type="spellStart"/>
      <w:r>
        <w:rPr>
          <w:rtl/>
        </w:rPr>
        <w:t>יצחק־אלחנן</w:t>
      </w:r>
      <w:proofErr w:type="spellEnd"/>
      <w:r>
        <w:rPr>
          <w:rtl/>
        </w:rPr>
        <w:t xml:space="preserve">, כמובא בפרק 3, הערות 36, 49 ו־54. אבל אפשר שאבי התכוון גם </w:t>
      </w:r>
      <w:proofErr w:type="spellStart"/>
      <w:r>
        <w:rPr>
          <w:rtl/>
        </w:rPr>
        <w:t>ל“פוליטיקה</w:t>
      </w:r>
      <w:proofErr w:type="spellEnd"/>
      <w:r>
        <w:rPr>
          <w:rtl/>
        </w:rPr>
        <w:t xml:space="preserve"> העמוקה” של אחרים: השווה “לפרקים”</w:t>
      </w:r>
      <w:bookmarkStart w:id="4968" w:name="_fnr3660"/>
      <w:r>
        <w:rPr>
          <w:vertAlign w:val="superscript"/>
          <w:rtl/>
        </w:rPr>
        <w:footnoteReference w:id="3668" w:customMarkFollows="0"/>
      </w:r>
      <w:bookmarkEnd w:id="4968"/>
      <w:r>
        <w:rPr>
          <w:rtl/>
        </w:rPr>
        <w:t xml:space="preserve">, ובו תיאור מאבקי הכוחות המיוחסים לגורמים שונים בקובנה, משנה לאחר פטירת ר׳ </w:t>
      </w:r>
      <w:proofErr w:type="spellStart"/>
      <w:r>
        <w:rPr>
          <w:rtl/>
        </w:rPr>
        <w:t>צבי־הירש</w:t>
      </w:r>
      <w:proofErr w:type="spellEnd"/>
      <w:r>
        <w:rPr>
          <w:rtl/>
        </w:rPr>
        <w:t xml:space="preserve"> </w:t>
      </w:r>
      <w:proofErr w:type="spellStart"/>
      <w:r>
        <w:rPr>
          <w:rtl/>
        </w:rPr>
        <w:t>רבינוביץ</w:t>
      </w:r>
      <w:proofErr w:type="spellEnd"/>
      <w:r>
        <w:rPr>
          <w:rtl/>
        </w:rPr>
        <w:t xml:space="preserve">, כשהחל החיפוש אחר רב, ועד מינוי ר׳ </w:t>
      </w:r>
      <w:proofErr w:type="spellStart"/>
      <w:r>
        <w:rPr>
          <w:rtl/>
        </w:rPr>
        <w:t>אברהם־דובער</w:t>
      </w:r>
      <w:proofErr w:type="spellEnd"/>
      <w:r>
        <w:rPr>
          <w:rtl/>
        </w:rPr>
        <w:t xml:space="preserve"> </w:t>
      </w:r>
      <w:proofErr w:type="spellStart"/>
      <w:r>
        <w:rPr>
          <w:rtl/>
        </w:rPr>
        <w:t>כהנא־שפירא</w:t>
      </w:r>
      <w:proofErr w:type="spellEnd"/>
      <w:r>
        <w:rPr>
          <w:rtl/>
        </w:rPr>
        <w:t xml:space="preserve"> – תיאור שרב בו הנסתר על הגלוי.</w:t>
      </w:r>
    </w:p>
    <w:p w14:paraId="65EDA979" w14:textId="77777777" w:rsidR="00AB3647" w:rsidRDefault="00000000" w:rsidP="007923E9">
      <w:pPr>
        <w:spacing w:after="120" w:line="276" w:lineRule="auto"/>
        <w:ind w:firstLine="283"/>
        <w:jc w:val="both"/>
      </w:pPr>
      <w:r>
        <w:rPr>
          <w:rtl/>
        </w:rPr>
        <w:t xml:space="preserve">ר׳ יעקב ליפשיץ הוסיף שכאשר סיפר זאת לאבי, השיב אבי שלא המחווה לבדה פסלה את ר׳ </w:t>
      </w:r>
      <w:proofErr w:type="spellStart"/>
      <w:r>
        <w:rPr>
          <w:rtl/>
        </w:rPr>
        <w:t>חצקל</w:t>
      </w:r>
      <w:proofErr w:type="spellEnd"/>
      <w:r>
        <w:rPr>
          <w:rtl/>
        </w:rPr>
        <w:t xml:space="preserve"> </w:t>
      </w:r>
      <w:proofErr w:type="spellStart"/>
      <w:r>
        <w:rPr>
          <w:rtl/>
        </w:rPr>
        <w:t>ליבשיץ</w:t>
      </w:r>
      <w:proofErr w:type="spellEnd"/>
      <w:r>
        <w:rPr>
          <w:rtl/>
        </w:rPr>
        <w:t xml:space="preserve">, אלא גם העובדה שדיבר צרפתית שוטפת. רבנו זכר שר׳ יעקב הלוי ליפשיץ, מנכבדי קובנה, אמר </w:t>
      </w:r>
      <w:proofErr w:type="spellStart"/>
      <w:r>
        <w:rPr>
          <w:rtl/>
        </w:rPr>
        <w:t>ש“אינו</w:t>
      </w:r>
      <w:proofErr w:type="spellEnd"/>
      <w:r>
        <w:rPr>
          <w:rtl/>
        </w:rPr>
        <w:t xml:space="preserve"> רוצה שיאמרו שהעיר לקחה רב מפני שהוא יודע צרפתית”.</w:t>
      </w:r>
    </w:p>
    <w:p w14:paraId="698B794C" w14:textId="77777777" w:rsidR="00AB3647" w:rsidRDefault="00000000" w:rsidP="007923E9">
      <w:pPr>
        <w:spacing w:after="120" w:line="276" w:lineRule="auto"/>
        <w:ind w:firstLine="283"/>
        <w:jc w:val="both"/>
      </w:pPr>
      <w:r>
        <w:rPr>
          <w:rtl/>
        </w:rPr>
        <w:t xml:space="preserve">הדבר מזכיר הוראה שלא נשמעה, שהורה בפומבי ר׳ </w:t>
      </w:r>
      <w:proofErr w:type="spellStart"/>
      <w:r>
        <w:rPr>
          <w:rtl/>
        </w:rPr>
        <w:t>אליהו־חיים</w:t>
      </w:r>
      <w:proofErr w:type="spellEnd"/>
      <w:r>
        <w:rPr>
          <w:rtl/>
        </w:rPr>
        <w:t xml:space="preserve"> </w:t>
      </w:r>
      <w:proofErr w:type="spellStart"/>
      <w:r>
        <w:rPr>
          <w:rtl/>
        </w:rPr>
        <w:t>מייזל</w:t>
      </w:r>
      <w:proofErr w:type="spellEnd"/>
      <w:r>
        <w:rPr>
          <w:rtl/>
        </w:rPr>
        <w:t xml:space="preserve">, אז רבה של </w:t>
      </w:r>
      <w:proofErr w:type="spellStart"/>
      <w:r>
        <w:rPr>
          <w:rtl/>
        </w:rPr>
        <w:t>לודז</w:t>
      </w:r>
      <w:proofErr w:type="spellEnd"/>
      <w:r>
        <w:rPr>
          <w:rtl/>
        </w:rPr>
        <w:t xml:space="preserve">׳, </w:t>
      </w:r>
      <w:proofErr w:type="spellStart"/>
      <w:r>
        <w:rPr>
          <w:rtl/>
        </w:rPr>
        <w:t>בתר״ע</w:t>
      </w:r>
      <w:proofErr w:type="spellEnd"/>
      <w:r>
        <w:rPr>
          <w:rtl/>
        </w:rPr>
        <w:t xml:space="preserve"> – שלוש שנים קודם בוא ר׳ </w:t>
      </w:r>
      <w:proofErr w:type="spellStart"/>
      <w:r>
        <w:rPr>
          <w:rtl/>
        </w:rPr>
        <w:t>חצקל</w:t>
      </w:r>
      <w:proofErr w:type="spellEnd"/>
      <w:r>
        <w:rPr>
          <w:rtl/>
        </w:rPr>
        <w:t xml:space="preserve"> </w:t>
      </w:r>
      <w:proofErr w:type="spellStart"/>
      <w:r>
        <w:rPr>
          <w:rtl/>
        </w:rPr>
        <w:t>ליבשיץ</w:t>
      </w:r>
      <w:proofErr w:type="spellEnd"/>
      <w:r>
        <w:rPr>
          <w:rtl/>
        </w:rPr>
        <w:t xml:space="preserve"> לקובנה – בדבר מועמדותו של ר׳ חיים </w:t>
      </w:r>
      <w:proofErr w:type="spellStart"/>
      <w:r>
        <w:rPr>
          <w:rtl/>
        </w:rPr>
        <w:t xml:space="preserve">הלר</w:t>
      </w:r>
      <w:proofErr w:type="spellEnd"/>
      <w:r>
        <w:rPr>
          <w:rtl/>
        </w:rPr>
        <w:t xml:space="preserve"> לרבנות </w:t>
      </w:r>
      <w:proofErr w:type="spellStart"/>
      <w:r>
        <w:rPr>
          <w:rtl/>
        </w:rPr>
        <w:t>לומז׳ה</w:t>
      </w:r>
      <w:proofErr w:type="spellEnd"/>
      <w:r>
        <w:rPr>
          <w:rtl/>
        </w:rPr>
        <w:t xml:space="preserve">. הרב </w:t>
      </w:r>
      <w:proofErr w:type="spellStart"/>
      <w:r>
        <w:rPr>
          <w:rtl/>
        </w:rPr>
        <w:t>מייזל</w:t>
      </w:r>
      <w:proofErr w:type="spellEnd"/>
      <w:r>
        <w:rPr>
          <w:rtl/>
        </w:rPr>
        <w:t xml:space="preserve"> שימש שם רב עשר שנים, עד שעבר ללודז׳ </w:t>
      </w:r>
      <w:proofErr w:type="spellStart"/>
      <w:r>
        <w:rPr>
          <w:rtl/>
        </w:rPr>
        <w:t>בתרל״ז</w:t>
      </w:r>
      <w:proofErr w:type="spellEnd"/>
      <w:r>
        <w:rPr>
          <w:rtl/>
        </w:rPr>
        <w:t xml:space="preserve">, שלושים ושלוש שנים קודם לכן. הוא אמר שאף שהרב </w:t>
      </w:r>
      <w:proofErr w:type="spellStart"/>
      <w:r>
        <w:rPr>
          <w:rtl/>
        </w:rPr>
        <w:t xml:space="preserve">הלר</w:t>
      </w:r>
      <w:proofErr w:type="spellEnd"/>
      <w:r>
        <w:rPr>
          <w:rtl/>
        </w:rPr>
        <w:t xml:space="preserve"> תלמיד חכם מעולה, ועל פי ידיעותיו בתורה בלבד הוא המועמד הראשון במעלה, אין לעיר לקבלו, כדי שלא ייקבע תקדים שעיר מקבלת רב בעל תואר דוקטור</w:t>
      </w:r>
      <w:bookmarkStart w:id="4969" w:name="_fnr3661"/>
      <w:r>
        <w:rPr>
          <w:vertAlign w:val="superscript"/>
          <w:rtl/>
        </w:rPr>
        <w:footnoteReference w:id="3669" w:customMarkFollows="0"/>
      </w:r>
      <w:bookmarkEnd w:id="4969"/>
      <w:r>
        <w:rPr>
          <w:rtl/>
        </w:rPr>
        <w:t xml:space="preserve">. מאמר </w:t>
      </w:r>
      <w:proofErr w:type="spellStart"/>
      <w:r>
        <w:rPr>
          <w:rtl/>
        </w:rPr>
        <w:t>ב“ספר</w:t>
      </w:r>
      <w:proofErr w:type="spellEnd"/>
      <w:r>
        <w:rPr>
          <w:rtl/>
        </w:rPr>
        <w:t xml:space="preserve"> </w:t>
      </w:r>
      <w:proofErr w:type="spellStart"/>
      <w:r>
        <w:rPr>
          <w:rtl/>
        </w:rPr>
        <w:t>זכרון</w:t>
      </w:r>
      <w:proofErr w:type="spellEnd"/>
      <w:r>
        <w:rPr>
          <w:rtl/>
        </w:rPr>
        <w:t xml:space="preserve"> לקהילת </w:t>
      </w:r>
      <w:proofErr w:type="spellStart"/>
      <w:r>
        <w:rPr>
          <w:rtl/>
        </w:rPr>
        <w:t>לומזה</w:t>
      </w:r>
      <w:proofErr w:type="spellEnd"/>
      <w:r>
        <w:rPr>
          <w:rtl/>
        </w:rPr>
        <w:t>”</w:t>
      </w:r>
      <w:bookmarkStart w:id="4970" w:name="_fnr3662"/>
      <w:r>
        <w:rPr>
          <w:vertAlign w:val="superscript"/>
          <w:rtl/>
        </w:rPr>
        <w:footnoteReference w:id="3670" w:customMarkFollows="0"/>
      </w:r>
      <w:bookmarkEnd w:id="4970"/>
      <w:r>
        <w:rPr>
          <w:rtl/>
        </w:rPr>
        <w:t xml:space="preserve"> מביא, במגמתיות, רק את דברי השבח של ר׳ </w:t>
      </w:r>
      <w:proofErr w:type="spellStart"/>
      <w:r>
        <w:rPr>
          <w:rtl/>
        </w:rPr>
        <w:t>אליהו־חיים</w:t>
      </w:r>
      <w:proofErr w:type="spellEnd"/>
      <w:r>
        <w:rPr>
          <w:rtl/>
        </w:rPr>
        <w:t xml:space="preserve"> על המועמד: “הוא אמר: ‘הרב </w:t>
      </w:r>
      <w:proofErr w:type="spellStart"/>
      <w:r>
        <w:rPr>
          <w:rtl/>
        </w:rPr>
        <w:t xml:space="preserve">הלר</w:t>
      </w:r>
      <w:proofErr w:type="spellEnd"/>
      <w:r>
        <w:rPr>
          <w:rtl/>
        </w:rPr>
        <w:t xml:space="preserve"> מקיף את כל הש״ס בחזרה אחת’”, ואינו מביא את מסקנתו השלילית של הרב </w:t>
      </w:r>
      <w:proofErr w:type="spellStart"/>
      <w:r>
        <w:rPr>
          <w:rtl/>
        </w:rPr>
        <w:t>מייזל</w:t>
      </w:r>
      <w:proofErr w:type="spellEnd"/>
      <w:r>
        <w:rPr>
          <w:rtl/>
        </w:rPr>
        <w:t>.</w:t>
      </w:r>
    </w:p>
    <w:p w14:paraId="26B9397E" w14:textId="77777777" w:rsidR="00AB3647" w:rsidRDefault="00000000" w:rsidP="007923E9">
      <w:pPr>
        <w:spacing w:after="120" w:line="276" w:lineRule="auto"/>
        <w:ind w:firstLine="283"/>
        <w:jc w:val="both"/>
      </w:pPr>
      <w:r>
        <w:rPr>
          <w:rtl/>
        </w:rPr>
        <w:t xml:space="preserve">למרות זאת נבחר הרב </w:t>
      </w:r>
      <w:proofErr w:type="spellStart"/>
      <w:r>
        <w:rPr>
          <w:rtl/>
        </w:rPr>
        <w:t xml:space="preserve">הלר</w:t>
      </w:r>
      <w:proofErr w:type="spellEnd"/>
      <w:r>
        <w:rPr>
          <w:rtl/>
        </w:rPr>
        <w:t xml:space="preserve"> לרבה של </w:t>
      </w:r>
      <w:proofErr w:type="spellStart"/>
      <w:r>
        <w:rPr>
          <w:rtl/>
        </w:rPr>
        <w:t>לומז׳ה</w:t>
      </w:r>
      <w:proofErr w:type="spellEnd"/>
      <w:r>
        <w:rPr>
          <w:rtl/>
        </w:rPr>
        <w:t xml:space="preserve">, אבל שהה בה </w:t>
      </w:r>
      <w:proofErr w:type="spellStart"/>
      <w:r>
        <w:rPr>
          <w:rtl/>
        </w:rPr>
        <w:t>שנים־עשר</w:t>
      </w:r>
      <w:proofErr w:type="spellEnd"/>
      <w:r>
        <w:rPr>
          <w:rtl/>
        </w:rPr>
        <w:t xml:space="preserve"> שבועות בלבד. הוא אמר לאחד מראשי הקהילה שהוא מתפטר מפני שגילה שחותנו, ר׳ </w:t>
      </w:r>
      <w:proofErr w:type="spellStart"/>
      <w:r>
        <w:rPr>
          <w:rtl/>
        </w:rPr>
        <w:t>סנדר</w:t>
      </w:r>
      <w:proofErr w:type="spellEnd"/>
      <w:r>
        <w:rPr>
          <w:rtl/>
        </w:rPr>
        <w:t xml:space="preserve"> </w:t>
      </w:r>
      <w:proofErr w:type="spellStart"/>
      <w:r>
        <w:rPr>
          <w:rtl/>
        </w:rPr>
        <w:t>דישקין</w:t>
      </w:r>
      <w:proofErr w:type="spellEnd"/>
      <w:r>
        <w:rPr>
          <w:rtl/>
        </w:rPr>
        <w:t xml:space="preserve">, תעשיין </w:t>
      </w:r>
      <w:r>
        <w:rPr>
          <w:rtl/>
        </w:rPr>
        <w:lastRenderedPageBreak/>
        <w:t xml:space="preserve">עשיר מופלג בעירו של ר׳ </w:t>
      </w:r>
      <w:proofErr w:type="spellStart"/>
      <w:r>
        <w:rPr>
          <w:rtl/>
        </w:rPr>
        <w:t>אליהו־חיים</w:t>
      </w:r>
      <w:proofErr w:type="spellEnd"/>
      <w:r>
        <w:rPr>
          <w:rtl/>
        </w:rPr>
        <w:t xml:space="preserve">, </w:t>
      </w:r>
      <w:proofErr w:type="spellStart"/>
      <w:r>
        <w:rPr>
          <w:rtl/>
        </w:rPr>
        <w:t>לודז</w:t>
      </w:r>
      <w:proofErr w:type="spellEnd"/>
      <w:r>
        <w:rPr>
          <w:rtl/>
        </w:rPr>
        <w:t xml:space="preserve">׳, “קנה” בעבורו את הרבנות. אבל כעבור שנים רבות הגיעו ראשי העיר למסקנה שהטעם האמיתי לעזיבתו של ר׳ חיים </w:t>
      </w:r>
      <w:proofErr w:type="spellStart"/>
      <w:r>
        <w:rPr>
          <w:rtl/>
        </w:rPr>
        <w:t xml:space="preserve">הלר</w:t>
      </w:r>
      <w:proofErr w:type="spellEnd"/>
      <w:r>
        <w:rPr>
          <w:rtl/>
        </w:rPr>
        <w:t xml:space="preserve"> את </w:t>
      </w:r>
      <w:proofErr w:type="spellStart"/>
      <w:r>
        <w:rPr>
          <w:rtl/>
        </w:rPr>
        <w:t>לומז׳ה</w:t>
      </w:r>
      <w:proofErr w:type="spellEnd"/>
      <w:r>
        <w:rPr>
          <w:rtl/>
        </w:rPr>
        <w:t xml:space="preserve"> היה שכישרונותיו היו גדולים מכדי “להצטמצם בכהונת רבנות יחידה”.</w:t>
      </w:r>
    </w:p>
    <w:p w14:paraId="2ADF6B4B" w14:textId="77777777" w:rsidR="00AB3647" w:rsidRDefault="00000000" w:rsidP="007923E9">
      <w:pPr>
        <w:spacing w:after="120" w:line="276" w:lineRule="auto"/>
        <w:ind w:firstLine="283"/>
        <w:jc w:val="both"/>
      </w:pPr>
      <w:r>
        <w:rPr>
          <w:rtl/>
        </w:rPr>
        <w:t xml:space="preserve">ואולם במאמר </w:t>
      </w:r>
      <w:proofErr w:type="spellStart"/>
      <w:r>
        <w:rPr>
          <w:rtl/>
        </w:rPr>
        <w:t>ב“הדואר</w:t>
      </w:r>
      <w:proofErr w:type="spellEnd"/>
      <w:r>
        <w:rPr>
          <w:rtl/>
        </w:rPr>
        <w:t>”</w:t>
      </w:r>
      <w:bookmarkStart w:id="4971" w:name="_fnr3663"/>
      <w:r>
        <w:rPr>
          <w:vertAlign w:val="superscript"/>
          <w:rtl/>
        </w:rPr>
        <w:footnoteReference w:id="3671" w:customMarkFollows="0"/>
      </w:r>
      <w:bookmarkEnd w:id="4971"/>
      <w:r>
        <w:rPr>
          <w:rtl/>
        </w:rPr>
        <w:t xml:space="preserve"> מספר ר׳ </w:t>
      </w:r>
      <w:proofErr w:type="spellStart"/>
      <w:r>
        <w:rPr>
          <w:rtl/>
        </w:rPr>
        <w:t xml:space="preserve">יוסף־דב</w:t>
      </w:r>
      <w:proofErr w:type="spellEnd"/>
      <w:r>
        <w:rPr>
          <w:rtl/>
        </w:rPr>
        <w:t xml:space="preserve"> </w:t>
      </w:r>
      <w:proofErr w:type="spellStart"/>
      <w:r>
        <w:rPr>
          <w:rtl/>
        </w:rPr>
        <w:t>סולובייצ׳יק</w:t>
      </w:r>
      <w:proofErr w:type="spellEnd"/>
      <w:r>
        <w:rPr>
          <w:rtl/>
        </w:rPr>
        <w:t xml:space="preserve"> שר׳ חיים </w:t>
      </w:r>
      <w:proofErr w:type="spellStart"/>
      <w:r>
        <w:rPr>
          <w:rtl/>
        </w:rPr>
        <w:t xml:space="preserve">הלר</w:t>
      </w:r>
      <w:proofErr w:type="spellEnd"/>
      <w:r>
        <w:rPr>
          <w:rtl/>
        </w:rPr>
        <w:t xml:space="preserve"> אמר שעזב את </w:t>
      </w:r>
      <w:proofErr w:type="spellStart"/>
      <w:r>
        <w:rPr>
          <w:rtl/>
        </w:rPr>
        <w:t>לומז׳ה</w:t>
      </w:r>
      <w:proofErr w:type="spellEnd"/>
      <w:r>
        <w:rPr>
          <w:rtl/>
        </w:rPr>
        <w:t xml:space="preserve"> מפני שחש שייאלץ לעשות דברים המאוסים בעיניו. “הוא סיים את השיחה”, כותב ר׳ </w:t>
      </w:r>
      <w:proofErr w:type="spellStart"/>
      <w:r>
        <w:rPr>
          <w:rtl/>
        </w:rPr>
        <w:t xml:space="preserve">יוסף־דב</w:t>
      </w:r>
      <w:proofErr w:type="spellEnd"/>
      <w:r>
        <w:rPr>
          <w:rtl/>
        </w:rPr>
        <w:t xml:space="preserve">, “בפסוק ‘ומצא חן ושכל טוב בעיני </w:t>
      </w:r>
      <w:proofErr w:type="spellStart"/>
      <w:r>
        <w:rPr>
          <w:rtl/>
        </w:rPr>
        <w:t>א־להים</w:t>
      </w:r>
      <w:proofErr w:type="spellEnd"/>
      <w:r>
        <w:rPr>
          <w:rtl/>
        </w:rPr>
        <w:t xml:space="preserve"> ואדם’</w:t>
      </w:r>
      <w:bookmarkStart w:id="4972" w:name="_fnr3664"/>
      <w:r>
        <w:rPr>
          <w:vertAlign w:val="superscript"/>
          <w:rtl/>
        </w:rPr>
        <w:footnoteReference w:id="3672" w:customMarkFollows="0"/>
      </w:r>
      <w:bookmarkEnd w:id="4972"/>
      <w:r>
        <w:rPr>
          <w:rtl/>
        </w:rPr>
        <w:t xml:space="preserve">, והעיר: ‘תחילה צריך למלא את החובה כלפי הקב״ה, ואחר כך למצוא חן בעיני בני אדם. אבל כשסדרי העדיפות מתהפכים, מאבדים את שני העולמות’”. מהם בדיוק הדברים המאוסים שניצבו בפני ר׳ חיים </w:t>
      </w:r>
      <w:proofErr w:type="spellStart"/>
      <w:r>
        <w:rPr>
          <w:rtl/>
        </w:rPr>
        <w:t>בלומז׳ה</w:t>
      </w:r>
      <w:proofErr w:type="spellEnd"/>
      <w:r>
        <w:rPr>
          <w:rtl/>
        </w:rPr>
        <w:t xml:space="preserve">, ושאליהם התכוון בשיחתו עם ר׳ </w:t>
      </w:r>
      <w:proofErr w:type="spellStart"/>
      <w:r>
        <w:rPr>
          <w:rtl/>
        </w:rPr>
        <w:t xml:space="preserve">יוסף־דב</w:t>
      </w:r>
      <w:proofErr w:type="spellEnd"/>
      <w:r>
        <w:rPr>
          <w:rtl/>
        </w:rPr>
        <w:t>, לא נתגלה.</w:t>
      </w:r>
    </w:p>
    <w:p w14:paraId="5823F1E3" w14:textId="77777777" w:rsidR="00AB3647" w:rsidRDefault="00000000" w:rsidP="007923E9">
      <w:pPr>
        <w:spacing w:after="120" w:line="276" w:lineRule="auto"/>
        <w:ind w:firstLine="283"/>
        <w:jc w:val="both"/>
      </w:pPr>
      <w:r>
        <w:rPr>
          <w:rtl/>
        </w:rPr>
        <w:t xml:space="preserve">באותה שיחה עם ר׳ יעקב ליפשיץ הוסיף אבי שמלבד התנהגותו של הסבא בקבלת הפנים </w:t>
      </w:r>
      <w:proofErr w:type="spellStart"/>
      <w:r>
        <w:rPr>
          <w:rtl/>
        </w:rPr>
        <w:t>לר</w:t>
      </w:r>
      <w:proofErr w:type="spellEnd"/>
      <w:r>
        <w:rPr>
          <w:rtl/>
        </w:rPr>
        <w:t xml:space="preserve">׳ </w:t>
      </w:r>
      <w:proofErr w:type="spellStart"/>
      <w:r>
        <w:rPr>
          <w:rtl/>
        </w:rPr>
        <w:t>חצקל</w:t>
      </w:r>
      <w:proofErr w:type="spellEnd"/>
      <w:r>
        <w:rPr>
          <w:rtl/>
        </w:rPr>
        <w:t xml:space="preserve"> </w:t>
      </w:r>
      <w:proofErr w:type="spellStart"/>
      <w:r>
        <w:rPr>
          <w:rtl/>
        </w:rPr>
        <w:t>ליבשיץ</w:t>
      </w:r>
      <w:proofErr w:type="spellEnd"/>
      <w:r>
        <w:rPr>
          <w:rtl/>
        </w:rPr>
        <w:t xml:space="preserve">, שפורשה שלא כהלכה, היה טעם נוסף לשמועה שישיבת </w:t>
      </w:r>
      <w:proofErr w:type="spellStart"/>
      <w:r>
        <w:rPr>
          <w:rtl/>
        </w:rPr>
        <w:t>סלבודקה</w:t>
      </w:r>
      <w:proofErr w:type="spellEnd"/>
      <w:r>
        <w:rPr>
          <w:rtl/>
        </w:rPr>
        <w:t xml:space="preserve"> מתנגדת למועמדותו. “בנו של הסבא נשא את בתו של ר׳ </w:t>
      </w:r>
      <w:proofErr w:type="spellStart"/>
      <w:r>
        <w:rPr>
          <w:rtl/>
        </w:rPr>
        <w:t>משה־מרדכי</w:t>
      </w:r>
      <w:proofErr w:type="spellEnd"/>
      <w:r>
        <w:rPr>
          <w:rtl/>
        </w:rPr>
        <w:t xml:space="preserve"> אפשטיין אחרי חג השבועות באותה שנה</w:t>
      </w:r>
      <w:bookmarkStart w:id="4973" w:name="_fnr3665"/>
      <w:r>
        <w:rPr>
          <w:vertAlign w:val="superscript"/>
          <w:rtl/>
        </w:rPr>
        <w:footnoteReference w:id="3673" w:customMarkFollows="0"/>
      </w:r>
      <w:bookmarkEnd w:id="4973"/>
      <w:r>
        <w:rPr>
          <w:rtl/>
        </w:rPr>
        <w:t>”, אמר, “</w:t>
      </w:r>
      <w:proofErr w:type="spellStart"/>
      <w:r>
        <w:rPr>
          <w:rtl/>
        </w:rPr>
        <w:t>ולר</w:t>
      </w:r>
      <w:proofErr w:type="spellEnd"/>
      <w:r>
        <w:rPr>
          <w:rtl/>
        </w:rPr>
        <w:t xml:space="preserve">׳ </w:t>
      </w:r>
      <w:proofErr w:type="spellStart"/>
      <w:r>
        <w:rPr>
          <w:rtl/>
        </w:rPr>
        <w:t>חצקל</w:t>
      </w:r>
      <w:proofErr w:type="spellEnd"/>
      <w:r>
        <w:rPr>
          <w:rtl/>
        </w:rPr>
        <w:t xml:space="preserve"> </w:t>
      </w:r>
      <w:proofErr w:type="spellStart"/>
      <w:r>
        <w:rPr>
          <w:rtl/>
        </w:rPr>
        <w:t>בקאליש</w:t>
      </w:r>
      <w:proofErr w:type="spellEnd"/>
      <w:r>
        <w:rPr>
          <w:rtl/>
        </w:rPr>
        <w:t xml:space="preserve"> נשלחה הזמנה מודפסת, ולא מכתב בכתב יד. לפי הנוהג בימים שלפני הטלפון, משלוח מכתב בכתב יד היה סימן שהרב מוזמן לא כאורח אלא כדי לסדר קידושין בחתונה. סברו שאילו רצתה ישיבת </w:t>
      </w:r>
      <w:proofErr w:type="spellStart"/>
      <w:r>
        <w:rPr>
          <w:rtl/>
        </w:rPr>
        <w:t>סלבודקה</w:t>
      </w:r>
      <w:proofErr w:type="spellEnd"/>
      <w:r>
        <w:rPr>
          <w:rtl/>
        </w:rPr>
        <w:t xml:space="preserve"> בר׳ </w:t>
      </w:r>
      <w:proofErr w:type="spellStart"/>
      <w:r>
        <w:rPr>
          <w:rtl/>
        </w:rPr>
        <w:t>חצקל</w:t>
      </w:r>
      <w:proofErr w:type="spellEnd"/>
      <w:r>
        <w:rPr>
          <w:rtl/>
        </w:rPr>
        <w:t xml:space="preserve"> </w:t>
      </w:r>
      <w:proofErr w:type="spellStart"/>
      <w:r>
        <w:rPr>
          <w:rtl/>
        </w:rPr>
        <w:t>ליבשיץ</w:t>
      </w:r>
      <w:proofErr w:type="spellEnd"/>
      <w:r>
        <w:rPr>
          <w:rtl/>
        </w:rPr>
        <w:t xml:space="preserve"> לרבה של קובנה, היו מכבדים אותו בסידור הקידושין בחתונתו המכובדת של בן ראש הישיבה.</w:t>
      </w:r>
      <w:bookmarkStart w:id="4974" w:name="_fnr3666"/>
      <w:r>
        <w:rPr>
          <w:vertAlign w:val="superscript"/>
          <w:rtl/>
        </w:rPr>
        <w:footnoteReference w:id="3674" w:customMarkFollows="0"/>
      </w:r>
      <w:bookmarkEnd w:id="4974"/>
      <w:r>
        <w:rPr>
          <w:rtl/>
        </w:rPr>
        <w:t>”</w:t>
      </w:r>
    </w:p>
    <w:p w14:paraId="760382E7" w14:textId="421353AA" w:rsidR="00AB3647" w:rsidRDefault="00000000" w:rsidP="007923E9">
      <w:pPr>
        <w:spacing w:after="120" w:line="276" w:lineRule="auto"/>
        <w:ind w:firstLine="283"/>
        <w:jc w:val="both"/>
      </w:pPr>
      <w:r>
        <w:rPr>
          <w:rtl/>
        </w:rPr>
        <w:t xml:space="preserve">אבי לא גילה את התשובה לשאלה המתבקשת: אם הסבא אכן רצה בר׳ </w:t>
      </w:r>
      <w:proofErr w:type="spellStart"/>
      <w:r>
        <w:rPr>
          <w:rtl/>
        </w:rPr>
        <w:t>חצקל</w:t>
      </w:r>
      <w:proofErr w:type="spellEnd"/>
      <w:r>
        <w:rPr>
          <w:rtl/>
        </w:rPr>
        <w:t xml:space="preserve"> </w:t>
      </w:r>
      <w:proofErr w:type="spellStart"/>
      <w:r>
        <w:rPr>
          <w:rtl/>
        </w:rPr>
        <w:t>ליבשיץ</w:t>
      </w:r>
      <w:proofErr w:type="spellEnd"/>
      <w:r>
        <w:rPr>
          <w:rtl/>
        </w:rPr>
        <w:t xml:space="preserve"> – שאינו משכיל, ויש לו גם רקע במוסר – לרבה של קובנה, מדוע לא הזמין ר׳ </w:t>
      </w:r>
      <w:proofErr w:type="spellStart"/>
      <w:r>
        <w:rPr>
          <w:rtl/>
        </w:rPr>
        <w:t>משה־מרדכי</w:t>
      </w:r>
      <w:proofErr w:type="spellEnd"/>
      <w:r>
        <w:rPr>
          <w:rtl/>
        </w:rPr>
        <w:t xml:space="preserve"> את הרב החדש לסדר קידושין? אני משער שאופיו המעודן במיוחד של ר׳ </w:t>
      </w:r>
      <w:proofErr w:type="spellStart"/>
      <w:r>
        <w:rPr>
          <w:rtl/>
        </w:rPr>
        <w:t>משה־מרדכי</w:t>
      </w:r>
      <w:proofErr w:type="spellEnd"/>
      <w:r>
        <w:rPr>
          <w:rtl/>
        </w:rPr>
        <w:t xml:space="preserve"> אפשטיין (ראה פרק 3, </w:t>
      </w:r>
      <w:r>
        <w:rPr>
          <w:rtl/>
        </w:rPr>
        <w:fldChar w:fldCharType="begin" w:dirty="true"/>
      </w:r>
      <w:r>
        <w:rPr>
          <w:rtl/>
        </w:rPr>
        <w:instrText xml:space="preserve"> REF b3_excCC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כט</w:t>
      </w:r>
      <w:proofErr w:type="spellEnd"/>
      <w:r>
        <w:rPr>
          <w:rtl/>
        </w:rPr>
        <w:fldChar w:fldCharType="end"/>
      </w:r>
      <w:r>
        <w:rPr>
          <w:rtl/>
        </w:rPr>
        <w:t xml:space="preserve">) מנע זאת ממנו. ייתכן שחשש שאם יביא את ר׳ </w:t>
      </w:r>
      <w:proofErr w:type="spellStart"/>
      <w:r>
        <w:rPr>
          <w:rtl/>
        </w:rPr>
        <w:t>חצקל</w:t>
      </w:r>
      <w:proofErr w:type="spellEnd"/>
      <w:r>
        <w:rPr>
          <w:rtl/>
        </w:rPr>
        <w:t xml:space="preserve"> לסדר את הקידושין, ייפגעו רגשותיו של ר׳ </w:t>
      </w:r>
      <w:proofErr w:type="spellStart"/>
      <w:r>
        <w:rPr>
          <w:rtl/>
        </w:rPr>
        <w:t>יהודה־לייב</w:t>
      </w:r>
      <w:proofErr w:type="spellEnd"/>
      <w:r>
        <w:rPr>
          <w:rtl/>
        </w:rPr>
        <w:t xml:space="preserve"> </w:t>
      </w:r>
      <w:proofErr w:type="spellStart"/>
      <w:r>
        <w:rPr>
          <w:rtl/>
        </w:rPr>
        <w:t>הוטנר</w:t>
      </w:r>
      <w:proofErr w:type="spellEnd"/>
      <w:r>
        <w:rPr>
          <w:rtl/>
        </w:rPr>
        <w:t xml:space="preserve">. ר׳ </w:t>
      </w:r>
      <w:proofErr w:type="spellStart"/>
      <w:r>
        <w:rPr>
          <w:rtl/>
        </w:rPr>
        <w:t>חצקל</w:t>
      </w:r>
      <w:proofErr w:type="spellEnd"/>
      <w:r>
        <w:rPr>
          <w:rtl/>
        </w:rPr>
        <w:t xml:space="preserve"> </w:t>
      </w:r>
      <w:proofErr w:type="spellStart"/>
      <w:r>
        <w:rPr>
          <w:rtl/>
        </w:rPr>
        <w:t>ליבשיץ</w:t>
      </w:r>
      <w:proofErr w:type="spellEnd"/>
      <w:r>
        <w:rPr>
          <w:rtl/>
        </w:rPr>
        <w:t xml:space="preserve"> הדפיס את ספרו “המדרש והמעשה” בדפוס שבבעלות הרב </w:t>
      </w:r>
      <w:proofErr w:type="spellStart"/>
      <w:r>
        <w:rPr>
          <w:rtl/>
        </w:rPr>
        <w:t>הוטנר</w:t>
      </w:r>
      <w:proofErr w:type="spellEnd"/>
      <w:r>
        <w:rPr>
          <w:rtl/>
        </w:rPr>
        <w:t xml:space="preserve">, ומאז היה הרב </w:t>
      </w:r>
      <w:proofErr w:type="spellStart"/>
      <w:r>
        <w:rPr>
          <w:rtl/>
        </w:rPr>
        <w:t>הוטנר</w:t>
      </w:r>
      <w:proofErr w:type="spellEnd"/>
      <w:r>
        <w:rPr>
          <w:rtl/>
        </w:rPr>
        <w:t xml:space="preserve"> מקורב אליו, ובתו הייתה ארוסתו הקודמת של החתן, ר׳ משה בנו של הסבא, שביטל את האירוסין לטובת בתו של ר׳ </w:t>
      </w:r>
      <w:proofErr w:type="spellStart"/>
      <w:r>
        <w:rPr>
          <w:rtl/>
        </w:rPr>
        <w:t>משה־מרדכי</w:t>
      </w:r>
      <w:proofErr w:type="spellEnd"/>
      <w:r>
        <w:rPr>
          <w:rtl/>
        </w:rPr>
        <w:t>.</w:t>
      </w:r>
      <w:bookmarkStart w:id="4975" w:name="_fnr3667"/>
      <w:r>
        <w:rPr>
          <w:vertAlign w:val="superscript"/>
          <w:rtl/>
        </w:rPr>
        <w:footnoteReference w:id="3675" w:customMarkFollows="0"/>
      </w:r>
      <w:bookmarkEnd w:id="4975"/>
    </w:p>
    <w:p w14:paraId="7FC1D844" w14:textId="77777777" w:rsidR="00AB3647" w:rsidRDefault="00000000" w:rsidP="007923E9">
      <w:pPr>
        <w:spacing w:after="120" w:line="276" w:lineRule="auto"/>
        <w:ind w:firstLine="283"/>
        <w:jc w:val="both"/>
      </w:pPr>
      <w:r>
        <w:rPr>
          <w:rtl/>
        </w:rPr>
        <w:t xml:space="preserve">אם השמועה שישיבת </w:t>
      </w:r>
      <w:proofErr w:type="spellStart"/>
      <w:r>
        <w:rPr>
          <w:rtl/>
        </w:rPr>
        <w:t>סלבודקה</w:t>
      </w:r>
      <w:proofErr w:type="spellEnd"/>
      <w:r>
        <w:rPr>
          <w:rtl/>
        </w:rPr>
        <w:t xml:space="preserve"> מתנגדת לקבלת ר׳ </w:t>
      </w:r>
      <w:proofErr w:type="spellStart"/>
      <w:r>
        <w:rPr>
          <w:rtl/>
        </w:rPr>
        <w:t>חצקל</w:t>
      </w:r>
      <w:proofErr w:type="spellEnd"/>
      <w:r>
        <w:rPr>
          <w:rtl/>
        </w:rPr>
        <w:t xml:space="preserve"> </w:t>
      </w:r>
      <w:proofErr w:type="spellStart"/>
      <w:r>
        <w:rPr>
          <w:rtl/>
        </w:rPr>
        <w:t>ליבשיץ</w:t>
      </w:r>
      <w:proofErr w:type="spellEnd"/>
      <w:r>
        <w:rPr>
          <w:rtl/>
        </w:rPr>
        <w:t xml:space="preserve"> התבססה על כך שר׳ </w:t>
      </w:r>
      <w:proofErr w:type="spellStart"/>
      <w:r>
        <w:rPr>
          <w:rtl/>
        </w:rPr>
        <w:t>משה־מרדכי</w:t>
      </w:r>
      <w:proofErr w:type="spellEnd"/>
      <w:r>
        <w:rPr>
          <w:rtl/>
        </w:rPr>
        <w:t xml:space="preserve"> אפשטיין לא הזמינו לסדר קידושין, אין סתירה בין טענת ר׳ יעקב הלוי שהוא שמנע את המינוי ובין השמועה שר׳ </w:t>
      </w:r>
      <w:proofErr w:type="spellStart"/>
      <w:r>
        <w:rPr>
          <w:rtl/>
        </w:rPr>
        <w:t>חצקל</w:t>
      </w:r>
      <w:proofErr w:type="spellEnd"/>
      <w:r>
        <w:rPr>
          <w:rtl/>
        </w:rPr>
        <w:t xml:space="preserve"> החזיר את כתב הרבנות מפני שישיבת </w:t>
      </w:r>
      <w:proofErr w:type="spellStart"/>
      <w:r>
        <w:rPr>
          <w:rtl/>
        </w:rPr>
        <w:t>סלבודקה</w:t>
      </w:r>
      <w:proofErr w:type="spellEnd"/>
      <w:r>
        <w:rPr>
          <w:rtl/>
        </w:rPr>
        <w:t xml:space="preserve"> לא הייתה שבעת רצון. ייתכן בהחלט שדווקא ר׳ יעקב הלוי ליפשיץ הוא שהעיר בעורמה לרב </w:t>
      </w:r>
      <w:proofErr w:type="spellStart"/>
      <w:r>
        <w:rPr>
          <w:rtl/>
        </w:rPr>
        <w:t>סלבודקה</w:t>
      </w:r>
      <w:proofErr w:type="spellEnd"/>
      <w:r>
        <w:rPr>
          <w:rtl/>
        </w:rPr>
        <w:t xml:space="preserve">, ר׳ </w:t>
      </w:r>
      <w:proofErr w:type="spellStart"/>
      <w:r>
        <w:rPr>
          <w:rtl/>
        </w:rPr>
        <w:t>משה־מרדכי</w:t>
      </w:r>
      <w:proofErr w:type="spellEnd"/>
      <w:r>
        <w:rPr>
          <w:rtl/>
        </w:rPr>
        <w:t xml:space="preserve">, שמחותנו לשעבר, הרב </w:t>
      </w:r>
      <w:proofErr w:type="spellStart"/>
      <w:r>
        <w:rPr>
          <w:rtl/>
        </w:rPr>
        <w:t>הוטנר</w:t>
      </w:r>
      <w:proofErr w:type="spellEnd"/>
      <w:r>
        <w:rPr>
          <w:rtl/>
        </w:rPr>
        <w:t xml:space="preserve">, שנדחה, ייפגע עוד יותר אם יסדר ר׳ </w:t>
      </w:r>
      <w:proofErr w:type="spellStart"/>
      <w:r>
        <w:rPr>
          <w:rtl/>
        </w:rPr>
        <w:t>חצקל</w:t>
      </w:r>
      <w:proofErr w:type="spellEnd"/>
      <w:r>
        <w:rPr>
          <w:rtl/>
        </w:rPr>
        <w:t xml:space="preserve"> </w:t>
      </w:r>
      <w:proofErr w:type="spellStart"/>
      <w:r>
        <w:rPr>
          <w:rtl/>
        </w:rPr>
        <w:t>ליבשיץ</w:t>
      </w:r>
      <w:proofErr w:type="spellEnd"/>
      <w:r>
        <w:rPr>
          <w:rtl/>
        </w:rPr>
        <w:t xml:space="preserve"> את הקידושין בחתונת ר׳ משה, ולכן אין לשלוח </w:t>
      </w:r>
      <w:proofErr w:type="spellStart"/>
      <w:r>
        <w:rPr>
          <w:rtl/>
        </w:rPr>
        <w:t>לר</w:t>
      </w:r>
      <w:proofErr w:type="spellEnd"/>
      <w:r>
        <w:rPr>
          <w:rtl/>
        </w:rPr>
        <w:t xml:space="preserve">׳ </w:t>
      </w:r>
      <w:proofErr w:type="spellStart"/>
      <w:r>
        <w:rPr>
          <w:rtl/>
        </w:rPr>
        <w:t>חצקל</w:t>
      </w:r>
      <w:proofErr w:type="spellEnd"/>
      <w:r>
        <w:rPr>
          <w:rtl/>
        </w:rPr>
        <w:t xml:space="preserve"> הזמנה בכתב יד.</w:t>
      </w:r>
    </w:p>
    <w:p w14:paraId="4A92AEC0" w14:textId="77777777" w:rsidR="00AB3647" w:rsidRDefault="00000000" w:rsidP="007923E9">
      <w:pPr>
        <w:spacing w:after="120" w:line="276" w:lineRule="auto"/>
        <w:ind w:firstLine="283"/>
        <w:jc w:val="both"/>
      </w:pPr>
      <w:r>
        <w:rPr>
          <w:rtl/>
        </w:rPr>
        <w:lastRenderedPageBreak/>
        <w:t>אבי סיפר</w:t>
      </w:r>
      <w:bookmarkStart w:id="4976" w:name="_fnr3668"/>
      <w:r>
        <w:rPr>
          <w:vertAlign w:val="superscript"/>
          <w:rtl/>
        </w:rPr>
        <w:footnoteReference w:id="3676" w:customMarkFollows="0"/>
      </w:r>
      <w:bookmarkEnd w:id="4976"/>
      <w:r>
        <w:rPr>
          <w:rtl/>
        </w:rPr>
        <w:t xml:space="preserve"> שלימים כתב ר׳ </w:t>
      </w:r>
      <w:proofErr w:type="spellStart"/>
      <w:r>
        <w:rPr>
          <w:rtl/>
        </w:rPr>
        <w:t>חצקל</w:t>
      </w:r>
      <w:proofErr w:type="spellEnd"/>
      <w:r>
        <w:rPr>
          <w:rtl/>
        </w:rPr>
        <w:t xml:space="preserve"> </w:t>
      </w:r>
      <w:proofErr w:type="spellStart"/>
      <w:r>
        <w:rPr>
          <w:rtl/>
        </w:rPr>
        <w:t>ליבשיץ</w:t>
      </w:r>
      <w:proofErr w:type="spellEnd"/>
      <w:r>
        <w:rPr>
          <w:rtl/>
        </w:rPr>
        <w:t xml:space="preserve"> למכר </w:t>
      </w:r>
      <w:proofErr w:type="spellStart"/>
      <w:r>
        <w:rPr>
          <w:rtl/>
        </w:rPr>
        <w:t>בסלבודקה</w:t>
      </w:r>
      <w:proofErr w:type="spellEnd"/>
      <w:r>
        <w:rPr>
          <w:rtl/>
        </w:rPr>
        <w:t xml:space="preserve"> שהוא מאוכזב מאוד מכך שהמינוי בקובנה לא יצא אל הפועל – לא מפני שהפסיד את כבוד רבנות קובנה, אלא מפני שלא יוכל לגור בקרבת ישיבת </w:t>
      </w:r>
      <w:proofErr w:type="spellStart"/>
      <w:r>
        <w:rPr>
          <w:rtl/>
        </w:rPr>
        <w:t>סלבודקה</w:t>
      </w:r>
      <w:proofErr w:type="spellEnd"/>
      <w:r>
        <w:rPr>
          <w:rtl/>
        </w:rPr>
        <w:t>.</w:t>
      </w:r>
    </w:p>
    <w:bookmarkStart w:id="4977" w:name="b4_excC"/>
    <w:bookmarkStart w:id="4978" w:name="b4_annexC"/>
    <w:p w14:paraId="7846D3F0" w14:textId="77777777" w:rsidR="00AB3647" w:rsidRDefault="00000000" w:rsidP="007923E9">
      <w:pPr>
        <w:pStyle w:val="3"/>
        <w:spacing w:line="276" w:lineRule="auto"/>
      </w:pPr>
      <w:r>
        <w:lastRenderedPageBreak/>
        <w:fldChar w:fldCharType="begin" w:dirty="true"/>
      </w:r>
      <w:r>
        <w:rPr>
          <w:rtl w:val="0"/>
        </w:rPr>
        <w:instrText>HYPERLINK \l "b4_note24</w:instrText>
      </w:r>
      <w:r>
        <w:instrText>"</w:instrText>
      </w:r>
      <w:r>
        <w:fldChar w:fldCharType="separate"/>
      </w:r>
      <w:r>
        <w:t>נספח ג</w:t>
      </w:r>
      <w:r>
        <w:fldChar w:fldCharType="end"/>
      </w:r>
      <w:bookmarkEnd w:id="4977"/>
      <w:bookmarkEnd w:id="4978"/>
    </w:p>
    <w:p w14:paraId="503D965F" w14:textId="77777777" w:rsidR="00AB3647" w:rsidRDefault="00000000" w:rsidP="007923E9">
      <w:pPr>
        <w:pStyle w:val="af"/>
        <w:spacing w:line="276" w:lineRule="auto"/>
      </w:pPr>
      <w:r>
        <w:t>על יחסו האבהי של הסבא לתלמידיו ועל יחסם אליו כבנים אל אביהם</w:t>
      </w:r>
    </w:p>
    <w:p w14:paraId="65BEA1D6" w14:textId="77777777" w:rsidR="00AB3647" w:rsidRDefault="00000000" w:rsidP="007923E9">
      <w:pPr>
        <w:pStyle w:val="4"/>
        <w:spacing w:line="276" w:lineRule="auto"/>
      </w:pPr>
      <w:r>
        <w:t>· הפסקה הראשונה ·</w:t>
      </w:r>
    </w:p>
    <w:p w14:paraId="5D537B16" w14:textId="77777777" w:rsidR="00AB3647" w:rsidRDefault="00000000" w:rsidP="007923E9">
      <w:pPr>
        <w:pStyle w:val="5"/>
        <w:spacing w:line="276" w:lineRule="auto"/>
      </w:pPr>
      <w:r>
        <w:rPr>
          <w:bCs/>
          <w:szCs w:val="26"/>
        </w:rPr>
        <w:t>הסבא אינו מעדיף את ילדיו על תלמידיו</w:t>
      </w:r>
    </w:p>
    <w:p w14:paraId="66A5EDDB" w14:textId="77777777" w:rsidR="00AB3647" w:rsidRDefault="00000000" w:rsidP="007923E9">
      <w:pPr>
        <w:pStyle w:val="5"/>
        <w:spacing w:after="160" w:line="276" w:lineRule="auto"/>
      </w:pPr>
      <w:r>
        <w:rPr>
          <w:b/>
          <w:bCs/>
          <w:sz w:val="26"/>
          <w:szCs w:val="26"/>
        </w:rPr>
        <w:t>הסברו למינוי קרוביו לצוות הישיבה</w:t>
      </w:r>
    </w:p>
    <w:p w14:paraId="06A2D5DC" w14:textId="77777777" w:rsidR="00AB3647" w:rsidRDefault="00000000" w:rsidP="007923E9">
      <w:pPr>
        <w:pStyle w:val="5"/>
        <w:spacing w:after="160" w:line="276" w:lineRule="auto"/>
      </w:pPr>
      <w:r>
        <w:rPr>
          <w:b/>
          <w:bCs/>
          <w:sz w:val="26"/>
          <w:szCs w:val="26"/>
        </w:rPr>
        <w:t>הוא רואה את תלמידיו כאילו היו בניו ממש</w:t>
      </w:r>
    </w:p>
    <w:p w14:paraId="2FF31098" w14:textId="77777777" w:rsidR="00AB3647" w:rsidRDefault="00000000" w:rsidP="007923E9">
      <w:pPr>
        <w:spacing w:after="120" w:line="276" w:lineRule="auto"/>
        <w:ind w:firstLine="283"/>
        <w:jc w:val="both"/>
      </w:pPr>
      <w:r>
        <w:rPr>
          <w:rtl/>
        </w:rPr>
        <w:t>כץ, “תנועת המוסר”, כרך ג</w:t>
      </w:r>
      <w:bookmarkStart w:id="4979" w:name="_fnr3669"/>
      <w:r>
        <w:rPr>
          <w:vertAlign w:val="superscript"/>
          <w:rtl/>
        </w:rPr>
        <w:footnoteReference w:id="3677" w:customMarkFollows="0"/>
      </w:r>
      <w:bookmarkEnd w:id="4979"/>
      <w:r>
        <w:rPr>
          <w:rtl/>
        </w:rPr>
        <w:t>, מעיר בפליאה גלויה: “מעניין שלא נתן דעתו לחינוך ילדיו יותר מאשר לחינוך תלמידים אחרים, מפני שכולם היו כבניו, ולא הייתה העדפה של בניו על בני אחרים. אדרבה, במכוון שלח את ילדיו לישיבות אחרות – ואפשר שהיו לו טעמים חינוכיים לכך”. השווה גם כץ, “תנועת המוסר”, כרך א</w:t>
      </w:r>
      <w:bookmarkStart w:id="4980" w:name="_fnr3670"/>
      <w:r>
        <w:rPr>
          <w:vertAlign w:val="superscript"/>
          <w:rtl/>
        </w:rPr>
        <w:footnoteReference w:id="3678" w:customMarkFollows="0"/>
      </w:r>
      <w:bookmarkEnd w:id="4980"/>
      <w:r>
        <w:rPr>
          <w:rtl/>
        </w:rPr>
        <w:t xml:space="preserve">, על יחסו חסר הפניות של ר׳ ישראל </w:t>
      </w:r>
      <w:proofErr w:type="spellStart"/>
      <w:r>
        <w:rPr>
          <w:rtl/>
        </w:rPr>
        <w:t>סלנטר</w:t>
      </w:r>
      <w:proofErr w:type="spellEnd"/>
      <w:r>
        <w:rPr>
          <w:rtl/>
        </w:rPr>
        <w:t>, אביו הרוחני של הסבא, אל ילדיו.</w:t>
      </w:r>
    </w:p>
    <w:p w14:paraId="1AD06F7D" w14:textId="77777777" w:rsidR="00AB3647" w:rsidRDefault="00000000" w:rsidP="007923E9">
      <w:pPr>
        <w:spacing w:after="120" w:line="276" w:lineRule="auto"/>
        <w:ind w:firstLine="283"/>
        <w:jc w:val="both"/>
      </w:pPr>
      <w:r>
        <w:rPr>
          <w:rtl/>
        </w:rPr>
        <w:t xml:space="preserve">ר׳ חיים </w:t>
      </w:r>
      <w:proofErr w:type="spellStart"/>
      <w:r>
        <w:rPr>
          <w:rtl/>
        </w:rPr>
        <w:t>סרנא</w:t>
      </w:r>
      <w:proofErr w:type="spellEnd"/>
      <w:r>
        <w:rPr>
          <w:rtl/>
        </w:rPr>
        <w:t xml:space="preserve"> סיפר</w:t>
      </w:r>
      <w:bookmarkStart w:id="4981" w:name="_fnr3671"/>
      <w:r>
        <w:rPr>
          <w:vertAlign w:val="superscript"/>
          <w:rtl/>
        </w:rPr>
        <w:footnoteReference w:id="3679" w:customMarkFollows="0"/>
      </w:r>
      <w:bookmarkEnd w:id="4981"/>
      <w:r>
        <w:rPr>
          <w:rtl/>
        </w:rPr>
        <w:t xml:space="preserve"> שסבו ר׳ </w:t>
      </w:r>
      <w:proofErr w:type="spellStart"/>
      <w:r>
        <w:rPr>
          <w:rtl/>
        </w:rPr>
        <w:t>משה־מרדכי</w:t>
      </w:r>
      <w:proofErr w:type="spellEnd"/>
      <w:r>
        <w:rPr>
          <w:rtl/>
        </w:rPr>
        <w:t xml:space="preserve"> אפשטיין הביע בפני אחיו ר׳ </w:t>
      </w:r>
      <w:proofErr w:type="spellStart"/>
      <w:r>
        <w:rPr>
          <w:rtl/>
        </w:rPr>
        <w:t>אפרים־פישל</w:t>
      </w:r>
      <w:proofErr w:type="spellEnd"/>
      <w:r>
        <w:rPr>
          <w:rtl/>
        </w:rPr>
        <w:t xml:space="preserve">, שהתגורר בשיקגו, את דאגתו לפרנסתה של בתו </w:t>
      </w:r>
      <w:proofErr w:type="spellStart"/>
      <w:r>
        <w:rPr>
          <w:rtl/>
        </w:rPr>
        <w:t>זלאטה</w:t>
      </w:r>
      <w:proofErr w:type="spellEnd"/>
      <w:r>
        <w:rPr>
          <w:rtl/>
        </w:rPr>
        <w:t xml:space="preserve">, אלמנתו של ר׳ משה </w:t>
      </w:r>
      <w:proofErr w:type="spellStart"/>
      <w:r>
        <w:rPr>
          <w:rtl/>
        </w:rPr>
        <w:t>פינקל</w:t>
      </w:r>
      <w:proofErr w:type="spellEnd"/>
      <w:r>
        <w:rPr>
          <w:rtl/>
        </w:rPr>
        <w:t>, ושל ילדיה. בעלה שימש מגיד שיעור בחברון חודשים אחדים בלבד, ולכן לא יכול היה אביה לצפות שהישיבה תעניק לה קצבה לכל ימי חייה</w:t>
      </w:r>
      <w:bookmarkStart w:id="4982" w:name="_fnr3672"/>
      <w:r>
        <w:rPr>
          <w:vertAlign w:val="superscript"/>
          <w:rtl/>
        </w:rPr>
        <w:footnoteReference w:id="3680" w:customMarkFollows="0"/>
      </w:r>
      <w:bookmarkEnd w:id="4982"/>
      <w:r>
        <w:rPr>
          <w:rtl/>
        </w:rPr>
        <w:t xml:space="preserve">. כשהציע ר׳ </w:t>
      </w:r>
      <w:proofErr w:type="spellStart"/>
      <w:r>
        <w:rPr>
          <w:rtl/>
        </w:rPr>
        <w:t>אפרים־פישל</w:t>
      </w:r>
      <w:proofErr w:type="spellEnd"/>
      <w:r>
        <w:rPr>
          <w:rtl/>
        </w:rPr>
        <w:t xml:space="preserve"> לאחיו ליטול לעצמו שכר גבוה יותר ולתת חלק ממנו לבתו, השיב שהסבא פסק </w:t>
      </w:r>
      <w:proofErr w:type="spellStart"/>
      <w:r>
        <w:rPr>
          <w:rtl/>
        </w:rPr>
        <w:t>ש“המקבל</w:t>
      </w:r>
      <w:proofErr w:type="spellEnd"/>
      <w:r>
        <w:rPr>
          <w:rtl/>
        </w:rPr>
        <w:t xml:space="preserve"> כסף מן הישיבה ונותנו לילדיו – גזלן הוא”.</w:t>
      </w:r>
    </w:p>
    <w:p w14:paraId="4951C0D6" w14:textId="77777777" w:rsidR="00AB3647" w:rsidRDefault="00000000" w:rsidP="007923E9">
      <w:pPr>
        <w:spacing w:after="120" w:line="276" w:lineRule="auto"/>
        <w:ind w:firstLine="283"/>
        <w:jc w:val="both"/>
      </w:pPr>
      <w:r>
        <w:rPr>
          <w:rtl/>
        </w:rPr>
        <w:t xml:space="preserve">בהערתו הראשונה למאמרו של ר׳ ישראל </w:t>
      </w:r>
      <w:proofErr w:type="spellStart"/>
      <w:r>
        <w:rPr>
          <w:rtl/>
        </w:rPr>
        <w:t>סלנטר</w:t>
      </w:r>
      <w:proofErr w:type="spellEnd"/>
      <w:r>
        <w:rPr>
          <w:rtl/>
        </w:rPr>
        <w:t xml:space="preserve"> </w:t>
      </w:r>
      <w:proofErr w:type="spellStart"/>
      <w:r>
        <w:rPr>
          <w:rtl/>
        </w:rPr>
        <w:t>ב“עץ</w:t>
      </w:r>
      <w:proofErr w:type="spellEnd"/>
      <w:r>
        <w:rPr>
          <w:rtl/>
        </w:rPr>
        <w:t xml:space="preserve"> פרי”</w:t>
      </w:r>
      <w:bookmarkStart w:id="4983" w:name="_fnr3673"/>
      <w:r>
        <w:rPr>
          <w:vertAlign w:val="superscript"/>
          <w:rtl/>
        </w:rPr>
        <w:footnoteReference w:id="3681" w:customMarkFollows="0"/>
      </w:r>
      <w:bookmarkEnd w:id="4983"/>
      <w:r>
        <w:rPr>
          <w:rtl/>
        </w:rPr>
        <w:t xml:space="preserve"> מגלה ר׳ </w:t>
      </w:r>
      <w:proofErr w:type="spellStart"/>
      <w:r>
        <w:rPr>
          <w:rtl/>
        </w:rPr>
        <w:t>נתן־צבי</w:t>
      </w:r>
      <w:proofErr w:type="spellEnd"/>
      <w:r>
        <w:rPr>
          <w:rtl/>
        </w:rPr>
        <w:t xml:space="preserve"> </w:t>
      </w:r>
      <w:proofErr w:type="spellStart"/>
      <w:r>
        <w:rPr>
          <w:rtl/>
        </w:rPr>
        <w:t>פינקל</w:t>
      </w:r>
      <w:proofErr w:type="spellEnd"/>
      <w:r>
        <w:rPr>
          <w:rtl/>
        </w:rPr>
        <w:t xml:space="preserve"> מהי עמדתו האידיאלית בעניין זה: “אמנם דרך הצדיק שלא להעדיף את ילדיו על ילדי אחרים. ואולם אין הדבר כך אלא בחיצוניות; בפנימיות, </w:t>
      </w:r>
      <w:r>
        <w:rPr>
          <w:b/>
          <w:bCs/>
          <w:rtl/>
        </w:rPr>
        <w:t>מחמת הטבע</w:t>
      </w:r>
      <w:r>
        <w:rPr>
          <w:rtl/>
        </w:rPr>
        <w:t xml:space="preserve"> (ההדגשה שלי), אהבת בנו קודמת לאהבת בן חברו”. הוא כתב זאת </w:t>
      </w:r>
      <w:proofErr w:type="spellStart"/>
      <w:r>
        <w:rPr>
          <w:rtl/>
        </w:rPr>
        <w:t>בתרמ״א</w:t>
      </w:r>
      <w:proofErr w:type="spellEnd"/>
      <w:r>
        <w:rPr>
          <w:rtl/>
        </w:rPr>
        <w:t xml:space="preserve">, אבל יש ראיה חזקה שעד שבא אבי לישיבה, כרבע מאה לאחר מכן, כבר שבר הסבא </w:t>
      </w:r>
      <w:proofErr w:type="spellStart"/>
      <w:r>
        <w:rPr>
          <w:rtl/>
        </w:rPr>
        <w:t>מסלבודקה</w:t>
      </w:r>
      <w:proofErr w:type="spellEnd"/>
      <w:r>
        <w:rPr>
          <w:rtl/>
        </w:rPr>
        <w:t xml:space="preserve"> את כבלי “הטבע”. השווה כץ, “תנועת המוסר”, כרך ג</w:t>
      </w:r>
      <w:bookmarkStart w:id="4984" w:name="_fnr3674"/>
      <w:r>
        <w:rPr>
          <w:vertAlign w:val="superscript"/>
          <w:rtl/>
        </w:rPr>
        <w:footnoteReference w:id="3682" w:customMarkFollows="0"/>
      </w:r>
      <w:bookmarkEnd w:id="4984"/>
      <w:r>
        <w:rPr>
          <w:rtl/>
        </w:rPr>
        <w:t>, על סירובו להתיר שימוש בכספי הישיבה, שנועדו למלגות התלמידים, לתיקון נעליו של בנו [אברהם־]שמואל, בסביבות תרס״ה.</w:t>
      </w:r>
    </w:p>
    <w:p w14:paraId="605FB4F2" w14:textId="77777777" w:rsidR="00AB3647" w:rsidRDefault="00000000" w:rsidP="007923E9">
      <w:pPr>
        <w:spacing w:after="120" w:line="276" w:lineRule="auto"/>
        <w:ind w:firstLine="283"/>
        <w:jc w:val="both"/>
      </w:pPr>
      <w:r>
        <w:rPr>
          <w:rtl/>
        </w:rPr>
        <w:lastRenderedPageBreak/>
        <w:t>השווה גם שם</w:t>
      </w:r>
      <w:bookmarkStart w:id="4985" w:name="_fnr3675"/>
      <w:r>
        <w:rPr>
          <w:vertAlign w:val="superscript"/>
          <w:rtl/>
        </w:rPr>
        <w:footnoteReference w:id="3683" w:customMarkFollows="0"/>
      </w:r>
      <w:bookmarkEnd w:id="4985"/>
      <w:r>
        <w:rPr>
          <w:rtl/>
        </w:rPr>
        <w:t xml:space="preserve">, בעניין התפקידים בישיבה שנתן ר׳ </w:t>
      </w:r>
      <w:proofErr w:type="spellStart"/>
      <w:r>
        <w:rPr>
          <w:rtl/>
        </w:rPr>
        <w:t>נתן־צבי</w:t>
      </w:r>
      <w:proofErr w:type="spellEnd"/>
      <w:r>
        <w:rPr>
          <w:rtl/>
        </w:rPr>
        <w:t xml:space="preserve"> לחתנו ר׳ אייזיק שר ולבנו ר׳ משה. כשמחה על כך ר׳ </w:t>
      </w:r>
      <w:proofErr w:type="spellStart"/>
      <w:r>
        <w:rPr>
          <w:rtl/>
        </w:rPr>
        <w:t>יחיאל־יעקב</w:t>
      </w:r>
      <w:proofErr w:type="spellEnd"/>
      <w:r>
        <w:rPr>
          <w:rtl/>
        </w:rPr>
        <w:t xml:space="preserve"> ויינברג</w:t>
      </w:r>
      <w:bookmarkStart w:id="4986" w:name="_fnr3676"/>
      <w:r>
        <w:rPr>
          <w:vertAlign w:val="superscript"/>
          <w:rtl/>
        </w:rPr>
        <w:footnoteReference w:id="3684" w:customMarkFollows="0"/>
      </w:r>
      <w:bookmarkEnd w:id="4986"/>
      <w:r>
        <w:rPr>
          <w:rtl/>
        </w:rPr>
        <w:t xml:space="preserve">, שלח אליו הסבא את ר׳ אברהם </w:t>
      </w:r>
      <w:proofErr w:type="spellStart"/>
      <w:r>
        <w:rPr>
          <w:rtl/>
        </w:rPr>
        <w:t>גרודזינסקי</w:t>
      </w:r>
      <w:proofErr w:type="spellEnd"/>
      <w:r>
        <w:rPr>
          <w:rtl/>
        </w:rPr>
        <w:t xml:space="preserve">, “שהסביר לו כדברים הנזכרים” – כלומר שרק “לאחר ששוכנע שהם ראויים לאותה </w:t>
      </w:r>
      <w:proofErr w:type="spellStart"/>
      <w:r>
        <w:rPr>
          <w:rtl/>
        </w:rPr>
        <w:t>איצטלא</w:t>
      </w:r>
      <w:proofErr w:type="spellEnd"/>
      <w:r>
        <w:rPr>
          <w:rtl/>
        </w:rPr>
        <w:t xml:space="preserve"> מכל הבחינות ואף אם לא היו קרובי משפחה היו באים בחשבון למטרות אלה, כדי לבצר את שיטתו המוסרית ולשמור על </w:t>
      </w:r>
      <w:proofErr w:type="spellStart"/>
      <w:r>
        <w:rPr>
          <w:rtl/>
        </w:rPr>
        <w:t>אופיה</w:t>
      </w:r>
      <w:proofErr w:type="spellEnd"/>
      <w:r>
        <w:rPr>
          <w:rtl/>
        </w:rPr>
        <w:t xml:space="preserve"> המיוחד של הישיבה, הכריע לטובתם” – “והוסיף כי אמנם יצרו הטוב הסיתו להתנגד לזה, ‘משום הרחקת אהבת האב לבניו והרחקת החשד’, אבל משום הנימוקים דלעיל להבטיח את המשך הישיבה באותה רוח, ראה את עצמו מחויב בזה להתגבר על יצרו טוב זה”.</w:t>
      </w:r>
    </w:p>
    <w:p w14:paraId="52AD94A2" w14:textId="77777777" w:rsidR="00AB3647" w:rsidRDefault="00000000" w:rsidP="007923E9">
      <w:pPr>
        <w:spacing w:after="120" w:line="276" w:lineRule="auto"/>
        <w:ind w:firstLine="283"/>
        <w:jc w:val="both"/>
      </w:pPr>
      <w:r>
        <w:rPr>
          <w:rtl/>
        </w:rPr>
        <w:t xml:space="preserve">גילוי מעניין על מחאת ר׳ </w:t>
      </w:r>
      <w:proofErr w:type="spellStart"/>
      <w:r>
        <w:rPr>
          <w:rtl/>
        </w:rPr>
        <w:t>יחיאל־יעקב</w:t>
      </w:r>
      <w:proofErr w:type="spellEnd"/>
      <w:r>
        <w:rPr>
          <w:rtl/>
        </w:rPr>
        <w:t xml:space="preserve"> ויינברג בפני הסבא עולה מאחד ממכתביו </w:t>
      </w:r>
      <w:proofErr w:type="spellStart"/>
      <w:r>
        <w:rPr>
          <w:rtl/>
        </w:rPr>
        <w:t>לר</w:t>
      </w:r>
      <w:proofErr w:type="spellEnd"/>
      <w:r>
        <w:rPr>
          <w:rtl/>
        </w:rPr>
        <w:t>׳ דב כץ</w:t>
      </w:r>
      <w:bookmarkStart w:id="4987" w:name="_fnr3677"/>
      <w:r>
        <w:rPr>
          <w:vertAlign w:val="superscript"/>
          <w:rtl/>
        </w:rPr>
        <w:footnoteReference w:id="3685" w:customMarkFollows="0"/>
      </w:r>
      <w:bookmarkEnd w:id="4987"/>
      <w:r>
        <w:rPr>
          <w:rtl/>
        </w:rPr>
        <w:t xml:space="preserve">. וכך כתב: “הסבא השמיע ביקורת על קלם, שממנים בה קרובי משפחה, ואני התערבתי ואמרתי שגם הסבא מנהל כך את </w:t>
      </w:r>
      <w:proofErr w:type="spellStart"/>
      <w:r>
        <w:rPr>
          <w:rtl/>
        </w:rPr>
        <w:t>סלבודקה</w:t>
      </w:r>
      <w:bookmarkStart w:id="4988" w:name="_fnr3678"/>
      <w:proofErr w:type="spellEnd"/>
      <w:r>
        <w:rPr>
          <w:vertAlign w:val="superscript"/>
          <w:rtl/>
        </w:rPr>
        <w:footnoteReference w:id="3686" w:customMarkFollows="0"/>
      </w:r>
      <w:bookmarkEnd w:id="4988"/>
      <w:r>
        <w:rPr>
          <w:rtl/>
        </w:rPr>
        <w:t xml:space="preserve">. הסבא הרים את מקל הכסף שלו כאילו להכותני, ואני ברחתי מן הבית. אחר כך בא שלוחו, ר׳ אברהם </w:t>
      </w:r>
      <w:proofErr w:type="spellStart"/>
      <w:r>
        <w:rPr>
          <w:rtl/>
        </w:rPr>
        <w:t>ורשבר</w:t>
      </w:r>
      <w:proofErr w:type="spellEnd"/>
      <w:r>
        <w:rPr>
          <w:rtl/>
        </w:rPr>
        <w:t xml:space="preserve"> [</w:t>
      </w:r>
      <w:proofErr w:type="spellStart"/>
      <w:r>
        <w:rPr>
          <w:rtl/>
        </w:rPr>
        <w:t>גרודזינסקי</w:t>
      </w:r>
      <w:proofErr w:type="spellEnd"/>
      <w:r>
        <w:rPr>
          <w:rtl/>
        </w:rPr>
        <w:t xml:space="preserve">], אל חדרי כדי להוכיח שאצל הסבא נעשה הדבר בלא נגיעה אישית. כשביאר לי את הדברים, אמרתי לשליח ששכנע אותי; אבל ר׳ אברהם </w:t>
      </w:r>
      <w:proofErr w:type="spellStart"/>
      <w:r>
        <w:rPr>
          <w:rtl/>
        </w:rPr>
        <w:t>גרודזינסקי</w:t>
      </w:r>
      <w:proofErr w:type="spellEnd"/>
      <w:r>
        <w:rPr>
          <w:rtl/>
        </w:rPr>
        <w:t xml:space="preserve"> אמר שהסבא הורה לו להקדיש שעתיים לשכנעי, ומאחר שעדיין לא עברו שעתיים, עליו לחזור על הכול שוב כדי לוודא שהבנתי כראוי את דבריו”. אפשר לשער שר׳ אברהם </w:t>
      </w:r>
      <w:proofErr w:type="spellStart"/>
      <w:r>
        <w:rPr>
          <w:rtl/>
        </w:rPr>
        <w:t>גרודזינסקי</w:t>
      </w:r>
      <w:proofErr w:type="spellEnd"/>
      <w:r>
        <w:rPr>
          <w:rtl/>
        </w:rPr>
        <w:t xml:space="preserve">, תלמידו המובהק של הסבא שלא היה קרוב משפחתו, מונה גם הוא לתפקיד ששמו המשונה “מנהל מוסרי” </w:t>
      </w:r>
      <w:proofErr w:type="spellStart"/>
      <w:r>
        <w:rPr>
          <w:rtl/>
        </w:rPr>
        <w:t>בתרע״ג</w:t>
      </w:r>
      <w:bookmarkStart w:id="4989" w:name="_fnr3679"/>
      <w:proofErr w:type="spellEnd"/>
      <w:r>
        <w:rPr>
          <w:vertAlign w:val="superscript"/>
          <w:rtl/>
        </w:rPr>
        <w:footnoteReference w:id="3687" w:customMarkFollows="0"/>
      </w:r>
      <w:bookmarkEnd w:id="4989"/>
      <w:r>
        <w:rPr>
          <w:rtl/>
        </w:rPr>
        <w:t>, כדי לפייס את המתרעמים על מה שנראה לכאורה כמינוי קרובים.</w:t>
      </w:r>
    </w:p>
    <w:p w14:paraId="682BFA31" w14:textId="77777777" w:rsidR="00AB3647" w:rsidRDefault="00000000" w:rsidP="007923E9">
      <w:pPr>
        <w:spacing w:after="120" w:line="276" w:lineRule="auto"/>
        <w:ind w:firstLine="283"/>
        <w:jc w:val="both"/>
      </w:pPr>
      <w:r>
        <w:rPr>
          <w:rtl/>
        </w:rPr>
        <w:t xml:space="preserve">נכדתו של הסבא </w:t>
      </w:r>
      <w:proofErr w:type="spellStart"/>
      <w:r>
        <w:rPr>
          <w:rtl/>
        </w:rPr>
        <w:t>מסלבודקה</w:t>
      </w:r>
      <w:proofErr w:type="spellEnd"/>
      <w:r>
        <w:rPr>
          <w:rtl/>
        </w:rPr>
        <w:t xml:space="preserve">, </w:t>
      </w:r>
      <w:proofErr w:type="spellStart"/>
      <w:r>
        <w:rPr>
          <w:rtl/>
        </w:rPr>
        <w:t>חיה־מרים</w:t>
      </w:r>
      <w:proofErr w:type="spellEnd"/>
      <w:r>
        <w:rPr>
          <w:rtl/>
        </w:rPr>
        <w:t xml:space="preserve"> </w:t>
      </w:r>
      <w:proofErr w:type="spellStart"/>
      <w:r>
        <w:rPr>
          <w:rtl/>
        </w:rPr>
        <w:t>שולמן</w:t>
      </w:r>
      <w:proofErr w:type="spellEnd"/>
      <w:r>
        <w:rPr>
          <w:rtl/>
        </w:rPr>
        <w:t xml:space="preserve">, סיפרה על אירוע שאירע בתחילת חורף תרע״ב, שלושה עשורים אחרי שכתב הסבא את מאמרו </w:t>
      </w:r>
      <w:proofErr w:type="spellStart"/>
      <w:r>
        <w:rPr>
          <w:rtl/>
        </w:rPr>
        <w:t>ב“עץ</w:t>
      </w:r>
      <w:proofErr w:type="spellEnd"/>
      <w:r>
        <w:rPr>
          <w:rtl/>
        </w:rPr>
        <w:t xml:space="preserve"> פרי”. האירוע אינו משאיר ספק שבאותה עת כבר התגבר הסבא לחלוטין על הנטייה הטבעית.</w:t>
      </w:r>
    </w:p>
    <w:p w14:paraId="7A2A26DA" w14:textId="77777777" w:rsidR="00AB3647" w:rsidRDefault="00000000" w:rsidP="007923E9">
      <w:pPr>
        <w:spacing w:after="120" w:line="276" w:lineRule="auto"/>
        <w:ind w:firstLine="283"/>
        <w:jc w:val="both"/>
      </w:pPr>
      <w:r>
        <w:rPr>
          <w:rtl/>
        </w:rPr>
        <w:t>היא העלתה</w:t>
      </w:r>
      <w:bookmarkStart w:id="4990" w:name="_fnr3680"/>
      <w:r>
        <w:rPr>
          <w:vertAlign w:val="superscript"/>
          <w:rtl/>
        </w:rPr>
        <w:footnoteReference w:id="3688" w:customMarkFollows="0"/>
      </w:r>
      <w:bookmarkEnd w:id="4990"/>
      <w:r>
        <w:rPr>
          <w:rtl/>
        </w:rPr>
        <w:t xml:space="preserve"> את הזיכרון המוקדם ביותר בחייה: ביקורו של ר׳ </w:t>
      </w:r>
      <w:proofErr w:type="spellStart"/>
      <w:r>
        <w:rPr>
          <w:rtl/>
        </w:rPr>
        <w:t>איסר־זלמן</w:t>
      </w:r>
      <w:proofErr w:type="spellEnd"/>
      <w:r>
        <w:rPr>
          <w:rtl/>
        </w:rPr>
        <w:t xml:space="preserve"> בביתה. “הוא ישב בשיכול רגליים”, סיפרה, “ופנה אל אמי בשמה הפרטי ואמר: ‘אמרי לאביך שאני לא אעזוב בלעדיו; יחטפו אותו. אינך יודעת איזה אוצר הוא.’ הוא בא </w:t>
      </w:r>
      <w:proofErr w:type="spellStart"/>
      <w:r>
        <w:rPr>
          <w:rtl/>
        </w:rPr>
        <w:t>לסלבודקה</w:t>
      </w:r>
      <w:proofErr w:type="spellEnd"/>
      <w:r>
        <w:rPr>
          <w:rtl/>
        </w:rPr>
        <w:t xml:space="preserve"> </w:t>
      </w:r>
      <w:proofErr w:type="spellStart"/>
      <w:r>
        <w:rPr>
          <w:rtl/>
        </w:rPr>
        <w:t>מסלוצק</w:t>
      </w:r>
      <w:proofErr w:type="spellEnd"/>
      <w:r>
        <w:rPr>
          <w:rtl/>
        </w:rPr>
        <w:t xml:space="preserve"> לשידוך </w:t>
      </w:r>
      <w:r>
        <w:rPr>
          <w:rtl/>
        </w:rPr>
        <w:lastRenderedPageBreak/>
        <w:t xml:space="preserve">לבתו, והתכוון לאהרן </w:t>
      </w:r>
      <w:proofErr w:type="spellStart"/>
      <w:r>
        <w:rPr>
          <w:rtl/>
        </w:rPr>
        <w:t>הסיסלוביצ׳ר</w:t>
      </w:r>
      <w:proofErr w:type="spellEnd"/>
      <w:r>
        <w:rPr>
          <w:rtl/>
        </w:rPr>
        <w:t xml:space="preserve"> [קוטלר]. ליוויתי את אמי כשנכנסה לחדרו של סבא ואמרה: ‘אתה נותן את אהרן? איך אתה עושה דבר כזה?’ והוא השיב: ‘אני נותן אותו? אני לוקח אותו לעצמי. ר׳ </w:t>
      </w:r>
      <w:proofErr w:type="spellStart"/>
      <w:r>
        <w:rPr>
          <w:rtl/>
        </w:rPr>
        <w:t>איסר־זלמן</w:t>
      </w:r>
      <w:proofErr w:type="spellEnd"/>
      <w:r>
        <w:rPr>
          <w:rtl/>
        </w:rPr>
        <w:t xml:space="preserve"> יקר לי יותר מ[בני, אחיך] </w:t>
      </w:r>
      <w:proofErr w:type="spellStart"/>
      <w:r>
        <w:rPr>
          <w:rtl/>
        </w:rPr>
        <w:t>לייזר־יודל</w:t>
      </w:r>
      <w:proofErr w:type="spellEnd"/>
      <w:r>
        <w:rPr>
          <w:rtl/>
        </w:rPr>
        <w:t xml:space="preserve">.’” הרבנית </w:t>
      </w:r>
      <w:proofErr w:type="spellStart"/>
      <w:r>
        <w:rPr>
          <w:rtl/>
        </w:rPr>
        <w:t>שולמן</w:t>
      </w:r>
      <w:proofErr w:type="spellEnd"/>
      <w:r>
        <w:rPr>
          <w:rtl/>
        </w:rPr>
        <w:t xml:space="preserve"> הוסיפה שכשגדלה הבינה שעליה לחרות את המאורע בזיכרונה לעד.</w:t>
      </w:r>
    </w:p>
    <w:p w14:paraId="3E217F78" w14:textId="77777777" w:rsidR="00AB3647" w:rsidRDefault="00000000" w:rsidP="007923E9">
      <w:pPr>
        <w:spacing w:after="120" w:line="276" w:lineRule="auto"/>
        <w:ind w:firstLine="283"/>
        <w:jc w:val="both"/>
      </w:pPr>
      <w:r>
        <w:rPr>
          <w:rtl/>
        </w:rPr>
        <w:t xml:space="preserve">ר׳ שלמה </w:t>
      </w:r>
      <w:proofErr w:type="spellStart"/>
      <w:r>
        <w:rPr>
          <w:rtl/>
        </w:rPr>
        <w:t>איידלשטיין</w:t>
      </w:r>
      <w:bookmarkStart w:id="4991" w:name="_fnr3681"/>
      <w:proofErr w:type="spellEnd"/>
      <w:r>
        <w:rPr>
          <w:vertAlign w:val="superscript"/>
          <w:rtl/>
        </w:rPr>
        <w:footnoteReference w:id="3689" w:customMarkFollows="0"/>
      </w:r>
      <w:bookmarkEnd w:id="4991"/>
      <w:r>
        <w:rPr>
          <w:rtl/>
        </w:rPr>
        <w:t xml:space="preserve">, שגם לו, כמו לי, סיפרה </w:t>
      </w:r>
      <w:proofErr w:type="spellStart"/>
      <w:r>
        <w:rPr>
          <w:rtl/>
        </w:rPr>
        <w:t>חיה־מרים</w:t>
      </w:r>
      <w:proofErr w:type="spellEnd"/>
      <w:r>
        <w:rPr>
          <w:rtl/>
        </w:rPr>
        <w:t xml:space="preserve"> </w:t>
      </w:r>
      <w:proofErr w:type="spellStart"/>
      <w:r>
        <w:rPr>
          <w:rtl/>
        </w:rPr>
        <w:t>שולמן</w:t>
      </w:r>
      <w:proofErr w:type="spellEnd"/>
      <w:r>
        <w:rPr>
          <w:rtl/>
        </w:rPr>
        <w:t xml:space="preserve"> על המקרה, מסר שאמה טענה: “אבל </w:t>
      </w:r>
      <w:proofErr w:type="spellStart"/>
      <w:r>
        <w:rPr>
          <w:rtl/>
        </w:rPr>
        <w:t>טאטע</w:t>
      </w:r>
      <w:proofErr w:type="spellEnd"/>
      <w:r>
        <w:rPr>
          <w:rtl/>
        </w:rPr>
        <w:t xml:space="preserve">, ר׳ </w:t>
      </w:r>
      <w:proofErr w:type="spellStart"/>
      <w:r>
        <w:rPr>
          <w:rtl/>
        </w:rPr>
        <w:t>לייזר־יודל</w:t>
      </w:r>
      <w:proofErr w:type="spellEnd"/>
      <w:r>
        <w:rPr>
          <w:rtl/>
        </w:rPr>
        <w:t xml:space="preserve"> </w:t>
      </w:r>
      <w:proofErr w:type="spellStart"/>
      <w:r>
        <w:rPr>
          <w:rtl/>
        </w:rPr>
        <w:t>איז</w:t>
      </w:r>
      <w:proofErr w:type="spellEnd"/>
      <w:r>
        <w:rPr>
          <w:rtl/>
        </w:rPr>
        <w:t xml:space="preserve"> דאך א צדיק [הרי הוא צדיק גדול] (כלומר, צדיק יותר מר׳ </w:t>
      </w:r>
      <w:proofErr w:type="spellStart"/>
      <w:r>
        <w:rPr>
          <w:rtl/>
        </w:rPr>
        <w:t>איסר־זלמן</w:t>
      </w:r>
      <w:proofErr w:type="spellEnd"/>
      <w:r>
        <w:rPr>
          <w:rtl/>
        </w:rPr>
        <w:t>)”, והסבא לא השיב.</w:t>
      </w:r>
      <w:bookmarkStart w:id="4992" w:name="_fnr3682"/>
      <w:r>
        <w:rPr>
          <w:vertAlign w:val="superscript"/>
          <w:rtl/>
        </w:rPr>
        <w:footnoteReference w:id="3690" w:customMarkFollows="0"/>
      </w:r>
      <w:bookmarkEnd w:id="4992"/>
    </w:p>
    <w:p w14:paraId="2623E541" w14:textId="7A7D65FD" w:rsidR="00AB3647" w:rsidRDefault="00000000" w:rsidP="007923E9">
      <w:pPr>
        <w:spacing w:after="120" w:line="276" w:lineRule="auto"/>
        <w:ind w:firstLine="283"/>
        <w:jc w:val="both"/>
      </w:pPr>
      <w:r>
        <w:rPr>
          <w:rtl/>
        </w:rPr>
        <w:t>בעלון ערב שבת “תודעה”</w:t>
      </w:r>
      <w:bookmarkStart w:id="4993" w:name="_fnr3683"/>
      <w:r>
        <w:rPr>
          <w:vertAlign w:val="superscript"/>
          <w:rtl/>
        </w:rPr>
        <w:footnoteReference w:id="3691" w:customMarkFollows="0"/>
      </w:r>
      <w:bookmarkEnd w:id="4993"/>
      <w:r>
        <w:rPr>
          <w:rtl/>
        </w:rPr>
        <w:t xml:space="preserve"> מובא בשם ר׳ </w:t>
      </w:r>
      <w:proofErr w:type="spellStart"/>
      <w:r>
        <w:rPr>
          <w:rtl/>
        </w:rPr>
        <w:t>יעקב־יצחק</w:t>
      </w:r>
      <w:proofErr w:type="spellEnd"/>
      <w:r>
        <w:rPr>
          <w:rtl/>
        </w:rPr>
        <w:t xml:space="preserve"> </w:t>
      </w:r>
      <w:proofErr w:type="spellStart"/>
      <w:r>
        <w:rPr>
          <w:rtl/>
        </w:rPr>
        <w:t>רודרמן</w:t>
      </w:r>
      <w:proofErr w:type="spellEnd"/>
      <w:r>
        <w:rPr>
          <w:rtl/>
        </w:rPr>
        <w:t xml:space="preserve"> שפעם ישב בבית הסבא ושוחח עם רבו, ונכנס ר׳ </w:t>
      </w:r>
      <w:proofErr w:type="spellStart"/>
      <w:r>
        <w:rPr>
          <w:rtl/>
        </w:rPr>
        <w:t>לייזר־יודל</w:t>
      </w:r>
      <w:proofErr w:type="spellEnd"/>
      <w:r>
        <w:rPr>
          <w:rtl/>
        </w:rPr>
        <w:t xml:space="preserve"> אחרי היעדרות ממושכת </w:t>
      </w:r>
      <w:proofErr w:type="spellStart"/>
      <w:r>
        <w:rPr>
          <w:rtl/>
        </w:rPr>
        <w:t>מסלבודקה</w:t>
      </w:r>
      <w:proofErr w:type="spellEnd"/>
      <w:r>
        <w:rPr>
          <w:rtl/>
        </w:rPr>
        <w:t xml:space="preserve">. הסבא בירך את בנו </w:t>
      </w:r>
      <w:proofErr w:type="spellStart"/>
      <w:r>
        <w:rPr>
          <w:rtl/>
        </w:rPr>
        <w:t>ב“שלום</w:t>
      </w:r>
      <w:proofErr w:type="spellEnd"/>
      <w:r>
        <w:rPr>
          <w:rtl/>
        </w:rPr>
        <w:t xml:space="preserve"> עליכם” קצר, והמשיך בשיחתו עם ר׳ </w:t>
      </w:r>
      <w:proofErr w:type="spellStart"/>
      <w:r>
        <w:rPr>
          <w:rtl/>
        </w:rPr>
        <w:t>יעקב־יצחק</w:t>
      </w:r>
      <w:proofErr w:type="spellEnd"/>
      <w:r>
        <w:rPr>
          <w:rtl/>
        </w:rPr>
        <w:t xml:space="preserve">. כשאמרה הסבתא: “האם לא הבחנת </w:t>
      </w:r>
      <w:proofErr w:type="spellStart"/>
      <w:r>
        <w:rPr>
          <w:rtl/>
        </w:rPr>
        <w:t>שלייזר־יודל</w:t>
      </w:r>
      <w:proofErr w:type="spellEnd"/>
      <w:r>
        <w:rPr>
          <w:rtl/>
        </w:rPr>
        <w:t xml:space="preserve"> הגיע?”, השיב בעלה: “בוודאי הבחנתי. אבל מה בכך? הוא בני, וגם </w:t>
      </w:r>
      <w:proofErr w:type="spellStart"/>
      <w:r>
        <w:rPr>
          <w:rtl/>
        </w:rPr>
        <w:t>הדולהינובר</w:t>
      </w:r>
      <w:proofErr w:type="spellEnd"/>
      <w:r>
        <w:rPr>
          <w:rtl/>
        </w:rPr>
        <w:t xml:space="preserve"> [ר׳ </w:t>
      </w:r>
      <w:proofErr w:type="spellStart"/>
      <w:r>
        <w:rPr>
          <w:rtl/>
        </w:rPr>
        <w:t>יעקב־יצחק</w:t>
      </w:r>
      <w:proofErr w:type="spellEnd"/>
      <w:r>
        <w:rPr>
          <w:rtl/>
        </w:rPr>
        <w:t xml:space="preserve"> </w:t>
      </w:r>
      <w:proofErr w:type="spellStart"/>
      <w:r>
        <w:rPr>
          <w:rtl/>
        </w:rPr>
        <w:t>רודרמן</w:t>
      </w:r>
      <w:proofErr w:type="spellEnd"/>
      <w:r>
        <w:rPr>
          <w:rtl/>
        </w:rPr>
        <w:t xml:space="preserve">] הוא בני; האם עליי להפסיק שיחה עם בן אחד כדי לקבל בן אחר?” השווה גם פרק 3, סוף </w:t>
      </w:r>
      <w:r>
        <w:rPr>
          <w:rtl/>
        </w:rPr>
        <w:fldChar w:fldCharType="begin" w:dirty="true"/>
      </w:r>
      <w:r>
        <w:rPr>
          <w:rtl/>
        </w:rPr>
        <w:instrText xml:space="preserve"> REF b3_excH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ח</w:t>
      </w:r>
      <w:r>
        <w:rPr>
          <w:rtl/>
        </w:rPr>
        <w:fldChar w:fldCharType="end"/>
      </w:r>
      <w:r>
        <w:rPr>
          <w:rtl/>
        </w:rPr>
        <w:t xml:space="preserve">, שם מבואר במה נבדלה השקפת ר׳ חיים </w:t>
      </w:r>
      <w:proofErr w:type="spellStart"/>
      <w:r>
        <w:rPr>
          <w:rtl/>
        </w:rPr>
        <w:t>סולובייצ׳יק</w:t>
      </w:r>
      <w:proofErr w:type="spellEnd"/>
      <w:r>
        <w:rPr>
          <w:rtl/>
        </w:rPr>
        <w:t xml:space="preserve"> בעניין זה מהשקפת הסבא.</w:t>
      </w:r>
    </w:p>
    <w:p w14:paraId="4A1EAD1A" w14:textId="77777777" w:rsidR="00AB3647" w:rsidRDefault="00000000" w:rsidP="007923E9">
      <w:pPr>
        <w:pStyle w:val="4"/>
        <w:spacing w:line="276" w:lineRule="auto"/>
      </w:pPr>
      <w:r>
        <w:t>· הפסקה השנייה ·</w:t>
      </w:r>
    </w:p>
    <w:p w14:paraId="15E3AB05" w14:textId="77777777" w:rsidR="00AB3647" w:rsidRDefault="00000000" w:rsidP="007923E9">
      <w:pPr>
        <w:pStyle w:val="5"/>
        <w:spacing w:line="276" w:lineRule="auto"/>
      </w:pPr>
      <w:r>
        <w:rPr>
          <w:bCs/>
          <w:szCs w:val="26"/>
        </w:rPr>
        <w:t>תלמידי הסבא שומרים על קרבתם למשפחתו</w:t>
      </w:r>
    </w:p>
    <w:p w14:paraId="5A2499DC" w14:textId="77777777" w:rsidR="00AB3647" w:rsidRDefault="00000000" w:rsidP="007923E9">
      <w:pPr>
        <w:spacing w:after="120" w:line="276" w:lineRule="auto"/>
        <w:ind w:firstLine="283"/>
        <w:jc w:val="both"/>
      </w:pPr>
      <w:r>
        <w:rPr>
          <w:rtl/>
        </w:rPr>
        <w:t>תלמידים רבים השיבו לסבא אהבה משפחתית, וגם אחרי שעזבו את הישיבה והקימו משפחות נשארו “קשורים אליו בחבלי נפשם”</w:t>
      </w:r>
      <w:bookmarkStart w:id="4994" w:name="_fnr3684"/>
      <w:r>
        <w:rPr>
          <w:vertAlign w:val="superscript"/>
          <w:rtl/>
        </w:rPr>
        <w:footnoteReference w:id="3692" w:customMarkFollows="0"/>
      </w:r>
      <w:bookmarkEnd w:id="4994"/>
      <w:r>
        <w:rPr>
          <w:rtl/>
        </w:rPr>
        <w:t xml:space="preserve">. אבי היה אחד מהם. קשרו הרגשי ניכר בקרבתו לבני משפחת הסבא – ובהם ר׳ יוסף פרבר ור׳ מרדכי </w:t>
      </w:r>
      <w:proofErr w:type="spellStart"/>
      <w:r>
        <w:rPr>
          <w:rtl/>
        </w:rPr>
        <w:t>שולמן</w:t>
      </w:r>
      <w:proofErr w:type="spellEnd"/>
      <w:r>
        <w:rPr>
          <w:rtl/>
        </w:rPr>
        <w:t xml:space="preserve">, ששניהם נשאו נכדות של הסבא </w:t>
      </w:r>
      <w:proofErr w:type="spellStart"/>
      <w:r>
        <w:rPr>
          <w:rtl/>
        </w:rPr>
        <w:t>מסלבודקה</w:t>
      </w:r>
      <w:proofErr w:type="spellEnd"/>
      <w:r>
        <w:rPr>
          <w:rtl/>
        </w:rPr>
        <w:t xml:space="preserve"> – ולצאצאיהם. מסתבר שגם יחסי האחווה הידועים והמתמידים בין תלמידי </w:t>
      </w:r>
      <w:proofErr w:type="spellStart"/>
      <w:r>
        <w:rPr>
          <w:rtl/>
        </w:rPr>
        <w:t>סלבודקה</w:t>
      </w:r>
      <w:proofErr w:type="spellEnd"/>
      <w:r>
        <w:rPr>
          <w:rtl/>
        </w:rPr>
        <w:t>, ורוח האחדות שלהם, צמחו מקרבתם המשותפת לרבם, כעין קרבת בנים לאביהם.</w:t>
      </w:r>
    </w:p>
    <w:bookmarkStart w:id="4995" w:name="b4_excD"/>
    <w:bookmarkStart w:id="4996" w:name="b4_annexD"/>
    <w:p w14:paraId="492F6BDB" w14:textId="77777777" w:rsidR="00AB3647" w:rsidRDefault="00000000" w:rsidP="007923E9">
      <w:pPr>
        <w:pStyle w:val="3"/>
        <w:spacing w:line="276" w:lineRule="auto"/>
      </w:pPr>
      <w:r>
        <w:lastRenderedPageBreak/>
        <w:fldChar w:fldCharType="begin" w:dirty="true"/>
      </w:r>
      <w:r>
        <w:rPr>
          <w:rtl w:val="0"/>
        </w:rPr>
        <w:instrText>HYPERLINK \l "b4_note39</w:instrText>
      </w:r>
      <w:r>
        <w:instrText>"</w:instrText>
      </w:r>
      <w:r>
        <w:fldChar w:fldCharType="separate"/>
      </w:r>
      <w:r>
        <w:t>נספח ד</w:t>
      </w:r>
      <w:r>
        <w:fldChar w:fldCharType="end"/>
      </w:r>
      <w:bookmarkEnd w:id="4995"/>
      <w:bookmarkEnd w:id="4996"/>
    </w:p>
    <w:p w14:paraId="3B498FB8" w14:textId="77777777" w:rsidR="00AB3647" w:rsidRDefault="00000000" w:rsidP="007923E9">
      <w:pPr>
        <w:pStyle w:val="af"/>
        <w:spacing w:line="276" w:lineRule="auto"/>
      </w:pPr>
      <w:r>
        <w:t xml:space="preserve">על הכוונת הסבא את ר׳ </w:t>
      </w:r>
      <w:proofErr w:type="spellStart"/>
      <w:r>
        <w:t>יחיאל־יעקב</w:t>
      </w:r>
      <w:proofErr w:type="spellEnd"/>
      <w:r>
        <w:t xml:space="preserve"> ויינברג, ועל אורך רוחו של הלה לנוכח חייו הטרגיים</w:t>
      </w:r>
    </w:p>
    <w:p w14:paraId="101B538C" w14:textId="77777777" w:rsidR="00AB3647" w:rsidRDefault="00000000" w:rsidP="007923E9">
      <w:pPr>
        <w:pStyle w:val="5"/>
        <w:spacing w:line="276" w:lineRule="auto"/>
      </w:pPr>
      <w:r>
        <w:t xml:space="preserve">הסבא פועל בשיתוף עם גדולי התלמידים – ר׳ </w:t>
      </w:r>
      <w:proofErr w:type="spellStart"/>
      <w:r>
        <w:t>יחיאל־יעקב</w:t>
      </w:r>
      <w:proofErr w:type="spellEnd"/>
      <w:r>
        <w:t xml:space="preserve"> ויינברג ניצב על פרשת דרכים – הוא רואה עצמו שייך לשני עולמות הסותרים זה את זה – אין הוא נוטר טינה על חוויית נישואיו הטרגית – אורך רוחו מגיע עד כדי פגם – הסבא מנסה לשמור על שלמות נישואיו – ר׳ </w:t>
      </w:r>
      <w:proofErr w:type="spellStart"/>
      <w:r>
        <w:t>יחיאל־יעקב</w:t>
      </w:r>
      <w:proofErr w:type="spellEnd"/>
      <w:r>
        <w:t xml:space="preserve"> פסימי באשר לעתיד – הוא מיטיב לכתוב על מוסר – הוא עדין ביותר ורב חסד</w:t>
      </w:r>
    </w:p>
    <w:p w14:paraId="0360E333" w14:textId="77777777" w:rsidR="00AB3647" w:rsidRDefault="00000000" w:rsidP="007923E9">
      <w:pPr>
        <w:spacing w:after="120" w:line="276" w:lineRule="auto"/>
        <w:ind w:firstLine="283"/>
        <w:jc w:val="both"/>
      </w:pPr>
      <w:r>
        <w:rPr>
          <w:rtl/>
        </w:rPr>
        <w:t>כץ, “תנועת המוסר”, כרך ג</w:t>
      </w:r>
      <w:bookmarkStart w:id="4997" w:name="_fnr3685"/>
      <w:r>
        <w:rPr>
          <w:vertAlign w:val="superscript"/>
          <w:rtl/>
        </w:rPr>
        <w:footnoteReference w:id="3693" w:customMarkFollows="0"/>
      </w:r>
      <w:bookmarkEnd w:id="4997"/>
      <w:r>
        <w:rPr>
          <w:rtl/>
        </w:rPr>
        <w:t xml:space="preserve">. לא היה זה חסר יסוד לגמרי </w:t>
      </w:r>
      <w:proofErr w:type="spellStart"/>
      <w:r>
        <w:rPr>
          <w:rtl/>
        </w:rPr>
        <w:t>ש“הישיבה</w:t>
      </w:r>
      <w:proofErr w:type="spellEnd"/>
      <w:r>
        <w:rPr>
          <w:rtl/>
        </w:rPr>
        <w:t>” הייתה גוף שקבע אמות מידה להנהגה, להבדיל מן המשגיח כשלעצמו. “שרידי אש”</w:t>
      </w:r>
      <w:bookmarkStart w:id="4998" w:name="_fnr3686"/>
      <w:r>
        <w:rPr>
          <w:vertAlign w:val="superscript"/>
          <w:rtl/>
        </w:rPr>
        <w:footnoteReference w:id="3694" w:customMarkFollows="0"/>
      </w:r>
      <w:bookmarkEnd w:id="4998"/>
      <w:r>
        <w:rPr>
          <w:rtl/>
        </w:rPr>
        <w:t xml:space="preserve"> אומר שהסבא “לא עשה שום דבר גדול או קטן בלי להתייעץ תחילה עם גדולי הישיבה”, כלומר עם גדולי התלמידים</w:t>
      </w:r>
      <w:bookmarkStart w:id="4999" w:name="_fnr3687"/>
      <w:r>
        <w:rPr>
          <w:vertAlign w:val="superscript"/>
          <w:rtl/>
        </w:rPr>
        <w:footnoteReference w:id="3695" w:customMarkFollows="0"/>
      </w:r>
      <w:bookmarkEnd w:id="4999"/>
      <w:r>
        <w:rPr>
          <w:rtl/>
        </w:rPr>
        <w:t>. מעניין שבמכתב אוטוביוגרפי שכתב מחבר “שרידי אש” שבע שנים לפני פטירתו, הוא זוקף את הכוונתו אל נישואיו הכושלים לזכות הסבא ולזכות בכירי תלמידי הישיבה במידה שווה – או ליתר דיוק, לחובתם.</w:t>
      </w:r>
    </w:p>
    <w:p w14:paraId="36F8DDFD" w14:textId="77777777" w:rsidR="00AB3647" w:rsidRDefault="00000000" w:rsidP="007923E9">
      <w:pPr>
        <w:spacing w:after="120" w:line="276" w:lineRule="auto"/>
        <w:ind w:firstLine="283"/>
        <w:jc w:val="both"/>
      </w:pPr>
      <w:r>
        <w:rPr>
          <w:rtl/>
        </w:rPr>
        <w:t xml:space="preserve">בתארו את האסון שנקלע אליו כתב: “השידוך הזה נכפה עליי בידי הסבא </w:t>
      </w:r>
      <w:proofErr w:type="spellStart"/>
      <w:r>
        <w:rPr>
          <w:rtl/>
        </w:rPr>
        <w:t>מסלבודקה</w:t>
      </w:r>
      <w:proofErr w:type="spellEnd"/>
      <w:r>
        <w:rPr>
          <w:rtl/>
        </w:rPr>
        <w:t xml:space="preserve"> </w:t>
      </w:r>
      <w:r>
        <w:rPr>
          <w:b/>
          <w:bCs/>
          <w:rtl/>
        </w:rPr>
        <w:t>וראשי ישיבת כנסת ישראל וחבריה</w:t>
      </w:r>
      <w:r>
        <w:rPr>
          <w:rtl/>
        </w:rPr>
        <w:t>” (ההדגשה שלי)</w:t>
      </w:r>
      <w:bookmarkStart w:id="5000" w:name="_fnr3688"/>
      <w:r>
        <w:rPr>
          <w:vertAlign w:val="superscript"/>
          <w:rtl/>
        </w:rPr>
        <w:footnoteReference w:id="3696" w:customMarkFollows="0"/>
      </w:r>
      <w:bookmarkEnd w:id="5000"/>
      <w:r>
        <w:rPr>
          <w:rtl/>
        </w:rPr>
        <w:t xml:space="preserve">. מאמר </w:t>
      </w:r>
      <w:proofErr w:type="spellStart"/>
      <w:r>
        <w:rPr>
          <w:rtl/>
        </w:rPr>
        <w:t>ב“הדואר</w:t>
      </w:r>
      <w:proofErr w:type="spellEnd"/>
      <w:r>
        <w:rPr>
          <w:rtl/>
        </w:rPr>
        <w:t>”</w:t>
      </w:r>
      <w:bookmarkStart w:id="5001" w:name="_fnr3689"/>
      <w:r>
        <w:rPr>
          <w:vertAlign w:val="superscript"/>
          <w:rtl/>
        </w:rPr>
        <w:footnoteReference w:id="3697" w:customMarkFollows="0"/>
      </w:r>
      <w:bookmarkEnd w:id="5001"/>
      <w:r>
        <w:rPr>
          <w:rtl/>
        </w:rPr>
        <w:t xml:space="preserve"> מגלה את הרקע לשידוך הבלתי מתאים בין העילוי </w:t>
      </w:r>
      <w:proofErr w:type="spellStart"/>
      <w:r>
        <w:rPr>
          <w:rtl/>
        </w:rPr>
        <w:t>מצ׳כנובצה</w:t>
      </w:r>
      <w:proofErr w:type="spellEnd"/>
      <w:r>
        <w:rPr>
          <w:rtl/>
        </w:rPr>
        <w:t xml:space="preserve">, ר׳ </w:t>
      </w:r>
      <w:proofErr w:type="spellStart"/>
      <w:r>
        <w:rPr>
          <w:rtl/>
        </w:rPr>
        <w:t>יחיאל־יעקב</w:t>
      </w:r>
      <w:proofErr w:type="spellEnd"/>
      <w:r>
        <w:rPr>
          <w:rtl/>
        </w:rPr>
        <w:t xml:space="preserve"> ויינברג, ובין בתו הפשוטה והיתומה של רב העיירה הליטאית הקטנה </w:t>
      </w:r>
      <w:proofErr w:type="spellStart"/>
      <w:r>
        <w:rPr>
          <w:rtl/>
        </w:rPr>
        <w:t>פילווישוק</w:t>
      </w:r>
      <w:proofErr w:type="spellEnd"/>
      <w:r>
        <w:rPr>
          <w:rtl/>
        </w:rPr>
        <w:t xml:space="preserve">. ר׳ </w:t>
      </w:r>
      <w:proofErr w:type="spellStart"/>
      <w:r>
        <w:rPr>
          <w:rtl/>
        </w:rPr>
        <w:t>יחיאל־יעקב</w:t>
      </w:r>
      <w:proofErr w:type="spellEnd"/>
      <w:r>
        <w:rPr>
          <w:rtl/>
        </w:rPr>
        <w:t xml:space="preserve"> ויינברג “השתעשע ברעיון לעזוב את עולם הישיבה לטובת עולם ההשכלה. [הסבא </w:t>
      </w:r>
      <w:proofErr w:type="spellStart"/>
      <w:r>
        <w:rPr>
          <w:rtl/>
        </w:rPr>
        <w:t>מסלבודקה</w:t>
      </w:r>
      <w:proofErr w:type="spellEnd"/>
      <w:r>
        <w:rPr>
          <w:rtl/>
        </w:rPr>
        <w:t xml:space="preserve">] חש ש[ר׳ </w:t>
      </w:r>
      <w:proofErr w:type="spellStart"/>
      <w:r>
        <w:rPr>
          <w:rtl/>
        </w:rPr>
        <w:t>יחיאל־יעקב</w:t>
      </w:r>
      <w:proofErr w:type="spellEnd"/>
      <w:r>
        <w:rPr>
          <w:rtl/>
        </w:rPr>
        <w:t xml:space="preserve"> ויינברג] ניצב על פרשת דרכים, וסידר את השידוך שיביא לו כנדוניה את רבנות העיירה”, וכך יקשור אותו לעולם התורה.</w:t>
      </w:r>
    </w:p>
    <w:p w14:paraId="0469112D" w14:textId="77777777" w:rsidR="00AB3647" w:rsidRDefault="00000000" w:rsidP="007923E9">
      <w:pPr>
        <w:spacing w:after="120" w:line="276" w:lineRule="auto"/>
        <w:ind w:firstLine="283"/>
        <w:jc w:val="both"/>
      </w:pPr>
      <w:r>
        <w:rPr>
          <w:rtl/>
        </w:rPr>
        <w:t xml:space="preserve">מאמר ההספד של </w:t>
      </w:r>
      <w:proofErr w:type="spellStart"/>
      <w:r>
        <w:rPr>
          <w:rtl/>
        </w:rPr>
        <w:t>ה״ל</w:t>
      </w:r>
      <w:proofErr w:type="spellEnd"/>
      <w:r>
        <w:rPr>
          <w:rtl/>
        </w:rPr>
        <w:t xml:space="preserve"> גורדון </w:t>
      </w:r>
      <w:proofErr w:type="spellStart"/>
      <w:r>
        <w:rPr>
          <w:rtl/>
        </w:rPr>
        <w:t>ב“הדואר</w:t>
      </w:r>
      <w:proofErr w:type="spellEnd"/>
      <w:r>
        <w:rPr>
          <w:rtl/>
        </w:rPr>
        <w:t xml:space="preserve">” מביא ממכתבו של ר׳ </w:t>
      </w:r>
      <w:proofErr w:type="spellStart"/>
      <w:r>
        <w:rPr>
          <w:rtl/>
        </w:rPr>
        <w:t>יחיאל־יעקב</w:t>
      </w:r>
      <w:proofErr w:type="spellEnd"/>
      <w:r>
        <w:rPr>
          <w:rtl/>
        </w:rPr>
        <w:t xml:space="preserve"> ויינברג את הדברים האלה: “בהיותי צעיר נכנעתי [להכוונתם], ובכך קיפחתי את מהלך חיי. בימי כהונתי כרב </w:t>
      </w:r>
      <w:proofErr w:type="spellStart"/>
      <w:r>
        <w:rPr>
          <w:rtl/>
        </w:rPr>
        <w:t>בפילווישוק</w:t>
      </w:r>
      <w:proofErr w:type="spellEnd"/>
      <w:r>
        <w:rPr>
          <w:rtl/>
        </w:rPr>
        <w:t xml:space="preserve"> יסד הסבא </w:t>
      </w:r>
      <w:proofErr w:type="spellStart"/>
      <w:r>
        <w:rPr>
          <w:rtl/>
        </w:rPr>
        <w:t>מסלבודקה</w:t>
      </w:r>
      <w:proofErr w:type="spellEnd"/>
      <w:r>
        <w:rPr>
          <w:rtl/>
        </w:rPr>
        <w:t xml:space="preserve"> </w:t>
      </w:r>
      <w:proofErr w:type="spellStart"/>
      <w:r>
        <w:rPr>
          <w:rtl/>
        </w:rPr>
        <w:t>בפילווישוק</w:t>
      </w:r>
      <w:proofErr w:type="spellEnd"/>
      <w:r>
        <w:rPr>
          <w:rtl/>
        </w:rPr>
        <w:t xml:space="preserve"> קיבוץ של בחורים מובחרים, כדי לאפשר לי לשכוח את כאבי ואת תלאותיי בעמל מסירת שיעורים”. דבריו על כך </w:t>
      </w:r>
      <w:proofErr w:type="spellStart"/>
      <w:r>
        <w:rPr>
          <w:rtl/>
        </w:rPr>
        <w:t>ש“קיפח</w:t>
      </w:r>
      <w:proofErr w:type="spellEnd"/>
      <w:r>
        <w:rPr>
          <w:rtl/>
        </w:rPr>
        <w:t>... את חייו” נוגעים ליותר מאושרו האישי, שהרי בכישרונותיו יכול היה לצמוח לגדול מנהיגי התורה בדורו, כפי שנידון בפסקה הרביעית של הנספח הבא.</w:t>
      </w:r>
    </w:p>
    <w:p w14:paraId="4DC48BCB" w14:textId="77777777" w:rsidR="00AB3647" w:rsidRDefault="00000000" w:rsidP="007923E9">
      <w:pPr>
        <w:spacing w:after="120" w:line="276" w:lineRule="auto"/>
        <w:ind w:firstLine="283"/>
        <w:jc w:val="both"/>
      </w:pPr>
      <w:r>
        <w:rPr>
          <w:rtl/>
        </w:rPr>
        <w:t xml:space="preserve">ר׳ ישראל </w:t>
      </w:r>
      <w:proofErr w:type="spellStart"/>
      <w:r>
        <w:rPr>
          <w:rtl/>
        </w:rPr>
        <w:t>שורין</w:t>
      </w:r>
      <w:proofErr w:type="spellEnd"/>
      <w:r>
        <w:rPr>
          <w:rtl/>
        </w:rPr>
        <w:t xml:space="preserve"> סיפר</w:t>
      </w:r>
      <w:bookmarkStart w:id="5002" w:name="_fnr3690"/>
      <w:r>
        <w:rPr>
          <w:vertAlign w:val="superscript"/>
          <w:rtl/>
        </w:rPr>
        <w:footnoteReference w:id="3698" w:customMarkFollows="0"/>
      </w:r>
      <w:bookmarkEnd w:id="5002"/>
      <w:r>
        <w:rPr>
          <w:rtl/>
        </w:rPr>
        <w:t xml:space="preserve"> שרבנו הספיד את ר׳ </w:t>
      </w:r>
      <w:proofErr w:type="spellStart"/>
      <w:r>
        <w:rPr>
          <w:rtl/>
        </w:rPr>
        <w:t>יחיאל־יעקב</w:t>
      </w:r>
      <w:proofErr w:type="spellEnd"/>
      <w:r>
        <w:rPr>
          <w:rtl/>
        </w:rPr>
        <w:t xml:space="preserve"> ויינברג באגודת הרבנים, והחיל עליו את הברכה לה׳ שהתנא רבי יהודה</w:t>
      </w:r>
      <w:bookmarkStart w:id="5003" w:name="_fnr3691"/>
      <w:r>
        <w:rPr>
          <w:vertAlign w:val="superscript"/>
          <w:rtl/>
        </w:rPr>
        <w:footnoteReference w:id="3699" w:customMarkFollows="0"/>
      </w:r>
      <w:bookmarkEnd w:id="5003"/>
      <w:r>
        <w:rPr>
          <w:rtl/>
        </w:rPr>
        <w:t xml:space="preserve"> מחייב לאומרה בכל יום: “שלא עשני בור”. הוא </w:t>
      </w:r>
      <w:r>
        <w:rPr>
          <w:rtl/>
        </w:rPr>
        <w:lastRenderedPageBreak/>
        <w:t xml:space="preserve">ציין שהנפטר “שחרר את עצמו מן הבורות של מדעי היהדות הנחקרים בעולם האוניברסיטאות שאליו נמשך”. ר׳ </w:t>
      </w:r>
      <w:proofErr w:type="spellStart"/>
      <w:r>
        <w:rPr>
          <w:rtl/>
        </w:rPr>
        <w:t>יחיאל־יעקב</w:t>
      </w:r>
      <w:proofErr w:type="spellEnd"/>
      <w:r>
        <w:rPr>
          <w:rtl/>
        </w:rPr>
        <w:t xml:space="preserve"> ויינברג הגיע לגרמניה סמוך לפני מלחמת העולם הראשונה, וקיבל שם את תואר הדוקטור.</w:t>
      </w:r>
    </w:p>
    <w:p w14:paraId="0833B72D" w14:textId="77777777" w:rsidR="00AB3647" w:rsidRDefault="00000000" w:rsidP="007923E9">
      <w:pPr>
        <w:spacing w:after="120" w:line="276" w:lineRule="auto"/>
        <w:ind w:firstLine="283"/>
        <w:jc w:val="both"/>
      </w:pPr>
      <w:r>
        <w:rPr>
          <w:rtl/>
        </w:rPr>
        <w:t>במכתב שפורסם לאחרונה</w:t>
      </w:r>
      <w:bookmarkStart w:id="5004" w:name="_fnr3692"/>
      <w:r>
        <w:rPr>
          <w:vertAlign w:val="superscript"/>
          <w:rtl/>
        </w:rPr>
        <w:footnoteReference w:id="3700" w:customMarkFollows="0"/>
      </w:r>
      <w:bookmarkEnd w:id="5004"/>
      <w:r>
        <w:rPr>
          <w:rtl/>
        </w:rPr>
        <w:t xml:space="preserve">, מיום 1 באוגוסט 1957, כתב ר׳ </w:t>
      </w:r>
      <w:proofErr w:type="spellStart"/>
      <w:r>
        <w:rPr>
          <w:rtl/>
        </w:rPr>
        <w:t>יחיאל־יעקב</w:t>
      </w:r>
      <w:proofErr w:type="spellEnd"/>
      <w:r>
        <w:rPr>
          <w:rtl/>
        </w:rPr>
        <w:t xml:space="preserve"> על עצמו: “נגזרה עליי מעין גלות רוחנית. אני חושש לנסוע לארץ ישראל. יש שם עולמות שונים הדוחים ושונאים זה את זה. </w:t>
      </w:r>
      <w:r>
        <w:rPr>
          <w:b/>
          <w:bCs/>
          <w:rtl/>
        </w:rPr>
        <w:t>אני שייך לשני עולמות</w:t>
      </w:r>
      <w:r>
        <w:rPr>
          <w:rtl/>
        </w:rPr>
        <w:t xml:space="preserve"> (ההדגשה שלי), ובאיזה מהם אבחר בבואי לשם? בסופו של דבר אצטרך להישאר בבדידות”. ר׳ חיים </w:t>
      </w:r>
      <w:proofErr w:type="spellStart"/>
      <w:r>
        <w:rPr>
          <w:rtl/>
        </w:rPr>
        <w:t>סרנא</w:t>
      </w:r>
      <w:proofErr w:type="spellEnd"/>
      <w:r>
        <w:rPr>
          <w:rtl/>
        </w:rPr>
        <w:t>, שהיה קרוב אליו בשנותיו שאחרי השואה בשווייץ, סיפר</w:t>
      </w:r>
      <w:bookmarkStart w:id="5005" w:name="_fnr3693"/>
      <w:r>
        <w:rPr>
          <w:vertAlign w:val="superscript"/>
          <w:rtl/>
        </w:rPr>
        <w:footnoteReference w:id="3701" w:customMarkFollows="0"/>
      </w:r>
      <w:bookmarkEnd w:id="5005"/>
      <w:r>
        <w:rPr>
          <w:rtl/>
        </w:rPr>
        <w:t xml:space="preserve"> שאמר: “בעולם הזה אני פועל בשני תחומים, תורה וחכמה, אבל בעולם הבא רצוני להיות רק בתחום התורה”.</w:t>
      </w:r>
    </w:p>
    <w:p w14:paraId="4306F750" w14:textId="77777777" w:rsidR="00AB3647" w:rsidRDefault="00000000" w:rsidP="007923E9">
      <w:pPr>
        <w:spacing w:after="120" w:line="276" w:lineRule="auto"/>
        <w:ind w:firstLine="283"/>
        <w:jc w:val="both"/>
      </w:pPr>
      <w:r>
        <w:rPr>
          <w:rtl/>
        </w:rPr>
        <w:t xml:space="preserve">בעניין שילוב שני העולמות אצל ר׳ </w:t>
      </w:r>
      <w:proofErr w:type="spellStart"/>
      <w:r>
        <w:rPr>
          <w:rtl/>
        </w:rPr>
        <w:t>יחיאל־יעקב</w:t>
      </w:r>
      <w:proofErr w:type="spellEnd"/>
      <w:r>
        <w:rPr>
          <w:rtl/>
        </w:rPr>
        <w:t xml:space="preserve"> ויינברג חזר ר׳ </w:t>
      </w:r>
      <w:proofErr w:type="spellStart"/>
      <w:r>
        <w:rPr>
          <w:rtl/>
        </w:rPr>
        <w:t>שמואל־חיים</w:t>
      </w:r>
      <w:proofErr w:type="spellEnd"/>
      <w:r>
        <w:rPr>
          <w:rtl/>
        </w:rPr>
        <w:t xml:space="preserve"> דומב</w:t>
      </w:r>
      <w:bookmarkStart w:id="5006" w:name="_fnr3694"/>
      <w:r>
        <w:rPr>
          <w:vertAlign w:val="superscript"/>
          <w:rtl/>
        </w:rPr>
        <w:footnoteReference w:id="3702" w:customMarkFollows="0"/>
      </w:r>
      <w:bookmarkEnd w:id="5006"/>
      <w:r>
        <w:rPr>
          <w:rtl/>
        </w:rPr>
        <w:t xml:space="preserve"> על אמירה מעניינת ששמע מפיו בהקלטה: “אלמלא דרכו של הסבא בהדגשת גדלות האדם, שגרמה לי להרגיש שאני שווה לבני חברת ההשכלה, מי יודע מה היה נעשה ממני?!” ר׳ </w:t>
      </w:r>
      <w:proofErr w:type="spellStart"/>
      <w:r>
        <w:rPr>
          <w:rtl/>
        </w:rPr>
        <w:t>יחיאל־יעקב</w:t>
      </w:r>
      <w:proofErr w:type="spellEnd"/>
      <w:r>
        <w:rPr>
          <w:rtl/>
        </w:rPr>
        <w:t xml:space="preserve"> הוסיף דברים שלכאורה אינם קשורים לקודמיהם: גישת גדלות האדם גם קלקלה אותו איכשהו, שכן בכל פעם שקיבל מכתב ביקש, כמעט בלא משים, לגלות מה חושב עליו הכותב.</w:t>
      </w:r>
    </w:p>
    <w:p w14:paraId="7D4A9A37" w14:textId="77777777" w:rsidR="00AB3647" w:rsidRDefault="00000000" w:rsidP="007923E9">
      <w:pPr>
        <w:spacing w:after="120" w:line="276" w:lineRule="auto"/>
        <w:ind w:firstLine="283"/>
        <w:jc w:val="both"/>
      </w:pPr>
      <w:r>
        <w:rPr>
          <w:rtl/>
        </w:rPr>
        <w:t xml:space="preserve">אף שהסבא אולי לא יכול היה לחזות שבת רב </w:t>
      </w:r>
      <w:proofErr w:type="spellStart"/>
      <w:r>
        <w:rPr>
          <w:rtl/>
        </w:rPr>
        <w:t>פילווישוק</w:t>
      </w:r>
      <w:proofErr w:type="spellEnd"/>
      <w:r>
        <w:rPr>
          <w:rtl/>
        </w:rPr>
        <w:t xml:space="preserve"> אינה מתאימה </w:t>
      </w:r>
      <w:proofErr w:type="spellStart"/>
      <w:r>
        <w:rPr>
          <w:rtl/>
        </w:rPr>
        <w:t>לר</w:t>
      </w:r>
      <w:proofErr w:type="spellEnd"/>
      <w:r>
        <w:rPr>
          <w:rtl/>
        </w:rPr>
        <w:t xml:space="preserve">׳ </w:t>
      </w:r>
      <w:proofErr w:type="spellStart"/>
      <w:r>
        <w:rPr>
          <w:rtl/>
        </w:rPr>
        <w:t>יחיאל־יעקב</w:t>
      </w:r>
      <w:proofErr w:type="spellEnd"/>
      <w:r>
        <w:rPr>
          <w:rtl/>
        </w:rPr>
        <w:t xml:space="preserve"> ויינברג, עדיין מפליא שר׳ </w:t>
      </w:r>
      <w:proofErr w:type="spellStart"/>
      <w:r>
        <w:rPr>
          <w:rtl/>
        </w:rPr>
        <w:t>יחיאל־יעקב</w:t>
      </w:r>
      <w:proofErr w:type="spellEnd"/>
      <w:r>
        <w:rPr>
          <w:rtl/>
        </w:rPr>
        <w:t xml:space="preserve"> לא נטר טינה לרבו, והדבר מעיד רבות על אצילות אופיו. את משפט ההתפעלות שבו הביע את הערצתו </w:t>
      </w:r>
      <w:proofErr w:type="spellStart"/>
      <w:r>
        <w:rPr>
          <w:rtl/>
        </w:rPr>
        <w:t>ל“יהודי</w:t>
      </w:r>
      <w:proofErr w:type="spellEnd"/>
      <w:r>
        <w:rPr>
          <w:rtl/>
        </w:rPr>
        <w:t xml:space="preserve"> המסור לתורה ועבודה”, כפי שהתגלם בר׳ נפתלי אמסטרדם (הוא מובא בהקשרו בסוף נספח י להלן), אפשר להחיל באותה מידה על איש התורה והחכמה שהיה ר׳ </w:t>
      </w:r>
      <w:proofErr w:type="spellStart"/>
      <w:r>
        <w:rPr>
          <w:rtl/>
        </w:rPr>
        <w:t>יחיאל־יעקב</w:t>
      </w:r>
      <w:proofErr w:type="spellEnd"/>
      <w:r>
        <w:rPr>
          <w:rtl/>
        </w:rPr>
        <w:t xml:space="preserve"> ויינברג עצמו: “מה רך אתה, אבן צור, ומה חלש אתה, אריה, לפני יהודי המסור לתורה וחכמה!”</w:t>
      </w:r>
    </w:p>
    <w:p w14:paraId="320B2E3C" w14:textId="77777777" w:rsidR="00AB3647" w:rsidRDefault="00000000" w:rsidP="007923E9">
      <w:pPr>
        <w:spacing w:after="120" w:line="276" w:lineRule="auto"/>
        <w:ind w:firstLine="283"/>
        <w:jc w:val="both"/>
      </w:pPr>
      <w:r>
        <w:rPr>
          <w:rtl/>
        </w:rPr>
        <w:t xml:space="preserve">כוח זה ניכר בהצהרתו של ר׳ </w:t>
      </w:r>
      <w:proofErr w:type="spellStart"/>
      <w:r>
        <w:rPr>
          <w:rtl/>
        </w:rPr>
        <w:t>יחיאל־יעקב</w:t>
      </w:r>
      <w:proofErr w:type="spellEnd"/>
      <w:r>
        <w:rPr>
          <w:rtl/>
        </w:rPr>
        <w:t xml:space="preserve"> ויינברג, שחזר עליה פעמים רבות, על הקמת מדינת ישראל, כפי שהביאה הדיין איזידור </w:t>
      </w:r>
      <w:proofErr w:type="spellStart"/>
      <w:r>
        <w:rPr>
          <w:rtl/>
        </w:rPr>
        <w:t>גרונפלד</w:t>
      </w:r>
      <w:proofErr w:type="spellEnd"/>
      <w:r>
        <w:rPr>
          <w:rtl/>
        </w:rPr>
        <w:t xml:space="preserve"> במאמר בקובץ “האישיות התורנית”</w:t>
      </w:r>
      <w:bookmarkStart w:id="5007" w:name="_fnr3695"/>
      <w:r>
        <w:rPr>
          <w:vertAlign w:val="superscript"/>
          <w:rtl/>
        </w:rPr>
        <w:footnoteReference w:id="3703" w:customMarkFollows="0"/>
      </w:r>
      <w:bookmarkEnd w:id="5007"/>
      <w:r>
        <w:rPr>
          <w:rtl/>
        </w:rPr>
        <w:t xml:space="preserve">: “אני מאמין באמונה שלמה שנשמות ששת מיליוני הקדושים התאספו סביב כיסא הכבוד וביקשו מן הקדוש ברוך הוא להראות </w:t>
      </w:r>
      <w:r>
        <w:rPr>
          <w:b/>
          <w:bCs/>
          <w:rtl/>
        </w:rPr>
        <w:t>אות גלוי להשגחתו האוהבת</w:t>
      </w:r>
      <w:r>
        <w:rPr>
          <w:rtl/>
        </w:rPr>
        <w:t xml:space="preserve"> (ההדגשה שלי) על עמו ולראשית הגאולה”. כל מי שעבר את השואה, כמו שעבר אותה ר׳ </w:t>
      </w:r>
      <w:proofErr w:type="spellStart"/>
      <w:r>
        <w:rPr>
          <w:rtl/>
        </w:rPr>
        <w:t>יחיאל־יעקב</w:t>
      </w:r>
      <w:proofErr w:type="spellEnd"/>
      <w:r>
        <w:rPr>
          <w:rtl/>
        </w:rPr>
        <w:t xml:space="preserve"> ויינברג, נזקק לתעצומות נפש </w:t>
      </w:r>
      <w:proofErr w:type="spellStart"/>
      <w:r>
        <w:rPr>
          <w:rtl/>
        </w:rPr>
        <w:t>על־אנושיות</w:t>
      </w:r>
      <w:proofErr w:type="spellEnd"/>
      <w:r>
        <w:rPr>
          <w:rtl/>
        </w:rPr>
        <w:t xml:space="preserve"> כדי שלא לנטור טינה ולהמשיך להעיד על אהבת ה׳ לישראל</w:t>
      </w:r>
      <w:bookmarkStart w:id="5008" w:name="_fnr3696"/>
      <w:r>
        <w:rPr>
          <w:vertAlign w:val="superscript"/>
          <w:rtl/>
        </w:rPr>
        <w:footnoteReference w:id="3704" w:customMarkFollows="0"/>
      </w:r>
      <w:bookmarkEnd w:id="5008"/>
      <w:r>
        <w:rPr>
          <w:rtl/>
        </w:rPr>
        <w:t>.</w:t>
      </w:r>
    </w:p>
    <w:p w14:paraId="71F9902E" w14:textId="77777777" w:rsidR="00AB3647" w:rsidRDefault="00000000" w:rsidP="007923E9">
      <w:pPr>
        <w:spacing w:after="120" w:line="276" w:lineRule="auto"/>
        <w:ind w:firstLine="283"/>
        <w:jc w:val="both"/>
      </w:pPr>
      <w:r>
        <w:rPr>
          <w:rtl/>
        </w:rPr>
        <w:t xml:space="preserve">אבל אורך רוחו של ר׳ </w:t>
      </w:r>
      <w:proofErr w:type="spellStart"/>
      <w:r>
        <w:rPr>
          <w:rtl/>
        </w:rPr>
        <w:t>יחיאל־יעקב</w:t>
      </w:r>
      <w:proofErr w:type="spellEnd"/>
      <w:r>
        <w:rPr>
          <w:rtl/>
        </w:rPr>
        <w:t xml:space="preserve"> ויינברג, שנראה </w:t>
      </w:r>
      <w:proofErr w:type="spellStart"/>
      <w:r>
        <w:rPr>
          <w:rtl/>
        </w:rPr>
        <w:t>על־אנושי</w:t>
      </w:r>
      <w:proofErr w:type="spellEnd"/>
      <w:r>
        <w:rPr>
          <w:rtl/>
        </w:rPr>
        <w:t xml:space="preserve">, עשוי היה להיות פגם באופיו. מחשבה זו התעוררה לאחר העיון במכתבי ר׳ </w:t>
      </w:r>
      <w:proofErr w:type="spellStart"/>
      <w:r>
        <w:rPr>
          <w:rtl/>
        </w:rPr>
        <w:t>יחיאל־יעקב</w:t>
      </w:r>
      <w:proofErr w:type="spellEnd"/>
      <w:r>
        <w:rPr>
          <w:rtl/>
        </w:rPr>
        <w:t xml:space="preserve"> ויינברג שפרסם מרק שפירא</w:t>
      </w:r>
      <w:bookmarkStart w:id="5009" w:name="_fnr3697"/>
      <w:r>
        <w:rPr>
          <w:vertAlign w:val="superscript"/>
          <w:rtl/>
        </w:rPr>
        <w:footnoteReference w:id="3705" w:customMarkFollows="0"/>
      </w:r>
      <w:bookmarkEnd w:id="5009"/>
      <w:r>
        <w:rPr>
          <w:rtl/>
        </w:rPr>
        <w:t xml:space="preserve">, ששם </w:t>
      </w:r>
      <w:r>
        <w:rPr>
          <w:rtl/>
        </w:rPr>
        <w:lastRenderedPageBreak/>
        <w:t>הוא כותב במכתב מיום 15 בנובמבר 1965 – עד כמה בלתי נתפס הדבר! – “יותר משהנצרות שונאת את היהדות, היהדות שונאת את הנצרות”.</w:t>
      </w:r>
    </w:p>
    <w:p w14:paraId="0E1D337E" w14:textId="77777777" w:rsidR="00AB3647" w:rsidRDefault="00000000" w:rsidP="007923E9">
      <w:pPr>
        <w:spacing w:after="120" w:line="276" w:lineRule="auto"/>
        <w:ind w:firstLine="283"/>
        <w:jc w:val="both"/>
      </w:pPr>
      <w:r>
        <w:rPr>
          <w:rtl/>
        </w:rPr>
        <w:t>השווה גם שם</w:t>
      </w:r>
      <w:bookmarkStart w:id="5010" w:name="_fnr3698"/>
      <w:r>
        <w:rPr>
          <w:vertAlign w:val="superscript"/>
          <w:rtl/>
        </w:rPr>
        <w:footnoteReference w:id="3706" w:customMarkFollows="0"/>
      </w:r>
      <w:bookmarkEnd w:id="5010"/>
      <w:r>
        <w:rPr>
          <w:rtl/>
        </w:rPr>
        <w:t xml:space="preserve"> את המכתבים מן התאריכים [א] 19 בספטמבר 1957 ו[ב] 2 במרס 1961. [א] “העולם כולו שונא אותנו. אנו מניחים ששנאה זו נובעת מרשעות האומות, ואיש אינו נעצר לחשוב שאולי גם בנו יש אשמה כלשהי. אנו רואים את כל האומות כדומות לחמור” – והוא מוסיף ומונה פסילות הלכתיות אחרות של גויים, ומסיים: “היכולות האומות להשלים עם שלילת זכויות כזאת?... מה נוכל לעשות? היכולים אנו לעקור את תורתנו בנוסחאות אפולוגטיות או בהטעיות מחוכמות? אלוהים יודע שכתבתי זאת בדם לבי, בדם נפשי”. [ב] “נראה ש... ערמומיות היא תכונה לאומית שלנו, וזו גורמת לאומות העולם לשנוא אותנו. יש לי מחשבות עמוקות בעניין זה, אבל אני חושש להביען בעל פה, ועל אחת כמה וכמה להעלותן על הכתב”; ובלעג: “העולם החיצוני אינו יודע להעריך אותנו כראוי; שנאת העולם אליהם [כך במקור] נובעת מקנאה בעליונותם [כך במקור], כמובן”.</w:t>
      </w:r>
    </w:p>
    <w:p w14:paraId="114D2924" w14:textId="77777777" w:rsidR="00AB3647" w:rsidRDefault="00000000" w:rsidP="007923E9">
      <w:pPr>
        <w:spacing w:after="120" w:line="276" w:lineRule="auto"/>
        <w:ind w:firstLine="283"/>
        <w:jc w:val="both"/>
      </w:pPr>
      <w:r>
        <w:rPr>
          <w:rtl/>
        </w:rPr>
        <w:t>דומה שניצול שואה המשמיע אמירות כאלה חצה את גבול המוסר אל תחום הפסיכוזה</w:t>
      </w:r>
      <w:bookmarkStart w:id="5011" w:name="_fnr3699"/>
      <w:r>
        <w:rPr>
          <w:vertAlign w:val="superscript"/>
          <w:rtl/>
        </w:rPr>
        <w:footnoteReference w:id="3707" w:customMarkFollows="0"/>
      </w:r>
      <w:bookmarkEnd w:id="5011"/>
      <w:r>
        <w:rPr>
          <w:rtl/>
        </w:rPr>
        <w:t xml:space="preserve">. אם מסקנה זו נכונה, ייתכן שהסבא, לאחר שניתח את פגמו של ר׳ </w:t>
      </w:r>
      <w:proofErr w:type="spellStart"/>
      <w:r>
        <w:rPr>
          <w:rtl/>
        </w:rPr>
        <w:t>יחיאל־יעקב</w:t>
      </w:r>
      <w:proofErr w:type="spellEnd"/>
      <w:r>
        <w:rPr>
          <w:rtl/>
        </w:rPr>
        <w:t xml:space="preserve"> ויינברג, חזה את חוסר ההתאמה הנראה לעין בשידוך, אבל הניח שר׳ </w:t>
      </w:r>
      <w:proofErr w:type="spellStart"/>
      <w:r>
        <w:rPr>
          <w:rtl/>
        </w:rPr>
        <w:t>יחיאל־יעקב</w:t>
      </w:r>
      <w:proofErr w:type="spellEnd"/>
      <w:r>
        <w:rPr>
          <w:rtl/>
        </w:rPr>
        <w:t xml:space="preserve"> יהיה ארך רוח דיו לחיות את שנותיו עם אשתו הפשוטה!</w:t>
      </w:r>
    </w:p>
    <w:p w14:paraId="582FFEAD" w14:textId="77777777" w:rsidR="00AB3647" w:rsidRDefault="00000000" w:rsidP="007923E9">
      <w:pPr>
        <w:spacing w:after="120" w:line="276" w:lineRule="auto"/>
        <w:ind w:firstLine="283"/>
        <w:jc w:val="both"/>
      </w:pPr>
      <w:r>
        <w:rPr>
          <w:rtl/>
        </w:rPr>
        <w:t xml:space="preserve">אפשר גם שהסבא לא היה מעודכן בשינוי שחוללו המגמות המודרניות ביחסים בין בני זוג בחברה היהודית כולה, ואפילו בעולם התורה, עד הזמן שבו נישא ר׳ </w:t>
      </w:r>
      <w:proofErr w:type="spellStart"/>
      <w:r>
        <w:rPr>
          <w:rtl/>
        </w:rPr>
        <w:t>יחיאל־יעקב</w:t>
      </w:r>
      <w:proofErr w:type="spellEnd"/>
      <w:r>
        <w:rPr>
          <w:rtl/>
        </w:rPr>
        <w:t xml:space="preserve"> ויינברג – אף שהיה מומחה להבנת הכוחות המניעים בני אדם, ובייחוד צעירים (לדעת אבי הבין בני אדם טוב מפרויד</w:t>
      </w:r>
      <w:bookmarkStart w:id="5012" w:name="_fnr3700"/>
      <w:r>
        <w:rPr>
          <w:vertAlign w:val="superscript"/>
          <w:rtl/>
        </w:rPr>
        <w:footnoteReference w:id="3708" w:customMarkFollows="0"/>
      </w:r>
      <w:bookmarkEnd w:id="5012"/>
      <w:r>
        <w:rPr>
          <w:rtl/>
        </w:rPr>
        <w:t xml:space="preserve">). אפשר לשער שסדרי ביתו של הסבא עצמו, שאבי כינה </w:t>
      </w:r>
      <w:r>
        <w:rPr>
          <w:b/>
          <w:bCs/>
          <w:rtl/>
        </w:rPr>
        <w:t>מנקודת מבטו בשנים המאוחרות</w:t>
      </w:r>
      <w:r>
        <w:rPr>
          <w:rtl/>
        </w:rPr>
        <w:t xml:space="preserve"> “מבהילים”</w:t>
      </w:r>
      <w:bookmarkStart w:id="5013" w:name="_fnr3701"/>
      <w:r>
        <w:rPr>
          <w:vertAlign w:val="superscript"/>
          <w:rtl/>
        </w:rPr>
        <w:footnoteReference w:id="3709" w:customMarkFollows="0"/>
      </w:r>
      <w:bookmarkEnd w:id="5013"/>
      <w:r>
        <w:rPr>
          <w:rtl/>
        </w:rPr>
        <w:t>, לא היו יכולים להתקיים אפילו בקרב בני תורה ארבעים שנה לאחר מכן.</w:t>
      </w:r>
    </w:p>
    <w:p w14:paraId="444A2051" w14:textId="77777777" w:rsidR="00AB3647" w:rsidRDefault="00000000" w:rsidP="007923E9">
      <w:pPr>
        <w:spacing w:after="120" w:line="276" w:lineRule="auto"/>
        <w:ind w:firstLine="283"/>
        <w:jc w:val="both"/>
      </w:pPr>
      <w:r>
        <w:rPr>
          <w:rtl/>
        </w:rPr>
        <w:t xml:space="preserve">רמזים לפער הדורות בהשקפה על עניין זה אפשר למצוא בחילופי דברים בין הסבא </w:t>
      </w:r>
      <w:proofErr w:type="spellStart"/>
      <w:r>
        <w:rPr>
          <w:rtl/>
        </w:rPr>
        <w:t>לר</w:t>
      </w:r>
      <w:proofErr w:type="spellEnd"/>
      <w:r>
        <w:rPr>
          <w:rtl/>
        </w:rPr>
        <w:t xml:space="preserve">׳ </w:t>
      </w:r>
      <w:proofErr w:type="spellStart"/>
      <w:r>
        <w:rPr>
          <w:rtl/>
        </w:rPr>
        <w:t>יחיאל־יעקב</w:t>
      </w:r>
      <w:proofErr w:type="spellEnd"/>
      <w:r>
        <w:rPr>
          <w:rtl/>
        </w:rPr>
        <w:t xml:space="preserve"> ויינברג, שמסר ר׳ </w:t>
      </w:r>
      <w:proofErr w:type="spellStart"/>
      <w:r>
        <w:rPr>
          <w:rtl/>
        </w:rPr>
        <w:t>שמואל־חיים</w:t>
      </w:r>
      <w:proofErr w:type="spellEnd"/>
      <w:r>
        <w:rPr>
          <w:rtl/>
        </w:rPr>
        <w:t xml:space="preserve"> דומב בשם תלמידו של ר׳ </w:t>
      </w:r>
      <w:proofErr w:type="spellStart"/>
      <w:r>
        <w:rPr>
          <w:rtl/>
        </w:rPr>
        <w:t>יחיאל־יעקב</w:t>
      </w:r>
      <w:proofErr w:type="spellEnd"/>
      <w:r>
        <w:rPr>
          <w:rtl/>
        </w:rPr>
        <w:t xml:space="preserve"> ר׳ פנחס </w:t>
      </w:r>
      <w:proofErr w:type="spellStart"/>
      <w:r>
        <w:rPr>
          <w:rtl/>
        </w:rPr>
        <w:t>ביברפלד</w:t>
      </w:r>
      <w:proofErr w:type="spellEnd"/>
      <w:r>
        <w:rPr>
          <w:rtl/>
        </w:rPr>
        <w:t xml:space="preserve">: כשניסה הסבא לשכנע את ר׳ </w:t>
      </w:r>
      <w:proofErr w:type="spellStart"/>
      <w:r>
        <w:rPr>
          <w:rtl/>
        </w:rPr>
        <w:t>יחיאל־יעקב</w:t>
      </w:r>
      <w:proofErr w:type="spellEnd"/>
      <w:r>
        <w:rPr>
          <w:rtl/>
        </w:rPr>
        <w:t xml:space="preserve"> שלא להיפרד מאשתו, השיב הלה: “היכן בית המרקחת המוכר שיקוי לאהבה?” אפשר להניח שר׳ </w:t>
      </w:r>
      <w:proofErr w:type="spellStart"/>
      <w:r>
        <w:rPr>
          <w:rtl/>
        </w:rPr>
        <w:t>יחיאל־יעקב</w:t>
      </w:r>
      <w:proofErr w:type="spellEnd"/>
      <w:r>
        <w:rPr>
          <w:rtl/>
        </w:rPr>
        <w:t xml:space="preserve"> ויינברג חזר על השיחה באוזני תלמידו כדי למסור רעיון זה עצמו: בעצם הניסיון להשאירו עם אשתו הראה הסבא שלא תפס איזו מידת התאמה נדרשה בין בני זוג בזמנים החדשים. אפילו אורך הרוח הקיצוני שהסבא ידע שר׳ </w:t>
      </w:r>
      <w:proofErr w:type="spellStart"/>
      <w:r>
        <w:rPr>
          <w:rtl/>
        </w:rPr>
        <w:t>יחיאל־יעקב</w:t>
      </w:r>
      <w:proofErr w:type="spellEnd"/>
      <w:r>
        <w:rPr>
          <w:rtl/>
        </w:rPr>
        <w:t xml:space="preserve"> ניחן בו לא היה בו כדי לקיים נישואים מודרניים יחסית.</w:t>
      </w:r>
    </w:p>
    <w:p w14:paraId="6AC6ABB9" w14:textId="77777777" w:rsidR="00AB3647" w:rsidRDefault="00000000" w:rsidP="007923E9">
      <w:pPr>
        <w:spacing w:after="120" w:line="276" w:lineRule="auto"/>
        <w:ind w:firstLine="283"/>
        <w:jc w:val="both"/>
      </w:pPr>
      <w:r>
        <w:rPr>
          <w:rtl/>
        </w:rPr>
        <w:lastRenderedPageBreak/>
        <w:t xml:space="preserve">עוד גילוי מטריד עולה ממכתבי ר׳ </w:t>
      </w:r>
      <w:proofErr w:type="spellStart"/>
      <w:r>
        <w:rPr>
          <w:rtl/>
        </w:rPr>
        <w:t>יחיאל־יעקב</w:t>
      </w:r>
      <w:proofErr w:type="spellEnd"/>
      <w:r>
        <w:rPr>
          <w:rtl/>
        </w:rPr>
        <w:t xml:space="preserve"> ויינברג שפרסם מרק שפירא: ר׳ </w:t>
      </w:r>
      <w:proofErr w:type="spellStart"/>
      <w:r>
        <w:rPr>
          <w:rtl/>
        </w:rPr>
        <w:t>יחיאל־יעקב</w:t>
      </w:r>
      <w:proofErr w:type="spellEnd"/>
      <w:r>
        <w:rPr>
          <w:rtl/>
        </w:rPr>
        <w:t xml:space="preserve"> ביקורתי ופסימי עד קיצוניות באשר ליהדות שלאחר השואה. הוא כותב: 1) “אנו נגועים בשרלטנות בזויה... שאינה מצויה בשום עם אחר”</w:t>
      </w:r>
      <w:bookmarkStart w:id="5014" w:name="_fnr3702"/>
      <w:r>
        <w:rPr>
          <w:vertAlign w:val="superscript"/>
          <w:rtl/>
        </w:rPr>
        <w:footnoteReference w:id="3710" w:customMarkFollows="0"/>
      </w:r>
      <w:bookmarkEnd w:id="5014"/>
      <w:r>
        <w:rPr>
          <w:rtl/>
        </w:rPr>
        <w:t>. 2) “העולם היהודי נהג תמיד, ויוסיף לנהוג, בדרך זו [של מתן משרות רק לידידים ולחנפנים]”</w:t>
      </w:r>
      <w:bookmarkStart w:id="5015" w:name="_fnr3703"/>
      <w:r>
        <w:rPr>
          <w:vertAlign w:val="superscript"/>
          <w:rtl/>
        </w:rPr>
        <w:footnoteReference w:id="3711" w:customMarkFollows="0"/>
      </w:r>
      <w:bookmarkEnd w:id="5015"/>
      <w:r>
        <w:rPr>
          <w:rtl/>
        </w:rPr>
        <w:t>. 3) “אומות העולם יודעות להבחין בין תחומי לימוד שונים. אבל אנו, עם עני וחלש, מבקשים מכל אדם גאונות מקורית. יש גם עניין הזלזול המתועב הרווח בקרבנו”</w:t>
      </w:r>
      <w:bookmarkStart w:id="5016" w:name="_fnr3704"/>
      <w:r>
        <w:rPr>
          <w:vertAlign w:val="superscript"/>
          <w:rtl/>
        </w:rPr>
        <w:footnoteReference w:id="3712" w:customMarkFollows="0"/>
      </w:r>
      <w:bookmarkEnd w:id="5016"/>
      <w:r>
        <w:rPr>
          <w:rtl/>
        </w:rPr>
        <w:t>. 4) “המצב הרוחני בכל החוגים של העם היהודי מעורר עצב וחוסר תקווה. יש לי מחשבות מרות על עצם קיומו של העם ועל תקוותיו לעתיד”</w:t>
      </w:r>
      <w:bookmarkStart w:id="5017" w:name="_fnr3705"/>
      <w:r>
        <w:rPr>
          <w:vertAlign w:val="superscript"/>
          <w:rtl/>
        </w:rPr>
        <w:footnoteReference w:id="3713" w:customMarkFollows="0"/>
      </w:r>
      <w:bookmarkEnd w:id="5017"/>
      <w:r>
        <w:rPr>
          <w:rtl/>
        </w:rPr>
        <w:t>. 5) “אני עסוק בכתיבת תשובות... המשכיחות ממני... את תחושות הייאוש והספק שלי... אשמתנו גדולה משל כל עם אחר! מעולם לא ראיתי בקרב חכמי האומות אנשים כה בלתי מוסריים”</w:t>
      </w:r>
      <w:bookmarkStart w:id="5018" w:name="_fnr3706"/>
      <w:r>
        <w:rPr>
          <w:vertAlign w:val="superscript"/>
          <w:rtl/>
        </w:rPr>
        <w:footnoteReference w:id="3714" w:customMarkFollows="0"/>
      </w:r>
      <w:bookmarkEnd w:id="5018"/>
      <w:r>
        <w:rPr>
          <w:rtl/>
        </w:rPr>
        <w:t xml:space="preserve">. 6) “אני שואל, היכן </w:t>
      </w:r>
      <w:r>
        <w:rPr>
          <w:b/>
          <w:bCs/>
          <w:rtl/>
        </w:rPr>
        <w:t>הצירוף</w:t>
      </w:r>
      <w:bookmarkStart w:id="5019" w:name="_fnr3707"/>
      <w:r>
        <w:rPr>
          <w:vertAlign w:val="superscript"/>
          <w:rtl/>
        </w:rPr>
        <w:footnoteReference w:id="3715" w:customMarkFollows="0"/>
      </w:r>
      <w:bookmarkEnd w:id="5019"/>
      <w:r>
        <w:rPr>
          <w:rtl/>
        </w:rPr>
        <w:t xml:space="preserve"> של התורה והמצוות?”</w:t>
      </w:r>
      <w:bookmarkStart w:id="5020" w:name="_fnr3708"/>
      <w:r>
        <w:rPr>
          <w:vertAlign w:val="superscript"/>
          <w:rtl/>
        </w:rPr>
        <w:footnoteReference w:id="3716" w:customMarkFollows="0"/>
      </w:r>
      <w:bookmarkEnd w:id="5020"/>
    </w:p>
    <w:p w14:paraId="62B6D26A" w14:textId="77777777" w:rsidR="00AB3647" w:rsidRDefault="00000000" w:rsidP="007923E9">
      <w:pPr>
        <w:spacing w:after="120" w:line="276" w:lineRule="auto"/>
        <w:ind w:firstLine="283"/>
        <w:jc w:val="both"/>
      </w:pPr>
      <w:r>
        <w:rPr>
          <w:rtl/>
        </w:rPr>
        <w:t xml:space="preserve">הנמען של ר׳ </w:t>
      </w:r>
      <w:proofErr w:type="spellStart"/>
      <w:r>
        <w:rPr>
          <w:rtl/>
        </w:rPr>
        <w:t>יחיאל־יעקב</w:t>
      </w:r>
      <w:proofErr w:type="spellEnd"/>
      <w:r>
        <w:rPr>
          <w:rtl/>
        </w:rPr>
        <w:t xml:space="preserve"> ויינברג, פרופסור שמואל אטלס, היה בן ר׳ מאיר אטלס, רב שאוול</w:t>
      </w:r>
      <w:bookmarkStart w:id="5021" w:name="_fnr3709"/>
      <w:r>
        <w:rPr>
          <w:vertAlign w:val="superscript"/>
          <w:rtl/>
        </w:rPr>
        <w:footnoteReference w:id="3717" w:customMarkFollows="0"/>
      </w:r>
      <w:bookmarkEnd w:id="5021"/>
      <w:r>
        <w:rPr>
          <w:rtl/>
        </w:rPr>
        <w:t xml:space="preserve"> – בנו הצעיר, שנולד בשנותיו המאוחרות של ר׳ מאיר. שני המתכתבים היו חשוכי ילדים, וכך גם ר׳ שאול ליברמן</w:t>
      </w:r>
      <w:bookmarkStart w:id="5022" w:name="_fnr3710"/>
      <w:r>
        <w:rPr>
          <w:vertAlign w:val="superscript"/>
          <w:rtl/>
        </w:rPr>
        <w:footnoteReference w:id="3718" w:customMarkFollows="0"/>
      </w:r>
      <w:bookmarkEnd w:id="5022"/>
      <w:r>
        <w:rPr>
          <w:rtl/>
        </w:rPr>
        <w:t xml:space="preserve">. ייתכן שתופעה זו עמדה מאחורי חוסר אחריותם כלפי עתיד היהדות, כפי שהתבטא אצל ר׳ </w:t>
      </w:r>
      <w:proofErr w:type="spellStart"/>
      <w:r>
        <w:rPr>
          <w:rtl/>
        </w:rPr>
        <w:t>יחיאל־יעקב</w:t>
      </w:r>
      <w:proofErr w:type="spellEnd"/>
      <w:r>
        <w:rPr>
          <w:rtl/>
        </w:rPr>
        <w:t xml:space="preserve"> ויינברג במכתבים אלה, אצל אטלס בקבלת משרה בתנועה הרפורמית, ואצל הרב ליברמן בהתקשרות לתנועה הקונסרבטיבית. אולי דרושה מידת האמונה והביטחון</w:t>
      </w:r>
      <w:bookmarkStart w:id="5023" w:name="_fnr3711"/>
      <w:r>
        <w:rPr>
          <w:vertAlign w:val="superscript"/>
          <w:rtl/>
        </w:rPr>
        <w:footnoteReference w:id="3719" w:customMarkFollows="0"/>
      </w:r>
      <w:bookmarkEnd w:id="5023"/>
      <w:r>
        <w:rPr>
          <w:rtl/>
        </w:rPr>
        <w:t xml:space="preserve"> של </w:t>
      </w:r>
      <w:proofErr w:type="spellStart"/>
      <w:r>
        <w:rPr>
          <w:rtl/>
        </w:rPr>
        <w:t>החזון־איש</w:t>
      </w:r>
      <w:proofErr w:type="spellEnd"/>
      <w:r>
        <w:rPr>
          <w:rtl/>
        </w:rPr>
        <w:t xml:space="preserve"> – שגם הוא היה חשוך ילדים – כדי להביא בחשבון את תוצאות מעשיו של אדם לאחר מותו, גם בלי שיהיה לו חלק ביולוגי בדורות הבאים.</w:t>
      </w:r>
    </w:p>
    <w:p w14:paraId="1AB3103D" w14:textId="77777777" w:rsidR="00AB3647" w:rsidRDefault="00000000" w:rsidP="007923E9">
      <w:pPr>
        <w:spacing w:after="120" w:line="276" w:lineRule="auto"/>
        <w:ind w:firstLine="283"/>
        <w:jc w:val="both"/>
      </w:pPr>
      <w:r>
        <w:rPr>
          <w:rtl/>
        </w:rPr>
        <w:t xml:space="preserve">בעניין השקפתו של ר׳ </w:t>
      </w:r>
      <w:proofErr w:type="spellStart"/>
      <w:r>
        <w:rPr>
          <w:rtl/>
        </w:rPr>
        <w:t>יחיאל־יעקב</w:t>
      </w:r>
      <w:proofErr w:type="spellEnd"/>
      <w:r>
        <w:rPr>
          <w:rtl/>
        </w:rPr>
        <w:t xml:space="preserve"> ויינברג לפני השואה, ראוי להביא את מה שאמר אבי לנכדו ר׳ יצחק </w:t>
      </w:r>
      <w:proofErr w:type="spellStart"/>
      <w:r>
        <w:rPr>
          <w:rtl/>
        </w:rPr>
        <w:t>שורין</w:t>
      </w:r>
      <w:bookmarkStart w:id="5024" w:name="_fnr3712"/>
      <w:proofErr w:type="spellEnd"/>
      <w:r>
        <w:rPr>
          <w:vertAlign w:val="superscript"/>
          <w:rtl/>
        </w:rPr>
        <w:footnoteReference w:id="3720" w:customMarkFollows="0"/>
      </w:r>
      <w:bookmarkEnd w:id="5024"/>
      <w:r>
        <w:rPr>
          <w:rtl/>
        </w:rPr>
        <w:t xml:space="preserve">. כששאל ר׳ יצחק אם ר׳ </w:t>
      </w:r>
      <w:proofErr w:type="spellStart"/>
      <w:r>
        <w:rPr>
          <w:rtl/>
        </w:rPr>
        <w:t>יחיאל־יעקב</w:t>
      </w:r>
      <w:proofErr w:type="spellEnd"/>
      <w:r>
        <w:rPr>
          <w:rtl/>
        </w:rPr>
        <w:t xml:space="preserve"> ויינברג היה בעל מוסר, השיב רבנו: “הוא לא היה בעל מוסר, אבל היה כותב טוב” – כלומר, ידע לכתוב על מוסר בבקיאות ובנחרצות. מדברי ר׳ </w:t>
      </w:r>
      <w:proofErr w:type="spellStart"/>
      <w:r>
        <w:rPr>
          <w:rtl/>
        </w:rPr>
        <w:t>שמואל־חיים</w:t>
      </w:r>
      <w:proofErr w:type="spellEnd"/>
      <w:r>
        <w:rPr>
          <w:rtl/>
        </w:rPr>
        <w:t xml:space="preserve"> דומב</w:t>
      </w:r>
      <w:bookmarkStart w:id="5025" w:name="_fnr3713"/>
      <w:r>
        <w:rPr>
          <w:vertAlign w:val="superscript"/>
          <w:rtl/>
        </w:rPr>
        <w:footnoteReference w:id="3721" w:customMarkFollows="0"/>
      </w:r>
      <w:bookmarkEnd w:id="5025"/>
      <w:r>
        <w:rPr>
          <w:rtl/>
        </w:rPr>
        <w:t xml:space="preserve"> נראה שר׳ </w:t>
      </w:r>
      <w:proofErr w:type="spellStart"/>
      <w:r>
        <w:rPr>
          <w:rtl/>
        </w:rPr>
        <w:t>יחיאל־יעקב</w:t>
      </w:r>
      <w:proofErr w:type="spellEnd"/>
      <w:r>
        <w:rPr>
          <w:rtl/>
        </w:rPr>
        <w:t xml:space="preserve"> ויינברג הכיר בכך שאינו שייך לאסכולת המוסר, אבל רק בתקופה מאוחרת יותר. הרב דומב שמע הקלטה שבה אמר ר׳ </w:t>
      </w:r>
      <w:proofErr w:type="spellStart"/>
      <w:r>
        <w:rPr>
          <w:rtl/>
        </w:rPr>
        <w:lastRenderedPageBreak/>
        <w:t>יחיאל־יעקב</w:t>
      </w:r>
      <w:proofErr w:type="spellEnd"/>
      <w:r>
        <w:rPr>
          <w:rtl/>
        </w:rPr>
        <w:t xml:space="preserve">: “בימי צעירותי הייתי הרבה יותר </w:t>
      </w:r>
      <w:proofErr w:type="spellStart"/>
      <w:r>
        <w:rPr>
          <w:rtl/>
        </w:rPr>
        <w:t>מוסרניק</w:t>
      </w:r>
      <w:proofErr w:type="spellEnd"/>
      <w:r>
        <w:rPr>
          <w:rtl/>
        </w:rPr>
        <w:t>, אבל אחר כך התרחקתי מכך במידת מה”</w:t>
      </w:r>
      <w:bookmarkStart w:id="5026" w:name="_fnr3714"/>
      <w:r>
        <w:rPr>
          <w:vertAlign w:val="superscript"/>
          <w:rtl/>
        </w:rPr>
        <w:footnoteReference w:id="3722" w:customMarkFollows="0"/>
      </w:r>
      <w:bookmarkEnd w:id="5026"/>
      <w:r>
        <w:rPr>
          <w:rtl/>
        </w:rPr>
        <w:t>.</w:t>
      </w:r>
    </w:p>
    <w:p w14:paraId="6282C4EE" w14:textId="77777777" w:rsidR="00AB3647" w:rsidRDefault="00000000" w:rsidP="007923E9">
      <w:pPr>
        <w:spacing w:after="120" w:line="276" w:lineRule="auto"/>
        <w:ind w:firstLine="283"/>
        <w:jc w:val="both"/>
      </w:pPr>
      <w:r>
        <w:rPr>
          <w:rtl/>
        </w:rPr>
        <w:t xml:space="preserve">ר׳ </w:t>
      </w:r>
      <w:proofErr w:type="spellStart"/>
      <w:r>
        <w:rPr>
          <w:rtl/>
        </w:rPr>
        <w:t>יחיאל־יעקב</w:t>
      </w:r>
      <w:proofErr w:type="spellEnd"/>
      <w:r>
        <w:rPr>
          <w:rtl/>
        </w:rPr>
        <w:t xml:space="preserve"> ויינברג נשאר מופת לעדינות, כפי שמעיד סירובו להצעות טובות לכהונה בישראל, מפני שאשתו לשעבר עברה לשם</w:t>
      </w:r>
      <w:bookmarkStart w:id="5027" w:name="_fnr3715"/>
      <w:r>
        <w:rPr>
          <w:vertAlign w:val="superscript"/>
          <w:rtl/>
        </w:rPr>
        <w:footnoteReference w:id="3723" w:customMarkFollows="0"/>
      </w:r>
      <w:bookmarkEnd w:id="5027"/>
      <w:r>
        <w:rPr>
          <w:rtl/>
        </w:rPr>
        <w:t xml:space="preserve">. לאחר גירושיה נישאה לרב הלסינקי וחיה שם כמה עשרות שנים, וכשנפטר בעלה עברה לארץ ישראל. אולם במכתביו לשמואל אטלס – ונראה שהם מכתבים אישיים למדי – נתן ר׳ </w:t>
      </w:r>
      <w:proofErr w:type="spellStart"/>
      <w:r>
        <w:rPr>
          <w:rtl/>
        </w:rPr>
        <w:t>יחיאל־יעקב</w:t>
      </w:r>
      <w:proofErr w:type="spellEnd"/>
      <w:r>
        <w:rPr>
          <w:rtl/>
        </w:rPr>
        <w:t xml:space="preserve"> נימוקים אחרים לכך שלא קיבל את ההצעות בישראל, ואף שקל לפרוש לגמלאות שם</w:t>
      </w:r>
      <w:bookmarkStart w:id="5028" w:name="_fnr3716"/>
      <w:r>
        <w:rPr>
          <w:vertAlign w:val="superscript"/>
          <w:rtl/>
        </w:rPr>
        <w:footnoteReference w:id="3724" w:customMarkFollows="0"/>
      </w:r>
      <w:bookmarkEnd w:id="5028"/>
      <w:r>
        <w:rPr>
          <w:rtl/>
        </w:rPr>
        <w:t>.</w:t>
      </w:r>
    </w:p>
    <w:p w14:paraId="4DC9D752" w14:textId="77777777" w:rsidR="00AB3647" w:rsidRDefault="00000000" w:rsidP="007923E9">
      <w:pPr>
        <w:keepLines/>
        <w:spacing w:after="120" w:line="276" w:lineRule="auto"/>
        <w:ind w:firstLine="283"/>
        <w:jc w:val="both"/>
      </w:pPr>
      <w:r>
        <w:rPr>
          <w:rtl/>
        </w:rPr>
        <w:t xml:space="preserve">השווה גם מאמר מאת יוסף </w:t>
      </w:r>
      <w:proofErr w:type="spellStart"/>
      <w:r>
        <w:rPr>
          <w:rtl/>
        </w:rPr>
        <w:t>פרידנזאן</w:t>
      </w:r>
      <w:proofErr w:type="spellEnd"/>
      <w:r>
        <w:rPr>
          <w:rtl/>
        </w:rPr>
        <w:t>, “</w:t>
      </w:r>
      <w:proofErr w:type="spellStart"/>
      <w:r>
        <w:rPr>
          <w:rtl/>
        </w:rPr>
        <w:t>דער</w:t>
      </w:r>
      <w:proofErr w:type="spellEnd"/>
      <w:r>
        <w:rPr>
          <w:rtl/>
        </w:rPr>
        <w:t xml:space="preserve"> </w:t>
      </w:r>
      <w:proofErr w:type="spellStart"/>
      <w:r>
        <w:rPr>
          <w:rtl/>
        </w:rPr>
        <w:t>ווארשעווער</w:t>
      </w:r>
      <w:proofErr w:type="spellEnd"/>
      <w:r>
        <w:rPr>
          <w:rtl/>
        </w:rPr>
        <w:t xml:space="preserve"> </w:t>
      </w:r>
      <w:proofErr w:type="spellStart"/>
      <w:r>
        <w:rPr>
          <w:rtl/>
        </w:rPr>
        <w:t>געטא</w:t>
      </w:r>
      <w:proofErr w:type="spellEnd"/>
      <w:r>
        <w:rPr>
          <w:rtl/>
        </w:rPr>
        <w:t>” [גטו ורשה]</w:t>
      </w:r>
      <w:bookmarkStart w:id="5029" w:name="_fnr3717"/>
      <w:r>
        <w:rPr>
          <w:vertAlign w:val="superscript"/>
          <w:rtl/>
        </w:rPr>
        <w:footnoteReference w:id="3725" w:customMarkFollows="0"/>
      </w:r>
      <w:bookmarkEnd w:id="5029"/>
      <w:r>
        <w:rPr>
          <w:rtl/>
        </w:rPr>
        <w:t xml:space="preserve">. אחרי תיאור מעשי החסד של ר׳ </w:t>
      </w:r>
      <w:proofErr w:type="spellStart"/>
      <w:r>
        <w:rPr>
          <w:rtl/>
        </w:rPr>
        <w:t>יחיאל־יעקב</w:t>
      </w:r>
      <w:proofErr w:type="spellEnd"/>
      <w:r>
        <w:rPr>
          <w:rtl/>
        </w:rPr>
        <w:t xml:space="preserve"> ויינברג בגטו נאמר בו: “מאחר שתפקיד זה [של ר׳ </w:t>
      </w:r>
      <w:proofErr w:type="spellStart"/>
      <w:r>
        <w:rPr>
          <w:rtl/>
        </w:rPr>
        <w:t>יחיאל־יעקב</w:t>
      </w:r>
      <w:proofErr w:type="spellEnd"/>
      <w:r>
        <w:rPr>
          <w:rtl/>
        </w:rPr>
        <w:t xml:space="preserve"> ויינברג], כפי שאני זוכר אותו, כמעט לא תואר עד היום, רואה אני חובה לעצמי – עתה שאני כותב על הגטו – להזכיר שהיה גדול לא רק בתורה וחכמה אלא גם בחסד”.</w:t>
      </w:r>
    </w:p>
    <w:bookmarkStart w:id="5030" w:name="b4_excE"/>
    <w:bookmarkStart w:id="5031" w:name="b4_annexE"/>
    <w:p w14:paraId="53563E1A" w14:textId="77777777" w:rsidR="00AB3647" w:rsidRDefault="00000000" w:rsidP="007923E9">
      <w:pPr>
        <w:pStyle w:val="3"/>
        <w:spacing w:line="276" w:lineRule="auto"/>
      </w:pPr>
      <w:r>
        <w:lastRenderedPageBreak/>
        <w:fldChar w:fldCharType="begin" w:dirty="true"/>
      </w:r>
      <w:r>
        <w:rPr>
          <w:rtl w:val="0"/>
        </w:rPr>
        <w:instrText>HYPERLINK \l "b4_note44</w:instrText>
      </w:r>
      <w:r>
        <w:instrText>"</w:instrText>
      </w:r>
      <w:r>
        <w:fldChar w:fldCharType="separate"/>
      </w:r>
      <w:r>
        <w:t>נספח ה</w:t>
      </w:r>
      <w:r>
        <w:fldChar w:fldCharType="end"/>
      </w:r>
      <w:bookmarkEnd w:id="5030"/>
      <w:bookmarkEnd w:id="5031"/>
    </w:p>
    <w:p w14:paraId="2E995911" w14:textId="77777777" w:rsidR="00AB3647" w:rsidRDefault="00000000" w:rsidP="007923E9">
      <w:pPr>
        <w:pStyle w:val="af"/>
        <w:spacing w:line="276" w:lineRule="auto"/>
      </w:pPr>
      <w:r>
        <w:t xml:space="preserve">על יחס הסבא לתלמידים ועל דרך חינוך שנקט פעם כלפי התלמיד שציפה שיהיה גדול הדור ר׳ </w:t>
      </w:r>
      <w:proofErr w:type="spellStart"/>
      <w:r>
        <w:t>יחיאל־יעקב</w:t>
      </w:r>
      <w:proofErr w:type="spellEnd"/>
      <w:r>
        <w:t xml:space="preserve"> ויינברג</w:t>
      </w:r>
    </w:p>
    <w:p w14:paraId="4BFAB10D" w14:textId="77777777" w:rsidR="00AB3647" w:rsidRDefault="00000000" w:rsidP="007923E9">
      <w:pPr>
        <w:pStyle w:val="4"/>
        <w:spacing w:line="276" w:lineRule="auto"/>
      </w:pPr>
      <w:r>
        <w:t>· הפסקה הראשונה ·</w:t>
      </w:r>
    </w:p>
    <w:p w14:paraId="6B670B53" w14:textId="77777777" w:rsidR="00AB3647" w:rsidRDefault="00000000" w:rsidP="007923E9">
      <w:pPr>
        <w:pStyle w:val="5"/>
        <w:spacing w:line="276" w:lineRule="auto"/>
      </w:pPr>
      <w:r>
        <w:rPr>
          <w:bCs/>
          <w:szCs w:val="26"/>
        </w:rPr>
        <w:t>הסבא אינו חוסך שבטו מתלמידיו</w:t>
      </w:r>
    </w:p>
    <w:p w14:paraId="6B2A538E" w14:textId="77777777" w:rsidR="00AB3647" w:rsidRDefault="00000000" w:rsidP="007923E9">
      <w:pPr>
        <w:spacing w:after="120" w:line="276" w:lineRule="auto"/>
        <w:ind w:firstLine="283"/>
        <w:jc w:val="both"/>
      </w:pPr>
      <w:r>
        <w:rPr>
          <w:rtl/>
        </w:rPr>
        <w:t>כץ, “תנועת המוסר”, כרך ג</w:t>
      </w:r>
      <w:bookmarkStart w:id="5032" w:name="_fnr3718"/>
      <w:r>
        <w:rPr>
          <w:vertAlign w:val="superscript"/>
          <w:rtl/>
        </w:rPr>
        <w:footnoteReference w:id="3726" w:customMarkFollows="0"/>
      </w:r>
      <w:bookmarkEnd w:id="5032"/>
      <w:r>
        <w:rPr>
          <w:rtl/>
        </w:rPr>
        <w:t xml:space="preserve">, מגלה שהיה מכנה תלמידים מסוימים “רשעים” </w:t>
      </w:r>
      <w:proofErr w:type="spellStart"/>
      <w:r>
        <w:rPr>
          <w:rtl/>
        </w:rPr>
        <w:t>ו“בורים</w:t>
      </w:r>
      <w:proofErr w:type="spellEnd"/>
      <w:r>
        <w:rPr>
          <w:rtl/>
        </w:rPr>
        <w:t>”. פעם, כשנכנס אחד התלמידים לחדרו, הנמיך את להבת מנורתו והסביר שאסור להסתכל בפני רשע</w:t>
      </w:r>
      <w:bookmarkStart w:id="5033" w:name="_fnr3719"/>
      <w:r>
        <w:rPr>
          <w:vertAlign w:val="superscript"/>
          <w:rtl/>
        </w:rPr>
        <w:footnoteReference w:id="3727" w:customMarkFollows="0"/>
      </w:r>
      <w:bookmarkEnd w:id="5033"/>
      <w:r>
        <w:rPr>
          <w:rtl/>
        </w:rPr>
        <w:t>.</w:t>
      </w:r>
    </w:p>
    <w:p w14:paraId="51D457B6" w14:textId="77777777" w:rsidR="00AB3647" w:rsidRDefault="00000000" w:rsidP="007923E9">
      <w:pPr>
        <w:pStyle w:val="4"/>
        <w:spacing w:line="276" w:lineRule="auto"/>
      </w:pPr>
      <w:r>
        <w:t>· הפסקה השנייה ·</w:t>
      </w:r>
    </w:p>
    <w:p w14:paraId="5A35B4F6" w14:textId="77777777" w:rsidR="00AB3647" w:rsidRDefault="00000000" w:rsidP="007923E9">
      <w:pPr>
        <w:pStyle w:val="5"/>
        <w:spacing w:line="276" w:lineRule="auto"/>
      </w:pPr>
      <w:r>
        <w:rPr>
          <w:bCs/>
          <w:szCs w:val="26"/>
        </w:rPr>
        <w:t>הסבא משלב שבח וביקורת</w:t>
      </w:r>
    </w:p>
    <w:p w14:paraId="596C2505" w14:textId="77777777" w:rsidR="00AB3647" w:rsidRDefault="00000000" w:rsidP="007923E9">
      <w:pPr>
        <w:spacing w:after="120" w:line="276" w:lineRule="auto"/>
        <w:ind w:firstLine="283"/>
        <w:jc w:val="both"/>
      </w:pPr>
      <w:r>
        <w:rPr>
          <w:rtl/>
        </w:rPr>
        <w:t>שם</w:t>
      </w:r>
      <w:bookmarkStart w:id="5034" w:name="_fnr3720"/>
      <w:r>
        <w:rPr>
          <w:vertAlign w:val="superscript"/>
          <w:rtl/>
        </w:rPr>
        <w:footnoteReference w:id="3728" w:customMarkFollows="0"/>
      </w:r>
      <w:bookmarkEnd w:id="5034"/>
      <w:r>
        <w:rPr>
          <w:rtl/>
        </w:rPr>
        <w:t xml:space="preserve"> נאמר שלא זו בלבד שהיה משנה את יחסו לאותו תלמיד, אלא שלעיתים היה “דוחה ביד אחת ומקרב בשנייה”</w:t>
      </w:r>
      <w:bookmarkStart w:id="5035" w:name="_fnr3721"/>
      <w:r>
        <w:rPr>
          <w:vertAlign w:val="superscript"/>
          <w:rtl/>
        </w:rPr>
        <w:footnoteReference w:id="3729" w:customMarkFollows="0"/>
      </w:r>
      <w:bookmarkEnd w:id="5035"/>
      <w:r>
        <w:rPr>
          <w:rtl/>
        </w:rPr>
        <w:t xml:space="preserve"> בעת ובעונה אחת.</w:t>
      </w:r>
    </w:p>
    <w:p w14:paraId="24D520FC" w14:textId="77777777" w:rsidR="00AB3647" w:rsidRDefault="00000000" w:rsidP="007923E9">
      <w:pPr>
        <w:pStyle w:val="4"/>
        <w:spacing w:line="276" w:lineRule="auto"/>
      </w:pPr>
      <w:r>
        <w:t>· הפסקה השלישית ·</w:t>
      </w:r>
    </w:p>
    <w:p w14:paraId="1F5F3A2B" w14:textId="77777777" w:rsidR="00AB3647" w:rsidRDefault="00000000" w:rsidP="007923E9">
      <w:pPr>
        <w:pStyle w:val="5"/>
        <w:spacing w:line="276" w:lineRule="auto"/>
      </w:pPr>
      <w:r>
        <w:rPr>
          <w:bCs/>
          <w:szCs w:val="26"/>
        </w:rPr>
        <w:t>רבנו נוהג בכל תלמיד לפי עניינו</w:t>
      </w:r>
    </w:p>
    <w:p w14:paraId="23473633" w14:textId="77777777" w:rsidR="00AB3647" w:rsidRDefault="00000000" w:rsidP="007923E9">
      <w:pPr>
        <w:spacing w:after="120" w:line="276" w:lineRule="auto"/>
        <w:ind w:firstLine="283"/>
        <w:jc w:val="both"/>
      </w:pPr>
      <w:r>
        <w:rPr>
          <w:rtl/>
        </w:rPr>
        <w:t xml:space="preserve">ראה פרק 3, הפסקה הראשונה של נספח ל, על כך שחניכי ר׳ </w:t>
      </w:r>
      <w:proofErr w:type="spellStart"/>
      <w:r>
        <w:rPr>
          <w:rtl/>
        </w:rPr>
        <w:t>נתן־צבי</w:t>
      </w:r>
      <w:proofErr w:type="spellEnd"/>
      <w:r>
        <w:rPr>
          <w:rtl/>
        </w:rPr>
        <w:t xml:space="preserve"> היו שונים זה מזה, מפני שהסבא הניח לכל אחד לפתח את כישרונותיו המיוחדים. אבי הלך באותה דרך כללית ונהג בכל תלמיד לפי עניינו – אף שאיני יכול לדמיין אותו נכנס לכמה מן הדרכים העקיפות של הסבא שתוארו לעיל ובהערות 42 ו־43 בפרק זה.</w:t>
      </w:r>
    </w:p>
    <w:p w14:paraId="7DF70D4D" w14:textId="77777777" w:rsidR="00AB3647" w:rsidRDefault="00000000" w:rsidP="007923E9">
      <w:pPr>
        <w:spacing w:after="120" w:line="276" w:lineRule="auto"/>
        <w:ind w:firstLine="283"/>
        <w:jc w:val="both"/>
      </w:pPr>
      <w:r>
        <w:rPr>
          <w:rtl/>
        </w:rPr>
        <w:t>ר׳ שמואל גולדשטיין</w:t>
      </w:r>
      <w:bookmarkStart w:id="5036" w:name="_fnr3722"/>
      <w:r>
        <w:rPr>
          <w:vertAlign w:val="superscript"/>
          <w:rtl/>
        </w:rPr>
        <w:footnoteReference w:id="3730" w:customMarkFollows="0"/>
      </w:r>
      <w:bookmarkEnd w:id="5036"/>
      <w:r>
        <w:rPr>
          <w:rtl/>
        </w:rPr>
        <w:t xml:space="preserve"> סיפר שבאמצע שנות </w:t>
      </w:r>
      <w:proofErr w:type="spellStart"/>
      <w:r>
        <w:rPr>
          <w:rtl/>
        </w:rPr>
        <w:t>הת״ש</w:t>
      </w:r>
      <w:proofErr w:type="spellEnd"/>
      <w:r>
        <w:rPr>
          <w:rtl/>
        </w:rPr>
        <w:t xml:space="preserve">, בתקופה מוקדמת של עבודת אבי במתיבתא תורה ודעת, אמר אבי למדריכי מחנה מתיבתא </w:t>
      </w:r>
      <w:proofErr w:type="spellStart"/>
      <w:r>
        <w:rPr>
          <w:rtl/>
        </w:rPr>
        <w:t>בפרנדייל</w:t>
      </w:r>
      <w:proofErr w:type="spellEnd"/>
      <w:r>
        <w:rPr>
          <w:rtl/>
        </w:rPr>
        <w:t xml:space="preserve"> שבניו יורק: “כל אחד מכם מופקד על קבוצה שלמה של נערים, אבל עליכם לדעת שכל נער הוא עולם בפני עצמו. מוטלת עליכם אחריות לכל נער ונער כיחיד”.</w:t>
      </w:r>
    </w:p>
    <w:p w14:paraId="09C64DD2" w14:textId="77777777" w:rsidR="00AB3647" w:rsidRDefault="00000000" w:rsidP="007923E9">
      <w:pPr>
        <w:pStyle w:val="4"/>
        <w:spacing w:line="276" w:lineRule="auto"/>
      </w:pPr>
      <w:r>
        <w:lastRenderedPageBreak/>
        <w:t>· הפסקה הרביעית ·</w:t>
      </w:r>
    </w:p>
    <w:p w14:paraId="17A414BC" w14:textId="77777777" w:rsidR="00AB3647" w:rsidRDefault="00000000" w:rsidP="007923E9">
      <w:pPr>
        <w:pStyle w:val="5"/>
        <w:spacing w:line="276" w:lineRule="auto"/>
      </w:pPr>
      <w:r>
        <w:rPr>
          <w:bCs/>
          <w:szCs w:val="26"/>
        </w:rPr>
        <w:t xml:space="preserve">הסבא שולח את ר׳ </w:t>
      </w:r>
      <w:proofErr w:type="spellStart"/>
      <w:r>
        <w:rPr>
          <w:bCs/>
          <w:szCs w:val="26"/>
        </w:rPr>
        <w:t>יחיאל־יעקב</w:t>
      </w:r>
      <w:proofErr w:type="spellEnd"/>
      <w:r>
        <w:rPr>
          <w:bCs/>
          <w:szCs w:val="26"/>
        </w:rPr>
        <w:t xml:space="preserve"> ויינברג הצעיר לשאול את ר׳ נפתלי אמסטרדם – הסבא נוקט אותה דרך כשני עשורים קודם לכן – ר׳ </w:t>
      </w:r>
      <w:proofErr w:type="spellStart"/>
      <w:r>
        <w:rPr>
          <w:bCs/>
          <w:szCs w:val="26"/>
        </w:rPr>
        <w:t>יחיאל־יעקב</w:t>
      </w:r>
      <w:proofErr w:type="spellEnd"/>
      <w:r>
        <w:rPr>
          <w:bCs/>
          <w:szCs w:val="26"/>
        </w:rPr>
        <w:t xml:space="preserve"> ויינברג צפוי להיות מן המנהיגים הגדולים בעולם התורה</w:t>
      </w:r>
    </w:p>
    <w:p w14:paraId="0CBC208E" w14:textId="77777777" w:rsidR="00AB3647" w:rsidRDefault="00000000" w:rsidP="007923E9">
      <w:pPr>
        <w:spacing w:after="120" w:line="276" w:lineRule="auto"/>
        <w:ind w:firstLine="283"/>
        <w:jc w:val="both"/>
      </w:pPr>
      <w:r>
        <w:rPr>
          <w:rtl/>
        </w:rPr>
        <w:t>דוגמה מעניינת לגישתו הפסיכולוגית של הסבא בחינוך תלמידיו נרשמה בספרו של כץ, “תנועת המוסר”, כרך ג</w:t>
      </w:r>
      <w:bookmarkStart w:id="5037" w:name="_fnr3723"/>
      <w:r>
        <w:rPr>
          <w:vertAlign w:val="superscript"/>
          <w:rtl/>
        </w:rPr>
        <w:footnoteReference w:id="3731" w:customMarkFollows="0"/>
      </w:r>
      <w:bookmarkEnd w:id="5037"/>
      <w:r>
        <w:rPr>
          <w:rtl/>
        </w:rPr>
        <w:t xml:space="preserve">. ר׳ </w:t>
      </w:r>
      <w:proofErr w:type="spellStart"/>
      <w:r>
        <w:rPr>
          <w:rtl/>
        </w:rPr>
        <w:t>יחיאל־יעקב</w:t>
      </w:r>
      <w:proofErr w:type="spellEnd"/>
      <w:r>
        <w:rPr>
          <w:rtl/>
        </w:rPr>
        <w:t xml:space="preserve"> ויינברג סיפר שבצעירותו שאל פעם את ר׳ נפתלי אמסטרדם כיצד להתגבר על טרדת המחשבה, </w:t>
      </w:r>
      <w:proofErr w:type="spellStart"/>
      <w:r>
        <w:rPr>
          <w:rtl/>
        </w:rPr>
        <w:t>ש“לפעמים</w:t>
      </w:r>
      <w:proofErr w:type="spellEnd"/>
      <w:r>
        <w:rPr>
          <w:rtl/>
        </w:rPr>
        <w:t xml:space="preserve"> גרמה לו לשכוח להתפלל מנחה”. ר׳ נפתלי הביט בו בתדהמה ושאל בחרדה אם שכח להתפלל לגמרי. ר׳ </w:t>
      </w:r>
      <w:proofErr w:type="spellStart"/>
      <w:r>
        <w:rPr>
          <w:rtl/>
        </w:rPr>
        <w:t>יחיאל־יעקב</w:t>
      </w:r>
      <w:proofErr w:type="spellEnd"/>
      <w:r>
        <w:rPr>
          <w:rtl/>
        </w:rPr>
        <w:t xml:space="preserve"> נבהל ממבטו של ר׳ נפתלי, וטען בניגוד לאמת ששכח רק להתפלל במניין. החכם הזקן יעץ לו אז כיצד להתמודד עם בעייתו.</w:t>
      </w:r>
    </w:p>
    <w:p w14:paraId="28399A2A" w14:textId="77777777" w:rsidR="00AB3647" w:rsidRDefault="00000000" w:rsidP="007923E9">
      <w:pPr>
        <w:spacing w:after="120" w:line="276" w:lineRule="auto"/>
        <w:ind w:firstLine="283"/>
        <w:jc w:val="both"/>
      </w:pPr>
      <w:r>
        <w:rPr>
          <w:rtl/>
        </w:rPr>
        <w:t xml:space="preserve">כשסיפר ר׳ </w:t>
      </w:r>
      <w:proofErr w:type="spellStart"/>
      <w:r>
        <w:rPr>
          <w:rtl/>
        </w:rPr>
        <w:t>יחיאל־יעקב</w:t>
      </w:r>
      <w:proofErr w:type="spellEnd"/>
      <w:r>
        <w:rPr>
          <w:rtl/>
        </w:rPr>
        <w:t xml:space="preserve"> ויינברג לסבא על חילופי הדברים, קרא הלה: “איך יכולת לרמות צדיק גדול כפי שעשית?”, ואמר לו לשוב אל ר׳ נפתלי ולהודות על האמת. ר׳ </w:t>
      </w:r>
      <w:proofErr w:type="spellStart"/>
      <w:r>
        <w:rPr>
          <w:rtl/>
        </w:rPr>
        <w:t>יחיאל־יעקב</w:t>
      </w:r>
      <w:proofErr w:type="spellEnd"/>
      <w:r>
        <w:rPr>
          <w:rtl/>
        </w:rPr>
        <w:t xml:space="preserve"> אמר שאין לבו נותן לו לעשות זאת, והסבא הודיע לו שלא יורשה לעבור את סף ביתו עד שיתקן את עוולתו. באין ברירה יצא ר׳ </w:t>
      </w:r>
      <w:proofErr w:type="spellStart"/>
      <w:r>
        <w:rPr>
          <w:rtl/>
        </w:rPr>
        <w:t>יחיאל־יעקב</w:t>
      </w:r>
      <w:proofErr w:type="spellEnd"/>
      <w:r>
        <w:rPr>
          <w:rtl/>
        </w:rPr>
        <w:t xml:space="preserve"> לבית ר׳ נפתלי אמסטרדם, בלב שבור ובחרטה. אבל עוד לפני שהספיק להיכנס לביתו של ר׳ נפתלי, הגיע אליו שליח מן הסבא והורה לו לשוב. הסבא הסביר שלא התכוון שר׳ </w:t>
      </w:r>
      <w:proofErr w:type="spellStart"/>
      <w:r>
        <w:rPr>
          <w:rtl/>
        </w:rPr>
        <w:t>יחיאל־יעקב</w:t>
      </w:r>
      <w:proofErr w:type="spellEnd"/>
      <w:r>
        <w:rPr>
          <w:rtl/>
        </w:rPr>
        <w:t xml:space="preserve"> יעבור את ההשפלה שבהודאה ששיקר. ר׳ </w:t>
      </w:r>
      <w:proofErr w:type="spellStart"/>
      <w:r>
        <w:rPr>
          <w:rtl/>
        </w:rPr>
        <w:t>נתן־צבי</w:t>
      </w:r>
      <w:proofErr w:type="spellEnd"/>
      <w:r>
        <w:rPr>
          <w:rtl/>
        </w:rPr>
        <w:t xml:space="preserve"> </w:t>
      </w:r>
      <w:proofErr w:type="spellStart"/>
      <w:r>
        <w:rPr>
          <w:rtl/>
        </w:rPr>
        <w:t>פינקל</w:t>
      </w:r>
      <w:proofErr w:type="spellEnd"/>
      <w:r>
        <w:rPr>
          <w:rtl/>
        </w:rPr>
        <w:t xml:space="preserve"> ביקש רק לעקור כל שריד של רמייה שהותיר מעשהו של ר׳ </w:t>
      </w:r>
      <w:proofErr w:type="spellStart"/>
      <w:r>
        <w:rPr>
          <w:rtl/>
        </w:rPr>
        <w:t>יחיאל־יעקב</w:t>
      </w:r>
      <w:proofErr w:type="spellEnd"/>
      <w:r>
        <w:rPr>
          <w:rtl/>
        </w:rPr>
        <w:t xml:space="preserve"> בנפשו, ודבר זה הושג כשהסכים ר׳ </w:t>
      </w:r>
      <w:proofErr w:type="spellStart"/>
      <w:r>
        <w:rPr>
          <w:rtl/>
        </w:rPr>
        <w:t>יחיאל־יעקב</w:t>
      </w:r>
      <w:proofErr w:type="spellEnd"/>
      <w:r>
        <w:rPr>
          <w:rtl/>
        </w:rPr>
        <w:t xml:space="preserve"> לקבל על עצמו את הייסורים שבגילוי מעשהו </w:t>
      </w:r>
      <w:proofErr w:type="spellStart"/>
      <w:r>
        <w:rPr>
          <w:rtl/>
        </w:rPr>
        <w:t>לר</w:t>
      </w:r>
      <w:proofErr w:type="spellEnd"/>
      <w:r>
        <w:rPr>
          <w:rtl/>
        </w:rPr>
        <w:t>׳ נפתלי.</w:t>
      </w:r>
    </w:p>
    <w:p w14:paraId="44DC0809" w14:textId="77777777" w:rsidR="00AB3647" w:rsidRDefault="00000000" w:rsidP="007923E9">
      <w:pPr>
        <w:spacing w:after="120" w:line="276" w:lineRule="auto"/>
        <w:ind w:firstLine="283"/>
        <w:jc w:val="both"/>
      </w:pPr>
      <w:r>
        <w:rPr>
          <w:rtl/>
        </w:rPr>
        <w:t xml:space="preserve">ר׳ חיים </w:t>
      </w:r>
      <w:proofErr w:type="spellStart"/>
      <w:r>
        <w:rPr>
          <w:rtl/>
        </w:rPr>
        <w:t>סרנא</w:t>
      </w:r>
      <w:proofErr w:type="spellEnd"/>
      <w:r>
        <w:rPr>
          <w:rtl/>
        </w:rPr>
        <w:t xml:space="preserve"> גילה</w:t>
      </w:r>
      <w:bookmarkStart w:id="5038" w:name="_fnr3724"/>
      <w:r>
        <w:rPr>
          <w:vertAlign w:val="superscript"/>
          <w:rtl/>
        </w:rPr>
        <w:footnoteReference w:id="3732" w:customMarkFollows="0"/>
      </w:r>
      <w:bookmarkEnd w:id="5038"/>
      <w:r>
        <w:rPr>
          <w:rtl/>
        </w:rPr>
        <w:t xml:space="preserve"> שר׳ </w:t>
      </w:r>
      <w:proofErr w:type="spellStart"/>
      <w:r>
        <w:rPr>
          <w:rtl/>
        </w:rPr>
        <w:t>יחיאל־יעקב</w:t>
      </w:r>
      <w:proofErr w:type="spellEnd"/>
      <w:r>
        <w:rPr>
          <w:rtl/>
        </w:rPr>
        <w:t xml:space="preserve"> ויינברג העלה תחילה את בעיית שכחת המנחה בפני הסבא, והסבא הוא שהורה לו להציג את השאלה </w:t>
      </w:r>
      <w:proofErr w:type="spellStart"/>
      <w:r>
        <w:rPr>
          <w:rtl/>
        </w:rPr>
        <w:t>לר</w:t>
      </w:r>
      <w:proofErr w:type="spellEnd"/>
      <w:r>
        <w:rPr>
          <w:rtl/>
        </w:rPr>
        <w:t xml:space="preserve">׳ נפתלי. הסבא הבין שתגובת ר׳ נפתלי לשאלה תשאיר בר׳ </w:t>
      </w:r>
      <w:proofErr w:type="spellStart"/>
      <w:r>
        <w:rPr>
          <w:rtl/>
        </w:rPr>
        <w:t>יחיאל־יעקב</w:t>
      </w:r>
      <w:proofErr w:type="spellEnd"/>
      <w:r>
        <w:rPr>
          <w:rtl/>
        </w:rPr>
        <w:t xml:space="preserve"> רושם עז דיו להבטיח שלא ישכח עוד מנחה לעולם! ר׳ חיים </w:t>
      </w:r>
      <w:proofErr w:type="spellStart"/>
      <w:r>
        <w:rPr>
          <w:rtl/>
        </w:rPr>
        <w:t>סרנא</w:t>
      </w:r>
      <w:proofErr w:type="spellEnd"/>
      <w:r>
        <w:rPr>
          <w:rtl/>
        </w:rPr>
        <w:t xml:space="preserve"> סיפר גם שטרדת המחשבה של ר׳ </w:t>
      </w:r>
      <w:proofErr w:type="spellStart"/>
      <w:r>
        <w:rPr>
          <w:rtl/>
        </w:rPr>
        <w:t>יחיאל־יעקב</w:t>
      </w:r>
      <w:proofErr w:type="spellEnd"/>
      <w:r>
        <w:rPr>
          <w:rtl/>
        </w:rPr>
        <w:t xml:space="preserve"> הייתה כה גדולה, </w:t>
      </w:r>
      <w:proofErr w:type="spellStart"/>
      <w:r>
        <w:rPr>
          <w:rtl/>
        </w:rPr>
        <w:t>ש“כשהיה</w:t>
      </w:r>
      <w:proofErr w:type="spellEnd"/>
      <w:r>
        <w:rPr>
          <w:rtl/>
        </w:rPr>
        <w:t xml:space="preserve"> שקוע בלימוד התורה, היה שוכח לקלף את הביצה הקשה שניתנה לו לאכול”.</w:t>
      </w:r>
    </w:p>
    <w:p w14:paraId="482D25C0" w14:textId="77777777" w:rsidR="00AB3647" w:rsidRDefault="00000000" w:rsidP="007923E9">
      <w:pPr>
        <w:spacing w:after="120" w:line="276" w:lineRule="auto"/>
        <w:ind w:firstLine="283"/>
        <w:jc w:val="both"/>
      </w:pPr>
      <w:r>
        <w:rPr>
          <w:rtl/>
        </w:rPr>
        <w:t xml:space="preserve">הקורא ימצא עניין בדרך חינוכית דומה שנקט הסבא כמעט עשרים שנה </w:t>
      </w:r>
      <w:r>
        <w:rPr>
          <w:b/>
          <w:bCs/>
          <w:rtl/>
        </w:rPr>
        <w:t>לפני</w:t>
      </w:r>
      <w:r>
        <w:rPr>
          <w:rtl/>
        </w:rPr>
        <w:t xml:space="preserve"> המעשה בר׳ </w:t>
      </w:r>
      <w:proofErr w:type="spellStart"/>
      <w:r>
        <w:rPr>
          <w:rtl/>
        </w:rPr>
        <w:t>יחיאל־יעקב</w:t>
      </w:r>
      <w:proofErr w:type="spellEnd"/>
      <w:r>
        <w:rPr>
          <w:rtl/>
        </w:rPr>
        <w:t xml:space="preserve"> ויינברג, כפי שסיפר </w:t>
      </w:r>
      <w:proofErr w:type="spellStart"/>
      <w:r>
        <w:rPr>
          <w:rtl/>
        </w:rPr>
        <w:t>יהושע־לייב</w:t>
      </w:r>
      <w:proofErr w:type="spellEnd"/>
      <w:r>
        <w:rPr>
          <w:rtl/>
        </w:rPr>
        <w:t xml:space="preserve"> </w:t>
      </w:r>
      <w:proofErr w:type="spellStart"/>
      <w:r>
        <w:rPr>
          <w:rtl/>
        </w:rPr>
        <w:t>ראדוס</w:t>
      </w:r>
      <w:proofErr w:type="spellEnd"/>
      <w:r>
        <w:rPr>
          <w:rtl/>
        </w:rPr>
        <w:t xml:space="preserve"> בזיכרונותיו</w:t>
      </w:r>
      <w:bookmarkStart w:id="5039" w:name="_fnr3725"/>
      <w:r>
        <w:rPr>
          <w:vertAlign w:val="superscript"/>
          <w:rtl/>
        </w:rPr>
        <w:footnoteReference w:id="3733" w:customMarkFollows="0"/>
      </w:r>
      <w:bookmarkEnd w:id="5039"/>
      <w:r>
        <w:rPr>
          <w:rtl/>
        </w:rPr>
        <w:t xml:space="preserve">. כשהיה המחבר תלמיד שטרם הגיע לבר מצווה, הוכיח אותו הסבא תחילה בחריפות רבה, ולא קיבל ממנו שום טענת הגנה או תירוץ. בלשון המחבר: “ניסיוני להצדיק את עצמי בפניו כנקי מ[ה]חטא [של ביקורת על שיעור הפלפול שזה עתה הונהג] היה לשווא. לשווא הצהרתי בפניו שמה ששמע עליי היה בדיה של חברים מקנאים. ניסיתי גם לדרוש שהעדים </w:t>
      </w:r>
      <w:proofErr w:type="spellStart"/>
      <w:r>
        <w:rPr>
          <w:rtl/>
        </w:rPr>
        <w:t>ה‘דוברי</w:t>
      </w:r>
      <w:proofErr w:type="spellEnd"/>
      <w:r>
        <w:rPr>
          <w:rtl/>
        </w:rPr>
        <w:t xml:space="preserve"> אמת’ יעידו על חטאי בפניי, כדי שאוכל לסתור את דבריהם. אבל כל זה לא הועיל. הוא סירב לשמוע אותי, ודיני נגזר להרחיקני משיעור הפלפול. קיבלתי את העונש בלב מלא פחד ותדהמה על חטא שלא חטאתי. פניתי לצאת מחדרו, כשקול הקורא לי הגיע לאוזני. שבתי וניגשתי אל הסבא לשמוע מה בפיו, והנה </w:t>
      </w:r>
      <w:r>
        <w:rPr>
          <w:rtl/>
        </w:rPr>
        <w:lastRenderedPageBreak/>
        <w:t>שמחה! לא האמנתי למשמע אוזניי, כששמעתי מפיו התנצלות ואת ההודעה שייסלח לי על עבֵרתי. הוטל עליי רק עונש קל: לבוא לשיעור שלוש פעמים רצופות לאחר שתינעל דלת החדר, ולדפוק בדלת כדי שיכניסוני”.</w:t>
      </w:r>
    </w:p>
    <w:p w14:paraId="070E007C" w14:textId="77777777" w:rsidR="00AB3647" w:rsidRDefault="00000000" w:rsidP="007923E9">
      <w:pPr>
        <w:spacing w:after="120" w:line="276" w:lineRule="auto"/>
        <w:ind w:firstLine="283"/>
        <w:jc w:val="both"/>
      </w:pPr>
      <w:r>
        <w:rPr>
          <w:rtl/>
        </w:rPr>
        <w:t xml:space="preserve">יש להניח שהסבא הבין מיד שהנער המסכן דובר אמת, אבל רצה שיעבור את ייסורי הסילוק מן השיעור – בלי שיסולק ממנו בפועל – כשם שר׳ </w:t>
      </w:r>
      <w:proofErr w:type="spellStart"/>
      <w:r>
        <w:rPr>
          <w:rtl/>
        </w:rPr>
        <w:t>יחיאל־יעקב</w:t>
      </w:r>
      <w:proofErr w:type="spellEnd"/>
      <w:r>
        <w:rPr>
          <w:rtl/>
        </w:rPr>
        <w:t xml:space="preserve"> ויינברג היה צריך לעבור את ייסורי ההודאה ששיקר, בלי שיודה בפועל.</w:t>
      </w:r>
    </w:p>
    <w:p w14:paraId="3F353E55" w14:textId="77777777" w:rsidR="00AB3647" w:rsidRDefault="00000000" w:rsidP="007923E9">
      <w:pPr>
        <w:spacing w:after="120" w:line="276" w:lineRule="auto"/>
        <w:ind w:firstLine="283"/>
        <w:jc w:val="both"/>
      </w:pPr>
      <w:r>
        <w:rPr>
          <w:rtl/>
        </w:rPr>
        <w:t xml:space="preserve">לפי מה ששמע ר׳ חיים </w:t>
      </w:r>
      <w:proofErr w:type="spellStart"/>
      <w:r>
        <w:rPr>
          <w:rtl/>
        </w:rPr>
        <w:t>סרנא</w:t>
      </w:r>
      <w:proofErr w:type="spellEnd"/>
      <w:r>
        <w:rPr>
          <w:rtl/>
        </w:rPr>
        <w:t xml:space="preserve"> מאביו, סבר הסבא שר׳ </w:t>
      </w:r>
      <w:proofErr w:type="spellStart"/>
      <w:r>
        <w:rPr>
          <w:rtl/>
        </w:rPr>
        <w:t>יחיאל־יעקב</w:t>
      </w:r>
      <w:proofErr w:type="spellEnd"/>
      <w:r>
        <w:rPr>
          <w:rtl/>
        </w:rPr>
        <w:t xml:space="preserve"> ויינברג יהיה גדול הדור; “והוא היה נעשה כזה, אלמלא נישואיו האומללים”</w:t>
      </w:r>
      <w:bookmarkStart w:id="5040" w:name="_fnr3726"/>
      <w:r>
        <w:rPr>
          <w:vertAlign w:val="superscript"/>
          <w:rtl/>
        </w:rPr>
        <w:footnoteReference w:id="3734" w:customMarkFollows="0"/>
      </w:r>
      <w:bookmarkEnd w:id="5040"/>
      <w:r>
        <w:rPr>
          <w:rtl/>
        </w:rPr>
        <w:t xml:space="preserve">, אמר ר׳ חיים </w:t>
      </w:r>
      <w:proofErr w:type="spellStart"/>
      <w:r>
        <w:rPr>
          <w:rtl/>
        </w:rPr>
        <w:t>סרנא</w:t>
      </w:r>
      <w:bookmarkStart w:id="5041" w:name="_fnr3727"/>
      <w:proofErr w:type="spellEnd"/>
      <w:r>
        <w:rPr>
          <w:vertAlign w:val="superscript"/>
          <w:rtl/>
        </w:rPr>
        <w:footnoteReference w:id="3735" w:customMarkFollows="0"/>
      </w:r>
      <w:bookmarkEnd w:id="5041"/>
      <w:r>
        <w:rPr>
          <w:rtl/>
        </w:rPr>
        <w:t>. הוא הסביר: “בליטא רק בעלי עגלות התגרשו – כל אדם בעל מעמד היה, כפי שנהגה אמי לומר, ‘אוכל מסמרים [</w:t>
      </w:r>
      <w:proofErr w:type="spellStart"/>
      <w:r>
        <w:rPr>
          <w:rtl/>
        </w:rPr>
        <w:t>עסען</w:t>
      </w:r>
      <w:proofErr w:type="spellEnd"/>
      <w:r>
        <w:rPr>
          <w:rtl/>
        </w:rPr>
        <w:t xml:space="preserve"> </w:t>
      </w:r>
      <w:proofErr w:type="spellStart"/>
      <w:r>
        <w:rPr>
          <w:rtl/>
        </w:rPr>
        <w:t>טשוועקעס</w:t>
      </w:r>
      <w:proofErr w:type="spellEnd"/>
      <w:r>
        <w:rPr>
          <w:rtl/>
        </w:rPr>
        <w:t xml:space="preserve"> – סובל]’ ומחזיק מעמד”. רחל </w:t>
      </w:r>
      <w:proofErr w:type="spellStart"/>
      <w:r>
        <w:rPr>
          <w:rtl/>
        </w:rPr>
        <w:t>סרנא</w:t>
      </w:r>
      <w:proofErr w:type="spellEnd"/>
      <w:r>
        <w:rPr>
          <w:rtl/>
        </w:rPr>
        <w:t xml:space="preserve"> השתמשה גם בביטוי אחר: “כל אדם בעל מעמד היה ‘נושך את השמיכה [</w:t>
      </w:r>
      <w:proofErr w:type="spellStart"/>
      <w:r>
        <w:rPr>
          <w:rtl/>
        </w:rPr>
        <w:t>בייסען</w:t>
      </w:r>
      <w:proofErr w:type="spellEnd"/>
      <w:r>
        <w:rPr>
          <w:rtl/>
        </w:rPr>
        <w:t xml:space="preserve"> אין </w:t>
      </w:r>
      <w:proofErr w:type="spellStart"/>
      <w:r>
        <w:rPr>
          <w:rtl/>
        </w:rPr>
        <w:t>פערענע</w:t>
      </w:r>
      <w:proofErr w:type="spellEnd"/>
      <w:r>
        <w:rPr>
          <w:rtl/>
        </w:rPr>
        <w:t xml:space="preserve"> – כנראה במשמעות של חריקת שיניים מתחת לכסות, בצנעה]’”. המרואיין הוסיף שר׳ </w:t>
      </w:r>
      <w:proofErr w:type="spellStart"/>
      <w:r>
        <w:rPr>
          <w:rtl/>
        </w:rPr>
        <w:t>יחיאל־יעקב</w:t>
      </w:r>
      <w:proofErr w:type="spellEnd"/>
      <w:r>
        <w:rPr>
          <w:rtl/>
        </w:rPr>
        <w:t xml:space="preserve"> ויינברג “נאלץ לעזוב את ליטא בגלל הגירושים”</w:t>
      </w:r>
      <w:bookmarkStart w:id="5042" w:name="_fnr3728"/>
      <w:r>
        <w:rPr>
          <w:vertAlign w:val="superscript"/>
          <w:rtl/>
        </w:rPr>
        <w:footnoteReference w:id="3736" w:customMarkFollows="0"/>
      </w:r>
      <w:bookmarkEnd w:id="5042"/>
      <w:r>
        <w:rPr>
          <w:rtl/>
        </w:rPr>
        <w:t>.</w:t>
      </w:r>
    </w:p>
    <w:p w14:paraId="78A51FF0" w14:textId="77777777" w:rsidR="00AB3647" w:rsidRDefault="00000000" w:rsidP="007923E9">
      <w:pPr>
        <w:spacing w:after="120" w:line="276" w:lineRule="auto"/>
        <w:ind w:firstLine="283"/>
        <w:jc w:val="both"/>
      </w:pPr>
      <w:r>
        <w:rPr>
          <w:rtl/>
        </w:rPr>
        <w:t xml:space="preserve">ראיה לגדולת ר׳ </w:t>
      </w:r>
      <w:proofErr w:type="spellStart"/>
      <w:r>
        <w:rPr>
          <w:rtl/>
        </w:rPr>
        <w:t>יחיאל־יעקב</w:t>
      </w:r>
      <w:proofErr w:type="spellEnd"/>
      <w:r>
        <w:rPr>
          <w:rtl/>
        </w:rPr>
        <w:t xml:space="preserve"> ויינברג בתורה היא העובדה – לפי מה שסיפר ר׳ </w:t>
      </w:r>
      <w:proofErr w:type="spellStart"/>
      <w:r>
        <w:rPr>
          <w:rtl/>
        </w:rPr>
        <w:t>שמואל־חיים</w:t>
      </w:r>
      <w:proofErr w:type="spellEnd"/>
      <w:r>
        <w:rPr>
          <w:rtl/>
        </w:rPr>
        <w:t xml:space="preserve"> דומב</w:t>
      </w:r>
      <w:bookmarkStart w:id="5043" w:name="_fnr3729"/>
      <w:r>
        <w:rPr>
          <w:vertAlign w:val="superscript"/>
          <w:rtl/>
        </w:rPr>
        <w:footnoteReference w:id="3737" w:customMarkFollows="0"/>
      </w:r>
      <w:bookmarkEnd w:id="5043"/>
      <w:r>
        <w:rPr>
          <w:rtl/>
        </w:rPr>
        <w:t xml:space="preserve">, ששמע זאת מקרוב משפחה של ר׳ </w:t>
      </w:r>
      <w:proofErr w:type="spellStart"/>
      <w:r>
        <w:rPr>
          <w:rtl/>
        </w:rPr>
        <w:t>יחיאל־יעקב</w:t>
      </w:r>
      <w:proofErr w:type="spellEnd"/>
      <w:r>
        <w:rPr>
          <w:rtl/>
        </w:rPr>
        <w:t xml:space="preserve"> – שר׳ </w:t>
      </w:r>
      <w:proofErr w:type="spellStart"/>
      <w:r>
        <w:rPr>
          <w:rtl/>
        </w:rPr>
        <w:t>יחיאל־יעקב</w:t>
      </w:r>
      <w:proofErr w:type="spellEnd"/>
      <w:r>
        <w:rPr>
          <w:rtl/>
        </w:rPr>
        <w:t xml:space="preserve"> דחה הצעות לכהונות רבניות בכירות בישראל, ובהן הצעת חברו ללימודים לשעבר ר׳ </w:t>
      </w:r>
      <w:proofErr w:type="spellStart"/>
      <w:r>
        <w:rPr>
          <w:rtl/>
        </w:rPr>
        <w:t>לייזר־יודל</w:t>
      </w:r>
      <w:proofErr w:type="spellEnd"/>
      <w:r>
        <w:rPr>
          <w:rtl/>
        </w:rPr>
        <w:t xml:space="preserve"> </w:t>
      </w:r>
      <w:proofErr w:type="spellStart"/>
      <w:r>
        <w:rPr>
          <w:rtl/>
        </w:rPr>
        <w:t>פינקל</w:t>
      </w:r>
      <w:proofErr w:type="spellEnd"/>
      <w:r>
        <w:rPr>
          <w:rtl/>
        </w:rPr>
        <w:t xml:space="preserve"> למסור שיעורים קבועים בישיבת </w:t>
      </w:r>
      <w:proofErr w:type="spellStart"/>
      <w:r>
        <w:rPr>
          <w:rtl/>
        </w:rPr>
        <w:t>מיר</w:t>
      </w:r>
      <w:proofErr w:type="spellEnd"/>
      <w:r>
        <w:rPr>
          <w:rtl/>
        </w:rPr>
        <w:t xml:space="preserve"> בירושלים. (המרואיין אמר שר׳ </w:t>
      </w:r>
      <w:proofErr w:type="spellStart"/>
      <w:r>
        <w:rPr>
          <w:rtl/>
        </w:rPr>
        <w:t>יחיאל־יעקב</w:t>
      </w:r>
      <w:proofErr w:type="spellEnd"/>
      <w:r>
        <w:rPr>
          <w:rtl/>
        </w:rPr>
        <w:t xml:space="preserve"> סירב מפני שאשתו לשעבר כבר התגוררה בישראל.)</w:t>
      </w:r>
    </w:p>
    <w:p w14:paraId="71C72AF4" w14:textId="77777777" w:rsidR="00AB3647" w:rsidRDefault="00000000" w:rsidP="007923E9">
      <w:pPr>
        <w:spacing w:after="120" w:line="276" w:lineRule="auto"/>
        <w:ind w:firstLine="283"/>
        <w:jc w:val="both"/>
      </w:pPr>
      <w:r>
        <w:rPr>
          <w:rtl/>
        </w:rPr>
        <w:t xml:space="preserve">כדוגמה למעמדו של ר׳ </w:t>
      </w:r>
      <w:proofErr w:type="spellStart"/>
      <w:r>
        <w:rPr>
          <w:rtl/>
        </w:rPr>
        <w:t>יחיאל־יעקב</w:t>
      </w:r>
      <w:proofErr w:type="spellEnd"/>
      <w:r>
        <w:rPr>
          <w:rtl/>
        </w:rPr>
        <w:t xml:space="preserve"> ויינברג </w:t>
      </w:r>
      <w:proofErr w:type="spellStart"/>
      <w:r>
        <w:rPr>
          <w:rtl/>
        </w:rPr>
        <w:t>בסלבודקה</w:t>
      </w:r>
      <w:proofErr w:type="spellEnd"/>
      <w:r>
        <w:rPr>
          <w:rtl/>
        </w:rPr>
        <w:t xml:space="preserve">, סיפר ר׳ חיים </w:t>
      </w:r>
      <w:proofErr w:type="spellStart"/>
      <w:r>
        <w:rPr>
          <w:rtl/>
        </w:rPr>
        <w:t>סרנא</w:t>
      </w:r>
      <w:proofErr w:type="spellEnd"/>
      <w:r>
        <w:rPr>
          <w:rtl/>
        </w:rPr>
        <w:t xml:space="preserve"> שסבו ר׳ </w:t>
      </w:r>
      <w:proofErr w:type="spellStart"/>
      <w:r>
        <w:rPr>
          <w:rtl/>
        </w:rPr>
        <w:t>משה־מרדכי</w:t>
      </w:r>
      <w:proofErr w:type="spellEnd"/>
      <w:r>
        <w:rPr>
          <w:rtl/>
        </w:rPr>
        <w:t xml:space="preserve"> אפשטיין לקח פעם את ר׳ </w:t>
      </w:r>
      <w:proofErr w:type="spellStart"/>
      <w:r>
        <w:rPr>
          <w:rtl/>
        </w:rPr>
        <w:t>יחיאל־יעקב</w:t>
      </w:r>
      <w:proofErr w:type="spellEnd"/>
      <w:r>
        <w:rPr>
          <w:rtl/>
        </w:rPr>
        <w:t xml:space="preserve">, שהיה נואם מלהיב, למסע גיוס כספים במוסקבה. כשכינה ר׳ </w:t>
      </w:r>
      <w:proofErr w:type="spellStart"/>
      <w:r>
        <w:rPr>
          <w:rtl/>
        </w:rPr>
        <w:t>יחיאל־יעקב</w:t>
      </w:r>
      <w:proofErr w:type="spellEnd"/>
      <w:r>
        <w:rPr>
          <w:rtl/>
        </w:rPr>
        <w:t xml:space="preserve"> את ראש ישיבתו “רבי”, קם ר׳ </w:t>
      </w:r>
      <w:proofErr w:type="spellStart"/>
      <w:r>
        <w:rPr>
          <w:rtl/>
        </w:rPr>
        <w:t>משה־מרדכי</w:t>
      </w:r>
      <w:proofErr w:type="spellEnd"/>
      <w:r>
        <w:rPr>
          <w:rtl/>
        </w:rPr>
        <w:t xml:space="preserve"> אפשטיין ומחה שהנואם גדול מכדי שייחשב תלמידו. מעשה זה הוא גם דוגמה לענוותו ולצדקותו של ר׳ </w:t>
      </w:r>
      <w:proofErr w:type="spellStart"/>
      <w:r>
        <w:rPr>
          <w:rtl/>
        </w:rPr>
        <w:t>משה־מרדכי</w:t>
      </w:r>
      <w:proofErr w:type="spellEnd"/>
      <w:r>
        <w:rPr>
          <w:rtl/>
        </w:rPr>
        <w:t xml:space="preserve">. המסע למוסקבה נזכר במכתב של ר׳ </w:t>
      </w:r>
      <w:proofErr w:type="spellStart"/>
      <w:r>
        <w:rPr>
          <w:rtl/>
        </w:rPr>
        <w:t>יחיאל־יעקב</w:t>
      </w:r>
      <w:proofErr w:type="spellEnd"/>
      <w:r>
        <w:rPr>
          <w:rtl/>
        </w:rPr>
        <w:t xml:space="preserve"> ויינברג </w:t>
      </w:r>
      <w:proofErr w:type="spellStart"/>
      <w:r>
        <w:rPr>
          <w:rtl/>
        </w:rPr>
        <w:t>לר</w:t>
      </w:r>
      <w:proofErr w:type="spellEnd"/>
      <w:r>
        <w:rPr>
          <w:rtl/>
        </w:rPr>
        <w:t xml:space="preserve">׳ דב כץ, מחבר “תנועת המוסר”, שנדפס </w:t>
      </w:r>
      <w:proofErr w:type="spellStart"/>
      <w:r>
        <w:rPr>
          <w:rtl/>
        </w:rPr>
        <w:t>ב“פרקי</w:t>
      </w:r>
      <w:proofErr w:type="spellEnd"/>
      <w:r>
        <w:rPr>
          <w:rtl/>
        </w:rPr>
        <w:t xml:space="preserve"> חיים [ויינברג]”</w:t>
      </w:r>
      <w:bookmarkStart w:id="5044" w:name="_fnr3730"/>
      <w:r>
        <w:rPr>
          <w:vertAlign w:val="superscript"/>
          <w:rtl/>
        </w:rPr>
        <w:footnoteReference w:id="3738" w:customMarkFollows="0"/>
      </w:r>
      <w:bookmarkEnd w:id="5044"/>
      <w:r>
        <w:rPr>
          <w:rtl/>
        </w:rPr>
        <w:t>: מסופר בו כיצד שהו שניהם “[שם] כשישה שבועות והצלחנו מאוד”.</w:t>
      </w:r>
    </w:p>
    <w:bookmarkStart w:id="5045" w:name="b4_excF"/>
    <w:bookmarkStart w:id="5046" w:name="b4_annexF"/>
    <w:p w14:paraId="00C7BAB8" w14:textId="77777777" w:rsidR="00AB3647" w:rsidRDefault="00000000" w:rsidP="007923E9">
      <w:pPr>
        <w:pStyle w:val="3"/>
        <w:spacing w:line="276" w:lineRule="auto"/>
      </w:pPr>
      <w:r>
        <w:lastRenderedPageBreak/>
        <w:fldChar w:fldCharType="begin" w:dirty="true"/>
      </w:r>
      <w:r>
        <w:rPr>
          <w:rtl w:val="0"/>
        </w:rPr>
        <w:instrText>HYPERLINK \l "b4_note45</w:instrText>
      </w:r>
      <w:r>
        <w:instrText>"</w:instrText>
      </w:r>
      <w:r>
        <w:fldChar w:fldCharType="separate"/>
      </w:r>
      <w:r>
        <w:t>נספח ו</w:t>
      </w:r>
      <w:r>
        <w:fldChar w:fldCharType="end"/>
      </w:r>
      <w:bookmarkEnd w:id="5045"/>
      <w:bookmarkEnd w:id="5046"/>
    </w:p>
    <w:p w14:paraId="0952E3DD" w14:textId="77777777" w:rsidR="00AB3647" w:rsidRDefault="00000000" w:rsidP="007923E9">
      <w:pPr>
        <w:pStyle w:val="af"/>
        <w:spacing w:line="276" w:lineRule="auto"/>
      </w:pPr>
      <w:r>
        <w:t xml:space="preserve">על תעניות שקיבל הסבא על עצמו למען תלמידיו ועל תעניות בנו ר׳ </w:t>
      </w:r>
      <w:proofErr w:type="spellStart"/>
      <w:r>
        <w:t>לייזר־יודל</w:t>
      </w:r>
      <w:proofErr w:type="spellEnd"/>
    </w:p>
    <w:p w14:paraId="4BFC3F8C" w14:textId="77777777" w:rsidR="00AB3647" w:rsidRDefault="00000000" w:rsidP="007923E9">
      <w:pPr>
        <w:pStyle w:val="4"/>
        <w:spacing w:line="276" w:lineRule="auto"/>
      </w:pPr>
      <w:r>
        <w:t>· הפסקה הראשונה ·</w:t>
      </w:r>
    </w:p>
    <w:p w14:paraId="271EADEC" w14:textId="77777777" w:rsidR="00AB3647" w:rsidRDefault="00000000" w:rsidP="007923E9">
      <w:pPr>
        <w:pStyle w:val="5"/>
        <w:spacing w:line="276" w:lineRule="auto"/>
      </w:pPr>
      <w:r>
        <w:rPr>
          <w:bCs/>
          <w:szCs w:val="26"/>
        </w:rPr>
        <w:t>הסבא מסרב לסלק תלמיד באופן רשמי – הוא מנסה להשיב את בנו שסרח</w:t>
      </w:r>
    </w:p>
    <w:p w14:paraId="5F03009D" w14:textId="77777777" w:rsidR="00AB3647" w:rsidRDefault="00000000" w:rsidP="007923E9">
      <w:pPr>
        <w:spacing w:after="120" w:line="276" w:lineRule="auto"/>
        <w:ind w:firstLine="283"/>
        <w:jc w:val="both"/>
      </w:pPr>
      <w:r>
        <w:rPr>
          <w:rtl/>
        </w:rPr>
        <w:t xml:space="preserve">ר׳ אליהו </w:t>
      </w:r>
      <w:proofErr w:type="spellStart"/>
      <w:r>
        <w:rPr>
          <w:rtl/>
        </w:rPr>
        <w:t>באומוולשפינר</w:t>
      </w:r>
      <w:bookmarkStart w:id="5047" w:name="_fnr3731"/>
      <w:proofErr w:type="spellEnd"/>
      <w:r>
        <w:rPr>
          <w:vertAlign w:val="superscript"/>
          <w:rtl/>
        </w:rPr>
        <w:footnoteReference w:id="3739" w:customMarkFollows="0"/>
      </w:r>
      <w:bookmarkEnd w:id="5047"/>
      <w:r>
        <w:rPr>
          <w:rtl/>
        </w:rPr>
        <w:t xml:space="preserve"> בשם אבי. רבנו סיפר את המעשה המעניין הבא: “היה בחור אחד שהיה ידוע כמחלל שבת, בעשנו בחדרו </w:t>
      </w:r>
      <w:proofErr w:type="spellStart"/>
      <w:r>
        <w:rPr>
          <w:rtl/>
        </w:rPr>
        <w:t>בפרהסיא</w:t>
      </w:r>
      <w:proofErr w:type="spellEnd"/>
      <w:r>
        <w:rPr>
          <w:rtl/>
        </w:rPr>
        <w:t xml:space="preserve"> ממש, והבחורים האחרים הצטערו על כך. כשנודע לתלמידיו הקרובים של הסבא שייעדר מן הישיבה בשבת אחת, ניצלו את היעדרות רבם, השליכו החוצה את כל חפציו של מחלל השבת והזהירוהו שלא ישוב לעולם. כשחזר הסבא ונודע לו מה אירע, כינס את התלמידים המבוגרים, וישב בקצה אחד של שולחנו הארוך, כשר׳ </w:t>
      </w:r>
      <w:proofErr w:type="spellStart"/>
      <w:r>
        <w:rPr>
          <w:rtl/>
        </w:rPr>
        <w:t>משה־מרדכי</w:t>
      </w:r>
      <w:proofErr w:type="spellEnd"/>
      <w:r>
        <w:rPr>
          <w:rtl/>
        </w:rPr>
        <w:t xml:space="preserve"> אפשטיין בקצה השני. הוא הכריז רשמית שדרכה של הישיבה היא: ‘ימין מקרבת’</w:t>
      </w:r>
      <w:bookmarkStart w:id="5048" w:name="_fnr3732"/>
      <w:r>
        <w:rPr>
          <w:vertAlign w:val="superscript"/>
          <w:rtl/>
        </w:rPr>
        <w:footnoteReference w:id="3740" w:customMarkFollows="0"/>
      </w:r>
      <w:bookmarkEnd w:id="5048"/>
      <w:r>
        <w:rPr>
          <w:rtl/>
        </w:rPr>
        <w:t>. ‘איננו מסלקים איש’, אמר. היה ברור שהיה מרוצה ממה שעשו הבחורים, ולמעשה, בכך שנעדר היה שותף סביל למעשיהם; ואף על פי כן רצה להבהיר שדרכה העקרונית של הישיבה לא השתנתה”.</w:t>
      </w:r>
    </w:p>
    <w:p w14:paraId="113B64A0" w14:textId="77777777" w:rsidR="00AB3647" w:rsidRDefault="00000000" w:rsidP="007923E9">
      <w:pPr>
        <w:spacing w:after="120" w:line="276" w:lineRule="auto"/>
        <w:ind w:firstLine="283"/>
        <w:jc w:val="both"/>
      </w:pPr>
      <w:r>
        <w:rPr>
          <w:rtl/>
        </w:rPr>
        <w:t>ברשימותיו של ר׳ משה גרוסמן</w:t>
      </w:r>
      <w:bookmarkStart w:id="5049" w:name="_fnr3733"/>
      <w:bookmarkStart w:id="5050" w:name="pr_f_3623"/>
      <w:r>
        <w:rPr>
          <w:vertAlign w:val="superscript"/>
          <w:rtl/>
        </w:rPr>
        <w:footnoteReference w:id="3741" w:customMarkFollows="0"/>
      </w:r>
      <w:bookmarkEnd w:id="5049"/>
      <w:bookmarkEnd w:id="5050"/>
      <w:r>
        <w:rPr>
          <w:rtl/>
        </w:rPr>
        <w:t xml:space="preserve"> מובא בשם ר׳ </w:t>
      </w:r>
      <w:proofErr w:type="spellStart"/>
      <w:r>
        <w:rPr>
          <w:rtl/>
        </w:rPr>
        <w:t>יעקב־יצחק</w:t>
      </w:r>
      <w:proofErr w:type="spellEnd"/>
      <w:r>
        <w:rPr>
          <w:rtl/>
        </w:rPr>
        <w:t xml:space="preserve"> </w:t>
      </w:r>
      <w:proofErr w:type="spellStart"/>
      <w:r>
        <w:rPr>
          <w:rtl/>
        </w:rPr>
        <w:t>רודרמן</w:t>
      </w:r>
      <w:proofErr w:type="spellEnd"/>
      <w:r>
        <w:rPr>
          <w:rtl/>
        </w:rPr>
        <w:t xml:space="preserve">: “איני זוכר שהסבא סילק בחור אי פעם, מלבד אחד – תלמיד שלא השתחווה באמירת ‘ואנחנו כורעים’ בתפילת עלינו בימים הנוראים, כמנהג”. ר׳ </w:t>
      </w:r>
      <w:proofErr w:type="spellStart"/>
      <w:r>
        <w:rPr>
          <w:rtl/>
        </w:rPr>
        <w:t>יעקב־יצחק</w:t>
      </w:r>
      <w:proofErr w:type="spellEnd"/>
      <w:r>
        <w:rPr>
          <w:rtl/>
        </w:rPr>
        <w:t xml:space="preserve"> לא ביאר מדוע עבֵרה קלה כזאת הייתה ראויה לסילוק. תהיה הסיבה אשר תהיה, ייתכן שאבי לא היה עד למעשה, מפני שאפשר שאירע בזמן שהיה </w:t>
      </w:r>
      <w:proofErr w:type="spellStart"/>
      <w:r>
        <w:rPr>
          <w:rtl/>
        </w:rPr>
        <w:t>בקרינק</w:t>
      </w:r>
      <w:proofErr w:type="spellEnd"/>
      <w:r>
        <w:rPr>
          <w:rtl/>
        </w:rPr>
        <w:t xml:space="preserve"> או </w:t>
      </w:r>
      <w:proofErr w:type="spellStart"/>
      <w:r>
        <w:rPr>
          <w:rtl/>
        </w:rPr>
        <w:t>בלומז׳ה</w:t>
      </w:r>
      <w:bookmarkStart w:id="5051" w:name="_fnr3734"/>
      <w:proofErr w:type="spellEnd"/>
      <w:r>
        <w:rPr>
          <w:vertAlign w:val="superscript"/>
          <w:rtl/>
        </w:rPr>
        <w:footnoteReference w:id="3742" w:customMarkFollows="0"/>
      </w:r>
      <w:bookmarkEnd w:id="5051"/>
      <w:r>
        <w:rPr>
          <w:rtl/>
        </w:rPr>
        <w:t xml:space="preserve">, ור׳ </w:t>
      </w:r>
      <w:proofErr w:type="spellStart"/>
      <w:r>
        <w:rPr>
          <w:rtl/>
        </w:rPr>
        <w:t>יעקב־יצחק</w:t>
      </w:r>
      <w:proofErr w:type="spellEnd"/>
      <w:r>
        <w:rPr>
          <w:rtl/>
        </w:rPr>
        <w:t xml:space="preserve"> </w:t>
      </w:r>
      <w:proofErr w:type="spellStart"/>
      <w:r>
        <w:rPr>
          <w:rtl/>
        </w:rPr>
        <w:t>רודרמן</w:t>
      </w:r>
      <w:proofErr w:type="spellEnd"/>
      <w:r>
        <w:rPr>
          <w:rtl/>
        </w:rPr>
        <w:t xml:space="preserve"> היה בכנסת ישראל [לאחר שהצטרף אליה במינסק בתחילת מלחמת העולם הראשונה]. ר׳ </w:t>
      </w:r>
      <w:proofErr w:type="spellStart"/>
      <w:r>
        <w:rPr>
          <w:rtl/>
        </w:rPr>
        <w:t>יעקב־יצחק</w:t>
      </w:r>
      <w:proofErr w:type="spellEnd"/>
      <w:r>
        <w:rPr>
          <w:rtl/>
        </w:rPr>
        <w:t xml:space="preserve"> לא ידע על המעשה שתיאר אבי, מפני שאירע לפני המלחמה, בטרם נכנס לישיבה.</w:t>
      </w:r>
    </w:p>
    <w:p w14:paraId="2E8FFC95" w14:textId="77777777" w:rsidR="00AB3647" w:rsidRDefault="00000000" w:rsidP="007923E9">
      <w:pPr>
        <w:spacing w:after="120" w:line="276" w:lineRule="auto"/>
        <w:ind w:firstLine="283"/>
        <w:jc w:val="both"/>
      </w:pPr>
      <w:r>
        <w:rPr>
          <w:rtl/>
        </w:rPr>
        <w:t>כץ, “תנועת המוסר”, כרך ג</w:t>
      </w:r>
      <w:bookmarkStart w:id="5052" w:name="_fnr3735"/>
      <w:r>
        <w:rPr>
          <w:vertAlign w:val="superscript"/>
          <w:rtl/>
        </w:rPr>
        <w:footnoteReference w:id="3743" w:customMarkFollows="0"/>
      </w:r>
      <w:bookmarkEnd w:id="5052"/>
      <w:r>
        <w:rPr>
          <w:rtl/>
        </w:rPr>
        <w:t>, מספר שאנשים השתוממו לראות כיצד סובל הסבא במשך שנים תלמידים שבעיניהם היו חסרי תקנה. שם</w:t>
      </w:r>
      <w:bookmarkStart w:id="5053" w:name="_fnr3736"/>
      <w:r>
        <w:rPr>
          <w:vertAlign w:val="superscript"/>
          <w:rtl/>
        </w:rPr>
        <w:footnoteReference w:id="3744" w:customMarkFollows="0"/>
      </w:r>
      <w:bookmarkEnd w:id="5053"/>
      <w:r>
        <w:rPr>
          <w:rtl/>
        </w:rPr>
        <w:t xml:space="preserve"> מסופר: “כשעזב בנו של הסבא, רוּבֶלֶה, את הישיבה ואת הארץ</w:t>
      </w:r>
      <w:bookmarkStart w:id="5054" w:name="_fnr3737"/>
      <w:r>
        <w:rPr>
          <w:vertAlign w:val="superscript"/>
          <w:rtl/>
        </w:rPr>
        <w:footnoteReference w:id="3745" w:customMarkFollows="0"/>
      </w:r>
      <w:bookmarkEnd w:id="5054"/>
      <w:r>
        <w:rPr>
          <w:rtl/>
        </w:rPr>
        <w:t>, הצטער הסבא כל ימיו על שהניח לו ללכת. גם לאחר שעבר הסבא לארץ ישראל בקיץ תרפ״ה, עדיין היה הוגה תוכניות להשיבו”. מפליא שהסבא עדיין תלה תקווה באדם בן שלושים וחמש, שכבר היה פורש רוב ימיו.</w:t>
      </w:r>
    </w:p>
    <w:p w14:paraId="64D9AB48" w14:textId="77777777" w:rsidR="00AB3647" w:rsidRDefault="00000000" w:rsidP="007923E9">
      <w:pPr>
        <w:pStyle w:val="4"/>
        <w:spacing w:line="276" w:lineRule="auto"/>
      </w:pPr>
      <w:r>
        <w:lastRenderedPageBreak/>
        <w:t>· הפסקה השנייה ·</w:t>
      </w:r>
    </w:p>
    <w:p w14:paraId="0D8CCA1E" w14:textId="77777777" w:rsidR="00AB3647" w:rsidRDefault="00000000" w:rsidP="007923E9">
      <w:pPr>
        <w:pStyle w:val="5"/>
        <w:spacing w:line="276" w:lineRule="auto"/>
      </w:pPr>
      <w:r>
        <w:rPr>
          <w:bCs/>
          <w:szCs w:val="26"/>
        </w:rPr>
        <w:t>הסבא דוחק החוצה קבוצה מרדנית</w:t>
      </w:r>
    </w:p>
    <w:p w14:paraId="6D329605" w14:textId="77777777" w:rsidR="00AB3647" w:rsidRDefault="00000000" w:rsidP="007923E9">
      <w:pPr>
        <w:spacing w:after="120" w:line="276" w:lineRule="auto"/>
        <w:ind w:firstLine="283"/>
        <w:jc w:val="both"/>
      </w:pPr>
      <w:r>
        <w:rPr>
          <w:rtl/>
        </w:rPr>
        <w:t>ההימנעות מסילוק תלמידים נהגה בזמנים רגילים ואפילו בזמנים קשים</w:t>
      </w:r>
      <w:bookmarkStart w:id="5055" w:name="_fnr3738"/>
      <w:r>
        <w:rPr>
          <w:vertAlign w:val="superscript"/>
          <w:rtl/>
        </w:rPr>
        <w:footnoteReference w:id="3746" w:customMarkFollows="0"/>
      </w:r>
      <w:bookmarkEnd w:id="5055"/>
      <w:r>
        <w:rPr>
          <w:rtl/>
        </w:rPr>
        <w:t xml:space="preserve">. אולם השווה פרק 3, הערה 56, על דרך טיפולו של הסבא בתלמידים מרדניים בתקופה הקריטית, באמצע שנות </w:t>
      </w:r>
      <w:proofErr w:type="spellStart"/>
      <w:r>
        <w:rPr>
          <w:rtl/>
        </w:rPr>
        <w:t>התר״ס</w:t>
      </w:r>
      <w:proofErr w:type="spellEnd"/>
      <w:r>
        <w:rPr>
          <w:rtl/>
        </w:rPr>
        <w:t>.</w:t>
      </w:r>
    </w:p>
    <w:p w14:paraId="48B235B4" w14:textId="77777777" w:rsidR="00AB3647" w:rsidRDefault="00000000" w:rsidP="007923E9">
      <w:pPr>
        <w:pStyle w:val="4"/>
        <w:spacing w:line="276" w:lineRule="auto"/>
      </w:pPr>
      <w:r>
        <w:t>· הפסקה השלישית ·</w:t>
      </w:r>
    </w:p>
    <w:p w14:paraId="77C305D7" w14:textId="77777777" w:rsidR="00AB3647" w:rsidRDefault="00000000" w:rsidP="007923E9">
      <w:pPr>
        <w:pStyle w:val="5"/>
        <w:spacing w:line="276" w:lineRule="auto"/>
      </w:pPr>
      <w:r>
        <w:rPr>
          <w:bCs/>
          <w:szCs w:val="26"/>
        </w:rPr>
        <w:t xml:space="preserve">הסבא מתפלל על תלמידים מיוחדים – בעקבות תקלה לומד ר׳ </w:t>
      </w:r>
      <w:proofErr w:type="spellStart"/>
      <w:r>
        <w:rPr>
          <w:bCs/>
          <w:szCs w:val="26"/>
        </w:rPr>
        <w:t>יחיאל־יעקב</w:t>
      </w:r>
      <w:proofErr w:type="spellEnd"/>
      <w:r>
        <w:rPr>
          <w:bCs/>
          <w:szCs w:val="26"/>
        </w:rPr>
        <w:t xml:space="preserve"> ויינברג רוסית – הוא משתכנע שלמד די רוסית – לימוד הרוסית מוביל אותו בעקיפין לנישואים אומללים – הסבא מדריך משגיח לעתיד</w:t>
      </w:r>
    </w:p>
    <w:p w14:paraId="0FC405F0" w14:textId="77777777" w:rsidR="00AB3647" w:rsidRDefault="00000000" w:rsidP="007923E9">
      <w:pPr>
        <w:spacing w:after="120" w:line="276" w:lineRule="auto"/>
        <w:ind w:firstLine="283"/>
        <w:jc w:val="both"/>
      </w:pPr>
      <w:r>
        <w:rPr>
          <w:rtl/>
        </w:rPr>
        <w:t xml:space="preserve">ר׳ </w:t>
      </w:r>
      <w:proofErr w:type="spellStart"/>
      <w:r>
        <w:rPr>
          <w:rtl/>
        </w:rPr>
        <w:t>שמואל־חיים</w:t>
      </w:r>
      <w:proofErr w:type="spellEnd"/>
      <w:r>
        <w:rPr>
          <w:rtl/>
        </w:rPr>
        <w:t xml:space="preserve"> דומב סיפר</w:t>
      </w:r>
      <w:bookmarkStart w:id="5056" w:name="_fnr3739"/>
      <w:r>
        <w:rPr>
          <w:vertAlign w:val="superscript"/>
          <w:rtl/>
        </w:rPr>
        <w:footnoteReference w:id="3747" w:customMarkFollows="0"/>
      </w:r>
      <w:bookmarkEnd w:id="5056"/>
      <w:r>
        <w:rPr>
          <w:rtl/>
        </w:rPr>
        <w:t xml:space="preserve"> שפעם הבחינו התלמידים </w:t>
      </w:r>
      <w:proofErr w:type="spellStart"/>
      <w:r>
        <w:rPr>
          <w:rtl/>
        </w:rPr>
        <w:t>בסלבודקה</w:t>
      </w:r>
      <w:proofErr w:type="spellEnd"/>
      <w:r>
        <w:rPr>
          <w:rtl/>
        </w:rPr>
        <w:t xml:space="preserve"> שהסבא מביט בפתק בסוף תפילת </w:t>
      </w:r>
      <w:proofErr w:type="spellStart"/>
      <w:r>
        <w:rPr>
          <w:rtl/>
        </w:rPr>
        <w:t>שמונה־עשרה</w:t>
      </w:r>
      <w:proofErr w:type="spellEnd"/>
      <w:r>
        <w:rPr>
          <w:rtl/>
        </w:rPr>
        <w:t xml:space="preserve">. הם חיכו לשעה שבה הסיר את מעילו (כשיצא לבית הכיסא) כדי לחטט בכיסיו, ומצאו פתק ובו שמות חמישה עילויים שהתפלל עליהם. שלושה מהם היו ר׳ </w:t>
      </w:r>
      <w:proofErr w:type="spellStart"/>
      <w:r>
        <w:rPr>
          <w:rtl/>
        </w:rPr>
        <w:t>יחיאל־יעקב</w:t>
      </w:r>
      <w:proofErr w:type="spellEnd"/>
      <w:r>
        <w:rPr>
          <w:rtl/>
        </w:rPr>
        <w:t xml:space="preserve"> ויינברג, ר׳ אהרן קוטלר ור׳ </w:t>
      </w:r>
      <w:proofErr w:type="spellStart"/>
      <w:r>
        <w:rPr>
          <w:rtl/>
        </w:rPr>
        <w:t>אברהם־אליהו</w:t>
      </w:r>
      <w:proofErr w:type="spellEnd"/>
      <w:r>
        <w:rPr>
          <w:rtl/>
        </w:rPr>
        <w:t xml:space="preserve"> קפלן. רשימותיו של ר׳ משה גרוסמן</w:t>
      </w:r>
      <w:bookmarkStart w:id="5057" w:name="_fnr3740"/>
      <w:r>
        <w:rPr>
          <w:vertAlign w:val="superscript"/>
          <w:rtl/>
        </w:rPr>
        <w:footnoteReference w:id="3748" w:customMarkFollows="0"/>
      </w:r>
      <w:bookmarkEnd w:id="5057"/>
      <w:r>
        <w:rPr>
          <w:rtl/>
        </w:rPr>
        <w:t xml:space="preserve"> מתעדות גם שהסבא קיבל עליו תעניות למען יראת השמים של כמה תלמידים. הוא היה מתענה תעניות יחיד לעיתים קרובות.</w:t>
      </w:r>
    </w:p>
    <w:p w14:paraId="6E249357" w14:textId="25600426" w:rsidR="00AB3647" w:rsidRDefault="00000000" w:rsidP="007923E9">
      <w:pPr>
        <w:spacing w:after="120" w:line="276" w:lineRule="auto"/>
        <w:ind w:firstLine="283"/>
        <w:jc w:val="both"/>
      </w:pPr>
      <w:r>
        <w:rPr>
          <w:rtl/>
        </w:rPr>
        <w:t>כץ, “תנועת המוסר”, כרך ג</w:t>
      </w:r>
      <w:bookmarkStart w:id="5058" w:name="_fnr3741"/>
      <w:r>
        <w:rPr>
          <w:vertAlign w:val="superscript"/>
          <w:rtl/>
        </w:rPr>
        <w:footnoteReference w:id="3749" w:customMarkFollows="0"/>
      </w:r>
      <w:bookmarkEnd w:id="5058"/>
      <w:r>
        <w:rPr>
          <w:rtl/>
        </w:rPr>
        <w:t>, מספר שגילה “למקורביו שאחד מטובי התלמידים עלה לו בבריאות לבו” – הוא חלה מרוב דאגה ותפילה על התלמיד. ר׳ זליג ברקוביץ אמר</w:t>
      </w:r>
      <w:bookmarkStart w:id="5059" w:name="_fnr3742"/>
      <w:r>
        <w:rPr>
          <w:vertAlign w:val="superscript"/>
          <w:rtl/>
        </w:rPr>
        <w:footnoteReference w:id="3750" w:customMarkFollows="0"/>
      </w:r>
      <w:bookmarkEnd w:id="5059"/>
      <w:r>
        <w:rPr>
          <w:rtl/>
        </w:rPr>
        <w:t xml:space="preserve"> בשם רבנו שהסבא פנה פעם אל ר׳ אהרן קוטלר – “מקורב” </w:t>
      </w:r>
      <w:proofErr w:type="spellStart"/>
      <w:r>
        <w:rPr>
          <w:rtl/>
        </w:rPr>
        <w:t>ו“מטובי</w:t>
      </w:r>
      <w:proofErr w:type="spellEnd"/>
      <w:r>
        <w:rPr>
          <w:rtl/>
        </w:rPr>
        <w:t xml:space="preserve"> התלמידים” – ואמר: “האם אתה יודע כמה תעניות התעניתי בעבורך?” השווה הערה </w:t>
      </w:r>
      <w:r>
        <w:rPr>
          <w:rtl/>
        </w:rPr>
        <w:fldChar w:fldCharType="begin" w:dirty="true"/>
      </w:r>
      <w:r>
        <w:rPr>
          <w:rtl/>
        </w:rPr>
        <w:instrText xml:space="preserve"> REF b4_note42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42</w:t>
      </w:r>
      <w:r>
        <w:rPr>
          <w:rtl/>
        </w:rPr>
        <w:fldChar w:fldCharType="end"/>
      </w:r>
      <w:r>
        <w:rPr>
          <w:rtl/>
        </w:rPr>
        <w:t xml:space="preserve"> לעיל ופרק 2, הערה </w:t>
      </w:r>
      <w:r>
        <w:rPr>
          <w:rtl/>
        </w:rPr>
        <w:fldChar w:fldCharType="begin" w:dirty="true"/>
      </w:r>
      <w:r>
        <w:rPr>
          <w:rtl/>
        </w:rPr>
        <w:instrText xml:space="preserve"> REF b2_note106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106</w:t>
      </w:r>
      <w:r>
        <w:rPr>
          <w:rtl/>
        </w:rPr>
        <w:fldChar w:fldCharType="end"/>
      </w:r>
      <w:r>
        <w:rPr>
          <w:rtl/>
        </w:rPr>
        <w:t>, על התקופה בחיי ר׳ אהרן שבה נדרשו אמצעים קיצוניים כאלה, כמו קבלת תעניות למען יראת השמים שלו.</w:t>
      </w:r>
    </w:p>
    <w:p w14:paraId="0C355191" w14:textId="77777777" w:rsidR="00AB3647" w:rsidRDefault="00000000" w:rsidP="007923E9">
      <w:pPr>
        <w:spacing w:after="120" w:line="276" w:lineRule="auto"/>
        <w:ind w:firstLine="283"/>
        <w:jc w:val="both"/>
      </w:pPr>
      <w:r>
        <w:rPr>
          <w:rtl/>
        </w:rPr>
        <w:t xml:space="preserve">ר׳ גרשון </w:t>
      </w:r>
      <w:proofErr w:type="spellStart"/>
      <w:r>
        <w:rPr>
          <w:rtl/>
        </w:rPr>
        <w:t>קרויזר</w:t>
      </w:r>
      <w:bookmarkStart w:id="5060" w:name="_fnr3743"/>
      <w:proofErr w:type="spellEnd"/>
      <w:r>
        <w:rPr>
          <w:vertAlign w:val="superscript"/>
          <w:rtl/>
        </w:rPr>
        <w:footnoteReference w:id="3751" w:customMarkFollows="0"/>
      </w:r>
      <w:bookmarkEnd w:id="5060"/>
      <w:r>
        <w:rPr>
          <w:rtl/>
        </w:rPr>
        <w:t xml:space="preserve"> אמר שרבו ר׳ </w:t>
      </w:r>
      <w:proofErr w:type="spellStart"/>
      <w:r>
        <w:rPr>
          <w:rtl/>
        </w:rPr>
        <w:t>יחיאל־יעקב</w:t>
      </w:r>
      <w:proofErr w:type="spellEnd"/>
      <w:r>
        <w:rPr>
          <w:rtl/>
        </w:rPr>
        <w:t xml:space="preserve"> ויינברג, “איש שיחה טוב”, סיפר לו את המאורע הבא מחייו (המובא כאן בלשון המרואיין): בגיל </w:t>
      </w:r>
      <w:proofErr w:type="spellStart"/>
      <w:r>
        <w:rPr>
          <w:rtl/>
        </w:rPr>
        <w:t>ארבע־עשרה</w:t>
      </w:r>
      <w:proofErr w:type="spellEnd"/>
      <w:r>
        <w:rPr>
          <w:rtl/>
        </w:rPr>
        <w:t xml:space="preserve">, כשלמד בישיבת </w:t>
      </w:r>
      <w:proofErr w:type="spellStart"/>
      <w:r>
        <w:rPr>
          <w:rtl/>
        </w:rPr>
        <w:t>סלבודקה</w:t>
      </w:r>
      <w:proofErr w:type="spellEnd"/>
      <w:r>
        <w:rPr>
          <w:rtl/>
        </w:rPr>
        <w:t xml:space="preserve">, נסע פעם ר׳ </w:t>
      </w:r>
      <w:proofErr w:type="spellStart"/>
      <w:r>
        <w:rPr>
          <w:rtl/>
        </w:rPr>
        <w:t>יחיאל־יעקב</w:t>
      </w:r>
      <w:proofErr w:type="spellEnd"/>
      <w:r>
        <w:rPr>
          <w:rtl/>
        </w:rPr>
        <w:t xml:space="preserve"> ברכבת. הוא רצה לוודא שהרכבת תעצור בעיירה שאליה נסע, וניגש לכרטיסן בשעה שהרכבת נכנסה במקרה לאחת התחנות. בנימת שאלה אמר ר׳ </w:t>
      </w:r>
      <w:proofErr w:type="spellStart"/>
      <w:r>
        <w:rPr>
          <w:rtl/>
        </w:rPr>
        <w:t>יחיאל־יעקב</w:t>
      </w:r>
      <w:proofErr w:type="spellEnd"/>
      <w:r>
        <w:rPr>
          <w:rtl/>
        </w:rPr>
        <w:t xml:space="preserve"> את שם עיירת היעד. מאחר שלא ידע אף מילה ברוסית, הבין ויינברג את תשובת הכרטיסן, “דא”, במשמעותה ביידיש (הקרובה לגרמנית) – “כאן”, ולא במשמעותה ברוסית </w:t>
      </w:r>
      <w:r>
        <w:rPr>
          <w:rtl/>
        </w:rPr>
        <w:lastRenderedPageBreak/>
        <w:t>– “כן”, שבה התכוון הכרטיסן לאשר שהרכבת תגיע לבסוף לאותה עיירה. לפיכך ירד ויינברג מיד, רגע לפני שהרכבת יצאה לדרכה.</w:t>
      </w:r>
    </w:p>
    <w:p w14:paraId="7486DCF2" w14:textId="77777777" w:rsidR="00AB3647" w:rsidRDefault="00000000" w:rsidP="007923E9">
      <w:pPr>
        <w:spacing w:after="120" w:line="276" w:lineRule="auto"/>
        <w:ind w:firstLine="283"/>
        <w:jc w:val="both"/>
      </w:pPr>
      <w:r>
        <w:rPr>
          <w:rtl/>
        </w:rPr>
        <w:t>הוא גילה שהגיע לכפר של גויים, ושם קיבלו אותו בלעג ובהתנכלויות גופניות. עד שהגיעה הרכבת הבאה כעבור כמה שעות וחילצה אותו, כבר החליט שיהודי מוכרח לדעת את לשון הארץ שבה הוא נמצא</w:t>
      </w:r>
      <w:bookmarkStart w:id="5061" w:name="_fnr3744"/>
      <w:r>
        <w:rPr>
          <w:vertAlign w:val="superscript"/>
          <w:rtl/>
        </w:rPr>
        <w:footnoteReference w:id="3752" w:customMarkFollows="0"/>
      </w:r>
      <w:bookmarkEnd w:id="5061"/>
      <w:r>
        <w:rPr>
          <w:rtl/>
        </w:rPr>
        <w:t xml:space="preserve">. ביוזמתו לקח חופשה </w:t>
      </w:r>
      <w:proofErr w:type="spellStart"/>
      <w:r>
        <w:rPr>
          <w:rtl/>
        </w:rPr>
        <w:t>מסלבודקה</w:t>
      </w:r>
      <w:proofErr w:type="spellEnd"/>
      <w:r>
        <w:rPr>
          <w:rtl/>
        </w:rPr>
        <w:t xml:space="preserve"> וקבע את מושבו בעיירה </w:t>
      </w:r>
      <w:proofErr w:type="spellStart"/>
      <w:r>
        <w:rPr>
          <w:rtl/>
        </w:rPr>
        <w:t>ראדין</w:t>
      </w:r>
      <w:proofErr w:type="spellEnd"/>
      <w:r>
        <w:rPr>
          <w:rtl/>
        </w:rPr>
        <w:t xml:space="preserve"> לכמה חודשים כדי ללמוד רוסית. כשסיפרו </w:t>
      </w:r>
      <w:proofErr w:type="spellStart"/>
      <w:r>
        <w:rPr>
          <w:rtl/>
        </w:rPr>
        <w:t>לחפץ־חיים</w:t>
      </w:r>
      <w:proofErr w:type="spellEnd"/>
      <w:r>
        <w:rPr>
          <w:rtl/>
        </w:rPr>
        <w:t xml:space="preserve"> שהנער שזה עתה הגיע בא לעיירה כדי ללמוד רוסית, פנה אליו </w:t>
      </w:r>
      <w:proofErr w:type="spellStart"/>
      <w:r>
        <w:rPr>
          <w:rtl/>
        </w:rPr>
        <w:t>החפץ־חיים</w:t>
      </w:r>
      <w:proofErr w:type="spellEnd"/>
      <w:r>
        <w:rPr>
          <w:rtl/>
        </w:rPr>
        <w:t xml:space="preserve">, שלא ידע על גאונותו – כעבור שלוש שנים, בגיל </w:t>
      </w:r>
      <w:proofErr w:type="spellStart"/>
      <w:r>
        <w:rPr>
          <w:rtl/>
        </w:rPr>
        <w:t>שבע־עשרה</w:t>
      </w:r>
      <w:proofErr w:type="spellEnd"/>
      <w:r>
        <w:rPr>
          <w:rtl/>
        </w:rPr>
        <w:t xml:space="preserve">, כבר היה רב </w:t>
      </w:r>
      <w:proofErr w:type="spellStart"/>
      <w:r>
        <w:rPr>
          <w:rtl/>
        </w:rPr>
        <w:t>פילווישוק</w:t>
      </w:r>
      <w:bookmarkStart w:id="5062" w:name="_fnr3745"/>
      <w:proofErr w:type="spellEnd"/>
      <w:r>
        <w:rPr>
          <w:vertAlign w:val="superscript"/>
          <w:rtl/>
        </w:rPr>
        <w:footnoteReference w:id="3753" w:customMarkFollows="0"/>
      </w:r>
      <w:bookmarkEnd w:id="5062"/>
      <w:r>
        <w:rPr>
          <w:rtl/>
        </w:rPr>
        <w:t xml:space="preserve"> – ואמר: “בחור צעיר, וש״ס אתה כבר יודע?!” החכם הופתע לקבל תשובה חיובית. </w:t>
      </w:r>
      <w:r>
        <w:rPr>
          <w:b/>
          <w:bCs/>
          <w:rtl/>
        </w:rPr>
        <w:t xml:space="preserve">כשחזר ר׳ </w:t>
      </w:r>
      <w:proofErr w:type="spellStart"/>
      <w:r>
        <w:rPr>
          <w:b/>
          <w:bCs/>
          <w:rtl/>
        </w:rPr>
        <w:t>יחיאל־יעקב</w:t>
      </w:r>
      <w:proofErr w:type="spellEnd"/>
      <w:r>
        <w:rPr>
          <w:b/>
          <w:bCs/>
          <w:rtl/>
        </w:rPr>
        <w:t xml:space="preserve"> </w:t>
      </w:r>
      <w:proofErr w:type="spellStart"/>
      <w:r>
        <w:rPr>
          <w:b/>
          <w:bCs/>
          <w:rtl/>
        </w:rPr>
        <w:t>לסלבודקה</w:t>
      </w:r>
      <w:proofErr w:type="spellEnd"/>
      <w:r>
        <w:rPr>
          <w:rtl/>
        </w:rPr>
        <w:t xml:space="preserve"> (ההדגשה שלי לצורך הדיון להלן), ראה הסבא שהוא מתפלל בדבקות, ואמר לו: “תפילותיי הועילו; התעניתי ארבעים יום כדי שלא תסור מדרך הישר”.</w:t>
      </w:r>
    </w:p>
    <w:p w14:paraId="74D735BC" w14:textId="77777777" w:rsidR="00AB3647" w:rsidRDefault="00000000" w:rsidP="007923E9">
      <w:pPr>
        <w:spacing w:after="120" w:line="276" w:lineRule="auto"/>
        <w:ind w:firstLine="283"/>
        <w:jc w:val="both"/>
      </w:pPr>
      <w:r>
        <w:rPr>
          <w:rtl/>
        </w:rPr>
        <w:t xml:space="preserve">הגילים שבהם למד ר׳ </w:t>
      </w:r>
      <w:proofErr w:type="spellStart"/>
      <w:r>
        <w:rPr>
          <w:rtl/>
        </w:rPr>
        <w:t>יחיאל־יעקב</w:t>
      </w:r>
      <w:proofErr w:type="spellEnd"/>
      <w:r>
        <w:rPr>
          <w:rtl/>
        </w:rPr>
        <w:t xml:space="preserve"> ויינברג רוסית ונעשה רב </w:t>
      </w:r>
      <w:proofErr w:type="spellStart"/>
      <w:r>
        <w:rPr>
          <w:rtl/>
        </w:rPr>
        <w:t>פילווישוק</w:t>
      </w:r>
      <w:proofErr w:type="spellEnd"/>
      <w:r>
        <w:rPr>
          <w:rtl/>
        </w:rPr>
        <w:t xml:space="preserve">, לפי סיפור הרב </w:t>
      </w:r>
      <w:proofErr w:type="spellStart"/>
      <w:r>
        <w:rPr>
          <w:rtl/>
        </w:rPr>
        <w:t>קרויזר</w:t>
      </w:r>
      <w:proofErr w:type="spellEnd"/>
      <w:r>
        <w:rPr>
          <w:rtl/>
        </w:rPr>
        <w:t xml:space="preserve">, שונים בכמה שנים מן המובא במאמר ההספד של </w:t>
      </w:r>
      <w:proofErr w:type="spellStart"/>
      <w:r>
        <w:rPr>
          <w:rtl/>
        </w:rPr>
        <w:t>ה״ל</w:t>
      </w:r>
      <w:proofErr w:type="spellEnd"/>
      <w:r>
        <w:rPr>
          <w:rtl/>
        </w:rPr>
        <w:t xml:space="preserve"> גורדון </w:t>
      </w:r>
      <w:proofErr w:type="spellStart"/>
      <w:r>
        <w:rPr>
          <w:rtl/>
        </w:rPr>
        <w:t>ב“הדואר</w:t>
      </w:r>
      <w:proofErr w:type="spellEnd"/>
      <w:r>
        <w:rPr>
          <w:rtl/>
        </w:rPr>
        <w:t>”</w:t>
      </w:r>
      <w:bookmarkStart w:id="5063" w:name="_fnr3746"/>
      <w:r>
        <w:rPr>
          <w:vertAlign w:val="superscript"/>
          <w:rtl/>
        </w:rPr>
        <w:footnoteReference w:id="3754" w:customMarkFollows="0"/>
      </w:r>
      <w:bookmarkEnd w:id="5063"/>
      <w:r>
        <w:rPr>
          <w:rtl/>
        </w:rPr>
        <w:t xml:space="preserve">. שם מצוטט מכתב אוטוביוגרפי שנשלח שבע שנים לפני פטירת ר׳ </w:t>
      </w:r>
      <w:proofErr w:type="spellStart"/>
      <w:r>
        <w:rPr>
          <w:rtl/>
        </w:rPr>
        <w:t>יחיאל־יעקב</w:t>
      </w:r>
      <w:proofErr w:type="spellEnd"/>
      <w:r>
        <w:rPr>
          <w:rtl/>
        </w:rPr>
        <w:t xml:space="preserve">, ולפיו הגיע </w:t>
      </w:r>
      <w:proofErr w:type="spellStart"/>
      <w:r>
        <w:rPr>
          <w:rtl/>
        </w:rPr>
        <w:t>לסלבודקה</w:t>
      </w:r>
      <w:proofErr w:type="spellEnd"/>
      <w:r>
        <w:rPr>
          <w:rtl/>
        </w:rPr>
        <w:t xml:space="preserve"> בגיל </w:t>
      </w:r>
      <w:proofErr w:type="spellStart"/>
      <w:r>
        <w:rPr>
          <w:rtl/>
        </w:rPr>
        <w:t>שש־עשרה</w:t>
      </w:r>
      <w:proofErr w:type="spellEnd"/>
      <w:r>
        <w:rPr>
          <w:rtl/>
        </w:rPr>
        <w:t xml:space="preserve">, </w:t>
      </w:r>
      <w:proofErr w:type="spellStart"/>
      <w:r>
        <w:rPr>
          <w:rtl/>
        </w:rPr>
        <w:t>בתרס״א</w:t>
      </w:r>
      <w:bookmarkStart w:id="5064" w:name="_fnr3747"/>
      <w:proofErr w:type="spellEnd"/>
      <w:r>
        <w:rPr>
          <w:vertAlign w:val="superscript"/>
          <w:rtl/>
        </w:rPr>
        <w:footnoteReference w:id="3755" w:customMarkFollows="0"/>
      </w:r>
      <w:bookmarkEnd w:id="5064"/>
      <w:r>
        <w:rPr>
          <w:rtl/>
        </w:rPr>
        <w:t xml:space="preserve">, ולמד שם שלוש שנים וחצי, עד פסח תרס״ה. אז עבר לישיבת </w:t>
      </w:r>
      <w:proofErr w:type="spellStart"/>
      <w:r>
        <w:rPr>
          <w:rtl/>
        </w:rPr>
        <w:t>מיר</w:t>
      </w:r>
      <w:proofErr w:type="spellEnd"/>
      <w:r>
        <w:rPr>
          <w:rtl/>
        </w:rPr>
        <w:t xml:space="preserve"> לבקשת הסבא, שהה בה כשנתיים, ולמד עם בנו של ר׳ </w:t>
      </w:r>
      <w:proofErr w:type="spellStart"/>
      <w:r>
        <w:rPr>
          <w:rtl/>
        </w:rPr>
        <w:t>נתן־צבי</w:t>
      </w:r>
      <w:proofErr w:type="spellEnd"/>
      <w:r>
        <w:rPr>
          <w:rtl/>
        </w:rPr>
        <w:t xml:space="preserve"> </w:t>
      </w:r>
      <w:proofErr w:type="spellStart"/>
      <w:r>
        <w:rPr>
          <w:rtl/>
        </w:rPr>
        <w:t>פינקל</w:t>
      </w:r>
      <w:proofErr w:type="spellEnd"/>
      <w:r>
        <w:rPr>
          <w:rtl/>
        </w:rPr>
        <w:t xml:space="preserve">, ר׳ </w:t>
      </w:r>
      <w:proofErr w:type="spellStart"/>
      <w:r>
        <w:rPr>
          <w:rtl/>
        </w:rPr>
        <w:t>לייזר־יודל</w:t>
      </w:r>
      <w:bookmarkStart w:id="5065" w:name="_fnr3748"/>
      <w:proofErr w:type="spellEnd"/>
      <w:r>
        <w:rPr>
          <w:vertAlign w:val="superscript"/>
          <w:rtl/>
        </w:rPr>
        <w:footnoteReference w:id="3756" w:customMarkFollows="0"/>
      </w:r>
      <w:bookmarkEnd w:id="5065"/>
      <w:r>
        <w:rPr>
          <w:rtl/>
        </w:rPr>
        <w:t xml:space="preserve">. אחר כך נעשה רב </w:t>
      </w:r>
      <w:proofErr w:type="spellStart"/>
      <w:r>
        <w:rPr>
          <w:rtl/>
        </w:rPr>
        <w:t>פילווישוק</w:t>
      </w:r>
      <w:proofErr w:type="spellEnd"/>
      <w:r>
        <w:rPr>
          <w:rtl/>
        </w:rPr>
        <w:t xml:space="preserve"> </w:t>
      </w:r>
      <w:r>
        <w:rPr>
          <w:b/>
          <w:bCs/>
          <w:rtl/>
        </w:rPr>
        <w:t>בגיל עשרים ושתיים</w:t>
      </w:r>
      <w:r>
        <w:rPr>
          <w:rtl/>
        </w:rPr>
        <w:t xml:space="preserve">. לפי זה, לא יכול היה להפסיק את לימודיו כדי ללמוד רוסית לפני שהיה בן </w:t>
      </w:r>
      <w:proofErr w:type="spellStart"/>
      <w:r>
        <w:rPr>
          <w:rtl/>
        </w:rPr>
        <w:t>שמונה־עשרה</w:t>
      </w:r>
      <w:bookmarkStart w:id="5066" w:name="_fnr3749"/>
      <w:proofErr w:type="spellEnd"/>
      <w:r>
        <w:rPr>
          <w:vertAlign w:val="superscript"/>
          <w:rtl/>
        </w:rPr>
        <w:footnoteReference w:id="3757" w:customMarkFollows="0"/>
      </w:r>
      <w:bookmarkEnd w:id="5066"/>
      <w:r>
        <w:rPr>
          <w:rtl/>
        </w:rPr>
        <w:t>.</w:t>
      </w:r>
    </w:p>
    <w:p w14:paraId="7F355704" w14:textId="77777777" w:rsidR="00AB3647" w:rsidRDefault="00000000" w:rsidP="007923E9">
      <w:pPr>
        <w:spacing w:after="120" w:line="276" w:lineRule="auto"/>
        <w:ind w:firstLine="283"/>
        <w:jc w:val="both"/>
      </w:pPr>
      <w:r>
        <w:rPr>
          <w:rtl/>
        </w:rPr>
        <w:t xml:space="preserve">תלמיד אחר של ר׳ </w:t>
      </w:r>
      <w:proofErr w:type="spellStart"/>
      <w:r>
        <w:rPr>
          <w:rtl/>
        </w:rPr>
        <w:t>יחיאל־יעקב</w:t>
      </w:r>
      <w:proofErr w:type="spellEnd"/>
      <w:r>
        <w:rPr>
          <w:rtl/>
        </w:rPr>
        <w:t xml:space="preserve"> ויינברג, ר׳ חיים ליפשיץ</w:t>
      </w:r>
      <w:bookmarkStart w:id="5067" w:name="_fnr3750"/>
      <w:r>
        <w:rPr>
          <w:vertAlign w:val="superscript"/>
          <w:rtl/>
        </w:rPr>
        <w:footnoteReference w:id="3758" w:customMarkFollows="0"/>
      </w:r>
      <w:bookmarkEnd w:id="5067"/>
      <w:r>
        <w:rPr>
          <w:rtl/>
        </w:rPr>
        <w:t xml:space="preserve">, אכן אמר </w:t>
      </w:r>
      <w:proofErr w:type="spellStart"/>
      <w:r>
        <w:rPr>
          <w:rtl/>
        </w:rPr>
        <w:t>ש“למיטב</w:t>
      </w:r>
      <w:proofErr w:type="spellEnd"/>
      <w:r>
        <w:rPr>
          <w:rtl/>
        </w:rPr>
        <w:t xml:space="preserve"> זיכרונו” מסיפורי רבו, היה ר׳ </w:t>
      </w:r>
      <w:proofErr w:type="spellStart"/>
      <w:r>
        <w:rPr>
          <w:rtl/>
        </w:rPr>
        <w:t>יחיאל־יעקב</w:t>
      </w:r>
      <w:proofErr w:type="spellEnd"/>
      <w:r>
        <w:rPr>
          <w:rtl/>
        </w:rPr>
        <w:t xml:space="preserve"> בן </w:t>
      </w:r>
      <w:proofErr w:type="spellStart"/>
      <w:r>
        <w:rPr>
          <w:rtl/>
        </w:rPr>
        <w:t>שמונה־עשרה</w:t>
      </w:r>
      <w:proofErr w:type="spellEnd"/>
      <w:r>
        <w:rPr>
          <w:rtl/>
        </w:rPr>
        <w:t xml:space="preserve"> כשלמד רוסית. עוד אמר ר׳ חיים ליפשיץ שרבו למד את השפה בווילנה, שסיכם שם עם סטודנט שילמדו רוסית תמורת לימוד גמרא </w:t>
      </w:r>
      <w:r>
        <w:rPr>
          <w:rtl/>
        </w:rPr>
        <w:lastRenderedPageBreak/>
        <w:t xml:space="preserve">שייתן לו, </w:t>
      </w:r>
      <w:proofErr w:type="spellStart"/>
      <w:r>
        <w:rPr>
          <w:rtl/>
        </w:rPr>
        <w:t>ושהחפץ־חיים</w:t>
      </w:r>
      <w:proofErr w:type="spellEnd"/>
      <w:r>
        <w:rPr>
          <w:rtl/>
        </w:rPr>
        <w:t xml:space="preserve"> בא לווילנה מסיבה כלשהי ודיבר עמו שם. מובן מאליו שר׳ </w:t>
      </w:r>
      <w:proofErr w:type="spellStart"/>
      <w:r>
        <w:rPr>
          <w:rtl/>
        </w:rPr>
        <w:t>יחיאל־יעקב</w:t>
      </w:r>
      <w:proofErr w:type="spellEnd"/>
      <w:r>
        <w:rPr>
          <w:rtl/>
        </w:rPr>
        <w:t xml:space="preserve"> היה מעדיף ללכת לווילנה ללמוד רוסית, ולא לכפר </w:t>
      </w:r>
      <w:proofErr w:type="spellStart"/>
      <w:r>
        <w:rPr>
          <w:rtl/>
        </w:rPr>
        <w:t>ראדין</w:t>
      </w:r>
      <w:proofErr w:type="spellEnd"/>
      <w:r>
        <w:rPr>
          <w:rtl/>
        </w:rPr>
        <w:t>.</w:t>
      </w:r>
    </w:p>
    <w:p w14:paraId="3C58400C" w14:textId="77777777" w:rsidR="00AB3647" w:rsidRDefault="00000000" w:rsidP="007923E9">
      <w:pPr>
        <w:spacing w:after="120" w:line="276" w:lineRule="auto"/>
        <w:ind w:firstLine="283"/>
        <w:jc w:val="both"/>
      </w:pPr>
      <w:r>
        <w:rPr>
          <w:rtl/>
        </w:rPr>
        <w:t>אבל “פרקי חיים [ויינברג]”</w:t>
      </w:r>
      <w:bookmarkStart w:id="5068" w:name="_fnr3751"/>
      <w:r>
        <w:rPr>
          <w:vertAlign w:val="superscript"/>
          <w:rtl/>
        </w:rPr>
        <w:footnoteReference w:id="3759" w:customMarkFollows="0"/>
      </w:r>
      <w:bookmarkEnd w:id="5068"/>
      <w:r>
        <w:rPr>
          <w:rtl/>
        </w:rPr>
        <w:t xml:space="preserve"> חושף כמה </w:t>
      </w:r>
      <w:proofErr w:type="spellStart"/>
      <w:r>
        <w:rPr>
          <w:rtl/>
        </w:rPr>
        <w:t>אי־דיוקים</w:t>
      </w:r>
      <w:proofErr w:type="spellEnd"/>
      <w:r>
        <w:rPr>
          <w:rtl/>
        </w:rPr>
        <w:t xml:space="preserve"> בדברי שני התלמידים: א) </w:t>
      </w:r>
      <w:proofErr w:type="spellStart"/>
      <w:r>
        <w:rPr>
          <w:rtl/>
        </w:rPr>
        <w:t>לגרודנא</w:t>
      </w:r>
      <w:proofErr w:type="spellEnd"/>
      <w:r>
        <w:rPr>
          <w:rtl/>
        </w:rPr>
        <w:t xml:space="preserve"> הלך ללמוד רוסית (לפרק זמן שלא פורש)</w:t>
      </w:r>
      <w:bookmarkStart w:id="5069" w:name="_fnr3752"/>
      <w:r>
        <w:rPr>
          <w:vertAlign w:val="superscript"/>
          <w:rtl/>
        </w:rPr>
        <w:footnoteReference w:id="3760" w:customMarkFollows="0"/>
      </w:r>
      <w:bookmarkEnd w:id="5069"/>
      <w:r>
        <w:rPr>
          <w:rtl/>
        </w:rPr>
        <w:t xml:space="preserve">. ב) הסבא נסע </w:t>
      </w:r>
      <w:proofErr w:type="spellStart"/>
      <w:r>
        <w:rPr>
          <w:rtl/>
        </w:rPr>
        <w:t>לגרודנא</w:t>
      </w:r>
      <w:proofErr w:type="spellEnd"/>
      <w:r>
        <w:rPr>
          <w:rtl/>
        </w:rPr>
        <w:t xml:space="preserve"> לנסות להשיבו </w:t>
      </w:r>
      <w:proofErr w:type="spellStart"/>
      <w:r>
        <w:rPr>
          <w:rtl/>
        </w:rPr>
        <w:t>לסלבודקה</w:t>
      </w:r>
      <w:proofErr w:type="spellEnd"/>
      <w:r>
        <w:rPr>
          <w:rtl/>
        </w:rPr>
        <w:t xml:space="preserve"> – ולא הצליח. ג) </w:t>
      </w:r>
      <w:proofErr w:type="spellStart"/>
      <w:r>
        <w:rPr>
          <w:rtl/>
        </w:rPr>
        <w:t>החפץ־חיים</w:t>
      </w:r>
      <w:proofErr w:type="spellEnd"/>
      <w:r>
        <w:rPr>
          <w:rtl/>
        </w:rPr>
        <w:t xml:space="preserve"> – שמסתבר שהסבא סיפר לו הכול על ר׳ </w:t>
      </w:r>
      <w:proofErr w:type="spellStart"/>
      <w:r>
        <w:rPr>
          <w:rtl/>
        </w:rPr>
        <w:t>יחיאל־יעקב</w:t>
      </w:r>
      <w:proofErr w:type="spellEnd"/>
      <w:r>
        <w:rPr>
          <w:rtl/>
        </w:rPr>
        <w:t xml:space="preserve"> ויינברג וביקש ממנו להתערב – שלח שליח להזמינו לפגישה </w:t>
      </w:r>
      <w:proofErr w:type="spellStart"/>
      <w:r>
        <w:rPr>
          <w:rtl/>
        </w:rPr>
        <w:t>בראדין</w:t>
      </w:r>
      <w:proofErr w:type="spellEnd"/>
      <w:r>
        <w:rPr>
          <w:rtl/>
        </w:rPr>
        <w:t xml:space="preserve">. ד) בפגישה התנהלה השיחה כך: תחילה הסביר ר׳ </w:t>
      </w:r>
      <w:proofErr w:type="spellStart"/>
      <w:r>
        <w:rPr>
          <w:rtl/>
        </w:rPr>
        <w:t>יחיאל־יעקב</w:t>
      </w:r>
      <w:proofErr w:type="spellEnd"/>
      <w:r>
        <w:rPr>
          <w:rtl/>
        </w:rPr>
        <w:t xml:space="preserve"> שהוא לומד רוסית משום שמסוכן שלא לדעת את לשון המקום, </w:t>
      </w:r>
      <w:proofErr w:type="spellStart"/>
      <w:r>
        <w:rPr>
          <w:rtl/>
        </w:rPr>
        <w:t>והחפץ־חיים</w:t>
      </w:r>
      <w:proofErr w:type="spellEnd"/>
      <w:r>
        <w:rPr>
          <w:rtl/>
        </w:rPr>
        <w:t xml:space="preserve"> השיב: “אתה צודק, צריך לדעת רוסית; אבל ש״ס ופוסקים צריך לדעת?! קצות החושן ואבני מילואים צריך לדעת?! את ספרי ר׳ עקיבא איגר וחתם סופר צריך לדעת?! למי כתבו הגדולים האלה את חידושיהם, אם לא לבחור כמוך?”, והחכם הזקן פרץ בבכי.</w:t>
      </w:r>
    </w:p>
    <w:p w14:paraId="209DCF1F" w14:textId="77777777" w:rsidR="00AB3647" w:rsidRDefault="00000000" w:rsidP="007923E9">
      <w:pPr>
        <w:spacing w:after="120" w:line="276" w:lineRule="auto"/>
        <w:ind w:firstLine="283"/>
        <w:jc w:val="both"/>
      </w:pPr>
      <w:r>
        <w:rPr>
          <w:rtl/>
        </w:rPr>
        <w:t>ר׳ חיים ליפשיץ סיפר שכשבא הסבא קודם לכן אל תלמידו, הרים את הספר שהיה מונח לפניו ואמר: “מה זה, קצות [החושן]</w:t>
      </w:r>
      <w:bookmarkStart w:id="5070" w:name="_fnr3753"/>
      <w:r>
        <w:rPr>
          <w:vertAlign w:val="superscript"/>
          <w:rtl/>
        </w:rPr>
        <w:footnoteReference w:id="3761" w:customMarkFollows="0"/>
      </w:r>
      <w:bookmarkEnd w:id="5070"/>
      <w:r>
        <w:rPr>
          <w:rtl/>
        </w:rPr>
        <w:t xml:space="preserve">?”, ואחר כך, </w:t>
      </w:r>
      <w:proofErr w:type="spellStart"/>
      <w:r>
        <w:rPr>
          <w:rtl/>
        </w:rPr>
        <w:t>כש“עיין</w:t>
      </w:r>
      <w:proofErr w:type="spellEnd"/>
      <w:r>
        <w:rPr>
          <w:rtl/>
        </w:rPr>
        <w:t>”</w:t>
      </w:r>
      <w:bookmarkStart w:id="5071" w:name="_fnr3754"/>
      <w:r>
        <w:rPr>
          <w:vertAlign w:val="superscript"/>
          <w:rtl/>
        </w:rPr>
        <w:footnoteReference w:id="3762" w:customMarkFollows="0"/>
      </w:r>
      <w:bookmarkEnd w:id="5071"/>
      <w:r>
        <w:rPr>
          <w:rtl/>
        </w:rPr>
        <w:t xml:space="preserve"> בכרך מקרוב יותר, קרא: “ספר דקדוק רוסי! אוי ואבוי!” הסבא, שכנראה לא ידע מה עבר על תלמידו בכפר הגויים, הניח שר׳ </w:t>
      </w:r>
      <w:proofErr w:type="spellStart"/>
      <w:r>
        <w:rPr>
          <w:rtl/>
        </w:rPr>
        <w:t>יחיאל־יעקב</w:t>
      </w:r>
      <w:proofErr w:type="spellEnd"/>
      <w:r>
        <w:rPr>
          <w:rtl/>
        </w:rPr>
        <w:t xml:space="preserve"> ויינברג יתבייש בכך שהוא לומד רוסית </w:t>
      </w:r>
      <w:r>
        <w:rPr>
          <w:b/>
          <w:bCs/>
          <w:rtl/>
        </w:rPr>
        <w:t>במקום</w:t>
      </w:r>
      <w:r>
        <w:rPr>
          <w:rtl/>
        </w:rPr>
        <w:t xml:space="preserve"> קצות, והחליט לפרוט על נימה זו – אבל לא הצליח להזיז את ר׳ </w:t>
      </w:r>
      <w:proofErr w:type="spellStart"/>
      <w:r>
        <w:rPr>
          <w:rtl/>
        </w:rPr>
        <w:t>יחיאל־יעקב</w:t>
      </w:r>
      <w:proofErr w:type="spellEnd"/>
      <w:r>
        <w:rPr>
          <w:rtl/>
        </w:rPr>
        <w:t xml:space="preserve"> מעמדתו. עוד הוסיף ר׳ חיים ליפשיץ שבעקבות תוכחת </w:t>
      </w:r>
      <w:proofErr w:type="spellStart"/>
      <w:r>
        <w:rPr>
          <w:rtl/>
        </w:rPr>
        <w:t>החפץ־חיים</w:t>
      </w:r>
      <w:proofErr w:type="spellEnd"/>
      <w:r>
        <w:rPr>
          <w:rtl/>
        </w:rPr>
        <w:t xml:space="preserve"> חדל ר׳ </w:t>
      </w:r>
      <w:proofErr w:type="spellStart"/>
      <w:r>
        <w:rPr>
          <w:rtl/>
        </w:rPr>
        <w:t>יחיאל־יעקב</w:t>
      </w:r>
      <w:proofErr w:type="spellEnd"/>
      <w:r>
        <w:rPr>
          <w:rtl/>
        </w:rPr>
        <w:t xml:space="preserve"> מלימוד רוסית. ובכל פעם שהיה מדבר על </w:t>
      </w:r>
      <w:proofErr w:type="spellStart"/>
      <w:r>
        <w:rPr>
          <w:rtl/>
        </w:rPr>
        <w:t>החפץ־חיים</w:t>
      </w:r>
      <w:proofErr w:type="spellEnd"/>
      <w:r>
        <w:rPr>
          <w:rtl/>
        </w:rPr>
        <w:t xml:space="preserve">, היה ר׳ </w:t>
      </w:r>
      <w:proofErr w:type="spellStart"/>
      <w:r>
        <w:rPr>
          <w:rtl/>
        </w:rPr>
        <w:t>יחיאל־יעקב</w:t>
      </w:r>
      <w:proofErr w:type="spellEnd"/>
      <w:r>
        <w:rPr>
          <w:rtl/>
        </w:rPr>
        <w:t xml:space="preserve"> פורץ בדמעות ומסביר שהוא נרגש מאוד: “אני בהתפעלות מצִדקותו של האיש הזה”, היה אומר.</w:t>
      </w:r>
    </w:p>
    <w:p w14:paraId="611FAC08" w14:textId="77777777" w:rsidR="00AB3647" w:rsidRDefault="00000000" w:rsidP="007923E9">
      <w:pPr>
        <w:spacing w:after="120" w:line="276" w:lineRule="auto"/>
        <w:ind w:firstLine="283"/>
        <w:jc w:val="both"/>
      </w:pPr>
      <w:r>
        <w:rPr>
          <w:rtl/>
        </w:rPr>
        <w:t xml:space="preserve">אבל ר׳ </w:t>
      </w:r>
      <w:proofErr w:type="spellStart"/>
      <w:r>
        <w:rPr>
          <w:rtl/>
        </w:rPr>
        <w:t>יחיאל־יעקב</w:t>
      </w:r>
      <w:proofErr w:type="spellEnd"/>
      <w:r>
        <w:rPr>
          <w:rtl/>
        </w:rPr>
        <w:t xml:space="preserve"> ויינברג פנה ללימוד השפה הרוסית זמן רב אחרי שהיה בן </w:t>
      </w:r>
      <w:proofErr w:type="spellStart"/>
      <w:r>
        <w:rPr>
          <w:rtl/>
        </w:rPr>
        <w:t>שמונה־עשרה</w:t>
      </w:r>
      <w:proofErr w:type="spellEnd"/>
      <w:r>
        <w:rPr>
          <w:rtl/>
        </w:rPr>
        <w:t xml:space="preserve">. לפי המאמר “הטרגדיה של אדם גדול” </w:t>
      </w:r>
      <w:proofErr w:type="spellStart"/>
      <w:r>
        <w:rPr>
          <w:rtl/>
        </w:rPr>
        <w:t>ב“הדואר</w:t>
      </w:r>
      <w:proofErr w:type="spellEnd"/>
      <w:r>
        <w:rPr>
          <w:rtl/>
        </w:rPr>
        <w:t xml:space="preserve">” אירע הדבר “לאחר שנה וחצי </w:t>
      </w:r>
      <w:proofErr w:type="spellStart"/>
      <w:r>
        <w:rPr>
          <w:rtl/>
        </w:rPr>
        <w:t>במיר</w:t>
      </w:r>
      <w:proofErr w:type="spellEnd"/>
      <w:r>
        <w:rPr>
          <w:rtl/>
        </w:rPr>
        <w:t xml:space="preserve">”, </w:t>
      </w:r>
      <w:proofErr w:type="spellStart"/>
      <w:r>
        <w:rPr>
          <w:rtl/>
        </w:rPr>
        <w:t>כש“יצא</w:t>
      </w:r>
      <w:proofErr w:type="spellEnd"/>
      <w:r>
        <w:rPr>
          <w:rtl/>
        </w:rPr>
        <w:t xml:space="preserve"> </w:t>
      </w:r>
      <w:proofErr w:type="spellStart"/>
      <w:r>
        <w:rPr>
          <w:rtl/>
        </w:rPr>
        <w:t>לגרודנא</w:t>
      </w:r>
      <w:proofErr w:type="spellEnd"/>
      <w:r>
        <w:rPr>
          <w:rtl/>
        </w:rPr>
        <w:t xml:space="preserve"> </w:t>
      </w:r>
      <w:r>
        <w:rPr>
          <w:b/>
          <w:bCs/>
          <w:rtl/>
        </w:rPr>
        <w:t>להשתלם</w:t>
      </w:r>
      <w:r>
        <w:rPr>
          <w:rtl/>
        </w:rPr>
        <w:t xml:space="preserve"> בשפה הרוסית (ההדגשה שלי)”. מחבר המאמר “הטרגדיה של אדם גדול” היה חברו ללימודים </w:t>
      </w:r>
      <w:proofErr w:type="spellStart"/>
      <w:r>
        <w:rPr>
          <w:rtl/>
        </w:rPr>
        <w:t>בסלבודקה</w:t>
      </w:r>
      <w:proofErr w:type="spellEnd"/>
      <w:r>
        <w:rPr>
          <w:rtl/>
        </w:rPr>
        <w:t xml:space="preserve"> ובן עיירתו, </w:t>
      </w:r>
      <w:proofErr w:type="spellStart"/>
      <w:r>
        <w:rPr>
          <w:rtl/>
        </w:rPr>
        <w:t>צ׳כנובצה</w:t>
      </w:r>
      <w:proofErr w:type="spellEnd"/>
      <w:r>
        <w:rPr>
          <w:rtl/>
        </w:rPr>
        <w:t xml:space="preserve">; ר׳ </w:t>
      </w:r>
      <w:proofErr w:type="spellStart"/>
      <w:r>
        <w:rPr>
          <w:rtl/>
        </w:rPr>
        <w:t>יחיאל־יעקב</w:t>
      </w:r>
      <w:proofErr w:type="spellEnd"/>
      <w:r>
        <w:rPr>
          <w:rtl/>
        </w:rPr>
        <w:t xml:space="preserve"> לקח אותו עמו </w:t>
      </w:r>
      <w:proofErr w:type="spellStart"/>
      <w:r>
        <w:rPr>
          <w:rtl/>
        </w:rPr>
        <w:t>למיר</w:t>
      </w:r>
      <w:proofErr w:type="spellEnd"/>
      <w:r>
        <w:rPr>
          <w:rtl/>
        </w:rPr>
        <w:t xml:space="preserve">, ושם חלקו אכסניה אחת. חברו זה הוא מקור מוסמך ביותר לזמן המדויק שבו החליט ללמוד רוסית. מחבר המאמר מוסיף: “איני זוכר אם עשה את הצעד הזה בהסכמת ר׳ </w:t>
      </w:r>
      <w:proofErr w:type="spellStart"/>
      <w:r>
        <w:rPr>
          <w:rtl/>
        </w:rPr>
        <w:t>נטע־הירש</w:t>
      </w:r>
      <w:proofErr w:type="spellEnd"/>
      <w:r>
        <w:rPr>
          <w:rtl/>
        </w:rPr>
        <w:t xml:space="preserve"> [</w:t>
      </w:r>
      <w:proofErr w:type="spellStart"/>
      <w:r>
        <w:rPr>
          <w:rtl/>
        </w:rPr>
        <w:t>פינקל</w:t>
      </w:r>
      <w:proofErr w:type="spellEnd"/>
      <w:r>
        <w:rPr>
          <w:rtl/>
        </w:rPr>
        <w:t xml:space="preserve">] או לא”. לפי המידע שהובא לעיל </w:t>
      </w:r>
      <w:proofErr w:type="spellStart"/>
      <w:r>
        <w:rPr>
          <w:rtl/>
        </w:rPr>
        <w:t>מ“פרקי</w:t>
      </w:r>
      <w:proofErr w:type="spellEnd"/>
      <w:r>
        <w:rPr>
          <w:rtl/>
        </w:rPr>
        <w:t xml:space="preserve"> חיים [ויינברג]”, ר׳ </w:t>
      </w:r>
      <w:proofErr w:type="spellStart"/>
      <w:r>
        <w:rPr>
          <w:rtl/>
        </w:rPr>
        <w:t>יחיאל־יעקב</w:t>
      </w:r>
      <w:proofErr w:type="spellEnd"/>
      <w:r>
        <w:rPr>
          <w:rtl/>
        </w:rPr>
        <w:t xml:space="preserve"> בהחלט לא קיבל את הסכמת הסבא. אותו מחבר גם לא העלה על דעתו שר׳ </w:t>
      </w:r>
      <w:proofErr w:type="spellStart"/>
      <w:r>
        <w:rPr>
          <w:rtl/>
        </w:rPr>
        <w:t>יחיאל־יעקב</w:t>
      </w:r>
      <w:proofErr w:type="spellEnd"/>
      <w:r>
        <w:rPr>
          <w:rtl/>
        </w:rPr>
        <w:t xml:space="preserve"> אינו יודע מילים רוסיות פשוטות כמו “כן” </w:t>
      </w:r>
      <w:proofErr w:type="spellStart"/>
      <w:r>
        <w:rPr>
          <w:rtl/>
        </w:rPr>
        <w:t>ו“לא</w:t>
      </w:r>
      <w:proofErr w:type="spellEnd"/>
      <w:r>
        <w:rPr>
          <w:rtl/>
        </w:rPr>
        <w:t xml:space="preserve">”, ושידיעתו ברוסית צריכה הרבה יותר </w:t>
      </w:r>
      <w:proofErr w:type="spellStart"/>
      <w:r>
        <w:rPr>
          <w:rtl/>
        </w:rPr>
        <w:t>מ“השתלמות</w:t>
      </w:r>
      <w:proofErr w:type="spellEnd"/>
      <w:r>
        <w:rPr>
          <w:rtl/>
        </w:rPr>
        <w:t>”.</w:t>
      </w:r>
    </w:p>
    <w:p w14:paraId="17178B98" w14:textId="77777777" w:rsidR="00AB3647" w:rsidRDefault="00000000" w:rsidP="007923E9">
      <w:pPr>
        <w:spacing w:after="120" w:line="276" w:lineRule="auto"/>
        <w:ind w:firstLine="283"/>
        <w:jc w:val="both"/>
      </w:pPr>
      <w:r>
        <w:rPr>
          <w:rtl/>
        </w:rPr>
        <w:t xml:space="preserve">לפיכך לא למד ר׳ </w:t>
      </w:r>
      <w:proofErr w:type="spellStart"/>
      <w:r>
        <w:rPr>
          <w:rtl/>
        </w:rPr>
        <w:t>יחיאל־יעקב</w:t>
      </w:r>
      <w:proofErr w:type="spellEnd"/>
      <w:r>
        <w:rPr>
          <w:rtl/>
        </w:rPr>
        <w:t xml:space="preserve"> ויינברג רוסית עד סתיו תרס״ו–תרס״ז, כשכבר היה כבן עשרים ושתיים – כחצי שנה לפני שנעשה רב </w:t>
      </w:r>
      <w:proofErr w:type="spellStart"/>
      <w:r>
        <w:rPr>
          <w:rtl/>
        </w:rPr>
        <w:t>פילווישוק</w:t>
      </w:r>
      <w:proofErr w:type="spellEnd"/>
      <w:r>
        <w:rPr>
          <w:rtl/>
        </w:rPr>
        <w:t xml:space="preserve">! אגב, שלוש השנים וחצי ששהה ר׳ </w:t>
      </w:r>
      <w:proofErr w:type="spellStart"/>
      <w:r>
        <w:rPr>
          <w:rtl/>
        </w:rPr>
        <w:lastRenderedPageBreak/>
        <w:t>יחיאל־יעקב</w:t>
      </w:r>
      <w:proofErr w:type="spellEnd"/>
      <w:r>
        <w:rPr>
          <w:rtl/>
        </w:rPr>
        <w:t xml:space="preserve"> </w:t>
      </w:r>
      <w:proofErr w:type="spellStart"/>
      <w:r>
        <w:rPr>
          <w:rtl/>
        </w:rPr>
        <w:t>בסלבודקה</w:t>
      </w:r>
      <w:proofErr w:type="spellEnd"/>
      <w:r>
        <w:rPr>
          <w:rtl/>
        </w:rPr>
        <w:t xml:space="preserve"> חפפו שלוש מתוך חמש השנים שבהן כיהן ר׳ נפתלי </w:t>
      </w:r>
      <w:proofErr w:type="spellStart"/>
      <w:r>
        <w:rPr>
          <w:rtl/>
        </w:rPr>
        <w:t>טרופ</w:t>
      </w:r>
      <w:proofErr w:type="spellEnd"/>
      <w:r>
        <w:rPr>
          <w:rtl/>
        </w:rPr>
        <w:t xml:space="preserve"> כראש הישיבה הקטנה של ר׳ </w:t>
      </w:r>
      <w:proofErr w:type="spellStart"/>
      <w:r>
        <w:rPr>
          <w:rtl/>
        </w:rPr>
        <w:t>הירשל׳ה</w:t>
      </w:r>
      <w:proofErr w:type="spellEnd"/>
      <w:r>
        <w:rPr>
          <w:rtl/>
        </w:rPr>
        <w:t xml:space="preserve"> </w:t>
      </w:r>
      <w:proofErr w:type="spellStart"/>
      <w:r>
        <w:rPr>
          <w:rtl/>
        </w:rPr>
        <w:t>לויטן</w:t>
      </w:r>
      <w:proofErr w:type="spellEnd"/>
      <w:r>
        <w:rPr>
          <w:rtl/>
        </w:rPr>
        <w:t>, “אור החיים”, באותה עיר</w:t>
      </w:r>
      <w:bookmarkStart w:id="5072" w:name="_fnr3755"/>
      <w:r>
        <w:rPr>
          <w:vertAlign w:val="superscript"/>
          <w:rtl/>
        </w:rPr>
        <w:footnoteReference w:id="3763" w:customMarkFollows="0"/>
      </w:r>
      <w:bookmarkEnd w:id="5072"/>
      <w:r>
        <w:rPr>
          <w:rtl/>
        </w:rPr>
        <w:t xml:space="preserve">. ר׳ </w:t>
      </w:r>
      <w:proofErr w:type="spellStart"/>
      <w:r>
        <w:rPr>
          <w:rtl/>
        </w:rPr>
        <w:t>יחיאל־יעקב</w:t>
      </w:r>
      <w:proofErr w:type="spellEnd"/>
      <w:r>
        <w:rPr>
          <w:rtl/>
        </w:rPr>
        <w:t xml:space="preserve"> ודאי פגש את ר׳ נפתלי </w:t>
      </w:r>
      <w:proofErr w:type="spellStart"/>
      <w:r>
        <w:rPr>
          <w:rtl/>
        </w:rPr>
        <w:t>טרופ</w:t>
      </w:r>
      <w:proofErr w:type="spellEnd"/>
      <w:r>
        <w:rPr>
          <w:rtl/>
        </w:rPr>
        <w:t xml:space="preserve">, שהיה מבוגר ממנו </w:t>
      </w:r>
      <w:proofErr w:type="spellStart"/>
      <w:r>
        <w:rPr>
          <w:rtl/>
        </w:rPr>
        <w:t>בשלוש־עשרה</w:t>
      </w:r>
      <w:proofErr w:type="spellEnd"/>
      <w:r>
        <w:rPr>
          <w:rtl/>
        </w:rPr>
        <w:t xml:space="preserve"> שנים, כשהיה נער </w:t>
      </w:r>
      <w:proofErr w:type="spellStart"/>
      <w:r>
        <w:rPr>
          <w:rtl/>
        </w:rPr>
        <w:t>בסלבודקה</w:t>
      </w:r>
      <w:proofErr w:type="spellEnd"/>
      <w:r>
        <w:rPr>
          <w:rtl/>
        </w:rPr>
        <w:t xml:space="preserve">. אבל מסתבר שהביקור הקצר </w:t>
      </w:r>
      <w:proofErr w:type="spellStart"/>
      <w:r>
        <w:rPr>
          <w:rtl/>
        </w:rPr>
        <w:t>בראדין</w:t>
      </w:r>
      <w:proofErr w:type="spellEnd"/>
      <w:r>
        <w:rPr>
          <w:rtl/>
        </w:rPr>
        <w:t xml:space="preserve">, כשר׳ </w:t>
      </w:r>
      <w:proofErr w:type="spellStart"/>
      <w:r>
        <w:rPr>
          <w:rtl/>
        </w:rPr>
        <w:t>יחיאל־יעקב</w:t>
      </w:r>
      <w:proofErr w:type="spellEnd"/>
      <w:r>
        <w:rPr>
          <w:rtl/>
        </w:rPr>
        <w:t xml:space="preserve"> כבר היה בוגר, הוא שהידק את יחסיהם, כפי שתיאר אותם באחד ממכתביו</w:t>
      </w:r>
      <w:bookmarkStart w:id="5073" w:name="_fnr3756"/>
      <w:r>
        <w:rPr>
          <w:vertAlign w:val="superscript"/>
          <w:rtl/>
        </w:rPr>
        <w:footnoteReference w:id="3764" w:customMarkFollows="0"/>
      </w:r>
      <w:bookmarkEnd w:id="5073"/>
      <w:r>
        <w:rPr>
          <w:rtl/>
        </w:rPr>
        <w:t xml:space="preserve">: “הידידות הגדולה שבין ר׳ נפתלי </w:t>
      </w:r>
      <w:proofErr w:type="spellStart"/>
      <w:r>
        <w:rPr>
          <w:rtl/>
        </w:rPr>
        <w:t>טרופ</w:t>
      </w:r>
      <w:proofErr w:type="spellEnd"/>
      <w:r>
        <w:rPr>
          <w:rtl/>
        </w:rPr>
        <w:t xml:space="preserve"> וביני היא אהבה אמיתית”. ר׳ נפתלי החל את כהונתו בת רבע המאה כראש ישיבת </w:t>
      </w:r>
      <w:proofErr w:type="spellStart"/>
      <w:r>
        <w:rPr>
          <w:rtl/>
        </w:rPr>
        <w:t>ראדין</w:t>
      </w:r>
      <w:proofErr w:type="spellEnd"/>
      <w:r>
        <w:rPr>
          <w:rtl/>
        </w:rPr>
        <w:t xml:space="preserve"> </w:t>
      </w:r>
      <w:proofErr w:type="spellStart"/>
      <w:r>
        <w:rPr>
          <w:rtl/>
        </w:rPr>
        <w:t>בתרס״ד</w:t>
      </w:r>
      <w:proofErr w:type="spellEnd"/>
      <w:r>
        <w:rPr>
          <w:rtl/>
        </w:rPr>
        <w:t>.</w:t>
      </w:r>
    </w:p>
    <w:p w14:paraId="7D531424" w14:textId="6F8BE0B2" w:rsidR="00AB3647" w:rsidRDefault="00000000" w:rsidP="007923E9">
      <w:pPr>
        <w:spacing w:after="120" w:line="276" w:lineRule="auto"/>
        <w:ind w:firstLine="283"/>
        <w:jc w:val="both"/>
      </w:pPr>
      <w:r>
        <w:rPr>
          <w:rtl/>
        </w:rPr>
        <w:t xml:space="preserve">לפי סדר המאורעות, הסבא סידר את שידוכו של ר׳ </w:t>
      </w:r>
      <w:proofErr w:type="spellStart"/>
      <w:r>
        <w:rPr>
          <w:rtl/>
        </w:rPr>
        <w:t>יחיאל־יעקב</w:t>
      </w:r>
      <w:proofErr w:type="spellEnd"/>
      <w:r>
        <w:rPr>
          <w:rtl/>
        </w:rPr>
        <w:t xml:space="preserve"> ויינברג סמוך לאחר שנטל פסק זמן ללימוד רוסית. המאמר “הטרגדיה של אדם גדול” מעריך שלימוד הרוסית השיטתי והרציני שלו הניח את היסוד</w:t>
      </w:r>
      <w:bookmarkStart w:id="5074" w:name="_fnr3757"/>
      <w:r>
        <w:rPr>
          <w:vertAlign w:val="superscript"/>
          <w:rtl/>
        </w:rPr>
        <w:footnoteReference w:id="3765" w:customMarkFollows="0"/>
      </w:r>
      <w:bookmarkEnd w:id="5074"/>
      <w:r>
        <w:rPr>
          <w:rtl/>
        </w:rPr>
        <w:t xml:space="preserve"> לתהפוכות שעבר ביחס לעולם ההשכלה ולנישואיו הטרגיים שבאו בעקבותיהן. הערכה זו קולעת, אף שכבר בתקופת </w:t>
      </w:r>
      <w:proofErr w:type="spellStart"/>
      <w:r>
        <w:rPr>
          <w:rtl/>
        </w:rPr>
        <w:t>סלבודקה</w:t>
      </w:r>
      <w:proofErr w:type="spellEnd"/>
      <w:r>
        <w:rPr>
          <w:rtl/>
        </w:rPr>
        <w:t xml:space="preserve"> המוקדמת שלח כמה גישושים לאותו עולם. הסבא הבין אז שעליו לקשור את תלמידו לעולם התורה על ידי שיעמידו על כיסא רבנות, כמפורט בתחילת </w:t>
      </w:r>
      <w:r>
        <w:rPr>
          <w:rtl/>
        </w:rPr>
        <w:fldChar w:fldCharType="begin" w:dirty="true"/>
      </w:r>
      <w:r>
        <w:rPr>
          <w:rtl/>
        </w:rPr>
        <w:instrText xml:space="preserve"> REF b4_excD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ד</w:t>
      </w:r>
      <w:r>
        <w:rPr>
          <w:rtl/>
        </w:rPr>
        <w:fldChar w:fldCharType="end"/>
      </w:r>
      <w:r>
        <w:rPr>
          <w:rtl/>
        </w:rPr>
        <w:t xml:space="preserve"> לעיל. חזרתו של ר׳ </w:t>
      </w:r>
      <w:proofErr w:type="spellStart"/>
      <w:r>
        <w:rPr>
          <w:rtl/>
        </w:rPr>
        <w:t>יחיאל־יעקב</w:t>
      </w:r>
      <w:proofErr w:type="spellEnd"/>
      <w:r>
        <w:rPr>
          <w:rtl/>
        </w:rPr>
        <w:t xml:space="preserve"> </w:t>
      </w:r>
      <w:proofErr w:type="spellStart"/>
      <w:r>
        <w:rPr>
          <w:rtl/>
        </w:rPr>
        <w:t>לסלבודקה</w:t>
      </w:r>
      <w:proofErr w:type="spellEnd"/>
      <w:r>
        <w:rPr>
          <w:rtl/>
        </w:rPr>
        <w:t xml:space="preserve"> אחרי שחדל מלימוד הרוסית – שאותה הזכיר הרב </w:t>
      </w:r>
      <w:proofErr w:type="spellStart"/>
      <w:r>
        <w:rPr>
          <w:rtl/>
        </w:rPr>
        <w:t>קרויזר</w:t>
      </w:r>
      <w:proofErr w:type="spellEnd"/>
      <w:r>
        <w:rPr>
          <w:rtl/>
        </w:rPr>
        <w:t xml:space="preserve"> – מוכרחה הייתה להיות קשורה בשידוך, שהרי מבחינת לימוד התורה עזב את </w:t>
      </w:r>
      <w:proofErr w:type="spellStart"/>
      <w:r>
        <w:rPr>
          <w:rtl/>
        </w:rPr>
        <w:t>סלבודקה</w:t>
      </w:r>
      <w:proofErr w:type="spellEnd"/>
      <w:r>
        <w:rPr>
          <w:rtl/>
        </w:rPr>
        <w:t xml:space="preserve"> </w:t>
      </w:r>
      <w:proofErr w:type="spellStart"/>
      <w:r>
        <w:rPr>
          <w:rtl/>
        </w:rPr>
        <w:t>למיר</w:t>
      </w:r>
      <w:proofErr w:type="spellEnd"/>
      <w:r>
        <w:rPr>
          <w:rtl/>
        </w:rPr>
        <w:t xml:space="preserve"> כמעט שנתיים קודם לכן, לפני שהתחיל בשיעורי הרוסית.</w:t>
      </w:r>
    </w:p>
    <w:p w14:paraId="7738A5AE" w14:textId="77777777" w:rsidR="00AB3647" w:rsidRDefault="00000000" w:rsidP="007923E9">
      <w:pPr>
        <w:spacing w:after="120" w:line="276" w:lineRule="auto"/>
        <w:ind w:firstLine="283"/>
        <w:jc w:val="both"/>
      </w:pPr>
      <w:r>
        <w:rPr>
          <w:rtl/>
        </w:rPr>
        <w:t xml:space="preserve">כשנחלשו רגלי הסבא בשנותיו האחרונות, גילה </w:t>
      </w:r>
      <w:proofErr w:type="spellStart"/>
      <w:r>
        <w:rPr>
          <w:rtl/>
        </w:rPr>
        <w:t>לר</w:t>
      </w:r>
      <w:proofErr w:type="spellEnd"/>
      <w:r>
        <w:rPr>
          <w:rtl/>
        </w:rPr>
        <w:t xml:space="preserve">׳ יצחק </w:t>
      </w:r>
      <w:proofErr w:type="spellStart"/>
      <w:r>
        <w:rPr>
          <w:rtl/>
        </w:rPr>
        <w:t>בורוכסון</w:t>
      </w:r>
      <w:bookmarkStart w:id="5075" w:name="_fnr3758"/>
      <w:proofErr w:type="spellEnd"/>
      <w:r>
        <w:rPr>
          <w:vertAlign w:val="superscript"/>
          <w:rtl/>
        </w:rPr>
        <w:footnoteReference w:id="3766" w:customMarkFollows="0"/>
      </w:r>
      <w:bookmarkEnd w:id="5075"/>
      <w:r>
        <w:rPr>
          <w:rtl/>
        </w:rPr>
        <w:t xml:space="preserve"> שהחולשה נגרמה מעמידתו בתפילות ממושכות למען תלמידים מסוימים, והביא את פסוק דוד המלך: “ברכי כשלו מצום”</w:t>
      </w:r>
      <w:bookmarkStart w:id="5076" w:name="_fnr3759"/>
      <w:r>
        <w:rPr>
          <w:vertAlign w:val="superscript"/>
          <w:rtl/>
        </w:rPr>
        <w:footnoteReference w:id="3767" w:customMarkFollows="0"/>
      </w:r>
      <w:bookmarkEnd w:id="5076"/>
      <w:r>
        <w:rPr>
          <w:rtl/>
        </w:rPr>
        <w:t xml:space="preserve">. הסבא הוסיף שהוא מספר לו זאת מפני שהוא צופה שיום אחד ישמש הרב </w:t>
      </w:r>
      <w:proofErr w:type="spellStart"/>
      <w:r>
        <w:rPr>
          <w:rtl/>
        </w:rPr>
        <w:t>בורוכסון</w:t>
      </w:r>
      <w:proofErr w:type="spellEnd"/>
      <w:r>
        <w:rPr>
          <w:rtl/>
        </w:rPr>
        <w:t xml:space="preserve"> משפיע מוסרי, ועליו לדעת עד היכן חייב אדם לדאוג לחניכיו.</w:t>
      </w:r>
    </w:p>
    <w:p w14:paraId="5339071C" w14:textId="77777777" w:rsidR="00AB3647" w:rsidRDefault="00000000" w:rsidP="007923E9">
      <w:pPr>
        <w:pStyle w:val="4"/>
        <w:spacing w:line="276" w:lineRule="auto"/>
      </w:pPr>
      <w:r>
        <w:t>· הפסקה הרביעית ·</w:t>
      </w:r>
    </w:p>
    <w:p w14:paraId="4DD2A399" w14:textId="77777777" w:rsidR="00AB3647" w:rsidRDefault="00000000" w:rsidP="007923E9">
      <w:pPr>
        <w:pStyle w:val="5"/>
        <w:spacing w:line="276" w:lineRule="auto"/>
      </w:pPr>
      <w:r>
        <w:rPr>
          <w:bCs/>
          <w:szCs w:val="26"/>
        </w:rPr>
        <w:t xml:space="preserve">גם ר׳ </w:t>
      </w:r>
      <w:proofErr w:type="spellStart"/>
      <w:r>
        <w:rPr>
          <w:bCs/>
          <w:szCs w:val="26"/>
        </w:rPr>
        <w:t>לייזר־יודל</w:t>
      </w:r>
      <w:proofErr w:type="spellEnd"/>
      <w:r>
        <w:rPr>
          <w:bCs/>
          <w:szCs w:val="26"/>
        </w:rPr>
        <w:t xml:space="preserve"> </w:t>
      </w:r>
      <w:proofErr w:type="spellStart"/>
      <w:r>
        <w:rPr>
          <w:bCs/>
          <w:szCs w:val="26"/>
        </w:rPr>
        <w:t>פינקל</w:t>
      </w:r>
      <w:proofErr w:type="spellEnd"/>
      <w:r>
        <w:rPr>
          <w:bCs/>
          <w:szCs w:val="26"/>
        </w:rPr>
        <w:t xml:space="preserve"> מתענה אך מטעמים אחרים</w:t>
      </w:r>
    </w:p>
    <w:p w14:paraId="24DB0A09" w14:textId="77777777" w:rsidR="00AB3647" w:rsidRDefault="00000000" w:rsidP="007923E9">
      <w:pPr>
        <w:spacing w:after="120" w:line="276" w:lineRule="auto"/>
        <w:ind w:firstLine="283"/>
        <w:jc w:val="both"/>
      </w:pPr>
      <w:r>
        <w:rPr>
          <w:rtl/>
        </w:rPr>
        <w:t xml:space="preserve">לפי מאמרו של הרב ניסן וקסמן על ר׳ </w:t>
      </w:r>
      <w:proofErr w:type="spellStart"/>
      <w:r>
        <w:rPr>
          <w:rtl/>
        </w:rPr>
        <w:t>אליעזר־יהודה</w:t>
      </w:r>
      <w:proofErr w:type="spellEnd"/>
      <w:r>
        <w:rPr>
          <w:rtl/>
        </w:rPr>
        <w:t xml:space="preserve"> </w:t>
      </w:r>
      <w:proofErr w:type="spellStart"/>
      <w:r>
        <w:rPr>
          <w:rtl/>
        </w:rPr>
        <w:t>פינקל</w:t>
      </w:r>
      <w:bookmarkStart w:id="5077" w:name="_fnr3760"/>
      <w:proofErr w:type="spellEnd"/>
      <w:r>
        <w:rPr>
          <w:vertAlign w:val="superscript"/>
          <w:rtl/>
        </w:rPr>
        <w:footnoteReference w:id="3768" w:customMarkFollows="0"/>
      </w:r>
      <w:bookmarkEnd w:id="5077"/>
      <w:r>
        <w:rPr>
          <w:rtl/>
        </w:rPr>
        <w:t xml:space="preserve">, בנו של הסבא, ר׳ </w:t>
      </w:r>
      <w:proofErr w:type="spellStart"/>
      <w:r>
        <w:rPr>
          <w:rtl/>
        </w:rPr>
        <w:t>לייזר־יודל</w:t>
      </w:r>
      <w:proofErr w:type="spellEnd"/>
      <w:r>
        <w:rPr>
          <w:rtl/>
        </w:rPr>
        <w:t xml:space="preserve">, “התענה במשך רוב חייו בימי שני וחמישי, וכן תעניות חלום. כשבני משפחתו הבחינו שאינו נוגע בארוחת הבוקר, כבר ידעו שהוא מתענה באותו יום. לפעמים היה המזון נעלם משולחנו – ורק לאחר זמן רב מצאו את </w:t>
      </w:r>
      <w:proofErr w:type="spellStart"/>
      <w:r>
        <w:rPr>
          <w:rtl/>
        </w:rPr>
        <w:t>מגֵרתו</w:t>
      </w:r>
      <w:proofErr w:type="spellEnd"/>
      <w:r>
        <w:rPr>
          <w:rtl/>
        </w:rPr>
        <w:t xml:space="preserve"> מלאה לחמניות שהתיישנו”. אבל נראה </w:t>
      </w:r>
      <w:r>
        <w:rPr>
          <w:rtl/>
        </w:rPr>
        <w:lastRenderedPageBreak/>
        <w:t>שתעניות אלה נועדו לסיגופים, ולא לתפילה על תלמידים, כפי שמעיד המעשה המפליא של סיגוף עצמי שראה הרב ניסן וקסמן</w:t>
      </w:r>
      <w:bookmarkStart w:id="5078" w:name="_fnr3761"/>
      <w:r>
        <w:rPr>
          <w:vertAlign w:val="superscript"/>
          <w:rtl/>
        </w:rPr>
        <w:footnoteReference w:id="3769" w:customMarkFollows="0"/>
      </w:r>
      <w:bookmarkEnd w:id="5078"/>
      <w:r>
        <w:rPr>
          <w:rtl/>
        </w:rPr>
        <w:t>.</w:t>
      </w:r>
    </w:p>
    <w:bookmarkStart w:id="5079" w:name="b4_excG"/>
    <w:bookmarkStart w:id="5080" w:name="b4_annexG"/>
    <w:p w14:paraId="021CD2DD" w14:textId="77777777" w:rsidR="00AB3647" w:rsidRDefault="00000000" w:rsidP="007923E9">
      <w:pPr>
        <w:pStyle w:val="3"/>
        <w:spacing w:line="276" w:lineRule="auto"/>
      </w:pPr>
      <w:r>
        <w:lastRenderedPageBreak/>
        <w:fldChar w:fldCharType="begin" w:dirty="true"/>
      </w:r>
      <w:r>
        <w:rPr>
          <w:rtl w:val="0"/>
        </w:rPr>
        <w:instrText>HYPERLINK \l "b4_note50</w:instrText>
      </w:r>
      <w:r>
        <w:instrText>"</w:instrText>
      </w:r>
      <w:r>
        <w:fldChar w:fldCharType="separate"/>
      </w:r>
      <w:r>
        <w:t>נספח ז</w:t>
      </w:r>
      <w:r>
        <w:fldChar w:fldCharType="end"/>
      </w:r>
      <w:bookmarkEnd w:id="5079"/>
      <w:bookmarkEnd w:id="5080"/>
    </w:p>
    <w:p w14:paraId="26D228BA" w14:textId="77777777" w:rsidR="00AB3647" w:rsidRDefault="00000000" w:rsidP="007923E9">
      <w:pPr>
        <w:pStyle w:val="af"/>
        <w:spacing w:line="276" w:lineRule="auto"/>
      </w:pPr>
      <w:r>
        <w:t>על הישגי הסבא בהמשכת לימוד התורה והנהגתה ועל תומכי תורה מרכזיים בימיו ובזמנים האחרונים</w:t>
      </w:r>
    </w:p>
    <w:p w14:paraId="67712323" w14:textId="77777777" w:rsidR="00AB3647" w:rsidRDefault="00000000" w:rsidP="007923E9">
      <w:pPr>
        <w:pStyle w:val="4"/>
        <w:spacing w:line="276" w:lineRule="auto"/>
      </w:pPr>
      <w:r>
        <w:t>· הפסקה הראשונה ·</w:t>
      </w:r>
    </w:p>
    <w:p w14:paraId="7A5DF610" w14:textId="77777777" w:rsidR="00AB3647" w:rsidRDefault="00000000" w:rsidP="007923E9">
      <w:pPr>
        <w:pStyle w:val="5"/>
        <w:spacing w:line="276" w:lineRule="auto"/>
      </w:pPr>
      <w:r>
        <w:rPr>
          <w:bCs/>
          <w:szCs w:val="26"/>
        </w:rPr>
        <w:t xml:space="preserve">תלמידי הסבא מתפעלים מכוח השפעתו – </w:t>
      </w:r>
      <w:proofErr w:type="spellStart"/>
      <w:r>
        <w:rPr>
          <w:bCs/>
          <w:szCs w:val="26"/>
        </w:rPr>
        <w:t>החפץ־חיים</w:t>
      </w:r>
      <w:proofErr w:type="spellEnd"/>
      <w:r>
        <w:rPr>
          <w:bCs/>
          <w:szCs w:val="26"/>
        </w:rPr>
        <w:t xml:space="preserve"> משווה את כוחותיו לכוחות הסבא</w:t>
      </w:r>
    </w:p>
    <w:p w14:paraId="01B5C9CA" w14:textId="77777777" w:rsidR="00AB3647" w:rsidRDefault="00000000" w:rsidP="007923E9">
      <w:pPr>
        <w:spacing w:after="120" w:line="276" w:lineRule="auto"/>
        <w:ind w:firstLine="283"/>
        <w:jc w:val="both"/>
      </w:pPr>
      <w:r>
        <w:rPr>
          <w:rtl/>
        </w:rPr>
        <w:t>כץ, “תנועת המוסר”, כרך ג</w:t>
      </w:r>
      <w:bookmarkStart w:id="5081" w:name="_fnr3762"/>
      <w:r>
        <w:rPr>
          <w:vertAlign w:val="superscript"/>
          <w:rtl/>
        </w:rPr>
        <w:footnoteReference w:id="3770" w:customMarkFollows="0"/>
      </w:r>
      <w:bookmarkEnd w:id="5081"/>
      <w:r>
        <w:rPr>
          <w:rtl/>
        </w:rPr>
        <w:t xml:space="preserve">, כותב שתלמידיו, שהתפעלו מכוחו להשפיע על בני אדם, תיארו אותו בביטויים אגדיים וכינוהו דמות אגדית. ר׳ חיים </w:t>
      </w:r>
      <w:proofErr w:type="spellStart"/>
      <w:r>
        <w:rPr>
          <w:rtl/>
        </w:rPr>
        <w:t>גרוזובסקי</w:t>
      </w:r>
      <w:proofErr w:type="spellEnd"/>
      <w:r>
        <w:rPr>
          <w:rtl/>
        </w:rPr>
        <w:t xml:space="preserve"> גילה</w:t>
      </w:r>
      <w:bookmarkStart w:id="5082" w:name="_fnr3763"/>
      <w:r>
        <w:rPr>
          <w:vertAlign w:val="superscript"/>
          <w:rtl/>
        </w:rPr>
        <w:footnoteReference w:id="3771" w:customMarkFollows="0"/>
      </w:r>
      <w:bookmarkEnd w:id="5082"/>
      <w:r>
        <w:rPr>
          <w:rtl/>
        </w:rPr>
        <w:t xml:space="preserve"> שלדברי אביו ר׳ ראובן, “העולם אינו יכול לשער כמה גדול היה הסבא”. ספר הזיכרון לסבא </w:t>
      </w:r>
      <w:proofErr w:type="spellStart"/>
      <w:r>
        <w:rPr>
          <w:rtl/>
        </w:rPr>
        <w:t>מסלבודקה</w:t>
      </w:r>
      <w:proofErr w:type="spellEnd"/>
      <w:r>
        <w:rPr>
          <w:rtl/>
        </w:rPr>
        <w:t xml:space="preserve"> שערך ר׳ </w:t>
      </w:r>
      <w:proofErr w:type="spellStart"/>
      <w:r>
        <w:rPr>
          <w:rtl/>
        </w:rPr>
        <w:t>ישראל־זיסל</w:t>
      </w:r>
      <w:proofErr w:type="spellEnd"/>
      <w:r>
        <w:rPr>
          <w:rtl/>
        </w:rPr>
        <w:t xml:space="preserve"> </w:t>
      </w:r>
      <w:proofErr w:type="spellStart"/>
      <w:r>
        <w:rPr>
          <w:rtl/>
        </w:rPr>
        <w:t>דבורץ</w:t>
      </w:r>
      <w:bookmarkStart w:id="5083" w:name="_fnr3764"/>
      <w:proofErr w:type="spellEnd"/>
      <w:r>
        <w:rPr>
          <w:vertAlign w:val="superscript"/>
          <w:rtl/>
        </w:rPr>
        <w:footnoteReference w:id="3772" w:customMarkFollows="0"/>
      </w:r>
      <w:bookmarkEnd w:id="5083"/>
      <w:r>
        <w:rPr>
          <w:rtl/>
        </w:rPr>
        <w:t xml:space="preserve"> מפליג בתיאורו: “כשאדם מן הדור החלוש הזה שואל אם אפשר לאדם לאצור </w:t>
      </w:r>
      <w:proofErr w:type="spellStart"/>
      <w:r>
        <w:rPr>
          <w:rtl/>
        </w:rPr>
        <w:t>בלבו</w:t>
      </w:r>
      <w:proofErr w:type="spellEnd"/>
      <w:r>
        <w:rPr>
          <w:rtl/>
        </w:rPr>
        <w:t xml:space="preserve"> טוב ומתיקות כה רבים, אהבת הבריות כה רבה, שכאשר הוא בא במגע עם רבבות יהודים השונים במזגם ובהשקפתם, יוכל לזכות </w:t>
      </w:r>
      <w:proofErr w:type="spellStart"/>
      <w:r>
        <w:rPr>
          <w:rtl/>
        </w:rPr>
        <w:t>בלבם</w:t>
      </w:r>
      <w:proofErr w:type="spellEnd"/>
      <w:r>
        <w:rPr>
          <w:rtl/>
        </w:rPr>
        <w:t xml:space="preserve"> ברגע הראשון, עד שיימשכו אליו כאילו בחבלי קסם – לפנינו תשובה חיה: רבנו הסבא </w:t>
      </w:r>
      <w:proofErr w:type="spellStart"/>
      <w:r>
        <w:rPr>
          <w:rtl/>
        </w:rPr>
        <w:t>מסלבודקה</w:t>
      </w:r>
      <w:proofErr w:type="spellEnd"/>
      <w:r>
        <w:rPr>
          <w:rtl/>
        </w:rPr>
        <w:t>”.</w:t>
      </w:r>
    </w:p>
    <w:p w14:paraId="360AF52B" w14:textId="77777777" w:rsidR="00AB3647" w:rsidRDefault="00000000" w:rsidP="007923E9">
      <w:pPr>
        <w:spacing w:after="120" w:line="276" w:lineRule="auto"/>
        <w:ind w:firstLine="283"/>
        <w:jc w:val="both"/>
      </w:pPr>
      <w:proofErr w:type="spellStart"/>
      <w:r>
        <w:rPr>
          <w:rtl/>
        </w:rPr>
        <w:t>ב“תורת</w:t>
      </w:r>
      <w:proofErr w:type="spellEnd"/>
      <w:r>
        <w:rPr>
          <w:rtl/>
        </w:rPr>
        <w:t xml:space="preserve"> אברהם”</w:t>
      </w:r>
      <w:bookmarkStart w:id="5084" w:name="_fnr3765"/>
      <w:r>
        <w:rPr>
          <w:vertAlign w:val="superscript"/>
          <w:rtl/>
        </w:rPr>
        <w:footnoteReference w:id="3773" w:customMarkFollows="0"/>
      </w:r>
      <w:bookmarkEnd w:id="5084"/>
      <w:r>
        <w:rPr>
          <w:rtl/>
        </w:rPr>
        <w:t xml:space="preserve"> מתאר תלמידו המובהק, ר׳ אברהם </w:t>
      </w:r>
      <w:proofErr w:type="spellStart"/>
      <w:r>
        <w:rPr>
          <w:rtl/>
        </w:rPr>
        <w:t>גרודזינסקי</w:t>
      </w:r>
      <w:proofErr w:type="spellEnd"/>
      <w:r>
        <w:rPr>
          <w:rtl/>
        </w:rPr>
        <w:t xml:space="preserve">, בהתלהבות את השינויים שראה במידות האנשים “שישבו סביב” הסבא: “חידוש גדול נראה בבית מדרשו של רבנו. החידוש לא היה רק בעלייתו הגדולה, אלא גם בעליית התלמידים שישבו סביבו. החידוש היה שההתקדמות הניכרת בכל אחד עלתה הרבה מעבר למידה שהייתה תואמת את מאמציו. מפליא היה לראות שאלה שלא התמסרו לתיקון המידות התקדמו מאוד במשך הזמן, ואילו העמלים בכבישת המידות ובתיקונן התקדמו התקדמות יוצאת מן הכלל. בתוך זמן קצר נראו שינויים מופלאים בתכונות התלמידים האלה: מעצלות לשקידה, מקמצנות לנדיבות, מבהילות למתינות וליישוב הדעת, </w:t>
      </w:r>
      <w:proofErr w:type="spellStart"/>
      <w:r>
        <w:rPr>
          <w:rtl/>
        </w:rPr>
        <w:t>מחיי</w:t>
      </w:r>
      <w:proofErr w:type="spellEnd"/>
      <w:r>
        <w:rPr>
          <w:rtl/>
        </w:rPr>
        <w:t xml:space="preserve"> קלות ראש ושחוק לחיי תוכן ורצינות. זכורני ביקור של </w:t>
      </w:r>
      <w:proofErr w:type="spellStart"/>
      <w:r>
        <w:rPr>
          <w:rtl/>
        </w:rPr>
        <w:t>החפץ־חיים</w:t>
      </w:r>
      <w:proofErr w:type="spellEnd"/>
      <w:r>
        <w:rPr>
          <w:rtl/>
        </w:rPr>
        <w:t xml:space="preserve"> בקובנה, שבו ראה כמה </w:t>
      </w:r>
      <w:r>
        <w:rPr>
          <w:b/>
          <w:bCs/>
          <w:rtl/>
        </w:rPr>
        <w:t>תלמידים שלמדו קודם לכן אצלו</w:t>
      </w:r>
      <w:r>
        <w:rPr>
          <w:rtl/>
        </w:rPr>
        <w:t xml:space="preserve"> (ההדגשה שלי), ואמר להם: ‘זאת לא יכולתי לעשות. כוחי בשמירת הקיים, שלא להניח לתלמיד לרדת ממדרגתו הרוחנית. אבל לחולל שינויים באדם, שינוי במידותיו – זהו כוחה של </w:t>
      </w:r>
      <w:proofErr w:type="spellStart"/>
      <w:r>
        <w:rPr>
          <w:rtl/>
        </w:rPr>
        <w:t>סלבודקה</w:t>
      </w:r>
      <w:proofErr w:type="spellEnd"/>
      <w:r>
        <w:rPr>
          <w:rtl/>
        </w:rPr>
        <w:t>’”.</w:t>
      </w:r>
    </w:p>
    <w:p w14:paraId="5D6C4199" w14:textId="77777777" w:rsidR="00AB3647" w:rsidRDefault="00000000" w:rsidP="007923E9">
      <w:pPr>
        <w:spacing w:after="120" w:line="276" w:lineRule="auto"/>
        <w:ind w:firstLine="283"/>
        <w:jc w:val="both"/>
      </w:pPr>
      <w:r>
        <w:rPr>
          <w:rtl/>
        </w:rPr>
        <w:t>נראה שכץ, “תנועת המוסר”, כרך ג</w:t>
      </w:r>
      <w:bookmarkStart w:id="5085" w:name="_fnr3766"/>
      <w:r>
        <w:rPr>
          <w:vertAlign w:val="superscript"/>
          <w:rtl/>
        </w:rPr>
        <w:footnoteReference w:id="3774" w:customMarkFollows="0"/>
      </w:r>
      <w:bookmarkEnd w:id="5085"/>
      <w:r>
        <w:rPr>
          <w:rtl/>
        </w:rPr>
        <w:t xml:space="preserve">, מתייחס לביקור זה, כשהוא מביא את דברי </w:t>
      </w:r>
      <w:proofErr w:type="spellStart"/>
      <w:r>
        <w:rPr>
          <w:rtl/>
        </w:rPr>
        <w:t>החפץ־חיים</w:t>
      </w:r>
      <w:proofErr w:type="spellEnd"/>
      <w:r>
        <w:rPr>
          <w:rtl/>
        </w:rPr>
        <w:t xml:space="preserve"> </w:t>
      </w:r>
      <w:proofErr w:type="spellStart"/>
      <w:r>
        <w:rPr>
          <w:rtl/>
        </w:rPr>
        <w:t>בפגשו</w:t>
      </w:r>
      <w:proofErr w:type="spellEnd"/>
      <w:r>
        <w:rPr>
          <w:rtl/>
        </w:rPr>
        <w:t xml:space="preserve"> כמה מתלמידיו לשעבר: “הכישרון הזה הוא רק של ר׳ </w:t>
      </w:r>
      <w:proofErr w:type="spellStart"/>
      <w:r>
        <w:rPr>
          <w:rtl/>
        </w:rPr>
        <w:t>נתן־צבי</w:t>
      </w:r>
      <w:proofErr w:type="spellEnd"/>
      <w:r>
        <w:rPr>
          <w:rtl/>
        </w:rPr>
        <w:t xml:space="preserve">. אנו מקבלים תלמידים נאמנים ומעלים אותם בתורה וביראת שמים, ואילו הוא מקבל גם תלמידים מקולקלים והופכם ללמדנים ויראים”. מחמיאה עוד יותר אמרת </w:t>
      </w:r>
      <w:proofErr w:type="spellStart"/>
      <w:r>
        <w:rPr>
          <w:rtl/>
        </w:rPr>
        <w:t>החפץ־חיים</w:t>
      </w:r>
      <w:proofErr w:type="spellEnd"/>
      <w:r>
        <w:rPr>
          <w:rtl/>
        </w:rPr>
        <w:t xml:space="preserve"> המובאת בכץ</w:t>
      </w:r>
      <w:bookmarkStart w:id="5086" w:name="_fnr3767"/>
      <w:r>
        <w:rPr>
          <w:vertAlign w:val="superscript"/>
          <w:rtl/>
        </w:rPr>
        <w:footnoteReference w:id="3775" w:customMarkFollows="0"/>
      </w:r>
      <w:bookmarkEnd w:id="5086"/>
      <w:r>
        <w:rPr>
          <w:rtl/>
        </w:rPr>
        <w:t xml:space="preserve">, שנאמרה כשפגש את ר׳ אברהם </w:t>
      </w:r>
      <w:proofErr w:type="spellStart"/>
      <w:r>
        <w:rPr>
          <w:rtl/>
        </w:rPr>
        <w:t>גרודזינסקי</w:t>
      </w:r>
      <w:proofErr w:type="spellEnd"/>
      <w:r>
        <w:rPr>
          <w:rtl/>
        </w:rPr>
        <w:t xml:space="preserve">, שלמד בתחילה </w:t>
      </w:r>
      <w:proofErr w:type="spellStart"/>
      <w:r>
        <w:rPr>
          <w:rtl/>
        </w:rPr>
        <w:t>בלומז׳ה</w:t>
      </w:r>
      <w:proofErr w:type="spellEnd"/>
      <w:r>
        <w:rPr>
          <w:rtl/>
        </w:rPr>
        <w:t xml:space="preserve"> ובישיבתו שלו </w:t>
      </w:r>
      <w:proofErr w:type="spellStart"/>
      <w:r>
        <w:rPr>
          <w:rtl/>
        </w:rPr>
        <w:t>בראדין</w:t>
      </w:r>
      <w:proofErr w:type="spellEnd"/>
      <w:r>
        <w:rPr>
          <w:rtl/>
        </w:rPr>
        <w:t xml:space="preserve">. </w:t>
      </w:r>
      <w:proofErr w:type="spellStart"/>
      <w:r>
        <w:rPr>
          <w:rtl/>
        </w:rPr>
        <w:t>החפץ־</w:t>
      </w:r>
      <w:r>
        <w:rPr>
          <w:rtl/>
        </w:rPr>
        <w:lastRenderedPageBreak/>
        <w:t>חיים</w:t>
      </w:r>
      <w:proofErr w:type="spellEnd"/>
      <w:r>
        <w:rPr>
          <w:rtl/>
        </w:rPr>
        <w:t xml:space="preserve"> השווה את עבודתו לעבודת ר׳ </w:t>
      </w:r>
      <w:proofErr w:type="spellStart"/>
      <w:r>
        <w:rPr>
          <w:rtl/>
        </w:rPr>
        <w:t>נתן־צבי</w:t>
      </w:r>
      <w:proofErr w:type="spellEnd"/>
      <w:r>
        <w:rPr>
          <w:rtl/>
        </w:rPr>
        <w:t xml:space="preserve"> </w:t>
      </w:r>
      <w:proofErr w:type="spellStart"/>
      <w:r>
        <w:rPr>
          <w:rtl/>
        </w:rPr>
        <w:t>פינקל</w:t>
      </w:r>
      <w:proofErr w:type="spellEnd"/>
      <w:r>
        <w:rPr>
          <w:rtl/>
        </w:rPr>
        <w:t xml:space="preserve"> ואמר: “אני מחבר ספרים, והוא יוצר אנשים”. אולי התכוון ר׳ אברהם </w:t>
      </w:r>
      <w:r>
        <w:rPr>
          <w:b/>
          <w:bCs/>
          <w:rtl/>
        </w:rPr>
        <w:t>לעצמו</w:t>
      </w:r>
      <w:r>
        <w:rPr>
          <w:rtl/>
        </w:rPr>
        <w:t xml:space="preserve"> כשכתב </w:t>
      </w:r>
      <w:proofErr w:type="spellStart"/>
      <w:r>
        <w:rPr>
          <w:rtl/>
        </w:rPr>
        <w:t>ב“תורת</w:t>
      </w:r>
      <w:proofErr w:type="spellEnd"/>
      <w:r>
        <w:rPr>
          <w:rtl/>
        </w:rPr>
        <w:t xml:space="preserve"> אברהם” על “תלמידים שלמדו קודם לכן אצל [</w:t>
      </w:r>
      <w:proofErr w:type="spellStart"/>
      <w:r>
        <w:rPr>
          <w:rtl/>
        </w:rPr>
        <w:t>החפץ־חיים</w:t>
      </w:r>
      <w:proofErr w:type="spellEnd"/>
      <w:r>
        <w:rPr>
          <w:rtl/>
        </w:rPr>
        <w:t xml:space="preserve">, כפי שצוטט והודגש לעיל]”, </w:t>
      </w:r>
      <w:proofErr w:type="spellStart"/>
      <w:r>
        <w:rPr>
          <w:rtl/>
        </w:rPr>
        <w:t>שהחפץ־חיים</w:t>
      </w:r>
      <w:proofErr w:type="spellEnd"/>
      <w:r>
        <w:rPr>
          <w:rtl/>
        </w:rPr>
        <w:t xml:space="preserve"> ראה בהם שינויים שהודה שלא היה בכוחו לחולל.</w:t>
      </w:r>
    </w:p>
    <w:p w14:paraId="1D1D664C" w14:textId="77777777" w:rsidR="00AB3647" w:rsidRDefault="00000000" w:rsidP="007923E9">
      <w:pPr>
        <w:spacing w:after="120" w:line="276" w:lineRule="auto"/>
        <w:ind w:firstLine="283"/>
        <w:jc w:val="both"/>
      </w:pPr>
      <w:r>
        <w:rPr>
          <w:rtl/>
        </w:rPr>
        <w:t xml:space="preserve">מעניין שלפי תלמיד </w:t>
      </w:r>
      <w:proofErr w:type="spellStart"/>
      <w:r>
        <w:rPr>
          <w:rtl/>
        </w:rPr>
        <w:t>נובהרדוק</w:t>
      </w:r>
      <w:proofErr w:type="spellEnd"/>
      <w:r>
        <w:rPr>
          <w:rtl/>
        </w:rPr>
        <w:t xml:space="preserve"> ר׳ חיים </w:t>
      </w:r>
      <w:proofErr w:type="spellStart"/>
      <w:r>
        <w:rPr>
          <w:rtl/>
        </w:rPr>
        <w:t>זייצ׳יק</w:t>
      </w:r>
      <w:proofErr w:type="spellEnd"/>
      <w:r>
        <w:rPr>
          <w:rtl/>
        </w:rPr>
        <w:t xml:space="preserve">, המובא </w:t>
      </w:r>
      <w:proofErr w:type="spellStart"/>
      <w:r>
        <w:rPr>
          <w:rtl/>
        </w:rPr>
        <w:t>ב“ספר</w:t>
      </w:r>
      <w:proofErr w:type="spellEnd"/>
      <w:r>
        <w:rPr>
          <w:rtl/>
        </w:rPr>
        <w:t xml:space="preserve"> מאיר עיני ישראל”</w:t>
      </w:r>
      <w:bookmarkStart w:id="5087" w:name="_fnr3768"/>
      <w:r>
        <w:rPr>
          <w:vertAlign w:val="superscript"/>
          <w:rtl/>
        </w:rPr>
        <w:footnoteReference w:id="3776" w:customMarkFollows="0"/>
      </w:r>
      <w:bookmarkEnd w:id="5087"/>
      <w:r>
        <w:rPr>
          <w:rtl/>
        </w:rPr>
        <w:t xml:space="preserve">, חזר </w:t>
      </w:r>
      <w:proofErr w:type="spellStart"/>
      <w:r>
        <w:rPr>
          <w:rtl/>
        </w:rPr>
        <w:t>החפץ־חיים</w:t>
      </w:r>
      <w:proofErr w:type="spellEnd"/>
      <w:r>
        <w:rPr>
          <w:rtl/>
        </w:rPr>
        <w:t xml:space="preserve"> מאוחר יותר על אותה השוואה בין ספרים לאנשים, שהשמיע בביקורו </w:t>
      </w:r>
      <w:proofErr w:type="spellStart"/>
      <w:r>
        <w:rPr>
          <w:rtl/>
        </w:rPr>
        <w:t>בסלבודקה</w:t>
      </w:r>
      <w:proofErr w:type="spellEnd"/>
      <w:r>
        <w:rPr>
          <w:rtl/>
        </w:rPr>
        <w:t xml:space="preserve">, ביחס </w:t>
      </w:r>
      <w:proofErr w:type="spellStart"/>
      <w:r>
        <w:rPr>
          <w:rtl/>
        </w:rPr>
        <w:t>לר</w:t>
      </w:r>
      <w:proofErr w:type="spellEnd"/>
      <w:r>
        <w:rPr>
          <w:rtl/>
        </w:rPr>
        <w:t xml:space="preserve">׳ יוזל </w:t>
      </w:r>
      <w:proofErr w:type="spellStart"/>
      <w:r>
        <w:rPr>
          <w:rtl/>
        </w:rPr>
        <w:t>מנובהרדוק</w:t>
      </w:r>
      <w:bookmarkStart w:id="5088" w:name="_fnr3769"/>
      <w:proofErr w:type="spellEnd"/>
      <w:r>
        <w:rPr>
          <w:vertAlign w:val="superscript"/>
          <w:rtl/>
        </w:rPr>
        <w:footnoteReference w:id="3777" w:customMarkFollows="0"/>
      </w:r>
      <w:bookmarkEnd w:id="5088"/>
      <w:r>
        <w:rPr>
          <w:rtl/>
        </w:rPr>
        <w:t xml:space="preserve">. לפי המסופר אמר </w:t>
      </w:r>
      <w:proofErr w:type="spellStart"/>
      <w:r>
        <w:rPr>
          <w:rtl/>
        </w:rPr>
        <w:t>החפץ־חיים</w:t>
      </w:r>
      <w:proofErr w:type="spellEnd"/>
      <w:r>
        <w:rPr>
          <w:rtl/>
        </w:rPr>
        <w:t xml:space="preserve"> </w:t>
      </w:r>
      <w:proofErr w:type="spellStart"/>
      <w:r>
        <w:rPr>
          <w:rtl/>
        </w:rPr>
        <w:t>בתר״ץ</w:t>
      </w:r>
      <w:proofErr w:type="spellEnd"/>
      <w:r>
        <w:rPr>
          <w:rtl/>
        </w:rPr>
        <w:t>: “ר׳ יוזל חיבר ויצר אנשים, ואני חיברתי ספרים; ואילו הם” – וכוונתו למשכילים – “</w:t>
      </w:r>
      <w:proofErr w:type="spellStart"/>
      <w:r>
        <w:rPr>
          <w:rtl/>
        </w:rPr>
        <w:t>ההולטייעס</w:t>
      </w:r>
      <w:proofErr w:type="spellEnd"/>
      <w:r>
        <w:rPr>
          <w:rtl/>
        </w:rPr>
        <w:t xml:space="preserve"> [ההוללים, הנבלים], לעגו </w:t>
      </w:r>
      <w:proofErr w:type="spellStart"/>
      <w:r>
        <w:rPr>
          <w:rtl/>
        </w:rPr>
        <w:t>לר</w:t>
      </w:r>
      <w:proofErr w:type="spellEnd"/>
      <w:r>
        <w:rPr>
          <w:rtl/>
        </w:rPr>
        <w:t>׳ יוזל. מה שהשיג ר׳ יוזל יכול כל אחד לראות; ומה נעשה מהם? ערמת אפר!”</w:t>
      </w:r>
      <w:bookmarkStart w:id="5089" w:name="_fnr3770"/>
      <w:r>
        <w:rPr>
          <w:vertAlign w:val="superscript"/>
          <w:rtl/>
        </w:rPr>
        <w:footnoteReference w:id="3778" w:customMarkFollows="0"/>
      </w:r>
      <w:bookmarkEnd w:id="5089"/>
    </w:p>
    <w:p w14:paraId="0BEA31AD" w14:textId="77777777" w:rsidR="00AB3647" w:rsidRDefault="00000000" w:rsidP="007923E9">
      <w:pPr>
        <w:pStyle w:val="4"/>
        <w:spacing w:line="276" w:lineRule="auto"/>
      </w:pPr>
      <w:r>
        <w:t>· הפסקה השנייה ·</w:t>
      </w:r>
    </w:p>
    <w:p w14:paraId="328078F0" w14:textId="77777777" w:rsidR="00AB3647" w:rsidRDefault="00000000" w:rsidP="007923E9">
      <w:pPr>
        <w:pStyle w:val="5"/>
        <w:spacing w:line="276" w:lineRule="auto"/>
      </w:pPr>
      <w:r>
        <w:rPr>
          <w:bCs/>
          <w:szCs w:val="26"/>
        </w:rPr>
        <w:t xml:space="preserve">ר׳ ירוחם </w:t>
      </w:r>
      <w:proofErr w:type="spellStart"/>
      <w:r>
        <w:rPr>
          <w:bCs/>
          <w:szCs w:val="26"/>
        </w:rPr>
        <w:t>ליבוביץ</w:t>
      </w:r>
      <w:proofErr w:type="spellEnd"/>
      <w:r>
        <w:rPr>
          <w:bCs/>
          <w:szCs w:val="26"/>
        </w:rPr>
        <w:t xml:space="preserve"> ור׳ </w:t>
      </w:r>
      <w:proofErr w:type="spellStart"/>
      <w:r>
        <w:rPr>
          <w:bCs/>
          <w:szCs w:val="26"/>
        </w:rPr>
        <w:t>ישראל־זיסל</w:t>
      </w:r>
      <w:proofErr w:type="spellEnd"/>
      <w:r>
        <w:rPr>
          <w:bCs/>
          <w:szCs w:val="26"/>
        </w:rPr>
        <w:t xml:space="preserve"> </w:t>
      </w:r>
      <w:proofErr w:type="spellStart"/>
      <w:r>
        <w:rPr>
          <w:bCs/>
          <w:szCs w:val="26"/>
        </w:rPr>
        <w:t>דבורץ</w:t>
      </w:r>
      <w:proofErr w:type="spellEnd"/>
      <w:r>
        <w:rPr>
          <w:bCs/>
          <w:szCs w:val="26"/>
        </w:rPr>
        <w:t xml:space="preserve"> משבחים את הישגי הסבא – קיום התורה בדורנו נזקף לזכותו – תלמידיו סבורים שמי שלא למד אצלו חסר בחינוך – תומך התורה עובדיה לחמן מבקש להישאר אלמוני – ר׳ שלמה אלישיב מצפין את שמו בשם ספרו – מעוז ההשכלה מקרין תמיכה בתורה</w:t>
      </w:r>
    </w:p>
    <w:p w14:paraId="05AC66C8" w14:textId="77777777" w:rsidR="00AB3647" w:rsidRDefault="00000000" w:rsidP="007923E9">
      <w:pPr>
        <w:spacing w:after="120" w:line="276" w:lineRule="auto"/>
        <w:ind w:firstLine="283"/>
        <w:jc w:val="both"/>
      </w:pPr>
      <w:r>
        <w:rPr>
          <w:rtl/>
        </w:rPr>
        <w:t>“ספר דעת תורה”</w:t>
      </w:r>
      <w:bookmarkStart w:id="5090" w:name="_fnr3771"/>
      <w:r>
        <w:rPr>
          <w:vertAlign w:val="superscript"/>
          <w:rtl/>
        </w:rPr>
        <w:footnoteReference w:id="3779" w:customMarkFollows="0"/>
      </w:r>
      <w:bookmarkEnd w:id="5090"/>
      <w:r>
        <w:rPr>
          <w:rtl/>
        </w:rPr>
        <w:t xml:space="preserve"> מביא שיחת הספד של משגיח ישיבת </w:t>
      </w:r>
      <w:proofErr w:type="spellStart"/>
      <w:r>
        <w:rPr>
          <w:rtl/>
        </w:rPr>
        <w:t>מיר</w:t>
      </w:r>
      <w:bookmarkStart w:id="5091" w:name="_fnr3772"/>
      <w:proofErr w:type="spellEnd"/>
      <w:r>
        <w:rPr>
          <w:vertAlign w:val="superscript"/>
          <w:rtl/>
        </w:rPr>
        <w:footnoteReference w:id="3780" w:customMarkFollows="0"/>
      </w:r>
      <w:bookmarkEnd w:id="5091"/>
      <w:r>
        <w:rPr>
          <w:rtl/>
        </w:rPr>
        <w:t xml:space="preserve">, תשעה ימים לאחר פטירת הסבא: “אדם שישב כל ימיו הארוכים בקיטון יחיד ומיוחד, שממנו יצא אור לעולם כולו – כמה גדולים היו מעשיו! זאת יכולים אנו לומר בוודאות: אלמלא הוא, ח״ו נשתכח תורה בישראל. אנו רואים שבישיבות שלא הוא יסדן תלויים מנעולים רבים על הדלתות, ואילו הישיבות שבנה – הן עומדות איתן וחזק!”. הדברים חוזרים על הרעיון שבדברי עורך ספר הזיכרון לסבא </w:t>
      </w:r>
      <w:proofErr w:type="spellStart"/>
      <w:r>
        <w:rPr>
          <w:rtl/>
        </w:rPr>
        <w:t>מסלבודקה</w:t>
      </w:r>
      <w:proofErr w:type="spellEnd"/>
      <w:r>
        <w:rPr>
          <w:rtl/>
        </w:rPr>
        <w:t>, שכתב</w:t>
      </w:r>
      <w:bookmarkStart w:id="5092" w:name="_fnr3773"/>
      <w:r>
        <w:rPr>
          <w:vertAlign w:val="superscript"/>
          <w:rtl/>
        </w:rPr>
        <w:footnoteReference w:id="3781" w:customMarkFollows="0"/>
      </w:r>
      <w:bookmarkEnd w:id="5092"/>
      <w:r>
        <w:rPr>
          <w:rtl/>
        </w:rPr>
        <w:t xml:space="preserve">: “רק אדם זה ר׳ </w:t>
      </w:r>
      <w:proofErr w:type="spellStart"/>
      <w:r>
        <w:rPr>
          <w:rtl/>
        </w:rPr>
        <w:t>נתן־צבי</w:t>
      </w:r>
      <w:proofErr w:type="spellEnd"/>
      <w:r>
        <w:rPr>
          <w:rtl/>
        </w:rPr>
        <w:t xml:space="preserve"> </w:t>
      </w:r>
      <w:proofErr w:type="spellStart"/>
      <w:r>
        <w:rPr>
          <w:rtl/>
        </w:rPr>
        <w:t>פינקל</w:t>
      </w:r>
      <w:proofErr w:type="spellEnd"/>
      <w:r>
        <w:rPr>
          <w:rtl/>
        </w:rPr>
        <w:t xml:space="preserve"> זכה מן השמים ליצור כמעט את כל מרכזי התורה בליטא ולהציל את שארית הפליטה של עם ישראל. איננו יכולים לשער איזו צורה היה לובש עם ישראל אלמלא השליח הזה ממרום, ומה היה גורלה של תורתנו הקדושה בזמן הזה אלמלי לא החזיר עטרה ליושנה”.</w:t>
      </w:r>
    </w:p>
    <w:p w14:paraId="41EFC718" w14:textId="77777777" w:rsidR="00AB3647" w:rsidRDefault="00000000" w:rsidP="007923E9">
      <w:pPr>
        <w:spacing w:after="120" w:line="276" w:lineRule="auto"/>
        <w:ind w:firstLine="283"/>
        <w:jc w:val="both"/>
      </w:pPr>
      <w:r>
        <w:rPr>
          <w:rtl/>
        </w:rPr>
        <w:lastRenderedPageBreak/>
        <w:t>ר׳ אהרן קוטלר אמר שהסבא היה רבו של כלל ישראל</w:t>
      </w:r>
      <w:bookmarkStart w:id="5093" w:name="_fnr3774"/>
      <w:r>
        <w:rPr>
          <w:vertAlign w:val="superscript"/>
          <w:rtl/>
        </w:rPr>
        <w:footnoteReference w:id="3782" w:customMarkFollows="0"/>
      </w:r>
      <w:bookmarkEnd w:id="5093"/>
      <w:r>
        <w:rPr>
          <w:rtl/>
        </w:rPr>
        <w:t xml:space="preserve">. אבי, מנקודת מבט היסטורית רחוקה עוד יותר, כינה את הסבא כעבור </w:t>
      </w:r>
      <w:proofErr w:type="spellStart"/>
      <w:r>
        <w:rPr>
          <w:rtl/>
        </w:rPr>
        <w:t>חמש־עשרה</w:t>
      </w:r>
      <w:proofErr w:type="spellEnd"/>
      <w:r>
        <w:rPr>
          <w:rtl/>
        </w:rPr>
        <w:t xml:space="preserve"> שנה</w:t>
      </w:r>
      <w:bookmarkStart w:id="5094" w:name="_fnr3775"/>
      <w:r>
        <w:rPr>
          <w:vertAlign w:val="superscript"/>
          <w:rtl/>
        </w:rPr>
        <w:footnoteReference w:id="3783" w:customMarkFollows="0"/>
      </w:r>
      <w:bookmarkEnd w:id="5094"/>
      <w:r>
        <w:rPr>
          <w:rtl/>
        </w:rPr>
        <w:t xml:space="preserve"> “כנראה בונה התורה הגדול ביותר במאה השנים האחרונות”. בהזדמנות אחרת רשם אבי </w:t>
      </w:r>
      <w:proofErr w:type="spellStart"/>
      <w:r>
        <w:rPr>
          <w:rtl/>
        </w:rPr>
        <w:t>לר</w:t>
      </w:r>
      <w:proofErr w:type="spellEnd"/>
      <w:r>
        <w:rPr>
          <w:rtl/>
        </w:rPr>
        <w:t>׳ חיים ברים</w:t>
      </w:r>
      <w:bookmarkStart w:id="5095" w:name="_fnr3776"/>
      <w:r>
        <w:rPr>
          <w:vertAlign w:val="superscript"/>
          <w:rtl/>
        </w:rPr>
        <w:footnoteReference w:id="3784" w:customMarkFollows="0"/>
      </w:r>
      <w:bookmarkEnd w:id="5095"/>
      <w:r>
        <w:rPr>
          <w:rtl/>
        </w:rPr>
        <w:t xml:space="preserve"> את שמות </w:t>
      </w:r>
      <w:proofErr w:type="spellStart"/>
      <w:r>
        <w:rPr>
          <w:rtl/>
        </w:rPr>
        <w:t>אחת־עשרה</w:t>
      </w:r>
      <w:proofErr w:type="spellEnd"/>
      <w:r>
        <w:rPr>
          <w:rtl/>
        </w:rPr>
        <w:t xml:space="preserve"> הישיבות הגדולות באמריקה, וכיצד צמחה כל אחת מהן מתלמידי הסבא. ר׳ שפטל </w:t>
      </w:r>
      <w:proofErr w:type="spellStart"/>
      <w:r>
        <w:rPr>
          <w:rtl/>
        </w:rPr>
        <w:t>נויברגר</w:t>
      </w:r>
      <w:proofErr w:type="spellEnd"/>
      <w:r>
        <w:rPr>
          <w:rtl/>
        </w:rPr>
        <w:t xml:space="preserve"> סיפר: “ר׳ </w:t>
      </w:r>
      <w:proofErr w:type="spellStart"/>
      <w:r>
        <w:rPr>
          <w:rtl/>
        </w:rPr>
        <w:t>יעקב־יצחק</w:t>
      </w:r>
      <w:proofErr w:type="spellEnd"/>
      <w:r>
        <w:rPr>
          <w:rtl/>
        </w:rPr>
        <w:t xml:space="preserve"> </w:t>
      </w:r>
      <w:proofErr w:type="spellStart"/>
      <w:r>
        <w:rPr>
          <w:rtl/>
        </w:rPr>
        <w:t>רודרמן</w:t>
      </w:r>
      <w:proofErr w:type="spellEnd"/>
      <w:r>
        <w:rPr>
          <w:rtl/>
        </w:rPr>
        <w:t xml:space="preserve"> היה אומר תמיד שכל קיומה של הנהגת התורה בעולם נזקף לזכות הסבא”.</w:t>
      </w:r>
    </w:p>
    <w:p w14:paraId="26B5C5A7" w14:textId="77777777" w:rsidR="00AB3647" w:rsidRDefault="00000000" w:rsidP="007923E9">
      <w:pPr>
        <w:spacing w:after="120" w:line="276" w:lineRule="auto"/>
        <w:ind w:firstLine="283"/>
        <w:jc w:val="both"/>
      </w:pPr>
      <w:r>
        <w:rPr>
          <w:rtl/>
        </w:rPr>
        <w:t xml:space="preserve">ר׳ </w:t>
      </w:r>
      <w:proofErr w:type="spellStart"/>
      <w:r>
        <w:rPr>
          <w:rtl/>
        </w:rPr>
        <w:t>אלעזר־מנחם־מן</w:t>
      </w:r>
      <w:proofErr w:type="spellEnd"/>
      <w:r>
        <w:rPr>
          <w:rtl/>
        </w:rPr>
        <w:t xml:space="preserve"> שך העריך את הסבא באותו אופן, אף שבניגוד למנהיגי התורה האחרים שהובאו לעיל, למד </w:t>
      </w:r>
      <w:proofErr w:type="spellStart"/>
      <w:r>
        <w:rPr>
          <w:rtl/>
        </w:rPr>
        <w:t>בסלבודקה</w:t>
      </w:r>
      <w:proofErr w:type="spellEnd"/>
      <w:r>
        <w:rPr>
          <w:rtl/>
        </w:rPr>
        <w:t xml:space="preserve"> זמן קצר בלבד</w:t>
      </w:r>
      <w:bookmarkStart w:id="5096" w:name="_fnr3777"/>
      <w:r>
        <w:rPr>
          <w:vertAlign w:val="superscript"/>
          <w:rtl/>
        </w:rPr>
        <w:footnoteReference w:id="3785" w:customMarkFollows="0"/>
      </w:r>
      <w:bookmarkEnd w:id="5096"/>
      <w:r>
        <w:rPr>
          <w:rtl/>
        </w:rPr>
        <w:t>. הוא מצא</w:t>
      </w:r>
      <w:bookmarkStart w:id="5097" w:name="_fnr3778"/>
      <w:r>
        <w:rPr>
          <w:vertAlign w:val="superscript"/>
          <w:rtl/>
        </w:rPr>
        <w:footnoteReference w:id="3786" w:customMarkFollows="0"/>
      </w:r>
      <w:bookmarkEnd w:id="5097"/>
      <w:r>
        <w:rPr>
          <w:rtl/>
        </w:rPr>
        <w:t xml:space="preserve"> דמיון בין פול (משה) רייכמן והחברה שלו לבין הנדבן אמיל (עובדיה) לחמן, שחי מאה שנה קודם לכן, והשווה את התחייבותו של ר׳ משה רייכמן לפרוע את החובות שהצטברו בכל הישיבות בישראל</w:t>
      </w:r>
      <w:bookmarkStart w:id="5098" w:name="_fnr3779"/>
      <w:r>
        <w:rPr>
          <w:vertAlign w:val="superscript"/>
          <w:rtl/>
        </w:rPr>
        <w:footnoteReference w:id="3787" w:customMarkFollows="0"/>
      </w:r>
      <w:bookmarkEnd w:id="5098"/>
      <w:r>
        <w:rPr>
          <w:rtl/>
        </w:rPr>
        <w:t xml:space="preserve"> למה שעשה לחמן כשנתן לסבא </w:t>
      </w:r>
      <w:proofErr w:type="spellStart"/>
      <w:r>
        <w:rPr>
          <w:rtl/>
        </w:rPr>
        <w:t>מסלבודקה</w:t>
      </w:r>
      <w:proofErr w:type="spellEnd"/>
      <w:r>
        <w:rPr>
          <w:rtl/>
        </w:rPr>
        <w:t xml:space="preserve"> את הכספים הדרושים למפעלי התורה שלו</w:t>
      </w:r>
      <w:bookmarkStart w:id="5099" w:name="_fnr3780"/>
      <w:r>
        <w:rPr>
          <w:vertAlign w:val="superscript"/>
          <w:rtl/>
        </w:rPr>
        <w:footnoteReference w:id="3788" w:customMarkFollows="0"/>
      </w:r>
      <w:bookmarkEnd w:id="5099"/>
      <w:r>
        <w:rPr>
          <w:rtl/>
        </w:rPr>
        <w:t xml:space="preserve">. וכך קבע ר׳ </w:t>
      </w:r>
      <w:proofErr w:type="spellStart"/>
      <w:r>
        <w:rPr>
          <w:rtl/>
        </w:rPr>
        <w:t>אלעזר־מנחם־מן</w:t>
      </w:r>
      <w:proofErr w:type="spellEnd"/>
      <w:r>
        <w:rPr>
          <w:rtl/>
        </w:rPr>
        <w:t xml:space="preserve"> שך: “בזכות הסבא – באמצעות תלמידיו שחינך ובצירוף הכספים שהזרים לחמן ביד רחבה – מתקיימת כל התורה עד זמננו</w:t>
      </w:r>
      <w:bookmarkStart w:id="5100" w:name="_fnr3781"/>
      <w:r>
        <w:rPr>
          <w:vertAlign w:val="superscript"/>
          <w:rtl/>
        </w:rPr>
        <w:footnoteReference w:id="3789" w:customMarkFollows="0"/>
      </w:r>
      <w:bookmarkEnd w:id="5100"/>
      <w:r>
        <w:rPr>
          <w:rtl/>
        </w:rPr>
        <w:t>; ועתה, בימינו, אפשר לזקוף לזכות בני רייכמן את אותו הדבר”</w:t>
      </w:r>
      <w:bookmarkStart w:id="5101" w:name="_fnr3782"/>
      <w:r>
        <w:rPr>
          <w:vertAlign w:val="superscript"/>
          <w:rtl/>
        </w:rPr>
        <w:footnoteReference w:id="3790" w:customMarkFollows="0"/>
      </w:r>
      <w:bookmarkEnd w:id="5101"/>
      <w:r>
        <w:rPr>
          <w:rtl/>
        </w:rPr>
        <w:t>.</w:t>
      </w:r>
    </w:p>
    <w:p w14:paraId="266C5AA8" w14:textId="77777777" w:rsidR="00AB3647" w:rsidRDefault="00000000" w:rsidP="007923E9">
      <w:pPr>
        <w:spacing w:after="120" w:line="276" w:lineRule="auto"/>
        <w:ind w:firstLine="283"/>
        <w:jc w:val="both"/>
      </w:pPr>
      <w:r>
        <w:rPr>
          <w:rtl/>
        </w:rPr>
        <w:t xml:space="preserve">בשעת השיחה אמר ר׳ </w:t>
      </w:r>
      <w:proofErr w:type="spellStart"/>
      <w:r>
        <w:rPr>
          <w:rtl/>
        </w:rPr>
        <w:t>אלעזר־מנחם־מן</w:t>
      </w:r>
      <w:proofErr w:type="spellEnd"/>
      <w:r>
        <w:rPr>
          <w:rtl/>
        </w:rPr>
        <w:t xml:space="preserve"> שך דבר היסטורי מפתיע על לחמן: “הרווק הזקן שמע את דרשות ר׳ ישראל [</w:t>
      </w:r>
      <w:proofErr w:type="spellStart"/>
      <w:r>
        <w:rPr>
          <w:rtl/>
        </w:rPr>
        <w:t>סלנטר</w:t>
      </w:r>
      <w:proofErr w:type="spellEnd"/>
      <w:r>
        <w:rPr>
          <w:rtl/>
        </w:rPr>
        <w:t xml:space="preserve">] בממל, ותרם שלוש מאות רובל כדי לייסד את כולל קובנה עם ר׳ </w:t>
      </w:r>
      <w:proofErr w:type="spellStart"/>
      <w:r>
        <w:rPr>
          <w:rtl/>
        </w:rPr>
        <w:t>איצל׳ה</w:t>
      </w:r>
      <w:proofErr w:type="spellEnd"/>
      <w:r>
        <w:rPr>
          <w:rtl/>
        </w:rPr>
        <w:t xml:space="preserve"> </w:t>
      </w:r>
      <w:proofErr w:type="spellStart"/>
      <w:r>
        <w:rPr>
          <w:rtl/>
        </w:rPr>
        <w:t>פטרבורגר</w:t>
      </w:r>
      <w:proofErr w:type="spellEnd"/>
      <w:r>
        <w:rPr>
          <w:rtl/>
        </w:rPr>
        <w:t xml:space="preserve"> ור׳ </w:t>
      </w:r>
      <w:proofErr w:type="spellStart"/>
      <w:r>
        <w:rPr>
          <w:rtl/>
        </w:rPr>
        <w:t>נטע־הירש</w:t>
      </w:r>
      <w:proofErr w:type="spellEnd"/>
      <w:r>
        <w:rPr>
          <w:rtl/>
        </w:rPr>
        <w:t xml:space="preserve"> [</w:t>
      </w:r>
      <w:proofErr w:type="spellStart"/>
      <w:r>
        <w:rPr>
          <w:rtl/>
        </w:rPr>
        <w:t>פינקל</w:t>
      </w:r>
      <w:proofErr w:type="spellEnd"/>
      <w:r>
        <w:rPr>
          <w:rtl/>
        </w:rPr>
        <w:t xml:space="preserve">]”. ודאי שמע ר׳ </w:t>
      </w:r>
      <w:proofErr w:type="spellStart"/>
      <w:r>
        <w:rPr>
          <w:rtl/>
        </w:rPr>
        <w:t>אלעזר־מנחם־מן</w:t>
      </w:r>
      <w:proofErr w:type="spellEnd"/>
      <w:r>
        <w:rPr>
          <w:rtl/>
        </w:rPr>
        <w:t xml:space="preserve"> את העובדה הבלתי ידועה הזאת ממקור מוסמך</w:t>
      </w:r>
      <w:bookmarkStart w:id="5102" w:name="_fnr3783"/>
      <w:r>
        <w:rPr>
          <w:vertAlign w:val="superscript"/>
          <w:rtl/>
        </w:rPr>
        <w:footnoteReference w:id="3791" w:customMarkFollows="0"/>
      </w:r>
      <w:bookmarkEnd w:id="5102"/>
      <w:r>
        <w:rPr>
          <w:rtl/>
        </w:rPr>
        <w:t>. מסתבר שבממל סיפר ר׳ ישראל לעובדיה לחמן על חשיבות ייסוד הכולל, כמוזכר בפרק 3, נספח א.</w:t>
      </w:r>
    </w:p>
    <w:p w14:paraId="25DEA158" w14:textId="77777777" w:rsidR="00AB3647" w:rsidRDefault="00000000" w:rsidP="007923E9">
      <w:pPr>
        <w:spacing w:after="120" w:line="276" w:lineRule="auto"/>
        <w:ind w:firstLine="283"/>
        <w:jc w:val="both"/>
      </w:pPr>
      <w:r>
        <w:rPr>
          <w:rtl/>
        </w:rPr>
        <w:t xml:space="preserve">מנגד, תלמידי הסבא </w:t>
      </w:r>
      <w:proofErr w:type="spellStart"/>
      <w:r>
        <w:rPr>
          <w:rtl/>
        </w:rPr>
        <w:t>מסלבודקה</w:t>
      </w:r>
      <w:proofErr w:type="spellEnd"/>
      <w:r>
        <w:rPr>
          <w:rtl/>
        </w:rPr>
        <w:t xml:space="preserve"> סברו שמי שלא למד אצלו חסר במידה מסוימת את הכישרון להנהגת התורה בחברתנו. ר׳ משה חדש סיפר</w:t>
      </w:r>
      <w:bookmarkStart w:id="5103" w:name="_fnr3784"/>
      <w:r>
        <w:rPr>
          <w:vertAlign w:val="superscript"/>
          <w:rtl/>
        </w:rPr>
        <w:footnoteReference w:id="3792" w:customMarkFollows="0"/>
      </w:r>
      <w:bookmarkEnd w:id="5103"/>
      <w:r>
        <w:rPr>
          <w:rtl/>
        </w:rPr>
        <w:t xml:space="preserve"> ששמע מר׳ יצחק </w:t>
      </w:r>
      <w:proofErr w:type="spellStart"/>
      <w:r>
        <w:rPr>
          <w:rtl/>
        </w:rPr>
        <w:t>הוטנר</w:t>
      </w:r>
      <w:proofErr w:type="spellEnd"/>
      <w:r>
        <w:rPr>
          <w:rtl/>
        </w:rPr>
        <w:t xml:space="preserve"> על פגישה שבה השתתפו הוא עצמו, ר׳ אהרן קוטלר, רבנו ופוסק בעל שם עולמי. הפוסק חלק על שלושת האחרים, שכולם היו תלמידי הסבא, בשאלה איזו דרך יש לנקוט בעניין ציבורי מסוים שעמד </w:t>
      </w:r>
      <w:r>
        <w:rPr>
          <w:rtl/>
        </w:rPr>
        <w:lastRenderedPageBreak/>
        <w:t xml:space="preserve">אז על הפרק. כשיצא הפוסק מן החדר אמר אבי: “כמה יותר הייתה אמריקה נהנית אילו למד </w:t>
      </w:r>
      <w:proofErr w:type="spellStart"/>
      <w:r>
        <w:rPr>
          <w:rtl/>
        </w:rPr>
        <w:t>בסלבודקה</w:t>
      </w:r>
      <w:proofErr w:type="spellEnd"/>
      <w:r>
        <w:rPr>
          <w:rtl/>
        </w:rPr>
        <w:t>!”.</w:t>
      </w:r>
    </w:p>
    <w:p w14:paraId="68E07D4A" w14:textId="77777777" w:rsidR="00AB3647" w:rsidRDefault="00000000" w:rsidP="007923E9">
      <w:pPr>
        <w:spacing w:after="120" w:line="276" w:lineRule="auto"/>
        <w:ind w:firstLine="283"/>
        <w:jc w:val="both"/>
      </w:pPr>
      <w:r>
        <w:rPr>
          <w:rtl/>
        </w:rPr>
        <w:t xml:space="preserve">גרסה אחרת של אמירה זו – או תוספת חריפה יותר עליה – סיפר ר׳ ראובן </w:t>
      </w:r>
      <w:proofErr w:type="spellStart"/>
      <w:r>
        <w:rPr>
          <w:rtl/>
        </w:rPr>
        <w:t>לויכטר</w:t>
      </w:r>
      <w:bookmarkStart w:id="5104" w:name="_fnr3785"/>
      <w:proofErr w:type="spellEnd"/>
      <w:r>
        <w:rPr>
          <w:vertAlign w:val="superscript"/>
          <w:rtl/>
        </w:rPr>
        <w:footnoteReference w:id="3793" w:customMarkFollows="0"/>
      </w:r>
      <w:bookmarkEnd w:id="5104"/>
      <w:r>
        <w:rPr>
          <w:rtl/>
        </w:rPr>
        <w:t xml:space="preserve"> בשם ר׳ שלמה </w:t>
      </w:r>
      <w:proofErr w:type="spellStart"/>
      <w:r>
        <w:rPr>
          <w:rtl/>
        </w:rPr>
        <w:t>וולבה</w:t>
      </w:r>
      <w:proofErr w:type="spellEnd"/>
      <w:r>
        <w:rPr>
          <w:rtl/>
        </w:rPr>
        <w:t xml:space="preserve">: ר׳ יצחק </w:t>
      </w:r>
      <w:proofErr w:type="spellStart"/>
      <w:r>
        <w:rPr>
          <w:rtl/>
        </w:rPr>
        <w:t>הוטנר</w:t>
      </w:r>
      <w:proofErr w:type="spellEnd"/>
      <w:r>
        <w:rPr>
          <w:rtl/>
        </w:rPr>
        <w:t xml:space="preserve"> סיפר לו שהוא ורבנו הלכו פעם לבית הפוסק לדון בהתבטאויות פסולות של חוג אורתודוקסי מסוים, ולא הצליחו להזיז את הפוסק מעמדתו שלא לגנותן. בדרך הביתה מתח אבי ביקורת קשה על הפוסק, ואמר לבן לווייתו שכנראה מי שלא למד אצל הסבא חסר את ההכשרה להיות מנהיג ראוי.</w:t>
      </w:r>
    </w:p>
    <w:p w14:paraId="0733754D" w14:textId="77777777" w:rsidR="00AB3647" w:rsidRDefault="00000000" w:rsidP="007923E9">
      <w:pPr>
        <w:spacing w:after="120" w:line="276" w:lineRule="auto"/>
        <w:ind w:firstLine="283"/>
        <w:jc w:val="both"/>
      </w:pPr>
      <w:r>
        <w:rPr>
          <w:rtl/>
        </w:rPr>
        <w:t>על מחלוקת זו השווה כרך 3: מאחר שלא הייתה הסכמה כללית על גינוי, פרש רבנו מאגודת הרבנים והיה שותף מרכזי בייסוד ארגון רבנים חלופי, מרכז הרבנים. אבל הארגון לא האריך ימים, מפני ששני ארגוני הרבנים ילידי אירופה כבר היו אז בנסיגה. יש להדגיש גם שביקורת אבי לא פגעה כלל בחיבה ובהערצה שרחש לאותו פוסק באופן אישי</w:t>
      </w:r>
      <w:bookmarkStart w:id="5105" w:name="_fnr3786"/>
      <w:r>
        <w:rPr>
          <w:vertAlign w:val="superscript"/>
          <w:rtl/>
        </w:rPr>
        <w:footnoteReference w:id="3794" w:customMarkFollows="0"/>
      </w:r>
      <w:bookmarkEnd w:id="5105"/>
      <w:r>
        <w:rPr>
          <w:rtl/>
        </w:rPr>
        <w:t>.</w:t>
      </w:r>
    </w:p>
    <w:p w14:paraId="5C27B049" w14:textId="77777777" w:rsidR="00AB3647" w:rsidRDefault="00000000" w:rsidP="007923E9">
      <w:pPr>
        <w:spacing w:after="120" w:line="276" w:lineRule="auto"/>
        <w:ind w:firstLine="283"/>
        <w:jc w:val="both"/>
      </w:pPr>
      <w:r>
        <w:rPr>
          <w:rtl/>
        </w:rPr>
        <w:t xml:space="preserve">מאמר </w:t>
      </w:r>
      <w:proofErr w:type="spellStart"/>
      <w:r>
        <w:rPr>
          <w:rtl/>
        </w:rPr>
        <w:t>ב“תבונה</w:t>
      </w:r>
      <w:proofErr w:type="spellEnd"/>
      <w:r>
        <w:rPr>
          <w:rtl/>
        </w:rPr>
        <w:t>”</w:t>
      </w:r>
      <w:bookmarkStart w:id="5106" w:name="_fnr3787"/>
      <w:r>
        <w:rPr>
          <w:vertAlign w:val="superscript"/>
          <w:rtl/>
        </w:rPr>
        <w:footnoteReference w:id="3795" w:customMarkFollows="0"/>
      </w:r>
      <w:bookmarkEnd w:id="5106"/>
      <w:r>
        <w:rPr>
          <w:rtl/>
        </w:rPr>
        <w:t xml:space="preserve"> מאת רב </w:t>
      </w:r>
      <w:proofErr w:type="spellStart"/>
      <w:r>
        <w:rPr>
          <w:rtl/>
        </w:rPr>
        <w:t>קופישוק</w:t>
      </w:r>
      <w:proofErr w:type="spellEnd"/>
      <w:r>
        <w:rPr>
          <w:rtl/>
        </w:rPr>
        <w:t xml:space="preserve">, ר׳ </w:t>
      </w:r>
      <w:proofErr w:type="spellStart"/>
      <w:r>
        <w:rPr>
          <w:rtl/>
        </w:rPr>
        <w:t>אליהו־מאיר</w:t>
      </w:r>
      <w:proofErr w:type="spellEnd"/>
      <w:r>
        <w:rPr>
          <w:rtl/>
        </w:rPr>
        <w:t xml:space="preserve"> </w:t>
      </w:r>
      <w:proofErr w:type="spellStart"/>
      <w:r>
        <w:rPr>
          <w:rtl/>
        </w:rPr>
        <w:t>פייבלזון</w:t>
      </w:r>
      <w:proofErr w:type="spellEnd"/>
      <w:r>
        <w:rPr>
          <w:rtl/>
        </w:rPr>
        <w:t xml:space="preserve">, מגלה שר׳ עובדיה לחמן נתן את תרומותיו הגדולות בתנאי ששמו לא יתגלה. הכותב מכנה אותו “הטמיר ונעלם”. גם ר׳ </w:t>
      </w:r>
      <w:proofErr w:type="spellStart"/>
      <w:r>
        <w:rPr>
          <w:rtl/>
        </w:rPr>
        <w:t>יחיאל־יעקב</w:t>
      </w:r>
      <w:proofErr w:type="spellEnd"/>
      <w:r>
        <w:rPr>
          <w:rtl/>
        </w:rPr>
        <w:t xml:space="preserve"> ויינברג, </w:t>
      </w:r>
      <w:proofErr w:type="spellStart"/>
      <w:r>
        <w:rPr>
          <w:rtl/>
        </w:rPr>
        <w:t>ב“נתוני</w:t>
      </w:r>
      <w:proofErr w:type="spellEnd"/>
      <w:r>
        <w:rPr>
          <w:rtl/>
        </w:rPr>
        <w:t xml:space="preserve"> </w:t>
      </w:r>
      <w:proofErr w:type="spellStart"/>
      <w:r>
        <w:rPr>
          <w:rtl/>
        </w:rPr>
        <w:t>סלבודקה</w:t>
      </w:r>
      <w:proofErr w:type="spellEnd"/>
      <w:r>
        <w:rPr>
          <w:rtl/>
        </w:rPr>
        <w:t>”</w:t>
      </w:r>
      <w:bookmarkStart w:id="5107" w:name="_fnr3788"/>
      <w:r>
        <w:rPr>
          <w:vertAlign w:val="superscript"/>
          <w:rtl/>
        </w:rPr>
        <w:footnoteReference w:id="3796" w:customMarkFollows="0"/>
      </w:r>
      <w:bookmarkEnd w:id="5107"/>
      <w:r>
        <w:rPr>
          <w:rtl/>
        </w:rPr>
        <w:t xml:space="preserve">, מפליג בשבחו: “שום קרבן על מזבח אהבת התורה לא היה גדול מדי בעבורו, וכל ימיו ניסה להסתיר את מעשי צדקתו הרבים ולכסותם באדרת הענווה הטהורה הטבועה </w:t>
      </w:r>
      <w:proofErr w:type="spellStart"/>
      <w:r>
        <w:rPr>
          <w:rtl/>
        </w:rPr>
        <w:t>ב‘צדיק</w:t>
      </w:r>
      <w:proofErr w:type="spellEnd"/>
      <w:r>
        <w:rPr>
          <w:rtl/>
        </w:rPr>
        <w:t xml:space="preserve"> היהודי’”.</w:t>
      </w:r>
    </w:p>
    <w:p w14:paraId="79A2CBE3" w14:textId="77777777" w:rsidR="00AB3647" w:rsidRDefault="00000000" w:rsidP="007923E9">
      <w:pPr>
        <w:spacing w:after="120" w:line="276" w:lineRule="auto"/>
        <w:ind w:firstLine="283"/>
        <w:jc w:val="both"/>
      </w:pPr>
      <w:r>
        <w:rPr>
          <w:rtl/>
        </w:rPr>
        <w:t xml:space="preserve">מסתבר שלחמן נתן כספים גם למקובל בעל השם העולמי ר׳ שלמה אלישיב, להוצאת ספריו. על היכרותו של ר׳ עובדיה לחמן עם ר׳ שלמה מעיד מאמר </w:t>
      </w:r>
      <w:proofErr w:type="spellStart"/>
      <w:r>
        <w:rPr>
          <w:rtl/>
        </w:rPr>
        <w:t>מתשי״א</w:t>
      </w:r>
      <w:proofErr w:type="spellEnd"/>
      <w:r>
        <w:rPr>
          <w:rtl/>
        </w:rPr>
        <w:t xml:space="preserve"> מאת ר׳ </w:t>
      </w:r>
      <w:proofErr w:type="spellStart"/>
      <w:r>
        <w:rPr>
          <w:rtl/>
        </w:rPr>
        <w:t>צבי־הירש</w:t>
      </w:r>
      <w:proofErr w:type="spellEnd"/>
      <w:r>
        <w:rPr>
          <w:rtl/>
        </w:rPr>
        <w:t xml:space="preserve"> פרבר</w:t>
      </w:r>
      <w:bookmarkStart w:id="5108" w:name="_fnr3789"/>
      <w:r>
        <w:rPr>
          <w:vertAlign w:val="superscript"/>
          <w:rtl/>
        </w:rPr>
        <w:footnoteReference w:id="3797" w:customMarkFollows="0"/>
      </w:r>
      <w:bookmarkEnd w:id="5108"/>
      <w:r>
        <w:rPr>
          <w:rtl/>
        </w:rPr>
        <w:t xml:space="preserve">. ר׳ </w:t>
      </w:r>
      <w:proofErr w:type="spellStart"/>
      <w:r>
        <w:rPr>
          <w:rtl/>
        </w:rPr>
        <w:t>צבי־הירש</w:t>
      </w:r>
      <w:proofErr w:type="spellEnd"/>
      <w:r>
        <w:rPr>
          <w:rtl/>
        </w:rPr>
        <w:t xml:space="preserve"> פרבר כבר גילה מידע זה במכתב ששלח </w:t>
      </w:r>
      <w:proofErr w:type="spellStart"/>
      <w:r>
        <w:rPr>
          <w:rtl/>
        </w:rPr>
        <w:t>לר</w:t>
      </w:r>
      <w:proofErr w:type="spellEnd"/>
      <w:r>
        <w:rPr>
          <w:rtl/>
        </w:rPr>
        <w:t xml:space="preserve">׳ אריה לוין בסוף שנות </w:t>
      </w:r>
      <w:proofErr w:type="spellStart"/>
      <w:r>
        <w:rPr>
          <w:rtl/>
        </w:rPr>
        <w:t>התר״פ</w:t>
      </w:r>
      <w:proofErr w:type="spellEnd"/>
      <w:r>
        <w:rPr>
          <w:rtl/>
        </w:rPr>
        <w:t>, ובו הערות לסקירה הביוגרפית על ר׳ שלמה אלישיב, שפרסם ר׳ אריה לוין אחרי פטירת המקובל</w:t>
      </w:r>
      <w:bookmarkStart w:id="5109" w:name="_fnr3790"/>
      <w:r>
        <w:rPr>
          <w:vertAlign w:val="superscript"/>
          <w:rtl/>
        </w:rPr>
        <w:footnoteReference w:id="3798" w:customMarkFollows="0"/>
      </w:r>
      <w:bookmarkEnd w:id="5109"/>
      <w:r>
        <w:rPr>
          <w:rtl/>
        </w:rPr>
        <w:t xml:space="preserve">. מסתבר שר׳ </w:t>
      </w:r>
      <w:proofErr w:type="spellStart"/>
      <w:r>
        <w:rPr>
          <w:rtl/>
        </w:rPr>
        <w:t>צבי־הירש</w:t>
      </w:r>
      <w:proofErr w:type="spellEnd"/>
      <w:r>
        <w:rPr>
          <w:rtl/>
        </w:rPr>
        <w:t xml:space="preserve"> פרבר עמד על היכרותו של ר׳ שלמה אלישיב עם לחמן בביקור </w:t>
      </w:r>
      <w:proofErr w:type="spellStart"/>
      <w:r>
        <w:rPr>
          <w:rtl/>
        </w:rPr>
        <w:t>ש“זכה</w:t>
      </w:r>
      <w:proofErr w:type="spellEnd"/>
      <w:r>
        <w:rPr>
          <w:rtl/>
        </w:rPr>
        <w:t xml:space="preserve">” לו אצל ר׳ שלמה </w:t>
      </w:r>
      <w:proofErr w:type="spellStart"/>
      <w:r>
        <w:rPr>
          <w:rtl/>
        </w:rPr>
        <w:t>ה“אלוקי</w:t>
      </w:r>
      <w:proofErr w:type="spellEnd"/>
      <w:r>
        <w:rPr>
          <w:rtl/>
        </w:rPr>
        <w:t xml:space="preserve">”, בבית מדרשו הפרטי </w:t>
      </w:r>
      <w:proofErr w:type="spellStart"/>
      <w:r>
        <w:rPr>
          <w:rtl/>
        </w:rPr>
        <w:t>בשאוול</w:t>
      </w:r>
      <w:proofErr w:type="spellEnd"/>
      <w:r>
        <w:rPr>
          <w:rtl/>
        </w:rPr>
        <w:t xml:space="preserve">, כפי שמתאר ר׳ </w:t>
      </w:r>
      <w:proofErr w:type="spellStart"/>
      <w:r>
        <w:rPr>
          <w:rtl/>
        </w:rPr>
        <w:t>צבי־הירש</w:t>
      </w:r>
      <w:bookmarkStart w:id="5110" w:name="_fnr3791"/>
      <w:proofErr w:type="spellEnd"/>
      <w:r>
        <w:rPr>
          <w:vertAlign w:val="superscript"/>
          <w:rtl/>
        </w:rPr>
        <w:footnoteReference w:id="3799" w:customMarkFollows="0"/>
      </w:r>
      <w:bookmarkEnd w:id="5110"/>
      <w:r>
        <w:rPr>
          <w:rtl/>
        </w:rPr>
        <w:t>.</w:t>
      </w:r>
    </w:p>
    <w:p w14:paraId="7574CED4" w14:textId="77777777" w:rsidR="00AB3647" w:rsidRDefault="00000000" w:rsidP="007923E9">
      <w:pPr>
        <w:spacing w:after="120" w:line="276" w:lineRule="auto"/>
        <w:ind w:firstLine="283"/>
        <w:jc w:val="both"/>
      </w:pPr>
      <w:r>
        <w:rPr>
          <w:rtl/>
        </w:rPr>
        <w:t xml:space="preserve">מאחר שלחמן היה “טמיר ונעלם” כל כך במתן צדקתו, אפשר להניח שר׳ שלמה אלישיב לא היה רשאי לחשוף את תמיכתו החשאית עד אחרי פטירתו, כלומר בתחילת כסלו תרע״ב – בדיוק בזמן שבו ביקר ר׳ </w:t>
      </w:r>
      <w:proofErr w:type="spellStart"/>
      <w:r>
        <w:rPr>
          <w:rtl/>
        </w:rPr>
        <w:t>צבי־הירש</w:t>
      </w:r>
      <w:proofErr w:type="spellEnd"/>
      <w:r>
        <w:rPr>
          <w:rtl/>
        </w:rPr>
        <w:t xml:space="preserve"> פרבר, שעמד לעזוב את ליטא, אצל החכם בן השבעים </w:t>
      </w:r>
      <w:r>
        <w:rPr>
          <w:rtl/>
        </w:rPr>
        <w:lastRenderedPageBreak/>
        <w:t>משאוול ושאל את דעתו על המעבר</w:t>
      </w:r>
      <w:bookmarkStart w:id="5111" w:name="_fnr3792"/>
      <w:r>
        <w:rPr>
          <w:vertAlign w:val="superscript"/>
          <w:rtl/>
        </w:rPr>
        <w:footnoteReference w:id="3800" w:customMarkFollows="0"/>
      </w:r>
      <w:bookmarkEnd w:id="5111"/>
      <w:r>
        <w:rPr>
          <w:rtl/>
        </w:rPr>
        <w:t xml:space="preserve">. אבל קביעתו של ר׳ </w:t>
      </w:r>
      <w:proofErr w:type="spellStart"/>
      <w:r>
        <w:rPr>
          <w:rtl/>
        </w:rPr>
        <w:t>צבי־הירש</w:t>
      </w:r>
      <w:proofErr w:type="spellEnd"/>
      <w:r>
        <w:rPr>
          <w:rtl/>
        </w:rPr>
        <w:t xml:space="preserve"> פרבר</w:t>
      </w:r>
      <w:bookmarkStart w:id="5112" w:name="_fnr3793"/>
      <w:r>
        <w:rPr>
          <w:vertAlign w:val="superscript"/>
          <w:rtl/>
        </w:rPr>
        <w:footnoteReference w:id="3801" w:customMarkFollows="0"/>
      </w:r>
      <w:bookmarkEnd w:id="5112"/>
      <w:r>
        <w:rPr>
          <w:rtl/>
        </w:rPr>
        <w:t xml:space="preserve"> שלחמן היה התורם האלמוני שמאחורי הוצאת כתבי היד של הגאון מווילנה – שהכין ר׳ שלמה אלישיב לפרסום בידי ר׳ שמואל לוריא בין תר״מ </w:t>
      </w:r>
      <w:proofErr w:type="spellStart"/>
      <w:r>
        <w:rPr>
          <w:rtl/>
        </w:rPr>
        <w:t>לתר״נ</w:t>
      </w:r>
      <w:proofErr w:type="spellEnd"/>
      <w:r>
        <w:rPr>
          <w:rtl/>
        </w:rPr>
        <w:t xml:space="preserve"> – נראית בלתי נכונה, מפני שתקופה זו הייתה קרובה מדי לראשית היכרותו של לחמן עם עולם התורה הליטאי</w:t>
      </w:r>
      <w:bookmarkStart w:id="5113" w:name="_fnr3794"/>
      <w:r>
        <w:rPr>
          <w:vertAlign w:val="superscript"/>
          <w:rtl/>
        </w:rPr>
        <w:footnoteReference w:id="3802" w:customMarkFollows="0"/>
      </w:r>
      <w:bookmarkEnd w:id="5113"/>
      <w:r>
        <w:rPr>
          <w:rtl/>
        </w:rPr>
        <w:t xml:space="preserve"> מכדי שיהיה מעורב בקבלה.</w:t>
      </w:r>
    </w:p>
    <w:p w14:paraId="1D2F9587" w14:textId="77777777" w:rsidR="00AB3647" w:rsidRDefault="00000000" w:rsidP="007923E9">
      <w:pPr>
        <w:spacing w:after="120" w:line="276" w:lineRule="auto"/>
        <w:ind w:firstLine="283"/>
        <w:jc w:val="both"/>
      </w:pPr>
      <w:r>
        <w:rPr>
          <w:rtl/>
        </w:rPr>
        <w:t xml:space="preserve">יש עדות מפי ר׳ ירוחם </w:t>
      </w:r>
      <w:proofErr w:type="spellStart"/>
      <w:r>
        <w:rPr>
          <w:rtl/>
        </w:rPr>
        <w:t>ליבוביץ</w:t>
      </w:r>
      <w:bookmarkStart w:id="5114" w:name="_fnr3795"/>
      <w:proofErr w:type="spellEnd"/>
      <w:r>
        <w:rPr>
          <w:vertAlign w:val="superscript"/>
          <w:rtl/>
        </w:rPr>
        <w:footnoteReference w:id="3803" w:customMarkFollows="0"/>
      </w:r>
      <w:bookmarkEnd w:id="5114"/>
      <w:r>
        <w:rPr>
          <w:rtl/>
        </w:rPr>
        <w:t xml:space="preserve"> שר׳ שלמה אלישיב שוחח עם ר׳ ישראל </w:t>
      </w:r>
      <w:proofErr w:type="spellStart"/>
      <w:r>
        <w:rPr>
          <w:rtl/>
        </w:rPr>
        <w:t>סלנטר</w:t>
      </w:r>
      <w:bookmarkStart w:id="5115" w:name="_fnr3796"/>
      <w:proofErr w:type="spellEnd"/>
      <w:r>
        <w:rPr>
          <w:vertAlign w:val="superscript"/>
          <w:rtl/>
        </w:rPr>
        <w:footnoteReference w:id="3804" w:customMarkFollows="0"/>
      </w:r>
      <w:bookmarkEnd w:id="5115"/>
      <w:r>
        <w:rPr>
          <w:rtl/>
        </w:rPr>
        <w:t>. בשיחה בחורף תרפ״ח סיפר ר׳ ירוחם: “ר׳ שלמה אלישיב נסע פעם עם ר׳ ישראל, ואזר אומץ לשאול מדוע אינו לומד קבלה. ר׳ ישראל השיב: ‘מה אכפת לי באיזה רקיע שוכן אלוהים? דבר אחד אני יודע: ש[החוטא] יוכה במקלות, והדבר יכאב מאוד. שהמכות יהיו של אש, זאת אני יודע בבירור – ומה עוד [צריך לעניין אותי]?’”</w:t>
      </w:r>
      <w:bookmarkStart w:id="5116" w:name="_fnr3797"/>
      <w:bookmarkStart w:id="5117" w:name="pr_f_3687"/>
      <w:r>
        <w:rPr>
          <w:vertAlign w:val="superscript"/>
          <w:rtl/>
        </w:rPr>
        <w:footnoteReference w:id="3805" w:customMarkFollows="0"/>
      </w:r>
      <w:bookmarkEnd w:id="5116"/>
      <w:bookmarkEnd w:id="5117"/>
      <w:r>
        <w:rPr>
          <w:rtl/>
        </w:rPr>
        <w:t>.</w:t>
      </w:r>
    </w:p>
    <w:p w14:paraId="45880EEB" w14:textId="77777777" w:rsidR="00AB3647" w:rsidRDefault="00000000" w:rsidP="007923E9">
      <w:pPr>
        <w:spacing w:after="120" w:line="276" w:lineRule="auto"/>
        <w:ind w:firstLine="283"/>
        <w:jc w:val="both"/>
      </w:pPr>
      <w:r>
        <w:rPr>
          <w:rtl/>
        </w:rPr>
        <w:t xml:space="preserve">אבל לא יעלה על הדעת שכשפגש ר׳ ישראל את לחמן בממל, המליץ לפניו על ר׳ שלמה אלישיב כראוי לקבל את צדקתו של הנדבן – ולא רק בגלל הטעם שנתן ר׳ ישראל לכך שהוא עצמו אינו לומד קבלה, אלא מפני שבתחילת שנות </w:t>
      </w:r>
      <w:proofErr w:type="spellStart"/>
      <w:r>
        <w:rPr>
          <w:rtl/>
        </w:rPr>
        <w:t>התר״מ</w:t>
      </w:r>
      <w:proofErr w:type="spellEnd"/>
      <w:r>
        <w:rPr>
          <w:rtl/>
        </w:rPr>
        <w:t xml:space="preserve"> היה צורך להכיר ללחמן עניינים יסודיים יותר ביהדות מן הקבלה. לכן אין שום סיבה להניח שר׳ ישראל הזכיר את שמו של ר׳ שלמה אלישיב לפני לחמן כלל. מסתבר, אם כן, שהיכרות לחמן עם ר׳ שלמה אלישיב החלה רק יותר מעשרים שנה אחרי פטירת ר׳ ישראל, כלומר באמצע שנות </w:t>
      </w:r>
      <w:proofErr w:type="spellStart"/>
      <w:r>
        <w:rPr>
          <w:rtl/>
        </w:rPr>
        <w:t>התר״ס</w:t>
      </w:r>
      <w:proofErr w:type="spellEnd"/>
      <w:r>
        <w:rPr>
          <w:rtl/>
        </w:rPr>
        <w:t>, כשביקר הנדבן בליטא, כמובא בפרק 3, הפסקה הראשונה של נספח א.</w:t>
      </w:r>
    </w:p>
    <w:p w14:paraId="0FB13407" w14:textId="77777777" w:rsidR="00AB3647" w:rsidRDefault="00000000" w:rsidP="007923E9">
      <w:pPr>
        <w:spacing w:after="120" w:line="276" w:lineRule="auto"/>
        <w:ind w:firstLine="283"/>
        <w:jc w:val="both"/>
      </w:pPr>
      <w:r>
        <w:rPr>
          <w:rtl/>
        </w:rPr>
        <w:t xml:space="preserve">ר׳ </w:t>
      </w:r>
      <w:proofErr w:type="spellStart"/>
      <w:r>
        <w:rPr>
          <w:rtl/>
        </w:rPr>
        <w:t>צבי־הירש</w:t>
      </w:r>
      <w:proofErr w:type="spellEnd"/>
      <w:r>
        <w:rPr>
          <w:rtl/>
        </w:rPr>
        <w:t xml:space="preserve"> פרבר, שהסיק שלחמן מימן באמצעות ר׳ שלמה אלישיב את הוצאת כתבי הגאון בשנות </w:t>
      </w:r>
      <w:proofErr w:type="spellStart"/>
      <w:r>
        <w:rPr>
          <w:rtl/>
        </w:rPr>
        <w:t>התר״מ</w:t>
      </w:r>
      <w:proofErr w:type="spellEnd"/>
      <w:r>
        <w:rPr>
          <w:rtl/>
        </w:rPr>
        <w:t xml:space="preserve">, מוכרח שלא הבין כראוי את מה שסיפר לו ר׳ שלמה. אפשר שהטעות נוצרה כך: אחרי שקיבל את ר׳ </w:t>
      </w:r>
      <w:proofErr w:type="spellStart"/>
      <w:r>
        <w:rPr>
          <w:rtl/>
        </w:rPr>
        <w:t>צבי־הירש</w:t>
      </w:r>
      <w:proofErr w:type="spellEnd"/>
      <w:r>
        <w:rPr>
          <w:rtl/>
        </w:rPr>
        <w:t xml:space="preserve"> בסבר פנים יפות</w:t>
      </w:r>
      <w:bookmarkStart w:id="5118" w:name="_fnr3798"/>
      <w:r>
        <w:rPr>
          <w:vertAlign w:val="superscript"/>
          <w:rtl/>
        </w:rPr>
        <w:footnoteReference w:id="3806" w:customMarkFollows="0"/>
      </w:r>
      <w:bookmarkEnd w:id="5118"/>
      <w:r>
        <w:rPr>
          <w:rtl/>
        </w:rPr>
        <w:t xml:space="preserve">, דן עמו המקובל הן בספרי הגאון מווילנה, שאת כתבי ידו “זיקק, בירר וטיהר” ר׳ שלמה, כמו שמספר מאמרו של ר׳ </w:t>
      </w:r>
      <w:proofErr w:type="spellStart"/>
      <w:r>
        <w:rPr>
          <w:rtl/>
        </w:rPr>
        <w:t>צבי־הירש</w:t>
      </w:r>
      <w:proofErr w:type="spellEnd"/>
      <w:r>
        <w:rPr>
          <w:rtl/>
        </w:rPr>
        <w:t xml:space="preserve"> פרבר </w:t>
      </w:r>
      <w:proofErr w:type="spellStart"/>
      <w:r>
        <w:rPr>
          <w:rtl/>
        </w:rPr>
        <w:t>ב“תלפיות</w:t>
      </w:r>
      <w:proofErr w:type="spellEnd"/>
      <w:r>
        <w:rPr>
          <w:rtl/>
        </w:rPr>
        <w:t xml:space="preserve">”, והן בספריו שלו, שהשני מהם יצא אז זה עתה מבית הדפוס, בתחילת </w:t>
      </w:r>
      <w:r>
        <w:rPr>
          <w:rtl/>
        </w:rPr>
        <w:lastRenderedPageBreak/>
        <w:t xml:space="preserve">תרע״ב. כשציין ר׳ שלמה שהתורם האלמוני להוצאת הספרים היה הגביר ר׳ עובדיה לחמן, שזה עתה נפטר, חשב ר׳ </w:t>
      </w:r>
      <w:proofErr w:type="spellStart"/>
      <w:r>
        <w:rPr>
          <w:rtl/>
        </w:rPr>
        <w:t>צבי־הירש</w:t>
      </w:r>
      <w:proofErr w:type="spellEnd"/>
      <w:r>
        <w:rPr>
          <w:rtl/>
        </w:rPr>
        <w:t xml:space="preserve"> בטעות שבן שיחו מתכוון לספרי הגאון [שגם להם מצא ר׳ שלמה אלישיב תורם בעבור ר׳ שמואל לוריא], ובאמת דיבר על ספריו שלו</w:t>
      </w:r>
      <w:bookmarkStart w:id="5119" w:name="_fnr3799"/>
      <w:r>
        <w:rPr>
          <w:vertAlign w:val="superscript"/>
          <w:rtl/>
        </w:rPr>
        <w:footnoteReference w:id="3807" w:customMarkFollows="0"/>
      </w:r>
      <w:bookmarkEnd w:id="5119"/>
      <w:r>
        <w:rPr>
          <w:rtl/>
        </w:rPr>
        <w:t>.</w:t>
      </w:r>
    </w:p>
    <w:p w14:paraId="1C259E2D" w14:textId="77777777" w:rsidR="00AB3647" w:rsidRDefault="00000000" w:rsidP="007923E9">
      <w:pPr>
        <w:spacing w:after="120" w:line="276" w:lineRule="auto"/>
        <w:ind w:firstLine="283"/>
        <w:jc w:val="both"/>
      </w:pPr>
      <w:r>
        <w:rPr>
          <w:rtl/>
        </w:rPr>
        <w:t xml:space="preserve">ההקדמה לכרך “ספר </w:t>
      </w:r>
      <w:proofErr w:type="spellStart"/>
      <w:r>
        <w:rPr>
          <w:rtl/>
        </w:rPr>
        <w:t>הדע״ה</w:t>
      </w:r>
      <w:proofErr w:type="spellEnd"/>
      <w:r>
        <w:rPr>
          <w:rtl/>
        </w:rPr>
        <w:t xml:space="preserve"> [הוא דרושי עולם התוהו]” מן החיבור הקבלי הגדול “לשם שבו ואחלמה”, מאת “שלמה </w:t>
      </w:r>
      <w:proofErr w:type="spellStart"/>
      <w:r>
        <w:rPr>
          <w:rtl/>
        </w:rPr>
        <w:t>ב״ר</w:t>
      </w:r>
      <w:proofErr w:type="spellEnd"/>
      <w:r>
        <w:rPr>
          <w:rtl/>
        </w:rPr>
        <w:t xml:space="preserve"> חיים </w:t>
      </w:r>
      <w:proofErr w:type="spellStart"/>
      <w:r>
        <w:rPr>
          <w:rtl/>
        </w:rPr>
        <w:t>חייקיל</w:t>
      </w:r>
      <w:proofErr w:type="spellEnd"/>
      <w:r>
        <w:rPr>
          <w:rtl/>
        </w:rPr>
        <w:t xml:space="preserve"> [אלישיב]”</w:t>
      </w:r>
      <w:bookmarkStart w:id="5120" w:name="_fnr3800"/>
      <w:r>
        <w:rPr>
          <w:vertAlign w:val="superscript"/>
          <w:rtl/>
        </w:rPr>
        <w:footnoteReference w:id="3808" w:customMarkFollows="0"/>
      </w:r>
      <w:bookmarkEnd w:id="5120"/>
      <w:r>
        <w:rPr>
          <w:rtl/>
        </w:rPr>
        <w:t xml:space="preserve">, אומרת: “זיכרון תודה, טובה וברכה לגביר, המרומם בזכויות רבות, המצטיין ועולה במידת צדקתו, המבקש צדקה וחסד ואוצר אוצרות למעלה, אשר גם עליי האציל מברכתו בהיותו בין התומכים בי בהוצאה הגדולה של הדפסת הספר הזה. מאחר שמעשיו בכל רוח צדקתו הטהורה הם לשם שמים, </w:t>
      </w:r>
      <w:r>
        <w:rPr>
          <w:bCs/>
          <w:rtl/>
        </w:rPr>
        <w:t xml:space="preserve">הנה חפצו ורצונו הוא שלא לקבוע שמו בדפוס </w:t>
      </w:r>
      <w:r>
        <w:rPr>
          <w:b/>
          <w:bCs/>
          <w:rtl/>
        </w:rPr>
        <w:t>כיון</w:t>
      </w:r>
      <w:r>
        <w:rPr>
          <w:rtl/>
        </w:rPr>
        <w:t xml:space="preserve"> (ההדגשה שלי)”. ר׳ שלמה אלישיב (תר״א–תרפ״ח)</w:t>
      </w:r>
      <w:bookmarkStart w:id="5121" w:name="_fnr3801"/>
      <w:bookmarkEnd w:id="5121"/>
      <w:r>
        <w:rPr>
          <w:rStyle w:val="a5"/>
        </w:rPr>
        <w:t/>
      </w:r>
      <w:bookmarkStart w:id="7038" w:name="_TranslatorNote_3799"/>
      <w:r>
        <w:rPr>
          <w:rStyle w:val="a5"/>
          <w:vertAlign w:val="superscript"/>
          <w:rtl/>
        </w:rPr>
        <w:footnoteReference w:id="3809" w:customMarkFollows="1"/>
        <w:t>*</w:t>
      </w:r>
      <w:bookmarkEnd w:id="7038"/>
      <w:r>
        <w:rPr>
          <w:rtl/>
        </w:rPr>
        <w:t xml:space="preserve"> מוסיף ומביא את שמותיהם העבריים של הורי התורם האלמוני, שביקש להנציח אותם ואת ימי היארצייט שלהם.</w:t>
      </w:r>
    </w:p>
    <w:p w14:paraId="6A31EF93" w14:textId="77777777" w:rsidR="00AB3647" w:rsidRDefault="00000000" w:rsidP="007923E9">
      <w:pPr>
        <w:spacing w:after="120" w:line="276" w:lineRule="auto"/>
        <w:ind w:firstLine="283"/>
        <w:jc w:val="both"/>
      </w:pPr>
      <w:r>
        <w:rPr>
          <w:rtl/>
        </w:rPr>
        <w:t>המילה המודגשת מורה ששמו של המיטיב נרמז, אף שלא נכתב במפורש [“כיון”]. אבל היכן? ר׳ שלמה אלישיב הקדוש ביאר מדוע קרא לחיבורו “לשם שבו ואחלמה” במילים “כי שמי בקרבו”. לדעתי, פירוש דבריו</w:t>
      </w:r>
      <w:bookmarkStart w:id="5122" w:name="_fnr3802"/>
      <w:r>
        <w:rPr>
          <w:vertAlign w:val="superscript"/>
          <w:rtl/>
        </w:rPr>
        <w:footnoteReference w:id="3810" w:customMarkFollows="0"/>
      </w:r>
      <w:bookmarkEnd w:id="5122"/>
      <w:r>
        <w:rPr>
          <w:rtl/>
        </w:rPr>
        <w:t xml:space="preserve"> הוא שבמילים “לשם שבו” נמצאות אותיות שם המחבר, שלמה אלישיב</w:t>
      </w:r>
      <w:bookmarkStart w:id="5123" w:name="_fnr3803"/>
      <w:r>
        <w:rPr>
          <w:vertAlign w:val="superscript"/>
          <w:rtl/>
        </w:rPr>
        <w:footnoteReference w:id="3811" w:customMarkFollows="0"/>
      </w:r>
      <w:bookmarkEnd w:id="5123"/>
      <w:r>
        <w:rPr>
          <w:rtl/>
        </w:rPr>
        <w:t>, ובמילה “אחלמה” נמצאות [רוב] אותיות שם התומך, לחמן.</w:t>
      </w:r>
    </w:p>
    <w:p w14:paraId="18C0C255" w14:textId="77777777" w:rsidR="00AB3647" w:rsidRDefault="00000000" w:rsidP="007923E9">
      <w:pPr>
        <w:spacing w:after="120" w:line="276" w:lineRule="auto"/>
        <w:ind w:firstLine="283"/>
        <w:jc w:val="both"/>
      </w:pPr>
      <w:r>
        <w:rPr>
          <w:rtl/>
        </w:rPr>
        <w:t>את השם “לחמן” אפשר בקלות לתעתק לצורה של המילה העברית “לחם”, כפי שעשה “ש. רוזנפלד”</w:t>
      </w:r>
      <w:bookmarkStart w:id="5124" w:name="_fnr3804"/>
      <w:r>
        <w:rPr>
          <w:vertAlign w:val="superscript"/>
          <w:rtl/>
        </w:rPr>
        <w:footnoteReference w:id="3812" w:customMarkFollows="0"/>
      </w:r>
      <w:bookmarkEnd w:id="5124"/>
      <w:r>
        <w:rPr>
          <w:rtl/>
        </w:rPr>
        <w:t xml:space="preserve"> </w:t>
      </w:r>
      <w:proofErr w:type="spellStart"/>
      <w:r>
        <w:rPr>
          <w:rtl/>
        </w:rPr>
        <w:t>ב“המליץ</w:t>
      </w:r>
      <w:proofErr w:type="spellEnd"/>
      <w:r>
        <w:rPr>
          <w:rtl/>
        </w:rPr>
        <w:t>” בשנת 1897</w:t>
      </w:r>
      <w:bookmarkStart w:id="5125" w:name="_fnr3805"/>
      <w:r>
        <w:rPr>
          <w:vertAlign w:val="superscript"/>
          <w:rtl/>
        </w:rPr>
        <w:footnoteReference w:id="3813" w:customMarkFollows="0"/>
      </w:r>
      <w:bookmarkEnd w:id="5125"/>
      <w:r>
        <w:rPr>
          <w:rtl/>
        </w:rPr>
        <w:t xml:space="preserve">. הוא בדה סיפור </w:t>
      </w:r>
      <w:proofErr w:type="spellStart"/>
      <w:r>
        <w:rPr>
          <w:rtl/>
        </w:rPr>
        <w:t>ש“כל</w:t>
      </w:r>
      <w:proofErr w:type="spellEnd"/>
      <w:r>
        <w:rPr>
          <w:rtl/>
        </w:rPr>
        <w:t xml:space="preserve"> בעלי המוסר חלמו באותו לילה” פסוק שמסרו ללחמן, ובו כינו אותו “בית הלחמי”! אגב, “הזיכרונות”</w:t>
      </w:r>
      <w:bookmarkStart w:id="5126" w:name="_fnr3806"/>
      <w:r>
        <w:rPr>
          <w:vertAlign w:val="superscript"/>
          <w:rtl/>
        </w:rPr>
        <w:footnoteReference w:id="3814" w:customMarkFollows="0"/>
      </w:r>
      <w:bookmarkEnd w:id="5126"/>
      <w:r>
        <w:rPr>
          <w:rtl/>
        </w:rPr>
        <w:t>, המתנגד למוסר, מקבל כעובדה את דיווחו המגוחך של רוזנפלד, שקדם לו כמעט בשלושים שנה, וכותב: “לחמן התפתה להאמין להם [</w:t>
      </w:r>
      <w:proofErr w:type="spellStart"/>
      <w:r>
        <w:rPr>
          <w:rtl/>
        </w:rPr>
        <w:t>ל‘מוסריים</w:t>
      </w:r>
      <w:proofErr w:type="spellEnd"/>
      <w:r>
        <w:rPr>
          <w:rtl/>
        </w:rPr>
        <w:t>’] ולחלומותיהם – חלומות ממש! – שסיפרו לו בני הכת שחלמו עליו ועל מוסדותיהם, והוא האמין להם”.</w:t>
      </w:r>
    </w:p>
    <w:p w14:paraId="35EBE7E2" w14:textId="77777777" w:rsidR="00AB3647" w:rsidRDefault="00000000" w:rsidP="007923E9">
      <w:pPr>
        <w:spacing w:after="120" w:line="276" w:lineRule="auto"/>
        <w:ind w:firstLine="283"/>
        <w:jc w:val="both"/>
      </w:pPr>
      <w:r>
        <w:rPr>
          <w:rtl/>
        </w:rPr>
        <w:lastRenderedPageBreak/>
        <w:t>יש להוסיף שהכרך הראשון בסדרת “לשם שבו ואחלמה”, “ספר הקדמות ושערים”</w:t>
      </w:r>
      <w:bookmarkStart w:id="5127" w:name="_fnr3807"/>
      <w:r>
        <w:rPr>
          <w:vertAlign w:val="superscript"/>
          <w:rtl/>
        </w:rPr>
        <w:footnoteReference w:id="3815" w:customMarkFollows="0"/>
      </w:r>
      <w:bookmarkEnd w:id="5127"/>
      <w:r>
        <w:rPr>
          <w:rtl/>
        </w:rPr>
        <w:t xml:space="preserve">, יצא לאור שלוש שנים לפני “ספר </w:t>
      </w:r>
      <w:proofErr w:type="spellStart"/>
      <w:r>
        <w:rPr>
          <w:rtl/>
        </w:rPr>
        <w:t>הדע״ה</w:t>
      </w:r>
      <w:proofErr w:type="spellEnd"/>
      <w:r>
        <w:rPr>
          <w:rtl/>
        </w:rPr>
        <w:t xml:space="preserve">” הנזכר לעיל, וגם להוצאתו כבר תרם לחמן, כפי שמורה ההקדמה לו. ר׳ שלמה אלישיב מודה שם לתורם אלמוני המבקש להנציח את הוריו שנפטרו, ששמותיהם העבריים נמסרים – אותם אנשים שנזכרים בכרך המאוחר, </w:t>
      </w:r>
      <w:proofErr w:type="spellStart"/>
      <w:r>
        <w:rPr>
          <w:rtl/>
        </w:rPr>
        <w:t>מתרע״ב</w:t>
      </w:r>
      <w:proofErr w:type="spellEnd"/>
      <w:r>
        <w:rPr>
          <w:rtl/>
        </w:rPr>
        <w:t>. בכרך המוקדם מודה המחבר ללחמן בלשון מצומצמת יותר, מפני שלא יוחס לו כיסוי כל הוצאות ההדפסה, אלא השתתפות בהן יחד עם זוג בשם פרידמן, ששמו נמסר במלואו. אבל לדעתי, המחבר אסיר התודה כבר הכניס את שמו של לחמן, שנרתע מפרסום, לשם הספר, כמבואר.</w:t>
      </w:r>
    </w:p>
    <w:p w14:paraId="362B9B00" w14:textId="77777777" w:rsidR="00AB3647" w:rsidRDefault="00000000" w:rsidP="007923E9">
      <w:pPr>
        <w:spacing w:after="120" w:line="276" w:lineRule="auto"/>
        <w:ind w:firstLine="283"/>
        <w:jc w:val="both"/>
      </w:pPr>
      <w:r>
        <w:rPr>
          <w:rtl/>
        </w:rPr>
        <w:t xml:space="preserve">במאמרו </w:t>
      </w:r>
      <w:proofErr w:type="spellStart"/>
      <w:r>
        <w:rPr>
          <w:rtl/>
        </w:rPr>
        <w:t>ב“תבונה</w:t>
      </w:r>
      <w:proofErr w:type="spellEnd"/>
      <w:r>
        <w:rPr>
          <w:rtl/>
        </w:rPr>
        <w:t xml:space="preserve">” מעלה ר׳ </w:t>
      </w:r>
      <w:proofErr w:type="spellStart"/>
      <w:r>
        <w:rPr>
          <w:rtl/>
        </w:rPr>
        <w:t>אליהו־מאיר</w:t>
      </w:r>
      <w:proofErr w:type="spellEnd"/>
      <w:r>
        <w:rPr>
          <w:rtl/>
        </w:rPr>
        <w:t xml:space="preserve"> </w:t>
      </w:r>
      <w:proofErr w:type="spellStart"/>
      <w:r>
        <w:rPr>
          <w:rtl/>
        </w:rPr>
        <w:t>פייבלזון</w:t>
      </w:r>
      <w:proofErr w:type="spellEnd"/>
      <w:r>
        <w:rPr>
          <w:rtl/>
        </w:rPr>
        <w:t xml:space="preserve"> גם הבחנה שיש מקום לדון בה: אותה “עיר ברלין, שממנה יצאה הכפירה באלוהי ישראל ובתורתו והכניסה בעמנו המרת דת מרצון”, הייתה “גם מקור החיים למקומות התורה באמצעות תושבה ר׳ עובדיה לחמן”. אבל יש לציין שלחמן לא זוהה לגמרי עם ברלין. </w:t>
      </w:r>
      <w:proofErr w:type="spellStart"/>
      <w:r>
        <w:rPr>
          <w:rtl/>
        </w:rPr>
        <w:t>ב“שערי</w:t>
      </w:r>
      <w:proofErr w:type="spellEnd"/>
      <w:r>
        <w:rPr>
          <w:rtl/>
        </w:rPr>
        <w:t xml:space="preserve"> אורה” מאת יצחק יעקב ריינס</w:t>
      </w:r>
      <w:bookmarkStart w:id="5128" w:name="_fnr3808"/>
      <w:r>
        <w:rPr>
          <w:vertAlign w:val="superscript"/>
          <w:rtl/>
        </w:rPr>
        <w:footnoteReference w:id="3816" w:customMarkFollows="0"/>
      </w:r>
      <w:bookmarkEnd w:id="5128"/>
      <w:r>
        <w:rPr>
          <w:rtl/>
        </w:rPr>
        <w:t xml:space="preserve"> נמנה אמיל לחמן בין התורמים </w:t>
      </w:r>
      <w:proofErr w:type="spellStart"/>
      <w:r>
        <w:rPr>
          <w:rtl/>
        </w:rPr>
        <w:t>ל“חותם</w:t>
      </w:r>
      <w:proofErr w:type="spellEnd"/>
      <w:r>
        <w:rPr>
          <w:rtl/>
        </w:rPr>
        <w:t xml:space="preserve"> תכנית”, ספר שפרסם אותו מחבר שש שנים קודם לכן, והוא מתואר שם </w:t>
      </w:r>
      <w:proofErr w:type="spellStart"/>
      <w:r>
        <w:rPr>
          <w:rtl/>
        </w:rPr>
        <w:t>כ“עובדי</w:t>
      </w:r>
      <w:proofErr w:type="spellEnd"/>
      <w:r>
        <w:rPr>
          <w:rtl/>
        </w:rPr>
        <w:t xml:space="preserve">׳ </w:t>
      </w:r>
      <w:proofErr w:type="spellStart"/>
      <w:r>
        <w:rPr>
          <w:rtl/>
        </w:rPr>
        <w:t>לאכמאן</w:t>
      </w:r>
      <w:proofErr w:type="spellEnd"/>
      <w:r>
        <w:rPr>
          <w:rtl/>
        </w:rPr>
        <w:t xml:space="preserve"> מהמבורג” – ולא מברלין. גם במכתב ר׳ </w:t>
      </w:r>
      <w:proofErr w:type="spellStart"/>
      <w:r>
        <w:rPr>
          <w:rtl/>
        </w:rPr>
        <w:t>שמחה־זיסל</w:t>
      </w:r>
      <w:proofErr w:type="spellEnd"/>
      <w:r>
        <w:rPr>
          <w:rtl/>
        </w:rPr>
        <w:t xml:space="preserve"> זיו, המובא </w:t>
      </w:r>
      <w:proofErr w:type="spellStart"/>
      <w:r>
        <w:rPr>
          <w:rtl/>
        </w:rPr>
        <w:t>ב“שנות</w:t>
      </w:r>
      <w:proofErr w:type="spellEnd"/>
      <w:r>
        <w:rPr>
          <w:rtl/>
        </w:rPr>
        <w:t xml:space="preserve"> דור ודור”</w:t>
      </w:r>
      <w:bookmarkStart w:id="5129" w:name="_fnr3809"/>
      <w:r>
        <w:rPr>
          <w:vertAlign w:val="superscript"/>
          <w:rtl/>
        </w:rPr>
        <w:footnoteReference w:id="3817" w:customMarkFollows="0"/>
      </w:r>
      <w:bookmarkEnd w:id="5129"/>
      <w:r>
        <w:rPr>
          <w:rtl/>
        </w:rPr>
        <w:t xml:space="preserve"> ונידון בהרחבה בעמ׳ </w:t>
      </w:r>
      <w:r>
        <w:rPr>
          <w:rtl/>
        </w:rPr>
        <w:fldChar w:fldCharType="begin" w:dirty="true"/>
      </w:r>
      <w:r>
        <w:rPr>
          <w:rtl/>
        </w:rPr>
        <w:instrText xml:space="preserve"> PAGEREF pr_b_1001 \h </w:instrText>
      </w:r>
      <w:r>
        <w:rPr>
          <w:rtl/>
        </w:rPr>
      </w:r>
      <w:r>
        <w:rPr>
          <w:rtl/>
        </w:rPr>
        <w:fldChar w:fldCharType="separate"/>
      </w:r>
      <w:r w:rsidR="007923E9">
        <w:rPr>
          <w:noProof/>
          <w:rtl/>
        </w:rPr>
        <w:t>1</w:t>
      </w:r>
      <w:r>
        <w:rPr>
          <w:rtl/>
        </w:rPr>
        <w:fldChar w:fldCharType="end"/>
      </w:r>
      <w:r>
        <w:rPr>
          <w:rtl/>
        </w:rPr>
        <w:t xml:space="preserve"> ואילך לעיל, מופיע לחמן </w:t>
      </w:r>
      <w:proofErr w:type="spellStart"/>
      <w:r>
        <w:rPr>
          <w:rtl/>
        </w:rPr>
        <w:t>כ“האיש</w:t>
      </w:r>
      <w:proofErr w:type="spellEnd"/>
      <w:r>
        <w:rPr>
          <w:rtl/>
        </w:rPr>
        <w:t xml:space="preserve"> הידוע מהמבורג </w:t>
      </w:r>
      <w:proofErr w:type="spellStart"/>
      <w:r>
        <w:rPr>
          <w:rtl/>
        </w:rPr>
        <w:t>לאכמאנן</w:t>
      </w:r>
      <w:proofErr w:type="spellEnd"/>
      <w:r>
        <w:rPr>
          <w:rtl/>
        </w:rPr>
        <w:t xml:space="preserve"> אשר הקדיש צדקתו על קהל הפרושים”</w:t>
      </w:r>
      <w:bookmarkStart w:id="5130" w:name="_fnr3810"/>
      <w:r>
        <w:rPr>
          <w:vertAlign w:val="superscript"/>
          <w:rtl/>
        </w:rPr>
        <w:footnoteReference w:id="3818" w:customMarkFollows="0"/>
      </w:r>
      <w:bookmarkEnd w:id="5130"/>
      <w:r>
        <w:rPr>
          <w:rtl/>
        </w:rPr>
        <w:t>.</w:t>
      </w:r>
    </w:p>
    <w:p w14:paraId="41E616EE" w14:textId="77777777" w:rsidR="00AB3647" w:rsidRDefault="00000000" w:rsidP="007923E9">
      <w:pPr>
        <w:spacing w:after="120" w:line="276" w:lineRule="auto"/>
        <w:ind w:firstLine="283"/>
        <w:jc w:val="both"/>
      </w:pPr>
      <w:r>
        <w:rPr>
          <w:rtl/>
        </w:rPr>
        <w:t xml:space="preserve">המכתב, שנכתב כנראה </w:t>
      </w:r>
      <w:proofErr w:type="spellStart"/>
      <w:r>
        <w:rPr>
          <w:rtl/>
        </w:rPr>
        <w:t>בתר״מ</w:t>
      </w:r>
      <w:proofErr w:type="spellEnd"/>
      <w:r>
        <w:rPr>
          <w:rtl/>
        </w:rPr>
        <w:t xml:space="preserve">, מזכיר את ביקורו של ר׳ </w:t>
      </w:r>
      <w:proofErr w:type="spellStart"/>
      <w:r>
        <w:rPr>
          <w:rtl/>
        </w:rPr>
        <w:t>נתן־צבי</w:t>
      </w:r>
      <w:proofErr w:type="spellEnd"/>
      <w:r>
        <w:rPr>
          <w:rtl/>
        </w:rPr>
        <w:t xml:space="preserve"> </w:t>
      </w:r>
      <w:proofErr w:type="spellStart"/>
      <w:r>
        <w:rPr>
          <w:rtl/>
        </w:rPr>
        <w:t>פינקל</w:t>
      </w:r>
      <w:proofErr w:type="spellEnd"/>
      <w:r>
        <w:rPr>
          <w:rtl/>
        </w:rPr>
        <w:t xml:space="preserve"> אצל לחמן באותה עת. מקום הביקור היה ודאי ברלין ולא המבורג: לחמן התגורר בברלין שלוש שנים לפחות, מאז תרל״ז, שבה החל לתמוך בכולל קובנה. מסתבר שהתגורר בברלין עוד קודם לכן, מפני ששם החל ר׳ </w:t>
      </w:r>
      <w:proofErr w:type="spellStart"/>
      <w:r>
        <w:rPr>
          <w:rtl/>
        </w:rPr>
        <w:t>יוסף־חיים</w:t>
      </w:r>
      <w:proofErr w:type="spellEnd"/>
      <w:r>
        <w:rPr>
          <w:rtl/>
        </w:rPr>
        <w:t xml:space="preserve"> </w:t>
      </w:r>
      <w:proofErr w:type="spellStart"/>
      <w:r>
        <w:rPr>
          <w:rtl/>
        </w:rPr>
        <w:t>חווס</w:t>
      </w:r>
      <w:proofErr w:type="spellEnd"/>
      <w:r>
        <w:rPr>
          <w:rtl/>
        </w:rPr>
        <w:t xml:space="preserve"> להשפיע עליו מבחינה דתית, עד שר׳ עובדיה נעשה שומר תורה ומוקיר חכמיה – ראה עמ׳ </w:t>
      </w:r>
      <w:r>
        <w:rPr>
          <w:rtl/>
        </w:rPr>
        <w:fldChar w:fldCharType="begin" w:dirty="true"/>
      </w:r>
      <w:r>
        <w:rPr>
          <w:rtl/>
        </w:rPr>
        <w:instrText xml:space="preserve"> PAGEREF pr_b_1000 \h </w:instrText>
      </w:r>
      <w:r>
        <w:rPr>
          <w:rtl/>
        </w:rPr>
      </w:r>
      <w:r>
        <w:rPr>
          <w:rtl/>
        </w:rPr>
        <w:fldChar w:fldCharType="separate"/>
      </w:r>
      <w:r w:rsidR="007923E9">
        <w:rPr>
          <w:noProof/>
          <w:rtl/>
        </w:rPr>
        <w:t>1</w:t>
      </w:r>
      <w:r>
        <w:rPr>
          <w:rtl/>
        </w:rPr>
        <w:fldChar w:fldCharType="end"/>
      </w:r>
      <w:r>
        <w:rPr>
          <w:rtl/>
        </w:rPr>
        <w:t>–</w:t>
      </w:r>
      <w:r>
        <w:rPr>
          <w:rtl/>
        </w:rPr>
        <w:fldChar w:fldCharType="begin" w:dirty="true"/>
      </w:r>
      <w:r>
        <w:rPr>
          <w:rtl/>
        </w:rPr>
        <w:instrText xml:space="preserve"> PAGEREF pr_b_1001 \h </w:instrText>
      </w:r>
      <w:r>
        <w:rPr>
          <w:rtl/>
        </w:rPr>
      </w:r>
      <w:r>
        <w:rPr>
          <w:rtl/>
        </w:rPr>
        <w:fldChar w:fldCharType="separate"/>
      </w:r>
      <w:r w:rsidR="007923E9">
        <w:rPr>
          <w:noProof/>
          <w:rtl/>
        </w:rPr>
        <w:t>1</w:t>
      </w:r>
      <w:r>
        <w:rPr>
          <w:rtl/>
        </w:rPr>
        <w:fldChar w:fldCharType="end"/>
      </w:r>
      <w:r>
        <w:rPr>
          <w:rtl/>
        </w:rPr>
        <w:t xml:space="preserve"> לעיל. ודאי עלינו להניח שר׳ עובדיה לא נעשה יהודי אוהב תורה בן לילה, אלא קורב ליהדות בעדינות במשך שנים. לכן, אף שהתגורר בברלין שנים רבות, עדיין תואר במכתב ר׳ </w:t>
      </w:r>
      <w:proofErr w:type="spellStart"/>
      <w:r>
        <w:rPr>
          <w:rtl/>
        </w:rPr>
        <w:t>שמחה־זיסל</w:t>
      </w:r>
      <w:proofErr w:type="spellEnd"/>
      <w:r>
        <w:rPr>
          <w:rtl/>
        </w:rPr>
        <w:t xml:space="preserve"> זיו על פי מקום מגוריו הקודם, “האיש הידוע מהמבורג”.</w:t>
      </w:r>
    </w:p>
    <w:p w14:paraId="330A90B0" w14:textId="77777777" w:rsidR="00AB3647" w:rsidRDefault="00000000" w:rsidP="007923E9">
      <w:pPr>
        <w:spacing w:after="120" w:line="276" w:lineRule="auto"/>
        <w:ind w:firstLine="283"/>
        <w:jc w:val="both"/>
      </w:pPr>
      <w:r>
        <w:rPr>
          <w:rtl/>
        </w:rPr>
        <w:t xml:space="preserve">אבל הניגוד שבברלין, שעליו מעמיד אותנו ר׳ </w:t>
      </w:r>
      <w:proofErr w:type="spellStart"/>
      <w:r>
        <w:rPr>
          <w:rtl/>
        </w:rPr>
        <w:t>אליהו־מאיר</w:t>
      </w:r>
      <w:proofErr w:type="spellEnd"/>
      <w:r>
        <w:rPr>
          <w:rtl/>
        </w:rPr>
        <w:t xml:space="preserve"> </w:t>
      </w:r>
      <w:proofErr w:type="spellStart"/>
      <w:r>
        <w:rPr>
          <w:rtl/>
        </w:rPr>
        <w:t>פייבלזון</w:t>
      </w:r>
      <w:proofErr w:type="spellEnd"/>
      <w:r>
        <w:rPr>
          <w:rtl/>
        </w:rPr>
        <w:t xml:space="preserve">, אכן נכון: רק בעקבות מעבר לחמן מהמבורג לברלין הצטלבה דרכו בדרך היראה של ר׳ </w:t>
      </w:r>
      <w:proofErr w:type="spellStart"/>
      <w:r>
        <w:rPr>
          <w:rtl/>
        </w:rPr>
        <w:t>יוסף־חיים</w:t>
      </w:r>
      <w:proofErr w:type="spellEnd"/>
      <w:r>
        <w:rPr>
          <w:rtl/>
        </w:rPr>
        <w:t xml:space="preserve">, </w:t>
      </w:r>
      <w:proofErr w:type="spellStart"/>
      <w:r>
        <w:rPr>
          <w:rtl/>
        </w:rPr>
        <w:t>ו“עיר</w:t>
      </w:r>
      <w:proofErr w:type="spellEnd"/>
      <w:r>
        <w:rPr>
          <w:rtl/>
        </w:rPr>
        <w:t xml:space="preserve"> הכפירה” נעשתה “מקור חיי [תורה] ללחמן”, ומכאן “מקור החיים למקומות התורה”.</w:t>
      </w:r>
    </w:p>
    <w:bookmarkStart w:id="5131" w:name="b4_excH"/>
    <w:bookmarkStart w:id="5132" w:name="b4_annexH"/>
    <w:p w14:paraId="375D7CD1" w14:textId="77777777" w:rsidR="00AB3647" w:rsidRDefault="00000000" w:rsidP="007923E9">
      <w:pPr>
        <w:pStyle w:val="3"/>
        <w:spacing w:line="276" w:lineRule="auto"/>
      </w:pPr>
      <w:r>
        <w:lastRenderedPageBreak/>
        <w:fldChar w:fldCharType="begin" w:dirty="true"/>
      </w:r>
      <w:r>
        <w:rPr>
          <w:rtl w:val="0"/>
        </w:rPr>
        <w:instrText>HYPERLINK \l "b4_note54</w:instrText>
      </w:r>
      <w:r>
        <w:instrText>"</w:instrText>
      </w:r>
      <w:r>
        <w:fldChar w:fldCharType="separate"/>
      </w:r>
      <w:r>
        <w:t>נספח ח</w:t>
      </w:r>
      <w:r>
        <w:fldChar w:fldCharType="end"/>
      </w:r>
      <w:bookmarkEnd w:id="5131"/>
      <w:bookmarkEnd w:id="5132"/>
    </w:p>
    <w:p w14:paraId="188A1F57" w14:textId="77777777" w:rsidR="00AB3647" w:rsidRDefault="00000000" w:rsidP="007923E9">
      <w:pPr>
        <w:pStyle w:val="af"/>
        <w:spacing w:line="276" w:lineRule="auto"/>
      </w:pPr>
      <w:r>
        <w:t xml:space="preserve">על חשדם העצמי של בעלי המוסר ועל ביקורם המשותף של ר׳ ישראל </w:t>
      </w:r>
      <w:proofErr w:type="spellStart"/>
      <w:r>
        <w:t>סלנטר</w:t>
      </w:r>
      <w:proofErr w:type="spellEnd"/>
      <w:r>
        <w:t xml:space="preserve"> והברון </w:t>
      </w:r>
      <w:proofErr w:type="spellStart"/>
      <w:r>
        <w:t>גינצבורג</w:t>
      </w:r>
      <w:proofErr w:type="spellEnd"/>
      <w:r>
        <w:t xml:space="preserve"> בישיבת ר׳ לייזר גורדון</w:t>
      </w:r>
    </w:p>
    <w:p w14:paraId="05E1160A" w14:textId="77777777" w:rsidR="00AB3647" w:rsidRDefault="00000000" w:rsidP="007923E9">
      <w:pPr>
        <w:pStyle w:val="4"/>
        <w:spacing w:line="276" w:lineRule="auto"/>
      </w:pPr>
      <w:r>
        <w:t>· הפסקה הראשונה ·</w:t>
      </w:r>
    </w:p>
    <w:p w14:paraId="27173169" w14:textId="77777777" w:rsidR="00AB3647" w:rsidRDefault="00000000" w:rsidP="007923E9">
      <w:pPr>
        <w:pStyle w:val="5"/>
        <w:spacing w:line="276" w:lineRule="auto"/>
      </w:pPr>
      <w:r>
        <w:rPr>
          <w:bCs/>
          <w:szCs w:val="26"/>
        </w:rPr>
        <w:t xml:space="preserve">ר׳ ישראל </w:t>
      </w:r>
      <w:proofErr w:type="spellStart"/>
      <w:r>
        <w:rPr>
          <w:bCs/>
          <w:szCs w:val="26"/>
        </w:rPr>
        <w:t>סלנטר</w:t>
      </w:r>
      <w:proofErr w:type="spellEnd"/>
      <w:r>
        <w:rPr>
          <w:bCs/>
          <w:szCs w:val="26"/>
        </w:rPr>
        <w:t xml:space="preserve"> בוחן אם מעשה טוב נעשה לשם שמים</w:t>
      </w:r>
    </w:p>
    <w:p w14:paraId="3FCF5054" w14:textId="77777777" w:rsidR="00AB3647" w:rsidRDefault="00000000" w:rsidP="007923E9">
      <w:pPr>
        <w:spacing w:after="120" w:line="276" w:lineRule="auto"/>
        <w:ind w:firstLine="283"/>
        <w:jc w:val="both"/>
      </w:pPr>
      <w:r>
        <w:rPr>
          <w:rtl/>
        </w:rPr>
        <w:t xml:space="preserve">כאן מובאות שתי דוגמאות נוקבות להקפדתו של ר׳ ישראל </w:t>
      </w:r>
      <w:proofErr w:type="spellStart"/>
      <w:r>
        <w:rPr>
          <w:rtl/>
        </w:rPr>
        <w:t>סלנטר</w:t>
      </w:r>
      <w:proofErr w:type="spellEnd"/>
      <w:r>
        <w:rPr>
          <w:rtl/>
        </w:rPr>
        <w:t xml:space="preserve"> שאדם יהיה נקי מנגיעה עצמית. ראה פרק 3, תחילת הפסקה השנייה של נספח </w:t>
      </w:r>
      <w:proofErr w:type="spellStart"/>
      <w:r>
        <w:rPr>
          <w:rtl/>
        </w:rPr>
        <w:t>כו</w:t>
      </w:r>
      <w:proofErr w:type="spellEnd"/>
      <w:r>
        <w:rPr>
          <w:rtl/>
        </w:rPr>
        <w:t xml:space="preserve">, על דברי ר׳ ישראל (בעניין ר׳ לייב </w:t>
      </w:r>
      <w:proofErr w:type="spellStart"/>
      <w:r>
        <w:rPr>
          <w:rtl/>
        </w:rPr>
        <w:t>ציגלר</w:t>
      </w:r>
      <w:proofErr w:type="spellEnd"/>
      <w:r>
        <w:rPr>
          <w:rtl/>
        </w:rPr>
        <w:t xml:space="preserve"> מקלם) מה מזכה אדם בתואר “חסיד”: שלא תהיה לו נגיעה עצמית אפילו בצבירת מצוות, כלומר שיוותר על מצוותו ויניח לאחר לעשותה במקומו</w:t>
      </w:r>
      <w:bookmarkStart w:id="5133" w:name="_fnr3811"/>
      <w:r>
        <w:rPr>
          <w:vertAlign w:val="superscript"/>
          <w:rtl/>
        </w:rPr>
        <w:footnoteReference w:id="3819" w:customMarkFollows="0"/>
      </w:r>
      <w:bookmarkEnd w:id="5133"/>
      <w:r>
        <w:rPr>
          <w:rtl/>
        </w:rPr>
        <w:t>.</w:t>
      </w:r>
    </w:p>
    <w:p w14:paraId="0F496F6D" w14:textId="77777777" w:rsidR="00AB3647" w:rsidRDefault="00000000" w:rsidP="007923E9">
      <w:pPr>
        <w:spacing w:after="120" w:line="276" w:lineRule="auto"/>
        <w:ind w:firstLine="283"/>
        <w:jc w:val="both"/>
      </w:pPr>
      <w:r>
        <w:rPr>
          <w:rtl/>
        </w:rPr>
        <w:t xml:space="preserve">השווה גם </w:t>
      </w:r>
      <w:proofErr w:type="spellStart"/>
      <w:r>
        <w:rPr>
          <w:rtl/>
        </w:rPr>
        <w:t>רבינר</w:t>
      </w:r>
      <w:proofErr w:type="spellEnd"/>
      <w:r>
        <w:rPr>
          <w:rtl/>
        </w:rPr>
        <w:t>, “הגאון רבי אליעזר גורדון”</w:t>
      </w:r>
      <w:bookmarkStart w:id="5134" w:name="_fnr3812"/>
      <w:r>
        <w:rPr>
          <w:vertAlign w:val="superscript"/>
          <w:rtl/>
        </w:rPr>
        <w:footnoteReference w:id="3820" w:customMarkFollows="0"/>
      </w:r>
      <w:bookmarkEnd w:id="5134"/>
      <w:r>
        <w:rPr>
          <w:rtl/>
        </w:rPr>
        <w:t xml:space="preserve">: ר׳ לייזר גורדון, רבה וראש ישיבתה של </w:t>
      </w:r>
      <w:proofErr w:type="spellStart"/>
      <w:r>
        <w:rPr>
          <w:rtl/>
        </w:rPr>
        <w:t>טלז</w:t>
      </w:r>
      <w:bookmarkStart w:id="5135" w:name="_fnr3813"/>
      <w:proofErr w:type="spellEnd"/>
      <w:r>
        <w:rPr>
          <w:vertAlign w:val="superscript"/>
          <w:rtl/>
        </w:rPr>
        <w:footnoteReference w:id="3821" w:customMarkFollows="0"/>
      </w:r>
      <w:bookmarkEnd w:id="5135"/>
      <w:r>
        <w:rPr>
          <w:rtl/>
        </w:rPr>
        <w:t>, ביקש מר׳ ישראל, רבו לשעבר</w:t>
      </w:r>
      <w:bookmarkStart w:id="5136" w:name="_fnr3814"/>
      <w:r>
        <w:rPr>
          <w:vertAlign w:val="superscript"/>
          <w:rtl/>
        </w:rPr>
        <w:footnoteReference w:id="3822" w:customMarkFollows="0"/>
      </w:r>
      <w:bookmarkEnd w:id="5136"/>
      <w:r>
        <w:rPr>
          <w:rtl/>
        </w:rPr>
        <w:t xml:space="preserve">, להיות נוכח בביקור שתוכנן לברון דוד </w:t>
      </w:r>
      <w:proofErr w:type="spellStart"/>
      <w:r>
        <w:rPr>
          <w:rtl/>
        </w:rPr>
        <w:t>גינצבורג</w:t>
      </w:r>
      <w:proofErr w:type="spellEnd"/>
      <w:r>
        <w:rPr>
          <w:rtl/>
        </w:rPr>
        <w:t xml:space="preserve"> בישיבתו “</w:t>
      </w:r>
      <w:proofErr w:type="spellStart"/>
      <w:r>
        <w:rPr>
          <w:rtl/>
        </w:rPr>
        <w:t>בטלז</w:t>
      </w:r>
      <w:proofErr w:type="spellEnd"/>
      <w:r>
        <w:rPr>
          <w:rtl/>
        </w:rPr>
        <w:t>”. ר׳ לייזר גורדון החל לרקוד משמחה כשהראה לאורחים המכובדים את “מאות התלמידים הממלאים את בית המדרש מכותל לכותל באמצע לימודם”, ור׳ ישראל שאל אותו אם היה שמח באותה מידה אילו ראה מראה מפואר כזה בישיבה שאינה שלו</w:t>
      </w:r>
      <w:bookmarkStart w:id="5137" w:name="_fnr3815"/>
      <w:r>
        <w:rPr>
          <w:vertAlign w:val="superscript"/>
          <w:rtl/>
        </w:rPr>
        <w:footnoteReference w:id="3823" w:customMarkFollows="0"/>
      </w:r>
      <w:bookmarkEnd w:id="5137"/>
      <w:r>
        <w:rPr>
          <w:rtl/>
        </w:rPr>
        <w:t>.</w:t>
      </w:r>
    </w:p>
    <w:p w14:paraId="0F4451F6" w14:textId="77777777" w:rsidR="00AB3647" w:rsidRDefault="00000000" w:rsidP="007923E9">
      <w:pPr>
        <w:pStyle w:val="4"/>
        <w:spacing w:line="276" w:lineRule="auto"/>
      </w:pPr>
      <w:r>
        <w:lastRenderedPageBreak/>
        <w:t>· הפסקה השנייה ·</w:t>
      </w:r>
    </w:p>
    <w:p w14:paraId="4B090808" w14:textId="77777777" w:rsidR="00AB3647" w:rsidRDefault="00000000" w:rsidP="007923E9">
      <w:pPr>
        <w:pStyle w:val="5"/>
        <w:spacing w:line="276" w:lineRule="auto"/>
      </w:pPr>
      <w:r>
        <w:rPr>
          <w:bCs/>
          <w:szCs w:val="26"/>
        </w:rPr>
        <w:t xml:space="preserve">ר׳ לייזר גורדון משתתף בדיון בקובנה – ישיבה מוקמת </w:t>
      </w:r>
      <w:proofErr w:type="spellStart"/>
      <w:r>
        <w:rPr>
          <w:bCs/>
          <w:szCs w:val="26"/>
        </w:rPr>
        <w:t>בטלז</w:t>
      </w:r>
      <w:proofErr w:type="spellEnd"/>
      <w:r>
        <w:rPr>
          <w:bCs/>
          <w:szCs w:val="26"/>
        </w:rPr>
        <w:t xml:space="preserve"> – ר׳ ישראל </w:t>
      </w:r>
      <w:proofErr w:type="spellStart"/>
      <w:r>
        <w:rPr>
          <w:bCs/>
          <w:szCs w:val="26"/>
        </w:rPr>
        <w:t>סלנטר</w:t>
      </w:r>
      <w:proofErr w:type="spellEnd"/>
      <w:r>
        <w:rPr>
          <w:bCs/>
          <w:szCs w:val="26"/>
        </w:rPr>
        <w:t xml:space="preserve"> והברון דוד </w:t>
      </w:r>
      <w:proofErr w:type="spellStart"/>
      <w:r>
        <w:rPr>
          <w:bCs/>
          <w:szCs w:val="26"/>
        </w:rPr>
        <w:t>גינצבורג</w:t>
      </w:r>
      <w:proofErr w:type="spellEnd"/>
      <w:r>
        <w:rPr>
          <w:bCs/>
          <w:szCs w:val="26"/>
        </w:rPr>
        <w:t xml:space="preserve"> מבקרים יחד </w:t>
      </w:r>
      <w:proofErr w:type="spellStart"/>
      <w:r>
        <w:rPr>
          <w:bCs/>
          <w:szCs w:val="26"/>
        </w:rPr>
        <w:t>בקלם</w:t>
      </w:r>
      <w:proofErr w:type="spellEnd"/>
      <w:r>
        <w:rPr>
          <w:bCs/>
          <w:szCs w:val="26"/>
        </w:rPr>
        <w:t xml:space="preserve"> – ר׳ ישראל מקיים קשר עם ר׳ שלמה אלישיב – תפיסתו המוגבלת של הברון את הישיבה – ר׳ ישראל מגדיר את ההבדל בין ישיבה לאוניברסיטה – לברון מורים פרטיים – חינוכו מוליכו שולל – הוא ואביו נזקקים לשכנוע כדי לוותר על תוכניתם להקמת בית מדרש לרבנים בידי ממשלת רוסיה – דרכיו הבלתי שגרתיות של ר׳ לייזר גורדון בגיוס תרומות – דיוקנו של ברון שומר תורה ומצוות</w:t>
      </w:r>
    </w:p>
    <w:p w14:paraId="3486078E" w14:textId="77777777" w:rsidR="00AB3647" w:rsidRDefault="00000000" w:rsidP="007923E9">
      <w:pPr>
        <w:spacing w:after="120" w:line="276" w:lineRule="auto"/>
        <w:ind w:firstLine="283"/>
        <w:jc w:val="both"/>
      </w:pPr>
      <w:r>
        <w:rPr>
          <w:rtl/>
        </w:rPr>
        <w:t xml:space="preserve">יש להעמיד את הסיפור </w:t>
      </w:r>
      <w:proofErr w:type="spellStart"/>
      <w:r>
        <w:rPr>
          <w:rtl/>
        </w:rPr>
        <w:t>שברבינר</w:t>
      </w:r>
      <w:proofErr w:type="spellEnd"/>
      <w:r>
        <w:rPr>
          <w:rtl/>
        </w:rPr>
        <w:t xml:space="preserve">, “הגאון רבי אליעזר גורדון”, בהקשרו ההיסטורי, בשל שלוש הדמויות החשובות שנזכרות בו. אף שהסיפור נמסר נאמנה למחבר אותו ספר מפי ר׳ אפרים </w:t>
      </w:r>
      <w:proofErr w:type="spellStart"/>
      <w:r>
        <w:rPr>
          <w:rtl/>
        </w:rPr>
        <w:t>בורודיאנסקי</w:t>
      </w:r>
      <w:proofErr w:type="spellEnd"/>
      <w:r>
        <w:rPr>
          <w:rtl/>
        </w:rPr>
        <w:t xml:space="preserve">, ששמעו מתלמיד מצטיין של הסבא </w:t>
      </w:r>
      <w:proofErr w:type="spellStart"/>
      <w:r>
        <w:rPr>
          <w:rtl/>
        </w:rPr>
        <w:t>מסלבודקה</w:t>
      </w:r>
      <w:proofErr w:type="spellEnd"/>
      <w:r>
        <w:rPr>
          <w:rtl/>
        </w:rPr>
        <w:t xml:space="preserve">, ר׳ </w:t>
      </w:r>
      <w:proofErr w:type="spellStart"/>
      <w:r>
        <w:rPr>
          <w:rtl/>
        </w:rPr>
        <w:t>יוסף־זאב</w:t>
      </w:r>
      <w:proofErr w:type="spellEnd"/>
      <w:r>
        <w:rPr>
          <w:rtl/>
        </w:rPr>
        <w:t xml:space="preserve"> </w:t>
      </w:r>
      <w:proofErr w:type="spellStart"/>
      <w:r>
        <w:rPr>
          <w:rtl/>
        </w:rPr>
        <w:t>ליפוביץ</w:t>
      </w:r>
      <w:bookmarkStart w:id="5138" w:name="_fnr3816"/>
      <w:proofErr w:type="spellEnd"/>
      <w:r>
        <w:rPr>
          <w:vertAlign w:val="superscript"/>
          <w:rtl/>
        </w:rPr>
        <w:footnoteReference w:id="3824" w:customMarkFollows="0"/>
      </w:r>
      <w:bookmarkEnd w:id="5138"/>
      <w:r>
        <w:rPr>
          <w:rtl/>
        </w:rPr>
        <w:t xml:space="preserve">, יש בו </w:t>
      </w:r>
      <w:proofErr w:type="spellStart"/>
      <w:r>
        <w:rPr>
          <w:rtl/>
        </w:rPr>
        <w:t>אי־דיוק</w:t>
      </w:r>
      <w:proofErr w:type="spellEnd"/>
      <w:r>
        <w:rPr>
          <w:rtl/>
        </w:rPr>
        <w:t xml:space="preserve">: ר׳ לייזר גורדון נתמנה לרבה של </w:t>
      </w:r>
      <w:proofErr w:type="spellStart"/>
      <w:r>
        <w:rPr>
          <w:rtl/>
        </w:rPr>
        <w:t>טלז</w:t>
      </w:r>
      <w:proofErr w:type="spellEnd"/>
      <w:r>
        <w:rPr>
          <w:rtl/>
        </w:rPr>
        <w:t xml:space="preserve"> רק שנה אחרי פטירת ר׳ ישראל </w:t>
      </w:r>
      <w:proofErr w:type="spellStart"/>
      <w:r>
        <w:rPr>
          <w:rtl/>
        </w:rPr>
        <w:t>סלנטר</w:t>
      </w:r>
      <w:proofErr w:type="spellEnd"/>
      <w:r>
        <w:rPr>
          <w:rtl/>
        </w:rPr>
        <w:t>, כלומר בחורף תרמ״ד. השווה גם “</w:t>
      </w:r>
      <w:proofErr w:type="spellStart"/>
      <w:r>
        <w:rPr>
          <w:rtl/>
        </w:rPr>
        <w:t>זכרון</w:t>
      </w:r>
      <w:proofErr w:type="spellEnd"/>
      <w:r>
        <w:rPr>
          <w:rtl/>
        </w:rPr>
        <w:t xml:space="preserve"> יעקב”</w:t>
      </w:r>
      <w:bookmarkStart w:id="5139" w:name="_fnr3817"/>
      <w:r>
        <w:rPr>
          <w:vertAlign w:val="superscript"/>
          <w:rtl/>
        </w:rPr>
        <w:footnoteReference w:id="3825" w:customMarkFollows="0"/>
      </w:r>
      <w:bookmarkEnd w:id="5139"/>
      <w:r>
        <w:rPr>
          <w:rtl/>
        </w:rPr>
        <w:t xml:space="preserve">, המתאר פגישה בין ר׳ ישראל </w:t>
      </w:r>
      <w:proofErr w:type="spellStart"/>
      <w:r>
        <w:rPr>
          <w:rtl/>
        </w:rPr>
        <w:t>לר</w:t>
      </w:r>
      <w:proofErr w:type="spellEnd"/>
      <w:r>
        <w:rPr>
          <w:rtl/>
        </w:rPr>
        <w:t>׳ לייזר גורדון בחצי השנה האחרונה לחייו של ר׳ ישראל, ובה מתואר ר׳ לייזר עדיין כרבה של קלם.</w:t>
      </w:r>
    </w:p>
    <w:p w14:paraId="14DC949A" w14:textId="77777777" w:rsidR="00AB3647" w:rsidRDefault="00000000" w:rsidP="007923E9">
      <w:pPr>
        <w:spacing w:after="120" w:line="276" w:lineRule="auto"/>
        <w:ind w:firstLine="283"/>
        <w:jc w:val="both"/>
      </w:pPr>
      <w:proofErr w:type="spellStart"/>
      <w:r>
        <w:rPr>
          <w:rtl/>
        </w:rPr>
        <w:t>ב“זכרון</w:t>
      </w:r>
      <w:proofErr w:type="spellEnd"/>
      <w:r>
        <w:rPr>
          <w:rtl/>
        </w:rPr>
        <w:t xml:space="preserve"> יעקב”</w:t>
      </w:r>
      <w:bookmarkStart w:id="5140" w:name="_fnr3818"/>
      <w:r>
        <w:rPr>
          <w:vertAlign w:val="superscript"/>
          <w:rtl/>
        </w:rPr>
        <w:footnoteReference w:id="3826" w:customMarkFollows="0"/>
      </w:r>
      <w:bookmarkEnd w:id="5140"/>
      <w:r>
        <w:rPr>
          <w:rtl/>
        </w:rPr>
        <w:t xml:space="preserve"> מתוארים באריכות המאמצים שנעשו “בסוף קיץ תרמ״ב” לשכנע את הברון </w:t>
      </w:r>
      <w:proofErr w:type="spellStart"/>
      <w:r>
        <w:rPr>
          <w:rtl/>
        </w:rPr>
        <w:t>גינצבורג</w:t>
      </w:r>
      <w:proofErr w:type="spellEnd"/>
      <w:r>
        <w:rPr>
          <w:rtl/>
        </w:rPr>
        <w:t xml:space="preserve"> לחזור בו מהצעתו, מתחילת אותו קיץ, לחדש את פעולתו של בית מדרש לרבנים ברוסיה. שני המוסדות הקודמים, בווילנה </w:t>
      </w:r>
      <w:proofErr w:type="spellStart"/>
      <w:r>
        <w:rPr>
          <w:rtl/>
        </w:rPr>
        <w:t>ובז׳יטומיר</w:t>
      </w:r>
      <w:proofErr w:type="spellEnd"/>
      <w:r>
        <w:rPr>
          <w:rtl/>
        </w:rPr>
        <w:t xml:space="preserve">, נסגרו בידי הממשלה הרוסית תשע שנים קודם לכן. הברון דוד הצעיר הציע לחדש את פעולתם במכתב ששלח – “ללא ספק בהסכמת אביו, הברון </w:t>
      </w:r>
      <w:proofErr w:type="spellStart"/>
      <w:r>
        <w:rPr>
          <w:rtl/>
        </w:rPr>
        <w:t>נפתלי־הרץ</w:t>
      </w:r>
      <w:proofErr w:type="spellEnd"/>
      <w:r>
        <w:rPr>
          <w:rtl/>
        </w:rPr>
        <w:t xml:space="preserve"> (</w:t>
      </w:r>
      <w:proofErr w:type="spellStart"/>
      <w:r>
        <w:rPr>
          <w:rtl/>
        </w:rPr>
        <w:t>הוראס</w:t>
      </w:r>
      <w:proofErr w:type="spellEnd"/>
      <w:r>
        <w:rPr>
          <w:rtl/>
        </w:rPr>
        <w:t xml:space="preserve">) </w:t>
      </w:r>
      <w:proofErr w:type="spellStart"/>
      <w:r>
        <w:rPr>
          <w:rtl/>
        </w:rPr>
        <w:t>גינצבורג</w:t>
      </w:r>
      <w:proofErr w:type="spellEnd"/>
      <w:r>
        <w:rPr>
          <w:rtl/>
        </w:rPr>
        <w:t xml:space="preserve">, ושאר האצילים [היהודים] מפטרבורג” – אל רשות החינוך הממשלתית בווילנה, “והדבר הכאיב מאוד ללבות החרדים”. עוד מסופר שם</w:t>
      </w:r>
      <w:bookmarkStart w:id="5141" w:name="_fnr3819"/>
      <w:r>
        <w:rPr>
          <w:vertAlign w:val="superscript"/>
          <w:rtl/>
        </w:rPr>
        <w:footnoteReference w:id="3827" w:customMarkFollows="0"/>
      </w:r>
      <w:bookmarkEnd w:id="5141"/>
      <w:r>
        <w:rPr>
          <w:rtl/>
        </w:rPr>
        <w:t xml:space="preserve">: “בעודנו משוחחים” – ר׳ ישראל </w:t>
      </w:r>
      <w:proofErr w:type="spellStart"/>
      <w:r>
        <w:rPr>
          <w:rtl/>
        </w:rPr>
        <w:t>סלנטר</w:t>
      </w:r>
      <w:proofErr w:type="spellEnd"/>
      <w:r>
        <w:rPr>
          <w:rtl/>
        </w:rPr>
        <w:t xml:space="preserve"> ומחבר הזיכרונות, ר׳ יעקב הלוי ליפשיץ – “[כיצד לסכל את ההצעה להקמת בית המדרש לרבנים], נכנסו ר׳ לייזר גורדון, שהיה אז רבה של קלם (ואחר כך רבה של </w:t>
      </w:r>
      <w:proofErr w:type="spellStart"/>
      <w:r>
        <w:rPr>
          <w:rtl/>
        </w:rPr>
        <w:t>טלז</w:t>
      </w:r>
      <w:proofErr w:type="spellEnd"/>
      <w:r>
        <w:rPr>
          <w:rtl/>
        </w:rPr>
        <w:t xml:space="preserve">) (ההדגשה שלי), ור׳ אהרן </w:t>
      </w:r>
      <w:proofErr w:type="spellStart"/>
      <w:r>
        <w:rPr>
          <w:rtl/>
        </w:rPr>
        <w:t>נביאז׳סקי</w:t>
      </w:r>
      <w:proofErr w:type="spellEnd"/>
      <w:r>
        <w:rPr>
          <w:rtl/>
        </w:rPr>
        <w:t xml:space="preserve"> [</w:t>
      </w:r>
      <w:proofErr w:type="spellStart"/>
      <w:r>
        <w:rPr>
          <w:rtl/>
        </w:rPr>
        <w:t>הנביאז׳ער</w:t>
      </w:r>
      <w:proofErr w:type="spellEnd"/>
      <w:r>
        <w:rPr>
          <w:rtl/>
        </w:rPr>
        <w:t>]... והצטרפו לדיון”.</w:t>
      </w:r>
    </w:p>
    <w:p w14:paraId="6D3D8C65" w14:textId="77777777" w:rsidR="00AB3647" w:rsidRDefault="00000000" w:rsidP="007923E9">
      <w:pPr>
        <w:spacing w:after="120" w:line="276" w:lineRule="auto"/>
        <w:ind w:firstLine="283"/>
        <w:jc w:val="both"/>
      </w:pPr>
      <w:r>
        <w:rPr>
          <w:rtl/>
        </w:rPr>
        <w:lastRenderedPageBreak/>
        <w:t>לקראת אלול והימים הנוראים עזב ר׳ ישראל את קובנה ונסע לממל, שבה השקיע במשך השנים מאמצים רבים בחיזוק חיי היהדות בעיר</w:t>
      </w:r>
      <w:bookmarkStart w:id="5142" w:name="_fnr3820"/>
      <w:r>
        <w:rPr>
          <w:vertAlign w:val="superscript"/>
          <w:rtl/>
        </w:rPr>
        <w:footnoteReference w:id="3828" w:customMarkFollows="0"/>
      </w:r>
      <w:bookmarkEnd w:id="5142"/>
      <w:r>
        <w:rPr>
          <w:rtl/>
        </w:rPr>
        <w:t xml:space="preserve">. משם המשיך לקניגסברג, ושם נפטר. המעשה המתואר </w:t>
      </w:r>
      <w:proofErr w:type="spellStart"/>
      <w:r>
        <w:rPr>
          <w:rtl/>
        </w:rPr>
        <w:t>ברבינר</w:t>
      </w:r>
      <w:proofErr w:type="spellEnd"/>
      <w:r>
        <w:rPr>
          <w:rtl/>
        </w:rPr>
        <w:t xml:space="preserve">, “הגאון רבי אליעזר גורדון”, מוכרח אפוא היה להתרחש לפני שבא ר׳ לייזר </w:t>
      </w:r>
      <w:proofErr w:type="spellStart"/>
      <w:r>
        <w:rPr>
          <w:rtl/>
        </w:rPr>
        <w:t>לטלז</w:t>
      </w:r>
      <w:proofErr w:type="spellEnd"/>
      <w:r>
        <w:rPr>
          <w:rtl/>
        </w:rPr>
        <w:t xml:space="preserve">, כשעדיין כיהן כרבה של קלם. מכיוון ששמו של ר׳ לייזר קשור בקביעות לישיבת </w:t>
      </w:r>
      <w:proofErr w:type="spellStart"/>
      <w:r>
        <w:rPr>
          <w:rtl/>
        </w:rPr>
        <w:t>טלז</w:t>
      </w:r>
      <w:proofErr w:type="spellEnd"/>
      <w:r>
        <w:rPr>
          <w:rtl/>
        </w:rPr>
        <w:t xml:space="preserve">, הועתק בטעות מעשה שאירע </w:t>
      </w:r>
      <w:proofErr w:type="spellStart"/>
      <w:r>
        <w:rPr>
          <w:rtl/>
        </w:rPr>
        <w:t>בקלם</w:t>
      </w:r>
      <w:proofErr w:type="spellEnd"/>
      <w:r>
        <w:rPr>
          <w:rtl/>
        </w:rPr>
        <w:t xml:space="preserve"> </w:t>
      </w:r>
      <w:proofErr w:type="spellStart"/>
      <w:r>
        <w:rPr>
          <w:rtl/>
        </w:rPr>
        <w:t>לטלז</w:t>
      </w:r>
      <w:proofErr w:type="spellEnd"/>
      <w:r>
        <w:rPr>
          <w:rtl/>
        </w:rPr>
        <w:t xml:space="preserve"> – אם בידי מי שסיפר את הדברים </w:t>
      </w:r>
      <w:proofErr w:type="spellStart"/>
      <w:r>
        <w:rPr>
          <w:rtl/>
        </w:rPr>
        <w:t>לר</w:t>
      </w:r>
      <w:proofErr w:type="spellEnd"/>
      <w:r>
        <w:rPr>
          <w:rtl/>
        </w:rPr>
        <w:t xml:space="preserve">׳ </w:t>
      </w:r>
      <w:proofErr w:type="spellStart"/>
      <w:r>
        <w:rPr>
          <w:rtl/>
        </w:rPr>
        <w:t>יוסף־זאב</w:t>
      </w:r>
      <w:proofErr w:type="spellEnd"/>
      <w:r>
        <w:rPr>
          <w:rtl/>
        </w:rPr>
        <w:t xml:space="preserve"> </w:t>
      </w:r>
      <w:proofErr w:type="spellStart"/>
      <w:r>
        <w:rPr>
          <w:rtl/>
        </w:rPr>
        <w:t>ליפוביץ</w:t>
      </w:r>
      <w:proofErr w:type="spellEnd"/>
      <w:r>
        <w:rPr>
          <w:rtl/>
        </w:rPr>
        <w:t xml:space="preserve"> ואם בידי ר׳ </w:t>
      </w:r>
      <w:proofErr w:type="spellStart"/>
      <w:r>
        <w:rPr>
          <w:rtl/>
        </w:rPr>
        <w:t>יוסף־זאב</w:t>
      </w:r>
      <w:proofErr w:type="spellEnd"/>
      <w:r>
        <w:rPr>
          <w:rtl/>
        </w:rPr>
        <w:t xml:space="preserve"> </w:t>
      </w:r>
      <w:proofErr w:type="spellStart"/>
      <w:r>
        <w:rPr>
          <w:rtl/>
        </w:rPr>
        <w:t>ליפוביץ</w:t>
      </w:r>
      <w:proofErr w:type="spellEnd"/>
      <w:r>
        <w:rPr>
          <w:rtl/>
        </w:rPr>
        <w:t xml:space="preserve"> עצמו</w:t>
      </w:r>
      <w:bookmarkStart w:id="5143" w:name="_fnr3821"/>
      <w:r>
        <w:rPr>
          <w:vertAlign w:val="superscript"/>
          <w:rtl/>
        </w:rPr>
        <w:footnoteReference w:id="3829" w:customMarkFollows="0"/>
      </w:r>
      <w:bookmarkEnd w:id="5143"/>
      <w:r>
        <w:rPr>
          <w:rtl/>
        </w:rPr>
        <w:t>.</w:t>
      </w:r>
    </w:p>
    <w:p w14:paraId="6D3FDE39" w14:textId="77777777" w:rsidR="00AB3647" w:rsidRDefault="00000000" w:rsidP="007923E9">
      <w:pPr>
        <w:spacing w:after="120" w:line="276" w:lineRule="auto"/>
        <w:ind w:firstLine="283"/>
        <w:jc w:val="both"/>
      </w:pPr>
      <w:r>
        <w:rPr>
          <w:rtl/>
        </w:rPr>
        <w:t>הספר “יובל המאה”</w:t>
      </w:r>
      <w:bookmarkStart w:id="5144" w:name="_fnr3822"/>
      <w:bookmarkStart w:id="5145" w:name="pr_f_3711"/>
      <w:r>
        <w:rPr>
          <w:vertAlign w:val="superscript"/>
          <w:rtl/>
        </w:rPr>
        <w:footnoteReference w:id="3830" w:customMarkFollows="0"/>
      </w:r>
      <w:bookmarkEnd w:id="5144"/>
      <w:bookmarkEnd w:id="5145"/>
      <w:r>
        <w:rPr>
          <w:rtl/>
        </w:rPr>
        <w:t xml:space="preserve"> מקדים את זמנם של שני מאורעות הקשורים </w:t>
      </w:r>
      <w:proofErr w:type="spellStart"/>
      <w:r>
        <w:rPr>
          <w:rtl/>
        </w:rPr>
        <w:t>בטלז</w:t>
      </w:r>
      <w:proofErr w:type="spellEnd"/>
      <w:r>
        <w:rPr>
          <w:rtl/>
        </w:rPr>
        <w:t xml:space="preserve">. הוא נוקב בשנת תרל״ה כשנת ייסודה של ישיבה </w:t>
      </w:r>
      <w:proofErr w:type="spellStart"/>
      <w:r>
        <w:rPr>
          <w:rtl/>
        </w:rPr>
        <w:t>בטלז</w:t>
      </w:r>
      <w:proofErr w:type="spellEnd"/>
      <w:r>
        <w:rPr>
          <w:rtl/>
        </w:rPr>
        <w:t xml:space="preserve"> בידי “שלושה אברכים”, ששמותיהם מובאים שם, ושעליהם ועל ישיבתם סיפר אבי בשיחה המוקלטת עם אברכי הכולל של ישיבת רבנו ישראל מאיר הכהן</w:t>
      </w:r>
      <w:bookmarkStart w:id="5146" w:name="_fnr3823"/>
      <w:r>
        <w:rPr>
          <w:vertAlign w:val="superscript"/>
          <w:rtl/>
        </w:rPr>
        <w:footnoteReference w:id="3831" w:customMarkFollows="0"/>
      </w:r>
      <w:bookmarkEnd w:id="5146"/>
      <w:r>
        <w:rPr>
          <w:rtl/>
        </w:rPr>
        <w:t xml:space="preserve">; ואת תרמ״א הוא מציין כשנה שבה נתמנה ר׳ לייזר גורדון לרבה של </w:t>
      </w:r>
      <w:proofErr w:type="spellStart"/>
      <w:r>
        <w:rPr>
          <w:rtl/>
        </w:rPr>
        <w:t>טלז</w:t>
      </w:r>
      <w:proofErr w:type="spellEnd"/>
      <w:r>
        <w:rPr>
          <w:rtl/>
        </w:rPr>
        <w:t>. שני התאריכים מוטעים. ישיבת שלושת האברכים היא שנוסדה בשנת תרמ״א: ראה כץ, “תנועת המוסר”, כרך ב</w:t>
      </w:r>
      <w:bookmarkStart w:id="5147" w:name="_fnr3824"/>
      <w:r>
        <w:rPr>
          <w:vertAlign w:val="superscript"/>
          <w:rtl/>
        </w:rPr>
        <w:footnoteReference w:id="3832" w:customMarkFollows="0"/>
      </w:r>
      <w:bookmarkEnd w:id="5147"/>
      <w:r>
        <w:rPr>
          <w:rtl/>
        </w:rPr>
        <w:t xml:space="preserve">, המפריך את טענת “אנשי ישיבת </w:t>
      </w:r>
      <w:proofErr w:type="spellStart"/>
      <w:r>
        <w:rPr>
          <w:rtl/>
        </w:rPr>
        <w:t>טלז</w:t>
      </w:r>
      <w:proofErr w:type="spellEnd"/>
      <w:r>
        <w:rPr>
          <w:rtl/>
        </w:rPr>
        <w:t xml:space="preserve"> (?) המונים את ייסודה משנת תרל״ז” בראיה שאין עליה תשובה מזיכרונותיו של אחד מעשרת תלמידיה הראשונים, ר׳ </w:t>
      </w:r>
      <w:proofErr w:type="spellStart"/>
      <w:r>
        <w:rPr>
          <w:rtl/>
        </w:rPr>
        <w:t>אליהו־מאיר</w:t>
      </w:r>
      <w:proofErr w:type="spellEnd"/>
      <w:r>
        <w:rPr>
          <w:rtl/>
        </w:rPr>
        <w:t xml:space="preserve"> </w:t>
      </w:r>
      <w:proofErr w:type="spellStart"/>
      <w:r>
        <w:rPr>
          <w:rtl/>
        </w:rPr>
        <w:t>פייבלזון</w:t>
      </w:r>
      <w:proofErr w:type="spellEnd"/>
      <w:r>
        <w:rPr>
          <w:rtl/>
        </w:rPr>
        <w:t xml:space="preserve">, רבה של </w:t>
      </w:r>
      <w:proofErr w:type="spellStart"/>
      <w:r>
        <w:rPr>
          <w:rtl/>
        </w:rPr>
        <w:t>קופישוק</w:t>
      </w:r>
      <w:bookmarkStart w:id="5148" w:name="_fnr3825"/>
      <w:proofErr w:type="spellEnd"/>
      <w:r>
        <w:rPr>
          <w:vertAlign w:val="superscript"/>
          <w:rtl/>
        </w:rPr>
        <w:footnoteReference w:id="3833" w:customMarkFollows="0"/>
      </w:r>
      <w:bookmarkEnd w:id="5148"/>
      <w:r>
        <w:rPr>
          <w:rtl/>
        </w:rPr>
        <w:t xml:space="preserve">, שלפיהם נוסדה ישיבת </w:t>
      </w:r>
      <w:proofErr w:type="spellStart"/>
      <w:r>
        <w:rPr>
          <w:rtl/>
        </w:rPr>
        <w:t>טלז</w:t>
      </w:r>
      <w:proofErr w:type="spellEnd"/>
      <w:r>
        <w:rPr>
          <w:rtl/>
        </w:rPr>
        <w:t xml:space="preserve"> הראשונה בשנת תרמ״א</w:t>
      </w:r>
      <w:bookmarkStart w:id="5149" w:name="_fnr3826"/>
      <w:r>
        <w:rPr>
          <w:vertAlign w:val="superscript"/>
          <w:rtl/>
        </w:rPr>
        <w:footnoteReference w:id="3834" w:customMarkFollows="0"/>
      </w:r>
      <w:bookmarkEnd w:id="5149"/>
      <w:r>
        <w:rPr>
          <w:rtl/>
        </w:rPr>
        <w:t xml:space="preserve">. ור׳ לייזר נתמנה לרבה של </w:t>
      </w:r>
      <w:proofErr w:type="spellStart"/>
      <w:r>
        <w:rPr>
          <w:rtl/>
        </w:rPr>
        <w:t>טלז</w:t>
      </w:r>
      <w:proofErr w:type="spellEnd"/>
      <w:r>
        <w:rPr>
          <w:rtl/>
        </w:rPr>
        <w:t xml:space="preserve"> רק </w:t>
      </w:r>
      <w:proofErr w:type="spellStart"/>
      <w:r>
        <w:rPr>
          <w:rtl/>
        </w:rPr>
        <w:t>בתרמ״ד</w:t>
      </w:r>
      <w:proofErr w:type="spellEnd"/>
      <w:r>
        <w:rPr>
          <w:rtl/>
        </w:rPr>
        <w:t>, כאמור לעיל</w:t>
      </w:r>
      <w:bookmarkStart w:id="5150" w:name="_fnr3827"/>
      <w:r>
        <w:rPr>
          <w:vertAlign w:val="superscript"/>
          <w:rtl/>
        </w:rPr>
        <w:footnoteReference w:id="3835" w:customMarkFollows="0"/>
      </w:r>
      <w:bookmarkEnd w:id="5150"/>
      <w:r>
        <w:rPr>
          <w:rtl/>
        </w:rPr>
        <w:t>.</w:t>
      </w:r>
    </w:p>
    <w:p w14:paraId="463D2153" w14:textId="64380406" w:rsidR="00AB3647" w:rsidRDefault="00000000" w:rsidP="007923E9">
      <w:pPr>
        <w:spacing w:after="120" w:line="276" w:lineRule="auto"/>
        <w:ind w:firstLine="283"/>
        <w:jc w:val="both"/>
      </w:pPr>
      <w:proofErr w:type="spellStart"/>
      <w:r>
        <w:rPr>
          <w:rtl/>
        </w:rPr>
        <w:t>רבינר</w:t>
      </w:r>
      <w:proofErr w:type="spellEnd"/>
      <w:r>
        <w:rPr>
          <w:rtl/>
        </w:rPr>
        <w:t xml:space="preserve">, “הגאון רבי אליעזר גורדון”, אינו מציין מתי נערך הביקור המשותף של ר׳ ישראל </w:t>
      </w:r>
      <w:proofErr w:type="spellStart"/>
      <w:r>
        <w:rPr>
          <w:rtl/>
        </w:rPr>
        <w:t>סלנטר</w:t>
      </w:r>
      <w:proofErr w:type="spellEnd"/>
      <w:r>
        <w:rPr>
          <w:rtl/>
        </w:rPr>
        <w:t xml:space="preserve"> </w:t>
      </w:r>
      <w:proofErr w:type="spellStart"/>
      <w:r>
        <w:rPr>
          <w:rtl/>
        </w:rPr>
        <w:t>וגינצבורג</w:t>
      </w:r>
      <w:proofErr w:type="spellEnd"/>
      <w:r>
        <w:rPr>
          <w:rtl/>
        </w:rPr>
        <w:t xml:space="preserve"> בישיבתו של ר׳ לייזר. תחילה סברתי שאפשר שהביקור נערך אחרי שהותו של ר׳ ישראל בקובנה. ראה פרק 3, הפסקה החמישית של </w:t>
      </w:r>
      <w:r>
        <w:rPr>
          <w:rtl/>
        </w:rPr>
        <w:fldChar w:fldCharType="begin" w:dirty="true"/>
      </w:r>
      <w:r>
        <w:rPr>
          <w:rtl/>
        </w:rPr>
        <w:instrText xml:space="preserve"> REF b3_excZ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כו</w:t>
      </w:r>
      <w:proofErr w:type="spellEnd"/>
      <w:r>
        <w:rPr>
          <w:rtl/>
        </w:rPr>
        <w:fldChar w:fldCharType="end"/>
      </w:r>
      <w:r>
        <w:rPr>
          <w:rtl/>
        </w:rPr>
        <w:t xml:space="preserve">, שם הוסק שבדרכו מקובנה לממל סטה ר׳ ישראל מן הדרך ועבר </w:t>
      </w:r>
      <w:proofErr w:type="spellStart"/>
      <w:r>
        <w:rPr>
          <w:rtl/>
        </w:rPr>
        <w:t>בקלם</w:t>
      </w:r>
      <w:proofErr w:type="spellEnd"/>
      <w:r>
        <w:rPr>
          <w:rtl/>
        </w:rPr>
        <w:t xml:space="preserve"> – סטייה של כ־25 קילומטר בלבד מנתיב קובנה–ממל – כדי לפגוש את ר׳ לייב חסיד; וייתכן שתיאם עם ר׳ לייזר גורדון ביקור בישיבה המקומית, יחד עם הברון דוד </w:t>
      </w:r>
      <w:proofErr w:type="spellStart"/>
      <w:r>
        <w:rPr>
          <w:rtl/>
        </w:rPr>
        <w:t>גינצבורג</w:t>
      </w:r>
      <w:proofErr w:type="spellEnd"/>
      <w:r>
        <w:rPr>
          <w:rtl/>
        </w:rPr>
        <w:t xml:space="preserve">, לאותו מועד. אבל מכתב ששלח ר׳ ישראל מקניגסברג </w:t>
      </w:r>
      <w:proofErr w:type="spellStart"/>
      <w:r>
        <w:rPr>
          <w:rtl/>
        </w:rPr>
        <w:lastRenderedPageBreak/>
        <w:t>לר</w:t>
      </w:r>
      <w:proofErr w:type="spellEnd"/>
      <w:r>
        <w:rPr>
          <w:rtl/>
        </w:rPr>
        <w:t>׳ יעקב הלוי ליפשיץ, שנכתב “אור ליום ב׳ מקץ תרמ״ג” (כ״ד בכסלו תרמ״ג)</w:t>
      </w:r>
      <w:bookmarkStart w:id="5151" w:name="_fnr3828"/>
      <w:bookmarkEnd w:id="5151"/>
      <w:r>
        <w:rPr>
          <w:rStyle w:val="a5"/>
        </w:rPr>
        <w:t/>
      </w:r>
      <w:bookmarkStart w:id="7039" w:name="_TranslatorNote_5394"/>
      <w:r>
        <w:rPr>
          <w:rStyle w:val="a5"/>
          <w:vertAlign w:val="superscript"/>
          <w:rtl/>
        </w:rPr>
        <w:footnoteReference w:id="3836" w:customMarkFollows="1"/>
        <w:t>*</w:t>
      </w:r>
      <w:bookmarkEnd w:id="7039"/>
      <w:r>
        <w:rPr>
          <w:rtl/>
        </w:rPr>
        <w:t xml:space="preserve"> והובא </w:t>
      </w:r>
      <w:proofErr w:type="spellStart"/>
      <w:r>
        <w:rPr>
          <w:rtl/>
        </w:rPr>
        <w:t>ב“זכרון</w:t>
      </w:r>
      <w:proofErr w:type="spellEnd"/>
      <w:r>
        <w:rPr>
          <w:rtl/>
        </w:rPr>
        <w:t xml:space="preserve"> יעקב”</w:t>
      </w:r>
      <w:bookmarkStart w:id="5152" w:name="_fnr3829"/>
      <w:r>
        <w:rPr>
          <w:vertAlign w:val="superscript"/>
          <w:rtl/>
        </w:rPr>
        <w:footnoteReference w:id="3837" w:customMarkFollows="0"/>
      </w:r>
      <w:bookmarkEnd w:id="5152"/>
      <w:r>
        <w:rPr>
          <w:rtl/>
        </w:rPr>
        <w:t>, מוכיח שר׳ ישראל לא נפגש עם הברון הצעיר אחרי שהותו בקובנה.</w:t>
      </w:r>
    </w:p>
    <w:p w14:paraId="3234474B" w14:textId="77777777" w:rsidR="00AB3647" w:rsidRDefault="00000000" w:rsidP="007923E9">
      <w:pPr>
        <w:spacing w:after="120" w:line="276" w:lineRule="auto"/>
        <w:ind w:firstLine="283"/>
        <w:jc w:val="both"/>
      </w:pPr>
      <w:r>
        <w:rPr>
          <w:rtl/>
        </w:rPr>
        <w:t xml:space="preserve">במכתב ביקש ר׳ ישראל מן הנמען למסור </w:t>
      </w:r>
      <w:proofErr w:type="spellStart"/>
      <w:r>
        <w:rPr>
          <w:rtl/>
        </w:rPr>
        <w:t>לר</w:t>
      </w:r>
      <w:proofErr w:type="spellEnd"/>
      <w:r>
        <w:rPr>
          <w:rtl/>
        </w:rPr>
        <w:t xml:space="preserve">׳ </w:t>
      </w:r>
      <w:proofErr w:type="spellStart"/>
      <w:r>
        <w:rPr>
          <w:rtl/>
        </w:rPr>
        <w:t>יצחק־אלחנן</w:t>
      </w:r>
      <w:proofErr w:type="spellEnd"/>
      <w:r>
        <w:rPr>
          <w:rtl/>
        </w:rPr>
        <w:t xml:space="preserve"> </w:t>
      </w:r>
      <w:proofErr w:type="spellStart"/>
      <w:r>
        <w:rPr>
          <w:rtl/>
        </w:rPr>
        <w:t>ספקטור</w:t>
      </w:r>
      <w:proofErr w:type="spellEnd"/>
      <w:r>
        <w:rPr>
          <w:rtl/>
        </w:rPr>
        <w:t xml:space="preserve"> – רבה של קובנה ומן הפעילים המרכזיים בניסיון לשכנע את </w:t>
      </w:r>
      <w:proofErr w:type="spellStart"/>
      <w:r>
        <w:rPr>
          <w:rtl/>
        </w:rPr>
        <w:t>גינצבורג</w:t>
      </w:r>
      <w:proofErr w:type="spellEnd"/>
      <w:r>
        <w:rPr>
          <w:rtl/>
        </w:rPr>
        <w:t xml:space="preserve"> באיוולת שבקידום הקמת בית המדרש לרבנים, כפי שיתואר להלן – שהוא, ר׳ ישראל, אינו יכול לכתוב </w:t>
      </w:r>
      <w:proofErr w:type="spellStart"/>
      <w:r>
        <w:rPr>
          <w:rtl/>
        </w:rPr>
        <w:t>לגינצבורג</w:t>
      </w:r>
      <w:proofErr w:type="spellEnd"/>
      <w:r>
        <w:rPr>
          <w:rtl/>
        </w:rPr>
        <w:t xml:space="preserve"> יחד עם שאר גדולי התורה שנתבקשו לעשות כן, “מפני שהברון” – כנראה </w:t>
      </w:r>
      <w:proofErr w:type="spellStart"/>
      <w:r>
        <w:rPr>
          <w:rtl/>
        </w:rPr>
        <w:t>הוראס</w:t>
      </w:r>
      <w:proofErr w:type="spellEnd"/>
      <w:r>
        <w:rPr>
          <w:rtl/>
        </w:rPr>
        <w:t xml:space="preserve">, אביו של דוד – “דיבר עמי </w:t>
      </w:r>
      <w:proofErr w:type="spellStart"/>
      <w:r>
        <w:rPr>
          <w:rtl/>
        </w:rPr>
        <w:t>בענין</w:t>
      </w:r>
      <w:proofErr w:type="spellEnd"/>
      <w:r>
        <w:rPr>
          <w:rtl/>
        </w:rPr>
        <w:t xml:space="preserve"> זה לפני שתי שנים”, </w:t>
      </w:r>
      <w:proofErr w:type="spellStart"/>
      <w:r>
        <w:rPr>
          <w:rtl/>
        </w:rPr>
        <w:t>בתר״ם</w:t>
      </w:r>
      <w:proofErr w:type="spellEnd"/>
      <w:r>
        <w:rPr>
          <w:rtl/>
        </w:rPr>
        <w:t>, “בפאריז”. ר׳ ישראל שהה בפריז שנתיים, לפני ששב לשהותו האחרונה בקובנה, קודם פטירתו, והברון העלה לפניו את שאלת בית המדרש לרבנים זמן קצר אחרי שהגיע לשם.</w:t>
      </w:r>
    </w:p>
    <w:p w14:paraId="1A9FCF6E" w14:textId="77777777" w:rsidR="00AB3647" w:rsidRDefault="00000000" w:rsidP="007923E9">
      <w:pPr>
        <w:spacing w:after="120" w:line="276" w:lineRule="auto"/>
        <w:ind w:firstLine="283"/>
        <w:jc w:val="both"/>
      </w:pPr>
      <w:r>
        <w:rPr>
          <w:rtl/>
        </w:rPr>
        <w:t xml:space="preserve">במכתבו לא הזכיר ר׳ ישראל שבמפגש </w:t>
      </w:r>
      <w:proofErr w:type="spellStart"/>
      <w:r>
        <w:rPr>
          <w:rtl/>
        </w:rPr>
        <w:t>בקלם</w:t>
      </w:r>
      <w:proofErr w:type="spellEnd"/>
      <w:r>
        <w:rPr>
          <w:rtl/>
        </w:rPr>
        <w:t xml:space="preserve"> עם הברון הצעיר – מי ששלח מלכתחילה את המכתב לרשות החינוך – לא היה באפשרותו לדבר עמו על בית המדרש לרבנים, מאותה סיבה שבגללה לא יכול היה לכתוב את המכתב שהוצע לו לשלוח לברון. ומכאן הוכחה </w:t>
      </w:r>
      <w:proofErr w:type="spellStart"/>
      <w:r>
        <w:rPr>
          <w:rtl/>
        </w:rPr>
        <w:t>חד־משמעית</w:t>
      </w:r>
      <w:proofErr w:type="spellEnd"/>
      <w:r>
        <w:rPr>
          <w:rtl/>
        </w:rPr>
        <w:t xml:space="preserve"> שלא נפגש עם הברון דוד אחרי צאתו מקובנה.</w:t>
      </w:r>
    </w:p>
    <w:p w14:paraId="7FE577DD" w14:textId="77777777" w:rsidR="00AB3647" w:rsidRDefault="00000000" w:rsidP="007923E9">
      <w:pPr>
        <w:spacing w:after="120" w:line="276" w:lineRule="auto"/>
        <w:ind w:firstLine="283"/>
        <w:jc w:val="both"/>
      </w:pPr>
      <w:r>
        <w:rPr>
          <w:rtl/>
        </w:rPr>
        <w:t xml:space="preserve">עם זאת, ייתכן שהביקור המשותף </w:t>
      </w:r>
      <w:proofErr w:type="spellStart"/>
      <w:r>
        <w:rPr>
          <w:rtl/>
        </w:rPr>
        <w:t>בקלם</w:t>
      </w:r>
      <w:proofErr w:type="spellEnd"/>
      <w:r>
        <w:rPr>
          <w:rtl/>
        </w:rPr>
        <w:t xml:space="preserve"> נערך בראשית קיץ תרמ״ב, מיד אחרי שחזר ר׳ ישראל מפריז ולפני שהגיע לקובנה. מעורבותו של הברון בעניין בית המדרש לרבנים נודעה רק “בסוף קיץ תרמ״ב”, כאמור לעיל </w:t>
      </w:r>
      <w:proofErr w:type="spellStart"/>
      <w:r>
        <w:rPr>
          <w:rtl/>
        </w:rPr>
        <w:t>מ“זכרון</w:t>
      </w:r>
      <w:proofErr w:type="spellEnd"/>
      <w:r>
        <w:rPr>
          <w:rtl/>
        </w:rPr>
        <w:t xml:space="preserve"> יעקב”</w:t>
      </w:r>
      <w:bookmarkStart w:id="5153" w:name="_fnr3830"/>
      <w:r>
        <w:rPr>
          <w:vertAlign w:val="superscript"/>
          <w:rtl/>
        </w:rPr>
        <w:footnoteReference w:id="3838" w:customMarkFollows="0"/>
      </w:r>
      <w:bookmarkEnd w:id="5153"/>
      <w:r>
        <w:rPr>
          <w:rtl/>
        </w:rPr>
        <w:t xml:space="preserve">, ולכן לא היה </w:t>
      </w:r>
      <w:proofErr w:type="spellStart"/>
      <w:r>
        <w:rPr>
          <w:rtl/>
        </w:rPr>
        <w:t>לר</w:t>
      </w:r>
      <w:proofErr w:type="spellEnd"/>
      <w:r>
        <w:rPr>
          <w:rtl/>
        </w:rPr>
        <w:t xml:space="preserve">׳ ישראל שום טעם להעלות את </w:t>
      </w:r>
      <w:proofErr w:type="spellStart"/>
      <w:r>
        <w:rPr>
          <w:rtl/>
        </w:rPr>
        <w:t>הסוגיה</w:t>
      </w:r>
      <w:proofErr w:type="spellEnd"/>
      <w:r>
        <w:rPr>
          <w:rtl/>
        </w:rPr>
        <w:t xml:space="preserve"> לפני הברון דוד כשנפגשו </w:t>
      </w:r>
      <w:proofErr w:type="spellStart"/>
      <w:r>
        <w:rPr>
          <w:rtl/>
        </w:rPr>
        <w:t>בקלם</w:t>
      </w:r>
      <w:bookmarkStart w:id="5154" w:name="_fnr3831"/>
      <w:proofErr w:type="spellEnd"/>
      <w:r>
        <w:rPr>
          <w:vertAlign w:val="superscript"/>
          <w:rtl/>
        </w:rPr>
        <w:footnoteReference w:id="3839" w:customMarkFollows="0"/>
      </w:r>
      <w:bookmarkEnd w:id="5154"/>
      <w:r>
        <w:rPr>
          <w:rtl/>
        </w:rPr>
        <w:t>.</w:t>
      </w:r>
    </w:p>
    <w:p w14:paraId="21344F60" w14:textId="77777777" w:rsidR="00AB3647" w:rsidRDefault="00000000" w:rsidP="007923E9">
      <w:pPr>
        <w:spacing w:after="120" w:line="276" w:lineRule="auto"/>
        <w:ind w:firstLine="283"/>
        <w:jc w:val="both"/>
      </w:pPr>
      <w:r>
        <w:rPr>
          <w:rtl/>
        </w:rPr>
        <w:t xml:space="preserve">אבל נראה שגם תיארוך זה של הביקור המשותף </w:t>
      </w:r>
      <w:proofErr w:type="spellStart"/>
      <w:r>
        <w:rPr>
          <w:rtl/>
        </w:rPr>
        <w:t>בקלם</w:t>
      </w:r>
      <w:proofErr w:type="spellEnd"/>
      <w:r>
        <w:rPr>
          <w:rtl/>
        </w:rPr>
        <w:t xml:space="preserve"> אינו נכון. אין זה סביר שכשנפגשו שוב ר׳ ישראל ור׳ לייזר – הפעם בקובנה – זמן קצר כל כך אחרי הפגישה עם הברון דוד, לא הזכירו באוזני ר׳ יעקב הלוי ליפשיץ את הפגישה שהתקיימה זה מקרוב. אילו הוזכרה באוזניו, ודאי היה מציין אותה בזיכרונותיו כשכתב על בואם של ר׳ לייזר ור׳ אהרן </w:t>
      </w:r>
      <w:proofErr w:type="spellStart"/>
      <w:r>
        <w:rPr>
          <w:rtl/>
        </w:rPr>
        <w:t>הנביאז׳ער</w:t>
      </w:r>
      <w:proofErr w:type="spellEnd"/>
      <w:r>
        <w:rPr>
          <w:rtl/>
        </w:rPr>
        <w:t xml:space="preserve"> להצטרף לדיון, כפי שהובא לעיל.</w:t>
      </w:r>
    </w:p>
    <w:p w14:paraId="6ED5D38A" w14:textId="53FF41A8" w:rsidR="00AB3647" w:rsidRDefault="00000000" w:rsidP="007923E9">
      <w:pPr>
        <w:spacing w:after="120" w:line="276" w:lineRule="auto"/>
        <w:ind w:firstLine="283"/>
        <w:jc w:val="both"/>
      </w:pPr>
      <w:r>
        <w:rPr>
          <w:rtl/>
        </w:rPr>
        <w:t xml:space="preserve">מסתבר, אם כן, שהמעשה המתואר </w:t>
      </w:r>
      <w:proofErr w:type="spellStart"/>
      <w:r>
        <w:rPr>
          <w:rtl/>
        </w:rPr>
        <w:t>ברבינר</w:t>
      </w:r>
      <w:proofErr w:type="spellEnd"/>
      <w:r>
        <w:rPr>
          <w:rtl/>
        </w:rPr>
        <w:t>, “הגאון רבי אליעזר גורדון”, אירע לפני שיצא ר׳ ישראל לשהותו בת השנתיים בפריז, כלומר בשנים תרל״ט–</w:t>
      </w:r>
      <w:proofErr w:type="spellStart"/>
      <w:r>
        <w:rPr>
          <w:rtl/>
        </w:rPr>
        <w:t>תר״ם</w:t>
      </w:r>
      <w:proofErr w:type="spellEnd"/>
      <w:r>
        <w:rPr>
          <w:rtl/>
        </w:rPr>
        <w:t xml:space="preserve">. השווה פרק 3, הפסקה השנייה של </w:t>
      </w:r>
      <w:r>
        <w:rPr>
          <w:rtl/>
        </w:rPr>
        <w:fldChar w:fldCharType="begin" w:dirty="true"/>
      </w:r>
      <w:r>
        <w:rPr>
          <w:rtl/>
        </w:rPr>
        <w:instrText xml:space="preserve"> REF b3_excY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כה</w:t>
      </w:r>
      <w:r>
        <w:rPr>
          <w:rtl/>
        </w:rPr>
        <w:fldChar w:fldCharType="end"/>
      </w:r>
      <w:r>
        <w:rPr>
          <w:rtl/>
        </w:rPr>
        <w:t xml:space="preserve">: ר׳ ישראל נמנע מלבוא </w:t>
      </w:r>
      <w:proofErr w:type="spellStart"/>
      <w:r>
        <w:rPr>
          <w:rtl/>
        </w:rPr>
        <w:t>לקלם</w:t>
      </w:r>
      <w:proofErr w:type="spellEnd"/>
      <w:r>
        <w:rPr>
          <w:rtl/>
        </w:rPr>
        <w:t xml:space="preserve"> כל עוד הפעיל שם תלמידו ר׳ </w:t>
      </w:r>
      <w:proofErr w:type="spellStart"/>
      <w:r>
        <w:rPr>
          <w:rtl/>
        </w:rPr>
        <w:t>שמחה־זיסל</w:t>
      </w:r>
      <w:proofErr w:type="spellEnd"/>
      <w:r>
        <w:rPr>
          <w:rtl/>
        </w:rPr>
        <w:t xml:space="preserve"> זיו תלמוד תורה שכלל לימודי חול. אבל בשנים תרל״ט–</w:t>
      </w:r>
      <w:proofErr w:type="spellStart"/>
      <w:r>
        <w:rPr>
          <w:rtl/>
        </w:rPr>
        <w:t>תר״ם</w:t>
      </w:r>
      <w:proofErr w:type="spellEnd"/>
      <w:r>
        <w:rPr>
          <w:rtl/>
        </w:rPr>
        <w:t xml:space="preserve">, אחרי שנסגר המוסד, כשר׳ </w:t>
      </w:r>
      <w:proofErr w:type="spellStart"/>
      <w:r>
        <w:rPr>
          <w:rtl/>
        </w:rPr>
        <w:lastRenderedPageBreak/>
        <w:t>שמחה־זיסל</w:t>
      </w:r>
      <w:proofErr w:type="spellEnd"/>
      <w:r>
        <w:rPr>
          <w:rtl/>
        </w:rPr>
        <w:t xml:space="preserve"> תכנן להקים תחתיו בית ספר עם לימודי חול </w:t>
      </w:r>
      <w:proofErr w:type="spellStart"/>
      <w:r>
        <w:rPr>
          <w:rtl/>
        </w:rPr>
        <w:t>בגרובין</w:t>
      </w:r>
      <w:proofErr w:type="spellEnd"/>
      <w:r>
        <w:rPr>
          <w:rtl/>
        </w:rPr>
        <w:t xml:space="preserve">, יכול היה ר׳ ישראל לבוא </w:t>
      </w:r>
      <w:proofErr w:type="spellStart"/>
      <w:r>
        <w:rPr>
          <w:rtl/>
        </w:rPr>
        <w:t>לקלם</w:t>
      </w:r>
      <w:bookmarkStart w:id="5155" w:name="_fnr3832"/>
      <w:proofErr w:type="spellEnd"/>
      <w:r>
        <w:rPr>
          <w:vertAlign w:val="superscript"/>
          <w:rtl/>
        </w:rPr>
        <w:footnoteReference w:id="3840" w:customMarkFollows="0"/>
      </w:r>
      <w:bookmarkEnd w:id="5155"/>
      <w:r>
        <w:rPr>
          <w:rtl/>
        </w:rPr>
        <w:t xml:space="preserve">. באותה הזדמנות ביקר, יחד עם הברון </w:t>
      </w:r>
      <w:proofErr w:type="spellStart"/>
      <w:r>
        <w:rPr>
          <w:rtl/>
        </w:rPr>
        <w:t>גינצבורג</w:t>
      </w:r>
      <w:proofErr w:type="spellEnd"/>
      <w:r>
        <w:rPr>
          <w:rtl/>
        </w:rPr>
        <w:t xml:space="preserve">, בישיבתו של ר׳ לייזר גורדון </w:t>
      </w:r>
      <w:proofErr w:type="spellStart"/>
      <w:r>
        <w:rPr>
          <w:rtl/>
        </w:rPr>
        <w:t>שבקלם</w:t>
      </w:r>
      <w:proofErr w:type="spellEnd"/>
      <w:r>
        <w:rPr>
          <w:rtl/>
        </w:rPr>
        <w:t>.</w:t>
      </w:r>
    </w:p>
    <w:p w14:paraId="1C2141C8" w14:textId="77777777" w:rsidR="00AB3647" w:rsidRDefault="00000000" w:rsidP="007923E9">
      <w:pPr>
        <w:spacing w:after="120" w:line="276" w:lineRule="auto"/>
        <w:ind w:firstLine="283"/>
        <w:jc w:val="both"/>
      </w:pPr>
      <w:r>
        <w:rPr>
          <w:rtl/>
        </w:rPr>
        <w:t xml:space="preserve">אפשר גם </w:t>
      </w:r>
      <w:proofErr w:type="spellStart"/>
      <w:r>
        <w:rPr>
          <w:rtl/>
        </w:rPr>
        <w:t>שבהיותו</w:t>
      </w:r>
      <w:proofErr w:type="spellEnd"/>
      <w:r>
        <w:rPr>
          <w:rtl/>
        </w:rPr>
        <w:t xml:space="preserve"> </w:t>
      </w:r>
      <w:proofErr w:type="spellStart"/>
      <w:r>
        <w:rPr>
          <w:rtl/>
        </w:rPr>
        <w:t>בקלם</w:t>
      </w:r>
      <w:proofErr w:type="spellEnd"/>
      <w:r>
        <w:rPr>
          <w:rtl/>
        </w:rPr>
        <w:t xml:space="preserve"> סר ר׳ ישראל לעיר שאוול הסמוכה, לבקר אצל המקובל ר׳ שלמה אלישיב. על ביקור זה מסופר במאמרו של ר׳ </w:t>
      </w:r>
      <w:proofErr w:type="spellStart"/>
      <w:r>
        <w:rPr>
          <w:rtl/>
        </w:rPr>
        <w:t>צבי־הירש</w:t>
      </w:r>
      <w:proofErr w:type="spellEnd"/>
      <w:r>
        <w:rPr>
          <w:rtl/>
        </w:rPr>
        <w:t xml:space="preserve"> פרבר </w:t>
      </w:r>
      <w:proofErr w:type="spellStart"/>
      <w:r>
        <w:rPr>
          <w:rtl/>
        </w:rPr>
        <w:t>ב“תלפיות</w:t>
      </w:r>
      <w:proofErr w:type="spellEnd"/>
      <w:r>
        <w:rPr>
          <w:rtl/>
        </w:rPr>
        <w:t>”</w:t>
      </w:r>
      <w:bookmarkStart w:id="5156" w:name="_fnr3833"/>
      <w:r>
        <w:rPr>
          <w:vertAlign w:val="superscript"/>
          <w:rtl/>
        </w:rPr>
        <w:footnoteReference w:id="3841" w:customMarkFollows="0"/>
      </w:r>
      <w:bookmarkEnd w:id="5156"/>
      <w:r>
        <w:rPr>
          <w:rtl/>
        </w:rPr>
        <w:t xml:space="preserve"> בשם ר׳ אלי׳ </w:t>
      </w:r>
      <w:proofErr w:type="spellStart"/>
      <w:r>
        <w:rPr>
          <w:rtl/>
        </w:rPr>
        <w:t>לופיאן</w:t>
      </w:r>
      <w:proofErr w:type="spellEnd"/>
      <w:r>
        <w:rPr>
          <w:rtl/>
        </w:rPr>
        <w:t xml:space="preserve">. ר׳ שלמה היה אז בן שלושים ותשע בלבד, אבל כבר זכה להערכה יוצאת דופן, וייתכן שר׳ ישראל חפץ להיפגש עמו. ר׳ שלמה </w:t>
      </w:r>
      <w:proofErr w:type="spellStart"/>
      <w:r>
        <w:rPr>
          <w:rtl/>
        </w:rPr>
        <w:t>ברעוודה</w:t>
      </w:r>
      <w:proofErr w:type="spellEnd"/>
      <w:r>
        <w:rPr>
          <w:rtl/>
        </w:rPr>
        <w:t xml:space="preserve"> סיפר</w:t>
      </w:r>
      <w:bookmarkStart w:id="5157" w:name="_fnr3834"/>
      <w:r>
        <w:rPr>
          <w:vertAlign w:val="superscript"/>
          <w:rtl/>
        </w:rPr>
        <w:footnoteReference w:id="3842" w:customMarkFollows="0"/>
      </w:r>
      <w:bookmarkEnd w:id="5157"/>
      <w:r>
        <w:rPr>
          <w:rtl/>
        </w:rPr>
        <w:t xml:space="preserve"> </w:t>
      </w:r>
      <w:proofErr w:type="spellStart"/>
      <w:r>
        <w:rPr>
          <w:rtl/>
        </w:rPr>
        <w:t>שהחפץ־חיים</w:t>
      </w:r>
      <w:proofErr w:type="spellEnd"/>
      <w:r>
        <w:rPr>
          <w:rtl/>
        </w:rPr>
        <w:t xml:space="preserve"> השתמש במונחים קבליים כשאמר על ר׳ שלמה אלישיב כעבור שלושים שנה, לאחר שהוציא לאור את חיבורו “לשם שבו ואחלמה” ונודע בשמו: “בעוד אנו יושבים למטה ומנסים לתקן את העולמות למעלה, הלשם יושב למעלה [ומתקן אותם שם]”</w:t>
      </w:r>
      <w:bookmarkStart w:id="5158" w:name="_fnr3835"/>
      <w:r>
        <w:rPr>
          <w:vertAlign w:val="superscript"/>
          <w:rtl/>
        </w:rPr>
        <w:footnoteReference w:id="3843" w:customMarkFollows="0"/>
      </w:r>
      <w:bookmarkEnd w:id="5158"/>
      <w:r>
        <w:rPr>
          <w:rtl/>
        </w:rPr>
        <w:t xml:space="preserve">. גם ר׳ ירוחם </w:t>
      </w:r>
      <w:proofErr w:type="spellStart"/>
      <w:r>
        <w:rPr>
          <w:rtl/>
        </w:rPr>
        <w:t>ליבוביץ</w:t>
      </w:r>
      <w:proofErr w:type="spellEnd"/>
      <w:r>
        <w:rPr>
          <w:rtl/>
        </w:rPr>
        <w:t xml:space="preserve"> סיפר</w:t>
      </w:r>
      <w:bookmarkStart w:id="5159" w:name="_fnr3836"/>
      <w:r>
        <w:rPr>
          <w:vertAlign w:val="superscript"/>
          <w:rtl/>
        </w:rPr>
        <w:footnoteReference w:id="3844" w:customMarkFollows="0"/>
      </w:r>
      <w:bookmarkEnd w:id="5159"/>
      <w:r>
        <w:rPr>
          <w:rtl/>
        </w:rPr>
        <w:t xml:space="preserve"> שר׳ ישראל והלשם נפגשו – לא בביקור של ר׳ ישראל אצל ר׳ שלמה אלישיב, אלא בנסיעה ברכבת.</w:t>
      </w:r>
    </w:p>
    <w:p w14:paraId="42E557D1" w14:textId="02869DF4" w:rsidR="00AB3647" w:rsidRDefault="00000000" w:rsidP="007923E9">
      <w:pPr>
        <w:spacing w:after="120" w:line="276" w:lineRule="auto"/>
        <w:ind w:firstLine="283"/>
        <w:jc w:val="both"/>
      </w:pPr>
      <w:r>
        <w:rPr>
          <w:rtl/>
        </w:rPr>
        <w:t>אבל אם נפגשו ר׳ ישראל ור׳ שלמה אלישיב אי פעם בפועל – הדבר מוטל בספק, שכן ר׳ אריה לוין מסר בשם ר׳ שלמה אלישיב</w:t>
      </w:r>
      <w:bookmarkStart w:id="5160" w:name="_fnr3837"/>
      <w:r>
        <w:rPr>
          <w:vertAlign w:val="superscript"/>
          <w:rtl/>
        </w:rPr>
        <w:footnoteReference w:id="3845" w:customMarkFollows="0"/>
      </w:r>
      <w:bookmarkEnd w:id="5160"/>
      <w:r>
        <w:rPr>
          <w:rtl/>
        </w:rPr>
        <w:t xml:space="preserve"> שמעולם לא פגש את ר׳ ישראל, “למרות רצונו ושאיפתו להכיר ולהתקרב לאישיות נעלה זו”. בתחילה חשש הלשם להיפגש עם ר׳ ישראל, שמא יאמר לו להימנע מלימוד הקבלה, “שהיה אז, ובייחוד </w:t>
      </w:r>
      <w:proofErr w:type="spellStart"/>
      <w:r>
        <w:rPr>
          <w:rtl/>
        </w:rPr>
        <w:t>בזאמוט</w:t>
      </w:r>
      <w:proofErr w:type="spellEnd"/>
      <w:r>
        <w:rPr>
          <w:rtl/>
        </w:rPr>
        <w:t xml:space="preserve">, </w:t>
      </w:r>
      <w:proofErr w:type="spellStart"/>
      <w:r>
        <w:rPr>
          <w:rtl/>
        </w:rPr>
        <w:t>חזון</w:t>
      </w:r>
      <w:proofErr w:type="spellEnd"/>
      <w:r>
        <w:rPr>
          <w:rtl/>
        </w:rPr>
        <w:t xml:space="preserve"> בלתי נפרץ” (ראה הערה </w:t>
      </w:r>
      <w:r>
        <w:rPr>
          <w:rtl/>
        </w:rPr>
        <w:fldChar w:fldCharType="begin" w:dirty="true"/>
      </w:r>
      <w:r>
        <w:rPr>
          <w:rtl/>
        </w:rPr>
        <w:instrText xml:space="preserve"> NOTEREF pr_f_4066 \h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Pr>
          <w:rtl/>
        </w:rPr>
        <w:t>1143</w:t>
      </w:r>
      <w:r>
        <w:rPr>
          <w:rtl/>
        </w:rPr>
        <w:fldChar w:fldCharType="end"/>
      </w:r>
      <w:r>
        <w:rPr>
          <w:rtl/>
        </w:rPr>
        <w:t xml:space="preserve"> בעמ׳ </w:t>
      </w:r>
      <w:r>
        <w:rPr>
          <w:rtl/>
        </w:rPr>
        <w:fldChar w:fldCharType="begin" w:dirty="true"/>
      </w:r>
      <w:r>
        <w:rPr>
          <w:rtl/>
        </w:rPr>
        <w:instrText xml:space="preserve"> PAGEREF pr_f_4066 \h </w:instrText>
      </w:r>
      <w:r>
        <w:rPr>
          <w:rtl/>
        </w:rPr>
      </w:r>
      <w:r>
        <w:rPr>
          <w:rtl/>
        </w:rPr>
        <w:fldChar w:fldCharType="separate"/>
      </w:r>
      <w:r w:rsidR="007923E9">
        <w:rPr>
          <w:noProof/>
          <w:rtl/>
        </w:rPr>
        <w:t>1</w:t>
      </w:r>
      <w:r>
        <w:rPr>
          <w:rtl/>
        </w:rPr>
        <w:fldChar w:fldCharType="end"/>
      </w:r>
      <w:r>
        <w:rPr>
          <w:rtl/>
        </w:rPr>
        <w:t xml:space="preserve">, שר׳ שלמה למד קבלה אצל רב </w:t>
      </w:r>
      <w:proofErr w:type="spellStart"/>
      <w:r>
        <w:rPr>
          <w:rtl/>
        </w:rPr>
        <w:t>בטלז</w:t>
      </w:r>
      <w:proofErr w:type="spellEnd"/>
      <w:r>
        <w:rPr>
          <w:rtl/>
        </w:rPr>
        <w:t xml:space="preserve">, עיר </w:t>
      </w:r>
      <w:proofErr w:type="spellStart"/>
      <w:r>
        <w:rPr>
          <w:rtl/>
        </w:rPr>
        <w:t>בזאמוט</w:t>
      </w:r>
      <w:proofErr w:type="spellEnd"/>
      <w:r>
        <w:rPr>
          <w:rtl/>
        </w:rPr>
        <w:t xml:space="preserve">). לפי המסופר אמר ר׳ שלמה אלישיב: “אף על פי כן זכיתי להכיר את ר׳ ישראל באמצעות אחד מתלמידיו הקרובים מאוד, ר׳ נחום שפירא, העילוי </w:t>
      </w:r>
      <w:proofErr w:type="spellStart"/>
      <w:r>
        <w:rPr>
          <w:rtl/>
        </w:rPr>
        <w:t>מדוקשיץ</w:t>
      </w:r>
      <w:proofErr w:type="spellEnd"/>
      <w:r>
        <w:rPr>
          <w:rtl/>
        </w:rPr>
        <w:t>” – לימים רבה של שאט</w:t>
      </w:r>
      <w:bookmarkStart w:id="5161" w:name="_fnr3838"/>
      <w:r>
        <w:rPr>
          <w:vertAlign w:val="superscript"/>
          <w:rtl/>
        </w:rPr>
        <w:footnoteReference w:id="3846" w:customMarkFollows="0"/>
      </w:r>
      <w:bookmarkEnd w:id="5161"/>
      <w:r>
        <w:rPr>
          <w:rtl/>
        </w:rPr>
        <w:t>, שהיה מבוגר מר׳ שלמה בעשרים ותשע שנה – “שחזר לפניי על כל מילה ששמע מפיו הקדוש של [ר׳ ישראל] ועל כל מה שראו עיניו. לאחר זמן, כשהעלה ר׳ נחום לפני [ר׳ ישראל את חששי שמא יפריע לי ללמוד קבלה]</w:t>
      </w:r>
      <w:bookmarkStart w:id="5162" w:name="_fnr3839"/>
      <w:bookmarkStart w:id="5163" w:name="pr_f_3727"/>
      <w:r>
        <w:rPr>
          <w:vertAlign w:val="superscript"/>
          <w:rtl/>
        </w:rPr>
        <w:footnoteReference w:id="3847" w:customMarkFollows="0"/>
      </w:r>
      <w:bookmarkEnd w:id="5162"/>
      <w:bookmarkEnd w:id="5163"/>
      <w:r>
        <w:rPr>
          <w:rtl/>
        </w:rPr>
        <w:t>, אמר לו: ‘מעולם לא עלה בדעתי להניא אדם מן הדרך המיוחדת בעבודת ה׳ שבחר לעצמו’. אבל גם אז לא הצלחתי להיפגש עם ר׳ ישראל, מפני שזמן קצר (ההדגשה שלי) לאחר מכן יצא מן הארץ”.</w:t>
      </w:r>
    </w:p>
    <w:p w14:paraId="7366D5AC" w14:textId="77777777" w:rsidR="00AB3647" w:rsidRDefault="00000000" w:rsidP="007923E9">
      <w:pPr>
        <w:spacing w:after="120" w:line="276" w:lineRule="auto"/>
        <w:ind w:firstLine="283"/>
        <w:jc w:val="both"/>
      </w:pPr>
      <w:r>
        <w:rPr>
          <w:rtl/>
        </w:rPr>
        <w:t xml:space="preserve">לפיכך, גם אם לא נפגשו פנים אל פנים, ייתכן שר׳ שלמה אלישיב שלח באמצעות ר׳ נחום את המסר על חששו בעניין לימוד הקבלה אל ר׳ ישראל, כשר׳ ישראל היה </w:t>
      </w:r>
      <w:proofErr w:type="spellStart"/>
      <w:r>
        <w:rPr>
          <w:rtl/>
        </w:rPr>
        <w:t>בקלם</w:t>
      </w:r>
      <w:proofErr w:type="spellEnd"/>
      <w:r>
        <w:rPr>
          <w:rtl/>
        </w:rPr>
        <w:t xml:space="preserve"> בביקור אצל ר׳ לייזר גורדון, זמן קצר לפני יציאתו לפריז.</w:t>
      </w:r>
    </w:p>
    <w:p w14:paraId="4B202524" w14:textId="77777777" w:rsidR="00AB3647" w:rsidRDefault="00000000" w:rsidP="007923E9">
      <w:pPr>
        <w:spacing w:after="120" w:line="276" w:lineRule="auto"/>
        <w:ind w:firstLine="283"/>
        <w:jc w:val="both"/>
      </w:pPr>
      <w:r>
        <w:rPr>
          <w:rtl/>
        </w:rPr>
        <w:lastRenderedPageBreak/>
        <w:t xml:space="preserve">אם ביקורו של ר׳ ישראל אצל ר׳ לייזר התקיים </w:t>
      </w:r>
      <w:proofErr w:type="spellStart"/>
      <w:r>
        <w:rPr>
          <w:rtl/>
        </w:rPr>
        <w:t>בתר״ם</w:t>
      </w:r>
      <w:proofErr w:type="spellEnd"/>
      <w:r>
        <w:rPr>
          <w:rtl/>
        </w:rPr>
        <w:t xml:space="preserve">, כפי שהוצע, אפשר שייראה תמוה </w:t>
      </w:r>
      <w:proofErr w:type="spellStart"/>
      <w:r>
        <w:rPr>
          <w:rtl/>
        </w:rPr>
        <w:t>ש“מאות</w:t>
      </w:r>
      <w:proofErr w:type="spellEnd"/>
      <w:r>
        <w:rPr>
          <w:rtl/>
        </w:rPr>
        <w:t xml:space="preserve"> תלמידים מילאו את בית המדרש [</w:t>
      </w:r>
      <w:proofErr w:type="spellStart"/>
      <w:r>
        <w:rPr>
          <w:rtl/>
        </w:rPr>
        <w:t>בקלם</w:t>
      </w:r>
      <w:proofErr w:type="spellEnd"/>
      <w:r>
        <w:rPr>
          <w:rtl/>
        </w:rPr>
        <w:t xml:space="preserve">] מקיר אל קיר” שש שנים בלבד לאחר שנתמנה ר׳ לייזר גורדון לרב העיר. אבל אין להתפלא. כמסופר </w:t>
      </w:r>
      <w:proofErr w:type="spellStart"/>
      <w:r>
        <w:rPr>
          <w:rtl/>
        </w:rPr>
        <w:t>ברבינר</w:t>
      </w:r>
      <w:proofErr w:type="spellEnd"/>
      <w:r>
        <w:rPr>
          <w:rtl/>
        </w:rPr>
        <w:t>, “הגאון רבי אליעזר גורדון”</w:t>
      </w:r>
      <w:bookmarkStart w:id="5164" w:name="_fnr3840"/>
      <w:r>
        <w:rPr>
          <w:vertAlign w:val="superscript"/>
          <w:rtl/>
        </w:rPr>
        <w:footnoteReference w:id="3848" w:customMarkFollows="0"/>
      </w:r>
      <w:bookmarkEnd w:id="5164"/>
      <w:r>
        <w:rPr>
          <w:rtl/>
        </w:rPr>
        <w:t xml:space="preserve">: “כעבור ימים אחדים מבואו [של ר׳ לייזר גורדון] </w:t>
      </w:r>
      <w:proofErr w:type="spellStart"/>
      <w:r>
        <w:rPr>
          <w:rtl/>
        </w:rPr>
        <w:t>לקלם</w:t>
      </w:r>
      <w:proofErr w:type="spellEnd"/>
      <w:r>
        <w:rPr>
          <w:rtl/>
        </w:rPr>
        <w:t>, הופיעו לפניו שישה בחורים והביעו את רצונם העז ואת החלטתם הנחושה לשמוע תורה מפיו... ובו במקום החליט למסור שלושה שיעורים בשבוע לתלמידים... ובתוך זמן קצר התפרסם שמו של ר׳ לייזר בכל המחוז, ותלמידים חדשים באו לשמוע תורה מפיו</w:t>
      </w:r>
      <w:bookmarkStart w:id="5165" w:name="_fnr3841"/>
      <w:r>
        <w:rPr>
          <w:vertAlign w:val="superscript"/>
          <w:rtl/>
        </w:rPr>
        <w:footnoteReference w:id="3849" w:customMarkFollows="0"/>
      </w:r>
      <w:bookmarkEnd w:id="5165"/>
      <w:r>
        <w:rPr>
          <w:rtl/>
        </w:rPr>
        <w:t xml:space="preserve">. בשנה הראשונה לקיומה של הישיבה החדשה הגיע מספר תלמידיה לשלושים בחורים נבחרים, </w:t>
      </w:r>
      <w:proofErr w:type="spellStart"/>
      <w:r>
        <w:rPr>
          <w:rtl/>
        </w:rPr>
        <w:t>מסלתם</w:t>
      </w:r>
      <w:proofErr w:type="spellEnd"/>
      <w:r>
        <w:rPr>
          <w:rtl/>
        </w:rPr>
        <w:t xml:space="preserve"> ומשמנם של צעירי </w:t>
      </w:r>
      <w:proofErr w:type="spellStart"/>
      <w:r>
        <w:rPr>
          <w:rtl/>
        </w:rPr>
        <w:t>זאמוט</w:t>
      </w:r>
      <w:proofErr w:type="spellEnd"/>
      <w:r>
        <w:rPr>
          <w:rtl/>
        </w:rPr>
        <w:t xml:space="preserve">”. מסתבר אם כן שכעבור שש שנים, </w:t>
      </w:r>
      <w:proofErr w:type="spellStart"/>
      <w:r>
        <w:rPr>
          <w:rtl/>
        </w:rPr>
        <w:t>בתר״ם</w:t>
      </w:r>
      <w:proofErr w:type="spellEnd"/>
      <w:r>
        <w:rPr>
          <w:rtl/>
        </w:rPr>
        <w:t xml:space="preserve">, בזמן ביקורם של ר׳ ישראל </w:t>
      </w:r>
      <w:proofErr w:type="spellStart"/>
      <w:r>
        <w:rPr>
          <w:rtl/>
        </w:rPr>
        <w:t>וגינצבורג</w:t>
      </w:r>
      <w:proofErr w:type="spellEnd"/>
      <w:r>
        <w:rPr>
          <w:rtl/>
        </w:rPr>
        <w:t>, כבר היה בישיבה ציבור גדול של מאות תלמידים.</w:t>
      </w:r>
    </w:p>
    <w:p w14:paraId="2B3DA115" w14:textId="77777777" w:rsidR="00AB3647" w:rsidRDefault="00000000" w:rsidP="007923E9">
      <w:pPr>
        <w:spacing w:after="120" w:line="276" w:lineRule="auto"/>
        <w:ind w:firstLine="283"/>
        <w:jc w:val="both"/>
      </w:pPr>
      <w:r>
        <w:rPr>
          <w:rtl/>
        </w:rPr>
        <w:t>השווה את דברי יעקב מארק</w:t>
      </w:r>
      <w:bookmarkStart w:id="5166" w:name="_fnr3842"/>
      <w:r>
        <w:rPr>
          <w:vertAlign w:val="superscript"/>
          <w:rtl/>
        </w:rPr>
        <w:footnoteReference w:id="3850" w:customMarkFollows="0"/>
      </w:r>
      <w:bookmarkEnd w:id="5166"/>
      <w:r>
        <w:rPr>
          <w:rtl/>
        </w:rPr>
        <w:t xml:space="preserve"> על הברון דוד </w:t>
      </w:r>
      <w:proofErr w:type="spellStart"/>
      <w:r>
        <w:rPr>
          <w:rtl/>
        </w:rPr>
        <w:t>גינצבורג</w:t>
      </w:r>
      <w:proofErr w:type="spellEnd"/>
      <w:r>
        <w:rPr>
          <w:rtl/>
        </w:rPr>
        <w:t xml:space="preserve">, שהיה אישיות יוצאת דופן. ר׳ דוד היה נכדו של אבי משפחת </w:t>
      </w:r>
      <w:proofErr w:type="spellStart"/>
      <w:r>
        <w:rPr>
          <w:rtl/>
        </w:rPr>
        <w:t>גינצבורג</w:t>
      </w:r>
      <w:proofErr w:type="spellEnd"/>
      <w:r>
        <w:rPr>
          <w:rtl/>
        </w:rPr>
        <w:t xml:space="preserve">, ר׳ </w:t>
      </w:r>
      <w:proofErr w:type="spellStart"/>
      <w:r>
        <w:rPr>
          <w:rtl/>
        </w:rPr>
        <w:t>יוסף־יוזיל</w:t>
      </w:r>
      <w:proofErr w:type="spellEnd"/>
      <w:r>
        <w:rPr>
          <w:rtl/>
        </w:rPr>
        <w:t xml:space="preserve"> (</w:t>
      </w:r>
      <w:proofErr w:type="spellStart"/>
      <w:r>
        <w:rPr>
          <w:rtl/>
        </w:rPr>
        <w:t>יבסל</w:t>
      </w:r>
      <w:proofErr w:type="spellEnd"/>
      <w:r>
        <w:rPr>
          <w:rtl/>
        </w:rPr>
        <w:t xml:space="preserve">) </w:t>
      </w:r>
      <w:proofErr w:type="spellStart"/>
      <w:r>
        <w:rPr>
          <w:rtl/>
        </w:rPr>
        <w:t>גינצבורג</w:t>
      </w:r>
      <w:proofErr w:type="spellEnd"/>
      <w:r>
        <w:rPr>
          <w:rtl/>
        </w:rPr>
        <w:t>, שהתעשר כקבלן של ממשלת רוסיה בימי מלחמת קרים</w:t>
      </w:r>
      <w:bookmarkStart w:id="5167" w:name="_fnr3843"/>
      <w:r>
        <w:rPr>
          <w:vertAlign w:val="superscript"/>
          <w:rtl/>
        </w:rPr>
        <w:footnoteReference w:id="3851" w:customMarkFollows="0"/>
      </w:r>
      <w:bookmarkEnd w:id="5167"/>
      <w:r>
        <w:rPr>
          <w:rtl/>
        </w:rPr>
        <w:t>. לפי “</w:t>
      </w:r>
      <w:proofErr w:type="spellStart"/>
      <w:r>
        <w:rPr>
          <w:rtl/>
        </w:rPr>
        <w:t>זכרון</w:t>
      </w:r>
      <w:proofErr w:type="spellEnd"/>
      <w:r>
        <w:rPr>
          <w:rtl/>
        </w:rPr>
        <w:t xml:space="preserve"> יעקב”</w:t>
      </w:r>
      <w:bookmarkStart w:id="5168" w:name="_fnr3844"/>
      <w:r>
        <w:rPr>
          <w:vertAlign w:val="superscript"/>
          <w:rtl/>
        </w:rPr>
        <w:footnoteReference w:id="3852" w:customMarkFollows="0"/>
      </w:r>
      <w:bookmarkEnd w:id="5168"/>
      <w:r>
        <w:rPr>
          <w:rtl/>
        </w:rPr>
        <w:t xml:space="preserve">, אביו של ר׳ </w:t>
      </w:r>
      <w:proofErr w:type="spellStart"/>
      <w:r>
        <w:rPr>
          <w:rtl/>
        </w:rPr>
        <w:t>יוסף־יוזיל</w:t>
      </w:r>
      <w:proofErr w:type="spellEnd"/>
      <w:r>
        <w:rPr>
          <w:rtl/>
        </w:rPr>
        <w:t xml:space="preserve">, ר׳ </w:t>
      </w:r>
      <w:proofErr w:type="spellStart"/>
      <w:r>
        <w:rPr>
          <w:rtl/>
        </w:rPr>
        <w:t>גבריאל־יעקב</w:t>
      </w:r>
      <w:proofErr w:type="spellEnd"/>
      <w:r>
        <w:rPr>
          <w:rtl/>
        </w:rPr>
        <w:t xml:space="preserve">, החזיק בזיכיון לגביית מס המשקאות החריפים בחצי האי קרים. “ואולם”, נאמר שם, “הוא נפטר בעיצומה של המלחמה, ובנו ר׳ </w:t>
      </w:r>
      <w:proofErr w:type="spellStart"/>
      <w:r>
        <w:rPr>
          <w:rtl/>
        </w:rPr>
        <w:t>יוסף־יוזיל</w:t>
      </w:r>
      <w:proofErr w:type="spellEnd"/>
      <w:r>
        <w:rPr>
          <w:rtl/>
        </w:rPr>
        <w:t xml:space="preserve"> מילא את מקומו, וצבר מיליונים... ושם </w:t>
      </w:r>
      <w:proofErr w:type="spellStart"/>
      <w:r>
        <w:rPr>
          <w:rtl/>
        </w:rPr>
        <w:t>גינצבורג</w:t>
      </w:r>
      <w:proofErr w:type="spellEnd"/>
      <w:r>
        <w:rPr>
          <w:rtl/>
        </w:rPr>
        <w:t xml:space="preserve"> היה </w:t>
      </w:r>
      <w:proofErr w:type="spellStart"/>
      <w:r>
        <w:rPr>
          <w:rtl/>
        </w:rPr>
        <w:t>כ‘רוטשילד</w:t>
      </w:r>
      <w:proofErr w:type="spellEnd"/>
      <w:r>
        <w:rPr>
          <w:rtl/>
        </w:rPr>
        <w:t>’ ליהודי ארצנו [רוסיה]”.</w:t>
      </w:r>
    </w:p>
    <w:p w14:paraId="765975A5" w14:textId="77777777" w:rsidR="00AB3647" w:rsidRDefault="00000000" w:rsidP="007923E9">
      <w:pPr>
        <w:spacing w:after="120" w:line="276" w:lineRule="auto"/>
        <w:ind w:firstLine="283"/>
        <w:jc w:val="both"/>
      </w:pPr>
      <w:r>
        <w:rPr>
          <w:rtl/>
        </w:rPr>
        <w:t xml:space="preserve">יעקב מארק מספר: “אביו של דוד, ר׳ </w:t>
      </w:r>
      <w:proofErr w:type="spellStart"/>
      <w:r>
        <w:rPr>
          <w:rtl/>
        </w:rPr>
        <w:t>נפתלי־הרץ</w:t>
      </w:r>
      <w:proofErr w:type="spellEnd"/>
      <w:r>
        <w:rPr>
          <w:rtl/>
        </w:rPr>
        <w:t xml:space="preserve">, העמיד לרשותו את טובי המורים הפרטיים שבדור. מוריו בלימודי היהדות היו אדולף </w:t>
      </w:r>
      <w:proofErr w:type="spellStart"/>
      <w:r>
        <w:rPr>
          <w:rtl/>
        </w:rPr>
        <w:t>נויבאואר</w:t>
      </w:r>
      <w:proofErr w:type="spellEnd"/>
      <w:r>
        <w:rPr>
          <w:rtl/>
        </w:rPr>
        <w:t xml:space="preserve">, צבי </w:t>
      </w:r>
      <w:proofErr w:type="spellStart"/>
      <w:r>
        <w:rPr>
          <w:rtl/>
        </w:rPr>
        <w:t>רבינוביץ</w:t>
      </w:r>
      <w:proofErr w:type="spellEnd"/>
      <w:r>
        <w:rPr>
          <w:rtl/>
        </w:rPr>
        <w:t xml:space="preserve"> [מחבר “המנוחה והתנועה”] ושניאור </w:t>
      </w:r>
      <w:proofErr w:type="spellStart"/>
      <w:r>
        <w:rPr>
          <w:rtl/>
        </w:rPr>
        <w:t>זק״ש</w:t>
      </w:r>
      <w:proofErr w:type="spellEnd"/>
      <w:r>
        <w:rPr>
          <w:rtl/>
        </w:rPr>
        <w:t xml:space="preserve">”. לפי האנציקלופדיה יודאיקה היו השלושה, לפי סדר זה: מזרחן וביבליוגרף יליד </w:t>
      </w:r>
      <w:proofErr w:type="spellStart"/>
      <w:r>
        <w:rPr>
          <w:rtl/>
        </w:rPr>
        <w:t>אוסטרו־הונגריה</w:t>
      </w:r>
      <w:proofErr w:type="spellEnd"/>
      <w:r>
        <w:rPr>
          <w:rtl/>
        </w:rPr>
        <w:t xml:space="preserve"> (1831–1907); חוקר פיזיקה ומתמטיקה יליד ליטא, שכתב בענייני מדע בעברית (1832–1889); וחוקר עברית ובלשן יליד ליטא (1815–1892). הברון </w:t>
      </w:r>
      <w:proofErr w:type="spellStart"/>
      <w:r>
        <w:rPr>
          <w:rtl/>
        </w:rPr>
        <w:t>יוסף־יוזיל</w:t>
      </w:r>
      <w:proofErr w:type="spellEnd"/>
      <w:r>
        <w:rPr>
          <w:rtl/>
        </w:rPr>
        <w:t xml:space="preserve"> הביא את שניאור </w:t>
      </w:r>
      <w:proofErr w:type="spellStart"/>
      <w:r>
        <w:rPr>
          <w:rtl/>
        </w:rPr>
        <w:t>זק״ש</w:t>
      </w:r>
      <w:proofErr w:type="spellEnd"/>
      <w:r>
        <w:rPr>
          <w:rtl/>
        </w:rPr>
        <w:t xml:space="preserve"> לפריז בשנת תרט״ז כדי שילמד את בנו הנשוי, </w:t>
      </w:r>
      <w:proofErr w:type="spellStart"/>
      <w:r>
        <w:rPr>
          <w:rtl/>
        </w:rPr>
        <w:t>נפתלי־הרץ</w:t>
      </w:r>
      <w:proofErr w:type="spellEnd"/>
      <w:r>
        <w:rPr>
          <w:rtl/>
        </w:rPr>
        <w:t xml:space="preserve"> (</w:t>
      </w:r>
      <w:proofErr w:type="spellStart"/>
      <w:r>
        <w:rPr>
          <w:rtl/>
        </w:rPr>
        <w:t>הוראס</w:t>
      </w:r>
      <w:proofErr w:type="spellEnd"/>
      <w:r>
        <w:rPr>
          <w:rtl/>
        </w:rPr>
        <w:t xml:space="preserve">), ואחר כך את נכדו דוד, שנולד שנה לאחר מכן, </w:t>
      </w:r>
      <w:proofErr w:type="spellStart"/>
      <w:r>
        <w:rPr>
          <w:rtl/>
        </w:rPr>
        <w:t>בתרי״ז</w:t>
      </w:r>
      <w:proofErr w:type="spellEnd"/>
      <w:r>
        <w:rPr>
          <w:rtl/>
        </w:rPr>
        <w:t>.</w:t>
      </w:r>
    </w:p>
    <w:p w14:paraId="61034508" w14:textId="77777777" w:rsidR="00AB3647" w:rsidRDefault="00000000" w:rsidP="007923E9">
      <w:pPr>
        <w:spacing w:after="120" w:line="276" w:lineRule="auto"/>
        <w:ind w:firstLine="283"/>
        <w:jc w:val="both"/>
      </w:pPr>
      <w:r>
        <w:rPr>
          <w:rtl/>
        </w:rPr>
        <w:t xml:space="preserve">יעקב מארק ממשיך: “דוד סיים את לימודיו באוניברסיטת פטרבורג בגיל עשרים, וקיבל תואר בלימודי המזרח. הוא המשיך ללמוד בפריז ובברלין אצל גדולי המזרחנים של התקופה, והחל לפרסם מאמרים מדעיים בפילוסופיה של ימי הביניים, במטפיזיקה </w:t>
      </w:r>
      <w:proofErr w:type="spellStart"/>
      <w:r>
        <w:rPr>
          <w:rtl/>
        </w:rPr>
        <w:t>ובחכמת</w:t>
      </w:r>
      <w:proofErr w:type="spellEnd"/>
      <w:r>
        <w:rPr>
          <w:rtl/>
        </w:rPr>
        <w:t xml:space="preserve"> ישראל, בכתבי עת מדעיים בעברית, בצרפתית ובגרמנית. מאמרים אלה, שהצטיינו בהיגיון ובחריפות, משכו את תשומת לבם של החוקרים הוותיקים, ועודדו וחיזקו אותו להמשיך בעבודתו”.</w:t>
      </w:r>
    </w:p>
    <w:p w14:paraId="557C3B1E" w14:textId="77777777" w:rsidR="00AB3647" w:rsidRDefault="00000000" w:rsidP="007923E9">
      <w:pPr>
        <w:spacing w:after="120" w:line="276" w:lineRule="auto"/>
        <w:ind w:firstLine="283"/>
        <w:jc w:val="both"/>
      </w:pPr>
      <w:r>
        <w:rPr>
          <w:rtl/>
        </w:rPr>
        <w:t xml:space="preserve">בספרו של </w:t>
      </w:r>
      <w:proofErr w:type="spellStart"/>
      <w:r>
        <w:rPr>
          <w:rtl/>
        </w:rPr>
        <w:t>רבינר</w:t>
      </w:r>
      <w:proofErr w:type="spellEnd"/>
      <w:r>
        <w:rPr>
          <w:rtl/>
        </w:rPr>
        <w:t>, “הגאון רבי אליעזר גורדון”,</w:t>
      </w:r>
      <w:bookmarkStart w:id="5169" w:name="_fnr3845"/>
      <w:r>
        <w:rPr>
          <w:vertAlign w:val="superscript"/>
          <w:rtl/>
        </w:rPr>
        <w:footnoteReference w:id="3853" w:customMarkFollows="0"/>
      </w:r>
      <w:bookmarkEnd w:id="5169"/>
      <w:r>
        <w:rPr>
          <w:rtl/>
        </w:rPr>
        <w:t xml:space="preserve"> מסופר שכאשר ביקר הברון בישיבתו של ר׳ לייזר גורדון – ולפי ניתוחי לעיל היה </w:t>
      </w:r>
      <w:proofErr w:type="spellStart"/>
      <w:r>
        <w:rPr>
          <w:rtl/>
        </w:rPr>
        <w:t>גינצבורג</w:t>
      </w:r>
      <w:proofErr w:type="spellEnd"/>
      <w:r>
        <w:rPr>
          <w:rtl/>
        </w:rPr>
        <w:t xml:space="preserve"> אז בן עשרים ושלוש בלבד – העלה שאלה </w:t>
      </w:r>
      <w:r>
        <w:rPr>
          <w:rtl/>
        </w:rPr>
        <w:lastRenderedPageBreak/>
        <w:t>נבונה מאוד על שיטת הלימוד. וזה לשונו: “באותה הזדמנות פנה הברון אל ר׳ ישראל, ולאחר שהביע את הערכתו ואת הוקרתו לישיבה ולפעילותה, השמיע גם ביקורת על סדרי הלימוד המקובלים בישיבות: ‘בכל המוסדות להשכלה גבוהה’, טען, ‘יש כיתות בדרגות שונות, וכל כיתה לומדת באולם לימוד משלה, ואילו כאן... רואה אני מראה אחר, מוזר בעיניי: כל התלמידים, הצעירים והמבוגרים, לומדים יחד בצפיפות בבית מדרש אחד’. השיב לו ר׳ ישראל: ‘זוהי דרכה של תורה: יחד ניתנה [בסיני], ויחד לומדים וחוקרים אותה. זוהי השיטה המתאימה ביותר לישיבה’”.</w:t>
      </w:r>
    </w:p>
    <w:p w14:paraId="19F4C75E" w14:textId="77777777" w:rsidR="00AB3647" w:rsidRDefault="00000000" w:rsidP="007923E9">
      <w:pPr>
        <w:spacing w:after="120" w:line="276" w:lineRule="auto"/>
        <w:ind w:firstLine="283"/>
        <w:jc w:val="both"/>
      </w:pPr>
      <w:r>
        <w:rPr>
          <w:rtl/>
        </w:rPr>
        <w:t>בשל החינוך הדתי המוגבל שקיבל, ובייחוד משום שהיה תלמידם של שלושת המורים שנזכרו, לא עלה כלל על דעתו של הברון דוד שישיבה היא דבר אחר מבית ספר להכשרה מקצועית. ר׳ ישראל נדרש להעמידו על טיבה של הישיבה: המשך של מתן תורה בהר סיני.</w:t>
      </w:r>
    </w:p>
    <w:p w14:paraId="5E910FFA" w14:textId="77777777" w:rsidR="00AB3647" w:rsidRDefault="00000000" w:rsidP="007923E9">
      <w:pPr>
        <w:spacing w:after="120" w:line="276" w:lineRule="auto"/>
        <w:ind w:firstLine="283"/>
        <w:jc w:val="both"/>
      </w:pPr>
      <w:r>
        <w:rPr>
          <w:rtl/>
        </w:rPr>
        <w:t>השווה גם “</w:t>
      </w:r>
      <w:proofErr w:type="spellStart"/>
      <w:r>
        <w:rPr>
          <w:rtl/>
        </w:rPr>
        <w:t>זכרון</w:t>
      </w:r>
      <w:proofErr w:type="spellEnd"/>
      <w:r>
        <w:rPr>
          <w:rtl/>
        </w:rPr>
        <w:t xml:space="preserve"> יעקב”</w:t>
      </w:r>
      <w:bookmarkStart w:id="5170" w:name="_fnr3846"/>
      <w:r>
        <w:rPr>
          <w:vertAlign w:val="superscript"/>
          <w:rtl/>
        </w:rPr>
        <w:footnoteReference w:id="3854" w:customMarkFollows="0"/>
      </w:r>
      <w:bookmarkEnd w:id="5170"/>
      <w:r>
        <w:rPr>
          <w:rtl/>
        </w:rPr>
        <w:t xml:space="preserve">, המספר כיצד הבחין ר׳ ישראל בהזדמנות אחרת בין ישיבה לבית ספר מקצועי. דוקטור לפילוסופיה </w:t>
      </w:r>
      <w:proofErr w:type="spellStart"/>
      <w:r>
        <w:rPr>
          <w:rtl/>
        </w:rPr>
        <w:t>צבי־הירש</w:t>
      </w:r>
      <w:proofErr w:type="spellEnd"/>
      <w:r>
        <w:rPr>
          <w:rtl/>
        </w:rPr>
        <w:t xml:space="preserve"> </w:t>
      </w:r>
      <w:proofErr w:type="spellStart"/>
      <w:r>
        <w:rPr>
          <w:rtl/>
        </w:rPr>
        <w:t>אפטקר־שפיר</w:t>
      </w:r>
      <w:proofErr w:type="spellEnd"/>
      <w:r>
        <w:rPr>
          <w:rtl/>
        </w:rPr>
        <w:t xml:space="preserve"> מקובנה שאל אותו מדוע דחה את ההצעה לעמוד בראש בית המדרש לרבנים בווילנה</w:t>
      </w:r>
      <w:bookmarkStart w:id="5171" w:name="_fnr3847"/>
      <w:r>
        <w:rPr>
          <w:vertAlign w:val="superscript"/>
          <w:rtl/>
        </w:rPr>
        <w:footnoteReference w:id="3855" w:customMarkFollows="0"/>
      </w:r>
      <w:bookmarkEnd w:id="5171"/>
      <w:r>
        <w:rPr>
          <w:rtl/>
        </w:rPr>
        <w:t>. השיב לו ר׳ ישראל: “אענה לך בשאלה אחרת. כשבאה לפני רב שאלה הלכתית מאדם עני, הוא ממהר לעיין היטב בספרי הפוסקים, אולי ימצא צד להקל בשאלתו. אבל אם השאלה באה מאדם עשיר, לא יטרח כל כך לחפש דווקא צד להיתר. אצל רופא המצב הפוך: אם מבקשים ממנו לבקר חולה עשיר, הוא ממהר ורץ אליו; ואם מבקשים ממנו לבקר חולה עני, הוא מוצא כל תירוץ כדי להתחמק מן הביקור. לפנינו שאלה פסיכולוגית כבדה: מדוע הרבנים אוהבים את העניים, והרופאים את העשירים?</w:t>
      </w:r>
    </w:p>
    <w:p w14:paraId="7E1ED7D0" w14:textId="77777777" w:rsidR="00AB3647" w:rsidRDefault="00000000" w:rsidP="007923E9">
      <w:pPr>
        <w:spacing w:after="120" w:line="276" w:lineRule="auto"/>
        <w:ind w:firstLine="283"/>
        <w:jc w:val="both"/>
      </w:pPr>
      <w:r>
        <w:rPr>
          <w:rtl/>
        </w:rPr>
        <w:t>“התשובה פשוטה. הרב למד תורה מילדותו לשמה בלבד, ועל כן התורה והוראותיה, כל מוסרה ורעיונותיה, נספגו בעצמותו ונעשו חלק מנפשו. דרכה של תורה הייתה לו לטבע שני. אם הנסיבות מחייבות תלמיד חכם זה לכהן ברבנות, הוא נוהג בתפקידו מאליו ברוח התורה ובדרכה, המצווה על צדקה, גמילות חסדים ורחמים. צערו והפסדו של העני מכאיבים לרב הרבה יותר מצערו ומהפסדו שלו עצמו.</w:t>
      </w:r>
    </w:p>
    <w:p w14:paraId="004A3948" w14:textId="77777777" w:rsidR="00AB3647" w:rsidRDefault="00000000" w:rsidP="007923E9">
      <w:pPr>
        <w:spacing w:after="120" w:line="276" w:lineRule="auto"/>
        <w:ind w:firstLine="283"/>
        <w:jc w:val="both"/>
      </w:pPr>
      <w:r>
        <w:rPr>
          <w:rtl/>
        </w:rPr>
        <w:t xml:space="preserve">“לא כן </w:t>
      </w:r>
      <w:proofErr w:type="spellStart"/>
      <w:r>
        <w:rPr>
          <w:rtl/>
        </w:rPr>
        <w:t>הדאקטור</w:t>
      </w:r>
      <w:proofErr w:type="spellEnd"/>
      <w:r>
        <w:rPr>
          <w:rtl/>
        </w:rPr>
        <w:t xml:space="preserve">: הוא אינני נכנס </w:t>
      </w:r>
      <w:proofErr w:type="spellStart"/>
      <w:r>
        <w:rPr>
          <w:rtl/>
        </w:rPr>
        <w:t>להאוניורסיטט</w:t>
      </w:r>
      <w:proofErr w:type="spellEnd"/>
      <w:r>
        <w:rPr>
          <w:rtl/>
        </w:rPr>
        <w:t xml:space="preserve"> בשביל אהבת הבריות וטובת האנושיות... כ״א להשתלם בלמוד החכמה, שהיא אומנות נקיה וקלה, הניתנת גם עושר וכבוד. ובהיותו נמשך ושואף אל תעודתו ותכליתו, לכן הוא ממהר לרוץ </w:t>
      </w:r>
      <w:proofErr w:type="spellStart"/>
      <w:r>
        <w:rPr>
          <w:rtl/>
        </w:rPr>
        <w:t>להעשירים</w:t>
      </w:r>
      <w:proofErr w:type="spellEnd"/>
      <w:r>
        <w:rPr>
          <w:rtl/>
        </w:rPr>
        <w:t xml:space="preserve">, ובהיפך מתרחק מאד מן העניים. והנה גם </w:t>
      </w:r>
      <w:proofErr w:type="spellStart"/>
      <w:r>
        <w:rPr>
          <w:rtl/>
        </w:rPr>
        <w:t>הבתי</w:t>
      </w:r>
      <w:proofErr w:type="spellEnd"/>
      <w:r>
        <w:rPr>
          <w:rtl/>
        </w:rPr>
        <w:t xml:space="preserve"> מדרש לרבנים, יש למו ג״כ תעודת ומטרת </w:t>
      </w:r>
      <w:proofErr w:type="spellStart"/>
      <w:r>
        <w:rPr>
          <w:rtl/>
        </w:rPr>
        <w:t>אוניורסיטט</w:t>
      </w:r>
      <w:proofErr w:type="spellEnd"/>
      <w:r>
        <w:rPr>
          <w:rtl/>
        </w:rPr>
        <w:t>, והתלמידים נכנסים לשם ג״כ לתכלית אומנות, שנותנת עושר וכבוד. א״כ הלא נעשה שתים רעות, שנגרום שגם הרבנים יאהבו וירחמו גם כן רק על העשירים, ואת העניים ישנאו, וזאת הלא תהיה גזרה חדשה, לכן נערתי את חצני מזה”.</w:t>
      </w:r>
    </w:p>
    <w:p w14:paraId="3A84363B" w14:textId="77777777" w:rsidR="00AB3647" w:rsidRDefault="00000000" w:rsidP="007923E9">
      <w:pPr>
        <w:spacing w:after="120" w:line="276" w:lineRule="auto"/>
        <w:ind w:firstLine="283"/>
        <w:jc w:val="both"/>
      </w:pPr>
      <w:r>
        <w:rPr>
          <w:rtl/>
        </w:rPr>
        <w:lastRenderedPageBreak/>
        <w:t>מחבר “</w:t>
      </w:r>
      <w:proofErr w:type="spellStart"/>
      <w:r>
        <w:rPr>
          <w:rtl/>
        </w:rPr>
        <w:t>זכרון</w:t>
      </w:r>
      <w:proofErr w:type="spellEnd"/>
      <w:r>
        <w:rPr>
          <w:rtl/>
        </w:rPr>
        <w:t xml:space="preserve"> יעקב” מוסיף: “תשובתו של ר׳ ישראל הייתה ‘דחייה בקש’, כלומר תשובה חלשה, אף שהייתה חריפה מאוד; הדברים התאימו לאדם שאליו נאמרו [</w:t>
      </w:r>
      <w:proofErr w:type="spellStart"/>
      <w:r>
        <w:rPr>
          <w:rtl/>
        </w:rPr>
        <w:t>צבי־הירש</w:t>
      </w:r>
      <w:proofErr w:type="spellEnd"/>
      <w:r>
        <w:rPr>
          <w:rtl/>
        </w:rPr>
        <w:t xml:space="preserve"> </w:t>
      </w:r>
      <w:proofErr w:type="spellStart"/>
      <w:r>
        <w:rPr>
          <w:rtl/>
        </w:rPr>
        <w:t>אפטקר־שפיר</w:t>
      </w:r>
      <w:proofErr w:type="spellEnd"/>
      <w:r>
        <w:rPr>
          <w:rtl/>
        </w:rPr>
        <w:t>], שכן עם שואל זה אי אפשר היה להיכנס לפולמוס”</w:t>
      </w:r>
      <w:bookmarkStart w:id="5172" w:name="_fnr3848"/>
      <w:r>
        <w:rPr>
          <w:vertAlign w:val="superscript"/>
          <w:rtl/>
        </w:rPr>
        <w:footnoteReference w:id="3856" w:customMarkFollows="0"/>
      </w:r>
      <w:bookmarkEnd w:id="5172"/>
      <w:r>
        <w:rPr>
          <w:rtl/>
        </w:rPr>
        <w:t>.</w:t>
      </w:r>
    </w:p>
    <w:p w14:paraId="7D213C50" w14:textId="77777777" w:rsidR="00AB3647" w:rsidRDefault="00000000" w:rsidP="007923E9">
      <w:pPr>
        <w:spacing w:after="120" w:line="276" w:lineRule="auto"/>
        <w:ind w:firstLine="283"/>
        <w:jc w:val="both"/>
      </w:pPr>
      <w:r>
        <w:rPr>
          <w:rtl/>
        </w:rPr>
        <w:t xml:space="preserve">אין זה רחוק מן הדעת לראות ברעיון של הברון להקים בית מדרש לרבנים תוצאה לא רצויה של אכזבתו של בוגר האוניברסיטה מן הישיבה שראה – כנראה היכרותו הראשונה של הצעיר עם מוסד כזה. זמן קצר אחרי הביקור </w:t>
      </w:r>
      <w:proofErr w:type="spellStart"/>
      <w:r>
        <w:rPr>
          <w:rtl/>
        </w:rPr>
        <w:t>בקלם</w:t>
      </w:r>
      <w:proofErr w:type="spellEnd"/>
      <w:r>
        <w:rPr>
          <w:rtl/>
        </w:rPr>
        <w:t xml:space="preserve"> פנה הוא – או, כמסתבר יותר, אביו – אל ר׳ ישראל בפריז, לדון בשאלת בית המדרש לרבנים. אפשר שפנייה זו לא הייתה אלא המשך לביקורת שהשמיע הברון </w:t>
      </w:r>
      <w:proofErr w:type="spellStart"/>
      <w:r>
        <w:rPr>
          <w:rtl/>
        </w:rPr>
        <w:t>בקלם</w:t>
      </w:r>
      <w:proofErr w:type="spellEnd"/>
      <w:r>
        <w:rPr>
          <w:rtl/>
        </w:rPr>
        <w:t xml:space="preserve"> על השיטה המקובלת להכשרת מנהיגיה הרבניים של האומה היהודית.</w:t>
      </w:r>
    </w:p>
    <w:p w14:paraId="7F13D134" w14:textId="77777777" w:rsidR="00AB3647" w:rsidRDefault="00000000" w:rsidP="007923E9">
      <w:pPr>
        <w:spacing w:after="120" w:line="276" w:lineRule="auto"/>
        <w:ind w:firstLine="283"/>
        <w:jc w:val="both"/>
      </w:pPr>
      <w:r>
        <w:rPr>
          <w:rtl/>
        </w:rPr>
        <w:t xml:space="preserve">אבל בהתחשב ברקע השכלתו, סביר שדעתו של ר׳ דוד </w:t>
      </w:r>
      <w:proofErr w:type="spellStart"/>
      <w:r>
        <w:rPr>
          <w:rtl/>
        </w:rPr>
        <w:t>גינצבורג</w:t>
      </w:r>
      <w:proofErr w:type="spellEnd"/>
      <w:r>
        <w:rPr>
          <w:rtl/>
        </w:rPr>
        <w:t xml:space="preserve"> על הישיבות כבר הייתה מגובשת לגמרי לפני ביקורו </w:t>
      </w:r>
      <w:proofErr w:type="spellStart"/>
      <w:r>
        <w:rPr>
          <w:rtl/>
        </w:rPr>
        <w:t>בקלם</w:t>
      </w:r>
      <w:proofErr w:type="spellEnd"/>
      <w:r>
        <w:rPr>
          <w:rtl/>
        </w:rPr>
        <w:t xml:space="preserve">. לכל אחד משלושת מוריו הפרטיים היה תפקיד מיוחד: </w:t>
      </w:r>
      <w:proofErr w:type="spellStart"/>
      <w:r>
        <w:rPr>
          <w:rtl/>
        </w:rPr>
        <w:t>נויבאואר</w:t>
      </w:r>
      <w:proofErr w:type="spellEnd"/>
      <w:r>
        <w:rPr>
          <w:rtl/>
        </w:rPr>
        <w:t xml:space="preserve"> הכניסו ללימודי המזרח, </w:t>
      </w:r>
      <w:proofErr w:type="spellStart"/>
      <w:r>
        <w:rPr>
          <w:rtl/>
        </w:rPr>
        <w:t>רבינוביץ</w:t>
      </w:r>
      <w:proofErr w:type="spellEnd"/>
      <w:r>
        <w:rPr>
          <w:rtl/>
        </w:rPr>
        <w:t xml:space="preserve"> לימדו מדעים, </w:t>
      </w:r>
      <w:proofErr w:type="spellStart"/>
      <w:r>
        <w:rPr>
          <w:rtl/>
        </w:rPr>
        <w:t>וזק״ש</w:t>
      </w:r>
      <w:proofErr w:type="spellEnd"/>
      <w:r>
        <w:rPr>
          <w:rtl/>
        </w:rPr>
        <w:t xml:space="preserve"> עיצב את הכשרתו בענייני יהדות ודת. כדי לדעת איזה יסוד קיבל הברון דוד בתחום האחרון, עלינו לבחון את אמונותיו והשקפותיו של מורו.</w:t>
      </w:r>
    </w:p>
    <w:p w14:paraId="364DB9BE" w14:textId="77777777" w:rsidR="00AB3647" w:rsidRDefault="00000000" w:rsidP="007923E9">
      <w:pPr>
        <w:spacing w:after="120" w:line="276" w:lineRule="auto"/>
        <w:ind w:firstLine="283"/>
        <w:jc w:val="both"/>
      </w:pPr>
      <w:r>
        <w:rPr>
          <w:rtl/>
        </w:rPr>
        <w:t xml:space="preserve">שניאור </w:t>
      </w:r>
      <w:proofErr w:type="spellStart"/>
      <w:r>
        <w:rPr>
          <w:rtl/>
        </w:rPr>
        <w:t>זק״ש</w:t>
      </w:r>
      <w:proofErr w:type="spellEnd"/>
      <w:r>
        <w:rPr>
          <w:rtl/>
        </w:rPr>
        <w:t xml:space="preserve"> היה משכיל, ובשנים תר״ג </w:t>
      </w:r>
      <w:proofErr w:type="spellStart"/>
      <w:r>
        <w:rPr>
          <w:rtl/>
        </w:rPr>
        <w:t>ותר״ד</w:t>
      </w:r>
      <w:proofErr w:type="spellEnd"/>
      <w:r>
        <w:rPr>
          <w:rtl/>
        </w:rPr>
        <w:t xml:space="preserve"> לימד </w:t>
      </w:r>
      <w:proofErr w:type="spellStart"/>
      <w:r>
        <w:rPr>
          <w:rtl/>
        </w:rPr>
        <w:t>בראסיין</w:t>
      </w:r>
      <w:bookmarkStart w:id="5173" w:name="_fnr3849"/>
      <w:proofErr w:type="spellEnd"/>
      <w:r>
        <w:rPr>
          <w:vertAlign w:val="superscript"/>
          <w:rtl/>
        </w:rPr>
        <w:footnoteReference w:id="3857" w:customMarkFollows="0"/>
      </w:r>
      <w:bookmarkEnd w:id="5173"/>
      <w:r>
        <w:rPr>
          <w:rtl/>
        </w:rPr>
        <w:t>, עיר שהייתה בה קבוצה מושרשת של משכילים. שם התיידד עם הסופר המשכיל אברהם מאפו (תקס״ח–תרכ״ז). השווה מכתבי אברהם מאפו</w:t>
      </w:r>
      <w:bookmarkStart w:id="5174" w:name="_fnr3850"/>
      <w:r>
        <w:rPr>
          <w:vertAlign w:val="superscript"/>
          <w:rtl/>
        </w:rPr>
        <w:footnoteReference w:id="3858" w:customMarkFollows="0"/>
      </w:r>
      <w:bookmarkEnd w:id="5174"/>
      <w:r>
        <w:rPr>
          <w:rtl/>
        </w:rPr>
        <w:t xml:space="preserve">: מאפו פונה שם אל </w:t>
      </w:r>
      <w:proofErr w:type="spellStart"/>
      <w:r>
        <w:rPr>
          <w:rtl/>
        </w:rPr>
        <w:t>זק״ש</w:t>
      </w:r>
      <w:proofErr w:type="spellEnd"/>
      <w:r>
        <w:rPr>
          <w:rtl/>
        </w:rPr>
        <w:t xml:space="preserve"> בכינוי “אוהבי ואהובי”, ומייחס לו את ההשפעה שהביאה אותו להקדיש את עצמו לספרות היפה בעברית:</w:t>
      </w:r>
      <w:bookmarkStart w:id="5175" w:name="_fnr3851"/>
      <w:r>
        <w:rPr>
          <w:vertAlign w:val="superscript"/>
          <w:rtl/>
        </w:rPr>
        <w:footnoteReference w:id="3859" w:customMarkFollows="0"/>
      </w:r>
      <w:bookmarkEnd w:id="5175"/>
      <w:r>
        <w:rPr>
          <w:rtl/>
        </w:rPr>
        <w:t xml:space="preserve"> “אתה הרהבתני בנפשי עוז ותשיאני לכרות ברית לעברית”. באלבום פרידה שהגישו המשכילים המקומיים </w:t>
      </w:r>
      <w:proofErr w:type="spellStart"/>
      <w:r>
        <w:rPr>
          <w:rtl/>
        </w:rPr>
        <w:t>לזק״ש</w:t>
      </w:r>
      <w:proofErr w:type="spellEnd"/>
      <w:r>
        <w:rPr>
          <w:rtl/>
        </w:rPr>
        <w:t xml:space="preserve"> בצאתו מן העיר, ביטא מאפו את הדבר בלשון פיוטית עוד יותר: “מי העיר את רוחי מתרדמתה? ומי השכין שלום ביני ובין עטי העברית, שכמעט שילחתיה מעל פניי? אתה, יקירי”</w:t>
      </w:r>
      <w:bookmarkStart w:id="5176" w:name="_fnr3852"/>
      <w:r>
        <w:rPr>
          <w:vertAlign w:val="superscript"/>
          <w:rtl/>
        </w:rPr>
        <w:footnoteReference w:id="3860" w:customMarkFollows="0"/>
      </w:r>
      <w:bookmarkEnd w:id="5176"/>
      <w:r>
        <w:rPr>
          <w:rtl/>
        </w:rPr>
        <w:t>.</w:t>
      </w:r>
    </w:p>
    <w:p w14:paraId="5EDB7F9E" w14:textId="77777777" w:rsidR="00AB3647" w:rsidRDefault="00000000" w:rsidP="007923E9">
      <w:pPr>
        <w:spacing w:after="120" w:line="276" w:lineRule="auto"/>
        <w:ind w:firstLine="283"/>
        <w:jc w:val="both"/>
      </w:pPr>
      <w:r>
        <w:rPr>
          <w:rtl/>
        </w:rPr>
        <w:t xml:space="preserve">ראה גם את המפתח למכתבי אברהם מאפו, שבו נזכר </w:t>
      </w:r>
      <w:proofErr w:type="spellStart"/>
      <w:r>
        <w:rPr>
          <w:rtl/>
        </w:rPr>
        <w:t>זק״ש</w:t>
      </w:r>
      <w:proofErr w:type="spellEnd"/>
      <w:r>
        <w:rPr>
          <w:rtl/>
        </w:rPr>
        <w:t xml:space="preserve"> עשרים פעם, ואת הקדמת העורך, שבה נאמר: “כיוון מחשבתו והשקפת עולמו של מאפו קיבלו תפנית חשובה בעקבות שיחותיו עם </w:t>
      </w:r>
      <w:proofErr w:type="spellStart"/>
      <w:r>
        <w:rPr>
          <w:rtl/>
        </w:rPr>
        <w:t>זק״ש</w:t>
      </w:r>
      <w:proofErr w:type="spellEnd"/>
      <w:r>
        <w:rPr>
          <w:rtl/>
        </w:rPr>
        <w:t>”</w:t>
      </w:r>
      <w:bookmarkStart w:id="5177" w:name="_fnr3853"/>
      <w:r>
        <w:rPr>
          <w:vertAlign w:val="superscript"/>
          <w:rtl/>
        </w:rPr>
        <w:footnoteReference w:id="3861" w:customMarkFollows="0"/>
      </w:r>
      <w:bookmarkEnd w:id="5177"/>
      <w:r>
        <w:rPr>
          <w:rtl/>
        </w:rPr>
        <w:t xml:space="preserve">. בראש הכרך השני של הרומן הנודע שלו, “עיט צבוע”, הדפיס מאפו גם שיר מאת </w:t>
      </w:r>
      <w:proofErr w:type="spellStart"/>
      <w:r>
        <w:rPr>
          <w:rtl/>
        </w:rPr>
        <w:t>זק״ש</w:t>
      </w:r>
      <w:proofErr w:type="spellEnd"/>
      <w:r>
        <w:rPr>
          <w:rtl/>
        </w:rPr>
        <w:t>.</w:t>
      </w:r>
    </w:p>
    <w:p w14:paraId="25BBC92F" w14:textId="01665DE8" w:rsidR="00AB3647" w:rsidRDefault="00000000" w:rsidP="007923E9">
      <w:pPr>
        <w:spacing w:after="120" w:line="276" w:lineRule="auto"/>
        <w:ind w:firstLine="283"/>
        <w:jc w:val="both"/>
      </w:pPr>
      <w:r>
        <w:rPr>
          <w:rtl/>
        </w:rPr>
        <w:t xml:space="preserve">בנעוריו היה אברהם מאפו עילוי בתלמוד וירא שמים, מתלמידיו הקרובים של ר׳ </w:t>
      </w:r>
      <w:proofErr w:type="spellStart"/>
      <w:r>
        <w:rPr>
          <w:rtl/>
        </w:rPr>
        <w:t>אלינקה</w:t>
      </w:r>
      <w:proofErr w:type="spellEnd"/>
      <w:r>
        <w:rPr>
          <w:rtl/>
        </w:rPr>
        <w:t xml:space="preserve"> </w:t>
      </w:r>
      <w:proofErr w:type="spellStart"/>
      <w:r>
        <w:rPr>
          <w:rtl/>
        </w:rPr>
        <w:t>ראגולר</w:t>
      </w:r>
      <w:proofErr w:type="spellEnd"/>
      <w:r>
        <w:rPr>
          <w:rtl/>
        </w:rPr>
        <w:t xml:space="preserve"> (תקנ״ד–תר״י)</w:t>
      </w:r>
      <w:bookmarkStart w:id="5178" w:name="_fnr3854"/>
      <w:r>
        <w:rPr>
          <w:vertAlign w:val="superscript"/>
          <w:rtl/>
        </w:rPr>
        <w:footnoteReference w:id="3862" w:customMarkFollows="0"/>
      </w:r>
      <w:bookmarkEnd w:id="5178"/>
      <w:r>
        <w:rPr>
          <w:rtl/>
        </w:rPr>
        <w:t xml:space="preserve">, רבה של </w:t>
      </w:r>
      <w:proofErr w:type="spellStart"/>
      <w:r>
        <w:rPr>
          <w:rtl/>
        </w:rPr>
        <w:t>סלבודקה</w:t>
      </w:r>
      <w:proofErr w:type="spellEnd"/>
      <w:r>
        <w:rPr>
          <w:rtl/>
        </w:rPr>
        <w:t xml:space="preserve"> בשנים תקפ״ד–ת״ר ולאחר מכן רבה של </w:t>
      </w:r>
      <w:proofErr w:type="spellStart"/>
      <w:r>
        <w:rPr>
          <w:rtl/>
        </w:rPr>
        <w:t>קאליש</w:t>
      </w:r>
      <w:proofErr w:type="spellEnd"/>
      <w:r>
        <w:rPr>
          <w:rtl/>
        </w:rPr>
        <w:t xml:space="preserve">. משהתרחק מאפו מדרך התורה – אף שנשאר מאמין – החל לבוז לרבנים ולעולם התורה. </w:t>
      </w:r>
      <w:r>
        <w:rPr>
          <w:rtl/>
        </w:rPr>
        <w:lastRenderedPageBreak/>
        <w:t xml:space="preserve">השווה פרק 3, סוף </w:t>
      </w:r>
      <w:r>
        <w:rPr>
          <w:rtl/>
        </w:rPr>
        <w:fldChar w:fldCharType="begin" w:dirty="true"/>
      </w:r>
      <w:r>
        <w:rPr>
          <w:rtl/>
        </w:rPr>
        <w:instrText xml:space="preserve"> REF b3_excL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יב</w:t>
      </w:r>
      <w:proofErr w:type="spellEnd"/>
      <w:r>
        <w:rPr>
          <w:rtl/>
        </w:rPr>
        <w:fldChar w:fldCharType="end"/>
      </w:r>
      <w:r>
        <w:rPr>
          <w:rtl/>
        </w:rPr>
        <w:t>, על “עיט צבוע”, רומן הגדוש לעג ובוז ליהודים יראי שמים, שנכתב בהתאם למאמר הגמרא במסכת פסחים</w:t>
      </w:r>
      <w:bookmarkStart w:id="5179" w:name="_fnr3855"/>
      <w:r>
        <w:rPr>
          <w:vertAlign w:val="superscript"/>
          <w:rtl/>
        </w:rPr>
        <w:footnoteReference w:id="3863" w:customMarkFollows="0"/>
      </w:r>
      <w:bookmarkEnd w:id="5179"/>
      <w:r>
        <w:rPr>
          <w:rtl/>
        </w:rPr>
        <w:t>: “שנה ופירש – יותר מכולן”. כלומר: יותר משהגויים שונאים את ישראל, שונאים עמי הארץ את תלמידי החכמים, ונשותיהם יותר מהם, ומי שלמד ופרש שונא אותם יותר מכולם.</w:t>
      </w:r>
    </w:p>
    <w:p w14:paraId="3021E26C" w14:textId="77777777" w:rsidR="00AB3647" w:rsidRDefault="00000000" w:rsidP="007923E9">
      <w:pPr>
        <w:spacing w:after="120" w:line="276" w:lineRule="auto"/>
        <w:ind w:firstLine="283"/>
        <w:jc w:val="both"/>
      </w:pPr>
      <w:r>
        <w:rPr>
          <w:rtl/>
        </w:rPr>
        <w:t xml:space="preserve">אין ספק </w:t>
      </w:r>
      <w:proofErr w:type="spellStart"/>
      <w:r>
        <w:rPr>
          <w:rtl/>
        </w:rPr>
        <w:t>שזק״ש</w:t>
      </w:r>
      <w:proofErr w:type="spellEnd"/>
      <w:r>
        <w:rPr>
          <w:rtl/>
        </w:rPr>
        <w:t xml:space="preserve"> הכיר לתלמידו, הברון דוד, את הרומן המפורסם של ידידו, שחלקו הראשון נדפס בשנת לידתו של הברון, תרי״ז. נמצא שדוד הגיע </w:t>
      </w:r>
      <w:proofErr w:type="spellStart"/>
      <w:r>
        <w:rPr>
          <w:rtl/>
        </w:rPr>
        <w:t>לקלם</w:t>
      </w:r>
      <w:proofErr w:type="spellEnd"/>
      <w:r>
        <w:rPr>
          <w:rtl/>
        </w:rPr>
        <w:t xml:space="preserve"> כשהוא כבר נושא עמו דעה קדומה נגד הישיבות. קרוב לוודאי שהתכונן מראש לשאול מדוע אין ישיבה יכולה להתנהל כאוניברסיטה, בלי שכל תלמידיה יושבים ולומדים באולם רועש אחד – ולא היה מוכן באמת להקשיב לתשובתו של ר׳ ישראל.</w:t>
      </w:r>
    </w:p>
    <w:p w14:paraId="1EF8149D" w14:textId="77777777" w:rsidR="00AB3647" w:rsidRDefault="00000000" w:rsidP="007923E9">
      <w:pPr>
        <w:spacing w:after="120" w:line="276" w:lineRule="auto"/>
        <w:ind w:firstLine="283"/>
        <w:jc w:val="both"/>
      </w:pPr>
      <w:r>
        <w:rPr>
          <w:rtl/>
        </w:rPr>
        <w:t xml:space="preserve">אין ספק </w:t>
      </w:r>
      <w:proofErr w:type="spellStart"/>
      <w:r>
        <w:rPr>
          <w:rtl/>
        </w:rPr>
        <w:t>שזק״ש</w:t>
      </w:r>
      <w:proofErr w:type="spellEnd"/>
      <w:r>
        <w:rPr>
          <w:rtl/>
        </w:rPr>
        <w:t xml:space="preserve"> לימד את תלמידו את “עיט צבוע”, שכן לפי מכתבי אברהם מאפו</w:t>
      </w:r>
      <w:bookmarkStart w:id="5180" w:name="_fnr3856"/>
      <w:r>
        <w:rPr>
          <w:vertAlign w:val="superscript"/>
          <w:rtl/>
        </w:rPr>
        <w:footnoteReference w:id="3864" w:customMarkFollows="0"/>
      </w:r>
      <w:bookmarkEnd w:id="5180"/>
      <w:r>
        <w:rPr>
          <w:rtl/>
        </w:rPr>
        <w:t xml:space="preserve"> שלח מאפו את החלק הראשון של הספר לסבו של דוד, ר׳ </w:t>
      </w:r>
      <w:proofErr w:type="spellStart"/>
      <w:r>
        <w:rPr>
          <w:rtl/>
        </w:rPr>
        <w:t>יוסף־יוזיל</w:t>
      </w:r>
      <w:proofErr w:type="spellEnd"/>
      <w:r>
        <w:rPr>
          <w:rtl/>
        </w:rPr>
        <w:t xml:space="preserve">, והודיע לו במכתב הנלווה שדמות הגיבור, עמנואל, מבוססת על דמותו של ר׳ </w:t>
      </w:r>
      <w:proofErr w:type="spellStart"/>
      <w:r>
        <w:rPr>
          <w:rtl/>
        </w:rPr>
        <w:t>יוסף־יוזיל</w:t>
      </w:r>
      <w:proofErr w:type="spellEnd"/>
      <w:r>
        <w:rPr>
          <w:rtl/>
        </w:rPr>
        <w:t xml:space="preserve"> עצמו. ראה שם</w:t>
      </w:r>
      <w:bookmarkStart w:id="5181" w:name="_fnr3857"/>
      <w:r>
        <w:rPr>
          <w:vertAlign w:val="superscript"/>
          <w:rtl/>
        </w:rPr>
        <w:footnoteReference w:id="3865" w:customMarkFollows="0"/>
      </w:r>
      <w:bookmarkEnd w:id="5181"/>
      <w:r>
        <w:rPr>
          <w:rtl/>
        </w:rPr>
        <w:t xml:space="preserve"> כיצד קולמוסו של מאפו נוטף חלב ודבש בשבח הברון </w:t>
      </w:r>
      <w:proofErr w:type="spellStart"/>
      <w:r>
        <w:rPr>
          <w:rtl/>
        </w:rPr>
        <w:t>יבֶסֶל</w:t>
      </w:r>
      <w:proofErr w:type="spellEnd"/>
      <w:r>
        <w:rPr>
          <w:rtl/>
        </w:rPr>
        <w:t xml:space="preserve"> </w:t>
      </w:r>
      <w:proofErr w:type="spellStart"/>
      <w:r>
        <w:rPr>
          <w:rtl/>
        </w:rPr>
        <w:t>גינצבורג</w:t>
      </w:r>
      <w:proofErr w:type="spellEnd"/>
      <w:r>
        <w:rPr>
          <w:rtl/>
        </w:rPr>
        <w:t xml:space="preserve">, בנוסח של שאלה ותשובה: “ומי הוא בעמו עמנואל האדיר הזה, הנראה כעלות השחר בכרך ראשון זה, ואשר יאיר כשמש בגבורתה בשני הכרכים העתידים לבוא, אם ירצה ה׳? מי הוא עמנואל זה, שעמלו ותפארתו משפיעים על עם אלוהי אברהם? האם אין שם זה נראה בכבודו הרם [של </w:t>
      </w:r>
      <w:proofErr w:type="spellStart"/>
      <w:r>
        <w:rPr>
          <w:rtl/>
        </w:rPr>
        <w:t>גינצבורג</w:t>
      </w:r>
      <w:proofErr w:type="spellEnd"/>
      <w:r>
        <w:rPr>
          <w:rtl/>
        </w:rPr>
        <w:t xml:space="preserve">], </w:t>
      </w:r>
      <w:proofErr w:type="spellStart"/>
      <w:r>
        <w:rPr>
          <w:rtl/>
        </w:rPr>
        <w:t>וכו</w:t>
      </w:r>
      <w:proofErr w:type="spellEnd"/>
      <w:r>
        <w:rPr>
          <w:rtl/>
        </w:rPr>
        <w:t xml:space="preserve">׳? הנה שם זה חרות על לוח לבי בשלהבת אלוהית, </w:t>
      </w:r>
      <w:proofErr w:type="spellStart"/>
      <w:r>
        <w:rPr>
          <w:rtl/>
        </w:rPr>
        <w:t>וכו</w:t>
      </w:r>
      <w:proofErr w:type="spellEnd"/>
      <w:r>
        <w:rPr>
          <w:rtl/>
        </w:rPr>
        <w:t xml:space="preserve">׳, שכן בכבודו הרם והנישא של </w:t>
      </w:r>
      <w:proofErr w:type="spellStart"/>
      <w:r>
        <w:rPr>
          <w:rtl/>
        </w:rPr>
        <w:t>גינצבורג</w:t>
      </w:r>
      <w:proofErr w:type="spellEnd"/>
      <w:r>
        <w:rPr>
          <w:rtl/>
        </w:rPr>
        <w:t xml:space="preserve"> נראה כי ה׳ עוד יאיר פניו לישורון, </w:t>
      </w:r>
      <w:proofErr w:type="spellStart"/>
      <w:r>
        <w:rPr>
          <w:rtl/>
        </w:rPr>
        <w:t>וכו</w:t>
      </w:r>
      <w:proofErr w:type="spellEnd"/>
      <w:r>
        <w:rPr>
          <w:rtl/>
        </w:rPr>
        <w:t>׳. הוא היה לנס המתנוסס עד קצווי ארץ ועד הדור האחרון”. השווה גם מכתב שם</w:t>
      </w:r>
      <w:bookmarkStart w:id="5182" w:name="_fnr3858"/>
      <w:r>
        <w:rPr>
          <w:vertAlign w:val="superscript"/>
          <w:rtl/>
        </w:rPr>
        <w:footnoteReference w:id="3866" w:customMarkFollows="0"/>
      </w:r>
      <w:bookmarkEnd w:id="5182"/>
      <w:r>
        <w:rPr>
          <w:rtl/>
        </w:rPr>
        <w:t xml:space="preserve">, שבו כותב מאפו לאחיו, שעבד אצל </w:t>
      </w:r>
      <w:proofErr w:type="spellStart"/>
      <w:r>
        <w:rPr>
          <w:rtl/>
        </w:rPr>
        <w:t>גינצבורג</w:t>
      </w:r>
      <w:proofErr w:type="spellEnd"/>
      <w:r>
        <w:rPr>
          <w:rtl/>
        </w:rPr>
        <w:t xml:space="preserve"> בפריז, שהכרת טובתו </w:t>
      </w:r>
      <w:proofErr w:type="spellStart"/>
      <w:r>
        <w:rPr>
          <w:rtl/>
        </w:rPr>
        <w:t>ל“עמנואל</w:t>
      </w:r>
      <w:proofErr w:type="spellEnd"/>
      <w:r>
        <w:rPr>
          <w:rtl/>
        </w:rPr>
        <w:t xml:space="preserve">” רבה כל כך </w:t>
      </w:r>
      <w:proofErr w:type="spellStart"/>
      <w:r>
        <w:rPr>
          <w:rtl/>
        </w:rPr>
        <w:t>ש“כל</w:t>
      </w:r>
      <w:proofErr w:type="spellEnd"/>
      <w:r>
        <w:rPr>
          <w:rtl/>
        </w:rPr>
        <w:t xml:space="preserve"> לשון דלה וחלשה מכדי לבטא את רגשות תודתו הנשגבים”.</w:t>
      </w:r>
    </w:p>
    <w:p w14:paraId="2E3B9A89" w14:textId="77777777" w:rsidR="00AB3647" w:rsidRDefault="00000000" w:rsidP="007923E9">
      <w:pPr>
        <w:spacing w:after="120" w:line="276" w:lineRule="auto"/>
        <w:ind w:firstLine="283"/>
        <w:jc w:val="both"/>
      </w:pPr>
      <w:r>
        <w:rPr>
          <w:rtl/>
        </w:rPr>
        <w:t xml:space="preserve">בפתק ללאון </w:t>
      </w:r>
      <w:proofErr w:type="spellStart"/>
      <w:r>
        <w:rPr>
          <w:rtl/>
        </w:rPr>
        <w:t>מנדלשטם</w:t>
      </w:r>
      <w:proofErr w:type="spellEnd"/>
      <w:r>
        <w:rPr>
          <w:rtl/>
        </w:rPr>
        <w:t>, שם</w:t>
      </w:r>
      <w:bookmarkStart w:id="5183" w:name="_fnr3859"/>
      <w:r>
        <w:rPr>
          <w:vertAlign w:val="superscript"/>
          <w:rtl/>
        </w:rPr>
        <w:footnoteReference w:id="3867" w:customMarkFollows="0"/>
      </w:r>
      <w:bookmarkEnd w:id="5183"/>
      <w:r>
        <w:rPr>
          <w:rtl/>
        </w:rPr>
        <w:t xml:space="preserve">, מוסיף מאפו להביע את תודתו למשפחת </w:t>
      </w:r>
      <w:proofErr w:type="spellStart"/>
      <w:r>
        <w:rPr>
          <w:rtl/>
        </w:rPr>
        <w:t>גינצבורג</w:t>
      </w:r>
      <w:proofErr w:type="spellEnd"/>
      <w:r>
        <w:rPr>
          <w:rtl/>
        </w:rPr>
        <w:t>, שקנתה ממנו 110 עותקים של “עיט צבוע”. במכתב הנזכר לעיל</w:t>
      </w:r>
      <w:bookmarkStart w:id="5184" w:name="_fnr3860"/>
      <w:r>
        <w:rPr>
          <w:vertAlign w:val="superscript"/>
          <w:rtl/>
        </w:rPr>
        <w:footnoteReference w:id="3868" w:customMarkFollows="0"/>
      </w:r>
      <w:bookmarkEnd w:id="5184"/>
      <w:r>
        <w:rPr>
          <w:rtl/>
        </w:rPr>
        <w:t>, לפני שמאפו מספר לברון מי שימש דגם לגיבורו, הוא מתאר גם את יחסם של נבלי יצירתו למצב היהדות בזמנו: “הקרע מתרחב והצבועים מקפצים כשעירים, ומחרחרים ריב בסתר... וגלי עשן עולים להכהות את עינו של יעקב... יצרתי את המחזה ‘עיט צבוע’ להראות כי מלחמת הדעות היא אש האוכלת בשני קצות העם, ועשנה כעשן הכבשן. מבעד לערפל יראה הקורא את המכוסה ואת המרמה החבויה תחת המסווה”.</w:t>
      </w:r>
    </w:p>
    <w:p w14:paraId="3FA448E5" w14:textId="4F2D2C9A" w:rsidR="00AB3647" w:rsidRDefault="00000000" w:rsidP="007923E9">
      <w:pPr>
        <w:spacing w:after="120" w:line="276" w:lineRule="auto"/>
        <w:ind w:firstLine="283"/>
        <w:jc w:val="both"/>
      </w:pPr>
      <w:r>
        <w:rPr>
          <w:rtl/>
        </w:rPr>
        <w:t xml:space="preserve">השאלה אם ביקש מאפו להטיל דופי בר׳ ישראל </w:t>
      </w:r>
      <w:proofErr w:type="spellStart"/>
      <w:r>
        <w:rPr>
          <w:rtl/>
        </w:rPr>
        <w:t>סלנטר</w:t>
      </w:r>
      <w:proofErr w:type="spellEnd"/>
      <w:r>
        <w:rPr>
          <w:rtl/>
        </w:rPr>
        <w:t xml:space="preserve"> באמצעות אחד מנבלי ספרו, ר׳ </w:t>
      </w:r>
      <w:proofErr w:type="spellStart"/>
      <w:r>
        <w:rPr>
          <w:rtl/>
        </w:rPr>
        <w:t>גדיאל</w:t>
      </w:r>
      <w:proofErr w:type="spellEnd"/>
      <w:r>
        <w:rPr>
          <w:rtl/>
        </w:rPr>
        <w:t xml:space="preserve"> – כפי שסברו אחדים מחסידיו של ר׳ ישראל – נדונה בפרק 3, בפסקה השנייה של </w:t>
      </w:r>
      <w:r>
        <w:rPr>
          <w:rtl/>
        </w:rPr>
        <w:fldChar w:fldCharType="begin" w:dirty="true"/>
      </w:r>
      <w:r>
        <w:rPr>
          <w:rtl/>
        </w:rPr>
        <w:instrText xml:space="preserve"> REF b3_excS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יט</w:t>
      </w:r>
      <w:proofErr w:type="spellEnd"/>
      <w:r>
        <w:rPr>
          <w:rtl/>
        </w:rPr>
        <w:fldChar w:fldCharType="end"/>
      </w:r>
      <w:r>
        <w:rPr>
          <w:rtl/>
        </w:rPr>
        <w:t xml:space="preserve">. לא מצאתי אישור לכך שמאפו התכוון </w:t>
      </w:r>
      <w:proofErr w:type="spellStart"/>
      <w:r>
        <w:rPr>
          <w:rtl/>
        </w:rPr>
        <w:t>לר</w:t>
      </w:r>
      <w:proofErr w:type="spellEnd"/>
      <w:r>
        <w:rPr>
          <w:rtl/>
        </w:rPr>
        <w:t xml:space="preserve">׳ ישראל; אבל כשלימד </w:t>
      </w:r>
      <w:proofErr w:type="spellStart"/>
      <w:r>
        <w:rPr>
          <w:rtl/>
        </w:rPr>
        <w:t>זק״ש</w:t>
      </w:r>
      <w:proofErr w:type="spellEnd"/>
      <w:r>
        <w:rPr>
          <w:rtl/>
        </w:rPr>
        <w:t xml:space="preserve"> את תלמידו את </w:t>
      </w:r>
      <w:r>
        <w:rPr>
          <w:rtl/>
        </w:rPr>
        <w:lastRenderedPageBreak/>
        <w:t xml:space="preserve">הרומן של בן טיפוחיו, אין ספק שמסר לו את הפירוש הרווח, שלפיו אחד </w:t>
      </w:r>
      <w:proofErr w:type="spellStart"/>
      <w:r>
        <w:rPr>
          <w:rtl/>
        </w:rPr>
        <w:t>ה“חסידים</w:t>
      </w:r>
      <w:proofErr w:type="spellEnd"/>
      <w:r>
        <w:rPr>
          <w:rtl/>
        </w:rPr>
        <w:t>” הצבועים המתוארים שם הוא מייסד תנועת המוסר.</w:t>
      </w:r>
    </w:p>
    <w:p w14:paraId="1C8D4BD7" w14:textId="77777777" w:rsidR="00AB3647" w:rsidRDefault="00000000" w:rsidP="007923E9">
      <w:pPr>
        <w:spacing w:after="120" w:line="276" w:lineRule="auto"/>
        <w:ind w:firstLine="283"/>
        <w:jc w:val="both"/>
      </w:pPr>
      <w:r>
        <w:rPr>
          <w:rtl/>
        </w:rPr>
        <w:t xml:space="preserve">כך, כאשר בא ר׳ דוד </w:t>
      </w:r>
      <w:proofErr w:type="spellStart"/>
      <w:r>
        <w:rPr>
          <w:rtl/>
        </w:rPr>
        <w:t>גינצבורג</w:t>
      </w:r>
      <w:proofErr w:type="spellEnd"/>
      <w:r>
        <w:rPr>
          <w:rtl/>
        </w:rPr>
        <w:t xml:space="preserve"> הצעיר </w:t>
      </w:r>
      <w:proofErr w:type="spellStart"/>
      <w:r>
        <w:rPr>
          <w:rtl/>
        </w:rPr>
        <w:t>לקלם</w:t>
      </w:r>
      <w:proofErr w:type="spellEnd"/>
      <w:r>
        <w:rPr>
          <w:rtl/>
        </w:rPr>
        <w:t xml:space="preserve">, נשא עמו דעה קדומה לא רק על הישיבות בכלל, אלא גם על ר׳ ישראל </w:t>
      </w:r>
      <w:proofErr w:type="spellStart"/>
      <w:r>
        <w:rPr>
          <w:rtl/>
        </w:rPr>
        <w:t>סלנטר</w:t>
      </w:r>
      <w:proofErr w:type="spellEnd"/>
      <w:r>
        <w:rPr>
          <w:rtl/>
        </w:rPr>
        <w:t xml:space="preserve"> בפרט!</w:t>
      </w:r>
    </w:p>
    <w:p w14:paraId="73A337FE" w14:textId="77777777" w:rsidR="00AB3647" w:rsidRDefault="00000000" w:rsidP="007923E9">
      <w:pPr>
        <w:spacing w:after="120" w:line="276" w:lineRule="auto"/>
        <w:ind w:firstLine="283"/>
        <w:jc w:val="both"/>
      </w:pPr>
      <w:r>
        <w:rPr>
          <w:rtl/>
        </w:rPr>
        <w:t xml:space="preserve">מתקבל על הדעת שהברון דוד </w:t>
      </w:r>
      <w:proofErr w:type="spellStart"/>
      <w:r>
        <w:rPr>
          <w:rtl/>
        </w:rPr>
        <w:t>גינצבורג</w:t>
      </w:r>
      <w:proofErr w:type="spellEnd"/>
      <w:r>
        <w:rPr>
          <w:rtl/>
        </w:rPr>
        <w:t xml:space="preserve"> שקל את הרעיון להקים בית מדרש לרבנים כבר לפני ביקורו </w:t>
      </w:r>
      <w:proofErr w:type="spellStart"/>
      <w:r>
        <w:rPr>
          <w:rtl/>
        </w:rPr>
        <w:t>בקלם</w:t>
      </w:r>
      <w:proofErr w:type="spellEnd"/>
      <w:r>
        <w:rPr>
          <w:rtl/>
        </w:rPr>
        <w:t xml:space="preserve">, אף שלא העלה אותו במפורש באותה שעה. הוא המתין עד שבא ר׳ ישראל לפריז, זמן קצר אחרי ביקורם המשותף </w:t>
      </w:r>
      <w:proofErr w:type="spellStart"/>
      <w:r>
        <w:rPr>
          <w:rtl/>
        </w:rPr>
        <w:t>בקלם</w:t>
      </w:r>
      <w:proofErr w:type="spellEnd"/>
      <w:r>
        <w:rPr>
          <w:rtl/>
        </w:rPr>
        <w:t xml:space="preserve">, כדי להציע לו את תוכניתו – בעצמו או באמצעות אביו – כפי שכתב ר׳ ישראל </w:t>
      </w:r>
      <w:proofErr w:type="spellStart"/>
      <w:r>
        <w:rPr>
          <w:rtl/>
        </w:rPr>
        <w:t>לר</w:t>
      </w:r>
      <w:proofErr w:type="spellEnd"/>
      <w:r>
        <w:rPr>
          <w:rtl/>
        </w:rPr>
        <w:t xml:space="preserve">׳ יעקב הלוי ליפשיץ. במכתבו משנת תרמ״ג, שהוזכר לעיל, סיפר ר׳ ישראל: “השבתי לברון </w:t>
      </w:r>
      <w:proofErr w:type="spellStart"/>
      <w:r>
        <w:rPr>
          <w:rtl/>
        </w:rPr>
        <w:t>גינצבורג</w:t>
      </w:r>
      <w:proofErr w:type="spellEnd"/>
      <w:r>
        <w:rPr>
          <w:rtl/>
        </w:rPr>
        <w:t xml:space="preserve"> באריכות, שאין הדבר כדאי, ושלא יתקבל ברצון [על דעת הרבנים, האחראים לשלומה הרוחני של יהדות רוסיה]”.</w:t>
      </w:r>
    </w:p>
    <w:p w14:paraId="57A7F0A6" w14:textId="77777777" w:rsidR="00AB3647" w:rsidRDefault="00000000" w:rsidP="007923E9">
      <w:pPr>
        <w:spacing w:after="120" w:line="276" w:lineRule="auto"/>
        <w:ind w:firstLine="283"/>
        <w:jc w:val="both"/>
      </w:pPr>
      <w:r>
        <w:rPr>
          <w:rtl/>
        </w:rPr>
        <w:t xml:space="preserve">נראה שהחכם הישיש לא הצליח לשכנע את המשכיל הצעיר לוותר על התוכנית, שכפי שהוצע לעיל כבר הייתה בדעתו של הברון כשבא </w:t>
      </w:r>
      <w:proofErr w:type="spellStart"/>
      <w:r>
        <w:rPr>
          <w:rtl/>
        </w:rPr>
        <w:t>לקלם</w:t>
      </w:r>
      <w:proofErr w:type="spellEnd"/>
      <w:r>
        <w:rPr>
          <w:rtl/>
        </w:rPr>
        <w:t xml:space="preserve"> כדי למצוא פגמים בישיבות. שנתיים לאחר מכן, בראשית קיץ תרמ״ב, כתב הברון מכתב רשמי לרשות החינוך הממשלתית בווילנה והציע בו את התוכנית. לחוגים הדתיים ביהדות נודע על מכתבו בסוף הקיץ.</w:t>
      </w:r>
    </w:p>
    <w:p w14:paraId="60C8075D" w14:textId="77777777" w:rsidR="00AB3647" w:rsidRDefault="00000000" w:rsidP="007923E9">
      <w:pPr>
        <w:spacing w:after="120" w:line="276" w:lineRule="auto"/>
        <w:ind w:firstLine="283"/>
        <w:jc w:val="both"/>
      </w:pPr>
      <w:r>
        <w:rPr>
          <w:rtl/>
        </w:rPr>
        <w:t xml:space="preserve">רק לאחר שר׳ ישראל </w:t>
      </w:r>
      <w:proofErr w:type="spellStart"/>
      <w:r>
        <w:rPr>
          <w:rtl/>
        </w:rPr>
        <w:t>סלנטר</w:t>
      </w:r>
      <w:proofErr w:type="spellEnd"/>
      <w:r>
        <w:rPr>
          <w:rtl/>
        </w:rPr>
        <w:t xml:space="preserve"> עמד על כך שר׳ יעקב הלוי ליפשיץ יערב בעניין את ר׳ </w:t>
      </w:r>
      <w:proofErr w:type="spellStart"/>
      <w:r>
        <w:rPr>
          <w:rtl/>
        </w:rPr>
        <w:t>יצחק־אלחנן</w:t>
      </w:r>
      <w:proofErr w:type="spellEnd"/>
      <w:r>
        <w:rPr>
          <w:rtl/>
        </w:rPr>
        <w:t xml:space="preserve"> </w:t>
      </w:r>
      <w:proofErr w:type="spellStart"/>
      <w:r>
        <w:rPr>
          <w:rtl/>
        </w:rPr>
        <w:t>ספקטור</w:t>
      </w:r>
      <w:proofErr w:type="spellEnd"/>
      <w:r>
        <w:rPr>
          <w:rtl/>
        </w:rPr>
        <w:t xml:space="preserve">; ולאחר שר׳ </w:t>
      </w:r>
      <w:proofErr w:type="spellStart"/>
      <w:r>
        <w:rPr>
          <w:rtl/>
        </w:rPr>
        <w:t>יצחק־אלחנן</w:t>
      </w:r>
      <w:proofErr w:type="spellEnd"/>
      <w:r>
        <w:rPr>
          <w:rtl/>
        </w:rPr>
        <w:t xml:space="preserve"> שלח איגרת “אל נכבדי בני ישראל בפטרבורג”, שבה הסביר את הכשל שברעיון בית המדרש לרבנים; ולאחר שצירפו גם גדולי תורה אחרים מכתבי מחאה – רק אז נגנזה התוכנית.</w:t>
      </w:r>
    </w:p>
    <w:p w14:paraId="74CF6CAC" w14:textId="77777777" w:rsidR="00AB3647" w:rsidRDefault="00000000" w:rsidP="007923E9">
      <w:pPr>
        <w:spacing w:after="120" w:line="276" w:lineRule="auto"/>
        <w:ind w:firstLine="283"/>
        <w:jc w:val="both"/>
      </w:pPr>
      <w:r>
        <w:rPr>
          <w:rtl/>
        </w:rPr>
        <w:t>ראה גם “</w:t>
      </w:r>
      <w:proofErr w:type="spellStart"/>
      <w:r>
        <w:rPr>
          <w:rtl/>
        </w:rPr>
        <w:t>זכרון</w:t>
      </w:r>
      <w:proofErr w:type="spellEnd"/>
      <w:r>
        <w:rPr>
          <w:rtl/>
        </w:rPr>
        <w:t xml:space="preserve"> יעקב”</w:t>
      </w:r>
      <w:bookmarkStart w:id="5185" w:name="_fnr3861"/>
      <w:r>
        <w:rPr>
          <w:vertAlign w:val="superscript"/>
          <w:rtl/>
        </w:rPr>
        <w:footnoteReference w:id="3869" w:customMarkFollows="0"/>
      </w:r>
      <w:bookmarkEnd w:id="5185"/>
      <w:r>
        <w:rPr>
          <w:rtl/>
        </w:rPr>
        <w:t xml:space="preserve">, על הברון: “אף כי נשארה </w:t>
      </w:r>
      <w:proofErr w:type="spellStart"/>
      <w:r>
        <w:rPr>
          <w:rtl/>
        </w:rPr>
        <w:t>טינא</w:t>
      </w:r>
      <w:proofErr w:type="spellEnd"/>
      <w:r>
        <w:rPr>
          <w:rtl/>
        </w:rPr>
        <w:t xml:space="preserve"> </w:t>
      </w:r>
      <w:proofErr w:type="spellStart"/>
      <w:r>
        <w:rPr>
          <w:rtl/>
        </w:rPr>
        <w:t>בלבו</w:t>
      </w:r>
      <w:proofErr w:type="spellEnd"/>
      <w:r>
        <w:rPr>
          <w:rtl/>
        </w:rPr>
        <w:t xml:space="preserve"> על החרדים בשביל שמנעו ממנו את חפצו זה, ולבלי יתראה כלוחם נגד האורתודוכסי’ בטל רצונו מפני רצונם. אכן נמצאו סוג אנשים שאמרו, שכל אלה המחאות לא הועילו לוותר מאצילותו [כלומר, ממה שדימה להיות הנהגתו את כלל ישראל] מאומה, רק נוכח לדעת שאין השעה מוכשרת [להקמת בית מדרש לרבנים], כי הממשלה חפצה אז בכלל למעט רוח ההשכלה בישראל </w:t>
      </w:r>
      <w:proofErr w:type="spellStart"/>
      <w:r>
        <w:rPr>
          <w:rtl/>
        </w:rPr>
        <w:t>ולכה״פ</w:t>
      </w:r>
      <w:proofErr w:type="spellEnd"/>
      <w:r>
        <w:rPr>
          <w:rtl/>
        </w:rPr>
        <w:t xml:space="preserve"> לא להרבות, ואם כן הלא לא תסכים הממשלה עתה </w:t>
      </w:r>
      <w:proofErr w:type="spellStart"/>
      <w:r>
        <w:rPr>
          <w:rtl/>
        </w:rPr>
        <w:t>ליסד</w:t>
      </w:r>
      <w:proofErr w:type="spellEnd"/>
      <w:r>
        <w:rPr>
          <w:rtl/>
        </w:rPr>
        <w:t xml:space="preserve"> סמינר לרבנים ולהוסיף כעין </w:t>
      </w:r>
      <w:proofErr w:type="spellStart"/>
      <w:r>
        <w:rPr>
          <w:rtl/>
        </w:rPr>
        <w:t>אוניווערסיטה</w:t>
      </w:r>
      <w:proofErr w:type="spellEnd"/>
      <w:r>
        <w:rPr>
          <w:rtl/>
        </w:rPr>
        <w:t xml:space="preserve"> מיוחדת לישראל, לכן חדל מלנצח על חפצו זה”.</w:t>
      </w:r>
    </w:p>
    <w:p w14:paraId="54890648" w14:textId="77777777" w:rsidR="00AB3647" w:rsidRDefault="00000000" w:rsidP="007923E9">
      <w:pPr>
        <w:spacing w:after="120" w:line="276" w:lineRule="auto"/>
        <w:ind w:firstLine="283"/>
        <w:jc w:val="both"/>
      </w:pPr>
      <w:r>
        <w:rPr>
          <w:rtl/>
        </w:rPr>
        <w:t xml:space="preserve">לפי הדברים הללו, לא דבריו של ר׳ ישראל </w:t>
      </w:r>
      <w:proofErr w:type="spellStart"/>
      <w:r>
        <w:rPr>
          <w:rtl/>
        </w:rPr>
        <w:t>סלנטר</w:t>
      </w:r>
      <w:proofErr w:type="spellEnd"/>
      <w:r>
        <w:rPr>
          <w:rtl/>
        </w:rPr>
        <w:t xml:space="preserve"> בפריז, ואף לא מחאותיהם של זקן רבני רוסיה, ר׳ </w:t>
      </w:r>
      <w:proofErr w:type="spellStart"/>
      <w:r>
        <w:rPr>
          <w:rtl/>
        </w:rPr>
        <w:t>יצחק־אלחנן</w:t>
      </w:r>
      <w:proofErr w:type="spellEnd"/>
      <w:r>
        <w:rPr>
          <w:rtl/>
        </w:rPr>
        <w:t xml:space="preserve"> </w:t>
      </w:r>
      <w:proofErr w:type="spellStart"/>
      <w:r>
        <w:rPr>
          <w:rtl/>
        </w:rPr>
        <w:t>ספקטור</w:t>
      </w:r>
      <w:proofErr w:type="spellEnd"/>
      <w:r>
        <w:rPr>
          <w:rtl/>
        </w:rPr>
        <w:t xml:space="preserve">, ושל כל הרבנים האחרים שהשתתפו במשלוח המכתבים, הצליחו לעקור </w:t>
      </w:r>
      <w:proofErr w:type="spellStart"/>
      <w:r>
        <w:rPr>
          <w:rtl/>
        </w:rPr>
        <w:t>מלבו</w:t>
      </w:r>
      <w:proofErr w:type="spellEnd"/>
      <w:r>
        <w:rPr>
          <w:rtl/>
        </w:rPr>
        <w:t xml:space="preserve"> של הברון הצעיר את עשבי הרעל שזרעו בו מוריו המשכילים. ראה גם </w:t>
      </w:r>
      <w:proofErr w:type="spellStart"/>
      <w:r>
        <w:rPr>
          <w:rtl/>
        </w:rPr>
        <w:t>ב“זכרון</w:t>
      </w:r>
      <w:proofErr w:type="spellEnd"/>
      <w:r>
        <w:rPr>
          <w:rtl/>
        </w:rPr>
        <w:t xml:space="preserve"> יעקב”</w:t>
      </w:r>
      <w:bookmarkStart w:id="5186" w:name="_fnr3862"/>
      <w:r>
        <w:rPr>
          <w:vertAlign w:val="superscript"/>
          <w:rtl/>
        </w:rPr>
        <w:footnoteReference w:id="3870" w:customMarkFollows="0"/>
      </w:r>
      <w:bookmarkEnd w:id="5186"/>
      <w:r>
        <w:rPr>
          <w:rtl/>
        </w:rPr>
        <w:t xml:space="preserve"> העתק של התכתבות משנתיים קודם לכן, מקיץ </w:t>
      </w:r>
      <w:proofErr w:type="spellStart"/>
      <w:r>
        <w:rPr>
          <w:rtl/>
        </w:rPr>
        <w:t>תר״ם</w:t>
      </w:r>
      <w:proofErr w:type="spellEnd"/>
      <w:r>
        <w:rPr>
          <w:rtl/>
        </w:rPr>
        <w:t xml:space="preserve">, בין ר׳ </w:t>
      </w:r>
      <w:proofErr w:type="spellStart"/>
      <w:r>
        <w:rPr>
          <w:rtl/>
        </w:rPr>
        <w:t>יצחק־אלחנן</w:t>
      </w:r>
      <w:proofErr w:type="spellEnd"/>
      <w:r>
        <w:rPr>
          <w:rtl/>
        </w:rPr>
        <w:t xml:space="preserve"> לברון </w:t>
      </w:r>
      <w:proofErr w:type="spellStart"/>
      <w:r>
        <w:rPr>
          <w:rtl/>
        </w:rPr>
        <w:t>הוראס</w:t>
      </w:r>
      <w:proofErr w:type="spellEnd"/>
      <w:r>
        <w:rPr>
          <w:rtl/>
        </w:rPr>
        <w:t>, בעניין גיוס מחאות מחוץ לרוסיה נגד תוכניות הממשלה הרוסית כלפי נתיניה היהודים. התכתבות זו מעידה על יחס לבבי, ואף מלא הערצה, כלפי הברון.</w:t>
      </w:r>
    </w:p>
    <w:p w14:paraId="27C2E57A" w14:textId="77777777" w:rsidR="00AB3647" w:rsidRDefault="00000000" w:rsidP="007923E9">
      <w:pPr>
        <w:spacing w:after="120" w:line="276" w:lineRule="auto"/>
        <w:ind w:firstLine="283"/>
        <w:jc w:val="both"/>
      </w:pPr>
      <w:r>
        <w:rPr>
          <w:rtl/>
        </w:rPr>
        <w:lastRenderedPageBreak/>
        <w:t xml:space="preserve">ר׳ לייזר גורדון הזמין את ר׳ ישראל לבוא לביקורו של הברון הצעיר </w:t>
      </w:r>
      <w:proofErr w:type="spellStart"/>
      <w:r>
        <w:rPr>
          <w:rtl/>
        </w:rPr>
        <w:t>בקלם</w:t>
      </w:r>
      <w:proofErr w:type="spellEnd"/>
      <w:r>
        <w:rPr>
          <w:rtl/>
        </w:rPr>
        <w:t xml:space="preserve">, בתקווה שכך יגבר כוחו להשפיע על האורח העשיר – וכנראה גם על אביו – לתרום לישיבתו. אין בידינו ראיה אם הצליח ר׳ לייזר לקבל תרומה. ולאחר הניתוח שלעיל בדבר יחס הברון הן לישיבות והן </w:t>
      </w:r>
      <w:proofErr w:type="spellStart"/>
      <w:r>
        <w:rPr>
          <w:rtl/>
        </w:rPr>
        <w:t>לר</w:t>
      </w:r>
      <w:proofErr w:type="spellEnd"/>
      <w:r>
        <w:rPr>
          <w:rtl/>
        </w:rPr>
        <w:t xml:space="preserve">׳ ישראל </w:t>
      </w:r>
      <w:proofErr w:type="spellStart"/>
      <w:r>
        <w:rPr>
          <w:rtl/>
        </w:rPr>
        <w:t>סלנטר</w:t>
      </w:r>
      <w:proofErr w:type="spellEnd"/>
      <w:r>
        <w:rPr>
          <w:rtl/>
        </w:rPr>
        <w:t>, ייתכן שכל ניסיונו של ר׳ לייזר לגייס כסף בדרך זו היה מוטעה מיסודו.</w:t>
      </w:r>
    </w:p>
    <w:p w14:paraId="7AEA53AE" w14:textId="77777777" w:rsidR="00AB3647" w:rsidRDefault="00000000" w:rsidP="007923E9">
      <w:pPr>
        <w:spacing w:after="120" w:line="276" w:lineRule="auto"/>
        <w:ind w:firstLine="283"/>
        <w:jc w:val="both"/>
      </w:pPr>
      <w:r>
        <w:rPr>
          <w:rtl/>
        </w:rPr>
        <w:t xml:space="preserve">ואולם יש עוד מקרה של ניסיון לא שגרתי לגייס תרומות, שר׳ לייזר סייע לו כמעט שלושים שנה לאחר מכן, לטובת ישיבתו, שכבר שכנה אז </w:t>
      </w:r>
      <w:proofErr w:type="spellStart"/>
      <w:r>
        <w:rPr>
          <w:rtl/>
        </w:rPr>
        <w:t>בטלז</w:t>
      </w:r>
      <w:proofErr w:type="spellEnd"/>
      <w:r>
        <w:rPr>
          <w:rtl/>
        </w:rPr>
        <w:t xml:space="preserve">. בזיכרונותיו של הרב יעקב </w:t>
      </w:r>
      <w:proofErr w:type="spellStart"/>
      <w:r>
        <w:rPr>
          <w:rtl/>
        </w:rPr>
        <w:t>מזא״ה</w:t>
      </w:r>
      <w:bookmarkStart w:id="5187" w:name="_fnr3863"/>
      <w:proofErr w:type="spellEnd"/>
      <w:r>
        <w:rPr>
          <w:vertAlign w:val="superscript"/>
          <w:rtl/>
        </w:rPr>
        <w:footnoteReference w:id="3871" w:customMarkFollows="0"/>
      </w:r>
      <w:bookmarkEnd w:id="5187"/>
      <w:r>
        <w:rPr>
          <w:rtl/>
        </w:rPr>
        <w:t xml:space="preserve"> מובא סיפור מעניין: ר׳ לייזר גורדון ביקר אצל המחבר, רבה של מוסקבה, כששניהם שהו בעיר המרפא </w:t>
      </w:r>
      <w:proofErr w:type="spellStart"/>
      <w:r>
        <w:rPr>
          <w:rtl/>
        </w:rPr>
        <w:t>קיסינגן</w:t>
      </w:r>
      <w:proofErr w:type="spellEnd"/>
      <w:r>
        <w:rPr>
          <w:rtl/>
        </w:rPr>
        <w:t xml:space="preserve"> שבפרוסיה</w:t>
      </w:r>
      <w:bookmarkStart w:id="5188" w:name="_fnr3864"/>
      <w:bookmarkEnd w:id="5188"/>
      <w:r>
        <w:rPr>
          <w:rStyle w:val="a5"/>
        </w:rPr>
        <w:t/>
      </w:r>
      <w:bookmarkStart w:id="7040" w:name="_TranslatorNote_5395"/>
      <w:r>
        <w:rPr>
          <w:rStyle w:val="a5"/>
          <w:vertAlign w:val="superscript"/>
          <w:rtl/>
        </w:rPr>
        <w:footnoteReference w:id="3872" w:customMarkFollows="1"/>
        <w:t>*</w:t>
      </w:r>
      <w:bookmarkEnd w:id="7040"/>
      <w:r>
        <w:rPr>
          <w:rtl/>
        </w:rPr>
        <w:t>. ר׳ לייזר הכיר את הרב הזה ממסעות איסוף כספים שערך למוסקבה</w:t>
      </w:r>
      <w:bookmarkStart w:id="5189" w:name="_fnr3865"/>
      <w:bookmarkStart w:id="5190" w:name="pr_f_3752"/>
      <w:r>
        <w:rPr>
          <w:vertAlign w:val="superscript"/>
          <w:rtl/>
        </w:rPr>
        <w:footnoteReference w:id="3873" w:customMarkFollows="0"/>
      </w:r>
      <w:bookmarkEnd w:id="5189"/>
      <w:bookmarkEnd w:id="5190"/>
      <w:r>
        <w:rPr>
          <w:rtl/>
        </w:rPr>
        <w:t>. בפגישה זו התווכח ר׳ לייזר עם כמה ציונים אמידים ממוסקבה, ששהו שם לנופש, בנוכחות רבם, בשאלה אם ד״ר תיאודור הרצל הניח תפילין. ר׳ לייזר הצליח להוציא מאותם יהודים דתיים התחייבויות לתרום לישיבתו</w:t>
      </w:r>
      <w:bookmarkStart w:id="5191" w:name="_fnr3866"/>
      <w:r>
        <w:rPr>
          <w:vertAlign w:val="superscript"/>
          <w:rtl/>
        </w:rPr>
        <w:footnoteReference w:id="3874" w:customMarkFollows="0"/>
      </w:r>
      <w:bookmarkEnd w:id="5191"/>
      <w:r>
        <w:rPr>
          <w:rtl/>
        </w:rPr>
        <w:t xml:space="preserve">; קשה היה להם להאמין </w:t>
      </w:r>
      <w:proofErr w:type="spellStart"/>
      <w:r>
        <w:rPr>
          <w:rtl/>
        </w:rPr>
        <w:t>ש“רבם</w:t>
      </w:r>
      <w:proofErr w:type="spellEnd"/>
      <w:r>
        <w:rPr>
          <w:rtl/>
        </w:rPr>
        <w:t>” הרצל מעולם לא הניח תפילין, אכל מאכלות אסורים וחילל שבת.</w:t>
      </w:r>
    </w:p>
    <w:p w14:paraId="0A993CAA" w14:textId="77777777" w:rsidR="00AB3647" w:rsidRDefault="00000000" w:rsidP="007923E9">
      <w:pPr>
        <w:spacing w:after="120" w:line="276" w:lineRule="auto"/>
        <w:ind w:firstLine="283"/>
        <w:jc w:val="both"/>
      </w:pPr>
      <w:r>
        <w:rPr>
          <w:rtl/>
        </w:rPr>
        <w:t xml:space="preserve">השווה גם “מעשיות </w:t>
      </w:r>
      <w:proofErr w:type="spellStart"/>
      <w:r>
        <w:rPr>
          <w:rtl/>
        </w:rPr>
        <w:t>מבריסק</w:t>
      </w:r>
      <w:proofErr w:type="spellEnd"/>
      <w:r>
        <w:rPr>
          <w:rtl/>
        </w:rPr>
        <w:t>”</w:t>
      </w:r>
      <w:bookmarkStart w:id="5192" w:name="_fnr3867"/>
      <w:r>
        <w:rPr>
          <w:vertAlign w:val="superscript"/>
          <w:rtl/>
        </w:rPr>
        <w:footnoteReference w:id="3875" w:customMarkFollows="0"/>
      </w:r>
      <w:bookmarkEnd w:id="5192"/>
      <w:r>
        <w:rPr>
          <w:rtl/>
        </w:rPr>
        <w:t xml:space="preserve">: ר׳ </w:t>
      </w:r>
      <w:proofErr w:type="spellStart"/>
      <w:r>
        <w:rPr>
          <w:rtl/>
        </w:rPr>
        <w:t>משולם־דוד</w:t>
      </w:r>
      <w:proofErr w:type="spellEnd"/>
      <w:r>
        <w:rPr>
          <w:rtl/>
        </w:rPr>
        <w:t xml:space="preserve"> </w:t>
      </w:r>
      <w:proofErr w:type="spellStart"/>
      <w:r>
        <w:rPr>
          <w:rtl/>
        </w:rPr>
        <w:t>סולובייצ׳יק</w:t>
      </w:r>
      <w:proofErr w:type="spellEnd"/>
      <w:r>
        <w:rPr>
          <w:rtl/>
        </w:rPr>
        <w:t xml:space="preserve"> סיפר שכאשר הגיע פעם הנואם המבריק ולדימיר [זאב] ז׳בוטינסקי </w:t>
      </w:r>
      <w:proofErr w:type="spellStart"/>
      <w:r>
        <w:rPr>
          <w:rtl/>
        </w:rPr>
        <w:t>לבריסק</w:t>
      </w:r>
      <w:proofErr w:type="spellEnd"/>
      <w:r>
        <w:rPr>
          <w:rtl/>
        </w:rPr>
        <w:t xml:space="preserve"> לשאת נאום ביום ראשון, נאלצו תומכיו לטעון – שלא באמת – שלא נסע בשבת, כדי שהציבור הרחב לא יתאכזב ממנהיג הציונות הרוויזיוניסטית.</w:t>
      </w:r>
    </w:p>
    <w:p w14:paraId="33B90260" w14:textId="77777777" w:rsidR="00AB3647" w:rsidRDefault="00000000" w:rsidP="007923E9">
      <w:pPr>
        <w:spacing w:after="120" w:line="276" w:lineRule="auto"/>
        <w:ind w:firstLine="283"/>
        <w:jc w:val="both"/>
      </w:pPr>
      <w:r>
        <w:rPr>
          <w:rtl/>
        </w:rPr>
        <w:t xml:space="preserve">לא יהיה זה הוגן כלפי זכרו של ר׳ דוד </w:t>
      </w:r>
      <w:proofErr w:type="spellStart"/>
      <w:r>
        <w:rPr>
          <w:rtl/>
        </w:rPr>
        <w:t>גינצבורג</w:t>
      </w:r>
      <w:proofErr w:type="spellEnd"/>
      <w:r>
        <w:rPr>
          <w:rtl/>
        </w:rPr>
        <w:t xml:space="preserve"> אם לא נספר גם על מעלותיו החיוביות, שהיו יוצאות דופן במיוחד אצל מי שעמד בפסגת המעמד שאליה יכול היה יהודי לטפס ברוסיה הצארית. וזה לשון יעקב מארק</w:t>
      </w:r>
      <w:bookmarkStart w:id="5193" w:name="_fnr3868"/>
      <w:r>
        <w:rPr>
          <w:vertAlign w:val="superscript"/>
          <w:rtl/>
        </w:rPr>
        <w:footnoteReference w:id="3876" w:customMarkFollows="0"/>
      </w:r>
      <w:bookmarkEnd w:id="5193"/>
      <w:r>
        <w:rPr>
          <w:rtl/>
        </w:rPr>
        <w:t>:</w:t>
      </w:r>
    </w:p>
    <w:p w14:paraId="5B9CF4B1" w14:textId="77777777" w:rsidR="00AB3647" w:rsidRDefault="00000000" w:rsidP="007923E9">
      <w:pPr>
        <w:spacing w:after="120" w:line="276" w:lineRule="auto"/>
        <w:ind w:firstLine="283"/>
        <w:jc w:val="both"/>
      </w:pPr>
      <w:r>
        <w:rPr>
          <w:rtl/>
        </w:rPr>
        <w:lastRenderedPageBreak/>
        <w:t xml:space="preserve">“כל המעלות והמידות הטובות של תלמיד חכם אמיתי התאחדו באישיותו של דוד </w:t>
      </w:r>
      <w:proofErr w:type="spellStart"/>
      <w:r>
        <w:rPr>
          <w:rtl/>
        </w:rPr>
        <w:t>גינצבורג</w:t>
      </w:r>
      <w:proofErr w:type="spellEnd"/>
      <w:r>
        <w:rPr>
          <w:rtl/>
        </w:rPr>
        <w:t>. הוא למד תורה לשמה</w:t>
      </w:r>
      <w:bookmarkStart w:id="5194" w:name="_fnr3869"/>
      <w:r>
        <w:rPr>
          <w:vertAlign w:val="superscript"/>
          <w:rtl/>
        </w:rPr>
        <w:footnoteReference w:id="3877" w:customMarkFollows="0"/>
      </w:r>
      <w:bookmarkEnd w:id="5194"/>
      <w:r>
        <w:rPr>
          <w:rtl/>
        </w:rPr>
        <w:t>, היה נחבא אל הכלים, חי חיים צנועים בלי פאר ומותרות, ומעולם לא ביקש לצבור הון, כמו שעשו אביו ואחיו הצעירים. ואין צורך להאריך בענוותנותו, בפשטותו, בלבביותו ובאחוותו! כל אלה היו אצלו טבעיים, ולא מעושים. כך היה בשיחתו ובכתיבתו. ונוסף על כל המעלות הללו היה גם ירא שמים, דבק בכל מסורות ישראל. כשכיהן כנשיא הקהילה היהודית בפטרבורג, ביקש להכניס את רוח היהדות לכל מוסדות הקהילה. הוא הנהיג כשרות בכל מקום, ושמירה קפדנית של שבת ויום טוב בכל המשרדים הציבוריים. מכספו ייסד ‘מטבח כשר׳ מוזל לסטודנטים יהודים חסרי אמצעים.</w:t>
      </w:r>
    </w:p>
    <w:p w14:paraId="2F63FFA5" w14:textId="77777777" w:rsidR="00AB3647" w:rsidRDefault="00000000" w:rsidP="007923E9">
      <w:pPr>
        <w:spacing w:after="120" w:line="276" w:lineRule="auto"/>
        <w:ind w:firstLine="283"/>
        <w:jc w:val="both"/>
      </w:pPr>
      <w:r>
        <w:rPr>
          <w:rtl/>
        </w:rPr>
        <w:t xml:space="preserve">“אין פלא שהרבנים חיבבוהו כל כך; כשהוכיחו את הציבור היו מביאים את הברון כדוגמה לאדם שיכול להיות עשיר ובה בעת לשמור על היהדות. אפשר שבגלל נטייתו לאורתודוקסיה לא השתתף בתנועה הציונית, שכן רוב הרבנים בזמנו התנגדו מאוד לרעיון הציוני – אף שלכאורה הייתה תנועה זו אמורה להיות קרובה </w:t>
      </w:r>
      <w:proofErr w:type="spellStart"/>
      <w:r>
        <w:rPr>
          <w:rtl/>
        </w:rPr>
        <w:t>ללבו</w:t>
      </w:r>
      <w:proofErr w:type="spellEnd"/>
      <w:r>
        <w:rPr>
          <w:rtl/>
        </w:rPr>
        <w:t xml:space="preserve"> של בעל תודעה לאומית כנה כמוהו. ועם זאת מעולם לא יצא נגד הציונות: אופיו המעודן ורגשותיו הלאומיים לא הניחו לו להתייצב נגד זרם ביהדות שהיה מבוסס על יסודות לאומיים.</w:t>
      </w:r>
    </w:p>
    <w:p w14:paraId="2A533283" w14:textId="77777777" w:rsidR="00AB3647" w:rsidRDefault="00000000" w:rsidP="007923E9">
      <w:pPr>
        <w:spacing w:after="120" w:line="276" w:lineRule="auto"/>
        <w:ind w:firstLine="283"/>
        <w:jc w:val="both"/>
      </w:pPr>
      <w:r>
        <w:rPr>
          <w:rtl/>
        </w:rPr>
        <w:t xml:space="preserve">“הוא ניצל את עושרו העצום לרכישת אחת הספריות הפרטיות הגדולות והעשירות בעולם. מאות אלפים הוציא כדי לאסוף את כל הספרים העוסקים בענייני יהדות, בכל הלשונות. כמעט לא נותר ספר מודפס, מאז המצאת הדפוס ועד ימיו, שלא נמצא בספרייתו. סכומי עתק שילם בעד ספרים נדירים שנשתמרו מהם עותקים ספורים בלבד, ואף עותק יחיד, ובעד כתבי יד עתיקים. לאחר פטירת ר׳ דוד [בשנת תרע״א, שנה ותשעה חודשים אחרי פטירת אביו] רצה יעקב </w:t>
      </w:r>
      <w:proofErr w:type="spellStart"/>
      <w:r>
        <w:rPr>
          <w:rtl/>
        </w:rPr>
        <w:t>שיף</w:t>
      </w:r>
      <w:proofErr w:type="spellEnd"/>
      <w:r>
        <w:rPr>
          <w:rtl/>
        </w:rPr>
        <w:t xml:space="preserve"> לקנות את הספרייה, אבל אלמנת הברון סירבה למכור אותה, ובייחוד להוציאה מרוסיה לארצות הברית. רק בשנת 1917, כשמשפחת </w:t>
      </w:r>
      <w:proofErr w:type="spellStart"/>
      <w:r>
        <w:rPr>
          <w:rtl/>
        </w:rPr>
        <w:t>גינצבורג</w:t>
      </w:r>
      <w:proofErr w:type="spellEnd"/>
      <w:r>
        <w:rPr>
          <w:rtl/>
        </w:rPr>
        <w:t xml:space="preserve"> איבדה את רוב הונה, הצליח הלל </w:t>
      </w:r>
      <w:proofErr w:type="spellStart"/>
      <w:r>
        <w:rPr>
          <w:rtl/>
        </w:rPr>
        <w:t>זלטופולסקי</w:t>
      </w:r>
      <w:bookmarkStart w:id="5195" w:name="_fnr3870"/>
      <w:proofErr w:type="spellEnd"/>
      <w:r>
        <w:rPr>
          <w:vertAlign w:val="superscript"/>
          <w:rtl/>
        </w:rPr>
        <w:footnoteReference w:id="3878" w:customMarkFollows="0"/>
      </w:r>
      <w:bookmarkEnd w:id="5195"/>
      <w:r>
        <w:rPr>
          <w:rtl/>
        </w:rPr>
        <w:t xml:space="preserve"> לרכוש את הספרייה כדי להעבירה לארץ ישראל. אבל עד שהספיקו לארוז את האוסף העצום עלו הבולשביקים לשלטון ואסרו להוציאו מרוסיה; ועד היום הספרייה כולה ארוזה בארגזים אי־שם במחסן במוסקבה”.</w:t>
      </w:r>
    </w:p>
    <w:p w14:paraId="54C58FB3" w14:textId="77777777" w:rsidR="00AB3647" w:rsidRDefault="00000000" w:rsidP="007923E9">
      <w:pPr>
        <w:spacing w:after="120" w:line="276" w:lineRule="auto"/>
        <w:ind w:firstLine="283"/>
        <w:jc w:val="both"/>
      </w:pPr>
      <w:r>
        <w:rPr>
          <w:rtl/>
        </w:rPr>
        <w:t xml:space="preserve">כיום היא חלק מספריית לנין במוסקבה, ולפי הדיווחים מתנהל משא ומתן בין ממשלות רוסיה וישראל על גורלה הסופי של ספריית היודאיקה של </w:t>
      </w:r>
      <w:proofErr w:type="spellStart"/>
      <w:r>
        <w:rPr>
          <w:rtl/>
        </w:rPr>
        <w:t>גינצבורג</w:t>
      </w:r>
      <w:proofErr w:type="spellEnd"/>
      <w:r>
        <w:rPr>
          <w:rtl/>
        </w:rPr>
        <w:t>.</w:t>
      </w:r>
    </w:p>
    <w:p w14:paraId="3A26A423" w14:textId="77777777" w:rsidR="00AB3647" w:rsidRDefault="00000000" w:rsidP="007923E9">
      <w:pPr>
        <w:pStyle w:val="4"/>
        <w:spacing w:line="276" w:lineRule="auto"/>
      </w:pPr>
      <w:r>
        <w:lastRenderedPageBreak/>
        <w:t>· הפסקה השלישית ·</w:t>
      </w:r>
    </w:p>
    <w:p w14:paraId="7773B1F2" w14:textId="77777777" w:rsidR="00AB3647" w:rsidRDefault="00000000" w:rsidP="007923E9">
      <w:pPr>
        <w:pStyle w:val="5"/>
        <w:spacing w:line="276" w:lineRule="auto"/>
      </w:pPr>
      <w:r>
        <w:rPr>
          <w:bCs/>
          <w:szCs w:val="26"/>
        </w:rPr>
        <w:t xml:space="preserve">הסבא מקלם חושד במניעיו; הסבא </w:t>
      </w:r>
      <w:proofErr w:type="spellStart"/>
      <w:r>
        <w:rPr>
          <w:bCs/>
          <w:szCs w:val="26"/>
        </w:rPr>
        <w:t>מסלבודקה</w:t>
      </w:r>
      <w:proofErr w:type="spellEnd"/>
      <w:r>
        <w:rPr>
          <w:bCs/>
          <w:szCs w:val="26"/>
        </w:rPr>
        <w:t xml:space="preserve"> עושה כן ומלמד אחרים לחשוד אף הם</w:t>
      </w:r>
    </w:p>
    <w:p w14:paraId="2C7E8BF3" w14:textId="77777777" w:rsidR="00AB3647" w:rsidRDefault="00000000" w:rsidP="007923E9">
      <w:pPr>
        <w:spacing w:after="120" w:line="276" w:lineRule="auto"/>
        <w:ind w:firstLine="283"/>
        <w:jc w:val="both"/>
      </w:pPr>
      <w:r>
        <w:rPr>
          <w:rtl/>
        </w:rPr>
        <w:t>דוגמה נוספת לחששם של בעלי המוסר מפני נגיעה אישית הובאה מפי ר׳ עזריאל קרמר</w:t>
      </w:r>
      <w:bookmarkStart w:id="5196" w:name="_fnr3871"/>
      <w:r>
        <w:rPr>
          <w:vertAlign w:val="superscript"/>
          <w:rtl/>
        </w:rPr>
        <w:footnoteReference w:id="3879" w:customMarkFollows="0"/>
      </w:r>
      <w:bookmarkEnd w:id="5196"/>
      <w:r>
        <w:rPr>
          <w:rtl/>
        </w:rPr>
        <w:t xml:space="preserve">: בישיבת </w:t>
      </w:r>
      <w:proofErr w:type="spellStart"/>
      <w:r>
        <w:rPr>
          <w:rtl/>
        </w:rPr>
        <w:t>סלבודקה</w:t>
      </w:r>
      <w:proofErr w:type="spellEnd"/>
      <w:r>
        <w:rPr>
          <w:rtl/>
        </w:rPr>
        <w:t xml:space="preserve"> סיפרו שכאשר ר׳ </w:t>
      </w:r>
      <w:proofErr w:type="spellStart"/>
      <w:r>
        <w:rPr>
          <w:rtl/>
        </w:rPr>
        <w:t>שמחה־זיסל</w:t>
      </w:r>
      <w:proofErr w:type="spellEnd"/>
      <w:r>
        <w:rPr>
          <w:rtl/>
        </w:rPr>
        <w:t xml:space="preserve"> גסס, פקח פתאום את עיניו, הביט סביבו ואמר: “אולי מצבי אינו אלא ביטוי של עצלות”</w:t>
      </w:r>
      <w:bookmarkStart w:id="5197" w:name="_fnr3872"/>
      <w:r>
        <w:rPr>
          <w:vertAlign w:val="superscript"/>
          <w:rtl/>
        </w:rPr>
        <w:footnoteReference w:id="3880" w:customMarkFollows="0"/>
      </w:r>
      <w:bookmarkEnd w:id="5197"/>
      <w:r>
        <w:rPr>
          <w:rtl/>
        </w:rPr>
        <w:t>.</w:t>
      </w:r>
    </w:p>
    <w:p w14:paraId="0DCBA6A6" w14:textId="77777777" w:rsidR="00AB3647" w:rsidRDefault="00000000" w:rsidP="007923E9">
      <w:pPr>
        <w:spacing w:after="120" w:line="276" w:lineRule="auto"/>
        <w:ind w:firstLine="283"/>
        <w:jc w:val="both"/>
      </w:pPr>
      <w:r>
        <w:rPr>
          <w:rtl/>
        </w:rPr>
        <w:t xml:space="preserve">הסבא </w:t>
      </w:r>
      <w:proofErr w:type="spellStart"/>
      <w:r>
        <w:rPr>
          <w:rtl/>
        </w:rPr>
        <w:t>מסלבודקה</w:t>
      </w:r>
      <w:proofErr w:type="spellEnd"/>
      <w:r>
        <w:rPr>
          <w:rtl/>
        </w:rPr>
        <w:t xml:space="preserve">, כבעל מוסר מובהק וכתלמידו של ר׳ </w:t>
      </w:r>
      <w:proofErr w:type="spellStart"/>
      <w:r>
        <w:rPr>
          <w:rtl/>
        </w:rPr>
        <w:t>שמחה־זיסל</w:t>
      </w:r>
      <w:proofErr w:type="spellEnd"/>
      <w:r>
        <w:rPr>
          <w:rtl/>
        </w:rPr>
        <w:t>, חשד בעצמו ללא הרף שמא נגיעות אישיות מניעות אותו</w:t>
      </w:r>
      <w:bookmarkStart w:id="5198" w:name="_fnr3873"/>
      <w:r>
        <w:rPr>
          <w:vertAlign w:val="superscript"/>
          <w:rtl/>
        </w:rPr>
        <w:footnoteReference w:id="3881" w:customMarkFollows="0"/>
      </w:r>
      <w:bookmarkEnd w:id="5198"/>
      <w:r>
        <w:rPr>
          <w:rtl/>
        </w:rPr>
        <w:t xml:space="preserve">. הוא נבדל מאחרים בכך שהגיע בחשדות אלה למידה מופלגת, כמעט </w:t>
      </w:r>
      <w:proofErr w:type="spellStart"/>
      <w:r>
        <w:rPr>
          <w:rtl/>
        </w:rPr>
        <w:t>לא־תיאמן</w:t>
      </w:r>
      <w:proofErr w:type="spellEnd"/>
      <w:r>
        <w:rPr>
          <w:rtl/>
        </w:rPr>
        <w:t>. למשל, כשהיה עובד זוטר בתלמוד תורה של קלם</w:t>
      </w:r>
      <w:bookmarkStart w:id="5199" w:name="_fnr3874"/>
      <w:r>
        <w:rPr>
          <w:vertAlign w:val="superscript"/>
          <w:rtl/>
        </w:rPr>
        <w:footnoteReference w:id="3882" w:customMarkFollows="0"/>
      </w:r>
      <w:bookmarkEnd w:id="5199"/>
      <w:r>
        <w:rPr>
          <w:rtl/>
        </w:rPr>
        <w:t xml:space="preserve">, שיבחו אותו על שהציל בגבורה את ר׳ </w:t>
      </w:r>
      <w:proofErr w:type="spellStart"/>
      <w:r>
        <w:rPr>
          <w:rtl/>
        </w:rPr>
        <w:t>שמחה־זיסל</w:t>
      </w:r>
      <w:proofErr w:type="spellEnd"/>
      <w:r>
        <w:rPr>
          <w:rtl/>
        </w:rPr>
        <w:t xml:space="preserve"> ממעצר: כשפרצה למקום יחידה של חיילים רוסים, הציג את עצמו לפניהם כראש הישיבה. הוא המעיט בערך המעשה, ואמר שאולי הניע אותו הכבוד שבכך שלרגע יחשבוהו לעומד בראש מוסד נכבד כל כך.</w:t>
      </w:r>
    </w:p>
    <w:p w14:paraId="58C4D8B7" w14:textId="77777777" w:rsidR="00AB3647" w:rsidRDefault="00000000" w:rsidP="007923E9">
      <w:pPr>
        <w:spacing w:after="120" w:line="276" w:lineRule="auto"/>
        <w:ind w:firstLine="283"/>
        <w:jc w:val="both"/>
      </w:pPr>
      <w:r>
        <w:rPr>
          <w:rtl/>
        </w:rPr>
        <w:t xml:space="preserve">כשנסע לגרמניה לצורכי מרפא, אמר לתלמידו ר׳ </w:t>
      </w:r>
      <w:proofErr w:type="spellStart"/>
      <w:r>
        <w:rPr>
          <w:rtl/>
        </w:rPr>
        <w:t>ישראל־זיסל</w:t>
      </w:r>
      <w:proofErr w:type="spellEnd"/>
      <w:r>
        <w:rPr>
          <w:rtl/>
        </w:rPr>
        <w:t xml:space="preserve"> </w:t>
      </w:r>
      <w:proofErr w:type="spellStart"/>
      <w:r>
        <w:rPr>
          <w:rtl/>
        </w:rPr>
        <w:t>דבורץ</w:t>
      </w:r>
      <w:bookmarkStart w:id="5200" w:name="_fnr3875"/>
      <w:proofErr w:type="spellEnd"/>
      <w:r>
        <w:rPr>
          <w:vertAlign w:val="superscript"/>
          <w:rtl/>
        </w:rPr>
        <w:footnoteReference w:id="3883" w:customMarkFollows="0"/>
      </w:r>
      <w:bookmarkEnd w:id="5200"/>
      <w:r>
        <w:rPr>
          <w:rtl/>
        </w:rPr>
        <w:t xml:space="preserve"> שאולי מה שמשך אותו לשם היה מקל הליכה יוצא דופן שראה למכירה בחלון ראווה שנה קודם לכן</w:t>
      </w:r>
      <w:bookmarkStart w:id="5201" w:name="_fnr3876"/>
      <w:r>
        <w:rPr>
          <w:vertAlign w:val="superscript"/>
          <w:rtl/>
        </w:rPr>
        <w:footnoteReference w:id="3884" w:customMarkFollows="0"/>
      </w:r>
      <w:bookmarkEnd w:id="5201"/>
      <w:r>
        <w:rPr>
          <w:rtl/>
        </w:rPr>
        <w:t>.</w:t>
      </w:r>
    </w:p>
    <w:p w14:paraId="12BAB6FB" w14:textId="77777777" w:rsidR="00AB3647" w:rsidRDefault="00000000" w:rsidP="007923E9">
      <w:pPr>
        <w:spacing w:after="120" w:line="276" w:lineRule="auto"/>
        <w:ind w:firstLine="283"/>
        <w:jc w:val="both"/>
      </w:pPr>
      <w:r>
        <w:rPr>
          <w:rtl/>
        </w:rPr>
        <w:t>הסבא לימד גם אחרים לחשוד במניעיהם. הוא אמר לתלמידים שייתכן שכל כוונתם בהישארם ערים כל ליל שבועות אינה אלא ליהנות מעוגת הגבינה, מן הקפה, מן השירה ומן הריקודים, והביא ראיה ממסכת מועד קטן</w:t>
      </w:r>
      <w:bookmarkStart w:id="5202" w:name="_fnr3877"/>
      <w:r>
        <w:rPr>
          <w:vertAlign w:val="superscript"/>
          <w:rtl/>
        </w:rPr>
        <w:footnoteReference w:id="3885" w:customMarkFollows="0"/>
      </w:r>
      <w:bookmarkEnd w:id="5202"/>
      <w:r>
        <w:rPr>
          <w:rtl/>
        </w:rPr>
        <w:t xml:space="preserve"> שמניעים כאלה פועלים במחשבת האדם בלי שיהיה מודע להם. פעם אמר שייתכן שהראשון שדגל בהגנה על בעלי חיים היה מוכר מוצרי חלב, שהתכוון להגביר את מכירת סחורתו במקום הבשר שנאסר</w:t>
      </w:r>
      <w:bookmarkStart w:id="5203" w:name="_fnr3878"/>
      <w:r>
        <w:rPr>
          <w:vertAlign w:val="superscript"/>
          <w:rtl/>
        </w:rPr>
        <w:footnoteReference w:id="3886" w:customMarkFollows="0"/>
      </w:r>
      <w:bookmarkEnd w:id="5203"/>
      <w:r>
        <w:rPr>
          <w:rtl/>
        </w:rPr>
        <w:t>.</w:t>
      </w:r>
    </w:p>
    <w:bookmarkStart w:id="5204" w:name="b4_excI"/>
    <w:bookmarkStart w:id="5205" w:name="b4_annexI"/>
    <w:p w14:paraId="200A6E23" w14:textId="77777777" w:rsidR="00AB3647" w:rsidRDefault="00000000" w:rsidP="007923E9">
      <w:pPr>
        <w:pStyle w:val="3"/>
        <w:pageBreakBefore w:val="0"/>
        <w:spacing w:line="276" w:lineRule="auto"/>
      </w:pPr>
      <w:r>
        <w:lastRenderedPageBreak/>
        <w:fldChar w:fldCharType="begin" w:dirty="true"/>
      </w:r>
      <w:r>
        <w:rPr>
          <w:rtl w:val="0"/>
        </w:rPr>
        <w:instrText>HYPERLINK \l "b4_note76</w:instrText>
      </w:r>
      <w:r>
        <w:instrText>"</w:instrText>
      </w:r>
      <w:r>
        <w:fldChar w:fldCharType="separate"/>
      </w:r>
      <w:r>
        <w:t>נספח ט</w:t>
      </w:r>
      <w:r>
        <w:fldChar w:fldCharType="end"/>
      </w:r>
      <w:bookmarkEnd w:id="5204"/>
      <w:bookmarkEnd w:id="5205"/>
    </w:p>
    <w:p w14:paraId="4B2FFBF9" w14:textId="77777777" w:rsidR="00AB3647" w:rsidRDefault="00000000" w:rsidP="007923E9">
      <w:pPr>
        <w:pStyle w:val="af"/>
        <w:spacing w:line="276" w:lineRule="auto"/>
      </w:pPr>
      <w:r>
        <w:t xml:space="preserve">על הניסיונות להכניס את לימוד המוסר לישיבת </w:t>
      </w:r>
      <w:proofErr w:type="spellStart"/>
      <w:r>
        <w:t>וולוז׳ין</w:t>
      </w:r>
      <w:proofErr w:type="spellEnd"/>
      <w:r>
        <w:t xml:space="preserve"> והעימות בין ר׳ </w:t>
      </w:r>
      <w:proofErr w:type="spellStart"/>
      <w:r>
        <w:t>איצל׳ה</w:t>
      </w:r>
      <w:proofErr w:type="spellEnd"/>
      <w:r>
        <w:t xml:space="preserve"> </w:t>
      </w:r>
      <w:proofErr w:type="spellStart"/>
      <w:r>
        <w:t>בלאזר</w:t>
      </w:r>
      <w:proofErr w:type="spellEnd"/>
      <w:r>
        <w:t xml:space="preserve"> </w:t>
      </w:r>
      <w:proofErr w:type="spellStart"/>
      <w:r>
        <w:t>לר</w:t>
      </w:r>
      <w:proofErr w:type="spellEnd"/>
      <w:r>
        <w:t xml:space="preserve">׳ חיים </w:t>
      </w:r>
      <w:proofErr w:type="spellStart"/>
      <w:r>
        <w:t>סולובייצ׳יק</w:t>
      </w:r>
      <w:proofErr w:type="spellEnd"/>
      <w:r>
        <w:t xml:space="preserve">; על התלמידים הבעייתיים בישיבה, ובהם </w:t>
      </w:r>
      <w:proofErr w:type="spellStart"/>
      <w:r>
        <w:t>חיים־נחמן</w:t>
      </w:r>
      <w:proofErr w:type="spellEnd"/>
      <w:r>
        <w:t xml:space="preserve"> ביאליק; ועל אופיו של ר׳ חיים, חוכמתו ותחומי דאגתו.</w:t>
      </w:r>
    </w:p>
    <w:p w14:paraId="0AE24F56" w14:textId="77777777" w:rsidR="00AB3647" w:rsidRDefault="00000000" w:rsidP="007923E9">
      <w:pPr>
        <w:pStyle w:val="4"/>
        <w:spacing w:line="276" w:lineRule="auto"/>
      </w:pPr>
      <w:r>
        <w:t>· הפסקה הראשונה ·</w:t>
      </w:r>
    </w:p>
    <w:p w14:paraId="270A3B7C" w14:textId="77777777" w:rsidR="00AB3647" w:rsidRDefault="00000000" w:rsidP="007923E9">
      <w:pPr>
        <w:pStyle w:val="5"/>
        <w:spacing w:line="276" w:lineRule="auto"/>
      </w:pPr>
      <w:r>
        <w:rPr>
          <w:bCs/>
          <w:szCs w:val="26"/>
        </w:rPr>
        <w:t xml:space="preserve">ר׳ </w:t>
      </w:r>
      <w:proofErr w:type="spellStart"/>
      <w:r>
        <w:rPr>
          <w:bCs/>
          <w:szCs w:val="26"/>
        </w:rPr>
        <w:t>איצל׳ה</w:t>
      </w:r>
      <w:proofErr w:type="spellEnd"/>
      <w:r>
        <w:rPr>
          <w:bCs/>
          <w:szCs w:val="26"/>
        </w:rPr>
        <w:t xml:space="preserve"> </w:t>
      </w:r>
      <w:proofErr w:type="spellStart"/>
      <w:r>
        <w:rPr>
          <w:bCs/>
          <w:szCs w:val="26"/>
        </w:rPr>
        <w:t>בלאזר</w:t>
      </w:r>
      <w:proofErr w:type="spellEnd"/>
      <w:r>
        <w:rPr>
          <w:bCs/>
          <w:szCs w:val="26"/>
        </w:rPr>
        <w:t xml:space="preserve"> פועל בתקיפות להפצת המוסר; ניסיונו להכניס את המוסר בעת ביקור בישיבת </w:t>
      </w:r>
      <w:proofErr w:type="spellStart"/>
      <w:r>
        <w:rPr>
          <w:bCs/>
          <w:szCs w:val="26"/>
        </w:rPr>
        <w:t>וולוז׳ין</w:t>
      </w:r>
      <w:proofErr w:type="spellEnd"/>
      <w:r>
        <w:rPr>
          <w:bCs/>
          <w:szCs w:val="26"/>
        </w:rPr>
        <w:t xml:space="preserve"> נדחה; ר׳ חיים </w:t>
      </w:r>
      <w:proofErr w:type="spellStart"/>
      <w:r>
        <w:rPr>
          <w:bCs/>
          <w:szCs w:val="26"/>
        </w:rPr>
        <w:t>סולובייצ׳יק</w:t>
      </w:r>
      <w:proofErr w:type="spellEnd"/>
      <w:r>
        <w:rPr>
          <w:bCs/>
          <w:szCs w:val="26"/>
        </w:rPr>
        <w:t xml:space="preserve"> מתפלמס עמו </w:t>
      </w:r>
      <w:proofErr w:type="spellStart"/>
      <w:r>
        <w:rPr>
          <w:bCs/>
          <w:szCs w:val="26"/>
        </w:rPr>
        <w:t>והנצי״ב</w:t>
      </w:r>
      <w:proofErr w:type="spellEnd"/>
      <w:r>
        <w:rPr>
          <w:bCs/>
          <w:szCs w:val="26"/>
        </w:rPr>
        <w:t xml:space="preserve"> משלח אותו; </w:t>
      </w:r>
      <w:proofErr w:type="spellStart"/>
      <w:r>
        <w:rPr>
          <w:bCs/>
          <w:szCs w:val="26"/>
        </w:rPr>
        <w:t>וולוז׳ין</w:t>
      </w:r>
      <w:proofErr w:type="spellEnd"/>
      <w:r>
        <w:rPr>
          <w:bCs/>
          <w:szCs w:val="26"/>
        </w:rPr>
        <w:t xml:space="preserve"> שומרת על מסורתה המתנגדת למוסר.</w:t>
      </w:r>
    </w:p>
    <w:p w14:paraId="4E98C216" w14:textId="275E996F" w:rsidR="00AB3647" w:rsidRDefault="00000000" w:rsidP="007923E9">
      <w:pPr>
        <w:spacing w:after="120" w:line="276" w:lineRule="auto"/>
        <w:ind w:firstLine="283"/>
        <w:jc w:val="both"/>
      </w:pPr>
      <w:r>
        <w:rPr>
          <w:rtl/>
        </w:rPr>
        <w:t>ראה כץ, “תנועת המוסר”, כרך ב</w:t>
      </w:r>
      <w:bookmarkStart w:id="5206" w:name="_fnr3879"/>
      <w:r>
        <w:rPr>
          <w:vertAlign w:val="superscript"/>
          <w:rtl/>
        </w:rPr>
        <w:footnoteReference w:id="3887" w:customMarkFollows="0"/>
      </w:r>
      <w:bookmarkEnd w:id="5206"/>
      <w:r>
        <w:rPr>
          <w:rtl/>
        </w:rPr>
        <w:t xml:space="preserve">, וכן פרק 3, </w:t>
      </w:r>
      <w:r>
        <w:rPr>
          <w:rtl/>
        </w:rPr>
        <w:fldChar w:fldCharType="begin" w:dirty="true"/>
      </w:r>
      <w:r>
        <w:rPr>
          <w:rtl/>
        </w:rPr>
        <w:instrText xml:space="preserve"> REF b3_excN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יד</w:t>
      </w:r>
      <w:r>
        <w:rPr>
          <w:rtl/>
        </w:rPr>
        <w:fldChar w:fldCharType="end"/>
      </w:r>
      <w:r>
        <w:rPr>
          <w:rtl/>
        </w:rPr>
        <w:t xml:space="preserve"> והערה </w:t>
      </w:r>
      <w:r>
        <w:rPr>
          <w:rtl/>
        </w:rPr>
        <w:fldChar w:fldCharType="begin" w:dirty="true"/>
      </w:r>
      <w:r>
        <w:rPr>
          <w:rtl/>
        </w:rPr>
        <w:instrText xml:space="preserve"> REF b3_note51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51</w:t>
      </w:r>
      <w:r>
        <w:rPr>
          <w:rtl/>
        </w:rPr>
        <w:fldChar w:fldCharType="end"/>
      </w:r>
      <w:r>
        <w:rPr>
          <w:rtl/>
        </w:rPr>
        <w:t>. ראה גם “שרידי אש”</w:t>
      </w:r>
      <w:bookmarkStart w:id="5207" w:name="_fnr3880"/>
      <w:r>
        <w:rPr>
          <w:vertAlign w:val="superscript"/>
          <w:rtl/>
        </w:rPr>
        <w:footnoteReference w:id="3888" w:customMarkFollows="0"/>
      </w:r>
      <w:bookmarkEnd w:id="5207"/>
      <w:r>
        <w:rPr>
          <w:rtl/>
        </w:rPr>
        <w:t xml:space="preserve">, המספר שר׳ </w:t>
      </w:r>
      <w:proofErr w:type="spellStart"/>
      <w:r>
        <w:rPr>
          <w:rtl/>
        </w:rPr>
        <w:t>איצל׳ה</w:t>
      </w:r>
      <w:proofErr w:type="spellEnd"/>
      <w:r>
        <w:rPr>
          <w:rtl/>
        </w:rPr>
        <w:t xml:space="preserve"> חזר </w:t>
      </w:r>
      <w:proofErr w:type="spellStart"/>
      <w:r>
        <w:rPr>
          <w:rtl/>
        </w:rPr>
        <w:t>לסלבודקה</w:t>
      </w:r>
      <w:proofErr w:type="spellEnd"/>
      <w:r>
        <w:rPr>
          <w:rtl/>
        </w:rPr>
        <w:t xml:space="preserve"> לימים הנוראים מווילנה, שבה התכונן לעלייתו לארץ ישראל, כדי לדבר לפני תלמידי ישיבת כנסת ישראל – בניגוד </w:t>
      </w:r>
      <w:proofErr w:type="spellStart"/>
      <w:r>
        <w:rPr>
          <w:rtl/>
        </w:rPr>
        <w:t>לר</w:t>
      </w:r>
      <w:proofErr w:type="spellEnd"/>
      <w:r>
        <w:rPr>
          <w:rtl/>
        </w:rPr>
        <w:t>׳ נפתלי אמסטרדם, שדיבר בציבור רק בהזדמנויות נדירות מאוד, ורק לאחר הפצרות מרובות.</w:t>
      </w:r>
      <w:bookmarkStart w:id="5208" w:name="_fnr3881"/>
      <w:r>
        <w:rPr>
          <w:vertAlign w:val="superscript"/>
          <w:rtl/>
        </w:rPr>
        <w:footnoteReference w:id="3889" w:customMarkFollows="0"/>
      </w:r>
      <w:bookmarkEnd w:id="5208"/>
      <w:r>
        <w:rPr>
          <w:rtl/>
        </w:rPr>
        <w:t xml:space="preserve"> גם תגובתו של ר׳ </w:t>
      </w:r>
      <w:proofErr w:type="spellStart"/>
      <w:r>
        <w:rPr>
          <w:rtl/>
        </w:rPr>
        <w:t>איצל׳ה</w:t>
      </w:r>
      <w:proofErr w:type="spellEnd"/>
      <w:r>
        <w:rPr>
          <w:rtl/>
        </w:rPr>
        <w:t xml:space="preserve"> לפולמוס המוסר</w:t>
      </w:r>
      <w:bookmarkStart w:id="5209" w:name="_fnr3882"/>
      <w:r>
        <w:rPr>
          <w:vertAlign w:val="superscript"/>
          <w:rtl/>
        </w:rPr>
        <w:footnoteReference w:id="3890" w:customMarkFollows="0"/>
      </w:r>
      <w:bookmarkEnd w:id="5209"/>
      <w:r>
        <w:rPr>
          <w:rtl/>
        </w:rPr>
        <w:t xml:space="preserve"> הייתה תקיפה – כמובן, בגבולות כללי ההתנהגות המוסרית הגבוהים ביותר. שלוש שנים אחרי שפרץ הפולמוס פרסם את “אור ישראל”</w:t>
      </w:r>
      <w:bookmarkStart w:id="5210" w:name="_fnr3883"/>
      <w:r>
        <w:rPr>
          <w:vertAlign w:val="superscript"/>
          <w:rtl/>
        </w:rPr>
        <w:footnoteReference w:id="3891" w:customMarkFollows="0"/>
      </w:r>
      <w:bookmarkEnd w:id="5210"/>
      <w:r>
        <w:rPr>
          <w:rtl/>
        </w:rPr>
        <w:t>, ספר היסוד הקלאסי בהגות תנועת המוסר, שבאמצעותו קיווה להוכיח למתנגדיה את תוקפה של שיטת המוסר.</w:t>
      </w:r>
      <w:bookmarkStart w:id="5211" w:name="_fnr3884"/>
      <w:r>
        <w:rPr>
          <w:vertAlign w:val="superscript"/>
          <w:rtl/>
        </w:rPr>
        <w:footnoteReference w:id="3892" w:customMarkFollows="0"/>
      </w:r>
      <w:bookmarkEnd w:id="5211"/>
    </w:p>
    <w:p w14:paraId="555AAF1E" w14:textId="77777777" w:rsidR="00AB3647" w:rsidRDefault="00000000" w:rsidP="007923E9">
      <w:pPr>
        <w:spacing w:after="120" w:line="276" w:lineRule="auto"/>
        <w:ind w:firstLine="283"/>
        <w:jc w:val="both"/>
      </w:pPr>
      <w:r>
        <w:rPr>
          <w:rtl/>
        </w:rPr>
        <w:t xml:space="preserve">ר׳ </w:t>
      </w:r>
      <w:proofErr w:type="spellStart"/>
      <w:r>
        <w:rPr>
          <w:rtl/>
        </w:rPr>
        <w:t>איצל׳ה</w:t>
      </w:r>
      <w:proofErr w:type="spellEnd"/>
      <w:r>
        <w:rPr>
          <w:rtl/>
        </w:rPr>
        <w:t xml:space="preserve"> המתין עד תרמ״א כדי להדפיס את “פרי יצחק” – “ממה שחנני ה׳ בימי נעוריי” – </w:t>
      </w:r>
      <w:proofErr w:type="spellStart"/>
      <w:r>
        <w:rPr>
          <w:rtl/>
        </w:rPr>
        <w:t>ארבע־עשרה</w:t>
      </w:r>
      <w:proofErr w:type="spellEnd"/>
      <w:r>
        <w:rPr>
          <w:rtl/>
        </w:rPr>
        <w:t xml:space="preserve"> שנים לאחר שהספר נכתב וזכה להסכמות גדולי התורה. אפשר גם שהטעם לכך היה שלא התכוון לפרסם ברבים את גדלותו בתורה</w:t>
      </w:r>
      <w:bookmarkStart w:id="5212" w:name="_fnr3885"/>
      <w:r>
        <w:rPr>
          <w:vertAlign w:val="superscript"/>
          <w:rtl/>
        </w:rPr>
        <w:footnoteReference w:id="3893" w:customMarkFollows="0"/>
      </w:r>
      <w:bookmarkEnd w:id="5212"/>
      <w:r>
        <w:rPr>
          <w:rtl/>
        </w:rPr>
        <w:t>, עד שנאלץ לבסס את מעמדו כדי לחזק את מאמציו להפיץ את המוסר.</w:t>
      </w:r>
      <w:bookmarkStart w:id="5213" w:name="_fnr3886"/>
      <w:r>
        <w:rPr>
          <w:vertAlign w:val="superscript"/>
          <w:rtl/>
        </w:rPr>
        <w:footnoteReference w:id="3894" w:customMarkFollows="0"/>
      </w:r>
      <w:bookmarkEnd w:id="5213"/>
      <w:r>
        <w:rPr>
          <w:rtl/>
        </w:rPr>
        <w:t xml:space="preserve"> מכל מקום, במבוא לספרו כותב ר׳ </w:t>
      </w:r>
      <w:proofErr w:type="spellStart"/>
      <w:r>
        <w:rPr>
          <w:rtl/>
        </w:rPr>
        <w:t>איצל׳ה</w:t>
      </w:r>
      <w:proofErr w:type="spellEnd"/>
      <w:r>
        <w:rPr>
          <w:rtl/>
        </w:rPr>
        <w:t xml:space="preserve"> “עיקר כוונתי” בהוצאתו לאור, ומכאן שהיו גם טעמים אחרים שלא פורשו, כגון הטעם שהוצע לעיל. וזה לשונו: “עיקר כוונתי, טעמי וסיבתי בהגישי לציבור את פרי עמלי הוא להשאיר שם ושארית, זיכרון לדורות – מפני שניצני הבן והבת שהיו לי לפני שנים רבות לא פרחו, ולא זכיתי לגדל נטיעות נעימות... ועל כן עשיתי את הספר הזה לזיכרון.”</w:t>
      </w:r>
    </w:p>
    <w:p w14:paraId="12FCE5AC" w14:textId="77777777" w:rsidR="00AB3647" w:rsidRDefault="00000000" w:rsidP="007923E9">
      <w:pPr>
        <w:spacing w:after="120" w:line="276" w:lineRule="auto"/>
        <w:ind w:firstLine="283"/>
        <w:jc w:val="both"/>
      </w:pPr>
      <w:r>
        <w:rPr>
          <w:rtl/>
        </w:rPr>
        <w:t xml:space="preserve">כחלק ממאמציו להקנות תוקף למוסר ביקר ר׳ </w:t>
      </w:r>
      <w:proofErr w:type="spellStart"/>
      <w:r>
        <w:rPr>
          <w:rtl/>
        </w:rPr>
        <w:t>איצל׳ה</w:t>
      </w:r>
      <w:proofErr w:type="spellEnd"/>
      <w:r>
        <w:rPr>
          <w:rtl/>
        </w:rPr>
        <w:t xml:space="preserve"> גם בישיבת </w:t>
      </w:r>
      <w:proofErr w:type="spellStart"/>
      <w:r>
        <w:rPr>
          <w:rtl/>
        </w:rPr>
        <w:t>וולוז׳ין</w:t>
      </w:r>
      <w:proofErr w:type="spellEnd"/>
      <w:r>
        <w:rPr>
          <w:rtl/>
        </w:rPr>
        <w:t xml:space="preserve"> וניסה להכניס את המוסר לשם. בשלושה מקורות נמסרות שלוש תגובות שונות לביקור זה:</w:t>
      </w:r>
    </w:p>
    <w:p w14:paraId="0B03ADD0" w14:textId="77777777" w:rsidR="00AB3647" w:rsidRDefault="00000000" w:rsidP="007923E9">
      <w:pPr>
        <w:spacing w:after="120" w:line="276" w:lineRule="auto"/>
        <w:ind w:firstLine="283"/>
        <w:jc w:val="both"/>
      </w:pPr>
      <w:r>
        <w:rPr>
          <w:rtl/>
        </w:rPr>
        <w:lastRenderedPageBreak/>
        <w:t>(1) לפי “ר׳ משה שמואל ודורו”</w:t>
      </w:r>
      <w:bookmarkStart w:id="5214" w:name="_fnr3887"/>
      <w:r>
        <w:rPr>
          <w:vertAlign w:val="superscript"/>
          <w:rtl/>
        </w:rPr>
        <w:footnoteReference w:id="3895" w:customMarkFollows="0"/>
      </w:r>
      <w:bookmarkEnd w:id="5214"/>
      <w:r>
        <w:rPr>
          <w:rtl/>
        </w:rPr>
        <w:t xml:space="preserve">, “כשנודעה </w:t>
      </w:r>
      <w:proofErr w:type="spellStart"/>
      <w:r>
        <w:rPr>
          <w:rtl/>
        </w:rPr>
        <w:t>לנצי״ב</w:t>
      </w:r>
      <w:proofErr w:type="spellEnd"/>
      <w:r>
        <w:rPr>
          <w:rtl/>
        </w:rPr>
        <w:t xml:space="preserve"> מטרת בואו של ר׳ </w:t>
      </w:r>
      <w:proofErr w:type="spellStart"/>
      <w:r>
        <w:rPr>
          <w:rtl/>
        </w:rPr>
        <w:t>איצל׳ה</w:t>
      </w:r>
      <w:proofErr w:type="spellEnd"/>
      <w:r>
        <w:rPr>
          <w:rtl/>
        </w:rPr>
        <w:t xml:space="preserve"> </w:t>
      </w:r>
      <w:proofErr w:type="spellStart"/>
      <w:r>
        <w:rPr>
          <w:rtl/>
        </w:rPr>
        <w:t>לוולוז׳ין</w:t>
      </w:r>
      <w:proofErr w:type="spellEnd"/>
      <w:r>
        <w:rPr>
          <w:rtl/>
        </w:rPr>
        <w:t>, הוכיחו בדברי תוכחה וציווה עליו לעזוב את העיר”.</w:t>
      </w:r>
    </w:p>
    <w:p w14:paraId="272FAC20" w14:textId="77777777" w:rsidR="00AB3647" w:rsidRDefault="00000000" w:rsidP="007923E9">
      <w:pPr>
        <w:spacing w:after="120" w:line="276" w:lineRule="auto"/>
        <w:ind w:firstLine="283"/>
        <w:jc w:val="both"/>
      </w:pPr>
      <w:r>
        <w:rPr>
          <w:rtl/>
        </w:rPr>
        <w:t xml:space="preserve">(2) מאמר מאת ר׳ </w:t>
      </w:r>
      <w:proofErr w:type="spellStart"/>
      <w:r>
        <w:rPr>
          <w:rtl/>
        </w:rPr>
        <w:t xml:space="preserve">יוסף־דב</w:t>
      </w:r>
      <w:proofErr w:type="spellEnd"/>
      <w:r>
        <w:rPr>
          <w:rtl/>
        </w:rPr>
        <w:t xml:space="preserve"> </w:t>
      </w:r>
      <w:proofErr w:type="spellStart"/>
      <w:r>
        <w:rPr>
          <w:rtl/>
        </w:rPr>
        <w:t>סולובייצ׳יק</w:t>
      </w:r>
      <w:proofErr w:type="spellEnd"/>
      <w:r>
        <w:rPr>
          <w:rtl/>
        </w:rPr>
        <w:t xml:space="preserve"> </w:t>
      </w:r>
      <w:proofErr w:type="spellStart"/>
      <w:r>
        <w:rPr>
          <w:rtl/>
        </w:rPr>
        <w:t>ב“תלפיות</w:t>
      </w:r>
      <w:proofErr w:type="spellEnd"/>
      <w:r>
        <w:rPr>
          <w:rtl/>
        </w:rPr>
        <w:t>”</w:t>
      </w:r>
      <w:bookmarkStart w:id="5215" w:name="_fnr3888"/>
      <w:r>
        <w:rPr>
          <w:vertAlign w:val="superscript"/>
          <w:rtl/>
        </w:rPr>
        <w:footnoteReference w:id="3896" w:customMarkFollows="0"/>
      </w:r>
      <w:bookmarkEnd w:id="5215"/>
      <w:r>
        <w:rPr>
          <w:rtl/>
        </w:rPr>
        <w:t xml:space="preserve">, שכותרתו “איש ההלכה”, מספר שר׳ </w:t>
      </w:r>
      <w:proofErr w:type="spellStart"/>
      <w:r>
        <w:rPr>
          <w:rtl/>
        </w:rPr>
        <w:t>איצל׳ה</w:t>
      </w:r>
      <w:proofErr w:type="spellEnd"/>
      <w:r>
        <w:rPr>
          <w:rtl/>
        </w:rPr>
        <w:t xml:space="preserve"> התפלמס עם ר׳ חיים </w:t>
      </w:r>
      <w:proofErr w:type="spellStart"/>
      <w:r>
        <w:rPr>
          <w:rtl/>
        </w:rPr>
        <w:t>סולובייצ׳יק</w:t>
      </w:r>
      <w:proofErr w:type="spellEnd"/>
      <w:r>
        <w:rPr>
          <w:rtl/>
        </w:rPr>
        <w:t xml:space="preserve"> בעת הביקור </w:t>
      </w:r>
      <w:proofErr w:type="spellStart"/>
      <w:r>
        <w:rPr>
          <w:rtl/>
        </w:rPr>
        <w:t>בוולוז׳ין</w:t>
      </w:r>
      <w:proofErr w:type="spellEnd"/>
      <w:r>
        <w:rPr>
          <w:rtl/>
        </w:rPr>
        <w:t xml:space="preserve">. ר׳ </w:t>
      </w:r>
      <w:proofErr w:type="spellStart"/>
      <w:r>
        <w:rPr>
          <w:rtl/>
        </w:rPr>
        <w:t>איצל׳ה</w:t>
      </w:r>
      <w:proofErr w:type="spellEnd"/>
      <w:r>
        <w:rPr>
          <w:rtl/>
        </w:rPr>
        <w:t xml:space="preserve"> ביקש להוכיח שלימוד מוסר יעיל יותר למלחמה ביצר הרע מלימוד תורה בלבד, והביא את הוראת חז״ל</w:t>
      </w:r>
      <w:bookmarkStart w:id="5216" w:name="_fnr3889"/>
      <w:r>
        <w:rPr>
          <w:vertAlign w:val="superscript"/>
          <w:rtl/>
        </w:rPr>
        <w:footnoteReference w:id="3897" w:customMarkFollows="0"/>
      </w:r>
      <w:bookmarkEnd w:id="5216"/>
      <w:r>
        <w:rPr>
          <w:rtl/>
        </w:rPr>
        <w:t xml:space="preserve">: “לעולם ירגיז אדם יצר טוב על יצר הרע; אם נצחו מוטב, ואם לאו יעסוק בתורה; אם נצחו מוטב, ואם לאו יקרא קריאת שמע; אם נצחו מוטב, ואם לאו יזכור לו יום המיתה”. כלומר: אדם צריך תמיד לעורר את יצרו הטוב כנגד יצרו הרע; אם הכריע את היצר הרע, מוטב; ואם לא, יעסוק בתורה; אם הכריע אותו, מוטב; ואם לא, יקרא שמע; אם הכריע אותו, מוטב; ואם לא, יזכיר לו את יום המיתה. הוא הוכיח שהמוצא האחרון להכנעת יצר הרע אינו לימוד תורה, כפי שנהגו </w:t>
      </w:r>
      <w:proofErr w:type="spellStart"/>
      <w:r>
        <w:rPr>
          <w:rtl/>
        </w:rPr>
        <w:t>בוולוז׳ין</w:t>
      </w:r>
      <w:proofErr w:type="spellEnd"/>
      <w:r>
        <w:rPr>
          <w:rtl/>
        </w:rPr>
        <w:t>, אלא זכירת יום המיתה – באמצעות לימוד מוסר.</w:t>
      </w:r>
    </w:p>
    <w:p w14:paraId="6AEB1DDD" w14:textId="77777777" w:rsidR="00AB3647" w:rsidRDefault="00000000" w:rsidP="007923E9">
      <w:pPr>
        <w:spacing w:after="120" w:line="276" w:lineRule="auto"/>
        <w:ind w:firstLine="283"/>
        <w:jc w:val="both"/>
      </w:pPr>
      <w:r>
        <w:rPr>
          <w:rtl/>
        </w:rPr>
        <w:t xml:space="preserve">אבל ר׳ חיים טען שיש להיזקק ללימוד המוסר רק אם לימוד התורה נכשל עקב הפרעה בנפשו של האדם. “המוסר”, אמר ר׳ חיים, “דומה לשמן קיק: לחולה הוא רפואה, ולבריא הוא מחלה”, וסיים: “ואנו </w:t>
      </w:r>
      <w:proofErr w:type="spellStart"/>
      <w:r>
        <w:rPr>
          <w:rtl/>
        </w:rPr>
        <w:t>בוולוז׳ין</w:t>
      </w:r>
      <w:proofErr w:type="spellEnd"/>
      <w:r>
        <w:rPr>
          <w:rtl/>
        </w:rPr>
        <w:t>, ברוך ה׳, בריאים.”</w:t>
      </w:r>
      <w:bookmarkStart w:id="5217" w:name="_fnr3890"/>
      <w:r>
        <w:rPr>
          <w:vertAlign w:val="superscript"/>
          <w:rtl/>
        </w:rPr>
        <w:footnoteReference w:id="3898" w:customMarkFollows="0"/>
      </w:r>
      <w:bookmarkEnd w:id="5217"/>
      <w:bookmarkStart w:id="7041" w:name="_TranslatorNote_5396"/>
      <w:r>
        <w:rPr>
          <w:rStyle w:val="a5"/>
          <w:vertAlign w:val="superscript"/>
          <w:rtl/>
        </w:rPr>
        <w:footnoteReference w:id="3899" w:customMarkFollows="1"/>
        <w:t>*</w:t>
      </w:r>
      <w:bookmarkEnd w:id="7041"/>
      <w:r>
        <w:rPr>
          <w:rtl/>
        </w:rPr>
        <w:t xml:space="preserve"> “שרידי אש”</w:t>
      </w:r>
      <w:bookmarkStart w:id="5218" w:name="_fnr3891"/>
      <w:r>
        <w:rPr>
          <w:vertAlign w:val="superscript"/>
          <w:rtl/>
        </w:rPr>
        <w:footnoteReference w:id="3900" w:customMarkFollows="0"/>
      </w:r>
      <w:bookmarkEnd w:id="5218"/>
      <w:r>
        <w:rPr>
          <w:rtl/>
        </w:rPr>
        <w:t xml:space="preserve"> מספר שר׳ </w:t>
      </w:r>
      <w:proofErr w:type="spellStart"/>
      <w:r>
        <w:rPr>
          <w:rtl/>
        </w:rPr>
        <w:t>איצל׳ה</w:t>
      </w:r>
      <w:proofErr w:type="spellEnd"/>
      <w:r>
        <w:rPr>
          <w:rtl/>
        </w:rPr>
        <w:t xml:space="preserve"> רמז בזהירות לוויכוחו עם ר׳ חיים </w:t>
      </w:r>
      <w:proofErr w:type="spellStart"/>
      <w:r>
        <w:rPr>
          <w:rtl/>
        </w:rPr>
        <w:t>סולובייצ׳יק</w:t>
      </w:r>
      <w:proofErr w:type="spellEnd"/>
      <w:r>
        <w:rPr>
          <w:rtl/>
        </w:rPr>
        <w:t xml:space="preserve"> כשדיבר פעם לפני תלמידי ישיבת </w:t>
      </w:r>
      <w:proofErr w:type="spellStart"/>
      <w:r>
        <w:rPr>
          <w:rtl/>
        </w:rPr>
        <w:t>סלבודקה</w:t>
      </w:r>
      <w:proofErr w:type="spellEnd"/>
      <w:r>
        <w:rPr>
          <w:rtl/>
        </w:rPr>
        <w:t>, ואמר: “לדעתי, המוסר אינו שמן קיק לחולי מעיים, אלא חמצן לקיום החיים. יתר על כן, לימוד המוסר הוא חלק בלתי נפרד מלימוד התורה – החלק העוסק במיוחד בחובות הלבבות.”</w:t>
      </w:r>
      <w:bookmarkStart w:id="5219" w:name="_fnr3892"/>
      <w:r>
        <w:rPr>
          <w:vertAlign w:val="superscript"/>
          <w:rtl/>
        </w:rPr>
        <w:footnoteReference w:id="3901" w:customMarkFollows="0"/>
      </w:r>
      <w:bookmarkEnd w:id="5219"/>
    </w:p>
    <w:p w14:paraId="58E5AA1C" w14:textId="77777777" w:rsidR="00AB3647" w:rsidRDefault="00000000" w:rsidP="007923E9">
      <w:pPr>
        <w:spacing w:after="120" w:line="276" w:lineRule="auto"/>
        <w:ind w:firstLine="283"/>
        <w:jc w:val="both"/>
      </w:pPr>
      <w:r>
        <w:rPr>
          <w:rtl/>
        </w:rPr>
        <w:t xml:space="preserve">ראה גם את המאמר מאת “ש׳ רוזנפלד” </w:t>
      </w:r>
      <w:proofErr w:type="spellStart"/>
      <w:r>
        <w:rPr>
          <w:rtl/>
        </w:rPr>
        <w:t>ב“המליץ</w:t>
      </w:r>
      <w:proofErr w:type="spellEnd"/>
      <w:r>
        <w:rPr>
          <w:rtl/>
        </w:rPr>
        <w:t>”,</w:t>
      </w:r>
      <w:bookmarkStart w:id="5220" w:name="_fnr3893"/>
      <w:r>
        <w:rPr>
          <w:vertAlign w:val="superscript"/>
          <w:rtl/>
        </w:rPr>
        <w:footnoteReference w:id="3902" w:customMarkFollows="0"/>
      </w:r>
      <w:bookmarkEnd w:id="5220"/>
      <w:r>
        <w:rPr>
          <w:rtl/>
        </w:rPr>
        <w:t xml:space="preserve"> העוין את המוסר. המאמר מביא בשם הסבא </w:t>
      </w:r>
      <w:proofErr w:type="spellStart"/>
      <w:r>
        <w:rPr>
          <w:rtl/>
        </w:rPr>
        <w:t>מסלבודקה</w:t>
      </w:r>
      <w:proofErr w:type="spellEnd"/>
      <w:r>
        <w:rPr>
          <w:rtl/>
        </w:rPr>
        <w:t xml:space="preserve"> הוכחה מאותו מאמר תלמודי, אך מחלקו הקודם, שקריאת שמע – שהייתה בפי הסבא כינוי ללימוד המוסר – היא דרך יעילה יותר למלחמה ביצר הרע מלימוד התורה. “ש׳ רוזנפלד” משבש את המאמר התלמודי, וממילא גם את דרך הוכחתו של ר׳ </w:t>
      </w:r>
      <w:proofErr w:type="spellStart"/>
      <w:r>
        <w:rPr>
          <w:rtl/>
        </w:rPr>
        <w:t>נתן־</w:t>
      </w:r>
      <w:r>
        <w:rPr>
          <w:rtl/>
        </w:rPr>
        <w:lastRenderedPageBreak/>
        <w:t>צבי</w:t>
      </w:r>
      <w:proofErr w:type="spellEnd"/>
      <w:r>
        <w:rPr>
          <w:rtl/>
        </w:rPr>
        <w:t xml:space="preserve"> </w:t>
      </w:r>
      <w:proofErr w:type="spellStart"/>
      <w:r>
        <w:rPr>
          <w:rtl/>
        </w:rPr>
        <w:t>פינקל</w:t>
      </w:r>
      <w:proofErr w:type="spellEnd"/>
      <w:r>
        <w:rPr>
          <w:rtl/>
        </w:rPr>
        <w:t>. אבל ברור שאם הדיווח הזה נכון בכלל</w:t>
      </w:r>
      <w:bookmarkStart w:id="5221" w:name="_fnr3894"/>
      <w:r>
        <w:rPr>
          <w:vertAlign w:val="superscript"/>
          <w:rtl/>
        </w:rPr>
        <w:footnoteReference w:id="3903" w:customMarkFollows="0"/>
      </w:r>
      <w:bookmarkEnd w:id="5221"/>
      <w:r>
        <w:rPr>
          <w:rtl/>
        </w:rPr>
        <w:t xml:space="preserve">, השתמש הסבא באמצע שנות </w:t>
      </w:r>
      <w:proofErr w:type="spellStart"/>
      <w:r>
        <w:rPr>
          <w:rtl/>
        </w:rPr>
        <w:t>התר״נ</w:t>
      </w:r>
      <w:proofErr w:type="spellEnd"/>
      <w:r>
        <w:rPr>
          <w:rtl/>
        </w:rPr>
        <w:t xml:space="preserve"> בדיוק באותו נימוק שהשמיע ר׳ </w:t>
      </w:r>
      <w:proofErr w:type="spellStart"/>
      <w:r>
        <w:rPr>
          <w:rtl/>
        </w:rPr>
        <w:t>איצל׳ה</w:t>
      </w:r>
      <w:proofErr w:type="spellEnd"/>
      <w:r>
        <w:rPr>
          <w:rtl/>
        </w:rPr>
        <w:t xml:space="preserve"> שנים רבות קודם לכן בוויכוחו עם ר׳ חיים, ואולי למד אותו מר׳ </w:t>
      </w:r>
      <w:proofErr w:type="spellStart"/>
      <w:r>
        <w:rPr>
          <w:rtl/>
        </w:rPr>
        <w:t>איצל׳ה</w:t>
      </w:r>
      <w:proofErr w:type="spellEnd"/>
      <w:r>
        <w:rPr>
          <w:rtl/>
        </w:rPr>
        <w:t xml:space="preserve"> </w:t>
      </w:r>
      <w:proofErr w:type="spellStart"/>
      <w:r>
        <w:rPr>
          <w:rtl/>
        </w:rPr>
        <w:t>בלאזר</w:t>
      </w:r>
      <w:proofErr w:type="spellEnd"/>
      <w:r>
        <w:rPr>
          <w:rtl/>
        </w:rPr>
        <w:t>.</w:t>
      </w:r>
    </w:p>
    <w:p w14:paraId="7DBBD3B4" w14:textId="77777777" w:rsidR="00AB3647" w:rsidRDefault="00000000" w:rsidP="007923E9">
      <w:pPr>
        <w:spacing w:after="120" w:line="276" w:lineRule="auto"/>
        <w:ind w:firstLine="283"/>
        <w:jc w:val="both"/>
      </w:pPr>
      <w:r>
        <w:rPr>
          <w:rtl/>
        </w:rPr>
        <w:t xml:space="preserve">לפי “מורשת </w:t>
      </w:r>
      <w:proofErr w:type="spellStart"/>
      <w:r>
        <w:rPr>
          <w:rtl/>
        </w:rPr>
        <w:t>סולובייצ׳יק</w:t>
      </w:r>
      <w:proofErr w:type="spellEnd"/>
      <w:r>
        <w:rPr>
          <w:rtl/>
        </w:rPr>
        <w:t>”</w:t>
      </w:r>
      <w:bookmarkStart w:id="5222" w:name="_fnr3895"/>
      <w:r>
        <w:rPr>
          <w:vertAlign w:val="superscript"/>
          <w:rtl/>
        </w:rPr>
        <w:footnoteReference w:id="3904" w:customMarkFollows="0"/>
      </w:r>
      <w:bookmarkEnd w:id="5222"/>
      <w:r>
        <w:rPr>
          <w:rtl/>
        </w:rPr>
        <w:t xml:space="preserve">, בזמן מאוחר יותר מביקורו של ר׳ </w:t>
      </w:r>
      <w:proofErr w:type="spellStart"/>
      <w:r>
        <w:rPr>
          <w:rtl/>
        </w:rPr>
        <w:t>איצל׳ה</w:t>
      </w:r>
      <w:proofErr w:type="spellEnd"/>
      <w:r>
        <w:rPr>
          <w:rtl/>
        </w:rPr>
        <w:t xml:space="preserve"> </w:t>
      </w:r>
      <w:proofErr w:type="spellStart"/>
      <w:r>
        <w:rPr>
          <w:rtl/>
        </w:rPr>
        <w:t>בוולוז׳ין</w:t>
      </w:r>
      <w:proofErr w:type="spellEnd"/>
      <w:r>
        <w:rPr>
          <w:rtl/>
        </w:rPr>
        <w:t xml:space="preserve"> השתמש ר׳ חיים במשל שמן הקיק כדי להניא את בנו ר׳ משה מלעיין אי־פעם </w:t>
      </w:r>
      <w:proofErr w:type="spellStart"/>
      <w:r>
        <w:rPr>
          <w:rtl/>
        </w:rPr>
        <w:t>ב“מורה</w:t>
      </w:r>
      <w:proofErr w:type="spellEnd"/>
      <w:r>
        <w:rPr>
          <w:rtl/>
        </w:rPr>
        <w:t xml:space="preserve"> נבוכים” לרמב״ם, אף שהוא עצמו למד אותו בעיון רב. ר׳ משה אכן הבטיח לו, </w:t>
      </w:r>
      <w:proofErr w:type="spellStart"/>
      <w:r>
        <w:rPr>
          <w:rtl/>
        </w:rPr>
        <w:t>ו“מאז</w:t>
      </w:r>
      <w:proofErr w:type="spellEnd"/>
      <w:r>
        <w:rPr>
          <w:rtl/>
        </w:rPr>
        <w:t xml:space="preserve"> לא ניסה עוד לבדוק את תוכנו של אותו ספר”. דבר תמוה וקשה להאמין: לפי “מורשת </w:t>
      </w:r>
      <w:proofErr w:type="spellStart"/>
      <w:r>
        <w:rPr>
          <w:rtl/>
        </w:rPr>
        <w:t>סולובייצ׳יק</w:t>
      </w:r>
      <w:proofErr w:type="spellEnd"/>
      <w:r>
        <w:rPr>
          <w:rtl/>
        </w:rPr>
        <w:t>” ראה ר׳ חיים את בנו כבריא – “בריא בנפשו ובגופו... אמונותיו איתנות” – ואילו את עצמו כחולה!</w:t>
      </w:r>
    </w:p>
    <w:p w14:paraId="29B590EF" w14:textId="77777777" w:rsidR="00AB3647" w:rsidRDefault="00000000" w:rsidP="007923E9">
      <w:pPr>
        <w:spacing w:after="120" w:line="276" w:lineRule="auto"/>
        <w:ind w:firstLine="283"/>
        <w:jc w:val="both"/>
      </w:pPr>
      <w:r>
        <w:rPr>
          <w:rtl/>
        </w:rPr>
        <w:t xml:space="preserve">(3) ר׳ </w:t>
      </w:r>
      <w:proofErr w:type="spellStart"/>
      <w:r>
        <w:rPr>
          <w:rtl/>
        </w:rPr>
        <w:t>זלמן־נחמיה</w:t>
      </w:r>
      <w:proofErr w:type="spellEnd"/>
      <w:r>
        <w:rPr>
          <w:rtl/>
        </w:rPr>
        <w:t xml:space="preserve"> גולדברג חזר</w:t>
      </w:r>
      <w:bookmarkStart w:id="5223" w:name="_fnr3896"/>
      <w:r>
        <w:rPr>
          <w:vertAlign w:val="superscript"/>
          <w:rtl/>
        </w:rPr>
        <w:footnoteReference w:id="3905" w:customMarkFollows="0"/>
      </w:r>
      <w:bookmarkEnd w:id="5223"/>
      <w:r>
        <w:rPr>
          <w:rtl/>
        </w:rPr>
        <w:t xml:space="preserve"> על גרסה ששמע מר׳ יצחק </w:t>
      </w:r>
      <w:proofErr w:type="spellStart"/>
      <w:r>
        <w:rPr>
          <w:rtl/>
        </w:rPr>
        <w:t>ויינשטיין</w:t>
      </w:r>
      <w:proofErr w:type="spellEnd"/>
      <w:r>
        <w:rPr>
          <w:rtl/>
        </w:rPr>
        <w:t xml:space="preserve">. ר׳ יצחק אולי שמע אותה ממחותנו ר׳ יצחק־זאב </w:t>
      </w:r>
      <w:proofErr w:type="spellStart"/>
      <w:r>
        <w:rPr>
          <w:rtl/>
        </w:rPr>
        <w:t>סולובייצ׳יק</w:t>
      </w:r>
      <w:proofErr w:type="spellEnd"/>
      <w:r>
        <w:rPr>
          <w:rtl/>
        </w:rPr>
        <w:t xml:space="preserve">, או מאדם אחר בישיבת </w:t>
      </w:r>
      <w:proofErr w:type="spellStart"/>
      <w:r>
        <w:rPr>
          <w:rtl/>
        </w:rPr>
        <w:t>וולוז׳ין</w:t>
      </w:r>
      <w:proofErr w:type="spellEnd"/>
      <w:r>
        <w:rPr>
          <w:rtl/>
        </w:rPr>
        <w:t xml:space="preserve"> המחודשת</w:t>
      </w:r>
      <w:bookmarkStart w:id="5224" w:name="_fnr3897"/>
      <w:r>
        <w:rPr>
          <w:vertAlign w:val="superscript"/>
          <w:rtl/>
        </w:rPr>
        <w:footnoteReference w:id="3906" w:customMarkFollows="0"/>
      </w:r>
      <w:bookmarkEnd w:id="5224"/>
      <w:r>
        <w:rPr>
          <w:rtl/>
        </w:rPr>
        <w:t xml:space="preserve">, שבה שימש משגיח בשלהי שנות </w:t>
      </w:r>
      <w:proofErr w:type="spellStart"/>
      <w:r>
        <w:rPr>
          <w:rtl/>
        </w:rPr>
        <w:t>הת״ר־פ</w:t>
      </w:r>
      <w:proofErr w:type="spellEnd"/>
      <w:r>
        <w:rPr>
          <w:rtl/>
        </w:rPr>
        <w:t xml:space="preserve">׳ ובראשית שנות </w:t>
      </w:r>
      <w:proofErr w:type="spellStart"/>
      <w:r>
        <w:rPr>
          <w:rtl/>
        </w:rPr>
        <w:t>הת״ר־צ</w:t>
      </w:r>
      <w:proofErr w:type="spellEnd"/>
      <w:r>
        <w:rPr>
          <w:rtl/>
        </w:rPr>
        <w:t xml:space="preserve">׳. וזו הגרסה: בתחילה הציע ר׳ </w:t>
      </w:r>
      <w:proofErr w:type="spellStart"/>
      <w:r>
        <w:rPr>
          <w:rtl/>
        </w:rPr>
        <w:t>איצל׳ה</w:t>
      </w:r>
      <w:proofErr w:type="spellEnd"/>
      <w:r>
        <w:rPr>
          <w:rtl/>
        </w:rPr>
        <w:t xml:space="preserve"> </w:t>
      </w:r>
      <w:proofErr w:type="spellStart"/>
      <w:r>
        <w:rPr>
          <w:rtl/>
        </w:rPr>
        <w:t>בלאזר</w:t>
      </w:r>
      <w:proofErr w:type="spellEnd"/>
      <w:r>
        <w:rPr>
          <w:rtl/>
        </w:rPr>
        <w:t xml:space="preserve"> להיות משגיח (!) בישיבה. </w:t>
      </w:r>
      <w:proofErr w:type="spellStart"/>
      <w:r>
        <w:rPr>
          <w:rtl/>
        </w:rPr>
        <w:t>משסורב</w:t>
      </w:r>
      <w:proofErr w:type="spellEnd"/>
      <w:r>
        <w:rPr>
          <w:rtl/>
        </w:rPr>
        <w:t xml:space="preserve">, ביקש רשות למסור דרשה וקיבל אותה. בדרשה הביא ר׳ </w:t>
      </w:r>
      <w:proofErr w:type="spellStart"/>
      <w:r>
        <w:rPr>
          <w:rtl/>
        </w:rPr>
        <w:t>איצל׳ה</w:t>
      </w:r>
      <w:proofErr w:type="spellEnd"/>
      <w:r>
        <w:rPr>
          <w:rtl/>
        </w:rPr>
        <w:t xml:space="preserve"> את הטיעון הרווח נגד המוסר</w:t>
      </w:r>
      <w:bookmarkStart w:id="5225" w:name="_fnr3898"/>
      <w:r>
        <w:rPr>
          <w:vertAlign w:val="superscript"/>
          <w:rtl/>
        </w:rPr>
        <w:footnoteReference w:id="3907" w:customMarkFollows="0"/>
      </w:r>
      <w:bookmarkEnd w:id="5225"/>
      <w:r>
        <w:rPr>
          <w:rtl/>
        </w:rPr>
        <w:t>: לימוד תורה מגן לחלוטין מפני יצר הרע, כפי שעולה לכאורה ממאמרי הגמרא במסכת קידושין</w:t>
      </w:r>
      <w:bookmarkStart w:id="5226" w:name="_fnr3899"/>
      <w:r>
        <w:rPr>
          <w:vertAlign w:val="superscript"/>
          <w:rtl/>
        </w:rPr>
        <w:footnoteReference w:id="3908" w:customMarkFollows="0"/>
      </w:r>
      <w:bookmarkEnd w:id="5226"/>
      <w:r>
        <w:rPr>
          <w:rtl/>
        </w:rPr>
        <w:t>: “תנו רבנן וכו׳ הקב״ה אמר להם לישראל בראתי יצר הרע ובראתי לו תורה תבלין”, וכן “תנא דבי ר׳ ישמעאל אם פגע בך מנוול זה משכהו לבית המדרש”.</w:t>
      </w:r>
    </w:p>
    <w:p w14:paraId="3585F412" w14:textId="77777777" w:rsidR="00AB3647" w:rsidRDefault="00000000" w:rsidP="007923E9">
      <w:pPr>
        <w:spacing w:after="120" w:line="276" w:lineRule="auto"/>
        <w:ind w:firstLine="283"/>
        <w:jc w:val="both"/>
      </w:pPr>
      <w:r>
        <w:rPr>
          <w:rtl/>
        </w:rPr>
        <w:t xml:space="preserve">ר׳ </w:t>
      </w:r>
      <w:proofErr w:type="spellStart"/>
      <w:r>
        <w:rPr>
          <w:rtl/>
        </w:rPr>
        <w:t>איצל׳ה</w:t>
      </w:r>
      <w:proofErr w:type="spellEnd"/>
      <w:r>
        <w:rPr>
          <w:rtl/>
        </w:rPr>
        <w:t xml:space="preserve"> דחה את הטיעון: הוא השווה את שתי דרכי המלחמה ביצר הרע – לימוד תורה ועבודת המוסר – לשתי דרכים לטיפול במחלה: סגולה שמציע בעל סוד, ותרופה שרושם רופא. “הסגולה”, אמר, “לא תשפיע כלל אלא אם יקיימו אותה בקפדנות עד לפרט האחרון. אם יש הוראה לחזור על לחש שבע פעמים, שש פעמים יהיו חסרות ערך לחלוטין; ואילו התרופה, גם כשנוטלים ממנה מנה קטנה מזו שרשם הרופא, תביא הקלה מסוימת. כך גם לימוד תורה הוא סגולה להשגת יראת שמים, ואילו המוסר הוא רפואה. אם לימוד התורה אינו שלם, כגון שהוא נלמד שלא לשמה, העצה התלמודית למלחמה </w:t>
      </w:r>
      <w:proofErr w:type="spellStart"/>
      <w:r>
        <w:rPr>
          <w:rtl/>
        </w:rPr>
        <w:t>ב‘מנוול</w:t>
      </w:r>
      <w:proofErr w:type="spellEnd"/>
      <w:r>
        <w:rPr>
          <w:rtl/>
        </w:rPr>
        <w:t xml:space="preserve">’ תהיה חסרת תועלת לחלוטין לשיפור יראת השמים של הלומד, ואילו אפילו כמויות מזעריות של מוסר יביאו שיפור מסוים.” ר׳ חיים עמד בחוץ ושמע את הדרשה, ואחר כך אמר </w:t>
      </w:r>
      <w:proofErr w:type="spellStart"/>
      <w:r>
        <w:rPr>
          <w:rtl/>
        </w:rPr>
        <w:t>לר</w:t>
      </w:r>
      <w:proofErr w:type="spellEnd"/>
      <w:r>
        <w:rPr>
          <w:rtl/>
        </w:rPr>
        <w:t xml:space="preserve">׳ </w:t>
      </w:r>
      <w:proofErr w:type="spellStart"/>
      <w:r>
        <w:rPr>
          <w:rtl/>
        </w:rPr>
        <w:t>איצל׳ה</w:t>
      </w:r>
      <w:proofErr w:type="spellEnd"/>
      <w:r>
        <w:rPr>
          <w:rtl/>
        </w:rPr>
        <w:t xml:space="preserve">: “אנו </w:t>
      </w:r>
      <w:proofErr w:type="spellStart"/>
      <w:r>
        <w:rPr>
          <w:rtl/>
        </w:rPr>
        <w:t>בוולוז׳ין</w:t>
      </w:r>
      <w:proofErr w:type="spellEnd"/>
      <w:r>
        <w:rPr>
          <w:rtl/>
        </w:rPr>
        <w:t xml:space="preserve"> איננו חולים [עד שנצטרך תרופות].”</w:t>
      </w:r>
    </w:p>
    <w:p w14:paraId="6EF128CF" w14:textId="77777777" w:rsidR="00AB3647" w:rsidRDefault="00000000" w:rsidP="007923E9">
      <w:pPr>
        <w:spacing w:after="120" w:line="276" w:lineRule="auto"/>
        <w:ind w:firstLine="283"/>
        <w:jc w:val="both"/>
      </w:pPr>
      <w:r>
        <w:rPr>
          <w:rtl/>
        </w:rPr>
        <w:t>בהערת אגב בשיעור הדף היומי</w:t>
      </w:r>
      <w:bookmarkStart w:id="5227" w:name="_fnr3900"/>
      <w:r>
        <w:rPr>
          <w:vertAlign w:val="superscript"/>
          <w:rtl/>
        </w:rPr>
        <w:footnoteReference w:id="3909" w:customMarkFollows="0"/>
      </w:r>
      <w:bookmarkEnd w:id="5227"/>
      <w:r>
        <w:rPr>
          <w:rtl/>
        </w:rPr>
        <w:t xml:space="preserve"> הסביר אבי מדוע, לפי ניסיוננו, הנוסחה “ובראתי לו תורה תבלין” אינה פועלת. הוא השתמש בנימוקו של ר׳ </w:t>
      </w:r>
      <w:proofErr w:type="spellStart"/>
      <w:r>
        <w:rPr>
          <w:rtl/>
        </w:rPr>
        <w:t>איצל׳ה</w:t>
      </w:r>
      <w:proofErr w:type="spellEnd"/>
      <w:r>
        <w:rPr>
          <w:rtl/>
        </w:rPr>
        <w:t xml:space="preserve"> – שסגולה יש לקיים בדקדוק כדי שתועיל – אבל במשל אחר: “אם מרשם הסגולה דורש ליטול את </w:t>
      </w:r>
      <w:proofErr w:type="spellStart"/>
      <w:r>
        <w:rPr>
          <w:rtl/>
        </w:rPr>
        <w:t>ה‘תבלין</w:t>
      </w:r>
      <w:proofErr w:type="spellEnd"/>
      <w:r>
        <w:rPr>
          <w:rtl/>
        </w:rPr>
        <w:t xml:space="preserve">’ בכף זהב”, </w:t>
      </w:r>
      <w:r>
        <w:rPr>
          <w:rtl/>
        </w:rPr>
        <w:lastRenderedPageBreak/>
        <w:t xml:space="preserve">אמר, “הוא לא יפעל אם ייטלו אותו בכף כסף; כך יש ללמוד תורה לשמה כדי שתפעל נגד יצר הרע.” גם בהלכה אימץ אבי את הגישה שעניינים סגוליים פועלים רק כשמקיימים אותם בדיוק כפי שנמסרו: לפי ר׳ פרץ </w:t>
      </w:r>
      <w:proofErr w:type="spellStart"/>
      <w:r>
        <w:rPr>
          <w:rtl/>
        </w:rPr>
        <w:t>פוזן</w:t>
      </w:r>
      <w:bookmarkStart w:id="5228" w:name="_fnr3901"/>
      <w:proofErr w:type="spellEnd"/>
      <w:r>
        <w:rPr>
          <w:vertAlign w:val="superscript"/>
          <w:rtl/>
        </w:rPr>
        <w:footnoteReference w:id="3910" w:customMarkFollows="0"/>
      </w:r>
      <w:bookmarkEnd w:id="5228"/>
      <w:r>
        <w:rPr>
          <w:rtl/>
        </w:rPr>
        <w:t>, פסק אבי שהחשש לרוח רעה בבצל ושום חתוכים שנשארו במשך הלילה</w:t>
      </w:r>
      <w:bookmarkStart w:id="5229" w:name="_fnr3902"/>
      <w:r>
        <w:rPr>
          <w:vertAlign w:val="superscript"/>
          <w:rtl/>
        </w:rPr>
        <w:footnoteReference w:id="3911" w:customMarkFollows="0"/>
      </w:r>
      <w:bookmarkEnd w:id="5229"/>
      <w:r>
        <w:rPr>
          <w:rtl/>
        </w:rPr>
        <w:t xml:space="preserve"> אינו מונע שימוש באבקות בצל ושום.</w:t>
      </w:r>
    </w:p>
    <w:p w14:paraId="34B777F9" w14:textId="77777777" w:rsidR="00AB3647" w:rsidRDefault="00000000" w:rsidP="007923E9">
      <w:pPr>
        <w:spacing w:after="120" w:line="276" w:lineRule="auto"/>
        <w:ind w:firstLine="283"/>
        <w:jc w:val="both"/>
      </w:pPr>
      <w:r>
        <w:rPr>
          <w:rtl/>
        </w:rPr>
        <w:t xml:space="preserve">כשהמשכתי לבדוק את הדיווח על חילופי דברים אלה בין ר׳ חיים </w:t>
      </w:r>
      <w:proofErr w:type="spellStart"/>
      <w:r>
        <w:rPr>
          <w:rtl/>
        </w:rPr>
        <w:t>לר</w:t>
      </w:r>
      <w:proofErr w:type="spellEnd"/>
      <w:r>
        <w:rPr>
          <w:rtl/>
        </w:rPr>
        <w:t xml:space="preserve">׳ </w:t>
      </w:r>
      <w:proofErr w:type="spellStart"/>
      <w:r>
        <w:rPr>
          <w:rtl/>
        </w:rPr>
        <w:t>איצל׳ה</w:t>
      </w:r>
      <w:proofErr w:type="spellEnd"/>
      <w:r>
        <w:rPr>
          <w:rtl/>
        </w:rPr>
        <w:t xml:space="preserve">, גיליתי שר׳ יצחק־זאב, רבה האחרון של </w:t>
      </w:r>
      <w:proofErr w:type="spellStart"/>
      <w:r>
        <w:rPr>
          <w:rtl/>
        </w:rPr>
        <w:t>בריסק</w:t>
      </w:r>
      <w:proofErr w:type="spellEnd"/>
      <w:r>
        <w:rPr>
          <w:rtl/>
        </w:rPr>
        <w:t xml:space="preserve">, סיפר שגם אביו ר׳ חיים חלק על ההנחה שהניח ר׳ </w:t>
      </w:r>
      <w:proofErr w:type="spellStart"/>
      <w:r>
        <w:rPr>
          <w:rtl/>
        </w:rPr>
        <w:t>איצל׳ה</w:t>
      </w:r>
      <w:proofErr w:type="spellEnd"/>
      <w:r>
        <w:rPr>
          <w:rtl/>
        </w:rPr>
        <w:t xml:space="preserve"> </w:t>
      </w:r>
      <w:proofErr w:type="spellStart"/>
      <w:r>
        <w:rPr>
          <w:rtl/>
        </w:rPr>
        <w:t>בלאזר</w:t>
      </w:r>
      <w:proofErr w:type="spellEnd"/>
      <w:r>
        <w:rPr>
          <w:rtl/>
        </w:rPr>
        <w:t>, שהתורה היא סגולה בלבד נגד יצר הרע. ר׳ חיים הוכיח מן ההקבלה שבגמרא בין לימוד תורה לתבלין שהתורה אינה סגולה בלבד, אלא יש בה תכונות של רפואה. “אין בתבלין שום דבר מטפיזי”, אמר ר׳ חיים, לפי המסופר.</w:t>
      </w:r>
    </w:p>
    <w:p w14:paraId="7D825F26" w14:textId="77777777" w:rsidR="00AB3647" w:rsidRDefault="00000000" w:rsidP="007923E9">
      <w:pPr>
        <w:spacing w:after="120" w:line="276" w:lineRule="auto"/>
        <w:ind w:firstLine="283"/>
        <w:jc w:val="both"/>
      </w:pPr>
      <w:r>
        <w:rPr>
          <w:rtl/>
        </w:rPr>
        <w:t xml:space="preserve">אפשר להציע שכל שלושת הדיווחים על המאורעות </w:t>
      </w:r>
      <w:proofErr w:type="spellStart"/>
      <w:r>
        <w:rPr>
          <w:rtl/>
        </w:rPr>
        <w:t>בוולוז׳ין</w:t>
      </w:r>
      <w:proofErr w:type="spellEnd"/>
      <w:r>
        <w:rPr>
          <w:rtl/>
        </w:rPr>
        <w:t xml:space="preserve"> נכונים, אלא שמאורעות ביקורו של ר׳ </w:t>
      </w:r>
      <w:proofErr w:type="spellStart"/>
      <w:r>
        <w:rPr>
          <w:rtl/>
        </w:rPr>
        <w:t>איצל׳ה</w:t>
      </w:r>
      <w:proofErr w:type="spellEnd"/>
      <w:r>
        <w:rPr>
          <w:rtl/>
        </w:rPr>
        <w:t xml:space="preserve"> התרחשו בסדר הפוך מזה שהובאו בו לעיל. תחילה אמר ר׳ חיים </w:t>
      </w:r>
      <w:proofErr w:type="spellStart"/>
      <w:r>
        <w:rPr>
          <w:rtl/>
        </w:rPr>
        <w:t>לר</w:t>
      </w:r>
      <w:proofErr w:type="spellEnd"/>
      <w:r>
        <w:rPr>
          <w:rtl/>
        </w:rPr>
        <w:t xml:space="preserve">׳ </w:t>
      </w:r>
      <w:proofErr w:type="spellStart"/>
      <w:r>
        <w:rPr>
          <w:rtl/>
        </w:rPr>
        <w:t>איצל׳ה</w:t>
      </w:r>
      <w:proofErr w:type="spellEnd"/>
      <w:r>
        <w:rPr>
          <w:rtl/>
        </w:rPr>
        <w:t xml:space="preserve">: “אנו </w:t>
      </w:r>
      <w:proofErr w:type="spellStart"/>
      <w:r>
        <w:rPr>
          <w:rtl/>
        </w:rPr>
        <w:t>בוולוז׳ין</w:t>
      </w:r>
      <w:proofErr w:type="spellEnd"/>
      <w:r>
        <w:rPr>
          <w:rtl/>
        </w:rPr>
        <w:t xml:space="preserve"> איננו חולים” (3). אז טען ר׳ </w:t>
      </w:r>
      <w:proofErr w:type="spellStart"/>
      <w:r>
        <w:rPr>
          <w:rtl/>
        </w:rPr>
        <w:t>איצל׳ה</w:t>
      </w:r>
      <w:proofErr w:type="spellEnd"/>
      <w:r>
        <w:rPr>
          <w:rtl/>
        </w:rPr>
        <w:t xml:space="preserve"> שכדאי ללמוד מוסר, למקרה שיש בין התלמידים כמה “חולים”, ור׳ חיים השיב בהשוואה לשמן קיק: הישיבה כולה, בהיותה “בריאה”, תינזק מן המוסר (2). אחר כך בא </w:t>
      </w:r>
      <w:proofErr w:type="spellStart"/>
      <w:r>
        <w:rPr>
          <w:rtl/>
        </w:rPr>
        <w:t>הנצי״ב</w:t>
      </w:r>
      <w:proofErr w:type="spellEnd"/>
      <w:r>
        <w:rPr>
          <w:rtl/>
        </w:rPr>
        <w:t xml:space="preserve"> וציווה על ר׳ </w:t>
      </w:r>
      <w:proofErr w:type="spellStart"/>
      <w:r>
        <w:rPr>
          <w:rtl/>
        </w:rPr>
        <w:t>איצל׳ה</w:t>
      </w:r>
      <w:proofErr w:type="spellEnd"/>
      <w:r>
        <w:rPr>
          <w:rtl/>
        </w:rPr>
        <w:t xml:space="preserve"> לעזוב את העיר (1). יש להניח שראש הישיבה נעדר במקרה </w:t>
      </w:r>
      <w:proofErr w:type="spellStart"/>
      <w:r>
        <w:rPr>
          <w:rtl/>
        </w:rPr>
        <w:t>מוולוז׳ין</w:t>
      </w:r>
      <w:proofErr w:type="spellEnd"/>
      <w:r>
        <w:rPr>
          <w:rtl/>
        </w:rPr>
        <w:t xml:space="preserve"> כשהגיע ר׳ </w:t>
      </w:r>
      <w:proofErr w:type="spellStart"/>
      <w:r>
        <w:rPr>
          <w:rtl/>
        </w:rPr>
        <w:t>איצל׳ה</w:t>
      </w:r>
      <w:proofErr w:type="spellEnd"/>
      <w:r>
        <w:rPr>
          <w:rtl/>
        </w:rPr>
        <w:t xml:space="preserve"> לראשונה; אחרת לא היו מתירים </w:t>
      </w:r>
      <w:proofErr w:type="spellStart"/>
      <w:r>
        <w:rPr>
          <w:rtl/>
        </w:rPr>
        <w:t>לר</w:t>
      </w:r>
      <w:proofErr w:type="spellEnd"/>
      <w:r>
        <w:rPr>
          <w:rtl/>
        </w:rPr>
        <w:t xml:space="preserve">׳ </w:t>
      </w:r>
      <w:proofErr w:type="spellStart"/>
      <w:r>
        <w:rPr>
          <w:rtl/>
        </w:rPr>
        <w:t>איצל׳ה</w:t>
      </w:r>
      <w:proofErr w:type="spellEnd"/>
      <w:r>
        <w:rPr>
          <w:rtl/>
        </w:rPr>
        <w:t xml:space="preserve"> </w:t>
      </w:r>
      <w:proofErr w:type="spellStart"/>
      <w:r>
        <w:rPr>
          <w:rtl/>
        </w:rPr>
        <w:t>בלאזר</w:t>
      </w:r>
      <w:proofErr w:type="spellEnd"/>
      <w:r>
        <w:rPr>
          <w:rtl/>
        </w:rPr>
        <w:t xml:space="preserve"> למסור את הדרשה מלכתחילה.</w:t>
      </w:r>
      <w:bookmarkStart w:id="5230" w:name="_fnr3903"/>
      <w:r>
        <w:rPr>
          <w:vertAlign w:val="superscript"/>
          <w:rtl/>
        </w:rPr>
        <w:footnoteReference w:id="3912" w:customMarkFollows="0"/>
      </w:r>
      <w:bookmarkEnd w:id="5230"/>
    </w:p>
    <w:p w14:paraId="0D8930E4" w14:textId="77777777" w:rsidR="00AB3647" w:rsidRDefault="00000000" w:rsidP="007923E9">
      <w:pPr>
        <w:spacing w:after="120" w:line="276" w:lineRule="auto"/>
        <w:ind w:firstLine="283"/>
        <w:jc w:val="both"/>
      </w:pPr>
      <w:r>
        <w:rPr>
          <w:rtl/>
        </w:rPr>
        <w:t xml:space="preserve">אין ספק שר׳ </w:t>
      </w:r>
      <w:proofErr w:type="spellStart"/>
      <w:r>
        <w:rPr>
          <w:rtl/>
        </w:rPr>
        <w:t>איצל׳ה</w:t>
      </w:r>
      <w:proofErr w:type="spellEnd"/>
      <w:r>
        <w:rPr>
          <w:rtl/>
        </w:rPr>
        <w:t xml:space="preserve"> </w:t>
      </w:r>
      <w:proofErr w:type="spellStart"/>
      <w:r>
        <w:rPr>
          <w:rtl/>
        </w:rPr>
        <w:t>בלאזר</w:t>
      </w:r>
      <w:proofErr w:type="spellEnd"/>
      <w:r>
        <w:rPr>
          <w:rtl/>
        </w:rPr>
        <w:t xml:space="preserve"> הכיר את מסורת ההתנגדות למוסר </w:t>
      </w:r>
      <w:proofErr w:type="spellStart"/>
      <w:r>
        <w:rPr>
          <w:rtl/>
        </w:rPr>
        <w:t>בוולוז׳ין</w:t>
      </w:r>
      <w:proofErr w:type="spellEnd"/>
      <w:r>
        <w:rPr>
          <w:rtl/>
        </w:rPr>
        <w:t xml:space="preserve"> מאז ייסודה, כפי שמלמדים הדברים המצוטטים בשמו </w:t>
      </w:r>
      <w:proofErr w:type="spellStart"/>
      <w:r>
        <w:rPr>
          <w:rtl/>
        </w:rPr>
        <w:t>ב“כוכבי</w:t>
      </w:r>
      <w:proofErr w:type="spellEnd"/>
      <w:r>
        <w:rPr>
          <w:rtl/>
        </w:rPr>
        <w:t xml:space="preserve"> אור”</w:t>
      </w:r>
      <w:bookmarkStart w:id="5231" w:name="_fnr3904"/>
      <w:r>
        <w:rPr>
          <w:vertAlign w:val="superscript"/>
          <w:rtl/>
        </w:rPr>
        <w:footnoteReference w:id="3913" w:customMarkFollows="0"/>
      </w:r>
      <w:bookmarkEnd w:id="5231"/>
      <w:r>
        <w:rPr>
          <w:rtl/>
        </w:rPr>
        <w:t xml:space="preserve">: “ר׳ חיים </w:t>
      </w:r>
      <w:proofErr w:type="spellStart"/>
      <w:r>
        <w:rPr>
          <w:rtl/>
        </w:rPr>
        <w:t>מוולוז׳ין</w:t>
      </w:r>
      <w:proofErr w:type="spellEnd"/>
      <w:r>
        <w:rPr>
          <w:rtl/>
        </w:rPr>
        <w:t xml:space="preserve"> אמר פעם שהיצר הרע בא בערמה ואומר [לתלמיד]: ‘דבר עליי ככל שתרצה, ובלבד שתתבטל מלימוד התורה’;</w:t>
      </w:r>
      <w:bookmarkStart w:id="5232" w:name="_fnr3905"/>
      <w:r>
        <w:rPr>
          <w:vertAlign w:val="superscript"/>
          <w:rtl/>
        </w:rPr>
        <w:footnoteReference w:id="3914" w:customMarkFollows="0"/>
      </w:r>
      <w:bookmarkEnd w:id="5232"/>
      <w:r>
        <w:rPr>
          <w:rtl/>
        </w:rPr>
        <w:t xml:space="preserve"> אבל אני אומר: הדבר היה נכון באותם ימים. בדורנו אומר היצר הרע: ‘למד, למד; רק אל תדבר עליי’.”</w:t>
      </w:r>
    </w:p>
    <w:p w14:paraId="63254682" w14:textId="77777777" w:rsidR="00AB3647" w:rsidRDefault="00000000" w:rsidP="007923E9">
      <w:pPr>
        <w:pStyle w:val="4"/>
        <w:spacing w:line="276" w:lineRule="auto"/>
      </w:pPr>
      <w:r>
        <w:t>· הפסקה השנייה ·</w:t>
      </w:r>
    </w:p>
    <w:p w14:paraId="280EE576" w14:textId="77777777" w:rsidR="00AB3647" w:rsidRDefault="00000000" w:rsidP="007923E9">
      <w:pPr>
        <w:pStyle w:val="5"/>
        <w:spacing w:line="276" w:lineRule="auto"/>
      </w:pPr>
      <w:r>
        <w:rPr>
          <w:bCs/>
          <w:szCs w:val="26"/>
        </w:rPr>
        <w:t xml:space="preserve">יש לברר את מועד ביקור ר׳ </w:t>
      </w:r>
      <w:proofErr w:type="spellStart"/>
      <w:r>
        <w:rPr>
          <w:bCs/>
          <w:szCs w:val="26"/>
        </w:rPr>
        <w:t>איצל׳ה</w:t>
      </w:r>
      <w:proofErr w:type="spellEnd"/>
      <w:r>
        <w:rPr>
          <w:bCs/>
          <w:szCs w:val="26"/>
        </w:rPr>
        <w:t xml:space="preserve"> </w:t>
      </w:r>
      <w:proofErr w:type="spellStart"/>
      <w:r>
        <w:rPr>
          <w:bCs/>
          <w:szCs w:val="26"/>
        </w:rPr>
        <w:t>בלאזר</w:t>
      </w:r>
      <w:proofErr w:type="spellEnd"/>
      <w:r>
        <w:rPr>
          <w:bCs/>
          <w:szCs w:val="26"/>
        </w:rPr>
        <w:t xml:space="preserve"> </w:t>
      </w:r>
      <w:proofErr w:type="spellStart"/>
      <w:r>
        <w:rPr>
          <w:bCs/>
          <w:szCs w:val="26"/>
        </w:rPr>
        <w:t>בוולוז׳ין</w:t>
      </w:r>
      <w:proofErr w:type="spellEnd"/>
      <w:r>
        <w:rPr>
          <w:bCs/>
          <w:szCs w:val="26"/>
        </w:rPr>
        <w:t xml:space="preserve">; תלמידים שסרו מן הדרך נמצאו </w:t>
      </w:r>
      <w:proofErr w:type="spellStart"/>
      <w:r>
        <w:rPr>
          <w:bCs/>
          <w:szCs w:val="26"/>
        </w:rPr>
        <w:t>בוולוז׳ין</w:t>
      </w:r>
      <w:proofErr w:type="spellEnd"/>
      <w:r>
        <w:rPr>
          <w:bCs/>
          <w:szCs w:val="26"/>
        </w:rPr>
        <w:t xml:space="preserve"> לאורך כל תקופת שהותו של ר׳ חיים </w:t>
      </w:r>
      <w:proofErr w:type="spellStart"/>
      <w:r>
        <w:rPr>
          <w:bCs/>
          <w:szCs w:val="26"/>
        </w:rPr>
        <w:t>סולובייצ׳יק</w:t>
      </w:r>
      <w:proofErr w:type="spellEnd"/>
      <w:r>
        <w:rPr>
          <w:bCs/>
          <w:szCs w:val="26"/>
        </w:rPr>
        <w:t xml:space="preserve"> שם.</w:t>
      </w:r>
    </w:p>
    <w:p w14:paraId="5E85997C" w14:textId="77777777" w:rsidR="00AB3647" w:rsidRDefault="00000000" w:rsidP="007923E9">
      <w:pPr>
        <w:spacing w:after="120" w:line="276" w:lineRule="auto"/>
        <w:ind w:firstLine="283"/>
        <w:jc w:val="both"/>
      </w:pPr>
      <w:r>
        <w:rPr>
          <w:rtl/>
        </w:rPr>
        <w:t xml:space="preserve">זמן רב לא היה ברור לי מתי ביקר ר׳ </w:t>
      </w:r>
      <w:proofErr w:type="spellStart"/>
      <w:r>
        <w:rPr>
          <w:rtl/>
        </w:rPr>
        <w:t>איצל׳ה</w:t>
      </w:r>
      <w:proofErr w:type="spellEnd"/>
      <w:r>
        <w:rPr>
          <w:rtl/>
        </w:rPr>
        <w:t xml:space="preserve"> </w:t>
      </w:r>
      <w:proofErr w:type="spellStart"/>
      <w:r>
        <w:rPr>
          <w:rtl/>
        </w:rPr>
        <w:t>בוולוז׳ין</w:t>
      </w:r>
      <w:proofErr w:type="spellEnd"/>
      <w:r>
        <w:rPr>
          <w:rtl/>
        </w:rPr>
        <w:t>. כץ, “תנועת המוסר”, כרך ב</w:t>
      </w:r>
      <w:bookmarkStart w:id="5233" w:name="_fnr3906"/>
      <w:r>
        <w:rPr>
          <w:vertAlign w:val="superscript"/>
          <w:rtl/>
        </w:rPr>
        <w:footnoteReference w:id="3915" w:customMarkFollows="0"/>
      </w:r>
      <w:bookmarkEnd w:id="5233"/>
      <w:r>
        <w:rPr>
          <w:rtl/>
        </w:rPr>
        <w:t xml:space="preserve">, בהיעדר מידע ממשי על מועד המאורע, משאיר אותו תלוי בחלל הכרונולוגי: הוא אינו מציין תאריך, ומתאר את הביקור אחרי אזכור מאורעות שהתרחשו לאחר סגירת ישיבת </w:t>
      </w:r>
      <w:proofErr w:type="spellStart"/>
      <w:r>
        <w:rPr>
          <w:rtl/>
        </w:rPr>
        <w:t>וולוז׳ין</w:t>
      </w:r>
      <w:proofErr w:type="spellEnd"/>
      <w:r>
        <w:rPr>
          <w:rtl/>
        </w:rPr>
        <w:t xml:space="preserve">! </w:t>
      </w:r>
      <w:proofErr w:type="spellStart"/>
      <w:r>
        <w:rPr>
          <w:rtl/>
        </w:rPr>
        <w:lastRenderedPageBreak/>
        <w:t>ב“פולמוס</w:t>
      </w:r>
      <w:proofErr w:type="spellEnd"/>
      <w:r>
        <w:rPr>
          <w:rtl/>
        </w:rPr>
        <w:t>”</w:t>
      </w:r>
      <w:bookmarkStart w:id="5234" w:name="_fnr3907"/>
      <w:r>
        <w:rPr>
          <w:vertAlign w:val="superscript"/>
          <w:rtl/>
        </w:rPr>
        <w:footnoteReference w:id="3916" w:customMarkFollows="0"/>
      </w:r>
      <w:bookmarkEnd w:id="5234"/>
      <w:r>
        <w:rPr>
          <w:rtl/>
        </w:rPr>
        <w:t xml:space="preserve">, מאת אותו מחבר, מתוארך המפגש בעמימות: “באחד הימים בא ר׳ </w:t>
      </w:r>
      <w:proofErr w:type="spellStart"/>
      <w:r>
        <w:rPr>
          <w:rtl/>
        </w:rPr>
        <w:t>איצל׳ה</w:t>
      </w:r>
      <w:proofErr w:type="spellEnd"/>
      <w:r>
        <w:rPr>
          <w:rtl/>
        </w:rPr>
        <w:t xml:space="preserve"> לישיבת </w:t>
      </w:r>
      <w:proofErr w:type="spellStart"/>
      <w:r>
        <w:rPr>
          <w:rtl/>
        </w:rPr>
        <w:t>וולוז׳ין</w:t>
      </w:r>
      <w:proofErr w:type="spellEnd"/>
      <w:r>
        <w:rPr>
          <w:rtl/>
        </w:rPr>
        <w:t xml:space="preserve"> והציע </w:t>
      </w:r>
      <w:proofErr w:type="spellStart"/>
      <w:r>
        <w:rPr>
          <w:rtl/>
        </w:rPr>
        <w:t>לר</w:t>
      </w:r>
      <w:proofErr w:type="spellEnd"/>
      <w:r>
        <w:rPr>
          <w:rtl/>
        </w:rPr>
        <w:t xml:space="preserve">׳ חיים, שעמד אז בראשה (ההדגשה שלי), </w:t>
      </w:r>
      <w:proofErr w:type="spellStart"/>
      <w:r>
        <w:rPr>
          <w:rtl/>
        </w:rPr>
        <w:t>וכו</w:t>
      </w:r>
      <w:proofErr w:type="spellEnd"/>
      <w:r>
        <w:rPr>
          <w:rtl/>
        </w:rPr>
        <w:t>׳”.</w:t>
      </w:r>
      <w:bookmarkStart w:id="5235" w:name="_fnr3908"/>
      <w:r>
        <w:rPr>
          <w:vertAlign w:val="superscript"/>
          <w:rtl/>
        </w:rPr>
        <w:footnoteReference w:id="3917" w:customMarkFollows="0"/>
      </w:r>
      <w:bookmarkEnd w:id="5235"/>
    </w:p>
    <w:p w14:paraId="465E1E09" w14:textId="77777777" w:rsidR="00AB3647" w:rsidRDefault="00000000" w:rsidP="007923E9">
      <w:pPr>
        <w:spacing w:after="120" w:line="276" w:lineRule="auto"/>
        <w:ind w:firstLine="283"/>
        <w:jc w:val="both"/>
      </w:pPr>
      <w:r>
        <w:rPr>
          <w:rtl/>
        </w:rPr>
        <w:t xml:space="preserve">אם נניח בצד את שאלת המועד המדויק של הביקור, אבחנתו של ר׳ </w:t>
      </w:r>
      <w:proofErr w:type="spellStart"/>
      <w:r>
        <w:rPr>
          <w:rtl/>
        </w:rPr>
        <w:t>איצל׳ה</w:t>
      </w:r>
      <w:proofErr w:type="spellEnd"/>
      <w:r>
        <w:rPr>
          <w:rtl/>
        </w:rPr>
        <w:t xml:space="preserve"> – שבקרב תלמידי </w:t>
      </w:r>
      <w:proofErr w:type="spellStart"/>
      <w:r>
        <w:rPr>
          <w:rtl/>
        </w:rPr>
        <w:t>וולוז׳ין</w:t>
      </w:r>
      <w:proofErr w:type="spellEnd"/>
      <w:r>
        <w:rPr>
          <w:rtl/>
        </w:rPr>
        <w:t xml:space="preserve"> היו מוקדים של חולי רוחני, גם אם שוליים, כפי שיתברר להלן – נכונה מבחינה היסטורית לכל תקופה בכהונתו של ר׳ חיים באותה ישיבה. כך מלמדים המקורות הבאים, המובאים בסדר כרונולוגי:</w:t>
      </w:r>
    </w:p>
    <w:p w14:paraId="23B32001" w14:textId="77777777" w:rsidR="00AB3647" w:rsidRDefault="00000000" w:rsidP="007923E9">
      <w:pPr>
        <w:spacing w:after="120" w:line="276" w:lineRule="auto"/>
        <w:ind w:firstLine="283"/>
        <w:jc w:val="both"/>
      </w:pPr>
      <w:r>
        <w:rPr>
          <w:rtl/>
        </w:rPr>
        <w:t xml:space="preserve">* </w:t>
      </w:r>
      <w:proofErr w:type="spellStart"/>
      <w:r>
        <w:rPr>
          <w:rtl/>
        </w:rPr>
        <w:t>אליהו־זאב</w:t>
      </w:r>
      <w:proofErr w:type="spellEnd"/>
      <w:r>
        <w:rPr>
          <w:rtl/>
        </w:rPr>
        <w:t xml:space="preserve"> </w:t>
      </w:r>
      <w:proofErr w:type="spellStart"/>
      <w:r>
        <w:rPr>
          <w:rtl/>
        </w:rPr>
        <w:t>לוין־אפשטיין</w:t>
      </w:r>
      <w:proofErr w:type="spellEnd"/>
      <w:r>
        <w:rPr>
          <w:rtl/>
        </w:rPr>
        <w:t xml:space="preserve"> מספר </w:t>
      </w:r>
      <w:proofErr w:type="spellStart"/>
      <w:r>
        <w:rPr>
          <w:rtl/>
        </w:rPr>
        <w:t>ב“זכרונותי</w:t>
      </w:r>
      <w:proofErr w:type="spellEnd"/>
      <w:r>
        <w:rPr>
          <w:rtl/>
        </w:rPr>
        <w:t>”</w:t>
      </w:r>
      <w:bookmarkStart w:id="5236" w:name="_fnr3909"/>
      <w:r>
        <w:rPr>
          <w:vertAlign w:val="superscript"/>
          <w:rtl/>
        </w:rPr>
        <w:footnoteReference w:id="3918" w:customMarkFollows="0"/>
      </w:r>
      <w:bookmarkEnd w:id="5236"/>
      <w:r>
        <w:rPr>
          <w:rtl/>
        </w:rPr>
        <w:t xml:space="preserve"> שהקריאה החשאית ברומנים הייתה עיסוק נפוץ כל כך, עד שמונה שמש, יהודי פשוט בשם </w:t>
      </w:r>
      <w:proofErr w:type="spellStart"/>
      <w:r>
        <w:rPr>
          <w:rtl/>
        </w:rPr>
        <w:t>הירשל־שייקה</w:t>
      </w:r>
      <w:proofErr w:type="spellEnd"/>
      <w:r>
        <w:rPr>
          <w:rtl/>
        </w:rPr>
        <w:t>, לפקח על מגורי התלמידים ולעקור מהם ספרות “</w:t>
      </w:r>
      <w:proofErr w:type="spellStart"/>
      <w:r>
        <w:rPr>
          <w:rtl/>
        </w:rPr>
        <w:t>טרייף־פסול</w:t>
      </w:r>
      <w:proofErr w:type="spellEnd"/>
      <w:r>
        <w:rPr>
          <w:rtl/>
        </w:rPr>
        <w:t>”.</w:t>
      </w:r>
    </w:p>
    <w:p w14:paraId="29DF8CF3" w14:textId="77777777" w:rsidR="00AB3647" w:rsidRDefault="00000000" w:rsidP="007923E9">
      <w:pPr>
        <w:spacing w:after="120" w:line="276" w:lineRule="auto"/>
        <w:ind w:firstLine="283"/>
        <w:jc w:val="both"/>
      </w:pPr>
      <w:bookmarkStart w:id="5237" w:name="pr_b_2213"/>
      <w:bookmarkEnd w:id="5237"/>
      <w:proofErr w:type="spellStart"/>
      <w:r>
        <w:rPr>
          <w:rtl/>
        </w:rPr>
        <w:t>לוין־אפשטיין</w:t>
      </w:r>
      <w:proofErr w:type="spellEnd"/>
      <w:r>
        <w:rPr>
          <w:rtl/>
        </w:rPr>
        <w:t xml:space="preserve"> בא </w:t>
      </w:r>
      <w:proofErr w:type="spellStart"/>
      <w:r>
        <w:rPr>
          <w:rtl/>
        </w:rPr>
        <w:t>מווילקובישק</w:t>
      </w:r>
      <w:proofErr w:type="spellEnd"/>
      <w:r>
        <w:rPr>
          <w:rtl/>
        </w:rPr>
        <w:t xml:space="preserve"> ללמוד </w:t>
      </w:r>
      <w:proofErr w:type="spellStart"/>
      <w:r>
        <w:rPr>
          <w:rtl/>
        </w:rPr>
        <w:t>בוולוז׳ין</w:t>
      </w:r>
      <w:proofErr w:type="spellEnd"/>
      <w:r>
        <w:rPr>
          <w:rtl/>
        </w:rPr>
        <w:t xml:space="preserve"> </w:t>
      </w:r>
      <w:proofErr w:type="spellStart"/>
      <w:r>
        <w:rPr>
          <w:rtl/>
        </w:rPr>
        <w:t>בתרל״ז</w:t>
      </w:r>
      <w:proofErr w:type="spellEnd"/>
      <w:r>
        <w:rPr>
          <w:rtl/>
        </w:rPr>
        <w:t xml:space="preserve">, ארבע שנים אחרי שר׳ חיים נשא אישה ממשפחת ישיבת </w:t>
      </w:r>
      <w:proofErr w:type="spellStart"/>
      <w:r>
        <w:rPr>
          <w:rtl/>
        </w:rPr>
        <w:t>וולוז׳ין</w:t>
      </w:r>
      <w:proofErr w:type="spellEnd"/>
      <w:r>
        <w:rPr>
          <w:rtl/>
        </w:rPr>
        <w:t xml:space="preserve">, ובזמן שעדיין המשיך “לאכול </w:t>
      </w:r>
      <w:proofErr w:type="spellStart"/>
      <w:r>
        <w:rPr>
          <w:rtl/>
        </w:rPr>
        <w:t>קעסט</w:t>
      </w:r>
      <w:proofErr w:type="spellEnd"/>
      <w:r>
        <w:rPr>
          <w:rtl/>
        </w:rPr>
        <w:t>” בעיר.</w:t>
      </w:r>
      <w:bookmarkStart w:id="5238" w:name="_fnr3910"/>
      <w:r>
        <w:rPr>
          <w:vertAlign w:val="superscript"/>
          <w:rtl/>
        </w:rPr>
        <w:footnoteReference w:id="3919" w:customMarkFollows="0"/>
      </w:r>
      <w:bookmarkEnd w:id="5238"/>
    </w:p>
    <w:p w14:paraId="002EFDCE" w14:textId="77777777" w:rsidR="00AB3647" w:rsidRDefault="00000000" w:rsidP="007923E9">
      <w:pPr>
        <w:spacing w:after="120" w:line="276" w:lineRule="auto"/>
        <w:ind w:firstLine="283"/>
        <w:jc w:val="both"/>
      </w:pPr>
      <w:r>
        <w:rPr>
          <w:rtl/>
        </w:rPr>
        <w:t xml:space="preserve">* </w:t>
      </w:r>
      <w:proofErr w:type="spellStart"/>
      <w:r>
        <w:rPr>
          <w:rtl/>
        </w:rPr>
        <w:t>צינוביץ</w:t>
      </w:r>
      <w:proofErr w:type="spellEnd"/>
      <w:r>
        <w:rPr>
          <w:rtl/>
        </w:rPr>
        <w:t>, “עץ חיים”</w:t>
      </w:r>
      <w:bookmarkStart w:id="5239" w:name="_fnr3911"/>
      <w:r>
        <w:rPr>
          <w:vertAlign w:val="superscript"/>
          <w:rtl/>
        </w:rPr>
        <w:footnoteReference w:id="3920" w:customMarkFollows="0"/>
      </w:r>
      <w:bookmarkEnd w:id="5239"/>
      <w:r>
        <w:rPr>
          <w:rtl/>
        </w:rPr>
        <w:t xml:space="preserve">, מספר שמלשין שלח </w:t>
      </w:r>
      <w:proofErr w:type="spellStart"/>
      <w:r>
        <w:rPr>
          <w:rtl/>
        </w:rPr>
        <w:t>מוולוז׳ין</w:t>
      </w:r>
      <w:proofErr w:type="spellEnd"/>
      <w:r>
        <w:rPr>
          <w:rtl/>
        </w:rPr>
        <w:t xml:space="preserve"> מכתב לפטרבורג, ובו טען שראש הישיבה, </w:t>
      </w:r>
      <w:proofErr w:type="spellStart"/>
      <w:r>
        <w:rPr>
          <w:rtl/>
        </w:rPr>
        <w:t>הנצי״ב</w:t>
      </w:r>
      <w:proofErr w:type="spellEnd"/>
      <w:r>
        <w:rPr>
          <w:rtl/>
        </w:rPr>
        <w:t xml:space="preserve">, מכניס למדינה שלא כחוק סכומי כסף גדולים, ובכללם כסף מזויף. בפשיטה שערכו אנשי השלטון בבית </w:t>
      </w:r>
      <w:proofErr w:type="spellStart"/>
      <w:r>
        <w:rPr>
          <w:rtl/>
        </w:rPr>
        <w:t>הנצי״ב</w:t>
      </w:r>
      <w:proofErr w:type="spellEnd"/>
      <w:r>
        <w:rPr>
          <w:rtl/>
        </w:rPr>
        <w:t xml:space="preserve"> נמצא מכתב ברוח זו בין ניירותיו האישיים, והוא נעצר. רק שגיאה קטנה של הזייפן מנעה אסון: </w:t>
      </w:r>
      <w:proofErr w:type="spellStart"/>
      <w:r>
        <w:rPr>
          <w:rtl/>
        </w:rPr>
        <w:t>הנצי״ב</w:t>
      </w:r>
      <w:proofErr w:type="spellEnd"/>
      <w:r>
        <w:rPr>
          <w:rtl/>
        </w:rPr>
        <w:t xml:space="preserve"> היה חותם תמיד את שמו בחיבור שתי המילים “צבי </w:t>
      </w:r>
      <w:proofErr w:type="spellStart"/>
      <w:r>
        <w:rPr>
          <w:rtl/>
        </w:rPr>
        <w:t>יהודא</w:t>
      </w:r>
      <w:proofErr w:type="spellEnd"/>
      <w:r>
        <w:rPr>
          <w:rtl/>
        </w:rPr>
        <w:t xml:space="preserve">”, ומשמיט אחת משתי </w:t>
      </w:r>
      <w:proofErr w:type="spellStart"/>
      <w:r>
        <w:rPr>
          <w:rtl/>
        </w:rPr>
        <w:t>היו״דין</w:t>
      </w:r>
      <w:proofErr w:type="spellEnd"/>
      <w:r>
        <w:rPr>
          <w:rtl/>
        </w:rPr>
        <w:t xml:space="preserve"> הסמוכות – ואילו אויבו כתב את שתיהן.</w:t>
      </w:r>
      <w:bookmarkStart w:id="5240" w:name="_fnr3912"/>
      <w:r>
        <w:rPr>
          <w:vertAlign w:val="superscript"/>
          <w:rtl/>
        </w:rPr>
        <w:footnoteReference w:id="3921" w:customMarkFollows="0"/>
      </w:r>
      <w:bookmarkEnd w:id="5240"/>
      <w:r>
        <w:rPr>
          <w:rtl/>
        </w:rPr>
        <w:t xml:space="preserve"> לאחר מאורעות מזעזעים אלה טען מאמר </w:t>
      </w:r>
      <w:proofErr w:type="spellStart"/>
      <w:r>
        <w:rPr>
          <w:rtl/>
        </w:rPr>
        <w:t>ב“המליץ</w:t>
      </w:r>
      <w:proofErr w:type="spellEnd"/>
      <w:r>
        <w:rPr>
          <w:rtl/>
        </w:rPr>
        <w:t xml:space="preserve">”, עיתון שתמך בהשכלה, שחוסר שביעות רצונם של כמה תלמידים מתוכנית הלימודים בישיבה – תורה בלבד והתנגדות להשכלה – הוא </w:t>
      </w:r>
      <w:r>
        <w:rPr>
          <w:rtl/>
        </w:rPr>
        <w:lastRenderedPageBreak/>
        <w:t>שהביא למעשה הנבזה.</w:t>
      </w:r>
      <w:bookmarkStart w:id="5241" w:name="_fnr3913"/>
      <w:r>
        <w:rPr>
          <w:vertAlign w:val="superscript"/>
          <w:rtl/>
        </w:rPr>
        <w:footnoteReference w:id="3922" w:customMarkFollows="0"/>
      </w:r>
      <w:bookmarkEnd w:id="5241"/>
      <w:r>
        <w:rPr>
          <w:rtl/>
        </w:rPr>
        <w:t xml:space="preserve"> יהיה התלמיד שביצע את הפשע אשר יהיה, הוא היה קרוב דיו </w:t>
      </w:r>
      <w:proofErr w:type="spellStart"/>
      <w:r>
        <w:rPr>
          <w:rtl/>
        </w:rPr>
        <w:t>לנצי״ב</w:t>
      </w:r>
      <w:proofErr w:type="spellEnd"/>
      <w:r>
        <w:rPr>
          <w:rtl/>
        </w:rPr>
        <w:t xml:space="preserve"> כדי שתהיה לו גישה לניירותיו האישיים, ויוכל להטמין בהם את המכתב המזויף!</w:t>
      </w:r>
    </w:p>
    <w:p w14:paraId="25CB6BCE" w14:textId="77777777" w:rsidR="00AB3647" w:rsidRDefault="00000000" w:rsidP="007923E9">
      <w:pPr>
        <w:spacing w:after="120" w:line="276" w:lineRule="auto"/>
        <w:ind w:firstLine="283"/>
        <w:jc w:val="both"/>
      </w:pPr>
      <w:r>
        <w:rPr>
          <w:rtl/>
        </w:rPr>
        <w:t xml:space="preserve">המאורע התרחש בסוף אותו עשור, </w:t>
      </w:r>
      <w:proofErr w:type="spellStart"/>
      <w:r>
        <w:rPr>
          <w:rtl/>
        </w:rPr>
        <w:t>בתרל״ט</w:t>
      </w:r>
      <w:proofErr w:type="spellEnd"/>
      <w:r>
        <w:rPr>
          <w:rtl/>
        </w:rPr>
        <w:t xml:space="preserve">: תקופת </w:t>
      </w:r>
      <w:proofErr w:type="spellStart"/>
      <w:r>
        <w:rPr>
          <w:rtl/>
        </w:rPr>
        <w:t>ה“קעסט</w:t>
      </w:r>
      <w:proofErr w:type="spellEnd"/>
      <w:r>
        <w:rPr>
          <w:rtl/>
        </w:rPr>
        <w:t xml:space="preserve">” של ר׳ חיים כבר הסתיימה, ובעשרים שנות שהותו </w:t>
      </w:r>
      <w:proofErr w:type="spellStart"/>
      <w:r>
        <w:rPr>
          <w:rtl/>
        </w:rPr>
        <w:t>בוולוז׳ין</w:t>
      </w:r>
      <w:proofErr w:type="spellEnd"/>
      <w:r>
        <w:rPr>
          <w:rtl/>
        </w:rPr>
        <w:t xml:space="preserve"> החלה אז הפסקה בת שנה.</w:t>
      </w:r>
    </w:p>
    <w:p w14:paraId="07F37883" w14:textId="73310878" w:rsidR="00AB3647" w:rsidRDefault="00000000" w:rsidP="007923E9">
      <w:pPr>
        <w:spacing w:after="120" w:line="276" w:lineRule="auto"/>
        <w:ind w:firstLine="283"/>
        <w:jc w:val="both"/>
      </w:pPr>
      <w:r>
        <w:rPr>
          <w:rtl/>
        </w:rPr>
        <w:t xml:space="preserve">* מובאה מספרו של </w:t>
      </w:r>
      <w:proofErr w:type="spellStart"/>
      <w:r>
        <w:rPr>
          <w:rtl/>
        </w:rPr>
        <w:t>צינוביץ</w:t>
      </w:r>
      <w:proofErr w:type="spellEnd"/>
      <w:r>
        <w:rPr>
          <w:rtl/>
        </w:rPr>
        <w:t xml:space="preserve">, “עץ חיים”, בראש הערה </w:t>
      </w:r>
      <w:r>
        <w:rPr>
          <w:rtl/>
        </w:rPr>
        <w:fldChar w:fldCharType="begin" w:dirty="true"/>
      </w:r>
      <w:r>
        <w:rPr>
          <w:rtl/>
        </w:rPr>
        <w:instrText xml:space="preserve"> REF b4_note160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160</w:t>
      </w:r>
      <w:r>
        <w:rPr>
          <w:rtl/>
        </w:rPr>
        <w:fldChar w:fldCharType="end"/>
      </w:r>
      <w:r>
        <w:rPr>
          <w:rtl/>
        </w:rPr>
        <w:t xml:space="preserve"> לעיל מלמדת אילו אמצעי זהירות נאלץ </w:t>
      </w:r>
      <w:proofErr w:type="spellStart"/>
      <w:r>
        <w:rPr>
          <w:rtl/>
        </w:rPr>
        <w:t>הנצי״ב</w:t>
      </w:r>
      <w:proofErr w:type="spellEnd"/>
      <w:r>
        <w:rPr>
          <w:rtl/>
        </w:rPr>
        <w:t xml:space="preserve"> לנקוט מפני דואר מזיק שהגיע לתלמידים.</w:t>
      </w:r>
    </w:p>
    <w:p w14:paraId="2262DDB5" w14:textId="77777777" w:rsidR="00AB3647" w:rsidRDefault="00000000" w:rsidP="007923E9">
      <w:pPr>
        <w:spacing w:after="120" w:line="276" w:lineRule="auto"/>
        <w:ind w:firstLine="283"/>
        <w:jc w:val="both"/>
      </w:pPr>
      <w:r>
        <w:rPr>
          <w:rtl/>
        </w:rPr>
        <w:t xml:space="preserve">הדבר התרחש </w:t>
      </w:r>
      <w:proofErr w:type="spellStart"/>
      <w:r>
        <w:rPr>
          <w:rtl/>
        </w:rPr>
        <w:t>בתרמ״ג</w:t>
      </w:r>
      <w:proofErr w:type="spellEnd"/>
      <w:r>
        <w:rPr>
          <w:rtl/>
        </w:rPr>
        <w:t xml:space="preserve">, שלוש שנים לאחר שהוחזר ר׳ חיים </w:t>
      </w:r>
      <w:proofErr w:type="spellStart"/>
      <w:r>
        <w:rPr>
          <w:rtl/>
        </w:rPr>
        <w:t>מבריסק</w:t>
      </w:r>
      <w:proofErr w:type="spellEnd"/>
      <w:r>
        <w:rPr>
          <w:rtl/>
        </w:rPr>
        <w:t>, שם עמד בראש קיבוץ,</w:t>
      </w:r>
      <w:bookmarkStart w:id="5242" w:name="_fnr3914"/>
      <w:r>
        <w:rPr>
          <w:vertAlign w:val="superscript"/>
          <w:rtl/>
        </w:rPr>
        <w:footnoteReference w:id="3923" w:customMarkFollows="0"/>
      </w:r>
      <w:bookmarkEnd w:id="5242"/>
      <w:r>
        <w:rPr>
          <w:rtl/>
        </w:rPr>
        <w:t xml:space="preserve"> כדי להתמנות למשנה לראש הישיבה במקום חותנו, שירש את כיסא הרבנות של אחיו המנוח </w:t>
      </w:r>
      <w:proofErr w:type="spellStart"/>
      <w:r>
        <w:rPr>
          <w:rtl/>
        </w:rPr>
        <w:t>בנובו־אלכסנדרובסק</w:t>
      </w:r>
      <w:proofErr w:type="spellEnd"/>
      <w:r>
        <w:rPr>
          <w:rtl/>
        </w:rPr>
        <w:t>.</w:t>
      </w:r>
    </w:p>
    <w:p w14:paraId="45E0315C" w14:textId="77777777" w:rsidR="00AB3647" w:rsidRDefault="00000000" w:rsidP="007923E9">
      <w:pPr>
        <w:spacing w:after="120" w:line="276" w:lineRule="auto"/>
        <w:ind w:firstLine="283"/>
        <w:jc w:val="both"/>
      </w:pPr>
      <w:r>
        <w:rPr>
          <w:rtl/>
        </w:rPr>
        <w:t xml:space="preserve">* ר׳ שרגא </w:t>
      </w:r>
      <w:proofErr w:type="spellStart"/>
      <w:r>
        <w:rPr>
          <w:rtl/>
        </w:rPr>
        <w:t>פינחס</w:t>
      </w:r>
      <w:proofErr w:type="spellEnd"/>
      <w:r>
        <w:rPr>
          <w:rtl/>
        </w:rPr>
        <w:t xml:space="preserve"> סיפר</w:t>
      </w:r>
      <w:bookmarkStart w:id="5243" w:name="_fnr3915"/>
      <w:r>
        <w:rPr>
          <w:vertAlign w:val="superscript"/>
          <w:rtl/>
        </w:rPr>
        <w:footnoteReference w:id="3924" w:customMarkFollows="0"/>
      </w:r>
      <w:bookmarkEnd w:id="5243"/>
      <w:r>
        <w:rPr>
          <w:rtl/>
        </w:rPr>
        <w:t xml:space="preserve"> בשם סבו ר׳ </w:t>
      </w:r>
      <w:proofErr w:type="spellStart"/>
      <w:r>
        <w:rPr>
          <w:rtl/>
        </w:rPr>
        <w:t>אברהם־צבי</w:t>
      </w:r>
      <w:proofErr w:type="spellEnd"/>
      <w:r>
        <w:rPr>
          <w:rtl/>
        </w:rPr>
        <w:t xml:space="preserve"> </w:t>
      </w:r>
      <w:proofErr w:type="spellStart"/>
      <w:r>
        <w:rPr>
          <w:rtl/>
        </w:rPr>
        <w:t>פינחס</w:t>
      </w:r>
      <w:proofErr w:type="spellEnd"/>
      <w:r>
        <w:rPr>
          <w:rtl/>
        </w:rPr>
        <w:t xml:space="preserve">, רבה של </w:t>
      </w:r>
      <w:proofErr w:type="spellStart"/>
      <w:r>
        <w:rPr>
          <w:rtl/>
        </w:rPr>
        <w:t>טיקטין</w:t>
      </w:r>
      <w:proofErr w:type="spellEnd"/>
      <w:r>
        <w:rPr>
          <w:rtl/>
        </w:rPr>
        <w:t xml:space="preserve"> </w:t>
      </w:r>
      <w:proofErr w:type="spellStart"/>
      <w:r>
        <w:rPr>
          <w:rtl/>
        </w:rPr>
        <w:t>מתרס״ט</w:t>
      </w:r>
      <w:proofErr w:type="spellEnd"/>
      <w:r>
        <w:rPr>
          <w:rtl/>
        </w:rPr>
        <w:t xml:space="preserve"> עד תרפ״ח,</w:t>
      </w:r>
      <w:bookmarkStart w:id="5244" w:name="_fnr3916"/>
      <w:r>
        <w:rPr>
          <w:vertAlign w:val="superscript"/>
          <w:rtl/>
        </w:rPr>
        <w:footnoteReference w:id="3925" w:customMarkFollows="0"/>
      </w:r>
      <w:bookmarkEnd w:id="5244"/>
      <w:r>
        <w:rPr>
          <w:rtl/>
        </w:rPr>
        <w:t xml:space="preserve"> שפעם שאל </w:t>
      </w:r>
      <w:proofErr w:type="spellStart"/>
      <w:r>
        <w:rPr>
          <w:rtl/>
        </w:rPr>
        <w:t>הנצי״ב</w:t>
      </w:r>
      <w:proofErr w:type="spellEnd"/>
      <w:r>
        <w:rPr>
          <w:rtl/>
        </w:rPr>
        <w:t xml:space="preserve"> קבוצת תלמידים מבוגרים, ובהם ר׳ </w:t>
      </w:r>
      <w:proofErr w:type="spellStart"/>
      <w:r>
        <w:rPr>
          <w:rtl/>
        </w:rPr>
        <w:t>אברהם־צבי</w:t>
      </w:r>
      <w:proofErr w:type="spellEnd"/>
      <w:r>
        <w:rPr>
          <w:rtl/>
        </w:rPr>
        <w:t xml:space="preserve"> עצמו, שכבר היה אז נשוי, בגיל </w:t>
      </w:r>
      <w:proofErr w:type="spellStart"/>
      <w:r>
        <w:rPr>
          <w:rtl/>
        </w:rPr>
        <w:t>שש־עשרה</w:t>
      </w:r>
      <w:proofErr w:type="spellEnd"/>
      <w:r>
        <w:rPr>
          <w:rtl/>
        </w:rPr>
        <w:t xml:space="preserve">: “איך אפשר לנקות את הישיבה?” התלמידים הציעו הצעות שונות לשיפור האווירה הרוחנית </w:t>
      </w:r>
      <w:proofErr w:type="spellStart"/>
      <w:r>
        <w:rPr>
          <w:rtl/>
        </w:rPr>
        <w:t>בוולוז׳ין</w:t>
      </w:r>
      <w:proofErr w:type="spellEnd"/>
      <w:r>
        <w:rPr>
          <w:rtl/>
        </w:rPr>
        <w:t xml:space="preserve">. </w:t>
      </w:r>
      <w:proofErr w:type="spellStart"/>
      <w:r>
        <w:rPr>
          <w:rtl/>
        </w:rPr>
        <w:t>הנצי״ב</w:t>
      </w:r>
      <w:proofErr w:type="spellEnd"/>
      <w:r>
        <w:rPr>
          <w:rtl/>
        </w:rPr>
        <w:t>, שביקש להטביע בהם את ההכרה שיש להבין דברים תחילה בצורתם הפשוטה ביותר, אמר אז: “התשובה היא: במטאטא.” ברור שהתלמידים – וגם ראש הישיבה, שהציג להם את השאלה וחיפש את התשובה הנכונה – חשו שהישיבה זקוקה לטיהור רוחני, והתלמידים הניחו שראש ישיבתם מתייעץ עמם כיצד “לנקות” את הלכלוך הרוחני שהיא שרויה בו.</w:t>
      </w:r>
    </w:p>
    <w:p w14:paraId="44D270A3" w14:textId="77777777" w:rsidR="00AB3647" w:rsidRDefault="00000000" w:rsidP="007923E9">
      <w:pPr>
        <w:spacing w:after="120" w:line="276" w:lineRule="auto"/>
        <w:ind w:firstLine="283"/>
        <w:jc w:val="both"/>
      </w:pPr>
      <w:r>
        <w:rPr>
          <w:rtl/>
        </w:rPr>
        <w:t xml:space="preserve">המאורע התרחש כשנה לפני שעזב ר׳ </w:t>
      </w:r>
      <w:proofErr w:type="spellStart"/>
      <w:r>
        <w:rPr>
          <w:rtl/>
        </w:rPr>
        <w:t>פינחס</w:t>
      </w:r>
      <w:proofErr w:type="spellEnd"/>
      <w:r>
        <w:rPr>
          <w:rtl/>
        </w:rPr>
        <w:t xml:space="preserve"> את </w:t>
      </w:r>
      <w:proofErr w:type="spellStart"/>
      <w:r>
        <w:rPr>
          <w:rtl/>
        </w:rPr>
        <w:t>וולוז׳ין</w:t>
      </w:r>
      <w:proofErr w:type="spellEnd"/>
      <w:r>
        <w:rPr>
          <w:rtl/>
        </w:rPr>
        <w:t xml:space="preserve">, כלומר </w:t>
      </w:r>
      <w:proofErr w:type="spellStart"/>
      <w:r>
        <w:rPr>
          <w:rtl/>
        </w:rPr>
        <w:t>בתרמ״ד</w:t>
      </w:r>
      <w:proofErr w:type="spellEnd"/>
      <w:r>
        <w:rPr>
          <w:rtl/>
        </w:rPr>
        <w:t>.</w:t>
      </w:r>
    </w:p>
    <w:p w14:paraId="5837EB5D" w14:textId="77777777" w:rsidR="00AB3647" w:rsidRDefault="00000000" w:rsidP="007923E9">
      <w:pPr>
        <w:spacing w:after="120" w:line="276" w:lineRule="auto"/>
        <w:ind w:firstLine="283"/>
        <w:jc w:val="both"/>
      </w:pPr>
      <w:r>
        <w:rPr>
          <w:rtl/>
        </w:rPr>
        <w:t xml:space="preserve">ר׳ יצחק </w:t>
      </w:r>
      <w:proofErr w:type="spellStart"/>
      <w:r>
        <w:rPr>
          <w:rtl/>
        </w:rPr>
        <w:t>ניסנבוים</w:t>
      </w:r>
      <w:proofErr w:type="spellEnd"/>
      <w:r>
        <w:rPr>
          <w:rtl/>
        </w:rPr>
        <w:t xml:space="preserve"> מספר </w:t>
      </w:r>
      <w:proofErr w:type="spellStart"/>
      <w:r>
        <w:rPr>
          <w:rtl/>
        </w:rPr>
        <w:t>ב“עלי</w:t>
      </w:r>
      <w:proofErr w:type="spellEnd"/>
      <w:r>
        <w:rPr>
          <w:rtl/>
        </w:rPr>
        <w:t xml:space="preserve"> </w:t>
      </w:r>
      <w:proofErr w:type="spellStart"/>
      <w:r>
        <w:rPr>
          <w:rtl/>
        </w:rPr>
        <w:t>חלדי</w:t>
      </w:r>
      <w:proofErr w:type="spellEnd"/>
      <w:r>
        <w:rPr>
          <w:rtl/>
        </w:rPr>
        <w:t>”</w:t>
      </w:r>
      <w:bookmarkStart w:id="5245" w:name="_fnr3917"/>
      <w:r>
        <w:rPr>
          <w:vertAlign w:val="superscript"/>
          <w:rtl/>
        </w:rPr>
        <w:footnoteReference w:id="3926" w:customMarkFollows="0"/>
      </w:r>
      <w:bookmarkEnd w:id="5245"/>
      <w:r>
        <w:rPr>
          <w:rtl/>
        </w:rPr>
        <w:t xml:space="preserve"> </w:t>
      </w:r>
      <w:proofErr w:type="spellStart"/>
      <w:r>
        <w:rPr>
          <w:rtl/>
        </w:rPr>
        <w:t>שהנצי״ב</w:t>
      </w:r>
      <w:proofErr w:type="spellEnd"/>
      <w:r>
        <w:rPr>
          <w:rtl/>
        </w:rPr>
        <w:t xml:space="preserve"> היה בודק את פני התלמידים כדי לגלות אם הם מתגלחים בתער. עוד הוא מספר שם שפעם טפח </w:t>
      </w:r>
      <w:proofErr w:type="spellStart"/>
      <w:r>
        <w:rPr>
          <w:rtl/>
        </w:rPr>
        <w:t>הנצי״ב</w:t>
      </w:r>
      <w:proofErr w:type="spellEnd"/>
      <w:r>
        <w:rPr>
          <w:rtl/>
        </w:rPr>
        <w:t xml:space="preserve"> על לחיו של תלמיד, ומשאישרה הטפיחה את חשדותיו, נתן לו סטירת לחי מצלצלת.</w:t>
      </w:r>
    </w:p>
    <w:p w14:paraId="744D39EE" w14:textId="77777777" w:rsidR="00AB3647" w:rsidRDefault="00000000" w:rsidP="007923E9">
      <w:pPr>
        <w:spacing w:after="120" w:line="276" w:lineRule="auto"/>
        <w:ind w:firstLine="283"/>
        <w:jc w:val="both"/>
      </w:pPr>
      <w:r>
        <w:rPr>
          <w:rtl/>
        </w:rPr>
        <w:t>ר׳ דב היימן סיפר</w:t>
      </w:r>
      <w:bookmarkStart w:id="5246" w:name="_fnr3918"/>
      <w:r>
        <w:rPr>
          <w:vertAlign w:val="superscript"/>
          <w:rtl/>
        </w:rPr>
        <w:footnoteReference w:id="3927" w:customMarkFollows="0"/>
      </w:r>
      <w:bookmarkEnd w:id="5246"/>
      <w:r>
        <w:rPr>
          <w:rtl/>
        </w:rPr>
        <w:t xml:space="preserve"> שאביו ר׳ אהרן</w:t>
      </w:r>
      <w:bookmarkStart w:id="5247" w:name="_fnr3919"/>
      <w:r>
        <w:rPr>
          <w:vertAlign w:val="superscript"/>
          <w:rtl/>
        </w:rPr>
        <w:footnoteReference w:id="3928" w:customMarkFollows="0"/>
      </w:r>
      <w:bookmarkEnd w:id="5247"/>
      <w:r>
        <w:rPr>
          <w:rtl/>
        </w:rPr>
        <w:t xml:space="preserve"> – שנולד </w:t>
      </w:r>
      <w:proofErr w:type="spellStart"/>
      <w:r>
        <w:rPr>
          <w:rtl/>
        </w:rPr>
        <w:t>בתרכ״ב</w:t>
      </w:r>
      <w:proofErr w:type="spellEnd"/>
      <w:r>
        <w:rPr>
          <w:rtl/>
        </w:rPr>
        <w:t xml:space="preserve"> ולמד </w:t>
      </w:r>
      <w:proofErr w:type="spellStart"/>
      <w:r>
        <w:rPr>
          <w:rtl/>
        </w:rPr>
        <w:t>בוולוז׳ין</w:t>
      </w:r>
      <w:proofErr w:type="spellEnd"/>
      <w:r>
        <w:rPr>
          <w:rtl/>
        </w:rPr>
        <w:t xml:space="preserve"> בשנים תרמ״א–תרמ״ג – זכר בחור אמריקאי שלמד שם באותה עת ועזב את הישיבה לאחר שספג סטירה. ר׳ דב לא ידע במה הביא התלמיד את העונש על עצמו; אפשר לשער שסיפור היימן הוא סיומו של הסיפור שמסר ר׳ יצחק </w:t>
      </w:r>
      <w:proofErr w:type="spellStart"/>
      <w:r>
        <w:rPr>
          <w:rtl/>
        </w:rPr>
        <w:t>ניסנבוים</w:t>
      </w:r>
      <w:proofErr w:type="spellEnd"/>
      <w:r>
        <w:rPr>
          <w:rtl/>
        </w:rPr>
        <w:t xml:space="preserve">. אומנם </w:t>
      </w:r>
      <w:proofErr w:type="spellStart"/>
      <w:r>
        <w:rPr>
          <w:rtl/>
        </w:rPr>
        <w:t>ניסנבוים</w:t>
      </w:r>
      <w:proofErr w:type="spellEnd"/>
      <w:r>
        <w:rPr>
          <w:rtl/>
        </w:rPr>
        <w:t xml:space="preserve"> לא הגיע לישיבה עד תרמ״ד, אבל ייתכן שהמעשה התרחש שנה קודם לכן, כשר׳ אהרן היימן עוד היה שם, והיה עדיין טרי בזיכרון התלמידים. ראוי לציין שכבר באותן שנים, בראשית ההגירה היהודית ההמונית לאמריקה, היה </w:t>
      </w:r>
      <w:proofErr w:type="spellStart"/>
      <w:r>
        <w:rPr>
          <w:rtl/>
        </w:rPr>
        <w:t>בוולוז׳ין</w:t>
      </w:r>
      <w:proofErr w:type="spellEnd"/>
      <w:r>
        <w:rPr>
          <w:rtl/>
        </w:rPr>
        <w:t xml:space="preserve"> תלמיד אמריקאי.</w:t>
      </w:r>
    </w:p>
    <w:p w14:paraId="51B455EC" w14:textId="77777777" w:rsidR="00AB3647" w:rsidRDefault="00000000" w:rsidP="007923E9">
      <w:pPr>
        <w:spacing w:after="120" w:line="276" w:lineRule="auto"/>
        <w:ind w:firstLine="283"/>
        <w:jc w:val="both"/>
      </w:pPr>
      <w:r>
        <w:rPr>
          <w:rtl/>
        </w:rPr>
        <w:lastRenderedPageBreak/>
        <w:t xml:space="preserve">ר׳ יצחק </w:t>
      </w:r>
      <w:proofErr w:type="spellStart"/>
      <w:r>
        <w:rPr>
          <w:rtl/>
        </w:rPr>
        <w:t>ניסנבוים</w:t>
      </w:r>
      <w:proofErr w:type="spellEnd"/>
      <w:r>
        <w:rPr>
          <w:rtl/>
        </w:rPr>
        <w:t xml:space="preserve"> למד </w:t>
      </w:r>
      <w:proofErr w:type="spellStart"/>
      <w:r>
        <w:rPr>
          <w:rtl/>
        </w:rPr>
        <w:t>בוולוז׳ין</w:t>
      </w:r>
      <w:proofErr w:type="spellEnd"/>
      <w:r>
        <w:rPr>
          <w:rtl/>
        </w:rPr>
        <w:t xml:space="preserve"> </w:t>
      </w:r>
      <w:proofErr w:type="spellStart"/>
      <w:r>
        <w:rPr>
          <w:rtl/>
        </w:rPr>
        <w:t>בתרמ״ד</w:t>
      </w:r>
      <w:proofErr w:type="spellEnd"/>
      <w:r>
        <w:rPr>
          <w:rtl/>
        </w:rPr>
        <w:t>, ארבע שנים אחרי שחזר ר׳ חיים לישיבה.</w:t>
      </w:r>
    </w:p>
    <w:p w14:paraId="0E511F52" w14:textId="77777777" w:rsidR="00AB3647" w:rsidRDefault="00000000" w:rsidP="007923E9">
      <w:pPr>
        <w:spacing w:after="120" w:line="276" w:lineRule="auto"/>
        <w:ind w:firstLine="283"/>
        <w:jc w:val="both"/>
      </w:pPr>
      <w:r>
        <w:rPr>
          <w:rtl/>
        </w:rPr>
        <w:t>אף שהקורא בן זמננו עשוי להשתומם על ראש ישיבה מבוגר הסוטר לתלמיד מתבגר, מקרים נוספים של ענישה גופנית כזאת</w:t>
      </w:r>
      <w:bookmarkStart w:id="5248" w:name="_fnr3920"/>
      <w:r>
        <w:rPr>
          <w:vertAlign w:val="superscript"/>
          <w:rtl/>
        </w:rPr>
        <w:footnoteReference w:id="3929" w:customMarkFollows="0"/>
      </w:r>
      <w:bookmarkEnd w:id="5248"/>
      <w:r>
        <w:rPr>
          <w:rtl/>
        </w:rPr>
        <w:t xml:space="preserve"> בידי ראש ישיבת </w:t>
      </w:r>
      <w:proofErr w:type="spellStart"/>
      <w:r>
        <w:rPr>
          <w:rtl/>
        </w:rPr>
        <w:t>וולוז׳ין</w:t>
      </w:r>
      <w:proofErr w:type="spellEnd"/>
      <w:r>
        <w:rPr>
          <w:rtl/>
        </w:rPr>
        <w:t xml:space="preserve"> הנערץ נמצאים בארבעת המקורות הבאים: (א) “</w:t>
      </w:r>
      <w:proofErr w:type="spellStart"/>
      <w:r>
        <w:rPr>
          <w:rtl/>
        </w:rPr>
        <w:t>זכרונותי</w:t>
      </w:r>
      <w:proofErr w:type="spellEnd"/>
      <w:r>
        <w:rPr>
          <w:rtl/>
        </w:rPr>
        <w:t>”</w:t>
      </w:r>
      <w:bookmarkStart w:id="5249" w:name="_fnr3921"/>
      <w:r>
        <w:rPr>
          <w:vertAlign w:val="superscript"/>
          <w:rtl/>
        </w:rPr>
        <w:footnoteReference w:id="3930" w:customMarkFollows="0"/>
      </w:r>
      <w:bookmarkEnd w:id="5249"/>
      <w:r>
        <w:rPr>
          <w:rtl/>
        </w:rPr>
        <w:t>; (ב) “ר׳ משה שמואל ודורו”</w:t>
      </w:r>
      <w:bookmarkStart w:id="5250" w:name="_fnr3922"/>
      <w:r>
        <w:rPr>
          <w:vertAlign w:val="superscript"/>
          <w:rtl/>
        </w:rPr>
        <w:footnoteReference w:id="3931" w:customMarkFollows="0"/>
      </w:r>
      <w:bookmarkEnd w:id="5250"/>
      <w:r>
        <w:rPr>
          <w:rtl/>
        </w:rPr>
        <w:t xml:space="preserve">; (ג) זיכרונותיו של </w:t>
      </w:r>
      <w:proofErr w:type="spellStart"/>
      <w:r>
        <w:rPr>
          <w:rtl/>
        </w:rPr>
        <w:t>יהושע־לייב</w:t>
      </w:r>
      <w:proofErr w:type="spellEnd"/>
      <w:r>
        <w:rPr>
          <w:rtl/>
        </w:rPr>
        <w:t xml:space="preserve"> </w:t>
      </w:r>
      <w:proofErr w:type="spellStart"/>
      <w:r>
        <w:rPr>
          <w:rtl/>
        </w:rPr>
        <w:t>ראדוס</w:t>
      </w:r>
      <w:bookmarkStart w:id="5251" w:name="_fnr3923"/>
      <w:proofErr w:type="spellEnd"/>
      <w:r>
        <w:rPr>
          <w:vertAlign w:val="superscript"/>
          <w:rtl/>
        </w:rPr>
        <w:footnoteReference w:id="3932" w:customMarkFollows="0"/>
      </w:r>
      <w:bookmarkEnd w:id="5251"/>
      <w:r>
        <w:rPr>
          <w:rtl/>
        </w:rPr>
        <w:t xml:space="preserve">; (ד) מאמר מאת ש׳ ל׳ </w:t>
      </w:r>
      <w:proofErr w:type="spellStart"/>
      <w:r>
        <w:rPr>
          <w:rtl/>
        </w:rPr>
        <w:t>ציטרון</w:t>
      </w:r>
      <w:proofErr w:type="spellEnd"/>
      <w:r>
        <w:rPr>
          <w:rtl/>
        </w:rPr>
        <w:t xml:space="preserve">, “מלחמת הדינסטיות בישיבת </w:t>
      </w:r>
      <w:proofErr w:type="spellStart"/>
      <w:r>
        <w:rPr>
          <w:rtl/>
        </w:rPr>
        <w:t>וולוזין</w:t>
      </w:r>
      <w:proofErr w:type="spellEnd"/>
      <w:r>
        <w:rPr>
          <w:rtl/>
        </w:rPr>
        <w:t xml:space="preserve">”, </w:t>
      </w:r>
      <w:proofErr w:type="spellStart"/>
      <w:r>
        <w:rPr>
          <w:rtl/>
        </w:rPr>
        <w:t>ב“רשומות</w:t>
      </w:r>
      <w:proofErr w:type="spellEnd"/>
      <w:r>
        <w:rPr>
          <w:rtl/>
        </w:rPr>
        <w:t>”, כרך א׳.</w:t>
      </w:r>
      <w:bookmarkStart w:id="5252" w:name="_fnr3924"/>
      <w:r>
        <w:rPr>
          <w:vertAlign w:val="superscript"/>
          <w:rtl/>
        </w:rPr>
        <w:footnoteReference w:id="3933" w:customMarkFollows="0"/>
      </w:r>
      <w:bookmarkEnd w:id="5252"/>
    </w:p>
    <w:p w14:paraId="592B456F" w14:textId="77777777" w:rsidR="00AB3647" w:rsidRDefault="00000000" w:rsidP="007923E9">
      <w:pPr>
        <w:spacing w:after="120" w:line="276" w:lineRule="auto"/>
        <w:ind w:firstLine="283"/>
        <w:jc w:val="both"/>
      </w:pPr>
      <w:r>
        <w:rPr>
          <w:rtl/>
        </w:rPr>
        <w:t>(א) “</w:t>
      </w:r>
      <w:proofErr w:type="spellStart"/>
      <w:r>
        <w:rPr>
          <w:rtl/>
        </w:rPr>
        <w:t>זכרונותי</w:t>
      </w:r>
      <w:proofErr w:type="spellEnd"/>
      <w:r>
        <w:rPr>
          <w:rtl/>
        </w:rPr>
        <w:t xml:space="preserve">” מספר: “בחור </w:t>
      </w:r>
      <w:proofErr w:type="spellStart"/>
      <w:r>
        <w:rPr>
          <w:rtl/>
        </w:rPr>
        <w:t>ממולודצ׳נו</w:t>
      </w:r>
      <w:proofErr w:type="spellEnd"/>
      <w:r>
        <w:rPr>
          <w:rtl/>
        </w:rPr>
        <w:t xml:space="preserve"> למד בישיבה... ובוקר אחד החליט לגזור את פאותיו. כשראה זאת </w:t>
      </w:r>
      <w:proofErr w:type="spellStart"/>
      <w:r>
        <w:rPr>
          <w:rtl/>
        </w:rPr>
        <w:t>הנצי״ב</w:t>
      </w:r>
      <w:proofErr w:type="spellEnd"/>
      <w:r>
        <w:rPr>
          <w:rtl/>
        </w:rPr>
        <w:t xml:space="preserve">, הכהו פעם ופעמיים על לחייו. הבחור הצדיק את מעשהו: ‘למה </w:t>
      </w:r>
      <w:proofErr w:type="spellStart"/>
      <w:r>
        <w:rPr>
          <w:rtl/>
        </w:rPr>
        <w:t>לווילקובישקר</w:t>
      </w:r>
      <w:proofErr w:type="spellEnd"/>
      <w:r>
        <w:rPr>
          <w:rtl/>
        </w:rPr>
        <w:t xml:space="preserve"> הקטן הזה [</w:t>
      </w:r>
      <w:proofErr w:type="spellStart"/>
      <w:r>
        <w:rPr>
          <w:rtl/>
        </w:rPr>
        <w:t>לוין־אפשטיין</w:t>
      </w:r>
      <w:proofErr w:type="spellEnd"/>
      <w:r>
        <w:rPr>
          <w:rtl/>
        </w:rPr>
        <w:t xml:space="preserve">]’ – בישיבה היה תלמיד אחר, ותיק יותר, </w:t>
      </w:r>
      <w:proofErr w:type="spellStart"/>
      <w:r>
        <w:rPr>
          <w:rtl/>
        </w:rPr>
        <w:t>מווילקובישק</w:t>
      </w:r>
      <w:proofErr w:type="spellEnd"/>
      <w:r>
        <w:rPr>
          <w:rtl/>
        </w:rPr>
        <w:t xml:space="preserve">, שכונה </w:t>
      </w:r>
      <w:proofErr w:type="spellStart"/>
      <w:r>
        <w:rPr>
          <w:rtl/>
        </w:rPr>
        <w:t>הווילקובישקר</w:t>
      </w:r>
      <w:proofErr w:type="spellEnd"/>
      <w:r>
        <w:rPr>
          <w:rtl/>
        </w:rPr>
        <w:t xml:space="preserve"> הגדול – ‘אין פאות?’ דבריו הכעיסו את ראש הישיבה, והוא סטר על לחיי הצעיר עוד פעמיים ואמר: ‘</w:t>
      </w:r>
      <w:proofErr w:type="spellStart"/>
      <w:r>
        <w:rPr>
          <w:rtl/>
        </w:rPr>
        <w:t>הווילקובישקר</w:t>
      </w:r>
      <w:proofErr w:type="spellEnd"/>
      <w:r>
        <w:rPr>
          <w:rtl/>
        </w:rPr>
        <w:t xml:space="preserve"> הקטן בא לישיבה בלי פאות, אבל אתה’ – וכאן נשמעה עוד סטירה, החמישית – ‘אתה, בור, באת לכאן עם פאות וקיצצת אותן! עוד יאמרו שיראת שמים פסקה </w:t>
      </w:r>
      <w:proofErr w:type="spellStart"/>
      <w:r>
        <w:rPr>
          <w:rtl/>
        </w:rPr>
        <w:t>בוולוז׳ין</w:t>
      </w:r>
      <w:proofErr w:type="spellEnd"/>
      <w:r>
        <w:rPr>
          <w:rtl/>
        </w:rPr>
        <w:t>!’”</w:t>
      </w:r>
    </w:p>
    <w:p w14:paraId="6C139973" w14:textId="77777777" w:rsidR="00AB3647" w:rsidRDefault="00000000" w:rsidP="007923E9">
      <w:pPr>
        <w:spacing w:after="120" w:line="276" w:lineRule="auto"/>
        <w:ind w:firstLine="283"/>
        <w:jc w:val="both"/>
      </w:pPr>
      <w:r>
        <w:rPr>
          <w:rtl/>
        </w:rPr>
        <w:t>(ב) “ר׳ משה שמואל ודורו” מספר</w:t>
      </w:r>
      <w:bookmarkStart w:id="5253" w:name="_fnr3925"/>
      <w:r>
        <w:rPr>
          <w:vertAlign w:val="superscript"/>
          <w:rtl/>
        </w:rPr>
        <w:footnoteReference w:id="3934" w:customMarkFollows="0"/>
      </w:r>
      <w:bookmarkEnd w:id="5253"/>
      <w:r>
        <w:rPr>
          <w:rtl/>
        </w:rPr>
        <w:t xml:space="preserve">: “ביום הכיפורים תרל״ט אירע שאחד מתלמידיו הקרובים והמוכרים של </w:t>
      </w:r>
      <w:proofErr w:type="spellStart"/>
      <w:r>
        <w:rPr>
          <w:rtl/>
        </w:rPr>
        <w:t>הנצי״ב</w:t>
      </w:r>
      <w:proofErr w:type="spellEnd"/>
      <w:r>
        <w:rPr>
          <w:rtl/>
        </w:rPr>
        <w:t xml:space="preserve">, בנו של רבה של </w:t>
      </w:r>
      <w:proofErr w:type="spellStart"/>
      <w:r>
        <w:rPr>
          <w:rtl/>
        </w:rPr>
        <w:t>סימפרופול</w:t>
      </w:r>
      <w:proofErr w:type="spellEnd"/>
      <w:r>
        <w:rPr>
          <w:rtl/>
        </w:rPr>
        <w:t xml:space="preserve">, נכנס לישיבה בשעת בוקר מאוחרת, לאחר שחרית, ופאותיו מסורקות וחלקות. עינו החדה של </w:t>
      </w:r>
      <w:proofErr w:type="spellStart"/>
      <w:r>
        <w:rPr>
          <w:rtl/>
        </w:rPr>
        <w:t>הנצי״ב</w:t>
      </w:r>
      <w:proofErr w:type="spellEnd"/>
      <w:r>
        <w:rPr>
          <w:rtl/>
        </w:rPr>
        <w:t xml:space="preserve"> הבחינה בכך, ובלי שאלות וחקירה ניגש אליו וסטר לו פעם ועוד פעם לעיני הכול.” המחבר טוען עוד </w:t>
      </w:r>
      <w:proofErr w:type="spellStart"/>
      <w:r>
        <w:rPr>
          <w:rtl/>
        </w:rPr>
        <w:t>ש“אף</w:t>
      </w:r>
      <w:proofErr w:type="spellEnd"/>
      <w:r>
        <w:rPr>
          <w:rtl/>
        </w:rPr>
        <w:t xml:space="preserve"> שהתלמיד נשא את חרפתו בשתיקה, היו קנאים שהמאורע עורר </w:t>
      </w:r>
      <w:proofErr w:type="spellStart"/>
      <w:r>
        <w:rPr>
          <w:rtl/>
        </w:rPr>
        <w:t>בלבם</w:t>
      </w:r>
      <w:proofErr w:type="spellEnd"/>
      <w:r>
        <w:rPr>
          <w:rtl/>
        </w:rPr>
        <w:t xml:space="preserve"> איבה כלפי </w:t>
      </w:r>
      <w:proofErr w:type="spellStart"/>
      <w:r>
        <w:rPr>
          <w:rtl/>
        </w:rPr>
        <w:t>הנצי״ב</w:t>
      </w:r>
      <w:proofErr w:type="spellEnd"/>
      <w:r>
        <w:rPr>
          <w:rtl/>
        </w:rPr>
        <w:t xml:space="preserve">”. הדבר הביא </w:t>
      </w:r>
      <w:proofErr w:type="spellStart"/>
      <w:r>
        <w:rPr>
          <w:rtl/>
        </w:rPr>
        <w:t>ל“זיוף</w:t>
      </w:r>
      <w:proofErr w:type="spellEnd"/>
      <w:r>
        <w:rPr>
          <w:rtl/>
        </w:rPr>
        <w:t xml:space="preserve"> מכתב מחשיד, שליחתו בדואר והלשנה עליו למנהל הדואר”, ובעקבות זאת לחקירה חמורה ולאישום מטעם השלטון. זהו אותו מאורע </w:t>
      </w:r>
      <w:proofErr w:type="spellStart"/>
      <w:r>
        <w:rPr>
          <w:rtl/>
        </w:rPr>
        <w:t>שצינוביץ</w:t>
      </w:r>
      <w:proofErr w:type="spellEnd"/>
      <w:r>
        <w:rPr>
          <w:rtl/>
        </w:rPr>
        <w:t xml:space="preserve">, “עץ חיים”, מתייחס אליו (ראה עמ׳ </w:t>
      </w:r>
      <w:r>
        <w:rPr>
          <w:rtl/>
        </w:rPr>
        <w:fldChar w:fldCharType="begin" w:dirty="true"/>
      </w:r>
      <w:r>
        <w:rPr>
          <w:rtl/>
        </w:rPr>
        <w:instrText xml:space="preserve"> PAGEREF pr_b_2213 \h </w:instrText>
      </w:r>
      <w:r>
        <w:rPr>
          <w:rtl/>
        </w:rPr>
      </w:r>
      <w:r>
        <w:rPr>
          <w:rtl/>
        </w:rPr>
        <w:fldChar w:fldCharType="separate"/>
      </w:r>
      <w:r w:rsidR="007923E9">
        <w:rPr>
          <w:noProof/>
          <w:rtl/>
        </w:rPr>
        <w:t>1</w:t>
      </w:r>
      <w:r>
        <w:rPr>
          <w:rtl/>
        </w:rPr>
        <w:fldChar w:fldCharType="end"/>
      </w:r>
      <w:r>
        <w:rPr>
          <w:rtl/>
        </w:rPr>
        <w:t xml:space="preserve"> לעיל), אלא שכמה פרטים קטנים השתנו.</w:t>
      </w:r>
    </w:p>
    <w:p w14:paraId="46F2C0B8" w14:textId="77777777" w:rsidR="00AB3647" w:rsidRDefault="00000000" w:rsidP="007923E9">
      <w:pPr>
        <w:spacing w:after="120" w:line="276" w:lineRule="auto"/>
        <w:ind w:firstLine="283"/>
        <w:jc w:val="both"/>
      </w:pPr>
      <w:r>
        <w:rPr>
          <w:rtl/>
        </w:rPr>
        <w:t>“ר׳ משה שמואל ודורו” מספר גם</w:t>
      </w:r>
      <w:bookmarkStart w:id="5254" w:name="_fnr3926"/>
      <w:r>
        <w:rPr>
          <w:vertAlign w:val="superscript"/>
          <w:rtl/>
        </w:rPr>
        <w:footnoteReference w:id="3935" w:customMarkFollows="0"/>
      </w:r>
      <w:bookmarkEnd w:id="5254"/>
      <w:r>
        <w:rPr>
          <w:rtl/>
        </w:rPr>
        <w:t xml:space="preserve">: “המעשה היה בערב שבועות, בערך </w:t>
      </w:r>
      <w:proofErr w:type="spellStart"/>
      <w:r>
        <w:rPr>
          <w:rtl/>
        </w:rPr>
        <w:t>בתרמ״ו</w:t>
      </w:r>
      <w:proofErr w:type="spellEnd"/>
      <w:r>
        <w:rPr>
          <w:rtl/>
        </w:rPr>
        <w:t xml:space="preserve">. בשלושת ימי הגבלה היו התלמידים גוזזים את פאותיהם ומתקנים [?] מעט את זקניהם, </w:t>
      </w:r>
      <w:proofErr w:type="spellStart"/>
      <w:r>
        <w:rPr>
          <w:rtl/>
        </w:rPr>
        <w:t>והנצי״ב</w:t>
      </w:r>
      <w:proofErr w:type="spellEnd"/>
      <w:r>
        <w:rPr>
          <w:rtl/>
        </w:rPr>
        <w:t xml:space="preserve"> הקפיד על כך מאוד.</w:t>
      </w:r>
      <w:bookmarkStart w:id="5255" w:name="_fnr3927"/>
      <w:r>
        <w:rPr>
          <w:vertAlign w:val="superscript"/>
          <w:rtl/>
        </w:rPr>
        <w:footnoteReference w:id="3936" w:customMarkFollows="0"/>
      </w:r>
      <w:bookmarkEnd w:id="5255"/>
      <w:r>
        <w:rPr>
          <w:rtl/>
        </w:rPr>
        <w:t xml:space="preserve"> הוא התהלך אנה ואנה בישיבה ולא יכול להשקיט את רוחו </w:t>
      </w:r>
      <w:r>
        <w:rPr>
          <w:rtl/>
        </w:rPr>
        <w:lastRenderedPageBreak/>
        <w:t xml:space="preserve">הסוערת. כשיצא החוצה, נקרה בדרכו תלמיד </w:t>
      </w:r>
      <w:proofErr w:type="spellStart"/>
      <w:r>
        <w:rPr>
          <w:rtl/>
        </w:rPr>
        <w:t>מסלוצק</w:t>
      </w:r>
      <w:bookmarkStart w:id="5256" w:name="_fnr3928"/>
      <w:proofErr w:type="spellEnd"/>
      <w:r>
        <w:rPr>
          <w:vertAlign w:val="superscript"/>
          <w:rtl/>
        </w:rPr>
        <w:footnoteReference w:id="3937" w:customMarkFollows="0"/>
      </w:r>
      <w:bookmarkEnd w:id="5256"/>
      <w:r>
        <w:rPr>
          <w:rtl/>
        </w:rPr>
        <w:t xml:space="preserve">, אחד התלמידים המצוינים ובן למשפחה נכבדה, וגם הוא קיצץ את פאותיו. </w:t>
      </w:r>
      <w:proofErr w:type="spellStart"/>
      <w:r>
        <w:rPr>
          <w:rtl/>
        </w:rPr>
        <w:t>הנצי״ב</w:t>
      </w:r>
      <w:proofErr w:type="spellEnd"/>
      <w:r>
        <w:rPr>
          <w:rtl/>
        </w:rPr>
        <w:t xml:space="preserve"> סטר לו על לחייו כמה פעמים. התלמיד היה המום ונבהל, ומרוב פחד נפלה מידו הגמרא שהחזיק.</w:t>
      </w:r>
      <w:bookmarkStart w:id="5257" w:name="_fnr3929"/>
      <w:r>
        <w:rPr>
          <w:vertAlign w:val="superscript"/>
          <w:rtl/>
        </w:rPr>
        <w:footnoteReference w:id="3938" w:customMarkFollows="0"/>
      </w:r>
      <w:bookmarkEnd w:id="5257"/>
      <w:r>
        <w:rPr>
          <w:rtl/>
        </w:rPr>
        <w:t xml:space="preserve"> המקרה הביא את הישיבה למבוכה ולמהומה רבה: ‘הייתכן?!’ כולם התרעמו. ‘האם יש לבזות תלמיד מצטיין בשל עניין קטן כזה?!’”</w:t>
      </w:r>
    </w:p>
    <w:p w14:paraId="69D83B11" w14:textId="77777777" w:rsidR="00AB3647" w:rsidRDefault="00000000" w:rsidP="007923E9">
      <w:pPr>
        <w:spacing w:after="120" w:line="276" w:lineRule="auto"/>
        <w:ind w:firstLine="283"/>
        <w:jc w:val="both"/>
      </w:pPr>
      <w:r>
        <w:rPr>
          <w:rtl/>
        </w:rPr>
        <w:t xml:space="preserve">ראה גם את המאמר </w:t>
      </w:r>
      <w:proofErr w:type="spellStart"/>
      <w:r>
        <w:rPr>
          <w:rtl/>
        </w:rPr>
        <w:t>ב“הצפירה</w:t>
      </w:r>
      <w:proofErr w:type="spellEnd"/>
      <w:r>
        <w:rPr>
          <w:rtl/>
        </w:rPr>
        <w:t xml:space="preserve">”, המצהיר: “מקרה כזה שהרב </w:t>
      </w:r>
      <w:proofErr w:type="spellStart"/>
      <w:r>
        <w:rPr>
          <w:rtl/>
        </w:rPr>
        <w:t>הנצי״ב</w:t>
      </w:r>
      <w:proofErr w:type="spellEnd"/>
      <w:r>
        <w:rPr>
          <w:rtl/>
        </w:rPr>
        <w:t xml:space="preserve"> ירים יד על תלמיד היה מתרחש רק ‘אחת ליובל’</w:t>
      </w:r>
      <w:bookmarkStart w:id="5258" w:name="_fnr3930"/>
      <w:r>
        <w:rPr>
          <w:vertAlign w:val="superscript"/>
          <w:rtl/>
        </w:rPr>
        <w:footnoteReference w:id="3939" w:customMarkFollows="0"/>
      </w:r>
      <w:bookmarkEnd w:id="5258"/>
      <w:r>
        <w:rPr>
          <w:rtl/>
        </w:rPr>
        <w:t>; ומי שקיבל סטירה מן הרב זכה לכינוי “</w:t>
      </w:r>
      <w:proofErr w:type="spellStart"/>
      <w:r>
        <w:rPr>
          <w:rtl/>
        </w:rPr>
        <w:t>דער</w:t>
      </w:r>
      <w:proofErr w:type="spellEnd"/>
      <w:r>
        <w:rPr>
          <w:rtl/>
        </w:rPr>
        <w:t xml:space="preserve"> </w:t>
      </w:r>
      <w:proofErr w:type="spellStart"/>
      <w:r>
        <w:rPr>
          <w:rtl/>
        </w:rPr>
        <w:t>געפאטשטער</w:t>
      </w:r>
      <w:proofErr w:type="spellEnd"/>
      <w:r>
        <w:rPr>
          <w:rtl/>
        </w:rPr>
        <w:t>”, המוכה בסטירה, שהיה אות קלון עבורו, גרם לו בושה רבה ולעיתים קלקל שידוך מוצלח.”</w:t>
      </w:r>
    </w:p>
    <w:p w14:paraId="275EEE6B" w14:textId="77777777" w:rsidR="00AB3647" w:rsidRDefault="00000000" w:rsidP="007923E9">
      <w:pPr>
        <w:spacing w:after="120" w:line="276" w:lineRule="auto"/>
        <w:ind w:firstLine="283"/>
        <w:jc w:val="both"/>
      </w:pPr>
      <w:r>
        <w:rPr>
          <w:rtl/>
        </w:rPr>
        <w:t xml:space="preserve">(ג) זיכרונותיו של </w:t>
      </w:r>
      <w:proofErr w:type="spellStart"/>
      <w:r>
        <w:rPr>
          <w:rtl/>
        </w:rPr>
        <w:t>יהושע־לייב</w:t>
      </w:r>
      <w:proofErr w:type="spellEnd"/>
      <w:r>
        <w:rPr>
          <w:rtl/>
        </w:rPr>
        <w:t xml:space="preserve"> </w:t>
      </w:r>
      <w:proofErr w:type="spellStart"/>
      <w:r>
        <w:rPr>
          <w:rtl/>
        </w:rPr>
        <w:t>ראדוס</w:t>
      </w:r>
      <w:proofErr w:type="spellEnd"/>
      <w:r>
        <w:rPr>
          <w:rtl/>
        </w:rPr>
        <w:t xml:space="preserve"> מספרים: “מאורע לא טהור אירע עם בן ישיבה ששמע שהסופר </w:t>
      </w:r>
      <w:proofErr w:type="spellStart"/>
      <w:r>
        <w:rPr>
          <w:rtl/>
        </w:rPr>
        <w:t>רוזנסון</w:t>
      </w:r>
      <w:proofErr w:type="spellEnd"/>
      <w:r>
        <w:rPr>
          <w:rtl/>
        </w:rPr>
        <w:t xml:space="preserve"> מווילנה</w:t>
      </w:r>
      <w:bookmarkStart w:id="5259" w:name="_fnr3931"/>
      <w:r>
        <w:rPr>
          <w:vertAlign w:val="superscript"/>
          <w:rtl/>
        </w:rPr>
        <w:footnoteReference w:id="3940" w:customMarkFollows="0"/>
      </w:r>
      <w:bookmarkEnd w:id="5259"/>
      <w:r>
        <w:rPr>
          <w:rtl/>
        </w:rPr>
        <w:t xml:space="preserve"> שולח את ספריו בחינם לכל המבקש, ושלח לו מכתב בבקשה שישלח לו את הספרים. הצעיר יצא מן הישיבה לזמן מה כדי לבקר את משפחתו באחד החגים, ובינתיים הגיעו הספרים </w:t>
      </w:r>
      <w:proofErr w:type="spellStart"/>
      <w:r>
        <w:rPr>
          <w:rtl/>
        </w:rPr>
        <w:t>לוולוז׳ין</w:t>
      </w:r>
      <w:proofErr w:type="spellEnd"/>
      <w:r>
        <w:rPr>
          <w:rtl/>
        </w:rPr>
        <w:t xml:space="preserve"> כפי שביקש.” הנמען לא היה במקום לקבלם, ולכן הגיעו הספרים לבית </w:t>
      </w:r>
      <w:proofErr w:type="spellStart"/>
      <w:r>
        <w:rPr>
          <w:rtl/>
        </w:rPr>
        <w:t>הנצי״ב</w:t>
      </w:r>
      <w:proofErr w:type="spellEnd"/>
      <w:r>
        <w:rPr>
          <w:rtl/>
        </w:rPr>
        <w:t>.</w:t>
      </w:r>
    </w:p>
    <w:p w14:paraId="7FED4048" w14:textId="77777777" w:rsidR="00AB3647" w:rsidRDefault="00000000" w:rsidP="007923E9">
      <w:pPr>
        <w:spacing w:after="120" w:line="276" w:lineRule="auto"/>
        <w:ind w:firstLine="283"/>
        <w:jc w:val="both"/>
      </w:pPr>
      <w:r>
        <w:rPr>
          <w:rtl/>
        </w:rPr>
        <w:t xml:space="preserve">כשחזר התלמיד </w:t>
      </w:r>
      <w:proofErr w:type="spellStart"/>
      <w:r>
        <w:rPr>
          <w:rtl/>
        </w:rPr>
        <w:t>לוולוז׳ין</w:t>
      </w:r>
      <w:proofErr w:type="spellEnd"/>
      <w:r>
        <w:rPr>
          <w:rtl/>
        </w:rPr>
        <w:t xml:space="preserve">, הוזמן לבית ראש הישיבה, ושם “הרעים עליו ראש הישיבה: ‘האם באת לכאן להפיץ בישיבה את תורתו של </w:t>
      </w:r>
      <w:proofErr w:type="spellStart"/>
      <w:r>
        <w:rPr>
          <w:rtl/>
        </w:rPr>
        <w:t>רוזנסון</w:t>
      </w:r>
      <w:proofErr w:type="spellEnd"/>
      <w:r>
        <w:rPr>
          <w:rtl/>
        </w:rPr>
        <w:t xml:space="preserve">?!’ </w:t>
      </w:r>
      <w:proofErr w:type="spellStart"/>
      <w:r>
        <w:rPr>
          <w:rtl/>
        </w:rPr>
        <w:t>וכחצים</w:t>
      </w:r>
      <w:proofErr w:type="spellEnd"/>
      <w:r>
        <w:rPr>
          <w:rtl/>
        </w:rPr>
        <w:t xml:space="preserve"> מחודדים החודרים ופוצעים ניתכו עליו מפי ראש הישיבה שאגות, מחיאות, ברקים ורעמים. פני הנער השחירו כשולי הקדרה,</w:t>
      </w:r>
      <w:bookmarkStart w:id="5260" w:name="_fnr3932"/>
      <w:r>
        <w:rPr>
          <w:vertAlign w:val="superscript"/>
          <w:rtl/>
        </w:rPr>
        <w:footnoteReference w:id="3941" w:customMarkFollows="0"/>
      </w:r>
      <w:bookmarkEnd w:id="5260"/>
      <w:r>
        <w:rPr>
          <w:rtl/>
        </w:rPr>
        <w:t xml:space="preserve"> רגליו כשלו תחתיו, והוא ראה שנלכד כחולדה במלכודת. לשווא התנצל, ולשווא בכה בדמעות מרות כדי לעורר רחמים בלב [ראש הישיבה]. אכן, הרחמים היו רחוקים [מראש הישיבה], ודמעותיו נפלו על סלע שומם.</w:t>
      </w:r>
      <w:bookmarkStart w:id="5261" w:name="_fnr3933"/>
      <w:r>
        <w:rPr>
          <w:vertAlign w:val="superscript"/>
          <w:rtl/>
        </w:rPr>
        <w:footnoteReference w:id="3942" w:customMarkFollows="0"/>
      </w:r>
      <w:bookmarkEnd w:id="5261"/>
      <w:r>
        <w:rPr>
          <w:rtl/>
        </w:rPr>
        <w:t xml:space="preserve"> ראש הישיבה הכהו בלי רחמים; נתן לו מכות וסטירת לחי וגירשו מן הישיבה.” [הזיכרונות ממשיכים ומספרים שהצעיר התבייש לשוב לביתו </w:t>
      </w:r>
      <w:proofErr w:type="spellStart"/>
      <w:r>
        <w:rPr>
          <w:rtl/>
        </w:rPr>
        <w:t>ו“התיישב</w:t>
      </w:r>
      <w:proofErr w:type="spellEnd"/>
      <w:r>
        <w:rPr>
          <w:rtl/>
        </w:rPr>
        <w:t xml:space="preserve">” ללמוד בבית מדרש </w:t>
      </w:r>
      <w:proofErr w:type="spellStart"/>
      <w:r>
        <w:rPr>
          <w:rtl/>
        </w:rPr>
        <w:t>בוולוז׳ין</w:t>
      </w:r>
      <w:proofErr w:type="spellEnd"/>
      <w:r>
        <w:rPr>
          <w:rtl/>
        </w:rPr>
        <w:t xml:space="preserve">, “סובל רעב”, עד שהורשה לחזור לישיבה כעבור שלוש שנים (!).]</w:t>
      </w:r>
    </w:p>
    <w:p w14:paraId="4BC7F9F3" w14:textId="3B1ED8EF" w:rsidR="00AB3647" w:rsidRDefault="00000000" w:rsidP="007923E9">
      <w:pPr>
        <w:spacing w:after="120" w:line="276" w:lineRule="auto"/>
        <w:ind w:firstLine="283"/>
        <w:jc w:val="both"/>
      </w:pPr>
      <w:r>
        <w:rPr>
          <w:rtl/>
        </w:rPr>
        <w:t xml:space="preserve">(ד) מתועד </w:t>
      </w:r>
      <w:proofErr w:type="spellStart"/>
      <w:r>
        <w:rPr>
          <w:rtl/>
        </w:rPr>
        <w:t>שהנצי״ב</w:t>
      </w:r>
      <w:proofErr w:type="spellEnd"/>
      <w:r>
        <w:rPr>
          <w:rtl/>
        </w:rPr>
        <w:t xml:space="preserve"> סטר לתלמיד בראשית כהונתו, בשעה שאחיינו ר׳ </w:t>
      </w:r>
      <w:proofErr w:type="spellStart"/>
      <w:r>
        <w:rPr>
          <w:rtl/>
        </w:rPr>
        <w:t>יהושע־העשיל</w:t>
      </w:r>
      <w:proofErr w:type="spellEnd"/>
      <w:r>
        <w:rPr>
          <w:rtl/>
        </w:rPr>
        <w:t xml:space="preserve"> לוין ניסה ליטול ממנו את מקומו.</w:t>
      </w:r>
      <w:bookmarkStart w:id="5262" w:name="_fnr3934"/>
      <w:r>
        <w:rPr>
          <w:vertAlign w:val="superscript"/>
          <w:rtl/>
        </w:rPr>
        <w:footnoteReference w:id="3943" w:customMarkFollows="0"/>
      </w:r>
      <w:bookmarkEnd w:id="5262"/>
      <w:r>
        <w:rPr>
          <w:rtl/>
        </w:rPr>
        <w:t xml:space="preserve"> מאמרו של ש״ל </w:t>
      </w:r>
      <w:proofErr w:type="spellStart"/>
      <w:r>
        <w:rPr>
          <w:rtl/>
        </w:rPr>
        <w:t>ציטרון</w:t>
      </w:r>
      <w:proofErr w:type="spellEnd"/>
      <w:r>
        <w:rPr>
          <w:rtl/>
        </w:rPr>
        <w:t xml:space="preserve"> על “מלחמת הדינסטיות” </w:t>
      </w:r>
      <w:proofErr w:type="spellStart"/>
      <w:r>
        <w:rPr>
          <w:rtl/>
        </w:rPr>
        <w:t>בוולוז׳ין</w:t>
      </w:r>
      <w:proofErr w:type="spellEnd"/>
      <w:r>
        <w:rPr>
          <w:rtl/>
        </w:rPr>
        <w:t xml:space="preserve"> מספר: “כשקרא </w:t>
      </w:r>
      <w:proofErr w:type="spellStart"/>
      <w:r>
        <w:rPr>
          <w:rtl/>
        </w:rPr>
        <w:t>הנצי״ב</w:t>
      </w:r>
      <w:proofErr w:type="spellEnd"/>
      <w:r>
        <w:rPr>
          <w:rtl/>
        </w:rPr>
        <w:t xml:space="preserve"> למורדים שתמכו באחיין ר׳ </w:t>
      </w:r>
      <w:proofErr w:type="spellStart"/>
      <w:r>
        <w:rPr>
          <w:rtl/>
        </w:rPr>
        <w:t>יהושע־העשיל</w:t>
      </w:r>
      <w:proofErr w:type="spellEnd"/>
      <w:r>
        <w:rPr>
          <w:rtl/>
        </w:rPr>
        <w:t xml:space="preserve"> לוין והודיע שהמבוגרים שבהם מגורשים, פנה לצעירים ואמר: ‘לכו והרהרו תשובה והכול יימחל לכם, צאן אובדות, כי כל מה שעשיתם עשיתם רק מתוך קלות דעת.’ אבל אחד הצעירים העז פניו ואמר: ‘רבי, </w:t>
      </w:r>
      <w:r>
        <w:rPr>
          <w:rtl/>
        </w:rPr>
        <w:lastRenderedPageBreak/>
        <w:t xml:space="preserve">אני חושב שעליך ללכת ראשון, כי אתה מבוגר יותר!’ </w:t>
      </w:r>
      <w:proofErr w:type="spellStart"/>
      <w:r>
        <w:rPr>
          <w:rtl/>
        </w:rPr>
        <w:t>והנצי״ב</w:t>
      </w:r>
      <w:proofErr w:type="spellEnd"/>
      <w:r>
        <w:rPr>
          <w:rtl/>
        </w:rPr>
        <w:t xml:space="preserve"> קרא: ‘הא לך, שקץ!’ וסטר על פניו פעם ועוד פעם.” ראה גם הערה </w:t>
      </w:r>
      <w:r>
        <w:rPr>
          <w:rtl/>
        </w:rPr>
        <w:fldChar w:fldCharType="begin" w:dirty="true"/>
      </w:r>
      <w:r>
        <w:rPr>
          <w:rtl/>
        </w:rPr>
        <w:instrText xml:space="preserve"> REF b4_note151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151</w:t>
      </w:r>
      <w:r>
        <w:rPr>
          <w:rtl/>
        </w:rPr>
        <w:fldChar w:fldCharType="end"/>
      </w:r>
      <w:r>
        <w:rPr>
          <w:rtl/>
        </w:rPr>
        <w:t xml:space="preserve"> לעיל, על ראש ישיבת כנסת בית יצחק </w:t>
      </w:r>
      <w:proofErr w:type="spellStart"/>
      <w:r>
        <w:rPr>
          <w:rtl/>
        </w:rPr>
        <w:t>בסלבודקה</w:t>
      </w:r>
      <w:proofErr w:type="spellEnd"/>
      <w:r>
        <w:rPr>
          <w:rtl/>
        </w:rPr>
        <w:t xml:space="preserve"> שסטר לתלמיד חצוף, </w:t>
      </w:r>
      <w:proofErr w:type="spellStart"/>
      <w:r>
        <w:rPr>
          <w:rtl/>
        </w:rPr>
        <w:t>חמש־עשרה</w:t>
      </w:r>
      <w:proofErr w:type="spellEnd"/>
      <w:r>
        <w:rPr>
          <w:rtl/>
        </w:rPr>
        <w:t xml:space="preserve"> שנים אחרי המועד המאוחר ביותר שבו מתועד </w:t>
      </w:r>
      <w:proofErr w:type="spellStart"/>
      <w:r>
        <w:rPr>
          <w:rtl/>
        </w:rPr>
        <w:t>שהנצי״ב</w:t>
      </w:r>
      <w:proofErr w:type="spellEnd"/>
      <w:r>
        <w:rPr>
          <w:rtl/>
        </w:rPr>
        <w:t xml:space="preserve"> עשה כך </w:t>
      </w:r>
      <w:proofErr w:type="spellStart"/>
      <w:r>
        <w:rPr>
          <w:rtl/>
        </w:rPr>
        <w:t>בוולוז׳ין</w:t>
      </w:r>
      <w:proofErr w:type="spellEnd"/>
      <w:r>
        <w:rPr>
          <w:rtl/>
        </w:rPr>
        <w:t>.</w:t>
      </w:r>
    </w:p>
    <w:p w14:paraId="51CCB96A" w14:textId="77777777" w:rsidR="00AB3647" w:rsidRDefault="00000000" w:rsidP="007923E9">
      <w:pPr>
        <w:spacing w:after="120" w:line="276" w:lineRule="auto"/>
        <w:ind w:firstLine="283"/>
        <w:jc w:val="both"/>
      </w:pPr>
      <w:r>
        <w:rPr>
          <w:rtl/>
        </w:rPr>
        <w:t xml:space="preserve">* </w:t>
      </w:r>
      <w:proofErr w:type="spellStart"/>
      <w:r>
        <w:rPr>
          <w:rtl/>
        </w:rPr>
        <w:t>מיכה־יוסף</w:t>
      </w:r>
      <w:proofErr w:type="spellEnd"/>
      <w:r>
        <w:rPr>
          <w:rtl/>
        </w:rPr>
        <w:t xml:space="preserve"> ברדיצ׳בסקי, שהיה אז תלמיד, מתלונן בפיליטון</w:t>
      </w:r>
      <w:bookmarkStart w:id="5263" w:name="_fnr3935"/>
      <w:r>
        <w:rPr>
          <w:vertAlign w:val="superscript"/>
          <w:rtl/>
        </w:rPr>
        <w:footnoteReference w:id="3944" w:customMarkFollows="0"/>
      </w:r>
      <w:bookmarkEnd w:id="5263"/>
      <w:r>
        <w:rPr>
          <w:rtl/>
        </w:rPr>
        <w:t xml:space="preserve"> </w:t>
      </w:r>
      <w:proofErr w:type="spellStart"/>
      <w:r>
        <w:rPr>
          <w:rtl/>
        </w:rPr>
        <w:t>ב“המליץ</w:t>
      </w:r>
      <w:proofErr w:type="spellEnd"/>
      <w:r>
        <w:rPr>
          <w:rtl/>
        </w:rPr>
        <w:t>”</w:t>
      </w:r>
      <w:bookmarkStart w:id="5264" w:name="_fnr3936"/>
      <w:r>
        <w:rPr>
          <w:vertAlign w:val="superscript"/>
          <w:rtl/>
        </w:rPr>
        <w:footnoteReference w:id="3945" w:customMarkFollows="0"/>
      </w:r>
      <w:bookmarkEnd w:id="5264"/>
      <w:r>
        <w:rPr>
          <w:rtl/>
        </w:rPr>
        <w:t xml:space="preserve">, בשם העט “בר </w:t>
      </w:r>
      <w:proofErr w:type="spellStart"/>
      <w:r>
        <w:rPr>
          <w:rtl/>
        </w:rPr>
        <w:t>בי־רב</w:t>
      </w:r>
      <w:proofErr w:type="spellEnd"/>
      <w:r>
        <w:rPr>
          <w:rtl/>
        </w:rPr>
        <w:t xml:space="preserve">”, על מורת רוחה של הרבנית, אשת </w:t>
      </w:r>
      <w:proofErr w:type="spellStart"/>
      <w:r>
        <w:rPr>
          <w:rtl/>
        </w:rPr>
        <w:t>הנצי״ב</w:t>
      </w:r>
      <w:proofErr w:type="spellEnd"/>
      <w:r>
        <w:rPr>
          <w:rtl/>
        </w:rPr>
        <w:t xml:space="preserve">, מן המשגיח “מפני שהוא מתנהג בנחת ומדבר ברכות לבני הישיבה. אבל”, ממשיך ברדיצ׳בסקי, “[המשגיח], כחכם שעיניו רואות את הנולד, יודע שאין עוד בעלי </w:t>
      </w:r>
      <w:proofErr w:type="spellStart"/>
      <w:r>
        <w:rPr>
          <w:rtl/>
        </w:rPr>
        <w:t>אגרופין</w:t>
      </w:r>
      <w:proofErr w:type="spellEnd"/>
      <w:r>
        <w:rPr>
          <w:rtl/>
        </w:rPr>
        <w:t xml:space="preserve"> של בית דוד,</w:t>
      </w:r>
      <w:bookmarkStart w:id="5265" w:name="_fnr3937"/>
      <w:r>
        <w:rPr>
          <w:vertAlign w:val="superscript"/>
          <w:rtl/>
        </w:rPr>
        <w:footnoteReference w:id="3946" w:customMarkFollows="0"/>
      </w:r>
      <w:bookmarkEnd w:id="5265"/>
      <w:r>
        <w:rPr>
          <w:rtl/>
        </w:rPr>
        <w:t xml:space="preserve"> תלמידים תקיפים ומסורים לראש הישיבה.</w:t>
      </w:r>
      <w:bookmarkStart w:id="5266" w:name="_fnr3938"/>
      <w:r>
        <w:rPr>
          <w:vertAlign w:val="superscript"/>
          <w:rtl/>
        </w:rPr>
        <w:footnoteReference w:id="3947" w:customMarkFollows="0"/>
      </w:r>
      <w:bookmarkEnd w:id="5266"/>
      <w:r>
        <w:rPr>
          <w:rtl/>
        </w:rPr>
        <w:t xml:space="preserve"> יתר על כן... די לו לראות את העבר, מה קרה למשגיח שקדם לו, ש... פריצי הישיבה הכוהו”. הכותב מוסיף בלעג, בסוגריים: “כי גם בישיבה יש פריצים!”</w:t>
      </w:r>
    </w:p>
    <w:p w14:paraId="35F2050E" w14:textId="77777777" w:rsidR="00AB3647" w:rsidRDefault="00000000" w:rsidP="007923E9">
      <w:pPr>
        <w:spacing w:after="120" w:line="276" w:lineRule="auto"/>
        <w:ind w:firstLine="283"/>
        <w:jc w:val="both"/>
      </w:pPr>
      <w:r>
        <w:rPr>
          <w:rtl/>
        </w:rPr>
        <w:t xml:space="preserve">ראה גם מאמר מאת </w:t>
      </w:r>
      <w:proofErr w:type="spellStart"/>
      <w:r>
        <w:rPr>
          <w:rtl/>
        </w:rPr>
        <w:t>שמואל־שרגא</w:t>
      </w:r>
      <w:proofErr w:type="spellEnd"/>
      <w:r>
        <w:rPr>
          <w:rtl/>
        </w:rPr>
        <w:t xml:space="preserve"> </w:t>
      </w:r>
      <w:proofErr w:type="spellStart"/>
      <w:r>
        <w:rPr>
          <w:rtl/>
        </w:rPr>
        <w:t>ביאלובלוצקי</w:t>
      </w:r>
      <w:proofErr w:type="spellEnd"/>
      <w:r>
        <w:rPr>
          <w:rtl/>
        </w:rPr>
        <w:t xml:space="preserve">, “מרכזי התורה”, </w:t>
      </w:r>
      <w:proofErr w:type="spellStart"/>
      <w:r>
        <w:rPr>
          <w:rtl/>
        </w:rPr>
        <w:t>ב“יהדות</w:t>
      </w:r>
      <w:proofErr w:type="spellEnd"/>
      <w:r>
        <w:rPr>
          <w:rtl/>
        </w:rPr>
        <w:t xml:space="preserve"> ליטא”, כרך א׳,</w:t>
      </w:r>
      <w:bookmarkStart w:id="5267" w:name="_fnr3939"/>
      <w:r>
        <w:rPr>
          <w:vertAlign w:val="superscript"/>
          <w:rtl/>
        </w:rPr>
        <w:footnoteReference w:id="3948" w:customMarkFollows="0"/>
      </w:r>
      <w:bookmarkEnd w:id="5267"/>
      <w:r>
        <w:rPr>
          <w:rtl/>
        </w:rPr>
        <w:t xml:space="preserve"> המתאר את המאורעות שהביאו לאספת הרבנים </w:t>
      </w:r>
      <w:proofErr w:type="spellStart"/>
      <w:r>
        <w:rPr>
          <w:rtl/>
        </w:rPr>
        <w:t>בתרמ״ז</w:t>
      </w:r>
      <w:proofErr w:type="spellEnd"/>
      <w:r>
        <w:rPr>
          <w:rtl/>
        </w:rPr>
        <w:t>.</w:t>
      </w:r>
      <w:bookmarkStart w:id="5268" w:name="_fnr3940"/>
      <w:r>
        <w:rPr>
          <w:vertAlign w:val="superscript"/>
          <w:rtl/>
        </w:rPr>
        <w:footnoteReference w:id="3949" w:customMarkFollows="0"/>
      </w:r>
      <w:bookmarkEnd w:id="5268"/>
      <w:r>
        <w:rPr>
          <w:rtl/>
        </w:rPr>
        <w:t xml:space="preserve"> באספה זו נאלצו גדולי הרבנים ברוסיה, ובהם ר׳ </w:t>
      </w:r>
      <w:proofErr w:type="spellStart"/>
      <w:r>
        <w:rPr>
          <w:rtl/>
        </w:rPr>
        <w:t>יצחק־אלחנן</w:t>
      </w:r>
      <w:proofErr w:type="spellEnd"/>
      <w:r>
        <w:rPr>
          <w:rtl/>
        </w:rPr>
        <w:t xml:space="preserve"> </w:t>
      </w:r>
      <w:proofErr w:type="spellStart"/>
      <w:r>
        <w:rPr>
          <w:rtl/>
        </w:rPr>
        <w:t>ספקטור</w:t>
      </w:r>
      <w:proofErr w:type="spellEnd"/>
      <w:r>
        <w:rPr>
          <w:rtl/>
        </w:rPr>
        <w:t xml:space="preserve">, ר׳ יוסף־דב </w:t>
      </w:r>
      <w:proofErr w:type="spellStart"/>
      <w:r>
        <w:rPr>
          <w:rtl/>
        </w:rPr>
        <w:t>סולובייצ׳יק</w:t>
      </w:r>
      <w:proofErr w:type="spellEnd"/>
      <w:r>
        <w:rPr>
          <w:rtl/>
        </w:rPr>
        <w:t xml:space="preserve">, ר׳ </w:t>
      </w:r>
      <w:proofErr w:type="spellStart"/>
      <w:r>
        <w:rPr>
          <w:rtl/>
        </w:rPr>
        <w:t>אליהו־חיים</w:t>
      </w:r>
      <w:proofErr w:type="spellEnd"/>
      <w:r>
        <w:rPr>
          <w:rtl/>
        </w:rPr>
        <w:t xml:space="preserve"> </w:t>
      </w:r>
      <w:proofErr w:type="spellStart"/>
      <w:r>
        <w:rPr>
          <w:rtl/>
        </w:rPr>
        <w:t>מייזל</w:t>
      </w:r>
      <w:proofErr w:type="spellEnd"/>
      <w:r>
        <w:rPr>
          <w:rtl/>
        </w:rPr>
        <w:t xml:space="preserve">, ר׳ </w:t>
      </w:r>
      <w:proofErr w:type="spellStart"/>
      <w:r>
        <w:rPr>
          <w:rtl/>
        </w:rPr>
        <w:t>צבי־הירש</w:t>
      </w:r>
      <w:proofErr w:type="spellEnd"/>
      <w:r>
        <w:rPr>
          <w:rtl/>
        </w:rPr>
        <w:t xml:space="preserve"> </w:t>
      </w:r>
      <w:proofErr w:type="spellStart"/>
      <w:r>
        <w:rPr>
          <w:rtl/>
        </w:rPr>
        <w:t>רבינוביץ</w:t>
      </w:r>
      <w:proofErr w:type="spellEnd"/>
      <w:r>
        <w:rPr>
          <w:rtl/>
        </w:rPr>
        <w:t xml:space="preserve">, ר׳ הלל </w:t>
      </w:r>
      <w:proofErr w:type="spellStart"/>
      <w:r>
        <w:rPr>
          <w:rtl/>
        </w:rPr>
        <w:t>מיליקובסקי</w:t>
      </w:r>
      <w:proofErr w:type="spellEnd"/>
      <w:r>
        <w:rPr>
          <w:rtl/>
        </w:rPr>
        <w:t xml:space="preserve">, ר׳ </w:t>
      </w:r>
      <w:proofErr w:type="spellStart"/>
      <w:r>
        <w:rPr>
          <w:rtl/>
        </w:rPr>
        <w:t xml:space="preserve">ליפל׳ה</w:t>
      </w:r>
      <w:proofErr w:type="spellEnd"/>
      <w:r>
        <w:rPr>
          <w:rtl/>
        </w:rPr>
        <w:t xml:space="preserve"> </w:t>
      </w:r>
      <w:proofErr w:type="spellStart"/>
      <w:r>
        <w:rPr>
          <w:rtl/>
        </w:rPr>
        <w:t>בסלבסקי</w:t>
      </w:r>
      <w:proofErr w:type="spellEnd"/>
      <w:r>
        <w:rPr>
          <w:rtl/>
        </w:rPr>
        <w:t xml:space="preserve"> ממיר ור׳ </w:t>
      </w:r>
      <w:proofErr w:type="spellStart"/>
      <w:r>
        <w:rPr>
          <w:rtl/>
        </w:rPr>
        <w:t>יצחק־יעקב</w:t>
      </w:r>
      <w:proofErr w:type="spellEnd"/>
      <w:r>
        <w:rPr>
          <w:rtl/>
        </w:rPr>
        <w:t xml:space="preserve"> ריינס, לחתום על הסכמתם להכניס לימודי חול מסוימים לישיבת </w:t>
      </w:r>
      <w:proofErr w:type="spellStart"/>
      <w:r>
        <w:rPr>
          <w:rtl/>
        </w:rPr>
        <w:t>וולוז׳ין</w:t>
      </w:r>
      <w:proofErr w:type="spellEnd"/>
      <w:r>
        <w:rPr>
          <w:rtl/>
        </w:rPr>
        <w:t>.</w:t>
      </w:r>
      <w:bookmarkStart w:id="5269" w:name="_fnr3941"/>
      <w:r>
        <w:rPr>
          <w:vertAlign w:val="superscript"/>
          <w:rtl/>
        </w:rPr>
        <w:footnoteReference w:id="3950" w:customMarkFollows="0"/>
      </w:r>
      <w:bookmarkEnd w:id="5269"/>
    </w:p>
    <w:p w14:paraId="20B8B2FE" w14:textId="77777777" w:rsidR="00AB3647" w:rsidRDefault="00000000" w:rsidP="007923E9">
      <w:pPr>
        <w:spacing w:after="120" w:line="276" w:lineRule="auto"/>
        <w:ind w:firstLine="283"/>
        <w:jc w:val="both"/>
      </w:pPr>
      <w:proofErr w:type="spellStart"/>
      <w:r>
        <w:rPr>
          <w:rtl/>
        </w:rPr>
        <w:t>ביאלובלוצקי</w:t>
      </w:r>
      <w:proofErr w:type="spellEnd"/>
      <w:r>
        <w:rPr>
          <w:rtl/>
        </w:rPr>
        <w:t xml:space="preserve"> כותב: “כל עוד נעשתה החתירה [</w:t>
      </w:r>
      <w:proofErr w:type="spellStart"/>
      <w:r>
        <w:rPr>
          <w:rtl/>
        </w:rPr>
        <w:t>בוולוז׳ין</w:t>
      </w:r>
      <w:proofErr w:type="spellEnd"/>
      <w:r>
        <w:rPr>
          <w:rtl/>
        </w:rPr>
        <w:t xml:space="preserve">] מבחוץ בלבד, אפשר היה להערים על השלטון. אבל כשנמצאו בין הבחורים עצמם תומכי המשכילים במלחמתם לשינויים בישיבה, נעשו הדברים קשים. אכן, הם היו מעטים והשפעתם לא הייתה חשובה במיוחד, אבל למשכילים היה על מי לסמוך [כדי לערער את הישיבה מבפנים].” זה היה המצב המצער </w:t>
      </w:r>
      <w:proofErr w:type="spellStart"/>
      <w:r>
        <w:rPr>
          <w:rtl/>
        </w:rPr>
        <w:t>בוולוז׳ין</w:t>
      </w:r>
      <w:proofErr w:type="spellEnd"/>
      <w:r>
        <w:rPr>
          <w:rtl/>
        </w:rPr>
        <w:t xml:space="preserve"> באמצע שנות </w:t>
      </w:r>
      <w:proofErr w:type="spellStart"/>
      <w:r>
        <w:rPr>
          <w:rtl/>
        </w:rPr>
        <w:t>הת״ר־מ</w:t>
      </w:r>
      <w:proofErr w:type="spellEnd"/>
      <w:r>
        <w:rPr>
          <w:rtl/>
        </w:rPr>
        <w:t>׳ ובסופן.</w:t>
      </w:r>
    </w:p>
    <w:p w14:paraId="68B789FF" w14:textId="77777777" w:rsidR="00AB3647" w:rsidRDefault="00000000" w:rsidP="007923E9">
      <w:pPr>
        <w:spacing w:after="120" w:line="276" w:lineRule="auto"/>
        <w:ind w:firstLine="283"/>
        <w:jc w:val="both"/>
      </w:pPr>
      <w:r>
        <w:rPr>
          <w:rtl/>
        </w:rPr>
        <w:t xml:space="preserve">* בנאום פומבי בחגיגת יום הולדתו השישים של </w:t>
      </w:r>
      <w:proofErr w:type="spellStart"/>
      <w:r>
        <w:rPr>
          <w:rtl/>
        </w:rPr>
        <w:t>א״מ</w:t>
      </w:r>
      <w:proofErr w:type="spellEnd"/>
      <w:r>
        <w:rPr>
          <w:rtl/>
        </w:rPr>
        <w:t xml:space="preserve"> ברכיהו באדר </w:t>
      </w:r>
      <w:proofErr w:type="spellStart"/>
      <w:r>
        <w:rPr>
          <w:rtl/>
        </w:rPr>
        <w:t>תר״ץ</w:t>
      </w:r>
      <w:proofErr w:type="spellEnd"/>
      <w:r>
        <w:rPr>
          <w:rtl/>
        </w:rPr>
        <w:t xml:space="preserve">, כפי שנרשם </w:t>
      </w:r>
      <w:proofErr w:type="spellStart"/>
      <w:r>
        <w:rPr>
          <w:rtl/>
        </w:rPr>
        <w:t>ב“דברים</w:t>
      </w:r>
      <w:proofErr w:type="spellEnd"/>
      <w:r>
        <w:rPr>
          <w:rtl/>
        </w:rPr>
        <w:t xml:space="preserve"> שבעל פה”, כרך ב׳,</w:t>
      </w:r>
      <w:bookmarkStart w:id="5270" w:name="_fnr3942"/>
      <w:r>
        <w:rPr>
          <w:vertAlign w:val="superscript"/>
          <w:rtl/>
        </w:rPr>
        <w:footnoteReference w:id="3951" w:customMarkFollows="0"/>
      </w:r>
      <w:bookmarkEnd w:id="5270"/>
      <w:r>
        <w:rPr>
          <w:rtl/>
        </w:rPr>
        <w:t xml:space="preserve"> תיאר </w:t>
      </w:r>
      <w:proofErr w:type="spellStart"/>
      <w:r>
        <w:rPr>
          <w:rtl/>
        </w:rPr>
        <w:t>חיים־נחמן</w:t>
      </w:r>
      <w:proofErr w:type="spellEnd"/>
      <w:r>
        <w:rPr>
          <w:rtl/>
        </w:rPr>
        <w:t xml:space="preserve"> ביאליק את שיעוריו החריפים של ר׳ חיים </w:t>
      </w:r>
      <w:proofErr w:type="spellStart"/>
      <w:r>
        <w:rPr>
          <w:rtl/>
        </w:rPr>
        <w:t>סולובייצ׳יק</w:t>
      </w:r>
      <w:proofErr w:type="spellEnd"/>
      <w:r>
        <w:rPr>
          <w:rtl/>
        </w:rPr>
        <w:t xml:space="preserve"> </w:t>
      </w:r>
      <w:proofErr w:type="spellStart"/>
      <w:r>
        <w:rPr>
          <w:rtl/>
        </w:rPr>
        <w:t>בוולוז׳ין</w:t>
      </w:r>
      <w:proofErr w:type="spellEnd"/>
      <w:r>
        <w:rPr>
          <w:rtl/>
        </w:rPr>
        <w:t xml:space="preserve"> והוסיף: “המאורעות התגלגלו כך שחלק גדול (ההדגשה שלי) מן התלמידים יצאו ופנו לתחומים אחרים. הם הביאו עמם כלי עבודה מוכנים – שכל מחודד ואזמלים שהושחזו במשך מאות שנים – והשתמשו בהם לחומר חדש.” על השתתפותו שלו בשיעורים העיר ביאליק שהוא “השתמט ולא שמע לא את זה </w:t>
      </w:r>
      <w:proofErr w:type="spellStart"/>
      <w:r>
        <w:rPr>
          <w:rtl/>
        </w:rPr>
        <w:t>הנצי״ב</w:t>
      </w:r>
      <w:proofErr w:type="spellEnd"/>
      <w:r>
        <w:rPr>
          <w:rtl/>
        </w:rPr>
        <w:t xml:space="preserve"> ולא את זה ר׳ חיים”.</w:t>
      </w:r>
    </w:p>
    <w:p w14:paraId="6435DFAA" w14:textId="77777777" w:rsidR="00AB3647" w:rsidRDefault="00000000" w:rsidP="007923E9">
      <w:pPr>
        <w:spacing w:after="120" w:line="276" w:lineRule="auto"/>
        <w:ind w:firstLine="283"/>
        <w:jc w:val="both"/>
      </w:pPr>
      <w:r>
        <w:rPr>
          <w:rtl/>
        </w:rPr>
        <w:lastRenderedPageBreak/>
        <w:t>כרך א׳ של “אגרות חיים נחמן ביאליק”</w:t>
      </w:r>
      <w:bookmarkStart w:id="5271" w:name="_fnr3943"/>
      <w:r>
        <w:rPr>
          <w:vertAlign w:val="superscript"/>
          <w:rtl/>
        </w:rPr>
        <w:footnoteReference w:id="3952" w:customMarkFollows="0"/>
      </w:r>
      <w:bookmarkEnd w:id="5271"/>
      <w:r>
        <w:rPr>
          <w:rtl/>
        </w:rPr>
        <w:t xml:space="preserve"> מביא מכתב ובו “ראשי פרקים אוטוביוגרפיים” ששלח ביאליק לד״ר יוסף </w:t>
      </w:r>
      <w:proofErr w:type="spellStart"/>
      <w:r>
        <w:rPr>
          <w:rtl/>
        </w:rPr>
        <w:t>קלוזנר</w:t>
      </w:r>
      <w:proofErr w:type="spellEnd"/>
      <w:r>
        <w:rPr>
          <w:rtl/>
        </w:rPr>
        <w:t>: “אגודה לאומית ‘חשאית’ נוסדה [בישיבה] מן המובחרים שבתלמידים, ‘</w:t>
      </w:r>
      <w:proofErr w:type="spellStart"/>
      <w:r>
        <w:rPr>
          <w:rtl/>
        </w:rPr>
        <w:t>מסלתה</w:t>
      </w:r>
      <w:proofErr w:type="spellEnd"/>
      <w:r>
        <w:rPr>
          <w:rtl/>
        </w:rPr>
        <w:t xml:space="preserve"> ומשמנה’ (ההדגשה שלי), ולה תוכנית ‘רחבה ועשירה’, דגם מוקטן של תוכנית בני משה – אף שלא שמענו על אגודת בני משה. באגודתנו ניכרו שני זרמים לאומיים: אחד העם </w:t>
      </w:r>
      <w:proofErr w:type="spellStart"/>
      <w:r>
        <w:rPr>
          <w:rtl/>
        </w:rPr>
        <w:t>ויעבץ</w:t>
      </w:r>
      <w:proofErr w:type="spellEnd"/>
      <w:r>
        <w:rPr>
          <w:rtl/>
        </w:rPr>
        <w:t>.” מיותר להוסיף שלא היה מקום לאגודה “חשאית” זו</w:t>
      </w:r>
      <w:bookmarkStart w:id="5272" w:name="_fnr3944"/>
      <w:r>
        <w:rPr>
          <w:vertAlign w:val="superscript"/>
          <w:rtl/>
        </w:rPr>
        <w:footnoteReference w:id="3953" w:customMarkFollows="0"/>
      </w:r>
      <w:bookmarkEnd w:id="5272"/>
      <w:r>
        <w:rPr>
          <w:rtl/>
        </w:rPr>
        <w:t xml:space="preserve"> בישיבה “בריאה”.</w:t>
      </w:r>
    </w:p>
    <w:p w14:paraId="01D26968" w14:textId="77777777" w:rsidR="00AB3647" w:rsidRDefault="00000000" w:rsidP="007923E9">
      <w:pPr>
        <w:spacing w:after="120" w:line="276" w:lineRule="auto"/>
        <w:ind w:firstLine="283"/>
        <w:jc w:val="both"/>
      </w:pPr>
      <w:proofErr w:type="spellStart"/>
      <w:r>
        <w:rPr>
          <w:rtl/>
        </w:rPr>
        <w:t>חיים־נחמן</w:t>
      </w:r>
      <w:proofErr w:type="spellEnd"/>
      <w:r>
        <w:rPr>
          <w:rtl/>
        </w:rPr>
        <w:t xml:space="preserve"> ביאליק, שנודע בישיבת </w:t>
      </w:r>
      <w:proofErr w:type="spellStart"/>
      <w:r>
        <w:rPr>
          <w:rtl/>
        </w:rPr>
        <w:t>וולוז׳ין</w:t>
      </w:r>
      <w:proofErr w:type="spellEnd"/>
      <w:r>
        <w:rPr>
          <w:rtl/>
        </w:rPr>
        <w:t xml:space="preserve"> בשם “חיים </w:t>
      </w:r>
      <w:proofErr w:type="spellStart"/>
      <w:r>
        <w:rPr>
          <w:rtl/>
        </w:rPr>
        <w:t>ז׳יטומירר</w:t>
      </w:r>
      <w:proofErr w:type="spellEnd"/>
      <w:r>
        <w:rPr>
          <w:rtl/>
        </w:rPr>
        <w:t xml:space="preserve">”, למד שם שנה וחצי בשנים </w:t>
      </w:r>
      <w:proofErr w:type="spellStart"/>
      <w:r>
        <w:rPr>
          <w:rtl/>
        </w:rPr>
        <w:t>תר״ן</w:t>
      </w:r>
      <w:proofErr w:type="spellEnd"/>
      <w:r>
        <w:rPr>
          <w:rtl/>
        </w:rPr>
        <w:t xml:space="preserve">–תרנ״א, שנותיה האחרונות של כהונת ר׳ חיים </w:t>
      </w:r>
      <w:proofErr w:type="spellStart"/>
      <w:r>
        <w:rPr>
          <w:rtl/>
        </w:rPr>
        <w:t>סולובייצ׳יק</w:t>
      </w:r>
      <w:proofErr w:type="spellEnd"/>
      <w:r>
        <w:rPr>
          <w:rtl/>
        </w:rPr>
        <w:t xml:space="preserve"> ושל קיום הישיבה.</w:t>
      </w:r>
    </w:p>
    <w:p w14:paraId="00227CCC" w14:textId="77777777" w:rsidR="00AB3647" w:rsidRDefault="00000000" w:rsidP="007923E9">
      <w:pPr>
        <w:spacing w:after="120" w:line="276" w:lineRule="auto"/>
        <w:ind w:firstLine="283"/>
        <w:jc w:val="both"/>
      </w:pPr>
      <w:r>
        <w:rPr>
          <w:rtl/>
        </w:rPr>
        <w:t xml:space="preserve">* בפרק המתאר את סגירת הישיבה </w:t>
      </w:r>
      <w:proofErr w:type="spellStart"/>
      <w:r>
        <w:rPr>
          <w:rtl/>
        </w:rPr>
        <w:t>ב“מוולוז׳ין</w:t>
      </w:r>
      <w:proofErr w:type="spellEnd"/>
      <w:r>
        <w:rPr>
          <w:rtl/>
        </w:rPr>
        <w:t>”</w:t>
      </w:r>
      <w:bookmarkStart w:id="5273" w:name="_fnr3945"/>
      <w:r>
        <w:rPr>
          <w:vertAlign w:val="superscript"/>
          <w:rtl/>
        </w:rPr>
        <w:footnoteReference w:id="3954" w:customMarkFollows="0"/>
      </w:r>
      <w:bookmarkEnd w:id="5273"/>
      <w:r>
        <w:rPr>
          <w:rtl/>
        </w:rPr>
        <w:t xml:space="preserve"> כותב בנו הצעיר של </w:t>
      </w:r>
      <w:proofErr w:type="spellStart"/>
      <w:r>
        <w:rPr>
          <w:rtl/>
        </w:rPr>
        <w:t>הנצי״ב</w:t>
      </w:r>
      <w:proofErr w:type="spellEnd"/>
      <w:r>
        <w:rPr>
          <w:rtl/>
        </w:rPr>
        <w:t>, ר׳ מאיר ברלין: “אחד או שניים מבני הישיבה, ‘</w:t>
      </w:r>
      <w:proofErr w:type="spellStart"/>
      <w:r>
        <w:rPr>
          <w:rtl/>
        </w:rPr>
        <w:t>ישיבה־לייט</w:t>
      </w:r>
      <w:proofErr w:type="spellEnd"/>
      <w:r>
        <w:rPr>
          <w:rtl/>
        </w:rPr>
        <w:t xml:space="preserve"> מרשיעי ברית’,</w:t>
      </w:r>
      <w:bookmarkStart w:id="5274" w:name="_fnr3946"/>
      <w:r>
        <w:rPr>
          <w:vertAlign w:val="superscript"/>
          <w:rtl/>
        </w:rPr>
        <w:footnoteReference w:id="3955" w:customMarkFollows="0"/>
      </w:r>
      <w:bookmarkEnd w:id="5274"/>
      <w:r>
        <w:rPr>
          <w:rtl/>
        </w:rPr>
        <w:t xml:space="preserve"> שביקשו להחריב את הישיבה (ההדגשה שלי), ניהלו חליפת מכתבים עם [יהושע] שטיינברג” – משכיל שליווה אחר כך את מפקח בתי הספר הרוסי מווילנה, בירת הפלך, </w:t>
      </w:r>
      <w:proofErr w:type="spellStart"/>
      <w:r>
        <w:rPr>
          <w:rtl/>
        </w:rPr>
        <w:t>לוולוז׳ין</w:t>
      </w:r>
      <w:proofErr w:type="spellEnd"/>
      <w:r>
        <w:rPr>
          <w:rtl/>
        </w:rPr>
        <w:t xml:space="preserve">, לפשיטה פתאומית על הישיבה – “לפני בואו </w:t>
      </w:r>
      <w:proofErr w:type="spellStart"/>
      <w:r>
        <w:rPr>
          <w:rtl/>
        </w:rPr>
        <w:t>לוולוז׳ין</w:t>
      </w:r>
      <w:proofErr w:type="spellEnd"/>
      <w:r>
        <w:rPr>
          <w:rtl/>
        </w:rPr>
        <w:t>; וגם בזמן שהותו שם קיימו עמו שיחות חשאיות”. אחרי שהוא מתאר כיצד זימן המפקח כל תלמיד ותלמיד ביחידות, מגלה ר׳ מאיר ברלין, שם,</w:t>
      </w:r>
      <w:bookmarkStart w:id="5275" w:name="_fnr3947"/>
      <w:r>
        <w:rPr>
          <w:vertAlign w:val="superscript"/>
          <w:rtl/>
        </w:rPr>
        <w:footnoteReference w:id="3956" w:customMarkFollows="0"/>
      </w:r>
      <w:bookmarkEnd w:id="5275"/>
      <w:r>
        <w:rPr>
          <w:rtl/>
        </w:rPr>
        <w:t xml:space="preserve"> מה הטריד את ההנהלה: “מי יודע מה סיפרו [למפקח] כמה מבני הישיבה מתוך כוונה רעה?! לצערנו היו אז כאלה [שדיברו סרה].”</w:t>
      </w:r>
    </w:p>
    <w:p w14:paraId="461A5290" w14:textId="77777777" w:rsidR="00AB3647" w:rsidRDefault="00000000" w:rsidP="007923E9">
      <w:pPr>
        <w:spacing w:after="120" w:line="276" w:lineRule="auto"/>
        <w:ind w:firstLine="283"/>
        <w:jc w:val="both"/>
      </w:pPr>
      <w:r>
        <w:rPr>
          <w:rtl/>
        </w:rPr>
        <w:t>ראה גם “ר׳ משה שמואל ודורו”,</w:t>
      </w:r>
      <w:bookmarkStart w:id="5276" w:name="_fnr3948"/>
      <w:r>
        <w:rPr>
          <w:vertAlign w:val="superscript"/>
          <w:rtl/>
        </w:rPr>
        <w:footnoteReference w:id="3957" w:customMarkFollows="0"/>
      </w:r>
      <w:bookmarkEnd w:id="5276"/>
      <w:r>
        <w:rPr>
          <w:rtl/>
        </w:rPr>
        <w:t xml:space="preserve"> הנוקב בשם העיר שממנה בא אחד ממשתפי הפעולה של שטיינברג. העובדה שישיבת </w:t>
      </w:r>
      <w:proofErr w:type="spellStart"/>
      <w:r>
        <w:rPr>
          <w:rtl/>
        </w:rPr>
        <w:t>וולוז׳ין</w:t>
      </w:r>
      <w:proofErr w:type="spellEnd"/>
      <w:r>
        <w:rPr>
          <w:rtl/>
        </w:rPr>
        <w:t xml:space="preserve"> הייתה נתונה לפעולתו של גיס חמישי עשויה להסביר מדוע נרדפה בידי השלטון הרוסי, בעוד ישיבת </w:t>
      </w:r>
      <w:proofErr w:type="spellStart"/>
      <w:r>
        <w:rPr>
          <w:rtl/>
        </w:rPr>
        <w:t>סלבודקה</w:t>
      </w:r>
      <w:proofErr w:type="spellEnd"/>
      <w:r>
        <w:rPr>
          <w:rtl/>
        </w:rPr>
        <w:t>, שלמדו בה עשרות רבות של תלמידים, יכלה להמשיך לפעול בלי הפרעה.</w:t>
      </w:r>
      <w:bookmarkStart w:id="5277" w:name="_fnr3949"/>
      <w:r>
        <w:rPr>
          <w:vertAlign w:val="superscript"/>
          <w:rtl/>
        </w:rPr>
        <w:footnoteReference w:id="3958" w:customMarkFollows="0"/>
      </w:r>
      <w:bookmarkEnd w:id="5277"/>
      <w:r>
        <w:rPr>
          <w:rtl/>
        </w:rPr>
        <w:t xml:space="preserve"> ראה גם “אכסניות”,</w:t>
      </w:r>
      <w:bookmarkStart w:id="5278" w:name="_fnr3950"/>
      <w:r>
        <w:rPr>
          <w:vertAlign w:val="superscript"/>
          <w:rtl/>
        </w:rPr>
        <w:footnoteReference w:id="3959" w:customMarkFollows="0"/>
      </w:r>
      <w:bookmarkEnd w:id="5278"/>
      <w:r>
        <w:rPr>
          <w:rtl/>
        </w:rPr>
        <w:t xml:space="preserve"> המתפלא “מדוע הכותבים בכתבי העת דנים </w:t>
      </w:r>
      <w:proofErr w:type="spellStart"/>
      <w:r>
        <w:rPr>
          <w:rtl/>
        </w:rPr>
        <w:t>בוולוז׳ין</w:t>
      </w:r>
      <w:proofErr w:type="spellEnd"/>
      <w:r>
        <w:rPr>
          <w:rtl/>
        </w:rPr>
        <w:t xml:space="preserve"> ועוברים כמעט בשתיקה על ישיבת קובנה, ‘ולא שדו ביה </w:t>
      </w:r>
      <w:proofErr w:type="spellStart"/>
      <w:r>
        <w:rPr>
          <w:rtl/>
        </w:rPr>
        <w:t>נרגא</w:t>
      </w:r>
      <w:proofErr w:type="spellEnd"/>
      <w:r>
        <w:rPr>
          <w:rtl/>
        </w:rPr>
        <w:t>’.</w:t>
      </w:r>
      <w:bookmarkStart w:id="5279" w:name="_fnr3951"/>
      <w:r>
        <w:rPr>
          <w:vertAlign w:val="superscript"/>
          <w:rtl/>
        </w:rPr>
        <w:footnoteReference w:id="3960" w:customMarkFollows="0"/>
      </w:r>
      <w:bookmarkEnd w:id="5279"/>
      <w:r>
        <w:rPr>
          <w:rtl/>
        </w:rPr>
        <w:t xml:space="preserve">” עד כמה חולים היו אותם מחבואים טחובים בהיכלה הנכבד של </w:t>
      </w:r>
      <w:proofErr w:type="spellStart"/>
      <w:r>
        <w:rPr>
          <w:rtl/>
        </w:rPr>
        <w:t>וולוז׳ין</w:t>
      </w:r>
      <w:proofErr w:type="spellEnd"/>
      <w:r>
        <w:rPr>
          <w:rtl/>
        </w:rPr>
        <w:t>, שגידלו אנשים מרושעים כל כך, המסייעים להחרבת ביתם הרוחני שלהם!</w:t>
      </w:r>
    </w:p>
    <w:p w14:paraId="7ADE2E7A" w14:textId="77777777" w:rsidR="00AB3647" w:rsidRDefault="00000000" w:rsidP="007923E9">
      <w:pPr>
        <w:pStyle w:val="4"/>
        <w:spacing w:line="276" w:lineRule="auto"/>
      </w:pPr>
      <w:r>
        <w:lastRenderedPageBreak/>
        <w:t>· הפסקה השלישית ·</w:t>
      </w:r>
    </w:p>
    <w:p w14:paraId="38A9FBE7" w14:textId="77777777" w:rsidR="00AB3647" w:rsidRDefault="00000000" w:rsidP="007923E9">
      <w:pPr>
        <w:pStyle w:val="5"/>
        <w:spacing w:line="276" w:lineRule="auto"/>
      </w:pPr>
      <w:r>
        <w:rPr>
          <w:bCs/>
          <w:szCs w:val="26"/>
        </w:rPr>
        <w:t xml:space="preserve">ייתכן שר׳ חיים </w:t>
      </w:r>
      <w:proofErr w:type="spellStart"/>
      <w:r>
        <w:rPr>
          <w:bCs/>
          <w:szCs w:val="26"/>
        </w:rPr>
        <w:t>סולובייצ׳יק</w:t>
      </w:r>
      <w:proofErr w:type="spellEnd"/>
      <w:r>
        <w:rPr>
          <w:bCs/>
          <w:szCs w:val="26"/>
        </w:rPr>
        <w:t xml:space="preserve"> ראה את התלמידים המקולקלים כמי שאינם ניתנים לתיקון; תגובתו החיובית הראשונה של </w:t>
      </w:r>
      <w:proofErr w:type="spellStart"/>
      <w:r>
        <w:rPr>
          <w:bCs/>
          <w:szCs w:val="26"/>
        </w:rPr>
        <w:t>חיים־נחמן</w:t>
      </w:r>
      <w:proofErr w:type="spellEnd"/>
      <w:r>
        <w:rPr>
          <w:bCs/>
          <w:szCs w:val="26"/>
        </w:rPr>
        <w:t xml:space="preserve"> ביאליק לישיבה; מתוך התלהבותו הוא מחליט להקדיש את חייו לתורה; הוא נסוג, אך מבטיח שלא לתקוף לעולם את הישיבות; </w:t>
      </w:r>
      <w:proofErr w:type="spellStart"/>
      <w:r>
        <w:rPr>
          <w:bCs/>
          <w:szCs w:val="26"/>
        </w:rPr>
        <w:t>התעוררויותיו</w:t>
      </w:r>
      <w:proofErr w:type="spellEnd"/>
      <w:r>
        <w:rPr>
          <w:bCs/>
          <w:szCs w:val="26"/>
        </w:rPr>
        <w:t xml:space="preserve"> הדתיות בשנים מאוחרות; ר׳ חיים מקבל שש שנות “</w:t>
      </w:r>
      <w:proofErr w:type="spellStart"/>
      <w:r>
        <w:rPr>
          <w:bCs/>
          <w:szCs w:val="26"/>
        </w:rPr>
        <w:t>קעסט</w:t>
      </w:r>
      <w:proofErr w:type="spellEnd"/>
      <w:r>
        <w:rPr>
          <w:bCs/>
          <w:szCs w:val="26"/>
        </w:rPr>
        <w:t>” כפי שהובטח לו.</w:t>
      </w:r>
    </w:p>
    <w:p w14:paraId="6C3190E0" w14:textId="77777777" w:rsidR="00AB3647" w:rsidRDefault="00000000" w:rsidP="007923E9">
      <w:pPr>
        <w:spacing w:after="120" w:line="276" w:lineRule="auto"/>
        <w:ind w:firstLine="283"/>
        <w:jc w:val="both"/>
      </w:pPr>
      <w:r>
        <w:rPr>
          <w:rtl/>
        </w:rPr>
        <w:t>כבר “פולמוס”</w:t>
      </w:r>
      <w:bookmarkStart w:id="5280" w:name="_fnr3952"/>
      <w:r>
        <w:rPr>
          <w:vertAlign w:val="superscript"/>
          <w:rtl/>
        </w:rPr>
        <w:footnoteReference w:id="3961" w:customMarkFollows="0"/>
      </w:r>
      <w:bookmarkEnd w:id="5280"/>
      <w:r>
        <w:rPr>
          <w:rtl/>
        </w:rPr>
        <w:t xml:space="preserve"> תמה על דחייתו הנחרצת של ר׳ חיים את ר׳ </w:t>
      </w:r>
      <w:proofErr w:type="spellStart"/>
      <w:r>
        <w:rPr>
          <w:rtl/>
        </w:rPr>
        <w:t>איצל׳ה</w:t>
      </w:r>
      <w:proofErr w:type="spellEnd"/>
      <w:r>
        <w:rPr>
          <w:rtl/>
        </w:rPr>
        <w:t xml:space="preserve"> ועל הערכתו הגורפת את בריאותה הרוחנית של הישיבה: “אנו </w:t>
      </w:r>
      <w:proofErr w:type="spellStart"/>
      <w:r>
        <w:rPr>
          <w:rtl/>
        </w:rPr>
        <w:t>בוולוז׳ין</w:t>
      </w:r>
      <w:proofErr w:type="spellEnd"/>
      <w:r>
        <w:rPr>
          <w:rtl/>
        </w:rPr>
        <w:t xml:space="preserve"> איננו חולים”. וכך נאמר שם: “רבים השתוממו על תשובת ר׳ חיים, שבתמימותו וצדקותו המופרזות לא הכיר את מצבה הרוחני של ישיבתו וחשב את תלמידיה לבריאים ברוח ובנפש”. אבל את ההסבר שר׳ חיים טעה מתוך תמימות אפשר לדחות,</w:t>
      </w:r>
      <w:bookmarkStart w:id="5281" w:name="_fnr3953"/>
      <w:bookmarkStart w:id="5282" w:name="pr_f_3840"/>
      <w:r>
        <w:rPr>
          <w:vertAlign w:val="superscript"/>
          <w:rtl/>
        </w:rPr>
        <w:footnoteReference w:id="3962" w:customMarkFollows="0"/>
      </w:r>
      <w:bookmarkEnd w:id="5281"/>
      <w:bookmarkEnd w:id="5282"/>
      <w:r>
        <w:rPr>
          <w:rtl/>
        </w:rPr>
        <w:t xml:space="preserve"> שכן הוא היה רחוק מתמימות, כפי שיתבאר בפסקה החמישית להלן.</w:t>
      </w:r>
    </w:p>
    <w:p w14:paraId="448FD7E9" w14:textId="77777777" w:rsidR="00AB3647" w:rsidRDefault="00000000" w:rsidP="007923E9">
      <w:pPr>
        <w:spacing w:after="120" w:line="276" w:lineRule="auto"/>
        <w:ind w:firstLine="283"/>
        <w:jc w:val="both"/>
      </w:pPr>
      <w:r>
        <w:rPr>
          <w:rtl/>
        </w:rPr>
        <w:t xml:space="preserve">הבנה סבירה יותר של גישת ר׳ חיים היא שהתלמידים שאינם שומרי מצוות נראו לו רחוקים מכדי שהמוסר ירפאם: הוא ראה אותם כמתים מבחינה רוחנית, ולא כחולים; ואילו לתלמידים היראים, שהיו “בריאים”, המוסר יזיק. אם ביקור ר׳ </w:t>
      </w:r>
      <w:proofErr w:type="spellStart"/>
      <w:r>
        <w:rPr>
          <w:rtl/>
        </w:rPr>
        <w:t>איצל׳ה</w:t>
      </w:r>
      <w:proofErr w:type="spellEnd"/>
      <w:r>
        <w:rPr>
          <w:rtl/>
        </w:rPr>
        <w:t xml:space="preserve"> התקיים בתקופה מוקדמת יותר, כשתקופת </w:t>
      </w:r>
      <w:proofErr w:type="spellStart"/>
      <w:r>
        <w:rPr>
          <w:rtl/>
        </w:rPr>
        <w:t>ה“קעסט</w:t>
      </w:r>
      <w:proofErr w:type="spellEnd"/>
      <w:r>
        <w:rPr>
          <w:rtl/>
        </w:rPr>
        <w:t xml:space="preserve">” של ר׳ חיים הגיעה לסיומה, בסוף שנות </w:t>
      </w:r>
      <w:proofErr w:type="spellStart"/>
      <w:r>
        <w:rPr>
          <w:rtl/>
        </w:rPr>
        <w:t>הת״ר־ל</w:t>
      </w:r>
      <w:proofErr w:type="spellEnd"/>
      <w:r>
        <w:rPr>
          <w:rtl/>
        </w:rPr>
        <w:t>׳, בהחלט אפשר שהתלמידים שנלכדו אז ברשת ההשכלה – כמו זה שהלשין בכזב על ראש ישיבתו לשלטון הרוסי, כאמור לעיל – כבר לא היו ניתנים לתיקון.</w:t>
      </w:r>
    </w:p>
    <w:p w14:paraId="5D5AED45" w14:textId="77777777" w:rsidR="00AB3647" w:rsidRDefault="00000000" w:rsidP="007923E9">
      <w:pPr>
        <w:spacing w:after="120" w:line="276" w:lineRule="auto"/>
        <w:ind w:firstLine="283"/>
        <w:jc w:val="both"/>
      </w:pPr>
      <w:r>
        <w:rPr>
          <w:rtl/>
        </w:rPr>
        <w:t xml:space="preserve">ביאליק עצמו לא היה מת מבחינה רוחנית כשהצטרף </w:t>
      </w:r>
      <w:proofErr w:type="spellStart"/>
      <w:r>
        <w:rPr>
          <w:rtl/>
        </w:rPr>
        <w:t>לוולוז׳ין</w:t>
      </w:r>
      <w:proofErr w:type="spellEnd"/>
      <w:r>
        <w:rPr>
          <w:rtl/>
        </w:rPr>
        <w:t xml:space="preserve"> בתקופתה האחרונה. כך עולה ממכתבו </w:t>
      </w:r>
      <w:proofErr w:type="spellStart"/>
      <w:r>
        <w:rPr>
          <w:rtl/>
        </w:rPr>
        <w:t>לקלוזנר</w:t>
      </w:r>
      <w:proofErr w:type="spellEnd"/>
      <w:r>
        <w:rPr>
          <w:rtl/>
        </w:rPr>
        <w:t xml:space="preserve"> </w:t>
      </w:r>
      <w:proofErr w:type="spellStart"/>
      <w:r>
        <w:rPr>
          <w:rtl/>
        </w:rPr>
        <w:t>ב“אגרות</w:t>
      </w:r>
      <w:proofErr w:type="spellEnd"/>
      <w:r>
        <w:rPr>
          <w:rtl/>
        </w:rPr>
        <w:t xml:space="preserve"> חיים נחמן ביאליק”,</w:t>
      </w:r>
      <w:bookmarkStart w:id="5283" w:name="_fnr3954"/>
      <w:r>
        <w:rPr>
          <w:vertAlign w:val="superscript"/>
          <w:rtl/>
        </w:rPr>
        <w:footnoteReference w:id="3963" w:customMarkFollows="0"/>
      </w:r>
      <w:bookmarkEnd w:id="5283"/>
      <w:r>
        <w:rPr>
          <w:rtl/>
        </w:rPr>
        <w:t xml:space="preserve"> המתאר את תהפוכות הסופר בשנתו הראשונה בישיבה.</w:t>
      </w:r>
      <w:bookmarkStart w:id="5284" w:name="_fnr3955"/>
      <w:r>
        <w:rPr>
          <w:vertAlign w:val="superscript"/>
          <w:rtl/>
        </w:rPr>
        <w:footnoteReference w:id="3964" w:customMarkFollows="0"/>
      </w:r>
      <w:bookmarkEnd w:id="5284"/>
      <w:r>
        <w:rPr>
          <w:rtl/>
        </w:rPr>
        <w:t xml:space="preserve"> תחילה התאכזב ביאליק לגלות </w:t>
      </w:r>
      <w:proofErr w:type="spellStart"/>
      <w:r>
        <w:rPr>
          <w:rtl/>
        </w:rPr>
        <w:t>ש“אין</w:t>
      </w:r>
      <w:proofErr w:type="spellEnd"/>
      <w:r>
        <w:rPr>
          <w:rtl/>
        </w:rPr>
        <w:t xml:space="preserve"> זכר </w:t>
      </w:r>
      <w:proofErr w:type="spellStart"/>
      <w:r>
        <w:rPr>
          <w:rtl/>
        </w:rPr>
        <w:t>ל‘שבע</w:t>
      </w:r>
      <w:proofErr w:type="spellEnd"/>
      <w:r>
        <w:rPr>
          <w:rtl/>
        </w:rPr>
        <w:t xml:space="preserve"> חכמות ושבעים לשון’”, שלפי השמועות בעיר מולדתו, בפלך </w:t>
      </w:r>
      <w:proofErr w:type="spellStart"/>
      <w:r>
        <w:rPr>
          <w:rtl/>
        </w:rPr>
        <w:t>ווהלין</w:t>
      </w:r>
      <w:proofErr w:type="spellEnd"/>
      <w:r>
        <w:rPr>
          <w:rtl/>
        </w:rPr>
        <w:t xml:space="preserve"> הרחוק, נלמדו </w:t>
      </w:r>
      <w:proofErr w:type="spellStart"/>
      <w:r>
        <w:rPr>
          <w:rtl/>
        </w:rPr>
        <w:t>בוולוז׳ין</w:t>
      </w:r>
      <w:proofErr w:type="spellEnd"/>
      <w:r>
        <w:rPr>
          <w:rtl/>
        </w:rPr>
        <w:t xml:space="preserve"> “בגלוי או בסתר... [שכן חשבו כי] בין </w:t>
      </w:r>
      <w:proofErr w:type="spellStart"/>
      <w:r>
        <w:rPr>
          <w:rtl/>
        </w:rPr>
        <w:t>וולוז׳ין</w:t>
      </w:r>
      <w:proofErr w:type="spellEnd"/>
      <w:r>
        <w:rPr>
          <w:rtl/>
        </w:rPr>
        <w:t xml:space="preserve"> ו[מרכז התרבות] ברלין יש רק צעד אחד”. כנראה בחודשיו הראשונים </w:t>
      </w:r>
      <w:proofErr w:type="spellStart"/>
      <w:r>
        <w:rPr>
          <w:rtl/>
        </w:rPr>
        <w:t>בוולוז׳ין</w:t>
      </w:r>
      <w:proofErr w:type="spellEnd"/>
      <w:r>
        <w:rPr>
          <w:rtl/>
        </w:rPr>
        <w:t xml:space="preserve"> לא גילו חבורות המשכילים, שעסקו בחשאי בלימודי חול,</w:t>
      </w:r>
      <w:bookmarkStart w:id="5285" w:name="_fnr3956"/>
      <w:r>
        <w:rPr>
          <w:vertAlign w:val="superscript"/>
          <w:rtl/>
        </w:rPr>
        <w:footnoteReference w:id="3965" w:customMarkFollows="0"/>
      </w:r>
      <w:bookmarkEnd w:id="5285"/>
      <w:r>
        <w:rPr>
          <w:rtl/>
        </w:rPr>
        <w:t xml:space="preserve"> את קיומן לבחור החדש, בן הבית החסידי </w:t>
      </w:r>
      <w:proofErr w:type="spellStart"/>
      <w:r>
        <w:rPr>
          <w:rtl/>
        </w:rPr>
        <w:t>בז׳יטומיר</w:t>
      </w:r>
      <w:proofErr w:type="spellEnd"/>
      <w:r>
        <w:rPr>
          <w:rtl/>
        </w:rPr>
        <w:t>.</w:t>
      </w:r>
    </w:p>
    <w:p w14:paraId="044D51ED" w14:textId="77777777" w:rsidR="00AB3647" w:rsidRDefault="00000000" w:rsidP="007923E9">
      <w:pPr>
        <w:spacing w:after="120" w:line="276" w:lineRule="auto"/>
        <w:ind w:firstLine="283"/>
        <w:jc w:val="both"/>
      </w:pPr>
      <w:r>
        <w:rPr>
          <w:rtl/>
        </w:rPr>
        <w:t xml:space="preserve">כך החליט ביאליק שגם הוא ילמד “גמרא, גמרא, גמרא, ויהיה רב ככל הרבנים”, וכך עשה “בחודשים הראשונים”. בתוך שלושה חודשים למד “כמעט לגמרי בעל פה” את כל מסכת </w:t>
      </w:r>
      <w:r>
        <w:rPr>
          <w:rtl/>
        </w:rPr>
        <w:lastRenderedPageBreak/>
        <w:t>כתובות עם כל התוספות! כשבחן אותו ראש הישיבה, קרא: “אתה ודאי מזרע ‘</w:t>
      </w:r>
      <w:proofErr w:type="spellStart"/>
      <w:r>
        <w:rPr>
          <w:rtl/>
        </w:rPr>
        <w:t>ליטוואקעס</w:t>
      </w:r>
      <w:proofErr w:type="spellEnd"/>
      <w:r>
        <w:rPr>
          <w:rtl/>
        </w:rPr>
        <w:t>’,</w:t>
      </w:r>
      <w:bookmarkStart w:id="5286" w:name="_fnr3957"/>
      <w:r>
        <w:rPr>
          <w:vertAlign w:val="superscript"/>
          <w:rtl/>
        </w:rPr>
        <w:footnoteReference w:id="3966" w:customMarkFollows="0"/>
      </w:r>
      <w:bookmarkEnd w:id="5286"/>
      <w:r>
        <w:rPr>
          <w:rtl/>
        </w:rPr>
        <w:t xml:space="preserve"> כי זו הפעם הראשונה שאני רואה בחור </w:t>
      </w:r>
      <w:proofErr w:type="spellStart"/>
      <w:r>
        <w:rPr>
          <w:rtl/>
        </w:rPr>
        <w:t>מווהלין</w:t>
      </w:r>
      <w:proofErr w:type="spellEnd"/>
      <w:r>
        <w:rPr>
          <w:rtl/>
        </w:rPr>
        <w:t xml:space="preserve"> מתמיד ויודע גמרא כמוך!”</w:t>
      </w:r>
      <w:bookmarkStart w:id="5287" w:name="_fnr3958"/>
      <w:bookmarkStart w:id="5288" w:name="pr_f_3845"/>
      <w:r>
        <w:rPr>
          <w:vertAlign w:val="superscript"/>
          <w:rtl/>
        </w:rPr>
        <w:footnoteReference w:id="3967" w:customMarkFollows="0"/>
      </w:r>
      <w:bookmarkEnd w:id="5287"/>
      <w:bookmarkEnd w:id="5288"/>
      <w:r>
        <w:rPr>
          <w:rtl/>
        </w:rPr>
        <w:t xml:space="preserve"> ביאליק כותב: “הטבעתי את כל תאוותיי, חנקתי את כל רגשותיי ולמדתי בלי הרף ובלי חמדה; ובכל פעם שיצרי פיתה אותי להפסיק את לימודי ועורר בי מחשבות אחרות, צבטתי את עצמי וגערתי בעצמי בתוכחה: ‘למד, גזלן! למד עד שתתפקע כריסך!’”</w:t>
      </w:r>
      <w:bookmarkStart w:id="5289" w:name="_fnr3959"/>
      <w:r>
        <w:rPr>
          <w:vertAlign w:val="superscript"/>
          <w:rtl/>
        </w:rPr>
        <w:footnoteReference w:id="3968" w:customMarkFollows="0"/>
      </w:r>
      <w:bookmarkEnd w:id="5289"/>
    </w:p>
    <w:p w14:paraId="254CAD1E" w14:textId="77777777" w:rsidR="00AB3647" w:rsidRDefault="00000000" w:rsidP="007923E9">
      <w:pPr>
        <w:spacing w:after="120" w:line="276" w:lineRule="auto"/>
        <w:ind w:firstLine="283"/>
        <w:jc w:val="both"/>
      </w:pPr>
      <w:r>
        <w:rPr>
          <w:rtl/>
        </w:rPr>
        <w:t xml:space="preserve">באלול </w:t>
      </w:r>
      <w:proofErr w:type="spellStart"/>
      <w:r>
        <w:rPr>
          <w:rtl/>
        </w:rPr>
        <w:t>תר״ן</w:t>
      </w:r>
      <w:proofErr w:type="spellEnd"/>
      <w:r>
        <w:rPr>
          <w:rtl/>
        </w:rPr>
        <w:t xml:space="preserve"> כתב שיר נעורים לא בשל בשם “באהל התורה”,</w:t>
      </w:r>
      <w:bookmarkStart w:id="5290" w:name="_fnr3960"/>
      <w:r>
        <w:rPr>
          <w:vertAlign w:val="superscript"/>
          <w:rtl/>
        </w:rPr>
        <w:footnoteReference w:id="3969" w:customMarkFollows="0"/>
      </w:r>
      <w:bookmarkEnd w:id="5290"/>
      <w:r>
        <w:rPr>
          <w:rtl/>
        </w:rPr>
        <w:t xml:space="preserve"> החושף את שאיפותיו:</w:t>
      </w:r>
    </w:p>
    <w:p w14:paraId="099A1E56" w14:textId="77777777" w:rsidR="00AB3647" w:rsidRDefault="00000000" w:rsidP="007923E9">
      <w:pPr>
        <w:spacing w:after="120" w:line="276" w:lineRule="auto"/>
        <w:ind w:firstLine="283"/>
        <w:jc w:val="both"/>
      </w:pPr>
      <w:r>
        <w:rPr>
          <w:rtl/>
        </w:rPr>
        <w:t xml:space="preserve">שם </w:t>
      </w:r>
      <w:proofErr w:type="spellStart"/>
      <w:r>
        <w:rPr>
          <w:rtl/>
        </w:rPr>
        <w:t>בפנה</w:t>
      </w:r>
      <w:proofErr w:type="spellEnd"/>
      <w:r>
        <w:rPr>
          <w:rtl/>
        </w:rPr>
        <w:t xml:space="preserve"> יֵשֵׁב עֶלֶם ובספר יְשים עין.</w:t>
      </w:r>
    </w:p>
    <w:p w14:paraId="788A72D3" w14:textId="77777777" w:rsidR="00AB3647" w:rsidRDefault="00000000" w:rsidP="007923E9">
      <w:pPr>
        <w:spacing w:after="120" w:line="276" w:lineRule="auto"/>
        <w:ind w:firstLine="283"/>
        <w:jc w:val="both"/>
      </w:pPr>
      <w:r>
        <w:rPr>
          <w:rtl/>
        </w:rPr>
        <w:t xml:space="preserve">קולו חודר לב וקרב, נפשו תבער כלהבה, </w:t>
      </w:r>
      <w:proofErr w:type="spellStart"/>
      <w:r>
        <w:rPr>
          <w:rtl/>
        </w:rPr>
        <w:t>יִצְלֹל</w:t>
      </w:r>
      <w:proofErr w:type="spellEnd"/>
      <w:r>
        <w:rPr>
          <w:rtl/>
        </w:rPr>
        <w:t>, יַעַל, עולה, יורד:</w:t>
      </w:r>
    </w:p>
    <w:p w14:paraId="72640195" w14:textId="77777777" w:rsidR="00AB3647" w:rsidRDefault="00000000" w:rsidP="007923E9">
      <w:pPr>
        <w:spacing w:after="120" w:line="276" w:lineRule="auto"/>
        <w:ind w:firstLine="283"/>
        <w:jc w:val="both"/>
      </w:pPr>
      <w:r>
        <w:rPr>
          <w:rtl/>
        </w:rPr>
        <w:t xml:space="preserve">“אלא </w:t>
      </w:r>
      <w:proofErr w:type="spellStart"/>
      <w:r>
        <w:rPr>
          <w:rtl/>
        </w:rPr>
        <w:t>קשיא</w:t>
      </w:r>
      <w:proofErr w:type="spellEnd"/>
      <w:r>
        <w:rPr>
          <w:rtl/>
        </w:rPr>
        <w:t>”, “אמר רבא”.</w:t>
      </w:r>
    </w:p>
    <w:p w14:paraId="019DB7EE" w14:textId="77777777" w:rsidR="00AB3647" w:rsidRDefault="00000000" w:rsidP="007923E9">
      <w:pPr>
        <w:spacing w:after="120" w:line="276" w:lineRule="auto"/>
        <w:ind w:firstLine="283"/>
        <w:jc w:val="both"/>
      </w:pPr>
      <w:r>
        <w:rPr>
          <w:rtl/>
        </w:rPr>
        <w:t xml:space="preserve">ומתחטא לפני רבא, על </w:t>
      </w:r>
      <w:proofErr w:type="spellStart"/>
      <w:r>
        <w:rPr>
          <w:rtl/>
        </w:rPr>
        <w:t>רבינא</w:t>
      </w:r>
      <w:proofErr w:type="spellEnd"/>
      <w:r>
        <w:rPr>
          <w:rtl/>
        </w:rPr>
        <w:t xml:space="preserve"> מתגעגע... – א־לי, א־לי! כמה קסם יש במלים “אמר רבא”</w:t>
      </w:r>
    </w:p>
    <w:p w14:paraId="1AA5D03F" w14:textId="77777777" w:rsidR="00AB3647" w:rsidRDefault="00000000" w:rsidP="007923E9">
      <w:pPr>
        <w:spacing w:after="120" w:line="276" w:lineRule="auto"/>
        <w:ind w:firstLine="283"/>
        <w:jc w:val="both"/>
      </w:pPr>
      <w:r>
        <w:rPr>
          <w:rtl/>
        </w:rPr>
        <w:t xml:space="preserve">כמה קסם, כמה </w:t>
      </w:r>
      <w:proofErr w:type="spellStart"/>
      <w:r>
        <w:rPr>
          <w:rtl/>
        </w:rPr>
        <w:t>כח</w:t>
      </w:r>
      <w:proofErr w:type="spellEnd"/>
      <w:r>
        <w:rPr>
          <w:rtl/>
        </w:rPr>
        <w:t xml:space="preserve"> יש בספסל ובגמרא לִמְשֹׁךְ לב בן איש ישראל!</w:t>
      </w:r>
    </w:p>
    <w:p w14:paraId="6632CFDC" w14:textId="77777777" w:rsidR="00AB3647" w:rsidRDefault="00000000" w:rsidP="007923E9">
      <w:pPr>
        <w:spacing w:after="120" w:line="276" w:lineRule="auto"/>
        <w:ind w:firstLine="283"/>
        <w:jc w:val="both"/>
      </w:pPr>
      <w:r>
        <w:rPr>
          <w:rtl/>
        </w:rPr>
        <w:t xml:space="preserve">חמישה חודשים אחרי בואו </w:t>
      </w:r>
      <w:proofErr w:type="spellStart"/>
      <w:r>
        <w:rPr>
          <w:rtl/>
        </w:rPr>
        <w:t>לוולוז׳ין</w:t>
      </w:r>
      <w:proofErr w:type="spellEnd"/>
      <w:r>
        <w:rPr>
          <w:rtl/>
        </w:rPr>
        <w:t xml:space="preserve"> כתב ביאליק בן </w:t>
      </w:r>
      <w:proofErr w:type="spellStart"/>
      <w:r>
        <w:rPr>
          <w:rtl/>
        </w:rPr>
        <w:t>השבע־עשרה</w:t>
      </w:r>
      <w:proofErr w:type="spellEnd"/>
      <w:r>
        <w:rPr>
          <w:rtl/>
        </w:rPr>
        <w:t xml:space="preserve"> שני מכתבים למכריו בעיר מולדתו: הראשון למורה ולארבעה חברים, והשני, שנכתב שמונה ימים אחר כך, לשניים מן הארבעה. במכתב הראשון, הארוך מאוד, הוא מתאר בנימה של “הבל הבלים”</w:t>
      </w:r>
      <w:bookmarkStart w:id="5291" w:name="_fnr3961"/>
      <w:r>
        <w:rPr>
          <w:vertAlign w:val="superscript"/>
          <w:rtl/>
        </w:rPr>
        <w:footnoteReference w:id="3970" w:customMarkFollows="0"/>
      </w:r>
      <w:bookmarkEnd w:id="5291"/>
      <w:r>
        <w:rPr>
          <w:rtl/>
        </w:rPr>
        <w:t xml:space="preserve"> – המזכירה להפליא שיחת מוסר שר׳ </w:t>
      </w:r>
      <w:proofErr w:type="spellStart"/>
      <w:r>
        <w:rPr>
          <w:rtl/>
        </w:rPr>
        <w:t>איצל׳ה</w:t>
      </w:r>
      <w:proofErr w:type="spellEnd"/>
      <w:r>
        <w:rPr>
          <w:rtl/>
        </w:rPr>
        <w:t xml:space="preserve"> </w:t>
      </w:r>
      <w:proofErr w:type="spellStart"/>
      <w:r>
        <w:rPr>
          <w:rtl/>
        </w:rPr>
        <w:t>בלאזר</w:t>
      </w:r>
      <w:proofErr w:type="spellEnd"/>
      <w:r>
        <w:rPr>
          <w:rtl/>
        </w:rPr>
        <w:t xml:space="preserve"> עשוי היה למסור! – את פגמי חינוכו הקודם,</w:t>
      </w:r>
      <w:bookmarkStart w:id="5292" w:name="_fnr3962"/>
      <w:r>
        <w:rPr>
          <w:vertAlign w:val="superscript"/>
          <w:rtl/>
        </w:rPr>
        <w:footnoteReference w:id="3971" w:customMarkFollows="0"/>
      </w:r>
      <w:bookmarkEnd w:id="5292"/>
      <w:r>
        <w:rPr>
          <w:rtl/>
        </w:rPr>
        <w:t xml:space="preserve"> ומאשים את הבטלה בכך שהביאה אותו להשכלה. בלהט הוא מתאר את שורש תעייתו: “הבטלה הביאה מנחה מזמרת הארץ, את פריה הנקרא ‘השכלה’, שקטפה </w:t>
      </w:r>
      <w:proofErr w:type="spellStart"/>
      <w:r>
        <w:rPr>
          <w:rtl/>
        </w:rPr>
        <w:t>מ‘עץ</w:t>
      </w:r>
      <w:proofErr w:type="spellEnd"/>
      <w:r>
        <w:rPr>
          <w:rtl/>
        </w:rPr>
        <w:t xml:space="preserve"> הדעת’ המפתה,</w:t>
      </w:r>
      <w:bookmarkStart w:id="5293" w:name="_fnr3963"/>
      <w:r>
        <w:rPr>
          <w:vertAlign w:val="superscript"/>
          <w:rtl/>
        </w:rPr>
        <w:footnoteReference w:id="3972" w:customMarkFollows="0"/>
      </w:r>
      <w:bookmarkEnd w:id="5293"/>
      <w:r>
        <w:rPr>
          <w:rtl/>
        </w:rPr>
        <w:t xml:space="preserve"> ובו מעט נכאת וצרי של כפירה לתיבול המאכל המושך – שנאכל עד הקאה.”</w:t>
      </w:r>
      <w:bookmarkStart w:id="5294" w:name="_fnr3964"/>
      <w:r>
        <w:rPr>
          <w:vertAlign w:val="superscript"/>
          <w:rtl/>
        </w:rPr>
        <w:footnoteReference w:id="3973" w:customMarkFollows="0"/>
      </w:r>
      <w:bookmarkEnd w:id="5294"/>
      <w:r>
        <w:rPr>
          <w:rtl/>
        </w:rPr>
        <w:t xml:space="preserve"> והוא מאשים: “אחת המלכודות הרבות שהשטן פורס היא ההשכלה הארורה,</w:t>
      </w:r>
      <w:bookmarkStart w:id="5295" w:name="_fnr3965"/>
      <w:r>
        <w:rPr>
          <w:vertAlign w:val="superscript"/>
          <w:rtl/>
        </w:rPr>
        <w:footnoteReference w:id="3974" w:customMarkFollows="0"/>
      </w:r>
      <w:bookmarkEnd w:id="5295"/>
      <w:r>
        <w:rPr>
          <w:rtl/>
        </w:rPr>
        <w:t xml:space="preserve"> </w:t>
      </w:r>
      <w:r>
        <w:rPr>
          <w:rtl/>
        </w:rPr>
        <w:lastRenderedPageBreak/>
        <w:t>שלרוע מזלי עטפה אותי בכנפיה; והרשעה הזאת, בת</w:t>
      </w:r>
      <w:bookmarkStart w:id="5296" w:name="_fnr3966"/>
      <w:r>
        <w:rPr>
          <w:vertAlign w:val="superscript"/>
          <w:rtl/>
        </w:rPr>
        <w:footnoteReference w:id="3975" w:customMarkFollows="0"/>
      </w:r>
      <w:bookmarkEnd w:id="5296"/>
      <w:r>
        <w:rPr>
          <w:rtl/>
        </w:rPr>
        <w:t xml:space="preserve"> גיהינום, ילודת שאול, נעצה [בי] את ציפורניה, והייתי לטרף לשיניה.”</w:t>
      </w:r>
      <w:bookmarkStart w:id="5297" w:name="_fnr3967"/>
      <w:r>
        <w:rPr>
          <w:vertAlign w:val="superscript"/>
          <w:rtl/>
        </w:rPr>
        <w:footnoteReference w:id="3976" w:customMarkFollows="0"/>
      </w:r>
      <w:bookmarkEnd w:id="5297"/>
    </w:p>
    <w:p w14:paraId="465D217F" w14:textId="77777777" w:rsidR="00AB3647" w:rsidRDefault="00000000" w:rsidP="007923E9">
      <w:pPr>
        <w:spacing w:after="120" w:line="276" w:lineRule="auto"/>
        <w:ind w:firstLine="283"/>
        <w:jc w:val="both"/>
      </w:pPr>
      <w:r>
        <w:rPr>
          <w:rtl/>
        </w:rPr>
        <w:t xml:space="preserve">לאחר וידוי ארוך ונוקב הוא משבח את </w:t>
      </w:r>
      <w:proofErr w:type="spellStart"/>
      <w:r>
        <w:rPr>
          <w:rtl/>
        </w:rPr>
        <w:t>וולוז׳ין</w:t>
      </w:r>
      <w:proofErr w:type="spellEnd"/>
      <w:r>
        <w:rPr>
          <w:rtl/>
        </w:rPr>
        <w:t xml:space="preserve"> על שהחייתה את נשמתו המתה: “אני </w:t>
      </w:r>
      <w:proofErr w:type="spellStart"/>
      <w:r>
        <w:rPr>
          <w:rtl/>
        </w:rPr>
        <w:t>חיים־נחמן</w:t>
      </w:r>
      <w:proofErr w:type="spellEnd"/>
      <w:r>
        <w:rPr>
          <w:rtl/>
        </w:rPr>
        <w:t xml:space="preserve"> חדש”, הוא קורא בשמחה;</w:t>
      </w:r>
      <w:bookmarkStart w:id="5298" w:name="_fnr3968"/>
      <w:r>
        <w:rPr>
          <w:vertAlign w:val="superscript"/>
          <w:rtl/>
        </w:rPr>
        <w:footnoteReference w:id="3977" w:customMarkFollows="0"/>
      </w:r>
      <w:bookmarkEnd w:id="5298"/>
      <w:r>
        <w:rPr>
          <w:rtl/>
        </w:rPr>
        <w:t xml:space="preserve"> ומתפלל</w:t>
      </w:r>
      <w:bookmarkStart w:id="5299" w:name="_fnr3969"/>
      <w:r>
        <w:rPr>
          <w:vertAlign w:val="superscript"/>
          <w:rtl/>
        </w:rPr>
        <w:footnoteReference w:id="3978" w:customMarkFollows="0"/>
      </w:r>
      <w:bookmarkEnd w:id="5299"/>
      <w:r>
        <w:rPr>
          <w:rtl/>
        </w:rPr>
        <w:t>: “ייתן ה׳ שאוסיף להתמיד בלימודי, לטוב לי כל הימים”.</w:t>
      </w:r>
      <w:bookmarkStart w:id="5300" w:name="_fnr3970"/>
      <w:r>
        <w:rPr>
          <w:vertAlign w:val="superscript"/>
          <w:rtl/>
        </w:rPr>
        <w:footnoteReference w:id="3979" w:customMarkFollows="0"/>
      </w:r>
      <w:bookmarkEnd w:id="5300"/>
      <w:r>
        <w:rPr>
          <w:rtl/>
        </w:rPr>
        <w:t xml:space="preserve"> במכתב השני הוא כותב, בלי המליצה, הפיוטיות והאריכות של הראשון: “אין לי חדשות; רק זאת אני מודיע לכם בכנות, ש... רחוק אני מן ההשכלה המדומה, מספריה ומכל חוגה – ואני מרחיק אותם מפניי – ‘לא יבאו בקהל לי׳</w:t>
      </w:r>
      <w:bookmarkStart w:id="5301" w:name="_fnr3971"/>
      <w:r>
        <w:rPr>
          <w:vertAlign w:val="superscript"/>
          <w:rtl/>
        </w:rPr>
        <w:footnoteReference w:id="3980" w:customMarkFollows="0"/>
      </w:r>
      <w:bookmarkEnd w:id="5301"/>
      <w:r>
        <w:rPr>
          <w:rtl/>
        </w:rPr>
        <w:t xml:space="preserve"> (ההדגשה שלי); מפזר אני אותם כרוח ומתעב אותם... איני מצטער על גירושם. ואני מנסה בכל כוחי להרחיקם ממחשבתי, ביודעי שהיו עד עתה משטיני נפשי ושעמדו כמכשול בדרכי.”</w:t>
      </w:r>
      <w:bookmarkStart w:id="5302" w:name="_fnr3972"/>
      <w:r>
        <w:rPr>
          <w:vertAlign w:val="superscript"/>
          <w:rtl/>
        </w:rPr>
        <w:footnoteReference w:id="3981" w:customMarkFollows="0"/>
      </w:r>
      <w:bookmarkEnd w:id="5302"/>
    </w:p>
    <w:p w14:paraId="7DDADCF3" w14:textId="77777777" w:rsidR="00AB3647" w:rsidRDefault="00000000" w:rsidP="007923E9">
      <w:pPr>
        <w:spacing w:after="120" w:line="276" w:lineRule="auto"/>
        <w:ind w:firstLine="283"/>
        <w:jc w:val="both"/>
      </w:pPr>
      <w:r>
        <w:rPr>
          <w:rtl/>
        </w:rPr>
        <w:t>הביטויים המודגשים עשויים להצביע על כך שבזמן זה, אחרי חמישה חודשים בישיבה, כבר נודע לביאליק על קיומם של תאי משכילים בתוכה, אבל הוא עדיין לא התרועע עמם. ברור שאף שהיו בישיבה תלמידים בעלי נטיות להשכלה, הם היו מעטים כל כך שעברו חודשים רבים עד שביאליק הבחין בקיומם.</w:t>
      </w:r>
    </w:p>
    <w:p w14:paraId="505B51FC" w14:textId="77777777" w:rsidR="00AB3647" w:rsidRDefault="00000000" w:rsidP="007923E9">
      <w:pPr>
        <w:spacing w:after="120" w:line="276" w:lineRule="auto"/>
        <w:ind w:firstLine="283"/>
        <w:jc w:val="both"/>
      </w:pPr>
      <w:r>
        <w:rPr>
          <w:rtl/>
        </w:rPr>
        <w:t xml:space="preserve">מיעוטם של תלמידים אלה מאושר בזיכרונותיו של מ׳ </w:t>
      </w:r>
      <w:proofErr w:type="spellStart"/>
      <w:r>
        <w:rPr>
          <w:rtl/>
        </w:rPr>
        <w:t>זלאטקין</w:t>
      </w:r>
      <w:proofErr w:type="spellEnd"/>
      <w:r>
        <w:rPr>
          <w:rtl/>
        </w:rPr>
        <w:t xml:space="preserve"> </w:t>
      </w:r>
      <w:proofErr w:type="spellStart"/>
      <w:r>
        <w:rPr>
          <w:rtl/>
        </w:rPr>
        <w:t>ב“שביבים</w:t>
      </w:r>
      <w:proofErr w:type="spellEnd"/>
      <w:r>
        <w:rPr>
          <w:rtl/>
        </w:rPr>
        <w:t>”, הנזכרים</w:t>
      </w:r>
      <w:bookmarkStart w:id="5303" w:name="_fnr3973"/>
      <w:r>
        <w:rPr>
          <w:vertAlign w:val="superscript"/>
          <w:rtl/>
        </w:rPr>
        <w:footnoteReference w:id="3982" w:customMarkFollows="0"/>
      </w:r>
      <w:bookmarkEnd w:id="5303"/>
      <w:r>
        <w:rPr>
          <w:rtl/>
        </w:rPr>
        <w:t xml:space="preserve">: “בכלל אפשר לומר שבני הישיבה שקבעו את דמותה וטבעו בה את חותמם היו המצטיינים במעלות ובתכונות, בעלי כישרונות גדולים, עוסקים בתורה ומקיימים את כל מצוותיה, וגם מצוינים במידות נעלות כראוי לתלמידי חכמים. רק מיעוט קטן ובלתי חשוב, שהיה נבדל בדעותיו ובמעשיו מן הגוש האחיד, נמצא בין בני הישיבה – ולא היה נחשב. הרוב המכריע של תלמידי הישיבה היה שקוע בלימוד התלמוד בלבד. גם בשעות הפנאי, כשחבריהם באו לבקרם או כשיצאו לטייל יחד ולשאוף אוויר צח, המשיכו לעסוק בדברי תורה, בפלפול, בשאלות ותשובות ובוויכוח בהלכה. האווירה שלהם הייתה אוויר של תורה. רק תלמיד שהתעניין בלימודי חול ובקריאת ספרי ההשכלה, ומצא חברים בעלי אותה דעה (ההדגשה שלי), היה יוצא לזמן מה מן האווירה האחידה של </w:t>
      </w:r>
      <w:proofErr w:type="spellStart"/>
      <w:r>
        <w:rPr>
          <w:rtl/>
        </w:rPr>
        <w:t>וולוז׳ין</w:t>
      </w:r>
      <w:proofErr w:type="spellEnd"/>
      <w:r>
        <w:rPr>
          <w:rtl/>
        </w:rPr>
        <w:t xml:space="preserve"> – אבל רק לזמן קצר, כי היה עליו לבלות את רוב זמנו בישיבה, שהאווירה בה הייתה כולה קדושה, כולה תורה.”</w:t>
      </w:r>
    </w:p>
    <w:p w14:paraId="5A650630" w14:textId="29750DAF" w:rsidR="00AB3647" w:rsidRDefault="00000000" w:rsidP="007923E9">
      <w:pPr>
        <w:spacing w:after="120" w:line="276" w:lineRule="auto"/>
        <w:ind w:firstLine="283"/>
        <w:jc w:val="both"/>
      </w:pPr>
      <w:r>
        <w:rPr>
          <w:rtl/>
        </w:rPr>
        <w:t xml:space="preserve">המילים המודגשות עשויות לשקף את חוויית ביאליק: בבואו לישיבה לא ידע שיש בה משכילים בעלי דעות דומות לשלו, וגילה את קיומם כעבור חודשים רבים. ראה גם פרק 3, </w:t>
      </w:r>
      <w:r>
        <w:rPr>
          <w:rtl/>
        </w:rPr>
        <w:fldChar w:fldCharType="begin" w:dirty="true"/>
      </w:r>
      <w:r>
        <w:rPr>
          <w:rtl/>
        </w:rPr>
        <w:instrText xml:space="preserve"> REF b3_excK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יא</w:t>
      </w:r>
      <w:r>
        <w:rPr>
          <w:rtl/>
        </w:rPr>
        <w:fldChar w:fldCharType="end"/>
      </w:r>
      <w:r>
        <w:rPr>
          <w:rtl/>
        </w:rPr>
        <w:t>, על הפופולריות שרכש ביאליק, ועל כך שהדבר קרה רק לאחר שהצטרף לקבוצת המשכילים הזעירה שבתוך הישיבה.</w:t>
      </w:r>
    </w:p>
    <w:p w14:paraId="70AB50E0" w14:textId="77777777" w:rsidR="00AB3647" w:rsidRDefault="00000000" w:rsidP="007923E9">
      <w:pPr>
        <w:spacing w:after="120" w:line="276" w:lineRule="auto"/>
        <w:ind w:firstLine="283"/>
        <w:jc w:val="both"/>
      </w:pPr>
      <w:r>
        <w:rPr>
          <w:rtl/>
        </w:rPr>
        <w:lastRenderedPageBreak/>
        <w:t xml:space="preserve">רק בזמן הבא, בחורף תרנ״א, החלה התלהבותו של ביאליק מלימוד התורה “לדעוך לאט </w:t>
      </w:r>
      <w:proofErr w:type="spellStart"/>
      <w:r>
        <w:rPr>
          <w:rtl/>
        </w:rPr>
        <w:t>לאט</w:t>
      </w:r>
      <w:proofErr w:type="spellEnd"/>
      <w:r>
        <w:rPr>
          <w:rtl/>
        </w:rPr>
        <w:t xml:space="preserve">”, </w:t>
      </w:r>
      <w:proofErr w:type="spellStart"/>
      <w:r>
        <w:rPr>
          <w:rtl/>
        </w:rPr>
        <w:t>ו“מיום</w:t>
      </w:r>
      <w:proofErr w:type="spellEnd"/>
      <w:r>
        <w:rPr>
          <w:rtl/>
        </w:rPr>
        <w:t xml:space="preserve"> ליום פחתה התמדתו”.</w:t>
      </w:r>
      <w:bookmarkStart w:id="5304" w:name="_fnr3974"/>
      <w:r>
        <w:rPr>
          <w:vertAlign w:val="superscript"/>
          <w:rtl/>
        </w:rPr>
        <w:footnoteReference w:id="3983" w:customMarkFollows="0"/>
      </w:r>
      <w:bookmarkEnd w:id="5304"/>
      <w:r>
        <w:rPr>
          <w:rtl/>
        </w:rPr>
        <w:t xml:space="preserve"> הערה </w:t>
      </w:r>
      <w:proofErr w:type="spellStart"/>
      <w:r>
        <w:rPr>
          <w:rtl/>
        </w:rPr>
        <w:t>ב“פרקי</w:t>
      </w:r>
      <w:proofErr w:type="spellEnd"/>
      <w:r>
        <w:rPr>
          <w:rtl/>
        </w:rPr>
        <w:t xml:space="preserve"> חיים”, שנכתב כעבור </w:t>
      </w:r>
      <w:proofErr w:type="spellStart"/>
      <w:r>
        <w:rPr>
          <w:rtl/>
        </w:rPr>
        <w:t>שתים־עשרה</w:t>
      </w:r>
      <w:proofErr w:type="spellEnd"/>
      <w:r>
        <w:rPr>
          <w:rtl/>
        </w:rPr>
        <w:t xml:space="preserve"> שנה, מגלה שעדיין לא הבין את פשר הירידה. הוא יכול היה להסביר לעצמו את נפילתו רק בדברי שלמה המלך “כל בָּאֶיהָ לא </w:t>
      </w:r>
      <w:proofErr w:type="spellStart"/>
      <w:r>
        <w:rPr>
          <w:rtl/>
        </w:rPr>
        <w:t>ישובון</w:t>
      </w:r>
      <w:proofErr w:type="spellEnd"/>
      <w:r>
        <w:rPr>
          <w:rtl/>
        </w:rPr>
        <w:t>” (משלי ב:יט), שלא הותירו תקווה למי שטעם את טעם המינות.</w:t>
      </w:r>
      <w:bookmarkStart w:id="5305" w:name="_fnr3975"/>
      <w:r>
        <w:rPr>
          <w:vertAlign w:val="superscript"/>
          <w:rtl/>
        </w:rPr>
        <w:footnoteReference w:id="3984" w:customMarkFollows="0"/>
      </w:r>
      <w:bookmarkEnd w:id="5305"/>
      <w:r>
        <w:rPr>
          <w:rtl/>
        </w:rPr>
        <w:t xml:space="preserve"> מי יכול לערוב בוודאות שמנה גדושה של מוסר לא הייתה יכולה לרפא את נפשו הפיוטית של ביאליק</w:t>
      </w:r>
      <w:bookmarkStart w:id="5306" w:name="_fnr3976"/>
      <w:r>
        <w:rPr>
          <w:vertAlign w:val="superscript"/>
          <w:rtl/>
        </w:rPr>
        <w:footnoteReference w:id="3985" w:customMarkFollows="0"/>
      </w:r>
      <w:bookmarkEnd w:id="5306"/>
      <w:r>
        <w:rPr>
          <w:rtl/>
        </w:rPr>
        <w:t xml:space="preserve"> בשעה שעדיין היה “</w:t>
      </w:r>
      <w:proofErr w:type="spellStart"/>
      <w:r>
        <w:rPr>
          <w:rtl/>
        </w:rPr>
        <w:t>חיים־נחמן</w:t>
      </w:r>
      <w:proofErr w:type="spellEnd"/>
      <w:r>
        <w:rPr>
          <w:rtl/>
        </w:rPr>
        <w:t xml:space="preserve"> החדש” הקורא אל ה׳?</w:t>
      </w:r>
    </w:p>
    <w:p w14:paraId="774AA1B9" w14:textId="77777777" w:rsidR="00AB3647" w:rsidRDefault="00000000" w:rsidP="007923E9">
      <w:pPr>
        <w:spacing w:after="120" w:line="276" w:lineRule="auto"/>
        <w:ind w:firstLine="283"/>
        <w:jc w:val="both"/>
      </w:pPr>
      <w:r>
        <w:rPr>
          <w:rtl/>
        </w:rPr>
        <w:t>ראה גם “תורת חיים”,</w:t>
      </w:r>
      <w:bookmarkStart w:id="5307" w:name="_fnr3977"/>
      <w:r>
        <w:rPr>
          <w:vertAlign w:val="superscript"/>
          <w:rtl/>
        </w:rPr>
        <w:footnoteReference w:id="3986" w:customMarkFollows="0"/>
      </w:r>
      <w:bookmarkEnd w:id="5307"/>
      <w:r>
        <w:rPr>
          <w:rtl/>
        </w:rPr>
        <w:t xml:space="preserve"> המספר שכאשר גורש </w:t>
      </w:r>
      <w:proofErr w:type="spellStart"/>
      <w:r>
        <w:rPr>
          <w:rtl/>
        </w:rPr>
        <w:t>מוולוז׳ין</w:t>
      </w:r>
      <w:proofErr w:type="spellEnd"/>
      <w:r>
        <w:rPr>
          <w:rtl/>
        </w:rPr>
        <w:t xml:space="preserve"> “אחד מגדולי הסופרים החילוניים” – ללא ספק ביאליק – ליווהו ר׳ חיים לתחנת הרכבת. בשובו לישיבה הסביר ר׳ חיים שליווה את התלמיד המורחק כדי להוציא מן הסופר המבטיח הבטחה שלא יכתוב לעולם נגד “עולם הישיבות”. יש לשער שחווייתו האישית החיובית של ביאליק כתלמיד ישיבה אמיתי, גם אם לזמן מוגבל, הביאה אותו להבטיח ולקיים את הבטחתו.</w:t>
      </w:r>
      <w:bookmarkStart w:id="5308" w:name="_fnr3978"/>
      <w:r>
        <w:rPr>
          <w:vertAlign w:val="superscript"/>
          <w:rtl/>
        </w:rPr>
        <w:footnoteReference w:id="3987" w:customMarkFollows="0"/>
      </w:r>
      <w:bookmarkEnd w:id="5308"/>
    </w:p>
    <w:p w14:paraId="052B3C42" w14:textId="6F3674F6" w:rsidR="00AB3647" w:rsidRDefault="00000000" w:rsidP="007923E9">
      <w:pPr>
        <w:spacing w:after="120" w:line="276" w:lineRule="auto"/>
        <w:ind w:firstLine="283"/>
        <w:jc w:val="both"/>
      </w:pPr>
      <w:r>
        <w:rPr>
          <w:rtl/>
        </w:rPr>
        <w:t>ראה גם פרק 3, הפסקה השלישית ב</w:t>
      </w:r>
      <w:r>
        <w:rPr>
          <w:rtl/>
        </w:rPr>
        <w:fldChar w:fldCharType="begin" w:dirty="true"/>
      </w:r>
      <w:r>
        <w:rPr>
          <w:rtl/>
        </w:rPr>
        <w:instrText xml:space="preserve"> REF b3_excR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יח</w:t>
      </w:r>
      <w:proofErr w:type="spellEnd"/>
      <w:r>
        <w:rPr>
          <w:rtl/>
        </w:rPr>
        <w:fldChar w:fldCharType="end"/>
      </w:r>
      <w:r>
        <w:rPr>
          <w:rtl/>
        </w:rPr>
        <w:t xml:space="preserve">, על רצונו של ביאליק להיפגש בסוף </w:t>
      </w:r>
      <w:proofErr w:type="spellStart"/>
      <w:r>
        <w:rPr>
          <w:rtl/>
        </w:rPr>
        <w:t>תר״ץ</w:t>
      </w:r>
      <w:proofErr w:type="spellEnd"/>
      <w:r>
        <w:rPr>
          <w:rtl/>
        </w:rPr>
        <w:t xml:space="preserve"> עם חברו </w:t>
      </w:r>
      <w:proofErr w:type="spellStart"/>
      <w:r>
        <w:rPr>
          <w:rtl/>
        </w:rPr>
        <w:t>מוולוז׳ין</w:t>
      </w:r>
      <w:proofErr w:type="spellEnd"/>
      <w:r>
        <w:rPr>
          <w:rtl/>
        </w:rPr>
        <w:t xml:space="preserve"> ר׳ </w:t>
      </w:r>
      <w:proofErr w:type="spellStart"/>
      <w:r>
        <w:rPr>
          <w:rtl/>
        </w:rPr>
        <w:t>ברוך־בער</w:t>
      </w:r>
      <w:proofErr w:type="spellEnd"/>
      <w:r>
        <w:rPr>
          <w:rtl/>
        </w:rPr>
        <w:t xml:space="preserve"> </w:t>
      </w:r>
      <w:proofErr w:type="spellStart"/>
      <w:r>
        <w:rPr>
          <w:rtl/>
        </w:rPr>
        <w:t>ליבוביץ</w:t>
      </w:r>
      <w:proofErr w:type="spellEnd"/>
      <w:r>
        <w:rPr>
          <w:rtl/>
        </w:rPr>
        <w:t xml:space="preserve">, כדי להיזכר </w:t>
      </w:r>
      <w:proofErr w:type="spellStart"/>
      <w:r>
        <w:rPr>
          <w:rtl/>
        </w:rPr>
        <w:t>ב“ימים</w:t>
      </w:r>
      <w:proofErr w:type="spellEnd"/>
      <w:r>
        <w:rPr>
          <w:rtl/>
        </w:rPr>
        <w:t xml:space="preserve"> עברו”. אף שיכול היה לשער שלא יזכה להערכה רבה מצד ר׳ </w:t>
      </w:r>
      <w:proofErr w:type="spellStart"/>
      <w:r>
        <w:rPr>
          <w:rtl/>
        </w:rPr>
        <w:t>ברוך־בער</w:t>
      </w:r>
      <w:proofErr w:type="spellEnd"/>
      <w:r>
        <w:rPr>
          <w:rtl/>
        </w:rPr>
        <w:t xml:space="preserve">, אפשר להציע שביאליק רצה להיפגש עמו כדי להשיב לעצמו משהו מרגשותיו החמים כלפי ישיבת </w:t>
      </w:r>
      <w:proofErr w:type="spellStart"/>
      <w:r>
        <w:rPr>
          <w:rtl/>
        </w:rPr>
        <w:t>וולוז׳ין</w:t>
      </w:r>
      <w:proofErr w:type="spellEnd"/>
      <w:r>
        <w:rPr>
          <w:rtl/>
        </w:rPr>
        <w:t xml:space="preserve">. [לאחר שעשרות שנים נהנה מן התהילה שהעניק לו העולם היהודי החילוני, כנראה לא העלה בדעתו איזה בוז יפגין כלפיו ר׳ </w:t>
      </w:r>
      <w:proofErr w:type="spellStart"/>
      <w:r>
        <w:rPr>
          <w:rtl/>
        </w:rPr>
        <w:t>ברוך־בער</w:t>
      </w:r>
      <w:proofErr w:type="spellEnd"/>
      <w:r>
        <w:rPr>
          <w:rtl/>
        </w:rPr>
        <w:t xml:space="preserve"> במפגש, כמתואר בפרק 3, </w:t>
      </w:r>
      <w:r>
        <w:rPr>
          <w:rtl/>
        </w:rPr>
        <w:fldChar w:fldCharType="begin" w:dirty="true"/>
      </w:r>
      <w:r>
        <w:rPr>
          <w:rtl/>
        </w:rPr>
        <w:instrText xml:space="preserve"> REF b3_excR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יח</w:t>
      </w:r>
      <w:proofErr w:type="spellEnd"/>
      <w:r>
        <w:rPr>
          <w:rtl/>
        </w:rPr>
        <w:fldChar w:fldCharType="end"/>
      </w:r>
      <w:r>
        <w:rPr>
          <w:rtl/>
        </w:rPr>
        <w:t>.]</w:t>
      </w:r>
    </w:p>
    <w:p w14:paraId="66B361CD" w14:textId="77777777" w:rsidR="00AB3647" w:rsidRDefault="00000000" w:rsidP="007923E9">
      <w:pPr>
        <w:spacing w:after="120" w:line="276" w:lineRule="auto"/>
        <w:ind w:firstLine="283"/>
        <w:jc w:val="both"/>
      </w:pPr>
      <w:r>
        <w:rPr>
          <w:rtl/>
        </w:rPr>
        <w:t xml:space="preserve">בקשר לחווייתו החיובית של ביאליק בישיבה, נזכרתי בדבר שסיפר פעם רבנו על המשורר, שנכשל בשאלה פשוטה בתנ״ך. כשנשאל ביאליק היכן בתהלים מופיע הפסוק “ואנחנו נברך י־ה מעתה ועד עולם הללויה”, השיב בלי לחשוב: מזמור קמ״ה – תשובה שגויה. הוא טעה טעות גלויה זו מפני שבסידור מצורף הפסוק, שהוא מסוף מזמור קט״ו, </w:t>
      </w:r>
      <w:proofErr w:type="spellStart"/>
      <w:r>
        <w:rPr>
          <w:rtl/>
        </w:rPr>
        <w:t>ל“אשרי</w:t>
      </w:r>
      <w:proofErr w:type="spellEnd"/>
      <w:r>
        <w:rPr>
          <w:rtl/>
        </w:rPr>
        <w:t xml:space="preserve"> וכו׳ </w:t>
      </w:r>
      <w:proofErr w:type="spellStart"/>
      <w:r>
        <w:rPr>
          <w:rtl/>
        </w:rPr>
        <w:t>תהלה</w:t>
      </w:r>
      <w:proofErr w:type="spellEnd"/>
      <w:r>
        <w:rPr>
          <w:rtl/>
        </w:rPr>
        <w:t xml:space="preserve"> לדוד ארוממך </w:t>
      </w:r>
      <w:proofErr w:type="spellStart"/>
      <w:r>
        <w:rPr>
          <w:rtl/>
        </w:rPr>
        <w:t>וכו</w:t>
      </w:r>
      <w:proofErr w:type="spellEnd"/>
      <w:r>
        <w:rPr>
          <w:rtl/>
        </w:rPr>
        <w:t>׳”, שהוא מזמור קמ״ה.</w:t>
      </w:r>
    </w:p>
    <w:p w14:paraId="0ABBEDA9" w14:textId="77777777" w:rsidR="00AB3647" w:rsidRDefault="00000000" w:rsidP="007923E9">
      <w:pPr>
        <w:spacing w:after="120" w:line="276" w:lineRule="auto"/>
        <w:ind w:firstLine="283"/>
        <w:jc w:val="both"/>
      </w:pPr>
      <w:r>
        <w:rPr>
          <w:rtl/>
        </w:rPr>
        <w:t xml:space="preserve">טעותו של ביאליק הייתה מן ההשגחה – אבי אמר: “הענישוהו מן השמים שיטעה טעות בולטת כל כך” – כדי להראות שאפילו בראשו של המשורר הלאומי שרד התנ״ך לא כספרות, אלא כמסמך של אמונה, שנחקק במוחו בזכות תפילתו מתוך סידור ולימודיו בחדר בילדותו [וכפי שאני מעז להוסיף, בזכות לימודיו בישיבת </w:t>
      </w:r>
      <w:proofErr w:type="spellStart"/>
      <w:r>
        <w:rPr>
          <w:rtl/>
        </w:rPr>
        <w:t>וולוז׳ין</w:t>
      </w:r>
      <w:proofErr w:type="spellEnd"/>
      <w:r>
        <w:rPr>
          <w:rtl/>
        </w:rPr>
        <w:t xml:space="preserve"> בנעוריו].</w:t>
      </w:r>
    </w:p>
    <w:p w14:paraId="66992D5B" w14:textId="77777777" w:rsidR="00AB3647" w:rsidRDefault="00000000" w:rsidP="007923E9">
      <w:pPr>
        <w:spacing w:after="120" w:line="276" w:lineRule="auto"/>
        <w:ind w:firstLine="283"/>
        <w:jc w:val="both"/>
      </w:pPr>
      <w:r>
        <w:rPr>
          <w:rtl/>
        </w:rPr>
        <w:lastRenderedPageBreak/>
        <w:t xml:space="preserve">אמרה מעניינת של </w:t>
      </w:r>
      <w:proofErr w:type="spellStart"/>
      <w:r>
        <w:rPr>
          <w:rtl/>
        </w:rPr>
        <w:t>חיים־נחמן</w:t>
      </w:r>
      <w:proofErr w:type="spellEnd"/>
      <w:r>
        <w:rPr>
          <w:rtl/>
        </w:rPr>
        <w:t xml:space="preserve"> ביאליק מתועדת </w:t>
      </w:r>
      <w:proofErr w:type="spellStart"/>
      <w:r>
        <w:rPr>
          <w:rtl/>
        </w:rPr>
        <w:t>ב“ליקוטי</w:t>
      </w:r>
      <w:proofErr w:type="spellEnd"/>
      <w:r>
        <w:rPr>
          <w:rtl/>
        </w:rPr>
        <w:t xml:space="preserve"> </w:t>
      </w:r>
      <w:proofErr w:type="spellStart"/>
      <w:r>
        <w:rPr>
          <w:rtl/>
        </w:rPr>
        <w:t>הראי״ה</w:t>
      </w:r>
      <w:proofErr w:type="spellEnd"/>
      <w:r>
        <w:rPr>
          <w:rtl/>
        </w:rPr>
        <w:t>”.</w:t>
      </w:r>
      <w:bookmarkStart w:id="5309" w:name="_fnr3979"/>
      <w:bookmarkStart w:id="5310" w:name="pr_f_3866"/>
      <w:r>
        <w:rPr>
          <w:vertAlign w:val="superscript"/>
          <w:rtl/>
        </w:rPr>
        <w:footnoteReference w:id="3988" w:customMarkFollows="0"/>
      </w:r>
      <w:bookmarkEnd w:id="5309"/>
      <w:bookmarkEnd w:id="5310"/>
      <w:r>
        <w:rPr>
          <w:rtl/>
        </w:rPr>
        <w:t xml:space="preserve"> מסופר שם שפרופסור </w:t>
      </w:r>
      <w:proofErr w:type="spellStart"/>
      <w:r>
        <w:rPr>
          <w:rtl/>
        </w:rPr>
        <w:t>יוסף־יואל</w:t>
      </w:r>
      <w:proofErr w:type="spellEnd"/>
      <w:r>
        <w:rPr>
          <w:rtl/>
        </w:rPr>
        <w:t xml:space="preserve"> ריבלין ליווה פעם את ר׳ </w:t>
      </w:r>
      <w:proofErr w:type="spellStart"/>
      <w:r>
        <w:rPr>
          <w:rtl/>
        </w:rPr>
        <w:t>יעקב־משה</w:t>
      </w:r>
      <w:proofErr w:type="spellEnd"/>
      <w:r>
        <w:rPr>
          <w:rtl/>
        </w:rPr>
        <w:t xml:space="preserve"> חרל״פ בירושלים, ור׳ </w:t>
      </w:r>
      <w:proofErr w:type="spellStart"/>
      <w:r>
        <w:rPr>
          <w:rtl/>
        </w:rPr>
        <w:t>יעקב־משה</w:t>
      </w:r>
      <w:proofErr w:type="spellEnd"/>
      <w:r>
        <w:rPr>
          <w:rtl/>
        </w:rPr>
        <w:t xml:space="preserve"> “אמר לו פתאום: ‘יוסף, שמעתי שאתה קרוב לביאליק; האם תוכל לספר לי על יחסו לדת?’ [הוא] השיב: ‘כשהייתי בפרנקפורט’” – ריבלין למד חמש שנים בגרמניה, </w:t>
      </w:r>
      <w:proofErr w:type="spellStart"/>
      <w:r>
        <w:rPr>
          <w:rtl/>
        </w:rPr>
        <w:t>מתרפ״ב</w:t>
      </w:r>
      <w:proofErr w:type="spellEnd"/>
      <w:r>
        <w:rPr>
          <w:rtl/>
        </w:rPr>
        <w:t xml:space="preserve"> עד תרפ״ז – “‘ביקרו אצלי ביאליק ואשתו; היה זה ביום חמישי. אחרי הביקור ליוויתי אותו, כדרכי, לתחנת הרכבת לקראת שובו ל[באד] </w:t>
      </w:r>
      <w:proofErr w:type="spellStart"/>
      <w:r>
        <w:rPr>
          <w:rtl/>
        </w:rPr>
        <w:t>הומבורג</w:t>
      </w:r>
      <w:proofErr w:type="spellEnd"/>
      <w:r>
        <w:rPr>
          <w:rtl/>
        </w:rPr>
        <w:t>. לפני שעלו לרכבת אמר לי ביאליק: “ריבלין, בוא לבקרנו בשבת, אתה ואשתך.” השבתי: “איני נוסע בשבת.” ביאליק השתומם: “גם ברכבת תחתית ובחשמלית אינך נוסע?!” באותו רגע התכופף וחיבק אותי, ואמר: “אני מקנא בך. אבל דע לך: איני מומר להכעיס; אני מומר לתיאבון,</w:t>
      </w:r>
      <w:bookmarkStart w:id="5311" w:name="_fnr3980"/>
      <w:r>
        <w:rPr>
          <w:vertAlign w:val="superscript"/>
          <w:rtl/>
        </w:rPr>
        <w:footnoteReference w:id="3989" w:customMarkFollows="0"/>
      </w:r>
      <w:bookmarkEnd w:id="5311"/>
      <w:r>
        <w:rPr>
          <w:rtl/>
        </w:rPr>
        <w:t xml:space="preserve"> וכשאגיע לארץ ישראל, אני מקווה שה׳ ייתן לי כוח להתגבר על תאוותי.”‘”</w:t>
      </w:r>
      <w:bookmarkStart w:id="5312" w:name="_fnr3981"/>
      <w:bookmarkStart w:id="5313" w:name="pr_f_3868"/>
      <w:r>
        <w:rPr>
          <w:vertAlign w:val="superscript"/>
          <w:rtl/>
        </w:rPr>
        <w:footnoteReference w:id="3990" w:customMarkFollows="0"/>
      </w:r>
      <w:bookmarkEnd w:id="5312"/>
      <w:bookmarkEnd w:id="5313"/>
      <w:r>
        <w:rPr>
          <w:rtl/>
        </w:rPr>
        <w:t xml:space="preserve"> ביאליק עלה לארץ ישראל זמן לא רב אחרי שיחה זו, </w:t>
      </w:r>
      <w:proofErr w:type="spellStart"/>
      <w:r>
        <w:rPr>
          <w:rtl/>
        </w:rPr>
        <w:t>בתרפ״ד</w:t>
      </w:r>
      <w:proofErr w:type="spellEnd"/>
      <w:r>
        <w:rPr>
          <w:rtl/>
        </w:rPr>
        <w:t xml:space="preserve">, אבל לצערנו תקוותו לזכות </w:t>
      </w:r>
      <w:proofErr w:type="spellStart"/>
      <w:r>
        <w:rPr>
          <w:rtl/>
        </w:rPr>
        <w:t>ב“כוח</w:t>
      </w:r>
      <w:proofErr w:type="spellEnd"/>
      <w:r>
        <w:rPr>
          <w:rtl/>
        </w:rPr>
        <w:t>” לא התגשמה.</w:t>
      </w:r>
    </w:p>
    <w:p w14:paraId="1D6DE868" w14:textId="77777777" w:rsidR="00AB3647" w:rsidRDefault="00000000" w:rsidP="007923E9">
      <w:pPr>
        <w:spacing w:after="120" w:line="276" w:lineRule="auto"/>
        <w:ind w:firstLine="283"/>
        <w:jc w:val="both"/>
      </w:pPr>
      <w:r>
        <w:rPr>
          <w:rtl/>
        </w:rPr>
        <w:t xml:space="preserve">באשר לשאלה מתי בדיוק ביקר ר׳ </w:t>
      </w:r>
      <w:proofErr w:type="spellStart"/>
      <w:r>
        <w:rPr>
          <w:rtl/>
        </w:rPr>
        <w:t>איצל׳ה</w:t>
      </w:r>
      <w:proofErr w:type="spellEnd"/>
      <w:r>
        <w:rPr>
          <w:rtl/>
        </w:rPr>
        <w:t xml:space="preserve"> </w:t>
      </w:r>
      <w:proofErr w:type="spellStart"/>
      <w:r>
        <w:rPr>
          <w:rtl/>
        </w:rPr>
        <w:t>בוולוז׳ין</w:t>
      </w:r>
      <w:proofErr w:type="spellEnd"/>
      <w:r>
        <w:rPr>
          <w:rtl/>
        </w:rPr>
        <w:t xml:space="preserve">, אפשר להציע שהביקור התרחש בין עזיבתו את פטרבורג, </w:t>
      </w:r>
      <w:proofErr w:type="spellStart"/>
      <w:r>
        <w:rPr>
          <w:rtl/>
        </w:rPr>
        <w:t>בתרל״ח</w:t>
      </w:r>
      <w:proofErr w:type="spellEnd"/>
      <w:r>
        <w:rPr>
          <w:rtl/>
        </w:rPr>
        <w:t xml:space="preserve">, לבין מינויו להנהלת כולל קובנה, </w:t>
      </w:r>
      <w:proofErr w:type="spellStart"/>
      <w:r>
        <w:rPr>
          <w:rtl/>
        </w:rPr>
        <w:t>בתר״ם</w:t>
      </w:r>
      <w:proofErr w:type="spellEnd"/>
      <w:r>
        <w:rPr>
          <w:rtl/>
        </w:rPr>
        <w:t xml:space="preserve">. פרק זמן זה, שבו לא היה קשור לא לפטרבורג ולא לקובנה, נראה מתאים להצעתו להיות משגיח </w:t>
      </w:r>
      <w:proofErr w:type="spellStart"/>
      <w:r>
        <w:rPr>
          <w:rtl/>
        </w:rPr>
        <w:t>בוולוז׳ין</w:t>
      </w:r>
      <w:proofErr w:type="spellEnd"/>
      <w:r>
        <w:rPr>
          <w:rtl/>
        </w:rPr>
        <w:t xml:space="preserve">. לפי זה התרחש הביקור כששש שנות </w:t>
      </w:r>
      <w:proofErr w:type="spellStart"/>
      <w:r>
        <w:rPr>
          <w:rtl/>
        </w:rPr>
        <w:t>ה“קעסט</w:t>
      </w:r>
      <w:proofErr w:type="spellEnd"/>
      <w:r>
        <w:rPr>
          <w:rtl/>
        </w:rPr>
        <w:t>” של ר׳ חיים – זה היה מספר השנים שהוקצב בדרך כלל באותה תקופה לאברכים מצטיינים</w:t>
      </w:r>
      <w:bookmarkStart w:id="5314" w:name="_fnr3982"/>
      <w:r>
        <w:rPr>
          <w:vertAlign w:val="superscript"/>
          <w:rtl/>
        </w:rPr>
        <w:footnoteReference w:id="3991" w:customMarkFollows="0"/>
      </w:r>
      <w:bookmarkEnd w:id="5314"/>
      <w:r>
        <w:rPr>
          <w:rtl/>
        </w:rPr>
        <w:t xml:space="preserve"> – עמדו להסתיים, </w:t>
      </w:r>
      <w:proofErr w:type="spellStart"/>
      <w:r>
        <w:rPr>
          <w:rtl/>
        </w:rPr>
        <w:t>בתרל״ט</w:t>
      </w:r>
      <w:proofErr w:type="spellEnd"/>
      <w:r>
        <w:rPr>
          <w:rtl/>
        </w:rPr>
        <w:t>.</w:t>
      </w:r>
    </w:p>
    <w:p w14:paraId="1C79AA49" w14:textId="77777777" w:rsidR="00AB3647" w:rsidRDefault="00000000" w:rsidP="007923E9">
      <w:pPr>
        <w:pStyle w:val="4"/>
        <w:spacing w:line="276" w:lineRule="auto"/>
      </w:pPr>
      <w:r>
        <w:t>· הפסקה הרביעית ·</w:t>
      </w:r>
    </w:p>
    <w:p w14:paraId="02867775" w14:textId="77777777" w:rsidR="00AB3647" w:rsidRDefault="00000000" w:rsidP="007923E9">
      <w:pPr>
        <w:pStyle w:val="5"/>
        <w:spacing w:line="276" w:lineRule="auto"/>
      </w:pPr>
      <w:r>
        <w:rPr>
          <w:bCs/>
          <w:szCs w:val="26"/>
        </w:rPr>
        <w:t xml:space="preserve">ר׳ חיים </w:t>
      </w:r>
      <w:proofErr w:type="spellStart"/>
      <w:r>
        <w:rPr>
          <w:bCs/>
          <w:szCs w:val="26"/>
        </w:rPr>
        <w:t>סולובייצ׳יק</w:t>
      </w:r>
      <w:proofErr w:type="spellEnd"/>
      <w:r>
        <w:rPr>
          <w:bCs/>
          <w:szCs w:val="26"/>
        </w:rPr>
        <w:t xml:space="preserve"> נחשב לאדם שאינו מצוי בהוויות העולם בשנותיו הראשונות </w:t>
      </w:r>
      <w:proofErr w:type="spellStart"/>
      <w:r>
        <w:rPr>
          <w:bCs/>
          <w:szCs w:val="26"/>
        </w:rPr>
        <w:t>בוולוז׳ין</w:t>
      </w:r>
      <w:proofErr w:type="spellEnd"/>
      <w:r>
        <w:rPr>
          <w:bCs/>
          <w:szCs w:val="26"/>
        </w:rPr>
        <w:t xml:space="preserve"> – לבושו נשאר מרושל גם לאחר שנתמנה לרבה של </w:t>
      </w:r>
      <w:proofErr w:type="spellStart"/>
      <w:r>
        <w:rPr>
          <w:bCs/>
          <w:szCs w:val="26"/>
        </w:rPr>
        <w:t>בריסק</w:t>
      </w:r>
      <w:proofErr w:type="spellEnd"/>
      <w:r>
        <w:rPr>
          <w:bCs/>
          <w:szCs w:val="26"/>
        </w:rPr>
        <w:t xml:space="preserve"> – ר׳ חיים גוער </w:t>
      </w:r>
      <w:r>
        <w:rPr>
          <w:bCs/>
          <w:szCs w:val="26"/>
        </w:rPr>
        <w:lastRenderedPageBreak/>
        <w:t xml:space="preserve">באחיו הגדול של ר׳ שמעון </w:t>
      </w:r>
      <w:proofErr w:type="spellStart"/>
      <w:r>
        <w:rPr>
          <w:bCs/>
          <w:szCs w:val="26"/>
        </w:rPr>
        <w:t>שקופ</w:t>
      </w:r>
      <w:proofErr w:type="spellEnd"/>
      <w:r>
        <w:rPr>
          <w:bCs/>
          <w:szCs w:val="26"/>
        </w:rPr>
        <w:t xml:space="preserve"> – מקצת התלמידים אינם מרוצים משיעוריו – התלמידים המבוגרים נוטים מראש להתנגד למינויו – הוא מעמיד את מתנגדיו במקומם – הנהלת הישיבה מעניקה לו קופסת אתרוג שעליה כתובת – ר׳ </w:t>
      </w:r>
      <w:proofErr w:type="spellStart"/>
      <w:r>
        <w:rPr>
          <w:bCs/>
          <w:szCs w:val="26"/>
        </w:rPr>
        <w:t>יצחק־אייזיק</w:t>
      </w:r>
      <w:proofErr w:type="spellEnd"/>
      <w:r>
        <w:rPr>
          <w:bCs/>
          <w:szCs w:val="26"/>
        </w:rPr>
        <w:t xml:space="preserve"> הלוי מסייע </w:t>
      </w:r>
      <w:proofErr w:type="spellStart"/>
      <w:r>
        <w:rPr>
          <w:bCs/>
          <w:szCs w:val="26"/>
        </w:rPr>
        <w:t>לר</w:t>
      </w:r>
      <w:proofErr w:type="spellEnd"/>
      <w:r>
        <w:rPr>
          <w:bCs/>
          <w:szCs w:val="26"/>
        </w:rPr>
        <w:t xml:space="preserve">׳ חיים לקבל את המשרה – </w:t>
      </w:r>
      <w:proofErr w:type="spellStart"/>
      <w:r>
        <w:rPr>
          <w:bCs/>
          <w:szCs w:val="26"/>
        </w:rPr>
        <w:t>הנצי״ב</w:t>
      </w:r>
      <w:proofErr w:type="spellEnd"/>
      <w:r>
        <w:rPr>
          <w:bCs/>
          <w:szCs w:val="26"/>
        </w:rPr>
        <w:t xml:space="preserve"> חושש מתחרות </w:t>
      </w:r>
      <w:proofErr w:type="spellStart"/>
      <w:r>
        <w:rPr>
          <w:bCs/>
          <w:szCs w:val="26"/>
        </w:rPr>
        <w:t>בוולוז׳ין</w:t>
      </w:r>
      <w:proofErr w:type="spellEnd"/>
      <w:r>
        <w:rPr>
          <w:bCs/>
          <w:szCs w:val="26"/>
        </w:rPr>
        <w:t xml:space="preserve"> – ר׳ רפאל שפירא מקבל משרת רבנות, אך ממתין עד שחתנו מתבסס במקומו – ר׳ רפאל משלים מחזור שלם של הוראת התלמוד.</w:t>
      </w:r>
    </w:p>
    <w:p w14:paraId="7BA17B2C" w14:textId="77777777" w:rsidR="00AB3647" w:rsidRDefault="00000000" w:rsidP="007923E9">
      <w:pPr>
        <w:spacing w:after="120" w:line="276" w:lineRule="auto"/>
        <w:ind w:firstLine="283"/>
        <w:jc w:val="both"/>
      </w:pPr>
      <w:bookmarkStart w:id="5315" w:name="pr_b_2252"/>
      <w:bookmarkEnd w:id="5315"/>
      <w:r>
        <w:rPr>
          <w:rtl/>
        </w:rPr>
        <w:t xml:space="preserve">אם אכן טעה ר׳ חיים בהערכת מצב “בריאותה” של ישיבת </w:t>
      </w:r>
      <w:proofErr w:type="spellStart"/>
      <w:r>
        <w:rPr>
          <w:rtl/>
        </w:rPr>
        <w:t>וולוז׳ין</w:t>
      </w:r>
      <w:proofErr w:type="spellEnd"/>
      <w:r>
        <w:rPr>
          <w:rtl/>
        </w:rPr>
        <w:t xml:space="preserve">, ייתכן שהסיבה לא הייתה תמימותו או ייאושו מן התלמידים שנדבקו בנגע, אלא שקיעתו המוחלטת בלימוד התורה. אפשרות זו עולה משום ששיטתו הייחודית בלימוד התלמוד דרשה, ביתר שאת, התמסרות מוחלטת לנושא הנלמד, וייתכן שמשום כך לא היה מודע למעשיהם של תלמידי </w:t>
      </w:r>
      <w:proofErr w:type="spellStart"/>
      <w:r>
        <w:rPr>
          <w:rtl/>
        </w:rPr>
        <w:t>וולוז׳ין</w:t>
      </w:r>
      <w:proofErr w:type="spellEnd"/>
      <w:r>
        <w:rPr>
          <w:rtl/>
        </w:rPr>
        <w:t xml:space="preserve">. הדבר מתקבל על הדעת במיוחד אם המפגש בין ר׳ חיים </w:t>
      </w:r>
      <w:proofErr w:type="spellStart"/>
      <w:r>
        <w:rPr>
          <w:rtl/>
        </w:rPr>
        <w:t>לר</w:t>
      </w:r>
      <w:proofErr w:type="spellEnd"/>
      <w:r>
        <w:rPr>
          <w:rtl/>
        </w:rPr>
        <w:t xml:space="preserve">׳ </w:t>
      </w:r>
      <w:proofErr w:type="spellStart"/>
      <w:r>
        <w:rPr>
          <w:rtl/>
        </w:rPr>
        <w:t>איצל׳ה</w:t>
      </w:r>
      <w:proofErr w:type="spellEnd"/>
      <w:r>
        <w:rPr>
          <w:rtl/>
        </w:rPr>
        <w:t xml:space="preserve"> התרחש בתקופה המוקדמת יותר, כפי שהצעתי מלכתחילה. ר׳ חיים היה אז עדיין צעיר באמצע שנות העשרים לחייו, בלי אחריות לתלמידים, ועסק רק בהתפתחותו שלו – ולכן לא ראה את המציאות שסביבו </w:t>
      </w:r>
      <w:proofErr w:type="spellStart"/>
      <w:r>
        <w:rPr>
          <w:rtl/>
        </w:rPr>
        <w:t>בוולוז׳ין</w:t>
      </w:r>
      <w:proofErr w:type="spellEnd"/>
      <w:r>
        <w:rPr>
          <w:rtl/>
        </w:rPr>
        <w:t>.</w:t>
      </w:r>
    </w:p>
    <w:p w14:paraId="7CFF459D" w14:textId="77777777" w:rsidR="00AB3647" w:rsidRDefault="00000000" w:rsidP="007923E9">
      <w:pPr>
        <w:spacing w:after="120" w:line="276" w:lineRule="auto"/>
        <w:ind w:firstLine="283"/>
        <w:jc w:val="both"/>
      </w:pPr>
      <w:r>
        <w:rPr>
          <w:rtl/>
        </w:rPr>
        <w:t xml:space="preserve">את ריחוקו מסביבת </w:t>
      </w:r>
      <w:proofErr w:type="spellStart"/>
      <w:r>
        <w:rPr>
          <w:rtl/>
        </w:rPr>
        <w:t>וולוז׳ין</w:t>
      </w:r>
      <w:proofErr w:type="spellEnd"/>
      <w:r>
        <w:rPr>
          <w:rtl/>
        </w:rPr>
        <w:t xml:space="preserve"> ממחישים הן סיפור שסיפר ר׳ זליג אפשטיין</w:t>
      </w:r>
      <w:bookmarkStart w:id="5316" w:name="_fnr3983"/>
      <w:r>
        <w:rPr>
          <w:vertAlign w:val="superscript"/>
          <w:rtl/>
        </w:rPr>
        <w:footnoteReference w:id="3992" w:customMarkFollows="0"/>
      </w:r>
      <w:bookmarkEnd w:id="5316"/>
      <w:r>
        <w:rPr>
          <w:rtl/>
        </w:rPr>
        <w:t xml:space="preserve"> והן הכינוי שניתן </w:t>
      </w:r>
      <w:proofErr w:type="spellStart"/>
      <w:r>
        <w:rPr>
          <w:rtl/>
        </w:rPr>
        <w:t>לר</w:t>
      </w:r>
      <w:proofErr w:type="spellEnd"/>
      <w:r>
        <w:rPr>
          <w:rtl/>
        </w:rPr>
        <w:t xml:space="preserve">׳ חיים בשנים הראשונות של הוראתו, ושבוודאי דבק בו עוד לפני שמשרתו חייבה אותו להיות מעורב בענייני התלמידים. ר׳ שמעון </w:t>
      </w:r>
      <w:proofErr w:type="spellStart"/>
      <w:r>
        <w:rPr>
          <w:rtl/>
        </w:rPr>
        <w:t>שקופ</w:t>
      </w:r>
      <w:proofErr w:type="spellEnd"/>
      <w:r>
        <w:rPr>
          <w:rtl/>
        </w:rPr>
        <w:t xml:space="preserve">, יליד </w:t>
      </w:r>
      <w:proofErr w:type="spellStart"/>
      <w:r>
        <w:rPr>
          <w:rtl/>
        </w:rPr>
        <w:t>תר״ך</w:t>
      </w:r>
      <w:proofErr w:type="spellEnd"/>
      <w:r>
        <w:rPr>
          <w:rtl/>
        </w:rPr>
        <w:t xml:space="preserve">, כבר היה קרוב לגיל עשרים ואחת, ולמד בישיבת </w:t>
      </w:r>
      <w:proofErr w:type="spellStart"/>
      <w:r>
        <w:rPr>
          <w:rtl/>
        </w:rPr>
        <w:t>וולוז׳ין</w:t>
      </w:r>
      <w:proofErr w:type="spellEnd"/>
      <w:r>
        <w:rPr>
          <w:rtl/>
        </w:rPr>
        <w:t xml:space="preserve"> חמש שנים, כשהתקרב </w:t>
      </w:r>
      <w:proofErr w:type="spellStart"/>
      <w:r>
        <w:rPr>
          <w:rtl/>
        </w:rPr>
        <w:t>לר</w:t>
      </w:r>
      <w:proofErr w:type="spellEnd"/>
      <w:r>
        <w:rPr>
          <w:rtl/>
        </w:rPr>
        <w:t xml:space="preserve">׳ חיים. משום שר׳ שמעון החל “לדבר בלימוד” עם ר׳ חיים בלי הרף, גער בו אחיו הגדול, ר׳ </w:t>
      </w:r>
      <w:proofErr w:type="spellStart"/>
      <w:r>
        <w:rPr>
          <w:rtl/>
        </w:rPr>
        <w:t>לייבל־זכריה</w:t>
      </w:r>
      <w:proofErr w:type="spellEnd"/>
      <w:r>
        <w:rPr>
          <w:rtl/>
        </w:rPr>
        <w:t xml:space="preserve"> קפלן, שגם הוא למד אז </w:t>
      </w:r>
      <w:proofErr w:type="spellStart"/>
      <w:r>
        <w:rPr>
          <w:rtl/>
        </w:rPr>
        <w:t>בוולוז׳ין</w:t>
      </w:r>
      <w:proofErr w:type="spellEnd"/>
      <w:r>
        <w:rPr>
          <w:rtl/>
        </w:rPr>
        <w:t>: “מדוע אתה מבלה זמן רב כל כך עם הבטלן [אדם שאינו מצוי בהוויות העולם ואינו מעשי]?” ר׳ חיים קנה לעצמו כינוי זה משום שמחשבתו הייתה טרודה תמיד!</w:t>
      </w:r>
    </w:p>
    <w:p w14:paraId="681E87E7" w14:textId="77777777" w:rsidR="00AB3647" w:rsidRDefault="00000000" w:rsidP="007923E9">
      <w:pPr>
        <w:spacing w:after="120" w:line="276" w:lineRule="auto"/>
        <w:ind w:firstLine="283"/>
        <w:jc w:val="both"/>
      </w:pPr>
      <w:r>
        <w:rPr>
          <w:rtl/>
        </w:rPr>
        <w:t xml:space="preserve">גם לבושו היה מרושל, וכך נשאר אף לאחר שנתמנה לרבה של </w:t>
      </w:r>
      <w:proofErr w:type="spellStart"/>
      <w:r>
        <w:rPr>
          <w:rtl/>
        </w:rPr>
        <w:t>בריסק</w:t>
      </w:r>
      <w:bookmarkStart w:id="5317" w:name="_fnr3984"/>
      <w:proofErr w:type="spellEnd"/>
      <w:r>
        <w:rPr>
          <w:vertAlign w:val="superscript"/>
          <w:rtl/>
        </w:rPr>
        <w:footnoteReference w:id="3993" w:customMarkFollows="0"/>
      </w:r>
      <w:bookmarkEnd w:id="5317"/>
      <w:r>
        <w:rPr>
          <w:rtl/>
        </w:rPr>
        <w:t>. ר׳ חיים ברנד מסר</w:t>
      </w:r>
      <w:bookmarkStart w:id="5318" w:name="_fnr3985"/>
      <w:r>
        <w:rPr>
          <w:vertAlign w:val="superscript"/>
          <w:rtl/>
        </w:rPr>
        <w:footnoteReference w:id="3994" w:customMarkFollows="0"/>
      </w:r>
      <w:bookmarkEnd w:id="5318"/>
      <w:r>
        <w:rPr>
          <w:rtl/>
        </w:rPr>
        <w:t xml:space="preserve"> בשם נכדו של ר׳ חיים, ר׳ </w:t>
      </w:r>
      <w:proofErr w:type="spellStart"/>
      <w:r>
        <w:rPr>
          <w:rtl/>
        </w:rPr>
        <w:t xml:space="preserve">יושע־בערל</w:t>
      </w:r>
      <w:proofErr w:type="spellEnd"/>
      <w:r>
        <w:rPr>
          <w:rtl/>
        </w:rPr>
        <w:t xml:space="preserve"> </w:t>
      </w:r>
      <w:proofErr w:type="spellStart"/>
      <w:r>
        <w:rPr>
          <w:rtl/>
        </w:rPr>
        <w:t>סולובייצ׳יק</w:t>
      </w:r>
      <w:proofErr w:type="spellEnd"/>
      <w:r>
        <w:rPr>
          <w:rtl/>
        </w:rPr>
        <w:t xml:space="preserve">, שכשהיה ר׳ חיים אברך </w:t>
      </w:r>
      <w:proofErr w:type="spellStart"/>
      <w:r>
        <w:rPr>
          <w:rtl/>
        </w:rPr>
        <w:t>בוולוז׳ין</w:t>
      </w:r>
      <w:proofErr w:type="spellEnd"/>
      <w:r>
        <w:rPr>
          <w:rtl/>
        </w:rPr>
        <w:t>, נהג לקנח את אפו בקצה הקפוטה שלו. כשאשתו, שזה עתה נישאה לו, התלוננה על כך לפני חמיה, אמר לה שאין בכוחו לשכנע את בנו לחדול מכך. השיפור היחיד שיכול היה אביו של ר׳ חיים להציע היה לייעץ לו להשתמש בצדה הפנימי של הקפוטה במקום בצדה החיצוני</w:t>
      </w:r>
      <w:bookmarkStart w:id="5319" w:name="_fnr3986"/>
      <w:r>
        <w:rPr>
          <w:vertAlign w:val="superscript"/>
          <w:rtl/>
        </w:rPr>
        <w:footnoteReference w:id="3995" w:customMarkFollows="0"/>
      </w:r>
      <w:bookmarkEnd w:id="5319"/>
      <w:r>
        <w:rPr>
          <w:rtl/>
        </w:rPr>
        <w:t>.</w:t>
      </w:r>
    </w:p>
    <w:p w14:paraId="76508A19" w14:textId="77777777" w:rsidR="00AB3647" w:rsidRDefault="00000000" w:rsidP="007923E9">
      <w:pPr>
        <w:spacing w:after="120" w:line="276" w:lineRule="auto"/>
        <w:ind w:firstLine="283"/>
        <w:jc w:val="both"/>
      </w:pPr>
      <w:bookmarkStart w:id="5320" w:name="pr_b_2254"/>
      <w:bookmarkEnd w:id="5320"/>
      <w:r>
        <w:rPr>
          <w:rtl/>
        </w:rPr>
        <w:t xml:space="preserve">ר׳ זליג אפשטיין המשיך: “יותר מעשרים שנה לאחר מכן, כשר׳ חיים כבר היה רבה של </w:t>
      </w:r>
      <w:proofErr w:type="spellStart"/>
      <w:r>
        <w:rPr>
          <w:rtl/>
        </w:rPr>
        <w:t>בריסק</w:t>
      </w:r>
      <w:proofErr w:type="spellEnd"/>
      <w:r>
        <w:rPr>
          <w:rtl/>
        </w:rPr>
        <w:t xml:space="preserve"> ור׳ שמעון ראש ישיבה מבוסס </w:t>
      </w:r>
      <w:proofErr w:type="spellStart"/>
      <w:r>
        <w:rPr>
          <w:rtl/>
        </w:rPr>
        <w:t>בטלז</w:t>
      </w:r>
      <w:bookmarkStart w:id="5321" w:name="_fnr3987"/>
      <w:proofErr w:type="spellEnd"/>
      <w:r>
        <w:rPr>
          <w:vertAlign w:val="superscript"/>
          <w:rtl/>
        </w:rPr>
        <w:footnoteReference w:id="3996" w:customMarkFollows="0"/>
      </w:r>
      <w:bookmarkEnd w:id="5321"/>
      <w:r>
        <w:rPr>
          <w:rtl/>
        </w:rPr>
        <w:t xml:space="preserve">, עבר ר׳ שמעון </w:t>
      </w:r>
      <w:proofErr w:type="spellStart"/>
      <w:r>
        <w:rPr>
          <w:rtl/>
        </w:rPr>
        <w:t>בבריסק</w:t>
      </w:r>
      <w:proofErr w:type="spellEnd"/>
      <w:r>
        <w:rPr>
          <w:rtl/>
        </w:rPr>
        <w:t xml:space="preserve"> ונכנס לבקר את הרב יחד עם ר׳ </w:t>
      </w:r>
      <w:proofErr w:type="spellStart"/>
      <w:r>
        <w:rPr>
          <w:rtl/>
        </w:rPr>
        <w:t>לייבל־זכריה</w:t>
      </w:r>
      <w:proofErr w:type="spellEnd"/>
      <w:r>
        <w:rPr>
          <w:rtl/>
        </w:rPr>
        <w:t xml:space="preserve"> – שהיה עכשיו איש עסקים בעיר, ומבין ראשי הקהל תומך קרוב ונאמן במיוחד של ר׳ חיים. כשישבו יחד ליד שולחנו של ר׳ חיים, גער הרב </w:t>
      </w:r>
      <w:proofErr w:type="spellStart"/>
      <w:r>
        <w:rPr>
          <w:rtl/>
        </w:rPr>
        <w:t>מבריסק</w:t>
      </w:r>
      <w:proofErr w:type="spellEnd"/>
      <w:r>
        <w:rPr>
          <w:rtl/>
        </w:rPr>
        <w:t xml:space="preserve"> באורח המבוגר </w:t>
      </w:r>
      <w:r>
        <w:rPr>
          <w:rtl/>
        </w:rPr>
        <w:lastRenderedPageBreak/>
        <w:t xml:space="preserve">בבדיחות הדעת: ‘אתה רואה? אחיך הצעיר, </w:t>
      </w:r>
      <w:proofErr w:type="spellStart"/>
      <w:r>
        <w:rPr>
          <w:rtl/>
        </w:rPr>
        <w:t>ש“בילה</w:t>
      </w:r>
      <w:proofErr w:type="spellEnd"/>
      <w:r>
        <w:rPr>
          <w:rtl/>
        </w:rPr>
        <w:t xml:space="preserve"> זמן רב כל כך עם הבטלן”, נעשה ראש ישיבה עצמאי, ואילו אתה, שלא עשית כן, אינך אלא אחד מבני קהילתו של “הבטלן”.’”</w:t>
      </w:r>
    </w:p>
    <w:p w14:paraId="0ACED17A" w14:textId="17320026" w:rsidR="00AB3647" w:rsidRDefault="00000000" w:rsidP="007923E9">
      <w:pPr>
        <w:spacing w:after="120" w:line="276" w:lineRule="auto"/>
        <w:ind w:firstLine="283"/>
        <w:jc w:val="both"/>
      </w:pPr>
      <w:r>
        <w:rPr>
          <w:rtl/>
        </w:rPr>
        <w:t xml:space="preserve">ר׳ שמעון עצמו היה בתחילה מן התלמידים שנמנעו מלבוא לשיעוריו של ר׳ חיים, וייתכן שהיה ממשיך בכך אלמלא מקרה בלתי צפוי, כמבואר בפרק 3, בפסקה השנייה של </w:t>
      </w:r>
      <w:r>
        <w:rPr>
          <w:rtl/>
        </w:rPr>
        <w:fldChar w:fldCharType="begin" w:dirty="true"/>
      </w:r>
      <w:r>
        <w:rPr>
          <w:rtl/>
        </w:rPr>
        <w:instrText xml:space="preserve"> REF b3_excCC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כט</w:t>
      </w:r>
      <w:proofErr w:type="spellEnd"/>
      <w:r>
        <w:rPr>
          <w:rtl/>
        </w:rPr>
        <w:fldChar w:fldCharType="end"/>
      </w:r>
      <w:r>
        <w:rPr>
          <w:rtl/>
        </w:rPr>
        <w:t xml:space="preserve">. לנוכח מעמדו העליון של ר׳ חיים בעולם הישיבות בימינו, הקורא עשוי להשתומם על כך </w:t>
      </w:r>
      <w:proofErr w:type="spellStart"/>
      <w:r>
        <w:rPr>
          <w:rtl/>
        </w:rPr>
        <w:t>שבוולוז׳ין</w:t>
      </w:r>
      <w:proofErr w:type="spellEnd"/>
      <w:r>
        <w:rPr>
          <w:rtl/>
        </w:rPr>
        <w:t xml:space="preserve">, בתקופה הראשונה לאחר מינויו, לא זכתה הוראתו להערכה מלאה. השווה </w:t>
      </w:r>
      <w:proofErr w:type="spellStart"/>
      <w:r>
        <w:rPr>
          <w:rtl/>
        </w:rPr>
        <w:t>ידעאל</w:t>
      </w:r>
      <w:proofErr w:type="spellEnd"/>
      <w:r>
        <w:rPr>
          <w:rtl/>
        </w:rPr>
        <w:t xml:space="preserve"> מלצר, “בדרך עץ החיים”</w:t>
      </w:r>
      <w:bookmarkStart w:id="5322" w:name="_fnr3988"/>
      <w:r>
        <w:rPr>
          <w:vertAlign w:val="superscript"/>
          <w:rtl/>
        </w:rPr>
        <w:footnoteReference w:id="3997" w:customMarkFollows="0"/>
      </w:r>
      <w:bookmarkEnd w:id="5322"/>
      <w:bookmarkStart w:id="7042" w:name="_TranslatorNote_5397"/>
      <w:r>
        <w:rPr>
          <w:rStyle w:val="a5"/>
          <w:vertAlign w:val="superscript"/>
          <w:rtl/>
        </w:rPr>
        <w:footnoteReference w:id="3998" w:customMarkFollows="1"/>
        <w:t>*</w:t>
      </w:r>
      <w:bookmarkEnd w:id="7042"/>
      <w:r>
        <w:rPr>
          <w:rtl/>
        </w:rPr>
        <w:t xml:space="preserve">, שבו מובאים דברי ר׳ חיים </w:t>
      </w:r>
      <w:proofErr w:type="spellStart"/>
      <w:r>
        <w:rPr>
          <w:rtl/>
        </w:rPr>
        <w:t>סולובייצ׳יק</w:t>
      </w:r>
      <w:proofErr w:type="spellEnd"/>
      <w:r>
        <w:rPr>
          <w:rtl/>
        </w:rPr>
        <w:t xml:space="preserve"> </w:t>
      </w:r>
      <w:proofErr w:type="spellStart"/>
      <w:r>
        <w:rPr>
          <w:rtl/>
        </w:rPr>
        <w:t>לר</w:t>
      </w:r>
      <w:proofErr w:type="spellEnd"/>
      <w:r>
        <w:rPr>
          <w:rtl/>
        </w:rPr>
        <w:t xml:space="preserve">׳ </w:t>
      </w:r>
      <w:proofErr w:type="spellStart"/>
      <w:r>
        <w:rPr>
          <w:rtl/>
        </w:rPr>
        <w:t>איסר־זלמן</w:t>
      </w:r>
      <w:proofErr w:type="spellEnd"/>
      <w:r>
        <w:rPr>
          <w:rtl/>
        </w:rPr>
        <w:t>: “כר״מ צעיר וחדש” – בתחילת כהונתו – “היו כדרך הטבע מתנגדים למינויי זה”. ר׳ חיים סיפר זאת לתלמידו כשהסביר לו שאף שהיה חשוב לו ביותר לומר אז שיעורים מרשימים, נמנע מלומר דבר שלא האמין שהוא ההבנה הנכונה של העניין [לאמיתה של תורה]</w:t>
      </w:r>
      <w:bookmarkStart w:id="5323" w:name="_fnr3989"/>
      <w:r>
        <w:rPr>
          <w:vertAlign w:val="superscript"/>
          <w:rtl/>
        </w:rPr>
        <w:footnoteReference w:id="3999" w:customMarkFollows="0"/>
      </w:r>
      <w:bookmarkEnd w:id="5323"/>
      <w:r>
        <w:rPr>
          <w:rtl/>
        </w:rPr>
        <w:t xml:space="preserve">. הוא הדריך את ר׳ </w:t>
      </w:r>
      <w:proofErr w:type="spellStart"/>
      <w:r>
        <w:rPr>
          <w:rtl/>
        </w:rPr>
        <w:t>איסר־זלמן</w:t>
      </w:r>
      <w:proofErr w:type="spellEnd"/>
      <w:r>
        <w:rPr>
          <w:rtl/>
        </w:rPr>
        <w:t xml:space="preserve"> לנהוג לפי כלל זה בעתיד, כשימסור שיעורים לדור הבא של לומדי התורה.</w:t>
      </w:r>
    </w:p>
    <w:p w14:paraId="3B46FA7B" w14:textId="77777777" w:rsidR="00AB3647" w:rsidRDefault="00000000" w:rsidP="007923E9">
      <w:pPr>
        <w:spacing w:after="120" w:line="276" w:lineRule="auto"/>
        <w:ind w:firstLine="283"/>
        <w:jc w:val="both"/>
      </w:pPr>
      <w:r>
        <w:rPr>
          <w:rtl/>
        </w:rPr>
        <w:t xml:space="preserve">על כך שבתחילה לא קיבלו את ר׳ חיים כמגיד שיעור בכיר, אמר ר׳ מיכל </w:t>
      </w:r>
      <w:proofErr w:type="spellStart"/>
      <w:r>
        <w:rPr>
          <w:rtl/>
        </w:rPr>
        <w:t>שורקין</w:t>
      </w:r>
      <w:bookmarkStart w:id="5324" w:name="_fnr3990"/>
      <w:proofErr w:type="spellEnd"/>
      <w:r>
        <w:rPr>
          <w:vertAlign w:val="superscript"/>
          <w:rtl/>
        </w:rPr>
        <w:footnoteReference w:id="4000" w:customMarkFollows="0"/>
      </w:r>
      <w:bookmarkEnd w:id="5324"/>
      <w:r>
        <w:rPr>
          <w:rtl/>
        </w:rPr>
        <w:t xml:space="preserve"> בשם ר׳ </w:t>
      </w:r>
      <w:proofErr w:type="spellStart"/>
      <w:r>
        <w:rPr>
          <w:rtl/>
        </w:rPr>
        <w:t xml:space="preserve">יוסף־דב</w:t>
      </w:r>
      <w:proofErr w:type="spellEnd"/>
      <w:r>
        <w:rPr>
          <w:rtl/>
        </w:rPr>
        <w:t xml:space="preserve"> </w:t>
      </w:r>
      <w:proofErr w:type="spellStart"/>
      <w:r>
        <w:rPr>
          <w:rtl/>
        </w:rPr>
        <w:t>סולובייצ׳יק</w:t>
      </w:r>
      <w:proofErr w:type="spellEnd"/>
      <w:r>
        <w:rPr>
          <w:rtl/>
        </w:rPr>
        <w:t xml:space="preserve"> שהשומעים היו כה לא מרוצים מהוראתו, עד שגבאי ישיבת </w:t>
      </w:r>
      <w:proofErr w:type="spellStart"/>
      <w:r>
        <w:rPr>
          <w:rtl/>
        </w:rPr>
        <w:t>וולוז׳ין</w:t>
      </w:r>
      <w:proofErr w:type="spellEnd"/>
      <w:r>
        <w:rPr>
          <w:rtl/>
        </w:rPr>
        <w:t xml:space="preserve"> נאלצו לבקש מכמה מגדולי התורה לבוא </w:t>
      </w:r>
      <w:proofErr w:type="spellStart"/>
      <w:r>
        <w:rPr>
          <w:rtl/>
        </w:rPr>
        <w:t>לוולוז׳ין</w:t>
      </w:r>
      <w:proofErr w:type="spellEnd"/>
      <w:r>
        <w:rPr>
          <w:rtl/>
        </w:rPr>
        <w:t xml:space="preserve">, לשמוע את שיעורי המתמנה החדש ולהעריכם. ר׳ מיכל לא היה בטוח מי היו גדולים אלה, מלבד אחד – ר׳ </w:t>
      </w:r>
      <w:proofErr w:type="spellStart"/>
      <w:r>
        <w:rPr>
          <w:rtl/>
        </w:rPr>
        <w:t>רובל׳ה</w:t>
      </w:r>
      <w:proofErr w:type="spellEnd"/>
      <w:r>
        <w:rPr>
          <w:rtl/>
        </w:rPr>
        <w:t xml:space="preserve"> לוין </w:t>
      </w:r>
      <w:proofErr w:type="spellStart"/>
      <w:r>
        <w:rPr>
          <w:rtl/>
        </w:rPr>
        <w:t>מדינבורג</w:t>
      </w:r>
      <w:proofErr w:type="spellEnd"/>
      <w:r>
        <w:rPr>
          <w:rtl/>
        </w:rPr>
        <w:t>. “ר׳ חיים מסר שיעור במסכת יבמות,” סיפר ר׳ מיכל, “אבל אז מצא מקור ברמב״ם שסתר את דבריו, ולא היסס לחזור בו ממה שהכין לומר.”</w:t>
      </w:r>
    </w:p>
    <w:p w14:paraId="2D040D43" w14:textId="77777777" w:rsidR="00AB3647" w:rsidRDefault="00000000" w:rsidP="007923E9">
      <w:pPr>
        <w:spacing w:after="120" w:line="276" w:lineRule="auto"/>
        <w:ind w:firstLine="283"/>
        <w:jc w:val="both"/>
      </w:pPr>
      <w:r>
        <w:rPr>
          <w:rtl/>
        </w:rPr>
        <w:t xml:space="preserve">ר׳ </w:t>
      </w:r>
      <w:proofErr w:type="spellStart"/>
      <w:r>
        <w:rPr>
          <w:rtl/>
        </w:rPr>
        <w:t xml:space="preserve">יוסף־דב</w:t>
      </w:r>
      <w:proofErr w:type="spellEnd"/>
      <w:r>
        <w:rPr>
          <w:rtl/>
        </w:rPr>
        <w:t xml:space="preserve"> גילה בדיוק מה היה חידושו של ר׳ חיים ואיזה מדברי הרמב״ם הפריך אותו, וחלק זה בדיווחו של ר׳ מיכל </w:t>
      </w:r>
      <w:proofErr w:type="spellStart"/>
      <w:r>
        <w:rPr>
          <w:rtl/>
        </w:rPr>
        <w:t>שורקין</w:t>
      </w:r>
      <w:proofErr w:type="spellEnd"/>
      <w:r>
        <w:rPr>
          <w:rtl/>
        </w:rPr>
        <w:t xml:space="preserve"> הועלה לימים על הכתב בספר “הרב”</w:t>
      </w:r>
      <w:bookmarkStart w:id="5325" w:name="_fnr3991"/>
      <w:r>
        <w:rPr>
          <w:vertAlign w:val="superscript"/>
          <w:rtl/>
        </w:rPr>
        <w:footnoteReference w:id="4001" w:customMarkFollows="0"/>
      </w:r>
      <w:bookmarkEnd w:id="5325"/>
      <w:r>
        <w:rPr>
          <w:rtl/>
        </w:rPr>
        <w:t xml:space="preserve">. הספר גם מציין את שם הרב שהעיר לגבאים שיש צורך לבחון מחדש את מינויו של ר׳ חיים, ומספר שאחר כך הזמין ר׳ </w:t>
      </w:r>
      <w:proofErr w:type="spellStart"/>
      <w:r>
        <w:rPr>
          <w:rtl/>
        </w:rPr>
        <w:t>רובל׳ה</w:t>
      </w:r>
      <w:proofErr w:type="spellEnd"/>
      <w:r>
        <w:rPr>
          <w:rtl/>
        </w:rPr>
        <w:t xml:space="preserve"> את ר׳ חיים </w:t>
      </w:r>
      <w:proofErr w:type="spellStart"/>
      <w:r>
        <w:rPr>
          <w:rtl/>
        </w:rPr>
        <w:t>לדינבורג</w:t>
      </w:r>
      <w:proofErr w:type="spellEnd"/>
      <w:r>
        <w:rPr>
          <w:rtl/>
        </w:rPr>
        <w:t xml:space="preserve"> וסמך אותו, לאחר שדן עמו בנושאים תלמודיים רבים. בסוף הסיפור הרשים ר׳ חיים את “בוחניו” כשהראה שירד לסוף דרך החשיבה של כל אחד מהם: הוא אמר להם כיצד יפתור כל אחד מהם בעיה מסוימת. על כישרונו המיוחד הזה ראה בפסקה הרביעית של נספח ו בפרק 5.</w:t>
      </w:r>
    </w:p>
    <w:p w14:paraId="0F7D8F3F" w14:textId="743C722A" w:rsidR="00AB3647" w:rsidRDefault="00000000" w:rsidP="007923E9">
      <w:pPr>
        <w:spacing w:after="120" w:line="276" w:lineRule="auto"/>
        <w:ind w:firstLine="283"/>
        <w:jc w:val="both"/>
      </w:pPr>
      <w:r>
        <w:rPr>
          <w:rtl/>
        </w:rPr>
        <w:t xml:space="preserve">אבל דיווחו של ר׳ מיכל </w:t>
      </w:r>
      <w:proofErr w:type="spellStart"/>
      <w:r>
        <w:rPr>
          <w:rtl/>
        </w:rPr>
        <w:t>שורקין</w:t>
      </w:r>
      <w:proofErr w:type="spellEnd"/>
      <w:r>
        <w:rPr>
          <w:rtl/>
        </w:rPr>
        <w:t xml:space="preserve"> (והגרסה שפורסמה </w:t>
      </w:r>
      <w:proofErr w:type="spellStart"/>
      <w:r>
        <w:rPr>
          <w:rtl/>
        </w:rPr>
        <w:t>ב“הרב</w:t>
      </w:r>
      <w:proofErr w:type="spellEnd"/>
      <w:r>
        <w:rPr>
          <w:rtl/>
        </w:rPr>
        <w:t xml:space="preserve">”), שחוזר בשם ר׳ </w:t>
      </w:r>
      <w:proofErr w:type="spellStart"/>
      <w:r>
        <w:rPr>
          <w:rtl/>
        </w:rPr>
        <w:t xml:space="preserve">יוסף־דב</w:t>
      </w:r>
      <w:proofErr w:type="spellEnd"/>
      <w:r>
        <w:rPr>
          <w:rtl/>
        </w:rPr>
        <w:t xml:space="preserve"> </w:t>
      </w:r>
      <w:proofErr w:type="spellStart"/>
      <w:r>
        <w:rPr>
          <w:rtl/>
        </w:rPr>
        <w:t>ב“נפש</w:t>
      </w:r>
      <w:proofErr w:type="spellEnd"/>
      <w:r>
        <w:rPr>
          <w:rtl/>
        </w:rPr>
        <w:t xml:space="preserve"> הרב”</w:t>
      </w:r>
      <w:bookmarkStart w:id="5326" w:name="_fnr3992"/>
      <w:r>
        <w:rPr>
          <w:vertAlign w:val="superscript"/>
          <w:rtl/>
        </w:rPr>
        <w:footnoteReference w:id="4002" w:customMarkFollows="0"/>
      </w:r>
      <w:bookmarkEnd w:id="5326"/>
      <w:r>
        <w:rPr>
          <w:rtl/>
        </w:rPr>
        <w:t xml:space="preserve">, אינו מתקבל, משלושה טעמים: (א) ר׳ חיים התחיל את שיעוריו כשהישיבה למדה מסכת בבא קמא, כמתואר להלן, והיה עליו לסיים את כל סדר נזיקין לפני שיגיע למסכת </w:t>
      </w:r>
      <w:r>
        <w:rPr>
          <w:rtl/>
        </w:rPr>
        <w:lastRenderedPageBreak/>
        <w:t>יבמות. הדבר ארך כמה שנים, ועד אז ודאי כבר לא עמד מינויו בישיבה לבחינה</w:t>
      </w:r>
      <w:bookmarkStart w:id="5327" w:name="_fnr3993"/>
      <w:bookmarkStart w:id="5328" w:name="pr_f_3880"/>
      <w:r>
        <w:rPr>
          <w:vertAlign w:val="superscript"/>
          <w:rtl/>
        </w:rPr>
        <w:footnoteReference w:id="4003" w:customMarkFollows="0"/>
      </w:r>
      <w:bookmarkEnd w:id="5327"/>
      <w:bookmarkEnd w:id="5328"/>
      <w:r>
        <w:rPr>
          <w:rtl/>
        </w:rPr>
        <w:t xml:space="preserve">. (ב) לפי סיפורו של אבי על ביקורו של ר׳ חיים אצל ר׳ </w:t>
      </w:r>
      <w:proofErr w:type="spellStart"/>
      <w:r>
        <w:rPr>
          <w:rtl/>
        </w:rPr>
        <w:t>רובל׳ה</w:t>
      </w:r>
      <w:proofErr w:type="spellEnd"/>
      <w:r>
        <w:rPr>
          <w:rtl/>
        </w:rPr>
        <w:t xml:space="preserve"> </w:t>
      </w:r>
      <w:proofErr w:type="spellStart"/>
      <w:r>
        <w:rPr>
          <w:rtl/>
        </w:rPr>
        <w:t>בדינבורג</w:t>
      </w:r>
      <w:proofErr w:type="spellEnd"/>
      <w:r>
        <w:rPr>
          <w:rtl/>
        </w:rPr>
        <w:t xml:space="preserve"> כעבור כמה שנים</w:t>
      </w:r>
      <w:bookmarkStart w:id="5329" w:name="_fnr3994"/>
      <w:r>
        <w:rPr>
          <w:vertAlign w:val="superscript"/>
          <w:rtl/>
        </w:rPr>
        <w:footnoteReference w:id="4004" w:customMarkFollows="0"/>
      </w:r>
      <w:bookmarkEnd w:id="5329"/>
      <w:r>
        <w:rPr>
          <w:rtl/>
        </w:rPr>
        <w:t xml:space="preserve">, לא היה </w:t>
      </w:r>
      <w:proofErr w:type="spellStart"/>
      <w:r>
        <w:rPr>
          <w:rtl/>
        </w:rPr>
        <w:t>לר</w:t>
      </w:r>
      <w:proofErr w:type="spellEnd"/>
      <w:r>
        <w:rPr>
          <w:rtl/>
        </w:rPr>
        <w:t xml:space="preserve">׳ </w:t>
      </w:r>
      <w:proofErr w:type="spellStart"/>
      <w:r>
        <w:rPr>
          <w:rtl/>
        </w:rPr>
        <w:t>רובל׳ה</w:t>
      </w:r>
      <w:proofErr w:type="spellEnd"/>
      <w:r>
        <w:rPr>
          <w:rtl/>
        </w:rPr>
        <w:t xml:space="preserve"> ידע ממקור ראשון על טיב השיעורים שמסר ר׳ חיים. (ג) ר׳ חיים לא קיבל סמיכה עד שהתמנה לרבנות </w:t>
      </w:r>
      <w:proofErr w:type="spellStart"/>
      <w:r>
        <w:rPr>
          <w:rtl/>
        </w:rPr>
        <w:t>בריסק</w:t>
      </w:r>
      <w:proofErr w:type="spellEnd"/>
      <w:r>
        <w:rPr>
          <w:rtl/>
        </w:rPr>
        <w:t xml:space="preserve"> לאחר סגירת ישיבת </w:t>
      </w:r>
      <w:proofErr w:type="spellStart"/>
      <w:r>
        <w:rPr>
          <w:rtl/>
        </w:rPr>
        <w:t>וולוז׳ין</w:t>
      </w:r>
      <w:proofErr w:type="spellEnd"/>
      <w:r>
        <w:rPr>
          <w:rtl/>
        </w:rPr>
        <w:t xml:space="preserve">, כמסופר </w:t>
      </w:r>
      <w:proofErr w:type="spellStart"/>
      <w:r>
        <w:rPr>
          <w:rtl/>
        </w:rPr>
        <w:t>ב“הראשון</w:t>
      </w:r>
      <w:proofErr w:type="spellEnd"/>
      <w:r>
        <w:rPr>
          <w:rtl/>
        </w:rPr>
        <w:t xml:space="preserve">” על פי מקורות אחרים וכמובא בפרק 5, בפסקה החמישית של </w:t>
      </w:r>
      <w:r>
        <w:rPr>
          <w:rtl/>
        </w:rPr>
        <w:fldChar w:fldCharType="begin" w:dirty="true"/>
      </w:r>
      <w:r>
        <w:rPr>
          <w:rtl/>
        </w:rPr>
        <w:instrText xml:space="preserve"> REF b5_excF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ו</w:t>
      </w:r>
      <w:r>
        <w:rPr>
          <w:rtl/>
        </w:rPr>
        <w:fldChar w:fldCharType="end"/>
      </w:r>
      <w:r>
        <w:rPr>
          <w:rtl/>
        </w:rPr>
        <w:t>.</w:t>
      </w:r>
    </w:p>
    <w:p w14:paraId="5EED1770" w14:textId="4DF4B695" w:rsidR="00AB3647" w:rsidRDefault="00000000" w:rsidP="007923E9">
      <w:pPr>
        <w:spacing w:after="120" w:line="276" w:lineRule="auto"/>
        <w:ind w:firstLine="283"/>
        <w:jc w:val="both"/>
      </w:pPr>
      <w:r>
        <w:rPr>
          <w:rtl/>
        </w:rPr>
        <w:t xml:space="preserve">ר׳ מיכל </w:t>
      </w:r>
      <w:proofErr w:type="spellStart"/>
      <w:r>
        <w:rPr>
          <w:rtl/>
        </w:rPr>
        <w:t>שורקין</w:t>
      </w:r>
      <w:proofErr w:type="spellEnd"/>
      <w:r>
        <w:rPr>
          <w:rtl/>
        </w:rPr>
        <w:t xml:space="preserve"> סיפר גם</w:t>
      </w:r>
      <w:bookmarkStart w:id="5330" w:name="_fnr3995"/>
      <w:r>
        <w:rPr>
          <w:vertAlign w:val="superscript"/>
          <w:rtl/>
        </w:rPr>
        <w:footnoteReference w:id="4005" w:customMarkFollows="0"/>
      </w:r>
      <w:bookmarkEnd w:id="5330"/>
      <w:r>
        <w:rPr>
          <w:rtl/>
        </w:rPr>
        <w:t xml:space="preserve"> שסבו ר׳ יעקב </w:t>
      </w:r>
      <w:proofErr w:type="spellStart"/>
      <w:r>
        <w:rPr>
          <w:rtl/>
        </w:rPr>
        <w:t>קנטרוביץ</w:t>
      </w:r>
      <w:proofErr w:type="spellEnd"/>
      <w:r>
        <w:rPr>
          <w:rtl/>
        </w:rPr>
        <w:t xml:space="preserve"> – תלמיד </w:t>
      </w:r>
      <w:proofErr w:type="spellStart"/>
      <w:r>
        <w:rPr>
          <w:rtl/>
        </w:rPr>
        <w:t>וולוז׳ין</w:t>
      </w:r>
      <w:proofErr w:type="spellEnd"/>
      <w:r>
        <w:rPr>
          <w:rtl/>
        </w:rPr>
        <w:t xml:space="preserve"> יליד תרל״ג, שלימים נעשה בן בית בבית חמיו של ר׳ חיים, ר׳ רפאל שפירא – אמר לו שהתלמידים המבוגרים הם שנמנעו מלבוא לשיעורי ר׳ חיים, בטענה שהוא “מדקדק כחוט השערה”. השווה גם פרק 3, </w:t>
      </w:r>
      <w:r>
        <w:rPr>
          <w:rtl/>
        </w:rPr>
        <w:fldChar w:fldCharType="begin" w:dirty="true"/>
      </w:r>
      <w:r>
        <w:rPr>
          <w:rtl/>
        </w:rPr>
        <w:instrText xml:space="preserve"> REF b3_excCC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כט</w:t>
      </w:r>
      <w:proofErr w:type="spellEnd"/>
      <w:r>
        <w:rPr>
          <w:rtl/>
        </w:rPr>
        <w:fldChar w:fldCharType="end"/>
      </w:r>
      <w:bookmarkStart w:id="5331" w:name="_fnr3996"/>
      <w:r>
        <w:rPr>
          <w:vertAlign w:val="superscript"/>
          <w:rtl/>
        </w:rPr>
        <w:footnoteReference w:id="4006" w:customMarkFollows="0"/>
      </w:r>
      <w:bookmarkEnd w:id="5331"/>
      <w:r>
        <w:rPr>
          <w:rtl/>
        </w:rPr>
        <w:t xml:space="preserve">. ייתכן שהגדרה זו של דרך לימודו של ר׳ חיים התאימה לשיעוריו המאוחרים, אבל שיעוריו בתחילת כהונתו היו יותר בסגנון הפלפולי (דרך החריפות), באותה חריפות שהפגין אביו ר׳ יוסף־דב בספרו “בית הלוי”. ר׳ מיכל </w:t>
      </w:r>
      <w:proofErr w:type="spellStart"/>
      <w:r>
        <w:rPr>
          <w:rtl/>
        </w:rPr>
        <w:t>שורקין</w:t>
      </w:r>
      <w:proofErr w:type="spellEnd"/>
      <w:r>
        <w:rPr>
          <w:rtl/>
        </w:rPr>
        <w:t xml:space="preserve"> עצמו אמר שמעיון בשיעורים שמסר ר׳ חיים בתחילת כהונתו </w:t>
      </w:r>
      <w:proofErr w:type="spellStart"/>
      <w:r>
        <w:rPr>
          <w:rtl/>
        </w:rPr>
        <w:t>בוולוז׳ין</w:t>
      </w:r>
      <w:proofErr w:type="spellEnd"/>
      <w:r>
        <w:rPr>
          <w:rtl/>
        </w:rPr>
        <w:t xml:space="preserve"> – שנדפסו לאחרונה בשם “שיעורי רבנו חיים הלוי”</w:t>
      </w:r>
      <w:bookmarkStart w:id="5332" w:name="_fnr3997"/>
      <w:r>
        <w:rPr>
          <w:vertAlign w:val="superscript"/>
          <w:rtl/>
        </w:rPr>
        <w:footnoteReference w:id="4007" w:customMarkFollows="0"/>
      </w:r>
      <w:bookmarkEnd w:id="5332"/>
      <w:r>
        <w:rPr>
          <w:rtl/>
        </w:rPr>
        <w:t xml:space="preserve"> – ברור שעדיין לא פיתח אז את שיטתו הייחודית. כרך זה כולל את שיעוריו על סוף בבא קמא</w:t>
      </w:r>
      <w:bookmarkStart w:id="5333" w:name="_fnr3998"/>
      <w:r>
        <w:rPr>
          <w:vertAlign w:val="superscript"/>
          <w:rtl/>
        </w:rPr>
        <w:footnoteReference w:id="4008" w:customMarkFollows="0"/>
      </w:r>
      <w:bookmarkEnd w:id="5333"/>
      <w:r>
        <w:rPr>
          <w:rtl/>
        </w:rPr>
        <w:t xml:space="preserve">, על כל בבא מציעא ועל חלק </w:t>
      </w:r>
      <w:proofErr w:type="spellStart"/>
      <w:r>
        <w:rPr>
          <w:rtl/>
        </w:rPr>
        <w:t>מבבא</w:t>
      </w:r>
      <w:proofErr w:type="spellEnd"/>
      <w:r>
        <w:rPr>
          <w:rtl/>
        </w:rPr>
        <w:t xml:space="preserve"> </w:t>
      </w:r>
      <w:proofErr w:type="spellStart"/>
      <w:r>
        <w:rPr>
          <w:rtl/>
        </w:rPr>
        <w:t>בתרא</w:t>
      </w:r>
      <w:proofErr w:type="spellEnd"/>
      <w:r>
        <w:rPr>
          <w:rtl/>
        </w:rPr>
        <w:t>.</w:t>
      </w:r>
    </w:p>
    <w:p w14:paraId="48A8FC54" w14:textId="77777777" w:rsidR="00AB3647" w:rsidRDefault="00000000" w:rsidP="007923E9">
      <w:pPr>
        <w:spacing w:after="120" w:line="276" w:lineRule="auto"/>
        <w:ind w:firstLine="283"/>
        <w:jc w:val="both"/>
      </w:pPr>
      <w:r>
        <w:rPr>
          <w:rtl/>
        </w:rPr>
        <w:t xml:space="preserve">לפיכך אין לתלות את </w:t>
      </w:r>
      <w:proofErr w:type="spellStart"/>
      <w:r>
        <w:rPr>
          <w:rtl/>
        </w:rPr>
        <w:t>אי־שביעות</w:t>
      </w:r>
      <w:proofErr w:type="spellEnd"/>
      <w:r>
        <w:rPr>
          <w:rtl/>
        </w:rPr>
        <w:t xml:space="preserve"> רצונם של התלמידים המבוגרים משיעוריו בשיטת לימודו </w:t>
      </w:r>
      <w:proofErr w:type="spellStart"/>
      <w:r>
        <w:rPr>
          <w:rtl/>
        </w:rPr>
        <w:t>ה“מדקדקת</w:t>
      </w:r>
      <w:proofErr w:type="spellEnd"/>
      <w:r>
        <w:rPr>
          <w:rtl/>
        </w:rPr>
        <w:t xml:space="preserve"> כחוט השערה”. ייתכן שהתנגדותם נבעה מכך שהשיעורים היו חריפים בהרבה מאלה של קודמו בתפקיד, חותנו ר׳ רפאל שפירא, ובוודאי חריפים יותר משל </w:t>
      </w:r>
      <w:proofErr w:type="spellStart"/>
      <w:r>
        <w:rPr>
          <w:rtl/>
        </w:rPr>
        <w:t>הנצי״ב</w:t>
      </w:r>
      <w:proofErr w:type="spellEnd"/>
      <w:r>
        <w:rPr>
          <w:rtl/>
        </w:rPr>
        <w:t>. שיטתו של ר׳ רפאל נודעה בתרגילי “לשיטתו” מרחיקי לכת.</w:t>
      </w:r>
      <w:bookmarkStart w:id="5334" w:name="_fnr3999"/>
      <w:r>
        <w:rPr>
          <w:vertAlign w:val="superscript"/>
          <w:rtl/>
        </w:rPr>
        <w:footnoteReference w:id="4009" w:customMarkFollows="0"/>
      </w:r>
      <w:bookmarkEnd w:id="5334"/>
      <w:r>
        <w:rPr>
          <w:rtl/>
        </w:rPr>
        <w:t xml:space="preserve"> ר׳ מאיר ליברמן</w:t>
      </w:r>
      <w:bookmarkStart w:id="5335" w:name="_fnr4000"/>
      <w:r>
        <w:rPr>
          <w:vertAlign w:val="superscript"/>
          <w:rtl/>
        </w:rPr>
        <w:footnoteReference w:id="4010" w:customMarkFollows="0"/>
      </w:r>
      <w:bookmarkEnd w:id="5335"/>
      <w:r>
        <w:rPr>
          <w:rtl/>
        </w:rPr>
        <w:t xml:space="preserve"> חזר על אמרת כנף שהייתה רווחת בחוגי הישיבות: “מישהו פגש את רב </w:t>
      </w:r>
      <w:proofErr w:type="spellStart"/>
      <w:r>
        <w:rPr>
          <w:rtl/>
        </w:rPr>
        <w:t>פפא</w:t>
      </w:r>
      <w:proofErr w:type="spellEnd"/>
      <w:r>
        <w:rPr>
          <w:rtl/>
        </w:rPr>
        <w:t xml:space="preserve"> [אמורא מן השנים </w:t>
      </w:r>
      <w:proofErr w:type="spellStart"/>
      <w:r>
        <w:rPr>
          <w:rtl/>
        </w:rPr>
        <w:t>ד׳ק</w:t>
      </w:r>
      <w:proofErr w:type="spellEnd"/>
      <w:r>
        <w:rPr>
          <w:rtl/>
        </w:rPr>
        <w:t>׳–</w:t>
      </w:r>
      <w:proofErr w:type="spellStart"/>
      <w:r>
        <w:rPr>
          <w:rtl/>
        </w:rPr>
        <w:t>ד׳ר</w:t>
      </w:r>
      <w:proofErr w:type="spellEnd"/>
      <w:r>
        <w:rPr>
          <w:rtl/>
        </w:rPr>
        <w:t xml:space="preserve">׳, שישב </w:t>
      </w:r>
      <w:proofErr w:type="spellStart"/>
      <w:r>
        <w:rPr>
          <w:rtl/>
        </w:rPr>
        <w:t>בפומבדיתא</w:t>
      </w:r>
      <w:proofErr w:type="spellEnd"/>
      <w:r>
        <w:rPr>
          <w:rtl/>
        </w:rPr>
        <w:t xml:space="preserve">] ברחוב </w:t>
      </w:r>
      <w:proofErr w:type="spellStart"/>
      <w:r>
        <w:rPr>
          <w:rtl/>
        </w:rPr>
        <w:t>בוולוז׳ין</w:t>
      </w:r>
      <w:proofErr w:type="spellEnd"/>
      <w:r>
        <w:rPr>
          <w:rtl/>
        </w:rPr>
        <w:t xml:space="preserve">, ושאל את החכם הקדמון מה הוא עושה בעיר. השיב: ‘ר׳ רפאל הוריד אותי’ – מזמן וממקום שאינם קשורים לכאן – ‘לצורך לשיטתו’.”</w:t>
      </w:r>
    </w:p>
    <w:p w14:paraId="15E4F7C9" w14:textId="5C1F189F" w:rsidR="00AB3647" w:rsidRDefault="00000000" w:rsidP="007923E9">
      <w:pPr>
        <w:spacing w:after="120" w:line="276" w:lineRule="auto"/>
        <w:ind w:firstLine="283"/>
        <w:jc w:val="both"/>
      </w:pPr>
      <w:r>
        <w:rPr>
          <w:rtl/>
        </w:rPr>
        <w:t xml:space="preserve">אפשר גם לשער שהתלמידים המבוגרים התנגדו פחות לשיעורים עצמם ויותר לעצם מינויו של ר׳ חיים. הם היו רגילים שהמשנה לראש הישיבה הוא אדם מבוגר: ר׳ חיים היה בן 27 בלבד </w:t>
      </w:r>
      <w:r>
        <w:rPr>
          <w:rtl/>
        </w:rPr>
        <w:lastRenderedPageBreak/>
        <w:t xml:space="preserve">בעת מינויו, ולא מבוגר בהרבה מן התלמידים הוותיקים, ואילו ר׳ רפאל התחיל למסור שיעורים רק כשכבר היה בן 34. ראה גם פרק 5, הערה </w:t>
      </w:r>
      <w:r>
        <w:rPr>
          <w:rtl/>
        </w:rPr>
        <w:fldChar w:fldCharType="begin" w:dirty="true"/>
      </w:r>
      <w:r>
        <w:rPr>
          <w:rtl/>
        </w:rPr>
        <w:instrText xml:space="preserve"> REF b5_note25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25</w:t>
      </w:r>
      <w:r>
        <w:rPr>
          <w:rtl/>
        </w:rPr>
        <w:fldChar w:fldCharType="end"/>
      </w:r>
      <w:r>
        <w:rPr>
          <w:rtl/>
        </w:rPr>
        <w:t>: אפילו שלוש שנים לאחר המינוי עדיין נמנעו תלמידים מבוגרים משיעורו – ואולי כבר פיתח אז ר׳ חיים את שיטתו המיוחדת, שהתלמידים שלא העריכוה כינו “דקדוק כחוט השערה”. ראה גם פרק 3, הפסקה החמישית ב</w:t>
      </w:r>
      <w:r>
        <w:rPr>
          <w:rtl/>
        </w:rPr>
        <w:fldChar w:fldCharType="begin" w:dirty="true"/>
      </w:r>
      <w:r>
        <w:rPr>
          <w:rtl/>
        </w:rPr>
        <w:instrText xml:space="preserve"> REF b3_excR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יח</w:t>
      </w:r>
      <w:proofErr w:type="spellEnd"/>
      <w:r>
        <w:rPr>
          <w:rtl/>
        </w:rPr>
        <w:fldChar w:fldCharType="end"/>
      </w:r>
      <w:r>
        <w:rPr>
          <w:rtl/>
        </w:rPr>
        <w:t xml:space="preserve">: ר׳ </w:t>
      </w:r>
      <w:proofErr w:type="spellStart"/>
      <w:r>
        <w:rPr>
          <w:rtl/>
        </w:rPr>
        <w:t>חיים־עוזר</w:t>
      </w:r>
      <w:proofErr w:type="spellEnd"/>
      <w:r>
        <w:rPr>
          <w:rtl/>
        </w:rPr>
        <w:t xml:space="preserve"> </w:t>
      </w:r>
      <w:proofErr w:type="spellStart"/>
      <w:r>
        <w:rPr>
          <w:rtl/>
        </w:rPr>
        <w:t>גרודזנסקי</w:t>
      </w:r>
      <w:proofErr w:type="spellEnd"/>
      <w:r>
        <w:rPr>
          <w:rtl/>
        </w:rPr>
        <w:t xml:space="preserve">, שהחל ללמוד </w:t>
      </w:r>
      <w:proofErr w:type="spellStart"/>
      <w:r>
        <w:rPr>
          <w:rtl/>
        </w:rPr>
        <w:t>בוולוז׳ין</w:t>
      </w:r>
      <w:proofErr w:type="spellEnd"/>
      <w:r>
        <w:rPr>
          <w:rtl/>
        </w:rPr>
        <w:t xml:space="preserve"> רק שלוש שנים לפני מינויו של ר׳ חיים, לא כינה אותו “רבי”, אלא בכינויים רגילים יותר, אם כי מכובדים. מסתבר שאחרי שלוש שנים בלבד בישיבה כבר ראה תלמיד את עצמו “מבוגר”, שיכול להביט מלמעלה על </w:t>
      </w:r>
      <w:proofErr w:type="spellStart"/>
      <w:r>
        <w:rPr>
          <w:rtl/>
        </w:rPr>
        <w:t>הר״מ</w:t>
      </w:r>
      <w:proofErr w:type="spellEnd"/>
      <w:r>
        <w:rPr>
          <w:rtl/>
        </w:rPr>
        <w:t xml:space="preserve"> הצעיר שזה עתה מונה. אפשר גם לתאר לעצמנו שמכיוון שהתלמידים המבוגרים לא ראו בעין יפה את מגיד השיעור החדש, גם הצעירים לא קיבלו אותו בשלוות נפש גמורה.</w:t>
      </w:r>
    </w:p>
    <w:p w14:paraId="0C02A89F" w14:textId="30007DBB" w:rsidR="00AB3647" w:rsidRDefault="00000000" w:rsidP="007923E9">
      <w:pPr>
        <w:spacing w:after="120" w:line="276" w:lineRule="auto"/>
        <w:ind w:firstLine="283"/>
        <w:jc w:val="both"/>
      </w:pPr>
      <w:r>
        <w:rPr>
          <w:rtl/>
        </w:rPr>
        <w:t>ר׳ יהושע עתיק מסר</w:t>
      </w:r>
      <w:bookmarkStart w:id="5336" w:name="_fnr4001"/>
      <w:r>
        <w:rPr>
          <w:vertAlign w:val="superscript"/>
          <w:rtl/>
        </w:rPr>
        <w:footnoteReference w:id="4011" w:customMarkFollows="0"/>
      </w:r>
      <w:bookmarkEnd w:id="5336"/>
      <w:r>
        <w:rPr>
          <w:rtl/>
        </w:rPr>
        <w:t xml:space="preserve"> את מה שסיפר לו בנו הצעיר של ר׳ יוסף־דב </w:t>
      </w:r>
      <w:proofErr w:type="spellStart"/>
      <w:r>
        <w:rPr>
          <w:rtl/>
        </w:rPr>
        <w:t>סולובייצ׳יק</w:t>
      </w:r>
      <w:proofErr w:type="spellEnd"/>
      <w:r>
        <w:rPr>
          <w:rtl/>
        </w:rPr>
        <w:t xml:space="preserve">, ר׳ </w:t>
      </w:r>
      <w:proofErr w:type="spellStart"/>
      <w:r>
        <w:rPr>
          <w:rtl/>
        </w:rPr>
        <w:t>משה־אהרן</w:t>
      </w:r>
      <w:proofErr w:type="spellEnd"/>
      <w:r>
        <w:rPr>
          <w:rtl/>
        </w:rPr>
        <w:t xml:space="preserve">, בשם “אדם מהימן ששמע זאת ממישהו שלמד </w:t>
      </w:r>
      <w:proofErr w:type="spellStart"/>
      <w:r>
        <w:rPr>
          <w:rtl/>
        </w:rPr>
        <w:t>בוולוז׳ין</w:t>
      </w:r>
      <w:proofErr w:type="spellEnd"/>
      <w:r>
        <w:rPr>
          <w:rtl/>
        </w:rPr>
        <w:t xml:space="preserve"> באותה תקופה”: ביום הראשון שבו מסר ר׳ חיים את שיעורו, בא לתפילת ערבית לבוש בבגדי שבת. </w:t>
      </w:r>
      <w:proofErr w:type="spellStart"/>
      <w:r>
        <w:rPr>
          <w:rtl/>
        </w:rPr>
        <w:t>כשהנצי״ב</w:t>
      </w:r>
      <w:proofErr w:type="spellEnd"/>
      <w:r>
        <w:rPr>
          <w:rtl/>
        </w:rPr>
        <w:t xml:space="preserve"> שאל לפשר הדבר, גילה ר׳ חיים שמישהו הציב דלי מים, והדלי התהפך עליו והרטיב את בגדיו כשיצא מבית המדרש לאחר השיעור. אל יתפלא הקורא על הגסות שבה הביעו תלמידי </w:t>
      </w:r>
      <w:proofErr w:type="spellStart"/>
      <w:r>
        <w:rPr>
          <w:rtl/>
        </w:rPr>
        <w:t>וולוז׳ין</w:t>
      </w:r>
      <w:proofErr w:type="spellEnd"/>
      <w:r>
        <w:rPr>
          <w:rtl/>
        </w:rPr>
        <w:t xml:space="preserve"> את </w:t>
      </w:r>
      <w:proofErr w:type="spellStart"/>
      <w:r>
        <w:rPr>
          <w:rtl/>
        </w:rPr>
        <w:t>אי־שביעות</w:t>
      </w:r>
      <w:proofErr w:type="spellEnd"/>
      <w:r>
        <w:rPr>
          <w:rtl/>
        </w:rPr>
        <w:t xml:space="preserve"> רצונם בענייני הישיבה – ראה </w:t>
      </w:r>
      <w:r>
        <w:rPr>
          <w:rtl/>
        </w:rPr>
        <w:fldChar w:fldCharType="begin" w:dirty="true"/>
      </w:r>
      <w:r>
        <w:rPr>
          <w:rtl/>
        </w:rPr>
        <w:instrText xml:space="preserve"> REF b4_excM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יג</w:t>
      </w:r>
      <w:proofErr w:type="spellEnd"/>
      <w:r>
        <w:rPr>
          <w:rtl/>
        </w:rPr>
        <w:fldChar w:fldCharType="end"/>
      </w:r>
      <w:r>
        <w:rPr>
          <w:rtl/>
        </w:rPr>
        <w:t xml:space="preserve"> להלן.</w:t>
      </w:r>
    </w:p>
    <w:p w14:paraId="5D0BA3FE" w14:textId="77777777" w:rsidR="00AB3647" w:rsidRDefault="00000000" w:rsidP="007923E9">
      <w:pPr>
        <w:spacing w:after="120" w:line="276" w:lineRule="auto"/>
        <w:ind w:firstLine="283"/>
        <w:jc w:val="both"/>
      </w:pPr>
      <w:r>
        <w:rPr>
          <w:rtl/>
        </w:rPr>
        <w:t xml:space="preserve">גם ר׳ </w:t>
      </w:r>
      <w:proofErr w:type="spellStart"/>
      <w:r>
        <w:rPr>
          <w:rtl/>
        </w:rPr>
        <w:t>משולם־דוד</w:t>
      </w:r>
      <w:proofErr w:type="spellEnd"/>
      <w:r>
        <w:rPr>
          <w:rtl/>
        </w:rPr>
        <w:t xml:space="preserve"> </w:t>
      </w:r>
      <w:proofErr w:type="spellStart"/>
      <w:r>
        <w:rPr>
          <w:rtl/>
        </w:rPr>
        <w:t>סולובייצ׳יק</w:t>
      </w:r>
      <w:bookmarkStart w:id="5337" w:name="_fnr4002"/>
      <w:proofErr w:type="spellEnd"/>
      <w:r>
        <w:rPr>
          <w:vertAlign w:val="superscript"/>
          <w:rtl/>
        </w:rPr>
        <w:footnoteReference w:id="4012" w:customMarkFollows="0"/>
      </w:r>
      <w:bookmarkEnd w:id="5337"/>
      <w:r>
        <w:rPr>
          <w:rtl/>
        </w:rPr>
        <w:t xml:space="preserve"> שמע מאביו ר׳ יצחק־זאב שר׳ חיים לא נחל הצלחה כשהתחיל למסור שיעורים, והוסיף</w:t>
      </w:r>
      <w:bookmarkStart w:id="5338" w:name="_fnr4003"/>
      <w:r>
        <w:rPr>
          <w:vertAlign w:val="superscript"/>
          <w:rtl/>
        </w:rPr>
        <w:footnoteReference w:id="4013" w:customMarkFollows="0"/>
      </w:r>
      <w:bookmarkEnd w:id="5338"/>
      <w:r>
        <w:rPr>
          <w:rtl/>
        </w:rPr>
        <w:t xml:space="preserve"> סיפור הנוגע לכך. בתחילת כהונתו בישיבה ישבו עם ר׳ חיים כמה מחברי ההנהלה, “ואולי גם כמה תלמידים מבוגרים”, וניסו להראות שאינו ראוי למינוי הנכבד. (ר׳ </w:t>
      </w:r>
      <w:proofErr w:type="spellStart"/>
      <w:r>
        <w:rPr>
          <w:rtl/>
        </w:rPr>
        <w:t>משולם־דוד</w:t>
      </w:r>
      <w:proofErr w:type="spellEnd"/>
      <w:r>
        <w:rPr>
          <w:rtl/>
        </w:rPr>
        <w:t xml:space="preserve"> לא ידע בדיוק מי היו המלעיזים.) אחד מהם שאל שאלה קשה באמת, ור׳ חיים השיב עליה מיד. השואל העיר: “כן, התשובה פשוטה.” אחר כך הועלתה שאלה קשה מאוד נוספת, ושוב נתן ר׳ חיים תשובה, וגם השואל הזה העיר שהתשובה פשוטה. אז אמר ר׳ חיים: “הרשו לי לשאול אתכם שאלה.” הם עיינו והרהרו בשאלתו, אבל לא מצאו תשובה. כשהפצירו בו, גילה ר׳ חיים את התשובה, ושוב העירו: “אה, כן, זה פשוט.” אז הכריז ר׳ חיים: “כל תשובה נכונה היא פשוטה – אחרי שנאמרה.”</w:t>
      </w:r>
    </w:p>
    <w:p w14:paraId="229F2503" w14:textId="559E3595" w:rsidR="00AB3647" w:rsidRDefault="00000000" w:rsidP="007923E9">
      <w:pPr>
        <w:spacing w:after="120" w:line="276" w:lineRule="auto"/>
        <w:ind w:firstLine="283"/>
        <w:jc w:val="both"/>
      </w:pPr>
      <w:r>
        <w:rPr>
          <w:rtl/>
        </w:rPr>
        <w:t>ראה גם פרק 3, תחילת הפסקה השנייה ב</w:t>
      </w:r>
      <w:r>
        <w:rPr>
          <w:rtl/>
        </w:rPr>
        <w:fldChar w:fldCharType="begin" w:dirty="true"/>
      </w:r>
      <w:r>
        <w:rPr>
          <w:rtl/>
        </w:rPr>
        <w:instrText xml:space="preserve"> REF b3_excCC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כט</w:t>
      </w:r>
      <w:proofErr w:type="spellEnd"/>
      <w:r>
        <w:rPr>
          <w:rtl/>
        </w:rPr>
        <w:fldChar w:fldCharType="end"/>
      </w:r>
      <w:r>
        <w:rPr>
          <w:rtl/>
        </w:rPr>
        <w:t xml:space="preserve">: לבסוף נטשו הבחורים המבוגרים את ר׳ חיים, אבל הצעירים נטשו את </w:t>
      </w:r>
      <w:proofErr w:type="spellStart"/>
      <w:r>
        <w:rPr>
          <w:rtl/>
        </w:rPr>
        <w:t>הנצי״ב</w:t>
      </w:r>
      <w:proofErr w:type="spellEnd"/>
      <w:r>
        <w:rPr>
          <w:rtl/>
        </w:rPr>
        <w:t xml:space="preserve"> ובאו רק לשיעוריו של ר׳ חיים. מעניין שכעבור 15 שנה השתמש תלמידו של ר׳ חיים, העילוי </w:t>
      </w:r>
      <w:proofErr w:type="spellStart"/>
      <w:r>
        <w:rPr>
          <w:rtl/>
        </w:rPr>
        <w:t>ממייצ׳ט</w:t>
      </w:r>
      <w:proofErr w:type="spellEnd"/>
      <w:r>
        <w:rPr>
          <w:rtl/>
        </w:rPr>
        <w:t xml:space="preserve"> ר׳ שלמה </w:t>
      </w:r>
      <w:proofErr w:type="spellStart"/>
      <w:r>
        <w:rPr>
          <w:rtl/>
        </w:rPr>
        <w:t>פוליצ׳ק</w:t>
      </w:r>
      <w:proofErr w:type="spellEnd"/>
      <w:r>
        <w:rPr>
          <w:rtl/>
        </w:rPr>
        <w:t xml:space="preserve">, במונח “דקדוק כחוט השערה” שנזכר לעיל כדי לתאר את שיטת </w:t>
      </w:r>
      <w:proofErr w:type="spellStart"/>
      <w:r>
        <w:rPr>
          <w:rtl/>
        </w:rPr>
        <w:t>טלז</w:t>
      </w:r>
      <w:proofErr w:type="spellEnd"/>
      <w:r>
        <w:rPr>
          <w:rtl/>
        </w:rPr>
        <w:t>, לעומת גישת “דרך המלך” של רבו – ראה הפסקה הראשונה ב</w:t>
      </w:r>
      <w:r>
        <w:rPr>
          <w:rtl/>
        </w:rPr>
        <w:fldChar w:fldCharType="begin" w:dirty="true"/>
      </w:r>
      <w:r>
        <w:rPr>
          <w:rtl/>
        </w:rPr>
        <w:instrText xml:space="preserve"> REF b4_excM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יג</w:t>
      </w:r>
      <w:proofErr w:type="spellEnd"/>
      <w:r>
        <w:rPr>
          <w:rtl/>
        </w:rPr>
        <w:fldChar w:fldCharType="end"/>
      </w:r>
      <w:r>
        <w:rPr>
          <w:rtl/>
        </w:rPr>
        <w:t xml:space="preserve"> להלן.</w:t>
      </w:r>
    </w:p>
    <w:p w14:paraId="4E5BA07B" w14:textId="77777777" w:rsidR="00AB3647" w:rsidRDefault="00000000" w:rsidP="007923E9">
      <w:pPr>
        <w:spacing w:after="120" w:line="276" w:lineRule="auto"/>
        <w:ind w:firstLine="283"/>
        <w:jc w:val="both"/>
      </w:pPr>
      <w:r>
        <w:rPr>
          <w:rtl/>
        </w:rPr>
        <w:lastRenderedPageBreak/>
        <w:t xml:space="preserve">מאחר שהיו מתנגדים לשיעוריו של המשנה החדש לראש הישיבה, מובן מדוע החליטה הנהלת הישיבה להעניק </w:t>
      </w:r>
      <w:proofErr w:type="spellStart"/>
      <w:r>
        <w:rPr>
          <w:rtl/>
        </w:rPr>
        <w:t>לר</w:t>
      </w:r>
      <w:proofErr w:type="spellEnd"/>
      <w:r>
        <w:rPr>
          <w:rtl/>
        </w:rPr>
        <w:t>׳ חיים קופסת אתרוג נאה, מעוטרת בכתובת.</w:t>
      </w:r>
      <w:bookmarkStart w:id="5339" w:name="_fnr4004"/>
      <w:r>
        <w:rPr>
          <w:vertAlign w:val="superscript"/>
          <w:rtl/>
        </w:rPr>
        <w:footnoteReference w:id="4014" w:customMarkFollows="0"/>
      </w:r>
      <w:bookmarkEnd w:id="5339"/>
      <w:r>
        <w:rPr>
          <w:rtl/>
        </w:rPr>
        <w:t xml:space="preserve"> על הקופסה נכתב: “לכ׳ הרב ר׳ חיים בן הרב יוסף </w:t>
      </w:r>
      <w:proofErr w:type="spellStart"/>
      <w:r>
        <w:rPr>
          <w:rtl/>
        </w:rPr>
        <w:t>דובער</w:t>
      </w:r>
      <w:proofErr w:type="spellEnd"/>
      <w:r>
        <w:rPr>
          <w:rtl/>
        </w:rPr>
        <w:t xml:space="preserve"> הלוי </w:t>
      </w:r>
      <w:proofErr w:type="spellStart"/>
      <w:r>
        <w:rPr>
          <w:rtl/>
        </w:rPr>
        <w:t>סאלאוויצ׳יג</w:t>
      </w:r>
      <w:proofErr w:type="spellEnd"/>
      <w:r>
        <w:rPr>
          <w:rtl/>
        </w:rPr>
        <w:t xml:space="preserve"> מהנהלת הישיבה </w:t>
      </w:r>
      <w:proofErr w:type="spellStart"/>
      <w:r>
        <w:rPr>
          <w:rtl/>
        </w:rPr>
        <w:t>וואלאזין</w:t>
      </w:r>
      <w:proofErr w:type="spellEnd"/>
      <w:r>
        <w:rPr>
          <w:rtl/>
        </w:rPr>
        <w:t xml:space="preserve"> שנת תר״מ לפ״ק”. אפשר לשער שהמתנה</w:t>
      </w:r>
      <w:bookmarkStart w:id="5340" w:name="_fnr4005"/>
      <w:r>
        <w:rPr>
          <w:vertAlign w:val="superscript"/>
          <w:rtl/>
        </w:rPr>
        <w:footnoteReference w:id="4015" w:customMarkFollows="0"/>
      </w:r>
      <w:bookmarkEnd w:id="5340"/>
      <w:r>
        <w:rPr>
          <w:rtl/>
        </w:rPr>
        <w:t xml:space="preserve"> הייתה קשורה לקבלת הפנים הצוננת שזכה לה ר׳ חיים בתחילה, עם הצטרפותו לסגל הישיבה.</w:t>
      </w:r>
    </w:p>
    <w:p w14:paraId="2C2877F6" w14:textId="317A68E6" w:rsidR="00AB3647" w:rsidRDefault="00000000" w:rsidP="007923E9">
      <w:pPr>
        <w:spacing w:after="120" w:line="276" w:lineRule="auto"/>
        <w:ind w:firstLine="283"/>
        <w:jc w:val="both"/>
      </w:pPr>
      <w:r>
        <w:rPr>
          <w:rtl/>
        </w:rPr>
        <w:t xml:space="preserve">ר׳ חיים חשש שהוא נכשל בתפקידו החדש – במיוחד לנוכח ענוותנותו הטבעית, המשתקפת במכתבו המצוטט בפרק 5, </w:t>
      </w:r>
      <w:r>
        <w:rPr>
          <w:rtl/>
        </w:rPr>
        <w:fldChar w:fldCharType="begin" w:dirty="true"/>
      </w:r>
      <w:r>
        <w:rPr>
          <w:rtl/>
        </w:rPr>
        <w:instrText xml:space="preserve"> REF b5_excI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xml:space="preserve"> – ושקל לשוב </w:t>
      </w:r>
      <w:proofErr w:type="spellStart"/>
      <w:r>
        <w:rPr>
          <w:rtl/>
        </w:rPr>
        <w:t>לבריסק</w:t>
      </w:r>
      <w:proofErr w:type="spellEnd"/>
      <w:r>
        <w:rPr>
          <w:rtl/>
        </w:rPr>
        <w:t xml:space="preserve">, שם למד עם </w:t>
      </w:r>
      <w:proofErr w:type="spellStart"/>
      <w:r>
        <w:rPr>
          <w:rtl/>
        </w:rPr>
        <w:t>חברותות</w:t>
      </w:r>
      <w:proofErr w:type="spellEnd"/>
      <w:r>
        <w:rPr>
          <w:rtl/>
        </w:rPr>
        <w:t xml:space="preserve"> במעין קיבוץ בחסות אביו. הסדר זה היה עדיף בעיניו על פני היותו למעמסה על ישיבת </w:t>
      </w:r>
      <w:proofErr w:type="spellStart"/>
      <w:r>
        <w:rPr>
          <w:rtl/>
        </w:rPr>
        <w:t>וולוז׳ין</w:t>
      </w:r>
      <w:proofErr w:type="spellEnd"/>
      <w:r>
        <w:rPr>
          <w:rtl/>
        </w:rPr>
        <w:t>. אולי שקל להיענות להזמנה שהגיעה זה עתה</w:t>
      </w:r>
      <w:bookmarkStart w:id="5341" w:name="_fnr4006"/>
      <w:r>
        <w:rPr>
          <w:vertAlign w:val="superscript"/>
          <w:rtl/>
        </w:rPr>
        <w:footnoteReference w:id="4016" w:customMarkFollows="0"/>
      </w:r>
      <w:bookmarkEnd w:id="5341"/>
      <w:r>
        <w:rPr>
          <w:rtl/>
        </w:rPr>
        <w:t xml:space="preserve"> לעמוד בראש ישיבה חדשה, שבני קהילת </w:t>
      </w:r>
      <w:proofErr w:type="spellStart"/>
      <w:r>
        <w:rPr>
          <w:rtl/>
        </w:rPr>
        <w:t>בריסק</w:t>
      </w:r>
      <w:proofErr w:type="spellEnd"/>
      <w:r>
        <w:rPr>
          <w:rtl/>
        </w:rPr>
        <w:t xml:space="preserve"> ביקשו להקים בעירם לזכר סבו ר׳ </w:t>
      </w:r>
      <w:proofErr w:type="spellStart"/>
      <w:r>
        <w:rPr>
          <w:rtl/>
        </w:rPr>
        <w:t>יצחק־זאב</w:t>
      </w:r>
      <w:proofErr w:type="spellEnd"/>
      <w:r>
        <w:rPr>
          <w:rtl/>
        </w:rPr>
        <w:t xml:space="preserve"> </w:t>
      </w:r>
      <w:proofErr w:type="spellStart"/>
      <w:r>
        <w:rPr>
          <w:rtl/>
        </w:rPr>
        <w:t>סולובייצ׳יק</w:t>
      </w:r>
      <w:proofErr w:type="spellEnd"/>
      <w:r>
        <w:rPr>
          <w:rtl/>
        </w:rPr>
        <w:t xml:space="preserve">, אביו של הרב </w:t>
      </w:r>
      <w:proofErr w:type="spellStart"/>
      <w:r>
        <w:rPr>
          <w:rtl/>
        </w:rPr>
        <w:t>מבריסק</w:t>
      </w:r>
      <w:proofErr w:type="spellEnd"/>
      <w:r>
        <w:rPr>
          <w:rtl/>
        </w:rPr>
        <w:t xml:space="preserve">. ר׳ </w:t>
      </w:r>
      <w:proofErr w:type="spellStart"/>
      <w:r>
        <w:rPr>
          <w:rtl/>
        </w:rPr>
        <w:t>יצחק־זאב</w:t>
      </w:r>
      <w:proofErr w:type="spellEnd"/>
      <w:r>
        <w:rPr>
          <w:rtl/>
        </w:rPr>
        <w:t xml:space="preserve"> נפטר בי״ח בסיוון של אותה שנה, 28 במאי 1880.</w:t>
      </w:r>
      <w:bookmarkStart w:id="5342" w:name="_fnr4007"/>
      <w:r>
        <w:rPr>
          <w:vertAlign w:val="superscript"/>
          <w:rtl/>
        </w:rPr>
        <w:footnoteReference w:id="4017" w:customMarkFollows="0"/>
      </w:r>
      <w:bookmarkEnd w:id="5342"/>
      <w:r>
        <w:rPr>
          <w:rtl/>
        </w:rPr>
        <w:t xml:space="preserve"> במתנת קופסת האתרוג ביקשה הנהלת ישיבת </w:t>
      </w:r>
      <w:proofErr w:type="spellStart"/>
      <w:r>
        <w:rPr>
          <w:rtl/>
        </w:rPr>
        <w:t>וולוז׳ין</w:t>
      </w:r>
      <w:proofErr w:type="spellEnd"/>
      <w:r>
        <w:rPr>
          <w:rtl/>
        </w:rPr>
        <w:t xml:space="preserve"> – </w:t>
      </w:r>
      <w:proofErr w:type="spellStart"/>
      <w:r>
        <w:rPr>
          <w:rtl/>
        </w:rPr>
        <w:t>הנצי״ב</w:t>
      </w:r>
      <w:proofErr w:type="spellEnd"/>
      <w:r>
        <w:rPr>
          <w:rtl/>
        </w:rPr>
        <w:t xml:space="preserve"> והגבאים – להביע בפני ר׳ חיים שהיא מעריכה אותו ורוצה שיישאר </w:t>
      </w:r>
      <w:proofErr w:type="spellStart"/>
      <w:r>
        <w:rPr>
          <w:rtl/>
        </w:rPr>
        <w:t>בוולוז׳ין</w:t>
      </w:r>
      <w:proofErr w:type="spellEnd"/>
      <w:r>
        <w:rPr>
          <w:rtl/>
        </w:rPr>
        <w:t>.</w:t>
      </w:r>
    </w:p>
    <w:p w14:paraId="278ED3B6" w14:textId="77777777" w:rsidR="00AB3647" w:rsidRDefault="00000000" w:rsidP="007923E9">
      <w:pPr>
        <w:spacing w:after="120" w:line="276" w:lineRule="auto"/>
        <w:ind w:firstLine="283"/>
        <w:jc w:val="both"/>
      </w:pPr>
      <w:r>
        <w:rPr>
          <w:rtl/>
        </w:rPr>
        <w:t xml:space="preserve">השערה זו עשויה להאיר את האמירה במכתב שבאגרות ר׳ </w:t>
      </w:r>
      <w:proofErr w:type="spellStart"/>
      <w:r>
        <w:rPr>
          <w:rtl/>
        </w:rPr>
        <w:t>יצחק־אייזיק</w:t>
      </w:r>
      <w:proofErr w:type="spellEnd"/>
      <w:r>
        <w:rPr>
          <w:rtl/>
        </w:rPr>
        <w:t xml:space="preserve"> הלוי</w:t>
      </w:r>
      <w:bookmarkStart w:id="5343" w:name="_fnr4008"/>
      <w:r>
        <w:rPr>
          <w:vertAlign w:val="superscript"/>
          <w:rtl/>
        </w:rPr>
        <w:footnoteReference w:id="4018" w:customMarkFollows="0"/>
      </w:r>
      <w:bookmarkEnd w:id="5343"/>
      <w:r>
        <w:rPr>
          <w:rtl/>
        </w:rPr>
        <w:t xml:space="preserve"> שר׳ </w:t>
      </w:r>
      <w:proofErr w:type="spellStart"/>
      <w:r>
        <w:rPr>
          <w:rtl/>
        </w:rPr>
        <w:t>יצחק־אייזיק</w:t>
      </w:r>
      <w:proofErr w:type="spellEnd"/>
      <w:r>
        <w:rPr>
          <w:rtl/>
        </w:rPr>
        <w:t xml:space="preserve"> הלוי “סייע </w:t>
      </w:r>
      <w:proofErr w:type="spellStart"/>
      <w:r>
        <w:rPr>
          <w:rtl/>
        </w:rPr>
        <w:t>לר</w:t>
      </w:r>
      <w:proofErr w:type="spellEnd"/>
      <w:r>
        <w:rPr>
          <w:rtl/>
        </w:rPr>
        <w:t xml:space="preserve">׳ חיים להיות מגיד שיעור בכיר </w:t>
      </w:r>
      <w:proofErr w:type="spellStart"/>
      <w:r>
        <w:rPr>
          <w:rtl/>
        </w:rPr>
        <w:t>בוולוז׳ין</w:t>
      </w:r>
      <w:proofErr w:type="spellEnd"/>
      <w:r>
        <w:rPr>
          <w:rtl/>
        </w:rPr>
        <w:t xml:space="preserve">”. הוא מונה לגבאי ישיבת </w:t>
      </w:r>
      <w:proofErr w:type="spellStart"/>
      <w:r>
        <w:rPr>
          <w:rtl/>
        </w:rPr>
        <w:t>וולוז׳ין</w:t>
      </w:r>
      <w:proofErr w:type="spellEnd"/>
      <w:r>
        <w:rPr>
          <w:rtl/>
        </w:rPr>
        <w:t xml:space="preserve"> בשנת תרכ״ח, כשהיה צעיר בן 21, והיה כוח מרכזי בהנהלת הישיבה. ר׳ חיים העריך כך את מקומו של הלוי “כעבור שנים, בחברת מכרים ותיקים”: “היה </w:t>
      </w:r>
      <w:proofErr w:type="spellStart"/>
      <w:r>
        <w:rPr>
          <w:rtl/>
        </w:rPr>
        <w:t>בוולוז׳ין</w:t>
      </w:r>
      <w:proofErr w:type="spellEnd"/>
      <w:r>
        <w:rPr>
          <w:rtl/>
        </w:rPr>
        <w:t xml:space="preserve"> רק גבאי אחד [מעורב ומשפיע במלוא המובן] – ר׳ </w:t>
      </w:r>
      <w:proofErr w:type="spellStart"/>
      <w:r>
        <w:rPr>
          <w:rtl/>
        </w:rPr>
        <w:t>יצחק־אייזיק</w:t>
      </w:r>
      <w:proofErr w:type="spellEnd"/>
      <w:r>
        <w:rPr>
          <w:rtl/>
        </w:rPr>
        <w:t xml:space="preserve"> [</w:t>
      </w:r>
      <w:proofErr w:type="spellStart"/>
      <w:r>
        <w:rPr>
          <w:rtl/>
        </w:rPr>
        <w:t>הלוי־רבינוביץ</w:t>
      </w:r>
      <w:proofErr w:type="spellEnd"/>
      <w:r>
        <w:rPr>
          <w:rtl/>
        </w:rPr>
        <w:t>]!”, כמצוטט בספר “יצחק אייזיק הלוי” (1847–1914), מאת הרב או’ אשר רייכל, בעל תואר דוקטור לספרות עברית.</w:t>
      </w:r>
      <w:bookmarkStart w:id="5344" w:name="_fnr4009"/>
      <w:r>
        <w:rPr>
          <w:vertAlign w:val="superscript"/>
          <w:rtl/>
        </w:rPr>
        <w:footnoteReference w:id="4019" w:customMarkFollows="0"/>
      </w:r>
      <w:bookmarkEnd w:id="5344"/>
      <w:r>
        <w:rPr>
          <w:rtl/>
        </w:rPr>
        <w:t xml:space="preserve"> ר׳ </w:t>
      </w:r>
      <w:proofErr w:type="spellStart"/>
      <w:r>
        <w:rPr>
          <w:rtl/>
        </w:rPr>
        <w:t>יצחק־אייזיק</w:t>
      </w:r>
      <w:proofErr w:type="spellEnd"/>
      <w:r>
        <w:rPr>
          <w:rtl/>
        </w:rPr>
        <w:t xml:space="preserve"> הלוי הכיר את ר׳ חיים היטב, עד שתיאר את קרבתם במילים “היינו קשורים יחד כשני אחים ממש”,</w:t>
      </w:r>
      <w:bookmarkStart w:id="5345" w:name="_fnr4010"/>
      <w:r>
        <w:rPr>
          <w:vertAlign w:val="superscript"/>
          <w:rtl/>
        </w:rPr>
        <w:footnoteReference w:id="4020" w:customMarkFollows="0"/>
      </w:r>
      <w:bookmarkEnd w:id="5345"/>
      <w:r>
        <w:rPr>
          <w:rtl/>
        </w:rPr>
        <w:t xml:space="preserve"> ור׳ חיים חתם במכתב אליו “ידידו עוז”</w:t>
      </w:r>
      <w:bookmarkStart w:id="5346" w:name="_fnr4011"/>
      <w:r>
        <w:rPr>
          <w:vertAlign w:val="superscript"/>
          <w:rtl/>
        </w:rPr>
        <w:footnoteReference w:id="4021" w:customMarkFollows="0"/>
      </w:r>
      <w:bookmarkEnd w:id="5346"/>
      <w:r>
        <w:rPr>
          <w:rtl/>
        </w:rPr>
        <w:t xml:space="preserve">. ייתכן שהוא שהגה את הרעיון להעניק </w:t>
      </w:r>
      <w:proofErr w:type="spellStart"/>
      <w:r>
        <w:rPr>
          <w:rtl/>
        </w:rPr>
        <w:t>לר</w:t>
      </w:r>
      <w:proofErr w:type="spellEnd"/>
      <w:r>
        <w:rPr>
          <w:rtl/>
        </w:rPr>
        <w:t xml:space="preserve">׳ חיים את קופסת האתרוג עם הכתובת, כאות לתמיכתה של הישיבה בו. ייתכן אפילו שההחלטה המקורית של ר׳ רפאל שפירא לפנות את מקומו לטובת חתנו, כמתואר להלן, נולדה ועוּדדה בידי ר׳ </w:t>
      </w:r>
      <w:proofErr w:type="spellStart"/>
      <w:r>
        <w:rPr>
          <w:rtl/>
        </w:rPr>
        <w:t>יצחק־אייזיק</w:t>
      </w:r>
      <w:proofErr w:type="spellEnd"/>
      <w:r>
        <w:rPr>
          <w:rtl/>
        </w:rPr>
        <w:t xml:space="preserve"> הלוי – ואולי אף דאג הלה להשיג </w:t>
      </w:r>
      <w:proofErr w:type="spellStart"/>
      <w:r>
        <w:rPr>
          <w:rtl/>
        </w:rPr>
        <w:t>לר</w:t>
      </w:r>
      <w:proofErr w:type="spellEnd"/>
      <w:r>
        <w:rPr>
          <w:rtl/>
        </w:rPr>
        <w:t>׳ רפאל רבנות חלופית, כמתואר להלן.</w:t>
      </w:r>
    </w:p>
    <w:p w14:paraId="2D5CC190" w14:textId="77777777" w:rsidR="00AB3647" w:rsidRDefault="00000000" w:rsidP="007923E9">
      <w:pPr>
        <w:spacing w:after="120" w:line="276" w:lineRule="auto"/>
        <w:ind w:firstLine="283"/>
        <w:jc w:val="both"/>
      </w:pPr>
      <w:r>
        <w:rPr>
          <w:rtl/>
        </w:rPr>
        <w:lastRenderedPageBreak/>
        <w:t xml:space="preserve">ר׳ </w:t>
      </w:r>
      <w:proofErr w:type="spellStart"/>
      <w:r>
        <w:rPr>
          <w:rtl/>
        </w:rPr>
        <w:t>יצחק־אייזיק</w:t>
      </w:r>
      <w:proofErr w:type="spellEnd"/>
      <w:r>
        <w:rPr>
          <w:rtl/>
        </w:rPr>
        <w:t xml:space="preserve"> הלוי ללא ספק העריך את שיטתו של ר׳ חיים בלימוד התלמוד והזדהה עמה, כפי שעולה מן המסופר </w:t>
      </w:r>
      <w:proofErr w:type="spellStart"/>
      <w:r>
        <w:rPr>
          <w:rtl/>
        </w:rPr>
        <w:t>ב“יצחק</w:t>
      </w:r>
      <w:proofErr w:type="spellEnd"/>
      <w:r>
        <w:rPr>
          <w:rtl/>
        </w:rPr>
        <w:t xml:space="preserve"> אייזיק הלוי”:</w:t>
      </w:r>
      <w:bookmarkStart w:id="5347" w:name="_fnr4012"/>
      <w:r>
        <w:rPr>
          <w:vertAlign w:val="superscript"/>
          <w:rtl/>
        </w:rPr>
        <w:footnoteReference w:id="4022" w:customMarkFollows="0"/>
      </w:r>
      <w:bookmarkEnd w:id="5347"/>
      <w:r>
        <w:rPr>
          <w:rtl/>
        </w:rPr>
        <w:t xml:space="preserve"> “כשקיבל חיבור מאת תלמיד חכם גליצאי מפורסם ובו שמונים תירוצים שונים </w:t>
      </w:r>
      <w:proofErr w:type="spellStart"/>
      <w:r>
        <w:rPr>
          <w:rtl/>
        </w:rPr>
        <w:t>לקושיה</w:t>
      </w:r>
      <w:proofErr w:type="spellEnd"/>
      <w:r>
        <w:rPr>
          <w:rtl/>
        </w:rPr>
        <w:t xml:space="preserve"> עיקרית אחת” – הכוונה בבירור </w:t>
      </w:r>
      <w:proofErr w:type="spellStart"/>
      <w:r>
        <w:rPr>
          <w:rtl/>
        </w:rPr>
        <w:t>ל“ספר</w:t>
      </w:r>
      <w:proofErr w:type="spellEnd"/>
      <w:r>
        <w:rPr>
          <w:rtl/>
        </w:rPr>
        <w:t xml:space="preserve"> גבורות שמונים” של ר׳ יוסף </w:t>
      </w:r>
      <w:proofErr w:type="spellStart"/>
      <w:r>
        <w:rPr>
          <w:rtl/>
        </w:rPr>
        <w:t>ענגיל</w:t>
      </w:r>
      <w:proofErr w:type="spellEnd"/>
      <w:r>
        <w:rPr>
          <w:rtl/>
        </w:rPr>
        <w:t xml:space="preserve">, שראה אור </w:t>
      </w:r>
      <w:proofErr w:type="spellStart"/>
      <w:r>
        <w:rPr>
          <w:rtl/>
        </w:rPr>
        <w:t>בתרס״ג</w:t>
      </w:r>
      <w:bookmarkStart w:id="5348" w:name="_fnr4013"/>
      <w:proofErr w:type="spellEnd"/>
      <w:r>
        <w:rPr>
          <w:vertAlign w:val="superscript"/>
          <w:rtl/>
        </w:rPr>
        <w:footnoteReference w:id="4023" w:customMarkFollows="0"/>
      </w:r>
      <w:bookmarkEnd w:id="5348"/>
      <w:r>
        <w:rPr>
          <w:rtl/>
        </w:rPr>
        <w:t xml:space="preserve"> – “העיר ר׳ </w:t>
      </w:r>
      <w:proofErr w:type="spellStart"/>
      <w:r>
        <w:rPr>
          <w:rtl/>
        </w:rPr>
        <w:t>יצחק־אייזיק</w:t>
      </w:r>
      <w:proofErr w:type="spellEnd"/>
      <w:r>
        <w:rPr>
          <w:rtl/>
        </w:rPr>
        <w:t xml:space="preserve"> הלוי: ‘ההבדל בין מחבר הספר הזה לביני אינו גדול: הוא חיפש שמונים תירוצים </w:t>
      </w:r>
      <w:proofErr w:type="spellStart"/>
      <w:r>
        <w:rPr>
          <w:rtl/>
        </w:rPr>
        <w:t>לקושיה</w:t>
      </w:r>
      <w:proofErr w:type="spellEnd"/>
      <w:r>
        <w:rPr>
          <w:rtl/>
        </w:rPr>
        <w:t xml:space="preserve"> אחת, [ואילו] אני מנסה למצוא תירוץ אחד לשמונים קושיות.’ [ר׳ </w:t>
      </w:r>
      <w:proofErr w:type="spellStart"/>
      <w:r>
        <w:rPr>
          <w:rtl/>
        </w:rPr>
        <w:t>יצחק־אייזיק</w:t>
      </w:r>
      <w:proofErr w:type="spellEnd"/>
      <w:r>
        <w:rPr>
          <w:rtl/>
        </w:rPr>
        <w:t xml:space="preserve"> הלוי] ציין שאם ימצא רק תשובה לשאלה, ייתכן שהשאלה תישאר בעינה; יש לנתח את העניין ולהתחקות אחר מקור הבעיה באופן שהשאלה עצמה מתפרקת.” הנקודה האחרונה דומה להגדרתו של ר׳ יוסף־דב </w:t>
      </w:r>
      <w:proofErr w:type="spellStart"/>
      <w:r>
        <w:rPr>
          <w:rtl/>
        </w:rPr>
        <w:t>סולובייצ׳יק</w:t>
      </w:r>
      <w:proofErr w:type="spellEnd"/>
      <w:r>
        <w:rPr>
          <w:rtl/>
        </w:rPr>
        <w:t xml:space="preserve"> את שיטת בנו ר׳ חיים, כשפירט את ההבדל ביניהם</w:t>
      </w:r>
      <w:bookmarkStart w:id="5349" w:name="_fnr4014"/>
      <w:r>
        <w:rPr>
          <w:vertAlign w:val="superscript"/>
          <w:rtl/>
        </w:rPr>
        <w:footnoteReference w:id="4024" w:customMarkFollows="0"/>
      </w:r>
      <w:bookmarkEnd w:id="5349"/>
      <w:r>
        <w:rPr>
          <w:rtl/>
        </w:rPr>
        <w:t xml:space="preserve">: “כשמישהו שואל אותי שאלה, אני מעיין בה ומשיב לו, ושנינו שמחים ומרוצים – הוא משאלתו ואני מתשובתי. לא כן בני ר׳ חיים: כשמישהו שואל אותו שאלה, הוא עוקר אותה משורשה – ומשאיר את שניהם בלתי מרוצים.”</w:t>
      </w:r>
    </w:p>
    <w:p w14:paraId="5A7A7FFC" w14:textId="77777777" w:rsidR="00AB3647" w:rsidRDefault="00000000" w:rsidP="007923E9">
      <w:pPr>
        <w:spacing w:after="120" w:line="276" w:lineRule="auto"/>
        <w:ind w:firstLine="283"/>
        <w:jc w:val="both"/>
      </w:pPr>
      <w:r>
        <w:rPr>
          <w:rtl/>
        </w:rPr>
        <w:t xml:space="preserve">גם התעניינותו של ר׳ חיים </w:t>
      </w:r>
      <w:proofErr w:type="spellStart"/>
      <w:r>
        <w:rPr>
          <w:rtl/>
        </w:rPr>
        <w:t>סולובייצ׳יק</w:t>
      </w:r>
      <w:proofErr w:type="spellEnd"/>
      <w:r>
        <w:rPr>
          <w:rtl/>
        </w:rPr>
        <w:t xml:space="preserve"> באגודת ישראל מיוחסת לידידותו עם ר׳ </w:t>
      </w:r>
      <w:proofErr w:type="spellStart"/>
      <w:r>
        <w:rPr>
          <w:rtl/>
        </w:rPr>
        <w:t>יצחק־אייזיק</w:t>
      </w:r>
      <w:proofErr w:type="spellEnd"/>
      <w:r>
        <w:rPr>
          <w:rtl/>
        </w:rPr>
        <w:t xml:space="preserve"> הלוי. במאמר בכתב העת שהוציא הוועד הפועל העולמי של אגודת ישראל בירושלים </w:t>
      </w:r>
      <w:proofErr w:type="spellStart"/>
      <w:r>
        <w:rPr>
          <w:rtl/>
        </w:rPr>
        <w:t>בתשל״ב</w:t>
      </w:r>
      <w:proofErr w:type="spellEnd"/>
      <w:r>
        <w:rPr>
          <w:rtl/>
        </w:rPr>
        <w:t xml:space="preserve">, לכבוד מלאות שישים שנה לוועידת </w:t>
      </w:r>
      <w:proofErr w:type="spellStart"/>
      <w:r>
        <w:rPr>
          <w:rtl/>
        </w:rPr>
        <w:t>קטוביץ</w:t>
      </w:r>
      <w:proofErr w:type="spellEnd"/>
      <w:r>
        <w:rPr>
          <w:rtl/>
        </w:rPr>
        <w:t xml:space="preserve"> שהניחה את היסוד לאגודת ישראל, טוען הרב רייכל: “הגורם המכריע בדעיכת התעניינותו של ר׳ חיים בארגון היה מותו של ר׳ </w:t>
      </w:r>
      <w:proofErr w:type="spellStart"/>
      <w:r>
        <w:rPr>
          <w:rtl/>
        </w:rPr>
        <w:t>יצחק־אייזיק</w:t>
      </w:r>
      <w:proofErr w:type="spellEnd"/>
      <w:r>
        <w:rPr>
          <w:rtl/>
        </w:rPr>
        <w:t xml:space="preserve"> הלוי [שנתיים לאחר ועידת </w:t>
      </w:r>
      <w:proofErr w:type="spellStart"/>
      <w:r>
        <w:rPr>
          <w:rtl/>
        </w:rPr>
        <w:t>קטוביץ</w:t>
      </w:r>
      <w:proofErr w:type="spellEnd"/>
      <w:r>
        <w:rPr>
          <w:rtl/>
        </w:rPr>
        <w:t xml:space="preserve">], שכן התעניינותו של ר׳ חיים – בשל ידידותם הקרובה מימי נעוריהם – ניזונה מלכתחילה מהתלהבותו ומדברי שכנועו של ר׳ </w:t>
      </w:r>
      <w:proofErr w:type="spellStart"/>
      <w:r>
        <w:rPr>
          <w:rtl/>
        </w:rPr>
        <w:t>יצחק־אייזיק</w:t>
      </w:r>
      <w:proofErr w:type="spellEnd"/>
      <w:r>
        <w:rPr>
          <w:rtl/>
        </w:rPr>
        <w:t xml:space="preserve"> הלוי.”</w:t>
      </w:r>
    </w:p>
    <w:p w14:paraId="288CDC1C" w14:textId="77777777" w:rsidR="00AB3647" w:rsidRDefault="00000000" w:rsidP="007923E9">
      <w:pPr>
        <w:spacing w:after="120" w:line="276" w:lineRule="auto"/>
        <w:ind w:firstLine="283"/>
        <w:jc w:val="both"/>
      </w:pPr>
      <w:r>
        <w:rPr>
          <w:rtl/>
        </w:rPr>
        <w:t xml:space="preserve">אין זה מופרך להציע גם שרצונו של </w:t>
      </w:r>
      <w:proofErr w:type="spellStart"/>
      <w:r>
        <w:rPr>
          <w:rtl/>
        </w:rPr>
        <w:t>הנצי״ב</w:t>
      </w:r>
      <w:proofErr w:type="spellEnd"/>
      <w:r>
        <w:rPr>
          <w:rtl/>
        </w:rPr>
        <w:t xml:space="preserve"> שר׳ חיים </w:t>
      </w:r>
      <w:proofErr w:type="spellStart"/>
      <w:r>
        <w:rPr>
          <w:rtl/>
        </w:rPr>
        <w:t>סולובייצ׳יק</w:t>
      </w:r>
      <w:proofErr w:type="spellEnd"/>
      <w:r>
        <w:rPr>
          <w:rtl/>
        </w:rPr>
        <w:t xml:space="preserve"> יישאר </w:t>
      </w:r>
      <w:proofErr w:type="spellStart"/>
      <w:r>
        <w:rPr>
          <w:rtl/>
        </w:rPr>
        <w:t>בוולוז׳ין</w:t>
      </w:r>
      <w:proofErr w:type="spellEnd"/>
      <w:r>
        <w:rPr>
          <w:rtl/>
        </w:rPr>
        <w:t xml:space="preserve"> נבע דווקא מחששו שר׳ חיים ייענה להצעת קהילת </w:t>
      </w:r>
      <w:proofErr w:type="spellStart"/>
      <w:r>
        <w:rPr>
          <w:rtl/>
        </w:rPr>
        <w:t>בריסק</w:t>
      </w:r>
      <w:proofErr w:type="spellEnd"/>
      <w:r>
        <w:rPr>
          <w:rtl/>
        </w:rPr>
        <w:t xml:space="preserve"> ויפתח ישיבה שתתחרה </w:t>
      </w:r>
      <w:proofErr w:type="spellStart"/>
      <w:r>
        <w:rPr>
          <w:rtl/>
        </w:rPr>
        <w:t>בוולוז׳ין</w:t>
      </w:r>
      <w:proofErr w:type="spellEnd"/>
      <w:r>
        <w:rPr>
          <w:rtl/>
        </w:rPr>
        <w:t>.</w:t>
      </w:r>
      <w:bookmarkStart w:id="5350" w:name="_fnr4015"/>
      <w:r>
        <w:rPr>
          <w:vertAlign w:val="superscript"/>
          <w:rtl/>
        </w:rPr>
        <w:footnoteReference w:id="4025" w:customMarkFollows="0"/>
      </w:r>
      <w:bookmarkEnd w:id="5350"/>
      <w:r>
        <w:rPr>
          <w:rtl/>
        </w:rPr>
        <w:t xml:space="preserve"> אומנם לפי “הראשון”</w:t>
      </w:r>
      <w:bookmarkStart w:id="5351" w:name="_fnr4016"/>
      <w:r>
        <w:rPr>
          <w:vertAlign w:val="superscript"/>
          <w:rtl/>
        </w:rPr>
        <w:footnoteReference w:id="4026" w:customMarkFollows="0"/>
      </w:r>
      <w:bookmarkEnd w:id="5351"/>
      <w:r>
        <w:rPr>
          <w:rtl/>
        </w:rPr>
        <w:t xml:space="preserve"> דחה אביו של ר׳ חיים, ר׳ יוסף־דב, בשלוש הזדמנויות שונות הצעות לפתוח ישיבה משלו, מפני שסירב להתחרות בישיבת </w:t>
      </w:r>
      <w:proofErr w:type="spellStart"/>
      <w:r>
        <w:rPr>
          <w:rtl/>
        </w:rPr>
        <w:t>וולוז׳ין</w:t>
      </w:r>
      <w:proofErr w:type="spellEnd"/>
      <w:r>
        <w:rPr>
          <w:rtl/>
        </w:rPr>
        <w:t xml:space="preserve"> ולהפריע לה,</w:t>
      </w:r>
      <w:bookmarkStart w:id="5352" w:name="_fnr4017"/>
      <w:r>
        <w:rPr>
          <w:vertAlign w:val="superscript"/>
          <w:rtl/>
        </w:rPr>
        <w:footnoteReference w:id="4027" w:customMarkFollows="0"/>
      </w:r>
      <w:bookmarkEnd w:id="5352"/>
      <w:r>
        <w:rPr>
          <w:rtl/>
        </w:rPr>
        <w:t xml:space="preserve"> אבל עמדה זו לא שללה בהכרח את הסכמתו לפתוח ישיבה לבנו, כשר׳ חיים סבר שהוא זקוק למשרה.</w:t>
      </w:r>
    </w:p>
    <w:p w14:paraId="3EE4F7C9" w14:textId="40171C3E" w:rsidR="00AB3647" w:rsidRDefault="00000000" w:rsidP="007923E9">
      <w:pPr>
        <w:spacing w:after="120" w:line="276" w:lineRule="auto"/>
        <w:ind w:firstLine="283"/>
        <w:jc w:val="both"/>
      </w:pPr>
      <w:r>
        <w:rPr>
          <w:rtl/>
        </w:rPr>
        <w:t xml:space="preserve">כעבור </w:t>
      </w:r>
      <w:proofErr w:type="spellStart"/>
      <w:r>
        <w:rPr>
          <w:rtl/>
        </w:rPr>
        <w:t>שתים־עשרה</w:t>
      </w:r>
      <w:proofErr w:type="spellEnd"/>
      <w:r>
        <w:rPr>
          <w:rtl/>
        </w:rPr>
        <w:t xml:space="preserve"> שנה, </w:t>
      </w:r>
      <w:proofErr w:type="spellStart"/>
      <w:r>
        <w:rPr>
          <w:rtl/>
        </w:rPr>
        <w:t>כשוולוז׳ין</w:t>
      </w:r>
      <w:proofErr w:type="spellEnd"/>
      <w:r>
        <w:rPr>
          <w:rtl/>
        </w:rPr>
        <w:t xml:space="preserve"> נסגרה, התנהל “זמן ממושך” משא ומתן בין ר׳ חיים לבין העיר </w:t>
      </w:r>
      <w:proofErr w:type="spellStart"/>
      <w:r>
        <w:rPr>
          <w:rtl/>
        </w:rPr>
        <w:t>פינסק</w:t>
      </w:r>
      <w:proofErr w:type="spellEnd"/>
      <w:r>
        <w:rPr>
          <w:rtl/>
        </w:rPr>
        <w:t xml:space="preserve"> על פתיחת קיבוץ ועל “העברת לפחות חלק מישיבת </w:t>
      </w:r>
      <w:proofErr w:type="spellStart"/>
      <w:r>
        <w:rPr>
          <w:rtl/>
        </w:rPr>
        <w:t>וולוז׳ין</w:t>
      </w:r>
      <w:proofErr w:type="spellEnd"/>
      <w:r>
        <w:rPr>
          <w:rtl/>
        </w:rPr>
        <w:t>” לשם.</w:t>
      </w:r>
      <w:bookmarkStart w:id="5353" w:name="_fnr4018"/>
      <w:r>
        <w:rPr>
          <w:vertAlign w:val="superscript"/>
          <w:rtl/>
        </w:rPr>
        <w:footnoteReference w:id="4028" w:customMarkFollows="0"/>
      </w:r>
      <w:bookmarkEnd w:id="5353"/>
      <w:r>
        <w:rPr>
          <w:rtl/>
        </w:rPr>
        <w:t xml:space="preserve"> </w:t>
      </w:r>
      <w:r>
        <w:rPr>
          <w:rtl/>
        </w:rPr>
        <w:lastRenderedPageBreak/>
        <w:t xml:space="preserve">השיחות נפסקו כשר׳ יוסף־דב נפטר כעבור שלושה חודשים, ור׳ חיים נכנס לרבנות </w:t>
      </w:r>
      <w:proofErr w:type="spellStart"/>
      <w:r>
        <w:rPr>
          <w:rtl/>
        </w:rPr>
        <w:t>בריסק</w:t>
      </w:r>
      <w:proofErr w:type="spellEnd"/>
      <w:r>
        <w:rPr>
          <w:rtl/>
        </w:rPr>
        <w:t xml:space="preserve">. ר׳ חיים, ללא ספק בהסכמת אביו, רצה לפתוח ישיבה חדשה למרות התקוות והתוכניות לפתוח מחדש את </w:t>
      </w:r>
      <w:proofErr w:type="spellStart"/>
      <w:r>
        <w:rPr>
          <w:rtl/>
        </w:rPr>
        <w:t>וולוז׳ין</w:t>
      </w:r>
      <w:proofErr w:type="spellEnd"/>
      <w:r>
        <w:rPr>
          <w:rtl/>
        </w:rPr>
        <w:t xml:space="preserve"> [בלי לכלול אותו], כמבואר בפרק 3, </w:t>
      </w:r>
      <w:r>
        <w:rPr>
          <w:rtl/>
        </w:rPr>
        <w:fldChar w:fldCharType="begin" w:dirty="true"/>
      </w:r>
      <w:r>
        <w:rPr>
          <w:rtl/>
        </w:rPr>
        <w:instrText xml:space="preserve"> REF b3_excK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יא</w:t>
      </w:r>
      <w:r>
        <w:rPr>
          <w:rtl/>
        </w:rPr>
        <w:fldChar w:fldCharType="end"/>
      </w:r>
      <w:r>
        <w:rPr>
          <w:rtl/>
        </w:rPr>
        <w:t xml:space="preserve">. לפיכך היו </w:t>
      </w:r>
      <w:proofErr w:type="spellStart"/>
      <w:r>
        <w:rPr>
          <w:rtl/>
        </w:rPr>
        <w:t>לנצי״ב</w:t>
      </w:r>
      <w:proofErr w:type="spellEnd"/>
      <w:r>
        <w:rPr>
          <w:rtl/>
        </w:rPr>
        <w:t xml:space="preserve"> ולמנהלי ישיבת </w:t>
      </w:r>
      <w:proofErr w:type="spellStart"/>
      <w:r>
        <w:rPr>
          <w:rtl/>
        </w:rPr>
        <w:t>וולוז׳ין</w:t>
      </w:r>
      <w:proofErr w:type="spellEnd"/>
      <w:r>
        <w:rPr>
          <w:rtl/>
        </w:rPr>
        <w:t xml:space="preserve"> חששות מוצדקים שאם יעזוב ר׳ חיים, בהחלט ייתכן שיתחרה בישיבתם.</w:t>
      </w:r>
    </w:p>
    <w:p w14:paraId="7102BD26" w14:textId="77777777" w:rsidR="00AB3647" w:rsidRDefault="00000000" w:rsidP="007923E9">
      <w:pPr>
        <w:spacing w:after="120" w:line="276" w:lineRule="auto"/>
        <w:ind w:firstLine="283"/>
        <w:jc w:val="both"/>
      </w:pPr>
      <w:r>
        <w:rPr>
          <w:rtl/>
        </w:rPr>
        <w:t xml:space="preserve">אפשר אפילו שמה שהניע מלכתחילה את הגבאי עצמו, ר׳ </w:t>
      </w:r>
      <w:proofErr w:type="spellStart"/>
      <w:r>
        <w:rPr>
          <w:rtl/>
        </w:rPr>
        <w:t>יצחק־אייזיק</w:t>
      </w:r>
      <w:proofErr w:type="spellEnd"/>
      <w:r>
        <w:rPr>
          <w:rtl/>
        </w:rPr>
        <w:t xml:space="preserve"> הלוי, ליצור את המשרה </w:t>
      </w:r>
      <w:proofErr w:type="spellStart"/>
      <w:r>
        <w:rPr>
          <w:rtl/>
        </w:rPr>
        <w:t>לר</w:t>
      </w:r>
      <w:proofErr w:type="spellEnd"/>
      <w:r>
        <w:rPr>
          <w:rtl/>
        </w:rPr>
        <w:t xml:space="preserve">׳ חיים </w:t>
      </w:r>
      <w:proofErr w:type="spellStart"/>
      <w:r>
        <w:rPr>
          <w:rtl/>
        </w:rPr>
        <w:t>בוולוז׳ין</w:t>
      </w:r>
      <w:proofErr w:type="spellEnd"/>
      <w:r>
        <w:rPr>
          <w:rtl/>
        </w:rPr>
        <w:t xml:space="preserve"> היה הרצון לסכל את הרעיון שהעלו אנשי </w:t>
      </w:r>
      <w:proofErr w:type="spellStart"/>
      <w:r>
        <w:rPr>
          <w:rtl/>
        </w:rPr>
        <w:t>בריסק</w:t>
      </w:r>
      <w:proofErr w:type="spellEnd"/>
      <w:r>
        <w:rPr>
          <w:rtl/>
        </w:rPr>
        <w:t xml:space="preserve">. בעולם הישיבות ידועה היטב אמרתו של ר׳ רפאל שפירא לחותנו </w:t>
      </w:r>
      <w:proofErr w:type="spellStart"/>
      <w:r>
        <w:rPr>
          <w:rtl/>
        </w:rPr>
        <w:t>הנצי״ב</w:t>
      </w:r>
      <w:proofErr w:type="spellEnd"/>
      <w:r>
        <w:rPr>
          <w:rtl/>
        </w:rPr>
        <w:t>: “לי יש חתן ‘יפה יותר [</w:t>
      </w:r>
      <w:proofErr w:type="spellStart"/>
      <w:r>
        <w:rPr>
          <w:rtl/>
        </w:rPr>
        <w:t>שעהנערער</w:t>
      </w:r>
      <w:proofErr w:type="spellEnd"/>
      <w:r>
        <w:rPr>
          <w:rtl/>
        </w:rPr>
        <w:t>]’ משלך.”</w:t>
      </w:r>
      <w:bookmarkStart w:id="5354" w:name="_fnr4019"/>
      <w:r>
        <w:rPr>
          <w:vertAlign w:val="superscript"/>
          <w:rtl/>
        </w:rPr>
        <w:footnoteReference w:id="4029" w:customMarkFollows="0"/>
      </w:r>
      <w:bookmarkEnd w:id="5354"/>
      <w:r>
        <w:rPr>
          <w:rtl/>
        </w:rPr>
        <w:t xml:space="preserve"> ייתכן שבכך השיב ר׳ רפאל </w:t>
      </w:r>
      <w:proofErr w:type="spellStart"/>
      <w:r>
        <w:rPr>
          <w:rtl/>
        </w:rPr>
        <w:t>לנצי״ב</w:t>
      </w:r>
      <w:proofErr w:type="spellEnd"/>
      <w:r>
        <w:rPr>
          <w:rtl/>
        </w:rPr>
        <w:t xml:space="preserve">, כשזה לחץ עליו להישאר </w:t>
      </w:r>
      <w:proofErr w:type="spellStart"/>
      <w:r>
        <w:rPr>
          <w:rtl/>
        </w:rPr>
        <w:t>בוולוז׳ין</w:t>
      </w:r>
      <w:proofErr w:type="spellEnd"/>
      <w:r>
        <w:rPr>
          <w:rtl/>
        </w:rPr>
        <w:t xml:space="preserve"> ולא להביא את חתנו ר׳ חיים במקומו.</w:t>
      </w:r>
    </w:p>
    <w:p w14:paraId="111F408F" w14:textId="77777777" w:rsidR="00AB3647" w:rsidRDefault="00000000" w:rsidP="007923E9">
      <w:pPr>
        <w:spacing w:after="120" w:line="276" w:lineRule="auto"/>
        <w:ind w:firstLine="283"/>
        <w:jc w:val="both"/>
      </w:pPr>
      <w:r>
        <w:rPr>
          <w:rtl/>
        </w:rPr>
        <w:t xml:space="preserve">אני משער שהדבר אירע בזמן כלשהו בין פטירת ר׳ לוי שפירא – הוא נפטר באייר תר״מ, לפי המבוא </w:t>
      </w:r>
      <w:proofErr w:type="spellStart"/>
      <w:r>
        <w:rPr>
          <w:rtl/>
        </w:rPr>
        <w:t>ל“בית</w:t>
      </w:r>
      <w:proofErr w:type="spellEnd"/>
      <w:r>
        <w:rPr>
          <w:rtl/>
        </w:rPr>
        <w:t xml:space="preserve"> לוי” שלו</w:t>
      </w:r>
      <w:bookmarkStart w:id="5355" w:name="_fnr4020"/>
      <w:r>
        <w:rPr>
          <w:vertAlign w:val="superscript"/>
          <w:rtl/>
        </w:rPr>
        <w:footnoteReference w:id="4030" w:customMarkFollows="0"/>
      </w:r>
      <w:bookmarkEnd w:id="5355"/>
      <w:r>
        <w:rPr>
          <w:rtl/>
        </w:rPr>
        <w:t xml:space="preserve"> – לבין פטירת ר׳ </w:t>
      </w:r>
      <w:proofErr w:type="spellStart"/>
      <w:r>
        <w:rPr>
          <w:rtl/>
        </w:rPr>
        <w:t>יצחק־זאב</w:t>
      </w:r>
      <w:proofErr w:type="spellEnd"/>
      <w:r>
        <w:rPr>
          <w:rtl/>
        </w:rPr>
        <w:t xml:space="preserve"> </w:t>
      </w:r>
      <w:proofErr w:type="spellStart"/>
      <w:r>
        <w:rPr>
          <w:rtl/>
        </w:rPr>
        <w:t>סולובייצ׳יק</w:t>
      </w:r>
      <w:proofErr w:type="spellEnd"/>
      <w:r>
        <w:rPr>
          <w:rtl/>
        </w:rPr>
        <w:t xml:space="preserve"> בסיוון של אותה שנה. ר׳ רפאל שקל אז – אולי בעידודו של ר׳ </w:t>
      </w:r>
      <w:proofErr w:type="spellStart"/>
      <w:r>
        <w:rPr>
          <w:rtl/>
        </w:rPr>
        <w:t>יצחק־אייזיק</w:t>
      </w:r>
      <w:proofErr w:type="spellEnd"/>
      <w:r>
        <w:rPr>
          <w:rtl/>
        </w:rPr>
        <w:t xml:space="preserve"> הלוי – לקבל עליו את </w:t>
      </w:r>
      <w:proofErr w:type="spellStart"/>
      <w:r>
        <w:rPr>
          <w:rtl/>
        </w:rPr>
        <w:t>רבנותו</w:t>
      </w:r>
      <w:proofErr w:type="spellEnd"/>
      <w:r>
        <w:rPr>
          <w:rtl/>
        </w:rPr>
        <w:t xml:space="preserve"> של ר׳ לוי </w:t>
      </w:r>
      <w:proofErr w:type="spellStart"/>
      <w:r>
        <w:rPr>
          <w:rtl/>
        </w:rPr>
        <w:t>בנובו־אלכסנדרובסק</w:t>
      </w:r>
      <w:proofErr w:type="spellEnd"/>
      <w:r>
        <w:rPr>
          <w:rtl/>
        </w:rPr>
        <w:t xml:space="preserve">, ולמסור את מקומו בהוראה </w:t>
      </w:r>
      <w:proofErr w:type="spellStart"/>
      <w:r>
        <w:rPr>
          <w:rtl/>
        </w:rPr>
        <w:t>בוולוז׳ין</w:t>
      </w:r>
      <w:proofErr w:type="spellEnd"/>
      <w:r>
        <w:rPr>
          <w:rtl/>
        </w:rPr>
        <w:t xml:space="preserve"> לחתנו ר׳ חיים </w:t>
      </w:r>
      <w:proofErr w:type="spellStart"/>
      <w:r>
        <w:rPr>
          <w:rtl/>
        </w:rPr>
        <w:t>סולובייצ׳יק</w:t>
      </w:r>
      <w:proofErr w:type="spellEnd"/>
      <w:r>
        <w:rPr>
          <w:rtl/>
        </w:rPr>
        <w:t>.</w:t>
      </w:r>
      <w:bookmarkStart w:id="5356" w:name="_fnr4021"/>
      <w:r>
        <w:rPr>
          <w:vertAlign w:val="superscript"/>
          <w:rtl/>
        </w:rPr>
        <w:footnoteReference w:id="4031" w:customMarkFollows="0"/>
      </w:r>
      <w:bookmarkEnd w:id="5356"/>
      <w:r>
        <w:rPr>
          <w:rtl/>
        </w:rPr>
        <w:t xml:space="preserve"> </w:t>
      </w:r>
      <w:proofErr w:type="spellStart"/>
      <w:r>
        <w:rPr>
          <w:rtl/>
        </w:rPr>
        <w:t>הנצי״ב</w:t>
      </w:r>
      <w:proofErr w:type="spellEnd"/>
      <w:r>
        <w:rPr>
          <w:rtl/>
        </w:rPr>
        <w:t xml:space="preserve"> לא ראה אז סיבה מספקת לאשר את החילופים, ור׳ רפאל נאלץ לומר לו שר׳ חיים גדול ממנו בתורה וימלא את התפקיד בישיבה טוב ממנו. רק לאחר פטירתו של ר׳ </w:t>
      </w:r>
      <w:proofErr w:type="spellStart"/>
      <w:r>
        <w:rPr>
          <w:rtl/>
        </w:rPr>
        <w:t>יצחק־זאב</w:t>
      </w:r>
      <w:proofErr w:type="spellEnd"/>
      <w:r>
        <w:rPr>
          <w:rtl/>
        </w:rPr>
        <w:t xml:space="preserve"> זמן קצר אחר כך, כשקהילת </w:t>
      </w:r>
      <w:proofErr w:type="spellStart"/>
      <w:r>
        <w:rPr>
          <w:rtl/>
        </w:rPr>
        <w:t>בריסק</w:t>
      </w:r>
      <w:proofErr w:type="spellEnd"/>
      <w:r>
        <w:rPr>
          <w:rtl/>
        </w:rPr>
        <w:t xml:space="preserve"> העלתה את הרעיון להקים ישיבה גדולה בעירם, אישר </w:t>
      </w:r>
      <w:proofErr w:type="spellStart"/>
      <w:r>
        <w:rPr>
          <w:rtl/>
        </w:rPr>
        <w:t>הנצי״ב</w:t>
      </w:r>
      <w:proofErr w:type="spellEnd"/>
      <w:r>
        <w:rPr>
          <w:rtl/>
        </w:rPr>
        <w:t xml:space="preserve"> – לפי השערתי – את הצטרפות ר׳ חיים לסגל </w:t>
      </w:r>
      <w:proofErr w:type="spellStart"/>
      <w:r>
        <w:rPr>
          <w:rtl/>
        </w:rPr>
        <w:t>וולוז׳ין</w:t>
      </w:r>
      <w:proofErr w:type="spellEnd"/>
      <w:r>
        <w:rPr>
          <w:rtl/>
        </w:rPr>
        <w:t xml:space="preserve">, כדי להבטיח שלא יקום מוסד מתחרה. </w:t>
      </w:r>
      <w:proofErr w:type="spellStart"/>
      <w:r>
        <w:rPr>
          <w:rtl/>
        </w:rPr>
        <w:t>והנצי״ב</w:t>
      </w:r>
      <w:proofErr w:type="spellEnd"/>
      <w:r>
        <w:rPr>
          <w:rtl/>
        </w:rPr>
        <w:t xml:space="preserve"> רצה שר׳ חיים יישאר </w:t>
      </w:r>
      <w:proofErr w:type="spellStart"/>
      <w:r>
        <w:rPr>
          <w:rtl/>
        </w:rPr>
        <w:t>בוולוז׳ין</w:t>
      </w:r>
      <w:proofErr w:type="spellEnd"/>
      <w:r>
        <w:rPr>
          <w:rtl/>
        </w:rPr>
        <w:t xml:space="preserve"> גם כשזה ביקש לפרוש, בעקבות התחלתו הבלתי מרשימה בתפקיד החדש.</w:t>
      </w:r>
    </w:p>
    <w:p w14:paraId="76FC7B32" w14:textId="77777777" w:rsidR="00AB3647" w:rsidRDefault="00000000" w:rsidP="007923E9">
      <w:pPr>
        <w:spacing w:after="120" w:line="276" w:lineRule="auto"/>
        <w:ind w:firstLine="283"/>
        <w:jc w:val="both"/>
      </w:pPr>
      <w:r>
        <w:rPr>
          <w:rtl/>
        </w:rPr>
        <w:t xml:space="preserve">אם השערה זו נכונה, התחיל ר׳ חיים למסור שיעורים די זמן לפני אלול תר״מ – שבו קופסת אתרוג היא מתנה מתאימה – כדי שיספיק לחוש שנכשל, וחברי ההנהלה יספיקו להחליט אחרת, לרכוש את הקופסה המעוטרת, לחרוט עליה כתובת ולהעניקה לו כאות לרצונם שיישאר. בהתאם לכך קבעתי את “ראשית קיץ תר״מ” – חודשיים לאחר פטירת ר׳ לוי שפירא </w:t>
      </w:r>
      <w:proofErr w:type="spellStart"/>
      <w:r>
        <w:rPr>
          <w:rtl/>
        </w:rPr>
        <w:t>בנובו־אלכסנדרובסק</w:t>
      </w:r>
      <w:proofErr w:type="spellEnd"/>
      <w:r>
        <w:rPr>
          <w:rtl/>
        </w:rPr>
        <w:t xml:space="preserve">, כמתואר להלן, וחודש לאחר פטירת ר׳ </w:t>
      </w:r>
      <w:proofErr w:type="spellStart"/>
      <w:r>
        <w:rPr>
          <w:rtl/>
        </w:rPr>
        <w:t>יצחק־זאב</w:t>
      </w:r>
      <w:proofErr w:type="spellEnd"/>
      <w:r>
        <w:rPr>
          <w:rtl/>
        </w:rPr>
        <w:t xml:space="preserve"> </w:t>
      </w:r>
      <w:proofErr w:type="spellStart"/>
      <w:r>
        <w:rPr>
          <w:rtl/>
        </w:rPr>
        <w:t>סולובייצ׳יק</w:t>
      </w:r>
      <w:proofErr w:type="spellEnd"/>
      <w:r>
        <w:rPr>
          <w:rtl/>
        </w:rPr>
        <w:t xml:space="preserve"> בקובנה – כלומר תמוז תר״מ, כאומדן הטוב ביותר למועד מינויו של ר׳ חיים.</w:t>
      </w:r>
      <w:bookmarkStart w:id="5357" w:name="_fnr4022"/>
      <w:r>
        <w:rPr>
          <w:vertAlign w:val="superscript"/>
          <w:rtl/>
        </w:rPr>
        <w:footnoteReference w:id="4032" w:customMarkFollows="0"/>
      </w:r>
      <w:bookmarkEnd w:id="5357"/>
    </w:p>
    <w:p w14:paraId="4F0F37C8" w14:textId="77777777" w:rsidR="00AB3647" w:rsidRDefault="00000000" w:rsidP="007923E9">
      <w:pPr>
        <w:spacing w:after="120" w:line="276" w:lineRule="auto"/>
        <w:ind w:firstLine="283"/>
        <w:jc w:val="both"/>
      </w:pPr>
      <w:r>
        <w:rPr>
          <w:rtl/>
        </w:rPr>
        <w:lastRenderedPageBreak/>
        <w:t xml:space="preserve">אל יטעה הקורא בגלל דברי המוציאים לאור, בניו “אריה </w:t>
      </w:r>
      <w:proofErr w:type="spellStart"/>
      <w:r>
        <w:rPr>
          <w:rtl/>
        </w:rPr>
        <w:t>וישראל־איסר</w:t>
      </w:r>
      <w:proofErr w:type="spellEnd"/>
      <w:r>
        <w:rPr>
          <w:rtl/>
        </w:rPr>
        <w:t xml:space="preserve"> שפירא”, במבוא </w:t>
      </w:r>
      <w:proofErr w:type="spellStart"/>
      <w:r>
        <w:rPr>
          <w:rtl/>
        </w:rPr>
        <w:t>ל“תורת</w:t>
      </w:r>
      <w:proofErr w:type="spellEnd"/>
      <w:r>
        <w:rPr>
          <w:rtl/>
        </w:rPr>
        <w:t xml:space="preserve"> רפאל” של ר׳ רפאל שפירא</w:t>
      </w:r>
      <w:bookmarkStart w:id="5358" w:name="_fnr4023"/>
      <w:r>
        <w:rPr>
          <w:vertAlign w:val="superscript"/>
          <w:rtl/>
        </w:rPr>
        <w:footnoteReference w:id="4033" w:customMarkFollows="0"/>
      </w:r>
      <w:bookmarkEnd w:id="5358"/>
      <w:r>
        <w:rPr>
          <w:rtl/>
        </w:rPr>
        <w:t xml:space="preserve">: “לערך בשנת תרכ״ה החל אבינו להגיד את השיעור בישיבת </w:t>
      </w:r>
      <w:proofErr w:type="spellStart"/>
      <w:r>
        <w:rPr>
          <w:rtl/>
        </w:rPr>
        <w:t>וולוזין</w:t>
      </w:r>
      <w:proofErr w:type="spellEnd"/>
      <w:r>
        <w:rPr>
          <w:rtl/>
        </w:rPr>
        <w:t xml:space="preserve"> שלש פעמים בשבוע... את שיעורו הראשון התחיל להגיד במס׳ </w:t>
      </w:r>
      <w:proofErr w:type="spellStart"/>
      <w:r>
        <w:rPr>
          <w:rtl/>
        </w:rPr>
        <w:t>ב״ק</w:t>
      </w:r>
      <w:proofErr w:type="spellEnd"/>
      <w:r>
        <w:rPr>
          <w:rtl/>
        </w:rPr>
        <w:t xml:space="preserve"> פרק הגוזל עצים ובאותו פרק סיים </w:t>
      </w:r>
      <w:r>
        <w:rPr>
          <w:b/>
          <w:bCs/>
          <w:rtl/>
        </w:rPr>
        <w:t xml:space="preserve">בצאתו </w:t>
      </w:r>
      <w:proofErr w:type="spellStart"/>
      <w:r>
        <w:rPr>
          <w:b/>
          <w:bCs/>
          <w:rtl/>
        </w:rPr>
        <w:t>מוולוזין</w:t>
      </w:r>
      <w:proofErr w:type="spellEnd"/>
      <w:r>
        <w:rPr>
          <w:b/>
          <w:bCs/>
          <w:rtl/>
        </w:rPr>
        <w:t xml:space="preserve"> בשנת תרמ״א</w:t>
      </w:r>
      <w:r>
        <w:rPr>
          <w:rtl/>
        </w:rPr>
        <w:t xml:space="preserve"> </w:t>
      </w:r>
      <w:proofErr w:type="spellStart"/>
      <w:r>
        <w:rPr>
          <w:rtl/>
        </w:rPr>
        <w:t>לנובואלכסנדראווסק</w:t>
      </w:r>
      <w:proofErr w:type="spellEnd"/>
      <w:r>
        <w:rPr>
          <w:rtl/>
        </w:rPr>
        <w:t xml:space="preserve"> פלך </w:t>
      </w:r>
      <w:proofErr w:type="spellStart"/>
      <w:r>
        <w:rPr>
          <w:rtl/>
        </w:rPr>
        <w:t>קאוונא</w:t>
      </w:r>
      <w:proofErr w:type="spellEnd"/>
      <w:r>
        <w:rPr>
          <w:rtl/>
        </w:rPr>
        <w:t xml:space="preserve">” (ההדגשה שלי). מן הפסוקית המודגשת משתמע לכאורה שר׳ חיים </w:t>
      </w:r>
      <w:proofErr w:type="spellStart"/>
      <w:r>
        <w:rPr>
          <w:rtl/>
        </w:rPr>
        <w:t>סולובייצ׳יק</w:t>
      </w:r>
      <w:proofErr w:type="spellEnd"/>
      <w:r>
        <w:rPr>
          <w:rtl/>
        </w:rPr>
        <w:t xml:space="preserve"> – שלמענו פרש חותנו ר׳ רפאל שפירא ממקומו </w:t>
      </w:r>
      <w:proofErr w:type="spellStart"/>
      <w:r>
        <w:rPr>
          <w:rtl/>
        </w:rPr>
        <w:t>בוולוז׳ין</w:t>
      </w:r>
      <w:proofErr w:type="spellEnd"/>
      <w:r>
        <w:rPr>
          <w:rtl/>
        </w:rPr>
        <w:t xml:space="preserve">, ועבר </w:t>
      </w:r>
      <w:proofErr w:type="spellStart"/>
      <w:r>
        <w:rPr>
          <w:rtl/>
        </w:rPr>
        <w:t>לנובו־אלכסנדרובסק</w:t>
      </w:r>
      <w:proofErr w:type="spellEnd"/>
      <w:r>
        <w:rPr>
          <w:rtl/>
        </w:rPr>
        <w:t xml:space="preserve"> באדר ב׳ תרמ״א – לא התחיל למסור שיעורים עד תרמ״א.</w:t>
      </w:r>
    </w:p>
    <w:p w14:paraId="15DBCEFF" w14:textId="77777777" w:rsidR="00AB3647" w:rsidRDefault="00000000" w:rsidP="007923E9">
      <w:pPr>
        <w:spacing w:after="120" w:line="276" w:lineRule="auto"/>
        <w:ind w:firstLine="283"/>
        <w:jc w:val="both"/>
      </w:pPr>
      <w:r>
        <w:rPr>
          <w:rtl/>
        </w:rPr>
        <w:t xml:space="preserve">אבל אני סבור שר׳ רפאל חדל למסור שיעורים כבר בקיץ הקודם, לאחר שהובטח לו שהרבנות </w:t>
      </w:r>
      <w:proofErr w:type="spellStart"/>
      <w:r>
        <w:rPr>
          <w:rtl/>
        </w:rPr>
        <w:t>בנובו־אלכסנדרובסק</w:t>
      </w:r>
      <w:proofErr w:type="spellEnd"/>
      <w:r>
        <w:rPr>
          <w:rtl/>
        </w:rPr>
        <w:t xml:space="preserve">, במקום אחיו ר׳ לוי, ממתינה לו – אולי כפי שסידר ר׳ </w:t>
      </w:r>
      <w:proofErr w:type="spellStart"/>
      <w:r>
        <w:rPr>
          <w:rtl/>
        </w:rPr>
        <w:t>יצחק־אייזיק</w:t>
      </w:r>
      <w:proofErr w:type="spellEnd"/>
      <w:r>
        <w:rPr>
          <w:rtl/>
        </w:rPr>
        <w:t xml:space="preserve"> הלוי העשיר ורב ההשפעה – ובכל זאת נשאר </w:t>
      </w:r>
      <w:proofErr w:type="spellStart"/>
      <w:r>
        <w:rPr>
          <w:rtl/>
        </w:rPr>
        <w:t>בוולוז׳ין</w:t>
      </w:r>
      <w:proofErr w:type="spellEnd"/>
      <w:r>
        <w:rPr>
          <w:rtl/>
        </w:rPr>
        <w:t xml:space="preserve"> עד שחתנו התבסס היטב בישיבה. ר׳ רפאל המתין עד שתלמידי </w:t>
      </w:r>
      <w:proofErr w:type="spellStart"/>
      <w:r>
        <w:rPr>
          <w:rtl/>
        </w:rPr>
        <w:t>וולוז׳ין</w:t>
      </w:r>
      <w:proofErr w:type="spellEnd"/>
      <w:r>
        <w:rPr>
          <w:rtl/>
        </w:rPr>
        <w:t xml:space="preserve"> וגם גדולי התורה, שהתכנסו בעיר כנראה באותה עת כדי להעריך את ר׳ חיים,</w:t>
      </w:r>
      <w:bookmarkStart w:id="5359" w:name="_fnr4024"/>
      <w:r>
        <w:rPr>
          <w:vertAlign w:val="superscript"/>
          <w:rtl/>
        </w:rPr>
        <w:footnoteReference w:id="4034" w:customMarkFollows="0"/>
      </w:r>
      <w:bookmarkEnd w:id="5359"/>
      <w:r>
        <w:rPr>
          <w:rtl/>
        </w:rPr>
        <w:t xml:space="preserve"> הסכימו למינוי. בדומה לכך התחיל ר׳ חיים למסור את שיעוריו – הוא פתח בפרק “הגוזל עצים”, הפרק התשיעי במסכת בבא קמא – </w:t>
      </w:r>
      <w:proofErr w:type="spellStart"/>
      <w:r>
        <w:rPr>
          <w:rtl/>
        </w:rPr>
        <w:t>בתר״מ</w:t>
      </w:r>
      <w:proofErr w:type="spellEnd"/>
      <w:r>
        <w:rPr>
          <w:rtl/>
        </w:rPr>
        <w:t>.</w:t>
      </w:r>
      <w:bookmarkStart w:id="5360" w:name="_fnr4025"/>
      <w:r>
        <w:rPr>
          <w:vertAlign w:val="superscript"/>
          <w:rtl/>
        </w:rPr>
        <w:footnoteReference w:id="4035" w:customMarkFollows="0"/>
      </w:r>
      <w:bookmarkEnd w:id="5360"/>
    </w:p>
    <w:p w14:paraId="2CA0D039" w14:textId="77777777" w:rsidR="00AB3647" w:rsidRDefault="00000000" w:rsidP="007923E9">
      <w:pPr>
        <w:spacing w:after="120" w:line="276" w:lineRule="auto"/>
        <w:ind w:firstLine="283"/>
        <w:jc w:val="both"/>
      </w:pPr>
      <w:r>
        <w:rPr>
          <w:rtl/>
        </w:rPr>
        <w:t>ראה גם “</w:t>
      </w:r>
      <w:proofErr w:type="spellStart"/>
      <w:r>
        <w:rPr>
          <w:rtl/>
        </w:rPr>
        <w:t>אהלי</w:t>
      </w:r>
      <w:proofErr w:type="spellEnd"/>
      <w:r>
        <w:rPr>
          <w:rtl/>
        </w:rPr>
        <w:t xml:space="preserve"> שם”,</w:t>
      </w:r>
      <w:bookmarkStart w:id="5361" w:name="_fnr4026"/>
      <w:r>
        <w:rPr>
          <w:vertAlign w:val="superscript"/>
          <w:rtl/>
        </w:rPr>
        <w:footnoteReference w:id="4036" w:customMarkFollows="0"/>
      </w:r>
      <w:bookmarkEnd w:id="5361"/>
      <w:r>
        <w:rPr>
          <w:rtl/>
        </w:rPr>
        <w:t xml:space="preserve"> ספר ובו תולדות קצרות של הרבנים בכל הקהילות היהודיות בעולם. בערך </w:t>
      </w:r>
      <w:proofErr w:type="spellStart"/>
      <w:r>
        <w:rPr>
          <w:rtl/>
        </w:rPr>
        <w:t>בריסק</w:t>
      </w:r>
      <w:proofErr w:type="spellEnd"/>
      <w:r>
        <w:rPr>
          <w:rtl/>
        </w:rPr>
        <w:t xml:space="preserve"> נאמר</w:t>
      </w:r>
      <w:bookmarkStart w:id="5362" w:name="_fnr4027"/>
      <w:r>
        <w:rPr>
          <w:vertAlign w:val="superscript"/>
          <w:rtl/>
        </w:rPr>
        <w:footnoteReference w:id="4037" w:customMarkFollows="0"/>
      </w:r>
      <w:bookmarkEnd w:id="5362"/>
      <w:r>
        <w:rPr>
          <w:rtl/>
        </w:rPr>
        <w:t xml:space="preserve"> שר׳ חיים </w:t>
      </w:r>
      <w:proofErr w:type="spellStart"/>
      <w:r>
        <w:rPr>
          <w:rtl/>
        </w:rPr>
        <w:t>סולובייצ׳יק</w:t>
      </w:r>
      <w:proofErr w:type="spellEnd"/>
      <w:r>
        <w:rPr>
          <w:rtl/>
        </w:rPr>
        <w:t xml:space="preserve"> “נבחר להיות ר״מ </w:t>
      </w:r>
      <w:proofErr w:type="spellStart"/>
      <w:r>
        <w:rPr>
          <w:rtl/>
        </w:rPr>
        <w:t>בוולוז׳ין</w:t>
      </w:r>
      <w:proofErr w:type="spellEnd"/>
      <w:r>
        <w:rPr>
          <w:rtl/>
        </w:rPr>
        <w:t xml:space="preserve"> בשנת תר״מ </w:t>
      </w:r>
      <w:r>
        <w:rPr>
          <w:b/>
          <w:bCs/>
          <w:rtl/>
        </w:rPr>
        <w:t>לערך</w:t>
      </w:r>
      <w:r>
        <w:rPr>
          <w:rtl/>
        </w:rPr>
        <w:t xml:space="preserve">” (ההדגשה שלי). במאמר על ר׳ חיים מוזכרים עוד שני תאריכים – שנת לידתו ושנת מינויו לרב </w:t>
      </w:r>
      <w:proofErr w:type="spellStart"/>
      <w:r>
        <w:rPr>
          <w:rtl/>
        </w:rPr>
        <w:t>בריסק</w:t>
      </w:r>
      <w:proofErr w:type="spellEnd"/>
      <w:r>
        <w:rPr>
          <w:rtl/>
        </w:rPr>
        <w:t xml:space="preserve"> – ואלה אינם אומדנים בלבד. ייתכן שר׳ חיים</w:t>
      </w:r>
      <w:bookmarkStart w:id="5363" w:name="_fnr4028"/>
      <w:r>
        <w:rPr>
          <w:vertAlign w:val="superscript"/>
          <w:rtl/>
        </w:rPr>
        <w:footnoteReference w:id="4038" w:customMarkFollows="0"/>
      </w:r>
      <w:bookmarkEnd w:id="5363"/>
      <w:r>
        <w:rPr>
          <w:rtl/>
        </w:rPr>
        <w:t xml:space="preserve"> לא היה בטוח כיצד לתאר את מעמדו בישיבה בתקופת הביניים, מאז שהתחיל למסור שיעורים </w:t>
      </w:r>
      <w:proofErr w:type="spellStart"/>
      <w:r>
        <w:rPr>
          <w:rtl/>
        </w:rPr>
        <w:t>בתר״מ</w:t>
      </w:r>
      <w:proofErr w:type="spellEnd"/>
      <w:r>
        <w:rPr>
          <w:rtl/>
        </w:rPr>
        <w:t xml:space="preserve"> ועד שחותנו, </w:t>
      </w:r>
      <w:proofErr w:type="spellStart"/>
      <w:r>
        <w:rPr>
          <w:rtl/>
        </w:rPr>
        <w:t>הר״מ</w:t>
      </w:r>
      <w:proofErr w:type="spellEnd"/>
      <w:r>
        <w:rPr>
          <w:rtl/>
        </w:rPr>
        <w:t xml:space="preserve"> שקדם לו, עזב את </w:t>
      </w:r>
      <w:proofErr w:type="spellStart"/>
      <w:r>
        <w:rPr>
          <w:rtl/>
        </w:rPr>
        <w:t>וולוז׳ין</w:t>
      </w:r>
      <w:proofErr w:type="spellEnd"/>
      <w:r>
        <w:rPr>
          <w:rtl/>
        </w:rPr>
        <w:t xml:space="preserve"> </w:t>
      </w:r>
      <w:proofErr w:type="spellStart"/>
      <w:r>
        <w:rPr>
          <w:rtl/>
        </w:rPr>
        <w:t>בתרמ״א</w:t>
      </w:r>
      <w:proofErr w:type="spellEnd"/>
      <w:r>
        <w:rPr>
          <w:rtl/>
        </w:rPr>
        <w:t>. משום כך ניסח את מועד מינויו “תר״מ לערך”.</w:t>
      </w:r>
    </w:p>
    <w:p w14:paraId="3060EE67" w14:textId="77777777" w:rsidR="00AB3647" w:rsidRDefault="00000000" w:rsidP="007923E9">
      <w:pPr>
        <w:spacing w:after="120" w:line="276" w:lineRule="auto"/>
        <w:ind w:firstLine="283"/>
        <w:jc w:val="both"/>
      </w:pPr>
      <w:r>
        <w:rPr>
          <w:rtl/>
        </w:rPr>
        <w:lastRenderedPageBreak/>
        <w:t xml:space="preserve">ראה בערל </w:t>
      </w:r>
      <w:proofErr w:type="spellStart"/>
      <w:r>
        <w:rPr>
          <w:rtl/>
        </w:rPr>
        <w:t>קגן</w:t>
      </w:r>
      <w:bookmarkStart w:id="5364" w:name="_fnr4029"/>
      <w:proofErr w:type="spellEnd"/>
      <w:r>
        <w:rPr>
          <w:vertAlign w:val="superscript"/>
          <w:rtl/>
        </w:rPr>
        <w:footnoteReference w:id="4039" w:customMarkFollows="0"/>
      </w:r>
      <w:bookmarkEnd w:id="5364"/>
      <w:r>
        <w:rPr>
          <w:rtl/>
        </w:rPr>
        <w:t xml:space="preserve"> על הכבוד הגדול שחלקה העיר </w:t>
      </w:r>
      <w:proofErr w:type="spellStart"/>
      <w:r>
        <w:rPr>
          <w:rtl/>
        </w:rPr>
        <w:t>נובו־אלכסנדרובסק</w:t>
      </w:r>
      <w:proofErr w:type="spellEnd"/>
      <w:r>
        <w:rPr>
          <w:rtl/>
        </w:rPr>
        <w:t xml:space="preserve"> לרבה, ר׳ לוי שפירא – כנראה מפני שגם הוא, כמו הרב החדש ר׳ רפאל, היה בנו של רבה של קובנה, האהוב על הכול, ר׳ </w:t>
      </w:r>
      <w:proofErr w:type="spellStart"/>
      <w:r>
        <w:rPr>
          <w:rtl/>
        </w:rPr>
        <w:t>לייבל׳ה</w:t>
      </w:r>
      <w:proofErr w:type="spellEnd"/>
      <w:r>
        <w:rPr>
          <w:rtl/>
        </w:rPr>
        <w:t xml:space="preserve"> שפירא.</w:t>
      </w:r>
      <w:bookmarkStart w:id="5365" w:name="_fnr4030"/>
      <w:r>
        <w:rPr>
          <w:vertAlign w:val="superscript"/>
          <w:rtl/>
        </w:rPr>
        <w:footnoteReference w:id="4040" w:customMarkFollows="0"/>
      </w:r>
      <w:bookmarkEnd w:id="5365"/>
    </w:p>
    <w:p w14:paraId="11A6BB24" w14:textId="77777777" w:rsidR="00AB3647" w:rsidRDefault="00000000" w:rsidP="007923E9">
      <w:pPr>
        <w:spacing w:after="120" w:line="276" w:lineRule="auto"/>
        <w:ind w:firstLine="283"/>
        <w:jc w:val="both"/>
      </w:pPr>
      <w:bookmarkStart w:id="5366" w:name="pr_b_2262"/>
      <w:bookmarkEnd w:id="5366"/>
      <w:r>
        <w:rPr>
          <w:rtl/>
        </w:rPr>
        <w:t xml:space="preserve">האמירה שצוטטה לעיל, שר׳ רפאל סיים את תקופת הוראתו </w:t>
      </w:r>
      <w:proofErr w:type="spellStart"/>
      <w:r>
        <w:rPr>
          <w:rtl/>
        </w:rPr>
        <w:t>בוולוז׳ין</w:t>
      </w:r>
      <w:proofErr w:type="spellEnd"/>
      <w:r>
        <w:rPr>
          <w:rtl/>
        </w:rPr>
        <w:t xml:space="preserve"> כשהגיע בערך למקום בש״ס שבו התחיל, טעונה הרחבה מסוימת. כידוע, השיעור </w:t>
      </w:r>
      <w:proofErr w:type="spellStart"/>
      <w:r>
        <w:rPr>
          <w:rtl/>
        </w:rPr>
        <w:t>בוולוז׳ין</w:t>
      </w:r>
      <w:proofErr w:type="spellEnd"/>
      <w:r>
        <w:rPr>
          <w:rtl/>
        </w:rPr>
        <w:t xml:space="preserve"> הקיף דף ליום, ולפי “</w:t>
      </w:r>
      <w:proofErr w:type="spellStart"/>
      <w:r>
        <w:rPr>
          <w:rtl/>
        </w:rPr>
        <w:t>מוולוז׳ין</w:t>
      </w:r>
      <w:proofErr w:type="spellEnd"/>
      <w:r>
        <w:rPr>
          <w:rtl/>
        </w:rPr>
        <w:t>”</w:t>
      </w:r>
      <w:bookmarkStart w:id="5367" w:name="_fnr4031"/>
      <w:r>
        <w:rPr>
          <w:vertAlign w:val="superscript"/>
          <w:rtl/>
        </w:rPr>
        <w:footnoteReference w:id="4041" w:customMarkFollows="0"/>
      </w:r>
      <w:bookmarkEnd w:id="5367"/>
      <w:r>
        <w:rPr>
          <w:rtl/>
        </w:rPr>
        <w:t xml:space="preserve"> לא נמסר שיעור בשבת, ביום טוב ובתשעה באב.</w:t>
      </w:r>
      <w:bookmarkStart w:id="5368" w:name="_fnr4032"/>
      <w:bookmarkStart w:id="5369" w:name="pr_f_3919"/>
      <w:r>
        <w:rPr>
          <w:vertAlign w:val="superscript"/>
          <w:rtl/>
        </w:rPr>
        <w:footnoteReference w:id="4042" w:customMarkFollows="0"/>
      </w:r>
      <w:bookmarkEnd w:id="5368"/>
      <w:bookmarkEnd w:id="5369"/>
      <w:r>
        <w:rPr>
          <w:rtl/>
        </w:rPr>
        <w:t xml:space="preserve"> ימי שישי הוקדשו ללימוד </w:t>
      </w:r>
      <w:proofErr w:type="spellStart"/>
      <w:r>
        <w:rPr>
          <w:rtl/>
        </w:rPr>
        <w:t>הרא״ש</w:t>
      </w:r>
      <w:proofErr w:type="spellEnd"/>
      <w:r>
        <w:rPr>
          <w:rtl/>
        </w:rPr>
        <w:t xml:space="preserve">. ר׳ רפאל, שהתחיל למסור שיעורים </w:t>
      </w:r>
      <w:proofErr w:type="spellStart"/>
      <w:r>
        <w:rPr>
          <w:rtl/>
        </w:rPr>
        <w:t>בתר״ל</w:t>
      </w:r>
      <w:proofErr w:type="spellEnd"/>
      <w:r>
        <w:rPr>
          <w:rtl/>
        </w:rPr>
        <w:t>,</w:t>
      </w:r>
      <w:bookmarkStart w:id="5370" w:name="_fnr4033"/>
      <w:r>
        <w:rPr>
          <w:vertAlign w:val="superscript"/>
          <w:rtl/>
        </w:rPr>
        <w:footnoteReference w:id="4043" w:customMarkFollows="0"/>
      </w:r>
      <w:bookmarkEnd w:id="5370"/>
      <w:r>
        <w:rPr>
          <w:rtl/>
        </w:rPr>
        <w:t xml:space="preserve"> היה זקוק לכעשר שנים כדי להשלים מחזור שלם של הש״ס (ואולי גם כמה מסכתות משנה מסדר טהרות).</w:t>
      </w:r>
    </w:p>
    <w:p w14:paraId="4465FFC3" w14:textId="77777777" w:rsidR="00AB3647" w:rsidRDefault="00000000" w:rsidP="007923E9">
      <w:pPr>
        <w:spacing w:after="120" w:line="276" w:lineRule="auto"/>
        <w:ind w:firstLine="283"/>
        <w:jc w:val="both"/>
      </w:pPr>
      <w:r>
        <w:rPr>
          <w:rtl/>
        </w:rPr>
        <w:t xml:space="preserve">אלא שמתעורר קושי מעדותו של הרב יצחק </w:t>
      </w:r>
      <w:proofErr w:type="spellStart"/>
      <w:r>
        <w:rPr>
          <w:rtl/>
        </w:rPr>
        <w:t>ניסנבוים</w:t>
      </w:r>
      <w:proofErr w:type="spellEnd"/>
      <w:r>
        <w:rPr>
          <w:rtl/>
        </w:rPr>
        <w:t xml:space="preserve">, הכותב </w:t>
      </w:r>
      <w:proofErr w:type="spellStart"/>
      <w:r>
        <w:rPr>
          <w:rtl/>
        </w:rPr>
        <w:t>ב“עלי</w:t>
      </w:r>
      <w:proofErr w:type="spellEnd"/>
      <w:r>
        <w:rPr>
          <w:rtl/>
        </w:rPr>
        <w:t xml:space="preserve"> </w:t>
      </w:r>
      <w:proofErr w:type="spellStart"/>
      <w:r>
        <w:rPr>
          <w:rtl/>
        </w:rPr>
        <w:t>חלדי</w:t>
      </w:r>
      <w:proofErr w:type="spellEnd"/>
      <w:r>
        <w:rPr>
          <w:rtl/>
        </w:rPr>
        <w:t>”</w:t>
      </w:r>
      <w:bookmarkStart w:id="5371" w:name="_fnr4034"/>
      <w:r>
        <w:rPr>
          <w:vertAlign w:val="superscript"/>
          <w:rtl/>
        </w:rPr>
        <w:footnoteReference w:id="4044" w:customMarkFollows="0"/>
      </w:r>
      <w:bookmarkEnd w:id="5371"/>
      <w:r>
        <w:rPr>
          <w:rtl/>
        </w:rPr>
        <w:t xml:space="preserve"> שכשהגיע </w:t>
      </w:r>
      <w:proofErr w:type="spellStart"/>
      <w:r>
        <w:rPr>
          <w:rtl/>
        </w:rPr>
        <w:t>לוולוז׳ין</w:t>
      </w:r>
      <w:proofErr w:type="spellEnd"/>
      <w:r>
        <w:rPr>
          <w:rtl/>
        </w:rPr>
        <w:t xml:space="preserve"> בתחילת זמן החורף של תרמ״ה, השיעורים היו במסכת סנהדרין – רק כ־430 דפים אחרי הפרק התשיעי </w:t>
      </w:r>
      <w:proofErr w:type="spellStart"/>
      <w:r>
        <w:rPr>
          <w:rtl/>
        </w:rPr>
        <w:t>בבבא</w:t>
      </w:r>
      <w:proofErr w:type="spellEnd"/>
      <w:r>
        <w:rPr>
          <w:rtl/>
        </w:rPr>
        <w:t xml:space="preserve"> קמא, “הגוזל עצים”. כיצד ייתכן שהישיבה הספיקה כה מעט בארבע השנים שחלפו מאז תום תקופתו של ר׳ רפאל? שאלה נוספת עולה מגילוי </w:t>
      </w:r>
      <w:proofErr w:type="spellStart"/>
      <w:r>
        <w:rPr>
          <w:rtl/>
        </w:rPr>
        <w:t>ב“מוולוז׳ין</w:t>
      </w:r>
      <w:proofErr w:type="spellEnd"/>
      <w:r>
        <w:rPr>
          <w:rtl/>
        </w:rPr>
        <w:t>”:</w:t>
      </w:r>
      <w:bookmarkStart w:id="5372" w:name="_fnr4035"/>
      <w:r>
        <w:rPr>
          <w:vertAlign w:val="superscript"/>
          <w:rtl/>
        </w:rPr>
        <w:footnoteReference w:id="4045" w:customMarkFollows="0"/>
      </w:r>
      <w:bookmarkEnd w:id="5372"/>
      <w:r>
        <w:rPr>
          <w:rtl/>
        </w:rPr>
        <w:t xml:space="preserve"> “פעם אחת, כשהשיעור סיים את סדר נזיקין והיה אמור להתחיל קדשים, הביעו תלמידים רבים את דעתם שרוב הישיבה אינו בקי בנושאי קדשים, ולכן יהיה קשה לשמוע את השיעורים. ראשי הישיבה החליטו להיענות לבקשה [המשתמעת], בלי לפגוע בתוכנית המסורתית של הישיבה. הוחלט לקיים שני שיעורים ביום: להתחיל שוב במסכת ברכות בשעת השיעור הרגילה, ולהמשיך בסדר קדשים בערבים.”</w:t>
      </w:r>
    </w:p>
    <w:p w14:paraId="1811B1B6" w14:textId="51A34473" w:rsidR="00AB3647" w:rsidRDefault="00000000" w:rsidP="007923E9">
      <w:pPr>
        <w:spacing w:after="120" w:line="276" w:lineRule="auto"/>
        <w:ind w:firstLine="283"/>
        <w:jc w:val="both"/>
      </w:pPr>
      <w:r>
        <w:rPr>
          <w:rtl/>
        </w:rPr>
        <w:t xml:space="preserve">אם מחזורו של ר׳ רפאל לא כלל את קדשים, היה מגיע הרבה מעבר לנקודת ההתחלה שלו בעשר שנות שיעוריו. אבל ייתכן שתלונת התלמידים באה דווקא כשר׳ חיים </w:t>
      </w:r>
      <w:proofErr w:type="spellStart"/>
      <w:r>
        <w:rPr>
          <w:rtl/>
        </w:rPr>
        <w:t>סולובייצ׳יק</w:t>
      </w:r>
      <w:proofErr w:type="spellEnd"/>
      <w:r>
        <w:rPr>
          <w:rtl/>
        </w:rPr>
        <w:t xml:space="preserve"> סיים את נזיקין, ואולי שיטתו האנליטית הייתה תובענית מדי ללימוד החלק הבלתי מוכר בש״ס. כלל לא ברור כמה זמן נמשך סדר זה של שני שיעורים ביום. ראה גם פרק 5, הערה </w:t>
      </w:r>
      <w:r>
        <w:rPr>
          <w:rtl/>
        </w:rPr>
        <w:fldChar w:fldCharType="begin" w:dirty="true"/>
      </w:r>
      <w:r>
        <w:rPr>
          <w:rtl/>
        </w:rPr>
        <w:instrText xml:space="preserve"> REF b5_note24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24</w:t>
      </w:r>
      <w:r>
        <w:rPr>
          <w:rtl/>
        </w:rPr>
        <w:fldChar w:fldCharType="end"/>
      </w:r>
      <w:r>
        <w:rPr>
          <w:rtl/>
        </w:rPr>
        <w:t>.</w:t>
      </w:r>
    </w:p>
    <w:p w14:paraId="79DB4CBC" w14:textId="77777777" w:rsidR="00AB3647" w:rsidRDefault="00000000" w:rsidP="007923E9">
      <w:pPr>
        <w:pStyle w:val="4"/>
        <w:spacing w:line="276" w:lineRule="auto"/>
      </w:pPr>
      <w:r>
        <w:t>· הפסקה החמישית ·</w:t>
      </w:r>
    </w:p>
    <w:p w14:paraId="6D1BBC49" w14:textId="77777777" w:rsidR="00AB3647" w:rsidRDefault="00000000" w:rsidP="007923E9">
      <w:pPr>
        <w:pStyle w:val="5"/>
        <w:spacing w:line="276" w:lineRule="auto"/>
      </w:pPr>
      <w:proofErr w:type="spellStart"/>
      <w:r>
        <w:rPr>
          <w:bCs/>
          <w:szCs w:val="26"/>
        </w:rPr>
        <w:t>הנצי״ב</w:t>
      </w:r>
      <w:proofErr w:type="spellEnd"/>
      <w:r>
        <w:rPr>
          <w:bCs/>
          <w:szCs w:val="26"/>
        </w:rPr>
        <w:t xml:space="preserve"> מפיץ את התיאור המוטעה של מי שעתיד להיות חתן נכדתו; התלמידים יודעים שר׳ חיים </w:t>
      </w:r>
      <w:proofErr w:type="spellStart"/>
      <w:r>
        <w:rPr>
          <w:bCs/>
          <w:szCs w:val="26"/>
        </w:rPr>
        <w:t>סולובייצ׳יק</w:t>
      </w:r>
      <w:proofErr w:type="spellEnd"/>
      <w:r>
        <w:rPr>
          <w:bCs/>
          <w:szCs w:val="26"/>
        </w:rPr>
        <w:t xml:space="preserve"> בקי בנעשה בעולם שמחוץ לישיבה; הוא נעשה המורה האהוב </w:t>
      </w:r>
      <w:proofErr w:type="spellStart"/>
      <w:r>
        <w:rPr>
          <w:bCs/>
          <w:szCs w:val="26"/>
        </w:rPr>
        <w:lastRenderedPageBreak/>
        <w:t>בוולוז׳ין</w:t>
      </w:r>
      <w:proofErr w:type="spellEnd"/>
      <w:r>
        <w:rPr>
          <w:bCs/>
          <w:szCs w:val="26"/>
        </w:rPr>
        <w:t>; שכלו המבריק ולבו הטהור של ראש ישיבה כרוכים זה בזה; ר׳ חיים חד הבחנה בהבנת אנשים; הוא חכם ביותר ורואה למרחוק.</w:t>
      </w:r>
    </w:p>
    <w:p w14:paraId="5C131D40" w14:textId="77777777" w:rsidR="00AB3647" w:rsidRDefault="00000000" w:rsidP="007923E9">
      <w:pPr>
        <w:spacing w:after="120" w:line="276" w:lineRule="auto"/>
        <w:ind w:firstLine="283"/>
        <w:jc w:val="both"/>
      </w:pPr>
      <w:proofErr w:type="spellStart"/>
      <w:r>
        <w:rPr>
          <w:rtl/>
        </w:rPr>
        <w:t>ה“בטלנות</w:t>
      </w:r>
      <w:proofErr w:type="spellEnd"/>
      <w:r>
        <w:rPr>
          <w:rtl/>
        </w:rPr>
        <w:t xml:space="preserve">” שיוחסה </w:t>
      </w:r>
      <w:proofErr w:type="spellStart"/>
      <w:r>
        <w:rPr>
          <w:rtl/>
        </w:rPr>
        <w:t>לר</w:t>
      </w:r>
      <w:proofErr w:type="spellEnd"/>
      <w:r>
        <w:rPr>
          <w:rtl/>
        </w:rPr>
        <w:t xml:space="preserve">׳ חיים הייתה רק למראית עין. לפי מה שסיפר נכדו ר׳ </w:t>
      </w:r>
      <w:proofErr w:type="spellStart"/>
      <w:r>
        <w:rPr>
          <w:rtl/>
        </w:rPr>
        <w:t>משולם־דוד</w:t>
      </w:r>
      <w:proofErr w:type="spellEnd"/>
      <w:r>
        <w:rPr>
          <w:rtl/>
        </w:rPr>
        <w:t xml:space="preserve"> </w:t>
      </w:r>
      <w:proofErr w:type="spellStart"/>
      <w:r>
        <w:rPr>
          <w:rtl/>
        </w:rPr>
        <w:t>סולובייצ׳יק</w:t>
      </w:r>
      <w:proofErr w:type="spellEnd"/>
      <w:r>
        <w:rPr>
          <w:rtl/>
        </w:rPr>
        <w:t xml:space="preserve"> לתלמידיו,</w:t>
      </w:r>
      <w:bookmarkStart w:id="5373" w:name="_fnr4036"/>
      <w:r>
        <w:rPr>
          <w:vertAlign w:val="superscript"/>
          <w:rtl/>
        </w:rPr>
        <w:footnoteReference w:id="4046" w:customMarkFollows="0"/>
      </w:r>
      <w:bookmarkEnd w:id="5373"/>
      <w:r>
        <w:rPr>
          <w:rtl/>
        </w:rPr>
        <w:t xml:space="preserve"> עשור קודם לכן עודד </w:t>
      </w:r>
      <w:proofErr w:type="spellStart"/>
      <w:r>
        <w:rPr>
          <w:rtl/>
        </w:rPr>
        <w:t>הנצי״ב</w:t>
      </w:r>
      <w:proofErr w:type="spellEnd"/>
      <w:r>
        <w:rPr>
          <w:rtl/>
        </w:rPr>
        <w:t xml:space="preserve"> את הציבור לראות בר׳ חיים בטלן – רושם מוטעה. </w:t>
      </w:r>
      <w:proofErr w:type="spellStart"/>
      <w:r>
        <w:rPr>
          <w:rtl/>
        </w:rPr>
        <w:t>הנצי״ב</w:t>
      </w:r>
      <w:proofErr w:type="spellEnd"/>
      <w:r>
        <w:rPr>
          <w:rtl/>
        </w:rPr>
        <w:t xml:space="preserve"> רצה שנכדתו </w:t>
      </w:r>
      <w:proofErr w:type="spellStart"/>
      <w:r>
        <w:rPr>
          <w:rtl/>
        </w:rPr>
        <w:t>ליפשה</w:t>
      </w:r>
      <w:proofErr w:type="spellEnd"/>
      <w:r>
        <w:rPr>
          <w:rtl/>
        </w:rPr>
        <w:t>, הצעירה מר׳ חיים בשנתיים, תינשא לו בבוא היום, וחשש שאיזה עשיר “יחטוף” אותו קודם. לכן הורה למשולחי הישיבה</w:t>
      </w:r>
      <w:bookmarkStart w:id="5374" w:name="_fnr4037"/>
      <w:r>
        <w:rPr>
          <w:vertAlign w:val="superscript"/>
          <w:rtl/>
        </w:rPr>
        <w:footnoteReference w:id="4047" w:customMarkFollows="0"/>
      </w:r>
      <w:bookmarkEnd w:id="5374"/>
      <w:r>
        <w:rPr>
          <w:rtl/>
        </w:rPr>
        <w:t xml:space="preserve"> שבכל פעם שישאלו אותם כיצד מתפתח בנו של ר׳ יוסף־דב, המשנה לשעבר לראש הישיבה, ידגישו את בטלנותו של הצעיר – תכונה שתרחיק ממנו במיוחד עשירים המחפשים חתן.</w:t>
      </w:r>
    </w:p>
    <w:p w14:paraId="64560D45" w14:textId="77777777" w:rsidR="00AB3647" w:rsidRDefault="00000000" w:rsidP="007923E9">
      <w:pPr>
        <w:spacing w:after="120" w:line="276" w:lineRule="auto"/>
        <w:ind w:firstLine="283"/>
        <w:jc w:val="both"/>
      </w:pPr>
      <w:r>
        <w:rPr>
          <w:rtl/>
        </w:rPr>
        <w:t xml:space="preserve">ר׳ </w:t>
      </w:r>
      <w:proofErr w:type="spellStart"/>
      <w:r>
        <w:rPr>
          <w:rtl/>
        </w:rPr>
        <w:t>משולם־דוד</w:t>
      </w:r>
      <w:proofErr w:type="spellEnd"/>
      <w:r>
        <w:rPr>
          <w:rtl/>
        </w:rPr>
        <w:t xml:space="preserve"> סיפר סיפור זה כדי להסביר מדוע כינה </w:t>
      </w:r>
      <w:proofErr w:type="spellStart"/>
      <w:r>
        <w:rPr>
          <w:rtl/>
        </w:rPr>
        <w:t>הנצי״ב</w:t>
      </w:r>
      <w:proofErr w:type="spellEnd"/>
      <w:r>
        <w:rPr>
          <w:rtl/>
        </w:rPr>
        <w:t xml:space="preserve"> את ר׳ חיים “חתני” בתשובה שנדפסה לימים </w:t>
      </w:r>
      <w:proofErr w:type="spellStart"/>
      <w:r>
        <w:rPr>
          <w:rtl/>
        </w:rPr>
        <w:t>ב“שו״ת</w:t>
      </w:r>
      <w:proofErr w:type="spellEnd"/>
      <w:r>
        <w:rPr>
          <w:rtl/>
        </w:rPr>
        <w:t xml:space="preserve"> גינת הביתן”,</w:t>
      </w:r>
      <w:bookmarkStart w:id="5375" w:name="_fnr4038"/>
      <w:r>
        <w:rPr>
          <w:vertAlign w:val="superscript"/>
          <w:rtl/>
        </w:rPr>
        <w:footnoteReference w:id="4048" w:customMarkFollows="0"/>
      </w:r>
      <w:bookmarkEnd w:id="5375"/>
      <w:r>
        <w:rPr>
          <w:rtl/>
        </w:rPr>
        <w:t xml:space="preserve"> אף שלמעשה היה ר׳ חיים חתנו של חתן </w:t>
      </w:r>
      <w:proofErr w:type="spellStart"/>
      <w:r>
        <w:rPr>
          <w:rtl/>
        </w:rPr>
        <w:t>הנצי״ב</w:t>
      </w:r>
      <w:proofErr w:type="spellEnd"/>
      <w:r>
        <w:rPr>
          <w:rtl/>
        </w:rPr>
        <w:t xml:space="preserve">, ר׳ רפאל שפירא. </w:t>
      </w:r>
      <w:proofErr w:type="spellStart"/>
      <w:r>
        <w:rPr>
          <w:rtl/>
        </w:rPr>
        <w:t>הנצי״ב</w:t>
      </w:r>
      <w:proofErr w:type="spellEnd"/>
      <w:r>
        <w:rPr>
          <w:rtl/>
        </w:rPr>
        <w:t xml:space="preserve"> הרגיש שהוא שדאג לכך שנכדתו תינשא </w:t>
      </w:r>
      <w:proofErr w:type="spellStart"/>
      <w:r>
        <w:rPr>
          <w:rtl/>
        </w:rPr>
        <w:t>לר</w:t>
      </w:r>
      <w:proofErr w:type="spellEnd"/>
      <w:r>
        <w:rPr>
          <w:rtl/>
        </w:rPr>
        <w:t>׳ חיים, כשמלאו לו עשרים, ולכן ראה בו חתן שלו. השווה “הראשון”,</w:t>
      </w:r>
      <w:bookmarkStart w:id="5376" w:name="_fnr4039"/>
      <w:r>
        <w:rPr>
          <w:vertAlign w:val="superscript"/>
          <w:rtl/>
        </w:rPr>
        <w:footnoteReference w:id="4049" w:customMarkFollows="0"/>
      </w:r>
      <w:bookmarkEnd w:id="5376"/>
      <w:r>
        <w:rPr>
          <w:rtl/>
        </w:rPr>
        <w:t xml:space="preserve"> המייחס – כמו “</w:t>
      </w:r>
      <w:proofErr w:type="spellStart"/>
      <w:r>
        <w:rPr>
          <w:rtl/>
        </w:rPr>
        <w:t>מוולוז׳ין</w:t>
      </w:r>
      <w:proofErr w:type="spellEnd"/>
      <w:r>
        <w:rPr>
          <w:rtl/>
        </w:rPr>
        <w:t>”</w:t>
      </w:r>
      <w:bookmarkStart w:id="5377" w:name="_fnr4040"/>
      <w:r>
        <w:rPr>
          <w:vertAlign w:val="superscript"/>
          <w:rtl/>
        </w:rPr>
        <w:footnoteReference w:id="4050" w:customMarkFollows="0"/>
      </w:r>
      <w:bookmarkEnd w:id="5377"/>
      <w:r>
        <w:rPr>
          <w:rtl/>
        </w:rPr>
        <w:t xml:space="preserve"> – את הכינוי הלא מדויק לכך שהכלה גדלה בבית סבה. אבל לפי “הראשון”, כשנדונה השאלה מי ילווה את הכלה לחופה, טען </w:t>
      </w:r>
      <w:proofErr w:type="spellStart"/>
      <w:r>
        <w:rPr>
          <w:rtl/>
        </w:rPr>
        <w:t>הנצי״ב</w:t>
      </w:r>
      <w:proofErr w:type="spellEnd"/>
      <w:r>
        <w:rPr>
          <w:rtl/>
        </w:rPr>
        <w:t xml:space="preserve"> דווקא נגד הנימוק שהיא גדלה בבית סבה,</w:t>
      </w:r>
      <w:bookmarkStart w:id="5378" w:name="_fnr4041"/>
      <w:r>
        <w:rPr>
          <w:vertAlign w:val="superscript"/>
          <w:rtl/>
        </w:rPr>
        <w:footnoteReference w:id="4051" w:customMarkFollows="0"/>
      </w:r>
      <w:bookmarkEnd w:id="5378"/>
      <w:r>
        <w:rPr>
          <w:rtl/>
        </w:rPr>
        <w:t xml:space="preserve"> ולכן קשה להסביר בטעם זה את הכינוי “חתני”.</w:t>
      </w:r>
    </w:p>
    <w:p w14:paraId="5447F4EB" w14:textId="77777777" w:rsidR="00AB3647" w:rsidRDefault="00000000" w:rsidP="007923E9">
      <w:pPr>
        <w:spacing w:after="120" w:line="276" w:lineRule="auto"/>
        <w:ind w:firstLine="283"/>
        <w:jc w:val="both"/>
      </w:pPr>
      <w:r>
        <w:rPr>
          <w:rtl/>
        </w:rPr>
        <w:t xml:space="preserve">אבל בשנות כהונתו המאוחרות לא ראו התלמידים את ר׳ חיים כבטלן כלל. אבא </w:t>
      </w:r>
      <w:proofErr w:type="spellStart"/>
      <w:r>
        <w:rPr>
          <w:rtl/>
        </w:rPr>
        <w:t>בלושר</w:t>
      </w:r>
      <w:proofErr w:type="spellEnd"/>
      <w:r>
        <w:rPr>
          <w:rtl/>
        </w:rPr>
        <w:t xml:space="preserve">, שהיה תלמיד בשנה האחרונה לקיומה של הישיבה, מתאר את ר׳ חיים במאמרו </w:t>
      </w:r>
      <w:proofErr w:type="spellStart"/>
      <w:r>
        <w:rPr>
          <w:rtl/>
        </w:rPr>
        <w:t>ב“מאזנים</w:t>
      </w:r>
      <w:proofErr w:type="spellEnd"/>
      <w:r>
        <w:rPr>
          <w:rtl/>
        </w:rPr>
        <w:t>”</w:t>
      </w:r>
      <w:bookmarkStart w:id="5379" w:name="_fnr4042"/>
      <w:r>
        <w:rPr>
          <w:vertAlign w:val="superscript"/>
          <w:rtl/>
        </w:rPr>
        <w:footnoteReference w:id="4052" w:customMarkFollows="0"/>
      </w:r>
      <w:bookmarkEnd w:id="5379"/>
      <w:r>
        <w:rPr>
          <w:rtl/>
        </w:rPr>
        <w:t xml:space="preserve"> כך: “בעיני הזרים, שלא באו עמו במגע והביטו בו רק מרחוק, נראה ר׳ חיים מכונס בעצמו, בלתי מעשי ובורח מן החברה – כאילו אין בעולמו אלא תורה, ושום דבר מענייני העולם. אבל הם טעו. טעותם נבעה מסימנים חיצוניים שהותירו מקום לטעות והחשידוהו במה שלא היה בו: חותם פיזור הדעת שהיה טבוע בפניו והרפיון בהליכתו. אבל לכל מי שהיה בקרבתו היה ברור וידוע שהוא מעורב בין הבריות ואוהב את שיחתן. הוא היה פיקח בהוויות העולם, וידע להסביר עניין של חול בטעם נעים, להטעים ולהדגיש כל שורה וכל נקודה בסיפור שסיפר. ולשיחה נעימה ידע לתת את המגיע לה.”</w:t>
      </w:r>
    </w:p>
    <w:p w14:paraId="678BC7F1" w14:textId="77777777" w:rsidR="00AB3647" w:rsidRDefault="00000000" w:rsidP="007923E9">
      <w:pPr>
        <w:spacing w:after="120" w:line="276" w:lineRule="auto"/>
        <w:ind w:firstLine="283"/>
        <w:jc w:val="both"/>
      </w:pPr>
      <w:r>
        <w:rPr>
          <w:rtl/>
        </w:rPr>
        <w:lastRenderedPageBreak/>
        <w:t xml:space="preserve">בר </w:t>
      </w:r>
      <w:proofErr w:type="spellStart"/>
      <w:r>
        <w:rPr>
          <w:rtl/>
        </w:rPr>
        <w:t>בי־רב</w:t>
      </w:r>
      <w:proofErr w:type="spellEnd"/>
      <w:r>
        <w:rPr>
          <w:rtl/>
        </w:rPr>
        <w:t xml:space="preserve"> מסכים: “מלבד היותו איש גדול בתורה ובמידות, [ר׳ חיים] גם ‘בקי </w:t>
      </w:r>
      <w:proofErr w:type="spellStart"/>
      <w:r>
        <w:rPr>
          <w:rtl/>
        </w:rPr>
        <w:t>בהויות</w:t>
      </w:r>
      <w:proofErr w:type="spellEnd"/>
      <w:r>
        <w:rPr>
          <w:rtl/>
        </w:rPr>
        <w:t xml:space="preserve"> העולם’.” </w:t>
      </w:r>
      <w:proofErr w:type="spellStart"/>
      <w:r>
        <w:rPr>
          <w:rtl/>
        </w:rPr>
        <w:t>ב“זכרון</w:t>
      </w:r>
      <w:proofErr w:type="spellEnd"/>
      <w:r>
        <w:rPr>
          <w:rtl/>
        </w:rPr>
        <w:t xml:space="preserve"> לאחרונים”</w:t>
      </w:r>
      <w:bookmarkStart w:id="5380" w:name="_fnr4043"/>
      <w:r>
        <w:rPr>
          <w:vertAlign w:val="superscript"/>
          <w:rtl/>
        </w:rPr>
        <w:footnoteReference w:id="4053" w:customMarkFollows="0"/>
      </w:r>
      <w:bookmarkEnd w:id="5380"/>
      <w:r>
        <w:rPr>
          <w:rtl/>
        </w:rPr>
        <w:t xml:space="preserve"> יש אף טענה שר׳ חיים קרא בסתר את “המליץ” המשכילי.</w:t>
      </w:r>
      <w:bookmarkStart w:id="5381" w:name="_fnr4044"/>
      <w:r>
        <w:rPr>
          <w:vertAlign w:val="superscript"/>
          <w:rtl/>
        </w:rPr>
        <w:footnoteReference w:id="4054" w:customMarkFollows="0"/>
      </w:r>
      <w:bookmarkEnd w:id="5381"/>
    </w:p>
    <w:p w14:paraId="788249F4" w14:textId="77777777" w:rsidR="00AB3647" w:rsidRDefault="00000000" w:rsidP="007923E9">
      <w:pPr>
        <w:spacing w:after="120" w:line="276" w:lineRule="auto"/>
        <w:ind w:firstLine="283"/>
        <w:jc w:val="both"/>
      </w:pPr>
      <w:r>
        <w:rPr>
          <w:rtl/>
        </w:rPr>
        <w:t xml:space="preserve">אגב, בר </w:t>
      </w:r>
      <w:proofErr w:type="spellStart"/>
      <w:r>
        <w:rPr>
          <w:rtl/>
        </w:rPr>
        <w:t>בי־רב</w:t>
      </w:r>
      <w:proofErr w:type="spellEnd"/>
      <w:r>
        <w:rPr>
          <w:rtl/>
        </w:rPr>
        <w:t xml:space="preserve"> [ברדיצ׳בסקי] חושף את שורשי סגירתה העתידית של </w:t>
      </w:r>
      <w:proofErr w:type="spellStart"/>
      <w:r>
        <w:rPr>
          <w:rtl/>
        </w:rPr>
        <w:t>וולוז׳ין</w:t>
      </w:r>
      <w:proofErr w:type="spellEnd"/>
      <w:r>
        <w:rPr>
          <w:rtl/>
        </w:rPr>
        <w:t xml:space="preserve">, כשהוא מגלה </w:t>
      </w:r>
      <w:proofErr w:type="spellStart"/>
      <w:r>
        <w:rPr>
          <w:rtl/>
        </w:rPr>
        <w:t>ש“בימים</w:t>
      </w:r>
      <w:proofErr w:type="spellEnd"/>
      <w:r>
        <w:rPr>
          <w:rtl/>
        </w:rPr>
        <w:t xml:space="preserve"> האחרונים [לפני כתיבת מאמרו, כלומר בזמן החורף של תרמ״ה]” חדלו התלמידים לבוא לשיעור </w:t>
      </w:r>
      <w:proofErr w:type="spellStart"/>
      <w:r>
        <w:rPr>
          <w:rtl/>
        </w:rPr>
        <w:t>הנצי״ב</w:t>
      </w:r>
      <w:proofErr w:type="spellEnd"/>
      <w:r>
        <w:rPr>
          <w:rtl/>
        </w:rPr>
        <w:t xml:space="preserve"> מפני </w:t>
      </w:r>
      <w:proofErr w:type="spellStart"/>
      <w:r>
        <w:rPr>
          <w:rtl/>
        </w:rPr>
        <w:t>ש“שיטת</w:t>
      </w:r>
      <w:proofErr w:type="spellEnd"/>
      <w:r>
        <w:rPr>
          <w:rtl/>
        </w:rPr>
        <w:t xml:space="preserve"> לימודו התיישנה”, ואילו שיעורו של ר׳ חיים הלך ונעשה אהוד יותר. כששאלת הירושה עלתה כעבור חמש שנים, הועדף ר׳ חיים על פני מועמדו של </w:t>
      </w:r>
      <w:proofErr w:type="spellStart"/>
      <w:r>
        <w:rPr>
          <w:rtl/>
        </w:rPr>
        <w:t>הנצי״ב</w:t>
      </w:r>
      <w:proofErr w:type="spellEnd"/>
      <w:r>
        <w:rPr>
          <w:rtl/>
        </w:rPr>
        <w:t>.</w:t>
      </w:r>
      <w:bookmarkStart w:id="5382" w:name="_fnr4045"/>
      <w:r>
        <w:rPr>
          <w:vertAlign w:val="superscript"/>
          <w:rtl/>
        </w:rPr>
        <w:footnoteReference w:id="4055" w:customMarkFollows="0"/>
      </w:r>
      <w:bookmarkEnd w:id="5382"/>
    </w:p>
    <w:p w14:paraId="395C1AF0" w14:textId="77777777" w:rsidR="00AB3647" w:rsidRDefault="00000000" w:rsidP="007923E9">
      <w:pPr>
        <w:spacing w:after="120" w:line="276" w:lineRule="auto"/>
        <w:ind w:firstLine="283"/>
        <w:jc w:val="both"/>
      </w:pPr>
      <w:r>
        <w:rPr>
          <w:rtl/>
        </w:rPr>
        <w:t xml:space="preserve">ראה גם זיכרונותיו של </w:t>
      </w:r>
      <w:proofErr w:type="spellStart"/>
      <w:r>
        <w:rPr>
          <w:rtl/>
        </w:rPr>
        <w:t>יהושע־לייב</w:t>
      </w:r>
      <w:proofErr w:type="spellEnd"/>
      <w:r>
        <w:rPr>
          <w:rtl/>
        </w:rPr>
        <w:t xml:space="preserve"> </w:t>
      </w:r>
      <w:proofErr w:type="spellStart"/>
      <w:r>
        <w:rPr>
          <w:rtl/>
        </w:rPr>
        <w:t>ראדוס</w:t>
      </w:r>
      <w:proofErr w:type="spellEnd"/>
      <w:r>
        <w:rPr>
          <w:rtl/>
        </w:rPr>
        <w:t>,</w:t>
      </w:r>
      <w:bookmarkStart w:id="5383" w:name="_fnr4046"/>
      <w:r>
        <w:rPr>
          <w:vertAlign w:val="superscript"/>
          <w:rtl/>
        </w:rPr>
        <w:footnoteReference w:id="4056" w:customMarkFollows="0"/>
      </w:r>
      <w:bookmarkEnd w:id="5383"/>
      <w:r>
        <w:rPr>
          <w:rtl/>
        </w:rPr>
        <w:t xml:space="preserve"> ובהם תיאור מעולה של הבדלי האופי שנתפסו בין </w:t>
      </w:r>
      <w:proofErr w:type="spellStart"/>
      <w:r>
        <w:rPr>
          <w:rtl/>
        </w:rPr>
        <w:t>הנצי״ב</w:t>
      </w:r>
      <w:proofErr w:type="spellEnd"/>
      <w:r>
        <w:rPr>
          <w:rtl/>
        </w:rPr>
        <w:t xml:space="preserve"> לבין ר׳ חיים, ושל יחס התלמידים אליהם, במילים אלה: “שני ראשי הישיבה נבדלו זה מזה מבחינות רבות, והיה מרחק רב בין הופעתם ומנהגיהם, אף ששניהם נחשבו לגאוני הדור. בעוד הראשון [</w:t>
      </w:r>
      <w:proofErr w:type="spellStart"/>
      <w:r>
        <w:rPr>
          <w:rtl/>
        </w:rPr>
        <w:t>הנצי״ב</w:t>
      </w:r>
      <w:proofErr w:type="spellEnd"/>
      <w:r>
        <w:rPr>
          <w:rtl/>
        </w:rPr>
        <w:t xml:space="preserve">] הצטיין בבקיאות, הצטיין השני [ר׳ חיים </w:t>
      </w:r>
      <w:proofErr w:type="spellStart"/>
      <w:r>
        <w:rPr>
          <w:rtl/>
        </w:rPr>
        <w:t>סולובייצ׳יק</w:t>
      </w:r>
      <w:proofErr w:type="spellEnd"/>
      <w:r>
        <w:rPr>
          <w:rtl/>
        </w:rPr>
        <w:t xml:space="preserve">] בחריפות. ובעוד הראשון, במסירת השיעור, היה חודר לעומק הדין ולעומק ההלכה, כאיש פשט שהיה מבאר ומסביר כל עניין במקומו בהסבר דק כל כך שלא נותר מקום להתפארות של חוקר או לשאלות ותשובות – השני היה הפכו: הוא דילג על דף הגמרא, שקרא בזריזות ובחיפזון, כמי שאומר ‘אשרי’ בשטף, </w:t>
      </w:r>
      <w:r>
        <w:rPr>
          <w:b/>
          <w:bCs/>
          <w:rtl/>
        </w:rPr>
        <w:t>והראה את כוחו ועוצמתו בפלפול שמסר בכל שיעור</w:t>
      </w:r>
      <w:r>
        <w:rPr>
          <w:rtl/>
        </w:rPr>
        <w:t xml:space="preserve"> (ההדגשה שלי).</w:t>
      </w:r>
      <w:bookmarkStart w:id="5384" w:name="_fnr4047"/>
      <w:r>
        <w:rPr>
          <w:vertAlign w:val="superscript"/>
          <w:rtl/>
        </w:rPr>
        <w:footnoteReference w:id="4057" w:customMarkFollows="0"/>
      </w:r>
      <w:bookmarkEnd w:id="5384"/>
      <w:r>
        <w:rPr>
          <w:rtl/>
        </w:rPr>
        <w:t xml:space="preserve"> בפלפולו של ר׳ חיים פגשו בני הישיבה את זריזותו וכושר המצאתו, שהפליאו את השומעים. כשם שנבדלו </w:t>
      </w:r>
      <w:proofErr w:type="spellStart"/>
      <w:r>
        <w:rPr>
          <w:rtl/>
        </w:rPr>
        <w:t>הנצי״ב</w:t>
      </w:r>
      <w:proofErr w:type="spellEnd"/>
      <w:r>
        <w:rPr>
          <w:rtl/>
        </w:rPr>
        <w:t xml:space="preserve"> והוא בכישרונותיהם, כך נבדלו במידותיהם. בעוד הראשון היה תקיף, חסר רחמים, קשה עורף, נוקם ונוטר כתלמיד חכם,</w:t>
      </w:r>
      <w:bookmarkStart w:id="5385" w:name="_fnr4048"/>
      <w:r>
        <w:rPr>
          <w:vertAlign w:val="superscript"/>
          <w:rtl/>
        </w:rPr>
        <w:footnoteReference w:id="4058" w:customMarkFollows="0"/>
      </w:r>
      <w:bookmarkEnd w:id="5385"/>
      <w:r>
        <w:rPr>
          <w:rtl/>
        </w:rPr>
        <w:t xml:space="preserve"> קפדן הדואג לכבודו ושליט בלא סייג – השני היה רך, נעים לבריות ועניו, והיה מהלך עם בני הישיבה כאחד מהם. את הראשון כיבדו מיראה, ואת השני מאהבה. כשהראשון הופיע בישיבה כדי למסור את שיעורו, איש לא זז ממקומו עד שהיכו בשולחן לאות שהגיעה שעת השיעור; אבל אצל השני, מיד כשהופיע בפתח הישיבה, היכו כל התלמידים בידיהם על שולחנותיהם לאות </w:t>
      </w:r>
      <w:proofErr w:type="spellStart"/>
      <w:r>
        <w:rPr>
          <w:rtl/>
        </w:rPr>
        <w:t>ש׳ר</w:t>
      </w:r>
      <w:proofErr w:type="spellEnd"/>
      <w:r>
        <w:rPr>
          <w:rtl/>
        </w:rPr>
        <w:t xml:space="preserve">׳ </w:t>
      </w:r>
      <w:proofErr w:type="spellStart"/>
      <w:r>
        <w:rPr>
          <w:rtl/>
        </w:rPr>
        <w:t>חיים׳קה</w:t>
      </w:r>
      <w:proofErr w:type="spellEnd"/>
      <w:r>
        <w:rPr>
          <w:rtl/>
        </w:rPr>
        <w:t>’ הגיע. כך הראו את האהבה שרחשו לו.”</w:t>
      </w:r>
    </w:p>
    <w:p w14:paraId="1D82486C" w14:textId="77777777" w:rsidR="00AB3647" w:rsidRDefault="00000000" w:rsidP="007923E9">
      <w:pPr>
        <w:spacing w:after="120" w:line="276" w:lineRule="auto"/>
        <w:ind w:firstLine="283"/>
        <w:jc w:val="both"/>
      </w:pPr>
      <w:r>
        <w:rPr>
          <w:rtl/>
        </w:rPr>
        <w:t>באשר להעדפתם הכללית של התלמידים את שיעורו של ר׳ חיים, יש להדגיש שהוא בשום אופן לא ניסה לעודד אותה. “אישים ושיטות”</w:t>
      </w:r>
      <w:bookmarkStart w:id="5386" w:name="_fnr4049"/>
      <w:r>
        <w:rPr>
          <w:vertAlign w:val="superscript"/>
          <w:rtl/>
        </w:rPr>
        <w:footnoteReference w:id="4059" w:customMarkFollows="0"/>
      </w:r>
      <w:bookmarkEnd w:id="5386"/>
      <w:r>
        <w:rPr>
          <w:rtl/>
        </w:rPr>
        <w:t xml:space="preserve"> מספר: “פעם אחת, כשחש שכמה מן </w:t>
      </w:r>
      <w:r>
        <w:rPr>
          <w:rtl/>
        </w:rPr>
        <w:lastRenderedPageBreak/>
        <w:t xml:space="preserve">התלמידים מעדיפים את שיעוריו על פני [שיעורי </w:t>
      </w:r>
      <w:proofErr w:type="spellStart"/>
      <w:r>
        <w:rPr>
          <w:rtl/>
        </w:rPr>
        <w:t>הנצי״ב</w:t>
      </w:r>
      <w:proofErr w:type="spellEnd"/>
      <w:r>
        <w:rPr>
          <w:rtl/>
        </w:rPr>
        <w:t xml:space="preserve">], שתק עד שביקשו ממנו [התלמידים] לומר חידוש. אז אמר להם דבר עם הסבר ‘מסוגו של ר׳ חיים’, והם התלהבו ממנו... אחר כך אמר ר׳ חיים: ‘זה אינו חידוש שלי, אלא של סב אשתי </w:t>
      </w:r>
      <w:proofErr w:type="spellStart"/>
      <w:r>
        <w:rPr>
          <w:rtl/>
        </w:rPr>
        <w:t>הנצי״ב</w:t>
      </w:r>
      <w:proofErr w:type="spellEnd"/>
      <w:r>
        <w:rPr>
          <w:rtl/>
        </w:rPr>
        <w:t xml:space="preserve"> בספרו’, והוציא את ‘העמק שאלה’ והראה להם את הדברים בפנים.”</w:t>
      </w:r>
    </w:p>
    <w:p w14:paraId="2A212BE8" w14:textId="77777777" w:rsidR="00AB3647" w:rsidRDefault="00000000" w:rsidP="007923E9">
      <w:pPr>
        <w:spacing w:after="120" w:line="276" w:lineRule="auto"/>
        <w:ind w:firstLine="283"/>
        <w:jc w:val="both"/>
      </w:pPr>
      <w:r>
        <w:rPr>
          <w:rtl/>
        </w:rPr>
        <w:t>אין להפריד בין ההעדפה לשיעורי ר׳ חיים לבין ההערצה למידותיו. ראה אדלשטיין</w:t>
      </w:r>
      <w:bookmarkStart w:id="5387" w:name="_fnr4050"/>
      <w:r>
        <w:rPr>
          <w:vertAlign w:val="superscript"/>
          <w:rtl/>
        </w:rPr>
        <w:footnoteReference w:id="4060" w:customMarkFollows="0"/>
      </w:r>
      <w:bookmarkEnd w:id="5387"/>
      <w:r>
        <w:rPr>
          <w:rtl/>
        </w:rPr>
        <w:t xml:space="preserve">, המצטט “סופר מחונן” שתיאר את הישיבה כמו שהייתה בימי ר׳ חיים </w:t>
      </w:r>
      <w:proofErr w:type="spellStart"/>
      <w:r>
        <w:rPr>
          <w:rtl/>
        </w:rPr>
        <w:t>מוולוז׳ין</w:t>
      </w:r>
      <w:proofErr w:type="spellEnd"/>
      <w:r>
        <w:rPr>
          <w:rtl/>
        </w:rPr>
        <w:t xml:space="preserve">: “בני הישיבה לא ידעו היכן </w:t>
      </w:r>
      <w:r>
        <w:rPr>
          <w:b/>
          <w:bCs/>
          <w:rtl/>
        </w:rPr>
        <w:t>כוחו</w:t>
      </w:r>
      <w:r>
        <w:rPr>
          <w:rtl/>
        </w:rPr>
        <w:t xml:space="preserve"> (ההדגשה שלי) של ר׳ חיים גדול יותר: בשכלו המבריק או </w:t>
      </w:r>
      <w:proofErr w:type="spellStart"/>
      <w:r>
        <w:rPr>
          <w:rtl/>
        </w:rPr>
        <w:t>בלבו</w:t>
      </w:r>
      <w:proofErr w:type="spellEnd"/>
      <w:r>
        <w:rPr>
          <w:rtl/>
        </w:rPr>
        <w:t xml:space="preserve"> הטהור, בחריפות לימודו או באהבתו לבריות. בישיבה היו הבחורים מונים ממש כל צעד שלו ושותים בצמא את דבריו. כשפרצה סופת שלגים בליל חורף, קם ר׳ חיים לפני עלות השחר לטאטא את הרחובות המכוסים בשלג, כדי להקל על בני הישיבה למצוא את דרכם באור הבוקר.”</w:t>
      </w:r>
    </w:p>
    <w:p w14:paraId="559E207F" w14:textId="7F85C604" w:rsidR="00AB3647" w:rsidRDefault="00000000" w:rsidP="007923E9">
      <w:pPr>
        <w:spacing w:after="120" w:line="276" w:lineRule="auto"/>
        <w:ind w:firstLine="283"/>
        <w:jc w:val="both"/>
      </w:pPr>
      <w:proofErr w:type="spellStart"/>
      <w:r>
        <w:rPr>
          <w:rtl/>
        </w:rPr>
        <w:t>ב“כוח</w:t>
      </w:r>
      <w:proofErr w:type="spellEnd"/>
      <w:r>
        <w:rPr>
          <w:rtl/>
        </w:rPr>
        <w:t xml:space="preserve">” הרב מתכוון הכותב האלמוני ליכולתו של ר׳ חיים </w:t>
      </w:r>
      <w:proofErr w:type="spellStart"/>
      <w:r>
        <w:rPr>
          <w:rtl/>
        </w:rPr>
        <w:t>מוולוז׳ין</w:t>
      </w:r>
      <w:proofErr w:type="spellEnd"/>
      <w:r>
        <w:rPr>
          <w:rtl/>
        </w:rPr>
        <w:t xml:space="preserve"> להשפיע על תלמידיו שידבקו בו ובתורתו. לפי ר׳ שלמה </w:t>
      </w:r>
      <w:proofErr w:type="spellStart"/>
      <w:r>
        <w:rPr>
          <w:rtl/>
        </w:rPr>
        <w:t>פוליצ׳ק</w:t>
      </w:r>
      <w:proofErr w:type="spellEnd"/>
      <w:r>
        <w:rPr>
          <w:rtl/>
        </w:rPr>
        <w:t>, כפי שהוא מצוטט בפרק 5, הפסקה העשירית ב</w:t>
      </w:r>
      <w:r>
        <w:rPr>
          <w:rtl/>
        </w:rPr>
        <w:fldChar w:fldCharType="begin" w:dirty="true"/>
      </w:r>
      <w:r>
        <w:rPr>
          <w:rtl/>
        </w:rPr>
        <w:instrText xml:space="preserve"> REF b5_excF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ו</w:t>
      </w:r>
      <w:r>
        <w:rPr>
          <w:rtl/>
        </w:rPr>
        <w:fldChar w:fldCharType="end"/>
      </w:r>
      <w:r>
        <w:rPr>
          <w:rtl/>
        </w:rPr>
        <w:t xml:space="preserve">, שני ההיבטים של “כוחו של הרבי” קשורים זה בזה בתפיסתם </w:t>
      </w:r>
      <w:proofErr w:type="spellStart"/>
      <w:r>
        <w:rPr>
          <w:rtl/>
        </w:rPr>
        <w:t>הלא־מודעת</w:t>
      </w:r>
      <w:proofErr w:type="spellEnd"/>
      <w:r>
        <w:rPr>
          <w:rtl/>
        </w:rPr>
        <w:t xml:space="preserve"> של התלמידים. ר׳ שלמה </w:t>
      </w:r>
      <w:proofErr w:type="spellStart"/>
      <w:r>
        <w:rPr>
          <w:rtl/>
        </w:rPr>
        <w:t>פוליצ׳ק</w:t>
      </w:r>
      <w:proofErr w:type="spellEnd"/>
      <w:r>
        <w:rPr>
          <w:rtl/>
        </w:rPr>
        <w:t xml:space="preserve"> החיל עיקרון זה על ר׳ חיים </w:t>
      </w:r>
      <w:proofErr w:type="spellStart"/>
      <w:r>
        <w:rPr>
          <w:rtl/>
        </w:rPr>
        <w:t>סולובייצ׳יק</w:t>
      </w:r>
      <w:proofErr w:type="spellEnd"/>
      <w:r>
        <w:rPr>
          <w:rtl/>
        </w:rPr>
        <w:t>.</w:t>
      </w:r>
    </w:p>
    <w:p w14:paraId="2E519156" w14:textId="77777777" w:rsidR="00AB3647" w:rsidRDefault="00000000" w:rsidP="007923E9">
      <w:pPr>
        <w:spacing w:after="120" w:line="276" w:lineRule="auto"/>
        <w:ind w:firstLine="283"/>
        <w:jc w:val="both"/>
      </w:pPr>
      <w:r>
        <w:rPr>
          <w:rtl/>
        </w:rPr>
        <w:t xml:space="preserve">ר׳ חיים </w:t>
      </w:r>
      <w:proofErr w:type="spellStart"/>
      <w:r>
        <w:rPr>
          <w:rtl/>
        </w:rPr>
        <w:t>סולובייצ׳יק</w:t>
      </w:r>
      <w:proofErr w:type="spellEnd"/>
      <w:r>
        <w:rPr>
          <w:rtl/>
        </w:rPr>
        <w:t xml:space="preserve"> היה בדרך כלל חד הבחנה מאוד בהבנת הוויות העולם. ראה “</w:t>
      </w:r>
      <w:proofErr w:type="spellStart"/>
      <w:r>
        <w:rPr>
          <w:rtl/>
        </w:rPr>
        <w:t>מוולוז׳ין</w:t>
      </w:r>
      <w:proofErr w:type="spellEnd"/>
      <w:r>
        <w:rPr>
          <w:rtl/>
        </w:rPr>
        <w:t>”,</w:t>
      </w:r>
      <w:bookmarkStart w:id="5388" w:name="_fnr4051"/>
      <w:r>
        <w:rPr>
          <w:vertAlign w:val="superscript"/>
          <w:rtl/>
        </w:rPr>
        <w:footnoteReference w:id="4061" w:customMarkFollows="0"/>
      </w:r>
      <w:bookmarkEnd w:id="5388"/>
      <w:r>
        <w:rPr>
          <w:rtl/>
        </w:rPr>
        <w:t xml:space="preserve"> המתאר את תובנותיו החדות בבעיות החברה, כפי שבאו לידי ביטוי בכינוסי הרבנים השונים שבהם השתתף, ובהם ועידת הייסוד של אגודת ישראל </w:t>
      </w:r>
      <w:proofErr w:type="spellStart"/>
      <w:r>
        <w:rPr>
          <w:rtl/>
        </w:rPr>
        <w:t>בקטוביץ</w:t>
      </w:r>
      <w:proofErr w:type="spellEnd"/>
      <w:r>
        <w:rPr>
          <w:rtl/>
        </w:rPr>
        <w:t xml:space="preserve"> </w:t>
      </w:r>
      <w:proofErr w:type="spellStart"/>
      <w:r>
        <w:rPr>
          <w:rtl/>
        </w:rPr>
        <w:t>בתרע״ב</w:t>
      </w:r>
      <w:proofErr w:type="spellEnd"/>
      <w:r>
        <w:rPr>
          <w:rtl/>
        </w:rPr>
        <w:t>.</w:t>
      </w:r>
    </w:p>
    <w:p w14:paraId="0A416AFC" w14:textId="77777777" w:rsidR="00AB3647" w:rsidRDefault="00000000" w:rsidP="007923E9">
      <w:pPr>
        <w:spacing w:after="120" w:line="276" w:lineRule="auto"/>
        <w:ind w:firstLine="283"/>
        <w:jc w:val="both"/>
      </w:pPr>
      <w:r>
        <w:rPr>
          <w:rtl/>
        </w:rPr>
        <w:t xml:space="preserve">תפיסתו החודרת את בני האדם מודגמת במעשה המתועד </w:t>
      </w:r>
      <w:proofErr w:type="spellStart"/>
      <w:r>
        <w:rPr>
          <w:rtl/>
        </w:rPr>
        <w:t>ב“אנציקלופדיה</w:t>
      </w:r>
      <w:proofErr w:type="spellEnd"/>
      <w:r>
        <w:rPr>
          <w:rtl/>
        </w:rPr>
        <w:t xml:space="preserve"> של גלויות – </w:t>
      </w:r>
      <w:proofErr w:type="spellStart"/>
      <w:r>
        <w:rPr>
          <w:rtl/>
        </w:rPr>
        <w:t>בריסק־דליטא</w:t>
      </w:r>
      <w:proofErr w:type="spellEnd"/>
      <w:r>
        <w:rPr>
          <w:rtl/>
        </w:rPr>
        <w:t>”.</w:t>
      </w:r>
      <w:bookmarkStart w:id="5389" w:name="_fnr4052"/>
      <w:r>
        <w:rPr>
          <w:vertAlign w:val="superscript"/>
          <w:rtl/>
        </w:rPr>
        <w:footnoteReference w:id="4062" w:customMarkFollows="0"/>
      </w:r>
      <w:bookmarkEnd w:id="5389"/>
      <w:r>
        <w:rPr>
          <w:rtl/>
        </w:rPr>
        <w:t xml:space="preserve"> ר׳ </w:t>
      </w:r>
      <w:proofErr w:type="spellStart"/>
      <w:r>
        <w:rPr>
          <w:rtl/>
        </w:rPr>
        <w:t>אליהו־ברוך</w:t>
      </w:r>
      <w:proofErr w:type="spellEnd"/>
      <w:r>
        <w:rPr>
          <w:rtl/>
        </w:rPr>
        <w:t xml:space="preserve"> קמאי ממיר נפטר במינסק, שבה מצאו מקלט במלחמת העולם הראשונה, בין שאר הרבנים, הוא עצמו, ר׳ חיים וחותנו ר׳ רפאל שפירא.</w:t>
      </w:r>
      <w:bookmarkStart w:id="5390" w:name="_fnr4053"/>
      <w:r>
        <w:rPr>
          <w:vertAlign w:val="superscript"/>
          <w:rtl/>
        </w:rPr>
        <w:footnoteReference w:id="4063" w:customMarkFollows="0"/>
      </w:r>
      <w:bookmarkEnd w:id="5390"/>
      <w:r>
        <w:rPr>
          <w:rtl/>
        </w:rPr>
        <w:t xml:space="preserve"> בדרך להלוויה הציע ר׳ חיים לעמיתו לסור לביתו של ר׳ רפאל, ושלא לגלות לרב החולה והחלש שר׳ </w:t>
      </w:r>
      <w:proofErr w:type="spellStart"/>
      <w:r>
        <w:rPr>
          <w:rtl/>
        </w:rPr>
        <w:t>אליהו־ברוך</w:t>
      </w:r>
      <w:proofErr w:type="spellEnd"/>
      <w:r>
        <w:rPr>
          <w:rtl/>
        </w:rPr>
        <w:t xml:space="preserve"> נפטר. כשיצאו מביתו של ר׳ רפאל, אמר ר׳ חיים לחברו: “חותני כבר יודע על הפטירה, אבל לא רצה לבשר לנו, מפני שחשב שאיננו יודעים.” החבר התנגד: “אבל לא קיבלנו מר׳ רפאל שום רמז כזה.” ר׳ חיים לא התווכח; אבל כשהגיעו להלוויה, ר׳ רפאל היה שם!</w:t>
      </w:r>
    </w:p>
    <w:p w14:paraId="0AB1F7C1" w14:textId="77777777" w:rsidR="00AB3647" w:rsidRDefault="00000000" w:rsidP="007923E9">
      <w:pPr>
        <w:spacing w:after="120" w:line="276" w:lineRule="auto"/>
        <w:ind w:firstLine="283"/>
        <w:jc w:val="both"/>
      </w:pPr>
      <w:r>
        <w:rPr>
          <w:rtl/>
        </w:rPr>
        <w:t xml:space="preserve">סיפור אחר, המסופר בחוגי ישיבת </w:t>
      </w:r>
      <w:proofErr w:type="spellStart"/>
      <w:r>
        <w:rPr>
          <w:rtl/>
        </w:rPr>
        <w:t>בריסק</w:t>
      </w:r>
      <w:proofErr w:type="spellEnd"/>
      <w:r>
        <w:rPr>
          <w:rtl/>
        </w:rPr>
        <w:t xml:space="preserve"> בירושלים: </w:t>
      </w:r>
      <w:proofErr w:type="spellStart"/>
      <w:r>
        <w:rPr>
          <w:rtl/>
        </w:rPr>
        <w:t>הנצי״ב</w:t>
      </w:r>
      <w:proofErr w:type="spellEnd"/>
      <w:r>
        <w:rPr>
          <w:rtl/>
        </w:rPr>
        <w:t xml:space="preserve"> חלם בליל שבת שר׳ חיים נקרא לעלות לתורה – חלום שהוא סימן רע לפי כמה דעות (“יש אומרים” בשולחן ערוך אורח חיים סימן רפ״ח סעיף ה׳). </w:t>
      </w:r>
      <w:proofErr w:type="spellStart"/>
      <w:r>
        <w:rPr>
          <w:rtl/>
        </w:rPr>
        <w:t>הנצי״ב</w:t>
      </w:r>
      <w:proofErr w:type="spellEnd"/>
      <w:r>
        <w:rPr>
          <w:rtl/>
        </w:rPr>
        <w:t xml:space="preserve"> לא סיפר לאיש על החלום, והחליט להפוך את השבת שלו ליום תענית – תענית חלום – כמו שהיה רגיל לעשות “לעיתים לא רחוקות”.</w:t>
      </w:r>
      <w:bookmarkStart w:id="5391" w:name="_fnr4054"/>
      <w:r>
        <w:rPr>
          <w:vertAlign w:val="superscript"/>
          <w:rtl/>
        </w:rPr>
        <w:footnoteReference w:id="4064" w:customMarkFollows="0"/>
      </w:r>
      <w:bookmarkEnd w:id="5391"/>
      <w:r>
        <w:rPr>
          <w:rtl/>
        </w:rPr>
        <w:t xml:space="preserve"> אחרי התפילה הלך ר׳ חיים לקידוש בבית </w:t>
      </w:r>
      <w:proofErr w:type="spellStart"/>
      <w:r>
        <w:rPr>
          <w:rtl/>
        </w:rPr>
        <w:t>הנצי״ב</w:t>
      </w:r>
      <w:proofErr w:type="spellEnd"/>
      <w:r>
        <w:rPr>
          <w:rtl/>
        </w:rPr>
        <w:t xml:space="preserve">, יחד עם אורח שבא </w:t>
      </w:r>
      <w:proofErr w:type="spellStart"/>
      <w:r>
        <w:rPr>
          <w:rtl/>
        </w:rPr>
        <w:t>לוולוז׳ין</w:t>
      </w:r>
      <w:proofErr w:type="spellEnd"/>
      <w:r>
        <w:rPr>
          <w:rtl/>
        </w:rPr>
        <w:t xml:space="preserve">, ר׳ לייזר </w:t>
      </w:r>
      <w:proofErr w:type="spellStart"/>
      <w:r>
        <w:rPr>
          <w:rtl/>
        </w:rPr>
        <w:t>רבינוביץ</w:t>
      </w:r>
      <w:proofErr w:type="spellEnd"/>
      <w:r>
        <w:rPr>
          <w:rtl/>
        </w:rPr>
        <w:t>.</w:t>
      </w:r>
      <w:bookmarkStart w:id="5392" w:name="_fnr4055"/>
      <w:r>
        <w:rPr>
          <w:vertAlign w:val="superscript"/>
          <w:rtl/>
        </w:rPr>
        <w:footnoteReference w:id="4065" w:customMarkFollows="0"/>
      </w:r>
      <w:bookmarkEnd w:id="5392"/>
      <w:r>
        <w:rPr>
          <w:rtl/>
        </w:rPr>
        <w:t xml:space="preserve"> ר׳ </w:t>
      </w:r>
      <w:r>
        <w:rPr>
          <w:rtl/>
        </w:rPr>
        <w:lastRenderedPageBreak/>
        <w:t xml:space="preserve">חיים אמר </w:t>
      </w:r>
      <w:proofErr w:type="spellStart"/>
      <w:r>
        <w:rPr>
          <w:rtl/>
        </w:rPr>
        <w:t>לר</w:t>
      </w:r>
      <w:proofErr w:type="spellEnd"/>
      <w:r>
        <w:rPr>
          <w:rtl/>
        </w:rPr>
        <w:t xml:space="preserve">׳ לייזר בקצרה: “תראה </w:t>
      </w:r>
      <w:proofErr w:type="spellStart"/>
      <w:r>
        <w:rPr>
          <w:rtl/>
        </w:rPr>
        <w:t>שהנצי״ב</w:t>
      </w:r>
      <w:proofErr w:type="spellEnd"/>
      <w:r>
        <w:rPr>
          <w:rtl/>
        </w:rPr>
        <w:t xml:space="preserve"> יבקש ממני לעשות קידוש.” ואכן, במקום לקדש לכל המסובים, כמקובל בבית ראש הישיבה, דחף </w:t>
      </w:r>
      <w:proofErr w:type="spellStart"/>
      <w:r>
        <w:rPr>
          <w:rtl/>
        </w:rPr>
        <w:t>הנצי״ב</w:t>
      </w:r>
      <w:proofErr w:type="spellEnd"/>
      <w:r>
        <w:rPr>
          <w:rtl/>
        </w:rPr>
        <w:t xml:space="preserve"> את כוס היין אל ר׳ חיים, שהוא יברך. ר׳ חיים דחף את הכוס בחזרה והעיר: “אני הוא שצריך להתענות, אבל איני מקפיד על חלומות.”</w:t>
      </w:r>
    </w:p>
    <w:p w14:paraId="687A4F0C" w14:textId="77777777" w:rsidR="00AB3647" w:rsidRDefault="00000000" w:rsidP="007923E9">
      <w:pPr>
        <w:spacing w:after="120" w:line="276" w:lineRule="auto"/>
        <w:ind w:firstLine="283"/>
        <w:jc w:val="both"/>
      </w:pPr>
      <w:r>
        <w:rPr>
          <w:rtl/>
        </w:rPr>
        <w:t xml:space="preserve">אחר כך שאל ר׳ לייזר את ר׳ חיים הלוי </w:t>
      </w:r>
      <w:proofErr w:type="spellStart"/>
      <w:r>
        <w:rPr>
          <w:rtl/>
        </w:rPr>
        <w:t>סולובייצ׳יק</w:t>
      </w:r>
      <w:proofErr w:type="spellEnd"/>
      <w:r>
        <w:rPr>
          <w:rtl/>
        </w:rPr>
        <w:t xml:space="preserve"> כיצד ידע שיושיטו לו את היין, ומה פשר הערתו. לתדהמתו של ר׳ לייזר </w:t>
      </w:r>
      <w:proofErr w:type="spellStart"/>
      <w:r>
        <w:rPr>
          <w:rtl/>
        </w:rPr>
        <w:t>רבינוביץ</w:t>
      </w:r>
      <w:proofErr w:type="spellEnd"/>
      <w:r>
        <w:rPr>
          <w:rtl/>
        </w:rPr>
        <w:t xml:space="preserve"> הסביר ר׳ חיים שהבחין בשני מקרים שנראו שוליים, ומצירופם הגיע לכלל גילוי. הראשון היה באותו בוקר: </w:t>
      </w:r>
      <w:proofErr w:type="spellStart"/>
      <w:r>
        <w:rPr>
          <w:rtl/>
        </w:rPr>
        <w:t>הנצי״ב</w:t>
      </w:r>
      <w:proofErr w:type="spellEnd"/>
      <w:r>
        <w:rPr>
          <w:rtl/>
        </w:rPr>
        <w:t xml:space="preserve">, סב אשתו, נכנס לחדר שבו ישן ר׳ חיים, הוציא מארון הספרים כרך של מסכת ברכות ועיין בו כמה רגעים. השני – בקריאת התורה החוויר </w:t>
      </w:r>
      <w:proofErr w:type="spellStart"/>
      <w:r>
        <w:rPr>
          <w:rtl/>
        </w:rPr>
        <w:t>הנצי״ב</w:t>
      </w:r>
      <w:proofErr w:type="spellEnd"/>
      <w:r>
        <w:rPr>
          <w:rtl/>
        </w:rPr>
        <w:t xml:space="preserve"> כשנקרא לעלייה השנייה, עליית לוי, מישהו אחר ולא ר׳ חיים. מצירוף שני המקרים הבין ר׳ חיים </w:t>
      </w:r>
      <w:proofErr w:type="spellStart"/>
      <w:r>
        <w:rPr>
          <w:rtl/>
        </w:rPr>
        <w:t>שהנצי״ב</w:t>
      </w:r>
      <w:proofErr w:type="spellEnd"/>
      <w:r>
        <w:rPr>
          <w:rtl/>
        </w:rPr>
        <w:t xml:space="preserve"> חלם עליו את החלום המפחיד ההוא, ועיין בסוגיה שבמסכת ברכות העוסקת בחלומות רעים. אחר כך, כשהתברר שהחלום לא חזה את העתיד – שהרי ר׳ חיים לא היה הלוי שנקרא בפועל לתורה – התחזקה תפיסתו של </w:t>
      </w:r>
      <w:proofErr w:type="spellStart"/>
      <w:r>
        <w:rPr>
          <w:rtl/>
        </w:rPr>
        <w:t>הנצי״ב</w:t>
      </w:r>
      <w:proofErr w:type="spellEnd"/>
      <w:r>
        <w:rPr>
          <w:rtl/>
        </w:rPr>
        <w:t xml:space="preserve"> שהחלום הוא אות רע, והוא החליט לקבל עליו תענית חלום. משום כך יבקש ממנו </w:t>
      </w:r>
      <w:proofErr w:type="spellStart"/>
      <w:r>
        <w:rPr>
          <w:rtl/>
        </w:rPr>
        <w:t>הנצי״ב</w:t>
      </w:r>
      <w:proofErr w:type="spellEnd"/>
      <w:r>
        <w:rPr>
          <w:rtl/>
        </w:rPr>
        <w:t xml:space="preserve"> לקדש!</w:t>
      </w:r>
      <w:bookmarkStart w:id="5393" w:name="_fnr4056"/>
      <w:r>
        <w:rPr>
          <w:vertAlign w:val="superscript"/>
          <w:rtl/>
        </w:rPr>
        <w:footnoteReference w:id="4066" w:customMarkFollows="0"/>
      </w:r>
      <w:bookmarkEnd w:id="5393"/>
    </w:p>
    <w:p w14:paraId="37377872" w14:textId="77777777" w:rsidR="00AB3647" w:rsidRDefault="00000000" w:rsidP="007923E9">
      <w:pPr>
        <w:spacing w:after="120" w:line="276" w:lineRule="auto"/>
        <w:ind w:firstLine="283"/>
        <w:jc w:val="both"/>
      </w:pPr>
      <w:r>
        <w:rPr>
          <w:rtl/>
        </w:rPr>
        <w:t xml:space="preserve">ראה גם “חייו וזמנו של ר׳ רפאל </w:t>
      </w:r>
      <w:proofErr w:type="spellStart"/>
      <w:r>
        <w:rPr>
          <w:rtl/>
        </w:rPr>
        <w:t>סולובייצ׳יק</w:t>
      </w:r>
      <w:proofErr w:type="spellEnd"/>
      <w:r>
        <w:rPr>
          <w:rtl/>
        </w:rPr>
        <w:t xml:space="preserve"> </w:t>
      </w:r>
      <w:proofErr w:type="spellStart"/>
      <w:r>
        <w:rPr>
          <w:rtl/>
        </w:rPr>
        <w:t>מבריסק</w:t>
      </w:r>
      <w:proofErr w:type="spellEnd"/>
      <w:r>
        <w:rPr>
          <w:rtl/>
        </w:rPr>
        <w:t xml:space="preserve">” מאת ב׳ ס׳ </w:t>
      </w:r>
      <w:proofErr w:type="spellStart"/>
      <w:r>
        <w:rPr>
          <w:rtl/>
        </w:rPr>
        <w:t>גלברסון</w:t>
      </w:r>
      <w:bookmarkStart w:id="5394" w:name="_fnr4057"/>
      <w:proofErr w:type="spellEnd"/>
      <w:r>
        <w:rPr>
          <w:vertAlign w:val="superscript"/>
          <w:rtl/>
        </w:rPr>
        <w:footnoteReference w:id="4067" w:customMarkFollows="0"/>
      </w:r>
      <w:bookmarkEnd w:id="5394"/>
      <w:r>
        <w:rPr>
          <w:rtl/>
        </w:rPr>
        <w:t xml:space="preserve">: הבחנתו של ר׳ חיים בבני אדם הייתה מחודדת כל כך, שכשראה אדם ברחוב בשעה מסוימת ידע להסיק איזה עניין הביאו לשם. </w:t>
      </w:r>
      <w:proofErr w:type="spellStart"/>
      <w:r>
        <w:rPr>
          <w:rtl/>
        </w:rPr>
        <w:t>גלברסון</w:t>
      </w:r>
      <w:proofErr w:type="spellEnd"/>
      <w:r>
        <w:rPr>
          <w:rtl/>
        </w:rPr>
        <w:t xml:space="preserve"> כותב: “כאשר עמד ר׳ חיים ליד חלון חדרו, היה אומר על כל אדם שעבר בדיוק לאן הוא הולך או מאין הוא בא. פעם אחת... ציין ר׳ חיים שאינו יכול להבין מה עושה אדם מסוים ברחוב באותו רגע. הוא הרהר בקול: ‘איני מוצא שום סיבה שיהיה כאן.’ בני המשפחה הופתעו שר׳ חיים אינו יכול לפענח זאת... ואחד [מבני המשפחה יצא] לרחוב ושאל את האיש עצמו. הוא ענה: ‘גם אני איני יודע מדוע אני הולך בדרך הזאת. הייתי שקוע במחשבות, ונראה שהגעתי למקום הזה [בלי להתכוון].’”</w:t>
      </w:r>
    </w:p>
    <w:p w14:paraId="66147545" w14:textId="77777777" w:rsidR="00AB3647" w:rsidRDefault="00000000" w:rsidP="007923E9">
      <w:pPr>
        <w:spacing w:after="120" w:line="276" w:lineRule="auto"/>
        <w:ind w:firstLine="283"/>
        <w:jc w:val="both"/>
      </w:pPr>
      <w:r>
        <w:rPr>
          <w:rtl/>
        </w:rPr>
        <w:t xml:space="preserve">בריאיון שהוזכר לעיל, בעמ׳ </w:t>
      </w:r>
      <w:r>
        <w:rPr>
          <w:rtl/>
        </w:rPr>
        <w:fldChar w:fldCharType="begin" w:dirty="true"/>
      </w:r>
      <w:r>
        <w:rPr>
          <w:rtl/>
        </w:rPr>
        <w:instrText xml:space="preserve"> PAGEREF pr_b_2252 \h </w:instrText>
      </w:r>
      <w:r>
        <w:rPr>
          <w:rtl/>
        </w:rPr>
      </w:r>
      <w:r>
        <w:rPr>
          <w:rtl/>
        </w:rPr>
        <w:fldChar w:fldCharType="separate"/>
      </w:r>
      <w:r w:rsidR="007923E9">
        <w:rPr>
          <w:noProof/>
          <w:rtl/>
        </w:rPr>
        <w:t>1</w:t>
      </w:r>
      <w:r>
        <w:rPr>
          <w:rtl/>
        </w:rPr>
        <w:fldChar w:fldCharType="end"/>
      </w:r>
      <w:r>
        <w:rPr>
          <w:rtl/>
        </w:rPr>
        <w:t>–</w:t>
      </w:r>
      <w:r>
        <w:rPr>
          <w:rtl/>
        </w:rPr>
        <w:fldChar w:fldCharType="begin" w:dirty="true"/>
      </w:r>
      <w:r>
        <w:rPr>
          <w:rtl/>
        </w:rPr>
        <w:instrText xml:space="preserve"> PAGEREF pr_b_2254 \h </w:instrText>
      </w:r>
      <w:r>
        <w:rPr>
          <w:rtl/>
        </w:rPr>
      </w:r>
      <w:r>
        <w:rPr>
          <w:rtl/>
        </w:rPr>
        <w:fldChar w:fldCharType="separate"/>
      </w:r>
      <w:r w:rsidR="007923E9">
        <w:rPr>
          <w:noProof/>
          <w:rtl/>
        </w:rPr>
        <w:t>1</w:t>
      </w:r>
      <w:r>
        <w:rPr>
          <w:rtl/>
        </w:rPr>
        <w:fldChar w:fldCharType="end"/>
      </w:r>
      <w:r>
        <w:rPr>
          <w:rtl/>
        </w:rPr>
        <w:t>, תיאר ר׳ זליג אפשטיין את היקף חוכמתו של ר׳ חיים בביטוי שאול מספר משלי: “הוא היה חכם מחוכם</w:t>
      </w:r>
      <w:bookmarkStart w:id="5395" w:name="_fnr4058"/>
      <w:r>
        <w:rPr>
          <w:vertAlign w:val="superscript"/>
          <w:rtl/>
        </w:rPr>
        <w:footnoteReference w:id="4068" w:customMarkFollows="0"/>
      </w:r>
      <w:bookmarkEnd w:id="5395"/>
      <w:r>
        <w:rPr>
          <w:rtl/>
        </w:rPr>
        <w:t>.” די להביא ארבע דוגמאות מפורטות לחוכמתו, שנלקטו משני מקורות מודפסים וממסורת, ומקור לסיפור חמישי מרשים מאוד:</w:t>
      </w:r>
    </w:p>
    <w:p w14:paraId="39E3B953" w14:textId="77777777" w:rsidR="00AB3647" w:rsidRDefault="00000000" w:rsidP="007923E9">
      <w:pPr>
        <w:spacing w:after="120" w:line="276" w:lineRule="auto"/>
        <w:ind w:firstLine="283"/>
        <w:jc w:val="both"/>
      </w:pPr>
      <w:r>
        <w:rPr>
          <w:rtl/>
        </w:rPr>
        <w:t xml:space="preserve">(1) </w:t>
      </w:r>
      <w:proofErr w:type="spellStart"/>
      <w:r>
        <w:rPr>
          <w:rtl/>
        </w:rPr>
        <w:t>ידעאל</w:t>
      </w:r>
      <w:proofErr w:type="spellEnd"/>
      <w:r>
        <w:rPr>
          <w:rtl/>
        </w:rPr>
        <w:t xml:space="preserve"> מלצר, “בדרך עץ החיים”</w:t>
      </w:r>
      <w:bookmarkStart w:id="5396" w:name="_fnr4059"/>
      <w:r>
        <w:rPr>
          <w:vertAlign w:val="superscript"/>
          <w:rtl/>
        </w:rPr>
        <w:footnoteReference w:id="4069" w:customMarkFollows="0"/>
      </w:r>
      <w:bookmarkEnd w:id="5396"/>
      <w:r>
        <w:rPr>
          <w:rtl/>
        </w:rPr>
        <w:t xml:space="preserve">, מביא סיפור שסיפר ר׳ </w:t>
      </w:r>
      <w:proofErr w:type="spellStart"/>
      <w:r>
        <w:rPr>
          <w:rtl/>
        </w:rPr>
        <w:t>איסר־זלמן</w:t>
      </w:r>
      <w:proofErr w:type="spellEnd"/>
      <w:r>
        <w:rPr>
          <w:rtl/>
        </w:rPr>
        <w:t xml:space="preserve"> </w:t>
      </w:r>
      <w:proofErr w:type="spellStart"/>
      <w:r>
        <w:rPr>
          <w:rtl/>
        </w:rPr>
        <w:t>לר</w:t>
      </w:r>
      <w:proofErr w:type="spellEnd"/>
      <w:r>
        <w:rPr>
          <w:rtl/>
        </w:rPr>
        <w:t xml:space="preserve">׳ דוד </w:t>
      </w:r>
      <w:proofErr w:type="spellStart"/>
      <w:r>
        <w:rPr>
          <w:rtl/>
        </w:rPr>
        <w:t>פינקל</w:t>
      </w:r>
      <w:proofErr w:type="spellEnd"/>
      <w:r>
        <w:rPr>
          <w:rtl/>
        </w:rPr>
        <w:t xml:space="preserve">. ר׳ </w:t>
      </w:r>
      <w:proofErr w:type="spellStart"/>
      <w:r>
        <w:rPr>
          <w:rtl/>
        </w:rPr>
        <w:t>איסר־זלמן</w:t>
      </w:r>
      <w:proofErr w:type="spellEnd"/>
      <w:r>
        <w:rPr>
          <w:rtl/>
        </w:rPr>
        <w:t xml:space="preserve"> מלצר נסע ברכבת, וילד יהודי שלא היה לו כרטיס ביקש להתחבא מתחת למושבו של החכם, מאחורי רגליו, עד שיעבור הכרטיסן. ר׳ </w:t>
      </w:r>
      <w:proofErr w:type="spellStart"/>
      <w:r>
        <w:rPr>
          <w:rtl/>
        </w:rPr>
        <w:t>איסר־זלמן</w:t>
      </w:r>
      <w:proofErr w:type="spellEnd"/>
      <w:r>
        <w:rPr>
          <w:rtl/>
        </w:rPr>
        <w:t xml:space="preserve"> לא רצה להיות שותף לגנבה; אבל ברגע שראה את הכרטיסן נכנס לקרון, נכנע לבו הטוב של הרב, והוא הניח לילד לזחול </w:t>
      </w:r>
      <w:r>
        <w:rPr>
          <w:rtl/>
        </w:rPr>
        <w:lastRenderedPageBreak/>
        <w:t xml:space="preserve">מתחת למושב. אחר כך ייסר אותו מצפונו, והוא ירד מן הרכבת </w:t>
      </w:r>
      <w:proofErr w:type="spellStart"/>
      <w:r>
        <w:rPr>
          <w:rtl/>
        </w:rPr>
        <w:t>בבריסק</w:t>
      </w:r>
      <w:proofErr w:type="spellEnd"/>
      <w:r>
        <w:rPr>
          <w:rtl/>
        </w:rPr>
        <w:t xml:space="preserve"> כדי לדון בעניין עם רבו, ר׳ חיים. ר׳ חיים שמע את הפרטים, הבטיח לו שעשה כראוי, והסביר: “אילו היה הכרטיסן רק מוריד את הילד מן הרכבת, לא היה נכון להסתיר אותו. אבל הכרטיסן היה גם מכה את הילד. אם כן, הצלת אותו מפגיעה שלא כדין.”</w:t>
      </w:r>
    </w:p>
    <w:p w14:paraId="70497626" w14:textId="77777777" w:rsidR="00AB3647" w:rsidRDefault="00000000" w:rsidP="007923E9">
      <w:pPr>
        <w:spacing w:after="120" w:line="276" w:lineRule="auto"/>
        <w:ind w:firstLine="283"/>
        <w:jc w:val="both"/>
      </w:pPr>
      <w:r>
        <w:rPr>
          <w:rtl/>
        </w:rPr>
        <w:t xml:space="preserve">ר׳ דוד </w:t>
      </w:r>
      <w:proofErr w:type="spellStart"/>
      <w:r>
        <w:rPr>
          <w:rtl/>
        </w:rPr>
        <w:t>פינקל</w:t>
      </w:r>
      <w:proofErr w:type="spellEnd"/>
      <w:r>
        <w:rPr>
          <w:rtl/>
        </w:rPr>
        <w:t xml:space="preserve"> סיים את הסיפור בעמימות: “ור׳ חיים המשיך למנות עוד כמה טעמים לכך ש(ר׳ </w:t>
      </w:r>
      <w:proofErr w:type="spellStart"/>
      <w:r>
        <w:rPr>
          <w:rtl/>
        </w:rPr>
        <w:t>איסר־זלמן</w:t>
      </w:r>
      <w:proofErr w:type="spellEnd"/>
      <w:r>
        <w:rPr>
          <w:rtl/>
        </w:rPr>
        <w:t xml:space="preserve">) עשה את הדבר הנכון.” אפשר לשער שמה שהוסיף ר׳ חיים היה הוכחה שהנימוק שהציע נכון, שהרי ניתוח בהיר של המעשה היה מראה שדווקא החשש שהכרטיסן יכה את הילד הוא שהניע את ר׳ </w:t>
      </w:r>
      <w:proofErr w:type="spellStart"/>
      <w:r>
        <w:rPr>
          <w:rtl/>
        </w:rPr>
        <w:t>איסר־זלמן</w:t>
      </w:r>
      <w:proofErr w:type="spellEnd"/>
      <w:r>
        <w:rPr>
          <w:rtl/>
        </w:rPr>
        <w:t xml:space="preserve"> להסתירו כשהופיע הכרטיסן – גם אם ר׳ </w:t>
      </w:r>
      <w:proofErr w:type="spellStart"/>
      <w:r>
        <w:rPr>
          <w:rtl/>
        </w:rPr>
        <w:t>איסר־זלמן</w:t>
      </w:r>
      <w:proofErr w:type="spellEnd"/>
      <w:r>
        <w:rPr>
          <w:rtl/>
        </w:rPr>
        <w:t xml:space="preserve"> לא הסיק במודע את הסיבה המדויקת למעשה החסד שלו. אולי ר׳ דוד לא תפס את הדקות הזאת כשסיפר לו ר׳ </w:t>
      </w:r>
      <w:proofErr w:type="spellStart"/>
      <w:r>
        <w:rPr>
          <w:rtl/>
        </w:rPr>
        <w:t>איסר־זלמן</w:t>
      </w:r>
      <w:proofErr w:type="spellEnd"/>
      <w:r>
        <w:rPr>
          <w:rtl/>
        </w:rPr>
        <w:t xml:space="preserve"> את המעשה, ולכן הותיר אותה מעורפלת. אם פירוש זה נכון, העדות לחוכמתו של ר׳ חיים מתחזקת.</w:t>
      </w:r>
    </w:p>
    <w:p w14:paraId="4D467735" w14:textId="77777777" w:rsidR="00AB3647" w:rsidRDefault="00000000" w:rsidP="007923E9">
      <w:pPr>
        <w:spacing w:after="120" w:line="276" w:lineRule="auto"/>
        <w:ind w:firstLine="283"/>
        <w:jc w:val="both"/>
      </w:pPr>
      <w:r>
        <w:rPr>
          <w:rtl/>
        </w:rPr>
        <w:t>(2) “</w:t>
      </w:r>
      <w:proofErr w:type="spellStart"/>
      <w:r>
        <w:rPr>
          <w:rtl/>
        </w:rPr>
        <w:t>מוולוז׳ין</w:t>
      </w:r>
      <w:proofErr w:type="spellEnd"/>
      <w:r>
        <w:rPr>
          <w:rtl/>
        </w:rPr>
        <w:t>”</w:t>
      </w:r>
      <w:bookmarkStart w:id="5397" w:name="_fnr4060"/>
      <w:r>
        <w:rPr>
          <w:vertAlign w:val="superscript"/>
          <w:rtl/>
        </w:rPr>
        <w:footnoteReference w:id="4070" w:customMarkFollows="0"/>
      </w:r>
      <w:bookmarkEnd w:id="5397"/>
      <w:r>
        <w:rPr>
          <w:rtl/>
        </w:rPr>
        <w:t xml:space="preserve"> מספר: “היו אנשי עסקים מסוימים... בעלי מעמד בעולם המסחר </w:t>
      </w:r>
      <w:proofErr w:type="spellStart"/>
      <w:r>
        <w:rPr>
          <w:rtl/>
        </w:rPr>
        <w:t>בבריסק</w:t>
      </w:r>
      <w:proofErr w:type="spellEnd"/>
      <w:r>
        <w:rPr>
          <w:rtl/>
        </w:rPr>
        <w:t xml:space="preserve"> ובמקומות אחרים, בעיקר במינסק, שלא היו עושים שום צעד חשוב בעסקיהם בלי לדון בו תחילה עם ר׳ חיים.” (יש להניח שאנשי העסקים ממינסק ביקשו את עצתו בשנות המלחמה, כאשר ר׳ חיים שהה בעירם.</w:t>
      </w:r>
      <w:bookmarkStart w:id="5398" w:name="_fnr4061"/>
      <w:r>
        <w:rPr>
          <w:vertAlign w:val="superscript"/>
          <w:rtl/>
        </w:rPr>
        <w:footnoteReference w:id="4071" w:customMarkFollows="0"/>
      </w:r>
      <w:bookmarkEnd w:id="5398"/>
      <w:r>
        <w:rPr>
          <w:rtl/>
        </w:rPr>
        <w:t>)</w:t>
      </w:r>
    </w:p>
    <w:p w14:paraId="2357F935" w14:textId="77777777" w:rsidR="00AB3647" w:rsidRDefault="00000000" w:rsidP="007923E9">
      <w:pPr>
        <w:spacing w:after="120" w:line="276" w:lineRule="auto"/>
        <w:ind w:firstLine="283"/>
        <w:jc w:val="both"/>
      </w:pPr>
      <w:r>
        <w:rPr>
          <w:rtl/>
        </w:rPr>
        <w:t>(3) “</w:t>
      </w:r>
      <w:proofErr w:type="spellStart"/>
      <w:r>
        <w:rPr>
          <w:rtl/>
        </w:rPr>
        <w:t>מוולוז׳ין</w:t>
      </w:r>
      <w:proofErr w:type="spellEnd"/>
      <w:r>
        <w:rPr>
          <w:rtl/>
        </w:rPr>
        <w:t>”</w:t>
      </w:r>
      <w:bookmarkStart w:id="5399" w:name="_fnr4062"/>
      <w:r>
        <w:rPr>
          <w:vertAlign w:val="superscript"/>
          <w:rtl/>
        </w:rPr>
        <w:footnoteReference w:id="4072" w:customMarkFollows="0"/>
      </w:r>
      <w:bookmarkEnd w:id="5399"/>
      <w:r>
        <w:rPr>
          <w:rtl/>
        </w:rPr>
        <w:t xml:space="preserve"> מביא שיחה שהתקיימה בוועידת </w:t>
      </w:r>
      <w:proofErr w:type="spellStart"/>
      <w:r>
        <w:rPr>
          <w:rtl/>
        </w:rPr>
        <w:t>קטוביץ</w:t>
      </w:r>
      <w:proofErr w:type="spellEnd"/>
      <w:r>
        <w:rPr>
          <w:rtl/>
        </w:rPr>
        <w:t>, שתעניין במיוחד את הקורא האמריקאי, ושמדגימה את תובנתו ההיסטורית החדה של ר׳ חיים, כמו שמציין המחבר.</w:t>
      </w:r>
      <w:bookmarkStart w:id="5400" w:name="_fnr4063"/>
      <w:r>
        <w:rPr>
          <w:vertAlign w:val="superscript"/>
          <w:rtl/>
        </w:rPr>
        <w:footnoteReference w:id="4073" w:customMarkFollows="0"/>
      </w:r>
      <w:bookmarkEnd w:id="5400"/>
      <w:r>
        <w:rPr>
          <w:rtl/>
        </w:rPr>
        <w:t xml:space="preserve"> יצחק </w:t>
      </w:r>
      <w:proofErr w:type="spellStart"/>
      <w:r>
        <w:rPr>
          <w:rtl/>
        </w:rPr>
        <w:t>סובלסקי</w:t>
      </w:r>
      <w:proofErr w:type="spellEnd"/>
      <w:r>
        <w:rPr>
          <w:rtl/>
        </w:rPr>
        <w:t xml:space="preserve">, עורך כתב העת הלונדוני “היהודי”, שהכיר את ר׳ חיים מימי ישיבת </w:t>
      </w:r>
      <w:proofErr w:type="spellStart"/>
      <w:r>
        <w:rPr>
          <w:rtl/>
        </w:rPr>
        <w:t>וולוז׳ין</w:t>
      </w:r>
      <w:proofErr w:type="spellEnd"/>
      <w:r>
        <w:rPr>
          <w:rtl/>
        </w:rPr>
        <w:t xml:space="preserve">, העיר לו שעשה עוול כשדחה את הזמנתה של הקהילה היהודית בניו יורק לכהן בה כרב. “אילו היית באמריקה, היית עושה למען היהדות הרבה יותר מבכל מקום אחר”, קבע </w:t>
      </w:r>
      <w:proofErr w:type="spellStart"/>
      <w:r>
        <w:rPr>
          <w:rtl/>
        </w:rPr>
        <w:t>סובלסקי</w:t>
      </w:r>
      <w:proofErr w:type="spellEnd"/>
      <w:r>
        <w:rPr>
          <w:rtl/>
        </w:rPr>
        <w:t xml:space="preserve">. ר׳ חיים השיב: “אתה צודק ואתה טועה. אתה טועה, כי מעולם לא הוצעה לי רבנות ניו יורק; אבל אתה צודק בכך שמצבה של אמריקה הוא כזה שכל אדם שיש לו השפעה, מרובה או </w:t>
      </w:r>
      <w:proofErr w:type="spellStart"/>
      <w:r>
        <w:rPr>
          <w:rtl/>
        </w:rPr>
        <w:t>מועטת</w:t>
      </w:r>
      <w:proofErr w:type="spellEnd"/>
      <w:r>
        <w:rPr>
          <w:rtl/>
        </w:rPr>
        <w:t>, צריך לנסוע לשם, גם בלי שהוזמן, ולחפש דרכים לשפר את המצב הרוחני שם.”</w:t>
      </w:r>
      <w:bookmarkStart w:id="5401" w:name="_fnr4064"/>
      <w:r>
        <w:rPr>
          <w:vertAlign w:val="superscript"/>
          <w:rtl/>
        </w:rPr>
        <w:footnoteReference w:id="4074" w:customMarkFollows="0"/>
      </w:r>
      <w:bookmarkEnd w:id="5401"/>
    </w:p>
    <w:p w14:paraId="01002EA4" w14:textId="77777777" w:rsidR="00AB3647" w:rsidRDefault="00000000" w:rsidP="007923E9">
      <w:pPr>
        <w:spacing w:after="120" w:line="276" w:lineRule="auto"/>
        <w:ind w:firstLine="283"/>
        <w:jc w:val="both"/>
      </w:pPr>
      <w:proofErr w:type="spellStart"/>
      <w:r>
        <w:rPr>
          <w:rtl/>
        </w:rPr>
        <w:t>סובלסקי</w:t>
      </w:r>
      <w:proofErr w:type="spellEnd"/>
      <w:r>
        <w:rPr>
          <w:rtl/>
        </w:rPr>
        <w:t xml:space="preserve"> בלבל בין ר׳ חיים </w:t>
      </w:r>
      <w:proofErr w:type="spellStart"/>
      <w:r>
        <w:rPr>
          <w:rtl/>
        </w:rPr>
        <w:t>סולובייצ׳יק</w:t>
      </w:r>
      <w:proofErr w:type="spellEnd"/>
      <w:r>
        <w:rPr>
          <w:rtl/>
        </w:rPr>
        <w:t xml:space="preserve"> לבין דוד אשתו ר׳ חיים ברלין, בנו של </w:t>
      </w:r>
      <w:proofErr w:type="spellStart"/>
      <w:r>
        <w:rPr>
          <w:rtl/>
        </w:rPr>
        <w:t>הנצי״ב</w:t>
      </w:r>
      <w:proofErr w:type="spellEnd"/>
      <w:r>
        <w:rPr>
          <w:rtl/>
        </w:rPr>
        <w:t>. ר׳ חיים ברלין קנה לו שם עולמי כשכיהן כרב מוסקבה, והיה אחד משמונה רבנים גדולים באירופה שקיבלו, עשרים וחמש שנה קודם לכן, פניות זהות מן הקהילות היהודיות המאוחדות של ניו יורק: להמליץ על אדם לכהונת הרב הראשי, או לחלופין שאחד מהם יקבל את הכהונה בעצמו.</w:t>
      </w:r>
    </w:p>
    <w:p w14:paraId="7F09E885" w14:textId="77777777" w:rsidR="00AB3647" w:rsidRDefault="00000000" w:rsidP="007923E9">
      <w:pPr>
        <w:spacing w:after="120" w:line="276" w:lineRule="auto"/>
        <w:ind w:firstLine="283"/>
        <w:jc w:val="both"/>
      </w:pPr>
      <w:r>
        <w:rPr>
          <w:rtl/>
        </w:rPr>
        <w:t xml:space="preserve">ר׳ חיים המשיך והסביר מדוע הוא עצמו אינו האדם המתאים לנסוע לאמריקה. המחבר מצהיר: “בהתחשב בכך ששיחה זו התקיימה כשאיש לא חשב על מלחמת עולם, חורבנה של </w:t>
      </w:r>
      <w:r>
        <w:rPr>
          <w:rtl/>
        </w:rPr>
        <w:lastRenderedPageBreak/>
        <w:t>יהדות רוסיה לא עלה על דעתו של איש, ואמריקה לא הייתה אז בעיני איש אלא ‘ארץ הזהב’ – אפשר להעריך עד כמה הרחיקה ראייתו של ר׳ חיים אל העתיד.” ואכן, “תורת חיים”</w:t>
      </w:r>
      <w:bookmarkStart w:id="5402" w:name="_fnr4065"/>
      <w:r>
        <w:rPr>
          <w:vertAlign w:val="superscript"/>
          <w:rtl/>
        </w:rPr>
        <w:footnoteReference w:id="4075" w:customMarkFollows="0"/>
      </w:r>
      <w:bookmarkEnd w:id="5402"/>
      <w:r>
        <w:rPr>
          <w:rtl/>
        </w:rPr>
        <w:t xml:space="preserve"> מספר: “ר׳ </w:t>
      </w:r>
      <w:proofErr w:type="spellStart"/>
      <w:r>
        <w:rPr>
          <w:rtl/>
        </w:rPr>
        <w:t xml:space="preserve">וועלוול׳ה</w:t>
      </w:r>
      <w:proofErr w:type="spellEnd"/>
      <w:r>
        <w:rPr>
          <w:rtl/>
        </w:rPr>
        <w:t xml:space="preserve"> אמר: ‘אבי היה מסוגל לראות שישים שנה קדימה.’” ר׳ יצחק־זאב אמר זאת כדי להדגיש שהוא עצמו מסוגל רק לראות [ולהבין] את מה שלנגד עיניו, ואילו אחרים אינם מסוגלים אפילו לכך!</w:t>
      </w:r>
    </w:p>
    <w:p w14:paraId="3A2A3732" w14:textId="77777777" w:rsidR="00AB3647" w:rsidRDefault="00000000" w:rsidP="007923E9">
      <w:pPr>
        <w:spacing w:after="120" w:line="276" w:lineRule="auto"/>
        <w:ind w:firstLine="283"/>
        <w:jc w:val="both"/>
      </w:pPr>
      <w:r>
        <w:rPr>
          <w:rtl/>
        </w:rPr>
        <w:t xml:space="preserve">(4) בחוגי ישיבת </w:t>
      </w:r>
      <w:proofErr w:type="spellStart"/>
      <w:r>
        <w:rPr>
          <w:rtl/>
        </w:rPr>
        <w:t>בריסק</w:t>
      </w:r>
      <w:proofErr w:type="spellEnd"/>
      <w:r>
        <w:rPr>
          <w:rtl/>
        </w:rPr>
        <w:t xml:space="preserve"> מספרים את הסיפור הבא: ישיבת </w:t>
      </w:r>
      <w:proofErr w:type="spellStart"/>
      <w:r>
        <w:rPr>
          <w:rtl/>
        </w:rPr>
        <w:t>וולוז׳ין</w:t>
      </w:r>
      <w:proofErr w:type="spellEnd"/>
      <w:r>
        <w:rPr>
          <w:rtl/>
        </w:rPr>
        <w:t xml:space="preserve"> נדרשה להגיש מדי שנה רשימת תלמידים למשרד הממשלתי הרוסי בווילנה, בירת הפלך שבו שכנה </w:t>
      </w:r>
      <w:proofErr w:type="spellStart"/>
      <w:r>
        <w:rPr>
          <w:rtl/>
        </w:rPr>
        <w:t>וולוז׳ין</w:t>
      </w:r>
      <w:proofErr w:type="spellEnd"/>
      <w:r>
        <w:rPr>
          <w:rtl/>
        </w:rPr>
        <w:t xml:space="preserve">. לישיבה לא היה היתר לנהל מוסד לימודים גדול, ולכן היו מנהליה מגישים רשימה מקוצרת, ועמה שוחד שיסייע לעוור את עיני המושל מלראות את המציאות. בקיץ אחד ראה ר׳ חיים </w:t>
      </w:r>
      <w:proofErr w:type="spellStart"/>
      <w:r>
        <w:rPr>
          <w:rtl/>
        </w:rPr>
        <w:t>שהנצי״ב</w:t>
      </w:r>
      <w:proofErr w:type="spellEnd"/>
      <w:r>
        <w:rPr>
          <w:rtl/>
        </w:rPr>
        <w:t xml:space="preserve"> מודאג מאוד. כששאל את סב אשתו, נאמר לו שמונה מושל חדש שאינו מקבל שוחד; את הדוח היה צריך להגיש כבר בחורף, אבל </w:t>
      </w:r>
      <w:proofErr w:type="spellStart"/>
      <w:r>
        <w:rPr>
          <w:rtl/>
        </w:rPr>
        <w:t>הנצי״ב</w:t>
      </w:r>
      <w:proofErr w:type="spellEnd"/>
      <w:r>
        <w:rPr>
          <w:rtl/>
        </w:rPr>
        <w:t xml:space="preserve"> לא הגיש אותו, כי לא ידע כיצד לעשות זאת. ר׳ חיים הציע לטפל בעניין.</w:t>
      </w:r>
    </w:p>
    <w:p w14:paraId="0094485E" w14:textId="77777777" w:rsidR="00AB3647" w:rsidRDefault="00000000" w:rsidP="007923E9">
      <w:pPr>
        <w:spacing w:after="120" w:line="276" w:lineRule="auto"/>
        <w:ind w:firstLine="283"/>
        <w:jc w:val="both"/>
      </w:pPr>
      <w:r>
        <w:rPr>
          <w:rtl/>
        </w:rPr>
        <w:t xml:space="preserve">הוא לבש בגדי חורף כבדים – מעיל פרווה, כובע ומגפיים גבוהים – ונסע לווילנה. כשהתייצב לפני המושל, צחק הלה על בגדיו שאינם הולמים את העונה ושאל לפשרם. ר׳ חיים סיפר שסבו הופיע אליו בחלום בלילה הקודם ואמר לו שבאותו ערב תפרוץ סופת שלגים, ולכן יזדקק לבגדים כאלה למחרת ולדרכו חזרה </w:t>
      </w:r>
      <w:proofErr w:type="spellStart"/>
      <w:r>
        <w:rPr>
          <w:rtl/>
        </w:rPr>
        <w:t>לוולוז׳ין</w:t>
      </w:r>
      <w:proofErr w:type="spellEnd"/>
      <w:r>
        <w:rPr>
          <w:rtl/>
        </w:rPr>
        <w:t xml:space="preserve">. המושל צחק שוב ואמר: “אתה מאמין בחלומות מטופשים?” ור׳ חיים השיב: “זה עניין רציני, כי חלומות אחרים שבהם הופיע אליי תמיד התקיימו.” אז הציע ר׳ חיים למושל להתערב על התחזית ב־25 רובל. </w:t>
      </w:r>
      <w:proofErr w:type="spellStart"/>
      <w:r>
        <w:rPr>
          <w:rtl/>
        </w:rPr>
        <w:t>כשלא</w:t>
      </w:r>
      <w:proofErr w:type="spellEnd"/>
      <w:r>
        <w:rPr>
          <w:rtl/>
        </w:rPr>
        <w:t xml:space="preserve"> ירד שלג באותו לילה, שלח ר׳ חיים את 25 הרובל ביד שליח, ולמחרת בבוקר בא שוב כדי למסור את רשימת התלמידים. המושל קיבל את הרשימה בלי אומר ודברים. ר׳ חיים הבין ששוחד יכול להינתן בכל מיני דרכים, ולהשפיע אפילו שלא במודע.</w:t>
      </w:r>
      <w:bookmarkStart w:id="5403" w:name="_fnr4066"/>
      <w:r>
        <w:rPr>
          <w:vertAlign w:val="superscript"/>
          <w:rtl/>
        </w:rPr>
        <w:footnoteReference w:id="4076" w:customMarkFollows="0"/>
      </w:r>
      <w:bookmarkEnd w:id="5403"/>
    </w:p>
    <w:p w14:paraId="53A8F166" w14:textId="77777777" w:rsidR="00AB3647" w:rsidRDefault="00000000" w:rsidP="007923E9">
      <w:pPr>
        <w:spacing w:after="120" w:line="276" w:lineRule="auto"/>
        <w:ind w:firstLine="283"/>
        <w:jc w:val="both"/>
      </w:pPr>
      <w:r>
        <w:rPr>
          <w:rtl/>
        </w:rPr>
        <w:t>(5) ראה “תורת חיים”</w:t>
      </w:r>
      <w:bookmarkStart w:id="5404" w:name="_fnr4067"/>
      <w:r>
        <w:rPr>
          <w:vertAlign w:val="superscript"/>
          <w:rtl/>
        </w:rPr>
        <w:footnoteReference w:id="4077" w:customMarkFollows="0"/>
      </w:r>
      <w:bookmarkEnd w:id="5404"/>
      <w:r>
        <w:rPr>
          <w:rtl/>
        </w:rPr>
        <w:t xml:space="preserve">, סיפור מדהים על האופן שבו הסיק ר׳ חיים שמיסיונר הגיע </w:t>
      </w:r>
      <w:proofErr w:type="spellStart"/>
      <w:r>
        <w:rPr>
          <w:rtl/>
        </w:rPr>
        <w:t>לוולוז׳ין</w:t>
      </w:r>
      <w:proofErr w:type="spellEnd"/>
      <w:r>
        <w:rPr>
          <w:rtl/>
        </w:rPr>
        <w:t>. הסיפור מסתיים בפגישתו של ר׳ חיים עם המיסיונר ברכבת שנים רבות אחר כך – הלה נעשה בינתיים בישוף בעיר גדולה – ובדרך האגדית שבה גבר עליו ר׳ חיים כשניסה להעביר את הנוסעים היהודים על דתם.</w:t>
      </w:r>
    </w:p>
    <w:p w14:paraId="1341B930" w14:textId="77777777" w:rsidR="00AB3647" w:rsidRDefault="00000000" w:rsidP="007923E9">
      <w:pPr>
        <w:pStyle w:val="4"/>
        <w:spacing w:line="276" w:lineRule="auto"/>
      </w:pPr>
      <w:r>
        <w:lastRenderedPageBreak/>
        <w:t>· הפסקה השישית ·</w:t>
      </w:r>
    </w:p>
    <w:p w14:paraId="5B6A314A" w14:textId="77777777" w:rsidR="00AB3647" w:rsidRDefault="00000000" w:rsidP="007923E9">
      <w:pPr>
        <w:pStyle w:val="5"/>
        <w:spacing w:line="276" w:lineRule="auto"/>
      </w:pPr>
      <w:r>
        <w:rPr>
          <w:bCs/>
          <w:szCs w:val="26"/>
        </w:rPr>
        <w:t xml:space="preserve">אהבתו של ר׳ חיים </w:t>
      </w:r>
      <w:proofErr w:type="spellStart"/>
      <w:r>
        <w:rPr>
          <w:bCs/>
          <w:szCs w:val="26"/>
        </w:rPr>
        <w:t>סולובייצ׳יק</w:t>
      </w:r>
      <w:proofErr w:type="spellEnd"/>
      <w:r>
        <w:rPr>
          <w:bCs/>
          <w:szCs w:val="26"/>
        </w:rPr>
        <w:t xml:space="preserve"> לבריות מטעה אחדים לחשוב שאינו רואה פגמים באיש; הרשעים אינם מעניינו.</w:t>
      </w:r>
    </w:p>
    <w:p w14:paraId="13F1CF55" w14:textId="77777777" w:rsidR="00AB3647" w:rsidRDefault="00000000" w:rsidP="007923E9">
      <w:pPr>
        <w:spacing w:after="120" w:line="276" w:lineRule="auto"/>
        <w:ind w:firstLine="283"/>
        <w:jc w:val="both"/>
      </w:pPr>
      <w:r>
        <w:rPr>
          <w:rtl/>
        </w:rPr>
        <w:t xml:space="preserve">לבסוף הגעתי להבנה שונה לגמרי של דברי ר׳ חיים </w:t>
      </w:r>
      <w:proofErr w:type="spellStart"/>
      <w:r>
        <w:rPr>
          <w:rtl/>
        </w:rPr>
        <w:t>לר</w:t>
      </w:r>
      <w:proofErr w:type="spellEnd"/>
      <w:r>
        <w:rPr>
          <w:rtl/>
        </w:rPr>
        <w:t xml:space="preserve">׳ </w:t>
      </w:r>
      <w:proofErr w:type="spellStart"/>
      <w:r>
        <w:rPr>
          <w:rtl/>
        </w:rPr>
        <w:t>איצל׳ה</w:t>
      </w:r>
      <w:proofErr w:type="spellEnd"/>
      <w:r>
        <w:rPr>
          <w:rtl/>
        </w:rPr>
        <w:t xml:space="preserve"> </w:t>
      </w:r>
      <w:proofErr w:type="spellStart"/>
      <w:r>
        <w:rPr>
          <w:rtl/>
        </w:rPr>
        <w:t>בלאזר</w:t>
      </w:r>
      <w:proofErr w:type="spellEnd"/>
      <w:r>
        <w:rPr>
          <w:rtl/>
        </w:rPr>
        <w:t xml:space="preserve">, “אנו </w:t>
      </w:r>
      <w:proofErr w:type="spellStart"/>
      <w:r>
        <w:rPr>
          <w:rtl/>
        </w:rPr>
        <w:t>בוולוז׳ין</w:t>
      </w:r>
      <w:proofErr w:type="spellEnd"/>
      <w:r>
        <w:rPr>
          <w:rtl/>
        </w:rPr>
        <w:t xml:space="preserve"> איננו חולים”. זה היה אחרי שמצאתי </w:t>
      </w:r>
      <w:proofErr w:type="spellStart"/>
      <w:r>
        <w:rPr>
          <w:rtl/>
        </w:rPr>
        <w:t>ב“וולוז׳ין</w:t>
      </w:r>
      <w:proofErr w:type="spellEnd"/>
      <w:r>
        <w:rPr>
          <w:rtl/>
        </w:rPr>
        <w:t xml:space="preserve"> – ספרה של העיר ושל ישיבת עץ חיים” סיפור על ר׳ חיים</w:t>
      </w:r>
      <w:bookmarkStart w:id="5405" w:name="_fnr4068"/>
      <w:r>
        <w:rPr>
          <w:vertAlign w:val="superscript"/>
          <w:rtl/>
        </w:rPr>
        <w:footnoteReference w:id="4078" w:customMarkFollows="0"/>
      </w:r>
      <w:bookmarkEnd w:id="5405"/>
      <w:r>
        <w:rPr>
          <w:rtl/>
        </w:rPr>
        <w:t xml:space="preserve">, כנראה בלתי מהימן, שהיה מסופר </w:t>
      </w:r>
      <w:proofErr w:type="spellStart"/>
      <w:r>
        <w:rPr>
          <w:rtl/>
        </w:rPr>
        <w:t>בבריסק</w:t>
      </w:r>
      <w:proofErr w:type="spellEnd"/>
      <w:r>
        <w:rPr>
          <w:rtl/>
        </w:rPr>
        <w:t>: “פעם ישבו כמה תלמידי חכמים בבית ר׳ חיים ודנו בעניין ‘</w:t>
      </w:r>
      <w:proofErr w:type="spellStart"/>
      <w:r>
        <w:rPr>
          <w:rtl/>
        </w:rPr>
        <w:t>קרקפתא</w:t>
      </w:r>
      <w:proofErr w:type="spellEnd"/>
      <w:r>
        <w:rPr>
          <w:rtl/>
        </w:rPr>
        <w:t xml:space="preserve"> דלא מנח תפילין’.</w:t>
      </w:r>
      <w:bookmarkStart w:id="5406" w:name="_fnr4069"/>
      <w:r>
        <w:rPr>
          <w:vertAlign w:val="superscript"/>
          <w:rtl/>
        </w:rPr>
        <w:footnoteReference w:id="4079" w:customMarkFollows="0"/>
      </w:r>
      <w:bookmarkEnd w:id="5406"/>
      <w:r>
        <w:rPr>
          <w:rtl/>
        </w:rPr>
        <w:t xml:space="preserve"> המחמירים אמרו: ‘אדם כזה יצא מכלל ישראל’, והמקילים אמרו: ‘אף שחטא, עודנו יהודי’. החליטו לשאול את ר׳ חיים. ‘</w:t>
      </w:r>
      <w:proofErr w:type="spellStart"/>
      <w:r>
        <w:rPr>
          <w:rtl/>
        </w:rPr>
        <w:t>תמיהני</w:t>
      </w:r>
      <w:proofErr w:type="spellEnd"/>
      <w:r>
        <w:rPr>
          <w:rtl/>
        </w:rPr>
        <w:t>!’ השיב. ‘האם יש בכלל יהודי שאינו מניח תפילין?!’” עורך “</w:t>
      </w:r>
      <w:proofErr w:type="spellStart"/>
      <w:r>
        <w:rPr>
          <w:rtl/>
        </w:rPr>
        <w:t>וולוז׳ין</w:t>
      </w:r>
      <w:proofErr w:type="spellEnd"/>
      <w:r>
        <w:rPr>
          <w:rtl/>
        </w:rPr>
        <w:t xml:space="preserve"> – ספרה של העיר ושל ישיבת עץ חיים”, אליעזר </w:t>
      </w:r>
      <w:proofErr w:type="spellStart"/>
      <w:r>
        <w:rPr>
          <w:rtl/>
        </w:rPr>
        <w:t>ליאוני</w:t>
      </w:r>
      <w:proofErr w:type="spellEnd"/>
      <w:r>
        <w:rPr>
          <w:rtl/>
        </w:rPr>
        <w:t xml:space="preserve">, מבין מן הסיפור </w:t>
      </w:r>
      <w:proofErr w:type="spellStart"/>
      <w:r>
        <w:rPr>
          <w:rtl/>
        </w:rPr>
        <w:t>ש“במשך</w:t>
      </w:r>
      <w:proofErr w:type="spellEnd"/>
      <w:r>
        <w:rPr>
          <w:rtl/>
        </w:rPr>
        <w:t xml:space="preserve"> כל חייו מצא ר׳ חיים זכות במעשי בני האדם”. </w:t>
      </w:r>
      <w:proofErr w:type="spellStart"/>
      <w:r>
        <w:rPr>
          <w:rtl/>
        </w:rPr>
        <w:t>ליאוני</w:t>
      </w:r>
      <w:proofErr w:type="spellEnd"/>
      <w:r>
        <w:rPr>
          <w:rtl/>
        </w:rPr>
        <w:t xml:space="preserve"> ממשיך בהתלהבות: “הוא לא חיפש את חטאיו של האדם, אלא תמיד ניסה לגלות את הטוב שבו, את המאור שבו. הייתה בו הבנה לבני אדם שהתלכלכו בחטא, והוא ראה את הפגם לא בהם אלא בתנאי חייהם ובנסיבות שלא תמיד יש לאדם שליטה עליהן.”</w:t>
      </w:r>
    </w:p>
    <w:p w14:paraId="3EABB57D" w14:textId="77777777" w:rsidR="00AB3647" w:rsidRDefault="00000000" w:rsidP="007923E9">
      <w:pPr>
        <w:spacing w:after="120" w:line="276" w:lineRule="auto"/>
        <w:ind w:firstLine="283"/>
        <w:jc w:val="both"/>
      </w:pPr>
      <w:r>
        <w:rPr>
          <w:rtl/>
        </w:rPr>
        <w:t xml:space="preserve">פירוש זה הוא דברי הבל! כיצד יכול מנהיג כלשהו – ור׳ חיים ודאי היה מנהיג משנעשה רב </w:t>
      </w:r>
      <w:proofErr w:type="spellStart"/>
      <w:r>
        <w:rPr>
          <w:rtl/>
        </w:rPr>
        <w:t>בריסק</w:t>
      </w:r>
      <w:proofErr w:type="spellEnd"/>
      <w:r>
        <w:rPr>
          <w:rtl/>
        </w:rPr>
        <w:t xml:space="preserve"> – להיות עיוור למציאותם של יהודים חוטאים? ובאשר </w:t>
      </w:r>
      <w:proofErr w:type="spellStart"/>
      <w:r>
        <w:rPr>
          <w:rtl/>
        </w:rPr>
        <w:t>לר</w:t>
      </w:r>
      <w:proofErr w:type="spellEnd"/>
      <w:r>
        <w:rPr>
          <w:rtl/>
        </w:rPr>
        <w:t xml:space="preserve">׳ חיים עצמו: האם תפיסתו של </w:t>
      </w:r>
      <w:proofErr w:type="spellStart"/>
      <w:r>
        <w:rPr>
          <w:rtl/>
        </w:rPr>
        <w:t>ליאוני</w:t>
      </w:r>
      <w:proofErr w:type="spellEnd"/>
      <w:r>
        <w:rPr>
          <w:rtl/>
        </w:rPr>
        <w:t xml:space="preserve"> מתיישבת, למשל, עם חשדות הרצח שהטיל בציונים? ר׳ </w:t>
      </w:r>
      <w:proofErr w:type="spellStart"/>
      <w:r>
        <w:rPr>
          <w:rtl/>
        </w:rPr>
        <w:t>ברוך־בער</w:t>
      </w:r>
      <w:proofErr w:type="spellEnd"/>
      <w:r>
        <w:rPr>
          <w:rtl/>
        </w:rPr>
        <w:t xml:space="preserve"> פעל על פי חשדות אלו: כששני תלמידי ישיבה ציונים שגורשו באו לביתו להיפרד ממנו, ביקש מכמה מתלמידיו הנאמנים להיות נוכחים, “שמא יכניסו (אותו) לשק וישליכו (אותו) לנהר (בהתאם לדעת רבו ר׳ חיים על הציונים)”.</w:t>
      </w:r>
      <w:bookmarkStart w:id="5407" w:name="_fnr4070"/>
      <w:r>
        <w:rPr>
          <w:vertAlign w:val="superscript"/>
          <w:rtl/>
        </w:rPr>
        <w:footnoteReference w:id="4080" w:customMarkFollows="0"/>
      </w:r>
      <w:bookmarkEnd w:id="5407"/>
      <w:r>
        <w:rPr>
          <w:rtl/>
        </w:rPr>
        <w:t xml:space="preserve"> לא ידוע לי שר׳ חיים עצמו פעל על פי “חשדותיו” כמו שעשה תלמידו ר׳ </w:t>
      </w:r>
      <w:proofErr w:type="spellStart"/>
      <w:r>
        <w:rPr>
          <w:rtl/>
        </w:rPr>
        <w:t>ברוך־בער</w:t>
      </w:r>
      <w:proofErr w:type="spellEnd"/>
      <w:r>
        <w:rPr>
          <w:rtl/>
        </w:rPr>
        <w:t>, אבל ודאי לא ראה את כלל ישראל כקהילה של צדיקים טהורים.</w:t>
      </w:r>
    </w:p>
    <w:p w14:paraId="5C5E4C6F" w14:textId="77777777" w:rsidR="00AB3647" w:rsidRDefault="00000000" w:rsidP="007923E9">
      <w:pPr>
        <w:spacing w:after="120" w:line="276" w:lineRule="auto"/>
        <w:ind w:firstLine="283"/>
        <w:jc w:val="both"/>
      </w:pPr>
      <w:r>
        <w:rPr>
          <w:rtl/>
        </w:rPr>
        <w:t xml:space="preserve">ההבנה הנכונה של הערת ר׳ חיים על דיון החכמים בתפילין היא שאנשים שאינם מניחים תפילין אינם מענייננו: “האם יש בכלל יהודי שעלינו לדבר עליו, שאינו מניח תפילין? אם כן, חדלו לדבר על אנשים כאלה!” בדומה לכך, כשאמר ר׳ חיים </w:t>
      </w:r>
      <w:proofErr w:type="spellStart"/>
      <w:r>
        <w:rPr>
          <w:rtl/>
        </w:rPr>
        <w:t>לר</w:t>
      </w:r>
      <w:proofErr w:type="spellEnd"/>
      <w:r>
        <w:rPr>
          <w:rtl/>
        </w:rPr>
        <w:t xml:space="preserve">׳ </w:t>
      </w:r>
      <w:proofErr w:type="spellStart"/>
      <w:r>
        <w:rPr>
          <w:rtl/>
        </w:rPr>
        <w:t>איצל׳ה</w:t>
      </w:r>
      <w:proofErr w:type="spellEnd"/>
      <w:r>
        <w:rPr>
          <w:rtl/>
        </w:rPr>
        <w:t xml:space="preserve"> “אנו </w:t>
      </w:r>
      <w:proofErr w:type="spellStart"/>
      <w:r>
        <w:rPr>
          <w:rtl/>
        </w:rPr>
        <w:t>בוולוז׳ין</w:t>
      </w:r>
      <w:proofErr w:type="spellEnd"/>
      <w:r>
        <w:rPr>
          <w:rtl/>
        </w:rPr>
        <w:t xml:space="preserve"> איננו חולים”, התכוון פשוט לומר: “איננו עוסקים במי שנלכדו ברשת ההשכלה, ושארנו </w:t>
      </w:r>
      <w:proofErr w:type="spellStart"/>
      <w:r>
        <w:rPr>
          <w:rtl/>
        </w:rPr>
        <w:t>בוולוז׳ין</w:t>
      </w:r>
      <w:proofErr w:type="spellEnd"/>
      <w:r>
        <w:rPr>
          <w:rtl/>
        </w:rPr>
        <w:t xml:space="preserve"> איננו חולים שנזדקק לרפואת המוסר.” הוא קבע כאן את קווי המדיניות של ישיבת </w:t>
      </w:r>
      <w:proofErr w:type="spellStart"/>
      <w:r>
        <w:rPr>
          <w:rtl/>
        </w:rPr>
        <w:t>וולוז׳ין</w:t>
      </w:r>
      <w:proofErr w:type="spellEnd"/>
      <w:r>
        <w:rPr>
          <w:rtl/>
        </w:rPr>
        <w:t xml:space="preserve">: להפנות את מלוא מאמצי ההנהלה לקידום התלמידים הישרים, </w:t>
      </w:r>
      <w:proofErr w:type="spellStart"/>
      <w:r>
        <w:rPr>
          <w:rtl/>
        </w:rPr>
        <w:t>ה“בריאים</w:t>
      </w:r>
      <w:proofErr w:type="spellEnd"/>
      <w:r>
        <w:rPr>
          <w:rtl/>
        </w:rPr>
        <w:t xml:space="preserve">”, ולא לקירוב הנופלים, </w:t>
      </w:r>
      <w:proofErr w:type="spellStart"/>
      <w:r>
        <w:rPr>
          <w:rtl/>
        </w:rPr>
        <w:t>ה“חולים</w:t>
      </w:r>
      <w:proofErr w:type="spellEnd"/>
      <w:r>
        <w:rPr>
          <w:rtl/>
        </w:rPr>
        <w:t>”.</w:t>
      </w:r>
    </w:p>
    <w:p w14:paraId="28A717DE" w14:textId="77777777" w:rsidR="00AB3647" w:rsidRDefault="00000000" w:rsidP="007923E9">
      <w:pPr>
        <w:spacing w:after="120" w:line="276" w:lineRule="auto"/>
        <w:ind w:firstLine="283"/>
        <w:jc w:val="both"/>
      </w:pPr>
      <w:r>
        <w:rPr>
          <w:rtl/>
        </w:rPr>
        <w:t>גישה זו, המוציאה מן הכלל, אולי אינה גישתו של מדריך אמיתי, אבל היא מתיישבת עם דעתי שהובעה בסוף הפסקה השנייה של נספח ח בפרק 3</w:t>
      </w:r>
      <w:hyperlink w:anchor="b4_note30" w:history="1">
        <w:r w:rsidR="007923E9" w:rsidRPr="007923E9">
          <w:rPr>
            <w:rStyle w:val="Hyperlink"/>
          </w:rPr>
          <w:t xml:space="preserve"/>
        </w:r>
      </w:hyperlink>
      <w:r>
        <w:rPr>
          <w:rtl/>
        </w:rPr>
        <w:t>: אף שר׳ חיים היה מורה מעולה,</w:t>
      </w:r>
      <w:bookmarkStart w:id="5408" w:name="_fnr4071"/>
      <w:r>
        <w:rPr>
          <w:vertAlign w:val="superscript"/>
          <w:rtl/>
        </w:rPr>
        <w:footnoteReference w:id="4081" w:customMarkFollows="0"/>
      </w:r>
      <w:bookmarkEnd w:id="5408"/>
      <w:r>
        <w:rPr>
          <w:rtl/>
        </w:rPr>
        <w:t xml:space="preserve"> כמחנך לא הגיע לאותה מדרגה. חינוך במלוא מובן המילה לא היה בתחום עניינו; </w:t>
      </w:r>
      <w:r>
        <w:rPr>
          <w:rtl/>
        </w:rPr>
        <w:lastRenderedPageBreak/>
        <w:t xml:space="preserve">רק הוראה הייתה בו. אבל אין ספק שר׳ חיים ידע היטב שבקרב תלמידי </w:t>
      </w:r>
      <w:proofErr w:type="spellStart"/>
      <w:r>
        <w:rPr>
          <w:rtl/>
        </w:rPr>
        <w:t>וולוז׳ין</w:t>
      </w:r>
      <w:proofErr w:type="spellEnd"/>
      <w:r>
        <w:rPr>
          <w:rtl/>
        </w:rPr>
        <w:t xml:space="preserve"> תססו מוקדים קטנים של חולי רוחני!</w:t>
      </w:r>
    </w:p>
    <w:p w14:paraId="2D4B5573" w14:textId="77777777" w:rsidR="00AB3647" w:rsidRDefault="00000000" w:rsidP="007923E9">
      <w:pPr>
        <w:pStyle w:val="4"/>
        <w:spacing w:line="276" w:lineRule="auto"/>
      </w:pPr>
      <w:r>
        <w:t>· הפסקה השביעית ·</w:t>
      </w:r>
    </w:p>
    <w:p w14:paraId="3E19E04A" w14:textId="77777777" w:rsidR="00AB3647" w:rsidRDefault="00000000" w:rsidP="007923E9">
      <w:pPr>
        <w:pStyle w:val="5"/>
        <w:spacing w:line="276" w:lineRule="auto"/>
      </w:pPr>
      <w:r>
        <w:rPr>
          <w:bCs/>
          <w:szCs w:val="26"/>
        </w:rPr>
        <w:t xml:space="preserve">ביקורו של ר׳ </w:t>
      </w:r>
      <w:proofErr w:type="spellStart"/>
      <w:r>
        <w:rPr>
          <w:bCs/>
          <w:szCs w:val="26"/>
        </w:rPr>
        <w:t>איצל׳ה</w:t>
      </w:r>
      <w:proofErr w:type="spellEnd"/>
      <w:r>
        <w:rPr>
          <w:bCs/>
          <w:szCs w:val="26"/>
        </w:rPr>
        <w:t xml:space="preserve"> </w:t>
      </w:r>
      <w:proofErr w:type="spellStart"/>
      <w:r>
        <w:rPr>
          <w:bCs/>
          <w:szCs w:val="26"/>
        </w:rPr>
        <w:t>בלאזר</w:t>
      </w:r>
      <w:proofErr w:type="spellEnd"/>
      <w:r>
        <w:rPr>
          <w:bCs/>
          <w:szCs w:val="26"/>
        </w:rPr>
        <w:t xml:space="preserve"> </w:t>
      </w:r>
      <w:proofErr w:type="spellStart"/>
      <w:r>
        <w:rPr>
          <w:bCs/>
          <w:szCs w:val="26"/>
        </w:rPr>
        <w:t>בוולוז׳ין</w:t>
      </w:r>
      <w:proofErr w:type="spellEnd"/>
      <w:r>
        <w:rPr>
          <w:bCs/>
          <w:szCs w:val="26"/>
        </w:rPr>
        <w:t xml:space="preserve"> מתקיים לאחר שר׳ חיים </w:t>
      </w:r>
      <w:proofErr w:type="spellStart"/>
      <w:r>
        <w:rPr>
          <w:bCs/>
          <w:szCs w:val="26"/>
        </w:rPr>
        <w:t>סולובייצ׳יק</w:t>
      </w:r>
      <w:proofErr w:type="spellEnd"/>
      <w:r>
        <w:rPr>
          <w:bCs/>
          <w:szCs w:val="26"/>
        </w:rPr>
        <w:t xml:space="preserve"> נעשה איש סגל שם – הביקור המתוכנן של ר׳ </w:t>
      </w:r>
      <w:proofErr w:type="spellStart"/>
      <w:r>
        <w:rPr>
          <w:bCs/>
          <w:szCs w:val="26"/>
        </w:rPr>
        <w:t>איצל׳ה</w:t>
      </w:r>
      <w:proofErr w:type="spellEnd"/>
      <w:r>
        <w:rPr>
          <w:bCs/>
          <w:szCs w:val="26"/>
        </w:rPr>
        <w:t xml:space="preserve"> נרמז במכתבי ר׳ </w:t>
      </w:r>
      <w:proofErr w:type="spellStart"/>
      <w:r>
        <w:rPr>
          <w:bCs/>
          <w:szCs w:val="26"/>
        </w:rPr>
        <w:t>שמחה־זיסל</w:t>
      </w:r>
      <w:proofErr w:type="spellEnd"/>
      <w:r>
        <w:rPr>
          <w:bCs/>
          <w:szCs w:val="26"/>
        </w:rPr>
        <w:t xml:space="preserve"> זיו – ייתכן שהביקור שנכשל היה זרז להקמת הישיבה </w:t>
      </w:r>
      <w:proofErr w:type="spellStart"/>
      <w:r>
        <w:rPr>
          <w:bCs/>
          <w:szCs w:val="26"/>
        </w:rPr>
        <w:t>בסלבודקה</w:t>
      </w:r>
      <w:proofErr w:type="spellEnd"/>
      <w:r>
        <w:rPr>
          <w:bCs/>
          <w:szCs w:val="26"/>
        </w:rPr>
        <w:t>.</w:t>
      </w:r>
    </w:p>
    <w:p w14:paraId="01BE439D" w14:textId="77777777" w:rsidR="00AB3647" w:rsidRDefault="00000000" w:rsidP="007923E9">
      <w:pPr>
        <w:spacing w:after="120" w:line="276" w:lineRule="auto"/>
        <w:ind w:firstLine="283"/>
        <w:jc w:val="both"/>
      </w:pPr>
      <w:r>
        <w:rPr>
          <w:rtl/>
        </w:rPr>
        <w:t xml:space="preserve">הבנה זו של דברי ר׳ חיים מביאה לידי תיקון התאריך ששוער בתחילה לביקורו של ר׳ </w:t>
      </w:r>
      <w:proofErr w:type="spellStart"/>
      <w:r>
        <w:rPr>
          <w:rtl/>
        </w:rPr>
        <w:t>איצל׳ה</w:t>
      </w:r>
      <w:proofErr w:type="spellEnd"/>
      <w:r>
        <w:rPr>
          <w:rtl/>
        </w:rPr>
        <w:t xml:space="preserve"> </w:t>
      </w:r>
      <w:proofErr w:type="spellStart"/>
      <w:r>
        <w:rPr>
          <w:rtl/>
        </w:rPr>
        <w:t>בוולוז׳ין</w:t>
      </w:r>
      <w:proofErr w:type="spellEnd"/>
      <w:r>
        <w:rPr>
          <w:rtl/>
        </w:rPr>
        <w:t xml:space="preserve"> – לפני הקמת כולל קובנה, כשר׳ חיים היה לקראת סוף שש שנות </w:t>
      </w:r>
      <w:proofErr w:type="spellStart"/>
      <w:r>
        <w:rPr>
          <w:rtl/>
        </w:rPr>
        <w:t>הקעסט</w:t>
      </w:r>
      <w:proofErr w:type="spellEnd"/>
      <w:r>
        <w:rPr>
          <w:rtl/>
        </w:rPr>
        <w:t xml:space="preserve"> שלו. אז עדיין לא היה ר׳ חיים קובע את מדיניות הישיבה, בייחוד מפני שראש הישיבה, </w:t>
      </w:r>
      <w:proofErr w:type="spellStart"/>
      <w:r>
        <w:rPr>
          <w:rtl/>
        </w:rPr>
        <w:t>הנצי״ב</w:t>
      </w:r>
      <w:proofErr w:type="spellEnd"/>
      <w:r>
        <w:rPr>
          <w:rtl/>
        </w:rPr>
        <w:t xml:space="preserve">, לא החזיק בעצמו, לדעתי, בגישה המדירה הזאת. ביקורו של ר׳ </w:t>
      </w:r>
      <w:proofErr w:type="spellStart"/>
      <w:r>
        <w:rPr>
          <w:rtl/>
        </w:rPr>
        <w:t>איצל׳ה</w:t>
      </w:r>
      <w:proofErr w:type="spellEnd"/>
      <w:r>
        <w:rPr>
          <w:rtl/>
        </w:rPr>
        <w:t xml:space="preserve"> מוכרח היה להתרחש מאוחר יותר, כשר׳ חיים כבר נמנה עם סגל הישיבה: בזמן כלשהו אחרי ראשית קיץ תר״מ, כשכולל קובנה כבר נוסד </w:t>
      </w:r>
      <w:proofErr w:type="spellStart"/>
      <w:r>
        <w:rPr>
          <w:rtl/>
        </w:rPr>
        <w:t>ולר</w:t>
      </w:r>
      <w:proofErr w:type="spellEnd"/>
      <w:r>
        <w:rPr>
          <w:rtl/>
        </w:rPr>
        <w:t xml:space="preserve">׳ חיים כבר היה קול – אם כי קול של מיעוט – בקביעת דרכה של </w:t>
      </w:r>
      <w:proofErr w:type="spellStart"/>
      <w:r>
        <w:rPr>
          <w:rtl/>
        </w:rPr>
        <w:t>וולוז׳ין</w:t>
      </w:r>
      <w:bookmarkStart w:id="5409" w:name="_fnr4072"/>
      <w:proofErr w:type="spellEnd"/>
      <w:r>
        <w:rPr>
          <w:vertAlign w:val="superscript"/>
          <w:rtl/>
        </w:rPr>
        <w:footnoteReference w:id="4082" w:customMarkFollows="0"/>
      </w:r>
      <w:bookmarkEnd w:id="5409"/>
      <w:r>
        <w:rPr>
          <w:rtl/>
        </w:rPr>
        <w:t>.</w:t>
      </w:r>
    </w:p>
    <w:p w14:paraId="7B349182" w14:textId="77777777" w:rsidR="00AB3647" w:rsidRDefault="00000000" w:rsidP="007923E9">
      <w:pPr>
        <w:spacing w:after="120" w:line="276" w:lineRule="auto"/>
        <w:ind w:firstLine="283"/>
        <w:jc w:val="both"/>
      </w:pPr>
      <w:r>
        <w:rPr>
          <w:rtl/>
        </w:rPr>
        <w:t xml:space="preserve">בעקבות תיקון זה אפשר לשער שר׳ </w:t>
      </w:r>
      <w:proofErr w:type="spellStart"/>
      <w:r>
        <w:rPr>
          <w:rtl/>
        </w:rPr>
        <w:t>איצל׳ה</w:t>
      </w:r>
      <w:proofErr w:type="spellEnd"/>
      <w:r>
        <w:rPr>
          <w:rtl/>
        </w:rPr>
        <w:t xml:space="preserve"> ביקר </w:t>
      </w:r>
      <w:proofErr w:type="spellStart"/>
      <w:r>
        <w:rPr>
          <w:rtl/>
        </w:rPr>
        <w:t>בוולוז׳ין</w:t>
      </w:r>
      <w:proofErr w:type="spellEnd"/>
      <w:r>
        <w:rPr>
          <w:rtl/>
        </w:rPr>
        <w:t xml:space="preserve"> אחרי שראה שאפשר להפיץ בהצלחה בישיבה את המוסר, שנועד מלכתחילה להיות עיסוק לשעות הפנאי של בעלי בתים – כלומר, בזמן כלשהו אחרי הקמת ישיבת </w:t>
      </w:r>
      <w:proofErr w:type="spellStart"/>
      <w:r>
        <w:rPr>
          <w:rtl/>
        </w:rPr>
        <w:t>סלבודקה</w:t>
      </w:r>
      <w:proofErr w:type="spellEnd"/>
      <w:r>
        <w:rPr>
          <w:rtl/>
        </w:rPr>
        <w:t xml:space="preserve"> </w:t>
      </w:r>
      <w:proofErr w:type="spellStart"/>
      <w:r>
        <w:rPr>
          <w:rtl/>
        </w:rPr>
        <w:t>בתרמ״ב</w:t>
      </w:r>
      <w:proofErr w:type="spellEnd"/>
      <w:r>
        <w:rPr>
          <w:rtl/>
        </w:rPr>
        <w:t xml:space="preserve">. אבל אפשר למצוא רמז למועד המדויק שבו תכנן ר׳ </w:t>
      </w:r>
      <w:proofErr w:type="spellStart"/>
      <w:r>
        <w:rPr>
          <w:rtl/>
        </w:rPr>
        <w:t>איצל׳ה</w:t>
      </w:r>
      <w:proofErr w:type="spellEnd"/>
      <w:r>
        <w:rPr>
          <w:rtl/>
        </w:rPr>
        <w:t xml:space="preserve"> את ביקורו </w:t>
      </w:r>
      <w:proofErr w:type="spellStart"/>
      <w:r>
        <w:rPr>
          <w:rtl/>
        </w:rPr>
        <w:t>בוולוז׳ין</w:t>
      </w:r>
      <w:proofErr w:type="spellEnd"/>
      <w:r>
        <w:rPr>
          <w:rtl/>
        </w:rPr>
        <w:t xml:space="preserve">, והוא קודם להקמת ישיבת </w:t>
      </w:r>
      <w:proofErr w:type="spellStart"/>
      <w:r>
        <w:rPr>
          <w:rtl/>
        </w:rPr>
        <w:t>סלבודקה</w:t>
      </w:r>
      <w:proofErr w:type="spellEnd"/>
      <w:r>
        <w:rPr>
          <w:rtl/>
        </w:rPr>
        <w:t>.</w:t>
      </w:r>
    </w:p>
    <w:p w14:paraId="2ABF2044" w14:textId="77777777" w:rsidR="00AB3647" w:rsidRDefault="00000000" w:rsidP="007923E9">
      <w:pPr>
        <w:spacing w:after="120" w:line="276" w:lineRule="auto"/>
        <w:ind w:firstLine="283"/>
        <w:jc w:val="both"/>
      </w:pPr>
      <w:proofErr w:type="spellStart"/>
      <w:r>
        <w:rPr>
          <w:rtl/>
        </w:rPr>
        <w:t>ב“כוכבי</w:t>
      </w:r>
      <w:proofErr w:type="spellEnd"/>
      <w:r>
        <w:rPr>
          <w:rtl/>
        </w:rPr>
        <w:t xml:space="preserve"> אור”</w:t>
      </w:r>
      <w:bookmarkStart w:id="5410" w:name="_fnr4073"/>
      <w:r>
        <w:rPr>
          <w:vertAlign w:val="superscript"/>
          <w:rtl/>
        </w:rPr>
        <w:footnoteReference w:id="4083" w:customMarkFollows="0"/>
      </w:r>
      <w:bookmarkEnd w:id="5410"/>
      <w:r>
        <w:rPr>
          <w:rtl/>
        </w:rPr>
        <w:t xml:space="preserve"> נדפס מכתב בלי תאריך מאת ר׳ </w:t>
      </w:r>
      <w:proofErr w:type="spellStart"/>
      <w:r>
        <w:rPr>
          <w:rtl/>
        </w:rPr>
        <w:t>שמחה־זיסל</w:t>
      </w:r>
      <w:proofErr w:type="spellEnd"/>
      <w:r>
        <w:rPr>
          <w:rtl/>
        </w:rPr>
        <w:t xml:space="preserve"> זיו </w:t>
      </w:r>
      <w:proofErr w:type="spellStart"/>
      <w:r>
        <w:rPr>
          <w:rtl/>
        </w:rPr>
        <w:t>לר</w:t>
      </w:r>
      <w:proofErr w:type="spellEnd"/>
      <w:r>
        <w:rPr>
          <w:rtl/>
        </w:rPr>
        <w:t xml:space="preserve">׳ </w:t>
      </w:r>
      <w:proofErr w:type="spellStart"/>
      <w:r>
        <w:rPr>
          <w:rtl/>
        </w:rPr>
        <w:t>איצל׳ה</w:t>
      </w:r>
      <w:proofErr w:type="spellEnd"/>
      <w:r>
        <w:rPr>
          <w:rtl/>
        </w:rPr>
        <w:t xml:space="preserve"> </w:t>
      </w:r>
      <w:proofErr w:type="spellStart"/>
      <w:r>
        <w:rPr>
          <w:rtl/>
        </w:rPr>
        <w:t>בלאזר</w:t>
      </w:r>
      <w:proofErr w:type="spellEnd"/>
      <w:r>
        <w:rPr>
          <w:rtl/>
        </w:rPr>
        <w:t xml:space="preserve">, ובו שתי תוספות אחרי החתימה. מן המכתב אפשר ללקט פרטים על ענייננו. גוף המכתב כולל: (א) אזכור של חידושי מוסר מאת “אדמו״ר נ״י” – עדות שהמכתב נכתב בחיי ר׳ ישראל </w:t>
      </w:r>
      <w:proofErr w:type="spellStart"/>
      <w:r>
        <w:rPr>
          <w:rtl/>
        </w:rPr>
        <w:t>סלנטר</w:t>
      </w:r>
      <w:proofErr w:type="spellEnd"/>
      <w:r>
        <w:rPr>
          <w:rtl/>
        </w:rPr>
        <w:t xml:space="preserve">. (ב) בקשה להעביר מכתבים לשני אנשים אמידים, “הנגיד ר׳ אלחנן </w:t>
      </w:r>
      <w:proofErr w:type="spellStart"/>
      <w:r>
        <w:rPr>
          <w:rtl/>
        </w:rPr>
        <w:t>קאהאן</w:t>
      </w:r>
      <w:proofErr w:type="spellEnd"/>
      <w:r>
        <w:rPr>
          <w:rtl/>
        </w:rPr>
        <w:t xml:space="preserve">” </w:t>
      </w:r>
      <w:proofErr w:type="spellStart"/>
      <w:r>
        <w:rPr>
          <w:rtl/>
        </w:rPr>
        <w:t>ו“הר</w:t>
      </w:r>
      <w:proofErr w:type="spellEnd"/>
      <w:r>
        <w:rPr>
          <w:rtl/>
        </w:rPr>
        <w:t xml:space="preserve">׳ הנגיד ר׳ </w:t>
      </w:r>
      <w:proofErr w:type="spellStart"/>
      <w:r>
        <w:rPr>
          <w:rtl/>
        </w:rPr>
        <w:t>ארציג</w:t>
      </w:r>
      <w:proofErr w:type="spellEnd"/>
      <w:r>
        <w:rPr>
          <w:rtl/>
        </w:rPr>
        <w:t>”. הראשון שבהם נזכר גם</w:t>
      </w:r>
      <w:bookmarkStart w:id="5411" w:name="_fnr4074"/>
      <w:r>
        <w:rPr>
          <w:vertAlign w:val="superscript"/>
          <w:rtl/>
        </w:rPr>
        <w:footnoteReference w:id="4084" w:customMarkFollows="0"/>
      </w:r>
      <w:bookmarkEnd w:id="5411"/>
      <w:r>
        <w:rPr>
          <w:rtl/>
        </w:rPr>
        <w:t xml:space="preserve"> במכתבים מאת ר׳ נפתלי אמסטרדם </w:t>
      </w:r>
      <w:proofErr w:type="spellStart"/>
      <w:r>
        <w:rPr>
          <w:rtl/>
        </w:rPr>
        <w:t>לר</w:t>
      </w:r>
      <w:proofErr w:type="spellEnd"/>
      <w:r>
        <w:rPr>
          <w:rtl/>
        </w:rPr>
        <w:t xml:space="preserve">׳ </w:t>
      </w:r>
      <w:proofErr w:type="spellStart"/>
      <w:r>
        <w:rPr>
          <w:rtl/>
        </w:rPr>
        <w:t>איצל׳ה</w:t>
      </w:r>
      <w:proofErr w:type="spellEnd"/>
      <w:r>
        <w:rPr>
          <w:rtl/>
        </w:rPr>
        <w:t>, וכן</w:t>
      </w:r>
      <w:bookmarkStart w:id="5412" w:name="_fnr4075"/>
      <w:r>
        <w:rPr>
          <w:vertAlign w:val="superscript"/>
          <w:rtl/>
        </w:rPr>
        <w:footnoteReference w:id="4085" w:customMarkFollows="0"/>
      </w:r>
      <w:bookmarkEnd w:id="5412"/>
      <w:r>
        <w:rPr>
          <w:rtl/>
        </w:rPr>
        <w:t xml:space="preserve"> לנמען שאינו מצוין, ומכאן רמז שמכתבו של ר׳ </w:t>
      </w:r>
      <w:proofErr w:type="spellStart"/>
      <w:r>
        <w:rPr>
          <w:rtl/>
        </w:rPr>
        <w:t>שמחה־זיסל</w:t>
      </w:r>
      <w:proofErr w:type="spellEnd"/>
      <w:r>
        <w:rPr>
          <w:rtl/>
        </w:rPr>
        <w:t xml:space="preserve"> זיו נכתב אחרי שר׳ </w:t>
      </w:r>
      <w:proofErr w:type="spellStart"/>
      <w:r>
        <w:rPr>
          <w:rtl/>
        </w:rPr>
        <w:t>איצל׳ה</w:t>
      </w:r>
      <w:proofErr w:type="spellEnd"/>
      <w:r>
        <w:rPr>
          <w:rtl/>
        </w:rPr>
        <w:t xml:space="preserve"> כבר עזב את פטרבורג והתגורר בקובנה, שבה חיו האנשים הנזכרים והיו מוכרים </w:t>
      </w:r>
      <w:proofErr w:type="spellStart"/>
      <w:r>
        <w:rPr>
          <w:rtl/>
        </w:rPr>
        <w:t>לר</w:t>
      </w:r>
      <w:proofErr w:type="spellEnd"/>
      <w:r>
        <w:rPr>
          <w:rtl/>
        </w:rPr>
        <w:t xml:space="preserve">׳ נפתלי. (ג) בקשה שהתשובה למכתב תישלח לכתובת אביו של ר׳ </w:t>
      </w:r>
      <w:proofErr w:type="spellStart"/>
      <w:r>
        <w:rPr>
          <w:rtl/>
        </w:rPr>
        <w:t>שמחה־זיסל</w:t>
      </w:r>
      <w:proofErr w:type="spellEnd"/>
      <w:r>
        <w:rPr>
          <w:rtl/>
        </w:rPr>
        <w:t xml:space="preserve"> </w:t>
      </w:r>
      <w:proofErr w:type="spellStart"/>
      <w:r>
        <w:rPr>
          <w:rtl/>
        </w:rPr>
        <w:t>בקלם</w:t>
      </w:r>
      <w:proofErr w:type="spellEnd"/>
      <w:r>
        <w:rPr>
          <w:rtl/>
        </w:rPr>
        <w:t xml:space="preserve">, “שאליה [הכותב] ייסע הביתה לקראת החג (פסח)”, </w:t>
      </w:r>
      <w:proofErr w:type="spellStart"/>
      <w:r>
        <w:rPr>
          <w:rtl/>
        </w:rPr>
        <w:t>ו“שאליה</w:t>
      </w:r>
      <w:proofErr w:type="spellEnd"/>
      <w:r>
        <w:rPr>
          <w:rtl/>
        </w:rPr>
        <w:t xml:space="preserve"> [הכותב] מתכוון לצאת לדרכו בערך אחרי פורים” – עדות שהמכתב נכתב ממקום אחר שבו התגורר ר׳ </w:t>
      </w:r>
      <w:proofErr w:type="spellStart"/>
      <w:r>
        <w:rPr>
          <w:rtl/>
        </w:rPr>
        <w:t>שמחה־זיסל</w:t>
      </w:r>
      <w:proofErr w:type="spellEnd"/>
      <w:r>
        <w:rPr>
          <w:rtl/>
        </w:rPr>
        <w:t xml:space="preserve"> דרך קבע, מחוץ </w:t>
      </w:r>
      <w:proofErr w:type="spellStart"/>
      <w:r>
        <w:rPr>
          <w:rtl/>
        </w:rPr>
        <w:t>לקלם</w:t>
      </w:r>
      <w:proofErr w:type="spellEnd"/>
      <w:r>
        <w:rPr>
          <w:rtl/>
        </w:rPr>
        <w:t xml:space="preserve">, כלומר </w:t>
      </w:r>
      <w:proofErr w:type="spellStart"/>
      <w:r>
        <w:rPr>
          <w:rtl/>
        </w:rPr>
        <w:t>מגרובין</w:t>
      </w:r>
      <w:proofErr w:type="spellEnd"/>
      <w:r>
        <w:rPr>
          <w:rtl/>
        </w:rPr>
        <w:t xml:space="preserve">. (ד) דיון תורני. (ה) בקשה שהמכתב הסודי יימסר </w:t>
      </w:r>
      <w:proofErr w:type="spellStart"/>
      <w:r>
        <w:rPr>
          <w:rtl/>
        </w:rPr>
        <w:t>לר</w:t>
      </w:r>
      <w:proofErr w:type="spellEnd"/>
      <w:r>
        <w:rPr>
          <w:rtl/>
        </w:rPr>
        <w:t>׳ אלחנן מיד. (ו) הודעה שהכותב ישלח את המכתב “מחר בבוקר מוקדם”.</w:t>
      </w:r>
    </w:p>
    <w:p w14:paraId="01459AD0" w14:textId="77777777" w:rsidR="00AB3647" w:rsidRDefault="00000000" w:rsidP="007923E9">
      <w:pPr>
        <w:spacing w:after="120" w:line="276" w:lineRule="auto"/>
        <w:ind w:firstLine="283"/>
        <w:jc w:val="both"/>
      </w:pPr>
      <w:r>
        <w:rPr>
          <w:rtl/>
        </w:rPr>
        <w:lastRenderedPageBreak/>
        <w:t xml:space="preserve">אחרי גוף המכתב באות שתי תוספות. הראשונה, הקצרה, מבקשת מן הנמען למסור דרישת שלום </w:t>
      </w:r>
      <w:proofErr w:type="spellStart"/>
      <w:r>
        <w:rPr>
          <w:rtl/>
        </w:rPr>
        <w:t>ל“הרב</w:t>
      </w:r>
      <w:proofErr w:type="spellEnd"/>
      <w:r>
        <w:rPr>
          <w:rtl/>
        </w:rPr>
        <w:t xml:space="preserve"> הגביר החכם המפואר ר׳ </w:t>
      </w:r>
      <w:proofErr w:type="spellStart"/>
      <w:r>
        <w:rPr>
          <w:rtl/>
        </w:rPr>
        <w:t>ארציג</w:t>
      </w:r>
      <w:proofErr w:type="spellEnd"/>
      <w:r>
        <w:rPr>
          <w:rtl/>
        </w:rPr>
        <w:t xml:space="preserve"> נ״י” שנזכר לעיל, ומייעצת </w:t>
      </w:r>
      <w:proofErr w:type="spellStart"/>
      <w:r>
        <w:rPr>
          <w:rtl/>
        </w:rPr>
        <w:t>לר</w:t>
      </w:r>
      <w:proofErr w:type="spellEnd"/>
      <w:r>
        <w:rPr>
          <w:rtl/>
        </w:rPr>
        <w:t xml:space="preserve">׳ </w:t>
      </w:r>
      <w:proofErr w:type="spellStart"/>
      <w:r>
        <w:rPr>
          <w:rtl/>
        </w:rPr>
        <w:t>איצל׳ה</w:t>
      </w:r>
      <w:proofErr w:type="spellEnd"/>
      <w:r>
        <w:rPr>
          <w:rtl/>
        </w:rPr>
        <w:t xml:space="preserve">: “אם [אתה], יקירי, תרצה, [אתה] יכול לספר ל[ר׳ </w:t>
      </w:r>
      <w:proofErr w:type="spellStart"/>
      <w:r>
        <w:rPr>
          <w:rtl/>
        </w:rPr>
        <w:t>ארציג</w:t>
      </w:r>
      <w:proofErr w:type="spellEnd"/>
      <w:r>
        <w:rPr>
          <w:rtl/>
        </w:rPr>
        <w:t xml:space="preserve">] </w:t>
      </w:r>
      <w:r>
        <w:rPr>
          <w:b/>
          <w:bCs/>
          <w:rtl/>
        </w:rPr>
        <w:t>אותו עניין</w:t>
      </w:r>
      <w:r>
        <w:rPr>
          <w:rtl/>
        </w:rPr>
        <w:t xml:space="preserve">, כי אולי יוכל להועיל, ברצונו הטוב, לאפשר [לך] </w:t>
      </w:r>
      <w:r>
        <w:rPr>
          <w:b/>
          <w:bCs/>
          <w:rtl/>
        </w:rPr>
        <w:t xml:space="preserve">לנסוע </w:t>
      </w:r>
      <w:proofErr w:type="spellStart"/>
      <w:r>
        <w:rPr>
          <w:b/>
          <w:bCs/>
          <w:rtl/>
        </w:rPr>
        <w:t>לוולוז׳ין</w:t>
      </w:r>
      <w:proofErr w:type="spellEnd"/>
      <w:r>
        <w:rPr>
          <w:rtl/>
        </w:rPr>
        <w:t xml:space="preserve"> </w:t>
      </w:r>
      <w:r>
        <w:rPr>
          <w:b/>
          <w:bCs/>
          <w:rtl/>
        </w:rPr>
        <w:t>על חשבונו</w:t>
      </w:r>
      <w:r>
        <w:rPr>
          <w:rtl/>
        </w:rPr>
        <w:t xml:space="preserve"> (ההדגשות שלי)</w:t>
      </w:r>
      <w:bookmarkStart w:id="5413" w:name="_fnr4076"/>
      <w:r>
        <w:rPr>
          <w:vertAlign w:val="superscript"/>
          <w:rtl/>
        </w:rPr>
        <w:footnoteReference w:id="4086" w:customMarkFollows="0"/>
      </w:r>
      <w:bookmarkEnd w:id="5413"/>
      <w:r>
        <w:rPr>
          <w:rtl/>
        </w:rPr>
        <w:t xml:space="preserve">.” ההדגשה הראשונה מציינת שהעניין הנדון סודי, והשנייה מקשרת את המכתב לענייננו, נסיעת ר׳ </w:t>
      </w:r>
      <w:proofErr w:type="spellStart"/>
      <w:r>
        <w:rPr>
          <w:rtl/>
        </w:rPr>
        <w:t>איצל׳ה</w:t>
      </w:r>
      <w:proofErr w:type="spellEnd"/>
      <w:r>
        <w:rPr>
          <w:rtl/>
        </w:rPr>
        <w:t xml:space="preserve"> לישיבת </w:t>
      </w:r>
      <w:proofErr w:type="spellStart"/>
      <w:r>
        <w:rPr>
          <w:rtl/>
        </w:rPr>
        <w:t>וולוז׳ין</w:t>
      </w:r>
      <w:proofErr w:type="spellEnd"/>
      <w:r>
        <w:rPr>
          <w:rtl/>
        </w:rPr>
        <w:t xml:space="preserve">. פירושה של תוספת זו: יש לנסות לגייס את ר׳ </w:t>
      </w:r>
      <w:proofErr w:type="spellStart"/>
      <w:r>
        <w:rPr>
          <w:rtl/>
        </w:rPr>
        <w:t>ארציג</w:t>
      </w:r>
      <w:proofErr w:type="spellEnd"/>
      <w:r>
        <w:rPr>
          <w:rtl/>
        </w:rPr>
        <w:t xml:space="preserve"> העשיר למימון נסיעתו של ר׳ </w:t>
      </w:r>
      <w:proofErr w:type="spellStart"/>
      <w:r>
        <w:rPr>
          <w:rtl/>
        </w:rPr>
        <w:t>איצל׳ה</w:t>
      </w:r>
      <w:proofErr w:type="spellEnd"/>
      <w:r>
        <w:rPr>
          <w:rtl/>
        </w:rPr>
        <w:t xml:space="preserve"> </w:t>
      </w:r>
      <w:proofErr w:type="spellStart"/>
      <w:r>
        <w:rPr>
          <w:rtl/>
        </w:rPr>
        <w:t>לוולוז׳ין</w:t>
      </w:r>
      <w:proofErr w:type="spellEnd"/>
      <w:r>
        <w:rPr>
          <w:rtl/>
        </w:rPr>
        <w:t>.</w:t>
      </w:r>
    </w:p>
    <w:p w14:paraId="6650C353" w14:textId="77777777" w:rsidR="00AB3647" w:rsidRDefault="00000000" w:rsidP="007923E9">
      <w:pPr>
        <w:spacing w:after="120" w:line="276" w:lineRule="auto"/>
        <w:ind w:firstLine="283"/>
        <w:jc w:val="both"/>
      </w:pPr>
      <w:r>
        <w:rPr>
          <w:rtl/>
        </w:rPr>
        <w:t xml:space="preserve">התוספת השנייה, הארוכה, (א) פותחת: “מכיוון שהמכתב התעכב אצלי עד למחרת, יום שני, ח׳ באדר ב׳, </w:t>
      </w:r>
      <w:proofErr w:type="spellStart"/>
      <w:r>
        <w:rPr>
          <w:rtl/>
        </w:rPr>
        <w:t>וכו</w:t>
      </w:r>
      <w:proofErr w:type="spellEnd"/>
      <w:r>
        <w:rPr>
          <w:rtl/>
        </w:rPr>
        <w:t xml:space="preserve">׳”; (ב) דנה תחילה בעניין מוסרי ואחר כך בעניין הלכתי; (ג) ומסתיימת בהודעה </w:t>
      </w:r>
      <w:proofErr w:type="spellStart"/>
      <w:r>
        <w:rPr>
          <w:rtl/>
        </w:rPr>
        <w:t>לר</w:t>
      </w:r>
      <w:proofErr w:type="spellEnd"/>
      <w:r>
        <w:rPr>
          <w:rtl/>
        </w:rPr>
        <w:t xml:space="preserve">׳ </w:t>
      </w:r>
      <w:proofErr w:type="spellStart"/>
      <w:r>
        <w:rPr>
          <w:rtl/>
        </w:rPr>
        <w:t>איצל׳ה</w:t>
      </w:r>
      <w:proofErr w:type="spellEnd"/>
      <w:r>
        <w:rPr>
          <w:rtl/>
        </w:rPr>
        <w:t xml:space="preserve"> שהכותב, ר׳ </w:t>
      </w:r>
      <w:proofErr w:type="spellStart"/>
      <w:r>
        <w:rPr>
          <w:rtl/>
        </w:rPr>
        <w:t>שמחה־זיסל</w:t>
      </w:r>
      <w:proofErr w:type="spellEnd"/>
      <w:r>
        <w:rPr>
          <w:rtl/>
        </w:rPr>
        <w:t xml:space="preserve"> זיו, אינו יודע מה יעלה בגורל תוכניות נסיעתו, ואולי יתעכב “כאן”, </w:t>
      </w:r>
      <w:proofErr w:type="spellStart"/>
      <w:r>
        <w:rPr>
          <w:rtl/>
        </w:rPr>
        <w:t>בגרובין</w:t>
      </w:r>
      <w:proofErr w:type="spellEnd"/>
      <w:r>
        <w:rPr>
          <w:rtl/>
        </w:rPr>
        <w:t xml:space="preserve">: “לכן, מלבד התשובה ש[אתה], ידידי היקר” – ר׳ </w:t>
      </w:r>
      <w:proofErr w:type="spellStart"/>
      <w:r>
        <w:rPr>
          <w:rtl/>
        </w:rPr>
        <w:t>איצל׳ה</w:t>
      </w:r>
      <w:proofErr w:type="spellEnd"/>
      <w:r>
        <w:rPr>
          <w:rtl/>
        </w:rPr>
        <w:t xml:space="preserve"> – “תשלח אליי </w:t>
      </w:r>
      <w:proofErr w:type="spellStart"/>
      <w:r>
        <w:rPr>
          <w:rtl/>
        </w:rPr>
        <w:t>לקלם</w:t>
      </w:r>
      <w:proofErr w:type="spellEnd"/>
      <w:r>
        <w:rPr>
          <w:rtl/>
        </w:rPr>
        <w:t xml:space="preserve"> על כל הדברים שביקשתי... אני מבקש מחילה [על הטרחה שאני גורם לך]... לכתוב [תשובה] [גם] לכתובת [אחרת]...</w:t>
      </w:r>
      <w:bookmarkStart w:id="5414" w:name="_fnr4077"/>
      <w:r>
        <w:rPr>
          <w:vertAlign w:val="superscript"/>
          <w:rtl/>
        </w:rPr>
        <w:footnoteReference w:id="4087" w:customMarkFollows="0"/>
      </w:r>
      <w:bookmarkEnd w:id="5414"/>
      <w:r>
        <w:rPr>
          <w:rtl/>
        </w:rPr>
        <w:t>”</w:t>
      </w:r>
    </w:p>
    <w:p w14:paraId="436235F9" w14:textId="77777777" w:rsidR="00AB3647" w:rsidRDefault="00000000" w:rsidP="007923E9">
      <w:pPr>
        <w:spacing w:after="120" w:line="276" w:lineRule="auto"/>
        <w:ind w:firstLine="283"/>
        <w:jc w:val="both"/>
      </w:pPr>
      <w:r>
        <w:rPr>
          <w:rtl/>
        </w:rPr>
        <w:t xml:space="preserve">בדיקת הלוח מעלה שבין פתיחת בית הספר </w:t>
      </w:r>
      <w:proofErr w:type="spellStart"/>
      <w:r>
        <w:rPr>
          <w:rtl/>
        </w:rPr>
        <w:t>בגרובין</w:t>
      </w:r>
      <w:proofErr w:type="spellEnd"/>
      <w:r>
        <w:rPr>
          <w:rtl/>
        </w:rPr>
        <w:t xml:space="preserve"> </w:t>
      </w:r>
      <w:proofErr w:type="spellStart"/>
      <w:r>
        <w:rPr>
          <w:rtl/>
        </w:rPr>
        <w:t>בתר״מ</w:t>
      </w:r>
      <w:proofErr w:type="spellEnd"/>
      <w:r>
        <w:rPr>
          <w:rtl/>
        </w:rPr>
        <w:t xml:space="preserve"> לבין פטירת ר׳ ישראל </w:t>
      </w:r>
      <w:proofErr w:type="spellStart"/>
      <w:r>
        <w:rPr>
          <w:rtl/>
        </w:rPr>
        <w:t>סלנטר</w:t>
      </w:r>
      <w:proofErr w:type="spellEnd"/>
      <w:r>
        <w:rPr>
          <w:rtl/>
        </w:rPr>
        <w:t xml:space="preserve"> </w:t>
      </w:r>
      <w:proofErr w:type="spellStart"/>
      <w:r>
        <w:rPr>
          <w:rtl/>
        </w:rPr>
        <w:t>בתרמ״ג</w:t>
      </w:r>
      <w:proofErr w:type="spellEnd"/>
      <w:r>
        <w:rPr>
          <w:rtl/>
        </w:rPr>
        <w:t>, השנה היחידה שבה חל “ח׳ באדר ב׳” ביום שני הייתה תרמ״א</w:t>
      </w:r>
      <w:bookmarkStart w:id="5415" w:name="_fnr4078"/>
      <w:bookmarkEnd w:id="5415"/>
      <w:r>
        <w:rPr>
          <w:rStyle w:val="a5"/>
        </w:rPr>
        <w:t/>
      </w:r>
      <w:bookmarkStart w:id="7043" w:name="_TranslatorNote_4076"/>
      <w:r>
        <w:rPr>
          <w:rStyle w:val="a5"/>
          <w:vertAlign w:val="superscript"/>
          <w:rtl/>
        </w:rPr>
        <w:footnoteReference w:id="4088" w:customMarkFollows="1"/>
        <w:t>*</w:t>
      </w:r>
      <w:bookmarkEnd w:id="7043"/>
      <w:r>
        <w:rPr>
          <w:rtl/>
        </w:rPr>
        <w:t xml:space="preserve">. הדבר מוכיח שר׳ </w:t>
      </w:r>
      <w:proofErr w:type="spellStart"/>
      <w:r>
        <w:rPr>
          <w:rtl/>
        </w:rPr>
        <w:t>איצל׳ה</w:t>
      </w:r>
      <w:proofErr w:type="spellEnd"/>
      <w:r>
        <w:rPr>
          <w:rtl/>
        </w:rPr>
        <w:t xml:space="preserve"> לכל הפחות תכנן לבקר </w:t>
      </w:r>
      <w:proofErr w:type="spellStart"/>
      <w:r>
        <w:rPr>
          <w:rtl/>
        </w:rPr>
        <w:t>בוולוז׳ין</w:t>
      </w:r>
      <w:proofErr w:type="spellEnd"/>
      <w:r>
        <w:rPr>
          <w:rtl/>
        </w:rPr>
        <w:t xml:space="preserve"> באותה שנה – השנה שאחרי תחילת כהונתו של ר׳ חיים </w:t>
      </w:r>
      <w:proofErr w:type="spellStart"/>
      <w:r>
        <w:rPr>
          <w:rtl/>
        </w:rPr>
        <w:t>בוולוז׳ין</w:t>
      </w:r>
      <w:proofErr w:type="spellEnd"/>
      <w:r>
        <w:rPr>
          <w:rtl/>
        </w:rPr>
        <w:t xml:space="preserve">. מובן שייתכן שהנסיעה נדחתה מסיבה כלשהי, והתקיימה לבסוף כשמעמדו של ר׳ חיים במוסד כבר היה מבוסס יותר, ובידו יותר כוח להחליט אילו תלמידים מעניינים את הישיבה ואילו אינם מעניינים אותה – גם אם </w:t>
      </w:r>
      <w:proofErr w:type="spellStart"/>
      <w:r>
        <w:rPr>
          <w:rtl/>
        </w:rPr>
        <w:t>הנצי״ב</w:t>
      </w:r>
      <w:proofErr w:type="spellEnd"/>
      <w:r>
        <w:rPr>
          <w:rtl/>
        </w:rPr>
        <w:t xml:space="preserve"> לא הסכים עמו על מדיניות זו.</w:t>
      </w:r>
    </w:p>
    <w:p w14:paraId="29BD6933" w14:textId="77777777" w:rsidR="00AB3647" w:rsidRDefault="00000000" w:rsidP="007923E9">
      <w:pPr>
        <w:spacing w:after="120" w:line="276" w:lineRule="auto"/>
        <w:ind w:firstLine="283"/>
        <w:jc w:val="both"/>
      </w:pPr>
      <w:r>
        <w:rPr>
          <w:rtl/>
        </w:rPr>
        <w:t xml:space="preserve">המכתב </w:t>
      </w:r>
      <w:proofErr w:type="spellStart"/>
      <w:r>
        <w:rPr>
          <w:rtl/>
        </w:rPr>
        <w:t>שב“כוכבי</w:t>
      </w:r>
      <w:proofErr w:type="spellEnd"/>
      <w:r>
        <w:rPr>
          <w:rtl/>
        </w:rPr>
        <w:t xml:space="preserve"> אור” מוכיח שר׳ </w:t>
      </w:r>
      <w:proofErr w:type="spellStart"/>
      <w:r>
        <w:rPr>
          <w:rtl/>
        </w:rPr>
        <w:t>איצל׳ה</w:t>
      </w:r>
      <w:proofErr w:type="spellEnd"/>
      <w:r>
        <w:rPr>
          <w:rtl/>
        </w:rPr>
        <w:t xml:space="preserve"> ודאי לא המתין עם הניסיון להעביר את </w:t>
      </w:r>
      <w:proofErr w:type="spellStart"/>
      <w:r>
        <w:rPr>
          <w:rtl/>
        </w:rPr>
        <w:t>וולוז׳ין</w:t>
      </w:r>
      <w:proofErr w:type="spellEnd"/>
      <w:r>
        <w:rPr>
          <w:rtl/>
        </w:rPr>
        <w:t xml:space="preserve"> לדרך המוסר עד שראה את הצלחתו בהכנסת המוסר לישיבה שהקים ר׳ </w:t>
      </w:r>
      <w:proofErr w:type="spellStart"/>
      <w:r>
        <w:rPr>
          <w:rtl/>
        </w:rPr>
        <w:t>נתן־צבי</w:t>
      </w:r>
      <w:proofErr w:type="spellEnd"/>
      <w:r>
        <w:rPr>
          <w:rtl/>
        </w:rPr>
        <w:t xml:space="preserve"> </w:t>
      </w:r>
      <w:proofErr w:type="spellStart"/>
      <w:r>
        <w:rPr>
          <w:rtl/>
        </w:rPr>
        <w:t>פינקל</w:t>
      </w:r>
      <w:proofErr w:type="spellEnd"/>
      <w:r>
        <w:rPr>
          <w:rtl/>
        </w:rPr>
        <w:t xml:space="preserve"> </w:t>
      </w:r>
      <w:proofErr w:type="spellStart"/>
      <w:r>
        <w:rPr>
          <w:rtl/>
        </w:rPr>
        <w:t>בסלבודקה</w:t>
      </w:r>
      <w:proofErr w:type="spellEnd"/>
      <w:r>
        <w:rPr>
          <w:rtl/>
        </w:rPr>
        <w:t xml:space="preserve"> במסגרת כולל קובנה (שבראשו עמד ר׳ </w:t>
      </w:r>
      <w:proofErr w:type="spellStart"/>
      <w:r>
        <w:rPr>
          <w:rtl/>
        </w:rPr>
        <w:t>איצל׳ה</w:t>
      </w:r>
      <w:proofErr w:type="spellEnd"/>
      <w:r>
        <w:rPr>
          <w:rtl/>
        </w:rPr>
        <w:t xml:space="preserve"> </w:t>
      </w:r>
      <w:proofErr w:type="spellStart"/>
      <w:r>
        <w:rPr>
          <w:rtl/>
        </w:rPr>
        <w:t>בלאזר</w:t>
      </w:r>
      <w:bookmarkStart w:id="5416" w:name="_fnr4079"/>
      <w:proofErr w:type="spellEnd"/>
      <w:r>
        <w:rPr>
          <w:vertAlign w:val="superscript"/>
          <w:rtl/>
        </w:rPr>
        <w:footnoteReference w:id="4089" w:customMarkFollows="0"/>
      </w:r>
      <w:bookmarkEnd w:id="5416"/>
      <w:r>
        <w:rPr>
          <w:rtl/>
        </w:rPr>
        <w:t xml:space="preserve">), שהרי כבר תכנן את נסיעתו </w:t>
      </w:r>
      <w:proofErr w:type="spellStart"/>
      <w:r>
        <w:rPr>
          <w:rtl/>
        </w:rPr>
        <w:t>לוולוז׳ין</w:t>
      </w:r>
      <w:proofErr w:type="spellEnd"/>
      <w:r>
        <w:rPr>
          <w:rtl/>
        </w:rPr>
        <w:t xml:space="preserve"> לפני פתיחת ישיבת </w:t>
      </w:r>
      <w:proofErr w:type="spellStart"/>
      <w:r>
        <w:rPr>
          <w:rtl/>
        </w:rPr>
        <w:t>סלבודקה</w:t>
      </w:r>
      <w:proofErr w:type="spellEnd"/>
      <w:r>
        <w:rPr>
          <w:rtl/>
        </w:rPr>
        <w:t xml:space="preserve">. להפך: ייתכן בהחלט שביקורו הכושל של ר׳ </w:t>
      </w:r>
      <w:proofErr w:type="spellStart"/>
      <w:r>
        <w:rPr>
          <w:rtl/>
        </w:rPr>
        <w:t>איצל׳ה</w:t>
      </w:r>
      <w:proofErr w:type="spellEnd"/>
      <w:r>
        <w:rPr>
          <w:rtl/>
        </w:rPr>
        <w:t xml:space="preserve"> </w:t>
      </w:r>
      <w:proofErr w:type="spellStart"/>
      <w:r>
        <w:rPr>
          <w:rtl/>
        </w:rPr>
        <w:t>בוולוז׳ין</w:t>
      </w:r>
      <w:proofErr w:type="spellEnd"/>
      <w:r>
        <w:rPr>
          <w:rtl/>
        </w:rPr>
        <w:t xml:space="preserve"> לפני תרמ״ב הוא שהביא אותו לחבור </w:t>
      </w:r>
      <w:proofErr w:type="spellStart"/>
      <w:r>
        <w:rPr>
          <w:rtl/>
        </w:rPr>
        <w:t>לר</w:t>
      </w:r>
      <w:proofErr w:type="spellEnd"/>
      <w:r>
        <w:rPr>
          <w:rtl/>
        </w:rPr>
        <w:t xml:space="preserve">׳ </w:t>
      </w:r>
      <w:proofErr w:type="spellStart"/>
      <w:r>
        <w:rPr>
          <w:rtl/>
        </w:rPr>
        <w:t>נתן־צבי</w:t>
      </w:r>
      <w:proofErr w:type="spellEnd"/>
      <w:r>
        <w:rPr>
          <w:rtl/>
        </w:rPr>
        <w:t xml:space="preserve"> </w:t>
      </w:r>
      <w:proofErr w:type="spellStart"/>
      <w:r>
        <w:rPr>
          <w:rtl/>
        </w:rPr>
        <w:t>פינקל</w:t>
      </w:r>
      <w:proofErr w:type="spellEnd"/>
      <w:r>
        <w:rPr>
          <w:rtl/>
        </w:rPr>
        <w:t xml:space="preserve"> ולהקים ישיבה חדשה בחסות הכולל, שבה יתקבל המוסר ברצון.</w:t>
      </w:r>
    </w:p>
    <w:p w14:paraId="627997E7" w14:textId="77777777" w:rsidR="00AB3647" w:rsidRDefault="00000000" w:rsidP="007923E9">
      <w:pPr>
        <w:spacing w:after="120" w:line="276" w:lineRule="auto"/>
        <w:ind w:firstLine="283"/>
        <w:jc w:val="both"/>
      </w:pPr>
      <w:r>
        <w:rPr>
          <w:rtl/>
        </w:rPr>
        <w:t xml:space="preserve">אולי גם היה כישלונו של ר׳ </w:t>
      </w:r>
      <w:proofErr w:type="spellStart"/>
      <w:r>
        <w:rPr>
          <w:rtl/>
        </w:rPr>
        <w:t>איצל׳ה</w:t>
      </w:r>
      <w:proofErr w:type="spellEnd"/>
      <w:r>
        <w:rPr>
          <w:rtl/>
        </w:rPr>
        <w:t xml:space="preserve"> </w:t>
      </w:r>
      <w:proofErr w:type="spellStart"/>
      <w:r>
        <w:rPr>
          <w:rtl/>
        </w:rPr>
        <w:t>בלאזר</w:t>
      </w:r>
      <w:proofErr w:type="spellEnd"/>
      <w:r>
        <w:rPr>
          <w:rtl/>
        </w:rPr>
        <w:t xml:space="preserve"> בהכנסת המוסר לישיבת </w:t>
      </w:r>
      <w:proofErr w:type="spellStart"/>
      <w:r>
        <w:rPr>
          <w:rtl/>
        </w:rPr>
        <w:t>וולוז׳ין</w:t>
      </w:r>
      <w:proofErr w:type="spellEnd"/>
      <w:r>
        <w:rPr>
          <w:rtl/>
        </w:rPr>
        <w:t xml:space="preserve"> הזרז המיידי לניסיונו להעלות את מעמדו הציבורי בפרסום ספרו “פרי יצחק” באותה שנה, תרמ״א</w:t>
      </w:r>
      <w:bookmarkStart w:id="5417" w:name="_fnr4080"/>
      <w:r>
        <w:rPr>
          <w:vertAlign w:val="superscript"/>
          <w:rtl/>
        </w:rPr>
        <w:footnoteReference w:id="4090" w:customMarkFollows="0"/>
      </w:r>
      <w:bookmarkEnd w:id="5417"/>
      <w:r>
        <w:rPr>
          <w:rtl/>
        </w:rPr>
        <w:t xml:space="preserve">, </w:t>
      </w:r>
      <w:r>
        <w:rPr>
          <w:rtl/>
        </w:rPr>
        <w:lastRenderedPageBreak/>
        <w:t xml:space="preserve">ובכניסה לזירה הציבורית כדי להפיץ את תורתו של ר׳ ישראל. הדבר יתיישב עם לוח הזמנים אם כניסתו של ר׳ </w:t>
      </w:r>
      <w:proofErr w:type="spellStart"/>
      <w:r>
        <w:rPr>
          <w:rtl/>
        </w:rPr>
        <w:t>איצל׳ה</w:t>
      </w:r>
      <w:proofErr w:type="spellEnd"/>
      <w:r>
        <w:rPr>
          <w:rtl/>
        </w:rPr>
        <w:t xml:space="preserve"> </w:t>
      </w:r>
      <w:proofErr w:type="spellStart"/>
      <w:r>
        <w:rPr>
          <w:rtl/>
        </w:rPr>
        <w:t>לוולוז׳ין</w:t>
      </w:r>
      <w:proofErr w:type="spellEnd"/>
      <w:r>
        <w:rPr>
          <w:rtl/>
        </w:rPr>
        <w:t xml:space="preserve"> התקיימה כמו שתכנן, כלומר לקראת סוף השנה הראשונה לכהונת ר׳ חיים שם – באביב תרמ״א.</w:t>
      </w:r>
    </w:p>
    <w:p w14:paraId="6DC5529B" w14:textId="4A0A8A47" w:rsidR="00AB3647" w:rsidRDefault="00000000" w:rsidP="007923E9">
      <w:pPr>
        <w:spacing w:after="120" w:line="276" w:lineRule="auto"/>
        <w:ind w:firstLine="283"/>
        <w:jc w:val="both"/>
      </w:pPr>
      <w:r>
        <w:rPr>
          <w:rtl/>
        </w:rPr>
        <w:t xml:space="preserve">בפרק 3, בפסקה השלישית של הערה </w:t>
      </w:r>
      <w:r>
        <w:rPr>
          <w:rtl/>
        </w:rPr>
        <w:fldChar w:fldCharType="begin" w:dirty="true"/>
      </w:r>
      <w:r>
        <w:rPr>
          <w:rtl/>
        </w:rPr>
        <w:instrText xml:space="preserve"> REF b3_note38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38</w:t>
      </w:r>
      <w:r>
        <w:rPr>
          <w:rtl/>
        </w:rPr>
        <w:fldChar w:fldCharType="end"/>
      </w:r>
      <w:r>
        <w:rPr>
          <w:rtl/>
        </w:rPr>
        <w:t xml:space="preserve">, שוער שביקורו של ר׳ </w:t>
      </w:r>
      <w:proofErr w:type="spellStart"/>
      <w:r>
        <w:rPr>
          <w:rtl/>
        </w:rPr>
        <w:t>איצל׳ה</w:t>
      </w:r>
      <w:proofErr w:type="spellEnd"/>
      <w:r>
        <w:rPr>
          <w:rtl/>
        </w:rPr>
        <w:t xml:space="preserve"> אולי התרחש מאוחר יותר, אפילו </w:t>
      </w:r>
      <w:proofErr w:type="spellStart"/>
      <w:r>
        <w:rPr>
          <w:rtl/>
        </w:rPr>
        <w:t>בתרמ״ו</w:t>
      </w:r>
      <w:bookmarkStart w:id="5418" w:name="_fnr4081"/>
      <w:proofErr w:type="spellEnd"/>
      <w:r>
        <w:rPr>
          <w:rStyle w:val="a5"/>
        </w:rPr>
        <w:t/>
      </w:r>
      <w:bookmarkStart w:id="7044" w:name="_TranslatorNote_4079"/>
      <w:r>
        <w:rPr>
          <w:rStyle w:val="a5"/>
          <w:vertAlign w:val="superscript"/>
          <w:rtl/>
        </w:rPr>
        <w:footnoteReference w:id="4091" w:customMarkFollows="1"/>
        <w:t>*</w:t>
      </w:r>
      <w:bookmarkEnd w:id="7044"/>
      <w:bookmarkEnd w:id="5418"/>
      <w:r>
        <w:rPr>
          <w:rtl/>
        </w:rPr>
        <w:t xml:space="preserve">, בקשר לבקשת תרומות לישיבת </w:t>
      </w:r>
      <w:proofErr w:type="spellStart"/>
      <w:r>
        <w:rPr>
          <w:rtl/>
        </w:rPr>
        <w:t>וולוז׳ין</w:t>
      </w:r>
      <w:proofErr w:type="spellEnd"/>
      <w:r>
        <w:rPr>
          <w:rtl/>
        </w:rPr>
        <w:t xml:space="preserve"> שקיבל אז ר׳ עובדיה לחמן מגדולי הרבנים בליטא. עד אז ודאי כבר היה </w:t>
      </w:r>
      <w:proofErr w:type="spellStart"/>
      <w:r>
        <w:rPr>
          <w:rtl/>
        </w:rPr>
        <w:t>לר</w:t>
      </w:r>
      <w:proofErr w:type="spellEnd"/>
      <w:r>
        <w:rPr>
          <w:rtl/>
        </w:rPr>
        <w:t xml:space="preserve">׳ חיים קול מסוים בעיצוב מדיניות הישיבה, ולמעשה חלק גדול מן התלמידים כבר העריך את שיעוריו יותר משיעורי </w:t>
      </w:r>
      <w:proofErr w:type="spellStart"/>
      <w:r>
        <w:rPr>
          <w:rtl/>
        </w:rPr>
        <w:t>הנצי״ב</w:t>
      </w:r>
      <w:proofErr w:type="spellEnd"/>
      <w:r>
        <w:rPr>
          <w:rtl/>
        </w:rPr>
        <w:t>, כמו שנדון לעיל בפסקה החמישית.</w:t>
      </w:r>
    </w:p>
    <w:p w14:paraId="45FEEE68" w14:textId="77777777" w:rsidR="00AB3647" w:rsidRDefault="00000000" w:rsidP="007923E9">
      <w:pPr>
        <w:spacing w:after="120" w:line="276" w:lineRule="auto"/>
        <w:ind w:firstLine="283"/>
        <w:jc w:val="both"/>
      </w:pPr>
      <w:r>
        <w:rPr>
          <w:rtl/>
        </w:rPr>
        <w:t xml:space="preserve">אבל סיפור שנדפס במדור המבוא “מתולדותיו” </w:t>
      </w:r>
      <w:proofErr w:type="spellStart"/>
      <w:r>
        <w:rPr>
          <w:rtl/>
        </w:rPr>
        <w:t>שב“לב</w:t>
      </w:r>
      <w:proofErr w:type="spellEnd"/>
      <w:r>
        <w:rPr>
          <w:rtl/>
        </w:rPr>
        <w:t xml:space="preserve"> אהרן”</w:t>
      </w:r>
      <w:bookmarkStart w:id="5419" w:name="_fnr4082"/>
      <w:r>
        <w:rPr>
          <w:vertAlign w:val="superscript"/>
          <w:rtl/>
        </w:rPr>
        <w:footnoteReference w:id="4092" w:customMarkFollows="0"/>
      </w:r>
      <w:bookmarkEnd w:id="5419"/>
      <w:r>
        <w:rPr>
          <w:rtl/>
        </w:rPr>
        <w:t xml:space="preserve">, קובץ שיחות מוסר של ר׳ </w:t>
      </w:r>
      <w:proofErr w:type="spellStart"/>
      <w:r>
        <w:rPr>
          <w:rtl/>
        </w:rPr>
        <w:t>ארצ׳יק</w:t>
      </w:r>
      <w:proofErr w:type="spellEnd"/>
      <w:r>
        <w:rPr>
          <w:rtl/>
        </w:rPr>
        <w:t xml:space="preserve"> בקשט, מוכיח שביקורו של ר׳ </w:t>
      </w:r>
      <w:proofErr w:type="spellStart"/>
      <w:r>
        <w:rPr>
          <w:rtl/>
        </w:rPr>
        <w:t>איצל׳ה</w:t>
      </w:r>
      <w:proofErr w:type="spellEnd"/>
      <w:r>
        <w:rPr>
          <w:rtl/>
        </w:rPr>
        <w:t xml:space="preserve"> לא יכול היה להתרחש אחרי תרמ״א. הסיפור מספר שר׳ </w:t>
      </w:r>
      <w:proofErr w:type="spellStart"/>
      <w:r>
        <w:rPr>
          <w:rtl/>
        </w:rPr>
        <w:t>ארצ׳יק</w:t>
      </w:r>
      <w:proofErr w:type="spellEnd"/>
      <w:r>
        <w:rPr>
          <w:rtl/>
        </w:rPr>
        <w:t xml:space="preserve"> בא ללמוד </w:t>
      </w:r>
      <w:proofErr w:type="spellStart"/>
      <w:r>
        <w:rPr>
          <w:rtl/>
        </w:rPr>
        <w:t>בוולוז׳ין</w:t>
      </w:r>
      <w:proofErr w:type="spellEnd"/>
      <w:r>
        <w:rPr>
          <w:rtl/>
        </w:rPr>
        <w:t xml:space="preserve"> בגיל </w:t>
      </w:r>
      <w:proofErr w:type="spellStart"/>
      <w:r>
        <w:rPr>
          <w:rtl/>
        </w:rPr>
        <w:t>ארבע־עשרה</w:t>
      </w:r>
      <w:proofErr w:type="spellEnd"/>
      <w:r>
        <w:rPr>
          <w:rtl/>
        </w:rPr>
        <w:t xml:space="preserve">, ושם פגש בו ר׳ </w:t>
      </w:r>
      <w:proofErr w:type="spellStart"/>
      <w:r>
        <w:rPr>
          <w:rtl/>
        </w:rPr>
        <w:t>איצל׳ה</w:t>
      </w:r>
      <w:proofErr w:type="spellEnd"/>
      <w:r>
        <w:rPr>
          <w:rtl/>
        </w:rPr>
        <w:t xml:space="preserve"> </w:t>
      </w:r>
      <w:proofErr w:type="spellStart"/>
      <w:r>
        <w:rPr>
          <w:rtl/>
        </w:rPr>
        <w:t>בלאזר</w:t>
      </w:r>
      <w:proofErr w:type="spellEnd"/>
      <w:r>
        <w:rPr>
          <w:rtl/>
        </w:rPr>
        <w:t xml:space="preserve"> ולקח אותו ללמוד בישיבה </w:t>
      </w:r>
      <w:proofErr w:type="spellStart"/>
      <w:r>
        <w:rPr>
          <w:rtl/>
        </w:rPr>
        <w:t>שבקלויז</w:t>
      </w:r>
      <w:proofErr w:type="spellEnd"/>
      <w:r>
        <w:rPr>
          <w:rtl/>
        </w:rPr>
        <w:t xml:space="preserve"> הלוויית המת </w:t>
      </w:r>
      <w:proofErr w:type="spellStart"/>
      <w:r>
        <w:rPr>
          <w:rtl/>
        </w:rPr>
        <w:t>בסלבודקה</w:t>
      </w:r>
      <w:proofErr w:type="spellEnd"/>
      <w:r>
        <w:rPr>
          <w:rtl/>
        </w:rPr>
        <w:t xml:space="preserve">. ר׳ </w:t>
      </w:r>
      <w:proofErr w:type="spellStart"/>
      <w:r>
        <w:rPr>
          <w:rtl/>
        </w:rPr>
        <w:t>ארצ׳יק</w:t>
      </w:r>
      <w:proofErr w:type="spellEnd"/>
      <w:r>
        <w:rPr>
          <w:rtl/>
        </w:rPr>
        <w:t xml:space="preserve"> נולד </w:t>
      </w:r>
      <w:proofErr w:type="spellStart"/>
      <w:r>
        <w:rPr>
          <w:rtl/>
        </w:rPr>
        <w:t>בתרכ״ו</w:t>
      </w:r>
      <w:bookmarkStart w:id="5420" w:name="_fnr4083"/>
      <w:bookmarkStart w:id="5421" w:name="pr_f_3968"/>
      <w:proofErr w:type="spellEnd"/>
      <w:r>
        <w:rPr>
          <w:vertAlign w:val="superscript"/>
          <w:rtl/>
        </w:rPr>
        <w:footnoteReference w:id="4093" w:customMarkFollows="0"/>
      </w:r>
      <w:bookmarkEnd w:id="5420"/>
      <w:bookmarkEnd w:id="5421"/>
      <w:r>
        <w:rPr>
          <w:rtl/>
        </w:rPr>
        <w:t xml:space="preserve">, ולכן הגיע </w:t>
      </w:r>
      <w:proofErr w:type="spellStart"/>
      <w:r>
        <w:rPr>
          <w:rtl/>
        </w:rPr>
        <w:t>לוולוז׳ין</w:t>
      </w:r>
      <w:proofErr w:type="spellEnd"/>
      <w:r>
        <w:rPr>
          <w:rtl/>
        </w:rPr>
        <w:t xml:space="preserve"> </w:t>
      </w:r>
      <w:proofErr w:type="spellStart"/>
      <w:r>
        <w:rPr>
          <w:rtl/>
        </w:rPr>
        <w:t>בתר״מ</w:t>
      </w:r>
      <w:proofErr w:type="spellEnd"/>
      <w:r>
        <w:rPr>
          <w:rtl/>
        </w:rPr>
        <w:t xml:space="preserve">. ר׳ </w:t>
      </w:r>
      <w:proofErr w:type="spellStart"/>
      <w:r>
        <w:rPr>
          <w:rtl/>
        </w:rPr>
        <w:t>איצל׳ה</w:t>
      </w:r>
      <w:proofErr w:type="spellEnd"/>
      <w:r>
        <w:rPr>
          <w:rtl/>
        </w:rPr>
        <w:t xml:space="preserve"> ודאי בא </w:t>
      </w:r>
      <w:proofErr w:type="spellStart"/>
      <w:r>
        <w:rPr>
          <w:rtl/>
        </w:rPr>
        <w:t>לוולוז׳ין</w:t>
      </w:r>
      <w:proofErr w:type="spellEnd"/>
      <w:r>
        <w:rPr>
          <w:rtl/>
        </w:rPr>
        <w:t xml:space="preserve"> כמו שתכנן, </w:t>
      </w:r>
      <w:proofErr w:type="spellStart"/>
      <w:r>
        <w:rPr>
          <w:rtl/>
        </w:rPr>
        <w:t>בתרמ״א</w:t>
      </w:r>
      <w:proofErr w:type="spellEnd"/>
      <w:r>
        <w:rPr>
          <w:rtl/>
        </w:rPr>
        <w:t xml:space="preserve">, שנה אחרי שהצטרף ר׳ </w:t>
      </w:r>
      <w:proofErr w:type="spellStart"/>
      <w:r>
        <w:rPr>
          <w:rtl/>
        </w:rPr>
        <w:t>ארצ׳יק</w:t>
      </w:r>
      <w:proofErr w:type="spellEnd"/>
      <w:r>
        <w:rPr>
          <w:rtl/>
        </w:rPr>
        <w:t xml:space="preserve"> לישיבת </w:t>
      </w:r>
      <w:proofErr w:type="spellStart"/>
      <w:r>
        <w:rPr>
          <w:rtl/>
        </w:rPr>
        <w:t>וולוז׳ין</w:t>
      </w:r>
      <w:proofErr w:type="spellEnd"/>
      <w:r>
        <w:rPr>
          <w:rtl/>
        </w:rPr>
        <w:t xml:space="preserve">; ובעודו מעורב במחלוקת עם ר׳ חיים, פגש שם ר׳ </w:t>
      </w:r>
      <w:proofErr w:type="spellStart"/>
      <w:r>
        <w:rPr>
          <w:rtl/>
        </w:rPr>
        <w:t>איצל׳ה</w:t>
      </w:r>
      <w:proofErr w:type="spellEnd"/>
      <w:r>
        <w:rPr>
          <w:rtl/>
        </w:rPr>
        <w:t xml:space="preserve"> את התלמיד בן </w:t>
      </w:r>
      <w:proofErr w:type="spellStart"/>
      <w:r>
        <w:rPr>
          <w:rtl/>
        </w:rPr>
        <w:t>החמש־עשרה</w:t>
      </w:r>
      <w:proofErr w:type="spellEnd"/>
      <w:r>
        <w:rPr>
          <w:rtl/>
        </w:rPr>
        <w:t xml:space="preserve"> ושכנע אותו לבוא עמו </w:t>
      </w:r>
      <w:proofErr w:type="spellStart"/>
      <w:r>
        <w:rPr>
          <w:rtl/>
        </w:rPr>
        <w:t>לסלבודקה</w:t>
      </w:r>
      <w:bookmarkStart w:id="5422" w:name="_fnr4084"/>
      <w:bookmarkStart w:id="5423" w:name="pr_f_3969"/>
      <w:proofErr w:type="spellEnd"/>
      <w:r>
        <w:rPr>
          <w:vertAlign w:val="superscript"/>
          <w:rtl/>
        </w:rPr>
        <w:footnoteReference w:id="4094" w:customMarkFollows="0"/>
      </w:r>
      <w:bookmarkEnd w:id="5422"/>
      <w:bookmarkEnd w:id="5423"/>
      <w:r>
        <w:rPr>
          <w:rtl/>
        </w:rPr>
        <w:t>.</w:t>
      </w:r>
    </w:p>
    <w:p w14:paraId="600CED69" w14:textId="77777777" w:rsidR="00AB3647" w:rsidRDefault="00000000" w:rsidP="007923E9">
      <w:pPr>
        <w:spacing w:after="120" w:line="276" w:lineRule="auto"/>
        <w:ind w:firstLine="283"/>
        <w:jc w:val="both"/>
      </w:pPr>
      <w:r>
        <w:rPr>
          <w:rtl/>
        </w:rPr>
        <w:t xml:space="preserve">אילו התרחש ביקורו מאוחר יותר – נאמר </w:t>
      </w:r>
      <w:proofErr w:type="spellStart"/>
      <w:r>
        <w:rPr>
          <w:rtl/>
        </w:rPr>
        <w:t>בתרמ״ב</w:t>
      </w:r>
      <w:proofErr w:type="spellEnd"/>
      <w:r>
        <w:rPr>
          <w:rtl/>
        </w:rPr>
        <w:t xml:space="preserve">, כשישיבת </w:t>
      </w:r>
      <w:proofErr w:type="spellStart"/>
      <w:r>
        <w:rPr>
          <w:rtl/>
        </w:rPr>
        <w:t>סלבודקה</w:t>
      </w:r>
      <w:proofErr w:type="spellEnd"/>
      <w:r>
        <w:rPr>
          <w:rtl/>
        </w:rPr>
        <w:t xml:space="preserve"> לבחורים כבר הוקמה במסגרת כולל קובנה (כמתואר בפסקה החמישית בפרק 3.1), ור׳ </w:t>
      </w:r>
      <w:proofErr w:type="spellStart"/>
      <w:r>
        <w:rPr>
          <w:rtl/>
        </w:rPr>
        <w:t>ארצ׳יק</w:t>
      </w:r>
      <w:proofErr w:type="spellEnd"/>
      <w:r>
        <w:rPr>
          <w:rtl/>
        </w:rPr>
        <w:t xml:space="preserve"> כבר היה מבוגר מבן </w:t>
      </w:r>
      <w:proofErr w:type="spellStart"/>
      <w:r>
        <w:rPr>
          <w:rtl/>
        </w:rPr>
        <w:t>חמש־עשרה</w:t>
      </w:r>
      <w:proofErr w:type="spellEnd"/>
      <w:r>
        <w:rPr>
          <w:rtl/>
        </w:rPr>
        <w:t xml:space="preserve"> – היה ר׳ </w:t>
      </w:r>
      <w:proofErr w:type="spellStart"/>
      <w:r>
        <w:rPr>
          <w:rtl/>
        </w:rPr>
        <w:t>איצל׳ה</w:t>
      </w:r>
      <w:proofErr w:type="spellEnd"/>
      <w:r>
        <w:rPr>
          <w:rtl/>
        </w:rPr>
        <w:t xml:space="preserve"> לוקח את הצעיר ישר לישיבה, ולא למוסד לתלמידים צעירים יותר </w:t>
      </w:r>
      <w:proofErr w:type="spellStart"/>
      <w:r>
        <w:rPr>
          <w:rtl/>
        </w:rPr>
        <w:t>שבקלויז</w:t>
      </w:r>
      <w:proofErr w:type="spellEnd"/>
      <w:r>
        <w:rPr>
          <w:rtl/>
        </w:rPr>
        <w:t xml:space="preserve"> הלוויית המת. לכן יש להסיק שר׳ </w:t>
      </w:r>
      <w:proofErr w:type="spellStart"/>
      <w:r>
        <w:rPr>
          <w:rtl/>
        </w:rPr>
        <w:t>איצל׳ה</w:t>
      </w:r>
      <w:proofErr w:type="spellEnd"/>
      <w:r>
        <w:rPr>
          <w:rtl/>
        </w:rPr>
        <w:t xml:space="preserve"> ביקר </w:t>
      </w:r>
      <w:proofErr w:type="spellStart"/>
      <w:r>
        <w:rPr>
          <w:rtl/>
        </w:rPr>
        <w:t>בוולוז׳ין</w:t>
      </w:r>
      <w:proofErr w:type="spellEnd"/>
      <w:r>
        <w:rPr>
          <w:rtl/>
        </w:rPr>
        <w:t xml:space="preserve"> </w:t>
      </w:r>
      <w:proofErr w:type="spellStart"/>
      <w:r>
        <w:rPr>
          <w:rtl/>
        </w:rPr>
        <w:t>בתרמ״א</w:t>
      </w:r>
      <w:proofErr w:type="spellEnd"/>
      <w:r>
        <w:rPr>
          <w:rtl/>
        </w:rPr>
        <w:t>, בדיוק כמו שאני מציע, קצת פחות משנה אחרי שהתחיל ר׳ חיים למסור שיעורים בישיבה.</w:t>
      </w:r>
    </w:p>
    <w:p w14:paraId="6AFCC8FB" w14:textId="77777777" w:rsidR="00AB3647" w:rsidRDefault="00000000" w:rsidP="007923E9">
      <w:pPr>
        <w:pStyle w:val="4"/>
        <w:spacing w:line="276" w:lineRule="auto"/>
      </w:pPr>
      <w:r>
        <w:lastRenderedPageBreak/>
        <w:t>· הפסקה השמינית ·</w:t>
      </w:r>
    </w:p>
    <w:p w14:paraId="7EB73E57" w14:textId="77777777" w:rsidR="00AB3647" w:rsidRDefault="00000000" w:rsidP="007923E9">
      <w:pPr>
        <w:pStyle w:val="5"/>
        <w:spacing w:line="276" w:lineRule="auto"/>
      </w:pPr>
      <w:r>
        <w:rPr>
          <w:bCs/>
          <w:szCs w:val="26"/>
        </w:rPr>
        <w:t xml:space="preserve">מוצעים שני נימוקים להתנגדות ר׳ חיים </w:t>
      </w:r>
      <w:proofErr w:type="spellStart"/>
      <w:r>
        <w:rPr>
          <w:bCs/>
          <w:szCs w:val="26"/>
        </w:rPr>
        <w:t>סולובייצ׳יק</w:t>
      </w:r>
      <w:proofErr w:type="spellEnd"/>
      <w:r>
        <w:rPr>
          <w:bCs/>
          <w:szCs w:val="26"/>
        </w:rPr>
        <w:t xml:space="preserve"> למוסר – אישיותו בוודאי אינה הסיבה – ר׳ ישראל </w:t>
      </w:r>
      <w:proofErr w:type="spellStart"/>
      <w:r>
        <w:rPr>
          <w:bCs/>
          <w:szCs w:val="26"/>
        </w:rPr>
        <w:t>סלנטר</w:t>
      </w:r>
      <w:proofErr w:type="spellEnd"/>
      <w:r>
        <w:rPr>
          <w:bCs/>
          <w:szCs w:val="26"/>
        </w:rPr>
        <w:t xml:space="preserve"> מנסה ללא הצלחה לחדור לישיבת </w:t>
      </w:r>
      <w:proofErr w:type="spellStart"/>
      <w:r>
        <w:rPr>
          <w:bCs/>
          <w:szCs w:val="26"/>
        </w:rPr>
        <w:t>וולוז׳ין</w:t>
      </w:r>
      <w:proofErr w:type="spellEnd"/>
      <w:r>
        <w:rPr>
          <w:bCs/>
          <w:szCs w:val="26"/>
        </w:rPr>
        <w:t xml:space="preserve"> – ר׳ יוזל </w:t>
      </w:r>
      <w:proofErr w:type="spellStart"/>
      <w:r>
        <w:rPr>
          <w:bCs/>
          <w:szCs w:val="26"/>
        </w:rPr>
        <w:t>הורוויץ</w:t>
      </w:r>
      <w:proofErr w:type="spellEnd"/>
      <w:r>
        <w:rPr>
          <w:bCs/>
          <w:szCs w:val="26"/>
        </w:rPr>
        <w:t xml:space="preserve"> מנסה לשכנע את ר׳ חיים במעלת המוסר.</w:t>
      </w:r>
    </w:p>
    <w:p w14:paraId="56DF84DE" w14:textId="77777777" w:rsidR="00AB3647" w:rsidRDefault="00000000" w:rsidP="007923E9">
      <w:pPr>
        <w:spacing w:after="120" w:line="276" w:lineRule="auto"/>
        <w:ind w:firstLine="283"/>
        <w:jc w:val="both"/>
      </w:pPr>
      <w:r>
        <w:rPr>
          <w:rtl/>
        </w:rPr>
        <w:t xml:space="preserve">על דעת ר׳ חיים שהמוסר מזיק </w:t>
      </w:r>
      <w:proofErr w:type="spellStart"/>
      <w:r>
        <w:rPr>
          <w:rtl/>
        </w:rPr>
        <w:t>ל“בריאים</w:t>
      </w:r>
      <w:proofErr w:type="spellEnd"/>
      <w:r>
        <w:rPr>
          <w:rtl/>
        </w:rPr>
        <w:t xml:space="preserve">” השווה את המאמר “איש ההלכה” </w:t>
      </w:r>
      <w:proofErr w:type="spellStart"/>
      <w:r>
        <w:rPr>
          <w:rtl/>
        </w:rPr>
        <w:t>ב“תלפיות</w:t>
      </w:r>
      <w:proofErr w:type="spellEnd"/>
      <w:r>
        <w:rPr>
          <w:rtl/>
        </w:rPr>
        <w:t>”</w:t>
      </w:r>
      <w:bookmarkStart w:id="5424" w:name="_fnr4085"/>
      <w:r>
        <w:rPr>
          <w:vertAlign w:val="superscript"/>
          <w:rtl/>
        </w:rPr>
        <w:footnoteReference w:id="4095" w:customMarkFollows="0"/>
      </w:r>
      <w:bookmarkEnd w:id="5424"/>
      <w:r>
        <w:rPr>
          <w:rtl/>
        </w:rPr>
        <w:t xml:space="preserve">. שם משער ר׳ </w:t>
      </w:r>
      <w:proofErr w:type="spellStart"/>
      <w:r>
        <w:rPr>
          <w:rtl/>
        </w:rPr>
        <w:t xml:space="preserve">יוסף־דב</w:t>
      </w:r>
      <w:proofErr w:type="spellEnd"/>
      <w:r>
        <w:rPr>
          <w:rtl/>
        </w:rPr>
        <w:t xml:space="preserve"> </w:t>
      </w:r>
      <w:proofErr w:type="spellStart"/>
      <w:r>
        <w:rPr>
          <w:rtl/>
        </w:rPr>
        <w:t>סולובייצ׳יק</w:t>
      </w:r>
      <w:proofErr w:type="spellEnd"/>
      <w:r>
        <w:rPr>
          <w:rtl/>
        </w:rPr>
        <w:t xml:space="preserve"> שהתנגדות סבו </w:t>
      </w:r>
      <w:proofErr w:type="spellStart"/>
      <w:r>
        <w:rPr>
          <w:rtl/>
        </w:rPr>
        <w:t>ל“מוסר</w:t>
      </w:r>
      <w:proofErr w:type="spellEnd"/>
      <w:r>
        <w:rPr>
          <w:rtl/>
        </w:rPr>
        <w:t xml:space="preserve"> בראשיתו”, כמו שהפיצו ר׳ </w:t>
      </w:r>
      <w:proofErr w:type="spellStart"/>
      <w:r>
        <w:rPr>
          <w:rtl/>
        </w:rPr>
        <w:t>איצל׳ה</w:t>
      </w:r>
      <w:proofErr w:type="spellEnd"/>
      <w:r>
        <w:rPr>
          <w:rtl/>
        </w:rPr>
        <w:t xml:space="preserve"> </w:t>
      </w:r>
      <w:proofErr w:type="spellStart"/>
      <w:r>
        <w:rPr>
          <w:rtl/>
        </w:rPr>
        <w:t>בלאזר</w:t>
      </w:r>
      <w:proofErr w:type="spellEnd"/>
      <w:r>
        <w:rPr>
          <w:rtl/>
        </w:rPr>
        <w:t xml:space="preserve">, נבעה מטעמים פילוסופיים, והוא ממשיך ומפרט אותם. ר׳ </w:t>
      </w:r>
      <w:proofErr w:type="spellStart"/>
      <w:r>
        <w:rPr>
          <w:rtl/>
        </w:rPr>
        <w:t xml:space="preserve">יוסף־דב</w:t>
      </w:r>
      <w:proofErr w:type="spellEnd"/>
      <w:r>
        <w:rPr>
          <w:rtl/>
        </w:rPr>
        <w:t xml:space="preserve"> משווה שם את גישתו של ר׳ </w:t>
      </w:r>
      <w:proofErr w:type="spellStart"/>
      <w:r>
        <w:rPr>
          <w:rtl/>
        </w:rPr>
        <w:t>איצל׳ה</w:t>
      </w:r>
      <w:proofErr w:type="spellEnd"/>
      <w:r>
        <w:rPr>
          <w:rtl/>
        </w:rPr>
        <w:t xml:space="preserve"> </w:t>
      </w:r>
      <w:proofErr w:type="spellStart"/>
      <w:r>
        <w:rPr>
          <w:rtl/>
        </w:rPr>
        <w:t>בלאזר</w:t>
      </w:r>
      <w:proofErr w:type="spellEnd"/>
      <w:r>
        <w:rPr>
          <w:rtl/>
        </w:rPr>
        <w:t xml:space="preserve"> למוסר לשינויים המאוחרים יותר שהנהיג ר׳ </w:t>
      </w:r>
      <w:proofErr w:type="spellStart"/>
      <w:r>
        <w:rPr>
          <w:rtl/>
        </w:rPr>
        <w:t>נתן־צבי</w:t>
      </w:r>
      <w:proofErr w:type="spellEnd"/>
      <w:r>
        <w:rPr>
          <w:rtl/>
        </w:rPr>
        <w:t xml:space="preserve"> </w:t>
      </w:r>
      <w:proofErr w:type="spellStart"/>
      <w:r>
        <w:rPr>
          <w:rtl/>
        </w:rPr>
        <w:t>פינקל</w:t>
      </w:r>
      <w:bookmarkStart w:id="5425" w:name="_fnr4086"/>
      <w:proofErr w:type="spellEnd"/>
      <w:r>
        <w:rPr>
          <w:vertAlign w:val="superscript"/>
          <w:rtl/>
        </w:rPr>
        <w:footnoteReference w:id="4096" w:customMarkFollows="0"/>
      </w:r>
      <w:bookmarkEnd w:id="5425"/>
      <w:r>
        <w:rPr>
          <w:rtl/>
        </w:rPr>
        <w:t>.</w:t>
      </w:r>
    </w:p>
    <w:p w14:paraId="57F91CD4" w14:textId="77777777" w:rsidR="00AB3647" w:rsidRDefault="00000000" w:rsidP="007923E9">
      <w:pPr>
        <w:spacing w:after="120" w:line="276" w:lineRule="auto"/>
        <w:ind w:firstLine="283"/>
        <w:jc w:val="both"/>
      </w:pPr>
      <w:r>
        <w:rPr>
          <w:rtl/>
        </w:rPr>
        <w:t xml:space="preserve">לפי ר׳ </w:t>
      </w:r>
      <w:proofErr w:type="spellStart"/>
      <w:r>
        <w:rPr>
          <w:rtl/>
        </w:rPr>
        <w:t>לייבל</w:t>
      </w:r>
      <w:proofErr w:type="spellEnd"/>
      <w:r>
        <w:rPr>
          <w:rtl/>
        </w:rPr>
        <w:t xml:space="preserve"> </w:t>
      </w:r>
      <w:proofErr w:type="spellStart"/>
      <w:r>
        <w:rPr>
          <w:rtl/>
        </w:rPr>
        <w:t>פרלשטיין</w:t>
      </w:r>
      <w:bookmarkStart w:id="5426" w:name="_fnr4087"/>
      <w:proofErr w:type="spellEnd"/>
      <w:r>
        <w:rPr>
          <w:vertAlign w:val="superscript"/>
          <w:rtl/>
        </w:rPr>
        <w:footnoteReference w:id="4097" w:customMarkFollows="0"/>
      </w:r>
      <w:bookmarkEnd w:id="5426"/>
      <w:r>
        <w:rPr>
          <w:rtl/>
        </w:rPr>
        <w:t xml:space="preserve">, אבי סבר שהתנגדות ר׳ חיים נבעה מן החשש שהפעלת השכל בתחום התובע מאמץ מחשבתי קטן מן העיון (שיטת הלימוד המיוחסת </w:t>
      </w:r>
      <w:proofErr w:type="spellStart"/>
      <w:r>
        <w:rPr>
          <w:rtl/>
        </w:rPr>
        <w:t>לר</w:t>
      </w:r>
      <w:proofErr w:type="spellEnd"/>
      <w:r>
        <w:rPr>
          <w:rtl/>
        </w:rPr>
        <w:t xml:space="preserve">׳ חיים </w:t>
      </w:r>
      <w:proofErr w:type="spellStart"/>
      <w:r>
        <w:rPr>
          <w:rtl/>
        </w:rPr>
        <w:t>סולובייצ׳יק</w:t>
      </w:r>
      <w:proofErr w:type="spellEnd"/>
      <w:r>
        <w:rPr>
          <w:rtl/>
        </w:rPr>
        <w:t xml:space="preserve">) בהלכה עלולה להרחיק אדם מיגיעת התורה בכלל. חיזוק להשערת רבנו נמצא כשציין ר׳ </w:t>
      </w:r>
      <w:proofErr w:type="spellStart"/>
      <w:r>
        <w:rPr>
          <w:rtl/>
        </w:rPr>
        <w:t>שמואל־דוד</w:t>
      </w:r>
      <w:proofErr w:type="spellEnd"/>
      <w:r>
        <w:rPr>
          <w:rtl/>
        </w:rPr>
        <w:t xml:space="preserve"> </w:t>
      </w:r>
      <w:proofErr w:type="spellStart"/>
      <w:r>
        <w:rPr>
          <w:rtl/>
        </w:rPr>
        <w:t>מובשוביץ</w:t>
      </w:r>
      <w:bookmarkStart w:id="5427" w:name="_fnr4088"/>
      <w:proofErr w:type="spellEnd"/>
      <w:r>
        <w:rPr>
          <w:vertAlign w:val="superscript"/>
          <w:rtl/>
        </w:rPr>
        <w:footnoteReference w:id="4098" w:customMarkFollows="0"/>
      </w:r>
      <w:bookmarkEnd w:id="5427"/>
      <w:r>
        <w:rPr>
          <w:rtl/>
        </w:rPr>
        <w:t xml:space="preserve"> שהיה נוכח פעם כשאמר ר׳ אברהם </w:t>
      </w:r>
      <w:proofErr w:type="spellStart"/>
      <w:r>
        <w:rPr>
          <w:rtl/>
        </w:rPr>
        <w:t>יופן</w:t>
      </w:r>
      <w:proofErr w:type="spellEnd"/>
      <w:r>
        <w:rPr>
          <w:rtl/>
        </w:rPr>
        <w:t xml:space="preserve"> </w:t>
      </w:r>
      <w:proofErr w:type="spellStart"/>
      <w:r>
        <w:rPr>
          <w:rtl/>
        </w:rPr>
        <w:t>לר</w:t>
      </w:r>
      <w:proofErr w:type="spellEnd"/>
      <w:r>
        <w:rPr>
          <w:rtl/>
        </w:rPr>
        <w:t xml:space="preserve">׳ </w:t>
      </w:r>
      <w:proofErr w:type="spellStart"/>
      <w:r>
        <w:rPr>
          <w:rtl/>
        </w:rPr>
        <w:t>חצקל</w:t>
      </w:r>
      <w:proofErr w:type="spellEnd"/>
      <w:r>
        <w:rPr>
          <w:rtl/>
        </w:rPr>
        <w:t xml:space="preserve"> </w:t>
      </w:r>
      <w:proofErr w:type="spellStart"/>
      <w:r>
        <w:rPr>
          <w:rtl/>
        </w:rPr>
        <w:t>סרנא</w:t>
      </w:r>
      <w:proofErr w:type="spellEnd"/>
      <w:r>
        <w:rPr>
          <w:rtl/>
        </w:rPr>
        <w:t xml:space="preserve"> – למורת רוחו של האחרון – שר׳ חיים סבר שאין לברך ברכת התורה על קריאת ספר “חובות הלבבות”. לא שר׳ חיים סבר שתוכנו אינו ראוי לברכה. להפך: לפי “פניני רבנו </w:t>
      </w:r>
      <w:proofErr w:type="spellStart"/>
      <w:r>
        <w:rPr>
          <w:rtl/>
        </w:rPr>
        <w:t>הגרי״ז</w:t>
      </w:r>
      <w:proofErr w:type="spellEnd"/>
      <w:r>
        <w:rPr>
          <w:rtl/>
        </w:rPr>
        <w:t>”</w:t>
      </w:r>
      <w:bookmarkStart w:id="5428" w:name="_fnr4089"/>
      <w:r>
        <w:rPr>
          <w:vertAlign w:val="superscript"/>
          <w:rtl/>
        </w:rPr>
        <w:footnoteReference w:id="4099" w:customMarkFollows="0"/>
      </w:r>
      <w:bookmarkEnd w:id="5428"/>
      <w:r>
        <w:rPr>
          <w:rtl/>
        </w:rPr>
        <w:t>, כשראה ר׳ חיים פעם את בנו הצעיר יצחק זאב לומד “חובות הלבבות” בשקידה, אמר בהסכמה: “למד, למד! חובות הלבבות הוא השולחן ערוך של היהדות.” דרך הלימוד של בעלי המוסר בספר – מתוך התעוררות, ולא מתוך עיון מחשבתי – היא שעמדה לנגד עיני ר׳ חיים כשפטר את קריאתו מברכת התורה.</w:t>
      </w:r>
    </w:p>
    <w:p w14:paraId="0AD3C53D" w14:textId="77777777" w:rsidR="00AB3647" w:rsidRDefault="00000000" w:rsidP="007923E9">
      <w:pPr>
        <w:spacing w:after="120" w:line="276" w:lineRule="auto"/>
        <w:ind w:firstLine="283"/>
        <w:jc w:val="both"/>
      </w:pPr>
      <w:r>
        <w:rPr>
          <w:rtl/>
        </w:rPr>
        <w:t xml:space="preserve">בדומה לכך, לפי ר׳ יחזקאל </w:t>
      </w:r>
      <w:proofErr w:type="spellStart"/>
      <w:r>
        <w:rPr>
          <w:rtl/>
        </w:rPr>
        <w:t>אברמסקי</w:t>
      </w:r>
      <w:bookmarkStart w:id="5429" w:name="_fnr4090"/>
      <w:proofErr w:type="spellEnd"/>
      <w:r>
        <w:rPr>
          <w:vertAlign w:val="superscript"/>
          <w:rtl/>
        </w:rPr>
        <w:footnoteReference w:id="4100" w:customMarkFollows="0"/>
      </w:r>
      <w:bookmarkEnd w:id="5429"/>
      <w:r>
        <w:rPr>
          <w:rtl/>
        </w:rPr>
        <w:t>, למד ר׳ חיים בְּעִיוּן את ענייני התורה המותרים בלימוד כשישב שבעה על קרוב. הוא עשה זאת אף שההלכה אוסרת ללמוד אפילו עניינים מצומצמים אלה בדרך של פלפול ועיון</w:t>
      </w:r>
      <w:bookmarkStart w:id="5430" w:name="_fnr4091"/>
      <w:r>
        <w:rPr>
          <w:vertAlign w:val="superscript"/>
          <w:rtl/>
        </w:rPr>
        <w:footnoteReference w:id="4101" w:customMarkFollows="0"/>
      </w:r>
      <w:bookmarkEnd w:id="5430"/>
      <w:r>
        <w:rPr>
          <w:rtl/>
        </w:rPr>
        <w:t>, משום שלימוד בלי התבוננות לא נחשב בעיניו לימוד תורה אמיתי כלל</w:t>
      </w:r>
      <w:bookmarkStart w:id="5431" w:name="_fnr4092"/>
      <w:r>
        <w:rPr>
          <w:vertAlign w:val="superscript"/>
          <w:rtl/>
        </w:rPr>
        <w:footnoteReference w:id="4102" w:customMarkFollows="0"/>
      </w:r>
      <w:bookmarkEnd w:id="5431"/>
      <w:r>
        <w:rPr>
          <w:rtl/>
        </w:rPr>
        <w:t>. ר׳ ישמעאל כהן סיפר</w:t>
      </w:r>
      <w:bookmarkStart w:id="5432" w:name="_fnr4093"/>
      <w:r>
        <w:rPr>
          <w:vertAlign w:val="superscript"/>
          <w:rtl/>
        </w:rPr>
        <w:footnoteReference w:id="4103" w:customMarkFollows="0"/>
      </w:r>
      <w:bookmarkEnd w:id="5432"/>
      <w:r>
        <w:rPr>
          <w:rtl/>
        </w:rPr>
        <w:t xml:space="preserve"> שכאשר שמע מרבו, ר׳ </w:t>
      </w:r>
      <w:proofErr w:type="spellStart"/>
      <w:r>
        <w:rPr>
          <w:rtl/>
        </w:rPr>
        <w:t xml:space="preserve">יוסף־דב</w:t>
      </w:r>
      <w:proofErr w:type="spellEnd"/>
      <w:r>
        <w:rPr>
          <w:rtl/>
        </w:rPr>
        <w:t xml:space="preserve"> </w:t>
      </w:r>
      <w:proofErr w:type="spellStart"/>
      <w:r>
        <w:rPr>
          <w:rtl/>
        </w:rPr>
        <w:t>סולובייצ׳יק</w:t>
      </w:r>
      <w:proofErr w:type="spellEnd"/>
      <w:r>
        <w:rPr>
          <w:rtl/>
        </w:rPr>
        <w:t xml:space="preserve">, את הסיפור על הגאון מווילנה שלמד את מסכתות זבחים ומנחות בלילה אחד </w:t>
      </w:r>
      <w:r>
        <w:rPr>
          <w:rtl/>
        </w:rPr>
        <w:lastRenderedPageBreak/>
        <w:t xml:space="preserve">(ראה “הגאון החסיד </w:t>
      </w:r>
      <w:proofErr w:type="spellStart"/>
      <w:r>
        <w:rPr>
          <w:rtl/>
        </w:rPr>
        <w:t>מוילנא</w:t>
      </w:r>
      <w:proofErr w:type="spellEnd"/>
      <w:r>
        <w:rPr>
          <w:rtl/>
        </w:rPr>
        <w:t>”</w:t>
      </w:r>
      <w:bookmarkStart w:id="5433" w:name="_fnr4094"/>
      <w:r>
        <w:rPr>
          <w:vertAlign w:val="superscript"/>
          <w:rtl/>
        </w:rPr>
        <w:footnoteReference w:id="4104" w:customMarkFollows="0"/>
      </w:r>
      <w:bookmarkEnd w:id="5433"/>
      <w:r>
        <w:rPr>
          <w:rtl/>
        </w:rPr>
        <w:t>), שאל בספקנות: “והאם עבר עליהן בעיון?” רבו, נכדו של ר׳ חיים, השיב: “ישמעאל, מה השאלה? בלי עיון, אין זה נחשב לימוד!”</w:t>
      </w:r>
    </w:p>
    <w:p w14:paraId="79426EED" w14:textId="1167A554" w:rsidR="00AB3647" w:rsidRDefault="00000000" w:rsidP="007923E9">
      <w:pPr>
        <w:spacing w:after="120" w:line="276" w:lineRule="auto"/>
        <w:ind w:firstLine="283"/>
        <w:jc w:val="both"/>
      </w:pPr>
      <w:r>
        <w:rPr>
          <w:rtl/>
        </w:rPr>
        <w:t>אגב, לפי “הראשון”</w:t>
      </w:r>
      <w:bookmarkStart w:id="5434" w:name="_fnr4095"/>
      <w:r>
        <w:rPr>
          <w:vertAlign w:val="superscript"/>
          <w:rtl/>
        </w:rPr>
        <w:footnoteReference w:id="4105" w:customMarkFollows="0"/>
      </w:r>
      <w:bookmarkEnd w:id="5434"/>
      <w:r>
        <w:rPr>
          <w:rtl/>
        </w:rPr>
        <w:t xml:space="preserve">, הסתייגות מן המוסר ניכרה כבר אצל אחד מאבותיו של ר׳ חיים </w:t>
      </w:r>
      <w:proofErr w:type="spellStart"/>
      <w:r>
        <w:rPr>
          <w:rtl/>
        </w:rPr>
        <w:t>סולובייצ׳יק</w:t>
      </w:r>
      <w:proofErr w:type="spellEnd"/>
      <w:r>
        <w:rPr>
          <w:rtl/>
        </w:rPr>
        <w:t xml:space="preserve">, סבו מצד אביו, ר׳ </w:t>
      </w:r>
      <w:proofErr w:type="spellStart"/>
      <w:r>
        <w:rPr>
          <w:rtl/>
        </w:rPr>
        <w:t>יצחק־זאב</w:t>
      </w:r>
      <w:proofErr w:type="spellEnd"/>
      <w:r>
        <w:rPr>
          <w:rtl/>
        </w:rPr>
        <w:t xml:space="preserve">, הרב מטעם של קובנה, שתמך ברב העיר, ר׳ </w:t>
      </w:r>
      <w:proofErr w:type="spellStart"/>
      <w:r>
        <w:rPr>
          <w:rtl/>
        </w:rPr>
        <w:t>לייבל׳ה</w:t>
      </w:r>
      <w:proofErr w:type="spellEnd"/>
      <w:r>
        <w:rPr>
          <w:rtl/>
        </w:rPr>
        <w:t xml:space="preserve"> שפירא, נגד ר׳ ישראל </w:t>
      </w:r>
      <w:proofErr w:type="spellStart"/>
      <w:r>
        <w:rPr>
          <w:rtl/>
        </w:rPr>
        <w:t>סלנטר</w:t>
      </w:r>
      <w:proofErr w:type="spellEnd"/>
      <w:r>
        <w:rPr>
          <w:rtl/>
        </w:rPr>
        <w:t xml:space="preserve"> – ראה פרק 5, הפסקה השנייה של </w:t>
      </w:r>
      <w:r>
        <w:rPr>
          <w:rtl/>
        </w:rPr>
        <w:fldChar w:fldCharType="begin" w:dirty="true"/>
      </w:r>
      <w:r>
        <w:rPr>
          <w:rtl/>
        </w:rPr>
        <w:instrText xml:space="preserve"> REF b5_excB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w:t>
      </w:r>
    </w:p>
    <w:p w14:paraId="04A67C07" w14:textId="77777777" w:rsidR="00AB3647" w:rsidRDefault="00000000" w:rsidP="007923E9">
      <w:pPr>
        <w:spacing w:after="120" w:line="276" w:lineRule="auto"/>
        <w:ind w:firstLine="283"/>
        <w:jc w:val="both"/>
      </w:pPr>
      <w:r>
        <w:rPr>
          <w:rtl/>
        </w:rPr>
        <w:t xml:space="preserve">ההצעה </w:t>
      </w:r>
      <w:proofErr w:type="spellStart"/>
      <w:r>
        <w:rPr>
          <w:rtl/>
        </w:rPr>
        <w:t>ב“בני</w:t>
      </w:r>
      <w:proofErr w:type="spellEnd"/>
      <w:r>
        <w:rPr>
          <w:rtl/>
        </w:rPr>
        <w:t xml:space="preserve"> בינה” מאת חיים ראובן </w:t>
      </w:r>
      <w:proofErr w:type="spellStart"/>
      <w:r>
        <w:rPr>
          <w:rtl/>
        </w:rPr>
        <w:t>רבינוביץ</w:t>
      </w:r>
      <w:bookmarkStart w:id="5435" w:name="_fnr4096"/>
      <w:proofErr w:type="spellEnd"/>
      <w:r>
        <w:rPr>
          <w:vertAlign w:val="superscript"/>
          <w:rtl/>
        </w:rPr>
        <w:footnoteReference w:id="4106" w:customMarkFollows="0"/>
      </w:r>
      <w:bookmarkEnd w:id="5435"/>
      <w:r>
        <w:rPr>
          <w:rtl/>
        </w:rPr>
        <w:t>, שמזגו העליז הטבעי של ר׳ חיים גרם לסלידתו ממוסר, אינה סבירה ואינה ראויה לדיון. שהרי אף שהיה עליז מטבעו בילדותו</w:t>
      </w:r>
      <w:bookmarkStart w:id="5436" w:name="_fnr4097"/>
      <w:r>
        <w:rPr>
          <w:vertAlign w:val="superscript"/>
          <w:rtl/>
        </w:rPr>
        <w:footnoteReference w:id="4107" w:customMarkFollows="0"/>
      </w:r>
      <w:bookmarkEnd w:id="5436"/>
      <w:r>
        <w:rPr>
          <w:rtl/>
        </w:rPr>
        <w:t xml:space="preserve">, ר׳ חיים בגיל העמידה, אחרי תקופת </w:t>
      </w:r>
      <w:proofErr w:type="spellStart"/>
      <w:r>
        <w:rPr>
          <w:rtl/>
        </w:rPr>
        <w:t>וולוז׳ין</w:t>
      </w:r>
      <w:proofErr w:type="spellEnd"/>
      <w:r>
        <w:rPr>
          <w:rtl/>
        </w:rPr>
        <w:t xml:space="preserve">, מתואר </w:t>
      </w:r>
      <w:proofErr w:type="spellStart"/>
      <w:r>
        <w:rPr>
          <w:rtl/>
        </w:rPr>
        <w:t>ב“איש</w:t>
      </w:r>
      <w:proofErr w:type="spellEnd"/>
      <w:r>
        <w:rPr>
          <w:rtl/>
        </w:rPr>
        <w:t xml:space="preserve"> ההלכה”</w:t>
      </w:r>
      <w:bookmarkStart w:id="5437" w:name="_fnr4098"/>
      <w:r>
        <w:rPr>
          <w:vertAlign w:val="superscript"/>
          <w:rtl/>
        </w:rPr>
        <w:footnoteReference w:id="4108" w:customMarkFollows="0"/>
      </w:r>
      <w:bookmarkEnd w:id="5437"/>
      <w:r>
        <w:rPr>
          <w:rtl/>
        </w:rPr>
        <w:t xml:space="preserve"> כמהורהר ונוטה מעט למלנכוליה – שינוי שוודאי כבר החל להתפתח בו בבגרותו, עד שערך ר׳ </w:t>
      </w:r>
      <w:proofErr w:type="spellStart"/>
      <w:r>
        <w:rPr>
          <w:rtl/>
        </w:rPr>
        <w:t>איצל׳ה</w:t>
      </w:r>
      <w:proofErr w:type="spellEnd"/>
      <w:r>
        <w:rPr>
          <w:rtl/>
        </w:rPr>
        <w:t xml:space="preserve"> את ביקורו </w:t>
      </w:r>
      <w:proofErr w:type="spellStart"/>
      <w:r>
        <w:rPr>
          <w:rtl/>
        </w:rPr>
        <w:t>בוולוז׳ין</w:t>
      </w:r>
      <w:proofErr w:type="spellEnd"/>
      <w:r>
        <w:rPr>
          <w:rtl/>
        </w:rPr>
        <w:t>.</w:t>
      </w:r>
    </w:p>
    <w:p w14:paraId="01F0CAD3" w14:textId="77777777" w:rsidR="00AB3647" w:rsidRDefault="00000000" w:rsidP="007923E9">
      <w:pPr>
        <w:spacing w:after="120" w:line="276" w:lineRule="auto"/>
        <w:ind w:firstLine="283"/>
        <w:jc w:val="both"/>
      </w:pPr>
      <w:r>
        <w:rPr>
          <w:rtl/>
        </w:rPr>
        <w:t>אבל השווה “</w:t>
      </w:r>
      <w:proofErr w:type="spellStart"/>
      <w:r>
        <w:rPr>
          <w:rtl/>
        </w:rPr>
        <w:t>מוולוז׳ין</w:t>
      </w:r>
      <w:proofErr w:type="spellEnd"/>
      <w:r>
        <w:rPr>
          <w:rtl/>
        </w:rPr>
        <w:t>”</w:t>
      </w:r>
      <w:bookmarkStart w:id="5438" w:name="_fnr4099"/>
      <w:r>
        <w:rPr>
          <w:vertAlign w:val="superscript"/>
          <w:rtl/>
        </w:rPr>
        <w:footnoteReference w:id="4109" w:customMarkFollows="0"/>
      </w:r>
      <w:bookmarkEnd w:id="5438"/>
      <w:r>
        <w:rPr>
          <w:rtl/>
        </w:rPr>
        <w:t xml:space="preserve">, הקובע שהמעבר מראשות ישיבה לרבנות שינה לגמרי את מזגו של ר׳ חיים: “ר׳ חיים ראש הישיבה היה תמיד שמח, מלא חיים, מתלוצץ ומשעשע ברמה הגבוהה ביותר. ר׳ חיים הרב היה מודאג, מכונס בעצמו ומאופק יותר. למי שהכיר את ר׳ חיים </w:t>
      </w:r>
      <w:proofErr w:type="spellStart"/>
      <w:r>
        <w:rPr>
          <w:rtl/>
        </w:rPr>
        <w:t>בוולוז׳ין</w:t>
      </w:r>
      <w:proofErr w:type="spellEnd"/>
      <w:r>
        <w:rPr>
          <w:rtl/>
        </w:rPr>
        <w:t xml:space="preserve"> וראהו לראשונה </w:t>
      </w:r>
      <w:proofErr w:type="spellStart"/>
      <w:r>
        <w:rPr>
          <w:rtl/>
        </w:rPr>
        <w:t>בבריסק</w:t>
      </w:r>
      <w:proofErr w:type="spellEnd"/>
      <w:r>
        <w:rPr>
          <w:rtl/>
        </w:rPr>
        <w:t>, היה הדבר קשה מנשוא [</w:t>
      </w:r>
      <w:proofErr w:type="spellStart"/>
      <w:r>
        <w:rPr>
          <w:rtl/>
        </w:rPr>
        <w:t>שווער</w:t>
      </w:r>
      <w:proofErr w:type="spellEnd"/>
      <w:r>
        <w:rPr>
          <w:rtl/>
        </w:rPr>
        <w:t xml:space="preserve"> </w:t>
      </w:r>
      <w:proofErr w:type="spellStart"/>
      <w:r>
        <w:rPr>
          <w:rtl/>
        </w:rPr>
        <w:t>אויפן</w:t>
      </w:r>
      <w:proofErr w:type="spellEnd"/>
      <w:r>
        <w:rPr>
          <w:rtl/>
        </w:rPr>
        <w:t xml:space="preserve"> הארצען, מילולית: כבד על הלב]; הוא ביקש וחיפש את הימים הטובים ההם.” אם כך, אפשר שמזגו העליז הטבעי אכן גרם לסלידתו ממוסר – כטענת “בני בינה” – כל עוד היה </w:t>
      </w:r>
      <w:proofErr w:type="spellStart"/>
      <w:r>
        <w:rPr>
          <w:rtl/>
        </w:rPr>
        <w:t>בוולוז׳ין</w:t>
      </w:r>
      <w:proofErr w:type="spellEnd"/>
      <w:r>
        <w:rPr>
          <w:rtl/>
        </w:rPr>
        <w:t>.</w:t>
      </w:r>
    </w:p>
    <w:p w14:paraId="0DA1AF90" w14:textId="77777777" w:rsidR="00AB3647" w:rsidRDefault="00000000" w:rsidP="007923E9">
      <w:pPr>
        <w:spacing w:after="120" w:line="276" w:lineRule="auto"/>
        <w:ind w:firstLine="283"/>
        <w:jc w:val="both"/>
      </w:pPr>
      <w:r>
        <w:rPr>
          <w:rtl/>
        </w:rPr>
        <w:t xml:space="preserve">אבל הדבר יכול להסביר רק את הימנעותו האישית ממוסר, ואינו מסביר מדוע לא התיר לכלל התלמידים ללמוד אותו; ודאי היה ברור </w:t>
      </w:r>
      <w:proofErr w:type="spellStart"/>
      <w:r>
        <w:rPr>
          <w:rtl/>
        </w:rPr>
        <w:t>לר</w:t>
      </w:r>
      <w:proofErr w:type="spellEnd"/>
      <w:r>
        <w:rPr>
          <w:rtl/>
        </w:rPr>
        <w:t xml:space="preserve">׳ חיים שרוב תלמידי </w:t>
      </w:r>
      <w:proofErr w:type="spellStart"/>
      <w:r>
        <w:rPr>
          <w:rtl/>
        </w:rPr>
        <w:t>וולוז׳ין</w:t>
      </w:r>
      <w:proofErr w:type="spellEnd"/>
      <w:r>
        <w:rPr>
          <w:rtl/>
        </w:rPr>
        <w:t xml:space="preserve">, חתך רגיל של החברה היהודית, לא היו שותפים להלך רוחו העליז. הדבר גם לא יסביר מדוע התנגד ר׳ חיים למוסר שנים רבות אחרי שעזב את </w:t>
      </w:r>
      <w:proofErr w:type="spellStart"/>
      <w:r>
        <w:rPr>
          <w:rtl/>
        </w:rPr>
        <w:t>וולוז׳ין</w:t>
      </w:r>
      <w:proofErr w:type="spellEnd"/>
      <w:r>
        <w:rPr>
          <w:rtl/>
        </w:rPr>
        <w:t xml:space="preserve"> – ראה עמ׳ </w:t>
      </w:r>
      <w:r>
        <w:rPr>
          <w:rtl/>
        </w:rPr>
        <w:fldChar w:fldCharType="begin" w:dirty="true"/>
      </w:r>
      <w:r>
        <w:rPr>
          <w:rtl/>
        </w:rPr>
        <w:instrText xml:space="preserve"> PAGEREF pr_b_1256 \h </w:instrText>
      </w:r>
      <w:r>
        <w:rPr>
          <w:rtl/>
        </w:rPr>
      </w:r>
      <w:r>
        <w:rPr>
          <w:rtl/>
        </w:rPr>
        <w:fldChar w:fldCharType="separate"/>
      </w:r>
      <w:r w:rsidR="007923E9">
        <w:rPr>
          <w:noProof/>
          <w:rtl/>
        </w:rPr>
        <w:t>1</w:t>
      </w:r>
      <w:r>
        <w:rPr>
          <w:rtl/>
        </w:rPr>
        <w:fldChar w:fldCharType="end"/>
      </w:r>
      <w:r>
        <w:rPr>
          <w:rtl/>
        </w:rPr>
        <w:t xml:space="preserve"> על יחסו חמש שנים אחרי שנעשה רבה של </w:t>
      </w:r>
      <w:proofErr w:type="spellStart"/>
      <w:r>
        <w:rPr>
          <w:rtl/>
        </w:rPr>
        <w:t>בריסק</w:t>
      </w:r>
      <w:proofErr w:type="spellEnd"/>
      <w:r>
        <w:rPr>
          <w:rtl/>
        </w:rPr>
        <w:t>, ופרק 3, תחילת הערה 138, ועוד, על תקופה מאוחרת יותר בעשר שנים</w:t>
      </w:r>
      <w:hyperlink w:anchor="b3_note138" w:history="1">
        <w:r w:rsidR="007923E9" w:rsidRPr="007923E9">
          <w:rPr>
            <w:rStyle w:val="Hyperlink"/>
          </w:rPr>
          <w:t xml:space="preserve"/>
        </w:r>
      </w:hyperlink>
      <w:r>
        <w:rPr>
          <w:rtl/>
        </w:rPr>
        <w:t>. כנראה נשאר מתנגד למוסר כל ימיו.</w:t>
      </w:r>
    </w:p>
    <w:p w14:paraId="0ED8CF8E" w14:textId="77777777" w:rsidR="00AB3647" w:rsidRDefault="00000000" w:rsidP="007923E9">
      <w:pPr>
        <w:spacing w:after="120" w:line="276" w:lineRule="auto"/>
        <w:ind w:firstLine="283"/>
        <w:jc w:val="both"/>
      </w:pPr>
      <w:r>
        <w:rPr>
          <w:rtl/>
        </w:rPr>
        <w:t xml:space="preserve">ר׳ חיים </w:t>
      </w:r>
      <w:proofErr w:type="spellStart"/>
      <w:r>
        <w:rPr>
          <w:rtl/>
        </w:rPr>
        <w:t>סרנא</w:t>
      </w:r>
      <w:proofErr w:type="spellEnd"/>
      <w:r>
        <w:rPr>
          <w:rtl/>
        </w:rPr>
        <w:t xml:space="preserve"> סיפר</w:t>
      </w:r>
      <w:bookmarkStart w:id="5439" w:name="_fnr4100"/>
      <w:r>
        <w:rPr>
          <w:vertAlign w:val="superscript"/>
          <w:rtl/>
        </w:rPr>
        <w:footnoteReference w:id="4110" w:customMarkFollows="0"/>
      </w:r>
      <w:bookmarkEnd w:id="5439"/>
      <w:r>
        <w:rPr>
          <w:rtl/>
        </w:rPr>
        <w:t xml:space="preserve"> בשם אביו, ר׳ </w:t>
      </w:r>
      <w:proofErr w:type="spellStart"/>
      <w:r>
        <w:rPr>
          <w:rtl/>
        </w:rPr>
        <w:t>חצקל</w:t>
      </w:r>
      <w:proofErr w:type="spellEnd"/>
      <w:r>
        <w:rPr>
          <w:rtl/>
        </w:rPr>
        <w:t xml:space="preserve">, שר׳ ישראל </w:t>
      </w:r>
      <w:proofErr w:type="spellStart"/>
      <w:r>
        <w:rPr>
          <w:rtl/>
        </w:rPr>
        <w:t>סלנטר</w:t>
      </w:r>
      <w:proofErr w:type="spellEnd"/>
      <w:r>
        <w:rPr>
          <w:rtl/>
        </w:rPr>
        <w:t xml:space="preserve"> פנה פעם </w:t>
      </w:r>
      <w:proofErr w:type="spellStart"/>
      <w:r>
        <w:rPr>
          <w:rtl/>
        </w:rPr>
        <w:t>לנצי״ב</w:t>
      </w:r>
      <w:proofErr w:type="spellEnd"/>
      <w:r>
        <w:rPr>
          <w:rtl/>
        </w:rPr>
        <w:t xml:space="preserve"> והציע לשמש משגיח בישיבת </w:t>
      </w:r>
      <w:proofErr w:type="spellStart"/>
      <w:r>
        <w:rPr>
          <w:rtl/>
        </w:rPr>
        <w:t>וולוז׳ין</w:t>
      </w:r>
      <w:proofErr w:type="spellEnd"/>
      <w:r>
        <w:rPr>
          <w:rtl/>
        </w:rPr>
        <w:t xml:space="preserve">. </w:t>
      </w:r>
      <w:proofErr w:type="spellStart"/>
      <w:r>
        <w:rPr>
          <w:rtl/>
        </w:rPr>
        <w:t>הנצי״ב</w:t>
      </w:r>
      <w:proofErr w:type="spellEnd"/>
      <w:r>
        <w:rPr>
          <w:rtl/>
        </w:rPr>
        <w:t xml:space="preserve"> אמר לו שהוא מוזמן לבוא, אבל אם יבוא, ייאלץ הוא, </w:t>
      </w:r>
      <w:proofErr w:type="spellStart"/>
      <w:r>
        <w:rPr>
          <w:rtl/>
        </w:rPr>
        <w:t>הנצי״ב</w:t>
      </w:r>
      <w:proofErr w:type="spellEnd"/>
      <w:r>
        <w:rPr>
          <w:rtl/>
        </w:rPr>
        <w:t>, לעזוב את הישיבה. מובן שבכך סוכל ניסיונו של ר׳ ישראל להכניס בעצמו את המוסר למעוז הלמדנות התורנית.</w:t>
      </w:r>
    </w:p>
    <w:p w14:paraId="2E9F3375" w14:textId="503E51B2" w:rsidR="00AB3647" w:rsidRDefault="00000000" w:rsidP="007923E9">
      <w:pPr>
        <w:spacing w:after="120" w:line="276" w:lineRule="auto"/>
        <w:ind w:firstLine="283"/>
        <w:jc w:val="both"/>
      </w:pPr>
      <w:r>
        <w:rPr>
          <w:rtl/>
        </w:rPr>
        <w:t xml:space="preserve">עובדה זו, שבדרך כלל אינה ידועה, מביאה לידי השערה שניסיונו של ר׳ </w:t>
      </w:r>
      <w:proofErr w:type="spellStart"/>
      <w:r>
        <w:rPr>
          <w:rtl/>
        </w:rPr>
        <w:t>אלכסנדר־משה</w:t>
      </w:r>
      <w:proofErr w:type="spellEnd"/>
      <w:r>
        <w:rPr>
          <w:rtl/>
        </w:rPr>
        <w:t xml:space="preserve"> לפידות להקים את הכולל </w:t>
      </w:r>
      <w:proofErr w:type="spellStart"/>
      <w:r>
        <w:rPr>
          <w:rtl/>
        </w:rPr>
        <w:t>בוולוז׳ין</w:t>
      </w:r>
      <w:proofErr w:type="spellEnd"/>
      <w:r>
        <w:rPr>
          <w:rtl/>
        </w:rPr>
        <w:t xml:space="preserve">, ולא בקובנה, לא היה אלא עוד ניסיון של רבו, ר׳ ישראל, לחדור </w:t>
      </w:r>
      <w:proofErr w:type="spellStart"/>
      <w:r>
        <w:rPr>
          <w:rtl/>
        </w:rPr>
        <w:t>לוולוז׳ין</w:t>
      </w:r>
      <w:proofErr w:type="spellEnd"/>
      <w:r>
        <w:rPr>
          <w:rtl/>
        </w:rPr>
        <w:t xml:space="preserve">. הכוונה לכולל שנתמך בידי לחמן ונשלט בידי בעלי המוסר, בניהולו של ר׳ </w:t>
      </w:r>
      <w:proofErr w:type="spellStart"/>
      <w:r>
        <w:rPr>
          <w:rtl/>
        </w:rPr>
        <w:lastRenderedPageBreak/>
        <w:t>חיים־הלל</w:t>
      </w:r>
      <w:proofErr w:type="spellEnd"/>
      <w:r>
        <w:rPr>
          <w:rtl/>
        </w:rPr>
        <w:t xml:space="preserve"> פריד החולה</w:t>
      </w:r>
      <w:bookmarkStart w:id="5440" w:name="_fnr4101"/>
      <w:r>
        <w:rPr>
          <w:vertAlign w:val="superscript"/>
          <w:rtl/>
        </w:rPr>
        <w:footnoteReference w:id="4111" w:customMarkFollows="0"/>
      </w:r>
      <w:bookmarkEnd w:id="5440"/>
      <w:r>
        <w:rPr>
          <w:rtl/>
        </w:rPr>
        <w:t xml:space="preserve">, וכפי הנראה החלש (השווה פרק 3, הפסקה הראשונה של </w:t>
      </w:r>
      <w:r>
        <w:rPr>
          <w:rtl/>
        </w:rPr>
        <w:fldChar w:fldCharType="begin" w:dirty="true"/>
      </w:r>
      <w:r>
        <w:rPr>
          <w:rtl/>
        </w:rPr>
        <w:instrText xml:space="preserve"> REF b3_excA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א</w:t>
      </w:r>
      <w:r>
        <w:rPr>
          <w:rtl/>
        </w:rPr>
        <w:fldChar w:fldCharType="end"/>
      </w:r>
      <w:r>
        <w:rPr>
          <w:rtl/>
        </w:rPr>
        <w:t xml:space="preserve">). השערה זו פותרת את החידה שהעלה </w:t>
      </w:r>
      <w:proofErr w:type="spellStart"/>
      <w:r>
        <w:rPr>
          <w:rtl/>
        </w:rPr>
        <w:t>אטקס</w:t>
      </w:r>
      <w:proofErr w:type="spellEnd"/>
      <w:r>
        <w:rPr>
          <w:rtl/>
        </w:rPr>
        <w:t xml:space="preserve">, “ר׳ ישראל </w:t>
      </w:r>
      <w:proofErr w:type="spellStart"/>
      <w:r>
        <w:rPr>
          <w:rtl/>
        </w:rPr>
        <w:t>סלנטר</w:t>
      </w:r>
      <w:proofErr w:type="spellEnd"/>
      <w:r>
        <w:rPr>
          <w:rtl/>
        </w:rPr>
        <w:t xml:space="preserve"> וראשיתה של תנועת המוסר”</w:t>
      </w:r>
      <w:bookmarkStart w:id="5441" w:name="_fnr4102"/>
      <w:r>
        <w:rPr>
          <w:vertAlign w:val="superscript"/>
          <w:rtl/>
        </w:rPr>
        <w:footnoteReference w:id="4112" w:customMarkFollows="0"/>
      </w:r>
      <w:bookmarkEnd w:id="5441"/>
      <w:r>
        <w:rPr>
          <w:rtl/>
        </w:rPr>
        <w:t xml:space="preserve">, והשאיר בלי פתרון: מדוע ביטל הרב לפידות את התוכנית להקים את הכולל </w:t>
      </w:r>
      <w:proofErr w:type="spellStart"/>
      <w:r>
        <w:rPr>
          <w:rtl/>
        </w:rPr>
        <w:t>בוולוז׳ין</w:t>
      </w:r>
      <w:proofErr w:type="spellEnd"/>
      <w:r>
        <w:rPr>
          <w:rtl/>
        </w:rPr>
        <w:t xml:space="preserve"> כשעמד </w:t>
      </w:r>
      <w:proofErr w:type="spellStart"/>
      <w:r>
        <w:rPr>
          <w:rtl/>
        </w:rPr>
        <w:t>הנצי״ב</w:t>
      </w:r>
      <w:proofErr w:type="spellEnd"/>
      <w:r>
        <w:rPr>
          <w:rtl/>
        </w:rPr>
        <w:t xml:space="preserve"> על כך שישתתף בניהולו. מסירת שליטה בכולל </w:t>
      </w:r>
      <w:proofErr w:type="spellStart"/>
      <w:r>
        <w:rPr>
          <w:rtl/>
        </w:rPr>
        <w:t>לנצי״ב</w:t>
      </w:r>
      <w:proofErr w:type="spellEnd"/>
      <w:r>
        <w:rPr>
          <w:rtl/>
        </w:rPr>
        <w:t xml:space="preserve">, שהתנגד למוסר בחריפות, הייתה מבטלת לגמרי את התכלית היסודית של הקמתו </w:t>
      </w:r>
      <w:proofErr w:type="spellStart"/>
      <w:r>
        <w:rPr>
          <w:rtl/>
        </w:rPr>
        <w:t>בוולוז׳ין</w:t>
      </w:r>
      <w:proofErr w:type="spellEnd"/>
      <w:r>
        <w:rPr>
          <w:rtl/>
        </w:rPr>
        <w:t>.</w:t>
      </w:r>
    </w:p>
    <w:p w14:paraId="2C85E42D" w14:textId="01D0ECC3" w:rsidR="00AB3647" w:rsidRDefault="00000000" w:rsidP="007923E9">
      <w:pPr>
        <w:spacing w:after="120" w:line="276" w:lineRule="auto"/>
        <w:ind w:firstLine="283"/>
        <w:jc w:val="both"/>
      </w:pPr>
      <w:r>
        <w:rPr>
          <w:rtl/>
        </w:rPr>
        <w:t xml:space="preserve">השווה גם פרק 3, </w:t>
      </w:r>
      <w:r>
        <w:rPr>
          <w:rtl/>
        </w:rPr>
        <w:fldChar w:fldCharType="begin" w:dirty="true"/>
      </w:r>
      <w:r>
        <w:rPr>
          <w:rtl/>
        </w:rPr>
        <w:instrText xml:space="preserve"> REF b3_excK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יא</w:t>
      </w:r>
      <w:r>
        <w:rPr>
          <w:rtl/>
        </w:rPr>
        <w:fldChar w:fldCharType="end"/>
      </w:r>
      <w:r>
        <w:rPr>
          <w:rtl/>
        </w:rPr>
        <w:t>, המביא גרסה שבספרו של כץ, “תנועת המוסר”, כרך ב</w:t>
      </w:r>
      <w:bookmarkStart w:id="5442" w:name="_fnr4103"/>
      <w:r>
        <w:rPr>
          <w:vertAlign w:val="superscript"/>
          <w:rtl/>
        </w:rPr>
        <w:footnoteReference w:id="4113" w:customMarkFollows="0"/>
      </w:r>
      <w:bookmarkEnd w:id="5442"/>
      <w:r>
        <w:rPr>
          <w:rtl/>
        </w:rPr>
        <w:t xml:space="preserve">, שלפיה ניסה ר׳ ישראל להביא למינויו של בוגר </w:t>
      </w:r>
      <w:proofErr w:type="spellStart"/>
      <w:r>
        <w:rPr>
          <w:rtl/>
        </w:rPr>
        <w:t>וולוז׳ין</w:t>
      </w:r>
      <w:proofErr w:type="spellEnd"/>
      <w:r>
        <w:rPr>
          <w:rtl/>
        </w:rPr>
        <w:t xml:space="preserve">, ר׳ לייזר </w:t>
      </w:r>
      <w:proofErr w:type="spellStart"/>
      <w:r>
        <w:rPr>
          <w:rtl/>
        </w:rPr>
        <w:t>שולביץ</w:t>
      </w:r>
      <w:proofErr w:type="spellEnd"/>
      <w:r>
        <w:rPr>
          <w:rtl/>
        </w:rPr>
        <w:t xml:space="preserve">, למשגיח שם – אומנם מן הסוג המפקח. תכליתו של ר׳ ישראל הייתה ללא ספק להחדיר את המוסר </w:t>
      </w:r>
      <w:proofErr w:type="spellStart"/>
      <w:r>
        <w:rPr>
          <w:rtl/>
        </w:rPr>
        <w:t>לוולוז׳ין</w:t>
      </w:r>
      <w:proofErr w:type="spellEnd"/>
      <w:r>
        <w:rPr>
          <w:rtl/>
        </w:rPr>
        <w:t xml:space="preserve"> באמצעות חסיד המוסר הנלהב ר׳ לייזר </w:t>
      </w:r>
      <w:proofErr w:type="spellStart"/>
      <w:r>
        <w:rPr>
          <w:rtl/>
        </w:rPr>
        <w:t>שולביץ</w:t>
      </w:r>
      <w:proofErr w:type="spellEnd"/>
      <w:r>
        <w:rPr>
          <w:rtl/>
        </w:rPr>
        <w:t xml:space="preserve">, וזו בדיוק הייתה הסיבה </w:t>
      </w:r>
      <w:proofErr w:type="spellStart"/>
      <w:r>
        <w:rPr>
          <w:rtl/>
        </w:rPr>
        <w:t>שהנצי״ב</w:t>
      </w:r>
      <w:proofErr w:type="spellEnd"/>
      <w:r>
        <w:rPr>
          <w:rtl/>
        </w:rPr>
        <w:t xml:space="preserve"> דחה את המינוי.</w:t>
      </w:r>
    </w:p>
    <w:p w14:paraId="278F4F91" w14:textId="77777777" w:rsidR="00AB3647" w:rsidRDefault="00000000" w:rsidP="007923E9">
      <w:pPr>
        <w:spacing w:after="120" w:line="276" w:lineRule="auto"/>
        <w:ind w:firstLine="283"/>
        <w:jc w:val="both"/>
      </w:pPr>
      <w:r>
        <w:rPr>
          <w:rtl/>
        </w:rPr>
        <w:t xml:space="preserve">ר׳ אברהם </w:t>
      </w:r>
      <w:proofErr w:type="spellStart"/>
      <w:r>
        <w:rPr>
          <w:rtl/>
        </w:rPr>
        <w:t>יופן</w:t>
      </w:r>
      <w:proofErr w:type="spellEnd"/>
      <w:r>
        <w:rPr>
          <w:rtl/>
        </w:rPr>
        <w:t xml:space="preserve"> כתב על תוכן דרשתו של ר׳ </w:t>
      </w:r>
      <w:proofErr w:type="spellStart"/>
      <w:r>
        <w:rPr>
          <w:rtl/>
        </w:rPr>
        <w:t>איצל׳ה</w:t>
      </w:r>
      <w:proofErr w:type="spellEnd"/>
      <w:r>
        <w:rPr>
          <w:rtl/>
        </w:rPr>
        <w:t xml:space="preserve"> </w:t>
      </w:r>
      <w:proofErr w:type="spellStart"/>
      <w:r>
        <w:rPr>
          <w:rtl/>
        </w:rPr>
        <w:t>בוולוז׳ין</w:t>
      </w:r>
      <w:proofErr w:type="spellEnd"/>
      <w:r>
        <w:rPr>
          <w:rtl/>
        </w:rPr>
        <w:t xml:space="preserve">, בשם “תלמיד חכם שלמד </w:t>
      </w:r>
      <w:proofErr w:type="spellStart"/>
      <w:r>
        <w:rPr>
          <w:rtl/>
        </w:rPr>
        <w:t>בוולוז׳ין</w:t>
      </w:r>
      <w:proofErr w:type="spellEnd"/>
      <w:r>
        <w:rPr>
          <w:rtl/>
        </w:rPr>
        <w:t xml:space="preserve">” באותה עת וזכר חלק מן הדרשה, כמו שמובא </w:t>
      </w:r>
      <w:proofErr w:type="spellStart"/>
      <w:r>
        <w:rPr>
          <w:rtl/>
        </w:rPr>
        <w:t>ב“המוסר</w:t>
      </w:r>
      <w:proofErr w:type="spellEnd"/>
      <w:r>
        <w:rPr>
          <w:rtl/>
        </w:rPr>
        <w:t xml:space="preserve"> והדעת”</w:t>
      </w:r>
      <w:bookmarkStart w:id="5443" w:name="_fnr4104"/>
      <w:r>
        <w:rPr>
          <w:vertAlign w:val="superscript"/>
          <w:rtl/>
        </w:rPr>
        <w:footnoteReference w:id="4114" w:customMarkFollows="0"/>
      </w:r>
      <w:bookmarkEnd w:id="5443"/>
      <w:r>
        <w:rPr>
          <w:rtl/>
        </w:rPr>
        <w:t xml:space="preserve">. מדבריו נראה שעיקרה המעשי של הדרשה בישיבה היה שחיוני למנות משגיח. כמובן, ר׳ </w:t>
      </w:r>
      <w:proofErr w:type="spellStart"/>
      <w:r>
        <w:rPr>
          <w:rtl/>
        </w:rPr>
        <w:t>איצל׳ה</w:t>
      </w:r>
      <w:proofErr w:type="spellEnd"/>
      <w:r>
        <w:rPr>
          <w:rtl/>
        </w:rPr>
        <w:t xml:space="preserve"> התכוון למשגיח כמנהל רוחני, מן הסוג שחידשה תנועת המוסר; המשגיח מן הסוג האחר, שתפקידו היה פיקוח בלבד, כבר נמנה עם סגל ישיבת </w:t>
      </w:r>
      <w:proofErr w:type="spellStart"/>
      <w:r>
        <w:rPr>
          <w:rtl/>
        </w:rPr>
        <w:t>וולוז׳ין</w:t>
      </w:r>
      <w:proofErr w:type="spellEnd"/>
      <w:r>
        <w:rPr>
          <w:rtl/>
        </w:rPr>
        <w:t xml:space="preserve"> בעת דרשת ר׳ </w:t>
      </w:r>
      <w:proofErr w:type="spellStart"/>
      <w:r>
        <w:rPr>
          <w:rtl/>
        </w:rPr>
        <w:t>איצל׳ה</w:t>
      </w:r>
      <w:proofErr w:type="spellEnd"/>
      <w:r>
        <w:rPr>
          <w:rtl/>
        </w:rPr>
        <w:t xml:space="preserve">, כמו שהיה מאז ימיו של חותן </w:t>
      </w:r>
      <w:proofErr w:type="spellStart"/>
      <w:r>
        <w:rPr>
          <w:rtl/>
        </w:rPr>
        <w:t>הנצי״ב</w:t>
      </w:r>
      <w:proofErr w:type="spellEnd"/>
      <w:r>
        <w:rPr>
          <w:rtl/>
        </w:rPr>
        <w:t xml:space="preserve">, ר׳ </w:t>
      </w:r>
      <w:proofErr w:type="spellStart"/>
      <w:r>
        <w:rPr>
          <w:rtl/>
        </w:rPr>
        <w:t>איצל׳ה</w:t>
      </w:r>
      <w:bookmarkStart w:id="5444" w:name="_fnr4105"/>
      <w:proofErr w:type="spellEnd"/>
      <w:r>
        <w:rPr>
          <w:vertAlign w:val="superscript"/>
          <w:rtl/>
        </w:rPr>
        <w:footnoteReference w:id="4115" w:customMarkFollows="0"/>
      </w:r>
      <w:bookmarkEnd w:id="5444"/>
      <w:r>
        <w:rPr>
          <w:rtl/>
        </w:rPr>
        <w:t>.</w:t>
      </w:r>
    </w:p>
    <w:p w14:paraId="3FEC3083" w14:textId="77777777" w:rsidR="00AB3647" w:rsidRDefault="00000000" w:rsidP="007923E9">
      <w:pPr>
        <w:spacing w:after="120" w:line="276" w:lineRule="auto"/>
        <w:ind w:firstLine="283"/>
        <w:jc w:val="both"/>
      </w:pPr>
      <w:r>
        <w:rPr>
          <w:rtl/>
        </w:rPr>
        <w:t>אבי גם סיפר</w:t>
      </w:r>
      <w:bookmarkStart w:id="5445" w:name="_fnr4106"/>
      <w:r>
        <w:rPr>
          <w:vertAlign w:val="superscript"/>
          <w:rtl/>
        </w:rPr>
        <w:footnoteReference w:id="4116" w:customMarkFollows="0"/>
      </w:r>
      <w:bookmarkEnd w:id="5445"/>
      <w:r>
        <w:rPr>
          <w:rtl/>
        </w:rPr>
        <w:t xml:space="preserve"> שר׳ יוזל </w:t>
      </w:r>
      <w:proofErr w:type="spellStart"/>
      <w:r>
        <w:rPr>
          <w:rtl/>
        </w:rPr>
        <w:t>הורוויץ</w:t>
      </w:r>
      <w:proofErr w:type="spellEnd"/>
      <w:r>
        <w:rPr>
          <w:rtl/>
        </w:rPr>
        <w:t xml:space="preserve"> </w:t>
      </w:r>
      <w:proofErr w:type="spellStart"/>
      <w:r>
        <w:rPr>
          <w:rtl/>
        </w:rPr>
        <w:t>מנובהרדוק</w:t>
      </w:r>
      <w:proofErr w:type="spellEnd"/>
      <w:r>
        <w:rPr>
          <w:rtl/>
        </w:rPr>
        <w:t xml:space="preserve"> בא פעם </w:t>
      </w:r>
      <w:proofErr w:type="spellStart"/>
      <w:r>
        <w:rPr>
          <w:rtl/>
        </w:rPr>
        <w:t>לר</w:t>
      </w:r>
      <w:proofErr w:type="spellEnd"/>
      <w:r>
        <w:rPr>
          <w:rtl/>
        </w:rPr>
        <w:t xml:space="preserve">׳ חיים </w:t>
      </w:r>
      <w:proofErr w:type="spellStart"/>
      <w:r>
        <w:rPr>
          <w:rtl/>
        </w:rPr>
        <w:t>סולובייצ׳יק</w:t>
      </w:r>
      <w:proofErr w:type="spellEnd"/>
      <w:r>
        <w:rPr>
          <w:rtl/>
        </w:rPr>
        <w:t xml:space="preserve"> וניסה לשכנעו בצדקת המוסר, ור׳ חיים אמר אחר כך: “מה בדיוק רצה אורחי, איני יודע – מלבד זאת שניסה להטעות אותי.” ר׳ יוזל, שוודאי ידע על כישלון ניסיונו של רבו, ר׳ </w:t>
      </w:r>
      <w:proofErr w:type="spellStart"/>
      <w:r>
        <w:rPr>
          <w:rtl/>
        </w:rPr>
        <w:t>איצל׳ה</w:t>
      </w:r>
      <w:proofErr w:type="spellEnd"/>
      <w:r>
        <w:rPr>
          <w:rtl/>
        </w:rPr>
        <w:t xml:space="preserve">, לרכוש את לב ר׳ חיים </w:t>
      </w:r>
      <w:proofErr w:type="spellStart"/>
      <w:r>
        <w:rPr>
          <w:rtl/>
        </w:rPr>
        <w:t>סולובייצ׳יק</w:t>
      </w:r>
      <w:proofErr w:type="spellEnd"/>
      <w:r>
        <w:rPr>
          <w:rtl/>
        </w:rPr>
        <w:t xml:space="preserve"> </w:t>
      </w:r>
      <w:proofErr w:type="spellStart"/>
      <w:r>
        <w:rPr>
          <w:rtl/>
        </w:rPr>
        <w:t>בוולוז׳ין</w:t>
      </w:r>
      <w:proofErr w:type="spellEnd"/>
      <w:r>
        <w:rPr>
          <w:rtl/>
        </w:rPr>
        <w:t>, אולי ניסה להלביש את המוסר בלבוש שונה לגמרי, כדי לזכות באישורו של ר׳ חיים במועד המאוחר יותר. הצגה מטעה מסוג זה היא שתיאר ר׳ חיים בדבריו.</w:t>
      </w:r>
    </w:p>
    <w:p w14:paraId="630DEC54" w14:textId="4717B92D" w:rsidR="00AB3647" w:rsidRDefault="00000000" w:rsidP="007923E9">
      <w:pPr>
        <w:spacing w:after="120" w:line="276" w:lineRule="auto"/>
        <w:ind w:firstLine="283"/>
        <w:jc w:val="both"/>
      </w:pPr>
      <w:r>
        <w:rPr>
          <w:rtl/>
        </w:rPr>
        <w:t xml:space="preserve">השווה גם פרק 3, הערה </w:t>
      </w:r>
      <w:r>
        <w:rPr>
          <w:rtl/>
        </w:rPr>
        <w:fldChar w:fldCharType="begin" w:dirty="true"/>
      </w:r>
      <w:r>
        <w:rPr>
          <w:rtl/>
        </w:rPr>
        <w:instrText xml:space="preserve"> REF b3_note51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51</w:t>
      </w:r>
      <w:r>
        <w:rPr>
          <w:rtl/>
        </w:rPr>
        <w:fldChar w:fldCharType="end"/>
      </w:r>
      <w:r>
        <w:rPr>
          <w:rtl/>
        </w:rPr>
        <w:t xml:space="preserve">, על יחסם השלילי של תלמידי </w:t>
      </w:r>
      <w:proofErr w:type="spellStart"/>
      <w:r>
        <w:rPr>
          <w:rtl/>
        </w:rPr>
        <w:t>סלבודקה</w:t>
      </w:r>
      <w:proofErr w:type="spellEnd"/>
      <w:r>
        <w:rPr>
          <w:rtl/>
        </w:rPr>
        <w:t xml:space="preserve"> למוסר </w:t>
      </w:r>
      <w:proofErr w:type="spellStart"/>
      <w:r>
        <w:rPr>
          <w:rtl/>
        </w:rPr>
        <w:t>נובהרדוק</w:t>
      </w:r>
      <w:proofErr w:type="spellEnd"/>
      <w:r>
        <w:rPr>
          <w:rtl/>
        </w:rPr>
        <w:t>. והשווה “תורת חיים”</w:t>
      </w:r>
      <w:bookmarkStart w:id="5446" w:name="_fnr4107"/>
      <w:r>
        <w:rPr>
          <w:vertAlign w:val="superscript"/>
          <w:rtl/>
        </w:rPr>
        <w:footnoteReference w:id="4117" w:customMarkFollows="0"/>
      </w:r>
      <w:bookmarkEnd w:id="5446"/>
      <w:r>
        <w:rPr>
          <w:rtl/>
        </w:rPr>
        <w:t>, המספר שר׳ חיים הסכים לנקודה מסוימת שהעלה ר׳ יוזל על המוסר – כנראה בפגישה שרבנו מדבר עליה – אבל אינו מספר במה לא הסכים ר׳ חיים ומה הייתה מסקנתו הכוללת.</w:t>
      </w:r>
    </w:p>
    <w:p w14:paraId="28302B15" w14:textId="77777777" w:rsidR="00AB3647" w:rsidRDefault="00000000" w:rsidP="007923E9">
      <w:pPr>
        <w:pStyle w:val="4"/>
        <w:spacing w:line="276" w:lineRule="auto"/>
      </w:pPr>
      <w:r>
        <w:lastRenderedPageBreak/>
        <w:t>· הפסקה התשיעית ·</w:t>
      </w:r>
    </w:p>
    <w:p w14:paraId="5AF192ED" w14:textId="77777777" w:rsidR="00AB3647" w:rsidRDefault="00000000" w:rsidP="007923E9">
      <w:pPr>
        <w:pStyle w:val="5"/>
        <w:spacing w:line="276" w:lineRule="auto"/>
      </w:pPr>
      <w:r>
        <w:rPr>
          <w:bCs/>
          <w:szCs w:val="26"/>
        </w:rPr>
        <w:t xml:space="preserve">ר׳ נפתלי אמסטרדם, הנרתע מפרסום, אינו נחשב עניו כר׳ </w:t>
      </w:r>
      <w:proofErr w:type="spellStart"/>
      <w:r>
        <w:rPr>
          <w:bCs/>
          <w:szCs w:val="26"/>
        </w:rPr>
        <w:t>איצל׳ה</w:t>
      </w:r>
      <w:proofErr w:type="spellEnd"/>
      <w:r>
        <w:rPr>
          <w:bCs/>
          <w:szCs w:val="26"/>
        </w:rPr>
        <w:t xml:space="preserve"> </w:t>
      </w:r>
      <w:proofErr w:type="spellStart"/>
      <w:r>
        <w:rPr>
          <w:bCs/>
          <w:szCs w:val="26"/>
        </w:rPr>
        <w:t>בלאזר</w:t>
      </w:r>
      <w:proofErr w:type="spellEnd"/>
      <w:r>
        <w:rPr>
          <w:bCs/>
          <w:szCs w:val="26"/>
        </w:rPr>
        <w:t>, המביע את דעתו בפומבי – עלייתו של ר׳ נפתלי לארץ ישראל מאפשרת לו להיות מרוסן פחות.</w:t>
      </w:r>
    </w:p>
    <w:p w14:paraId="009E8730" w14:textId="77777777" w:rsidR="00AB3647" w:rsidRDefault="00000000" w:rsidP="007923E9">
      <w:pPr>
        <w:spacing w:after="120" w:line="276" w:lineRule="auto"/>
        <w:ind w:firstLine="283"/>
        <w:jc w:val="both"/>
      </w:pPr>
      <w:r>
        <w:rPr>
          <w:rtl/>
        </w:rPr>
        <w:t xml:space="preserve">למרות גילוי הדעת הפומבי של ר׳ </w:t>
      </w:r>
      <w:proofErr w:type="spellStart"/>
      <w:r>
        <w:rPr>
          <w:rtl/>
        </w:rPr>
        <w:t>איצל׳ה</w:t>
      </w:r>
      <w:proofErr w:type="spellEnd"/>
      <w:r>
        <w:rPr>
          <w:rtl/>
        </w:rPr>
        <w:t xml:space="preserve"> ושתיקתו של ר׳ נפתלי, מסופר</w:t>
      </w:r>
      <w:bookmarkStart w:id="5447" w:name="_fnr4108"/>
      <w:r>
        <w:rPr>
          <w:vertAlign w:val="superscript"/>
          <w:rtl/>
        </w:rPr>
        <w:footnoteReference w:id="4118" w:customMarkFollows="0"/>
      </w:r>
      <w:bookmarkEnd w:id="5447"/>
      <w:r>
        <w:rPr>
          <w:rtl/>
        </w:rPr>
        <w:t xml:space="preserve"> שר׳ ישראל </w:t>
      </w:r>
      <w:proofErr w:type="spellStart"/>
      <w:r>
        <w:rPr>
          <w:rtl/>
        </w:rPr>
        <w:t>סלנטר</w:t>
      </w:r>
      <w:proofErr w:type="spellEnd"/>
      <w:r>
        <w:rPr>
          <w:rtl/>
        </w:rPr>
        <w:t xml:space="preserve"> אמר שדווקא ר׳ </w:t>
      </w:r>
      <w:proofErr w:type="spellStart"/>
      <w:r>
        <w:rPr>
          <w:rtl/>
        </w:rPr>
        <w:t>איצל׳ה</w:t>
      </w:r>
      <w:proofErr w:type="spellEnd"/>
      <w:r>
        <w:rPr>
          <w:rtl/>
        </w:rPr>
        <w:t xml:space="preserve"> היה העניו יותר מבין השניים. כך תיאר את ענוותנותם של שני תלמידיו העיקריים: “ר׳ נפתלי הוא עניו שיודע שהוא כזה, ור׳ </w:t>
      </w:r>
      <w:proofErr w:type="spellStart"/>
      <w:r>
        <w:rPr>
          <w:rtl/>
        </w:rPr>
        <w:t>איצל׳ה</w:t>
      </w:r>
      <w:proofErr w:type="spellEnd"/>
      <w:r>
        <w:rPr>
          <w:rtl/>
        </w:rPr>
        <w:t xml:space="preserve"> הוא עניו שאפילו אינו יודע שהוא כזה.” להפך: ייתכן בהחלט שההבדל הזה ביניהם הוא עצמו מסביר את ההבדל בגישתם להפצת המוסר.</w:t>
      </w:r>
    </w:p>
    <w:p w14:paraId="5CB4DDEE" w14:textId="77777777" w:rsidR="00AB3647" w:rsidRDefault="00000000" w:rsidP="007923E9">
      <w:pPr>
        <w:spacing w:after="120" w:line="276" w:lineRule="auto"/>
        <w:ind w:firstLine="283"/>
        <w:jc w:val="both"/>
      </w:pPr>
      <w:r>
        <w:rPr>
          <w:rtl/>
        </w:rPr>
        <w:t xml:space="preserve">ר׳ נפתלי, העניו פחות, התרחק מעיני הציבור משום </w:t>
      </w:r>
      <w:proofErr w:type="spellStart"/>
      <w:r>
        <w:rPr>
          <w:rtl/>
        </w:rPr>
        <w:t>ש“עבד</w:t>
      </w:r>
      <w:proofErr w:type="spellEnd"/>
      <w:r>
        <w:rPr>
          <w:rtl/>
        </w:rPr>
        <w:t xml:space="preserve">” על רכישת מידת הענווה בהסתגרותו; ר׳ </w:t>
      </w:r>
      <w:proofErr w:type="spellStart"/>
      <w:r>
        <w:rPr>
          <w:rtl/>
        </w:rPr>
        <w:t>איצל׳ה</w:t>
      </w:r>
      <w:proofErr w:type="spellEnd"/>
      <w:r>
        <w:rPr>
          <w:rtl/>
        </w:rPr>
        <w:t>, העניו יותר, שלא היה לו צורך אישי להגביר את ענוותנותו, מסר שיחות והפיץ את תורת המוסר בכל הזדמנות שאפשרה זאת. לפי “כתבי הסבא”</w:t>
      </w:r>
      <w:bookmarkStart w:id="5448" w:name="_fnr4109"/>
      <w:r>
        <w:rPr>
          <w:vertAlign w:val="superscript"/>
          <w:rtl/>
        </w:rPr>
        <w:footnoteReference w:id="4119" w:customMarkFollows="0"/>
      </w:r>
      <w:bookmarkEnd w:id="5448"/>
      <w:r>
        <w:rPr>
          <w:rtl/>
        </w:rPr>
        <w:t>, “מישהו שמע פעם מר׳ נפתלי אמסטרדם שבמשך כארבעים שנה עבד על מידת הענווה, ובזקנותו הצטיין בה להפליא</w:t>
      </w:r>
      <w:bookmarkStart w:id="5449" w:name="_fnr4110"/>
      <w:r>
        <w:rPr>
          <w:vertAlign w:val="superscript"/>
          <w:rtl/>
        </w:rPr>
        <w:footnoteReference w:id="4120" w:customMarkFollows="0"/>
      </w:r>
      <w:bookmarkEnd w:id="5449"/>
      <w:r>
        <w:rPr>
          <w:rtl/>
        </w:rPr>
        <w:t>.”</w:t>
      </w:r>
    </w:p>
    <w:p w14:paraId="21B2D4B9" w14:textId="77777777" w:rsidR="00AB3647" w:rsidRDefault="00000000" w:rsidP="007923E9">
      <w:pPr>
        <w:spacing w:after="120" w:line="276" w:lineRule="auto"/>
        <w:ind w:firstLine="283"/>
        <w:jc w:val="both"/>
      </w:pPr>
      <w:r>
        <w:rPr>
          <w:rtl/>
        </w:rPr>
        <w:t>עלייתו של ר׳ נפתלי לארץ ישראל הביאה לגידול ניכר בפעילותו הציבורית</w:t>
      </w:r>
      <w:bookmarkStart w:id="5450" w:name="_fnr4111"/>
      <w:r>
        <w:rPr>
          <w:vertAlign w:val="superscript"/>
          <w:rtl/>
        </w:rPr>
        <w:footnoteReference w:id="4121" w:customMarkFollows="0"/>
      </w:r>
      <w:bookmarkEnd w:id="5450"/>
      <w:r>
        <w:rPr>
          <w:rtl/>
        </w:rPr>
        <w:t>, אולי מפני שהיה אז “בזקנותו”, כבר הצטיין בענווה ולא היה לו צורך לרסן את עצמו. ייתכן גם שבירושלים, שבה היו חכמים רבים כל כך, כבר לא חשש שגילוי למדנותו יביא אותו לידי גאווה.</w:t>
      </w:r>
    </w:p>
    <w:bookmarkStart w:id="5451" w:name="b4_excJ"/>
    <w:bookmarkStart w:id="5452" w:name="b4_annexJ"/>
    <w:p w14:paraId="6497734E" w14:textId="77777777" w:rsidR="00AB3647" w:rsidRDefault="00000000" w:rsidP="007923E9">
      <w:pPr>
        <w:pStyle w:val="3"/>
        <w:pageBreakBefore w:val="0"/>
        <w:spacing w:line="276" w:lineRule="auto"/>
      </w:pPr>
      <w:r>
        <w:fldChar w:fldCharType="begin" w:dirty="true"/>
      </w:r>
      <w:r>
        <w:rPr>
          <w:rtl w:val="0"/>
        </w:rPr>
        <w:instrText>HYPERLINK \l "b4_note80</w:instrText>
      </w:r>
      <w:r>
        <w:instrText>"</w:instrText>
      </w:r>
      <w:r>
        <w:fldChar w:fldCharType="separate"/>
      </w:r>
      <w:r>
        <w:t>נספח י</w:t>
      </w:r>
      <w:r>
        <w:fldChar w:fldCharType="end"/>
      </w:r>
      <w:bookmarkEnd w:id="5451"/>
      <w:bookmarkEnd w:id="5452"/>
    </w:p>
    <w:p w14:paraId="212F56B9" w14:textId="77777777" w:rsidR="00AB3647" w:rsidRDefault="00000000" w:rsidP="007923E9">
      <w:pPr>
        <w:pStyle w:val="af"/>
        <w:spacing w:line="276" w:lineRule="auto"/>
      </w:pPr>
      <w:r>
        <w:t xml:space="preserve">על סיפורים שסיפר ר׳ נפתלי אמסטרדם לרבנו על עצמו ועל חבריו ועל מקצת תורת רבם ר׳ ישראל </w:t>
      </w:r>
      <w:proofErr w:type="spellStart"/>
      <w:r>
        <w:t>סלנטר</w:t>
      </w:r>
      <w:proofErr w:type="spellEnd"/>
    </w:p>
    <w:p w14:paraId="301EB373" w14:textId="77777777" w:rsidR="00AB3647" w:rsidRDefault="00000000" w:rsidP="007923E9">
      <w:pPr>
        <w:pStyle w:val="4"/>
        <w:spacing w:line="276" w:lineRule="auto"/>
      </w:pPr>
      <w:r>
        <w:t>· הפסקה הראשונה ·</w:t>
      </w:r>
    </w:p>
    <w:p w14:paraId="24D71E1E" w14:textId="77777777" w:rsidR="00AB3647" w:rsidRDefault="00000000" w:rsidP="007923E9">
      <w:pPr>
        <w:pStyle w:val="5"/>
        <w:spacing w:line="276" w:lineRule="auto"/>
      </w:pPr>
      <w:r>
        <w:rPr>
          <w:bCs/>
          <w:szCs w:val="26"/>
        </w:rPr>
        <w:t xml:space="preserve">ר׳ נפתלי מספר על שינוי גישתו של ר׳ ישראל </w:t>
      </w:r>
      <w:proofErr w:type="spellStart"/>
      <w:r>
        <w:rPr>
          <w:bCs/>
          <w:szCs w:val="26"/>
        </w:rPr>
        <w:t>סלנטר</w:t>
      </w:r>
      <w:proofErr w:type="spellEnd"/>
      <w:r>
        <w:rPr>
          <w:bCs/>
          <w:szCs w:val="26"/>
        </w:rPr>
        <w:t xml:space="preserve"> – ר׳ </w:t>
      </w:r>
      <w:proofErr w:type="spellStart"/>
      <w:r>
        <w:rPr>
          <w:bCs/>
          <w:szCs w:val="26"/>
        </w:rPr>
        <w:t>שמחה־זיסל</w:t>
      </w:r>
      <w:proofErr w:type="spellEnd"/>
      <w:r>
        <w:rPr>
          <w:bCs/>
          <w:szCs w:val="26"/>
        </w:rPr>
        <w:t xml:space="preserve"> זיו כותב עד כמה מעט מעצמו הניח ר׳ ישראל להיוודע – ר׳ נפתלי מתאר את עצמו בחברת ר׳ </w:t>
      </w:r>
      <w:proofErr w:type="spellStart"/>
      <w:r>
        <w:rPr>
          <w:bCs/>
          <w:szCs w:val="26"/>
        </w:rPr>
        <w:t>שמחה־זיסל</w:t>
      </w:r>
      <w:proofErr w:type="spellEnd"/>
      <w:r>
        <w:rPr>
          <w:bCs/>
          <w:szCs w:val="26"/>
        </w:rPr>
        <w:t xml:space="preserve"> ור׳ </w:t>
      </w:r>
      <w:proofErr w:type="spellStart"/>
      <w:r>
        <w:rPr>
          <w:bCs/>
          <w:szCs w:val="26"/>
        </w:rPr>
        <w:t>איצל׳ה</w:t>
      </w:r>
      <w:proofErr w:type="spellEnd"/>
      <w:r>
        <w:rPr>
          <w:bCs/>
          <w:szCs w:val="26"/>
        </w:rPr>
        <w:t xml:space="preserve"> </w:t>
      </w:r>
      <w:proofErr w:type="spellStart"/>
      <w:r>
        <w:rPr>
          <w:bCs/>
          <w:szCs w:val="26"/>
        </w:rPr>
        <w:t>בלאזר</w:t>
      </w:r>
      <w:proofErr w:type="spellEnd"/>
      <w:r>
        <w:rPr>
          <w:bCs/>
          <w:szCs w:val="26"/>
        </w:rPr>
        <w:t xml:space="preserve"> – הוא שולל את היותו שווה להם – ר׳ נפתלי נעשה רציני ברגע שפורים מסתיים.</w:t>
      </w:r>
    </w:p>
    <w:p w14:paraId="6BAB287B" w14:textId="77777777" w:rsidR="00AB3647" w:rsidRDefault="00000000" w:rsidP="007923E9">
      <w:pPr>
        <w:spacing w:after="120" w:line="276" w:lineRule="auto"/>
        <w:ind w:firstLine="283"/>
        <w:jc w:val="both"/>
      </w:pPr>
      <w:r>
        <w:rPr>
          <w:rtl/>
        </w:rPr>
        <w:t>בשיחת יום השנה אמר אבי שר׳ נפתלי פתח את סיפוריו במילים: “כל מה שאני מספר, או שראיתי או ששמעתי מהרבי.” בריאיון המוקלט על תנועת המוסר</w:t>
      </w:r>
      <w:bookmarkStart w:id="5453" w:name="_fnr4112"/>
      <w:r>
        <w:rPr>
          <w:vertAlign w:val="superscript"/>
          <w:rtl/>
        </w:rPr>
        <w:footnoteReference w:id="4122" w:customMarkFollows="0"/>
      </w:r>
      <w:bookmarkEnd w:id="5453"/>
      <w:r>
        <w:rPr>
          <w:rtl/>
        </w:rPr>
        <w:t xml:space="preserve"> חזר רבנו על הסיפור הבא, ששמע מר׳ נפתלי: פעם אמר ר׳ ישראל לתלמידיו שבצעירותו רצה להיות “נסתר”, ולשם </w:t>
      </w:r>
      <w:r>
        <w:rPr>
          <w:rtl/>
        </w:rPr>
        <w:lastRenderedPageBreak/>
        <w:t>כך היה עליו לדעת את כל הש״ס בעל פה – שאם יצטרך לעיין בספרים כדי לקיים הלכה כראוי, תתגלה זהותו. אבל לאחר שסיים ללמוד בעל פה מחצית הש״ס, שינה את דעתו: הוא החליט שמיעוט הכוחות הרוחניים בעולם באותה עת מחייב אדם להקריב את יתרונות ההסתרה למען זיכוי הרבים</w:t>
      </w:r>
      <w:bookmarkStart w:id="5454" w:name="_fnr4113"/>
      <w:r>
        <w:rPr>
          <w:vertAlign w:val="superscript"/>
          <w:rtl/>
        </w:rPr>
        <w:footnoteReference w:id="4123" w:customMarkFollows="0"/>
      </w:r>
      <w:bookmarkEnd w:id="5454"/>
      <w:r>
        <w:rPr>
          <w:rtl/>
        </w:rPr>
        <w:t>. ר׳ נפתלי הוסיף שכאשר סיים ר׳ ישראל לספר והלך, העיר אחד התלמידים: “הרבי מטעה אותנו: עד היום הוא נשאר בהסתר.”</w:t>
      </w:r>
    </w:p>
    <w:p w14:paraId="203CF0BE" w14:textId="77777777" w:rsidR="00AB3647" w:rsidRDefault="00000000" w:rsidP="007923E9">
      <w:pPr>
        <w:spacing w:after="120" w:line="276" w:lineRule="auto"/>
        <w:ind w:firstLine="283"/>
        <w:jc w:val="both"/>
      </w:pPr>
      <w:r>
        <w:rPr>
          <w:rtl/>
        </w:rPr>
        <w:t xml:space="preserve">אבי לא היה בטוח לגמרי אם ר׳ </w:t>
      </w:r>
      <w:proofErr w:type="spellStart"/>
      <w:r>
        <w:rPr>
          <w:rtl/>
        </w:rPr>
        <w:t>שמחה־זיסל</w:t>
      </w:r>
      <w:proofErr w:type="spellEnd"/>
      <w:r>
        <w:rPr>
          <w:rtl/>
        </w:rPr>
        <w:t xml:space="preserve"> הוא שהעיר כך, או תלמיד אחר. אבל ראה להלן את המכתב שכתב ר׳ </w:t>
      </w:r>
      <w:proofErr w:type="spellStart"/>
      <w:r>
        <w:rPr>
          <w:rtl/>
        </w:rPr>
        <w:t>שמחה־זיסל</w:t>
      </w:r>
      <w:proofErr w:type="spellEnd"/>
      <w:r>
        <w:rPr>
          <w:rtl/>
        </w:rPr>
        <w:t xml:space="preserve"> זיו על רבם במותו: שם טען שהוא אומר זאת על ר׳ ישראל “זה זמן רב”, וסביר שהוא היה הראשון שהציע זאת. מהסתייגות זו משתמע שבמידה שהדבר לא הפריע לזיכוי הרבים, נשאר ר׳ ישראל “א נסתר”</w:t>
      </w:r>
      <w:bookmarkStart w:id="5455" w:name="_fnr4114"/>
      <w:r>
        <w:rPr>
          <w:vertAlign w:val="superscript"/>
          <w:rtl/>
        </w:rPr>
        <w:footnoteReference w:id="4124" w:customMarkFollows="0"/>
      </w:r>
      <w:bookmarkEnd w:id="5455"/>
      <w:r>
        <w:rPr>
          <w:rtl/>
        </w:rPr>
        <w:t>.</w:t>
      </w:r>
    </w:p>
    <w:p w14:paraId="5CEC7ED1" w14:textId="77777777" w:rsidR="00AB3647" w:rsidRDefault="00000000" w:rsidP="007923E9">
      <w:pPr>
        <w:spacing w:after="120" w:line="276" w:lineRule="auto"/>
        <w:ind w:firstLine="283"/>
        <w:jc w:val="both"/>
      </w:pPr>
      <w:r>
        <w:rPr>
          <w:rtl/>
        </w:rPr>
        <w:t>השווה גם לספרו של כץ, “תנועת המוסר”, כרך א</w:t>
      </w:r>
      <w:bookmarkStart w:id="5456" w:name="_fnr4115"/>
      <w:r>
        <w:rPr>
          <w:vertAlign w:val="superscript"/>
          <w:rtl/>
        </w:rPr>
        <w:footnoteReference w:id="4125" w:customMarkFollows="0"/>
      </w:r>
      <w:bookmarkEnd w:id="5456"/>
      <w:r>
        <w:rPr>
          <w:rtl/>
        </w:rPr>
        <w:t xml:space="preserve">, </w:t>
      </w:r>
      <w:proofErr w:type="spellStart"/>
      <w:r>
        <w:rPr>
          <w:rtl/>
        </w:rPr>
        <w:t>ול“כתבי</w:t>
      </w:r>
      <w:proofErr w:type="spellEnd"/>
      <w:r>
        <w:rPr>
          <w:rtl/>
        </w:rPr>
        <w:t xml:space="preserve"> הסבא”,</w:t>
      </w:r>
      <w:bookmarkStart w:id="5457" w:name="_fnr4116"/>
      <w:r>
        <w:rPr>
          <w:vertAlign w:val="superscript"/>
          <w:rtl/>
        </w:rPr>
        <w:footnoteReference w:id="4126" w:customMarkFollows="0"/>
      </w:r>
      <w:bookmarkEnd w:id="5457"/>
      <w:r>
        <w:rPr>
          <w:rtl/>
        </w:rPr>
        <w:t xml:space="preserve"> המצטטים מכתב שכתב ר׳ </w:t>
      </w:r>
      <w:proofErr w:type="spellStart"/>
      <w:r>
        <w:rPr>
          <w:rtl/>
        </w:rPr>
        <w:t>שמחה־זיסל</w:t>
      </w:r>
      <w:proofErr w:type="spellEnd"/>
      <w:r>
        <w:rPr>
          <w:rtl/>
        </w:rPr>
        <w:t xml:space="preserve"> זיו למחרת היום שבו הגיעה אליו הידיעה על פטירת רבו: “מנהגו הקדוש והקבוע [של ר׳ ישראל] היה להסתיר את מעשיו במידה קיצונית... אמרתי זה זמן רב שהוא נשאר נסתר ונעלם מאנשי דורו, ומשום כך </w:t>
      </w:r>
      <w:r>
        <w:rPr>
          <w:b/>
          <w:bCs/>
          <w:rtl/>
        </w:rPr>
        <w:t>מעטים מאוד מכירים אותו מעט מאוד</w:t>
      </w:r>
      <w:r>
        <w:rPr>
          <w:rtl/>
        </w:rPr>
        <w:t xml:space="preserve"> (ההדגשה שלי).” מכתב אחר של ר׳ </w:t>
      </w:r>
      <w:proofErr w:type="spellStart"/>
      <w:r>
        <w:rPr>
          <w:rtl/>
        </w:rPr>
        <w:t>שמחה־זיסל</w:t>
      </w:r>
      <w:proofErr w:type="spellEnd"/>
      <w:r>
        <w:rPr>
          <w:rtl/>
        </w:rPr>
        <w:t>, שנכתב יומיים לאחר מכן</w:t>
      </w:r>
      <w:bookmarkStart w:id="5458" w:name="_fnr4117"/>
      <w:r>
        <w:rPr>
          <w:vertAlign w:val="superscript"/>
          <w:rtl/>
        </w:rPr>
        <w:footnoteReference w:id="4127" w:customMarkFollows="0"/>
      </w:r>
      <w:bookmarkEnd w:id="5458"/>
      <w:r>
        <w:rPr>
          <w:rtl/>
        </w:rPr>
        <w:t xml:space="preserve">, אומר: “מי שהכירוהו מן השנים המוקדמות שבהן עבד בציבור בגלוי, ומי </w:t>
      </w:r>
      <w:proofErr w:type="spellStart"/>
      <w:r>
        <w:rPr>
          <w:rtl/>
        </w:rPr>
        <w:t>ש‘התאבקו</w:t>
      </w:r>
      <w:proofErr w:type="spellEnd"/>
      <w:r>
        <w:rPr>
          <w:rtl/>
        </w:rPr>
        <w:t xml:space="preserve"> בעפר רגליו</w:t>
      </w:r>
      <w:bookmarkStart w:id="5459" w:name="_fnr4118"/>
      <w:r>
        <w:rPr>
          <w:vertAlign w:val="superscript"/>
          <w:rtl/>
        </w:rPr>
        <w:footnoteReference w:id="4128" w:customMarkFollows="0"/>
      </w:r>
      <w:bookmarkEnd w:id="5459"/>
      <w:r>
        <w:rPr>
          <w:rtl/>
        </w:rPr>
        <w:t xml:space="preserve">’ כדי להתבונן היטב בכל צעד שלו... ושתו בצמא את דבריו המזוקקים – ראו והשתוממו לגלות שהוא בלתי נתפס ושאי אפשר לרדת לעומק דבריו. </w:t>
      </w:r>
      <w:r>
        <w:rPr>
          <w:b/>
          <w:bCs/>
          <w:rtl/>
        </w:rPr>
        <w:t>כל מה שידעו עליו היה שאין ביכולתם לדעת אותו</w:t>
      </w:r>
      <w:r>
        <w:rPr>
          <w:rtl/>
        </w:rPr>
        <w:t xml:space="preserve"> (ההדגשה שלי), שכן מלבד רצונו המוחלט להסתתר מאנשי דורו, גם במה שגילה והם ראו ושמעו לא ירדו לעומק כוונותיו; כי זו הייתה דרכו</w:t>
      </w:r>
      <w:bookmarkStart w:id="5460" w:name="_fnr4119"/>
      <w:r>
        <w:rPr>
          <w:vertAlign w:val="superscript"/>
          <w:rtl/>
        </w:rPr>
        <w:footnoteReference w:id="4129" w:customMarkFollows="0"/>
      </w:r>
      <w:bookmarkEnd w:id="5460"/>
      <w:r>
        <w:rPr>
          <w:rtl/>
        </w:rPr>
        <w:t>.”</w:t>
      </w:r>
    </w:p>
    <w:p w14:paraId="77C9F0F0" w14:textId="77777777" w:rsidR="00AB3647" w:rsidRDefault="00000000" w:rsidP="007923E9">
      <w:pPr>
        <w:spacing w:after="120" w:line="276" w:lineRule="auto"/>
        <w:ind w:firstLine="283"/>
        <w:jc w:val="both"/>
      </w:pPr>
      <w:r>
        <w:rPr>
          <w:rtl/>
        </w:rPr>
        <w:t>השווה גם לספרו של כץ</w:t>
      </w:r>
      <w:bookmarkStart w:id="5461" w:name="_fnr4120"/>
      <w:r>
        <w:rPr>
          <w:vertAlign w:val="superscript"/>
          <w:rtl/>
        </w:rPr>
        <w:footnoteReference w:id="4130" w:customMarkFollows="0"/>
      </w:r>
      <w:bookmarkEnd w:id="5461"/>
      <w:r>
        <w:rPr>
          <w:rtl/>
        </w:rPr>
        <w:t xml:space="preserve">, שלפיו רעיון ההסתרה של ר׳ ישראל נבע מרצונו ללכת בדרכי רבו ר׳ </w:t>
      </w:r>
      <w:proofErr w:type="spellStart"/>
      <w:r>
        <w:rPr>
          <w:rtl/>
        </w:rPr>
        <w:t>יוסף־זונדל</w:t>
      </w:r>
      <w:bookmarkStart w:id="5462" w:name="_fnr4121"/>
      <w:proofErr w:type="spellEnd"/>
      <w:r>
        <w:rPr>
          <w:vertAlign w:val="superscript"/>
          <w:rtl/>
        </w:rPr>
        <w:footnoteReference w:id="4131" w:customMarkFollows="0"/>
      </w:r>
      <w:bookmarkEnd w:id="5462"/>
      <w:r>
        <w:rPr>
          <w:rtl/>
        </w:rPr>
        <w:t>. שם</w:t>
      </w:r>
      <w:bookmarkStart w:id="5463" w:name="_fnr4122"/>
      <w:r>
        <w:rPr>
          <w:vertAlign w:val="superscript"/>
          <w:rtl/>
        </w:rPr>
        <w:footnoteReference w:id="4132" w:customMarkFollows="0"/>
      </w:r>
      <w:bookmarkEnd w:id="5463"/>
      <w:r>
        <w:rPr>
          <w:rtl/>
        </w:rPr>
        <w:t xml:space="preserve"> מסופר גם על הכנותיו האחרות של ר׳ ישראל לחיים של “נסתר”, ובהן הכשרתו להיות מנהל חשבונות בממל, ועל שינוי דעתו לאחר מכן. השווה עוד שם</w:t>
      </w:r>
      <w:bookmarkStart w:id="5464" w:name="_fnr4123"/>
      <w:r>
        <w:rPr>
          <w:vertAlign w:val="superscript"/>
          <w:rtl/>
        </w:rPr>
        <w:footnoteReference w:id="4133" w:customMarkFollows="0"/>
      </w:r>
      <w:bookmarkEnd w:id="5464"/>
      <w:r>
        <w:rPr>
          <w:rtl/>
        </w:rPr>
        <w:t xml:space="preserve">: המפנה בדרכו של ר׳ ישראל היה מוחלט כל כך, שמאז סבר שכל בן דורו שנשאר “א נסתר” מן ההכרח שהוא נתון לאילוץ יוצא דופן כלשהו. בשיחה המוקלטת בבית הכנסת “בית ישראל” </w:t>
      </w:r>
      <w:r>
        <w:rPr>
          <w:rtl/>
        </w:rPr>
        <w:lastRenderedPageBreak/>
        <w:t xml:space="preserve">במיאמי </w:t>
      </w:r>
      <w:proofErr w:type="spellStart"/>
      <w:r>
        <w:rPr>
          <w:rtl/>
        </w:rPr>
        <w:t>ביץ</w:t>
      </w:r>
      <w:proofErr w:type="spellEnd"/>
      <w:r>
        <w:rPr>
          <w:rtl/>
        </w:rPr>
        <w:t>׳</w:t>
      </w:r>
      <w:bookmarkStart w:id="5465" w:name="_fnr4124"/>
      <w:r>
        <w:rPr>
          <w:vertAlign w:val="superscript"/>
          <w:rtl/>
        </w:rPr>
        <w:footnoteReference w:id="4134" w:customMarkFollows="0"/>
      </w:r>
      <w:bookmarkEnd w:id="5465"/>
      <w:r>
        <w:rPr>
          <w:rtl/>
        </w:rPr>
        <w:t xml:space="preserve"> הוסיף אבי שר׳ נפתלי הסכים לטענת ר׳ </w:t>
      </w:r>
      <w:proofErr w:type="spellStart"/>
      <w:r>
        <w:rPr>
          <w:rtl/>
        </w:rPr>
        <w:t>שמחה־זיסל</w:t>
      </w:r>
      <w:proofErr w:type="spellEnd"/>
      <w:r>
        <w:rPr>
          <w:rtl/>
        </w:rPr>
        <w:t xml:space="preserve"> זיו שרבם נשאר “א נסתר”. שהרי כשסיפר שר׳ ישראל אמר להם שלמד בעל פה מחצית הש״ס, ציין ר׳ נפתלי שלמעשה למד רבם בעל פה גם את המחצית האחרת, אלא שלא רצה לגלות זאת לתלמידיו.</w:t>
      </w:r>
    </w:p>
    <w:p w14:paraId="192D1F4D" w14:textId="77777777" w:rsidR="00AB3647" w:rsidRDefault="00000000" w:rsidP="007923E9">
      <w:pPr>
        <w:spacing w:after="120" w:line="276" w:lineRule="auto"/>
        <w:ind w:firstLine="283"/>
        <w:jc w:val="both"/>
      </w:pPr>
      <w:r>
        <w:rPr>
          <w:rtl/>
        </w:rPr>
        <w:t xml:space="preserve">ר׳ נפתלי סיפר שבליל שבת אחד כבתה המנורה </w:t>
      </w:r>
      <w:proofErr w:type="spellStart"/>
      <w:r>
        <w:rPr>
          <w:rtl/>
        </w:rPr>
        <w:t>בקלויז</w:t>
      </w:r>
      <w:proofErr w:type="spellEnd"/>
      <w:r>
        <w:rPr>
          <w:rtl/>
        </w:rPr>
        <w:t xml:space="preserve"> </w:t>
      </w:r>
      <w:proofErr w:type="spellStart"/>
      <w:r>
        <w:rPr>
          <w:rtl/>
        </w:rPr>
        <w:t>נוויאז</w:t>
      </w:r>
      <w:proofErr w:type="spellEnd"/>
      <w:r>
        <w:rPr>
          <w:rtl/>
        </w:rPr>
        <w:t xml:space="preserve">׳, והוא וחבריו נשארו יושבים בחושך. ר׳ </w:t>
      </w:r>
      <w:proofErr w:type="spellStart"/>
      <w:r>
        <w:rPr>
          <w:rtl/>
        </w:rPr>
        <w:t>שמחה־זיסל</w:t>
      </w:r>
      <w:proofErr w:type="spellEnd"/>
      <w:r>
        <w:rPr>
          <w:rtl/>
        </w:rPr>
        <w:t xml:space="preserve">, כך סיפר, “התיישב ללמוד מוסר [האט </w:t>
      </w:r>
      <w:proofErr w:type="spellStart"/>
      <w:r>
        <w:rPr>
          <w:rtl/>
        </w:rPr>
        <w:t>זיך</w:t>
      </w:r>
      <w:proofErr w:type="spellEnd"/>
      <w:r>
        <w:rPr>
          <w:rtl/>
        </w:rPr>
        <w:t xml:space="preserve"> </w:t>
      </w:r>
      <w:proofErr w:type="spellStart"/>
      <w:r>
        <w:rPr>
          <w:rtl/>
        </w:rPr>
        <w:t>אוועקגעזעצט</w:t>
      </w:r>
      <w:proofErr w:type="spellEnd"/>
      <w:r>
        <w:rPr>
          <w:rtl/>
        </w:rPr>
        <w:t xml:space="preserve"> </w:t>
      </w:r>
      <w:proofErr w:type="spellStart"/>
      <w:r>
        <w:rPr>
          <w:rtl/>
        </w:rPr>
        <w:t>לערנען</w:t>
      </w:r>
      <w:proofErr w:type="spellEnd"/>
      <w:r>
        <w:rPr>
          <w:rtl/>
        </w:rPr>
        <w:t xml:space="preserve"> מוסר]”, וחזר שוב ושוב על פסוקי תהלים: “פתחו לי שערי צדק אבוא בם אודה י־ה. זה השער לה׳ צדיקים יבואו בו”</w:t>
      </w:r>
      <w:bookmarkStart w:id="5466" w:name="_fnr4125"/>
      <w:r>
        <w:rPr>
          <w:vertAlign w:val="superscript"/>
          <w:rtl/>
        </w:rPr>
        <w:footnoteReference w:id="4135" w:customMarkFollows="0"/>
      </w:r>
      <w:bookmarkEnd w:id="5466"/>
      <w:r>
        <w:rPr>
          <w:rtl/>
        </w:rPr>
        <w:t xml:space="preserve">. ר׳ ישראל התחיל ללמוד סוגיה במסכת בבא </w:t>
      </w:r>
      <w:proofErr w:type="spellStart"/>
      <w:r>
        <w:rPr>
          <w:rtl/>
        </w:rPr>
        <w:t>בתרא</w:t>
      </w:r>
      <w:proofErr w:type="spellEnd"/>
      <w:r>
        <w:rPr>
          <w:rtl/>
        </w:rPr>
        <w:t xml:space="preserve">, וחזר מילה במילה על הגמרא, </w:t>
      </w:r>
      <w:proofErr w:type="spellStart"/>
      <w:r>
        <w:rPr>
          <w:rtl/>
        </w:rPr>
        <w:t>הרשב״ם</w:t>
      </w:r>
      <w:proofErr w:type="spellEnd"/>
      <w:r>
        <w:rPr>
          <w:rtl/>
        </w:rPr>
        <w:t xml:space="preserve"> וכל התוספות. ואילו על עצמו אמר ר׳ נפתלי אמסטרדם שהלך לישון.</w:t>
      </w:r>
    </w:p>
    <w:p w14:paraId="7316870A" w14:textId="77777777" w:rsidR="00AB3647" w:rsidRDefault="00000000" w:rsidP="007923E9">
      <w:pPr>
        <w:spacing w:after="120" w:line="276" w:lineRule="auto"/>
        <w:ind w:firstLine="283"/>
        <w:jc w:val="both"/>
      </w:pPr>
      <w:proofErr w:type="spellStart"/>
      <w:r>
        <w:rPr>
          <w:rtl/>
        </w:rPr>
        <w:t>ב“כוכבי</w:t>
      </w:r>
      <w:proofErr w:type="spellEnd"/>
      <w:r>
        <w:rPr>
          <w:rtl/>
        </w:rPr>
        <w:t xml:space="preserve"> אור”</w:t>
      </w:r>
      <w:bookmarkStart w:id="5467" w:name="_fnr4126"/>
      <w:r>
        <w:rPr>
          <w:vertAlign w:val="superscript"/>
          <w:rtl/>
        </w:rPr>
        <w:footnoteReference w:id="4136" w:customMarkFollows="0"/>
      </w:r>
      <w:bookmarkEnd w:id="5467"/>
      <w:r>
        <w:rPr>
          <w:rtl/>
        </w:rPr>
        <w:t xml:space="preserve"> מובא בשם ר׳ נפתלי סיפור הדומה לזה, ויש בו הד להקטנת ערך עצמו. לפי הסיפור, הוא ושני תלמידיו העיקריים האחרים של ר׳ ישראל נדדו בעיירות ליטא כדי להתנסות </w:t>
      </w:r>
      <w:proofErr w:type="spellStart"/>
      <w:r>
        <w:rPr>
          <w:rtl/>
        </w:rPr>
        <w:t>ב“גלות</w:t>
      </w:r>
      <w:proofErr w:type="spellEnd"/>
      <w:r>
        <w:rPr>
          <w:rtl/>
        </w:rPr>
        <w:t xml:space="preserve">”. “בלילות שבת,” סיפר, “היינו עומדים בפתח בית המדרש” – בעיירה שבה שהו במקרה – “עם עניים אחרים חסרי בית, וממתינים להזמנה לביתו של אחד מבני המקום. הראשון שהוזמן היה ר׳ </w:t>
      </w:r>
      <w:proofErr w:type="spellStart"/>
      <w:r>
        <w:rPr>
          <w:rtl/>
        </w:rPr>
        <w:t>שמחה־זיסל</w:t>
      </w:r>
      <w:proofErr w:type="spellEnd"/>
      <w:r>
        <w:rPr>
          <w:rtl/>
        </w:rPr>
        <w:t xml:space="preserve">, מפני שהיה יפה תואר; השני היה ר׳ </w:t>
      </w:r>
      <w:proofErr w:type="spellStart"/>
      <w:r>
        <w:rPr>
          <w:rtl/>
        </w:rPr>
        <w:t>איצל׳ה</w:t>
      </w:r>
      <w:proofErr w:type="spellEnd"/>
      <w:r>
        <w:rPr>
          <w:rtl/>
        </w:rPr>
        <w:t xml:space="preserve">, ואני הייתי האחרון. אחרי האכילה היינו חוזרים לבית המדרש, ושם ר׳ </w:t>
      </w:r>
      <w:proofErr w:type="spellStart"/>
      <w:r>
        <w:rPr>
          <w:rtl/>
        </w:rPr>
        <w:t>איצל׳ה</w:t>
      </w:r>
      <w:proofErr w:type="spellEnd"/>
      <w:r>
        <w:rPr>
          <w:rtl/>
        </w:rPr>
        <w:t xml:space="preserve"> הלמדן היה לומד בעל פה כל הלילה, ר׳ </w:t>
      </w:r>
      <w:proofErr w:type="spellStart"/>
      <w:r>
        <w:rPr>
          <w:rtl/>
        </w:rPr>
        <w:t>שמחה־זיסל</w:t>
      </w:r>
      <w:proofErr w:type="spellEnd"/>
      <w:r>
        <w:rPr>
          <w:rtl/>
        </w:rPr>
        <w:t xml:space="preserve"> היה הוגה מחשבות חכמה, ואני, נפתלי, הלכתי לישון.”</w:t>
      </w:r>
    </w:p>
    <w:p w14:paraId="42478212" w14:textId="77777777" w:rsidR="00AB3647" w:rsidRDefault="00000000" w:rsidP="007923E9">
      <w:pPr>
        <w:spacing w:after="120" w:line="276" w:lineRule="auto"/>
        <w:ind w:firstLine="283"/>
        <w:jc w:val="both"/>
      </w:pPr>
      <w:r>
        <w:rPr>
          <w:rtl/>
        </w:rPr>
        <w:t xml:space="preserve">מידת הקטנת ערך עצמו של ר׳ נפתלי ניכרת בבירור </w:t>
      </w:r>
      <w:proofErr w:type="spellStart"/>
      <w:r>
        <w:rPr>
          <w:rtl/>
        </w:rPr>
        <w:t>ב“שרידי</w:t>
      </w:r>
      <w:proofErr w:type="spellEnd"/>
      <w:r>
        <w:rPr>
          <w:rtl/>
        </w:rPr>
        <w:t xml:space="preserve"> אש”</w:t>
      </w:r>
      <w:bookmarkStart w:id="5468" w:name="_fnr4127"/>
      <w:r>
        <w:rPr>
          <w:vertAlign w:val="superscript"/>
          <w:rtl/>
        </w:rPr>
        <w:footnoteReference w:id="4137" w:customMarkFollows="0"/>
      </w:r>
      <w:bookmarkEnd w:id="5468"/>
      <w:r>
        <w:rPr>
          <w:rtl/>
        </w:rPr>
        <w:t>. מסופר שם שבפורים אחד, יום שבו שתה משקאות חריפים ללא הרף</w:t>
      </w:r>
      <w:bookmarkStart w:id="5469" w:name="_fnr4128"/>
      <w:r>
        <w:rPr>
          <w:vertAlign w:val="superscript"/>
          <w:rtl/>
        </w:rPr>
        <w:footnoteReference w:id="4138" w:customMarkFollows="0"/>
      </w:r>
      <w:bookmarkEnd w:id="5469"/>
      <w:r>
        <w:rPr>
          <w:rtl/>
        </w:rPr>
        <w:t xml:space="preserve">, סיפר ר׳ נפתלי שרבם כינה את שני חבריו, ר׳ </w:t>
      </w:r>
      <w:proofErr w:type="spellStart"/>
      <w:r>
        <w:rPr>
          <w:rtl/>
        </w:rPr>
        <w:t>שמחה־זיסל</w:t>
      </w:r>
      <w:proofErr w:type="spellEnd"/>
      <w:r>
        <w:rPr>
          <w:rtl/>
        </w:rPr>
        <w:t xml:space="preserve"> ור׳ </w:t>
      </w:r>
      <w:proofErr w:type="spellStart"/>
      <w:r>
        <w:rPr>
          <w:rtl/>
        </w:rPr>
        <w:t>איצל׳ה</w:t>
      </w:r>
      <w:proofErr w:type="spellEnd"/>
      <w:r>
        <w:rPr>
          <w:rtl/>
        </w:rPr>
        <w:t xml:space="preserve">, “החכם” </w:t>
      </w:r>
      <w:proofErr w:type="spellStart"/>
      <w:r>
        <w:rPr>
          <w:rtl/>
        </w:rPr>
        <w:t>ו“הלמדן</w:t>
      </w:r>
      <w:proofErr w:type="spellEnd"/>
      <w:r>
        <w:rPr>
          <w:rtl/>
        </w:rPr>
        <w:t>”, בהתאמה</w:t>
      </w:r>
      <w:bookmarkStart w:id="5470" w:name="_fnr4129"/>
      <w:r>
        <w:rPr>
          <w:vertAlign w:val="superscript"/>
          <w:rtl/>
        </w:rPr>
        <w:footnoteReference w:id="4139" w:customMarkFollows="0"/>
      </w:r>
      <w:bookmarkEnd w:id="5470"/>
      <w:r>
        <w:rPr>
          <w:rtl/>
        </w:rPr>
        <w:t xml:space="preserve">. רוח היום הוסיפה אומץ </w:t>
      </w:r>
      <w:proofErr w:type="spellStart"/>
      <w:r>
        <w:rPr>
          <w:rtl/>
        </w:rPr>
        <w:t>לר</w:t>
      </w:r>
      <w:proofErr w:type="spellEnd"/>
      <w:r>
        <w:rPr>
          <w:rtl/>
        </w:rPr>
        <w:t xml:space="preserve">׳ </w:t>
      </w:r>
      <w:proofErr w:type="spellStart"/>
      <w:r>
        <w:rPr>
          <w:rtl/>
        </w:rPr>
        <w:t>יחיאל־יעקב</w:t>
      </w:r>
      <w:proofErr w:type="spellEnd"/>
      <w:r>
        <w:rPr>
          <w:rtl/>
        </w:rPr>
        <w:t xml:space="preserve"> ויינברג (</w:t>
      </w:r>
      <w:proofErr w:type="spellStart"/>
      <w:r>
        <w:rPr>
          <w:rtl/>
        </w:rPr>
        <w:t>ה“חברותא</w:t>
      </w:r>
      <w:proofErr w:type="spellEnd"/>
      <w:r>
        <w:rPr>
          <w:rtl/>
        </w:rPr>
        <w:t xml:space="preserve">” של ר׳ נפתלי, לפי הערה 79 בפרק זה), והוא שאל אותו באיזה כינוי כינה אותו רבו. ר׳ נפתלי השיב: “וכי אתה חושב שבפורים מותר להתלוצץ על זקן? בושה מכסה את פניי כשאני חושב שרק משום שעמדתי לידם כאשר דיבר הרבי, ראו בי אותם גדולים אדם השווה להם. הם נהגו בי יפה, אבל רק מתוך רחמים על מי שאינו מגיע אפילו לקרסוליהם. עם זאת,” הוסיף, “העמידה ליד האנשים הגדולים האלה הועילה.” ר׳ </w:t>
      </w:r>
      <w:proofErr w:type="spellStart"/>
      <w:r>
        <w:rPr>
          <w:rtl/>
        </w:rPr>
        <w:t>יחיאל־יעקב</w:t>
      </w:r>
      <w:proofErr w:type="spellEnd"/>
      <w:r>
        <w:rPr>
          <w:rtl/>
        </w:rPr>
        <w:t xml:space="preserve"> ויינברג לא הרפה ואמר: “אבל שמך ידוע בכל העיר, ואנשים רוצים לראותך.” ר׳ נפתלי השיב: “זה רק משום שאשתי אופה חלות מצוינות לשבת, וכל הנשים משבחות את </w:t>
      </w:r>
      <w:r>
        <w:rPr>
          <w:rtl/>
        </w:rPr>
        <w:lastRenderedPageBreak/>
        <w:t>מעשה ידיה. היא, כמנהגה, משבחת אותי. אין לי שום חלק בשבח ובפרסום האלה, ואיני ראוי להם בשום אופן.”</w:t>
      </w:r>
    </w:p>
    <w:p w14:paraId="4C55B4B2" w14:textId="77777777" w:rsidR="00AB3647" w:rsidRDefault="00000000" w:rsidP="007923E9">
      <w:pPr>
        <w:spacing w:after="120" w:line="276" w:lineRule="auto"/>
        <w:ind w:firstLine="283"/>
        <w:jc w:val="both"/>
      </w:pPr>
      <w:r>
        <w:rPr>
          <w:rtl/>
        </w:rPr>
        <w:t>“שרידי אש” ממשיך ומתאר כיצד עם הופעת הכוכבים הראשונים בסוף יום הפורים “הכריז ר׳ נפתלי: ‘עלינו לשוב לעבודת ה׳ הרצינית ולהרבות בלימוד התורה כדי לפצות על היום שאבד’, והחזיר את הסטנדר למקומו, כשהוא הופך בן רגע משתיין קל דעת ללמדן רציני ולעובד ה׳ ירא שמים”. ומחברו קורא: “ערמות של חיבורים בפסיכולוגיה לא יוכלו להסביר כיצד הצליח לעבור שינוי קיצוני כזה. כמה רך אתה, אבן צור, וכמה חלש אתה, אריה, מול יהודי המסור לתורה ולעבודה</w:t>
      </w:r>
      <w:bookmarkStart w:id="5471" w:name="_fnr4130"/>
      <w:r>
        <w:rPr>
          <w:vertAlign w:val="superscript"/>
          <w:rtl/>
        </w:rPr>
        <w:footnoteReference w:id="4140" w:customMarkFollows="0"/>
      </w:r>
      <w:bookmarkEnd w:id="5471"/>
      <w:r>
        <w:rPr>
          <w:rtl/>
        </w:rPr>
        <w:t>!”</w:t>
      </w:r>
    </w:p>
    <w:p w14:paraId="0F01E76F" w14:textId="77777777" w:rsidR="00AB3647" w:rsidRDefault="00000000" w:rsidP="007923E9">
      <w:pPr>
        <w:spacing w:after="120" w:line="276" w:lineRule="auto"/>
        <w:ind w:firstLine="283"/>
        <w:jc w:val="both"/>
      </w:pPr>
      <w:r>
        <w:rPr>
          <w:rtl/>
        </w:rPr>
        <w:t xml:space="preserve">את תיאורו של ר׳ </w:t>
      </w:r>
      <w:proofErr w:type="spellStart"/>
      <w:r>
        <w:rPr>
          <w:rtl/>
        </w:rPr>
        <w:t>שלמה־זלמן</w:t>
      </w:r>
      <w:proofErr w:type="spellEnd"/>
      <w:r>
        <w:rPr>
          <w:rtl/>
        </w:rPr>
        <w:t xml:space="preserve"> בלוך, המובא </w:t>
      </w:r>
      <w:proofErr w:type="spellStart"/>
      <w:r>
        <w:rPr>
          <w:rtl/>
        </w:rPr>
        <w:t>ב“הצדיק</w:t>
      </w:r>
      <w:proofErr w:type="spellEnd"/>
      <w:r>
        <w:rPr>
          <w:rtl/>
        </w:rPr>
        <w:t xml:space="preserve"> רבי שלמה”,</w:t>
      </w:r>
      <w:bookmarkStart w:id="5472" w:name="_fnr4131"/>
      <w:r>
        <w:rPr>
          <w:vertAlign w:val="superscript"/>
          <w:rtl/>
        </w:rPr>
        <w:footnoteReference w:id="4141" w:customMarkFollows="0"/>
      </w:r>
      <w:bookmarkEnd w:id="5472"/>
      <w:r>
        <w:rPr>
          <w:rtl/>
        </w:rPr>
        <w:t xml:space="preserve"> כיצד התפכחו משכרותם תלמידי התלמוד תורה </w:t>
      </w:r>
      <w:proofErr w:type="spellStart"/>
      <w:r>
        <w:rPr>
          <w:rtl/>
        </w:rPr>
        <w:t>בקלם</w:t>
      </w:r>
      <w:proofErr w:type="spellEnd"/>
      <w:r>
        <w:rPr>
          <w:rtl/>
        </w:rPr>
        <w:t xml:space="preserve">, כנראה אין להבין כפשוטו, כלומר במובן מוחלט. וכך סיפר ר׳ </w:t>
      </w:r>
      <w:proofErr w:type="spellStart"/>
      <w:r>
        <w:rPr>
          <w:rtl/>
        </w:rPr>
        <w:t>שלמה־זלמן</w:t>
      </w:r>
      <w:proofErr w:type="spellEnd"/>
      <w:r>
        <w:rPr>
          <w:rtl/>
        </w:rPr>
        <w:t>: “</w:t>
      </w:r>
      <w:proofErr w:type="spellStart"/>
      <w:r>
        <w:rPr>
          <w:rtl/>
        </w:rPr>
        <w:t>בקלם</w:t>
      </w:r>
      <w:proofErr w:type="spellEnd"/>
      <w:r>
        <w:rPr>
          <w:rtl/>
        </w:rPr>
        <w:t>, שבה כולם, אפילו ראשי התלמוד תורה, קיימו את חובת [השכרות ב]פורים, חזרו באורח מפליא ‘</w:t>
      </w:r>
      <w:r>
        <w:rPr>
          <w:b/>
          <w:bCs/>
          <w:rtl/>
        </w:rPr>
        <w:t>לכוחם</w:t>
      </w:r>
      <w:r>
        <w:rPr>
          <w:rtl/>
        </w:rPr>
        <w:t xml:space="preserve"> (ההדגשה שלי)’ מיד עם שקיעת החמה.” השווה גם </w:t>
      </w:r>
      <w:proofErr w:type="spellStart"/>
      <w:r>
        <w:rPr>
          <w:rtl/>
        </w:rPr>
        <w:t>ל“איש</w:t>
      </w:r>
      <w:proofErr w:type="spellEnd"/>
      <w:r>
        <w:rPr>
          <w:rtl/>
        </w:rPr>
        <w:t xml:space="preserve"> ההלכה”:</w:t>
      </w:r>
      <w:bookmarkStart w:id="5473" w:name="_fnr4132"/>
      <w:r>
        <w:rPr>
          <w:vertAlign w:val="superscript"/>
          <w:rtl/>
        </w:rPr>
        <w:footnoteReference w:id="4142" w:customMarkFollows="0"/>
      </w:r>
      <w:bookmarkEnd w:id="5473"/>
      <w:r>
        <w:rPr>
          <w:rtl/>
        </w:rPr>
        <w:t xml:space="preserve"> יכולתו של הגאון מווילנה לשמוח בליל שמחת תורה שמחה עצומה, ולחזור בשבריר השנייה שבסוף ההקפות למצבו הרגיל והשלו, מוסברת שם בכך </w:t>
      </w:r>
      <w:proofErr w:type="spellStart"/>
      <w:r>
        <w:rPr>
          <w:rtl/>
        </w:rPr>
        <w:t>ש“איש</w:t>
      </w:r>
      <w:proofErr w:type="spellEnd"/>
      <w:r>
        <w:rPr>
          <w:rtl/>
        </w:rPr>
        <w:t xml:space="preserve"> ההלכה” נמנע מלשמוח אי פעם עד כדי אובדן שליטה. אבל הסבר זה אינו מסביר די הצורך את היעלמות ההשפעה המשכרת הגופנית של שתיית אלכוהול, כמו בחגיגת הפורים של ר׳ נפתלי. “שרידי אש” צדק כשראה ביכולת זו מעשה של שליטה עצמית – ואפשר וראוי להבין כך גם את מעשה הגאון.</w:t>
      </w:r>
    </w:p>
    <w:p w14:paraId="57184DD6" w14:textId="77777777" w:rsidR="00AB3647" w:rsidRDefault="00000000" w:rsidP="007923E9">
      <w:pPr>
        <w:pStyle w:val="4"/>
        <w:spacing w:line="276" w:lineRule="auto"/>
      </w:pPr>
      <w:r>
        <w:t>· הפסקה השנייה ·</w:t>
      </w:r>
    </w:p>
    <w:p w14:paraId="5A6EF3A4" w14:textId="77777777" w:rsidR="00AB3647" w:rsidRDefault="00000000" w:rsidP="007923E9">
      <w:pPr>
        <w:pStyle w:val="5"/>
        <w:spacing w:line="276" w:lineRule="auto"/>
      </w:pPr>
      <w:r>
        <w:rPr>
          <w:bCs/>
          <w:szCs w:val="26"/>
        </w:rPr>
        <w:t>ר׳ נפתלי אמסטרדם חוזר על הנחיה לצעירים מאת רבו – רבנו נותן דוגמה לכך שנעשה פחות אדוק עם התבגרותו.</w:t>
      </w:r>
    </w:p>
    <w:p w14:paraId="6D85BFCE" w14:textId="77777777" w:rsidR="00AB3647" w:rsidRDefault="00000000" w:rsidP="007923E9">
      <w:pPr>
        <w:spacing w:after="120" w:line="276" w:lineRule="auto"/>
        <w:ind w:firstLine="283"/>
        <w:jc w:val="both"/>
      </w:pPr>
      <w:r>
        <w:rPr>
          <w:rtl/>
        </w:rPr>
        <w:t xml:space="preserve">בזקנותו ביקר אבי בישראל בשלוש שנים רצופות, </w:t>
      </w:r>
      <w:proofErr w:type="spellStart"/>
      <w:r>
        <w:rPr>
          <w:rtl/>
        </w:rPr>
        <w:t>תש״ם</w:t>
      </w:r>
      <w:proofErr w:type="spellEnd"/>
      <w:r>
        <w:rPr>
          <w:rtl/>
        </w:rPr>
        <w:t xml:space="preserve">, תשמ״א </w:t>
      </w:r>
      <w:proofErr w:type="spellStart"/>
      <w:r>
        <w:rPr>
          <w:rtl/>
        </w:rPr>
        <w:t>ותשמ״ב</w:t>
      </w:r>
      <w:proofErr w:type="spellEnd"/>
      <w:r>
        <w:rPr>
          <w:rtl/>
        </w:rPr>
        <w:t xml:space="preserve">, אחרי שלושה ביקורים אחרים שהתפרסו על פני רבע המאה הקודם, </w:t>
      </w:r>
      <w:proofErr w:type="spellStart"/>
      <w:r>
        <w:rPr>
          <w:rtl/>
        </w:rPr>
        <w:t>בתשט״ז</w:t>
      </w:r>
      <w:proofErr w:type="spellEnd"/>
      <w:r>
        <w:rPr>
          <w:rtl/>
        </w:rPr>
        <w:t xml:space="preserve">, תשכ״ג </w:t>
      </w:r>
      <w:proofErr w:type="spellStart"/>
      <w:r>
        <w:rPr>
          <w:rtl/>
        </w:rPr>
        <w:t>ותשכ״ט</w:t>
      </w:r>
      <w:proofErr w:type="spellEnd"/>
      <w:r>
        <w:rPr>
          <w:rtl/>
        </w:rPr>
        <w:t>. באחד מביקוריו המאוחרים סיפר לנכדו ר׳ יוסף</w:t>
      </w:r>
      <w:bookmarkStart w:id="5474" w:name="_fnr4133"/>
      <w:r>
        <w:rPr>
          <w:vertAlign w:val="superscript"/>
          <w:rtl/>
        </w:rPr>
        <w:footnoteReference w:id="4143" w:customMarkFollows="0"/>
      </w:r>
      <w:bookmarkEnd w:id="5474"/>
      <w:r>
        <w:rPr>
          <w:rtl/>
        </w:rPr>
        <w:t xml:space="preserve"> על הנחיה שקבע לו ר׳ נפתלי, כשחזר על דברי ר׳ ישראל: “טוב שיש </w:t>
      </w:r>
      <w:proofErr w:type="spellStart"/>
      <w:r>
        <w:rPr>
          <w:rtl/>
        </w:rPr>
        <w:t>פרומקייט</w:t>
      </w:r>
      <w:proofErr w:type="spellEnd"/>
      <w:r>
        <w:rPr>
          <w:rtl/>
        </w:rPr>
        <w:t xml:space="preserve"> בצעירות, כי כשמזדקנים </w:t>
      </w:r>
      <w:proofErr w:type="spellStart"/>
      <w:r>
        <w:rPr>
          <w:rtl/>
        </w:rPr>
        <w:t>הפרומקייט</w:t>
      </w:r>
      <w:proofErr w:type="spellEnd"/>
      <w:r>
        <w:rPr>
          <w:rtl/>
        </w:rPr>
        <w:t xml:space="preserve"> פוחתת.” כששמע ר׳ נפתלי זאת מר׳ ישראל, היה בטוח שאין הדבר כך באמת, ושהרבי אומר זאת מתוך ענווה</w:t>
      </w:r>
      <w:bookmarkStart w:id="5475" w:name="_fnr4134"/>
      <w:r>
        <w:rPr>
          <w:vertAlign w:val="superscript"/>
          <w:rtl/>
        </w:rPr>
        <w:footnoteReference w:id="4144" w:customMarkFollows="0"/>
      </w:r>
      <w:bookmarkEnd w:id="5475"/>
      <w:r>
        <w:rPr>
          <w:rtl/>
        </w:rPr>
        <w:t xml:space="preserve">. אבל ככל שהזדקן ר׳ נפתלי אמסטרדם, ראה שכך הדבר. כשסיפר אבי את הסיפור, הוסיף שגם </w:t>
      </w:r>
      <w:r>
        <w:rPr>
          <w:rtl/>
        </w:rPr>
        <w:lastRenderedPageBreak/>
        <w:t>הוא טעה אותה טעות: הוא חשב שר׳ נפתלי אמר זאת מתוך ענווה, אבל כשהזדקן רבנו, ראה גם הוא שזו האמת.</w:t>
      </w:r>
    </w:p>
    <w:p w14:paraId="3F1C2AE3" w14:textId="77777777" w:rsidR="00AB3647" w:rsidRDefault="00000000" w:rsidP="007923E9">
      <w:pPr>
        <w:spacing w:after="120" w:line="276" w:lineRule="auto"/>
        <w:ind w:firstLine="283"/>
        <w:jc w:val="both"/>
      </w:pPr>
      <w:r>
        <w:rPr>
          <w:rtl/>
        </w:rPr>
        <w:t xml:space="preserve">אגב, ההסבר להיחלשות </w:t>
      </w:r>
      <w:proofErr w:type="spellStart"/>
      <w:r>
        <w:rPr>
          <w:rtl/>
        </w:rPr>
        <w:t>הפרומקייט</w:t>
      </w:r>
      <w:proofErr w:type="spellEnd"/>
      <w:r>
        <w:rPr>
          <w:rtl/>
        </w:rPr>
        <w:t xml:space="preserve"> עם הגיל עשוי להיות קשור לאמירה אחרת שמסר אבי בשם ר׳ ישראל </w:t>
      </w:r>
      <w:proofErr w:type="spellStart"/>
      <w:r>
        <w:rPr>
          <w:rtl/>
        </w:rPr>
        <w:t>סלנטר</w:t>
      </w:r>
      <w:bookmarkStart w:id="5476" w:name="_fnr4135"/>
      <w:proofErr w:type="spellEnd"/>
      <w:r>
        <w:rPr>
          <w:vertAlign w:val="superscript"/>
          <w:rtl/>
        </w:rPr>
        <w:footnoteReference w:id="4145" w:customMarkFollows="0"/>
      </w:r>
      <w:bookmarkEnd w:id="5476"/>
      <w:r>
        <w:rPr>
          <w:rtl/>
        </w:rPr>
        <w:t xml:space="preserve">: “בצעירותי ציפיתי לגדול ולהיות עוד גאון מווילנה, ואילו ידעתי שאהיה רק מה שאני, הייתי עושה לעצמי מעשה [</w:t>
      </w:r>
      <w:proofErr w:type="spellStart"/>
      <w:r>
        <w:rPr>
          <w:rtl/>
        </w:rPr>
        <w:t>זיך</w:t>
      </w:r>
      <w:proofErr w:type="spellEnd"/>
      <w:r>
        <w:rPr>
          <w:rtl/>
        </w:rPr>
        <w:t xml:space="preserve"> </w:t>
      </w:r>
      <w:proofErr w:type="spellStart"/>
      <w:r>
        <w:rPr>
          <w:rtl/>
        </w:rPr>
        <w:t>אנגעטאהן</w:t>
      </w:r>
      <w:proofErr w:type="spellEnd"/>
      <w:r>
        <w:rPr>
          <w:rtl/>
        </w:rPr>
        <w:t xml:space="preserve"> א מעשה, לשון נקייה להתאבדות]; מצד שני, אילו לא הייתה לי השאיפה להיות כמו הגאון מווילנה, לא הייתי נעשה אפילו מה שאני.” לפיכך, בצעירותו ציפה ר׳ ישראל להקיף את כל היהדות, מן המרכיב החשוב ביותר ועד הפחות חשוב – ענייני </w:t>
      </w:r>
      <w:proofErr w:type="spellStart"/>
      <w:r>
        <w:rPr>
          <w:rtl/>
        </w:rPr>
        <w:t>פרומקייט</w:t>
      </w:r>
      <w:proofErr w:type="spellEnd"/>
      <w:r>
        <w:rPr>
          <w:rtl/>
        </w:rPr>
        <w:t xml:space="preserve">. כשגדל והבין שבניגוד לגאון מווילנה לא יוכל לכלול את הכול, ויתר על הפחות חשוב, </w:t>
      </w:r>
      <w:proofErr w:type="spellStart"/>
      <w:r>
        <w:rPr>
          <w:rtl/>
        </w:rPr>
        <w:t>הפרומקייט</w:t>
      </w:r>
      <w:proofErr w:type="spellEnd"/>
      <w:r>
        <w:rPr>
          <w:rtl/>
        </w:rPr>
        <w:t>, והתרכז בעניינים המהותיים יותר.</w:t>
      </w:r>
    </w:p>
    <w:p w14:paraId="36A6136B" w14:textId="77777777" w:rsidR="00AB3647" w:rsidRDefault="00000000" w:rsidP="007923E9">
      <w:pPr>
        <w:spacing w:after="120" w:line="276" w:lineRule="auto"/>
        <w:ind w:firstLine="283"/>
        <w:jc w:val="both"/>
      </w:pPr>
      <w:r>
        <w:rPr>
          <w:rtl/>
        </w:rPr>
        <w:t xml:space="preserve">היחלשות </w:t>
      </w:r>
      <w:proofErr w:type="spellStart"/>
      <w:r>
        <w:rPr>
          <w:rtl/>
        </w:rPr>
        <w:t>הפרומקייט</w:t>
      </w:r>
      <w:proofErr w:type="spellEnd"/>
      <w:r>
        <w:rPr>
          <w:rtl/>
        </w:rPr>
        <w:t xml:space="preserve"> עשויה להיות קשורה גם לשינוי “פיזיולוגי” שתיאר ר׳ </w:t>
      </w:r>
      <w:proofErr w:type="spellStart"/>
      <w:r>
        <w:rPr>
          <w:rtl/>
        </w:rPr>
        <w:t>איצל׳ה</w:t>
      </w:r>
      <w:proofErr w:type="spellEnd"/>
      <w:r>
        <w:rPr>
          <w:rtl/>
        </w:rPr>
        <w:t xml:space="preserve"> </w:t>
      </w:r>
      <w:proofErr w:type="spellStart"/>
      <w:r>
        <w:rPr>
          <w:rtl/>
        </w:rPr>
        <w:t>בלאזר</w:t>
      </w:r>
      <w:proofErr w:type="spellEnd"/>
      <w:r>
        <w:rPr>
          <w:rtl/>
        </w:rPr>
        <w:t xml:space="preserve">, כפי שנרשם </w:t>
      </w:r>
      <w:proofErr w:type="spellStart"/>
      <w:r>
        <w:rPr>
          <w:rtl/>
        </w:rPr>
        <w:t>ב“כתבי</w:t>
      </w:r>
      <w:proofErr w:type="spellEnd"/>
      <w:r>
        <w:rPr>
          <w:rtl/>
        </w:rPr>
        <w:t xml:space="preserve"> הסבא” בשם</w:t>
      </w:r>
      <w:bookmarkStart w:id="5477" w:name="_fnr4136"/>
      <w:r>
        <w:rPr>
          <w:vertAlign w:val="superscript"/>
          <w:rtl/>
        </w:rPr>
        <w:footnoteReference w:id="4146" w:customMarkFollows="0"/>
      </w:r>
      <w:bookmarkEnd w:id="5477"/>
      <w:r>
        <w:rPr>
          <w:rtl/>
        </w:rPr>
        <w:t xml:space="preserve"> ר׳ גרשון </w:t>
      </w:r>
      <w:proofErr w:type="spellStart"/>
      <w:r>
        <w:rPr>
          <w:rtl/>
        </w:rPr>
        <w:t>מיאדניק</w:t>
      </w:r>
      <w:proofErr w:type="spellEnd"/>
      <w:r>
        <w:rPr>
          <w:rtl/>
        </w:rPr>
        <w:t xml:space="preserve">. ר׳ </w:t>
      </w:r>
      <w:proofErr w:type="spellStart"/>
      <w:r>
        <w:rPr>
          <w:rtl/>
        </w:rPr>
        <w:t>איצל׳ה</w:t>
      </w:r>
      <w:proofErr w:type="spellEnd"/>
      <w:r>
        <w:rPr>
          <w:rtl/>
        </w:rPr>
        <w:t xml:space="preserve"> אמר: “הלב נעשה גרוע יותר ככל שהוא מזדקן, אף שהשכל נעשה טוב יותר – וזו ידיעה נחוצה לאדם!” ייתכן </w:t>
      </w:r>
      <w:proofErr w:type="spellStart"/>
      <w:r>
        <w:rPr>
          <w:rtl/>
        </w:rPr>
        <w:t>שפרומקייט</w:t>
      </w:r>
      <w:proofErr w:type="spellEnd"/>
      <w:r>
        <w:rPr>
          <w:rtl/>
        </w:rPr>
        <w:t xml:space="preserve"> היא ביטוי להשקעת לב יתרה בקיום התורה.</w:t>
      </w:r>
    </w:p>
    <w:p w14:paraId="1C43B841" w14:textId="77777777" w:rsidR="00AB3647" w:rsidRDefault="00000000" w:rsidP="007923E9">
      <w:pPr>
        <w:spacing w:after="120" w:line="276" w:lineRule="auto"/>
        <w:ind w:firstLine="283"/>
        <w:jc w:val="both"/>
      </w:pPr>
      <w:r>
        <w:rPr>
          <w:rtl/>
        </w:rPr>
        <w:t xml:space="preserve">הדוגמה שנתן אבי </w:t>
      </w:r>
      <w:proofErr w:type="spellStart"/>
      <w:r>
        <w:rPr>
          <w:rtl/>
        </w:rPr>
        <w:t>לפרומקייט</w:t>
      </w:r>
      <w:proofErr w:type="spellEnd"/>
      <w:r>
        <w:rPr>
          <w:rtl/>
        </w:rPr>
        <w:t xml:space="preserve"> שלו, שראה אותה פוחתת עם הגיל, הייתה בחירת הפסוק שאומרים מדי יום בסוף העמידה. לפי רש״י המוסגר על מיכה ו, ט, יש לבחור פסוק שמתחיל ומסתיים באותיות שבהן מתחיל ומסתיים שמו של האדם</w:t>
      </w:r>
      <w:bookmarkStart w:id="5478" w:name="_fnr4137"/>
      <w:r>
        <w:rPr>
          <w:vertAlign w:val="superscript"/>
          <w:rtl/>
        </w:rPr>
        <w:footnoteReference w:id="4147" w:customMarkFollows="0"/>
      </w:r>
      <w:bookmarkEnd w:id="5478"/>
      <w:r>
        <w:rPr>
          <w:rtl/>
        </w:rPr>
        <w:t>. אבי אמר: “בצעירותי הקפדתי יותר מאשר בזקנותי למעט ככל האפשר באמירת שמותיו הקדושים של העליון. הסידורים מדפיסים פסוק למי ששמו כשמי, יעקב, ובו נזכר שם ה׳ פעמיים [תהלים כ, ב]. בצעירותי מצאתי פסוק שיש בו רק אזכור אחד של שמו, ואמרתי אותו. אבל כשזקנתי, חזרתי לפסוק שבסידור.” אבי לא גילה איזה פסוק אמר במקומו בצעירותו, אבל כנראה היה זה “ישמח צדיק בה׳ וְחָסָה בו ויתהללו כל ישרי לב”, בתהלים סד, יא</w:t>
      </w:r>
      <w:bookmarkStart w:id="5479" w:name="_fnr4138"/>
      <w:r>
        <w:rPr>
          <w:vertAlign w:val="superscript"/>
          <w:rtl/>
        </w:rPr>
        <w:footnoteReference w:id="4148" w:customMarkFollows="0"/>
      </w:r>
      <w:bookmarkEnd w:id="5479"/>
      <w:r>
        <w:rPr>
          <w:rtl/>
        </w:rPr>
        <w:t xml:space="preserve">. השווה גם לספרו של </w:t>
      </w:r>
      <w:proofErr w:type="spellStart"/>
      <w:r>
        <w:rPr>
          <w:rtl/>
        </w:rPr>
        <w:t>ידעאל</w:t>
      </w:r>
      <w:proofErr w:type="spellEnd"/>
      <w:r>
        <w:rPr>
          <w:rtl/>
        </w:rPr>
        <w:t xml:space="preserve"> מלצר, “בדרך עץ החיים”</w:t>
      </w:r>
      <w:bookmarkStart w:id="5480" w:name="_fnr4139"/>
      <w:r>
        <w:rPr>
          <w:vertAlign w:val="superscript"/>
          <w:rtl/>
        </w:rPr>
        <w:footnoteReference w:id="4149" w:customMarkFollows="0"/>
      </w:r>
      <w:bookmarkEnd w:id="5480"/>
      <w:r>
        <w:rPr>
          <w:rtl/>
        </w:rPr>
        <w:t xml:space="preserve">, על כך שר׳ </w:t>
      </w:r>
      <w:proofErr w:type="spellStart"/>
      <w:r>
        <w:rPr>
          <w:rtl/>
        </w:rPr>
        <w:t>איסר־זלמן</w:t>
      </w:r>
      <w:proofErr w:type="spellEnd"/>
      <w:r>
        <w:rPr>
          <w:rtl/>
        </w:rPr>
        <w:t xml:space="preserve"> התעורר מן הדאגה שגילה אדם שבירך בשוגג ברכה לבטלה. ייתכן שאבי התעורר לזהירות היתרה באמירת שם העליון בעקבות רבו זה</w:t>
      </w:r>
      <w:bookmarkStart w:id="5481" w:name="_fnr4140"/>
      <w:r>
        <w:rPr>
          <w:vertAlign w:val="superscript"/>
          <w:rtl/>
        </w:rPr>
        <w:footnoteReference w:id="4150" w:customMarkFollows="0"/>
      </w:r>
      <w:bookmarkEnd w:id="5481"/>
      <w:r>
        <w:rPr>
          <w:rtl/>
        </w:rPr>
        <w:t>.</w:t>
      </w:r>
    </w:p>
    <w:p w14:paraId="6D005AEB" w14:textId="77777777" w:rsidR="00AB3647" w:rsidRDefault="00000000" w:rsidP="007923E9">
      <w:pPr>
        <w:pStyle w:val="4"/>
        <w:spacing w:line="276" w:lineRule="auto"/>
      </w:pPr>
      <w:r>
        <w:lastRenderedPageBreak/>
        <w:t>· הפסקה השלישית ·</w:t>
      </w:r>
    </w:p>
    <w:p w14:paraId="41ACEA3F" w14:textId="77777777" w:rsidR="00AB3647" w:rsidRDefault="00000000" w:rsidP="007923E9">
      <w:pPr>
        <w:pStyle w:val="5"/>
        <w:spacing w:line="276" w:lineRule="auto"/>
      </w:pPr>
      <w:r>
        <w:rPr>
          <w:bCs/>
          <w:szCs w:val="26"/>
        </w:rPr>
        <w:t>בהתפרצות של אדיקות מכריז רבנו שאינו אוכל שרויה – חושבים שאינו בוטח בכשרות של רבו – ייתכן שקיבל עליו להימנע משרויה מאותה סיבה שבגללה נמנעים ממנה חסידים – הוא מספר על אירועים אחרים של אדיקות יתרה בצעירותו.</w:t>
      </w:r>
    </w:p>
    <w:p w14:paraId="21A35CEA" w14:textId="77777777" w:rsidR="00AB3647" w:rsidRDefault="00000000" w:rsidP="007923E9">
      <w:pPr>
        <w:spacing w:after="120" w:line="276" w:lineRule="auto"/>
        <w:ind w:firstLine="283"/>
        <w:jc w:val="both"/>
      </w:pPr>
      <w:r>
        <w:rPr>
          <w:rtl/>
        </w:rPr>
        <w:t xml:space="preserve">דוגמה נוספת </w:t>
      </w:r>
      <w:proofErr w:type="spellStart"/>
      <w:r>
        <w:rPr>
          <w:rtl/>
        </w:rPr>
        <w:t>לפרומקייט</w:t>
      </w:r>
      <w:proofErr w:type="spellEnd"/>
      <w:r>
        <w:rPr>
          <w:rtl/>
        </w:rPr>
        <w:t xml:space="preserve"> של אבי בצעירותו קשורה לסיפור הידוע הממחיש את דבקותו הבלתי מתפשרת בדיבורו. מפורסם שפעם הוזמן לאכול בפסח בביתו של אדם מסוים, ומכיוון שלא רצה לאכול שם – מסיבה שתידון להלן – אמר למארחו, כתירוץ, שאינו אוכל שרויה. ומאחר שאמר כך, לא אכל עוד שרויה עד סוף ימיו. מה שאינו ידוע בדרך כלל הוא שהמעשה אירע בבית הסבא </w:t>
      </w:r>
      <w:proofErr w:type="spellStart"/>
      <w:r>
        <w:rPr>
          <w:rtl/>
        </w:rPr>
        <w:t>מסלבודקה</w:t>
      </w:r>
      <w:proofErr w:type="spellEnd"/>
      <w:r>
        <w:rPr>
          <w:rtl/>
        </w:rPr>
        <w:t xml:space="preserve">, כשהוגש לאבי מרק עם קניידלך. כך סיפר רבנו לאחי ר׳ אברהם. גם ר׳ פרץ </w:t>
      </w:r>
      <w:proofErr w:type="spellStart"/>
      <w:r>
        <w:rPr>
          <w:rtl/>
        </w:rPr>
        <w:t>פוזן</w:t>
      </w:r>
      <w:bookmarkStart w:id="5482" w:name="_fnr4141"/>
      <w:proofErr w:type="spellEnd"/>
      <w:r>
        <w:rPr>
          <w:vertAlign w:val="superscript"/>
          <w:rtl/>
        </w:rPr>
        <w:footnoteReference w:id="4151" w:customMarkFollows="0"/>
      </w:r>
      <w:bookmarkEnd w:id="5482"/>
      <w:r>
        <w:rPr>
          <w:rtl/>
        </w:rPr>
        <w:t xml:space="preserve"> שמע מאבי שמי שאת הצעתו דחה היה הסבא </w:t>
      </w:r>
      <w:proofErr w:type="spellStart"/>
      <w:r>
        <w:rPr>
          <w:rtl/>
        </w:rPr>
        <w:t>מסלבודקה</w:t>
      </w:r>
      <w:proofErr w:type="spellEnd"/>
      <w:r>
        <w:rPr>
          <w:rtl/>
        </w:rPr>
        <w:t xml:space="preserve">, אבל מעולם לא שמע מרבנו שעד אותו מעשה אכן אכל שרויה: ר׳ פרץ הניח בטעות שבגלל המנהג שנהגו בו כמה חוגים באירופה, ובייחוד חוגים חסידיים, אבי לא אכל שרויה גם קודם לכן. עוד אמר רבנו </w:t>
      </w:r>
      <w:proofErr w:type="spellStart"/>
      <w:r>
        <w:rPr>
          <w:rtl/>
        </w:rPr>
        <w:t>לר</w:t>
      </w:r>
      <w:proofErr w:type="spellEnd"/>
      <w:r>
        <w:rPr>
          <w:rtl/>
        </w:rPr>
        <w:t xml:space="preserve">׳ פרץ </w:t>
      </w:r>
      <w:proofErr w:type="spellStart"/>
      <w:r>
        <w:rPr>
          <w:rtl/>
        </w:rPr>
        <w:t>פוזן</w:t>
      </w:r>
      <w:proofErr w:type="spellEnd"/>
      <w:r>
        <w:rPr>
          <w:rtl/>
        </w:rPr>
        <w:t xml:space="preserve"> שכאשר הודיע לסבא שלא יאכל את הקניידלך מפני שאינו אוכל שרויה, אמר לו הסבא בתקיפות: “אני אומר לך לאכול!” ואבי אכל אותם.</w:t>
      </w:r>
    </w:p>
    <w:p w14:paraId="13303150" w14:textId="77777777" w:rsidR="00AB3647" w:rsidRDefault="00000000" w:rsidP="007923E9">
      <w:pPr>
        <w:spacing w:after="120" w:line="276" w:lineRule="auto"/>
        <w:ind w:firstLine="283"/>
        <w:jc w:val="both"/>
      </w:pPr>
      <w:r>
        <w:rPr>
          <w:rtl/>
        </w:rPr>
        <w:t xml:space="preserve">ר׳ פרץ הוטרד מן השאלה כיצד יכול היה אבי להפר את מה שנחשב בעיניו מנהג משפחתו, שלא לאכול שרויה, בלי לעשות התרת נדרים כדין על </w:t>
      </w:r>
      <w:proofErr w:type="spellStart"/>
      <w:r>
        <w:rPr>
          <w:rtl/>
        </w:rPr>
        <w:t>ה“נדר</w:t>
      </w:r>
      <w:proofErr w:type="spellEnd"/>
      <w:r>
        <w:rPr>
          <w:rtl/>
        </w:rPr>
        <w:t xml:space="preserve">” שמנהגי משפחה יוצרים. ר׳ פרץ </w:t>
      </w:r>
      <w:proofErr w:type="spellStart"/>
      <w:r>
        <w:rPr>
          <w:rtl/>
        </w:rPr>
        <w:t>פוזן</w:t>
      </w:r>
      <w:proofErr w:type="spellEnd"/>
      <w:r>
        <w:rPr>
          <w:rtl/>
        </w:rPr>
        <w:t xml:space="preserve"> חשב </w:t>
      </w:r>
      <w:proofErr w:type="spellStart"/>
      <w:r>
        <w:rPr>
          <w:rtl/>
        </w:rPr>
        <w:t>בלבו</w:t>
      </w:r>
      <w:proofErr w:type="spellEnd"/>
      <w:r>
        <w:rPr>
          <w:rtl/>
        </w:rPr>
        <w:t xml:space="preserve"> שהסבא, שהיה תלמיד חכם, בוודאי ידע את ההלכה – מתי צריך התרת נדרים כדי להפר מנהג, ומתי אין צורך בכך – ור׳ פרץ הניח לעניין. עיקר גרסתו של אחי הוא שאבי קיים את דבריו גם כשנאמרו כתירוץ כוזב, ואילו עיקר גרסתו (המוטעית) של ר׳ פרץ </w:t>
      </w:r>
      <w:proofErr w:type="spellStart"/>
      <w:r>
        <w:rPr>
          <w:rtl/>
        </w:rPr>
        <w:t>פוזן</w:t>
      </w:r>
      <w:proofErr w:type="spellEnd"/>
      <w:r>
        <w:rPr>
          <w:rtl/>
        </w:rPr>
        <w:t xml:space="preserve"> הוא שאבי הפר מנהג משפחתי קבוע בהוראת רבו</w:t>
      </w:r>
      <w:bookmarkStart w:id="5483" w:name="_fnr4142"/>
      <w:r>
        <w:rPr>
          <w:vertAlign w:val="superscript"/>
          <w:rtl/>
        </w:rPr>
        <w:footnoteReference w:id="4152" w:customMarkFollows="0"/>
      </w:r>
      <w:bookmarkEnd w:id="5483"/>
      <w:r>
        <w:rPr>
          <w:rtl/>
        </w:rPr>
        <w:t>.</w:t>
      </w:r>
    </w:p>
    <w:p w14:paraId="3AE0754C" w14:textId="77777777" w:rsidR="00AB3647" w:rsidRDefault="00000000" w:rsidP="007923E9">
      <w:pPr>
        <w:spacing w:after="120" w:line="276" w:lineRule="auto"/>
        <w:ind w:firstLine="283"/>
        <w:jc w:val="both"/>
      </w:pPr>
      <w:r>
        <w:rPr>
          <w:rtl/>
        </w:rPr>
        <w:t>לא ברור מדוע החליט אבי, לפי גרסת אחי, שלא לאכול את הקניידלך באותו מעמד. בסיפור הרווח – שאינו יודע שהמעשה אירע בבית הסבא, כאמור – נאמר שאבי לא סמך על כשרות מארחו</w:t>
      </w:r>
      <w:bookmarkStart w:id="5484" w:name="_fnr4143"/>
      <w:r>
        <w:rPr>
          <w:vertAlign w:val="superscript"/>
          <w:rtl/>
        </w:rPr>
        <w:footnoteReference w:id="4153" w:customMarkFollows="0"/>
      </w:r>
      <w:bookmarkEnd w:id="5484"/>
      <w:r>
        <w:rPr>
          <w:rtl/>
        </w:rPr>
        <w:t xml:space="preserve">, ושחוסר האמון לא היה אלא תוצאה קיצונית של </w:t>
      </w:r>
      <w:proofErr w:type="spellStart"/>
      <w:r>
        <w:rPr>
          <w:rtl/>
        </w:rPr>
        <w:t>פרומקייט</w:t>
      </w:r>
      <w:proofErr w:type="spellEnd"/>
      <w:r>
        <w:rPr>
          <w:rtl/>
        </w:rPr>
        <w:t xml:space="preserve"> נעורים. אבל מכיוון שהמעשה אירע ליד שולחנו של ר׳ </w:t>
      </w:r>
      <w:proofErr w:type="spellStart"/>
      <w:r>
        <w:rPr>
          <w:rtl/>
        </w:rPr>
        <w:t>נתן־צבי</w:t>
      </w:r>
      <w:proofErr w:type="spellEnd"/>
      <w:r>
        <w:rPr>
          <w:rtl/>
        </w:rPr>
        <w:t xml:space="preserve"> </w:t>
      </w:r>
      <w:proofErr w:type="spellStart"/>
      <w:r>
        <w:rPr>
          <w:rtl/>
        </w:rPr>
        <w:t>פינקל</w:t>
      </w:r>
      <w:proofErr w:type="spellEnd"/>
      <w:r>
        <w:rPr>
          <w:rtl/>
        </w:rPr>
        <w:t xml:space="preserve">, אכן מוזר שאבי, אפילו בהתפרצות של </w:t>
      </w:r>
      <w:proofErr w:type="spellStart"/>
      <w:r>
        <w:rPr>
          <w:rtl/>
        </w:rPr>
        <w:t>פרומקייט</w:t>
      </w:r>
      <w:proofErr w:type="spellEnd"/>
      <w:r>
        <w:rPr>
          <w:rtl/>
        </w:rPr>
        <w:t xml:space="preserve">, יפקפק בכשרות של רבו. קושי נוסף: מדוע התמקדה </w:t>
      </w:r>
      <w:proofErr w:type="spellStart"/>
      <w:r>
        <w:rPr>
          <w:rtl/>
        </w:rPr>
        <w:t>הפרומקייט</w:t>
      </w:r>
      <w:proofErr w:type="spellEnd"/>
      <w:r>
        <w:rPr>
          <w:rtl/>
        </w:rPr>
        <w:t xml:space="preserve"> של אבי באיסור הקניידלך, בעוד ששאר הארוחה נחשבה בעיניו כשרה די הצורך</w:t>
      </w:r>
      <w:bookmarkStart w:id="5485" w:name="_fnr4144"/>
      <w:r>
        <w:rPr>
          <w:vertAlign w:val="superscript"/>
          <w:rtl/>
        </w:rPr>
        <w:footnoteReference w:id="4154" w:customMarkFollows="0"/>
      </w:r>
      <w:bookmarkEnd w:id="5485"/>
      <w:r>
        <w:rPr>
          <w:rtl/>
        </w:rPr>
        <w:t>? אבל על “</w:t>
      </w:r>
      <w:proofErr w:type="spellStart"/>
      <w:r>
        <w:rPr>
          <w:rtl/>
        </w:rPr>
        <w:t>פרומקייט</w:t>
      </w:r>
      <w:proofErr w:type="spellEnd"/>
      <w:r>
        <w:rPr>
          <w:rtl/>
        </w:rPr>
        <w:t xml:space="preserve"> של צעירים” אי אפשר לשאול שאלות הגיוניות</w:t>
      </w:r>
      <w:bookmarkStart w:id="5486" w:name="_fnr4145"/>
      <w:r>
        <w:rPr>
          <w:vertAlign w:val="superscript"/>
          <w:rtl/>
        </w:rPr>
        <w:footnoteReference w:id="4155" w:customMarkFollows="0"/>
      </w:r>
      <w:bookmarkEnd w:id="5486"/>
      <w:r>
        <w:rPr>
          <w:rtl/>
        </w:rPr>
        <w:t>!</w:t>
      </w:r>
    </w:p>
    <w:p w14:paraId="5000B708" w14:textId="77777777" w:rsidR="00AB3647" w:rsidRDefault="00000000" w:rsidP="007923E9">
      <w:pPr>
        <w:spacing w:after="120" w:line="276" w:lineRule="auto"/>
        <w:ind w:firstLine="283"/>
        <w:jc w:val="both"/>
      </w:pPr>
      <w:r>
        <w:rPr>
          <w:rtl/>
        </w:rPr>
        <w:t xml:space="preserve">עם זאת, יש לצרף את דברי אחי ואת דברי ר׳ פרץ </w:t>
      </w:r>
      <w:proofErr w:type="spellStart"/>
      <w:r>
        <w:rPr>
          <w:rtl/>
        </w:rPr>
        <w:t>פוזן</w:t>
      </w:r>
      <w:proofErr w:type="spellEnd"/>
      <w:r>
        <w:rPr>
          <w:rtl/>
        </w:rPr>
        <w:t xml:space="preserve">: אמירתו של רבנו שאינו אוכל שרויה הייתה אמת, כפי שהבין ר׳ פרץ, אבל עד אז אכל שרויה, כפי שהבין אחי וכפי שיודעים כל בני </w:t>
      </w:r>
      <w:r>
        <w:rPr>
          <w:rtl/>
        </w:rPr>
        <w:lastRenderedPageBreak/>
        <w:t xml:space="preserve">המשפחה. מצירוף זה אפשר להציע שלא בעיית כשרות היא שהביאה להצהרת אבי בבית הסבא. כך התרחש הדבר: מתוך </w:t>
      </w:r>
      <w:proofErr w:type="spellStart"/>
      <w:r>
        <w:rPr>
          <w:rtl/>
        </w:rPr>
        <w:t>פרומקייט</w:t>
      </w:r>
      <w:proofErr w:type="spellEnd"/>
      <w:r>
        <w:rPr>
          <w:rtl/>
        </w:rPr>
        <w:t xml:space="preserve"> החליט רבנו – זמן מה לפני שאמר זאת בפיו ליד שולחן הסבא – שלא לאכול שרויה. </w:t>
      </w:r>
      <w:proofErr w:type="spellStart"/>
      <w:r>
        <w:rPr>
          <w:rtl/>
        </w:rPr>
        <w:t>פרומקייט</w:t>
      </w:r>
      <w:proofErr w:type="spellEnd"/>
      <w:r>
        <w:rPr>
          <w:rtl/>
        </w:rPr>
        <w:t xml:space="preserve"> זו נבעה מאותו טעם שבגללו חסידים נמנעים משרויה, כלומר מזהירות יתרה מחמץ: שמא נותר במצה קמח שלא נאפה, והוא עלול להחמיץ אם יתערבב בנוזל במהלך הארוחה.</w:t>
      </w:r>
    </w:p>
    <w:p w14:paraId="467A8041" w14:textId="77777777" w:rsidR="00AB3647" w:rsidRDefault="00000000" w:rsidP="007923E9">
      <w:pPr>
        <w:spacing w:after="120" w:line="276" w:lineRule="auto"/>
        <w:ind w:firstLine="283"/>
        <w:jc w:val="both"/>
      </w:pPr>
      <w:r>
        <w:rPr>
          <w:rtl/>
        </w:rPr>
        <w:t xml:space="preserve">הסבא הבין שתלמידו, שבא מבית מתנגדי, אכן אכל תמיד שרויה עד אז, ובהשפעת “התקף” של </w:t>
      </w:r>
      <w:proofErr w:type="spellStart"/>
      <w:r>
        <w:rPr>
          <w:rtl/>
        </w:rPr>
        <w:t>פרומקייט</w:t>
      </w:r>
      <w:proofErr w:type="spellEnd"/>
      <w:r>
        <w:rPr>
          <w:rtl/>
        </w:rPr>
        <w:t xml:space="preserve"> החליט להתחיל להימנע ממנה. מכיוון שאבי עדיין לא התחיל להימנע משרויה בפועל, לא היה צריך התרת נדרים כדי להתיר לעצמו לאכול את הקניידלך באותו מעמד. בכך שחייב אותו לאכול את הקניידלך, ביטל הסבא את </w:t>
      </w:r>
      <w:proofErr w:type="spellStart"/>
      <w:r>
        <w:rPr>
          <w:rtl/>
        </w:rPr>
        <w:t>הפרומקייט</w:t>
      </w:r>
      <w:proofErr w:type="spellEnd"/>
      <w:r>
        <w:rPr>
          <w:rtl/>
        </w:rPr>
        <w:t xml:space="preserve"> </w:t>
      </w:r>
      <w:proofErr w:type="spellStart"/>
      <w:r>
        <w:rPr>
          <w:rtl/>
        </w:rPr>
        <w:t>הנעורית</w:t>
      </w:r>
      <w:proofErr w:type="spellEnd"/>
      <w:r>
        <w:rPr>
          <w:rtl/>
        </w:rPr>
        <w:t xml:space="preserve"> של תלמידו. לאחר שהסבא הכריחו לאכול, הבין אבי שלא היה לו לקבל על עצמו את </w:t>
      </w:r>
      <w:proofErr w:type="spellStart"/>
      <w:r>
        <w:rPr>
          <w:rtl/>
        </w:rPr>
        <w:t>הפרומקייט</w:t>
      </w:r>
      <w:proofErr w:type="spellEnd"/>
      <w:r>
        <w:rPr>
          <w:rtl/>
        </w:rPr>
        <w:t xml:space="preserve"> המסוימת הזאת, והיא מעולם לא נעשתה “נדר” מצדו. אולם מכיוון שאמר לרבו שאינו אוכל שרויה, חש שעליו לדבוק בנוהג הזה – לא משום זהירות יתרה מחמץ</w:t>
      </w:r>
      <w:bookmarkStart w:id="5487" w:name="_fnr4146"/>
      <w:r>
        <w:rPr>
          <w:vertAlign w:val="superscript"/>
          <w:rtl/>
        </w:rPr>
        <w:footnoteReference w:id="4156" w:customMarkFollows="0"/>
      </w:r>
      <w:bookmarkEnd w:id="5487"/>
      <w:r>
        <w:rPr>
          <w:rtl/>
        </w:rPr>
        <w:t>, אלא מפני שמילה היא מילה</w:t>
      </w:r>
      <w:bookmarkStart w:id="5488" w:name="_fnr4147"/>
      <w:r>
        <w:rPr>
          <w:vertAlign w:val="superscript"/>
          <w:rtl/>
        </w:rPr>
        <w:footnoteReference w:id="4157" w:customMarkFollows="0"/>
      </w:r>
      <w:bookmarkEnd w:id="5488"/>
      <w:r>
        <w:rPr>
          <w:rtl/>
        </w:rPr>
        <w:t xml:space="preserve">! לפי גילויו של ר׳ פרץ </w:t>
      </w:r>
      <w:proofErr w:type="spellStart"/>
      <w:r>
        <w:rPr>
          <w:rtl/>
        </w:rPr>
        <w:t>פוזן</w:t>
      </w:r>
      <w:proofErr w:type="spellEnd"/>
      <w:r>
        <w:rPr>
          <w:rtl/>
        </w:rPr>
        <w:t>, שבשעת ההצהרה אכן אכל רבנו את הקניידלך, הימנעותו משרויה מכאן ואילך מעידה ביתר שאת על דבקותו המופלאה בדיבורו.</w:t>
      </w:r>
    </w:p>
    <w:p w14:paraId="649708FD" w14:textId="77777777" w:rsidR="00AB3647" w:rsidRDefault="00000000" w:rsidP="007923E9">
      <w:pPr>
        <w:spacing w:after="120" w:line="276" w:lineRule="auto"/>
        <w:ind w:firstLine="283"/>
        <w:jc w:val="both"/>
      </w:pPr>
      <w:r>
        <w:rPr>
          <w:rtl/>
        </w:rPr>
        <w:t>נאמר לי</w:t>
      </w:r>
      <w:bookmarkStart w:id="5489" w:name="_fnr4148"/>
      <w:r>
        <w:rPr>
          <w:vertAlign w:val="superscript"/>
          <w:rtl/>
        </w:rPr>
        <w:footnoteReference w:id="4158" w:customMarkFollows="0"/>
      </w:r>
      <w:bookmarkEnd w:id="5489"/>
      <w:r>
        <w:rPr>
          <w:rtl/>
        </w:rPr>
        <w:t xml:space="preserve"> שאבי החליט בצעירותו לנהוג לפי ההוראות שבספר “יסוד ושורש העבודה”, המבוססות על הקבלה, אבל כשראה שאינו יכול להתמיד בכך, הניח לזה. דיווחו של ר׳ דוד שפיגל</w:t>
      </w:r>
      <w:bookmarkStart w:id="5490" w:name="_fnr4149"/>
      <w:r>
        <w:rPr>
          <w:vertAlign w:val="superscript"/>
          <w:rtl/>
        </w:rPr>
        <w:footnoteReference w:id="4159" w:customMarkFollows="0"/>
      </w:r>
      <w:bookmarkEnd w:id="5490"/>
      <w:r>
        <w:rPr>
          <w:rtl/>
        </w:rPr>
        <w:t xml:space="preserve"> נוגע בעקיפין </w:t>
      </w:r>
      <w:proofErr w:type="spellStart"/>
      <w:r>
        <w:rPr>
          <w:rtl/>
        </w:rPr>
        <w:t>לפרומקייט</w:t>
      </w:r>
      <w:proofErr w:type="spellEnd"/>
      <w:r>
        <w:rPr>
          <w:rtl/>
        </w:rPr>
        <w:t xml:space="preserve"> בצעירות: אבי אמר פעם </w:t>
      </w:r>
      <w:proofErr w:type="spellStart"/>
      <w:r>
        <w:rPr>
          <w:rtl/>
        </w:rPr>
        <w:t>לר</w:t>
      </w:r>
      <w:proofErr w:type="spellEnd"/>
      <w:r>
        <w:rPr>
          <w:rtl/>
        </w:rPr>
        <w:t xml:space="preserve">׳ הלל דוד שכבחור צעיר </w:t>
      </w:r>
      <w:proofErr w:type="spellStart"/>
      <w:r>
        <w:rPr>
          <w:rtl/>
        </w:rPr>
        <w:t>בסלבודקה</w:t>
      </w:r>
      <w:proofErr w:type="spellEnd"/>
      <w:r>
        <w:rPr>
          <w:rtl/>
        </w:rPr>
        <w:t xml:space="preserve"> היה רץ פעמים רבות סביב מיטתו לפני השינה, כדי שיירדם בלי הרהורים. קשורה לכך גם עדותו של ר׳ ישעיה שכטר</w:t>
      </w:r>
      <w:bookmarkStart w:id="5491" w:name="_fnr4150"/>
      <w:r>
        <w:rPr>
          <w:vertAlign w:val="superscript"/>
          <w:rtl/>
        </w:rPr>
        <w:footnoteReference w:id="4160" w:customMarkFollows="0"/>
      </w:r>
      <w:bookmarkEnd w:id="5491"/>
      <w:r>
        <w:rPr>
          <w:rtl/>
        </w:rPr>
        <w:t>, שרבנו אמר שלא היה לו טעם באוכל עד זקנותו, והצטער על שהתפתח אצלו.</w:t>
      </w:r>
    </w:p>
    <w:p w14:paraId="1140C7C7" w14:textId="77777777" w:rsidR="00AB3647" w:rsidRDefault="00000000" w:rsidP="007923E9">
      <w:pPr>
        <w:pStyle w:val="4"/>
        <w:spacing w:line="276" w:lineRule="auto"/>
      </w:pPr>
      <w:r>
        <w:t>· הפסקה הרביעית ·</w:t>
      </w:r>
    </w:p>
    <w:p w14:paraId="7D3CC60D" w14:textId="77777777" w:rsidR="00AB3647" w:rsidRDefault="00000000" w:rsidP="007923E9">
      <w:pPr>
        <w:pStyle w:val="5"/>
        <w:spacing w:line="276" w:lineRule="auto"/>
      </w:pPr>
      <w:r>
        <w:rPr>
          <w:bCs/>
          <w:szCs w:val="26"/>
        </w:rPr>
        <w:t>רבנו אינו מעריך אדיקות של צעירים.</w:t>
      </w:r>
    </w:p>
    <w:p w14:paraId="1F86D9BC" w14:textId="77777777" w:rsidR="00AB3647" w:rsidRDefault="00000000" w:rsidP="007923E9">
      <w:pPr>
        <w:spacing w:after="120" w:line="276" w:lineRule="auto"/>
        <w:ind w:firstLine="283"/>
        <w:jc w:val="both"/>
      </w:pPr>
      <w:r>
        <w:rPr>
          <w:rtl/>
        </w:rPr>
        <w:t xml:space="preserve">הוא כינה פעם </w:t>
      </w:r>
      <w:proofErr w:type="spellStart"/>
      <w:r>
        <w:rPr>
          <w:rtl/>
        </w:rPr>
        <w:t>פרומקייט</w:t>
      </w:r>
      <w:proofErr w:type="spellEnd"/>
      <w:r>
        <w:rPr>
          <w:rtl/>
        </w:rPr>
        <w:t xml:space="preserve"> מופרזת של צעירים “מטופשת”, ובשיחה במתיבתא תורה ודעת אמר</w:t>
      </w:r>
      <w:bookmarkStart w:id="5492" w:name="_fnr4151"/>
      <w:r>
        <w:rPr>
          <w:vertAlign w:val="superscript"/>
          <w:rtl/>
        </w:rPr>
        <w:footnoteReference w:id="4161" w:customMarkFollows="0"/>
      </w:r>
      <w:bookmarkEnd w:id="5492"/>
      <w:r>
        <w:rPr>
          <w:rtl/>
        </w:rPr>
        <w:t xml:space="preserve">: “אני סבור שבחור בן </w:t>
      </w:r>
      <w:proofErr w:type="spellStart"/>
      <w:r>
        <w:rPr>
          <w:rtl/>
        </w:rPr>
        <w:t>שבע־עשרה</w:t>
      </w:r>
      <w:proofErr w:type="spellEnd"/>
      <w:r>
        <w:rPr>
          <w:rtl/>
        </w:rPr>
        <w:t xml:space="preserve"> המתפלל </w:t>
      </w:r>
      <w:proofErr w:type="spellStart"/>
      <w:r>
        <w:rPr>
          <w:rtl/>
        </w:rPr>
        <w:t>שמונה־עשרה</w:t>
      </w:r>
      <w:proofErr w:type="spellEnd"/>
      <w:r>
        <w:rPr>
          <w:rtl/>
        </w:rPr>
        <w:t xml:space="preserve"> ארוכה יכול להתפלל שוב.”</w:t>
      </w:r>
    </w:p>
    <w:p w14:paraId="135BC243" w14:textId="77777777" w:rsidR="00AB3647" w:rsidRDefault="00000000" w:rsidP="007923E9">
      <w:pPr>
        <w:spacing w:after="120" w:line="276" w:lineRule="auto"/>
        <w:ind w:firstLine="283"/>
        <w:jc w:val="both"/>
      </w:pPr>
      <w:r>
        <w:rPr>
          <w:rtl/>
        </w:rPr>
        <w:t xml:space="preserve">אבל ר׳ דב כהן סיפר על מעשה עם הסבא </w:t>
      </w:r>
      <w:proofErr w:type="spellStart"/>
      <w:r>
        <w:rPr>
          <w:rtl/>
        </w:rPr>
        <w:t>מסלבודקה</w:t>
      </w:r>
      <w:proofErr w:type="spellEnd"/>
      <w:r>
        <w:rPr>
          <w:rtl/>
        </w:rPr>
        <w:t xml:space="preserve">, שמלמד שהמחנך הגדול מצא תועלת מסוימת בתופעת </w:t>
      </w:r>
      <w:proofErr w:type="spellStart"/>
      <w:r>
        <w:rPr>
          <w:rtl/>
        </w:rPr>
        <w:t>הפרומקייט</w:t>
      </w:r>
      <w:proofErr w:type="spellEnd"/>
      <w:r>
        <w:rPr>
          <w:rtl/>
        </w:rPr>
        <w:t xml:space="preserve"> של צעירים. ר׳ דב סיפר שמשגיח ישיבת </w:t>
      </w:r>
      <w:proofErr w:type="spellStart"/>
      <w:r>
        <w:rPr>
          <w:rtl/>
        </w:rPr>
        <w:t>סלוצק</w:t>
      </w:r>
      <w:proofErr w:type="spellEnd"/>
      <w:r>
        <w:rPr>
          <w:rtl/>
        </w:rPr>
        <w:t xml:space="preserve"> ר׳ אשר </w:t>
      </w:r>
      <w:proofErr w:type="spellStart"/>
      <w:r>
        <w:rPr>
          <w:rtl/>
        </w:rPr>
        <w:lastRenderedPageBreak/>
        <w:t>סנדומירסקי</w:t>
      </w:r>
      <w:bookmarkStart w:id="5493" w:name="_fnr4152"/>
      <w:proofErr w:type="spellEnd"/>
      <w:r>
        <w:rPr>
          <w:vertAlign w:val="superscript"/>
          <w:rtl/>
        </w:rPr>
        <w:footnoteReference w:id="4162" w:customMarkFollows="0"/>
      </w:r>
      <w:bookmarkEnd w:id="5493"/>
      <w:r>
        <w:rPr>
          <w:rtl/>
        </w:rPr>
        <w:t xml:space="preserve"> ישב ליד שולחנו של ר׳ </w:t>
      </w:r>
      <w:proofErr w:type="spellStart"/>
      <w:r>
        <w:rPr>
          <w:rtl/>
        </w:rPr>
        <w:t>איסר־זלמן</w:t>
      </w:r>
      <w:proofErr w:type="spellEnd"/>
      <w:r>
        <w:rPr>
          <w:rtl/>
        </w:rPr>
        <w:t xml:space="preserve"> מלצר </w:t>
      </w:r>
      <w:proofErr w:type="spellStart"/>
      <w:r>
        <w:rPr>
          <w:rtl/>
        </w:rPr>
        <w:t>בסלוצק</w:t>
      </w:r>
      <w:proofErr w:type="spellEnd"/>
      <w:r>
        <w:rPr>
          <w:rtl/>
        </w:rPr>
        <w:t xml:space="preserve">, בזמן שהסבא ביקר שם. הרבנית </w:t>
      </w:r>
      <w:proofErr w:type="spellStart"/>
      <w:r>
        <w:rPr>
          <w:rtl/>
        </w:rPr>
        <w:t>ביילה־הינדה</w:t>
      </w:r>
      <w:proofErr w:type="spellEnd"/>
      <w:r>
        <w:rPr>
          <w:rtl/>
        </w:rPr>
        <w:t xml:space="preserve">, אשתו של ר׳ </w:t>
      </w:r>
      <w:proofErr w:type="spellStart"/>
      <w:r>
        <w:rPr>
          <w:rtl/>
        </w:rPr>
        <w:t>איסר־זלמן</w:t>
      </w:r>
      <w:proofErr w:type="spellEnd"/>
      <w:r>
        <w:rPr>
          <w:rtl/>
        </w:rPr>
        <w:t xml:space="preserve">, העירה לבעלה: “בננו נעשה </w:t>
      </w:r>
      <w:proofErr w:type="spellStart"/>
      <w:r>
        <w:rPr>
          <w:rtl/>
        </w:rPr>
        <w:t>פארפרומט</w:t>
      </w:r>
      <w:proofErr w:type="spellEnd"/>
      <w:r>
        <w:rPr>
          <w:rtl/>
        </w:rPr>
        <w:t xml:space="preserve"> [אדוק יתר על המידה]! מה עלינו לעשות?” הסבא העיר: “זה בסדר; יהיה לו </w:t>
      </w:r>
      <w:proofErr w:type="spellStart"/>
      <w:r>
        <w:rPr>
          <w:rtl/>
        </w:rPr>
        <w:t>ל‘אפפאהל</w:t>
      </w:r>
      <w:proofErr w:type="spellEnd"/>
      <w:r>
        <w:rPr>
          <w:rtl/>
        </w:rPr>
        <w:t xml:space="preserve">’ [לנשירה].” כשנתבקש להסביר למה התכוון, אמר שאת האדיקות המופרזת ישיל הצעיר כשיתבגר, וכך תישאר לו בדיוק המידה הנכונה של אדיקות; אילו לא היה אדוק יתר על המידה עכשיו, </w:t>
      </w:r>
      <w:proofErr w:type="spellStart"/>
      <w:r>
        <w:rPr>
          <w:rtl/>
        </w:rPr>
        <w:t>הפרומקייט</w:t>
      </w:r>
      <w:proofErr w:type="spellEnd"/>
      <w:r>
        <w:rPr>
          <w:rtl/>
        </w:rPr>
        <w:t xml:space="preserve"> שעתיד “להשיל” הייתה מותירה אותו חסר באדיקות.</w:t>
      </w:r>
    </w:p>
    <w:p w14:paraId="42384A53" w14:textId="77777777" w:rsidR="00AB3647" w:rsidRDefault="00000000" w:rsidP="007923E9">
      <w:pPr>
        <w:pStyle w:val="4"/>
        <w:spacing w:line="276" w:lineRule="auto"/>
      </w:pPr>
      <w:r>
        <w:t>· הפסקה החמישית ·</w:t>
      </w:r>
    </w:p>
    <w:p w14:paraId="04881EA8" w14:textId="77777777" w:rsidR="00AB3647" w:rsidRDefault="00000000" w:rsidP="007923E9">
      <w:pPr>
        <w:pStyle w:val="5"/>
        <w:spacing w:line="276" w:lineRule="auto"/>
      </w:pPr>
      <w:r>
        <w:rPr>
          <w:bCs/>
          <w:szCs w:val="26"/>
        </w:rPr>
        <w:t>כלל של ר׳ נפתלי לאנשים בעלי שכל גדול.</w:t>
      </w:r>
    </w:p>
    <w:p w14:paraId="750CD7F6" w14:textId="77777777" w:rsidR="00AB3647" w:rsidRDefault="00000000" w:rsidP="007923E9">
      <w:pPr>
        <w:spacing w:after="120" w:line="276" w:lineRule="auto"/>
        <w:ind w:firstLine="283"/>
        <w:jc w:val="both"/>
      </w:pPr>
      <w:r>
        <w:rPr>
          <w:rtl/>
        </w:rPr>
        <w:t>הנחיה נוספת של ר׳ נפתלי שאבי חזר עליה</w:t>
      </w:r>
      <w:bookmarkStart w:id="5494" w:name="_fnr4153"/>
      <w:r>
        <w:rPr>
          <w:vertAlign w:val="superscript"/>
          <w:rtl/>
        </w:rPr>
        <w:footnoteReference w:id="4163" w:customMarkFollows="0"/>
      </w:r>
      <w:bookmarkEnd w:id="5494"/>
      <w:r>
        <w:rPr>
          <w:rtl/>
        </w:rPr>
        <w:t xml:space="preserve"> הייתה שאדם בעל שכל מן המעלה הראשונה ואישיות מדרגה שלישית הוא בעל מום, לא פחות מאדם בעל ראש גדול וגוף קטן: אדם גדול הוא מי שיש לו שכל מעולה ולב גדול כנגדו. השווה גם הערה 82 בפרק זה, ובה עוד סיפור קצר שאבי חזר עליו מפי ר׳ נפתלי.</w:t>
      </w:r>
    </w:p>
    <w:bookmarkStart w:id="5495" w:name="b4_excK"/>
    <w:bookmarkStart w:id="5496" w:name="b4_annexK"/>
    <w:p w14:paraId="08C5FCC5" w14:textId="77777777" w:rsidR="00AB3647" w:rsidRDefault="00000000" w:rsidP="007923E9">
      <w:pPr>
        <w:pStyle w:val="3"/>
        <w:pageBreakBefore w:val="0"/>
        <w:spacing w:line="276" w:lineRule="auto"/>
      </w:pPr>
      <w:r>
        <w:fldChar w:fldCharType="begin" w:dirty="true"/>
      </w:r>
      <w:r>
        <w:rPr>
          <w:rtl w:val="0"/>
        </w:rPr>
        <w:instrText>HYPERLINK \l "b4_note90</w:instrText>
      </w:r>
      <w:r>
        <w:instrText>"</w:instrText>
      </w:r>
      <w:r>
        <w:fldChar w:fldCharType="separate"/>
      </w:r>
      <w:r>
        <w:t>נספח יא</w:t>
      </w:r>
      <w:r>
        <w:fldChar w:fldCharType="end"/>
      </w:r>
      <w:bookmarkEnd w:id="5495"/>
      <w:bookmarkEnd w:id="5496"/>
    </w:p>
    <w:p w14:paraId="2E7EC38C" w14:textId="77777777" w:rsidR="00AB3647" w:rsidRDefault="00000000" w:rsidP="007923E9">
      <w:pPr>
        <w:pStyle w:val="af"/>
        <w:spacing w:line="276" w:lineRule="auto"/>
      </w:pPr>
      <w:r>
        <w:t>על פטירתו של ר׳ לייזר גורדון הנכבד בעת גיוס כספים בלונדון</w:t>
      </w:r>
    </w:p>
    <w:p w14:paraId="50208B41" w14:textId="77777777" w:rsidR="00AB3647" w:rsidRDefault="00000000" w:rsidP="007923E9">
      <w:pPr>
        <w:pStyle w:val="4"/>
        <w:spacing w:line="276" w:lineRule="auto"/>
      </w:pPr>
      <w:r>
        <w:t>· הפסקה הראשונה ·</w:t>
      </w:r>
    </w:p>
    <w:p w14:paraId="0B8B1BB3" w14:textId="77777777" w:rsidR="00AB3647" w:rsidRDefault="00000000" w:rsidP="007923E9">
      <w:pPr>
        <w:pStyle w:val="5"/>
        <w:spacing w:line="276" w:lineRule="auto"/>
      </w:pPr>
      <w:r>
        <w:rPr>
          <w:bCs/>
          <w:szCs w:val="26"/>
        </w:rPr>
        <w:t>ר׳ לייזר גורדון בא לקובנה.</w:t>
      </w:r>
    </w:p>
    <w:p w14:paraId="72B268C2" w14:textId="7427C000" w:rsidR="00AB3647" w:rsidRDefault="00000000" w:rsidP="007923E9">
      <w:pPr>
        <w:spacing w:after="120" w:line="276" w:lineRule="auto"/>
        <w:ind w:firstLine="283"/>
        <w:jc w:val="both"/>
      </w:pPr>
      <w:r>
        <w:rPr>
          <w:rtl/>
        </w:rPr>
        <w:t xml:space="preserve">שמעתי על ביקור זה מפי ר׳ קופל </w:t>
      </w:r>
      <w:proofErr w:type="spellStart"/>
      <w:r>
        <w:rPr>
          <w:rtl/>
        </w:rPr>
        <w:t>וולפרט</w:t>
      </w:r>
      <w:bookmarkStart w:id="5497" w:name="_fnr4154"/>
      <w:proofErr w:type="spellEnd"/>
      <w:r>
        <w:rPr>
          <w:vertAlign w:val="superscript"/>
          <w:rtl/>
        </w:rPr>
        <w:footnoteReference w:id="4164" w:customMarkFollows="0"/>
      </w:r>
      <w:bookmarkEnd w:id="5497"/>
      <w:r>
        <w:rPr>
          <w:rtl/>
        </w:rPr>
        <w:t xml:space="preserve">, ושיערתי מדעתי שר׳ לייזר היה בדרכו לפגוש את ר׳ </w:t>
      </w:r>
      <w:proofErr w:type="spellStart"/>
      <w:r>
        <w:rPr>
          <w:rtl/>
        </w:rPr>
        <w:t>חיים־עוזר</w:t>
      </w:r>
      <w:proofErr w:type="spellEnd"/>
      <w:r>
        <w:rPr>
          <w:rtl/>
        </w:rPr>
        <w:t xml:space="preserve"> – בעניין ייסוד ארגון “כנסת ישראל”</w:t>
      </w:r>
      <w:bookmarkStart w:id="5498" w:name="_fnr4155"/>
      <w:r>
        <w:rPr>
          <w:vertAlign w:val="superscript"/>
          <w:rtl/>
        </w:rPr>
        <w:footnoteReference w:id="4165" w:customMarkFollows="0"/>
      </w:r>
      <w:bookmarkEnd w:id="5498"/>
      <w:r>
        <w:rPr>
          <w:rtl/>
        </w:rPr>
        <w:t xml:space="preserve">, שהתרחש באותו חורף. השווה גם לסוף הפסקה הראשונה בהערה </w:t>
      </w:r>
      <w:r>
        <w:rPr>
          <w:rtl/>
        </w:rPr>
        <w:fldChar w:fldCharType="begin" w:dirty="true"/>
      </w:r>
      <w:r>
        <w:rPr>
          <w:rtl/>
        </w:rPr>
        <w:instrText xml:space="preserve"> REF b4_note126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126</w:t>
      </w:r>
      <w:r>
        <w:rPr>
          <w:rtl/>
        </w:rPr>
        <w:fldChar w:fldCharType="end"/>
      </w:r>
      <w:r>
        <w:rPr>
          <w:rtl/>
        </w:rPr>
        <w:t xml:space="preserve"> לעיל, שבה ציין רבנו גם ששמע את שיעורו של ר׳ לייזר גורדון.</w:t>
      </w:r>
    </w:p>
    <w:p w14:paraId="4169C64C" w14:textId="77777777" w:rsidR="00AB3647" w:rsidRDefault="00000000" w:rsidP="007923E9">
      <w:pPr>
        <w:pStyle w:val="4"/>
        <w:spacing w:line="276" w:lineRule="auto"/>
      </w:pPr>
      <w:r>
        <w:t>· הפסקה השנייה ·</w:t>
      </w:r>
    </w:p>
    <w:p w14:paraId="11E93A23" w14:textId="77777777" w:rsidR="00AB3647" w:rsidRDefault="00000000" w:rsidP="007923E9">
      <w:pPr>
        <w:pStyle w:val="5"/>
        <w:spacing w:line="276" w:lineRule="auto"/>
      </w:pPr>
      <w:r>
        <w:rPr>
          <w:bCs/>
          <w:szCs w:val="26"/>
        </w:rPr>
        <w:t>ר׳ לייזר גורדון מנהל קריירה רבנית בולטת.</w:t>
      </w:r>
    </w:p>
    <w:p w14:paraId="3B68131A" w14:textId="77777777" w:rsidR="00AB3647" w:rsidRDefault="00000000" w:rsidP="007923E9">
      <w:pPr>
        <w:spacing w:after="120" w:line="276" w:lineRule="auto"/>
        <w:ind w:firstLine="283"/>
        <w:jc w:val="both"/>
      </w:pPr>
      <w:r>
        <w:rPr>
          <w:rtl/>
        </w:rPr>
        <w:t xml:space="preserve">ר׳ לייזר גורדון נולד </w:t>
      </w:r>
      <w:proofErr w:type="spellStart"/>
      <w:r>
        <w:rPr>
          <w:rtl/>
        </w:rPr>
        <w:t>בתר״א</w:t>
      </w:r>
      <w:proofErr w:type="spellEnd"/>
      <w:r>
        <w:rPr>
          <w:rtl/>
        </w:rPr>
        <w:t xml:space="preserve"> ליד העיירה </w:t>
      </w:r>
      <w:proofErr w:type="spellStart"/>
      <w:r>
        <w:rPr>
          <w:rtl/>
        </w:rPr>
        <w:t>סוויר</w:t>
      </w:r>
      <w:proofErr w:type="spellEnd"/>
      <w:r>
        <w:rPr>
          <w:rtl/>
        </w:rPr>
        <w:t xml:space="preserve">. אביו היה בעל פונדק ותלמיד חכם מובהק, ומדי פעם נסע לדון בדברי תורה עם ר׳ חיים </w:t>
      </w:r>
      <w:proofErr w:type="spellStart"/>
      <w:r>
        <w:rPr>
          <w:rtl/>
        </w:rPr>
        <w:t>מוולוז׳ין</w:t>
      </w:r>
      <w:proofErr w:type="spellEnd"/>
      <w:r>
        <w:rPr>
          <w:rtl/>
        </w:rPr>
        <w:t xml:space="preserve">. בנעוריו המוקדמים למד ר׳ לייזר </w:t>
      </w:r>
      <w:proofErr w:type="spellStart"/>
      <w:r>
        <w:rPr>
          <w:rtl/>
        </w:rPr>
        <w:lastRenderedPageBreak/>
        <w:t>בזארעטשע</w:t>
      </w:r>
      <w:proofErr w:type="spellEnd"/>
      <w:r>
        <w:rPr>
          <w:rtl/>
        </w:rPr>
        <w:t xml:space="preserve"> (לאחר שר׳ ישראל </w:t>
      </w:r>
      <w:proofErr w:type="spellStart"/>
      <w:r>
        <w:rPr>
          <w:rtl/>
        </w:rPr>
        <w:t>סלנטר</w:t>
      </w:r>
      <w:proofErr w:type="spellEnd"/>
      <w:r>
        <w:rPr>
          <w:rtl/>
        </w:rPr>
        <w:t xml:space="preserve"> עזב אותה לקובנה, </w:t>
      </w:r>
      <w:proofErr w:type="spellStart"/>
      <w:r>
        <w:rPr>
          <w:rtl/>
        </w:rPr>
        <w:t>בתר״ט</w:t>
      </w:r>
      <w:proofErr w:type="spellEnd"/>
      <w:r>
        <w:rPr>
          <w:rtl/>
        </w:rPr>
        <w:t xml:space="preserve">), ונודע כעילוי יוצא דופן. אחר כך עבר לקובנה ולמד אצל ר׳ ישראל </w:t>
      </w:r>
      <w:proofErr w:type="spellStart"/>
      <w:r>
        <w:rPr>
          <w:rtl/>
        </w:rPr>
        <w:t>בקלויז</w:t>
      </w:r>
      <w:proofErr w:type="spellEnd"/>
      <w:r>
        <w:rPr>
          <w:rtl/>
        </w:rPr>
        <w:t xml:space="preserve"> </w:t>
      </w:r>
      <w:proofErr w:type="spellStart"/>
      <w:r>
        <w:rPr>
          <w:rtl/>
        </w:rPr>
        <w:t>נוויאז</w:t>
      </w:r>
      <w:proofErr w:type="spellEnd"/>
      <w:r>
        <w:rPr>
          <w:rtl/>
        </w:rPr>
        <w:t xml:space="preserve">׳. הוא נישא צעיר, </w:t>
      </w:r>
      <w:proofErr w:type="spellStart"/>
      <w:r>
        <w:rPr>
          <w:rtl/>
        </w:rPr>
        <w:t>בתרט״ז</w:t>
      </w:r>
      <w:proofErr w:type="spellEnd"/>
      <w:r>
        <w:rPr>
          <w:rtl/>
        </w:rPr>
        <w:t xml:space="preserve">, לבת משפחת </w:t>
      </w:r>
      <w:proofErr w:type="spellStart"/>
      <w:r>
        <w:rPr>
          <w:rtl/>
        </w:rPr>
        <w:t>נוויאז</w:t>
      </w:r>
      <w:proofErr w:type="spellEnd"/>
      <w:r>
        <w:rPr>
          <w:rtl/>
        </w:rPr>
        <w:t xml:space="preserve">׳ העשירה, וחמיו ר׳ </w:t>
      </w:r>
      <w:proofErr w:type="spellStart"/>
      <w:r>
        <w:rPr>
          <w:rtl/>
        </w:rPr>
        <w:t>אברהם־יצחק</w:t>
      </w:r>
      <w:proofErr w:type="spellEnd"/>
      <w:r>
        <w:rPr>
          <w:rtl/>
        </w:rPr>
        <w:t xml:space="preserve"> </w:t>
      </w:r>
      <w:proofErr w:type="spellStart"/>
      <w:r>
        <w:rPr>
          <w:rtl/>
        </w:rPr>
        <w:t>נוויאז</w:t>
      </w:r>
      <w:proofErr w:type="spellEnd"/>
      <w:r>
        <w:rPr>
          <w:rtl/>
        </w:rPr>
        <w:t>׳, מו״ץ מתנדב בקובנה, לא הניח לו לעזוב את לימודיו אפילו כדי לקבל רבנות.</w:t>
      </w:r>
    </w:p>
    <w:p w14:paraId="22B1A3BD" w14:textId="77777777" w:rsidR="00AB3647" w:rsidRDefault="00000000" w:rsidP="007923E9">
      <w:pPr>
        <w:spacing w:after="120" w:line="276" w:lineRule="auto"/>
        <w:ind w:firstLine="283"/>
        <w:jc w:val="both"/>
      </w:pPr>
      <w:r>
        <w:rPr>
          <w:rtl/>
        </w:rPr>
        <w:t xml:space="preserve">אבל לאחר שנפטר ר׳ </w:t>
      </w:r>
      <w:proofErr w:type="spellStart"/>
      <w:r>
        <w:rPr>
          <w:rtl/>
        </w:rPr>
        <w:t>אברהם־יצחק</w:t>
      </w:r>
      <w:proofErr w:type="spellEnd"/>
      <w:r>
        <w:rPr>
          <w:rtl/>
        </w:rPr>
        <w:t xml:space="preserve"> </w:t>
      </w:r>
      <w:proofErr w:type="spellStart"/>
      <w:r>
        <w:rPr>
          <w:rtl/>
        </w:rPr>
        <w:t>נוויאז</w:t>
      </w:r>
      <w:proofErr w:type="spellEnd"/>
      <w:r>
        <w:rPr>
          <w:rtl/>
        </w:rPr>
        <w:t xml:space="preserve">׳ </w:t>
      </w:r>
      <w:proofErr w:type="spellStart"/>
      <w:r>
        <w:rPr>
          <w:rtl/>
        </w:rPr>
        <w:t>בתרל״ד</w:t>
      </w:r>
      <w:proofErr w:type="spellEnd"/>
      <w:r>
        <w:rPr>
          <w:rtl/>
        </w:rPr>
        <w:t xml:space="preserve">, מילא ר׳ לייזר גורדון את מקומו שלושה חודשים, ואז התקבל לרב </w:t>
      </w:r>
      <w:proofErr w:type="spellStart"/>
      <w:r>
        <w:rPr>
          <w:rtl/>
        </w:rPr>
        <w:t>בקלם</w:t>
      </w:r>
      <w:proofErr w:type="spellEnd"/>
      <w:r>
        <w:rPr>
          <w:rtl/>
        </w:rPr>
        <w:t xml:space="preserve">, רבנות נכבדה. מאמרו של הרב חיים </w:t>
      </w:r>
      <w:proofErr w:type="spellStart"/>
      <w:r>
        <w:rPr>
          <w:rtl/>
        </w:rPr>
        <w:t>קרלינסקי</w:t>
      </w:r>
      <w:proofErr w:type="spellEnd"/>
      <w:r>
        <w:rPr>
          <w:rtl/>
        </w:rPr>
        <w:t xml:space="preserve"> על קלם </w:t>
      </w:r>
      <w:proofErr w:type="spellStart"/>
      <w:r>
        <w:rPr>
          <w:rtl/>
        </w:rPr>
        <w:t>ב“ליטע</w:t>
      </w:r>
      <w:proofErr w:type="spellEnd"/>
      <w:r>
        <w:rPr>
          <w:rtl/>
        </w:rPr>
        <w:t>”</w:t>
      </w:r>
      <w:bookmarkStart w:id="5499" w:name="_fnr4156"/>
      <w:r>
        <w:rPr>
          <w:vertAlign w:val="superscript"/>
          <w:rtl/>
        </w:rPr>
        <w:footnoteReference w:id="4166" w:customMarkFollows="0"/>
      </w:r>
      <w:bookmarkEnd w:id="5499"/>
      <w:r>
        <w:rPr>
          <w:rtl/>
        </w:rPr>
        <w:t xml:space="preserve"> מספר שהייתה בעיר מחלוקת בין </w:t>
      </w:r>
      <w:proofErr w:type="spellStart"/>
      <w:r>
        <w:rPr>
          <w:rtl/>
        </w:rPr>
        <w:t>ה“עמך</w:t>
      </w:r>
      <w:proofErr w:type="spellEnd"/>
      <w:r>
        <w:rPr>
          <w:rtl/>
        </w:rPr>
        <w:t>”</w:t>
      </w:r>
      <w:bookmarkStart w:id="5500" w:name="_fnr4157"/>
      <w:r>
        <w:rPr>
          <w:vertAlign w:val="superscript"/>
          <w:rtl/>
        </w:rPr>
        <w:footnoteReference w:id="4167" w:customMarkFollows="0"/>
      </w:r>
      <w:bookmarkEnd w:id="5500"/>
      <w:r>
        <w:rPr>
          <w:rtl/>
        </w:rPr>
        <w:t xml:space="preserve">, שרצו שר׳ יצחק </w:t>
      </w:r>
      <w:proofErr w:type="spellStart"/>
      <w:r>
        <w:rPr>
          <w:rtl/>
        </w:rPr>
        <w:t>הורוויץ</w:t>
      </w:r>
      <w:proofErr w:type="spellEnd"/>
      <w:r>
        <w:rPr>
          <w:rtl/>
        </w:rPr>
        <w:t xml:space="preserve"> יחליף את חמיו המנוח, ר׳ </w:t>
      </w:r>
      <w:proofErr w:type="spellStart"/>
      <w:r>
        <w:rPr>
          <w:rtl/>
        </w:rPr>
        <w:t>אליקום</w:t>
      </w:r>
      <w:proofErr w:type="spellEnd"/>
      <w:r>
        <w:rPr>
          <w:rtl/>
        </w:rPr>
        <w:t xml:space="preserve"> הלוי </w:t>
      </w:r>
      <w:proofErr w:type="spellStart"/>
      <w:r>
        <w:rPr>
          <w:rtl/>
        </w:rPr>
        <w:t>הורוויץ</w:t>
      </w:r>
      <w:proofErr w:type="spellEnd"/>
      <w:r>
        <w:rPr>
          <w:rtl/>
        </w:rPr>
        <w:t xml:space="preserve">, לבין </w:t>
      </w:r>
      <w:proofErr w:type="spellStart"/>
      <w:r>
        <w:rPr>
          <w:rtl/>
        </w:rPr>
        <w:t>ה“פני</w:t>
      </w:r>
      <w:proofErr w:type="spellEnd"/>
      <w:r>
        <w:rPr>
          <w:rtl/>
        </w:rPr>
        <w:t>”</w:t>
      </w:r>
      <w:bookmarkStart w:id="5501" w:name="_fnr4158"/>
      <w:r>
        <w:rPr>
          <w:vertAlign w:val="superscript"/>
          <w:rtl/>
        </w:rPr>
        <w:footnoteReference w:id="4168" w:customMarkFollows="0"/>
      </w:r>
      <w:bookmarkEnd w:id="5501"/>
      <w:r>
        <w:rPr>
          <w:rtl/>
        </w:rPr>
        <w:t xml:space="preserve">, שרצו להביא אדם מבחוץ. ר׳ לייב חסיד התערב, ויחד עם ר׳ ישראל </w:t>
      </w:r>
      <w:proofErr w:type="spellStart"/>
      <w:r>
        <w:rPr>
          <w:rtl/>
        </w:rPr>
        <w:t>סלנטר</w:t>
      </w:r>
      <w:proofErr w:type="spellEnd"/>
      <w:r>
        <w:rPr>
          <w:rtl/>
        </w:rPr>
        <w:t xml:space="preserve"> השיג פשרה: למנות את ר׳ יצחק למו״ץ, ולהביא את ר׳ לייזר גורדון לרב.</w:t>
      </w:r>
    </w:p>
    <w:p w14:paraId="13E35497" w14:textId="77777777" w:rsidR="00AB3647" w:rsidRDefault="00000000" w:rsidP="007923E9">
      <w:pPr>
        <w:spacing w:after="120" w:line="276" w:lineRule="auto"/>
        <w:ind w:firstLine="283"/>
        <w:jc w:val="both"/>
      </w:pPr>
      <w:r>
        <w:rPr>
          <w:rtl/>
        </w:rPr>
        <w:t xml:space="preserve">לפי מאמר </w:t>
      </w:r>
      <w:proofErr w:type="spellStart"/>
      <w:r>
        <w:rPr>
          <w:rtl/>
        </w:rPr>
        <w:t>ב“ליטע</w:t>
      </w:r>
      <w:proofErr w:type="spellEnd"/>
      <w:r>
        <w:rPr>
          <w:rtl/>
        </w:rPr>
        <w:t>”</w:t>
      </w:r>
      <w:bookmarkStart w:id="5502" w:name="_fnr4159"/>
      <w:r>
        <w:rPr>
          <w:vertAlign w:val="superscript"/>
          <w:rtl/>
        </w:rPr>
        <w:footnoteReference w:id="4169" w:customMarkFollows="0"/>
      </w:r>
      <w:bookmarkEnd w:id="5502"/>
      <w:r>
        <w:rPr>
          <w:rtl/>
        </w:rPr>
        <w:t xml:space="preserve"> על ר׳ </w:t>
      </w:r>
      <w:proofErr w:type="spellStart"/>
      <w:r>
        <w:rPr>
          <w:rtl/>
        </w:rPr>
        <w:t>יוסף־זכריה</w:t>
      </w:r>
      <w:proofErr w:type="spellEnd"/>
      <w:r>
        <w:rPr>
          <w:rtl/>
        </w:rPr>
        <w:t xml:space="preserve"> שטרן, רבה של שאוול (תרכ״א–תרס״ד), בא אליו ר׳ לייזר באותה עת לבקש את סמיכתו. ר׳ לייזר גורדון ביקש להתקבל לרב בלידס שבאנגליה, ומנהיגי הקהילה שם דרשו שכל מועמד יביא סמיכה מאותו גאון מפורסם. ר׳ </w:t>
      </w:r>
      <w:proofErr w:type="spellStart"/>
      <w:r>
        <w:rPr>
          <w:rtl/>
        </w:rPr>
        <w:t>יוסף־זכריה</w:t>
      </w:r>
      <w:proofErr w:type="spellEnd"/>
      <w:r>
        <w:rPr>
          <w:rtl/>
        </w:rPr>
        <w:t xml:space="preserve"> שטרן דחה אותו אחרי חילופי דברים מביכים</w:t>
      </w:r>
      <w:bookmarkStart w:id="5503" w:name="_fnr4160"/>
      <w:r>
        <w:rPr>
          <w:vertAlign w:val="superscript"/>
          <w:rtl/>
        </w:rPr>
        <w:footnoteReference w:id="4170" w:customMarkFollows="0"/>
      </w:r>
      <w:bookmarkEnd w:id="5503"/>
      <w:r>
        <w:rPr>
          <w:rtl/>
        </w:rPr>
        <w:t xml:space="preserve">, וכך נשאר ר׳ לייזר בליטא! אחרי קרוב לעשר שנות כהונה </w:t>
      </w:r>
      <w:proofErr w:type="spellStart"/>
      <w:r>
        <w:rPr>
          <w:rtl/>
        </w:rPr>
        <w:t>בקלם</w:t>
      </w:r>
      <w:proofErr w:type="spellEnd"/>
      <w:r>
        <w:rPr>
          <w:rtl/>
        </w:rPr>
        <w:t xml:space="preserve"> נתמנה ר׳ לייזר גורדון לרבה של </w:t>
      </w:r>
      <w:proofErr w:type="spellStart"/>
      <w:r>
        <w:rPr>
          <w:rtl/>
        </w:rPr>
        <w:t>סלבודקה</w:t>
      </w:r>
      <w:proofErr w:type="spellEnd"/>
      <w:r>
        <w:rPr>
          <w:rtl/>
        </w:rPr>
        <w:t xml:space="preserve">, ואחרי שישה חודשים עבר לרבנות </w:t>
      </w:r>
      <w:proofErr w:type="spellStart"/>
      <w:r>
        <w:rPr>
          <w:rtl/>
        </w:rPr>
        <w:t>טלז</w:t>
      </w:r>
      <w:proofErr w:type="spellEnd"/>
      <w:r>
        <w:rPr>
          <w:rtl/>
        </w:rPr>
        <w:t>, ושם נשאר עד סוף ימיו.</w:t>
      </w:r>
    </w:p>
    <w:p w14:paraId="1330F0E9" w14:textId="77777777" w:rsidR="00AB3647" w:rsidRDefault="00000000" w:rsidP="007923E9">
      <w:pPr>
        <w:pStyle w:val="4"/>
        <w:spacing w:line="276" w:lineRule="auto"/>
      </w:pPr>
      <w:r>
        <w:t>· הפסקה השלישית ·</w:t>
      </w:r>
    </w:p>
    <w:p w14:paraId="5796DC21" w14:textId="77777777" w:rsidR="00AB3647" w:rsidRDefault="00000000" w:rsidP="007923E9">
      <w:pPr>
        <w:pStyle w:val="5"/>
        <w:spacing w:line="276" w:lineRule="auto"/>
      </w:pPr>
      <w:r>
        <w:rPr>
          <w:bCs/>
          <w:szCs w:val="26"/>
        </w:rPr>
        <w:t xml:space="preserve">ר׳ לייזר גורדון נוסע ללונדון לגייס כספים – הרב הראשי סר הרמן אדלר מקבלו בחוסר הכנסת אורחים – האחרון הכיר את ר׳ לייזר מהתכתבות קודמת – הרב אדלר רומז שישיבת </w:t>
      </w:r>
      <w:proofErr w:type="spellStart"/>
      <w:r>
        <w:rPr>
          <w:bCs/>
          <w:szCs w:val="26"/>
        </w:rPr>
        <w:t>טלז</w:t>
      </w:r>
      <w:proofErr w:type="spellEnd"/>
      <w:r>
        <w:rPr>
          <w:bCs/>
          <w:szCs w:val="26"/>
        </w:rPr>
        <w:t xml:space="preserve"> כבר אינה קיימת – ר׳ לייזר מתארח אצל שוחט לשעבר </w:t>
      </w:r>
      <w:proofErr w:type="spellStart"/>
      <w:r>
        <w:rPr>
          <w:bCs/>
          <w:szCs w:val="26"/>
        </w:rPr>
        <w:t>מטלז</w:t>
      </w:r>
      <w:proofErr w:type="spellEnd"/>
      <w:r>
        <w:rPr>
          <w:bCs/>
          <w:szCs w:val="26"/>
        </w:rPr>
        <w:t xml:space="preserve"> ומבקש את מחילתו – ר׳ לייזר גורדון מבקש מחילה גם ממי שביקש בעבר את רבנות </w:t>
      </w:r>
      <w:proofErr w:type="spellStart"/>
      <w:r>
        <w:rPr>
          <w:bCs/>
          <w:szCs w:val="26"/>
        </w:rPr>
        <w:t>טלז</w:t>
      </w:r>
      <w:proofErr w:type="spellEnd"/>
      <w:r>
        <w:rPr>
          <w:bCs/>
          <w:szCs w:val="26"/>
        </w:rPr>
        <w:t xml:space="preserve"> – מוטל ספק בעצם הצורך בנסיעת ר׳ לייזר ללונדון – מותו מותיר את לונדון עם מצפון חבול.</w:t>
      </w:r>
    </w:p>
    <w:p w14:paraId="5187D4C0" w14:textId="77777777" w:rsidR="00AB3647" w:rsidRDefault="00000000" w:rsidP="007923E9">
      <w:pPr>
        <w:spacing w:after="120" w:line="276" w:lineRule="auto"/>
        <w:ind w:firstLine="283"/>
        <w:jc w:val="both"/>
      </w:pPr>
      <w:r>
        <w:rPr>
          <w:rtl/>
        </w:rPr>
        <w:t xml:space="preserve">שנה ושלושה רבעים אחרי המאורעות המתוארים כאן החריבה שרפה את רוב העיר </w:t>
      </w:r>
      <w:proofErr w:type="spellStart"/>
      <w:r>
        <w:rPr>
          <w:rtl/>
        </w:rPr>
        <w:t>טלז</w:t>
      </w:r>
      <w:proofErr w:type="spellEnd"/>
      <w:r>
        <w:rPr>
          <w:rtl/>
        </w:rPr>
        <w:t xml:space="preserve">, ובכלל זה את בניין הישיבה. כעבור שנה וחצי, </w:t>
      </w:r>
      <w:proofErr w:type="spellStart"/>
      <w:r>
        <w:rPr>
          <w:rtl/>
        </w:rPr>
        <w:t>בתר״ע</w:t>
      </w:r>
      <w:proofErr w:type="spellEnd"/>
      <w:r>
        <w:rPr>
          <w:rtl/>
        </w:rPr>
        <w:t xml:space="preserve">, נאלץ ר׳ לייזר לנסוע ללונדון למסע </w:t>
      </w:r>
      <w:r>
        <w:rPr>
          <w:rtl/>
        </w:rPr>
        <w:lastRenderedPageBreak/>
        <w:t xml:space="preserve">התרמה, ועמו ר׳ אהרן </w:t>
      </w:r>
      <w:proofErr w:type="spellStart"/>
      <w:r>
        <w:rPr>
          <w:rtl/>
        </w:rPr>
        <w:t>וולקין</w:t>
      </w:r>
      <w:proofErr w:type="spellEnd"/>
      <w:r>
        <w:rPr>
          <w:rtl/>
        </w:rPr>
        <w:t xml:space="preserve">, לימים רבה של </w:t>
      </w:r>
      <w:proofErr w:type="spellStart"/>
      <w:r>
        <w:rPr>
          <w:rtl/>
        </w:rPr>
        <w:t>פינסק</w:t>
      </w:r>
      <w:bookmarkStart w:id="5504" w:name="_fnr4161"/>
      <w:bookmarkStart w:id="5505" w:name="pr_f_4046"/>
      <w:proofErr w:type="spellEnd"/>
      <w:r>
        <w:rPr>
          <w:vertAlign w:val="superscript"/>
          <w:rtl/>
        </w:rPr>
        <w:footnoteReference w:id="4171" w:customMarkFollows="0"/>
      </w:r>
      <w:bookmarkEnd w:id="5504"/>
      <w:bookmarkEnd w:id="5505"/>
      <w:r>
        <w:rPr>
          <w:rtl/>
        </w:rPr>
        <w:t>. בלונדון לקה ר׳ לייזר בהתקף לב קטלני</w:t>
      </w:r>
      <w:bookmarkStart w:id="5506" w:name="_fnr4162"/>
      <w:bookmarkStart w:id="5507" w:name="pr_f_4047"/>
      <w:r>
        <w:rPr>
          <w:vertAlign w:val="superscript"/>
          <w:rtl/>
        </w:rPr>
        <w:footnoteReference w:id="4172" w:customMarkFollows="0"/>
      </w:r>
      <w:bookmarkEnd w:id="5506"/>
      <w:bookmarkEnd w:id="5507"/>
      <w:r>
        <w:rPr>
          <w:rtl/>
        </w:rPr>
        <w:t>. לא מעטים בלונדון האשימו את עצמם</w:t>
      </w:r>
      <w:bookmarkStart w:id="5508" w:name="_fnr4163"/>
      <w:r>
        <w:rPr>
          <w:vertAlign w:val="superscript"/>
          <w:rtl/>
        </w:rPr>
        <w:footnoteReference w:id="4173" w:customMarkFollows="0"/>
      </w:r>
      <w:bookmarkEnd w:id="5508"/>
      <w:r>
        <w:rPr>
          <w:rtl/>
        </w:rPr>
        <w:t xml:space="preserve"> – או אחרים – באסון.</w:t>
      </w:r>
    </w:p>
    <w:p w14:paraId="62F99FC4" w14:textId="77777777" w:rsidR="00AB3647" w:rsidRDefault="00000000" w:rsidP="007923E9">
      <w:pPr>
        <w:spacing w:after="120" w:line="276" w:lineRule="auto"/>
        <w:ind w:firstLine="283"/>
        <w:jc w:val="both"/>
      </w:pPr>
      <w:r>
        <w:rPr>
          <w:rtl/>
        </w:rPr>
        <w:t>“גיבורי האורתודוקסיה”, מאת יוליוס יונג</w:t>
      </w:r>
      <w:bookmarkStart w:id="5509" w:name="_fnr4164"/>
      <w:r>
        <w:rPr>
          <w:vertAlign w:val="superscript"/>
          <w:rtl/>
        </w:rPr>
        <w:footnoteReference w:id="4174" w:customMarkFollows="0"/>
      </w:r>
      <w:bookmarkEnd w:id="5509"/>
      <w:r>
        <w:rPr>
          <w:rtl/>
        </w:rPr>
        <w:t>, מספר</w:t>
      </w:r>
      <w:bookmarkStart w:id="5510" w:name="_fnr4165"/>
      <w:r>
        <w:rPr>
          <w:vertAlign w:val="superscript"/>
          <w:rtl/>
        </w:rPr>
        <w:footnoteReference w:id="4175" w:customMarkFollows="0"/>
      </w:r>
      <w:bookmarkEnd w:id="5510"/>
      <w:r>
        <w:rPr>
          <w:rtl/>
        </w:rPr>
        <w:t xml:space="preserve">: “הרב הראשי, ר׳ </w:t>
      </w:r>
      <w:proofErr w:type="spellStart"/>
      <w:r>
        <w:rPr>
          <w:rtl/>
        </w:rPr>
        <w:t>נפתלי־צבי־הירש</w:t>
      </w:r>
      <w:proofErr w:type="spellEnd"/>
      <w:r>
        <w:rPr>
          <w:rtl/>
        </w:rPr>
        <w:t xml:space="preserve"> [סר הרמן] אדלר</w:t>
      </w:r>
      <w:bookmarkStart w:id="5511" w:name="_fnr4166"/>
      <w:r>
        <w:rPr>
          <w:vertAlign w:val="superscript"/>
          <w:rtl/>
        </w:rPr>
        <w:footnoteReference w:id="4176" w:customMarkFollows="0"/>
      </w:r>
      <w:bookmarkEnd w:id="5511"/>
      <w:r>
        <w:rPr>
          <w:rtl/>
        </w:rPr>
        <w:t xml:space="preserve">, הסכים לקבל את ר׳ לייזר גורדון, ולאחר שהניח לו להמתין זמן מה, קרא לו למשרדו. בתשובה לבקשת הגאון [ר׳ לייזר גורדון] לסיוע כספי, השיב הרב הראשי בקיצור שאינו יכול לעזור לישיבה, שכן יש צרכים מקומיים דחופים יותר.” לפי מקורות אחרים, חילופי הדברים בין ר׳ לייזר גורדון לרב אדלר היו מכאיבים </w:t>
      </w:r>
      <w:proofErr w:type="spellStart"/>
      <w:r>
        <w:rPr>
          <w:rtl/>
        </w:rPr>
        <w:t>לר</w:t>
      </w:r>
      <w:proofErr w:type="spellEnd"/>
      <w:r>
        <w:rPr>
          <w:rtl/>
        </w:rPr>
        <w:t>׳ לייזר עוד יותר.</w:t>
      </w:r>
    </w:p>
    <w:p w14:paraId="1D731020" w14:textId="77777777" w:rsidR="00AB3647" w:rsidRDefault="00000000" w:rsidP="007923E9">
      <w:pPr>
        <w:spacing w:after="120" w:line="276" w:lineRule="auto"/>
        <w:ind w:firstLine="283"/>
        <w:jc w:val="both"/>
      </w:pPr>
      <w:r>
        <w:rPr>
          <w:rtl/>
        </w:rPr>
        <w:t xml:space="preserve">אצל בערל </w:t>
      </w:r>
      <w:proofErr w:type="spellStart"/>
      <w:r>
        <w:rPr>
          <w:rtl/>
        </w:rPr>
        <w:t>קגן</w:t>
      </w:r>
      <w:bookmarkStart w:id="5512" w:name="_fnr4167"/>
      <w:proofErr w:type="spellEnd"/>
      <w:r>
        <w:rPr>
          <w:vertAlign w:val="superscript"/>
          <w:rtl/>
        </w:rPr>
        <w:footnoteReference w:id="4177" w:customMarkFollows="0"/>
      </w:r>
      <w:bookmarkEnd w:id="5512"/>
      <w:r>
        <w:rPr>
          <w:rtl/>
        </w:rPr>
        <w:t xml:space="preserve"> מצוטט רב לונדוני שנוי במחלוקת, שכתב שכאשר הוצג ר׳ לייזר לפני הרב הראשי, העיר הרב הראשי שמעולם לא שמע על רב של </w:t>
      </w:r>
      <w:proofErr w:type="spellStart"/>
      <w:r>
        <w:rPr>
          <w:rtl/>
        </w:rPr>
        <w:t>טלז</w:t>
      </w:r>
      <w:proofErr w:type="spellEnd"/>
      <w:r>
        <w:rPr>
          <w:rtl/>
        </w:rPr>
        <w:t xml:space="preserve"> בשם גורדון, ובהמשך השיחה פגע הרב אדלר במבקר עוד יותר. בהלווייתו של ר׳ לייזר ביקש הרב הראשי מחילה. אבל דיווח זה הופרך למעשה בידי ר׳ דב היימן</w:t>
      </w:r>
      <w:bookmarkStart w:id="5513" w:name="_fnr4168"/>
      <w:r>
        <w:rPr>
          <w:vertAlign w:val="superscript"/>
          <w:rtl/>
        </w:rPr>
        <w:footnoteReference w:id="4178" w:customMarkFollows="0"/>
      </w:r>
      <w:bookmarkEnd w:id="5513"/>
      <w:r>
        <w:rPr>
          <w:rtl/>
        </w:rPr>
        <w:t>, שאביו ר׳ אהרן</w:t>
      </w:r>
      <w:bookmarkStart w:id="5514" w:name="_fnr4169"/>
      <w:r>
        <w:rPr>
          <w:vertAlign w:val="superscript"/>
          <w:rtl/>
        </w:rPr>
        <w:footnoteReference w:id="4179" w:customMarkFollows="0"/>
      </w:r>
      <w:bookmarkEnd w:id="5514"/>
      <w:r>
        <w:rPr>
          <w:rtl/>
        </w:rPr>
        <w:t xml:space="preserve"> התגורר בלונדון והשתתף </w:t>
      </w:r>
      <w:proofErr w:type="spellStart"/>
      <w:r>
        <w:rPr>
          <w:rtl/>
        </w:rPr>
        <w:t>בטהרת</w:t>
      </w:r>
      <w:proofErr w:type="spellEnd"/>
      <w:r>
        <w:rPr>
          <w:rtl/>
        </w:rPr>
        <w:t xml:space="preserve"> ר׳ לייזר גורדון.</w:t>
      </w:r>
    </w:p>
    <w:p w14:paraId="623E6102" w14:textId="77777777" w:rsidR="00AB3647" w:rsidRDefault="00000000" w:rsidP="007923E9">
      <w:pPr>
        <w:spacing w:after="120" w:line="276" w:lineRule="auto"/>
        <w:ind w:firstLine="283"/>
        <w:jc w:val="both"/>
      </w:pPr>
      <w:r>
        <w:rPr>
          <w:rtl/>
        </w:rPr>
        <w:t xml:space="preserve">בקרב הממסד היהודי הייתה סלידה כללית מבואם של יהודים ממזרח אירופה. מאה אלף מהם באו לאנגליה בשני העשורים שבין תרמ״ה </w:t>
      </w:r>
      <w:proofErr w:type="spellStart"/>
      <w:r>
        <w:rPr>
          <w:rtl/>
        </w:rPr>
        <w:t>לתרס״ה</w:t>
      </w:r>
      <w:proofErr w:type="spellEnd"/>
      <w:r>
        <w:rPr>
          <w:rtl/>
        </w:rPr>
        <w:t xml:space="preserve"> – מספר השווה למספר היהודים ילידי אנגליה והמהגרים היהודים ממערב אירופה גם יחד. “</w:t>
      </w:r>
      <w:proofErr w:type="spellStart"/>
      <w:r>
        <w:rPr>
          <w:rtl/>
        </w:rPr>
        <w:t>זכרון</w:t>
      </w:r>
      <w:proofErr w:type="spellEnd"/>
      <w:r>
        <w:rPr>
          <w:rtl/>
        </w:rPr>
        <w:t xml:space="preserve"> יעקב” מספר</w:t>
      </w:r>
      <w:bookmarkStart w:id="5515" w:name="_fnr4170"/>
      <w:r>
        <w:rPr>
          <w:vertAlign w:val="superscript"/>
          <w:rtl/>
        </w:rPr>
        <w:footnoteReference w:id="4180" w:customMarkFollows="0"/>
      </w:r>
      <w:bookmarkEnd w:id="5515"/>
      <w:r>
        <w:rPr>
          <w:rtl/>
        </w:rPr>
        <w:t xml:space="preserve"> שמזכיר הקהילה היהודית בלונדון, ד״ר אשר </w:t>
      </w:r>
      <w:proofErr w:type="spellStart"/>
      <w:r>
        <w:rPr>
          <w:rtl/>
        </w:rPr>
        <w:t>אשר</w:t>
      </w:r>
      <w:proofErr w:type="spellEnd"/>
      <w:r>
        <w:rPr>
          <w:rtl/>
        </w:rPr>
        <w:t xml:space="preserve">, וחבר הפרלמנט סר סמואל </w:t>
      </w:r>
      <w:proofErr w:type="spellStart"/>
      <w:r>
        <w:rPr>
          <w:rtl/>
        </w:rPr>
        <w:t>מונטגיו</w:t>
      </w:r>
      <w:proofErr w:type="spellEnd"/>
      <w:r>
        <w:rPr>
          <w:rtl/>
        </w:rPr>
        <w:t xml:space="preserve"> באו בשנת 1882 לביקור אישי </w:t>
      </w:r>
      <w:proofErr w:type="spellStart"/>
      <w:r>
        <w:rPr>
          <w:rtl/>
        </w:rPr>
        <w:t>בלבוב</w:t>
      </w:r>
      <w:proofErr w:type="spellEnd"/>
      <w:r>
        <w:rPr>
          <w:rtl/>
        </w:rPr>
        <w:t xml:space="preserve"> (למברג). מטרתם הייתה להשפיע על מנהיגי היהודים ברוסיה שיפעלו נגד ההגירה לאנגליה, “כדי שלא לעורר את זעמם של האנגלים”</w:t>
      </w:r>
      <w:bookmarkStart w:id="5516" w:name="_fnr4171"/>
      <w:r>
        <w:rPr>
          <w:vertAlign w:val="superscript"/>
          <w:rtl/>
        </w:rPr>
        <w:footnoteReference w:id="4181" w:customMarkFollows="0"/>
      </w:r>
      <w:bookmarkEnd w:id="5516"/>
      <w:r>
        <w:rPr>
          <w:rtl/>
        </w:rPr>
        <w:t>.</w:t>
      </w:r>
    </w:p>
    <w:p w14:paraId="0E1C6B36" w14:textId="77777777" w:rsidR="00AB3647" w:rsidRDefault="00000000" w:rsidP="007923E9">
      <w:pPr>
        <w:spacing w:after="120" w:line="276" w:lineRule="auto"/>
        <w:ind w:firstLine="283"/>
        <w:jc w:val="both"/>
      </w:pPr>
      <w:r>
        <w:rPr>
          <w:rtl/>
        </w:rPr>
        <w:t xml:space="preserve">אומנם הרב אדלר, המנהיג הרוחני של הממסד היהודי, הסתייג מן הבאים החדשים ממזרח אירופה, אבל את שמו של רבה של </w:t>
      </w:r>
      <w:proofErr w:type="spellStart"/>
      <w:r>
        <w:rPr>
          <w:rtl/>
        </w:rPr>
        <w:t>טלז</w:t>
      </w:r>
      <w:proofErr w:type="spellEnd"/>
      <w:r>
        <w:rPr>
          <w:rtl/>
        </w:rPr>
        <w:t xml:space="preserve"> הוא בוודאי ידע. שכן בזמן כלשהו במחצית השנייה </w:t>
      </w:r>
      <w:r>
        <w:rPr>
          <w:rtl/>
        </w:rPr>
        <w:lastRenderedPageBreak/>
        <w:t xml:space="preserve">של תרס״ו כתב ר׳ לייזר גורדון, כאחד מחברי “ועד הרבנים לטובת הישיבות והחזקת </w:t>
      </w:r>
      <w:proofErr w:type="spellStart"/>
      <w:r>
        <w:rPr>
          <w:rtl/>
        </w:rPr>
        <w:t>תורה״ק</w:t>
      </w:r>
      <w:proofErr w:type="spellEnd"/>
      <w:r>
        <w:rPr>
          <w:rtl/>
        </w:rPr>
        <w:t xml:space="preserve"> במדינת </w:t>
      </w:r>
      <w:proofErr w:type="spellStart"/>
      <w:r>
        <w:rPr>
          <w:rtl/>
        </w:rPr>
        <w:t>רוססיא</w:t>
      </w:r>
      <w:proofErr w:type="spellEnd"/>
      <w:r>
        <w:rPr>
          <w:rtl/>
        </w:rPr>
        <w:t xml:space="preserve">”, אל הרב הראשי אדלר ישירות </w:t>
      </w:r>
      <w:proofErr w:type="spellStart"/>
      <w:r>
        <w:rPr>
          <w:rtl/>
        </w:rPr>
        <w:t>מטלז</w:t>
      </w:r>
      <w:proofErr w:type="spellEnd"/>
      <w:r>
        <w:rPr>
          <w:rtl/>
        </w:rPr>
        <w:t xml:space="preserve">, בבקשת כספים, שלא נענתה, למען הישיבות שייצג הוועד. בוועד היו ר׳ חיים </w:t>
      </w:r>
      <w:proofErr w:type="spellStart"/>
      <w:r>
        <w:rPr>
          <w:rtl/>
        </w:rPr>
        <w:t>סולובייצ׳יק</w:t>
      </w:r>
      <w:proofErr w:type="spellEnd"/>
      <w:r>
        <w:rPr>
          <w:rtl/>
        </w:rPr>
        <w:t xml:space="preserve">, ר׳ לייזר גורדון, ר׳ לייזר </w:t>
      </w:r>
      <w:proofErr w:type="spellStart"/>
      <w:r>
        <w:rPr>
          <w:rtl/>
        </w:rPr>
        <w:t>רבינוביץ</w:t>
      </w:r>
      <w:proofErr w:type="spellEnd"/>
      <w:r>
        <w:rPr>
          <w:rtl/>
        </w:rPr>
        <w:t xml:space="preserve"> ממינסק, ר׳ </w:t>
      </w:r>
      <w:proofErr w:type="spellStart"/>
      <w:r>
        <w:rPr>
          <w:rtl/>
        </w:rPr>
        <w:t>צבי־הירש</w:t>
      </w:r>
      <w:proofErr w:type="spellEnd"/>
      <w:r>
        <w:rPr>
          <w:rtl/>
        </w:rPr>
        <w:t xml:space="preserve"> </w:t>
      </w:r>
      <w:proofErr w:type="spellStart"/>
      <w:r>
        <w:rPr>
          <w:rtl/>
        </w:rPr>
        <w:t>רבינוביץ</w:t>
      </w:r>
      <w:proofErr w:type="spellEnd"/>
      <w:r>
        <w:rPr>
          <w:rtl/>
        </w:rPr>
        <w:t xml:space="preserve"> מקובנה ור׳ </w:t>
      </w:r>
      <w:proofErr w:type="spellStart"/>
      <w:r>
        <w:rPr>
          <w:rtl/>
        </w:rPr>
        <w:t>חיים־עוזר</w:t>
      </w:r>
      <w:proofErr w:type="spellEnd"/>
      <w:r>
        <w:rPr>
          <w:rtl/>
        </w:rPr>
        <w:t xml:space="preserve"> </w:t>
      </w:r>
      <w:proofErr w:type="spellStart"/>
      <w:r>
        <w:rPr>
          <w:rtl/>
        </w:rPr>
        <w:t>גרודזנסקי</w:t>
      </w:r>
      <w:proofErr w:type="spellEnd"/>
      <w:r>
        <w:rPr>
          <w:rtl/>
        </w:rPr>
        <w:t xml:space="preserve"> מווילנה, והוא העניק את תמיכתו לחמש ישיבות ששמותיהן לא פורטו</w:t>
      </w:r>
      <w:bookmarkStart w:id="5517" w:name="_fnr4172"/>
      <w:r>
        <w:rPr>
          <w:vertAlign w:val="superscript"/>
          <w:rtl/>
        </w:rPr>
        <w:footnoteReference w:id="4182" w:customMarkFollows="0"/>
      </w:r>
      <w:bookmarkEnd w:id="5517"/>
      <w:r>
        <w:rPr>
          <w:rtl/>
        </w:rPr>
        <w:t xml:space="preserve">. השווה לשני מכתבים של ר׳ לייזר גורדון אל הרב הלונדוני ר׳ </w:t>
      </w:r>
      <w:proofErr w:type="spellStart"/>
      <w:r>
        <w:rPr>
          <w:rtl/>
        </w:rPr>
        <w:t>משה־אביגדור</w:t>
      </w:r>
      <w:proofErr w:type="spellEnd"/>
      <w:r>
        <w:rPr>
          <w:rtl/>
        </w:rPr>
        <w:t xml:space="preserve"> </w:t>
      </w:r>
      <w:proofErr w:type="spellStart"/>
      <w:r>
        <w:rPr>
          <w:rtl/>
        </w:rPr>
        <w:t>חייקין</w:t>
      </w:r>
      <w:proofErr w:type="spellEnd"/>
      <w:r>
        <w:rPr>
          <w:rtl/>
        </w:rPr>
        <w:t>, שפרסם ר׳ דב היימן</w:t>
      </w:r>
      <w:bookmarkStart w:id="5518" w:name="_fnr4173"/>
      <w:r>
        <w:rPr>
          <w:vertAlign w:val="superscript"/>
          <w:rtl/>
        </w:rPr>
        <w:footnoteReference w:id="4183" w:customMarkFollows="0"/>
      </w:r>
      <w:bookmarkEnd w:id="5518"/>
      <w:r>
        <w:rPr>
          <w:rtl/>
        </w:rPr>
        <w:t xml:space="preserve">, מז׳ בחשוון תרס״ז ומכ״ד בכסלו תרס״ז. המכתבים מזכירים את המכתב ששלח ר׳ לייזר לרב אדלר “בשנה שעברה”, כלומר </w:t>
      </w:r>
      <w:proofErr w:type="spellStart"/>
      <w:r>
        <w:rPr>
          <w:rtl/>
        </w:rPr>
        <w:t>בתרס״ו</w:t>
      </w:r>
      <w:proofErr w:type="spellEnd"/>
      <w:r>
        <w:rPr>
          <w:rtl/>
        </w:rPr>
        <w:t xml:space="preserve"> (1905–ראשית 1906), ארבע שנים לפני פגישתם המאכזבת פנים אל פנים.</w:t>
      </w:r>
    </w:p>
    <w:p w14:paraId="7349B627" w14:textId="77777777" w:rsidR="00AB3647" w:rsidRDefault="00000000" w:rsidP="007923E9">
      <w:pPr>
        <w:spacing w:after="120" w:line="276" w:lineRule="auto"/>
        <w:ind w:firstLine="283"/>
        <w:jc w:val="both"/>
      </w:pPr>
      <w:r>
        <w:rPr>
          <w:rtl/>
        </w:rPr>
        <w:t xml:space="preserve">יתרה מזו, הרב אדלר ידע שר׳ לייזר גורדון הוא רבה של </w:t>
      </w:r>
      <w:proofErr w:type="spellStart"/>
      <w:r>
        <w:rPr>
          <w:rtl/>
        </w:rPr>
        <w:t>טלז</w:t>
      </w:r>
      <w:proofErr w:type="spellEnd"/>
      <w:r>
        <w:rPr>
          <w:rtl/>
        </w:rPr>
        <w:t xml:space="preserve"> אפילו </w:t>
      </w:r>
      <w:proofErr w:type="spellStart"/>
      <w:r>
        <w:rPr>
          <w:rtl/>
        </w:rPr>
        <w:t>ארבע־עשרה</w:t>
      </w:r>
      <w:proofErr w:type="spellEnd"/>
      <w:r>
        <w:rPr>
          <w:rtl/>
        </w:rPr>
        <w:t xml:space="preserve"> שנים לפני ההתכתבות הזאת. כאשר ראה הרב אדלר </w:t>
      </w:r>
      <w:proofErr w:type="spellStart"/>
      <w:r>
        <w:rPr>
          <w:rtl/>
        </w:rPr>
        <w:t>ש“יהודי</w:t>
      </w:r>
      <w:proofErr w:type="spellEnd"/>
      <w:r>
        <w:rPr>
          <w:rtl/>
        </w:rPr>
        <w:t xml:space="preserve"> מזרח אירופה מרדו” בו והקימו ארגון כשרות משלהם בחסות בית הכנסת מחזיקי הדת, שבראשו עמד ר׳ </w:t>
      </w:r>
      <w:proofErr w:type="spellStart"/>
      <w:r>
        <w:rPr>
          <w:rtl/>
        </w:rPr>
        <w:t>אברהם־אבא</w:t>
      </w:r>
      <w:proofErr w:type="spellEnd"/>
      <w:r>
        <w:rPr>
          <w:rtl/>
        </w:rPr>
        <w:t xml:space="preserve"> ורנר, פנה הרב הראשי לרבנים מפורסמים ומכובדים ממזרח אירופה שיאסרו הקמת גוף שחיטה נפרד. </w:t>
      </w:r>
      <w:proofErr w:type="spellStart"/>
      <w:r>
        <w:rPr>
          <w:rtl/>
        </w:rPr>
        <w:t>בתרנ״ב</w:t>
      </w:r>
      <w:proofErr w:type="spellEnd"/>
      <w:r>
        <w:rPr>
          <w:rtl/>
        </w:rPr>
        <w:t xml:space="preserve"> השיג מכתבים מר׳ </w:t>
      </w:r>
      <w:proofErr w:type="spellStart"/>
      <w:r>
        <w:rPr>
          <w:rtl/>
        </w:rPr>
        <w:t>יצחק־אלחנן</w:t>
      </w:r>
      <w:proofErr w:type="spellEnd"/>
      <w:r>
        <w:rPr>
          <w:rtl/>
        </w:rPr>
        <w:t xml:space="preserve">, ר׳ לייזר </w:t>
      </w:r>
      <w:proofErr w:type="spellStart"/>
      <w:r>
        <w:rPr>
          <w:rtl/>
        </w:rPr>
        <w:t>טלזר</w:t>
      </w:r>
      <w:proofErr w:type="spellEnd"/>
      <w:r>
        <w:rPr>
          <w:rtl/>
        </w:rPr>
        <w:t xml:space="preserve">, ר׳ </w:t>
      </w:r>
      <w:proofErr w:type="spellStart"/>
      <w:r>
        <w:rPr>
          <w:rtl/>
        </w:rPr>
        <w:t>יהושע׳לה</w:t>
      </w:r>
      <w:proofErr w:type="spellEnd"/>
      <w:r>
        <w:rPr>
          <w:rtl/>
        </w:rPr>
        <w:t xml:space="preserve"> </w:t>
      </w:r>
      <w:proofErr w:type="spellStart"/>
      <w:r>
        <w:rPr>
          <w:rtl/>
        </w:rPr>
        <w:t>קוטנר</w:t>
      </w:r>
      <w:proofErr w:type="spellEnd"/>
      <w:r>
        <w:rPr>
          <w:rtl/>
        </w:rPr>
        <w:t xml:space="preserve"> </w:t>
      </w:r>
      <w:proofErr w:type="spellStart"/>
      <w:r>
        <w:rPr>
          <w:rtl/>
        </w:rPr>
        <w:t>והנצי״ב</w:t>
      </w:r>
      <w:proofErr w:type="spellEnd"/>
      <w:r>
        <w:rPr>
          <w:rtl/>
        </w:rPr>
        <w:t>, שהכריזו על האיסור</w:t>
      </w:r>
      <w:bookmarkStart w:id="5519" w:name="_fnr4174"/>
      <w:r>
        <w:rPr>
          <w:vertAlign w:val="superscript"/>
          <w:rtl/>
        </w:rPr>
        <w:footnoteReference w:id="4184" w:customMarkFollows="0"/>
      </w:r>
      <w:bookmarkEnd w:id="5519"/>
      <w:r>
        <w:rPr>
          <w:rtl/>
        </w:rPr>
        <w:t xml:space="preserve">. הדיווח אצל בערל </w:t>
      </w:r>
      <w:proofErr w:type="spellStart"/>
      <w:r>
        <w:rPr>
          <w:rtl/>
        </w:rPr>
        <w:t>קגן</w:t>
      </w:r>
      <w:proofErr w:type="spellEnd"/>
      <w:r>
        <w:rPr>
          <w:rtl/>
        </w:rPr>
        <w:t xml:space="preserve">, שלפיו טען הרב הראשי שמעולם לא שמע שיש </w:t>
      </w:r>
      <w:proofErr w:type="spellStart"/>
      <w:r>
        <w:rPr>
          <w:rtl/>
        </w:rPr>
        <w:t>בטלז</w:t>
      </w:r>
      <w:proofErr w:type="spellEnd"/>
      <w:r>
        <w:rPr>
          <w:rtl/>
        </w:rPr>
        <w:t xml:space="preserve"> רב בשם ר׳ לייזר גורדון, הופרך אפוא למעשה.</w:t>
      </w:r>
    </w:p>
    <w:p w14:paraId="6DDDF791" w14:textId="77777777" w:rsidR="00AB3647" w:rsidRDefault="00000000" w:rsidP="007923E9">
      <w:pPr>
        <w:spacing w:after="120" w:line="276" w:lineRule="auto"/>
        <w:ind w:firstLine="283"/>
        <w:jc w:val="both"/>
      </w:pPr>
      <w:r>
        <w:rPr>
          <w:rtl/>
        </w:rPr>
        <w:t xml:space="preserve">גרסה אחרת לדברי הפתיחה של הרב אדלר </w:t>
      </w:r>
      <w:proofErr w:type="spellStart"/>
      <w:r>
        <w:rPr>
          <w:rtl/>
        </w:rPr>
        <w:t>לר</w:t>
      </w:r>
      <w:proofErr w:type="spellEnd"/>
      <w:r>
        <w:rPr>
          <w:rtl/>
        </w:rPr>
        <w:t xml:space="preserve">׳ לייזר גורדון מסר ר׳ משה </w:t>
      </w:r>
      <w:proofErr w:type="spellStart"/>
      <w:r>
        <w:rPr>
          <w:rtl/>
        </w:rPr>
        <w:t>רבינוביץ</w:t>
      </w:r>
      <w:bookmarkStart w:id="5520" w:name="_fnr4175"/>
      <w:proofErr w:type="spellEnd"/>
      <w:r>
        <w:rPr>
          <w:vertAlign w:val="superscript"/>
          <w:rtl/>
        </w:rPr>
        <w:footnoteReference w:id="4185" w:customMarkFollows="0"/>
      </w:r>
      <w:bookmarkEnd w:id="5520"/>
      <w:r>
        <w:rPr>
          <w:rtl/>
        </w:rPr>
        <w:t xml:space="preserve">, יליד אנגליה, שסיפר: “מישהו בלונדון קיבל את פני ר׳ לייזר בהערה: ‘אבל ישיבת </w:t>
      </w:r>
      <w:proofErr w:type="spellStart"/>
      <w:r>
        <w:rPr>
          <w:rtl/>
        </w:rPr>
        <w:t>טלז</w:t>
      </w:r>
      <w:proofErr w:type="spellEnd"/>
      <w:r>
        <w:rPr>
          <w:rtl/>
        </w:rPr>
        <w:t xml:space="preserve"> נסגרה.’” ייתכן שאותו “מישהו” לא היה אלא הרב הראשי אדלר, ושאלה היו אכן דברי הפתיחה שלו </w:t>
      </w:r>
      <w:proofErr w:type="spellStart"/>
      <w:r>
        <w:rPr>
          <w:rtl/>
        </w:rPr>
        <w:t>לר</w:t>
      </w:r>
      <w:proofErr w:type="spellEnd"/>
      <w:r>
        <w:rPr>
          <w:rtl/>
        </w:rPr>
        <w:t xml:space="preserve">׳ לייזר גורדון, שהמקור של בערל </w:t>
      </w:r>
      <w:proofErr w:type="spellStart"/>
      <w:r>
        <w:rPr>
          <w:rtl/>
        </w:rPr>
        <w:t>קגן</w:t>
      </w:r>
      <w:proofErr w:type="spellEnd"/>
      <w:r>
        <w:rPr>
          <w:rtl/>
        </w:rPr>
        <w:t xml:space="preserve"> שינה בשגגה </w:t>
      </w:r>
      <w:proofErr w:type="spellStart"/>
      <w:r>
        <w:rPr>
          <w:rtl/>
        </w:rPr>
        <w:t>מ“אבל</w:t>
      </w:r>
      <w:proofErr w:type="spellEnd"/>
      <w:r>
        <w:rPr>
          <w:rtl/>
        </w:rPr>
        <w:t xml:space="preserve"> כבר אין </w:t>
      </w:r>
      <w:proofErr w:type="spellStart"/>
      <w:r>
        <w:rPr>
          <w:rtl/>
        </w:rPr>
        <w:t>בטלז</w:t>
      </w:r>
      <w:proofErr w:type="spellEnd"/>
      <w:r>
        <w:rPr>
          <w:rtl/>
        </w:rPr>
        <w:t xml:space="preserve"> ישיבה” </w:t>
      </w:r>
      <w:proofErr w:type="spellStart"/>
      <w:r>
        <w:rPr>
          <w:rtl/>
        </w:rPr>
        <w:t>ל“אבל</w:t>
      </w:r>
      <w:proofErr w:type="spellEnd"/>
      <w:r>
        <w:rPr>
          <w:rtl/>
        </w:rPr>
        <w:t xml:space="preserve"> אין </w:t>
      </w:r>
      <w:proofErr w:type="spellStart"/>
      <w:r>
        <w:rPr>
          <w:rtl/>
        </w:rPr>
        <w:t>בטלז</w:t>
      </w:r>
      <w:proofErr w:type="spellEnd"/>
      <w:r>
        <w:rPr>
          <w:rtl/>
        </w:rPr>
        <w:t xml:space="preserve"> רב בשם גורדון” הדומה לו.</w:t>
      </w:r>
    </w:p>
    <w:p w14:paraId="776F6A30" w14:textId="77777777" w:rsidR="00AB3647" w:rsidRDefault="00000000" w:rsidP="007923E9">
      <w:pPr>
        <w:spacing w:after="120" w:line="276" w:lineRule="auto"/>
        <w:ind w:firstLine="283"/>
        <w:jc w:val="both"/>
      </w:pPr>
      <w:r>
        <w:rPr>
          <w:rtl/>
        </w:rPr>
        <w:t xml:space="preserve">אפשר לשער שכאשר קיבל הרב אדלר מר׳ לייזר גורדון את המכתב הנזכר לעיל </w:t>
      </w:r>
      <w:proofErr w:type="spellStart"/>
      <w:r>
        <w:rPr>
          <w:rtl/>
        </w:rPr>
        <w:t>מתרס״ו</w:t>
      </w:r>
      <w:proofErr w:type="spellEnd"/>
      <w:r>
        <w:rPr>
          <w:rtl/>
        </w:rPr>
        <w:t xml:space="preserve">, שביקש כספים למען ישיבת </w:t>
      </w:r>
      <w:proofErr w:type="spellStart"/>
      <w:r>
        <w:rPr>
          <w:rtl/>
        </w:rPr>
        <w:t>טלז</w:t>
      </w:r>
      <w:proofErr w:type="spellEnd"/>
      <w:r>
        <w:rPr>
          <w:rtl/>
        </w:rPr>
        <w:t>, בין השאר – בשעה שזה עתה נפתחה מחדש אחרי סגירה של כמה חודשים</w:t>
      </w:r>
      <w:bookmarkStart w:id="5521" w:name="_fnr4176"/>
      <w:r>
        <w:rPr>
          <w:vertAlign w:val="superscript"/>
          <w:rtl/>
        </w:rPr>
        <w:footnoteReference w:id="4186" w:customMarkFollows="0"/>
      </w:r>
      <w:bookmarkEnd w:id="5521"/>
      <w:r>
        <w:rPr>
          <w:rtl/>
        </w:rPr>
        <w:t xml:space="preserve"> – שוחח הרב הראשי על הבקשה עם אדם שנחשב בקי בענייני ליטא, ונאמר לו שישיבתו של ר׳ לייזר נסגרה. הידיעה המאוחרת יותר על פתיחתה מחדש הייתה פשוט </w:t>
      </w:r>
      <w:r>
        <w:rPr>
          <w:rtl/>
        </w:rPr>
        <w:lastRenderedPageBreak/>
        <w:t xml:space="preserve">טרייה מכדי שתגיע אז </w:t>
      </w:r>
      <w:proofErr w:type="spellStart"/>
      <w:r>
        <w:rPr>
          <w:rtl/>
        </w:rPr>
        <w:t>למודיעו</w:t>
      </w:r>
      <w:proofErr w:type="spellEnd"/>
      <w:r>
        <w:rPr>
          <w:rtl/>
        </w:rPr>
        <w:t xml:space="preserve"> של הרב אדלר. ארבע שנים לאחר מכן, כשנפגש הרב אדלר עם ר׳ לייזר גורדון פנים אל פנים, הייתה הידיעה האחרונה ששמע על ישיבת </w:t>
      </w:r>
      <w:proofErr w:type="spellStart"/>
      <w:r>
        <w:rPr>
          <w:rtl/>
        </w:rPr>
        <w:t>טלז</w:t>
      </w:r>
      <w:proofErr w:type="spellEnd"/>
      <w:r>
        <w:rPr>
          <w:rtl/>
        </w:rPr>
        <w:t xml:space="preserve"> – בשל ריחוקו מיהודי מזרח אירופה – ישנה כמו התכתבותו של ר׳ לייזר, וזה מכבר עבר זמנה. הרב אדלר, שהיה בדרך כלל מלא חשדות כלפי יהדות מזרח אירופה, קיבל את פני ר׳ לייזר בחוסר רגישות, ברמיזה מאשימה שהוא מגייס כספים לישיבה שכבר אינה קיימת.</w:t>
      </w:r>
    </w:p>
    <w:p w14:paraId="08499EAA" w14:textId="77777777" w:rsidR="00AB3647" w:rsidRDefault="00000000" w:rsidP="007923E9">
      <w:pPr>
        <w:spacing w:after="120" w:line="276" w:lineRule="auto"/>
        <w:ind w:firstLine="283"/>
        <w:jc w:val="both"/>
      </w:pPr>
      <w:r>
        <w:rPr>
          <w:rtl/>
        </w:rPr>
        <w:t xml:space="preserve">מאמר של הרב אברהם </w:t>
      </w:r>
      <w:proofErr w:type="spellStart"/>
      <w:r>
        <w:rPr>
          <w:rtl/>
        </w:rPr>
        <w:t>שישא</w:t>
      </w:r>
      <w:proofErr w:type="spellEnd"/>
      <w:r>
        <w:rPr>
          <w:rtl/>
        </w:rPr>
        <w:t xml:space="preserve"> הלוי </w:t>
      </w:r>
      <w:proofErr w:type="spellStart"/>
      <w:r>
        <w:rPr>
          <w:rtl/>
        </w:rPr>
        <w:t>ב“הדרום</w:t>
      </w:r>
      <w:proofErr w:type="spellEnd"/>
      <w:r>
        <w:rPr>
          <w:rtl/>
        </w:rPr>
        <w:t>” מספר</w:t>
      </w:r>
      <w:bookmarkStart w:id="5522" w:name="_fnr4177"/>
      <w:r>
        <w:rPr>
          <w:vertAlign w:val="superscript"/>
          <w:rtl/>
        </w:rPr>
        <w:footnoteReference w:id="4187" w:customMarkFollows="0"/>
      </w:r>
      <w:bookmarkEnd w:id="5522"/>
      <w:r>
        <w:rPr>
          <w:rtl/>
        </w:rPr>
        <w:t xml:space="preserve"> על מסורת שמסר ר׳ </w:t>
      </w:r>
      <w:proofErr w:type="spellStart"/>
      <w:r>
        <w:rPr>
          <w:rtl/>
        </w:rPr>
        <w:t>צבי־הירש</w:t>
      </w:r>
      <w:proofErr w:type="spellEnd"/>
      <w:r>
        <w:rPr>
          <w:rtl/>
        </w:rPr>
        <w:t xml:space="preserve"> פרבר, שקיבל אותה מבעל המעשה, ר׳ </w:t>
      </w:r>
      <w:proofErr w:type="spellStart"/>
      <w:r>
        <w:rPr>
          <w:rtl/>
        </w:rPr>
        <w:t>אברהם־אבא</w:t>
      </w:r>
      <w:proofErr w:type="spellEnd"/>
      <w:r>
        <w:rPr>
          <w:rtl/>
        </w:rPr>
        <w:t xml:space="preserve"> ורנר. כשהגיע ר׳ לייזר ללונדון ולא הוכן לו מקום לינה, הציע לארחו ר׳ מנדל רפפורט, שוחט לשעבר </w:t>
      </w:r>
      <w:proofErr w:type="spellStart"/>
      <w:r>
        <w:rPr>
          <w:rtl/>
        </w:rPr>
        <w:t>בטלז</w:t>
      </w:r>
      <w:proofErr w:type="spellEnd"/>
      <w:r>
        <w:rPr>
          <w:rtl/>
        </w:rPr>
        <w:t xml:space="preserve"> שהתעשר בלונדון. ר׳ לייזר גורדון פגש את ר׳ מנדל במקרה ברחוב, ברובע </w:t>
      </w:r>
      <w:proofErr w:type="spellStart"/>
      <w:r>
        <w:rPr>
          <w:rtl/>
        </w:rPr>
        <w:t>וייטצ׳פל</w:t>
      </w:r>
      <w:proofErr w:type="spellEnd"/>
      <w:r>
        <w:rPr>
          <w:rtl/>
        </w:rPr>
        <w:t xml:space="preserve"> בלונדון</w:t>
      </w:r>
      <w:bookmarkStart w:id="5523" w:name="_fnr4178"/>
      <w:r>
        <w:rPr>
          <w:vertAlign w:val="superscript"/>
          <w:rtl/>
        </w:rPr>
        <w:footnoteReference w:id="4188" w:customMarkFollows="0"/>
      </w:r>
      <w:bookmarkEnd w:id="5523"/>
      <w:r>
        <w:rPr>
          <w:rtl/>
        </w:rPr>
        <w:t xml:space="preserve">, ומכיוון שאיש מהם לא זיהה את רעהו, ביקש ממנו עזרה במציאת מקום ללון. כשהציגו את עצמם בשמותיהם, הבינו שדרכיהם הצטלבו שלושים שנה קודם לכן. בשיחה של מה בכך כעבור כמה ימים עלתה השאלה מדוע עזב המארח את </w:t>
      </w:r>
      <w:proofErr w:type="spellStart"/>
      <w:r>
        <w:rPr>
          <w:rtl/>
        </w:rPr>
        <w:t>טלז</w:t>
      </w:r>
      <w:proofErr w:type="spellEnd"/>
      <w:r>
        <w:rPr>
          <w:rtl/>
        </w:rPr>
        <w:t>.</w:t>
      </w:r>
    </w:p>
    <w:p w14:paraId="0B58908A" w14:textId="77777777" w:rsidR="00AB3647" w:rsidRDefault="00000000" w:rsidP="007923E9">
      <w:pPr>
        <w:spacing w:after="120" w:line="276" w:lineRule="auto"/>
        <w:ind w:firstLine="283"/>
        <w:jc w:val="both"/>
      </w:pPr>
      <w:r>
        <w:rPr>
          <w:rtl/>
        </w:rPr>
        <w:t>ר׳ מנדל רפפורט, איש טוב לב וירא שמים, גילה שכאשר נעשה ר׳ לייזר גורדון רב העיר, הביא לפניו, כמו יתר השוחטים, את החלף שלו, להראותו לרבם החדש. הרב החדש לא התפעל מן הדרך שבה “העמיד את החלף [</w:t>
      </w:r>
      <w:proofErr w:type="spellStart"/>
      <w:r>
        <w:rPr>
          <w:rtl/>
        </w:rPr>
        <w:t>שטעלט</w:t>
      </w:r>
      <w:proofErr w:type="spellEnd"/>
      <w:r>
        <w:rPr>
          <w:rtl/>
        </w:rPr>
        <w:t xml:space="preserve"> </w:t>
      </w:r>
      <w:proofErr w:type="spellStart"/>
      <w:r>
        <w:rPr>
          <w:rtl/>
        </w:rPr>
        <w:t>דעם</w:t>
      </w:r>
      <w:proofErr w:type="spellEnd"/>
      <w:r>
        <w:rPr>
          <w:rtl/>
        </w:rPr>
        <w:t xml:space="preserve"> חלף]” – חידדו לחדות ולחלקות מושלמות כדי שיהיה כשר לשחיטה – והעיר בעוקצנות: “</w:t>
      </w:r>
      <w:proofErr w:type="spellStart"/>
      <w:r>
        <w:rPr>
          <w:rtl/>
        </w:rPr>
        <w:t>אויך</w:t>
      </w:r>
      <w:proofErr w:type="spellEnd"/>
      <w:r>
        <w:rPr>
          <w:rtl/>
        </w:rPr>
        <w:t xml:space="preserve"> </w:t>
      </w:r>
      <w:proofErr w:type="spellStart"/>
      <w:r>
        <w:rPr>
          <w:rtl/>
        </w:rPr>
        <w:t>מיר</w:t>
      </w:r>
      <w:proofErr w:type="spellEnd"/>
      <w:r>
        <w:rPr>
          <w:rtl/>
        </w:rPr>
        <w:t xml:space="preserve"> א חלף [גם זה חלף בעיניי]?!</w:t>
      </w:r>
      <w:bookmarkStart w:id="5524" w:name="_fnr4179"/>
      <w:r>
        <w:rPr>
          <w:vertAlign w:val="superscript"/>
          <w:rtl/>
        </w:rPr>
        <w:footnoteReference w:id="4189" w:customMarkFollows="0"/>
      </w:r>
      <w:bookmarkEnd w:id="5524"/>
      <w:r>
        <w:rPr>
          <w:rtl/>
        </w:rPr>
        <w:t xml:space="preserve">” דבריו הצורבים ריסקו את רוחו של ר׳ מנדל רפפורט טהור הנפש, שמילא את תפקידו לשביעות רצון בימי ר׳ יהושע הלר, רבה הקודם של </w:t>
      </w:r>
      <w:proofErr w:type="spellStart"/>
      <w:r>
        <w:rPr>
          <w:rtl/>
        </w:rPr>
        <w:t>טלז</w:t>
      </w:r>
      <w:bookmarkStart w:id="5525" w:name="_fnr4180"/>
      <w:proofErr w:type="spellEnd"/>
      <w:r>
        <w:rPr>
          <w:vertAlign w:val="superscript"/>
          <w:rtl/>
        </w:rPr>
        <w:footnoteReference w:id="4190" w:customMarkFollows="0"/>
      </w:r>
      <w:bookmarkEnd w:id="5525"/>
      <w:r>
        <w:rPr>
          <w:rtl/>
        </w:rPr>
        <w:t>. ר׳ מנדל החליט בו במקום לעזוב את מקצוע השחיטה ולבקש פרנסה אחרת בארצות זרות. כששמע ר׳ לייזר גורדון את סיפור סבלו של מארחו, ביקש את מחילתו על שגרם לו צער, והודה לקדוש ברוך הוא על שנתן לו, אחרי עשרים ושש שנים, הזדמנות להתפייס עם האדם שפגע בו.</w:t>
      </w:r>
    </w:p>
    <w:p w14:paraId="5FADBB1F" w14:textId="77777777" w:rsidR="00AB3647" w:rsidRDefault="00000000" w:rsidP="007923E9">
      <w:pPr>
        <w:spacing w:after="120" w:line="276" w:lineRule="auto"/>
        <w:ind w:firstLine="283"/>
        <w:jc w:val="both"/>
      </w:pPr>
      <w:r>
        <w:rPr>
          <w:rtl/>
        </w:rPr>
        <w:t xml:space="preserve">בלונדון התפלל ר׳ לייזר גורדון בבית הכנסת מחזיקי הדת, שבו כיהן כרב ר׳ </w:t>
      </w:r>
      <w:proofErr w:type="spellStart"/>
      <w:r>
        <w:rPr>
          <w:rtl/>
        </w:rPr>
        <w:t>אברהם־אבא</w:t>
      </w:r>
      <w:proofErr w:type="spellEnd"/>
      <w:r>
        <w:rPr>
          <w:rtl/>
        </w:rPr>
        <w:t xml:space="preserve"> ורנר, לשעבר דיין </w:t>
      </w:r>
      <w:proofErr w:type="spellStart"/>
      <w:r>
        <w:rPr>
          <w:rtl/>
        </w:rPr>
        <w:t>בטלז</w:t>
      </w:r>
      <w:proofErr w:type="spellEnd"/>
      <w:r>
        <w:rPr>
          <w:rtl/>
        </w:rPr>
        <w:t xml:space="preserve">. במהלך שיחה גילה ר׳ </w:t>
      </w:r>
      <w:proofErr w:type="spellStart"/>
      <w:r>
        <w:rPr>
          <w:rtl/>
        </w:rPr>
        <w:t>אברהם־אבא</w:t>
      </w:r>
      <w:proofErr w:type="spellEnd"/>
      <w:r>
        <w:rPr>
          <w:rtl/>
        </w:rPr>
        <w:t xml:space="preserve"> לאורח שלפני כמה עשורים נטר לו טינה. דיין </w:t>
      </w:r>
      <w:proofErr w:type="spellStart"/>
      <w:r>
        <w:rPr>
          <w:rtl/>
        </w:rPr>
        <w:t>טלז</w:t>
      </w:r>
      <w:proofErr w:type="spellEnd"/>
      <w:r>
        <w:rPr>
          <w:rtl/>
        </w:rPr>
        <w:t xml:space="preserve"> זה, שכיהן בימי שני קודמיו של ר׳ לייזר גורדון, ר׳ יהושע הלר ור׳ יוסף </w:t>
      </w:r>
      <w:proofErr w:type="spellStart"/>
      <w:r>
        <w:rPr>
          <w:rtl/>
        </w:rPr>
        <w:t>רייזין</w:t>
      </w:r>
      <w:bookmarkStart w:id="5526" w:name="_fnr4181"/>
      <w:bookmarkStart w:id="5527" w:name="pr_f_4066"/>
      <w:proofErr w:type="spellEnd"/>
      <w:r>
        <w:rPr>
          <w:vertAlign w:val="superscript"/>
          <w:rtl/>
        </w:rPr>
        <w:footnoteReference w:id="4191" w:customMarkFollows="0"/>
      </w:r>
      <w:bookmarkEnd w:id="5526"/>
      <w:bookmarkEnd w:id="5527"/>
      <w:r>
        <w:rPr>
          <w:rtl/>
        </w:rPr>
        <w:t xml:space="preserve">, והיה קודם לכן רב בעיירה </w:t>
      </w:r>
      <w:proofErr w:type="spellStart"/>
      <w:r>
        <w:rPr>
          <w:rtl/>
        </w:rPr>
        <w:t>ווגר</w:t>
      </w:r>
      <w:proofErr w:type="spellEnd"/>
      <w:r>
        <w:rPr>
          <w:rtl/>
        </w:rPr>
        <w:t xml:space="preserve">, היה מבוגר מר׳ לייזר בשלוש שנים. ר׳ </w:t>
      </w:r>
      <w:proofErr w:type="spellStart"/>
      <w:r>
        <w:rPr>
          <w:rtl/>
        </w:rPr>
        <w:t>אברהם־אבא</w:t>
      </w:r>
      <w:proofErr w:type="spellEnd"/>
      <w:r>
        <w:rPr>
          <w:rtl/>
        </w:rPr>
        <w:t xml:space="preserve"> ורנר ציפה להתמנות לרבה של </w:t>
      </w:r>
      <w:proofErr w:type="spellStart"/>
      <w:r>
        <w:rPr>
          <w:rtl/>
        </w:rPr>
        <w:t>טלז</w:t>
      </w:r>
      <w:proofErr w:type="spellEnd"/>
      <w:r>
        <w:rPr>
          <w:rtl/>
        </w:rPr>
        <w:t xml:space="preserve"> כשהתפנה כיסא הרבנות</w:t>
      </w:r>
      <w:bookmarkStart w:id="5528" w:name="_fnr4182"/>
      <w:bookmarkStart w:id="5529" w:name="pr_f_4067"/>
      <w:r>
        <w:rPr>
          <w:vertAlign w:val="superscript"/>
          <w:rtl/>
        </w:rPr>
        <w:footnoteReference w:id="4192" w:customMarkFollows="0"/>
      </w:r>
      <w:bookmarkEnd w:id="5528"/>
      <w:bookmarkEnd w:id="5529"/>
      <w:r>
        <w:rPr>
          <w:rtl/>
        </w:rPr>
        <w:t xml:space="preserve">. במקום זאת הובא </w:t>
      </w:r>
      <w:proofErr w:type="spellStart"/>
      <w:r>
        <w:rPr>
          <w:rtl/>
        </w:rPr>
        <w:t>מסלבודקה</w:t>
      </w:r>
      <w:proofErr w:type="spellEnd"/>
      <w:r>
        <w:rPr>
          <w:rtl/>
        </w:rPr>
        <w:t xml:space="preserve"> רבה הוותיק של קלם, ר׳ לייזר גורדון</w:t>
      </w:r>
      <w:bookmarkStart w:id="5530" w:name="_fnr4183"/>
      <w:r>
        <w:rPr>
          <w:vertAlign w:val="superscript"/>
          <w:rtl/>
        </w:rPr>
        <w:footnoteReference w:id="4193" w:customMarkFollows="0"/>
      </w:r>
      <w:bookmarkEnd w:id="5530"/>
      <w:r>
        <w:rPr>
          <w:rtl/>
        </w:rPr>
        <w:t xml:space="preserve">. ר׳ </w:t>
      </w:r>
      <w:proofErr w:type="spellStart"/>
      <w:r>
        <w:rPr>
          <w:rtl/>
        </w:rPr>
        <w:t>אברהם־אבא</w:t>
      </w:r>
      <w:proofErr w:type="spellEnd"/>
      <w:r>
        <w:rPr>
          <w:rtl/>
        </w:rPr>
        <w:t xml:space="preserve"> ורנר המאוכזב עזב את ליטא במורת </w:t>
      </w:r>
      <w:r>
        <w:rPr>
          <w:rtl/>
        </w:rPr>
        <w:lastRenderedPageBreak/>
        <w:t xml:space="preserve">רוח כדי לכהן כרב בהלסינקי שבפינלנד, כנראה למשך שמונה שנים, ומשם בא ללונדון </w:t>
      </w:r>
      <w:proofErr w:type="spellStart"/>
      <w:r>
        <w:rPr>
          <w:rtl/>
        </w:rPr>
        <w:t>בתרנ״ב</w:t>
      </w:r>
      <w:bookmarkStart w:id="5531" w:name="_fnr4184"/>
      <w:proofErr w:type="spellEnd"/>
      <w:r>
        <w:rPr>
          <w:vertAlign w:val="superscript"/>
          <w:rtl/>
        </w:rPr>
        <w:footnoteReference w:id="4194" w:customMarkFollows="0"/>
      </w:r>
      <w:bookmarkEnd w:id="5531"/>
      <w:r>
        <w:rPr>
          <w:rtl/>
        </w:rPr>
        <w:t>.</w:t>
      </w:r>
    </w:p>
    <w:p w14:paraId="26F08EEC" w14:textId="77777777" w:rsidR="00AB3647" w:rsidRDefault="00000000" w:rsidP="007923E9">
      <w:pPr>
        <w:spacing w:after="120" w:line="276" w:lineRule="auto"/>
        <w:ind w:firstLine="283"/>
        <w:jc w:val="both"/>
      </w:pPr>
      <w:r>
        <w:rPr>
          <w:rtl/>
        </w:rPr>
        <w:t xml:space="preserve">ר׳ לייזר ביקש גם את מחילתו של ר׳ </w:t>
      </w:r>
      <w:proofErr w:type="spellStart"/>
      <w:r>
        <w:rPr>
          <w:rtl/>
        </w:rPr>
        <w:t>אברהם־אבא</w:t>
      </w:r>
      <w:proofErr w:type="spellEnd"/>
      <w:r>
        <w:rPr>
          <w:rtl/>
        </w:rPr>
        <w:t xml:space="preserve"> ורנר, ואמר שהיה מסרב לקבל את רבנות </w:t>
      </w:r>
      <w:proofErr w:type="spellStart"/>
      <w:r>
        <w:rPr>
          <w:rtl/>
        </w:rPr>
        <w:t>טלז</w:t>
      </w:r>
      <w:proofErr w:type="spellEnd"/>
      <w:r>
        <w:rPr>
          <w:rtl/>
        </w:rPr>
        <w:t xml:space="preserve"> אילו ידע על שאיפותיו. כעבור כמה ימים, אחרי שבוע אחד בלבד בבירת אנגליה, נפטר ר׳ לייזר גורדון – ור׳ </w:t>
      </w:r>
      <w:proofErr w:type="spellStart"/>
      <w:r>
        <w:rPr>
          <w:rtl/>
        </w:rPr>
        <w:t>אברהם־אבא</w:t>
      </w:r>
      <w:proofErr w:type="spellEnd"/>
      <w:r>
        <w:rPr>
          <w:rtl/>
        </w:rPr>
        <w:t xml:space="preserve"> ורנר נפטר שנה לאחר מכן.</w:t>
      </w:r>
    </w:p>
    <w:p w14:paraId="75A7B478" w14:textId="77777777" w:rsidR="00AB3647" w:rsidRDefault="00000000" w:rsidP="007923E9">
      <w:pPr>
        <w:spacing w:after="120" w:line="276" w:lineRule="auto"/>
        <w:ind w:firstLine="283"/>
        <w:jc w:val="both"/>
      </w:pPr>
      <w:r>
        <w:rPr>
          <w:rtl/>
        </w:rPr>
        <w:t xml:space="preserve">ר׳ </w:t>
      </w:r>
      <w:proofErr w:type="spellStart"/>
      <w:r>
        <w:rPr>
          <w:rtl/>
        </w:rPr>
        <w:t>צבי־הירש</w:t>
      </w:r>
      <w:proofErr w:type="spellEnd"/>
      <w:r>
        <w:rPr>
          <w:rtl/>
        </w:rPr>
        <w:t xml:space="preserve"> פרבר הוסיף שעד ששמע את הפרטים האלה מר׳ </w:t>
      </w:r>
      <w:proofErr w:type="spellStart"/>
      <w:r>
        <w:rPr>
          <w:rtl/>
        </w:rPr>
        <w:t>אברהם־אבא</w:t>
      </w:r>
      <w:proofErr w:type="spellEnd"/>
      <w:r>
        <w:rPr>
          <w:rtl/>
        </w:rPr>
        <w:t xml:space="preserve"> ורנר, תמה מדוע נאלץ ר׳ לייזר לנסוע עד אנגליה כדי לגייס כספים, כשכל חובה של הישיבה היה רק חמשת אלפים רובל, סכום שיכול היה לגייס בקלות “במכתב אחד ליהודי עשיר בפטרבורג או במוסקבה”. אבל אין לתמיהתו של ר׳ </w:t>
      </w:r>
      <w:proofErr w:type="spellStart"/>
      <w:r>
        <w:rPr>
          <w:rtl/>
        </w:rPr>
        <w:t>צבי־הירש</w:t>
      </w:r>
      <w:proofErr w:type="spellEnd"/>
      <w:r>
        <w:rPr>
          <w:rtl/>
        </w:rPr>
        <w:t xml:space="preserve"> פרבר תוקף מלא כשמדובר בר׳ לייזר, שרעיונותיו על גיוס כספים לא היו שגרתיים לגמרי – ראה לעיל, סוף הפסקה השנייה של נספח ח. יתרה מזו, ר׳ דב היימן אמר</w:t>
      </w:r>
      <w:bookmarkStart w:id="5532" w:name="_fnr4185"/>
      <w:r>
        <w:rPr>
          <w:vertAlign w:val="superscript"/>
          <w:rtl/>
        </w:rPr>
        <w:footnoteReference w:id="4195" w:customMarkFollows="0"/>
      </w:r>
      <w:bookmarkEnd w:id="5532"/>
      <w:r>
        <w:rPr>
          <w:rtl/>
        </w:rPr>
        <w:t xml:space="preserve"> שלפי המסורת שבידו, הסכום שרצה ר׳ לייזר לגייס היה “שמונה מאות לירות שטרלינג, סכום אסטרונומי בימים ההם”.</w:t>
      </w:r>
    </w:p>
    <w:p w14:paraId="3DC35D66" w14:textId="77777777" w:rsidR="00AB3647" w:rsidRDefault="00000000" w:rsidP="007923E9">
      <w:pPr>
        <w:spacing w:after="120" w:line="276" w:lineRule="auto"/>
        <w:ind w:firstLine="283"/>
        <w:jc w:val="both"/>
      </w:pPr>
      <w:r>
        <w:rPr>
          <w:rtl/>
        </w:rPr>
        <w:t xml:space="preserve">בעקבות מה שסיפר לו ר׳ </w:t>
      </w:r>
      <w:proofErr w:type="spellStart"/>
      <w:r>
        <w:rPr>
          <w:rtl/>
        </w:rPr>
        <w:t>אברהם־אבא</w:t>
      </w:r>
      <w:proofErr w:type="spellEnd"/>
      <w:r>
        <w:rPr>
          <w:rtl/>
        </w:rPr>
        <w:t xml:space="preserve"> ורנר הבין ר׳ </w:t>
      </w:r>
      <w:proofErr w:type="spellStart"/>
      <w:r>
        <w:rPr>
          <w:rtl/>
        </w:rPr>
        <w:t>צבי־הירש</w:t>
      </w:r>
      <w:proofErr w:type="spellEnd"/>
      <w:r>
        <w:rPr>
          <w:rtl/>
        </w:rPr>
        <w:t xml:space="preserve"> פרבר שלפני מותו הגזור הביאה ההשגחה את ר׳ לייזר במיוחד ללונדון, כדי שיזכה למחילה משני האנשים שפגע בהם. למעשה, מלבד האפשרות להשיג את הכספים הדרושים ברוסיה עצמה, הייתה סיבה משכנעת עוד יותר שלא ייסע לאנגליה: בריאותו הרופפת. השווה </w:t>
      </w:r>
      <w:proofErr w:type="spellStart"/>
      <w:r>
        <w:rPr>
          <w:rtl/>
        </w:rPr>
        <w:t>ל“ברכות</w:t>
      </w:r>
      <w:proofErr w:type="spellEnd"/>
      <w:r>
        <w:rPr>
          <w:rtl/>
        </w:rPr>
        <w:t xml:space="preserve"> משה” מאת ברוך משה </w:t>
      </w:r>
      <w:proofErr w:type="spellStart"/>
      <w:r>
        <w:rPr>
          <w:rtl/>
        </w:rPr>
        <w:t>פייבלזון</w:t>
      </w:r>
      <w:bookmarkStart w:id="5533" w:name="_fnr4186"/>
      <w:proofErr w:type="spellEnd"/>
      <w:r>
        <w:rPr>
          <w:vertAlign w:val="superscript"/>
          <w:rtl/>
        </w:rPr>
        <w:footnoteReference w:id="4196" w:customMarkFollows="0"/>
      </w:r>
      <w:bookmarkEnd w:id="5533"/>
      <w:r>
        <w:rPr>
          <w:rtl/>
        </w:rPr>
        <w:t>, המציין “עובדה שאינה ידועה לכולם: ר׳ לייזר גורדון היה חולה מאוד בשנותיו האחרונות, והרופאים הזהירוהו להיזהר מאוד. אולם בכל מסירותו הלוהטת לתורה לא שמע להם, וחולה עד מאוד נסע ללונדון.”</w:t>
      </w:r>
    </w:p>
    <w:p w14:paraId="0AE2EB00" w14:textId="77777777" w:rsidR="00AB3647" w:rsidRDefault="00000000" w:rsidP="007923E9">
      <w:pPr>
        <w:spacing w:after="120" w:line="276" w:lineRule="auto"/>
        <w:ind w:firstLine="283"/>
        <w:jc w:val="both"/>
      </w:pPr>
      <w:r>
        <w:rPr>
          <w:rtl/>
        </w:rPr>
        <w:t xml:space="preserve">השווה גם </w:t>
      </w:r>
      <w:proofErr w:type="spellStart"/>
      <w:r>
        <w:rPr>
          <w:rtl/>
        </w:rPr>
        <w:t>ל“יצחק</w:t>
      </w:r>
      <w:proofErr w:type="spellEnd"/>
      <w:r>
        <w:rPr>
          <w:rtl/>
        </w:rPr>
        <w:t xml:space="preserve"> אייזיק הלוי (1847–1914)”</w:t>
      </w:r>
      <w:bookmarkStart w:id="5534" w:name="_fnr4187"/>
      <w:r>
        <w:rPr>
          <w:vertAlign w:val="superscript"/>
          <w:rtl/>
        </w:rPr>
        <w:footnoteReference w:id="4197" w:customMarkFollows="0"/>
      </w:r>
      <w:bookmarkEnd w:id="5534"/>
      <w:r>
        <w:rPr>
          <w:rtl/>
        </w:rPr>
        <w:t xml:space="preserve">, שבו מובא מכתב של ר׳ </w:t>
      </w:r>
      <w:proofErr w:type="spellStart"/>
      <w:r>
        <w:rPr>
          <w:rtl/>
        </w:rPr>
        <w:t>יצחק־אייזיק</w:t>
      </w:r>
      <w:proofErr w:type="spellEnd"/>
      <w:r>
        <w:rPr>
          <w:rtl/>
        </w:rPr>
        <w:t xml:space="preserve"> הלוי </w:t>
      </w:r>
      <w:proofErr w:type="spellStart"/>
      <w:r>
        <w:rPr>
          <w:rtl/>
        </w:rPr>
        <w:t>לר</w:t>
      </w:r>
      <w:proofErr w:type="spellEnd"/>
      <w:r>
        <w:rPr>
          <w:rtl/>
        </w:rPr>
        <w:t xml:space="preserve">׳ לייזר גורדון מי״ט בסיוון תרס״ט (תשעה חודשים לפני מותו). במכתב הוא מזמין את ר׳ לייזר להשתתף בכינוס רבנים </w:t>
      </w:r>
      <w:proofErr w:type="spellStart"/>
      <w:r>
        <w:rPr>
          <w:rtl/>
        </w:rPr>
        <w:t>בבאד</w:t>
      </w:r>
      <w:proofErr w:type="spellEnd"/>
      <w:r>
        <w:rPr>
          <w:rtl/>
        </w:rPr>
        <w:t xml:space="preserve"> </w:t>
      </w:r>
      <w:proofErr w:type="spellStart"/>
      <w:r>
        <w:rPr>
          <w:rtl/>
        </w:rPr>
        <w:t>הומבורג</w:t>
      </w:r>
      <w:proofErr w:type="spellEnd"/>
      <w:r>
        <w:rPr>
          <w:rtl/>
        </w:rPr>
        <w:t xml:space="preserve">, ליד פרנקפורט, שנועד להתקיים בעוד פחות משמונה שבועות, במילים: “לא כתבתי אליך עד עכשיו מפני ששמעתי שקשה לך לנסוע – ירפאך ה׳ – ושגם לכינוס הרבנים בווילנה לא באת בגלל בריאותך הרופפת. אבל נודע לי שתיסע בעזרת ה׳ בקרוב ל[עיירה הסמוכה] </w:t>
      </w:r>
      <w:proofErr w:type="spellStart"/>
      <w:r>
        <w:rPr>
          <w:rtl/>
        </w:rPr>
        <w:t>קיסינגן</w:t>
      </w:r>
      <w:proofErr w:type="spellEnd"/>
      <w:r>
        <w:rPr>
          <w:rtl/>
        </w:rPr>
        <w:t>; לכן אני מבקש ממך... לדאוג שנסיעתך... תהיה במועד שיאפשר לך להשתתף בכינוס הרבנים.” רמז נוסף לכך שר׳ לייזר נזקק אז לטיפול מיוחד בבריאותו בזמן נסיעתו ללונדון הוא שהרבנית גורדון ליוותה אותו</w:t>
      </w:r>
      <w:bookmarkStart w:id="5535" w:name="_fnr4188"/>
      <w:r>
        <w:rPr>
          <w:vertAlign w:val="superscript"/>
          <w:rtl/>
        </w:rPr>
        <w:footnoteReference w:id="4198" w:customMarkFollows="0"/>
      </w:r>
      <w:bookmarkEnd w:id="5535"/>
      <w:r>
        <w:rPr>
          <w:rtl/>
        </w:rPr>
        <w:t>.</w:t>
      </w:r>
    </w:p>
    <w:p w14:paraId="3E5E036A" w14:textId="77777777" w:rsidR="00AB3647" w:rsidRDefault="00000000" w:rsidP="007923E9">
      <w:pPr>
        <w:spacing w:after="120" w:line="276" w:lineRule="auto"/>
        <w:ind w:firstLine="283"/>
        <w:jc w:val="both"/>
      </w:pPr>
      <w:r>
        <w:rPr>
          <w:rtl/>
        </w:rPr>
        <w:t xml:space="preserve">אולם ר׳ </w:t>
      </w:r>
      <w:proofErr w:type="spellStart"/>
      <w:r>
        <w:rPr>
          <w:rtl/>
        </w:rPr>
        <w:t>אברהם־חיים</w:t>
      </w:r>
      <w:proofErr w:type="spellEnd"/>
      <w:r>
        <w:rPr>
          <w:rtl/>
        </w:rPr>
        <w:t xml:space="preserve"> </w:t>
      </w:r>
      <w:proofErr w:type="spellStart"/>
      <w:r>
        <w:rPr>
          <w:rtl/>
        </w:rPr>
        <w:t>פויער</w:t>
      </w:r>
      <w:proofErr w:type="spellEnd"/>
      <w:r>
        <w:rPr>
          <w:rtl/>
        </w:rPr>
        <w:t>, שאשתו היא בת נינתו של ר׳ לייזר, גילה</w:t>
      </w:r>
      <w:bookmarkStart w:id="5536" w:name="_fnr4189"/>
      <w:r>
        <w:rPr>
          <w:vertAlign w:val="superscript"/>
          <w:rtl/>
        </w:rPr>
        <w:footnoteReference w:id="4199" w:customMarkFollows="0"/>
      </w:r>
      <w:bookmarkEnd w:id="5536"/>
      <w:r>
        <w:rPr>
          <w:rtl/>
        </w:rPr>
        <w:t xml:space="preserve"> טעם שונה לגמרי לנסיעתו ללונדון, שיש בו גם הסבר לכך שהרבנית ליוותה אותו: נכדתם מרי, בת בנם מרדכי, </w:t>
      </w:r>
      <w:r>
        <w:rPr>
          <w:rtl/>
        </w:rPr>
        <w:lastRenderedPageBreak/>
        <w:t>עברה קודם לכן עם הוריה לאנגליה ולמדה במכללה לרפואה בלונדון</w:t>
      </w:r>
      <w:bookmarkStart w:id="5537" w:name="_fnr4190"/>
      <w:r>
        <w:rPr>
          <w:vertAlign w:val="superscript"/>
          <w:rtl/>
        </w:rPr>
        <w:footnoteReference w:id="4200" w:customMarkFollows="0"/>
      </w:r>
      <w:bookmarkEnd w:id="5537"/>
      <w:r>
        <w:rPr>
          <w:rtl/>
        </w:rPr>
        <w:t>, ור׳ לייזר חש שביקורם יגביר את דתיותה של הצעירה.</w:t>
      </w:r>
    </w:p>
    <w:p w14:paraId="37B5DDFD" w14:textId="77777777" w:rsidR="00AB3647" w:rsidRDefault="00000000" w:rsidP="007923E9">
      <w:pPr>
        <w:spacing w:after="120" w:line="276" w:lineRule="auto"/>
        <w:ind w:firstLine="283"/>
        <w:jc w:val="both"/>
      </w:pPr>
      <w:r>
        <w:rPr>
          <w:rtl/>
        </w:rPr>
        <w:t xml:space="preserve">בין המספידים בהלוויית ר׳ לייזר היו </w:t>
      </w:r>
      <w:proofErr w:type="spellStart"/>
      <w:r>
        <w:rPr>
          <w:rtl/>
        </w:rPr>
        <w:t>הרידב״ז</w:t>
      </w:r>
      <w:bookmarkStart w:id="5538" w:name="_fnr4191"/>
      <w:proofErr w:type="spellEnd"/>
      <w:r>
        <w:rPr>
          <w:vertAlign w:val="superscript"/>
          <w:rtl/>
        </w:rPr>
        <w:footnoteReference w:id="4201" w:customMarkFollows="0"/>
      </w:r>
      <w:bookmarkEnd w:id="5538"/>
      <w:r>
        <w:rPr>
          <w:rtl/>
        </w:rPr>
        <w:t xml:space="preserve">, שנמצא במקרה בלונדון באותה עת, ור׳ </w:t>
      </w:r>
      <w:proofErr w:type="spellStart"/>
      <w:r>
        <w:rPr>
          <w:rtl/>
        </w:rPr>
        <w:t>שמואל־יצחק</w:t>
      </w:r>
      <w:proofErr w:type="spellEnd"/>
      <w:r>
        <w:rPr>
          <w:rtl/>
        </w:rPr>
        <w:t xml:space="preserve"> </w:t>
      </w:r>
      <w:proofErr w:type="spellStart"/>
      <w:r>
        <w:rPr>
          <w:rtl/>
        </w:rPr>
        <w:t>הילמן</w:t>
      </w:r>
      <w:proofErr w:type="spellEnd"/>
      <w:r>
        <w:rPr>
          <w:rtl/>
        </w:rPr>
        <w:t>, שהיה אז רבה של גלזגו</w:t>
      </w:r>
      <w:bookmarkStart w:id="5539" w:name="_fnr4192"/>
      <w:r>
        <w:rPr>
          <w:vertAlign w:val="superscript"/>
          <w:rtl/>
        </w:rPr>
        <w:footnoteReference w:id="4202" w:customMarkFollows="0"/>
      </w:r>
      <w:bookmarkEnd w:id="5539"/>
      <w:r>
        <w:rPr>
          <w:rtl/>
        </w:rPr>
        <w:t xml:space="preserve">. ר׳ </w:t>
      </w:r>
      <w:proofErr w:type="spellStart"/>
      <w:r>
        <w:rPr>
          <w:rtl/>
        </w:rPr>
        <w:t>שמואל־יצחק</w:t>
      </w:r>
      <w:proofErr w:type="spellEnd"/>
      <w:r>
        <w:rPr>
          <w:rtl/>
        </w:rPr>
        <w:t xml:space="preserve"> נשא הספד מרגש, שנרשם בספרו “אור היישר דרשות”, וציטט בו את הפסוק שבו תיאר יוסף את ניסיונו המר במצרים: “כי גֻנֹב גֻנבתי מארץ העברים וגם פה לא עשיתי מאומה כי שׂמו אֹתי בבּור”</w:t>
      </w:r>
      <w:bookmarkStart w:id="5540" w:name="_fnr4193"/>
      <w:r>
        <w:rPr>
          <w:vertAlign w:val="superscript"/>
          <w:rtl/>
        </w:rPr>
        <w:footnoteReference w:id="4203" w:customMarkFollows="0"/>
      </w:r>
      <w:bookmarkEnd w:id="5540"/>
      <w:r>
        <w:rPr>
          <w:rtl/>
        </w:rPr>
        <w:t xml:space="preserve">. הוא תיאר את ר׳ לייזר גורדון המנוח כמי שחוזר על הפסוק ומחיל אותו על אסונו שלו, שכן “גם הוא, כביכול, ‘נחטף’ </w:t>
      </w:r>
      <w:proofErr w:type="spellStart"/>
      <w:r>
        <w:rPr>
          <w:rtl/>
        </w:rPr>
        <w:t>מ‘ארץ</w:t>
      </w:r>
      <w:proofErr w:type="spellEnd"/>
      <w:r>
        <w:rPr>
          <w:rtl/>
        </w:rPr>
        <w:t xml:space="preserve"> העברים</w:t>
      </w:r>
      <w:bookmarkStart w:id="5541" w:name="_fnr4194"/>
      <w:r>
        <w:rPr>
          <w:vertAlign w:val="superscript"/>
          <w:rtl/>
        </w:rPr>
        <w:footnoteReference w:id="4204" w:customMarkFollows="0"/>
      </w:r>
      <w:bookmarkEnd w:id="5541"/>
      <w:r>
        <w:rPr>
          <w:rtl/>
        </w:rPr>
        <w:t xml:space="preserve">’ למקום שבו לא עשה דבר (במסע ההתרמות שלו, אלא נשבר לבו וסופו) שהושם בבור (בקבר)”. בכך רמז ר׳ </w:t>
      </w:r>
      <w:proofErr w:type="spellStart"/>
      <w:r>
        <w:rPr>
          <w:rtl/>
        </w:rPr>
        <w:t>שמואל־יצחק</w:t>
      </w:r>
      <w:proofErr w:type="spellEnd"/>
      <w:r>
        <w:rPr>
          <w:rtl/>
        </w:rPr>
        <w:t xml:space="preserve"> </w:t>
      </w:r>
      <w:proofErr w:type="spellStart"/>
      <w:r>
        <w:rPr>
          <w:rtl/>
        </w:rPr>
        <w:t>הילמן</w:t>
      </w:r>
      <w:proofErr w:type="spellEnd"/>
      <w:r>
        <w:rPr>
          <w:rtl/>
        </w:rPr>
        <w:t xml:space="preserve"> שמסע ההתרמות הכושל של ר׳ לייזר בלונדון הביא למותו בטרם עת.</w:t>
      </w:r>
    </w:p>
    <w:p w14:paraId="5711FCA3" w14:textId="77777777" w:rsidR="00AB3647" w:rsidRDefault="00000000" w:rsidP="007923E9">
      <w:pPr>
        <w:spacing w:after="120" w:line="276" w:lineRule="auto"/>
        <w:ind w:firstLine="283"/>
        <w:jc w:val="both"/>
      </w:pPr>
      <w:r>
        <w:rPr>
          <w:rtl/>
        </w:rPr>
        <w:t>ר׳ לייזר נקבר בבית העלמין של חברת בני ישראל, צפונית ללונדון, ונר תמיד דולק באוהל שעל קברו. זכיתי לבקר באוהל ולקרוא את הכתובת הנלהבת</w:t>
      </w:r>
      <w:bookmarkStart w:id="5542" w:name="_fnr4195"/>
      <w:r>
        <w:rPr>
          <w:vertAlign w:val="superscript"/>
          <w:rtl/>
        </w:rPr>
        <w:footnoteReference w:id="4205" w:customMarkFollows="0"/>
      </w:r>
      <w:bookmarkEnd w:id="5542"/>
      <w:r>
        <w:rPr>
          <w:rtl/>
        </w:rPr>
        <w:t xml:space="preserve"> שעל לוח האבן הגדול הקבוע בקירו האחורי מבחוץ. מבנה הקבר עשוי לבנים ומכוסה בגג מחודד מחופה רעפים, ונראה כבית זעיר. לאוהל, ששטחו שישה מטרים רבועים, נכנסים בדלת עץ נגררת, ובתוכו קבר פשוט ועליו מצבה קטנה.</w:t>
      </w:r>
    </w:p>
    <w:p w14:paraId="6815EF3A" w14:textId="77777777" w:rsidR="00AB3647" w:rsidRDefault="00000000" w:rsidP="007923E9">
      <w:pPr>
        <w:spacing w:after="120" w:line="276" w:lineRule="auto"/>
        <w:ind w:firstLine="283"/>
        <w:jc w:val="both"/>
      </w:pPr>
      <w:r>
        <w:rPr>
          <w:rtl/>
        </w:rPr>
        <w:t xml:space="preserve">תחושת האשמה של יהדות לונדון סוכמה היטב במכתב ליומון הוילנאי “הד הזמן”</w:t>
      </w:r>
      <w:bookmarkStart w:id="5543" w:name="_fnr4196"/>
      <w:r>
        <w:rPr>
          <w:vertAlign w:val="superscript"/>
          <w:rtl/>
        </w:rPr>
        <w:footnoteReference w:id="4206" w:customMarkFollows="0"/>
      </w:r>
      <w:bookmarkEnd w:id="5543"/>
      <w:r>
        <w:rPr>
          <w:rtl/>
        </w:rPr>
        <w:t xml:space="preserve">, החתום “ל.ש. </w:t>
      </w:r>
      <w:proofErr w:type="spellStart"/>
      <w:r>
        <w:rPr>
          <w:rtl/>
        </w:rPr>
        <w:t>קרידיטוב</w:t>
      </w:r>
      <w:proofErr w:type="spellEnd"/>
      <w:r>
        <w:rPr>
          <w:rtl/>
        </w:rPr>
        <w:t>, לונדון”: “אחרי פטירת אורחנו הגדול רצו בני עירנו לתקן את העוול שנעשה לו בעירנו בחייו. את הכבוד שמנעו ממנו בשבוע שבו שהה כאן ביקשו לחלוק ביום השלישי אחרי מותו” – אז התקיימה ההלוויה, אחרי שהשלטונות הבריטיים חקרו את סיבת מותו של הזר – “כאילו רצו לכפר על קבלת הפנים הצוננת והאכזרית שניתנה לו, אשר בוודאי החישה את פטירתו.”</w:t>
      </w:r>
    </w:p>
    <w:bookmarkStart w:id="5544" w:name="b4_excL"/>
    <w:bookmarkStart w:id="5545" w:name="b4_annexL"/>
    <w:p w14:paraId="2C876122" w14:textId="77777777" w:rsidR="00AB3647" w:rsidRDefault="00000000" w:rsidP="007923E9">
      <w:pPr>
        <w:pStyle w:val="3"/>
        <w:pageBreakBefore w:val="0"/>
        <w:spacing w:line="276" w:lineRule="auto"/>
      </w:pPr>
      <w:r>
        <w:lastRenderedPageBreak/>
        <w:fldChar w:fldCharType="begin" w:dirty="true"/>
      </w:r>
      <w:r>
        <w:rPr>
          <w:rtl w:val="0"/>
        </w:rPr>
        <w:instrText>HYPERLINK \l "b4_note93</w:instrText>
      </w:r>
      <w:r>
        <w:instrText>"</w:instrText>
      </w:r>
      <w:r>
        <w:fldChar w:fldCharType="separate"/>
      </w:r>
      <w:r>
        <w:t xml:space="preserve">נספח </w:t>
      </w:r>
      <w:proofErr w:type="spellStart"/>
      <w:r>
        <w:t>יב</w:t>
      </w:r>
      <w:proofErr w:type="spellEnd"/>
      <w:r>
        <w:fldChar w:fldCharType="end"/>
      </w:r>
      <w:bookmarkEnd w:id="5544"/>
      <w:bookmarkEnd w:id="5545"/>
    </w:p>
    <w:p w14:paraId="60A61FC1" w14:textId="77777777" w:rsidR="00AB3647" w:rsidRDefault="00000000" w:rsidP="007923E9">
      <w:pPr>
        <w:pStyle w:val="af"/>
        <w:spacing w:line="276" w:lineRule="auto"/>
      </w:pPr>
      <w:r>
        <w:t xml:space="preserve">על הנסיבות שהביאו למינויו של ר׳ לייזר גורדון לרבנות </w:t>
      </w:r>
      <w:proofErr w:type="spellStart"/>
      <w:r>
        <w:t>טלז</w:t>
      </w:r>
      <w:proofErr w:type="spellEnd"/>
    </w:p>
    <w:p w14:paraId="601D171D" w14:textId="77777777" w:rsidR="00AB3647" w:rsidRDefault="00000000" w:rsidP="007923E9">
      <w:pPr>
        <w:pStyle w:val="4"/>
        <w:spacing w:line="276" w:lineRule="auto"/>
      </w:pPr>
      <w:r>
        <w:t>· הפסקה הראשונה ·</w:t>
      </w:r>
    </w:p>
    <w:p w14:paraId="570C91DE" w14:textId="77777777" w:rsidR="00AB3647" w:rsidRDefault="00000000" w:rsidP="007923E9">
      <w:pPr>
        <w:pStyle w:val="5"/>
        <w:spacing w:line="276" w:lineRule="auto"/>
      </w:pPr>
      <w:r>
        <w:rPr>
          <w:bCs/>
          <w:szCs w:val="26"/>
        </w:rPr>
        <w:t xml:space="preserve">ישיבה נפתחת </w:t>
      </w:r>
      <w:proofErr w:type="spellStart"/>
      <w:r>
        <w:rPr>
          <w:bCs/>
          <w:szCs w:val="26"/>
        </w:rPr>
        <w:t>בטלז</w:t>
      </w:r>
      <w:proofErr w:type="spellEnd"/>
      <w:r>
        <w:rPr>
          <w:bCs/>
          <w:szCs w:val="26"/>
        </w:rPr>
        <w:t xml:space="preserve"> – ר׳ מאיר אטלס המבוגר מוותר כדי שר׳ </w:t>
      </w:r>
      <w:proofErr w:type="spellStart"/>
      <w:r>
        <w:rPr>
          <w:bCs/>
          <w:szCs w:val="26"/>
        </w:rPr>
        <w:t>הירש־יעקב</w:t>
      </w:r>
      <w:proofErr w:type="spellEnd"/>
      <w:r>
        <w:rPr>
          <w:bCs/>
          <w:szCs w:val="26"/>
        </w:rPr>
        <w:t xml:space="preserve"> </w:t>
      </w:r>
      <w:proofErr w:type="spellStart"/>
      <w:r>
        <w:rPr>
          <w:bCs/>
          <w:szCs w:val="26"/>
        </w:rPr>
        <w:t>אופנהיים</w:t>
      </w:r>
      <w:proofErr w:type="spellEnd"/>
      <w:r>
        <w:rPr>
          <w:bCs/>
          <w:szCs w:val="26"/>
        </w:rPr>
        <w:t xml:space="preserve"> ייקח את השיעור הגבוה – ר׳ מאיר אטלס מתקדם מן השיעור הנמוך כשר׳ </w:t>
      </w:r>
      <w:proofErr w:type="spellStart"/>
      <w:r>
        <w:rPr>
          <w:bCs/>
          <w:szCs w:val="26"/>
        </w:rPr>
        <w:t>הירש־יעקב</w:t>
      </w:r>
      <w:proofErr w:type="spellEnd"/>
      <w:r>
        <w:rPr>
          <w:bCs/>
          <w:szCs w:val="26"/>
        </w:rPr>
        <w:t xml:space="preserve"> עוזב למשרת הרבנות </w:t>
      </w:r>
      <w:proofErr w:type="spellStart"/>
      <w:r>
        <w:rPr>
          <w:bCs/>
          <w:szCs w:val="26"/>
        </w:rPr>
        <w:t>בציטוביאן</w:t>
      </w:r>
      <w:proofErr w:type="spellEnd"/>
      <w:r>
        <w:rPr>
          <w:bCs/>
          <w:szCs w:val="26"/>
        </w:rPr>
        <w:t>.</w:t>
      </w:r>
    </w:p>
    <w:p w14:paraId="1844E5CA" w14:textId="33FDA9E0" w:rsidR="00AB3647" w:rsidRDefault="00000000" w:rsidP="007923E9">
      <w:pPr>
        <w:spacing w:after="120" w:line="276" w:lineRule="auto"/>
        <w:ind w:firstLine="283"/>
        <w:jc w:val="both"/>
      </w:pPr>
      <w:r>
        <w:rPr>
          <w:rtl/>
        </w:rPr>
        <w:t xml:space="preserve">השווה לפרק 3, סוף </w:t>
      </w:r>
      <w:r>
        <w:rPr>
          <w:rtl/>
        </w:rPr>
        <w:fldChar w:fldCharType="begin" w:dirty="true"/>
      </w:r>
      <w:r>
        <w:rPr>
          <w:rtl/>
        </w:rPr>
        <w:instrText xml:space="preserve"> REF b3_excQ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יז</w:t>
      </w:r>
      <w:proofErr w:type="spellEnd"/>
      <w:r>
        <w:rPr>
          <w:rtl/>
        </w:rPr>
        <w:fldChar w:fldCharType="end"/>
      </w:r>
      <w:r>
        <w:rPr>
          <w:rtl/>
        </w:rPr>
        <w:t xml:space="preserve">, על מעורבות הסבא בהקמת ישיבת </w:t>
      </w:r>
      <w:proofErr w:type="spellStart"/>
      <w:r>
        <w:rPr>
          <w:rtl/>
        </w:rPr>
        <w:t>טלז</w:t>
      </w:r>
      <w:proofErr w:type="spellEnd"/>
      <w:r>
        <w:rPr>
          <w:rtl/>
        </w:rPr>
        <w:t>. בשיחה המוקלטת עם אברכי הכולל של ישיבת רבנו ישראל מאיר הכהן</w:t>
      </w:r>
      <w:bookmarkStart w:id="5546" w:name="_fnr4197"/>
      <w:r>
        <w:rPr>
          <w:vertAlign w:val="superscript"/>
          <w:rtl/>
        </w:rPr>
        <w:footnoteReference w:id="4207" w:customMarkFollows="0"/>
      </w:r>
      <w:bookmarkEnd w:id="5546"/>
      <w:r>
        <w:rPr>
          <w:rtl/>
        </w:rPr>
        <w:t xml:space="preserve"> השלים אבי את הפרטים הבאים</w:t>
      </w:r>
      <w:bookmarkStart w:id="5547" w:name="_fnr4198"/>
      <w:r>
        <w:rPr>
          <w:vertAlign w:val="superscript"/>
          <w:rtl/>
        </w:rPr>
        <w:footnoteReference w:id="4208" w:customMarkFollows="0"/>
      </w:r>
      <w:bookmarkEnd w:id="5547"/>
      <w:r>
        <w:rPr>
          <w:rtl/>
        </w:rPr>
        <w:t xml:space="preserve">. בפתיחתה היו בישיבת </w:t>
      </w:r>
      <w:proofErr w:type="spellStart"/>
      <w:r>
        <w:rPr>
          <w:rtl/>
        </w:rPr>
        <w:t>טלז</w:t>
      </w:r>
      <w:proofErr w:type="spellEnd"/>
      <w:r>
        <w:rPr>
          <w:rtl/>
        </w:rPr>
        <w:t xml:space="preserve"> עשרה תלמידים, ולפחות שניים מהם הכיר הסבא </w:t>
      </w:r>
      <w:proofErr w:type="spellStart"/>
      <w:r>
        <w:rPr>
          <w:rtl/>
        </w:rPr>
        <w:t>מגרובין</w:t>
      </w:r>
      <w:proofErr w:type="spellEnd"/>
      <w:r>
        <w:rPr>
          <w:rtl/>
        </w:rPr>
        <w:t xml:space="preserve">, והוא שלח אותם </w:t>
      </w:r>
      <w:proofErr w:type="spellStart"/>
      <w:r>
        <w:rPr>
          <w:rtl/>
        </w:rPr>
        <w:t>לטלז</w:t>
      </w:r>
      <w:bookmarkStart w:id="5548" w:name="_fnr4199"/>
      <w:proofErr w:type="spellEnd"/>
      <w:r>
        <w:rPr>
          <w:vertAlign w:val="superscript"/>
          <w:rtl/>
        </w:rPr>
        <w:footnoteReference w:id="4209" w:customMarkFollows="0"/>
      </w:r>
      <w:bookmarkEnd w:id="5548"/>
      <w:r>
        <w:rPr>
          <w:rtl/>
        </w:rPr>
        <w:t xml:space="preserve">. היו בה שתי רמות: ר׳ </w:t>
      </w:r>
      <w:proofErr w:type="spellStart"/>
      <w:r>
        <w:rPr>
          <w:rtl/>
        </w:rPr>
        <w:t>הירש־יעקב</w:t>
      </w:r>
      <w:proofErr w:type="spellEnd"/>
      <w:r>
        <w:rPr>
          <w:rtl/>
        </w:rPr>
        <w:t xml:space="preserve"> </w:t>
      </w:r>
      <w:proofErr w:type="spellStart"/>
      <w:r>
        <w:rPr>
          <w:rtl/>
        </w:rPr>
        <w:t>אופנהיים</w:t>
      </w:r>
      <w:proofErr w:type="spellEnd"/>
      <w:r>
        <w:rPr>
          <w:rtl/>
        </w:rPr>
        <w:t xml:space="preserve"> מסר את השיעור הגבוה, ור׳ מאיר אטלס את הנמוך.</w:t>
      </w:r>
    </w:p>
    <w:p w14:paraId="26303EB1" w14:textId="77777777" w:rsidR="00AB3647" w:rsidRDefault="00000000" w:rsidP="007923E9">
      <w:pPr>
        <w:spacing w:after="120" w:line="276" w:lineRule="auto"/>
        <w:ind w:firstLine="283"/>
        <w:jc w:val="both"/>
      </w:pPr>
      <w:r>
        <w:rPr>
          <w:rtl/>
        </w:rPr>
        <w:t xml:space="preserve">לפי ר׳ יצחק </w:t>
      </w:r>
      <w:proofErr w:type="spellStart"/>
      <w:r>
        <w:rPr>
          <w:rtl/>
        </w:rPr>
        <w:t>קנובל</w:t>
      </w:r>
      <w:bookmarkStart w:id="5549" w:name="_fnr4200"/>
      <w:proofErr w:type="spellEnd"/>
      <w:r>
        <w:rPr>
          <w:vertAlign w:val="superscript"/>
          <w:rtl/>
        </w:rPr>
        <w:footnoteReference w:id="4210" w:customMarkFollows="0"/>
      </w:r>
      <w:bookmarkEnd w:id="5549"/>
      <w:r>
        <w:rPr>
          <w:rtl/>
        </w:rPr>
        <w:t>, אבי דיבר על היכולת להעדיף את טובת הזולת על טובת עצמך, וסיפר שר׳ מאיר אטלס הציע לקבל עליו את השיעור הנמוך</w:t>
      </w:r>
      <w:bookmarkStart w:id="5550" w:name="_fnr4201"/>
      <w:r>
        <w:rPr>
          <w:vertAlign w:val="superscript"/>
          <w:rtl/>
        </w:rPr>
        <w:footnoteReference w:id="4211" w:customMarkFollows="0"/>
      </w:r>
      <w:bookmarkEnd w:id="5550"/>
      <w:r>
        <w:rPr>
          <w:rtl/>
        </w:rPr>
        <w:t xml:space="preserve">. רבנו ציטט את הסבא </w:t>
      </w:r>
      <w:proofErr w:type="spellStart"/>
      <w:r>
        <w:rPr>
          <w:rtl/>
        </w:rPr>
        <w:t>מסלבודקה</w:t>
      </w:r>
      <w:proofErr w:type="spellEnd"/>
      <w:r>
        <w:rPr>
          <w:rtl/>
        </w:rPr>
        <w:t xml:space="preserve">, שבשכר מעשה זה “זכה ר׳ מאיר אטלס לכהונות רמות יותר משל ר׳ </w:t>
      </w:r>
      <w:proofErr w:type="spellStart"/>
      <w:r>
        <w:rPr>
          <w:rtl/>
        </w:rPr>
        <w:t>הירש־יעקב</w:t>
      </w:r>
      <w:proofErr w:type="spellEnd"/>
      <w:r>
        <w:rPr>
          <w:rtl/>
        </w:rPr>
        <w:t xml:space="preserve"> </w:t>
      </w:r>
      <w:proofErr w:type="spellStart"/>
      <w:r>
        <w:rPr>
          <w:rtl/>
        </w:rPr>
        <w:t>אופנהיים</w:t>
      </w:r>
      <w:proofErr w:type="spellEnd"/>
      <w:r>
        <w:rPr>
          <w:rtl/>
        </w:rPr>
        <w:t xml:space="preserve"> במשך כל חייו”. ר׳ מאיר אטלס היה רב </w:t>
      </w:r>
      <w:proofErr w:type="spellStart"/>
      <w:r>
        <w:rPr>
          <w:rtl/>
        </w:rPr>
        <w:t>בליבאו</w:t>
      </w:r>
      <w:proofErr w:type="spellEnd"/>
      <w:r>
        <w:rPr>
          <w:rtl/>
        </w:rPr>
        <w:t xml:space="preserve"> (לטביה), </w:t>
      </w:r>
      <w:proofErr w:type="spellStart"/>
      <w:r>
        <w:rPr>
          <w:rtl/>
        </w:rPr>
        <w:t>בסלנט</w:t>
      </w:r>
      <w:proofErr w:type="spellEnd"/>
      <w:r>
        <w:rPr>
          <w:rtl/>
        </w:rPr>
        <w:t xml:space="preserve">, </w:t>
      </w:r>
      <w:proofErr w:type="spellStart"/>
      <w:r>
        <w:rPr>
          <w:rtl/>
        </w:rPr>
        <w:t>בקוברין</w:t>
      </w:r>
      <w:proofErr w:type="spellEnd"/>
      <w:r>
        <w:rPr>
          <w:rtl/>
        </w:rPr>
        <w:t xml:space="preserve"> ולבסוף </w:t>
      </w:r>
      <w:proofErr w:type="spellStart"/>
      <w:r>
        <w:rPr>
          <w:rtl/>
        </w:rPr>
        <w:t>בשאוול</w:t>
      </w:r>
      <w:proofErr w:type="spellEnd"/>
      <w:r>
        <w:rPr>
          <w:rtl/>
        </w:rPr>
        <w:t xml:space="preserve">, העיר השנייה בגודלה בליטא. ר׳ </w:t>
      </w:r>
      <w:proofErr w:type="spellStart"/>
      <w:r>
        <w:rPr>
          <w:rtl/>
        </w:rPr>
        <w:t>הירש־יעקב</w:t>
      </w:r>
      <w:proofErr w:type="spellEnd"/>
      <w:r>
        <w:rPr>
          <w:rtl/>
        </w:rPr>
        <w:t xml:space="preserve"> </w:t>
      </w:r>
      <w:proofErr w:type="spellStart"/>
      <w:r>
        <w:rPr>
          <w:rtl/>
        </w:rPr>
        <w:t>אופנהיים</w:t>
      </w:r>
      <w:proofErr w:type="spellEnd"/>
      <w:r>
        <w:rPr>
          <w:rtl/>
        </w:rPr>
        <w:t xml:space="preserve"> היה רב </w:t>
      </w:r>
      <w:proofErr w:type="spellStart"/>
      <w:r>
        <w:rPr>
          <w:rtl/>
        </w:rPr>
        <w:t>בציטוביאן</w:t>
      </w:r>
      <w:proofErr w:type="spellEnd"/>
      <w:r>
        <w:rPr>
          <w:rtl/>
        </w:rPr>
        <w:t xml:space="preserve"> ולבסוף </w:t>
      </w:r>
      <w:proofErr w:type="spellStart"/>
      <w:r>
        <w:rPr>
          <w:rtl/>
        </w:rPr>
        <w:t>בקלם</w:t>
      </w:r>
      <w:proofErr w:type="spellEnd"/>
      <w:r>
        <w:rPr>
          <w:rtl/>
        </w:rPr>
        <w:t>.</w:t>
      </w:r>
    </w:p>
    <w:p w14:paraId="23E1CAA5" w14:textId="77777777" w:rsidR="00AB3647" w:rsidRDefault="00000000" w:rsidP="007923E9">
      <w:pPr>
        <w:spacing w:after="120" w:line="276" w:lineRule="auto"/>
        <w:ind w:firstLine="283"/>
        <w:jc w:val="both"/>
      </w:pPr>
      <w:r>
        <w:rPr>
          <w:rtl/>
        </w:rPr>
        <w:t>בהזדמנות אחרת, כשעמד על הלקח המוסרי שבמעשהו של ר׳ מאיר אטלס, הרחיב אבי הן על גודל הניסיון של ר׳ מאיר והן על גודל השכר על העמידה בו</w:t>
      </w:r>
      <w:bookmarkStart w:id="5551" w:name="_fnr4202"/>
      <w:r>
        <w:rPr>
          <w:vertAlign w:val="superscript"/>
          <w:rtl/>
        </w:rPr>
        <w:footnoteReference w:id="4212" w:customMarkFollows="0"/>
      </w:r>
      <w:bookmarkEnd w:id="5551"/>
      <w:r>
        <w:rPr>
          <w:rtl/>
        </w:rPr>
        <w:t xml:space="preserve">. הוא הסביר שבאותן שנים, להעדיף את הזולת על עצמך פירושו היה לוותר לא רק על כבוד לעצמך ולמשפחת אשתך, אלא גם על פרנסה טובה יותר: כשהתפנתה רבנות, הציעו אותה כמובן למי שמסר את השיעור הגבוה. “מעמדו של ראש ישיבה היה נמוך משל רב באותם ימים, וראשי ישיבות היו מתפטרים מתפקידם כדי לקבל רבנות. לפיכך התמריץ למסור את השיעור הגבוה היה עצום”, אמר. אחר כך הוסיף: “השכר שקיבל ר׳ מאיר אטלס היה גדול יותר מן הזכייה </w:t>
      </w:r>
      <w:proofErr w:type="spellStart"/>
      <w:r>
        <w:rPr>
          <w:rtl/>
        </w:rPr>
        <w:t>ברבנויות</w:t>
      </w:r>
      <w:proofErr w:type="spellEnd"/>
      <w:r>
        <w:rPr>
          <w:rtl/>
        </w:rPr>
        <w:t xml:space="preserve"> מכובדות יותר שעליה דיבר ר׳ </w:t>
      </w:r>
      <w:proofErr w:type="spellStart"/>
      <w:r>
        <w:rPr>
          <w:rtl/>
        </w:rPr>
        <w:t>נתן־צבי</w:t>
      </w:r>
      <w:proofErr w:type="spellEnd"/>
      <w:r>
        <w:rPr>
          <w:rtl/>
        </w:rPr>
        <w:t xml:space="preserve"> </w:t>
      </w:r>
      <w:proofErr w:type="spellStart"/>
      <w:r>
        <w:rPr>
          <w:rtl/>
        </w:rPr>
        <w:t>פינקל</w:t>
      </w:r>
      <w:proofErr w:type="spellEnd"/>
      <w:r>
        <w:rPr>
          <w:rtl/>
        </w:rPr>
        <w:t xml:space="preserve">. הוא זכה ששניים מגדולי חכמי הדור היו חתניו: ר׳ אלחנן וסרמן </w:t>
      </w:r>
      <w:r>
        <w:rPr>
          <w:rtl/>
        </w:rPr>
        <w:lastRenderedPageBreak/>
        <w:t xml:space="preserve">ור׳ </w:t>
      </w:r>
      <w:proofErr w:type="spellStart"/>
      <w:r>
        <w:rPr>
          <w:rtl/>
        </w:rPr>
        <w:t>חיים־עוזר</w:t>
      </w:r>
      <w:proofErr w:type="spellEnd"/>
      <w:r>
        <w:rPr>
          <w:rtl/>
        </w:rPr>
        <w:t xml:space="preserve"> </w:t>
      </w:r>
      <w:proofErr w:type="spellStart"/>
      <w:r>
        <w:rPr>
          <w:rtl/>
        </w:rPr>
        <w:t>גרודזנסקי</w:t>
      </w:r>
      <w:proofErr w:type="spellEnd"/>
      <w:r>
        <w:rPr>
          <w:rtl/>
        </w:rPr>
        <w:t>. האם אתם חושבים שזוכים לכך משום שאדם למדן? משום שהוא ירא שמים? לא, משום שהוא מקדים את האחר לעצמו”.</w:t>
      </w:r>
    </w:p>
    <w:p w14:paraId="2827D437" w14:textId="77777777" w:rsidR="00AB3647" w:rsidRDefault="00000000" w:rsidP="007923E9">
      <w:pPr>
        <w:spacing w:after="120" w:line="276" w:lineRule="auto"/>
        <w:ind w:firstLine="283"/>
        <w:jc w:val="both"/>
      </w:pPr>
      <w:r>
        <w:rPr>
          <w:rtl/>
        </w:rPr>
        <w:t>השווה גם “מכתבים”</w:t>
      </w:r>
      <w:bookmarkStart w:id="5552" w:name="_fnr4203"/>
      <w:r>
        <w:rPr>
          <w:vertAlign w:val="superscript"/>
          <w:rtl/>
        </w:rPr>
        <w:footnoteReference w:id="4213" w:customMarkFollows="0"/>
      </w:r>
      <w:bookmarkEnd w:id="5552"/>
      <w:r>
        <w:rPr>
          <w:rtl/>
        </w:rPr>
        <w:t xml:space="preserve">, שם כותב בנו של החפץ חיים, ר׳ </w:t>
      </w:r>
      <w:proofErr w:type="spellStart"/>
      <w:r>
        <w:rPr>
          <w:rtl/>
        </w:rPr>
        <w:t>אריה־לייב</w:t>
      </w:r>
      <w:proofErr w:type="spellEnd"/>
      <w:r>
        <w:rPr>
          <w:rtl/>
        </w:rPr>
        <w:t xml:space="preserve"> </w:t>
      </w:r>
      <w:proofErr w:type="spellStart"/>
      <w:r>
        <w:rPr>
          <w:rtl/>
        </w:rPr>
        <w:t>פופקו</w:t>
      </w:r>
      <w:proofErr w:type="spellEnd"/>
      <w:r>
        <w:rPr>
          <w:rtl/>
        </w:rPr>
        <w:t xml:space="preserve">: “איזה שנים לפני הסתלקותו, בבואי אליו קרא פעם את בני ביתו ואמר להם דעו כי בכל ימי חיי נזהרתי שלא לדחות לשום אדם, אדרבה הייתי תמיד נדחה, וכך טוב הוא לאדם... וכה היה דברו תמיד, מען </w:t>
      </w:r>
      <w:proofErr w:type="spellStart"/>
      <w:r>
        <w:rPr>
          <w:rtl/>
        </w:rPr>
        <w:t>דארף</w:t>
      </w:r>
      <w:proofErr w:type="spellEnd"/>
      <w:r>
        <w:rPr>
          <w:rtl/>
        </w:rPr>
        <w:t xml:space="preserve"> </w:t>
      </w:r>
      <w:proofErr w:type="spellStart"/>
      <w:r>
        <w:rPr>
          <w:rtl/>
        </w:rPr>
        <w:t>איבער</w:t>
      </w:r>
      <w:proofErr w:type="spellEnd"/>
      <w:r>
        <w:rPr>
          <w:rtl/>
        </w:rPr>
        <w:t xml:space="preserve"> </w:t>
      </w:r>
      <w:proofErr w:type="spellStart"/>
      <w:r>
        <w:rPr>
          <w:rtl/>
        </w:rPr>
        <w:t>לאזען</w:t>
      </w:r>
      <w:proofErr w:type="spellEnd"/>
      <w:r>
        <w:rPr>
          <w:rtl/>
        </w:rPr>
        <w:t xml:space="preserve"> </w:t>
      </w:r>
      <w:proofErr w:type="spellStart"/>
      <w:r>
        <w:rPr>
          <w:rtl/>
        </w:rPr>
        <w:t>אלעמען</w:t>
      </w:r>
      <w:proofErr w:type="spellEnd"/>
      <w:r>
        <w:rPr>
          <w:rtl/>
        </w:rPr>
        <w:t xml:space="preserve"> [צריך להניח לכולם ללכת לפניך]”. </w:t>
      </w:r>
      <w:proofErr w:type="spellStart"/>
      <w:r>
        <w:rPr>
          <w:rtl/>
        </w:rPr>
        <w:t>ב“המאיר</w:t>
      </w:r>
      <w:proofErr w:type="spellEnd"/>
      <w:r>
        <w:rPr>
          <w:rtl/>
        </w:rPr>
        <w:t xml:space="preserve"> – ספר </w:t>
      </w:r>
      <w:proofErr w:type="spellStart"/>
      <w:r>
        <w:rPr>
          <w:rtl/>
        </w:rPr>
        <w:t>זכרון</w:t>
      </w:r>
      <w:proofErr w:type="spellEnd"/>
      <w:r>
        <w:rPr>
          <w:rtl/>
        </w:rPr>
        <w:t>” מובא שאבי אמר</w:t>
      </w:r>
      <w:bookmarkStart w:id="5553" w:name="_fnr4204"/>
      <w:r>
        <w:rPr>
          <w:vertAlign w:val="superscript"/>
          <w:rtl/>
        </w:rPr>
        <w:footnoteReference w:id="4214" w:customMarkFollows="0"/>
      </w:r>
      <w:bookmarkEnd w:id="5553"/>
      <w:r>
        <w:rPr>
          <w:rtl/>
        </w:rPr>
        <w:t>: “</w:t>
      </w:r>
      <w:proofErr w:type="spellStart"/>
      <w:r>
        <w:rPr>
          <w:rtl/>
        </w:rPr>
        <w:t>סלבודקה</w:t>
      </w:r>
      <w:proofErr w:type="spellEnd"/>
      <w:r>
        <w:rPr>
          <w:rtl/>
        </w:rPr>
        <w:t xml:space="preserve"> לימדה שכדי לוותר אין צורך להיות צדיק, אלא רק בר דעת – מפני שבסופו של דבר, המוותרים משיגים את כל מה שהם רוצים [ראויים לו]”.</w:t>
      </w:r>
    </w:p>
    <w:p w14:paraId="1B050545" w14:textId="77777777" w:rsidR="00AB3647" w:rsidRDefault="00000000" w:rsidP="007923E9">
      <w:pPr>
        <w:spacing w:after="120" w:line="276" w:lineRule="auto"/>
        <w:ind w:firstLine="283"/>
        <w:jc w:val="both"/>
      </w:pPr>
      <w:r>
        <w:rPr>
          <w:rtl/>
        </w:rPr>
        <w:t xml:space="preserve">עדינותו של ר׳ מאיר אטלס זכתה להערכה רבה בעיר </w:t>
      </w:r>
      <w:proofErr w:type="spellStart"/>
      <w:r>
        <w:rPr>
          <w:rtl/>
        </w:rPr>
        <w:t>רבנותו</w:t>
      </w:r>
      <w:proofErr w:type="spellEnd"/>
      <w:r>
        <w:rPr>
          <w:rtl/>
        </w:rPr>
        <w:t xml:space="preserve"> האחרונה. יושב ראש אספה של זקני שאוול אמר</w:t>
      </w:r>
      <w:bookmarkStart w:id="5554" w:name="_fnr4205"/>
      <w:r>
        <w:rPr>
          <w:vertAlign w:val="superscript"/>
          <w:rtl/>
        </w:rPr>
        <w:footnoteReference w:id="4215" w:customMarkFollows="0"/>
      </w:r>
      <w:bookmarkEnd w:id="5554"/>
      <w:r>
        <w:rPr>
          <w:rtl/>
        </w:rPr>
        <w:t>: “חשבנו שלקחנו לנו לרב ‘אטלס [ביידיש: סאטן]’, אבל גילינו שקיבלנו במקומו ‘</w:t>
      </w:r>
      <w:proofErr w:type="spellStart"/>
      <w:r>
        <w:rPr>
          <w:rtl/>
        </w:rPr>
        <w:t>זיידע</w:t>
      </w:r>
      <w:proofErr w:type="spellEnd"/>
      <w:r>
        <w:rPr>
          <w:rtl/>
        </w:rPr>
        <w:t xml:space="preserve"> [ביידיש: משי]’ [היקר יותר]”. כעבור חצי שנה סיים ר׳ </w:t>
      </w:r>
      <w:proofErr w:type="spellStart"/>
      <w:r>
        <w:rPr>
          <w:rtl/>
        </w:rPr>
        <w:t>הירש־יעקב</w:t>
      </w:r>
      <w:proofErr w:type="spellEnd"/>
      <w:r>
        <w:rPr>
          <w:rtl/>
        </w:rPr>
        <w:t xml:space="preserve"> </w:t>
      </w:r>
      <w:proofErr w:type="spellStart"/>
      <w:r>
        <w:rPr>
          <w:rtl/>
        </w:rPr>
        <w:t>אופנהיים</w:t>
      </w:r>
      <w:proofErr w:type="spellEnd"/>
      <w:r>
        <w:rPr>
          <w:rtl/>
        </w:rPr>
        <w:t xml:space="preserve"> את תקופת </w:t>
      </w:r>
      <w:proofErr w:type="spellStart"/>
      <w:r>
        <w:rPr>
          <w:rtl/>
        </w:rPr>
        <w:t>הקעסט</w:t>
      </w:r>
      <w:proofErr w:type="spellEnd"/>
      <w:r>
        <w:rPr>
          <w:rtl/>
        </w:rPr>
        <w:t xml:space="preserve"> שלו ועזב את </w:t>
      </w:r>
      <w:proofErr w:type="spellStart"/>
      <w:r>
        <w:rPr>
          <w:rtl/>
        </w:rPr>
        <w:t>טלז</w:t>
      </w:r>
      <w:proofErr w:type="spellEnd"/>
      <w:r>
        <w:rPr>
          <w:rtl/>
        </w:rPr>
        <w:t xml:space="preserve"> כדי לכהן כרב </w:t>
      </w:r>
      <w:proofErr w:type="spellStart"/>
      <w:r>
        <w:rPr>
          <w:rtl/>
        </w:rPr>
        <w:t>בציטוביאן</w:t>
      </w:r>
      <w:proofErr w:type="spellEnd"/>
      <w:r>
        <w:rPr>
          <w:rtl/>
        </w:rPr>
        <w:t xml:space="preserve"> (שבה כיהן אבי כעבור 45 שנה). אז עבר ר׳ מאיר אטלס למסור את השיעור הגבוה, ור׳ </w:t>
      </w:r>
      <w:proofErr w:type="spellStart"/>
      <w:r>
        <w:rPr>
          <w:rtl/>
        </w:rPr>
        <w:t>שלמה־זלמן</w:t>
      </w:r>
      <w:proofErr w:type="spellEnd"/>
      <w:r>
        <w:rPr>
          <w:rtl/>
        </w:rPr>
        <w:t xml:space="preserve"> אבל</w:t>
      </w:r>
      <w:bookmarkStart w:id="5555" w:name="_fnr4206"/>
      <w:r>
        <w:rPr>
          <w:vertAlign w:val="superscript"/>
          <w:rtl/>
        </w:rPr>
        <w:footnoteReference w:id="4216" w:customMarkFollows="0"/>
      </w:r>
      <w:bookmarkEnd w:id="5555"/>
      <w:r>
        <w:rPr>
          <w:rtl/>
        </w:rPr>
        <w:t xml:space="preserve"> קיבל עליו את השיעור הנמוך.</w:t>
      </w:r>
    </w:p>
    <w:p w14:paraId="2AA7DFE4" w14:textId="77777777" w:rsidR="00AB3647" w:rsidRDefault="00000000" w:rsidP="007923E9">
      <w:pPr>
        <w:pStyle w:val="4"/>
        <w:spacing w:line="276" w:lineRule="auto"/>
      </w:pPr>
      <w:r>
        <w:t>· הפסקה השנייה ·</w:t>
      </w:r>
    </w:p>
    <w:p w14:paraId="0544EDAC" w14:textId="77777777" w:rsidR="00AB3647" w:rsidRDefault="00000000" w:rsidP="007923E9">
      <w:pPr>
        <w:pStyle w:val="5"/>
        <w:spacing w:line="276" w:lineRule="auto"/>
      </w:pPr>
      <w:r>
        <w:rPr>
          <w:bCs/>
          <w:szCs w:val="26"/>
        </w:rPr>
        <w:t xml:space="preserve">דיין מעכב את </w:t>
      </w:r>
      <w:proofErr w:type="spellStart"/>
      <w:r>
        <w:rPr>
          <w:bCs/>
          <w:szCs w:val="26"/>
        </w:rPr>
        <w:t>טלז</w:t>
      </w:r>
      <w:proofErr w:type="spellEnd"/>
      <w:r>
        <w:rPr>
          <w:bCs/>
          <w:szCs w:val="26"/>
        </w:rPr>
        <w:t xml:space="preserve"> מלמנות רב – ר׳ מאיר אטלס מאלץ את העיר להביא את ר׳ לייזר גורדון – ר׳ מאיר אטלס אינו מתמודד על המשרה.</w:t>
      </w:r>
    </w:p>
    <w:p w14:paraId="405E89AB" w14:textId="77777777" w:rsidR="00AB3647" w:rsidRDefault="00000000" w:rsidP="007923E9">
      <w:pPr>
        <w:spacing w:after="120" w:line="276" w:lineRule="auto"/>
        <w:ind w:firstLine="283"/>
        <w:jc w:val="both"/>
      </w:pPr>
      <w:r>
        <w:rPr>
          <w:rtl/>
        </w:rPr>
        <w:t xml:space="preserve">נוכחותו של ר׳ מאיר אטלס </w:t>
      </w:r>
      <w:proofErr w:type="spellStart"/>
      <w:r>
        <w:rPr>
          <w:rtl/>
        </w:rPr>
        <w:t>בטלז</w:t>
      </w:r>
      <w:proofErr w:type="spellEnd"/>
      <w:r>
        <w:rPr>
          <w:rtl/>
        </w:rPr>
        <w:t xml:space="preserve">, יחד עם המעמד המכובד שהיה לו בישיבה, היא שיצרה למעשה את הנסיבות שאפשרו </w:t>
      </w:r>
      <w:proofErr w:type="spellStart"/>
      <w:r>
        <w:rPr>
          <w:rtl/>
        </w:rPr>
        <w:t>לר</w:t>
      </w:r>
      <w:proofErr w:type="spellEnd"/>
      <w:r>
        <w:rPr>
          <w:rtl/>
        </w:rPr>
        <w:t>׳ לייזר להיות רב העיר</w:t>
      </w:r>
      <w:bookmarkStart w:id="5556" w:name="_fnr4207"/>
      <w:r>
        <w:rPr>
          <w:vertAlign w:val="superscript"/>
          <w:rtl/>
        </w:rPr>
        <w:footnoteReference w:id="4217" w:customMarkFollows="0"/>
      </w:r>
      <w:bookmarkEnd w:id="5556"/>
      <w:r>
        <w:rPr>
          <w:rtl/>
        </w:rPr>
        <w:t>.</w:t>
      </w:r>
    </w:p>
    <w:p w14:paraId="05D44914" w14:textId="0BCE7629" w:rsidR="00AB3647" w:rsidRDefault="00000000" w:rsidP="007923E9">
      <w:pPr>
        <w:spacing w:after="120" w:line="276" w:lineRule="auto"/>
        <w:ind w:firstLine="283"/>
        <w:jc w:val="both"/>
      </w:pPr>
      <w:r>
        <w:rPr>
          <w:rtl/>
        </w:rPr>
        <w:t>“</w:t>
      </w:r>
      <w:proofErr w:type="spellStart"/>
      <w:r>
        <w:rPr>
          <w:rtl/>
        </w:rPr>
        <w:t>טלז</w:t>
      </w:r>
      <w:proofErr w:type="spellEnd"/>
      <w:r>
        <w:rPr>
          <w:rtl/>
        </w:rPr>
        <w:t xml:space="preserve"> הייתה בלי רב במשך כמה שנים</w:t>
      </w:r>
      <w:bookmarkStart w:id="5557" w:name="_fnr4208"/>
      <w:r>
        <w:rPr>
          <w:vertAlign w:val="superscript"/>
          <w:rtl/>
        </w:rPr>
        <w:footnoteReference w:id="4218" w:customMarkFollows="0"/>
      </w:r>
      <w:bookmarkEnd w:id="5557"/>
      <w:r>
        <w:rPr>
          <w:rtl/>
        </w:rPr>
        <w:t>”, אמר אבי, “מפני שהדיין לא הניח לעיר לקבל רב – עוד כמה מקומות סבלו מאותה בעיה</w:t>
      </w:r>
      <w:bookmarkStart w:id="5558" w:name="_fnr4209"/>
      <w:r>
        <w:rPr>
          <w:vertAlign w:val="superscript"/>
          <w:rtl/>
        </w:rPr>
        <w:footnoteReference w:id="4219" w:customMarkFollows="0"/>
      </w:r>
      <w:bookmarkEnd w:id="5558"/>
      <w:r>
        <w:rPr>
          <w:rtl/>
        </w:rPr>
        <w:t xml:space="preserve">. הדיין היה פיקח: הוא היה פוסק בשאלות ודן בדיני תורה – אז לשם מה היו צריכים רב?!” (אבי לא נקב בשמו של הדיין </w:t>
      </w:r>
      <w:proofErr w:type="spellStart"/>
      <w:r>
        <w:rPr>
          <w:rtl/>
        </w:rPr>
        <w:t>בטלז</w:t>
      </w:r>
      <w:proofErr w:type="spellEnd"/>
      <w:r>
        <w:rPr>
          <w:rtl/>
        </w:rPr>
        <w:t xml:space="preserve">, אבל השווה לפסקה השלישית של </w:t>
      </w:r>
      <w:r>
        <w:rPr>
          <w:rtl/>
        </w:rPr>
        <w:fldChar w:fldCharType="begin" w:dirty="true"/>
      </w:r>
      <w:r>
        <w:rPr>
          <w:rtl/>
        </w:rPr>
        <w:instrText xml:space="preserve"> REF b4_excK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יא</w:t>
      </w:r>
      <w:r>
        <w:rPr>
          <w:rtl/>
        </w:rPr>
        <w:fldChar w:fldCharType="end"/>
      </w:r>
      <w:r>
        <w:rPr>
          <w:rtl/>
        </w:rPr>
        <w:t xml:space="preserve"> לעיל: כפי שצוין שם בהערת שוליים </w:t>
      </w:r>
      <w:r>
        <w:rPr>
          <w:rtl/>
        </w:rPr>
        <w:fldChar w:fldCharType="begin" w:dirty="true"/>
      </w:r>
      <w:r>
        <w:rPr>
          <w:rtl/>
        </w:rPr>
        <w:instrText xml:space="preserve"> NOTEREF pr_f_4067 \h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Pr>
          <w:rtl/>
        </w:rPr>
        <w:t>1144</w:t>
      </w:r>
      <w:r>
        <w:rPr>
          <w:rtl/>
        </w:rPr>
        <w:fldChar w:fldCharType="end"/>
      </w:r>
      <w:r>
        <w:rPr>
          <w:rtl/>
        </w:rPr>
        <w:t xml:space="preserve">, ראיות נסיבתיות מורות שהיה זה ר׳ </w:t>
      </w:r>
      <w:proofErr w:type="spellStart"/>
      <w:r>
        <w:rPr>
          <w:rtl/>
        </w:rPr>
        <w:t>אברהם־אבא</w:t>
      </w:r>
      <w:proofErr w:type="spellEnd"/>
      <w:r>
        <w:rPr>
          <w:rtl/>
        </w:rPr>
        <w:t xml:space="preserve"> ורנר.) “בכל פעם שעלה רב כמועמד ובא לעיר, היה הדיין מנהל את העניינים כך שהמועמד יידחה. ומה עשו כשהתעוררה שאלה הלכתית בקיץ, כשהדיין </w:t>
      </w:r>
      <w:r>
        <w:rPr>
          <w:rtl/>
        </w:rPr>
        <w:lastRenderedPageBreak/>
        <w:t xml:space="preserve">שהה מחוץ </w:t>
      </w:r>
      <w:proofErr w:type="spellStart"/>
      <w:r>
        <w:rPr>
          <w:rtl/>
        </w:rPr>
        <w:t>לטלז</w:t>
      </w:r>
      <w:proofErr w:type="spellEnd"/>
      <w:r>
        <w:rPr>
          <w:rtl/>
        </w:rPr>
        <w:t xml:space="preserve"> לרחצה במרחצאות המינרליים בעיר הגרמנית </w:t>
      </w:r>
      <w:proofErr w:type="spellStart"/>
      <w:r>
        <w:rPr>
          <w:rtl/>
        </w:rPr>
        <w:t>צופוט</w:t>
      </w:r>
      <w:proofErr w:type="spellEnd"/>
      <w:r>
        <w:rPr>
          <w:rtl/>
        </w:rPr>
        <w:t>, סמוך לדנציג? ר׳ מאיר אטלס היה פוסק.</w:t>
      </w:r>
    </w:p>
    <w:p w14:paraId="3C044395" w14:textId="77777777" w:rsidR="00AB3647" w:rsidRDefault="00000000" w:rsidP="007923E9">
      <w:pPr>
        <w:spacing w:after="120" w:line="276" w:lineRule="auto"/>
        <w:ind w:firstLine="283"/>
        <w:jc w:val="both"/>
      </w:pPr>
      <w:r>
        <w:rPr>
          <w:rtl/>
        </w:rPr>
        <w:t xml:space="preserve">“בקיץ אחד הייתה שאלה בכשרות ריאה, ור׳ מאיר אטלס פסק. מיד אחר כך הייתה גם לקצב אחר שאלה בריאה של בהמה שהשוחט שחט בשבילו, וגם הוא הביא אותה להוראה. זה כבר היה יותר מדי </w:t>
      </w:r>
      <w:proofErr w:type="spellStart"/>
      <w:r>
        <w:rPr>
          <w:rtl/>
        </w:rPr>
        <w:t>לר</w:t>
      </w:r>
      <w:proofErr w:type="spellEnd"/>
      <w:r>
        <w:rPr>
          <w:rtl/>
        </w:rPr>
        <w:t xml:space="preserve">׳ מאיר, והוא אמר לקצב: ‘אינני חייב לקבל עליי את האחריות לפסוק; אינני הרב שלכם’. העיירה הייתה כמרקחה בגלל ההפסד המרובה הצפוי, ולכן הלך הקצב לחנות האריגים של ראש הקהל, הניח את הריאה על הדלפק ואמר: ‘הריאה הזאת תישאר על הדלפק הזה עד שייפסק אם הבהמה כשרה או לא׳ – ובאמצע הקיץ הבשר היה מתקלקל בתוך זמן קצר. ראש הקהל בא בריצה </w:t>
      </w:r>
      <w:proofErr w:type="spellStart"/>
      <w:r>
        <w:rPr>
          <w:rtl/>
        </w:rPr>
        <w:t>לר</w:t>
      </w:r>
      <w:proofErr w:type="spellEnd"/>
      <w:r>
        <w:rPr>
          <w:rtl/>
        </w:rPr>
        <w:t xml:space="preserve">׳ מאיר והתחנן שיפסוק שוב, ור׳ מאיר אמר שיעשה זאת רק בתנאי שבמוצאי השבת הקרובה תכונס אספה של בני הקהילה, שתחליט על רב פנוי ותשלח לו כתב רבנות. הם הסכימו ועשו כן. עד שהדיין – שנקרא עתה לשוב במברק דחוף מבתו – חזר </w:t>
      </w:r>
      <w:proofErr w:type="spellStart"/>
      <w:r>
        <w:rPr>
          <w:rtl/>
        </w:rPr>
        <w:t>לטלז</w:t>
      </w:r>
      <w:proofErr w:type="spellEnd"/>
      <w:r>
        <w:rPr>
          <w:rtl/>
        </w:rPr>
        <w:t>, כבר התמנה ר׳ לייזר גורדון לרב”.</w:t>
      </w:r>
    </w:p>
    <w:p w14:paraId="0AA17144" w14:textId="77777777" w:rsidR="00AB3647" w:rsidRDefault="00000000" w:rsidP="007923E9">
      <w:pPr>
        <w:spacing w:after="120" w:line="276" w:lineRule="auto"/>
        <w:ind w:firstLine="283"/>
        <w:jc w:val="both"/>
      </w:pPr>
      <w:r>
        <w:rPr>
          <w:rtl/>
        </w:rPr>
        <w:t xml:space="preserve">ר׳ לייזר גורדון היה מבוגר מר׳ מאיר אטלס בשבע שנים בלבד, ובכל זאת ר׳ מאיר, שהיה בעצמו תלמיד חכם גדול, פעל למינויו של ר׳ לייזר – מן הסתם ידע למי ישלחו עסקני העיר בחיפזון את כתב הרבנות – אף שהוא עצמו יכול היה להתמודד על הרבנות. או שהיה בטוח </w:t>
      </w:r>
      <w:proofErr w:type="spellStart"/>
      <w:r>
        <w:rPr>
          <w:rtl/>
        </w:rPr>
        <w:t>שטלז</w:t>
      </w:r>
      <w:proofErr w:type="spellEnd"/>
      <w:r>
        <w:rPr>
          <w:rtl/>
        </w:rPr>
        <w:t xml:space="preserve"> לא תמסור את כיסא הרבנות למי שחסר ניסיון כמותו (בייחוד מול דיין מתחרה), או שיש לפנינו דוגמה נוספת להעדפת הזולת על עצמו.</w:t>
      </w:r>
    </w:p>
    <w:bookmarkStart w:id="5559" w:name="b4_excM"/>
    <w:bookmarkStart w:id="5560" w:name="b4_annexM"/>
    <w:p w14:paraId="6E82F1C7" w14:textId="77777777" w:rsidR="00AB3647" w:rsidRDefault="00000000" w:rsidP="007923E9">
      <w:pPr>
        <w:pStyle w:val="3"/>
        <w:pageBreakBefore w:val="0"/>
        <w:spacing w:line="276" w:lineRule="auto"/>
      </w:pPr>
      <w:r>
        <w:fldChar w:fldCharType="begin" w:dirty="true"/>
      </w:r>
      <w:r>
        <w:rPr>
          <w:rtl w:val="0"/>
        </w:rPr>
        <w:instrText>HYPERLINK \l "b4_note109</w:instrText>
      </w:r>
      <w:r>
        <w:instrText>"</w:instrText>
      </w:r>
      <w:r>
        <w:fldChar w:fldCharType="separate"/>
      </w:r>
      <w:r>
        <w:t xml:space="preserve">נספח </w:t>
      </w:r>
      <w:proofErr w:type="spellStart"/>
      <w:r>
        <w:t>יג</w:t>
      </w:r>
      <w:proofErr w:type="spellEnd"/>
      <w:r>
        <w:fldChar w:fldCharType="end"/>
      </w:r>
      <w:bookmarkEnd w:id="5559"/>
      <w:bookmarkEnd w:id="5560"/>
    </w:p>
    <w:p w14:paraId="30824259" w14:textId="77777777" w:rsidR="00AB3647" w:rsidRDefault="00000000" w:rsidP="007923E9">
      <w:pPr>
        <w:pStyle w:val="af"/>
        <w:spacing w:line="276" w:lineRule="auto"/>
      </w:pPr>
      <w:r>
        <w:t xml:space="preserve">על מעורבות תלמידים בענייני הנהלת ישיבת </w:t>
      </w:r>
      <w:proofErr w:type="spellStart"/>
      <w:r>
        <w:t>וולוז׳ין</w:t>
      </w:r>
      <w:proofErr w:type="spellEnd"/>
      <w:r>
        <w:t xml:space="preserve"> ועל חסרונותיו של ר׳ חיים </w:t>
      </w:r>
      <w:proofErr w:type="spellStart"/>
      <w:r>
        <w:t>סולובייצ׳יק</w:t>
      </w:r>
      <w:proofErr w:type="spellEnd"/>
      <w:r>
        <w:t xml:space="preserve"> בראשית דרכו כמנהיג ועל ניסיונו של ר׳ </w:t>
      </w:r>
      <w:proofErr w:type="spellStart"/>
      <w:r>
        <w:t>יהושע־העשיל</w:t>
      </w:r>
      <w:proofErr w:type="spellEnd"/>
      <w:r>
        <w:t xml:space="preserve"> לוין להיות ראש ישיבת </w:t>
      </w:r>
      <w:proofErr w:type="spellStart"/>
      <w:r>
        <w:t>וולוז׳ין</w:t>
      </w:r>
      <w:proofErr w:type="spellEnd"/>
    </w:p>
    <w:p w14:paraId="10382F45" w14:textId="77777777" w:rsidR="00AB3647" w:rsidRDefault="00000000" w:rsidP="007923E9">
      <w:pPr>
        <w:pStyle w:val="4"/>
        <w:spacing w:line="276" w:lineRule="auto"/>
      </w:pPr>
      <w:r>
        <w:t>· הפסקה הראשונה ·</w:t>
      </w:r>
    </w:p>
    <w:p w14:paraId="567A22DC" w14:textId="77777777" w:rsidR="00AB3647" w:rsidRDefault="00000000" w:rsidP="007923E9">
      <w:pPr>
        <w:pStyle w:val="5"/>
        <w:spacing w:line="276" w:lineRule="auto"/>
      </w:pPr>
      <w:r>
        <w:rPr>
          <w:bCs/>
          <w:szCs w:val="26"/>
        </w:rPr>
        <w:t xml:space="preserve">מהומות תלמידים </w:t>
      </w:r>
      <w:proofErr w:type="spellStart"/>
      <w:r>
        <w:rPr>
          <w:bCs/>
          <w:szCs w:val="26"/>
        </w:rPr>
        <w:t>בוולוז׳ין</w:t>
      </w:r>
      <w:proofErr w:type="spellEnd"/>
      <w:r>
        <w:rPr>
          <w:bCs/>
          <w:szCs w:val="26"/>
        </w:rPr>
        <w:t xml:space="preserve"> – ר׳ חיים </w:t>
      </w:r>
      <w:proofErr w:type="spellStart"/>
      <w:r>
        <w:rPr>
          <w:bCs/>
          <w:szCs w:val="26"/>
        </w:rPr>
        <w:t>סולובייצ׳יק</w:t>
      </w:r>
      <w:proofErr w:type="spellEnd"/>
      <w:r>
        <w:rPr>
          <w:bCs/>
          <w:szCs w:val="26"/>
        </w:rPr>
        <w:t xml:space="preserve"> נמנע מהשתתפות בכינוסים ציבוריים – אינו פותח ישיבה משלו </w:t>
      </w:r>
      <w:proofErr w:type="spellStart"/>
      <w:r>
        <w:rPr>
          <w:bCs/>
          <w:szCs w:val="26"/>
        </w:rPr>
        <w:t>בבריסק</w:t>
      </w:r>
      <w:proofErr w:type="spellEnd"/>
      <w:r>
        <w:rPr>
          <w:bCs/>
          <w:szCs w:val="26"/>
        </w:rPr>
        <w:t xml:space="preserve"> – עושה ניסיון רפה – דוחה את הצעת משפחת ויסוצקי לתמוך בישיבה בראשותו – למדנותו זוכה להערכת אביו וכן להערכת דודו ומתחרהו, ר׳ חיים ברלין.</w:t>
      </w:r>
    </w:p>
    <w:p w14:paraId="269845FD" w14:textId="77777777" w:rsidR="00AB3647" w:rsidRDefault="00000000" w:rsidP="007923E9">
      <w:pPr>
        <w:spacing w:after="120" w:line="276" w:lineRule="auto"/>
        <w:ind w:firstLine="283"/>
        <w:jc w:val="both"/>
      </w:pPr>
      <w:r>
        <w:rPr>
          <w:rtl/>
        </w:rPr>
        <w:t xml:space="preserve">לפי </w:t>
      </w:r>
      <w:proofErr w:type="spellStart"/>
      <w:r>
        <w:rPr>
          <w:rtl/>
        </w:rPr>
        <w:t>דבורץ</w:t>
      </w:r>
      <w:proofErr w:type="spellEnd"/>
      <w:r>
        <w:rPr>
          <w:rtl/>
        </w:rPr>
        <w:t>, “הגאון רבי משה מרדכי אפשטיין”</w:t>
      </w:r>
      <w:bookmarkStart w:id="5561" w:name="_fnr4210"/>
      <w:r>
        <w:rPr>
          <w:vertAlign w:val="superscript"/>
          <w:rtl/>
        </w:rPr>
        <w:footnoteReference w:id="4220" w:customMarkFollows="0"/>
      </w:r>
      <w:bookmarkEnd w:id="5561"/>
      <w:r>
        <w:rPr>
          <w:rtl/>
        </w:rPr>
        <w:t xml:space="preserve">, כשנסגרה ישיבת </w:t>
      </w:r>
      <w:proofErr w:type="spellStart"/>
      <w:r>
        <w:rPr>
          <w:rtl/>
        </w:rPr>
        <w:t>וולוז׳ין</w:t>
      </w:r>
      <w:proofErr w:type="spellEnd"/>
      <w:r>
        <w:rPr>
          <w:rtl/>
        </w:rPr>
        <w:t xml:space="preserve"> עברו כמה מתלמידיה </w:t>
      </w:r>
      <w:proofErr w:type="spellStart"/>
      <w:r>
        <w:rPr>
          <w:rtl/>
        </w:rPr>
        <w:t>לטלז</w:t>
      </w:r>
      <w:proofErr w:type="spellEnd"/>
      <w:r>
        <w:rPr>
          <w:rtl/>
        </w:rPr>
        <w:t xml:space="preserve"> (וכן </w:t>
      </w:r>
      <w:proofErr w:type="spellStart"/>
      <w:r>
        <w:rPr>
          <w:rtl/>
        </w:rPr>
        <w:t>לסלבודקה</w:t>
      </w:r>
      <w:proofErr w:type="spellEnd"/>
      <w:r>
        <w:rPr>
          <w:rtl/>
        </w:rPr>
        <w:t xml:space="preserve">). יתר על כן, לפי “פון </w:t>
      </w:r>
      <w:proofErr w:type="spellStart"/>
      <w:r>
        <w:rPr>
          <w:rtl/>
        </w:rPr>
        <w:t>וואלאזין</w:t>
      </w:r>
      <w:proofErr w:type="spellEnd"/>
      <w:r>
        <w:rPr>
          <w:rtl/>
        </w:rPr>
        <w:t xml:space="preserve"> </w:t>
      </w:r>
      <w:proofErr w:type="spellStart"/>
      <w:r>
        <w:rPr>
          <w:rtl/>
        </w:rPr>
        <w:t>ביז</w:t>
      </w:r>
      <w:proofErr w:type="spellEnd"/>
      <w:r>
        <w:rPr>
          <w:rtl/>
        </w:rPr>
        <w:t xml:space="preserve"> ירושלים”</w:t>
      </w:r>
      <w:bookmarkStart w:id="5562" w:name="_fnr4211"/>
      <w:r>
        <w:rPr>
          <w:vertAlign w:val="superscript"/>
          <w:rtl/>
        </w:rPr>
        <w:footnoteReference w:id="4221" w:customMarkFollows="0"/>
      </w:r>
      <w:bookmarkEnd w:id="5562"/>
      <w:r>
        <w:rPr>
          <w:rtl/>
        </w:rPr>
        <w:t xml:space="preserve">, ר׳ לייזר גורדון “ראה בישיבת </w:t>
      </w:r>
      <w:proofErr w:type="spellStart"/>
      <w:r>
        <w:rPr>
          <w:rtl/>
        </w:rPr>
        <w:t>טלז</w:t>
      </w:r>
      <w:proofErr w:type="spellEnd"/>
      <w:r>
        <w:rPr>
          <w:rtl/>
        </w:rPr>
        <w:t xml:space="preserve"> את יורשתה של </w:t>
      </w:r>
      <w:proofErr w:type="spellStart"/>
      <w:r>
        <w:rPr>
          <w:rtl/>
        </w:rPr>
        <w:t>וולוז׳ין</w:t>
      </w:r>
      <w:proofErr w:type="spellEnd"/>
      <w:r>
        <w:rPr>
          <w:rtl/>
        </w:rPr>
        <w:t xml:space="preserve">”. זרם תלמידים זה תרם כנראה להתעוררות התסיסה נגד המוסר </w:t>
      </w:r>
      <w:proofErr w:type="spellStart"/>
      <w:r>
        <w:rPr>
          <w:rtl/>
        </w:rPr>
        <w:t>בטלז</w:t>
      </w:r>
      <w:bookmarkStart w:id="5563" w:name="_fnr4212"/>
      <w:proofErr w:type="spellEnd"/>
      <w:r>
        <w:rPr>
          <w:vertAlign w:val="superscript"/>
          <w:rtl/>
        </w:rPr>
        <w:footnoteReference w:id="4222" w:customMarkFollows="0"/>
      </w:r>
      <w:bookmarkEnd w:id="5563"/>
      <w:r>
        <w:rPr>
          <w:rtl/>
        </w:rPr>
        <w:t>.</w:t>
      </w:r>
    </w:p>
    <w:p w14:paraId="3AC1BC40" w14:textId="77777777" w:rsidR="00AB3647" w:rsidRDefault="00000000" w:rsidP="007923E9">
      <w:pPr>
        <w:spacing w:after="120" w:line="276" w:lineRule="auto"/>
        <w:ind w:firstLine="283"/>
        <w:jc w:val="both"/>
      </w:pPr>
      <w:r>
        <w:rPr>
          <w:rtl/>
        </w:rPr>
        <w:lastRenderedPageBreak/>
        <w:t xml:space="preserve">תמיכה להשערה זו אפשר למצוא בשיטות </w:t>
      </w:r>
      <w:proofErr w:type="spellStart"/>
      <w:r>
        <w:rPr>
          <w:rtl/>
        </w:rPr>
        <w:t>ה“הופקה</w:t>
      </w:r>
      <w:proofErr w:type="spellEnd"/>
      <w:r>
        <w:rPr>
          <w:rtl/>
        </w:rPr>
        <w:t xml:space="preserve">” המוזרות שננקטו </w:t>
      </w:r>
      <w:proofErr w:type="spellStart"/>
      <w:r>
        <w:rPr>
          <w:rtl/>
        </w:rPr>
        <w:t>בטלז</w:t>
      </w:r>
      <w:proofErr w:type="spellEnd"/>
      <w:r>
        <w:rPr>
          <w:rtl/>
        </w:rPr>
        <w:t xml:space="preserve"> (ראה הערה 110 בפרק זה): הן דמו להפליא למעשים המתוארים </w:t>
      </w:r>
      <w:proofErr w:type="spellStart"/>
      <w:r>
        <w:rPr>
          <w:rtl/>
        </w:rPr>
        <w:t>ב“פון</w:t>
      </w:r>
      <w:proofErr w:type="spellEnd"/>
      <w:r>
        <w:rPr>
          <w:rtl/>
        </w:rPr>
        <w:t xml:space="preserve"> </w:t>
      </w:r>
      <w:proofErr w:type="spellStart"/>
      <w:r>
        <w:rPr>
          <w:rtl/>
        </w:rPr>
        <w:t>וואלאזין</w:t>
      </w:r>
      <w:proofErr w:type="spellEnd"/>
      <w:r>
        <w:rPr>
          <w:rtl/>
        </w:rPr>
        <w:t xml:space="preserve"> </w:t>
      </w:r>
      <w:proofErr w:type="spellStart"/>
      <w:r>
        <w:rPr>
          <w:rtl/>
        </w:rPr>
        <w:t>ביז</w:t>
      </w:r>
      <w:proofErr w:type="spellEnd"/>
      <w:r>
        <w:rPr>
          <w:rtl/>
        </w:rPr>
        <w:t xml:space="preserve"> ירושלים”</w:t>
      </w:r>
      <w:bookmarkStart w:id="5564" w:name="_fnr4213"/>
      <w:r>
        <w:rPr>
          <w:vertAlign w:val="superscript"/>
          <w:rtl/>
        </w:rPr>
        <w:footnoteReference w:id="4223" w:customMarkFollows="0"/>
      </w:r>
      <w:bookmarkEnd w:id="5564"/>
      <w:r>
        <w:rPr>
          <w:rtl/>
        </w:rPr>
        <w:t xml:space="preserve">, שעשו תלמידי </w:t>
      </w:r>
      <w:proofErr w:type="spellStart"/>
      <w:r>
        <w:rPr>
          <w:rtl/>
        </w:rPr>
        <w:t>וולוז׳ין</w:t>
      </w:r>
      <w:proofErr w:type="spellEnd"/>
      <w:r>
        <w:rPr>
          <w:rtl/>
        </w:rPr>
        <w:t xml:space="preserve"> עשור וחצי קודם לכן, כשמרדו בכוונתו של </w:t>
      </w:r>
      <w:proofErr w:type="spellStart"/>
      <w:r>
        <w:rPr>
          <w:rtl/>
        </w:rPr>
        <w:t>הנצי״ב</w:t>
      </w:r>
      <w:proofErr w:type="spellEnd"/>
      <w:r>
        <w:rPr>
          <w:rtl/>
        </w:rPr>
        <w:t xml:space="preserve"> הזקן לכפות את בנו, ר׳ חיים ברלין, כיורשו, במקום אהובם, המשנה לראש הישיבה, ר׳ חיים </w:t>
      </w:r>
      <w:proofErr w:type="spellStart"/>
      <w:r>
        <w:rPr>
          <w:rtl/>
        </w:rPr>
        <w:t>סולובייצ׳יק</w:t>
      </w:r>
      <w:proofErr w:type="spellEnd"/>
      <w:r>
        <w:rPr>
          <w:rtl/>
        </w:rPr>
        <w:t>. השווה לשיר “בליל הרעש”</w:t>
      </w:r>
      <w:bookmarkStart w:id="5565" w:name="_fnr4214"/>
      <w:r>
        <w:rPr>
          <w:vertAlign w:val="superscript"/>
          <w:rtl/>
        </w:rPr>
        <w:footnoteReference w:id="4224" w:customMarkFollows="0"/>
      </w:r>
      <w:bookmarkEnd w:id="5565"/>
      <w:r>
        <w:rPr>
          <w:rtl/>
        </w:rPr>
        <w:t xml:space="preserve">, שארבע השורות הבאות מתארות בו את שיאה של התקוממות סוערת </w:t>
      </w:r>
      <w:proofErr w:type="spellStart"/>
      <w:r>
        <w:rPr>
          <w:rtl/>
        </w:rPr>
        <w:t>בוולוז׳ין</w:t>
      </w:r>
      <w:proofErr w:type="spellEnd"/>
      <w:r>
        <w:rPr>
          <w:rtl/>
        </w:rPr>
        <w:t>:</w:t>
      </w:r>
    </w:p>
    <w:p w14:paraId="355FA5B6" w14:textId="77777777" w:rsidR="00AB3647" w:rsidRDefault="00000000" w:rsidP="007923E9">
      <w:pPr>
        <w:spacing w:after="120" w:line="276" w:lineRule="auto"/>
        <w:ind w:firstLine="283"/>
        <w:jc w:val="both"/>
      </w:pPr>
      <w:r>
        <w:rPr>
          <w:rtl/>
        </w:rPr>
        <w:t>אז מאות ידיים תפתחנה מוסרות וכעסים עצורים לחפשי שולחו וינפצו חלונות ויכבו הנרות, ספסלים, שולחנות על פניהם נהפכו.</w:t>
      </w:r>
    </w:p>
    <w:p w14:paraId="31651561" w14:textId="0A97AA16" w:rsidR="00AB3647" w:rsidRDefault="00000000" w:rsidP="007923E9">
      <w:pPr>
        <w:spacing w:after="120" w:line="276" w:lineRule="auto"/>
        <w:ind w:firstLine="283"/>
        <w:jc w:val="both"/>
      </w:pPr>
      <w:r>
        <w:rPr>
          <w:rtl/>
        </w:rPr>
        <w:t xml:space="preserve">בסכסוך </w:t>
      </w:r>
      <w:proofErr w:type="spellStart"/>
      <w:r>
        <w:rPr>
          <w:rtl/>
        </w:rPr>
        <w:t>בוולוז׳ין</w:t>
      </w:r>
      <w:proofErr w:type="spellEnd"/>
      <w:r>
        <w:rPr>
          <w:rtl/>
        </w:rPr>
        <w:t xml:space="preserve">, נעוריהם וחוסר ניסיונם של הבחורים המורדים מנעו מהם להבין שראש הישיבה המיועד שלהם צריך להיות לא רק תלמיד חכם ומגיד שיעור גדול – וכזה אכן היה ר׳ חיים </w:t>
      </w:r>
      <w:proofErr w:type="spellStart"/>
      <w:r>
        <w:rPr>
          <w:rtl/>
        </w:rPr>
        <w:t>סולובייצ׳יק</w:t>
      </w:r>
      <w:proofErr w:type="spellEnd"/>
      <w:r>
        <w:rPr>
          <w:rtl/>
        </w:rPr>
        <w:t xml:space="preserve"> – אלא גם מנהל מעולה ומנהיג בעל שיעור קומה עולמי. כזה היה ר׳ חיים ברלין, ור׳ חיים </w:t>
      </w:r>
      <w:proofErr w:type="spellStart"/>
      <w:r>
        <w:rPr>
          <w:rtl/>
        </w:rPr>
        <w:t>סולובייצ׳יק</w:t>
      </w:r>
      <w:proofErr w:type="spellEnd"/>
      <w:r>
        <w:rPr>
          <w:rtl/>
        </w:rPr>
        <w:t xml:space="preserve"> – בוודאי באותה עת – לא היה כזה. השווה לפסקה הרביעית של </w:t>
      </w:r>
      <w:r>
        <w:rPr>
          <w:rtl/>
        </w:rPr>
        <w:fldChar w:fldCharType="begin" w:dirty="true"/>
      </w:r>
      <w:r>
        <w:rPr>
          <w:rtl/>
        </w:rPr>
        <w:instrText xml:space="preserve"> REF b4_excI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xml:space="preserve"> לעיל, וכן ליעקב מארק</w:t>
      </w:r>
      <w:bookmarkStart w:id="5566" w:name="_fnr4215"/>
      <w:r>
        <w:rPr>
          <w:vertAlign w:val="superscript"/>
          <w:rtl/>
        </w:rPr>
        <w:footnoteReference w:id="4225" w:customMarkFollows="0"/>
      </w:r>
      <w:bookmarkEnd w:id="5566"/>
      <w:r>
        <w:rPr>
          <w:rtl/>
        </w:rPr>
        <w:t xml:space="preserve">, הכותב: “כל מי שהכיר את התנהגותו של ר׳ חיים </w:t>
      </w:r>
      <w:r>
        <w:rPr>
          <w:b/>
          <w:bCs/>
          <w:rtl/>
        </w:rPr>
        <w:t>בארבעים השנים הראשונות לחייו</w:t>
      </w:r>
      <w:r>
        <w:rPr>
          <w:rtl/>
        </w:rPr>
        <w:t xml:space="preserve"> (ההדגשה שלי)” – כלומר, עד שנעשה רב </w:t>
      </w:r>
      <w:proofErr w:type="spellStart"/>
      <w:r>
        <w:rPr>
          <w:rtl/>
        </w:rPr>
        <w:t>בבריסק</w:t>
      </w:r>
      <w:proofErr w:type="spellEnd"/>
      <w:r>
        <w:rPr>
          <w:rtl/>
        </w:rPr>
        <w:t xml:space="preserve"> – “לא היה יכול בשום אופן להעלות על דעתו שבשנותיו המאוחרות יהיה אותו </w:t>
      </w:r>
      <w:proofErr w:type="spellStart"/>
      <w:r>
        <w:rPr>
          <w:rtl/>
        </w:rPr>
        <w:t>הימעל־מענטש</w:t>
      </w:r>
      <w:proofErr w:type="spellEnd"/>
      <w:r>
        <w:rPr>
          <w:rtl/>
        </w:rPr>
        <w:t xml:space="preserve"> (אדם שאינו מענייני העולם הזה), שכל עולמו סבב תמיד רק סביב בית המדרש, לאחד מן העסקנים הציבוריים הנמרצים והיעילים ביותר בזמנו”.</w:t>
      </w:r>
    </w:p>
    <w:p w14:paraId="0DF1F10D" w14:textId="77777777" w:rsidR="00AB3647" w:rsidRDefault="00000000" w:rsidP="007923E9">
      <w:pPr>
        <w:spacing w:after="120" w:line="276" w:lineRule="auto"/>
        <w:ind w:firstLine="283"/>
        <w:jc w:val="both"/>
      </w:pPr>
      <w:r>
        <w:rPr>
          <w:rtl/>
        </w:rPr>
        <w:t>השווה גם “שמושה של תורה”</w:t>
      </w:r>
      <w:bookmarkStart w:id="5567" w:name="_fnr4216"/>
      <w:r>
        <w:rPr>
          <w:vertAlign w:val="superscript"/>
          <w:rtl/>
        </w:rPr>
        <w:footnoteReference w:id="4226" w:customMarkFollows="0"/>
      </w:r>
      <w:bookmarkEnd w:id="5567"/>
      <w:r>
        <w:rPr>
          <w:rtl/>
        </w:rPr>
        <w:t xml:space="preserve">, המתאר כיצד ראו את ר׳ חיים </w:t>
      </w:r>
      <w:proofErr w:type="spellStart"/>
      <w:r>
        <w:rPr>
          <w:rtl/>
        </w:rPr>
        <w:t>בבריסק</w:t>
      </w:r>
      <w:proofErr w:type="spellEnd"/>
      <w:r>
        <w:rPr>
          <w:rtl/>
        </w:rPr>
        <w:t xml:space="preserve"> מיד לאחר מינויו לרב: “... הקהילה התאכזבה מכך שלא השתתף </w:t>
      </w:r>
      <w:proofErr w:type="spellStart"/>
      <w:r>
        <w:rPr>
          <w:rtl/>
        </w:rPr>
        <w:t>באספות</w:t>
      </w:r>
      <w:proofErr w:type="spellEnd"/>
      <w:r>
        <w:rPr>
          <w:rtl/>
        </w:rPr>
        <w:t xml:space="preserve"> רבנים, כפי שנהג אביו וקודמו, ר׳ </w:t>
      </w:r>
      <w:proofErr w:type="spellStart"/>
      <w:r>
        <w:rPr>
          <w:rtl/>
        </w:rPr>
        <w:t xml:space="preserve">יושע־בער</w:t>
      </w:r>
      <w:proofErr w:type="spellEnd"/>
      <w:r>
        <w:rPr>
          <w:rtl/>
        </w:rPr>
        <w:t xml:space="preserve"> – שבהן היו הוא ור׳ </w:t>
      </w:r>
      <w:proofErr w:type="spellStart"/>
      <w:r>
        <w:rPr>
          <w:rtl/>
        </w:rPr>
        <w:t>יצחק־אלחנן</w:t>
      </w:r>
      <w:proofErr w:type="spellEnd"/>
      <w:r>
        <w:rPr>
          <w:rtl/>
        </w:rPr>
        <w:t xml:space="preserve"> </w:t>
      </w:r>
      <w:proofErr w:type="spellStart"/>
      <w:r>
        <w:rPr>
          <w:rtl/>
        </w:rPr>
        <w:t>ספקטור</w:t>
      </w:r>
      <w:proofErr w:type="spellEnd"/>
      <w:r>
        <w:rPr>
          <w:rtl/>
        </w:rPr>
        <w:t xml:space="preserve"> הדוברים הראשיים. אנשי </w:t>
      </w:r>
      <w:proofErr w:type="spellStart"/>
      <w:r>
        <w:rPr>
          <w:rtl/>
        </w:rPr>
        <w:t>בריסק</w:t>
      </w:r>
      <w:proofErr w:type="spellEnd"/>
      <w:r>
        <w:rPr>
          <w:rtl/>
        </w:rPr>
        <w:t xml:space="preserve"> ראו בהימנעות ר׳ חיים מהשתתפות </w:t>
      </w:r>
      <w:proofErr w:type="spellStart"/>
      <w:r>
        <w:rPr>
          <w:rtl/>
        </w:rPr>
        <w:t>באספות</w:t>
      </w:r>
      <w:proofErr w:type="spellEnd"/>
      <w:r>
        <w:rPr>
          <w:rtl/>
        </w:rPr>
        <w:t xml:space="preserve"> רבנים ירידה במעמדה ובכבודה של עירם, ופנו אליו לשאול מדוע אינו משתתף ומדוע [כשהוא משתתף] אינו מן הנואמים הראשיים. הימנעותו מדיבור, אמרו, מתפרשת כהסכמה לדוברים וכהשתכנעות מטענותיהם, בלי שיש לו דבר משלו להוסיף. הוא השיב להם: ‘האם אתם חושבים שאני מתרשם מדברי האחרים? לא, דעתי ברורה ואין בה </w:t>
      </w:r>
      <w:proofErr w:type="spellStart"/>
      <w:r>
        <w:rPr>
          <w:rtl/>
        </w:rPr>
        <w:t>דו־משמעות</w:t>
      </w:r>
      <w:proofErr w:type="spellEnd"/>
      <w:r>
        <w:rPr>
          <w:rtl/>
        </w:rPr>
        <w:t xml:space="preserve"> – ואני יכול לטעון לזכותה ולשכנע את כולם בנכונותה. אבל מה אעשה אם, כשאני קם לדבר, אני נוטף כוסות של זיעה מחמת </w:t>
      </w:r>
      <w:proofErr w:type="spellStart"/>
      <w:r>
        <w:rPr>
          <w:rtl/>
        </w:rPr>
        <w:t>אימתא</w:t>
      </w:r>
      <w:proofErr w:type="spellEnd"/>
      <w:r>
        <w:rPr>
          <w:rtl/>
        </w:rPr>
        <w:t xml:space="preserve"> </w:t>
      </w:r>
      <w:proofErr w:type="spellStart"/>
      <w:r>
        <w:rPr>
          <w:rtl/>
        </w:rPr>
        <w:t>דציבורא</w:t>
      </w:r>
      <w:proofErr w:type="spellEnd"/>
      <w:r>
        <w:rPr>
          <w:rtl/>
        </w:rPr>
        <w:t>?!’”</w:t>
      </w:r>
    </w:p>
    <w:p w14:paraId="15B925CA" w14:textId="77777777" w:rsidR="00AB3647" w:rsidRDefault="00000000" w:rsidP="007923E9">
      <w:pPr>
        <w:spacing w:after="120" w:line="276" w:lineRule="auto"/>
        <w:ind w:firstLine="283"/>
        <w:jc w:val="both"/>
      </w:pPr>
      <w:r>
        <w:rPr>
          <w:rtl/>
        </w:rPr>
        <w:t>ר׳ חיים מעולם לא נעשה מנהיג בכוח הכריזמה. כדברי “</w:t>
      </w:r>
      <w:proofErr w:type="spellStart"/>
      <w:r>
        <w:rPr>
          <w:rtl/>
        </w:rPr>
        <w:t>וולוז׳ין</w:t>
      </w:r>
      <w:proofErr w:type="spellEnd"/>
      <w:r>
        <w:rPr>
          <w:rtl/>
        </w:rPr>
        <w:t xml:space="preserve"> – ספרה של העיר ושל ישיבת עץ חיים”</w:t>
      </w:r>
      <w:bookmarkStart w:id="5568" w:name="_fnr4217"/>
      <w:r>
        <w:rPr>
          <w:vertAlign w:val="superscript"/>
          <w:rtl/>
        </w:rPr>
        <w:footnoteReference w:id="4227" w:customMarkFollows="0"/>
      </w:r>
      <w:bookmarkEnd w:id="5568"/>
      <w:r>
        <w:rPr>
          <w:rtl/>
        </w:rPr>
        <w:t>: “הוא נעשה [לבסוף] דובר מרכזי בכל מקום, לא במיוחד בשל נאומיו [החזקים], אלא בשל רעיונותיו ההגיוניים והחריפים ותשובותיו המחודדות”</w:t>
      </w:r>
      <w:bookmarkStart w:id="5569" w:name="_fnr4218"/>
      <w:r>
        <w:rPr>
          <w:vertAlign w:val="superscript"/>
          <w:rtl/>
        </w:rPr>
        <w:footnoteReference w:id="4228" w:customMarkFollows="0"/>
      </w:r>
      <w:bookmarkEnd w:id="5569"/>
      <w:r>
        <w:rPr>
          <w:rtl/>
        </w:rPr>
        <w:t>.</w:t>
      </w:r>
    </w:p>
    <w:p w14:paraId="7AEB7458" w14:textId="77777777" w:rsidR="00AB3647" w:rsidRDefault="00000000" w:rsidP="007923E9">
      <w:pPr>
        <w:spacing w:after="120" w:line="276" w:lineRule="auto"/>
        <w:ind w:firstLine="283"/>
        <w:jc w:val="both"/>
      </w:pPr>
      <w:bookmarkStart w:id="5570" w:name="pr_b_2365"/>
      <w:bookmarkEnd w:id="5570"/>
      <w:r>
        <w:rPr>
          <w:rtl/>
        </w:rPr>
        <w:lastRenderedPageBreak/>
        <w:t xml:space="preserve">ייתכן שר׳ חיים לא הקים ישיבה </w:t>
      </w:r>
      <w:proofErr w:type="spellStart"/>
      <w:r>
        <w:rPr>
          <w:rtl/>
        </w:rPr>
        <w:t>בבריסק</w:t>
      </w:r>
      <w:proofErr w:type="spellEnd"/>
      <w:r>
        <w:rPr>
          <w:rtl/>
        </w:rPr>
        <w:t xml:space="preserve"> משום שלא היו בידיו היכולות הדרושות להפעלת מוסד. </w:t>
      </w:r>
      <w:proofErr w:type="spellStart"/>
      <w:r>
        <w:rPr>
          <w:rtl/>
        </w:rPr>
        <w:t>בבריסק</w:t>
      </w:r>
      <w:proofErr w:type="spellEnd"/>
      <w:r>
        <w:rPr>
          <w:rtl/>
        </w:rPr>
        <w:t xml:space="preserve"> יכול היה להעמיד מספר כפול של תלמידים מזה שהעמיד </w:t>
      </w:r>
      <w:proofErr w:type="spellStart"/>
      <w:r>
        <w:rPr>
          <w:rtl/>
        </w:rPr>
        <w:t>בוולוז׳ין</w:t>
      </w:r>
      <w:proofErr w:type="spellEnd"/>
      <w:r>
        <w:rPr>
          <w:rtl/>
        </w:rPr>
        <w:t xml:space="preserve">: הוא כיהן בה כרב 22 שנה עד מלחמת העולם הראשונה, לעומת מחצית ממספר זה כמגיד שיעור </w:t>
      </w:r>
      <w:proofErr w:type="spellStart"/>
      <w:r>
        <w:rPr>
          <w:rtl/>
        </w:rPr>
        <w:t>בוולוז׳ין</w:t>
      </w:r>
      <w:proofErr w:type="spellEnd"/>
      <w:r>
        <w:rPr>
          <w:rtl/>
        </w:rPr>
        <w:t xml:space="preserve">! או שחסרה לו ההבנה המעשית כיצד מקימים ישיבה, או ששכלו הייחודי לא יכול היה להיות כבול לפרטים הטכניים והקטנים של הטיפול בתלמידים, כפי שמחויב ראש מוסד. לפי ר׳ </w:t>
      </w:r>
      <w:proofErr w:type="spellStart"/>
      <w:r>
        <w:rPr>
          <w:rtl/>
        </w:rPr>
        <w:t>חיים־עוזר</w:t>
      </w:r>
      <w:proofErr w:type="spellEnd"/>
      <w:r>
        <w:rPr>
          <w:rtl/>
        </w:rPr>
        <w:t xml:space="preserve"> </w:t>
      </w:r>
      <w:proofErr w:type="spellStart"/>
      <w:r>
        <w:rPr>
          <w:rtl/>
        </w:rPr>
        <w:t>גרודזנסקי</w:t>
      </w:r>
      <w:bookmarkStart w:id="5571" w:name="_fnr4219"/>
      <w:proofErr w:type="spellEnd"/>
      <w:r>
        <w:rPr>
          <w:vertAlign w:val="superscript"/>
          <w:rtl/>
        </w:rPr>
        <w:footnoteReference w:id="4229" w:customMarkFollows="0"/>
      </w:r>
      <w:bookmarkEnd w:id="5571"/>
      <w:r>
        <w:rPr>
          <w:rtl/>
        </w:rPr>
        <w:t>, שכלו של ר׳ חיים לא רק היה טוב משל אחרים, אלא היה סוג בפני עצמו</w:t>
      </w:r>
      <w:bookmarkStart w:id="5572" w:name="_fnr4220"/>
      <w:r>
        <w:rPr>
          <w:vertAlign w:val="superscript"/>
          <w:rtl/>
        </w:rPr>
        <w:footnoteReference w:id="4230" w:customMarkFollows="0"/>
      </w:r>
      <w:bookmarkEnd w:id="5572"/>
      <w:r>
        <w:rPr>
          <w:rtl/>
        </w:rPr>
        <w:t xml:space="preserve"> – שכל שאולי אי אפשר היה להכפיף למגבלות שמטיל ניהול ישיבה</w:t>
      </w:r>
      <w:bookmarkStart w:id="5573" w:name="_fnr4221"/>
      <w:r>
        <w:rPr>
          <w:vertAlign w:val="superscript"/>
          <w:rtl/>
        </w:rPr>
        <w:footnoteReference w:id="4231" w:customMarkFollows="0"/>
      </w:r>
      <w:bookmarkEnd w:id="5573"/>
      <w:r>
        <w:rPr>
          <w:rtl/>
        </w:rPr>
        <w:t>.</w:t>
      </w:r>
    </w:p>
    <w:p w14:paraId="35DB5C7D" w14:textId="77777777" w:rsidR="00AB3647" w:rsidRDefault="00000000" w:rsidP="007923E9">
      <w:pPr>
        <w:spacing w:after="120" w:line="276" w:lineRule="auto"/>
        <w:ind w:firstLine="283"/>
        <w:jc w:val="both"/>
      </w:pPr>
      <w:bookmarkStart w:id="5574" w:name="pr_b_2366"/>
      <w:bookmarkEnd w:id="5574"/>
      <w:r>
        <w:rPr>
          <w:rtl/>
        </w:rPr>
        <w:t xml:space="preserve">בתחילה הנחתי שר׳ חיים לא פתח ישיבה ברמה גבוהה </w:t>
      </w:r>
      <w:proofErr w:type="spellStart"/>
      <w:r>
        <w:rPr>
          <w:rtl/>
        </w:rPr>
        <w:t>בבריסק</w:t>
      </w:r>
      <w:proofErr w:type="spellEnd"/>
      <w:r>
        <w:rPr>
          <w:rtl/>
        </w:rPr>
        <w:t xml:space="preserve"> בגלל עומס חובותיו כלפי העיר, שלדעתו קדמו לכל יתר חובותיו הרבניות</w:t>
      </w:r>
      <w:bookmarkStart w:id="5575" w:name="_fnr4222"/>
      <w:r>
        <w:rPr>
          <w:vertAlign w:val="superscript"/>
          <w:rtl/>
        </w:rPr>
        <w:footnoteReference w:id="4232" w:customMarkFollows="0"/>
      </w:r>
      <w:bookmarkEnd w:id="5575"/>
      <w:r>
        <w:rPr>
          <w:rtl/>
        </w:rPr>
        <w:t xml:space="preserve">. אבל ר׳ </w:t>
      </w:r>
      <w:proofErr w:type="spellStart"/>
      <w:r>
        <w:rPr>
          <w:rtl/>
        </w:rPr>
        <w:t>משה־אהרן</w:t>
      </w:r>
      <w:proofErr w:type="spellEnd"/>
      <w:r>
        <w:rPr>
          <w:rtl/>
        </w:rPr>
        <w:t xml:space="preserve"> </w:t>
      </w:r>
      <w:proofErr w:type="spellStart"/>
      <w:r>
        <w:rPr>
          <w:rtl/>
        </w:rPr>
        <w:t>סולובייצ׳יק</w:t>
      </w:r>
      <w:proofErr w:type="spellEnd"/>
      <w:r>
        <w:rPr>
          <w:rtl/>
        </w:rPr>
        <w:t xml:space="preserve"> סיפר</w:t>
      </w:r>
      <w:bookmarkStart w:id="5576" w:name="_fnr4223"/>
      <w:r>
        <w:rPr>
          <w:vertAlign w:val="superscript"/>
          <w:rtl/>
        </w:rPr>
        <w:footnoteReference w:id="4233" w:customMarkFollows="0"/>
      </w:r>
      <w:bookmarkEnd w:id="5576"/>
      <w:r>
        <w:rPr>
          <w:rtl/>
        </w:rPr>
        <w:t xml:space="preserve"> שסבו, ר׳ </w:t>
      </w:r>
      <w:proofErr w:type="spellStart"/>
      <w:r>
        <w:rPr>
          <w:rtl/>
        </w:rPr>
        <w:t xml:space="preserve">וועלוול׳ה</w:t>
      </w:r>
      <w:proofErr w:type="spellEnd"/>
      <w:r>
        <w:rPr>
          <w:rtl/>
        </w:rPr>
        <w:t xml:space="preserve">, אמר שכשהיה בן תשע שנים, </w:t>
      </w:r>
      <w:proofErr w:type="spellStart"/>
      <w:r>
        <w:rPr>
          <w:rtl/>
        </w:rPr>
        <w:t>בתרנ״ו</w:t>
      </w:r>
      <w:proofErr w:type="spellEnd"/>
      <w:r>
        <w:rPr>
          <w:rtl/>
        </w:rPr>
        <w:t xml:space="preserve"> – השנה שאחרי השרפה הגדולה </w:t>
      </w:r>
      <w:proofErr w:type="spellStart"/>
      <w:r>
        <w:rPr>
          <w:rtl/>
        </w:rPr>
        <w:t>בבריסק</w:t>
      </w:r>
      <w:proofErr w:type="spellEnd"/>
      <w:r>
        <w:rPr>
          <w:rtl/>
        </w:rPr>
        <w:t xml:space="preserve">, כשחובותיו הציבוריות של הרב היו ללא ספק מרובות מאוד – אכן הייתה </w:t>
      </w:r>
      <w:proofErr w:type="spellStart"/>
      <w:r>
        <w:rPr>
          <w:rtl/>
        </w:rPr>
        <w:t>לר</w:t>
      </w:r>
      <w:proofErr w:type="spellEnd"/>
      <w:r>
        <w:rPr>
          <w:rtl/>
        </w:rPr>
        <w:t xml:space="preserve">׳ חיים לזמן קצר קבוצת תלמידים </w:t>
      </w:r>
      <w:proofErr w:type="spellStart"/>
      <w:r>
        <w:rPr>
          <w:rtl/>
        </w:rPr>
        <w:t>בבריסק</w:t>
      </w:r>
      <w:proofErr w:type="spellEnd"/>
      <w:r>
        <w:rPr>
          <w:rtl/>
        </w:rPr>
        <w:t>, ולה מסר שיעורים במסכת יבמות</w:t>
      </w:r>
      <w:bookmarkStart w:id="5577" w:name="_fnr4224"/>
      <w:r>
        <w:rPr>
          <w:vertAlign w:val="superscript"/>
          <w:rtl/>
        </w:rPr>
        <w:footnoteReference w:id="4234" w:customMarkFollows="0"/>
      </w:r>
      <w:bookmarkEnd w:id="5577"/>
      <w:r>
        <w:rPr>
          <w:rtl/>
        </w:rPr>
        <w:t xml:space="preserve">. המרואיין לא ידע מאיזו ישיבה באו התלמידים האלה, אבל מכל מקום, שיעורי ר׳ חיים היו קשים מדי בשבילם. ר׳ חיים שאל את בנו ר׳ משה, שהיה אז בן 18, אם להוריד את רמת השיעורים, ור׳ משה השיב בשלילה והציע לבקש מן הקבוצה לעזוב. ר׳ </w:t>
      </w:r>
      <w:proofErr w:type="spellStart"/>
      <w:r>
        <w:rPr>
          <w:rtl/>
        </w:rPr>
        <w:t xml:space="preserve">וועלוול׳ה</w:t>
      </w:r>
      <w:proofErr w:type="spellEnd"/>
      <w:r>
        <w:rPr>
          <w:rtl/>
        </w:rPr>
        <w:t xml:space="preserve"> אמר בבגרותו שאילו היה אז מבוגר דיו כדי שישאלו אותו, היה מחזיק בתלמידים, ונימק: “אפשר היה ללקט פנינים בסדרי נשים </w:t>
      </w:r>
      <w:proofErr w:type="spellStart"/>
      <w:r>
        <w:rPr>
          <w:rtl/>
        </w:rPr>
        <w:t>ונזיקין</w:t>
      </w:r>
      <w:proofErr w:type="spellEnd"/>
      <w:r>
        <w:rPr>
          <w:rtl/>
        </w:rPr>
        <w:t xml:space="preserve"> מתחת לשולחנו של אבינו אילו המשיך בשיעוריו”.</w:t>
      </w:r>
    </w:p>
    <w:p w14:paraId="3B77FF74" w14:textId="6F5C0A64" w:rsidR="00AB3647" w:rsidRDefault="00000000" w:rsidP="007923E9">
      <w:pPr>
        <w:spacing w:after="120" w:line="276" w:lineRule="auto"/>
        <w:ind w:firstLine="283"/>
        <w:jc w:val="both"/>
      </w:pPr>
      <w:r>
        <w:rPr>
          <w:rtl/>
        </w:rPr>
        <w:t>ר׳ יהושע עתיק</w:t>
      </w:r>
      <w:bookmarkStart w:id="5578" w:name="_fnr4225"/>
      <w:r>
        <w:rPr>
          <w:vertAlign w:val="superscript"/>
          <w:rtl/>
        </w:rPr>
        <w:footnoteReference w:id="4235" w:customMarkFollows="0"/>
      </w:r>
      <w:bookmarkEnd w:id="5578"/>
      <w:r>
        <w:rPr>
          <w:rtl/>
        </w:rPr>
        <w:t xml:space="preserve"> שמע מר׳ </w:t>
      </w:r>
      <w:proofErr w:type="spellStart"/>
      <w:r>
        <w:rPr>
          <w:rtl/>
        </w:rPr>
        <w:t>אברהם־יהושע</w:t>
      </w:r>
      <w:proofErr w:type="spellEnd"/>
      <w:r>
        <w:rPr>
          <w:rtl/>
        </w:rPr>
        <w:t xml:space="preserve"> </w:t>
      </w:r>
      <w:proofErr w:type="spellStart"/>
      <w:r>
        <w:rPr>
          <w:rtl/>
        </w:rPr>
        <w:t>סולובייצ׳יק</w:t>
      </w:r>
      <w:proofErr w:type="spellEnd"/>
      <w:r>
        <w:rPr>
          <w:rtl/>
        </w:rPr>
        <w:t xml:space="preserve">, </w:t>
      </w:r>
      <w:proofErr w:type="spellStart"/>
      <w:r>
        <w:rPr>
          <w:rtl/>
        </w:rPr>
        <w:t>נינו</w:t>
      </w:r>
      <w:proofErr w:type="spellEnd"/>
      <w:r>
        <w:rPr>
          <w:rtl/>
        </w:rPr>
        <w:t xml:space="preserve"> של ר׳ חיים, שקבוצה </w:t>
      </w:r>
      <w:proofErr w:type="spellStart"/>
      <w:r>
        <w:rPr>
          <w:rtl/>
        </w:rPr>
        <w:t>מטלז</w:t>
      </w:r>
      <w:proofErr w:type="spellEnd"/>
      <w:r>
        <w:rPr>
          <w:rtl/>
        </w:rPr>
        <w:t xml:space="preserve"> באה </w:t>
      </w:r>
      <w:proofErr w:type="spellStart"/>
      <w:r>
        <w:rPr>
          <w:rtl/>
        </w:rPr>
        <w:t>לבריסק</w:t>
      </w:r>
      <w:proofErr w:type="spellEnd"/>
      <w:r>
        <w:rPr>
          <w:rtl/>
        </w:rPr>
        <w:t xml:space="preserve"> וסברה ששיעוריו פשוטים מדי, והתלמידים התלוננו </w:t>
      </w:r>
      <w:proofErr w:type="spellStart"/>
      <w:r>
        <w:rPr>
          <w:rtl/>
        </w:rPr>
        <w:t>ש“לא</w:t>
      </w:r>
      <w:proofErr w:type="spellEnd"/>
      <w:r>
        <w:rPr>
          <w:rtl/>
        </w:rPr>
        <w:t xml:space="preserve"> באו עד </w:t>
      </w:r>
      <w:proofErr w:type="spellStart"/>
      <w:r>
        <w:rPr>
          <w:rtl/>
        </w:rPr>
        <w:t>בריסק</w:t>
      </w:r>
      <w:proofErr w:type="spellEnd"/>
      <w:r>
        <w:rPr>
          <w:rtl/>
        </w:rPr>
        <w:t xml:space="preserve"> בשביל דיבורים פשוטים כאלה”. אין ספק שהדבר נבע מכוח ההסברה המעולה של ר׳ חיים – ראה פרק 3, הערה </w:t>
      </w:r>
      <w:r>
        <w:rPr>
          <w:rtl/>
        </w:rPr>
        <w:fldChar w:fldCharType="begin" w:dirty="true"/>
      </w:r>
      <w:r>
        <w:rPr>
          <w:rtl/>
        </w:rPr>
        <w:instrText xml:space="preserve"> REF b3_note135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135</w:t>
      </w:r>
      <w:r>
        <w:rPr>
          <w:rtl/>
        </w:rPr>
        <w:fldChar w:fldCharType="end"/>
      </w:r>
      <w:r>
        <w:rPr>
          <w:rtl/>
        </w:rPr>
        <w:t xml:space="preserve">. השווה גם לפסקה הרביעית של </w:t>
      </w:r>
      <w:r>
        <w:rPr>
          <w:rtl/>
        </w:rPr>
        <w:fldChar w:fldCharType="begin" w:dirty="true"/>
      </w:r>
      <w:r>
        <w:rPr>
          <w:rtl/>
        </w:rPr>
        <w:instrText xml:space="preserve"> REF b4_excI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xml:space="preserve"> לעיל: כשהתחיל ר׳ חיים למסור שיעורים </w:t>
      </w:r>
      <w:proofErr w:type="spellStart"/>
      <w:r>
        <w:rPr>
          <w:rtl/>
        </w:rPr>
        <w:t>בוולוז׳ין</w:t>
      </w:r>
      <w:proofErr w:type="spellEnd"/>
      <w:r>
        <w:rPr>
          <w:rtl/>
        </w:rPr>
        <w:t>, אמר למבקריו שכל דבר נכון נראה פשוט אחרי שמנסחים אותו.</w:t>
      </w:r>
    </w:p>
    <w:p w14:paraId="058FC908" w14:textId="77777777" w:rsidR="00AB3647" w:rsidRDefault="00000000" w:rsidP="007923E9">
      <w:pPr>
        <w:spacing w:after="120" w:line="276" w:lineRule="auto"/>
        <w:ind w:firstLine="283"/>
        <w:jc w:val="both"/>
      </w:pPr>
      <w:r>
        <w:rPr>
          <w:rtl/>
        </w:rPr>
        <w:lastRenderedPageBreak/>
        <w:t xml:space="preserve">גם ר׳ ברל שחר, תלמיד </w:t>
      </w:r>
      <w:proofErr w:type="spellStart"/>
      <w:r>
        <w:rPr>
          <w:rtl/>
        </w:rPr>
        <w:t>בריסק</w:t>
      </w:r>
      <w:proofErr w:type="spellEnd"/>
      <w:r>
        <w:rPr>
          <w:rtl/>
        </w:rPr>
        <w:t xml:space="preserve"> שבירושלים מן הדור הקודם, גילה</w:t>
      </w:r>
      <w:bookmarkStart w:id="5579" w:name="_fnr4226"/>
      <w:r>
        <w:rPr>
          <w:vertAlign w:val="superscript"/>
          <w:rtl/>
        </w:rPr>
        <w:footnoteReference w:id="4236" w:customMarkFollows="0"/>
      </w:r>
      <w:bookmarkEnd w:id="5579"/>
      <w:r>
        <w:rPr>
          <w:rtl/>
        </w:rPr>
        <w:t xml:space="preserve"> ששמע שקבוצת בחורים באה </w:t>
      </w:r>
      <w:proofErr w:type="spellStart"/>
      <w:r>
        <w:rPr>
          <w:rtl/>
        </w:rPr>
        <w:t>מטלז</w:t>
      </w:r>
      <w:proofErr w:type="spellEnd"/>
      <w:r>
        <w:rPr>
          <w:rtl/>
        </w:rPr>
        <w:t xml:space="preserve"> ללמוד אצל ר׳ חיים </w:t>
      </w:r>
      <w:proofErr w:type="spellStart"/>
      <w:r>
        <w:rPr>
          <w:rtl/>
        </w:rPr>
        <w:t>בבריסק</w:t>
      </w:r>
      <w:proofErr w:type="spellEnd"/>
      <w:r>
        <w:rPr>
          <w:rtl/>
        </w:rPr>
        <w:t xml:space="preserve">. לא ברור אם זו הקבוצה שלמדה יבמות, שעליה שמע ר׳ </w:t>
      </w:r>
      <w:proofErr w:type="spellStart"/>
      <w:r>
        <w:rPr>
          <w:rtl/>
        </w:rPr>
        <w:t>משה־אהרן</w:t>
      </w:r>
      <w:proofErr w:type="spellEnd"/>
      <w:r>
        <w:rPr>
          <w:rtl/>
        </w:rPr>
        <w:t xml:space="preserve">, או שתלמידי </w:t>
      </w:r>
      <w:proofErr w:type="spellStart"/>
      <w:r>
        <w:rPr>
          <w:rtl/>
        </w:rPr>
        <w:t>טלז</w:t>
      </w:r>
      <w:proofErr w:type="spellEnd"/>
      <w:r>
        <w:rPr>
          <w:rtl/>
        </w:rPr>
        <w:t xml:space="preserve"> היו קבוצה אחרת, שבאה </w:t>
      </w:r>
      <w:proofErr w:type="spellStart"/>
      <w:r>
        <w:rPr>
          <w:rtl/>
        </w:rPr>
        <w:t>לבריסק</w:t>
      </w:r>
      <w:proofErr w:type="spellEnd"/>
      <w:r>
        <w:rPr>
          <w:rtl/>
        </w:rPr>
        <w:t xml:space="preserve"> לפני השרפה הגדולה</w:t>
      </w:r>
      <w:bookmarkStart w:id="5580" w:name="_fnr4227"/>
      <w:r>
        <w:rPr>
          <w:vertAlign w:val="superscript"/>
          <w:rtl/>
        </w:rPr>
        <w:footnoteReference w:id="4237" w:customMarkFollows="0"/>
      </w:r>
      <w:bookmarkEnd w:id="5580"/>
      <w:r>
        <w:rPr>
          <w:rtl/>
        </w:rPr>
        <w:t xml:space="preserve">. ייתכן שתלמידי </w:t>
      </w:r>
      <w:proofErr w:type="spellStart"/>
      <w:r>
        <w:rPr>
          <w:rtl/>
        </w:rPr>
        <w:t>טלז</w:t>
      </w:r>
      <w:proofErr w:type="spellEnd"/>
      <w:r>
        <w:rPr>
          <w:rtl/>
        </w:rPr>
        <w:t xml:space="preserve"> הם אלה הנזכרים במאמרו של הרב ניסן וקסמן על ר׳ </w:t>
      </w:r>
      <w:proofErr w:type="spellStart"/>
      <w:r>
        <w:rPr>
          <w:rtl/>
        </w:rPr>
        <w:t>אליעזר־יהודה</w:t>
      </w:r>
      <w:proofErr w:type="spellEnd"/>
      <w:r>
        <w:rPr>
          <w:rtl/>
        </w:rPr>
        <w:t xml:space="preserve"> </w:t>
      </w:r>
      <w:proofErr w:type="spellStart"/>
      <w:r>
        <w:rPr>
          <w:rtl/>
        </w:rPr>
        <w:t>פינקל</w:t>
      </w:r>
      <w:bookmarkStart w:id="5581" w:name="_fnr4228"/>
      <w:proofErr w:type="spellEnd"/>
      <w:r>
        <w:rPr>
          <w:vertAlign w:val="superscript"/>
          <w:rtl/>
        </w:rPr>
        <w:footnoteReference w:id="4238" w:customMarkFollows="0"/>
      </w:r>
      <w:bookmarkEnd w:id="5581"/>
      <w:r>
        <w:rPr>
          <w:rtl/>
        </w:rPr>
        <w:t xml:space="preserve">, שאת “(הקושי) שלהם במעבר משיטת הלימוד </w:t>
      </w:r>
      <w:proofErr w:type="spellStart"/>
      <w:r>
        <w:rPr>
          <w:rtl/>
        </w:rPr>
        <w:t>הטלזאית</w:t>
      </w:r>
      <w:proofErr w:type="spellEnd"/>
      <w:r>
        <w:rPr>
          <w:rtl/>
        </w:rPr>
        <w:t xml:space="preserve"> של ‘דקדוק כחוט השערה’ אל ‘דרך המלך’ </w:t>
      </w:r>
      <w:proofErr w:type="spellStart"/>
      <w:r>
        <w:rPr>
          <w:rtl/>
        </w:rPr>
        <w:t>הבריסקאית</w:t>
      </w:r>
      <w:proofErr w:type="spellEnd"/>
      <w:r>
        <w:rPr>
          <w:rtl/>
        </w:rPr>
        <w:t xml:space="preserve"> של הגדרת סוגיית הגמרא כמכלול” – שינוי שאפשר לכנותו פישוט – תיאר כעבור שלושים שנה חברם ללימודים, ר׳ שלמה </w:t>
      </w:r>
      <w:proofErr w:type="spellStart"/>
      <w:r>
        <w:rPr>
          <w:rtl/>
        </w:rPr>
        <w:t>פוליצ׳ק</w:t>
      </w:r>
      <w:proofErr w:type="spellEnd"/>
      <w:r>
        <w:rPr>
          <w:rtl/>
        </w:rPr>
        <w:t xml:space="preserve">, העילוי </w:t>
      </w:r>
      <w:proofErr w:type="spellStart"/>
      <w:r>
        <w:rPr>
          <w:rtl/>
        </w:rPr>
        <w:t>ממייצ׳ט</w:t>
      </w:r>
      <w:proofErr w:type="spellEnd"/>
      <w:r>
        <w:rPr>
          <w:rtl/>
        </w:rPr>
        <w:t xml:space="preserve">. ר׳ שלמה עזב את </w:t>
      </w:r>
      <w:proofErr w:type="spellStart"/>
      <w:r>
        <w:rPr>
          <w:rtl/>
        </w:rPr>
        <w:t>בריסק</w:t>
      </w:r>
      <w:proofErr w:type="spellEnd"/>
      <w:r>
        <w:rPr>
          <w:rtl/>
        </w:rPr>
        <w:t xml:space="preserve"> בסוף חורף תרנ״ו, זמן המתאים למסירתו של ר׳ </w:t>
      </w:r>
      <w:proofErr w:type="spellStart"/>
      <w:r>
        <w:rPr>
          <w:rtl/>
        </w:rPr>
        <w:t>משה־אהרן</w:t>
      </w:r>
      <w:proofErr w:type="spellEnd"/>
      <w:r>
        <w:rPr>
          <w:rtl/>
        </w:rPr>
        <w:t xml:space="preserve">. הדבר עשוי להורות שכל המקורות השונים מתייחסים לקבוצה אחת – של תלמידי </w:t>
      </w:r>
      <w:proofErr w:type="spellStart"/>
      <w:r>
        <w:rPr>
          <w:rtl/>
        </w:rPr>
        <w:t>טלז</w:t>
      </w:r>
      <w:proofErr w:type="spellEnd"/>
      <w:r>
        <w:rPr>
          <w:rtl/>
        </w:rPr>
        <w:t xml:space="preserve">. לפי מאמרו של וקסמן, התלמידים גם מסרו חבורות – דבר המורה שכוננו מסגרת </w:t>
      </w:r>
      <w:proofErr w:type="spellStart"/>
      <w:r>
        <w:rPr>
          <w:rtl/>
        </w:rPr>
        <w:t>ישיבתית</w:t>
      </w:r>
      <w:proofErr w:type="spellEnd"/>
      <w:r>
        <w:rPr>
          <w:rtl/>
        </w:rPr>
        <w:t xml:space="preserve"> בזמן שהותם שם. ייתכן גם שתלמידי </w:t>
      </w:r>
      <w:proofErr w:type="spellStart"/>
      <w:r>
        <w:rPr>
          <w:rtl/>
        </w:rPr>
        <w:t>וולוז׳ין</w:t>
      </w:r>
      <w:proofErr w:type="spellEnd"/>
      <w:r>
        <w:rPr>
          <w:rtl/>
        </w:rPr>
        <w:t xml:space="preserve"> שבאו </w:t>
      </w:r>
      <w:proofErr w:type="spellStart"/>
      <w:r>
        <w:rPr>
          <w:rtl/>
        </w:rPr>
        <w:t>לטלז</w:t>
      </w:r>
      <w:proofErr w:type="spellEnd"/>
      <w:r>
        <w:rPr>
          <w:rtl/>
        </w:rPr>
        <w:t xml:space="preserve"> אחרי סגירת ישיבתם </w:t>
      </w:r>
      <w:proofErr w:type="spellStart"/>
      <w:r>
        <w:rPr>
          <w:rtl/>
        </w:rPr>
        <w:t>בתרנ״ב</w:t>
      </w:r>
      <w:proofErr w:type="spellEnd"/>
      <w:r>
        <w:rPr>
          <w:rtl/>
        </w:rPr>
        <w:t xml:space="preserve"> הפיצו את שמם של שיעורי ר׳ חיים המעולים, ועוררו בקרב חבריהם החדשים עניין לעבור </w:t>
      </w:r>
      <w:proofErr w:type="spellStart"/>
      <w:r>
        <w:rPr>
          <w:rtl/>
        </w:rPr>
        <w:t>לבריסק</w:t>
      </w:r>
      <w:proofErr w:type="spellEnd"/>
      <w:r>
        <w:rPr>
          <w:rtl/>
        </w:rPr>
        <w:t>.</w:t>
      </w:r>
    </w:p>
    <w:p w14:paraId="781FDABF" w14:textId="77777777" w:rsidR="00AB3647" w:rsidRDefault="00000000" w:rsidP="007923E9">
      <w:pPr>
        <w:spacing w:after="120" w:line="276" w:lineRule="auto"/>
        <w:ind w:firstLine="283"/>
        <w:jc w:val="both"/>
      </w:pPr>
      <w:r>
        <w:rPr>
          <w:rtl/>
        </w:rPr>
        <w:t xml:space="preserve">סיפורים אלה על קבוצה (או קבוצות) של תלמידים שלמדו אצל ר׳ חיים אינם מפריכים את ההשערה שלא היה מסוגל להפעיל ישיבה. אדרבה: אילו היה מסוגל לכך, היה מוצא דרך להעסיק ר״מ אחר שימסור את השיעור היומי לתלמידים שטרם הבשילו, ור׳ חיים היה תורם את חלקו לעתים רחוקות יותר, עד שיגיעו לרמה שהיה מצפה לה מהם – או שהיה מוצא הסדר אחר כדי להקים ישיבה משלו. לפי ההקדמה לחידושי </w:t>
      </w:r>
      <w:proofErr w:type="spellStart"/>
      <w:r>
        <w:rPr>
          <w:rtl/>
        </w:rPr>
        <w:t>הגר״ח</w:t>
      </w:r>
      <w:proofErr w:type="spellEnd"/>
      <w:r>
        <w:rPr>
          <w:rtl/>
        </w:rPr>
        <w:t xml:space="preserve"> בסוגיות הש״ס</w:t>
      </w:r>
      <w:bookmarkStart w:id="5582" w:name="_fnr4229"/>
      <w:r>
        <w:rPr>
          <w:vertAlign w:val="superscript"/>
          <w:rtl/>
        </w:rPr>
        <w:footnoteReference w:id="4239" w:customMarkFollows="0"/>
      </w:r>
      <w:bookmarkEnd w:id="5582"/>
      <w:r>
        <w:rPr>
          <w:rtl/>
        </w:rPr>
        <w:t xml:space="preserve">, סיפר ר׳ </w:t>
      </w:r>
      <w:proofErr w:type="spellStart"/>
      <w:r>
        <w:rPr>
          <w:rtl/>
        </w:rPr>
        <w:t xml:space="preserve">וועלוול׳ה</w:t>
      </w:r>
      <w:proofErr w:type="spellEnd"/>
      <w:r>
        <w:rPr>
          <w:rtl/>
        </w:rPr>
        <w:t xml:space="preserve"> שקבוצת “תלמידים מצוינים” באה </w:t>
      </w:r>
      <w:proofErr w:type="spellStart"/>
      <w:r>
        <w:rPr>
          <w:rtl/>
        </w:rPr>
        <w:t>לבריסק</w:t>
      </w:r>
      <w:proofErr w:type="spellEnd"/>
      <w:r>
        <w:rPr>
          <w:rtl/>
        </w:rPr>
        <w:t xml:space="preserve"> ללמוד מסכת גיטין אצל אביו בשלב מוקדם עוד יותר – מיד כשנסגרה </w:t>
      </w:r>
      <w:proofErr w:type="spellStart"/>
      <w:r>
        <w:rPr>
          <w:rtl/>
        </w:rPr>
        <w:t>וולוז׳ין</w:t>
      </w:r>
      <w:proofErr w:type="spellEnd"/>
      <w:r>
        <w:rPr>
          <w:rtl/>
        </w:rPr>
        <w:t xml:space="preserve">. אילו עמדה בראשה הנהגה יזמית, יכולה הייתה גם קבוצה זו לשמש גרעין להקמת ישיבה גדולה </w:t>
      </w:r>
      <w:proofErr w:type="spellStart"/>
      <w:r>
        <w:rPr>
          <w:rtl/>
        </w:rPr>
        <w:t>בבריסק</w:t>
      </w:r>
      <w:proofErr w:type="spellEnd"/>
      <w:r>
        <w:rPr>
          <w:rtl/>
        </w:rPr>
        <w:t xml:space="preserve">. היא כללה כנראה רבים מתלמידיו לשעבר </w:t>
      </w:r>
      <w:proofErr w:type="spellStart"/>
      <w:r>
        <w:rPr>
          <w:rtl/>
        </w:rPr>
        <w:t>בוולוז׳ין</w:t>
      </w:r>
      <w:proofErr w:type="spellEnd"/>
      <w:r>
        <w:rPr>
          <w:rtl/>
        </w:rPr>
        <w:t>, שהכירו את סוג שיעוריו – ולא מצאו אותם קשים מדי או פשוטים מדי.</w:t>
      </w:r>
    </w:p>
    <w:p w14:paraId="7917BCFB" w14:textId="77777777" w:rsidR="00AB3647" w:rsidRDefault="00000000" w:rsidP="007923E9">
      <w:pPr>
        <w:spacing w:after="120" w:line="276" w:lineRule="auto"/>
        <w:ind w:firstLine="283"/>
        <w:jc w:val="both"/>
      </w:pPr>
      <w:r>
        <w:rPr>
          <w:rtl/>
        </w:rPr>
        <w:t>השווה גם “אחד בדורו”, מאת הרב שמואל קול</w:t>
      </w:r>
      <w:bookmarkStart w:id="5583" w:name="_fnr4230"/>
      <w:r>
        <w:rPr>
          <w:vertAlign w:val="superscript"/>
          <w:rtl/>
        </w:rPr>
        <w:footnoteReference w:id="4240" w:customMarkFollows="0"/>
      </w:r>
      <w:bookmarkEnd w:id="5583"/>
      <w:r>
        <w:rPr>
          <w:rtl/>
        </w:rPr>
        <w:t xml:space="preserve">, המספר </w:t>
      </w:r>
      <w:proofErr w:type="spellStart"/>
      <w:r>
        <w:rPr>
          <w:rtl/>
        </w:rPr>
        <w:t>שליבה־מרים</w:t>
      </w:r>
      <w:proofErr w:type="spellEnd"/>
      <w:r>
        <w:rPr>
          <w:rtl/>
        </w:rPr>
        <w:t xml:space="preserve"> </w:t>
      </w:r>
      <w:proofErr w:type="spellStart"/>
      <w:r>
        <w:rPr>
          <w:rtl/>
        </w:rPr>
        <w:t>גברונסקי</w:t>
      </w:r>
      <w:proofErr w:type="spellEnd"/>
      <w:r>
        <w:rPr>
          <w:rtl/>
        </w:rPr>
        <w:t xml:space="preserve">, בתו של בעל המיליונים שומר המצוות ר׳ </w:t>
      </w:r>
      <w:proofErr w:type="spellStart"/>
      <w:r>
        <w:rPr>
          <w:rtl/>
        </w:rPr>
        <w:t>קלמן־וולף</w:t>
      </w:r>
      <w:proofErr w:type="spellEnd"/>
      <w:r>
        <w:rPr>
          <w:rtl/>
        </w:rPr>
        <w:t xml:space="preserve"> ויסוצקי, רצתה להקים קיבוץ של תלמידים מצטיינים לזכר בעלה ולתמוך בו ביד רחבה. היא באה </w:t>
      </w:r>
      <w:proofErr w:type="spellStart"/>
      <w:r>
        <w:rPr>
          <w:rtl/>
        </w:rPr>
        <w:t>לבריסק</w:t>
      </w:r>
      <w:proofErr w:type="spellEnd"/>
      <w:r>
        <w:rPr>
          <w:rtl/>
        </w:rPr>
        <w:t xml:space="preserve"> </w:t>
      </w:r>
      <w:proofErr w:type="spellStart"/>
      <w:r>
        <w:rPr>
          <w:rtl/>
        </w:rPr>
        <w:t>בתר״ע</w:t>
      </w:r>
      <w:proofErr w:type="spellEnd"/>
      <w:r>
        <w:rPr>
          <w:rtl/>
        </w:rPr>
        <w:t xml:space="preserve"> ושאלה בעצת ר׳ חיים היכן להקימו: </w:t>
      </w:r>
      <w:proofErr w:type="spellStart"/>
      <w:r>
        <w:rPr>
          <w:rtl/>
        </w:rPr>
        <w:t>בבריסק</w:t>
      </w:r>
      <w:proofErr w:type="spellEnd"/>
      <w:r>
        <w:rPr>
          <w:rtl/>
        </w:rPr>
        <w:t xml:space="preserve">, בווילנה או </w:t>
      </w:r>
      <w:proofErr w:type="spellStart"/>
      <w:r>
        <w:rPr>
          <w:rtl/>
        </w:rPr>
        <w:t>בפוניבז</w:t>
      </w:r>
      <w:proofErr w:type="spellEnd"/>
      <w:r>
        <w:rPr>
          <w:rtl/>
        </w:rPr>
        <w:t xml:space="preserve">׳. ר׳ חיים ערך עמה “חשבון פשוט”: “הצלחתה של ישיבה תלויה בשני גורמים: מקום מתאים ורב מתאים. </w:t>
      </w:r>
      <w:proofErr w:type="spellStart"/>
      <w:r>
        <w:rPr>
          <w:rtl/>
        </w:rPr>
        <w:t>בריסק</w:t>
      </w:r>
      <w:proofErr w:type="spellEnd"/>
      <w:r>
        <w:rPr>
          <w:rtl/>
        </w:rPr>
        <w:t xml:space="preserve">, אף שהיא מקום מתאים, אין לה רב מתאים [הוא עצמו!]; לווילנה יש רב מתאים [ר׳ </w:t>
      </w:r>
      <w:proofErr w:type="spellStart"/>
      <w:r>
        <w:rPr>
          <w:rtl/>
        </w:rPr>
        <w:t>חיים־עוזר</w:t>
      </w:r>
      <w:proofErr w:type="spellEnd"/>
      <w:r>
        <w:rPr>
          <w:rtl/>
        </w:rPr>
        <w:t xml:space="preserve"> </w:t>
      </w:r>
      <w:proofErr w:type="spellStart"/>
      <w:r>
        <w:rPr>
          <w:rtl/>
        </w:rPr>
        <w:t>גרודזנסקי</w:t>
      </w:r>
      <w:proofErr w:type="spellEnd"/>
      <w:r>
        <w:rPr>
          <w:rtl/>
        </w:rPr>
        <w:t>], אבל היא אינה מקום מתאים [מפני שהיא עיר גדולה ובה משכילים רבים</w:t>
      </w:r>
      <w:bookmarkStart w:id="5584" w:name="_fnr4231"/>
      <w:r>
        <w:rPr>
          <w:vertAlign w:val="superscript"/>
          <w:rtl/>
        </w:rPr>
        <w:footnoteReference w:id="4241" w:customMarkFollows="0"/>
      </w:r>
      <w:bookmarkEnd w:id="5584"/>
      <w:r>
        <w:rPr>
          <w:rtl/>
        </w:rPr>
        <w:t xml:space="preserve"> והסחות דעת]; ואילו </w:t>
      </w:r>
      <w:proofErr w:type="spellStart"/>
      <w:r>
        <w:rPr>
          <w:rtl/>
        </w:rPr>
        <w:t>פוניבז</w:t>
      </w:r>
      <w:proofErr w:type="spellEnd"/>
      <w:r>
        <w:rPr>
          <w:rtl/>
        </w:rPr>
        <w:t xml:space="preserve">׳ [שר׳ </w:t>
      </w:r>
      <w:proofErr w:type="spellStart"/>
      <w:r>
        <w:rPr>
          <w:rtl/>
        </w:rPr>
        <w:t>איצל׳ה</w:t>
      </w:r>
      <w:proofErr w:type="spellEnd"/>
      <w:r>
        <w:rPr>
          <w:rtl/>
        </w:rPr>
        <w:t xml:space="preserve"> </w:t>
      </w:r>
      <w:proofErr w:type="spellStart"/>
      <w:r>
        <w:rPr>
          <w:rtl/>
        </w:rPr>
        <w:t>רבינוביץ</w:t>
      </w:r>
      <w:proofErr w:type="spellEnd"/>
      <w:r>
        <w:rPr>
          <w:rtl/>
        </w:rPr>
        <w:t xml:space="preserve"> היה רבה] מקיימת את שתי הדרישות”.</w:t>
      </w:r>
    </w:p>
    <w:p w14:paraId="1EB9E318" w14:textId="77777777" w:rsidR="00AB3647" w:rsidRDefault="00000000" w:rsidP="007923E9">
      <w:pPr>
        <w:spacing w:after="120" w:line="276" w:lineRule="auto"/>
        <w:ind w:firstLine="283"/>
        <w:jc w:val="both"/>
      </w:pPr>
      <w:r>
        <w:rPr>
          <w:rtl/>
        </w:rPr>
        <w:lastRenderedPageBreak/>
        <w:t xml:space="preserve">אבי סיפר שגיסה של </w:t>
      </w:r>
      <w:proofErr w:type="spellStart"/>
      <w:r>
        <w:rPr>
          <w:rtl/>
        </w:rPr>
        <w:t>גברונסקי</w:t>
      </w:r>
      <w:proofErr w:type="spellEnd"/>
      <w:r>
        <w:rPr>
          <w:rtl/>
        </w:rPr>
        <w:t xml:space="preserve">, ר׳ </w:t>
      </w:r>
      <w:proofErr w:type="spellStart"/>
      <w:r>
        <w:rPr>
          <w:rtl/>
        </w:rPr>
        <w:t>רפאל־שלמה</w:t>
      </w:r>
      <w:proofErr w:type="spellEnd"/>
      <w:r>
        <w:rPr>
          <w:rtl/>
        </w:rPr>
        <w:t xml:space="preserve"> גוץ, נסע אז </w:t>
      </w:r>
      <w:proofErr w:type="spellStart"/>
      <w:r>
        <w:rPr>
          <w:rtl/>
        </w:rPr>
        <w:t>לפוניבז</w:t>
      </w:r>
      <w:proofErr w:type="spellEnd"/>
      <w:r>
        <w:rPr>
          <w:rtl/>
        </w:rPr>
        <w:t xml:space="preserve">׳ והודיע </w:t>
      </w:r>
      <w:proofErr w:type="spellStart"/>
      <w:r>
        <w:rPr>
          <w:rtl/>
        </w:rPr>
        <w:t>לר</w:t>
      </w:r>
      <w:proofErr w:type="spellEnd"/>
      <w:r>
        <w:rPr>
          <w:rtl/>
        </w:rPr>
        <w:t xml:space="preserve">׳ </w:t>
      </w:r>
      <w:proofErr w:type="spellStart"/>
      <w:r>
        <w:rPr>
          <w:rtl/>
        </w:rPr>
        <w:t>איצל׳ה</w:t>
      </w:r>
      <w:proofErr w:type="spellEnd"/>
      <w:r>
        <w:rPr>
          <w:rtl/>
        </w:rPr>
        <w:t xml:space="preserve"> שיוכל לקבל מספר מסוים של בחורים ולהקים קיבוץ, ושמשפחת ויסוצקי תתמוך בו ביד רחבה</w:t>
      </w:r>
      <w:bookmarkStart w:id="5585" w:name="_fnr4232"/>
      <w:r>
        <w:rPr>
          <w:vertAlign w:val="superscript"/>
          <w:rtl/>
        </w:rPr>
        <w:footnoteReference w:id="4242" w:customMarkFollows="0"/>
      </w:r>
      <w:bookmarkEnd w:id="5585"/>
      <w:r>
        <w:rPr>
          <w:rtl/>
        </w:rPr>
        <w:t xml:space="preserve">. “זאת אני זוכר בעצמי, מפני שכבר הייתי אז </w:t>
      </w:r>
      <w:proofErr w:type="spellStart"/>
      <w:r>
        <w:rPr>
          <w:rtl/>
        </w:rPr>
        <w:t>בחור׳ל</w:t>
      </w:r>
      <w:proofErr w:type="spellEnd"/>
      <w:r>
        <w:rPr>
          <w:rtl/>
        </w:rPr>
        <w:t xml:space="preserve"> בולט”, אמר רבנו – זה עתה מלאו לאבי עשרים שנה. הוא הוסיף: “ר׳ </w:t>
      </w:r>
      <w:proofErr w:type="spellStart"/>
      <w:r>
        <w:rPr>
          <w:rtl/>
        </w:rPr>
        <w:t>יעקב־יצחק</w:t>
      </w:r>
      <w:proofErr w:type="spellEnd"/>
      <w:r>
        <w:rPr>
          <w:rtl/>
        </w:rPr>
        <w:t xml:space="preserve"> </w:t>
      </w:r>
      <w:proofErr w:type="spellStart"/>
      <w:r>
        <w:rPr>
          <w:rtl/>
        </w:rPr>
        <w:t>רודרמן</w:t>
      </w:r>
      <w:proofErr w:type="spellEnd"/>
      <w:r>
        <w:rPr>
          <w:rtl/>
        </w:rPr>
        <w:t xml:space="preserve"> רצה ללכת לשם” – כעבור חמש שנים, בזמן מלחמת העולם – “אבל הסבא לא הניח לו. היו שם </w:t>
      </w:r>
      <w:proofErr w:type="spellStart"/>
      <w:r>
        <w:rPr>
          <w:rtl/>
        </w:rPr>
        <w:t>וואוילע</w:t>
      </w:r>
      <w:proofErr w:type="spellEnd"/>
      <w:r>
        <w:rPr>
          <w:rtl/>
        </w:rPr>
        <w:t xml:space="preserve"> בחורים [בחורים טובים]”. כשסיפר על כך אבי, הוסיף: “ויסוצקי, א גביר אדיר [עשיר מופלג] ותושב מוסקבה מפורסם, שבא </w:t>
      </w:r>
      <w:proofErr w:type="spellStart"/>
      <w:r>
        <w:rPr>
          <w:rtl/>
        </w:rPr>
        <w:t>מזאגר</w:t>
      </w:r>
      <w:proofErr w:type="spellEnd"/>
      <w:r>
        <w:rPr>
          <w:rtl/>
        </w:rPr>
        <w:t xml:space="preserve">, עיירתו של ר׳ ישראל </w:t>
      </w:r>
      <w:proofErr w:type="spellStart"/>
      <w:r>
        <w:rPr>
          <w:rtl/>
        </w:rPr>
        <w:t>סלנטר</w:t>
      </w:r>
      <w:proofErr w:type="spellEnd"/>
      <w:r>
        <w:rPr>
          <w:rtl/>
        </w:rPr>
        <w:t>, נטה למוסר</w:t>
      </w:r>
      <w:bookmarkStart w:id="5586" w:name="_fnr4233"/>
      <w:r>
        <w:rPr>
          <w:vertAlign w:val="superscript"/>
          <w:rtl/>
        </w:rPr>
        <w:footnoteReference w:id="4243" w:customMarkFollows="0"/>
      </w:r>
      <w:bookmarkEnd w:id="5586"/>
      <w:r>
        <w:rPr>
          <w:rtl/>
        </w:rPr>
        <w:t xml:space="preserve">. אבל אנשי המוסר לא ידעו כיצד להסתייע בו, ולבסוף אחד העם [שם העט של ההוגה הציוני החילוני אשר גינזברג מאודסה], שהיה א </w:t>
      </w:r>
      <w:proofErr w:type="spellStart"/>
      <w:r>
        <w:rPr>
          <w:rtl/>
        </w:rPr>
        <w:t>גרעסערער</w:t>
      </w:r>
      <w:proofErr w:type="spellEnd"/>
      <w:r>
        <w:rPr>
          <w:rtl/>
        </w:rPr>
        <w:t xml:space="preserve"> בריה [בעל יכולת רבה יותר], שכנע את ויסוצקי לממן את פרסום כתביו הציוניים</w:t>
      </w:r>
      <w:bookmarkStart w:id="5587" w:name="_fnr4234"/>
      <w:r>
        <w:rPr>
          <w:vertAlign w:val="superscript"/>
          <w:rtl/>
        </w:rPr>
        <w:footnoteReference w:id="4244" w:customMarkFollows="0"/>
      </w:r>
      <w:bookmarkEnd w:id="5587"/>
      <w:r>
        <w:rPr>
          <w:rtl/>
        </w:rPr>
        <w:t>”.</w:t>
      </w:r>
    </w:p>
    <w:p w14:paraId="5C49D793" w14:textId="77777777" w:rsidR="00AB3647" w:rsidRDefault="00000000" w:rsidP="007923E9">
      <w:pPr>
        <w:spacing w:after="120" w:line="276" w:lineRule="auto"/>
        <w:ind w:firstLine="283"/>
        <w:jc w:val="both"/>
      </w:pPr>
      <w:r>
        <w:rPr>
          <w:rtl/>
        </w:rPr>
        <w:t xml:space="preserve">הפרטים הדרמטיים על האופן שבו הסבא “לא הניח </w:t>
      </w:r>
      <w:proofErr w:type="spellStart"/>
      <w:r>
        <w:rPr>
          <w:rtl/>
        </w:rPr>
        <w:t>לר</w:t>
      </w:r>
      <w:proofErr w:type="spellEnd"/>
      <w:r>
        <w:rPr>
          <w:rtl/>
        </w:rPr>
        <w:t xml:space="preserve">׳ </w:t>
      </w:r>
      <w:proofErr w:type="spellStart"/>
      <w:r>
        <w:rPr>
          <w:rtl/>
        </w:rPr>
        <w:t>יעקב־יצחק</w:t>
      </w:r>
      <w:proofErr w:type="spellEnd"/>
      <w:r>
        <w:rPr>
          <w:rtl/>
        </w:rPr>
        <w:t xml:space="preserve"> </w:t>
      </w:r>
      <w:proofErr w:type="spellStart"/>
      <w:r>
        <w:rPr>
          <w:rtl/>
        </w:rPr>
        <w:t>רודרמן</w:t>
      </w:r>
      <w:proofErr w:type="spellEnd"/>
      <w:r>
        <w:rPr>
          <w:rtl/>
        </w:rPr>
        <w:t xml:space="preserve"> ללכת” לקיבוצו של ר׳ </w:t>
      </w:r>
      <w:proofErr w:type="spellStart"/>
      <w:r>
        <w:rPr>
          <w:rtl/>
        </w:rPr>
        <w:t>איצל׳ה</w:t>
      </w:r>
      <w:proofErr w:type="spellEnd"/>
      <w:r>
        <w:rPr>
          <w:rtl/>
        </w:rPr>
        <w:t xml:space="preserve"> </w:t>
      </w:r>
      <w:proofErr w:type="spellStart"/>
      <w:r>
        <w:rPr>
          <w:rtl/>
        </w:rPr>
        <w:t>מפוניבז</w:t>
      </w:r>
      <w:proofErr w:type="spellEnd"/>
      <w:r>
        <w:rPr>
          <w:rtl/>
        </w:rPr>
        <w:t xml:space="preserve">׳ נמסרו מפי ר׳ </w:t>
      </w:r>
      <w:proofErr w:type="spellStart"/>
      <w:r>
        <w:rPr>
          <w:rtl/>
        </w:rPr>
        <w:t>יעקב־יצחק</w:t>
      </w:r>
      <w:proofErr w:type="spellEnd"/>
      <w:r>
        <w:rPr>
          <w:rtl/>
        </w:rPr>
        <w:t xml:space="preserve"> </w:t>
      </w:r>
      <w:proofErr w:type="spellStart"/>
      <w:r>
        <w:rPr>
          <w:rtl/>
        </w:rPr>
        <w:t>רודרמן</w:t>
      </w:r>
      <w:proofErr w:type="spellEnd"/>
      <w:r>
        <w:rPr>
          <w:rtl/>
        </w:rPr>
        <w:t xml:space="preserve"> עצמו</w:t>
      </w:r>
      <w:bookmarkStart w:id="5588" w:name="_fnr4235"/>
      <w:r>
        <w:rPr>
          <w:vertAlign w:val="superscript"/>
          <w:rtl/>
        </w:rPr>
        <w:footnoteReference w:id="4245" w:customMarkFollows="0"/>
      </w:r>
      <w:bookmarkEnd w:id="5588"/>
      <w:r>
        <w:rPr>
          <w:rtl/>
        </w:rPr>
        <w:t xml:space="preserve">. הסבא לקח את </w:t>
      </w:r>
      <w:proofErr w:type="spellStart"/>
      <w:r>
        <w:rPr>
          <w:rtl/>
        </w:rPr>
        <w:t>יעקב־יצחק</w:t>
      </w:r>
      <w:proofErr w:type="spellEnd"/>
      <w:r>
        <w:rPr>
          <w:rtl/>
        </w:rPr>
        <w:t xml:space="preserve">, שהיה אז בן 16, אל חלון הנשקף אל נהר </w:t>
      </w:r>
      <w:proofErr w:type="spellStart"/>
      <w:r>
        <w:rPr>
          <w:rtl/>
        </w:rPr>
        <w:t>סביסלוץ</w:t>
      </w:r>
      <w:proofErr w:type="spellEnd"/>
      <w:r>
        <w:rPr>
          <w:rtl/>
        </w:rPr>
        <w:t xml:space="preserve">׳ המתפתל דרך מינסק, ואמר: “אם אתה רוצה להתאבד, אתה יכול לקפוץ לנהר ממש כאן. למה לנסוע </w:t>
      </w:r>
      <w:proofErr w:type="spellStart"/>
      <w:r>
        <w:rPr>
          <w:rtl/>
        </w:rPr>
        <w:t>ללוצ׳ין</w:t>
      </w:r>
      <w:bookmarkStart w:id="5589" w:name="_fnr4236"/>
      <w:proofErr w:type="spellEnd"/>
      <w:r>
        <w:rPr>
          <w:vertAlign w:val="superscript"/>
          <w:rtl/>
        </w:rPr>
        <w:footnoteReference w:id="4246" w:customMarkFollows="0"/>
      </w:r>
      <w:bookmarkEnd w:id="5589"/>
      <w:r>
        <w:rPr>
          <w:rtl/>
        </w:rPr>
        <w:t xml:space="preserve">?” ור׳ </w:t>
      </w:r>
      <w:proofErr w:type="spellStart"/>
      <w:r>
        <w:rPr>
          <w:rtl/>
        </w:rPr>
        <w:t>יעקב־יצחק</w:t>
      </w:r>
      <w:proofErr w:type="spellEnd"/>
      <w:r>
        <w:rPr>
          <w:rtl/>
        </w:rPr>
        <w:t xml:space="preserve"> ביטל את תוכניתו. פעם בא אחד מחברי אותה קבוצה לבקר את ר׳ </w:t>
      </w:r>
      <w:proofErr w:type="spellStart"/>
      <w:r>
        <w:rPr>
          <w:rtl/>
        </w:rPr>
        <w:t>יעקב־יצחק</w:t>
      </w:r>
      <w:proofErr w:type="spellEnd"/>
      <w:r>
        <w:rPr>
          <w:rtl/>
        </w:rPr>
        <w:t xml:space="preserve"> </w:t>
      </w:r>
      <w:proofErr w:type="spellStart"/>
      <w:r>
        <w:rPr>
          <w:rtl/>
        </w:rPr>
        <w:t>רודרמן</w:t>
      </w:r>
      <w:proofErr w:type="spellEnd"/>
      <w:r>
        <w:rPr>
          <w:rtl/>
        </w:rPr>
        <w:t xml:space="preserve"> בליל שבת, ובידו חידושי התורה שלו. כששאל אותו ר׳ </w:t>
      </w:r>
      <w:proofErr w:type="spellStart"/>
      <w:r>
        <w:rPr>
          <w:rtl/>
        </w:rPr>
        <w:t>יעקב־יצחק</w:t>
      </w:r>
      <w:proofErr w:type="spellEnd"/>
      <w:r>
        <w:rPr>
          <w:rtl/>
        </w:rPr>
        <w:t xml:space="preserve"> מה הביאו לחלל את השבת בנשיאת הדפים, השיב המבקר בכעס שהוא הטוב שבחבריו, שכן לפחות הוא עדיין לומד “תורה”</w:t>
      </w:r>
      <w:bookmarkStart w:id="5590" w:name="_fnr4237"/>
      <w:r>
        <w:rPr>
          <w:vertAlign w:val="superscript"/>
          <w:rtl/>
        </w:rPr>
        <w:footnoteReference w:id="4247" w:customMarkFollows="0"/>
      </w:r>
      <w:bookmarkEnd w:id="5590"/>
      <w:r>
        <w:rPr>
          <w:rtl/>
        </w:rPr>
        <w:t>.</w:t>
      </w:r>
    </w:p>
    <w:p w14:paraId="17E003A9" w14:textId="77777777" w:rsidR="00AB3647" w:rsidRDefault="00000000" w:rsidP="007923E9">
      <w:pPr>
        <w:spacing w:after="120" w:line="276" w:lineRule="auto"/>
        <w:ind w:firstLine="283"/>
        <w:jc w:val="both"/>
      </w:pPr>
      <w:r>
        <w:rPr>
          <w:rtl/>
        </w:rPr>
        <w:t xml:space="preserve">עצת הסבא לתלמידו שלא להצטרף לקיבוץ התבססה בבירור על הבחנתו הנכונה שר׳ </w:t>
      </w:r>
      <w:proofErr w:type="spellStart"/>
      <w:r>
        <w:rPr>
          <w:rtl/>
        </w:rPr>
        <w:t>איצל׳ה</w:t>
      </w:r>
      <w:proofErr w:type="spellEnd"/>
      <w:r>
        <w:rPr>
          <w:rtl/>
        </w:rPr>
        <w:t xml:space="preserve"> – למרות שיעוריו המעולים וצדקותו האישית – לא יוכל לתת לתלמידיו את ההכוונה שנזקקו לה כדי לנווט את דרכם בזמנים הסוערים ההם. עצת ר׳ חיים למשפחת ויסוצקי, מיהו </w:t>
      </w:r>
      <w:r>
        <w:rPr>
          <w:rtl/>
        </w:rPr>
        <w:lastRenderedPageBreak/>
        <w:t>“רב מתאים” לעמוד בראש קיבוצם, הייתה לקויה בבירור</w:t>
      </w:r>
      <w:bookmarkStart w:id="5591" w:name="_fnr4238"/>
      <w:r>
        <w:rPr>
          <w:vertAlign w:val="superscript"/>
          <w:rtl/>
        </w:rPr>
        <w:footnoteReference w:id="4248" w:customMarkFollows="0"/>
      </w:r>
      <w:bookmarkEnd w:id="5591"/>
      <w:r>
        <w:rPr>
          <w:rtl/>
        </w:rPr>
        <w:t>. אין זה בלתי סביר שר׳ חיים ראה את עצמו “בלתי מתאים” (לעמוד בראש ישיבה) לא מתוך ענווה, אלא מתוך הכרה ברורה באופיו ובחסרונותיו שלו.</w:t>
      </w:r>
    </w:p>
    <w:p w14:paraId="07F93B65" w14:textId="77777777" w:rsidR="00AB3647" w:rsidRDefault="00000000" w:rsidP="007923E9">
      <w:pPr>
        <w:spacing w:after="120" w:line="276" w:lineRule="auto"/>
        <w:ind w:firstLine="283"/>
        <w:jc w:val="both"/>
      </w:pPr>
      <w:r>
        <w:rPr>
          <w:rtl/>
        </w:rPr>
        <w:t xml:space="preserve">אשר לשאלה מי צריך לרשת את </w:t>
      </w:r>
      <w:proofErr w:type="spellStart"/>
      <w:r>
        <w:rPr>
          <w:rtl/>
        </w:rPr>
        <w:t>הנצי״ב</w:t>
      </w:r>
      <w:proofErr w:type="spellEnd"/>
      <w:r>
        <w:rPr>
          <w:rtl/>
        </w:rPr>
        <w:t xml:space="preserve"> בראשות ישיבת </w:t>
      </w:r>
      <w:proofErr w:type="spellStart"/>
      <w:r>
        <w:rPr>
          <w:rtl/>
        </w:rPr>
        <w:t>וולוז׳ין</w:t>
      </w:r>
      <w:proofErr w:type="spellEnd"/>
      <w:r>
        <w:rPr>
          <w:rtl/>
        </w:rPr>
        <w:t xml:space="preserve">: מעשה המובא </w:t>
      </w:r>
      <w:proofErr w:type="spellStart"/>
      <w:r>
        <w:rPr>
          <w:rtl/>
        </w:rPr>
        <w:t>ב“מרן</w:t>
      </w:r>
      <w:proofErr w:type="spellEnd"/>
      <w:r>
        <w:rPr>
          <w:rtl/>
        </w:rPr>
        <w:t xml:space="preserve"> הרב קוק זצ״ל”, מאת הרב זאב אריה </w:t>
      </w:r>
      <w:proofErr w:type="spellStart"/>
      <w:r>
        <w:rPr>
          <w:rtl/>
        </w:rPr>
        <w:t>רבינר</w:t>
      </w:r>
      <w:bookmarkStart w:id="5592" w:name="_fnr4239"/>
      <w:proofErr w:type="spellEnd"/>
      <w:r>
        <w:rPr>
          <w:vertAlign w:val="superscript"/>
          <w:rtl/>
        </w:rPr>
        <w:footnoteReference w:id="4249" w:customMarkFollows="0"/>
      </w:r>
      <w:bookmarkEnd w:id="5592"/>
      <w:r>
        <w:rPr>
          <w:rtl/>
        </w:rPr>
        <w:t xml:space="preserve">, מלמד שר׳ חיים ברלין עצמו ידע שאינו משתווה </w:t>
      </w:r>
      <w:proofErr w:type="spellStart"/>
      <w:r>
        <w:rPr>
          <w:rtl/>
        </w:rPr>
        <w:t>לר</w:t>
      </w:r>
      <w:proofErr w:type="spellEnd"/>
      <w:r>
        <w:rPr>
          <w:rtl/>
        </w:rPr>
        <w:t xml:space="preserve">׳ חיים </w:t>
      </w:r>
      <w:proofErr w:type="spellStart"/>
      <w:r>
        <w:rPr>
          <w:rtl/>
        </w:rPr>
        <w:t>סולובייצ׳יק</w:t>
      </w:r>
      <w:proofErr w:type="spellEnd"/>
      <w:r>
        <w:rPr>
          <w:rtl/>
        </w:rPr>
        <w:t xml:space="preserve"> בלמדנות. בשמחת תורה הרים ר׳ חיים ברלין את ר׳ חיים </w:t>
      </w:r>
      <w:proofErr w:type="spellStart"/>
      <w:r>
        <w:rPr>
          <w:rtl/>
        </w:rPr>
        <w:t>סולובייצ׳יק</w:t>
      </w:r>
      <w:proofErr w:type="spellEnd"/>
      <w:r>
        <w:rPr>
          <w:rtl/>
        </w:rPr>
        <w:t xml:space="preserve"> על כתפיו והכריז לפני התלמידים: “אתם [הרוקדים כשספרי תורה בידיכם] רוקדים עם תורה שבכתב; אני רוקד עם תורה שבעל פה!”</w:t>
      </w:r>
      <w:bookmarkStart w:id="5593" w:name="_fnr4240"/>
      <w:r>
        <w:rPr>
          <w:vertAlign w:val="superscript"/>
          <w:rtl/>
        </w:rPr>
        <w:footnoteReference w:id="4250" w:customMarkFollows="0"/>
      </w:r>
      <w:bookmarkEnd w:id="5593"/>
    </w:p>
    <w:p w14:paraId="7F6852BA" w14:textId="3907A247" w:rsidR="00AB3647" w:rsidRDefault="00000000" w:rsidP="007923E9">
      <w:pPr>
        <w:spacing w:after="120" w:line="276" w:lineRule="auto"/>
        <w:ind w:firstLine="283"/>
        <w:jc w:val="both"/>
      </w:pPr>
      <w:r>
        <w:rPr>
          <w:rtl/>
        </w:rPr>
        <w:t xml:space="preserve">במחלוקת שפרצה </w:t>
      </w:r>
      <w:proofErr w:type="spellStart"/>
      <w:r>
        <w:rPr>
          <w:rtl/>
        </w:rPr>
        <w:t>בתרי״ז</w:t>
      </w:r>
      <w:proofErr w:type="spellEnd"/>
      <w:r>
        <w:rPr>
          <w:rtl/>
        </w:rPr>
        <w:t xml:space="preserve"> בין אביו של ר׳ חיים ברלין, </w:t>
      </w:r>
      <w:proofErr w:type="spellStart"/>
      <w:r>
        <w:rPr>
          <w:rtl/>
        </w:rPr>
        <w:t>הנצי״ב</w:t>
      </w:r>
      <w:proofErr w:type="spellEnd"/>
      <w:r>
        <w:rPr>
          <w:rtl/>
        </w:rPr>
        <w:t xml:space="preserve">, לבין אביו של ר׳ חיים </w:t>
      </w:r>
      <w:proofErr w:type="spellStart"/>
      <w:r>
        <w:rPr>
          <w:rtl/>
        </w:rPr>
        <w:t>סולובייצ׳יק</w:t>
      </w:r>
      <w:proofErr w:type="spellEnd"/>
      <w:r>
        <w:rPr>
          <w:rtl/>
        </w:rPr>
        <w:t xml:space="preserve">, ר׳ </w:t>
      </w:r>
      <w:proofErr w:type="spellStart"/>
      <w:r>
        <w:rPr>
          <w:rtl/>
        </w:rPr>
        <w:t xml:space="preserve">יושע־בער</w:t>
      </w:r>
      <w:proofErr w:type="spellEnd"/>
      <w:r>
        <w:rPr>
          <w:rtl/>
        </w:rPr>
        <w:t xml:space="preserve">, על מעמדם בישיבת </w:t>
      </w:r>
      <w:proofErr w:type="spellStart"/>
      <w:r>
        <w:rPr>
          <w:rtl/>
        </w:rPr>
        <w:t>וולוז׳ין</w:t>
      </w:r>
      <w:proofErr w:type="spellEnd"/>
      <w:r>
        <w:rPr>
          <w:rtl/>
        </w:rPr>
        <w:t xml:space="preserve">, גם </w:t>
      </w:r>
      <w:proofErr w:type="spellStart"/>
      <w:r>
        <w:rPr>
          <w:rtl/>
        </w:rPr>
        <w:t>הנצי״ב</w:t>
      </w:r>
      <w:proofErr w:type="spellEnd"/>
      <w:r>
        <w:rPr>
          <w:rtl/>
        </w:rPr>
        <w:t xml:space="preserve"> לא פקפק בעליונותו של ר׳ </w:t>
      </w:r>
      <w:proofErr w:type="spellStart"/>
      <w:r>
        <w:rPr>
          <w:rtl/>
        </w:rPr>
        <w:t xml:space="preserve">יושע־בער</w:t>
      </w:r>
      <w:proofErr w:type="spellEnd"/>
      <w:r>
        <w:rPr>
          <w:rtl/>
        </w:rPr>
        <w:t xml:space="preserve"> במסירת שיעורים. ראה “הראשון לשושלת </w:t>
      </w:r>
      <w:proofErr w:type="spellStart"/>
      <w:r>
        <w:rPr>
          <w:rtl/>
        </w:rPr>
        <w:t>בריסק</w:t>
      </w:r>
      <w:proofErr w:type="spellEnd"/>
      <w:r>
        <w:rPr>
          <w:rtl/>
        </w:rPr>
        <w:t>”</w:t>
      </w:r>
      <w:bookmarkStart w:id="5594" w:name="_fnr4241"/>
      <w:r>
        <w:rPr>
          <w:vertAlign w:val="superscript"/>
          <w:rtl/>
        </w:rPr>
        <w:footnoteReference w:id="4251" w:customMarkFollows="0"/>
      </w:r>
      <w:bookmarkEnd w:id="5594"/>
      <w:r>
        <w:rPr>
          <w:rtl/>
        </w:rPr>
        <w:t xml:space="preserve">: </w:t>
      </w:r>
      <w:proofErr w:type="spellStart"/>
      <w:r>
        <w:rPr>
          <w:rtl/>
        </w:rPr>
        <w:t>הנצי״ב</w:t>
      </w:r>
      <w:proofErr w:type="spellEnd"/>
      <w:r>
        <w:rPr>
          <w:rtl/>
        </w:rPr>
        <w:t xml:space="preserve"> עצמו נכח בשיעורי ר׳ </w:t>
      </w:r>
      <w:proofErr w:type="spellStart"/>
      <w:r>
        <w:rPr>
          <w:rtl/>
        </w:rPr>
        <w:t xml:space="preserve">יושע־בער</w:t>
      </w:r>
      <w:proofErr w:type="spellEnd"/>
      <w:r>
        <w:rPr>
          <w:rtl/>
        </w:rPr>
        <w:t xml:space="preserve"> בקדשים, ואף גער בבחורים שנעדרו מהם, באומרו: “אני מתפלא שאינכם באים לשמוע את ר׳ </w:t>
      </w:r>
      <w:proofErr w:type="spellStart"/>
      <w:r>
        <w:rPr>
          <w:rtl/>
        </w:rPr>
        <w:t xml:space="preserve">יושע־בער</w:t>
      </w:r>
      <w:proofErr w:type="spellEnd"/>
      <w:r>
        <w:rPr>
          <w:rtl/>
        </w:rPr>
        <w:t xml:space="preserve">; הוא אומר שיעורים טובים כל כך, שתענוג אמיתי לשמוע אותו”. השווה גם לפסקה השלישית של </w:t>
      </w:r>
      <w:r>
        <w:rPr>
          <w:rtl/>
        </w:rPr>
        <w:fldChar w:fldCharType="begin" w:dirty="true"/>
      </w:r>
      <w:r>
        <w:rPr>
          <w:rtl/>
        </w:rPr>
        <w:instrText xml:space="preserve"> REF b4_excI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xml:space="preserve"> לעיל: </w:t>
      </w:r>
      <w:proofErr w:type="spellStart"/>
      <w:r>
        <w:rPr>
          <w:rtl/>
        </w:rPr>
        <w:t>הנצי״ב</w:t>
      </w:r>
      <w:proofErr w:type="spellEnd"/>
      <w:r>
        <w:rPr>
          <w:rtl/>
        </w:rPr>
        <w:t xml:space="preserve"> העריך גם את הצטרפות ר׳ חיים </w:t>
      </w:r>
      <w:proofErr w:type="spellStart"/>
      <w:r>
        <w:rPr>
          <w:rtl/>
        </w:rPr>
        <w:t>סולובייצ׳יק</w:t>
      </w:r>
      <w:proofErr w:type="spellEnd"/>
      <w:r>
        <w:rPr>
          <w:rtl/>
        </w:rPr>
        <w:t xml:space="preserve"> לצוות </w:t>
      </w:r>
      <w:proofErr w:type="spellStart"/>
      <w:r>
        <w:rPr>
          <w:rtl/>
        </w:rPr>
        <w:t>וולוז׳ין</w:t>
      </w:r>
      <w:proofErr w:type="spellEnd"/>
      <w:r>
        <w:rPr>
          <w:rtl/>
        </w:rPr>
        <w:t xml:space="preserve">, והמעיט בחשיבות התנגדותם הראשונית של התלמידים המבוגרים למינויו – אם כי ייתכן שהיה </w:t>
      </w:r>
      <w:proofErr w:type="spellStart"/>
      <w:r>
        <w:rPr>
          <w:rtl/>
        </w:rPr>
        <w:t>לנצי״ב</w:t>
      </w:r>
      <w:proofErr w:type="spellEnd"/>
      <w:r>
        <w:rPr>
          <w:rtl/>
        </w:rPr>
        <w:t xml:space="preserve"> מניע נסתר בתמיכתו החזקה, כפי שהוצע באותו נספח.</w:t>
      </w:r>
    </w:p>
    <w:p w14:paraId="603A9CE2" w14:textId="77777777" w:rsidR="00AB3647" w:rsidRDefault="00000000" w:rsidP="007923E9">
      <w:pPr>
        <w:spacing w:after="120" w:line="276" w:lineRule="auto"/>
        <w:ind w:firstLine="283"/>
        <w:jc w:val="both"/>
      </w:pPr>
      <w:r>
        <w:rPr>
          <w:rtl/>
        </w:rPr>
        <w:t>סביר אפוא שהתנגדות בני משפחת ברלין לכך שר׳ חיים יהיה ראש הישיבה לא הייתה אישית, אלא נבעה מהרגשתם שאינו מתאים לתפקיד, משום שחסרו לו אז כישורי מנהיגות. את זאת לא יכלו התלמידים להבין בצעירותם.</w:t>
      </w:r>
    </w:p>
    <w:p w14:paraId="43A178EC" w14:textId="77777777" w:rsidR="00AB3647" w:rsidRDefault="00000000" w:rsidP="007923E9">
      <w:pPr>
        <w:pStyle w:val="4"/>
        <w:spacing w:line="276" w:lineRule="auto"/>
      </w:pPr>
      <w:r>
        <w:t>· הפסקה השנייה ·</w:t>
      </w:r>
    </w:p>
    <w:p w14:paraId="24A8C203" w14:textId="77777777" w:rsidR="00AB3647" w:rsidRDefault="00000000" w:rsidP="007923E9">
      <w:pPr>
        <w:pStyle w:val="5"/>
        <w:spacing w:line="276" w:lineRule="auto"/>
      </w:pPr>
      <w:r>
        <w:rPr>
          <w:bCs/>
          <w:szCs w:val="26"/>
        </w:rPr>
        <w:t xml:space="preserve">סוג מסוים של מהומה חוזר </w:t>
      </w:r>
      <w:proofErr w:type="spellStart"/>
      <w:r>
        <w:rPr>
          <w:bCs/>
          <w:szCs w:val="26"/>
        </w:rPr>
        <w:t>בוולוז׳ין</w:t>
      </w:r>
      <w:proofErr w:type="spellEnd"/>
      <w:r>
        <w:rPr>
          <w:bCs/>
          <w:szCs w:val="26"/>
        </w:rPr>
        <w:t xml:space="preserve"> – ר׳ </w:t>
      </w:r>
      <w:proofErr w:type="spellStart"/>
      <w:r>
        <w:rPr>
          <w:bCs/>
          <w:szCs w:val="26"/>
        </w:rPr>
        <w:t>יהושע־העשיל</w:t>
      </w:r>
      <w:proofErr w:type="spellEnd"/>
      <w:r>
        <w:rPr>
          <w:bCs/>
          <w:szCs w:val="26"/>
        </w:rPr>
        <w:t xml:space="preserve"> לוין תובע מן </w:t>
      </w:r>
      <w:proofErr w:type="spellStart"/>
      <w:r>
        <w:rPr>
          <w:bCs/>
          <w:szCs w:val="26"/>
        </w:rPr>
        <w:t>הנצי״ב</w:t>
      </w:r>
      <w:proofErr w:type="spellEnd"/>
      <w:r>
        <w:rPr>
          <w:bCs/>
          <w:szCs w:val="26"/>
        </w:rPr>
        <w:t xml:space="preserve"> את כס הישיבה – ר׳ </w:t>
      </w:r>
      <w:proofErr w:type="spellStart"/>
      <w:r>
        <w:rPr>
          <w:bCs/>
          <w:szCs w:val="26"/>
        </w:rPr>
        <w:t>יהושע־העשיל</w:t>
      </w:r>
      <w:proofErr w:type="spellEnd"/>
      <w:r>
        <w:rPr>
          <w:bCs/>
          <w:szCs w:val="26"/>
        </w:rPr>
        <w:t xml:space="preserve"> לוין עוזב את </w:t>
      </w:r>
      <w:proofErr w:type="spellStart"/>
      <w:r>
        <w:rPr>
          <w:bCs/>
          <w:szCs w:val="26"/>
        </w:rPr>
        <w:t>וולוז׳ין</w:t>
      </w:r>
      <w:proofErr w:type="spellEnd"/>
      <w:r>
        <w:rPr>
          <w:bCs/>
          <w:szCs w:val="26"/>
        </w:rPr>
        <w:t xml:space="preserve"> בפתאומיות – לבסוף מכהן בפריז.</w:t>
      </w:r>
    </w:p>
    <w:p w14:paraId="7927C37B" w14:textId="77777777" w:rsidR="00AB3647" w:rsidRDefault="00000000" w:rsidP="007923E9">
      <w:pPr>
        <w:spacing w:after="120" w:line="276" w:lineRule="auto"/>
        <w:ind w:firstLine="283"/>
        <w:jc w:val="both"/>
      </w:pPr>
      <w:r>
        <w:rPr>
          <w:rtl/>
        </w:rPr>
        <w:t>מעניין שאותן “</w:t>
      </w:r>
      <w:proofErr w:type="spellStart"/>
      <w:r>
        <w:rPr>
          <w:rtl/>
        </w:rPr>
        <w:t>הופקות</w:t>
      </w:r>
      <w:proofErr w:type="spellEnd"/>
      <w:r>
        <w:rPr>
          <w:rtl/>
        </w:rPr>
        <w:t xml:space="preserve">” שהיו </w:t>
      </w:r>
      <w:proofErr w:type="spellStart"/>
      <w:r>
        <w:rPr>
          <w:rtl/>
        </w:rPr>
        <w:t>בטלז</w:t>
      </w:r>
      <w:proofErr w:type="spellEnd"/>
      <w:r>
        <w:rPr>
          <w:rtl/>
        </w:rPr>
        <w:t xml:space="preserve"> כבר נעשו 45 שנה קודם לכן, </w:t>
      </w:r>
      <w:proofErr w:type="spellStart"/>
      <w:r>
        <w:rPr>
          <w:rtl/>
        </w:rPr>
        <w:t>בתרי״ד</w:t>
      </w:r>
      <w:proofErr w:type="spellEnd"/>
      <w:r>
        <w:rPr>
          <w:rtl/>
        </w:rPr>
        <w:t xml:space="preserve">, נגד </w:t>
      </w:r>
      <w:proofErr w:type="spellStart"/>
      <w:r>
        <w:rPr>
          <w:rtl/>
        </w:rPr>
        <w:t>הנצי״ב</w:t>
      </w:r>
      <w:proofErr w:type="spellEnd"/>
      <w:r>
        <w:rPr>
          <w:rtl/>
        </w:rPr>
        <w:t xml:space="preserve">, שהיה אז צעיר, במרד בהנהגתו לטובת אחיין אשתו, בן גילו ר׳ </w:t>
      </w:r>
      <w:proofErr w:type="spellStart"/>
      <w:r>
        <w:rPr>
          <w:rtl/>
        </w:rPr>
        <w:t>יהושע־העשיל</w:t>
      </w:r>
      <w:proofErr w:type="spellEnd"/>
      <w:r>
        <w:rPr>
          <w:rtl/>
        </w:rPr>
        <w:t xml:space="preserve"> לוין, חתנו של ר׳ </w:t>
      </w:r>
      <w:proofErr w:type="spellStart"/>
      <w:r>
        <w:rPr>
          <w:rtl/>
        </w:rPr>
        <w:t>אליהו־זלמן</w:t>
      </w:r>
      <w:proofErr w:type="spellEnd"/>
      <w:r>
        <w:rPr>
          <w:rtl/>
        </w:rPr>
        <w:t xml:space="preserve">, בנו של ר׳ </w:t>
      </w:r>
      <w:proofErr w:type="spellStart"/>
      <w:r>
        <w:rPr>
          <w:rtl/>
        </w:rPr>
        <w:t>איצל׳ה</w:t>
      </w:r>
      <w:proofErr w:type="spellEnd"/>
      <w:r>
        <w:rPr>
          <w:rtl/>
        </w:rPr>
        <w:t xml:space="preserve"> (בן ר׳ חיים </w:t>
      </w:r>
      <w:proofErr w:type="spellStart"/>
      <w:r>
        <w:rPr>
          <w:rtl/>
        </w:rPr>
        <w:t>מוולוז׳ין</w:t>
      </w:r>
      <w:proofErr w:type="spellEnd"/>
      <w:r>
        <w:rPr>
          <w:rtl/>
        </w:rPr>
        <w:t>)</w:t>
      </w:r>
      <w:bookmarkStart w:id="5595" w:name="_fnr4242"/>
      <w:r>
        <w:rPr>
          <w:vertAlign w:val="superscript"/>
          <w:rtl/>
        </w:rPr>
        <w:footnoteReference w:id="4252" w:customMarkFollows="0"/>
      </w:r>
      <w:bookmarkEnd w:id="5595"/>
      <w:r>
        <w:rPr>
          <w:rtl/>
        </w:rPr>
        <w:t>.</w:t>
      </w:r>
    </w:p>
    <w:p w14:paraId="05833016" w14:textId="77777777" w:rsidR="00AB3647" w:rsidRDefault="00000000" w:rsidP="007923E9">
      <w:pPr>
        <w:spacing w:after="120" w:line="276" w:lineRule="auto"/>
        <w:ind w:firstLine="283"/>
        <w:jc w:val="both"/>
      </w:pPr>
      <w:r>
        <w:rPr>
          <w:rtl/>
        </w:rPr>
        <w:lastRenderedPageBreak/>
        <w:t xml:space="preserve">למרבה הפליאה, ר׳ </w:t>
      </w:r>
      <w:proofErr w:type="spellStart"/>
      <w:r>
        <w:rPr>
          <w:rtl/>
        </w:rPr>
        <w:t>יהושע־העשיל</w:t>
      </w:r>
      <w:proofErr w:type="spellEnd"/>
      <w:r>
        <w:rPr>
          <w:rtl/>
        </w:rPr>
        <w:t xml:space="preserve"> לוין טען שהוא ראוי למשרה יותר מן </w:t>
      </w:r>
      <w:proofErr w:type="spellStart"/>
      <w:r>
        <w:rPr>
          <w:rtl/>
        </w:rPr>
        <w:t>הנצי״ב</w:t>
      </w:r>
      <w:proofErr w:type="spellEnd"/>
      <w:r>
        <w:rPr>
          <w:rtl/>
        </w:rPr>
        <w:t xml:space="preserve"> משום שמלבד היותו מבני בית הרב</w:t>
      </w:r>
      <w:bookmarkStart w:id="5596" w:name="_fnr4243"/>
      <w:r>
        <w:rPr>
          <w:vertAlign w:val="superscript"/>
          <w:rtl/>
        </w:rPr>
        <w:footnoteReference w:id="4253" w:customMarkFollows="0"/>
      </w:r>
      <w:bookmarkEnd w:id="5596"/>
      <w:r>
        <w:rPr>
          <w:rtl/>
        </w:rPr>
        <w:t xml:space="preserve">, היה מצאצאי </w:t>
      </w:r>
      <w:proofErr w:type="spellStart"/>
      <w:r>
        <w:rPr>
          <w:rtl/>
        </w:rPr>
        <w:t>המהרש״א</w:t>
      </w:r>
      <w:bookmarkStart w:id="5597" w:name="_fnr4244"/>
      <w:proofErr w:type="spellEnd"/>
      <w:r>
        <w:rPr>
          <w:vertAlign w:val="superscript"/>
          <w:rtl/>
        </w:rPr>
        <w:footnoteReference w:id="4254" w:customMarkFollows="0"/>
      </w:r>
      <w:bookmarkEnd w:id="5597"/>
      <w:r>
        <w:rPr>
          <w:rtl/>
        </w:rPr>
        <w:t xml:space="preserve">! במאמרו של ש״ל </w:t>
      </w:r>
      <w:proofErr w:type="spellStart"/>
      <w:r>
        <w:rPr>
          <w:rtl/>
        </w:rPr>
        <w:t>ציטרון</w:t>
      </w:r>
      <w:proofErr w:type="spellEnd"/>
      <w:r>
        <w:rPr>
          <w:rtl/>
        </w:rPr>
        <w:t xml:space="preserve"> על “מלחמת הדינסטיות” </w:t>
      </w:r>
      <w:proofErr w:type="spellStart"/>
      <w:r>
        <w:rPr>
          <w:rtl/>
        </w:rPr>
        <w:t>בוולוז׳ין</w:t>
      </w:r>
      <w:proofErr w:type="spellEnd"/>
      <w:r>
        <w:rPr>
          <w:rtl/>
        </w:rPr>
        <w:t xml:space="preserve"> נאמר: “ר׳ </w:t>
      </w:r>
      <w:proofErr w:type="spellStart"/>
      <w:r>
        <w:rPr>
          <w:rtl/>
        </w:rPr>
        <w:t>יהושע־העשיל</w:t>
      </w:r>
      <w:proofErr w:type="spellEnd"/>
      <w:r>
        <w:rPr>
          <w:rtl/>
        </w:rPr>
        <w:t xml:space="preserve"> לוין הודיע [למועצה שכינס] שאינו משיג גבול, מפני שהוא בעל ייחוס גדול, מצאצאי ר׳ שמואל </w:t>
      </w:r>
      <w:proofErr w:type="spellStart"/>
      <w:r>
        <w:rPr>
          <w:rtl/>
        </w:rPr>
        <w:t>איידלש</w:t>
      </w:r>
      <w:proofErr w:type="spellEnd"/>
      <w:r>
        <w:rPr>
          <w:rtl/>
        </w:rPr>
        <w:t xml:space="preserve">, </w:t>
      </w:r>
      <w:proofErr w:type="spellStart"/>
      <w:r>
        <w:rPr>
          <w:rtl/>
        </w:rPr>
        <w:t>המהרש״א</w:t>
      </w:r>
      <w:proofErr w:type="spellEnd"/>
      <w:r>
        <w:rPr>
          <w:rtl/>
        </w:rPr>
        <w:t xml:space="preserve">... ויש לו זכויות פי עשרה מן </w:t>
      </w:r>
      <w:proofErr w:type="spellStart"/>
      <w:r>
        <w:rPr>
          <w:rtl/>
        </w:rPr>
        <w:t>הנצי״ב</w:t>
      </w:r>
      <w:proofErr w:type="spellEnd"/>
      <w:r>
        <w:rPr>
          <w:rtl/>
        </w:rPr>
        <w:t>, שאינו בן גדולים כלל, אלא צאצא של אנשים ממעמד נמוך”.</w:t>
      </w:r>
    </w:p>
    <w:p w14:paraId="14D86CC6" w14:textId="77777777" w:rsidR="00AB3647" w:rsidRDefault="00000000" w:rsidP="007923E9">
      <w:pPr>
        <w:spacing w:after="120" w:line="276" w:lineRule="auto"/>
        <w:ind w:firstLine="283"/>
        <w:jc w:val="both"/>
      </w:pPr>
      <w:r>
        <w:rPr>
          <w:rtl/>
        </w:rPr>
        <w:t xml:space="preserve">אולם לדעתי ש״ל </w:t>
      </w:r>
      <w:proofErr w:type="spellStart"/>
      <w:r>
        <w:rPr>
          <w:rtl/>
        </w:rPr>
        <w:t>ציטרון</w:t>
      </w:r>
      <w:proofErr w:type="spellEnd"/>
      <w:r>
        <w:rPr>
          <w:rtl/>
        </w:rPr>
        <w:t xml:space="preserve"> לא הבין נכונה טענה זו של ר׳ </w:t>
      </w:r>
      <w:proofErr w:type="spellStart"/>
      <w:r>
        <w:rPr>
          <w:rtl/>
        </w:rPr>
        <w:t>יהושע־העשיל</w:t>
      </w:r>
      <w:proofErr w:type="spellEnd"/>
      <w:r>
        <w:rPr>
          <w:rtl/>
        </w:rPr>
        <w:t xml:space="preserve">: לא רק מפני שעדיפות ייחוסו אינה נוגעת לעדיפות זכויותיו, אלא מפני שגם </w:t>
      </w:r>
      <w:proofErr w:type="spellStart"/>
      <w:r>
        <w:rPr>
          <w:rtl/>
        </w:rPr>
        <w:t>הנצי״ב</w:t>
      </w:r>
      <w:proofErr w:type="spellEnd"/>
      <w:r>
        <w:rPr>
          <w:rtl/>
        </w:rPr>
        <w:t xml:space="preserve"> היה מצאצאי גדולים – רבנו אלחנן </w:t>
      </w:r>
      <w:proofErr w:type="spellStart"/>
      <w:r>
        <w:rPr>
          <w:rtl/>
        </w:rPr>
        <w:t>מדמפייר</w:t>
      </w:r>
      <w:proofErr w:type="spellEnd"/>
      <w:r>
        <w:rPr>
          <w:rtl/>
        </w:rPr>
        <w:t xml:space="preserve">, אחד מבעלי התוספות שנהרגו על קידוש השם, ור׳ מאיר </w:t>
      </w:r>
      <w:proofErr w:type="spellStart"/>
      <w:r>
        <w:rPr>
          <w:rtl/>
        </w:rPr>
        <w:t>אייזנשטט</w:t>
      </w:r>
      <w:proofErr w:type="spellEnd"/>
      <w:r>
        <w:rPr>
          <w:rtl/>
        </w:rPr>
        <w:t>, בעל שו״ת פנים מאירות</w:t>
      </w:r>
      <w:bookmarkStart w:id="5598" w:name="_fnr4245"/>
      <w:r>
        <w:rPr>
          <w:vertAlign w:val="superscript"/>
          <w:rtl/>
        </w:rPr>
        <w:footnoteReference w:id="4255" w:customMarkFollows="0"/>
      </w:r>
      <w:bookmarkEnd w:id="5598"/>
      <w:r>
        <w:rPr>
          <w:rtl/>
        </w:rPr>
        <w:t xml:space="preserve">. נראה שר׳ </w:t>
      </w:r>
      <w:proofErr w:type="spellStart"/>
      <w:r>
        <w:rPr>
          <w:rtl/>
        </w:rPr>
        <w:t>יהושע־העשיל</w:t>
      </w:r>
      <w:proofErr w:type="spellEnd"/>
      <w:r>
        <w:rPr>
          <w:rtl/>
        </w:rPr>
        <w:t xml:space="preserve"> לוין טען שהישיבה הנוכחית </w:t>
      </w:r>
      <w:proofErr w:type="spellStart"/>
      <w:r>
        <w:rPr>
          <w:rtl/>
        </w:rPr>
        <w:t>בוולוז׳ין</w:t>
      </w:r>
      <w:proofErr w:type="spellEnd"/>
      <w:r>
        <w:rPr>
          <w:rtl/>
        </w:rPr>
        <w:t xml:space="preserve"> אינה אלא חידוש בידי ר׳ חיים </w:t>
      </w:r>
      <w:proofErr w:type="spellStart"/>
      <w:r>
        <w:rPr>
          <w:rtl/>
        </w:rPr>
        <w:t>מוולוז׳ין</w:t>
      </w:r>
      <w:proofErr w:type="spellEnd"/>
      <w:r>
        <w:rPr>
          <w:rtl/>
        </w:rPr>
        <w:t xml:space="preserve"> של הישיבה הגדולה </w:t>
      </w:r>
      <w:proofErr w:type="spellStart"/>
      <w:r>
        <w:rPr>
          <w:rtl/>
        </w:rPr>
        <w:t>באוסטרהא</w:t>
      </w:r>
      <w:proofErr w:type="spellEnd"/>
      <w:r>
        <w:rPr>
          <w:rtl/>
        </w:rPr>
        <w:t xml:space="preserve">, שהתקיימה 170 שנה קודם לכן, ושבה היה אבי אבותיו, </w:t>
      </w:r>
      <w:proofErr w:type="spellStart"/>
      <w:r>
        <w:rPr>
          <w:rtl/>
        </w:rPr>
        <w:t>המהרש״א</w:t>
      </w:r>
      <w:proofErr w:type="spellEnd"/>
      <w:r>
        <w:rPr>
          <w:rtl/>
        </w:rPr>
        <w:t xml:space="preserve">, ראש ישיבה לאלפי תלמידים, ולפיכך זכויותיו, כצאצא של ר׳ חיים </w:t>
      </w:r>
      <w:proofErr w:type="spellStart"/>
      <w:r>
        <w:rPr>
          <w:rtl/>
        </w:rPr>
        <w:t>מוולוז׳ין</w:t>
      </w:r>
      <w:proofErr w:type="spellEnd"/>
      <w:r>
        <w:rPr>
          <w:rtl/>
        </w:rPr>
        <w:t xml:space="preserve"> ושל </w:t>
      </w:r>
      <w:proofErr w:type="spellStart"/>
      <w:r>
        <w:rPr>
          <w:rtl/>
        </w:rPr>
        <w:t>המהרש״א</w:t>
      </w:r>
      <w:proofErr w:type="spellEnd"/>
      <w:r>
        <w:rPr>
          <w:rtl/>
        </w:rPr>
        <w:t xml:space="preserve"> גם יחד, קודמות לזכויות </w:t>
      </w:r>
      <w:proofErr w:type="spellStart"/>
      <w:r>
        <w:rPr>
          <w:rtl/>
        </w:rPr>
        <w:t>הנצי״ב</w:t>
      </w:r>
      <w:proofErr w:type="spellEnd"/>
      <w:r>
        <w:rPr>
          <w:rtl/>
        </w:rPr>
        <w:t xml:space="preserve"> – טענה מסקרנת.</w:t>
      </w:r>
    </w:p>
    <w:p w14:paraId="4DD1A4EC" w14:textId="77777777" w:rsidR="00AB3647" w:rsidRDefault="00000000" w:rsidP="007923E9">
      <w:pPr>
        <w:spacing w:after="120" w:line="276" w:lineRule="auto"/>
        <w:ind w:firstLine="283"/>
        <w:jc w:val="both"/>
      </w:pPr>
      <w:r>
        <w:rPr>
          <w:rtl/>
        </w:rPr>
        <w:t xml:space="preserve">בהקשר זה מעניין לציין שעוד בשנות </w:t>
      </w:r>
      <w:proofErr w:type="spellStart"/>
      <w:r>
        <w:rPr>
          <w:rtl/>
        </w:rPr>
        <w:t>הת״ר־צ</w:t>
      </w:r>
      <w:proofErr w:type="spellEnd"/>
      <w:r>
        <w:rPr>
          <w:rtl/>
        </w:rPr>
        <w:t xml:space="preserve">׳ נוסדה </w:t>
      </w:r>
      <w:proofErr w:type="spellStart"/>
      <w:r>
        <w:rPr>
          <w:rtl/>
        </w:rPr>
        <w:t>באוסטרהא</w:t>
      </w:r>
      <w:proofErr w:type="spellEnd"/>
      <w:r>
        <w:rPr>
          <w:rtl/>
        </w:rPr>
        <w:t xml:space="preserve">, העיר </w:t>
      </w:r>
      <w:proofErr w:type="spellStart"/>
      <w:r>
        <w:rPr>
          <w:rtl/>
        </w:rPr>
        <w:t>בווהלין</w:t>
      </w:r>
      <w:proofErr w:type="spellEnd"/>
      <w:r>
        <w:rPr>
          <w:rtl/>
        </w:rPr>
        <w:t xml:space="preserve"> שבה חי </w:t>
      </w:r>
      <w:proofErr w:type="spellStart"/>
      <w:r>
        <w:rPr>
          <w:rtl/>
        </w:rPr>
        <w:t>המהרש״א</w:t>
      </w:r>
      <w:proofErr w:type="spellEnd"/>
      <w:r>
        <w:rPr>
          <w:rtl/>
        </w:rPr>
        <w:t xml:space="preserve">, ישיבה “ליטאית” (בידי ר׳ יוסף ברקוביץ, תלמיד ישיבת </w:t>
      </w:r>
      <w:proofErr w:type="spellStart"/>
      <w:r>
        <w:rPr>
          <w:rtl/>
        </w:rPr>
        <w:t>מיר</w:t>
      </w:r>
      <w:proofErr w:type="spellEnd"/>
      <w:r>
        <w:rPr>
          <w:rtl/>
        </w:rPr>
        <w:t xml:space="preserve"> ובעל חלקת יוסף), ונקראה ישיבת </w:t>
      </w:r>
      <w:proofErr w:type="spellStart"/>
      <w:r>
        <w:rPr>
          <w:rtl/>
        </w:rPr>
        <w:t>מהרש״א</w:t>
      </w:r>
      <w:proofErr w:type="spellEnd"/>
      <w:r>
        <w:rPr>
          <w:rtl/>
        </w:rPr>
        <w:t xml:space="preserve">. מאתיים שנה אחרי פטירת </w:t>
      </w:r>
      <w:proofErr w:type="spellStart"/>
      <w:r>
        <w:rPr>
          <w:rtl/>
        </w:rPr>
        <w:t>המהרש״א</w:t>
      </w:r>
      <w:proofErr w:type="spellEnd"/>
      <w:r>
        <w:rPr>
          <w:rtl/>
        </w:rPr>
        <w:t xml:space="preserve"> עדיין כינתה העיר את עצמה “אות תורה”, משחק מילים על שמה הפולני [בהגייה המקומית, </w:t>
      </w:r>
      <w:proofErr w:type="spellStart"/>
      <w:r>
        <w:rPr>
          <w:rtl/>
        </w:rPr>
        <w:t>הלא־ספרדית</w:t>
      </w:r>
      <w:proofErr w:type="spellEnd"/>
      <w:r>
        <w:rPr>
          <w:rtl/>
        </w:rPr>
        <w:t xml:space="preserve">]. ראה ספר תולדות אדם, מאת ראובן מרגליות </w:t>
      </w:r>
      <w:proofErr w:type="spellStart"/>
      <w:r>
        <w:rPr>
          <w:rtl/>
        </w:rPr>
        <w:t>מלבוב</w:t>
      </w:r>
      <w:bookmarkStart w:id="5599" w:name="_fnr4246"/>
      <w:proofErr w:type="spellEnd"/>
      <w:r>
        <w:rPr>
          <w:vertAlign w:val="superscript"/>
          <w:rtl/>
        </w:rPr>
        <w:footnoteReference w:id="4256" w:customMarkFollows="0"/>
      </w:r>
      <w:bookmarkEnd w:id="5599"/>
      <w:r>
        <w:rPr>
          <w:rtl/>
        </w:rPr>
        <w:t xml:space="preserve">, המביא את הכתוב על המצבה המחודשת שעל קבר </w:t>
      </w:r>
      <w:proofErr w:type="spellStart"/>
      <w:r>
        <w:rPr>
          <w:rtl/>
        </w:rPr>
        <w:t>המהרש״א</w:t>
      </w:r>
      <w:proofErr w:type="spellEnd"/>
      <w:r>
        <w:rPr>
          <w:rtl/>
        </w:rPr>
        <w:t xml:space="preserve">: “הוּכן והוקם מחדש יום א׳ </w:t>
      </w:r>
      <w:proofErr w:type="spellStart"/>
      <w:r>
        <w:rPr>
          <w:rtl/>
        </w:rPr>
        <w:t>וא״ו</w:t>
      </w:r>
      <w:proofErr w:type="spellEnd"/>
      <w:r>
        <w:rPr>
          <w:rtl/>
        </w:rPr>
        <w:t xml:space="preserve"> תמוז תרי״א אות תורה”. מילות התאריך נכתבו בדרך שרומזת </w:t>
      </w:r>
      <w:proofErr w:type="spellStart"/>
      <w:r>
        <w:rPr>
          <w:rtl/>
        </w:rPr>
        <w:t>ל“אות</w:t>
      </w:r>
      <w:proofErr w:type="spellEnd"/>
      <w:r>
        <w:rPr>
          <w:rtl/>
        </w:rPr>
        <w:t xml:space="preserve"> תורה”: המילה הראשונה, אות, נוצרת מראשי התיבות א׳ ו׳ תמוז, והמילה השנייה, תורה, שווה </w:t>
      </w:r>
      <w:proofErr w:type="spellStart"/>
      <w:r>
        <w:rPr>
          <w:rtl/>
        </w:rPr>
        <w:t>בגימטריה</w:t>
      </w:r>
      <w:proofErr w:type="spellEnd"/>
      <w:r>
        <w:rPr>
          <w:rtl/>
        </w:rPr>
        <w:t xml:space="preserve"> לשנת חידוש המצבה, [5]611</w:t>
      </w:r>
      <w:bookmarkStart w:id="5600" w:name="_fnr4247"/>
      <w:r>
        <w:rPr>
          <w:vertAlign w:val="superscript"/>
          <w:rtl/>
        </w:rPr>
        <w:footnoteReference w:id="4257" w:customMarkFollows="0"/>
      </w:r>
      <w:bookmarkEnd w:id="5600"/>
      <w:r>
        <w:rPr>
          <w:rtl/>
        </w:rPr>
        <w:t>.</w:t>
      </w:r>
    </w:p>
    <w:p w14:paraId="7EB0C606" w14:textId="77777777" w:rsidR="00AB3647" w:rsidRDefault="00000000" w:rsidP="007923E9">
      <w:pPr>
        <w:spacing w:after="120" w:line="276" w:lineRule="auto"/>
        <w:ind w:firstLine="283"/>
        <w:jc w:val="both"/>
      </w:pPr>
      <w:r>
        <w:rPr>
          <w:rtl/>
        </w:rPr>
        <w:t>ראוי גם לציין שאף שלפי “אבי הישיבות”</w:t>
      </w:r>
      <w:bookmarkStart w:id="5601" w:name="_fnr4248"/>
      <w:r>
        <w:rPr>
          <w:vertAlign w:val="superscript"/>
          <w:rtl/>
        </w:rPr>
        <w:footnoteReference w:id="4258" w:customMarkFollows="0"/>
      </w:r>
      <w:bookmarkEnd w:id="5601"/>
      <w:r>
        <w:rPr>
          <w:rtl/>
        </w:rPr>
        <w:t xml:space="preserve"> הוצנע לימוד </w:t>
      </w:r>
      <w:proofErr w:type="spellStart"/>
      <w:r>
        <w:rPr>
          <w:rtl/>
        </w:rPr>
        <w:t>מהרש״א</w:t>
      </w:r>
      <w:proofErr w:type="spellEnd"/>
      <w:r>
        <w:rPr>
          <w:rtl/>
        </w:rPr>
        <w:t xml:space="preserve"> בישיבת </w:t>
      </w:r>
      <w:proofErr w:type="spellStart"/>
      <w:r>
        <w:rPr>
          <w:rtl/>
        </w:rPr>
        <w:t>וולוז׳ין</w:t>
      </w:r>
      <w:proofErr w:type="spellEnd"/>
      <w:r>
        <w:rPr>
          <w:rtl/>
        </w:rPr>
        <w:t xml:space="preserve">, המשגיח הוותיק ר׳ אליקים </w:t>
      </w:r>
      <w:proofErr w:type="spellStart"/>
      <w:r>
        <w:rPr>
          <w:rtl/>
        </w:rPr>
        <w:t>האדרעצנער</w:t>
      </w:r>
      <w:bookmarkStart w:id="5602" w:name="_fnr4249"/>
      <w:proofErr w:type="spellEnd"/>
      <w:r>
        <w:rPr>
          <w:vertAlign w:val="superscript"/>
          <w:rtl/>
        </w:rPr>
        <w:footnoteReference w:id="4259" w:customMarkFollows="0"/>
      </w:r>
      <w:bookmarkEnd w:id="5602"/>
      <w:r>
        <w:rPr>
          <w:rtl/>
        </w:rPr>
        <w:t xml:space="preserve"> היה גאה כל כך בבקיאותו במפרש זה, עד שהכריז: “אני בטוח שכאשר איפטר מן העולם, יצא </w:t>
      </w:r>
      <w:proofErr w:type="spellStart"/>
      <w:r>
        <w:rPr>
          <w:rtl/>
        </w:rPr>
        <w:t>המהרש״א</w:t>
      </w:r>
      <w:proofErr w:type="spellEnd"/>
      <w:r>
        <w:rPr>
          <w:rtl/>
        </w:rPr>
        <w:t xml:space="preserve"> לקראתי, מפני שהייתי </w:t>
      </w:r>
      <w:proofErr w:type="spellStart"/>
      <w:r>
        <w:rPr>
          <w:rtl/>
        </w:rPr>
        <w:t>ה‘זאשציטניק</w:t>
      </w:r>
      <w:proofErr w:type="spellEnd"/>
      <w:r>
        <w:rPr>
          <w:rtl/>
        </w:rPr>
        <w:t xml:space="preserve"> [מגן]’ שלו”</w:t>
      </w:r>
      <w:bookmarkStart w:id="5603" w:name="_fnr4250"/>
      <w:r>
        <w:rPr>
          <w:vertAlign w:val="superscript"/>
          <w:rtl/>
        </w:rPr>
        <w:footnoteReference w:id="4260" w:customMarkFollows="0"/>
      </w:r>
      <w:bookmarkEnd w:id="5603"/>
      <w:r>
        <w:rPr>
          <w:rtl/>
        </w:rPr>
        <w:t xml:space="preserve">. ר׳ אליקים כיהן בשעה שהמחלוקת בין </w:t>
      </w:r>
      <w:proofErr w:type="spellStart"/>
      <w:r>
        <w:rPr>
          <w:rtl/>
        </w:rPr>
        <w:t>הנצי״ב</w:t>
      </w:r>
      <w:proofErr w:type="spellEnd"/>
      <w:r>
        <w:rPr>
          <w:rtl/>
        </w:rPr>
        <w:t xml:space="preserve"> </w:t>
      </w:r>
      <w:proofErr w:type="spellStart"/>
      <w:r>
        <w:rPr>
          <w:rtl/>
        </w:rPr>
        <w:t>לר</w:t>
      </w:r>
      <w:proofErr w:type="spellEnd"/>
      <w:r>
        <w:rPr>
          <w:rtl/>
        </w:rPr>
        <w:t xml:space="preserve">׳ </w:t>
      </w:r>
      <w:proofErr w:type="spellStart"/>
      <w:r>
        <w:rPr>
          <w:rtl/>
        </w:rPr>
        <w:t>יהושע־העשיל</w:t>
      </w:r>
      <w:proofErr w:type="spellEnd"/>
      <w:r>
        <w:rPr>
          <w:rtl/>
        </w:rPr>
        <w:t xml:space="preserve"> לוין הייתה בעיצומה, והקשר לקודמתה של </w:t>
      </w:r>
      <w:proofErr w:type="spellStart"/>
      <w:r>
        <w:rPr>
          <w:rtl/>
        </w:rPr>
        <w:t>וולוז׳ין</w:t>
      </w:r>
      <w:proofErr w:type="spellEnd"/>
      <w:r>
        <w:rPr>
          <w:rtl/>
        </w:rPr>
        <w:t xml:space="preserve"> נחשב בעל משמעות. לכן אפשר לשער שגאוותו של </w:t>
      </w:r>
      <w:r>
        <w:rPr>
          <w:rtl/>
        </w:rPr>
        <w:lastRenderedPageBreak/>
        <w:t xml:space="preserve">המשגיח כללה גם הזדהות נוספת עם ישיבת </w:t>
      </w:r>
      <w:proofErr w:type="spellStart"/>
      <w:r>
        <w:rPr>
          <w:rtl/>
        </w:rPr>
        <w:t>וולוז׳ין</w:t>
      </w:r>
      <w:proofErr w:type="spellEnd"/>
      <w:r>
        <w:rPr>
          <w:rtl/>
        </w:rPr>
        <w:t>, באמצעות שליטתו בחידושיו של אותו ראש ישיבה קדום והגנתו עליהם.</w:t>
      </w:r>
    </w:p>
    <w:p w14:paraId="5EA9E1A5" w14:textId="77777777" w:rsidR="00AB3647" w:rsidRDefault="00000000" w:rsidP="007923E9">
      <w:pPr>
        <w:spacing w:after="120" w:line="276" w:lineRule="auto"/>
        <w:ind w:firstLine="283"/>
        <w:jc w:val="both"/>
      </w:pPr>
      <w:r>
        <w:rPr>
          <w:rtl/>
        </w:rPr>
        <w:t xml:space="preserve">לבסוף נסוג ר׳ </w:t>
      </w:r>
      <w:proofErr w:type="spellStart"/>
      <w:r>
        <w:rPr>
          <w:rtl/>
        </w:rPr>
        <w:t>יהושע־העשיל</w:t>
      </w:r>
      <w:proofErr w:type="spellEnd"/>
      <w:r>
        <w:rPr>
          <w:rtl/>
        </w:rPr>
        <w:t xml:space="preserve"> לוין ממאבקו </w:t>
      </w:r>
      <w:proofErr w:type="spellStart"/>
      <w:r>
        <w:rPr>
          <w:rtl/>
        </w:rPr>
        <w:t>בנצי״ב</w:t>
      </w:r>
      <w:proofErr w:type="spellEnd"/>
      <w:r>
        <w:rPr>
          <w:rtl/>
        </w:rPr>
        <w:t xml:space="preserve"> ועזב בפתאומיות את </w:t>
      </w:r>
      <w:proofErr w:type="spellStart"/>
      <w:r>
        <w:rPr>
          <w:rtl/>
        </w:rPr>
        <w:t>וולוז׳ין</w:t>
      </w:r>
      <w:proofErr w:type="spellEnd"/>
      <w:r>
        <w:rPr>
          <w:rtl/>
        </w:rPr>
        <w:t xml:space="preserve"> לווילנה. “אבי הישיבות” מביא</w:t>
      </w:r>
      <w:bookmarkStart w:id="5604" w:name="_fnr4251"/>
      <w:r>
        <w:rPr>
          <w:vertAlign w:val="superscript"/>
          <w:rtl/>
        </w:rPr>
        <w:footnoteReference w:id="4261" w:customMarkFollows="0"/>
      </w:r>
      <w:bookmarkEnd w:id="5604"/>
      <w:r>
        <w:rPr>
          <w:rtl/>
        </w:rPr>
        <w:t xml:space="preserve"> מקורות שלפיהם רבה של </w:t>
      </w:r>
      <w:proofErr w:type="spellStart"/>
      <w:r>
        <w:rPr>
          <w:rtl/>
        </w:rPr>
        <w:t>בריסק</w:t>
      </w:r>
      <w:proofErr w:type="spellEnd"/>
      <w:r>
        <w:rPr>
          <w:rtl/>
        </w:rPr>
        <w:t xml:space="preserve">, ר׳ </w:t>
      </w:r>
      <w:proofErr w:type="spellStart"/>
      <w:r>
        <w:rPr>
          <w:rtl/>
        </w:rPr>
        <w:t>יעקב־מאיר</w:t>
      </w:r>
      <w:proofErr w:type="spellEnd"/>
      <w:r>
        <w:rPr>
          <w:rtl/>
        </w:rPr>
        <w:t xml:space="preserve"> </w:t>
      </w:r>
      <w:proofErr w:type="spellStart"/>
      <w:r>
        <w:rPr>
          <w:rtl/>
        </w:rPr>
        <w:t>פדואה</w:t>
      </w:r>
      <w:proofErr w:type="spellEnd"/>
      <w:r>
        <w:rPr>
          <w:rtl/>
        </w:rPr>
        <w:t xml:space="preserve">, שהיה בעל סמכות רבה, שלח שליח שהורה </w:t>
      </w:r>
      <w:proofErr w:type="spellStart"/>
      <w:r>
        <w:rPr>
          <w:rtl/>
        </w:rPr>
        <w:t>לר</w:t>
      </w:r>
      <w:proofErr w:type="spellEnd"/>
      <w:r>
        <w:rPr>
          <w:rtl/>
        </w:rPr>
        <w:t xml:space="preserve">׳ </w:t>
      </w:r>
      <w:proofErr w:type="spellStart"/>
      <w:r>
        <w:rPr>
          <w:rtl/>
        </w:rPr>
        <w:t>יהושע־העשיל</w:t>
      </w:r>
      <w:proofErr w:type="spellEnd"/>
      <w:r>
        <w:rPr>
          <w:rtl/>
        </w:rPr>
        <w:t xml:space="preserve"> לסגת.</w:t>
      </w:r>
    </w:p>
    <w:p w14:paraId="36424E62" w14:textId="77777777" w:rsidR="00AB3647" w:rsidRDefault="00000000" w:rsidP="007923E9">
      <w:pPr>
        <w:spacing w:after="120" w:line="276" w:lineRule="auto"/>
        <w:ind w:firstLine="283"/>
        <w:jc w:val="both"/>
      </w:pPr>
      <w:r>
        <w:rPr>
          <w:rtl/>
        </w:rPr>
        <w:t xml:space="preserve">ר׳ </w:t>
      </w:r>
      <w:proofErr w:type="spellStart"/>
      <w:r>
        <w:rPr>
          <w:rtl/>
        </w:rPr>
        <w:t>יהושע־העשיל</w:t>
      </w:r>
      <w:proofErr w:type="spellEnd"/>
      <w:r>
        <w:rPr>
          <w:rtl/>
        </w:rPr>
        <w:t xml:space="preserve"> התחיל את דרכו בתורה כתלמידו של ר׳ </w:t>
      </w:r>
      <w:proofErr w:type="spellStart"/>
      <w:r>
        <w:rPr>
          <w:rtl/>
        </w:rPr>
        <w:t>אלינקה</w:t>
      </w:r>
      <w:proofErr w:type="spellEnd"/>
      <w:r>
        <w:rPr>
          <w:rtl/>
        </w:rPr>
        <w:t xml:space="preserve"> </w:t>
      </w:r>
      <w:proofErr w:type="spellStart"/>
      <w:r>
        <w:rPr>
          <w:rtl/>
        </w:rPr>
        <w:t>מראגאלע</w:t>
      </w:r>
      <w:bookmarkStart w:id="5605" w:name="_fnr4252"/>
      <w:proofErr w:type="spellEnd"/>
      <w:r>
        <w:rPr>
          <w:vertAlign w:val="superscript"/>
          <w:rtl/>
        </w:rPr>
        <w:footnoteReference w:id="4262" w:customMarkFollows="0"/>
      </w:r>
      <w:bookmarkEnd w:id="5605"/>
      <w:r>
        <w:rPr>
          <w:rtl/>
        </w:rPr>
        <w:t xml:space="preserve">, ובשנתיים האחרונות לחייו, תרמ״ב–תרמ״ד, כיהן כרב בפריז ליהודי מזרח אירופה שהתיישבו שם. הוא התמנה לכך לבקשת ר׳ ישראל </w:t>
      </w:r>
      <w:proofErr w:type="spellStart"/>
      <w:r>
        <w:rPr>
          <w:rtl/>
        </w:rPr>
        <w:t>סלנטר</w:t>
      </w:r>
      <w:proofErr w:type="spellEnd"/>
      <w:r>
        <w:rPr>
          <w:rtl/>
        </w:rPr>
        <w:t xml:space="preserve">, ששהה בפריז בשנתיים שקדמו לכך. ר׳ ישראל הכיר את ר׳ </w:t>
      </w:r>
      <w:proofErr w:type="spellStart"/>
      <w:r>
        <w:rPr>
          <w:rtl/>
        </w:rPr>
        <w:t>יהושע־העשיל</w:t>
      </w:r>
      <w:proofErr w:type="spellEnd"/>
      <w:r>
        <w:rPr>
          <w:rtl/>
        </w:rPr>
        <w:t xml:space="preserve"> כבר יותר משלושים שנה קודם לכן. </w:t>
      </w:r>
      <w:proofErr w:type="spellStart"/>
      <w:r>
        <w:rPr>
          <w:rtl/>
        </w:rPr>
        <w:t>בתרכ״ג</w:t>
      </w:r>
      <w:proofErr w:type="spellEnd"/>
      <w:r>
        <w:rPr>
          <w:rtl/>
        </w:rPr>
        <w:t xml:space="preserve"> (בסוף 1862) כתב ר׳ ישראל קריאה לתמוך בר׳ </w:t>
      </w:r>
      <w:proofErr w:type="spellStart"/>
      <w:r>
        <w:rPr>
          <w:rtl/>
        </w:rPr>
        <w:t>יהושע־העשיל</w:t>
      </w:r>
      <w:proofErr w:type="spellEnd"/>
      <w:r>
        <w:rPr>
          <w:rtl/>
        </w:rPr>
        <w:t xml:space="preserve"> לוין בהוצאת הגיליונות הבאים של כתב העת התורני “פליטת סופרים עם שפה לנאמנים”. הקריאה נדפסה על הכריכה האחורית של הגיליון הראשון, ובה נאמר: “ידעתיו [אני מכיר (ומחבב) אותו] מִנוֹעַר [מנעוריו]”</w:t>
      </w:r>
      <w:bookmarkStart w:id="5606" w:name="_fnr4253"/>
      <w:r>
        <w:rPr>
          <w:vertAlign w:val="superscript"/>
          <w:rtl/>
        </w:rPr>
        <w:footnoteReference w:id="4263" w:customMarkFollows="0"/>
      </w:r>
      <w:bookmarkEnd w:id="5606"/>
      <w:r>
        <w:rPr>
          <w:rtl/>
        </w:rPr>
        <w:t>.</w:t>
      </w:r>
    </w:p>
    <w:p w14:paraId="28C5DE78" w14:textId="77777777" w:rsidR="00AB3647" w:rsidRDefault="00000000" w:rsidP="007923E9">
      <w:pPr>
        <w:spacing w:after="120" w:line="276" w:lineRule="auto"/>
        <w:ind w:firstLine="283"/>
        <w:jc w:val="both"/>
      </w:pPr>
      <w:proofErr w:type="spellStart"/>
      <w:r>
        <w:rPr>
          <w:rtl/>
        </w:rPr>
        <w:t>אחת־עשרה</w:t>
      </w:r>
      <w:proofErr w:type="spellEnd"/>
      <w:r>
        <w:rPr>
          <w:rtl/>
        </w:rPr>
        <w:t xml:space="preserve"> שנה קודם לכן, </w:t>
      </w:r>
      <w:proofErr w:type="spellStart"/>
      <w:r>
        <w:rPr>
          <w:rtl/>
        </w:rPr>
        <w:t>בתרי״א</w:t>
      </w:r>
      <w:proofErr w:type="spellEnd"/>
      <w:r>
        <w:rPr>
          <w:rtl/>
        </w:rPr>
        <w:t xml:space="preserve"> (1851), שלוש שנים לפני שר׳ </w:t>
      </w:r>
      <w:proofErr w:type="spellStart"/>
      <w:r>
        <w:rPr>
          <w:rtl/>
        </w:rPr>
        <w:t>יהושע־העשיל</w:t>
      </w:r>
      <w:proofErr w:type="spellEnd"/>
      <w:r>
        <w:rPr>
          <w:rtl/>
        </w:rPr>
        <w:t xml:space="preserve"> ערער על מינוי </w:t>
      </w:r>
      <w:proofErr w:type="spellStart"/>
      <w:r>
        <w:rPr>
          <w:rtl/>
        </w:rPr>
        <w:t>הנצי״ב</w:t>
      </w:r>
      <w:proofErr w:type="spellEnd"/>
      <w:r>
        <w:rPr>
          <w:rtl/>
        </w:rPr>
        <w:t xml:space="preserve">, כבר כתב ר׳ ישראל </w:t>
      </w:r>
      <w:proofErr w:type="spellStart"/>
      <w:r>
        <w:rPr>
          <w:rtl/>
        </w:rPr>
        <w:t>לר</w:t>
      </w:r>
      <w:proofErr w:type="spellEnd"/>
      <w:r>
        <w:rPr>
          <w:rtl/>
        </w:rPr>
        <w:t xml:space="preserve">׳ </w:t>
      </w:r>
      <w:proofErr w:type="spellStart"/>
      <w:r>
        <w:rPr>
          <w:rtl/>
        </w:rPr>
        <w:t>יהושע־העשיל</w:t>
      </w:r>
      <w:proofErr w:type="spellEnd"/>
      <w:r>
        <w:rPr>
          <w:rtl/>
        </w:rPr>
        <w:t xml:space="preserve"> לוין ישירות, ועודד אותו להוציא לאור את כתב העת המתוכנן, מפני </w:t>
      </w:r>
      <w:proofErr w:type="spellStart"/>
      <w:r>
        <w:rPr>
          <w:rtl/>
        </w:rPr>
        <w:t>ש“אני</w:t>
      </w:r>
      <w:proofErr w:type="spellEnd"/>
      <w:r>
        <w:rPr>
          <w:rtl/>
        </w:rPr>
        <w:t xml:space="preserve"> יודע שיש לך היכולת האדירה לעסוק במלאכת קודש זו</w:t>
      </w:r>
      <w:bookmarkStart w:id="5607" w:name="_fnr4254"/>
      <w:r>
        <w:rPr>
          <w:vertAlign w:val="superscript"/>
          <w:rtl/>
        </w:rPr>
        <w:footnoteReference w:id="4264" w:customMarkFollows="0"/>
      </w:r>
      <w:bookmarkEnd w:id="5607"/>
      <w:r>
        <w:rPr>
          <w:rtl/>
        </w:rPr>
        <w:t xml:space="preserve">”. </w:t>
      </w:r>
      <w:proofErr w:type="spellStart"/>
      <w:r>
        <w:rPr>
          <w:rtl/>
        </w:rPr>
        <w:t>ובתרי״ג</w:t>
      </w:r>
      <w:proofErr w:type="spellEnd"/>
      <w:r>
        <w:rPr>
          <w:rtl/>
        </w:rPr>
        <w:t xml:space="preserve"> כתב ר׳ ישראל מכתב הסכמה להוצאת “רוח חיים” בידי ר׳ </w:t>
      </w:r>
      <w:proofErr w:type="spellStart"/>
      <w:r>
        <w:rPr>
          <w:rtl/>
        </w:rPr>
        <w:t>יהושע־העשיל</w:t>
      </w:r>
      <w:proofErr w:type="spellEnd"/>
      <w:r>
        <w:rPr>
          <w:rtl/>
        </w:rPr>
        <w:t xml:space="preserve"> לוין</w:t>
      </w:r>
      <w:bookmarkStart w:id="5608" w:name="_fnr4255"/>
      <w:r>
        <w:rPr>
          <w:vertAlign w:val="superscript"/>
          <w:rtl/>
        </w:rPr>
        <w:footnoteReference w:id="4265" w:customMarkFollows="0"/>
      </w:r>
      <w:bookmarkEnd w:id="5608"/>
      <w:r>
        <w:rPr>
          <w:rtl/>
        </w:rPr>
        <w:t>, ובו אמר: “ידעתיו לנבון דבר”.</w:t>
      </w:r>
    </w:p>
    <w:p w14:paraId="49F46567" w14:textId="77777777" w:rsidR="00AB3647" w:rsidRDefault="00000000" w:rsidP="007923E9">
      <w:pPr>
        <w:spacing w:after="120" w:line="276" w:lineRule="auto"/>
        <w:ind w:firstLine="283"/>
        <w:jc w:val="both"/>
      </w:pPr>
      <w:r>
        <w:rPr>
          <w:rtl/>
        </w:rPr>
        <w:t xml:space="preserve">אין זו השערה רחוקה שר׳ ישראל </w:t>
      </w:r>
      <w:proofErr w:type="spellStart"/>
      <w:r>
        <w:rPr>
          <w:rtl/>
        </w:rPr>
        <w:t>סלנטר</w:t>
      </w:r>
      <w:proofErr w:type="spellEnd"/>
      <w:r>
        <w:rPr>
          <w:rtl/>
        </w:rPr>
        <w:t xml:space="preserve">, שהיה בקובנה בזמן מחלוקת ר׳ </w:t>
      </w:r>
      <w:proofErr w:type="spellStart"/>
      <w:r>
        <w:rPr>
          <w:rtl/>
        </w:rPr>
        <w:t>יהושע־העשיל</w:t>
      </w:r>
      <w:proofErr w:type="spellEnd"/>
      <w:r>
        <w:rPr>
          <w:rtl/>
        </w:rPr>
        <w:t xml:space="preserve"> </w:t>
      </w:r>
      <w:proofErr w:type="spellStart"/>
      <w:r>
        <w:rPr>
          <w:rtl/>
        </w:rPr>
        <w:t>והנצי״ב</w:t>
      </w:r>
      <w:proofErr w:type="spellEnd"/>
      <w:r>
        <w:rPr>
          <w:rtl/>
        </w:rPr>
        <w:t xml:space="preserve"> </w:t>
      </w:r>
      <w:proofErr w:type="spellStart"/>
      <w:r>
        <w:rPr>
          <w:rtl/>
        </w:rPr>
        <w:t>בוולוז׳ין</w:t>
      </w:r>
      <w:proofErr w:type="spellEnd"/>
      <w:r>
        <w:rPr>
          <w:rtl/>
        </w:rPr>
        <w:t xml:space="preserve"> (ובוודאי לא היה מעורב בה), קיווה בחשאי שר׳ </w:t>
      </w:r>
      <w:proofErr w:type="spellStart"/>
      <w:r>
        <w:rPr>
          <w:rtl/>
        </w:rPr>
        <w:t>יהושע־העשיל</w:t>
      </w:r>
      <w:proofErr w:type="spellEnd"/>
      <w:r>
        <w:rPr>
          <w:rtl/>
        </w:rPr>
        <w:t xml:space="preserve"> לוין ינצח. ר׳ ישראל ראה בר׳ </w:t>
      </w:r>
      <w:proofErr w:type="spellStart"/>
      <w:r>
        <w:rPr>
          <w:rtl/>
        </w:rPr>
        <w:t>יהושע־העשיל</w:t>
      </w:r>
      <w:proofErr w:type="spellEnd"/>
      <w:r>
        <w:rPr>
          <w:rtl/>
        </w:rPr>
        <w:t xml:space="preserve"> שותף נדיר להבנת הסכנה שנשקפה מן ההשכלה ליהדות שומרת המצוות, ולהבנת הצורך </w:t>
      </w:r>
      <w:r>
        <w:rPr>
          <w:b/>
          <w:bCs/>
          <w:rtl/>
        </w:rPr>
        <w:t>להתעמת עם ההשכלה</w:t>
      </w:r>
      <w:r>
        <w:rPr>
          <w:rtl/>
        </w:rPr>
        <w:t xml:space="preserve"> ולא להתעלם ממנה. רבנו סבר שהכוח המניע של כל פעולות ר׳ ישראל היה דאגתו מפני ההשכלה ומאבקו בה</w:t>
      </w:r>
      <w:bookmarkStart w:id="5609" w:name="_fnr4256"/>
      <w:r>
        <w:rPr>
          <w:vertAlign w:val="superscript"/>
          <w:rtl/>
        </w:rPr>
        <w:footnoteReference w:id="4266" w:customMarkFollows="0"/>
      </w:r>
      <w:bookmarkEnd w:id="5609"/>
      <w:r>
        <w:rPr>
          <w:rtl/>
        </w:rPr>
        <w:t xml:space="preserve">. לשם כך נוסדו כתבי עת כגון “פליטת סופרים עם שפה לנאמנים” </w:t>
      </w:r>
      <w:proofErr w:type="spellStart"/>
      <w:r>
        <w:rPr>
          <w:rtl/>
        </w:rPr>
        <w:t>ו“תבונה</w:t>
      </w:r>
      <w:proofErr w:type="spellEnd"/>
      <w:r>
        <w:rPr>
          <w:rtl/>
        </w:rPr>
        <w:t xml:space="preserve">” של ר׳ ישראל </w:t>
      </w:r>
      <w:proofErr w:type="spellStart"/>
      <w:r>
        <w:rPr>
          <w:rtl/>
        </w:rPr>
        <w:t>סלנטר</w:t>
      </w:r>
      <w:proofErr w:type="spellEnd"/>
      <w:r>
        <w:rPr>
          <w:rtl/>
        </w:rPr>
        <w:t xml:space="preserve"> עצמו, שהופיע מדי שבוע במשך שלושה חודשים </w:t>
      </w:r>
      <w:proofErr w:type="spellStart"/>
      <w:r>
        <w:rPr>
          <w:rtl/>
        </w:rPr>
        <w:t>בתרכ״א</w:t>
      </w:r>
      <w:proofErr w:type="spellEnd"/>
      <w:r>
        <w:rPr>
          <w:rtl/>
        </w:rPr>
        <w:t>.</w:t>
      </w:r>
    </w:p>
    <w:p w14:paraId="3FE30905" w14:textId="77777777" w:rsidR="00AB3647" w:rsidRDefault="00000000" w:rsidP="007923E9">
      <w:pPr>
        <w:spacing w:after="120" w:line="276" w:lineRule="auto"/>
        <w:ind w:firstLine="283"/>
        <w:jc w:val="both"/>
      </w:pPr>
      <w:r>
        <w:rPr>
          <w:rtl/>
        </w:rPr>
        <w:t xml:space="preserve">בעיני ר׳ ישראל, התנגדותו של </w:t>
      </w:r>
      <w:proofErr w:type="spellStart"/>
      <w:r>
        <w:rPr>
          <w:rtl/>
        </w:rPr>
        <w:t>הנצי״ב</w:t>
      </w:r>
      <w:proofErr w:type="spellEnd"/>
      <w:r>
        <w:rPr>
          <w:rtl/>
        </w:rPr>
        <w:t xml:space="preserve"> להכנסת המוסר לישיבת </w:t>
      </w:r>
      <w:proofErr w:type="spellStart"/>
      <w:r>
        <w:rPr>
          <w:rtl/>
        </w:rPr>
        <w:t>וולוז׳ין</w:t>
      </w:r>
      <w:proofErr w:type="spellEnd"/>
      <w:r>
        <w:rPr>
          <w:rtl/>
        </w:rPr>
        <w:t xml:space="preserve"> בתקופה מאוחרת יותר</w:t>
      </w:r>
      <w:bookmarkStart w:id="5610" w:name="_fnr4257"/>
      <w:r>
        <w:rPr>
          <w:vertAlign w:val="superscript"/>
          <w:rtl/>
        </w:rPr>
        <w:footnoteReference w:id="4267" w:customMarkFollows="0"/>
      </w:r>
      <w:bookmarkEnd w:id="5610"/>
      <w:r>
        <w:rPr>
          <w:rtl/>
        </w:rPr>
        <w:t xml:space="preserve"> ביטאה את חוסר מודעותו לסכנה שנשקפה מן ההשכלה. מבחינה זו לא היה </w:t>
      </w:r>
      <w:proofErr w:type="spellStart"/>
      <w:r>
        <w:rPr>
          <w:rtl/>
        </w:rPr>
        <w:t>הנצי״ב</w:t>
      </w:r>
      <w:proofErr w:type="spellEnd"/>
      <w:r>
        <w:rPr>
          <w:rtl/>
        </w:rPr>
        <w:t xml:space="preserve"> שונה מרוב רבני זמנו. לכן, כשנשקל מינויו של ר׳ </w:t>
      </w:r>
      <w:proofErr w:type="spellStart"/>
      <w:r>
        <w:rPr>
          <w:rtl/>
        </w:rPr>
        <w:t>יהושע־העשיל</w:t>
      </w:r>
      <w:proofErr w:type="spellEnd"/>
      <w:r>
        <w:rPr>
          <w:rtl/>
        </w:rPr>
        <w:t xml:space="preserve"> לוין, עמיתו למאבק בהשכלה, לעמוד בראש מבצר התורה שייצגה ישיבת </w:t>
      </w:r>
      <w:proofErr w:type="spellStart"/>
      <w:r>
        <w:rPr>
          <w:rtl/>
        </w:rPr>
        <w:t>וולוז׳ין</w:t>
      </w:r>
      <w:proofErr w:type="spellEnd"/>
      <w:r>
        <w:rPr>
          <w:rtl/>
        </w:rPr>
        <w:t xml:space="preserve"> (ולו רק בעיני חותנו, בנו של ר׳ </w:t>
      </w:r>
      <w:proofErr w:type="spellStart"/>
      <w:r>
        <w:rPr>
          <w:rtl/>
        </w:rPr>
        <w:t>איצל׳ה</w:t>
      </w:r>
      <w:proofErr w:type="spellEnd"/>
      <w:r>
        <w:rPr>
          <w:rtl/>
        </w:rPr>
        <w:t xml:space="preserve"> </w:t>
      </w:r>
      <w:proofErr w:type="spellStart"/>
      <w:r>
        <w:rPr>
          <w:rtl/>
        </w:rPr>
        <w:lastRenderedPageBreak/>
        <w:t>מוולוז׳ין</w:t>
      </w:r>
      <w:proofErr w:type="spellEnd"/>
      <w:r>
        <w:rPr>
          <w:rtl/>
        </w:rPr>
        <w:t xml:space="preserve">), היה ר׳ ישראל תומך בו. כשנפטר ר׳ ישראל </w:t>
      </w:r>
      <w:proofErr w:type="spellStart"/>
      <w:r>
        <w:rPr>
          <w:rtl/>
        </w:rPr>
        <w:t>סלנטר</w:t>
      </w:r>
      <w:proofErr w:type="spellEnd"/>
      <w:r>
        <w:rPr>
          <w:rtl/>
        </w:rPr>
        <w:t xml:space="preserve">, דיווח “המליץ” מכ״ג באדר א׳ תרמ״ג </w:t>
      </w:r>
      <w:proofErr w:type="spellStart"/>
      <w:r>
        <w:rPr>
          <w:rtl/>
        </w:rPr>
        <w:t>ש“תלמידו</w:t>
      </w:r>
      <w:proofErr w:type="spellEnd"/>
      <w:r>
        <w:rPr>
          <w:rtl/>
        </w:rPr>
        <w:t xml:space="preserve"> הוותיק ר׳ </w:t>
      </w:r>
      <w:proofErr w:type="spellStart"/>
      <w:r>
        <w:rPr>
          <w:rtl/>
        </w:rPr>
        <w:t>יהושע־העשיל</w:t>
      </w:r>
      <w:proofErr w:type="spellEnd"/>
      <w:r>
        <w:rPr>
          <w:rtl/>
        </w:rPr>
        <w:t xml:space="preserve"> לוין” הספידו בפריז. ייתכן שתיאור יחסי הרב והתלמיד מוגזם, שכן ר׳ ישראל, שנולד </w:t>
      </w:r>
      <w:proofErr w:type="spellStart"/>
      <w:r>
        <w:rPr>
          <w:rtl/>
        </w:rPr>
        <w:t>בתק״ע</w:t>
      </w:r>
      <w:proofErr w:type="spellEnd"/>
      <w:r>
        <w:rPr>
          <w:rtl/>
        </w:rPr>
        <w:t xml:space="preserve">, היה מבוגר מר׳ </w:t>
      </w:r>
      <w:proofErr w:type="spellStart"/>
      <w:r>
        <w:rPr>
          <w:rtl/>
        </w:rPr>
        <w:t>יהושע־העשיל</w:t>
      </w:r>
      <w:proofErr w:type="spellEnd"/>
      <w:r>
        <w:rPr>
          <w:rtl/>
        </w:rPr>
        <w:t xml:space="preserve"> לוין בארבע שנים בלבד</w:t>
      </w:r>
      <w:bookmarkStart w:id="5611" w:name="_fnr4258"/>
      <w:bookmarkEnd w:id="5611"/>
      <w:r>
        <w:rPr>
          <w:rStyle w:val="a5"/>
        </w:rPr>
        <w:t/>
      </w:r>
      <w:bookmarkStart w:id="7045" w:name="_TranslatorNote_5398"/>
      <w:r>
        <w:rPr>
          <w:rStyle w:val="a5"/>
          <w:vertAlign w:val="superscript"/>
          <w:rtl/>
        </w:rPr>
        <w:footnoteReference w:id="4268" w:customMarkFollows="1"/>
        <w:t>*</w:t>
      </w:r>
      <w:bookmarkEnd w:id="7045"/>
      <w:bookmarkStart w:id="5612" w:name="_fnr4259"/>
      <w:r>
        <w:rPr>
          <w:vertAlign w:val="superscript"/>
          <w:rtl/>
        </w:rPr>
        <w:footnoteReference w:id="4269" w:customMarkFollows="0"/>
      </w:r>
      <w:bookmarkEnd w:id="5612"/>
      <w:r>
        <w:rPr>
          <w:rtl/>
        </w:rPr>
        <w:t xml:space="preserve">. אבל ר׳ </w:t>
      </w:r>
      <w:proofErr w:type="spellStart"/>
      <w:r>
        <w:rPr>
          <w:rtl/>
        </w:rPr>
        <w:t>יהושע־העשיל</w:t>
      </w:r>
      <w:proofErr w:type="spellEnd"/>
      <w:r>
        <w:rPr>
          <w:rtl/>
        </w:rPr>
        <w:t xml:space="preserve"> לוין אכן היה שותף מלא למטרותיו של ר׳ ישראל.</w:t>
      </w:r>
    </w:p>
    <w:bookmarkStart w:id="5613" w:name="b4_excN"/>
    <w:bookmarkStart w:id="5614" w:name="b4_annexN"/>
    <w:p w14:paraId="03DDCE2D" w14:textId="77777777" w:rsidR="00AB3647" w:rsidRDefault="00000000" w:rsidP="007923E9">
      <w:pPr>
        <w:pStyle w:val="3"/>
        <w:pageBreakBefore w:val="0"/>
        <w:spacing w:line="276" w:lineRule="auto"/>
      </w:pPr>
      <w:r>
        <w:fldChar w:fldCharType="begin" w:dirty="true"/>
      </w:r>
      <w:r>
        <w:rPr>
          <w:rtl w:val="0"/>
        </w:rPr>
        <w:instrText>HYPERLINK \l "b4_note122</w:instrText>
      </w:r>
      <w:r>
        <w:instrText>"</w:instrText>
      </w:r>
      <w:r>
        <w:fldChar w:fldCharType="separate"/>
      </w:r>
      <w:r>
        <w:t>נספח יד</w:t>
      </w:r>
      <w:r>
        <w:fldChar w:fldCharType="end"/>
      </w:r>
      <w:bookmarkEnd w:id="5613"/>
      <w:bookmarkEnd w:id="5614"/>
    </w:p>
    <w:p w14:paraId="6F3B4127" w14:textId="77777777" w:rsidR="00AB3647" w:rsidRDefault="00000000" w:rsidP="007923E9">
      <w:pPr>
        <w:pStyle w:val="af"/>
        <w:spacing w:line="276" w:lineRule="auto"/>
      </w:pPr>
      <w:r>
        <w:t xml:space="preserve">על הקשר בין ישיבות </w:t>
      </w:r>
      <w:proofErr w:type="spellStart"/>
      <w:r>
        <w:t>סלבודקה</w:t>
      </w:r>
      <w:proofErr w:type="spellEnd"/>
      <w:r>
        <w:t xml:space="preserve"> </w:t>
      </w:r>
      <w:proofErr w:type="spellStart"/>
      <w:r>
        <w:t>וטלז</w:t>
      </w:r>
      <w:proofErr w:type="spellEnd"/>
      <w:r>
        <w:t xml:space="preserve"> לפני בחירת ר׳ יוסף לייב בלוך ולאחריה</w:t>
      </w:r>
    </w:p>
    <w:p w14:paraId="4F3F66D5" w14:textId="77777777" w:rsidR="00AB3647" w:rsidRDefault="00000000" w:rsidP="007923E9">
      <w:pPr>
        <w:pStyle w:val="4"/>
        <w:spacing w:line="276" w:lineRule="auto"/>
      </w:pPr>
      <w:r>
        <w:t>· הפסקה הראשונה ·</w:t>
      </w:r>
    </w:p>
    <w:p w14:paraId="4E58E859" w14:textId="77777777" w:rsidR="00AB3647" w:rsidRDefault="00000000" w:rsidP="007923E9">
      <w:pPr>
        <w:pStyle w:val="5"/>
        <w:spacing w:line="276" w:lineRule="auto"/>
      </w:pPr>
      <w:r>
        <w:rPr>
          <w:bCs/>
          <w:szCs w:val="26"/>
        </w:rPr>
        <w:t xml:space="preserve">לאחר ששרפה מחריבה את </w:t>
      </w:r>
      <w:proofErr w:type="spellStart"/>
      <w:r>
        <w:rPr>
          <w:bCs/>
          <w:szCs w:val="26"/>
        </w:rPr>
        <w:t>טלז</w:t>
      </w:r>
      <w:proofErr w:type="spellEnd"/>
      <w:r>
        <w:rPr>
          <w:bCs/>
          <w:szCs w:val="26"/>
        </w:rPr>
        <w:t xml:space="preserve">, הסבא </w:t>
      </w:r>
      <w:proofErr w:type="spellStart"/>
      <w:r>
        <w:rPr>
          <w:bCs/>
          <w:szCs w:val="26"/>
        </w:rPr>
        <w:t>מסלבודקה</w:t>
      </w:r>
      <w:proofErr w:type="spellEnd"/>
      <w:r>
        <w:rPr>
          <w:bCs/>
          <w:szCs w:val="26"/>
        </w:rPr>
        <w:t xml:space="preserve"> שולח לשם ישיבה על כל שכבותיה – עמדת ר׳ לייזר גורדון בעניין לימוד המוסר אינה </w:t>
      </w:r>
      <w:proofErr w:type="spellStart"/>
      <w:r>
        <w:rPr>
          <w:bCs/>
          <w:szCs w:val="26"/>
        </w:rPr>
        <w:t>חד־משמעית</w:t>
      </w:r>
      <w:proofErr w:type="spellEnd"/>
      <w:r>
        <w:rPr>
          <w:bCs/>
          <w:szCs w:val="26"/>
        </w:rPr>
        <w:t xml:space="preserve"> – בשלב מסוים הוא מכריז שהמוסר חיוני – אהבתו לתלמידים מעוורת את עיניו מלראות כמה מהם זקוקים למוסר להתפתחותם – הקשרים בין </w:t>
      </w:r>
      <w:proofErr w:type="spellStart"/>
      <w:r>
        <w:rPr>
          <w:bCs/>
          <w:szCs w:val="26"/>
        </w:rPr>
        <w:t>טלז</w:t>
      </w:r>
      <w:proofErr w:type="spellEnd"/>
      <w:r>
        <w:rPr>
          <w:bCs/>
          <w:szCs w:val="26"/>
        </w:rPr>
        <w:t xml:space="preserve"> </w:t>
      </w:r>
      <w:proofErr w:type="spellStart"/>
      <w:r>
        <w:rPr>
          <w:bCs/>
          <w:szCs w:val="26"/>
        </w:rPr>
        <w:t>לסלבודקה</w:t>
      </w:r>
      <w:proofErr w:type="spellEnd"/>
      <w:r>
        <w:rPr>
          <w:bCs/>
          <w:szCs w:val="26"/>
        </w:rPr>
        <w:t xml:space="preserve"> מתחזקים</w:t>
      </w:r>
    </w:p>
    <w:p w14:paraId="43D6788C" w14:textId="77777777" w:rsidR="00AB3647" w:rsidRDefault="00000000" w:rsidP="007923E9">
      <w:pPr>
        <w:spacing w:after="120" w:line="276" w:lineRule="auto"/>
        <w:ind w:firstLine="283"/>
        <w:jc w:val="both"/>
      </w:pPr>
      <w:r>
        <w:rPr>
          <w:rtl/>
        </w:rPr>
        <w:t>הן בשיחה המוקלטת עם אברכי הכולל של ישיבת רבנו ישראל מאיר הכהן</w:t>
      </w:r>
      <w:bookmarkStart w:id="5615" w:name="_fnr4260"/>
      <w:r>
        <w:rPr>
          <w:vertAlign w:val="superscript"/>
          <w:rtl/>
        </w:rPr>
        <w:footnoteReference w:id="4270" w:customMarkFollows="0"/>
      </w:r>
      <w:bookmarkEnd w:id="5615"/>
      <w:r>
        <w:rPr>
          <w:rtl/>
        </w:rPr>
        <w:t xml:space="preserve"> והן בריאיון המוקלט על הסבא </w:t>
      </w:r>
      <w:proofErr w:type="spellStart"/>
      <w:r>
        <w:rPr>
          <w:rtl/>
        </w:rPr>
        <w:t>מסלבודקה</w:t>
      </w:r>
      <w:bookmarkStart w:id="5616" w:name="_fnr4261"/>
      <w:proofErr w:type="spellEnd"/>
      <w:r>
        <w:rPr>
          <w:vertAlign w:val="superscript"/>
          <w:rtl/>
        </w:rPr>
        <w:footnoteReference w:id="4271" w:customMarkFollows="0"/>
      </w:r>
      <w:bookmarkEnd w:id="5616"/>
      <w:r>
        <w:rPr>
          <w:rtl/>
        </w:rPr>
        <w:t xml:space="preserve"> הזכיר אבי פעם שלישית שבה נחלץ הסבא לעזרת ר׳ לייזר, אחרי משלוחי התלמידים ב־1905 וב־1906 שנזכרו כאן: אחרי השרפה </w:t>
      </w:r>
      <w:proofErr w:type="spellStart"/>
      <w:r>
        <w:rPr>
          <w:rtl/>
        </w:rPr>
        <w:t>בטלז</w:t>
      </w:r>
      <w:bookmarkStart w:id="5617" w:name="_fnr4262"/>
      <w:proofErr w:type="spellEnd"/>
      <w:r>
        <w:rPr>
          <w:vertAlign w:val="superscript"/>
          <w:rtl/>
        </w:rPr>
        <w:footnoteReference w:id="4272" w:customMarkFollows="0"/>
      </w:r>
      <w:bookmarkEnd w:id="5617"/>
      <w:r>
        <w:rPr>
          <w:rtl/>
        </w:rPr>
        <w:t xml:space="preserve">, לקראת זמן החורף של תרס״ט, הסבא </w:t>
      </w:r>
      <w:proofErr w:type="spellStart"/>
      <w:r>
        <w:rPr>
          <w:rtl/>
        </w:rPr>
        <w:t>מסלבודקה</w:t>
      </w:r>
      <w:proofErr w:type="spellEnd"/>
      <w:r>
        <w:rPr>
          <w:rtl/>
        </w:rPr>
        <w:t xml:space="preserve"> “שלח לשם ישיבה על כל שכבותיה – בחורים מבוגרים, בחורים בינוניים ובחורים צעירים”. אבי אמר: “מכאן ואילך חי ר׳ לייזר [בנחת] כדג במים: מעולם לא הרגיש </w:t>
      </w:r>
      <w:proofErr w:type="spellStart"/>
      <w:r>
        <w:rPr>
          <w:rtl/>
        </w:rPr>
        <w:t>בר־מזל</w:t>
      </w:r>
      <w:proofErr w:type="spellEnd"/>
      <w:r>
        <w:rPr>
          <w:rtl/>
        </w:rPr>
        <w:t xml:space="preserve"> כל כך. בהשפעת ר׳ ישראל </w:t>
      </w:r>
      <w:proofErr w:type="spellStart"/>
      <w:r>
        <w:rPr>
          <w:rtl/>
        </w:rPr>
        <w:t>סלנטר</w:t>
      </w:r>
      <w:bookmarkStart w:id="5618" w:name="_fnr4263"/>
      <w:proofErr w:type="spellEnd"/>
      <w:r>
        <w:rPr>
          <w:vertAlign w:val="superscript"/>
          <w:rtl/>
        </w:rPr>
        <w:footnoteReference w:id="4273" w:customMarkFollows="0"/>
      </w:r>
      <w:bookmarkEnd w:id="5618"/>
      <w:r>
        <w:rPr>
          <w:rtl/>
        </w:rPr>
        <w:t xml:space="preserve"> השתוקק כל ימיו שתהיה לו ישיבת מוסר, אבל עד אותה שעה לא הצליח בכך”.</w:t>
      </w:r>
    </w:p>
    <w:p w14:paraId="15DB6103" w14:textId="77777777" w:rsidR="00AB3647" w:rsidRDefault="00000000" w:rsidP="007923E9">
      <w:pPr>
        <w:spacing w:after="120" w:line="276" w:lineRule="auto"/>
        <w:ind w:firstLine="283"/>
        <w:jc w:val="both"/>
      </w:pPr>
      <w:r>
        <w:rPr>
          <w:rtl/>
        </w:rPr>
        <w:t xml:space="preserve">דברי אבי על דבקות ר׳ לייזר ברעיונות המוסר של ר׳ ישראל </w:t>
      </w:r>
      <w:proofErr w:type="spellStart"/>
      <w:r>
        <w:rPr>
          <w:rtl/>
        </w:rPr>
        <w:t>סלנטר</w:t>
      </w:r>
      <w:proofErr w:type="spellEnd"/>
      <w:r>
        <w:rPr>
          <w:rtl/>
        </w:rPr>
        <w:t xml:space="preserve"> נראים כסותרים את הטענה </w:t>
      </w:r>
      <w:proofErr w:type="spellStart"/>
      <w:r>
        <w:rPr>
          <w:rtl/>
        </w:rPr>
        <w:t>ב“פון</w:t>
      </w:r>
      <w:proofErr w:type="spellEnd"/>
      <w:r>
        <w:rPr>
          <w:rtl/>
        </w:rPr>
        <w:t xml:space="preserve"> </w:t>
      </w:r>
      <w:proofErr w:type="spellStart"/>
      <w:r>
        <w:rPr>
          <w:rtl/>
        </w:rPr>
        <w:t>וואלאזין</w:t>
      </w:r>
      <w:proofErr w:type="spellEnd"/>
      <w:r>
        <w:rPr>
          <w:rtl/>
        </w:rPr>
        <w:t xml:space="preserve"> </w:t>
      </w:r>
      <w:proofErr w:type="spellStart"/>
      <w:r>
        <w:rPr>
          <w:rtl/>
        </w:rPr>
        <w:t>ביז</w:t>
      </w:r>
      <w:proofErr w:type="spellEnd"/>
      <w:r>
        <w:rPr>
          <w:rtl/>
        </w:rPr>
        <w:t xml:space="preserve"> ירושלים”</w:t>
      </w:r>
      <w:bookmarkStart w:id="5619" w:name="_fnr4264"/>
      <w:r>
        <w:rPr>
          <w:vertAlign w:val="superscript"/>
          <w:rtl/>
        </w:rPr>
        <w:footnoteReference w:id="4274" w:customMarkFollows="0"/>
      </w:r>
      <w:bookmarkEnd w:id="5619"/>
      <w:r>
        <w:rPr>
          <w:rtl/>
        </w:rPr>
        <w:t xml:space="preserve">, שעמדת ר׳ לייזר גורדון בעניין שילוב המוסר בתוכנית ישיבתו לא הייתה </w:t>
      </w:r>
      <w:proofErr w:type="spellStart"/>
      <w:r>
        <w:rPr>
          <w:rtl/>
        </w:rPr>
        <w:t>חד־משמעית</w:t>
      </w:r>
      <w:proofErr w:type="spellEnd"/>
      <w:r>
        <w:rPr>
          <w:rtl/>
        </w:rPr>
        <w:t xml:space="preserve">. אולם הנאום שנשא ר׳ לייזר בפתיחת הלימודים, המובא </w:t>
      </w:r>
      <w:proofErr w:type="spellStart"/>
      <w:r>
        <w:rPr>
          <w:rtl/>
        </w:rPr>
        <w:t>ב“פון</w:t>
      </w:r>
      <w:proofErr w:type="spellEnd"/>
      <w:r>
        <w:rPr>
          <w:rtl/>
        </w:rPr>
        <w:t xml:space="preserve"> </w:t>
      </w:r>
      <w:proofErr w:type="spellStart"/>
      <w:r>
        <w:rPr>
          <w:rtl/>
        </w:rPr>
        <w:t>וואלאזין</w:t>
      </w:r>
      <w:proofErr w:type="spellEnd"/>
      <w:r>
        <w:rPr>
          <w:rtl/>
        </w:rPr>
        <w:t xml:space="preserve"> </w:t>
      </w:r>
      <w:proofErr w:type="spellStart"/>
      <w:r>
        <w:rPr>
          <w:rtl/>
        </w:rPr>
        <w:t>ביז</w:t>
      </w:r>
      <w:proofErr w:type="spellEnd"/>
      <w:r>
        <w:rPr>
          <w:rtl/>
        </w:rPr>
        <w:t xml:space="preserve"> ירושלים”</w:t>
      </w:r>
      <w:bookmarkStart w:id="5620" w:name="_fnr4265"/>
      <w:r>
        <w:rPr>
          <w:vertAlign w:val="superscript"/>
          <w:rtl/>
        </w:rPr>
        <w:footnoteReference w:id="4275" w:customMarkFollows="0"/>
      </w:r>
      <w:bookmarkEnd w:id="5620"/>
      <w:r>
        <w:rPr>
          <w:rtl/>
        </w:rPr>
        <w:t>, דווקא מוכיח את צדקת השקפת רבנו, ולא את השקפת מחבר הספר.</w:t>
      </w:r>
    </w:p>
    <w:p w14:paraId="1C2574E0" w14:textId="3615FC0F" w:rsidR="00AB3647" w:rsidRDefault="00000000" w:rsidP="007923E9">
      <w:pPr>
        <w:spacing w:after="120" w:line="276" w:lineRule="auto"/>
        <w:ind w:firstLine="283"/>
        <w:jc w:val="both"/>
      </w:pPr>
      <w:r>
        <w:rPr>
          <w:rtl/>
        </w:rPr>
        <w:lastRenderedPageBreak/>
        <w:t xml:space="preserve">התפטרות ר׳ יוסף לייב מישיבת חותנו בוודאי אינה מעידה שר׳ לייזר התנגד למוסר (אפילו באותה תקופה שלפני המהפכה). ייתכן שהמחלוקת ביניהם נסבה על </w:t>
      </w:r>
      <w:proofErr w:type="spellStart"/>
      <w:r>
        <w:rPr>
          <w:rtl/>
        </w:rPr>
        <w:t>גישותיהם</w:t>
      </w:r>
      <w:proofErr w:type="spellEnd"/>
      <w:r>
        <w:rPr>
          <w:rtl/>
        </w:rPr>
        <w:t xml:space="preserve"> השונות בענייני ניהול – או שתלמידי חכמים אלה פשוט נחלקו בשיטת המוסר, כשם ששיטת ר׳ יוסף לייב הייתה שונה משיטות הסבא מקלם והסבא </w:t>
      </w:r>
      <w:proofErr w:type="spellStart"/>
      <w:r>
        <w:rPr>
          <w:rtl/>
        </w:rPr>
        <w:t>מסלבודקה</w:t>
      </w:r>
      <w:proofErr w:type="spellEnd"/>
      <w:r>
        <w:rPr>
          <w:rtl/>
        </w:rPr>
        <w:t xml:space="preserve">, כמבואר בהערה </w:t>
      </w:r>
      <w:r>
        <w:rPr>
          <w:rtl/>
        </w:rPr>
        <w:fldChar w:fldCharType="begin" w:dirty="true"/>
      </w:r>
      <w:r>
        <w:rPr>
          <w:rtl/>
        </w:rPr>
        <w:instrText xml:space="preserve"> REF b4_note107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107</w:t>
      </w:r>
      <w:r>
        <w:rPr>
          <w:rtl/>
        </w:rPr>
        <w:fldChar w:fldCharType="end"/>
      </w:r>
      <w:r>
        <w:rPr>
          <w:rtl/>
        </w:rPr>
        <w:t xml:space="preserve"> לעיל. השווה גם </w:t>
      </w:r>
      <w:proofErr w:type="spellStart"/>
      <w:r>
        <w:rPr>
          <w:rtl/>
        </w:rPr>
        <w:t>רבינר</w:t>
      </w:r>
      <w:proofErr w:type="spellEnd"/>
      <w:r>
        <w:rPr>
          <w:rtl/>
        </w:rPr>
        <w:t>, “הגאון רבי אליעזר גורדון”</w:t>
      </w:r>
      <w:bookmarkStart w:id="5621" w:name="_fnr4266"/>
      <w:r>
        <w:rPr>
          <w:vertAlign w:val="superscript"/>
          <w:rtl/>
        </w:rPr>
        <w:footnoteReference w:id="4276" w:customMarkFollows="0"/>
      </w:r>
      <w:bookmarkEnd w:id="5621"/>
      <w:r>
        <w:rPr>
          <w:rtl/>
        </w:rPr>
        <w:t xml:space="preserve">, המביא את הערכת ר׳ </w:t>
      </w:r>
      <w:proofErr w:type="spellStart"/>
      <w:r>
        <w:rPr>
          <w:rtl/>
        </w:rPr>
        <w:t>יחיאל־יעקב</w:t>
      </w:r>
      <w:proofErr w:type="spellEnd"/>
      <w:r>
        <w:rPr>
          <w:rtl/>
        </w:rPr>
        <w:t xml:space="preserve"> ויינברג, ש”(ר׳ לייזר) לא היה מבעלי המוסר אף שהיה מקורב </w:t>
      </w:r>
      <w:proofErr w:type="spellStart"/>
      <w:r>
        <w:rPr>
          <w:rtl/>
        </w:rPr>
        <w:t>לר</w:t>
      </w:r>
      <w:proofErr w:type="spellEnd"/>
      <w:r>
        <w:rPr>
          <w:rtl/>
        </w:rPr>
        <w:t xml:space="preserve">׳ ישראל </w:t>
      </w:r>
      <w:proofErr w:type="spellStart"/>
      <w:r>
        <w:rPr>
          <w:rtl/>
        </w:rPr>
        <w:t>סלנטר</w:t>
      </w:r>
      <w:proofErr w:type="spellEnd"/>
      <w:r>
        <w:rPr>
          <w:rtl/>
        </w:rPr>
        <w:t xml:space="preserve">”; אבל השווה </w:t>
      </w:r>
      <w:r>
        <w:rPr>
          <w:rtl/>
        </w:rPr>
        <w:fldChar w:fldCharType="begin" w:dirty="true"/>
      </w:r>
      <w:r>
        <w:rPr>
          <w:rtl/>
        </w:rPr>
        <w:instrText xml:space="preserve"> REF b4_excD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ד</w:t>
      </w:r>
      <w:r>
        <w:rPr>
          <w:rtl/>
        </w:rPr>
        <w:fldChar w:fldCharType="end"/>
      </w:r>
      <w:r>
        <w:rPr>
          <w:rtl/>
        </w:rPr>
        <w:t xml:space="preserve"> לעיל, בעניין דעת אבי על חולשת זיקתו של ר׳ </w:t>
      </w:r>
      <w:proofErr w:type="spellStart"/>
      <w:r>
        <w:rPr>
          <w:rtl/>
        </w:rPr>
        <w:t>יחיאל־יעקב</w:t>
      </w:r>
      <w:proofErr w:type="spellEnd"/>
      <w:r>
        <w:rPr>
          <w:rtl/>
        </w:rPr>
        <w:t xml:space="preserve"> ויינברג עצמו למוסר.</w:t>
      </w:r>
    </w:p>
    <w:p w14:paraId="64018579" w14:textId="77777777" w:rsidR="00AB3647" w:rsidRDefault="00000000" w:rsidP="007923E9">
      <w:pPr>
        <w:spacing w:after="120" w:line="276" w:lineRule="auto"/>
        <w:ind w:firstLine="283"/>
        <w:jc w:val="both"/>
      </w:pPr>
      <w:r>
        <w:rPr>
          <w:rtl/>
        </w:rPr>
        <w:t>אמרה מעניינת של ר׳ לייזר גורדון בעניין המוסר מובאת שם</w:t>
      </w:r>
      <w:bookmarkStart w:id="5622" w:name="_fnr4267"/>
      <w:r>
        <w:rPr>
          <w:vertAlign w:val="superscript"/>
          <w:rtl/>
        </w:rPr>
        <w:footnoteReference w:id="4277" w:customMarkFollows="0"/>
      </w:r>
      <w:bookmarkEnd w:id="5622"/>
      <w:r>
        <w:rPr>
          <w:rtl/>
        </w:rPr>
        <w:t xml:space="preserve">. בהספדו על ר׳ ישראל </w:t>
      </w:r>
      <w:proofErr w:type="spellStart"/>
      <w:r>
        <w:rPr>
          <w:rtl/>
        </w:rPr>
        <w:t>סלנטר</w:t>
      </w:r>
      <w:proofErr w:type="spellEnd"/>
      <w:r>
        <w:rPr>
          <w:rtl/>
        </w:rPr>
        <w:t xml:space="preserve"> אמר: “הכול, הן חסידי המוסר והן מתנגדי המוסר, צריכים להתאבל על פטירת ר׳ ישראל: הראשונים – מפני שאיבדו את רבם, שפתח לפניהם דרך חדשה ליראת ה׳; והאחרונים – מפני שהעמידם בפני האתגר להתאמץ [ולפתח השקפה] המוכיחה שאפשר להיות ירא ה׳ בלי ללמוד מוסר”. אמרה זו מותירה את הקורא בספק באשר לעמדתו של ר׳ לייזר גורדון עצמו בעניין המוסר.</w:t>
      </w:r>
    </w:p>
    <w:p w14:paraId="296A5377" w14:textId="77777777" w:rsidR="00AB3647" w:rsidRDefault="00000000" w:rsidP="007923E9">
      <w:pPr>
        <w:spacing w:after="120" w:line="276" w:lineRule="auto"/>
        <w:ind w:firstLine="283"/>
        <w:jc w:val="both"/>
      </w:pPr>
      <w:r>
        <w:rPr>
          <w:rtl/>
        </w:rPr>
        <w:t xml:space="preserve">גם מכתב של אחד מתלמידי ר׳ לייזר, ד״ר משה </w:t>
      </w:r>
      <w:proofErr w:type="spellStart"/>
      <w:r>
        <w:rPr>
          <w:rtl/>
        </w:rPr>
        <w:t>זיידל</w:t>
      </w:r>
      <w:proofErr w:type="spellEnd"/>
      <w:r>
        <w:rPr>
          <w:rtl/>
        </w:rPr>
        <w:t>, המובא שם</w:t>
      </w:r>
      <w:bookmarkStart w:id="5623" w:name="_fnr4268"/>
      <w:r>
        <w:rPr>
          <w:vertAlign w:val="superscript"/>
          <w:rtl/>
        </w:rPr>
        <w:footnoteReference w:id="4278" w:customMarkFollows="0"/>
      </w:r>
      <w:bookmarkEnd w:id="5623"/>
      <w:r>
        <w:rPr>
          <w:rtl/>
        </w:rPr>
        <w:t xml:space="preserve">, מציג את עמדת ר׳ לייזר בעניין לימוד המוסר בישיבה כעמדה לא </w:t>
      </w:r>
      <w:proofErr w:type="spellStart"/>
      <w:r>
        <w:rPr>
          <w:rtl/>
        </w:rPr>
        <w:t>חד־משמעית</w:t>
      </w:r>
      <w:proofErr w:type="spellEnd"/>
      <w:r>
        <w:rPr>
          <w:rtl/>
        </w:rPr>
        <w:t xml:space="preserve">. הוא כותב: “מקובל היה בין תלמידי הישיבה ש[ר׳ לייזר גורדון] אינו מן המצדדים בלימוד המוסר בישיבה... עם זאת, לא היה מתנגד מפורש ללימוד המוסר. יש להניח שראה בחיוב הנהגת לימוד מוסר בישיבה במידה מוגבלת – מעין לימוד של רשות, ולא לימוד חובה כפי שקבעו אותו ר׳ יוסף לייב בלוך, המנהל בפועל, ור׳ לייב חסמן, המשגיח הראשי. ר׳ לייזר גורדון הביע דעה מתונה זו (ההדגשה נוספה) גם בנאומו לפני כלל התלמידים בחורף תרס״ב, לאחר שר׳ יוסף לייב בלוך עזב את הישיבה כדי לכהן כרב </w:t>
      </w:r>
      <w:proofErr w:type="spellStart"/>
      <w:r>
        <w:rPr>
          <w:rtl/>
        </w:rPr>
        <w:t>בוורנה</w:t>
      </w:r>
      <w:bookmarkStart w:id="5624" w:name="_fnr4269"/>
      <w:proofErr w:type="spellEnd"/>
      <w:r>
        <w:rPr>
          <w:vertAlign w:val="superscript"/>
          <w:rtl/>
        </w:rPr>
        <w:footnoteReference w:id="4279" w:customMarkFollows="0"/>
      </w:r>
      <w:bookmarkEnd w:id="5624"/>
      <w:r>
        <w:rPr>
          <w:rtl/>
        </w:rPr>
        <w:t xml:space="preserve">, והנהלת הישיבה עברה לידי ר׳ לייזר גורדון לא רק להלכה אלא גם למעשה. בנאומו עורר את התלמידים לשקידה בלימוד. הוא ציין: ‘יש לשמור על סדר המוסר המקובל בן עשרים הדקות שלפני ערבית; ואף כי׳ – דומני שאלה היו מילותיו ממש של ר׳ לייזר גורדון – ‘יש מי שאינם מצדדים בלימוד המוסר, אין הדבר ראוי כשמדובר בלימוד מוסר המשולב בתלמוד תורה, שכן חכמה ומוסר [כשהם יחד] [רק] </w:t>
      </w:r>
      <w:proofErr w:type="spellStart"/>
      <w:r>
        <w:rPr>
          <w:rtl/>
        </w:rPr>
        <w:t>אוילים</w:t>
      </w:r>
      <w:proofErr w:type="spellEnd"/>
      <w:r>
        <w:rPr>
          <w:rtl/>
        </w:rPr>
        <w:t xml:space="preserve"> בזו</w:t>
      </w:r>
      <w:bookmarkStart w:id="5625" w:name="_fnr4270"/>
      <w:r>
        <w:rPr>
          <w:vertAlign w:val="superscript"/>
          <w:rtl/>
        </w:rPr>
        <w:footnoteReference w:id="4280" w:customMarkFollows="0"/>
      </w:r>
      <w:bookmarkEnd w:id="5625"/>
      <w:r>
        <w:rPr>
          <w:rtl/>
        </w:rPr>
        <w:t>’”.</w:t>
      </w:r>
    </w:p>
    <w:p w14:paraId="6F10D445" w14:textId="77777777" w:rsidR="00AB3647" w:rsidRDefault="00000000" w:rsidP="007923E9">
      <w:pPr>
        <w:spacing w:after="120" w:line="276" w:lineRule="auto"/>
        <w:ind w:firstLine="283"/>
        <w:jc w:val="both"/>
      </w:pPr>
      <w:proofErr w:type="spellStart"/>
      <w:r>
        <w:rPr>
          <w:rtl/>
        </w:rPr>
        <w:t>ורהפטיג</w:t>
      </w:r>
      <w:bookmarkStart w:id="5626" w:name="_fnr4271"/>
      <w:proofErr w:type="spellEnd"/>
      <w:r>
        <w:rPr>
          <w:vertAlign w:val="superscript"/>
          <w:rtl/>
        </w:rPr>
        <w:footnoteReference w:id="4281" w:customMarkFollows="0"/>
      </w:r>
      <w:bookmarkEnd w:id="5626"/>
      <w:r>
        <w:rPr>
          <w:rtl/>
        </w:rPr>
        <w:t xml:space="preserve"> מביא נאום של ר׳ לייזר גורדון מתקופה מוקדמת יותר</w:t>
      </w:r>
      <w:bookmarkStart w:id="5627" w:name="_fnr4272"/>
      <w:r>
        <w:rPr>
          <w:vertAlign w:val="superscript"/>
          <w:rtl/>
        </w:rPr>
        <w:footnoteReference w:id="4282" w:customMarkFollows="0"/>
      </w:r>
      <w:bookmarkEnd w:id="5627"/>
      <w:r>
        <w:rPr>
          <w:rtl/>
        </w:rPr>
        <w:t xml:space="preserve">, שבו לא גילה שום מתינות בעניין המוסר, אלא הכריז: “אני מוחל לכם על המרד ועל הצער שגרמתם לי – איני חושד שכוונתכם הייתה רעה. ודאי התכוונתם לשם שמים כשחשבתם שלימוד המוסר מעכב את לימוד התורה. אך טעיתם: זהו רעיון מזיק שנכשלתם בו שלא במתכוון. חבריכם המוסתים, שכוונותיהם לא היו טהורות, הכשילו אתכם, וההנהלה החליטה לסלקם מן הישיבה... בצער </w:t>
      </w:r>
      <w:r>
        <w:rPr>
          <w:rtl/>
        </w:rPr>
        <w:lastRenderedPageBreak/>
        <w:t>רב עליי להודיע שהחלטנו להעביר מתפקידו את המשגיח... ר׳ לייב חסמן...</w:t>
      </w:r>
      <w:bookmarkStart w:id="5628" w:name="_fnr4273"/>
      <w:r>
        <w:rPr>
          <w:vertAlign w:val="superscript"/>
          <w:rtl/>
        </w:rPr>
        <w:footnoteReference w:id="4283" w:customMarkFollows="0"/>
      </w:r>
      <w:bookmarkEnd w:id="5628"/>
      <w:r>
        <w:rPr>
          <w:rtl/>
        </w:rPr>
        <w:t>, שטעה בניהולו התקיף והעלה את רוח המוסר לא שלב אחר שלב, מעט מעט, אלא בבת אחת... ואני מוסיף ומודיע שמכאן ואילך יהיו השיעורים הראשון והשני פטורים מלימוד המוסר”.</w:t>
      </w:r>
    </w:p>
    <w:p w14:paraId="73AC4550" w14:textId="0473A84A" w:rsidR="00AB3647" w:rsidRDefault="00000000" w:rsidP="007923E9">
      <w:pPr>
        <w:spacing w:after="120" w:line="276" w:lineRule="auto"/>
        <w:ind w:firstLine="283"/>
        <w:jc w:val="both"/>
      </w:pPr>
      <w:r>
        <w:rPr>
          <w:rtl/>
        </w:rPr>
        <w:t xml:space="preserve">השווה גם הערה </w:t>
      </w:r>
      <w:r>
        <w:rPr>
          <w:sz w:val="18"/>
          <w:szCs w:val="18"/>
          <w:vertAlign w:val="superscript"/>
          <w:rtl/>
        </w:rPr>
        <w:t>127</w:t>
      </w:r>
      <w:r>
        <w:rPr>
          <w:rtl/>
        </w:rPr>
        <w:t xml:space="preserve"> לעיל על נחישותו הרבה של ר׳ לייזר לכלול את המוסר בתוכנית הלימודים. והשווה סוף הערה </w:t>
      </w:r>
      <w:r>
        <w:rPr>
          <w:rtl/>
        </w:rPr>
        <w:fldChar w:fldCharType="begin" w:dirty="true"/>
      </w:r>
      <w:r>
        <w:rPr>
          <w:rtl/>
        </w:rPr>
        <w:instrText xml:space="preserve"> REF b4_note110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110</w:t>
      </w:r>
      <w:r>
        <w:rPr>
          <w:rtl/>
        </w:rPr>
        <w:fldChar w:fldCharType="end"/>
      </w:r>
      <w:r>
        <w:rPr>
          <w:rtl/>
        </w:rPr>
        <w:t xml:space="preserve"> לעיל, שם מפרט התלמיד ש. אסף את המאורע, את הזמן ואת הסיבה שבעקבותיהם החליט ר׳ לייזר שלימוד המוסר בישיבה חיוני: מרד התלמידים נגד מינוי </w:t>
      </w:r>
      <w:proofErr w:type="spellStart"/>
      <w:r>
        <w:rPr>
          <w:rtl/>
        </w:rPr>
        <w:t>הירשוביץ</w:t>
      </w:r>
      <w:proofErr w:type="spellEnd"/>
      <w:r>
        <w:rPr>
          <w:rtl/>
        </w:rPr>
        <w:t>, בתחילת תרס״ה.</w:t>
      </w:r>
    </w:p>
    <w:p w14:paraId="32EBFDC8" w14:textId="77777777" w:rsidR="00AB3647" w:rsidRDefault="00000000" w:rsidP="007923E9">
      <w:pPr>
        <w:spacing w:after="120" w:line="276" w:lineRule="auto"/>
        <w:ind w:firstLine="283"/>
        <w:jc w:val="both"/>
      </w:pPr>
      <w:r>
        <w:rPr>
          <w:rtl/>
        </w:rPr>
        <w:t xml:space="preserve">אפשר ליישב את הדעות הסותרות על יחסו של ר׳ לייזר גורדון למוסר על פי מה שידוע לנו על חינוכו שלו למוסר בשנות התעצבותו, בחסות ר׳ ישראל </w:t>
      </w:r>
      <w:proofErr w:type="spellStart"/>
      <w:r>
        <w:rPr>
          <w:rtl/>
        </w:rPr>
        <w:t>סלנטר</w:t>
      </w:r>
      <w:proofErr w:type="spellEnd"/>
      <w:r>
        <w:rPr>
          <w:rtl/>
        </w:rPr>
        <w:t xml:space="preserve">. ר׳ ישראל פטר את לייזר גורדון הצעיר מלהשתתף בשיחות המוסר שמסר לתלמידי </w:t>
      </w:r>
      <w:proofErr w:type="spellStart"/>
      <w:r>
        <w:rPr>
          <w:rtl/>
        </w:rPr>
        <w:t>הקלויז</w:t>
      </w:r>
      <w:proofErr w:type="spellEnd"/>
      <w:r>
        <w:rPr>
          <w:rtl/>
        </w:rPr>
        <w:t xml:space="preserve"> של </w:t>
      </w:r>
      <w:proofErr w:type="spellStart"/>
      <w:r>
        <w:rPr>
          <w:rtl/>
        </w:rPr>
        <w:t>נביאזר</w:t>
      </w:r>
      <w:proofErr w:type="spellEnd"/>
      <w:r>
        <w:rPr>
          <w:rtl/>
        </w:rPr>
        <w:t>, ואמר: “לימוד המוסר אינו בשבילו – מוטב שישב ויעסוק בלימוד. הראוי לו הוא לנצל את הזמן [שבו אני משוחח עם התלמידים] כדי לחדש איזה חידוש”</w:t>
      </w:r>
      <w:bookmarkStart w:id="5629" w:name="_fnr4274"/>
      <w:r>
        <w:rPr>
          <w:vertAlign w:val="superscript"/>
          <w:rtl/>
        </w:rPr>
        <w:footnoteReference w:id="4284" w:customMarkFollows="0"/>
      </w:r>
      <w:bookmarkEnd w:id="5629"/>
      <w:r>
        <w:rPr>
          <w:rtl/>
        </w:rPr>
        <w:t>.</w:t>
      </w:r>
    </w:p>
    <w:p w14:paraId="2273B4E7" w14:textId="77777777" w:rsidR="00AB3647" w:rsidRDefault="00000000" w:rsidP="007923E9">
      <w:pPr>
        <w:spacing w:after="120" w:line="276" w:lineRule="auto"/>
        <w:ind w:firstLine="283"/>
        <w:jc w:val="both"/>
      </w:pPr>
      <w:r>
        <w:rPr>
          <w:rtl/>
        </w:rPr>
        <w:t xml:space="preserve">ייתכן מאוד שכשם שר׳ ישראל ראה את ר׳ לייזר לעומת שאר תלמידי </w:t>
      </w:r>
      <w:proofErr w:type="spellStart"/>
      <w:r>
        <w:rPr>
          <w:rtl/>
        </w:rPr>
        <w:t>הקלויז</w:t>
      </w:r>
      <w:proofErr w:type="spellEnd"/>
      <w:r>
        <w:rPr>
          <w:rtl/>
        </w:rPr>
        <w:t xml:space="preserve">, כך ראה ר׳ לייזר את בחירי תלמידי </w:t>
      </w:r>
      <w:proofErr w:type="spellStart"/>
      <w:r>
        <w:rPr>
          <w:rtl/>
        </w:rPr>
        <w:t>טלז</w:t>
      </w:r>
      <w:proofErr w:type="spellEnd"/>
      <w:r>
        <w:rPr>
          <w:rtl/>
        </w:rPr>
        <w:t xml:space="preserve"> לעומת הישיבה בכללה: לו עצמו ולבחירים לא היה המוסר נחוץ, ואילו לאחרים היה הכרחי. ייתכן ששינה את דעתו מזמן לזמן בשאלה איזה חלק מן התלמידים זקוק למוסר ואיזה חלק ראוי לפטור ממנו. מתוך אהבתו הגדולה לתלמידיו</w:t>
      </w:r>
      <w:bookmarkStart w:id="5630" w:name="_fnr4275"/>
      <w:r>
        <w:rPr>
          <w:vertAlign w:val="superscript"/>
          <w:rtl/>
        </w:rPr>
        <w:footnoteReference w:id="4285" w:customMarkFollows="0"/>
      </w:r>
      <w:bookmarkEnd w:id="5630"/>
      <w:r>
        <w:rPr>
          <w:rtl/>
        </w:rPr>
        <w:t xml:space="preserve"> וגאוותו בהם אולי טעה בהערכתו והפריז במספר הפטורים</w:t>
      </w:r>
      <w:bookmarkStart w:id="5631" w:name="_fnr4276"/>
      <w:r>
        <w:rPr>
          <w:vertAlign w:val="superscript"/>
          <w:rtl/>
        </w:rPr>
        <w:footnoteReference w:id="4286" w:customMarkFollows="0"/>
      </w:r>
      <w:bookmarkEnd w:id="5631"/>
      <w:r>
        <w:rPr>
          <w:rtl/>
        </w:rPr>
        <w:t>, עד שבתקופות מסוימות הצטמצם בעיניו מספר הזקוקים למוסר כל כך, שלא היה עוד צורך לקבוע מקצוע זה כחובה בתוכנית הישיבה.</w:t>
      </w:r>
    </w:p>
    <w:p w14:paraId="4BEFD430" w14:textId="77777777" w:rsidR="00AB3647" w:rsidRDefault="00000000" w:rsidP="007923E9">
      <w:pPr>
        <w:spacing w:after="120" w:line="276" w:lineRule="auto"/>
        <w:ind w:firstLine="283"/>
        <w:jc w:val="both"/>
      </w:pPr>
      <w:r>
        <w:rPr>
          <w:rtl/>
        </w:rPr>
        <w:t xml:space="preserve">כישלון מינוי </w:t>
      </w:r>
      <w:proofErr w:type="spellStart"/>
      <w:r>
        <w:rPr>
          <w:rtl/>
        </w:rPr>
        <w:t>הירשוביץ</w:t>
      </w:r>
      <w:proofErr w:type="spellEnd"/>
      <w:r>
        <w:rPr>
          <w:rtl/>
        </w:rPr>
        <w:t xml:space="preserve"> היה נקודת מפנה – לא במאבק פנימי כלשהו שקינן בו בעניין המוסר (מאבק כזה לא היה), אלא בדעתו המשתנה בשאלה כמה מן התלמידים יכולים להסתדר בלעדיו. ייתכן, אם כן, שהמחלוקת בין ר׳ לייזר גורדון </w:t>
      </w:r>
      <w:proofErr w:type="spellStart"/>
      <w:r>
        <w:rPr>
          <w:rtl/>
        </w:rPr>
        <w:t>לר</w:t>
      </w:r>
      <w:proofErr w:type="spellEnd"/>
      <w:r>
        <w:rPr>
          <w:rtl/>
        </w:rPr>
        <w:t>׳ יוסף לייב בלוך אכן עסקה במוסר, אבל רק בשאלה כמה מן התלמידים זקוקים לו ועד כמה צריכה ההנהלה, בהתאם לכך, להקפיד על קידומו – ולא בשאלה אם עליו להיות מרכיב מהותי בתוכנית הישיבה.</w:t>
      </w:r>
    </w:p>
    <w:p w14:paraId="4AAC2036" w14:textId="77777777" w:rsidR="00AB3647" w:rsidRDefault="00000000" w:rsidP="007923E9">
      <w:pPr>
        <w:spacing w:after="120" w:line="276" w:lineRule="auto"/>
        <w:ind w:firstLine="283"/>
        <w:jc w:val="both"/>
      </w:pPr>
      <w:r>
        <w:rPr>
          <w:rtl/>
        </w:rPr>
        <w:t xml:space="preserve">עם זאת יש להוסיף שמחשבתו להביא כמשגיח את ר׳ </w:t>
      </w:r>
      <w:proofErr w:type="spellStart"/>
      <w:r>
        <w:rPr>
          <w:rtl/>
        </w:rPr>
        <w:t>אברהם־יצחק</w:t>
      </w:r>
      <w:proofErr w:type="spellEnd"/>
      <w:r>
        <w:rPr>
          <w:rtl/>
        </w:rPr>
        <w:t xml:space="preserve"> קוק</w:t>
      </w:r>
      <w:bookmarkStart w:id="5632" w:name="_fnr4277"/>
      <w:r>
        <w:rPr>
          <w:vertAlign w:val="superscript"/>
          <w:rtl/>
        </w:rPr>
        <w:footnoteReference w:id="4287" w:customMarkFollows="0"/>
      </w:r>
      <w:bookmarkEnd w:id="5632"/>
      <w:r>
        <w:rPr>
          <w:rtl/>
        </w:rPr>
        <w:t xml:space="preserve">, שהשקפתו הייתה זרה לחלוטין למוסר, מלמדת שאף שר׳ לייזר גורדון ראה בהדרכה ליראת שמים תפקיד של תוכנית הישיבה, אחת משתיים: או שסבר שאין חשיבות לדרך המסוימת שנבחרת לשם כך, או שתפיסתו את המוסר לא הייתה מעמיקה. דוגמה למחויבותו </w:t>
      </w:r>
      <w:r>
        <w:rPr>
          <w:b/>
          <w:bCs/>
          <w:rtl/>
        </w:rPr>
        <w:t>האישית</w:t>
      </w:r>
      <w:r>
        <w:rPr>
          <w:rtl/>
        </w:rPr>
        <w:t xml:space="preserve"> העמוקה של ר׳ לייזר </w:t>
      </w:r>
      <w:r>
        <w:rPr>
          <w:rtl/>
        </w:rPr>
        <w:lastRenderedPageBreak/>
        <w:t xml:space="preserve">למוסר סיפר ר׳ יצחק </w:t>
      </w:r>
      <w:proofErr w:type="spellStart"/>
      <w:r>
        <w:rPr>
          <w:rtl/>
        </w:rPr>
        <w:t>שורין</w:t>
      </w:r>
      <w:bookmarkStart w:id="5633" w:name="_fnr4278"/>
      <w:proofErr w:type="spellEnd"/>
      <w:r>
        <w:rPr>
          <w:vertAlign w:val="superscript"/>
          <w:rtl/>
        </w:rPr>
        <w:footnoteReference w:id="4288" w:customMarkFollows="0"/>
      </w:r>
      <w:bookmarkEnd w:id="5633"/>
      <w:r>
        <w:rPr>
          <w:rtl/>
        </w:rPr>
        <w:t xml:space="preserve"> בשם אבי: בכל פעם שישב בדין תורה החזיק ר׳ לייזר “מסילת ישרים” על שולחנו, ואמר: “כשספר זה לנגד עיניי, אני בטוח שאפסוק בלי נגיעה עצמית”.</w:t>
      </w:r>
    </w:p>
    <w:p w14:paraId="485C8B3D" w14:textId="77777777" w:rsidR="00AB3647" w:rsidRDefault="00000000" w:rsidP="007923E9">
      <w:pPr>
        <w:spacing w:after="120" w:line="276" w:lineRule="auto"/>
        <w:ind w:firstLine="283"/>
        <w:jc w:val="both"/>
      </w:pPr>
      <w:r>
        <w:rPr>
          <w:rtl/>
        </w:rPr>
        <w:t xml:space="preserve">באשר למעורבות </w:t>
      </w:r>
      <w:proofErr w:type="spellStart"/>
      <w:r>
        <w:rPr>
          <w:rtl/>
        </w:rPr>
        <w:t>סלבודקה</w:t>
      </w:r>
      <w:proofErr w:type="spellEnd"/>
      <w:r>
        <w:rPr>
          <w:rtl/>
        </w:rPr>
        <w:t xml:space="preserve"> בישיבת </w:t>
      </w:r>
      <w:proofErr w:type="spellStart"/>
      <w:r>
        <w:rPr>
          <w:rtl/>
        </w:rPr>
        <w:t>טלז</w:t>
      </w:r>
      <w:proofErr w:type="spellEnd"/>
      <w:r>
        <w:rPr>
          <w:rtl/>
        </w:rPr>
        <w:t xml:space="preserve">, עיון נוסף מעלה ששלוש פעולות ההצלה של </w:t>
      </w:r>
      <w:proofErr w:type="spellStart"/>
      <w:r>
        <w:rPr>
          <w:rtl/>
        </w:rPr>
        <w:t>סלבודקה</w:t>
      </w:r>
      <w:proofErr w:type="spellEnd"/>
      <w:r>
        <w:rPr>
          <w:rtl/>
        </w:rPr>
        <w:t xml:space="preserve"> היו התפתחות הדרגתית. על המשלוח הראשון, מספר קטן של בחורים מעולים, סברו בטעות שיוכל להשפיע לטובה כשישולב </w:t>
      </w:r>
      <w:proofErr w:type="spellStart"/>
      <w:r>
        <w:rPr>
          <w:rtl/>
        </w:rPr>
        <w:t>בטלז</w:t>
      </w:r>
      <w:proofErr w:type="spellEnd"/>
      <w:r>
        <w:rPr>
          <w:rtl/>
        </w:rPr>
        <w:t xml:space="preserve"> הקיימת. על המשלוח השני – מספר גדול יותר, ובה בעת הותר לתלמידי </w:t>
      </w:r>
      <w:proofErr w:type="spellStart"/>
      <w:r>
        <w:rPr>
          <w:rtl/>
        </w:rPr>
        <w:t>טלז</w:t>
      </w:r>
      <w:proofErr w:type="spellEnd"/>
      <w:r>
        <w:rPr>
          <w:rtl/>
        </w:rPr>
        <w:t xml:space="preserve"> “לשעבר” לחזור – הניחו בטעות שיוכל ליצור ישיבה מחודשת שתהיה שותפה רעיונית </w:t>
      </w:r>
      <w:proofErr w:type="spellStart"/>
      <w:r>
        <w:rPr>
          <w:rtl/>
        </w:rPr>
        <w:t>לסלבודקה</w:t>
      </w:r>
      <w:proofErr w:type="spellEnd"/>
      <w:r>
        <w:rPr>
          <w:rtl/>
        </w:rPr>
        <w:t xml:space="preserve">. המשלוח השלישי, תלמידי </w:t>
      </w:r>
      <w:proofErr w:type="spellStart"/>
      <w:r>
        <w:rPr>
          <w:rtl/>
        </w:rPr>
        <w:t>סלבודקה</w:t>
      </w:r>
      <w:proofErr w:type="spellEnd"/>
      <w:r>
        <w:rPr>
          <w:rtl/>
        </w:rPr>
        <w:t xml:space="preserve"> מכל שכבות הישיבה, יצר ישיבת </w:t>
      </w:r>
      <w:proofErr w:type="spellStart"/>
      <w:r>
        <w:rPr>
          <w:rtl/>
        </w:rPr>
        <w:t>סלבודקה</w:t>
      </w:r>
      <w:proofErr w:type="spellEnd"/>
      <w:r>
        <w:rPr>
          <w:rtl/>
        </w:rPr>
        <w:t xml:space="preserve"> בעיר </w:t>
      </w:r>
      <w:proofErr w:type="spellStart"/>
      <w:r>
        <w:rPr>
          <w:rtl/>
        </w:rPr>
        <w:t>טלז</w:t>
      </w:r>
      <w:proofErr w:type="spellEnd"/>
      <w:r>
        <w:rPr>
          <w:rtl/>
        </w:rPr>
        <w:t>, תחת ראש הישיבה הנערץ והאהוב ר׳ לייזר גורדון.</w:t>
      </w:r>
    </w:p>
    <w:p w14:paraId="215671E9" w14:textId="77777777" w:rsidR="00AB3647" w:rsidRDefault="00000000" w:rsidP="007923E9">
      <w:pPr>
        <w:spacing w:after="120" w:line="276" w:lineRule="auto"/>
        <w:ind w:firstLine="283"/>
        <w:jc w:val="both"/>
      </w:pPr>
      <w:r>
        <w:rPr>
          <w:rtl/>
        </w:rPr>
        <w:t xml:space="preserve">למרבה ההפתעה, כרכי כץ אינם מזכירים כלל, מסיבות שאינן ידועות, את מעורבות הסבא לאחר השרפה. יתר על כן, לדעתי השיפור ביחס התלמידים </w:t>
      </w:r>
      <w:proofErr w:type="spellStart"/>
      <w:r>
        <w:rPr>
          <w:rtl/>
        </w:rPr>
        <w:t>לר</w:t>
      </w:r>
      <w:proofErr w:type="spellEnd"/>
      <w:r>
        <w:rPr>
          <w:rtl/>
        </w:rPr>
        <w:t xml:space="preserve">׳ שמואל </w:t>
      </w:r>
      <w:proofErr w:type="spellStart"/>
      <w:r>
        <w:rPr>
          <w:rtl/>
        </w:rPr>
        <w:t>פונדילער</w:t>
      </w:r>
      <w:proofErr w:type="spellEnd"/>
      <w:r>
        <w:rPr>
          <w:rtl/>
        </w:rPr>
        <w:t xml:space="preserve"> מזמן בואו </w:t>
      </w:r>
      <w:proofErr w:type="spellStart"/>
      <w:r>
        <w:rPr>
          <w:rtl/>
        </w:rPr>
        <w:t>בתרס״ו</w:t>
      </w:r>
      <w:proofErr w:type="spellEnd"/>
      <w:r>
        <w:rPr>
          <w:rtl/>
        </w:rPr>
        <w:t xml:space="preserve"> ועד עזיבתו </w:t>
      </w:r>
      <w:proofErr w:type="spellStart"/>
      <w:r>
        <w:rPr>
          <w:rtl/>
        </w:rPr>
        <w:t>בתרע״א</w:t>
      </w:r>
      <w:proofErr w:type="spellEnd"/>
      <w:r>
        <w:rPr>
          <w:rtl/>
        </w:rPr>
        <w:t>, הנזכר בספרו של כץ, “תנועת המוסר”, כרך ה</w:t>
      </w:r>
      <w:bookmarkStart w:id="5634" w:name="_fnr4279"/>
      <w:r>
        <w:rPr>
          <w:vertAlign w:val="superscript"/>
          <w:rtl/>
        </w:rPr>
        <w:footnoteReference w:id="4289" w:customMarkFollows="0"/>
      </w:r>
      <w:bookmarkEnd w:id="5634"/>
      <w:r>
        <w:rPr>
          <w:rtl/>
        </w:rPr>
        <w:t xml:space="preserve">, נבע אך ורק מן השינוי בהרכב התלמידים לאחר השרפה, ומן השינוי שבא בעקבותיו בזיקה שבין </w:t>
      </w:r>
      <w:proofErr w:type="spellStart"/>
      <w:r>
        <w:rPr>
          <w:rtl/>
        </w:rPr>
        <w:t>טלז</w:t>
      </w:r>
      <w:proofErr w:type="spellEnd"/>
      <w:r>
        <w:rPr>
          <w:rtl/>
        </w:rPr>
        <w:t xml:space="preserve"> </w:t>
      </w:r>
      <w:proofErr w:type="spellStart"/>
      <w:r>
        <w:rPr>
          <w:rtl/>
        </w:rPr>
        <w:t>לסלבודקה</w:t>
      </w:r>
      <w:proofErr w:type="spellEnd"/>
      <w:r>
        <w:rPr>
          <w:rtl/>
        </w:rPr>
        <w:t>. כמו כן, שתי הקביעות בספרו של כץ</w:t>
      </w:r>
      <w:bookmarkStart w:id="5635" w:name="_fnr4280"/>
      <w:r>
        <w:rPr>
          <w:vertAlign w:val="superscript"/>
          <w:rtl/>
        </w:rPr>
        <w:footnoteReference w:id="4290" w:customMarkFollows="0"/>
      </w:r>
      <w:bookmarkEnd w:id="5635"/>
      <w:r>
        <w:rPr>
          <w:rtl/>
        </w:rPr>
        <w:t xml:space="preserve"> – </w:t>
      </w:r>
      <w:proofErr w:type="spellStart"/>
      <w:r>
        <w:rPr>
          <w:rtl/>
        </w:rPr>
        <w:t>שטלז</w:t>
      </w:r>
      <w:proofErr w:type="spellEnd"/>
      <w:r>
        <w:rPr>
          <w:rtl/>
        </w:rPr>
        <w:t xml:space="preserve"> נעשתה ממש סניף של </w:t>
      </w:r>
      <w:proofErr w:type="spellStart"/>
      <w:r>
        <w:rPr>
          <w:rtl/>
        </w:rPr>
        <w:t>סלבודקה</w:t>
      </w:r>
      <w:proofErr w:type="spellEnd"/>
      <w:r>
        <w:rPr>
          <w:rtl/>
        </w:rPr>
        <w:t xml:space="preserve">, ושהתקיימו חילופי תלמידים קבועים בין </w:t>
      </w:r>
      <w:proofErr w:type="spellStart"/>
      <w:r>
        <w:rPr>
          <w:rtl/>
        </w:rPr>
        <w:t>טלז</w:t>
      </w:r>
      <w:proofErr w:type="spellEnd"/>
      <w:r>
        <w:rPr>
          <w:rtl/>
        </w:rPr>
        <w:t xml:space="preserve"> </w:t>
      </w:r>
      <w:proofErr w:type="spellStart"/>
      <w:r>
        <w:rPr>
          <w:rtl/>
        </w:rPr>
        <w:t>לסלבודקה</w:t>
      </w:r>
      <w:proofErr w:type="spellEnd"/>
      <w:r>
        <w:rPr>
          <w:rtl/>
        </w:rPr>
        <w:t xml:space="preserve"> – נכונות רק </w:t>
      </w:r>
      <w:r>
        <w:rPr>
          <w:b/>
          <w:bCs/>
          <w:rtl/>
        </w:rPr>
        <w:t>לאחר</w:t>
      </w:r>
      <w:r>
        <w:rPr>
          <w:rtl/>
        </w:rPr>
        <w:t xml:space="preserve"> התחדשות </w:t>
      </w:r>
      <w:proofErr w:type="spellStart"/>
      <w:r>
        <w:rPr>
          <w:rtl/>
        </w:rPr>
        <w:t>טלז</w:t>
      </w:r>
      <w:proofErr w:type="spellEnd"/>
      <w:r>
        <w:rPr>
          <w:rtl/>
        </w:rPr>
        <w:t xml:space="preserve"> בעקבות השרפה</w:t>
      </w:r>
      <w:bookmarkStart w:id="5636" w:name="_fnr4281"/>
      <w:r>
        <w:rPr>
          <w:vertAlign w:val="superscript"/>
          <w:rtl/>
        </w:rPr>
        <w:footnoteReference w:id="4291" w:customMarkFollows="0"/>
      </w:r>
      <w:bookmarkEnd w:id="5636"/>
      <w:r>
        <w:rPr>
          <w:rtl/>
        </w:rPr>
        <w:t>.</w:t>
      </w:r>
    </w:p>
    <w:p w14:paraId="0C5CCDD1" w14:textId="77777777" w:rsidR="00AB3647" w:rsidRDefault="00000000" w:rsidP="007923E9">
      <w:pPr>
        <w:pStyle w:val="4"/>
        <w:spacing w:line="276" w:lineRule="auto"/>
      </w:pPr>
      <w:r>
        <w:t>· הפסקה השנייה ·</w:t>
      </w:r>
    </w:p>
    <w:p w14:paraId="5F507A0E" w14:textId="77777777" w:rsidR="00AB3647" w:rsidRDefault="00000000" w:rsidP="007923E9">
      <w:pPr>
        <w:pStyle w:val="5"/>
        <w:spacing w:line="276" w:lineRule="auto"/>
      </w:pPr>
      <w:r>
        <w:rPr>
          <w:bCs/>
          <w:szCs w:val="26"/>
        </w:rPr>
        <w:t xml:space="preserve">ר׳ יוסף לייב בלוך אינו מקיים את הבטחתו מלפני בחירתו – ר׳ שמואל </w:t>
      </w:r>
      <w:proofErr w:type="spellStart"/>
      <w:r>
        <w:rPr>
          <w:bCs/>
          <w:szCs w:val="26"/>
        </w:rPr>
        <w:t>פונדילער</w:t>
      </w:r>
      <w:proofErr w:type="spellEnd"/>
      <w:r>
        <w:rPr>
          <w:bCs/>
          <w:szCs w:val="26"/>
        </w:rPr>
        <w:t xml:space="preserve"> אומר שיזמינו לדין בבית הדין של מעלה – גיסו של ר׳ יוסף לייב בלוך, ר׳ </w:t>
      </w:r>
      <w:proofErr w:type="spellStart"/>
      <w:r>
        <w:rPr>
          <w:bCs/>
          <w:szCs w:val="26"/>
        </w:rPr>
        <w:t>יצחק־אייזיק</w:t>
      </w:r>
      <w:proofErr w:type="spellEnd"/>
      <w:r>
        <w:rPr>
          <w:bCs/>
          <w:szCs w:val="26"/>
        </w:rPr>
        <w:t xml:space="preserve"> </w:t>
      </w:r>
      <w:proofErr w:type="spellStart"/>
      <w:r>
        <w:rPr>
          <w:bCs/>
          <w:szCs w:val="26"/>
        </w:rPr>
        <w:t>הירשוביץ</w:t>
      </w:r>
      <w:proofErr w:type="spellEnd"/>
      <w:r>
        <w:rPr>
          <w:bCs/>
          <w:szCs w:val="26"/>
        </w:rPr>
        <w:t>, שולל את אמינותם של היסטוריונים יהודים</w:t>
      </w:r>
    </w:p>
    <w:p w14:paraId="2D674E98" w14:textId="640BD461" w:rsidR="00AB3647" w:rsidRDefault="00000000" w:rsidP="007923E9">
      <w:pPr>
        <w:spacing w:after="120" w:line="276" w:lineRule="auto"/>
        <w:ind w:firstLine="283"/>
        <w:jc w:val="both"/>
      </w:pPr>
      <w:r>
        <w:rPr>
          <w:rtl/>
        </w:rPr>
        <w:t>בשיחה המוקלטת עם אברכי הכולל של ישיבת רבנו ישראל מאיר הכהן סיפר אבי שלאחר פטירת ר׳ לייזר</w:t>
      </w:r>
      <w:bookmarkStart w:id="5637" w:name="_fnr4282"/>
      <w:r>
        <w:rPr>
          <w:vertAlign w:val="superscript"/>
          <w:rtl/>
        </w:rPr>
        <w:footnoteReference w:id="4292" w:customMarkFollows="0"/>
      </w:r>
      <w:bookmarkEnd w:id="5637"/>
      <w:r>
        <w:rPr>
          <w:rtl/>
        </w:rPr>
        <w:t xml:space="preserve"> הייתה להנהלת ישיבת </w:t>
      </w:r>
      <w:proofErr w:type="spellStart"/>
      <w:r>
        <w:rPr>
          <w:rtl/>
        </w:rPr>
        <w:t>טלז</w:t>
      </w:r>
      <w:proofErr w:type="spellEnd"/>
      <w:r>
        <w:rPr>
          <w:rtl/>
        </w:rPr>
        <w:t xml:space="preserve"> השפעה מכרעת על בחירת רב חדש. שני חתניו של ר׳ לייזר המנוח התמודדו על כיסא הרבנות, ומבין השניים תמכו הישיבה ומשגיחה הפעיל בר׳ יוסף לייב בלוך</w:t>
      </w:r>
      <w:bookmarkStart w:id="5638" w:name="_fnr4283"/>
      <w:r>
        <w:rPr>
          <w:vertAlign w:val="superscript"/>
          <w:rtl/>
        </w:rPr>
        <w:footnoteReference w:id="4293" w:customMarkFollows="0"/>
      </w:r>
      <w:bookmarkEnd w:id="5638"/>
      <w:r>
        <w:rPr>
          <w:rtl/>
        </w:rPr>
        <w:t xml:space="preserve">, שכונה בעל מוסר, אף שלא היה מן הסוג המקובל – ולא בר׳ </w:t>
      </w:r>
      <w:proofErr w:type="spellStart"/>
      <w:r>
        <w:rPr>
          <w:rtl/>
        </w:rPr>
        <w:t>יצחק־אייזיק</w:t>
      </w:r>
      <w:proofErr w:type="spellEnd"/>
      <w:r>
        <w:rPr>
          <w:rtl/>
        </w:rPr>
        <w:t xml:space="preserve"> </w:t>
      </w:r>
      <w:proofErr w:type="spellStart"/>
      <w:r>
        <w:rPr>
          <w:rtl/>
        </w:rPr>
        <w:t>הירשוביץ</w:t>
      </w:r>
      <w:proofErr w:type="spellEnd"/>
      <w:r>
        <w:rPr>
          <w:rtl/>
        </w:rPr>
        <w:t xml:space="preserve">, שהיה למדן גדול יותר (אך נכשל כר״מ, כמבואר בהערה </w:t>
      </w:r>
      <w:r>
        <w:rPr>
          <w:rtl/>
        </w:rPr>
        <w:fldChar w:fldCharType="begin" w:dirty="true"/>
      </w:r>
      <w:r>
        <w:rPr>
          <w:rtl/>
        </w:rPr>
        <w:instrText xml:space="preserve"> REF b4_note110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110</w:t>
      </w:r>
      <w:r>
        <w:rPr>
          <w:rtl/>
        </w:rPr>
        <w:fldChar w:fldCharType="end"/>
      </w:r>
      <w:r>
        <w:rPr>
          <w:rtl/>
        </w:rPr>
        <w:t xml:space="preserve"> לעיל).</w:t>
      </w:r>
    </w:p>
    <w:p w14:paraId="6F3ED915" w14:textId="77777777" w:rsidR="00AB3647" w:rsidRDefault="00000000" w:rsidP="007923E9">
      <w:pPr>
        <w:spacing w:after="120" w:line="276" w:lineRule="auto"/>
        <w:ind w:firstLine="283"/>
        <w:jc w:val="both"/>
      </w:pPr>
      <w:r>
        <w:rPr>
          <w:rtl/>
        </w:rPr>
        <w:t xml:space="preserve">בין הישיבה </w:t>
      </w:r>
      <w:proofErr w:type="spellStart"/>
      <w:r>
        <w:rPr>
          <w:rtl/>
        </w:rPr>
        <w:t>לר</w:t>
      </w:r>
      <w:proofErr w:type="spellEnd"/>
      <w:r>
        <w:rPr>
          <w:rtl/>
        </w:rPr>
        <w:t xml:space="preserve">׳ יוסף לייב בלוך הייתה הבנה שאם ייבחר, לא יביא עמו </w:t>
      </w:r>
      <w:proofErr w:type="spellStart"/>
      <w:r>
        <w:rPr>
          <w:rtl/>
        </w:rPr>
        <w:t>לטלז</w:t>
      </w:r>
      <w:proofErr w:type="spellEnd"/>
      <w:r>
        <w:rPr>
          <w:rtl/>
        </w:rPr>
        <w:t xml:space="preserve"> את תלמידיו משדובה</w:t>
      </w:r>
      <w:bookmarkStart w:id="5639" w:name="_fnr4284"/>
      <w:r>
        <w:rPr>
          <w:vertAlign w:val="superscript"/>
          <w:rtl/>
        </w:rPr>
        <w:footnoteReference w:id="4294" w:customMarkFollows="0"/>
      </w:r>
      <w:bookmarkEnd w:id="5639"/>
      <w:r>
        <w:rPr>
          <w:rtl/>
        </w:rPr>
        <w:t xml:space="preserve">, ור׳ שמואל יישאר משגיח. מטרת ההסכם הייתה שישיבת </w:t>
      </w:r>
      <w:proofErr w:type="spellStart"/>
      <w:r>
        <w:rPr>
          <w:rtl/>
        </w:rPr>
        <w:t>טלז</w:t>
      </w:r>
      <w:proofErr w:type="spellEnd"/>
      <w:r>
        <w:rPr>
          <w:rtl/>
        </w:rPr>
        <w:t xml:space="preserve"> תישאר מאותו סוג </w:t>
      </w:r>
      <w:r>
        <w:rPr>
          <w:rtl/>
        </w:rPr>
        <w:lastRenderedPageBreak/>
        <w:t>שהייתה עד אז. אבל ר׳ יוסף לייב לא עמד בציפיות אלה: הוא הביא מיד את תלמידיו משדובה</w:t>
      </w:r>
      <w:bookmarkStart w:id="5640" w:name="_fnr4285"/>
      <w:r>
        <w:rPr>
          <w:vertAlign w:val="superscript"/>
          <w:rtl/>
        </w:rPr>
        <w:footnoteReference w:id="4295" w:customMarkFollows="0"/>
      </w:r>
      <w:bookmarkEnd w:id="5640"/>
      <w:r>
        <w:rPr>
          <w:rtl/>
        </w:rPr>
        <w:t xml:space="preserve">, וכעבור שנה אילץ את ר׳ שמואל </w:t>
      </w:r>
      <w:proofErr w:type="spellStart"/>
      <w:r>
        <w:rPr>
          <w:rtl/>
        </w:rPr>
        <w:t>פונדילער</w:t>
      </w:r>
      <w:proofErr w:type="spellEnd"/>
      <w:r>
        <w:rPr>
          <w:rtl/>
        </w:rPr>
        <w:t xml:space="preserve"> לעזוב את הישיבה.</w:t>
      </w:r>
    </w:p>
    <w:p w14:paraId="591AFFDA" w14:textId="77777777" w:rsidR="00AB3647" w:rsidRDefault="00000000" w:rsidP="007923E9">
      <w:pPr>
        <w:spacing w:after="120" w:line="276" w:lineRule="auto"/>
        <w:ind w:firstLine="283"/>
        <w:jc w:val="both"/>
      </w:pPr>
      <w:r>
        <w:rPr>
          <w:rtl/>
        </w:rPr>
        <w:t xml:space="preserve">כשנשאל ר׳ יוסף לייב בלוך אם אין זו כפיות טובה לפטר את ר׳ שמואל </w:t>
      </w:r>
      <w:proofErr w:type="spellStart"/>
      <w:r>
        <w:rPr>
          <w:rtl/>
        </w:rPr>
        <w:t>פונדילער</w:t>
      </w:r>
      <w:proofErr w:type="spellEnd"/>
      <w:r>
        <w:rPr>
          <w:rtl/>
        </w:rPr>
        <w:t xml:space="preserve">, אחרי שזה סייע לבחירתו לרב </w:t>
      </w:r>
      <w:proofErr w:type="spellStart"/>
      <w:r>
        <w:rPr>
          <w:rtl/>
        </w:rPr>
        <w:t>טלז</w:t>
      </w:r>
      <w:proofErr w:type="spellEnd"/>
      <w:r>
        <w:rPr>
          <w:rtl/>
        </w:rPr>
        <w:t>, השיב בהיגיון: “משום הכרת טובה אין אדם חייב למסור את הטובה”</w:t>
      </w:r>
      <w:bookmarkStart w:id="5641" w:name="_fnr4286"/>
      <w:r>
        <w:rPr>
          <w:vertAlign w:val="superscript"/>
          <w:rtl/>
        </w:rPr>
        <w:footnoteReference w:id="4296" w:customMarkFollows="0"/>
      </w:r>
      <w:bookmarkEnd w:id="5641"/>
      <w:r>
        <w:rPr>
          <w:rtl/>
        </w:rPr>
        <w:t xml:space="preserve">. כוונתו הייתה שהמצב היה כזה שאילו הניח </w:t>
      </w:r>
      <w:proofErr w:type="spellStart"/>
      <w:r>
        <w:rPr>
          <w:rtl/>
        </w:rPr>
        <w:t>לר</w:t>
      </w:r>
      <w:proofErr w:type="spellEnd"/>
      <w:r>
        <w:rPr>
          <w:rtl/>
        </w:rPr>
        <w:t>׳ שמואל (בעל ההדר) להישאר, לא יכול היה הוא עצמו להישאר בישיבה, וממילא גם לא כרב העיר.</w:t>
      </w:r>
    </w:p>
    <w:p w14:paraId="7BD62688" w14:textId="77777777" w:rsidR="00AB3647" w:rsidRDefault="00000000" w:rsidP="007923E9">
      <w:pPr>
        <w:spacing w:after="120" w:line="276" w:lineRule="auto"/>
        <w:ind w:firstLine="283"/>
        <w:jc w:val="both"/>
      </w:pPr>
      <w:r>
        <w:rPr>
          <w:rtl/>
        </w:rPr>
        <w:t xml:space="preserve">ר׳ יצחק </w:t>
      </w:r>
      <w:proofErr w:type="spellStart"/>
      <w:r>
        <w:rPr>
          <w:rtl/>
        </w:rPr>
        <w:t>שורין</w:t>
      </w:r>
      <w:proofErr w:type="spellEnd"/>
      <w:r>
        <w:rPr>
          <w:rtl/>
        </w:rPr>
        <w:t xml:space="preserve"> סיפר</w:t>
      </w:r>
      <w:bookmarkStart w:id="5642" w:name="_fnr4287"/>
      <w:r>
        <w:rPr>
          <w:vertAlign w:val="superscript"/>
          <w:rtl/>
        </w:rPr>
        <w:footnoteReference w:id="4297" w:customMarkFollows="0"/>
      </w:r>
      <w:bookmarkEnd w:id="5642"/>
      <w:r>
        <w:rPr>
          <w:rtl/>
        </w:rPr>
        <w:t xml:space="preserve"> שסבו ר׳ משה </w:t>
      </w:r>
      <w:proofErr w:type="spellStart"/>
      <w:r>
        <w:rPr>
          <w:rtl/>
        </w:rPr>
        <w:t>שורין</w:t>
      </w:r>
      <w:proofErr w:type="spellEnd"/>
      <w:r>
        <w:rPr>
          <w:rtl/>
        </w:rPr>
        <w:t xml:space="preserve"> שאל את ר׳ שמואל אם יש </w:t>
      </w:r>
      <w:proofErr w:type="spellStart"/>
      <w:r>
        <w:rPr>
          <w:rtl/>
        </w:rPr>
        <w:t>בלבו</w:t>
      </w:r>
      <w:proofErr w:type="spellEnd"/>
      <w:r>
        <w:rPr>
          <w:rtl/>
        </w:rPr>
        <w:t xml:space="preserve"> טינה על ר׳ יוסף לייב. ר׳ שמואל השיב: “בעולם האמת אזמין אותו לדין תורה”. ר׳ משה </w:t>
      </w:r>
      <w:proofErr w:type="spellStart"/>
      <w:r>
        <w:rPr>
          <w:rtl/>
        </w:rPr>
        <w:t>שורין</w:t>
      </w:r>
      <w:proofErr w:type="spellEnd"/>
      <w:r>
        <w:rPr>
          <w:rtl/>
        </w:rPr>
        <w:t xml:space="preserve"> היה ראש ישיבה </w:t>
      </w:r>
      <w:proofErr w:type="spellStart"/>
      <w:r>
        <w:rPr>
          <w:rtl/>
        </w:rPr>
        <w:t>בריטובה</w:t>
      </w:r>
      <w:proofErr w:type="spellEnd"/>
      <w:r>
        <w:rPr>
          <w:rtl/>
        </w:rPr>
        <w:t xml:space="preserve">, העיירה שבה כיהן ר׳ שמואל </w:t>
      </w:r>
      <w:proofErr w:type="spellStart"/>
      <w:r>
        <w:rPr>
          <w:rtl/>
        </w:rPr>
        <w:t>פונדילער</w:t>
      </w:r>
      <w:proofErr w:type="spellEnd"/>
      <w:r>
        <w:rPr>
          <w:rtl/>
        </w:rPr>
        <w:t xml:space="preserve"> כרב לאחר תרפ״ב, ושבה נהרג על קידוש השם לאחר הפלישה הגרמנית, </w:t>
      </w:r>
      <w:proofErr w:type="spellStart"/>
      <w:r>
        <w:rPr>
          <w:rtl/>
        </w:rPr>
        <w:t>בתש״א</w:t>
      </w:r>
      <w:proofErr w:type="spellEnd"/>
      <w:r>
        <w:rPr>
          <w:rtl/>
        </w:rPr>
        <w:t xml:space="preserve">. רבנו סיכם באותה שיחה: “לאחר פיטורי ר׳ שמואל, </w:t>
      </w:r>
      <w:proofErr w:type="spellStart"/>
      <w:r>
        <w:rPr>
          <w:rtl/>
        </w:rPr>
        <w:t>טלז</w:t>
      </w:r>
      <w:proofErr w:type="spellEnd"/>
      <w:r>
        <w:rPr>
          <w:rtl/>
        </w:rPr>
        <w:t xml:space="preserve"> לא הייתה עוד ישיבת מוסר”</w:t>
      </w:r>
      <w:bookmarkStart w:id="5643" w:name="_fnr4288"/>
      <w:r>
        <w:rPr>
          <w:vertAlign w:val="superscript"/>
          <w:rtl/>
        </w:rPr>
        <w:footnoteReference w:id="4298" w:customMarkFollows="0"/>
      </w:r>
      <w:bookmarkEnd w:id="5643"/>
      <w:r>
        <w:rPr>
          <w:rtl/>
        </w:rPr>
        <w:t>.</w:t>
      </w:r>
    </w:p>
    <w:p w14:paraId="61913587" w14:textId="77777777" w:rsidR="00AB3647" w:rsidRDefault="00000000" w:rsidP="007923E9">
      <w:pPr>
        <w:spacing w:after="120" w:line="276" w:lineRule="auto"/>
        <w:ind w:firstLine="283"/>
        <w:jc w:val="both"/>
      </w:pPr>
      <w:r>
        <w:rPr>
          <w:rtl/>
        </w:rPr>
        <w:t xml:space="preserve">ר׳ </w:t>
      </w:r>
      <w:proofErr w:type="spellStart"/>
      <w:r>
        <w:rPr>
          <w:rtl/>
        </w:rPr>
        <w:t>יצחק־אייזיק</w:t>
      </w:r>
      <w:proofErr w:type="spellEnd"/>
      <w:r>
        <w:rPr>
          <w:rtl/>
        </w:rPr>
        <w:t xml:space="preserve"> </w:t>
      </w:r>
      <w:proofErr w:type="spellStart"/>
      <w:r>
        <w:rPr>
          <w:rtl/>
        </w:rPr>
        <w:t>הירשוביץ</w:t>
      </w:r>
      <w:proofErr w:type="spellEnd"/>
      <w:r>
        <w:rPr>
          <w:rtl/>
        </w:rPr>
        <w:t xml:space="preserve"> נולד </w:t>
      </w:r>
      <w:proofErr w:type="spellStart"/>
      <w:r>
        <w:rPr>
          <w:rtl/>
        </w:rPr>
        <w:t>בתרל״א</w:t>
      </w:r>
      <w:proofErr w:type="spellEnd"/>
      <w:r>
        <w:rPr>
          <w:rtl/>
        </w:rPr>
        <w:t xml:space="preserve"> בעיר </w:t>
      </w:r>
      <w:proofErr w:type="spellStart"/>
      <w:r>
        <w:rPr>
          <w:rtl/>
        </w:rPr>
        <w:t>ליבאו</w:t>
      </w:r>
      <w:proofErr w:type="spellEnd"/>
      <w:r>
        <w:rPr>
          <w:rtl/>
        </w:rPr>
        <w:t xml:space="preserve"> – בצוואתו המוסרית</w:t>
      </w:r>
      <w:bookmarkStart w:id="5644" w:name="_fnr4289"/>
      <w:r>
        <w:rPr>
          <w:vertAlign w:val="superscript"/>
          <w:rtl/>
        </w:rPr>
        <w:footnoteReference w:id="4299" w:customMarkFollows="0"/>
      </w:r>
      <w:bookmarkEnd w:id="5644"/>
      <w:r>
        <w:rPr>
          <w:rtl/>
        </w:rPr>
        <w:t xml:space="preserve"> כינה את עיר מולדתו “עיר פרוצה, אין תורה” – וכיהן כרב </w:t>
      </w:r>
      <w:proofErr w:type="spellStart"/>
      <w:r>
        <w:rPr>
          <w:rtl/>
        </w:rPr>
        <w:t>בטילזן</w:t>
      </w:r>
      <w:proofErr w:type="spellEnd"/>
      <w:r>
        <w:rPr>
          <w:rtl/>
        </w:rPr>
        <w:t xml:space="preserve">, </w:t>
      </w:r>
      <w:proofErr w:type="spellStart"/>
      <w:r>
        <w:rPr>
          <w:rtl/>
        </w:rPr>
        <w:t>באיהומן</w:t>
      </w:r>
      <w:proofErr w:type="spellEnd"/>
      <w:r>
        <w:rPr>
          <w:rtl/>
        </w:rPr>
        <w:t xml:space="preserve">, ולאחר תרפ״ז </w:t>
      </w:r>
      <w:proofErr w:type="spellStart"/>
      <w:r>
        <w:rPr>
          <w:rtl/>
        </w:rPr>
        <w:t>בווירשבלובה</w:t>
      </w:r>
      <w:proofErr w:type="spellEnd"/>
      <w:r>
        <w:rPr>
          <w:rtl/>
        </w:rPr>
        <w:t xml:space="preserve">. </w:t>
      </w:r>
      <w:proofErr w:type="spellStart"/>
      <w:r>
        <w:rPr>
          <w:rtl/>
        </w:rPr>
        <w:t>בתרפ״ח</w:t>
      </w:r>
      <w:proofErr w:type="spellEnd"/>
      <w:r>
        <w:rPr>
          <w:rtl/>
        </w:rPr>
        <w:t xml:space="preserve"> פרסם את החלק הראשון של ספר היסטוריה, “הליכות עם עולם”, שלדבריו “יוכיח שהיסטוריונים יהודים זייפו את ההיסטוריה היהודית”. את הצוואה הנזכרת, שיש בה סקירה רבת מידע על אירועי יהדות ליטא בימי חייו, כתב בה׳ בכסלו תש״א, יום לאחר שמלאו לו שבעים, ושמונה חודשים לפני שנהרג על קידוש השם בשואה.</w:t>
      </w:r>
    </w:p>
    <w:bookmarkStart w:id="5645" w:name="b4_excO"/>
    <w:bookmarkStart w:id="5646" w:name="b4_annexO"/>
    <w:p w14:paraId="1ABF5B48" w14:textId="77777777" w:rsidR="00AB3647" w:rsidRDefault="00000000" w:rsidP="007923E9">
      <w:pPr>
        <w:pStyle w:val="3"/>
        <w:pageBreakBefore w:val="0"/>
        <w:spacing w:line="276" w:lineRule="auto"/>
      </w:pPr>
      <w:r>
        <w:lastRenderedPageBreak/>
        <w:fldChar w:fldCharType="begin" w:dirty="true"/>
      </w:r>
      <w:r>
        <w:rPr>
          <w:rtl w:val="0"/>
        </w:rPr>
        <w:instrText>HYPERLINK \l "b4_note124</w:instrText>
      </w:r>
      <w:r>
        <w:instrText>"</w:instrText>
      </w:r>
      <w:r>
        <w:fldChar w:fldCharType="separate"/>
      </w:r>
      <w:r>
        <w:t>נספח טו</w:t>
      </w:r>
      <w:r>
        <w:fldChar w:fldCharType="end"/>
      </w:r>
      <w:bookmarkEnd w:id="5645"/>
      <w:bookmarkEnd w:id="5646"/>
    </w:p>
    <w:p w14:paraId="3A1D8776" w14:textId="77777777" w:rsidR="00AB3647" w:rsidRDefault="00000000" w:rsidP="007923E9">
      <w:pPr>
        <w:pStyle w:val="af"/>
        <w:spacing w:line="276" w:lineRule="auto"/>
      </w:pPr>
      <w:r>
        <w:t xml:space="preserve">על משימתו הקשה של ר׳ שמואל </w:t>
      </w:r>
      <w:proofErr w:type="spellStart"/>
      <w:r>
        <w:t>פונדילער</w:t>
      </w:r>
      <w:proofErr w:type="spellEnd"/>
      <w:r>
        <w:t xml:space="preserve"> להכניס מוסר </w:t>
      </w:r>
      <w:proofErr w:type="spellStart"/>
      <w:r>
        <w:t>לטלז</w:t>
      </w:r>
      <w:proofErr w:type="spellEnd"/>
      <w:r>
        <w:t xml:space="preserve"> המרדנית</w:t>
      </w:r>
    </w:p>
    <w:p w14:paraId="19E29D73" w14:textId="77777777" w:rsidR="00AB3647" w:rsidRDefault="00000000" w:rsidP="007923E9">
      <w:pPr>
        <w:pStyle w:val="5"/>
        <w:spacing w:line="276" w:lineRule="auto"/>
      </w:pPr>
      <w:r>
        <w:rPr>
          <w:bCs/>
          <w:szCs w:val="26"/>
        </w:rPr>
        <w:t xml:space="preserve">תלמידי </w:t>
      </w:r>
      <w:proofErr w:type="spellStart"/>
      <w:r>
        <w:rPr>
          <w:bCs/>
          <w:szCs w:val="26"/>
        </w:rPr>
        <w:t>טלז</w:t>
      </w:r>
      <w:proofErr w:type="spellEnd"/>
      <w:r>
        <w:rPr>
          <w:bCs/>
          <w:szCs w:val="26"/>
        </w:rPr>
        <w:t xml:space="preserve"> תוקפים את ר׳ שמואל </w:t>
      </w:r>
      <w:proofErr w:type="spellStart"/>
      <w:r>
        <w:rPr>
          <w:bCs/>
          <w:szCs w:val="26"/>
        </w:rPr>
        <w:t>פונדילער</w:t>
      </w:r>
      <w:proofErr w:type="spellEnd"/>
      <w:r>
        <w:rPr>
          <w:bCs/>
          <w:szCs w:val="26"/>
        </w:rPr>
        <w:t xml:space="preserve"> ואת הבאים </w:t>
      </w:r>
      <w:proofErr w:type="spellStart"/>
      <w:r>
        <w:rPr>
          <w:bCs/>
          <w:szCs w:val="26"/>
        </w:rPr>
        <w:t>מסלבודקה</w:t>
      </w:r>
      <w:proofErr w:type="spellEnd"/>
      <w:r>
        <w:rPr>
          <w:bCs/>
          <w:szCs w:val="26"/>
        </w:rPr>
        <w:t xml:space="preserve"> – תלמידי </w:t>
      </w:r>
      <w:proofErr w:type="spellStart"/>
      <w:r>
        <w:rPr>
          <w:bCs/>
          <w:szCs w:val="26"/>
        </w:rPr>
        <w:t>טלז</w:t>
      </w:r>
      <w:proofErr w:type="spellEnd"/>
      <w:r>
        <w:rPr>
          <w:bCs/>
          <w:szCs w:val="26"/>
        </w:rPr>
        <w:t xml:space="preserve"> מפרים את התחייבותם – ר׳ לייזר גורדון כועס על ועד התלמידים של </w:t>
      </w:r>
      <w:proofErr w:type="spellStart"/>
      <w:r>
        <w:rPr>
          <w:bCs/>
          <w:szCs w:val="26"/>
        </w:rPr>
        <w:t>טלז</w:t>
      </w:r>
      <w:proofErr w:type="spellEnd"/>
      <w:r>
        <w:rPr>
          <w:bCs/>
          <w:szCs w:val="26"/>
        </w:rPr>
        <w:t xml:space="preserve"> – התמוטטות בריאותו מכניעה את הוועד, ובעלי המוסר מתבססים</w:t>
      </w:r>
    </w:p>
    <w:p w14:paraId="25BF079E" w14:textId="77777777" w:rsidR="00AB3647" w:rsidRDefault="00000000" w:rsidP="007923E9">
      <w:pPr>
        <w:spacing w:after="120" w:line="276" w:lineRule="auto"/>
        <w:ind w:firstLine="283"/>
        <w:jc w:val="both"/>
      </w:pPr>
      <w:r>
        <w:rPr>
          <w:rtl/>
        </w:rPr>
        <w:t xml:space="preserve">השווה כרך 2 לפרטים נוספים על ר׳ שמואל </w:t>
      </w:r>
      <w:proofErr w:type="spellStart"/>
      <w:r>
        <w:rPr>
          <w:rtl/>
        </w:rPr>
        <w:t>פונדילער</w:t>
      </w:r>
      <w:proofErr w:type="spellEnd"/>
      <w:r>
        <w:rPr>
          <w:rtl/>
        </w:rPr>
        <w:t xml:space="preserve"> ועל קשריו עם רבנו. השווה גם כץ, “תנועת המוסר”, כרך ה</w:t>
      </w:r>
      <w:bookmarkStart w:id="5647" w:name="_fnr4290"/>
      <w:r>
        <w:rPr>
          <w:vertAlign w:val="superscript"/>
          <w:rtl/>
        </w:rPr>
        <w:footnoteReference w:id="4300" w:customMarkFollows="0"/>
      </w:r>
      <w:bookmarkEnd w:id="5647"/>
      <w:r>
        <w:rPr>
          <w:rtl/>
        </w:rPr>
        <w:t xml:space="preserve">, על כך שבתחילה לא הייתה משימתו של ר׳ שמואל </w:t>
      </w:r>
      <w:proofErr w:type="spellStart"/>
      <w:r>
        <w:rPr>
          <w:rtl/>
        </w:rPr>
        <w:t>פונדילער</w:t>
      </w:r>
      <w:proofErr w:type="spellEnd"/>
      <w:r>
        <w:rPr>
          <w:rtl/>
        </w:rPr>
        <w:t xml:space="preserve"> קלה. התלמידים שלא באו </w:t>
      </w:r>
      <w:proofErr w:type="spellStart"/>
      <w:r>
        <w:rPr>
          <w:rtl/>
        </w:rPr>
        <w:t>מסלבודקה</w:t>
      </w:r>
      <w:proofErr w:type="spellEnd"/>
      <w:r>
        <w:rPr>
          <w:rtl/>
        </w:rPr>
        <w:t xml:space="preserve">, שהורשו לחזור </w:t>
      </w:r>
      <w:proofErr w:type="spellStart"/>
      <w:r>
        <w:rPr>
          <w:rtl/>
        </w:rPr>
        <w:t>לטלז</w:t>
      </w:r>
      <w:proofErr w:type="spellEnd"/>
      <w:r>
        <w:rPr>
          <w:rtl/>
        </w:rPr>
        <w:t xml:space="preserve"> המחודשת, חידשו את מלחמתם המסורתית במשגיח החדש. פעם השליכו אבן דרך חלונו, עטופה בנייר שעליו נכתב הפסוק “מה לך פה ומי לך פה כי חצבת לך פה קבר”</w:t>
      </w:r>
      <w:bookmarkStart w:id="5648" w:name="_fnr4291"/>
      <w:r>
        <w:rPr>
          <w:vertAlign w:val="superscript"/>
          <w:rtl/>
        </w:rPr>
        <w:footnoteReference w:id="4301" w:customMarkFollows="0"/>
      </w:r>
      <w:bookmarkEnd w:id="5648"/>
      <w:r>
        <w:rPr>
          <w:rtl/>
        </w:rPr>
        <w:t>.</w:t>
      </w:r>
    </w:p>
    <w:p w14:paraId="2C93ECC6" w14:textId="77777777" w:rsidR="00AB3647" w:rsidRDefault="00000000" w:rsidP="007923E9">
      <w:pPr>
        <w:spacing w:after="120" w:line="276" w:lineRule="auto"/>
        <w:ind w:firstLine="283"/>
        <w:jc w:val="both"/>
      </w:pPr>
      <w:proofErr w:type="spellStart"/>
      <w:r>
        <w:rPr>
          <w:rtl/>
        </w:rPr>
        <w:t>שולמן</w:t>
      </w:r>
      <w:bookmarkStart w:id="5649" w:name="_fnr4292"/>
      <w:proofErr w:type="spellEnd"/>
      <w:r>
        <w:rPr>
          <w:vertAlign w:val="superscript"/>
          <w:rtl/>
        </w:rPr>
        <w:footnoteReference w:id="4302" w:customMarkFollows="0"/>
      </w:r>
      <w:bookmarkEnd w:id="5649"/>
      <w:r>
        <w:rPr>
          <w:rtl/>
        </w:rPr>
        <w:t xml:space="preserve"> מפרט את פעולות הכוחות המתנגדים למוסר ואת הכנעתם הסופית. אפילו ארבעה חודשים אחרי בואם </w:t>
      </w:r>
      <w:proofErr w:type="spellStart"/>
      <w:r>
        <w:rPr>
          <w:rtl/>
        </w:rPr>
        <w:t>לטלז</w:t>
      </w:r>
      <w:proofErr w:type="spellEnd"/>
      <w:r>
        <w:rPr>
          <w:rtl/>
        </w:rPr>
        <w:t xml:space="preserve"> ארבו מתנגדיהם לבאים </w:t>
      </w:r>
      <w:proofErr w:type="spellStart"/>
      <w:r>
        <w:rPr>
          <w:rtl/>
        </w:rPr>
        <w:t>מסלבודקה</w:t>
      </w:r>
      <w:proofErr w:type="spellEnd"/>
      <w:r>
        <w:rPr>
          <w:rtl/>
        </w:rPr>
        <w:t xml:space="preserve"> (יחד עם הפורשים הנזכרים בהערה 121 וחבריהם), ודלתות הישיבה וחלונותיה נשברו.</w:t>
      </w:r>
    </w:p>
    <w:p w14:paraId="41EF407F" w14:textId="77777777" w:rsidR="00AB3647" w:rsidRDefault="00000000" w:rsidP="007923E9">
      <w:pPr>
        <w:spacing w:after="120" w:line="276" w:lineRule="auto"/>
        <w:ind w:firstLine="283"/>
        <w:jc w:val="both"/>
      </w:pPr>
      <w:r>
        <w:rPr>
          <w:rtl/>
        </w:rPr>
        <w:t>כץ, “תנועת המוסר”, כרך ה</w:t>
      </w:r>
      <w:bookmarkStart w:id="5650" w:name="_fnr4293"/>
      <w:r>
        <w:rPr>
          <w:vertAlign w:val="superscript"/>
          <w:rtl/>
        </w:rPr>
        <w:footnoteReference w:id="4303" w:customMarkFollows="0"/>
      </w:r>
      <w:bookmarkEnd w:id="5650"/>
      <w:r>
        <w:rPr>
          <w:rtl/>
        </w:rPr>
        <w:t xml:space="preserve">, מספר </w:t>
      </w:r>
      <w:proofErr w:type="spellStart"/>
      <w:r>
        <w:rPr>
          <w:rtl/>
        </w:rPr>
        <w:t>ש“כל</w:t>
      </w:r>
      <w:proofErr w:type="spellEnd"/>
      <w:r>
        <w:rPr>
          <w:rtl/>
        </w:rPr>
        <w:t xml:space="preserve"> תלמידי [</w:t>
      </w:r>
      <w:proofErr w:type="spellStart"/>
      <w:r>
        <w:rPr>
          <w:rtl/>
        </w:rPr>
        <w:t>טלז</w:t>
      </w:r>
      <w:proofErr w:type="spellEnd"/>
      <w:r>
        <w:rPr>
          <w:rtl/>
        </w:rPr>
        <w:t xml:space="preserve"> לשעבר] [שהורשו להישאר בישיבה שנפתחה מחדש זמן קצר קודם לכן] היו צריכים להתקבל כאילו היו חדשים, וכל אחד התחייב </w:t>
      </w:r>
      <w:r>
        <w:rPr>
          <w:b/>
          <w:bCs/>
          <w:rtl/>
        </w:rPr>
        <w:t>לחתום [על הצהרה]</w:t>
      </w:r>
      <w:r>
        <w:rPr>
          <w:rtl/>
        </w:rPr>
        <w:t xml:space="preserve"> שהוא מקבל עליו את כל תקנות הישיבה ואת תוכנית הלימודים המלאה שלה</w:t>
      </w:r>
      <w:bookmarkStart w:id="5651" w:name="_fnr4294"/>
      <w:r>
        <w:rPr>
          <w:vertAlign w:val="superscript"/>
          <w:rtl/>
        </w:rPr>
        <w:footnoteReference w:id="4304" w:customMarkFollows="0"/>
      </w:r>
      <w:bookmarkEnd w:id="5651"/>
      <w:r>
        <w:rPr>
          <w:rtl/>
        </w:rPr>
        <w:t xml:space="preserve">”. לאור זאת, לא היו אמורות להיות </w:t>
      </w:r>
      <w:proofErr w:type="spellStart"/>
      <w:r>
        <w:rPr>
          <w:rtl/>
        </w:rPr>
        <w:t>לר</w:t>
      </w:r>
      <w:proofErr w:type="spellEnd"/>
      <w:r>
        <w:rPr>
          <w:rtl/>
        </w:rPr>
        <w:t xml:space="preserve">׳ שמואל בעיות כלשהן עם ציבור התלמידים. העובדה שנתקל בקשיים מעידה עד כמה הייתה רוח המרד מושרשת בקרב תלמידי </w:t>
      </w:r>
      <w:proofErr w:type="spellStart"/>
      <w:r>
        <w:rPr>
          <w:rtl/>
        </w:rPr>
        <w:t>טלז</w:t>
      </w:r>
      <w:proofErr w:type="spellEnd"/>
      <w:r>
        <w:rPr>
          <w:rtl/>
        </w:rPr>
        <w:t>: בלהט התנגדותם למוסר לא נרתעו מהפרת התחייבויותיהם הכתובות.</w:t>
      </w:r>
    </w:p>
    <w:p w14:paraId="128A1671" w14:textId="77777777" w:rsidR="00AB3647" w:rsidRDefault="00000000" w:rsidP="007923E9">
      <w:pPr>
        <w:spacing w:after="120" w:line="276" w:lineRule="auto"/>
        <w:ind w:firstLine="283"/>
        <w:jc w:val="both"/>
      </w:pPr>
      <w:proofErr w:type="spellStart"/>
      <w:r>
        <w:rPr>
          <w:rtl/>
        </w:rPr>
        <w:t>שולמן</w:t>
      </w:r>
      <w:bookmarkStart w:id="5652" w:name="_fnr4295"/>
      <w:proofErr w:type="spellEnd"/>
      <w:r>
        <w:rPr>
          <w:vertAlign w:val="superscript"/>
          <w:rtl/>
        </w:rPr>
        <w:footnoteReference w:id="4305" w:customMarkFollows="0"/>
      </w:r>
      <w:bookmarkEnd w:id="5652"/>
      <w:r>
        <w:rPr>
          <w:rtl/>
        </w:rPr>
        <w:t xml:space="preserve"> שם בפי ר׳ לייזר גורדון דברים שברור שאינם שלו אלא של </w:t>
      </w:r>
      <w:proofErr w:type="spellStart"/>
      <w:r>
        <w:rPr>
          <w:rtl/>
        </w:rPr>
        <w:t>שולמן</w:t>
      </w:r>
      <w:proofErr w:type="spellEnd"/>
      <w:r>
        <w:rPr>
          <w:rtl/>
        </w:rPr>
        <w:t xml:space="preserve"> עצמו – ולו מפני שאינם הולמים את המעשים התקיפים שעשה ר׳ לייזר גורדון בכל פעם שנדרשו. נאמר שם: “ר׳ לייזר הכריז בגלוי שבשל אמונו ותמימותו היה לקורבן של הדיפלומטים </w:t>
      </w:r>
      <w:proofErr w:type="spellStart"/>
      <w:r>
        <w:rPr>
          <w:rtl/>
        </w:rPr>
        <w:t>מסלבודקה</w:t>
      </w:r>
      <w:proofErr w:type="spellEnd"/>
      <w:r>
        <w:rPr>
          <w:rtl/>
        </w:rPr>
        <w:t xml:space="preserve">, שניצלו את שמו למטרותיהם; אך </w:t>
      </w:r>
      <w:proofErr w:type="spellStart"/>
      <w:r>
        <w:rPr>
          <w:rtl/>
        </w:rPr>
        <w:t>ה‘מוסרניקים</w:t>
      </w:r>
      <w:proofErr w:type="spellEnd"/>
      <w:r>
        <w:rPr>
          <w:rtl/>
        </w:rPr>
        <w:t xml:space="preserve">’ חייבים להישאר. הוא הזמין אותם ולא יחזור בו מדיבורו. הוא לא רצה לסלק אותנו ולהעביר את השלטון </w:t>
      </w:r>
      <w:proofErr w:type="spellStart"/>
      <w:r>
        <w:rPr>
          <w:rtl/>
        </w:rPr>
        <w:t>ל‘מוסרניקים</w:t>
      </w:r>
      <w:proofErr w:type="spellEnd"/>
      <w:r>
        <w:rPr>
          <w:rtl/>
        </w:rPr>
        <w:t xml:space="preserve">’ – שאז יחדל להיות בעל הבית של הישיבה; שכן אף </w:t>
      </w:r>
      <w:proofErr w:type="spellStart"/>
      <w:r>
        <w:rPr>
          <w:rtl/>
        </w:rPr>
        <w:t>שה‘מוסרניקים</w:t>
      </w:r>
      <w:proofErr w:type="spellEnd"/>
      <w:r>
        <w:rPr>
          <w:rtl/>
        </w:rPr>
        <w:t xml:space="preserve">’ קוראים לו גאון גם מאחורי גבו, הם מתעלמים ממנו לגמרי בניהול הישיבה... והנה הציע ר׳ לייזר פשרה: </w:t>
      </w:r>
      <w:proofErr w:type="spellStart"/>
      <w:r>
        <w:rPr>
          <w:rtl/>
        </w:rPr>
        <w:t>ה‘מוסרניקים</w:t>
      </w:r>
      <w:proofErr w:type="spellEnd"/>
      <w:r>
        <w:rPr>
          <w:rtl/>
        </w:rPr>
        <w:t xml:space="preserve">’ יישארו יחד עם ר׳ שמואל ויהיו לישיבה נפרדת בתוך הישיבה, ואילו כולנו נישאר בישיבת </w:t>
      </w:r>
      <w:proofErr w:type="spellStart"/>
      <w:r>
        <w:rPr>
          <w:rtl/>
        </w:rPr>
        <w:t>טלז</w:t>
      </w:r>
      <w:proofErr w:type="spellEnd"/>
      <w:r>
        <w:rPr>
          <w:rtl/>
        </w:rPr>
        <w:t xml:space="preserve"> הישנה, שלא יונהגו בה שינויים”.</w:t>
      </w:r>
    </w:p>
    <w:p w14:paraId="568B9968" w14:textId="77777777" w:rsidR="00AB3647" w:rsidRDefault="00000000" w:rsidP="007923E9">
      <w:pPr>
        <w:spacing w:after="120" w:line="276" w:lineRule="auto"/>
        <w:ind w:firstLine="283"/>
        <w:jc w:val="both"/>
      </w:pPr>
      <w:proofErr w:type="spellStart"/>
      <w:r>
        <w:rPr>
          <w:rtl/>
        </w:rPr>
        <w:lastRenderedPageBreak/>
        <w:t>שולמן</w:t>
      </w:r>
      <w:proofErr w:type="spellEnd"/>
      <w:r>
        <w:rPr>
          <w:rtl/>
        </w:rPr>
        <w:t xml:space="preserve"> מוסיף ומביא את נאום ר׳ לייזר גורדון לתלמידים השובתים, ככל הנראה בדייקנות: “‘אני מבקש מכם להפסיק את החרפה הזאת. שתושבי [העיר </w:t>
      </w:r>
      <w:proofErr w:type="spellStart"/>
      <w:r>
        <w:rPr>
          <w:rtl/>
        </w:rPr>
        <w:t>טלז</w:t>
      </w:r>
      <w:proofErr w:type="spellEnd"/>
      <w:r>
        <w:rPr>
          <w:rtl/>
        </w:rPr>
        <w:t>] יחדלו מלהצביע עליכם באצבע. אתם מחללים את התורה, מביאים קלון על הישיבה ועליי, וחורבן על עצמכם’. הדברים נגעו ללב רבים, ואחדים בכו בהתרגשות וברחמים. הכול המתינו לתשובת הוועד, ובשמו</w:t>
      </w:r>
      <w:bookmarkStart w:id="5653" w:name="_fnr4296"/>
      <w:r>
        <w:rPr>
          <w:vertAlign w:val="superscript"/>
          <w:rtl/>
        </w:rPr>
        <w:footnoteReference w:id="4306" w:customMarkFollows="0"/>
      </w:r>
      <w:bookmarkEnd w:id="5653"/>
      <w:r>
        <w:rPr>
          <w:rtl/>
        </w:rPr>
        <w:t xml:space="preserve"> קם ויסוקר ואמר: ‘ר׳ לייזר מבקש מאתנו לרחם על עצמנו, על הישיבה ועל התורה; הוא רוצה שנתחיל ללמוד מיד, אך מודיע לנו </w:t>
      </w:r>
      <w:proofErr w:type="spellStart"/>
      <w:r>
        <w:rPr>
          <w:rtl/>
        </w:rPr>
        <w:t>שה“מוסרניקים</w:t>
      </w:r>
      <w:proofErr w:type="spellEnd"/>
      <w:r>
        <w:rPr>
          <w:rtl/>
        </w:rPr>
        <w:t>” יישארו אתנו. משום כך אין הוועד יכול לתת תשובה מיד. מאחר שהאחריות הגדולה לישיבה כולה מוטלת על הוועד, עליו לשקול את החלטתו, ולפיכך ניתן את תשובתו בעוד יומיים’. ר׳ לייזר הפסיקו: ‘כיצד אתה מעז לדבר כך? כשאני מבקש מכם להפסיק את החרפות האלה, אתה אומר “בעוד יומיים”?! כל דבריכם שקרים וכזבים. אתם יכולים [כולכם לחזור] ללמוד בלי ועד!’ והגאון העדין וטוב הלב שוב התרגז, צעק בכעס, רקע ברגליו ולבסוף רץ החוצה מן הישיבה”.</w:t>
      </w:r>
    </w:p>
    <w:p w14:paraId="44891900" w14:textId="77777777" w:rsidR="00AB3647" w:rsidRDefault="00000000" w:rsidP="007923E9">
      <w:pPr>
        <w:spacing w:after="120" w:line="276" w:lineRule="auto"/>
        <w:ind w:firstLine="283"/>
        <w:jc w:val="both"/>
      </w:pPr>
      <w:bookmarkStart w:id="5654" w:name="pr_b_2399"/>
      <w:bookmarkEnd w:id="5654"/>
      <w:proofErr w:type="spellStart"/>
      <w:r>
        <w:rPr>
          <w:rtl/>
        </w:rPr>
        <w:t>שולמן</w:t>
      </w:r>
      <w:proofErr w:type="spellEnd"/>
      <w:r>
        <w:rPr>
          <w:rtl/>
        </w:rPr>
        <w:t xml:space="preserve"> מספר שלמחרת הביאו כמה איכרים את הרב לעיר כשהוא מחוסר הכרה; הם עברו ליד היער שבו נהג ר׳ לייזר גורדון לטייל מדי יום. הציבור הזדעזע, וחבורת מתנגדי המוסר נתפסה בעיני הכול ככנופיית בריונים המענה את רבה. בעלי אכסניות רבים סירבו להמשיך להשכיר להם חדרים.</w:t>
      </w:r>
    </w:p>
    <w:p w14:paraId="5A90F641" w14:textId="77777777" w:rsidR="00AB3647" w:rsidRDefault="00000000" w:rsidP="007923E9">
      <w:pPr>
        <w:spacing w:after="120" w:line="276" w:lineRule="auto"/>
        <w:ind w:firstLine="283"/>
        <w:jc w:val="both"/>
      </w:pPr>
      <w:proofErr w:type="spellStart"/>
      <w:r>
        <w:rPr>
          <w:rtl/>
        </w:rPr>
        <w:t>שולמן</w:t>
      </w:r>
      <w:proofErr w:type="spellEnd"/>
      <w:r>
        <w:rPr>
          <w:rtl/>
        </w:rPr>
        <w:t xml:space="preserve"> ממשיך</w:t>
      </w:r>
      <w:bookmarkStart w:id="5655" w:name="_fnr4297"/>
      <w:r>
        <w:rPr>
          <w:vertAlign w:val="superscript"/>
          <w:rtl/>
        </w:rPr>
        <w:footnoteReference w:id="4307" w:customMarkFollows="0"/>
      </w:r>
      <w:bookmarkEnd w:id="5655"/>
      <w:r>
        <w:rPr>
          <w:rtl/>
        </w:rPr>
        <w:t xml:space="preserve">: “ר׳ לייזר חלה והרופאים ניבאו לאפשרות של שיתוק מהתרגשות וצוו עליו מנוחה מוחלטת. אולם הוא, החולה והחלש, הזמין אותנו אליו ושאל מה נשמע בישיבה. אז הזדעזע גם הועד שלנו. קם חשש שהרחקנו ללכת, שהרשינו לעצמנו יותר מדי. ויסוקר לבדו, שונא קיצוני של המוסר, לא יכול לעמוד בפני המגמה הכללית. נתכנסה אסיפה כללית חדשה ובה הכריז הועד שהשביתה נגמרה. מחרימים את שמואל עם </w:t>
      </w:r>
      <w:proofErr w:type="spellStart"/>
      <w:r>
        <w:rPr>
          <w:rtl/>
        </w:rPr>
        <w:t>המוסרניקים</w:t>
      </w:r>
      <w:proofErr w:type="spellEnd"/>
      <w:r>
        <w:rPr>
          <w:rtl/>
        </w:rPr>
        <w:t xml:space="preserve"> שלו. ישיבת </w:t>
      </w:r>
      <w:proofErr w:type="spellStart"/>
      <w:r>
        <w:rPr>
          <w:rtl/>
        </w:rPr>
        <w:t>טלז</w:t>
      </w:r>
      <w:proofErr w:type="spellEnd"/>
      <w:r>
        <w:rPr>
          <w:rtl/>
        </w:rPr>
        <w:t xml:space="preserve"> נשארת נאמנה למסורות הקודמות: איש ממשתתפי המאורעות לא יסולק מן הישיבה והועד מתפרק. בצער רב שמענו את החלטת הועד. </w:t>
      </w:r>
      <w:proofErr w:type="spellStart"/>
      <w:r>
        <w:rPr>
          <w:rtl/>
        </w:rPr>
        <w:t>המוסרניקים</w:t>
      </w:r>
      <w:proofErr w:type="spellEnd"/>
      <w:r>
        <w:rPr>
          <w:rtl/>
        </w:rPr>
        <w:t xml:space="preserve"> נשארו – זוהי עובדה ואין לעשות כלום נגדה. לא יועילו החרם והזלזול מצדנו. הם התחזקו כאן ובתוקף ערמתם השתלטו סוף סוף על הישיבה. הם מכירים היטב את כל המרדנים ויום אחד יעשו אתנו חשבון. אולם מחלתו של ר׳ לייזר, גורל הישיבה והגעגועים ללימודים מנעו את המשך ההתנגדות. נכנענו לגורל והתחלנו ללמוד. שנה שלימה נמשכו הלימודים המשותפים שלנו עם </w:t>
      </w:r>
      <w:proofErr w:type="spellStart"/>
      <w:r>
        <w:rPr>
          <w:rtl/>
        </w:rPr>
        <w:t>המוסרניקים</w:t>
      </w:r>
      <w:proofErr w:type="spellEnd"/>
      <w:r>
        <w:rPr>
          <w:rtl/>
        </w:rPr>
        <w:t xml:space="preserve">, והמציאות הצדיקה את כל חששותינו לעתיד. במהירות רבה חוסלו ראשי הישיבה </w:t>
      </w:r>
      <w:proofErr w:type="spellStart"/>
      <w:r>
        <w:rPr>
          <w:rtl/>
        </w:rPr>
        <w:t>הותיקים</w:t>
      </w:r>
      <w:bookmarkStart w:id="5656" w:name="_fnr4298"/>
      <w:proofErr w:type="spellEnd"/>
      <w:r>
        <w:rPr>
          <w:vertAlign w:val="superscript"/>
          <w:rtl/>
        </w:rPr>
        <w:footnoteReference w:id="4308" w:customMarkFollows="0"/>
      </w:r>
      <w:bookmarkEnd w:id="5656"/>
      <w:r>
        <w:rPr>
          <w:rtl/>
        </w:rPr>
        <w:t xml:space="preserve">. הבחורים הגדולים, בני השיעור החמישי, שוחדו על ידי </w:t>
      </w:r>
      <w:proofErr w:type="spellStart"/>
      <w:r>
        <w:rPr>
          <w:rtl/>
        </w:rPr>
        <w:t>המוסרניקים</w:t>
      </w:r>
      <w:proofErr w:type="spellEnd"/>
      <w:r>
        <w:rPr>
          <w:rtl/>
        </w:rPr>
        <w:t xml:space="preserve"> בהבטחות לעתיד. היו להם קשרים טובים בעולם היהודי, היה להם ארגון מלוכד ולו רשת בכל ליטא והם ידעו היטב לסדר את </w:t>
      </w:r>
      <w:proofErr w:type="spellStart"/>
      <w:r>
        <w:rPr>
          <w:rtl/>
        </w:rPr>
        <w:t>נאמניהם</w:t>
      </w:r>
      <w:proofErr w:type="spellEnd"/>
      <w:r>
        <w:rPr>
          <w:rtl/>
        </w:rPr>
        <w:t xml:space="preserve">. הם היו פורסים את האפוטרופסות שלהם על בחור ישיבה מן היום הראשון שבא: דאגת אב בתוך הישיבה, שידוך טוב ומקום רבנות לעתיד. </w:t>
      </w:r>
      <w:proofErr w:type="spellStart"/>
      <w:r>
        <w:rPr>
          <w:rtl/>
        </w:rPr>
        <w:t>הותיקים</w:t>
      </w:r>
      <w:proofErr w:type="spellEnd"/>
      <w:r>
        <w:rPr>
          <w:rtl/>
        </w:rPr>
        <w:t xml:space="preserve"> בינינו שעמדו על פרשת דרכים לא יכלו לעמוד בפני פיתויים אלה. רק בני השיעור השני</w:t>
      </w:r>
      <w:bookmarkStart w:id="5657" w:name="_fnr4299"/>
      <w:r>
        <w:rPr>
          <w:vertAlign w:val="superscript"/>
          <w:rtl/>
        </w:rPr>
        <w:footnoteReference w:id="4309" w:customMarkFollows="0"/>
      </w:r>
      <w:bookmarkEnd w:id="5657"/>
      <w:r>
        <w:rPr>
          <w:rtl/>
        </w:rPr>
        <w:t xml:space="preserve"> התעקשו בשנאתם </w:t>
      </w:r>
      <w:proofErr w:type="spellStart"/>
      <w:r>
        <w:rPr>
          <w:rtl/>
        </w:rPr>
        <w:t>למוסרניקים</w:t>
      </w:r>
      <w:proofErr w:type="spellEnd"/>
      <w:r>
        <w:rPr>
          <w:rtl/>
        </w:rPr>
        <w:t xml:space="preserve">. איש מאתנו לא הלך לשמוע את שעורי חיזוק המוסר של ר׳ שמואל. בכל הזדמנות </w:t>
      </w:r>
      <w:r>
        <w:rPr>
          <w:rtl/>
        </w:rPr>
        <w:lastRenderedPageBreak/>
        <w:t xml:space="preserve">השתדלנו ללגלג על הבנתם </w:t>
      </w:r>
      <w:proofErr w:type="spellStart"/>
      <w:r>
        <w:rPr>
          <w:rtl/>
        </w:rPr>
        <w:t>ה‘פילוסופית</w:t>
      </w:r>
      <w:proofErr w:type="spellEnd"/>
      <w:r>
        <w:rPr>
          <w:rtl/>
        </w:rPr>
        <w:t xml:space="preserve">’ של היהדות, על הפרישות הכוזבת וכדומה. </w:t>
      </w:r>
      <w:proofErr w:type="spellStart"/>
      <w:r>
        <w:rPr>
          <w:rtl/>
        </w:rPr>
        <w:t>המוסרניקים</w:t>
      </w:r>
      <w:proofErr w:type="spellEnd"/>
      <w:r>
        <w:rPr>
          <w:rtl/>
        </w:rPr>
        <w:t xml:space="preserve"> </w:t>
      </w:r>
      <w:proofErr w:type="spellStart"/>
      <w:r>
        <w:rPr>
          <w:rtl/>
        </w:rPr>
        <w:t>בטלז</w:t>
      </w:r>
      <w:proofErr w:type="spellEnd"/>
      <w:r>
        <w:rPr>
          <w:rtl/>
        </w:rPr>
        <w:t xml:space="preserve"> לא שמו לב ללגלוגינו, המשיכו במעשיהם, למדו בישיבה יחד אתנו ואפילו באו בקשרים עם אלה ששנו ופירשו. כל פעולותיהם היו חדורות אמון לעצמם. גם </w:t>
      </w:r>
      <w:proofErr w:type="spellStart"/>
      <w:r>
        <w:rPr>
          <w:rtl/>
        </w:rPr>
        <w:t>ה‘זקן</w:t>
      </w:r>
      <w:proofErr w:type="spellEnd"/>
      <w:r>
        <w:rPr>
          <w:rtl/>
        </w:rPr>
        <w:t>’ שבהם</w:t>
      </w:r>
      <w:bookmarkStart w:id="5658" w:name="_fnr4300"/>
      <w:r>
        <w:rPr>
          <w:vertAlign w:val="superscript"/>
          <w:rtl/>
        </w:rPr>
        <w:footnoteReference w:id="4310" w:customMarkFollows="0"/>
      </w:r>
      <w:bookmarkEnd w:id="5658"/>
      <w:r>
        <w:rPr>
          <w:rtl/>
        </w:rPr>
        <w:t xml:space="preserve"> וכן הבחורים היו כאילו שרויים במין גדלות”.</w:t>
      </w:r>
    </w:p>
    <w:p w14:paraId="064412FA" w14:textId="77777777" w:rsidR="00AB3647" w:rsidRDefault="00000000" w:rsidP="007923E9">
      <w:pPr>
        <w:spacing w:after="120" w:line="276" w:lineRule="auto"/>
        <w:ind w:firstLine="283"/>
        <w:jc w:val="both"/>
      </w:pPr>
      <w:r>
        <w:rPr>
          <w:rtl/>
        </w:rPr>
        <w:t>כץ, “תנועת המוסר”, כרך ה</w:t>
      </w:r>
      <w:bookmarkStart w:id="5659" w:name="_fnr4301"/>
      <w:r>
        <w:rPr>
          <w:vertAlign w:val="superscript"/>
          <w:rtl/>
        </w:rPr>
        <w:footnoteReference w:id="4311" w:customMarkFollows="0"/>
      </w:r>
      <w:bookmarkEnd w:id="5659"/>
      <w:r>
        <w:rPr>
          <w:rtl/>
        </w:rPr>
        <w:t xml:space="preserve">, מתוך עמדתו התומכת במוסר, מסביר: “בהליכותיו הנעימות, בדיבורו הנאה </w:t>
      </w:r>
      <w:proofErr w:type="spellStart"/>
      <w:r>
        <w:rPr>
          <w:rtl/>
        </w:rPr>
        <w:t>ובחכמתו</w:t>
      </w:r>
      <w:proofErr w:type="spellEnd"/>
      <w:r>
        <w:rPr>
          <w:rtl/>
        </w:rPr>
        <w:t xml:space="preserve"> הרבה השתלט ר׳ שמואל על המצב והשקיט את המהומות... וכונן חילופי תלמידים בין </w:t>
      </w:r>
      <w:proofErr w:type="spellStart"/>
      <w:r>
        <w:rPr>
          <w:rtl/>
        </w:rPr>
        <w:t>סלבודקה</w:t>
      </w:r>
      <w:proofErr w:type="spellEnd"/>
      <w:r>
        <w:rPr>
          <w:rtl/>
        </w:rPr>
        <w:t xml:space="preserve"> </w:t>
      </w:r>
      <w:proofErr w:type="spellStart"/>
      <w:r>
        <w:rPr>
          <w:rtl/>
        </w:rPr>
        <w:t>לטלז</w:t>
      </w:r>
      <w:bookmarkStart w:id="5660" w:name="_fnr4302"/>
      <w:proofErr w:type="spellEnd"/>
      <w:r>
        <w:rPr>
          <w:vertAlign w:val="superscript"/>
          <w:rtl/>
        </w:rPr>
        <w:footnoteReference w:id="4312" w:customMarkFollows="0"/>
      </w:r>
      <w:bookmarkEnd w:id="5660"/>
      <w:r>
        <w:rPr>
          <w:rtl/>
        </w:rPr>
        <w:t xml:space="preserve">, שבמסגרתם עברו למעלה משישים תלמידי </w:t>
      </w:r>
      <w:proofErr w:type="spellStart"/>
      <w:r>
        <w:rPr>
          <w:rtl/>
        </w:rPr>
        <w:t>טלז</w:t>
      </w:r>
      <w:proofErr w:type="spellEnd"/>
      <w:r>
        <w:rPr>
          <w:rtl/>
        </w:rPr>
        <w:t xml:space="preserve"> </w:t>
      </w:r>
      <w:proofErr w:type="spellStart"/>
      <w:r>
        <w:rPr>
          <w:rtl/>
        </w:rPr>
        <w:t>לסלבודקה</w:t>
      </w:r>
      <w:proofErr w:type="spellEnd"/>
      <w:r>
        <w:rPr>
          <w:rtl/>
        </w:rPr>
        <w:t>, ולהפך”.</w:t>
      </w:r>
    </w:p>
    <w:bookmarkStart w:id="5661" w:name="b4_excP"/>
    <w:bookmarkStart w:id="5662" w:name="b4_annexP"/>
    <w:p w14:paraId="7C98C1DB" w14:textId="77777777" w:rsidR="00AB3647" w:rsidRDefault="00000000" w:rsidP="007923E9">
      <w:pPr>
        <w:pStyle w:val="3"/>
        <w:pageBreakBefore w:val="0"/>
        <w:spacing w:line="276" w:lineRule="auto"/>
      </w:pPr>
      <w:r>
        <w:fldChar w:fldCharType="begin" w:dirty="true"/>
      </w:r>
      <w:r>
        <w:rPr>
          <w:rtl w:val="0"/>
        </w:rPr>
        <w:instrText>HYPERLINK \l "b4_note137</w:instrText>
      </w:r>
      <w:r>
        <w:instrText>"</w:instrText>
      </w:r>
      <w:r>
        <w:fldChar w:fldCharType="separate"/>
      </w:r>
      <w:r>
        <w:t xml:space="preserve">נספח </w:t>
      </w:r>
      <w:proofErr w:type="spellStart"/>
      <w:r>
        <w:t>טז</w:t>
      </w:r>
      <w:proofErr w:type="spellEnd"/>
      <w:r>
        <w:fldChar w:fldCharType="end"/>
      </w:r>
      <w:bookmarkEnd w:id="5661"/>
      <w:bookmarkEnd w:id="5662"/>
    </w:p>
    <w:p w14:paraId="0B51E1E0" w14:textId="77777777" w:rsidR="00AB3647" w:rsidRDefault="00000000" w:rsidP="007923E9">
      <w:pPr>
        <w:pStyle w:val="af"/>
        <w:spacing w:line="276" w:lineRule="auto"/>
      </w:pPr>
      <w:r>
        <w:t xml:space="preserve">על ר׳ אהרן קוטלר ור׳ שלמה היימן ועל קרבת ר׳ </w:t>
      </w:r>
      <w:proofErr w:type="spellStart"/>
      <w:r>
        <w:t>ברוך־בער</w:t>
      </w:r>
      <w:proofErr w:type="spellEnd"/>
      <w:r>
        <w:t xml:space="preserve"> לתלמידיו</w:t>
      </w:r>
    </w:p>
    <w:p w14:paraId="5F5316D4" w14:textId="77777777" w:rsidR="00AB3647" w:rsidRDefault="00000000" w:rsidP="007923E9">
      <w:pPr>
        <w:pStyle w:val="5"/>
        <w:spacing w:line="276" w:lineRule="auto"/>
      </w:pPr>
      <w:r>
        <w:rPr>
          <w:bCs/>
          <w:szCs w:val="26"/>
        </w:rPr>
        <w:t xml:space="preserve">ר׳ שלמה היימן מבקר בבולטימור – הוא מוקיר במיוחד את </w:t>
      </w:r>
      <w:proofErr w:type="spellStart"/>
      <w:r>
        <w:rPr>
          <w:bCs/>
          <w:szCs w:val="26"/>
        </w:rPr>
        <w:t>הרשב״א</w:t>
      </w:r>
      <w:proofErr w:type="spellEnd"/>
      <w:r>
        <w:rPr>
          <w:bCs/>
          <w:szCs w:val="26"/>
        </w:rPr>
        <w:t xml:space="preserve"> ואת ר׳ עקיבא איגר – ר׳ </w:t>
      </w:r>
      <w:proofErr w:type="spellStart"/>
      <w:r>
        <w:rPr>
          <w:bCs/>
          <w:szCs w:val="26"/>
        </w:rPr>
        <w:t>ברוך־בער</w:t>
      </w:r>
      <w:proofErr w:type="spellEnd"/>
      <w:r>
        <w:rPr>
          <w:bCs/>
          <w:szCs w:val="26"/>
        </w:rPr>
        <w:t xml:space="preserve"> מבקר בבולטימור לפניו – הוא מתעניין בשלומו של כל אחד ואחד מבוגרי ישיבתו</w:t>
      </w:r>
    </w:p>
    <w:p w14:paraId="119FB5A9" w14:textId="77777777" w:rsidR="00AB3647" w:rsidRDefault="00000000" w:rsidP="007923E9">
      <w:pPr>
        <w:spacing w:after="120" w:line="276" w:lineRule="auto"/>
        <w:ind w:firstLine="283"/>
        <w:jc w:val="both"/>
      </w:pPr>
      <w:proofErr w:type="spellStart"/>
      <w:r>
        <w:rPr>
          <w:rtl/>
        </w:rPr>
        <w:t>קאפל</w:t>
      </w:r>
      <w:proofErr w:type="spellEnd"/>
      <w:r>
        <w:rPr>
          <w:rtl/>
        </w:rPr>
        <w:t xml:space="preserve"> </w:t>
      </w:r>
      <w:proofErr w:type="spellStart"/>
      <w:r>
        <w:rPr>
          <w:rtl/>
        </w:rPr>
        <w:t>קעלמער</w:t>
      </w:r>
      <w:proofErr w:type="spellEnd"/>
      <w:r>
        <w:rPr>
          <w:rtl/>
        </w:rPr>
        <w:t xml:space="preserve">, שנזכר בסעיף 2 בפרק זה, היה ר׳ קופל </w:t>
      </w:r>
      <w:proofErr w:type="spellStart"/>
      <w:r>
        <w:rPr>
          <w:rtl/>
        </w:rPr>
        <w:t>וולפרט</w:t>
      </w:r>
      <w:bookmarkStart w:id="5663" w:name="_fnr4303"/>
      <w:proofErr w:type="spellEnd"/>
      <w:r>
        <w:rPr>
          <w:vertAlign w:val="superscript"/>
          <w:rtl/>
        </w:rPr>
        <w:footnoteReference w:id="4313" w:customMarkFollows="0"/>
      </w:r>
      <w:bookmarkEnd w:id="5663"/>
      <w:r>
        <w:rPr>
          <w:rtl/>
        </w:rPr>
        <w:t xml:space="preserve">, שחי שמונים שנה בארצות הברית, כמעט כולן בבולטימור, ושם נפטר ב־1990 בן מאה. הוא שסיפר את פרטי ביקורו של ר׳ לייזר. כשסיפר את המעשה המלבב על השיחה שאחרי השיעור, הוסיף שחזר על הסיפור – </w:t>
      </w:r>
      <w:proofErr w:type="spellStart"/>
      <w:r>
        <w:rPr>
          <w:rtl/>
        </w:rPr>
        <w:t>ש“הוכיח</w:t>
      </w:r>
      <w:proofErr w:type="spellEnd"/>
      <w:r>
        <w:rPr>
          <w:rtl/>
        </w:rPr>
        <w:t xml:space="preserve">” שר׳ שלמה היימן שאל שאלה חזקה יותר מר׳ אהרן קוטלר – באוזני הרב היימן, כשביקר זה בבולטימור ארבעים שנה אחרי המאורע. ר׳ שלמה נהנה לשמוע את המעשה. ר׳ קופל השלים את סיפורו בפרט הבא: כשהגיע הרב היימן למלון בבולטימור, שלח שליח לומר </w:t>
      </w:r>
      <w:proofErr w:type="spellStart"/>
      <w:r>
        <w:rPr>
          <w:rtl/>
        </w:rPr>
        <w:t>לוולפרט</w:t>
      </w:r>
      <w:proofErr w:type="spellEnd"/>
      <w:r>
        <w:rPr>
          <w:rtl/>
        </w:rPr>
        <w:t xml:space="preserve"> </w:t>
      </w:r>
      <w:proofErr w:type="spellStart"/>
      <w:r>
        <w:rPr>
          <w:rtl/>
        </w:rPr>
        <w:t>ש“שלמה</w:t>
      </w:r>
      <w:proofErr w:type="spellEnd"/>
      <w:r>
        <w:rPr>
          <w:rtl/>
        </w:rPr>
        <w:t xml:space="preserve"> </w:t>
      </w:r>
      <w:proofErr w:type="spellStart"/>
      <w:r>
        <w:rPr>
          <w:rtl/>
        </w:rPr>
        <w:t>פאריטשער</w:t>
      </w:r>
      <w:proofErr w:type="spellEnd"/>
      <w:r>
        <w:rPr>
          <w:rtl/>
        </w:rPr>
        <w:t xml:space="preserve"> רוצה לראות [אותו]”.</w:t>
      </w:r>
    </w:p>
    <w:p w14:paraId="3708C46D" w14:textId="77777777" w:rsidR="00AB3647" w:rsidRDefault="00000000" w:rsidP="007923E9">
      <w:pPr>
        <w:spacing w:after="120" w:line="276" w:lineRule="auto"/>
        <w:ind w:firstLine="283"/>
        <w:jc w:val="both"/>
      </w:pPr>
      <w:r>
        <w:rPr>
          <w:rtl/>
        </w:rPr>
        <w:t xml:space="preserve">תלמידי כנסת בית יצחק הוקירו מאוד את ר׳ אהרן קוטלר. הדבר ניכר בשיחה בין ר׳ שלמה היימן </w:t>
      </w:r>
      <w:proofErr w:type="spellStart"/>
      <w:r>
        <w:rPr>
          <w:rtl/>
        </w:rPr>
        <w:t>לר</w:t>
      </w:r>
      <w:proofErr w:type="spellEnd"/>
      <w:r>
        <w:rPr>
          <w:rtl/>
        </w:rPr>
        <w:t xml:space="preserve">׳ </w:t>
      </w:r>
      <w:proofErr w:type="spellStart"/>
      <w:r>
        <w:rPr>
          <w:rtl/>
        </w:rPr>
        <w:t>שמואל־לייב</w:t>
      </w:r>
      <w:proofErr w:type="spellEnd"/>
      <w:r>
        <w:rPr>
          <w:rtl/>
        </w:rPr>
        <w:t xml:space="preserve"> שווי</w:t>
      </w:r>
      <w:bookmarkStart w:id="5664" w:name="_fnr4304"/>
      <w:r>
        <w:rPr>
          <w:vertAlign w:val="superscript"/>
          <w:rtl/>
        </w:rPr>
        <w:footnoteReference w:id="4314" w:customMarkFollows="0"/>
      </w:r>
      <w:bookmarkEnd w:id="5664"/>
      <w:r>
        <w:rPr>
          <w:rtl/>
        </w:rPr>
        <w:t>, שהתקיימה שנים אחדות אחרי המאורע המתואר כאן, וסופרה מפי ר׳ אלי׳, בנו של האחרון</w:t>
      </w:r>
      <w:bookmarkStart w:id="5665" w:name="_fnr4305"/>
      <w:r>
        <w:rPr>
          <w:vertAlign w:val="superscript"/>
          <w:rtl/>
        </w:rPr>
        <w:footnoteReference w:id="4315" w:customMarkFollows="0"/>
      </w:r>
      <w:bookmarkEnd w:id="5665"/>
      <w:r>
        <w:rPr>
          <w:rtl/>
        </w:rPr>
        <w:t xml:space="preserve">. כשטייל ר׳ </w:t>
      </w:r>
      <w:proofErr w:type="spellStart"/>
      <w:r>
        <w:rPr>
          <w:rtl/>
        </w:rPr>
        <w:t>שמואל־לייב</w:t>
      </w:r>
      <w:proofErr w:type="spellEnd"/>
      <w:r>
        <w:rPr>
          <w:rtl/>
        </w:rPr>
        <w:t xml:space="preserve"> שווי עם ר׳ שלמה, שכבר היה אז תלמיד מבוגר, אמר לו בהקנטה: “אתה יודע שבישיבה האחרת [כנסת ישראל] אומרים שבחור פלוני” – ונקב בשמו – “הוא </w:t>
      </w:r>
      <w:proofErr w:type="spellStart"/>
      <w:r>
        <w:rPr>
          <w:rtl/>
        </w:rPr>
        <w:t>רשב״א</w:t>
      </w:r>
      <w:proofErr w:type="spellEnd"/>
      <w:r>
        <w:rPr>
          <w:rtl/>
        </w:rPr>
        <w:t xml:space="preserve"> קטן, ושפלוני” – וגם בו נקב בשם – “דומה </w:t>
      </w:r>
      <w:proofErr w:type="spellStart"/>
      <w:r>
        <w:rPr>
          <w:rtl/>
        </w:rPr>
        <w:t>לר</w:t>
      </w:r>
      <w:proofErr w:type="spellEnd"/>
      <w:r>
        <w:rPr>
          <w:rtl/>
        </w:rPr>
        <w:t xml:space="preserve">׳ עקיבא איגר, ושאהרן </w:t>
      </w:r>
      <w:proofErr w:type="spellStart"/>
      <w:r>
        <w:rPr>
          <w:rtl/>
        </w:rPr>
        <w:t>הסיסלוביצ׳ר</w:t>
      </w:r>
      <w:proofErr w:type="spellEnd"/>
      <w:r>
        <w:rPr>
          <w:rtl/>
        </w:rPr>
        <w:t xml:space="preserve"> [קוטלר] הוא כר׳ </w:t>
      </w:r>
      <w:proofErr w:type="spellStart"/>
      <w:r>
        <w:rPr>
          <w:rtl/>
        </w:rPr>
        <w:t>איצל׳ה</w:t>
      </w:r>
      <w:proofErr w:type="spellEnd"/>
      <w:r>
        <w:rPr>
          <w:rtl/>
        </w:rPr>
        <w:t xml:space="preserve"> </w:t>
      </w:r>
      <w:proofErr w:type="spellStart"/>
      <w:r>
        <w:rPr>
          <w:rtl/>
        </w:rPr>
        <w:t>מפוניבז</w:t>
      </w:r>
      <w:proofErr w:type="spellEnd"/>
      <w:r>
        <w:rPr>
          <w:rtl/>
        </w:rPr>
        <w:t xml:space="preserve">׳”. ר׳ שלמה השיב: “השוואת </w:t>
      </w:r>
      <w:r>
        <w:rPr>
          <w:rtl/>
        </w:rPr>
        <w:lastRenderedPageBreak/>
        <w:t xml:space="preserve">שני הראשונים </w:t>
      </w:r>
      <w:proofErr w:type="spellStart"/>
      <w:r>
        <w:rPr>
          <w:rtl/>
        </w:rPr>
        <w:t>לרשב״א</w:t>
      </w:r>
      <w:proofErr w:type="spellEnd"/>
      <w:r>
        <w:rPr>
          <w:rtl/>
        </w:rPr>
        <w:t xml:space="preserve"> </w:t>
      </w:r>
      <w:proofErr w:type="spellStart"/>
      <w:r>
        <w:rPr>
          <w:rtl/>
        </w:rPr>
        <w:t>ולר</w:t>
      </w:r>
      <w:proofErr w:type="spellEnd"/>
      <w:r>
        <w:rPr>
          <w:rtl/>
        </w:rPr>
        <w:t xml:space="preserve">׳ עקיבא איגר אינה אלא ליצנות. באשר לאהרן </w:t>
      </w:r>
      <w:proofErr w:type="spellStart"/>
      <w:r>
        <w:rPr>
          <w:rtl/>
        </w:rPr>
        <w:t>הסיסלוביצ׳ר</w:t>
      </w:r>
      <w:proofErr w:type="spellEnd"/>
      <w:r>
        <w:rPr>
          <w:rtl/>
        </w:rPr>
        <w:t xml:space="preserve">, </w:t>
      </w:r>
      <w:proofErr w:type="spellStart"/>
      <w:r>
        <w:rPr>
          <w:rtl/>
        </w:rPr>
        <w:t>דאס</w:t>
      </w:r>
      <w:proofErr w:type="spellEnd"/>
      <w:r>
        <w:rPr>
          <w:rtl/>
        </w:rPr>
        <w:t xml:space="preserve"> </w:t>
      </w:r>
      <w:proofErr w:type="spellStart"/>
      <w:r>
        <w:rPr>
          <w:rtl/>
        </w:rPr>
        <w:t>איז</w:t>
      </w:r>
      <w:proofErr w:type="spellEnd"/>
      <w:r>
        <w:rPr>
          <w:rtl/>
        </w:rPr>
        <w:t xml:space="preserve"> ביים </w:t>
      </w:r>
      <w:proofErr w:type="spellStart"/>
      <w:r>
        <w:rPr>
          <w:rtl/>
        </w:rPr>
        <w:t>וועג</w:t>
      </w:r>
      <w:proofErr w:type="spellEnd"/>
      <w:r>
        <w:rPr>
          <w:rtl/>
        </w:rPr>
        <w:t xml:space="preserve"> [יש בזה משהו]”</w:t>
      </w:r>
      <w:bookmarkStart w:id="5666" w:name="_fnr4306"/>
      <w:r>
        <w:rPr>
          <w:vertAlign w:val="superscript"/>
          <w:rtl/>
        </w:rPr>
        <w:footnoteReference w:id="4316" w:customMarkFollows="0"/>
      </w:r>
      <w:bookmarkEnd w:id="5666"/>
      <w:r>
        <w:rPr>
          <w:rtl/>
        </w:rPr>
        <w:t>.</w:t>
      </w:r>
    </w:p>
    <w:p w14:paraId="66644DA1" w14:textId="34DF819A" w:rsidR="00AB3647" w:rsidRDefault="00000000" w:rsidP="007923E9">
      <w:pPr>
        <w:spacing w:after="120" w:line="276" w:lineRule="auto"/>
        <w:ind w:firstLine="283"/>
        <w:jc w:val="both"/>
      </w:pPr>
      <w:r>
        <w:rPr>
          <w:rtl/>
        </w:rPr>
        <w:t>בהקדמה לקובץ שיעורי ר׳ שלמה היימן, “חידושי רבי שלמה”</w:t>
      </w:r>
      <w:bookmarkStart w:id="5667" w:name="_fnr4307"/>
      <w:r>
        <w:rPr>
          <w:vertAlign w:val="superscript"/>
          <w:rtl/>
        </w:rPr>
        <w:footnoteReference w:id="4317" w:customMarkFollows="0"/>
      </w:r>
      <w:bookmarkEnd w:id="5667"/>
      <w:r>
        <w:rPr>
          <w:rtl/>
        </w:rPr>
        <w:t xml:space="preserve">, מציין העורך שהרב היימן העריץ הערצה יתרה את </w:t>
      </w:r>
      <w:proofErr w:type="spellStart"/>
      <w:r>
        <w:rPr>
          <w:rtl/>
        </w:rPr>
        <w:t>הרשב״א</w:t>
      </w:r>
      <w:proofErr w:type="spellEnd"/>
      <w:r>
        <w:rPr>
          <w:rtl/>
        </w:rPr>
        <w:t xml:space="preserve"> ואת ר׳ עקיבא איגר, והדגיש כיצד כל מילה של שני חכמים גדולים אלה טעונה משמעות עמוקה. מסתבר שר׳ שלמה היימן הסתייג מהשוואת כל אדם שהוא לשניים אלה, ונזעם כשהיה זה אדם שחי מאות שנים, או אפילו דורות, אחריהם. אבל בכנסת ישראל השווה הסבא השוואות כאלה, גם אם רק לצורך חינוכי – השווה הערה </w:t>
      </w:r>
      <w:r>
        <w:rPr>
          <w:rtl/>
        </w:rPr>
        <w:fldChar w:fldCharType="begin" w:dirty="true"/>
      </w:r>
      <w:r>
        <w:rPr>
          <w:rtl/>
        </w:rPr>
        <w:instrText xml:space="preserve"> REF b4_note42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42</w:t>
      </w:r>
      <w:r>
        <w:rPr>
          <w:rtl/>
        </w:rPr>
        <w:fldChar w:fldCharType="end"/>
      </w:r>
      <w:r>
        <w:rPr>
          <w:rtl/>
        </w:rPr>
        <w:t xml:space="preserve"> לעיל.</w:t>
      </w:r>
    </w:p>
    <w:p w14:paraId="310316FF" w14:textId="77777777" w:rsidR="00AB3647" w:rsidRDefault="00000000" w:rsidP="007923E9">
      <w:pPr>
        <w:spacing w:after="120" w:line="276" w:lineRule="auto"/>
        <w:ind w:firstLine="283"/>
        <w:jc w:val="both"/>
      </w:pPr>
      <w:r>
        <w:rPr>
          <w:rtl/>
        </w:rPr>
        <w:t xml:space="preserve">ר׳ </w:t>
      </w:r>
      <w:proofErr w:type="spellStart"/>
      <w:r>
        <w:rPr>
          <w:rtl/>
        </w:rPr>
        <w:t>שלמה־אהרן</w:t>
      </w:r>
      <w:proofErr w:type="spellEnd"/>
      <w:r>
        <w:rPr>
          <w:rtl/>
        </w:rPr>
        <w:t xml:space="preserve"> וינר סיפר</w:t>
      </w:r>
      <w:bookmarkStart w:id="5668" w:name="_fnr4308"/>
      <w:r>
        <w:rPr>
          <w:vertAlign w:val="superscript"/>
          <w:rtl/>
        </w:rPr>
        <w:footnoteReference w:id="4318" w:customMarkFollows="0"/>
      </w:r>
      <w:bookmarkEnd w:id="5668"/>
      <w:r>
        <w:rPr>
          <w:rtl/>
        </w:rPr>
        <w:t xml:space="preserve"> שאבי אמר כי ר׳ חיים </w:t>
      </w:r>
      <w:proofErr w:type="spellStart"/>
      <w:r>
        <w:rPr>
          <w:rtl/>
        </w:rPr>
        <w:t>סולובייצ׳יק</w:t>
      </w:r>
      <w:proofErr w:type="spellEnd"/>
      <w:r>
        <w:rPr>
          <w:rtl/>
        </w:rPr>
        <w:t xml:space="preserve"> סידר את הכרכים על מדף ספריו לפי חשיבותם, וספרי ר׳ עקיבא איגר הונחו בין ספרי הראשונים. ר׳ שלמה היימן, תלמידו המובהק של ר׳ </w:t>
      </w:r>
      <w:proofErr w:type="spellStart"/>
      <w:r>
        <w:rPr>
          <w:rtl/>
        </w:rPr>
        <w:t>ברוך־בער</w:t>
      </w:r>
      <w:proofErr w:type="spellEnd"/>
      <w:r>
        <w:rPr>
          <w:rtl/>
        </w:rPr>
        <w:t>, שהיה תלמידו המובהק של ר׳ חיים, דגל בהשקפה זו. השווה גם “תשובות רבי אליעזר”</w:t>
      </w:r>
      <w:bookmarkStart w:id="5669" w:name="_fnr4309"/>
      <w:r>
        <w:rPr>
          <w:vertAlign w:val="superscript"/>
          <w:rtl/>
        </w:rPr>
        <w:footnoteReference w:id="4319" w:customMarkFollows="0"/>
      </w:r>
      <w:bookmarkEnd w:id="5669"/>
      <w:r>
        <w:rPr>
          <w:rtl/>
        </w:rPr>
        <w:t>, שבו נאמר שמכל המחברים המאוחרים “ראה [ר׳ לייזר גורדון] את ר׳ עקיבא איגר כמעט כראשון”. השווה גם “אבי הישיבות”</w:t>
      </w:r>
      <w:bookmarkStart w:id="5670" w:name="_fnr4310"/>
      <w:r>
        <w:rPr>
          <w:vertAlign w:val="superscript"/>
          <w:rtl/>
        </w:rPr>
        <w:footnoteReference w:id="4320" w:customMarkFollows="0"/>
      </w:r>
      <w:bookmarkEnd w:id="5670"/>
      <w:r>
        <w:rPr>
          <w:rtl/>
        </w:rPr>
        <w:t xml:space="preserve">, שר׳ יוסף־דב </w:t>
      </w:r>
      <w:proofErr w:type="spellStart"/>
      <w:r>
        <w:rPr>
          <w:rtl/>
        </w:rPr>
        <w:t>סולובייצ׳יק</w:t>
      </w:r>
      <w:proofErr w:type="spellEnd"/>
      <w:r>
        <w:rPr>
          <w:rtl/>
        </w:rPr>
        <w:t xml:space="preserve"> “נטה לתאר את בנו ר׳ חיים בצעירותו </w:t>
      </w:r>
      <w:proofErr w:type="spellStart"/>
      <w:r>
        <w:rPr>
          <w:rtl/>
        </w:rPr>
        <w:t>כ׳ר</w:t>
      </w:r>
      <w:proofErr w:type="spellEnd"/>
      <w:r>
        <w:rPr>
          <w:rtl/>
        </w:rPr>
        <w:t>׳ עקיבא איגר קטן’”.</w:t>
      </w:r>
    </w:p>
    <w:p w14:paraId="5E95F1A0" w14:textId="77777777" w:rsidR="00AB3647" w:rsidRDefault="00000000" w:rsidP="007923E9">
      <w:pPr>
        <w:spacing w:after="120" w:line="276" w:lineRule="auto"/>
        <w:ind w:firstLine="283"/>
        <w:jc w:val="both"/>
      </w:pPr>
      <w:r>
        <w:rPr>
          <w:rtl/>
        </w:rPr>
        <w:t>תלמידו של ר׳ שלמה משנותיו האחרונות במתיבתא תורה ודעת</w:t>
      </w:r>
      <w:bookmarkStart w:id="5671" w:name="_fnr4311"/>
      <w:r>
        <w:rPr>
          <w:vertAlign w:val="superscript"/>
          <w:rtl/>
        </w:rPr>
        <w:footnoteReference w:id="4321" w:customMarkFollows="0"/>
      </w:r>
      <w:bookmarkEnd w:id="5671"/>
      <w:r>
        <w:rPr>
          <w:rtl/>
        </w:rPr>
        <w:t>, ר׳ מוטל ברקוביץ</w:t>
      </w:r>
      <w:bookmarkStart w:id="5672" w:name="_fnr4312"/>
      <w:r>
        <w:rPr>
          <w:vertAlign w:val="superscript"/>
          <w:rtl/>
        </w:rPr>
        <w:footnoteReference w:id="4322" w:customMarkFollows="0"/>
      </w:r>
      <w:bookmarkEnd w:id="5672"/>
      <w:r>
        <w:rPr>
          <w:rtl/>
        </w:rPr>
        <w:t>, מסר כמה פרטים על יחס רבו לחידושי ר׳ עקיבא איגר. ר׳ שלמה סיפר לתלמידיו שבישיבה שלמד בה בצעירותו היה בחור שנהג לנשק את הספר כשסגר אותו – לא מתוך דתיות, אלא מפני שהתלהב מדבריו; התלמידים הבינו שהתכוון לעצמו. פעם ראה ר׳ שלמה תלמיד הולך בבית המדרש של תורה ודעת ומחזיק כרך של חידושי ר׳ עקיבא איגר כרגיל, לצִדו, וגער בו: “ספר כזה צריך להחזיק כנגד הלב”. כמה תלמידים ביקרו בבית הרב היימן כשהגיע בדואר ספר יסוד שנדפס מחדש, והוא העיר: “גאונים היו רבים, אבל ראש ישיבה היה ר׳ עקיבא איגר”.</w:t>
      </w:r>
    </w:p>
    <w:p w14:paraId="396381C9" w14:textId="77777777" w:rsidR="00AB3647" w:rsidRDefault="00000000" w:rsidP="007923E9">
      <w:pPr>
        <w:spacing w:after="120" w:line="276" w:lineRule="auto"/>
        <w:ind w:firstLine="283"/>
        <w:jc w:val="both"/>
      </w:pPr>
      <w:r>
        <w:rPr>
          <w:rtl/>
        </w:rPr>
        <w:t xml:space="preserve">ר׳ מרדכי צוקרמן, תלמיד ר׳ שלמה היימן מתקופה קודמת – כשלימד הרב היימן את השיעור שלפני העליון בישיבת </w:t>
      </w:r>
      <w:proofErr w:type="spellStart"/>
      <w:r>
        <w:rPr>
          <w:rtl/>
        </w:rPr>
        <w:t>רמיילעס</w:t>
      </w:r>
      <w:proofErr w:type="spellEnd"/>
      <w:r>
        <w:rPr>
          <w:rtl/>
        </w:rPr>
        <w:t xml:space="preserve"> בווילנה – הוסיף: “ר׳ שלמה היה נרדם עם [דברי] ר׳ עקיבא איגר”</w:t>
      </w:r>
      <w:bookmarkStart w:id="5673" w:name="_fnr4313"/>
      <w:r>
        <w:rPr>
          <w:vertAlign w:val="superscript"/>
          <w:rtl/>
        </w:rPr>
        <w:footnoteReference w:id="4323" w:customMarkFollows="0"/>
      </w:r>
      <w:bookmarkEnd w:id="5673"/>
      <w:r>
        <w:rPr>
          <w:rtl/>
        </w:rPr>
        <w:t xml:space="preserve">. שני תלמידי ר׳ שלמה הסכימו שהוא דן </w:t>
      </w:r>
      <w:proofErr w:type="spellStart"/>
      <w:r>
        <w:rPr>
          <w:rtl/>
        </w:rPr>
        <w:t>ברשב״א</w:t>
      </w:r>
      <w:proofErr w:type="spellEnd"/>
      <w:r>
        <w:rPr>
          <w:rtl/>
        </w:rPr>
        <w:t xml:space="preserve"> יותר </w:t>
      </w:r>
      <w:proofErr w:type="spellStart"/>
      <w:r>
        <w:rPr>
          <w:rtl/>
        </w:rPr>
        <w:t>מברמב״ם</w:t>
      </w:r>
      <w:proofErr w:type="spellEnd"/>
      <w:r>
        <w:rPr>
          <w:rtl/>
        </w:rPr>
        <w:t xml:space="preserve">, המקובל כעיקר עיסוקם של ראשי הישיבות. ר׳ מרדכי צוקרמן סיפר אז שראש ישיבת </w:t>
      </w:r>
      <w:proofErr w:type="spellStart"/>
      <w:r>
        <w:rPr>
          <w:rtl/>
        </w:rPr>
        <w:t>רמיילעס</w:t>
      </w:r>
      <w:proofErr w:type="spellEnd"/>
      <w:r>
        <w:rPr>
          <w:rtl/>
        </w:rPr>
        <w:t>, ר׳ מאיר באסין</w:t>
      </w:r>
      <w:bookmarkStart w:id="5674" w:name="_fnr4314"/>
      <w:r>
        <w:rPr>
          <w:vertAlign w:val="superscript"/>
          <w:rtl/>
        </w:rPr>
        <w:footnoteReference w:id="4324" w:customMarkFollows="0"/>
      </w:r>
      <w:bookmarkEnd w:id="5674"/>
      <w:r>
        <w:rPr>
          <w:rtl/>
        </w:rPr>
        <w:t xml:space="preserve">, “שידע את כל הש״ס עם הראשונים – אם שאלת אותו על דבר כלשהו בכל התורה </w:t>
      </w:r>
      <w:r>
        <w:rPr>
          <w:rtl/>
        </w:rPr>
        <w:lastRenderedPageBreak/>
        <w:t xml:space="preserve">כולה, היה מונה את כל דעות הראשונים בנושא ואומר בדיוק מה סבר כל ראשון – והיה מבטל בחריפות חכמים בני זמנו”, היה אומר: “‘גאונים’ יש רבים, אך ר׳ שלמה היימן יודע ללמוד”. הוא השתמש ביחס </w:t>
      </w:r>
      <w:proofErr w:type="spellStart"/>
      <w:r>
        <w:rPr>
          <w:rtl/>
        </w:rPr>
        <w:t>לר</w:t>
      </w:r>
      <w:proofErr w:type="spellEnd"/>
      <w:r>
        <w:rPr>
          <w:rtl/>
        </w:rPr>
        <w:t xml:space="preserve">׳ שלמה באותו נוסח שר׳ שלמה השתמש בו אחר כך ביחס </w:t>
      </w:r>
      <w:proofErr w:type="spellStart"/>
      <w:r>
        <w:rPr>
          <w:rtl/>
        </w:rPr>
        <w:t>לר</w:t>
      </w:r>
      <w:proofErr w:type="spellEnd"/>
      <w:r>
        <w:rPr>
          <w:rtl/>
        </w:rPr>
        <w:t>׳ עקיבא איגר, כאמור לעיל.</w:t>
      </w:r>
    </w:p>
    <w:p w14:paraId="3976BCC2" w14:textId="77777777" w:rsidR="00AB3647" w:rsidRDefault="00000000" w:rsidP="007923E9">
      <w:pPr>
        <w:spacing w:after="120" w:line="276" w:lineRule="auto"/>
        <w:ind w:firstLine="283"/>
        <w:jc w:val="both"/>
      </w:pPr>
      <w:r>
        <w:rPr>
          <w:rtl/>
        </w:rPr>
        <w:t xml:space="preserve">לדברי ר׳ דוד </w:t>
      </w:r>
      <w:proofErr w:type="spellStart"/>
      <w:r>
        <w:rPr>
          <w:rtl/>
        </w:rPr>
        <w:t>צימט</w:t>
      </w:r>
      <w:bookmarkStart w:id="5675" w:name="_fnr4315"/>
      <w:proofErr w:type="spellEnd"/>
      <w:r>
        <w:rPr>
          <w:vertAlign w:val="superscript"/>
          <w:rtl/>
        </w:rPr>
        <w:footnoteReference w:id="4325" w:customMarkFollows="0"/>
      </w:r>
      <w:bookmarkEnd w:id="5675"/>
      <w:r>
        <w:rPr>
          <w:rtl/>
        </w:rPr>
        <w:t xml:space="preserve">, אבי ייחס הפלגות כגון תיאור אדם </w:t>
      </w:r>
      <w:proofErr w:type="spellStart"/>
      <w:r>
        <w:rPr>
          <w:rtl/>
        </w:rPr>
        <w:t>כ“ר</w:t>
      </w:r>
      <w:proofErr w:type="spellEnd"/>
      <w:r>
        <w:rPr>
          <w:rtl/>
        </w:rPr>
        <w:t xml:space="preserve">׳ עקיבא איגר קטן” לא </w:t>
      </w:r>
      <w:proofErr w:type="spellStart"/>
      <w:r>
        <w:rPr>
          <w:rtl/>
        </w:rPr>
        <w:t>לסלבודקה</w:t>
      </w:r>
      <w:proofErr w:type="spellEnd"/>
      <w:r>
        <w:rPr>
          <w:rtl/>
        </w:rPr>
        <w:t xml:space="preserve"> אלא לישיבת </w:t>
      </w:r>
      <w:proofErr w:type="spellStart"/>
      <w:r>
        <w:rPr>
          <w:rtl/>
        </w:rPr>
        <w:t>מיר</w:t>
      </w:r>
      <w:proofErr w:type="spellEnd"/>
      <w:r>
        <w:rPr>
          <w:rtl/>
        </w:rPr>
        <w:t>. “</w:t>
      </w:r>
      <w:proofErr w:type="spellStart"/>
      <w:r>
        <w:rPr>
          <w:rtl/>
        </w:rPr>
        <w:t>בסלבודקה</w:t>
      </w:r>
      <w:proofErr w:type="spellEnd"/>
      <w:r>
        <w:rPr>
          <w:rtl/>
        </w:rPr>
        <w:t>”, אמר, “[רק] כינו כל בעל כישרון ‘עילוי’”.</w:t>
      </w:r>
    </w:p>
    <w:p w14:paraId="1B3435EC" w14:textId="77777777" w:rsidR="00AB3647" w:rsidRDefault="00000000" w:rsidP="007923E9">
      <w:pPr>
        <w:spacing w:after="120" w:line="276" w:lineRule="auto"/>
        <w:ind w:firstLine="283"/>
        <w:jc w:val="both"/>
      </w:pPr>
      <w:r>
        <w:rPr>
          <w:rtl/>
        </w:rPr>
        <w:t xml:space="preserve">כשבא ר׳ </w:t>
      </w:r>
      <w:proofErr w:type="spellStart"/>
      <w:r>
        <w:rPr>
          <w:rtl/>
        </w:rPr>
        <w:t>ברוך־בער</w:t>
      </w:r>
      <w:proofErr w:type="spellEnd"/>
      <w:r>
        <w:rPr>
          <w:rtl/>
        </w:rPr>
        <w:t xml:space="preserve"> לאמריקה בתחילת </w:t>
      </w:r>
      <w:proofErr w:type="spellStart"/>
      <w:r>
        <w:rPr>
          <w:rtl/>
        </w:rPr>
        <w:t>תר״ץ</w:t>
      </w:r>
      <w:proofErr w:type="spellEnd"/>
      <w:r>
        <w:rPr>
          <w:rtl/>
        </w:rPr>
        <w:t xml:space="preserve">, במסע לגיוס כספים, נסע מר </w:t>
      </w:r>
      <w:proofErr w:type="spellStart"/>
      <w:r>
        <w:rPr>
          <w:rtl/>
        </w:rPr>
        <w:t>וולפרט</w:t>
      </w:r>
      <w:proofErr w:type="spellEnd"/>
      <w:r>
        <w:rPr>
          <w:rtl/>
        </w:rPr>
        <w:t xml:space="preserve"> לנמל ניו יורק כדי לקבל את פניו כשירד מן האונייה. בתחילה נהג בו ר׳ </w:t>
      </w:r>
      <w:proofErr w:type="spellStart"/>
      <w:r>
        <w:rPr>
          <w:rtl/>
        </w:rPr>
        <w:t>ברוך־בער</w:t>
      </w:r>
      <w:proofErr w:type="spellEnd"/>
      <w:r>
        <w:rPr>
          <w:rtl/>
        </w:rPr>
        <w:t xml:space="preserve"> בקרירות, מפני שהיה מגולח למשעי. </w:t>
      </w:r>
      <w:proofErr w:type="spellStart"/>
      <w:r>
        <w:rPr>
          <w:rtl/>
        </w:rPr>
        <w:t>וולפרט</w:t>
      </w:r>
      <w:proofErr w:type="spellEnd"/>
      <w:r>
        <w:rPr>
          <w:rtl/>
        </w:rPr>
        <w:t xml:space="preserve"> מיהר להבטיחו שאינו “א גלוח [מגולח בתער]”, שהוא “</w:t>
      </w:r>
      <w:proofErr w:type="spellStart"/>
      <w:r>
        <w:rPr>
          <w:rtl/>
        </w:rPr>
        <w:t>קרקפתא</w:t>
      </w:r>
      <w:proofErr w:type="spellEnd"/>
      <w:r>
        <w:rPr>
          <w:rtl/>
        </w:rPr>
        <w:t xml:space="preserve"> </w:t>
      </w:r>
      <w:proofErr w:type="spellStart"/>
      <w:r>
        <w:rPr>
          <w:rtl/>
        </w:rPr>
        <w:t>דמנח</w:t>
      </w:r>
      <w:proofErr w:type="spellEnd"/>
      <w:r>
        <w:rPr>
          <w:rtl/>
        </w:rPr>
        <w:t xml:space="preserve"> תפילין”</w:t>
      </w:r>
      <w:bookmarkStart w:id="5676" w:name="_fnr4316"/>
      <w:r>
        <w:rPr>
          <w:vertAlign w:val="superscript"/>
          <w:rtl/>
        </w:rPr>
        <w:footnoteReference w:id="4326" w:customMarkFollows="0"/>
      </w:r>
      <w:bookmarkEnd w:id="5676"/>
      <w:r>
        <w:rPr>
          <w:rtl/>
        </w:rPr>
        <w:t>, קובע עתים לתורה ומעולם לא חילל שבת. אז חיבקו רבו ואמר לו בקרבה גמורה: “</w:t>
      </w:r>
      <w:proofErr w:type="spellStart"/>
      <w:r>
        <w:rPr>
          <w:rtl/>
        </w:rPr>
        <w:t>קאפעל</w:t>
      </w:r>
      <w:proofErr w:type="spellEnd"/>
      <w:r>
        <w:rPr>
          <w:rtl/>
        </w:rPr>
        <w:t xml:space="preserve">, </w:t>
      </w:r>
      <w:proofErr w:type="spellStart"/>
      <w:r>
        <w:rPr>
          <w:rtl/>
        </w:rPr>
        <w:t>וואס</w:t>
      </w:r>
      <w:proofErr w:type="spellEnd"/>
      <w:r>
        <w:rPr>
          <w:rtl/>
        </w:rPr>
        <w:t xml:space="preserve"> </w:t>
      </w:r>
      <w:proofErr w:type="spellStart"/>
      <w:r>
        <w:rPr>
          <w:rtl/>
        </w:rPr>
        <w:t>מאכסטו</w:t>
      </w:r>
      <w:proofErr w:type="spellEnd"/>
      <w:r>
        <w:rPr>
          <w:rtl/>
        </w:rPr>
        <w:t xml:space="preserve"> [קופל, מה שלומך]?”</w:t>
      </w:r>
    </w:p>
    <w:p w14:paraId="3D05513D" w14:textId="77777777" w:rsidR="00AB3647" w:rsidRDefault="00000000" w:rsidP="007923E9">
      <w:pPr>
        <w:spacing w:after="120" w:line="276" w:lineRule="auto"/>
        <w:ind w:firstLine="283"/>
        <w:jc w:val="both"/>
      </w:pPr>
      <w:r>
        <w:rPr>
          <w:rtl/>
        </w:rPr>
        <w:t xml:space="preserve">ר׳ </w:t>
      </w:r>
      <w:proofErr w:type="spellStart"/>
      <w:r>
        <w:rPr>
          <w:rtl/>
        </w:rPr>
        <w:t>ברוך־בער</w:t>
      </w:r>
      <w:proofErr w:type="spellEnd"/>
      <w:r>
        <w:rPr>
          <w:rtl/>
        </w:rPr>
        <w:t xml:space="preserve"> הרגיש קרבה מיוחדת לתלמידיו. ר׳ שלמה לורנץ סיפר</w:t>
      </w:r>
      <w:bookmarkStart w:id="5677" w:name="_fnr4317"/>
      <w:r>
        <w:rPr>
          <w:vertAlign w:val="superscript"/>
          <w:rtl/>
        </w:rPr>
        <w:footnoteReference w:id="4327" w:customMarkFollows="0"/>
      </w:r>
      <w:bookmarkEnd w:id="5677"/>
      <w:r>
        <w:rPr>
          <w:rtl/>
        </w:rPr>
        <w:t xml:space="preserve"> שאחרי שלמד שנתיים וחצי בישיבת </w:t>
      </w:r>
      <w:proofErr w:type="spellStart"/>
      <w:r>
        <w:rPr>
          <w:rtl/>
        </w:rPr>
        <w:t>מיר</w:t>
      </w:r>
      <w:proofErr w:type="spellEnd"/>
      <w:r>
        <w:rPr>
          <w:rtl/>
        </w:rPr>
        <w:t xml:space="preserve"> נסע הביתה להונגריה דרך ורשה. הוא התאכסן באכסניית הרבנית </w:t>
      </w:r>
      <w:proofErr w:type="spellStart"/>
      <w:r>
        <w:rPr>
          <w:rtl/>
        </w:rPr>
        <w:t>מפרצ׳ב</w:t>
      </w:r>
      <w:proofErr w:type="spellEnd"/>
      <w:r>
        <w:rPr>
          <w:rtl/>
        </w:rPr>
        <w:t>, שהיו רגילים להתארח בה אנשי ישיבות</w:t>
      </w:r>
      <w:bookmarkStart w:id="5678" w:name="_fnr4318"/>
      <w:r>
        <w:rPr>
          <w:vertAlign w:val="superscript"/>
          <w:rtl/>
        </w:rPr>
        <w:footnoteReference w:id="4328" w:customMarkFollows="0"/>
      </w:r>
      <w:bookmarkEnd w:id="5678"/>
      <w:r>
        <w:rPr>
          <w:rtl/>
        </w:rPr>
        <w:t xml:space="preserve">, ור׳ </w:t>
      </w:r>
      <w:proofErr w:type="spellStart"/>
      <w:r>
        <w:rPr>
          <w:rtl/>
        </w:rPr>
        <w:t>ברוך־בער</w:t>
      </w:r>
      <w:proofErr w:type="spellEnd"/>
      <w:r>
        <w:rPr>
          <w:rtl/>
        </w:rPr>
        <w:t xml:space="preserve"> הזדמן להתארח שם באותה שעה. בבוקר סידר ר׳ שלמה את הופעתו מול המראה שבמסדרון, והבחין בר׳ </w:t>
      </w:r>
      <w:proofErr w:type="spellStart"/>
      <w:r>
        <w:rPr>
          <w:rtl/>
        </w:rPr>
        <w:t>ברוך־בער</w:t>
      </w:r>
      <w:proofErr w:type="spellEnd"/>
      <w:r>
        <w:rPr>
          <w:rtl/>
        </w:rPr>
        <w:t xml:space="preserve"> הולך לקראתו.</w:t>
      </w:r>
    </w:p>
    <w:p w14:paraId="100A54F9" w14:textId="77777777" w:rsidR="00AB3647" w:rsidRDefault="00000000" w:rsidP="007923E9">
      <w:pPr>
        <w:spacing w:after="120" w:line="276" w:lineRule="auto"/>
        <w:ind w:firstLine="283"/>
        <w:jc w:val="both"/>
      </w:pPr>
      <w:r>
        <w:rPr>
          <w:rtl/>
        </w:rPr>
        <w:t xml:space="preserve">ר׳ </w:t>
      </w:r>
      <w:proofErr w:type="spellStart"/>
      <w:r>
        <w:rPr>
          <w:rtl/>
        </w:rPr>
        <w:t>ברוך־בער</w:t>
      </w:r>
      <w:proofErr w:type="spellEnd"/>
      <w:r>
        <w:rPr>
          <w:rtl/>
        </w:rPr>
        <w:t xml:space="preserve"> כבר שמע קודם לכן שבחור ישיבה מהונגריה מתארח </w:t>
      </w:r>
      <w:proofErr w:type="spellStart"/>
      <w:r>
        <w:rPr>
          <w:rtl/>
        </w:rPr>
        <w:t>באכסניה</w:t>
      </w:r>
      <w:proofErr w:type="spellEnd"/>
      <w:r>
        <w:rPr>
          <w:rtl/>
        </w:rPr>
        <w:t xml:space="preserve">. הוא בירך אותו בכבוד, וסיפר לו שאחד מתלמידיו – ונקב בשמו – עזב את </w:t>
      </w:r>
      <w:proofErr w:type="spellStart"/>
      <w:r>
        <w:rPr>
          <w:rtl/>
        </w:rPr>
        <w:t>קמניץ</w:t>
      </w:r>
      <w:proofErr w:type="spellEnd"/>
      <w:r>
        <w:rPr>
          <w:rtl/>
        </w:rPr>
        <w:t xml:space="preserve"> לפני זמן מה, ומאז לא שמע ממנו. הוא תהה מה עלה בגורל אותו תלמיד, והעלה את האפשרות שנסע לארץ אחרת. הוא ביקש מר׳ שלמה להיות ער לכך בהונגריה, שמא ייתקל בתלמיד שנעלם, ולומר לו שיודיע לרבו מה שלומו. ר׳ </w:t>
      </w:r>
      <w:proofErr w:type="spellStart"/>
      <w:r>
        <w:rPr>
          <w:rtl/>
        </w:rPr>
        <w:t>ברוך־בער</w:t>
      </w:r>
      <w:proofErr w:type="spellEnd"/>
      <w:r>
        <w:rPr>
          <w:rtl/>
        </w:rPr>
        <w:t xml:space="preserve"> לא אמר שהתלמיד היה אדם מיוחד – הוא היה תלמיד אחד מבין מאות שעברו תחת ידו – ובכל זאת זכר אותו ודאג לו</w:t>
      </w:r>
      <w:bookmarkStart w:id="5679" w:name="_fnr4319"/>
      <w:r>
        <w:rPr>
          <w:vertAlign w:val="superscript"/>
          <w:rtl/>
        </w:rPr>
        <w:footnoteReference w:id="4329" w:customMarkFollows="0"/>
      </w:r>
      <w:bookmarkEnd w:id="5679"/>
      <w:r>
        <w:rPr>
          <w:rtl/>
        </w:rPr>
        <w:t>.</w:t>
      </w:r>
    </w:p>
    <w:bookmarkStart w:id="5680" w:name="b4_excQ"/>
    <w:bookmarkStart w:id="5681" w:name="b4_annexQ"/>
    <w:p w14:paraId="776A96B1" w14:textId="77777777" w:rsidR="00AB3647" w:rsidRDefault="00000000" w:rsidP="007923E9">
      <w:pPr>
        <w:pStyle w:val="3"/>
        <w:pageBreakBefore w:val="0"/>
        <w:spacing w:line="276" w:lineRule="auto"/>
      </w:pPr>
      <w:r>
        <w:lastRenderedPageBreak/>
        <w:fldChar w:fldCharType="begin" w:dirty="true"/>
      </w:r>
      <w:r>
        <w:rPr>
          <w:rtl w:val="0"/>
        </w:rPr>
        <w:instrText>HYPERLINK \l "b4_note141</w:instrText>
      </w:r>
      <w:r>
        <w:instrText>"</w:instrText>
      </w:r>
      <w:r>
        <w:fldChar w:fldCharType="separate"/>
      </w:r>
      <w:r>
        <w:t xml:space="preserve">נספח </w:t>
      </w:r>
      <w:proofErr w:type="spellStart"/>
      <w:r>
        <w:t>יז</w:t>
      </w:r>
      <w:proofErr w:type="spellEnd"/>
      <w:r>
        <w:fldChar w:fldCharType="end"/>
      </w:r>
      <w:bookmarkEnd w:id="5680"/>
      <w:bookmarkEnd w:id="5681"/>
    </w:p>
    <w:p w14:paraId="4F23F405" w14:textId="77777777" w:rsidR="00AB3647" w:rsidRDefault="00000000" w:rsidP="007923E9">
      <w:pPr>
        <w:pStyle w:val="af"/>
        <w:spacing w:line="276" w:lineRule="auto"/>
      </w:pPr>
      <w:r>
        <w:t xml:space="preserve">על מועמדויות ר׳ </w:t>
      </w:r>
      <w:proofErr w:type="spellStart"/>
      <w:r>
        <w:t>דוד־טעביל</w:t>
      </w:r>
      <w:proofErr w:type="spellEnd"/>
      <w:r>
        <w:t xml:space="preserve"> לרבנות ועל גאונות ר׳ </w:t>
      </w:r>
      <w:proofErr w:type="spellStart"/>
      <w:r>
        <w:t>דוד׳ל</w:t>
      </w:r>
      <w:proofErr w:type="spellEnd"/>
      <w:r>
        <w:t xml:space="preserve"> פרידמן</w:t>
      </w:r>
    </w:p>
    <w:p w14:paraId="31553710" w14:textId="77777777" w:rsidR="00AB3647" w:rsidRDefault="00000000" w:rsidP="007923E9">
      <w:pPr>
        <w:pStyle w:val="4"/>
        <w:spacing w:line="276" w:lineRule="auto"/>
      </w:pPr>
      <w:r>
        <w:t>· הפסקה הראשונה ·</w:t>
      </w:r>
    </w:p>
    <w:p w14:paraId="2D2E3316" w14:textId="77777777" w:rsidR="00AB3647" w:rsidRDefault="00000000" w:rsidP="007923E9">
      <w:pPr>
        <w:pStyle w:val="5"/>
        <w:spacing w:line="276" w:lineRule="auto"/>
      </w:pPr>
      <w:r>
        <w:rPr>
          <w:bCs/>
          <w:szCs w:val="26"/>
        </w:rPr>
        <w:t xml:space="preserve">ר׳ </w:t>
      </w:r>
      <w:proofErr w:type="spellStart"/>
      <w:r>
        <w:rPr>
          <w:bCs/>
          <w:szCs w:val="26"/>
        </w:rPr>
        <w:t>דוד׳ל</w:t>
      </w:r>
      <w:proofErr w:type="spellEnd"/>
      <w:r>
        <w:rPr>
          <w:bCs/>
          <w:szCs w:val="26"/>
        </w:rPr>
        <w:t xml:space="preserve"> פרידמן נענש על פירוק שיעורו של ר׳ </w:t>
      </w:r>
      <w:proofErr w:type="spellStart"/>
      <w:r>
        <w:rPr>
          <w:bCs/>
          <w:szCs w:val="26"/>
        </w:rPr>
        <w:t>דוד־טעביל</w:t>
      </w:r>
      <w:proofErr w:type="spellEnd"/>
      <w:r>
        <w:rPr>
          <w:bCs/>
          <w:szCs w:val="26"/>
        </w:rPr>
        <w:t xml:space="preserve"> – לימים שוקל ר׳ </w:t>
      </w:r>
      <w:proofErr w:type="spellStart"/>
      <w:r>
        <w:rPr>
          <w:bCs/>
          <w:szCs w:val="26"/>
        </w:rPr>
        <w:t>דוד׳ל</w:t>
      </w:r>
      <w:proofErr w:type="spellEnd"/>
      <w:r>
        <w:rPr>
          <w:bCs/>
          <w:szCs w:val="26"/>
        </w:rPr>
        <w:t xml:space="preserve"> פרידמן לרשת את רבנות מינסק הראשית – ר׳ </w:t>
      </w:r>
      <w:proofErr w:type="spellStart"/>
      <w:r>
        <w:rPr>
          <w:bCs/>
          <w:szCs w:val="26"/>
        </w:rPr>
        <w:t>דוד׳ל</w:t>
      </w:r>
      <w:proofErr w:type="spellEnd"/>
      <w:r>
        <w:rPr>
          <w:bCs/>
          <w:szCs w:val="26"/>
        </w:rPr>
        <w:t xml:space="preserve"> ננזף על שהביך נואם בציבור – מסופר שר׳ </w:t>
      </w:r>
      <w:proofErr w:type="spellStart"/>
      <w:r>
        <w:rPr>
          <w:bCs/>
          <w:szCs w:val="26"/>
        </w:rPr>
        <w:t>דוד־טעביל</w:t>
      </w:r>
      <w:proofErr w:type="spellEnd"/>
      <w:r>
        <w:rPr>
          <w:bCs/>
          <w:szCs w:val="26"/>
        </w:rPr>
        <w:t xml:space="preserve"> מבקש עצה </w:t>
      </w:r>
      <w:proofErr w:type="spellStart"/>
      <w:r>
        <w:rPr>
          <w:bCs/>
          <w:szCs w:val="26"/>
        </w:rPr>
        <w:t>במיר</w:t>
      </w:r>
      <w:proofErr w:type="spellEnd"/>
      <w:r>
        <w:rPr>
          <w:bCs/>
          <w:szCs w:val="26"/>
        </w:rPr>
        <w:t xml:space="preserve"> – הוא פונה אל חברו לישיבה ר׳ ישראל </w:t>
      </w:r>
      <w:proofErr w:type="spellStart"/>
      <w:r>
        <w:rPr>
          <w:bCs/>
          <w:szCs w:val="26"/>
        </w:rPr>
        <w:t xml:space="preserve">הלר</w:t>
      </w:r>
      <w:proofErr w:type="spellEnd"/>
      <w:r>
        <w:rPr>
          <w:bCs/>
          <w:szCs w:val="26"/>
        </w:rPr>
        <w:t xml:space="preserve"> – ר׳ </w:t>
      </w:r>
      <w:proofErr w:type="spellStart"/>
      <w:r>
        <w:rPr>
          <w:bCs/>
          <w:szCs w:val="26"/>
        </w:rPr>
        <w:t>דוד־טעביל</w:t>
      </w:r>
      <w:proofErr w:type="spellEnd"/>
      <w:r>
        <w:rPr>
          <w:bCs/>
          <w:szCs w:val="26"/>
        </w:rPr>
        <w:t xml:space="preserve"> בדרכו </w:t>
      </w:r>
      <w:proofErr w:type="spellStart"/>
      <w:r>
        <w:rPr>
          <w:bCs/>
          <w:szCs w:val="26"/>
        </w:rPr>
        <w:t>לבריסק</w:t>
      </w:r>
      <w:proofErr w:type="spellEnd"/>
      <w:r>
        <w:rPr>
          <w:bCs/>
          <w:szCs w:val="26"/>
        </w:rPr>
        <w:t xml:space="preserve"> – ר׳ חיים </w:t>
      </w:r>
      <w:proofErr w:type="spellStart"/>
      <w:r>
        <w:rPr>
          <w:bCs/>
          <w:szCs w:val="26"/>
        </w:rPr>
        <w:t>מוולוז׳ין</w:t>
      </w:r>
      <w:proofErr w:type="spellEnd"/>
      <w:r>
        <w:rPr>
          <w:bCs/>
          <w:szCs w:val="26"/>
        </w:rPr>
        <w:t xml:space="preserve"> משבח את תלמידו – מיוחסת לו ראיית עתידם של תלמידיו</w:t>
      </w:r>
    </w:p>
    <w:p w14:paraId="606A9766" w14:textId="77777777" w:rsidR="00AB3647" w:rsidRDefault="00000000" w:rsidP="007923E9">
      <w:pPr>
        <w:spacing w:after="120" w:line="276" w:lineRule="auto"/>
        <w:ind w:firstLine="283"/>
        <w:jc w:val="both"/>
      </w:pPr>
      <w:r>
        <w:rPr>
          <w:rtl/>
        </w:rPr>
        <w:t xml:space="preserve">השווה תחילת הערה 142 בפרק זה. ר׳ אשר </w:t>
      </w:r>
      <w:proofErr w:type="spellStart"/>
      <w:r>
        <w:rPr>
          <w:rtl/>
        </w:rPr>
        <w:t>קצמן</w:t>
      </w:r>
      <w:bookmarkStart w:id="5682" w:name="_fnr4320"/>
      <w:proofErr w:type="spellEnd"/>
      <w:r>
        <w:rPr>
          <w:vertAlign w:val="superscript"/>
          <w:rtl/>
        </w:rPr>
        <w:footnoteReference w:id="4330" w:customMarkFollows="0"/>
      </w:r>
      <w:bookmarkEnd w:id="5682"/>
      <w:r>
        <w:rPr>
          <w:rtl/>
        </w:rPr>
        <w:t xml:space="preserve"> הביא את דברי אבי, </w:t>
      </w:r>
      <w:proofErr w:type="spellStart"/>
      <w:r>
        <w:rPr>
          <w:rtl/>
        </w:rPr>
        <w:t>ש“הכיר</w:t>
      </w:r>
      <w:proofErr w:type="spellEnd"/>
      <w:r>
        <w:rPr>
          <w:rtl/>
        </w:rPr>
        <w:t xml:space="preserve"> היטב את ר׳ </w:t>
      </w:r>
      <w:proofErr w:type="spellStart"/>
      <w:r>
        <w:rPr>
          <w:rtl/>
        </w:rPr>
        <w:t>דוד׳ל</w:t>
      </w:r>
      <w:proofErr w:type="spellEnd"/>
      <w:r>
        <w:rPr>
          <w:rtl/>
        </w:rPr>
        <w:t>”, כשסיפר עליו את המעשה הבא</w:t>
      </w:r>
      <w:bookmarkStart w:id="5683" w:name="_fnr4321"/>
      <w:r>
        <w:rPr>
          <w:vertAlign w:val="superscript"/>
          <w:rtl/>
        </w:rPr>
        <w:footnoteReference w:id="4331" w:customMarkFollows="0"/>
      </w:r>
      <w:bookmarkEnd w:id="5683"/>
      <w:r>
        <w:rPr>
          <w:rtl/>
        </w:rPr>
        <w:t xml:space="preserve">: “ר׳ </w:t>
      </w:r>
      <w:proofErr w:type="spellStart"/>
      <w:r>
        <w:rPr>
          <w:rtl/>
        </w:rPr>
        <w:t>דוד־טעביל</w:t>
      </w:r>
      <w:proofErr w:type="spellEnd"/>
      <w:r>
        <w:rPr>
          <w:rtl/>
        </w:rPr>
        <w:t>, בעל ‘נחלת דוד’ ולימים רבה של מינסק</w:t>
      </w:r>
      <w:bookmarkStart w:id="5684" w:name="_fnr4322"/>
      <w:r>
        <w:rPr>
          <w:vertAlign w:val="superscript"/>
          <w:rtl/>
        </w:rPr>
        <w:footnoteReference w:id="4332" w:customMarkFollows="0"/>
      </w:r>
      <w:bookmarkEnd w:id="5684"/>
      <w:r>
        <w:rPr>
          <w:rtl/>
        </w:rPr>
        <w:t xml:space="preserve">, ביקש להתמנות לרב בעיר אחרת בשעה שכיהן כרב </w:t>
      </w:r>
      <w:proofErr w:type="spellStart"/>
      <w:r>
        <w:rPr>
          <w:rtl/>
        </w:rPr>
        <w:t>בסטויבץ</w:t>
      </w:r>
      <w:proofErr w:type="spellEnd"/>
      <w:r>
        <w:rPr>
          <w:rtl/>
        </w:rPr>
        <w:t xml:space="preserve"> [שבה נשאר לבסוף שלושים ושתיים שנה]. כמועמד היה עליו למסור שיעור בשבת. ר׳ </w:t>
      </w:r>
      <w:proofErr w:type="spellStart"/>
      <w:r>
        <w:rPr>
          <w:rtl/>
        </w:rPr>
        <w:t>דוד׳ל</w:t>
      </w:r>
      <w:proofErr w:type="spellEnd"/>
      <w:r>
        <w:rPr>
          <w:rtl/>
        </w:rPr>
        <w:t xml:space="preserve">, שהיה אז בן תשע, שהה בעיר. לאחר שעיין במראי המקומות שתלה האורח לפני דרשתו, הבין הנער כיצד יתפתח השיעור. כמה ממתנגדי מועמדותו של ר׳ </w:t>
      </w:r>
      <w:proofErr w:type="spellStart"/>
      <w:r>
        <w:rPr>
          <w:rtl/>
        </w:rPr>
        <w:t>דוד־טעביל</w:t>
      </w:r>
      <w:proofErr w:type="spellEnd"/>
      <w:r>
        <w:rPr>
          <w:rtl/>
        </w:rPr>
        <w:t xml:space="preserve"> העמידו את העילוי על ספסל מול הנואם, והילד החל לפרק את השיעור תוך כדי בנייתו. הדבר פגע בר׳ </w:t>
      </w:r>
      <w:proofErr w:type="spellStart"/>
      <w:r>
        <w:rPr>
          <w:rtl/>
        </w:rPr>
        <w:t>דוד־טעביל</w:t>
      </w:r>
      <w:proofErr w:type="spellEnd"/>
      <w:r>
        <w:rPr>
          <w:rtl/>
        </w:rPr>
        <w:t xml:space="preserve">. הוא גער בילד ואמר: ‘אתה מנסה להקטין אותי. אבל קטן אתה, וקטן תישאר’. ר׳ </w:t>
      </w:r>
      <w:proofErr w:type="spellStart"/>
      <w:r>
        <w:rPr>
          <w:rtl/>
        </w:rPr>
        <w:t>דוד׳ל</w:t>
      </w:r>
      <w:proofErr w:type="spellEnd"/>
      <w:r>
        <w:rPr>
          <w:rtl/>
        </w:rPr>
        <w:t xml:space="preserve"> פרידמן אכן נשאר קטן בקומתו ובגופו, וסבל מחולשה באחת מידיו כל חייו; ואף שנעשה אחד מגדולי העולם, נשאר רב בעיירה הזעירה </w:t>
      </w:r>
      <w:proofErr w:type="spellStart"/>
      <w:r>
        <w:rPr>
          <w:rtl/>
        </w:rPr>
        <w:t>קרלין</w:t>
      </w:r>
      <w:proofErr w:type="spellEnd"/>
      <w:r>
        <w:rPr>
          <w:rtl/>
        </w:rPr>
        <w:t xml:space="preserve">, שאינה אלא פרוור של </w:t>
      </w:r>
      <w:proofErr w:type="spellStart"/>
      <w:r>
        <w:rPr>
          <w:rtl/>
        </w:rPr>
        <w:t>פינסק</w:t>
      </w:r>
      <w:proofErr w:type="spellEnd"/>
      <w:r>
        <w:rPr>
          <w:rtl/>
        </w:rPr>
        <w:t>, במשך חצי מאה”.</w:t>
      </w:r>
    </w:p>
    <w:p w14:paraId="743F1E09" w14:textId="77777777" w:rsidR="00AB3647" w:rsidRDefault="00000000" w:rsidP="007923E9">
      <w:pPr>
        <w:spacing w:after="120" w:line="276" w:lineRule="auto"/>
        <w:ind w:firstLine="283"/>
        <w:jc w:val="both"/>
      </w:pPr>
      <w:r>
        <w:rPr>
          <w:rtl/>
        </w:rPr>
        <w:t xml:space="preserve">מעניין שר׳ </w:t>
      </w:r>
      <w:proofErr w:type="spellStart"/>
      <w:r>
        <w:rPr>
          <w:rtl/>
        </w:rPr>
        <w:t>דוד׳ל</w:t>
      </w:r>
      <w:proofErr w:type="spellEnd"/>
      <w:r>
        <w:rPr>
          <w:rtl/>
        </w:rPr>
        <w:t xml:space="preserve"> שקל לרשת את ר׳ </w:t>
      </w:r>
      <w:proofErr w:type="spellStart"/>
      <w:r>
        <w:rPr>
          <w:rtl/>
        </w:rPr>
        <w:t>דוד־טעביל</w:t>
      </w:r>
      <w:proofErr w:type="spellEnd"/>
      <w:r>
        <w:rPr>
          <w:rtl/>
        </w:rPr>
        <w:t xml:space="preserve"> במינסק </w:t>
      </w:r>
      <w:proofErr w:type="spellStart"/>
      <w:r>
        <w:rPr>
          <w:rtl/>
        </w:rPr>
        <w:t>בתרנ״א</w:t>
      </w:r>
      <w:proofErr w:type="spellEnd"/>
      <w:r>
        <w:rPr>
          <w:rtl/>
        </w:rPr>
        <w:t xml:space="preserve">, אחרי </w:t>
      </w:r>
      <w:proofErr w:type="spellStart"/>
      <w:r>
        <w:rPr>
          <w:rtl/>
        </w:rPr>
        <w:t>שכסא</w:t>
      </w:r>
      <w:proofErr w:type="spellEnd"/>
      <w:r>
        <w:rPr>
          <w:rtl/>
        </w:rPr>
        <w:t xml:space="preserve"> הרבנות נשאר פנוי עשרים שנה לאחר פטירת הרב. כך עולה מחתימתו של ר׳ </w:t>
      </w:r>
      <w:proofErr w:type="spellStart"/>
      <w:r>
        <w:rPr>
          <w:rtl/>
        </w:rPr>
        <w:t>דוד׳ל</w:t>
      </w:r>
      <w:proofErr w:type="spellEnd"/>
      <w:r>
        <w:rPr>
          <w:rtl/>
        </w:rPr>
        <w:t xml:space="preserve"> על “קונטרס עמק ברכה”</w:t>
      </w:r>
      <w:bookmarkStart w:id="5685" w:name="_fnr4323"/>
      <w:r>
        <w:rPr>
          <w:vertAlign w:val="superscript"/>
          <w:rtl/>
        </w:rPr>
        <w:footnoteReference w:id="4333" w:customMarkFollows="0"/>
      </w:r>
      <w:bookmarkEnd w:id="5685"/>
      <w:r>
        <w:rPr>
          <w:rtl/>
        </w:rPr>
        <w:t xml:space="preserve">, שבו הוא מכנה את עצמו “החונה </w:t>
      </w:r>
      <w:proofErr w:type="spellStart"/>
      <w:r>
        <w:rPr>
          <w:rtl/>
        </w:rPr>
        <w:t>לע״ע</w:t>
      </w:r>
      <w:proofErr w:type="spellEnd"/>
      <w:r>
        <w:rPr>
          <w:rtl/>
        </w:rPr>
        <w:t xml:space="preserve"> פה </w:t>
      </w:r>
      <w:proofErr w:type="spellStart"/>
      <w:r>
        <w:rPr>
          <w:rtl/>
        </w:rPr>
        <w:t>קארלין</w:t>
      </w:r>
      <w:proofErr w:type="spellEnd"/>
      <w:r>
        <w:rPr>
          <w:rtl/>
        </w:rPr>
        <w:t xml:space="preserve"> </w:t>
      </w:r>
      <w:proofErr w:type="spellStart"/>
      <w:r>
        <w:rPr>
          <w:rtl/>
        </w:rPr>
        <w:t>פינסק</w:t>
      </w:r>
      <w:proofErr w:type="spellEnd"/>
      <w:r>
        <w:rPr>
          <w:rtl/>
        </w:rPr>
        <w:t xml:space="preserve"> ונתקבל למד״א בעיר מינסק”. המוציא לאור כותב שם גם את שם משפחתו של ר׳ </w:t>
      </w:r>
      <w:proofErr w:type="spellStart"/>
      <w:r>
        <w:rPr>
          <w:rtl/>
        </w:rPr>
        <w:t>דוד׳ל</w:t>
      </w:r>
      <w:proofErr w:type="spellEnd"/>
      <w:r>
        <w:rPr>
          <w:rtl/>
        </w:rPr>
        <w:t xml:space="preserve"> בצורה “</w:t>
      </w:r>
      <w:proofErr w:type="spellStart"/>
      <w:r>
        <w:rPr>
          <w:rtl/>
        </w:rPr>
        <w:t>איש־שלום</w:t>
      </w:r>
      <w:proofErr w:type="spellEnd"/>
      <w:r>
        <w:rPr>
          <w:rtl/>
        </w:rPr>
        <w:t>”, עברות של “פרידמן”, המתאים למגמה המפייסת של הפרסום (השווה הפסקה הבאה). לפי “הגדול ממינסק”</w:t>
      </w:r>
      <w:bookmarkStart w:id="5686" w:name="_fnr4324"/>
      <w:r>
        <w:rPr>
          <w:vertAlign w:val="superscript"/>
          <w:rtl/>
        </w:rPr>
        <w:footnoteReference w:id="4334" w:customMarkFollows="0"/>
      </w:r>
      <w:bookmarkEnd w:id="5686"/>
      <w:r>
        <w:rPr>
          <w:rtl/>
        </w:rPr>
        <w:t xml:space="preserve">, לא יצא המינוי לפועל, מפני ש”(ר׳ </w:t>
      </w:r>
      <w:proofErr w:type="spellStart"/>
      <w:r>
        <w:rPr>
          <w:rtl/>
        </w:rPr>
        <w:t>דוד׳ל</w:t>
      </w:r>
      <w:proofErr w:type="spellEnd"/>
      <w:r>
        <w:rPr>
          <w:rtl/>
        </w:rPr>
        <w:t xml:space="preserve">) לא רצה לעבור ממקומו מחמת זקנה וחולשה” – תיאור </w:t>
      </w:r>
      <w:proofErr w:type="spellStart"/>
      <w:r>
        <w:rPr>
          <w:rtl/>
        </w:rPr>
        <w:t>בלתי־רגיל</w:t>
      </w:r>
      <w:proofErr w:type="spellEnd"/>
      <w:r>
        <w:rPr>
          <w:rtl/>
        </w:rPr>
        <w:t xml:space="preserve"> לאדם בן שישים ושלוש.</w:t>
      </w:r>
    </w:p>
    <w:p w14:paraId="34703462" w14:textId="77777777" w:rsidR="00AB3647" w:rsidRDefault="00000000" w:rsidP="007923E9">
      <w:pPr>
        <w:spacing w:after="120" w:line="276" w:lineRule="auto"/>
        <w:ind w:firstLine="283"/>
        <w:jc w:val="both"/>
      </w:pPr>
      <w:r>
        <w:rPr>
          <w:rtl/>
        </w:rPr>
        <w:lastRenderedPageBreak/>
        <w:t xml:space="preserve">עיקר המעשה – כיצד הביס </w:t>
      </w:r>
      <w:proofErr w:type="spellStart"/>
      <w:r>
        <w:rPr>
          <w:rtl/>
        </w:rPr>
        <w:t>דוד׳ל</w:t>
      </w:r>
      <w:proofErr w:type="spellEnd"/>
      <w:r>
        <w:rPr>
          <w:rtl/>
        </w:rPr>
        <w:t xml:space="preserve"> הקטן גאון זקן – נמצא </w:t>
      </w:r>
      <w:proofErr w:type="spellStart"/>
      <w:r>
        <w:rPr>
          <w:rtl/>
        </w:rPr>
        <w:t>ב“אהלי</w:t>
      </w:r>
      <w:proofErr w:type="spellEnd"/>
      <w:r>
        <w:rPr>
          <w:rtl/>
        </w:rPr>
        <w:t xml:space="preserve"> שם”</w:t>
      </w:r>
      <w:bookmarkStart w:id="5687" w:name="_fnr4325"/>
      <w:r>
        <w:rPr>
          <w:vertAlign w:val="superscript"/>
          <w:rtl/>
        </w:rPr>
        <w:footnoteReference w:id="4335" w:customMarkFollows="0"/>
      </w:r>
      <w:bookmarkEnd w:id="5687"/>
      <w:r>
        <w:rPr>
          <w:rtl/>
        </w:rPr>
        <w:t xml:space="preserve">, ומשם מתברר שהמאורע התרחש </w:t>
      </w:r>
      <w:proofErr w:type="spellStart"/>
      <w:r>
        <w:rPr>
          <w:rtl/>
        </w:rPr>
        <w:t>בבריסק</w:t>
      </w:r>
      <w:proofErr w:type="spellEnd"/>
      <w:r>
        <w:rPr>
          <w:rtl/>
        </w:rPr>
        <w:t xml:space="preserve"> </w:t>
      </w:r>
      <w:proofErr w:type="spellStart"/>
      <w:r>
        <w:rPr>
          <w:rtl/>
        </w:rPr>
        <w:t>בתקצ״ז</w:t>
      </w:r>
      <w:proofErr w:type="spellEnd"/>
      <w:r>
        <w:rPr>
          <w:rtl/>
        </w:rPr>
        <w:t xml:space="preserve">. רבנות העיר התפנתה שנתיים קודם לכן, עם פטירת ר׳ </w:t>
      </w:r>
      <w:proofErr w:type="spellStart"/>
      <w:r>
        <w:rPr>
          <w:rtl/>
        </w:rPr>
        <w:t>אריה־לייב</w:t>
      </w:r>
      <w:proofErr w:type="spellEnd"/>
      <w:r>
        <w:rPr>
          <w:rtl/>
        </w:rPr>
        <w:t xml:space="preserve"> </w:t>
      </w:r>
      <w:proofErr w:type="spellStart"/>
      <w:r>
        <w:rPr>
          <w:rtl/>
        </w:rPr>
        <w:t>קצנלנבוגן</w:t>
      </w:r>
      <w:proofErr w:type="spellEnd"/>
      <w:r>
        <w:rPr>
          <w:rtl/>
        </w:rPr>
        <w:t xml:space="preserve">, ומחליפו, ר׳ </w:t>
      </w:r>
      <w:proofErr w:type="spellStart"/>
      <w:r>
        <w:rPr>
          <w:rtl/>
        </w:rPr>
        <w:t>יעקב־מאיר</w:t>
      </w:r>
      <w:proofErr w:type="spellEnd"/>
      <w:r>
        <w:rPr>
          <w:rtl/>
        </w:rPr>
        <w:t xml:space="preserve"> </w:t>
      </w:r>
      <w:proofErr w:type="spellStart"/>
      <w:r>
        <w:rPr>
          <w:rtl/>
        </w:rPr>
        <w:t>פדואה</w:t>
      </w:r>
      <w:proofErr w:type="spellEnd"/>
      <w:r>
        <w:rPr>
          <w:rtl/>
        </w:rPr>
        <w:t xml:space="preserve">, לא נתמנה עד ת״ר. אחרי ההתנצלות </w:t>
      </w:r>
      <w:proofErr w:type="spellStart"/>
      <w:r>
        <w:rPr>
          <w:rtl/>
        </w:rPr>
        <w:t>ש“הסיפור</w:t>
      </w:r>
      <w:proofErr w:type="spellEnd"/>
      <w:r>
        <w:rPr>
          <w:rtl/>
        </w:rPr>
        <w:t xml:space="preserve"> בכללו ידוע בציבור”, מוסיף “</w:t>
      </w:r>
      <w:proofErr w:type="spellStart"/>
      <w:r>
        <w:rPr>
          <w:rtl/>
        </w:rPr>
        <w:t>אהלי</w:t>
      </w:r>
      <w:proofErr w:type="spellEnd"/>
      <w:r>
        <w:rPr>
          <w:rtl/>
        </w:rPr>
        <w:t xml:space="preserve"> שם” שני פרטים שמחברו טוען ששמע מפי בעל המעשה, ר׳ </w:t>
      </w:r>
      <w:proofErr w:type="spellStart"/>
      <w:r>
        <w:rPr>
          <w:rtl/>
        </w:rPr>
        <w:t>דוד׳ל</w:t>
      </w:r>
      <w:proofErr w:type="spellEnd"/>
      <w:r>
        <w:rPr>
          <w:rtl/>
        </w:rPr>
        <w:t xml:space="preserve">: שהוא לא ידע שמתנגדי המועמד מנצלים אותו; ושר׳ </w:t>
      </w:r>
      <w:proofErr w:type="spellStart"/>
      <w:r>
        <w:rPr>
          <w:rtl/>
        </w:rPr>
        <w:t>דוד־טעביל</w:t>
      </w:r>
      <w:proofErr w:type="spellEnd"/>
      <w:r>
        <w:rPr>
          <w:rtl/>
        </w:rPr>
        <w:t xml:space="preserve"> הביע “חיבה רבה למקשה הקטן והודה </w:t>
      </w:r>
      <w:proofErr w:type="spellStart"/>
      <w:r>
        <w:rPr>
          <w:rtl/>
        </w:rPr>
        <w:t>שפירכת</w:t>
      </w:r>
      <w:proofErr w:type="spellEnd"/>
      <w:r>
        <w:rPr>
          <w:rtl/>
        </w:rPr>
        <w:t xml:space="preserve"> חידושו [שלו] הייתה נכונה, אך העיר שאין זה ראוי לסתור דברי נואם בפני קהל גדול”.</w:t>
      </w:r>
    </w:p>
    <w:p w14:paraId="4F9669D8" w14:textId="77777777" w:rsidR="00AB3647" w:rsidRDefault="00000000" w:rsidP="007923E9">
      <w:pPr>
        <w:spacing w:after="120" w:line="276" w:lineRule="auto"/>
        <w:ind w:firstLine="283"/>
        <w:jc w:val="both"/>
      </w:pPr>
      <w:r>
        <w:rPr>
          <w:rtl/>
        </w:rPr>
        <w:t xml:space="preserve">הראשונה משלוש ההסכמות </w:t>
      </w:r>
      <w:proofErr w:type="spellStart"/>
      <w:r>
        <w:rPr>
          <w:rtl/>
        </w:rPr>
        <w:t>ל“אהלי</w:t>
      </w:r>
      <w:proofErr w:type="spellEnd"/>
      <w:r>
        <w:rPr>
          <w:rtl/>
        </w:rPr>
        <w:t xml:space="preserve"> שם” היא של ר׳ </w:t>
      </w:r>
      <w:proofErr w:type="spellStart"/>
      <w:r>
        <w:rPr>
          <w:rtl/>
        </w:rPr>
        <w:t>דוד׳ל</w:t>
      </w:r>
      <w:proofErr w:type="spellEnd"/>
      <w:r>
        <w:rPr>
          <w:rtl/>
        </w:rPr>
        <w:t xml:space="preserve">, והוא מכנה בה את מחבר הספר, ר׳ </w:t>
      </w:r>
      <w:proofErr w:type="spellStart"/>
      <w:r>
        <w:rPr>
          <w:rtl/>
        </w:rPr>
        <w:t>שמואל־נח</w:t>
      </w:r>
      <w:proofErr w:type="spellEnd"/>
      <w:r>
        <w:rPr>
          <w:rtl/>
        </w:rPr>
        <w:t xml:space="preserve"> גוטליב, “עוזרי ואיש סודי בכל ענייני הציבור זה עשרות שנים”. שתי ההסכמות האחרות הן של ר׳ חיים </w:t>
      </w:r>
      <w:proofErr w:type="spellStart"/>
      <w:r>
        <w:rPr>
          <w:rtl/>
        </w:rPr>
        <w:t>סולובייצ׳יק</w:t>
      </w:r>
      <w:proofErr w:type="spellEnd"/>
      <w:r>
        <w:rPr>
          <w:rtl/>
        </w:rPr>
        <w:t xml:space="preserve"> ושל ר׳ </w:t>
      </w:r>
      <w:proofErr w:type="spellStart"/>
      <w:r>
        <w:rPr>
          <w:rtl/>
        </w:rPr>
        <w:t>חיים־עוזר</w:t>
      </w:r>
      <w:proofErr w:type="spellEnd"/>
      <w:r>
        <w:rPr>
          <w:rtl/>
        </w:rPr>
        <w:t xml:space="preserve"> </w:t>
      </w:r>
      <w:proofErr w:type="spellStart"/>
      <w:r>
        <w:rPr>
          <w:rtl/>
        </w:rPr>
        <w:t>גרודזנסקי</w:t>
      </w:r>
      <w:proofErr w:type="spellEnd"/>
      <w:r>
        <w:rPr>
          <w:rtl/>
        </w:rPr>
        <w:t xml:space="preserve">. הספר משמיט – ומובן מדוע – את גערתו החריפה של ר׳ </w:t>
      </w:r>
      <w:proofErr w:type="spellStart"/>
      <w:r>
        <w:rPr>
          <w:rtl/>
        </w:rPr>
        <w:t>דוד־טעביל</w:t>
      </w:r>
      <w:proofErr w:type="spellEnd"/>
      <w:r>
        <w:rPr>
          <w:rtl/>
        </w:rPr>
        <w:t xml:space="preserve"> ואת דברי הגנאי שלו, כפי שסיפר אבי; ולא עוד, אלא שהוא הופך את תגובתו מכעס לחיבה</w:t>
      </w:r>
      <w:bookmarkStart w:id="5688" w:name="_fnr4326"/>
      <w:bookmarkStart w:id="5689" w:name="pr_f_4209"/>
      <w:r>
        <w:rPr>
          <w:vertAlign w:val="superscript"/>
          <w:rtl/>
        </w:rPr>
        <w:footnoteReference w:id="4336" w:customMarkFollows="0"/>
      </w:r>
      <w:bookmarkEnd w:id="5688"/>
      <w:bookmarkEnd w:id="5689"/>
      <w:r>
        <w:rPr>
          <w:rtl/>
        </w:rPr>
        <w:t>.</w:t>
      </w:r>
    </w:p>
    <w:p w14:paraId="58675FEE" w14:textId="77777777" w:rsidR="00AB3647" w:rsidRDefault="00000000" w:rsidP="007923E9">
      <w:pPr>
        <w:spacing w:after="120" w:line="276" w:lineRule="auto"/>
        <w:ind w:firstLine="283"/>
        <w:jc w:val="both"/>
      </w:pPr>
      <w:r>
        <w:rPr>
          <w:rtl/>
        </w:rPr>
        <w:t xml:space="preserve">ר׳ אלי׳ </w:t>
      </w:r>
      <w:proofErr w:type="spellStart"/>
      <w:r>
        <w:rPr>
          <w:rtl/>
        </w:rPr>
        <w:t>קושלבסקי</w:t>
      </w:r>
      <w:proofErr w:type="spellEnd"/>
      <w:r>
        <w:rPr>
          <w:rtl/>
        </w:rPr>
        <w:t xml:space="preserve"> סיפר</w:t>
      </w:r>
      <w:bookmarkStart w:id="5690" w:name="_fnr4327"/>
      <w:r>
        <w:rPr>
          <w:vertAlign w:val="superscript"/>
          <w:rtl/>
        </w:rPr>
        <w:footnoteReference w:id="4337" w:customMarkFollows="0"/>
      </w:r>
      <w:bookmarkEnd w:id="5690"/>
      <w:r>
        <w:rPr>
          <w:rtl/>
        </w:rPr>
        <w:t xml:space="preserve"> את המעשה הבא, ששמע מהמגיד </w:t>
      </w:r>
      <w:proofErr w:type="spellStart"/>
      <w:r>
        <w:rPr>
          <w:rtl/>
        </w:rPr>
        <w:t>מביאליסטוק</w:t>
      </w:r>
      <w:proofErr w:type="spellEnd"/>
      <w:r>
        <w:rPr>
          <w:rtl/>
        </w:rPr>
        <w:t xml:space="preserve">, ר׳ מאיר רפפורט: “ר׳ </w:t>
      </w:r>
      <w:proofErr w:type="spellStart"/>
      <w:r>
        <w:rPr>
          <w:rtl/>
        </w:rPr>
        <w:t>דוד־טעביל</w:t>
      </w:r>
      <w:proofErr w:type="spellEnd"/>
      <w:r>
        <w:rPr>
          <w:rtl/>
        </w:rPr>
        <w:t xml:space="preserve"> היה מועמד לרבנות </w:t>
      </w:r>
      <w:proofErr w:type="spellStart"/>
      <w:r>
        <w:rPr>
          <w:rtl/>
        </w:rPr>
        <w:t>נובהרדוק</w:t>
      </w:r>
      <w:proofErr w:type="spellEnd"/>
      <w:r>
        <w:rPr>
          <w:rtl/>
        </w:rPr>
        <w:t xml:space="preserve">. בדרכו לשם עצר </w:t>
      </w:r>
      <w:proofErr w:type="spellStart"/>
      <w:r>
        <w:rPr>
          <w:rtl/>
        </w:rPr>
        <w:t>במיר</w:t>
      </w:r>
      <w:proofErr w:type="spellEnd"/>
      <w:r>
        <w:rPr>
          <w:rtl/>
        </w:rPr>
        <w:t xml:space="preserve">, שרבה, </w:t>
      </w:r>
      <w:r>
        <w:rPr>
          <w:b/>
          <w:bCs/>
          <w:rtl/>
        </w:rPr>
        <w:t xml:space="preserve">ר׳ </w:t>
      </w:r>
      <w:proofErr w:type="spellStart"/>
      <w:r>
        <w:rPr>
          <w:b/>
          <w:bCs/>
          <w:rtl/>
        </w:rPr>
        <w:t>ליפל׳ה</w:t>
      </w:r>
      <w:proofErr w:type="spellEnd"/>
      <w:r>
        <w:rPr>
          <w:rtl/>
        </w:rPr>
        <w:t xml:space="preserve"> (ההדגשה שלי לצורך הדיון להלן), היה חברו מימי לימודיהם בישיבה. ר׳ </w:t>
      </w:r>
      <w:proofErr w:type="spellStart"/>
      <w:r>
        <w:rPr>
          <w:rtl/>
        </w:rPr>
        <w:t>דוד־טעביל</w:t>
      </w:r>
      <w:proofErr w:type="spellEnd"/>
      <w:r>
        <w:rPr>
          <w:rtl/>
        </w:rPr>
        <w:t xml:space="preserve"> סיפר למארחו שרבם, ר׳ חיים </w:t>
      </w:r>
      <w:proofErr w:type="spellStart"/>
      <w:r>
        <w:rPr>
          <w:rtl/>
        </w:rPr>
        <w:t>מוולוז׳ין</w:t>
      </w:r>
      <w:proofErr w:type="spellEnd"/>
      <w:r>
        <w:rPr>
          <w:rtl/>
        </w:rPr>
        <w:t xml:space="preserve">, בירכו שביום מן הימים יהיה רב בעיר בירה של פלך. הוא הוסיף שאף </w:t>
      </w:r>
      <w:proofErr w:type="spellStart"/>
      <w:r>
        <w:rPr>
          <w:rtl/>
        </w:rPr>
        <w:t>שנובהרדוק</w:t>
      </w:r>
      <w:proofErr w:type="spellEnd"/>
      <w:r>
        <w:rPr>
          <w:rtl/>
        </w:rPr>
        <w:t xml:space="preserve"> אינה בירה רשמית, היא גדלה בשנים האחרונות לעיר גדולה מאוד בזכות מסילת הברזל שעברה בה, וסבר שברכת רבו תתקיים עתה בהתמנותו לרב שם. ר׳ </w:t>
      </w:r>
      <w:proofErr w:type="spellStart"/>
      <w:r>
        <w:rPr>
          <w:rtl/>
        </w:rPr>
        <w:t>ליפל׳ה</w:t>
      </w:r>
      <w:proofErr w:type="spellEnd"/>
      <w:r>
        <w:rPr>
          <w:rtl/>
        </w:rPr>
        <w:t xml:space="preserve"> חלק עליו: ‘אם רבנו אמר בירה – בירה היא צריכה להיות: גדולה ככל שנעשתה </w:t>
      </w:r>
      <w:proofErr w:type="spellStart"/>
      <w:r>
        <w:rPr>
          <w:rtl/>
        </w:rPr>
        <w:t>נובהרדוק</w:t>
      </w:r>
      <w:proofErr w:type="spellEnd"/>
      <w:r>
        <w:rPr>
          <w:rtl/>
        </w:rPr>
        <w:t>, לא אליה התכוון רבנו. אני בטוח שמועמדותך תיכשל’. ואכן נכשלה”</w:t>
      </w:r>
      <w:bookmarkStart w:id="5691" w:name="_fnr4328"/>
      <w:r>
        <w:rPr>
          <w:vertAlign w:val="superscript"/>
          <w:rtl/>
        </w:rPr>
        <w:footnoteReference w:id="4338" w:customMarkFollows="0"/>
      </w:r>
      <w:bookmarkEnd w:id="5691"/>
      <w:r>
        <w:rPr>
          <w:rtl/>
        </w:rPr>
        <w:t>.</w:t>
      </w:r>
    </w:p>
    <w:p w14:paraId="10D80CD9" w14:textId="77777777" w:rsidR="00AB3647" w:rsidRDefault="00000000" w:rsidP="007923E9">
      <w:pPr>
        <w:spacing w:after="120" w:line="276" w:lineRule="auto"/>
        <w:ind w:firstLine="283"/>
        <w:jc w:val="both"/>
      </w:pPr>
      <w:r>
        <w:rPr>
          <w:rtl/>
        </w:rPr>
        <w:t xml:space="preserve">פרט אחד שבו טעה ר׳ מאיר רפפורט </w:t>
      </w:r>
      <w:r>
        <w:rPr>
          <w:b/>
          <w:bCs/>
          <w:rtl/>
        </w:rPr>
        <w:t>בבירור</w:t>
      </w:r>
      <w:r>
        <w:rPr>
          <w:rtl/>
        </w:rPr>
        <w:t xml:space="preserve"> הוא דבריו שרבה של </w:t>
      </w:r>
      <w:proofErr w:type="spellStart"/>
      <w:r>
        <w:rPr>
          <w:rtl/>
        </w:rPr>
        <w:t>מיר</w:t>
      </w:r>
      <w:proofErr w:type="spellEnd"/>
      <w:r>
        <w:rPr>
          <w:rtl/>
        </w:rPr>
        <w:t xml:space="preserve"> באותה עת היה ר׳ </w:t>
      </w:r>
      <w:proofErr w:type="spellStart"/>
      <w:r>
        <w:rPr>
          <w:rtl/>
        </w:rPr>
        <w:t>ליפל׳ה</w:t>
      </w:r>
      <w:proofErr w:type="spellEnd"/>
      <w:r>
        <w:rPr>
          <w:rtl/>
        </w:rPr>
        <w:t xml:space="preserve"> (</w:t>
      </w:r>
      <w:proofErr w:type="spellStart"/>
      <w:r>
        <w:rPr>
          <w:rtl/>
        </w:rPr>
        <w:t>בסלבסקי</w:t>
      </w:r>
      <w:proofErr w:type="spellEnd"/>
      <w:r>
        <w:rPr>
          <w:rtl/>
        </w:rPr>
        <w:t xml:space="preserve">, בעל “מלבושי יום טוב”). למעשה, ר׳ </w:t>
      </w:r>
      <w:proofErr w:type="spellStart"/>
      <w:r>
        <w:rPr>
          <w:rtl/>
        </w:rPr>
        <w:t>ליפל׳ה</w:t>
      </w:r>
      <w:proofErr w:type="spellEnd"/>
      <w:r>
        <w:rPr>
          <w:rtl/>
        </w:rPr>
        <w:t xml:space="preserve"> נעשה רב </w:t>
      </w:r>
      <w:proofErr w:type="spellStart"/>
      <w:r>
        <w:rPr>
          <w:rtl/>
        </w:rPr>
        <w:t>במיר</w:t>
      </w:r>
      <w:proofErr w:type="spellEnd"/>
      <w:r>
        <w:rPr>
          <w:rtl/>
        </w:rPr>
        <w:t xml:space="preserve"> רק </w:t>
      </w:r>
      <w:proofErr w:type="spellStart"/>
      <w:r>
        <w:rPr>
          <w:rtl/>
        </w:rPr>
        <w:t>ארבע־עשרה</w:t>
      </w:r>
      <w:proofErr w:type="spellEnd"/>
      <w:r>
        <w:rPr>
          <w:rtl/>
        </w:rPr>
        <w:t xml:space="preserve"> שנה אחרי פטירת ר׳ </w:t>
      </w:r>
      <w:proofErr w:type="spellStart"/>
      <w:r>
        <w:rPr>
          <w:rtl/>
        </w:rPr>
        <w:t>דוד־טעביל</w:t>
      </w:r>
      <w:proofErr w:type="spellEnd"/>
      <w:r>
        <w:rPr>
          <w:rtl/>
        </w:rPr>
        <w:t xml:space="preserve"> – והוא נולד בשנה שבה נפטר ר׳ חיים </w:t>
      </w:r>
      <w:proofErr w:type="spellStart"/>
      <w:r>
        <w:rPr>
          <w:rtl/>
        </w:rPr>
        <w:t>מוולוז׳ין</w:t>
      </w:r>
      <w:proofErr w:type="spellEnd"/>
      <w:r>
        <w:rPr>
          <w:rtl/>
        </w:rPr>
        <w:t xml:space="preserve">. יתר על כן, המגיד טעה באומרו שהשיחה התקיימה עם רב כלשהו של </w:t>
      </w:r>
      <w:proofErr w:type="spellStart"/>
      <w:r>
        <w:rPr>
          <w:rtl/>
        </w:rPr>
        <w:t>מיר</w:t>
      </w:r>
      <w:proofErr w:type="spellEnd"/>
      <w:r>
        <w:rPr>
          <w:rtl/>
        </w:rPr>
        <w:t xml:space="preserve">, שכן בתקופת ר׳ </w:t>
      </w:r>
      <w:proofErr w:type="spellStart"/>
      <w:r>
        <w:rPr>
          <w:rtl/>
        </w:rPr>
        <w:t>דוד־טעביל</w:t>
      </w:r>
      <w:proofErr w:type="spellEnd"/>
      <w:r>
        <w:rPr>
          <w:rtl/>
        </w:rPr>
        <w:t xml:space="preserve"> היו </w:t>
      </w:r>
      <w:proofErr w:type="spellStart"/>
      <w:r>
        <w:rPr>
          <w:rtl/>
        </w:rPr>
        <w:t>במיר</w:t>
      </w:r>
      <w:proofErr w:type="spellEnd"/>
      <w:r>
        <w:rPr>
          <w:rtl/>
        </w:rPr>
        <w:t xml:space="preserve"> רק שני רבנים, ושניהם לא למדו </w:t>
      </w:r>
      <w:proofErr w:type="spellStart"/>
      <w:r>
        <w:rPr>
          <w:rtl/>
        </w:rPr>
        <w:t>בוולוז׳ין</w:t>
      </w:r>
      <w:proofErr w:type="spellEnd"/>
      <w:r>
        <w:rPr>
          <w:rtl/>
        </w:rPr>
        <w:t xml:space="preserve">: ר׳ </w:t>
      </w:r>
      <w:proofErr w:type="spellStart"/>
      <w:r>
        <w:rPr>
          <w:rtl/>
        </w:rPr>
        <w:t>יוסף־דוד</w:t>
      </w:r>
      <w:proofErr w:type="spellEnd"/>
      <w:r>
        <w:rPr>
          <w:rtl/>
        </w:rPr>
        <w:t xml:space="preserve"> </w:t>
      </w:r>
      <w:proofErr w:type="spellStart"/>
      <w:r>
        <w:rPr>
          <w:rtl/>
        </w:rPr>
        <w:t>אייזנשטט</w:t>
      </w:r>
      <w:proofErr w:type="spellEnd"/>
      <w:r>
        <w:rPr>
          <w:rtl/>
        </w:rPr>
        <w:t>, חתן נכדו של בעל שו״ת “פנים מאירות”</w:t>
      </w:r>
      <w:bookmarkStart w:id="5692" w:name="_fnr4329"/>
      <w:r>
        <w:rPr>
          <w:vertAlign w:val="superscript"/>
          <w:rtl/>
        </w:rPr>
        <w:footnoteReference w:id="4339" w:customMarkFollows="0"/>
      </w:r>
      <w:bookmarkEnd w:id="5692"/>
      <w:r>
        <w:rPr>
          <w:rtl/>
        </w:rPr>
        <w:t xml:space="preserve">, שכיהן ארבעים ותשע שנה החל </w:t>
      </w:r>
      <w:proofErr w:type="spellStart"/>
      <w:r>
        <w:rPr>
          <w:rtl/>
        </w:rPr>
        <w:t>מתקנ״ז</w:t>
      </w:r>
      <w:proofErr w:type="spellEnd"/>
      <w:r>
        <w:rPr>
          <w:rtl/>
        </w:rPr>
        <w:t xml:space="preserve">; ואחריו בנו ותלמידו ר׳ </w:t>
      </w:r>
      <w:proofErr w:type="spellStart"/>
      <w:r>
        <w:rPr>
          <w:rtl/>
        </w:rPr>
        <w:t>משה־אברהם</w:t>
      </w:r>
      <w:proofErr w:type="spellEnd"/>
      <w:r>
        <w:rPr>
          <w:rtl/>
        </w:rPr>
        <w:t xml:space="preserve"> </w:t>
      </w:r>
      <w:proofErr w:type="spellStart"/>
      <w:r>
        <w:rPr>
          <w:rtl/>
        </w:rPr>
        <w:t>אייזנשטט</w:t>
      </w:r>
      <w:proofErr w:type="spellEnd"/>
      <w:r>
        <w:rPr>
          <w:rtl/>
        </w:rPr>
        <w:t>, שכיהן עד תרכ״ז.</w:t>
      </w:r>
    </w:p>
    <w:p w14:paraId="4B719D13" w14:textId="77777777" w:rsidR="00AB3647" w:rsidRDefault="00000000" w:rsidP="007923E9">
      <w:pPr>
        <w:spacing w:after="120" w:line="276" w:lineRule="auto"/>
        <w:ind w:firstLine="283"/>
        <w:jc w:val="both"/>
      </w:pPr>
      <w:r>
        <w:rPr>
          <w:rtl/>
        </w:rPr>
        <w:lastRenderedPageBreak/>
        <w:t xml:space="preserve">מסתבר שבן שיחו של ר׳ </w:t>
      </w:r>
      <w:proofErr w:type="spellStart"/>
      <w:r>
        <w:rPr>
          <w:rtl/>
        </w:rPr>
        <w:t>דוד־טעביל</w:t>
      </w:r>
      <w:proofErr w:type="spellEnd"/>
      <w:r>
        <w:rPr>
          <w:rtl/>
        </w:rPr>
        <w:t xml:space="preserve"> </w:t>
      </w:r>
      <w:proofErr w:type="spellStart"/>
      <w:r>
        <w:rPr>
          <w:rtl/>
        </w:rPr>
        <w:t>במיר</w:t>
      </w:r>
      <w:proofErr w:type="spellEnd"/>
      <w:r>
        <w:rPr>
          <w:rtl/>
        </w:rPr>
        <w:t xml:space="preserve"> היה איש מצוות ישיבת </w:t>
      </w:r>
      <w:proofErr w:type="spellStart"/>
      <w:r>
        <w:rPr>
          <w:rtl/>
        </w:rPr>
        <w:t>מיר</w:t>
      </w:r>
      <w:proofErr w:type="spellEnd"/>
      <w:r>
        <w:rPr>
          <w:rtl/>
        </w:rPr>
        <w:t xml:space="preserve">, וליתר דיוק ר׳ ישראל </w:t>
      </w:r>
      <w:proofErr w:type="spellStart"/>
      <w:r>
        <w:rPr>
          <w:rtl/>
        </w:rPr>
        <w:t xml:space="preserve">הלר</w:t>
      </w:r>
      <w:proofErr w:type="spellEnd"/>
      <w:r>
        <w:rPr>
          <w:rtl/>
        </w:rPr>
        <w:t xml:space="preserve">, אחד מארבעת האחים </w:t>
      </w:r>
      <w:proofErr w:type="spellStart"/>
      <w:r>
        <w:rPr>
          <w:rtl/>
        </w:rPr>
        <w:t xml:space="preserve">הלר</w:t>
      </w:r>
      <w:bookmarkStart w:id="5693" w:name="_fnr4330"/>
      <w:proofErr w:type="spellEnd"/>
      <w:r>
        <w:rPr>
          <w:vertAlign w:val="superscript"/>
          <w:rtl/>
        </w:rPr>
        <w:footnoteReference w:id="4340" w:customMarkFollows="0"/>
      </w:r>
      <w:bookmarkEnd w:id="5693"/>
      <w:r>
        <w:rPr>
          <w:rtl/>
        </w:rPr>
        <w:t xml:space="preserve">, שכולם היו תלמידי ר׳ חיים </w:t>
      </w:r>
      <w:proofErr w:type="spellStart"/>
      <w:r>
        <w:rPr>
          <w:rtl/>
        </w:rPr>
        <w:t>מוולוז׳ין</w:t>
      </w:r>
      <w:proofErr w:type="spellEnd"/>
      <w:r>
        <w:rPr>
          <w:rtl/>
        </w:rPr>
        <w:t xml:space="preserve">. ר׳ ישראל חיבב במיוחד את ר׳ </w:t>
      </w:r>
      <w:proofErr w:type="spellStart"/>
      <w:r>
        <w:rPr>
          <w:rtl/>
        </w:rPr>
        <w:t>דוד־טעביל</w:t>
      </w:r>
      <w:proofErr w:type="spellEnd"/>
      <w:r>
        <w:rPr>
          <w:rtl/>
        </w:rPr>
        <w:t xml:space="preserve">, כפי שמעידה הדרך שבה הוא מזכירו בספרו כשהוא </w:t>
      </w:r>
      <w:r>
        <w:rPr>
          <w:b/>
          <w:bCs/>
          <w:rtl/>
        </w:rPr>
        <w:t>חולק עליו</w:t>
      </w:r>
      <w:bookmarkStart w:id="5694" w:name="_fnr4331"/>
      <w:r>
        <w:rPr>
          <w:vertAlign w:val="superscript"/>
          <w:rtl/>
        </w:rPr>
        <w:footnoteReference w:id="4341" w:customMarkFollows="0"/>
      </w:r>
      <w:bookmarkEnd w:id="5694"/>
      <w:r>
        <w:rPr>
          <w:rtl/>
        </w:rPr>
        <w:t xml:space="preserve">: “ראיתי בחידושי גדול יחיד בדורנו, שאיני מפרש את שמו מפני שאין דבריו מובנים לי [אני חולק עליו]”. ראש ישיבת </w:t>
      </w:r>
      <w:proofErr w:type="spellStart"/>
      <w:r>
        <w:rPr>
          <w:rtl/>
        </w:rPr>
        <w:t>מיר</w:t>
      </w:r>
      <w:proofErr w:type="spellEnd"/>
      <w:r>
        <w:rPr>
          <w:rtl/>
        </w:rPr>
        <w:t xml:space="preserve">, ר׳ אברהם </w:t>
      </w:r>
      <w:proofErr w:type="spellStart"/>
      <w:r>
        <w:rPr>
          <w:rtl/>
        </w:rPr>
        <w:t>טיקטינסקי</w:t>
      </w:r>
      <w:bookmarkStart w:id="5695" w:name="_fnr4332"/>
      <w:proofErr w:type="spellEnd"/>
      <w:r>
        <w:rPr>
          <w:vertAlign w:val="superscript"/>
          <w:rtl/>
        </w:rPr>
        <w:footnoteReference w:id="4342" w:customMarkFollows="0"/>
      </w:r>
      <w:bookmarkEnd w:id="5695"/>
      <w:r>
        <w:rPr>
          <w:rtl/>
        </w:rPr>
        <w:t xml:space="preserve">, מינה את ר׳ ישראל </w:t>
      </w:r>
      <w:proofErr w:type="spellStart"/>
      <w:r>
        <w:rPr>
          <w:rtl/>
        </w:rPr>
        <w:t xml:space="preserve">הלר</w:t>
      </w:r>
      <w:proofErr w:type="spellEnd"/>
      <w:r>
        <w:rPr>
          <w:rtl/>
        </w:rPr>
        <w:t xml:space="preserve"> לעוזרו בשלב כלשהו בעשר שנות כהונתו, שנמשכו </w:t>
      </w:r>
      <w:proofErr w:type="spellStart"/>
      <w:r>
        <w:rPr>
          <w:rtl/>
        </w:rPr>
        <w:t>מתקפ״ו</w:t>
      </w:r>
      <w:proofErr w:type="spellEnd"/>
      <w:r>
        <w:rPr>
          <w:rtl/>
        </w:rPr>
        <w:t xml:space="preserve"> ועד פטירתו בן ארבעים, </w:t>
      </w:r>
      <w:proofErr w:type="spellStart"/>
      <w:r>
        <w:rPr>
          <w:rtl/>
        </w:rPr>
        <w:t>בתקצ״ו</w:t>
      </w:r>
      <w:proofErr w:type="spellEnd"/>
      <w:r>
        <w:rPr>
          <w:rtl/>
        </w:rPr>
        <w:t>.</w:t>
      </w:r>
    </w:p>
    <w:p w14:paraId="60A3BD3D" w14:textId="7D7BCE27" w:rsidR="00AB3647" w:rsidRDefault="00000000" w:rsidP="007923E9">
      <w:pPr>
        <w:spacing w:after="120" w:line="276" w:lineRule="auto"/>
        <w:ind w:firstLine="283"/>
        <w:jc w:val="both"/>
      </w:pPr>
      <w:r>
        <w:rPr>
          <w:rtl/>
        </w:rPr>
        <w:t xml:space="preserve">כשנפטר הרב </w:t>
      </w:r>
      <w:proofErr w:type="spellStart"/>
      <w:r>
        <w:rPr>
          <w:rtl/>
        </w:rPr>
        <w:t>טיקטינסקי</w:t>
      </w:r>
      <w:proofErr w:type="spellEnd"/>
      <w:r>
        <w:rPr>
          <w:rtl/>
        </w:rPr>
        <w:t xml:space="preserve"> היה בנו </w:t>
      </w:r>
      <w:proofErr w:type="spellStart"/>
      <w:r>
        <w:rPr>
          <w:rtl/>
        </w:rPr>
        <w:t>חיים־לייב</w:t>
      </w:r>
      <w:proofErr w:type="spellEnd"/>
      <w:r>
        <w:rPr>
          <w:rtl/>
        </w:rPr>
        <w:t xml:space="preserve"> בן </w:t>
      </w:r>
      <w:proofErr w:type="spellStart"/>
      <w:r>
        <w:rPr>
          <w:rtl/>
        </w:rPr>
        <w:t>אחת־עשרה</w:t>
      </w:r>
      <w:proofErr w:type="spellEnd"/>
      <w:r>
        <w:rPr>
          <w:rtl/>
        </w:rPr>
        <w:t xml:space="preserve"> בלבד – השווה פרק 1, הפסקה הראשונה של </w:t>
      </w:r>
      <w:r>
        <w:rPr>
          <w:rtl/>
        </w:rPr>
        <w:fldChar w:fldCharType="begin" w:dirty="true"/>
      </w:r>
      <w:r>
        <w:rPr>
          <w:rtl/>
        </w:rPr>
        <w:instrText xml:space="preserve"> REF b1_excB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 xml:space="preserve">. עד תר״י, כשהבן כבר גדל לתלמיד חכם גדול היכול להנהיג את הישיבה, כיהנו רבני </w:t>
      </w:r>
      <w:proofErr w:type="spellStart"/>
      <w:r>
        <w:rPr>
          <w:rtl/>
        </w:rPr>
        <w:t>מיר</w:t>
      </w:r>
      <w:proofErr w:type="spellEnd"/>
      <w:r>
        <w:rPr>
          <w:rtl/>
        </w:rPr>
        <w:t xml:space="preserve"> בזה אחר זה, ר׳ </w:t>
      </w:r>
      <w:proofErr w:type="spellStart"/>
      <w:r>
        <w:rPr>
          <w:rtl/>
        </w:rPr>
        <w:t>יוסף־דוד</w:t>
      </w:r>
      <w:proofErr w:type="spellEnd"/>
      <w:r>
        <w:rPr>
          <w:rtl/>
        </w:rPr>
        <w:t xml:space="preserve"> ור׳ </w:t>
      </w:r>
      <w:proofErr w:type="spellStart"/>
      <w:r>
        <w:rPr>
          <w:rtl/>
        </w:rPr>
        <w:t>משה־אברהם</w:t>
      </w:r>
      <w:proofErr w:type="spellEnd"/>
      <w:r>
        <w:rPr>
          <w:rtl/>
        </w:rPr>
        <w:t xml:space="preserve"> </w:t>
      </w:r>
      <w:proofErr w:type="spellStart"/>
      <w:r>
        <w:rPr>
          <w:rtl/>
        </w:rPr>
        <w:t>אייזנשטט</w:t>
      </w:r>
      <w:proofErr w:type="spellEnd"/>
      <w:r>
        <w:rPr>
          <w:rtl/>
        </w:rPr>
        <w:t xml:space="preserve">, גם כראשי הישיבה. בראשות ר׳ </w:t>
      </w:r>
      <w:proofErr w:type="spellStart"/>
      <w:r>
        <w:rPr>
          <w:rtl/>
        </w:rPr>
        <w:t>חיים־לייב</w:t>
      </w:r>
      <w:proofErr w:type="spellEnd"/>
      <w:r>
        <w:rPr>
          <w:rtl/>
        </w:rPr>
        <w:t xml:space="preserve"> </w:t>
      </w:r>
      <w:proofErr w:type="spellStart"/>
      <w:r>
        <w:rPr>
          <w:rtl/>
        </w:rPr>
        <w:t>טיקטינסקי</w:t>
      </w:r>
      <w:proofErr w:type="spellEnd"/>
      <w:r>
        <w:rPr>
          <w:rtl/>
        </w:rPr>
        <w:t xml:space="preserve"> פרחה מאוד ישיבת </w:t>
      </w:r>
      <w:proofErr w:type="spellStart"/>
      <w:r>
        <w:rPr>
          <w:rtl/>
        </w:rPr>
        <w:t>מיר</w:t>
      </w:r>
      <w:proofErr w:type="spellEnd"/>
      <w:r>
        <w:rPr>
          <w:rtl/>
        </w:rPr>
        <w:t xml:space="preserve">, שייסד סבו </w:t>
      </w:r>
      <w:proofErr w:type="spellStart"/>
      <w:r>
        <w:rPr>
          <w:rtl/>
        </w:rPr>
        <w:t>בתקע״ה</w:t>
      </w:r>
      <w:bookmarkStart w:id="5696" w:name="_fnr4333"/>
      <w:proofErr w:type="spellEnd"/>
      <w:r>
        <w:rPr>
          <w:vertAlign w:val="superscript"/>
          <w:rtl/>
        </w:rPr>
        <w:footnoteReference w:id="4343" w:customMarkFollows="0"/>
      </w:r>
      <w:bookmarkEnd w:id="5696"/>
      <w:r>
        <w:rPr>
          <w:rtl/>
        </w:rPr>
        <w:t xml:space="preserve"> בתגובה לקריאת ר׳ חיים </w:t>
      </w:r>
      <w:proofErr w:type="spellStart"/>
      <w:r>
        <w:rPr>
          <w:rtl/>
        </w:rPr>
        <w:t>מוולוז׳ין</w:t>
      </w:r>
      <w:proofErr w:type="spellEnd"/>
      <w:r>
        <w:rPr>
          <w:rtl/>
        </w:rPr>
        <w:t xml:space="preserve"> ללכת בעקבות </w:t>
      </w:r>
      <w:proofErr w:type="spellStart"/>
      <w:r>
        <w:rPr>
          <w:rtl/>
        </w:rPr>
        <w:t>וולוז׳ין</w:t>
      </w:r>
      <w:proofErr w:type="spellEnd"/>
      <w:r>
        <w:rPr>
          <w:rtl/>
        </w:rPr>
        <w:t xml:space="preserve"> ולפתוח ישיבות במקומות אחרים. מסופר שר׳ ישראל </w:t>
      </w:r>
      <w:proofErr w:type="spellStart"/>
      <w:r>
        <w:rPr>
          <w:rtl/>
        </w:rPr>
        <w:t>סלנטר</w:t>
      </w:r>
      <w:proofErr w:type="spellEnd"/>
      <w:r>
        <w:rPr>
          <w:rtl/>
        </w:rPr>
        <w:t xml:space="preserve"> אמר שכדי להבין דף גמרא כראוי צריך לשמוע את שיעור ר׳ </w:t>
      </w:r>
      <w:proofErr w:type="spellStart"/>
      <w:r>
        <w:rPr>
          <w:rtl/>
        </w:rPr>
        <w:t>חיים־לייב</w:t>
      </w:r>
      <w:bookmarkStart w:id="5697" w:name="_fnr4334"/>
      <w:proofErr w:type="spellEnd"/>
      <w:r>
        <w:rPr>
          <w:vertAlign w:val="superscript"/>
          <w:rtl/>
        </w:rPr>
        <w:footnoteReference w:id="4344" w:customMarkFollows="0"/>
      </w:r>
      <w:bookmarkEnd w:id="5697"/>
      <w:r>
        <w:rPr>
          <w:rtl/>
        </w:rPr>
        <w:t>.</w:t>
      </w:r>
    </w:p>
    <w:p w14:paraId="049FB71D" w14:textId="77777777" w:rsidR="00AB3647" w:rsidRDefault="00000000" w:rsidP="007923E9">
      <w:pPr>
        <w:spacing w:after="120" w:line="276" w:lineRule="auto"/>
        <w:ind w:firstLine="283"/>
        <w:jc w:val="both"/>
      </w:pPr>
      <w:r>
        <w:rPr>
          <w:rtl/>
        </w:rPr>
        <w:t xml:space="preserve">מועמדותו של ר׳ </w:t>
      </w:r>
      <w:proofErr w:type="spellStart"/>
      <w:r>
        <w:rPr>
          <w:rtl/>
        </w:rPr>
        <w:t>דוד־טעביל</w:t>
      </w:r>
      <w:proofErr w:type="spellEnd"/>
      <w:r>
        <w:rPr>
          <w:rtl/>
        </w:rPr>
        <w:t xml:space="preserve"> </w:t>
      </w:r>
      <w:proofErr w:type="spellStart"/>
      <w:r>
        <w:rPr>
          <w:rtl/>
        </w:rPr>
        <w:t>בנובהרדוק</w:t>
      </w:r>
      <w:proofErr w:type="spellEnd"/>
      <w:r>
        <w:rPr>
          <w:rtl/>
        </w:rPr>
        <w:t xml:space="preserve">, כפי שמסופר עליה, הייתה בהכרח בשלב כלשהו בתוך שלוש שנות הביניים: </w:t>
      </w:r>
      <w:proofErr w:type="spellStart"/>
      <w:r>
        <w:rPr>
          <w:rtl/>
        </w:rPr>
        <w:t>מתקצ״ה</w:t>
      </w:r>
      <w:proofErr w:type="spellEnd"/>
      <w:r>
        <w:rPr>
          <w:rtl/>
        </w:rPr>
        <w:t>, שבה נפטר ר׳ דוד, בעל “</w:t>
      </w:r>
      <w:proofErr w:type="spellStart"/>
      <w:r>
        <w:rPr>
          <w:rtl/>
        </w:rPr>
        <w:t>גליא</w:t>
      </w:r>
      <w:proofErr w:type="spellEnd"/>
      <w:r>
        <w:rPr>
          <w:rtl/>
        </w:rPr>
        <w:t xml:space="preserve"> מסכת”, שכיהן כרב </w:t>
      </w:r>
      <w:proofErr w:type="spellStart"/>
      <w:r>
        <w:rPr>
          <w:rtl/>
        </w:rPr>
        <w:t>בנובהרדוק</w:t>
      </w:r>
      <w:proofErr w:type="spellEnd"/>
      <w:r>
        <w:rPr>
          <w:rtl/>
        </w:rPr>
        <w:t xml:space="preserve"> מאז תקנ״ח ונודע לאחר כהונתו הארוכה כר׳ דוד </w:t>
      </w:r>
      <w:proofErr w:type="spellStart"/>
      <w:r>
        <w:rPr>
          <w:rtl/>
        </w:rPr>
        <w:t>הנובהרדוקר</w:t>
      </w:r>
      <w:proofErr w:type="spellEnd"/>
      <w:r>
        <w:rPr>
          <w:rtl/>
        </w:rPr>
        <w:t xml:space="preserve">, ועד תקצ״ח, שבה נתמנה מחליפו, ר׳ </w:t>
      </w:r>
      <w:proofErr w:type="spellStart"/>
      <w:r>
        <w:rPr>
          <w:rtl/>
        </w:rPr>
        <w:t>אלכסנדר־זיסקינד</w:t>
      </w:r>
      <w:proofErr w:type="spellEnd"/>
      <w:r>
        <w:rPr>
          <w:rtl/>
        </w:rPr>
        <w:t xml:space="preserve"> הרכבי. (הרב הרכבי כיהן עד פטירתו </w:t>
      </w:r>
      <w:proofErr w:type="spellStart"/>
      <w:r>
        <w:rPr>
          <w:rtl/>
        </w:rPr>
        <w:t>בתר״י</w:t>
      </w:r>
      <w:bookmarkStart w:id="5698" w:name="_fnr4335"/>
      <w:bookmarkStart w:id="5699" w:name="pr_f_4219"/>
      <w:proofErr w:type="spellEnd"/>
      <w:r>
        <w:rPr>
          <w:vertAlign w:val="superscript"/>
          <w:rtl/>
        </w:rPr>
        <w:footnoteReference w:id="4345" w:customMarkFollows="0"/>
      </w:r>
      <w:bookmarkEnd w:id="5698"/>
      <w:bookmarkEnd w:id="5699"/>
      <w:r>
        <w:rPr>
          <w:rtl/>
        </w:rPr>
        <w:t xml:space="preserve">, שנה אחרי שר׳ </w:t>
      </w:r>
      <w:proofErr w:type="spellStart"/>
      <w:r>
        <w:rPr>
          <w:rtl/>
        </w:rPr>
        <w:t>דוד־טעביל</w:t>
      </w:r>
      <w:proofErr w:type="spellEnd"/>
      <w:r>
        <w:rPr>
          <w:rtl/>
        </w:rPr>
        <w:t xml:space="preserve"> הגיע למינסק.) והרי גם מועמדותו הכושלת של ר׳ </w:t>
      </w:r>
      <w:proofErr w:type="spellStart"/>
      <w:r>
        <w:rPr>
          <w:rtl/>
        </w:rPr>
        <w:t>דוד־טעביל</w:t>
      </w:r>
      <w:proofErr w:type="spellEnd"/>
      <w:r>
        <w:rPr>
          <w:rtl/>
        </w:rPr>
        <w:t xml:space="preserve"> </w:t>
      </w:r>
      <w:proofErr w:type="spellStart"/>
      <w:r>
        <w:rPr>
          <w:rtl/>
        </w:rPr>
        <w:t>לבריסק</w:t>
      </w:r>
      <w:proofErr w:type="spellEnd"/>
      <w:r>
        <w:rPr>
          <w:rtl/>
        </w:rPr>
        <w:t xml:space="preserve"> הוצעה באותן שלוש שנים, דווקא </w:t>
      </w:r>
      <w:proofErr w:type="spellStart"/>
      <w:r>
        <w:rPr>
          <w:rtl/>
        </w:rPr>
        <w:t>בתקצ״ז</w:t>
      </w:r>
      <w:proofErr w:type="spellEnd"/>
      <w:r>
        <w:rPr>
          <w:rtl/>
        </w:rPr>
        <w:t>!</w:t>
      </w:r>
    </w:p>
    <w:p w14:paraId="7E4080DD" w14:textId="77777777" w:rsidR="00AB3647" w:rsidRDefault="00000000" w:rsidP="007923E9">
      <w:pPr>
        <w:spacing w:after="120" w:line="276" w:lineRule="auto"/>
        <w:ind w:firstLine="283"/>
        <w:jc w:val="both"/>
      </w:pPr>
      <w:r>
        <w:rPr>
          <w:rtl/>
        </w:rPr>
        <w:t xml:space="preserve">ר׳ מאיר רפפורט טעה טעות חמורה גם באומרו </w:t>
      </w:r>
      <w:proofErr w:type="spellStart"/>
      <w:r>
        <w:rPr>
          <w:rtl/>
        </w:rPr>
        <w:t>שנובהרדוק</w:t>
      </w:r>
      <w:proofErr w:type="spellEnd"/>
      <w:r>
        <w:rPr>
          <w:rtl/>
        </w:rPr>
        <w:t xml:space="preserve"> נעשתה מרכז של מסילות ברזל, בעוד שלמעשה הרכבת מעולם לא עברה בעיר. לכן מסתבר שפגישתו המייאשת של ר׳ </w:t>
      </w:r>
      <w:proofErr w:type="spellStart"/>
      <w:r>
        <w:rPr>
          <w:rtl/>
        </w:rPr>
        <w:t>דוד־טעביל</w:t>
      </w:r>
      <w:proofErr w:type="spellEnd"/>
      <w:r>
        <w:rPr>
          <w:rtl/>
        </w:rPr>
        <w:t xml:space="preserve"> </w:t>
      </w:r>
      <w:proofErr w:type="spellStart"/>
      <w:r>
        <w:rPr>
          <w:rtl/>
        </w:rPr>
        <w:t>במיר</w:t>
      </w:r>
      <w:proofErr w:type="spellEnd"/>
      <w:r>
        <w:rPr>
          <w:rtl/>
        </w:rPr>
        <w:t xml:space="preserve"> התקיימה כשהיה בדרכו לא </w:t>
      </w:r>
      <w:proofErr w:type="spellStart"/>
      <w:r>
        <w:rPr>
          <w:rtl/>
        </w:rPr>
        <w:t>לנובהרדוק</w:t>
      </w:r>
      <w:proofErr w:type="spellEnd"/>
      <w:r>
        <w:rPr>
          <w:rtl/>
        </w:rPr>
        <w:t xml:space="preserve"> אלא </w:t>
      </w:r>
      <w:proofErr w:type="spellStart"/>
      <w:r>
        <w:rPr>
          <w:rtl/>
        </w:rPr>
        <w:t>לבריסק</w:t>
      </w:r>
      <w:proofErr w:type="spellEnd"/>
      <w:r>
        <w:rPr>
          <w:rtl/>
        </w:rPr>
        <w:t xml:space="preserve">, שהייתה מרכז של מסילות ברזל </w:t>
      </w:r>
      <w:r>
        <w:rPr>
          <w:b/>
          <w:bCs/>
          <w:rtl/>
        </w:rPr>
        <w:t>ולא הייתה בירת פלך</w:t>
      </w:r>
      <w:r>
        <w:rPr>
          <w:rtl/>
        </w:rPr>
        <w:t xml:space="preserve"> – בירת הפלך שלה (לפני שנעשתה חלק מפולין העצמאית) הייתה </w:t>
      </w:r>
      <w:proofErr w:type="spellStart"/>
      <w:r>
        <w:rPr>
          <w:rtl/>
        </w:rPr>
        <w:t>גרודנא</w:t>
      </w:r>
      <w:proofErr w:type="spellEnd"/>
      <w:r>
        <w:rPr>
          <w:rtl/>
        </w:rPr>
        <w:t>.</w:t>
      </w:r>
    </w:p>
    <w:p w14:paraId="0B9C9A5F" w14:textId="77777777" w:rsidR="00AB3647" w:rsidRDefault="00000000" w:rsidP="007923E9">
      <w:pPr>
        <w:spacing w:after="120" w:line="276" w:lineRule="auto"/>
        <w:ind w:firstLine="283"/>
        <w:jc w:val="both"/>
      </w:pPr>
      <w:r>
        <w:rPr>
          <w:rtl/>
        </w:rPr>
        <w:t xml:space="preserve">על יסוד עיקר סיפורו של המגיד </w:t>
      </w:r>
      <w:proofErr w:type="spellStart"/>
      <w:r>
        <w:rPr>
          <w:rtl/>
        </w:rPr>
        <w:t>מביאליסטוק</w:t>
      </w:r>
      <w:proofErr w:type="spellEnd"/>
      <w:r>
        <w:rPr>
          <w:rtl/>
        </w:rPr>
        <w:t xml:space="preserve"> – למרות שתי הטעויות שבו, זהות חברו של ר׳ </w:t>
      </w:r>
      <w:proofErr w:type="spellStart"/>
      <w:r>
        <w:rPr>
          <w:rtl/>
        </w:rPr>
        <w:t>דוד־טעביל</w:t>
      </w:r>
      <w:proofErr w:type="spellEnd"/>
      <w:r>
        <w:rPr>
          <w:rtl/>
        </w:rPr>
        <w:t xml:space="preserve"> ויעד נסיעתו – אפשר להוסיף לסיפור מפלתו של ר׳ </w:t>
      </w:r>
      <w:proofErr w:type="spellStart"/>
      <w:r>
        <w:rPr>
          <w:rtl/>
        </w:rPr>
        <w:t>דוד־טעביל</w:t>
      </w:r>
      <w:proofErr w:type="spellEnd"/>
      <w:r>
        <w:rPr>
          <w:rtl/>
        </w:rPr>
        <w:t xml:space="preserve"> מול </w:t>
      </w:r>
      <w:proofErr w:type="spellStart"/>
      <w:r>
        <w:rPr>
          <w:rtl/>
        </w:rPr>
        <w:t>דוד׳ל</w:t>
      </w:r>
      <w:proofErr w:type="spellEnd"/>
      <w:r>
        <w:rPr>
          <w:rtl/>
        </w:rPr>
        <w:t xml:space="preserve"> פרידמן הקטן פרטים מרתקים אלה: ר׳ </w:t>
      </w:r>
      <w:proofErr w:type="spellStart"/>
      <w:r>
        <w:rPr>
          <w:rtl/>
        </w:rPr>
        <w:t>דוד־טעביל</w:t>
      </w:r>
      <w:proofErr w:type="spellEnd"/>
      <w:r>
        <w:rPr>
          <w:rtl/>
        </w:rPr>
        <w:t xml:space="preserve">, שביקש לראות במרכז של מסילות ברזל </w:t>
      </w:r>
      <w:r>
        <w:rPr>
          <w:rtl/>
        </w:rPr>
        <w:lastRenderedPageBreak/>
        <w:t>את קיום ברכת רבו</w:t>
      </w:r>
      <w:bookmarkStart w:id="5700" w:name="_fnr4336"/>
      <w:r>
        <w:rPr>
          <w:vertAlign w:val="superscript"/>
          <w:rtl/>
        </w:rPr>
        <w:footnoteReference w:id="4346" w:customMarkFollows="0"/>
      </w:r>
      <w:bookmarkEnd w:id="5700"/>
      <w:r>
        <w:rPr>
          <w:rtl/>
        </w:rPr>
        <w:t xml:space="preserve"> לעיר בירה של פלך, לא שמע לעצת חברו שלא להציג את מועמדותו </w:t>
      </w:r>
      <w:proofErr w:type="spellStart"/>
      <w:r>
        <w:rPr>
          <w:rtl/>
        </w:rPr>
        <w:t>לבריסק</w:t>
      </w:r>
      <w:proofErr w:type="spellEnd"/>
      <w:r>
        <w:rPr>
          <w:rtl/>
        </w:rPr>
        <w:t>, ולבסוף נחטפה ממנו הרבנות בידי ילד בן תשע!</w:t>
      </w:r>
    </w:p>
    <w:p w14:paraId="11DADA33" w14:textId="11A0ACE0" w:rsidR="00AB3647" w:rsidRDefault="00000000" w:rsidP="007923E9">
      <w:pPr>
        <w:spacing w:after="120" w:line="276" w:lineRule="auto"/>
        <w:ind w:firstLine="283"/>
        <w:jc w:val="both"/>
      </w:pPr>
      <w:r>
        <w:rPr>
          <w:rtl/>
        </w:rPr>
        <w:t xml:space="preserve">השווה גם פרק 2, הפסקה השנייה של </w:t>
      </w:r>
      <w:r>
        <w:rPr>
          <w:rtl/>
        </w:rPr>
        <w:fldChar w:fldCharType="begin" w:dirty="true"/>
      </w:r>
      <w:r>
        <w:rPr>
          <w:rtl/>
        </w:rPr>
        <w:instrText xml:space="preserve"> REF b2_excA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א</w:t>
      </w:r>
      <w:r>
        <w:rPr>
          <w:rtl/>
        </w:rPr>
        <w:fldChar w:fldCharType="end"/>
      </w:r>
      <w:r>
        <w:rPr>
          <w:rtl/>
        </w:rPr>
        <w:t xml:space="preserve">, שם מובאים (בתרגום) דברי ר׳ </w:t>
      </w:r>
      <w:proofErr w:type="spellStart"/>
      <w:r>
        <w:rPr>
          <w:rtl/>
        </w:rPr>
        <w:t>דוד־טעביל</w:t>
      </w:r>
      <w:proofErr w:type="spellEnd"/>
      <w:r>
        <w:rPr>
          <w:rtl/>
        </w:rPr>
        <w:t xml:space="preserve"> על ר׳ חיים </w:t>
      </w:r>
      <w:proofErr w:type="spellStart"/>
      <w:r>
        <w:rPr>
          <w:rtl/>
        </w:rPr>
        <w:t>מוולוז׳ין</w:t>
      </w:r>
      <w:proofErr w:type="spellEnd"/>
      <w:r>
        <w:rPr>
          <w:rtl/>
        </w:rPr>
        <w:t xml:space="preserve">, </w:t>
      </w:r>
      <w:proofErr w:type="spellStart"/>
      <w:r>
        <w:rPr>
          <w:rtl/>
        </w:rPr>
        <w:t>ש“בזכותו</w:t>
      </w:r>
      <w:proofErr w:type="spellEnd"/>
      <w:r>
        <w:rPr>
          <w:rtl/>
        </w:rPr>
        <w:t>” זכה ברבנות מינסק. ייתכן שזו הפניה לברכה שבירכו רבו.</w:t>
      </w:r>
    </w:p>
    <w:p w14:paraId="13F18609" w14:textId="77777777" w:rsidR="00AB3647" w:rsidRDefault="00000000" w:rsidP="007923E9">
      <w:pPr>
        <w:spacing w:after="120" w:line="276" w:lineRule="auto"/>
        <w:ind w:firstLine="283"/>
        <w:jc w:val="both"/>
      </w:pPr>
      <w:r>
        <w:rPr>
          <w:rtl/>
        </w:rPr>
        <w:t>“אבי הישיבות”</w:t>
      </w:r>
      <w:bookmarkStart w:id="5701" w:name="_fnr4337"/>
      <w:r>
        <w:rPr>
          <w:vertAlign w:val="superscript"/>
          <w:rtl/>
        </w:rPr>
        <w:footnoteReference w:id="4347" w:customMarkFollows="0"/>
      </w:r>
      <w:bookmarkEnd w:id="5701"/>
      <w:r>
        <w:rPr>
          <w:rtl/>
        </w:rPr>
        <w:t xml:space="preserve"> מביא מקור [ממינסק], שכאשר ביקשה קהילת </w:t>
      </w:r>
      <w:proofErr w:type="spellStart"/>
      <w:r>
        <w:rPr>
          <w:rtl/>
        </w:rPr>
        <w:t>סטויבץ</w:t>
      </w:r>
      <w:proofErr w:type="spellEnd"/>
      <w:r>
        <w:rPr>
          <w:rtl/>
        </w:rPr>
        <w:t xml:space="preserve"> את המלצתו של ר׳ חיים </w:t>
      </w:r>
      <w:proofErr w:type="spellStart"/>
      <w:r>
        <w:rPr>
          <w:rtl/>
        </w:rPr>
        <w:t>מוולוז׳ין</w:t>
      </w:r>
      <w:proofErr w:type="spellEnd"/>
      <w:r>
        <w:rPr>
          <w:rtl/>
        </w:rPr>
        <w:t xml:space="preserve"> לקבל את ר׳ </w:t>
      </w:r>
      <w:proofErr w:type="spellStart"/>
      <w:r>
        <w:rPr>
          <w:rtl/>
        </w:rPr>
        <w:t>דוד־טעביל</w:t>
      </w:r>
      <w:proofErr w:type="spellEnd"/>
      <w:r>
        <w:rPr>
          <w:rtl/>
        </w:rPr>
        <w:t xml:space="preserve"> לרב, אמר: “ר׳ </w:t>
      </w:r>
      <w:proofErr w:type="spellStart"/>
      <w:r>
        <w:rPr>
          <w:rtl/>
        </w:rPr>
        <w:t>דוד־טעביל</w:t>
      </w:r>
      <w:proofErr w:type="spellEnd"/>
      <w:r>
        <w:rPr>
          <w:rtl/>
        </w:rPr>
        <w:t xml:space="preserve"> ראוי אפילו להיות רבה של מינסק”. עוד מסופר שם שכעבור שנים, כשהציג ר׳ </w:t>
      </w:r>
      <w:proofErr w:type="spellStart"/>
      <w:r>
        <w:rPr>
          <w:rtl/>
        </w:rPr>
        <w:t>דוד־טעביל</w:t>
      </w:r>
      <w:proofErr w:type="spellEnd"/>
      <w:r>
        <w:rPr>
          <w:rtl/>
        </w:rPr>
        <w:t xml:space="preserve"> את מועמדותו במינסק, טען שרבו “רמז” שביום מן הימים יהיה רב העיר. זו טענה מוזרה בהחלט, שכן מה טבעי יותר, כשמשבחים את המועמד </w:t>
      </w:r>
      <w:proofErr w:type="spellStart"/>
      <w:r>
        <w:rPr>
          <w:rtl/>
        </w:rPr>
        <w:t>לסטויבץ</w:t>
      </w:r>
      <w:proofErr w:type="spellEnd"/>
      <w:r>
        <w:rPr>
          <w:rtl/>
        </w:rPr>
        <w:t>, מלהזכיר את מינסק, בירת הפלך שלה?!</w:t>
      </w:r>
    </w:p>
    <w:p w14:paraId="33AFC0E4" w14:textId="77777777" w:rsidR="00AB3647" w:rsidRDefault="00000000" w:rsidP="007923E9">
      <w:pPr>
        <w:spacing w:after="120" w:line="276" w:lineRule="auto"/>
        <w:ind w:firstLine="283"/>
        <w:jc w:val="both"/>
      </w:pPr>
      <w:r>
        <w:rPr>
          <w:rtl/>
        </w:rPr>
        <w:t xml:space="preserve">הכותב האלמוני של ההקדמה </w:t>
      </w:r>
      <w:proofErr w:type="spellStart"/>
      <w:r>
        <w:rPr>
          <w:rtl/>
        </w:rPr>
        <w:t>ל“נחלת</w:t>
      </w:r>
      <w:proofErr w:type="spellEnd"/>
      <w:r>
        <w:rPr>
          <w:rtl/>
        </w:rPr>
        <w:t xml:space="preserve"> דוד על הש״ס”</w:t>
      </w:r>
      <w:bookmarkStart w:id="5702" w:name="_fnr4338"/>
      <w:r>
        <w:rPr>
          <w:vertAlign w:val="superscript"/>
          <w:rtl/>
        </w:rPr>
        <w:footnoteReference w:id="4348" w:customMarkFollows="0"/>
      </w:r>
      <w:bookmarkEnd w:id="5702"/>
      <w:r>
        <w:rPr>
          <w:rtl/>
        </w:rPr>
        <w:t xml:space="preserve"> ריכך את הסיפור: הוא השמיט את הטענה, והזכיר רק את דברי ר׳ חיים כסיבה להצגת מועמדותו של ר׳ </w:t>
      </w:r>
      <w:proofErr w:type="spellStart"/>
      <w:r>
        <w:rPr>
          <w:rtl/>
        </w:rPr>
        <w:t>דוד־טעביל</w:t>
      </w:r>
      <w:proofErr w:type="spellEnd"/>
      <w:r>
        <w:rPr>
          <w:rtl/>
        </w:rPr>
        <w:t xml:space="preserve"> – כאילו אכן נדרשה סיבה מיוחדת להגיש מועמדות בעיר גדולה</w:t>
      </w:r>
      <w:bookmarkStart w:id="5703" w:name="_fnr4339"/>
      <w:r>
        <w:rPr>
          <w:vertAlign w:val="superscript"/>
          <w:rtl/>
        </w:rPr>
        <w:footnoteReference w:id="4349" w:customMarkFollows="0"/>
      </w:r>
      <w:bookmarkEnd w:id="5703"/>
      <w:r>
        <w:rPr>
          <w:rtl/>
        </w:rPr>
        <w:t xml:space="preserve">. על פי דברי ר׳ מאיר רפפורט, מסתבר שכל מה שאמר ר׳ חיים – ואכן בשעה שקיבלה </w:t>
      </w:r>
      <w:proofErr w:type="spellStart"/>
      <w:r>
        <w:rPr>
          <w:rtl/>
        </w:rPr>
        <w:t>סטויבץ</w:t>
      </w:r>
      <w:proofErr w:type="spellEnd"/>
      <w:r>
        <w:rPr>
          <w:rtl/>
        </w:rPr>
        <w:t xml:space="preserve"> את ר׳ </w:t>
      </w:r>
      <w:proofErr w:type="spellStart"/>
      <w:r>
        <w:rPr>
          <w:rtl/>
        </w:rPr>
        <w:t>דוד־טעביל</w:t>
      </w:r>
      <w:proofErr w:type="spellEnd"/>
      <w:r>
        <w:rPr>
          <w:rtl/>
        </w:rPr>
        <w:t xml:space="preserve"> – היה: “ר׳ </w:t>
      </w:r>
      <w:proofErr w:type="spellStart"/>
      <w:r>
        <w:rPr>
          <w:rtl/>
        </w:rPr>
        <w:t>דוד־טעביל</w:t>
      </w:r>
      <w:proofErr w:type="spellEnd"/>
      <w:r>
        <w:rPr>
          <w:rtl/>
        </w:rPr>
        <w:t xml:space="preserve"> ראוי אפילו להיות רבה של עיר בירה של פלך”, וזה היה יסוד הברכה שהתלמידים ציפו שתתגשם.</w:t>
      </w:r>
    </w:p>
    <w:p w14:paraId="7887B873" w14:textId="77777777" w:rsidR="00AB3647" w:rsidRDefault="00000000" w:rsidP="007923E9">
      <w:pPr>
        <w:spacing w:after="120" w:line="276" w:lineRule="auto"/>
        <w:ind w:firstLine="283"/>
        <w:jc w:val="both"/>
      </w:pPr>
      <w:r>
        <w:rPr>
          <w:rtl/>
        </w:rPr>
        <w:t>השווה גם “אבי הישיבות”</w:t>
      </w:r>
      <w:bookmarkStart w:id="5704" w:name="_fnr4340"/>
      <w:r>
        <w:rPr>
          <w:vertAlign w:val="superscript"/>
          <w:rtl/>
        </w:rPr>
        <w:footnoteReference w:id="4350" w:customMarkFollows="0"/>
      </w:r>
      <w:bookmarkEnd w:id="5704"/>
      <w:r>
        <w:rPr>
          <w:rtl/>
        </w:rPr>
        <w:t xml:space="preserve"> על כך שמנהיגי תורה אחרים האמינו שברכות ר׳ חיים להתעלותם בתורה נתקיימו. אבל מחברו</w:t>
      </w:r>
      <w:bookmarkStart w:id="5705" w:name="_fnr4341"/>
      <w:r>
        <w:rPr>
          <w:vertAlign w:val="superscript"/>
          <w:rtl/>
        </w:rPr>
        <w:footnoteReference w:id="4351" w:customMarkFollows="0"/>
      </w:r>
      <w:bookmarkEnd w:id="5705"/>
      <w:r>
        <w:rPr>
          <w:rtl/>
        </w:rPr>
        <w:t xml:space="preserve"> מפריז מעט כשהוא אומר: “על פי התמונה העולה, נהג ר׳ חיים – ובעקבותיו בנו ר׳ </w:t>
      </w:r>
      <w:proofErr w:type="spellStart"/>
      <w:r>
        <w:rPr>
          <w:rtl/>
        </w:rPr>
        <w:t>איצל׳ה</w:t>
      </w:r>
      <w:proofErr w:type="spellEnd"/>
      <w:r>
        <w:rPr>
          <w:rtl/>
        </w:rPr>
        <w:t xml:space="preserve"> – להתוות את נתיבות העתיד של התלמידים, בייחוד בשעת הפרידה </w:t>
      </w:r>
      <w:proofErr w:type="spellStart"/>
      <w:r>
        <w:rPr>
          <w:rtl/>
        </w:rPr>
        <w:t>כש</w:t>
      </w:r>
      <w:proofErr w:type="spellEnd"/>
      <w:r>
        <w:rPr>
          <w:rtl/>
        </w:rPr>
        <w:t xml:space="preserve">[התלמידים] עזבו את הישיבה. שעת הפרידה הייתה עת רצון להתבונן </w:t>
      </w:r>
      <w:proofErr w:type="spellStart"/>
      <w:r>
        <w:rPr>
          <w:rtl/>
        </w:rPr>
        <w:t>ב‘עתידו</w:t>
      </w:r>
      <w:proofErr w:type="spellEnd"/>
      <w:r>
        <w:rPr>
          <w:rtl/>
        </w:rPr>
        <w:t xml:space="preserve"> של כל תלמיד ולנבא עליו’</w:t>
      </w:r>
      <w:bookmarkStart w:id="5706" w:name="_fnr4342"/>
      <w:r>
        <w:rPr>
          <w:vertAlign w:val="superscript"/>
          <w:rtl/>
        </w:rPr>
        <w:footnoteReference w:id="4352" w:customMarkFollows="0"/>
      </w:r>
      <w:bookmarkEnd w:id="5706"/>
      <w:r>
        <w:rPr>
          <w:rtl/>
        </w:rPr>
        <w:t>, בבחינת ‘האספו ואגידה לכם את אשר יקרא אתכם באחרית הימים’</w:t>
      </w:r>
      <w:bookmarkStart w:id="5707" w:name="_fnr4343"/>
      <w:r>
        <w:rPr>
          <w:vertAlign w:val="superscript"/>
          <w:rtl/>
        </w:rPr>
        <w:footnoteReference w:id="4353" w:customMarkFollows="0"/>
      </w:r>
      <w:bookmarkEnd w:id="5707"/>
      <w:r>
        <w:rPr>
          <w:rtl/>
        </w:rPr>
        <w:t xml:space="preserve">. אכן הייתה זו שעה ראויה להכין ולהכשיר כל אחד למלא את שליחותו, לייעצו ולהורותו בדרכי העבודה הנכונות. לעיתים עשה זאת ר׳ חיים כהוראה ברורה שאינה משתמעת לשתי פנים, ולעיתים בדרך רמז ובזהירות – או, כפי שאירע לפעמים, ‘פלט’ משפט שהיה באותה שעה עמום </w:t>
      </w:r>
      <w:proofErr w:type="spellStart"/>
      <w:r>
        <w:rPr>
          <w:rtl/>
        </w:rPr>
        <w:t>ובלתי־מובן</w:t>
      </w:r>
      <w:proofErr w:type="spellEnd"/>
      <w:r>
        <w:rPr>
          <w:rtl/>
        </w:rPr>
        <w:t>, ובימים הבאים התברר למפרע, כאילו נבואה היא שנזרקה מפיו”.</w:t>
      </w:r>
    </w:p>
    <w:p w14:paraId="09BC1AE0" w14:textId="77777777" w:rsidR="00AB3647" w:rsidRDefault="00000000" w:rsidP="007923E9">
      <w:pPr>
        <w:spacing w:after="120" w:line="276" w:lineRule="auto"/>
        <w:ind w:firstLine="283"/>
        <w:jc w:val="both"/>
      </w:pPr>
      <w:r>
        <w:rPr>
          <w:rtl/>
        </w:rPr>
        <w:lastRenderedPageBreak/>
        <w:t>ברשימותיו של ר׳ משה גרוסמן</w:t>
      </w:r>
      <w:bookmarkStart w:id="5708" w:name="_fnr4344"/>
      <w:r>
        <w:rPr>
          <w:vertAlign w:val="superscript"/>
          <w:rtl/>
        </w:rPr>
        <w:footnoteReference w:id="4354" w:customMarkFollows="0"/>
      </w:r>
      <w:bookmarkEnd w:id="5708"/>
      <w:r>
        <w:rPr>
          <w:rtl/>
        </w:rPr>
        <w:t xml:space="preserve"> מובאים דברי ר׳ </w:t>
      </w:r>
      <w:proofErr w:type="spellStart"/>
      <w:r>
        <w:rPr>
          <w:rtl/>
        </w:rPr>
        <w:t>יעקב־יצחק</w:t>
      </w:r>
      <w:proofErr w:type="spellEnd"/>
      <w:r>
        <w:rPr>
          <w:rtl/>
        </w:rPr>
        <w:t xml:space="preserve"> </w:t>
      </w:r>
      <w:proofErr w:type="spellStart"/>
      <w:r>
        <w:rPr>
          <w:rtl/>
        </w:rPr>
        <w:t>רודרמן</w:t>
      </w:r>
      <w:proofErr w:type="spellEnd"/>
      <w:r>
        <w:rPr>
          <w:rtl/>
        </w:rPr>
        <w:t xml:space="preserve">, </w:t>
      </w:r>
      <w:proofErr w:type="spellStart"/>
      <w:r>
        <w:rPr>
          <w:rtl/>
        </w:rPr>
        <w:t>שהחתם־סופר</w:t>
      </w:r>
      <w:proofErr w:type="spellEnd"/>
      <w:r>
        <w:rPr>
          <w:rtl/>
        </w:rPr>
        <w:t xml:space="preserve"> שלח שאלה </w:t>
      </w:r>
      <w:proofErr w:type="spellStart"/>
      <w:r>
        <w:rPr>
          <w:rtl/>
        </w:rPr>
        <w:t>לר</w:t>
      </w:r>
      <w:proofErr w:type="spellEnd"/>
      <w:r>
        <w:rPr>
          <w:rtl/>
        </w:rPr>
        <w:t xml:space="preserve">׳ משולם איגרא, אז רבה של </w:t>
      </w:r>
      <w:proofErr w:type="spellStart"/>
      <w:r>
        <w:rPr>
          <w:rtl/>
        </w:rPr>
        <w:t>פרשבורג</w:t>
      </w:r>
      <w:proofErr w:type="spellEnd"/>
      <w:r>
        <w:rPr>
          <w:rtl/>
        </w:rPr>
        <w:t xml:space="preserve">, ולא קיבל תשובה. בפגישתם הבאה שאל </w:t>
      </w:r>
      <w:proofErr w:type="spellStart"/>
      <w:r>
        <w:rPr>
          <w:rtl/>
        </w:rPr>
        <w:t>החתם־סופר</w:t>
      </w:r>
      <w:proofErr w:type="spellEnd"/>
      <w:r>
        <w:rPr>
          <w:rtl/>
        </w:rPr>
        <w:t xml:space="preserve"> מדוע לא נענה. ר׳ משולם השיב: “כשתהיה רב </w:t>
      </w:r>
      <w:proofErr w:type="spellStart"/>
      <w:r>
        <w:rPr>
          <w:rtl/>
        </w:rPr>
        <w:t>בפרשבורג</w:t>
      </w:r>
      <w:proofErr w:type="spellEnd"/>
      <w:r>
        <w:rPr>
          <w:rtl/>
        </w:rPr>
        <w:t xml:space="preserve">, תראה כמה טרודים שם”, </w:t>
      </w:r>
      <w:proofErr w:type="spellStart"/>
      <w:r>
        <w:rPr>
          <w:rtl/>
        </w:rPr>
        <w:t>והחתם־סופר</w:t>
      </w:r>
      <w:proofErr w:type="spellEnd"/>
      <w:r>
        <w:rPr>
          <w:rtl/>
        </w:rPr>
        <w:t xml:space="preserve"> הבין זאת כסימן שביום מן הימים יכהן ברבנות זו. ואכן ירש את הרב איגרא.</w:t>
      </w:r>
    </w:p>
    <w:p w14:paraId="105FCA09" w14:textId="77777777" w:rsidR="00AB3647" w:rsidRDefault="00000000" w:rsidP="007923E9">
      <w:pPr>
        <w:pStyle w:val="4"/>
        <w:spacing w:line="276" w:lineRule="auto"/>
      </w:pPr>
      <w:r>
        <w:t>· הפסקה השנייה ·</w:t>
      </w:r>
    </w:p>
    <w:p w14:paraId="45D679C2" w14:textId="77777777" w:rsidR="00AB3647" w:rsidRDefault="00000000" w:rsidP="007923E9">
      <w:pPr>
        <w:pStyle w:val="5"/>
        <w:spacing w:line="276" w:lineRule="auto"/>
      </w:pPr>
      <w:r>
        <w:rPr>
          <w:bCs/>
          <w:szCs w:val="26"/>
        </w:rPr>
        <w:t xml:space="preserve">ר׳ </w:t>
      </w:r>
      <w:proofErr w:type="spellStart"/>
      <w:r>
        <w:rPr>
          <w:bCs/>
          <w:szCs w:val="26"/>
        </w:rPr>
        <w:t>שמרל</w:t>
      </w:r>
      <w:proofErr w:type="spellEnd"/>
      <w:r>
        <w:rPr>
          <w:bCs/>
          <w:szCs w:val="26"/>
        </w:rPr>
        <w:t xml:space="preserve"> לוריא האמיד בוחר בר׳ </w:t>
      </w:r>
      <w:proofErr w:type="spellStart"/>
      <w:r>
        <w:rPr>
          <w:bCs/>
          <w:szCs w:val="26"/>
        </w:rPr>
        <w:t>דוד׳ל</w:t>
      </w:r>
      <w:proofErr w:type="spellEnd"/>
      <w:r>
        <w:rPr>
          <w:bCs/>
          <w:szCs w:val="26"/>
        </w:rPr>
        <w:t xml:space="preserve"> פרידמן הקטן לבתו – ר׳ חיים </w:t>
      </w:r>
      <w:proofErr w:type="spellStart"/>
      <w:r>
        <w:rPr>
          <w:bCs/>
          <w:szCs w:val="26"/>
        </w:rPr>
        <w:t>הלברשטם</w:t>
      </w:r>
      <w:proofErr w:type="spellEnd"/>
      <w:r>
        <w:rPr>
          <w:bCs/>
          <w:szCs w:val="26"/>
        </w:rPr>
        <w:t xml:space="preserve"> משכנע את כלתו לעתיד להתעלם מנכותו – ר׳ </w:t>
      </w:r>
      <w:proofErr w:type="spellStart"/>
      <w:r>
        <w:rPr>
          <w:bCs/>
          <w:szCs w:val="26"/>
        </w:rPr>
        <w:t>דוד׳ל</w:t>
      </w:r>
      <w:proofErr w:type="spellEnd"/>
      <w:r>
        <w:rPr>
          <w:bCs/>
          <w:szCs w:val="26"/>
        </w:rPr>
        <w:t xml:space="preserve"> חושש מהגירה לארצות של התבוללות – ר׳ שמואל </w:t>
      </w:r>
      <w:proofErr w:type="spellStart"/>
      <w:r>
        <w:rPr>
          <w:bCs/>
          <w:szCs w:val="26"/>
        </w:rPr>
        <w:t>סלנט</w:t>
      </w:r>
      <w:proofErr w:type="spellEnd"/>
      <w:r>
        <w:rPr>
          <w:bCs/>
          <w:szCs w:val="26"/>
        </w:rPr>
        <w:t xml:space="preserve"> מסתכן ומסרב לחתום על חרם נגד לימוד שפות זרות – ר׳ </w:t>
      </w:r>
      <w:proofErr w:type="spellStart"/>
      <w:r>
        <w:rPr>
          <w:bCs/>
          <w:szCs w:val="26"/>
        </w:rPr>
        <w:t>דוד׳ל</w:t>
      </w:r>
      <w:proofErr w:type="spellEnd"/>
      <w:r>
        <w:rPr>
          <w:bCs/>
          <w:szCs w:val="26"/>
        </w:rPr>
        <w:t xml:space="preserve"> פרידמן תוקף בחריפות את גיסו – ר׳ </w:t>
      </w:r>
      <w:proofErr w:type="spellStart"/>
      <w:r>
        <w:rPr>
          <w:bCs/>
          <w:szCs w:val="26"/>
        </w:rPr>
        <w:t>דוד׳ל</w:t>
      </w:r>
      <w:proofErr w:type="spellEnd"/>
      <w:r>
        <w:rPr>
          <w:bCs/>
          <w:szCs w:val="26"/>
        </w:rPr>
        <w:t xml:space="preserve"> עסוק מכדי להמשיך לפתור בעיות מתמטיות – ר׳ </w:t>
      </w:r>
      <w:proofErr w:type="spellStart"/>
      <w:r>
        <w:rPr>
          <w:bCs/>
          <w:szCs w:val="26"/>
        </w:rPr>
        <w:t>נתן־נטע</w:t>
      </w:r>
      <w:proofErr w:type="spellEnd"/>
      <w:r>
        <w:rPr>
          <w:bCs/>
          <w:szCs w:val="26"/>
        </w:rPr>
        <w:t xml:space="preserve"> שפירא חוזר על ספר בלשון שאינה מוכרת לו – מגיד מתאר ביקור אצל ר׳ </w:t>
      </w:r>
      <w:proofErr w:type="spellStart"/>
      <w:r>
        <w:rPr>
          <w:bCs/>
          <w:szCs w:val="26"/>
        </w:rPr>
        <w:t>דוד׳ל</w:t>
      </w:r>
      <w:proofErr w:type="spellEnd"/>
      <w:r>
        <w:rPr>
          <w:bCs/>
          <w:szCs w:val="26"/>
        </w:rPr>
        <w:t xml:space="preserve"> באופן המניח את הדעת</w:t>
      </w:r>
    </w:p>
    <w:p w14:paraId="5009F40C" w14:textId="77777777" w:rsidR="00AB3647" w:rsidRDefault="00000000" w:rsidP="007923E9">
      <w:pPr>
        <w:spacing w:after="120" w:line="276" w:lineRule="auto"/>
        <w:ind w:firstLine="283"/>
        <w:jc w:val="both"/>
      </w:pPr>
      <w:r>
        <w:rPr>
          <w:rtl/>
        </w:rPr>
        <w:t xml:space="preserve">ר׳ </w:t>
      </w:r>
      <w:proofErr w:type="spellStart"/>
      <w:r>
        <w:rPr>
          <w:rtl/>
        </w:rPr>
        <w:t>שמרל</w:t>
      </w:r>
      <w:proofErr w:type="spellEnd"/>
      <w:r>
        <w:rPr>
          <w:rtl/>
        </w:rPr>
        <w:t xml:space="preserve"> לוריא האמיד </w:t>
      </w:r>
      <w:proofErr w:type="spellStart"/>
      <w:r>
        <w:rPr>
          <w:rtl/>
        </w:rPr>
        <w:t>ממוהילוב</w:t>
      </w:r>
      <w:proofErr w:type="spellEnd"/>
      <w:r>
        <w:rPr>
          <w:rtl/>
        </w:rPr>
        <w:t>, צאצא ישיר בדור העשירי של ר׳ שלמה לוריא (</w:t>
      </w:r>
      <w:proofErr w:type="spellStart"/>
      <w:r>
        <w:rPr>
          <w:rtl/>
        </w:rPr>
        <w:t>המהרש״ל</w:t>
      </w:r>
      <w:proofErr w:type="spellEnd"/>
      <w:r>
        <w:rPr>
          <w:rtl/>
        </w:rPr>
        <w:t xml:space="preserve">), זוכה לשבחים מפליגים בכלל </w:t>
      </w:r>
      <w:proofErr w:type="spellStart"/>
      <w:r>
        <w:rPr>
          <w:rtl/>
        </w:rPr>
        <w:t>ב“אהלי</w:t>
      </w:r>
      <w:proofErr w:type="spellEnd"/>
      <w:r>
        <w:rPr>
          <w:rtl/>
        </w:rPr>
        <w:t xml:space="preserve"> שם”</w:t>
      </w:r>
      <w:bookmarkStart w:id="5709" w:name="_fnr4345"/>
      <w:r>
        <w:rPr>
          <w:vertAlign w:val="superscript"/>
          <w:rtl/>
        </w:rPr>
        <w:footnoteReference w:id="4355" w:customMarkFollows="0"/>
      </w:r>
      <w:bookmarkEnd w:id="5709"/>
      <w:r>
        <w:rPr>
          <w:rtl/>
        </w:rPr>
        <w:t xml:space="preserve">, ומסופר שם שקידם את לימודיו של ר׳ </w:t>
      </w:r>
      <w:proofErr w:type="spellStart"/>
      <w:r>
        <w:rPr>
          <w:rtl/>
        </w:rPr>
        <w:t>דוד׳ל</w:t>
      </w:r>
      <w:proofErr w:type="spellEnd"/>
      <w:r>
        <w:rPr>
          <w:rtl/>
        </w:rPr>
        <w:t xml:space="preserve"> פרידמן, הן בתמיכה כספית והן בכך שהסדיר שגיסו ר׳ זלמן ריבלין משקלוב ידריך את פרידמן הצעיר </w:t>
      </w:r>
      <w:proofErr w:type="spellStart"/>
      <w:r>
        <w:rPr>
          <w:rtl/>
        </w:rPr>
        <w:t>ב“דרך</w:t>
      </w:r>
      <w:proofErr w:type="spellEnd"/>
      <w:r>
        <w:rPr>
          <w:rtl/>
        </w:rPr>
        <w:t xml:space="preserve"> הלמוד של </w:t>
      </w:r>
      <w:proofErr w:type="spellStart"/>
      <w:r>
        <w:rPr>
          <w:rtl/>
        </w:rPr>
        <w:t>הגר״א</w:t>
      </w:r>
      <w:proofErr w:type="spellEnd"/>
      <w:r>
        <w:rPr>
          <w:rtl/>
        </w:rPr>
        <w:t>”.</w:t>
      </w:r>
    </w:p>
    <w:p w14:paraId="28E451C5" w14:textId="77777777" w:rsidR="00AB3647" w:rsidRDefault="00000000" w:rsidP="007923E9">
      <w:pPr>
        <w:spacing w:after="120" w:line="276" w:lineRule="auto"/>
        <w:ind w:firstLine="283"/>
        <w:jc w:val="both"/>
      </w:pPr>
      <w:r>
        <w:rPr>
          <w:rtl/>
        </w:rPr>
        <w:t xml:space="preserve">ר׳ </w:t>
      </w:r>
      <w:proofErr w:type="spellStart"/>
      <w:r>
        <w:rPr>
          <w:rtl/>
        </w:rPr>
        <w:t>כתריאל־דוד</w:t>
      </w:r>
      <w:proofErr w:type="spellEnd"/>
      <w:r>
        <w:rPr>
          <w:rtl/>
        </w:rPr>
        <w:t xml:space="preserve"> קפלין סיפר</w:t>
      </w:r>
      <w:bookmarkStart w:id="5710" w:name="_fnr4346"/>
      <w:r>
        <w:rPr>
          <w:vertAlign w:val="superscript"/>
          <w:rtl/>
        </w:rPr>
        <w:footnoteReference w:id="4356" w:customMarkFollows="0"/>
      </w:r>
      <w:bookmarkEnd w:id="5710"/>
      <w:r>
        <w:rPr>
          <w:rtl/>
        </w:rPr>
        <w:t xml:space="preserve"> (בשם ר׳ גדליה </w:t>
      </w:r>
      <w:proofErr w:type="spellStart"/>
      <w:r>
        <w:rPr>
          <w:rtl/>
        </w:rPr>
        <w:t>רבינוביץ</w:t>
      </w:r>
      <w:proofErr w:type="spellEnd"/>
      <w:r>
        <w:rPr>
          <w:rtl/>
        </w:rPr>
        <w:t xml:space="preserve">) שכאשר הציג ר׳ </w:t>
      </w:r>
      <w:proofErr w:type="spellStart"/>
      <w:r>
        <w:rPr>
          <w:rtl/>
        </w:rPr>
        <w:t>שמרל</w:t>
      </w:r>
      <w:proofErr w:type="spellEnd"/>
      <w:r>
        <w:rPr>
          <w:rtl/>
        </w:rPr>
        <w:t xml:space="preserve"> את בתו האלגנטית בפני ר׳ </w:t>
      </w:r>
      <w:proofErr w:type="spellStart"/>
      <w:r>
        <w:rPr>
          <w:rtl/>
        </w:rPr>
        <w:t>דוד׳ל</w:t>
      </w:r>
      <w:proofErr w:type="spellEnd"/>
      <w:r>
        <w:rPr>
          <w:rtl/>
        </w:rPr>
        <w:t xml:space="preserve"> בן </w:t>
      </w:r>
      <w:proofErr w:type="spellStart"/>
      <w:r>
        <w:rPr>
          <w:rtl/>
        </w:rPr>
        <w:t>השבע־עשרה</w:t>
      </w:r>
      <w:proofErr w:type="spellEnd"/>
      <w:r>
        <w:rPr>
          <w:rtl/>
        </w:rPr>
        <w:t xml:space="preserve">, והיא ראתה את המחזר ננסי הגוף, התעלפה מרוב הלם, והספר שקראה נפל מידה. כשהתעוררה, ביקש ר׳ </w:t>
      </w:r>
      <w:proofErr w:type="spellStart"/>
      <w:r>
        <w:rPr>
          <w:rtl/>
        </w:rPr>
        <w:t>דוד׳ל</w:t>
      </w:r>
      <w:proofErr w:type="spellEnd"/>
      <w:r>
        <w:rPr>
          <w:rtl/>
        </w:rPr>
        <w:t xml:space="preserve"> מחותנו לעתיד רשות לדבר עם בתו ביחידות, והרשות ניתנה. הוא שאל את הצעירה מה קראה, והיא השיבה: “ספר ספרות צרפתית” – בבתים אמידים היה מקובל שהבנות קוראות ספרות יפה </w:t>
      </w:r>
      <w:proofErr w:type="spellStart"/>
      <w:r>
        <w:rPr>
          <w:rtl/>
        </w:rPr>
        <w:t>מערב־אירופית</w:t>
      </w:r>
      <w:proofErr w:type="spellEnd"/>
      <w:r>
        <w:rPr>
          <w:rtl/>
        </w:rPr>
        <w:t>. הוא ביקש ממנה לקרוא לפניו דף, ואז חזר עליו מילה במילה. המעשה שכנע אותה שהבחור הוא גאון עולם, והיא הסכימה להינשא לו. “</w:t>
      </w:r>
      <w:proofErr w:type="spellStart"/>
      <w:r>
        <w:rPr>
          <w:rtl/>
        </w:rPr>
        <w:t>אהלי</w:t>
      </w:r>
      <w:proofErr w:type="spellEnd"/>
      <w:r>
        <w:rPr>
          <w:rtl/>
        </w:rPr>
        <w:t xml:space="preserve"> שם”</w:t>
      </w:r>
      <w:bookmarkStart w:id="5711" w:name="_fnr4347"/>
      <w:r>
        <w:rPr>
          <w:vertAlign w:val="superscript"/>
          <w:rtl/>
        </w:rPr>
        <w:footnoteReference w:id="4357" w:customMarkFollows="0"/>
      </w:r>
      <w:bookmarkEnd w:id="5711"/>
      <w:r>
        <w:rPr>
          <w:rtl/>
        </w:rPr>
        <w:t xml:space="preserve"> מעיד על “</w:t>
      </w:r>
      <w:proofErr w:type="spellStart"/>
      <w:r>
        <w:rPr>
          <w:rtl/>
        </w:rPr>
        <w:t>האשה</w:t>
      </w:r>
      <w:proofErr w:type="spellEnd"/>
      <w:r>
        <w:rPr>
          <w:rtl/>
        </w:rPr>
        <w:t xml:space="preserve"> היקרה והנדיבה הרבנית מרת שרה ז״ל </w:t>
      </w:r>
      <w:proofErr w:type="spellStart"/>
      <w:r>
        <w:rPr>
          <w:rtl/>
        </w:rPr>
        <w:t>שהיתה</w:t>
      </w:r>
      <w:proofErr w:type="spellEnd"/>
      <w:r>
        <w:rPr>
          <w:rtl/>
        </w:rPr>
        <w:t xml:space="preserve"> עוזרתו ושומרת על צלו של גאון ישראל זה משך של שמונה וחמשים שנה. נפטרה בשם טוב ט״ו אלול שנת תרס״ד”.</w:t>
      </w:r>
    </w:p>
    <w:p w14:paraId="5A21AB23" w14:textId="77777777" w:rsidR="00AB3647" w:rsidRDefault="00000000" w:rsidP="007923E9">
      <w:pPr>
        <w:spacing w:after="120" w:line="276" w:lineRule="auto"/>
        <w:ind w:firstLine="283"/>
        <w:jc w:val="both"/>
      </w:pPr>
      <w:r>
        <w:rPr>
          <w:rtl/>
        </w:rPr>
        <w:t xml:space="preserve">מעשה דומה, שבו הצליח צעיר נכה מפורסם אחר לסגור את השידוך, עשה ר׳ חיים </w:t>
      </w:r>
      <w:proofErr w:type="spellStart"/>
      <w:r>
        <w:rPr>
          <w:rtl/>
        </w:rPr>
        <w:t>הלברשטם</w:t>
      </w:r>
      <w:proofErr w:type="spellEnd"/>
      <w:r>
        <w:rPr>
          <w:rtl/>
        </w:rPr>
        <w:t xml:space="preserve">, לימים רבה של </w:t>
      </w:r>
      <w:proofErr w:type="spellStart"/>
      <w:r>
        <w:rPr>
          <w:rtl/>
        </w:rPr>
        <w:t>צאנז</w:t>
      </w:r>
      <w:proofErr w:type="spellEnd"/>
      <w:r>
        <w:rPr>
          <w:rtl/>
        </w:rPr>
        <w:t xml:space="preserve"> ואבי שושלת חסידית.</w:t>
      </w:r>
    </w:p>
    <w:p w14:paraId="58AF3CDF" w14:textId="77777777" w:rsidR="00AB3647" w:rsidRDefault="00000000" w:rsidP="007923E9">
      <w:pPr>
        <w:spacing w:after="120" w:line="276" w:lineRule="auto"/>
        <w:ind w:firstLine="283"/>
        <w:jc w:val="both"/>
      </w:pPr>
      <w:r>
        <w:rPr>
          <w:rtl/>
        </w:rPr>
        <w:t xml:space="preserve">מסופר שבפגישתם הראשונה ראתה כלתו לעתיד שהוא צולע, וביקשה לבטל את האירוסין. הוא קיבל רשות מאביה ר׳ ברוך </w:t>
      </w:r>
      <w:proofErr w:type="spellStart"/>
      <w:r>
        <w:rPr>
          <w:rtl/>
        </w:rPr>
        <w:t>תאומים־פרנקל</w:t>
      </w:r>
      <w:bookmarkStart w:id="5712" w:name="_fnr4348"/>
      <w:proofErr w:type="spellEnd"/>
      <w:r>
        <w:rPr>
          <w:vertAlign w:val="superscript"/>
          <w:rtl/>
        </w:rPr>
        <w:footnoteReference w:id="4358" w:customMarkFollows="0"/>
      </w:r>
      <w:bookmarkEnd w:id="5712"/>
      <w:r>
        <w:rPr>
          <w:rtl/>
        </w:rPr>
        <w:t xml:space="preserve"> “לדבר עמה ביחידות כמה דקות, ולאחר שיחתם הקצרה יצאה בלב שמח ואמרה שהיא מסכימה בלב שלם להינשא לו. אין בידינו תיעוד </w:t>
      </w:r>
      <w:r>
        <w:rPr>
          <w:rtl/>
        </w:rPr>
        <w:lastRenderedPageBreak/>
        <w:t xml:space="preserve">למה שאמר לה בשיחה ההיא, אך מפי השמועה מסופר שאמר לה להביט במראה העומדת בחדר, והיא </w:t>
      </w:r>
      <w:proofErr w:type="spellStart"/>
      <w:r>
        <w:rPr>
          <w:rtl/>
        </w:rPr>
        <w:t>נזדעזעה</w:t>
      </w:r>
      <w:proofErr w:type="spellEnd"/>
      <w:r>
        <w:rPr>
          <w:rtl/>
        </w:rPr>
        <w:t xml:space="preserve"> לראות שהיא צולעת ברגל. אז הסביר: ‘דעי לך שאכן נגזר היה שתיוולדי כך, אבל מאחר שאני בן זוגך שנועד לך מן השמים, העברתי את הנכות אליי. לאור זה, האם עדיין תוכלי לסרב לי?!’”</w:t>
      </w:r>
      <w:bookmarkStart w:id="5713" w:name="_fnr4349"/>
      <w:r>
        <w:rPr>
          <w:vertAlign w:val="superscript"/>
          <w:rtl/>
        </w:rPr>
        <w:footnoteReference w:id="4359" w:customMarkFollows="0"/>
      </w:r>
      <w:bookmarkEnd w:id="5713"/>
    </w:p>
    <w:p w14:paraId="55BF2B13" w14:textId="77777777" w:rsidR="00AB3647" w:rsidRDefault="00000000" w:rsidP="007923E9">
      <w:pPr>
        <w:spacing w:after="120" w:line="276" w:lineRule="auto"/>
        <w:ind w:firstLine="283"/>
        <w:jc w:val="both"/>
      </w:pPr>
      <w:r>
        <w:rPr>
          <w:rtl/>
        </w:rPr>
        <w:t xml:space="preserve">תרגילו של ר׳ </w:t>
      </w:r>
      <w:proofErr w:type="spellStart"/>
      <w:r>
        <w:rPr>
          <w:rtl/>
        </w:rPr>
        <w:t>דוד׳ל</w:t>
      </w:r>
      <w:proofErr w:type="spellEnd"/>
      <w:r>
        <w:rPr>
          <w:rtl/>
        </w:rPr>
        <w:t xml:space="preserve"> </w:t>
      </w:r>
      <w:proofErr w:type="spellStart"/>
      <w:r>
        <w:rPr>
          <w:rtl/>
        </w:rPr>
        <w:t>קארלינער</w:t>
      </w:r>
      <w:proofErr w:type="spellEnd"/>
      <w:r>
        <w:rPr>
          <w:rtl/>
        </w:rPr>
        <w:t xml:space="preserve"> היה לכאורה הפגנה מבריקה של כוח זיכרון</w:t>
      </w:r>
      <w:bookmarkStart w:id="5714" w:name="_fnr4350"/>
      <w:r>
        <w:rPr>
          <w:vertAlign w:val="superscript"/>
          <w:rtl/>
        </w:rPr>
        <w:footnoteReference w:id="4360" w:customMarkFollows="0"/>
      </w:r>
      <w:bookmarkEnd w:id="5714"/>
      <w:r>
        <w:rPr>
          <w:rtl/>
        </w:rPr>
        <w:t xml:space="preserve">. אבל לפי טענת </w:t>
      </w:r>
      <w:proofErr w:type="spellStart"/>
      <w:r>
        <w:rPr>
          <w:rtl/>
        </w:rPr>
        <w:t>צינוביץ</w:t>
      </w:r>
      <w:proofErr w:type="spellEnd"/>
      <w:r>
        <w:rPr>
          <w:rtl/>
        </w:rPr>
        <w:t>, “אישים וקהילות”</w:t>
      </w:r>
      <w:bookmarkStart w:id="5715" w:name="_fnr4351"/>
      <w:r>
        <w:rPr>
          <w:vertAlign w:val="superscript"/>
          <w:rtl/>
        </w:rPr>
        <w:footnoteReference w:id="4361" w:customMarkFollows="0"/>
      </w:r>
      <w:bookmarkEnd w:id="5715"/>
      <w:r>
        <w:rPr>
          <w:rtl/>
        </w:rPr>
        <w:t xml:space="preserve">, היה ר׳ </w:t>
      </w:r>
      <w:proofErr w:type="spellStart"/>
      <w:r>
        <w:rPr>
          <w:rtl/>
        </w:rPr>
        <w:t>דוד׳ל</w:t>
      </w:r>
      <w:proofErr w:type="spellEnd"/>
      <w:r>
        <w:rPr>
          <w:rtl/>
        </w:rPr>
        <w:t xml:space="preserve"> בקיא </w:t>
      </w:r>
      <w:proofErr w:type="spellStart"/>
      <w:r>
        <w:rPr>
          <w:rtl/>
        </w:rPr>
        <w:t>ב“כמה</w:t>
      </w:r>
      <w:proofErr w:type="spellEnd"/>
      <w:r>
        <w:rPr>
          <w:rtl/>
        </w:rPr>
        <w:t xml:space="preserve"> לשונות זרות </w:t>
      </w:r>
      <w:proofErr w:type="spellStart"/>
      <w:r>
        <w:rPr>
          <w:rtl/>
        </w:rPr>
        <w:t>ובספרויותיהן</w:t>
      </w:r>
      <w:proofErr w:type="spellEnd"/>
      <w:r>
        <w:rPr>
          <w:rtl/>
        </w:rPr>
        <w:t>”, וייתכן שדווקא הפגנת ידיעותיו הרחבות היא שהכריעה את לב הצעירה.</w:t>
      </w:r>
    </w:p>
    <w:p w14:paraId="21E45F9B" w14:textId="77777777" w:rsidR="00AB3647" w:rsidRDefault="00000000" w:rsidP="007923E9">
      <w:pPr>
        <w:spacing w:after="120" w:line="276" w:lineRule="auto"/>
        <w:ind w:firstLine="283"/>
        <w:jc w:val="both"/>
      </w:pPr>
      <w:r>
        <w:rPr>
          <w:rtl/>
        </w:rPr>
        <w:t xml:space="preserve">אגב, ר׳ </w:t>
      </w:r>
      <w:proofErr w:type="spellStart"/>
      <w:r>
        <w:rPr>
          <w:rtl/>
        </w:rPr>
        <w:t>דוד׳ל</w:t>
      </w:r>
      <w:proofErr w:type="spellEnd"/>
      <w:r>
        <w:rPr>
          <w:rtl/>
        </w:rPr>
        <w:t xml:space="preserve"> תמך בהצעה שהועלתה באספת הרבנים בפטרבורג </w:t>
      </w:r>
      <w:proofErr w:type="spellStart"/>
      <w:r>
        <w:rPr>
          <w:rtl/>
        </w:rPr>
        <w:t>בתר״ע</w:t>
      </w:r>
      <w:proofErr w:type="spellEnd"/>
      <w:r>
        <w:rPr>
          <w:rtl/>
        </w:rPr>
        <w:t>, שהרבנים ילמדו את לשון המדינה</w:t>
      </w:r>
      <w:bookmarkStart w:id="5716" w:name="_fnr4352"/>
      <w:r>
        <w:rPr>
          <w:vertAlign w:val="superscript"/>
          <w:rtl/>
        </w:rPr>
        <w:footnoteReference w:id="4362" w:customMarkFollows="0"/>
      </w:r>
      <w:bookmarkEnd w:id="5716"/>
      <w:r>
        <w:rPr>
          <w:rtl/>
        </w:rPr>
        <w:t xml:space="preserve">. הוא גם התנגד לחרם שהכריז ר׳ </w:t>
      </w:r>
      <w:proofErr w:type="spellStart"/>
      <w:r>
        <w:rPr>
          <w:rtl/>
        </w:rPr>
        <w:t>יהושע־לייב</w:t>
      </w:r>
      <w:proofErr w:type="spellEnd"/>
      <w:r>
        <w:rPr>
          <w:rtl/>
        </w:rPr>
        <w:t xml:space="preserve"> דיסקין בירושלים עשרים ואחת שנה קודם לכן, </w:t>
      </w:r>
      <w:proofErr w:type="spellStart"/>
      <w:r>
        <w:rPr>
          <w:rtl/>
        </w:rPr>
        <w:t>בתרמ״ט</w:t>
      </w:r>
      <w:proofErr w:type="spellEnd"/>
      <w:r>
        <w:rPr>
          <w:rtl/>
        </w:rPr>
        <w:t xml:space="preserve">, על לימוד שפות זרות – לימוד שקידם שם גיסו של ר׳ </w:t>
      </w:r>
      <w:proofErr w:type="spellStart"/>
      <w:r>
        <w:rPr>
          <w:rtl/>
        </w:rPr>
        <w:t>דוד׳ל</w:t>
      </w:r>
      <w:proofErr w:type="spellEnd"/>
      <w:r>
        <w:rPr>
          <w:rtl/>
        </w:rPr>
        <w:t xml:space="preserve">, ר׳ </w:t>
      </w:r>
      <w:proofErr w:type="spellStart"/>
      <w:r>
        <w:rPr>
          <w:rtl/>
        </w:rPr>
        <w:t>יחיאל־מיכל</w:t>
      </w:r>
      <w:proofErr w:type="spellEnd"/>
      <w:r>
        <w:rPr>
          <w:rtl/>
        </w:rPr>
        <w:t xml:space="preserve"> פינס (תר״ג–תרע״ג)</w:t>
      </w:r>
      <w:bookmarkStart w:id="5717" w:name="_fnr4353"/>
      <w:r>
        <w:rPr>
          <w:vertAlign w:val="superscript"/>
          <w:rtl/>
        </w:rPr>
        <w:footnoteReference w:id="4363" w:customMarkFollows="0"/>
      </w:r>
      <w:bookmarkEnd w:id="5717"/>
      <w:r>
        <w:rPr>
          <w:rtl/>
        </w:rPr>
        <w:t>.</w:t>
      </w:r>
    </w:p>
    <w:p w14:paraId="51347FC5" w14:textId="77777777" w:rsidR="00AB3647" w:rsidRDefault="00000000" w:rsidP="007923E9">
      <w:pPr>
        <w:spacing w:after="120" w:line="276" w:lineRule="auto"/>
        <w:ind w:firstLine="283"/>
        <w:jc w:val="both"/>
      </w:pPr>
      <w:r>
        <w:rPr>
          <w:rtl/>
        </w:rPr>
        <w:t xml:space="preserve">ר׳ </w:t>
      </w:r>
      <w:proofErr w:type="spellStart"/>
      <w:r>
        <w:rPr>
          <w:rtl/>
        </w:rPr>
        <w:t>דוד׳ל</w:t>
      </w:r>
      <w:proofErr w:type="spellEnd"/>
      <w:r>
        <w:rPr>
          <w:rtl/>
        </w:rPr>
        <w:t xml:space="preserve"> מנמק את התנגדותו </w:t>
      </w:r>
      <w:proofErr w:type="spellStart"/>
      <w:r>
        <w:rPr>
          <w:rtl/>
        </w:rPr>
        <w:t>ב“קונטרס</w:t>
      </w:r>
      <w:proofErr w:type="spellEnd"/>
      <w:r>
        <w:rPr>
          <w:rtl/>
        </w:rPr>
        <w:t xml:space="preserve"> עמק ברכה”</w:t>
      </w:r>
      <w:bookmarkStart w:id="5718" w:name="_fnr4354"/>
      <w:r>
        <w:rPr>
          <w:vertAlign w:val="superscript"/>
          <w:rtl/>
        </w:rPr>
        <w:footnoteReference w:id="4364" w:customMarkFollows="0"/>
      </w:r>
      <w:bookmarkEnd w:id="5718"/>
      <w:r>
        <w:rPr>
          <w:rtl/>
        </w:rPr>
        <w:t>: “מחמת החרם יימנעו רבים מן הנאלצים לעזוב את ארצותיהם כדי למצוא בתים ופרנסה מלעלות לארץ ישראל [שבה הייתה ידיעת שפות נחוצה כדי להתפרנס בכבוד]... ויתרה מזו, ילכו תחת זאת לאבד בין הגויים בקצות הימים, יפליגו למרחקים כדי למצוא מקום ישיבה באמריקה, באוסטרליה ובספרד” – כוונתו למושבות ספרד לשעבר בדרום אמריקה, ובייחוד לארגנטינה</w:t>
      </w:r>
      <w:bookmarkStart w:id="5719" w:name="_fnr4355"/>
      <w:r>
        <w:rPr>
          <w:vertAlign w:val="superscript"/>
          <w:rtl/>
        </w:rPr>
        <w:footnoteReference w:id="4365" w:customMarkFollows="0"/>
      </w:r>
      <w:bookmarkEnd w:id="5719"/>
      <w:r>
        <w:rPr>
          <w:rtl/>
        </w:rPr>
        <w:t xml:space="preserve"> – “ושם יתבוללו בין הגויים ויאבדו, חס ושלום. הוי ה׳, עד מתי לא תחוס על עמך הנבזז – הצאן הפזור, ישראל, הנפוץ בין האומות...?! חוס על עמך... והעלם אל נווה קודשך!” השווה גם “ארצות החיים”</w:t>
      </w:r>
      <w:bookmarkStart w:id="5720" w:name="_fnr4356"/>
      <w:r>
        <w:rPr>
          <w:vertAlign w:val="superscript"/>
          <w:rtl/>
        </w:rPr>
        <w:footnoteReference w:id="4366" w:customMarkFollows="0"/>
      </w:r>
      <w:bookmarkEnd w:id="5720"/>
      <w:r>
        <w:rPr>
          <w:rtl/>
        </w:rPr>
        <w:t xml:space="preserve">, המביא מכתב מאת ר׳ ישראל, האדמו״ר </w:t>
      </w:r>
      <w:proofErr w:type="spellStart"/>
      <w:r>
        <w:rPr>
          <w:rtl/>
        </w:rPr>
        <w:t>מרוז׳ין</w:t>
      </w:r>
      <w:proofErr w:type="spellEnd"/>
      <w:r>
        <w:rPr>
          <w:rtl/>
        </w:rPr>
        <w:t xml:space="preserve"> </w:t>
      </w:r>
      <w:proofErr w:type="spellStart"/>
      <w:r>
        <w:rPr>
          <w:rtl/>
        </w:rPr>
        <w:t>ומסדיגורה</w:t>
      </w:r>
      <w:bookmarkStart w:id="5721" w:name="_fnr4357"/>
      <w:proofErr w:type="spellEnd"/>
      <w:r>
        <w:rPr>
          <w:vertAlign w:val="superscript"/>
          <w:rtl/>
        </w:rPr>
        <w:footnoteReference w:id="4367" w:customMarkFollows="0"/>
      </w:r>
      <w:bookmarkEnd w:id="5721"/>
      <w:r>
        <w:rPr>
          <w:rtl/>
        </w:rPr>
        <w:t>: אם יאסור על חסידיו לעבור לאמריקה, ידרשו חלופה – ובאותה עת לא הייתה חלופה.</w:t>
      </w:r>
    </w:p>
    <w:p w14:paraId="661686D3" w14:textId="77777777" w:rsidR="00AB3647" w:rsidRDefault="00000000" w:rsidP="007923E9">
      <w:pPr>
        <w:spacing w:after="120" w:line="276" w:lineRule="auto"/>
        <w:ind w:firstLine="283"/>
        <w:jc w:val="both"/>
      </w:pPr>
      <w:r>
        <w:rPr>
          <w:rtl/>
        </w:rPr>
        <w:t xml:space="preserve">ואשר לחששו של ר׳ </w:t>
      </w:r>
      <w:proofErr w:type="spellStart"/>
      <w:r>
        <w:rPr>
          <w:rtl/>
        </w:rPr>
        <w:t>דוד׳ל</w:t>
      </w:r>
      <w:proofErr w:type="spellEnd"/>
      <w:r>
        <w:rPr>
          <w:rtl/>
        </w:rPr>
        <w:t xml:space="preserve"> שיהודים העוברים </w:t>
      </w:r>
      <w:proofErr w:type="spellStart"/>
      <w:r>
        <w:rPr>
          <w:rtl/>
        </w:rPr>
        <w:t>לספרד־ארגנטינה</w:t>
      </w:r>
      <w:proofErr w:type="spellEnd"/>
      <w:r>
        <w:rPr>
          <w:rtl/>
        </w:rPr>
        <w:t xml:space="preserve"> “יתבוללו בין הגויים”: מאמר של קלווין סימס מ־1996, “השמש שקעה על </w:t>
      </w:r>
      <w:proofErr w:type="spellStart"/>
      <w:r>
        <w:rPr>
          <w:rtl/>
        </w:rPr>
        <w:t>הגאוצ׳וס</w:t>
      </w:r>
      <w:proofErr w:type="spellEnd"/>
      <w:r>
        <w:rPr>
          <w:rtl/>
        </w:rPr>
        <w:t xml:space="preserve"> היהודים, אך המורשת חיה”</w:t>
      </w:r>
      <w:bookmarkStart w:id="5722" w:name="_fnr4358"/>
      <w:r>
        <w:rPr>
          <w:vertAlign w:val="superscript"/>
          <w:rtl/>
        </w:rPr>
        <w:footnoteReference w:id="4368" w:customMarkFollows="0"/>
      </w:r>
      <w:bookmarkEnd w:id="5722"/>
      <w:r>
        <w:rPr>
          <w:rtl/>
        </w:rPr>
        <w:t xml:space="preserve">, מגלה </w:t>
      </w:r>
      <w:proofErr w:type="spellStart"/>
      <w:r>
        <w:rPr>
          <w:rtl/>
        </w:rPr>
        <w:t>שבמויסס</w:t>
      </w:r>
      <w:proofErr w:type="spellEnd"/>
      <w:r>
        <w:rPr>
          <w:rtl/>
        </w:rPr>
        <w:t xml:space="preserve"> ויל (עיר משה) – שייסדו </w:t>
      </w:r>
      <w:proofErr w:type="spellStart"/>
      <w:r>
        <w:rPr>
          <w:rtl/>
        </w:rPr>
        <w:t>בתרמ״ט</w:t>
      </w:r>
      <w:proofErr w:type="spellEnd"/>
      <w:r>
        <w:rPr>
          <w:rtl/>
        </w:rPr>
        <w:t xml:space="preserve"> ראשוני המהגרים היהודים מרוסיה שנשלחו </w:t>
      </w:r>
      <w:r>
        <w:rPr>
          <w:rtl/>
        </w:rPr>
        <w:lastRenderedPageBreak/>
        <w:t xml:space="preserve">באמצעות </w:t>
      </w:r>
      <w:proofErr w:type="spellStart"/>
      <w:r>
        <w:rPr>
          <w:rtl/>
        </w:rPr>
        <w:t>יק״א</w:t>
      </w:r>
      <w:bookmarkStart w:id="5723" w:name="_fnr4359"/>
      <w:bookmarkEnd w:id="5723"/>
      <w:proofErr w:type="spellEnd"/>
      <w:r>
        <w:rPr>
          <w:rStyle w:val="a5"/>
        </w:rPr>
        <w:t/>
      </w:r>
      <w:bookmarkStart w:id="7046" w:name="_TranslatorNote_5399"/>
      <w:r>
        <w:rPr>
          <w:rStyle w:val="a5"/>
          <w:vertAlign w:val="superscript"/>
          <w:rtl/>
        </w:rPr>
        <w:footnoteReference w:id="4369" w:customMarkFollows="1"/>
        <w:t>*</w:t>
      </w:r>
      <w:bookmarkEnd w:id="7046"/>
      <w:bookmarkStart w:id="5724" w:name="_fnr4360"/>
      <w:r>
        <w:rPr>
          <w:vertAlign w:val="superscript"/>
          <w:rtl/>
        </w:rPr>
        <w:footnoteReference w:id="4370" w:customMarkFollows="0"/>
      </w:r>
      <w:bookmarkEnd w:id="5724"/>
      <w:r>
        <w:rPr>
          <w:rtl/>
        </w:rPr>
        <w:t xml:space="preserve">, כמושבה שכל תושביה יהודים – יש עתה רק “שלוש לידות יהודיות בשנה”, </w:t>
      </w:r>
      <w:proofErr w:type="spellStart"/>
      <w:r>
        <w:rPr>
          <w:rtl/>
        </w:rPr>
        <w:t>ו“רוב</w:t>
      </w:r>
      <w:proofErr w:type="spellEnd"/>
      <w:r>
        <w:rPr>
          <w:rtl/>
        </w:rPr>
        <w:t xml:space="preserve"> התושבים קתולים רומים”.</w:t>
      </w:r>
    </w:p>
    <w:p w14:paraId="093F39D4" w14:textId="77777777" w:rsidR="00AB3647" w:rsidRDefault="00000000" w:rsidP="007923E9">
      <w:pPr>
        <w:spacing w:after="120" w:line="276" w:lineRule="auto"/>
        <w:ind w:firstLine="283"/>
        <w:jc w:val="both"/>
      </w:pPr>
      <w:r>
        <w:rPr>
          <w:rtl/>
        </w:rPr>
        <w:t xml:space="preserve">נראה שגם ר׳ שמואל </w:t>
      </w:r>
      <w:proofErr w:type="spellStart"/>
      <w:r>
        <w:rPr>
          <w:rtl/>
        </w:rPr>
        <w:t>סלנט</w:t>
      </w:r>
      <w:proofErr w:type="spellEnd"/>
      <w:r>
        <w:rPr>
          <w:rtl/>
        </w:rPr>
        <w:t xml:space="preserve"> (תקע״ו–תרס״ט), רבה של ירושלים ומייסד ישיבת עץ חיים שבה, לא תמך בהטלת החרם. ר׳ חיים </w:t>
      </w:r>
      <w:proofErr w:type="spellStart"/>
      <w:r>
        <w:rPr>
          <w:rtl/>
        </w:rPr>
        <w:t>קרייזווירט</w:t>
      </w:r>
      <w:proofErr w:type="spellEnd"/>
      <w:r>
        <w:rPr>
          <w:rtl/>
        </w:rPr>
        <w:t xml:space="preserve"> סיפר בשם רבנו</w:t>
      </w:r>
      <w:bookmarkStart w:id="5725" w:name="_fnr4361"/>
      <w:r>
        <w:rPr>
          <w:vertAlign w:val="superscript"/>
          <w:rtl/>
        </w:rPr>
        <w:footnoteReference w:id="4371" w:customMarkFollows="0"/>
      </w:r>
      <w:bookmarkEnd w:id="5725"/>
      <w:r>
        <w:rPr>
          <w:rtl/>
        </w:rPr>
        <w:t xml:space="preserve"> שר׳ </w:t>
      </w:r>
      <w:proofErr w:type="spellStart"/>
      <w:r>
        <w:rPr>
          <w:rtl/>
        </w:rPr>
        <w:t>יהושע־לייב</w:t>
      </w:r>
      <w:proofErr w:type="spellEnd"/>
      <w:r>
        <w:rPr>
          <w:rtl/>
        </w:rPr>
        <w:t xml:space="preserve"> דיסקין שלח </w:t>
      </w:r>
      <w:proofErr w:type="spellStart"/>
      <w:r>
        <w:rPr>
          <w:rtl/>
        </w:rPr>
        <w:t>לר</w:t>
      </w:r>
      <w:proofErr w:type="spellEnd"/>
      <w:r>
        <w:rPr>
          <w:rtl/>
        </w:rPr>
        <w:t xml:space="preserve">׳ שמואל איגרת מסוימת – כנראה החרם על ר׳ </w:t>
      </w:r>
      <w:proofErr w:type="spellStart"/>
      <w:r>
        <w:rPr>
          <w:rtl/>
        </w:rPr>
        <w:t>יחיאל־מיכל</w:t>
      </w:r>
      <w:proofErr w:type="spellEnd"/>
      <w:r>
        <w:rPr>
          <w:rtl/>
        </w:rPr>
        <w:t xml:space="preserve"> פינס – כדי שיחתום עליה, והלה סירב. ר׳ </w:t>
      </w:r>
      <w:proofErr w:type="spellStart"/>
      <w:r>
        <w:rPr>
          <w:rtl/>
        </w:rPr>
        <w:t>יהושע־לייב</w:t>
      </w:r>
      <w:proofErr w:type="spellEnd"/>
      <w:r>
        <w:rPr>
          <w:rtl/>
        </w:rPr>
        <w:t xml:space="preserve"> הזהיר אותו שאם לא יחתום יאבד את חלקו בעולם הבא, אבל ר׳ שמואל השיב: “אינך בעל הבית של עולם הבא”. אז הכריז ר׳ </w:t>
      </w:r>
      <w:proofErr w:type="spellStart"/>
      <w:r>
        <w:rPr>
          <w:rtl/>
        </w:rPr>
        <w:t>יהושע־לייב</w:t>
      </w:r>
      <w:proofErr w:type="spellEnd"/>
      <w:r>
        <w:rPr>
          <w:rtl/>
        </w:rPr>
        <w:t xml:space="preserve">: “תהיה לך </w:t>
      </w:r>
      <w:proofErr w:type="spellStart"/>
      <w:r>
        <w:rPr>
          <w:rtl/>
        </w:rPr>
        <w:t>שווערע</w:t>
      </w:r>
      <w:proofErr w:type="spellEnd"/>
      <w:r>
        <w:rPr>
          <w:rtl/>
        </w:rPr>
        <w:t xml:space="preserve"> </w:t>
      </w:r>
      <w:proofErr w:type="spellStart"/>
      <w:r>
        <w:rPr>
          <w:rtl/>
        </w:rPr>
        <w:t>עלטער</w:t>
      </w:r>
      <w:proofErr w:type="spellEnd"/>
      <w:r>
        <w:rPr>
          <w:rtl/>
        </w:rPr>
        <w:t xml:space="preserve"> [זקנה קשה]”. ר׳ שמואל החל לבכות ואמר: “אני יכול לעבוד את ה׳ רק בראש שלי, לא בראש של ר׳ </w:t>
      </w:r>
      <w:proofErr w:type="spellStart"/>
      <w:r>
        <w:rPr>
          <w:rtl/>
        </w:rPr>
        <w:t>יהושע־לייב</w:t>
      </w:r>
      <w:proofErr w:type="spellEnd"/>
      <w:r>
        <w:rPr>
          <w:rtl/>
        </w:rPr>
        <w:t xml:space="preserve">”. והרב </w:t>
      </w:r>
      <w:proofErr w:type="spellStart"/>
      <w:r>
        <w:rPr>
          <w:rtl/>
        </w:rPr>
        <w:t>קרייזווירט</w:t>
      </w:r>
      <w:proofErr w:type="spellEnd"/>
      <w:r>
        <w:rPr>
          <w:rtl/>
        </w:rPr>
        <w:t xml:space="preserve"> הוסיף: “</w:t>
      </w:r>
      <w:proofErr w:type="spellStart"/>
      <w:r>
        <w:rPr>
          <w:rtl/>
        </w:rPr>
        <w:t>לר</w:t>
      </w:r>
      <w:proofErr w:type="spellEnd"/>
      <w:r>
        <w:rPr>
          <w:rtl/>
        </w:rPr>
        <w:t>׳ שמואל אכן הייתה זקנה קשה, ובכלל זה נעשה עיוור”.</w:t>
      </w:r>
    </w:p>
    <w:p w14:paraId="599A2014" w14:textId="77777777" w:rsidR="00AB3647" w:rsidRDefault="00000000" w:rsidP="007923E9">
      <w:pPr>
        <w:spacing w:after="120" w:line="276" w:lineRule="auto"/>
        <w:ind w:firstLine="283"/>
        <w:jc w:val="both"/>
      </w:pPr>
      <w:r>
        <w:rPr>
          <w:rtl/>
        </w:rPr>
        <w:t xml:space="preserve">ר׳ </w:t>
      </w:r>
      <w:proofErr w:type="spellStart"/>
      <w:r>
        <w:rPr>
          <w:rtl/>
        </w:rPr>
        <w:t>ניסן־אהרן</w:t>
      </w:r>
      <w:proofErr w:type="spellEnd"/>
      <w:r>
        <w:rPr>
          <w:rtl/>
        </w:rPr>
        <w:t xml:space="preserve"> </w:t>
      </w:r>
      <w:proofErr w:type="spellStart"/>
      <w:r>
        <w:rPr>
          <w:rtl/>
        </w:rPr>
        <w:t>טיקוצינסקי</w:t>
      </w:r>
      <w:proofErr w:type="spellEnd"/>
      <w:r>
        <w:rPr>
          <w:rtl/>
        </w:rPr>
        <w:t xml:space="preserve">, מצאצאי ר׳ שמואל </w:t>
      </w:r>
      <w:proofErr w:type="spellStart"/>
      <w:r>
        <w:rPr>
          <w:rtl/>
        </w:rPr>
        <w:t>סלנט</w:t>
      </w:r>
      <w:proofErr w:type="spellEnd"/>
      <w:r>
        <w:rPr>
          <w:rtl/>
        </w:rPr>
        <w:t xml:space="preserve">, נכח כשסיפר ר׳ חיים </w:t>
      </w:r>
      <w:proofErr w:type="spellStart"/>
      <w:r>
        <w:rPr>
          <w:rtl/>
        </w:rPr>
        <w:t>קרייזווירט</w:t>
      </w:r>
      <w:proofErr w:type="spellEnd"/>
      <w:r>
        <w:rPr>
          <w:rtl/>
        </w:rPr>
        <w:t xml:space="preserve"> את הדברים, והוסיף שר׳ שמואל אמר: “איך ווייס </w:t>
      </w:r>
      <w:proofErr w:type="spellStart"/>
      <w:r>
        <w:rPr>
          <w:rtl/>
        </w:rPr>
        <w:t>וואס</w:t>
      </w:r>
      <w:proofErr w:type="spellEnd"/>
      <w:r>
        <w:rPr>
          <w:rtl/>
        </w:rPr>
        <w:t xml:space="preserve"> איר </w:t>
      </w:r>
      <w:proofErr w:type="spellStart"/>
      <w:r>
        <w:rPr>
          <w:rtl/>
        </w:rPr>
        <w:t>מיינט</w:t>
      </w:r>
      <w:proofErr w:type="spellEnd"/>
      <w:r>
        <w:rPr>
          <w:rtl/>
        </w:rPr>
        <w:t xml:space="preserve">, אבער איך </w:t>
      </w:r>
      <w:proofErr w:type="spellStart"/>
      <w:r>
        <w:rPr>
          <w:rtl/>
        </w:rPr>
        <w:t>קען</w:t>
      </w:r>
      <w:proofErr w:type="spellEnd"/>
      <w:r>
        <w:rPr>
          <w:rtl/>
        </w:rPr>
        <w:t xml:space="preserve"> ניט [אני יודע למה אתם מתכוונים, אבל איני יכול לעשות זאת]”. משתמע מכך שר׳ שמואל הכיר בבעיה החמורה שבבתי הספר שהקים ר׳ </w:t>
      </w:r>
      <w:proofErr w:type="spellStart"/>
      <w:r>
        <w:rPr>
          <w:rtl/>
        </w:rPr>
        <w:t>יחיאל־מיכל</w:t>
      </w:r>
      <w:proofErr w:type="spellEnd"/>
      <w:r>
        <w:rPr>
          <w:rtl/>
        </w:rPr>
        <w:t xml:space="preserve"> פינס, וידע שבסירובו לחתום נגדם הוא עלול לסכן את ‘חלקו בעולם הבא׳, אבל שיקולים אחרים חייבו אותו להסתכן. השווה גם “עמוד אש”</w:t>
      </w:r>
      <w:bookmarkStart w:id="5726" w:name="_fnr4362"/>
      <w:r>
        <w:rPr>
          <w:vertAlign w:val="superscript"/>
          <w:rtl/>
        </w:rPr>
        <w:footnoteReference w:id="4372" w:customMarkFollows="0"/>
      </w:r>
      <w:bookmarkEnd w:id="5726"/>
      <w:r>
        <w:rPr>
          <w:rtl/>
        </w:rPr>
        <w:t>, שלפיו הקפידו מייסדי בתי הספר האלה על שמירת המצוות וחינכו לכך גם את תלמידיהם. וכפי שאמר לי ירושלמי אלמוני</w:t>
      </w:r>
      <w:bookmarkStart w:id="5727" w:name="_fnr4363"/>
      <w:r>
        <w:rPr>
          <w:vertAlign w:val="superscript"/>
          <w:rtl/>
        </w:rPr>
        <w:footnoteReference w:id="4373" w:customMarkFollows="0"/>
      </w:r>
      <w:bookmarkEnd w:id="5727"/>
      <w:r>
        <w:rPr>
          <w:rtl/>
        </w:rPr>
        <w:t>: “היה צריך רוח הקודש כדי לראות דבר רע בבתי הספר הללו”. ייתכן, כמובן, שרוח הקודש הזאת הגשימה את עצמה, כשילדי הבתים הטובים יותר לא נרשמו לבתי הספר השנויים במחלוקת.</w:t>
      </w:r>
    </w:p>
    <w:p w14:paraId="08CD8399" w14:textId="77777777" w:rsidR="00AB3647" w:rsidRDefault="00000000" w:rsidP="007923E9">
      <w:pPr>
        <w:spacing w:after="120" w:line="276" w:lineRule="auto"/>
        <w:ind w:firstLine="283"/>
        <w:jc w:val="both"/>
      </w:pPr>
      <w:r>
        <w:rPr>
          <w:rtl/>
        </w:rPr>
        <w:t xml:space="preserve">שמא יחשוב אדם שר׳ </w:t>
      </w:r>
      <w:proofErr w:type="spellStart"/>
      <w:r>
        <w:rPr>
          <w:rtl/>
        </w:rPr>
        <w:t>דוד׳ל</w:t>
      </w:r>
      <w:proofErr w:type="spellEnd"/>
      <w:r>
        <w:rPr>
          <w:rtl/>
        </w:rPr>
        <w:t xml:space="preserve"> נתן אמון עיוור בגיסו ר׳ </w:t>
      </w:r>
      <w:proofErr w:type="spellStart"/>
      <w:r>
        <w:rPr>
          <w:rtl/>
        </w:rPr>
        <w:t>יחיאל־מיכל</w:t>
      </w:r>
      <w:proofErr w:type="spellEnd"/>
      <w:r>
        <w:rPr>
          <w:rtl/>
        </w:rPr>
        <w:t xml:space="preserve"> פינס – לאחרונה התגלה מכתב ביקורתי מאוד ששלח אליו ר׳ </w:t>
      </w:r>
      <w:proofErr w:type="spellStart"/>
      <w:r>
        <w:rPr>
          <w:rtl/>
        </w:rPr>
        <w:t>דוד׳ל</w:t>
      </w:r>
      <w:proofErr w:type="spellEnd"/>
      <w:r>
        <w:rPr>
          <w:rtl/>
        </w:rPr>
        <w:t xml:space="preserve"> (מתאריך י״ד בשבט תרנ״ד), שלוש שנים לאחר פרסום “קונטרס עמק ברכה”</w:t>
      </w:r>
      <w:bookmarkStart w:id="5728" w:name="_fnr4364"/>
      <w:bookmarkStart w:id="5729" w:name="pr_f_4247"/>
      <w:r>
        <w:rPr>
          <w:vertAlign w:val="superscript"/>
          <w:rtl/>
        </w:rPr>
        <w:footnoteReference w:id="4374" w:customMarkFollows="0"/>
      </w:r>
      <w:bookmarkEnd w:id="5728"/>
      <w:bookmarkEnd w:id="5729"/>
      <w:r>
        <w:rPr>
          <w:rtl/>
        </w:rPr>
        <w:t xml:space="preserve">. ר׳ </w:t>
      </w:r>
      <w:proofErr w:type="spellStart"/>
      <w:r>
        <w:rPr>
          <w:rtl/>
        </w:rPr>
        <w:t>דוד׳ל</w:t>
      </w:r>
      <w:proofErr w:type="spellEnd"/>
      <w:r>
        <w:rPr>
          <w:rtl/>
        </w:rPr>
        <w:t xml:space="preserve"> מסר לגיסו מקצת כתביו, ובהם קונטרס שלא נועד לפרסום בעניין קיום השמיטה בזמן הזה. בשאלה כיצד צריכים חקלאי ארץ ישראל לנהוג </w:t>
      </w:r>
      <w:proofErr w:type="spellStart"/>
      <w:r>
        <w:rPr>
          <w:rtl/>
        </w:rPr>
        <w:t>ב“שנה</w:t>
      </w:r>
      <w:proofErr w:type="spellEnd"/>
      <w:r>
        <w:rPr>
          <w:rtl/>
        </w:rPr>
        <w:t xml:space="preserve"> השביעית” שחלה </w:t>
      </w:r>
      <w:proofErr w:type="spellStart"/>
      <w:r>
        <w:rPr>
          <w:rtl/>
        </w:rPr>
        <w:t>בתרמ״ט</w:t>
      </w:r>
      <w:proofErr w:type="spellEnd"/>
      <w:r>
        <w:rPr>
          <w:rtl/>
        </w:rPr>
        <w:t xml:space="preserve"> נחלקו הרבנים: כמה מגדולי הרבנים, ר׳ </w:t>
      </w:r>
      <w:proofErr w:type="spellStart"/>
      <w:r>
        <w:rPr>
          <w:rtl/>
        </w:rPr>
        <w:t>יצחק־אלחנן</w:t>
      </w:r>
      <w:proofErr w:type="spellEnd"/>
      <w:r>
        <w:rPr>
          <w:rtl/>
        </w:rPr>
        <w:t xml:space="preserve"> </w:t>
      </w:r>
      <w:proofErr w:type="spellStart"/>
      <w:r>
        <w:rPr>
          <w:rtl/>
        </w:rPr>
        <w:t>ספקטור</w:t>
      </w:r>
      <w:proofErr w:type="spellEnd"/>
      <w:r>
        <w:rPr>
          <w:rtl/>
        </w:rPr>
        <w:t xml:space="preserve"> ור׳ </w:t>
      </w:r>
      <w:proofErr w:type="spellStart"/>
      <w:r>
        <w:rPr>
          <w:rtl/>
        </w:rPr>
        <w:t>יהושע׳לה</w:t>
      </w:r>
      <w:proofErr w:type="spellEnd"/>
      <w:r>
        <w:rPr>
          <w:rtl/>
        </w:rPr>
        <w:t xml:space="preserve"> מקוטנה, התירו את מכירת הקרקע לנכרים, ואילו אחרים, ר׳ יוסף־דב </w:t>
      </w:r>
      <w:proofErr w:type="spellStart"/>
      <w:r>
        <w:rPr>
          <w:rtl/>
        </w:rPr>
        <w:t>סולובייצ׳יק</w:t>
      </w:r>
      <w:proofErr w:type="spellEnd"/>
      <w:r>
        <w:rPr>
          <w:rtl/>
        </w:rPr>
        <w:t xml:space="preserve"> </w:t>
      </w:r>
      <w:proofErr w:type="spellStart"/>
      <w:r>
        <w:rPr>
          <w:rtl/>
        </w:rPr>
        <w:t>והנצי״ב</w:t>
      </w:r>
      <w:bookmarkStart w:id="5730" w:name="_fnr4365"/>
      <w:proofErr w:type="spellEnd"/>
      <w:r>
        <w:rPr>
          <w:vertAlign w:val="superscript"/>
          <w:rtl/>
        </w:rPr>
        <w:footnoteReference w:id="4375" w:customMarkFollows="0"/>
      </w:r>
      <w:bookmarkEnd w:id="5730"/>
      <w:r>
        <w:rPr>
          <w:rtl/>
        </w:rPr>
        <w:t xml:space="preserve">, אסרו. במחלוקת זו ביקש ר׳ </w:t>
      </w:r>
      <w:proofErr w:type="spellStart"/>
      <w:r>
        <w:rPr>
          <w:rtl/>
        </w:rPr>
        <w:t>יחיאל־מיכל</w:t>
      </w:r>
      <w:proofErr w:type="spellEnd"/>
      <w:r>
        <w:rPr>
          <w:rtl/>
        </w:rPr>
        <w:t xml:space="preserve"> לפרסם קולות מסוימות שהציע ר׳ </w:t>
      </w:r>
      <w:proofErr w:type="spellStart"/>
      <w:r>
        <w:rPr>
          <w:rtl/>
        </w:rPr>
        <w:t>דוד׳ל</w:t>
      </w:r>
      <w:proofErr w:type="spellEnd"/>
      <w:r>
        <w:rPr>
          <w:rtl/>
        </w:rPr>
        <w:t xml:space="preserve"> </w:t>
      </w:r>
      <w:proofErr w:type="spellStart"/>
      <w:r>
        <w:rPr>
          <w:rtl/>
        </w:rPr>
        <w:t>בקונטרסו</w:t>
      </w:r>
      <w:proofErr w:type="spellEnd"/>
      <w:r>
        <w:rPr>
          <w:rtl/>
        </w:rPr>
        <w:t>, אף שהמחבר הורה מלכתחילה, במפורש, שלא לפרסמו.</w:t>
      </w:r>
    </w:p>
    <w:p w14:paraId="4F3E4060" w14:textId="77777777" w:rsidR="00AB3647" w:rsidRDefault="00000000" w:rsidP="007923E9">
      <w:pPr>
        <w:spacing w:after="120" w:line="276" w:lineRule="auto"/>
        <w:ind w:firstLine="283"/>
        <w:jc w:val="both"/>
      </w:pPr>
      <w:r>
        <w:rPr>
          <w:rtl/>
        </w:rPr>
        <w:lastRenderedPageBreak/>
        <w:t xml:space="preserve">ר׳ </w:t>
      </w:r>
      <w:proofErr w:type="spellStart"/>
      <w:r>
        <w:rPr>
          <w:rtl/>
        </w:rPr>
        <w:t>דוד׳ל</w:t>
      </w:r>
      <w:proofErr w:type="spellEnd"/>
      <w:r>
        <w:rPr>
          <w:rtl/>
        </w:rPr>
        <w:t xml:space="preserve"> הסביר שאינו חושש לחלוק על הרבנים שהחמירו ממנו, אבל לדעתו קולותיו אינן מבוססות היטב בהלכה. כשפרסם לבסוף ר׳ </w:t>
      </w:r>
      <w:proofErr w:type="spellStart"/>
      <w:r>
        <w:rPr>
          <w:rtl/>
        </w:rPr>
        <w:t>דוד׳ל</w:t>
      </w:r>
      <w:proofErr w:type="spellEnd"/>
      <w:r>
        <w:rPr>
          <w:rtl/>
        </w:rPr>
        <w:t xml:space="preserve"> עצמו את הקונטרס, הוסיף את המסקנה </w:t>
      </w:r>
      <w:proofErr w:type="spellStart"/>
      <w:r>
        <w:rPr>
          <w:rtl/>
        </w:rPr>
        <w:t>ש“תונח</w:t>
      </w:r>
      <w:proofErr w:type="spellEnd"/>
      <w:r>
        <w:rPr>
          <w:rtl/>
        </w:rPr>
        <w:t xml:space="preserve"> </w:t>
      </w:r>
      <w:proofErr w:type="spellStart"/>
      <w:r>
        <w:rPr>
          <w:rtl/>
        </w:rPr>
        <w:t>הקולא</w:t>
      </w:r>
      <w:proofErr w:type="spellEnd"/>
      <w:r>
        <w:rPr>
          <w:rtl/>
        </w:rPr>
        <w:t xml:space="preserve"> בצד ולא תיאמר עוד”. ר׳ </w:t>
      </w:r>
      <w:proofErr w:type="spellStart"/>
      <w:r>
        <w:rPr>
          <w:rtl/>
        </w:rPr>
        <w:t>דוד׳ל</w:t>
      </w:r>
      <w:proofErr w:type="spellEnd"/>
      <w:r>
        <w:rPr>
          <w:rtl/>
        </w:rPr>
        <w:t xml:space="preserve"> התייחס גם למשפט מסוים בעניין השמיטה שכתב לו גיסו: “לא יוכל העולם להתקיים [בזמן הזה] אם יישמרו דיני השמיטה”. גישה זו הרגיזה אותו, והוא כתב: “אני מצטער מאוד לראות כיצד המים הרעים ששתית בנעוריך מן הספרים של ההשכלה שקראת הפכו את קרביך </w:t>
      </w:r>
      <w:proofErr w:type="spellStart"/>
      <w:r>
        <w:rPr>
          <w:rtl/>
        </w:rPr>
        <w:t>למרורת</w:t>
      </w:r>
      <w:proofErr w:type="spellEnd"/>
      <w:r>
        <w:rPr>
          <w:rtl/>
        </w:rPr>
        <w:t xml:space="preserve"> פתנים”</w:t>
      </w:r>
      <w:bookmarkStart w:id="5731" w:name="_fnr4366"/>
      <w:r>
        <w:rPr>
          <w:vertAlign w:val="superscript"/>
          <w:rtl/>
        </w:rPr>
        <w:footnoteReference w:id="4376" w:customMarkFollows="0"/>
      </w:r>
      <w:bookmarkEnd w:id="5731"/>
      <w:r>
        <w:rPr>
          <w:rtl/>
        </w:rPr>
        <w:t>.</w:t>
      </w:r>
    </w:p>
    <w:p w14:paraId="22387AC5" w14:textId="77777777" w:rsidR="00AB3647" w:rsidRDefault="00000000" w:rsidP="007923E9">
      <w:pPr>
        <w:spacing w:after="120" w:line="276" w:lineRule="auto"/>
        <w:ind w:firstLine="283"/>
        <w:jc w:val="both"/>
      </w:pPr>
      <w:r>
        <w:rPr>
          <w:rtl/>
        </w:rPr>
        <w:t xml:space="preserve">מעשה מעניין על יחסו של ר׳ </w:t>
      </w:r>
      <w:proofErr w:type="spellStart"/>
      <w:r>
        <w:rPr>
          <w:rtl/>
        </w:rPr>
        <w:t>דוד׳ל</w:t>
      </w:r>
      <w:proofErr w:type="spellEnd"/>
      <w:r>
        <w:rPr>
          <w:rtl/>
        </w:rPr>
        <w:t xml:space="preserve"> לידיעות חילוניות סיפר ר׳ אלי׳ </w:t>
      </w:r>
      <w:proofErr w:type="spellStart"/>
      <w:r>
        <w:rPr>
          <w:rtl/>
        </w:rPr>
        <w:t>קושלבסקי</w:t>
      </w:r>
      <w:bookmarkStart w:id="5732" w:name="_fnr4367"/>
      <w:proofErr w:type="spellEnd"/>
      <w:r>
        <w:rPr>
          <w:vertAlign w:val="superscript"/>
          <w:rtl/>
        </w:rPr>
        <w:footnoteReference w:id="4377" w:customMarkFollows="0"/>
      </w:r>
      <w:bookmarkEnd w:id="5732"/>
      <w:r>
        <w:rPr>
          <w:rtl/>
        </w:rPr>
        <w:t xml:space="preserve">. הוא שמע אותו ארבעים וחמש שנה קודם לכן מרופא שיניים בברונקס, יליד </w:t>
      </w:r>
      <w:proofErr w:type="spellStart"/>
      <w:r>
        <w:rPr>
          <w:rtl/>
        </w:rPr>
        <w:t>קרלין</w:t>
      </w:r>
      <w:proofErr w:type="spellEnd"/>
      <w:r>
        <w:rPr>
          <w:rtl/>
        </w:rPr>
        <w:t xml:space="preserve">, שהיה עד למאורע. רופא השיניים היה חבר של אחיין של ר׳ </w:t>
      </w:r>
      <w:proofErr w:type="spellStart"/>
      <w:r>
        <w:rPr>
          <w:rtl/>
        </w:rPr>
        <w:t>דוד׳ל</w:t>
      </w:r>
      <w:proofErr w:type="spellEnd"/>
      <w:r>
        <w:rPr>
          <w:rtl/>
        </w:rPr>
        <w:t xml:space="preserve">, והאחיין הזמינו לבוא עמו לבית דודו ולראות מחזה </w:t>
      </w:r>
      <w:proofErr w:type="spellStart"/>
      <w:r>
        <w:rPr>
          <w:rtl/>
        </w:rPr>
        <w:t>בלתי־רגיל</w:t>
      </w:r>
      <w:proofErr w:type="spellEnd"/>
      <w:r>
        <w:rPr>
          <w:rtl/>
        </w:rPr>
        <w:t xml:space="preserve">. הם מצאו שם את בני ר׳ </w:t>
      </w:r>
      <w:proofErr w:type="spellStart"/>
      <w:r>
        <w:rPr>
          <w:rtl/>
        </w:rPr>
        <w:t>דוד׳ל</w:t>
      </w:r>
      <w:proofErr w:type="spellEnd"/>
      <w:r>
        <w:rPr>
          <w:rtl/>
        </w:rPr>
        <w:t xml:space="preserve"> ממתינים לסטודנט </w:t>
      </w:r>
      <w:proofErr w:type="spellStart"/>
      <w:r>
        <w:rPr>
          <w:rtl/>
        </w:rPr>
        <w:t>נכרי</w:t>
      </w:r>
      <w:proofErr w:type="spellEnd"/>
      <w:r>
        <w:rPr>
          <w:rtl/>
        </w:rPr>
        <w:t xml:space="preserve"> שגייסו כדי לשכנע את אביהם שהידיעות החילוניות חשובות. הסטודנט בא, וכתב </w:t>
      </w:r>
      <w:proofErr w:type="spellStart"/>
      <w:r>
        <w:rPr>
          <w:rtl/>
        </w:rPr>
        <w:t>לר</w:t>
      </w:r>
      <w:proofErr w:type="spellEnd"/>
      <w:r>
        <w:rPr>
          <w:rtl/>
        </w:rPr>
        <w:t xml:space="preserve">׳ </w:t>
      </w:r>
      <w:proofErr w:type="spellStart"/>
      <w:r>
        <w:rPr>
          <w:rtl/>
        </w:rPr>
        <w:t>דוד׳ל</w:t>
      </w:r>
      <w:proofErr w:type="spellEnd"/>
      <w:r>
        <w:rPr>
          <w:rtl/>
        </w:rPr>
        <w:t xml:space="preserve"> בעיה מתמטית קשה. החכם נטל את פיסת הנייר, נכנס לספריית ספרי הקודש שלו וחזר מיד עם הפתרון. אז נתן לו הסטודנט בעיה נוספת, והדבר חזר על עצמו. כשביקש הסטודנט לתת לו בעיה שלישית, דחהו ר׳ </w:t>
      </w:r>
      <w:proofErr w:type="spellStart"/>
      <w:r>
        <w:rPr>
          <w:rtl/>
        </w:rPr>
        <w:t>דוד׳ל</w:t>
      </w:r>
      <w:proofErr w:type="spellEnd"/>
      <w:r>
        <w:rPr>
          <w:rtl/>
        </w:rPr>
        <w:t xml:space="preserve"> בתנועת יד ושב ללימודו.</w:t>
      </w:r>
    </w:p>
    <w:p w14:paraId="6BCA8D83" w14:textId="77777777" w:rsidR="00AB3647" w:rsidRDefault="00000000" w:rsidP="007923E9">
      <w:pPr>
        <w:spacing w:after="120" w:line="276" w:lineRule="auto"/>
        <w:ind w:firstLine="283"/>
        <w:jc w:val="both"/>
      </w:pPr>
      <w:r>
        <w:rPr>
          <w:rtl/>
        </w:rPr>
        <w:t xml:space="preserve">השווה גם “עובדות והנהגות לבית </w:t>
      </w:r>
      <w:proofErr w:type="spellStart"/>
      <w:r>
        <w:rPr>
          <w:rtl/>
        </w:rPr>
        <w:t>בריסק</w:t>
      </w:r>
      <w:proofErr w:type="spellEnd"/>
      <w:r>
        <w:rPr>
          <w:rtl/>
        </w:rPr>
        <w:t>”</w:t>
      </w:r>
      <w:bookmarkStart w:id="5733" w:name="_fnr4368"/>
      <w:r>
        <w:rPr>
          <w:vertAlign w:val="superscript"/>
          <w:rtl/>
        </w:rPr>
        <w:footnoteReference w:id="4378" w:customMarkFollows="0"/>
      </w:r>
      <w:bookmarkEnd w:id="5733"/>
      <w:r>
        <w:rPr>
          <w:rtl/>
        </w:rPr>
        <w:t xml:space="preserve">, בשם ר׳ </w:t>
      </w:r>
      <w:proofErr w:type="spellStart"/>
      <w:r>
        <w:rPr>
          <w:rtl/>
        </w:rPr>
        <w:t>משולם־דוד</w:t>
      </w:r>
      <w:proofErr w:type="spellEnd"/>
      <w:r>
        <w:rPr>
          <w:rtl/>
        </w:rPr>
        <w:t xml:space="preserve"> </w:t>
      </w:r>
      <w:proofErr w:type="spellStart"/>
      <w:r>
        <w:rPr>
          <w:rtl/>
        </w:rPr>
        <w:t>סולובייצ׳יק</w:t>
      </w:r>
      <w:proofErr w:type="spellEnd"/>
      <w:r>
        <w:rPr>
          <w:rtl/>
        </w:rPr>
        <w:t xml:space="preserve">: סבו ר׳ חיים שהה בוורשה, ונזקק לשליח למשימה חשובה. באכסנייתו לא היה איש פנוי מלבד סטודנט, וזה סירב מפני שהיה עליו להגיש עבודה ללימודיו. ר׳ חיים אמר לצעיר להשאיר אצלו את מחברתו, והבטיח לעשות במקומו את התרגיל – וכך עשה</w:t>
      </w:r>
      <w:bookmarkStart w:id="5734" w:name="_fnr4369"/>
      <w:bookmarkStart w:id="5735" w:name="pr_f_4252"/>
      <w:r>
        <w:rPr>
          <w:vertAlign w:val="superscript"/>
          <w:rtl/>
        </w:rPr>
        <w:footnoteReference w:id="4379" w:customMarkFollows="0"/>
      </w:r>
      <w:bookmarkEnd w:id="5734"/>
      <w:bookmarkEnd w:id="5735"/>
      <w:r>
        <w:rPr>
          <w:rtl/>
        </w:rPr>
        <w:t>. הסיפור מסתיים בכך שכשהגיש הסטודנט את העבודה למחרת, אמרו לו מוריו שהתשובות טובות מכדי שהגיע אליהן לבדו.</w:t>
      </w:r>
    </w:p>
    <w:p w14:paraId="54A3D266" w14:textId="77777777" w:rsidR="00AB3647" w:rsidRDefault="00000000" w:rsidP="007923E9">
      <w:pPr>
        <w:spacing w:after="120" w:line="276" w:lineRule="auto"/>
        <w:ind w:firstLine="283"/>
        <w:jc w:val="both"/>
      </w:pPr>
      <w:r>
        <w:rPr>
          <w:rtl/>
        </w:rPr>
        <w:t xml:space="preserve">גם אם הישג הזיכרון של ר׳ </w:t>
      </w:r>
      <w:proofErr w:type="spellStart"/>
      <w:r>
        <w:rPr>
          <w:rtl/>
        </w:rPr>
        <w:t>דוד׳ל</w:t>
      </w:r>
      <w:proofErr w:type="spellEnd"/>
      <w:r>
        <w:rPr>
          <w:rtl/>
        </w:rPr>
        <w:t xml:space="preserve"> למען כלתו לעתיד לא נעשה בלשון שאינה מוכרת לו, סיפור כזה מסופר גם על גדול תורה קדום בהרבה, ר׳ </w:t>
      </w:r>
      <w:proofErr w:type="spellStart"/>
      <w:r>
        <w:rPr>
          <w:rtl/>
        </w:rPr>
        <w:t>נתן־נטע</w:t>
      </w:r>
      <w:proofErr w:type="spellEnd"/>
      <w:r>
        <w:rPr>
          <w:rtl/>
        </w:rPr>
        <w:t xml:space="preserve"> שפירא, בעל “מגלה עמוקות” (שמ״ה–שצ״ג)</w:t>
      </w:r>
      <w:bookmarkStart w:id="5736" w:name="_fnr4370"/>
      <w:r>
        <w:rPr>
          <w:vertAlign w:val="superscript"/>
          <w:rtl/>
        </w:rPr>
        <w:footnoteReference w:id="4380" w:customMarkFollows="0"/>
      </w:r>
      <w:bookmarkEnd w:id="5736"/>
      <w:r>
        <w:rPr>
          <w:rtl/>
        </w:rPr>
        <w:t xml:space="preserve">. בנו של אותו גאון, “ר׳ שלמה, רב וראש ישיבה בעיר </w:t>
      </w:r>
      <w:proofErr w:type="spellStart"/>
      <w:r>
        <w:rPr>
          <w:rtl/>
        </w:rPr>
        <w:t>סטנוב</w:t>
      </w:r>
      <w:proofErr w:type="spellEnd"/>
      <w:r>
        <w:rPr>
          <w:rtl/>
        </w:rPr>
        <w:t xml:space="preserve">”, סיפר שכאשר היה אביו בן </w:t>
      </w:r>
      <w:proofErr w:type="spellStart"/>
      <w:r>
        <w:rPr>
          <w:rtl/>
        </w:rPr>
        <w:t>חמש־עשרה</w:t>
      </w:r>
      <w:proofErr w:type="spellEnd"/>
      <w:r>
        <w:rPr>
          <w:rtl/>
        </w:rPr>
        <w:t>, הגיע שמע זיכרונו המופלא לאוזני הנסיך הפולני ששלט בעיר מגוריו.</w:t>
      </w:r>
    </w:p>
    <w:p w14:paraId="2BCB7DFB" w14:textId="77777777" w:rsidR="00AB3647" w:rsidRDefault="00000000" w:rsidP="007923E9">
      <w:pPr>
        <w:spacing w:after="120" w:line="276" w:lineRule="auto"/>
        <w:ind w:firstLine="283"/>
        <w:jc w:val="both"/>
      </w:pPr>
      <w:r>
        <w:rPr>
          <w:rtl/>
        </w:rPr>
        <w:lastRenderedPageBreak/>
        <w:t xml:space="preserve">הנסיך ציווה להביא לפניו את ר׳ </w:t>
      </w:r>
      <w:proofErr w:type="spellStart"/>
      <w:r>
        <w:rPr>
          <w:rtl/>
        </w:rPr>
        <w:t>נתן־נטע</w:t>
      </w:r>
      <w:proofErr w:type="spellEnd"/>
      <w:r>
        <w:rPr>
          <w:rtl/>
        </w:rPr>
        <w:t xml:space="preserve">, והחל לקרוא לפניו ספר בצרפתית. באמצע הקריאה הניח ר׳ </w:t>
      </w:r>
      <w:proofErr w:type="spellStart"/>
      <w:r>
        <w:rPr>
          <w:rtl/>
        </w:rPr>
        <w:t>נתן־נטע</w:t>
      </w:r>
      <w:proofErr w:type="spellEnd"/>
      <w:r>
        <w:rPr>
          <w:rtl/>
        </w:rPr>
        <w:t xml:space="preserve"> את ראשו על זרועו, והנסיך פנה אל חותנו של הצעיר ושאל בפולנית: “האם נרדם?” החותן נענע בראשו לשלילה, והנסיך המשיך לקרוא. כשסיים, חזר ר׳ </w:t>
      </w:r>
      <w:proofErr w:type="spellStart"/>
      <w:r>
        <w:rPr>
          <w:rtl/>
        </w:rPr>
        <w:t>נתן־נטע</w:t>
      </w:r>
      <w:proofErr w:type="spellEnd"/>
      <w:r>
        <w:rPr>
          <w:rtl/>
        </w:rPr>
        <w:t xml:space="preserve"> על הספר כולו בלשון שלא הכיר, ובכלל זה על המילים “האם נרדם?” בפולנית – לשון שגם אותה לא דיבר: ר׳ </w:t>
      </w:r>
      <w:proofErr w:type="spellStart"/>
      <w:r>
        <w:rPr>
          <w:rtl/>
        </w:rPr>
        <w:t>נתן־נטע</w:t>
      </w:r>
      <w:proofErr w:type="spellEnd"/>
      <w:r>
        <w:rPr>
          <w:rtl/>
        </w:rPr>
        <w:t xml:space="preserve"> סבר שגם מילים אלה כתובות בספר.</w:t>
      </w:r>
    </w:p>
    <w:p w14:paraId="38ACC161" w14:textId="77777777" w:rsidR="00AB3647" w:rsidRDefault="00000000" w:rsidP="007923E9">
      <w:pPr>
        <w:spacing w:after="120" w:line="276" w:lineRule="auto"/>
        <w:ind w:firstLine="283"/>
        <w:jc w:val="both"/>
      </w:pPr>
      <w:r>
        <w:rPr>
          <w:rtl/>
        </w:rPr>
        <w:t xml:space="preserve">תמונה מעניינת נוספת של ר׳ </w:t>
      </w:r>
      <w:proofErr w:type="spellStart"/>
      <w:r>
        <w:rPr>
          <w:rtl/>
        </w:rPr>
        <w:t>דוד׳ל</w:t>
      </w:r>
      <w:proofErr w:type="spellEnd"/>
      <w:r>
        <w:rPr>
          <w:rtl/>
        </w:rPr>
        <w:t xml:space="preserve"> עולה ממעשה הקשור </w:t>
      </w:r>
      <w:proofErr w:type="spellStart"/>
      <w:r>
        <w:rPr>
          <w:rtl/>
        </w:rPr>
        <w:t>לחפץ־חיים</w:t>
      </w:r>
      <w:proofErr w:type="spellEnd"/>
      <w:r>
        <w:rPr>
          <w:rtl/>
        </w:rPr>
        <w:t xml:space="preserve">. </w:t>
      </w:r>
      <w:proofErr w:type="spellStart"/>
      <w:r>
        <w:rPr>
          <w:rtl/>
        </w:rPr>
        <w:t>החפץ־חיים</w:t>
      </w:r>
      <w:proofErr w:type="spellEnd"/>
      <w:r>
        <w:rPr>
          <w:rtl/>
        </w:rPr>
        <w:t xml:space="preserve"> שהה </w:t>
      </w:r>
      <w:proofErr w:type="spellStart"/>
      <w:r>
        <w:rPr>
          <w:rtl/>
        </w:rPr>
        <w:t>בז׳טל</w:t>
      </w:r>
      <w:proofErr w:type="spellEnd"/>
      <w:r>
        <w:rPr>
          <w:rtl/>
        </w:rPr>
        <w:t xml:space="preserve">, עיר מולדתו, כשהגיעה לשם הידיעה על פטירת ר׳ </w:t>
      </w:r>
      <w:proofErr w:type="spellStart"/>
      <w:r>
        <w:rPr>
          <w:rtl/>
        </w:rPr>
        <w:t>דוד׳ל</w:t>
      </w:r>
      <w:proofErr w:type="spellEnd"/>
      <w:r>
        <w:rPr>
          <w:rtl/>
        </w:rPr>
        <w:t xml:space="preserve">. באותה עת היה בעיר מגיד נודד, </w:t>
      </w:r>
      <w:proofErr w:type="spellStart"/>
      <w:r>
        <w:rPr>
          <w:rtl/>
        </w:rPr>
        <w:t>והחפץ־חיים</w:t>
      </w:r>
      <w:proofErr w:type="spellEnd"/>
      <w:r>
        <w:rPr>
          <w:rtl/>
        </w:rPr>
        <w:t xml:space="preserve"> ביקש ממנו להספיד את הגאון שנפטר. המגיד סירב, ואמר שראה את ר׳ </w:t>
      </w:r>
      <w:proofErr w:type="spellStart"/>
      <w:r>
        <w:rPr>
          <w:rtl/>
        </w:rPr>
        <w:t>דוד׳ל</w:t>
      </w:r>
      <w:proofErr w:type="spellEnd"/>
      <w:r>
        <w:rPr>
          <w:rtl/>
        </w:rPr>
        <w:t xml:space="preserve"> במסעותיו רק פעם אחת, ואינו מכירו די הצורך. </w:t>
      </w:r>
      <w:proofErr w:type="spellStart"/>
      <w:r>
        <w:rPr>
          <w:rtl/>
        </w:rPr>
        <w:t>החפץ־חיים</w:t>
      </w:r>
      <w:proofErr w:type="spellEnd"/>
      <w:r>
        <w:rPr>
          <w:rtl/>
        </w:rPr>
        <w:t xml:space="preserve"> ביקש מהמגיד לספר לו בדיוק מה התרחש כשראה את ר׳ </w:t>
      </w:r>
      <w:proofErr w:type="spellStart"/>
      <w:r>
        <w:rPr>
          <w:rtl/>
        </w:rPr>
        <w:t>דוד׳ל</w:t>
      </w:r>
      <w:proofErr w:type="spellEnd"/>
      <w:r>
        <w:rPr>
          <w:rtl/>
        </w:rPr>
        <w:t>, ושמע ממנו את הדברים האלה.</w:t>
      </w:r>
    </w:p>
    <w:p w14:paraId="56836CBF" w14:textId="77777777" w:rsidR="00AB3647" w:rsidRDefault="00000000" w:rsidP="007923E9">
      <w:pPr>
        <w:spacing w:after="120" w:line="276" w:lineRule="auto"/>
        <w:ind w:firstLine="283"/>
        <w:jc w:val="both"/>
      </w:pPr>
      <w:r>
        <w:rPr>
          <w:rtl/>
        </w:rPr>
        <w:t xml:space="preserve">המגיד דרש </w:t>
      </w:r>
      <w:proofErr w:type="spellStart"/>
      <w:r>
        <w:rPr>
          <w:rtl/>
        </w:rPr>
        <w:t>בקרלין</w:t>
      </w:r>
      <w:proofErr w:type="spellEnd"/>
      <w:r>
        <w:rPr>
          <w:rtl/>
        </w:rPr>
        <w:t xml:space="preserve">, וכמנהגו עבר אחר כך בבתים לאסוף צדקה. הוא בא לבית ר׳ </w:t>
      </w:r>
      <w:proofErr w:type="spellStart"/>
      <w:r>
        <w:rPr>
          <w:rtl/>
        </w:rPr>
        <w:t>דוד׳ל</w:t>
      </w:r>
      <w:proofErr w:type="spellEnd"/>
      <w:r>
        <w:rPr>
          <w:rtl/>
        </w:rPr>
        <w:t xml:space="preserve">, והרב הפסיק את לימודו, נתן לו תרומה, ומיד השיב את עיניו לספר. כה גדולה הייתה החוויה הרוחנית שבהתבוננות בפניו המאירות של ר׳ </w:t>
      </w:r>
      <w:proofErr w:type="spellStart"/>
      <w:r>
        <w:rPr>
          <w:rtl/>
        </w:rPr>
        <w:t>דוד׳ל</w:t>
      </w:r>
      <w:bookmarkStart w:id="5737" w:name="_fnr4371"/>
      <w:proofErr w:type="spellEnd"/>
      <w:r>
        <w:rPr>
          <w:vertAlign w:val="superscript"/>
          <w:rtl/>
        </w:rPr>
        <w:footnoteReference w:id="4381" w:customMarkFollows="0"/>
      </w:r>
      <w:bookmarkEnd w:id="5737"/>
      <w:r>
        <w:rPr>
          <w:rtl/>
        </w:rPr>
        <w:t xml:space="preserve">, שהמגיד התיישב בפינת החדר כדי להשביע את עיניו מן הגאון היושב אל שולחנו, שקוע בתורה. כעבור זמן מה הרים ר׳ </w:t>
      </w:r>
      <w:proofErr w:type="spellStart"/>
      <w:r>
        <w:rPr>
          <w:rtl/>
        </w:rPr>
        <w:t>דוד׳ל</w:t>
      </w:r>
      <w:proofErr w:type="spellEnd"/>
      <w:r>
        <w:rPr>
          <w:rtl/>
        </w:rPr>
        <w:t xml:space="preserve"> את עיניו, ראה את היהודי היושב בחדר ואמר: “עדיין לא נתתי לך תרומה?” הוא הוציא מטבע לתת לו, אבל המגיד השיב: “לא, הרב כבר נתן לי, אלא שאני נהנה לשבת כאן ולראות את הרב לומד”.</w:t>
      </w:r>
    </w:p>
    <w:p w14:paraId="0AEFB24F" w14:textId="77777777" w:rsidR="00AB3647" w:rsidRDefault="00000000" w:rsidP="007923E9">
      <w:pPr>
        <w:spacing w:after="120" w:line="276" w:lineRule="auto"/>
        <w:ind w:firstLine="283"/>
        <w:jc w:val="both"/>
      </w:pPr>
      <w:r>
        <w:rPr>
          <w:rtl/>
        </w:rPr>
        <w:t xml:space="preserve">ר׳ </w:t>
      </w:r>
      <w:proofErr w:type="spellStart"/>
      <w:r>
        <w:rPr>
          <w:rtl/>
        </w:rPr>
        <w:t>דוד׳ל</w:t>
      </w:r>
      <w:proofErr w:type="spellEnd"/>
      <w:r>
        <w:rPr>
          <w:rtl/>
        </w:rPr>
        <w:t xml:space="preserve"> השיב את עיניו לספר, והמגיד המשיך להתבונן בו. כעבור זמן מה שוב הרים ר׳ </w:t>
      </w:r>
      <w:proofErr w:type="spellStart"/>
      <w:r>
        <w:rPr>
          <w:rtl/>
        </w:rPr>
        <w:t>דוד׳ל</w:t>
      </w:r>
      <w:proofErr w:type="spellEnd"/>
      <w:r>
        <w:rPr>
          <w:rtl/>
        </w:rPr>
        <w:t xml:space="preserve"> את עיניו ושאל: “עדיין לא נתתי לך תרומה?”, ושוב ענה האורח: “כפי שאמרתי לרב, הוא אכן נתן לי תרומה, ואני רק יושב ורואה את הרב לומד”. הדבר חזר על עצמו פעם נוספת, ור׳ </w:t>
      </w:r>
      <w:proofErr w:type="spellStart"/>
      <w:r>
        <w:rPr>
          <w:rtl/>
        </w:rPr>
        <w:t>דוד׳ל</w:t>
      </w:r>
      <w:proofErr w:type="spellEnd"/>
      <w:r>
        <w:rPr>
          <w:rtl/>
        </w:rPr>
        <w:t xml:space="preserve"> אמר בהתנצלות: “זקנתי ואיני זוכר דברים היטב כל כך – אך רק ענייני העולם. בתורה דעתי רעננה כתמיד, ברוך ה׳”</w:t>
      </w:r>
      <w:bookmarkStart w:id="5738" w:name="_fnr4372"/>
      <w:r>
        <w:rPr>
          <w:vertAlign w:val="superscript"/>
          <w:rtl/>
        </w:rPr>
        <w:footnoteReference w:id="4382" w:customMarkFollows="0"/>
      </w:r>
      <w:bookmarkEnd w:id="5738"/>
      <w:r>
        <w:rPr>
          <w:rtl/>
        </w:rPr>
        <w:t xml:space="preserve">. כששמע </w:t>
      </w:r>
      <w:proofErr w:type="spellStart"/>
      <w:r>
        <w:rPr>
          <w:rtl/>
        </w:rPr>
        <w:t>החפץ־חיים</w:t>
      </w:r>
      <w:proofErr w:type="spellEnd"/>
      <w:r>
        <w:rPr>
          <w:rtl/>
        </w:rPr>
        <w:t xml:space="preserve"> את המעשה, אמר למגיד: “לך והספד את ר׳ </w:t>
      </w:r>
      <w:proofErr w:type="spellStart"/>
      <w:r>
        <w:rPr>
          <w:rtl/>
        </w:rPr>
        <w:t>דוד׳ל</w:t>
      </w:r>
      <w:proofErr w:type="spellEnd"/>
      <w:r>
        <w:rPr>
          <w:rtl/>
        </w:rPr>
        <w:t>. אתה אכן מכירו, מפני שמה שראית הוא תיאור מדויק של הגאון שנפטר”</w:t>
      </w:r>
      <w:bookmarkStart w:id="5739" w:name="_fnr4373"/>
      <w:r>
        <w:rPr>
          <w:vertAlign w:val="superscript"/>
          <w:rtl/>
        </w:rPr>
        <w:footnoteReference w:id="4383" w:customMarkFollows="0"/>
      </w:r>
      <w:bookmarkEnd w:id="5739"/>
      <w:r>
        <w:rPr>
          <w:rtl/>
        </w:rPr>
        <w:t>.</w:t>
      </w:r>
    </w:p>
    <w:bookmarkStart w:id="5740" w:name="b4_excR"/>
    <w:bookmarkStart w:id="5741" w:name="b4_annexR"/>
    <w:p w14:paraId="289828CA" w14:textId="77777777" w:rsidR="00AB3647" w:rsidRDefault="00000000" w:rsidP="007923E9">
      <w:pPr>
        <w:pStyle w:val="3"/>
        <w:pageBreakBefore w:val="0"/>
        <w:spacing w:line="276" w:lineRule="auto"/>
      </w:pPr>
      <w:r>
        <w:lastRenderedPageBreak/>
        <w:fldChar w:fldCharType="begin" w:dirty="true"/>
      </w:r>
      <w:r>
        <w:rPr>
          <w:rtl w:val="0"/>
        </w:rPr>
        <w:instrText>HYPERLINK \l "b4_note148</w:instrText>
      </w:r>
      <w:r>
        <w:instrText>"</w:instrText>
      </w:r>
      <w:r>
        <w:fldChar w:fldCharType="separate"/>
      </w:r>
      <w:r>
        <w:t xml:space="preserve">נספח </w:t>
      </w:r>
      <w:proofErr w:type="spellStart"/>
      <w:r>
        <w:t>יח</w:t>
      </w:r>
      <w:proofErr w:type="spellEnd"/>
      <w:r>
        <w:fldChar w:fldCharType="end"/>
      </w:r>
      <w:bookmarkEnd w:id="5740"/>
      <w:bookmarkEnd w:id="5741"/>
    </w:p>
    <w:p w14:paraId="706187AD" w14:textId="77777777" w:rsidR="00AB3647" w:rsidRDefault="00000000" w:rsidP="007923E9">
      <w:pPr>
        <w:pStyle w:val="af"/>
        <w:spacing w:line="276" w:lineRule="auto"/>
      </w:pPr>
      <w:r>
        <w:t xml:space="preserve">על משחק המלכים ועל התמנות ר׳ </w:t>
      </w:r>
      <w:proofErr w:type="spellStart"/>
      <w:r>
        <w:t>יוסף־שלמה</w:t>
      </w:r>
      <w:proofErr w:type="spellEnd"/>
      <w:r>
        <w:t xml:space="preserve"> </w:t>
      </w:r>
      <w:proofErr w:type="spellStart"/>
      <w:r>
        <w:t>כהנמן</w:t>
      </w:r>
      <w:proofErr w:type="spellEnd"/>
      <w:r>
        <w:t xml:space="preserve"> לרב </w:t>
      </w:r>
      <w:proofErr w:type="spellStart"/>
      <w:r>
        <w:t>פוניבז</w:t>
      </w:r>
      <w:proofErr w:type="spellEnd"/>
      <w:r>
        <w:t xml:space="preserve">׳ ור׳ </w:t>
      </w:r>
      <w:proofErr w:type="spellStart"/>
      <w:r>
        <w:t>משה־יום־טוב</w:t>
      </w:r>
      <w:proofErr w:type="spellEnd"/>
      <w:r>
        <w:t xml:space="preserve"> </w:t>
      </w:r>
      <w:proofErr w:type="spellStart"/>
      <w:r>
        <w:t>וכטפוגל</w:t>
      </w:r>
      <w:proofErr w:type="spellEnd"/>
      <w:r>
        <w:t xml:space="preserve"> לרב קול</w:t>
      </w:r>
    </w:p>
    <w:p w14:paraId="689EDDD3" w14:textId="77777777" w:rsidR="00AB3647" w:rsidRDefault="00000000" w:rsidP="007923E9">
      <w:pPr>
        <w:pStyle w:val="4"/>
        <w:spacing w:line="276" w:lineRule="auto"/>
      </w:pPr>
      <w:r>
        <w:t>· הפסקה הראשונה ·</w:t>
      </w:r>
    </w:p>
    <w:p w14:paraId="31B0C9BC" w14:textId="77777777" w:rsidR="00AB3647" w:rsidRDefault="00000000" w:rsidP="007923E9">
      <w:pPr>
        <w:pStyle w:val="5"/>
        <w:spacing w:line="276" w:lineRule="auto"/>
      </w:pPr>
      <w:r>
        <w:rPr>
          <w:bCs/>
          <w:szCs w:val="26"/>
        </w:rPr>
        <w:t xml:space="preserve">תלמידי </w:t>
      </w:r>
      <w:proofErr w:type="spellStart"/>
      <w:r>
        <w:rPr>
          <w:bCs/>
          <w:szCs w:val="26"/>
        </w:rPr>
        <w:t>סלבודקה</w:t>
      </w:r>
      <w:proofErr w:type="spellEnd"/>
      <w:r>
        <w:rPr>
          <w:bCs/>
          <w:szCs w:val="26"/>
        </w:rPr>
        <w:t xml:space="preserve"> משחקים שחמט – רבנו משחק לעיתים במשחק</w:t>
      </w:r>
    </w:p>
    <w:p w14:paraId="66380238" w14:textId="5C14C6D8" w:rsidR="00AB3647" w:rsidRDefault="00000000" w:rsidP="007923E9">
      <w:pPr>
        <w:spacing w:after="120" w:line="276" w:lineRule="auto"/>
        <w:ind w:firstLine="283"/>
        <w:jc w:val="both"/>
      </w:pPr>
      <w:r>
        <w:rPr>
          <w:rtl/>
        </w:rPr>
        <w:t xml:space="preserve">בכנסת ישראל עודדו גילויי חריפות, אולי מפני שהסבא נטה לחבב בעלי מוחות חריפים – השווה הערה </w:t>
      </w:r>
      <w:r>
        <w:rPr>
          <w:rtl/>
        </w:rPr>
        <w:fldChar w:fldCharType="begin" w:dirty="true"/>
      </w:r>
      <w:r>
        <w:rPr>
          <w:rtl/>
        </w:rPr>
        <w:instrText xml:space="preserve"> REF b4_note20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20</w:t>
      </w:r>
      <w:r>
        <w:rPr>
          <w:rtl/>
        </w:rPr>
        <w:fldChar w:fldCharType="end"/>
      </w:r>
      <w:r>
        <w:rPr>
          <w:rtl/>
        </w:rPr>
        <w:t xml:space="preserve"> לעיל. כך, למשל, משחק השחמט, גם אם שיחקו בו רק לעיתים, היה נפוץ כל כך בין התלמידים, שאבי כינה אותו “מחלה של </w:t>
      </w:r>
      <w:proofErr w:type="spellStart"/>
      <w:r>
        <w:rPr>
          <w:rtl/>
        </w:rPr>
        <w:t>סלבודקה</w:t>
      </w:r>
      <w:proofErr w:type="spellEnd"/>
      <w:r>
        <w:rPr>
          <w:rtl/>
        </w:rPr>
        <w:t xml:space="preserve">”. הוא אמר זאת בעקבות שאלה של נכדו ר׳ יצחק </w:t>
      </w:r>
      <w:proofErr w:type="spellStart"/>
      <w:r>
        <w:rPr>
          <w:rtl/>
        </w:rPr>
        <w:t>שורין</w:t>
      </w:r>
      <w:bookmarkStart w:id="5742" w:name="_fnr4374"/>
      <w:proofErr w:type="spellEnd"/>
      <w:r>
        <w:rPr>
          <w:vertAlign w:val="superscript"/>
          <w:rtl/>
        </w:rPr>
        <w:footnoteReference w:id="4384" w:customMarkFollows="0"/>
      </w:r>
      <w:bookmarkEnd w:id="5742"/>
      <w:r>
        <w:rPr>
          <w:rtl/>
        </w:rPr>
        <w:t xml:space="preserve">, אז בן עשרים ושתיים, על אמרה ששמע בשם ר׳ </w:t>
      </w:r>
      <w:proofErr w:type="spellStart"/>
      <w:r>
        <w:rPr>
          <w:rtl/>
        </w:rPr>
        <w:t xml:space="preserve">יוסף־דב</w:t>
      </w:r>
      <w:proofErr w:type="spellEnd"/>
      <w:r>
        <w:rPr>
          <w:rtl/>
        </w:rPr>
        <w:t xml:space="preserve"> </w:t>
      </w:r>
      <w:proofErr w:type="spellStart"/>
      <w:r>
        <w:rPr>
          <w:rtl/>
        </w:rPr>
        <w:t>סולובייצ׳יק</w:t>
      </w:r>
      <w:proofErr w:type="spellEnd"/>
      <w:r>
        <w:rPr>
          <w:rtl/>
        </w:rPr>
        <w:t xml:space="preserve">, הקושרת את </w:t>
      </w:r>
      <w:proofErr w:type="spellStart"/>
      <w:r>
        <w:rPr>
          <w:rtl/>
        </w:rPr>
        <w:t>סלבודקה</w:t>
      </w:r>
      <w:proofErr w:type="spellEnd"/>
      <w:r>
        <w:rPr>
          <w:rtl/>
        </w:rPr>
        <w:t xml:space="preserve"> לשחמט: כשנשאל ר׳ </w:t>
      </w:r>
      <w:proofErr w:type="spellStart"/>
      <w:r>
        <w:rPr>
          <w:rtl/>
        </w:rPr>
        <w:t xml:space="preserve">יוסף־דב</w:t>
      </w:r>
      <w:proofErr w:type="spellEnd"/>
      <w:r>
        <w:rPr>
          <w:rtl/>
        </w:rPr>
        <w:t xml:space="preserve"> אם הוא יודע לשחק שחמט, השיב: “לא, לא למדתי </w:t>
      </w:r>
      <w:proofErr w:type="spellStart"/>
      <w:r>
        <w:rPr>
          <w:rtl/>
        </w:rPr>
        <w:t>בסלבודקה</w:t>
      </w:r>
      <w:proofErr w:type="spellEnd"/>
      <w:r>
        <w:rPr>
          <w:rtl/>
        </w:rPr>
        <w:t>”. אבי ניצל את ההזדמנות להזהיר את ר׳ יצחק שיתרחק מן השחמט, מפני שהמשחק כובש את כל מחשבתו של השחקן וגוזל זמן רב מדי מן הלימוד.</w:t>
      </w:r>
    </w:p>
    <w:p w14:paraId="0DB9FEC8" w14:textId="77777777" w:rsidR="00AB3647" w:rsidRDefault="00000000" w:rsidP="007923E9">
      <w:pPr>
        <w:spacing w:after="120" w:line="276" w:lineRule="auto"/>
        <w:ind w:firstLine="283"/>
        <w:jc w:val="both"/>
      </w:pPr>
      <w:r>
        <w:rPr>
          <w:rtl/>
        </w:rPr>
        <w:t xml:space="preserve">לא ידוע אם בנו של הסבא, ר׳ </w:t>
      </w:r>
      <w:proofErr w:type="spellStart"/>
      <w:r>
        <w:rPr>
          <w:rtl/>
        </w:rPr>
        <w:t>לייזר־יודל</w:t>
      </w:r>
      <w:proofErr w:type="spellEnd"/>
      <w:r>
        <w:rPr>
          <w:rtl/>
        </w:rPr>
        <w:t xml:space="preserve">, התעניין בשחמט, אבל בנו הרב בייניש – שלא למד </w:t>
      </w:r>
      <w:proofErr w:type="spellStart"/>
      <w:r>
        <w:rPr>
          <w:rtl/>
        </w:rPr>
        <w:t>בסלבודקה</w:t>
      </w:r>
      <w:proofErr w:type="spellEnd"/>
      <w:r>
        <w:rPr>
          <w:rtl/>
        </w:rPr>
        <w:t xml:space="preserve"> אלא בישיבת אביו </w:t>
      </w:r>
      <w:proofErr w:type="spellStart"/>
      <w:r>
        <w:rPr>
          <w:rtl/>
        </w:rPr>
        <w:t>במיר</w:t>
      </w:r>
      <w:proofErr w:type="spellEnd"/>
      <w:r>
        <w:rPr>
          <w:rtl/>
        </w:rPr>
        <w:t xml:space="preserve"> – היה שחקן מומחה. ר׳ שלמה לורנץ, שבא ללמוד בישיבת </w:t>
      </w:r>
      <w:proofErr w:type="spellStart"/>
      <w:r>
        <w:rPr>
          <w:rtl/>
        </w:rPr>
        <w:t>מיר</w:t>
      </w:r>
      <w:proofErr w:type="spellEnd"/>
      <w:r>
        <w:rPr>
          <w:rtl/>
        </w:rPr>
        <w:t xml:space="preserve"> </w:t>
      </w:r>
      <w:proofErr w:type="spellStart"/>
      <w:r>
        <w:rPr>
          <w:rtl/>
        </w:rPr>
        <w:t>בתרצ״ו</w:t>
      </w:r>
      <w:proofErr w:type="spellEnd"/>
      <w:r>
        <w:rPr>
          <w:rtl/>
        </w:rPr>
        <w:t>, סיפר</w:t>
      </w:r>
      <w:bookmarkStart w:id="5743" w:name="_fnr4375"/>
      <w:r>
        <w:rPr>
          <w:vertAlign w:val="superscript"/>
          <w:rtl/>
        </w:rPr>
        <w:footnoteReference w:id="4385" w:customMarkFollows="0"/>
      </w:r>
      <w:bookmarkEnd w:id="5743"/>
      <w:r>
        <w:rPr>
          <w:rtl/>
        </w:rPr>
        <w:t xml:space="preserve"> שבחופשת בין הזמנים היה הרב בייניש משחק בעיניים מכוסות מול שבעה יריבים בבת אחת. הרב בייניש </w:t>
      </w:r>
      <w:proofErr w:type="spellStart"/>
      <w:r>
        <w:rPr>
          <w:rtl/>
        </w:rPr>
        <w:t>פינקל</w:t>
      </w:r>
      <w:proofErr w:type="spellEnd"/>
      <w:r>
        <w:rPr>
          <w:rtl/>
        </w:rPr>
        <w:t xml:space="preserve"> ירש את אביו כראש ישיבת </w:t>
      </w:r>
      <w:proofErr w:type="spellStart"/>
      <w:r>
        <w:rPr>
          <w:rtl/>
        </w:rPr>
        <w:t>מיר</w:t>
      </w:r>
      <w:proofErr w:type="spellEnd"/>
      <w:r>
        <w:rPr>
          <w:rtl/>
        </w:rPr>
        <w:t xml:space="preserve"> בירושלים </w:t>
      </w:r>
      <w:proofErr w:type="spellStart"/>
      <w:r>
        <w:rPr>
          <w:rtl/>
        </w:rPr>
        <w:t>בתשכ״ה</w:t>
      </w:r>
      <w:proofErr w:type="spellEnd"/>
      <w:r>
        <w:rPr>
          <w:rtl/>
        </w:rPr>
        <w:t>.</w:t>
      </w:r>
    </w:p>
    <w:p w14:paraId="336FE95E" w14:textId="77777777" w:rsidR="00AB3647" w:rsidRDefault="00000000" w:rsidP="007923E9">
      <w:pPr>
        <w:spacing w:after="120" w:line="276" w:lineRule="auto"/>
        <w:ind w:firstLine="283"/>
        <w:jc w:val="both"/>
      </w:pPr>
      <w:r>
        <w:rPr>
          <w:rtl/>
        </w:rPr>
        <w:t xml:space="preserve">ר׳ שכנא </w:t>
      </w:r>
      <w:proofErr w:type="spellStart"/>
      <w:r>
        <w:rPr>
          <w:rtl/>
        </w:rPr>
        <w:t>קולודצקי</w:t>
      </w:r>
      <w:proofErr w:type="spellEnd"/>
      <w:r>
        <w:rPr>
          <w:rtl/>
        </w:rPr>
        <w:t xml:space="preserve"> סיפר</w:t>
      </w:r>
      <w:bookmarkStart w:id="5744" w:name="_fnr4376"/>
      <w:r>
        <w:rPr>
          <w:vertAlign w:val="superscript"/>
          <w:rtl/>
        </w:rPr>
        <w:footnoteReference w:id="4386" w:customMarkFollows="0"/>
      </w:r>
      <w:bookmarkEnd w:id="5744"/>
      <w:r>
        <w:rPr>
          <w:rtl/>
        </w:rPr>
        <w:t xml:space="preserve"> שאבי, שהיה אז מחברי כולל </w:t>
      </w:r>
      <w:proofErr w:type="spellStart"/>
      <w:r>
        <w:rPr>
          <w:rtl/>
        </w:rPr>
        <w:t>סלבודקה</w:t>
      </w:r>
      <w:bookmarkStart w:id="5745" w:name="_fnr4377"/>
      <w:proofErr w:type="spellEnd"/>
      <w:r>
        <w:rPr>
          <w:vertAlign w:val="superscript"/>
          <w:rtl/>
        </w:rPr>
        <w:footnoteReference w:id="4387" w:customMarkFollows="0"/>
      </w:r>
      <w:bookmarkEnd w:id="5745"/>
      <w:r>
        <w:rPr>
          <w:rtl/>
        </w:rPr>
        <w:t xml:space="preserve">, שיחק עמו שחמט שלוש פעמים בבין הזמנים של פסח תרפ״ה. ייתכן שאבי ביקש לשמח את ר׳ שכנא, נער בודד ויתום מאם שאביו התגורר מעבר לים, בבין הזמנים הראשון מאז בא לקובנה אחרי סוכות. הרב </w:t>
      </w:r>
      <w:proofErr w:type="spellStart"/>
      <w:r>
        <w:rPr>
          <w:rtl/>
        </w:rPr>
        <w:t>קולודצקי</w:t>
      </w:r>
      <w:proofErr w:type="spellEnd"/>
      <w:r>
        <w:rPr>
          <w:rtl/>
        </w:rPr>
        <w:t xml:space="preserve"> זכר שניצח באחד המשחקים – ואפשר שגם אותו הפסיד אבי בכוונה, לטובת היתום הצעיר.</w:t>
      </w:r>
    </w:p>
    <w:p w14:paraId="67588327" w14:textId="77777777" w:rsidR="00AB3647" w:rsidRDefault="00000000" w:rsidP="007923E9">
      <w:pPr>
        <w:spacing w:after="120" w:line="276" w:lineRule="auto"/>
        <w:ind w:firstLine="283"/>
        <w:jc w:val="both"/>
      </w:pPr>
      <w:r>
        <w:rPr>
          <w:rtl/>
        </w:rPr>
        <w:t xml:space="preserve">אבי שיחק שחמט גם בשנים שאחרי </w:t>
      </w:r>
      <w:proofErr w:type="spellStart"/>
      <w:r>
        <w:rPr>
          <w:rtl/>
        </w:rPr>
        <w:t>סלבודקה</w:t>
      </w:r>
      <w:proofErr w:type="spellEnd"/>
      <w:r>
        <w:rPr>
          <w:rtl/>
        </w:rPr>
        <w:t>, אם כי לעיתים רחוקות מאוד: למשל במחנה מתיבתא</w:t>
      </w:r>
      <w:bookmarkStart w:id="5746" w:name="_fnr4378"/>
      <w:r>
        <w:rPr>
          <w:vertAlign w:val="superscript"/>
          <w:rtl/>
        </w:rPr>
        <w:footnoteReference w:id="4388" w:customMarkFollows="0"/>
      </w:r>
      <w:bookmarkEnd w:id="5746"/>
      <w:r>
        <w:rPr>
          <w:rtl/>
        </w:rPr>
        <w:t xml:space="preserve">, ובמוצאי שבת פרשת חיי שרה תשכ״ז, עם נכדו ר׳ יצחק. מסתבר שהייתה למעשים אלה מטרה חינוכית. אבל השווה גם “אמת ליעקב על סדר נזיקין”, </w:t>
      </w:r>
      <w:proofErr w:type="spellStart"/>
      <w:r>
        <w:rPr>
          <w:rtl/>
        </w:rPr>
        <w:t>ח״ב</w:t>
      </w:r>
      <w:bookmarkStart w:id="5747" w:name="_fnr4379"/>
      <w:proofErr w:type="spellEnd"/>
      <w:r>
        <w:rPr>
          <w:vertAlign w:val="superscript"/>
          <w:rtl/>
        </w:rPr>
        <w:footnoteReference w:id="4389" w:customMarkFollows="0"/>
      </w:r>
      <w:bookmarkEnd w:id="5747"/>
      <w:r>
        <w:rPr>
          <w:rtl/>
        </w:rPr>
        <w:t>, שבו מסביר אבי דברי הרמב״ם על פי הרעיון שחידוד המחשבה בעניינים שמחוץ לתורה עשוי לסייע ללימוד התורה</w:t>
      </w:r>
      <w:bookmarkStart w:id="5748" w:name="_fnr4380"/>
      <w:r>
        <w:rPr>
          <w:vertAlign w:val="superscript"/>
          <w:rtl/>
        </w:rPr>
        <w:footnoteReference w:id="4390" w:customMarkFollows="0"/>
      </w:r>
      <w:bookmarkEnd w:id="5748"/>
      <w:r>
        <w:rPr>
          <w:rtl/>
        </w:rPr>
        <w:t>.</w:t>
      </w:r>
    </w:p>
    <w:p w14:paraId="49AC5E5C" w14:textId="241D3286" w:rsidR="00AB3647" w:rsidRDefault="00000000" w:rsidP="007923E9">
      <w:pPr>
        <w:spacing w:after="120" w:line="276" w:lineRule="auto"/>
        <w:ind w:firstLine="283"/>
        <w:jc w:val="both"/>
      </w:pPr>
      <w:r>
        <w:rPr>
          <w:rtl/>
        </w:rPr>
        <w:lastRenderedPageBreak/>
        <w:t xml:space="preserve">מובן מאליו שתלמידי </w:t>
      </w:r>
      <w:proofErr w:type="spellStart"/>
      <w:r>
        <w:rPr>
          <w:rtl/>
        </w:rPr>
        <w:t>סלבודקה</w:t>
      </w:r>
      <w:proofErr w:type="spellEnd"/>
      <w:r>
        <w:rPr>
          <w:rtl/>
        </w:rPr>
        <w:t xml:space="preserve"> לא שיחקו בכדור בשעות הפנאי. קוראים אמריקאים ימצאו עניין במה שמספר “ארצות החיים”</w:t>
      </w:r>
      <w:bookmarkStart w:id="5749" w:name="_fnr4381"/>
      <w:r>
        <w:rPr>
          <w:vertAlign w:val="superscript"/>
          <w:rtl/>
        </w:rPr>
        <w:footnoteReference w:id="4391" w:customMarkFollows="0"/>
      </w:r>
      <w:bookmarkEnd w:id="5749"/>
      <w:r>
        <w:rPr>
          <w:rtl/>
        </w:rPr>
        <w:t xml:space="preserve"> על ביקור ר׳ שמעון </w:t>
      </w:r>
      <w:proofErr w:type="spellStart"/>
      <w:r>
        <w:rPr>
          <w:rtl/>
        </w:rPr>
        <w:t>שקופ</w:t>
      </w:r>
      <w:proofErr w:type="spellEnd"/>
      <w:r>
        <w:rPr>
          <w:rtl/>
        </w:rPr>
        <w:t xml:space="preserve"> בארצות הברית </w:t>
      </w:r>
      <w:proofErr w:type="spellStart"/>
      <w:r>
        <w:rPr>
          <w:rtl/>
        </w:rPr>
        <w:t>בתרפ״ט</w:t>
      </w:r>
      <w:bookmarkStart w:id="5750" w:name="_fnr4382"/>
      <w:proofErr w:type="spellEnd"/>
      <w:r>
        <w:rPr>
          <w:vertAlign w:val="superscript"/>
          <w:rtl/>
        </w:rPr>
        <w:footnoteReference w:id="4392" w:customMarkFollows="0"/>
      </w:r>
      <w:bookmarkEnd w:id="5750"/>
      <w:r>
        <w:rPr>
          <w:rtl/>
        </w:rPr>
        <w:t xml:space="preserve">. הוא הוזמן לראות את ישיבת תורה ודעת – הישיבה </w:t>
      </w:r>
      <w:proofErr w:type="spellStart"/>
      <w:r>
        <w:rPr>
          <w:rtl/>
        </w:rPr>
        <w:t>ה“פרומה</w:t>
      </w:r>
      <w:proofErr w:type="spellEnd"/>
      <w:r>
        <w:rPr>
          <w:rtl/>
        </w:rPr>
        <w:t xml:space="preserve">” ביותר באמריקה באותה עת – והזדמן לשם בהפסקה, כשהבחורים שיחקו בייסבול בחצר. מספר הספר: “לא רצה להאמין למראות עיניו, כי איך יתכן כזאת שבחורי ישיבה אשר הוגים בתורת ה׳, יתעסקו בהבלים כאלה”. על פעילויות ספורט שהותרו </w:t>
      </w:r>
      <w:proofErr w:type="spellStart"/>
      <w:r>
        <w:rPr>
          <w:rtl/>
        </w:rPr>
        <w:t>בסלבודקה</w:t>
      </w:r>
      <w:proofErr w:type="spellEnd"/>
      <w:r>
        <w:rPr>
          <w:rtl/>
        </w:rPr>
        <w:t xml:space="preserve"> ראה הערה </w:t>
      </w:r>
      <w:r>
        <w:rPr>
          <w:rtl/>
        </w:rPr>
        <w:fldChar w:fldCharType="begin" w:dirty="true"/>
      </w:r>
      <w:r>
        <w:rPr>
          <w:rtl/>
        </w:rPr>
        <w:instrText xml:space="preserve"> REF b4_note62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62</w:t>
      </w:r>
      <w:r>
        <w:rPr>
          <w:rtl/>
        </w:rPr>
        <w:fldChar w:fldCharType="end"/>
      </w:r>
      <w:r>
        <w:rPr>
          <w:rtl/>
        </w:rPr>
        <w:t xml:space="preserve"> לעיל וסוף נספח ג בפרק 5.</w:t>
      </w:r>
    </w:p>
    <w:p w14:paraId="74ACDE8A" w14:textId="77777777" w:rsidR="00AB3647" w:rsidRDefault="00000000" w:rsidP="007923E9">
      <w:pPr>
        <w:pStyle w:val="4"/>
        <w:spacing w:line="276" w:lineRule="auto"/>
      </w:pPr>
      <w:r>
        <w:t>· הפסקה השנייה ·</w:t>
      </w:r>
    </w:p>
    <w:p w14:paraId="26E23C49" w14:textId="77777777" w:rsidR="00AB3647" w:rsidRDefault="00000000" w:rsidP="007923E9">
      <w:pPr>
        <w:pStyle w:val="5"/>
        <w:spacing w:line="276" w:lineRule="auto"/>
      </w:pPr>
      <w:r>
        <w:rPr>
          <w:bCs/>
          <w:szCs w:val="26"/>
        </w:rPr>
        <w:t xml:space="preserve">ר׳ </w:t>
      </w:r>
      <w:proofErr w:type="spellStart"/>
      <w:r>
        <w:rPr>
          <w:bCs/>
          <w:szCs w:val="26"/>
        </w:rPr>
        <w:t>יוסף־שלמה</w:t>
      </w:r>
      <w:proofErr w:type="spellEnd"/>
      <w:r>
        <w:rPr>
          <w:bCs/>
          <w:szCs w:val="26"/>
        </w:rPr>
        <w:t xml:space="preserve"> </w:t>
      </w:r>
      <w:proofErr w:type="spellStart"/>
      <w:r>
        <w:rPr>
          <w:bCs/>
          <w:szCs w:val="26"/>
        </w:rPr>
        <w:t>כהנמן</w:t>
      </w:r>
      <w:proofErr w:type="spellEnd"/>
      <w:r>
        <w:rPr>
          <w:bCs/>
          <w:szCs w:val="26"/>
        </w:rPr>
        <w:t xml:space="preserve"> מציל שבויים יהודים – הוא נבחר לרבנות </w:t>
      </w:r>
      <w:proofErr w:type="spellStart"/>
      <w:r>
        <w:rPr>
          <w:bCs/>
          <w:szCs w:val="26"/>
        </w:rPr>
        <w:t>פוניבז</w:t>
      </w:r>
      <w:proofErr w:type="spellEnd"/>
      <w:r>
        <w:rPr>
          <w:bCs/>
          <w:szCs w:val="26"/>
        </w:rPr>
        <w:t xml:space="preserve">׳ כהכרת טובה – ר׳ יצחק שניידר ממלא את מקום הרב הנעדר – ר׳ </w:t>
      </w:r>
      <w:proofErr w:type="spellStart"/>
      <w:r>
        <w:rPr>
          <w:bCs/>
          <w:szCs w:val="26"/>
        </w:rPr>
        <w:t>חיים־עוזר</w:t>
      </w:r>
      <w:proofErr w:type="spellEnd"/>
      <w:r>
        <w:rPr>
          <w:bCs/>
          <w:szCs w:val="26"/>
        </w:rPr>
        <w:t xml:space="preserve"> </w:t>
      </w:r>
      <w:proofErr w:type="spellStart"/>
      <w:r>
        <w:rPr>
          <w:bCs/>
          <w:szCs w:val="26"/>
        </w:rPr>
        <w:t>גרודזנסקי</w:t>
      </w:r>
      <w:proofErr w:type="spellEnd"/>
      <w:r>
        <w:rPr>
          <w:bCs/>
          <w:szCs w:val="26"/>
        </w:rPr>
        <w:t xml:space="preserve"> חוזה מי יירש את ר׳ </w:t>
      </w:r>
      <w:proofErr w:type="spellStart"/>
      <w:r>
        <w:rPr>
          <w:bCs/>
          <w:szCs w:val="26"/>
        </w:rPr>
        <w:t>איצל׳ה</w:t>
      </w:r>
      <w:proofErr w:type="spellEnd"/>
      <w:r>
        <w:rPr>
          <w:bCs/>
          <w:szCs w:val="26"/>
        </w:rPr>
        <w:t xml:space="preserve"> </w:t>
      </w:r>
      <w:proofErr w:type="spellStart"/>
      <w:r>
        <w:rPr>
          <w:bCs/>
          <w:szCs w:val="26"/>
        </w:rPr>
        <w:t>רבינוביץ</w:t>
      </w:r>
      <w:proofErr w:type="spellEnd"/>
      <w:r>
        <w:rPr>
          <w:bCs/>
          <w:szCs w:val="26"/>
        </w:rPr>
        <w:t xml:space="preserve"> – ר׳ </w:t>
      </w:r>
      <w:proofErr w:type="spellStart"/>
      <w:r>
        <w:rPr>
          <w:bCs/>
          <w:szCs w:val="26"/>
        </w:rPr>
        <w:t>נתן־מאיר</w:t>
      </w:r>
      <w:proofErr w:type="spellEnd"/>
      <w:r>
        <w:rPr>
          <w:bCs/>
          <w:szCs w:val="26"/>
        </w:rPr>
        <w:t xml:space="preserve"> </w:t>
      </w:r>
      <w:proofErr w:type="spellStart"/>
      <w:r>
        <w:rPr>
          <w:bCs/>
          <w:szCs w:val="26"/>
        </w:rPr>
        <w:t>וכטפוגל</w:t>
      </w:r>
      <w:proofErr w:type="spellEnd"/>
      <w:r>
        <w:rPr>
          <w:bCs/>
          <w:szCs w:val="26"/>
        </w:rPr>
        <w:t xml:space="preserve"> עושה קידושין בלא נישואין בקובנה – אביו מתמנה לרב בקול</w:t>
      </w:r>
    </w:p>
    <w:p w14:paraId="502F8294" w14:textId="77777777" w:rsidR="00AB3647" w:rsidRDefault="00000000" w:rsidP="007923E9">
      <w:pPr>
        <w:spacing w:after="120" w:line="276" w:lineRule="auto"/>
        <w:ind w:firstLine="283"/>
        <w:jc w:val="both"/>
      </w:pPr>
      <w:r>
        <w:rPr>
          <w:rtl/>
        </w:rPr>
        <w:t xml:space="preserve">מעשה מעניין סיפר ר׳ יעקב </w:t>
      </w:r>
      <w:proofErr w:type="spellStart"/>
      <w:r>
        <w:rPr>
          <w:rtl/>
        </w:rPr>
        <w:t>לויסון</w:t>
      </w:r>
      <w:bookmarkStart w:id="5751" w:name="_fnr4383"/>
      <w:proofErr w:type="spellEnd"/>
      <w:r>
        <w:rPr>
          <w:vertAlign w:val="superscript"/>
          <w:rtl/>
        </w:rPr>
        <w:footnoteReference w:id="4393" w:customMarkFollows="0"/>
      </w:r>
      <w:bookmarkEnd w:id="5751"/>
      <w:r>
        <w:rPr>
          <w:rtl/>
        </w:rPr>
        <w:t xml:space="preserve">, כפי ששמעו מפי בעל המעשה, ר׳ </w:t>
      </w:r>
      <w:proofErr w:type="spellStart"/>
      <w:r>
        <w:rPr>
          <w:rtl/>
        </w:rPr>
        <w:t>יוסף־שלמה</w:t>
      </w:r>
      <w:proofErr w:type="spellEnd"/>
      <w:r>
        <w:rPr>
          <w:rtl/>
        </w:rPr>
        <w:t xml:space="preserve"> </w:t>
      </w:r>
      <w:proofErr w:type="spellStart"/>
      <w:r>
        <w:rPr>
          <w:rtl/>
        </w:rPr>
        <w:t>כהנמן</w:t>
      </w:r>
      <w:proofErr w:type="spellEnd"/>
      <w:r>
        <w:rPr>
          <w:rtl/>
        </w:rPr>
        <w:t xml:space="preserve">, רבה האחרון של </w:t>
      </w:r>
      <w:proofErr w:type="spellStart"/>
      <w:r>
        <w:rPr>
          <w:rtl/>
        </w:rPr>
        <w:t>פוניבז</w:t>
      </w:r>
      <w:proofErr w:type="spellEnd"/>
      <w:r>
        <w:rPr>
          <w:rtl/>
        </w:rPr>
        <w:t xml:space="preserve">׳: כיצד הציל משחק השחמט את חייהם של 900 יהודים במלחמת העולם הראשונה. ר׳ </w:t>
      </w:r>
      <w:proofErr w:type="spellStart"/>
      <w:r>
        <w:rPr>
          <w:rtl/>
        </w:rPr>
        <w:t>יוסף־שלמה</w:t>
      </w:r>
      <w:proofErr w:type="spellEnd"/>
      <w:r>
        <w:rPr>
          <w:rtl/>
        </w:rPr>
        <w:t xml:space="preserve"> ירש את חותנו כרב </w:t>
      </w:r>
      <w:proofErr w:type="spellStart"/>
      <w:r>
        <w:rPr>
          <w:rtl/>
        </w:rPr>
        <w:t>בווידז</w:t>
      </w:r>
      <w:proofErr w:type="spellEnd"/>
      <w:r>
        <w:rPr>
          <w:rtl/>
        </w:rPr>
        <w:t xml:space="preserve">׳ שבליטא (כארבעים קילומטר מדרום </w:t>
      </w:r>
      <w:proofErr w:type="spellStart"/>
      <w:r>
        <w:rPr>
          <w:rtl/>
        </w:rPr>
        <w:t>לדווינסק</w:t>
      </w:r>
      <w:proofErr w:type="spellEnd"/>
      <w:r>
        <w:rPr>
          <w:rtl/>
        </w:rPr>
        <w:t xml:space="preserve"> שבלטביה). במלחמה זו היו יהודי </w:t>
      </w:r>
      <w:proofErr w:type="spellStart"/>
      <w:r>
        <w:rPr>
          <w:rtl/>
        </w:rPr>
        <w:t>וידז</w:t>
      </w:r>
      <w:proofErr w:type="spellEnd"/>
      <w:r>
        <w:rPr>
          <w:rtl/>
        </w:rPr>
        <w:t>׳ ברי מזל יותר מאחיהם שבמערב ליטא, שכן הם לא הוגלו אל עומק רוסיה</w:t>
      </w:r>
      <w:bookmarkStart w:id="5752" w:name="_fnr4384"/>
      <w:r>
        <w:rPr>
          <w:vertAlign w:val="superscript"/>
          <w:rtl/>
        </w:rPr>
        <w:footnoteReference w:id="4394" w:customMarkFollows="0"/>
      </w:r>
      <w:bookmarkEnd w:id="5752"/>
      <w:r>
        <w:rPr>
          <w:rtl/>
        </w:rPr>
        <w:t>. כשעברה העיר לידי הגרמנים, הקימו הכובשים מחנה שבויים ובו כ־3,000 אסירים, מהם 900 יהודים.</w:t>
      </w:r>
    </w:p>
    <w:p w14:paraId="49B13B3C" w14:textId="77777777" w:rsidR="00AB3647" w:rsidRDefault="00000000" w:rsidP="007923E9">
      <w:pPr>
        <w:spacing w:after="120" w:line="276" w:lineRule="auto"/>
        <w:ind w:firstLine="283"/>
        <w:jc w:val="both"/>
      </w:pPr>
      <w:r>
        <w:rPr>
          <w:rtl/>
        </w:rPr>
        <w:t xml:space="preserve">המפקד הגרמני נתן לכל שבוי “פחות </w:t>
      </w:r>
      <w:proofErr w:type="spellStart"/>
      <w:r>
        <w:rPr>
          <w:rtl/>
        </w:rPr>
        <w:t>מכזית</w:t>
      </w:r>
      <w:proofErr w:type="spellEnd"/>
      <w:r>
        <w:rPr>
          <w:rtl/>
        </w:rPr>
        <w:t xml:space="preserve"> לחם ביום”. כרב העיר הייתה </w:t>
      </w:r>
      <w:proofErr w:type="spellStart"/>
      <w:r>
        <w:rPr>
          <w:rtl/>
        </w:rPr>
        <w:t>לר</w:t>
      </w:r>
      <w:proofErr w:type="spellEnd"/>
      <w:r>
        <w:rPr>
          <w:rtl/>
        </w:rPr>
        <w:t xml:space="preserve">׳ </w:t>
      </w:r>
      <w:proofErr w:type="spellStart"/>
      <w:r>
        <w:rPr>
          <w:rtl/>
        </w:rPr>
        <w:t>יוסף־שלמה</w:t>
      </w:r>
      <w:proofErr w:type="spellEnd"/>
      <w:r>
        <w:rPr>
          <w:rtl/>
        </w:rPr>
        <w:t xml:space="preserve"> גישה למחנה, והוא שאל את המפקד כמה זמן ימשיך להרעיב את שבוייו. המפקד השיב: “ביס </w:t>
      </w:r>
      <w:proofErr w:type="spellStart"/>
      <w:r>
        <w:rPr>
          <w:rtl/>
        </w:rPr>
        <w:t>נימאנד</w:t>
      </w:r>
      <w:proofErr w:type="spellEnd"/>
      <w:r>
        <w:rPr>
          <w:rtl/>
        </w:rPr>
        <w:t xml:space="preserve"> וירד זיין [עד שלא יישאר איש]”. פקיד גרמני אזרחי בשירות צבא הכיבוש, שניהל את העניינים האזרחיים של האזור כולו, הזמין את ר׳ </w:t>
      </w:r>
      <w:proofErr w:type="spellStart"/>
      <w:r>
        <w:rPr>
          <w:rtl/>
        </w:rPr>
        <w:t>יוסף־שלמה</w:t>
      </w:r>
      <w:proofErr w:type="spellEnd"/>
      <w:r>
        <w:rPr>
          <w:rtl/>
        </w:rPr>
        <w:t xml:space="preserve"> </w:t>
      </w:r>
      <w:proofErr w:type="spellStart"/>
      <w:r>
        <w:rPr>
          <w:rtl/>
        </w:rPr>
        <w:t>כהנמן</w:t>
      </w:r>
      <w:proofErr w:type="spellEnd"/>
      <w:r>
        <w:rPr>
          <w:rtl/>
        </w:rPr>
        <w:t xml:space="preserve"> לשחק עמו שחמט מדי ערב. ר׳ </w:t>
      </w:r>
      <w:proofErr w:type="spellStart"/>
      <w:r>
        <w:rPr>
          <w:rtl/>
        </w:rPr>
        <w:t>יוסף־שלמה</w:t>
      </w:r>
      <w:proofErr w:type="spellEnd"/>
      <w:r>
        <w:rPr>
          <w:rtl/>
        </w:rPr>
        <w:t xml:space="preserve"> לא היה תלמיד </w:t>
      </w:r>
      <w:proofErr w:type="spellStart"/>
      <w:r>
        <w:rPr>
          <w:rtl/>
        </w:rPr>
        <w:t>סלבודקה</w:t>
      </w:r>
      <w:bookmarkStart w:id="5753" w:name="_fnr4385"/>
      <w:proofErr w:type="spellEnd"/>
      <w:r>
        <w:rPr>
          <w:vertAlign w:val="superscript"/>
          <w:rtl/>
        </w:rPr>
        <w:footnoteReference w:id="4395" w:customMarkFollows="0"/>
      </w:r>
      <w:bookmarkEnd w:id="5753"/>
      <w:r>
        <w:rPr>
          <w:rtl/>
        </w:rPr>
        <w:t xml:space="preserve">, אבל היטיב לשחק. הוא ביקש לשמור על קשר קרוב עם הפקיד הגרמני כדי לדעת כיצד מתקדמת המלחמה, וכך יוכל להזהיר את היהודים בעוד מועד שיימלטו מן העיר, ולמנוע נפגעים כשהחזית תיטלטל שוב לעבר אזורם והרוסים יחזרו </w:t>
      </w:r>
      <w:proofErr w:type="spellStart"/>
      <w:r>
        <w:rPr>
          <w:rtl/>
        </w:rPr>
        <w:t>לווידז</w:t>
      </w:r>
      <w:proofErr w:type="spellEnd"/>
      <w:r>
        <w:rPr>
          <w:rtl/>
        </w:rPr>
        <w:t xml:space="preserve">׳. הוא קיווה למנוע הישנות של מה שעשה הצבא הרוסי </w:t>
      </w:r>
      <w:proofErr w:type="spellStart"/>
      <w:r>
        <w:rPr>
          <w:rtl/>
        </w:rPr>
        <w:t>בתרע״ה</w:t>
      </w:r>
      <w:proofErr w:type="spellEnd"/>
      <w:r>
        <w:rPr>
          <w:rtl/>
        </w:rPr>
        <w:t xml:space="preserve">, כשנסוג מפני ההתקדמות הגרמנית והמיט פורענות על היהודים. בערל </w:t>
      </w:r>
      <w:proofErr w:type="spellStart"/>
      <w:r>
        <w:rPr>
          <w:rtl/>
        </w:rPr>
        <w:t>קגן</w:t>
      </w:r>
      <w:bookmarkStart w:id="5754" w:name="_fnr4386"/>
      <w:proofErr w:type="spellEnd"/>
      <w:r>
        <w:rPr>
          <w:vertAlign w:val="superscript"/>
          <w:rtl/>
        </w:rPr>
        <w:footnoteReference w:id="4396" w:customMarkFollows="0"/>
      </w:r>
      <w:bookmarkEnd w:id="5754"/>
      <w:r>
        <w:rPr>
          <w:rtl/>
        </w:rPr>
        <w:t xml:space="preserve"> מספר: “רוב היהודים נמלטו מן העיירה, אך כחמישים משפחות – מן העניים – הסתתרו בבית הכנסת. הקוזקים גילו אותם, פרצו לבית הכנסת והכו את היהודים ללא רחמים”.</w:t>
      </w:r>
    </w:p>
    <w:p w14:paraId="2F3A53F9" w14:textId="77777777" w:rsidR="00AB3647" w:rsidRDefault="00000000" w:rsidP="007923E9">
      <w:pPr>
        <w:spacing w:after="120" w:line="276" w:lineRule="auto"/>
        <w:ind w:firstLine="283"/>
        <w:jc w:val="both"/>
      </w:pPr>
      <w:r>
        <w:rPr>
          <w:rtl/>
        </w:rPr>
        <w:lastRenderedPageBreak/>
        <w:t xml:space="preserve">יום אחד שאל הפקיד הגרמני את הרב אם הוא מכיר אדם שיש לו סוסים ועגלות ויוכל להיכנס לעסק הרווחי של כריתת עצים ביערות העבותים שסביב </w:t>
      </w:r>
      <w:proofErr w:type="spellStart"/>
      <w:r>
        <w:rPr>
          <w:rtl/>
        </w:rPr>
        <w:t>וידז</w:t>
      </w:r>
      <w:proofErr w:type="spellEnd"/>
      <w:r>
        <w:rPr>
          <w:rtl/>
        </w:rPr>
        <w:t xml:space="preserve">׳, למשלוח לגרמניה. ר׳ </w:t>
      </w:r>
      <w:proofErr w:type="spellStart"/>
      <w:r>
        <w:rPr>
          <w:rtl/>
        </w:rPr>
        <w:t>יוסף־שלמה</w:t>
      </w:r>
      <w:proofErr w:type="spellEnd"/>
      <w:r>
        <w:rPr>
          <w:rtl/>
        </w:rPr>
        <w:t xml:space="preserve"> מצא לו סוחר יהודי מתאים, והם עשו הסכם שלפיו יחלקו השלושה – הרב, היהודי והגרמני, להבדיל – את הרווחים בשווה. הרב הסדיר ששלישו ישולם לו מדי יום, ובכל ערב נפגש עם הסוחר היהודי וקיבל ממנו את כספו. בכספים אלה שיחד ר׳ </w:t>
      </w:r>
      <w:proofErr w:type="spellStart"/>
      <w:r>
        <w:rPr>
          <w:rtl/>
        </w:rPr>
        <w:t>יוסף־שלמה</w:t>
      </w:r>
      <w:proofErr w:type="spellEnd"/>
      <w:r>
        <w:rPr>
          <w:rtl/>
        </w:rPr>
        <w:t xml:space="preserve"> את שומרי מחנה השבויים, ומדי יום הניחו לשלושה או ארבעה שבויים יהודים לחמוק החוצה.</w:t>
      </w:r>
    </w:p>
    <w:p w14:paraId="6BB455DD" w14:textId="77777777" w:rsidR="00AB3647" w:rsidRDefault="00000000" w:rsidP="007923E9">
      <w:pPr>
        <w:spacing w:after="120" w:line="276" w:lineRule="auto"/>
        <w:ind w:firstLine="283"/>
        <w:jc w:val="both"/>
      </w:pPr>
      <w:r>
        <w:rPr>
          <w:rtl/>
        </w:rPr>
        <w:t xml:space="preserve">הרב חשש שעיירתו תתמלא יהודים באופן שיבלוט לעין, ולכן שלח אותם לעיר אחרת; </w:t>
      </w:r>
      <w:r>
        <w:rPr>
          <w:b/>
          <w:bCs/>
          <w:rtl/>
        </w:rPr>
        <w:t xml:space="preserve">ר׳ יעקב </w:t>
      </w:r>
      <w:proofErr w:type="spellStart"/>
      <w:r>
        <w:rPr>
          <w:b/>
          <w:bCs/>
          <w:rtl/>
        </w:rPr>
        <w:t>לויסון</w:t>
      </w:r>
      <w:proofErr w:type="spellEnd"/>
      <w:r>
        <w:rPr>
          <w:b/>
          <w:bCs/>
          <w:rtl/>
        </w:rPr>
        <w:t xml:space="preserve"> לא זכר לאן</w:t>
      </w:r>
      <w:r>
        <w:rPr>
          <w:rtl/>
        </w:rPr>
        <w:t xml:space="preserve"> (ההדגשה לצורך הדיון להלן). ר׳ </w:t>
      </w:r>
      <w:proofErr w:type="spellStart"/>
      <w:r>
        <w:rPr>
          <w:rtl/>
        </w:rPr>
        <w:t>יוסף־שלמה</w:t>
      </w:r>
      <w:proofErr w:type="spellEnd"/>
      <w:r>
        <w:rPr>
          <w:rtl/>
        </w:rPr>
        <w:t xml:space="preserve"> </w:t>
      </w:r>
      <w:proofErr w:type="spellStart"/>
      <w:r>
        <w:rPr>
          <w:rtl/>
        </w:rPr>
        <w:t>כהנמן</w:t>
      </w:r>
      <w:proofErr w:type="spellEnd"/>
      <w:r>
        <w:rPr>
          <w:rtl/>
        </w:rPr>
        <w:t xml:space="preserve"> סיפר שנסע לאותה עיר ודיבר שלוש פעמים בשבת אחת לפני הקהילה, כדי שיארחו את הבאים החדשים. אחרי הדרשה הראשונה אמרו שאינם יכולים להסתכן בהסתרת שבויי מלחמה נמלטים, מפני שזהו פשע שדינו מוות. אחרי הדרשה השנייה חזרו אל הרב, חלצו את נעליהם (כמנודים) וביקשו מחילה על שלא הסכימו מיד. בפעם השלישית הודה להם בדרשה על פרשת השבוע – ואותה חזר ואמר באוזני ר׳ יעקב </w:t>
      </w:r>
      <w:proofErr w:type="spellStart"/>
      <w:r>
        <w:rPr>
          <w:rtl/>
        </w:rPr>
        <w:t>לויסון</w:t>
      </w:r>
      <w:bookmarkStart w:id="5755" w:name="_fnr4387"/>
      <w:proofErr w:type="spellEnd"/>
      <w:r>
        <w:rPr>
          <w:vertAlign w:val="superscript"/>
          <w:rtl/>
        </w:rPr>
        <w:footnoteReference w:id="4397" w:customMarkFollows="0"/>
      </w:r>
      <w:bookmarkEnd w:id="5755"/>
      <w:r>
        <w:rPr>
          <w:rtl/>
        </w:rPr>
        <w:t>.</w:t>
      </w:r>
    </w:p>
    <w:p w14:paraId="004EFA66" w14:textId="77777777" w:rsidR="00AB3647" w:rsidRDefault="00000000" w:rsidP="007923E9">
      <w:pPr>
        <w:spacing w:after="120" w:line="276" w:lineRule="auto"/>
        <w:ind w:firstLine="283"/>
        <w:jc w:val="both"/>
      </w:pPr>
      <w:r>
        <w:rPr>
          <w:rtl/>
        </w:rPr>
        <w:t xml:space="preserve">כששמעתי את הסיפור, הצעתי לקשור אותו לשאלה כיצד נעשה ר׳ </w:t>
      </w:r>
      <w:proofErr w:type="spellStart"/>
      <w:r>
        <w:rPr>
          <w:rtl/>
        </w:rPr>
        <w:t>יוסף־שלמה</w:t>
      </w:r>
      <w:proofErr w:type="spellEnd"/>
      <w:r>
        <w:rPr>
          <w:rtl/>
        </w:rPr>
        <w:t xml:space="preserve"> </w:t>
      </w:r>
      <w:proofErr w:type="spellStart"/>
      <w:r>
        <w:rPr>
          <w:rtl/>
        </w:rPr>
        <w:t>כהנמן</w:t>
      </w:r>
      <w:proofErr w:type="spellEnd"/>
      <w:r>
        <w:rPr>
          <w:rtl/>
        </w:rPr>
        <w:t xml:space="preserve"> רבה של </w:t>
      </w:r>
      <w:proofErr w:type="spellStart"/>
      <w:r>
        <w:rPr>
          <w:rtl/>
        </w:rPr>
        <w:t>פוניבז</w:t>
      </w:r>
      <w:proofErr w:type="spellEnd"/>
      <w:r>
        <w:rPr>
          <w:rtl/>
        </w:rPr>
        <w:t xml:space="preserve">׳, יורשו של גאון מפורסם בעולם כר׳ </w:t>
      </w:r>
      <w:proofErr w:type="spellStart"/>
      <w:r>
        <w:rPr>
          <w:rtl/>
        </w:rPr>
        <w:t>איצל׳ה</w:t>
      </w:r>
      <w:proofErr w:type="spellEnd"/>
      <w:r>
        <w:rPr>
          <w:rtl/>
        </w:rPr>
        <w:t xml:space="preserve"> </w:t>
      </w:r>
      <w:proofErr w:type="spellStart"/>
      <w:r>
        <w:rPr>
          <w:rtl/>
        </w:rPr>
        <w:t>רבינוביץ</w:t>
      </w:r>
      <w:bookmarkStart w:id="5756" w:name="_fnr4388"/>
      <w:proofErr w:type="spellEnd"/>
      <w:r>
        <w:rPr>
          <w:vertAlign w:val="superscript"/>
          <w:rtl/>
        </w:rPr>
        <w:footnoteReference w:id="4398" w:customMarkFollows="0"/>
      </w:r>
      <w:bookmarkEnd w:id="5756"/>
      <w:r>
        <w:rPr>
          <w:rtl/>
        </w:rPr>
        <w:t xml:space="preserve">. את השאלה הזאת שאל פעם ר׳ ישראל </w:t>
      </w:r>
      <w:proofErr w:type="spellStart"/>
      <w:r>
        <w:rPr>
          <w:rtl/>
        </w:rPr>
        <w:t>שורין</w:t>
      </w:r>
      <w:bookmarkStart w:id="5757" w:name="_fnr4389"/>
      <w:proofErr w:type="spellEnd"/>
      <w:r>
        <w:rPr>
          <w:vertAlign w:val="superscript"/>
          <w:rtl/>
        </w:rPr>
        <w:footnoteReference w:id="4399" w:customMarkFollows="0"/>
      </w:r>
      <w:bookmarkEnd w:id="5757"/>
      <w:r>
        <w:rPr>
          <w:rtl/>
        </w:rPr>
        <w:t xml:space="preserve"> את ר׳ יצחק שניידר, מתלמידי </w:t>
      </w:r>
      <w:proofErr w:type="spellStart"/>
      <w:r>
        <w:rPr>
          <w:rtl/>
        </w:rPr>
        <w:t>פוניבז</w:t>
      </w:r>
      <w:proofErr w:type="spellEnd"/>
      <w:r>
        <w:rPr>
          <w:rtl/>
        </w:rPr>
        <w:t xml:space="preserve">׳ ומתושביה המפורסמים, והרב שניידר השיב בדרכו העוקצנית: “הוא נעשה רב </w:t>
      </w:r>
      <w:proofErr w:type="spellStart"/>
      <w:r>
        <w:rPr>
          <w:rtl/>
        </w:rPr>
        <w:t>לפוניבז</w:t>
      </w:r>
      <w:proofErr w:type="spellEnd"/>
      <w:r>
        <w:rPr>
          <w:rtl/>
        </w:rPr>
        <w:t xml:space="preserve">׳?! הוא היה רב </w:t>
      </w:r>
      <w:proofErr w:type="spellStart"/>
      <w:r>
        <w:rPr>
          <w:rtl/>
        </w:rPr>
        <w:t>בווידז</w:t>
      </w:r>
      <w:proofErr w:type="spellEnd"/>
      <w:r>
        <w:rPr>
          <w:rtl/>
        </w:rPr>
        <w:t xml:space="preserve">׳, ומפני המלחמה התיישבו יהודים רבים </w:t>
      </w:r>
      <w:proofErr w:type="spellStart"/>
      <w:r>
        <w:rPr>
          <w:rtl/>
        </w:rPr>
        <w:t>מווידז</w:t>
      </w:r>
      <w:proofErr w:type="spellEnd"/>
      <w:r>
        <w:rPr>
          <w:rtl/>
        </w:rPr>
        <w:t xml:space="preserve">׳ </w:t>
      </w:r>
      <w:proofErr w:type="spellStart"/>
      <w:r>
        <w:rPr>
          <w:rtl/>
        </w:rPr>
        <w:t>בפוניבז</w:t>
      </w:r>
      <w:proofErr w:type="spellEnd"/>
      <w:r>
        <w:rPr>
          <w:rtl/>
        </w:rPr>
        <w:t>׳, והם שבחרו בו”</w:t>
      </w:r>
      <w:bookmarkStart w:id="5758" w:name="_fnr4390"/>
      <w:r>
        <w:rPr>
          <w:vertAlign w:val="superscript"/>
          <w:rtl/>
        </w:rPr>
        <w:footnoteReference w:id="4400" w:customMarkFollows="0"/>
      </w:r>
      <w:bookmarkEnd w:id="5758"/>
      <w:r>
        <w:rPr>
          <w:rtl/>
        </w:rPr>
        <w:t>.</w:t>
      </w:r>
    </w:p>
    <w:p w14:paraId="70E8B8F3" w14:textId="77777777" w:rsidR="00AB3647" w:rsidRDefault="00000000" w:rsidP="007923E9">
      <w:pPr>
        <w:spacing w:after="120" w:line="276" w:lineRule="auto"/>
        <w:ind w:firstLine="283"/>
        <w:jc w:val="both"/>
      </w:pPr>
      <w:r>
        <w:rPr>
          <w:rtl/>
        </w:rPr>
        <w:t xml:space="preserve">הצעתי </w:t>
      </w:r>
      <w:proofErr w:type="spellStart"/>
      <w:r>
        <w:rPr>
          <w:rtl/>
        </w:rPr>
        <w:t>לר</w:t>
      </w:r>
      <w:proofErr w:type="spellEnd"/>
      <w:r>
        <w:rPr>
          <w:rtl/>
        </w:rPr>
        <w:t xml:space="preserve">׳ יעקב </w:t>
      </w:r>
      <w:proofErr w:type="spellStart"/>
      <w:r>
        <w:rPr>
          <w:rtl/>
        </w:rPr>
        <w:t>לויסון</w:t>
      </w:r>
      <w:proofErr w:type="spellEnd"/>
      <w:r>
        <w:rPr>
          <w:rtl/>
        </w:rPr>
        <w:t xml:space="preserve"> שאולי היו אלה השבויים, שהועברו </w:t>
      </w:r>
      <w:proofErr w:type="spellStart"/>
      <w:r>
        <w:rPr>
          <w:rtl/>
        </w:rPr>
        <w:t>מווידז</w:t>
      </w:r>
      <w:proofErr w:type="spellEnd"/>
      <w:r>
        <w:rPr>
          <w:rtl/>
        </w:rPr>
        <w:t xml:space="preserve">׳ שבקצה המזרחי של ליטא אל העיר הגדולה </w:t>
      </w:r>
      <w:proofErr w:type="spellStart"/>
      <w:r>
        <w:rPr>
          <w:rtl/>
        </w:rPr>
        <w:t>פוניבז</w:t>
      </w:r>
      <w:proofErr w:type="spellEnd"/>
      <w:r>
        <w:rPr>
          <w:rtl/>
        </w:rPr>
        <w:t xml:space="preserve">׳, 130 קילומטר ממערב – שם יכלו להיבלע בתוך האוכלוסייה היהודית המקומית הגדולה – והם שסיפקו אחר כך, בהכרת טובה, את הקולות לבחירת ר׳ </w:t>
      </w:r>
      <w:proofErr w:type="spellStart"/>
      <w:r>
        <w:rPr>
          <w:rtl/>
        </w:rPr>
        <w:t>יוסף־שלמה</w:t>
      </w:r>
      <w:proofErr w:type="spellEnd"/>
      <w:r>
        <w:rPr>
          <w:rtl/>
        </w:rPr>
        <w:t xml:space="preserve"> </w:t>
      </w:r>
      <w:proofErr w:type="spellStart"/>
      <w:r>
        <w:rPr>
          <w:rtl/>
        </w:rPr>
        <w:t>כהנמן</w:t>
      </w:r>
      <w:proofErr w:type="spellEnd"/>
      <w:r>
        <w:rPr>
          <w:rtl/>
        </w:rPr>
        <w:t xml:space="preserve">. אבל אם אכן נשלחו השבויים המשוחררים </w:t>
      </w:r>
      <w:proofErr w:type="spellStart"/>
      <w:r>
        <w:rPr>
          <w:rtl/>
        </w:rPr>
        <w:t>מווידז</w:t>
      </w:r>
      <w:proofErr w:type="spellEnd"/>
      <w:r>
        <w:rPr>
          <w:rtl/>
        </w:rPr>
        <w:t xml:space="preserve">׳ </w:t>
      </w:r>
      <w:proofErr w:type="spellStart"/>
      <w:r>
        <w:rPr>
          <w:rtl/>
        </w:rPr>
        <w:t>לפוניבז</w:t>
      </w:r>
      <w:proofErr w:type="spellEnd"/>
      <w:r>
        <w:rPr>
          <w:rtl/>
        </w:rPr>
        <w:t xml:space="preserve">׳, מפתיע ששמה של העיר שאת </w:t>
      </w:r>
      <w:proofErr w:type="spellStart"/>
      <w:r>
        <w:rPr>
          <w:rtl/>
        </w:rPr>
        <w:t>יהודיה</w:t>
      </w:r>
      <w:proofErr w:type="spellEnd"/>
      <w:r>
        <w:rPr>
          <w:rtl/>
        </w:rPr>
        <w:t xml:space="preserve"> היה צריך ר׳ </w:t>
      </w:r>
      <w:proofErr w:type="spellStart"/>
      <w:r>
        <w:rPr>
          <w:rtl/>
        </w:rPr>
        <w:t>יוסף־שלמה</w:t>
      </w:r>
      <w:proofErr w:type="spellEnd"/>
      <w:r>
        <w:rPr>
          <w:rtl/>
        </w:rPr>
        <w:t xml:space="preserve"> לשכנע לארח את היהודים המסכנים – </w:t>
      </w:r>
      <w:proofErr w:type="spellStart"/>
      <w:r>
        <w:rPr>
          <w:rtl/>
        </w:rPr>
        <w:t>פוניבז</w:t>
      </w:r>
      <w:proofErr w:type="spellEnd"/>
      <w:r>
        <w:rPr>
          <w:rtl/>
        </w:rPr>
        <w:t xml:space="preserve">׳ – נשמט מזיכרונו של ר׳ יעקב </w:t>
      </w:r>
      <w:proofErr w:type="spellStart"/>
      <w:r>
        <w:rPr>
          <w:rtl/>
        </w:rPr>
        <w:t>לויסון</w:t>
      </w:r>
      <w:proofErr w:type="spellEnd"/>
      <w:r>
        <w:rPr>
          <w:rtl/>
        </w:rPr>
        <w:t xml:space="preserve">. מסתבר שהיה צריך להביא תחילה את השבויים, הסובלים </w:t>
      </w:r>
      <w:proofErr w:type="spellStart"/>
      <w:r>
        <w:rPr>
          <w:rtl/>
        </w:rPr>
        <w:t>מתת־תזונה</w:t>
      </w:r>
      <w:proofErr w:type="spellEnd"/>
      <w:r>
        <w:rPr>
          <w:rtl/>
        </w:rPr>
        <w:t xml:space="preserve">, למקום כלשהו באמצע הדרך בין </w:t>
      </w:r>
      <w:proofErr w:type="spellStart"/>
      <w:r>
        <w:rPr>
          <w:rtl/>
        </w:rPr>
        <w:t>וידז</w:t>
      </w:r>
      <w:proofErr w:type="spellEnd"/>
      <w:r>
        <w:rPr>
          <w:rtl/>
        </w:rPr>
        <w:t xml:space="preserve">׳ </w:t>
      </w:r>
      <w:proofErr w:type="spellStart"/>
      <w:r>
        <w:rPr>
          <w:rtl/>
        </w:rPr>
        <w:t>לפוניבז</w:t>
      </w:r>
      <w:proofErr w:type="spellEnd"/>
      <w:r>
        <w:rPr>
          <w:rtl/>
        </w:rPr>
        <w:t xml:space="preserve">׳, כגון </w:t>
      </w:r>
      <w:proofErr w:type="spellStart"/>
      <w:r>
        <w:rPr>
          <w:rtl/>
        </w:rPr>
        <w:t>אוטיאן</w:t>
      </w:r>
      <w:proofErr w:type="spellEnd"/>
      <w:r>
        <w:rPr>
          <w:rtl/>
        </w:rPr>
        <w:t xml:space="preserve"> או </w:t>
      </w:r>
      <w:proofErr w:type="spellStart"/>
      <w:r>
        <w:rPr>
          <w:rtl/>
        </w:rPr>
        <w:t>אניקשט</w:t>
      </w:r>
      <w:proofErr w:type="spellEnd"/>
      <w:r>
        <w:rPr>
          <w:rtl/>
        </w:rPr>
        <w:t xml:space="preserve">, כדי שיאכלו וינוחו ויגיעו ליעדם במצב ראוי; ואל יהודי מקום מושבם הזמני היה על ר׳ </w:t>
      </w:r>
      <w:proofErr w:type="spellStart"/>
      <w:r>
        <w:rPr>
          <w:rtl/>
        </w:rPr>
        <w:t>יוסף־שלמה</w:t>
      </w:r>
      <w:proofErr w:type="spellEnd"/>
      <w:r>
        <w:rPr>
          <w:rtl/>
        </w:rPr>
        <w:t xml:space="preserve"> לפנות בבקשת אירוח.</w:t>
      </w:r>
    </w:p>
    <w:p w14:paraId="2B0C2E54" w14:textId="77777777" w:rsidR="00AB3647" w:rsidRDefault="00000000" w:rsidP="007923E9">
      <w:pPr>
        <w:spacing w:after="120" w:line="276" w:lineRule="auto"/>
        <w:ind w:firstLine="283"/>
        <w:jc w:val="both"/>
      </w:pPr>
      <w:r>
        <w:rPr>
          <w:rtl/>
        </w:rPr>
        <w:lastRenderedPageBreak/>
        <w:t xml:space="preserve">השווה גם מאמר על ר׳ </w:t>
      </w:r>
      <w:proofErr w:type="spellStart"/>
      <w:r>
        <w:rPr>
          <w:rtl/>
        </w:rPr>
        <w:t>יוסף־שלמה</w:t>
      </w:r>
      <w:proofErr w:type="spellEnd"/>
      <w:r>
        <w:rPr>
          <w:rtl/>
        </w:rPr>
        <w:t xml:space="preserve"> </w:t>
      </w:r>
      <w:proofErr w:type="spellStart"/>
      <w:r>
        <w:rPr>
          <w:rtl/>
        </w:rPr>
        <w:t>כהנמן</w:t>
      </w:r>
      <w:proofErr w:type="spellEnd"/>
      <w:r>
        <w:rPr>
          <w:rtl/>
        </w:rPr>
        <w:t xml:space="preserve"> </w:t>
      </w:r>
      <w:proofErr w:type="spellStart"/>
      <w:r>
        <w:rPr>
          <w:rtl/>
        </w:rPr>
        <w:t>ב“קשת</w:t>
      </w:r>
      <w:proofErr w:type="spellEnd"/>
      <w:r>
        <w:rPr>
          <w:rtl/>
        </w:rPr>
        <w:t xml:space="preserve"> </w:t>
      </w:r>
      <w:proofErr w:type="spellStart"/>
      <w:r>
        <w:rPr>
          <w:rtl/>
        </w:rPr>
        <w:t>גבורים</w:t>
      </w:r>
      <w:proofErr w:type="spellEnd"/>
      <w:r>
        <w:rPr>
          <w:rtl/>
        </w:rPr>
        <w:t>”</w:t>
      </w:r>
      <w:bookmarkStart w:id="5759" w:name="_fnr4391"/>
      <w:r>
        <w:rPr>
          <w:vertAlign w:val="superscript"/>
          <w:rtl/>
        </w:rPr>
        <w:footnoteReference w:id="4401" w:customMarkFollows="0"/>
      </w:r>
      <w:bookmarkEnd w:id="5759"/>
      <w:r>
        <w:rPr>
          <w:rtl/>
        </w:rPr>
        <w:t xml:space="preserve">, שאולי מתייחס גם הוא לאותם שבויי מלחמה נמלטים, ואולי רומז כיצד נעשה רב (כמודגש להלן). “קשת </w:t>
      </w:r>
      <w:proofErr w:type="spellStart"/>
      <w:r>
        <w:rPr>
          <w:rtl/>
        </w:rPr>
        <w:t>גבורים</w:t>
      </w:r>
      <w:proofErr w:type="spellEnd"/>
      <w:r>
        <w:rPr>
          <w:rtl/>
        </w:rPr>
        <w:t xml:space="preserve">” מספר: “ר׳ </w:t>
      </w:r>
      <w:proofErr w:type="spellStart"/>
      <w:r>
        <w:rPr>
          <w:rtl/>
        </w:rPr>
        <w:t>יוסף־שלמה</w:t>
      </w:r>
      <w:proofErr w:type="spellEnd"/>
      <w:r>
        <w:rPr>
          <w:rtl/>
        </w:rPr>
        <w:t xml:space="preserve"> </w:t>
      </w:r>
      <w:proofErr w:type="spellStart"/>
      <w:r>
        <w:rPr>
          <w:rtl/>
        </w:rPr>
        <w:t>כהנמן</w:t>
      </w:r>
      <w:proofErr w:type="spellEnd"/>
      <w:r>
        <w:rPr>
          <w:rtl/>
        </w:rPr>
        <w:t xml:space="preserve"> ביקר </w:t>
      </w:r>
      <w:proofErr w:type="spellStart"/>
      <w:r>
        <w:rPr>
          <w:rtl/>
        </w:rPr>
        <w:t>בפוניבז</w:t>
      </w:r>
      <w:proofErr w:type="spellEnd"/>
      <w:r>
        <w:rPr>
          <w:rtl/>
        </w:rPr>
        <w:t xml:space="preserve">׳ מפעם לפעם כדי ליישב שם משפחות פליטים ולמצוא להן מגורים ופרנסה כלשהי. העזרה והישועה שהביא </w:t>
      </w:r>
      <w:proofErr w:type="spellStart"/>
      <w:r>
        <w:rPr>
          <w:b/>
          <w:bCs/>
          <w:rtl/>
        </w:rPr>
        <w:t>בפוניבז</w:t>
      </w:r>
      <w:proofErr w:type="spellEnd"/>
      <w:r>
        <w:rPr>
          <w:b/>
          <w:bCs/>
          <w:rtl/>
        </w:rPr>
        <w:t>׳ ובסביבתה</w:t>
      </w:r>
      <w:bookmarkStart w:id="5760" w:name="_fnr4392"/>
      <w:r>
        <w:rPr>
          <w:vertAlign w:val="superscript"/>
          <w:rtl/>
        </w:rPr>
        <w:footnoteReference w:id="4402" w:customMarkFollows="0"/>
      </w:r>
      <w:bookmarkEnd w:id="5760"/>
      <w:r>
        <w:rPr>
          <w:rtl/>
        </w:rPr>
        <w:t xml:space="preserve"> באותה עת זיכו אותו בשבחים ובחיבה </w:t>
      </w:r>
      <w:r>
        <w:rPr>
          <w:b/>
          <w:bCs/>
          <w:rtl/>
        </w:rPr>
        <w:t>מכל יהודי העיר ללא יוצא מן הכלל</w:t>
      </w:r>
      <w:r>
        <w:rPr>
          <w:rtl/>
        </w:rPr>
        <w:t>. לפיכך היה נערץ על ראשי הקהילה עוד לפני שנבחר לרב הקהילה”.</w:t>
      </w:r>
    </w:p>
    <w:p w14:paraId="0D5A0B89" w14:textId="77777777" w:rsidR="00AB3647" w:rsidRDefault="00000000" w:rsidP="007923E9">
      <w:pPr>
        <w:spacing w:after="120" w:line="276" w:lineRule="auto"/>
        <w:ind w:firstLine="283"/>
        <w:jc w:val="both"/>
      </w:pPr>
      <w:r>
        <w:rPr>
          <w:rtl/>
        </w:rPr>
        <w:t xml:space="preserve">יש להוסיף שר׳ </w:t>
      </w:r>
      <w:proofErr w:type="spellStart"/>
      <w:r>
        <w:rPr>
          <w:rtl/>
        </w:rPr>
        <w:t>יוסף־שלמה</w:t>
      </w:r>
      <w:proofErr w:type="spellEnd"/>
      <w:r>
        <w:rPr>
          <w:rtl/>
        </w:rPr>
        <w:t xml:space="preserve"> </w:t>
      </w:r>
      <w:proofErr w:type="spellStart"/>
      <w:r>
        <w:rPr>
          <w:rtl/>
        </w:rPr>
        <w:t>כהנמן</w:t>
      </w:r>
      <w:proofErr w:type="spellEnd"/>
      <w:r>
        <w:rPr>
          <w:rtl/>
        </w:rPr>
        <w:t xml:space="preserve"> לא סיפר </w:t>
      </w:r>
      <w:proofErr w:type="spellStart"/>
      <w:r>
        <w:rPr>
          <w:rtl/>
        </w:rPr>
        <w:t>לר</w:t>
      </w:r>
      <w:proofErr w:type="spellEnd"/>
      <w:r>
        <w:rPr>
          <w:rtl/>
        </w:rPr>
        <w:t xml:space="preserve">׳ </w:t>
      </w:r>
      <w:proofErr w:type="spellStart"/>
      <w:r>
        <w:rPr>
          <w:rtl/>
        </w:rPr>
        <w:t>אהרן־בן־ציון</w:t>
      </w:r>
      <w:proofErr w:type="spellEnd"/>
      <w:r>
        <w:rPr>
          <w:rtl/>
        </w:rPr>
        <w:t xml:space="preserve"> </w:t>
      </w:r>
      <w:proofErr w:type="spellStart"/>
      <w:r>
        <w:rPr>
          <w:rtl/>
        </w:rPr>
        <w:t>שורין</w:t>
      </w:r>
      <w:proofErr w:type="spellEnd"/>
      <w:r>
        <w:rPr>
          <w:rtl/>
        </w:rPr>
        <w:t xml:space="preserve">, מחבר “קשת </w:t>
      </w:r>
      <w:proofErr w:type="spellStart"/>
      <w:r>
        <w:rPr>
          <w:rtl/>
        </w:rPr>
        <w:t>גבורים</w:t>
      </w:r>
      <w:proofErr w:type="spellEnd"/>
      <w:r>
        <w:rPr>
          <w:rtl/>
        </w:rPr>
        <w:t xml:space="preserve">”, מי היו הפליטים האלה – או שאולי סיפר וביקש שלא לפרסם – מפני שרבני ליטא בכלל הסתייגו מהפרת חוק המדינה. ובמקרים קיצוניים שבהם לא היה מנוס מהפרת החוק, כגון הצלת נפשות יהודיות שבה עסק ר׳ </w:t>
      </w:r>
      <w:proofErr w:type="spellStart"/>
      <w:r>
        <w:rPr>
          <w:rtl/>
        </w:rPr>
        <w:t>יוסף־שלמה</w:t>
      </w:r>
      <w:proofErr w:type="spellEnd"/>
      <w:r>
        <w:rPr>
          <w:rtl/>
        </w:rPr>
        <w:t>, הסתייגו מלגלות את מה שעשו.</w:t>
      </w:r>
    </w:p>
    <w:p w14:paraId="52793107" w14:textId="77777777" w:rsidR="00AB3647" w:rsidRDefault="00000000" w:rsidP="007923E9">
      <w:pPr>
        <w:spacing w:after="120" w:line="276" w:lineRule="auto"/>
        <w:ind w:firstLine="283"/>
        <w:jc w:val="both"/>
      </w:pPr>
      <w:r>
        <w:rPr>
          <w:rtl/>
        </w:rPr>
        <w:t xml:space="preserve">בלי ההסבר שהוצע לעיל, דברי הרב שניידר מעוררים שתי בעיות: 1) מדוע יתיישבו תושבי </w:t>
      </w:r>
      <w:proofErr w:type="spellStart"/>
      <w:r>
        <w:rPr>
          <w:rtl/>
        </w:rPr>
        <w:t>וידז</w:t>
      </w:r>
      <w:proofErr w:type="spellEnd"/>
      <w:r>
        <w:rPr>
          <w:rtl/>
        </w:rPr>
        <w:t xml:space="preserve">׳ בעיר רחוקה כל כך, ובצורה מאורגנת כל כך עד שיהיה להם בה משקל? 2) ר׳ </w:t>
      </w:r>
      <w:proofErr w:type="spellStart"/>
      <w:r>
        <w:rPr>
          <w:rtl/>
        </w:rPr>
        <w:t>יוסף־שלמה</w:t>
      </w:r>
      <w:proofErr w:type="spellEnd"/>
      <w:r>
        <w:rPr>
          <w:rtl/>
        </w:rPr>
        <w:t xml:space="preserve"> </w:t>
      </w:r>
      <w:proofErr w:type="spellStart"/>
      <w:r>
        <w:rPr>
          <w:rtl/>
        </w:rPr>
        <w:t>כהנמן</w:t>
      </w:r>
      <w:proofErr w:type="spellEnd"/>
      <w:r>
        <w:rPr>
          <w:rtl/>
        </w:rPr>
        <w:t xml:space="preserve"> ישב </w:t>
      </w:r>
      <w:proofErr w:type="spellStart"/>
      <w:r>
        <w:rPr>
          <w:rtl/>
        </w:rPr>
        <w:t>בווידז</w:t>
      </w:r>
      <w:proofErr w:type="spellEnd"/>
      <w:r>
        <w:rPr>
          <w:rtl/>
        </w:rPr>
        <w:t>׳ רק ארבע שנים רצופות</w:t>
      </w:r>
      <w:bookmarkStart w:id="5761" w:name="_fnr4393"/>
      <w:r>
        <w:rPr>
          <w:vertAlign w:val="superscript"/>
          <w:rtl/>
        </w:rPr>
        <w:footnoteReference w:id="4403" w:customMarkFollows="0"/>
      </w:r>
      <w:bookmarkEnd w:id="5761"/>
      <w:r>
        <w:rPr>
          <w:rtl/>
        </w:rPr>
        <w:t xml:space="preserve">, </w:t>
      </w:r>
      <w:proofErr w:type="spellStart"/>
      <w:r>
        <w:rPr>
          <w:rtl/>
        </w:rPr>
        <w:t>מתרע״א</w:t>
      </w:r>
      <w:proofErr w:type="spellEnd"/>
      <w:r>
        <w:rPr>
          <w:rtl/>
        </w:rPr>
        <w:t xml:space="preserve"> עד “אמצע חנוכה” תרע״ו. את שלוש השנים המלאות שאחריהן עשה </w:t>
      </w:r>
      <w:proofErr w:type="spellStart"/>
      <w:r>
        <w:rPr>
          <w:rtl/>
        </w:rPr>
        <w:t>בקולטיניאן</w:t>
      </w:r>
      <w:proofErr w:type="spellEnd"/>
      <w:r>
        <w:rPr>
          <w:rtl/>
        </w:rPr>
        <w:t xml:space="preserve"> (ליד </w:t>
      </w:r>
      <w:proofErr w:type="spellStart"/>
      <w:r>
        <w:rPr>
          <w:rtl/>
        </w:rPr>
        <w:t>שווינציאן</w:t>
      </w:r>
      <w:proofErr w:type="spellEnd"/>
      <w:r>
        <w:rPr>
          <w:rtl/>
        </w:rPr>
        <w:t xml:space="preserve">), כ־35 קילומטר מדרום </w:t>
      </w:r>
      <w:proofErr w:type="spellStart"/>
      <w:r>
        <w:rPr>
          <w:rtl/>
        </w:rPr>
        <w:t>לווידז</w:t>
      </w:r>
      <w:proofErr w:type="spellEnd"/>
      <w:r>
        <w:rPr>
          <w:rtl/>
        </w:rPr>
        <w:t xml:space="preserve">׳, ולעירו שב רק חודשיים לפני פטירת ר׳ </w:t>
      </w:r>
      <w:proofErr w:type="spellStart"/>
      <w:r>
        <w:rPr>
          <w:rtl/>
        </w:rPr>
        <w:t>איצל׳ה</w:t>
      </w:r>
      <w:proofErr w:type="spellEnd"/>
      <w:r>
        <w:rPr>
          <w:rtl/>
        </w:rPr>
        <w:t xml:space="preserve"> </w:t>
      </w:r>
      <w:proofErr w:type="spellStart"/>
      <w:r>
        <w:rPr>
          <w:rtl/>
        </w:rPr>
        <w:t>בפוניבז</w:t>
      </w:r>
      <w:proofErr w:type="spellEnd"/>
      <w:r>
        <w:rPr>
          <w:rtl/>
        </w:rPr>
        <w:t xml:space="preserve">׳. אם כן, מדוע חיבבו אותו אנשי </w:t>
      </w:r>
      <w:proofErr w:type="spellStart"/>
      <w:r>
        <w:rPr>
          <w:rtl/>
        </w:rPr>
        <w:t>וידז</w:t>
      </w:r>
      <w:proofErr w:type="spellEnd"/>
      <w:r>
        <w:rPr>
          <w:rtl/>
        </w:rPr>
        <w:t xml:space="preserve">׳ כל כך, עד שפעלו למענו אצל שכניהם החדשים </w:t>
      </w:r>
      <w:proofErr w:type="spellStart"/>
      <w:r>
        <w:rPr>
          <w:rtl/>
        </w:rPr>
        <w:t>בפוניבז</w:t>
      </w:r>
      <w:proofErr w:type="spellEnd"/>
      <w:r>
        <w:rPr>
          <w:rtl/>
        </w:rPr>
        <w:t>׳?</w:t>
      </w:r>
    </w:p>
    <w:p w14:paraId="0E5AC478" w14:textId="77777777" w:rsidR="00AB3647" w:rsidRDefault="00000000" w:rsidP="007923E9">
      <w:pPr>
        <w:spacing w:after="120" w:line="276" w:lineRule="auto"/>
        <w:ind w:firstLine="283"/>
        <w:jc w:val="both"/>
      </w:pPr>
      <w:r>
        <w:rPr>
          <w:rtl/>
        </w:rPr>
        <w:t xml:space="preserve">אפשר לשער גם שהסיבה שר׳ </w:t>
      </w:r>
      <w:proofErr w:type="spellStart"/>
      <w:r>
        <w:rPr>
          <w:rtl/>
        </w:rPr>
        <w:t>יוסף־שלמה</w:t>
      </w:r>
      <w:proofErr w:type="spellEnd"/>
      <w:r>
        <w:rPr>
          <w:rtl/>
        </w:rPr>
        <w:t xml:space="preserve"> נאלץ לעזוב את </w:t>
      </w:r>
      <w:proofErr w:type="spellStart"/>
      <w:r>
        <w:rPr>
          <w:rtl/>
        </w:rPr>
        <w:t>וידז</w:t>
      </w:r>
      <w:proofErr w:type="spellEnd"/>
      <w:r>
        <w:rPr>
          <w:rtl/>
        </w:rPr>
        <w:t xml:space="preserve">׳ פתאום, “באמצע חנוכה”, ולהישאר בכפר </w:t>
      </w:r>
      <w:proofErr w:type="spellStart"/>
      <w:r>
        <w:rPr>
          <w:rtl/>
        </w:rPr>
        <w:t>קולטיניאן</w:t>
      </w:r>
      <w:proofErr w:type="spellEnd"/>
      <w:r>
        <w:rPr>
          <w:rtl/>
        </w:rPr>
        <w:t xml:space="preserve"> זמן רב כל כך – עד שנסוגו הגרמנים </w:t>
      </w:r>
      <w:proofErr w:type="spellStart"/>
      <w:r>
        <w:rPr>
          <w:rtl/>
        </w:rPr>
        <w:t>מווידז</w:t>
      </w:r>
      <w:proofErr w:type="spellEnd"/>
      <w:r>
        <w:rPr>
          <w:rtl/>
        </w:rPr>
        <w:t>׳ – קשורה לחשש שפעולותיו הבלתי חוקיות למען השבויים היהודים יתגלו, או לגילוין בפועל</w:t>
      </w:r>
      <w:bookmarkStart w:id="5762" w:name="_fnr4394"/>
      <w:r>
        <w:rPr>
          <w:vertAlign w:val="superscript"/>
          <w:rtl/>
        </w:rPr>
        <w:footnoteReference w:id="4404" w:customMarkFollows="0"/>
      </w:r>
      <w:bookmarkEnd w:id="5762"/>
      <w:r>
        <w:rPr>
          <w:rtl/>
        </w:rPr>
        <w:t>.</w:t>
      </w:r>
    </w:p>
    <w:p w14:paraId="4B2FEAC9" w14:textId="77777777" w:rsidR="00AB3647" w:rsidRDefault="00000000" w:rsidP="007923E9">
      <w:pPr>
        <w:spacing w:after="120" w:line="276" w:lineRule="auto"/>
        <w:ind w:firstLine="283"/>
        <w:jc w:val="both"/>
      </w:pPr>
      <w:r>
        <w:rPr>
          <w:rtl/>
        </w:rPr>
        <w:t xml:space="preserve">ר׳ יעקב </w:t>
      </w:r>
      <w:proofErr w:type="spellStart"/>
      <w:r>
        <w:rPr>
          <w:rtl/>
        </w:rPr>
        <w:t>לויסון</w:t>
      </w:r>
      <w:proofErr w:type="spellEnd"/>
      <w:r>
        <w:rPr>
          <w:rtl/>
        </w:rPr>
        <w:t xml:space="preserve"> סיפר מה שאמר לו ר׳ </w:t>
      </w:r>
      <w:proofErr w:type="spellStart"/>
      <w:r>
        <w:rPr>
          <w:rtl/>
        </w:rPr>
        <w:t>יוסף־שלמה</w:t>
      </w:r>
      <w:proofErr w:type="spellEnd"/>
      <w:r>
        <w:rPr>
          <w:rtl/>
        </w:rPr>
        <w:t xml:space="preserve"> </w:t>
      </w:r>
      <w:proofErr w:type="spellStart"/>
      <w:r>
        <w:rPr>
          <w:rtl/>
        </w:rPr>
        <w:t>כהנמן</w:t>
      </w:r>
      <w:proofErr w:type="spellEnd"/>
      <w:r>
        <w:rPr>
          <w:rtl/>
        </w:rPr>
        <w:t xml:space="preserve"> עצמו על התמנותו לרב </w:t>
      </w:r>
      <w:proofErr w:type="spellStart"/>
      <w:r>
        <w:rPr>
          <w:rtl/>
        </w:rPr>
        <w:t>פוניבז</w:t>
      </w:r>
      <w:proofErr w:type="spellEnd"/>
      <w:r>
        <w:rPr>
          <w:rtl/>
        </w:rPr>
        <w:t xml:space="preserve">׳ – דברים שאינם מאשרים ואינם סותרים את דברי הרב שניידר. הרוסים שבו </w:t>
      </w:r>
      <w:proofErr w:type="spellStart"/>
      <w:r>
        <w:rPr>
          <w:rtl/>
        </w:rPr>
        <w:t>לווידז</w:t>
      </w:r>
      <w:proofErr w:type="spellEnd"/>
      <w:r>
        <w:rPr>
          <w:rtl/>
        </w:rPr>
        <w:t xml:space="preserve">׳ בחורף תרע״ט – הפעם לא היה זה צבאו הקיסרי של הצאר אלא הצבא האדום הבולשביקי – ומיד החלו להצר את צעדי הציבור הדתי. ר׳ </w:t>
      </w:r>
      <w:proofErr w:type="spellStart"/>
      <w:r>
        <w:rPr>
          <w:rtl/>
        </w:rPr>
        <w:t>יוסף־שלמה</w:t>
      </w:r>
      <w:proofErr w:type="spellEnd"/>
      <w:r>
        <w:rPr>
          <w:rtl/>
        </w:rPr>
        <w:t xml:space="preserve"> עזב את העיירה לווילנה, ונכנס לבית ר׳ </w:t>
      </w:r>
      <w:proofErr w:type="spellStart"/>
      <w:r>
        <w:rPr>
          <w:rtl/>
        </w:rPr>
        <w:t>חיים־עוזר</w:t>
      </w:r>
      <w:proofErr w:type="spellEnd"/>
      <w:r>
        <w:rPr>
          <w:rtl/>
        </w:rPr>
        <w:t xml:space="preserve"> </w:t>
      </w:r>
      <w:proofErr w:type="spellStart"/>
      <w:r>
        <w:rPr>
          <w:rtl/>
        </w:rPr>
        <w:t>גרודזנסקי</w:t>
      </w:r>
      <w:proofErr w:type="spellEnd"/>
      <w:r>
        <w:rPr>
          <w:rtl/>
        </w:rPr>
        <w:t xml:space="preserve"> כדי לדון עמו בצרות. ר׳ </w:t>
      </w:r>
      <w:proofErr w:type="spellStart"/>
      <w:r>
        <w:rPr>
          <w:rtl/>
        </w:rPr>
        <w:t>חיים־עוזר</w:t>
      </w:r>
      <w:proofErr w:type="spellEnd"/>
      <w:r>
        <w:rPr>
          <w:rtl/>
        </w:rPr>
        <w:t xml:space="preserve"> אמר לו לשוב מיד </w:t>
      </w:r>
      <w:proofErr w:type="spellStart"/>
      <w:r>
        <w:rPr>
          <w:rtl/>
        </w:rPr>
        <w:t>לווידז</w:t>
      </w:r>
      <w:proofErr w:type="spellEnd"/>
      <w:r>
        <w:rPr>
          <w:rtl/>
        </w:rPr>
        <w:t xml:space="preserve">׳. כשהגיע, מצא מברק שהמתין לו, ובו בקשה שיבוא </w:t>
      </w:r>
      <w:proofErr w:type="spellStart"/>
      <w:r>
        <w:rPr>
          <w:rtl/>
        </w:rPr>
        <w:t>לפוניבז</w:t>
      </w:r>
      <w:proofErr w:type="spellEnd"/>
      <w:r>
        <w:rPr>
          <w:rtl/>
        </w:rPr>
        <w:t xml:space="preserve">׳ להספיד את ר׳ </w:t>
      </w:r>
      <w:proofErr w:type="spellStart"/>
      <w:r>
        <w:rPr>
          <w:rtl/>
        </w:rPr>
        <w:t>איצל׳ה</w:t>
      </w:r>
      <w:proofErr w:type="spellEnd"/>
      <w:r>
        <w:rPr>
          <w:rtl/>
        </w:rPr>
        <w:t xml:space="preserve">. הוא נסע </w:t>
      </w:r>
      <w:proofErr w:type="spellStart"/>
      <w:r>
        <w:rPr>
          <w:rtl/>
        </w:rPr>
        <w:t>לפוניבז</w:t>
      </w:r>
      <w:proofErr w:type="spellEnd"/>
      <w:r>
        <w:rPr>
          <w:rtl/>
        </w:rPr>
        <w:t>׳ להספד, וזמן קצר אחר כך הוגש לו כתב רבנות.</w:t>
      </w:r>
    </w:p>
    <w:p w14:paraId="084F0DE5" w14:textId="77777777" w:rsidR="00AB3647" w:rsidRDefault="00000000" w:rsidP="007923E9">
      <w:pPr>
        <w:spacing w:after="120" w:line="276" w:lineRule="auto"/>
        <w:ind w:firstLine="283"/>
        <w:jc w:val="both"/>
      </w:pPr>
      <w:r>
        <w:rPr>
          <w:rtl/>
        </w:rPr>
        <w:t xml:space="preserve">כעבור תשע שנים פגש שוב את ר׳ </w:t>
      </w:r>
      <w:proofErr w:type="spellStart"/>
      <w:r>
        <w:rPr>
          <w:rtl/>
        </w:rPr>
        <w:t>חיים־עוזר</w:t>
      </w:r>
      <w:proofErr w:type="spellEnd"/>
      <w:r>
        <w:rPr>
          <w:rtl/>
        </w:rPr>
        <w:t xml:space="preserve"> ואמר לו: “[לפי מה שאני מכירך, ודאי] כשאמרת לי מה לעשות לא נהגת כמעשה רבי [חסידי, הטוען לידיעת הנסתרות]: אמור לי מה אירע!” ר׳ </w:t>
      </w:r>
      <w:proofErr w:type="spellStart"/>
      <w:r>
        <w:rPr>
          <w:rtl/>
        </w:rPr>
        <w:t>חיים־עוזר</w:t>
      </w:r>
      <w:proofErr w:type="spellEnd"/>
      <w:r>
        <w:rPr>
          <w:rtl/>
        </w:rPr>
        <w:t xml:space="preserve"> השיב: “יומיים לפני שבאת קיבלתי מברק שבו התבקשתי לומר תהילים </w:t>
      </w:r>
      <w:r>
        <w:rPr>
          <w:rtl/>
        </w:rPr>
        <w:lastRenderedPageBreak/>
        <w:t xml:space="preserve">על ר׳ </w:t>
      </w:r>
      <w:proofErr w:type="spellStart"/>
      <w:r>
        <w:rPr>
          <w:rtl/>
        </w:rPr>
        <w:t>איצל׳ה</w:t>
      </w:r>
      <w:proofErr w:type="spellEnd"/>
      <w:r>
        <w:rPr>
          <w:rtl/>
        </w:rPr>
        <w:t xml:space="preserve">, רבה של </w:t>
      </w:r>
      <w:proofErr w:type="spellStart"/>
      <w:r>
        <w:rPr>
          <w:rtl/>
        </w:rPr>
        <w:t>פוניבז</w:t>
      </w:r>
      <w:proofErr w:type="spellEnd"/>
      <w:r>
        <w:rPr>
          <w:rtl/>
        </w:rPr>
        <w:t>׳</w:t>
      </w:r>
      <w:bookmarkStart w:id="5763" w:name="_fnr4395"/>
      <w:r>
        <w:rPr>
          <w:vertAlign w:val="superscript"/>
          <w:rtl/>
        </w:rPr>
        <w:footnoteReference w:id="4405" w:customMarkFollows="0"/>
      </w:r>
      <w:bookmarkEnd w:id="5763"/>
      <w:r>
        <w:rPr>
          <w:rtl/>
        </w:rPr>
        <w:t xml:space="preserve">. למחרת קיבלתי מברק אחר, שלא לומר תהילים, והבנתי שנפטר. חשבתי לעצמי: ‘מי יכול להחליף את ר׳ </w:t>
      </w:r>
      <w:proofErr w:type="spellStart"/>
      <w:r>
        <w:rPr>
          <w:rtl/>
        </w:rPr>
        <w:t>איצל׳ה</w:t>
      </w:r>
      <w:proofErr w:type="spellEnd"/>
      <w:r>
        <w:rPr>
          <w:rtl/>
        </w:rPr>
        <w:t xml:space="preserve"> </w:t>
      </w:r>
      <w:proofErr w:type="spellStart"/>
      <w:r>
        <w:rPr>
          <w:rtl/>
        </w:rPr>
        <w:t>בפוניבז</w:t>
      </w:r>
      <w:proofErr w:type="spellEnd"/>
      <w:r>
        <w:rPr>
          <w:rtl/>
        </w:rPr>
        <w:t xml:space="preserve">׳ החשובה? אתה’. שיערתי שגם ראשי העיר יגיעו לאותה מסקנה, ויביאו אותך לעירם בהזמנתך להספיד את רבם. והנה, למחרת הופעת בווילנה, ולכן שלחתיך מיד בחזרה </w:t>
      </w:r>
      <w:proofErr w:type="spellStart"/>
      <w:r>
        <w:rPr>
          <w:rtl/>
        </w:rPr>
        <w:t>לווידז</w:t>
      </w:r>
      <w:proofErr w:type="spellEnd"/>
      <w:r>
        <w:rPr>
          <w:rtl/>
        </w:rPr>
        <w:t>׳”.</w:t>
      </w:r>
    </w:p>
    <w:p w14:paraId="5BD4BABE" w14:textId="77777777" w:rsidR="00AB3647" w:rsidRDefault="00000000" w:rsidP="007923E9">
      <w:pPr>
        <w:spacing w:after="120" w:line="276" w:lineRule="auto"/>
        <w:ind w:firstLine="283"/>
        <w:jc w:val="both"/>
      </w:pPr>
      <w:r>
        <w:rPr>
          <w:rtl/>
        </w:rPr>
        <w:t xml:space="preserve">השווה גם “קשת </w:t>
      </w:r>
      <w:proofErr w:type="spellStart"/>
      <w:r>
        <w:rPr>
          <w:rtl/>
        </w:rPr>
        <w:t>גבורים</w:t>
      </w:r>
      <w:proofErr w:type="spellEnd"/>
      <w:r>
        <w:rPr>
          <w:rtl/>
        </w:rPr>
        <w:t>”</w:t>
      </w:r>
      <w:bookmarkStart w:id="5764" w:name="_fnr4396"/>
      <w:r>
        <w:rPr>
          <w:vertAlign w:val="superscript"/>
          <w:rtl/>
        </w:rPr>
        <w:footnoteReference w:id="4406" w:customMarkFollows="0"/>
      </w:r>
      <w:bookmarkEnd w:id="5764"/>
      <w:r>
        <w:rPr>
          <w:rtl/>
        </w:rPr>
        <w:t xml:space="preserve">: אביו של ר׳ </w:t>
      </w:r>
      <w:proofErr w:type="spellStart"/>
      <w:r>
        <w:rPr>
          <w:rtl/>
        </w:rPr>
        <w:t>יוסף־שלמה</w:t>
      </w:r>
      <w:proofErr w:type="spellEnd"/>
      <w:r>
        <w:rPr>
          <w:rtl/>
        </w:rPr>
        <w:t xml:space="preserve">, ר׳ לייב </w:t>
      </w:r>
      <w:proofErr w:type="spellStart"/>
      <w:r>
        <w:rPr>
          <w:rtl/>
        </w:rPr>
        <w:t>כהנמן</w:t>
      </w:r>
      <w:proofErr w:type="spellEnd"/>
      <w:r>
        <w:rPr>
          <w:rtl/>
        </w:rPr>
        <w:t xml:space="preserve">, היה חולה אנוש בעיר מולדתו קול – שהייתה מנותקת בשל תנאי המלחמה גם </w:t>
      </w:r>
      <w:proofErr w:type="spellStart"/>
      <w:r>
        <w:rPr>
          <w:rtl/>
        </w:rPr>
        <w:t>מווידז</w:t>
      </w:r>
      <w:proofErr w:type="spellEnd"/>
      <w:r>
        <w:rPr>
          <w:rtl/>
        </w:rPr>
        <w:t xml:space="preserve">׳ וגם </w:t>
      </w:r>
      <w:proofErr w:type="spellStart"/>
      <w:r>
        <w:rPr>
          <w:rtl/>
        </w:rPr>
        <w:t>מפוניבז</w:t>
      </w:r>
      <w:proofErr w:type="spellEnd"/>
      <w:r>
        <w:rPr>
          <w:rtl/>
        </w:rPr>
        <w:t xml:space="preserve">׳ – כשהגיעה לעיירה הידיעה על פטירת ר׳ </w:t>
      </w:r>
      <w:proofErr w:type="spellStart"/>
      <w:r>
        <w:rPr>
          <w:rtl/>
        </w:rPr>
        <w:t>איצל׳ה</w:t>
      </w:r>
      <w:proofErr w:type="spellEnd"/>
      <w:r>
        <w:rPr>
          <w:rtl/>
        </w:rPr>
        <w:t xml:space="preserve">. הוא קרא לאשתו אל מיטת חוליו ואמר לה: “אני אומר לך </w:t>
      </w:r>
      <w:proofErr w:type="spellStart"/>
      <w:r>
        <w:rPr>
          <w:rtl/>
        </w:rPr>
        <w:t>שיוסף־שלמה</w:t>
      </w:r>
      <w:proofErr w:type="spellEnd"/>
      <w:r>
        <w:rPr>
          <w:rtl/>
        </w:rPr>
        <w:t xml:space="preserve"> שלנו עוד יהיה רבה של </w:t>
      </w:r>
      <w:proofErr w:type="spellStart"/>
      <w:r>
        <w:rPr>
          <w:rtl/>
        </w:rPr>
        <w:t>פוניבז</w:t>
      </w:r>
      <w:proofErr w:type="spellEnd"/>
      <w:r>
        <w:rPr>
          <w:rtl/>
        </w:rPr>
        <w:t xml:space="preserve">׳!” בלי שנודע הדבר </w:t>
      </w:r>
      <w:proofErr w:type="spellStart"/>
      <w:r>
        <w:rPr>
          <w:rtl/>
        </w:rPr>
        <w:t>לר</w:t>
      </w:r>
      <w:proofErr w:type="spellEnd"/>
      <w:r>
        <w:rPr>
          <w:rtl/>
        </w:rPr>
        <w:t xml:space="preserve">׳ לייב, שמונה ימים לאחר פטירת ר׳ </w:t>
      </w:r>
      <w:proofErr w:type="spellStart"/>
      <w:r>
        <w:rPr>
          <w:rtl/>
        </w:rPr>
        <w:t>איצל׳ה</w:t>
      </w:r>
      <w:proofErr w:type="spellEnd"/>
      <w:r>
        <w:rPr>
          <w:rtl/>
        </w:rPr>
        <w:t xml:space="preserve"> </w:t>
      </w:r>
      <w:proofErr w:type="spellStart"/>
      <w:r>
        <w:rPr>
          <w:rtl/>
        </w:rPr>
        <w:t>רבינוביץ</w:t>
      </w:r>
      <w:proofErr w:type="spellEnd"/>
      <w:r>
        <w:rPr>
          <w:rtl/>
        </w:rPr>
        <w:t xml:space="preserve"> נשא ר׳ </w:t>
      </w:r>
      <w:proofErr w:type="spellStart"/>
      <w:r>
        <w:rPr>
          <w:rtl/>
        </w:rPr>
        <w:t>יוסף־שלמה</w:t>
      </w:r>
      <w:proofErr w:type="spellEnd"/>
      <w:r>
        <w:rPr>
          <w:rtl/>
        </w:rPr>
        <w:t xml:space="preserve"> </w:t>
      </w:r>
      <w:proofErr w:type="spellStart"/>
      <w:r>
        <w:rPr>
          <w:rtl/>
        </w:rPr>
        <w:t>כהנמן</w:t>
      </w:r>
      <w:proofErr w:type="spellEnd"/>
      <w:r>
        <w:rPr>
          <w:rtl/>
        </w:rPr>
        <w:t xml:space="preserve"> את דרשתו הראשונה כמועמד לרבנות </w:t>
      </w:r>
      <w:proofErr w:type="spellStart"/>
      <w:r>
        <w:rPr>
          <w:rtl/>
        </w:rPr>
        <w:t>פוניבז</w:t>
      </w:r>
      <w:proofErr w:type="spellEnd"/>
      <w:r>
        <w:rPr>
          <w:rtl/>
        </w:rPr>
        <w:t xml:space="preserve">׳. ובאותה שבת ממש, בלי שנודע הדבר </w:t>
      </w:r>
      <w:proofErr w:type="spellStart"/>
      <w:r>
        <w:rPr>
          <w:rtl/>
        </w:rPr>
        <w:t>לר</w:t>
      </w:r>
      <w:proofErr w:type="spellEnd"/>
      <w:r>
        <w:rPr>
          <w:rtl/>
        </w:rPr>
        <w:t xml:space="preserve">׳ </w:t>
      </w:r>
      <w:proofErr w:type="spellStart"/>
      <w:r>
        <w:rPr>
          <w:rtl/>
        </w:rPr>
        <w:t>יוסף־שלמה</w:t>
      </w:r>
      <w:proofErr w:type="spellEnd"/>
      <w:r>
        <w:rPr>
          <w:rtl/>
        </w:rPr>
        <w:t xml:space="preserve">, נפטר אביו בקול. ולמחרת, בשעה שהוגש לבן כתב הרבנות, הובא האב למנוחות. רבה של קול באותה עת היה ר׳ </w:t>
      </w:r>
      <w:proofErr w:type="spellStart"/>
      <w:r>
        <w:rPr>
          <w:rtl/>
        </w:rPr>
        <w:t>משה־יום־טוב</w:t>
      </w:r>
      <w:proofErr w:type="spellEnd"/>
      <w:r>
        <w:rPr>
          <w:rtl/>
        </w:rPr>
        <w:t xml:space="preserve"> </w:t>
      </w:r>
      <w:proofErr w:type="spellStart"/>
      <w:r>
        <w:rPr>
          <w:rtl/>
        </w:rPr>
        <w:t>וכטפוגל</w:t>
      </w:r>
      <w:proofErr w:type="spellEnd"/>
      <w:r>
        <w:rPr>
          <w:rtl/>
        </w:rPr>
        <w:t>.</w:t>
      </w:r>
    </w:p>
    <w:p w14:paraId="0B0CFFD7" w14:textId="77777777" w:rsidR="00AB3647" w:rsidRDefault="00000000" w:rsidP="007923E9">
      <w:pPr>
        <w:spacing w:after="120" w:line="276" w:lineRule="auto"/>
        <w:ind w:firstLine="283"/>
        <w:jc w:val="both"/>
      </w:pPr>
      <w:r>
        <w:rPr>
          <w:rtl/>
        </w:rPr>
        <w:t xml:space="preserve">אם אכן מוצדקת השאלה ששאל ר׳ ישראל </w:t>
      </w:r>
      <w:proofErr w:type="spellStart"/>
      <w:r>
        <w:rPr>
          <w:rtl/>
        </w:rPr>
        <w:t>שורין</w:t>
      </w:r>
      <w:proofErr w:type="spellEnd"/>
      <w:r>
        <w:rPr>
          <w:rtl/>
        </w:rPr>
        <w:t xml:space="preserve"> את הרב שניידר – כיצד קרה </w:t>
      </w:r>
      <w:proofErr w:type="spellStart"/>
      <w:r>
        <w:rPr>
          <w:rtl/>
        </w:rPr>
        <w:t>שפוניבז</w:t>
      </w:r>
      <w:proofErr w:type="spellEnd"/>
      <w:r>
        <w:rPr>
          <w:rtl/>
        </w:rPr>
        <w:t xml:space="preserve">׳ קיבלה כיורשו של ר׳ </w:t>
      </w:r>
      <w:proofErr w:type="spellStart"/>
      <w:r>
        <w:rPr>
          <w:rtl/>
        </w:rPr>
        <w:t>איצל׳ה</w:t>
      </w:r>
      <w:proofErr w:type="spellEnd"/>
      <w:r>
        <w:rPr>
          <w:rtl/>
        </w:rPr>
        <w:t xml:space="preserve"> </w:t>
      </w:r>
      <w:proofErr w:type="spellStart"/>
      <w:r>
        <w:rPr>
          <w:rtl/>
        </w:rPr>
        <w:t>רבינוביץ</w:t>
      </w:r>
      <w:proofErr w:type="spellEnd"/>
      <w:r>
        <w:rPr>
          <w:rtl/>
        </w:rPr>
        <w:t xml:space="preserve"> אדם שמעלתו פחותה בהרבה משלו? – נראה שגם ר׳ </w:t>
      </w:r>
      <w:proofErr w:type="spellStart"/>
      <w:r>
        <w:rPr>
          <w:rtl/>
        </w:rPr>
        <w:t>חיים־עוזר</w:t>
      </w:r>
      <w:proofErr w:type="spellEnd"/>
      <w:r>
        <w:rPr>
          <w:rtl/>
        </w:rPr>
        <w:t xml:space="preserve"> (וגם ר׳ לייב </w:t>
      </w:r>
      <w:proofErr w:type="spellStart"/>
      <w:r>
        <w:rPr>
          <w:rtl/>
        </w:rPr>
        <w:t>כהנמן</w:t>
      </w:r>
      <w:proofErr w:type="spellEnd"/>
      <w:r>
        <w:rPr>
          <w:rtl/>
        </w:rPr>
        <w:t xml:space="preserve">) ידעו על פעולותיו החשאיות של ר׳ </w:t>
      </w:r>
      <w:proofErr w:type="spellStart"/>
      <w:r>
        <w:rPr>
          <w:rtl/>
        </w:rPr>
        <w:t>יוסף־שלמה</w:t>
      </w:r>
      <w:proofErr w:type="spellEnd"/>
      <w:r>
        <w:rPr>
          <w:rtl/>
        </w:rPr>
        <w:t xml:space="preserve"> להצלת נפשות בציר </w:t>
      </w:r>
      <w:proofErr w:type="spellStart"/>
      <w:r>
        <w:rPr>
          <w:rtl/>
        </w:rPr>
        <w:t>וידז׳־פוניבז</w:t>
      </w:r>
      <w:proofErr w:type="spellEnd"/>
      <w:r>
        <w:rPr>
          <w:rtl/>
        </w:rPr>
        <w:t>׳, ושיערו שייבחר.</w:t>
      </w:r>
    </w:p>
    <w:p w14:paraId="0CBF9567" w14:textId="77777777" w:rsidR="00AB3647" w:rsidRDefault="00000000" w:rsidP="007923E9">
      <w:pPr>
        <w:spacing w:after="120" w:line="276" w:lineRule="auto"/>
        <w:ind w:firstLine="283"/>
        <w:jc w:val="both"/>
      </w:pPr>
      <w:r>
        <w:rPr>
          <w:rtl/>
        </w:rPr>
        <w:t xml:space="preserve">רבה של קובנה, ר׳ </w:t>
      </w:r>
      <w:proofErr w:type="spellStart"/>
      <w:r>
        <w:rPr>
          <w:rtl/>
        </w:rPr>
        <w:t>אברהם־דובער</w:t>
      </w:r>
      <w:proofErr w:type="spellEnd"/>
      <w:r>
        <w:rPr>
          <w:rtl/>
        </w:rPr>
        <w:t xml:space="preserve"> </w:t>
      </w:r>
      <w:proofErr w:type="spellStart"/>
      <w:r>
        <w:rPr>
          <w:rtl/>
        </w:rPr>
        <w:t>כהנא־שפירא</w:t>
      </w:r>
      <w:proofErr w:type="spellEnd"/>
      <w:r>
        <w:rPr>
          <w:rtl/>
        </w:rPr>
        <w:t xml:space="preserve">, נזהר מאוד מהפרת החוק האזרחי – אפילו במקרה שנגע לאנשי ישיבה בלבד, </w:t>
      </w:r>
      <w:proofErr w:type="spellStart"/>
      <w:r>
        <w:rPr>
          <w:rtl/>
        </w:rPr>
        <w:t>כשלא</w:t>
      </w:r>
      <w:proofErr w:type="spellEnd"/>
      <w:r>
        <w:rPr>
          <w:rtl/>
        </w:rPr>
        <w:t xml:space="preserve"> נראה שיש סכנה שהדבר ידווח לשלטונות. ר׳ </w:t>
      </w:r>
      <w:proofErr w:type="spellStart"/>
      <w:r>
        <w:rPr>
          <w:rtl/>
        </w:rPr>
        <w:t>נתן־מאיר</w:t>
      </w:r>
      <w:proofErr w:type="spellEnd"/>
      <w:r>
        <w:rPr>
          <w:rtl/>
        </w:rPr>
        <w:t xml:space="preserve"> </w:t>
      </w:r>
      <w:proofErr w:type="spellStart"/>
      <w:r>
        <w:rPr>
          <w:rtl/>
        </w:rPr>
        <w:t>וכטפוגל</w:t>
      </w:r>
      <w:proofErr w:type="spellEnd"/>
      <w:r>
        <w:rPr>
          <w:rtl/>
        </w:rPr>
        <w:t xml:space="preserve">, לימים משגיח בבית מדרש גבוה </w:t>
      </w:r>
      <w:proofErr w:type="spellStart"/>
      <w:r>
        <w:rPr>
          <w:rtl/>
        </w:rPr>
        <w:t>בלייקווד</w:t>
      </w:r>
      <w:proofErr w:type="spellEnd"/>
      <w:r>
        <w:rPr>
          <w:rtl/>
        </w:rPr>
        <w:t xml:space="preserve"> במשך חצי מאה, היה אזרח קנדי שלמד בליטא. אביו ר׳ </w:t>
      </w:r>
      <w:proofErr w:type="spellStart"/>
      <w:r>
        <w:rPr>
          <w:rtl/>
        </w:rPr>
        <w:t>משה־יום־טוב</w:t>
      </w:r>
      <w:proofErr w:type="spellEnd"/>
      <w:r>
        <w:rPr>
          <w:rtl/>
        </w:rPr>
        <w:t xml:space="preserve">, רבה לשעבר של קול, כיהן כרב במונטריאול, לאחר שעזב את ליטא אחרי מלחמת העולם הראשונה. ר׳ </w:t>
      </w:r>
      <w:proofErr w:type="spellStart"/>
      <w:r>
        <w:rPr>
          <w:rtl/>
        </w:rPr>
        <w:t>נתן־מאיר</w:t>
      </w:r>
      <w:proofErr w:type="spellEnd"/>
      <w:r>
        <w:rPr>
          <w:rtl/>
        </w:rPr>
        <w:t xml:space="preserve"> היה בין 200 נתינים בריטים, ובהם כמה תלמידי תורה, שהקונסול הבריטי בליטא הורה להם להתכנס בריגה שבלטביה בתחילת תש״א, לשם פינוי לאוסטרליה.</w:t>
      </w:r>
    </w:p>
    <w:p w14:paraId="2CD35009" w14:textId="77777777" w:rsidR="00AB3647" w:rsidRDefault="00000000" w:rsidP="007923E9">
      <w:pPr>
        <w:spacing w:after="120" w:line="276" w:lineRule="auto"/>
        <w:ind w:firstLine="283"/>
        <w:jc w:val="both"/>
      </w:pPr>
      <w:r>
        <w:rPr>
          <w:rtl/>
        </w:rPr>
        <w:t xml:space="preserve">ליטא נעשתה חלק מברית המועצות ארבעה חודשים קודם לכן, לאחר שהצבא האדום נכנס לארץ ונערך “משאל עם”, </w:t>
      </w:r>
      <w:proofErr w:type="spellStart"/>
      <w:r>
        <w:rPr>
          <w:rtl/>
        </w:rPr>
        <w:t>ש“הוכיח</w:t>
      </w:r>
      <w:proofErr w:type="spellEnd"/>
      <w:r>
        <w:rPr>
          <w:rtl/>
        </w:rPr>
        <w:t xml:space="preserve">” כי “הרוב הגדול” של הליטאים רוצה </w:t>
      </w:r>
      <w:proofErr w:type="spellStart"/>
      <w:r>
        <w:rPr>
          <w:rtl/>
        </w:rPr>
        <w:t>ב“זכות</w:t>
      </w:r>
      <w:proofErr w:type="spellEnd"/>
      <w:r>
        <w:rPr>
          <w:rtl/>
        </w:rPr>
        <w:t>” להיעשות אזרחים סובייטיים. באותו קיץ נקראו כל הנתינים הבריטים בארצות הבלטיות לקונסוליות הבריטיות המקומיות, ונאמר להם שיועברו מן הארץ – לאן, אפילו לא אמרו להם אז.</w:t>
      </w:r>
    </w:p>
    <w:p w14:paraId="41B224EA" w14:textId="77777777" w:rsidR="00AB3647" w:rsidRDefault="00000000" w:rsidP="007923E9">
      <w:pPr>
        <w:spacing w:after="120" w:line="276" w:lineRule="auto"/>
        <w:ind w:firstLine="283"/>
        <w:jc w:val="both"/>
      </w:pPr>
      <w:r>
        <w:rPr>
          <w:rtl/>
        </w:rPr>
        <w:t xml:space="preserve">ר׳ </w:t>
      </w:r>
      <w:proofErr w:type="spellStart"/>
      <w:r>
        <w:rPr>
          <w:rtl/>
        </w:rPr>
        <w:t>נתן־מאיר</w:t>
      </w:r>
      <w:proofErr w:type="spellEnd"/>
      <w:r>
        <w:rPr>
          <w:rtl/>
        </w:rPr>
        <w:t xml:space="preserve"> היה מאורס לפליטה מפולין הכבושה בידי הגרמנים, בתו של תלמיד חכם גדול, ר׳ </w:t>
      </w:r>
      <w:proofErr w:type="spellStart"/>
      <w:r>
        <w:rPr>
          <w:rtl/>
        </w:rPr>
        <w:t>ישראל־זלמן</w:t>
      </w:r>
      <w:proofErr w:type="spellEnd"/>
      <w:r>
        <w:rPr>
          <w:rtl/>
        </w:rPr>
        <w:t xml:space="preserve"> </w:t>
      </w:r>
      <w:proofErr w:type="spellStart"/>
      <w:r>
        <w:rPr>
          <w:rtl/>
        </w:rPr>
        <w:t>שלמוביץ</w:t>
      </w:r>
      <w:proofErr w:type="spellEnd"/>
      <w:r>
        <w:rPr>
          <w:rtl/>
        </w:rPr>
        <w:t xml:space="preserve">, תלמיד </w:t>
      </w:r>
      <w:proofErr w:type="spellStart"/>
      <w:r>
        <w:rPr>
          <w:rtl/>
        </w:rPr>
        <w:t>סלבודקה</w:t>
      </w:r>
      <w:proofErr w:type="spellEnd"/>
      <w:r>
        <w:rPr>
          <w:rtl/>
        </w:rPr>
        <w:t xml:space="preserve"> שהיה ראש ישיבה </w:t>
      </w:r>
      <w:proofErr w:type="spellStart"/>
      <w:r>
        <w:rPr>
          <w:rtl/>
        </w:rPr>
        <w:t>בלודז</w:t>
      </w:r>
      <w:proofErr w:type="spellEnd"/>
      <w:r>
        <w:rPr>
          <w:rtl/>
        </w:rPr>
        <w:t xml:space="preserve">׳. באלול, שישה שבועות </w:t>
      </w:r>
      <w:r>
        <w:rPr>
          <w:rtl/>
        </w:rPr>
        <w:lastRenderedPageBreak/>
        <w:t xml:space="preserve">לפני שניתנה הוראת הפינוי הבריטית, אמר ר׳ </w:t>
      </w:r>
      <w:proofErr w:type="spellStart"/>
      <w:r>
        <w:rPr>
          <w:rtl/>
        </w:rPr>
        <w:t>נתן־מאיר</w:t>
      </w:r>
      <w:proofErr w:type="spellEnd"/>
      <w:r>
        <w:rPr>
          <w:rtl/>
        </w:rPr>
        <w:t xml:space="preserve"> לפקידים הבריטים שנשא אישה, כדי להקל על יציאת כלתו מליטא עמו. אבל הקונסוליה הבריטית דרשה אישור רשמי לדבריו.</w:t>
      </w:r>
    </w:p>
    <w:p w14:paraId="6A3EEEF6" w14:textId="77777777" w:rsidR="00AB3647" w:rsidRDefault="00000000" w:rsidP="007923E9">
      <w:pPr>
        <w:spacing w:after="120" w:line="276" w:lineRule="auto"/>
        <w:ind w:firstLine="283"/>
        <w:jc w:val="both"/>
      </w:pPr>
      <w:r>
        <w:rPr>
          <w:rtl/>
        </w:rPr>
        <w:t xml:space="preserve">הוא פנה אל רבה של קובנה, שהיה מוסמך לרשום נישואין, וביקש את האישור, אבל נענה בשלילה: ר׳ </w:t>
      </w:r>
      <w:proofErr w:type="spellStart"/>
      <w:r>
        <w:rPr>
          <w:rtl/>
        </w:rPr>
        <w:t>אברהם־דובער</w:t>
      </w:r>
      <w:proofErr w:type="spellEnd"/>
      <w:r>
        <w:rPr>
          <w:rtl/>
        </w:rPr>
        <w:t xml:space="preserve"> </w:t>
      </w:r>
      <w:proofErr w:type="spellStart"/>
      <w:r>
        <w:rPr>
          <w:rtl/>
        </w:rPr>
        <w:t>כהנא־שפירא</w:t>
      </w:r>
      <w:proofErr w:type="spellEnd"/>
      <w:r>
        <w:rPr>
          <w:rtl/>
        </w:rPr>
        <w:t xml:space="preserve"> לא היה מוכן להפר את החוק ולרשום כנשואה את הצעירה, שהייתה רק מאורסת. עם זאת הסכים הרב לתת את המסמך הדרוש, אם יקדש ר׳ </w:t>
      </w:r>
      <w:proofErr w:type="spellStart"/>
      <w:r>
        <w:rPr>
          <w:rtl/>
        </w:rPr>
        <w:t>נתן־מאיר</w:t>
      </w:r>
      <w:proofErr w:type="spellEnd"/>
      <w:r>
        <w:rPr>
          <w:rtl/>
        </w:rPr>
        <w:t xml:space="preserve"> </w:t>
      </w:r>
      <w:proofErr w:type="spellStart"/>
      <w:r>
        <w:rPr>
          <w:rtl/>
        </w:rPr>
        <w:t>וכטפוגל</w:t>
      </w:r>
      <w:proofErr w:type="spellEnd"/>
      <w:r>
        <w:rPr>
          <w:rtl/>
        </w:rPr>
        <w:t xml:space="preserve"> את כלתו בפני שני עדים, אף שהנישואין יידחו עד לאחר שיצאו הוא ואשתו המקודשת מן הארץ.</w:t>
      </w:r>
    </w:p>
    <w:p w14:paraId="0B6237ED" w14:textId="77777777" w:rsidR="00AB3647" w:rsidRDefault="00000000" w:rsidP="007923E9">
      <w:pPr>
        <w:spacing w:after="120" w:line="276" w:lineRule="auto"/>
        <w:ind w:firstLine="283"/>
        <w:jc w:val="both"/>
      </w:pPr>
      <w:r>
        <w:rPr>
          <w:rtl/>
        </w:rPr>
        <w:t xml:space="preserve">ר׳ </w:t>
      </w:r>
      <w:proofErr w:type="spellStart"/>
      <w:r>
        <w:rPr>
          <w:rtl/>
        </w:rPr>
        <w:t>נתן־מאיר</w:t>
      </w:r>
      <w:proofErr w:type="spellEnd"/>
      <w:r>
        <w:rPr>
          <w:rtl/>
        </w:rPr>
        <w:t xml:space="preserve"> וכלתו עשו כהוראת הרב, קיבלו את תעודת הנישואין, נסעו יחד לריגה, וחצו מחצית מכדור הארץ כשהם מקודשים ועדיין אינם נשואים: </w:t>
      </w:r>
      <w:proofErr w:type="spellStart"/>
      <w:r>
        <w:rPr>
          <w:rtl/>
        </w:rPr>
        <w:t>שלושה־עשר</w:t>
      </w:r>
      <w:proofErr w:type="spellEnd"/>
      <w:r>
        <w:rPr>
          <w:rtl/>
        </w:rPr>
        <w:t xml:space="preserve"> יום ברכבת דרך ברית המועצות עד </w:t>
      </w:r>
      <w:proofErr w:type="spellStart"/>
      <w:r>
        <w:rPr>
          <w:rtl/>
        </w:rPr>
        <w:t>ולדיווסטוק</w:t>
      </w:r>
      <w:proofErr w:type="spellEnd"/>
      <w:r>
        <w:rPr>
          <w:rtl/>
        </w:rPr>
        <w:t xml:space="preserve">, ושבועיים </w:t>
      </w:r>
      <w:proofErr w:type="spellStart"/>
      <w:r>
        <w:rPr>
          <w:rtl/>
        </w:rPr>
        <w:t>ב“ספינה</w:t>
      </w:r>
      <w:proofErr w:type="spellEnd"/>
      <w:r>
        <w:rPr>
          <w:rtl/>
        </w:rPr>
        <w:t xml:space="preserve"> רעועה בת 2,000 טון”, דרך הונג קונג </w:t>
      </w:r>
      <w:proofErr w:type="spellStart"/>
      <w:r>
        <w:rPr>
          <w:rtl/>
        </w:rPr>
        <w:t>לבריסביין</w:t>
      </w:r>
      <w:proofErr w:type="spellEnd"/>
      <w:r>
        <w:rPr>
          <w:rtl/>
        </w:rPr>
        <w:t xml:space="preserve"> שבאוסטרליה. כשהגיעו לאוסטרליה הועמדה חופה ונאמרו שבע ברכות, והם נעשו זוג נשוי לכל דבר</w:t>
      </w:r>
      <w:bookmarkStart w:id="5765" w:name="_fnr4397"/>
      <w:r>
        <w:rPr>
          <w:vertAlign w:val="superscript"/>
          <w:rtl/>
        </w:rPr>
        <w:footnoteReference w:id="4407" w:customMarkFollows="0"/>
      </w:r>
      <w:bookmarkEnd w:id="5765"/>
      <w:r>
        <w:rPr>
          <w:rtl/>
        </w:rPr>
        <w:t>.</w:t>
      </w:r>
    </w:p>
    <w:p w14:paraId="5208296E" w14:textId="77777777" w:rsidR="00AB3647" w:rsidRDefault="00000000" w:rsidP="007923E9">
      <w:pPr>
        <w:spacing w:after="120" w:line="276" w:lineRule="auto"/>
        <w:ind w:firstLine="283"/>
        <w:jc w:val="both"/>
      </w:pPr>
      <w:r>
        <w:rPr>
          <w:rtl/>
        </w:rPr>
        <w:t>דוד מור, בנו של מפונה אחר, סיפר</w:t>
      </w:r>
      <w:bookmarkStart w:id="5766" w:name="_fnr4398"/>
      <w:r>
        <w:rPr>
          <w:vertAlign w:val="superscript"/>
          <w:rtl/>
        </w:rPr>
        <w:footnoteReference w:id="4408" w:customMarkFollows="0"/>
      </w:r>
      <w:bookmarkEnd w:id="5766"/>
      <w:r>
        <w:rPr>
          <w:rtl/>
        </w:rPr>
        <w:t xml:space="preserve"> שכאשר באו תלמידי הישיבות הבריטים ברי המזל לשאול את רבה של קובנה אם מותר להם לעלות בבוקר שבת לרכבת המוציאה אותם מן הארץ, התיר להם. בירור נוסף העלה שהרכבת יצאה בשבת שלאחר שמיני עצרת ושמחת תורה, שחלו ביום חמישי וביום שישי, ושכאשר נשאל רבה של קובנה את השאלה, צעק עליהם ואמר: “שאלה כזאת אתם שואלים?! </w:t>
      </w:r>
      <w:proofErr w:type="spellStart"/>
      <w:r>
        <w:rPr>
          <w:rtl/>
        </w:rPr>
        <w:t>לויפט</w:t>
      </w:r>
      <w:proofErr w:type="spellEnd"/>
      <w:r>
        <w:rPr>
          <w:rtl/>
        </w:rPr>
        <w:t xml:space="preserve"> [רוצו]!” אנשי הישיבה הנוסעים מצאו יהודי מארץ ישראל שביקר בליטא, והוא עשה ביום שישי את ההכנות הנחוצות לנסיעתם: לבני המקום היה זה שמחת תורה, ואילו לו היה היום, מבחינה הלכתית, יום חול רגיל.</w:t>
      </w:r>
    </w:p>
    <w:p w14:paraId="1E2A52DB" w14:textId="77777777" w:rsidR="00AB3647" w:rsidRDefault="00000000" w:rsidP="007923E9">
      <w:pPr>
        <w:spacing w:after="120" w:line="276" w:lineRule="auto"/>
        <w:ind w:firstLine="283"/>
        <w:jc w:val="both"/>
      </w:pPr>
      <w:r>
        <w:rPr>
          <w:rtl/>
        </w:rPr>
        <w:t xml:space="preserve">מה הביא להתמנותו של ר׳ </w:t>
      </w:r>
      <w:proofErr w:type="spellStart"/>
      <w:r>
        <w:rPr>
          <w:rtl/>
        </w:rPr>
        <w:t>משה־יום־טוב</w:t>
      </w:r>
      <w:proofErr w:type="spellEnd"/>
      <w:r>
        <w:rPr>
          <w:rtl/>
        </w:rPr>
        <w:t xml:space="preserve"> </w:t>
      </w:r>
      <w:proofErr w:type="spellStart"/>
      <w:r>
        <w:rPr>
          <w:rtl/>
        </w:rPr>
        <w:t>וכטפוגל</w:t>
      </w:r>
      <w:proofErr w:type="spellEnd"/>
      <w:r>
        <w:rPr>
          <w:rtl/>
        </w:rPr>
        <w:t xml:space="preserve"> בקול – מתאר הרב י.ז. דיסקין</w:t>
      </w:r>
      <w:bookmarkStart w:id="5767" w:name="_fnr4399"/>
      <w:r>
        <w:rPr>
          <w:vertAlign w:val="superscript"/>
          <w:rtl/>
        </w:rPr>
        <w:footnoteReference w:id="4409" w:customMarkFollows="0"/>
      </w:r>
      <w:bookmarkEnd w:id="5767"/>
      <w:r>
        <w:rPr>
          <w:rtl/>
        </w:rPr>
        <w:t xml:space="preserve">. רבה של קול, ר׳ </w:t>
      </w:r>
      <w:proofErr w:type="spellStart"/>
      <w:r>
        <w:rPr>
          <w:rtl/>
        </w:rPr>
        <w:t>משה־נתן</w:t>
      </w:r>
      <w:proofErr w:type="spellEnd"/>
      <w:r>
        <w:rPr>
          <w:rtl/>
        </w:rPr>
        <w:t xml:space="preserve"> שפיץ, אובחן בקניגסברג כחולה בצרעת, מחלה מידבקת מאוד וחשוכת מרפא, ונשלח בחזרה אל מעבר לגבול </w:t>
      </w:r>
      <w:proofErr w:type="spellStart"/>
      <w:r>
        <w:rPr>
          <w:rtl/>
        </w:rPr>
        <w:t>גרמניה־ליטא</w:t>
      </w:r>
      <w:proofErr w:type="spellEnd"/>
      <w:r>
        <w:rPr>
          <w:rtl/>
        </w:rPr>
        <w:t xml:space="preserve"> בקרון רכבת חתום. הרוסים קיבלוהו, שרפו את הקרון ובודדוהו בבית סוהר. העיירה קול עמדה בפני הכרעה קשה. ברוסיה היו שני מוסדות לבידוד מצורעים: האחד ממשלתי, במפרץ פינלנד הרחוק, ליד פטרבורג; והאחר בית מרפא פרטי ויקר במפרץ ריגה, במרחק סביר מקול.</w:t>
      </w:r>
    </w:p>
    <w:p w14:paraId="58B952A1" w14:textId="77777777" w:rsidR="00AB3647" w:rsidRDefault="00000000" w:rsidP="007923E9">
      <w:pPr>
        <w:spacing w:after="120" w:line="276" w:lineRule="auto"/>
        <w:ind w:firstLine="283"/>
        <w:jc w:val="both"/>
      </w:pPr>
      <w:r>
        <w:rPr>
          <w:rtl/>
        </w:rPr>
        <w:t xml:space="preserve">הרב י.ז. דיסקין כותב: “מכה גדולה ניחתה על משפחת הרב ועל עיירתי הזעירה. ר׳ לייב </w:t>
      </w:r>
      <w:proofErr w:type="spellStart"/>
      <w:r>
        <w:rPr>
          <w:rtl/>
        </w:rPr>
        <w:t>כהנמן</w:t>
      </w:r>
      <w:proofErr w:type="spellEnd"/>
      <w:r>
        <w:rPr>
          <w:rtl/>
        </w:rPr>
        <w:t xml:space="preserve"> נסע </w:t>
      </w:r>
      <w:proofErr w:type="spellStart"/>
      <w:r>
        <w:rPr>
          <w:rtl/>
        </w:rPr>
        <w:t>לטלז</w:t>
      </w:r>
      <w:proofErr w:type="spellEnd"/>
      <w:r>
        <w:rPr>
          <w:rtl/>
        </w:rPr>
        <w:t xml:space="preserve">” – מרחק ארבעים וחמישה קילומטר; בנו ר׳ </w:t>
      </w:r>
      <w:proofErr w:type="spellStart"/>
      <w:r>
        <w:rPr>
          <w:rtl/>
        </w:rPr>
        <w:t>יוסף־שלמה</w:t>
      </w:r>
      <w:proofErr w:type="spellEnd"/>
      <w:r>
        <w:rPr>
          <w:rtl/>
        </w:rPr>
        <w:t xml:space="preserve"> למד שם אז – “והזדמן לפגוש שם את ר׳ </w:t>
      </w:r>
      <w:proofErr w:type="spellStart"/>
      <w:r>
        <w:rPr>
          <w:rtl/>
        </w:rPr>
        <w:t>אברהם־אהרן</w:t>
      </w:r>
      <w:proofErr w:type="spellEnd"/>
      <w:r>
        <w:rPr>
          <w:rtl/>
        </w:rPr>
        <w:t xml:space="preserve"> </w:t>
      </w:r>
      <w:proofErr w:type="spellStart"/>
      <w:r>
        <w:rPr>
          <w:rtl/>
        </w:rPr>
        <w:t>בורשטין</w:t>
      </w:r>
      <w:proofErr w:type="spellEnd"/>
      <w:r>
        <w:rPr>
          <w:rtl/>
        </w:rPr>
        <w:t xml:space="preserve">, אז רבה של </w:t>
      </w:r>
      <w:proofErr w:type="spellStart"/>
      <w:r>
        <w:rPr>
          <w:rtl/>
        </w:rPr>
        <w:t>טבריג</w:t>
      </w:r>
      <w:bookmarkStart w:id="5768" w:name="_fnr4400"/>
      <w:proofErr w:type="spellEnd"/>
      <w:r>
        <w:rPr>
          <w:vertAlign w:val="superscript"/>
          <w:rtl/>
        </w:rPr>
        <w:footnoteReference w:id="4410" w:customMarkFollows="0"/>
      </w:r>
      <w:bookmarkEnd w:id="5768"/>
      <w:r>
        <w:rPr>
          <w:rtl/>
        </w:rPr>
        <w:t xml:space="preserve">, ושאלו מה לעשות. הוא פסק ללא היסוס שיש לאשפז את הרב בבית המרפא הפרטי. העיירה קיבלה עליה עול שהיה מעבר לכוחה לשאת; [היהודים] נדרשו לשלם לבית המרפא יותר משכרו של ר׳ </w:t>
      </w:r>
      <w:proofErr w:type="spellStart"/>
      <w:r>
        <w:rPr>
          <w:rtl/>
        </w:rPr>
        <w:t>משה־נתן</w:t>
      </w:r>
      <w:proofErr w:type="spellEnd"/>
      <w:r>
        <w:rPr>
          <w:rtl/>
        </w:rPr>
        <w:t xml:space="preserve">, והוסיפו לפרנס את משפחת הרב. בני העיר השיאו את בת הרב לרב </w:t>
      </w:r>
      <w:proofErr w:type="spellStart"/>
      <w:r>
        <w:rPr>
          <w:rtl/>
        </w:rPr>
        <w:t>וכטפוגל</w:t>
      </w:r>
      <w:proofErr w:type="spellEnd"/>
      <w:r>
        <w:rPr>
          <w:rtl/>
        </w:rPr>
        <w:t xml:space="preserve">, אחד </w:t>
      </w:r>
      <w:proofErr w:type="spellStart"/>
      <w:r>
        <w:rPr>
          <w:rtl/>
        </w:rPr>
        <w:lastRenderedPageBreak/>
        <w:t>מארבעה־עשר</w:t>
      </w:r>
      <w:proofErr w:type="spellEnd"/>
      <w:r>
        <w:rPr>
          <w:rtl/>
        </w:rPr>
        <w:t xml:space="preserve"> התלמידים שייסדו את ישיבת </w:t>
      </w:r>
      <w:proofErr w:type="spellStart"/>
      <w:r>
        <w:rPr>
          <w:rtl/>
        </w:rPr>
        <w:t>סלוצק</w:t>
      </w:r>
      <w:proofErr w:type="spellEnd"/>
      <w:r>
        <w:rPr>
          <w:rtl/>
        </w:rPr>
        <w:t xml:space="preserve"> של ר׳ </w:t>
      </w:r>
      <w:proofErr w:type="spellStart"/>
      <w:r>
        <w:rPr>
          <w:rtl/>
        </w:rPr>
        <w:t>איסר־זלמן</w:t>
      </w:r>
      <w:proofErr w:type="spellEnd"/>
      <w:r>
        <w:rPr>
          <w:rtl/>
        </w:rPr>
        <w:t xml:space="preserve"> מלצר</w:t>
      </w:r>
      <w:bookmarkStart w:id="5769" w:name="_fnr4401"/>
      <w:r>
        <w:rPr>
          <w:vertAlign w:val="superscript"/>
          <w:rtl/>
        </w:rPr>
        <w:footnoteReference w:id="4411" w:customMarkFollows="0"/>
      </w:r>
      <w:bookmarkEnd w:id="5769"/>
      <w:r>
        <w:rPr>
          <w:rtl/>
        </w:rPr>
        <w:t xml:space="preserve">, וקיבלוהו לרב, ושלחו את לוי, בנו של ר׳ </w:t>
      </w:r>
      <w:proofErr w:type="spellStart"/>
      <w:r>
        <w:rPr>
          <w:rtl/>
        </w:rPr>
        <w:t>משה־נתן</w:t>
      </w:r>
      <w:proofErr w:type="spellEnd"/>
      <w:r>
        <w:rPr>
          <w:rtl/>
        </w:rPr>
        <w:t xml:space="preserve"> שפיץ, ללמוד </w:t>
      </w:r>
      <w:proofErr w:type="spellStart"/>
      <w:r>
        <w:rPr>
          <w:rtl/>
        </w:rPr>
        <w:t>בטלז</w:t>
      </w:r>
      <w:proofErr w:type="spellEnd"/>
      <w:r>
        <w:rPr>
          <w:rtl/>
        </w:rPr>
        <w:t xml:space="preserve">, שם גדל ונעשה לאחד מגדולי רבני ליטא שלפני מלחמת העולם השנייה, ולבסוף רבה של </w:t>
      </w:r>
      <w:proofErr w:type="spellStart"/>
      <w:r>
        <w:rPr>
          <w:rtl/>
        </w:rPr>
        <w:t>טבריג</w:t>
      </w:r>
      <w:proofErr w:type="spellEnd"/>
      <w:r>
        <w:rPr>
          <w:rtl/>
        </w:rPr>
        <w:t>”.</w:t>
      </w:r>
    </w:p>
    <w:p w14:paraId="58A3D7BC" w14:textId="77777777" w:rsidR="00AB3647" w:rsidRDefault="00000000" w:rsidP="007923E9">
      <w:pPr>
        <w:spacing w:after="120" w:line="276" w:lineRule="auto"/>
        <w:ind w:firstLine="283"/>
        <w:jc w:val="both"/>
      </w:pPr>
      <w:r>
        <w:rPr>
          <w:rtl/>
        </w:rPr>
        <w:t xml:space="preserve">המאמר אינו מציין מתי אירע המעשה, אבל מוכרח שהיה במחצית הראשונה של שנות </w:t>
      </w:r>
      <w:proofErr w:type="spellStart"/>
      <w:r>
        <w:rPr>
          <w:rtl/>
        </w:rPr>
        <w:t>התרס״א</w:t>
      </w:r>
      <w:proofErr w:type="spellEnd"/>
      <w:r>
        <w:rPr>
          <w:rtl/>
        </w:rPr>
        <w:t xml:space="preserve">–תר״ע: לאחר שנעשה ר׳ </w:t>
      </w:r>
      <w:proofErr w:type="spellStart"/>
      <w:r>
        <w:rPr>
          <w:rtl/>
        </w:rPr>
        <w:t>אברהם־אהרן</w:t>
      </w:r>
      <w:proofErr w:type="spellEnd"/>
      <w:r>
        <w:rPr>
          <w:rtl/>
        </w:rPr>
        <w:t xml:space="preserve"> </w:t>
      </w:r>
      <w:proofErr w:type="spellStart"/>
      <w:r>
        <w:rPr>
          <w:rtl/>
        </w:rPr>
        <w:t>בורשטין</w:t>
      </w:r>
      <w:proofErr w:type="spellEnd"/>
      <w:r>
        <w:rPr>
          <w:rtl/>
        </w:rPr>
        <w:t xml:space="preserve"> רבה של </w:t>
      </w:r>
      <w:proofErr w:type="spellStart"/>
      <w:r>
        <w:rPr>
          <w:rtl/>
        </w:rPr>
        <w:t>טבריג</w:t>
      </w:r>
      <w:proofErr w:type="spellEnd"/>
      <w:r>
        <w:rPr>
          <w:rtl/>
        </w:rPr>
        <w:t xml:space="preserve">, </w:t>
      </w:r>
      <w:proofErr w:type="spellStart"/>
      <w:r>
        <w:rPr>
          <w:rtl/>
        </w:rPr>
        <w:t>בתרס״א</w:t>
      </w:r>
      <w:proofErr w:type="spellEnd"/>
      <w:r>
        <w:rPr>
          <w:rtl/>
        </w:rPr>
        <w:t xml:space="preserve">, וכשהיה ר׳ לוי, יליד תרמ״ז, בגיל המתאים להישלח לישיבה גדולה. לפרטים נוספים על ר׳ לוי שפיץ ועל קשריו עם רבנו השווה כרך 2. הוא נהרג על קידוש השם </w:t>
      </w:r>
      <w:proofErr w:type="spellStart"/>
      <w:r>
        <w:rPr>
          <w:rtl/>
        </w:rPr>
        <w:t>בטבריג</w:t>
      </w:r>
      <w:proofErr w:type="spellEnd"/>
      <w:r>
        <w:rPr>
          <w:rtl/>
        </w:rPr>
        <w:t>.</w:t>
      </w:r>
    </w:p>
    <w:bookmarkStart w:id="5770" w:name="b4_excS"/>
    <w:bookmarkStart w:id="5771" w:name="b4_annexS"/>
    <w:p w14:paraId="20981AB2" w14:textId="77777777" w:rsidR="00AB3647" w:rsidRDefault="00000000" w:rsidP="007923E9">
      <w:pPr>
        <w:pStyle w:val="3"/>
        <w:pageBreakBefore w:val="0"/>
        <w:spacing w:line="276" w:lineRule="auto"/>
      </w:pPr>
      <w:r>
        <w:fldChar w:fldCharType="begin" w:dirty="true"/>
      </w:r>
      <w:r>
        <w:rPr>
          <w:rtl w:val="0"/>
        </w:rPr>
        <w:instrText>HYPERLINK \l "b4_note156</w:instrText>
      </w:r>
      <w:r>
        <w:instrText>"</w:instrText>
      </w:r>
      <w:r>
        <w:fldChar w:fldCharType="separate"/>
      </w:r>
      <w:r>
        <w:t xml:space="preserve">נספח </w:t>
      </w:r>
      <w:proofErr w:type="spellStart"/>
      <w:r>
        <w:t>יט</w:t>
      </w:r>
      <w:proofErr w:type="spellEnd"/>
      <w:r>
        <w:fldChar w:fldCharType="end"/>
      </w:r>
      <w:bookmarkEnd w:id="5770"/>
      <w:bookmarkEnd w:id="5771"/>
    </w:p>
    <w:p w14:paraId="0644D883" w14:textId="77777777" w:rsidR="00AB3647" w:rsidRDefault="00000000" w:rsidP="007923E9">
      <w:pPr>
        <w:pStyle w:val="af"/>
        <w:spacing w:line="276" w:lineRule="auto"/>
      </w:pPr>
      <w:r>
        <w:t xml:space="preserve">על אפיון הרבניות מנוחה </w:t>
      </w:r>
      <w:proofErr w:type="spellStart"/>
      <w:r>
        <w:t>פרנק־אפשטיין</w:t>
      </w:r>
      <w:proofErr w:type="spellEnd"/>
      <w:r>
        <w:t xml:space="preserve"> </w:t>
      </w:r>
      <w:proofErr w:type="spellStart"/>
      <w:r>
        <w:t>ובסיה־מרים</w:t>
      </w:r>
      <w:proofErr w:type="spellEnd"/>
      <w:r>
        <w:t xml:space="preserve"> </w:t>
      </w:r>
      <w:proofErr w:type="spellStart"/>
      <w:r>
        <w:t>אפשטיין־ברלין</w:t>
      </w:r>
      <w:proofErr w:type="spellEnd"/>
    </w:p>
    <w:p w14:paraId="1A32D5C3" w14:textId="77777777" w:rsidR="00AB3647" w:rsidRDefault="00000000" w:rsidP="007923E9">
      <w:pPr>
        <w:pStyle w:val="5"/>
        <w:spacing w:line="276" w:lineRule="auto"/>
      </w:pPr>
      <w:r>
        <w:rPr>
          <w:bCs/>
          <w:szCs w:val="26"/>
        </w:rPr>
        <w:t xml:space="preserve">מנוחה אפשטיין מתייצבת מול המהפכנים – </w:t>
      </w:r>
      <w:proofErr w:type="spellStart"/>
      <w:r>
        <w:rPr>
          <w:bCs/>
          <w:szCs w:val="26"/>
        </w:rPr>
        <w:t>בוולוז׳ין</w:t>
      </w:r>
      <w:proofErr w:type="spellEnd"/>
      <w:r>
        <w:rPr>
          <w:bCs/>
          <w:szCs w:val="26"/>
        </w:rPr>
        <w:t xml:space="preserve"> מתעבים התלמידים את התערבות רבנית </w:t>
      </w:r>
      <w:proofErr w:type="spellStart"/>
      <w:r>
        <w:rPr>
          <w:bCs/>
          <w:szCs w:val="26"/>
        </w:rPr>
        <w:t>הנצי״ב</w:t>
      </w:r>
      <w:proofErr w:type="spellEnd"/>
      <w:r>
        <w:rPr>
          <w:bCs/>
          <w:szCs w:val="26"/>
        </w:rPr>
        <w:t xml:space="preserve"> – מאשימים אותה שאינה מסכימה לגמרי למעמדו של ר׳ חיים </w:t>
      </w:r>
      <w:proofErr w:type="spellStart"/>
      <w:r>
        <w:rPr>
          <w:bCs/>
          <w:szCs w:val="26"/>
        </w:rPr>
        <w:t>סולובייצ׳יק</w:t>
      </w:r>
      <w:proofErr w:type="spellEnd"/>
      <w:r>
        <w:rPr>
          <w:bCs/>
          <w:szCs w:val="26"/>
        </w:rPr>
        <w:t xml:space="preserve"> בישיבה – ר׳ </w:t>
      </w:r>
      <w:proofErr w:type="spellStart"/>
      <w:r>
        <w:rPr>
          <w:bCs/>
          <w:szCs w:val="26"/>
        </w:rPr>
        <w:t>יהושע־העשיל</w:t>
      </w:r>
      <w:proofErr w:type="spellEnd"/>
      <w:r>
        <w:rPr>
          <w:bCs/>
          <w:szCs w:val="26"/>
        </w:rPr>
        <w:t xml:space="preserve"> לוין הועדף על פני </w:t>
      </w:r>
      <w:proofErr w:type="spellStart"/>
      <w:r>
        <w:rPr>
          <w:bCs/>
          <w:szCs w:val="26"/>
        </w:rPr>
        <w:t>הנצי״ב</w:t>
      </w:r>
      <w:proofErr w:type="spellEnd"/>
      <w:r>
        <w:rPr>
          <w:bCs/>
          <w:szCs w:val="26"/>
        </w:rPr>
        <w:t xml:space="preserve"> בשל רעייתו של כל אחד מהם – אשתו השנייה של </w:t>
      </w:r>
      <w:proofErr w:type="spellStart"/>
      <w:r>
        <w:rPr>
          <w:bCs/>
          <w:szCs w:val="26"/>
        </w:rPr>
        <w:t>הנצי״ב</w:t>
      </w:r>
      <w:proofErr w:type="spellEnd"/>
      <w:r>
        <w:rPr>
          <w:bCs/>
          <w:szCs w:val="26"/>
        </w:rPr>
        <w:t xml:space="preserve"> מטפלת בו היטב</w:t>
      </w:r>
    </w:p>
    <w:p w14:paraId="2B3F47D9" w14:textId="77777777" w:rsidR="00AB3647" w:rsidRDefault="00000000" w:rsidP="007923E9">
      <w:pPr>
        <w:spacing w:after="120" w:line="276" w:lineRule="auto"/>
        <w:ind w:firstLine="283"/>
        <w:jc w:val="both"/>
      </w:pPr>
      <w:r>
        <w:rPr>
          <w:rtl/>
        </w:rPr>
        <w:t xml:space="preserve">על יחסם של התלמידים </w:t>
      </w:r>
      <w:proofErr w:type="spellStart"/>
      <w:r>
        <w:rPr>
          <w:rtl/>
        </w:rPr>
        <w:t>לחיה־מנוחה</w:t>
      </w:r>
      <w:proofErr w:type="spellEnd"/>
      <w:r>
        <w:rPr>
          <w:rtl/>
        </w:rPr>
        <w:t xml:space="preserve"> אפשטיין מסר לי ר׳ ישראל </w:t>
      </w:r>
      <w:proofErr w:type="spellStart"/>
      <w:r>
        <w:rPr>
          <w:rtl/>
        </w:rPr>
        <w:t>שורין</w:t>
      </w:r>
      <w:proofErr w:type="spellEnd"/>
      <w:r>
        <w:rPr>
          <w:rtl/>
        </w:rPr>
        <w:t xml:space="preserve">, שלמד בישיבת חברון (כבר בירושלים) </w:t>
      </w:r>
      <w:proofErr w:type="spellStart"/>
      <w:r>
        <w:rPr>
          <w:rtl/>
        </w:rPr>
        <w:t>בתרצ״ה</w:t>
      </w:r>
      <w:proofErr w:type="spellEnd"/>
      <w:r>
        <w:rPr>
          <w:rtl/>
        </w:rPr>
        <w:t xml:space="preserve">, ושוב, לתקופה נוספת של יותר משנתיים, החל </w:t>
      </w:r>
      <w:proofErr w:type="spellStart"/>
      <w:r>
        <w:rPr>
          <w:rtl/>
        </w:rPr>
        <w:t>בתרצ״ז</w:t>
      </w:r>
      <w:proofErr w:type="spellEnd"/>
      <w:r>
        <w:rPr>
          <w:rtl/>
        </w:rPr>
        <w:t xml:space="preserve">. הרבנית אפשטיין נפטרה שנתיים לאחר מכן, </w:t>
      </w:r>
      <w:proofErr w:type="spellStart"/>
      <w:r>
        <w:rPr>
          <w:rtl/>
        </w:rPr>
        <w:t>בתש״א</w:t>
      </w:r>
      <w:proofErr w:type="spellEnd"/>
      <w:r>
        <w:rPr>
          <w:rtl/>
        </w:rPr>
        <w:t>.</w:t>
      </w:r>
    </w:p>
    <w:p w14:paraId="35B4178A" w14:textId="77777777" w:rsidR="00AB3647" w:rsidRDefault="00000000" w:rsidP="007923E9">
      <w:pPr>
        <w:spacing w:after="120" w:line="276" w:lineRule="auto"/>
        <w:ind w:firstLine="283"/>
        <w:jc w:val="both"/>
      </w:pPr>
      <w:r>
        <w:rPr>
          <w:rtl/>
        </w:rPr>
        <w:t>כץ, “תנועת המוסר”, כרך ג</w:t>
      </w:r>
      <w:bookmarkStart w:id="5772" w:name="_fnr4402"/>
      <w:r>
        <w:rPr>
          <w:vertAlign w:val="superscript"/>
          <w:rtl/>
        </w:rPr>
        <w:footnoteReference w:id="4412" w:customMarkFollows="0"/>
      </w:r>
      <w:bookmarkEnd w:id="5772"/>
      <w:r>
        <w:rPr>
          <w:rtl/>
        </w:rPr>
        <w:t>, מספר מעשה המעיד על תקיפותה: “בשבת אחר הצהריים הופיעה קבוצה גדולה של מהפכנים [בישיבת כנסת ישראל]</w:t>
      </w:r>
      <w:bookmarkStart w:id="5773" w:name="_fnr4403"/>
      <w:r>
        <w:rPr>
          <w:vertAlign w:val="superscript"/>
          <w:rtl/>
        </w:rPr>
        <w:footnoteReference w:id="4413" w:customMarkFollows="0"/>
      </w:r>
      <w:bookmarkEnd w:id="5773"/>
      <w:r>
        <w:rPr>
          <w:rtl/>
        </w:rPr>
        <w:t xml:space="preserve"> כדי לקיים עצרת. היו שם באותה שעה תלמידים [בבית המדרש] שישבו ולמדו בקול, ובכך הפריעו למהפכנים. אלה החלו להיאבק בהם, חטפו את הגמרות מידיהם וניסו לדחוף אותם החוצה. לבסוף עלה הנואם [המהפכן] על הספסל מול ארון הקודש והחל להלום על שולחן בגמרא כדי להשתיק את רעש הלומדים ולהמשיך בדבריו. התלמידים היו נבוכים – והיה גם חשש שהמשטרה תופיע ותחשוד שהישיבה מעורבת בפעילות מהפכנית. כשאשתו של ר׳ </w:t>
      </w:r>
      <w:proofErr w:type="spellStart"/>
      <w:r>
        <w:rPr>
          <w:rtl/>
        </w:rPr>
        <w:t>משה־מרדכי</w:t>
      </w:r>
      <w:proofErr w:type="spellEnd"/>
      <w:r>
        <w:rPr>
          <w:rtl/>
        </w:rPr>
        <w:t>, שגרה בבניין</w:t>
      </w:r>
      <w:bookmarkStart w:id="5774" w:name="_fnr4404"/>
      <w:r>
        <w:rPr>
          <w:vertAlign w:val="superscript"/>
          <w:rtl/>
        </w:rPr>
        <w:footnoteReference w:id="4414" w:customMarkFollows="0"/>
      </w:r>
      <w:bookmarkEnd w:id="5774"/>
      <w:r>
        <w:rPr>
          <w:rtl/>
        </w:rPr>
        <w:t>, העריכה את המצב, החלה לצעוק: ‘אש! אש!’ ובהלה פרצה. [ראשי] המהפכנים הבינו שזו תחבולה, והצמידו אקדח לראשה כדי להשתיקה, אך היא לא נכנעה והמשיכה לצעוק. המהפכנים, מחשש שהמשטרה תגיע, עזבו.”</w:t>
      </w:r>
    </w:p>
    <w:p w14:paraId="58F7DC74" w14:textId="77777777" w:rsidR="00AB3647" w:rsidRDefault="00000000" w:rsidP="007923E9">
      <w:pPr>
        <w:spacing w:after="120" w:line="276" w:lineRule="auto"/>
        <w:ind w:firstLine="283"/>
        <w:jc w:val="both"/>
      </w:pPr>
      <w:bookmarkStart w:id="5775" w:name="pr_b_2455"/>
      <w:bookmarkEnd w:id="5775"/>
      <w:r>
        <w:rPr>
          <w:rtl/>
        </w:rPr>
        <w:t xml:space="preserve">סביר </w:t>
      </w:r>
      <w:proofErr w:type="spellStart"/>
      <w:r>
        <w:rPr>
          <w:rtl/>
        </w:rPr>
        <w:t>שה“פורים־רב</w:t>
      </w:r>
      <w:proofErr w:type="spellEnd"/>
      <w:r>
        <w:rPr>
          <w:rtl/>
        </w:rPr>
        <w:t xml:space="preserve">” של </w:t>
      </w:r>
      <w:proofErr w:type="spellStart"/>
      <w:r>
        <w:rPr>
          <w:rtl/>
        </w:rPr>
        <w:t>סלבודקה</w:t>
      </w:r>
      <w:proofErr w:type="spellEnd"/>
      <w:r>
        <w:rPr>
          <w:rtl/>
        </w:rPr>
        <w:t xml:space="preserve">, בכנותו את ספרו של ראש הישיבה על שם אשתו, רמז שהבחורים סברו שיש לה דריסת רגל רבה מדי בענייני בעלה. השווה גם כרך 2, על חששו של </w:t>
      </w:r>
      <w:r>
        <w:rPr>
          <w:rtl/>
        </w:rPr>
        <w:lastRenderedPageBreak/>
        <w:t xml:space="preserve">הסבא שהישיבה עלולה ללקות אם לא יסכים לתוכניותיה של מנוחה אפשטיין להשיא את בתה </w:t>
      </w:r>
      <w:proofErr w:type="spellStart"/>
      <w:r>
        <w:rPr>
          <w:rtl/>
        </w:rPr>
        <w:t>זלטה</w:t>
      </w:r>
      <w:proofErr w:type="spellEnd"/>
      <w:r>
        <w:rPr>
          <w:rtl/>
        </w:rPr>
        <w:t xml:space="preserve"> לבנו.</w:t>
      </w:r>
    </w:p>
    <w:p w14:paraId="37D12762" w14:textId="0F28014B" w:rsidR="00AB3647" w:rsidRDefault="00000000" w:rsidP="007923E9">
      <w:pPr>
        <w:spacing w:after="120" w:line="276" w:lineRule="auto"/>
        <w:ind w:firstLine="283"/>
        <w:jc w:val="both"/>
      </w:pPr>
      <w:r>
        <w:rPr>
          <w:rtl/>
        </w:rPr>
        <w:t xml:space="preserve">מעניין שהמאמר של </w:t>
      </w:r>
      <w:proofErr w:type="spellStart"/>
      <w:r>
        <w:rPr>
          <w:rtl/>
        </w:rPr>
        <w:t>אייזנשטט</w:t>
      </w:r>
      <w:proofErr w:type="spellEnd"/>
      <w:r>
        <w:rPr>
          <w:rtl/>
        </w:rPr>
        <w:t xml:space="preserve"> שצוין בהערה </w:t>
      </w:r>
      <w:r>
        <w:rPr>
          <w:rtl/>
        </w:rPr>
        <w:fldChar w:fldCharType="begin" w:dirty="true"/>
      </w:r>
      <w:r>
        <w:rPr>
          <w:rtl/>
        </w:rPr>
        <w:instrText xml:space="preserve"> REF b4_note152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152</w:t>
      </w:r>
      <w:r>
        <w:rPr>
          <w:rtl/>
        </w:rPr>
        <w:fldChar w:fldCharType="end"/>
      </w:r>
      <w:r>
        <w:rPr>
          <w:rtl/>
        </w:rPr>
        <w:t xml:space="preserve"> לעיל רומז </w:t>
      </w:r>
      <w:proofErr w:type="spellStart"/>
      <w:r>
        <w:rPr>
          <w:rtl/>
        </w:rPr>
        <w:t>שה“פורים־רב</w:t>
      </w:r>
      <w:proofErr w:type="spellEnd"/>
      <w:r>
        <w:rPr>
          <w:rtl/>
        </w:rPr>
        <w:t xml:space="preserve">” </w:t>
      </w:r>
      <w:proofErr w:type="spellStart"/>
      <w:r>
        <w:rPr>
          <w:rtl/>
        </w:rPr>
        <w:t>בוולוז׳ין</w:t>
      </w:r>
      <w:proofErr w:type="spellEnd"/>
      <w:r>
        <w:rPr>
          <w:rtl/>
        </w:rPr>
        <w:t xml:space="preserve"> “לא נמנע מלבקר את חייו האישיים של </w:t>
      </w:r>
      <w:proofErr w:type="spellStart"/>
      <w:r>
        <w:rPr>
          <w:rtl/>
        </w:rPr>
        <w:t>הנצי״ב</w:t>
      </w:r>
      <w:proofErr w:type="spellEnd"/>
      <w:r>
        <w:rPr>
          <w:rtl/>
        </w:rPr>
        <w:t xml:space="preserve">”, ובעקבות זאת ביטל </w:t>
      </w:r>
      <w:proofErr w:type="spellStart"/>
      <w:r>
        <w:rPr>
          <w:rtl/>
        </w:rPr>
        <w:t>הנצי״ב</w:t>
      </w:r>
      <w:proofErr w:type="spellEnd"/>
      <w:r>
        <w:rPr>
          <w:rtl/>
        </w:rPr>
        <w:t xml:space="preserve"> את “מנהג </w:t>
      </w:r>
      <w:proofErr w:type="spellStart"/>
      <w:r>
        <w:rPr>
          <w:rtl/>
        </w:rPr>
        <w:t>הפורים־רב</w:t>
      </w:r>
      <w:proofErr w:type="spellEnd"/>
      <w:r>
        <w:rPr>
          <w:rtl/>
        </w:rPr>
        <w:t xml:space="preserve">”. הדבר אירע אחרי נישואיו השניים של </w:t>
      </w:r>
      <w:proofErr w:type="spellStart"/>
      <w:r>
        <w:rPr>
          <w:rtl/>
        </w:rPr>
        <w:t>הנצי״ב</w:t>
      </w:r>
      <w:proofErr w:type="spellEnd"/>
      <w:r>
        <w:rPr>
          <w:rtl/>
        </w:rPr>
        <w:t xml:space="preserve"> לאחייניתו </w:t>
      </w:r>
      <w:proofErr w:type="spellStart"/>
      <w:r>
        <w:rPr>
          <w:rtl/>
        </w:rPr>
        <w:t>בסיה־מרים</w:t>
      </w:r>
      <w:proofErr w:type="spellEnd"/>
      <w:r>
        <w:rPr>
          <w:rtl/>
        </w:rPr>
        <w:t xml:space="preserve">, בתם של אחותו ושל ר׳ </w:t>
      </w:r>
      <w:proofErr w:type="spellStart"/>
      <w:r>
        <w:rPr>
          <w:rtl/>
        </w:rPr>
        <w:t>יחיאל־מיכל</w:t>
      </w:r>
      <w:proofErr w:type="spellEnd"/>
      <w:r>
        <w:rPr>
          <w:rtl/>
        </w:rPr>
        <w:t xml:space="preserve"> אפשטיין, מחבר “ערוך השולחן” ורבה של </w:t>
      </w:r>
      <w:proofErr w:type="spellStart"/>
      <w:r>
        <w:rPr>
          <w:rtl/>
        </w:rPr>
        <w:t>נובהרדוק</w:t>
      </w:r>
      <w:proofErr w:type="spellEnd"/>
      <w:r>
        <w:rPr>
          <w:rtl/>
        </w:rPr>
        <w:t>.</w:t>
      </w:r>
    </w:p>
    <w:p w14:paraId="6DE09AE3" w14:textId="77777777" w:rsidR="00AB3647" w:rsidRDefault="00000000" w:rsidP="007923E9">
      <w:pPr>
        <w:spacing w:after="120" w:line="276" w:lineRule="auto"/>
        <w:ind w:firstLine="283"/>
        <w:jc w:val="both"/>
      </w:pPr>
      <w:r>
        <w:rPr>
          <w:rtl/>
        </w:rPr>
        <w:t xml:space="preserve">על התערבותה בישיבה נשמעו תלונות קשות, כמסופר </w:t>
      </w:r>
      <w:proofErr w:type="spellStart"/>
      <w:r>
        <w:rPr>
          <w:rtl/>
        </w:rPr>
        <w:t>ב“בר</w:t>
      </w:r>
      <w:proofErr w:type="spellEnd"/>
      <w:r>
        <w:rPr>
          <w:rtl/>
        </w:rPr>
        <w:t xml:space="preserve"> </w:t>
      </w:r>
      <w:proofErr w:type="spellStart"/>
      <w:r>
        <w:rPr>
          <w:rtl/>
        </w:rPr>
        <w:t>בי־רב</w:t>
      </w:r>
      <w:proofErr w:type="spellEnd"/>
      <w:r>
        <w:rPr>
          <w:rtl/>
        </w:rPr>
        <w:t>”</w:t>
      </w:r>
      <w:bookmarkStart w:id="5776" w:name="_fnr4405"/>
      <w:r>
        <w:rPr>
          <w:vertAlign w:val="superscript"/>
          <w:rtl/>
        </w:rPr>
        <w:footnoteReference w:id="4415" w:customMarkFollows="0"/>
      </w:r>
      <w:bookmarkEnd w:id="5776"/>
      <w:r>
        <w:rPr>
          <w:rtl/>
        </w:rPr>
        <w:t xml:space="preserve">: “המשגיח הטוב, העושה את עבודתו בישיבה בתום לב ואהוב על תלמידי הישיבה, מבלה את ימיו בכאב ועושה את מלאכתו בצער רק משום שאינו מוצא חן בעיני הרבנית, ופעמים רבות רצתה להסירו. הפרחחים שבישיבה עשו מעשה נורא וזרקו אבן דרך חלונה, ומפחד כמעט הגיעה לשערי מוות. השנאה הגיעה לידי כך שבשעה שהרופאים התייאשו מחייה, ובבית </w:t>
      </w:r>
      <w:proofErr w:type="spellStart"/>
      <w:r>
        <w:rPr>
          <w:rtl/>
        </w:rPr>
        <w:t>הנצי״ב</w:t>
      </w:r>
      <w:proofErr w:type="spellEnd"/>
      <w:r>
        <w:rPr>
          <w:rtl/>
        </w:rPr>
        <w:t xml:space="preserve"> שררו אנחות וגניחות, מצא האחרון </w:t>
      </w:r>
      <w:proofErr w:type="spellStart"/>
      <w:r>
        <w:rPr>
          <w:rtl/>
        </w:rPr>
        <w:t>בגמרתו</w:t>
      </w:r>
      <w:proofErr w:type="spellEnd"/>
      <w:r>
        <w:rPr>
          <w:rtl/>
        </w:rPr>
        <w:t xml:space="preserve"> פתק ועליו כתוב נוסח למצבתה.” המאמר ממשיך: “עתה” – אחרי שהחלימה – “כמו אז, היא עוינת את תלמידי הישיבה המעוררים את חשדותיה. כל מפתחות הישיבה בידה. ליצני הישיבה אומרים שאפילו הגבאי מתייעץ עמה לפני קריאת התורה את מי לקרוא לתורה ואת מי לא – ולמי לתת עלייה ‘שמנה’ ולמי ‘רזה’; ואי אפשר לשלול זאת.”</w:t>
      </w:r>
    </w:p>
    <w:p w14:paraId="5CA2F0D2" w14:textId="68537F57" w:rsidR="00AB3647" w:rsidRDefault="00000000" w:rsidP="007923E9">
      <w:pPr>
        <w:spacing w:after="120" w:line="276" w:lineRule="auto"/>
        <w:ind w:firstLine="283"/>
        <w:jc w:val="both"/>
      </w:pPr>
      <w:r>
        <w:rPr>
          <w:rtl/>
        </w:rPr>
        <w:t xml:space="preserve">המאמר ממשיך ומותח ביקורת על שיטת הלימוד </w:t>
      </w:r>
      <w:proofErr w:type="spellStart"/>
      <w:r>
        <w:rPr>
          <w:rtl/>
        </w:rPr>
        <w:t>ה“מיושנת</w:t>
      </w:r>
      <w:proofErr w:type="spellEnd"/>
      <w:r>
        <w:rPr>
          <w:rtl/>
        </w:rPr>
        <w:t xml:space="preserve">” של </w:t>
      </w:r>
      <w:proofErr w:type="spellStart"/>
      <w:r>
        <w:rPr>
          <w:rtl/>
        </w:rPr>
        <w:t>הנצי״ב</w:t>
      </w:r>
      <w:proofErr w:type="spellEnd"/>
      <w:r>
        <w:rPr>
          <w:rtl/>
        </w:rPr>
        <w:t xml:space="preserve">, בניגוד לשיטתו של ר׳ חיים </w:t>
      </w:r>
      <w:proofErr w:type="spellStart"/>
      <w:r>
        <w:rPr>
          <w:rtl/>
        </w:rPr>
        <w:t>סולובייצ׳יק</w:t>
      </w:r>
      <w:proofErr w:type="spellEnd"/>
      <w:r>
        <w:rPr>
          <w:rtl/>
        </w:rPr>
        <w:t xml:space="preserve">, כפי שהובא בפסקה החמישית של </w:t>
      </w:r>
      <w:r>
        <w:rPr>
          <w:rtl/>
        </w:rPr>
        <w:fldChar w:fldCharType="begin" w:dirty="true"/>
      </w:r>
      <w:r>
        <w:rPr>
          <w:rtl/>
        </w:rPr>
        <w:instrText xml:space="preserve"> REF b4_excI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xml:space="preserve"> לעיל. בשלב זה אין הכותב קושר את הסלידה משיעורי </w:t>
      </w:r>
      <w:proofErr w:type="spellStart"/>
      <w:r>
        <w:rPr>
          <w:rtl/>
        </w:rPr>
        <w:t>הנצי״ב</w:t>
      </w:r>
      <w:proofErr w:type="spellEnd"/>
      <w:r>
        <w:rPr>
          <w:rtl/>
        </w:rPr>
        <w:t xml:space="preserve"> לסלידת התלמידים מן הרבנית, אבל הקורא אינו יכול שלא לקשור בין השניים. לפי הפסקה החמישית של </w:t>
      </w:r>
      <w:r>
        <w:rPr>
          <w:rtl/>
        </w:rPr>
        <w:fldChar w:fldCharType="begin" w:dirty="true"/>
      </w:r>
      <w:r>
        <w:rPr>
          <w:rtl/>
        </w:rPr>
        <w:instrText xml:space="preserve"> REF b4_excI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xml:space="preserve"> לעיל ולפי פרק 3, </w:t>
      </w:r>
      <w:r>
        <w:rPr>
          <w:rtl/>
        </w:rPr>
        <w:fldChar w:fldCharType="begin" w:dirty="true"/>
      </w:r>
      <w:r>
        <w:rPr>
          <w:rtl/>
        </w:rPr>
        <w:instrText xml:space="preserve"> REF b3_excK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יא</w:t>
      </w:r>
      <w:r>
        <w:rPr>
          <w:rtl/>
        </w:rPr>
        <w:fldChar w:fldCharType="end"/>
      </w:r>
      <w:r>
        <w:rPr>
          <w:rtl/>
        </w:rPr>
        <w:t>, משוער שהסלידה משיעורים אלה היא שהובילה לבסוף לסגירת הישיבה.</w:t>
      </w:r>
    </w:p>
    <w:p w14:paraId="71FD99F4" w14:textId="77777777" w:rsidR="00AB3647" w:rsidRDefault="00000000" w:rsidP="007923E9">
      <w:pPr>
        <w:spacing w:after="120" w:line="276" w:lineRule="auto"/>
        <w:ind w:firstLine="283"/>
        <w:jc w:val="both"/>
      </w:pPr>
      <w:r>
        <w:rPr>
          <w:rtl/>
        </w:rPr>
        <w:t xml:space="preserve">דברי הסיום של המאמר, לעומת זאת, אכן קושרים בין השניים, בעקיפין: הם מציינים שגם בעניין השיעורים עמדה דעת התלמידים מול דעת הרבנית. לאחר ששיבח את ר׳ חיים </w:t>
      </w:r>
      <w:proofErr w:type="spellStart"/>
      <w:r>
        <w:rPr>
          <w:rtl/>
        </w:rPr>
        <w:t>סולובייצ׳יק</w:t>
      </w:r>
      <w:proofErr w:type="spellEnd"/>
      <w:r>
        <w:rPr>
          <w:rtl/>
        </w:rPr>
        <w:t xml:space="preserve"> שבחים מופלגים, אומר הכותב: “מזלו של ר׳ חיים טוב ממזל אביו, ר׳ יוסף־דב; [האחרון] נאלץ בידי אנשי </w:t>
      </w:r>
      <w:proofErr w:type="spellStart"/>
      <w:r>
        <w:rPr>
          <w:rtl/>
        </w:rPr>
        <w:t>הנצי״ב</w:t>
      </w:r>
      <w:proofErr w:type="spellEnd"/>
      <w:r>
        <w:rPr>
          <w:rtl/>
        </w:rPr>
        <w:t xml:space="preserve"> לפרוש ממשרת ראש הישיבה [</w:t>
      </w:r>
      <w:proofErr w:type="spellStart"/>
      <w:r>
        <w:rPr>
          <w:rtl/>
        </w:rPr>
        <w:t>בתרכ״ג</w:t>
      </w:r>
      <w:proofErr w:type="spellEnd"/>
      <w:r>
        <w:rPr>
          <w:rtl/>
        </w:rPr>
        <w:t xml:space="preserve">] ולעזוב את </w:t>
      </w:r>
      <w:proofErr w:type="spellStart"/>
      <w:r>
        <w:rPr>
          <w:rtl/>
        </w:rPr>
        <w:t>וולוז׳ין</w:t>
      </w:r>
      <w:proofErr w:type="spellEnd"/>
      <w:r>
        <w:rPr>
          <w:rtl/>
        </w:rPr>
        <w:t>, ואילו גורל בנו מצוין, והוא רצוי לאנשי הישיבה. רק הרבנית לא תטה אליו שלום בלב שלם.”</w:t>
      </w:r>
    </w:p>
    <w:p w14:paraId="29081489" w14:textId="77777777" w:rsidR="00AB3647" w:rsidRDefault="00000000" w:rsidP="007923E9">
      <w:pPr>
        <w:spacing w:after="120" w:line="276" w:lineRule="auto"/>
        <w:ind w:firstLine="283"/>
        <w:jc w:val="both"/>
      </w:pPr>
      <w:r>
        <w:rPr>
          <w:rtl/>
        </w:rPr>
        <w:t xml:space="preserve">ראה גם מאמרו של ש״ל </w:t>
      </w:r>
      <w:proofErr w:type="spellStart"/>
      <w:r>
        <w:rPr>
          <w:rtl/>
        </w:rPr>
        <w:t>ציטרון</w:t>
      </w:r>
      <w:proofErr w:type="spellEnd"/>
      <w:r>
        <w:rPr>
          <w:rtl/>
        </w:rPr>
        <w:t xml:space="preserve"> על “מלחמת הדינסטיות” </w:t>
      </w:r>
      <w:proofErr w:type="spellStart"/>
      <w:r>
        <w:rPr>
          <w:rtl/>
        </w:rPr>
        <w:t>בוולוז׳ין</w:t>
      </w:r>
      <w:bookmarkStart w:id="5777" w:name="_fnr4406"/>
      <w:proofErr w:type="spellEnd"/>
      <w:r>
        <w:rPr>
          <w:vertAlign w:val="superscript"/>
          <w:rtl/>
        </w:rPr>
        <w:footnoteReference w:id="4416" w:customMarkFollows="0"/>
      </w:r>
      <w:bookmarkEnd w:id="5777"/>
      <w:r>
        <w:rPr>
          <w:rtl/>
        </w:rPr>
        <w:t xml:space="preserve">: אחד הטעמים שבגללם העדיפו התלמידים את ר׳ </w:t>
      </w:r>
      <w:proofErr w:type="spellStart"/>
      <w:r>
        <w:rPr>
          <w:rtl/>
        </w:rPr>
        <w:t>יהושע־העשיל</w:t>
      </w:r>
      <w:proofErr w:type="spellEnd"/>
      <w:r>
        <w:rPr>
          <w:rtl/>
        </w:rPr>
        <w:t xml:space="preserve"> לוין על </w:t>
      </w:r>
      <w:proofErr w:type="spellStart"/>
      <w:r>
        <w:rPr>
          <w:rtl/>
        </w:rPr>
        <w:t>הנצי״ב</w:t>
      </w:r>
      <w:bookmarkStart w:id="5778" w:name="_fnr4407"/>
      <w:proofErr w:type="spellEnd"/>
      <w:r>
        <w:rPr>
          <w:vertAlign w:val="superscript"/>
          <w:rtl/>
        </w:rPr>
        <w:footnoteReference w:id="4417" w:customMarkFollows="0"/>
      </w:r>
      <w:bookmarkEnd w:id="5778"/>
      <w:r>
        <w:rPr>
          <w:rtl/>
        </w:rPr>
        <w:t xml:space="preserve"> היה שהראשון “ישב בבית נאה ומרווח עם כלים וכלי בית נאים וריהוט מקושט, וספרייה יפהפייה הדורה בשפע כרכים, ומן החדרים הציצה רעננות הנעורים...”. חותנו של ר׳ </w:t>
      </w:r>
      <w:proofErr w:type="spellStart"/>
      <w:r>
        <w:rPr>
          <w:rtl/>
        </w:rPr>
        <w:t>יהושע־העשיל</w:t>
      </w:r>
      <w:proofErr w:type="spellEnd"/>
      <w:r>
        <w:rPr>
          <w:rtl/>
        </w:rPr>
        <w:t xml:space="preserve"> לוין, ר׳ </w:t>
      </w:r>
      <w:proofErr w:type="spellStart"/>
      <w:r>
        <w:rPr>
          <w:rtl/>
        </w:rPr>
        <w:t>אליהו־זלמן</w:t>
      </w:r>
      <w:proofErr w:type="spellEnd"/>
      <w:r>
        <w:rPr>
          <w:rtl/>
        </w:rPr>
        <w:t xml:space="preserve">, בנו של ר׳ </w:t>
      </w:r>
      <w:proofErr w:type="spellStart"/>
      <w:r>
        <w:rPr>
          <w:rtl/>
        </w:rPr>
        <w:t>איצל׳ה</w:t>
      </w:r>
      <w:proofErr w:type="spellEnd"/>
      <w:r>
        <w:rPr>
          <w:rtl/>
        </w:rPr>
        <w:t xml:space="preserve"> </w:t>
      </w:r>
      <w:proofErr w:type="spellStart"/>
      <w:r>
        <w:rPr>
          <w:rtl/>
        </w:rPr>
        <w:t>מוולוז׳ין</w:t>
      </w:r>
      <w:proofErr w:type="spellEnd"/>
      <w:r>
        <w:rPr>
          <w:rtl/>
        </w:rPr>
        <w:t xml:space="preserve">, פנה לעסקים והתעשר. האחרון, </w:t>
      </w:r>
      <w:proofErr w:type="spellStart"/>
      <w:r>
        <w:rPr>
          <w:rtl/>
        </w:rPr>
        <w:t>הנצי״ב</w:t>
      </w:r>
      <w:proofErr w:type="spellEnd"/>
      <w:r>
        <w:rPr>
          <w:rtl/>
        </w:rPr>
        <w:t xml:space="preserve">, חי לעומתו “בבית עץ ישן ורעוע בשוק העיירה, שבו מתחילת הבוקר ועד מאוחר בלילה נשמע רק קול ציוץ צרוד </w:t>
      </w:r>
      <w:r>
        <w:rPr>
          <w:rtl/>
        </w:rPr>
        <w:lastRenderedPageBreak/>
        <w:t xml:space="preserve">של אשתו, הרבנית [הראשונה]...”. והרי נישואי </w:t>
      </w:r>
      <w:proofErr w:type="spellStart"/>
      <w:r>
        <w:rPr>
          <w:rtl/>
        </w:rPr>
        <w:t>הנצי״ב</w:t>
      </w:r>
      <w:proofErr w:type="spellEnd"/>
      <w:r>
        <w:rPr>
          <w:rtl/>
        </w:rPr>
        <w:t xml:space="preserve"> לאותה רבנית, בתו של ר׳ </w:t>
      </w:r>
      <w:proofErr w:type="spellStart"/>
      <w:r>
        <w:rPr>
          <w:rtl/>
        </w:rPr>
        <w:t>איצל׳ה</w:t>
      </w:r>
      <w:proofErr w:type="spellEnd"/>
      <w:r>
        <w:rPr>
          <w:rtl/>
        </w:rPr>
        <w:t xml:space="preserve"> </w:t>
      </w:r>
      <w:proofErr w:type="spellStart"/>
      <w:r>
        <w:rPr>
          <w:rtl/>
        </w:rPr>
        <w:t>מוולוז׳ין</w:t>
      </w:r>
      <w:proofErr w:type="spellEnd"/>
      <w:r>
        <w:rPr>
          <w:rtl/>
        </w:rPr>
        <w:t xml:space="preserve">, הם שהקנו לו מלכתחילה את רבנות </w:t>
      </w:r>
      <w:proofErr w:type="spellStart"/>
      <w:r>
        <w:rPr>
          <w:rtl/>
        </w:rPr>
        <w:t>וולוז׳ין</w:t>
      </w:r>
      <w:proofErr w:type="spellEnd"/>
      <w:r>
        <w:rPr>
          <w:rtl/>
        </w:rPr>
        <w:t xml:space="preserve"> ואת ראשות הישיבה.</w:t>
      </w:r>
    </w:p>
    <w:p w14:paraId="36089F04" w14:textId="77777777" w:rsidR="00AB3647" w:rsidRDefault="00000000" w:rsidP="007923E9">
      <w:pPr>
        <w:spacing w:after="120" w:line="276" w:lineRule="auto"/>
        <w:ind w:firstLine="283"/>
        <w:jc w:val="both"/>
      </w:pPr>
      <w:r>
        <w:rPr>
          <w:rtl/>
        </w:rPr>
        <w:t xml:space="preserve">להשקפה הפוכה, אוהדת, על רבניתו השנייה של </w:t>
      </w:r>
      <w:proofErr w:type="spellStart"/>
      <w:r>
        <w:rPr>
          <w:rtl/>
        </w:rPr>
        <w:t>הנצי״ב</w:t>
      </w:r>
      <w:proofErr w:type="spellEnd"/>
      <w:r>
        <w:rPr>
          <w:rtl/>
        </w:rPr>
        <w:t xml:space="preserve"> השווה “פון </w:t>
      </w:r>
      <w:proofErr w:type="spellStart"/>
      <w:r>
        <w:rPr>
          <w:rtl/>
        </w:rPr>
        <w:t>וואלאזין</w:t>
      </w:r>
      <w:proofErr w:type="spellEnd"/>
      <w:r>
        <w:rPr>
          <w:rtl/>
        </w:rPr>
        <w:t xml:space="preserve"> </w:t>
      </w:r>
      <w:proofErr w:type="spellStart"/>
      <w:r>
        <w:rPr>
          <w:rtl/>
        </w:rPr>
        <w:t>ביז</w:t>
      </w:r>
      <w:proofErr w:type="spellEnd"/>
      <w:r>
        <w:rPr>
          <w:rtl/>
        </w:rPr>
        <w:t xml:space="preserve"> ירושלים”</w:t>
      </w:r>
      <w:bookmarkStart w:id="5779" w:name="_fnr4408"/>
      <w:r>
        <w:rPr>
          <w:vertAlign w:val="superscript"/>
          <w:rtl/>
        </w:rPr>
        <w:footnoteReference w:id="4418" w:customMarkFollows="0"/>
      </w:r>
      <w:bookmarkEnd w:id="5779"/>
      <w:r>
        <w:rPr>
          <w:rtl/>
        </w:rPr>
        <w:t>: המחבר, בנה, מהלל שם את “מעורבותה הנמרצת” בענייני הישיבה. השווה גם “מקור ברוך”</w:t>
      </w:r>
      <w:bookmarkStart w:id="5780" w:name="_fnr4409"/>
      <w:r>
        <w:rPr>
          <w:vertAlign w:val="superscript"/>
          <w:rtl/>
        </w:rPr>
        <w:footnoteReference w:id="4419" w:customMarkFollows="0"/>
      </w:r>
      <w:bookmarkEnd w:id="5780"/>
      <w:r>
        <w:rPr>
          <w:rtl/>
        </w:rPr>
        <w:t xml:space="preserve">, המשווה בין הטיפול האישי הלקוי שקיבל </w:t>
      </w:r>
      <w:proofErr w:type="spellStart"/>
      <w:r>
        <w:rPr>
          <w:rtl/>
        </w:rPr>
        <w:t>הנצי״ב</w:t>
      </w:r>
      <w:proofErr w:type="spellEnd"/>
      <w:r>
        <w:rPr>
          <w:rtl/>
        </w:rPr>
        <w:t xml:space="preserve"> מאשתו הראשונה – אף שהייתה למדנית במידה יוצאת דופן לזמנה, ואולי בגלל זה, כפי שנדון שם</w:t>
      </w:r>
      <w:bookmarkStart w:id="5781" w:name="_fnr4410"/>
      <w:r>
        <w:rPr>
          <w:vertAlign w:val="superscript"/>
          <w:rtl/>
        </w:rPr>
        <w:footnoteReference w:id="4420" w:customMarkFollows="0"/>
      </w:r>
      <w:bookmarkEnd w:id="5781"/>
      <w:r>
        <w:rPr>
          <w:rtl/>
        </w:rPr>
        <w:t xml:space="preserve"> – לבין הטיפול המעולה שזכה לו מאשתו השנייה, אחותו של מחבר “מקור ברוך”, ר׳ ברוך אפשטיין.</w:t>
      </w:r>
    </w:p>
    <w:bookmarkStart w:id="5782" w:name="b4_excT"/>
    <w:bookmarkStart w:id="5783" w:name="b4_annexT"/>
    <w:p w14:paraId="03C92EBA" w14:textId="77777777" w:rsidR="00AB3647" w:rsidRDefault="00000000" w:rsidP="007923E9">
      <w:pPr>
        <w:pStyle w:val="3"/>
        <w:pageBreakBefore w:val="0"/>
        <w:spacing w:line="276" w:lineRule="auto"/>
      </w:pPr>
      <w:r>
        <w:fldChar w:fldCharType="begin" w:dirty="true"/>
      </w:r>
      <w:r>
        <w:rPr>
          <w:rtl w:val="0"/>
        </w:rPr>
        <w:instrText>HYPERLINK \l "b4_note163</w:instrText>
      </w:r>
      <w:r>
        <w:instrText>"</w:instrText>
      </w:r>
      <w:r>
        <w:fldChar w:fldCharType="separate"/>
      </w:r>
      <w:r>
        <w:t>נספח כ</w:t>
      </w:r>
      <w:r>
        <w:fldChar w:fldCharType="end"/>
      </w:r>
      <w:bookmarkEnd w:id="5782"/>
      <w:bookmarkEnd w:id="5783"/>
    </w:p>
    <w:p w14:paraId="581259FB" w14:textId="77777777" w:rsidR="00AB3647" w:rsidRDefault="00000000" w:rsidP="007923E9">
      <w:pPr>
        <w:pStyle w:val="af"/>
        <w:spacing w:line="276" w:lineRule="auto"/>
      </w:pPr>
      <w:r>
        <w:t xml:space="preserve">על משפחת </w:t>
      </w:r>
      <w:proofErr w:type="spellStart"/>
      <w:r>
        <w:t>זלדוביץ׳־פינס</w:t>
      </w:r>
      <w:proofErr w:type="spellEnd"/>
      <w:r>
        <w:t xml:space="preserve"> ממינסק ובני אבן </w:t>
      </w:r>
      <w:proofErr w:type="spellStart"/>
      <w:r>
        <w:t>מסלוצק</w:t>
      </w:r>
      <w:proofErr w:type="spellEnd"/>
      <w:r>
        <w:t xml:space="preserve">, ועל המחלוקת בין שני תלמידיו המובהקים של ר׳ חיים </w:t>
      </w:r>
      <w:proofErr w:type="spellStart"/>
      <w:r>
        <w:t>מוולוז׳ין</w:t>
      </w:r>
      <w:proofErr w:type="spellEnd"/>
      <w:r>
        <w:t xml:space="preserve"> בשאלה כיצד ראוי לזכור את בנו ר׳ </w:t>
      </w:r>
      <w:proofErr w:type="spellStart"/>
      <w:r>
        <w:t>איצל׳ה</w:t>
      </w:r>
      <w:proofErr w:type="spellEnd"/>
    </w:p>
    <w:p w14:paraId="5312C5CD" w14:textId="77777777" w:rsidR="00AB3647" w:rsidRDefault="00000000" w:rsidP="007923E9">
      <w:pPr>
        <w:pStyle w:val="4"/>
        <w:spacing w:line="276" w:lineRule="auto"/>
      </w:pPr>
      <w:r>
        <w:t>· הפסקה הראשונה ·</w:t>
      </w:r>
    </w:p>
    <w:p w14:paraId="123B3E97" w14:textId="77777777" w:rsidR="00AB3647" w:rsidRDefault="00000000" w:rsidP="007923E9">
      <w:pPr>
        <w:pStyle w:val="5"/>
        <w:spacing w:line="276" w:lineRule="auto"/>
      </w:pPr>
      <w:r>
        <w:rPr>
          <w:bCs/>
          <w:szCs w:val="26"/>
        </w:rPr>
        <w:t xml:space="preserve">שני גיסים במינסק תומכים נלהבים בתורה – ר׳ ברוך </w:t>
      </w:r>
      <w:proofErr w:type="spellStart"/>
      <w:r>
        <w:rPr>
          <w:bCs/>
          <w:szCs w:val="26"/>
        </w:rPr>
        <w:t>זלדוביץ</w:t>
      </w:r>
      <w:proofErr w:type="spellEnd"/>
      <w:r>
        <w:rPr>
          <w:bCs/>
          <w:szCs w:val="26"/>
        </w:rPr>
        <w:t xml:space="preserve">׳ ור׳ בער פינס דנים למי הזכות לחלץ את </w:t>
      </w:r>
      <w:proofErr w:type="spellStart"/>
      <w:r>
        <w:rPr>
          <w:bCs/>
          <w:szCs w:val="26"/>
        </w:rPr>
        <w:t>וולוז׳ין</w:t>
      </w:r>
      <w:proofErr w:type="spellEnd"/>
      <w:r>
        <w:rPr>
          <w:bCs/>
          <w:szCs w:val="26"/>
        </w:rPr>
        <w:t xml:space="preserve"> מחובותיה – ר׳ ברוך מסביר </w:t>
      </w:r>
      <w:proofErr w:type="spellStart"/>
      <w:r>
        <w:rPr>
          <w:bCs/>
          <w:szCs w:val="26"/>
        </w:rPr>
        <w:t>לר</w:t>
      </w:r>
      <w:proofErr w:type="spellEnd"/>
      <w:r>
        <w:rPr>
          <w:bCs/>
          <w:szCs w:val="26"/>
        </w:rPr>
        <w:t xml:space="preserve">׳ חיים </w:t>
      </w:r>
      <w:proofErr w:type="spellStart"/>
      <w:r>
        <w:rPr>
          <w:bCs/>
          <w:szCs w:val="26"/>
        </w:rPr>
        <w:t>סולובייצ׳יק</w:t>
      </w:r>
      <w:proofErr w:type="spellEnd"/>
      <w:r>
        <w:rPr>
          <w:bCs/>
          <w:szCs w:val="26"/>
        </w:rPr>
        <w:t xml:space="preserve"> מדוע ארך גיוס הכסף זמן רב – דין תורה על מתנה לישיבת לובלין – ר׳ יצחק־זאב מסרב לקבל מתנה – ר׳ יונה אבן נאלץ להכפיל את הצעתו לצדקה – ר׳ </w:t>
      </w:r>
      <w:proofErr w:type="spellStart"/>
      <w:r>
        <w:rPr>
          <w:bCs/>
          <w:szCs w:val="26"/>
        </w:rPr>
        <w:t>יוסל׳ה</w:t>
      </w:r>
      <w:proofErr w:type="spellEnd"/>
      <w:r>
        <w:rPr>
          <w:bCs/>
          <w:szCs w:val="26"/>
        </w:rPr>
        <w:t xml:space="preserve"> </w:t>
      </w:r>
      <w:proofErr w:type="spellStart"/>
      <w:r>
        <w:rPr>
          <w:bCs/>
          <w:szCs w:val="26"/>
        </w:rPr>
        <w:t>פיימר</w:t>
      </w:r>
      <w:proofErr w:type="spellEnd"/>
      <w:r>
        <w:rPr>
          <w:bCs/>
          <w:szCs w:val="26"/>
        </w:rPr>
        <w:t xml:space="preserve"> סובל מנקיפות מצפון – </w:t>
      </w:r>
      <w:proofErr w:type="spellStart"/>
      <w:r>
        <w:rPr>
          <w:bCs/>
          <w:szCs w:val="26"/>
        </w:rPr>
        <w:t>החפץ־חיים</w:t>
      </w:r>
      <w:proofErr w:type="spellEnd"/>
      <w:r>
        <w:rPr>
          <w:bCs/>
          <w:szCs w:val="26"/>
        </w:rPr>
        <w:t xml:space="preserve"> מסביר פסוק בתורה – ר׳ בנימין אבן נודע בחסכנותו</w:t>
      </w:r>
    </w:p>
    <w:p w14:paraId="05DCD6AA" w14:textId="77777777" w:rsidR="00AB3647" w:rsidRDefault="00000000" w:rsidP="007923E9">
      <w:pPr>
        <w:spacing w:after="120" w:line="276" w:lineRule="auto"/>
        <w:ind w:firstLine="283"/>
        <w:jc w:val="both"/>
      </w:pPr>
      <w:r>
        <w:rPr>
          <w:rtl/>
        </w:rPr>
        <w:t>רחל חדש, ילידת מינסק</w:t>
      </w:r>
      <w:bookmarkStart w:id="5784" w:name="_fnr4411"/>
      <w:r>
        <w:rPr>
          <w:vertAlign w:val="superscript"/>
          <w:rtl/>
        </w:rPr>
        <w:footnoteReference w:id="4421" w:customMarkFollows="0"/>
      </w:r>
      <w:bookmarkEnd w:id="5784"/>
      <w:r>
        <w:rPr>
          <w:rtl/>
        </w:rPr>
        <w:t xml:space="preserve">, נזכרה: “גיסו של ר׳ ברוך </w:t>
      </w:r>
      <w:proofErr w:type="spellStart"/>
      <w:r>
        <w:rPr>
          <w:rtl/>
        </w:rPr>
        <w:t>זלדוביץ</w:t>
      </w:r>
      <w:proofErr w:type="spellEnd"/>
      <w:r>
        <w:rPr>
          <w:rtl/>
        </w:rPr>
        <w:t xml:space="preserve">׳, ר׳ בער פינס [שאחותו היא </w:t>
      </w:r>
      <w:proofErr w:type="spellStart"/>
      <w:r>
        <w:rPr>
          <w:rtl/>
        </w:rPr>
        <w:t>אמם</w:t>
      </w:r>
      <w:proofErr w:type="spellEnd"/>
      <w:r>
        <w:rPr>
          <w:rtl/>
        </w:rPr>
        <w:t xml:space="preserve"> של בני </w:t>
      </w:r>
      <w:proofErr w:type="spellStart"/>
      <w:r>
        <w:rPr>
          <w:rtl/>
        </w:rPr>
        <w:t>שטרנבוך</w:t>
      </w:r>
      <w:proofErr w:type="spellEnd"/>
      <w:r>
        <w:rPr>
          <w:rtl/>
        </w:rPr>
        <w:t xml:space="preserve">], עסק גם הוא בעסקי עצים, וכן המיליונרים ר׳ חיים לוריא, בנימין גוטמן, יצחק גוטמן, גיסו </w:t>
      </w:r>
      <w:proofErr w:type="spellStart"/>
      <w:r>
        <w:rPr>
          <w:rtl/>
        </w:rPr>
        <w:t>פלצקין</w:t>
      </w:r>
      <w:proofErr w:type="spellEnd"/>
      <w:r>
        <w:rPr>
          <w:rtl/>
        </w:rPr>
        <w:t xml:space="preserve"> ור׳ </w:t>
      </w:r>
      <w:proofErr w:type="spellStart"/>
      <w:r>
        <w:rPr>
          <w:rtl/>
        </w:rPr>
        <w:t>זיסל</w:t>
      </w:r>
      <w:proofErr w:type="spellEnd"/>
      <w:r>
        <w:rPr>
          <w:rtl/>
        </w:rPr>
        <w:t xml:space="preserve"> רפפורט”. בתחילת חשוון תשנ״ט, בהספדו על ר׳ מאיר פינס מירושלים, אמר ר׳ מיכל </w:t>
      </w:r>
      <w:proofErr w:type="spellStart"/>
      <w:r>
        <w:rPr>
          <w:rtl/>
        </w:rPr>
        <w:t>פיינשטיין</w:t>
      </w:r>
      <w:proofErr w:type="spellEnd"/>
      <w:r>
        <w:rPr>
          <w:rtl/>
        </w:rPr>
        <w:t xml:space="preserve"> בשם חותנו ר׳ יצחק־זאב </w:t>
      </w:r>
      <w:proofErr w:type="spellStart"/>
      <w:r>
        <w:rPr>
          <w:rtl/>
        </w:rPr>
        <w:t>סולובייצ׳יק</w:t>
      </w:r>
      <w:proofErr w:type="spellEnd"/>
      <w:r>
        <w:rPr>
          <w:rtl/>
        </w:rPr>
        <w:t xml:space="preserve">: “מחצית התורה שהייתה ברוסיה נשענה על [תמיכתה הכספית של] משפחת </w:t>
      </w:r>
      <w:proofErr w:type="spellStart"/>
      <w:r>
        <w:rPr>
          <w:rtl/>
        </w:rPr>
        <w:t>זלדוביץ׳־פינס</w:t>
      </w:r>
      <w:proofErr w:type="spellEnd"/>
      <w:r>
        <w:rPr>
          <w:rtl/>
        </w:rPr>
        <w:t>”.</w:t>
      </w:r>
    </w:p>
    <w:p w14:paraId="0423E6E4" w14:textId="77777777" w:rsidR="00AB3647" w:rsidRDefault="00000000" w:rsidP="007923E9">
      <w:pPr>
        <w:spacing w:after="120" w:line="276" w:lineRule="auto"/>
        <w:ind w:firstLine="283"/>
        <w:jc w:val="both"/>
      </w:pPr>
      <w:r>
        <w:rPr>
          <w:rtl/>
        </w:rPr>
        <w:t>ר׳ מאיר פינס, יליד תרס״ה, סיפר</w:t>
      </w:r>
      <w:bookmarkStart w:id="5785" w:name="_fnr4412"/>
      <w:r>
        <w:rPr>
          <w:vertAlign w:val="superscript"/>
          <w:rtl/>
        </w:rPr>
        <w:footnoteReference w:id="4422" w:customMarkFollows="0"/>
      </w:r>
      <w:bookmarkEnd w:id="5785"/>
      <w:r>
        <w:rPr>
          <w:rtl/>
        </w:rPr>
        <w:t xml:space="preserve">: “סבי מצד אמי ר׳ ברוך וסבי מצד אבי ר׳ בער היו נשואים לשתי אחיות, מצאצאי ר׳ אברהם בן הגאון מווילנה בשושלת של בנות. אחות שלישית הייתה נשואה ל[ר׳ </w:t>
      </w:r>
      <w:proofErr w:type="spellStart"/>
      <w:r>
        <w:rPr>
          <w:rtl/>
        </w:rPr>
        <w:t>זיסל</w:t>
      </w:r>
      <w:proofErr w:type="spellEnd"/>
      <w:r>
        <w:rPr>
          <w:rtl/>
        </w:rPr>
        <w:t xml:space="preserve">] רפפורט, שלא היה עשיר כל כך אך היה תלמיד חכם גדול. מפני שהוסיף ללמוד תורה תחת הקומוניסטים הוגלה לסיביר, שם אכל רק עשבים ומת. משני סביי חשבו הבריות שר׳ ברוך עשיר יותר, אך ההפך היה נכון: ר׳ ברוך פשוט היה פזרן [לצדקה]. פעם היה ‘דין תורה’ בין הגיסים; ר׳ בער כיסה את כל הגירעון של ישיבת </w:t>
      </w:r>
      <w:proofErr w:type="spellStart"/>
      <w:r>
        <w:rPr>
          <w:rtl/>
        </w:rPr>
        <w:t>וולוז׳ין</w:t>
      </w:r>
      <w:proofErr w:type="spellEnd"/>
      <w:r>
        <w:rPr>
          <w:rtl/>
        </w:rPr>
        <w:t xml:space="preserve">, ור׳ ברוך </w:t>
      </w:r>
      <w:r>
        <w:rPr>
          <w:rtl/>
        </w:rPr>
        <w:lastRenderedPageBreak/>
        <w:t>תבעו בטענה שהיה שותפו של גיסו בכל מעשה צדקה, ויש לו ‘זכות’ לשלם לו מחצית מהוצאתו ולקנות חלק שווה במצווה”.</w:t>
      </w:r>
    </w:p>
    <w:p w14:paraId="705D75F8" w14:textId="77777777" w:rsidR="00AB3647" w:rsidRDefault="00000000" w:rsidP="007923E9">
      <w:pPr>
        <w:spacing w:after="120" w:line="276" w:lineRule="auto"/>
        <w:ind w:firstLine="283"/>
        <w:jc w:val="both"/>
      </w:pPr>
      <w:r>
        <w:rPr>
          <w:rtl/>
        </w:rPr>
        <w:t xml:space="preserve">שמעתי על דין תורה זה מפי רבנו, אבל ארשום כאן את המעשה כפי שהוא מפורט במלואו </w:t>
      </w:r>
      <w:proofErr w:type="spellStart"/>
      <w:r>
        <w:rPr>
          <w:rtl/>
        </w:rPr>
        <w:t>ב“חומש</w:t>
      </w:r>
      <w:proofErr w:type="spellEnd"/>
      <w:r>
        <w:rPr>
          <w:rtl/>
        </w:rPr>
        <w:t xml:space="preserve"> אזנים לתורה” </w:t>
      </w:r>
      <w:proofErr w:type="spellStart"/>
      <w:r>
        <w:rPr>
          <w:rtl/>
        </w:rPr>
        <w:t>לר</w:t>
      </w:r>
      <w:proofErr w:type="spellEnd"/>
      <w:r>
        <w:rPr>
          <w:rtl/>
        </w:rPr>
        <w:t xml:space="preserve">׳ זלמן </w:t>
      </w:r>
      <w:proofErr w:type="spellStart"/>
      <w:r>
        <w:rPr>
          <w:rtl/>
        </w:rPr>
        <w:t>סורוצקין</w:t>
      </w:r>
      <w:proofErr w:type="spellEnd"/>
      <w:r>
        <w:rPr>
          <w:rtl/>
        </w:rPr>
        <w:t xml:space="preserve">, רבה של </w:t>
      </w:r>
      <w:proofErr w:type="spellStart"/>
      <w:r>
        <w:rPr>
          <w:rtl/>
        </w:rPr>
        <w:t>לוצק</w:t>
      </w:r>
      <w:bookmarkStart w:id="5786" w:name="_fnr4413"/>
      <w:proofErr w:type="spellEnd"/>
      <w:r>
        <w:rPr>
          <w:vertAlign w:val="superscript"/>
          <w:rtl/>
        </w:rPr>
        <w:footnoteReference w:id="4423" w:customMarkFollows="0"/>
      </w:r>
      <w:bookmarkEnd w:id="5786"/>
      <w:r>
        <w:rPr>
          <w:rtl/>
        </w:rPr>
        <w:t xml:space="preserve">: “ר׳ חיים </w:t>
      </w:r>
      <w:proofErr w:type="spellStart"/>
      <w:r>
        <w:rPr>
          <w:rtl/>
        </w:rPr>
        <w:t>סולובייצ׳יק</w:t>
      </w:r>
      <w:proofErr w:type="spellEnd"/>
      <w:r>
        <w:rPr>
          <w:rtl/>
        </w:rPr>
        <w:t xml:space="preserve"> בא למינסק לגייס 6,000 רובל כדי לחלץ את ישיבת </w:t>
      </w:r>
      <w:proofErr w:type="spellStart"/>
      <w:r>
        <w:rPr>
          <w:rtl/>
        </w:rPr>
        <w:t>וולוז׳ין</w:t>
      </w:r>
      <w:proofErr w:type="spellEnd"/>
      <w:r>
        <w:rPr>
          <w:rtl/>
        </w:rPr>
        <w:t xml:space="preserve"> מחובותיה, והתארח אצל אחד מגבאי הישיבה במינסק, ר׳ ברוך </w:t>
      </w:r>
      <w:proofErr w:type="spellStart"/>
      <w:r>
        <w:rPr>
          <w:rtl/>
        </w:rPr>
        <w:t>זלדוביץ</w:t>
      </w:r>
      <w:proofErr w:type="spellEnd"/>
      <w:r>
        <w:rPr>
          <w:rtl/>
        </w:rPr>
        <w:t xml:space="preserve">׳, שהבטיח לטפל בעניין. כעבור כמה ימים מנה ר׳ ברוך </w:t>
      </w:r>
      <w:proofErr w:type="spellStart"/>
      <w:r>
        <w:rPr>
          <w:rtl/>
        </w:rPr>
        <w:t>לר</w:t>
      </w:r>
      <w:proofErr w:type="spellEnd"/>
      <w:r>
        <w:rPr>
          <w:rtl/>
        </w:rPr>
        <w:t xml:space="preserve">׳ חיים 3,000 רובל, והציע שיישאר עוד </w:t>
      </w:r>
      <w:proofErr w:type="spellStart"/>
      <w:r>
        <w:rPr>
          <w:rtl/>
        </w:rPr>
        <w:t>זמן־מה</w:t>
      </w:r>
      <w:proofErr w:type="spellEnd"/>
      <w:r>
        <w:rPr>
          <w:rtl/>
        </w:rPr>
        <w:t xml:space="preserve"> במינסק, שבמהלכו קיווה ר׳ ברוך להשיג את היתרה. לאחר שעשה ר׳ חיים שבועיים בעיר, שב ר׳ ברוך עם 3,000 הרובל הנותרים. זמן קצר לאחר שחזר ר׳ חיים </w:t>
      </w:r>
      <w:proofErr w:type="spellStart"/>
      <w:r>
        <w:rPr>
          <w:rtl/>
        </w:rPr>
        <w:t>לוולוז׳ין</w:t>
      </w:r>
      <w:proofErr w:type="spellEnd"/>
      <w:r>
        <w:rPr>
          <w:rtl/>
        </w:rPr>
        <w:t xml:space="preserve">, בא לשם </w:t>
      </w:r>
      <w:proofErr w:type="spellStart"/>
      <w:r>
        <w:rPr>
          <w:rtl/>
        </w:rPr>
        <w:t>זלדוביץ</w:t>
      </w:r>
      <w:proofErr w:type="spellEnd"/>
      <w:r>
        <w:rPr>
          <w:rtl/>
        </w:rPr>
        <w:t xml:space="preserve">׳ עם גיסו ר׳ בער פינס. מר </w:t>
      </w:r>
      <w:proofErr w:type="spellStart"/>
      <w:r>
        <w:rPr>
          <w:rtl/>
        </w:rPr>
        <w:t>זלדוביץ</w:t>
      </w:r>
      <w:proofErr w:type="spellEnd"/>
      <w:r>
        <w:rPr>
          <w:rtl/>
        </w:rPr>
        <w:t xml:space="preserve">׳ היה נתבע בדין תורה שפתח נגדו גיסו, בטענה שהיה שותפו של </w:t>
      </w:r>
      <w:proofErr w:type="spellStart"/>
      <w:r>
        <w:rPr>
          <w:rtl/>
        </w:rPr>
        <w:t>זלדוביץ</w:t>
      </w:r>
      <w:proofErr w:type="spellEnd"/>
      <w:r>
        <w:rPr>
          <w:rtl/>
        </w:rPr>
        <w:t xml:space="preserve">׳ בכל עסק במשך שנים רבות, והצלת ישיבת </w:t>
      </w:r>
      <w:proofErr w:type="spellStart"/>
      <w:r>
        <w:rPr>
          <w:rtl/>
        </w:rPr>
        <w:t>וולוז׳ין</w:t>
      </w:r>
      <w:proofErr w:type="spellEnd"/>
      <w:r>
        <w:rPr>
          <w:rtl/>
        </w:rPr>
        <w:t xml:space="preserve"> היא השקעה שראוי לו להשתתף בה בחלק שווה”.</w:t>
      </w:r>
    </w:p>
    <w:p w14:paraId="4C838D53" w14:textId="77777777" w:rsidR="00AB3647" w:rsidRDefault="00000000" w:rsidP="007923E9">
      <w:pPr>
        <w:spacing w:after="120" w:line="276" w:lineRule="auto"/>
        <w:ind w:firstLine="283"/>
        <w:jc w:val="both"/>
      </w:pPr>
      <w:r>
        <w:rPr>
          <w:rtl/>
        </w:rPr>
        <w:t xml:space="preserve">המעשה כפי שנדפס וכפי שסיפרו אבי שונה מגרסת הנכד בשני דברים: ר׳ בער פינס תבע את ר׳ ברוך </w:t>
      </w:r>
      <w:proofErr w:type="spellStart"/>
      <w:r>
        <w:rPr>
          <w:rtl/>
        </w:rPr>
        <w:t>זלדוביץ</w:t>
      </w:r>
      <w:proofErr w:type="spellEnd"/>
      <w:r>
        <w:rPr>
          <w:rtl/>
        </w:rPr>
        <w:t xml:space="preserve">׳, ולא להפך; וטענת התובע התבססה על שותפותם הכללית בעסקים, ולא דווקא על מפעלי צדקה. גרסת ר׳ מאיר פינס מבליטה דבר הנוגע יותר לענייננו: שמבין השניים היה </w:t>
      </w:r>
      <w:proofErr w:type="spellStart"/>
      <w:r>
        <w:rPr>
          <w:rtl/>
        </w:rPr>
        <w:t>זלדוביץ</w:t>
      </w:r>
      <w:proofErr w:type="spellEnd"/>
      <w:r>
        <w:rPr>
          <w:rtl/>
        </w:rPr>
        <w:t xml:space="preserve">׳ – התובע לפי ר׳ מאיר – “פזרן” יותר לצדקה, וזו הנקודה שר׳ מאיר התכוון להבליט. נראה שיש בכך כדי ללמד שגרסתו עשויה להיות הנכונה, למרות המסורת שבידי אבי ור׳ זלמן </w:t>
      </w:r>
      <w:proofErr w:type="spellStart"/>
      <w:r>
        <w:rPr>
          <w:rtl/>
        </w:rPr>
        <w:t>סורוצקין</w:t>
      </w:r>
      <w:proofErr w:type="spellEnd"/>
      <w:r>
        <w:rPr>
          <w:rtl/>
        </w:rPr>
        <w:t>.</w:t>
      </w:r>
    </w:p>
    <w:p w14:paraId="6DD18816" w14:textId="77777777" w:rsidR="00AB3647" w:rsidRDefault="00000000" w:rsidP="007923E9">
      <w:pPr>
        <w:spacing w:after="120" w:line="276" w:lineRule="auto"/>
        <w:ind w:firstLine="283"/>
        <w:jc w:val="both"/>
      </w:pPr>
      <w:r>
        <w:rPr>
          <w:rtl/>
        </w:rPr>
        <w:t xml:space="preserve">“אזנים לתורה” ממשיך: “עתה, כשנודע </w:t>
      </w:r>
      <w:proofErr w:type="spellStart"/>
      <w:r>
        <w:rPr>
          <w:rtl/>
        </w:rPr>
        <w:t>לר</w:t>
      </w:r>
      <w:proofErr w:type="spellEnd"/>
      <w:r>
        <w:rPr>
          <w:rtl/>
        </w:rPr>
        <w:t xml:space="preserve">׳ חיים שר׳ ברוך </w:t>
      </w:r>
      <w:proofErr w:type="spellStart"/>
      <w:r>
        <w:rPr>
          <w:rtl/>
        </w:rPr>
        <w:t>זלדוביץ</w:t>
      </w:r>
      <w:proofErr w:type="spellEnd"/>
      <w:r>
        <w:rPr>
          <w:rtl/>
        </w:rPr>
        <w:t>׳ נתן את כל 6,000 הרובל מכיסו, שאלו [ר׳ חיים] מדוע</w:t>
      </w:r>
      <w:r>
        <w:rPr>
          <w:b/>
          <w:bCs/>
          <w:rtl/>
        </w:rPr>
        <w:t xml:space="preserve"> השאירו ממתין במינסק שבועיים</w:t>
      </w:r>
      <w:r>
        <w:rPr>
          <w:rtl/>
        </w:rPr>
        <w:t xml:space="preserve"> (ההדגשה שלי, לצורך הדיון להלן), ור׳ ברוך השיב: ‘וכי קל כל כך להיפרד מסכום כסף גדול? לפני שנתתי לך את 3,000 הרובל הראשונים עמלתי קשה להתגבר על תאוות הממון המושרשת בלב כל אדם; ואחר כך הייתי צריך להילחם מלחמה פנימית קשה עד שיכולתי לתרום את 3,000 הרובל הנותרים’”.</w:t>
      </w:r>
    </w:p>
    <w:p w14:paraId="1A5E9327" w14:textId="77777777" w:rsidR="00AB3647" w:rsidRDefault="00000000" w:rsidP="007923E9">
      <w:pPr>
        <w:spacing w:after="120" w:line="276" w:lineRule="auto"/>
        <w:ind w:firstLine="283"/>
        <w:jc w:val="both"/>
      </w:pPr>
      <w:r>
        <w:rPr>
          <w:rtl/>
        </w:rPr>
        <w:t xml:space="preserve">כשסיפר אבי את המעשה, מסר כך את שאלתו של ר׳ חיים </w:t>
      </w:r>
      <w:proofErr w:type="spellStart"/>
      <w:r>
        <w:rPr>
          <w:rtl/>
        </w:rPr>
        <w:t>לר</w:t>
      </w:r>
      <w:proofErr w:type="spellEnd"/>
      <w:r>
        <w:rPr>
          <w:rtl/>
        </w:rPr>
        <w:t>׳ ברוך: “מדוע השארת אותי ממתין במינסק זמן רב כל כך? חשוב כמה שיעורים הפסדתי מלומר, מפני שלא חזרתי לישיבה שבועיים קודם לכן!”</w:t>
      </w:r>
      <w:bookmarkStart w:id="5787" w:name="_fnr4414"/>
      <w:r>
        <w:rPr>
          <w:vertAlign w:val="superscript"/>
          <w:rtl/>
        </w:rPr>
        <w:footnoteReference w:id="4424" w:customMarkFollows="0"/>
      </w:r>
      <w:bookmarkEnd w:id="5787"/>
      <w:r>
        <w:rPr>
          <w:rtl/>
        </w:rPr>
        <w:t>.</w:t>
      </w:r>
    </w:p>
    <w:p w14:paraId="39400D05" w14:textId="77777777" w:rsidR="00AB3647" w:rsidRDefault="00000000" w:rsidP="007923E9">
      <w:pPr>
        <w:spacing w:after="120" w:line="276" w:lineRule="auto"/>
        <w:ind w:firstLine="283"/>
        <w:jc w:val="both"/>
      </w:pPr>
      <w:r>
        <w:rPr>
          <w:rtl/>
        </w:rPr>
        <w:t xml:space="preserve">דין תורה מסוג זה – שגם בו נזקק התורם לשהות כדי להחליט – מסופר </w:t>
      </w:r>
      <w:proofErr w:type="spellStart"/>
      <w:r>
        <w:rPr>
          <w:rtl/>
        </w:rPr>
        <w:t>ב“הרב</w:t>
      </w:r>
      <w:proofErr w:type="spellEnd"/>
      <w:r>
        <w:rPr>
          <w:rtl/>
        </w:rPr>
        <w:t xml:space="preserve"> הגדול”</w:t>
      </w:r>
      <w:bookmarkStart w:id="5788" w:name="_fnr4415"/>
      <w:r>
        <w:rPr>
          <w:vertAlign w:val="superscript"/>
          <w:rtl/>
        </w:rPr>
        <w:footnoteReference w:id="4425" w:customMarkFollows="0"/>
      </w:r>
      <w:bookmarkEnd w:id="5788"/>
      <w:r>
        <w:rPr>
          <w:rtl/>
        </w:rPr>
        <w:t xml:space="preserve">, בעניין קניית מגרש גדול לישיבת חכמי לובלין, שביקש ר׳ מאיר שפירא מן העשיר ר׳ שמואל </w:t>
      </w:r>
      <w:proofErr w:type="spellStart"/>
      <w:r>
        <w:rPr>
          <w:rtl/>
        </w:rPr>
        <w:t>אייכנבוים</w:t>
      </w:r>
      <w:proofErr w:type="spellEnd"/>
      <w:r>
        <w:rPr>
          <w:rtl/>
        </w:rPr>
        <w:t xml:space="preserve">. ר׳ מאיר שפירא ביקש ממנו “את חלקו הקדמי של המגרש”, והנדבן השיב שהוא צריך חצי שעה כדי לשקול את הדבר. הוא חזר ואמר </w:t>
      </w:r>
      <w:proofErr w:type="spellStart"/>
      <w:r>
        <w:rPr>
          <w:rtl/>
        </w:rPr>
        <w:t>לר</w:t>
      </w:r>
      <w:proofErr w:type="spellEnd"/>
      <w:r>
        <w:rPr>
          <w:rtl/>
        </w:rPr>
        <w:t>׳ מאיר: “איני יכול לתת לך את החלק הקדמי... אלא את המגרש כולו”.</w:t>
      </w:r>
    </w:p>
    <w:p w14:paraId="69404817" w14:textId="77777777" w:rsidR="00AB3647" w:rsidRDefault="00000000" w:rsidP="007923E9">
      <w:pPr>
        <w:spacing w:after="120" w:line="276" w:lineRule="auto"/>
        <w:ind w:firstLine="283"/>
        <w:jc w:val="both"/>
      </w:pPr>
      <w:r>
        <w:rPr>
          <w:rtl/>
        </w:rPr>
        <w:lastRenderedPageBreak/>
        <w:t xml:space="preserve">כששמעה אשתו של ר׳ שמואל </w:t>
      </w:r>
      <w:proofErr w:type="spellStart"/>
      <w:r>
        <w:rPr>
          <w:rtl/>
        </w:rPr>
        <w:t>אייכנבוים</w:t>
      </w:r>
      <w:proofErr w:type="spellEnd"/>
      <w:r>
        <w:rPr>
          <w:rtl/>
        </w:rPr>
        <w:t xml:space="preserve"> על תרומתו, תבעה אותו לדין תורה, ולעיני קהל סקרן הצהירה שהיא “מרוצה בהחלט” מכך שבעלה תרם את הקרקע לבניין הישיבה הנודעת בעולם. אבל היא דרשה שהמתנה תירשם גם על שמה, כדי שיהיה לה חלק במצווה הגדולה. בית הדין פסק לטובתה, והורה לבטל את החוזה הרשום על שם בעלה ולערוך חוזה חדש שבו יופיעו שניהם כתורמים.</w:t>
      </w:r>
    </w:p>
    <w:p w14:paraId="621A7AF0" w14:textId="77777777" w:rsidR="00AB3647" w:rsidRDefault="00000000" w:rsidP="007923E9">
      <w:pPr>
        <w:spacing w:after="120" w:line="276" w:lineRule="auto"/>
        <w:ind w:firstLine="283"/>
        <w:jc w:val="both"/>
      </w:pPr>
      <w:r>
        <w:rPr>
          <w:rtl/>
        </w:rPr>
        <w:t>דוגמה נוספת לנדבן הזקוק לשהות כדי להחליט לפני שהוא תורם הביא ר׳ שלמה לורנץ</w:t>
      </w:r>
      <w:bookmarkStart w:id="5789" w:name="_fnr4416"/>
      <w:r>
        <w:rPr>
          <w:vertAlign w:val="superscript"/>
          <w:rtl/>
        </w:rPr>
        <w:footnoteReference w:id="4426" w:customMarkFollows="0"/>
      </w:r>
      <w:bookmarkEnd w:id="5789"/>
      <w:r>
        <w:rPr>
          <w:rtl/>
        </w:rPr>
        <w:t xml:space="preserve">. כשביקר בארצות הברית בסביבות תש״י, קיבל מכתב שכתב ר׳ יחזקאל </w:t>
      </w:r>
      <w:proofErr w:type="spellStart"/>
      <w:r>
        <w:rPr>
          <w:rtl/>
        </w:rPr>
        <w:t>אברמסקי</w:t>
      </w:r>
      <w:proofErr w:type="spellEnd"/>
      <w:r>
        <w:rPr>
          <w:rtl/>
        </w:rPr>
        <w:t xml:space="preserve"> </w:t>
      </w:r>
      <w:proofErr w:type="spellStart"/>
      <w:r>
        <w:rPr>
          <w:rtl/>
        </w:rPr>
        <w:t>לר</w:t>
      </w:r>
      <w:proofErr w:type="spellEnd"/>
      <w:r>
        <w:rPr>
          <w:rtl/>
        </w:rPr>
        <w:t xml:space="preserve">׳ אלכסנדר </w:t>
      </w:r>
      <w:proofErr w:type="spellStart"/>
      <w:r>
        <w:rPr>
          <w:rtl/>
        </w:rPr>
        <w:t>לינצ׳נר</w:t>
      </w:r>
      <w:proofErr w:type="spellEnd"/>
      <w:r>
        <w:rPr>
          <w:rtl/>
        </w:rPr>
        <w:t xml:space="preserve">. ר׳ יחזקאל </w:t>
      </w:r>
      <w:proofErr w:type="spellStart"/>
      <w:r>
        <w:rPr>
          <w:rtl/>
        </w:rPr>
        <w:t>אברמסקי</w:t>
      </w:r>
      <w:proofErr w:type="spellEnd"/>
      <w:r>
        <w:rPr>
          <w:rtl/>
        </w:rPr>
        <w:t xml:space="preserve"> סבר בטעות שהרב </w:t>
      </w:r>
      <w:proofErr w:type="spellStart"/>
      <w:r>
        <w:rPr>
          <w:rtl/>
        </w:rPr>
        <w:t>לינצ׳נר</w:t>
      </w:r>
      <w:proofErr w:type="spellEnd"/>
      <w:r>
        <w:rPr>
          <w:rtl/>
        </w:rPr>
        <w:t xml:space="preserve"> עומד לנסוע לארצות הברית, והרב </w:t>
      </w:r>
      <w:proofErr w:type="spellStart"/>
      <w:r>
        <w:rPr>
          <w:rtl/>
        </w:rPr>
        <w:t>לינצ׳נר</w:t>
      </w:r>
      <w:proofErr w:type="spellEnd"/>
      <w:r>
        <w:rPr>
          <w:rtl/>
        </w:rPr>
        <w:t xml:space="preserve"> העביר את המכתב </w:t>
      </w:r>
      <w:proofErr w:type="spellStart"/>
      <w:r>
        <w:rPr>
          <w:rtl/>
        </w:rPr>
        <w:t>לר</w:t>
      </w:r>
      <w:proofErr w:type="spellEnd"/>
      <w:r>
        <w:rPr>
          <w:rtl/>
        </w:rPr>
        <w:t xml:space="preserve">׳ שלמה לורנץ, שכבר היה באמריקה. במכתב כתב ר׳ יחזקאל שר׳ יצחק־זאב </w:t>
      </w:r>
      <w:proofErr w:type="spellStart"/>
      <w:r>
        <w:rPr>
          <w:rtl/>
        </w:rPr>
        <w:t>סולובייצ׳יק</w:t>
      </w:r>
      <w:proofErr w:type="spellEnd"/>
      <w:r>
        <w:rPr>
          <w:rtl/>
        </w:rPr>
        <w:t xml:space="preserve">, הרב </w:t>
      </w:r>
      <w:proofErr w:type="spellStart"/>
      <w:r>
        <w:rPr>
          <w:rtl/>
        </w:rPr>
        <w:t>מבריסק</w:t>
      </w:r>
      <w:proofErr w:type="spellEnd"/>
      <w:r>
        <w:rPr>
          <w:rtl/>
        </w:rPr>
        <w:t xml:space="preserve">, סובל מהצטננויות חוזרות, והרופאים תולים אותן במגוריו בדירה חשוכה. הוא הציע לנמען לבקש תורם שיממן את מעבר הרב </w:t>
      </w:r>
      <w:proofErr w:type="spellStart"/>
      <w:r>
        <w:rPr>
          <w:rtl/>
        </w:rPr>
        <w:t>מבריסק</w:t>
      </w:r>
      <w:proofErr w:type="spellEnd"/>
      <w:r>
        <w:rPr>
          <w:rtl/>
        </w:rPr>
        <w:t xml:space="preserve"> לדירה שטופת שמש.</w:t>
      </w:r>
    </w:p>
    <w:p w14:paraId="2CEB2833" w14:textId="77777777" w:rsidR="00AB3647" w:rsidRDefault="00000000" w:rsidP="007923E9">
      <w:pPr>
        <w:spacing w:after="120" w:line="276" w:lineRule="auto"/>
        <w:ind w:firstLine="283"/>
        <w:jc w:val="both"/>
      </w:pPr>
      <w:r>
        <w:rPr>
          <w:rtl/>
        </w:rPr>
        <w:t xml:space="preserve">ר׳ שלמה לורנץ, שהכיר היטב את ר׳ יצחק־זאב, הופתע שהרב </w:t>
      </w:r>
      <w:proofErr w:type="spellStart"/>
      <w:r>
        <w:rPr>
          <w:rtl/>
        </w:rPr>
        <w:t>מבריסק</w:t>
      </w:r>
      <w:proofErr w:type="spellEnd"/>
      <w:r>
        <w:rPr>
          <w:rtl/>
        </w:rPr>
        <w:t xml:space="preserve"> יסכים לתוכנית כזו. אבל מאחר שר׳ יחזקאל </w:t>
      </w:r>
      <w:proofErr w:type="spellStart"/>
      <w:r>
        <w:rPr>
          <w:rtl/>
        </w:rPr>
        <w:t>אברמסקי</w:t>
      </w:r>
      <w:proofErr w:type="spellEnd"/>
      <w:r>
        <w:rPr>
          <w:rtl/>
        </w:rPr>
        <w:t xml:space="preserve"> נתן לה את הסכמתו, פנה לקרובו ר׳ יהודה בודנהיימר והציע לו אחת משלוש אפשרויות: שיקנה בית בשביל הרב </w:t>
      </w:r>
      <w:proofErr w:type="spellStart"/>
      <w:r>
        <w:rPr>
          <w:rtl/>
        </w:rPr>
        <w:t>מבריסק</w:t>
      </w:r>
      <w:proofErr w:type="spellEnd"/>
      <w:r>
        <w:rPr>
          <w:rtl/>
        </w:rPr>
        <w:t xml:space="preserve"> במתנה גמורה; שיקנה בית לעצמו וישכיר אותו לרב במחיר סמלי; או שהרב </w:t>
      </w:r>
      <w:proofErr w:type="spellStart"/>
      <w:r>
        <w:rPr>
          <w:rtl/>
        </w:rPr>
        <w:t>מבריסק</w:t>
      </w:r>
      <w:proofErr w:type="spellEnd"/>
      <w:r>
        <w:rPr>
          <w:rtl/>
        </w:rPr>
        <w:t xml:space="preserve"> ישכור אותו בשכר שהרב עצמו יקבע. ר׳ יהודה ביקש כמה שעות לשקול את הבקשה, ושב עם תשובה חיובית, והשאיר לרב </w:t>
      </w:r>
      <w:proofErr w:type="spellStart"/>
      <w:r>
        <w:rPr>
          <w:rtl/>
        </w:rPr>
        <w:t>מבריסק</w:t>
      </w:r>
      <w:proofErr w:type="spellEnd"/>
      <w:r>
        <w:rPr>
          <w:rtl/>
        </w:rPr>
        <w:t xml:space="preserve"> את הבחירה בין האפשרויות. באותה עת עלה בית בין 20,000 ל־25,000 דולר – סכום גדול בשביל ר׳ יהודה באותו שלב בחייו.</w:t>
      </w:r>
    </w:p>
    <w:p w14:paraId="5471EC4A" w14:textId="77777777" w:rsidR="00AB3647" w:rsidRDefault="00000000" w:rsidP="007923E9">
      <w:pPr>
        <w:spacing w:after="120" w:line="276" w:lineRule="auto"/>
        <w:ind w:firstLine="283"/>
        <w:jc w:val="both"/>
      </w:pPr>
      <w:r>
        <w:rPr>
          <w:rtl/>
        </w:rPr>
        <w:t xml:space="preserve">ר׳ שלמה לורנץ שלח מברק לרב </w:t>
      </w:r>
      <w:proofErr w:type="spellStart"/>
      <w:r>
        <w:rPr>
          <w:rtl/>
        </w:rPr>
        <w:t>מבריסק</w:t>
      </w:r>
      <w:proofErr w:type="spellEnd"/>
      <w:r>
        <w:rPr>
          <w:rtl/>
        </w:rPr>
        <w:t xml:space="preserve"> </w:t>
      </w:r>
      <w:proofErr w:type="spellStart"/>
      <w:r>
        <w:rPr>
          <w:rtl/>
        </w:rPr>
        <w:t>שבן־דודו</w:t>
      </w:r>
      <w:proofErr w:type="spellEnd"/>
      <w:r>
        <w:rPr>
          <w:rtl/>
        </w:rPr>
        <w:t xml:space="preserve">, “תלמיד חכם וירא שמים”, רוצה לקנות בית שטוף שמש לשימוש הרב, ושאל איזו משלוש האפשרויות הוא מעדיף. מן הרב </w:t>
      </w:r>
      <w:proofErr w:type="spellStart"/>
      <w:r>
        <w:rPr>
          <w:rtl/>
        </w:rPr>
        <w:t>מבריסק</w:t>
      </w:r>
      <w:proofErr w:type="spellEnd"/>
      <w:r>
        <w:rPr>
          <w:rtl/>
        </w:rPr>
        <w:t xml:space="preserve"> הגיע מברק קצר: “בשום אופן לא”</w:t>
      </w:r>
      <w:bookmarkStart w:id="5790" w:name="_fnr4417"/>
      <w:r>
        <w:rPr>
          <w:vertAlign w:val="superscript"/>
          <w:rtl/>
        </w:rPr>
        <w:footnoteReference w:id="4427" w:customMarkFollows="0"/>
      </w:r>
      <w:bookmarkEnd w:id="5790"/>
      <w:r>
        <w:rPr>
          <w:rtl/>
        </w:rPr>
        <w:t xml:space="preserve">. הערכתו של ר׳ שלמה לורנץ בדבר תגובת הרב התבררה כנכונה, אבל כששב לארץ ישראל הלך לשאול אותו מה בדיוק גרם לו לסרב להצעה שהייתה מועילה לבריאותו. ר׳ יצחק־זאב השיב: “איך </w:t>
      </w:r>
      <w:proofErr w:type="spellStart"/>
      <w:r>
        <w:rPr>
          <w:rtl/>
        </w:rPr>
        <w:t>וואלט</w:t>
      </w:r>
      <w:proofErr w:type="spellEnd"/>
      <w:r>
        <w:rPr>
          <w:rtl/>
        </w:rPr>
        <w:t xml:space="preserve"> </w:t>
      </w:r>
      <w:proofErr w:type="spellStart"/>
      <w:r>
        <w:rPr>
          <w:rtl/>
        </w:rPr>
        <w:t>זיך</w:t>
      </w:r>
      <w:proofErr w:type="spellEnd"/>
      <w:r>
        <w:rPr>
          <w:rtl/>
        </w:rPr>
        <w:t xml:space="preserve"> </w:t>
      </w:r>
      <w:proofErr w:type="spellStart"/>
      <w:r>
        <w:rPr>
          <w:rtl/>
        </w:rPr>
        <w:t>געשעהמט</w:t>
      </w:r>
      <w:proofErr w:type="spellEnd"/>
      <w:r>
        <w:rPr>
          <w:rtl/>
        </w:rPr>
        <w:t xml:space="preserve"> </w:t>
      </w:r>
      <w:proofErr w:type="spellStart"/>
      <w:r>
        <w:rPr>
          <w:rtl/>
        </w:rPr>
        <w:t>ארויסגעהן</w:t>
      </w:r>
      <w:proofErr w:type="spellEnd"/>
      <w:r>
        <w:rPr>
          <w:rtl/>
        </w:rPr>
        <w:t xml:space="preserve"> אין </w:t>
      </w:r>
      <w:proofErr w:type="spellStart"/>
      <w:r>
        <w:rPr>
          <w:rtl/>
        </w:rPr>
        <w:t>גאס</w:t>
      </w:r>
      <w:proofErr w:type="spellEnd"/>
      <w:r>
        <w:rPr>
          <w:rtl/>
        </w:rPr>
        <w:t xml:space="preserve"> </w:t>
      </w:r>
      <w:proofErr w:type="spellStart"/>
      <w:r>
        <w:rPr>
          <w:rtl/>
        </w:rPr>
        <w:t>ווען</w:t>
      </w:r>
      <w:proofErr w:type="spellEnd"/>
      <w:r>
        <w:rPr>
          <w:rtl/>
        </w:rPr>
        <w:t xml:space="preserve"> איך </w:t>
      </w:r>
      <w:proofErr w:type="spellStart"/>
      <w:r>
        <w:rPr>
          <w:rtl/>
        </w:rPr>
        <w:t>וואלט</w:t>
      </w:r>
      <w:proofErr w:type="spellEnd"/>
      <w:r>
        <w:rPr>
          <w:rtl/>
        </w:rPr>
        <w:t xml:space="preserve"> </w:t>
      </w:r>
      <w:proofErr w:type="spellStart"/>
      <w:r>
        <w:rPr>
          <w:rtl/>
        </w:rPr>
        <w:t>אנגענומען</w:t>
      </w:r>
      <w:proofErr w:type="spellEnd"/>
      <w:r>
        <w:rPr>
          <w:rtl/>
        </w:rPr>
        <w:t xml:space="preserve"> א טובה פון א בשר ודם [הייתי מתבייש לצאת לרחוב אילו קיבלתי טובה מבשר ודם]”.</w:t>
      </w:r>
    </w:p>
    <w:p w14:paraId="3182C2D4" w14:textId="77777777" w:rsidR="00AB3647" w:rsidRDefault="00000000" w:rsidP="007923E9">
      <w:pPr>
        <w:spacing w:after="120" w:line="276" w:lineRule="auto"/>
        <w:ind w:firstLine="283"/>
        <w:jc w:val="both"/>
      </w:pPr>
      <w:r>
        <w:rPr>
          <w:rtl/>
        </w:rPr>
        <w:lastRenderedPageBreak/>
        <w:t xml:space="preserve">אגב המחשבות העוברות </w:t>
      </w:r>
      <w:proofErr w:type="spellStart"/>
      <w:r>
        <w:rPr>
          <w:rtl/>
        </w:rPr>
        <w:t>בלבו</w:t>
      </w:r>
      <w:proofErr w:type="spellEnd"/>
      <w:r>
        <w:rPr>
          <w:rtl/>
        </w:rPr>
        <w:t xml:space="preserve"> של נדבן לפני התרומה ואחריה, סיפר אבי את המעשה הבא</w:t>
      </w:r>
      <w:bookmarkStart w:id="5791" w:name="_fnr4418"/>
      <w:bookmarkStart w:id="5792" w:name="pr_f_4301"/>
      <w:r>
        <w:rPr>
          <w:vertAlign w:val="superscript"/>
          <w:rtl/>
        </w:rPr>
        <w:footnoteReference w:id="4428" w:customMarkFollows="0"/>
      </w:r>
      <w:bookmarkEnd w:id="5791"/>
      <w:bookmarkEnd w:id="5792"/>
      <w:r>
        <w:rPr>
          <w:rtl/>
        </w:rPr>
        <w:t xml:space="preserve"> על ר׳ יונה אבן, עשיר </w:t>
      </w:r>
      <w:proofErr w:type="spellStart"/>
      <w:r>
        <w:rPr>
          <w:rtl/>
        </w:rPr>
        <w:t>בסלוצק</w:t>
      </w:r>
      <w:proofErr w:type="spellEnd"/>
      <w:r>
        <w:rPr>
          <w:rtl/>
        </w:rPr>
        <w:t xml:space="preserve"> בימי ר׳ </w:t>
      </w:r>
      <w:proofErr w:type="spellStart"/>
      <w:r>
        <w:rPr>
          <w:rtl/>
        </w:rPr>
        <w:t>יוסל׳ה</w:t>
      </w:r>
      <w:proofErr w:type="spellEnd"/>
      <w:r>
        <w:rPr>
          <w:rtl/>
        </w:rPr>
        <w:t xml:space="preserve"> </w:t>
      </w:r>
      <w:proofErr w:type="spellStart"/>
      <w:r>
        <w:rPr>
          <w:rtl/>
        </w:rPr>
        <w:t>פיימר</w:t>
      </w:r>
      <w:bookmarkStart w:id="5793" w:name="_fnr4419"/>
      <w:proofErr w:type="spellEnd"/>
      <w:r>
        <w:rPr>
          <w:vertAlign w:val="superscript"/>
          <w:rtl/>
        </w:rPr>
        <w:footnoteReference w:id="4429" w:customMarkFollows="0"/>
      </w:r>
      <w:bookmarkEnd w:id="5793"/>
      <w:r>
        <w:rPr>
          <w:rtl/>
        </w:rPr>
        <w:t xml:space="preserve">. אבי שמע אותו מפי ר׳ </w:t>
      </w:r>
      <w:proofErr w:type="spellStart"/>
      <w:r>
        <w:rPr>
          <w:rtl/>
        </w:rPr>
        <w:t>אברהם־דובער</w:t>
      </w:r>
      <w:proofErr w:type="spellEnd"/>
      <w:r>
        <w:rPr>
          <w:rtl/>
        </w:rPr>
        <w:t xml:space="preserve"> </w:t>
      </w:r>
      <w:proofErr w:type="spellStart"/>
      <w:r>
        <w:rPr>
          <w:rtl/>
        </w:rPr>
        <w:t>כהנא־שפירא</w:t>
      </w:r>
      <w:proofErr w:type="spellEnd"/>
      <w:r>
        <w:rPr>
          <w:rtl/>
        </w:rPr>
        <w:t xml:space="preserve">, רבה של קובנה, והוא שמעו מאביו ר׳ </w:t>
      </w:r>
      <w:proofErr w:type="spellStart"/>
      <w:r>
        <w:rPr>
          <w:rtl/>
        </w:rPr>
        <w:t>זלמן־סנדר</w:t>
      </w:r>
      <w:proofErr w:type="spellEnd"/>
      <w:r>
        <w:rPr>
          <w:rtl/>
        </w:rPr>
        <w:t>.</w:t>
      </w:r>
    </w:p>
    <w:p w14:paraId="007900BB" w14:textId="77777777" w:rsidR="00AB3647" w:rsidRDefault="00000000" w:rsidP="007923E9">
      <w:pPr>
        <w:spacing w:after="120" w:line="276" w:lineRule="auto"/>
        <w:ind w:firstLine="283"/>
        <w:jc w:val="both"/>
      </w:pPr>
      <w:r>
        <w:rPr>
          <w:rtl/>
        </w:rPr>
        <w:t xml:space="preserve">“כשר׳ </w:t>
      </w:r>
      <w:proofErr w:type="spellStart"/>
      <w:r>
        <w:rPr>
          <w:rtl/>
        </w:rPr>
        <w:t>יוסל׳ה</w:t>
      </w:r>
      <w:proofErr w:type="spellEnd"/>
      <w:r>
        <w:rPr>
          <w:rtl/>
        </w:rPr>
        <w:t xml:space="preserve">, תלמידו המובהק של ר׳ חיים </w:t>
      </w:r>
      <w:proofErr w:type="spellStart"/>
      <w:r>
        <w:rPr>
          <w:rtl/>
        </w:rPr>
        <w:t>מוולוז׳ין</w:t>
      </w:r>
      <w:proofErr w:type="spellEnd"/>
      <w:r>
        <w:rPr>
          <w:rtl/>
        </w:rPr>
        <w:t xml:space="preserve">, נתמנה לרבה של </w:t>
      </w:r>
      <w:proofErr w:type="spellStart"/>
      <w:r>
        <w:rPr>
          <w:rtl/>
        </w:rPr>
        <w:t>סלוצק</w:t>
      </w:r>
      <w:proofErr w:type="spellEnd"/>
      <w:r>
        <w:rPr>
          <w:rtl/>
        </w:rPr>
        <w:t xml:space="preserve">, התאספו בחורים בעיר ללמוד אצלו. כל אימת שראה שתלמיד זקוק לזוג נעליים חדש או לפריט לבוש, היה ר׳ </w:t>
      </w:r>
      <w:proofErr w:type="spellStart"/>
      <w:r>
        <w:rPr>
          <w:rtl/>
        </w:rPr>
        <w:t>יוסל׳ה</w:t>
      </w:r>
      <w:proofErr w:type="spellEnd"/>
      <w:r>
        <w:rPr>
          <w:rtl/>
        </w:rPr>
        <w:t xml:space="preserve"> שולחו לאחד הסנדלרים או החייטים עם פתק שבו התחייב לשלם. עם הזמן הצטברו פתקי הרב, והחוב הכולל הגיע ל־1,000 רובל, סכום גדול דיו לרושש את העיירה. איש מבעלי המלאכה לא העז לגשת אל הרב ולבקש תשלום, אלא נועדו עם הפרנס. הוחלט שאין ברירה אלא לערוך מגבית בכל העיר כדי לכסות את החוב – ולבקש מהרב שלא לשלוח עוד תלמידים אל בעלי המלאכה. אך לא היה קל לאסוף 1,000 רובל </w:t>
      </w:r>
      <w:proofErr w:type="spellStart"/>
      <w:r>
        <w:rPr>
          <w:rtl/>
        </w:rPr>
        <w:t>בסלוצק</w:t>
      </w:r>
      <w:proofErr w:type="spellEnd"/>
      <w:r>
        <w:rPr>
          <w:rtl/>
        </w:rPr>
        <w:t xml:space="preserve">, וקבעו שאם יצליחו להביא את הנדבן ר׳ יונה אבן לפתוח את המגבית בתרומה של 200 רובל, יוכלו לפנות לשאר בני העיר לקבלת היתרה. אלא שכדי לבקש מר׳ יונה את תרומתו היה על הפרנס לבקרו עם ר׳ </w:t>
      </w:r>
      <w:proofErr w:type="spellStart"/>
      <w:r>
        <w:rPr>
          <w:rtl/>
        </w:rPr>
        <w:t>יוסל׳ה</w:t>
      </w:r>
      <w:proofErr w:type="spellEnd"/>
      <w:r>
        <w:rPr>
          <w:rtl/>
        </w:rPr>
        <w:t>! כשפתחה אשת ר׳ יונה את הדלת לאורחים הנכבדים, אמרה להם שבעלה במיטה, אך הם יכולים להיכנס בכל זאת. הם נכנסו לחדר השינה</w:t>
      </w:r>
      <w:bookmarkStart w:id="5794" w:name="_fnr4420"/>
      <w:r>
        <w:rPr>
          <w:vertAlign w:val="superscript"/>
          <w:rtl/>
        </w:rPr>
        <w:footnoteReference w:id="4430" w:customMarkFollows="0"/>
      </w:r>
      <w:bookmarkEnd w:id="5794"/>
      <w:r>
        <w:rPr>
          <w:rtl/>
        </w:rPr>
        <w:t xml:space="preserve">, ור׳ </w:t>
      </w:r>
      <w:proofErr w:type="spellStart"/>
      <w:r>
        <w:rPr>
          <w:rtl/>
        </w:rPr>
        <w:t>יוסל׳ה</w:t>
      </w:r>
      <w:proofErr w:type="spellEnd"/>
      <w:r>
        <w:rPr>
          <w:rtl/>
        </w:rPr>
        <w:t xml:space="preserve">, שסבר שר׳ יונה ודאי חולה, אם הלך לישון באמצע היום, איחל לו רפואה שלמה. אולם המארח השיב: ‘אינני חולה, ברוך השם; רק גברה עליי עייפות מעמלי הקשה בעסקיי, ונמנמתי מעט’. ר׳ </w:t>
      </w:r>
      <w:proofErr w:type="spellStart"/>
      <w:r>
        <w:rPr>
          <w:rtl/>
        </w:rPr>
        <w:t>יוסל׳ה</w:t>
      </w:r>
      <w:proofErr w:type="spellEnd"/>
      <w:r>
        <w:rPr>
          <w:rtl/>
        </w:rPr>
        <w:t xml:space="preserve"> סיפר אז </w:t>
      </w:r>
      <w:proofErr w:type="spellStart"/>
      <w:r>
        <w:rPr>
          <w:rtl/>
        </w:rPr>
        <w:t>לר</w:t>
      </w:r>
      <w:proofErr w:type="spellEnd"/>
      <w:r>
        <w:rPr>
          <w:rtl/>
        </w:rPr>
        <w:t xml:space="preserve">׳ יונה את מטרת ביקורם, הראה לו את כל שטרי החוב שהגיעו לפירעון, וביקש שיתרום 200 רובל. תגובתו הראשונה של ר׳ יונה הייתה שביכולתו לתת רק מאה רובל, וכשהוציא את הכסף מתחת למזרנו הוסיף: ‘ריבונו של עולם הוא עדי שאינני יכול לתת יותר’. אך ר׳ </w:t>
      </w:r>
      <w:proofErr w:type="spellStart"/>
      <w:r>
        <w:rPr>
          <w:rtl/>
        </w:rPr>
        <w:t>יוסל׳ה</w:t>
      </w:r>
      <w:proofErr w:type="spellEnd"/>
      <w:r>
        <w:rPr>
          <w:rtl/>
        </w:rPr>
        <w:t xml:space="preserve"> עמד על שלו והצהיר שלא ייקח פחות ממאתיים, והתחיל לצאת מבית אבן. כשראה עד כמה הרב נחוש, אמר ר׳ יונה שאינו יכול להניח </w:t>
      </w:r>
      <w:proofErr w:type="spellStart"/>
      <w:r>
        <w:rPr>
          <w:rtl/>
        </w:rPr>
        <w:t>לר</w:t>
      </w:r>
      <w:proofErr w:type="spellEnd"/>
      <w:r>
        <w:rPr>
          <w:rtl/>
        </w:rPr>
        <w:t xml:space="preserve">׳ </w:t>
      </w:r>
      <w:proofErr w:type="spellStart"/>
      <w:r>
        <w:rPr>
          <w:rtl/>
        </w:rPr>
        <w:t>יוסל׳ה</w:t>
      </w:r>
      <w:proofErr w:type="spellEnd"/>
      <w:r>
        <w:rPr>
          <w:rtl/>
        </w:rPr>
        <w:t xml:space="preserve"> לצאת בלי תרומה; אז נכנע בעל העסק, הוציא את מלוא 200 הרובל ונתנם לרב.</w:t>
      </w:r>
    </w:p>
    <w:p w14:paraId="3D1DC4E0" w14:textId="77777777" w:rsidR="00AB3647" w:rsidRDefault="00000000" w:rsidP="007923E9">
      <w:pPr>
        <w:spacing w:after="120" w:line="276" w:lineRule="auto"/>
        <w:ind w:firstLine="283"/>
        <w:jc w:val="both"/>
      </w:pPr>
      <w:r>
        <w:rPr>
          <w:rtl/>
        </w:rPr>
        <w:t xml:space="preserve">“כשהגיע ר׳ </w:t>
      </w:r>
      <w:proofErr w:type="spellStart"/>
      <w:r>
        <w:rPr>
          <w:rtl/>
        </w:rPr>
        <w:t>יוסל׳ה</w:t>
      </w:r>
      <w:proofErr w:type="spellEnd"/>
      <w:r>
        <w:rPr>
          <w:rtl/>
        </w:rPr>
        <w:t xml:space="preserve"> לביתו”, המשיך אבי, “חשב על הדבר והצטער. ‘מה ההבדל בין שודד המחזיק אקדח לביני?’ הרהר. ‘מה עשיתי? לחצתי על ר׳ יונה להוציא כסף שלא היה יכול להרשות לעצמו לתת!’ הוא החליט שמיד לאחר התפילה למחרת בבוקר ישיב </w:t>
      </w:r>
      <w:proofErr w:type="spellStart"/>
      <w:r>
        <w:rPr>
          <w:rtl/>
        </w:rPr>
        <w:t>לר</w:t>
      </w:r>
      <w:proofErr w:type="spellEnd"/>
      <w:r>
        <w:rPr>
          <w:rtl/>
        </w:rPr>
        <w:t xml:space="preserve">׳ יונה את מאה הרובל הנוספים. בבוקר אמרה לו הרבנית: ‘שתה תחילה כוס </w:t>
      </w:r>
      <w:proofErr w:type="spellStart"/>
      <w:r>
        <w:rPr>
          <w:rtl/>
        </w:rPr>
        <w:t>ציקוריה</w:t>
      </w:r>
      <w:proofErr w:type="spellEnd"/>
      <w:r>
        <w:rPr>
          <w:rtl/>
        </w:rPr>
        <w:t xml:space="preserve"> [עולש, תחליף זול לקפה], ואחר כך תלך’. כששתה את הקפה הביט מבעד לחלון חדרו וראה את ר׳ יונה אבן הולך לעבר ביתו של הרב. הרב רץ החוצה לקבל את פניו במילים: ‘ר׳ יונה, האמן לי, הייתי בדרכי </w:t>
      </w:r>
      <w:r>
        <w:rPr>
          <w:rtl/>
        </w:rPr>
        <w:lastRenderedPageBreak/>
        <w:t>לביתך להחזיר לך את הכסף שהוצאתי ממך בלחץ, אך אשתי הציעה שאשתה תחילה כוס קפה’. ר׳ יונה השיב: ‘חס ושלום! לא באתי לבקש את הכסף בחזרה. באתי להודיע לרב שאף שהקב״ה היה עדי שלא יכולתי לתת את התרומה, לאחר שנתתיה שמחתי שנתתי’”</w:t>
      </w:r>
      <w:bookmarkStart w:id="5795" w:name="_fnr4421"/>
      <w:bookmarkStart w:id="5796" w:name="pr_f_4304"/>
      <w:r>
        <w:rPr>
          <w:vertAlign w:val="superscript"/>
          <w:rtl/>
        </w:rPr>
        <w:footnoteReference w:id="4431" w:customMarkFollows="0"/>
      </w:r>
      <w:bookmarkEnd w:id="5795"/>
      <w:bookmarkEnd w:id="5796"/>
      <w:r>
        <w:rPr>
          <w:rtl/>
        </w:rPr>
        <w:t>.</w:t>
      </w:r>
    </w:p>
    <w:p w14:paraId="3A168F08" w14:textId="77777777" w:rsidR="00AB3647" w:rsidRDefault="00000000" w:rsidP="007923E9">
      <w:pPr>
        <w:spacing w:after="120" w:line="276" w:lineRule="auto"/>
        <w:ind w:firstLine="283"/>
        <w:jc w:val="both"/>
      </w:pPr>
      <w:proofErr w:type="spellStart"/>
      <w:r>
        <w:rPr>
          <w:rtl/>
        </w:rPr>
        <w:t>ב“החפץ</w:t>
      </w:r>
      <w:proofErr w:type="spellEnd"/>
      <w:r>
        <w:rPr>
          <w:rtl/>
        </w:rPr>
        <w:t xml:space="preserve"> חיים (ישר)”</w:t>
      </w:r>
      <w:bookmarkStart w:id="5797" w:name="_fnr4422"/>
      <w:r>
        <w:rPr>
          <w:vertAlign w:val="superscript"/>
          <w:rtl/>
        </w:rPr>
        <w:footnoteReference w:id="4432" w:customMarkFollows="0"/>
      </w:r>
      <w:bookmarkEnd w:id="5797"/>
      <w:r>
        <w:rPr>
          <w:rtl/>
        </w:rPr>
        <w:t xml:space="preserve"> מביא בנו של </w:t>
      </w:r>
      <w:proofErr w:type="spellStart"/>
      <w:r>
        <w:rPr>
          <w:rtl/>
        </w:rPr>
        <w:t>החפץ־חיים</w:t>
      </w:r>
      <w:proofErr w:type="spellEnd"/>
      <w:r>
        <w:rPr>
          <w:rtl/>
        </w:rPr>
        <w:t xml:space="preserve"> בשם ר׳ </w:t>
      </w:r>
      <w:proofErr w:type="spellStart"/>
      <w:r>
        <w:rPr>
          <w:rtl/>
        </w:rPr>
        <w:t>מרדכי־פסח</w:t>
      </w:r>
      <w:proofErr w:type="spellEnd"/>
      <w:r>
        <w:rPr>
          <w:rtl/>
        </w:rPr>
        <w:t xml:space="preserve"> </w:t>
      </w:r>
      <w:proofErr w:type="spellStart"/>
      <w:r>
        <w:rPr>
          <w:rtl/>
        </w:rPr>
        <w:t>פודרבסקי</w:t>
      </w:r>
      <w:proofErr w:type="spellEnd"/>
      <w:r>
        <w:rPr>
          <w:rtl/>
        </w:rPr>
        <w:t xml:space="preserve"> “</w:t>
      </w:r>
      <w:proofErr w:type="spellStart"/>
      <w:r>
        <w:rPr>
          <w:rtl/>
        </w:rPr>
        <w:t>מקוברין</w:t>
      </w:r>
      <w:proofErr w:type="spellEnd"/>
      <w:r>
        <w:rPr>
          <w:rtl/>
        </w:rPr>
        <w:t xml:space="preserve">, ששימש את אביו כמה שנים לפני פטירתו ורשם את כל השיחות האלה בספר מיוחד”, </w:t>
      </w:r>
      <w:proofErr w:type="spellStart"/>
      <w:r>
        <w:rPr>
          <w:rtl/>
        </w:rPr>
        <w:t>שהחפץ־חיים</w:t>
      </w:r>
      <w:proofErr w:type="spellEnd"/>
      <w:r>
        <w:rPr>
          <w:rtl/>
        </w:rPr>
        <w:t xml:space="preserve"> פירש כך את המילים הנראות מיותרות [המודגשות כאן]</w:t>
      </w:r>
      <w:bookmarkStart w:id="5798" w:name="_fnr4423"/>
      <w:r>
        <w:rPr>
          <w:vertAlign w:val="superscript"/>
          <w:rtl/>
        </w:rPr>
        <w:footnoteReference w:id="4433" w:customMarkFollows="0"/>
      </w:r>
      <w:bookmarkEnd w:id="5798"/>
      <w:r>
        <w:rPr>
          <w:rtl/>
        </w:rPr>
        <w:t xml:space="preserve">, “נתון </w:t>
      </w:r>
      <w:proofErr w:type="spellStart"/>
      <w:r>
        <w:rPr>
          <w:rtl/>
        </w:rPr>
        <w:t>תתן</w:t>
      </w:r>
      <w:proofErr w:type="spellEnd"/>
      <w:r>
        <w:rPr>
          <w:rtl/>
        </w:rPr>
        <w:t xml:space="preserve"> לו ולא ירע לבבך </w:t>
      </w:r>
      <w:r>
        <w:rPr>
          <w:b/>
          <w:bCs/>
          <w:rtl/>
        </w:rPr>
        <w:t>בתתך לו</w:t>
      </w:r>
      <w:r>
        <w:rPr>
          <w:rtl/>
        </w:rPr>
        <w:t>”: נתינת צדקה קשה במקצת, ולעיתים אינה נעשית בלב שלם. אבל אחרי שנתן אדם את הצדקה הוא מרוצה שעשה כן, שהרי ממילא אין הכסף עוד בידו. לתורם זה אומרת התורה: “אל ירע לבבך על הנתינה – לא רק לאחריה, אלא אף בשעת הנתינה”.</w:t>
      </w:r>
    </w:p>
    <w:p w14:paraId="0E79FA0E" w14:textId="77777777" w:rsidR="00AB3647" w:rsidRDefault="00000000" w:rsidP="007923E9">
      <w:pPr>
        <w:spacing w:after="120" w:line="276" w:lineRule="auto"/>
        <w:ind w:firstLine="283"/>
        <w:jc w:val="both"/>
      </w:pPr>
      <w:r>
        <w:rPr>
          <w:rtl/>
        </w:rPr>
        <w:t xml:space="preserve">יש לדון אם ביקורת </w:t>
      </w:r>
      <w:proofErr w:type="spellStart"/>
      <w:r>
        <w:rPr>
          <w:rtl/>
        </w:rPr>
        <w:t>החפץ־חיים</w:t>
      </w:r>
      <w:proofErr w:type="spellEnd"/>
      <w:r>
        <w:rPr>
          <w:rtl/>
        </w:rPr>
        <w:t xml:space="preserve"> שייכת במקרה של ר׳ יונה אבן: הרי יכול היה לקבל את כספו בחזרה מר׳ </w:t>
      </w:r>
      <w:proofErr w:type="spellStart"/>
      <w:r>
        <w:rPr>
          <w:rtl/>
        </w:rPr>
        <w:t>יוסל׳ה</w:t>
      </w:r>
      <w:proofErr w:type="spellEnd"/>
      <w:r>
        <w:rPr>
          <w:rtl/>
        </w:rPr>
        <w:t xml:space="preserve">, ובכל זאת לא נתן </w:t>
      </w:r>
      <w:proofErr w:type="spellStart"/>
      <w:r>
        <w:rPr>
          <w:rtl/>
        </w:rPr>
        <w:t>ללבו</w:t>
      </w:r>
      <w:proofErr w:type="spellEnd"/>
      <w:r>
        <w:rPr>
          <w:rtl/>
        </w:rPr>
        <w:t xml:space="preserve"> להצטער על נתינתו!</w:t>
      </w:r>
    </w:p>
    <w:p w14:paraId="787A9DE2" w14:textId="77777777" w:rsidR="00AB3647" w:rsidRDefault="00000000" w:rsidP="007923E9">
      <w:pPr>
        <w:spacing w:after="120" w:line="276" w:lineRule="auto"/>
        <w:ind w:firstLine="283"/>
        <w:jc w:val="both"/>
      </w:pPr>
      <w:r>
        <w:rPr>
          <w:rtl/>
        </w:rPr>
        <w:t xml:space="preserve">“פנקס </w:t>
      </w:r>
      <w:proofErr w:type="spellStart"/>
      <w:r>
        <w:rPr>
          <w:rtl/>
        </w:rPr>
        <w:t>סלוצק</w:t>
      </w:r>
      <w:proofErr w:type="spellEnd"/>
      <w:r>
        <w:rPr>
          <w:rtl/>
        </w:rPr>
        <w:t>”</w:t>
      </w:r>
      <w:bookmarkStart w:id="5799" w:name="_fnr4424"/>
      <w:r>
        <w:rPr>
          <w:vertAlign w:val="superscript"/>
          <w:rtl/>
        </w:rPr>
        <w:footnoteReference w:id="4434" w:customMarkFollows="0"/>
      </w:r>
      <w:bookmarkEnd w:id="5799"/>
      <w:r>
        <w:rPr>
          <w:rtl/>
        </w:rPr>
        <w:t xml:space="preserve"> מספר על בן למשפחת אבן מן הדור הבא, בנימין, שהיה ראש הקהילה כשכיהן ר׳ יוסף־דב </w:t>
      </w:r>
      <w:proofErr w:type="spellStart"/>
      <w:r>
        <w:rPr>
          <w:rtl/>
        </w:rPr>
        <w:t>סולובייצ׳יק</w:t>
      </w:r>
      <w:proofErr w:type="spellEnd"/>
      <w:r>
        <w:rPr>
          <w:rtl/>
        </w:rPr>
        <w:t xml:space="preserve"> ברבנות העיר (לפי “הראשון לשושלת </w:t>
      </w:r>
      <w:proofErr w:type="spellStart"/>
      <w:r>
        <w:rPr>
          <w:rtl/>
        </w:rPr>
        <w:t>בריסק</w:t>
      </w:r>
      <w:proofErr w:type="spellEnd"/>
      <w:r>
        <w:rPr>
          <w:rtl/>
        </w:rPr>
        <w:t>”</w:t>
      </w:r>
      <w:bookmarkStart w:id="5800" w:name="_fnr4425"/>
      <w:r>
        <w:rPr>
          <w:vertAlign w:val="superscript"/>
          <w:rtl/>
        </w:rPr>
        <w:footnoteReference w:id="4435" w:customMarkFollows="0"/>
      </w:r>
      <w:bookmarkEnd w:id="5800"/>
      <w:r>
        <w:rPr>
          <w:rtl/>
        </w:rPr>
        <w:t xml:space="preserve">). נאמר עליו שהיה “השלישי בעושרו </w:t>
      </w:r>
      <w:proofErr w:type="spellStart"/>
      <w:r>
        <w:rPr>
          <w:rtl/>
        </w:rPr>
        <w:t>בסלוצק</w:t>
      </w:r>
      <w:proofErr w:type="spellEnd"/>
      <w:r>
        <w:rPr>
          <w:rtl/>
        </w:rPr>
        <w:t xml:space="preserve"> ונודע בקמצנותו לכל ילד ברחוב”.</w:t>
      </w:r>
    </w:p>
    <w:p w14:paraId="1307ED27" w14:textId="77777777" w:rsidR="00AB3647" w:rsidRDefault="00000000" w:rsidP="007923E9">
      <w:pPr>
        <w:spacing w:after="120" w:line="276" w:lineRule="auto"/>
        <w:ind w:firstLine="283"/>
        <w:jc w:val="both"/>
      </w:pPr>
      <w:r>
        <w:rPr>
          <w:rtl/>
        </w:rPr>
        <w:t>מסופר עליו המעשה הבא, שאין לו יסוד ודאי</w:t>
      </w:r>
      <w:bookmarkStart w:id="5801" w:name="_fnr4426"/>
      <w:r>
        <w:rPr>
          <w:vertAlign w:val="superscript"/>
          <w:rtl/>
        </w:rPr>
        <w:footnoteReference w:id="4436" w:customMarkFollows="0"/>
      </w:r>
      <w:bookmarkEnd w:id="5801"/>
      <w:r>
        <w:rPr>
          <w:rtl/>
        </w:rPr>
        <w:t xml:space="preserve">: צעיר ממינסק היה פזרן גדול, ומשפחתו החליטה לשלוח אותו </w:t>
      </w:r>
      <w:proofErr w:type="spellStart"/>
      <w:r>
        <w:rPr>
          <w:rtl/>
        </w:rPr>
        <w:t>לסלוצק</w:t>
      </w:r>
      <w:proofErr w:type="spellEnd"/>
      <w:r>
        <w:rPr>
          <w:rtl/>
        </w:rPr>
        <w:t xml:space="preserve"> ללמוד דרכי חסכנות מר׳ בנימין אבן. כשהוזמן לסעודת שבת אצל משפחת אבן, ראה תחילה שמארחו מגיש לסעודה לחם פומפרניקל במקום החלות היקרות יותר, אבל אמר </w:t>
      </w:r>
      <w:proofErr w:type="spellStart"/>
      <w:r>
        <w:rPr>
          <w:rtl/>
        </w:rPr>
        <w:t>בלבו</w:t>
      </w:r>
      <w:proofErr w:type="spellEnd"/>
      <w:r>
        <w:rPr>
          <w:rtl/>
        </w:rPr>
        <w:t xml:space="preserve">: “בשביל שיעור זה בקמצנות לא הייתי צריך לנסוע עד </w:t>
      </w:r>
      <w:proofErr w:type="spellStart"/>
      <w:r>
        <w:rPr>
          <w:rtl/>
        </w:rPr>
        <w:t>סלוצק</w:t>
      </w:r>
      <w:proofErr w:type="spellEnd"/>
      <w:r>
        <w:rPr>
          <w:rtl/>
        </w:rPr>
        <w:t xml:space="preserve">”. אחר כך ראה שמגישים למשפחה הרינג, מזונם של העניים, במקום הגפילטע פיש הרגיל, ושוב חשב </w:t>
      </w:r>
      <w:proofErr w:type="spellStart"/>
      <w:r>
        <w:rPr>
          <w:rtl/>
        </w:rPr>
        <w:t>בלבו</w:t>
      </w:r>
      <w:proofErr w:type="spellEnd"/>
      <w:r>
        <w:rPr>
          <w:rtl/>
        </w:rPr>
        <w:t xml:space="preserve">: “וכי כדי ללמוד תושייה מעין זו הייתי צריך לנסוע?!” כשהגישו את החמין, הוציאה בעלת הבית את </w:t>
      </w:r>
      <w:proofErr w:type="spellStart"/>
      <w:r>
        <w:rPr>
          <w:rtl/>
        </w:rPr>
        <w:t>ההעלדזעלע</w:t>
      </w:r>
      <w:proofErr w:type="spellEnd"/>
      <w:r>
        <w:rPr>
          <w:rtl/>
        </w:rPr>
        <w:t xml:space="preserve"> [עור צוואר התרנגולת הממולא] וחתכה אותו לבני המשפחה ולאורח. אחר כך הניחה בצד את החוט שבו נתפרה </w:t>
      </w:r>
      <w:proofErr w:type="spellStart"/>
      <w:r>
        <w:rPr>
          <w:rtl/>
        </w:rPr>
        <w:t>ההעלדזעלע</w:t>
      </w:r>
      <w:proofErr w:type="spellEnd"/>
      <w:r>
        <w:rPr>
          <w:rtl/>
        </w:rPr>
        <w:t xml:space="preserve">, ותלתה אותו על וו בחדר האוכל. כששאל האורח לפשר הדבר, הסביר ר׳ בנימין: “הרי נוכל להשתמש בחוט שוב </w:t>
      </w:r>
      <w:proofErr w:type="spellStart"/>
      <w:r>
        <w:rPr>
          <w:rtl/>
        </w:rPr>
        <w:t>בהעלדזעלע</w:t>
      </w:r>
      <w:proofErr w:type="spellEnd"/>
      <w:r>
        <w:rPr>
          <w:rtl/>
        </w:rPr>
        <w:t xml:space="preserve"> של השבוע הבא, הלא כן?” אז הבין האורח ממינסק את תכלית נסיעתו </w:t>
      </w:r>
      <w:proofErr w:type="spellStart"/>
      <w:r>
        <w:rPr>
          <w:rtl/>
        </w:rPr>
        <w:t>לסלוצק</w:t>
      </w:r>
      <w:proofErr w:type="spellEnd"/>
      <w:r>
        <w:rPr>
          <w:rtl/>
        </w:rPr>
        <w:t>: הראו לו את שיא החסכנות!</w:t>
      </w:r>
    </w:p>
    <w:p w14:paraId="3221A2FF" w14:textId="77777777" w:rsidR="00AB3647" w:rsidRDefault="00000000" w:rsidP="007923E9">
      <w:pPr>
        <w:spacing w:after="120" w:line="276" w:lineRule="auto"/>
        <w:ind w:firstLine="283"/>
        <w:jc w:val="both"/>
      </w:pPr>
      <w:r>
        <w:rPr>
          <w:rtl/>
        </w:rPr>
        <w:lastRenderedPageBreak/>
        <w:t xml:space="preserve">ר׳ ישראל </w:t>
      </w:r>
      <w:proofErr w:type="spellStart"/>
      <w:r>
        <w:rPr>
          <w:rtl/>
        </w:rPr>
        <w:t>שורין</w:t>
      </w:r>
      <w:proofErr w:type="spellEnd"/>
      <w:r>
        <w:rPr>
          <w:rtl/>
        </w:rPr>
        <w:t xml:space="preserve"> הוסיף</w:t>
      </w:r>
      <w:bookmarkStart w:id="5802" w:name="_fnr4427"/>
      <w:r>
        <w:rPr>
          <w:vertAlign w:val="superscript"/>
          <w:rtl/>
        </w:rPr>
        <w:footnoteReference w:id="4437" w:customMarkFollows="0"/>
      </w:r>
      <w:bookmarkEnd w:id="5802"/>
      <w:r>
        <w:rPr>
          <w:rtl/>
        </w:rPr>
        <w:t xml:space="preserve"> על מעשה זה: בליטא אמרו שלבסוף השתמשה אשת אבן בחוט כדי לתפור את תפר מכנסיו של ר׳ בנימין, והוא בא אל הרב בשאלה הלכתית: האם מותר לו ללבוש את המכנסיים </w:t>
      </w:r>
      <w:proofErr w:type="spellStart"/>
      <w:r>
        <w:rPr>
          <w:rtl/>
        </w:rPr>
        <w:t>ה“בשריים</w:t>
      </w:r>
      <w:proofErr w:type="spellEnd"/>
      <w:r>
        <w:rPr>
          <w:rtl/>
        </w:rPr>
        <w:t>” בתשעת הימים, שבהם בשר אסור!</w:t>
      </w:r>
    </w:p>
    <w:p w14:paraId="4F76E275" w14:textId="77777777" w:rsidR="00AB3647" w:rsidRDefault="00000000" w:rsidP="007923E9">
      <w:pPr>
        <w:pStyle w:val="4"/>
        <w:spacing w:line="276" w:lineRule="auto"/>
      </w:pPr>
      <w:r>
        <w:t>· הפסקה השנייה ·</w:t>
      </w:r>
    </w:p>
    <w:p w14:paraId="1EDA89D5" w14:textId="77777777" w:rsidR="00AB3647" w:rsidRDefault="00000000" w:rsidP="007923E9">
      <w:pPr>
        <w:pStyle w:val="5"/>
        <w:spacing w:line="276" w:lineRule="auto"/>
      </w:pPr>
      <w:r>
        <w:rPr>
          <w:bCs/>
          <w:szCs w:val="26"/>
        </w:rPr>
        <w:t xml:space="preserve">ר׳ </w:t>
      </w:r>
      <w:proofErr w:type="spellStart"/>
      <w:r>
        <w:rPr>
          <w:bCs/>
          <w:szCs w:val="26"/>
        </w:rPr>
        <w:t>יוסל׳ה</w:t>
      </w:r>
      <w:proofErr w:type="spellEnd"/>
      <w:r>
        <w:rPr>
          <w:bCs/>
          <w:szCs w:val="26"/>
        </w:rPr>
        <w:t xml:space="preserve"> </w:t>
      </w:r>
      <w:proofErr w:type="spellStart"/>
      <w:r>
        <w:rPr>
          <w:bCs/>
          <w:szCs w:val="26"/>
        </w:rPr>
        <w:t>פיימר</w:t>
      </w:r>
      <w:proofErr w:type="spellEnd"/>
      <w:r>
        <w:rPr>
          <w:bCs/>
          <w:szCs w:val="26"/>
        </w:rPr>
        <w:t xml:space="preserve"> נמנע מהספד חברו </w:t>
      </w:r>
      <w:proofErr w:type="spellStart"/>
      <w:r>
        <w:rPr>
          <w:bCs/>
          <w:szCs w:val="26"/>
        </w:rPr>
        <w:t>מוולוז׳ין</w:t>
      </w:r>
      <w:proofErr w:type="spellEnd"/>
      <w:r>
        <w:rPr>
          <w:bCs/>
          <w:szCs w:val="26"/>
        </w:rPr>
        <w:t xml:space="preserve"> – ר׳ </w:t>
      </w:r>
      <w:proofErr w:type="spellStart"/>
      <w:r>
        <w:rPr>
          <w:bCs/>
          <w:szCs w:val="26"/>
        </w:rPr>
        <w:t>יוסל׳ה</w:t>
      </w:r>
      <w:proofErr w:type="spellEnd"/>
      <w:r>
        <w:rPr>
          <w:bCs/>
          <w:szCs w:val="26"/>
        </w:rPr>
        <w:t xml:space="preserve"> מלמד את ר׳ ישראל </w:t>
      </w:r>
      <w:proofErr w:type="spellStart"/>
      <w:r>
        <w:rPr>
          <w:bCs/>
          <w:szCs w:val="26"/>
        </w:rPr>
        <w:t>סלנטר</w:t>
      </w:r>
      <w:proofErr w:type="spellEnd"/>
      <w:r>
        <w:rPr>
          <w:bCs/>
          <w:szCs w:val="26"/>
        </w:rPr>
        <w:t xml:space="preserve"> – ר׳ </w:t>
      </w:r>
      <w:proofErr w:type="spellStart"/>
      <w:r>
        <w:rPr>
          <w:bCs/>
          <w:szCs w:val="26"/>
        </w:rPr>
        <w:t>משולם־דוד</w:t>
      </w:r>
      <w:proofErr w:type="spellEnd"/>
      <w:r>
        <w:rPr>
          <w:bCs/>
          <w:szCs w:val="26"/>
        </w:rPr>
        <w:t xml:space="preserve"> </w:t>
      </w:r>
      <w:proofErr w:type="spellStart"/>
      <w:r>
        <w:rPr>
          <w:bCs/>
          <w:szCs w:val="26"/>
        </w:rPr>
        <w:t>סולובייצ׳יק</w:t>
      </w:r>
      <w:proofErr w:type="spellEnd"/>
      <w:r>
        <w:rPr>
          <w:bCs/>
          <w:szCs w:val="26"/>
        </w:rPr>
        <w:t xml:space="preserve"> מפרש את דברי ר׳ </w:t>
      </w:r>
      <w:proofErr w:type="spellStart"/>
      <w:r>
        <w:rPr>
          <w:bCs/>
          <w:szCs w:val="26"/>
        </w:rPr>
        <w:t>דוד־טעביל</w:t>
      </w:r>
      <w:proofErr w:type="spellEnd"/>
      <w:r>
        <w:rPr>
          <w:bCs/>
          <w:szCs w:val="26"/>
        </w:rPr>
        <w:t xml:space="preserve"> על ר׳ </w:t>
      </w:r>
      <w:proofErr w:type="spellStart"/>
      <w:r>
        <w:rPr>
          <w:bCs/>
          <w:szCs w:val="26"/>
        </w:rPr>
        <w:t>איצל׳ה</w:t>
      </w:r>
      <w:proofErr w:type="spellEnd"/>
      <w:r>
        <w:rPr>
          <w:bCs/>
          <w:szCs w:val="26"/>
        </w:rPr>
        <w:t xml:space="preserve"> </w:t>
      </w:r>
      <w:proofErr w:type="spellStart"/>
      <w:r>
        <w:rPr>
          <w:bCs/>
          <w:szCs w:val="26"/>
        </w:rPr>
        <w:t>מוולוז׳ין</w:t>
      </w:r>
      <w:proofErr w:type="spellEnd"/>
      <w:r>
        <w:rPr>
          <w:bCs/>
          <w:szCs w:val="26"/>
        </w:rPr>
        <w:t xml:space="preserve"> – הלה נפטר </w:t>
      </w:r>
      <w:proofErr w:type="spellStart"/>
      <w:r>
        <w:rPr>
          <w:bCs/>
          <w:szCs w:val="26"/>
        </w:rPr>
        <w:t>באיווניץ</w:t>
      </w:r>
      <w:proofErr w:type="spellEnd"/>
      <w:r>
        <w:rPr>
          <w:bCs/>
          <w:szCs w:val="26"/>
        </w:rPr>
        <w:t xml:space="preserve"> ונקבר שם – </w:t>
      </w:r>
      <w:proofErr w:type="spellStart"/>
      <w:r>
        <w:rPr>
          <w:bCs/>
          <w:szCs w:val="26"/>
        </w:rPr>
        <w:t>אוטבוצק</w:t>
      </w:r>
      <w:proofErr w:type="spellEnd"/>
      <w:r>
        <w:rPr>
          <w:bCs/>
          <w:szCs w:val="26"/>
        </w:rPr>
        <w:t xml:space="preserve"> רוצה שר׳ חיים </w:t>
      </w:r>
      <w:proofErr w:type="spellStart"/>
      <w:r>
        <w:rPr>
          <w:bCs/>
          <w:szCs w:val="26"/>
        </w:rPr>
        <w:t>סולובייצ׳יק</w:t>
      </w:r>
      <w:proofErr w:type="spellEnd"/>
      <w:r>
        <w:rPr>
          <w:bCs/>
          <w:szCs w:val="26"/>
        </w:rPr>
        <w:t xml:space="preserve"> ייקבר בבית העלמין שלה</w:t>
      </w:r>
    </w:p>
    <w:p w14:paraId="40E6765D" w14:textId="77777777" w:rsidR="00AB3647" w:rsidRDefault="00000000" w:rsidP="007923E9">
      <w:pPr>
        <w:spacing w:after="120" w:line="276" w:lineRule="auto"/>
        <w:ind w:firstLine="283"/>
        <w:jc w:val="both"/>
      </w:pPr>
      <w:r>
        <w:rPr>
          <w:rtl/>
        </w:rPr>
        <w:t xml:space="preserve">כמו המעשה הקודם, גם המעשה הבא מלמד על מצפונו המעודן של ר׳ </w:t>
      </w:r>
      <w:proofErr w:type="spellStart"/>
      <w:r>
        <w:rPr>
          <w:rtl/>
        </w:rPr>
        <w:t>יוסל׳ה</w:t>
      </w:r>
      <w:proofErr w:type="spellEnd"/>
      <w:r>
        <w:rPr>
          <w:rtl/>
        </w:rPr>
        <w:t xml:space="preserve">. לצד המעשה מובא פירושו של ר׳ </w:t>
      </w:r>
      <w:proofErr w:type="spellStart"/>
      <w:r>
        <w:rPr>
          <w:rtl/>
        </w:rPr>
        <w:t>משולם־דוד</w:t>
      </w:r>
      <w:proofErr w:type="spellEnd"/>
      <w:r>
        <w:rPr>
          <w:rtl/>
        </w:rPr>
        <w:t xml:space="preserve"> </w:t>
      </w:r>
      <w:proofErr w:type="spellStart"/>
      <w:r>
        <w:rPr>
          <w:rtl/>
        </w:rPr>
        <w:t>סולובייצ׳יק</w:t>
      </w:r>
      <w:proofErr w:type="spellEnd"/>
      <w:r>
        <w:rPr>
          <w:rtl/>
        </w:rPr>
        <w:t xml:space="preserve"> לעיקריו. מאמר </w:t>
      </w:r>
      <w:proofErr w:type="spellStart"/>
      <w:r>
        <w:rPr>
          <w:rtl/>
        </w:rPr>
        <w:t>ב“פנקס</w:t>
      </w:r>
      <w:proofErr w:type="spellEnd"/>
      <w:r>
        <w:rPr>
          <w:rtl/>
        </w:rPr>
        <w:t xml:space="preserve"> </w:t>
      </w:r>
      <w:proofErr w:type="spellStart"/>
      <w:r>
        <w:rPr>
          <w:rtl/>
        </w:rPr>
        <w:t>סלוצק</w:t>
      </w:r>
      <w:proofErr w:type="spellEnd"/>
      <w:r>
        <w:rPr>
          <w:rtl/>
        </w:rPr>
        <w:t>”</w:t>
      </w:r>
      <w:bookmarkStart w:id="5803" w:name="_fnr4428"/>
      <w:r>
        <w:rPr>
          <w:vertAlign w:val="superscript"/>
          <w:rtl/>
        </w:rPr>
        <w:footnoteReference w:id="4438" w:customMarkFollows="0"/>
      </w:r>
      <w:bookmarkEnd w:id="5803"/>
      <w:r>
        <w:rPr>
          <w:rtl/>
        </w:rPr>
        <w:t xml:space="preserve">, שנכתב ללא ספק בידי נכדו של ר׳ </w:t>
      </w:r>
      <w:proofErr w:type="spellStart"/>
      <w:r>
        <w:rPr>
          <w:rtl/>
        </w:rPr>
        <w:t>יוסל׳ה</w:t>
      </w:r>
      <w:proofErr w:type="spellEnd"/>
      <w:r>
        <w:rPr>
          <w:rtl/>
        </w:rPr>
        <w:t xml:space="preserve">, ר׳ יוסף </w:t>
      </w:r>
      <w:proofErr w:type="spellStart"/>
      <w:r>
        <w:rPr>
          <w:rtl/>
        </w:rPr>
        <w:t>פיימר</w:t>
      </w:r>
      <w:proofErr w:type="spellEnd"/>
      <w:r>
        <w:rPr>
          <w:rtl/>
        </w:rPr>
        <w:t xml:space="preserve">, כולל מעשה ששמע המחבר – כמצוין בסוגריים בסופו – “מפי ידידי הישיש הנכבד ה׳ דוד נ״י </w:t>
      </w:r>
      <w:proofErr w:type="spellStart"/>
      <w:r>
        <w:rPr>
          <w:rtl/>
        </w:rPr>
        <w:t>קאסאווסקי</w:t>
      </w:r>
      <w:proofErr w:type="spellEnd"/>
      <w:r>
        <w:rPr>
          <w:rtl/>
        </w:rPr>
        <w:t>”:</w:t>
      </w:r>
    </w:p>
    <w:p w14:paraId="64579A49" w14:textId="77777777" w:rsidR="00AB3647" w:rsidRDefault="00000000" w:rsidP="007923E9">
      <w:pPr>
        <w:spacing w:after="120" w:line="276" w:lineRule="auto"/>
        <w:ind w:firstLine="283"/>
        <w:jc w:val="both"/>
      </w:pPr>
      <w:r>
        <w:rPr>
          <w:rtl/>
        </w:rPr>
        <w:t xml:space="preserve">“כשר׳ </w:t>
      </w:r>
      <w:proofErr w:type="spellStart"/>
      <w:r>
        <w:rPr>
          <w:rtl/>
        </w:rPr>
        <w:t>איצל׳ה</w:t>
      </w:r>
      <w:proofErr w:type="spellEnd"/>
      <w:r>
        <w:rPr>
          <w:rtl/>
        </w:rPr>
        <w:t xml:space="preserve"> [בנו וממלא מקומו של ר׳ חיים </w:t>
      </w:r>
      <w:proofErr w:type="spellStart"/>
      <w:r>
        <w:rPr>
          <w:rtl/>
        </w:rPr>
        <w:t>מוולוז׳ין</w:t>
      </w:r>
      <w:proofErr w:type="spellEnd"/>
      <w:r>
        <w:rPr>
          <w:rtl/>
        </w:rPr>
        <w:t xml:space="preserve">] נפטר – ביום שישי, כ״ו באייר תר״ט – העיר ר׳ </w:t>
      </w:r>
      <w:proofErr w:type="spellStart"/>
      <w:r>
        <w:rPr>
          <w:rtl/>
        </w:rPr>
        <w:t>דוד־טעביל</w:t>
      </w:r>
      <w:proofErr w:type="spellEnd"/>
      <w:r>
        <w:rPr>
          <w:rtl/>
        </w:rPr>
        <w:t xml:space="preserve"> ממינסק, שהיה לפי “רבני מינסק”, מאת </w:t>
      </w:r>
      <w:proofErr w:type="spellStart"/>
      <w:r>
        <w:rPr>
          <w:rtl/>
        </w:rPr>
        <w:t>בנציון</w:t>
      </w:r>
      <w:proofErr w:type="spellEnd"/>
      <w:r>
        <w:rPr>
          <w:rtl/>
        </w:rPr>
        <w:t xml:space="preserve"> </w:t>
      </w:r>
      <w:proofErr w:type="spellStart"/>
      <w:r>
        <w:rPr>
          <w:rtl/>
        </w:rPr>
        <w:t>אייזנשטדט</w:t>
      </w:r>
      <w:bookmarkStart w:id="5804" w:name="_fnr4429"/>
      <w:proofErr w:type="spellEnd"/>
      <w:r>
        <w:rPr>
          <w:vertAlign w:val="superscript"/>
          <w:rtl/>
        </w:rPr>
        <w:footnoteReference w:id="4439" w:customMarkFollows="0"/>
      </w:r>
      <w:bookmarkEnd w:id="5804"/>
      <w:r>
        <w:rPr>
          <w:rtl/>
        </w:rPr>
        <w:t xml:space="preserve">, “חכם נמרץ בהוויות העולם”, על הנפטר: ‘חי כרבי חסידי ומת כרבי חסידי’. כשר׳ </w:t>
      </w:r>
      <w:proofErr w:type="spellStart"/>
      <w:r>
        <w:rPr>
          <w:rtl/>
        </w:rPr>
        <w:t>דוד־טעביל</w:t>
      </w:r>
      <w:proofErr w:type="spellEnd"/>
      <w:r>
        <w:rPr>
          <w:rtl/>
        </w:rPr>
        <w:t xml:space="preserve"> נפטר כעבור </w:t>
      </w:r>
      <w:proofErr w:type="spellStart"/>
      <w:r>
        <w:rPr>
          <w:rtl/>
        </w:rPr>
        <w:t>אחת־עשרה</w:t>
      </w:r>
      <w:proofErr w:type="spellEnd"/>
      <w:r>
        <w:rPr>
          <w:rtl/>
        </w:rPr>
        <w:t xml:space="preserve"> שנה, בשמיני עצרת תרכ״א, והתבקש חברו מישיבת </w:t>
      </w:r>
      <w:proofErr w:type="spellStart"/>
      <w:r>
        <w:rPr>
          <w:rtl/>
        </w:rPr>
        <w:t>וולוז׳ין</w:t>
      </w:r>
      <w:proofErr w:type="spellEnd"/>
      <w:r>
        <w:rPr>
          <w:rtl/>
        </w:rPr>
        <w:t xml:space="preserve">, ר׳ </w:t>
      </w:r>
      <w:proofErr w:type="spellStart"/>
      <w:r>
        <w:rPr>
          <w:rtl/>
        </w:rPr>
        <w:t>יוסל׳ה</w:t>
      </w:r>
      <w:proofErr w:type="spellEnd"/>
      <w:r>
        <w:rPr>
          <w:rtl/>
        </w:rPr>
        <w:t xml:space="preserve"> </w:t>
      </w:r>
      <w:proofErr w:type="spellStart"/>
      <w:r>
        <w:rPr>
          <w:rtl/>
        </w:rPr>
        <w:t>פיימר</w:t>
      </w:r>
      <w:proofErr w:type="spellEnd"/>
      <w:r>
        <w:rPr>
          <w:rtl/>
        </w:rPr>
        <w:t xml:space="preserve">, להספידו </w:t>
      </w:r>
      <w:proofErr w:type="spellStart"/>
      <w:r>
        <w:rPr>
          <w:rtl/>
        </w:rPr>
        <w:t>בסלוצק</w:t>
      </w:r>
      <w:proofErr w:type="spellEnd"/>
      <w:r>
        <w:rPr>
          <w:rtl/>
        </w:rPr>
        <w:t xml:space="preserve">, השיב: ‘עוד יש זמן עד השלושים’. כשהניח הרב לתקופה זו לחלוף בלי הספד, בא אליו ר׳ </w:t>
      </w:r>
      <w:proofErr w:type="spellStart"/>
      <w:r>
        <w:rPr>
          <w:rtl/>
        </w:rPr>
        <w:t>צבי־הירש</w:t>
      </w:r>
      <w:proofErr w:type="spellEnd"/>
      <w:r>
        <w:rPr>
          <w:rtl/>
        </w:rPr>
        <w:t xml:space="preserve"> חפץ ואמר שהבריות מתרעמות על הפגיעה בכבודו של המרא דאתרא המנוח של מינסק, ר׳ </w:t>
      </w:r>
      <w:proofErr w:type="spellStart"/>
      <w:r>
        <w:rPr>
          <w:rtl/>
        </w:rPr>
        <w:t>דוד־טעביל</w:t>
      </w:r>
      <w:proofErr w:type="spellEnd"/>
      <w:r>
        <w:rPr>
          <w:rtl/>
        </w:rPr>
        <w:t xml:space="preserve">, [שהיה] תלמיד חכם גדול כל כך; ור׳ </w:t>
      </w:r>
      <w:proofErr w:type="spellStart"/>
      <w:r>
        <w:rPr>
          <w:rtl/>
        </w:rPr>
        <w:t>יוסל׳ה</w:t>
      </w:r>
      <w:proofErr w:type="spellEnd"/>
      <w:r>
        <w:rPr>
          <w:rtl/>
        </w:rPr>
        <w:t xml:space="preserve"> השיב תשובה מתחמקת. כשהגיע לבסוף יום השנה, שמיני עצרת, שאלוהו מדוע [הניח לכל שנת האבל לחלוף בלי הספד]. הוא השיב: ‘כשנפטר ר׳ </w:t>
      </w:r>
      <w:proofErr w:type="spellStart"/>
      <w:r>
        <w:rPr>
          <w:rtl/>
        </w:rPr>
        <w:t>איצל׳ה</w:t>
      </w:r>
      <w:proofErr w:type="spellEnd"/>
      <w:r>
        <w:rPr>
          <w:rtl/>
        </w:rPr>
        <w:t xml:space="preserve"> </w:t>
      </w:r>
      <w:proofErr w:type="spellStart"/>
      <w:r>
        <w:rPr>
          <w:rtl/>
        </w:rPr>
        <w:t>מוולוז׳ין</w:t>
      </w:r>
      <w:proofErr w:type="spellEnd"/>
      <w:r>
        <w:rPr>
          <w:rtl/>
        </w:rPr>
        <w:t xml:space="preserve"> אמר ר׳ </w:t>
      </w:r>
      <w:proofErr w:type="spellStart"/>
      <w:r>
        <w:rPr>
          <w:rtl/>
        </w:rPr>
        <w:t>דוד־טעביל</w:t>
      </w:r>
      <w:proofErr w:type="spellEnd"/>
      <w:r>
        <w:rPr>
          <w:rtl/>
        </w:rPr>
        <w:t xml:space="preserve"> שר׳ </w:t>
      </w:r>
      <w:proofErr w:type="spellStart"/>
      <w:r>
        <w:rPr>
          <w:rtl/>
        </w:rPr>
        <w:t>איצל׳ה</w:t>
      </w:r>
      <w:proofErr w:type="spellEnd"/>
      <w:r>
        <w:rPr>
          <w:rtl/>
        </w:rPr>
        <w:t xml:space="preserve"> חי כרבי חסידי ומת כרבי חסידי – ודבר זה לא היה לו לומר. היה עליו לקרוע את בגדו כשם שעשיתי אני, ולתת אפר על ראשו, מפני ששר וגדול נפל בישראל</w:t>
      </w:r>
      <w:bookmarkStart w:id="5805" w:name="_fnr4430"/>
      <w:r>
        <w:rPr>
          <w:vertAlign w:val="superscript"/>
          <w:rtl/>
        </w:rPr>
        <w:footnoteReference w:id="4440" w:customMarkFollows="0"/>
      </w:r>
      <w:bookmarkEnd w:id="5805"/>
      <w:r>
        <w:rPr>
          <w:rtl/>
        </w:rPr>
        <w:t xml:space="preserve">. לפיכך לא הספדתי את ידידי הטוב ר׳ </w:t>
      </w:r>
      <w:proofErr w:type="spellStart"/>
      <w:r>
        <w:rPr>
          <w:rtl/>
        </w:rPr>
        <w:t>דוד־טעביל</w:t>
      </w:r>
      <w:proofErr w:type="spellEnd"/>
      <w:r>
        <w:rPr>
          <w:rtl/>
        </w:rPr>
        <w:t xml:space="preserve"> – כדי שהביזיון יהיה לו לכפרה’”.</w:t>
      </w:r>
    </w:p>
    <w:p w14:paraId="0FC6CDD2" w14:textId="77777777" w:rsidR="00AB3647" w:rsidRDefault="00000000" w:rsidP="007923E9">
      <w:pPr>
        <w:spacing w:after="120" w:line="276" w:lineRule="auto"/>
        <w:ind w:firstLine="283"/>
        <w:jc w:val="both"/>
      </w:pPr>
      <w:r>
        <w:rPr>
          <w:rtl/>
        </w:rPr>
        <w:t xml:space="preserve">ביקורתו של ר׳ </w:t>
      </w:r>
      <w:proofErr w:type="spellStart"/>
      <w:r>
        <w:rPr>
          <w:rtl/>
        </w:rPr>
        <w:t>יוסל׳ה</w:t>
      </w:r>
      <w:proofErr w:type="spellEnd"/>
      <w:r>
        <w:rPr>
          <w:rtl/>
        </w:rPr>
        <w:t xml:space="preserve"> לא מנעה ממנו לתת הסכמה לספר הראשון שחיבר ידידו, שו״ת “בית דוד”, שנדפס חמש שנים לאחר פטירת ר׳ </w:t>
      </w:r>
      <w:proofErr w:type="spellStart"/>
      <w:r>
        <w:rPr>
          <w:rtl/>
        </w:rPr>
        <w:t>איצל׳ה</w:t>
      </w:r>
      <w:proofErr w:type="spellEnd"/>
      <w:r>
        <w:rPr>
          <w:rtl/>
        </w:rPr>
        <w:t>.</w:t>
      </w:r>
    </w:p>
    <w:p w14:paraId="58D2A8F6" w14:textId="77777777" w:rsidR="00AB3647" w:rsidRDefault="00000000" w:rsidP="007923E9">
      <w:pPr>
        <w:spacing w:after="120" w:line="276" w:lineRule="auto"/>
        <w:ind w:firstLine="283"/>
        <w:jc w:val="both"/>
      </w:pPr>
      <w:bookmarkStart w:id="5806" w:name="pr_b_2476"/>
      <w:bookmarkEnd w:id="5806"/>
      <w:r>
        <w:rPr>
          <w:rtl/>
        </w:rPr>
        <w:t xml:space="preserve">ר׳ </w:t>
      </w:r>
      <w:proofErr w:type="spellStart"/>
      <w:r>
        <w:rPr>
          <w:rtl/>
        </w:rPr>
        <w:t>יוסל׳ה</w:t>
      </w:r>
      <w:proofErr w:type="spellEnd"/>
      <w:r>
        <w:rPr>
          <w:rtl/>
        </w:rPr>
        <w:t xml:space="preserve"> נולד בסביבות תקנ״ז ונפטר </w:t>
      </w:r>
      <w:proofErr w:type="spellStart"/>
      <w:r>
        <w:rPr>
          <w:rtl/>
        </w:rPr>
        <w:t>בתרכ״ד</w:t>
      </w:r>
      <w:proofErr w:type="spellEnd"/>
      <w:r>
        <w:rPr>
          <w:rtl/>
        </w:rPr>
        <w:t xml:space="preserve">, לפי “הראשון לשושלת </w:t>
      </w:r>
      <w:proofErr w:type="spellStart"/>
      <w:r>
        <w:rPr>
          <w:rtl/>
        </w:rPr>
        <w:t>בריסק</w:t>
      </w:r>
      <w:proofErr w:type="spellEnd"/>
      <w:r>
        <w:rPr>
          <w:rtl/>
        </w:rPr>
        <w:t>”</w:t>
      </w:r>
      <w:bookmarkStart w:id="5807" w:name="_fnr4431"/>
      <w:r>
        <w:rPr>
          <w:vertAlign w:val="superscript"/>
          <w:rtl/>
        </w:rPr>
        <w:footnoteReference w:id="4441" w:customMarkFollows="0"/>
      </w:r>
      <w:bookmarkEnd w:id="5807"/>
      <w:r>
        <w:rPr>
          <w:rtl/>
        </w:rPr>
        <w:t>. לפי “רבותינו שבגולה”, כרך א</w:t>
      </w:r>
      <w:bookmarkStart w:id="5808" w:name="_fnr4432"/>
      <w:r>
        <w:rPr>
          <w:vertAlign w:val="superscript"/>
          <w:rtl/>
        </w:rPr>
        <w:footnoteReference w:id="4442" w:customMarkFollows="0"/>
      </w:r>
      <w:bookmarkEnd w:id="5808"/>
      <w:r>
        <w:rPr>
          <w:rtl/>
        </w:rPr>
        <w:t xml:space="preserve">, היה מתמיד יוצא מן הכלל, </w:t>
      </w:r>
      <w:proofErr w:type="spellStart"/>
      <w:r>
        <w:rPr>
          <w:rtl/>
        </w:rPr>
        <w:t>ו“נודע</w:t>
      </w:r>
      <w:proofErr w:type="spellEnd"/>
      <w:r>
        <w:rPr>
          <w:rtl/>
        </w:rPr>
        <w:t xml:space="preserve"> בישיבת </w:t>
      </w:r>
      <w:proofErr w:type="spellStart"/>
      <w:r>
        <w:rPr>
          <w:rtl/>
        </w:rPr>
        <w:t>וולוז׳ין</w:t>
      </w:r>
      <w:proofErr w:type="spellEnd"/>
      <w:r>
        <w:rPr>
          <w:rtl/>
        </w:rPr>
        <w:t xml:space="preserve"> בשם </w:t>
      </w:r>
      <w:r>
        <w:rPr>
          <w:rtl/>
        </w:rPr>
        <w:lastRenderedPageBreak/>
        <w:t>‘עמוד הישיבה’</w:t>
      </w:r>
      <w:bookmarkStart w:id="5809" w:name="_fnr4433"/>
      <w:r>
        <w:rPr>
          <w:vertAlign w:val="superscript"/>
          <w:rtl/>
        </w:rPr>
        <w:footnoteReference w:id="4443" w:customMarkFollows="0"/>
      </w:r>
      <w:bookmarkEnd w:id="5809"/>
      <w:r>
        <w:rPr>
          <w:rtl/>
        </w:rPr>
        <w:t xml:space="preserve">”. בשנותיו האחרונות היה ר׳ חיים </w:t>
      </w:r>
      <w:proofErr w:type="spellStart"/>
      <w:r>
        <w:rPr>
          <w:rtl/>
        </w:rPr>
        <w:t>מוולוז׳ין</w:t>
      </w:r>
      <w:proofErr w:type="spellEnd"/>
      <w:r>
        <w:rPr>
          <w:rtl/>
        </w:rPr>
        <w:t xml:space="preserve"> חולה ומשותק במחצית גופו</w:t>
      </w:r>
      <w:bookmarkStart w:id="5810" w:name="_fnr4434"/>
      <w:r>
        <w:rPr>
          <w:vertAlign w:val="superscript"/>
          <w:rtl/>
        </w:rPr>
        <w:footnoteReference w:id="4444" w:customMarkFollows="0"/>
      </w:r>
      <w:bookmarkEnd w:id="5810"/>
      <w:r>
        <w:rPr>
          <w:rtl/>
        </w:rPr>
        <w:t xml:space="preserve">, ור׳ </w:t>
      </w:r>
      <w:proofErr w:type="spellStart"/>
      <w:r>
        <w:rPr>
          <w:rtl/>
        </w:rPr>
        <w:t>יוסל׳ה</w:t>
      </w:r>
      <w:proofErr w:type="spellEnd"/>
      <w:r>
        <w:rPr>
          <w:rtl/>
        </w:rPr>
        <w:t xml:space="preserve"> עוד הספיק לקבל ממנו הוראות לפני שיצא לכהונתו הראשונה ברבנות, </w:t>
      </w:r>
      <w:proofErr w:type="spellStart"/>
      <w:r>
        <w:rPr>
          <w:rtl/>
        </w:rPr>
        <w:t>בלוקניק</w:t>
      </w:r>
      <w:proofErr w:type="spellEnd"/>
      <w:r>
        <w:rPr>
          <w:rtl/>
        </w:rPr>
        <w:t xml:space="preserve"> (שם נתמנה “בעודו צעיר”</w:t>
      </w:r>
      <w:bookmarkStart w:id="5811" w:name="_fnr4435"/>
      <w:r>
        <w:rPr>
          <w:vertAlign w:val="superscript"/>
          <w:rtl/>
        </w:rPr>
        <w:footnoteReference w:id="4445" w:customMarkFollows="0"/>
      </w:r>
      <w:bookmarkEnd w:id="5811"/>
      <w:r>
        <w:rPr>
          <w:rtl/>
        </w:rPr>
        <w:t xml:space="preserve">). מוכרח אפוא שעזב את ישיבת </w:t>
      </w:r>
      <w:proofErr w:type="spellStart"/>
      <w:r>
        <w:rPr>
          <w:rtl/>
        </w:rPr>
        <w:t>וולוז׳ין</w:t>
      </w:r>
      <w:proofErr w:type="spellEnd"/>
      <w:r>
        <w:rPr>
          <w:rtl/>
        </w:rPr>
        <w:t xml:space="preserve"> שלוש או ארבע שנים לפני פטירת רבו </w:t>
      </w:r>
      <w:proofErr w:type="spellStart"/>
      <w:r>
        <w:rPr>
          <w:rtl/>
        </w:rPr>
        <w:t>בתקפ״א</w:t>
      </w:r>
      <w:proofErr w:type="spellEnd"/>
      <w:r>
        <w:rPr>
          <w:rtl/>
        </w:rPr>
        <w:t xml:space="preserve">, באותה עת שעזב ר׳ </w:t>
      </w:r>
      <w:proofErr w:type="spellStart"/>
      <w:r>
        <w:rPr>
          <w:rtl/>
        </w:rPr>
        <w:t>דוד־טעביל</w:t>
      </w:r>
      <w:proofErr w:type="spellEnd"/>
      <w:r>
        <w:rPr>
          <w:rtl/>
        </w:rPr>
        <w:t>, שהיה מבוגר ממנו בשלוש שנים.</w:t>
      </w:r>
    </w:p>
    <w:p w14:paraId="24A8BDA2" w14:textId="77777777" w:rsidR="00AB3647" w:rsidRDefault="00000000" w:rsidP="007923E9">
      <w:pPr>
        <w:spacing w:after="120" w:line="276" w:lineRule="auto"/>
        <w:ind w:firstLine="283"/>
        <w:jc w:val="both"/>
      </w:pPr>
      <w:proofErr w:type="spellStart"/>
      <w:r>
        <w:rPr>
          <w:rtl/>
        </w:rPr>
        <w:t>לוקניק</w:t>
      </w:r>
      <w:proofErr w:type="spellEnd"/>
      <w:r>
        <w:rPr>
          <w:rtl/>
        </w:rPr>
        <w:t xml:space="preserve"> מרוחקת כ־65 קילומטר </w:t>
      </w:r>
      <w:proofErr w:type="spellStart"/>
      <w:r>
        <w:rPr>
          <w:rtl/>
        </w:rPr>
        <w:t>מזאגר</w:t>
      </w:r>
      <w:proofErr w:type="spellEnd"/>
      <w:r>
        <w:rPr>
          <w:rtl/>
        </w:rPr>
        <w:t xml:space="preserve">, מקום הולדתו של ר׳ ישראל </w:t>
      </w:r>
      <w:proofErr w:type="spellStart"/>
      <w:r>
        <w:rPr>
          <w:rtl/>
        </w:rPr>
        <w:t>סלנטר</w:t>
      </w:r>
      <w:proofErr w:type="spellEnd"/>
      <w:r>
        <w:rPr>
          <w:rtl/>
        </w:rPr>
        <w:t xml:space="preserve"> </w:t>
      </w:r>
      <w:proofErr w:type="spellStart"/>
      <w:r>
        <w:rPr>
          <w:rtl/>
        </w:rPr>
        <w:t>בתק״ע</w:t>
      </w:r>
      <w:proofErr w:type="spellEnd"/>
      <w:r>
        <w:rPr>
          <w:rtl/>
        </w:rPr>
        <w:t xml:space="preserve">. ר׳ ישראל למד אצל ר׳ </w:t>
      </w:r>
      <w:proofErr w:type="spellStart"/>
      <w:r>
        <w:rPr>
          <w:rtl/>
        </w:rPr>
        <w:t>יוסל׳ה</w:t>
      </w:r>
      <w:proofErr w:type="spellEnd"/>
      <w:r>
        <w:rPr>
          <w:rtl/>
        </w:rPr>
        <w:t xml:space="preserve"> </w:t>
      </w:r>
      <w:proofErr w:type="spellStart"/>
      <w:r>
        <w:rPr>
          <w:rtl/>
        </w:rPr>
        <w:t>זמן־מה</w:t>
      </w:r>
      <w:proofErr w:type="spellEnd"/>
      <w:r>
        <w:rPr>
          <w:rtl/>
        </w:rPr>
        <w:t xml:space="preserve"> לפני שעבר הלה </w:t>
      </w:r>
      <w:proofErr w:type="spellStart"/>
      <w:r>
        <w:rPr>
          <w:rtl/>
        </w:rPr>
        <w:t>לסלוצק</w:t>
      </w:r>
      <w:proofErr w:type="spellEnd"/>
      <w:r>
        <w:rPr>
          <w:rtl/>
        </w:rPr>
        <w:t xml:space="preserve"> </w:t>
      </w:r>
      <w:proofErr w:type="spellStart"/>
      <w:r>
        <w:rPr>
          <w:rtl/>
        </w:rPr>
        <w:t>בתקפ״ט</w:t>
      </w:r>
      <w:bookmarkStart w:id="5812" w:name="_fnr4436"/>
      <w:proofErr w:type="spellEnd"/>
      <w:r>
        <w:rPr>
          <w:vertAlign w:val="superscript"/>
          <w:rtl/>
        </w:rPr>
        <w:footnoteReference w:id="4446" w:customMarkFollows="0"/>
      </w:r>
      <w:bookmarkEnd w:id="5812"/>
      <w:r>
        <w:rPr>
          <w:rtl/>
        </w:rPr>
        <w:t xml:space="preserve">, ולמרבה הפלא נשמטה עובדה זו מעיני כותבי תולדותיו של ר׳ ישראל. ר׳ </w:t>
      </w:r>
      <w:proofErr w:type="spellStart"/>
      <w:r>
        <w:rPr>
          <w:rtl/>
        </w:rPr>
        <w:t>יוסל׳ה</w:t>
      </w:r>
      <w:proofErr w:type="spellEnd"/>
      <w:r>
        <w:rPr>
          <w:rtl/>
        </w:rPr>
        <w:t xml:space="preserve"> היה רבו של ר׳ ישראל לפני שהגיע לגיל </w:t>
      </w:r>
      <w:proofErr w:type="spellStart"/>
      <w:r>
        <w:rPr>
          <w:rtl/>
        </w:rPr>
        <w:t>שתים־עשרה</w:t>
      </w:r>
      <w:proofErr w:type="spellEnd"/>
      <w:r>
        <w:rPr>
          <w:rtl/>
        </w:rPr>
        <w:t xml:space="preserve">, כשעבר ללמוד אצל ר׳ </w:t>
      </w:r>
      <w:proofErr w:type="spellStart"/>
      <w:r>
        <w:rPr>
          <w:rtl/>
        </w:rPr>
        <w:t>צבי־הירש</w:t>
      </w:r>
      <w:proofErr w:type="spellEnd"/>
      <w:r>
        <w:rPr>
          <w:rtl/>
        </w:rPr>
        <w:t xml:space="preserve"> </w:t>
      </w:r>
      <w:proofErr w:type="spellStart"/>
      <w:r>
        <w:rPr>
          <w:rtl/>
        </w:rPr>
        <w:t>ברוידא</w:t>
      </w:r>
      <w:proofErr w:type="spellEnd"/>
      <w:r>
        <w:rPr>
          <w:rtl/>
        </w:rPr>
        <w:t xml:space="preserve"> </w:t>
      </w:r>
      <w:proofErr w:type="spellStart"/>
      <w:r>
        <w:rPr>
          <w:rtl/>
        </w:rPr>
        <w:t>בסלנט</w:t>
      </w:r>
      <w:proofErr w:type="spellEnd"/>
      <w:r>
        <w:rPr>
          <w:rtl/>
        </w:rPr>
        <w:t xml:space="preserve">. שם נישא ר׳ ישראל כעבור שנתיים, ונודע בשם “ר׳ ישראל </w:t>
      </w:r>
      <w:proofErr w:type="spellStart"/>
      <w:r>
        <w:rPr>
          <w:rtl/>
        </w:rPr>
        <w:t>סלנטר</w:t>
      </w:r>
      <w:proofErr w:type="spellEnd"/>
      <w:r>
        <w:rPr>
          <w:rtl/>
        </w:rPr>
        <w:t xml:space="preserve">” במקום “ר׳ ישראל </w:t>
      </w:r>
      <w:proofErr w:type="spellStart"/>
      <w:r>
        <w:rPr>
          <w:rtl/>
        </w:rPr>
        <w:t>לוקניקר</w:t>
      </w:r>
      <w:proofErr w:type="spellEnd"/>
      <w:r>
        <w:rPr>
          <w:rtl/>
        </w:rPr>
        <w:t>”.</w:t>
      </w:r>
    </w:p>
    <w:p w14:paraId="787FC8A3" w14:textId="77777777" w:rsidR="00AB3647" w:rsidRDefault="00000000" w:rsidP="007923E9">
      <w:pPr>
        <w:spacing w:after="120" w:line="276" w:lineRule="auto"/>
        <w:ind w:firstLine="283"/>
        <w:jc w:val="both"/>
      </w:pPr>
      <w:r>
        <w:rPr>
          <w:rtl/>
        </w:rPr>
        <w:t xml:space="preserve">כשנפטר ר׳ </w:t>
      </w:r>
      <w:proofErr w:type="spellStart"/>
      <w:r>
        <w:rPr>
          <w:rtl/>
        </w:rPr>
        <w:t>דוד־טעביל</w:t>
      </w:r>
      <w:proofErr w:type="spellEnd"/>
      <w:r>
        <w:rPr>
          <w:rtl/>
        </w:rPr>
        <w:t xml:space="preserve">, הסכים ר׳ </w:t>
      </w:r>
      <w:proofErr w:type="spellStart"/>
      <w:r>
        <w:rPr>
          <w:rtl/>
        </w:rPr>
        <w:t>יוסל׳ה</w:t>
      </w:r>
      <w:proofErr w:type="spellEnd"/>
      <w:r>
        <w:rPr>
          <w:rtl/>
        </w:rPr>
        <w:t xml:space="preserve"> לרשת את כיסא הרבנות של ידידו במינסק, אך “גברו תחנוני בני קהילתו [שלו] שלא יעזבם, והסכים להישאר </w:t>
      </w:r>
      <w:proofErr w:type="spellStart"/>
      <w:r>
        <w:rPr>
          <w:rtl/>
        </w:rPr>
        <w:t>בסלוצק</w:t>
      </w:r>
      <w:proofErr w:type="spellEnd"/>
      <w:r>
        <w:rPr>
          <w:rtl/>
        </w:rPr>
        <w:t xml:space="preserve"> בתנאי שיקבלו בחזרה את מכתבו לקהילת מינסק [שהסכים לעבור אליה], ובתנאי שלא יעלו את שכרו [</w:t>
      </w:r>
      <w:proofErr w:type="spellStart"/>
      <w:r>
        <w:rPr>
          <w:rtl/>
        </w:rPr>
        <w:t>בסלוצק</w:t>
      </w:r>
      <w:proofErr w:type="spellEnd"/>
      <w:r>
        <w:rPr>
          <w:rtl/>
        </w:rPr>
        <w:t>], כדי שלא יאמרו [במינסק] שחזר בו מהסכמתו [מפני שקיבל תוספת שכר]</w:t>
      </w:r>
      <w:bookmarkStart w:id="5813" w:name="_fnr4437"/>
      <w:r>
        <w:rPr>
          <w:vertAlign w:val="superscript"/>
          <w:rtl/>
        </w:rPr>
        <w:footnoteReference w:id="4447" w:customMarkFollows="0"/>
      </w:r>
      <w:bookmarkEnd w:id="5813"/>
      <w:r>
        <w:rPr>
          <w:rtl/>
        </w:rPr>
        <w:t>”.</w:t>
      </w:r>
    </w:p>
    <w:p w14:paraId="59411EC8" w14:textId="77777777" w:rsidR="00AB3647" w:rsidRDefault="00000000" w:rsidP="007923E9">
      <w:pPr>
        <w:spacing w:after="120" w:line="276" w:lineRule="auto"/>
        <w:ind w:firstLine="283"/>
        <w:jc w:val="both"/>
      </w:pPr>
      <w:r>
        <w:rPr>
          <w:rtl/>
        </w:rPr>
        <w:t xml:space="preserve">שאלתי את ר׳ </w:t>
      </w:r>
      <w:proofErr w:type="spellStart"/>
      <w:r>
        <w:rPr>
          <w:rtl/>
        </w:rPr>
        <w:t>משולם־דוד</w:t>
      </w:r>
      <w:proofErr w:type="spellEnd"/>
      <w:r>
        <w:rPr>
          <w:rtl/>
        </w:rPr>
        <w:t xml:space="preserve"> </w:t>
      </w:r>
      <w:proofErr w:type="spellStart"/>
      <w:r>
        <w:rPr>
          <w:rtl/>
        </w:rPr>
        <w:t>סולובייצ׳יק</w:t>
      </w:r>
      <w:proofErr w:type="spellEnd"/>
      <w:r>
        <w:rPr>
          <w:rtl/>
        </w:rPr>
        <w:t xml:space="preserve"> כיצד הבינו שני החברים המתנגדים, ר׳ </w:t>
      </w:r>
      <w:proofErr w:type="spellStart"/>
      <w:r>
        <w:rPr>
          <w:rtl/>
        </w:rPr>
        <w:t>יוסל׳ה</w:t>
      </w:r>
      <w:proofErr w:type="spellEnd"/>
      <w:r>
        <w:rPr>
          <w:rtl/>
        </w:rPr>
        <w:t xml:space="preserve"> ור׳ </w:t>
      </w:r>
      <w:proofErr w:type="spellStart"/>
      <w:r>
        <w:rPr>
          <w:rtl/>
        </w:rPr>
        <w:t>דוד־טעביל</w:t>
      </w:r>
      <w:proofErr w:type="spellEnd"/>
      <w:r>
        <w:rPr>
          <w:rtl/>
        </w:rPr>
        <w:t xml:space="preserve">, את דברי הלה על ר׳ </w:t>
      </w:r>
      <w:proofErr w:type="spellStart"/>
      <w:r>
        <w:rPr>
          <w:rtl/>
        </w:rPr>
        <w:t>איצל׳ה</w:t>
      </w:r>
      <w:proofErr w:type="spellEnd"/>
      <w:r>
        <w:rPr>
          <w:rtl/>
        </w:rPr>
        <w:t xml:space="preserve"> – “חי כרבי חסידי ומת כרבי חסידי”</w:t>
      </w:r>
      <w:bookmarkStart w:id="5814" w:name="_fnr4438"/>
      <w:r>
        <w:rPr>
          <w:vertAlign w:val="superscript"/>
          <w:rtl/>
        </w:rPr>
        <w:footnoteReference w:id="4448" w:customMarkFollows="0"/>
      </w:r>
      <w:bookmarkEnd w:id="5814"/>
      <w:r>
        <w:rPr>
          <w:rtl/>
        </w:rPr>
        <w:t xml:space="preserve">. ר׳ </w:t>
      </w:r>
      <w:proofErr w:type="spellStart"/>
      <w:r>
        <w:rPr>
          <w:rtl/>
        </w:rPr>
        <w:t>משולם־דוד</w:t>
      </w:r>
      <w:proofErr w:type="spellEnd"/>
      <w:r>
        <w:rPr>
          <w:rtl/>
        </w:rPr>
        <w:t xml:space="preserve"> חשב דקה ואמר: “את המחצית הראשונה אני מבין כך: המתנגדים אומרים שבקשת הדרכה מרב מותירה לעיתים את המבקש בלתי מרוצה, ואילו שאלה לרבי משמחת תמיד. לדבריהם, הטעם לכך הוא שהרב מוכרח לתת לשואל את דעת השולחן ערוך – שלעיתים קשה לעמוד בה – ואילו הרבי, שהוא בדרך כלל פיקח מאוד, מבין מה החסיד רוצה לשמוע ואומר לו בדיוק זאת. בסיכום – כלשון האמרה </w:t>
      </w:r>
      <w:proofErr w:type="spellStart"/>
      <w:r>
        <w:rPr>
          <w:rtl/>
        </w:rPr>
        <w:t>המתנגדית</w:t>
      </w:r>
      <w:proofErr w:type="spellEnd"/>
      <w:r>
        <w:rPr>
          <w:rtl/>
        </w:rPr>
        <w:t xml:space="preserve"> – הרבי הוא </w:t>
      </w:r>
      <w:proofErr w:type="spellStart"/>
      <w:r>
        <w:rPr>
          <w:rtl/>
        </w:rPr>
        <w:t>קליגער</w:t>
      </w:r>
      <w:proofErr w:type="spellEnd"/>
      <w:r>
        <w:rPr>
          <w:rtl/>
        </w:rPr>
        <w:t xml:space="preserve"> ווי </w:t>
      </w:r>
      <w:proofErr w:type="spellStart"/>
      <w:r>
        <w:rPr>
          <w:rtl/>
        </w:rPr>
        <w:t>פרימער</w:t>
      </w:r>
      <w:proofErr w:type="spellEnd"/>
      <w:r>
        <w:rPr>
          <w:rtl/>
        </w:rPr>
        <w:t xml:space="preserve"> [פיקח יותר מאשר אדוק], והרב הוא </w:t>
      </w:r>
      <w:proofErr w:type="spellStart"/>
      <w:r>
        <w:rPr>
          <w:rtl/>
        </w:rPr>
        <w:t>פרימער</w:t>
      </w:r>
      <w:proofErr w:type="spellEnd"/>
      <w:r>
        <w:rPr>
          <w:rtl/>
        </w:rPr>
        <w:t xml:space="preserve"> ווי </w:t>
      </w:r>
      <w:proofErr w:type="spellStart"/>
      <w:r>
        <w:rPr>
          <w:rtl/>
        </w:rPr>
        <w:t>קליגער</w:t>
      </w:r>
      <w:proofErr w:type="spellEnd"/>
      <w:r>
        <w:rPr>
          <w:rtl/>
        </w:rPr>
        <w:t xml:space="preserve"> [אדוק יותר מאשר פיקח]. ר׳ </w:t>
      </w:r>
      <w:proofErr w:type="spellStart"/>
      <w:r>
        <w:rPr>
          <w:rtl/>
        </w:rPr>
        <w:t>איצל׳ה</w:t>
      </w:r>
      <w:proofErr w:type="spellEnd"/>
      <w:r>
        <w:rPr>
          <w:rtl/>
        </w:rPr>
        <w:t xml:space="preserve"> נודע כפיקח מאוד וכונה ‘חכימא </w:t>
      </w:r>
      <w:proofErr w:type="spellStart"/>
      <w:r>
        <w:rPr>
          <w:rtl/>
        </w:rPr>
        <w:t>דיהודאי</w:t>
      </w:r>
      <w:proofErr w:type="spellEnd"/>
      <w:r>
        <w:rPr>
          <w:rtl/>
        </w:rPr>
        <w:t>’</w:t>
      </w:r>
      <w:bookmarkStart w:id="5815" w:name="_fnr4439"/>
      <w:r>
        <w:rPr>
          <w:vertAlign w:val="superscript"/>
          <w:rtl/>
        </w:rPr>
        <w:footnoteReference w:id="4449" w:customMarkFollows="0"/>
      </w:r>
      <w:bookmarkEnd w:id="5815"/>
      <w:r>
        <w:rPr>
          <w:rtl/>
        </w:rPr>
        <w:t xml:space="preserve">; ר׳ </w:t>
      </w:r>
      <w:proofErr w:type="spellStart"/>
      <w:r>
        <w:rPr>
          <w:rtl/>
        </w:rPr>
        <w:t>דוד־טעביל</w:t>
      </w:r>
      <w:proofErr w:type="spellEnd"/>
      <w:r>
        <w:rPr>
          <w:rtl/>
        </w:rPr>
        <w:t xml:space="preserve"> התכוון לומר שר׳ </w:t>
      </w:r>
      <w:proofErr w:type="spellStart"/>
      <w:r>
        <w:rPr>
          <w:rtl/>
        </w:rPr>
        <w:t>איצל׳ה</w:t>
      </w:r>
      <w:proofErr w:type="spellEnd"/>
      <w:r>
        <w:rPr>
          <w:rtl/>
        </w:rPr>
        <w:t xml:space="preserve"> היה, כרבי חסידי, ‘פיקח יותר מאשר אדוק’. כנגד זאת טען ר׳ </w:t>
      </w:r>
      <w:proofErr w:type="spellStart"/>
      <w:r>
        <w:rPr>
          <w:rtl/>
        </w:rPr>
        <w:t>יוסל׳ה</w:t>
      </w:r>
      <w:proofErr w:type="spellEnd"/>
      <w:r>
        <w:rPr>
          <w:rtl/>
        </w:rPr>
        <w:t xml:space="preserve"> שבנו של רבם היה שר וגדול בישראל – גם פיקח וגם אדוק”.</w:t>
      </w:r>
    </w:p>
    <w:p w14:paraId="3246CB61" w14:textId="77777777" w:rsidR="00AB3647" w:rsidRDefault="00000000" w:rsidP="007923E9">
      <w:pPr>
        <w:spacing w:after="120" w:line="276" w:lineRule="auto"/>
        <w:ind w:firstLine="283"/>
        <w:jc w:val="both"/>
      </w:pPr>
      <w:r>
        <w:rPr>
          <w:rtl/>
        </w:rPr>
        <w:t xml:space="preserve">אפשר להוסיף שר׳ </w:t>
      </w:r>
      <w:proofErr w:type="spellStart"/>
      <w:r>
        <w:rPr>
          <w:rtl/>
        </w:rPr>
        <w:t>יוסל׳ה</w:t>
      </w:r>
      <w:proofErr w:type="spellEnd"/>
      <w:r>
        <w:rPr>
          <w:rtl/>
        </w:rPr>
        <w:t xml:space="preserve"> עשוי היה להסכים שר׳ </w:t>
      </w:r>
      <w:proofErr w:type="spellStart"/>
      <w:r>
        <w:rPr>
          <w:rtl/>
        </w:rPr>
        <w:t>איצל׳ה</w:t>
      </w:r>
      <w:proofErr w:type="spellEnd"/>
      <w:r>
        <w:rPr>
          <w:rtl/>
        </w:rPr>
        <w:t xml:space="preserve"> היה “</w:t>
      </w:r>
      <w:proofErr w:type="spellStart"/>
      <w:r>
        <w:rPr>
          <w:rtl/>
        </w:rPr>
        <w:t>קליגער</w:t>
      </w:r>
      <w:proofErr w:type="spellEnd"/>
      <w:r>
        <w:rPr>
          <w:rtl/>
        </w:rPr>
        <w:t xml:space="preserve"> ווי </w:t>
      </w:r>
      <w:proofErr w:type="spellStart"/>
      <w:r>
        <w:rPr>
          <w:rtl/>
        </w:rPr>
        <w:t>פרימער</w:t>
      </w:r>
      <w:proofErr w:type="spellEnd"/>
      <w:r>
        <w:rPr>
          <w:rtl/>
        </w:rPr>
        <w:t xml:space="preserve">”, אבל לא במובן המגונה שבו ראה אותו ר׳ </w:t>
      </w:r>
      <w:proofErr w:type="spellStart"/>
      <w:r>
        <w:rPr>
          <w:rtl/>
        </w:rPr>
        <w:t>דוד־טעביל</w:t>
      </w:r>
      <w:proofErr w:type="spellEnd"/>
      <w:r>
        <w:rPr>
          <w:rtl/>
        </w:rPr>
        <w:t xml:space="preserve">. לדעת ר׳ </w:t>
      </w:r>
      <w:proofErr w:type="spellStart"/>
      <w:r>
        <w:rPr>
          <w:rtl/>
        </w:rPr>
        <w:t>יוסל׳ה</w:t>
      </w:r>
      <w:proofErr w:type="spellEnd"/>
      <w:r>
        <w:rPr>
          <w:rtl/>
        </w:rPr>
        <w:t xml:space="preserve">, ר׳ </w:t>
      </w:r>
      <w:proofErr w:type="spellStart"/>
      <w:r>
        <w:rPr>
          <w:rtl/>
        </w:rPr>
        <w:t>איצל׳ה</w:t>
      </w:r>
      <w:proofErr w:type="spellEnd"/>
      <w:r>
        <w:rPr>
          <w:rtl/>
        </w:rPr>
        <w:t xml:space="preserve"> היה כפי שתיאר </w:t>
      </w:r>
      <w:r>
        <w:rPr>
          <w:rtl/>
        </w:rPr>
        <w:lastRenderedPageBreak/>
        <w:t xml:space="preserve">הגאון מווילנה את רבם, אביו של ר׳ </w:t>
      </w:r>
      <w:proofErr w:type="spellStart"/>
      <w:r>
        <w:rPr>
          <w:rtl/>
        </w:rPr>
        <w:t>איצל׳ה</w:t>
      </w:r>
      <w:proofErr w:type="spellEnd"/>
      <w:r>
        <w:rPr>
          <w:rtl/>
        </w:rPr>
        <w:t xml:space="preserve">: הגאון אמר לתלמידו הגדול ר׳ חיים </w:t>
      </w:r>
      <w:proofErr w:type="spellStart"/>
      <w:r>
        <w:rPr>
          <w:rtl/>
        </w:rPr>
        <w:t>מוולוז׳ין</w:t>
      </w:r>
      <w:proofErr w:type="spellEnd"/>
      <w:r>
        <w:rPr>
          <w:rtl/>
        </w:rPr>
        <w:t xml:space="preserve"> שהוא </w:t>
      </w:r>
      <w:proofErr w:type="spellStart"/>
      <w:r>
        <w:rPr>
          <w:rtl/>
        </w:rPr>
        <w:t>קלוג</w:t>
      </w:r>
      <w:proofErr w:type="spellEnd"/>
      <w:r>
        <w:rPr>
          <w:rtl/>
        </w:rPr>
        <w:t xml:space="preserve"> [פיקח] – ברמיזה שהוא “</w:t>
      </w:r>
      <w:proofErr w:type="spellStart"/>
      <w:r>
        <w:rPr>
          <w:rtl/>
        </w:rPr>
        <w:t>קליגער</w:t>
      </w:r>
      <w:proofErr w:type="spellEnd"/>
      <w:r>
        <w:rPr>
          <w:rtl/>
        </w:rPr>
        <w:t xml:space="preserve"> ווי </w:t>
      </w:r>
      <w:proofErr w:type="spellStart"/>
      <w:r>
        <w:rPr>
          <w:rtl/>
        </w:rPr>
        <w:t>פרימער</w:t>
      </w:r>
      <w:proofErr w:type="spellEnd"/>
      <w:r>
        <w:rPr>
          <w:rtl/>
        </w:rPr>
        <w:t>”. ר׳ חיים נבהל, עד שהוסיף הגאון: “אתה אדוק במידה שראוי להיות, ומלבד זאת פיקח עוד יותר – ואין בכך פסול”</w:t>
      </w:r>
      <w:bookmarkStart w:id="5816" w:name="_fnr4440"/>
      <w:r>
        <w:rPr>
          <w:vertAlign w:val="superscript"/>
          <w:rtl/>
        </w:rPr>
        <w:footnoteReference w:id="4450" w:customMarkFollows="0"/>
      </w:r>
      <w:bookmarkEnd w:id="5816"/>
      <w:r>
        <w:rPr>
          <w:rtl/>
        </w:rPr>
        <w:t xml:space="preserve">. כשכינה ר׳ </w:t>
      </w:r>
      <w:proofErr w:type="spellStart"/>
      <w:r>
        <w:rPr>
          <w:rtl/>
        </w:rPr>
        <w:t>יוסל׳ה</w:t>
      </w:r>
      <w:proofErr w:type="spellEnd"/>
      <w:r>
        <w:rPr>
          <w:rtl/>
        </w:rPr>
        <w:t xml:space="preserve"> את ר׳ </w:t>
      </w:r>
      <w:proofErr w:type="spellStart"/>
      <w:r>
        <w:rPr>
          <w:rtl/>
        </w:rPr>
        <w:t>איצל׳ה</w:t>
      </w:r>
      <w:proofErr w:type="spellEnd"/>
      <w:r>
        <w:rPr>
          <w:rtl/>
        </w:rPr>
        <w:t xml:space="preserve"> “שר”, עשוי היה להתכוון שהיה פיקח במיוחד, מעבר למידת אדיקותו, שלא הייתה פחותה מן הראוי. בלשון יידיש אומרים על אדם פיקח במיוחד: “יש לו מוח של שר”.</w:t>
      </w:r>
    </w:p>
    <w:p w14:paraId="60F51137" w14:textId="664909E4" w:rsidR="00AB3647" w:rsidRDefault="00000000" w:rsidP="007923E9">
      <w:pPr>
        <w:spacing w:after="120" w:line="276" w:lineRule="auto"/>
        <w:ind w:firstLine="283"/>
        <w:jc w:val="both"/>
      </w:pPr>
      <w:r>
        <w:rPr>
          <w:rtl/>
        </w:rPr>
        <w:t xml:space="preserve">שני החברים </w:t>
      </w:r>
      <w:proofErr w:type="spellStart"/>
      <w:r>
        <w:rPr>
          <w:rtl/>
        </w:rPr>
        <w:t>מוולוז׳ין</w:t>
      </w:r>
      <w:proofErr w:type="spellEnd"/>
      <w:r>
        <w:rPr>
          <w:rtl/>
        </w:rPr>
        <w:t xml:space="preserve"> הכירו את ר׳ </w:t>
      </w:r>
      <w:proofErr w:type="spellStart"/>
      <w:r>
        <w:rPr>
          <w:rtl/>
        </w:rPr>
        <w:t>איצל׳ה</w:t>
      </w:r>
      <w:proofErr w:type="spellEnd"/>
      <w:r>
        <w:rPr>
          <w:rtl/>
        </w:rPr>
        <w:t xml:space="preserve"> מימי לימודיהם בישיבה. אם נבחן את מחלוקתם במבט אובייקטיבי, עלינו לשער שהערכתו של ר׳ </w:t>
      </w:r>
      <w:proofErr w:type="spellStart"/>
      <w:r>
        <w:rPr>
          <w:rtl/>
        </w:rPr>
        <w:t>דוד־טעביל</w:t>
      </w:r>
      <w:proofErr w:type="spellEnd"/>
      <w:r>
        <w:rPr>
          <w:rtl/>
        </w:rPr>
        <w:t xml:space="preserve"> הייתה מדויקת יותר משל ר׳ </w:t>
      </w:r>
      <w:proofErr w:type="spellStart"/>
      <w:r>
        <w:rPr>
          <w:rtl/>
        </w:rPr>
        <w:t>יוסל׳ה</w:t>
      </w:r>
      <w:proofErr w:type="spellEnd"/>
      <w:r>
        <w:rPr>
          <w:rtl/>
        </w:rPr>
        <w:t xml:space="preserve">, מכמה טעמים: ר׳ </w:t>
      </w:r>
      <w:proofErr w:type="spellStart"/>
      <w:r>
        <w:rPr>
          <w:rtl/>
        </w:rPr>
        <w:t>דוד־טעביל</w:t>
      </w:r>
      <w:proofErr w:type="spellEnd"/>
      <w:r>
        <w:rPr>
          <w:rtl/>
        </w:rPr>
        <w:t xml:space="preserve"> היה “חכם נמרץ”</w:t>
      </w:r>
      <w:bookmarkStart w:id="5817" w:name="_fnr4441"/>
      <w:r>
        <w:rPr>
          <w:vertAlign w:val="superscript"/>
          <w:rtl/>
        </w:rPr>
        <w:footnoteReference w:id="4451" w:customMarkFollows="0"/>
      </w:r>
      <w:bookmarkEnd w:id="5817"/>
      <w:r>
        <w:rPr>
          <w:rtl/>
        </w:rPr>
        <w:t xml:space="preserve">; הוא היה בוגר יותר כשעזב את </w:t>
      </w:r>
      <w:proofErr w:type="spellStart"/>
      <w:r>
        <w:rPr>
          <w:rtl/>
        </w:rPr>
        <w:t>וולוז׳ין</w:t>
      </w:r>
      <w:proofErr w:type="spellEnd"/>
      <w:r>
        <w:rPr>
          <w:rtl/>
        </w:rPr>
        <w:t xml:space="preserve">; ו[מסתבר] שהיה מתמיד פחות בלימודו מר׳ </w:t>
      </w:r>
      <w:proofErr w:type="spellStart"/>
      <w:r>
        <w:rPr>
          <w:rtl/>
        </w:rPr>
        <w:t>יוסל׳ה</w:t>
      </w:r>
      <w:proofErr w:type="spellEnd"/>
      <w:r>
        <w:rPr>
          <w:rtl/>
        </w:rPr>
        <w:t xml:space="preserve">, ולכן היה לו פנאי רב יותר להעריך את סביבתו. השווה גם פרק 2, סוף </w:t>
      </w:r>
      <w:r>
        <w:rPr>
          <w:rtl/>
        </w:rPr>
        <w:fldChar w:fldCharType="begin" w:dirty="true"/>
      </w:r>
      <w:r>
        <w:rPr>
          <w:rtl/>
        </w:rPr>
        <w:instrText xml:space="preserve"> REF b2_excA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א</w:t>
      </w:r>
      <w:r>
        <w:rPr>
          <w:rtl/>
        </w:rPr>
        <w:fldChar w:fldCharType="end"/>
      </w:r>
      <w:r>
        <w:rPr>
          <w:rtl/>
        </w:rPr>
        <w:t>.</w:t>
      </w:r>
    </w:p>
    <w:p w14:paraId="34A26809" w14:textId="77777777" w:rsidR="00AB3647" w:rsidRDefault="00000000" w:rsidP="007923E9">
      <w:pPr>
        <w:spacing w:after="120" w:line="276" w:lineRule="auto"/>
        <w:ind w:firstLine="283"/>
        <w:jc w:val="both"/>
      </w:pPr>
      <w:r>
        <w:rPr>
          <w:rtl/>
        </w:rPr>
        <w:t xml:space="preserve">ר׳ </w:t>
      </w:r>
      <w:proofErr w:type="spellStart"/>
      <w:r>
        <w:rPr>
          <w:rtl/>
        </w:rPr>
        <w:t>משולם־דוד</w:t>
      </w:r>
      <w:proofErr w:type="spellEnd"/>
      <w:r>
        <w:rPr>
          <w:rtl/>
        </w:rPr>
        <w:t xml:space="preserve"> חשב אז רגעים אחדים על מחציתה השנייה של אמרת ר׳ </w:t>
      </w:r>
      <w:proofErr w:type="spellStart"/>
      <w:r>
        <w:rPr>
          <w:rtl/>
        </w:rPr>
        <w:t>דוד־טעביל</w:t>
      </w:r>
      <w:proofErr w:type="spellEnd"/>
      <w:r>
        <w:rPr>
          <w:rtl/>
        </w:rPr>
        <w:t xml:space="preserve"> על ר׳ </w:t>
      </w:r>
      <w:proofErr w:type="spellStart"/>
      <w:r>
        <w:rPr>
          <w:rtl/>
        </w:rPr>
        <w:t>איצל׳ה</w:t>
      </w:r>
      <w:proofErr w:type="spellEnd"/>
      <w:r>
        <w:rPr>
          <w:rtl/>
        </w:rPr>
        <w:t xml:space="preserve">, ואמר: “ר׳ </w:t>
      </w:r>
      <w:proofErr w:type="spellStart"/>
      <w:r>
        <w:rPr>
          <w:rtl/>
        </w:rPr>
        <w:t>איצל׳ה</w:t>
      </w:r>
      <w:proofErr w:type="spellEnd"/>
      <w:r>
        <w:rPr>
          <w:rtl/>
        </w:rPr>
        <w:t xml:space="preserve"> נפטר </w:t>
      </w:r>
      <w:proofErr w:type="spellStart"/>
      <w:r>
        <w:rPr>
          <w:rtl/>
        </w:rPr>
        <w:t>באיווניץ</w:t>
      </w:r>
      <w:proofErr w:type="spellEnd"/>
      <w:r>
        <w:rPr>
          <w:rtl/>
        </w:rPr>
        <w:t xml:space="preserve">, עיירה המרוחקת כעשרים ושלושה קילומטר </w:t>
      </w:r>
      <w:proofErr w:type="spellStart"/>
      <w:r>
        <w:rPr>
          <w:rtl/>
        </w:rPr>
        <w:t>מוולוז׳ין</w:t>
      </w:r>
      <w:proofErr w:type="spellEnd"/>
      <w:r>
        <w:rPr>
          <w:rtl/>
        </w:rPr>
        <w:t xml:space="preserve">, שם ביקר אצל בתו, ונקבר שם. מדוע לא הביאוהו </w:t>
      </w:r>
      <w:proofErr w:type="spellStart"/>
      <w:r>
        <w:rPr>
          <w:rtl/>
        </w:rPr>
        <w:t>לוולוז׳ין</w:t>
      </w:r>
      <w:proofErr w:type="spellEnd"/>
      <w:r>
        <w:rPr>
          <w:rtl/>
        </w:rPr>
        <w:t xml:space="preserve"> להיקבר ליד אביו הגדול? אולי העיר שבה נפטר לא הניחה להוציאו – כפי שעושים החסידים כשרבי חסידי מעיר אחרת נפטר בקרבם. ר׳ </w:t>
      </w:r>
      <w:proofErr w:type="spellStart"/>
      <w:r>
        <w:rPr>
          <w:rtl/>
        </w:rPr>
        <w:t>דוד־טעביל</w:t>
      </w:r>
      <w:proofErr w:type="spellEnd"/>
      <w:r>
        <w:rPr>
          <w:rtl/>
        </w:rPr>
        <w:t xml:space="preserve"> התכוון לומר: ‘מפני שר׳ </w:t>
      </w:r>
      <w:proofErr w:type="spellStart"/>
      <w:r>
        <w:rPr>
          <w:rtl/>
        </w:rPr>
        <w:t>איצל׳ה</w:t>
      </w:r>
      <w:proofErr w:type="spellEnd"/>
      <w:r>
        <w:rPr>
          <w:rtl/>
        </w:rPr>
        <w:t xml:space="preserve"> חי כרבי חסידי – שהיה פיקח יותר מאשר אדוק – מת כרבי חסידי ולא זכה להיקבר ליד אביו הגדול בבית העלמין של </w:t>
      </w:r>
      <w:proofErr w:type="spellStart"/>
      <w:r>
        <w:rPr>
          <w:rtl/>
        </w:rPr>
        <w:t>וולוז׳ין</w:t>
      </w:r>
      <w:proofErr w:type="spellEnd"/>
      <w:r>
        <w:rPr>
          <w:rtl/>
        </w:rPr>
        <w:t>’”.</w:t>
      </w:r>
    </w:p>
    <w:p w14:paraId="557E012D" w14:textId="77777777" w:rsidR="00AB3647" w:rsidRDefault="00000000" w:rsidP="007923E9">
      <w:pPr>
        <w:spacing w:after="120" w:line="276" w:lineRule="auto"/>
        <w:ind w:firstLine="283"/>
        <w:jc w:val="both"/>
      </w:pPr>
      <w:r>
        <w:rPr>
          <w:rtl/>
        </w:rPr>
        <w:t xml:space="preserve">ר׳ </w:t>
      </w:r>
      <w:proofErr w:type="spellStart"/>
      <w:r>
        <w:rPr>
          <w:rtl/>
        </w:rPr>
        <w:t>משולם־דוד</w:t>
      </w:r>
      <w:proofErr w:type="spellEnd"/>
      <w:r>
        <w:rPr>
          <w:rtl/>
        </w:rPr>
        <w:t xml:space="preserve"> שקל את הצעתי, שאולי נקבר ר׳ </w:t>
      </w:r>
      <w:proofErr w:type="spellStart"/>
      <w:r>
        <w:rPr>
          <w:rtl/>
        </w:rPr>
        <w:t>איצל׳ה</w:t>
      </w:r>
      <w:proofErr w:type="spellEnd"/>
      <w:r>
        <w:rPr>
          <w:rtl/>
        </w:rPr>
        <w:t xml:space="preserve"> במקום שבו נפטר מפני שנפטר בערב שבת. אך ר׳ </w:t>
      </w:r>
      <w:proofErr w:type="spellStart"/>
      <w:r>
        <w:rPr>
          <w:rtl/>
        </w:rPr>
        <w:t>משולם־דוד</w:t>
      </w:r>
      <w:proofErr w:type="spellEnd"/>
      <w:r>
        <w:rPr>
          <w:rtl/>
        </w:rPr>
        <w:t xml:space="preserve"> דחה אותה, שכן אילו הייתה הבעיה השבת, היו יכולים לקבור את ר׳ </w:t>
      </w:r>
      <w:proofErr w:type="spellStart"/>
      <w:r>
        <w:rPr>
          <w:rtl/>
        </w:rPr>
        <w:t>איצל׳ה</w:t>
      </w:r>
      <w:proofErr w:type="spellEnd"/>
      <w:r>
        <w:rPr>
          <w:rtl/>
        </w:rPr>
        <w:t xml:space="preserve"> בתנאי שיעבירוהו </w:t>
      </w:r>
      <w:proofErr w:type="spellStart"/>
      <w:r>
        <w:rPr>
          <w:rtl/>
        </w:rPr>
        <w:t>לוולוז׳ין</w:t>
      </w:r>
      <w:proofErr w:type="spellEnd"/>
      <w:r>
        <w:rPr>
          <w:rtl/>
        </w:rPr>
        <w:t xml:space="preserve"> לאחר השבת – וגם בלי תנאי זה מותר להעביר נפטר קבור לקבורת משפחה</w:t>
      </w:r>
      <w:bookmarkStart w:id="5818" w:name="_fnr4442"/>
      <w:r>
        <w:rPr>
          <w:vertAlign w:val="superscript"/>
          <w:rtl/>
        </w:rPr>
        <w:footnoteReference w:id="4452" w:customMarkFollows="0"/>
      </w:r>
      <w:bookmarkEnd w:id="5818"/>
      <w:r>
        <w:rPr>
          <w:rtl/>
        </w:rPr>
        <w:t>.</w:t>
      </w:r>
    </w:p>
    <w:p w14:paraId="5E00085E" w14:textId="77777777" w:rsidR="00AB3647" w:rsidRDefault="00000000" w:rsidP="007923E9">
      <w:pPr>
        <w:spacing w:after="120" w:line="276" w:lineRule="auto"/>
        <w:ind w:firstLine="283"/>
        <w:jc w:val="both"/>
      </w:pPr>
      <w:r>
        <w:rPr>
          <w:rtl/>
        </w:rPr>
        <w:t xml:space="preserve">לפי ר׳ </w:t>
      </w:r>
      <w:proofErr w:type="spellStart"/>
      <w:r>
        <w:rPr>
          <w:rtl/>
        </w:rPr>
        <w:t>אברהם־ישעיה</w:t>
      </w:r>
      <w:proofErr w:type="spellEnd"/>
      <w:r>
        <w:rPr>
          <w:rtl/>
        </w:rPr>
        <w:t xml:space="preserve"> </w:t>
      </w:r>
      <w:proofErr w:type="spellStart"/>
      <w:r>
        <w:rPr>
          <w:rtl/>
        </w:rPr>
        <w:t>אלינסון</w:t>
      </w:r>
      <w:bookmarkStart w:id="5819" w:name="_fnr4443"/>
      <w:proofErr w:type="spellEnd"/>
      <w:r>
        <w:rPr>
          <w:vertAlign w:val="superscript"/>
          <w:rtl/>
        </w:rPr>
        <w:footnoteReference w:id="4453" w:customMarkFollows="0"/>
      </w:r>
      <w:bookmarkEnd w:id="5819"/>
      <w:r>
        <w:rPr>
          <w:rtl/>
        </w:rPr>
        <w:t xml:space="preserve">, מספרים בחוגי </w:t>
      </w:r>
      <w:proofErr w:type="spellStart"/>
      <w:r>
        <w:rPr>
          <w:rtl/>
        </w:rPr>
        <w:t>בריסק</w:t>
      </w:r>
      <w:proofErr w:type="spellEnd"/>
      <w:r>
        <w:rPr>
          <w:rtl/>
        </w:rPr>
        <w:t xml:space="preserve"> בירושלים שאף שר׳ </w:t>
      </w:r>
      <w:proofErr w:type="spellStart"/>
      <w:r>
        <w:rPr>
          <w:rtl/>
        </w:rPr>
        <w:t>איצל׳ה</w:t>
      </w:r>
      <w:proofErr w:type="spellEnd"/>
      <w:r>
        <w:rPr>
          <w:rtl/>
        </w:rPr>
        <w:t xml:space="preserve"> לא נקבר ליד אביו, נתקיימה בדרך עקיפה המשאלה שהביע בחייו, שהוא “רוצה לשכב ליד ר׳ חיים”: כשנפטר במפתיע </w:t>
      </w:r>
      <w:proofErr w:type="spellStart"/>
      <w:r>
        <w:rPr>
          <w:rtl/>
        </w:rPr>
        <w:t>באיווניץ</w:t>
      </w:r>
      <w:proofErr w:type="spellEnd"/>
      <w:r>
        <w:rPr>
          <w:rtl/>
        </w:rPr>
        <w:t xml:space="preserve">, נקבר בבית העלמין שבו היה קבור הצדיק הגדול ר׳ חיים </w:t>
      </w:r>
      <w:proofErr w:type="spellStart"/>
      <w:r>
        <w:rPr>
          <w:rtl/>
        </w:rPr>
        <w:t>ז׳לודקר</w:t>
      </w:r>
      <w:proofErr w:type="spellEnd"/>
      <w:r>
        <w:rPr>
          <w:rtl/>
        </w:rPr>
        <w:t xml:space="preserve">. אדיקותו של </w:t>
      </w:r>
      <w:proofErr w:type="spellStart"/>
      <w:r>
        <w:rPr>
          <w:rtl/>
        </w:rPr>
        <w:t>הז׳לודקר</w:t>
      </w:r>
      <w:proofErr w:type="spellEnd"/>
      <w:r>
        <w:rPr>
          <w:rtl/>
        </w:rPr>
        <w:t xml:space="preserve"> הייתה מופלגת כל כך, עד שאמרו שתפילותיו נענות תמיד בחיוב – עד כדי כך שר׳ חיים </w:t>
      </w:r>
      <w:proofErr w:type="spellStart"/>
      <w:r>
        <w:rPr>
          <w:rtl/>
        </w:rPr>
        <w:t>מוולוז׳ין</w:t>
      </w:r>
      <w:proofErr w:type="spellEnd"/>
      <w:r>
        <w:rPr>
          <w:rtl/>
        </w:rPr>
        <w:t xml:space="preserve"> פסק שבמקרה של סכנת חיים מותר לנסוע אל ר׳ חיים </w:t>
      </w:r>
      <w:proofErr w:type="spellStart"/>
      <w:r>
        <w:rPr>
          <w:rtl/>
        </w:rPr>
        <w:t>ז׳לודקר</w:t>
      </w:r>
      <w:proofErr w:type="spellEnd"/>
      <w:r>
        <w:rPr>
          <w:rtl/>
        </w:rPr>
        <w:t xml:space="preserve"> בסוס ועגלה בשבת, כדי לבקש שיתפלל לפני הקב״ה</w:t>
      </w:r>
      <w:bookmarkStart w:id="5820" w:name="_fnr4444"/>
      <w:bookmarkStart w:id="5821" w:name="pr_f_4327"/>
      <w:r>
        <w:rPr>
          <w:vertAlign w:val="superscript"/>
          <w:rtl/>
        </w:rPr>
        <w:footnoteReference w:id="4454" w:customMarkFollows="0"/>
      </w:r>
      <w:bookmarkEnd w:id="5820"/>
      <w:bookmarkEnd w:id="5821"/>
      <w:r>
        <w:rPr>
          <w:rtl/>
        </w:rPr>
        <w:t>.</w:t>
      </w:r>
    </w:p>
    <w:p w14:paraId="424DE301" w14:textId="77777777" w:rsidR="00AB3647" w:rsidRDefault="00000000" w:rsidP="007923E9">
      <w:pPr>
        <w:spacing w:after="120" w:line="276" w:lineRule="auto"/>
        <w:ind w:firstLine="283"/>
        <w:jc w:val="both"/>
      </w:pPr>
      <w:r>
        <w:rPr>
          <w:rtl/>
        </w:rPr>
        <w:lastRenderedPageBreak/>
        <w:t xml:space="preserve">אין לקבל כפשוטו את המעשה </w:t>
      </w:r>
      <w:proofErr w:type="spellStart"/>
      <w:r>
        <w:rPr>
          <w:rtl/>
        </w:rPr>
        <w:t>הבריסקאי</w:t>
      </w:r>
      <w:proofErr w:type="spellEnd"/>
      <w:r>
        <w:rPr>
          <w:rtl/>
        </w:rPr>
        <w:t xml:space="preserve"> על משאלתו של ר׳ </w:t>
      </w:r>
      <w:proofErr w:type="spellStart"/>
      <w:r>
        <w:rPr>
          <w:rtl/>
        </w:rPr>
        <w:t>איצל׳ה</w:t>
      </w:r>
      <w:proofErr w:type="spellEnd"/>
      <w:r>
        <w:rPr>
          <w:rtl/>
        </w:rPr>
        <w:t xml:space="preserve">, שהרי ודאי לא היה מכנה את אביו “ר׳ חיים”. עלינו אפוא להבין מסורת זו כך: כדי להצדיק את קבורתו </w:t>
      </w:r>
      <w:proofErr w:type="spellStart"/>
      <w:r>
        <w:rPr>
          <w:rtl/>
        </w:rPr>
        <w:t>באיווניץ</w:t>
      </w:r>
      <w:proofErr w:type="spellEnd"/>
      <w:r>
        <w:rPr>
          <w:rtl/>
        </w:rPr>
        <w:t xml:space="preserve"> ולא </w:t>
      </w:r>
      <w:proofErr w:type="spellStart"/>
      <w:r>
        <w:rPr>
          <w:rtl/>
        </w:rPr>
        <w:t>בוולוז׳ין</w:t>
      </w:r>
      <w:proofErr w:type="spellEnd"/>
      <w:r>
        <w:rPr>
          <w:rtl/>
        </w:rPr>
        <w:t xml:space="preserve">, אמרו הבריות שר׳ </w:t>
      </w:r>
      <w:proofErr w:type="spellStart"/>
      <w:r>
        <w:rPr>
          <w:rtl/>
        </w:rPr>
        <w:t>איצל׳ה</w:t>
      </w:r>
      <w:proofErr w:type="spellEnd"/>
      <w:r>
        <w:rPr>
          <w:rtl/>
        </w:rPr>
        <w:t xml:space="preserve"> הובא למנוחות, אם לא ליד ר׳ חיים גדול אחד (אביו), ליד ר׳ חיים גדול אחר (</w:t>
      </w:r>
      <w:proofErr w:type="spellStart"/>
      <w:r>
        <w:rPr>
          <w:rtl/>
        </w:rPr>
        <w:t>מז׳לודוק</w:t>
      </w:r>
      <w:proofErr w:type="spellEnd"/>
      <w:r>
        <w:rPr>
          <w:rtl/>
        </w:rPr>
        <w:t xml:space="preserve">). הצורך בהתנצלות מוכיח שהרגישו שר׳ </w:t>
      </w:r>
      <w:proofErr w:type="spellStart"/>
      <w:r>
        <w:rPr>
          <w:rtl/>
        </w:rPr>
        <w:t>איצל׳ה</w:t>
      </w:r>
      <w:proofErr w:type="spellEnd"/>
      <w:r>
        <w:rPr>
          <w:rtl/>
        </w:rPr>
        <w:t xml:space="preserve"> נקבר במקום שאינו מקומו – כנראה מפני שהעיירה עמדה על כך שישאירוהו בתחומה, כפי שהיה עשוי לקרות ברבי חסידי.</w:t>
      </w:r>
    </w:p>
    <w:p w14:paraId="410A6392" w14:textId="77777777" w:rsidR="00AB3647" w:rsidRDefault="00000000" w:rsidP="007923E9">
      <w:pPr>
        <w:spacing w:after="120" w:line="276" w:lineRule="auto"/>
        <w:ind w:firstLine="283"/>
        <w:jc w:val="both"/>
      </w:pPr>
      <w:r>
        <w:rPr>
          <w:rtl/>
        </w:rPr>
        <w:t xml:space="preserve">לאור זאת אפשר להבין גם את מה שעשתה העיר אחרי הקבורה, כפי שמתאר </w:t>
      </w:r>
      <w:proofErr w:type="spellStart"/>
      <w:r>
        <w:rPr>
          <w:rtl/>
        </w:rPr>
        <w:t>הנצי״ב</w:t>
      </w:r>
      <w:proofErr w:type="spellEnd"/>
      <w:r>
        <w:rPr>
          <w:rtl/>
        </w:rPr>
        <w:t xml:space="preserve"> </w:t>
      </w:r>
      <w:proofErr w:type="spellStart"/>
      <w:r>
        <w:rPr>
          <w:rtl/>
        </w:rPr>
        <w:t>בשו״ת</w:t>
      </w:r>
      <w:proofErr w:type="spellEnd"/>
      <w:r>
        <w:rPr>
          <w:rtl/>
        </w:rPr>
        <w:t xml:space="preserve"> “משיב דבר”</w:t>
      </w:r>
      <w:bookmarkStart w:id="5822" w:name="_fnr4445"/>
      <w:r>
        <w:rPr>
          <w:vertAlign w:val="superscript"/>
          <w:rtl/>
        </w:rPr>
        <w:footnoteReference w:id="4455" w:customMarkFollows="0"/>
      </w:r>
      <w:bookmarkEnd w:id="5822"/>
      <w:r>
        <w:rPr>
          <w:rtl/>
        </w:rPr>
        <w:t>. בנו ר׳ חיים ברלין שאל אותו על המנהג הכללי ללמוד תורה בבית האבל, שנראה סותר את הגמרא, “חכם שמת בית מדרשו בטל”</w:t>
      </w:r>
      <w:bookmarkStart w:id="5823" w:name="_fnr4446"/>
      <w:r>
        <w:rPr>
          <w:vertAlign w:val="superscript"/>
          <w:rtl/>
        </w:rPr>
        <w:footnoteReference w:id="4456" w:customMarkFollows="0"/>
      </w:r>
      <w:bookmarkEnd w:id="5823"/>
      <w:r>
        <w:rPr>
          <w:rtl/>
        </w:rPr>
        <w:t xml:space="preserve">, </w:t>
      </w:r>
      <w:proofErr w:type="spellStart"/>
      <w:r>
        <w:rPr>
          <w:rtl/>
        </w:rPr>
        <w:t>והנצי״ב</w:t>
      </w:r>
      <w:proofErr w:type="spellEnd"/>
      <w:r>
        <w:rPr>
          <w:rtl/>
        </w:rPr>
        <w:t xml:space="preserve"> השיב שהדבר חל רק על תלמידי החכם, ולא על “חבריו וכיוצא בהם”. הוא מוסיף ומספר: “בפטירת חותני הגאון ז״ל ר׳ </w:t>
      </w:r>
      <w:proofErr w:type="spellStart"/>
      <w:r>
        <w:rPr>
          <w:rtl/>
        </w:rPr>
        <w:t>איצל׳ה</w:t>
      </w:r>
      <w:proofErr w:type="spellEnd"/>
      <w:r>
        <w:rPr>
          <w:rtl/>
        </w:rPr>
        <w:t xml:space="preserve"> עשינו כך: בבית המדרש של ישיבת </w:t>
      </w:r>
      <w:proofErr w:type="spellStart"/>
      <w:r>
        <w:rPr>
          <w:rtl/>
        </w:rPr>
        <w:t>וולוז׳ין</w:t>
      </w:r>
      <w:proofErr w:type="spellEnd"/>
      <w:r>
        <w:rPr>
          <w:rtl/>
        </w:rPr>
        <w:t xml:space="preserve"> בטלו, אך בכל זאת במקום שבו נפטר [</w:t>
      </w:r>
      <w:proofErr w:type="spellStart"/>
      <w:r>
        <w:rPr>
          <w:rtl/>
        </w:rPr>
        <w:t>איווניץ</w:t>
      </w:r>
      <w:proofErr w:type="spellEnd"/>
      <w:r>
        <w:rPr>
          <w:rtl/>
        </w:rPr>
        <w:t>] למדו עשרה אנשים מן השוק תורה לנחת רוח לנשמתו”.</w:t>
      </w:r>
    </w:p>
    <w:p w14:paraId="469AB972" w14:textId="77777777" w:rsidR="00AB3647" w:rsidRDefault="00000000" w:rsidP="007923E9">
      <w:pPr>
        <w:spacing w:after="120" w:line="276" w:lineRule="auto"/>
        <w:ind w:firstLine="283"/>
        <w:jc w:val="both"/>
      </w:pPr>
      <w:r>
        <w:rPr>
          <w:rtl/>
        </w:rPr>
        <w:t xml:space="preserve">ייתכן שאנשי </w:t>
      </w:r>
      <w:proofErr w:type="spellStart"/>
      <w:r>
        <w:rPr>
          <w:rtl/>
        </w:rPr>
        <w:t>איווניץ</w:t>
      </w:r>
      <w:proofErr w:type="spellEnd"/>
      <w:r>
        <w:rPr>
          <w:rtl/>
        </w:rPr>
        <w:t xml:space="preserve"> עשו מעשה בלתי רגיל זה מפני שחשו שבמידה מסוימת פגעו בר׳ </w:t>
      </w:r>
      <w:proofErr w:type="spellStart"/>
      <w:r>
        <w:rPr>
          <w:rtl/>
        </w:rPr>
        <w:t>איצל׳ה</w:t>
      </w:r>
      <w:proofErr w:type="spellEnd"/>
      <w:r>
        <w:rPr>
          <w:rtl/>
        </w:rPr>
        <w:t xml:space="preserve"> כשהשאירו אותו בעירם. אפשר עוד לשער שדווקא האנשים ששכנעו את ראשי העיר להשאיר את ר׳ </w:t>
      </w:r>
      <w:proofErr w:type="spellStart"/>
      <w:r>
        <w:rPr>
          <w:rtl/>
        </w:rPr>
        <w:t>איצל׳ה</w:t>
      </w:r>
      <w:proofErr w:type="spellEnd"/>
      <w:r>
        <w:rPr>
          <w:rtl/>
        </w:rPr>
        <w:t xml:space="preserve"> בעירם הם שלמדו תורה למענו, ומשום כך מכנה אותם </w:t>
      </w:r>
      <w:proofErr w:type="spellStart"/>
      <w:r>
        <w:rPr>
          <w:rtl/>
        </w:rPr>
        <w:t>הנצי״ב</w:t>
      </w:r>
      <w:proofErr w:type="spellEnd"/>
      <w:r>
        <w:rPr>
          <w:rtl/>
        </w:rPr>
        <w:t xml:space="preserve"> בלשון משונה “אנשים מן השוק”</w:t>
      </w:r>
      <w:bookmarkStart w:id="5824" w:name="_fnr4447"/>
      <w:r>
        <w:rPr>
          <w:vertAlign w:val="superscript"/>
          <w:rtl/>
        </w:rPr>
        <w:footnoteReference w:id="4457" w:customMarkFollows="0"/>
      </w:r>
      <w:bookmarkEnd w:id="5824"/>
      <w:r>
        <w:rPr>
          <w:rtl/>
        </w:rPr>
        <w:t>, ולא בפשטות “אנשי העיר”.</w:t>
      </w:r>
    </w:p>
    <w:p w14:paraId="38C92959" w14:textId="1B0D4F24" w:rsidR="00AB3647" w:rsidRDefault="00000000" w:rsidP="007923E9">
      <w:pPr>
        <w:spacing w:after="120" w:line="276" w:lineRule="auto"/>
        <w:ind w:firstLine="283"/>
        <w:jc w:val="both"/>
      </w:pPr>
      <w:bookmarkStart w:id="5825" w:name="pr_b_2480"/>
      <w:bookmarkEnd w:id="5825"/>
      <w:r>
        <w:rPr>
          <w:rtl/>
        </w:rPr>
        <w:t xml:space="preserve">ר׳ מאיר </w:t>
      </w:r>
      <w:proofErr w:type="spellStart"/>
      <w:r>
        <w:rPr>
          <w:rtl/>
        </w:rPr>
        <w:t>סולובייצ׳יק</w:t>
      </w:r>
      <w:proofErr w:type="spellEnd"/>
      <w:r>
        <w:rPr>
          <w:rtl/>
        </w:rPr>
        <w:t xml:space="preserve">, אחיו של ר׳ </w:t>
      </w:r>
      <w:proofErr w:type="spellStart"/>
      <w:r>
        <w:rPr>
          <w:rtl/>
        </w:rPr>
        <w:t>משולם־דוד</w:t>
      </w:r>
      <w:proofErr w:type="spellEnd"/>
      <w:r>
        <w:rPr>
          <w:rtl/>
        </w:rPr>
        <w:t>, גילה</w:t>
      </w:r>
      <w:bookmarkStart w:id="5826" w:name="_fnr4448"/>
      <w:r>
        <w:rPr>
          <w:vertAlign w:val="superscript"/>
          <w:rtl/>
        </w:rPr>
        <w:footnoteReference w:id="4458" w:customMarkFollows="0"/>
      </w:r>
      <w:bookmarkEnd w:id="5826"/>
      <w:r>
        <w:rPr>
          <w:rtl/>
        </w:rPr>
        <w:t xml:space="preserve"> שכאשר נפטר עוד אחד מבני בית הרב (ראה פרק 3, הערה </w:t>
      </w:r>
      <w:r>
        <w:rPr>
          <w:rtl/>
        </w:rPr>
        <w:fldChar w:fldCharType="begin" w:dirty="true"/>
      </w:r>
      <w:r>
        <w:rPr>
          <w:rtl/>
        </w:rPr>
        <w:instrText xml:space="preserve"> REF b3_note11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11</w:t>
      </w:r>
      <w:r>
        <w:rPr>
          <w:rtl/>
        </w:rPr>
        <w:fldChar w:fldCharType="end"/>
      </w:r>
      <w:r>
        <w:rPr>
          <w:rtl/>
        </w:rPr>
        <w:t xml:space="preserve">), ביקשה גם העיר שבה נפטר לקבור אותו בה. היה זה סבו של המרואיין, ר׳ חיים </w:t>
      </w:r>
      <w:proofErr w:type="spellStart"/>
      <w:r>
        <w:rPr>
          <w:rtl/>
        </w:rPr>
        <w:t>סולובייצ׳יק</w:t>
      </w:r>
      <w:proofErr w:type="spellEnd"/>
      <w:r>
        <w:rPr>
          <w:rtl/>
        </w:rPr>
        <w:t xml:space="preserve">, והעיירה הייתה </w:t>
      </w:r>
      <w:proofErr w:type="spellStart"/>
      <w:r>
        <w:rPr>
          <w:rtl/>
        </w:rPr>
        <w:t>אוטבוצק</w:t>
      </w:r>
      <w:proofErr w:type="spellEnd"/>
      <w:r>
        <w:rPr>
          <w:rtl/>
        </w:rPr>
        <w:t xml:space="preserve">, מקום נופש שלפי תיאורו של ר׳ מאיר היו בו בתים מרוחקים זה מזה, וכל אחד מהם מוקף חורשות. בנו של ר׳ חיים, ר׳ יצחק־זאב, אמר לבני העיירה שישאל את הצדיק ר׳ נפתלי </w:t>
      </w:r>
      <w:proofErr w:type="spellStart"/>
      <w:r>
        <w:rPr>
          <w:rtl/>
        </w:rPr>
        <w:t>זילברברג</w:t>
      </w:r>
      <w:proofErr w:type="spellEnd"/>
      <w:r>
        <w:rPr>
          <w:rtl/>
        </w:rPr>
        <w:t xml:space="preserve"> (</w:t>
      </w:r>
      <w:proofErr w:type="spellStart"/>
      <w:r>
        <w:rPr>
          <w:rtl/>
        </w:rPr>
        <w:t>הוויירושובר</w:t>
      </w:r>
      <w:proofErr w:type="spellEnd"/>
      <w:r>
        <w:rPr>
          <w:rtl/>
        </w:rPr>
        <w:t>)</w:t>
      </w:r>
      <w:bookmarkStart w:id="5827" w:name="_fnr4449"/>
      <w:r>
        <w:rPr>
          <w:vertAlign w:val="superscript"/>
          <w:rtl/>
        </w:rPr>
        <w:footnoteReference w:id="4459" w:customMarkFollows="0"/>
      </w:r>
      <w:bookmarkEnd w:id="5827"/>
      <w:r>
        <w:rPr>
          <w:rtl/>
        </w:rPr>
        <w:t xml:space="preserve">, מו״ץ גדול מוורשה שגם הוא נפש בעיירה, היכן ראוי להביא את הנפטר למנוחות. ר׳ מאיר סיפר שר׳ יצחק־זאב חשש לקבור את אביו בבית העלמין הקטן של </w:t>
      </w:r>
      <w:proofErr w:type="spellStart"/>
      <w:r>
        <w:rPr>
          <w:rtl/>
        </w:rPr>
        <w:t>אוטבוצק</w:t>
      </w:r>
      <w:proofErr w:type="spellEnd"/>
      <w:r>
        <w:rPr>
          <w:rtl/>
        </w:rPr>
        <w:t>, המרוחק מן העיירה, מפני שנפוצה שמועה שבמהומה ובמחסור ששררו בפולין בסוף מלחמת העולם הראשונה היו גויים חופרים קברים חדשים בעיירות קטנות כדי לגנוב את תכריכי המתים!</w:t>
      </w:r>
    </w:p>
    <w:p w14:paraId="18441A7E" w14:textId="77777777" w:rsidR="00AB3647" w:rsidRDefault="00000000" w:rsidP="007923E9">
      <w:pPr>
        <w:spacing w:after="120" w:line="276" w:lineRule="auto"/>
        <w:ind w:firstLine="283"/>
        <w:jc w:val="both"/>
      </w:pPr>
      <w:r>
        <w:rPr>
          <w:rtl/>
        </w:rPr>
        <w:lastRenderedPageBreak/>
        <w:t xml:space="preserve">ר׳ נפתלי </w:t>
      </w:r>
      <w:proofErr w:type="spellStart"/>
      <w:r>
        <w:rPr>
          <w:rtl/>
        </w:rPr>
        <w:t>זילברברג</w:t>
      </w:r>
      <w:proofErr w:type="spellEnd"/>
      <w:r>
        <w:rPr>
          <w:rtl/>
        </w:rPr>
        <w:t xml:space="preserve"> פסק שמפני </w:t>
      </w:r>
      <w:proofErr w:type="spellStart"/>
      <w:r>
        <w:rPr>
          <w:rtl/>
        </w:rPr>
        <w:t>ש“חתנו</w:t>
      </w:r>
      <w:proofErr w:type="spellEnd"/>
      <w:r>
        <w:rPr>
          <w:rtl/>
        </w:rPr>
        <w:t xml:space="preserve"> כבנו”</w:t>
      </w:r>
      <w:bookmarkStart w:id="5828" w:name="_fnr4450"/>
      <w:bookmarkStart w:id="5829" w:name="pr_f_4333"/>
      <w:r>
        <w:rPr>
          <w:vertAlign w:val="superscript"/>
          <w:rtl/>
        </w:rPr>
        <w:footnoteReference w:id="4460" w:customMarkFollows="0"/>
      </w:r>
      <w:bookmarkEnd w:id="5828"/>
      <w:bookmarkEnd w:id="5829"/>
      <w:r>
        <w:rPr>
          <w:rtl/>
        </w:rPr>
        <w:t xml:space="preserve">, ראוי שר׳ חיים ייקבר בבית העלמין בוורשה, שבו מצוי קבר “חותנו”</w:t>
      </w:r>
      <w:bookmarkStart w:id="5830" w:name="_fnr4451"/>
      <w:r>
        <w:rPr>
          <w:vertAlign w:val="superscript"/>
          <w:rtl/>
        </w:rPr>
        <w:footnoteReference w:id="4461" w:customMarkFollows="0"/>
      </w:r>
      <w:bookmarkEnd w:id="5830"/>
      <w:r>
        <w:rPr>
          <w:rtl/>
        </w:rPr>
        <w:t xml:space="preserve">, </w:t>
      </w:r>
      <w:proofErr w:type="spellStart"/>
      <w:r>
        <w:rPr>
          <w:rtl/>
        </w:rPr>
        <w:t>הנצי״ב</w:t>
      </w:r>
      <w:bookmarkStart w:id="5831" w:name="_fnr4452"/>
      <w:proofErr w:type="spellEnd"/>
      <w:r>
        <w:rPr>
          <w:vertAlign w:val="superscript"/>
          <w:rtl/>
        </w:rPr>
        <w:footnoteReference w:id="4462" w:customMarkFollows="0"/>
      </w:r>
      <w:bookmarkEnd w:id="5831"/>
      <w:r>
        <w:rPr>
          <w:rtl/>
        </w:rPr>
        <w:t xml:space="preserve">. </w:t>
      </w:r>
      <w:proofErr w:type="spellStart"/>
      <w:r>
        <w:rPr>
          <w:rtl/>
        </w:rPr>
        <w:t>באוטבוצק</w:t>
      </w:r>
      <w:proofErr w:type="spellEnd"/>
      <w:r>
        <w:rPr>
          <w:rtl/>
        </w:rPr>
        <w:t xml:space="preserve"> נשמעו הספדים גדולים, ובהם הספדו של הרבי </w:t>
      </w:r>
      <w:proofErr w:type="spellStart"/>
      <w:r>
        <w:rPr>
          <w:rtl/>
        </w:rPr>
        <w:t>מרדזין</w:t>
      </w:r>
      <w:proofErr w:type="spellEnd"/>
      <w:r>
        <w:rPr>
          <w:rtl/>
        </w:rPr>
        <w:t xml:space="preserve"> (ר׳ </w:t>
      </w:r>
      <w:proofErr w:type="spellStart"/>
      <w:r>
        <w:rPr>
          <w:rtl/>
        </w:rPr>
        <w:t>מרדכי־יוסף</w:t>
      </w:r>
      <w:proofErr w:type="spellEnd"/>
      <w:r>
        <w:rPr>
          <w:rtl/>
        </w:rPr>
        <w:t xml:space="preserve"> </w:t>
      </w:r>
      <w:proofErr w:type="spellStart"/>
      <w:r>
        <w:rPr>
          <w:rtl/>
        </w:rPr>
        <w:t>ליינר</w:t>
      </w:r>
      <w:proofErr w:type="spellEnd"/>
      <w:r>
        <w:rPr>
          <w:rtl/>
        </w:rPr>
        <w:t xml:space="preserve">), שגם הוא שהה אז בעיר, ואחר כך יצאה הלוויה לוורשה.</w:t>
      </w:r>
    </w:p>
    <w:p w14:paraId="07B9217A" w14:textId="77777777" w:rsidR="00AB3647" w:rsidRDefault="00000000" w:rsidP="007923E9">
      <w:pPr>
        <w:spacing w:after="120" w:line="276" w:lineRule="auto"/>
        <w:ind w:firstLine="283"/>
        <w:jc w:val="both"/>
      </w:pPr>
      <w:r>
        <w:rPr>
          <w:rtl/>
        </w:rPr>
        <w:t xml:space="preserve">ר׳ מאיר סיפר גם שראש הקהל בוורשה, ר׳ </w:t>
      </w:r>
      <w:proofErr w:type="spellStart"/>
      <w:r>
        <w:rPr>
          <w:rtl/>
        </w:rPr>
        <w:t>לייביש</w:t>
      </w:r>
      <w:proofErr w:type="spellEnd"/>
      <w:r>
        <w:rPr>
          <w:rtl/>
        </w:rPr>
        <w:t xml:space="preserve"> </w:t>
      </w:r>
      <w:proofErr w:type="spellStart"/>
      <w:r>
        <w:rPr>
          <w:rtl/>
        </w:rPr>
        <w:t>דוידזון</w:t>
      </w:r>
      <w:proofErr w:type="spellEnd"/>
      <w:r>
        <w:rPr>
          <w:rtl/>
        </w:rPr>
        <w:t xml:space="preserve"> – נכדו של רבה של ורשה ר׳ חיים </w:t>
      </w:r>
      <w:proofErr w:type="spellStart"/>
      <w:r>
        <w:rPr>
          <w:rtl/>
        </w:rPr>
        <w:t>דוידזון</w:t>
      </w:r>
      <w:proofErr w:type="spellEnd"/>
      <w:r>
        <w:rPr>
          <w:rtl/>
        </w:rPr>
        <w:t xml:space="preserve">, וחסידו של הנפטר – ביקש לקבור את ר׳ חיים </w:t>
      </w:r>
      <w:proofErr w:type="spellStart"/>
      <w:r>
        <w:rPr>
          <w:rtl/>
        </w:rPr>
        <w:t>סולובייצ׳יק</w:t>
      </w:r>
      <w:proofErr w:type="spellEnd"/>
      <w:r>
        <w:rPr>
          <w:rtl/>
        </w:rPr>
        <w:t xml:space="preserve"> במקום נפרד ומכובד בבית העלמין של ורשה. אבל במהלך מסע הלוויה הביע ר׳ יצחק־זאב את הסתייגותו באוזני ר׳ משה </w:t>
      </w:r>
      <w:proofErr w:type="spellStart"/>
      <w:r>
        <w:rPr>
          <w:rtl/>
        </w:rPr>
        <w:t>גווירצמן</w:t>
      </w:r>
      <w:proofErr w:type="spellEnd"/>
      <w:r>
        <w:rPr>
          <w:rtl/>
        </w:rPr>
        <w:t xml:space="preserve">, יליד </w:t>
      </w:r>
      <w:proofErr w:type="spellStart"/>
      <w:r>
        <w:rPr>
          <w:rtl/>
        </w:rPr>
        <w:t>בריסק</w:t>
      </w:r>
      <w:proofErr w:type="spellEnd"/>
      <w:r>
        <w:rPr>
          <w:rtl/>
        </w:rPr>
        <w:t xml:space="preserve"> שהיה מקורב </w:t>
      </w:r>
      <w:proofErr w:type="spellStart"/>
      <w:r>
        <w:rPr>
          <w:rtl/>
        </w:rPr>
        <w:t>לר</w:t>
      </w:r>
      <w:proofErr w:type="spellEnd"/>
      <w:r>
        <w:rPr>
          <w:rtl/>
        </w:rPr>
        <w:t xml:space="preserve">׳ חיים והתגורר </w:t>
      </w:r>
      <w:proofErr w:type="spellStart"/>
      <w:r>
        <w:rPr>
          <w:rtl/>
        </w:rPr>
        <w:t>בלודז</w:t>
      </w:r>
      <w:proofErr w:type="spellEnd"/>
      <w:r>
        <w:rPr>
          <w:rtl/>
        </w:rPr>
        <w:t xml:space="preserve">׳. ר׳ משה </w:t>
      </w:r>
      <w:proofErr w:type="spellStart"/>
      <w:r>
        <w:rPr>
          <w:rtl/>
        </w:rPr>
        <w:t>גווירצמן</w:t>
      </w:r>
      <w:proofErr w:type="spellEnd"/>
      <w:r>
        <w:rPr>
          <w:rtl/>
        </w:rPr>
        <w:t xml:space="preserve"> סבר בעצמו שיש להביא את ר׳ חיים למנוחות בחלקה נפרדת, ובכל זאת העביר לחברה קדישא את רצונו של בן הנפטר. ר׳ יצחק־זאב הסביר אחר כך מה חששו: אילו נקבר ר׳ חיים במקום נפרד, הייתה החברה קדישא בוורשה עושה עסק ממכירת חלקות ליד קברו במחירים מופרזים, מנהג שר׳ חיים לא היה מסכים לו.</w:t>
      </w:r>
    </w:p>
    <w:p w14:paraId="644606A8" w14:textId="77777777" w:rsidR="00AB3647" w:rsidRDefault="00000000" w:rsidP="007923E9">
      <w:pPr>
        <w:spacing w:after="120" w:line="276" w:lineRule="auto"/>
        <w:ind w:firstLine="283"/>
        <w:jc w:val="both"/>
      </w:pPr>
      <w:r>
        <w:rPr>
          <w:rtl/>
        </w:rPr>
        <w:t xml:space="preserve">לפיכך הוחלט לקבור את ר׳ חיים בתוך האוהל שבו היה קבר </w:t>
      </w:r>
      <w:proofErr w:type="spellStart"/>
      <w:r>
        <w:rPr>
          <w:rtl/>
        </w:rPr>
        <w:t>הנצי״ב</w:t>
      </w:r>
      <w:proofErr w:type="spellEnd"/>
      <w:r>
        <w:rPr>
          <w:rtl/>
        </w:rPr>
        <w:t xml:space="preserve">, ונאלצו להרוס את הקיר החיצוני של האוהל כדי שיוכל להכיל קבר נוסף. לאחר השואה, שבה נהרס האוהל המקורי, נבנה אוהל חדש, ובו קבורים </w:t>
      </w:r>
      <w:proofErr w:type="spellStart"/>
      <w:r>
        <w:rPr>
          <w:rtl/>
        </w:rPr>
        <w:t>הנצי״ב</w:t>
      </w:r>
      <w:proofErr w:type="spellEnd"/>
      <w:r>
        <w:rPr>
          <w:rtl/>
        </w:rPr>
        <w:t>, ר׳ חיים וחתנו ר׳ הירש גליקסון</w:t>
      </w:r>
      <w:bookmarkStart w:id="5832" w:name="_fnr4453"/>
      <w:r>
        <w:rPr>
          <w:vertAlign w:val="superscript"/>
          <w:rtl/>
        </w:rPr>
        <w:footnoteReference w:id="4463" w:customMarkFollows="0"/>
      </w:r>
      <w:bookmarkEnd w:id="5832"/>
      <w:r>
        <w:rPr>
          <w:rtl/>
        </w:rPr>
        <w:t>, שקברו היה קודם לכן מחוץ לאוהל.</w:t>
      </w:r>
    </w:p>
    <w:p w14:paraId="6D7A43DA" w14:textId="77777777" w:rsidR="00AB3647" w:rsidRDefault="00000000" w:rsidP="007923E9">
      <w:pPr>
        <w:spacing w:after="120" w:line="276" w:lineRule="auto"/>
        <w:ind w:firstLine="283"/>
        <w:jc w:val="both"/>
      </w:pPr>
      <w:r>
        <w:rPr>
          <w:rtl/>
        </w:rPr>
        <w:t xml:space="preserve">ר׳ מאיר </w:t>
      </w:r>
      <w:proofErr w:type="spellStart"/>
      <w:r>
        <w:rPr>
          <w:rtl/>
        </w:rPr>
        <w:t>סולובייצ׳יק</w:t>
      </w:r>
      <w:proofErr w:type="spellEnd"/>
      <w:r>
        <w:rPr>
          <w:rtl/>
        </w:rPr>
        <w:t xml:space="preserve"> דחה את השאלה מדוע לא הועבר ר׳ </w:t>
      </w:r>
      <w:proofErr w:type="spellStart"/>
      <w:r>
        <w:rPr>
          <w:rtl/>
        </w:rPr>
        <w:t>איצל׳ה</w:t>
      </w:r>
      <w:proofErr w:type="spellEnd"/>
      <w:r>
        <w:rPr>
          <w:rtl/>
        </w:rPr>
        <w:t xml:space="preserve"> </w:t>
      </w:r>
      <w:proofErr w:type="spellStart"/>
      <w:r>
        <w:rPr>
          <w:rtl/>
        </w:rPr>
        <w:t>מאיווניץ</w:t>
      </w:r>
      <w:proofErr w:type="spellEnd"/>
      <w:r>
        <w:rPr>
          <w:rtl/>
        </w:rPr>
        <w:t xml:space="preserve"> </w:t>
      </w:r>
      <w:proofErr w:type="spellStart"/>
      <w:r>
        <w:rPr>
          <w:rtl/>
        </w:rPr>
        <w:t>לוולוז׳ין</w:t>
      </w:r>
      <w:proofErr w:type="spellEnd"/>
      <w:r>
        <w:rPr>
          <w:rtl/>
        </w:rPr>
        <w:t xml:space="preserve"> לאחר השבת. הוא הסביר שהעוני באותה עת היה גדול כל כך – ר׳ </w:t>
      </w:r>
      <w:proofErr w:type="spellStart"/>
      <w:r>
        <w:rPr>
          <w:rtl/>
        </w:rPr>
        <w:t>איצל׳ה</w:t>
      </w:r>
      <w:proofErr w:type="spellEnd"/>
      <w:r>
        <w:rPr>
          <w:rtl/>
        </w:rPr>
        <w:t xml:space="preserve"> אף בא </w:t>
      </w:r>
      <w:proofErr w:type="spellStart"/>
      <w:r>
        <w:rPr>
          <w:rtl/>
        </w:rPr>
        <w:t>לאיווניץ</w:t>
      </w:r>
      <w:proofErr w:type="spellEnd"/>
      <w:r>
        <w:rPr>
          <w:rtl/>
        </w:rPr>
        <w:t xml:space="preserve"> לא רק לבקר אצל בתו, אלא כדי לאסוף כסף לישיבה הענייה – עד שהעברת גופתו לא הייתה אפשרות מעשית. “דבר כזה לא נשמע באותן שנים”, סיכם. עם זאת, באמרו “מת כרבי חסידי” עשוי היה ר׳ </w:t>
      </w:r>
      <w:proofErr w:type="spellStart"/>
      <w:r>
        <w:rPr>
          <w:rtl/>
        </w:rPr>
        <w:t>דוד־טעביל</w:t>
      </w:r>
      <w:proofErr w:type="spellEnd"/>
      <w:r>
        <w:rPr>
          <w:rtl/>
        </w:rPr>
        <w:t xml:space="preserve"> להתכוון לכך שבהשגחה אירע שר׳ </w:t>
      </w:r>
      <w:proofErr w:type="spellStart"/>
      <w:r>
        <w:rPr>
          <w:rtl/>
        </w:rPr>
        <w:t>איצל׳ה</w:t>
      </w:r>
      <w:proofErr w:type="spellEnd"/>
      <w:r>
        <w:rPr>
          <w:rtl/>
        </w:rPr>
        <w:t xml:space="preserve"> נפטר – ולכן נשאר קבור – במקום אחר מן המקום שבו היה אמור להימצא. מצב כזה היה עשוי לקרות הרבה יותר לרביים חסידיים (כאלה שהכיר ר׳ </w:t>
      </w:r>
      <w:proofErr w:type="spellStart"/>
      <w:r>
        <w:rPr>
          <w:rtl/>
        </w:rPr>
        <w:t>דוד־טעביל</w:t>
      </w:r>
      <w:proofErr w:type="spellEnd"/>
      <w:r>
        <w:rPr>
          <w:rtl/>
        </w:rPr>
        <w:t xml:space="preserve"> ברוסיה הלבנה</w:t>
      </w:r>
      <w:bookmarkStart w:id="5833" w:name="_fnr4454"/>
      <w:r>
        <w:rPr>
          <w:vertAlign w:val="superscript"/>
          <w:rtl/>
        </w:rPr>
        <w:footnoteReference w:id="4464" w:customMarkFollows="0"/>
      </w:r>
      <w:bookmarkEnd w:id="5833"/>
      <w:r>
        <w:rPr>
          <w:rtl/>
        </w:rPr>
        <w:t>), ששהו תקופות בקהילות השונות שבהן היו חסידיהם מפוזרים, מאשר לרבנים שחיו את שנותיהם בערים ששימשו בהן ברבנות</w:t>
      </w:r>
      <w:bookmarkStart w:id="5834" w:name="_fnr4455"/>
      <w:r>
        <w:rPr>
          <w:vertAlign w:val="superscript"/>
          <w:rtl/>
        </w:rPr>
        <w:footnoteReference w:id="4465" w:customMarkFollows="0"/>
      </w:r>
      <w:bookmarkEnd w:id="5834"/>
      <w:r>
        <w:rPr>
          <w:rtl/>
        </w:rPr>
        <w:t>.</w:t>
      </w:r>
    </w:p>
    <w:p w14:paraId="068A06D2" w14:textId="77777777" w:rsidR="00AB3647" w:rsidRDefault="00000000" w:rsidP="007923E9">
      <w:pPr>
        <w:spacing w:after="120" w:line="276" w:lineRule="auto"/>
        <w:ind w:firstLine="283"/>
        <w:jc w:val="both"/>
      </w:pPr>
      <w:r>
        <w:rPr>
          <w:rtl/>
        </w:rPr>
        <w:t xml:space="preserve">ר׳ </w:t>
      </w:r>
      <w:proofErr w:type="spellStart"/>
      <w:r>
        <w:rPr>
          <w:rtl/>
        </w:rPr>
        <w:t>אברהם־אביש</w:t>
      </w:r>
      <w:proofErr w:type="spellEnd"/>
      <w:r>
        <w:rPr>
          <w:rtl/>
        </w:rPr>
        <w:t xml:space="preserve"> שור הציע</w:t>
      </w:r>
      <w:bookmarkStart w:id="5835" w:name="_fnr4456"/>
      <w:r>
        <w:rPr>
          <w:vertAlign w:val="superscript"/>
          <w:rtl/>
        </w:rPr>
        <w:footnoteReference w:id="4466" w:customMarkFollows="0"/>
      </w:r>
      <w:bookmarkEnd w:id="5835"/>
      <w:r>
        <w:rPr>
          <w:rtl/>
        </w:rPr>
        <w:t xml:space="preserve"> שר׳ </w:t>
      </w:r>
      <w:proofErr w:type="spellStart"/>
      <w:r>
        <w:rPr>
          <w:rtl/>
        </w:rPr>
        <w:t>דוד־טעביל</w:t>
      </w:r>
      <w:proofErr w:type="spellEnd"/>
      <w:r>
        <w:rPr>
          <w:rtl/>
        </w:rPr>
        <w:t xml:space="preserve"> התכוון לרבי מסוים, שגם הוא שהה מחוץ לעירו כשנפטר, ונקבר </w:t>
      </w:r>
      <w:proofErr w:type="spellStart"/>
      <w:r>
        <w:rPr>
          <w:rtl/>
        </w:rPr>
        <w:t>באיווניץ</w:t>
      </w:r>
      <w:proofErr w:type="spellEnd"/>
      <w:r>
        <w:rPr>
          <w:rtl/>
        </w:rPr>
        <w:t xml:space="preserve"> למעלה מחצי מאה קודם לכן, </w:t>
      </w:r>
      <w:proofErr w:type="spellStart"/>
      <w:r>
        <w:rPr>
          <w:rtl/>
        </w:rPr>
        <w:t>בתקנ״ז</w:t>
      </w:r>
      <w:proofErr w:type="spellEnd"/>
      <w:r>
        <w:rPr>
          <w:rtl/>
        </w:rPr>
        <w:t xml:space="preserve">: ר׳ </w:t>
      </w:r>
      <w:proofErr w:type="spellStart"/>
      <w:r>
        <w:rPr>
          <w:rtl/>
        </w:rPr>
        <w:t>זאב־וולף</w:t>
      </w:r>
      <w:proofErr w:type="spellEnd"/>
      <w:r>
        <w:rPr>
          <w:rtl/>
        </w:rPr>
        <w:t xml:space="preserve"> </w:t>
      </w:r>
      <w:proofErr w:type="spellStart"/>
      <w:r>
        <w:rPr>
          <w:rtl/>
        </w:rPr>
        <w:t>מז׳יטומיר</w:t>
      </w:r>
      <w:proofErr w:type="spellEnd"/>
      <w:r>
        <w:rPr>
          <w:rtl/>
        </w:rPr>
        <w:t xml:space="preserve">, </w:t>
      </w:r>
      <w:r>
        <w:rPr>
          <w:rtl/>
        </w:rPr>
        <w:lastRenderedPageBreak/>
        <w:t xml:space="preserve">תלמידו של תלמידו הגדול של </w:t>
      </w:r>
      <w:proofErr w:type="spellStart"/>
      <w:r>
        <w:rPr>
          <w:rtl/>
        </w:rPr>
        <w:t>הבעש״ט</w:t>
      </w:r>
      <w:proofErr w:type="spellEnd"/>
      <w:r>
        <w:rPr>
          <w:rtl/>
        </w:rPr>
        <w:t xml:space="preserve">, ר׳ </w:t>
      </w:r>
      <w:proofErr w:type="spellStart"/>
      <w:r>
        <w:rPr>
          <w:rtl/>
        </w:rPr>
        <w:t>דוב־בער</w:t>
      </w:r>
      <w:proofErr w:type="spellEnd"/>
      <w:r>
        <w:rPr>
          <w:rtl/>
        </w:rPr>
        <w:t xml:space="preserve"> </w:t>
      </w:r>
      <w:proofErr w:type="spellStart"/>
      <w:r>
        <w:rPr>
          <w:rtl/>
        </w:rPr>
        <w:t>ממזריטש</w:t>
      </w:r>
      <w:proofErr w:type="spellEnd"/>
      <w:r>
        <w:rPr>
          <w:rtl/>
        </w:rPr>
        <w:t xml:space="preserve"> (וחברם של ר׳ נחום </w:t>
      </w:r>
      <w:proofErr w:type="spellStart"/>
      <w:r>
        <w:rPr>
          <w:rtl/>
        </w:rPr>
        <w:t>מצ׳רנוביל</w:t>
      </w:r>
      <w:proofErr w:type="spellEnd"/>
      <w:r>
        <w:rPr>
          <w:rtl/>
        </w:rPr>
        <w:t xml:space="preserve"> ור׳ </w:t>
      </w:r>
      <w:proofErr w:type="spellStart"/>
      <w:r>
        <w:rPr>
          <w:rtl/>
        </w:rPr>
        <w:t>לוי־יצחק</w:t>
      </w:r>
      <w:proofErr w:type="spellEnd"/>
      <w:r>
        <w:rPr>
          <w:rtl/>
        </w:rPr>
        <w:t xml:space="preserve"> </w:t>
      </w:r>
      <w:proofErr w:type="spellStart"/>
      <w:r>
        <w:rPr>
          <w:rtl/>
        </w:rPr>
        <w:t>מברדיצ׳ב</w:t>
      </w:r>
      <w:proofErr w:type="spellEnd"/>
      <w:r>
        <w:rPr>
          <w:rtl/>
        </w:rPr>
        <w:t>).</w:t>
      </w:r>
    </w:p>
    <w:p w14:paraId="78346D3E" w14:textId="77777777" w:rsidR="00AB3647" w:rsidRDefault="00000000" w:rsidP="007923E9">
      <w:pPr>
        <w:pStyle w:val="4"/>
        <w:spacing w:line="276" w:lineRule="auto"/>
      </w:pPr>
      <w:r>
        <w:t>· הפסקה השלישית ·</w:t>
      </w:r>
    </w:p>
    <w:p w14:paraId="0E4FE441" w14:textId="77777777" w:rsidR="00AB3647" w:rsidRDefault="00000000" w:rsidP="007923E9">
      <w:pPr>
        <w:pStyle w:val="5"/>
        <w:spacing w:line="276" w:lineRule="auto"/>
      </w:pPr>
      <w:r>
        <w:rPr>
          <w:bCs/>
          <w:szCs w:val="26"/>
        </w:rPr>
        <w:t xml:space="preserve">אשתו של ר׳ ברוך </w:t>
      </w:r>
      <w:proofErr w:type="spellStart"/>
      <w:r>
        <w:rPr>
          <w:bCs/>
          <w:szCs w:val="26"/>
        </w:rPr>
        <w:t>זלדוביץ</w:t>
      </w:r>
      <w:proofErr w:type="spellEnd"/>
      <w:r>
        <w:rPr>
          <w:bCs/>
          <w:szCs w:val="26"/>
        </w:rPr>
        <w:t xml:space="preserve">׳ מייעצת </w:t>
      </w:r>
      <w:proofErr w:type="spellStart"/>
      <w:r>
        <w:rPr>
          <w:bCs/>
          <w:szCs w:val="26"/>
        </w:rPr>
        <w:t>לר</w:t>
      </w:r>
      <w:proofErr w:type="spellEnd"/>
      <w:r>
        <w:rPr>
          <w:bCs/>
          <w:szCs w:val="26"/>
        </w:rPr>
        <w:t xml:space="preserve">׳ חיים </w:t>
      </w:r>
      <w:proofErr w:type="spellStart"/>
      <w:r>
        <w:rPr>
          <w:bCs/>
          <w:szCs w:val="26"/>
        </w:rPr>
        <w:t>סולובייצ׳יק</w:t>
      </w:r>
      <w:proofErr w:type="spellEnd"/>
    </w:p>
    <w:p w14:paraId="29F4477D" w14:textId="68A1CD5A" w:rsidR="00AB3647" w:rsidRDefault="00000000" w:rsidP="007923E9">
      <w:pPr>
        <w:spacing w:after="120" w:line="276" w:lineRule="auto"/>
        <w:ind w:firstLine="283"/>
        <w:jc w:val="both"/>
      </w:pPr>
      <w:r>
        <w:rPr>
          <w:rtl/>
        </w:rPr>
        <w:t>כשביקרתי שוב בביתו של ר׳ מאיר פינס</w:t>
      </w:r>
      <w:bookmarkStart w:id="5836" w:name="_fnr4457"/>
      <w:r>
        <w:rPr>
          <w:vertAlign w:val="superscript"/>
          <w:rtl/>
        </w:rPr>
        <w:footnoteReference w:id="4467" w:customMarkFollows="0"/>
      </w:r>
      <w:bookmarkEnd w:id="5836"/>
      <w:r>
        <w:rPr>
          <w:rtl/>
        </w:rPr>
        <w:t xml:space="preserve">, הצביעה אשתו, בתו של ר׳ שלמה </w:t>
      </w:r>
      <w:proofErr w:type="spellStart"/>
      <w:r>
        <w:rPr>
          <w:rtl/>
        </w:rPr>
        <w:t>גולובנצ׳יץ</w:t>
      </w:r>
      <w:bookmarkStart w:id="5837" w:name="_fnr4458"/>
      <w:proofErr w:type="spellEnd"/>
      <w:r>
        <w:rPr>
          <w:vertAlign w:val="superscript"/>
          <w:rtl/>
        </w:rPr>
        <w:footnoteReference w:id="4468" w:customMarkFollows="0"/>
      </w:r>
      <w:bookmarkEnd w:id="5837"/>
      <w:r>
        <w:rPr>
          <w:rtl/>
        </w:rPr>
        <w:t xml:space="preserve">, על תמונה תלויה על הקיר – תמונת סבתו של בעלה מצד </w:t>
      </w:r>
      <w:proofErr w:type="spellStart"/>
      <w:r>
        <w:rPr>
          <w:rtl/>
        </w:rPr>
        <w:t>אמו</w:t>
      </w:r>
      <w:proofErr w:type="spellEnd"/>
      <w:r>
        <w:rPr>
          <w:rtl/>
        </w:rPr>
        <w:t xml:space="preserve">, חנה </w:t>
      </w:r>
      <w:proofErr w:type="spellStart"/>
      <w:r>
        <w:rPr>
          <w:rtl/>
        </w:rPr>
        <w:t>זלדוביץ</w:t>
      </w:r>
      <w:proofErr w:type="spellEnd"/>
      <w:r>
        <w:rPr>
          <w:rtl/>
        </w:rPr>
        <w:t xml:space="preserve">׳ – והעירה: “היא מתה לפני גיל ארבעים, אך ר׳ ברוך לא נישא שוב, מפני שאמר: ‘אין כחנה’. היא ידעה תנ״ך, אפילו תרי עשר, בעל פה, לפי בתה, </w:t>
      </w:r>
      <w:proofErr w:type="spellStart"/>
      <w:r>
        <w:rPr>
          <w:rtl/>
        </w:rPr>
        <w:t>אמו</w:t>
      </w:r>
      <w:proofErr w:type="spellEnd"/>
      <w:r>
        <w:rPr>
          <w:rtl/>
        </w:rPr>
        <w:t xml:space="preserve"> של בעלי, </w:t>
      </w:r>
      <w:proofErr w:type="spellStart"/>
      <w:r>
        <w:rPr>
          <w:rtl/>
        </w:rPr>
        <w:t>שרל׳ה</w:t>
      </w:r>
      <w:proofErr w:type="spellEnd"/>
      <w:r>
        <w:rPr>
          <w:rtl/>
        </w:rPr>
        <w:t xml:space="preserve">”. כשהוזכרה </w:t>
      </w:r>
      <w:proofErr w:type="spellStart"/>
      <w:r>
        <w:rPr>
          <w:rtl/>
        </w:rPr>
        <w:t>אמו</w:t>
      </w:r>
      <w:proofErr w:type="spellEnd"/>
      <w:r>
        <w:rPr>
          <w:rtl/>
        </w:rPr>
        <w:t xml:space="preserve">, אמר ר׳ מאיר דבר מופלא: ר׳ חיים </w:t>
      </w:r>
      <w:proofErr w:type="spellStart"/>
      <w:r>
        <w:rPr>
          <w:rtl/>
        </w:rPr>
        <w:t>סולובייצ׳יק</w:t>
      </w:r>
      <w:proofErr w:type="spellEnd"/>
      <w:r>
        <w:rPr>
          <w:rtl/>
        </w:rPr>
        <w:t>, בשהותו במינסק במלחמת העולם הראשונה</w:t>
      </w:r>
      <w:bookmarkStart w:id="5838" w:name="_fnr4459"/>
      <w:r>
        <w:rPr>
          <w:rStyle w:val="a5"/>
        </w:rPr>
        <w:t/>
      </w:r>
      <w:bookmarkStart w:id="7047" w:name="_TranslatorNote_4457"/>
      <w:r>
        <w:rPr>
          <w:rStyle w:val="a5"/>
          <w:vertAlign w:val="superscript"/>
          <w:rtl/>
        </w:rPr>
        <w:footnoteReference w:id="4469" w:customMarkFollows="1"/>
        <w:t>*</w:t>
      </w:r>
      <w:bookmarkEnd w:id="7047"/>
      <w:bookmarkEnd w:id="5838"/>
      <w:r>
        <w:rPr>
          <w:rtl/>
        </w:rPr>
        <w:t xml:space="preserve">, היה מבקש ממנה עצה – דבר מופלא אצל מי שהיה בעצמו “חכם מחוכם”, כמצוטט בפסקה החמישית של </w:t>
      </w:r>
      <w:r>
        <w:rPr>
          <w:rtl/>
        </w:rPr>
        <w:fldChar w:fldCharType="begin" w:dirty="true"/>
      </w:r>
      <w:r>
        <w:rPr>
          <w:rtl/>
        </w:rPr>
        <w:instrText xml:space="preserve"> REF b4_excI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xml:space="preserve"> לעיל.</w:t>
      </w:r>
    </w:p>
    <w:p w14:paraId="1B6750E4" w14:textId="77777777" w:rsidR="00AB3647" w:rsidRDefault="00000000" w:rsidP="007923E9">
      <w:pPr>
        <w:pStyle w:val="4"/>
        <w:spacing w:line="276" w:lineRule="auto"/>
      </w:pPr>
      <w:r>
        <w:t>· הפסקה הרביעית ·</w:t>
      </w:r>
    </w:p>
    <w:p w14:paraId="6597036F" w14:textId="77777777" w:rsidR="00AB3647" w:rsidRDefault="00000000" w:rsidP="007923E9">
      <w:pPr>
        <w:pStyle w:val="5"/>
        <w:spacing w:line="276" w:lineRule="auto"/>
      </w:pPr>
      <w:r>
        <w:rPr>
          <w:bCs/>
          <w:szCs w:val="26"/>
        </w:rPr>
        <w:t>ספרייה מפורסמת במינסק מגיעה לפטרבורג</w:t>
      </w:r>
    </w:p>
    <w:p w14:paraId="6D6B9389" w14:textId="224FD528" w:rsidR="00AB3647" w:rsidRDefault="00000000" w:rsidP="007923E9">
      <w:pPr>
        <w:spacing w:after="120" w:line="276" w:lineRule="auto"/>
        <w:ind w:firstLine="283"/>
        <w:jc w:val="both"/>
      </w:pPr>
      <w:r>
        <w:rPr>
          <w:rtl/>
        </w:rPr>
        <w:t xml:space="preserve">ספרייה מפורסמת מאוד נוספת במינסק הייתה של ר׳ בער </w:t>
      </w:r>
      <w:proofErr w:type="spellStart"/>
      <w:r>
        <w:rPr>
          <w:rtl/>
        </w:rPr>
        <w:t>בומפה</w:t>
      </w:r>
      <w:proofErr w:type="spellEnd"/>
      <w:r>
        <w:rPr>
          <w:rtl/>
        </w:rPr>
        <w:t xml:space="preserve">, שנמנה </w:t>
      </w:r>
      <w:proofErr w:type="spellStart"/>
      <w:r>
        <w:rPr>
          <w:rtl/>
        </w:rPr>
        <w:t>ב“מינסק</w:t>
      </w:r>
      <w:proofErr w:type="spellEnd"/>
      <w:r>
        <w:rPr>
          <w:rtl/>
        </w:rPr>
        <w:t xml:space="preserve"> עיר ואם א”</w:t>
      </w:r>
      <w:bookmarkStart w:id="5839" w:name="_fnr4460"/>
      <w:r>
        <w:rPr>
          <w:vertAlign w:val="superscript"/>
          <w:rtl/>
        </w:rPr>
        <w:footnoteReference w:id="4470" w:customMarkFollows="0"/>
      </w:r>
      <w:bookmarkEnd w:id="5839"/>
      <w:r>
        <w:rPr>
          <w:rtl/>
        </w:rPr>
        <w:t xml:space="preserve"> עם רבני העיר. לפי “מינסק עיר ואם א”</w:t>
      </w:r>
      <w:bookmarkStart w:id="5840" w:name="_fnr4461"/>
      <w:r>
        <w:rPr>
          <w:vertAlign w:val="superscript"/>
          <w:rtl/>
        </w:rPr>
        <w:footnoteReference w:id="4471" w:customMarkFollows="0"/>
      </w:r>
      <w:bookmarkEnd w:id="5840"/>
      <w:r>
        <w:rPr>
          <w:rtl/>
        </w:rPr>
        <w:t xml:space="preserve">, ספרייה זו “נקנתה לאחר פטירת ר׳ בער </w:t>
      </w:r>
      <w:proofErr w:type="spellStart"/>
      <w:r>
        <w:rPr>
          <w:rtl/>
        </w:rPr>
        <w:t>בומפה</w:t>
      </w:r>
      <w:proofErr w:type="spellEnd"/>
      <w:r>
        <w:rPr>
          <w:rtl/>
        </w:rPr>
        <w:t xml:space="preserve"> בידי המיליונר </w:t>
      </w:r>
      <w:proofErr w:type="spellStart"/>
      <w:r>
        <w:rPr>
          <w:rtl/>
        </w:rPr>
        <w:t>פרידלנדר</w:t>
      </w:r>
      <w:proofErr w:type="spellEnd"/>
      <w:r>
        <w:rPr>
          <w:rtl/>
        </w:rPr>
        <w:t xml:space="preserve"> והועברה לפטרוגרד [פטרבורג], שם היא שמורה</w:t>
      </w:r>
      <w:bookmarkStart w:id="5841" w:name="_fnr4462"/>
      <w:r>
        <w:rPr>
          <w:vertAlign w:val="superscript"/>
          <w:rtl/>
        </w:rPr>
        <w:footnoteReference w:id="4472" w:customMarkFollows="0"/>
      </w:r>
      <w:bookmarkEnd w:id="5841"/>
      <w:bookmarkStart w:id="7048" w:name="_TranslatorNote_5400"/>
      <w:r>
        <w:rPr>
          <w:rStyle w:val="a5"/>
          <w:vertAlign w:val="superscript"/>
          <w:rtl/>
        </w:rPr>
        <w:footnoteReference w:id="4473" w:customMarkFollows="1"/>
        <w:t>*</w:t>
      </w:r>
      <w:bookmarkEnd w:id="7048"/>
      <w:r>
        <w:rPr>
          <w:rtl/>
        </w:rPr>
        <w:t xml:space="preserve"> בספרייה המלכותית”. ר׳ בער </w:t>
      </w:r>
      <w:proofErr w:type="spellStart"/>
      <w:r>
        <w:rPr>
          <w:rtl/>
        </w:rPr>
        <w:t>בומפה</w:t>
      </w:r>
      <w:proofErr w:type="spellEnd"/>
      <w:r>
        <w:rPr>
          <w:rtl/>
        </w:rPr>
        <w:t xml:space="preserve"> נפטר </w:t>
      </w:r>
      <w:proofErr w:type="spellStart"/>
      <w:r>
        <w:rPr>
          <w:rtl/>
        </w:rPr>
        <w:t>בתרמ״ח</w:t>
      </w:r>
      <w:bookmarkStart w:id="5842" w:name="_fnr4463"/>
      <w:proofErr w:type="spellEnd"/>
      <w:r>
        <w:rPr>
          <w:vertAlign w:val="superscript"/>
          <w:rtl/>
        </w:rPr>
        <w:footnoteReference w:id="4474" w:customMarkFollows="0"/>
      </w:r>
      <w:bookmarkEnd w:id="5842"/>
      <w:r>
        <w:rPr>
          <w:rtl/>
        </w:rPr>
        <w:t xml:space="preserve">, ובימי אבי כבר לא הייתה הספרייה במינסק. השווה גם סוף הפסקה השנייה של </w:t>
      </w:r>
      <w:r>
        <w:rPr>
          <w:rtl/>
        </w:rPr>
        <w:fldChar w:fldCharType="begin" w:dirty="true"/>
      </w:r>
      <w:r>
        <w:rPr>
          <w:rtl/>
        </w:rPr>
        <w:instrText xml:space="preserve"> REF b4_excH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ח</w:t>
      </w:r>
      <w:r>
        <w:rPr>
          <w:rtl/>
        </w:rPr>
        <w:fldChar w:fldCharType="end"/>
      </w:r>
      <w:r>
        <w:rPr>
          <w:rtl/>
        </w:rPr>
        <w:t xml:space="preserve"> לעיל, על ספריית </w:t>
      </w:r>
      <w:proofErr w:type="spellStart"/>
      <w:r>
        <w:rPr>
          <w:rtl/>
        </w:rPr>
        <w:t>גינצבורג</w:t>
      </w:r>
      <w:proofErr w:type="spellEnd"/>
      <w:r>
        <w:rPr>
          <w:rtl/>
        </w:rPr>
        <w:t xml:space="preserve"> המפורסמת של ספרי יהדות, שגם היא הגיעה לבסוף לידי הרוסים, משום שהקומוניסטים החרימו אותה.</w:t>
      </w:r>
    </w:p>
    <w:p w14:paraId="5307E348" w14:textId="77777777" w:rsidR="00AB3647" w:rsidRDefault="00AB3647" w:rsidP="007923E9">
      <w:pPr>
        <w:spacing w:line="276" w:lineRule="auto"/>
        <w:sectPr w:rsidR="00AB3647">
          <w:footerReference w:type="default" r:id="rId15"/>
          <w:footnotePr>
            <w:pos w:val="pageBottom"/>
            <w:numRestart w:val="eachSect"/>
          </w:footnotePr>
          <w:pgSz w:w="9638" w:h="13606"/>
          <w:pgMar w:top="1134" w:right="1077" w:bottom="1134" w:left="1077" w:header="567" w:footer="567" w:gutter="0"/>
          <w:cols w:space="720"/>
          <w:bidi/>
          <w:docGrid w:linePitch="360"/>
        </w:sectPr>
      </w:pPr>
    </w:p>
    <w:p w14:paraId="70A72C60" w14:textId="77777777" w:rsidR="00AB3647" w:rsidRDefault="00000000" w:rsidP="007923E9">
      <w:pPr>
        <w:pStyle w:val="ae"/>
        <w:spacing w:line="276" w:lineRule="auto"/>
      </w:pPr>
      <w:bookmarkStart w:id="5843" w:name="b5_chapter"/>
      <w:r>
        <w:lastRenderedPageBreak/>
        <w:t>פרק חמישי</w:t>
      </w:r>
      <w:bookmarkEnd w:id="5843"/>
    </w:p>
    <w:p w14:paraId="585E5C4E" w14:textId="77777777" w:rsidR="00AB3647" w:rsidRDefault="00000000" w:rsidP="007923E9">
      <w:pPr>
        <w:pStyle w:val="1"/>
        <w:spacing w:line="276" w:lineRule="auto"/>
      </w:pPr>
      <w:r>
        <w:t xml:space="preserve">העשור השני – ד: </w:t>
      </w:r>
      <w:proofErr w:type="spellStart"/>
      <w:r>
        <w:t>מאלטש</w:t>
      </w:r>
      <w:proofErr w:type="spellEnd"/>
    </w:p>
    <w:p w14:paraId="3707F8E0" w14:textId="77777777" w:rsidR="00AB3647" w:rsidRDefault="00000000" w:rsidP="007923E9">
      <w:pPr>
        <w:pStyle w:val="2"/>
        <w:spacing w:before="240" w:after="160" w:line="276" w:lineRule="auto"/>
      </w:pPr>
      <w:bookmarkStart w:id="5844" w:name="b5_notes"/>
      <w:r>
        <w:rPr>
          <w:sz w:val="30"/>
        </w:rPr>
        <w:t>הסיפור וההערות</w:t>
      </w:r>
      <w:bookmarkEnd w:id="5844"/>
    </w:p>
    <w:p w14:paraId="47E3695D" w14:textId="77777777" w:rsidR="00AB3647" w:rsidRDefault="00000000" w:rsidP="007923E9">
      <w:pPr>
        <w:pStyle w:val="2"/>
        <w:spacing w:line="276" w:lineRule="auto"/>
      </w:pPr>
      <w:bookmarkStart w:id="5845" w:name="b5_sec1"/>
      <w:r>
        <w:t>1.</w:t>
      </w:r>
      <w:bookmarkEnd w:id="5845"/>
    </w:p>
    <w:p w14:paraId="7A4DF344" w14:textId="6BB122BD"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לאחר פסח שב בן הישיבה הצעיר </w:t>
      </w:r>
      <w:proofErr w:type="spellStart"/>
      <w:r>
        <w:rPr>
          <w:rtl/>
        </w:rPr>
        <w:t>לסלבודקה</w:t>
      </w:r>
      <w:proofErr w:type="spellEnd"/>
      <w:r>
        <w:rPr>
          <w:rtl/>
        </w:rPr>
        <w:t>, מרכיב משקפיים ומצויד במכונת תספורת לגילוח</w:t>
      </w:r>
      <w:bookmarkStart w:id="5846" w:name="b5_ref1"/>
      <w:bookmarkEnd w:id="5846"/>
      <w:r>
        <w:rPr>
          <w:vertAlign w:val="superscript"/>
          <w:rtl/>
        </w:rPr>
        <w:fldChar w:fldCharType="begin" w:dirty="true"/>
      </w:r>
      <w:r>
        <w:rPr>
          <w:vertAlign w:val="superscript"/>
          <w:rtl/>
        </w:rPr>
        <w:instrText xml:space="preserve"> REF b5_note1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w:t>
      </w:r>
      <w:r>
        <w:rPr>
          <w:vertAlign w:val="superscript"/>
          <w:rtl/>
        </w:rPr>
        <w:fldChar w:fldCharType="end"/>
      </w:r>
      <w:r>
        <w:rPr>
          <w:rtl/>
        </w:rPr>
        <w:t>. הוא שב לסדרי הישיבה באותה התלהבות שהייתה בו שנה קודם לכן, אבל מעשה פזיזות ילדותי באותו זמן קיץ השפיע על כל חייו.</w:t>
      </w:r>
    </w:p>
    <w:bookmarkStart w:id="5847" w:name="b5_note1"/>
    <w:p w14:paraId="1B7A79C8" w14:textId="058EAA3E" w:rsidR="00AB3647" w:rsidRDefault="00000000" w:rsidP="007923E9">
      <w:pPr>
        <w:spacing w:before="120" w:after="100" w:line="276" w:lineRule="auto"/>
        <w:jc w:val="both"/>
      </w:pPr>
      <w:r>
        <w:fldChar w:fldCharType="begin" w:dirty="true"/>
      </w:r>
      <w:r>
        <w:instrText>HYPERLINK \l "b5_ref1"</w:instrText>
      </w:r>
      <w:r>
        <w:fldChar w:fldCharType="separate"/>
      </w:r>
      <w:r>
        <w:rPr>
          <w:b/>
          <w:bCs/>
          <w:rtl/>
        </w:rPr>
        <w:t>1</w:t>
      </w:r>
      <w:r>
        <w:rPr>
          <w:b/>
          <w:bCs/>
        </w:rPr>
        <w:fldChar w:fldCharType="end"/>
      </w:r>
      <w:bookmarkEnd w:id="5847"/>
      <w:r>
        <w:rPr>
          <w:rtl/>
        </w:rPr>
        <w:t xml:space="preserve"> ראה </w:t>
      </w:r>
      <w:r>
        <w:rPr>
          <w:rtl/>
        </w:rPr>
        <w:fldChar w:fldCharType="begin" w:dirty="true"/>
      </w:r>
      <w:r>
        <w:rPr>
          <w:rtl/>
        </w:rPr>
        <w:instrText xml:space="preserve"> REF b5_excA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א</w:t>
      </w:r>
      <w:r>
        <w:rPr>
          <w:rtl/>
        </w:rPr>
        <w:fldChar w:fldCharType="end"/>
      </w:r>
      <w:r>
        <w:rPr>
          <w:rtl/>
        </w:rPr>
        <w:t>.</w:t>
      </w:r>
    </w:p>
    <w:p w14:paraId="449EADB8" w14:textId="4BBB4CD2"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כשלמד עם </w:t>
      </w:r>
      <w:proofErr w:type="spellStart"/>
      <w:r>
        <w:rPr>
          <w:rtl/>
        </w:rPr>
        <w:t>חברותתו</w:t>
      </w:r>
      <w:proofErr w:type="spellEnd"/>
      <w:r>
        <w:rPr>
          <w:rtl/>
        </w:rPr>
        <w:t>, בחור פיקח שהיה מבוגר ממנו, נתקלו בתוספות מורכב, סבוך דיו להקשות גם על תלמידים מוכשרים. שותפו ללימוד הציע לרבנו סיגריה ואמר שהעישון מסייע לצלילות המחשבה</w:t>
      </w:r>
      <w:bookmarkStart w:id="5848" w:name="b5_ref2"/>
      <w:bookmarkEnd w:id="5848"/>
      <w:r>
        <w:rPr>
          <w:vertAlign w:val="superscript"/>
          <w:rtl/>
        </w:rPr>
        <w:fldChar w:fldCharType="begin" w:dirty="true"/>
      </w:r>
      <w:r>
        <w:rPr>
          <w:vertAlign w:val="superscript"/>
          <w:rtl/>
        </w:rPr>
        <w:instrText xml:space="preserve"> REF b5_note2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w:t>
      </w:r>
      <w:r>
        <w:rPr>
          <w:vertAlign w:val="superscript"/>
          <w:rtl/>
        </w:rPr>
        <w:fldChar w:fldCharType="end"/>
      </w:r>
      <w:r>
        <w:rPr>
          <w:rtl/>
        </w:rPr>
        <w:t>. סיגריה אחת גררה אחריה עוד אחת</w:t>
      </w:r>
      <w:bookmarkStart w:id="5849" w:name="b5_ref3"/>
      <w:bookmarkEnd w:id="5849"/>
      <w:r>
        <w:rPr>
          <w:vertAlign w:val="superscript"/>
          <w:rtl/>
        </w:rPr>
        <w:fldChar w:fldCharType="begin" w:dirty="true"/>
      </w:r>
      <w:r>
        <w:rPr>
          <w:vertAlign w:val="superscript"/>
          <w:rtl/>
        </w:rPr>
        <w:instrText xml:space="preserve"> REF b5_note3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w:t>
      </w:r>
      <w:r>
        <w:rPr>
          <w:vertAlign w:val="superscript"/>
          <w:rtl/>
        </w:rPr>
        <w:fldChar w:fldCharType="end"/>
      </w:r>
      <w:r>
        <w:rPr>
          <w:rtl/>
        </w:rPr>
        <w:t xml:space="preserve">, ועד מהרה כבר לא היסס לבקש </w:t>
      </w:r>
      <w:proofErr w:type="spellStart"/>
      <w:r>
        <w:rPr>
          <w:rtl/>
        </w:rPr>
        <w:t>מחברותתו</w:t>
      </w:r>
      <w:proofErr w:type="spellEnd"/>
      <w:r>
        <w:rPr>
          <w:rtl/>
        </w:rPr>
        <w:t xml:space="preserve"> סיגריה תמורת ביאור קטע קשה שביאר לו</w:t>
      </w:r>
      <w:bookmarkStart w:id="5850" w:name="b5_ref4"/>
      <w:bookmarkEnd w:id="5850"/>
      <w:r>
        <w:rPr>
          <w:vertAlign w:val="superscript"/>
          <w:rtl/>
        </w:rPr>
        <w:fldChar w:fldCharType="begin" w:dirty="true"/>
      </w:r>
      <w:r>
        <w:rPr>
          <w:vertAlign w:val="superscript"/>
          <w:rtl/>
        </w:rPr>
        <w:instrText xml:space="preserve"> REF b5_note4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w:t>
      </w:r>
      <w:r>
        <w:rPr>
          <w:vertAlign w:val="superscript"/>
          <w:rtl/>
        </w:rPr>
        <w:fldChar w:fldCharType="end"/>
      </w:r>
      <w:r>
        <w:rPr>
          <w:rtl/>
        </w:rPr>
        <w:t xml:space="preserve">. כפי שלא היה נדיר בקרב צעירי אותו דור, נעשה </w:t>
      </w:r>
      <w:proofErr w:type="spellStart"/>
      <w:r>
        <w:rPr>
          <w:rtl/>
        </w:rPr>
        <w:t>הדולהינובר</w:t>
      </w:r>
      <w:proofErr w:type="spellEnd"/>
      <w:r>
        <w:rPr>
          <w:rtl/>
        </w:rPr>
        <w:t xml:space="preserve"> מעשן קבוע.</w:t>
      </w:r>
    </w:p>
    <w:bookmarkStart w:id="5851" w:name="b5_note2"/>
    <w:p w14:paraId="167B514D" w14:textId="6B7EE835" w:rsidR="00AB3647" w:rsidRDefault="00000000" w:rsidP="007923E9">
      <w:pPr>
        <w:spacing w:before="120" w:after="100" w:line="276" w:lineRule="auto"/>
        <w:jc w:val="both"/>
      </w:pPr>
      <w:r>
        <w:fldChar w:fldCharType="begin" w:dirty="true"/>
      </w:r>
      <w:r>
        <w:instrText>HYPERLINK \l "b5_ref2"</w:instrText>
      </w:r>
      <w:r>
        <w:fldChar w:fldCharType="separate"/>
      </w:r>
      <w:r>
        <w:rPr>
          <w:b/>
          <w:bCs/>
          <w:rtl/>
        </w:rPr>
        <w:t>2</w:t>
      </w:r>
      <w:r>
        <w:rPr>
          <w:b/>
          <w:bCs/>
        </w:rPr>
        <w:fldChar w:fldCharType="end"/>
      </w:r>
      <w:bookmarkEnd w:id="5851"/>
      <w:r>
        <w:rPr>
          <w:rtl/>
        </w:rPr>
        <w:t xml:space="preserve"> ראה </w:t>
      </w:r>
      <w:r>
        <w:rPr>
          <w:rtl/>
        </w:rPr>
        <w:fldChar w:fldCharType="begin" w:dirty="true"/>
      </w:r>
      <w:r>
        <w:rPr>
          <w:rtl/>
        </w:rPr>
        <w:instrText xml:space="preserve"> REF b5_excB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w:t>
      </w:r>
    </w:p>
    <w:bookmarkStart w:id="5852" w:name="b5_note3"/>
    <w:p w14:paraId="13EAA834" w14:textId="77777777" w:rsidR="00AB3647" w:rsidRDefault="00000000" w:rsidP="007923E9">
      <w:pPr>
        <w:spacing w:before="120" w:after="100" w:line="276" w:lineRule="auto"/>
        <w:jc w:val="both"/>
      </w:pPr>
      <w:r>
        <w:fldChar w:fldCharType="begin" w:dirty="true"/>
      </w:r>
      <w:r>
        <w:instrText>HYPERLINK \l "b5_ref3"</w:instrText>
      </w:r>
      <w:r>
        <w:fldChar w:fldCharType="separate"/>
      </w:r>
      <w:r>
        <w:rPr>
          <w:b/>
          <w:bCs/>
          <w:rtl/>
        </w:rPr>
        <w:t>3</w:t>
      </w:r>
      <w:r>
        <w:rPr>
          <w:b/>
          <w:bCs/>
        </w:rPr>
        <w:fldChar w:fldCharType="end"/>
      </w:r>
      <w:bookmarkEnd w:id="5852"/>
      <w:r>
        <w:rPr>
          <w:rtl/>
        </w:rPr>
        <w:t xml:space="preserve"> רבנו למד לגלגל סיגריות לעצמו שנים רבות קודם לכן, במשק סבו</w:t>
      </w:r>
      <w:bookmarkStart w:id="5853" w:name="_fnr4464"/>
      <w:r>
        <w:rPr>
          <w:rStyle w:val="a5"/>
        </w:rPr>
        <w:footnoteReference w:id="4475" w:customMarkFollows="0"/>
      </w:r>
      <w:bookmarkEnd w:id="5853"/>
      <w:r>
        <w:rPr>
          <w:rtl/>
        </w:rPr>
        <w:t>.</w:t>
      </w:r>
    </w:p>
    <w:bookmarkStart w:id="5854" w:name="b5_note4"/>
    <w:p w14:paraId="2C439355" w14:textId="77777777" w:rsidR="00AB3647" w:rsidRDefault="00000000" w:rsidP="007923E9">
      <w:pPr>
        <w:spacing w:before="120" w:after="100" w:line="276" w:lineRule="auto"/>
        <w:jc w:val="both"/>
      </w:pPr>
      <w:r>
        <w:fldChar w:fldCharType="begin" w:dirty="true"/>
      </w:r>
      <w:r>
        <w:instrText>HYPERLINK \l "b5_ref4"</w:instrText>
      </w:r>
      <w:r>
        <w:fldChar w:fldCharType="separate"/>
      </w:r>
      <w:r>
        <w:rPr>
          <w:b/>
          <w:bCs/>
          <w:rtl/>
        </w:rPr>
        <w:t>4</w:t>
      </w:r>
      <w:r>
        <w:rPr>
          <w:b/>
          <w:bCs/>
        </w:rPr>
        <w:fldChar w:fldCharType="end"/>
      </w:r>
      <w:bookmarkEnd w:id="5854"/>
      <w:r>
        <w:rPr>
          <w:rtl/>
        </w:rPr>
        <w:t xml:space="preserve"> אבי סיפר פעמים רבות באילו נסיבות הוצעה לו הסיגריה הראשונה שלו. כיצד החל לבקש סיגריות סיפר ר׳ </w:t>
      </w:r>
      <w:proofErr w:type="spellStart"/>
      <w:r>
        <w:rPr>
          <w:rtl/>
        </w:rPr>
        <w:t>לייבל</w:t>
      </w:r>
      <w:proofErr w:type="spellEnd"/>
      <w:r>
        <w:rPr>
          <w:rtl/>
        </w:rPr>
        <w:t xml:space="preserve"> </w:t>
      </w:r>
      <w:proofErr w:type="spellStart"/>
      <w:r>
        <w:rPr>
          <w:rtl/>
        </w:rPr>
        <w:t>פרלשטיין</w:t>
      </w:r>
      <w:bookmarkStart w:id="5855" w:name="_fnr4465"/>
      <w:proofErr w:type="spellEnd"/>
      <w:r>
        <w:rPr>
          <w:rStyle w:val="a5"/>
        </w:rPr>
        <w:footnoteReference w:id="4476" w:customMarkFollows="0"/>
      </w:r>
      <w:bookmarkEnd w:id="5855"/>
      <w:r>
        <w:rPr>
          <w:rtl/>
        </w:rPr>
        <w:t>.</w:t>
      </w:r>
    </w:p>
    <w:p w14:paraId="3777DF73" w14:textId="665ACA2B"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lastRenderedPageBreak/>
        <w:t>בסוף זמן הקיץ כבר היה רבנו אהוב כל כך בישיבה, שתלמידים מבוגרים ממנו ראו זכות לעצמם ללמוד עמו. לקראת סוף אלול</w:t>
      </w:r>
      <w:bookmarkStart w:id="5856" w:name="b5_ref5"/>
      <w:bookmarkEnd w:id="5856"/>
      <w:r>
        <w:rPr>
          <w:vertAlign w:val="superscript"/>
          <w:rtl/>
        </w:rPr>
        <w:fldChar w:fldCharType="begin" w:dirty="true"/>
      </w:r>
      <w:r>
        <w:rPr>
          <w:vertAlign w:val="superscript"/>
          <w:rtl/>
        </w:rPr>
        <w:instrText xml:space="preserve"> REF b5_note5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w:t>
      </w:r>
      <w:r>
        <w:rPr>
          <w:vertAlign w:val="superscript"/>
          <w:rtl/>
        </w:rPr>
        <w:fldChar w:fldCharType="end"/>
      </w:r>
      <w:r>
        <w:rPr>
          <w:rtl/>
        </w:rPr>
        <w:t xml:space="preserve"> בא בן הסבא, ר׳ </w:t>
      </w:r>
      <w:proofErr w:type="spellStart"/>
      <w:r>
        <w:rPr>
          <w:rtl/>
        </w:rPr>
        <w:t>לייזר־יודל</w:t>
      </w:r>
      <w:proofErr w:type="spellEnd"/>
      <w:r>
        <w:rPr>
          <w:rtl/>
        </w:rPr>
        <w:t xml:space="preserve">, לבקר את אביו </w:t>
      </w:r>
      <w:proofErr w:type="spellStart"/>
      <w:r>
        <w:rPr>
          <w:rtl/>
        </w:rPr>
        <w:t>בסלבודקה</w:t>
      </w:r>
      <w:proofErr w:type="spellEnd"/>
      <w:r>
        <w:rPr>
          <w:rtl/>
        </w:rPr>
        <w:t xml:space="preserve">. ר׳ </w:t>
      </w:r>
      <w:proofErr w:type="spellStart"/>
      <w:r>
        <w:rPr>
          <w:rtl/>
        </w:rPr>
        <w:t>לייזר־יודל</w:t>
      </w:r>
      <w:proofErr w:type="spellEnd"/>
      <w:r>
        <w:rPr>
          <w:rtl/>
        </w:rPr>
        <w:t xml:space="preserve"> כבר היה נשוי, ושימש משנה לראש הישיבה בישיבת חותנו במיר</w:t>
      </w:r>
      <w:bookmarkStart w:id="5857" w:name="b5_ref6"/>
      <w:bookmarkEnd w:id="5857"/>
      <w:r>
        <w:rPr>
          <w:vertAlign w:val="superscript"/>
          <w:rtl/>
        </w:rPr>
        <w:fldChar w:fldCharType="begin" w:dirty="true"/>
      </w:r>
      <w:r>
        <w:rPr>
          <w:vertAlign w:val="superscript"/>
          <w:rtl/>
        </w:rPr>
        <w:instrText xml:space="preserve"> REF b5_note6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w:t>
      </w:r>
      <w:r>
        <w:rPr>
          <w:vertAlign w:val="superscript"/>
          <w:rtl/>
        </w:rPr>
        <w:fldChar w:fldCharType="end"/>
      </w:r>
      <w:r>
        <w:rPr>
          <w:rtl/>
        </w:rPr>
        <w:t xml:space="preserve">. סיפרו לו על התלמיד הצעיר המבריק </w:t>
      </w:r>
      <w:proofErr w:type="spellStart"/>
      <w:r>
        <w:rPr>
          <w:rtl/>
        </w:rPr>
        <w:t>מדולהינוב</w:t>
      </w:r>
      <w:proofErr w:type="spellEnd"/>
      <w:r>
        <w:rPr>
          <w:rtl/>
        </w:rPr>
        <w:t xml:space="preserve">, שיצא לו שם </w:t>
      </w:r>
      <w:proofErr w:type="spellStart"/>
      <w:r>
        <w:rPr>
          <w:rtl/>
        </w:rPr>
        <w:t>בסלבודקה</w:t>
      </w:r>
      <w:proofErr w:type="spellEnd"/>
      <w:r>
        <w:rPr>
          <w:rtl/>
        </w:rPr>
        <w:t xml:space="preserve"> מאז בואו, פחות משנה וחצי קודם לכן. ר׳ </w:t>
      </w:r>
      <w:proofErr w:type="spellStart"/>
      <w:r>
        <w:rPr>
          <w:rtl/>
        </w:rPr>
        <w:t>לייזר־יודל</w:t>
      </w:r>
      <w:proofErr w:type="spellEnd"/>
      <w:r>
        <w:rPr>
          <w:rtl/>
        </w:rPr>
        <w:t xml:space="preserve"> החליט לשוחח עם הנער, ושאל אותו אם נכון שהוא יודע את כל התנ״ך בטעמים. התשובה שקיבל הייתה: “די שיאמרו לי טעם אחד בפסוק, ואוכל למצוא את השאר”</w:t>
      </w:r>
      <w:bookmarkStart w:id="5858" w:name="b5_ref7"/>
      <w:bookmarkEnd w:id="5858"/>
      <w:r>
        <w:rPr>
          <w:vertAlign w:val="superscript"/>
          <w:rtl/>
        </w:rPr>
        <w:fldChar w:fldCharType="begin" w:dirty="true"/>
      </w:r>
      <w:r>
        <w:rPr>
          <w:vertAlign w:val="superscript"/>
          <w:rtl/>
        </w:rPr>
        <w:instrText xml:space="preserve"> REF b5_note7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w:t>
      </w:r>
      <w:r>
        <w:rPr>
          <w:vertAlign w:val="superscript"/>
          <w:rtl/>
        </w:rPr>
        <w:fldChar w:fldCharType="end"/>
      </w:r>
      <w:r>
        <w:rPr>
          <w:rtl/>
        </w:rPr>
        <w:t>.</w:t>
      </w:r>
    </w:p>
    <w:bookmarkStart w:id="5859" w:name="b5_note5"/>
    <w:p w14:paraId="0CC401C4" w14:textId="440AD240" w:rsidR="00AB3647" w:rsidRDefault="00000000" w:rsidP="007923E9">
      <w:pPr>
        <w:spacing w:before="120" w:after="100" w:line="276" w:lineRule="auto"/>
        <w:jc w:val="both"/>
      </w:pPr>
      <w:r>
        <w:fldChar w:fldCharType="begin" w:dirty="true"/>
      </w:r>
      <w:r>
        <w:instrText>HYPERLINK \l "b5_ref5"</w:instrText>
      </w:r>
      <w:r>
        <w:fldChar w:fldCharType="separate"/>
      </w:r>
      <w:r>
        <w:rPr>
          <w:b/>
          <w:bCs/>
          <w:rtl/>
        </w:rPr>
        <w:t>5</w:t>
      </w:r>
      <w:r>
        <w:rPr>
          <w:b/>
          <w:bCs/>
        </w:rPr>
        <w:fldChar w:fldCharType="end"/>
      </w:r>
      <w:bookmarkEnd w:id="5859"/>
      <w:r>
        <w:rPr>
          <w:rtl/>
        </w:rPr>
        <w:t xml:space="preserve"> ראה הערה </w:t>
      </w:r>
      <w:r>
        <w:rPr>
          <w:rtl/>
        </w:rPr>
        <w:fldChar w:fldCharType="begin" w:dirty="true"/>
      </w:r>
      <w:r>
        <w:rPr>
          <w:rtl/>
        </w:rPr>
        <w:instrText xml:space="preserve"> REF b5_note9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9</w:t>
      </w:r>
      <w:r>
        <w:rPr>
          <w:rtl/>
        </w:rPr>
        <w:fldChar w:fldCharType="end"/>
      </w:r>
      <w:r>
        <w:rPr>
          <w:rtl/>
        </w:rPr>
        <w:t xml:space="preserve"> להלן.</w:t>
      </w:r>
    </w:p>
    <w:bookmarkStart w:id="5860" w:name="b5_note6"/>
    <w:p w14:paraId="56847E83" w14:textId="6E30BA0A" w:rsidR="00AB3647" w:rsidRDefault="00000000" w:rsidP="007923E9">
      <w:pPr>
        <w:spacing w:before="120" w:after="100" w:line="276" w:lineRule="auto"/>
        <w:jc w:val="both"/>
      </w:pPr>
      <w:r>
        <w:fldChar w:fldCharType="begin" w:dirty="true"/>
      </w:r>
      <w:r>
        <w:instrText>HYPERLINK \l "b5_ref6"</w:instrText>
      </w:r>
      <w:r>
        <w:fldChar w:fldCharType="separate"/>
      </w:r>
      <w:r>
        <w:rPr>
          <w:b/>
          <w:bCs/>
          <w:rtl/>
        </w:rPr>
        <w:t>6</w:t>
      </w:r>
      <w:r>
        <w:rPr>
          <w:b/>
          <w:bCs/>
        </w:rPr>
        <w:fldChar w:fldCharType="end"/>
      </w:r>
      <w:bookmarkEnd w:id="5860"/>
      <w:r>
        <w:rPr>
          <w:rtl/>
        </w:rPr>
        <w:t xml:space="preserve"> השווה פרק 3, הפסקה השנייה של </w:t>
      </w:r>
      <w:r>
        <w:rPr>
          <w:rtl/>
        </w:rPr>
        <w:fldChar w:fldCharType="begin" w:dirty="true"/>
      </w:r>
      <w:r>
        <w:rPr>
          <w:rtl/>
        </w:rPr>
        <w:instrText xml:space="preserve"> REF b3_excV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כב</w:t>
      </w:r>
      <w:proofErr w:type="spellEnd"/>
      <w:r>
        <w:rPr>
          <w:rtl/>
        </w:rPr>
        <w:fldChar w:fldCharType="end"/>
      </w:r>
      <w:r>
        <w:rPr>
          <w:rtl/>
        </w:rPr>
        <w:t>.</w:t>
      </w:r>
    </w:p>
    <w:bookmarkStart w:id="5861" w:name="b5_note7"/>
    <w:p w14:paraId="33F65E47" w14:textId="77777777" w:rsidR="00AB3647" w:rsidRDefault="00000000" w:rsidP="007923E9">
      <w:pPr>
        <w:spacing w:before="120" w:after="100" w:line="276" w:lineRule="auto"/>
        <w:jc w:val="both"/>
      </w:pPr>
      <w:r>
        <w:fldChar w:fldCharType="begin" w:dirty="true"/>
      </w:r>
      <w:r>
        <w:instrText>HYPERLINK \l "b5_ref7"</w:instrText>
      </w:r>
      <w:r>
        <w:fldChar w:fldCharType="separate"/>
      </w:r>
      <w:r>
        <w:rPr>
          <w:b/>
          <w:bCs/>
          <w:rtl/>
        </w:rPr>
        <w:t>7</w:t>
      </w:r>
      <w:r>
        <w:rPr>
          <w:b/>
          <w:bCs/>
        </w:rPr>
        <w:fldChar w:fldCharType="end"/>
      </w:r>
      <w:bookmarkEnd w:id="5861"/>
      <w:r>
        <w:rPr>
          <w:rtl/>
        </w:rPr>
        <w:t xml:space="preserve"> לפי דעה רווחת, בפורים אחד </w:t>
      </w:r>
      <w:proofErr w:type="spellStart"/>
      <w:r>
        <w:rPr>
          <w:rtl/>
        </w:rPr>
        <w:t>בסלבודקה</w:t>
      </w:r>
      <w:proofErr w:type="spellEnd"/>
      <w:r>
        <w:rPr>
          <w:rtl/>
        </w:rPr>
        <w:t xml:space="preserve"> כתב רבנו טעמי מקרא לדף גמרא. איני יודע מה מקור הדבר, אבל הוא בהחלט מתקבל על הדעת ומתאים לאופיו. את סיפור כתיבת הטעמים לפסוקי התנ״ך מסרתי כפי שסיפר אותו גיסי ר׳ ישראל </w:t>
      </w:r>
      <w:proofErr w:type="spellStart"/>
      <w:r>
        <w:rPr>
          <w:rtl/>
        </w:rPr>
        <w:t>שורין</w:t>
      </w:r>
      <w:bookmarkStart w:id="5862" w:name="_fnr4466"/>
      <w:proofErr w:type="spellEnd"/>
      <w:r>
        <w:rPr>
          <w:rStyle w:val="a5"/>
        </w:rPr>
        <w:footnoteReference w:id="4477" w:customMarkFollows="0"/>
      </w:r>
      <w:bookmarkEnd w:id="5862"/>
      <w:r>
        <w:rPr>
          <w:rtl/>
        </w:rPr>
        <w:t>, כלומר שאבי היה זקוק לאחד מטעמי הפסוק כדי להשלים את שאר הטעמים. אולם מבחינה דקדוקית, כל מה שהיה עליו לדעת הוא היכן מסתיים הפסוק. כדי ליצור טעמים לדף גמרא היה עליו לחלק את הטקסט לפסוקים משלו, ואז יכול היה לכתוב טעמים לכל אחד מהם. השווה גם ספרו “לעיתים”</w:t>
      </w:r>
      <w:bookmarkStart w:id="5863" w:name="_fnr4467"/>
      <w:r>
        <w:rPr>
          <w:rStyle w:val="a5"/>
        </w:rPr>
        <w:footnoteReference w:id="4478" w:customMarkFollows="0"/>
      </w:r>
      <w:bookmarkEnd w:id="5863"/>
      <w:r>
        <w:rPr>
          <w:rtl/>
        </w:rPr>
        <w:t>, שבו הוא קובע טעמים לתחילת הברכה השנייה של העמידה, כדי לקבוע באיזו הברה יש להטעים את המילה “אתה”.</w:t>
      </w:r>
    </w:p>
    <w:p w14:paraId="0D8B98D9" w14:textId="6AF7864F"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בשעה שבחן ר׳ </w:t>
      </w:r>
      <w:proofErr w:type="spellStart"/>
      <w:r>
        <w:rPr>
          <w:rtl/>
        </w:rPr>
        <w:t>לייזר־יודל</w:t>
      </w:r>
      <w:proofErr w:type="spellEnd"/>
      <w:r>
        <w:rPr>
          <w:rtl/>
        </w:rPr>
        <w:t xml:space="preserve"> את </w:t>
      </w:r>
      <w:proofErr w:type="spellStart"/>
      <w:r>
        <w:rPr>
          <w:rtl/>
        </w:rPr>
        <w:t>הדולהינובר</w:t>
      </w:r>
      <w:proofErr w:type="spellEnd"/>
      <w:r>
        <w:rPr>
          <w:rtl/>
        </w:rPr>
        <w:t xml:space="preserve"> נכנס אביו, וכשראה תנ״ך פתוח ביניהם – האדים</w:t>
      </w:r>
      <w:bookmarkStart w:id="5864" w:name="b5_ref8"/>
      <w:bookmarkEnd w:id="5864"/>
      <w:r>
        <w:rPr>
          <w:vertAlign w:val="superscript"/>
          <w:rtl/>
        </w:rPr>
        <w:fldChar w:fldCharType="begin" w:dirty="true"/>
      </w:r>
      <w:r>
        <w:rPr>
          <w:vertAlign w:val="superscript"/>
          <w:rtl/>
        </w:rPr>
        <w:instrText xml:space="preserve"> REF b5_note8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w:t>
      </w:r>
      <w:r>
        <w:rPr>
          <w:vertAlign w:val="superscript"/>
          <w:rtl/>
        </w:rPr>
        <w:fldChar w:fldCharType="end"/>
      </w:r>
      <w:r>
        <w:rPr>
          <w:rtl/>
        </w:rPr>
        <w:t>. הסבא הביע את הסתייגותו באמירת שורה מתפילות הסליחות של אותו שבוע: “כי קטן יעקב ודל”</w:t>
      </w:r>
      <w:bookmarkStart w:id="5865" w:name="b5_ref9"/>
      <w:bookmarkEnd w:id="5865"/>
      <w:r>
        <w:rPr>
          <w:vertAlign w:val="superscript"/>
          <w:rtl/>
        </w:rPr>
        <w:fldChar w:fldCharType="begin" w:dirty="true"/>
      </w:r>
      <w:r>
        <w:rPr>
          <w:vertAlign w:val="superscript"/>
          <w:rtl/>
        </w:rPr>
        <w:instrText xml:space="preserve"> REF b5_note9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9</w:t>
      </w:r>
      <w:r>
        <w:rPr>
          <w:vertAlign w:val="superscript"/>
          <w:rtl/>
        </w:rPr>
        <w:fldChar w:fldCharType="end"/>
      </w:r>
      <w:r>
        <w:rPr>
          <w:rtl/>
        </w:rPr>
        <w:t>. אף שהסבא נהנה מגילויי גאונות</w:t>
      </w:r>
      <w:bookmarkStart w:id="5866" w:name="b5_ref10"/>
      <w:bookmarkEnd w:id="5866"/>
      <w:r>
        <w:rPr>
          <w:vertAlign w:val="superscript"/>
          <w:rtl/>
        </w:rPr>
        <w:fldChar w:fldCharType="begin" w:dirty="true"/>
      </w:r>
      <w:r>
        <w:rPr>
          <w:vertAlign w:val="superscript"/>
          <w:rtl/>
        </w:rPr>
        <w:instrText xml:space="preserve"> REF b5_note10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10</w:t>
      </w:r>
      <w:r>
        <w:rPr>
          <w:vertAlign w:val="superscript"/>
          <w:rtl/>
        </w:rPr>
        <w:fldChar w:fldCharType="end"/>
      </w:r>
      <w:r>
        <w:rPr>
          <w:rtl/>
        </w:rPr>
        <w:t>, הוא העדיף שתלמידו ישקיע את כישרונו בתורה שבעל פה, שאין לה גבול, ולא בתנ״ך הכתוב, שגבולותיו קבועים</w:t>
      </w:r>
      <w:bookmarkStart w:id="5867" w:name="b5_ref11"/>
      <w:bookmarkEnd w:id="5867"/>
      <w:r>
        <w:rPr>
          <w:vertAlign w:val="superscript"/>
          <w:rtl/>
        </w:rPr>
        <w:fldChar w:fldCharType="begin" w:dirty="true"/>
      </w:r>
      <w:r>
        <w:rPr>
          <w:vertAlign w:val="superscript"/>
          <w:rtl/>
        </w:rPr>
        <w:instrText xml:space="preserve"> REF b5_note11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11</w:t>
      </w:r>
      <w:r>
        <w:rPr>
          <w:vertAlign w:val="superscript"/>
          <w:rtl/>
        </w:rPr>
        <w:fldChar w:fldCharType="end"/>
      </w:r>
      <w:r>
        <w:rPr>
          <w:rtl/>
        </w:rPr>
        <w:t>.</w:t>
      </w:r>
    </w:p>
    <w:bookmarkStart w:id="5868" w:name="b5_note8"/>
    <w:p w14:paraId="3F736226" w14:textId="34E8649C" w:rsidR="00AB3647" w:rsidRDefault="00000000" w:rsidP="007923E9">
      <w:pPr>
        <w:spacing w:before="120" w:after="100" w:line="276" w:lineRule="auto"/>
        <w:jc w:val="both"/>
      </w:pPr>
      <w:r>
        <w:fldChar w:fldCharType="begin" w:dirty="true"/>
      </w:r>
      <w:r>
        <w:instrText>HYPERLINK \l "b5_ref8"</w:instrText>
      </w:r>
      <w:r>
        <w:fldChar w:fldCharType="separate"/>
      </w:r>
      <w:r>
        <w:rPr>
          <w:b/>
          <w:bCs/>
          <w:rtl/>
        </w:rPr>
        <w:t>8</w:t>
      </w:r>
      <w:r>
        <w:rPr>
          <w:b/>
          <w:bCs/>
        </w:rPr>
        <w:fldChar w:fldCharType="end"/>
      </w:r>
      <w:bookmarkEnd w:id="5868"/>
      <w:r>
        <w:rPr>
          <w:rtl/>
        </w:rPr>
        <w:t xml:space="preserve"> אבי לא הסביר מדוע האדים הסבא, אבל אפשר לשער שבשעה שמתח ביקורת על תלמידו על עיסוקו בתנ״ך, נזכר בעיסוקו שלו כמלמד תנ״ך </w:t>
      </w:r>
      <w:proofErr w:type="spellStart"/>
      <w:r>
        <w:rPr>
          <w:rtl/>
        </w:rPr>
        <w:t>בגרובין</w:t>
      </w:r>
      <w:proofErr w:type="spellEnd"/>
      <w:r>
        <w:rPr>
          <w:rtl/>
        </w:rPr>
        <w:t xml:space="preserve"> – השווה פרק 4, הפסקה השנייה של </w:t>
      </w:r>
      <w:r>
        <w:rPr>
          <w:rtl/>
        </w:rPr>
        <w:fldChar w:fldCharType="begin" w:dirty="true"/>
      </w:r>
      <w:r>
        <w:rPr>
          <w:rtl/>
        </w:rPr>
        <w:instrText xml:space="preserve"> REF b4_excB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 xml:space="preserve"> – עיסוק אשר ודאי דרש ממנו להתעמק בתחום זה</w:t>
      </w:r>
      <w:bookmarkStart w:id="5869" w:name="_fnr4468"/>
      <w:r>
        <w:rPr>
          <w:rStyle w:val="a5"/>
        </w:rPr>
        <w:footnoteReference w:id="4479" w:customMarkFollows="0"/>
      </w:r>
      <w:bookmarkEnd w:id="5869"/>
      <w:r>
        <w:rPr>
          <w:rtl/>
        </w:rPr>
        <w:t>.</w:t>
      </w:r>
    </w:p>
    <w:bookmarkStart w:id="5870" w:name="b5_note9"/>
    <w:p w14:paraId="488910D0" w14:textId="77777777" w:rsidR="00AB3647" w:rsidRDefault="00000000" w:rsidP="007923E9">
      <w:pPr>
        <w:spacing w:before="120" w:after="100" w:line="276" w:lineRule="auto"/>
        <w:jc w:val="both"/>
      </w:pPr>
      <w:r>
        <w:fldChar w:fldCharType="begin" w:dirty="true"/>
      </w:r>
      <w:r>
        <w:instrText>HYPERLINK \l "b5_ref9"</w:instrText>
      </w:r>
      <w:r>
        <w:fldChar w:fldCharType="separate"/>
      </w:r>
      <w:r>
        <w:rPr>
          <w:b/>
          <w:bCs/>
          <w:rtl/>
        </w:rPr>
        <w:t>9</w:t>
      </w:r>
      <w:r>
        <w:rPr>
          <w:b/>
          <w:bCs/>
        </w:rPr>
        <w:fldChar w:fldCharType="end"/>
      </w:r>
      <w:bookmarkEnd w:id="5870"/>
      <w:r>
        <w:rPr>
          <w:rtl/>
        </w:rPr>
        <w:t xml:space="preserve"> הפייטן האלמוני שפיוטו נאמר ביום החמישי של הסליחות לפי מנהג ליטא – </w:t>
      </w:r>
      <w:proofErr w:type="spellStart"/>
      <w:r>
        <w:rPr>
          <w:rtl/>
        </w:rPr>
        <w:t>ב“שנייה</w:t>
      </w:r>
      <w:proofErr w:type="spellEnd"/>
      <w:r>
        <w:rPr>
          <w:rtl/>
        </w:rPr>
        <w:t>” הפותחת “</w:t>
      </w:r>
      <w:proofErr w:type="spellStart"/>
      <w:r>
        <w:rPr>
          <w:rtl/>
        </w:rPr>
        <w:t>א־להים</w:t>
      </w:r>
      <w:proofErr w:type="spellEnd"/>
      <w:r>
        <w:rPr>
          <w:rtl/>
        </w:rPr>
        <w:t xml:space="preserve"> בישראל”; בפולין הוא נאמר ביום שלפני ערב יום הכיפורים – ביסס שורה זו על צירוף של שני פסוקים בתנ״ך: “מי יקום יעקב כי קטון הוא” (עמוס ז, ב; ה), </w:t>
      </w:r>
      <w:proofErr w:type="spellStart"/>
      <w:r>
        <w:rPr>
          <w:rtl/>
        </w:rPr>
        <w:t>ו“ידל</w:t>
      </w:r>
      <w:proofErr w:type="spellEnd"/>
      <w:r>
        <w:rPr>
          <w:rtl/>
        </w:rPr>
        <w:t xml:space="preserve"> כבוד יעקב” (</w:t>
      </w:r>
      <w:proofErr w:type="spellStart"/>
      <w:r>
        <w:rPr>
          <w:rtl/>
        </w:rPr>
        <w:t>ישעי</w:t>
      </w:r>
      <w:proofErr w:type="spellEnd"/>
      <w:r>
        <w:rPr>
          <w:rtl/>
        </w:rPr>
        <w:t xml:space="preserve">’ </w:t>
      </w:r>
      <w:proofErr w:type="spellStart"/>
      <w:r>
        <w:rPr>
          <w:rtl/>
        </w:rPr>
        <w:t>יז</w:t>
      </w:r>
      <w:proofErr w:type="spellEnd"/>
      <w:r>
        <w:rPr>
          <w:rtl/>
        </w:rPr>
        <w:t xml:space="preserve">, ד). השווה גם את סוף הסליחה ליום השני, הפותחת “אם </w:t>
      </w:r>
      <w:proofErr w:type="spellStart"/>
      <w:r>
        <w:rPr>
          <w:rtl/>
        </w:rPr>
        <w:t>עוונינו</w:t>
      </w:r>
      <w:proofErr w:type="spellEnd"/>
      <w:r>
        <w:rPr>
          <w:rtl/>
        </w:rPr>
        <w:t xml:space="preserve">”: היא </w:t>
      </w:r>
      <w:r>
        <w:rPr>
          <w:rtl/>
        </w:rPr>
        <w:lastRenderedPageBreak/>
        <w:t>משתמשת באותה לשון, אבל הופכת את סדר שתי המילים הראשונות (“קטן כי”), כדי להשלים את האקרוסטיכון שבו חתם המחבר את שמו בפיוט: שלמה (הבבלי) הקטן.</w:t>
      </w:r>
    </w:p>
    <w:p w14:paraId="4D56E091" w14:textId="77777777" w:rsidR="00AB3647" w:rsidRDefault="00000000" w:rsidP="007923E9">
      <w:pPr>
        <w:spacing w:after="100" w:line="276" w:lineRule="auto"/>
        <w:ind w:firstLine="340"/>
        <w:jc w:val="both"/>
      </w:pPr>
      <w:r>
        <w:rPr>
          <w:rtl/>
        </w:rPr>
        <w:t xml:space="preserve">כשסיפר אבי מעשה זה לחתנו, לא הזכיר מתי בדיוק אירע. שני דברים הביאו אותי לשער שהמעשה אירע בסוף תרס״ז, כשראש השנה נכנס במוצאי יום ראשון, והסליחות נאמרו במשך שבוע שלם לפניו: ציטוטו </w:t>
      </w:r>
      <w:proofErr w:type="spellStart"/>
      <w:r>
        <w:rPr>
          <w:rtl/>
        </w:rPr>
        <w:t>הלא־מוכר</w:t>
      </w:r>
      <w:proofErr w:type="spellEnd"/>
      <w:r>
        <w:rPr>
          <w:rtl/>
        </w:rPr>
        <w:t xml:space="preserve"> של הסבא, שטבעי היה שיעלה על דעתו של ר׳ </w:t>
      </w:r>
      <w:proofErr w:type="spellStart"/>
      <w:r>
        <w:rPr>
          <w:rtl/>
        </w:rPr>
        <w:t>נתן־צבי</w:t>
      </w:r>
      <w:proofErr w:type="spellEnd"/>
      <w:r>
        <w:rPr>
          <w:rtl/>
        </w:rPr>
        <w:t xml:space="preserve"> </w:t>
      </w:r>
      <w:proofErr w:type="spellStart"/>
      <w:r>
        <w:rPr>
          <w:rtl/>
        </w:rPr>
        <w:t>פינקל</w:t>
      </w:r>
      <w:proofErr w:type="spellEnd"/>
      <w:r>
        <w:rPr>
          <w:rtl/>
        </w:rPr>
        <w:t xml:space="preserve"> ביום שבו נאמר; ובדיקת הלוח – באיזו שנה היה שבוע הסליחות ארוך דיו כדי שר׳ </w:t>
      </w:r>
      <w:proofErr w:type="spellStart"/>
      <w:r>
        <w:rPr>
          <w:rtl/>
        </w:rPr>
        <w:t>לייזר־יודל</w:t>
      </w:r>
      <w:proofErr w:type="spellEnd"/>
      <w:r>
        <w:rPr>
          <w:rtl/>
        </w:rPr>
        <w:t xml:space="preserve"> יפנה זמן מתפקידיו בישיבתו הרחוקה, ייסע ממיר </w:t>
      </w:r>
      <w:proofErr w:type="spellStart"/>
      <w:r>
        <w:rPr>
          <w:rtl/>
        </w:rPr>
        <w:t>לסלבודקה</w:t>
      </w:r>
      <w:proofErr w:type="spellEnd"/>
      <w:r>
        <w:rPr>
          <w:rtl/>
        </w:rPr>
        <w:t xml:space="preserve"> ויחזור לראש השנה.</w:t>
      </w:r>
    </w:p>
    <w:p w14:paraId="18F1EED3" w14:textId="77777777" w:rsidR="00AB3647" w:rsidRDefault="00000000" w:rsidP="007923E9">
      <w:pPr>
        <w:spacing w:after="100" w:line="276" w:lineRule="auto"/>
        <w:ind w:firstLine="340"/>
        <w:jc w:val="both"/>
      </w:pPr>
      <w:r>
        <w:rPr>
          <w:rtl/>
        </w:rPr>
        <w:t xml:space="preserve">לפי הלוח, ייתכן גם שהמעשה אירע </w:t>
      </w:r>
      <w:proofErr w:type="spellStart"/>
      <w:r>
        <w:rPr>
          <w:rtl/>
        </w:rPr>
        <w:t>בתר״ע</w:t>
      </w:r>
      <w:proofErr w:type="spellEnd"/>
      <w:r>
        <w:rPr>
          <w:rtl/>
        </w:rPr>
        <w:t xml:space="preserve"> או </w:t>
      </w:r>
      <w:proofErr w:type="spellStart"/>
      <w:r>
        <w:rPr>
          <w:rtl/>
        </w:rPr>
        <w:t>בתרע״ד</w:t>
      </w:r>
      <w:proofErr w:type="spellEnd"/>
      <w:r>
        <w:rPr>
          <w:rtl/>
        </w:rPr>
        <w:t xml:space="preserve">. אבל בתאריך המאוחר ודאי, ואף במוקדם, כבר היה אבי, בן עשרים ושלוש או </w:t>
      </w:r>
      <w:proofErr w:type="spellStart"/>
      <w:r>
        <w:rPr>
          <w:rtl/>
        </w:rPr>
        <w:t>תשע־עשרה</w:t>
      </w:r>
      <w:proofErr w:type="spellEnd"/>
      <w:r>
        <w:rPr>
          <w:rtl/>
        </w:rPr>
        <w:t xml:space="preserve">, מבוגר מכדי שהסבא ימעיט בערכו בהערה כזו. התיארוך </w:t>
      </w:r>
      <w:proofErr w:type="spellStart"/>
      <w:r>
        <w:rPr>
          <w:rtl/>
        </w:rPr>
        <w:t>לתרס״ז</w:t>
      </w:r>
      <w:proofErr w:type="spellEnd"/>
      <w:r>
        <w:rPr>
          <w:rtl/>
        </w:rPr>
        <w:t xml:space="preserve">, כשהיה בן </w:t>
      </w:r>
      <w:proofErr w:type="spellStart"/>
      <w:r>
        <w:rPr>
          <w:rtl/>
        </w:rPr>
        <w:t>שש־עשרה</w:t>
      </w:r>
      <w:proofErr w:type="spellEnd"/>
      <w:r>
        <w:rPr>
          <w:rtl/>
        </w:rPr>
        <w:t xml:space="preserve"> בלבד, נראה מתאים.</w:t>
      </w:r>
    </w:p>
    <w:bookmarkStart w:id="5871" w:name="b5_note10"/>
    <w:p w14:paraId="1463C775" w14:textId="52687B54" w:rsidR="00AB3647" w:rsidRDefault="00000000" w:rsidP="007923E9">
      <w:pPr>
        <w:spacing w:before="120" w:after="100" w:line="276" w:lineRule="auto"/>
        <w:jc w:val="both"/>
      </w:pPr>
      <w:r>
        <w:fldChar w:fldCharType="begin" w:dirty="true"/>
      </w:r>
      <w:r>
        <w:instrText>HYPERLINK \l "b5_ref10"</w:instrText>
      </w:r>
      <w:r>
        <w:fldChar w:fldCharType="separate"/>
      </w:r>
      <w:r>
        <w:rPr>
          <w:b/>
          <w:bCs/>
          <w:rtl/>
        </w:rPr>
        <w:t>10</w:t>
      </w:r>
      <w:r>
        <w:rPr>
          <w:b/>
          <w:bCs/>
        </w:rPr>
        <w:fldChar w:fldCharType="end"/>
      </w:r>
      <w:bookmarkEnd w:id="5871"/>
      <w:r>
        <w:rPr>
          <w:rtl/>
        </w:rPr>
        <w:t xml:space="preserve"> השווה פרק 4, הפסקה הראשונה של הערה </w:t>
      </w:r>
      <w:r>
        <w:rPr>
          <w:rtl/>
        </w:rPr>
        <w:fldChar w:fldCharType="begin" w:dirty="true"/>
      </w:r>
      <w:r>
        <w:rPr>
          <w:rtl/>
        </w:rPr>
        <w:instrText xml:space="preserve"> REF b4_note20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20</w:t>
      </w:r>
      <w:r>
        <w:rPr>
          <w:rtl/>
        </w:rPr>
        <w:fldChar w:fldCharType="end"/>
      </w:r>
      <w:r>
        <w:rPr>
          <w:rtl/>
        </w:rPr>
        <w:t>.</w:t>
      </w:r>
    </w:p>
    <w:bookmarkStart w:id="5872" w:name="b5_note11"/>
    <w:p w14:paraId="52E78CD3" w14:textId="0D502A5F" w:rsidR="00AB3647" w:rsidRDefault="00000000" w:rsidP="007923E9">
      <w:pPr>
        <w:spacing w:before="120" w:after="100" w:line="276" w:lineRule="auto"/>
        <w:jc w:val="both"/>
      </w:pPr>
      <w:r>
        <w:fldChar w:fldCharType="begin" w:dirty="true"/>
      </w:r>
      <w:r>
        <w:instrText>HYPERLINK \l "b5_ref11"</w:instrText>
      </w:r>
      <w:r>
        <w:fldChar w:fldCharType="separate"/>
      </w:r>
      <w:r>
        <w:rPr>
          <w:b/>
          <w:bCs/>
          <w:rtl/>
        </w:rPr>
        <w:t>11</w:t>
      </w:r>
      <w:r>
        <w:rPr>
          <w:b/>
          <w:bCs/>
        </w:rPr>
        <w:fldChar w:fldCharType="end"/>
      </w:r>
      <w:bookmarkEnd w:id="5872"/>
      <w:r>
        <w:rPr>
          <w:rtl/>
        </w:rPr>
        <w:t xml:space="preserve"> ראה </w:t>
      </w:r>
      <w:r>
        <w:rPr>
          <w:rtl/>
        </w:rPr>
        <w:fldChar w:fldCharType="begin" w:dirty="true"/>
      </w:r>
      <w:r>
        <w:rPr>
          <w:rtl/>
        </w:rPr>
        <w:instrText xml:space="preserve"> REF b5_excC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ג</w:t>
      </w:r>
      <w:r>
        <w:rPr>
          <w:rtl/>
        </w:rPr>
        <w:fldChar w:fldCharType="end"/>
      </w:r>
      <w:r>
        <w:rPr>
          <w:rtl/>
        </w:rPr>
        <w:t>.</w:t>
      </w:r>
    </w:p>
    <w:p w14:paraId="181252C5" w14:textId="05251B5F"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בסוף אלול התקבלה בכנסת ישראל החלטה נועזת: לראשונה בתולדותיה תלמד הישיבה בזמן החורף</w:t>
      </w:r>
      <w:bookmarkStart w:id="5873" w:name="b5_ref12"/>
      <w:bookmarkEnd w:id="5873"/>
      <w:r>
        <w:rPr>
          <w:vertAlign w:val="superscript"/>
          <w:rtl/>
        </w:rPr>
        <w:fldChar w:fldCharType="begin" w:dirty="true"/>
      </w:r>
      <w:r>
        <w:rPr>
          <w:vertAlign w:val="superscript"/>
          <w:rtl/>
        </w:rPr>
        <w:instrText xml:space="preserve"> REF b5_note12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12</w:t>
      </w:r>
      <w:r>
        <w:rPr>
          <w:vertAlign w:val="superscript"/>
          <w:rtl/>
        </w:rPr>
        <w:fldChar w:fldCharType="end"/>
      </w:r>
      <w:r>
        <w:rPr>
          <w:rtl/>
        </w:rPr>
        <w:t xml:space="preserve"> את אחת משלוש המסכתות הקשות ביותר בתלמוד, מסכת יבמות</w:t>
      </w:r>
      <w:bookmarkStart w:id="5874" w:name="b5_ref13"/>
      <w:bookmarkEnd w:id="5874"/>
      <w:r>
        <w:rPr>
          <w:vertAlign w:val="superscript"/>
          <w:rtl/>
        </w:rPr>
        <w:fldChar w:fldCharType="begin" w:dirty="true"/>
      </w:r>
      <w:r>
        <w:rPr>
          <w:vertAlign w:val="superscript"/>
          <w:rtl/>
        </w:rPr>
        <w:instrText xml:space="preserve"> REF b5_note13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13</w:t>
      </w:r>
      <w:r>
        <w:rPr>
          <w:vertAlign w:val="superscript"/>
          <w:rtl/>
        </w:rPr>
        <w:fldChar w:fldCharType="end"/>
      </w:r>
      <w:r>
        <w:rPr>
          <w:rtl/>
        </w:rPr>
        <w:t>. כל תלמידי הישיבה ניגשו לזמן החדש בחשש, ואפילו ראש הישיבה פחד</w:t>
      </w:r>
      <w:bookmarkStart w:id="5875" w:name="b5_ref14"/>
      <w:bookmarkEnd w:id="5875"/>
      <w:r>
        <w:rPr>
          <w:vertAlign w:val="superscript"/>
          <w:rtl/>
        </w:rPr>
        <w:fldChar w:fldCharType="begin" w:dirty="true"/>
      </w:r>
      <w:r>
        <w:rPr>
          <w:vertAlign w:val="superscript"/>
          <w:rtl/>
        </w:rPr>
        <w:instrText xml:space="preserve"> REF b5_note14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14</w:t>
      </w:r>
      <w:r>
        <w:rPr>
          <w:vertAlign w:val="superscript"/>
          <w:rtl/>
        </w:rPr>
        <w:fldChar w:fldCharType="end"/>
      </w:r>
      <w:r>
        <w:rPr>
          <w:rtl/>
        </w:rPr>
        <w:t xml:space="preserve">. </w:t>
      </w:r>
      <w:proofErr w:type="spellStart"/>
      <w:r>
        <w:rPr>
          <w:rtl/>
        </w:rPr>
        <w:t>הדולהינובר</w:t>
      </w:r>
      <w:proofErr w:type="spellEnd"/>
      <w:r>
        <w:rPr>
          <w:rtl/>
        </w:rPr>
        <w:t xml:space="preserve">, לעומת זאת, לא חשש, מפני שלמד את המסכת </w:t>
      </w:r>
      <w:proofErr w:type="spellStart"/>
      <w:r>
        <w:rPr>
          <w:rtl/>
        </w:rPr>
        <w:t>בקצובישער</w:t>
      </w:r>
      <w:proofErr w:type="spellEnd"/>
      <w:r>
        <w:rPr>
          <w:rtl/>
        </w:rPr>
        <w:t xml:space="preserve"> שול במינסק</w:t>
      </w:r>
      <w:bookmarkStart w:id="5876" w:name="b5_ref15"/>
      <w:bookmarkEnd w:id="5876"/>
      <w:r>
        <w:rPr>
          <w:vertAlign w:val="superscript"/>
          <w:rtl/>
        </w:rPr>
        <w:fldChar w:fldCharType="begin" w:dirty="true"/>
      </w:r>
      <w:r>
        <w:rPr>
          <w:vertAlign w:val="superscript"/>
          <w:rtl/>
        </w:rPr>
        <w:instrText xml:space="preserve"> REF b5_note15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15</w:t>
      </w:r>
      <w:r>
        <w:rPr>
          <w:vertAlign w:val="superscript"/>
          <w:rtl/>
        </w:rPr>
        <w:fldChar w:fldCharType="end"/>
      </w:r>
      <w:r>
        <w:rPr>
          <w:rtl/>
        </w:rPr>
        <w:t>, ובזיכרונו המבורך לא שכח ממנה שורה. אומנם מן התוספות למד אז רק מעט</w:t>
      </w:r>
      <w:bookmarkStart w:id="5877" w:name="b5_ref16"/>
      <w:bookmarkEnd w:id="5877"/>
      <w:r>
        <w:rPr>
          <w:vertAlign w:val="superscript"/>
          <w:rtl/>
        </w:rPr>
        <w:fldChar w:fldCharType="begin" w:dirty="true"/>
      </w:r>
      <w:r>
        <w:rPr>
          <w:vertAlign w:val="superscript"/>
          <w:rtl/>
        </w:rPr>
        <w:instrText xml:space="preserve"> REF b5_note16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16</w:t>
      </w:r>
      <w:r>
        <w:rPr>
          <w:vertAlign w:val="superscript"/>
          <w:rtl/>
        </w:rPr>
        <w:fldChar w:fldCharType="end"/>
      </w:r>
      <w:r>
        <w:rPr>
          <w:rtl/>
        </w:rPr>
        <w:t>, אבל הגמרא נשארה בזיכרונו ברורה, בלי שתימחק.</w:t>
      </w:r>
    </w:p>
    <w:bookmarkStart w:id="5878" w:name="b5_note12"/>
    <w:p w14:paraId="11FE1A6C" w14:textId="77777777" w:rsidR="00AB3647" w:rsidRDefault="00000000" w:rsidP="007923E9">
      <w:pPr>
        <w:spacing w:before="120" w:after="100" w:line="276" w:lineRule="auto"/>
        <w:jc w:val="both"/>
      </w:pPr>
      <w:r>
        <w:fldChar w:fldCharType="begin" w:dirty="true"/>
      </w:r>
      <w:r>
        <w:instrText>HYPERLINK \l "b5_ref12"</w:instrText>
      </w:r>
      <w:r>
        <w:fldChar w:fldCharType="separate"/>
      </w:r>
      <w:r>
        <w:rPr>
          <w:b/>
          <w:bCs/>
          <w:rtl/>
        </w:rPr>
        <w:t>12</w:t>
      </w:r>
      <w:r>
        <w:rPr>
          <w:b/>
          <w:bCs/>
        </w:rPr>
        <w:fldChar w:fldCharType="end"/>
      </w:r>
      <w:bookmarkEnd w:id="5878"/>
      <w:r>
        <w:rPr>
          <w:rtl/>
        </w:rPr>
        <w:t xml:space="preserve"> בישיבת </w:t>
      </w:r>
      <w:proofErr w:type="spellStart"/>
      <w:r>
        <w:rPr>
          <w:rtl/>
        </w:rPr>
        <w:t>וולוז׳ין</w:t>
      </w:r>
      <w:proofErr w:type="spellEnd"/>
      <w:r>
        <w:rPr>
          <w:rtl/>
        </w:rPr>
        <w:t xml:space="preserve"> הקיף השיעור דף שלם בכל יום, והתקדם ממסכת ברכות עד מסכת נידה</w:t>
      </w:r>
      <w:bookmarkStart w:id="5879" w:name="_fnr4469"/>
      <w:r>
        <w:rPr>
          <w:rStyle w:val="a5"/>
        </w:rPr>
        <w:footnoteReference w:id="4480" w:customMarkFollows="0"/>
      </w:r>
      <w:bookmarkEnd w:id="5879"/>
      <w:r>
        <w:rPr>
          <w:rtl/>
        </w:rPr>
        <w:t>, כשהמגיד שיעור קורא את הדף כולו, לרבות קטעי האגדה. יתרה מזו, התלמידים לא נדרשו ללמוד את המסכת שעליה נאמרו השיעורים</w:t>
      </w:r>
      <w:bookmarkStart w:id="5880" w:name="_fnr4470"/>
      <w:r>
        <w:rPr>
          <w:rStyle w:val="a5"/>
        </w:rPr>
        <w:footnoteReference w:id="4481" w:customMarkFollows="0"/>
      </w:r>
      <w:bookmarkEnd w:id="5880"/>
      <w:r>
        <w:rPr>
          <w:rtl/>
        </w:rPr>
        <w:t xml:space="preserve">. </w:t>
      </w:r>
      <w:proofErr w:type="spellStart"/>
      <w:r>
        <w:rPr>
          <w:rtl/>
        </w:rPr>
        <w:t>בסלבודקה</w:t>
      </w:r>
      <w:proofErr w:type="spellEnd"/>
      <w:r>
        <w:rPr>
          <w:rtl/>
        </w:rPr>
        <w:t xml:space="preserve">, לעומת זאת, היו השיעורים בסוגיות נבחרות, ורק במסכתות מסדרי נשים </w:t>
      </w:r>
      <w:proofErr w:type="spellStart"/>
      <w:r>
        <w:rPr>
          <w:rtl/>
        </w:rPr>
        <w:t>ונזיקין</w:t>
      </w:r>
      <w:proofErr w:type="spellEnd"/>
      <w:r>
        <w:rPr>
          <w:rtl/>
        </w:rPr>
        <w:t>, והתלמידים נדרשו ללמוד את המסכת שהישיבה למדה באותה שעה. רק התלמידים המבוגרים יכלו ללמוד “מה שלבם חפץ”</w:t>
      </w:r>
      <w:bookmarkStart w:id="5881" w:name="_fnr4471"/>
      <w:r>
        <w:rPr>
          <w:rStyle w:val="a5"/>
        </w:rPr>
        <w:footnoteReference w:id="4482" w:customMarkFollows="0"/>
      </w:r>
      <w:bookmarkEnd w:id="5881"/>
      <w:r>
        <w:rPr>
          <w:rtl/>
        </w:rPr>
        <w:t>.</w:t>
      </w:r>
    </w:p>
    <w:p w14:paraId="5C486651" w14:textId="7B97C8BA" w:rsidR="00AB3647" w:rsidRDefault="00000000" w:rsidP="007923E9">
      <w:pPr>
        <w:spacing w:before="120" w:after="100" w:line="276" w:lineRule="auto"/>
        <w:jc w:val="both"/>
      </w:pPr>
      <w:proofErr w:type="spellStart"/>
      <w:r>
        <w:rPr>
          <w:rtl/>
        </w:rPr>
        <w:t>ב“עלי</w:t>
      </w:r>
      <w:proofErr w:type="spellEnd"/>
      <w:r>
        <w:rPr>
          <w:rtl/>
        </w:rPr>
        <w:t xml:space="preserve"> </w:t>
      </w:r>
      <w:proofErr w:type="spellStart"/>
      <w:r>
        <w:rPr>
          <w:rtl/>
        </w:rPr>
        <w:t>חלדי</w:t>
      </w:r>
      <w:proofErr w:type="spellEnd"/>
      <w:r>
        <w:rPr>
          <w:rtl/>
        </w:rPr>
        <w:t>”</w:t>
      </w:r>
      <w:bookmarkStart w:id="5882" w:name="_fnr4472"/>
      <w:r>
        <w:rPr>
          <w:rStyle w:val="a5"/>
        </w:rPr>
        <w:footnoteReference w:id="4483" w:customMarkFollows="0"/>
      </w:r>
      <w:bookmarkEnd w:id="5882"/>
      <w:r>
        <w:rPr>
          <w:rtl/>
        </w:rPr>
        <w:t xml:space="preserve"> מתאר ר׳ יצחק </w:t>
      </w:r>
      <w:proofErr w:type="spellStart"/>
      <w:r>
        <w:rPr>
          <w:rtl/>
        </w:rPr>
        <w:t>ניסנבוים</w:t>
      </w:r>
      <w:proofErr w:type="spellEnd"/>
      <w:r>
        <w:rPr>
          <w:rtl/>
        </w:rPr>
        <w:t xml:space="preserve"> את לימודיו </w:t>
      </w:r>
      <w:proofErr w:type="spellStart"/>
      <w:r>
        <w:rPr>
          <w:rtl/>
        </w:rPr>
        <w:t>בוולוז׳ין</w:t>
      </w:r>
      <w:proofErr w:type="spellEnd"/>
      <w:r>
        <w:rPr>
          <w:rtl/>
        </w:rPr>
        <w:t xml:space="preserve"> </w:t>
      </w:r>
      <w:proofErr w:type="spellStart"/>
      <w:r>
        <w:rPr>
          <w:rtl/>
        </w:rPr>
        <w:t>בתרמ״ד</w:t>
      </w:r>
      <w:proofErr w:type="spellEnd"/>
      <w:r>
        <w:rPr>
          <w:rtl/>
        </w:rPr>
        <w:t xml:space="preserve">: “ביום הראשון, השני והשלישי לשבוע הגיד רבי חיים </w:t>
      </w:r>
      <w:proofErr w:type="spellStart"/>
      <w:r>
        <w:rPr>
          <w:rtl/>
        </w:rPr>
        <w:t>סולוביציק</w:t>
      </w:r>
      <w:proofErr w:type="spellEnd"/>
      <w:r>
        <w:rPr>
          <w:rtl/>
        </w:rPr>
        <w:t xml:space="preserve">, וביום הרביעי, החמישי </w:t>
      </w:r>
      <w:proofErr w:type="spellStart"/>
      <w:r>
        <w:rPr>
          <w:rtl/>
        </w:rPr>
        <w:t>והששי</w:t>
      </w:r>
      <w:proofErr w:type="spellEnd"/>
      <w:r>
        <w:rPr>
          <w:rtl/>
        </w:rPr>
        <w:t xml:space="preserve"> </w:t>
      </w:r>
      <w:proofErr w:type="spellStart"/>
      <w:r>
        <w:rPr>
          <w:rtl/>
        </w:rPr>
        <w:t>הנצי״ב</w:t>
      </w:r>
      <w:proofErr w:type="spellEnd"/>
      <w:r>
        <w:rPr>
          <w:rtl/>
        </w:rPr>
        <w:t xml:space="preserve"> – ביום הששי את </w:t>
      </w:r>
      <w:proofErr w:type="spellStart"/>
      <w:r>
        <w:rPr>
          <w:rtl/>
        </w:rPr>
        <w:t>הרא״ש</w:t>
      </w:r>
      <w:proofErr w:type="spellEnd"/>
      <w:r>
        <w:rPr>
          <w:rtl/>
        </w:rPr>
        <w:t xml:space="preserve">. – </w:t>
      </w:r>
      <w:proofErr w:type="spellStart"/>
      <w:r>
        <w:rPr>
          <w:rtl/>
        </w:rPr>
        <w:t>הנצי״ב</w:t>
      </w:r>
      <w:proofErr w:type="spellEnd"/>
      <w:r>
        <w:rPr>
          <w:rtl/>
        </w:rPr>
        <w:t xml:space="preserve"> לא היה חולץ את </w:t>
      </w:r>
      <w:proofErr w:type="spellStart"/>
      <w:r>
        <w:rPr>
          <w:rtl/>
        </w:rPr>
        <w:t>תפליו</w:t>
      </w:r>
      <w:proofErr w:type="spellEnd"/>
      <w:r>
        <w:rPr>
          <w:rtl/>
        </w:rPr>
        <w:t xml:space="preserve"> כל היום </w:t>
      </w:r>
      <w:proofErr w:type="spellStart"/>
      <w:r>
        <w:rPr>
          <w:rtl/>
        </w:rPr>
        <w:t>ובתפליו</w:t>
      </w:r>
      <w:proofErr w:type="spellEnd"/>
      <w:r>
        <w:rPr>
          <w:rtl/>
        </w:rPr>
        <w:t xml:space="preserve"> הגיד גם את </w:t>
      </w:r>
      <w:proofErr w:type="spellStart"/>
      <w:r>
        <w:rPr>
          <w:rtl/>
        </w:rPr>
        <w:t>השעור</w:t>
      </w:r>
      <w:proofErr w:type="spellEnd"/>
      <w:r>
        <w:rPr>
          <w:rtl/>
        </w:rPr>
        <w:t xml:space="preserve">. עצם </w:t>
      </w:r>
      <w:proofErr w:type="spellStart"/>
      <w:r>
        <w:rPr>
          <w:rtl/>
        </w:rPr>
        <w:t>השעור</w:t>
      </w:r>
      <w:proofErr w:type="spellEnd"/>
      <w:r>
        <w:rPr>
          <w:rtl/>
        </w:rPr>
        <w:t xml:space="preserve"> של רבי חיים היה באמת רק פעם אחת בשבוע, ביום השני, אז אמר את </w:t>
      </w:r>
      <w:proofErr w:type="spellStart"/>
      <w:r>
        <w:rPr>
          <w:rtl/>
        </w:rPr>
        <w:t>חדושו</w:t>
      </w:r>
      <w:proofErr w:type="spellEnd"/>
      <w:r>
        <w:rPr>
          <w:rtl/>
        </w:rPr>
        <w:t xml:space="preserve">. בשני הימים הנשארים היה עובר במהירות רבה על דף הגמרא ועד שהתלמידים נאספו כולם אל שלחנו, כבר גמר את </w:t>
      </w:r>
      <w:proofErr w:type="spellStart"/>
      <w:r>
        <w:rPr>
          <w:rtl/>
        </w:rPr>
        <w:t>השעור</w:t>
      </w:r>
      <w:proofErr w:type="spellEnd"/>
      <w:r>
        <w:rPr>
          <w:rtl/>
        </w:rPr>
        <w:t xml:space="preserve">. אולם </w:t>
      </w:r>
      <w:proofErr w:type="spellStart"/>
      <w:r>
        <w:rPr>
          <w:rtl/>
        </w:rPr>
        <w:t>בחדוש</w:t>
      </w:r>
      <w:proofErr w:type="spellEnd"/>
      <w:r>
        <w:rPr>
          <w:rtl/>
        </w:rPr>
        <w:t xml:space="preserve"> שחדש ביום השני הספיק מזון רוחני לטובי </w:t>
      </w:r>
      <w:r>
        <w:rPr>
          <w:rtl/>
        </w:rPr>
        <w:lastRenderedPageBreak/>
        <w:t xml:space="preserve">התלמידים לכל ימות השבוע. התלמידים האלה היו מבקרים גם בביתו של רבי חיים והיו מפלפלים עמו בדברי תורה... שעוריו של </w:t>
      </w:r>
      <w:proofErr w:type="spellStart"/>
      <w:r>
        <w:rPr>
          <w:rtl/>
        </w:rPr>
        <w:t>הנצי״ב</w:t>
      </w:r>
      <w:proofErr w:type="spellEnd"/>
      <w:r>
        <w:rPr>
          <w:rtl/>
        </w:rPr>
        <w:t xml:space="preserve"> הצטיינו בפשט הגמרא </w:t>
      </w:r>
      <w:proofErr w:type="spellStart"/>
      <w:r>
        <w:rPr>
          <w:rtl/>
        </w:rPr>
        <w:t>ובחדושים</w:t>
      </w:r>
      <w:proofErr w:type="spellEnd"/>
      <w:r>
        <w:rPr>
          <w:rtl/>
        </w:rPr>
        <w:t xml:space="preserve"> קצרים בלתי עמוקים. כשהקשה איזה תלמיד על </w:t>
      </w:r>
      <w:proofErr w:type="spellStart"/>
      <w:r>
        <w:rPr>
          <w:rtl/>
        </w:rPr>
        <w:t>החדוש</w:t>
      </w:r>
      <w:proofErr w:type="spellEnd"/>
      <w:r>
        <w:rPr>
          <w:rtl/>
        </w:rPr>
        <w:t xml:space="preserve"> שחדש, אז חשב מעט. אם מצא תשובה, השיב, ואם לא, אמר: ‘</w:t>
      </w:r>
      <w:proofErr w:type="spellStart"/>
      <w:r>
        <w:rPr>
          <w:rtl/>
        </w:rPr>
        <w:t>הקושיא</w:t>
      </w:r>
      <w:proofErr w:type="spellEnd"/>
      <w:r>
        <w:rPr>
          <w:rtl/>
        </w:rPr>
        <w:t xml:space="preserve"> שהקשית – היא קושיא, אבל </w:t>
      </w:r>
      <w:proofErr w:type="spellStart"/>
      <w:r>
        <w:rPr>
          <w:rtl/>
        </w:rPr>
        <w:t>חדושי</w:t>
      </w:r>
      <w:proofErr w:type="spellEnd"/>
      <w:r>
        <w:rPr>
          <w:rtl/>
        </w:rPr>
        <w:t xml:space="preserve"> הוא נכון’, ולמד הלאה. לי התאימו אז יותר שעוריו של </w:t>
      </w:r>
      <w:proofErr w:type="spellStart"/>
      <w:r>
        <w:rPr>
          <w:rtl/>
        </w:rPr>
        <w:t>הנצי״ב</w:t>
      </w:r>
      <w:proofErr w:type="spellEnd"/>
      <w:r>
        <w:rPr>
          <w:rtl/>
        </w:rPr>
        <w:t xml:space="preserve">”. השווה גם את הציטוט מזיכרונותיו של </w:t>
      </w:r>
      <w:proofErr w:type="spellStart"/>
      <w:r>
        <w:rPr>
          <w:rtl/>
        </w:rPr>
        <w:t>יהושע־לייב</w:t>
      </w:r>
      <w:proofErr w:type="spellEnd"/>
      <w:r>
        <w:rPr>
          <w:rtl/>
        </w:rPr>
        <w:t xml:space="preserve"> </w:t>
      </w:r>
      <w:proofErr w:type="spellStart"/>
      <w:r>
        <w:rPr>
          <w:rtl/>
        </w:rPr>
        <w:t>ראדוס</w:t>
      </w:r>
      <w:bookmarkStart w:id="5883" w:name="_fnr4473"/>
      <w:proofErr w:type="spellEnd"/>
      <w:r>
        <w:rPr>
          <w:rStyle w:val="a5"/>
        </w:rPr>
        <w:footnoteReference w:id="4484" w:customMarkFollows="0"/>
      </w:r>
      <w:bookmarkEnd w:id="5883"/>
      <w:r>
        <w:rPr>
          <w:rtl/>
        </w:rPr>
        <w:t xml:space="preserve">, המובא בפרק 4, הפסקה החמישית של </w:t>
      </w:r>
      <w:r>
        <w:rPr>
          <w:rtl/>
        </w:rPr>
        <w:fldChar w:fldCharType="begin" w:dirty="true"/>
      </w:r>
      <w:r>
        <w:rPr>
          <w:rtl/>
        </w:rPr>
        <w:instrText xml:space="preserve"> REF b4_excI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xml:space="preserve">, על ההבדלים בין </w:t>
      </w:r>
      <w:proofErr w:type="spellStart"/>
      <w:r>
        <w:rPr>
          <w:rtl/>
        </w:rPr>
        <w:t>הנצי״ב</w:t>
      </w:r>
      <w:proofErr w:type="spellEnd"/>
      <w:r>
        <w:rPr>
          <w:rtl/>
        </w:rPr>
        <w:t xml:space="preserve"> </w:t>
      </w:r>
      <w:proofErr w:type="spellStart"/>
      <w:r>
        <w:rPr>
          <w:rtl/>
        </w:rPr>
        <w:t>לר</w:t>
      </w:r>
      <w:proofErr w:type="spellEnd"/>
      <w:r>
        <w:rPr>
          <w:rtl/>
        </w:rPr>
        <w:t>׳ חיים.</w:t>
      </w:r>
    </w:p>
    <w:p w14:paraId="608A1D65" w14:textId="40A158E7" w:rsidR="00AB3647" w:rsidRDefault="00000000" w:rsidP="007923E9">
      <w:pPr>
        <w:spacing w:before="120" w:after="100" w:line="276" w:lineRule="auto"/>
        <w:jc w:val="both"/>
      </w:pPr>
      <w:r>
        <w:rPr>
          <w:rtl/>
        </w:rPr>
        <w:t xml:space="preserve">מסתבר שישיבת </w:t>
      </w:r>
      <w:proofErr w:type="spellStart"/>
      <w:r>
        <w:rPr>
          <w:rtl/>
        </w:rPr>
        <w:t>סלבודקה</w:t>
      </w:r>
      <w:proofErr w:type="spellEnd"/>
      <w:r>
        <w:rPr>
          <w:rtl/>
        </w:rPr>
        <w:t>, בהנחיית הסבא ו</w:t>
      </w:r>
      <w:r>
        <w:rPr>
          <w:b/>
          <w:bCs/>
          <w:rtl/>
        </w:rPr>
        <w:t>כנראה בשנותיה הראשונות</w:t>
      </w:r>
      <w:r>
        <w:rPr>
          <w:rtl/>
        </w:rPr>
        <w:t>, הנהיגה לימוד בלעדי של “</w:t>
      </w:r>
      <w:proofErr w:type="spellStart"/>
      <w:r>
        <w:rPr>
          <w:rtl/>
        </w:rPr>
        <w:t>ישיבה־מסכתות</w:t>
      </w:r>
      <w:proofErr w:type="spellEnd"/>
      <w:r>
        <w:rPr>
          <w:rtl/>
        </w:rPr>
        <w:t xml:space="preserve">”, ושאר הישיבות הלכו בעקבותיה – השווה פרק 3, הערה </w:t>
      </w:r>
      <w:r>
        <w:rPr>
          <w:rtl/>
        </w:rPr>
        <w:fldChar w:fldCharType="begin" w:dirty="true"/>
      </w:r>
      <w:r>
        <w:rPr>
          <w:rtl/>
        </w:rPr>
        <w:instrText xml:space="preserve"> REF b3_note48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48</w:t>
      </w:r>
      <w:r>
        <w:rPr>
          <w:rtl/>
        </w:rPr>
        <w:fldChar w:fldCharType="end"/>
      </w:r>
      <w:r>
        <w:rPr>
          <w:rtl/>
        </w:rPr>
        <w:t xml:space="preserve">. השווה גם פרק 4, הפסקה הרביעית של </w:t>
      </w:r>
      <w:r>
        <w:rPr>
          <w:rtl/>
        </w:rPr>
        <w:fldChar w:fldCharType="begin" w:dirty="true"/>
      </w:r>
      <w:r>
        <w:rPr>
          <w:rtl/>
        </w:rPr>
        <w:instrText xml:space="preserve"> REF b4_excA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א</w:t>
      </w:r>
      <w:r>
        <w:rPr>
          <w:rtl/>
        </w:rPr>
        <w:fldChar w:fldCharType="end"/>
      </w:r>
      <w:r>
        <w:rPr>
          <w:rtl/>
        </w:rPr>
        <w:t xml:space="preserve">, על מנהגים אחרים של </w:t>
      </w:r>
      <w:proofErr w:type="spellStart"/>
      <w:r>
        <w:rPr>
          <w:rtl/>
        </w:rPr>
        <w:t>סלבודקה</w:t>
      </w:r>
      <w:proofErr w:type="spellEnd"/>
      <w:r>
        <w:rPr>
          <w:rtl/>
        </w:rPr>
        <w:t xml:space="preserve"> שאומצו בעולם הישיבות, ופרק 3, </w:t>
      </w:r>
      <w:r>
        <w:rPr>
          <w:rtl/>
        </w:rPr>
        <w:fldChar w:fldCharType="begin" w:dirty="true"/>
      </w:r>
      <w:r>
        <w:rPr>
          <w:rtl/>
        </w:rPr>
        <w:instrText xml:space="preserve"> REF b3_excH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ח</w:t>
      </w:r>
      <w:r>
        <w:rPr>
          <w:rtl/>
        </w:rPr>
        <w:fldChar w:fldCharType="end"/>
      </w:r>
      <w:r>
        <w:rPr>
          <w:rtl/>
        </w:rPr>
        <w:t xml:space="preserve">, שר׳ </w:t>
      </w:r>
      <w:proofErr w:type="spellStart"/>
      <w:r>
        <w:rPr>
          <w:rtl/>
        </w:rPr>
        <w:t>איסר־זלמן</w:t>
      </w:r>
      <w:proofErr w:type="spellEnd"/>
      <w:r>
        <w:rPr>
          <w:rtl/>
        </w:rPr>
        <w:t xml:space="preserve"> מלצר אמר: “[ב]’הלכות ישיבה’... הסבא </w:t>
      </w:r>
      <w:proofErr w:type="spellStart"/>
      <w:r>
        <w:rPr>
          <w:rtl/>
        </w:rPr>
        <w:t>מסלבודקה</w:t>
      </w:r>
      <w:proofErr w:type="spellEnd"/>
      <w:r>
        <w:rPr>
          <w:rtl/>
        </w:rPr>
        <w:t>... הוא פוסק הדור”.</w:t>
      </w:r>
    </w:p>
    <w:bookmarkStart w:id="5884" w:name="b5_note13"/>
    <w:p w14:paraId="2D96A214" w14:textId="08DC6439" w:rsidR="00AB3647" w:rsidRDefault="00000000" w:rsidP="007923E9">
      <w:pPr>
        <w:spacing w:before="120" w:after="100" w:line="276" w:lineRule="auto"/>
        <w:jc w:val="both"/>
      </w:pPr>
      <w:r>
        <w:fldChar w:fldCharType="begin" w:dirty="true"/>
      </w:r>
      <w:r>
        <w:instrText>HYPERLINK \l "b5_ref13"</w:instrText>
      </w:r>
      <w:r>
        <w:fldChar w:fldCharType="separate"/>
      </w:r>
      <w:r>
        <w:rPr>
          <w:b/>
          <w:bCs/>
          <w:rtl/>
        </w:rPr>
        <w:t>13</w:t>
      </w:r>
      <w:r>
        <w:rPr>
          <w:b/>
          <w:bCs/>
        </w:rPr>
        <w:fldChar w:fldCharType="end"/>
      </w:r>
      <w:bookmarkEnd w:id="5884"/>
      <w:r>
        <w:rPr>
          <w:rtl/>
        </w:rPr>
        <w:t xml:space="preserve"> מלבד יבמות, שתי המסכתות הקשות האחרות הן עירובין ונידה. הקושי בשלושתן הוא בירור המציאות של המקרים הנידונים. מסכתות אחרות קשות בתוכנן – כפי שמצא ר׳ לייזר גורדון במסכת בבא מציעא: השווה פרק 3, אמצע הפסקה השנייה של </w:t>
      </w:r>
      <w:r>
        <w:rPr>
          <w:rtl/>
        </w:rPr>
        <w:fldChar w:fldCharType="begin" w:dirty="true"/>
      </w:r>
      <w:r>
        <w:rPr>
          <w:rtl/>
        </w:rPr>
        <w:instrText xml:space="preserve"> REF b3_excB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w:t>
      </w:r>
    </w:p>
    <w:bookmarkStart w:id="5885" w:name="b5_note14"/>
    <w:p w14:paraId="06D4B2CF" w14:textId="77777777" w:rsidR="00AB3647" w:rsidRDefault="00000000" w:rsidP="007923E9">
      <w:pPr>
        <w:spacing w:before="120" w:after="100" w:line="276" w:lineRule="auto"/>
        <w:jc w:val="both"/>
      </w:pPr>
      <w:r>
        <w:fldChar w:fldCharType="begin" w:dirty="true"/>
      </w:r>
      <w:r>
        <w:instrText>HYPERLINK \l "b5_ref14"</w:instrText>
      </w:r>
      <w:r>
        <w:fldChar w:fldCharType="separate"/>
      </w:r>
      <w:r>
        <w:rPr>
          <w:b/>
          <w:bCs/>
          <w:rtl/>
        </w:rPr>
        <w:t>14</w:t>
      </w:r>
      <w:r>
        <w:rPr>
          <w:b/>
          <w:bCs/>
        </w:rPr>
        <w:fldChar w:fldCharType="end"/>
      </w:r>
      <w:bookmarkEnd w:id="5885"/>
      <w:r>
        <w:rPr>
          <w:rtl/>
        </w:rPr>
        <w:t xml:space="preserve"> לפי ר׳ יצחק </w:t>
      </w:r>
      <w:proofErr w:type="spellStart"/>
      <w:r>
        <w:rPr>
          <w:rtl/>
        </w:rPr>
        <w:t>שורין</w:t>
      </w:r>
      <w:bookmarkStart w:id="5886" w:name="_fnr4474"/>
      <w:proofErr w:type="spellEnd"/>
      <w:r>
        <w:rPr>
          <w:rStyle w:val="a5"/>
        </w:rPr>
        <w:footnoteReference w:id="4485" w:customMarkFollows="0"/>
      </w:r>
      <w:bookmarkEnd w:id="5886"/>
      <w:r>
        <w:rPr>
          <w:rtl/>
        </w:rPr>
        <w:t xml:space="preserve">. וזו לשונו של אבי על ראש הישיבה: “אפילו ר׳ </w:t>
      </w:r>
      <w:proofErr w:type="spellStart"/>
      <w:r>
        <w:rPr>
          <w:rtl/>
        </w:rPr>
        <w:t>משה־מרדכי</w:t>
      </w:r>
      <w:proofErr w:type="spellEnd"/>
      <w:r>
        <w:rPr>
          <w:rtl/>
        </w:rPr>
        <w:t xml:space="preserve"> רעד – האט </w:t>
      </w:r>
      <w:proofErr w:type="spellStart"/>
      <w:r>
        <w:rPr>
          <w:rtl/>
        </w:rPr>
        <w:t>געציטערט</w:t>
      </w:r>
      <w:proofErr w:type="spellEnd"/>
      <w:r>
        <w:rPr>
          <w:rtl/>
        </w:rPr>
        <w:t>”.</w:t>
      </w:r>
    </w:p>
    <w:bookmarkStart w:id="5887" w:name="b5_note15"/>
    <w:p w14:paraId="28DC6500" w14:textId="77777777" w:rsidR="00AB3647" w:rsidRDefault="00000000" w:rsidP="007923E9">
      <w:pPr>
        <w:spacing w:before="120" w:after="100" w:line="276" w:lineRule="auto"/>
        <w:jc w:val="both"/>
      </w:pPr>
      <w:r>
        <w:fldChar w:fldCharType="begin" w:dirty="true"/>
      </w:r>
      <w:r>
        <w:instrText>HYPERLINK \l "b5_ref15"</w:instrText>
      </w:r>
      <w:r>
        <w:fldChar w:fldCharType="separate"/>
      </w:r>
      <w:r>
        <w:rPr>
          <w:b/>
          <w:bCs/>
          <w:rtl/>
        </w:rPr>
        <w:t>15</w:t>
      </w:r>
      <w:r>
        <w:rPr>
          <w:b/>
          <w:bCs/>
        </w:rPr>
        <w:fldChar w:fldCharType="end"/>
      </w:r>
      <w:bookmarkEnd w:id="5887"/>
      <w:r>
        <w:rPr>
          <w:rtl/>
        </w:rPr>
        <w:t xml:space="preserve"> השווה פרק 2.3.</w:t>
      </w:r>
    </w:p>
    <w:bookmarkStart w:id="5888" w:name="b5_note16"/>
    <w:p w14:paraId="2A1B7483" w14:textId="09FD8B11" w:rsidR="00AB3647" w:rsidRDefault="00000000" w:rsidP="007923E9">
      <w:pPr>
        <w:spacing w:before="120" w:after="100" w:line="276" w:lineRule="auto"/>
        <w:jc w:val="both"/>
      </w:pPr>
      <w:r>
        <w:fldChar w:fldCharType="begin" w:dirty="true"/>
      </w:r>
      <w:r>
        <w:instrText>HYPERLINK \l "b5_ref16"</w:instrText>
      </w:r>
      <w:r>
        <w:fldChar w:fldCharType="separate"/>
      </w:r>
      <w:r>
        <w:rPr>
          <w:b/>
          <w:bCs/>
          <w:rtl/>
        </w:rPr>
        <w:t>16</w:t>
      </w:r>
      <w:r>
        <w:rPr>
          <w:b/>
          <w:bCs/>
        </w:rPr>
        <w:fldChar w:fldCharType="end"/>
      </w:r>
      <w:bookmarkEnd w:id="5888"/>
      <w:r>
        <w:rPr>
          <w:rtl/>
        </w:rPr>
        <w:t xml:space="preserve"> השווה פרק 2, הערה </w:t>
      </w:r>
      <w:r>
        <w:rPr>
          <w:rtl/>
        </w:rPr>
        <w:fldChar w:fldCharType="begin" w:dirty="true"/>
      </w:r>
      <w:r>
        <w:rPr>
          <w:rtl/>
        </w:rPr>
        <w:instrText xml:space="preserve"> REF b2_note63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63</w:t>
      </w:r>
      <w:r>
        <w:rPr>
          <w:rtl/>
        </w:rPr>
        <w:fldChar w:fldCharType="end"/>
      </w:r>
      <w:r>
        <w:rPr>
          <w:rtl/>
        </w:rPr>
        <w:t>.</w:t>
      </w:r>
    </w:p>
    <w:p w14:paraId="7A519250" w14:textId="72C8BB29"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צירפו אליו לחברותא בחור מבוגר ממנו, והם התחילו ללמוד יחד מיד אחרי יום הכיפורים. מסיבה שרבנו לא ידע להגדיר, לא יכול היה לסבול את חברו. האם הזמן שנזקק לו אפילו בחור מבוגר כדי לפענח את קשרי המשפחה הסבוכים, שהמסכת מלאה בהם, היה בזבוז משעמם לנער שזכר הכול ויכול היה לסדר לעצמו את מקרי הגמרא ברגע</w:t>
      </w:r>
      <w:bookmarkStart w:id="5889" w:name="b5_ref17"/>
      <w:bookmarkEnd w:id="5889"/>
      <w:r>
        <w:rPr>
          <w:vertAlign w:val="superscript"/>
          <w:rtl/>
        </w:rPr>
        <w:fldChar w:fldCharType="begin" w:dirty="true"/>
      </w:r>
      <w:r>
        <w:rPr>
          <w:vertAlign w:val="superscript"/>
          <w:rtl/>
        </w:rPr>
        <w:instrText xml:space="preserve"> REF b5_note17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17</w:t>
      </w:r>
      <w:r>
        <w:rPr>
          <w:vertAlign w:val="superscript"/>
          <w:rtl/>
        </w:rPr>
        <w:fldChar w:fldCharType="end"/>
      </w:r>
      <w:r>
        <w:rPr>
          <w:rtl/>
        </w:rPr>
        <w:t>? או שמא אופיו של חברו ללימוד הוא שצרם לרגישותו של צעיר שהבחין בחדות באופיים של בני אדם? תהא הבעיה אשר תהא, הוא היה ביישן מכדי לפצות פה ולבקש מן הסבא להחליף את חברותתו</w:t>
      </w:r>
      <w:bookmarkStart w:id="5890" w:name="b5_ref18"/>
      <w:bookmarkEnd w:id="5890"/>
      <w:r>
        <w:rPr>
          <w:vertAlign w:val="superscript"/>
          <w:rtl/>
        </w:rPr>
        <w:fldChar w:fldCharType="begin" w:dirty="true"/>
      </w:r>
      <w:r>
        <w:rPr>
          <w:vertAlign w:val="superscript"/>
          <w:rtl/>
        </w:rPr>
        <w:instrText xml:space="preserve"> REF b5_note18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18</w:t>
      </w:r>
      <w:r>
        <w:rPr>
          <w:vertAlign w:val="superscript"/>
          <w:rtl/>
        </w:rPr>
        <w:fldChar w:fldCharType="end"/>
      </w:r>
      <w:r>
        <w:rPr>
          <w:rtl/>
        </w:rPr>
        <w:t xml:space="preserve"> – כיצד יכול היה הוא, חדש יחסית בישיבה, להיפרד מתלמיד מבוגר, מכובד ומבוסס!</w:t>
      </w:r>
    </w:p>
    <w:bookmarkStart w:id="5891" w:name="b5_note17"/>
    <w:p w14:paraId="26670744" w14:textId="77777777" w:rsidR="00AB3647" w:rsidRDefault="00000000" w:rsidP="007923E9">
      <w:pPr>
        <w:spacing w:before="120" w:after="100" w:line="276" w:lineRule="auto"/>
        <w:jc w:val="both"/>
      </w:pPr>
      <w:r>
        <w:fldChar w:fldCharType="begin" w:dirty="true"/>
      </w:r>
      <w:r>
        <w:instrText>HYPERLINK \l "b5_ref17"</w:instrText>
      </w:r>
      <w:r>
        <w:fldChar w:fldCharType="separate"/>
      </w:r>
      <w:r>
        <w:rPr>
          <w:b/>
          <w:bCs/>
          <w:rtl/>
        </w:rPr>
        <w:t>17</w:t>
      </w:r>
      <w:r>
        <w:rPr>
          <w:b/>
          <w:bCs/>
        </w:rPr>
        <w:fldChar w:fldCharType="end"/>
      </w:r>
      <w:bookmarkEnd w:id="5891"/>
      <w:r>
        <w:rPr>
          <w:rtl/>
        </w:rPr>
        <w:t xml:space="preserve"> אף שלא למד את התוספות במינסק, לא נרתע מן המסכת, שהקושי בה נעוץ בסיבוכי המקרים הנידונים בגוף הגמרא ולא בפירושיה</w:t>
      </w:r>
      <w:bookmarkStart w:id="5892" w:name="_fnr4475"/>
      <w:r>
        <w:rPr>
          <w:rStyle w:val="a5"/>
        </w:rPr>
        <w:footnoteReference w:id="4486" w:customMarkFollows="0"/>
      </w:r>
      <w:bookmarkEnd w:id="5892"/>
      <w:r>
        <w:rPr>
          <w:rtl/>
        </w:rPr>
        <w:t>.</w:t>
      </w:r>
    </w:p>
    <w:bookmarkStart w:id="5893" w:name="b5_note18"/>
    <w:p w14:paraId="598E8D73" w14:textId="77777777" w:rsidR="00AB3647" w:rsidRDefault="00000000" w:rsidP="007923E9">
      <w:pPr>
        <w:spacing w:before="120" w:after="100" w:line="276" w:lineRule="auto"/>
        <w:jc w:val="both"/>
      </w:pPr>
      <w:r>
        <w:fldChar w:fldCharType="begin" w:dirty="true"/>
      </w:r>
      <w:r>
        <w:instrText>HYPERLINK \l "b5_ref18"</w:instrText>
      </w:r>
      <w:r>
        <w:fldChar w:fldCharType="separate"/>
      </w:r>
      <w:r>
        <w:rPr>
          <w:b/>
          <w:bCs/>
          <w:rtl/>
        </w:rPr>
        <w:t>18</w:t>
      </w:r>
      <w:r>
        <w:rPr>
          <w:b/>
          <w:bCs/>
        </w:rPr>
        <w:fldChar w:fldCharType="end"/>
      </w:r>
      <w:bookmarkEnd w:id="5893"/>
      <w:r>
        <w:rPr>
          <w:rtl/>
        </w:rPr>
        <w:t xml:space="preserve"> אבי סיפר זאת </w:t>
      </w:r>
      <w:proofErr w:type="spellStart"/>
      <w:r>
        <w:rPr>
          <w:rtl/>
        </w:rPr>
        <w:t>לר</w:t>
      </w:r>
      <w:proofErr w:type="spellEnd"/>
      <w:r>
        <w:rPr>
          <w:rtl/>
        </w:rPr>
        <w:t>׳ אלי׳ שווי</w:t>
      </w:r>
      <w:bookmarkStart w:id="5894" w:name="_fnr4476"/>
      <w:r>
        <w:rPr>
          <w:rStyle w:val="a5"/>
        </w:rPr>
        <w:footnoteReference w:id="4487" w:customMarkFollows="0"/>
      </w:r>
      <w:bookmarkEnd w:id="5894"/>
      <w:r>
        <w:rPr>
          <w:rtl/>
        </w:rPr>
        <w:t>.</w:t>
      </w:r>
    </w:p>
    <w:p w14:paraId="4CD55522" w14:textId="4178DA4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lastRenderedPageBreak/>
        <w:t>כשראה שתלמיד ותיק אחר עדיין לא מצא חברותא, הודיע לו שישמח לוותר לטובתו על חברו שלו. אבל תחבולה זו, למרבה הצער, לא הועילה, ואבי נשאר עם חבר שסלד ממנו</w:t>
      </w:r>
      <w:bookmarkStart w:id="5895" w:name="b5_ref19"/>
      <w:bookmarkEnd w:id="5895"/>
      <w:r>
        <w:rPr>
          <w:vertAlign w:val="superscript"/>
          <w:rtl/>
        </w:rPr>
        <w:fldChar w:fldCharType="begin" w:dirty="true"/>
      </w:r>
      <w:r>
        <w:rPr>
          <w:vertAlign w:val="superscript"/>
          <w:rtl/>
        </w:rPr>
        <w:instrText xml:space="preserve"> REF b5_note19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19</w:t>
      </w:r>
      <w:r>
        <w:rPr>
          <w:vertAlign w:val="superscript"/>
          <w:rtl/>
        </w:rPr>
        <w:fldChar w:fldCharType="end"/>
      </w:r>
      <w:r>
        <w:rPr>
          <w:rtl/>
        </w:rPr>
        <w:t>. עד שעבר חג הסוכות והחלו להגיע לזמן החדש כמה תלמידים מצוינים במיוחד</w:t>
      </w:r>
      <w:bookmarkStart w:id="5896" w:name="b5_ref20"/>
      <w:bookmarkEnd w:id="5896"/>
      <w:r>
        <w:rPr>
          <w:vertAlign w:val="superscript"/>
          <w:rtl/>
        </w:rPr>
        <w:fldChar w:fldCharType="begin" w:dirty="true"/>
      </w:r>
      <w:r>
        <w:rPr>
          <w:vertAlign w:val="superscript"/>
          <w:rtl/>
        </w:rPr>
        <w:instrText xml:space="preserve"> REF b5_note20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20</w:t>
      </w:r>
      <w:r>
        <w:rPr>
          <w:vertAlign w:val="superscript"/>
          <w:rtl/>
        </w:rPr>
        <w:fldChar w:fldCharType="end"/>
      </w:r>
      <w:r>
        <w:rPr>
          <w:rtl/>
        </w:rPr>
        <w:t xml:space="preserve">, כבר התחיל </w:t>
      </w:r>
      <w:proofErr w:type="spellStart"/>
      <w:r>
        <w:rPr>
          <w:rtl/>
        </w:rPr>
        <w:t>הדולהינובר</w:t>
      </w:r>
      <w:proofErr w:type="spellEnd"/>
      <w:r>
        <w:rPr>
          <w:rtl/>
        </w:rPr>
        <w:t xml:space="preserve"> להימנע מלשבת וללמוד עם החברותא שנקבע לו</w:t>
      </w:r>
      <w:bookmarkStart w:id="5897" w:name="b5_ref21"/>
      <w:bookmarkEnd w:id="5897"/>
      <w:r>
        <w:rPr>
          <w:vertAlign w:val="superscript"/>
          <w:rtl/>
        </w:rPr>
        <w:fldChar w:fldCharType="begin" w:dirty="true"/>
      </w:r>
      <w:r>
        <w:rPr>
          <w:vertAlign w:val="superscript"/>
          <w:rtl/>
        </w:rPr>
        <w:instrText xml:space="preserve"> REF b5_note21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21</w:t>
      </w:r>
      <w:r>
        <w:rPr>
          <w:vertAlign w:val="superscript"/>
          <w:rtl/>
        </w:rPr>
        <w:fldChar w:fldCharType="end"/>
      </w:r>
      <w:r>
        <w:rPr>
          <w:rtl/>
        </w:rPr>
        <w:t xml:space="preserve">. הוא היה ניגש לשוחח עם בחור אחד, לבקש סיגריה מאחר ולהתבטל עם שלישי. אורח שהגיע לישיבה בהשגחה פרטית – ר׳ </w:t>
      </w:r>
      <w:proofErr w:type="spellStart"/>
      <w:r>
        <w:rPr>
          <w:rtl/>
        </w:rPr>
        <w:t>דוד־טעביל</w:t>
      </w:r>
      <w:proofErr w:type="spellEnd"/>
      <w:r>
        <w:rPr>
          <w:rtl/>
        </w:rPr>
        <w:t xml:space="preserve"> </w:t>
      </w:r>
      <w:proofErr w:type="spellStart"/>
      <w:r>
        <w:rPr>
          <w:rtl/>
        </w:rPr>
        <w:t>דינובסקי</w:t>
      </w:r>
      <w:proofErr w:type="spellEnd"/>
      <w:r>
        <w:rPr>
          <w:rtl/>
        </w:rPr>
        <w:t xml:space="preserve">, שנתמנה לא מכבר לרבה של </w:t>
      </w:r>
      <w:proofErr w:type="spellStart"/>
      <w:r>
        <w:rPr>
          <w:rtl/>
        </w:rPr>
        <w:t>מאלטש</w:t>
      </w:r>
      <w:proofErr w:type="spellEnd"/>
      <w:r>
        <w:rPr>
          <w:rtl/>
        </w:rPr>
        <w:t xml:space="preserve"> – הוא שהיה למושיעו מן המצב הקשה הזה.</w:t>
      </w:r>
    </w:p>
    <w:bookmarkStart w:id="5898" w:name="b5_note19"/>
    <w:p w14:paraId="2F2FE9D2" w14:textId="77777777" w:rsidR="00AB3647" w:rsidRDefault="00000000" w:rsidP="007923E9">
      <w:pPr>
        <w:spacing w:before="120" w:after="100" w:line="276" w:lineRule="auto"/>
        <w:jc w:val="both"/>
      </w:pPr>
      <w:r>
        <w:fldChar w:fldCharType="begin" w:dirty="true"/>
      </w:r>
      <w:r>
        <w:instrText>HYPERLINK \l "b5_ref19"</w:instrText>
      </w:r>
      <w:r>
        <w:fldChar w:fldCharType="separate"/>
      </w:r>
      <w:r>
        <w:rPr>
          <w:b/>
          <w:bCs/>
          <w:rtl/>
        </w:rPr>
        <w:t>19</w:t>
      </w:r>
      <w:r>
        <w:rPr>
          <w:b/>
          <w:bCs/>
        </w:rPr>
        <w:fldChar w:fldCharType="end"/>
      </w:r>
      <w:bookmarkEnd w:id="5898"/>
      <w:r>
        <w:rPr>
          <w:rtl/>
        </w:rPr>
        <w:t xml:space="preserve"> אבי כינה את חוסר התבונה שבהסתרת הדבר מן הסבא “פסיכוטי”. רבנו הוכיח ממאורע זה </w:t>
      </w:r>
      <w:proofErr w:type="spellStart"/>
      <w:r>
        <w:rPr>
          <w:rtl/>
        </w:rPr>
        <w:t>ש“גם</w:t>
      </w:r>
      <w:proofErr w:type="spellEnd"/>
      <w:r>
        <w:rPr>
          <w:rtl/>
        </w:rPr>
        <w:t xml:space="preserve"> לעילוי יכולות להיות חריגות”</w:t>
      </w:r>
      <w:bookmarkStart w:id="5899" w:name="_fnr4477"/>
      <w:r>
        <w:rPr>
          <w:rStyle w:val="a5"/>
        </w:rPr>
        <w:footnoteReference w:id="4488" w:customMarkFollows="0"/>
      </w:r>
      <w:bookmarkEnd w:id="5899"/>
      <w:r>
        <w:rPr>
          <w:rtl/>
        </w:rPr>
        <w:t>.</w:t>
      </w:r>
    </w:p>
    <w:bookmarkStart w:id="5900" w:name="b5_note20"/>
    <w:p w14:paraId="5C29E96A" w14:textId="77777777" w:rsidR="00AB3647" w:rsidRDefault="00000000" w:rsidP="007923E9">
      <w:pPr>
        <w:spacing w:before="120" w:after="100" w:line="276" w:lineRule="auto"/>
        <w:jc w:val="both"/>
      </w:pPr>
      <w:r>
        <w:fldChar w:fldCharType="begin" w:dirty="true"/>
      </w:r>
      <w:r>
        <w:instrText>HYPERLINK \l "b5_ref20"</w:instrText>
      </w:r>
      <w:r>
        <w:fldChar w:fldCharType="separate"/>
      </w:r>
      <w:r>
        <w:rPr>
          <w:b/>
          <w:bCs/>
          <w:rtl/>
        </w:rPr>
        <w:t>20</w:t>
      </w:r>
      <w:r>
        <w:rPr>
          <w:b/>
          <w:bCs/>
        </w:rPr>
        <w:fldChar w:fldCharType="end"/>
      </w:r>
      <w:bookmarkEnd w:id="5900"/>
      <w:r>
        <w:rPr>
          <w:rtl/>
        </w:rPr>
        <w:t xml:space="preserve"> בריאיון על הסבא</w:t>
      </w:r>
      <w:bookmarkStart w:id="5901" w:name="_fnr4478"/>
      <w:r>
        <w:rPr>
          <w:rStyle w:val="a5"/>
        </w:rPr>
        <w:footnoteReference w:id="4489" w:customMarkFollows="0"/>
      </w:r>
      <w:bookmarkEnd w:id="5901"/>
      <w:r>
        <w:rPr>
          <w:rtl/>
        </w:rPr>
        <w:t xml:space="preserve"> אמר אבי </w:t>
      </w:r>
      <w:proofErr w:type="spellStart"/>
      <w:r>
        <w:rPr>
          <w:rtl/>
        </w:rPr>
        <w:t>ש“תרס״ח</w:t>
      </w:r>
      <w:proofErr w:type="spellEnd"/>
      <w:r>
        <w:rPr>
          <w:rtl/>
        </w:rPr>
        <w:t xml:space="preserve"> הייתה השנה הפורייה ביותר בכנסת ישראל, מפני שהגיעו </w:t>
      </w:r>
      <w:proofErr w:type="spellStart"/>
      <w:r>
        <w:rPr>
          <w:rtl/>
        </w:rPr>
        <w:t>ה‘אריות</w:t>
      </w:r>
      <w:proofErr w:type="spellEnd"/>
      <w:r>
        <w:rPr>
          <w:rtl/>
        </w:rPr>
        <w:t xml:space="preserve">’ – כגון ר׳ ראובן </w:t>
      </w:r>
      <w:proofErr w:type="spellStart"/>
      <w:r>
        <w:rPr>
          <w:rtl/>
        </w:rPr>
        <w:t>מינסקר</w:t>
      </w:r>
      <w:proofErr w:type="spellEnd"/>
      <w:r>
        <w:rPr>
          <w:rtl/>
        </w:rPr>
        <w:t xml:space="preserve"> (</w:t>
      </w:r>
      <w:proofErr w:type="spellStart"/>
      <w:r>
        <w:rPr>
          <w:rtl/>
        </w:rPr>
        <w:t>גרוזובסקי</w:t>
      </w:r>
      <w:proofErr w:type="spellEnd"/>
      <w:r>
        <w:rPr>
          <w:rtl/>
        </w:rPr>
        <w:t>)</w:t>
      </w:r>
      <w:bookmarkStart w:id="5902" w:name="_fnr4479"/>
      <w:r>
        <w:rPr>
          <w:rStyle w:val="a5"/>
        </w:rPr>
        <w:footnoteReference w:id="4490" w:customMarkFollows="0"/>
      </w:r>
      <w:bookmarkEnd w:id="5902"/>
      <w:r>
        <w:rPr>
          <w:rtl/>
        </w:rPr>
        <w:t xml:space="preserve">, ר׳ </w:t>
      </w:r>
      <w:proofErr w:type="spellStart"/>
      <w:r>
        <w:rPr>
          <w:rtl/>
        </w:rPr>
        <w:t>חצקל</w:t>
      </w:r>
      <w:proofErr w:type="spellEnd"/>
      <w:r>
        <w:rPr>
          <w:rtl/>
        </w:rPr>
        <w:t xml:space="preserve"> </w:t>
      </w:r>
      <w:proofErr w:type="spellStart"/>
      <w:r>
        <w:rPr>
          <w:rtl/>
        </w:rPr>
        <w:t>טרסטינר</w:t>
      </w:r>
      <w:proofErr w:type="spellEnd"/>
      <w:r>
        <w:rPr>
          <w:rtl/>
        </w:rPr>
        <w:t xml:space="preserve"> (יחזקאל </w:t>
      </w:r>
      <w:proofErr w:type="spellStart"/>
      <w:r>
        <w:rPr>
          <w:rtl/>
        </w:rPr>
        <w:t>ברשטיין</w:t>
      </w:r>
      <w:proofErr w:type="spellEnd"/>
      <w:r>
        <w:rPr>
          <w:rtl/>
        </w:rPr>
        <w:t>)</w:t>
      </w:r>
      <w:bookmarkStart w:id="5903" w:name="_fnr4480"/>
      <w:r>
        <w:rPr>
          <w:rStyle w:val="a5"/>
        </w:rPr>
        <w:footnoteReference w:id="4491" w:customMarkFollows="0"/>
      </w:r>
      <w:bookmarkEnd w:id="5903"/>
      <w:r>
        <w:rPr>
          <w:rtl/>
        </w:rPr>
        <w:t xml:space="preserve"> ור׳ דניאל </w:t>
      </w:r>
      <w:proofErr w:type="spellStart"/>
      <w:r>
        <w:rPr>
          <w:rtl/>
        </w:rPr>
        <w:t>סידרער</w:t>
      </w:r>
      <w:proofErr w:type="spellEnd"/>
      <w:r>
        <w:rPr>
          <w:rtl/>
        </w:rPr>
        <w:t xml:space="preserve"> (</w:t>
      </w:r>
      <w:proofErr w:type="spellStart"/>
      <w:r>
        <w:rPr>
          <w:rtl/>
        </w:rPr>
        <w:t>מובשוביץ</w:t>
      </w:r>
      <w:proofErr w:type="spellEnd"/>
      <w:r>
        <w:rPr>
          <w:rtl/>
        </w:rPr>
        <w:t>)</w:t>
      </w:r>
      <w:bookmarkStart w:id="5904" w:name="_fnr4481"/>
      <w:r>
        <w:rPr>
          <w:rStyle w:val="a5"/>
        </w:rPr>
        <w:footnoteReference w:id="4492" w:customMarkFollows="0"/>
      </w:r>
      <w:bookmarkEnd w:id="5904"/>
      <w:r>
        <w:rPr>
          <w:rtl/>
        </w:rPr>
        <w:t xml:space="preserve">”. תלמידים שהצטרפו לישיבה אחרי מלחמת העולם הראשונה סברו שאז הגיעה </w:t>
      </w:r>
      <w:proofErr w:type="spellStart"/>
      <w:r>
        <w:rPr>
          <w:rtl/>
        </w:rPr>
        <w:t>סלבודקה</w:t>
      </w:r>
      <w:proofErr w:type="spellEnd"/>
      <w:r>
        <w:rPr>
          <w:rtl/>
        </w:rPr>
        <w:t xml:space="preserve"> לשיאה והייתה </w:t>
      </w:r>
      <w:proofErr w:type="spellStart"/>
      <w:r>
        <w:rPr>
          <w:rtl/>
        </w:rPr>
        <w:t>ישיבת־העל</w:t>
      </w:r>
      <w:proofErr w:type="spellEnd"/>
      <w:r>
        <w:rPr>
          <w:rtl/>
        </w:rPr>
        <w:t xml:space="preserve">. אבי, לעומתם, החזיק בדעה – וכך אמר בהספדו על בנו של הסבא, ר׳ </w:t>
      </w:r>
      <w:proofErr w:type="spellStart"/>
      <w:r>
        <w:rPr>
          <w:rtl/>
        </w:rPr>
        <w:t>לייזר־יודל</w:t>
      </w:r>
      <w:proofErr w:type="spellEnd"/>
      <w:r>
        <w:rPr>
          <w:rtl/>
        </w:rPr>
        <w:t xml:space="preserve"> </w:t>
      </w:r>
      <w:proofErr w:type="spellStart"/>
      <w:r>
        <w:rPr>
          <w:rtl/>
        </w:rPr>
        <w:t>פינקל</w:t>
      </w:r>
      <w:proofErr w:type="spellEnd"/>
      <w:r>
        <w:rPr>
          <w:rtl/>
        </w:rPr>
        <w:t xml:space="preserve"> (שנפטר בי״ט בתמוז תשכ״ה) – שאחרי מלחמת העולם הראשונה הייתה ישיבת </w:t>
      </w:r>
      <w:proofErr w:type="spellStart"/>
      <w:r>
        <w:rPr>
          <w:rtl/>
        </w:rPr>
        <w:t>מיר</w:t>
      </w:r>
      <w:proofErr w:type="spellEnd"/>
      <w:r>
        <w:rPr>
          <w:rtl/>
        </w:rPr>
        <w:t xml:space="preserve"> “</w:t>
      </w:r>
      <w:proofErr w:type="spellStart"/>
      <w:r>
        <w:rPr>
          <w:rtl/>
        </w:rPr>
        <w:t>הוועלט־ישיבה</w:t>
      </w:r>
      <w:proofErr w:type="spellEnd"/>
      <w:r>
        <w:rPr>
          <w:rtl/>
        </w:rPr>
        <w:t xml:space="preserve"> [הישיבה העולמית]”, ולא </w:t>
      </w:r>
      <w:proofErr w:type="spellStart"/>
      <w:r>
        <w:rPr>
          <w:rtl/>
        </w:rPr>
        <w:t>סלבודקה</w:t>
      </w:r>
      <w:proofErr w:type="spellEnd"/>
      <w:r>
        <w:rPr>
          <w:rtl/>
        </w:rPr>
        <w:t xml:space="preserve">. ר׳ </w:t>
      </w:r>
      <w:proofErr w:type="spellStart"/>
      <w:r>
        <w:rPr>
          <w:rtl/>
        </w:rPr>
        <w:t>לייזר־יודל</w:t>
      </w:r>
      <w:proofErr w:type="spellEnd"/>
      <w:r>
        <w:rPr>
          <w:rtl/>
        </w:rPr>
        <w:t xml:space="preserve"> נעשה ראש ישיבת </w:t>
      </w:r>
      <w:proofErr w:type="spellStart"/>
      <w:r>
        <w:rPr>
          <w:rtl/>
        </w:rPr>
        <w:t>מיר</w:t>
      </w:r>
      <w:proofErr w:type="spellEnd"/>
      <w:r>
        <w:rPr>
          <w:rtl/>
        </w:rPr>
        <w:t xml:space="preserve"> אחרי פטירת חותנו, ר׳ </w:t>
      </w:r>
      <w:proofErr w:type="spellStart"/>
      <w:r>
        <w:rPr>
          <w:rtl/>
        </w:rPr>
        <w:t>אלי׳־ברוך</w:t>
      </w:r>
      <w:proofErr w:type="spellEnd"/>
      <w:r>
        <w:rPr>
          <w:rtl/>
        </w:rPr>
        <w:t xml:space="preserve"> קמאי, </w:t>
      </w:r>
      <w:proofErr w:type="spellStart"/>
      <w:r>
        <w:rPr>
          <w:rtl/>
        </w:rPr>
        <w:t>בתרע״ז</w:t>
      </w:r>
      <w:bookmarkStart w:id="5905" w:name="_fnr4482"/>
      <w:proofErr w:type="spellEnd"/>
      <w:r>
        <w:rPr>
          <w:rStyle w:val="a5"/>
        </w:rPr>
        <w:footnoteReference w:id="4493" w:customMarkFollows="0"/>
      </w:r>
      <w:bookmarkEnd w:id="5905"/>
      <w:r>
        <w:rPr>
          <w:rtl/>
        </w:rPr>
        <w:t>.</w:t>
      </w:r>
    </w:p>
    <w:bookmarkStart w:id="5906" w:name="b5_note21"/>
    <w:p w14:paraId="4EEC7653" w14:textId="545A9A0D" w:rsidR="00AB3647" w:rsidRDefault="00000000" w:rsidP="007923E9">
      <w:pPr>
        <w:spacing w:before="120" w:after="100" w:line="276" w:lineRule="auto"/>
        <w:jc w:val="both"/>
      </w:pPr>
      <w:r>
        <w:fldChar w:fldCharType="begin" w:dirty="true"/>
      </w:r>
      <w:r>
        <w:instrText>HYPERLINK \l "b5_ref21"</w:instrText>
      </w:r>
      <w:r>
        <w:fldChar w:fldCharType="separate"/>
      </w:r>
      <w:r>
        <w:rPr>
          <w:b/>
          <w:bCs/>
          <w:rtl/>
        </w:rPr>
        <w:t>21</w:t>
      </w:r>
      <w:r>
        <w:rPr>
          <w:b/>
          <w:bCs/>
        </w:rPr>
        <w:fldChar w:fldCharType="end"/>
      </w:r>
      <w:bookmarkEnd w:id="5906"/>
      <w:r>
        <w:rPr>
          <w:rtl/>
        </w:rPr>
        <w:t xml:space="preserve"> לפי בני ר׳ יוסף</w:t>
      </w:r>
      <w:bookmarkStart w:id="5907" w:name="_fnr4483"/>
      <w:r>
        <w:rPr>
          <w:rStyle w:val="a5"/>
        </w:rPr>
        <w:footnoteReference w:id="4494" w:customMarkFollows="0"/>
      </w:r>
      <w:bookmarkEnd w:id="5907"/>
      <w:r>
        <w:rPr>
          <w:rtl/>
        </w:rPr>
        <w:t xml:space="preserve">, רק כעבור שנים הבין אבי שסלידתו מן החברותא היא שגרמה לבטלתו. באותה שעה ראה בהן שתי עובדות שאינן תלויות זו בזו (ראה הערה </w:t>
      </w:r>
      <w:r>
        <w:rPr>
          <w:rtl/>
        </w:rPr>
        <w:fldChar w:fldCharType="begin" w:dirty="true"/>
      </w:r>
      <w:r>
        <w:rPr>
          <w:rtl/>
        </w:rPr>
        <w:instrText xml:space="preserve"> REF b5_note19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19</w:t>
      </w:r>
      <w:r>
        <w:rPr>
          <w:rtl/>
        </w:rPr>
        <w:fldChar w:fldCharType="end"/>
      </w:r>
      <w:r>
        <w:rPr>
          <w:rtl/>
        </w:rPr>
        <w:t xml:space="preserve"> לעיל).</w:t>
      </w:r>
    </w:p>
    <w:p w14:paraId="608440CA" w14:textId="77368286"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proofErr w:type="spellStart"/>
      <w:r>
        <w:rPr>
          <w:rtl/>
        </w:rPr>
        <w:t>מאלטש</w:t>
      </w:r>
      <w:proofErr w:type="spellEnd"/>
      <w:r>
        <w:rPr>
          <w:rtl/>
        </w:rPr>
        <w:t xml:space="preserve">, עיירה בין </w:t>
      </w:r>
      <w:proofErr w:type="spellStart"/>
      <w:r>
        <w:rPr>
          <w:rtl/>
        </w:rPr>
        <w:t>ברנוביץ</w:t>
      </w:r>
      <w:proofErr w:type="spellEnd"/>
      <w:r>
        <w:rPr>
          <w:rtl/>
        </w:rPr>
        <w:t xml:space="preserve">׳ </w:t>
      </w:r>
      <w:proofErr w:type="spellStart"/>
      <w:r>
        <w:rPr>
          <w:rtl/>
        </w:rPr>
        <w:t>לבריסק</w:t>
      </w:r>
      <w:proofErr w:type="spellEnd"/>
      <w:r>
        <w:rPr>
          <w:rtl/>
        </w:rPr>
        <w:t xml:space="preserve">, כ־19 קילומטרים </w:t>
      </w:r>
      <w:proofErr w:type="spellStart"/>
      <w:r>
        <w:rPr>
          <w:rtl/>
        </w:rPr>
        <w:t>מדרום־מזרח</w:t>
      </w:r>
      <w:proofErr w:type="spellEnd"/>
      <w:r>
        <w:rPr>
          <w:rtl/>
        </w:rPr>
        <w:t xml:space="preserve"> </w:t>
      </w:r>
      <w:proofErr w:type="spellStart"/>
      <w:r>
        <w:rPr>
          <w:rtl/>
        </w:rPr>
        <w:t>לפרוז׳ני</w:t>
      </w:r>
      <w:proofErr w:type="spellEnd"/>
      <w:r>
        <w:rPr>
          <w:rtl/>
        </w:rPr>
        <w:t xml:space="preserve">, התהדרה בשנים קודמות בישיבה. ר׳ </w:t>
      </w:r>
      <w:proofErr w:type="spellStart"/>
      <w:r>
        <w:rPr>
          <w:rtl/>
        </w:rPr>
        <w:t>זלמן־סנדר</w:t>
      </w:r>
      <w:proofErr w:type="spellEnd"/>
      <w:r>
        <w:rPr>
          <w:rtl/>
        </w:rPr>
        <w:t xml:space="preserve"> כהנא־שפירא</w:t>
      </w:r>
      <w:bookmarkStart w:id="5908" w:name="b5_ref22"/>
      <w:bookmarkEnd w:id="5908"/>
      <w:r>
        <w:rPr>
          <w:vertAlign w:val="superscript"/>
          <w:rtl/>
        </w:rPr>
        <w:fldChar w:fldCharType="begin" w:dirty="true"/>
      </w:r>
      <w:r>
        <w:rPr>
          <w:vertAlign w:val="superscript"/>
          <w:rtl/>
        </w:rPr>
        <w:instrText xml:space="preserve"> REF b5_note22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22</w:t>
      </w:r>
      <w:r>
        <w:rPr>
          <w:vertAlign w:val="superscript"/>
          <w:rtl/>
        </w:rPr>
        <w:fldChar w:fldCharType="end"/>
      </w:r>
      <w:r>
        <w:rPr>
          <w:rtl/>
        </w:rPr>
        <w:t xml:space="preserve">, תלמיד ר׳ יוסף־דב </w:t>
      </w:r>
      <w:proofErr w:type="spellStart"/>
      <w:r>
        <w:rPr>
          <w:rtl/>
        </w:rPr>
        <w:t>סולובייצ׳יק</w:t>
      </w:r>
      <w:proofErr w:type="spellEnd"/>
      <w:r>
        <w:rPr>
          <w:rtl/>
        </w:rPr>
        <w:t xml:space="preserve"> בסלוצק</w:t>
      </w:r>
      <w:bookmarkStart w:id="5909" w:name="b5_ref23"/>
      <w:bookmarkEnd w:id="5909"/>
      <w:r>
        <w:rPr>
          <w:vertAlign w:val="superscript"/>
          <w:rtl/>
        </w:rPr>
        <w:fldChar w:fldCharType="begin" w:dirty="true"/>
      </w:r>
      <w:r>
        <w:rPr>
          <w:vertAlign w:val="superscript"/>
          <w:rtl/>
        </w:rPr>
        <w:instrText xml:space="preserve"> REF b5_note23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23</w:t>
      </w:r>
      <w:r>
        <w:rPr>
          <w:vertAlign w:val="superscript"/>
          <w:rtl/>
        </w:rPr>
        <w:fldChar w:fldCharType="end"/>
      </w:r>
      <w:r>
        <w:rPr>
          <w:rtl/>
        </w:rPr>
        <w:t xml:space="preserve">, עמד בראש ישיבה </w:t>
      </w:r>
      <w:proofErr w:type="spellStart"/>
      <w:r>
        <w:rPr>
          <w:rtl/>
        </w:rPr>
        <w:t>במאלטש</w:t>
      </w:r>
      <w:proofErr w:type="spellEnd"/>
      <w:r>
        <w:rPr>
          <w:rtl/>
        </w:rPr>
        <w:t xml:space="preserve"> בשנים שכיהן בה כרב</w:t>
      </w:r>
      <w:bookmarkStart w:id="5910" w:name="b5_ref24"/>
      <w:bookmarkEnd w:id="5910"/>
      <w:r>
        <w:rPr>
          <w:vertAlign w:val="superscript"/>
          <w:rtl/>
        </w:rPr>
        <w:fldChar w:fldCharType="begin" w:dirty="true"/>
      </w:r>
      <w:r>
        <w:rPr>
          <w:vertAlign w:val="superscript"/>
          <w:rtl/>
        </w:rPr>
        <w:instrText xml:space="preserve"> REF b5_note24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24</w:t>
      </w:r>
      <w:r>
        <w:rPr>
          <w:vertAlign w:val="superscript"/>
          <w:rtl/>
        </w:rPr>
        <w:fldChar w:fldCharType="end"/>
      </w:r>
      <w:r>
        <w:rPr>
          <w:rtl/>
        </w:rPr>
        <w:t xml:space="preserve">, וכך גם יורשו לזמן קצר, ר׳ שמעון </w:t>
      </w:r>
      <w:proofErr w:type="spellStart"/>
      <w:r>
        <w:rPr>
          <w:rtl/>
        </w:rPr>
        <w:t>שקופ</w:t>
      </w:r>
      <w:proofErr w:type="spellEnd"/>
      <w:r>
        <w:rPr>
          <w:rtl/>
        </w:rPr>
        <w:t>, ראש הישיבה המפורסם מטלז</w:t>
      </w:r>
      <w:bookmarkStart w:id="5911" w:name="b5_ref25"/>
      <w:bookmarkEnd w:id="5911"/>
      <w:r>
        <w:rPr>
          <w:vertAlign w:val="superscript"/>
          <w:rtl/>
        </w:rPr>
        <w:fldChar w:fldCharType="begin" w:dirty="true"/>
      </w:r>
      <w:r>
        <w:rPr>
          <w:vertAlign w:val="superscript"/>
          <w:rtl/>
        </w:rPr>
        <w:instrText xml:space="preserve"> REF b5_note25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25</w:t>
      </w:r>
      <w:r>
        <w:rPr>
          <w:vertAlign w:val="superscript"/>
          <w:rtl/>
        </w:rPr>
        <w:fldChar w:fldCharType="end"/>
      </w:r>
      <w:r>
        <w:rPr>
          <w:rtl/>
        </w:rPr>
        <w:t xml:space="preserve">. כשנקרא ר׳ </w:t>
      </w:r>
      <w:proofErr w:type="spellStart"/>
      <w:r>
        <w:rPr>
          <w:rtl/>
        </w:rPr>
        <w:t>דוד־טעביל</w:t>
      </w:r>
      <w:proofErr w:type="spellEnd"/>
      <w:r>
        <w:rPr>
          <w:rtl/>
        </w:rPr>
        <w:t xml:space="preserve"> </w:t>
      </w:r>
      <w:proofErr w:type="spellStart"/>
      <w:r>
        <w:rPr>
          <w:rtl/>
        </w:rPr>
        <w:t>למאלטש</w:t>
      </w:r>
      <w:proofErr w:type="spellEnd"/>
      <w:r>
        <w:rPr>
          <w:rtl/>
        </w:rPr>
        <w:t xml:space="preserve"> ממשרת ההוראה הבכירה ביותר בישיבת לומז׳ה</w:t>
      </w:r>
      <w:bookmarkStart w:id="5912" w:name="b5_ref26"/>
      <w:bookmarkEnd w:id="5912"/>
      <w:r>
        <w:rPr>
          <w:vertAlign w:val="superscript"/>
          <w:rtl/>
        </w:rPr>
        <w:fldChar w:fldCharType="begin" w:dirty="true"/>
      </w:r>
      <w:r>
        <w:rPr>
          <w:vertAlign w:val="superscript"/>
          <w:rtl/>
        </w:rPr>
        <w:instrText xml:space="preserve"> REF b5_note26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26</w:t>
      </w:r>
      <w:r>
        <w:rPr>
          <w:vertAlign w:val="superscript"/>
          <w:rtl/>
        </w:rPr>
        <w:fldChar w:fldCharType="end"/>
      </w:r>
      <w:r>
        <w:rPr>
          <w:rtl/>
        </w:rPr>
        <w:t>, התנו מנהיגי העיירה את מינויו בכך שיפתח מחדש את הישיבה המקומית</w:t>
      </w:r>
      <w:bookmarkStart w:id="5913" w:name="b5_ref27"/>
      <w:bookmarkEnd w:id="5913"/>
      <w:r>
        <w:rPr>
          <w:vertAlign w:val="superscript"/>
          <w:rtl/>
        </w:rPr>
        <w:fldChar w:fldCharType="begin" w:dirty="true"/>
      </w:r>
      <w:r>
        <w:rPr>
          <w:vertAlign w:val="superscript"/>
          <w:rtl/>
        </w:rPr>
        <w:instrText xml:space="preserve"> REF b5_note27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27</w:t>
      </w:r>
      <w:r>
        <w:rPr>
          <w:vertAlign w:val="superscript"/>
          <w:rtl/>
        </w:rPr>
        <w:fldChar w:fldCharType="end"/>
      </w:r>
      <w:r>
        <w:rPr>
          <w:rtl/>
        </w:rPr>
        <w:t>.</w:t>
      </w:r>
    </w:p>
    <w:bookmarkStart w:id="5914" w:name="b5_note22"/>
    <w:p w14:paraId="4CB68223" w14:textId="77777777" w:rsidR="00AB3647" w:rsidRDefault="00000000" w:rsidP="007923E9">
      <w:pPr>
        <w:spacing w:before="120" w:after="100" w:line="276" w:lineRule="auto"/>
        <w:jc w:val="both"/>
      </w:pPr>
      <w:r>
        <w:lastRenderedPageBreak/>
        <w:fldChar w:fldCharType="begin" w:dirty="true"/>
      </w:r>
      <w:r>
        <w:instrText>HYPERLINK \l "b5_ref22"</w:instrText>
      </w:r>
      <w:r>
        <w:fldChar w:fldCharType="separate"/>
      </w:r>
      <w:r>
        <w:rPr>
          <w:b/>
          <w:bCs/>
          <w:rtl/>
        </w:rPr>
        <w:t>22</w:t>
      </w:r>
      <w:r>
        <w:rPr>
          <w:b/>
          <w:bCs/>
        </w:rPr>
        <w:fldChar w:fldCharType="end"/>
      </w:r>
      <w:bookmarkEnd w:id="5914"/>
      <w:r>
        <w:rPr>
          <w:rtl/>
        </w:rPr>
        <w:t xml:space="preserve"> ר׳ </w:t>
      </w:r>
      <w:proofErr w:type="spellStart"/>
      <w:r>
        <w:rPr>
          <w:rtl/>
        </w:rPr>
        <w:t>זלמן־סנדר</w:t>
      </w:r>
      <w:proofErr w:type="spellEnd"/>
      <w:r>
        <w:rPr>
          <w:rtl/>
        </w:rPr>
        <w:t xml:space="preserve"> </w:t>
      </w:r>
      <w:proofErr w:type="spellStart"/>
      <w:r>
        <w:rPr>
          <w:rtl/>
        </w:rPr>
        <w:t>כהנא־שפירא</w:t>
      </w:r>
      <w:proofErr w:type="spellEnd"/>
      <w:r>
        <w:rPr>
          <w:rtl/>
        </w:rPr>
        <w:t xml:space="preserve"> היה </w:t>
      </w:r>
      <w:proofErr w:type="spellStart"/>
      <w:r>
        <w:rPr>
          <w:rtl/>
        </w:rPr>
        <w:t>נינו</w:t>
      </w:r>
      <w:proofErr w:type="spellEnd"/>
      <w:r>
        <w:rPr>
          <w:rtl/>
        </w:rPr>
        <w:t xml:space="preserve"> של ר׳ חיים </w:t>
      </w:r>
      <w:proofErr w:type="spellStart"/>
      <w:r>
        <w:rPr>
          <w:rtl/>
        </w:rPr>
        <w:t>מוולוז׳ין</w:t>
      </w:r>
      <w:proofErr w:type="spellEnd"/>
      <w:r>
        <w:rPr>
          <w:rtl/>
        </w:rPr>
        <w:t xml:space="preserve">, מנישואיה השניים של בתו </w:t>
      </w:r>
      <w:proofErr w:type="spellStart"/>
      <w:r>
        <w:rPr>
          <w:rtl/>
        </w:rPr>
        <w:t>רלקה</w:t>
      </w:r>
      <w:bookmarkStart w:id="5915" w:name="_fnr4484"/>
      <w:proofErr w:type="spellEnd"/>
      <w:r>
        <w:rPr>
          <w:rStyle w:val="a5"/>
        </w:rPr>
        <w:footnoteReference w:id="4495" w:customMarkFollows="0"/>
      </w:r>
      <w:bookmarkEnd w:id="5915"/>
      <w:r>
        <w:rPr>
          <w:rtl/>
        </w:rPr>
        <w:t xml:space="preserve">. הוא נולד </w:t>
      </w:r>
      <w:proofErr w:type="spellStart"/>
      <w:r>
        <w:rPr>
          <w:rtl/>
        </w:rPr>
        <w:t>בניאסוויז</w:t>
      </w:r>
      <w:proofErr w:type="spellEnd"/>
      <w:r>
        <w:rPr>
          <w:rtl/>
        </w:rPr>
        <w:t xml:space="preserve">׳ </w:t>
      </w:r>
      <w:proofErr w:type="spellStart"/>
      <w:r>
        <w:rPr>
          <w:rtl/>
        </w:rPr>
        <w:t>בתרי״א</w:t>
      </w:r>
      <w:proofErr w:type="spellEnd"/>
      <w:r>
        <w:rPr>
          <w:rtl/>
        </w:rPr>
        <w:t xml:space="preserve">, ובא </w:t>
      </w:r>
      <w:proofErr w:type="spellStart"/>
      <w:r>
        <w:rPr>
          <w:rtl/>
        </w:rPr>
        <w:t>לוולוז׳ין</w:t>
      </w:r>
      <w:proofErr w:type="spellEnd"/>
      <w:r>
        <w:rPr>
          <w:rtl/>
        </w:rPr>
        <w:t xml:space="preserve"> כעילוי צעיר. שם היה </w:t>
      </w:r>
      <w:proofErr w:type="spellStart"/>
      <w:r>
        <w:rPr>
          <w:rtl/>
        </w:rPr>
        <w:t>חברותתו</w:t>
      </w:r>
      <w:proofErr w:type="spellEnd"/>
      <w:r>
        <w:rPr>
          <w:rtl/>
        </w:rPr>
        <w:t xml:space="preserve"> של ר׳ חיים, בנו המצטיין של המשנה לראש הישיבה, ר׳ יוסף־דב </w:t>
      </w:r>
      <w:proofErr w:type="spellStart"/>
      <w:r>
        <w:rPr>
          <w:rtl/>
        </w:rPr>
        <w:t>סולובייצ׳יק</w:t>
      </w:r>
      <w:proofErr w:type="spellEnd"/>
      <w:r>
        <w:rPr>
          <w:rtl/>
        </w:rPr>
        <w:t>.</w:t>
      </w:r>
    </w:p>
    <w:p w14:paraId="10AB631E" w14:textId="77777777" w:rsidR="00AB3647" w:rsidRDefault="00000000" w:rsidP="007923E9">
      <w:pPr>
        <w:spacing w:before="120" w:after="100" w:line="276" w:lineRule="auto"/>
        <w:jc w:val="both"/>
      </w:pPr>
      <w:r>
        <w:rPr>
          <w:rtl/>
        </w:rPr>
        <w:t xml:space="preserve">מסופר שר׳ יוסף־דב נכנס פעם בשעה שלמדו יחד, ובחן את פיקחותם בשאלה מביכה: “מי משניכם למדן גדול יותר?” ר׳ </w:t>
      </w:r>
      <w:proofErr w:type="spellStart"/>
      <w:r>
        <w:rPr>
          <w:rtl/>
        </w:rPr>
        <w:t>זלמן־סנדר</w:t>
      </w:r>
      <w:proofErr w:type="spellEnd"/>
      <w:r>
        <w:rPr>
          <w:rtl/>
        </w:rPr>
        <w:t xml:space="preserve"> היה מבוגר מחברו ללימוד בשנתיים, ולכן ניתנה לו ההזדמנות להשיב ראשון. אמר: “אינני יכול להשיב על השאלה: אם אומר שאני גדול יותר, יחשיבוני בעל גאווה; ואם אומר שחיים גדול יותר, אהיה שקרן”. מיד קפץ ר׳ חיים והשיב את התשובה המוחצת: “אבא”, אמר, “אני אומר </w:t>
      </w:r>
      <w:proofErr w:type="spellStart"/>
      <w:r>
        <w:rPr>
          <w:rtl/>
        </w:rPr>
        <w:t>שזלמן־סנדר</w:t>
      </w:r>
      <w:proofErr w:type="spellEnd"/>
      <w:r>
        <w:rPr>
          <w:rtl/>
        </w:rPr>
        <w:t xml:space="preserve"> הוא שניהם!”</w:t>
      </w:r>
      <w:bookmarkStart w:id="5916" w:name="_fnr4485"/>
      <w:r>
        <w:rPr>
          <w:rStyle w:val="a5"/>
        </w:rPr>
        <w:footnoteReference w:id="4496" w:customMarkFollows="0"/>
      </w:r>
      <w:bookmarkEnd w:id="5916"/>
    </w:p>
    <w:p w14:paraId="1A0626AE" w14:textId="77777777" w:rsidR="00AB3647" w:rsidRDefault="00000000" w:rsidP="007923E9">
      <w:pPr>
        <w:spacing w:before="120" w:after="100" w:line="276" w:lineRule="auto"/>
        <w:jc w:val="both"/>
      </w:pPr>
      <w:r>
        <w:rPr>
          <w:rtl/>
        </w:rPr>
        <w:t>יעקב מארק</w:t>
      </w:r>
      <w:bookmarkStart w:id="5917" w:name="_fnr4486"/>
      <w:r>
        <w:rPr>
          <w:rStyle w:val="a5"/>
        </w:rPr>
        <w:footnoteReference w:id="4497" w:customMarkFollows="0"/>
      </w:r>
      <w:bookmarkEnd w:id="5917"/>
      <w:r>
        <w:rPr>
          <w:rtl/>
        </w:rPr>
        <w:t xml:space="preserve"> מביא אותו מעשה, אבל מחליף את תפקידי שני המשתתפים. הגרסה הראשונה של תשובת הסיום מתאימה יותר למחשבתו האנליטית של ר׳ חיים</w:t>
      </w:r>
      <w:bookmarkStart w:id="5918" w:name="_fnr4487"/>
      <w:r>
        <w:rPr>
          <w:rStyle w:val="a5"/>
        </w:rPr>
        <w:footnoteReference w:id="4498" w:customMarkFollows="0"/>
      </w:r>
      <w:bookmarkEnd w:id="5918"/>
      <w:r>
        <w:rPr>
          <w:rtl/>
        </w:rPr>
        <w:t>.</w:t>
      </w:r>
    </w:p>
    <w:bookmarkStart w:id="5919" w:name="b5_note23"/>
    <w:p w14:paraId="79069E33" w14:textId="77777777" w:rsidR="00AB3647" w:rsidRDefault="00000000" w:rsidP="007923E9">
      <w:pPr>
        <w:spacing w:before="120" w:after="100" w:line="276" w:lineRule="auto"/>
        <w:jc w:val="both"/>
      </w:pPr>
      <w:r>
        <w:fldChar w:fldCharType="begin" w:dirty="true"/>
      </w:r>
      <w:r>
        <w:instrText>HYPERLINK \l "b5_ref23"</w:instrText>
      </w:r>
      <w:r>
        <w:fldChar w:fldCharType="separate"/>
      </w:r>
      <w:r>
        <w:rPr>
          <w:b/>
          <w:bCs/>
          <w:rtl/>
        </w:rPr>
        <w:t>23</w:t>
      </w:r>
      <w:r>
        <w:rPr>
          <w:b/>
          <w:bCs/>
        </w:rPr>
        <w:fldChar w:fldCharType="end"/>
      </w:r>
      <w:bookmarkEnd w:id="5919"/>
      <w:r>
        <w:rPr>
          <w:rtl/>
        </w:rPr>
        <w:t xml:space="preserve"> </w:t>
      </w:r>
      <w:proofErr w:type="spellStart"/>
      <w:r>
        <w:rPr>
          <w:rtl/>
        </w:rPr>
        <w:t>בתרכ״ד</w:t>
      </w:r>
      <w:proofErr w:type="spellEnd"/>
      <w:r>
        <w:rPr>
          <w:rtl/>
        </w:rPr>
        <w:t xml:space="preserve">, כשעזב ר׳ יוסף־דב את </w:t>
      </w:r>
      <w:proofErr w:type="spellStart"/>
      <w:r>
        <w:rPr>
          <w:rtl/>
        </w:rPr>
        <w:t>וולוז׳ין</w:t>
      </w:r>
      <w:proofErr w:type="spellEnd"/>
      <w:r>
        <w:rPr>
          <w:rtl/>
        </w:rPr>
        <w:t xml:space="preserve"> לכהן כרבה של </w:t>
      </w:r>
      <w:proofErr w:type="spellStart"/>
      <w:r>
        <w:rPr>
          <w:rtl/>
        </w:rPr>
        <w:t>סלוצק</w:t>
      </w:r>
      <w:proofErr w:type="spellEnd"/>
      <w:r>
        <w:rPr>
          <w:rtl/>
        </w:rPr>
        <w:t xml:space="preserve">, הלך אחריו ר׳ </w:t>
      </w:r>
      <w:proofErr w:type="spellStart"/>
      <w:r>
        <w:rPr>
          <w:rtl/>
        </w:rPr>
        <w:t>זלמן־סנדר</w:t>
      </w:r>
      <w:proofErr w:type="spellEnd"/>
      <w:r>
        <w:rPr>
          <w:rtl/>
        </w:rPr>
        <w:t>. לפי “הראשון”</w:t>
      </w:r>
      <w:bookmarkStart w:id="5920" w:name="_fnr4488"/>
      <w:r>
        <w:rPr>
          <w:rStyle w:val="a5"/>
        </w:rPr>
        <w:footnoteReference w:id="4499" w:customMarkFollows="0"/>
      </w:r>
      <w:bookmarkEnd w:id="5920"/>
      <w:r>
        <w:rPr>
          <w:rtl/>
        </w:rPr>
        <w:t xml:space="preserve">, באו </w:t>
      </w:r>
      <w:proofErr w:type="spellStart"/>
      <w:r>
        <w:rPr>
          <w:rtl/>
        </w:rPr>
        <w:t>לסלוצק</w:t>
      </w:r>
      <w:proofErr w:type="spellEnd"/>
      <w:r>
        <w:rPr>
          <w:rtl/>
        </w:rPr>
        <w:t xml:space="preserve"> תלמידים נוספים של ר׳ יוסף־דב מישיבת </w:t>
      </w:r>
      <w:proofErr w:type="spellStart"/>
      <w:r>
        <w:rPr>
          <w:rtl/>
        </w:rPr>
        <w:t>וולוז׳ין</w:t>
      </w:r>
      <w:proofErr w:type="spellEnd"/>
      <w:r>
        <w:rPr>
          <w:rtl/>
        </w:rPr>
        <w:t xml:space="preserve"> כדי להצטרף לרבם, אבל הוא שלח את כולם בחזרה, חוץ מן הצעיר שבהם – קרובו בן </w:t>
      </w:r>
      <w:proofErr w:type="spellStart"/>
      <w:r>
        <w:rPr>
          <w:rtl/>
        </w:rPr>
        <w:t>הארבע־עשרה</w:t>
      </w:r>
      <w:proofErr w:type="spellEnd"/>
      <w:r>
        <w:rPr>
          <w:rtl/>
        </w:rPr>
        <w:t xml:space="preserve">, </w:t>
      </w:r>
      <w:proofErr w:type="spellStart"/>
      <w:r>
        <w:rPr>
          <w:rtl/>
        </w:rPr>
        <w:t>חברותתו</w:t>
      </w:r>
      <w:proofErr w:type="spellEnd"/>
      <w:r>
        <w:rPr>
          <w:rtl/>
        </w:rPr>
        <w:t xml:space="preserve"> של בנו, ר׳ </w:t>
      </w:r>
      <w:proofErr w:type="spellStart"/>
      <w:r>
        <w:rPr>
          <w:rtl/>
        </w:rPr>
        <w:t>זלמן־סנדר</w:t>
      </w:r>
      <w:bookmarkStart w:id="5921" w:name="_fnr4489"/>
      <w:proofErr w:type="spellEnd"/>
      <w:r>
        <w:rPr>
          <w:rStyle w:val="a5"/>
        </w:rPr>
        <w:footnoteReference w:id="4500" w:customMarkFollows="0"/>
      </w:r>
      <w:bookmarkEnd w:id="5921"/>
      <w:r>
        <w:rPr>
          <w:rtl/>
        </w:rPr>
        <w:t>.</w:t>
      </w:r>
    </w:p>
    <w:bookmarkStart w:id="5922" w:name="b5_note24"/>
    <w:p w14:paraId="0DF00530" w14:textId="013A539B" w:rsidR="00AB3647" w:rsidRDefault="00000000" w:rsidP="007923E9">
      <w:pPr>
        <w:spacing w:before="120" w:after="100" w:line="276" w:lineRule="auto"/>
        <w:jc w:val="both"/>
      </w:pPr>
      <w:r>
        <w:fldChar w:fldCharType="begin" w:dirty="true"/>
      </w:r>
      <w:r>
        <w:instrText>HYPERLINK \l "b5_ref24"</w:instrText>
      </w:r>
      <w:r>
        <w:fldChar w:fldCharType="separate"/>
      </w:r>
      <w:r>
        <w:rPr>
          <w:b/>
          <w:bCs/>
          <w:rtl/>
        </w:rPr>
        <w:t>24</w:t>
      </w:r>
      <w:r>
        <w:rPr>
          <w:b/>
          <w:bCs/>
        </w:rPr>
        <w:fldChar w:fldCharType="end"/>
      </w:r>
      <w:bookmarkEnd w:id="5922"/>
      <w:r>
        <w:rPr>
          <w:rtl/>
        </w:rPr>
        <w:t xml:space="preserve"> </w:t>
      </w:r>
      <w:proofErr w:type="spellStart"/>
      <w:r>
        <w:rPr>
          <w:rtl/>
        </w:rPr>
        <w:t>זמן־מה</w:t>
      </w:r>
      <w:proofErr w:type="spellEnd"/>
      <w:r>
        <w:rPr>
          <w:rtl/>
        </w:rPr>
        <w:t xml:space="preserve"> אחרי שנתמנה ר׳ </w:t>
      </w:r>
      <w:proofErr w:type="spellStart"/>
      <w:r>
        <w:rPr>
          <w:rtl/>
        </w:rPr>
        <w:t>זלמן־סנדר</w:t>
      </w:r>
      <w:proofErr w:type="spellEnd"/>
      <w:r>
        <w:rPr>
          <w:rtl/>
        </w:rPr>
        <w:t xml:space="preserve"> לרבה של </w:t>
      </w:r>
      <w:proofErr w:type="spellStart"/>
      <w:r>
        <w:rPr>
          <w:rtl/>
        </w:rPr>
        <w:t>מאלטש</w:t>
      </w:r>
      <w:proofErr w:type="spellEnd"/>
      <w:r>
        <w:rPr>
          <w:rtl/>
        </w:rPr>
        <w:t xml:space="preserve"> (</w:t>
      </w:r>
      <w:proofErr w:type="spellStart"/>
      <w:r>
        <w:rPr>
          <w:rtl/>
        </w:rPr>
        <w:t>בתרמ״ה</w:t>
      </w:r>
      <w:proofErr w:type="spellEnd"/>
      <w:r>
        <w:rPr>
          <w:rtl/>
        </w:rPr>
        <w:t>), הציע לו חברו ר׳ חיים</w:t>
      </w:r>
      <w:bookmarkStart w:id="5923" w:name="_fnr4490"/>
      <w:r>
        <w:rPr>
          <w:rStyle w:val="a5"/>
        </w:rPr>
        <w:footnoteReference w:id="4501" w:customMarkFollows="0"/>
      </w:r>
      <w:bookmarkEnd w:id="5923"/>
      <w:r>
        <w:rPr>
          <w:rtl/>
        </w:rPr>
        <w:t xml:space="preserve"> לפתוח שם ישיבה. היא נפתחה </w:t>
      </w:r>
      <w:proofErr w:type="spellStart"/>
      <w:r>
        <w:rPr>
          <w:rtl/>
        </w:rPr>
        <w:t>בתרנ״ח</w:t>
      </w:r>
      <w:proofErr w:type="spellEnd"/>
      <w:r>
        <w:rPr>
          <w:rtl/>
        </w:rPr>
        <w:t xml:space="preserve">, עם קבוצת תלמידים </w:t>
      </w:r>
      <w:proofErr w:type="spellStart"/>
      <w:r>
        <w:rPr>
          <w:rtl/>
        </w:rPr>
        <w:t>מבריסק</w:t>
      </w:r>
      <w:bookmarkStart w:id="5924" w:name="_fnr4491"/>
      <w:proofErr w:type="spellEnd"/>
      <w:r>
        <w:rPr>
          <w:rStyle w:val="a5"/>
        </w:rPr>
        <w:footnoteReference w:id="4502" w:customMarkFollows="0"/>
      </w:r>
      <w:bookmarkEnd w:id="5924"/>
      <w:r>
        <w:rPr>
          <w:rtl/>
        </w:rPr>
        <w:t xml:space="preserve">. השווה פרק 3, הפסקה השנייה בהערה </w:t>
      </w:r>
      <w:r>
        <w:rPr>
          <w:rtl/>
        </w:rPr>
        <w:fldChar w:fldCharType="begin" w:dirty="true"/>
      </w:r>
      <w:r>
        <w:rPr>
          <w:rtl/>
        </w:rPr>
        <w:instrText xml:space="preserve"> REF b3_note48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48</w:t>
      </w:r>
      <w:r>
        <w:rPr>
          <w:rtl/>
        </w:rPr>
        <w:fldChar w:fldCharType="end"/>
      </w:r>
      <w:r>
        <w:rPr>
          <w:rtl/>
        </w:rPr>
        <w:t xml:space="preserve">: הצעת ר׳ חיים אולי באה בעקבות מה שחווה ר׳ </w:t>
      </w:r>
      <w:proofErr w:type="spellStart"/>
      <w:r>
        <w:rPr>
          <w:rtl/>
        </w:rPr>
        <w:t>זלמן־סנדר</w:t>
      </w:r>
      <w:proofErr w:type="spellEnd"/>
      <w:r>
        <w:rPr>
          <w:rtl/>
        </w:rPr>
        <w:t xml:space="preserve"> בסוף השבוע ששהה </w:t>
      </w:r>
      <w:proofErr w:type="spellStart"/>
      <w:r>
        <w:rPr>
          <w:rtl/>
        </w:rPr>
        <w:t>בסלבודקה</w:t>
      </w:r>
      <w:proofErr w:type="spellEnd"/>
      <w:r>
        <w:rPr>
          <w:rtl/>
        </w:rPr>
        <w:t>, בערך באותה עת.</w:t>
      </w:r>
    </w:p>
    <w:p w14:paraId="4C03C340" w14:textId="77777777" w:rsidR="00AB3647" w:rsidRDefault="00000000" w:rsidP="007923E9">
      <w:pPr>
        <w:spacing w:before="120" w:after="100" w:line="276" w:lineRule="auto"/>
        <w:jc w:val="both"/>
      </w:pPr>
      <w:r>
        <w:rPr>
          <w:rtl/>
        </w:rPr>
        <w:t>הישיבה נקראה “ענף עץ חיים”. נאמר שקרא לה כך לא רק מפני שהיה מבית הרב</w:t>
      </w:r>
      <w:bookmarkStart w:id="5925" w:name="_fnr4492"/>
      <w:r>
        <w:rPr>
          <w:rStyle w:val="a5"/>
        </w:rPr>
        <w:footnoteReference w:id="4503" w:customMarkFollows="0"/>
      </w:r>
      <w:bookmarkEnd w:id="5925"/>
      <w:r>
        <w:rPr>
          <w:rtl/>
        </w:rPr>
        <w:t xml:space="preserve"> – ענף בעץ המשפחה של ר׳ חיים </w:t>
      </w:r>
      <w:proofErr w:type="spellStart"/>
      <w:r>
        <w:rPr>
          <w:rtl/>
        </w:rPr>
        <w:t>מוולוז׳ין</w:t>
      </w:r>
      <w:bookmarkStart w:id="5926" w:name="_fnr4493"/>
      <w:proofErr w:type="spellEnd"/>
      <w:r>
        <w:rPr>
          <w:rStyle w:val="a5"/>
        </w:rPr>
        <w:footnoteReference w:id="4504" w:customMarkFollows="0"/>
      </w:r>
      <w:bookmarkEnd w:id="5926"/>
      <w:r>
        <w:rPr>
          <w:rtl/>
        </w:rPr>
        <w:t xml:space="preserve"> – אלא מפני שרצה שישיבתו תהיה תחייה בזעיר אנפין של ישיבת </w:t>
      </w:r>
      <w:proofErr w:type="spellStart"/>
      <w:r>
        <w:rPr>
          <w:rtl/>
        </w:rPr>
        <w:t>וולוז׳ין</w:t>
      </w:r>
      <w:proofErr w:type="spellEnd"/>
      <w:r>
        <w:rPr>
          <w:rtl/>
        </w:rPr>
        <w:t>, ששמה הרשמי היה “עץ חיים”</w:t>
      </w:r>
      <w:bookmarkStart w:id="5927" w:name="_fnr4494"/>
      <w:r>
        <w:rPr>
          <w:rStyle w:val="a5"/>
        </w:rPr>
        <w:footnoteReference w:id="4505" w:customMarkFollows="0"/>
      </w:r>
      <w:bookmarkEnd w:id="5927"/>
      <w:r>
        <w:rPr>
          <w:rtl/>
        </w:rPr>
        <w:t xml:space="preserve"> ושנסגרה שש שנים קודם לכן. ואכן, דרך הלימוד הייתה דומה לזו של ישיבת עץ חיים </w:t>
      </w:r>
      <w:proofErr w:type="spellStart"/>
      <w:r>
        <w:rPr>
          <w:rtl/>
        </w:rPr>
        <w:t>בוולוז׳ין</w:t>
      </w:r>
      <w:proofErr w:type="spellEnd"/>
      <w:r>
        <w:rPr>
          <w:rtl/>
        </w:rPr>
        <w:t xml:space="preserve">: השיעורים התקדמו מדף לדף, לרבות </w:t>
      </w:r>
      <w:r>
        <w:rPr>
          <w:rtl/>
        </w:rPr>
        <w:lastRenderedPageBreak/>
        <w:t>אגדות וסוגיות בקודשים</w:t>
      </w:r>
      <w:bookmarkStart w:id="5928" w:name="_fnr4495"/>
      <w:r>
        <w:rPr>
          <w:rStyle w:val="a5"/>
        </w:rPr>
        <w:footnoteReference w:id="4506" w:customMarkFollows="0"/>
      </w:r>
      <w:bookmarkEnd w:id="5928"/>
      <w:r>
        <w:rPr>
          <w:rtl/>
        </w:rPr>
        <w:t xml:space="preserve">. ר׳ </w:t>
      </w:r>
      <w:proofErr w:type="spellStart"/>
      <w:r>
        <w:rPr>
          <w:rtl/>
        </w:rPr>
        <w:t>זלמן־סנדר</w:t>
      </w:r>
      <w:proofErr w:type="spellEnd"/>
      <w:r>
        <w:rPr>
          <w:rtl/>
        </w:rPr>
        <w:t xml:space="preserve"> כיהן </w:t>
      </w:r>
      <w:proofErr w:type="spellStart"/>
      <w:r>
        <w:rPr>
          <w:rtl/>
        </w:rPr>
        <w:t>במאלטש</w:t>
      </w:r>
      <w:proofErr w:type="spellEnd"/>
      <w:r>
        <w:rPr>
          <w:rtl/>
        </w:rPr>
        <w:t xml:space="preserve"> </w:t>
      </w:r>
      <w:proofErr w:type="spellStart"/>
      <w:r>
        <w:rPr>
          <w:rtl/>
        </w:rPr>
        <w:t>שמונה־עשרה</w:t>
      </w:r>
      <w:proofErr w:type="spellEnd"/>
      <w:r>
        <w:rPr>
          <w:rtl/>
        </w:rPr>
        <w:t xml:space="preserve"> שנה, ועבר </w:t>
      </w:r>
      <w:proofErr w:type="spellStart"/>
      <w:r>
        <w:rPr>
          <w:rtl/>
        </w:rPr>
        <w:t>לקרינק</w:t>
      </w:r>
      <w:proofErr w:type="spellEnd"/>
      <w:r>
        <w:rPr>
          <w:rtl/>
        </w:rPr>
        <w:t xml:space="preserve"> – שם למד אבי אצלו זמן קצר</w:t>
      </w:r>
      <w:bookmarkStart w:id="5929" w:name="_fnr4496"/>
      <w:bookmarkStart w:id="5930" w:name="pr_f_4379"/>
      <w:r>
        <w:rPr>
          <w:rStyle w:val="a5"/>
        </w:rPr>
        <w:footnoteReference w:id="4507" w:customMarkFollows="0"/>
      </w:r>
      <w:bookmarkEnd w:id="5929"/>
      <w:bookmarkEnd w:id="5930"/>
      <w:r>
        <w:rPr>
          <w:rtl/>
        </w:rPr>
        <w:t xml:space="preserve">. </w:t>
      </w:r>
      <w:proofErr w:type="spellStart"/>
      <w:r>
        <w:rPr>
          <w:rtl/>
        </w:rPr>
        <w:t>בתרפ״א</w:t>
      </w:r>
      <w:proofErr w:type="spellEnd"/>
      <w:r>
        <w:rPr>
          <w:rtl/>
        </w:rPr>
        <w:t xml:space="preserve"> השתקע בארץ ישראל, ושם נפטר כעבור שנה וחצי</w:t>
      </w:r>
      <w:bookmarkStart w:id="5931" w:name="_fnr4497"/>
      <w:r>
        <w:rPr>
          <w:rStyle w:val="a5"/>
        </w:rPr>
        <w:footnoteReference w:id="4508" w:customMarkFollows="0"/>
      </w:r>
      <w:bookmarkEnd w:id="5931"/>
      <w:r>
        <w:rPr>
          <w:rtl/>
        </w:rPr>
        <w:t xml:space="preserve">. ר׳ </w:t>
      </w:r>
      <w:proofErr w:type="spellStart"/>
      <w:r>
        <w:rPr>
          <w:rtl/>
        </w:rPr>
        <w:t>זלמן־סנדר</w:t>
      </w:r>
      <w:proofErr w:type="spellEnd"/>
      <w:r>
        <w:rPr>
          <w:rtl/>
        </w:rPr>
        <w:t xml:space="preserve"> היה אביו של רבה האחרון של קובנה, ר׳ </w:t>
      </w:r>
      <w:proofErr w:type="spellStart"/>
      <w:r>
        <w:rPr>
          <w:rtl/>
        </w:rPr>
        <w:t>אברהם־דובער</w:t>
      </w:r>
      <w:proofErr w:type="spellEnd"/>
      <w:r>
        <w:rPr>
          <w:rtl/>
        </w:rPr>
        <w:t xml:space="preserve"> </w:t>
      </w:r>
      <w:proofErr w:type="spellStart"/>
      <w:r>
        <w:rPr>
          <w:rtl/>
        </w:rPr>
        <w:t>כהנא־שפירא</w:t>
      </w:r>
      <w:bookmarkStart w:id="5932" w:name="_fnr4498"/>
      <w:proofErr w:type="spellEnd"/>
      <w:r>
        <w:rPr>
          <w:rStyle w:val="a5"/>
        </w:rPr>
        <w:footnoteReference w:id="4509" w:customMarkFollows="0"/>
      </w:r>
      <w:bookmarkEnd w:id="5932"/>
      <w:r>
        <w:rPr>
          <w:rtl/>
        </w:rPr>
        <w:t>.</w:t>
      </w:r>
    </w:p>
    <w:bookmarkStart w:id="5933" w:name="b5_note25"/>
    <w:p w14:paraId="47664CA9" w14:textId="35A61DC7" w:rsidR="00AB3647" w:rsidRDefault="00000000" w:rsidP="007923E9">
      <w:pPr>
        <w:spacing w:before="120" w:after="100" w:line="276" w:lineRule="auto"/>
        <w:jc w:val="both"/>
      </w:pPr>
      <w:r>
        <w:fldChar w:fldCharType="begin" w:dirty="true"/>
      </w:r>
      <w:r>
        <w:instrText>HYPERLINK \l "b5_ref25"</w:instrText>
      </w:r>
      <w:r>
        <w:fldChar w:fldCharType="separate"/>
      </w:r>
      <w:r>
        <w:rPr>
          <w:b/>
          <w:bCs/>
          <w:rtl/>
        </w:rPr>
        <w:t>25</w:t>
      </w:r>
      <w:r>
        <w:rPr>
          <w:b/>
          <w:bCs/>
        </w:rPr>
        <w:fldChar w:fldCharType="end"/>
      </w:r>
      <w:bookmarkEnd w:id="5933"/>
      <w:r>
        <w:rPr>
          <w:rtl/>
        </w:rPr>
        <w:t xml:space="preserve"> השווה פרק 4, הערה </w:t>
      </w:r>
      <w:r>
        <w:rPr>
          <w:rtl/>
        </w:rPr>
        <w:fldChar w:fldCharType="begin" w:dirty="true"/>
      </w:r>
      <w:r>
        <w:rPr>
          <w:rtl/>
        </w:rPr>
        <w:instrText xml:space="preserve"> REF b4_note113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113</w:t>
      </w:r>
      <w:r>
        <w:rPr>
          <w:rtl/>
        </w:rPr>
        <w:fldChar w:fldCharType="end"/>
      </w:r>
      <w:r>
        <w:rPr>
          <w:rtl/>
        </w:rPr>
        <w:t xml:space="preserve">. חותני ר׳ דוד ליפשיץ, תלמידו הקרוב של ר׳ שמעון בתקופתו האחרונה </w:t>
      </w:r>
      <w:proofErr w:type="spellStart"/>
      <w:r>
        <w:rPr>
          <w:rtl/>
        </w:rPr>
        <w:t>בגרודנא</w:t>
      </w:r>
      <w:proofErr w:type="spellEnd"/>
      <w:r>
        <w:rPr>
          <w:rtl/>
        </w:rPr>
        <w:t xml:space="preserve">, אמר שרבו עזב את </w:t>
      </w:r>
      <w:proofErr w:type="spellStart"/>
      <w:r>
        <w:rPr>
          <w:rtl/>
        </w:rPr>
        <w:t>טלז</w:t>
      </w:r>
      <w:proofErr w:type="spellEnd"/>
      <w:r>
        <w:rPr>
          <w:rtl/>
        </w:rPr>
        <w:t xml:space="preserve"> מפני שביקש להיות גם ראש ישיבה וגם רב. גם ר׳ ישראל </w:t>
      </w:r>
      <w:proofErr w:type="spellStart"/>
      <w:r>
        <w:rPr>
          <w:rtl/>
        </w:rPr>
        <w:t>שורין</w:t>
      </w:r>
      <w:proofErr w:type="spellEnd"/>
      <w:r>
        <w:rPr>
          <w:rtl/>
        </w:rPr>
        <w:t xml:space="preserve"> סיפר</w:t>
      </w:r>
      <w:bookmarkStart w:id="5934" w:name="_fnr4499"/>
      <w:r>
        <w:rPr>
          <w:rStyle w:val="a5"/>
        </w:rPr>
        <w:footnoteReference w:id="4510" w:customMarkFollows="0"/>
      </w:r>
      <w:bookmarkEnd w:id="5934"/>
      <w:r>
        <w:rPr>
          <w:rtl/>
        </w:rPr>
        <w:t xml:space="preserve"> ששאל את בנו של ר׳ שמעון, ר׳ </w:t>
      </w:r>
      <w:proofErr w:type="spellStart"/>
      <w:r>
        <w:rPr>
          <w:rtl/>
        </w:rPr>
        <w:t>משה־מרדכי</w:t>
      </w:r>
      <w:proofErr w:type="spellEnd"/>
      <w:r>
        <w:rPr>
          <w:rtl/>
        </w:rPr>
        <w:t xml:space="preserve"> </w:t>
      </w:r>
      <w:proofErr w:type="spellStart"/>
      <w:r>
        <w:rPr>
          <w:rtl/>
        </w:rPr>
        <w:t>שקופ</w:t>
      </w:r>
      <w:proofErr w:type="spellEnd"/>
      <w:r>
        <w:rPr>
          <w:rtl/>
        </w:rPr>
        <w:t xml:space="preserve">, מדוע עזב אביו את </w:t>
      </w:r>
      <w:proofErr w:type="spellStart"/>
      <w:r>
        <w:rPr>
          <w:rtl/>
        </w:rPr>
        <w:t>טלז</w:t>
      </w:r>
      <w:proofErr w:type="spellEnd"/>
      <w:r>
        <w:rPr>
          <w:rtl/>
        </w:rPr>
        <w:t>, שבה היו שיעוריו חביבים כל כך על התלמידים, ונענה: “זו הייתה חולשה של אבי, שרצה להיות אב״ד ור״מ”.</w:t>
      </w:r>
    </w:p>
    <w:p w14:paraId="3A97C424" w14:textId="40D1252C" w:rsidR="00AB3647" w:rsidRDefault="00000000" w:rsidP="007923E9">
      <w:pPr>
        <w:spacing w:before="120" w:after="100" w:line="276" w:lineRule="auto"/>
        <w:jc w:val="both"/>
      </w:pPr>
      <w:r>
        <w:rPr>
          <w:rtl/>
        </w:rPr>
        <w:t xml:space="preserve">ראה גם פרק 4, הפסקה הראשונה בהערה </w:t>
      </w:r>
      <w:r>
        <w:rPr>
          <w:rtl/>
        </w:rPr>
        <w:fldChar w:fldCharType="begin" w:dirty="true"/>
      </w:r>
      <w:r>
        <w:rPr>
          <w:rtl/>
        </w:rPr>
        <w:instrText xml:space="preserve"> REF b4_note93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93</w:t>
      </w:r>
      <w:r>
        <w:rPr>
          <w:rtl/>
        </w:rPr>
        <w:fldChar w:fldCharType="end"/>
      </w:r>
      <w:r>
        <w:rPr>
          <w:rtl/>
        </w:rPr>
        <w:t xml:space="preserve">, שבה מצוטט רבנו </w:t>
      </w:r>
      <w:proofErr w:type="spellStart"/>
      <w:r>
        <w:rPr>
          <w:rtl/>
        </w:rPr>
        <w:t>ש“מעמדו</w:t>
      </w:r>
      <w:proofErr w:type="spellEnd"/>
      <w:r>
        <w:rPr>
          <w:rtl/>
        </w:rPr>
        <w:t xml:space="preserve"> של ראש ישיבה היה נמוך ממעמדו של רב”. אבי התכוון לסוף שנות </w:t>
      </w:r>
      <w:proofErr w:type="spellStart"/>
      <w:r>
        <w:rPr>
          <w:rtl/>
        </w:rPr>
        <w:t>התר״ל</w:t>
      </w:r>
      <w:proofErr w:type="spellEnd"/>
      <w:r>
        <w:rPr>
          <w:rtl/>
        </w:rPr>
        <w:t xml:space="preserve"> ולתחילת שנות </w:t>
      </w:r>
      <w:proofErr w:type="spellStart"/>
      <w:r>
        <w:rPr>
          <w:rtl/>
        </w:rPr>
        <w:t>התר״מ</w:t>
      </w:r>
      <w:proofErr w:type="spellEnd"/>
      <w:r>
        <w:rPr>
          <w:rtl/>
        </w:rPr>
        <w:t xml:space="preserve">. אף שמעמד ראשי הישיבות עלה בשני העשורים שחלפו מאז ועד הזמן הנדון כאן, עדיין נחשבה הרבנות לכהונה מכובדת, שראש ישיבה בעל כישורי רבנות עשוי לשאוף אליה. לפי ר׳ </w:t>
      </w:r>
      <w:proofErr w:type="spellStart"/>
      <w:r>
        <w:rPr>
          <w:rtl/>
        </w:rPr>
        <w:t xml:space="preserve">יושע־בערל</w:t>
      </w:r>
      <w:proofErr w:type="spellEnd"/>
      <w:r>
        <w:rPr>
          <w:rtl/>
        </w:rPr>
        <w:t xml:space="preserve"> </w:t>
      </w:r>
      <w:proofErr w:type="spellStart"/>
      <w:r>
        <w:rPr>
          <w:rtl/>
        </w:rPr>
        <w:t>סולובייצ׳יק</w:t>
      </w:r>
      <w:bookmarkStart w:id="5935" w:name="_fnr4500"/>
      <w:proofErr w:type="spellEnd"/>
      <w:r>
        <w:rPr>
          <w:rStyle w:val="a5"/>
        </w:rPr>
        <w:footnoteReference w:id="4511" w:customMarkFollows="0"/>
      </w:r>
      <w:bookmarkEnd w:id="5935"/>
      <w:r>
        <w:rPr>
          <w:rtl/>
        </w:rPr>
        <w:t xml:space="preserve">, יעץ ר׳ חיים </w:t>
      </w:r>
      <w:proofErr w:type="spellStart"/>
      <w:r>
        <w:rPr>
          <w:rtl/>
        </w:rPr>
        <w:t>לר</w:t>
      </w:r>
      <w:proofErr w:type="spellEnd"/>
      <w:r>
        <w:rPr>
          <w:rtl/>
        </w:rPr>
        <w:t xml:space="preserve">׳ שמעון </w:t>
      </w:r>
      <w:r>
        <w:rPr>
          <w:b/>
          <w:bCs/>
          <w:rtl/>
        </w:rPr>
        <w:t>שלא</w:t>
      </w:r>
      <w:r>
        <w:rPr>
          <w:rtl/>
        </w:rPr>
        <w:t xml:space="preserve"> לחדש את ישיבת </w:t>
      </w:r>
      <w:proofErr w:type="spellStart"/>
      <w:r>
        <w:rPr>
          <w:rtl/>
        </w:rPr>
        <w:t>מאלטש</w:t>
      </w:r>
      <w:proofErr w:type="spellEnd"/>
      <w:r>
        <w:rPr>
          <w:rtl/>
        </w:rPr>
        <w:t>, אבל עצתו לא נשמעה.</w:t>
      </w:r>
    </w:p>
    <w:p w14:paraId="6B4C5D43" w14:textId="328BF209" w:rsidR="00AB3647" w:rsidRDefault="00000000" w:rsidP="007923E9">
      <w:pPr>
        <w:spacing w:before="120" w:after="100" w:line="276" w:lineRule="auto"/>
        <w:jc w:val="both"/>
      </w:pPr>
      <w:r>
        <w:rPr>
          <w:rtl/>
        </w:rPr>
        <w:t xml:space="preserve">ר׳ שמעון למד </w:t>
      </w:r>
      <w:proofErr w:type="spellStart"/>
      <w:r>
        <w:rPr>
          <w:rtl/>
        </w:rPr>
        <w:t>בוולוז׳ין</w:t>
      </w:r>
      <w:proofErr w:type="spellEnd"/>
      <w:r>
        <w:rPr>
          <w:rtl/>
        </w:rPr>
        <w:t xml:space="preserve"> שש שנים, החל </w:t>
      </w:r>
      <w:proofErr w:type="spellStart"/>
      <w:r>
        <w:rPr>
          <w:rtl/>
        </w:rPr>
        <w:t>מתרל״ה</w:t>
      </w:r>
      <w:proofErr w:type="spellEnd"/>
      <w:r>
        <w:rPr>
          <w:rtl/>
        </w:rPr>
        <w:t xml:space="preserve">. שנים אלה חפפו את תקופת </w:t>
      </w:r>
      <w:proofErr w:type="spellStart"/>
      <w:r>
        <w:rPr>
          <w:rtl/>
        </w:rPr>
        <w:t>ה“קעסט</w:t>
      </w:r>
      <w:proofErr w:type="spellEnd"/>
      <w:r>
        <w:rPr>
          <w:rtl/>
        </w:rPr>
        <w:t xml:space="preserve">” של ר׳ חיים – מסוף תרל״ג עד תרל״ט ועד בכלל – ואת שנתו הראשונה כמשנה לראש הישיבה, שהחלה בערך בקיץ תר״מ. ר׳ שמעון, שהיה צעיר מר׳ חיים בשבע שנים, לא ראה את עצמו תלמידו במלוא מובן המילה, אלא </w:t>
      </w:r>
      <w:proofErr w:type="spellStart"/>
      <w:r>
        <w:rPr>
          <w:rtl/>
        </w:rPr>
        <w:t>תלמיד־חבר</w:t>
      </w:r>
      <w:bookmarkStart w:id="5936" w:name="_fnr4501"/>
      <w:proofErr w:type="spellEnd"/>
      <w:r>
        <w:rPr>
          <w:rStyle w:val="a5"/>
        </w:rPr>
        <w:footnoteReference w:id="4512" w:customMarkFollows="0"/>
      </w:r>
      <w:bookmarkEnd w:id="5936"/>
      <w:r>
        <w:rPr>
          <w:rtl/>
        </w:rPr>
        <w:t xml:space="preserve">. השווה גם סוף הערה </w:t>
      </w:r>
      <w:r>
        <w:rPr>
          <w:rtl/>
        </w:rPr>
        <w:fldChar w:fldCharType="begin" w:dirty="true"/>
      </w:r>
      <w:r>
        <w:rPr>
          <w:rtl/>
        </w:rPr>
        <w:instrText xml:space="preserve"> REF b5_note30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30</w:t>
      </w:r>
      <w:r>
        <w:rPr>
          <w:rtl/>
        </w:rPr>
        <w:fldChar w:fldCharType="end"/>
      </w:r>
      <w:r>
        <w:rPr>
          <w:rtl/>
        </w:rPr>
        <w:t xml:space="preserve"> להלן, שמבסס היטב את חששו של ר׳ חיים מפני פתיחת ישיבת </w:t>
      </w:r>
      <w:proofErr w:type="spellStart"/>
      <w:r>
        <w:rPr>
          <w:rtl/>
        </w:rPr>
        <w:t>מאלטש</w:t>
      </w:r>
      <w:proofErr w:type="spellEnd"/>
      <w:r>
        <w:rPr>
          <w:rtl/>
        </w:rPr>
        <w:t xml:space="preserve"> מחדש.</w:t>
      </w:r>
    </w:p>
    <w:bookmarkStart w:id="5937" w:name="b5_note26"/>
    <w:p w14:paraId="6BA2B86A" w14:textId="77777777" w:rsidR="00AB3647" w:rsidRDefault="00000000" w:rsidP="007923E9">
      <w:pPr>
        <w:spacing w:before="120" w:after="100" w:line="276" w:lineRule="auto"/>
        <w:jc w:val="both"/>
      </w:pPr>
      <w:r>
        <w:fldChar w:fldCharType="begin" w:dirty="true"/>
      </w:r>
      <w:r>
        <w:instrText>HYPERLINK \l "b5_ref26"</w:instrText>
      </w:r>
      <w:r>
        <w:fldChar w:fldCharType="separate"/>
      </w:r>
      <w:r>
        <w:rPr>
          <w:b/>
          <w:bCs/>
          <w:rtl/>
        </w:rPr>
        <w:t>26</w:t>
      </w:r>
      <w:r>
        <w:rPr>
          <w:b/>
          <w:bCs/>
        </w:rPr>
        <w:fldChar w:fldCharType="end"/>
      </w:r>
      <w:bookmarkEnd w:id="5937"/>
      <w:r>
        <w:rPr>
          <w:rtl/>
        </w:rPr>
        <w:t xml:space="preserve"> העובדה שלימד בישיבת </w:t>
      </w:r>
      <w:proofErr w:type="spellStart"/>
      <w:r>
        <w:rPr>
          <w:rtl/>
        </w:rPr>
        <w:t>לומז׳ה</w:t>
      </w:r>
      <w:proofErr w:type="spellEnd"/>
      <w:r>
        <w:rPr>
          <w:rtl/>
        </w:rPr>
        <w:t xml:space="preserve"> מובאת בספרו של כץ, “תנועת המוסר”, כרך ב</w:t>
      </w:r>
      <w:bookmarkStart w:id="5938" w:name="_fnr4502"/>
      <w:r>
        <w:rPr>
          <w:rStyle w:val="a5"/>
        </w:rPr>
        <w:footnoteReference w:id="4513" w:customMarkFollows="0"/>
      </w:r>
      <w:bookmarkEnd w:id="5938"/>
      <w:r>
        <w:rPr>
          <w:rtl/>
        </w:rPr>
        <w:t>, אבל בריאיון על הסבא</w:t>
      </w:r>
      <w:bookmarkStart w:id="5939" w:name="_fnr4503"/>
      <w:r>
        <w:rPr>
          <w:rStyle w:val="a5"/>
        </w:rPr>
        <w:footnoteReference w:id="4514" w:customMarkFollows="0"/>
      </w:r>
      <w:bookmarkEnd w:id="5939"/>
      <w:r>
        <w:rPr>
          <w:rtl/>
        </w:rPr>
        <w:t xml:space="preserve"> הגדיר אבי במדויק את תפקידו של ר׳ </w:t>
      </w:r>
      <w:proofErr w:type="spellStart"/>
      <w:r>
        <w:rPr>
          <w:rtl/>
        </w:rPr>
        <w:t>דוד־טעביל</w:t>
      </w:r>
      <w:proofErr w:type="spellEnd"/>
      <w:r>
        <w:rPr>
          <w:rtl/>
        </w:rPr>
        <w:t xml:space="preserve"> שם: “ראש הישיבה הבכיר ביותר”. הדבר מאושר </w:t>
      </w:r>
      <w:proofErr w:type="spellStart"/>
      <w:r>
        <w:rPr>
          <w:rtl/>
        </w:rPr>
        <w:t>ב“אהלי</w:t>
      </w:r>
      <w:proofErr w:type="spellEnd"/>
      <w:r>
        <w:rPr>
          <w:rtl/>
        </w:rPr>
        <w:t xml:space="preserve"> שם”</w:t>
      </w:r>
      <w:bookmarkStart w:id="5940" w:name="_fnr4504"/>
      <w:r>
        <w:rPr>
          <w:rStyle w:val="a5"/>
        </w:rPr>
        <w:footnoteReference w:id="4515" w:customMarkFollows="0"/>
      </w:r>
      <w:bookmarkEnd w:id="5940"/>
      <w:r>
        <w:rPr>
          <w:rtl/>
        </w:rPr>
        <w:t xml:space="preserve">: “הוא נתמנה לר״מ ראשי בישיבת </w:t>
      </w:r>
      <w:proofErr w:type="spellStart"/>
      <w:r>
        <w:rPr>
          <w:rtl/>
        </w:rPr>
        <w:t>לומז׳ה</w:t>
      </w:r>
      <w:proofErr w:type="spellEnd"/>
      <w:r>
        <w:rPr>
          <w:rtl/>
        </w:rPr>
        <w:t xml:space="preserve"> </w:t>
      </w:r>
      <w:proofErr w:type="spellStart"/>
      <w:r>
        <w:rPr>
          <w:rtl/>
        </w:rPr>
        <w:t>בתרנ״ג</w:t>
      </w:r>
      <w:proofErr w:type="spellEnd"/>
      <w:r>
        <w:rPr>
          <w:rtl/>
        </w:rPr>
        <w:t xml:space="preserve">”. ר׳ שרגא אברמסון, שלמד בישיבת </w:t>
      </w:r>
      <w:proofErr w:type="spellStart"/>
      <w:r>
        <w:rPr>
          <w:rtl/>
        </w:rPr>
        <w:t>לומז׳ה</w:t>
      </w:r>
      <w:proofErr w:type="spellEnd"/>
      <w:r>
        <w:rPr>
          <w:rtl/>
        </w:rPr>
        <w:t xml:space="preserve"> תשע שנים בין שתי מלחמות העולם (תרפ״ז–תרצ״ו), אמר</w:t>
      </w:r>
      <w:bookmarkStart w:id="5941" w:name="_fnr4505"/>
      <w:r>
        <w:rPr>
          <w:rStyle w:val="a5"/>
        </w:rPr>
        <w:footnoteReference w:id="4516" w:customMarkFollows="0"/>
      </w:r>
      <w:bookmarkEnd w:id="5941"/>
      <w:r>
        <w:rPr>
          <w:rtl/>
        </w:rPr>
        <w:t xml:space="preserve">: “ר׳ </w:t>
      </w:r>
      <w:proofErr w:type="spellStart"/>
      <w:r>
        <w:rPr>
          <w:rtl/>
        </w:rPr>
        <w:t>דוד־טעביל</w:t>
      </w:r>
      <w:proofErr w:type="spellEnd"/>
      <w:r>
        <w:rPr>
          <w:rtl/>
        </w:rPr>
        <w:t xml:space="preserve"> היה מאנשי הצוות הראשונים בישיבת </w:t>
      </w:r>
      <w:proofErr w:type="spellStart"/>
      <w:r>
        <w:rPr>
          <w:rtl/>
        </w:rPr>
        <w:t>לומז׳ה</w:t>
      </w:r>
      <w:proofErr w:type="spellEnd"/>
      <w:r>
        <w:rPr>
          <w:rtl/>
        </w:rPr>
        <w:t xml:space="preserve">, אך </w:t>
      </w:r>
      <w:r>
        <w:rPr>
          <w:rtl/>
        </w:rPr>
        <w:lastRenderedPageBreak/>
        <w:t>כרבים מן המגידים שיעור</w:t>
      </w:r>
      <w:bookmarkStart w:id="5942" w:name="_fnr4506"/>
      <w:r>
        <w:rPr>
          <w:rStyle w:val="a5"/>
        </w:rPr>
        <w:footnoteReference w:id="4517" w:customMarkFollows="0"/>
      </w:r>
      <w:bookmarkEnd w:id="5942"/>
      <w:r>
        <w:rPr>
          <w:rtl/>
        </w:rPr>
        <w:t xml:space="preserve">, היו לו קשיים עם מייסד הישיבה, ר׳ לייזר </w:t>
      </w:r>
      <w:proofErr w:type="spellStart"/>
      <w:r>
        <w:rPr>
          <w:rtl/>
        </w:rPr>
        <w:t>שולביץ</w:t>
      </w:r>
      <w:proofErr w:type="spellEnd"/>
      <w:r>
        <w:rPr>
          <w:rtl/>
        </w:rPr>
        <w:t xml:space="preserve">. גם בעלי הבתים </w:t>
      </w:r>
      <w:proofErr w:type="spellStart"/>
      <w:r>
        <w:rPr>
          <w:rtl/>
        </w:rPr>
        <w:t>בלומז׳ה</w:t>
      </w:r>
      <w:proofErr w:type="spellEnd"/>
      <w:r>
        <w:rPr>
          <w:rtl/>
        </w:rPr>
        <w:t xml:space="preserve"> היו קשים; רבנות העיר הגדולה הייתה מכובדת, אך </w:t>
      </w:r>
      <w:proofErr w:type="spellStart"/>
      <w:r>
        <w:rPr>
          <w:rtl/>
        </w:rPr>
        <w:t>לומז׳ה</w:t>
      </w:r>
      <w:proofErr w:type="spellEnd"/>
      <w:r>
        <w:rPr>
          <w:rtl/>
        </w:rPr>
        <w:t xml:space="preserve"> לא הייתה מקום תורה טוב – ומשום כך אמר </w:t>
      </w:r>
      <w:proofErr w:type="spellStart"/>
      <w:r>
        <w:rPr>
          <w:rtl/>
        </w:rPr>
        <w:t>החפץ־חיים</w:t>
      </w:r>
      <w:proofErr w:type="spellEnd"/>
      <w:r>
        <w:rPr>
          <w:rtl/>
        </w:rPr>
        <w:t xml:space="preserve"> </w:t>
      </w:r>
      <w:proofErr w:type="spellStart"/>
      <w:r>
        <w:rPr>
          <w:rtl/>
        </w:rPr>
        <w:t>לר</w:t>
      </w:r>
      <w:proofErr w:type="spellEnd"/>
      <w:r>
        <w:rPr>
          <w:rtl/>
        </w:rPr>
        <w:t xml:space="preserve">׳ לייזר מלכתחילה להקים בה ישיבה. </w:t>
      </w:r>
      <w:proofErr w:type="spellStart"/>
      <w:r>
        <w:rPr>
          <w:rtl/>
        </w:rPr>
        <w:t>לומז׳ה</w:t>
      </w:r>
      <w:proofErr w:type="spellEnd"/>
      <w:r>
        <w:rPr>
          <w:rtl/>
        </w:rPr>
        <w:t xml:space="preserve"> הייתה השער לפולין, והייתה תקווה שייסוד ישיבה ישפיע לטובה על קידום לימוד התורה בארץ זו</w:t>
      </w:r>
      <w:bookmarkStart w:id="5943" w:name="_fnr4507"/>
      <w:r>
        <w:rPr>
          <w:rStyle w:val="a5"/>
        </w:rPr>
        <w:footnoteReference w:id="4518" w:customMarkFollows="0"/>
      </w:r>
      <w:bookmarkEnd w:id="5943"/>
      <w:r>
        <w:rPr>
          <w:rtl/>
        </w:rPr>
        <w:t>”.</w:t>
      </w:r>
    </w:p>
    <w:p w14:paraId="5C89BC0F" w14:textId="77777777" w:rsidR="00AB3647" w:rsidRDefault="00000000" w:rsidP="007923E9">
      <w:pPr>
        <w:spacing w:before="120" w:after="100" w:line="276" w:lineRule="auto"/>
        <w:jc w:val="both"/>
      </w:pPr>
      <w:r>
        <w:rPr>
          <w:rtl/>
        </w:rPr>
        <w:t xml:space="preserve">ר׳ </w:t>
      </w:r>
      <w:proofErr w:type="spellStart"/>
      <w:r>
        <w:rPr>
          <w:rtl/>
        </w:rPr>
        <w:t>דוד־טעביל</w:t>
      </w:r>
      <w:proofErr w:type="spellEnd"/>
      <w:r>
        <w:rPr>
          <w:rtl/>
        </w:rPr>
        <w:t xml:space="preserve"> כיהן </w:t>
      </w:r>
      <w:proofErr w:type="spellStart"/>
      <w:r>
        <w:rPr>
          <w:rtl/>
        </w:rPr>
        <w:t>בלומז׳ה</w:t>
      </w:r>
      <w:proofErr w:type="spellEnd"/>
      <w:r>
        <w:rPr>
          <w:rtl/>
        </w:rPr>
        <w:t xml:space="preserve"> כמה שנים. ר׳ </w:t>
      </w:r>
      <w:proofErr w:type="spellStart"/>
      <w:r>
        <w:rPr>
          <w:rtl/>
        </w:rPr>
        <w:t>חצקל</w:t>
      </w:r>
      <w:proofErr w:type="spellEnd"/>
      <w:r>
        <w:rPr>
          <w:rtl/>
        </w:rPr>
        <w:t xml:space="preserve"> </w:t>
      </w:r>
      <w:proofErr w:type="spellStart"/>
      <w:r>
        <w:rPr>
          <w:rtl/>
        </w:rPr>
        <w:t>לוינשטיין</w:t>
      </w:r>
      <w:proofErr w:type="spellEnd"/>
      <w:r>
        <w:rPr>
          <w:rtl/>
        </w:rPr>
        <w:t xml:space="preserve"> (תרמ״ו–תשל״ד) תיאר באחת משיחותיו בישיבת </w:t>
      </w:r>
      <w:proofErr w:type="spellStart"/>
      <w:r>
        <w:rPr>
          <w:rtl/>
        </w:rPr>
        <w:t>פוניבז</w:t>
      </w:r>
      <w:proofErr w:type="spellEnd"/>
      <w:r>
        <w:rPr>
          <w:rtl/>
        </w:rPr>
        <w:t xml:space="preserve">׳ בבני ברק את האווירה בישיבת </w:t>
      </w:r>
      <w:proofErr w:type="spellStart"/>
      <w:r>
        <w:rPr>
          <w:rtl/>
        </w:rPr>
        <w:t>לומז׳ה</w:t>
      </w:r>
      <w:proofErr w:type="spellEnd"/>
      <w:r>
        <w:rPr>
          <w:rtl/>
        </w:rPr>
        <w:t xml:space="preserve">, שאליה הצטרף אחרי בר המצווה שלו. לפי המסופר אמר: “התלמידים היו מתאספים למעריב בחדר חשוך במוצאי שבת, והגאון והצדיק ר׳ </w:t>
      </w:r>
      <w:proofErr w:type="spellStart"/>
      <w:r>
        <w:rPr>
          <w:rtl/>
        </w:rPr>
        <w:t>דוד־טעביל</w:t>
      </w:r>
      <w:proofErr w:type="spellEnd"/>
      <w:r>
        <w:rPr>
          <w:rtl/>
        </w:rPr>
        <w:t>, מתלמידי ר׳ ישראל, היה משמיע דברי התעוררות שהציתו את הלבבות ועוררו לתשובה”</w:t>
      </w:r>
      <w:bookmarkStart w:id="5944" w:name="_fnr4508"/>
      <w:r>
        <w:rPr>
          <w:rStyle w:val="a5"/>
        </w:rPr>
        <w:footnoteReference w:id="4519" w:customMarkFollows="0"/>
      </w:r>
      <w:bookmarkEnd w:id="5944"/>
      <w:r>
        <w:rPr>
          <w:rtl/>
        </w:rPr>
        <w:t>.</w:t>
      </w:r>
    </w:p>
    <w:bookmarkStart w:id="5945" w:name="b5_note27"/>
    <w:p w14:paraId="2B00678A" w14:textId="3DD11012" w:rsidR="00AB3647" w:rsidRDefault="00000000" w:rsidP="007923E9">
      <w:pPr>
        <w:spacing w:before="120" w:after="100" w:line="276" w:lineRule="auto"/>
        <w:jc w:val="both"/>
      </w:pPr>
      <w:r>
        <w:fldChar w:fldCharType="begin" w:dirty="true"/>
      </w:r>
      <w:r>
        <w:instrText>HYPERLINK \l "b5_ref27"</w:instrText>
      </w:r>
      <w:r>
        <w:fldChar w:fldCharType="separate"/>
      </w:r>
      <w:r>
        <w:rPr>
          <w:b/>
          <w:bCs/>
          <w:rtl/>
        </w:rPr>
        <w:t>27</w:t>
      </w:r>
      <w:r>
        <w:rPr>
          <w:b/>
          <w:bCs/>
        </w:rPr>
        <w:fldChar w:fldCharType="end"/>
      </w:r>
      <w:bookmarkEnd w:id="5945"/>
      <w:r>
        <w:rPr>
          <w:rtl/>
        </w:rPr>
        <w:t xml:space="preserve"> השווה פרק 3, הערה </w:t>
      </w:r>
      <w:r>
        <w:rPr>
          <w:rtl/>
        </w:rPr>
        <w:fldChar w:fldCharType="begin" w:dirty="true"/>
      </w:r>
      <w:r>
        <w:rPr>
          <w:rtl/>
        </w:rPr>
        <w:instrText xml:space="preserve"> REF b3_note69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69</w:t>
      </w:r>
      <w:r>
        <w:rPr>
          <w:rtl/>
        </w:rPr>
        <w:fldChar w:fldCharType="end"/>
      </w:r>
      <w:r>
        <w:rPr>
          <w:rtl/>
        </w:rPr>
        <w:t xml:space="preserve">, כיצד הגדילו בני העיירות את הכנסותיהם בזכות ישיבה בעיירתם. </w:t>
      </w:r>
      <w:proofErr w:type="spellStart"/>
      <w:r>
        <w:rPr>
          <w:rtl/>
        </w:rPr>
        <w:t>דבורץ</w:t>
      </w:r>
      <w:proofErr w:type="spellEnd"/>
      <w:r>
        <w:rPr>
          <w:rtl/>
        </w:rPr>
        <w:t>, “הגאון רבי משה מרדכי אפשטיין”</w:t>
      </w:r>
      <w:bookmarkStart w:id="5946" w:name="_fnr4509"/>
      <w:r>
        <w:rPr>
          <w:rStyle w:val="a5"/>
        </w:rPr>
        <w:footnoteReference w:id="4520" w:customMarkFollows="0"/>
      </w:r>
      <w:bookmarkEnd w:id="5946"/>
      <w:r>
        <w:rPr>
          <w:rtl/>
        </w:rPr>
        <w:t xml:space="preserve">, רומז שעזיבת ר׳ </w:t>
      </w:r>
      <w:proofErr w:type="spellStart"/>
      <w:r>
        <w:rPr>
          <w:rtl/>
        </w:rPr>
        <w:t>זלמן־סנדר</w:t>
      </w:r>
      <w:proofErr w:type="spellEnd"/>
      <w:r>
        <w:rPr>
          <w:rtl/>
        </w:rPr>
        <w:t xml:space="preserve"> את </w:t>
      </w:r>
      <w:proofErr w:type="spellStart"/>
      <w:r>
        <w:rPr>
          <w:rtl/>
        </w:rPr>
        <w:t>מאלטש</w:t>
      </w:r>
      <w:proofErr w:type="spellEnd"/>
      <w:r>
        <w:rPr>
          <w:rtl/>
        </w:rPr>
        <w:t xml:space="preserve"> באה בעקבות סגירת ישיבתו שם – ראה ההערה הבאה. ודאי חש שהעיירה אינה מרוצה ממנו, מפני שכבר לא סיפק לה מוסד שמעלה את מעמדה ומכניס לה הכנסה.</w:t>
      </w:r>
    </w:p>
    <w:p w14:paraId="4990D5AD" w14:textId="3601D26A"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ישיבת </w:t>
      </w:r>
      <w:proofErr w:type="spellStart"/>
      <w:r>
        <w:rPr>
          <w:rtl/>
        </w:rPr>
        <w:t>מאלטש</w:t>
      </w:r>
      <w:proofErr w:type="spellEnd"/>
      <w:r>
        <w:rPr>
          <w:rtl/>
        </w:rPr>
        <w:t xml:space="preserve"> המקורית חלתה בחיידק ההשכלה, שחדר אל ציבור תלמידיה והשתלט עליו</w:t>
      </w:r>
      <w:bookmarkStart w:id="5947" w:name="b5_ref28"/>
      <w:bookmarkEnd w:id="5947"/>
      <w:r>
        <w:rPr>
          <w:vertAlign w:val="superscript"/>
          <w:rtl/>
        </w:rPr>
        <w:fldChar w:fldCharType="begin" w:dirty="true"/>
      </w:r>
      <w:r>
        <w:rPr>
          <w:vertAlign w:val="superscript"/>
          <w:rtl/>
        </w:rPr>
        <w:instrText xml:space="preserve"> REF b5_note28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28</w:t>
      </w:r>
      <w:r>
        <w:rPr>
          <w:vertAlign w:val="superscript"/>
          <w:rtl/>
        </w:rPr>
        <w:fldChar w:fldCharType="end"/>
      </w:r>
      <w:r>
        <w:rPr>
          <w:rtl/>
        </w:rPr>
        <w:t>, וגם ישיבתו המחודשת של ר׳ שמעון לקתה שוב באותו נגע</w:t>
      </w:r>
      <w:r>
        <w:rPr>
          <w:vertAlign w:val="superscript"/>
          <w:rtl/>
        </w:rPr>
        <w:fldChar w:fldCharType="begin" w:dirty="true"/>
      </w:r>
      <w:r>
        <w:rPr>
          <w:vertAlign w:val="superscript"/>
          <w:rtl/>
        </w:rPr>
        <w:instrText xml:space="preserve"> REF b5_note28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28</w:t>
      </w:r>
      <w:r>
        <w:rPr>
          <w:vertAlign w:val="superscript"/>
          <w:rtl/>
        </w:rPr>
        <w:fldChar w:fldCharType="end"/>
      </w:r>
      <w:r>
        <w:rPr>
          <w:rtl/>
        </w:rPr>
        <w:t xml:space="preserve">. כשעזב ר׳ שמעון כדי לכהן כרבה של </w:t>
      </w:r>
      <w:proofErr w:type="spellStart"/>
      <w:r>
        <w:rPr>
          <w:rtl/>
        </w:rPr>
        <w:t>בריינסק</w:t>
      </w:r>
      <w:proofErr w:type="spellEnd"/>
      <w:r>
        <w:rPr>
          <w:rtl/>
        </w:rPr>
        <w:t xml:space="preserve"> באביב תרס״ז</w:t>
      </w:r>
      <w:bookmarkStart w:id="5948" w:name="b5_ref29"/>
      <w:bookmarkEnd w:id="5948"/>
      <w:r>
        <w:rPr>
          <w:vertAlign w:val="superscript"/>
          <w:rtl/>
        </w:rPr>
        <w:fldChar w:fldCharType="begin" w:dirty="true"/>
      </w:r>
      <w:r>
        <w:rPr>
          <w:vertAlign w:val="superscript"/>
          <w:rtl/>
        </w:rPr>
        <w:instrText xml:space="preserve"> REF b5_note29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29</w:t>
      </w:r>
      <w:r>
        <w:rPr>
          <w:vertAlign w:val="superscript"/>
          <w:rtl/>
        </w:rPr>
        <w:fldChar w:fldCharType="end"/>
      </w:r>
      <w:r>
        <w:rPr>
          <w:rtl/>
        </w:rPr>
        <w:t>, הלך אחריו לשם גרעין התלמידים הבריא</w:t>
      </w:r>
      <w:bookmarkStart w:id="5949" w:name="b5_ref30"/>
      <w:bookmarkEnd w:id="5949"/>
      <w:r>
        <w:rPr>
          <w:vertAlign w:val="superscript"/>
          <w:rtl/>
        </w:rPr>
        <w:fldChar w:fldCharType="begin" w:dirty="true"/>
      </w:r>
      <w:r>
        <w:rPr>
          <w:vertAlign w:val="superscript"/>
          <w:rtl/>
        </w:rPr>
        <w:instrText xml:space="preserve"> REF b5_note30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30</w:t>
      </w:r>
      <w:r>
        <w:rPr>
          <w:vertAlign w:val="superscript"/>
          <w:rtl/>
        </w:rPr>
        <w:fldChar w:fldCharType="end"/>
      </w:r>
      <w:r>
        <w:rPr>
          <w:rtl/>
        </w:rPr>
        <w:t xml:space="preserve">, </w:t>
      </w:r>
      <w:proofErr w:type="spellStart"/>
      <w:r>
        <w:rPr>
          <w:rtl/>
        </w:rPr>
        <w:t>ומאלטש</w:t>
      </w:r>
      <w:proofErr w:type="spellEnd"/>
      <w:r>
        <w:rPr>
          <w:rtl/>
        </w:rPr>
        <w:t xml:space="preserve"> נשארה בלי ישיבה. מתוך רצון להימנע מן המכשול שהוציא שם רע לישיבות </w:t>
      </w:r>
      <w:proofErr w:type="spellStart"/>
      <w:r>
        <w:rPr>
          <w:rtl/>
        </w:rPr>
        <w:t>מאלטש</w:t>
      </w:r>
      <w:proofErr w:type="spellEnd"/>
      <w:r>
        <w:rPr>
          <w:rtl/>
        </w:rPr>
        <w:t xml:space="preserve">, החליט הרב </w:t>
      </w:r>
      <w:proofErr w:type="spellStart"/>
      <w:r>
        <w:rPr>
          <w:rtl/>
        </w:rPr>
        <w:t>דינובסקי</w:t>
      </w:r>
      <w:proofErr w:type="spellEnd"/>
      <w:r>
        <w:rPr>
          <w:rtl/>
        </w:rPr>
        <w:t xml:space="preserve"> – שהיה בעצמו תלמיד</w:t>
      </w:r>
      <w:bookmarkStart w:id="5950" w:name="b5_ref31"/>
      <w:bookmarkEnd w:id="5950"/>
      <w:r>
        <w:rPr>
          <w:vertAlign w:val="superscript"/>
          <w:rtl/>
        </w:rPr>
        <w:fldChar w:fldCharType="begin" w:dirty="true"/>
      </w:r>
      <w:r>
        <w:rPr>
          <w:vertAlign w:val="superscript"/>
          <w:rtl/>
        </w:rPr>
        <w:instrText xml:space="preserve"> REF b5_note31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31</w:t>
      </w:r>
      <w:r>
        <w:rPr>
          <w:vertAlign w:val="superscript"/>
          <w:rtl/>
        </w:rPr>
        <w:fldChar w:fldCharType="end"/>
      </w:r>
      <w:r>
        <w:rPr>
          <w:rtl/>
        </w:rPr>
        <w:t xml:space="preserve"> של תלמידו המובהק של ר׳ ישראל </w:t>
      </w:r>
      <w:proofErr w:type="spellStart"/>
      <w:r>
        <w:rPr>
          <w:rtl/>
        </w:rPr>
        <w:t>סלנטר</w:t>
      </w:r>
      <w:proofErr w:type="spellEnd"/>
      <w:r>
        <w:rPr>
          <w:rtl/>
        </w:rPr>
        <w:t xml:space="preserve">, ר׳ </w:t>
      </w:r>
      <w:proofErr w:type="spellStart"/>
      <w:r>
        <w:rPr>
          <w:rtl/>
        </w:rPr>
        <w:t>שמחה־זיסל</w:t>
      </w:r>
      <w:proofErr w:type="spellEnd"/>
      <w:r>
        <w:rPr>
          <w:rtl/>
        </w:rPr>
        <w:t xml:space="preserve"> מקלם</w:t>
      </w:r>
      <w:bookmarkStart w:id="5951" w:name="b5_ref32"/>
      <w:bookmarkEnd w:id="5951"/>
      <w:r>
        <w:rPr>
          <w:vertAlign w:val="superscript"/>
          <w:rtl/>
        </w:rPr>
        <w:fldChar w:fldCharType="begin" w:dirty="true"/>
      </w:r>
      <w:r>
        <w:rPr>
          <w:vertAlign w:val="superscript"/>
          <w:rtl/>
        </w:rPr>
        <w:instrText xml:space="preserve"> REF b5_note32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32</w:t>
      </w:r>
      <w:r>
        <w:rPr>
          <w:vertAlign w:val="superscript"/>
          <w:rtl/>
        </w:rPr>
        <w:fldChar w:fldCharType="end"/>
      </w:r>
      <w:r>
        <w:rPr>
          <w:rtl/>
        </w:rPr>
        <w:t xml:space="preserve"> – להקים בעיירתו ישיבת מוסר, והוא ידע היטב לאן לפנות לעזרה</w:t>
      </w:r>
      <w:bookmarkStart w:id="5952" w:name="b5_ref33"/>
      <w:bookmarkEnd w:id="5952"/>
      <w:r>
        <w:rPr>
          <w:vertAlign w:val="superscript"/>
          <w:rtl/>
        </w:rPr>
        <w:fldChar w:fldCharType="begin" w:dirty="true"/>
      </w:r>
      <w:r>
        <w:rPr>
          <w:vertAlign w:val="superscript"/>
          <w:rtl/>
        </w:rPr>
        <w:instrText xml:space="preserve"> REF b5_note33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33</w:t>
      </w:r>
      <w:r>
        <w:rPr>
          <w:vertAlign w:val="superscript"/>
          <w:rtl/>
        </w:rPr>
        <w:fldChar w:fldCharType="end"/>
      </w:r>
      <w:r>
        <w:rPr>
          <w:rtl/>
        </w:rPr>
        <w:t xml:space="preserve">. מיד אחרי שמחת תורה בא </w:t>
      </w:r>
      <w:proofErr w:type="spellStart"/>
      <w:r>
        <w:rPr>
          <w:rtl/>
        </w:rPr>
        <w:t>לסלבודקה</w:t>
      </w:r>
      <w:proofErr w:type="spellEnd"/>
      <w:r>
        <w:rPr>
          <w:rtl/>
        </w:rPr>
        <w:t>, להודיע לסבא על המצב ולבקש את עזרתו. הסבא, שמטרת חייו הייתה לבנות ישיבות</w:t>
      </w:r>
      <w:bookmarkStart w:id="5953" w:name="b5_ref34"/>
      <w:bookmarkEnd w:id="5953"/>
      <w:r>
        <w:rPr>
          <w:vertAlign w:val="superscript"/>
          <w:rtl/>
        </w:rPr>
        <w:fldChar w:fldCharType="begin" w:dirty="true"/>
      </w:r>
      <w:r>
        <w:rPr>
          <w:vertAlign w:val="superscript"/>
          <w:rtl/>
        </w:rPr>
        <w:instrText xml:space="preserve"> REF b5_note34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34</w:t>
      </w:r>
      <w:r>
        <w:rPr>
          <w:vertAlign w:val="superscript"/>
          <w:rtl/>
        </w:rPr>
        <w:fldChar w:fldCharType="end"/>
      </w:r>
      <w:r>
        <w:rPr>
          <w:rtl/>
        </w:rPr>
        <w:t xml:space="preserve">, נענה לבקשתו של הרב </w:t>
      </w:r>
      <w:proofErr w:type="spellStart"/>
      <w:r>
        <w:rPr>
          <w:rtl/>
        </w:rPr>
        <w:t>דינובסקי</w:t>
      </w:r>
      <w:proofErr w:type="spellEnd"/>
      <w:r>
        <w:rPr>
          <w:rtl/>
        </w:rPr>
        <w:t xml:space="preserve"> מיד בחיוב.</w:t>
      </w:r>
    </w:p>
    <w:bookmarkStart w:id="5954" w:name="b5_note28"/>
    <w:p w14:paraId="54621EB2" w14:textId="77777777" w:rsidR="00AB3647" w:rsidRDefault="00000000" w:rsidP="007923E9">
      <w:pPr>
        <w:spacing w:before="120" w:after="100" w:line="276" w:lineRule="auto"/>
        <w:jc w:val="both"/>
      </w:pPr>
      <w:r>
        <w:fldChar w:fldCharType="begin" w:dirty="true"/>
      </w:r>
      <w:r>
        <w:instrText>HYPERLINK \l "b5_ref28"</w:instrText>
      </w:r>
      <w:r>
        <w:fldChar w:fldCharType="separate"/>
      </w:r>
      <w:r>
        <w:rPr>
          <w:b/>
          <w:bCs/>
          <w:rtl/>
        </w:rPr>
        <w:t>28</w:t>
      </w:r>
      <w:r>
        <w:rPr>
          <w:b/>
          <w:bCs/>
        </w:rPr>
        <w:fldChar w:fldCharType="end"/>
      </w:r>
      <w:bookmarkEnd w:id="5954"/>
      <w:r>
        <w:rPr>
          <w:rtl/>
        </w:rPr>
        <w:t xml:space="preserve"> ר׳ אברהם </w:t>
      </w:r>
      <w:proofErr w:type="spellStart"/>
      <w:r>
        <w:rPr>
          <w:rtl/>
        </w:rPr>
        <w:t>פרבשטיין</w:t>
      </w:r>
      <w:proofErr w:type="spellEnd"/>
      <w:r>
        <w:rPr>
          <w:rtl/>
        </w:rPr>
        <w:t xml:space="preserve"> גילה</w:t>
      </w:r>
      <w:bookmarkStart w:id="5955" w:name="_fnr4510"/>
      <w:r>
        <w:rPr>
          <w:rStyle w:val="a5"/>
        </w:rPr>
        <w:footnoteReference w:id="4521" w:customMarkFollows="0"/>
      </w:r>
      <w:bookmarkEnd w:id="5955"/>
      <w:r>
        <w:rPr>
          <w:rtl/>
        </w:rPr>
        <w:t xml:space="preserve"> בשם חותנו, ר׳ </w:t>
      </w:r>
      <w:proofErr w:type="spellStart"/>
      <w:r>
        <w:rPr>
          <w:rtl/>
        </w:rPr>
        <w:t>חצקל</w:t>
      </w:r>
      <w:proofErr w:type="spellEnd"/>
      <w:r>
        <w:rPr>
          <w:rtl/>
        </w:rPr>
        <w:t xml:space="preserve"> </w:t>
      </w:r>
      <w:proofErr w:type="spellStart"/>
      <w:r>
        <w:rPr>
          <w:rtl/>
        </w:rPr>
        <w:t>סרנא</w:t>
      </w:r>
      <w:proofErr w:type="spellEnd"/>
      <w:r>
        <w:rPr>
          <w:rtl/>
        </w:rPr>
        <w:t xml:space="preserve">, שהדבר הרחיק לכת במידה מזעזעת כל כך, עד שכמה תלמידים כיבו בלילות שבת את הנר שלמדו לאורו! לפי מאמר ביוגרפי מאת הרב דב כץ </w:t>
      </w:r>
      <w:proofErr w:type="spellStart"/>
      <w:r>
        <w:rPr>
          <w:rtl/>
        </w:rPr>
        <w:t>ב“ספר</w:t>
      </w:r>
      <w:proofErr w:type="spellEnd"/>
      <w:r>
        <w:rPr>
          <w:rtl/>
        </w:rPr>
        <w:t xml:space="preserve"> זיכרון הרב יחזקאל </w:t>
      </w:r>
      <w:proofErr w:type="spellStart"/>
      <w:r>
        <w:rPr>
          <w:rtl/>
        </w:rPr>
        <w:t>סרנא</w:t>
      </w:r>
      <w:proofErr w:type="spellEnd"/>
      <w:r>
        <w:rPr>
          <w:rtl/>
        </w:rPr>
        <w:t>”</w:t>
      </w:r>
      <w:bookmarkStart w:id="5956" w:name="_fnr4511"/>
      <w:r>
        <w:rPr>
          <w:rStyle w:val="a5"/>
        </w:rPr>
        <w:footnoteReference w:id="4522" w:customMarkFollows="0"/>
      </w:r>
      <w:bookmarkEnd w:id="5956"/>
      <w:r>
        <w:rPr>
          <w:rtl/>
        </w:rPr>
        <w:t xml:space="preserve">, ר׳ </w:t>
      </w:r>
      <w:proofErr w:type="spellStart"/>
      <w:r>
        <w:rPr>
          <w:rtl/>
        </w:rPr>
        <w:t>חצקל</w:t>
      </w:r>
      <w:proofErr w:type="spellEnd"/>
      <w:r>
        <w:rPr>
          <w:rtl/>
        </w:rPr>
        <w:t xml:space="preserve"> </w:t>
      </w:r>
      <w:proofErr w:type="spellStart"/>
      <w:r>
        <w:rPr>
          <w:rtl/>
        </w:rPr>
        <w:t>סרנא</w:t>
      </w:r>
      <w:proofErr w:type="spellEnd"/>
      <w:r>
        <w:rPr>
          <w:rtl/>
        </w:rPr>
        <w:t xml:space="preserve">, שנולד </w:t>
      </w:r>
      <w:proofErr w:type="spellStart"/>
      <w:r>
        <w:rPr>
          <w:rtl/>
        </w:rPr>
        <w:t>בתר״ן</w:t>
      </w:r>
      <w:proofErr w:type="spellEnd"/>
      <w:r>
        <w:rPr>
          <w:rtl/>
        </w:rPr>
        <w:t xml:space="preserve">, למד </w:t>
      </w:r>
      <w:proofErr w:type="spellStart"/>
      <w:r>
        <w:rPr>
          <w:rtl/>
        </w:rPr>
        <w:t>במאלטש</w:t>
      </w:r>
      <w:proofErr w:type="spellEnd"/>
      <w:r>
        <w:rPr>
          <w:rtl/>
        </w:rPr>
        <w:t xml:space="preserve"> בשתי תקופות קצרות. הראשונה הייתה בשנת כהונתו האחרונה של ר׳ </w:t>
      </w:r>
      <w:proofErr w:type="spellStart"/>
      <w:r>
        <w:rPr>
          <w:rtl/>
        </w:rPr>
        <w:t>זלמן־סנדר</w:t>
      </w:r>
      <w:proofErr w:type="spellEnd"/>
      <w:r>
        <w:rPr>
          <w:rtl/>
        </w:rPr>
        <w:t xml:space="preserve">; אחריה יצא ר׳ </w:t>
      </w:r>
      <w:proofErr w:type="spellStart"/>
      <w:r>
        <w:rPr>
          <w:rtl/>
        </w:rPr>
        <w:t>חצקל</w:t>
      </w:r>
      <w:proofErr w:type="spellEnd"/>
      <w:r>
        <w:rPr>
          <w:rtl/>
        </w:rPr>
        <w:t xml:space="preserve"> לכנסת בית יצחק לשנה, והלך בעקבות ראש ישיבתה, ר׳ חיים </w:t>
      </w:r>
      <w:proofErr w:type="spellStart"/>
      <w:r>
        <w:rPr>
          <w:rtl/>
        </w:rPr>
        <w:lastRenderedPageBreak/>
        <w:t>רבינוביץ</w:t>
      </w:r>
      <w:proofErr w:type="spellEnd"/>
      <w:r>
        <w:rPr>
          <w:rtl/>
        </w:rPr>
        <w:t xml:space="preserve">, </w:t>
      </w:r>
      <w:proofErr w:type="spellStart"/>
      <w:r>
        <w:rPr>
          <w:rtl/>
        </w:rPr>
        <w:t>לטלז</w:t>
      </w:r>
      <w:bookmarkStart w:id="5957" w:name="_fnr4512"/>
      <w:proofErr w:type="spellEnd"/>
      <w:r>
        <w:rPr>
          <w:rStyle w:val="a5"/>
        </w:rPr>
        <w:footnoteReference w:id="4523" w:customMarkFollows="0"/>
      </w:r>
      <w:bookmarkEnd w:id="5957"/>
      <w:r>
        <w:rPr>
          <w:rtl/>
        </w:rPr>
        <w:t>, ושהה שם עד שנסגרה הישיבה זמנית בתחילת תרס״ו</w:t>
      </w:r>
      <w:bookmarkStart w:id="5958" w:name="_fnr4513"/>
      <w:r>
        <w:rPr>
          <w:rStyle w:val="a5"/>
        </w:rPr>
        <w:footnoteReference w:id="4524" w:customMarkFollows="0"/>
      </w:r>
      <w:bookmarkEnd w:id="5958"/>
      <w:r>
        <w:rPr>
          <w:rtl/>
        </w:rPr>
        <w:t xml:space="preserve">. השנייה הייתה בשנה וחצי האחרונות לכהונת ר׳ שמעון </w:t>
      </w:r>
      <w:proofErr w:type="spellStart"/>
      <w:r>
        <w:rPr>
          <w:rtl/>
        </w:rPr>
        <w:t>שקופ</w:t>
      </w:r>
      <w:proofErr w:type="spellEnd"/>
      <w:r>
        <w:rPr>
          <w:rtl/>
        </w:rPr>
        <w:t xml:space="preserve"> </w:t>
      </w:r>
      <w:proofErr w:type="spellStart"/>
      <w:r>
        <w:rPr>
          <w:rtl/>
        </w:rPr>
        <w:t>במאלטש</w:t>
      </w:r>
      <w:proofErr w:type="spellEnd"/>
      <w:r>
        <w:rPr>
          <w:rtl/>
        </w:rPr>
        <w:t xml:space="preserve">. הרב </w:t>
      </w:r>
      <w:proofErr w:type="spellStart"/>
      <w:r>
        <w:rPr>
          <w:rtl/>
        </w:rPr>
        <w:t>פרבשטיין</w:t>
      </w:r>
      <w:proofErr w:type="spellEnd"/>
      <w:r>
        <w:rPr>
          <w:rtl/>
        </w:rPr>
        <w:t xml:space="preserve"> לא היה בטוח איזו משתי התקופות של ר׳ </w:t>
      </w:r>
      <w:proofErr w:type="spellStart"/>
      <w:r>
        <w:rPr>
          <w:rtl/>
        </w:rPr>
        <w:t>חצקל</w:t>
      </w:r>
      <w:proofErr w:type="spellEnd"/>
      <w:r>
        <w:rPr>
          <w:rtl/>
        </w:rPr>
        <w:t xml:space="preserve"> </w:t>
      </w:r>
      <w:proofErr w:type="spellStart"/>
      <w:r>
        <w:rPr>
          <w:rtl/>
        </w:rPr>
        <w:t>סרנא</w:t>
      </w:r>
      <w:proofErr w:type="spellEnd"/>
      <w:r>
        <w:rPr>
          <w:rtl/>
        </w:rPr>
        <w:t xml:space="preserve"> שם תיאר חותנו, אבל </w:t>
      </w:r>
      <w:r>
        <w:rPr>
          <w:b/>
          <w:bCs/>
          <w:rtl/>
        </w:rPr>
        <w:t>נטה לחשוב</w:t>
      </w:r>
      <w:r>
        <w:rPr>
          <w:rtl/>
        </w:rPr>
        <w:t xml:space="preserve"> שזו הייתה המוקדמת.</w:t>
      </w:r>
    </w:p>
    <w:p w14:paraId="53406C21" w14:textId="7EF207FE" w:rsidR="00AB3647" w:rsidRDefault="00000000" w:rsidP="007923E9">
      <w:pPr>
        <w:spacing w:before="120" w:after="100" w:line="276" w:lineRule="auto"/>
        <w:jc w:val="both"/>
      </w:pPr>
      <w:r>
        <w:rPr>
          <w:rtl/>
        </w:rPr>
        <w:t xml:space="preserve">בנו של ר׳ </w:t>
      </w:r>
      <w:proofErr w:type="spellStart"/>
      <w:r>
        <w:rPr>
          <w:rtl/>
        </w:rPr>
        <w:t>חצקל</w:t>
      </w:r>
      <w:proofErr w:type="spellEnd"/>
      <w:r>
        <w:rPr>
          <w:rtl/>
        </w:rPr>
        <w:t xml:space="preserve"> </w:t>
      </w:r>
      <w:proofErr w:type="spellStart"/>
      <w:r>
        <w:rPr>
          <w:rtl/>
        </w:rPr>
        <w:t>סרנא</w:t>
      </w:r>
      <w:proofErr w:type="spellEnd"/>
      <w:r>
        <w:rPr>
          <w:rtl/>
        </w:rPr>
        <w:t>, ר׳ חיים</w:t>
      </w:r>
      <w:bookmarkStart w:id="5959" w:name="_fnr4514"/>
      <w:r>
        <w:rPr>
          <w:rStyle w:val="a5"/>
        </w:rPr>
        <w:footnoteReference w:id="4525" w:customMarkFollows="0"/>
      </w:r>
      <w:bookmarkEnd w:id="5959"/>
      <w:r>
        <w:rPr>
          <w:rtl/>
        </w:rPr>
        <w:t xml:space="preserve">, סיפר ששמע מאביו שר׳ </w:t>
      </w:r>
      <w:proofErr w:type="spellStart"/>
      <w:r>
        <w:rPr>
          <w:rtl/>
        </w:rPr>
        <w:t>זלמן־סנדר</w:t>
      </w:r>
      <w:proofErr w:type="spellEnd"/>
      <w:r>
        <w:rPr>
          <w:rtl/>
        </w:rPr>
        <w:t xml:space="preserve"> נסע </w:t>
      </w:r>
      <w:proofErr w:type="spellStart"/>
      <w:r>
        <w:rPr>
          <w:rtl/>
        </w:rPr>
        <w:t>לבריסק</w:t>
      </w:r>
      <w:proofErr w:type="spellEnd"/>
      <w:r>
        <w:rPr>
          <w:rtl/>
        </w:rPr>
        <w:t xml:space="preserve"> להתייעץ עם </w:t>
      </w:r>
      <w:proofErr w:type="spellStart"/>
      <w:r>
        <w:rPr>
          <w:rtl/>
        </w:rPr>
        <w:t>חברותתו</w:t>
      </w:r>
      <w:proofErr w:type="spellEnd"/>
      <w:r>
        <w:rPr>
          <w:rtl/>
        </w:rPr>
        <w:t xml:space="preserve"> לשעבר, ר׳ חיים </w:t>
      </w:r>
      <w:proofErr w:type="spellStart"/>
      <w:r>
        <w:rPr>
          <w:rtl/>
        </w:rPr>
        <w:t>סולובייצ׳יק</w:t>
      </w:r>
      <w:proofErr w:type="spellEnd"/>
      <w:r>
        <w:rPr>
          <w:rtl/>
        </w:rPr>
        <w:t xml:space="preserve">, ונענה: “סגור את הישיבה ותלה עליה מנעול גדול”. מדבריו נראה שדווקא ישיבת </w:t>
      </w:r>
      <w:proofErr w:type="spellStart"/>
      <w:r>
        <w:rPr>
          <w:rtl/>
        </w:rPr>
        <w:t>מאלטש</w:t>
      </w:r>
      <w:proofErr w:type="spellEnd"/>
      <w:r>
        <w:rPr>
          <w:rtl/>
        </w:rPr>
        <w:t xml:space="preserve"> </w:t>
      </w:r>
      <w:r>
        <w:rPr>
          <w:b/>
          <w:bCs/>
          <w:rtl/>
        </w:rPr>
        <w:t>הראשונה</w:t>
      </w:r>
      <w:r>
        <w:rPr>
          <w:rtl/>
        </w:rPr>
        <w:t xml:space="preserve"> הייתה מקום של חילול שבת – כפי ששיער הרב </w:t>
      </w:r>
      <w:proofErr w:type="spellStart"/>
      <w:r>
        <w:rPr>
          <w:rtl/>
        </w:rPr>
        <w:t>פרבשטיין</w:t>
      </w:r>
      <w:bookmarkStart w:id="5960" w:name="_fnr4515"/>
      <w:proofErr w:type="spellEnd"/>
      <w:r>
        <w:rPr>
          <w:rStyle w:val="a5"/>
        </w:rPr>
        <w:footnoteReference w:id="4526" w:customMarkFollows="0"/>
      </w:r>
      <w:bookmarkEnd w:id="5960"/>
      <w:r>
        <w:rPr>
          <w:rtl/>
        </w:rPr>
        <w:t xml:space="preserve">. השווה גם הערה </w:t>
      </w:r>
      <w:r>
        <w:rPr>
          <w:rtl/>
        </w:rPr>
        <w:fldChar w:fldCharType="begin" w:dirty="true"/>
      </w:r>
      <w:r>
        <w:rPr>
          <w:rtl/>
        </w:rPr>
        <w:instrText xml:space="preserve"> REF b5_note24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24</w:t>
      </w:r>
      <w:r>
        <w:rPr>
          <w:rtl/>
        </w:rPr>
        <w:fldChar w:fldCharType="end"/>
      </w:r>
      <w:r>
        <w:rPr>
          <w:rtl/>
        </w:rPr>
        <w:t xml:space="preserve"> לעיל: ר׳ חיים הוא שיעץ </w:t>
      </w:r>
      <w:proofErr w:type="spellStart"/>
      <w:r>
        <w:rPr>
          <w:rtl/>
        </w:rPr>
        <w:t>לר</w:t>
      </w:r>
      <w:proofErr w:type="spellEnd"/>
      <w:r>
        <w:rPr>
          <w:rtl/>
        </w:rPr>
        <w:t xml:space="preserve">׳ </w:t>
      </w:r>
      <w:proofErr w:type="spellStart"/>
      <w:r>
        <w:rPr>
          <w:rtl/>
        </w:rPr>
        <w:t>זלמן־סנדר</w:t>
      </w:r>
      <w:proofErr w:type="spellEnd"/>
      <w:r>
        <w:rPr>
          <w:rtl/>
        </w:rPr>
        <w:t xml:space="preserve"> מלכתחילה לפתוח את הישיבה – עם בחורים </w:t>
      </w:r>
      <w:proofErr w:type="spellStart"/>
      <w:r>
        <w:rPr>
          <w:rtl/>
        </w:rPr>
        <w:t>מבריסק</w:t>
      </w:r>
      <w:proofErr w:type="spellEnd"/>
      <w:r>
        <w:rPr>
          <w:rtl/>
        </w:rPr>
        <w:t>, שכנראה עודד אותם להצטרף אליה.</w:t>
      </w:r>
    </w:p>
    <w:p w14:paraId="6981032E" w14:textId="77777777" w:rsidR="00AB3647" w:rsidRDefault="00000000" w:rsidP="007923E9">
      <w:pPr>
        <w:spacing w:before="120" w:after="100" w:line="276" w:lineRule="auto"/>
        <w:jc w:val="both"/>
      </w:pPr>
      <w:r>
        <w:rPr>
          <w:rtl/>
        </w:rPr>
        <w:t xml:space="preserve">השווה גם את המעשה המופלא </w:t>
      </w:r>
      <w:proofErr w:type="spellStart"/>
      <w:r>
        <w:rPr>
          <w:rtl/>
        </w:rPr>
        <w:t>ב“ארחות</w:t>
      </w:r>
      <w:proofErr w:type="spellEnd"/>
      <w:r>
        <w:rPr>
          <w:rtl/>
        </w:rPr>
        <w:t xml:space="preserve"> חסידיך”</w:t>
      </w:r>
      <w:bookmarkStart w:id="5961" w:name="_fnr4516"/>
      <w:r>
        <w:rPr>
          <w:rStyle w:val="a5"/>
        </w:rPr>
        <w:footnoteReference w:id="4527" w:customMarkFollows="0"/>
      </w:r>
      <w:bookmarkEnd w:id="5961"/>
      <w:r>
        <w:rPr>
          <w:rtl/>
        </w:rPr>
        <w:t xml:space="preserve">: כשהגיע ר׳ </w:t>
      </w:r>
      <w:proofErr w:type="spellStart"/>
      <w:r>
        <w:rPr>
          <w:rtl/>
        </w:rPr>
        <w:t>אלעזר־מנחם־מן</w:t>
      </w:r>
      <w:proofErr w:type="spellEnd"/>
      <w:r>
        <w:rPr>
          <w:rtl/>
        </w:rPr>
        <w:t xml:space="preserve"> שך לגיל שבו יכול היה למסור חבורות בישיבות שלמד בהן, היה מתאמץ מאוד – אף שעישן בעצמו – לשכנע בחורים שלא לעשן. הוא גילה לתלמידים המבוגרים [והאיתנים] שהוא חושש שאחדים מחבריו יסטו מדרך התורה, ורצה לצמצם את ריבוי חילול השבת שהעישון יביא עליהם לבסוף. על פעולות חתרניות נוספות, אף שלא פליליות, בישיבת </w:t>
      </w:r>
      <w:proofErr w:type="spellStart"/>
      <w:r>
        <w:rPr>
          <w:rtl/>
        </w:rPr>
        <w:t>מאלטש</w:t>
      </w:r>
      <w:proofErr w:type="spellEnd"/>
      <w:r>
        <w:rPr>
          <w:rtl/>
        </w:rPr>
        <w:t xml:space="preserve"> בסוף תקופת ר׳ </w:t>
      </w:r>
      <w:proofErr w:type="spellStart"/>
      <w:r>
        <w:rPr>
          <w:rtl/>
        </w:rPr>
        <w:t>זלמן־סנדר</w:t>
      </w:r>
      <w:proofErr w:type="spellEnd"/>
      <w:r>
        <w:rPr>
          <w:rtl/>
        </w:rPr>
        <w:t>, ראה “ספר היובל”</w:t>
      </w:r>
      <w:bookmarkStart w:id="5962" w:name="_fnr4517"/>
      <w:r>
        <w:rPr>
          <w:rStyle w:val="a5"/>
        </w:rPr>
        <w:footnoteReference w:id="4528" w:customMarkFollows="0"/>
      </w:r>
      <w:bookmarkEnd w:id="5962"/>
      <w:r>
        <w:rPr>
          <w:rtl/>
        </w:rPr>
        <w:t>. השווה גם שם</w:t>
      </w:r>
      <w:bookmarkStart w:id="5963" w:name="_fnr4518"/>
      <w:r>
        <w:rPr>
          <w:rStyle w:val="a5"/>
        </w:rPr>
        <w:footnoteReference w:id="4529" w:customMarkFollows="0"/>
      </w:r>
      <w:bookmarkEnd w:id="5963"/>
      <w:r>
        <w:rPr>
          <w:rtl/>
        </w:rPr>
        <w:t xml:space="preserve"> על התנהגות אחרת, אולי גרועה יותר, בקרב צעירי העיירה בסוף שהותו של ר׳ שמעון – התנהגות שסחפה גם תלמידים משולי הישיבה. ר׳ </w:t>
      </w:r>
      <w:proofErr w:type="spellStart"/>
      <w:r>
        <w:rPr>
          <w:rtl/>
        </w:rPr>
        <w:t>זלמן־סנדר</w:t>
      </w:r>
      <w:proofErr w:type="spellEnd"/>
      <w:r>
        <w:rPr>
          <w:rtl/>
        </w:rPr>
        <w:t xml:space="preserve"> עזב את </w:t>
      </w:r>
      <w:proofErr w:type="spellStart"/>
      <w:r>
        <w:rPr>
          <w:rtl/>
        </w:rPr>
        <w:t>מאלטש</w:t>
      </w:r>
      <w:proofErr w:type="spellEnd"/>
      <w:r>
        <w:rPr>
          <w:rtl/>
        </w:rPr>
        <w:t xml:space="preserve"> </w:t>
      </w:r>
      <w:proofErr w:type="spellStart"/>
      <w:r>
        <w:rPr>
          <w:rtl/>
        </w:rPr>
        <w:t>לקרינק</w:t>
      </w:r>
      <w:proofErr w:type="spellEnd"/>
      <w:r>
        <w:rPr>
          <w:rtl/>
        </w:rPr>
        <w:t xml:space="preserve"> </w:t>
      </w:r>
      <w:proofErr w:type="spellStart"/>
      <w:r>
        <w:rPr>
          <w:rtl/>
        </w:rPr>
        <w:t>ב“סוף</w:t>
      </w:r>
      <w:proofErr w:type="spellEnd"/>
      <w:r>
        <w:rPr>
          <w:rtl/>
        </w:rPr>
        <w:t xml:space="preserve"> חורף תרס״ג”</w:t>
      </w:r>
      <w:bookmarkStart w:id="5964" w:name="_fnr4519"/>
      <w:r>
        <w:rPr>
          <w:rStyle w:val="a5"/>
        </w:rPr>
        <w:footnoteReference w:id="4530" w:customMarkFollows="0"/>
      </w:r>
      <w:bookmarkEnd w:id="5964"/>
      <w:r>
        <w:rPr>
          <w:rtl/>
        </w:rPr>
        <w:t>.</w:t>
      </w:r>
    </w:p>
    <w:bookmarkStart w:id="5965" w:name="b5_note29"/>
    <w:p w14:paraId="1563E9B5" w14:textId="77777777" w:rsidR="00AB3647" w:rsidRDefault="00000000" w:rsidP="007923E9">
      <w:pPr>
        <w:spacing w:before="120" w:after="100" w:line="276" w:lineRule="auto"/>
        <w:jc w:val="both"/>
      </w:pPr>
      <w:r>
        <w:fldChar w:fldCharType="begin" w:dirty="true"/>
      </w:r>
      <w:r>
        <w:instrText>HYPERLINK \l "b5_ref29"</w:instrText>
      </w:r>
      <w:r>
        <w:fldChar w:fldCharType="separate"/>
      </w:r>
      <w:r>
        <w:rPr>
          <w:b/>
          <w:bCs/>
          <w:rtl/>
        </w:rPr>
        <w:t>29</w:t>
      </w:r>
      <w:r>
        <w:rPr>
          <w:b/>
          <w:bCs/>
        </w:rPr>
        <w:fldChar w:fldCharType="end"/>
      </w:r>
      <w:bookmarkEnd w:id="5965"/>
      <w:r>
        <w:rPr>
          <w:rtl/>
        </w:rPr>
        <w:t xml:space="preserve"> “ספר היובל”</w:t>
      </w:r>
      <w:bookmarkStart w:id="5966" w:name="_fnr4520"/>
      <w:r>
        <w:rPr>
          <w:rStyle w:val="a5"/>
        </w:rPr>
        <w:footnoteReference w:id="4531" w:customMarkFollows="0"/>
      </w:r>
      <w:bookmarkEnd w:id="5966"/>
      <w:r>
        <w:rPr>
          <w:rtl/>
        </w:rPr>
        <w:t>.</w:t>
      </w:r>
    </w:p>
    <w:bookmarkStart w:id="5967" w:name="b5_note30"/>
    <w:p w14:paraId="3509911B" w14:textId="26299329" w:rsidR="00AB3647" w:rsidRDefault="00000000" w:rsidP="007923E9">
      <w:pPr>
        <w:spacing w:before="120" w:after="100" w:line="276" w:lineRule="auto"/>
        <w:jc w:val="both"/>
      </w:pPr>
      <w:r>
        <w:fldChar w:fldCharType="begin" w:dirty="true"/>
      </w:r>
      <w:r>
        <w:instrText>HYPERLINK \l "b5_ref30"</w:instrText>
      </w:r>
      <w:r>
        <w:fldChar w:fldCharType="separate"/>
      </w:r>
      <w:r>
        <w:rPr>
          <w:b/>
          <w:bCs/>
          <w:rtl/>
        </w:rPr>
        <w:t>30</w:t>
      </w:r>
      <w:r>
        <w:rPr>
          <w:b/>
          <w:bCs/>
        </w:rPr>
        <w:fldChar w:fldCharType="end"/>
      </w:r>
      <w:bookmarkEnd w:id="5967"/>
      <w:r>
        <w:rPr>
          <w:rtl/>
        </w:rPr>
        <w:t xml:space="preserve"> כץ, “תנועת המוסר”, כרך ג</w:t>
      </w:r>
      <w:bookmarkStart w:id="5968" w:name="_fnr4521"/>
      <w:r>
        <w:rPr>
          <w:rStyle w:val="a5"/>
        </w:rPr>
        <w:footnoteReference w:id="4532" w:customMarkFollows="0"/>
      </w:r>
      <w:bookmarkEnd w:id="5968"/>
      <w:r>
        <w:rPr>
          <w:rtl/>
        </w:rPr>
        <w:t xml:space="preserve">, מונה את </w:t>
      </w:r>
      <w:proofErr w:type="spellStart"/>
      <w:r>
        <w:rPr>
          <w:rtl/>
        </w:rPr>
        <w:t>בריינסק</w:t>
      </w:r>
      <w:proofErr w:type="spellEnd"/>
      <w:r>
        <w:rPr>
          <w:rtl/>
        </w:rPr>
        <w:t xml:space="preserve"> בין הישיבות שהסבא סייע לייסד – כמובא בפרק 3, סוף </w:t>
      </w:r>
      <w:r>
        <w:rPr>
          <w:rtl/>
        </w:rPr>
        <w:fldChar w:fldCharType="begin" w:dirty="true"/>
      </w:r>
      <w:r>
        <w:rPr>
          <w:rtl/>
        </w:rPr>
        <w:instrText xml:space="preserve"> REF b3_excQ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יז</w:t>
      </w:r>
      <w:proofErr w:type="spellEnd"/>
      <w:r>
        <w:rPr>
          <w:rtl/>
        </w:rPr>
        <w:fldChar w:fldCharType="end"/>
      </w:r>
      <w:r>
        <w:rPr>
          <w:rtl/>
        </w:rPr>
        <w:t xml:space="preserve">. השווה גם שם: כשעזב ר׳ </w:t>
      </w:r>
      <w:proofErr w:type="spellStart"/>
      <w:r>
        <w:rPr>
          <w:rtl/>
        </w:rPr>
        <w:t>זלמן־סנדר</w:t>
      </w:r>
      <w:proofErr w:type="spellEnd"/>
      <w:r>
        <w:rPr>
          <w:rtl/>
        </w:rPr>
        <w:t xml:space="preserve"> את </w:t>
      </w:r>
      <w:proofErr w:type="spellStart"/>
      <w:r>
        <w:rPr>
          <w:rtl/>
        </w:rPr>
        <w:t>מאלטש</w:t>
      </w:r>
      <w:proofErr w:type="spellEnd"/>
      <w:r>
        <w:rPr>
          <w:rtl/>
        </w:rPr>
        <w:t xml:space="preserve"> ובא אליה ר׳ שמעון עם קבוצת תלמידים </w:t>
      </w:r>
      <w:proofErr w:type="spellStart"/>
      <w:r>
        <w:rPr>
          <w:rtl/>
        </w:rPr>
        <w:t>מטלז</w:t>
      </w:r>
      <w:proofErr w:type="spellEnd"/>
      <w:r>
        <w:rPr>
          <w:rtl/>
        </w:rPr>
        <w:t xml:space="preserve">, סייע לו הסבא “כעבור </w:t>
      </w:r>
      <w:proofErr w:type="spellStart"/>
      <w:r>
        <w:rPr>
          <w:rtl/>
        </w:rPr>
        <w:t>זמן־מה</w:t>
      </w:r>
      <w:proofErr w:type="spellEnd"/>
      <w:r>
        <w:rPr>
          <w:rtl/>
        </w:rPr>
        <w:t xml:space="preserve">” בשני משגיחים </w:t>
      </w:r>
      <w:proofErr w:type="spellStart"/>
      <w:r>
        <w:rPr>
          <w:rtl/>
        </w:rPr>
        <w:t>מסלבודקה</w:t>
      </w:r>
      <w:proofErr w:type="spellEnd"/>
      <w:r>
        <w:rPr>
          <w:rtl/>
        </w:rPr>
        <w:t xml:space="preserve">: ר׳ אנשל </w:t>
      </w:r>
      <w:proofErr w:type="spellStart"/>
      <w:r>
        <w:rPr>
          <w:rtl/>
        </w:rPr>
        <w:t>אטינגן</w:t>
      </w:r>
      <w:proofErr w:type="spellEnd"/>
      <w:r>
        <w:rPr>
          <w:rtl/>
        </w:rPr>
        <w:t>, ואחריו ר׳ נח פלאי. “ספר היובל”</w:t>
      </w:r>
      <w:bookmarkStart w:id="5969" w:name="_fnr4522"/>
      <w:r>
        <w:rPr>
          <w:rStyle w:val="a5"/>
        </w:rPr>
        <w:footnoteReference w:id="4533" w:customMarkFollows="0"/>
      </w:r>
      <w:bookmarkEnd w:id="5969"/>
      <w:r>
        <w:rPr>
          <w:rtl/>
        </w:rPr>
        <w:t xml:space="preserve"> מפרט שהמשגיח הראשון בא שנתיים אחרי ייסוד הישיבה (מחדש), והשני – כשעזב הראשון, שנה אחר כך. “ספר היובל” מגלה גם שהמשגיח השני משך תלמידים צעירים רבים, </w:t>
      </w:r>
      <w:proofErr w:type="spellStart"/>
      <w:r>
        <w:rPr>
          <w:rtl/>
        </w:rPr>
        <w:t>ו“מאלטש</w:t>
      </w:r>
      <w:proofErr w:type="spellEnd"/>
      <w:r>
        <w:rPr>
          <w:rtl/>
        </w:rPr>
        <w:t xml:space="preserve"> הייתה לכמה מהם מעין ישיבת מעבר, שממנה המשיכו </w:t>
      </w:r>
      <w:proofErr w:type="spellStart"/>
      <w:r>
        <w:rPr>
          <w:rtl/>
        </w:rPr>
        <w:t>לסלבודקה</w:t>
      </w:r>
      <w:proofErr w:type="spellEnd"/>
      <w:r>
        <w:rPr>
          <w:rtl/>
        </w:rPr>
        <w:t>”.</w:t>
      </w:r>
    </w:p>
    <w:p w14:paraId="4B10962B" w14:textId="77777777" w:rsidR="00AB3647" w:rsidRDefault="00000000" w:rsidP="007923E9">
      <w:pPr>
        <w:spacing w:before="120" w:after="100" w:line="276" w:lineRule="auto"/>
        <w:jc w:val="both"/>
      </w:pPr>
      <w:r>
        <w:rPr>
          <w:rtl/>
        </w:rPr>
        <w:lastRenderedPageBreak/>
        <w:t>לפי “ספר היובל”</w:t>
      </w:r>
      <w:bookmarkStart w:id="5970" w:name="_fnr4523"/>
      <w:r>
        <w:rPr>
          <w:rStyle w:val="a5"/>
        </w:rPr>
        <w:footnoteReference w:id="4534" w:customMarkFollows="0"/>
      </w:r>
      <w:bookmarkEnd w:id="5970"/>
      <w:r>
        <w:rPr>
          <w:rtl/>
        </w:rPr>
        <w:t xml:space="preserve">, כאשר סגר ר׳ </w:t>
      </w:r>
      <w:proofErr w:type="spellStart"/>
      <w:r>
        <w:rPr>
          <w:rtl/>
        </w:rPr>
        <w:t>זלמן־סנדר</w:t>
      </w:r>
      <w:proofErr w:type="spellEnd"/>
      <w:r>
        <w:rPr>
          <w:rtl/>
        </w:rPr>
        <w:t xml:space="preserve"> את ישיבתו ויצא </w:t>
      </w:r>
      <w:proofErr w:type="spellStart"/>
      <w:r>
        <w:rPr>
          <w:rtl/>
        </w:rPr>
        <w:t>לקרינק</w:t>
      </w:r>
      <w:proofErr w:type="spellEnd"/>
      <w:r>
        <w:rPr>
          <w:rtl/>
        </w:rPr>
        <w:t xml:space="preserve">, “תלמידים רבים לא רצו להתפזר בישיבות שונות, ונשארו יחד בעיר </w:t>
      </w:r>
      <w:proofErr w:type="spellStart"/>
      <w:r>
        <w:rPr>
          <w:rtl/>
        </w:rPr>
        <w:t>מאלטש</w:t>
      </w:r>
      <w:proofErr w:type="spellEnd"/>
      <w:r>
        <w:rPr>
          <w:rtl/>
        </w:rPr>
        <w:t xml:space="preserve"> בתקווה, שנתמלאה אחר כך, שתוקם שם מחדש ישיבה ראויה”. מחבר המאמר, הרב </w:t>
      </w:r>
      <w:proofErr w:type="spellStart"/>
      <w:r>
        <w:rPr>
          <w:rtl/>
        </w:rPr>
        <w:t>אונטרמן</w:t>
      </w:r>
      <w:proofErr w:type="spellEnd"/>
      <w:r>
        <w:rPr>
          <w:rtl/>
        </w:rPr>
        <w:t xml:space="preserve">, היה אחד מהם. ישיבת ר׳ שמעון </w:t>
      </w:r>
      <w:proofErr w:type="spellStart"/>
      <w:r>
        <w:rPr>
          <w:rtl/>
        </w:rPr>
        <w:t>שקופ</w:t>
      </w:r>
      <w:proofErr w:type="spellEnd"/>
      <w:r>
        <w:rPr>
          <w:rtl/>
        </w:rPr>
        <w:t xml:space="preserve"> הורכבה אפוא משתי קבוצות – תלמידיו </w:t>
      </w:r>
      <w:proofErr w:type="spellStart"/>
      <w:r>
        <w:rPr>
          <w:rtl/>
        </w:rPr>
        <w:t>מטלז</w:t>
      </w:r>
      <w:proofErr w:type="spellEnd"/>
      <w:r>
        <w:rPr>
          <w:rtl/>
        </w:rPr>
        <w:t xml:space="preserve"> ושרידי ישיבת </w:t>
      </w:r>
      <w:proofErr w:type="spellStart"/>
      <w:r>
        <w:rPr>
          <w:rtl/>
        </w:rPr>
        <w:t>מאלטש</w:t>
      </w:r>
      <w:proofErr w:type="spellEnd"/>
      <w:r>
        <w:rPr>
          <w:rtl/>
        </w:rPr>
        <w:t xml:space="preserve"> הקודמת – ואחר כך נוסף לה כוח שלישי: משגיחי </w:t>
      </w:r>
      <w:proofErr w:type="spellStart"/>
      <w:r>
        <w:rPr>
          <w:rtl/>
        </w:rPr>
        <w:t>סלבודקה</w:t>
      </w:r>
      <w:proofErr w:type="spellEnd"/>
      <w:r>
        <w:rPr>
          <w:rtl/>
        </w:rPr>
        <w:t xml:space="preserve"> ששלח הסבא.</w:t>
      </w:r>
    </w:p>
    <w:p w14:paraId="565DD5E6" w14:textId="77777777" w:rsidR="00AB3647" w:rsidRDefault="00000000" w:rsidP="007923E9">
      <w:pPr>
        <w:spacing w:before="120" w:after="100" w:line="276" w:lineRule="auto"/>
        <w:jc w:val="both"/>
      </w:pPr>
      <w:r>
        <w:rPr>
          <w:rtl/>
        </w:rPr>
        <w:t xml:space="preserve">יוצא, באופן מעניין, שהסבא היה מעורב תחילה בחיזוק ישיבת </w:t>
      </w:r>
      <w:proofErr w:type="spellStart"/>
      <w:r>
        <w:rPr>
          <w:rtl/>
        </w:rPr>
        <w:t>מאלטש</w:t>
      </w:r>
      <w:proofErr w:type="spellEnd"/>
      <w:r>
        <w:rPr>
          <w:rtl/>
        </w:rPr>
        <w:t xml:space="preserve"> (השנייה), אחר כך במתן ישיבה אחרת לרבה, ר׳ שמעון </w:t>
      </w:r>
      <w:proofErr w:type="spellStart"/>
      <w:r>
        <w:rPr>
          <w:rtl/>
        </w:rPr>
        <w:t>שקופ</w:t>
      </w:r>
      <w:proofErr w:type="spellEnd"/>
      <w:r>
        <w:rPr>
          <w:rtl/>
        </w:rPr>
        <w:t xml:space="preserve">, כשעזב את </w:t>
      </w:r>
      <w:proofErr w:type="spellStart"/>
      <w:r>
        <w:rPr>
          <w:rtl/>
        </w:rPr>
        <w:t>מאלטש</w:t>
      </w:r>
      <w:proofErr w:type="spellEnd"/>
      <w:r>
        <w:rPr>
          <w:rtl/>
        </w:rPr>
        <w:t xml:space="preserve"> </w:t>
      </w:r>
      <w:proofErr w:type="spellStart"/>
      <w:r>
        <w:rPr>
          <w:rtl/>
        </w:rPr>
        <w:t>לבריינסק</w:t>
      </w:r>
      <w:proofErr w:type="spellEnd"/>
      <w:r>
        <w:rPr>
          <w:rtl/>
        </w:rPr>
        <w:t xml:space="preserve">, ולבסוף בהקמת ישיבת </w:t>
      </w:r>
      <w:proofErr w:type="spellStart"/>
      <w:r>
        <w:rPr>
          <w:rtl/>
        </w:rPr>
        <w:t>מאלטש</w:t>
      </w:r>
      <w:proofErr w:type="spellEnd"/>
      <w:r>
        <w:rPr>
          <w:rtl/>
        </w:rPr>
        <w:t xml:space="preserve"> חלופית (שלישית), תחת הרב החדש, ר׳ </w:t>
      </w:r>
      <w:proofErr w:type="spellStart"/>
      <w:r>
        <w:rPr>
          <w:rtl/>
        </w:rPr>
        <w:t>דוד־טעביל</w:t>
      </w:r>
      <w:proofErr w:type="spellEnd"/>
      <w:r>
        <w:rPr>
          <w:rtl/>
        </w:rPr>
        <w:t xml:space="preserve"> </w:t>
      </w:r>
      <w:proofErr w:type="spellStart"/>
      <w:r>
        <w:rPr>
          <w:rtl/>
        </w:rPr>
        <w:t>דינובסקי</w:t>
      </w:r>
      <w:proofErr w:type="spellEnd"/>
      <w:r>
        <w:rPr>
          <w:rtl/>
        </w:rPr>
        <w:t>.</w:t>
      </w:r>
    </w:p>
    <w:bookmarkStart w:id="5971" w:name="b5_note31"/>
    <w:p w14:paraId="68E3B012" w14:textId="77777777" w:rsidR="00AB3647" w:rsidRDefault="00000000" w:rsidP="007923E9">
      <w:pPr>
        <w:spacing w:before="120" w:after="100" w:line="276" w:lineRule="auto"/>
        <w:jc w:val="both"/>
      </w:pPr>
      <w:r>
        <w:fldChar w:fldCharType="begin" w:dirty="true"/>
      </w:r>
      <w:r>
        <w:instrText>HYPERLINK \l "b5_ref31"</w:instrText>
      </w:r>
      <w:r>
        <w:fldChar w:fldCharType="separate"/>
      </w:r>
      <w:r>
        <w:rPr>
          <w:b/>
          <w:bCs/>
          <w:rtl/>
        </w:rPr>
        <w:t>31</w:t>
      </w:r>
      <w:r>
        <w:rPr>
          <w:b/>
          <w:bCs/>
        </w:rPr>
        <w:fldChar w:fldCharType="end"/>
      </w:r>
      <w:bookmarkEnd w:id="5971"/>
      <w:r>
        <w:rPr>
          <w:rtl/>
        </w:rPr>
        <w:t xml:space="preserve"> ריאיון עם נכדתו ובעלה, תמר ור׳ יהודה </w:t>
      </w:r>
      <w:proofErr w:type="spellStart"/>
      <w:r>
        <w:rPr>
          <w:rtl/>
        </w:rPr>
        <w:t>קיל</w:t>
      </w:r>
      <w:bookmarkStart w:id="5972" w:name="_fnr4524"/>
      <w:proofErr w:type="spellEnd"/>
      <w:r>
        <w:rPr>
          <w:rStyle w:val="a5"/>
        </w:rPr>
        <w:footnoteReference w:id="4535" w:customMarkFollows="0"/>
      </w:r>
      <w:bookmarkEnd w:id="5972"/>
      <w:r>
        <w:rPr>
          <w:rtl/>
        </w:rPr>
        <w:t>; והשווה כץ, “תנועת המוסר”, כרך ג</w:t>
      </w:r>
      <w:bookmarkStart w:id="5973" w:name="_fnr4525"/>
      <w:r>
        <w:rPr>
          <w:rStyle w:val="a5"/>
        </w:rPr>
        <w:footnoteReference w:id="4536" w:customMarkFollows="0"/>
      </w:r>
      <w:bookmarkEnd w:id="5973"/>
      <w:r>
        <w:rPr>
          <w:rtl/>
        </w:rPr>
        <w:t xml:space="preserve">. ר׳ </w:t>
      </w:r>
      <w:proofErr w:type="spellStart"/>
      <w:r>
        <w:rPr>
          <w:rtl/>
        </w:rPr>
        <w:t>דוד־טעביל</w:t>
      </w:r>
      <w:proofErr w:type="spellEnd"/>
      <w:r>
        <w:rPr>
          <w:rtl/>
        </w:rPr>
        <w:t xml:space="preserve"> </w:t>
      </w:r>
      <w:proofErr w:type="spellStart"/>
      <w:r>
        <w:rPr>
          <w:rtl/>
        </w:rPr>
        <w:t>דינובסקי</w:t>
      </w:r>
      <w:proofErr w:type="spellEnd"/>
      <w:r>
        <w:rPr>
          <w:rtl/>
        </w:rPr>
        <w:t xml:space="preserve"> נולד </w:t>
      </w:r>
      <w:proofErr w:type="spellStart"/>
      <w:r>
        <w:rPr>
          <w:rtl/>
        </w:rPr>
        <w:t>בתרכ״ה</w:t>
      </w:r>
      <w:proofErr w:type="spellEnd"/>
      <w:r>
        <w:rPr>
          <w:rtl/>
        </w:rPr>
        <w:t xml:space="preserve">, ונפטר תחת הכיבוש הנאצי בפולין, </w:t>
      </w:r>
      <w:proofErr w:type="spellStart"/>
      <w:r>
        <w:rPr>
          <w:rtl/>
        </w:rPr>
        <w:t>בת״ש</w:t>
      </w:r>
      <w:proofErr w:type="spellEnd"/>
      <w:r>
        <w:rPr>
          <w:rtl/>
        </w:rPr>
        <w:t xml:space="preserve"> או </w:t>
      </w:r>
      <w:proofErr w:type="spellStart"/>
      <w:r>
        <w:rPr>
          <w:rtl/>
        </w:rPr>
        <w:t>בתש״א</w:t>
      </w:r>
      <w:proofErr w:type="spellEnd"/>
      <w:r>
        <w:rPr>
          <w:rtl/>
        </w:rPr>
        <w:t xml:space="preserve">, בעיר שבה כיהן, </w:t>
      </w:r>
      <w:proofErr w:type="spellStart"/>
      <w:r>
        <w:rPr>
          <w:rtl/>
        </w:rPr>
        <w:t>פיונטניצה</w:t>
      </w:r>
      <w:proofErr w:type="spellEnd"/>
      <w:r>
        <w:rPr>
          <w:rtl/>
        </w:rPr>
        <w:t>. בני העיירה הצליחו להביאו לקבר ישראל בחצר האחורית של ביתו.</w:t>
      </w:r>
    </w:p>
    <w:bookmarkStart w:id="5974" w:name="b5_note32"/>
    <w:p w14:paraId="01E68260" w14:textId="05EBCE7B" w:rsidR="00AB3647" w:rsidRDefault="00000000" w:rsidP="007923E9">
      <w:pPr>
        <w:spacing w:before="120" w:after="100" w:line="276" w:lineRule="auto"/>
        <w:jc w:val="both"/>
      </w:pPr>
      <w:r>
        <w:fldChar w:fldCharType="begin" w:dirty="true"/>
      </w:r>
      <w:r>
        <w:instrText>HYPERLINK \l "b5_ref32"</w:instrText>
      </w:r>
      <w:r>
        <w:fldChar w:fldCharType="separate"/>
      </w:r>
      <w:r>
        <w:rPr>
          <w:b/>
          <w:bCs/>
          <w:rtl/>
        </w:rPr>
        <w:t>32</w:t>
      </w:r>
      <w:r>
        <w:rPr>
          <w:b/>
          <w:bCs/>
        </w:rPr>
        <w:fldChar w:fldCharType="end"/>
      </w:r>
      <w:bookmarkEnd w:id="5974"/>
      <w:r>
        <w:rPr>
          <w:rtl/>
        </w:rPr>
        <w:t xml:space="preserve"> השווה פרק 3, </w:t>
      </w:r>
      <w:r>
        <w:rPr>
          <w:rtl/>
        </w:rPr>
        <w:fldChar w:fldCharType="begin" w:dirty="true"/>
      </w:r>
      <w:r>
        <w:rPr>
          <w:rtl/>
        </w:rPr>
        <w:instrText xml:space="preserve"> REF b3_excB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 xml:space="preserve">. מדברי ר׳ </w:t>
      </w:r>
      <w:proofErr w:type="spellStart"/>
      <w:r>
        <w:rPr>
          <w:rtl/>
        </w:rPr>
        <w:t>חצקל</w:t>
      </w:r>
      <w:proofErr w:type="spellEnd"/>
      <w:r>
        <w:rPr>
          <w:rtl/>
        </w:rPr>
        <w:t xml:space="preserve"> </w:t>
      </w:r>
      <w:proofErr w:type="spellStart"/>
      <w:r>
        <w:rPr>
          <w:rtl/>
        </w:rPr>
        <w:t>לוינשטיין</w:t>
      </w:r>
      <w:proofErr w:type="spellEnd"/>
      <w:r>
        <w:rPr>
          <w:rtl/>
        </w:rPr>
        <w:t xml:space="preserve"> המובאים בהערה </w:t>
      </w:r>
      <w:r>
        <w:rPr>
          <w:rtl/>
        </w:rPr>
        <w:fldChar w:fldCharType="begin" w:dirty="true"/>
      </w:r>
      <w:r>
        <w:rPr>
          <w:rtl/>
        </w:rPr>
        <w:instrText xml:space="preserve"> REF b5_note26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26</w:t>
      </w:r>
      <w:r>
        <w:rPr>
          <w:rtl/>
        </w:rPr>
        <w:fldChar w:fldCharType="end"/>
      </w:r>
      <w:r>
        <w:rPr>
          <w:rtl/>
        </w:rPr>
        <w:t xml:space="preserve"> לעיל עולה שהרב </w:t>
      </w:r>
      <w:proofErr w:type="spellStart"/>
      <w:r>
        <w:rPr>
          <w:rtl/>
        </w:rPr>
        <w:t>דינובסקי</w:t>
      </w:r>
      <w:proofErr w:type="spellEnd"/>
      <w:r>
        <w:rPr>
          <w:rtl/>
        </w:rPr>
        <w:t xml:space="preserve"> הושפע מר׳ ישראל </w:t>
      </w:r>
      <w:proofErr w:type="spellStart"/>
      <w:r>
        <w:rPr>
          <w:rtl/>
        </w:rPr>
        <w:t>סלנטר</w:t>
      </w:r>
      <w:proofErr w:type="spellEnd"/>
      <w:r>
        <w:rPr>
          <w:rtl/>
        </w:rPr>
        <w:t xml:space="preserve"> גם במישרין. אבל ר׳ </w:t>
      </w:r>
      <w:proofErr w:type="spellStart"/>
      <w:r>
        <w:rPr>
          <w:rtl/>
        </w:rPr>
        <w:t>דוד־טעביל</w:t>
      </w:r>
      <w:proofErr w:type="spellEnd"/>
      <w:r>
        <w:rPr>
          <w:rtl/>
        </w:rPr>
        <w:t xml:space="preserve"> היה בן </w:t>
      </w:r>
      <w:proofErr w:type="spellStart"/>
      <w:r>
        <w:rPr>
          <w:rtl/>
        </w:rPr>
        <w:t>שמונה־עשרה</w:t>
      </w:r>
      <w:proofErr w:type="spellEnd"/>
      <w:r>
        <w:rPr>
          <w:rtl/>
        </w:rPr>
        <w:t xml:space="preserve"> בלבד כשנפטר ר׳ ישראל, ואם למד אצלו, ודאי היה זה בגיל </w:t>
      </w:r>
      <w:proofErr w:type="spellStart"/>
      <w:r>
        <w:rPr>
          <w:rtl/>
        </w:rPr>
        <w:t>שבע־עשרה</w:t>
      </w:r>
      <w:proofErr w:type="spellEnd"/>
      <w:r>
        <w:rPr>
          <w:rtl/>
        </w:rPr>
        <w:t>, בקיץ תרמ״ב</w:t>
      </w:r>
      <w:bookmarkStart w:id="5975" w:name="_fnr4526"/>
      <w:r>
        <w:rPr>
          <w:rStyle w:val="a5"/>
        </w:rPr>
        <w:footnoteReference w:id="4537" w:customMarkFollows="0"/>
      </w:r>
      <w:bookmarkEnd w:id="5975"/>
      <w:r>
        <w:rPr>
          <w:rtl/>
        </w:rPr>
        <w:t xml:space="preserve"> – באותה תקופה שבה נפגש הסבא </w:t>
      </w:r>
      <w:proofErr w:type="spellStart"/>
      <w:r>
        <w:rPr>
          <w:rtl/>
        </w:rPr>
        <w:t>מסלבודקה</w:t>
      </w:r>
      <w:proofErr w:type="spellEnd"/>
      <w:r>
        <w:rPr>
          <w:rtl/>
        </w:rPr>
        <w:t xml:space="preserve"> עם ר׳ ישראל, כמבואר בפרק 3, סוף </w:t>
      </w:r>
      <w:r>
        <w:rPr>
          <w:rtl/>
        </w:rPr>
        <w:fldChar w:fldCharType="begin" w:dirty="true"/>
      </w:r>
      <w:r>
        <w:rPr>
          <w:rtl/>
        </w:rPr>
        <w:instrText xml:space="preserve"> REF b3_excD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ד</w:t>
      </w:r>
      <w:r>
        <w:rPr>
          <w:rtl/>
        </w:rPr>
        <w:fldChar w:fldCharType="end"/>
      </w:r>
      <w:r>
        <w:rPr>
          <w:rtl/>
        </w:rPr>
        <w:t>.</w:t>
      </w:r>
    </w:p>
    <w:bookmarkStart w:id="5976" w:name="b5_note33"/>
    <w:p w14:paraId="03245C91" w14:textId="425CF157" w:rsidR="00AB3647" w:rsidRDefault="00000000" w:rsidP="007923E9">
      <w:pPr>
        <w:spacing w:before="120" w:after="100" w:line="276" w:lineRule="auto"/>
        <w:jc w:val="both"/>
      </w:pPr>
      <w:r>
        <w:fldChar w:fldCharType="begin" w:dirty="true"/>
      </w:r>
      <w:r>
        <w:instrText>HYPERLINK \l "b5_ref33"</w:instrText>
      </w:r>
      <w:r>
        <w:fldChar w:fldCharType="separate"/>
      </w:r>
      <w:r>
        <w:rPr>
          <w:b/>
          <w:bCs/>
          <w:rtl/>
        </w:rPr>
        <w:t>33</w:t>
      </w:r>
      <w:r>
        <w:rPr>
          <w:b/>
          <w:bCs/>
        </w:rPr>
        <w:fldChar w:fldCharType="end"/>
      </w:r>
      <w:bookmarkEnd w:id="5976"/>
      <w:r>
        <w:rPr>
          <w:rtl/>
        </w:rPr>
        <w:t xml:space="preserve"> אם נניח, כמשוער בהערה הקודמת, שר׳ </w:t>
      </w:r>
      <w:proofErr w:type="spellStart"/>
      <w:r>
        <w:rPr>
          <w:rtl/>
        </w:rPr>
        <w:t>דוד־טעביל</w:t>
      </w:r>
      <w:proofErr w:type="spellEnd"/>
      <w:r>
        <w:rPr>
          <w:rtl/>
        </w:rPr>
        <w:t xml:space="preserve"> שהה </w:t>
      </w:r>
      <w:proofErr w:type="spellStart"/>
      <w:r>
        <w:rPr>
          <w:rtl/>
        </w:rPr>
        <w:t>בצלו</w:t>
      </w:r>
      <w:proofErr w:type="spellEnd"/>
      <w:r>
        <w:rPr>
          <w:rtl/>
        </w:rPr>
        <w:t xml:space="preserve"> של ר׳ ישראל </w:t>
      </w:r>
      <w:proofErr w:type="spellStart"/>
      <w:r>
        <w:rPr>
          <w:rtl/>
        </w:rPr>
        <w:t>סלנטר</w:t>
      </w:r>
      <w:proofErr w:type="spellEnd"/>
      <w:r>
        <w:rPr>
          <w:rtl/>
        </w:rPr>
        <w:t xml:space="preserve"> עשרים וחמש שנה קודם לכן, ייתכן שפגש את הסבא </w:t>
      </w:r>
      <w:proofErr w:type="spellStart"/>
      <w:r>
        <w:rPr>
          <w:rtl/>
        </w:rPr>
        <w:t>מסלבודקה</w:t>
      </w:r>
      <w:proofErr w:type="spellEnd"/>
      <w:r>
        <w:rPr>
          <w:rtl/>
        </w:rPr>
        <w:t xml:space="preserve">, המבוגר ממנו </w:t>
      </w:r>
      <w:proofErr w:type="spellStart"/>
      <w:r>
        <w:rPr>
          <w:rtl/>
        </w:rPr>
        <w:t>בשש־עשרה</w:t>
      </w:r>
      <w:proofErr w:type="spellEnd"/>
      <w:r>
        <w:rPr>
          <w:rtl/>
        </w:rPr>
        <w:t xml:space="preserve"> שנה, בשעה שהסבא שאל את ר׳ ישראל אילו מטרות להציב לישיבתו החדשה </w:t>
      </w:r>
      <w:proofErr w:type="spellStart"/>
      <w:r>
        <w:rPr>
          <w:rtl/>
        </w:rPr>
        <w:t>בסלבודקה</w:t>
      </w:r>
      <w:proofErr w:type="spellEnd"/>
      <w:r>
        <w:rPr>
          <w:rtl/>
        </w:rPr>
        <w:t xml:space="preserve"> – השווה פרק 3, סוף </w:t>
      </w:r>
      <w:r>
        <w:rPr>
          <w:rtl/>
        </w:rPr>
        <w:fldChar w:fldCharType="begin" w:dirty="true"/>
      </w:r>
      <w:r>
        <w:rPr>
          <w:rtl/>
        </w:rPr>
        <w:instrText xml:space="preserve"> REF b3_excD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ד</w:t>
      </w:r>
      <w:r>
        <w:rPr>
          <w:rtl/>
        </w:rPr>
        <w:fldChar w:fldCharType="end"/>
      </w:r>
      <w:r>
        <w:rPr>
          <w:rtl/>
        </w:rPr>
        <w:t>.</w:t>
      </w:r>
    </w:p>
    <w:bookmarkStart w:id="5977" w:name="b5_note34"/>
    <w:p w14:paraId="24FFE94B" w14:textId="02A37A57" w:rsidR="00AB3647" w:rsidRDefault="00000000" w:rsidP="007923E9">
      <w:pPr>
        <w:spacing w:before="120" w:after="100" w:line="276" w:lineRule="auto"/>
        <w:jc w:val="both"/>
      </w:pPr>
      <w:r>
        <w:fldChar w:fldCharType="begin" w:dirty="true"/>
      </w:r>
      <w:r>
        <w:instrText>HYPERLINK \l "b5_ref34"</w:instrText>
      </w:r>
      <w:r>
        <w:fldChar w:fldCharType="separate"/>
      </w:r>
      <w:r>
        <w:rPr>
          <w:b/>
          <w:bCs/>
          <w:rtl/>
        </w:rPr>
        <w:t>34</w:t>
      </w:r>
      <w:r>
        <w:rPr>
          <w:b/>
          <w:bCs/>
        </w:rPr>
        <w:fldChar w:fldCharType="end"/>
      </w:r>
      <w:bookmarkEnd w:id="5977"/>
      <w:r>
        <w:rPr>
          <w:rtl/>
        </w:rPr>
        <w:t xml:space="preserve"> השווה פרק 3, </w:t>
      </w:r>
      <w:r>
        <w:rPr>
          <w:rtl/>
        </w:rPr>
        <w:fldChar w:fldCharType="begin" w:dirty="true"/>
      </w:r>
      <w:r>
        <w:rPr>
          <w:rtl/>
        </w:rPr>
        <w:instrText xml:space="preserve"> REF b3_excQ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יז</w:t>
      </w:r>
      <w:proofErr w:type="spellEnd"/>
      <w:r>
        <w:rPr>
          <w:rtl/>
        </w:rPr>
        <w:fldChar w:fldCharType="end"/>
      </w:r>
      <w:r>
        <w:rPr>
          <w:rtl/>
        </w:rPr>
        <w:t>.</w:t>
      </w:r>
    </w:p>
    <w:p w14:paraId="08A598B8" w14:textId="6FA27EC5"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proofErr w:type="spellStart"/>
      <w:r>
        <w:rPr>
          <w:rtl/>
        </w:rPr>
        <w:t>לר</w:t>
      </w:r>
      <w:proofErr w:type="spellEnd"/>
      <w:r>
        <w:rPr>
          <w:rtl/>
        </w:rPr>
        <w:t xml:space="preserve">׳ </w:t>
      </w:r>
      <w:proofErr w:type="spellStart"/>
      <w:r>
        <w:rPr>
          <w:rtl/>
        </w:rPr>
        <w:t>דוד־טעביל</w:t>
      </w:r>
      <w:proofErr w:type="spellEnd"/>
      <w:r>
        <w:rPr>
          <w:rtl/>
        </w:rPr>
        <w:t xml:space="preserve"> הייתה בת בגיל הנישואין, והוא לא היה להוט לעמוד בעצמו בראש הישיבה. לפיכך ביקש מן הסבא לשלוח לו, עם התלמידים, בחור מבוגר מצטיין, שיהיה ראוי להיות חתנו ולבסוף ראש ישיבת </w:t>
      </w:r>
      <w:proofErr w:type="spellStart"/>
      <w:r>
        <w:rPr>
          <w:rtl/>
        </w:rPr>
        <w:t>מאלטש</w:t>
      </w:r>
      <w:proofErr w:type="spellEnd"/>
      <w:r>
        <w:rPr>
          <w:rtl/>
        </w:rPr>
        <w:t>. בארבעת הימים שעד שבת בראשית הצליח הסבא לארגן קבוצה של ארבעים בחורים, מבוגרים וצעירים</w:t>
      </w:r>
      <w:bookmarkStart w:id="5978" w:name="b5_ref35"/>
      <w:bookmarkEnd w:id="5978"/>
      <w:r>
        <w:rPr>
          <w:vertAlign w:val="superscript"/>
          <w:rtl/>
        </w:rPr>
        <w:fldChar w:fldCharType="begin" w:dirty="true"/>
      </w:r>
      <w:r>
        <w:rPr>
          <w:vertAlign w:val="superscript"/>
          <w:rtl/>
        </w:rPr>
        <w:instrText xml:space="preserve"> REF b5_note35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35</w:t>
      </w:r>
      <w:r>
        <w:rPr>
          <w:vertAlign w:val="superscript"/>
          <w:rtl/>
        </w:rPr>
        <w:fldChar w:fldCharType="end"/>
      </w:r>
      <w:r>
        <w:rPr>
          <w:rtl/>
        </w:rPr>
        <w:t xml:space="preserve"> – ישיבה שלמה – לשלוח </w:t>
      </w:r>
      <w:proofErr w:type="spellStart"/>
      <w:r>
        <w:rPr>
          <w:rtl/>
        </w:rPr>
        <w:t>למאלטש</w:t>
      </w:r>
      <w:proofErr w:type="spellEnd"/>
      <w:r>
        <w:rPr>
          <w:rtl/>
        </w:rPr>
        <w:t xml:space="preserve">. עמם שלח מועמד להיות חתנו של הרב </w:t>
      </w:r>
      <w:proofErr w:type="spellStart"/>
      <w:r>
        <w:rPr>
          <w:rtl/>
        </w:rPr>
        <w:t>דינובסקי</w:t>
      </w:r>
      <w:proofErr w:type="spellEnd"/>
      <w:r>
        <w:rPr>
          <w:rtl/>
        </w:rPr>
        <w:t xml:space="preserve"> – אחד משלושת התלמידים המעולים ביותר</w:t>
      </w:r>
      <w:bookmarkStart w:id="5979" w:name="b5_ref36"/>
      <w:bookmarkEnd w:id="5979"/>
      <w:r>
        <w:rPr>
          <w:vertAlign w:val="superscript"/>
          <w:rtl/>
        </w:rPr>
        <w:fldChar w:fldCharType="begin" w:dirty="true"/>
      </w:r>
      <w:r>
        <w:rPr>
          <w:vertAlign w:val="superscript"/>
          <w:rtl/>
        </w:rPr>
        <w:instrText xml:space="preserve"> REF b5_note36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36</w:t>
      </w:r>
      <w:r>
        <w:rPr>
          <w:vertAlign w:val="superscript"/>
          <w:rtl/>
        </w:rPr>
        <w:fldChar w:fldCharType="end"/>
      </w:r>
      <w:r>
        <w:rPr>
          <w:rtl/>
        </w:rPr>
        <w:t xml:space="preserve"> בכנסת ישראל, שגם אותו שלח הסבא </w:t>
      </w:r>
      <w:proofErr w:type="spellStart"/>
      <w:r>
        <w:rPr>
          <w:rtl/>
        </w:rPr>
        <w:t>לטלז</w:t>
      </w:r>
      <w:proofErr w:type="spellEnd"/>
      <w:r>
        <w:rPr>
          <w:rtl/>
        </w:rPr>
        <w:t xml:space="preserve"> שנתיים קודם לכן</w:t>
      </w:r>
      <w:bookmarkStart w:id="5980" w:name="b5_ref37"/>
      <w:bookmarkEnd w:id="5980"/>
      <w:r>
        <w:rPr>
          <w:vertAlign w:val="superscript"/>
          <w:rtl/>
        </w:rPr>
        <w:fldChar w:fldCharType="begin" w:dirty="true"/>
      </w:r>
      <w:r>
        <w:rPr>
          <w:vertAlign w:val="superscript"/>
          <w:rtl/>
        </w:rPr>
        <w:instrText xml:space="preserve"> REF b5_note37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37</w:t>
      </w:r>
      <w:r>
        <w:rPr>
          <w:vertAlign w:val="superscript"/>
          <w:rtl/>
        </w:rPr>
        <w:fldChar w:fldCharType="end"/>
      </w:r>
      <w:r>
        <w:rPr>
          <w:rtl/>
        </w:rPr>
        <w:t>: ר׳ שלמה גבורין</w:t>
      </w:r>
      <w:bookmarkStart w:id="5981" w:name="b5_ref38"/>
      <w:bookmarkEnd w:id="5981"/>
      <w:r>
        <w:rPr>
          <w:vertAlign w:val="superscript"/>
          <w:rtl/>
        </w:rPr>
        <w:fldChar w:fldCharType="begin" w:dirty="true"/>
      </w:r>
      <w:r>
        <w:rPr>
          <w:vertAlign w:val="superscript"/>
          <w:rtl/>
        </w:rPr>
        <w:instrText xml:space="preserve"> REF b5_note38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38</w:t>
      </w:r>
      <w:r>
        <w:rPr>
          <w:vertAlign w:val="superscript"/>
          <w:rtl/>
        </w:rPr>
        <w:fldChar w:fldCharType="end"/>
      </w:r>
      <w:r>
        <w:rPr>
          <w:rtl/>
        </w:rPr>
        <w:t>.</w:t>
      </w:r>
    </w:p>
    <w:bookmarkStart w:id="5982" w:name="b5_note35"/>
    <w:p w14:paraId="53E078B3" w14:textId="77777777" w:rsidR="00AB3647" w:rsidRDefault="00000000" w:rsidP="007923E9">
      <w:pPr>
        <w:spacing w:before="120" w:after="100" w:line="276" w:lineRule="auto"/>
        <w:jc w:val="both"/>
      </w:pPr>
      <w:r>
        <w:lastRenderedPageBreak/>
        <w:fldChar w:fldCharType="begin" w:dirty="true"/>
      </w:r>
      <w:r>
        <w:instrText>HYPERLINK \l "b5_ref35"</w:instrText>
      </w:r>
      <w:r>
        <w:fldChar w:fldCharType="separate"/>
      </w:r>
      <w:r>
        <w:rPr>
          <w:b/>
          <w:bCs/>
          <w:rtl/>
        </w:rPr>
        <w:t>35</w:t>
      </w:r>
      <w:r>
        <w:rPr>
          <w:b/>
          <w:bCs/>
        </w:rPr>
        <w:fldChar w:fldCharType="end"/>
      </w:r>
      <w:bookmarkEnd w:id="5982"/>
      <w:r>
        <w:rPr>
          <w:rtl/>
        </w:rPr>
        <w:t xml:space="preserve"> המספר הכולל של התלמידים שנשלחו מובא במאמרו של הרב </w:t>
      </w:r>
      <w:proofErr w:type="spellStart"/>
      <w:r>
        <w:rPr>
          <w:rtl/>
        </w:rPr>
        <w:t>אהרן־בן־ציון</w:t>
      </w:r>
      <w:proofErr w:type="spellEnd"/>
      <w:r>
        <w:rPr>
          <w:rtl/>
        </w:rPr>
        <w:t xml:space="preserve"> </w:t>
      </w:r>
      <w:proofErr w:type="spellStart"/>
      <w:r>
        <w:rPr>
          <w:rtl/>
        </w:rPr>
        <w:t>שורין</w:t>
      </w:r>
      <w:proofErr w:type="spellEnd"/>
      <w:r>
        <w:rPr>
          <w:rtl/>
        </w:rPr>
        <w:t xml:space="preserve"> </w:t>
      </w:r>
      <w:proofErr w:type="spellStart"/>
      <w:r>
        <w:rPr>
          <w:rtl/>
        </w:rPr>
        <w:t>ב“פארווערטס</w:t>
      </w:r>
      <w:proofErr w:type="spellEnd"/>
      <w:r>
        <w:rPr>
          <w:rtl/>
        </w:rPr>
        <w:t>”</w:t>
      </w:r>
      <w:bookmarkStart w:id="5983" w:name="_fnr4527"/>
      <w:r>
        <w:rPr>
          <w:rStyle w:val="a5"/>
        </w:rPr>
        <w:footnoteReference w:id="4538" w:customMarkFollows="0"/>
      </w:r>
      <w:bookmarkEnd w:id="5983"/>
      <w:r>
        <w:rPr>
          <w:rtl/>
        </w:rPr>
        <w:t>.</w:t>
      </w:r>
    </w:p>
    <w:bookmarkStart w:id="5984" w:name="b5_note36"/>
    <w:p w14:paraId="65834B29" w14:textId="77777777" w:rsidR="00AB3647" w:rsidRDefault="00000000" w:rsidP="007923E9">
      <w:pPr>
        <w:spacing w:before="120" w:after="100" w:line="276" w:lineRule="auto"/>
        <w:jc w:val="both"/>
      </w:pPr>
      <w:r>
        <w:fldChar w:fldCharType="begin" w:dirty="true"/>
      </w:r>
      <w:r>
        <w:instrText>HYPERLINK \l "b5_ref36"</w:instrText>
      </w:r>
      <w:r>
        <w:fldChar w:fldCharType="separate"/>
      </w:r>
      <w:r>
        <w:rPr>
          <w:b/>
          <w:bCs/>
          <w:rtl/>
        </w:rPr>
        <w:t>36</w:t>
      </w:r>
      <w:r>
        <w:rPr>
          <w:b/>
          <w:bCs/>
        </w:rPr>
        <w:fldChar w:fldCharType="end"/>
      </w:r>
      <w:bookmarkEnd w:id="5984"/>
      <w:r>
        <w:rPr>
          <w:rtl/>
        </w:rPr>
        <w:t xml:space="preserve"> בני הזוג </w:t>
      </w:r>
      <w:proofErr w:type="spellStart"/>
      <w:r>
        <w:rPr>
          <w:rtl/>
        </w:rPr>
        <w:t>קיל</w:t>
      </w:r>
      <w:proofErr w:type="spellEnd"/>
      <w:r>
        <w:rPr>
          <w:rtl/>
        </w:rPr>
        <w:t xml:space="preserve"> שמעו זאת מפי ר׳ </w:t>
      </w:r>
      <w:proofErr w:type="spellStart"/>
      <w:r>
        <w:rPr>
          <w:rtl/>
        </w:rPr>
        <w:t>חצקל</w:t>
      </w:r>
      <w:proofErr w:type="spellEnd"/>
      <w:r>
        <w:rPr>
          <w:rtl/>
        </w:rPr>
        <w:t xml:space="preserve"> </w:t>
      </w:r>
      <w:proofErr w:type="spellStart"/>
      <w:r>
        <w:rPr>
          <w:rtl/>
        </w:rPr>
        <w:t>סרנא</w:t>
      </w:r>
      <w:proofErr w:type="spellEnd"/>
      <w:r>
        <w:rPr>
          <w:rtl/>
        </w:rPr>
        <w:t xml:space="preserve"> בשבע ברכות לבנם הבכור.</w:t>
      </w:r>
    </w:p>
    <w:bookmarkStart w:id="5985" w:name="b5_note37"/>
    <w:p w14:paraId="78E73F74" w14:textId="77777777" w:rsidR="00AB3647" w:rsidRDefault="00000000" w:rsidP="007923E9">
      <w:pPr>
        <w:spacing w:before="120" w:after="100" w:line="276" w:lineRule="auto"/>
        <w:jc w:val="both"/>
      </w:pPr>
      <w:r>
        <w:fldChar w:fldCharType="begin" w:dirty="true"/>
      </w:r>
      <w:r>
        <w:instrText>HYPERLINK \l "b5_ref37"</w:instrText>
      </w:r>
      <w:r>
        <w:fldChar w:fldCharType="separate"/>
      </w:r>
      <w:r>
        <w:rPr>
          <w:b/>
          <w:bCs/>
          <w:rtl/>
        </w:rPr>
        <w:t>37</w:t>
      </w:r>
      <w:r>
        <w:rPr>
          <w:b/>
          <w:bCs/>
        </w:rPr>
        <w:fldChar w:fldCharType="end"/>
      </w:r>
      <w:bookmarkEnd w:id="5985"/>
      <w:r>
        <w:rPr>
          <w:rtl/>
        </w:rPr>
        <w:t xml:space="preserve"> השווה פרק 4.2, הפסקה השביעית, וההערה הבאה.</w:t>
      </w:r>
    </w:p>
    <w:bookmarkStart w:id="5986" w:name="b5_note38"/>
    <w:p w14:paraId="5A7A43FE" w14:textId="77777777" w:rsidR="00AB3647" w:rsidRDefault="00000000" w:rsidP="007923E9">
      <w:pPr>
        <w:spacing w:before="120" w:after="100" w:line="276" w:lineRule="auto"/>
        <w:jc w:val="both"/>
      </w:pPr>
      <w:r>
        <w:fldChar w:fldCharType="begin" w:dirty="true"/>
      </w:r>
      <w:r>
        <w:instrText>HYPERLINK \l "b5_ref38"</w:instrText>
      </w:r>
      <w:r>
        <w:fldChar w:fldCharType="separate"/>
      </w:r>
      <w:r>
        <w:rPr>
          <w:b/>
          <w:bCs/>
          <w:rtl/>
        </w:rPr>
        <w:t>38</w:t>
      </w:r>
      <w:r>
        <w:rPr>
          <w:b/>
          <w:bCs/>
        </w:rPr>
        <w:fldChar w:fldCharType="end"/>
      </w:r>
      <w:bookmarkEnd w:id="5986"/>
      <w:r>
        <w:rPr>
          <w:rtl/>
        </w:rPr>
        <w:t xml:space="preserve"> הוא נולד </w:t>
      </w:r>
      <w:proofErr w:type="spellStart"/>
      <w:r>
        <w:rPr>
          <w:rtl/>
        </w:rPr>
        <w:t>בתרמ״ג</w:t>
      </w:r>
      <w:proofErr w:type="spellEnd"/>
      <w:r>
        <w:rPr>
          <w:rtl/>
        </w:rPr>
        <w:t xml:space="preserve">, ולמד </w:t>
      </w:r>
      <w:proofErr w:type="spellStart"/>
      <w:r>
        <w:rPr>
          <w:rtl/>
        </w:rPr>
        <w:t>בסלבודקה</w:t>
      </w:r>
      <w:proofErr w:type="spellEnd"/>
      <w:r>
        <w:rPr>
          <w:rtl/>
        </w:rPr>
        <w:t xml:space="preserve"> שמונה שנים לפני שנשלח </w:t>
      </w:r>
      <w:proofErr w:type="spellStart"/>
      <w:r>
        <w:rPr>
          <w:rtl/>
        </w:rPr>
        <w:t>לטלז</w:t>
      </w:r>
      <w:proofErr w:type="spellEnd"/>
      <w:r>
        <w:rPr>
          <w:rtl/>
        </w:rPr>
        <w:t xml:space="preserve"> (בגיל עשרים ושתיים)</w:t>
      </w:r>
      <w:bookmarkStart w:id="5987" w:name="_fnr4528"/>
      <w:r>
        <w:rPr>
          <w:rStyle w:val="a5"/>
        </w:rPr>
        <w:t/>
      </w:r>
      <w:bookmarkStart w:id="7049" w:name="_TranslatorNote_4526"/>
      <w:r>
        <w:rPr>
          <w:rStyle w:val="a5"/>
          <w:vertAlign w:val="superscript"/>
          <w:rtl/>
        </w:rPr>
        <w:footnoteReference w:id="4539" w:customMarkFollows="1"/>
        <w:t>*</w:t>
      </w:r>
      <w:bookmarkEnd w:id="7049"/>
      <w:bookmarkStart w:id="5988" w:name="_fnr4529"/>
      <w:bookmarkStart w:id="5989" w:name="pr_f_4411"/>
      <w:bookmarkEnd w:id="5987"/>
      <w:r>
        <w:rPr>
          <w:rStyle w:val="a5"/>
        </w:rPr>
        <w:footnoteReference w:id="4540" w:customMarkFollows="0"/>
      </w:r>
      <w:bookmarkEnd w:id="5988"/>
      <w:bookmarkEnd w:id="5989"/>
      <w:r>
        <w:rPr>
          <w:rtl/>
        </w:rPr>
        <w:t>.</w:t>
      </w:r>
    </w:p>
    <w:p w14:paraId="1F8F550C" w14:textId="47E642A1" w:rsidR="00AB3647" w:rsidRDefault="00000000" w:rsidP="007923E9">
      <w:pPr>
        <w:spacing w:after="100" w:line="276" w:lineRule="auto"/>
        <w:ind w:firstLine="340"/>
        <w:jc w:val="both"/>
      </w:pPr>
      <w:r>
        <w:rPr>
          <w:rtl/>
        </w:rPr>
        <w:t xml:space="preserve">מפליא שהסבא הפקיד בידי ר׳ שלמה את הנהגת קבוצת המייסדים של </w:t>
      </w:r>
      <w:proofErr w:type="spellStart"/>
      <w:r>
        <w:rPr>
          <w:rtl/>
        </w:rPr>
        <w:t>מאלטש</w:t>
      </w:r>
      <w:proofErr w:type="spellEnd"/>
      <w:r>
        <w:rPr>
          <w:rtl/>
        </w:rPr>
        <w:t xml:space="preserve">, אף שר׳ שלמה פעל נגד המוסר </w:t>
      </w:r>
      <w:proofErr w:type="spellStart"/>
      <w:r>
        <w:rPr>
          <w:rtl/>
        </w:rPr>
        <w:t>בסלבודקה</w:t>
      </w:r>
      <w:proofErr w:type="spellEnd"/>
      <w:r>
        <w:rPr>
          <w:rtl/>
        </w:rPr>
        <w:t xml:space="preserve"> שנים אחדות קודם לכן</w:t>
      </w:r>
      <w:bookmarkStart w:id="5990" w:name="_fnr4530"/>
      <w:r>
        <w:rPr>
          <w:rStyle w:val="a5"/>
        </w:rPr>
        <w:footnoteReference w:id="4541" w:customMarkFollows="0"/>
      </w:r>
      <w:bookmarkEnd w:id="5990"/>
      <w:r>
        <w:rPr>
          <w:rtl/>
        </w:rPr>
        <w:t>. או שחדירתו המופלגת של הסבא לאופיים של תלמידיו</w:t>
      </w:r>
      <w:bookmarkStart w:id="5991" w:name="_fnr4531"/>
      <w:r>
        <w:rPr>
          <w:rStyle w:val="a5"/>
        </w:rPr>
        <w:footnoteReference w:id="4542" w:customMarkFollows="0"/>
      </w:r>
      <w:bookmarkEnd w:id="5991"/>
      <w:r>
        <w:rPr>
          <w:rtl/>
        </w:rPr>
        <w:t xml:space="preserve"> שכנעה אותו שר׳ שלמה נעשה אדם אחר לגמרי, או </w:t>
      </w:r>
      <w:proofErr w:type="spellStart"/>
      <w:r>
        <w:rPr>
          <w:rtl/>
        </w:rPr>
        <w:t>שהיקסמותו</w:t>
      </w:r>
      <w:proofErr w:type="spellEnd"/>
      <w:r>
        <w:rPr>
          <w:rtl/>
        </w:rPr>
        <w:t xml:space="preserve"> מגאונות</w:t>
      </w:r>
      <w:bookmarkStart w:id="5992" w:name="_fnr4532"/>
      <w:r>
        <w:rPr>
          <w:rStyle w:val="a5"/>
        </w:rPr>
        <w:footnoteReference w:id="4543" w:customMarkFollows="0"/>
      </w:r>
      <w:bookmarkEnd w:id="5992"/>
      <w:r>
        <w:rPr>
          <w:rtl/>
        </w:rPr>
        <w:t xml:space="preserve"> ביטלה אצלו את כל שיקולי הזהירות. מכל מקום, ברב </w:t>
      </w:r>
      <w:proofErr w:type="spellStart"/>
      <w:r>
        <w:rPr>
          <w:rtl/>
        </w:rPr>
        <w:t>גבורין</w:t>
      </w:r>
      <w:proofErr w:type="spellEnd"/>
      <w:r>
        <w:rPr>
          <w:rtl/>
        </w:rPr>
        <w:t xml:space="preserve"> לא טעה – השווה הערה </w:t>
      </w:r>
      <w:r>
        <w:rPr>
          <w:rtl/>
        </w:rPr>
        <w:fldChar w:fldCharType="begin" w:dirty="true"/>
      </w:r>
      <w:r>
        <w:rPr>
          <w:rtl/>
        </w:rPr>
        <w:instrText xml:space="preserve"> REF b5_note54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54</w:t>
      </w:r>
      <w:r>
        <w:rPr>
          <w:rtl/>
        </w:rPr>
        <w:fldChar w:fldCharType="end"/>
      </w:r>
      <w:r>
        <w:rPr>
          <w:rtl/>
        </w:rPr>
        <w:t xml:space="preserve"> להלן.</w:t>
      </w:r>
    </w:p>
    <w:p w14:paraId="58BE64CE" w14:textId="7777777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המשלחת הייתה בשלבי הארגון האחרונים, כשישב הסבא עם אורחו ליד שולחן השבת, יחד עם כמה תלמידים מבוגרים ועם חתנו ר׳ אייזיק שר. ר׳ אייזיק העיר לסבא </w:t>
      </w:r>
      <w:proofErr w:type="spellStart"/>
      <w:r>
        <w:rPr>
          <w:rtl/>
        </w:rPr>
        <w:t>שהדולהינובר</w:t>
      </w:r>
      <w:proofErr w:type="spellEnd"/>
      <w:r>
        <w:rPr>
          <w:rtl/>
        </w:rPr>
        <w:t xml:space="preserve"> הצעיר המצטיין מסתובב לאחרונה בבית המדרש ומבזבז את זמנו. השיחה פנתה אחר כך לעניינים אחרים, ועד מהרה בירכו ברכת המזון. מיד אחריה ביקש הסבא רשות, קם מן השולחן ונכנס לבית המדרש.</w:t>
      </w:r>
    </w:p>
    <w:p w14:paraId="1B2E1C90" w14:textId="6796E61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האורח ניצל את היעדרו של מארחו ושאל את ר׳ אייזיק מיהו </w:t>
      </w:r>
      <w:proofErr w:type="spellStart"/>
      <w:r>
        <w:rPr>
          <w:rtl/>
        </w:rPr>
        <w:t>הדולהינובר</w:t>
      </w:r>
      <w:proofErr w:type="spellEnd"/>
      <w:r>
        <w:rPr>
          <w:rtl/>
        </w:rPr>
        <w:t xml:space="preserve"> שהוזכר קודם לכן ליד השולחן. ר׳ אייזיק השיב שאם ייכנס מיד לבית המדרש, יראה את הסבא משוחח עם בחור מרכיב משקפיים – זה </w:t>
      </w:r>
      <w:proofErr w:type="spellStart"/>
      <w:r>
        <w:rPr>
          <w:rtl/>
        </w:rPr>
        <w:t>הדולהינובר</w:t>
      </w:r>
      <w:proofErr w:type="spellEnd"/>
      <w:r>
        <w:rPr>
          <w:rtl/>
        </w:rPr>
        <w:t xml:space="preserve"> שדיברו עליו</w:t>
      </w:r>
      <w:bookmarkStart w:id="5993" w:name="b5_ref39"/>
      <w:bookmarkEnd w:id="5993"/>
      <w:r>
        <w:rPr>
          <w:vertAlign w:val="superscript"/>
          <w:rtl/>
        </w:rPr>
        <w:fldChar w:fldCharType="begin" w:dirty="true"/>
      </w:r>
      <w:r>
        <w:rPr>
          <w:vertAlign w:val="superscript"/>
          <w:rtl/>
        </w:rPr>
        <w:instrText xml:space="preserve"> REF b5_note39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39</w:t>
      </w:r>
      <w:r>
        <w:rPr>
          <w:vertAlign w:val="superscript"/>
          <w:rtl/>
        </w:rPr>
        <w:fldChar w:fldCharType="end"/>
      </w:r>
      <w:r>
        <w:rPr>
          <w:rtl/>
        </w:rPr>
        <w:t>. כעבור זמן קצר חזר הסבא להמשיך לארח את אורחו הנכבד, ואמר: “זה עתה גייסתי לישיבתך תלמיד צעיר מצוין”.</w:t>
      </w:r>
    </w:p>
    <w:bookmarkStart w:id="5994" w:name="b5_note39"/>
    <w:p w14:paraId="530A7F1A" w14:textId="77777777" w:rsidR="00AB3647" w:rsidRDefault="00000000" w:rsidP="007923E9">
      <w:pPr>
        <w:spacing w:before="120" w:after="100" w:line="276" w:lineRule="auto"/>
        <w:jc w:val="both"/>
      </w:pPr>
      <w:r>
        <w:lastRenderedPageBreak/>
        <w:fldChar w:fldCharType="begin" w:dirty="true"/>
      </w:r>
      <w:r>
        <w:instrText>HYPERLINK \l "b5_ref39"</w:instrText>
      </w:r>
      <w:r>
        <w:fldChar w:fldCharType="separate"/>
      </w:r>
      <w:r>
        <w:rPr>
          <w:b/>
          <w:bCs/>
          <w:rtl/>
        </w:rPr>
        <w:t>39</w:t>
      </w:r>
      <w:r>
        <w:rPr>
          <w:b/>
          <w:bCs/>
        </w:rPr>
        <w:fldChar w:fldCharType="end"/>
      </w:r>
      <w:bookmarkEnd w:id="5994"/>
      <w:r>
        <w:rPr>
          <w:rtl/>
        </w:rPr>
        <w:t xml:space="preserve"> אבי סיפר מעשה זה לנכדו ר׳ יצחק </w:t>
      </w:r>
      <w:proofErr w:type="spellStart"/>
      <w:r>
        <w:rPr>
          <w:rtl/>
        </w:rPr>
        <w:t>שורין</w:t>
      </w:r>
      <w:proofErr w:type="spellEnd"/>
      <w:r>
        <w:rPr>
          <w:rtl/>
        </w:rPr>
        <w:t>, כשזה שאל אותו אם עילוי יכול להיות חריג</w:t>
      </w:r>
      <w:bookmarkStart w:id="5995" w:name="_fnr4533"/>
      <w:r>
        <w:rPr>
          <w:rStyle w:val="a5"/>
        </w:rPr>
        <w:footnoteReference w:id="4544" w:customMarkFollows="0"/>
      </w:r>
      <w:bookmarkEnd w:id="5995"/>
      <w:r>
        <w:rPr>
          <w:rtl/>
        </w:rPr>
        <w:t>. את מה שהתרחש ליד שולחן הסבא גילה ר׳ אייזיק לרבנו שנים רבות אחר כך. אבי ציין גם שמעשי הסבא הוכיחו הן את זריזותו לפעול מיד כשנודע לו על בעיה, הן את דאגתו לכל בחור. ענוותנותו של אבי מנעה ממנו לשער שאולי היה מושא ל</w:t>
      </w:r>
      <w:r>
        <w:rPr>
          <w:b/>
          <w:bCs/>
          <w:rtl/>
        </w:rPr>
        <w:t>התעניינותו ולדאגתו המיוחדת</w:t>
      </w:r>
      <w:r>
        <w:rPr>
          <w:rtl/>
        </w:rPr>
        <w:t xml:space="preserve"> של הסבא. ר׳ אייזיק היה בטוח כל כך במידות אלה של חותנו, עד שיכול היה לומר לאורח בדיוק מה יעשה הסבא מיד אחרי הסעודה.</w:t>
      </w:r>
    </w:p>
    <w:p w14:paraId="54BAEA87" w14:textId="7A62BFD0"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הקבוצה, ובה אבי, יצאה </w:t>
      </w:r>
      <w:proofErr w:type="spellStart"/>
      <w:r>
        <w:rPr>
          <w:rtl/>
        </w:rPr>
        <w:t>למאלטש</w:t>
      </w:r>
      <w:proofErr w:type="spellEnd"/>
      <w:r>
        <w:rPr>
          <w:rtl/>
        </w:rPr>
        <w:t xml:space="preserve"> אחרי סוכות תרס״ח. התלמידים נהנו ללמוד אצל ר׳ </w:t>
      </w:r>
      <w:proofErr w:type="spellStart"/>
      <w:r>
        <w:rPr>
          <w:rtl/>
        </w:rPr>
        <w:t>דוד־טעביל</w:t>
      </w:r>
      <w:proofErr w:type="spellEnd"/>
      <w:r>
        <w:rPr>
          <w:rtl/>
        </w:rPr>
        <w:t>, שכן מלבד למדנותו הגדולה ומוחו המבריק</w:t>
      </w:r>
      <w:bookmarkStart w:id="5996" w:name="b5_ref40"/>
      <w:bookmarkEnd w:id="5996"/>
      <w:r>
        <w:rPr>
          <w:vertAlign w:val="superscript"/>
          <w:rtl/>
        </w:rPr>
        <w:fldChar w:fldCharType="begin" w:dirty="true"/>
      </w:r>
      <w:r>
        <w:rPr>
          <w:vertAlign w:val="superscript"/>
          <w:rtl/>
        </w:rPr>
        <w:instrText xml:space="preserve"> REF b5_note40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40</w:t>
      </w:r>
      <w:r>
        <w:rPr>
          <w:vertAlign w:val="superscript"/>
          <w:rtl/>
        </w:rPr>
        <w:fldChar w:fldCharType="end"/>
      </w:r>
      <w:r>
        <w:rPr>
          <w:rtl/>
        </w:rPr>
        <w:t xml:space="preserve"> הוא היה בעל אישיות מעוררת השראה, וחינוכו בקלם</w:t>
      </w:r>
      <w:bookmarkStart w:id="5997" w:name="b5_ref41"/>
      <w:bookmarkEnd w:id="5997"/>
      <w:r>
        <w:rPr>
          <w:vertAlign w:val="superscript"/>
          <w:rtl/>
        </w:rPr>
        <w:fldChar w:fldCharType="begin" w:dirty="true"/>
      </w:r>
      <w:r>
        <w:rPr>
          <w:vertAlign w:val="superscript"/>
          <w:rtl/>
        </w:rPr>
        <w:instrText xml:space="preserve"> REF b5_note41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41</w:t>
      </w:r>
      <w:r>
        <w:rPr>
          <w:vertAlign w:val="superscript"/>
          <w:rtl/>
        </w:rPr>
        <w:fldChar w:fldCharType="end"/>
      </w:r>
      <w:r>
        <w:rPr>
          <w:rtl/>
        </w:rPr>
        <w:t xml:space="preserve"> ניכר בכל מעשיו</w:t>
      </w:r>
      <w:bookmarkStart w:id="5998" w:name="b5_ref42"/>
      <w:bookmarkEnd w:id="5998"/>
      <w:r>
        <w:rPr>
          <w:vertAlign w:val="superscript"/>
          <w:rtl/>
        </w:rPr>
        <w:fldChar w:fldCharType="begin" w:dirty="true"/>
      </w:r>
      <w:r>
        <w:rPr>
          <w:vertAlign w:val="superscript"/>
          <w:rtl/>
        </w:rPr>
        <w:instrText xml:space="preserve"> REF b5_note42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42</w:t>
      </w:r>
      <w:r>
        <w:rPr>
          <w:vertAlign w:val="superscript"/>
          <w:rtl/>
        </w:rPr>
        <w:fldChar w:fldCharType="end"/>
      </w:r>
      <w:r>
        <w:rPr>
          <w:rtl/>
        </w:rPr>
        <w:t>. הוא נהג כבוד בלתי רגיל בכל אדם, אפילו בצעיר תלמידיו</w:t>
      </w:r>
      <w:bookmarkStart w:id="5999" w:name="b5_ref43"/>
      <w:bookmarkEnd w:id="5999"/>
      <w:r>
        <w:rPr>
          <w:vertAlign w:val="superscript"/>
          <w:rtl/>
        </w:rPr>
        <w:fldChar w:fldCharType="begin" w:dirty="true"/>
      </w:r>
      <w:r>
        <w:rPr>
          <w:vertAlign w:val="superscript"/>
          <w:rtl/>
        </w:rPr>
        <w:instrText xml:space="preserve"> REF b5_note43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43</w:t>
      </w:r>
      <w:r>
        <w:rPr>
          <w:vertAlign w:val="superscript"/>
          <w:rtl/>
        </w:rPr>
        <w:fldChar w:fldCharType="end"/>
      </w:r>
      <w:r>
        <w:rPr>
          <w:rtl/>
        </w:rPr>
        <w:t>. היה לו קול זמרה יפה ונפש של משורר</w:t>
      </w:r>
      <w:bookmarkStart w:id="6000" w:name="b5_ref44"/>
      <w:bookmarkEnd w:id="6000"/>
      <w:r>
        <w:rPr>
          <w:vertAlign w:val="superscript"/>
          <w:rtl/>
        </w:rPr>
        <w:fldChar w:fldCharType="begin" w:dirty="true"/>
      </w:r>
      <w:r>
        <w:rPr>
          <w:vertAlign w:val="superscript"/>
          <w:rtl/>
        </w:rPr>
        <w:instrText xml:space="preserve"> REF b5_note44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44</w:t>
      </w:r>
      <w:r>
        <w:rPr>
          <w:vertAlign w:val="superscript"/>
          <w:rtl/>
        </w:rPr>
        <w:fldChar w:fldCharType="end"/>
      </w:r>
      <w:r>
        <w:rPr>
          <w:rtl/>
        </w:rPr>
        <w:t>. הוא ידע את כל התנ״ך בעל פה</w:t>
      </w:r>
      <w:bookmarkStart w:id="6001" w:name="b5_ref45"/>
      <w:bookmarkEnd w:id="6001"/>
      <w:r>
        <w:rPr>
          <w:vertAlign w:val="superscript"/>
          <w:rtl/>
        </w:rPr>
        <w:fldChar w:fldCharType="begin" w:dirty="true"/>
      </w:r>
      <w:r>
        <w:rPr>
          <w:vertAlign w:val="superscript"/>
          <w:rtl/>
        </w:rPr>
        <w:instrText xml:space="preserve"> REF b5_note45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45</w:t>
      </w:r>
      <w:r>
        <w:rPr>
          <w:vertAlign w:val="superscript"/>
          <w:rtl/>
        </w:rPr>
        <w:fldChar w:fldCharType="end"/>
      </w:r>
      <w:r>
        <w:rPr>
          <w:rtl/>
        </w:rPr>
        <w:t>, והייתה לו ידיעה רחבה במאמרי חז״ל ובמדרשים. הוא לא אהב “לדבר בלימוד”, מפני שכבעל מוסר חשש שמא יסטה מן האמת כשיעמוד על דעתו</w:t>
      </w:r>
      <w:bookmarkStart w:id="6002" w:name="b5_ref46"/>
      <w:bookmarkEnd w:id="6002"/>
      <w:r>
        <w:rPr>
          <w:vertAlign w:val="superscript"/>
          <w:rtl/>
        </w:rPr>
        <w:fldChar w:fldCharType="begin" w:dirty="true"/>
      </w:r>
      <w:r>
        <w:rPr>
          <w:vertAlign w:val="superscript"/>
          <w:rtl/>
        </w:rPr>
        <w:instrText xml:space="preserve"> REF b5_note46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46</w:t>
      </w:r>
      <w:r>
        <w:rPr>
          <w:vertAlign w:val="superscript"/>
          <w:rtl/>
        </w:rPr>
        <w:fldChar w:fldCharType="end"/>
      </w:r>
      <w:r>
        <w:rPr>
          <w:rtl/>
        </w:rPr>
        <w:t>, וכשהיה מוסר מפעם לפעם שיחת מוסר, לא הרגיש כיצד הזמן חולף</w:t>
      </w:r>
      <w:bookmarkStart w:id="6003" w:name="b5_ref47"/>
      <w:bookmarkEnd w:id="6003"/>
      <w:r>
        <w:rPr>
          <w:vertAlign w:val="superscript"/>
          <w:rtl/>
        </w:rPr>
        <w:fldChar w:fldCharType="begin" w:dirty="true"/>
      </w:r>
      <w:r>
        <w:rPr>
          <w:vertAlign w:val="superscript"/>
          <w:rtl/>
        </w:rPr>
        <w:instrText xml:space="preserve"> REF b5_note47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47</w:t>
      </w:r>
      <w:r>
        <w:rPr>
          <w:vertAlign w:val="superscript"/>
          <w:rtl/>
        </w:rPr>
        <w:fldChar w:fldCharType="end"/>
      </w:r>
      <w:r>
        <w:rPr>
          <w:rtl/>
        </w:rPr>
        <w:t>.</w:t>
      </w:r>
    </w:p>
    <w:bookmarkStart w:id="6004" w:name="b5_note40"/>
    <w:p w14:paraId="21C40DF8" w14:textId="77777777" w:rsidR="00AB3647" w:rsidRDefault="00000000" w:rsidP="007923E9">
      <w:pPr>
        <w:spacing w:before="120" w:after="100" w:line="276" w:lineRule="auto"/>
        <w:jc w:val="both"/>
      </w:pPr>
      <w:r>
        <w:fldChar w:fldCharType="begin" w:dirty="true"/>
      </w:r>
      <w:r>
        <w:instrText>HYPERLINK \l "b5_ref40"</w:instrText>
      </w:r>
      <w:r>
        <w:fldChar w:fldCharType="separate"/>
      </w:r>
      <w:r>
        <w:rPr>
          <w:b/>
          <w:bCs/>
          <w:rtl/>
        </w:rPr>
        <w:t>40</w:t>
      </w:r>
      <w:r>
        <w:rPr>
          <w:b/>
          <w:bCs/>
        </w:rPr>
        <w:fldChar w:fldCharType="end"/>
      </w:r>
      <w:bookmarkEnd w:id="6004"/>
      <w:r>
        <w:rPr>
          <w:rtl/>
        </w:rPr>
        <w:t xml:space="preserve"> הוא היה גאון מוכר, </w:t>
      </w:r>
      <w:proofErr w:type="spellStart"/>
      <w:r>
        <w:rPr>
          <w:rtl/>
        </w:rPr>
        <w:t>שהחפץ־חיים</w:t>
      </w:r>
      <w:proofErr w:type="spellEnd"/>
      <w:r>
        <w:rPr>
          <w:rtl/>
        </w:rPr>
        <w:t xml:space="preserve"> היה קם לכבודו – כך לפי נכדתו תמר </w:t>
      </w:r>
      <w:proofErr w:type="spellStart"/>
      <w:r>
        <w:rPr>
          <w:rtl/>
        </w:rPr>
        <w:t>קיל</w:t>
      </w:r>
      <w:bookmarkStart w:id="6005" w:name="_fnr4534"/>
      <w:proofErr w:type="spellEnd"/>
      <w:r>
        <w:rPr>
          <w:rStyle w:val="a5"/>
        </w:rPr>
        <w:footnoteReference w:id="4545" w:customMarkFollows="0"/>
      </w:r>
      <w:bookmarkEnd w:id="6005"/>
      <w:r>
        <w:rPr>
          <w:rtl/>
        </w:rPr>
        <w:t xml:space="preserve">. </w:t>
      </w:r>
      <w:proofErr w:type="spellStart"/>
      <w:r>
        <w:rPr>
          <w:rtl/>
        </w:rPr>
        <w:t>החפץ־חיים</w:t>
      </w:r>
      <w:proofErr w:type="spellEnd"/>
      <w:r>
        <w:rPr>
          <w:rtl/>
        </w:rPr>
        <w:t xml:space="preserve"> היה חמיה של גיסתו: אשת הרב </w:t>
      </w:r>
      <w:proofErr w:type="spellStart"/>
      <w:r>
        <w:rPr>
          <w:rtl/>
        </w:rPr>
        <w:t>דינובסקי</w:t>
      </w:r>
      <w:proofErr w:type="spellEnd"/>
      <w:r>
        <w:rPr>
          <w:rtl/>
        </w:rPr>
        <w:t xml:space="preserve"> הייתה אחותה הצעירה של אשת ר׳ </w:t>
      </w:r>
      <w:proofErr w:type="spellStart"/>
      <w:r>
        <w:rPr>
          <w:rtl/>
        </w:rPr>
        <w:t>אריה־לייב</w:t>
      </w:r>
      <w:proofErr w:type="spellEnd"/>
      <w:r>
        <w:rPr>
          <w:rtl/>
        </w:rPr>
        <w:t xml:space="preserve"> </w:t>
      </w:r>
      <w:proofErr w:type="spellStart"/>
      <w:r>
        <w:rPr>
          <w:rtl/>
        </w:rPr>
        <w:t>פופקו</w:t>
      </w:r>
      <w:proofErr w:type="spellEnd"/>
      <w:r>
        <w:rPr>
          <w:rtl/>
        </w:rPr>
        <w:t xml:space="preserve">, בנו הבכור של </w:t>
      </w:r>
      <w:proofErr w:type="spellStart"/>
      <w:r>
        <w:rPr>
          <w:rtl/>
        </w:rPr>
        <w:t>החפץ־חיים</w:t>
      </w:r>
      <w:bookmarkStart w:id="6006" w:name="_fnr4535"/>
      <w:proofErr w:type="spellEnd"/>
      <w:r>
        <w:rPr>
          <w:rStyle w:val="a5"/>
        </w:rPr>
        <w:footnoteReference w:id="4546" w:customMarkFollows="0"/>
      </w:r>
      <w:bookmarkEnd w:id="6006"/>
      <w:r>
        <w:rPr>
          <w:rtl/>
        </w:rPr>
        <w:t>.</w:t>
      </w:r>
    </w:p>
    <w:p w14:paraId="79589D29" w14:textId="77777777" w:rsidR="00AB3647" w:rsidRDefault="00000000" w:rsidP="007923E9">
      <w:pPr>
        <w:spacing w:before="120" w:after="100" w:line="276" w:lineRule="auto"/>
        <w:jc w:val="both"/>
      </w:pPr>
      <w:r>
        <w:rPr>
          <w:rtl/>
        </w:rPr>
        <w:t>ר׳ שרגא אברמסון</w:t>
      </w:r>
      <w:bookmarkStart w:id="6007" w:name="_fnr4536"/>
      <w:r>
        <w:rPr>
          <w:rStyle w:val="a5"/>
        </w:rPr>
        <w:footnoteReference w:id="4547" w:customMarkFollows="0"/>
      </w:r>
      <w:bookmarkEnd w:id="6007"/>
      <w:r>
        <w:rPr>
          <w:rtl/>
        </w:rPr>
        <w:t xml:space="preserve"> סיפר: “בעקבות הטלטלה שחוללה מלחמת העולם הראשונה הצטמצמה האוכלוסייה היהודית </w:t>
      </w:r>
      <w:proofErr w:type="spellStart"/>
      <w:r>
        <w:rPr>
          <w:rtl/>
        </w:rPr>
        <w:t>במאלטש</w:t>
      </w:r>
      <w:proofErr w:type="spellEnd"/>
      <w:r>
        <w:rPr>
          <w:rtl/>
        </w:rPr>
        <w:t xml:space="preserve">, ובערך </w:t>
      </w:r>
      <w:proofErr w:type="spellStart"/>
      <w:r>
        <w:rPr>
          <w:rtl/>
        </w:rPr>
        <w:t>בתרפ״א</w:t>
      </w:r>
      <w:proofErr w:type="spellEnd"/>
      <w:r>
        <w:rPr>
          <w:rtl/>
        </w:rPr>
        <w:t xml:space="preserve"> קיבל ר׳ </w:t>
      </w:r>
      <w:proofErr w:type="spellStart"/>
      <w:r>
        <w:rPr>
          <w:rtl/>
        </w:rPr>
        <w:t>דוד־טעביל</w:t>
      </w:r>
      <w:proofErr w:type="spellEnd"/>
      <w:r>
        <w:rPr>
          <w:rtl/>
        </w:rPr>
        <w:t xml:space="preserve"> את רבנות </w:t>
      </w:r>
      <w:proofErr w:type="spellStart"/>
      <w:r>
        <w:rPr>
          <w:rtl/>
        </w:rPr>
        <w:t>פיונטניצה</w:t>
      </w:r>
      <w:proofErr w:type="spellEnd"/>
      <w:r>
        <w:rPr>
          <w:rtl/>
        </w:rPr>
        <w:t xml:space="preserve">, עיירה במרחק שני קילומטרים </w:t>
      </w:r>
      <w:proofErr w:type="spellStart"/>
      <w:r>
        <w:rPr>
          <w:rtl/>
        </w:rPr>
        <w:t>מלומז׳ה</w:t>
      </w:r>
      <w:proofErr w:type="spellEnd"/>
      <w:r>
        <w:rPr>
          <w:rtl/>
        </w:rPr>
        <w:t xml:space="preserve">. </w:t>
      </w:r>
      <w:proofErr w:type="spellStart"/>
      <w:r>
        <w:rPr>
          <w:rtl/>
        </w:rPr>
        <w:t>בתרפ״ו</w:t>
      </w:r>
      <w:proofErr w:type="spellEnd"/>
      <w:r>
        <w:rPr>
          <w:rtl/>
        </w:rPr>
        <w:t xml:space="preserve"> הוצעה רבנות </w:t>
      </w:r>
      <w:proofErr w:type="spellStart"/>
      <w:r>
        <w:rPr>
          <w:rtl/>
        </w:rPr>
        <w:t>לומז׳ה</w:t>
      </w:r>
      <w:proofErr w:type="spellEnd"/>
      <w:r>
        <w:rPr>
          <w:rtl/>
        </w:rPr>
        <w:t xml:space="preserve"> לחכם ר׳ </w:t>
      </w:r>
      <w:proofErr w:type="spellStart"/>
      <w:r>
        <w:rPr>
          <w:rtl/>
        </w:rPr>
        <w:t>ארצ׳יק</w:t>
      </w:r>
      <w:proofErr w:type="spellEnd"/>
      <w:r>
        <w:rPr>
          <w:rtl/>
        </w:rPr>
        <w:t xml:space="preserve"> בקשט</w:t>
      </w:r>
      <w:bookmarkStart w:id="6008" w:name="_fnr4537"/>
      <w:r>
        <w:rPr>
          <w:rStyle w:val="a5"/>
        </w:rPr>
        <w:footnoteReference w:id="4548" w:customMarkFollows="0"/>
      </w:r>
      <w:bookmarkEnd w:id="6008"/>
      <w:r>
        <w:rPr>
          <w:rtl/>
        </w:rPr>
        <w:t xml:space="preserve">, תלמיד קלם כרב </w:t>
      </w:r>
      <w:proofErr w:type="spellStart"/>
      <w:r>
        <w:rPr>
          <w:rtl/>
        </w:rPr>
        <w:t>דינובסקי</w:t>
      </w:r>
      <w:proofErr w:type="spellEnd"/>
      <w:r>
        <w:rPr>
          <w:rtl/>
        </w:rPr>
        <w:t xml:space="preserve"> אך צעיר ממנו בשנים אחדות</w:t>
      </w:r>
      <w:bookmarkStart w:id="6009" w:name="_fnr4538"/>
      <w:r>
        <w:rPr>
          <w:rStyle w:val="a5"/>
        </w:rPr>
        <w:footnoteReference w:id="4549" w:customMarkFollows="0"/>
      </w:r>
      <w:bookmarkEnd w:id="6009"/>
      <w:r>
        <w:rPr>
          <w:rtl/>
        </w:rPr>
        <w:t xml:space="preserve">, והוא הכריז: ‘כיצד אוכל להיות רב בעיר הגדולה </w:t>
      </w:r>
      <w:proofErr w:type="spellStart"/>
      <w:r>
        <w:rPr>
          <w:rtl/>
        </w:rPr>
        <w:t>לומז׳ה</w:t>
      </w:r>
      <w:proofErr w:type="spellEnd"/>
      <w:r>
        <w:rPr>
          <w:rtl/>
        </w:rPr>
        <w:t xml:space="preserve">, כשבפרוור הזעיר </w:t>
      </w:r>
      <w:proofErr w:type="spellStart"/>
      <w:r>
        <w:rPr>
          <w:rtl/>
        </w:rPr>
        <w:t>פיונטניצה</w:t>
      </w:r>
      <w:proofErr w:type="spellEnd"/>
      <w:r>
        <w:rPr>
          <w:rtl/>
        </w:rPr>
        <w:t xml:space="preserve"> יושב גאון כר׳ </w:t>
      </w:r>
      <w:proofErr w:type="spellStart"/>
      <w:r>
        <w:rPr>
          <w:rtl/>
        </w:rPr>
        <w:t>דוד־טעביל</w:t>
      </w:r>
      <w:proofErr w:type="spellEnd"/>
      <w:r>
        <w:rPr>
          <w:rtl/>
        </w:rPr>
        <w:t xml:space="preserve"> </w:t>
      </w:r>
      <w:proofErr w:type="spellStart"/>
      <w:r>
        <w:rPr>
          <w:rtl/>
        </w:rPr>
        <w:t>דינובסקי</w:t>
      </w:r>
      <w:proofErr w:type="spellEnd"/>
      <w:r>
        <w:rPr>
          <w:rtl/>
        </w:rPr>
        <w:t xml:space="preserve">?!’ לפני שהסכים לקבל את הרבנות </w:t>
      </w:r>
      <w:proofErr w:type="spellStart"/>
      <w:r>
        <w:rPr>
          <w:rtl/>
        </w:rPr>
        <w:t>בלומז׳ה</w:t>
      </w:r>
      <w:proofErr w:type="spellEnd"/>
      <w:r>
        <w:rPr>
          <w:rtl/>
        </w:rPr>
        <w:t xml:space="preserve">, היה צריך ר׳ </w:t>
      </w:r>
      <w:proofErr w:type="spellStart"/>
      <w:r>
        <w:rPr>
          <w:rtl/>
        </w:rPr>
        <w:t>ארצ׳יק</w:t>
      </w:r>
      <w:proofErr w:type="spellEnd"/>
      <w:r>
        <w:rPr>
          <w:rtl/>
        </w:rPr>
        <w:t xml:space="preserve"> בקשט לקבל אישור שר׳ </w:t>
      </w:r>
      <w:proofErr w:type="spellStart"/>
      <w:r>
        <w:rPr>
          <w:rtl/>
        </w:rPr>
        <w:t>דוד־טעביל</w:t>
      </w:r>
      <w:proofErr w:type="spellEnd"/>
      <w:r>
        <w:rPr>
          <w:rtl/>
        </w:rPr>
        <w:t xml:space="preserve"> שמח שיכהן כרב בעיר הגדולה הסמוכה. כשדרש הרב </w:t>
      </w:r>
      <w:proofErr w:type="spellStart"/>
      <w:r>
        <w:rPr>
          <w:rtl/>
        </w:rPr>
        <w:t>דינובסקי</w:t>
      </w:r>
      <w:proofErr w:type="spellEnd"/>
      <w:r>
        <w:rPr>
          <w:rtl/>
        </w:rPr>
        <w:t xml:space="preserve"> לפני קהילתו את הדרשות המסורתיות של שבת הגדול ושבת שובה, דיבר שעות – הוא היה מעיין המתגבר ממש. בעלי הבתים של </w:t>
      </w:r>
      <w:proofErr w:type="spellStart"/>
      <w:r>
        <w:rPr>
          <w:rtl/>
        </w:rPr>
        <w:t>פיונטניצה</w:t>
      </w:r>
      <w:proofErr w:type="spellEnd"/>
      <w:r>
        <w:rPr>
          <w:rtl/>
        </w:rPr>
        <w:t xml:space="preserve"> לא היו מסוגלים להעריכו: לא היו מבינים אותו גם אילו דיבר חצי שעה בלבד, כל שכן שעות. ראש ישיבתנו, ר׳ </w:t>
      </w:r>
      <w:proofErr w:type="spellStart"/>
      <w:r>
        <w:rPr>
          <w:rtl/>
        </w:rPr>
        <w:t>יחיאל־מרדכי</w:t>
      </w:r>
      <w:proofErr w:type="spellEnd"/>
      <w:r>
        <w:rPr>
          <w:rtl/>
        </w:rPr>
        <w:t xml:space="preserve"> גורדון, כיבדו בהזמנה למסור שיעור בישיבת </w:t>
      </w:r>
      <w:proofErr w:type="spellStart"/>
      <w:r>
        <w:rPr>
          <w:rtl/>
        </w:rPr>
        <w:t>לומז׳ה</w:t>
      </w:r>
      <w:proofErr w:type="spellEnd"/>
      <w:r>
        <w:rPr>
          <w:rtl/>
        </w:rPr>
        <w:t xml:space="preserve"> פעם בכל זמן. אני זוכר שפעם סיים שיעור על המשנה </w:t>
      </w:r>
      <w:r>
        <w:rPr>
          <w:rtl/>
        </w:rPr>
        <w:lastRenderedPageBreak/>
        <w:t>במסכת בבא מציעא</w:t>
      </w:r>
      <w:bookmarkStart w:id="6010" w:name="_fnr4539"/>
      <w:r>
        <w:rPr>
          <w:rStyle w:val="a5"/>
        </w:rPr>
        <w:footnoteReference w:id="4550" w:customMarkFollows="0"/>
      </w:r>
      <w:bookmarkEnd w:id="6010"/>
      <w:r>
        <w:rPr>
          <w:rtl/>
        </w:rPr>
        <w:t>, בדבר פרה רצה בין הכרמים, בלקח מוסרי לנו התלמידים, והזהירנו מפני ‘ריצה כבהמות חסרות רסן בין הנאות העולם’”.</w:t>
      </w:r>
    </w:p>
    <w:bookmarkStart w:id="6011" w:name="b5_note41"/>
    <w:p w14:paraId="57922554" w14:textId="77777777" w:rsidR="00AB3647" w:rsidRDefault="00000000" w:rsidP="007923E9">
      <w:pPr>
        <w:spacing w:before="120" w:after="100" w:line="276" w:lineRule="auto"/>
        <w:jc w:val="both"/>
      </w:pPr>
      <w:r>
        <w:fldChar w:fldCharType="begin" w:dirty="true"/>
      </w:r>
      <w:r>
        <w:instrText>HYPERLINK \l "b5_ref41"</w:instrText>
      </w:r>
      <w:r>
        <w:fldChar w:fldCharType="separate"/>
      </w:r>
      <w:r>
        <w:rPr>
          <w:b/>
          <w:bCs/>
          <w:rtl/>
        </w:rPr>
        <w:t>41</w:t>
      </w:r>
      <w:r>
        <w:rPr>
          <w:b/>
          <w:bCs/>
        </w:rPr>
        <w:fldChar w:fldCharType="end"/>
      </w:r>
      <w:bookmarkEnd w:id="6011"/>
      <w:r>
        <w:rPr>
          <w:rtl/>
        </w:rPr>
        <w:t xml:space="preserve"> ראה סוף ההערה הבאה.</w:t>
      </w:r>
    </w:p>
    <w:bookmarkStart w:id="6012" w:name="b5_note42"/>
    <w:p w14:paraId="1CAEF60A" w14:textId="77777777" w:rsidR="00AB3647" w:rsidRDefault="00000000" w:rsidP="007923E9">
      <w:pPr>
        <w:spacing w:before="120" w:after="100" w:line="276" w:lineRule="auto"/>
        <w:jc w:val="both"/>
      </w:pPr>
      <w:r>
        <w:fldChar w:fldCharType="begin" w:dirty="true"/>
      </w:r>
      <w:r>
        <w:instrText>HYPERLINK \l "b5_ref42"</w:instrText>
      </w:r>
      <w:r>
        <w:fldChar w:fldCharType="separate"/>
      </w:r>
      <w:r>
        <w:rPr>
          <w:b/>
          <w:bCs/>
          <w:rtl/>
        </w:rPr>
        <w:t>42</w:t>
      </w:r>
      <w:r>
        <w:rPr>
          <w:b/>
          <w:bCs/>
        </w:rPr>
        <w:fldChar w:fldCharType="end"/>
      </w:r>
      <w:bookmarkEnd w:id="6012"/>
      <w:r>
        <w:rPr>
          <w:rtl/>
        </w:rPr>
        <w:t xml:space="preserve"> לפי תמר </w:t>
      </w:r>
      <w:proofErr w:type="spellStart"/>
      <w:r>
        <w:rPr>
          <w:rtl/>
        </w:rPr>
        <w:t>קיל</w:t>
      </w:r>
      <w:proofErr w:type="spellEnd"/>
      <w:r>
        <w:rPr>
          <w:rtl/>
        </w:rPr>
        <w:t xml:space="preserve">, סבה ר׳ </w:t>
      </w:r>
      <w:proofErr w:type="spellStart"/>
      <w:r>
        <w:rPr>
          <w:rtl/>
        </w:rPr>
        <w:t>דוד־טעביל</w:t>
      </w:r>
      <w:proofErr w:type="spellEnd"/>
      <w:r>
        <w:rPr>
          <w:rtl/>
        </w:rPr>
        <w:t xml:space="preserve">, שנתחנך </w:t>
      </w:r>
      <w:proofErr w:type="spellStart"/>
      <w:r>
        <w:rPr>
          <w:rtl/>
        </w:rPr>
        <w:t>בקלם</w:t>
      </w:r>
      <w:proofErr w:type="spellEnd"/>
      <w:r>
        <w:rPr>
          <w:rtl/>
        </w:rPr>
        <w:t xml:space="preserve"> – ששם היה האידיאל להצמיח בעלי בתים שהם גם בעלי מוסר – רצה להיות מנהל חשבונות, ואף השלים את הלימודים הנחוצים לכך. אבל </w:t>
      </w:r>
      <w:proofErr w:type="spellStart"/>
      <w:r>
        <w:rPr>
          <w:rtl/>
        </w:rPr>
        <w:t>החפץ־חיים</w:t>
      </w:r>
      <w:bookmarkStart w:id="6013" w:name="_fnr4540"/>
      <w:proofErr w:type="spellEnd"/>
      <w:r>
        <w:rPr>
          <w:rStyle w:val="a5"/>
        </w:rPr>
        <w:footnoteReference w:id="4551" w:customMarkFollows="0"/>
      </w:r>
      <w:bookmarkEnd w:id="6013"/>
      <w:r>
        <w:rPr>
          <w:rtl/>
        </w:rPr>
        <w:t xml:space="preserve"> לא התיר לו להיות אלא רב</w:t>
      </w:r>
      <w:bookmarkStart w:id="6014" w:name="_fnr4541"/>
      <w:r>
        <w:rPr>
          <w:rStyle w:val="a5"/>
        </w:rPr>
        <w:footnoteReference w:id="4552" w:customMarkFollows="0"/>
      </w:r>
      <w:bookmarkEnd w:id="6014"/>
      <w:r>
        <w:rPr>
          <w:rtl/>
        </w:rPr>
        <w:t>.</w:t>
      </w:r>
    </w:p>
    <w:p w14:paraId="7F218E08" w14:textId="77777777" w:rsidR="00AB3647" w:rsidRDefault="00000000" w:rsidP="007923E9">
      <w:pPr>
        <w:spacing w:before="120" w:after="100" w:line="276" w:lineRule="auto"/>
        <w:jc w:val="both"/>
      </w:pPr>
      <w:r>
        <w:rPr>
          <w:rtl/>
        </w:rPr>
        <w:t xml:space="preserve">ר׳ יהושע </w:t>
      </w:r>
      <w:proofErr w:type="spellStart"/>
      <w:r>
        <w:rPr>
          <w:rtl/>
        </w:rPr>
        <w:t>הוטנר</w:t>
      </w:r>
      <w:proofErr w:type="spellEnd"/>
      <w:r>
        <w:rPr>
          <w:rtl/>
        </w:rPr>
        <w:t xml:space="preserve">, שבבית הוריו בוורשה התארח הרב </w:t>
      </w:r>
      <w:proofErr w:type="spellStart"/>
      <w:r>
        <w:rPr>
          <w:rtl/>
        </w:rPr>
        <w:t>דינובסקי</w:t>
      </w:r>
      <w:proofErr w:type="spellEnd"/>
      <w:r>
        <w:rPr>
          <w:rtl/>
        </w:rPr>
        <w:t xml:space="preserve"> מדי שנה בשנים תרפ״ב–תרפ״ה – “בכל פעם שהה חודשיים”, אמר ר׳ יהושע – תיאר אותו כך</w:t>
      </w:r>
      <w:bookmarkStart w:id="6015" w:name="_fnr4542"/>
      <w:r>
        <w:rPr>
          <w:rStyle w:val="a5"/>
        </w:rPr>
        <w:footnoteReference w:id="4553" w:customMarkFollows="0"/>
      </w:r>
      <w:bookmarkEnd w:id="6015"/>
      <w:r>
        <w:rPr>
          <w:rtl/>
        </w:rPr>
        <w:t>: “הוא היה לבוש בגדים מסודרים ואופנתיים, רבניים, אך כאיש קלם שהיה – כובע מגבעת קשיח, צווארון נוקשה ועניבה. בכל יום מימי שהותו היה מגיע לביתנו בשעת ארוחת הערב, ומשוחח עם אבי</w:t>
      </w:r>
      <w:bookmarkStart w:id="6016" w:name="_fnr4543"/>
      <w:r>
        <w:rPr>
          <w:rStyle w:val="a5"/>
        </w:rPr>
        <w:footnoteReference w:id="4554" w:customMarkFollows="0"/>
      </w:r>
      <w:bookmarkEnd w:id="6016"/>
      <w:r>
        <w:rPr>
          <w:rtl/>
        </w:rPr>
        <w:t xml:space="preserve">, שסדר יומו בענייני הרבנות הסתיים אז. כשנכנס הרב </w:t>
      </w:r>
      <w:proofErr w:type="spellStart"/>
      <w:r>
        <w:rPr>
          <w:rtl/>
        </w:rPr>
        <w:t>דינובסקי</w:t>
      </w:r>
      <w:proofErr w:type="spellEnd"/>
      <w:r>
        <w:rPr>
          <w:rtl/>
        </w:rPr>
        <w:t xml:space="preserve"> לבית היה מכריז: ‘עכשיו מעביר אדם את עול דרך ארץ’</w:t>
      </w:r>
      <w:bookmarkStart w:id="6017" w:name="_fnr4544"/>
      <w:r>
        <w:rPr>
          <w:rStyle w:val="a5"/>
        </w:rPr>
        <w:footnoteReference w:id="4555" w:customMarkFollows="0"/>
      </w:r>
      <w:bookmarkEnd w:id="6017"/>
      <w:r>
        <w:rPr>
          <w:rtl/>
        </w:rPr>
        <w:t>, מסיר את צווארונו ומתרווח. הוא הרשים אותי בחנו ובכובד ראשו; והיה מדקדק בכל תנועה, מדקדק עצום”.</w:t>
      </w:r>
    </w:p>
    <w:p w14:paraId="4552D625" w14:textId="77777777" w:rsidR="00AB3647" w:rsidRDefault="00000000" w:rsidP="007923E9">
      <w:pPr>
        <w:spacing w:before="120" w:after="100" w:line="276" w:lineRule="auto"/>
        <w:jc w:val="both"/>
      </w:pPr>
      <w:r>
        <w:rPr>
          <w:rtl/>
        </w:rPr>
        <w:t xml:space="preserve">מעניין שגם רבו </w:t>
      </w:r>
      <w:proofErr w:type="spellStart"/>
      <w:r>
        <w:rPr>
          <w:rtl/>
        </w:rPr>
        <w:t>בקלם</w:t>
      </w:r>
      <w:proofErr w:type="spellEnd"/>
      <w:r>
        <w:rPr>
          <w:rtl/>
        </w:rPr>
        <w:t xml:space="preserve">, ר׳ </w:t>
      </w:r>
      <w:proofErr w:type="spellStart"/>
      <w:r>
        <w:rPr>
          <w:rtl/>
        </w:rPr>
        <w:t>שמחה־זיסל</w:t>
      </w:r>
      <w:proofErr w:type="spellEnd"/>
      <w:r>
        <w:rPr>
          <w:rtl/>
        </w:rPr>
        <w:t xml:space="preserve">, מתואר ארבעים שנה קודם לכן על פי לבושו וניקיונו. השווה המאמר הראשון על </w:t>
      </w:r>
      <w:proofErr w:type="spellStart"/>
      <w:r>
        <w:rPr>
          <w:rtl/>
        </w:rPr>
        <w:t>גרובין</w:t>
      </w:r>
      <w:proofErr w:type="spellEnd"/>
      <w:r>
        <w:rPr>
          <w:rtl/>
        </w:rPr>
        <w:t xml:space="preserve"> </w:t>
      </w:r>
      <w:proofErr w:type="spellStart"/>
      <w:r>
        <w:rPr>
          <w:rtl/>
        </w:rPr>
        <w:t>ב“העבר</w:t>
      </w:r>
      <w:proofErr w:type="spellEnd"/>
      <w:r>
        <w:rPr>
          <w:rtl/>
        </w:rPr>
        <w:t>”</w:t>
      </w:r>
      <w:bookmarkStart w:id="6018" w:name="_fnr4545"/>
      <w:r>
        <w:rPr>
          <w:rStyle w:val="a5"/>
        </w:rPr>
        <w:footnoteReference w:id="4556" w:customMarkFollows="0"/>
      </w:r>
      <w:bookmarkEnd w:id="6018"/>
      <w:r>
        <w:rPr>
          <w:rtl/>
        </w:rPr>
        <w:t xml:space="preserve">: “ר׳ </w:t>
      </w:r>
      <w:proofErr w:type="spellStart"/>
      <w:r>
        <w:rPr>
          <w:rtl/>
        </w:rPr>
        <w:t>שמחה־זיסל</w:t>
      </w:r>
      <w:proofErr w:type="spellEnd"/>
      <w:r>
        <w:rPr>
          <w:rtl/>
        </w:rPr>
        <w:t xml:space="preserve"> זיו היה לבוש בגדים אפורים כהים, נעליים מצוחצחות וצווארון לבן מקופל, שמתחתיו נראתה עניבה שחורה על חזית חולצה לבנה – ועשה רושם של ג׳נטלמן מאירופה, הקשור לאיזה סמינר תאולוגי שם. פאותיו המאפירות היו מסורקות מאחורי אוזניו, וגם זקנו לא היה פרוע”.</w:t>
      </w:r>
    </w:p>
    <w:p w14:paraId="15EE326B" w14:textId="39657F1B" w:rsidR="00AB3647" w:rsidRDefault="00000000" w:rsidP="007923E9">
      <w:pPr>
        <w:spacing w:before="120" w:after="100" w:line="276" w:lineRule="auto"/>
        <w:jc w:val="both"/>
      </w:pPr>
      <w:r>
        <w:rPr>
          <w:rtl/>
        </w:rPr>
        <w:t>ר׳ זליג אפשטיין</w:t>
      </w:r>
      <w:bookmarkStart w:id="6019" w:name="_fnr4546"/>
      <w:r>
        <w:rPr>
          <w:rStyle w:val="a5"/>
        </w:rPr>
        <w:footnoteReference w:id="4557" w:customMarkFollows="0"/>
      </w:r>
      <w:bookmarkEnd w:id="6019"/>
      <w:r>
        <w:rPr>
          <w:rtl/>
        </w:rPr>
        <w:t xml:space="preserve">, ששבת בבית ר׳ </w:t>
      </w:r>
      <w:proofErr w:type="spellStart"/>
      <w:r>
        <w:rPr>
          <w:rtl/>
        </w:rPr>
        <w:t>דוד־טעביל</w:t>
      </w:r>
      <w:proofErr w:type="spellEnd"/>
      <w:r>
        <w:rPr>
          <w:rtl/>
        </w:rPr>
        <w:t xml:space="preserve"> </w:t>
      </w:r>
      <w:proofErr w:type="spellStart"/>
      <w:r>
        <w:rPr>
          <w:rtl/>
        </w:rPr>
        <w:t>בפיונטניצה</w:t>
      </w:r>
      <w:proofErr w:type="spellEnd"/>
      <w:r>
        <w:rPr>
          <w:rtl/>
        </w:rPr>
        <w:t xml:space="preserve"> בקיץ תרצ״ו, סיפר: “מארחי היה מפורסם בישיבת </w:t>
      </w:r>
      <w:proofErr w:type="spellStart"/>
      <w:r>
        <w:rPr>
          <w:rtl/>
        </w:rPr>
        <w:t>מיר</w:t>
      </w:r>
      <w:proofErr w:type="spellEnd"/>
      <w:r>
        <w:rPr>
          <w:rtl/>
        </w:rPr>
        <w:t xml:space="preserve"> כצדיק גדול בהנהגתו – היה ידוע שהוא עומד זקוף בנסיעה </w:t>
      </w:r>
      <w:proofErr w:type="spellStart"/>
      <w:r>
        <w:rPr>
          <w:rtl/>
        </w:rPr>
        <w:t>בדרושקה</w:t>
      </w:r>
      <w:proofErr w:type="spellEnd"/>
      <w:r>
        <w:rPr>
          <w:rtl/>
        </w:rPr>
        <w:t xml:space="preserve"> [מונית רתומה לסוס], מחשש שמושב הבד עשוי שעטנז – אף שלא היה בו עומק המוסר שנודע בו רבו, ר׳ </w:t>
      </w:r>
      <w:proofErr w:type="spellStart"/>
      <w:r>
        <w:rPr>
          <w:rtl/>
        </w:rPr>
        <w:t>שמחה־זיסל</w:t>
      </w:r>
      <w:proofErr w:type="spellEnd"/>
      <w:r>
        <w:rPr>
          <w:rtl/>
        </w:rPr>
        <w:t xml:space="preserve">”. על הנהגת ר׳ </w:t>
      </w:r>
      <w:proofErr w:type="spellStart"/>
      <w:r>
        <w:rPr>
          <w:rtl/>
        </w:rPr>
        <w:t>דוד־טעביל</w:t>
      </w:r>
      <w:proofErr w:type="spellEnd"/>
      <w:r>
        <w:rPr>
          <w:rtl/>
        </w:rPr>
        <w:t xml:space="preserve"> בנסיעה </w:t>
      </w:r>
      <w:proofErr w:type="spellStart"/>
      <w:r>
        <w:rPr>
          <w:rtl/>
        </w:rPr>
        <w:t>בדרושקה</w:t>
      </w:r>
      <w:proofErr w:type="spellEnd"/>
      <w:r>
        <w:rPr>
          <w:rtl/>
        </w:rPr>
        <w:t xml:space="preserve"> ראה גם את התיאור על </w:t>
      </w:r>
      <w:proofErr w:type="spellStart"/>
      <w:r>
        <w:rPr>
          <w:rtl/>
        </w:rPr>
        <w:t>החפץ־חיים</w:t>
      </w:r>
      <w:proofErr w:type="spellEnd"/>
      <w:r>
        <w:rPr>
          <w:rtl/>
        </w:rPr>
        <w:t xml:space="preserve">, המובא בפסקה השנייה של </w:t>
      </w:r>
      <w:r>
        <w:rPr>
          <w:rtl/>
        </w:rPr>
        <w:fldChar w:fldCharType="begin" w:dirty="true"/>
      </w:r>
      <w:r>
        <w:rPr>
          <w:rtl/>
        </w:rPr>
        <w:instrText xml:space="preserve"> REF b5_excB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 xml:space="preserve"> להלן.</w:t>
      </w:r>
    </w:p>
    <w:bookmarkStart w:id="6020" w:name="b5_note43"/>
    <w:p w14:paraId="6E10F8B4" w14:textId="77777777" w:rsidR="00AB3647" w:rsidRDefault="00000000" w:rsidP="007923E9">
      <w:pPr>
        <w:spacing w:before="120" w:after="100" w:line="276" w:lineRule="auto"/>
        <w:jc w:val="both"/>
      </w:pPr>
      <w:r>
        <w:fldChar w:fldCharType="begin" w:dirty="true"/>
      </w:r>
      <w:r>
        <w:instrText>HYPERLINK \l "b5_ref43"</w:instrText>
      </w:r>
      <w:r>
        <w:fldChar w:fldCharType="separate"/>
      </w:r>
      <w:r>
        <w:rPr>
          <w:b/>
          <w:bCs/>
          <w:rtl/>
        </w:rPr>
        <w:t>43</w:t>
      </w:r>
      <w:r>
        <w:rPr>
          <w:b/>
          <w:bCs/>
        </w:rPr>
        <w:fldChar w:fldCharType="end"/>
      </w:r>
      <w:bookmarkEnd w:id="6020"/>
      <w:r>
        <w:rPr>
          <w:rtl/>
        </w:rPr>
        <w:t xml:space="preserve"> ר׳ שרגא אברמסון</w:t>
      </w:r>
      <w:bookmarkStart w:id="6021" w:name="_fnr4547"/>
      <w:r>
        <w:rPr>
          <w:rStyle w:val="a5"/>
        </w:rPr>
        <w:footnoteReference w:id="4558" w:customMarkFollows="0"/>
      </w:r>
      <w:bookmarkEnd w:id="6021"/>
      <w:r>
        <w:rPr>
          <w:rtl/>
        </w:rPr>
        <w:t xml:space="preserve"> היה בן </w:t>
      </w:r>
      <w:proofErr w:type="spellStart"/>
      <w:r>
        <w:rPr>
          <w:rtl/>
        </w:rPr>
        <w:t>שתים־עשרה</w:t>
      </w:r>
      <w:proofErr w:type="spellEnd"/>
      <w:r>
        <w:rPr>
          <w:rtl/>
        </w:rPr>
        <w:t xml:space="preserve"> כשבא ללמוד </w:t>
      </w:r>
      <w:proofErr w:type="spellStart"/>
      <w:r>
        <w:rPr>
          <w:rtl/>
        </w:rPr>
        <w:t>בלומז׳ה</w:t>
      </w:r>
      <w:proofErr w:type="spellEnd"/>
      <w:r>
        <w:rPr>
          <w:rtl/>
        </w:rPr>
        <w:t xml:space="preserve"> והתחיל לבקר תכופות אצל ר׳ </w:t>
      </w:r>
      <w:proofErr w:type="spellStart"/>
      <w:r>
        <w:rPr>
          <w:rtl/>
        </w:rPr>
        <w:t>דוד־טעביל</w:t>
      </w:r>
      <w:proofErr w:type="spellEnd"/>
      <w:r>
        <w:rPr>
          <w:rtl/>
        </w:rPr>
        <w:t xml:space="preserve">. הוא סיפר: “כמה מתלמידי הישיבה היו מקורבים אליו מאוד, והיו מרבים ללכת לשוחח עמו: הוא היה </w:t>
      </w:r>
      <w:proofErr w:type="spellStart"/>
      <w:r>
        <w:rPr>
          <w:rtl/>
        </w:rPr>
        <w:t>אויסגעקלונגענער</w:t>
      </w:r>
      <w:proofErr w:type="spellEnd"/>
      <w:r>
        <w:rPr>
          <w:rtl/>
        </w:rPr>
        <w:t xml:space="preserve"> </w:t>
      </w:r>
      <w:proofErr w:type="spellStart"/>
      <w:r>
        <w:rPr>
          <w:rtl/>
        </w:rPr>
        <w:t>מענש</w:t>
      </w:r>
      <w:proofErr w:type="spellEnd"/>
      <w:r>
        <w:rPr>
          <w:rtl/>
        </w:rPr>
        <w:t xml:space="preserve"> [אדם בעל שם], והייתה זו זכות להכירו. </w:t>
      </w:r>
      <w:proofErr w:type="spellStart"/>
      <w:r>
        <w:rPr>
          <w:rtl/>
        </w:rPr>
        <w:lastRenderedPageBreak/>
        <w:t>איידעלקייט</w:t>
      </w:r>
      <w:proofErr w:type="spellEnd"/>
      <w:r>
        <w:rPr>
          <w:rtl/>
        </w:rPr>
        <w:t xml:space="preserve"> [עדינותו] הייתה אין לשער – יחסו לאדם! הייתי ילד קטן, </w:t>
      </w:r>
      <w:proofErr w:type="spellStart"/>
      <w:r>
        <w:rPr>
          <w:rtl/>
        </w:rPr>
        <w:t>לא־כלום</w:t>
      </w:r>
      <w:proofErr w:type="spellEnd"/>
      <w:r>
        <w:rPr>
          <w:rtl/>
        </w:rPr>
        <w:t>, והכבוד שבו נהג בי היה למעלה מהבנה. ביקרתי אצלו פעמים רבות: היה נעים לשהות בחברתו... אינני יודע מדוע מצאתי חן בעיניו, אבל הוא אהב אותי מאוד”, המשיך ר׳ שרגא.</w:t>
      </w:r>
    </w:p>
    <w:p w14:paraId="1C21F652" w14:textId="77777777" w:rsidR="00AB3647" w:rsidRDefault="00000000" w:rsidP="007923E9">
      <w:pPr>
        <w:spacing w:before="120" w:after="100" w:line="276" w:lineRule="auto"/>
        <w:jc w:val="both"/>
      </w:pPr>
      <w:r>
        <w:rPr>
          <w:rtl/>
        </w:rPr>
        <w:t xml:space="preserve">“כשעמדתי לצאת לארץ ישראל, באתי בשבת להיפרד מן החכם. הוא גר בקומה העליונה, ליווה אותי עד הדלת ונפרד ממני במשחק מילים – ‘א </w:t>
      </w:r>
      <w:proofErr w:type="spellStart"/>
      <w:r>
        <w:rPr>
          <w:rtl/>
        </w:rPr>
        <w:t>כאפ</w:t>
      </w:r>
      <w:proofErr w:type="spellEnd"/>
      <w:r>
        <w:rPr>
          <w:rtl/>
        </w:rPr>
        <w:t xml:space="preserve">’ [תפיסה] – בשתי מילים ביידיש הנשמעות זהות, </w:t>
      </w:r>
      <w:proofErr w:type="spellStart"/>
      <w:r>
        <w:rPr>
          <w:rtl/>
        </w:rPr>
        <w:t>פאהרט</w:t>
      </w:r>
      <w:proofErr w:type="spellEnd"/>
      <w:r>
        <w:rPr>
          <w:rtl/>
        </w:rPr>
        <w:t xml:space="preserve"> </w:t>
      </w:r>
      <w:proofErr w:type="spellStart"/>
      <w:r>
        <w:rPr>
          <w:rtl/>
        </w:rPr>
        <w:t>ופארט</w:t>
      </w:r>
      <w:proofErr w:type="spellEnd"/>
      <w:r>
        <w:rPr>
          <w:rtl/>
        </w:rPr>
        <w:t xml:space="preserve">: הראשונה צורת ציווי מן הפועל </w:t>
      </w:r>
      <w:proofErr w:type="spellStart"/>
      <w:r>
        <w:rPr>
          <w:rtl/>
        </w:rPr>
        <w:t>פאהרען</w:t>
      </w:r>
      <w:proofErr w:type="spellEnd"/>
      <w:r>
        <w:rPr>
          <w:rtl/>
        </w:rPr>
        <w:t xml:space="preserve"> [לנסוע], והשנייה תואר פועל שפירושו ‘בכל זאת’. ר׳ </w:t>
      </w:r>
      <w:proofErr w:type="spellStart"/>
      <w:r>
        <w:rPr>
          <w:rtl/>
        </w:rPr>
        <w:t>דוד־טעביל</w:t>
      </w:r>
      <w:proofErr w:type="spellEnd"/>
      <w:r>
        <w:rPr>
          <w:rtl/>
        </w:rPr>
        <w:t xml:space="preserve"> אמר: ‘בשבת אסור לומר את צורת הציווי של הפועל נסע; לכן אין נפרדים בנוסח הפרידה הרגיל, </w:t>
      </w:r>
      <w:proofErr w:type="spellStart"/>
      <w:r>
        <w:rPr>
          <w:rtl/>
        </w:rPr>
        <w:t>פאהרט</w:t>
      </w:r>
      <w:proofErr w:type="spellEnd"/>
      <w:r>
        <w:rPr>
          <w:rtl/>
        </w:rPr>
        <w:t xml:space="preserve"> </w:t>
      </w:r>
      <w:proofErr w:type="spellStart"/>
      <w:r>
        <w:rPr>
          <w:rtl/>
        </w:rPr>
        <w:t>געזונט</w:t>
      </w:r>
      <w:proofErr w:type="spellEnd"/>
      <w:r>
        <w:rPr>
          <w:rtl/>
        </w:rPr>
        <w:t xml:space="preserve"> [סע בבריאות]’. ואחר כך המשיך: ‘אבער איר </w:t>
      </w:r>
      <w:proofErr w:type="spellStart"/>
      <w:r>
        <w:rPr>
          <w:rtl/>
        </w:rPr>
        <w:t>פאהרט</w:t>
      </w:r>
      <w:proofErr w:type="spellEnd"/>
      <w:r>
        <w:rPr>
          <w:rtl/>
        </w:rPr>
        <w:t xml:space="preserve"> דאך </w:t>
      </w:r>
      <w:proofErr w:type="spellStart"/>
      <w:r>
        <w:rPr>
          <w:rtl/>
        </w:rPr>
        <w:t>פארט</w:t>
      </w:r>
      <w:proofErr w:type="spellEnd"/>
      <w:r>
        <w:rPr>
          <w:rtl/>
        </w:rPr>
        <w:t xml:space="preserve"> – אין </w:t>
      </w:r>
      <w:proofErr w:type="spellStart"/>
      <w:r>
        <w:rPr>
          <w:rtl/>
        </w:rPr>
        <w:t>געזונט</w:t>
      </w:r>
      <w:proofErr w:type="spellEnd"/>
      <w:r>
        <w:rPr>
          <w:rtl/>
        </w:rPr>
        <w:t xml:space="preserve"> [אבל אתם נוסעים הרי בכל זאת – בבריאות]!’ כך אמר הרב את שתי המילים הסמוכות של נוסח הפרידה המסורתי, ‘</w:t>
      </w:r>
      <w:proofErr w:type="spellStart"/>
      <w:r>
        <w:rPr>
          <w:rtl/>
        </w:rPr>
        <w:t>פארט</w:t>
      </w:r>
      <w:proofErr w:type="spellEnd"/>
      <w:r>
        <w:rPr>
          <w:rtl/>
        </w:rPr>
        <w:t xml:space="preserve"> </w:t>
      </w:r>
      <w:proofErr w:type="spellStart"/>
      <w:r>
        <w:rPr>
          <w:rtl/>
        </w:rPr>
        <w:t>געזונט</w:t>
      </w:r>
      <w:proofErr w:type="spellEnd"/>
      <w:r>
        <w:rPr>
          <w:rtl/>
        </w:rPr>
        <w:t>’, בדרך שעקפה את איסור השבת”.</w:t>
      </w:r>
    </w:p>
    <w:bookmarkStart w:id="6022" w:name="b5_note44"/>
    <w:p w14:paraId="5DF3750A" w14:textId="77777777" w:rsidR="00AB3647" w:rsidRDefault="00000000" w:rsidP="007923E9">
      <w:pPr>
        <w:spacing w:before="120" w:after="100" w:line="276" w:lineRule="auto"/>
        <w:jc w:val="both"/>
      </w:pPr>
      <w:r>
        <w:fldChar w:fldCharType="begin" w:dirty="true"/>
      </w:r>
      <w:r>
        <w:instrText>HYPERLINK \l "b5_ref44"</w:instrText>
      </w:r>
      <w:r>
        <w:fldChar w:fldCharType="separate"/>
      </w:r>
      <w:r>
        <w:rPr>
          <w:b/>
          <w:bCs/>
          <w:rtl/>
        </w:rPr>
        <w:t>44</w:t>
      </w:r>
      <w:r>
        <w:rPr>
          <w:b/>
          <w:bCs/>
        </w:rPr>
        <w:fldChar w:fldCharType="end"/>
      </w:r>
      <w:bookmarkEnd w:id="6022"/>
      <w:r>
        <w:rPr>
          <w:rtl/>
        </w:rPr>
        <w:t xml:space="preserve"> “היה לו קול יפה, כמו לכל ילדיו”, אמרה תמר </w:t>
      </w:r>
      <w:proofErr w:type="spellStart"/>
      <w:r>
        <w:rPr>
          <w:rtl/>
        </w:rPr>
        <w:t>קיל</w:t>
      </w:r>
      <w:proofErr w:type="spellEnd"/>
      <w:r>
        <w:rPr>
          <w:rtl/>
        </w:rPr>
        <w:t xml:space="preserve">. בריאיון עם בני הזוג </w:t>
      </w:r>
      <w:proofErr w:type="spellStart"/>
      <w:r>
        <w:rPr>
          <w:rtl/>
        </w:rPr>
        <w:t>קיל</w:t>
      </w:r>
      <w:bookmarkStart w:id="6023" w:name="_fnr4548"/>
      <w:proofErr w:type="spellEnd"/>
      <w:r>
        <w:rPr>
          <w:rStyle w:val="a5"/>
        </w:rPr>
        <w:footnoteReference w:id="4559" w:customMarkFollows="0"/>
      </w:r>
      <w:bookmarkEnd w:id="6023"/>
      <w:r>
        <w:rPr>
          <w:rtl/>
        </w:rPr>
        <w:t xml:space="preserve"> הראו לי ספר בכריכה רכה, בלי שם המחבר, שכתב ר׳ </w:t>
      </w:r>
      <w:proofErr w:type="spellStart"/>
      <w:r>
        <w:rPr>
          <w:rtl/>
        </w:rPr>
        <w:t>דוד־טעביל</w:t>
      </w:r>
      <w:proofErr w:type="spellEnd"/>
      <w:r>
        <w:rPr>
          <w:rtl/>
        </w:rPr>
        <w:t xml:space="preserve"> בגנות שיתוף הפעולה העקר של מפלגת המזרחי הציונית עם הגופים הציוניים </w:t>
      </w:r>
      <w:proofErr w:type="spellStart"/>
      <w:r>
        <w:rPr>
          <w:rtl/>
        </w:rPr>
        <w:t>הלא־דתיים</w:t>
      </w:r>
      <w:proofErr w:type="spellEnd"/>
      <w:r>
        <w:rPr>
          <w:rtl/>
        </w:rPr>
        <w:t>. הספר נקרא “מאמר לקראת צמא</w:t>
      </w:r>
      <w:bookmarkStart w:id="6024" w:name="_fnr4549"/>
      <w:r>
        <w:rPr>
          <w:rStyle w:val="a5"/>
        </w:rPr>
        <w:footnoteReference w:id="4560" w:customMarkFollows="0"/>
      </w:r>
      <w:bookmarkEnd w:id="6024"/>
      <w:r>
        <w:rPr>
          <w:rtl/>
        </w:rPr>
        <w:t xml:space="preserve"> (</w:t>
      </w:r>
      <w:r>
        <w:rPr>
          <w:b/>
          <w:bCs/>
          <w:rtl/>
        </w:rPr>
        <w:t>צ</w:t>
      </w:r>
      <w:r>
        <w:rPr>
          <w:rtl/>
        </w:rPr>
        <w:t xml:space="preserve">יונים </w:t>
      </w:r>
      <w:r>
        <w:rPr>
          <w:b/>
          <w:bCs/>
          <w:rtl/>
        </w:rPr>
        <w:t>מ</w:t>
      </w:r>
      <w:r>
        <w:rPr>
          <w:rtl/>
        </w:rPr>
        <w:t xml:space="preserve">זרחים </w:t>
      </w:r>
      <w:proofErr w:type="spellStart"/>
      <w:r>
        <w:rPr>
          <w:b/>
          <w:bCs/>
          <w:rtl/>
        </w:rPr>
        <w:t>א</w:t>
      </w:r>
      <w:r>
        <w:rPr>
          <w:rtl/>
        </w:rPr>
        <w:t>ורטודוקסים</w:t>
      </w:r>
      <w:proofErr w:type="spellEnd"/>
      <w:r>
        <w:rPr>
          <w:rtl/>
        </w:rPr>
        <w:t>)</w:t>
      </w:r>
      <w:bookmarkStart w:id="6025" w:name="_fnr4550"/>
      <w:r>
        <w:rPr>
          <w:rStyle w:val="a5"/>
        </w:rPr>
        <w:footnoteReference w:id="4561" w:customMarkFollows="0"/>
      </w:r>
      <w:bookmarkEnd w:id="6025"/>
      <w:r>
        <w:rPr>
          <w:rtl/>
        </w:rPr>
        <w:t xml:space="preserve"> יתבררו ויתלבנו הדברים”</w:t>
      </w:r>
      <w:bookmarkStart w:id="6026" w:name="_fnr4551"/>
      <w:r>
        <w:rPr>
          <w:rStyle w:val="a5"/>
        </w:rPr>
        <w:footnoteReference w:id="4562" w:customMarkFollows="0"/>
      </w:r>
      <w:bookmarkEnd w:id="6026"/>
      <w:r>
        <w:rPr>
          <w:rtl/>
        </w:rPr>
        <w:t xml:space="preserve">, ונדפס </w:t>
      </w:r>
      <w:proofErr w:type="spellStart"/>
      <w:r>
        <w:rPr>
          <w:rtl/>
        </w:rPr>
        <w:t>בפיוטרקוב</w:t>
      </w:r>
      <w:proofErr w:type="spellEnd"/>
      <w:r>
        <w:rPr>
          <w:rtl/>
        </w:rPr>
        <w:t xml:space="preserve"> </w:t>
      </w:r>
      <w:proofErr w:type="spellStart"/>
      <w:r>
        <w:rPr>
          <w:rtl/>
        </w:rPr>
        <w:t>בתר״ץ</w:t>
      </w:r>
      <w:proofErr w:type="spellEnd"/>
      <w:r>
        <w:rPr>
          <w:rtl/>
        </w:rPr>
        <w:t>.</w:t>
      </w:r>
    </w:p>
    <w:p w14:paraId="5FDDE4E3" w14:textId="77777777" w:rsidR="00AB3647" w:rsidRDefault="00000000" w:rsidP="007923E9">
      <w:pPr>
        <w:spacing w:before="120" w:after="100" w:line="276" w:lineRule="auto"/>
        <w:jc w:val="both"/>
      </w:pPr>
      <w:r>
        <w:rPr>
          <w:rtl/>
        </w:rPr>
        <w:t>בצדו הפנימי של השער משנה המחבר מלשון המשנה</w:t>
      </w:r>
      <w:bookmarkStart w:id="6027" w:name="_fnr4552"/>
      <w:r>
        <w:rPr>
          <w:rStyle w:val="a5"/>
        </w:rPr>
        <w:footnoteReference w:id="4563" w:customMarkFollows="0"/>
      </w:r>
      <w:bookmarkEnd w:id="6027"/>
      <w:r>
        <w:rPr>
          <w:rtl/>
        </w:rPr>
        <w:t xml:space="preserve"> וכותב: “השער מצפון ‘טדי’” – כלומר, </w:t>
      </w:r>
      <w:proofErr w:type="spellStart"/>
      <w:r>
        <w:rPr>
          <w:rtl/>
        </w:rPr>
        <w:t>ב“שער</w:t>
      </w:r>
      <w:proofErr w:type="spellEnd"/>
      <w:r>
        <w:rPr>
          <w:rtl/>
        </w:rPr>
        <w:t>” הספר הסתיר</w:t>
      </w:r>
      <w:bookmarkStart w:id="6028" w:name="_fnr4553"/>
      <w:r>
        <w:rPr>
          <w:rStyle w:val="a5"/>
        </w:rPr>
        <w:footnoteReference w:id="4564" w:customMarkFollows="0"/>
      </w:r>
      <w:bookmarkEnd w:id="6028"/>
      <w:r>
        <w:rPr>
          <w:rtl/>
        </w:rPr>
        <w:t xml:space="preserve"> המחבר את ראשי התיבות של שמו (המקוצר), “</w:t>
      </w:r>
      <w:proofErr w:type="spellStart"/>
      <w:r>
        <w:rPr>
          <w:rtl/>
        </w:rPr>
        <w:t>טעביל</w:t>
      </w:r>
      <w:proofErr w:type="spellEnd"/>
      <w:r>
        <w:rPr>
          <w:rtl/>
        </w:rPr>
        <w:t xml:space="preserve"> </w:t>
      </w:r>
      <w:proofErr w:type="spellStart"/>
      <w:r>
        <w:rPr>
          <w:rtl/>
        </w:rPr>
        <w:t>דיינובסקי</w:t>
      </w:r>
      <w:proofErr w:type="spellEnd"/>
      <w:r>
        <w:rPr>
          <w:rtl/>
        </w:rPr>
        <w:t>”. הוא מפנה את הקורא גם לפירוש “תוספות יום טוב”</w:t>
      </w:r>
      <w:bookmarkStart w:id="6029" w:name="_fnr4554"/>
      <w:r>
        <w:rPr>
          <w:rStyle w:val="a5"/>
        </w:rPr>
        <w:footnoteReference w:id="4565" w:customMarkFollows="0"/>
      </w:r>
      <w:bookmarkEnd w:id="6029"/>
      <w:r>
        <w:rPr>
          <w:rtl/>
        </w:rPr>
        <w:t xml:space="preserve">, שלפיו יש לטדי שתי משמעויות: הצנע, ופיוט ושירה. נראה שר׳ </w:t>
      </w:r>
      <w:proofErr w:type="spellStart"/>
      <w:r>
        <w:rPr>
          <w:rtl/>
        </w:rPr>
        <w:t>דוד־טעביל</w:t>
      </w:r>
      <w:proofErr w:type="spellEnd"/>
      <w:r>
        <w:rPr>
          <w:rtl/>
        </w:rPr>
        <w:t xml:space="preserve"> רצה לומר שהמחבר האלמוני (</w:t>
      </w:r>
      <w:r>
        <w:rPr>
          <w:b/>
          <w:bCs/>
          <w:rtl/>
        </w:rPr>
        <w:t>המצניע</w:t>
      </w:r>
      <w:r>
        <w:rPr>
          <w:rtl/>
        </w:rPr>
        <w:t xml:space="preserve">) הוא </w:t>
      </w:r>
      <w:r>
        <w:rPr>
          <w:b/>
          <w:bCs/>
          <w:rtl/>
        </w:rPr>
        <w:t>משורר וזמר</w:t>
      </w:r>
      <w:r>
        <w:rPr>
          <w:rtl/>
        </w:rPr>
        <w:t xml:space="preserve"> – כפי שראה את עצמו.</w:t>
      </w:r>
    </w:p>
    <w:p w14:paraId="5EA2B3A7" w14:textId="77777777" w:rsidR="00AB3647" w:rsidRDefault="00000000" w:rsidP="007923E9">
      <w:pPr>
        <w:spacing w:before="120" w:after="100" w:line="276" w:lineRule="auto"/>
        <w:jc w:val="both"/>
      </w:pPr>
      <w:r>
        <w:rPr>
          <w:rtl/>
        </w:rPr>
        <w:t xml:space="preserve">מלבד תוכנו העיקרי מביא הספר שיר ארוך בלשון המקרא. באותו מעמד הראו לי בני הזוג </w:t>
      </w:r>
      <w:proofErr w:type="spellStart"/>
      <w:r>
        <w:rPr>
          <w:rtl/>
        </w:rPr>
        <w:t>קיל</w:t>
      </w:r>
      <w:proofErr w:type="spellEnd"/>
      <w:r>
        <w:rPr>
          <w:rtl/>
        </w:rPr>
        <w:t xml:space="preserve"> גם שיר אחר של ר׳ </w:t>
      </w:r>
      <w:proofErr w:type="spellStart"/>
      <w:r>
        <w:rPr>
          <w:rtl/>
        </w:rPr>
        <w:t>דוד־טעביל</w:t>
      </w:r>
      <w:proofErr w:type="spellEnd"/>
      <w:r>
        <w:rPr>
          <w:rtl/>
        </w:rPr>
        <w:t>, כתוב בכתב יד בצד הפנימי של כריכות העצם של סידור (עם תרגום לגרמנית</w:t>
      </w:r>
      <w:bookmarkStart w:id="6030" w:name="_fnr4555"/>
      <w:r>
        <w:rPr>
          <w:rStyle w:val="a5"/>
        </w:rPr>
        <w:footnoteReference w:id="4566" w:customMarkFollows="0"/>
      </w:r>
      <w:bookmarkEnd w:id="6030"/>
      <w:r>
        <w:rPr>
          <w:rtl/>
        </w:rPr>
        <w:t xml:space="preserve">). השיר מכיל הוראות אב לבתו </w:t>
      </w:r>
      <w:proofErr w:type="spellStart"/>
      <w:r>
        <w:rPr>
          <w:rtl/>
        </w:rPr>
        <w:t>ברכה־חיה</w:t>
      </w:r>
      <w:proofErr w:type="spellEnd"/>
      <w:r>
        <w:rPr>
          <w:rtl/>
        </w:rPr>
        <w:t xml:space="preserve">, שרשם הרב </w:t>
      </w:r>
      <w:proofErr w:type="spellStart"/>
      <w:r>
        <w:rPr>
          <w:rtl/>
        </w:rPr>
        <w:t>דינובסקי</w:t>
      </w:r>
      <w:proofErr w:type="spellEnd"/>
      <w:r>
        <w:rPr>
          <w:rtl/>
        </w:rPr>
        <w:t xml:space="preserve"> בתוך מתנת הפרידה שנתן לה כשיצאה לארץ ישראל.</w:t>
      </w:r>
    </w:p>
    <w:p w14:paraId="22D2E9AF" w14:textId="77777777" w:rsidR="00AB3647" w:rsidRDefault="00000000" w:rsidP="007923E9">
      <w:pPr>
        <w:spacing w:after="100" w:line="276" w:lineRule="auto"/>
        <w:ind w:firstLine="340"/>
        <w:jc w:val="both"/>
      </w:pPr>
      <w:r>
        <w:rPr>
          <w:rtl/>
        </w:rPr>
        <w:t>ספרו של החכם מנתח את כישלונה של מפלגת המזרחי להשפיע על התנועה הציונית בכללותה. הוא מצטט דיווחי עיתונות על מאורעות הזמן, ומביא שפע מקורות רבניים המאירים דרכי פעולה ראויות ובלתי ראויות ביחס למאורעות אלה, ומבקש להוכיח שהמזרחי טעתה בהתנהגותה ובתגובותיה.</w:t>
      </w:r>
    </w:p>
    <w:p w14:paraId="105B9427" w14:textId="77777777" w:rsidR="00AB3647" w:rsidRDefault="00000000" w:rsidP="007923E9">
      <w:pPr>
        <w:spacing w:after="100" w:line="276" w:lineRule="auto"/>
        <w:ind w:firstLine="340"/>
        <w:jc w:val="both"/>
      </w:pPr>
      <w:r>
        <w:rPr>
          <w:rtl/>
        </w:rPr>
        <w:lastRenderedPageBreak/>
        <w:t xml:space="preserve">ר׳ שרגא אברמסון סיפר שתלמידי ישיבת </w:t>
      </w:r>
      <w:proofErr w:type="spellStart"/>
      <w:r>
        <w:rPr>
          <w:rtl/>
        </w:rPr>
        <w:t>לומז׳ה</w:t>
      </w:r>
      <w:proofErr w:type="spellEnd"/>
      <w:r>
        <w:rPr>
          <w:rtl/>
        </w:rPr>
        <w:t xml:space="preserve"> שהיו בני טיפוחיו של הרב </w:t>
      </w:r>
      <w:proofErr w:type="spellStart"/>
      <w:r>
        <w:rPr>
          <w:rtl/>
        </w:rPr>
        <w:t>דינובסקי</w:t>
      </w:r>
      <w:proofErr w:type="spellEnd"/>
      <w:r>
        <w:rPr>
          <w:rtl/>
        </w:rPr>
        <w:t>, והוא עצמו בכללם, עזרו להכין את הספר לדפוס: “הסדר לא היה מסוגל לקרוא את כתב היד של הרב – המילים היו נערמות זו על זו – והעתקנו את כתיבתו כדי שתהיה קריאה. האמת היא שהבחורים תמהו מה עושה גאון כמותו בציטוט עיתון [יידיש] ‘</w:t>
      </w:r>
      <w:proofErr w:type="spellStart"/>
      <w:r>
        <w:rPr>
          <w:rtl/>
        </w:rPr>
        <w:t>מאמענט</w:t>
      </w:r>
      <w:proofErr w:type="spellEnd"/>
      <w:r>
        <w:rPr>
          <w:rtl/>
        </w:rPr>
        <w:t>’ או ‘</w:t>
      </w:r>
      <w:proofErr w:type="spellStart"/>
      <w:r>
        <w:rPr>
          <w:rtl/>
        </w:rPr>
        <w:t>היינט</w:t>
      </w:r>
      <w:proofErr w:type="spellEnd"/>
      <w:r>
        <w:rPr>
          <w:rtl/>
        </w:rPr>
        <w:t>’, אבל מאחר שביקש שנכתוב, כתבנו. הזמנים היו סוערים, והוא עסק בענייני כלל ישראל”, אמר ר׳ שרגא.</w:t>
      </w:r>
    </w:p>
    <w:p w14:paraId="244F4AC6" w14:textId="77777777" w:rsidR="00AB3647" w:rsidRDefault="00000000" w:rsidP="007923E9">
      <w:pPr>
        <w:spacing w:after="100" w:line="276" w:lineRule="auto"/>
        <w:ind w:firstLine="340"/>
        <w:jc w:val="both"/>
      </w:pPr>
      <w:r>
        <w:rPr>
          <w:rtl/>
        </w:rPr>
        <w:t xml:space="preserve">ר׳ זליג אפשטיין, שנזכר בביקורו בבית הרב </w:t>
      </w:r>
      <w:proofErr w:type="spellStart"/>
      <w:r>
        <w:rPr>
          <w:rtl/>
        </w:rPr>
        <w:t>דינובסקי</w:t>
      </w:r>
      <w:bookmarkStart w:id="6031" w:name="_fnr4556"/>
      <w:proofErr w:type="spellEnd"/>
      <w:r>
        <w:rPr>
          <w:rStyle w:val="a5"/>
        </w:rPr>
        <w:footnoteReference w:id="4567" w:customMarkFollows="0"/>
      </w:r>
      <w:bookmarkEnd w:id="6031"/>
      <w:r>
        <w:rPr>
          <w:rtl/>
        </w:rPr>
        <w:t xml:space="preserve">, תיאר כיצד קראה בת ר׳ </w:t>
      </w:r>
      <w:proofErr w:type="spellStart"/>
      <w:r>
        <w:rPr>
          <w:rtl/>
        </w:rPr>
        <w:t>דוד־טעביל</w:t>
      </w:r>
      <w:proofErr w:type="spellEnd"/>
      <w:r>
        <w:rPr>
          <w:rtl/>
        </w:rPr>
        <w:t xml:space="preserve"> באוזני אביה את </w:t>
      </w:r>
      <w:proofErr w:type="spellStart"/>
      <w:r>
        <w:rPr>
          <w:rtl/>
        </w:rPr>
        <w:t>ה“מאמענט</w:t>
      </w:r>
      <w:proofErr w:type="spellEnd"/>
      <w:r>
        <w:rPr>
          <w:rtl/>
        </w:rPr>
        <w:t xml:space="preserve">” בשבת אחר הצהריים, וכיצד הפסיק אותה מפעם לפעם כדי לערער על דברי העיתון. “אחר כך נישאה לתלמיד ישיבת </w:t>
      </w:r>
      <w:proofErr w:type="spellStart"/>
      <w:r>
        <w:rPr>
          <w:rtl/>
        </w:rPr>
        <w:t>מיר</w:t>
      </w:r>
      <w:bookmarkStart w:id="6032" w:name="_fnr4557"/>
      <w:proofErr w:type="spellEnd"/>
      <w:r>
        <w:rPr>
          <w:rStyle w:val="a5"/>
        </w:rPr>
        <w:footnoteReference w:id="4568" w:customMarkFollows="0"/>
      </w:r>
      <w:bookmarkEnd w:id="6032"/>
      <w:r>
        <w:rPr>
          <w:rtl/>
        </w:rPr>
        <w:t xml:space="preserve">”, סיפר ר׳ זליג. ר׳ יהושע </w:t>
      </w:r>
      <w:proofErr w:type="spellStart"/>
      <w:r>
        <w:rPr>
          <w:rtl/>
        </w:rPr>
        <w:t>הוטנר</w:t>
      </w:r>
      <w:proofErr w:type="spellEnd"/>
      <w:r>
        <w:rPr>
          <w:rtl/>
        </w:rPr>
        <w:t xml:space="preserve"> הוסיף: “ר׳ </w:t>
      </w:r>
      <w:proofErr w:type="spellStart"/>
      <w:r>
        <w:rPr>
          <w:rtl/>
        </w:rPr>
        <w:t>דוד־טעביל</w:t>
      </w:r>
      <w:proofErr w:type="spellEnd"/>
      <w:r>
        <w:rPr>
          <w:rtl/>
        </w:rPr>
        <w:t xml:space="preserve"> היה מראשוני תנועת חובבי ציון, ויחד עם ר׳ </w:t>
      </w:r>
      <w:proofErr w:type="spellStart"/>
      <w:r>
        <w:rPr>
          <w:rtl/>
        </w:rPr>
        <w:t>משה־מרדכי</w:t>
      </w:r>
      <w:proofErr w:type="spellEnd"/>
      <w:r>
        <w:rPr>
          <w:rtl/>
        </w:rPr>
        <w:t xml:space="preserve"> אפשטיין קנה אדמה בחדרה</w:t>
      </w:r>
      <w:bookmarkStart w:id="6033" w:name="_fnr4558"/>
      <w:r>
        <w:rPr>
          <w:rStyle w:val="a5"/>
        </w:rPr>
        <w:footnoteReference w:id="4569" w:customMarkFollows="0"/>
      </w:r>
      <w:bookmarkEnd w:id="6033"/>
      <w:r>
        <w:rPr>
          <w:rtl/>
        </w:rPr>
        <w:t xml:space="preserve">. שניהם התאכזבו עם הופעת הציונות המדינית, ובייחוד כשהשתלטו עליה הגורמים </w:t>
      </w:r>
      <w:proofErr w:type="spellStart"/>
      <w:r>
        <w:rPr>
          <w:rtl/>
        </w:rPr>
        <w:t>האנטי־דתיים</w:t>
      </w:r>
      <w:bookmarkStart w:id="6034" w:name="_fnr4559"/>
      <w:proofErr w:type="spellEnd"/>
      <w:r>
        <w:rPr>
          <w:rStyle w:val="a5"/>
        </w:rPr>
        <w:footnoteReference w:id="4570" w:customMarkFollows="0"/>
      </w:r>
      <w:bookmarkEnd w:id="6034"/>
      <w:r>
        <w:rPr>
          <w:rtl/>
        </w:rPr>
        <w:t xml:space="preserve">. ר׳ </w:t>
      </w:r>
      <w:proofErr w:type="spellStart"/>
      <w:r>
        <w:rPr>
          <w:rtl/>
        </w:rPr>
        <w:t>דוד־טעביל</w:t>
      </w:r>
      <w:proofErr w:type="spellEnd"/>
      <w:r>
        <w:rPr>
          <w:rtl/>
        </w:rPr>
        <w:t xml:space="preserve"> ואני חלקנו חדר שינה בוורשה. </w:t>
      </w:r>
      <w:proofErr w:type="spellStart"/>
      <w:r>
        <w:rPr>
          <w:rtl/>
        </w:rPr>
        <w:t>באחת־עשרה</w:t>
      </w:r>
      <w:proofErr w:type="spellEnd"/>
      <w:r>
        <w:rPr>
          <w:rtl/>
        </w:rPr>
        <w:t xml:space="preserve"> בלילה היה מתחיל להתהלך הלוך ושוב בחדר ולזמזם ניגון. הוא היה צריך שעה עד שתשרה עליו ההשראה; אז התיישב וכתב עד שלוש לפנות בוקר – הוא ישן רק שלוש שעות בלילה. סבורני שביקוריו בוורשה נועדו למחקר בשביל הספר”.</w:t>
      </w:r>
    </w:p>
    <w:p w14:paraId="10F46706" w14:textId="77777777" w:rsidR="00AB3647" w:rsidRDefault="00000000" w:rsidP="007923E9">
      <w:pPr>
        <w:spacing w:after="100" w:line="276" w:lineRule="auto"/>
        <w:ind w:firstLine="340"/>
        <w:jc w:val="both"/>
      </w:pPr>
      <w:r>
        <w:rPr>
          <w:rtl/>
        </w:rPr>
        <w:t xml:space="preserve">תמר </w:t>
      </w:r>
      <w:proofErr w:type="spellStart"/>
      <w:r>
        <w:rPr>
          <w:rtl/>
        </w:rPr>
        <w:t>קיל</w:t>
      </w:r>
      <w:proofErr w:type="spellEnd"/>
      <w:r>
        <w:rPr>
          <w:rtl/>
        </w:rPr>
        <w:t xml:space="preserve"> סברה שסבה בא לוורשה לקנות ספרים “אחרי השרפות השכיחות”, אבל לא סביר שלשם כך </w:t>
      </w:r>
      <w:r>
        <w:rPr>
          <w:b/>
          <w:bCs/>
          <w:rtl/>
        </w:rPr>
        <w:t>היה עליו</w:t>
      </w:r>
      <w:r>
        <w:rPr>
          <w:rtl/>
        </w:rPr>
        <w:t xml:space="preserve"> לנסוע מדי שנה לבירת פולין במשך שנים רצופות, ולשהות שם שבועות רבים בכל פעם. ייתכן שבא לשם גם כדי להכין את ספרו לדפוס בבית הדפוס של משפחת </w:t>
      </w:r>
      <w:proofErr w:type="spellStart"/>
      <w:r>
        <w:rPr>
          <w:rtl/>
        </w:rPr>
        <w:t>הוטנר</w:t>
      </w:r>
      <w:proofErr w:type="spellEnd"/>
      <w:r>
        <w:rPr>
          <w:rtl/>
        </w:rPr>
        <w:t xml:space="preserve">, משפחת מארחו, שהדפיסה גם את “ספר שערי יושר” </w:t>
      </w:r>
      <w:proofErr w:type="spellStart"/>
      <w:r>
        <w:rPr>
          <w:rtl/>
        </w:rPr>
        <w:t>לר</w:t>
      </w:r>
      <w:proofErr w:type="spellEnd"/>
      <w:r>
        <w:rPr>
          <w:rtl/>
        </w:rPr>
        <w:t xml:space="preserve">׳ שמעון </w:t>
      </w:r>
      <w:proofErr w:type="spellStart"/>
      <w:r>
        <w:rPr>
          <w:rtl/>
        </w:rPr>
        <w:t>שקופ</w:t>
      </w:r>
      <w:proofErr w:type="spellEnd"/>
      <w:r>
        <w:rPr>
          <w:rtl/>
        </w:rPr>
        <w:t xml:space="preserve"> ואת “המדרש והמעשה” </w:t>
      </w:r>
      <w:proofErr w:type="spellStart"/>
      <w:r>
        <w:rPr>
          <w:rtl/>
        </w:rPr>
        <w:t>לר</w:t>
      </w:r>
      <w:proofErr w:type="spellEnd"/>
      <w:r>
        <w:rPr>
          <w:rtl/>
        </w:rPr>
        <w:t xml:space="preserve">׳ יחזקאל </w:t>
      </w:r>
      <w:proofErr w:type="spellStart"/>
      <w:r>
        <w:rPr>
          <w:rtl/>
        </w:rPr>
        <w:t>ליבשיץ</w:t>
      </w:r>
      <w:bookmarkStart w:id="6035" w:name="_fnr4560"/>
      <w:proofErr w:type="spellEnd"/>
      <w:r>
        <w:rPr>
          <w:rStyle w:val="a5"/>
        </w:rPr>
        <w:footnoteReference w:id="4571" w:customMarkFollows="0"/>
      </w:r>
      <w:bookmarkEnd w:id="6035"/>
      <w:r>
        <w:rPr>
          <w:rtl/>
        </w:rPr>
        <w:t>.</w:t>
      </w:r>
    </w:p>
    <w:bookmarkStart w:id="6036" w:name="b5_note45"/>
    <w:p w14:paraId="0B210389" w14:textId="05CA020F" w:rsidR="00AB3647" w:rsidRDefault="00000000" w:rsidP="007923E9">
      <w:pPr>
        <w:spacing w:before="120" w:after="100" w:line="276" w:lineRule="auto"/>
        <w:jc w:val="both"/>
      </w:pPr>
      <w:r>
        <w:fldChar w:fldCharType="begin" w:dirty="true"/>
      </w:r>
      <w:r>
        <w:instrText>HYPERLINK \l "b5_ref45"</w:instrText>
      </w:r>
      <w:r>
        <w:fldChar w:fldCharType="separate"/>
      </w:r>
      <w:r>
        <w:rPr>
          <w:b/>
          <w:bCs/>
          <w:rtl/>
        </w:rPr>
        <w:t>45</w:t>
      </w:r>
      <w:r>
        <w:rPr>
          <w:b/>
          <w:bCs/>
        </w:rPr>
        <w:fldChar w:fldCharType="end"/>
      </w:r>
      <w:bookmarkEnd w:id="6036"/>
      <w:r>
        <w:rPr>
          <w:rtl/>
        </w:rPr>
        <w:t xml:space="preserve"> תמר </w:t>
      </w:r>
      <w:proofErr w:type="spellStart"/>
      <w:r>
        <w:rPr>
          <w:rtl/>
        </w:rPr>
        <w:t>קיל</w:t>
      </w:r>
      <w:proofErr w:type="spellEnd"/>
      <w:r>
        <w:rPr>
          <w:rtl/>
        </w:rPr>
        <w:t>. הדבר ניכר בלשון הרהוטה של שירתו ושל כתיבתו בפרוזה כאחת. המרואיינת הוסיפה: “הוא היה מן הרבנים היחידים שידעו תנ״ך טוב כל כך. אבל אף שהיה משכיל ברוחב ידיעותיו ובכישרונו הספרותי, היה ‘</w:t>
      </w:r>
      <w:proofErr w:type="spellStart"/>
      <w:r>
        <w:rPr>
          <w:rtl/>
        </w:rPr>
        <w:t>מוסרניק</w:t>
      </w:r>
      <w:proofErr w:type="spellEnd"/>
      <w:r>
        <w:rPr>
          <w:rtl/>
        </w:rPr>
        <w:t xml:space="preserve">’ קיצוני בהנהגתו ובהשקפתו. הוא לא האמין שאפשר לשלב תורה ומדע, והיה אומר שכשמתחילים ללמוד </w:t>
      </w:r>
      <w:proofErr w:type="spellStart"/>
      <w:r>
        <w:rPr>
          <w:rtl/>
        </w:rPr>
        <w:t>גלאגול</w:t>
      </w:r>
      <w:proofErr w:type="spellEnd"/>
      <w:r>
        <w:rPr>
          <w:rtl/>
        </w:rPr>
        <w:t xml:space="preserve"> [הטיות הפועל ברוסית], מפסיקים להניח תפילין. אבל הוא ידע גרמנית, ובכרך התנ״ך שבביתו היה תרגום לגרמנית – ולא ליידיש”. ר׳ </w:t>
      </w:r>
      <w:proofErr w:type="spellStart"/>
      <w:r>
        <w:rPr>
          <w:rtl/>
        </w:rPr>
        <w:t>דוד־טעביל</w:t>
      </w:r>
      <w:proofErr w:type="spellEnd"/>
      <w:r>
        <w:rPr>
          <w:rtl/>
        </w:rPr>
        <w:t xml:space="preserve"> היה אמן המילים, כפי שעולה משתי ההערות הקודמות ומהערה </w:t>
      </w:r>
      <w:r>
        <w:rPr>
          <w:rtl/>
        </w:rPr>
        <w:fldChar w:fldCharType="begin" w:dirty="true"/>
      </w:r>
      <w:r>
        <w:rPr>
          <w:rtl/>
        </w:rPr>
        <w:instrText xml:space="preserve"> REF b5_note50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50</w:t>
      </w:r>
      <w:r>
        <w:rPr>
          <w:rtl/>
        </w:rPr>
        <w:fldChar w:fldCharType="end"/>
      </w:r>
      <w:r>
        <w:rPr>
          <w:rtl/>
        </w:rPr>
        <w:t xml:space="preserve"> להלן. ר׳ יהודה </w:t>
      </w:r>
      <w:proofErr w:type="spellStart"/>
      <w:r>
        <w:rPr>
          <w:rtl/>
        </w:rPr>
        <w:t>קיל</w:t>
      </w:r>
      <w:proofErr w:type="spellEnd"/>
      <w:r>
        <w:rPr>
          <w:rtl/>
        </w:rPr>
        <w:t xml:space="preserve"> סיפר גם שכשכתב הרב </w:t>
      </w:r>
      <w:proofErr w:type="spellStart"/>
      <w:r>
        <w:rPr>
          <w:rtl/>
        </w:rPr>
        <w:t>דינובסקי</w:t>
      </w:r>
      <w:proofErr w:type="spellEnd"/>
      <w:r>
        <w:rPr>
          <w:rtl/>
        </w:rPr>
        <w:t xml:space="preserve"> לתלמידיו, היה חותם “מילי </w:t>
      </w:r>
      <w:proofErr w:type="spellStart"/>
      <w:r>
        <w:rPr>
          <w:rtl/>
        </w:rPr>
        <w:t>דטב״א</w:t>
      </w:r>
      <w:proofErr w:type="spellEnd"/>
      <w:r>
        <w:rPr>
          <w:rtl/>
        </w:rPr>
        <w:t xml:space="preserve">”, והסתיר במילה השנייה את ראשי התיבות של חתימת שמו, “דוד </w:t>
      </w:r>
      <w:proofErr w:type="spellStart"/>
      <w:r>
        <w:rPr>
          <w:rtl/>
        </w:rPr>
        <w:t>טעביל</w:t>
      </w:r>
      <w:proofErr w:type="spellEnd"/>
      <w:r>
        <w:rPr>
          <w:rtl/>
        </w:rPr>
        <w:t xml:space="preserve"> בן אלחנן”.</w:t>
      </w:r>
    </w:p>
    <w:bookmarkStart w:id="6037" w:name="b5_note46"/>
    <w:p w14:paraId="0C9154A5" w14:textId="77777777" w:rsidR="00AB3647" w:rsidRDefault="00000000" w:rsidP="007923E9">
      <w:pPr>
        <w:spacing w:before="120" w:after="100" w:line="276" w:lineRule="auto"/>
        <w:jc w:val="both"/>
      </w:pPr>
      <w:r>
        <w:fldChar w:fldCharType="begin" w:dirty="true"/>
      </w:r>
      <w:r>
        <w:instrText>HYPERLINK \l "b5_ref46"</w:instrText>
      </w:r>
      <w:r>
        <w:fldChar w:fldCharType="separate"/>
      </w:r>
      <w:r>
        <w:rPr>
          <w:b/>
          <w:bCs/>
          <w:rtl/>
        </w:rPr>
        <w:t>46</w:t>
      </w:r>
      <w:r>
        <w:rPr>
          <w:b/>
          <w:bCs/>
        </w:rPr>
        <w:fldChar w:fldCharType="end"/>
      </w:r>
      <w:bookmarkEnd w:id="6037"/>
      <w:r>
        <w:rPr>
          <w:rtl/>
        </w:rPr>
        <w:t xml:space="preserve"> ר׳ שרגא אברמסון. תמר </w:t>
      </w:r>
      <w:proofErr w:type="spellStart"/>
      <w:r>
        <w:rPr>
          <w:rtl/>
        </w:rPr>
        <w:t>קיל</w:t>
      </w:r>
      <w:proofErr w:type="spellEnd"/>
      <w:r>
        <w:rPr>
          <w:rtl/>
        </w:rPr>
        <w:t xml:space="preserve"> סיפרה שסבה “היה ירא הוראה”. ר׳ שרגא תלה פחד זה בהיותו “מחמיר מאוד”, ולכן העדיף שהשואלים ישאלו פוסקים אחרים. בהקשר זה סיפר: “</w:t>
      </w:r>
      <w:proofErr w:type="spellStart"/>
      <w:r>
        <w:rPr>
          <w:rtl/>
        </w:rPr>
        <w:t>הקצבים</w:t>
      </w:r>
      <w:proofErr w:type="spellEnd"/>
      <w:r>
        <w:rPr>
          <w:rtl/>
        </w:rPr>
        <w:t xml:space="preserve"> הביאו את שאלותיהם ההלכתיות על בהמותיהם לא אליו, אלא לדיין זקן </w:t>
      </w:r>
      <w:proofErr w:type="spellStart"/>
      <w:r>
        <w:rPr>
          <w:rtl/>
        </w:rPr>
        <w:t>בלומז׳ה</w:t>
      </w:r>
      <w:proofErr w:type="spellEnd"/>
      <w:r>
        <w:rPr>
          <w:rtl/>
        </w:rPr>
        <w:t xml:space="preserve">, ר׳ </w:t>
      </w:r>
      <w:proofErr w:type="spellStart"/>
      <w:r>
        <w:rPr>
          <w:rtl/>
        </w:rPr>
        <w:t>יוסף־צבי</w:t>
      </w:r>
      <w:proofErr w:type="spellEnd"/>
      <w:r>
        <w:rPr>
          <w:rtl/>
        </w:rPr>
        <w:t xml:space="preserve"> </w:t>
      </w:r>
      <w:proofErr w:type="spellStart"/>
      <w:r>
        <w:rPr>
          <w:rtl/>
        </w:rPr>
        <w:lastRenderedPageBreak/>
        <w:t>צינוביץ</w:t>
      </w:r>
      <w:proofErr w:type="spellEnd"/>
      <w:r>
        <w:rPr>
          <w:rtl/>
        </w:rPr>
        <w:t xml:space="preserve">. הוא היה יהודי חסידי, אבל </w:t>
      </w:r>
      <w:proofErr w:type="spellStart"/>
      <w:r>
        <w:rPr>
          <w:rtl/>
        </w:rPr>
        <w:t>מ״ץ</w:t>
      </w:r>
      <w:proofErr w:type="spellEnd"/>
      <w:r>
        <w:rPr>
          <w:rtl/>
        </w:rPr>
        <w:t xml:space="preserve"> שלושים שנה, וגם ר׳ </w:t>
      </w:r>
      <w:proofErr w:type="spellStart"/>
      <w:r>
        <w:rPr>
          <w:rtl/>
        </w:rPr>
        <w:t>ארצ׳יק</w:t>
      </w:r>
      <w:proofErr w:type="spellEnd"/>
      <w:r>
        <w:rPr>
          <w:rtl/>
        </w:rPr>
        <w:t xml:space="preserve"> [אהרן בקשט]</w:t>
      </w:r>
      <w:bookmarkStart w:id="6038" w:name="_fnr4561"/>
      <w:r>
        <w:rPr>
          <w:rStyle w:val="a5"/>
        </w:rPr>
        <w:footnoteReference w:id="4572" w:customMarkFollows="0"/>
      </w:r>
      <w:bookmarkEnd w:id="6038"/>
      <w:r>
        <w:rPr>
          <w:rtl/>
        </w:rPr>
        <w:t xml:space="preserve"> היה שולח אליו שאלות הלכתיות. כשייסד ר׳ </w:t>
      </w:r>
      <w:proofErr w:type="spellStart"/>
      <w:r>
        <w:rPr>
          <w:rtl/>
        </w:rPr>
        <w:t>ארצ׳יק</w:t>
      </w:r>
      <w:proofErr w:type="spellEnd"/>
      <w:r>
        <w:rPr>
          <w:rtl/>
        </w:rPr>
        <w:t xml:space="preserve"> כולל </w:t>
      </w:r>
      <w:proofErr w:type="spellStart"/>
      <w:r>
        <w:rPr>
          <w:rtl/>
        </w:rPr>
        <w:t>בלומז׳ה</w:t>
      </w:r>
      <w:proofErr w:type="spellEnd"/>
      <w:r>
        <w:rPr>
          <w:rtl/>
        </w:rPr>
        <w:t>, שלח את האברכים לקבל שימוש אצלו”.</w:t>
      </w:r>
    </w:p>
    <w:bookmarkStart w:id="6039" w:name="b5_note47"/>
    <w:p w14:paraId="3E69086C" w14:textId="77777777" w:rsidR="00AB3647" w:rsidRDefault="00000000" w:rsidP="007923E9">
      <w:pPr>
        <w:spacing w:before="120" w:after="100" w:line="276" w:lineRule="auto"/>
        <w:jc w:val="both"/>
      </w:pPr>
      <w:r>
        <w:fldChar w:fldCharType="begin" w:dirty="true"/>
      </w:r>
      <w:r>
        <w:instrText>HYPERLINK \l "b5_ref47"</w:instrText>
      </w:r>
      <w:r>
        <w:fldChar w:fldCharType="separate"/>
      </w:r>
      <w:r>
        <w:rPr>
          <w:b/>
          <w:bCs/>
          <w:rtl/>
        </w:rPr>
        <w:t>47</w:t>
      </w:r>
      <w:r>
        <w:rPr>
          <w:b/>
          <w:bCs/>
        </w:rPr>
        <w:fldChar w:fldCharType="end"/>
      </w:r>
      <w:bookmarkEnd w:id="6039"/>
      <w:r>
        <w:rPr>
          <w:rtl/>
        </w:rPr>
        <w:t xml:space="preserve"> ר׳ שרגא אברמסון נזכר </w:t>
      </w:r>
      <w:proofErr w:type="spellStart"/>
      <w:r>
        <w:rPr>
          <w:rtl/>
        </w:rPr>
        <w:t>בשמועסים</w:t>
      </w:r>
      <w:proofErr w:type="spellEnd"/>
      <w:r>
        <w:rPr>
          <w:rtl/>
        </w:rPr>
        <w:t xml:space="preserve"> שמסר ר׳ </w:t>
      </w:r>
      <w:proofErr w:type="spellStart"/>
      <w:r>
        <w:rPr>
          <w:rtl/>
        </w:rPr>
        <w:t>דוד־טעביל</w:t>
      </w:r>
      <w:proofErr w:type="spellEnd"/>
      <w:r>
        <w:rPr>
          <w:rtl/>
        </w:rPr>
        <w:t xml:space="preserve"> כאורח בישיבת </w:t>
      </w:r>
      <w:proofErr w:type="spellStart"/>
      <w:r>
        <w:rPr>
          <w:rtl/>
        </w:rPr>
        <w:t>לומז׳ה</w:t>
      </w:r>
      <w:bookmarkStart w:id="6040" w:name="_fnr4562"/>
      <w:proofErr w:type="spellEnd"/>
      <w:r>
        <w:rPr>
          <w:rStyle w:val="a5"/>
        </w:rPr>
        <w:footnoteReference w:id="4573" w:customMarkFollows="0"/>
      </w:r>
      <w:bookmarkEnd w:id="6040"/>
      <w:r>
        <w:rPr>
          <w:rtl/>
        </w:rPr>
        <w:t xml:space="preserve">, וסיפר: “אחרי שדיבר שעתיים אמר לראש הישיבה ר׳ </w:t>
      </w:r>
      <w:proofErr w:type="spellStart"/>
      <w:r>
        <w:rPr>
          <w:rtl/>
        </w:rPr>
        <w:t>יחיאל־מרדכי</w:t>
      </w:r>
      <w:proofErr w:type="spellEnd"/>
      <w:r>
        <w:rPr>
          <w:rtl/>
        </w:rPr>
        <w:t xml:space="preserve"> גורדון זצ״ל: ‘אתה יודע?! נדמה לי שדיברתי יותר מחצי שעה’. כששאל ר׳ גורדון: ‘ומניין לך?’, השיב: ‘מפני שרגליי התחילו לכאוב מן העמידה הארוכה כל כך׳”.</w:t>
      </w:r>
    </w:p>
    <w:p w14:paraId="5E74DFD7" w14:textId="54361FC0"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זמן קצר אחרי שהגיעה הישיבה </w:t>
      </w:r>
      <w:proofErr w:type="spellStart"/>
      <w:r>
        <w:rPr>
          <w:rtl/>
        </w:rPr>
        <w:t>למאלטש</w:t>
      </w:r>
      <w:proofErr w:type="spellEnd"/>
      <w:r>
        <w:rPr>
          <w:rtl/>
        </w:rPr>
        <w:t xml:space="preserve"> הוכרזו אירוסי ר׳ שלמה </w:t>
      </w:r>
      <w:proofErr w:type="spellStart"/>
      <w:r>
        <w:rPr>
          <w:rtl/>
        </w:rPr>
        <w:t>גבורין</w:t>
      </w:r>
      <w:proofErr w:type="spellEnd"/>
      <w:r>
        <w:rPr>
          <w:rtl/>
        </w:rPr>
        <w:t xml:space="preserve"> עם בת הרב, שרה־חסיה</w:t>
      </w:r>
      <w:bookmarkStart w:id="6041" w:name="b5_ref48"/>
      <w:bookmarkEnd w:id="6041"/>
      <w:r>
        <w:rPr>
          <w:vertAlign w:val="superscript"/>
          <w:rtl/>
        </w:rPr>
        <w:fldChar w:fldCharType="begin" w:dirty="true"/>
      </w:r>
      <w:r>
        <w:rPr>
          <w:vertAlign w:val="superscript"/>
          <w:rtl/>
        </w:rPr>
        <w:instrText xml:space="preserve"> REF b5_note48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48</w:t>
      </w:r>
      <w:r>
        <w:rPr>
          <w:vertAlign w:val="superscript"/>
          <w:rtl/>
        </w:rPr>
        <w:fldChar w:fldCharType="end"/>
      </w:r>
      <w:r>
        <w:rPr>
          <w:rtl/>
        </w:rPr>
        <w:t xml:space="preserve">, והחתונה נערכה כעבור חודש. במסיבת חנוכה בביתו הכריז ר׳ </w:t>
      </w:r>
      <w:proofErr w:type="spellStart"/>
      <w:r>
        <w:rPr>
          <w:rtl/>
        </w:rPr>
        <w:t>דוד־טעביל</w:t>
      </w:r>
      <w:proofErr w:type="spellEnd"/>
      <w:r>
        <w:rPr>
          <w:rtl/>
        </w:rPr>
        <w:t>: “לפי המדרש, רשאי אדם לקרוא לחתנו ‘בן’</w:t>
      </w:r>
      <w:bookmarkStart w:id="6042" w:name="b5_ref49"/>
      <w:bookmarkEnd w:id="6042"/>
      <w:r>
        <w:rPr>
          <w:vertAlign w:val="superscript"/>
          <w:rtl/>
        </w:rPr>
        <w:fldChar w:fldCharType="begin" w:dirty="true"/>
      </w:r>
      <w:r>
        <w:rPr>
          <w:vertAlign w:val="superscript"/>
          <w:rtl/>
        </w:rPr>
        <w:instrText xml:space="preserve"> REF b5_note49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49</w:t>
      </w:r>
      <w:r>
        <w:rPr>
          <w:vertAlign w:val="superscript"/>
          <w:rtl/>
        </w:rPr>
        <w:fldChar w:fldCharType="end"/>
      </w:r>
      <w:r>
        <w:rPr>
          <w:rtl/>
        </w:rPr>
        <w:t>; נעים לי להכריז ששלמה [</w:t>
      </w:r>
      <w:proofErr w:type="spellStart"/>
      <w:r>
        <w:rPr>
          <w:rtl/>
        </w:rPr>
        <w:t>גבורין</w:t>
      </w:r>
      <w:proofErr w:type="spellEnd"/>
      <w:r>
        <w:rPr>
          <w:rtl/>
        </w:rPr>
        <w:t>] בן דוד [</w:t>
      </w:r>
      <w:proofErr w:type="spellStart"/>
      <w:r>
        <w:rPr>
          <w:rtl/>
        </w:rPr>
        <w:t>דינובסקי</w:t>
      </w:r>
      <w:proofErr w:type="spellEnd"/>
      <w:r>
        <w:rPr>
          <w:rtl/>
        </w:rPr>
        <w:t>]</w:t>
      </w:r>
      <w:bookmarkStart w:id="6043" w:name="b5_ref50"/>
      <w:bookmarkEnd w:id="6043"/>
      <w:r>
        <w:rPr>
          <w:vertAlign w:val="superscript"/>
          <w:rtl/>
        </w:rPr>
        <w:fldChar w:fldCharType="begin" w:dirty="true"/>
      </w:r>
      <w:r>
        <w:rPr>
          <w:vertAlign w:val="superscript"/>
          <w:rtl/>
        </w:rPr>
        <w:instrText xml:space="preserve"> REF b5_note50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50</w:t>
      </w:r>
      <w:r>
        <w:rPr>
          <w:vertAlign w:val="superscript"/>
          <w:rtl/>
        </w:rPr>
        <w:fldChar w:fldCharType="end"/>
      </w:r>
      <w:r>
        <w:rPr>
          <w:rtl/>
        </w:rPr>
        <w:t xml:space="preserve"> הוא ראש הישיבה מכאן ואילך”</w:t>
      </w:r>
      <w:bookmarkStart w:id="6044" w:name="b5_ref51"/>
      <w:bookmarkEnd w:id="6044"/>
      <w:r>
        <w:rPr>
          <w:vertAlign w:val="superscript"/>
          <w:rtl/>
        </w:rPr>
        <w:fldChar w:fldCharType="begin" w:dirty="true"/>
      </w:r>
      <w:r>
        <w:rPr>
          <w:vertAlign w:val="superscript"/>
          <w:rtl/>
        </w:rPr>
        <w:instrText xml:space="preserve"> REF b5_note51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51</w:t>
      </w:r>
      <w:r>
        <w:rPr>
          <w:vertAlign w:val="superscript"/>
          <w:rtl/>
        </w:rPr>
        <w:fldChar w:fldCharType="end"/>
      </w:r>
      <w:r>
        <w:rPr>
          <w:rtl/>
        </w:rPr>
        <w:t>.</w:t>
      </w:r>
    </w:p>
    <w:bookmarkStart w:id="6045" w:name="b5_note48"/>
    <w:p w14:paraId="44BC1552" w14:textId="77777777" w:rsidR="00AB3647" w:rsidRDefault="00000000" w:rsidP="007923E9">
      <w:pPr>
        <w:spacing w:before="120" w:after="100" w:line="276" w:lineRule="auto"/>
        <w:jc w:val="both"/>
      </w:pPr>
      <w:r>
        <w:fldChar w:fldCharType="begin" w:dirty="true"/>
      </w:r>
      <w:r>
        <w:instrText>HYPERLINK \l "b5_ref48"</w:instrText>
      </w:r>
      <w:r>
        <w:fldChar w:fldCharType="separate"/>
      </w:r>
      <w:r>
        <w:rPr>
          <w:b/>
          <w:bCs/>
          <w:rtl/>
        </w:rPr>
        <w:t>48</w:t>
      </w:r>
      <w:r>
        <w:rPr>
          <w:b/>
          <w:bCs/>
        </w:rPr>
        <w:fldChar w:fldCharType="end"/>
      </w:r>
      <w:bookmarkEnd w:id="6045"/>
      <w:r>
        <w:rPr>
          <w:rtl/>
        </w:rPr>
        <w:t xml:space="preserve"> “כמו אביה, הייתה בקיאה בתנ״ך, שכן למדה אותו באופן פרטי”, אמרה בתה, תמר </w:t>
      </w:r>
      <w:proofErr w:type="spellStart"/>
      <w:r>
        <w:rPr>
          <w:rtl/>
        </w:rPr>
        <w:t>קיל</w:t>
      </w:r>
      <w:proofErr w:type="spellEnd"/>
      <w:r>
        <w:rPr>
          <w:rtl/>
        </w:rPr>
        <w:t xml:space="preserve">, והמשיכה: “בת אחרת של ר׳ </w:t>
      </w:r>
      <w:proofErr w:type="spellStart"/>
      <w:r>
        <w:rPr>
          <w:rtl/>
        </w:rPr>
        <w:t>דוד־טעביל</w:t>
      </w:r>
      <w:proofErr w:type="spellEnd"/>
      <w:r>
        <w:rPr>
          <w:rtl/>
        </w:rPr>
        <w:t xml:space="preserve"> נישאה אחר כך לתלמיד ישיבת </w:t>
      </w:r>
      <w:proofErr w:type="spellStart"/>
      <w:r>
        <w:rPr>
          <w:rtl/>
        </w:rPr>
        <w:t>מיר</w:t>
      </w:r>
      <w:proofErr w:type="spellEnd"/>
      <w:r>
        <w:rPr>
          <w:rtl/>
        </w:rPr>
        <w:t xml:space="preserve">” – הוא היה </w:t>
      </w:r>
      <w:proofErr w:type="spellStart"/>
      <w:r>
        <w:rPr>
          <w:rtl/>
        </w:rPr>
        <w:t>לייבל</w:t>
      </w:r>
      <w:proofErr w:type="spellEnd"/>
      <w:r>
        <w:rPr>
          <w:rtl/>
        </w:rPr>
        <w:t xml:space="preserve"> </w:t>
      </w:r>
      <w:proofErr w:type="spellStart"/>
      <w:r>
        <w:rPr>
          <w:rtl/>
        </w:rPr>
        <w:t>איזבוטקער</w:t>
      </w:r>
      <w:proofErr w:type="spellEnd"/>
      <w:r>
        <w:rPr>
          <w:rtl/>
        </w:rPr>
        <w:t>, מן התלמידים הבולטים של אותה ישיבה</w:t>
      </w:r>
      <w:bookmarkStart w:id="6046" w:name="_fnr4563"/>
      <w:r>
        <w:rPr>
          <w:rStyle w:val="a5"/>
        </w:rPr>
        <w:footnoteReference w:id="4574" w:customMarkFollows="0"/>
      </w:r>
      <w:bookmarkEnd w:id="6046"/>
      <w:r>
        <w:rPr>
          <w:rtl/>
        </w:rPr>
        <w:t xml:space="preserve"> – “אבל שאר ילדיו היו טיפוסים שלא מן העולם הזה, ורחוקים מאוד מדרך חייו. אחד היה משורר יידיש גרוש בוורשה, אחר חזן, ושניים אחרים לא נישאו מעולם. כדי להוכיח את ילדיו היה כותב להם שיר תוכחה. הם לא העזו להשיב לו, אבל כטיעון שכנגד היו משאירים לו את שירם, שיקרא אותו למחרת בבוקר. הוא היה חזק ברוחו, אבל לא הצליח למשול בביתו”.</w:t>
      </w:r>
    </w:p>
    <w:p w14:paraId="7E8AB8F0" w14:textId="77777777" w:rsidR="00AB3647" w:rsidRDefault="00000000" w:rsidP="007923E9">
      <w:pPr>
        <w:spacing w:before="120" w:after="100" w:line="276" w:lineRule="auto"/>
        <w:jc w:val="both"/>
      </w:pPr>
      <w:r>
        <w:rPr>
          <w:rtl/>
        </w:rPr>
        <w:t xml:space="preserve">גם ר׳ יהושע </w:t>
      </w:r>
      <w:proofErr w:type="spellStart"/>
      <w:r>
        <w:rPr>
          <w:rtl/>
        </w:rPr>
        <w:t>הוטנר</w:t>
      </w:r>
      <w:proofErr w:type="spellEnd"/>
      <w:r>
        <w:rPr>
          <w:rtl/>
        </w:rPr>
        <w:t xml:space="preserve"> הכיר את ילדי </w:t>
      </w:r>
      <w:proofErr w:type="spellStart"/>
      <w:r>
        <w:rPr>
          <w:rtl/>
        </w:rPr>
        <w:t>דינובסקי</w:t>
      </w:r>
      <w:proofErr w:type="spellEnd"/>
      <w:r>
        <w:rPr>
          <w:rtl/>
        </w:rPr>
        <w:t xml:space="preserve">, ובהם המשורר ישראל, שקרא באוזניו כמה משיריו. הרב </w:t>
      </w:r>
      <w:proofErr w:type="spellStart"/>
      <w:r>
        <w:rPr>
          <w:rtl/>
        </w:rPr>
        <w:t>הוטנר</w:t>
      </w:r>
      <w:proofErr w:type="spellEnd"/>
      <w:r>
        <w:rPr>
          <w:rtl/>
        </w:rPr>
        <w:t xml:space="preserve"> זכר שאחד השירים נקרא בשם שאי אפשר לשכוח: “</w:t>
      </w:r>
      <w:proofErr w:type="spellStart"/>
      <w:r>
        <w:rPr>
          <w:rtl/>
        </w:rPr>
        <w:t>דער</w:t>
      </w:r>
      <w:proofErr w:type="spellEnd"/>
      <w:r>
        <w:rPr>
          <w:rtl/>
        </w:rPr>
        <w:t xml:space="preserve"> </w:t>
      </w:r>
      <w:proofErr w:type="spellStart"/>
      <w:r>
        <w:rPr>
          <w:rtl/>
        </w:rPr>
        <w:t>געזעץ</w:t>
      </w:r>
      <w:proofErr w:type="spellEnd"/>
      <w:r>
        <w:rPr>
          <w:rtl/>
        </w:rPr>
        <w:t xml:space="preserve"> פון </w:t>
      </w:r>
      <w:proofErr w:type="spellStart"/>
      <w:r>
        <w:rPr>
          <w:rtl/>
        </w:rPr>
        <w:t>קיילעכדיקייט</w:t>
      </w:r>
      <w:proofErr w:type="spellEnd"/>
      <w:r>
        <w:rPr>
          <w:rtl/>
        </w:rPr>
        <w:t xml:space="preserve"> [חוק המעגליות]”. ר׳ זליג אפשטיין זכר בן אחד “שהסתובב בבית אביו אבל כבר סר מן הדרך; הוא לבש חולצה שחורה ואבנט, שזיהו אותו כקיצוני”</w:t>
      </w:r>
      <w:bookmarkStart w:id="6047" w:name="_fnr4564"/>
      <w:r>
        <w:rPr>
          <w:rStyle w:val="a5"/>
        </w:rPr>
        <w:footnoteReference w:id="4575" w:customMarkFollows="0"/>
      </w:r>
      <w:bookmarkEnd w:id="6047"/>
      <w:r>
        <w:rPr>
          <w:rtl/>
        </w:rPr>
        <w:t>.</w:t>
      </w:r>
    </w:p>
    <w:bookmarkStart w:id="6048" w:name="b5_note49"/>
    <w:p w14:paraId="2AE5BA56" w14:textId="3B6CDEEB" w:rsidR="00AB3647" w:rsidRDefault="00000000" w:rsidP="007923E9">
      <w:pPr>
        <w:spacing w:before="120" w:after="100" w:line="276" w:lineRule="auto"/>
        <w:jc w:val="both"/>
      </w:pPr>
      <w:r>
        <w:fldChar w:fldCharType="begin" w:dirty="true"/>
      </w:r>
      <w:r>
        <w:instrText>HYPERLINK \l "b5_ref49"</w:instrText>
      </w:r>
      <w:r>
        <w:fldChar w:fldCharType="separate"/>
      </w:r>
      <w:r>
        <w:rPr>
          <w:b/>
          <w:bCs/>
          <w:rtl/>
        </w:rPr>
        <w:t>49</w:t>
      </w:r>
      <w:r>
        <w:rPr>
          <w:b/>
          <w:bCs/>
        </w:rPr>
        <w:fldChar w:fldCharType="end"/>
      </w:r>
      <w:bookmarkEnd w:id="6048"/>
      <w:r>
        <w:rPr>
          <w:rtl/>
        </w:rPr>
        <w:t xml:space="preserve"> “אין אדם נמנע מלקרא לחתנו בנו”</w:t>
      </w:r>
      <w:bookmarkStart w:id="6049" w:name="_fnr4565"/>
      <w:r>
        <w:rPr>
          <w:rStyle w:val="a5"/>
        </w:rPr>
        <w:footnoteReference w:id="4576" w:customMarkFollows="0"/>
      </w:r>
      <w:bookmarkEnd w:id="6049"/>
      <w:r>
        <w:rPr>
          <w:rtl/>
        </w:rPr>
        <w:t xml:space="preserve">. ראה גם פרק 4, סוף הפסקה השנייה של </w:t>
      </w:r>
      <w:r>
        <w:rPr>
          <w:rtl/>
        </w:rPr>
        <w:fldChar w:fldCharType="begin" w:dirty="true"/>
      </w:r>
      <w:r>
        <w:rPr>
          <w:rtl/>
        </w:rPr>
        <w:instrText xml:space="preserve"> REF b4_excT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כ</w:t>
      </w:r>
      <w:r>
        <w:rPr>
          <w:rtl/>
        </w:rPr>
        <w:fldChar w:fldCharType="end"/>
      </w:r>
      <w:r>
        <w:rPr>
          <w:rtl/>
        </w:rPr>
        <w:t>, כיצד התבסס פסק על עיקרון זה.</w:t>
      </w:r>
    </w:p>
    <w:bookmarkStart w:id="6050" w:name="b5_note50"/>
    <w:p w14:paraId="4A2A457D" w14:textId="77777777" w:rsidR="00AB3647" w:rsidRDefault="00000000" w:rsidP="007923E9">
      <w:pPr>
        <w:spacing w:before="120" w:after="100" w:line="276" w:lineRule="auto"/>
        <w:jc w:val="both"/>
      </w:pPr>
      <w:r>
        <w:fldChar w:fldCharType="begin" w:dirty="true"/>
      </w:r>
      <w:r>
        <w:instrText>HYPERLINK \l "b5_ref50"</w:instrText>
      </w:r>
      <w:r>
        <w:fldChar w:fldCharType="separate"/>
      </w:r>
      <w:r>
        <w:rPr>
          <w:b/>
          <w:bCs/>
          <w:rtl/>
        </w:rPr>
        <w:t>50</w:t>
      </w:r>
      <w:r>
        <w:rPr>
          <w:b/>
          <w:bCs/>
        </w:rPr>
        <w:fldChar w:fldCharType="end"/>
      </w:r>
      <w:bookmarkEnd w:id="6050"/>
      <w:r>
        <w:rPr>
          <w:rtl/>
        </w:rPr>
        <w:t xml:space="preserve"> התנ״ך היה לפניו כספר פתוח, והוא השתמש במשחק מילים מחוכם כדי לקשור את חתנו לשלמה המלך החכם, שהיה חכם אף מאביו, דוד המלך</w:t>
      </w:r>
      <w:bookmarkStart w:id="6051" w:name="_fnr4566"/>
      <w:r>
        <w:rPr>
          <w:rStyle w:val="a5"/>
        </w:rPr>
        <w:footnoteReference w:id="4577" w:customMarkFollows="0"/>
      </w:r>
      <w:bookmarkEnd w:id="6051"/>
      <w:r>
        <w:rPr>
          <w:rtl/>
        </w:rPr>
        <w:t xml:space="preserve">. בענווה רצה הרב </w:t>
      </w:r>
      <w:proofErr w:type="spellStart"/>
      <w:r>
        <w:rPr>
          <w:rtl/>
        </w:rPr>
        <w:t>דינובסקי</w:t>
      </w:r>
      <w:proofErr w:type="spellEnd"/>
      <w:r>
        <w:rPr>
          <w:rtl/>
        </w:rPr>
        <w:t xml:space="preserve"> לומר לתלמידים שהם מקבלים ראש ישיבה טוב יותר – שלמה (</w:t>
      </w:r>
      <w:proofErr w:type="spellStart"/>
      <w:r>
        <w:rPr>
          <w:rtl/>
        </w:rPr>
        <w:t>גבורין</w:t>
      </w:r>
      <w:proofErr w:type="spellEnd"/>
      <w:r>
        <w:rPr>
          <w:rtl/>
        </w:rPr>
        <w:t>) – מזה שהיה להם עד אז בדוד (־</w:t>
      </w:r>
      <w:proofErr w:type="spellStart"/>
      <w:r>
        <w:rPr>
          <w:rtl/>
        </w:rPr>
        <w:t>טעביל</w:t>
      </w:r>
      <w:proofErr w:type="spellEnd"/>
      <w:r>
        <w:rPr>
          <w:rtl/>
        </w:rPr>
        <w:t xml:space="preserve"> </w:t>
      </w:r>
      <w:proofErr w:type="spellStart"/>
      <w:r>
        <w:rPr>
          <w:rtl/>
        </w:rPr>
        <w:t>דינובסקי</w:t>
      </w:r>
      <w:proofErr w:type="spellEnd"/>
      <w:r>
        <w:rPr>
          <w:rtl/>
        </w:rPr>
        <w:t>).</w:t>
      </w:r>
    </w:p>
    <w:bookmarkStart w:id="6052" w:name="b5_note51"/>
    <w:p w14:paraId="52B8BADB" w14:textId="5AB0B2DD" w:rsidR="00AB3647" w:rsidRDefault="00000000" w:rsidP="007923E9">
      <w:pPr>
        <w:spacing w:before="120" w:after="100" w:line="276" w:lineRule="auto"/>
        <w:jc w:val="both"/>
      </w:pPr>
      <w:r>
        <w:lastRenderedPageBreak/>
        <w:fldChar w:fldCharType="begin" w:dirty="true"/>
      </w:r>
      <w:r>
        <w:instrText>HYPERLINK \l "b5_ref51"</w:instrText>
      </w:r>
      <w:r>
        <w:fldChar w:fldCharType="separate"/>
      </w:r>
      <w:r>
        <w:rPr>
          <w:b/>
          <w:bCs/>
          <w:rtl/>
        </w:rPr>
        <w:t>51</w:t>
      </w:r>
      <w:r>
        <w:rPr>
          <w:b/>
          <w:bCs/>
        </w:rPr>
        <w:fldChar w:fldCharType="end"/>
      </w:r>
      <w:bookmarkEnd w:id="6052"/>
      <w:r>
        <w:rPr>
          <w:rtl/>
        </w:rPr>
        <w:t xml:space="preserve"> השיחה המוקלטת במלאות חמישים שנה לפטירת הסבא (פרק 3, הערה </w:t>
      </w:r>
      <w:r>
        <w:rPr>
          <w:rtl/>
        </w:rPr>
        <w:fldChar w:fldCharType="begin" w:dirty="true"/>
      </w:r>
      <w:r>
        <w:rPr>
          <w:rtl/>
        </w:rPr>
        <w:instrText xml:space="preserve"> REF b3_note26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26</w:t>
      </w:r>
      <w:r>
        <w:rPr>
          <w:rtl/>
        </w:rPr>
        <w:fldChar w:fldCharType="end"/>
      </w:r>
      <w:r>
        <w:rPr>
          <w:rtl/>
        </w:rPr>
        <w:t>).</w:t>
      </w:r>
    </w:p>
    <w:p w14:paraId="13E5335C" w14:textId="559FD062"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ישיבת </w:t>
      </w:r>
      <w:proofErr w:type="spellStart"/>
      <w:r>
        <w:rPr>
          <w:rtl/>
        </w:rPr>
        <w:t>מאלטש</w:t>
      </w:r>
      <w:proofErr w:type="spellEnd"/>
      <w:r>
        <w:rPr>
          <w:rtl/>
        </w:rPr>
        <w:t xml:space="preserve"> החדשה התבססה היטב כבר בזמנה הראשון, מפני שגם ראש הישיבה המייסד וגם חתנו, ראש הישיבה החדש, היו בעלי אישיות מעניינת</w:t>
      </w:r>
      <w:bookmarkStart w:id="6053" w:name="b5_ref52"/>
      <w:bookmarkEnd w:id="6053"/>
      <w:r>
        <w:rPr>
          <w:vertAlign w:val="superscript"/>
          <w:rtl/>
        </w:rPr>
        <w:fldChar w:fldCharType="begin" w:dirty="true"/>
      </w:r>
      <w:r>
        <w:rPr>
          <w:vertAlign w:val="superscript"/>
          <w:rtl/>
        </w:rPr>
        <w:instrText xml:space="preserve"> REF b5_note52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52</w:t>
      </w:r>
      <w:r>
        <w:rPr>
          <w:vertAlign w:val="superscript"/>
          <w:rtl/>
        </w:rPr>
        <w:fldChar w:fldCharType="end"/>
      </w:r>
      <w:r>
        <w:rPr>
          <w:rtl/>
        </w:rPr>
        <w:t xml:space="preserve"> ומושכת</w:t>
      </w:r>
      <w:bookmarkStart w:id="6054" w:name="b5_ref53"/>
      <w:bookmarkEnd w:id="6054"/>
      <w:r>
        <w:rPr>
          <w:vertAlign w:val="superscript"/>
          <w:rtl/>
        </w:rPr>
        <w:fldChar w:fldCharType="begin" w:dirty="true"/>
      </w:r>
      <w:r>
        <w:rPr>
          <w:vertAlign w:val="superscript"/>
          <w:rtl/>
        </w:rPr>
        <w:instrText xml:space="preserve"> REF b5_note53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53</w:t>
      </w:r>
      <w:r>
        <w:rPr>
          <w:vertAlign w:val="superscript"/>
          <w:rtl/>
        </w:rPr>
        <w:fldChar w:fldCharType="end"/>
      </w:r>
      <w:r>
        <w:rPr>
          <w:rtl/>
        </w:rPr>
        <w:t>. שיעוריו המבריקים של ר׳ שלמה היו חביבים על הבחורים, והקנו לו את הכינוי “ר׳ שלמה החריף”</w:t>
      </w:r>
      <w:bookmarkStart w:id="6055" w:name="b5_ref54"/>
      <w:bookmarkEnd w:id="6055"/>
      <w:r>
        <w:rPr>
          <w:vertAlign w:val="superscript"/>
          <w:rtl/>
        </w:rPr>
        <w:fldChar w:fldCharType="begin" w:dirty="true"/>
      </w:r>
      <w:r>
        <w:rPr>
          <w:vertAlign w:val="superscript"/>
          <w:rtl/>
        </w:rPr>
        <w:instrText xml:space="preserve"> REF b5_note54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54</w:t>
      </w:r>
      <w:r>
        <w:rPr>
          <w:vertAlign w:val="superscript"/>
          <w:rtl/>
        </w:rPr>
        <w:fldChar w:fldCharType="end"/>
      </w:r>
      <w:r>
        <w:rPr>
          <w:rtl/>
        </w:rPr>
        <w:t>. נוסף על כך, התלמידים חשו סיפוק מכך שהקימו מבצר תורה חדש על המפה היהודית</w:t>
      </w:r>
      <w:bookmarkStart w:id="6056" w:name="b5_ref55"/>
      <w:bookmarkEnd w:id="6056"/>
      <w:r>
        <w:rPr>
          <w:vertAlign w:val="superscript"/>
          <w:rtl/>
        </w:rPr>
        <w:fldChar w:fldCharType="begin" w:dirty="true"/>
      </w:r>
      <w:r>
        <w:rPr>
          <w:vertAlign w:val="superscript"/>
          <w:rtl/>
        </w:rPr>
        <w:instrText xml:space="preserve"> REF b5_note55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55</w:t>
      </w:r>
      <w:r>
        <w:rPr>
          <w:vertAlign w:val="superscript"/>
          <w:rtl/>
        </w:rPr>
        <w:fldChar w:fldCharType="end"/>
      </w:r>
      <w:r>
        <w:rPr>
          <w:rtl/>
        </w:rPr>
        <w:t>.</w:t>
      </w:r>
    </w:p>
    <w:bookmarkStart w:id="6057" w:name="b5_note52"/>
    <w:p w14:paraId="5AF0150E" w14:textId="704E236E" w:rsidR="00AB3647" w:rsidRDefault="00000000" w:rsidP="007923E9">
      <w:pPr>
        <w:spacing w:before="120" w:after="100" w:line="276" w:lineRule="auto"/>
        <w:jc w:val="both"/>
      </w:pPr>
      <w:r>
        <w:fldChar w:fldCharType="begin" w:dirty="true"/>
      </w:r>
      <w:r>
        <w:instrText>HYPERLINK \l "b5_ref52"</w:instrText>
      </w:r>
      <w:r>
        <w:fldChar w:fldCharType="separate"/>
      </w:r>
      <w:r>
        <w:rPr>
          <w:b/>
          <w:bCs/>
          <w:rtl/>
        </w:rPr>
        <w:t>52</w:t>
      </w:r>
      <w:r>
        <w:rPr>
          <w:b/>
          <w:bCs/>
        </w:rPr>
        <w:fldChar w:fldCharType="end"/>
      </w:r>
      <w:bookmarkEnd w:id="6057"/>
      <w:r>
        <w:rPr>
          <w:rtl/>
        </w:rPr>
        <w:t xml:space="preserve"> על ר׳ </w:t>
      </w:r>
      <w:proofErr w:type="spellStart"/>
      <w:r>
        <w:rPr>
          <w:rtl/>
        </w:rPr>
        <w:t>דוד־טעביל</w:t>
      </w:r>
      <w:proofErr w:type="spellEnd"/>
      <w:r>
        <w:rPr>
          <w:rtl/>
        </w:rPr>
        <w:t xml:space="preserve"> השווה הערות 42, 44 ו־45 לעיל; על ר׳ שלמה השווה פרק 3, הפסקאות השנייה והשלישית של </w:t>
      </w:r>
      <w:r>
        <w:rPr>
          <w:rtl/>
        </w:rPr>
        <w:fldChar w:fldCharType="begin" w:dirty="true"/>
      </w:r>
      <w:r>
        <w:rPr>
          <w:rtl/>
        </w:rPr>
        <w:instrText xml:space="preserve"> REF b3_excT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כ</w:t>
      </w:r>
      <w:r>
        <w:rPr>
          <w:rtl/>
        </w:rPr>
        <w:fldChar w:fldCharType="end"/>
      </w:r>
      <w:r>
        <w:rPr>
          <w:rtl/>
        </w:rPr>
        <w:t xml:space="preserve">. שני הגאונים האלה, בעלי הידיעות הרחבות, יכלו לשמש דמויות מופת לבחורי ישיבה בעלי נטייה אינטלקטואלית. הרב </w:t>
      </w:r>
      <w:proofErr w:type="spellStart"/>
      <w:r>
        <w:rPr>
          <w:rtl/>
        </w:rPr>
        <w:t>גבורין</w:t>
      </w:r>
      <w:proofErr w:type="spellEnd"/>
      <w:r>
        <w:rPr>
          <w:rtl/>
        </w:rPr>
        <w:t xml:space="preserve"> לא היה רק למדן מופלג, אלא גם בקי בתולדות ישראל ומומחה לסדר הדורות של חכמי התלמוד</w:t>
      </w:r>
      <w:bookmarkStart w:id="6058" w:name="_fnr4567"/>
      <w:r>
        <w:rPr>
          <w:rStyle w:val="a5"/>
        </w:rPr>
        <w:footnoteReference w:id="4578" w:customMarkFollows="0"/>
      </w:r>
      <w:bookmarkEnd w:id="6058"/>
      <w:r>
        <w:rPr>
          <w:rtl/>
        </w:rPr>
        <w:t xml:space="preserve">. ר׳ שרגא אברמסון, שמעולם לא פגש את ר׳ שלמה פנים אל פנים, סיפר שהחכם הגדול היה ידוע גם כאמן שחמט (ראה גם תחילת פרק 4, </w:t>
      </w:r>
      <w:r>
        <w:rPr>
          <w:rtl/>
        </w:rPr>
        <w:fldChar w:fldCharType="begin" w:dirty="true"/>
      </w:r>
      <w:r>
        <w:rPr>
          <w:rtl/>
        </w:rPr>
        <w:instrText xml:space="preserve"> REF b4_excR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יח</w:t>
      </w:r>
      <w:proofErr w:type="spellEnd"/>
      <w:r>
        <w:rPr>
          <w:rtl/>
        </w:rPr>
        <w:fldChar w:fldCharType="end"/>
      </w:r>
      <w:r>
        <w:rPr>
          <w:rtl/>
        </w:rPr>
        <w:t>).</w:t>
      </w:r>
    </w:p>
    <w:bookmarkStart w:id="6059" w:name="b5_note53"/>
    <w:p w14:paraId="4764A29C" w14:textId="77777777" w:rsidR="00AB3647" w:rsidRDefault="00000000" w:rsidP="007923E9">
      <w:pPr>
        <w:spacing w:before="120" w:after="100" w:line="276" w:lineRule="auto"/>
        <w:jc w:val="both"/>
      </w:pPr>
      <w:r>
        <w:fldChar w:fldCharType="begin" w:dirty="true"/>
      </w:r>
      <w:r>
        <w:instrText>HYPERLINK \l "b5_ref53"</w:instrText>
      </w:r>
      <w:r>
        <w:fldChar w:fldCharType="separate"/>
      </w:r>
      <w:r>
        <w:rPr>
          <w:b/>
          <w:bCs/>
          <w:rtl/>
        </w:rPr>
        <w:t>53</w:t>
      </w:r>
      <w:r>
        <w:rPr>
          <w:b/>
          <w:bCs/>
        </w:rPr>
        <w:fldChar w:fldCharType="end"/>
      </w:r>
      <w:bookmarkEnd w:id="6059"/>
      <w:r>
        <w:rPr>
          <w:rtl/>
        </w:rPr>
        <w:t xml:space="preserve"> ר׳ דוד </w:t>
      </w:r>
      <w:proofErr w:type="spellStart"/>
      <w:r>
        <w:rPr>
          <w:rtl/>
        </w:rPr>
        <w:t>אוסטרוב</w:t>
      </w:r>
      <w:proofErr w:type="spellEnd"/>
      <w:r>
        <w:rPr>
          <w:rtl/>
        </w:rPr>
        <w:t xml:space="preserve">, תלמיד הרב </w:t>
      </w:r>
      <w:proofErr w:type="spellStart"/>
      <w:r>
        <w:rPr>
          <w:rtl/>
        </w:rPr>
        <w:t>גבורין</w:t>
      </w:r>
      <w:proofErr w:type="spellEnd"/>
      <w:r>
        <w:rPr>
          <w:rtl/>
        </w:rPr>
        <w:t xml:space="preserve"> בשנותיו האחרונות </w:t>
      </w:r>
      <w:proofErr w:type="spellStart"/>
      <w:r>
        <w:rPr>
          <w:rtl/>
        </w:rPr>
        <w:t>בביאליסטוק</w:t>
      </w:r>
      <w:proofErr w:type="spellEnd"/>
      <w:r>
        <w:rPr>
          <w:rtl/>
        </w:rPr>
        <w:t>, שאחרי מלחמת העולם הראשונה</w:t>
      </w:r>
      <w:bookmarkStart w:id="6060" w:name="_fnr4568"/>
      <w:r>
        <w:rPr>
          <w:rStyle w:val="a5"/>
        </w:rPr>
        <w:footnoteReference w:id="4579" w:customMarkFollows="0"/>
      </w:r>
      <w:bookmarkEnd w:id="6060"/>
      <w:r>
        <w:rPr>
          <w:rtl/>
        </w:rPr>
        <w:t>, האיר תכונה של ר׳ שלמה שבלי ספק חיבבה אותו על אבי</w:t>
      </w:r>
      <w:bookmarkStart w:id="6061" w:name="_fnr4569"/>
      <w:r>
        <w:rPr>
          <w:rStyle w:val="a5"/>
        </w:rPr>
        <w:footnoteReference w:id="4580" w:customMarkFollows="0"/>
      </w:r>
      <w:bookmarkEnd w:id="6061"/>
      <w:r>
        <w:rPr>
          <w:rtl/>
        </w:rPr>
        <w:t xml:space="preserve">: “הוא היה אדם ישר – </w:t>
      </w:r>
      <w:proofErr w:type="spellStart"/>
      <w:r>
        <w:rPr>
          <w:rtl/>
        </w:rPr>
        <w:t>ראייעלער</w:t>
      </w:r>
      <w:proofErr w:type="spellEnd"/>
      <w:r>
        <w:rPr>
          <w:rtl/>
        </w:rPr>
        <w:t xml:space="preserve"> </w:t>
      </w:r>
      <w:proofErr w:type="spellStart"/>
      <w:r>
        <w:rPr>
          <w:rtl/>
        </w:rPr>
        <w:t>מענש</w:t>
      </w:r>
      <w:proofErr w:type="spellEnd"/>
      <w:r>
        <w:rPr>
          <w:rtl/>
        </w:rPr>
        <w:t xml:space="preserve"> [אדם הגון]: לא נשא פנים – ניט </w:t>
      </w:r>
      <w:proofErr w:type="spellStart"/>
      <w:r>
        <w:rPr>
          <w:rtl/>
        </w:rPr>
        <w:t>געשאנעוועט</w:t>
      </w:r>
      <w:proofErr w:type="spellEnd"/>
      <w:r>
        <w:rPr>
          <w:rtl/>
        </w:rPr>
        <w:t xml:space="preserve">. פעם בחנו הרבנים את כל התלמידים בבת אחת. נשאלה שאלה, וכמה נערים מלפנים ניסו להשיב נכון ולא הצליחו. אני, מאחור, צעיר ונמוך, הרמתי יד והשבתי נכון. אז קרא אחד הנערים, שלאביו הייתה השפעה פוליטית בבית הספר: ‘זו הייתה גם </w:t>
      </w:r>
      <w:r>
        <w:rPr>
          <w:b/>
          <w:bCs/>
          <w:rtl/>
        </w:rPr>
        <w:t>תשובתי</w:t>
      </w:r>
      <w:r>
        <w:rPr>
          <w:rtl/>
        </w:rPr>
        <w:t>!’ ענה לו ר׳ שלמה: ‘</w:t>
      </w:r>
      <w:proofErr w:type="spellStart"/>
      <w:r>
        <w:rPr>
          <w:rtl/>
        </w:rPr>
        <w:t>טערק</w:t>
      </w:r>
      <w:proofErr w:type="spellEnd"/>
      <w:r>
        <w:rPr>
          <w:rtl/>
        </w:rPr>
        <w:t xml:space="preserve">, </w:t>
      </w:r>
      <w:proofErr w:type="spellStart"/>
      <w:r>
        <w:rPr>
          <w:rtl/>
        </w:rPr>
        <w:t>זאג</w:t>
      </w:r>
      <w:proofErr w:type="spellEnd"/>
      <w:r>
        <w:rPr>
          <w:rtl/>
        </w:rPr>
        <w:t xml:space="preserve"> </w:t>
      </w:r>
      <w:proofErr w:type="spellStart"/>
      <w:r>
        <w:rPr>
          <w:rtl/>
        </w:rPr>
        <w:t>יעצט</w:t>
      </w:r>
      <w:proofErr w:type="spellEnd"/>
      <w:r>
        <w:rPr>
          <w:rtl/>
        </w:rPr>
        <w:t xml:space="preserve"> </w:t>
      </w:r>
      <w:proofErr w:type="spellStart"/>
      <w:r>
        <w:rPr>
          <w:rtl/>
        </w:rPr>
        <w:t>איבער</w:t>
      </w:r>
      <w:proofErr w:type="spellEnd"/>
      <w:r>
        <w:rPr>
          <w:rtl/>
        </w:rPr>
        <w:t xml:space="preserve"> [טורקי</w:t>
      </w:r>
      <w:bookmarkStart w:id="6062" w:name="_fnr4570"/>
      <w:r>
        <w:rPr>
          <w:rStyle w:val="a5"/>
        </w:rPr>
        <w:footnoteReference w:id="4581" w:customMarkFollows="0"/>
      </w:r>
      <w:bookmarkEnd w:id="6062"/>
      <w:r>
        <w:rPr>
          <w:rtl/>
        </w:rPr>
        <w:t>, חזור על כך עכשיו]’ – כלומר, ‘פטפטן, [לא יכולת לומר תשובה זו, מפני שאינך מבין אותה די הצורך אפילו כדי] לחזור עליה עכשיו [אחרי ששמעת מפי אחר]!’ לציון הסופי רצה רבי לתת לי ציון נמוך משל הנער האחר, אבל ר׳ שלמה לא הניח לו לקפחני. ר׳ שלמה היה נעים לשיחה, תמיד בחיוך ובסבר פנים יפות למרות צרותיו הקודמות”.</w:t>
      </w:r>
    </w:p>
    <w:p w14:paraId="7ABF236B" w14:textId="00B21B31" w:rsidR="00AB3647" w:rsidRDefault="00000000" w:rsidP="007923E9">
      <w:pPr>
        <w:spacing w:before="120" w:after="100" w:line="276" w:lineRule="auto"/>
        <w:jc w:val="both"/>
      </w:pPr>
      <w:r>
        <w:rPr>
          <w:rtl/>
        </w:rPr>
        <w:t xml:space="preserve">ר׳ דוד </w:t>
      </w:r>
      <w:proofErr w:type="spellStart"/>
      <w:r>
        <w:rPr>
          <w:rtl/>
        </w:rPr>
        <w:t>אוסטרוב</w:t>
      </w:r>
      <w:proofErr w:type="spellEnd"/>
      <w:r>
        <w:rPr>
          <w:rtl/>
        </w:rPr>
        <w:t xml:space="preserve"> התכוון לשנותיו הקשות של ר׳ שלמה במינסק, המתוארות בפסקה השנייה של הערה </w:t>
      </w:r>
      <w:r>
        <w:rPr>
          <w:rtl/>
        </w:rPr>
        <w:fldChar w:fldCharType="begin" w:dirty="true"/>
      </w:r>
      <w:r>
        <w:rPr>
          <w:rtl/>
        </w:rPr>
        <w:instrText xml:space="preserve"> REF b5_note55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55</w:t>
      </w:r>
      <w:r>
        <w:rPr>
          <w:rtl/>
        </w:rPr>
        <w:fldChar w:fldCharType="end"/>
      </w:r>
      <w:r>
        <w:rPr>
          <w:rtl/>
        </w:rPr>
        <w:t xml:space="preserve"> להלן, ולשנות בדידותו שבין פטירת אשתו לנישואיו השניים, בזמן שהיה </w:t>
      </w:r>
      <w:proofErr w:type="spellStart"/>
      <w:r>
        <w:rPr>
          <w:rtl/>
        </w:rPr>
        <w:t>אוסטרוב</w:t>
      </w:r>
      <w:proofErr w:type="spellEnd"/>
      <w:r>
        <w:rPr>
          <w:rtl/>
        </w:rPr>
        <w:t xml:space="preserve"> תלמיד בבית הספר שבו לימד הרב </w:t>
      </w:r>
      <w:proofErr w:type="spellStart"/>
      <w:r>
        <w:rPr>
          <w:rtl/>
        </w:rPr>
        <w:t>גבורין</w:t>
      </w:r>
      <w:proofErr w:type="spellEnd"/>
      <w:r>
        <w:rPr>
          <w:rtl/>
        </w:rPr>
        <w:t>.</w:t>
      </w:r>
    </w:p>
    <w:p w14:paraId="11BEBD87" w14:textId="77777777" w:rsidR="00AB3647" w:rsidRDefault="00000000" w:rsidP="007923E9">
      <w:pPr>
        <w:spacing w:after="100" w:line="276" w:lineRule="auto"/>
        <w:ind w:firstLine="340"/>
        <w:jc w:val="both"/>
      </w:pPr>
      <w:r>
        <w:rPr>
          <w:rtl/>
        </w:rPr>
        <w:t xml:space="preserve">על תכונה נעימה נוספת של ר׳ שלמה סיפר ר׳ ישראל </w:t>
      </w:r>
      <w:proofErr w:type="spellStart"/>
      <w:r>
        <w:rPr>
          <w:rtl/>
        </w:rPr>
        <w:t>כצנלן</w:t>
      </w:r>
      <w:bookmarkStart w:id="6063" w:name="_fnr4571"/>
      <w:proofErr w:type="spellEnd"/>
      <w:r>
        <w:rPr>
          <w:rStyle w:val="a5"/>
        </w:rPr>
        <w:footnoteReference w:id="4582" w:customMarkFollows="0"/>
      </w:r>
      <w:bookmarkEnd w:id="6063"/>
      <w:r>
        <w:rPr>
          <w:rtl/>
        </w:rPr>
        <w:t>, שלמד אצלו בבית הכנסת שואבי מים במינסק</w:t>
      </w:r>
      <w:bookmarkStart w:id="6064" w:name="_fnr4572"/>
      <w:r>
        <w:rPr>
          <w:rStyle w:val="a5"/>
        </w:rPr>
        <w:footnoteReference w:id="4583" w:customMarkFollows="0"/>
      </w:r>
      <w:bookmarkEnd w:id="6064"/>
      <w:r>
        <w:rPr>
          <w:rtl/>
        </w:rPr>
        <w:t xml:space="preserve"> בגיל </w:t>
      </w:r>
      <w:proofErr w:type="spellStart"/>
      <w:r>
        <w:rPr>
          <w:rtl/>
        </w:rPr>
        <w:t>חמש־עשרה</w:t>
      </w:r>
      <w:proofErr w:type="spellEnd"/>
      <w:r>
        <w:rPr>
          <w:rtl/>
        </w:rPr>
        <w:t xml:space="preserve">: “ר׳ שלמה היה ידוע בישיבה </w:t>
      </w:r>
      <w:proofErr w:type="spellStart"/>
      <w:r>
        <w:rPr>
          <w:rtl/>
        </w:rPr>
        <w:t>כוויצלינג</w:t>
      </w:r>
      <w:proofErr w:type="spellEnd"/>
      <w:r>
        <w:rPr>
          <w:rtl/>
        </w:rPr>
        <w:t xml:space="preserve"> [בדחן]”, אמר ר׳ ישראל. אחד החידודים שזכר עסק בהגדרת שנאת חינם</w:t>
      </w:r>
      <w:bookmarkStart w:id="6065" w:name="_fnr4573"/>
      <w:r>
        <w:rPr>
          <w:rStyle w:val="a5"/>
        </w:rPr>
        <w:footnoteReference w:id="4584" w:customMarkFollows="0"/>
      </w:r>
      <w:bookmarkEnd w:id="6065"/>
      <w:r>
        <w:rPr>
          <w:rtl/>
        </w:rPr>
        <w:t xml:space="preserve">. ר׳ שלמה שאל: “כיצד ייתכן שאדם ישנא את אחיו היהודי בלי כל סיבה?” והשיב: “עם הארץ שונא תלמיד חכם </w:t>
      </w:r>
      <w:r>
        <w:rPr>
          <w:rtl/>
        </w:rPr>
        <w:lastRenderedPageBreak/>
        <w:t>מטבעו</w:t>
      </w:r>
      <w:bookmarkStart w:id="6066" w:name="_fnr4574"/>
      <w:r>
        <w:rPr>
          <w:rStyle w:val="a5"/>
        </w:rPr>
        <w:footnoteReference w:id="4585" w:customMarkFollows="0"/>
      </w:r>
      <w:bookmarkEnd w:id="6066"/>
      <w:r>
        <w:rPr>
          <w:rtl/>
        </w:rPr>
        <w:t>. כשעם הארץ רואה שני אנשים מתווכחים על עניין בתורה, הוא מניח שזה שצועק יותר הוא הלמדן, והשקט הוא הבור, והוא מתחיל לשנוא את הצועק. באמת, השקט הוא הלמדן, והצועק, כרגיל, אינו יודע על מה הוא מדבר. וכך נמצא עם הארץ שונא יהודי לחינם!”</w:t>
      </w:r>
    </w:p>
    <w:p w14:paraId="5D79AF0B" w14:textId="77777777" w:rsidR="00AB3647" w:rsidRDefault="00000000" w:rsidP="007923E9">
      <w:pPr>
        <w:spacing w:after="100" w:line="276" w:lineRule="auto"/>
        <w:ind w:firstLine="340"/>
        <w:jc w:val="both"/>
      </w:pPr>
      <w:r>
        <w:rPr>
          <w:rtl/>
        </w:rPr>
        <w:t xml:space="preserve">אבי חש חיבה עמוקה </w:t>
      </w:r>
      <w:proofErr w:type="spellStart"/>
      <w:r>
        <w:rPr>
          <w:rtl/>
        </w:rPr>
        <w:t>לר</w:t>
      </w:r>
      <w:proofErr w:type="spellEnd"/>
      <w:r>
        <w:rPr>
          <w:rtl/>
        </w:rPr>
        <w:t xml:space="preserve">׳ שלמה, אף שלמד אצלו פחות מזמן אחד. יש לשים לב שכשהביא רבנו, כמו ר׳ </w:t>
      </w:r>
      <w:proofErr w:type="spellStart"/>
      <w:r>
        <w:rPr>
          <w:rtl/>
        </w:rPr>
        <w:t>חצקל</w:t>
      </w:r>
      <w:proofErr w:type="spellEnd"/>
      <w:r>
        <w:rPr>
          <w:rtl/>
        </w:rPr>
        <w:t xml:space="preserve"> </w:t>
      </w:r>
      <w:proofErr w:type="spellStart"/>
      <w:r>
        <w:rPr>
          <w:rtl/>
        </w:rPr>
        <w:t>סרנא</w:t>
      </w:r>
      <w:proofErr w:type="spellEnd"/>
      <w:r>
        <w:rPr>
          <w:rtl/>
        </w:rPr>
        <w:t xml:space="preserve">, את סירובו של הסבא לסלק </w:t>
      </w:r>
      <w:proofErr w:type="spellStart"/>
      <w:r>
        <w:rPr>
          <w:rtl/>
        </w:rPr>
        <w:t>מסלבודקה</w:t>
      </w:r>
      <w:proofErr w:type="spellEnd"/>
      <w:r>
        <w:rPr>
          <w:rtl/>
        </w:rPr>
        <w:t xml:space="preserve"> את מתנגדי המוסר ואת נימוקו לכך</w:t>
      </w:r>
      <w:bookmarkStart w:id="6067" w:name="_fnr4575"/>
      <w:r>
        <w:rPr>
          <w:rStyle w:val="a5"/>
        </w:rPr>
        <w:footnoteReference w:id="4586" w:customMarkFollows="0"/>
      </w:r>
      <w:bookmarkEnd w:id="6067"/>
      <w:r>
        <w:rPr>
          <w:rtl/>
        </w:rPr>
        <w:t xml:space="preserve">, הזכיר כדוגמה רק את ר׳ יוסף </w:t>
      </w:r>
      <w:proofErr w:type="spellStart"/>
      <w:r>
        <w:rPr>
          <w:rtl/>
        </w:rPr>
        <w:t>לובצ׳ר</w:t>
      </w:r>
      <w:proofErr w:type="spellEnd"/>
      <w:r>
        <w:rPr>
          <w:rtl/>
        </w:rPr>
        <w:t xml:space="preserve"> (</w:t>
      </w:r>
      <w:proofErr w:type="spellStart"/>
      <w:r>
        <w:rPr>
          <w:rtl/>
        </w:rPr>
        <w:t>יוסלביץ</w:t>
      </w:r>
      <w:proofErr w:type="spellEnd"/>
      <w:r>
        <w:rPr>
          <w:rtl/>
        </w:rPr>
        <w:t xml:space="preserve">), והצביע על דיוק תחזיתו של ר׳ </w:t>
      </w:r>
      <w:proofErr w:type="spellStart"/>
      <w:r>
        <w:rPr>
          <w:rtl/>
        </w:rPr>
        <w:t>נתן־צבי</w:t>
      </w:r>
      <w:proofErr w:type="spellEnd"/>
      <w:r>
        <w:rPr>
          <w:rtl/>
        </w:rPr>
        <w:t xml:space="preserve"> לגביו; את ר׳ שלמה </w:t>
      </w:r>
      <w:proofErr w:type="spellStart"/>
      <w:r>
        <w:rPr>
          <w:rtl/>
        </w:rPr>
        <w:t>גבורין</w:t>
      </w:r>
      <w:proofErr w:type="spellEnd"/>
      <w:r>
        <w:rPr>
          <w:rtl/>
        </w:rPr>
        <w:t xml:space="preserve"> לא הזכיר רבנו.</w:t>
      </w:r>
    </w:p>
    <w:p w14:paraId="203D3262" w14:textId="77777777" w:rsidR="00AB3647" w:rsidRDefault="00000000" w:rsidP="007923E9">
      <w:pPr>
        <w:spacing w:after="100" w:line="276" w:lineRule="auto"/>
        <w:ind w:firstLine="340"/>
        <w:jc w:val="both"/>
      </w:pPr>
      <w:r>
        <w:rPr>
          <w:rtl/>
        </w:rPr>
        <w:t xml:space="preserve">אני סבור שאבי אהב את ר׳ שלמה יותר מכדי שידבר על פעילותו </w:t>
      </w:r>
      <w:proofErr w:type="spellStart"/>
      <w:r>
        <w:rPr>
          <w:rtl/>
        </w:rPr>
        <w:t>הבלתי־שקולה</w:t>
      </w:r>
      <w:proofErr w:type="spellEnd"/>
      <w:r>
        <w:rPr>
          <w:rtl/>
        </w:rPr>
        <w:t xml:space="preserve"> נגד המוסר, שעליה התחרט אחר כך. גם נימוקו של הסבא לסירובו לסלק את הרב </w:t>
      </w:r>
      <w:proofErr w:type="spellStart"/>
      <w:r>
        <w:rPr>
          <w:rtl/>
        </w:rPr>
        <w:t>גבורין</w:t>
      </w:r>
      <w:proofErr w:type="spellEnd"/>
      <w:r>
        <w:rPr>
          <w:rtl/>
        </w:rPr>
        <w:t xml:space="preserve"> לא היה ראוי לציטוט, שכן בניגוד </w:t>
      </w:r>
      <w:proofErr w:type="spellStart"/>
      <w:r>
        <w:rPr>
          <w:rtl/>
        </w:rPr>
        <w:t>ללובצ׳ר</w:t>
      </w:r>
      <w:proofErr w:type="spellEnd"/>
      <w:r>
        <w:rPr>
          <w:rtl/>
        </w:rPr>
        <w:t xml:space="preserve">, הסבא לא </w:t>
      </w:r>
      <w:r>
        <w:rPr>
          <w:b/>
          <w:bCs/>
          <w:rtl/>
        </w:rPr>
        <w:t>ניבא</w:t>
      </w:r>
      <w:r>
        <w:rPr>
          <w:rtl/>
        </w:rPr>
        <w:t xml:space="preserve"> את תפקידו העתידי של ר׳ שלמה כראש ישיבה; ר׳ </w:t>
      </w:r>
      <w:proofErr w:type="spellStart"/>
      <w:r>
        <w:rPr>
          <w:rtl/>
        </w:rPr>
        <w:t>נתן־צבי</w:t>
      </w:r>
      <w:proofErr w:type="spellEnd"/>
      <w:r>
        <w:rPr>
          <w:rtl/>
        </w:rPr>
        <w:t xml:space="preserve"> פשוט תכנן להעמידו בראש ישיבה כשתזדמן האפשרות – כפי שאכן אירע.</w:t>
      </w:r>
    </w:p>
    <w:bookmarkStart w:id="6068" w:name="b5_note54"/>
    <w:p w14:paraId="66C296F7" w14:textId="77777777" w:rsidR="00AB3647" w:rsidRDefault="00000000" w:rsidP="007923E9">
      <w:pPr>
        <w:spacing w:before="120" w:after="100" w:line="276" w:lineRule="auto"/>
        <w:jc w:val="both"/>
      </w:pPr>
      <w:r>
        <w:fldChar w:fldCharType="begin" w:dirty="true"/>
      </w:r>
      <w:r>
        <w:instrText>HYPERLINK \l "b5_ref54"</w:instrText>
      </w:r>
      <w:r>
        <w:fldChar w:fldCharType="separate"/>
      </w:r>
      <w:r>
        <w:rPr>
          <w:b/>
          <w:bCs/>
          <w:rtl/>
        </w:rPr>
        <w:t>54</w:t>
      </w:r>
      <w:r>
        <w:rPr>
          <w:b/>
          <w:bCs/>
        </w:rPr>
        <w:fldChar w:fldCharType="end"/>
      </w:r>
      <w:bookmarkEnd w:id="6068"/>
      <w:r>
        <w:rPr>
          <w:rtl/>
        </w:rPr>
        <w:t xml:space="preserve"> שיעוריו הפליאו את כל שומעיהם, ותלמידיו אהבוהו אהבה בלי גבול. הוא לא היה רק מחנך ומדריך, אלא אב נאמן לתלמידיו</w:t>
      </w:r>
      <w:bookmarkStart w:id="6069" w:name="_fnr4576"/>
      <w:r>
        <w:rPr>
          <w:rStyle w:val="a5"/>
        </w:rPr>
        <w:footnoteReference w:id="4587" w:customMarkFollows="0"/>
      </w:r>
      <w:bookmarkEnd w:id="6069"/>
      <w:r>
        <w:rPr>
          <w:rtl/>
        </w:rPr>
        <w:t xml:space="preserve">. עובדיה פורת, תלמידו </w:t>
      </w:r>
      <w:proofErr w:type="spellStart"/>
      <w:r>
        <w:rPr>
          <w:rtl/>
        </w:rPr>
        <w:t>בתחכמוני</w:t>
      </w:r>
      <w:proofErr w:type="spellEnd"/>
      <w:r>
        <w:rPr>
          <w:rtl/>
        </w:rPr>
        <w:t xml:space="preserve"> בשנים תרפ״ד–תרפ״ה</w:t>
      </w:r>
      <w:bookmarkStart w:id="6070" w:name="_fnr4577"/>
      <w:r>
        <w:rPr>
          <w:rStyle w:val="a5"/>
        </w:rPr>
        <w:footnoteReference w:id="4588" w:customMarkFollows="0"/>
      </w:r>
      <w:bookmarkEnd w:id="6070"/>
      <w:r>
        <w:rPr>
          <w:rtl/>
        </w:rPr>
        <w:t>, אמר</w:t>
      </w:r>
      <w:bookmarkStart w:id="6071" w:name="_fnr4578"/>
      <w:r>
        <w:rPr>
          <w:rStyle w:val="a5"/>
        </w:rPr>
        <w:footnoteReference w:id="4589" w:customMarkFollows="0"/>
      </w:r>
      <w:bookmarkEnd w:id="6071"/>
      <w:r>
        <w:rPr>
          <w:rtl/>
        </w:rPr>
        <w:t xml:space="preserve">: “הרב </w:t>
      </w:r>
      <w:proofErr w:type="spellStart"/>
      <w:r>
        <w:rPr>
          <w:rtl/>
        </w:rPr>
        <w:t>גבורין</w:t>
      </w:r>
      <w:proofErr w:type="spellEnd"/>
      <w:r>
        <w:rPr>
          <w:rtl/>
        </w:rPr>
        <w:t xml:space="preserve"> היה גבוה משכמו ומעלה משאר אנשי הצוות, ואישיותו הקרינה על המוסד כולו”.</w:t>
      </w:r>
    </w:p>
    <w:bookmarkStart w:id="6072" w:name="b5_note55"/>
    <w:p w14:paraId="522678DE" w14:textId="77777777" w:rsidR="00AB3647" w:rsidRDefault="00000000" w:rsidP="007923E9">
      <w:pPr>
        <w:spacing w:before="120" w:after="100" w:line="276" w:lineRule="auto"/>
        <w:jc w:val="both"/>
      </w:pPr>
      <w:r>
        <w:fldChar w:fldCharType="begin" w:dirty="true"/>
      </w:r>
      <w:r>
        <w:instrText>HYPERLINK \l "b5_ref55"</w:instrText>
      </w:r>
      <w:r>
        <w:fldChar w:fldCharType="separate"/>
      </w:r>
      <w:r>
        <w:rPr>
          <w:b/>
          <w:bCs/>
          <w:rtl/>
        </w:rPr>
        <w:t>55</w:t>
      </w:r>
      <w:r>
        <w:rPr>
          <w:b/>
          <w:bCs/>
        </w:rPr>
        <w:fldChar w:fldCharType="end"/>
      </w:r>
      <w:bookmarkEnd w:id="6072"/>
      <w:r>
        <w:rPr>
          <w:rtl/>
        </w:rPr>
        <w:t xml:space="preserve"> ישיבת </w:t>
      </w:r>
      <w:proofErr w:type="spellStart"/>
      <w:r>
        <w:rPr>
          <w:rtl/>
        </w:rPr>
        <w:t>מאלטש</w:t>
      </w:r>
      <w:proofErr w:type="spellEnd"/>
      <w:r>
        <w:rPr>
          <w:rtl/>
        </w:rPr>
        <w:t xml:space="preserve"> התקיימה עד שמלחמת העולם הראשונה שטפה את העיירה. משפחת ר׳ </w:t>
      </w:r>
      <w:proofErr w:type="spellStart"/>
      <w:r>
        <w:rPr>
          <w:rtl/>
        </w:rPr>
        <w:t>דוד־טעביל</w:t>
      </w:r>
      <w:proofErr w:type="spellEnd"/>
      <w:r>
        <w:rPr>
          <w:rtl/>
        </w:rPr>
        <w:t xml:space="preserve"> ברחה למינסק, והוא הצטרף אליה כשברחו גם יהודי </w:t>
      </w:r>
      <w:proofErr w:type="spellStart"/>
      <w:r>
        <w:rPr>
          <w:rtl/>
        </w:rPr>
        <w:t>מאלטש</w:t>
      </w:r>
      <w:proofErr w:type="spellEnd"/>
      <w:r>
        <w:rPr>
          <w:rtl/>
        </w:rPr>
        <w:t xml:space="preserve">. אחרי המלחמה חזר ר׳ </w:t>
      </w:r>
      <w:proofErr w:type="spellStart"/>
      <w:r>
        <w:rPr>
          <w:rtl/>
        </w:rPr>
        <w:t>דוד־טעביל</w:t>
      </w:r>
      <w:proofErr w:type="spellEnd"/>
      <w:r>
        <w:rPr>
          <w:rtl/>
        </w:rPr>
        <w:t xml:space="preserve"> </w:t>
      </w:r>
      <w:proofErr w:type="spellStart"/>
      <w:r>
        <w:rPr>
          <w:rtl/>
        </w:rPr>
        <w:t>למאלטש</w:t>
      </w:r>
      <w:proofErr w:type="spellEnd"/>
      <w:r>
        <w:rPr>
          <w:rtl/>
        </w:rPr>
        <w:t xml:space="preserve">, ומשם “כתב </w:t>
      </w:r>
      <w:proofErr w:type="spellStart"/>
      <w:r>
        <w:rPr>
          <w:rtl/>
        </w:rPr>
        <w:t>בתר״פ</w:t>
      </w:r>
      <w:proofErr w:type="spellEnd"/>
      <w:r>
        <w:rPr>
          <w:rtl/>
        </w:rPr>
        <w:t xml:space="preserve"> לארגון סיוע המלחמה של רבני ניו יורק (‘עזרת תורה’), ותיאר את התנאים הנוראים [שסביבו]”</w:t>
      </w:r>
      <w:bookmarkStart w:id="6073" w:name="_fnr4579"/>
      <w:r>
        <w:rPr>
          <w:rStyle w:val="a5"/>
        </w:rPr>
        <w:footnoteReference w:id="4590" w:customMarkFollows="0"/>
      </w:r>
      <w:bookmarkEnd w:id="6073"/>
      <w:r>
        <w:rPr>
          <w:rtl/>
        </w:rPr>
        <w:t xml:space="preserve">. בשנה שלאחר מכן עבר לכהן כרבה של </w:t>
      </w:r>
      <w:proofErr w:type="spellStart"/>
      <w:r>
        <w:rPr>
          <w:rtl/>
        </w:rPr>
        <w:t>פיונטניצה</w:t>
      </w:r>
      <w:proofErr w:type="spellEnd"/>
      <w:r>
        <w:rPr>
          <w:rtl/>
        </w:rPr>
        <w:t xml:space="preserve">. ר׳ שלמה, שלא הייתה לו ישיבה לשוב אליה, לא חזר לפולין עם שאר הפליטים אלא נשאר במינסק. שם מסר שיעורים בבית הכנסת שואבי מים תחת ר׳ </w:t>
      </w:r>
      <w:proofErr w:type="spellStart"/>
      <w:r>
        <w:rPr>
          <w:rtl/>
        </w:rPr>
        <w:t>יהושע׳לה</w:t>
      </w:r>
      <w:proofErr w:type="spellEnd"/>
      <w:r>
        <w:rPr>
          <w:rtl/>
        </w:rPr>
        <w:t xml:space="preserve"> </w:t>
      </w:r>
      <w:proofErr w:type="spellStart"/>
      <w:r>
        <w:rPr>
          <w:rtl/>
        </w:rPr>
        <w:t>הורודנר</w:t>
      </w:r>
      <w:bookmarkStart w:id="6074" w:name="_fnr4580"/>
      <w:proofErr w:type="spellEnd"/>
      <w:r>
        <w:rPr>
          <w:rStyle w:val="a5"/>
        </w:rPr>
        <w:footnoteReference w:id="4591" w:customMarkFollows="0"/>
      </w:r>
      <w:bookmarkEnd w:id="6074"/>
      <w:r>
        <w:rPr>
          <w:rtl/>
        </w:rPr>
        <w:t xml:space="preserve">, ואחר כך נעשה ראש ישיבה </w:t>
      </w:r>
      <w:proofErr w:type="spellStart"/>
      <w:r>
        <w:rPr>
          <w:rtl/>
        </w:rPr>
        <w:t>בקצובישער</w:t>
      </w:r>
      <w:proofErr w:type="spellEnd"/>
      <w:r>
        <w:rPr>
          <w:rtl/>
        </w:rPr>
        <w:t xml:space="preserve"> שול</w:t>
      </w:r>
      <w:bookmarkStart w:id="6075" w:name="_fnr4581"/>
      <w:r>
        <w:rPr>
          <w:rStyle w:val="a5"/>
        </w:rPr>
        <w:footnoteReference w:id="4592" w:customMarkFollows="0"/>
      </w:r>
      <w:bookmarkEnd w:id="6075"/>
      <w:r>
        <w:rPr>
          <w:rtl/>
        </w:rPr>
        <w:t xml:space="preserve">. במינסק כינו אותו ר׳ שלמה </w:t>
      </w:r>
      <w:proofErr w:type="spellStart"/>
      <w:r>
        <w:rPr>
          <w:rtl/>
        </w:rPr>
        <w:t>מאלטשער</w:t>
      </w:r>
      <w:bookmarkStart w:id="6076" w:name="_fnr4582"/>
      <w:proofErr w:type="spellEnd"/>
      <w:r>
        <w:rPr>
          <w:rStyle w:val="a5"/>
        </w:rPr>
        <w:footnoteReference w:id="4593" w:customMarkFollows="0"/>
      </w:r>
      <w:bookmarkEnd w:id="6076"/>
      <w:r>
        <w:rPr>
          <w:rtl/>
        </w:rPr>
        <w:t>.</w:t>
      </w:r>
    </w:p>
    <w:p w14:paraId="28F7AF25" w14:textId="77777777" w:rsidR="00AB3647" w:rsidRDefault="00000000" w:rsidP="007923E9">
      <w:pPr>
        <w:spacing w:after="100" w:line="276" w:lineRule="auto"/>
        <w:ind w:firstLine="340"/>
        <w:jc w:val="both"/>
      </w:pPr>
      <w:r>
        <w:rPr>
          <w:rtl/>
        </w:rPr>
        <w:t xml:space="preserve">לפי תמר </w:t>
      </w:r>
      <w:proofErr w:type="spellStart"/>
      <w:r>
        <w:rPr>
          <w:rtl/>
        </w:rPr>
        <w:t>קיל</w:t>
      </w:r>
      <w:proofErr w:type="spellEnd"/>
      <w:r>
        <w:rPr>
          <w:rtl/>
        </w:rPr>
        <w:t xml:space="preserve">, בתו של ר׳ שלמה, נפטרה אמה, בתו של ר׳ </w:t>
      </w:r>
      <w:proofErr w:type="spellStart"/>
      <w:r>
        <w:rPr>
          <w:rtl/>
        </w:rPr>
        <w:t>דוד־טעביל</w:t>
      </w:r>
      <w:proofErr w:type="spellEnd"/>
      <w:r>
        <w:rPr>
          <w:rtl/>
        </w:rPr>
        <w:t xml:space="preserve">, </w:t>
      </w:r>
      <w:proofErr w:type="spellStart"/>
      <w:r>
        <w:rPr>
          <w:rtl/>
        </w:rPr>
        <w:t>בתרפ״א</w:t>
      </w:r>
      <w:proofErr w:type="spellEnd"/>
      <w:r>
        <w:rPr>
          <w:rtl/>
        </w:rPr>
        <w:t xml:space="preserve">. ר׳ שלמה נאסר אז בידי הבולשביקים על שלימד תורה, והושלך לכלא, ושם חלה בשחפת. הוא נידון למוות, אבל נמלט בדרך נס והתגנב מעבר לגבול לפולין </w:t>
      </w:r>
      <w:proofErr w:type="spellStart"/>
      <w:r>
        <w:rPr>
          <w:rtl/>
        </w:rPr>
        <w:t>בתרפ״ב</w:t>
      </w:r>
      <w:proofErr w:type="spellEnd"/>
      <w:r>
        <w:rPr>
          <w:rtl/>
        </w:rPr>
        <w:t xml:space="preserve">. הוא לימד בבית הספר </w:t>
      </w:r>
      <w:proofErr w:type="spellStart"/>
      <w:r>
        <w:rPr>
          <w:rtl/>
        </w:rPr>
        <w:t>תחכמוני</w:t>
      </w:r>
      <w:proofErr w:type="spellEnd"/>
      <w:r>
        <w:rPr>
          <w:rtl/>
        </w:rPr>
        <w:t xml:space="preserve"> </w:t>
      </w:r>
      <w:proofErr w:type="spellStart"/>
      <w:r>
        <w:rPr>
          <w:rtl/>
        </w:rPr>
        <w:t>בביאליסטוק</w:t>
      </w:r>
      <w:proofErr w:type="spellEnd"/>
      <w:r>
        <w:rPr>
          <w:rtl/>
        </w:rPr>
        <w:t xml:space="preserve">, עיר הולדתו, וגם שם כינו אותו ר׳ שלמה החריף, הן התלמידים הן שאר </w:t>
      </w:r>
      <w:r>
        <w:rPr>
          <w:rtl/>
        </w:rPr>
        <w:lastRenderedPageBreak/>
        <w:t>אנשי הצוות</w:t>
      </w:r>
      <w:bookmarkStart w:id="6077" w:name="_fnr4583"/>
      <w:r>
        <w:rPr>
          <w:rStyle w:val="a5"/>
        </w:rPr>
        <w:footnoteReference w:id="4594" w:customMarkFollows="0"/>
      </w:r>
      <w:bookmarkEnd w:id="6077"/>
      <w:r>
        <w:rPr>
          <w:rtl/>
        </w:rPr>
        <w:t xml:space="preserve">. לפי ר׳ שרגא אברמסון, נישא הרב </w:t>
      </w:r>
      <w:proofErr w:type="spellStart"/>
      <w:r>
        <w:rPr>
          <w:rtl/>
        </w:rPr>
        <w:t>גבורין</w:t>
      </w:r>
      <w:proofErr w:type="spellEnd"/>
      <w:r>
        <w:rPr>
          <w:rtl/>
        </w:rPr>
        <w:t xml:space="preserve"> בשנית, בערך </w:t>
      </w:r>
      <w:proofErr w:type="spellStart"/>
      <w:r>
        <w:rPr>
          <w:rtl/>
        </w:rPr>
        <w:t>בתרפ״ח</w:t>
      </w:r>
      <w:proofErr w:type="spellEnd"/>
      <w:r>
        <w:rPr>
          <w:rtl/>
        </w:rPr>
        <w:t xml:space="preserve">, לאישה </w:t>
      </w:r>
      <w:proofErr w:type="spellStart"/>
      <w:r>
        <w:rPr>
          <w:rtl/>
        </w:rPr>
        <w:t>מטיקטין</w:t>
      </w:r>
      <w:proofErr w:type="spellEnd"/>
      <w:r>
        <w:rPr>
          <w:rtl/>
        </w:rPr>
        <w:t xml:space="preserve">. בריאותו הלכה והידרדרה בשל השחפת, עד שנפטר </w:t>
      </w:r>
      <w:proofErr w:type="spellStart"/>
      <w:r>
        <w:rPr>
          <w:rtl/>
        </w:rPr>
        <w:t>בתר״ץ</w:t>
      </w:r>
      <w:proofErr w:type="spellEnd"/>
      <w:r>
        <w:rPr>
          <w:rtl/>
        </w:rPr>
        <w:t>, בגיל ארבעים ושבע.</w:t>
      </w:r>
    </w:p>
    <w:p w14:paraId="4106F7C2" w14:textId="4BC9CD63" w:rsidR="00AB3647" w:rsidRDefault="00000000" w:rsidP="007923E9">
      <w:pPr>
        <w:spacing w:after="100" w:line="276" w:lineRule="auto"/>
        <w:ind w:firstLine="340"/>
        <w:jc w:val="both"/>
      </w:pPr>
      <w:r>
        <w:rPr>
          <w:rtl/>
        </w:rPr>
        <w:t xml:space="preserve">מדברי ר׳ דוד </w:t>
      </w:r>
      <w:proofErr w:type="spellStart"/>
      <w:r>
        <w:rPr>
          <w:rtl/>
        </w:rPr>
        <w:t>אוסטרוב</w:t>
      </w:r>
      <w:proofErr w:type="spellEnd"/>
      <w:r>
        <w:rPr>
          <w:rtl/>
        </w:rPr>
        <w:t xml:space="preserve"> המצוטטים בהערה </w:t>
      </w:r>
      <w:r>
        <w:rPr>
          <w:rtl/>
        </w:rPr>
        <w:fldChar w:fldCharType="begin" w:dirty="true"/>
      </w:r>
      <w:r>
        <w:rPr>
          <w:rtl/>
        </w:rPr>
        <w:instrText xml:space="preserve"> REF b5_note53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53</w:t>
      </w:r>
      <w:r>
        <w:rPr>
          <w:rtl/>
        </w:rPr>
        <w:fldChar w:fldCharType="end"/>
      </w:r>
      <w:r>
        <w:rPr>
          <w:rtl/>
        </w:rPr>
        <w:t xml:space="preserve"> לעיל, </w:t>
      </w:r>
      <w:proofErr w:type="spellStart"/>
      <w:r>
        <w:rPr>
          <w:rtl/>
        </w:rPr>
        <w:t>שלר</w:t>
      </w:r>
      <w:proofErr w:type="spellEnd"/>
      <w:r>
        <w:rPr>
          <w:rtl/>
        </w:rPr>
        <w:t xml:space="preserve">׳ שלמה היה “סבר פנים יפות למרות צרותיו </w:t>
      </w:r>
      <w:r>
        <w:rPr>
          <w:b/>
          <w:bCs/>
          <w:rtl/>
        </w:rPr>
        <w:t>הקודמות</w:t>
      </w:r>
      <w:r>
        <w:rPr>
          <w:rtl/>
        </w:rPr>
        <w:t xml:space="preserve"> [ההדגשה שלי]”, ברור שמצבו הבריאותי של המורה הוסתר מתלמידיו – כנראה מפני שמדבקות המחלה הייתה עלולה להבריחם מבית הספר. אילולא כן, היה התלמיד </w:t>
      </w:r>
      <w:proofErr w:type="spellStart"/>
      <w:r>
        <w:rPr>
          <w:rtl/>
        </w:rPr>
        <w:t>אוסטרוב</w:t>
      </w:r>
      <w:proofErr w:type="spellEnd"/>
      <w:r>
        <w:rPr>
          <w:rtl/>
        </w:rPr>
        <w:t xml:space="preserve"> מתרשם יותר ממזגו של הרב </w:t>
      </w:r>
      <w:proofErr w:type="spellStart"/>
      <w:r>
        <w:rPr>
          <w:rtl/>
        </w:rPr>
        <w:t>גבורין</w:t>
      </w:r>
      <w:proofErr w:type="spellEnd"/>
      <w:r>
        <w:rPr>
          <w:rtl/>
        </w:rPr>
        <w:t xml:space="preserve"> “למרות צרותיו </w:t>
      </w:r>
      <w:r>
        <w:rPr>
          <w:b/>
          <w:bCs/>
          <w:rtl/>
        </w:rPr>
        <w:t>הנוכחיות</w:t>
      </w:r>
      <w:r>
        <w:rPr>
          <w:rtl/>
        </w:rPr>
        <w:t>”, כלומר מחלתו הממיתה.</w:t>
      </w:r>
    </w:p>
    <w:p w14:paraId="435B94BC" w14:textId="3F56A978"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רבנו נהנה הן מן הלימוד והן מידידותם של ראשי ישיבתו</w:t>
      </w:r>
      <w:bookmarkStart w:id="6078" w:name="b5_ref56"/>
      <w:bookmarkEnd w:id="6078"/>
      <w:r>
        <w:rPr>
          <w:vertAlign w:val="superscript"/>
          <w:rtl/>
        </w:rPr>
        <w:fldChar w:fldCharType="begin" w:dirty="true"/>
      </w:r>
      <w:r>
        <w:rPr>
          <w:vertAlign w:val="superscript"/>
          <w:rtl/>
        </w:rPr>
        <w:instrText xml:space="preserve"> REF b5_note56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56</w:t>
      </w:r>
      <w:r>
        <w:rPr>
          <w:vertAlign w:val="superscript"/>
          <w:rtl/>
        </w:rPr>
        <w:fldChar w:fldCharType="end"/>
      </w:r>
      <w:r>
        <w:rPr>
          <w:rtl/>
        </w:rPr>
        <w:t>, ומיד חזר להיות המתמיד שהיה. אחרי הסטייה הקלה בראשית השנה שב לדרך ההתקדמות שסללו שני הגאונים, שנהנה מחברתם הנעימה. אבל שהותו בעיירה היפה, המוקפת יערות</w:t>
      </w:r>
      <w:bookmarkStart w:id="6079" w:name="b5_ref57"/>
      <w:bookmarkEnd w:id="6079"/>
      <w:r>
        <w:rPr>
          <w:vertAlign w:val="superscript"/>
          <w:rtl/>
        </w:rPr>
        <w:fldChar w:fldCharType="begin" w:dirty="true"/>
      </w:r>
      <w:r>
        <w:rPr>
          <w:vertAlign w:val="superscript"/>
          <w:rtl/>
        </w:rPr>
        <w:instrText xml:space="preserve"> REF b5_note57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57</w:t>
      </w:r>
      <w:r>
        <w:rPr>
          <w:vertAlign w:val="superscript"/>
          <w:rtl/>
        </w:rPr>
        <w:fldChar w:fldCharType="end"/>
      </w:r>
      <w:r>
        <w:rPr>
          <w:rtl/>
        </w:rPr>
        <w:t>, הייתה קצרה, שכן לקראת סוף החורף של אותה שנה מעוברת</w:t>
      </w:r>
      <w:bookmarkStart w:id="6080" w:name="b5_ref58"/>
      <w:bookmarkEnd w:id="6080"/>
      <w:r>
        <w:rPr>
          <w:vertAlign w:val="superscript"/>
          <w:rtl/>
        </w:rPr>
        <w:fldChar w:fldCharType="begin" w:dirty="true"/>
      </w:r>
      <w:r>
        <w:rPr>
          <w:vertAlign w:val="superscript"/>
          <w:rtl/>
        </w:rPr>
        <w:instrText xml:space="preserve"> REF b5_note58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58</w:t>
      </w:r>
      <w:r>
        <w:rPr>
          <w:vertAlign w:val="superscript"/>
          <w:rtl/>
        </w:rPr>
        <w:fldChar w:fldCharType="end"/>
      </w:r>
      <w:r>
        <w:rPr>
          <w:rtl/>
        </w:rPr>
        <w:t xml:space="preserve"> קיבל הודעה </w:t>
      </w:r>
      <w:proofErr w:type="spellStart"/>
      <w:r>
        <w:rPr>
          <w:rtl/>
        </w:rPr>
        <w:t>מסלבודקה</w:t>
      </w:r>
      <w:proofErr w:type="spellEnd"/>
      <w:r>
        <w:rPr>
          <w:rtl/>
        </w:rPr>
        <w:t>: הסבא רוצה שישוב לכנסת ישראל אחרי פסח, וסידר בשבילו במיוחד חברותא מצוין</w:t>
      </w:r>
      <w:bookmarkStart w:id="6081" w:name="b5_ref59"/>
      <w:bookmarkEnd w:id="6081"/>
      <w:r>
        <w:rPr>
          <w:vertAlign w:val="superscript"/>
          <w:rtl/>
        </w:rPr>
        <w:fldChar w:fldCharType="begin" w:dirty="true"/>
      </w:r>
      <w:r>
        <w:rPr>
          <w:vertAlign w:val="superscript"/>
          <w:rtl/>
        </w:rPr>
        <w:instrText xml:space="preserve"> REF b5_note59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59</w:t>
      </w:r>
      <w:r>
        <w:rPr>
          <w:vertAlign w:val="superscript"/>
          <w:rtl/>
        </w:rPr>
        <w:fldChar w:fldCharType="end"/>
      </w:r>
      <w:r>
        <w:rPr>
          <w:rtl/>
        </w:rPr>
        <w:t>.</w:t>
      </w:r>
    </w:p>
    <w:bookmarkStart w:id="6082" w:name="b5_note56"/>
    <w:p w14:paraId="2B65C02C" w14:textId="77777777" w:rsidR="00AB3647" w:rsidRDefault="00000000" w:rsidP="007923E9">
      <w:pPr>
        <w:spacing w:before="120" w:after="100" w:line="276" w:lineRule="auto"/>
        <w:jc w:val="both"/>
      </w:pPr>
      <w:r>
        <w:fldChar w:fldCharType="begin" w:dirty="true"/>
      </w:r>
      <w:r>
        <w:instrText>HYPERLINK \l "b5_ref56"</w:instrText>
      </w:r>
      <w:r>
        <w:fldChar w:fldCharType="separate"/>
      </w:r>
      <w:r>
        <w:rPr>
          <w:b/>
          <w:bCs/>
          <w:rtl/>
        </w:rPr>
        <w:t>56</w:t>
      </w:r>
      <w:r>
        <w:rPr>
          <w:b/>
          <w:bCs/>
        </w:rPr>
        <w:fldChar w:fldCharType="end"/>
      </w:r>
      <w:bookmarkEnd w:id="6082"/>
      <w:r>
        <w:rPr>
          <w:rtl/>
        </w:rPr>
        <w:t xml:space="preserve"> אני סבור שמתקופה זו בחייו נובעות נטייתו </w:t>
      </w:r>
      <w:proofErr w:type="spellStart"/>
      <w:r>
        <w:rPr>
          <w:rtl/>
        </w:rPr>
        <w:t>הלא־רגילה</w:t>
      </w:r>
      <w:proofErr w:type="spellEnd"/>
      <w:r>
        <w:rPr>
          <w:rtl/>
        </w:rPr>
        <w:t xml:space="preserve"> של אבי לתנ״ך, ללשון ולטעמי המקרא, והכללת נושאים אלה בתחומי לימוד תורתו – אף שאינם מקובלים כיום</w:t>
      </w:r>
      <w:bookmarkStart w:id="6083" w:name="_fnr4584"/>
      <w:r>
        <w:rPr>
          <w:rStyle w:val="a5"/>
        </w:rPr>
        <w:footnoteReference w:id="4595" w:customMarkFollows="0"/>
      </w:r>
      <w:bookmarkEnd w:id="6083"/>
      <w:r>
        <w:rPr>
          <w:rtl/>
        </w:rPr>
        <w:t xml:space="preserve"> – וכן התעניינותו בתולדות חכמי תקופת התלמוד. כשרבנו היה דורש בפרקי אבות בבית הכנסת שלו </w:t>
      </w:r>
      <w:proofErr w:type="spellStart"/>
      <w:r>
        <w:rPr>
          <w:rtl/>
        </w:rPr>
        <w:t>במונסי</w:t>
      </w:r>
      <w:proofErr w:type="spellEnd"/>
      <w:r>
        <w:rPr>
          <w:rtl/>
        </w:rPr>
        <w:t xml:space="preserve">, היה קושר את דברי כל תנא לתקופה שבה חי: אבי ראה בסדר הדורות של חכמי התלמוד חלק בלתי נפרד מן התורה. </w:t>
      </w:r>
      <w:proofErr w:type="spellStart"/>
      <w:r>
        <w:rPr>
          <w:rtl/>
        </w:rPr>
        <w:t>במאלטש</w:t>
      </w:r>
      <w:proofErr w:type="spellEnd"/>
      <w:r>
        <w:rPr>
          <w:rtl/>
        </w:rPr>
        <w:t xml:space="preserve"> ראה שגדולי תורה מתעניינים בנושאים אלה – תופעה שלא נתקל בה עד אז.</w:t>
      </w:r>
    </w:p>
    <w:p w14:paraId="798A2395" w14:textId="77777777" w:rsidR="00AB3647" w:rsidRDefault="00000000" w:rsidP="007923E9">
      <w:pPr>
        <w:spacing w:after="100" w:line="276" w:lineRule="auto"/>
        <w:ind w:firstLine="340"/>
        <w:jc w:val="both"/>
      </w:pPr>
      <w:r>
        <w:rPr>
          <w:rtl/>
        </w:rPr>
        <w:t xml:space="preserve">גיסי ר׳ </w:t>
      </w:r>
      <w:proofErr w:type="spellStart"/>
      <w:r>
        <w:rPr>
          <w:rtl/>
        </w:rPr>
        <w:t>חיים־אייזיק</w:t>
      </w:r>
      <w:proofErr w:type="spellEnd"/>
      <w:r>
        <w:rPr>
          <w:rtl/>
        </w:rPr>
        <w:t xml:space="preserve"> וקסמן נזכר</w:t>
      </w:r>
      <w:bookmarkStart w:id="6084" w:name="_fnr4585"/>
      <w:r>
        <w:rPr>
          <w:rStyle w:val="a5"/>
        </w:rPr>
        <w:footnoteReference w:id="4596" w:customMarkFollows="0"/>
      </w:r>
      <w:bookmarkEnd w:id="6084"/>
      <w:r>
        <w:rPr>
          <w:rtl/>
        </w:rPr>
        <w:t xml:space="preserve"> במסיבת מלווה מלכה משפחתית בג׳ בטבת תשכ״ג</w:t>
      </w:r>
      <w:bookmarkStart w:id="6085" w:name="_fnr4586"/>
      <w:r>
        <w:rPr>
          <w:rStyle w:val="a5"/>
        </w:rPr>
        <w:footnoteReference w:id="4597" w:customMarkFollows="0"/>
      </w:r>
      <w:bookmarkEnd w:id="6085"/>
      <w:r>
        <w:rPr>
          <w:rtl/>
        </w:rPr>
        <w:t>, שבה אירע ליקוי ירח</w:t>
      </w:r>
      <w:bookmarkStart w:id="6086" w:name="_fnr4587"/>
      <w:bookmarkEnd w:id="6086"/>
      <w:r>
        <w:rPr>
          <w:rStyle w:val="a5"/>
        </w:rPr>
        <w:t/>
      </w:r>
      <w:bookmarkStart w:id="7050" w:name="_TranslatorNote_4585"/>
      <w:r>
        <w:rPr>
          <w:rStyle w:val="a5"/>
          <w:vertAlign w:val="superscript"/>
          <w:rtl/>
        </w:rPr>
        <w:footnoteReference w:id="4598" w:customMarkFollows="1"/>
        <w:t>*</w:t>
      </w:r>
      <w:bookmarkEnd w:id="7050"/>
      <w:r>
        <w:rPr>
          <w:rtl/>
        </w:rPr>
        <w:t xml:space="preserve">. רבנו סיפר אז </w:t>
      </w:r>
      <w:proofErr w:type="spellStart"/>
      <w:r>
        <w:rPr>
          <w:rtl/>
        </w:rPr>
        <w:t>ש“כשהיה</w:t>
      </w:r>
      <w:proofErr w:type="spellEnd"/>
      <w:r>
        <w:rPr>
          <w:rtl/>
        </w:rPr>
        <w:t xml:space="preserve"> בחור ישיבה התעניין </w:t>
      </w:r>
      <w:proofErr w:type="spellStart"/>
      <w:r>
        <w:rPr>
          <w:rtl/>
        </w:rPr>
        <w:t>ב‘דברים</w:t>
      </w:r>
      <w:proofErr w:type="spellEnd"/>
      <w:r>
        <w:rPr>
          <w:rtl/>
        </w:rPr>
        <w:t xml:space="preserve"> אחרים’, מלבד ‘לימוד’”. אבי נזכר שנתקל </w:t>
      </w:r>
      <w:proofErr w:type="spellStart"/>
      <w:r>
        <w:rPr>
          <w:rtl/>
        </w:rPr>
        <w:t>ב“ספר</w:t>
      </w:r>
      <w:proofErr w:type="spellEnd"/>
      <w:r>
        <w:rPr>
          <w:rtl/>
        </w:rPr>
        <w:t xml:space="preserve"> סִינִי”, שהתיימר להביא היסטוריה של יותר מ־10,000 שנה. הוא קרא את הספר, והתברר לו שהמחבר אינו יודע שליקויי ירח מתרחשים בזמנים קבועים: הספר רשם ליקויים במועדים נכונים לתקופה של פחות מ־5,000 שנה, אבל בתקופה המוקדמת יותר רשם אותם באקראי – הוכחה שלא הייתה “היסטוריה” לתקופה הקדומה. אפשר לשער שחוויית </w:t>
      </w:r>
      <w:proofErr w:type="spellStart"/>
      <w:r>
        <w:rPr>
          <w:rtl/>
        </w:rPr>
        <w:t>מאלטש</w:t>
      </w:r>
      <w:proofErr w:type="spellEnd"/>
      <w:r>
        <w:rPr>
          <w:rtl/>
        </w:rPr>
        <w:t xml:space="preserve"> טיפחה את התעניינותו </w:t>
      </w:r>
      <w:proofErr w:type="spellStart"/>
      <w:r>
        <w:rPr>
          <w:rtl/>
        </w:rPr>
        <w:t>ב“דברים</w:t>
      </w:r>
      <w:proofErr w:type="spellEnd"/>
      <w:r>
        <w:rPr>
          <w:rtl/>
        </w:rPr>
        <w:t xml:space="preserve"> אחרים”.</w:t>
      </w:r>
    </w:p>
    <w:bookmarkStart w:id="6087" w:name="b5_note57"/>
    <w:p w14:paraId="438415E5" w14:textId="77777777" w:rsidR="00AB3647" w:rsidRDefault="00000000" w:rsidP="007923E9">
      <w:pPr>
        <w:spacing w:before="120" w:after="100" w:line="276" w:lineRule="auto"/>
        <w:jc w:val="both"/>
      </w:pPr>
      <w:r>
        <w:lastRenderedPageBreak/>
        <w:fldChar w:fldCharType="begin" w:dirty="true"/>
      </w:r>
      <w:r>
        <w:instrText>HYPERLINK \l "b5_ref57"</w:instrText>
      </w:r>
      <w:r>
        <w:fldChar w:fldCharType="separate"/>
      </w:r>
      <w:r>
        <w:rPr>
          <w:b/>
          <w:bCs/>
          <w:rtl/>
        </w:rPr>
        <w:t>57</w:t>
      </w:r>
      <w:r>
        <w:rPr>
          <w:b/>
          <w:bCs/>
        </w:rPr>
        <w:fldChar w:fldCharType="end"/>
      </w:r>
      <w:bookmarkEnd w:id="6087"/>
      <w:r>
        <w:rPr>
          <w:rtl/>
        </w:rPr>
        <w:t xml:space="preserve"> ר׳ שמואל </w:t>
      </w:r>
      <w:proofErr w:type="spellStart"/>
      <w:r>
        <w:rPr>
          <w:rtl/>
        </w:rPr>
        <w:t>אורלנסקי</w:t>
      </w:r>
      <w:proofErr w:type="spellEnd"/>
      <w:r>
        <w:rPr>
          <w:rtl/>
        </w:rPr>
        <w:t xml:space="preserve">, תושב </w:t>
      </w:r>
      <w:proofErr w:type="spellStart"/>
      <w:r>
        <w:rPr>
          <w:rtl/>
        </w:rPr>
        <w:t>קמניץ</w:t>
      </w:r>
      <w:proofErr w:type="spellEnd"/>
      <w:r>
        <w:rPr>
          <w:rtl/>
        </w:rPr>
        <w:t>, סיפר</w:t>
      </w:r>
      <w:bookmarkStart w:id="6088" w:name="_fnr4588"/>
      <w:r>
        <w:rPr>
          <w:rStyle w:val="a5"/>
        </w:rPr>
        <w:footnoteReference w:id="4599" w:customMarkFollows="0"/>
      </w:r>
      <w:bookmarkEnd w:id="6088"/>
      <w:r>
        <w:rPr>
          <w:rtl/>
        </w:rPr>
        <w:t xml:space="preserve"> שתלמידים רבים בישיבת ר׳ </w:t>
      </w:r>
      <w:proofErr w:type="spellStart"/>
      <w:r>
        <w:rPr>
          <w:rtl/>
        </w:rPr>
        <w:t>ברוך־בער</w:t>
      </w:r>
      <w:proofErr w:type="spellEnd"/>
      <w:r>
        <w:rPr>
          <w:rtl/>
        </w:rPr>
        <w:t xml:space="preserve"> שם היו נופשים </w:t>
      </w:r>
      <w:proofErr w:type="spellStart"/>
      <w:r>
        <w:rPr>
          <w:rtl/>
        </w:rPr>
        <w:t>במאלטש</w:t>
      </w:r>
      <w:proofErr w:type="spellEnd"/>
      <w:r>
        <w:rPr>
          <w:rtl/>
        </w:rPr>
        <w:t xml:space="preserve">, הרחוקה </w:t>
      </w:r>
      <w:proofErr w:type="spellStart"/>
      <w:r>
        <w:rPr>
          <w:rtl/>
        </w:rPr>
        <w:t>חמישה־עשר</w:t>
      </w:r>
      <w:proofErr w:type="spellEnd"/>
      <w:r>
        <w:rPr>
          <w:rtl/>
        </w:rPr>
        <w:t xml:space="preserve"> קילומטרים. ר׳ </w:t>
      </w:r>
      <w:proofErr w:type="spellStart"/>
      <w:r>
        <w:rPr>
          <w:rtl/>
        </w:rPr>
        <w:t>ברוך־בער</w:t>
      </w:r>
      <w:proofErr w:type="spellEnd"/>
      <w:r>
        <w:rPr>
          <w:rtl/>
        </w:rPr>
        <w:t xml:space="preserve"> העביר את ישיבתו </w:t>
      </w:r>
      <w:proofErr w:type="spellStart"/>
      <w:r>
        <w:rPr>
          <w:rtl/>
        </w:rPr>
        <w:t>לקמניץ</w:t>
      </w:r>
      <w:proofErr w:type="spellEnd"/>
      <w:r>
        <w:rPr>
          <w:rtl/>
        </w:rPr>
        <w:t xml:space="preserve"> באלול תרפ״ו.</w:t>
      </w:r>
    </w:p>
    <w:bookmarkStart w:id="6089" w:name="b5_note58"/>
    <w:p w14:paraId="3D48DB51" w14:textId="7AB027D9" w:rsidR="00AB3647" w:rsidRDefault="00000000" w:rsidP="007923E9">
      <w:pPr>
        <w:spacing w:before="120" w:after="100" w:line="276" w:lineRule="auto"/>
        <w:jc w:val="both"/>
      </w:pPr>
      <w:r>
        <w:fldChar w:fldCharType="begin" w:dirty="true"/>
      </w:r>
      <w:r>
        <w:instrText>HYPERLINK \l "b5_ref58"</w:instrText>
      </w:r>
      <w:r>
        <w:fldChar w:fldCharType="separate"/>
      </w:r>
      <w:r>
        <w:rPr>
          <w:b/>
          <w:bCs/>
          <w:rtl/>
        </w:rPr>
        <w:t>58</w:t>
      </w:r>
      <w:r>
        <w:rPr>
          <w:b/>
          <w:bCs/>
        </w:rPr>
        <w:fldChar w:fldCharType="end"/>
      </w:r>
      <w:bookmarkEnd w:id="6089"/>
      <w:r>
        <w:rPr>
          <w:rtl/>
        </w:rPr>
        <w:t xml:space="preserve"> בשיחה המוקלטת בבית הכנסת “בית ישראל” במיאמי </w:t>
      </w:r>
      <w:proofErr w:type="spellStart"/>
      <w:r>
        <w:rPr>
          <w:rtl/>
        </w:rPr>
        <w:t>ביץ</w:t>
      </w:r>
      <w:proofErr w:type="spellEnd"/>
      <w:r>
        <w:rPr>
          <w:rtl/>
        </w:rPr>
        <w:t>׳</w:t>
      </w:r>
      <w:bookmarkStart w:id="6090" w:name="_fnr4589"/>
      <w:r>
        <w:rPr>
          <w:rStyle w:val="a5"/>
        </w:rPr>
        <w:footnoteReference w:id="4600" w:customMarkFollows="0"/>
      </w:r>
      <w:bookmarkEnd w:id="6090"/>
      <w:r>
        <w:rPr>
          <w:rtl/>
        </w:rPr>
        <w:t xml:space="preserve"> הזכיר אבי שבכ״ה בשבט באותו חורף, יום השנה העשרים וחמישה לפטירת ר׳ ישראל </w:t>
      </w:r>
      <w:proofErr w:type="spellStart"/>
      <w:r>
        <w:rPr>
          <w:rtl/>
        </w:rPr>
        <w:t>סלנטר</w:t>
      </w:r>
      <w:proofErr w:type="spellEnd"/>
      <w:r>
        <w:rPr>
          <w:rtl/>
        </w:rPr>
        <w:t xml:space="preserve">, דיבר ר׳ </w:t>
      </w:r>
      <w:proofErr w:type="spellStart"/>
      <w:r>
        <w:rPr>
          <w:rtl/>
        </w:rPr>
        <w:t>דוד־טעביל</w:t>
      </w:r>
      <w:proofErr w:type="spellEnd"/>
      <w:r>
        <w:rPr>
          <w:rtl/>
        </w:rPr>
        <w:t xml:space="preserve">, “בעל מוסר שראה את ר׳ ישראל בצעירותו, וסיפר מעט על ר׳ ישראל”. השווה הערה </w:t>
      </w:r>
      <w:r>
        <w:rPr>
          <w:rtl/>
        </w:rPr>
        <w:fldChar w:fldCharType="begin" w:dirty="true"/>
      </w:r>
      <w:r>
        <w:rPr>
          <w:rtl/>
        </w:rPr>
        <w:instrText xml:space="preserve"> REF b5_note32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32</w:t>
      </w:r>
      <w:r>
        <w:rPr>
          <w:rtl/>
        </w:rPr>
        <w:fldChar w:fldCharType="end"/>
      </w:r>
      <w:r>
        <w:rPr>
          <w:rtl/>
        </w:rPr>
        <w:t xml:space="preserve"> לעיל: הרב </w:t>
      </w:r>
      <w:proofErr w:type="spellStart"/>
      <w:r>
        <w:rPr>
          <w:rtl/>
        </w:rPr>
        <w:t>דינובסקי</w:t>
      </w:r>
      <w:proofErr w:type="spellEnd"/>
      <w:r>
        <w:rPr>
          <w:rtl/>
        </w:rPr>
        <w:t xml:space="preserve"> היה בן </w:t>
      </w:r>
      <w:proofErr w:type="spellStart"/>
      <w:r>
        <w:rPr>
          <w:rtl/>
        </w:rPr>
        <w:t>שמונה־עשרה</w:t>
      </w:r>
      <w:proofErr w:type="spellEnd"/>
      <w:r>
        <w:rPr>
          <w:rtl/>
        </w:rPr>
        <w:t xml:space="preserve"> כשנפטר ר׳ ישראל, ומוכרח שהיה בן </w:t>
      </w:r>
      <w:proofErr w:type="spellStart"/>
      <w:r>
        <w:rPr>
          <w:rtl/>
        </w:rPr>
        <w:t>שבע־עשרה</w:t>
      </w:r>
      <w:proofErr w:type="spellEnd"/>
      <w:r>
        <w:rPr>
          <w:rtl/>
        </w:rPr>
        <w:t xml:space="preserve"> </w:t>
      </w:r>
      <w:proofErr w:type="spellStart"/>
      <w:r>
        <w:rPr>
          <w:rtl/>
        </w:rPr>
        <w:t>כשראהו</w:t>
      </w:r>
      <w:proofErr w:type="spellEnd"/>
      <w:r>
        <w:rPr>
          <w:rtl/>
        </w:rPr>
        <w:t xml:space="preserve">. אבי לא חזר על מה שסיפר ר׳ </w:t>
      </w:r>
      <w:proofErr w:type="spellStart"/>
      <w:r>
        <w:rPr>
          <w:rtl/>
        </w:rPr>
        <w:t>דוד־טעביל</w:t>
      </w:r>
      <w:proofErr w:type="spellEnd"/>
      <w:r>
        <w:rPr>
          <w:rtl/>
        </w:rPr>
        <w:t xml:space="preserve"> על ר׳ ישראל.</w:t>
      </w:r>
    </w:p>
    <w:bookmarkStart w:id="6091" w:name="b5_note59"/>
    <w:p w14:paraId="2F128632" w14:textId="52F5A611" w:rsidR="00AB3647" w:rsidRDefault="00000000" w:rsidP="007923E9">
      <w:pPr>
        <w:spacing w:before="120" w:after="100" w:line="276" w:lineRule="auto"/>
        <w:jc w:val="both"/>
      </w:pPr>
      <w:r>
        <w:fldChar w:fldCharType="begin" w:dirty="true"/>
      </w:r>
      <w:r>
        <w:instrText>HYPERLINK \l "b5_ref59"</w:instrText>
      </w:r>
      <w:r>
        <w:fldChar w:fldCharType="separate"/>
      </w:r>
      <w:r>
        <w:rPr>
          <w:b/>
          <w:bCs/>
          <w:rtl/>
        </w:rPr>
        <w:t>59</w:t>
      </w:r>
      <w:r>
        <w:rPr>
          <w:b/>
          <w:bCs/>
        </w:rPr>
        <w:fldChar w:fldCharType="end"/>
      </w:r>
      <w:bookmarkEnd w:id="6091"/>
      <w:r>
        <w:rPr>
          <w:rtl/>
        </w:rPr>
        <w:t xml:space="preserve"> ראה </w:t>
      </w:r>
      <w:r>
        <w:rPr>
          <w:rtl/>
        </w:rPr>
        <w:fldChar w:fldCharType="begin" w:dirty="true"/>
      </w:r>
      <w:r>
        <w:rPr>
          <w:rtl/>
        </w:rPr>
        <w:instrText xml:space="preserve"> REF b5_excD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ד</w:t>
      </w:r>
      <w:r>
        <w:rPr>
          <w:rtl/>
        </w:rPr>
        <w:fldChar w:fldCharType="end"/>
      </w:r>
      <w:r>
        <w:rPr>
          <w:rtl/>
        </w:rPr>
        <w:t>.</w:t>
      </w:r>
    </w:p>
    <w:p w14:paraId="74B308D9" w14:textId="77777777" w:rsidR="00AB3647" w:rsidRDefault="00000000" w:rsidP="007923E9">
      <w:pPr>
        <w:pStyle w:val="2"/>
        <w:spacing w:line="276" w:lineRule="auto"/>
      </w:pPr>
      <w:bookmarkStart w:id="6092" w:name="b5_sec2"/>
      <w:r>
        <w:t>2.</w:t>
      </w:r>
      <w:bookmarkEnd w:id="6092"/>
    </w:p>
    <w:p w14:paraId="13676120" w14:textId="34F0CC4B"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אבי עזב את </w:t>
      </w:r>
      <w:proofErr w:type="spellStart"/>
      <w:r>
        <w:rPr>
          <w:rtl/>
        </w:rPr>
        <w:t>מאלטש</w:t>
      </w:r>
      <w:proofErr w:type="spellEnd"/>
      <w:r>
        <w:rPr>
          <w:rtl/>
        </w:rPr>
        <w:t xml:space="preserve"> בראשית ניסן, כדי לעשות את הפסח בביתו במינסק. אחיו ואחיותיו הצעירים גדלו במשך השנה הארוכה שבה לא התראו, ואחיו הבכור כבר היה גבר שנדרש להתייצב לפני ועדת הגיוס</w:t>
      </w:r>
      <w:bookmarkStart w:id="6093" w:name="b5_ref60"/>
      <w:bookmarkEnd w:id="6093"/>
      <w:r>
        <w:rPr>
          <w:vertAlign w:val="superscript"/>
          <w:rtl/>
        </w:rPr>
        <w:fldChar w:fldCharType="begin" w:dirty="true"/>
      </w:r>
      <w:r>
        <w:rPr>
          <w:vertAlign w:val="superscript"/>
          <w:rtl/>
        </w:rPr>
        <w:instrText xml:space="preserve"> REF b5_note60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60</w:t>
      </w:r>
      <w:r>
        <w:rPr>
          <w:vertAlign w:val="superscript"/>
          <w:rtl/>
        </w:rPr>
        <w:fldChar w:fldCharType="end"/>
      </w:r>
      <w:r>
        <w:rPr>
          <w:rtl/>
        </w:rPr>
        <w:t xml:space="preserve">. אהרן, האח שנולד אחרי אבי, עכשיו נער בן </w:t>
      </w:r>
      <w:proofErr w:type="spellStart"/>
      <w:r>
        <w:rPr>
          <w:rtl/>
        </w:rPr>
        <w:t>שתים־עשרה</w:t>
      </w:r>
      <w:proofErr w:type="spellEnd"/>
      <w:r>
        <w:rPr>
          <w:rtl/>
        </w:rPr>
        <w:t xml:space="preserve"> המושפע בנקל, נשא אליו עיניים, והבחין בקלות שהשב הביתה מתקדם בכיוון שונה לגמרי מזה של אחיו ואחיותיו. רבנו רשם לעצמו </w:t>
      </w:r>
      <w:proofErr w:type="spellStart"/>
      <w:r>
        <w:rPr>
          <w:rtl/>
        </w:rPr>
        <w:t>בלבו</w:t>
      </w:r>
      <w:proofErr w:type="spellEnd"/>
      <w:r>
        <w:rPr>
          <w:rtl/>
        </w:rPr>
        <w:t xml:space="preserve"> שיש תקווה שגם אהרן ילמד יום אחד בישיבה.</w:t>
      </w:r>
    </w:p>
    <w:bookmarkStart w:id="6094" w:name="b5_note60"/>
    <w:p w14:paraId="0005B882" w14:textId="14DA253A" w:rsidR="00AB3647" w:rsidRDefault="00000000" w:rsidP="007923E9">
      <w:pPr>
        <w:spacing w:before="120" w:after="100" w:line="276" w:lineRule="auto"/>
        <w:jc w:val="both"/>
      </w:pPr>
      <w:r>
        <w:fldChar w:fldCharType="begin" w:dirty="true"/>
      </w:r>
      <w:r>
        <w:instrText>HYPERLINK \l "b5_ref60"</w:instrText>
      </w:r>
      <w:r>
        <w:fldChar w:fldCharType="separate"/>
      </w:r>
      <w:r>
        <w:rPr>
          <w:b/>
          <w:bCs/>
          <w:rtl/>
        </w:rPr>
        <w:t>60</w:t>
      </w:r>
      <w:r>
        <w:rPr>
          <w:b/>
          <w:bCs/>
        </w:rPr>
        <w:fldChar w:fldCharType="end"/>
      </w:r>
      <w:bookmarkEnd w:id="6094"/>
      <w:r>
        <w:rPr>
          <w:rtl/>
        </w:rPr>
        <w:t xml:space="preserve"> ראה </w:t>
      </w:r>
      <w:r>
        <w:rPr>
          <w:rtl/>
        </w:rPr>
        <w:fldChar w:fldCharType="begin" w:dirty="true"/>
      </w:r>
      <w:r>
        <w:rPr>
          <w:rtl/>
        </w:rPr>
        <w:instrText xml:space="preserve"> REF b5_excE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ה</w:t>
      </w:r>
      <w:r>
        <w:rPr>
          <w:rtl/>
        </w:rPr>
        <w:fldChar w:fldCharType="end"/>
      </w:r>
      <w:r>
        <w:rPr>
          <w:rtl/>
        </w:rPr>
        <w:t>.</w:t>
      </w:r>
    </w:p>
    <w:p w14:paraId="76840952" w14:textId="0FD2DC98"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ההורים הבינו שבנם בחור הישיבה ואחיו מתרחקים זה מזה בהשקפתם יותר מאשר במקום מגוריהם, ולכן החליטו שיש צורך במעשה שיבטא את אחדות המשפחה. הם קבעו מועד לצילום משפחתי</w:t>
      </w:r>
      <w:bookmarkStart w:id="6095" w:name="b5_ref61"/>
      <w:bookmarkEnd w:id="6095"/>
      <w:r>
        <w:rPr>
          <w:vertAlign w:val="superscript"/>
          <w:rtl/>
        </w:rPr>
        <w:fldChar w:fldCharType="begin" w:dirty="true"/>
      </w:r>
      <w:r>
        <w:rPr>
          <w:vertAlign w:val="superscript"/>
          <w:rtl/>
        </w:rPr>
        <w:instrText xml:space="preserve"> REF b5_note61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61</w:t>
      </w:r>
      <w:r>
        <w:rPr>
          <w:vertAlign w:val="superscript"/>
          <w:rtl/>
        </w:rPr>
        <w:fldChar w:fldCharType="end"/>
      </w:r>
      <w:r>
        <w:rPr>
          <w:rtl/>
        </w:rPr>
        <w:t>, שילדיהם ישמרו באהבה – ככל שירחיק העתיד כל אחד מהם מאחיו ואחיותיו.</w:t>
      </w:r>
    </w:p>
    <w:bookmarkStart w:id="6096" w:name="b5_note61"/>
    <w:p w14:paraId="4266948A" w14:textId="77777777" w:rsidR="00AB3647" w:rsidRDefault="00000000" w:rsidP="007923E9">
      <w:pPr>
        <w:spacing w:before="120" w:after="100" w:line="276" w:lineRule="auto"/>
        <w:jc w:val="both"/>
      </w:pPr>
      <w:r>
        <w:fldChar w:fldCharType="begin" w:dirty="true"/>
      </w:r>
      <w:r>
        <w:instrText>HYPERLINK \l "b5_ref61"</w:instrText>
      </w:r>
      <w:r>
        <w:fldChar w:fldCharType="separate"/>
      </w:r>
      <w:r>
        <w:rPr>
          <w:b/>
          <w:bCs/>
          <w:rtl/>
        </w:rPr>
        <w:t>61</w:t>
      </w:r>
      <w:r>
        <w:rPr>
          <w:b/>
          <w:bCs/>
        </w:rPr>
        <w:fldChar w:fldCharType="end"/>
      </w:r>
      <w:bookmarkEnd w:id="6096"/>
      <w:r>
        <w:rPr>
          <w:rtl/>
        </w:rPr>
        <w:t xml:space="preserve"> עותק התמונה של רבנו מצוי בידי משפחתנו. הדודה דבורה הראתה לי את העותק שלה כשביקרתי אצלה </w:t>
      </w:r>
      <w:proofErr w:type="spellStart"/>
      <w:r>
        <w:rPr>
          <w:rtl/>
        </w:rPr>
        <w:t>בתשנ״א</w:t>
      </w:r>
      <w:bookmarkStart w:id="6097" w:name="_fnr4590"/>
      <w:proofErr w:type="spellEnd"/>
      <w:r>
        <w:rPr>
          <w:rStyle w:val="a5"/>
        </w:rPr>
        <w:footnoteReference w:id="4601" w:customMarkFollows="0"/>
      </w:r>
      <w:bookmarkEnd w:id="6097"/>
      <w:r>
        <w:rPr>
          <w:rtl/>
        </w:rPr>
        <w:t>, וכך עשתה גם אלמנתו של אהרן, אחיו של רבנו</w:t>
      </w:r>
      <w:bookmarkStart w:id="6098" w:name="_fnr4591"/>
      <w:r>
        <w:rPr>
          <w:rStyle w:val="a5"/>
        </w:rPr>
        <w:footnoteReference w:id="4602" w:customMarkFollows="0"/>
      </w:r>
      <w:bookmarkEnd w:id="6098"/>
      <w:r>
        <w:rPr>
          <w:rtl/>
        </w:rPr>
        <w:t xml:space="preserve">. תמונת אבי שכותרתה “ר׳ יעקב הצעיר”, ותמונות אביו </w:t>
      </w:r>
      <w:proofErr w:type="spellStart"/>
      <w:r>
        <w:rPr>
          <w:rtl/>
        </w:rPr>
        <w:t>ואמו</w:t>
      </w:r>
      <w:proofErr w:type="spellEnd"/>
      <w:r>
        <w:rPr>
          <w:rtl/>
        </w:rPr>
        <w:t xml:space="preserve"> בעמ׳ 39 ו־35 (בהתאמה) </w:t>
      </w:r>
      <w:proofErr w:type="spellStart"/>
      <w:r>
        <w:rPr>
          <w:rtl/>
        </w:rPr>
        <w:t>ב“רבי</w:t>
      </w:r>
      <w:proofErr w:type="spellEnd"/>
      <w:r>
        <w:rPr>
          <w:rtl/>
        </w:rPr>
        <w:t xml:space="preserve"> יעקב”</w:t>
      </w:r>
      <w:bookmarkStart w:id="6099" w:name="_fnr4592"/>
      <w:r>
        <w:rPr>
          <w:rStyle w:val="a5"/>
        </w:rPr>
        <w:footnoteReference w:id="4603" w:customMarkFollows="0"/>
      </w:r>
      <w:bookmarkEnd w:id="6099"/>
      <w:r>
        <w:rPr>
          <w:rtl/>
        </w:rPr>
        <w:t>, נלקחו מדיוקן המשפחה כולה – ההורים וששת האחים והאחיות – שמסר למו״ל אחי הבכור ר׳ בנימין, שבידו היה העותק של אבינו.</w:t>
      </w:r>
    </w:p>
    <w:p w14:paraId="745D3C3C" w14:textId="27656160"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lastRenderedPageBreak/>
        <w:t xml:space="preserve">גם אהרן </w:t>
      </w:r>
      <w:proofErr w:type="spellStart"/>
      <w:r>
        <w:rPr>
          <w:rtl/>
        </w:rPr>
        <w:t>הסיסלוביצ׳ר</w:t>
      </w:r>
      <w:proofErr w:type="spellEnd"/>
      <w:r>
        <w:rPr>
          <w:rtl/>
        </w:rPr>
        <w:t xml:space="preserve"> ותלמידי </w:t>
      </w:r>
      <w:proofErr w:type="spellStart"/>
      <w:r>
        <w:rPr>
          <w:rtl/>
        </w:rPr>
        <w:t>סלבודקה</w:t>
      </w:r>
      <w:proofErr w:type="spellEnd"/>
      <w:r>
        <w:rPr>
          <w:rtl/>
        </w:rPr>
        <w:t xml:space="preserve"> אחרים ממינסק באו הביתה לפסח, וסיפרו לרבנו כיצד עבר החורף בכנסת ישראל. הם אמרו לו שר׳ </w:t>
      </w:r>
      <w:proofErr w:type="spellStart"/>
      <w:r>
        <w:rPr>
          <w:rtl/>
        </w:rPr>
        <w:t>משה־מרדכי</w:t>
      </w:r>
      <w:proofErr w:type="spellEnd"/>
      <w:r>
        <w:rPr>
          <w:rtl/>
        </w:rPr>
        <w:t>, שחשש תחילה מלימוד יבמות בישיבה, מסר שיעורים מצוינים. תלמידים ותיקים, שכבר עברו מחזור שלם של המסכתות הנלמדות בישיבה, אמרו שאלה השיעורים הטובים ביותר שמסר מעולם</w:t>
      </w:r>
      <w:bookmarkStart w:id="6100" w:name="b5_ref62"/>
      <w:bookmarkEnd w:id="6100"/>
      <w:r>
        <w:rPr>
          <w:vertAlign w:val="superscript"/>
          <w:rtl/>
        </w:rPr>
        <w:fldChar w:fldCharType="begin" w:dirty="true"/>
      </w:r>
      <w:r>
        <w:rPr>
          <w:vertAlign w:val="superscript"/>
          <w:rtl/>
        </w:rPr>
        <w:instrText xml:space="preserve"> REF b5_note62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62</w:t>
      </w:r>
      <w:r>
        <w:rPr>
          <w:vertAlign w:val="superscript"/>
          <w:rtl/>
        </w:rPr>
        <w:fldChar w:fldCharType="end"/>
      </w:r>
      <w:r>
        <w:rPr>
          <w:rtl/>
        </w:rPr>
        <w:t>.</w:t>
      </w:r>
    </w:p>
    <w:bookmarkStart w:id="6101" w:name="b5_note62"/>
    <w:p w14:paraId="37DCBC4A" w14:textId="77557584" w:rsidR="00AB3647" w:rsidRDefault="00000000" w:rsidP="007923E9">
      <w:pPr>
        <w:spacing w:before="120" w:after="100" w:line="276" w:lineRule="auto"/>
        <w:jc w:val="both"/>
      </w:pPr>
      <w:r>
        <w:fldChar w:fldCharType="begin" w:dirty="true"/>
      </w:r>
      <w:r>
        <w:instrText>HYPERLINK \l "b5_ref62"</w:instrText>
      </w:r>
      <w:r>
        <w:fldChar w:fldCharType="separate"/>
      </w:r>
      <w:r>
        <w:rPr>
          <w:b/>
          <w:bCs/>
          <w:rtl/>
        </w:rPr>
        <w:t>62</w:t>
      </w:r>
      <w:r>
        <w:rPr>
          <w:b/>
          <w:bCs/>
        </w:rPr>
        <w:fldChar w:fldCharType="end"/>
      </w:r>
      <w:bookmarkEnd w:id="6101"/>
      <w:r>
        <w:rPr>
          <w:rtl/>
        </w:rPr>
        <w:t xml:space="preserve"> “רשימות ביוגרפיות” (פרק 1, הערה </w:t>
      </w:r>
      <w:r>
        <w:rPr>
          <w:rtl/>
        </w:rPr>
        <w:fldChar w:fldCharType="begin" w:dirty="true"/>
      </w:r>
      <w:r>
        <w:rPr>
          <w:rtl/>
        </w:rPr>
        <w:instrText xml:space="preserve"> REF b1_note68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68</w:t>
      </w:r>
      <w:r>
        <w:rPr>
          <w:rtl/>
        </w:rPr>
        <w:fldChar w:fldCharType="end"/>
      </w:r>
      <w:r>
        <w:rPr>
          <w:rtl/>
        </w:rPr>
        <w:t>).</w:t>
      </w:r>
    </w:p>
    <w:p w14:paraId="2A302B57" w14:textId="7777777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מתוך “דיבור בלימוד” עם ראובן </w:t>
      </w:r>
      <w:proofErr w:type="spellStart"/>
      <w:r>
        <w:rPr>
          <w:rtl/>
        </w:rPr>
        <w:t>גרוזובסקי</w:t>
      </w:r>
      <w:proofErr w:type="spellEnd"/>
      <w:r>
        <w:rPr>
          <w:rtl/>
        </w:rPr>
        <w:t xml:space="preserve"> ועם אהרן ראה השב </w:t>
      </w:r>
      <w:proofErr w:type="spellStart"/>
      <w:r>
        <w:rPr>
          <w:rtl/>
        </w:rPr>
        <w:t>ממאלטש</w:t>
      </w:r>
      <w:proofErr w:type="spellEnd"/>
      <w:r>
        <w:rPr>
          <w:rtl/>
        </w:rPr>
        <w:t xml:space="preserve"> עד כמה התקדמו בזמן שלא היה שם, והצטער שהחמיץ את ששת החודשים האחרונים </w:t>
      </w:r>
      <w:proofErr w:type="spellStart"/>
      <w:r>
        <w:rPr>
          <w:rtl/>
        </w:rPr>
        <w:t>בסלבודקה</w:t>
      </w:r>
      <w:proofErr w:type="spellEnd"/>
      <w:r>
        <w:rPr>
          <w:rtl/>
        </w:rPr>
        <w:t xml:space="preserve"> במחיצתם. אבל לא יכול היה להאשים בכך איש מלבד עצמו. כשהסבא שאל אותו בשבת בראשית אם הוא רוצה להצטרף לקבוצה היוצאת </w:t>
      </w:r>
      <w:proofErr w:type="spellStart"/>
      <w:r>
        <w:rPr>
          <w:rtl/>
        </w:rPr>
        <w:t>למאלטש</w:t>
      </w:r>
      <w:proofErr w:type="spellEnd"/>
      <w:r>
        <w:rPr>
          <w:rtl/>
        </w:rPr>
        <w:t xml:space="preserve">, הוא התנדב בשמחה. מצד שני, גם הוא למד היטב </w:t>
      </w:r>
      <w:proofErr w:type="spellStart"/>
      <w:r>
        <w:rPr>
          <w:rtl/>
        </w:rPr>
        <w:t>במאלטש</w:t>
      </w:r>
      <w:proofErr w:type="spellEnd"/>
      <w:r>
        <w:rPr>
          <w:rtl/>
        </w:rPr>
        <w:t>, ושם התעורר מחדש אחרי תקופה קצרה של בטלה.</w:t>
      </w:r>
    </w:p>
    <w:p w14:paraId="14FB74E3" w14:textId="1F18C890"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חבריו סיפרו לו גם שהחמיץ את ביקורו של אורח חשוב בקובנה לקראת סוף החורף שעבר: ר׳ חיים </w:t>
      </w:r>
      <w:proofErr w:type="spellStart"/>
      <w:r>
        <w:rPr>
          <w:rtl/>
        </w:rPr>
        <w:t>סולובייצ׳יק</w:t>
      </w:r>
      <w:proofErr w:type="spellEnd"/>
      <w:r>
        <w:rPr>
          <w:rtl/>
        </w:rPr>
        <w:t xml:space="preserve"> הגדול </w:t>
      </w:r>
      <w:proofErr w:type="spellStart"/>
      <w:r>
        <w:rPr>
          <w:rtl/>
        </w:rPr>
        <w:t>מבריסק</w:t>
      </w:r>
      <w:proofErr w:type="spellEnd"/>
      <w:r>
        <w:rPr>
          <w:rtl/>
        </w:rPr>
        <w:t xml:space="preserve"> היה שם</w:t>
      </w:r>
      <w:bookmarkStart w:id="6102" w:name="b5_ref63"/>
      <w:bookmarkEnd w:id="6102"/>
      <w:r>
        <w:rPr>
          <w:vertAlign w:val="superscript"/>
          <w:rtl/>
        </w:rPr>
        <w:fldChar w:fldCharType="begin" w:dirty="true"/>
      </w:r>
      <w:r>
        <w:rPr>
          <w:vertAlign w:val="superscript"/>
          <w:rtl/>
        </w:rPr>
        <w:instrText xml:space="preserve"> REF b5_note63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63</w:t>
      </w:r>
      <w:r>
        <w:rPr>
          <w:vertAlign w:val="superscript"/>
          <w:rtl/>
        </w:rPr>
        <w:fldChar w:fldCharType="end"/>
      </w:r>
      <w:r>
        <w:rPr>
          <w:rtl/>
        </w:rPr>
        <w:t xml:space="preserve">. תלמידי </w:t>
      </w:r>
      <w:proofErr w:type="spellStart"/>
      <w:r>
        <w:rPr>
          <w:rtl/>
        </w:rPr>
        <w:t>סלבודקה</w:t>
      </w:r>
      <w:proofErr w:type="spellEnd"/>
      <w:r>
        <w:rPr>
          <w:rtl/>
        </w:rPr>
        <w:t xml:space="preserve"> תיארו את ביקורו של ר׳ חיים בכלל, ואת האהבה שגילה כלפי תלמידו ר׳ </w:t>
      </w:r>
      <w:proofErr w:type="spellStart"/>
      <w:r>
        <w:rPr>
          <w:rtl/>
        </w:rPr>
        <w:t>ברוך־בער</w:t>
      </w:r>
      <w:proofErr w:type="spellEnd"/>
      <w:r>
        <w:rPr>
          <w:rtl/>
        </w:rPr>
        <w:t xml:space="preserve"> בפרט. ר׳ חיים הגיע לקובנה בצוהרי יום חמישי של קור עז, יומיים לפני ראש חודש שבט, ובו בערב נהרו הבחורים משתי ישיבות </w:t>
      </w:r>
      <w:proofErr w:type="spellStart"/>
      <w:r>
        <w:rPr>
          <w:rtl/>
        </w:rPr>
        <w:t>סלבודקה</w:t>
      </w:r>
      <w:proofErr w:type="spellEnd"/>
      <w:r>
        <w:rPr>
          <w:rtl/>
        </w:rPr>
        <w:t xml:space="preserve"> אל המלון שבו התאכסן. אחד מחבריהם, </w:t>
      </w:r>
      <w:proofErr w:type="spellStart"/>
      <w:r>
        <w:rPr>
          <w:rtl/>
        </w:rPr>
        <w:t>אברהם־אליהו</w:t>
      </w:r>
      <w:proofErr w:type="spellEnd"/>
      <w:r>
        <w:rPr>
          <w:rtl/>
        </w:rPr>
        <w:t xml:space="preserve"> </w:t>
      </w:r>
      <w:proofErr w:type="spellStart"/>
      <w:r>
        <w:rPr>
          <w:rtl/>
        </w:rPr>
        <w:t>טעלזער</w:t>
      </w:r>
      <w:proofErr w:type="spellEnd"/>
      <w:r>
        <w:rPr>
          <w:rtl/>
        </w:rPr>
        <w:t xml:space="preserve"> (קפלן)</w:t>
      </w:r>
      <w:bookmarkStart w:id="6103" w:name="b5_ref64"/>
      <w:bookmarkEnd w:id="6103"/>
      <w:r>
        <w:rPr>
          <w:vertAlign w:val="superscript"/>
          <w:rtl/>
        </w:rPr>
        <w:fldChar w:fldCharType="begin" w:dirty="true"/>
      </w:r>
      <w:r>
        <w:rPr>
          <w:vertAlign w:val="superscript"/>
          <w:rtl/>
        </w:rPr>
        <w:instrText xml:space="preserve"> REF b5_note64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64</w:t>
      </w:r>
      <w:r>
        <w:rPr>
          <w:vertAlign w:val="superscript"/>
          <w:rtl/>
        </w:rPr>
        <w:fldChar w:fldCharType="end"/>
      </w:r>
      <w:r>
        <w:rPr>
          <w:rtl/>
        </w:rPr>
        <w:t xml:space="preserve">, שהצטרף לכנסת ישראל כחצי שנה אחרי </w:t>
      </w:r>
      <w:proofErr w:type="spellStart"/>
      <w:r>
        <w:rPr>
          <w:rtl/>
        </w:rPr>
        <w:t>הדולהינובר</w:t>
      </w:r>
      <w:proofErr w:type="spellEnd"/>
      <w:r>
        <w:rPr>
          <w:rtl/>
        </w:rPr>
        <w:t xml:space="preserve"> </w:t>
      </w:r>
      <w:proofErr w:type="spellStart"/>
      <w:r>
        <w:rPr>
          <w:rtl/>
        </w:rPr>
        <w:t>והסיסלוביצ׳ר</w:t>
      </w:r>
      <w:proofErr w:type="spellEnd"/>
      <w:r>
        <w:rPr>
          <w:rtl/>
        </w:rPr>
        <w:t>, היה בין הראשונים שבאו לחזות</w:t>
      </w:r>
      <w:bookmarkStart w:id="6104" w:name="b5_ref65"/>
      <w:bookmarkEnd w:id="6104"/>
      <w:r>
        <w:rPr>
          <w:vertAlign w:val="superscript"/>
          <w:rtl/>
        </w:rPr>
        <w:fldChar w:fldCharType="begin" w:dirty="true"/>
      </w:r>
      <w:r>
        <w:rPr>
          <w:vertAlign w:val="superscript"/>
          <w:rtl/>
        </w:rPr>
        <w:instrText xml:space="preserve"> REF b5_note65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65</w:t>
      </w:r>
      <w:r>
        <w:rPr>
          <w:vertAlign w:val="superscript"/>
          <w:rtl/>
        </w:rPr>
        <w:fldChar w:fldCharType="end"/>
      </w:r>
      <w:r>
        <w:rPr>
          <w:rtl/>
        </w:rPr>
        <w:t xml:space="preserve"> באורח הנכבד.</w:t>
      </w:r>
    </w:p>
    <w:bookmarkStart w:id="6105" w:name="b5_note63"/>
    <w:p w14:paraId="0DBFD87F" w14:textId="14D30538" w:rsidR="00AB3647" w:rsidRDefault="00000000" w:rsidP="007923E9">
      <w:pPr>
        <w:spacing w:before="120" w:after="100" w:line="276" w:lineRule="auto"/>
        <w:jc w:val="both"/>
      </w:pPr>
      <w:r>
        <w:fldChar w:fldCharType="begin" w:dirty="true"/>
      </w:r>
      <w:r>
        <w:instrText>HYPERLINK \l "b5_ref63"</w:instrText>
      </w:r>
      <w:r>
        <w:fldChar w:fldCharType="separate"/>
      </w:r>
      <w:r>
        <w:rPr>
          <w:b/>
          <w:bCs/>
          <w:rtl/>
        </w:rPr>
        <w:t>63</w:t>
      </w:r>
      <w:r>
        <w:rPr>
          <w:b/>
          <w:bCs/>
        </w:rPr>
        <w:fldChar w:fldCharType="end"/>
      </w:r>
      <w:bookmarkEnd w:id="6105"/>
      <w:r>
        <w:rPr>
          <w:rtl/>
        </w:rPr>
        <w:t xml:space="preserve"> ראה </w:t>
      </w:r>
      <w:r>
        <w:rPr>
          <w:rtl/>
        </w:rPr>
        <w:fldChar w:fldCharType="begin" w:dirty="true"/>
      </w:r>
      <w:r>
        <w:rPr>
          <w:rtl/>
        </w:rPr>
        <w:instrText xml:space="preserve"> REF b5_excF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ו</w:t>
      </w:r>
      <w:r>
        <w:rPr>
          <w:rtl/>
        </w:rPr>
        <w:fldChar w:fldCharType="end"/>
      </w:r>
      <w:r>
        <w:rPr>
          <w:rtl/>
        </w:rPr>
        <w:t>.</w:t>
      </w:r>
    </w:p>
    <w:bookmarkStart w:id="6106" w:name="b5_note64"/>
    <w:p w14:paraId="13E1442D" w14:textId="7E7C0510" w:rsidR="00AB3647" w:rsidRDefault="00000000" w:rsidP="007923E9">
      <w:pPr>
        <w:spacing w:before="120" w:after="100" w:line="276" w:lineRule="auto"/>
        <w:jc w:val="both"/>
      </w:pPr>
      <w:r>
        <w:fldChar w:fldCharType="begin" w:dirty="true"/>
      </w:r>
      <w:r>
        <w:instrText>HYPERLINK \l "b5_ref64"</w:instrText>
      </w:r>
      <w:r>
        <w:fldChar w:fldCharType="separate"/>
      </w:r>
      <w:r>
        <w:rPr>
          <w:b/>
          <w:bCs/>
          <w:rtl/>
        </w:rPr>
        <w:t>64</w:t>
      </w:r>
      <w:r>
        <w:rPr>
          <w:b/>
          <w:bCs/>
        </w:rPr>
        <w:fldChar w:fldCharType="end"/>
      </w:r>
      <w:bookmarkEnd w:id="6106"/>
      <w:r>
        <w:rPr>
          <w:rtl/>
        </w:rPr>
        <w:t xml:space="preserve"> ראה </w:t>
      </w:r>
      <w:r>
        <w:rPr>
          <w:rtl/>
        </w:rPr>
        <w:fldChar w:fldCharType="begin" w:dirty="true"/>
      </w:r>
      <w:r>
        <w:rPr>
          <w:rtl/>
        </w:rPr>
        <w:instrText xml:space="preserve"> REF b5_excG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ז</w:t>
      </w:r>
      <w:r>
        <w:rPr>
          <w:rtl/>
        </w:rPr>
        <w:fldChar w:fldCharType="end"/>
      </w:r>
      <w:r>
        <w:rPr>
          <w:rtl/>
        </w:rPr>
        <w:t>.</w:t>
      </w:r>
    </w:p>
    <w:bookmarkStart w:id="6107" w:name="b5_note65"/>
    <w:p w14:paraId="44012320" w14:textId="77777777" w:rsidR="00AB3647" w:rsidRDefault="00000000" w:rsidP="007923E9">
      <w:pPr>
        <w:spacing w:before="120" w:after="100" w:line="276" w:lineRule="auto"/>
        <w:jc w:val="both"/>
      </w:pPr>
      <w:r>
        <w:fldChar w:fldCharType="begin" w:dirty="true"/>
      </w:r>
      <w:r>
        <w:instrText>HYPERLINK \l "b5_ref65"</w:instrText>
      </w:r>
      <w:r>
        <w:fldChar w:fldCharType="separate"/>
      </w:r>
      <w:r>
        <w:rPr>
          <w:b/>
          <w:bCs/>
          <w:rtl/>
        </w:rPr>
        <w:t>65</w:t>
      </w:r>
      <w:r>
        <w:rPr>
          <w:b/>
          <w:bCs/>
        </w:rPr>
        <w:fldChar w:fldCharType="end"/>
      </w:r>
      <w:bookmarkEnd w:id="6107"/>
      <w:r>
        <w:rPr>
          <w:rtl/>
        </w:rPr>
        <w:t xml:space="preserve"> בזיכרונותיו של </w:t>
      </w:r>
      <w:proofErr w:type="spellStart"/>
      <w:r>
        <w:rPr>
          <w:rtl/>
        </w:rPr>
        <w:t>צבי־הירש</w:t>
      </w:r>
      <w:proofErr w:type="spellEnd"/>
      <w:r>
        <w:rPr>
          <w:rtl/>
        </w:rPr>
        <w:t xml:space="preserve"> </w:t>
      </w:r>
      <w:proofErr w:type="spellStart"/>
      <w:r>
        <w:rPr>
          <w:rtl/>
        </w:rPr>
        <w:t>מסליאנסקי</w:t>
      </w:r>
      <w:proofErr w:type="spellEnd"/>
      <w:r>
        <w:rPr>
          <w:rtl/>
        </w:rPr>
        <w:t xml:space="preserve"> באנגלית (1929)</w:t>
      </w:r>
      <w:bookmarkStart w:id="6108" w:name="_fnr4593"/>
      <w:r>
        <w:rPr>
          <w:rStyle w:val="a5"/>
        </w:rPr>
        <w:footnoteReference w:id="4604" w:customMarkFollows="0"/>
      </w:r>
      <w:bookmarkEnd w:id="6108"/>
      <w:r>
        <w:rPr>
          <w:rtl/>
        </w:rPr>
        <w:t xml:space="preserve"> מתאר המחבר</w:t>
      </w:r>
      <w:bookmarkStart w:id="6109" w:name="_fnr4594"/>
      <w:bookmarkStart w:id="6110" w:name="pr_f_4475"/>
      <w:r>
        <w:rPr>
          <w:rStyle w:val="a5"/>
        </w:rPr>
        <w:footnoteReference w:id="4605" w:customMarkFollows="0"/>
      </w:r>
      <w:bookmarkEnd w:id="6109"/>
      <w:bookmarkEnd w:id="6110"/>
      <w:r>
        <w:rPr>
          <w:rtl/>
        </w:rPr>
        <w:t xml:space="preserve"> את מראהו של ר׳ חיים </w:t>
      </w:r>
      <w:proofErr w:type="spellStart"/>
      <w:r>
        <w:rPr>
          <w:rtl/>
        </w:rPr>
        <w:t>בבריסק</w:t>
      </w:r>
      <w:proofErr w:type="spellEnd"/>
      <w:r>
        <w:rPr>
          <w:rtl/>
        </w:rPr>
        <w:t xml:space="preserve"> </w:t>
      </w:r>
      <w:proofErr w:type="spellStart"/>
      <w:r>
        <w:rPr>
          <w:rtl/>
        </w:rPr>
        <w:t>בתרנ״ג</w:t>
      </w:r>
      <w:proofErr w:type="spellEnd"/>
      <w:r>
        <w:rPr>
          <w:rtl/>
        </w:rPr>
        <w:t xml:space="preserve"> (שנה לאחר שנעשה שם רב): “במראהו החיצוני אינו מרשים. קומתו נמוכה, זקנו חד, עיניו חדות; רק הראש גדול, גדול מדי, וכל הרואה אותו מבין שהוא כלי קיבול למוח גדול, למוח ההוגה רעיונות עמוקים”. גם ר׳ מאיר פינס</w:t>
      </w:r>
      <w:bookmarkStart w:id="6111" w:name="_fnr4595"/>
      <w:r>
        <w:rPr>
          <w:rStyle w:val="a5"/>
        </w:rPr>
        <w:footnoteReference w:id="4606" w:customMarkFollows="0"/>
      </w:r>
      <w:bookmarkEnd w:id="6111"/>
      <w:r>
        <w:rPr>
          <w:rtl/>
        </w:rPr>
        <w:t xml:space="preserve">, שראה את ר׳ חיים במינסק בזמן מלחמת העולם הראשונה, תיאר אותו </w:t>
      </w:r>
      <w:proofErr w:type="spellStart"/>
      <w:r>
        <w:rPr>
          <w:rtl/>
        </w:rPr>
        <w:t>כ“נמוך</w:t>
      </w:r>
      <w:proofErr w:type="spellEnd"/>
      <w:r>
        <w:rPr>
          <w:rtl/>
        </w:rPr>
        <w:t xml:space="preserve"> אבל בעל ראש ענקי”.</w:t>
      </w:r>
    </w:p>
    <w:p w14:paraId="7AAD65FA" w14:textId="77777777" w:rsidR="00AB3647" w:rsidRDefault="00000000" w:rsidP="007923E9">
      <w:pPr>
        <w:spacing w:before="120" w:after="100" w:line="276" w:lineRule="auto"/>
        <w:jc w:val="both"/>
      </w:pPr>
      <w:r>
        <w:rPr>
          <w:rtl/>
        </w:rPr>
        <w:lastRenderedPageBreak/>
        <w:t xml:space="preserve">תלמיד משנותיו האחרונות </w:t>
      </w:r>
      <w:proofErr w:type="spellStart"/>
      <w:r>
        <w:rPr>
          <w:rtl/>
        </w:rPr>
        <w:t>בוולוז׳ין</w:t>
      </w:r>
      <w:proofErr w:type="spellEnd"/>
      <w:r>
        <w:rPr>
          <w:rtl/>
        </w:rPr>
        <w:t xml:space="preserve">, הרב יהודה ליב </w:t>
      </w:r>
      <w:proofErr w:type="spellStart"/>
      <w:r>
        <w:rPr>
          <w:rtl/>
        </w:rPr>
        <w:t>דון־יחייא</w:t>
      </w:r>
      <w:bookmarkStart w:id="6112" w:name="_fnr4596"/>
      <w:proofErr w:type="spellEnd"/>
      <w:r>
        <w:rPr>
          <w:rStyle w:val="a5"/>
        </w:rPr>
        <w:footnoteReference w:id="4607" w:customMarkFollows="0"/>
      </w:r>
      <w:bookmarkEnd w:id="6112"/>
      <w:r>
        <w:rPr>
          <w:rtl/>
        </w:rPr>
        <w:t>, מוסר את התיאור הבא: “ר׳ חיים היה בינוני בקומתו. מראהו משך את העין, הן בישיבתו במקום אחד, כשפניו מביעות מאמץ – עיניו הגדולות כולאות בתוכן אריות אש וגולגולתו רבת ההבעה כפופה מעט ושקועה במחשבות עמוקות ביותר – והן כשהיה משוטט באולם הישיבה, וראשו האדיר (ראשו של אריה זקן), המכיל כמות עצומה של מוח, מכביד במשקלו הרב על כתפיו. התמונה על כל פרטיה חרותה לעד בזיכרונם של רואיה”.</w:t>
      </w:r>
    </w:p>
    <w:p w14:paraId="692E227A" w14:textId="77777777" w:rsidR="00AB3647" w:rsidRDefault="00000000" w:rsidP="007923E9">
      <w:pPr>
        <w:spacing w:before="120" w:after="100" w:line="276" w:lineRule="auto"/>
        <w:jc w:val="both"/>
      </w:pPr>
      <w:r>
        <w:rPr>
          <w:rtl/>
        </w:rPr>
        <w:t xml:space="preserve">אבא </w:t>
      </w:r>
      <w:proofErr w:type="spellStart"/>
      <w:r>
        <w:rPr>
          <w:rtl/>
        </w:rPr>
        <w:t>בלושר</w:t>
      </w:r>
      <w:proofErr w:type="spellEnd"/>
      <w:r>
        <w:rPr>
          <w:rtl/>
        </w:rPr>
        <w:t xml:space="preserve">, תלמיד נוסף </w:t>
      </w:r>
      <w:proofErr w:type="spellStart"/>
      <w:r>
        <w:rPr>
          <w:rtl/>
        </w:rPr>
        <w:t>בוולוז׳ין</w:t>
      </w:r>
      <w:proofErr w:type="spellEnd"/>
      <w:r>
        <w:rPr>
          <w:rtl/>
        </w:rPr>
        <w:t xml:space="preserve"> מאותה תקופה</w:t>
      </w:r>
      <w:bookmarkStart w:id="6113" w:name="_fnr4597"/>
      <w:r>
        <w:rPr>
          <w:rStyle w:val="a5"/>
        </w:rPr>
        <w:footnoteReference w:id="4608" w:customMarkFollows="0"/>
      </w:r>
      <w:bookmarkEnd w:id="6113"/>
      <w:r>
        <w:rPr>
          <w:rtl/>
        </w:rPr>
        <w:t xml:space="preserve">, נראה כמי שהושפע הן מן הרב יהודה ליב </w:t>
      </w:r>
      <w:proofErr w:type="spellStart"/>
      <w:r>
        <w:rPr>
          <w:rtl/>
        </w:rPr>
        <w:t>דון־יחייא</w:t>
      </w:r>
      <w:proofErr w:type="spellEnd"/>
      <w:r>
        <w:rPr>
          <w:rtl/>
        </w:rPr>
        <w:t xml:space="preserve"> הן מן הרב צ״ה </w:t>
      </w:r>
      <w:proofErr w:type="spellStart"/>
      <w:r>
        <w:rPr>
          <w:rtl/>
        </w:rPr>
        <w:t>מסליאנסקי</w:t>
      </w:r>
      <w:proofErr w:type="spellEnd"/>
      <w:r>
        <w:rPr>
          <w:rtl/>
        </w:rPr>
        <w:t>, כשכתב</w:t>
      </w:r>
      <w:bookmarkStart w:id="6114" w:name="_fnr4598"/>
      <w:r>
        <w:rPr>
          <w:rStyle w:val="a5"/>
        </w:rPr>
        <w:footnoteReference w:id="4609" w:customMarkFollows="0"/>
      </w:r>
      <w:bookmarkEnd w:id="6114"/>
      <w:r>
        <w:rPr>
          <w:rtl/>
        </w:rPr>
        <w:t>: “כשם שר׳ חיים היה גדול מחבריו בתורה, כך היה גדול בגופו. היקף גופו היה רחב, וראשו כראש אריה. עיניו העקומות, הפונות ימינה, היו עמוקות וחודרות עד עמקי עמקים. וכתפיו הרחבות היו כפופות כאילו קשה להן לשאת את משקלו של הראש הגדול, ששימש כלי קיבול לקב מוח”.</w:t>
      </w:r>
    </w:p>
    <w:p w14:paraId="29ED8980" w14:textId="77777777" w:rsidR="00AB3647" w:rsidRDefault="00000000" w:rsidP="007923E9">
      <w:pPr>
        <w:spacing w:after="100" w:line="276" w:lineRule="auto"/>
        <w:ind w:firstLine="340"/>
        <w:jc w:val="both"/>
      </w:pPr>
      <w:r>
        <w:rPr>
          <w:rtl/>
        </w:rPr>
        <w:t>כאמור, עיניו של ר׳ חיים היו ראויות לציון במיוחד. נחום סוקולוב</w:t>
      </w:r>
      <w:bookmarkStart w:id="6115" w:name="_fnr4599"/>
      <w:r>
        <w:rPr>
          <w:rStyle w:val="a5"/>
        </w:rPr>
        <w:footnoteReference w:id="4610" w:customMarkFollows="0"/>
      </w:r>
      <w:bookmarkEnd w:id="6115"/>
      <w:r>
        <w:rPr>
          <w:rtl/>
        </w:rPr>
        <w:t xml:space="preserve"> מדגיש אותן בתיאור מראהו של ר׳ חיים: “איש בגיל העמידה, נמוך, בעל עיניים גדולות ויפות מאוד, כאילו בולטות מחוריהן – סימן לאדם בעל זיכרון יוצא דופן; בגדיו אינם מגוהצים ואין בהם הדר, והם מגלים פשטות רבה”.</w:t>
      </w:r>
    </w:p>
    <w:p w14:paraId="18C0AB8D" w14:textId="77777777" w:rsidR="00AB3647" w:rsidRDefault="00000000" w:rsidP="007923E9">
      <w:pPr>
        <w:spacing w:after="100" w:line="276" w:lineRule="auto"/>
        <w:ind w:firstLine="340"/>
        <w:jc w:val="both"/>
      </w:pPr>
      <w:r>
        <w:rPr>
          <w:rtl/>
        </w:rPr>
        <w:t>ר׳ שלמה פיש</w:t>
      </w:r>
      <w:bookmarkStart w:id="6116" w:name="_fnr4600"/>
      <w:r>
        <w:rPr>
          <w:rStyle w:val="a5"/>
        </w:rPr>
        <w:footnoteReference w:id="4611" w:customMarkFollows="0"/>
      </w:r>
      <w:bookmarkEnd w:id="6116"/>
      <w:r>
        <w:rPr>
          <w:rtl/>
        </w:rPr>
        <w:t xml:space="preserve"> מתאר את ר׳ חיים כפי שנראה בדרכו לכינוס הייסוד של אגודת ישראל </w:t>
      </w:r>
      <w:proofErr w:type="spellStart"/>
      <w:r>
        <w:rPr>
          <w:rtl/>
        </w:rPr>
        <w:t>בקטוביץ</w:t>
      </w:r>
      <w:proofErr w:type="spellEnd"/>
      <w:r>
        <w:rPr>
          <w:rtl/>
        </w:rPr>
        <w:t xml:space="preserve"> </w:t>
      </w:r>
      <w:proofErr w:type="spellStart"/>
      <w:r>
        <w:rPr>
          <w:rtl/>
        </w:rPr>
        <w:t>בתרע״ב</w:t>
      </w:r>
      <w:proofErr w:type="spellEnd"/>
      <w:r>
        <w:rPr>
          <w:rtl/>
        </w:rPr>
        <w:t xml:space="preserve">: “כל משתתפי הכינוס שבאו מן המזרח היו צריכים לעבור דרך </w:t>
      </w:r>
      <w:proofErr w:type="spellStart"/>
      <w:r>
        <w:rPr>
          <w:rtl/>
        </w:rPr>
        <w:t>סוסנוביץ</w:t>
      </w:r>
      <w:proofErr w:type="spellEnd"/>
      <w:r>
        <w:rPr>
          <w:rtl/>
        </w:rPr>
        <w:t xml:space="preserve">, ושם להחליף לרכבת אחרת הנוסעת </w:t>
      </w:r>
      <w:proofErr w:type="spellStart"/>
      <w:r>
        <w:rPr>
          <w:rtl/>
        </w:rPr>
        <w:t>לקטוביץ</w:t>
      </w:r>
      <w:proofErr w:type="spellEnd"/>
      <w:r>
        <w:rPr>
          <w:rtl/>
        </w:rPr>
        <w:t xml:space="preserve">. בתוכם היה גאון הדור, ר׳ חיים </w:t>
      </w:r>
      <w:proofErr w:type="spellStart"/>
      <w:r>
        <w:rPr>
          <w:rtl/>
        </w:rPr>
        <w:t>סולובייצ׳יק</w:t>
      </w:r>
      <w:proofErr w:type="spellEnd"/>
      <w:r>
        <w:rPr>
          <w:rtl/>
        </w:rPr>
        <w:t xml:space="preserve">, שבא מעירו </w:t>
      </w:r>
      <w:proofErr w:type="spellStart"/>
      <w:r>
        <w:rPr>
          <w:rtl/>
        </w:rPr>
        <w:t>בריסק</w:t>
      </w:r>
      <w:proofErr w:type="spellEnd"/>
      <w:r>
        <w:rPr>
          <w:rtl/>
        </w:rPr>
        <w:t xml:space="preserve">. הוא ישב בחדר ההמתנה בתחנה כמה שעות, וכל יהודי </w:t>
      </w:r>
      <w:proofErr w:type="spellStart"/>
      <w:r>
        <w:rPr>
          <w:rtl/>
        </w:rPr>
        <w:t>סוסנוביץ</w:t>
      </w:r>
      <w:proofErr w:type="spellEnd"/>
      <w:r>
        <w:rPr>
          <w:rtl/>
        </w:rPr>
        <w:t xml:space="preserve"> באו לחלוק לו כבוד – ואני ביניהם. זוכר אני את מראהו: ר׳ חיים היה נמוך קומה ובעל עיניים בוערות – בכל חיי לא ראיתי עיניים כאלה”.</w:t>
      </w:r>
    </w:p>
    <w:p w14:paraId="3281EE9B" w14:textId="77777777" w:rsidR="00AB3647" w:rsidRDefault="00000000" w:rsidP="007923E9">
      <w:pPr>
        <w:spacing w:after="100" w:line="276" w:lineRule="auto"/>
        <w:ind w:firstLine="340"/>
        <w:jc w:val="both"/>
      </w:pPr>
      <w:proofErr w:type="spellStart"/>
      <w:r>
        <w:rPr>
          <w:rtl/>
        </w:rPr>
        <w:t>ב“עובדות</w:t>
      </w:r>
      <w:proofErr w:type="spellEnd"/>
      <w:r>
        <w:rPr>
          <w:rtl/>
        </w:rPr>
        <w:t xml:space="preserve"> והנהגות לבית </w:t>
      </w:r>
      <w:proofErr w:type="spellStart"/>
      <w:r>
        <w:rPr>
          <w:rtl/>
        </w:rPr>
        <w:t>בריסק</w:t>
      </w:r>
      <w:proofErr w:type="spellEnd"/>
      <w:r>
        <w:rPr>
          <w:rtl/>
        </w:rPr>
        <w:t>”</w:t>
      </w:r>
      <w:bookmarkStart w:id="6117" w:name="_fnr4601"/>
      <w:r>
        <w:rPr>
          <w:rStyle w:val="a5"/>
        </w:rPr>
        <w:footnoteReference w:id="4612" w:customMarkFollows="0"/>
      </w:r>
      <w:bookmarkEnd w:id="6117"/>
      <w:r>
        <w:rPr>
          <w:rtl/>
        </w:rPr>
        <w:t xml:space="preserve"> מספר “גאון” ששמו לא נזכר, שר׳ מאיר </w:t>
      </w:r>
      <w:proofErr w:type="spellStart"/>
      <w:r>
        <w:rPr>
          <w:rtl/>
        </w:rPr>
        <w:t>סולובייצ׳יק</w:t>
      </w:r>
      <w:proofErr w:type="spellEnd"/>
      <w:r>
        <w:rPr>
          <w:rtl/>
        </w:rPr>
        <w:t xml:space="preserve"> סיפר בשם אביו ר׳ יצחק־זאב: במלחמת העולם הראשונה, כשהחיילים הגרמנים כבשו את </w:t>
      </w:r>
      <w:proofErr w:type="spellStart"/>
      <w:r>
        <w:rPr>
          <w:rtl/>
        </w:rPr>
        <w:t>בריסק</w:t>
      </w:r>
      <w:bookmarkStart w:id="6118" w:name="_fnr4602"/>
      <w:proofErr w:type="spellEnd"/>
      <w:r>
        <w:rPr>
          <w:rStyle w:val="a5"/>
        </w:rPr>
        <w:footnoteReference w:id="4613" w:customMarkFollows="0"/>
      </w:r>
      <w:bookmarkEnd w:id="6118"/>
      <w:r>
        <w:rPr>
          <w:rtl/>
        </w:rPr>
        <w:t xml:space="preserve"> וראו לראשונה את ר׳ חיים, הם “קפאו על מקומם” ואמרו שמעולם לא ראו עיניים כאלה.</w:t>
      </w:r>
    </w:p>
    <w:p w14:paraId="3DAB747E" w14:textId="77777777" w:rsidR="00AB3647" w:rsidRDefault="00000000" w:rsidP="007923E9">
      <w:pPr>
        <w:spacing w:after="100" w:line="276" w:lineRule="auto"/>
        <w:ind w:firstLine="340"/>
        <w:jc w:val="both"/>
      </w:pPr>
      <w:r>
        <w:rPr>
          <w:rtl/>
        </w:rPr>
        <w:lastRenderedPageBreak/>
        <w:t xml:space="preserve">מעניין </w:t>
      </w:r>
      <w:proofErr w:type="spellStart"/>
      <w:r>
        <w:rPr>
          <w:rtl/>
        </w:rPr>
        <w:t>ש“רבותינו</w:t>
      </w:r>
      <w:proofErr w:type="spellEnd"/>
      <w:r>
        <w:rPr>
          <w:rtl/>
        </w:rPr>
        <w:t xml:space="preserve"> שבגולה”</w:t>
      </w:r>
      <w:bookmarkStart w:id="6119" w:name="_fnr4603"/>
      <w:r>
        <w:rPr>
          <w:rStyle w:val="a5"/>
        </w:rPr>
        <w:footnoteReference w:id="4614" w:customMarkFollows="0"/>
      </w:r>
      <w:bookmarkEnd w:id="6119"/>
      <w:r>
        <w:rPr>
          <w:rtl/>
        </w:rPr>
        <w:t xml:space="preserve"> מספר כיצד סיפר ר׳ חיים עצמו שכשהיה בן חמש ביקר ר׳ </w:t>
      </w:r>
      <w:proofErr w:type="spellStart"/>
      <w:r>
        <w:rPr>
          <w:rtl/>
        </w:rPr>
        <w:t>יוסל׳ה</w:t>
      </w:r>
      <w:proofErr w:type="spellEnd"/>
      <w:r>
        <w:rPr>
          <w:rtl/>
        </w:rPr>
        <w:t xml:space="preserve"> </w:t>
      </w:r>
      <w:proofErr w:type="spellStart"/>
      <w:r>
        <w:rPr>
          <w:rtl/>
        </w:rPr>
        <w:t>פיימר</w:t>
      </w:r>
      <w:bookmarkStart w:id="6120" w:name="_fnr4604"/>
      <w:proofErr w:type="spellEnd"/>
      <w:r>
        <w:rPr>
          <w:rStyle w:val="a5"/>
        </w:rPr>
        <w:footnoteReference w:id="4615" w:customMarkFollows="0"/>
      </w:r>
      <w:bookmarkEnd w:id="6120"/>
      <w:r>
        <w:rPr>
          <w:rtl/>
        </w:rPr>
        <w:t xml:space="preserve"> </w:t>
      </w:r>
      <w:proofErr w:type="spellStart"/>
      <w:r>
        <w:rPr>
          <w:rtl/>
        </w:rPr>
        <w:t>בוולוז׳ין</w:t>
      </w:r>
      <w:proofErr w:type="spellEnd"/>
      <w:r>
        <w:rPr>
          <w:rtl/>
        </w:rPr>
        <w:t xml:space="preserve">, והכול נדהמו ונבהלו מאוד ממראה פניו של ר׳ </w:t>
      </w:r>
      <w:proofErr w:type="spellStart"/>
      <w:r>
        <w:rPr>
          <w:rtl/>
        </w:rPr>
        <w:t>יוסל׳ה</w:t>
      </w:r>
      <w:proofErr w:type="spellEnd"/>
      <w:r>
        <w:rPr>
          <w:rtl/>
        </w:rPr>
        <w:t>.</w:t>
      </w:r>
    </w:p>
    <w:p w14:paraId="75A0EAD9" w14:textId="22905405"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עיניו של ר׳ חיים שוטטו על פני הבחורים, שמספרם הלך וגדל. כשהבחין בפניו של </w:t>
      </w:r>
      <w:proofErr w:type="spellStart"/>
      <w:r>
        <w:rPr>
          <w:rtl/>
        </w:rPr>
        <w:t>אברהם־אליהו</w:t>
      </w:r>
      <w:proofErr w:type="spellEnd"/>
      <w:r>
        <w:rPr>
          <w:rtl/>
        </w:rPr>
        <w:t xml:space="preserve">, התבונן בו ר׳ חיים לרגע ושאל אם הוא בנו של ר׳ </w:t>
      </w:r>
      <w:proofErr w:type="spellStart"/>
      <w:r>
        <w:rPr>
          <w:rtl/>
        </w:rPr>
        <w:t>אברהם־אליהו</w:t>
      </w:r>
      <w:proofErr w:type="spellEnd"/>
      <w:r>
        <w:rPr>
          <w:rtl/>
        </w:rPr>
        <w:t xml:space="preserve"> קפלן</w:t>
      </w:r>
      <w:bookmarkStart w:id="6121" w:name="b5_ref66"/>
      <w:bookmarkEnd w:id="6121"/>
      <w:r>
        <w:rPr>
          <w:vertAlign w:val="superscript"/>
          <w:rtl/>
        </w:rPr>
        <w:fldChar w:fldCharType="begin" w:dirty="true"/>
      </w:r>
      <w:r>
        <w:rPr>
          <w:vertAlign w:val="superscript"/>
          <w:rtl/>
        </w:rPr>
        <w:instrText xml:space="preserve"> REF b5_note66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66</w:t>
      </w:r>
      <w:r>
        <w:rPr>
          <w:vertAlign w:val="superscript"/>
          <w:rtl/>
        </w:rPr>
        <w:fldChar w:fldCharType="end"/>
      </w:r>
      <w:r>
        <w:rPr>
          <w:rtl/>
        </w:rPr>
        <w:t>. כשנענה בחיוב, קרא: “כלום יש בן לאותו צדיק</w:t>
      </w:r>
      <w:bookmarkStart w:id="6122" w:name="b5_ref67"/>
      <w:bookmarkEnd w:id="6122"/>
      <w:r>
        <w:rPr>
          <w:vertAlign w:val="superscript"/>
          <w:rtl/>
        </w:rPr>
        <w:fldChar w:fldCharType="begin" w:dirty="true"/>
      </w:r>
      <w:r>
        <w:rPr>
          <w:vertAlign w:val="superscript"/>
          <w:rtl/>
        </w:rPr>
        <w:instrText xml:space="preserve"> REF b5_note67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67</w:t>
      </w:r>
      <w:r>
        <w:rPr>
          <w:vertAlign w:val="superscript"/>
          <w:rtl/>
        </w:rPr>
        <w:fldChar w:fldCharType="end"/>
      </w:r>
      <w:r>
        <w:rPr>
          <w:rtl/>
        </w:rPr>
        <w:t>!”, וקם מלוא קומתו</w:t>
      </w:r>
      <w:bookmarkStart w:id="6123" w:name="b5_ref68"/>
      <w:bookmarkEnd w:id="6123"/>
      <w:r>
        <w:rPr>
          <w:vertAlign w:val="superscript"/>
          <w:rtl/>
        </w:rPr>
        <w:fldChar w:fldCharType="begin" w:dirty="true"/>
      </w:r>
      <w:r>
        <w:rPr>
          <w:vertAlign w:val="superscript"/>
          <w:rtl/>
        </w:rPr>
        <w:instrText xml:space="preserve"> REF b5_note68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68</w:t>
      </w:r>
      <w:r>
        <w:rPr>
          <w:vertAlign w:val="superscript"/>
          <w:rtl/>
        </w:rPr>
        <w:fldChar w:fldCharType="end"/>
      </w:r>
      <w:r>
        <w:rPr>
          <w:rtl/>
        </w:rPr>
        <w:t xml:space="preserve">. עינו החדה קלטה גם את תווי פניו של ידידו של רבנו, אהרן פינס. ר׳ חיים שיער שהנער ודאי בנו של מי שנפטר שבע שנים קודם לכן, רבה של </w:t>
      </w:r>
      <w:proofErr w:type="spellStart"/>
      <w:r>
        <w:rPr>
          <w:rtl/>
        </w:rPr>
        <w:t>סיסלוביץ</w:t>
      </w:r>
      <w:proofErr w:type="spellEnd"/>
      <w:r>
        <w:rPr>
          <w:rtl/>
        </w:rPr>
        <w:t xml:space="preserve">׳, ר׳ </w:t>
      </w:r>
      <w:proofErr w:type="spellStart"/>
      <w:r>
        <w:rPr>
          <w:rtl/>
        </w:rPr>
        <w:t>שניאור־זלמן</w:t>
      </w:r>
      <w:proofErr w:type="spellEnd"/>
      <w:r>
        <w:rPr>
          <w:rtl/>
        </w:rPr>
        <w:t xml:space="preserve"> – והשערתו נתאמתה. את האב ראה ר׳ חיים לאחרונה עשרים שנה קודם לכן, בימים שלימד בוולוז׳ין</w:t>
      </w:r>
      <w:bookmarkStart w:id="6124" w:name="b5_ref69"/>
      <w:bookmarkEnd w:id="6124"/>
      <w:r>
        <w:rPr>
          <w:vertAlign w:val="superscript"/>
          <w:rtl/>
        </w:rPr>
        <w:fldChar w:fldCharType="begin" w:dirty="true"/>
      </w:r>
      <w:r>
        <w:rPr>
          <w:vertAlign w:val="superscript"/>
          <w:rtl/>
        </w:rPr>
        <w:instrText xml:space="preserve"> REF b5_note69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69</w:t>
      </w:r>
      <w:r>
        <w:rPr>
          <w:vertAlign w:val="superscript"/>
          <w:rtl/>
        </w:rPr>
        <w:fldChar w:fldCharType="end"/>
      </w:r>
      <w:r>
        <w:rPr>
          <w:rtl/>
        </w:rPr>
        <w:t>.</w:t>
      </w:r>
    </w:p>
    <w:bookmarkStart w:id="6125" w:name="b5_note66"/>
    <w:p w14:paraId="395E884F" w14:textId="15F3F93E" w:rsidR="00AB3647" w:rsidRDefault="00000000" w:rsidP="007923E9">
      <w:pPr>
        <w:spacing w:before="120" w:after="100" w:line="276" w:lineRule="auto"/>
        <w:jc w:val="both"/>
      </w:pPr>
      <w:r>
        <w:fldChar w:fldCharType="begin" w:dirty="true"/>
      </w:r>
      <w:r>
        <w:instrText>HYPERLINK \l "b5_ref66"</w:instrText>
      </w:r>
      <w:r>
        <w:fldChar w:fldCharType="separate"/>
      </w:r>
      <w:r>
        <w:rPr>
          <w:b/>
          <w:bCs/>
          <w:rtl/>
        </w:rPr>
        <w:t>66</w:t>
      </w:r>
      <w:r>
        <w:rPr>
          <w:b/>
          <w:bCs/>
        </w:rPr>
        <w:fldChar w:fldCharType="end"/>
      </w:r>
      <w:bookmarkEnd w:id="6125"/>
      <w:r>
        <w:rPr>
          <w:rtl/>
        </w:rPr>
        <w:t xml:space="preserve"> ראה </w:t>
      </w:r>
      <w:r>
        <w:rPr>
          <w:rtl/>
        </w:rPr>
        <w:fldChar w:fldCharType="begin" w:dirty="true"/>
      </w:r>
      <w:r>
        <w:rPr>
          <w:rtl/>
        </w:rPr>
        <w:instrText xml:space="preserve"> REF b5_excH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ח</w:t>
      </w:r>
      <w:r>
        <w:rPr>
          <w:rtl/>
        </w:rPr>
        <w:fldChar w:fldCharType="end"/>
      </w:r>
      <w:r>
        <w:rPr>
          <w:rtl/>
        </w:rPr>
        <w:t>.</w:t>
      </w:r>
    </w:p>
    <w:bookmarkStart w:id="6126" w:name="b5_note67"/>
    <w:p w14:paraId="7AA013BD" w14:textId="77777777" w:rsidR="00AB3647" w:rsidRDefault="00000000" w:rsidP="007923E9">
      <w:pPr>
        <w:spacing w:before="120" w:after="100" w:line="276" w:lineRule="auto"/>
        <w:jc w:val="both"/>
      </w:pPr>
      <w:r>
        <w:fldChar w:fldCharType="begin" w:dirty="true"/>
      </w:r>
      <w:r>
        <w:instrText>HYPERLINK \l "b5_ref67"</w:instrText>
      </w:r>
      <w:r>
        <w:fldChar w:fldCharType="separate"/>
      </w:r>
      <w:r>
        <w:rPr>
          <w:b/>
          <w:bCs/>
          <w:rtl/>
        </w:rPr>
        <w:t>67</w:t>
      </w:r>
      <w:r>
        <w:rPr>
          <w:b/>
          <w:bCs/>
        </w:rPr>
        <w:fldChar w:fldCharType="end"/>
      </w:r>
      <w:bookmarkEnd w:id="6126"/>
      <w:r>
        <w:rPr>
          <w:rtl/>
        </w:rPr>
        <w:t xml:space="preserve"> “כלום יש בן לאותו צדיק?” הוא הנוסח המדויק שמסר המרואיין</w:t>
      </w:r>
      <w:bookmarkStart w:id="6127" w:name="_fnr4605"/>
      <w:r>
        <w:rPr>
          <w:rStyle w:val="a5"/>
        </w:rPr>
        <w:footnoteReference w:id="4616" w:customMarkFollows="0"/>
      </w:r>
      <w:bookmarkEnd w:id="6127"/>
      <w:r>
        <w:rPr>
          <w:rtl/>
        </w:rPr>
        <w:t>. נוסח מעודן יותר, על פי מסכת יבמות</w:t>
      </w:r>
      <w:bookmarkStart w:id="6128" w:name="_fnr4606"/>
      <w:r>
        <w:rPr>
          <w:rStyle w:val="a5"/>
        </w:rPr>
        <w:footnoteReference w:id="4617" w:customMarkFollows="0"/>
      </w:r>
      <w:bookmarkEnd w:id="6128"/>
      <w:r>
        <w:rPr>
          <w:rtl/>
        </w:rPr>
        <w:t xml:space="preserve">, היה: “ויש לו </w:t>
      </w:r>
      <w:r>
        <w:rPr>
          <w:b/>
          <w:bCs/>
          <w:rtl/>
        </w:rPr>
        <w:t>בן</w:t>
      </w:r>
      <w:r>
        <w:rPr>
          <w:rtl/>
        </w:rPr>
        <w:t xml:space="preserve"> </w:t>
      </w:r>
      <w:proofErr w:type="spellStart"/>
      <w:r>
        <w:rPr>
          <w:rtl/>
        </w:rPr>
        <w:t>לאברהם־אליהו</w:t>
      </w:r>
      <w:proofErr w:type="spellEnd"/>
      <w:r>
        <w:rPr>
          <w:rtl/>
        </w:rPr>
        <w:t xml:space="preserve"> </w:t>
      </w:r>
      <w:proofErr w:type="spellStart"/>
      <w:r>
        <w:rPr>
          <w:b/>
          <w:bCs/>
          <w:rtl/>
        </w:rPr>
        <w:t>חבירנו</w:t>
      </w:r>
      <w:proofErr w:type="spellEnd"/>
      <w:r>
        <w:rPr>
          <w:rtl/>
        </w:rPr>
        <w:t xml:space="preserve">” – אף שאין בו אזכור לצדיקות. לשון הגמרא היא: “[אמר רבי </w:t>
      </w:r>
      <w:proofErr w:type="spellStart"/>
      <w:r>
        <w:rPr>
          <w:rtl/>
        </w:rPr>
        <w:t>דוסא</w:t>
      </w:r>
      <w:proofErr w:type="spellEnd"/>
      <w:r>
        <w:rPr>
          <w:rtl/>
        </w:rPr>
        <w:t xml:space="preserve"> בן </w:t>
      </w:r>
      <w:proofErr w:type="spellStart"/>
      <w:r>
        <w:rPr>
          <w:rtl/>
        </w:rPr>
        <w:t>הורכינס</w:t>
      </w:r>
      <w:proofErr w:type="spellEnd"/>
      <w:r>
        <w:rPr>
          <w:rtl/>
        </w:rPr>
        <w:t xml:space="preserve">] ויש לו </w:t>
      </w:r>
      <w:r>
        <w:rPr>
          <w:b/>
          <w:bCs/>
          <w:rtl/>
        </w:rPr>
        <w:t>בן</w:t>
      </w:r>
      <w:r>
        <w:rPr>
          <w:rtl/>
        </w:rPr>
        <w:t xml:space="preserve"> לעזריה </w:t>
      </w:r>
      <w:r>
        <w:rPr>
          <w:b/>
          <w:bCs/>
          <w:rtl/>
        </w:rPr>
        <w:t>חברנו</w:t>
      </w:r>
      <w:r>
        <w:rPr>
          <w:rtl/>
        </w:rPr>
        <w:t xml:space="preserve">; קרא עליו המקרא הזה [תהלים </w:t>
      </w:r>
      <w:proofErr w:type="spellStart"/>
      <w:r>
        <w:rPr>
          <w:rtl/>
        </w:rPr>
        <w:t>לז,כה</w:t>
      </w:r>
      <w:proofErr w:type="spellEnd"/>
      <w:r>
        <w:rPr>
          <w:rtl/>
        </w:rPr>
        <w:t xml:space="preserve">] נער הייתי גם זקנתי ולא ראיתי </w:t>
      </w:r>
      <w:r>
        <w:rPr>
          <w:b/>
          <w:bCs/>
          <w:rtl/>
        </w:rPr>
        <w:t>צדיק</w:t>
      </w:r>
      <w:r>
        <w:rPr>
          <w:rtl/>
        </w:rPr>
        <w:t xml:space="preserve"> נעזב וזרעו מבקש לחם”. עם זאת, את השפעתה של גמרא זו על הדברים שיוחסו </w:t>
      </w:r>
      <w:proofErr w:type="spellStart"/>
      <w:r>
        <w:rPr>
          <w:rtl/>
        </w:rPr>
        <w:t>לר</w:t>
      </w:r>
      <w:proofErr w:type="spellEnd"/>
      <w:r>
        <w:rPr>
          <w:rtl/>
        </w:rPr>
        <w:t>׳ חיים אפשר למצוא בשלוש ההדגשות שהכנסתי לציטוט שבמשפט הקודם.</w:t>
      </w:r>
    </w:p>
    <w:p w14:paraId="6A224014" w14:textId="77777777" w:rsidR="00AB3647" w:rsidRDefault="00000000" w:rsidP="007923E9">
      <w:pPr>
        <w:spacing w:before="120" w:after="100" w:line="276" w:lineRule="auto"/>
        <w:jc w:val="both"/>
      </w:pPr>
      <w:r>
        <w:rPr>
          <w:rtl/>
        </w:rPr>
        <w:t>“בעקבות היראה”</w:t>
      </w:r>
      <w:bookmarkStart w:id="6129" w:name="_fnr4607"/>
      <w:r>
        <w:rPr>
          <w:rStyle w:val="a5"/>
        </w:rPr>
        <w:footnoteReference w:id="4618" w:customMarkFollows="0"/>
      </w:r>
      <w:bookmarkEnd w:id="6129"/>
      <w:r>
        <w:rPr>
          <w:rtl/>
        </w:rPr>
        <w:t xml:space="preserve"> מצטט מאמר </w:t>
      </w:r>
      <w:proofErr w:type="spellStart"/>
      <w:r>
        <w:rPr>
          <w:rtl/>
        </w:rPr>
        <w:t>ב“ישורון</w:t>
      </w:r>
      <w:proofErr w:type="spellEnd"/>
      <w:r>
        <w:rPr>
          <w:rtl/>
        </w:rPr>
        <w:t xml:space="preserve">” מאת ר׳ </w:t>
      </w:r>
      <w:proofErr w:type="spellStart"/>
      <w:r>
        <w:rPr>
          <w:rtl/>
        </w:rPr>
        <w:t>אברהם־יעקב</w:t>
      </w:r>
      <w:proofErr w:type="spellEnd"/>
      <w:r>
        <w:rPr>
          <w:rtl/>
        </w:rPr>
        <w:t xml:space="preserve"> </w:t>
      </w:r>
      <w:proofErr w:type="spellStart"/>
      <w:r>
        <w:rPr>
          <w:rtl/>
        </w:rPr>
        <w:t>ניימרק</w:t>
      </w:r>
      <w:proofErr w:type="spellEnd"/>
      <w:r>
        <w:rPr>
          <w:rtl/>
        </w:rPr>
        <w:t xml:space="preserve"> (תרל״ח–תשכ״ב), שאשתו </w:t>
      </w:r>
      <w:proofErr w:type="spellStart"/>
      <w:r>
        <w:rPr>
          <w:rtl/>
        </w:rPr>
        <w:t>שרה־אסתר</w:t>
      </w:r>
      <w:proofErr w:type="spellEnd"/>
      <w:r>
        <w:rPr>
          <w:rtl/>
        </w:rPr>
        <w:t xml:space="preserve"> הייתה אחותו של חותנו של ר׳ </w:t>
      </w:r>
      <w:proofErr w:type="spellStart"/>
      <w:r>
        <w:rPr>
          <w:rtl/>
        </w:rPr>
        <w:t>אברהם־אליהו</w:t>
      </w:r>
      <w:proofErr w:type="spellEnd"/>
      <w:r>
        <w:rPr>
          <w:rtl/>
        </w:rPr>
        <w:t xml:space="preserve">. גם מאמר זה מעיד על השפעתה של הגמרא, באומרו: “ושמח ר׳ חיים שמחה גדולה שזכה </w:t>
      </w:r>
      <w:r>
        <w:rPr>
          <w:b/>
          <w:bCs/>
          <w:rtl/>
        </w:rPr>
        <w:t>לראות בן של אותו צדיק</w:t>
      </w:r>
      <w:r>
        <w:rPr>
          <w:rtl/>
        </w:rPr>
        <w:t>”.</w:t>
      </w:r>
    </w:p>
    <w:bookmarkStart w:id="6130" w:name="b5_note68"/>
    <w:p w14:paraId="3F013A60" w14:textId="77777777" w:rsidR="00AB3647" w:rsidRDefault="00000000" w:rsidP="007923E9">
      <w:pPr>
        <w:spacing w:before="120" w:after="100" w:line="276" w:lineRule="auto"/>
        <w:jc w:val="both"/>
      </w:pPr>
      <w:r>
        <w:fldChar w:fldCharType="begin" w:dirty="true"/>
      </w:r>
      <w:r>
        <w:instrText>HYPERLINK \l "b5_ref68"</w:instrText>
      </w:r>
      <w:r>
        <w:fldChar w:fldCharType="separate"/>
      </w:r>
      <w:r>
        <w:rPr>
          <w:b/>
          <w:bCs/>
          <w:rtl/>
        </w:rPr>
        <w:t>68</w:t>
      </w:r>
      <w:r>
        <w:rPr>
          <w:b/>
          <w:bCs/>
        </w:rPr>
        <w:fldChar w:fldCharType="end"/>
      </w:r>
      <w:bookmarkEnd w:id="6130"/>
      <w:r>
        <w:rPr>
          <w:rtl/>
        </w:rPr>
        <w:t xml:space="preserve"> על פי ר׳ אלי׳ </w:t>
      </w:r>
      <w:proofErr w:type="spellStart"/>
      <w:r>
        <w:rPr>
          <w:rtl/>
        </w:rPr>
        <w:t>קושלבסקי</w:t>
      </w:r>
      <w:bookmarkStart w:id="6131" w:name="_fnr4608"/>
      <w:proofErr w:type="spellEnd"/>
      <w:r>
        <w:rPr>
          <w:rStyle w:val="a5"/>
        </w:rPr>
        <w:footnoteReference w:id="4619" w:customMarkFollows="0"/>
      </w:r>
      <w:bookmarkEnd w:id="6131"/>
      <w:r>
        <w:rPr>
          <w:rtl/>
        </w:rPr>
        <w:t xml:space="preserve">, ששמע זאת מפי ר׳ יחזקאל </w:t>
      </w:r>
      <w:proofErr w:type="spellStart"/>
      <w:r>
        <w:rPr>
          <w:rtl/>
        </w:rPr>
        <w:t>ברשטיין</w:t>
      </w:r>
      <w:bookmarkStart w:id="6132" w:name="_fnr4609"/>
      <w:proofErr w:type="spellEnd"/>
      <w:r>
        <w:rPr>
          <w:rStyle w:val="a5"/>
        </w:rPr>
        <w:footnoteReference w:id="4620" w:customMarkFollows="0"/>
      </w:r>
      <w:bookmarkEnd w:id="6132"/>
      <w:r>
        <w:rPr>
          <w:rtl/>
        </w:rPr>
        <w:t xml:space="preserve">. לפי מרואיין זה אירע המעשה כששהה ר׳ חיים בקובנה בעניין רבנות בנו </w:t>
      </w:r>
      <w:proofErr w:type="spellStart"/>
      <w:r>
        <w:rPr>
          <w:rtl/>
        </w:rPr>
        <w:t>בראסיין</w:t>
      </w:r>
      <w:proofErr w:type="spellEnd"/>
      <w:r>
        <w:rPr>
          <w:rtl/>
        </w:rPr>
        <w:t xml:space="preserve">, כפי שאני מביא. אבל השווה את מאמרו של ר׳ </w:t>
      </w:r>
      <w:proofErr w:type="spellStart"/>
      <w:r>
        <w:rPr>
          <w:rtl/>
        </w:rPr>
        <w:t>אברהם־יעקב</w:t>
      </w:r>
      <w:proofErr w:type="spellEnd"/>
      <w:r>
        <w:rPr>
          <w:rtl/>
        </w:rPr>
        <w:t xml:space="preserve"> </w:t>
      </w:r>
      <w:proofErr w:type="spellStart"/>
      <w:r>
        <w:rPr>
          <w:rtl/>
        </w:rPr>
        <w:t>ניימרק</w:t>
      </w:r>
      <w:bookmarkStart w:id="6133" w:name="_fnr4610"/>
      <w:proofErr w:type="spellEnd"/>
      <w:r>
        <w:rPr>
          <w:rStyle w:val="a5"/>
        </w:rPr>
        <w:footnoteReference w:id="4621" w:customMarkFollows="0"/>
      </w:r>
      <w:bookmarkEnd w:id="6133"/>
      <w:r>
        <w:rPr>
          <w:rtl/>
        </w:rPr>
        <w:t xml:space="preserve">, הממקם את המעשה על כל פרטיו בעיר המרפא </w:t>
      </w:r>
      <w:proofErr w:type="spellStart"/>
      <w:r>
        <w:rPr>
          <w:rtl/>
        </w:rPr>
        <w:t>ליבאו</w:t>
      </w:r>
      <w:proofErr w:type="spellEnd"/>
      <w:r>
        <w:rPr>
          <w:rtl/>
        </w:rPr>
        <w:t xml:space="preserve">, </w:t>
      </w:r>
      <w:proofErr w:type="spellStart"/>
      <w:r>
        <w:rPr>
          <w:rtl/>
        </w:rPr>
        <w:t>שלוש־עשרה</w:t>
      </w:r>
      <w:proofErr w:type="spellEnd"/>
      <w:r>
        <w:rPr>
          <w:rtl/>
        </w:rPr>
        <w:t xml:space="preserve"> שנה קודם לכן. אף שר׳ </w:t>
      </w:r>
      <w:proofErr w:type="spellStart"/>
      <w:r>
        <w:rPr>
          <w:rtl/>
        </w:rPr>
        <w:t>אברהם־יעקב</w:t>
      </w:r>
      <w:proofErr w:type="spellEnd"/>
      <w:r>
        <w:rPr>
          <w:rtl/>
        </w:rPr>
        <w:t xml:space="preserve"> </w:t>
      </w:r>
      <w:proofErr w:type="spellStart"/>
      <w:r>
        <w:rPr>
          <w:rtl/>
        </w:rPr>
        <w:t>ניימרק</w:t>
      </w:r>
      <w:proofErr w:type="spellEnd"/>
      <w:r>
        <w:rPr>
          <w:rtl/>
        </w:rPr>
        <w:t xml:space="preserve"> טוען ששמע זאת מפי הרב קפלן עצמו, הבאתי את הדברים כפי שהבאתי, משום שתמוה שר׳ חיים קם לכבוד ילד בן חמש: לכבוד כזה אין משמעות בעיני ילד, ולכן אין בו טעם</w:t>
      </w:r>
      <w:bookmarkStart w:id="6134" w:name="_fnr4611"/>
      <w:r>
        <w:rPr>
          <w:rStyle w:val="a5"/>
        </w:rPr>
        <w:footnoteReference w:id="4622" w:customMarkFollows="0"/>
      </w:r>
      <w:bookmarkEnd w:id="6134"/>
      <w:r>
        <w:rPr>
          <w:rtl/>
        </w:rPr>
        <w:t>.</w:t>
      </w:r>
    </w:p>
    <w:p w14:paraId="2D293910" w14:textId="77777777" w:rsidR="00AB3647" w:rsidRDefault="00000000" w:rsidP="007923E9">
      <w:pPr>
        <w:spacing w:before="120" w:after="100" w:line="276" w:lineRule="auto"/>
        <w:jc w:val="both"/>
      </w:pPr>
      <w:r>
        <w:rPr>
          <w:rtl/>
        </w:rPr>
        <w:lastRenderedPageBreak/>
        <w:t xml:space="preserve">מסתבר שבפעם הראשונה זיהה ר׳ חיים את תווי פני הילד וקרא: “כלום יש בן לאותו צדיק?”, </w:t>
      </w:r>
      <w:proofErr w:type="spellStart"/>
      <w:r>
        <w:rPr>
          <w:rtl/>
        </w:rPr>
        <w:t>ובתרס״ח</w:t>
      </w:r>
      <w:proofErr w:type="spellEnd"/>
      <w:r>
        <w:rPr>
          <w:rtl/>
        </w:rPr>
        <w:t xml:space="preserve">, כשראה שהנער נעשה תלמיד </w:t>
      </w:r>
      <w:proofErr w:type="spellStart"/>
      <w:r>
        <w:rPr>
          <w:rtl/>
        </w:rPr>
        <w:t>סלבודקה</w:t>
      </w:r>
      <w:proofErr w:type="spellEnd"/>
      <w:r>
        <w:rPr>
          <w:rtl/>
        </w:rPr>
        <w:t xml:space="preserve">, חזר על הקריאה </w:t>
      </w:r>
      <w:r>
        <w:rPr>
          <w:b/>
          <w:bCs/>
          <w:rtl/>
        </w:rPr>
        <w:t>והוסיף</w:t>
      </w:r>
      <w:r>
        <w:rPr>
          <w:rtl/>
        </w:rPr>
        <w:t xml:space="preserve"> גילוי כבוד בקומו לפניו. אפשר שר׳ </w:t>
      </w:r>
      <w:proofErr w:type="spellStart"/>
      <w:r>
        <w:rPr>
          <w:rtl/>
        </w:rPr>
        <w:t>אברהם־יעקב</w:t>
      </w:r>
      <w:proofErr w:type="spellEnd"/>
      <w:r>
        <w:rPr>
          <w:rtl/>
        </w:rPr>
        <w:t xml:space="preserve"> </w:t>
      </w:r>
      <w:proofErr w:type="spellStart"/>
      <w:r>
        <w:rPr>
          <w:rtl/>
        </w:rPr>
        <w:t>ניימרק</w:t>
      </w:r>
      <w:proofErr w:type="spellEnd"/>
      <w:r>
        <w:rPr>
          <w:rtl/>
        </w:rPr>
        <w:t xml:space="preserve"> צירף את שני המעשים שלא מדעת.</w:t>
      </w:r>
    </w:p>
    <w:bookmarkStart w:id="6135" w:name="b5_note69"/>
    <w:p w14:paraId="217ED988" w14:textId="77777777" w:rsidR="00AB3647" w:rsidRDefault="00000000" w:rsidP="007923E9">
      <w:pPr>
        <w:spacing w:before="120" w:after="100" w:line="276" w:lineRule="auto"/>
        <w:jc w:val="both"/>
      </w:pPr>
      <w:r>
        <w:fldChar w:fldCharType="begin" w:dirty="true"/>
      </w:r>
      <w:r>
        <w:instrText>HYPERLINK \l "b5_ref69"</w:instrText>
      </w:r>
      <w:r>
        <w:fldChar w:fldCharType="separate"/>
      </w:r>
      <w:r>
        <w:rPr>
          <w:b/>
          <w:bCs/>
          <w:rtl/>
        </w:rPr>
        <w:t>69</w:t>
      </w:r>
      <w:r>
        <w:rPr>
          <w:b/>
          <w:bCs/>
        </w:rPr>
        <w:fldChar w:fldCharType="end"/>
      </w:r>
      <w:bookmarkEnd w:id="6135"/>
      <w:r>
        <w:rPr>
          <w:rtl/>
        </w:rPr>
        <w:t xml:space="preserve"> על פי “אוסף חידושי תורה ממרן </w:t>
      </w:r>
      <w:proofErr w:type="spellStart"/>
      <w:r>
        <w:rPr>
          <w:rtl/>
        </w:rPr>
        <w:t>הגר״א</w:t>
      </w:r>
      <w:proofErr w:type="spellEnd"/>
      <w:r>
        <w:rPr>
          <w:rtl/>
        </w:rPr>
        <w:t xml:space="preserve"> קוטלר”</w:t>
      </w:r>
      <w:bookmarkStart w:id="6136" w:name="_fnr4612"/>
      <w:r>
        <w:rPr>
          <w:rStyle w:val="a5"/>
        </w:rPr>
        <w:footnoteReference w:id="4623" w:customMarkFollows="0"/>
      </w:r>
      <w:bookmarkEnd w:id="6136"/>
      <w:r>
        <w:rPr>
          <w:rtl/>
        </w:rPr>
        <w:t>.</w:t>
      </w:r>
    </w:p>
    <w:p w14:paraId="1A6BEB29" w14:textId="47A5A296"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מלבד עשרות התלמידים הרבות שגדשו את החדר הגדול עד שבא ר׳ ברוך־בער</w:t>
      </w:r>
      <w:bookmarkStart w:id="6137" w:name="b5_ref70"/>
      <w:bookmarkEnd w:id="6137"/>
      <w:r>
        <w:rPr>
          <w:vertAlign w:val="superscript"/>
          <w:rtl/>
        </w:rPr>
        <w:fldChar w:fldCharType="begin" w:dirty="true"/>
      </w:r>
      <w:r>
        <w:rPr>
          <w:vertAlign w:val="superscript"/>
          <w:rtl/>
        </w:rPr>
        <w:instrText xml:space="preserve"> REF b5_note70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70</w:t>
      </w:r>
      <w:r>
        <w:rPr>
          <w:vertAlign w:val="superscript"/>
          <w:rtl/>
        </w:rPr>
        <w:fldChar w:fldCharType="end"/>
      </w:r>
      <w:r>
        <w:rPr>
          <w:rtl/>
        </w:rPr>
        <w:t>, היו שם ר׳ משה־מרדכי</w:t>
      </w:r>
      <w:bookmarkStart w:id="6138" w:name="b5_ref71"/>
      <w:bookmarkEnd w:id="6138"/>
      <w:r>
        <w:rPr>
          <w:vertAlign w:val="superscript"/>
          <w:rtl/>
        </w:rPr>
        <w:fldChar w:fldCharType="begin" w:dirty="true"/>
      </w:r>
      <w:r>
        <w:rPr>
          <w:vertAlign w:val="superscript"/>
          <w:rtl/>
        </w:rPr>
        <w:instrText xml:space="preserve"> REF b5_note71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71</w:t>
      </w:r>
      <w:r>
        <w:rPr>
          <w:vertAlign w:val="superscript"/>
          <w:rtl/>
        </w:rPr>
        <w:fldChar w:fldCharType="end"/>
      </w:r>
      <w:r>
        <w:rPr>
          <w:rtl/>
        </w:rPr>
        <w:t>, ר׳ ברוך הורביץ, רבה של אלקסוט</w:t>
      </w:r>
      <w:bookmarkStart w:id="6139" w:name="b5_ref72"/>
      <w:bookmarkEnd w:id="6139"/>
      <w:r>
        <w:rPr>
          <w:vertAlign w:val="superscript"/>
          <w:rtl/>
        </w:rPr>
        <w:fldChar w:fldCharType="begin" w:dirty="true"/>
      </w:r>
      <w:r>
        <w:rPr>
          <w:vertAlign w:val="superscript"/>
          <w:rtl/>
        </w:rPr>
        <w:instrText xml:space="preserve"> REF b5_note72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72</w:t>
      </w:r>
      <w:r>
        <w:rPr>
          <w:vertAlign w:val="superscript"/>
          <w:rtl/>
        </w:rPr>
        <w:fldChar w:fldCharType="end"/>
      </w:r>
      <w:r>
        <w:rPr>
          <w:rtl/>
        </w:rPr>
        <w:t>, ר׳ פנחס גלמן, רבה של יקטרינוסלב</w:t>
      </w:r>
      <w:bookmarkStart w:id="6140" w:name="b5_ref73"/>
      <w:bookmarkEnd w:id="6140"/>
      <w:r>
        <w:rPr>
          <w:vertAlign w:val="superscript"/>
          <w:rtl/>
        </w:rPr>
        <w:fldChar w:fldCharType="begin" w:dirty="true"/>
      </w:r>
      <w:r>
        <w:rPr>
          <w:vertAlign w:val="superscript"/>
          <w:rtl/>
        </w:rPr>
        <w:instrText xml:space="preserve"> REF b5_note73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73</w:t>
      </w:r>
      <w:r>
        <w:rPr>
          <w:vertAlign w:val="superscript"/>
          <w:rtl/>
        </w:rPr>
        <w:fldChar w:fldCharType="end"/>
      </w:r>
      <w:r>
        <w:rPr>
          <w:rtl/>
        </w:rPr>
        <w:t xml:space="preserve">, שאר רבני קובנה </w:t>
      </w:r>
      <w:proofErr w:type="spellStart"/>
      <w:r>
        <w:rPr>
          <w:rtl/>
        </w:rPr>
        <w:t>וסלבודקה</w:t>
      </w:r>
      <w:proofErr w:type="spellEnd"/>
      <w:r>
        <w:rPr>
          <w:rtl/>
        </w:rPr>
        <w:t xml:space="preserve"> וחברי כולל קובנה. כשראה הקהל שר׳ </w:t>
      </w:r>
      <w:proofErr w:type="spellStart"/>
      <w:r>
        <w:rPr>
          <w:rtl/>
        </w:rPr>
        <w:t>ברוך־בער</w:t>
      </w:r>
      <w:proofErr w:type="spellEnd"/>
      <w:r>
        <w:rPr>
          <w:rtl/>
        </w:rPr>
        <w:t xml:space="preserve"> נכנס, פינו לו דרך, כדי שראש ישיבת כנסת בית יצחק יוכל לגשת אל רבו</w:t>
      </w:r>
      <w:bookmarkStart w:id="6141" w:name="b5_ref74"/>
      <w:bookmarkEnd w:id="6141"/>
      <w:r>
        <w:rPr>
          <w:vertAlign w:val="superscript"/>
          <w:rtl/>
        </w:rPr>
        <w:fldChar w:fldCharType="begin" w:dirty="true"/>
      </w:r>
      <w:r>
        <w:rPr>
          <w:vertAlign w:val="superscript"/>
          <w:rtl/>
        </w:rPr>
        <w:instrText xml:space="preserve"> REF b5_note74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74</w:t>
      </w:r>
      <w:r>
        <w:rPr>
          <w:vertAlign w:val="superscript"/>
          <w:rtl/>
        </w:rPr>
        <w:fldChar w:fldCharType="end"/>
      </w:r>
      <w:r>
        <w:rPr>
          <w:rtl/>
        </w:rPr>
        <w:t xml:space="preserve">. אבל כשמישהו רצה לפנות לו את כיסאו ליד ר׳ חיים, דחה ר׳ </w:t>
      </w:r>
      <w:proofErr w:type="spellStart"/>
      <w:r>
        <w:rPr>
          <w:rtl/>
        </w:rPr>
        <w:t>ברוך־בער</w:t>
      </w:r>
      <w:proofErr w:type="spellEnd"/>
      <w:r>
        <w:rPr>
          <w:rtl/>
        </w:rPr>
        <w:t xml:space="preserve"> את ההצעה בתנועת יד</w:t>
      </w:r>
      <w:bookmarkStart w:id="6142" w:name="b5_ref75"/>
      <w:bookmarkEnd w:id="6142"/>
      <w:r>
        <w:rPr>
          <w:vertAlign w:val="superscript"/>
          <w:rtl/>
        </w:rPr>
        <w:fldChar w:fldCharType="begin" w:dirty="true"/>
      </w:r>
      <w:r>
        <w:rPr>
          <w:vertAlign w:val="superscript"/>
          <w:rtl/>
        </w:rPr>
        <w:instrText xml:space="preserve"> REF b5_note75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75</w:t>
      </w:r>
      <w:r>
        <w:rPr>
          <w:vertAlign w:val="superscript"/>
          <w:rtl/>
        </w:rPr>
        <w:fldChar w:fldCharType="end"/>
      </w:r>
      <w:r>
        <w:rPr>
          <w:rtl/>
        </w:rPr>
        <w:t>.</w:t>
      </w:r>
    </w:p>
    <w:bookmarkStart w:id="6143" w:name="b5_note70"/>
    <w:p w14:paraId="39293293" w14:textId="77777777" w:rsidR="00AB3647" w:rsidRDefault="00000000" w:rsidP="007923E9">
      <w:pPr>
        <w:spacing w:before="120" w:after="100" w:line="276" w:lineRule="auto"/>
        <w:jc w:val="both"/>
      </w:pPr>
      <w:r>
        <w:fldChar w:fldCharType="begin" w:dirty="true"/>
      </w:r>
      <w:r>
        <w:instrText>HYPERLINK \l "b5_ref70"</w:instrText>
      </w:r>
      <w:r>
        <w:fldChar w:fldCharType="separate"/>
      </w:r>
      <w:r>
        <w:rPr>
          <w:b/>
          <w:bCs/>
          <w:rtl/>
        </w:rPr>
        <w:t>70</w:t>
      </w:r>
      <w:r>
        <w:rPr>
          <w:b/>
          <w:bCs/>
        </w:rPr>
        <w:fldChar w:fldCharType="end"/>
      </w:r>
      <w:bookmarkEnd w:id="6143"/>
      <w:r>
        <w:rPr>
          <w:rtl/>
        </w:rPr>
        <w:t xml:space="preserve"> את אירועי ביקורו של ר׳ חיים המתוארים להלן תיאר ר׳ קופל </w:t>
      </w:r>
      <w:proofErr w:type="spellStart"/>
      <w:r>
        <w:rPr>
          <w:rtl/>
        </w:rPr>
        <w:t>וולפרט</w:t>
      </w:r>
      <w:bookmarkStart w:id="6144" w:name="_fnr4613"/>
      <w:proofErr w:type="spellEnd"/>
      <w:r>
        <w:rPr>
          <w:rStyle w:val="a5"/>
        </w:rPr>
        <w:footnoteReference w:id="4624" w:customMarkFollows="0"/>
      </w:r>
      <w:bookmarkEnd w:id="6144"/>
      <w:r>
        <w:rPr>
          <w:rtl/>
        </w:rPr>
        <w:t>.</w:t>
      </w:r>
    </w:p>
    <w:bookmarkStart w:id="6145" w:name="b5_note71"/>
    <w:p w14:paraId="7C861175" w14:textId="385B2B8F" w:rsidR="00AB3647" w:rsidRDefault="00000000" w:rsidP="007923E9">
      <w:pPr>
        <w:spacing w:before="120" w:after="100" w:line="276" w:lineRule="auto"/>
        <w:jc w:val="both"/>
      </w:pPr>
      <w:r>
        <w:fldChar w:fldCharType="begin" w:dirty="true"/>
      </w:r>
      <w:r>
        <w:instrText>HYPERLINK \l "b5_ref71"</w:instrText>
      </w:r>
      <w:r>
        <w:fldChar w:fldCharType="separate"/>
      </w:r>
      <w:r>
        <w:rPr>
          <w:b/>
          <w:bCs/>
          <w:rtl/>
        </w:rPr>
        <w:t>71</w:t>
      </w:r>
      <w:r>
        <w:rPr>
          <w:b/>
          <w:bCs/>
        </w:rPr>
        <w:fldChar w:fldCharType="end"/>
      </w:r>
      <w:bookmarkEnd w:id="6145"/>
      <w:r>
        <w:rPr>
          <w:rtl/>
        </w:rPr>
        <w:t xml:space="preserve"> השווה פרק 3, </w:t>
      </w:r>
      <w:r>
        <w:rPr>
          <w:rtl/>
        </w:rPr>
        <w:fldChar w:fldCharType="begin" w:dirty="true"/>
      </w:r>
      <w:r>
        <w:rPr>
          <w:rtl/>
        </w:rPr>
        <w:instrText xml:space="preserve"> REF b3_excJ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w:t>
      </w:r>
      <w:r>
        <w:rPr>
          <w:rtl/>
        </w:rPr>
        <w:fldChar w:fldCharType="end"/>
      </w:r>
      <w:r>
        <w:rPr>
          <w:rtl/>
        </w:rPr>
        <w:t>.</w:t>
      </w:r>
    </w:p>
    <w:bookmarkStart w:id="6146" w:name="b5_note72"/>
    <w:p w14:paraId="3E58B076" w14:textId="1CA2E957" w:rsidR="00AB3647" w:rsidRDefault="00000000" w:rsidP="007923E9">
      <w:pPr>
        <w:spacing w:before="120" w:after="100" w:line="276" w:lineRule="auto"/>
        <w:jc w:val="both"/>
      </w:pPr>
      <w:r>
        <w:fldChar w:fldCharType="begin" w:dirty="true"/>
      </w:r>
      <w:r>
        <w:instrText>HYPERLINK \l "b5_ref72"</w:instrText>
      </w:r>
      <w:r>
        <w:fldChar w:fldCharType="separate"/>
      </w:r>
      <w:r>
        <w:rPr>
          <w:b/>
          <w:bCs/>
          <w:rtl/>
        </w:rPr>
        <w:t>72</w:t>
      </w:r>
      <w:r>
        <w:rPr>
          <w:b/>
          <w:bCs/>
        </w:rPr>
        <w:fldChar w:fldCharType="end"/>
      </w:r>
      <w:bookmarkEnd w:id="6146"/>
      <w:r>
        <w:rPr>
          <w:rtl/>
        </w:rPr>
        <w:t xml:space="preserve"> הוא נולד </w:t>
      </w:r>
      <w:proofErr w:type="spellStart"/>
      <w:r>
        <w:rPr>
          <w:rtl/>
        </w:rPr>
        <w:t>בתר״ל</w:t>
      </w:r>
      <w:proofErr w:type="spellEnd"/>
      <w:r>
        <w:rPr>
          <w:rtl/>
        </w:rPr>
        <w:t xml:space="preserve">, ולמד אצל ר׳ </w:t>
      </w:r>
      <w:proofErr w:type="spellStart"/>
      <w:r>
        <w:rPr>
          <w:rtl/>
        </w:rPr>
        <w:t>איצל׳ה</w:t>
      </w:r>
      <w:proofErr w:type="spellEnd"/>
      <w:r>
        <w:rPr>
          <w:rtl/>
        </w:rPr>
        <w:t xml:space="preserve"> </w:t>
      </w:r>
      <w:proofErr w:type="spellStart"/>
      <w:r>
        <w:rPr>
          <w:rtl/>
        </w:rPr>
        <w:t>מפוניבז</w:t>
      </w:r>
      <w:proofErr w:type="spellEnd"/>
      <w:r>
        <w:rPr>
          <w:rtl/>
        </w:rPr>
        <w:t>׳</w:t>
      </w:r>
      <w:bookmarkStart w:id="6147" w:name="_fnr4614"/>
      <w:r>
        <w:rPr>
          <w:rStyle w:val="a5"/>
        </w:rPr>
        <w:footnoteReference w:id="4625" w:customMarkFollows="0"/>
      </w:r>
      <w:bookmarkEnd w:id="6147"/>
      <w:r>
        <w:rPr>
          <w:rtl/>
        </w:rPr>
        <w:t xml:space="preserve"> ואצל </w:t>
      </w:r>
      <w:proofErr w:type="spellStart"/>
      <w:r>
        <w:rPr>
          <w:rtl/>
        </w:rPr>
        <w:t>החפץ־חיים</w:t>
      </w:r>
      <w:proofErr w:type="spellEnd"/>
      <w:r>
        <w:rPr>
          <w:rtl/>
        </w:rPr>
        <w:t xml:space="preserve">. הרב הורביץ נעשה רבה של </w:t>
      </w:r>
      <w:proofErr w:type="spellStart"/>
      <w:r>
        <w:rPr>
          <w:rtl/>
        </w:rPr>
        <w:t>אלקסוט</w:t>
      </w:r>
      <w:proofErr w:type="spellEnd"/>
      <w:r>
        <w:rPr>
          <w:rtl/>
        </w:rPr>
        <w:t xml:space="preserve"> </w:t>
      </w:r>
      <w:proofErr w:type="spellStart"/>
      <w:r>
        <w:rPr>
          <w:rtl/>
        </w:rPr>
        <w:t>בתר״ס</w:t>
      </w:r>
      <w:proofErr w:type="spellEnd"/>
      <w:r>
        <w:rPr>
          <w:rtl/>
        </w:rPr>
        <w:t xml:space="preserve">, והיה אחד ממארגני אגודת הרבנים בליטא. הוא נפטר </w:t>
      </w:r>
      <w:proofErr w:type="spellStart"/>
      <w:r>
        <w:rPr>
          <w:rtl/>
        </w:rPr>
        <w:t>בתרצ״ו</w:t>
      </w:r>
      <w:proofErr w:type="spellEnd"/>
      <w:r>
        <w:rPr>
          <w:rtl/>
        </w:rPr>
        <w:t xml:space="preserve">. הפרטים הביוגרפיים נלקטו מספרו של </w:t>
      </w:r>
      <w:proofErr w:type="spellStart"/>
      <w:r>
        <w:rPr>
          <w:rtl/>
        </w:rPr>
        <w:t>ידעאל</w:t>
      </w:r>
      <w:proofErr w:type="spellEnd"/>
      <w:r>
        <w:rPr>
          <w:rtl/>
        </w:rPr>
        <w:t xml:space="preserve"> מלצר, “בדרך עץ החיים”</w:t>
      </w:r>
      <w:bookmarkStart w:id="6148" w:name="_fnr4615"/>
      <w:r>
        <w:rPr>
          <w:rStyle w:val="a5"/>
        </w:rPr>
        <w:footnoteReference w:id="4626" w:customMarkFollows="0"/>
      </w:r>
      <w:bookmarkEnd w:id="6148"/>
      <w:r>
        <w:rPr>
          <w:rtl/>
        </w:rPr>
        <w:t xml:space="preserve">; השווה גם פרק 3, סוף </w:t>
      </w:r>
      <w:r>
        <w:rPr>
          <w:rtl/>
        </w:rPr>
        <w:fldChar w:fldCharType="begin" w:dirty="true"/>
      </w:r>
      <w:r>
        <w:rPr>
          <w:rtl/>
        </w:rPr>
        <w:instrText xml:space="preserve"> REF b3_excJ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w:t>
      </w:r>
      <w:r>
        <w:rPr>
          <w:rtl/>
        </w:rPr>
        <w:fldChar w:fldCharType="end"/>
      </w:r>
      <w:r>
        <w:rPr>
          <w:rtl/>
        </w:rPr>
        <w:t>, וכרך 2.</w:t>
      </w:r>
    </w:p>
    <w:bookmarkStart w:id="6149" w:name="b5_note73"/>
    <w:p w14:paraId="6B767B8D" w14:textId="77777777" w:rsidR="00AB3647" w:rsidRDefault="00000000" w:rsidP="007923E9">
      <w:pPr>
        <w:spacing w:before="120" w:after="100" w:line="276" w:lineRule="auto"/>
        <w:jc w:val="both"/>
      </w:pPr>
      <w:r>
        <w:fldChar w:fldCharType="begin" w:dirty="true"/>
      </w:r>
      <w:r>
        <w:instrText>HYPERLINK \l "b5_ref73"</w:instrText>
      </w:r>
      <w:r>
        <w:fldChar w:fldCharType="separate"/>
      </w:r>
      <w:r>
        <w:rPr>
          <w:b/>
          <w:bCs/>
          <w:rtl/>
        </w:rPr>
        <w:t>73</w:t>
      </w:r>
      <w:r>
        <w:rPr>
          <w:b/>
          <w:bCs/>
        </w:rPr>
        <w:fldChar w:fldCharType="end"/>
      </w:r>
      <w:bookmarkEnd w:id="6149"/>
      <w:r>
        <w:rPr>
          <w:rtl/>
        </w:rPr>
        <w:t xml:space="preserve"> המקור הזכיר רק שרבה של העיר ההיא היה נוכח. את שמו, ואת העובדה שהתמנה שם בשנה הקודמת, מצאתי </w:t>
      </w:r>
      <w:proofErr w:type="spellStart"/>
      <w:r>
        <w:rPr>
          <w:rtl/>
        </w:rPr>
        <w:t>ב“אהלי</w:t>
      </w:r>
      <w:proofErr w:type="spellEnd"/>
      <w:r>
        <w:rPr>
          <w:rtl/>
        </w:rPr>
        <w:t xml:space="preserve"> שם”</w:t>
      </w:r>
      <w:bookmarkStart w:id="6150" w:name="_fnr4616"/>
      <w:r>
        <w:rPr>
          <w:rStyle w:val="a5"/>
        </w:rPr>
        <w:footnoteReference w:id="4627" w:customMarkFollows="0"/>
      </w:r>
      <w:bookmarkEnd w:id="6150"/>
      <w:r>
        <w:rPr>
          <w:rtl/>
        </w:rPr>
        <w:t>.</w:t>
      </w:r>
    </w:p>
    <w:p w14:paraId="3B6EC483" w14:textId="77777777" w:rsidR="00AB3647" w:rsidRDefault="00000000" w:rsidP="007923E9">
      <w:pPr>
        <w:spacing w:before="120" w:after="100" w:line="276" w:lineRule="auto"/>
        <w:jc w:val="both"/>
      </w:pPr>
      <w:r>
        <w:rPr>
          <w:rtl/>
        </w:rPr>
        <w:t xml:space="preserve">מאמר מאת בן העיר, “הרב </w:t>
      </w:r>
      <w:proofErr w:type="spellStart"/>
      <w:r>
        <w:rPr>
          <w:rtl/>
        </w:rPr>
        <w:t>יהודה־לייב</w:t>
      </w:r>
      <w:proofErr w:type="spellEnd"/>
      <w:r>
        <w:rPr>
          <w:rtl/>
        </w:rPr>
        <w:t xml:space="preserve"> לוין, רבה של מוסקבה”, </w:t>
      </w:r>
      <w:proofErr w:type="spellStart"/>
      <w:r>
        <w:rPr>
          <w:rtl/>
        </w:rPr>
        <w:t>ב“ספר</w:t>
      </w:r>
      <w:proofErr w:type="spellEnd"/>
      <w:r>
        <w:rPr>
          <w:rtl/>
        </w:rPr>
        <w:t xml:space="preserve"> </w:t>
      </w:r>
      <w:proofErr w:type="spellStart"/>
      <w:r>
        <w:rPr>
          <w:rtl/>
        </w:rPr>
        <w:t>יקטרינוסלב־דנפרופטרובסק</w:t>
      </w:r>
      <w:proofErr w:type="spellEnd"/>
      <w:r>
        <w:rPr>
          <w:rtl/>
        </w:rPr>
        <w:t xml:space="preserve">” (שם, דברי פתיחה, עמ׳ </w:t>
      </w:r>
      <w:proofErr w:type="spellStart"/>
      <w:r>
        <w:rPr>
          <w:rtl/>
        </w:rPr>
        <w:t>xxvi</w:t>
      </w:r>
      <w:proofErr w:type="spellEnd"/>
      <w:r>
        <w:rPr>
          <w:rtl/>
        </w:rPr>
        <w:t xml:space="preserve">), מספר שהקהילה סערה מפני </w:t>
      </w:r>
      <w:proofErr w:type="spellStart"/>
      <w:r>
        <w:rPr>
          <w:rtl/>
        </w:rPr>
        <w:t>ש“החסידים</w:t>
      </w:r>
      <w:proofErr w:type="spellEnd"/>
      <w:r>
        <w:rPr>
          <w:rtl/>
        </w:rPr>
        <w:t xml:space="preserve"> רצו להושיב את ר׳ </w:t>
      </w:r>
      <w:proofErr w:type="spellStart"/>
      <w:r>
        <w:rPr>
          <w:rtl/>
        </w:rPr>
        <w:t>לוי־יצחק</w:t>
      </w:r>
      <w:proofErr w:type="spellEnd"/>
      <w:r>
        <w:rPr>
          <w:rtl/>
        </w:rPr>
        <w:t xml:space="preserve"> שניאורסון” [לימים אביו של הרבי האחרון </w:t>
      </w:r>
      <w:proofErr w:type="spellStart"/>
      <w:r>
        <w:rPr>
          <w:rtl/>
        </w:rPr>
        <w:t>מליובאוויטש</w:t>
      </w:r>
      <w:proofErr w:type="spellEnd"/>
      <w:r>
        <w:rPr>
          <w:rtl/>
        </w:rPr>
        <w:t xml:space="preserve">], “והמתנגדים, המשכילים והעשירים נשאו עיניהם אל ר׳ פנחס גלמן, שהיה רבה של </w:t>
      </w:r>
      <w:proofErr w:type="spellStart"/>
      <w:r>
        <w:rPr>
          <w:rtl/>
        </w:rPr>
        <w:t>טאראשצ׳ה</w:t>
      </w:r>
      <w:proofErr w:type="spellEnd"/>
      <w:r>
        <w:rPr>
          <w:rtl/>
        </w:rPr>
        <w:t xml:space="preserve">. המחלוקת גבהה עד לשמים, עד שהגיעו לידי מכות וחילול השם בכל בתי הכנסת. כך נמשך הדבר כמה חודשים, ולבסוף הגיעו להסכם: ר׳ פנחס גלמן יכהן בחלק העיר הסמוך לנהר, ור׳ </w:t>
      </w:r>
      <w:proofErr w:type="spellStart"/>
      <w:r>
        <w:rPr>
          <w:rtl/>
        </w:rPr>
        <w:t>לוי־יצחק</w:t>
      </w:r>
      <w:proofErr w:type="spellEnd"/>
      <w:r>
        <w:rPr>
          <w:rtl/>
        </w:rPr>
        <w:t xml:space="preserve"> שניאורסון בחלק העיר שבו כיהן אביו כרב”.</w:t>
      </w:r>
    </w:p>
    <w:bookmarkStart w:id="6151" w:name="b5_note74"/>
    <w:p w14:paraId="2375ABD6" w14:textId="5E2EF3C2" w:rsidR="00AB3647" w:rsidRDefault="00000000" w:rsidP="007923E9">
      <w:pPr>
        <w:spacing w:before="120" w:after="100" w:line="276" w:lineRule="auto"/>
        <w:jc w:val="both"/>
      </w:pPr>
      <w:r>
        <w:fldChar w:fldCharType="begin" w:dirty="true"/>
      </w:r>
      <w:r>
        <w:instrText>HYPERLINK \l "b5_ref74"</w:instrText>
      </w:r>
      <w:r>
        <w:fldChar w:fldCharType="separate"/>
      </w:r>
      <w:r>
        <w:rPr>
          <w:b/>
          <w:bCs/>
          <w:rtl/>
        </w:rPr>
        <w:t>74</w:t>
      </w:r>
      <w:r>
        <w:rPr>
          <w:b/>
          <w:bCs/>
        </w:rPr>
        <w:fldChar w:fldCharType="end"/>
      </w:r>
      <w:bookmarkEnd w:id="6151"/>
      <w:r>
        <w:rPr>
          <w:rtl/>
        </w:rPr>
        <w:t xml:space="preserve"> השווה פרק 3, הפסקה הראשונה של </w:t>
      </w:r>
      <w:r>
        <w:rPr>
          <w:rtl/>
        </w:rPr>
        <w:fldChar w:fldCharType="begin" w:dirty="true"/>
      </w:r>
      <w:r>
        <w:rPr>
          <w:rtl/>
        </w:rPr>
        <w:instrText xml:space="preserve"> REF b3_excR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יח</w:t>
      </w:r>
      <w:proofErr w:type="spellEnd"/>
      <w:r>
        <w:rPr>
          <w:rtl/>
        </w:rPr>
        <w:fldChar w:fldCharType="end"/>
      </w:r>
      <w:r>
        <w:rPr>
          <w:rtl/>
        </w:rPr>
        <w:t xml:space="preserve">, והערה </w:t>
      </w:r>
      <w:r>
        <w:rPr>
          <w:rtl/>
        </w:rPr>
        <w:fldChar w:fldCharType="begin" w:dirty="true"/>
      </w:r>
      <w:r>
        <w:rPr>
          <w:rtl/>
        </w:rPr>
        <w:instrText xml:space="preserve"> REF b3_note137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137</w:t>
      </w:r>
      <w:r>
        <w:rPr>
          <w:rtl/>
        </w:rPr>
        <w:fldChar w:fldCharType="end"/>
      </w:r>
      <w:r>
        <w:rPr>
          <w:rtl/>
        </w:rPr>
        <w:t>.</w:t>
      </w:r>
    </w:p>
    <w:bookmarkStart w:id="6152" w:name="b5_note75"/>
    <w:p w14:paraId="744DE6D6" w14:textId="77777777" w:rsidR="00AB3647" w:rsidRDefault="00000000" w:rsidP="007923E9">
      <w:pPr>
        <w:spacing w:before="120" w:after="100" w:line="276" w:lineRule="auto"/>
        <w:jc w:val="both"/>
      </w:pPr>
      <w:r>
        <w:lastRenderedPageBreak/>
        <w:fldChar w:fldCharType="begin" w:dirty="true"/>
      </w:r>
      <w:r>
        <w:instrText>HYPERLINK \l "b5_ref75"</w:instrText>
      </w:r>
      <w:r>
        <w:fldChar w:fldCharType="separate"/>
      </w:r>
      <w:r>
        <w:rPr>
          <w:b/>
          <w:bCs/>
          <w:rtl/>
        </w:rPr>
        <w:t>75</w:t>
      </w:r>
      <w:r>
        <w:rPr>
          <w:b/>
          <w:bCs/>
        </w:rPr>
        <w:fldChar w:fldCharType="end"/>
      </w:r>
      <w:bookmarkEnd w:id="6152"/>
      <w:r>
        <w:rPr>
          <w:rtl/>
        </w:rPr>
        <w:t xml:space="preserve"> השווה </w:t>
      </w:r>
      <w:proofErr w:type="spellStart"/>
      <w:r>
        <w:rPr>
          <w:rtl/>
        </w:rPr>
        <w:t>רבינר</w:t>
      </w:r>
      <w:proofErr w:type="spellEnd"/>
      <w:r>
        <w:rPr>
          <w:rtl/>
        </w:rPr>
        <w:t>, “רבינו מאיר שמחה הכהן”</w:t>
      </w:r>
      <w:bookmarkStart w:id="6153" w:name="_fnr4617"/>
      <w:r>
        <w:rPr>
          <w:rStyle w:val="a5"/>
        </w:rPr>
        <w:footnoteReference w:id="4628" w:customMarkFollows="0"/>
      </w:r>
      <w:bookmarkEnd w:id="6153"/>
      <w:r>
        <w:rPr>
          <w:rtl/>
        </w:rPr>
        <w:t xml:space="preserve">, המספר בשם ר׳ </w:t>
      </w:r>
      <w:proofErr w:type="spellStart"/>
      <w:r>
        <w:rPr>
          <w:rtl/>
        </w:rPr>
        <w:t>שמשון־דוב</w:t>
      </w:r>
      <w:proofErr w:type="spellEnd"/>
      <w:r>
        <w:rPr>
          <w:rtl/>
        </w:rPr>
        <w:t xml:space="preserve"> ירושלמי: כשבא </w:t>
      </w:r>
      <w:proofErr w:type="spellStart"/>
      <w:r>
        <w:rPr>
          <w:rtl/>
        </w:rPr>
        <w:t>החפץ־חיים</w:t>
      </w:r>
      <w:proofErr w:type="spellEnd"/>
      <w:r>
        <w:rPr>
          <w:rtl/>
        </w:rPr>
        <w:t xml:space="preserve">, בלי שהוזמן, לאספת הרבנים בפטרבורג </w:t>
      </w:r>
      <w:proofErr w:type="spellStart"/>
      <w:r>
        <w:rPr>
          <w:rtl/>
        </w:rPr>
        <w:t>בתר״ע</w:t>
      </w:r>
      <w:bookmarkStart w:id="6154" w:name="_fnr4618"/>
      <w:proofErr w:type="spellEnd"/>
      <w:r>
        <w:rPr>
          <w:rStyle w:val="a5"/>
        </w:rPr>
        <w:footnoteReference w:id="4629" w:customMarkFollows="0"/>
      </w:r>
      <w:bookmarkEnd w:id="6154"/>
      <w:r>
        <w:rPr>
          <w:rtl/>
        </w:rPr>
        <w:t xml:space="preserve">, ונכנס למסעדה שבה ישבו הרבנים ואכלו, כל הכיסאות היו תפוסים. הכול קמו לכבודו, והרב ירושלמי הציע לו את מקומו. </w:t>
      </w:r>
      <w:proofErr w:type="spellStart"/>
      <w:r>
        <w:rPr>
          <w:rtl/>
        </w:rPr>
        <w:t>החפץ־חיים</w:t>
      </w:r>
      <w:proofErr w:type="spellEnd"/>
      <w:r>
        <w:rPr>
          <w:rtl/>
        </w:rPr>
        <w:t xml:space="preserve"> סירב “בשום אופן” לתפוס את מקומו של הרב ירושלמי. רק כשהביא אחד המלצרים כיסא </w:t>
      </w:r>
      <w:proofErr w:type="spellStart"/>
      <w:r>
        <w:rPr>
          <w:rtl/>
        </w:rPr>
        <w:t>לחפץ־חיים</w:t>
      </w:r>
      <w:proofErr w:type="spellEnd"/>
      <w:r>
        <w:rPr>
          <w:rtl/>
        </w:rPr>
        <w:t>, חזרו כל הרבנים העומדים וישבו במקומותיהם.</w:t>
      </w:r>
    </w:p>
    <w:p w14:paraId="6B9DA57D" w14:textId="1BCA9A29"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אז הזיז ר׳ חיים את רגלו הצדה, הצביע על חיקו ואמר, כשהוא מגלגל את הרי״ש: “</w:t>
      </w:r>
      <w:proofErr w:type="spellStart"/>
      <w:r>
        <w:rPr>
          <w:rtl/>
        </w:rPr>
        <w:t>ברוך־בר</w:t>
      </w:r>
      <w:proofErr w:type="spellEnd"/>
      <w:r>
        <w:rPr>
          <w:rtl/>
        </w:rPr>
        <w:t xml:space="preserve">, שב כאן”. ר׳ </w:t>
      </w:r>
      <w:proofErr w:type="spellStart"/>
      <w:r>
        <w:rPr>
          <w:rtl/>
        </w:rPr>
        <w:t>ברוך־בער</w:t>
      </w:r>
      <w:proofErr w:type="spellEnd"/>
      <w:r>
        <w:rPr>
          <w:rtl/>
        </w:rPr>
        <w:t xml:space="preserve"> עוד עמד מהסס מעל חיק רבו, כשציווה ר׳ חיים: “</w:t>
      </w:r>
      <w:proofErr w:type="spellStart"/>
      <w:r>
        <w:rPr>
          <w:rtl/>
        </w:rPr>
        <w:t>ברוך־בר</w:t>
      </w:r>
      <w:proofErr w:type="spellEnd"/>
      <w:r>
        <w:rPr>
          <w:rtl/>
        </w:rPr>
        <w:t xml:space="preserve">, שב!”, ור׳ </w:t>
      </w:r>
      <w:proofErr w:type="spellStart"/>
      <w:r>
        <w:rPr>
          <w:rtl/>
        </w:rPr>
        <w:t>ברוך־בער</w:t>
      </w:r>
      <w:proofErr w:type="spellEnd"/>
      <w:r>
        <w:rPr>
          <w:rtl/>
        </w:rPr>
        <w:t xml:space="preserve"> התיישב. כעבור רגע ביקש ר׳ </w:t>
      </w:r>
      <w:proofErr w:type="spellStart"/>
      <w:r>
        <w:rPr>
          <w:rtl/>
        </w:rPr>
        <w:t>ברוך־בער</w:t>
      </w:r>
      <w:proofErr w:type="spellEnd"/>
      <w:r>
        <w:rPr>
          <w:rtl/>
        </w:rPr>
        <w:t xml:space="preserve"> סליחה ויצא אל המסדרון, ואחריו התלמיד</w:t>
      </w:r>
      <w:bookmarkStart w:id="6155" w:name="b5_ref76"/>
      <w:bookmarkEnd w:id="6155"/>
      <w:r>
        <w:rPr>
          <w:vertAlign w:val="superscript"/>
          <w:rtl/>
        </w:rPr>
        <w:fldChar w:fldCharType="begin" w:dirty="true"/>
      </w:r>
      <w:r>
        <w:rPr>
          <w:vertAlign w:val="superscript"/>
          <w:rtl/>
        </w:rPr>
        <w:instrText xml:space="preserve"> REF b5_note76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76</w:t>
      </w:r>
      <w:r>
        <w:rPr>
          <w:vertAlign w:val="superscript"/>
          <w:rtl/>
        </w:rPr>
        <w:fldChar w:fldCharType="end"/>
      </w:r>
      <w:r>
        <w:rPr>
          <w:rtl/>
        </w:rPr>
        <w:t xml:space="preserve"> שליווה אותו מביתו ברחובות הקפואים. הבחור סיפר אחר כך שבמסדרון נאנח ראש ישיבתו בקול תחנונים: “אוי וויי </w:t>
      </w:r>
      <w:proofErr w:type="spellStart"/>
      <w:r>
        <w:rPr>
          <w:rtl/>
        </w:rPr>
        <w:t>איז</w:t>
      </w:r>
      <w:proofErr w:type="spellEnd"/>
      <w:r>
        <w:rPr>
          <w:rtl/>
        </w:rPr>
        <w:t xml:space="preserve"> </w:t>
      </w:r>
      <w:proofErr w:type="spellStart"/>
      <w:r>
        <w:rPr>
          <w:rtl/>
        </w:rPr>
        <w:t>מיר</w:t>
      </w:r>
      <w:proofErr w:type="spellEnd"/>
      <w:r>
        <w:rPr>
          <w:rtl/>
        </w:rPr>
        <w:t xml:space="preserve"> [אוי, אוי לי]! הרבי חולה כל כך</w:t>
      </w:r>
      <w:r>
        <w:rPr>
          <w:vertAlign w:val="superscript"/>
          <w:rtl/>
        </w:rPr>
        <w:fldChar w:fldCharType="begin" w:dirty="true"/>
      </w:r>
      <w:r>
        <w:rPr>
          <w:vertAlign w:val="superscript"/>
          <w:rtl/>
        </w:rPr>
        <w:instrText xml:space="preserve"> REF b5_note77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77</w:t>
      </w:r>
      <w:r>
        <w:rPr>
          <w:vertAlign w:val="superscript"/>
          <w:rtl/>
        </w:rPr>
        <w:fldChar w:fldCharType="end"/>
      </w:r>
      <w:r>
        <w:rPr>
          <w:rtl/>
        </w:rPr>
        <w:t xml:space="preserve">, ואני, יהודי כבד כל כך, ישבתי עליו. יסלח לי ריבונו של עולם!” בינתיים הובא כיסא, ור׳ </w:t>
      </w:r>
      <w:proofErr w:type="spellStart"/>
      <w:r>
        <w:rPr>
          <w:rtl/>
        </w:rPr>
        <w:t>ברוך־בער</w:t>
      </w:r>
      <w:proofErr w:type="spellEnd"/>
      <w:r>
        <w:rPr>
          <w:rtl/>
        </w:rPr>
        <w:t xml:space="preserve"> שב לשבת לצד רבו.</w:t>
      </w:r>
    </w:p>
    <w:bookmarkStart w:id="6156" w:name="b5_note76"/>
    <w:p w14:paraId="19E28F18" w14:textId="77777777" w:rsidR="00AB3647" w:rsidRDefault="00000000" w:rsidP="007923E9">
      <w:pPr>
        <w:spacing w:before="120" w:after="100" w:line="276" w:lineRule="auto"/>
        <w:jc w:val="both"/>
      </w:pPr>
      <w:r>
        <w:fldChar w:fldCharType="begin" w:dirty="true"/>
      </w:r>
      <w:r>
        <w:instrText>HYPERLINK \l "b5_ref76"</w:instrText>
      </w:r>
      <w:r>
        <w:fldChar w:fldCharType="separate"/>
      </w:r>
      <w:r>
        <w:rPr>
          <w:b/>
          <w:bCs/>
          <w:rtl/>
        </w:rPr>
        <w:t>76</w:t>
      </w:r>
      <w:r>
        <w:rPr>
          <w:b/>
          <w:bCs/>
        </w:rPr>
        <w:fldChar w:fldCharType="end"/>
      </w:r>
      <w:bookmarkEnd w:id="6156"/>
      <w:r>
        <w:rPr>
          <w:rtl/>
        </w:rPr>
        <w:t xml:space="preserve"> תלמיד זה, קופל </w:t>
      </w:r>
      <w:proofErr w:type="spellStart"/>
      <w:r>
        <w:rPr>
          <w:rtl/>
        </w:rPr>
        <w:t>וולפרט</w:t>
      </w:r>
      <w:proofErr w:type="spellEnd"/>
      <w:r>
        <w:rPr>
          <w:rtl/>
        </w:rPr>
        <w:t xml:space="preserve">, ליווה את ר׳ </w:t>
      </w:r>
      <w:proofErr w:type="spellStart"/>
      <w:r>
        <w:rPr>
          <w:rtl/>
        </w:rPr>
        <w:t>ברוך־בער</w:t>
      </w:r>
      <w:proofErr w:type="spellEnd"/>
      <w:r>
        <w:rPr>
          <w:rtl/>
        </w:rPr>
        <w:t xml:space="preserve"> גם בביקורו אצל ר׳ </w:t>
      </w:r>
      <w:proofErr w:type="spellStart"/>
      <w:r>
        <w:rPr>
          <w:rtl/>
        </w:rPr>
        <w:t>דוד׳ל</w:t>
      </w:r>
      <w:proofErr w:type="spellEnd"/>
      <w:r>
        <w:rPr>
          <w:rtl/>
        </w:rPr>
        <w:t xml:space="preserve"> שנה קודם לכן</w:t>
      </w:r>
      <w:bookmarkStart w:id="6157" w:name="_fnr4619"/>
      <w:r>
        <w:rPr>
          <w:rStyle w:val="a5"/>
        </w:rPr>
        <w:footnoteReference w:id="4630" w:customMarkFollows="0"/>
      </w:r>
      <w:bookmarkEnd w:id="6157"/>
      <w:r>
        <w:rPr>
          <w:rtl/>
        </w:rPr>
        <w:t>.</w:t>
      </w:r>
    </w:p>
    <w:bookmarkStart w:id="6158" w:name="b5_note77"/>
    <w:p w14:paraId="239847BD" w14:textId="4688D8D5" w:rsidR="00AB3647" w:rsidRDefault="00000000" w:rsidP="007923E9">
      <w:pPr>
        <w:spacing w:before="120" w:after="100" w:line="276" w:lineRule="auto"/>
        <w:jc w:val="both"/>
      </w:pPr>
      <w:r>
        <w:fldChar w:fldCharType="begin" w:dirty="true"/>
      </w:r>
      <w:r>
        <w:instrText>HYPERLINK \l "b5_ref77"</w:instrText>
      </w:r>
      <w:r>
        <w:fldChar w:fldCharType="separate"/>
      </w:r>
      <w:r>
        <w:rPr>
          <w:b/>
          <w:bCs/>
          <w:rtl/>
        </w:rPr>
        <w:t>77</w:t>
      </w:r>
      <w:r>
        <w:rPr>
          <w:b/>
          <w:bCs/>
        </w:rPr>
        <w:fldChar w:fldCharType="end"/>
      </w:r>
      <w:bookmarkEnd w:id="6158"/>
      <w:r>
        <w:rPr>
          <w:rtl/>
        </w:rPr>
        <w:t xml:space="preserve"> ראה </w:t>
      </w:r>
      <w:r>
        <w:rPr>
          <w:rtl/>
        </w:rPr>
        <w:fldChar w:fldCharType="begin" w:dirty="true"/>
      </w:r>
      <w:r>
        <w:rPr>
          <w:rtl/>
        </w:rPr>
        <w:instrText xml:space="preserve"> REF b5_excI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w:t>
      </w:r>
    </w:p>
    <w:p w14:paraId="2404E418" w14:textId="51C8DE9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אז אמרו הנכבדים שהתאספו </w:t>
      </w:r>
      <w:proofErr w:type="spellStart"/>
      <w:r>
        <w:rPr>
          <w:rtl/>
        </w:rPr>
        <w:t>לר</w:t>
      </w:r>
      <w:proofErr w:type="spellEnd"/>
      <w:r>
        <w:rPr>
          <w:rtl/>
        </w:rPr>
        <w:t>׳ חיים: “יאמר לנו הרב דבר תורה”. ר׳ חיים היה פעם מעשן בשרשרת, אבל כשהחל לירוק דם ציווה עליו הרופא</w:t>
      </w:r>
      <w:bookmarkStart w:id="6159" w:name="b5_ref77"/>
      <w:bookmarkEnd w:id="6159"/>
      <w:r>
        <w:rPr>
          <w:vertAlign w:val="superscript"/>
          <w:rtl/>
        </w:rPr>
        <w:fldChar w:fldCharType="begin" w:dirty="true"/>
      </w:r>
      <w:r>
        <w:rPr>
          <w:vertAlign w:val="superscript"/>
          <w:rtl/>
        </w:rPr>
        <w:instrText xml:space="preserve"> REF b5_note77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77</w:t>
      </w:r>
      <w:r>
        <w:rPr>
          <w:vertAlign w:val="superscript"/>
          <w:rtl/>
        </w:rPr>
        <w:fldChar w:fldCharType="end"/>
      </w:r>
      <w:r>
        <w:rPr>
          <w:rtl/>
        </w:rPr>
        <w:t xml:space="preserve"> להפסיק לעשן. ואולם עדיין היה מכור לטבק, ולקראת דבריו לפני הקהל הוציא את קופסת טבק ההרחה שלו, הקיש עליה באצבעו, פתח אותה בקפידה ומשך את האבקה הטחונה אל שני נחיריו. מאחוריו עמד שמשו הגבוה</w:t>
      </w:r>
      <w:bookmarkStart w:id="6160" w:name="b5_ref78"/>
      <w:bookmarkEnd w:id="6160"/>
      <w:r>
        <w:rPr>
          <w:vertAlign w:val="superscript"/>
          <w:rtl/>
        </w:rPr>
        <w:fldChar w:fldCharType="begin" w:dirty="true"/>
      </w:r>
      <w:r>
        <w:rPr>
          <w:vertAlign w:val="superscript"/>
          <w:rtl/>
        </w:rPr>
        <w:instrText xml:space="preserve"> REF b5_note78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78</w:t>
      </w:r>
      <w:r>
        <w:rPr>
          <w:vertAlign w:val="superscript"/>
          <w:rtl/>
        </w:rPr>
        <w:fldChar w:fldCharType="end"/>
      </w:r>
      <w:r>
        <w:rPr>
          <w:rtl/>
        </w:rPr>
        <w:t xml:space="preserve">, ששמו כשם מזכירו של ר׳ </w:t>
      </w:r>
      <w:proofErr w:type="spellStart"/>
      <w:r>
        <w:rPr>
          <w:rtl/>
        </w:rPr>
        <w:t>יצחק־אלחנן</w:t>
      </w:r>
      <w:proofErr w:type="spellEnd"/>
      <w:r>
        <w:rPr>
          <w:rtl/>
        </w:rPr>
        <w:t>, ר׳ יעקב ליפשיץ. השמש פתח את פיו ואמר: “רבי, הרופא שלך הורה לי שלא להניח לך לדבר, וגם הרבנית</w:t>
      </w:r>
      <w:bookmarkStart w:id="6161" w:name="b5_ref79"/>
      <w:bookmarkEnd w:id="6161"/>
      <w:r>
        <w:rPr>
          <w:vertAlign w:val="superscript"/>
          <w:rtl/>
        </w:rPr>
        <w:fldChar w:fldCharType="begin" w:dirty="true"/>
      </w:r>
      <w:r>
        <w:rPr>
          <w:vertAlign w:val="superscript"/>
          <w:rtl/>
        </w:rPr>
        <w:instrText xml:space="preserve"> REF b5_note79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79</w:t>
      </w:r>
      <w:r>
        <w:rPr>
          <w:vertAlign w:val="superscript"/>
          <w:rtl/>
        </w:rPr>
        <w:fldChar w:fldCharType="end"/>
      </w:r>
      <w:r>
        <w:rPr>
          <w:rtl/>
        </w:rPr>
        <w:t xml:space="preserve"> הורתה כך”. ר׳ חיים פנה למבקריו ואמר: “נו, אתם רואים שהגזלן אינו מרשה; </w:t>
      </w:r>
      <w:proofErr w:type="spellStart"/>
      <w:r>
        <w:rPr>
          <w:rtl/>
        </w:rPr>
        <w:t>ברוך־בערל</w:t>
      </w:r>
      <w:proofErr w:type="spellEnd"/>
      <w:r>
        <w:rPr>
          <w:rtl/>
        </w:rPr>
        <w:t xml:space="preserve">, נו...” אבל עוד לפני שסיים לבקש מתלמידו לדבר במקומו, כבר הרים ר׳ </w:t>
      </w:r>
      <w:proofErr w:type="spellStart"/>
      <w:r>
        <w:rPr>
          <w:rtl/>
        </w:rPr>
        <w:t>ברוך־בער</w:t>
      </w:r>
      <w:proofErr w:type="spellEnd"/>
      <w:r>
        <w:rPr>
          <w:rtl/>
        </w:rPr>
        <w:t xml:space="preserve"> את ידיו לפני פניו, כאומר: “חס וחלילה שאדבר בפני רבי”.</w:t>
      </w:r>
    </w:p>
    <w:bookmarkStart w:id="6162" w:name="b5_note78"/>
    <w:p w14:paraId="6AAF3CAA" w14:textId="77777777" w:rsidR="00AB3647" w:rsidRDefault="00000000" w:rsidP="007923E9">
      <w:pPr>
        <w:spacing w:before="120" w:after="100" w:line="276" w:lineRule="auto"/>
        <w:jc w:val="both"/>
      </w:pPr>
      <w:r>
        <w:fldChar w:fldCharType="begin" w:dirty="true"/>
      </w:r>
      <w:r>
        <w:instrText>HYPERLINK \l "b5_ref78"</w:instrText>
      </w:r>
      <w:r>
        <w:fldChar w:fldCharType="separate"/>
      </w:r>
      <w:r>
        <w:rPr>
          <w:b/>
          <w:bCs/>
          <w:rtl/>
        </w:rPr>
        <w:t>78</w:t>
      </w:r>
      <w:r>
        <w:rPr>
          <w:b/>
          <w:bCs/>
        </w:rPr>
        <w:fldChar w:fldCharType="end"/>
      </w:r>
      <w:bookmarkEnd w:id="6162"/>
      <w:r>
        <w:rPr>
          <w:rtl/>
        </w:rPr>
        <w:t xml:space="preserve"> תיארתי את תפקידו של ליפשיץ זה כפי שמסר לי המרואיין, אבל אני בטוח שמלווהו של ר׳ חיים היה אדם חשוב הרבה יותר: ר׳ </w:t>
      </w:r>
      <w:proofErr w:type="spellStart"/>
      <w:r>
        <w:rPr>
          <w:rtl/>
        </w:rPr>
        <w:t>יעקב־זלמן</w:t>
      </w:r>
      <w:proofErr w:type="spellEnd"/>
      <w:r>
        <w:rPr>
          <w:rtl/>
        </w:rPr>
        <w:t xml:space="preserve"> ליפשיץ, שהוזכר סמוך לתחילת נספח ט כדמות מפתח בתוכניות נסיעתו של ר׳ חיים </w:t>
      </w:r>
      <w:proofErr w:type="spellStart"/>
      <w:r>
        <w:rPr>
          <w:rtl/>
        </w:rPr>
        <w:t>סולובייצ׳יק</w:t>
      </w:r>
      <w:proofErr w:type="spellEnd"/>
      <w:r>
        <w:rPr>
          <w:rtl/>
        </w:rPr>
        <w:t xml:space="preserve">, ואף כונה על ידו “גאון”. ר׳ </w:t>
      </w:r>
      <w:proofErr w:type="spellStart"/>
      <w:r>
        <w:rPr>
          <w:rtl/>
        </w:rPr>
        <w:t>יעקב־זלמן</w:t>
      </w:r>
      <w:proofErr w:type="spellEnd"/>
      <w:r>
        <w:rPr>
          <w:rtl/>
        </w:rPr>
        <w:t xml:space="preserve"> ליפשיץ מתואר ומשובח מאוד גם בהקשר של מאמצי גיוס הכספים בחוץ לארץ למען ישיבת תורת חיים בירושלים, בציטוט הבא </w:t>
      </w:r>
      <w:proofErr w:type="spellStart"/>
      <w:r>
        <w:rPr>
          <w:rtl/>
        </w:rPr>
        <w:t>מ“אהלי</w:t>
      </w:r>
      <w:proofErr w:type="spellEnd"/>
      <w:r>
        <w:rPr>
          <w:rtl/>
        </w:rPr>
        <w:t xml:space="preserve"> שם”</w:t>
      </w:r>
      <w:bookmarkStart w:id="6163" w:name="_fnr4620"/>
      <w:r>
        <w:rPr>
          <w:rStyle w:val="a5"/>
        </w:rPr>
        <w:footnoteReference w:id="4631" w:customMarkFollows="0"/>
      </w:r>
      <w:bookmarkEnd w:id="6163"/>
      <w:r>
        <w:rPr>
          <w:rtl/>
        </w:rPr>
        <w:t xml:space="preserve">: “מספר תלמידיה עולים למאות וכו׳ </w:t>
      </w:r>
      <w:r>
        <w:rPr>
          <w:rtl/>
        </w:rPr>
        <w:lastRenderedPageBreak/>
        <w:t xml:space="preserve">הספקת התלמידים עולה להרבה עשיריות אלפים רוב’ לשנה, והיא </w:t>
      </w:r>
      <w:proofErr w:type="spellStart"/>
      <w:r>
        <w:rPr>
          <w:rtl/>
        </w:rPr>
        <w:t>ניזונת</w:t>
      </w:r>
      <w:proofErr w:type="spellEnd"/>
      <w:r>
        <w:rPr>
          <w:rtl/>
        </w:rPr>
        <w:t xml:space="preserve"> מן הרוח, מן רוח</w:t>
      </w:r>
      <w:bookmarkStart w:id="6164" w:name="_fnr4621"/>
      <w:bookmarkStart w:id="6165" w:name="pr_f_4501"/>
      <w:r>
        <w:rPr>
          <w:rStyle w:val="a5"/>
        </w:rPr>
        <w:footnoteReference w:id="4632" w:customMarkFollows="0"/>
      </w:r>
      <w:bookmarkEnd w:id="6164"/>
      <w:bookmarkEnd w:id="6165"/>
      <w:r>
        <w:rPr>
          <w:rtl/>
        </w:rPr>
        <w:t xml:space="preserve"> הנדיבה של אחינו בני ישראל חובבי תורה, והרוח הזה יתעורר כפעם בפעם עפ״י פסוקי </w:t>
      </w:r>
      <w:proofErr w:type="spellStart"/>
      <w:r>
        <w:rPr>
          <w:rtl/>
        </w:rPr>
        <w:t>דרחמי</w:t>
      </w:r>
      <w:bookmarkStart w:id="6166" w:name="_fnr4622"/>
      <w:proofErr w:type="spellEnd"/>
      <w:r>
        <w:rPr>
          <w:rStyle w:val="a5"/>
        </w:rPr>
        <w:footnoteReference w:id="4633" w:customMarkFollows="0"/>
      </w:r>
      <w:bookmarkEnd w:id="6166"/>
      <w:r>
        <w:rPr>
          <w:rtl/>
        </w:rPr>
        <w:t xml:space="preserve"> של מרן מאור הגולה ר׳ חיים </w:t>
      </w:r>
      <w:proofErr w:type="spellStart"/>
      <w:r>
        <w:rPr>
          <w:rtl/>
        </w:rPr>
        <w:t>סאלאווייציג</w:t>
      </w:r>
      <w:proofErr w:type="spellEnd"/>
      <w:r>
        <w:rPr>
          <w:rtl/>
        </w:rPr>
        <w:t xml:space="preserve"> </w:t>
      </w:r>
      <w:proofErr w:type="spellStart"/>
      <w:r>
        <w:rPr>
          <w:rtl/>
        </w:rPr>
        <w:t>שליט״א</w:t>
      </w:r>
      <w:proofErr w:type="spellEnd"/>
      <w:r>
        <w:rPr>
          <w:rtl/>
        </w:rPr>
        <w:t xml:space="preserve"> </w:t>
      </w:r>
      <w:proofErr w:type="spellStart"/>
      <w:r>
        <w:rPr>
          <w:rtl/>
        </w:rPr>
        <w:t>הגאב״ד</w:t>
      </w:r>
      <w:proofErr w:type="spellEnd"/>
      <w:r>
        <w:rPr>
          <w:rtl/>
        </w:rPr>
        <w:t xml:space="preserve"> </w:t>
      </w:r>
      <w:proofErr w:type="spellStart"/>
      <w:r>
        <w:rPr>
          <w:rtl/>
        </w:rPr>
        <w:t>דבריסק</w:t>
      </w:r>
      <w:proofErr w:type="spellEnd"/>
      <w:r>
        <w:rPr>
          <w:rtl/>
        </w:rPr>
        <w:t xml:space="preserve"> </w:t>
      </w:r>
      <w:r>
        <w:rPr>
          <w:b/>
          <w:bCs/>
          <w:rtl/>
        </w:rPr>
        <w:t>ומשנהו לחביבת התורה</w:t>
      </w:r>
      <w:r>
        <w:rPr>
          <w:rtl/>
        </w:rPr>
        <w:t xml:space="preserve"> הגאון ר׳ יעקב זלמן ליפשיץ </w:t>
      </w:r>
      <w:proofErr w:type="spellStart"/>
      <w:r>
        <w:rPr>
          <w:rtl/>
        </w:rPr>
        <w:t>שליט״א</w:t>
      </w:r>
      <w:proofErr w:type="spellEnd"/>
      <w:r>
        <w:rPr>
          <w:rtl/>
        </w:rPr>
        <w:t xml:space="preserve"> </w:t>
      </w:r>
      <w:proofErr w:type="spellStart"/>
      <w:r>
        <w:rPr>
          <w:rtl/>
        </w:rPr>
        <w:t>מבריסק</w:t>
      </w:r>
      <w:proofErr w:type="spellEnd"/>
      <w:r>
        <w:rPr>
          <w:rtl/>
        </w:rPr>
        <w:t xml:space="preserve"> אשר לא יחשכו מכל עמל נפשם לעורר את הלבבות לקיומה והפצתה של תורתנו הקדושה” (ההדגשה שלי)</w:t>
      </w:r>
      <w:bookmarkStart w:id="6167" w:name="_fnr4623"/>
      <w:r>
        <w:rPr>
          <w:rStyle w:val="a5"/>
        </w:rPr>
        <w:footnoteReference w:id="4634" w:customMarkFollows="0"/>
      </w:r>
      <w:bookmarkEnd w:id="6167"/>
      <w:r>
        <w:rPr>
          <w:rtl/>
        </w:rPr>
        <w:t>.</w:t>
      </w:r>
    </w:p>
    <w:p w14:paraId="5FB73EB1" w14:textId="77777777" w:rsidR="00AB3647" w:rsidRDefault="00000000" w:rsidP="007923E9">
      <w:pPr>
        <w:spacing w:before="120" w:after="100" w:line="276" w:lineRule="auto"/>
        <w:jc w:val="both"/>
      </w:pPr>
      <w:r>
        <w:rPr>
          <w:rtl/>
        </w:rPr>
        <w:t>“קובץ מכתבים”</w:t>
      </w:r>
      <w:bookmarkStart w:id="6168" w:name="_fnr4624"/>
      <w:r>
        <w:rPr>
          <w:rStyle w:val="a5"/>
        </w:rPr>
        <w:footnoteReference w:id="4635" w:customMarkFollows="0"/>
      </w:r>
      <w:bookmarkEnd w:id="6168"/>
      <w:r>
        <w:rPr>
          <w:rtl/>
        </w:rPr>
        <w:t xml:space="preserve"> מביא מכתב מאת ר׳ </w:t>
      </w:r>
      <w:proofErr w:type="spellStart"/>
      <w:r>
        <w:rPr>
          <w:rtl/>
        </w:rPr>
        <w:t>יעקב־זלמן</w:t>
      </w:r>
      <w:proofErr w:type="spellEnd"/>
      <w:r>
        <w:rPr>
          <w:rtl/>
        </w:rPr>
        <w:t xml:space="preserve"> ליפשיץ עצמו אל ר׳ </w:t>
      </w:r>
      <w:proofErr w:type="spellStart"/>
      <w:r>
        <w:rPr>
          <w:rtl/>
        </w:rPr>
        <w:t>יצחק־אייזיק</w:t>
      </w:r>
      <w:proofErr w:type="spellEnd"/>
      <w:r>
        <w:rPr>
          <w:rtl/>
        </w:rPr>
        <w:t xml:space="preserve"> הלוי, שנכתב למעלה מארבע שנים אחרי הביקור בקובנה המתואר כאן. המכתב מגלה את גדולת כותבו ועוד פרטים הנוגעים לענייננו, ואף מזכיר במקרה את ר׳ יעקב הלוי, בן שמו מקובנה. להלן שלוש פסקאותיו הראשונות:</w:t>
      </w:r>
    </w:p>
    <w:p w14:paraId="13ECEC96" w14:textId="77777777" w:rsidR="00AB3647" w:rsidRDefault="00000000" w:rsidP="007923E9">
      <w:pPr>
        <w:spacing w:after="100" w:line="276" w:lineRule="auto"/>
        <w:ind w:firstLine="340"/>
        <w:jc w:val="both"/>
      </w:pPr>
      <w:r>
        <w:rPr>
          <w:rtl/>
        </w:rPr>
        <w:t xml:space="preserve">“כל מכתביו למרן גאון </w:t>
      </w:r>
      <w:proofErr w:type="spellStart"/>
      <w:r>
        <w:rPr>
          <w:rtl/>
        </w:rPr>
        <w:t>עוזינו</w:t>
      </w:r>
      <w:proofErr w:type="spellEnd"/>
      <w:r>
        <w:rPr>
          <w:rtl/>
        </w:rPr>
        <w:t xml:space="preserve"> </w:t>
      </w:r>
      <w:proofErr w:type="spellStart"/>
      <w:r>
        <w:rPr>
          <w:rtl/>
        </w:rPr>
        <w:t>פאה״ד</w:t>
      </w:r>
      <w:proofErr w:type="spellEnd"/>
      <w:r>
        <w:rPr>
          <w:rtl/>
        </w:rPr>
        <w:t xml:space="preserve"> </w:t>
      </w:r>
      <w:proofErr w:type="spellStart"/>
      <w:r>
        <w:rPr>
          <w:rtl/>
        </w:rPr>
        <w:t>שליט״א</w:t>
      </w:r>
      <w:proofErr w:type="spellEnd"/>
      <w:r>
        <w:rPr>
          <w:rtl/>
        </w:rPr>
        <w:t xml:space="preserve"> [הוא מרן </w:t>
      </w:r>
      <w:proofErr w:type="spellStart"/>
      <w:r>
        <w:rPr>
          <w:rtl/>
        </w:rPr>
        <w:t>הגר״ח</w:t>
      </w:r>
      <w:proofErr w:type="spellEnd"/>
      <w:r>
        <w:rPr>
          <w:rtl/>
        </w:rPr>
        <w:t xml:space="preserve"> </w:t>
      </w:r>
      <w:proofErr w:type="spellStart"/>
      <w:r>
        <w:rPr>
          <w:rtl/>
        </w:rPr>
        <w:t>מבריסק</w:t>
      </w:r>
      <w:proofErr w:type="spellEnd"/>
      <w:r>
        <w:rPr>
          <w:rtl/>
        </w:rPr>
        <w:t xml:space="preserve"> זצ״ל] קראתי, כן הגיעני מכתבים הזמנה לנסיעה </w:t>
      </w:r>
      <w:proofErr w:type="spellStart"/>
      <w:r>
        <w:rPr>
          <w:rtl/>
        </w:rPr>
        <w:t>לקאטאויץ</w:t>
      </w:r>
      <w:proofErr w:type="spellEnd"/>
      <w:r>
        <w:rPr>
          <w:rtl/>
        </w:rPr>
        <w:t xml:space="preserve"> מועד הזמני </w:t>
      </w:r>
      <w:proofErr w:type="spellStart"/>
      <w:r>
        <w:rPr>
          <w:rtl/>
        </w:rPr>
        <w:t>בפפד״מ</w:t>
      </w:r>
      <w:proofErr w:type="spellEnd"/>
      <w:r>
        <w:rPr>
          <w:rtl/>
        </w:rPr>
        <w:t xml:space="preserve"> [של אגודת ישראל המתהווה].</w:t>
      </w:r>
    </w:p>
    <w:p w14:paraId="033CF9A2" w14:textId="77777777" w:rsidR="00AB3647" w:rsidRDefault="00000000" w:rsidP="007923E9">
      <w:pPr>
        <w:spacing w:after="100" w:line="276" w:lineRule="auto"/>
        <w:ind w:firstLine="340"/>
        <w:jc w:val="both"/>
      </w:pPr>
      <w:r>
        <w:rPr>
          <w:rtl/>
        </w:rPr>
        <w:t xml:space="preserve">“והנה עד כה לא יכולתי לפעול בעצמי לקחת חבל </w:t>
      </w:r>
      <w:proofErr w:type="spellStart"/>
      <w:r>
        <w:rPr>
          <w:rtl/>
        </w:rPr>
        <w:t>באסיפה</w:t>
      </w:r>
      <w:proofErr w:type="spellEnd"/>
      <w:r>
        <w:rPr>
          <w:rtl/>
        </w:rPr>
        <w:t xml:space="preserve"> יען כי מאד רפה </w:t>
      </w:r>
      <w:proofErr w:type="spellStart"/>
      <w:r>
        <w:rPr>
          <w:rtl/>
        </w:rPr>
        <w:t>כח</w:t>
      </w:r>
      <w:proofErr w:type="spellEnd"/>
      <w:r>
        <w:rPr>
          <w:rtl/>
        </w:rPr>
        <w:t xml:space="preserve"> אנכי ומוכרח להיות זהיר מכל תנועה כבדה </w:t>
      </w:r>
      <w:proofErr w:type="spellStart"/>
      <w:r>
        <w:rPr>
          <w:rtl/>
        </w:rPr>
        <w:t>המיגעת</w:t>
      </w:r>
      <w:proofErr w:type="spellEnd"/>
      <w:r>
        <w:rPr>
          <w:rtl/>
        </w:rPr>
        <w:t xml:space="preserve">, וגם לפרקים תכופים יאחזני חולשה ודפיקת הלב אשר יפרפרני </w:t>
      </w:r>
      <w:proofErr w:type="spellStart"/>
      <w:r>
        <w:rPr>
          <w:rtl/>
        </w:rPr>
        <w:t>ואשאר</w:t>
      </w:r>
      <w:proofErr w:type="spellEnd"/>
      <w:r>
        <w:rPr>
          <w:rtl/>
        </w:rPr>
        <w:t xml:space="preserve"> באין אונים, ד׳ ירחם עלי לחזקני ולאמצני להשיבני לאיתני, ואולם כי </w:t>
      </w:r>
      <w:r>
        <w:rPr>
          <w:b/>
          <w:bCs/>
          <w:rtl/>
        </w:rPr>
        <w:t xml:space="preserve">מרן גאון ישראל </w:t>
      </w:r>
      <w:proofErr w:type="spellStart"/>
      <w:r>
        <w:rPr>
          <w:b/>
          <w:bCs/>
          <w:rtl/>
        </w:rPr>
        <w:t>וקדושו</w:t>
      </w:r>
      <w:proofErr w:type="spellEnd"/>
      <w:r>
        <w:rPr>
          <w:b/>
          <w:bCs/>
          <w:rtl/>
        </w:rPr>
        <w:t xml:space="preserve"> </w:t>
      </w:r>
      <w:proofErr w:type="spellStart"/>
      <w:r>
        <w:rPr>
          <w:b/>
          <w:bCs/>
          <w:rtl/>
        </w:rPr>
        <w:t>שליט״א</w:t>
      </w:r>
      <w:proofErr w:type="spellEnd"/>
      <w:r>
        <w:rPr>
          <w:b/>
          <w:bCs/>
          <w:rtl/>
        </w:rPr>
        <w:t xml:space="preserve"> לא יאבה לנסוע בלעדי</w:t>
      </w:r>
      <w:r>
        <w:rPr>
          <w:rtl/>
        </w:rPr>
        <w:t xml:space="preserve">, ואדע עד כמה השפעתו על </w:t>
      </w:r>
      <w:proofErr w:type="spellStart"/>
      <w:r>
        <w:rPr>
          <w:rtl/>
        </w:rPr>
        <w:t>האסיפה</w:t>
      </w:r>
      <w:proofErr w:type="spellEnd"/>
      <w:r>
        <w:rPr>
          <w:rtl/>
        </w:rPr>
        <w:t xml:space="preserve"> נחוצה, שהוא יהי׳ הרוח החי’, ובתבונתו </w:t>
      </w:r>
      <w:proofErr w:type="spellStart"/>
      <w:r>
        <w:rPr>
          <w:rtl/>
        </w:rPr>
        <w:t>וחכמתו</w:t>
      </w:r>
      <w:proofErr w:type="spellEnd"/>
      <w:r>
        <w:rPr>
          <w:rtl/>
        </w:rPr>
        <w:t xml:space="preserve"> הרבה </w:t>
      </w:r>
      <w:proofErr w:type="spellStart"/>
      <w:r>
        <w:rPr>
          <w:rtl/>
        </w:rPr>
        <w:t>המקפת</w:t>
      </w:r>
      <w:proofErr w:type="spellEnd"/>
      <w:r>
        <w:rPr>
          <w:rtl/>
        </w:rPr>
        <w:t xml:space="preserve"> כל דבר </w:t>
      </w:r>
      <w:proofErr w:type="spellStart"/>
      <w:r>
        <w:rPr>
          <w:rtl/>
        </w:rPr>
        <w:t>ויחקר</w:t>
      </w:r>
      <w:proofErr w:type="spellEnd"/>
      <w:r>
        <w:rPr>
          <w:rtl/>
        </w:rPr>
        <w:t xml:space="preserve"> עד עומקה ישמור שלא יוצא דבר שאין מתוקן כל צרכו, וגם כל אחב״י בכל מקומות מושבותיהם החרדים אשר לשמו וזכרו יאמרו קדוש כי מדעתו הגדולה </w:t>
      </w:r>
      <w:proofErr w:type="spellStart"/>
      <w:r>
        <w:rPr>
          <w:rtl/>
        </w:rPr>
        <w:t>נתאשר</w:t>
      </w:r>
      <w:proofErr w:type="spellEnd"/>
      <w:r>
        <w:rPr>
          <w:rtl/>
        </w:rPr>
        <w:t xml:space="preserve"> ימשכו אחריו </w:t>
      </w:r>
      <w:proofErr w:type="spellStart"/>
      <w:r>
        <w:rPr>
          <w:rtl/>
        </w:rPr>
        <w:t>ויתן</w:t>
      </w:r>
      <w:proofErr w:type="spellEnd"/>
      <w:r>
        <w:rPr>
          <w:rtl/>
        </w:rPr>
        <w:t xml:space="preserve"> יד לאגודה הזאת, ואם לא יופיע בהדרו </w:t>
      </w:r>
      <w:proofErr w:type="spellStart"/>
      <w:r>
        <w:rPr>
          <w:rtl/>
        </w:rPr>
        <w:t>יקח</w:t>
      </w:r>
      <w:proofErr w:type="spellEnd"/>
      <w:r>
        <w:rPr>
          <w:rtl/>
        </w:rPr>
        <w:t xml:space="preserve"> הדבר צורה אחרת וגם מי יודע עד כמה יעבטון </w:t>
      </w:r>
      <w:proofErr w:type="spellStart"/>
      <w:r>
        <w:rPr>
          <w:rtl/>
        </w:rPr>
        <w:t>ארחות</w:t>
      </w:r>
      <w:bookmarkStart w:id="6169" w:name="_fnr4625"/>
      <w:proofErr w:type="spellEnd"/>
      <w:r>
        <w:rPr>
          <w:rStyle w:val="a5"/>
        </w:rPr>
        <w:footnoteReference w:id="4636" w:customMarkFollows="0"/>
      </w:r>
      <w:bookmarkEnd w:id="6169"/>
      <w:r>
        <w:rPr>
          <w:rtl/>
        </w:rPr>
        <w:t xml:space="preserve">, אשר רוב החרדים יעמדו מרחוק, זאת הביאני להבליג </w:t>
      </w:r>
      <w:proofErr w:type="spellStart"/>
      <w:r>
        <w:rPr>
          <w:rtl/>
        </w:rPr>
        <w:t>ואאות</w:t>
      </w:r>
      <w:proofErr w:type="spellEnd"/>
      <w:r>
        <w:rPr>
          <w:rtl/>
        </w:rPr>
        <w:t xml:space="preserve"> למען כבוד השי״ת </w:t>
      </w:r>
      <w:r>
        <w:rPr>
          <w:b/>
          <w:bCs/>
          <w:rtl/>
        </w:rPr>
        <w:t xml:space="preserve">לחזק </w:t>
      </w:r>
      <w:proofErr w:type="spellStart"/>
      <w:r>
        <w:rPr>
          <w:b/>
          <w:bCs/>
          <w:rtl/>
        </w:rPr>
        <w:t>דתהי״ק</w:t>
      </w:r>
      <w:proofErr w:type="spellEnd"/>
      <w:r>
        <w:rPr>
          <w:rtl/>
        </w:rPr>
        <w:t xml:space="preserve"> (ההדגשות שלי) לקחת גם אנכי חלק </w:t>
      </w:r>
      <w:proofErr w:type="spellStart"/>
      <w:r>
        <w:rPr>
          <w:rtl/>
        </w:rPr>
        <w:t>בהאסיפה</w:t>
      </w:r>
      <w:proofErr w:type="spellEnd"/>
      <w:r>
        <w:rPr>
          <w:rtl/>
        </w:rPr>
        <w:t xml:space="preserve">, </w:t>
      </w:r>
      <w:proofErr w:type="spellStart"/>
      <w:r>
        <w:rPr>
          <w:rtl/>
        </w:rPr>
        <w:t>וליסע</w:t>
      </w:r>
      <w:proofErr w:type="spellEnd"/>
      <w:r>
        <w:rPr>
          <w:rtl/>
        </w:rPr>
        <w:t xml:space="preserve"> בצוותא </w:t>
      </w:r>
      <w:proofErr w:type="spellStart"/>
      <w:r>
        <w:rPr>
          <w:rtl/>
        </w:rPr>
        <w:t>בסימא</w:t>
      </w:r>
      <w:proofErr w:type="spellEnd"/>
      <w:r>
        <w:rPr>
          <w:rtl/>
        </w:rPr>
        <w:t xml:space="preserve"> עם מרן הגאון </w:t>
      </w:r>
      <w:proofErr w:type="spellStart"/>
      <w:r>
        <w:rPr>
          <w:rtl/>
        </w:rPr>
        <w:t>שליט״א</w:t>
      </w:r>
      <w:proofErr w:type="spellEnd"/>
      <w:r>
        <w:rPr>
          <w:rtl/>
        </w:rPr>
        <w:t>.</w:t>
      </w:r>
    </w:p>
    <w:p w14:paraId="554165BC" w14:textId="77777777" w:rsidR="00AB3647" w:rsidRDefault="00000000" w:rsidP="007923E9">
      <w:pPr>
        <w:spacing w:after="100" w:line="276" w:lineRule="auto"/>
        <w:ind w:firstLine="340"/>
        <w:jc w:val="both"/>
      </w:pPr>
      <w:r>
        <w:rPr>
          <w:rtl/>
        </w:rPr>
        <w:t>“</w:t>
      </w:r>
      <w:proofErr w:type="spellStart"/>
      <w:r>
        <w:rPr>
          <w:rtl/>
        </w:rPr>
        <w:t>שעפ״ז</w:t>
      </w:r>
      <w:proofErr w:type="spellEnd"/>
      <w:r>
        <w:rPr>
          <w:rtl/>
        </w:rPr>
        <w:t xml:space="preserve"> נתתי לכ״ג הרמה </w:t>
      </w:r>
      <w:proofErr w:type="spellStart"/>
      <w:r>
        <w:rPr>
          <w:rtl/>
        </w:rPr>
        <w:t>שליט״א</w:t>
      </w:r>
      <w:proofErr w:type="spellEnd"/>
      <w:r>
        <w:rPr>
          <w:rtl/>
        </w:rPr>
        <w:t xml:space="preserve"> </w:t>
      </w:r>
      <w:proofErr w:type="spellStart"/>
      <w:r>
        <w:rPr>
          <w:rtl/>
        </w:rPr>
        <w:t>ט״ג</w:t>
      </w:r>
      <w:proofErr w:type="spellEnd"/>
      <w:r>
        <w:rPr>
          <w:rtl/>
        </w:rPr>
        <w:t xml:space="preserve"> לבשרו זה. קראתי ממכתבו עד כמה מצטער ונכנס בעובי הקורה, וכן נתתי </w:t>
      </w:r>
      <w:proofErr w:type="spellStart"/>
      <w:r>
        <w:rPr>
          <w:rtl/>
        </w:rPr>
        <w:t>ט״ג</w:t>
      </w:r>
      <w:proofErr w:type="spellEnd"/>
      <w:r>
        <w:rPr>
          <w:rtl/>
        </w:rPr>
        <w:t xml:space="preserve"> </w:t>
      </w:r>
      <w:proofErr w:type="spellStart"/>
      <w:r>
        <w:rPr>
          <w:rtl/>
        </w:rPr>
        <w:t>לקאוונא</w:t>
      </w:r>
      <w:proofErr w:type="spellEnd"/>
      <w:r>
        <w:rPr>
          <w:rtl/>
        </w:rPr>
        <w:t xml:space="preserve"> </w:t>
      </w:r>
      <w:proofErr w:type="spellStart"/>
      <w:r>
        <w:rPr>
          <w:rtl/>
        </w:rPr>
        <w:t>לר״י</w:t>
      </w:r>
      <w:proofErr w:type="spellEnd"/>
      <w:r>
        <w:rPr>
          <w:rtl/>
        </w:rPr>
        <w:t xml:space="preserve"> [ר׳ יעקב הלוי] ליפשיץ להודיע כי נכונים אנחנו בע״ה לנסוע </w:t>
      </w:r>
      <w:proofErr w:type="spellStart"/>
      <w:r>
        <w:rPr>
          <w:rtl/>
        </w:rPr>
        <w:t>לקאטויץ</w:t>
      </w:r>
      <w:proofErr w:type="spellEnd"/>
      <w:r>
        <w:rPr>
          <w:rtl/>
        </w:rPr>
        <w:t>, למען יחדל מלעשות הוצ׳ לבוא הנה [</w:t>
      </w:r>
      <w:proofErr w:type="spellStart"/>
      <w:r>
        <w:rPr>
          <w:rtl/>
        </w:rPr>
        <w:t>לבריסק</w:t>
      </w:r>
      <w:proofErr w:type="spellEnd"/>
      <w:r>
        <w:rPr>
          <w:rtl/>
        </w:rPr>
        <w:t xml:space="preserve"> כדי לשכנענו].”</w:t>
      </w:r>
    </w:p>
    <w:bookmarkStart w:id="6170" w:name="b5_note79"/>
    <w:p w14:paraId="48E8CBBE" w14:textId="22101D7A" w:rsidR="00AB3647" w:rsidRDefault="00000000" w:rsidP="007923E9">
      <w:pPr>
        <w:spacing w:before="120" w:after="100" w:line="276" w:lineRule="auto"/>
        <w:jc w:val="both"/>
      </w:pPr>
      <w:r>
        <w:fldChar w:fldCharType="begin" w:dirty="true"/>
      </w:r>
      <w:r>
        <w:instrText>HYPERLINK \l "b5_ref79"</w:instrText>
      </w:r>
      <w:r>
        <w:fldChar w:fldCharType="separate"/>
      </w:r>
      <w:r>
        <w:rPr>
          <w:b/>
          <w:bCs/>
          <w:rtl/>
        </w:rPr>
        <w:t>79</w:t>
      </w:r>
      <w:r>
        <w:rPr>
          <w:b/>
          <w:bCs/>
        </w:rPr>
        <w:fldChar w:fldCharType="end"/>
      </w:r>
      <w:bookmarkEnd w:id="6170"/>
      <w:r>
        <w:rPr>
          <w:rtl/>
        </w:rPr>
        <w:t xml:space="preserve"> השווה פרק 3, ראשית </w:t>
      </w:r>
      <w:r>
        <w:rPr>
          <w:rtl/>
        </w:rPr>
        <w:fldChar w:fldCharType="begin" w:dirty="true"/>
      </w:r>
      <w:r>
        <w:rPr>
          <w:rtl/>
        </w:rPr>
        <w:instrText xml:space="preserve"> REF b3_excJ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w:t>
      </w:r>
      <w:r>
        <w:rPr>
          <w:rtl/>
        </w:rPr>
        <w:fldChar w:fldCharType="end"/>
      </w:r>
      <w:r>
        <w:rPr>
          <w:rtl/>
        </w:rPr>
        <w:t>, על זהותה של הרבנית.</w:t>
      </w:r>
    </w:p>
    <w:p w14:paraId="25DD1ED4" w14:textId="5F4783E5"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lastRenderedPageBreak/>
        <w:t xml:space="preserve">ר׳ חיים הפנה את ראשו מצד לצד, </w:t>
      </w:r>
      <w:proofErr w:type="spellStart"/>
      <w:r>
        <w:rPr>
          <w:rtl/>
        </w:rPr>
        <w:t>וב“נו</w:t>
      </w:r>
      <w:proofErr w:type="spellEnd"/>
      <w:r>
        <w:rPr>
          <w:rtl/>
        </w:rPr>
        <w:t xml:space="preserve">, נו” ביקש מן הנכבדים שאחד מהם יתנדב. כולם התביישו, עד שר׳ </w:t>
      </w:r>
      <w:proofErr w:type="spellStart"/>
      <w:r>
        <w:rPr>
          <w:rtl/>
        </w:rPr>
        <w:t>משה־מרדכי</w:t>
      </w:r>
      <w:proofErr w:type="spellEnd"/>
      <w:r>
        <w:rPr>
          <w:rtl/>
        </w:rPr>
        <w:t xml:space="preserve"> אזר עוז ואמר: “אני אדבר”, ור׳ חיים השיב: “נו, נשמע”. אז נשא ראש ישיבת כנסת ישראל דבר תורה קצר לפני מי שהיה רבו בוולוז׳ין</w:t>
      </w:r>
      <w:bookmarkStart w:id="6171" w:name="b5_ref80"/>
      <w:bookmarkEnd w:id="6171"/>
      <w:r>
        <w:rPr>
          <w:vertAlign w:val="superscript"/>
          <w:rtl/>
        </w:rPr>
        <w:fldChar w:fldCharType="begin" w:dirty="true"/>
      </w:r>
      <w:r>
        <w:rPr>
          <w:vertAlign w:val="superscript"/>
          <w:rtl/>
        </w:rPr>
        <w:instrText xml:space="preserve"> REF b5_note80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80</w:t>
      </w:r>
      <w:r>
        <w:rPr>
          <w:vertAlign w:val="superscript"/>
          <w:rtl/>
        </w:rPr>
        <w:fldChar w:fldCharType="end"/>
      </w:r>
      <w:r>
        <w:rPr>
          <w:rtl/>
        </w:rPr>
        <w:t>.</w:t>
      </w:r>
    </w:p>
    <w:bookmarkStart w:id="6172" w:name="b5_note80"/>
    <w:p w14:paraId="2EF46696" w14:textId="559BD955" w:rsidR="00AB3647" w:rsidRDefault="00000000" w:rsidP="007923E9">
      <w:pPr>
        <w:spacing w:before="120" w:after="100" w:line="276" w:lineRule="auto"/>
        <w:jc w:val="both"/>
      </w:pPr>
      <w:r>
        <w:fldChar w:fldCharType="begin" w:dirty="true"/>
      </w:r>
      <w:r>
        <w:instrText>HYPERLINK \l "b5_ref80"</w:instrText>
      </w:r>
      <w:r>
        <w:fldChar w:fldCharType="separate"/>
      </w:r>
      <w:r>
        <w:rPr>
          <w:b/>
          <w:bCs/>
          <w:rtl/>
        </w:rPr>
        <w:t>80</w:t>
      </w:r>
      <w:r>
        <w:rPr>
          <w:b/>
          <w:bCs/>
        </w:rPr>
        <w:fldChar w:fldCharType="end"/>
      </w:r>
      <w:bookmarkEnd w:id="6172"/>
      <w:r>
        <w:rPr>
          <w:rtl/>
        </w:rPr>
        <w:t xml:space="preserve"> השווה פרק 3, </w:t>
      </w:r>
      <w:r>
        <w:rPr>
          <w:rtl/>
        </w:rPr>
        <w:fldChar w:fldCharType="begin" w:dirty="true"/>
      </w:r>
      <w:r>
        <w:rPr>
          <w:rtl/>
        </w:rPr>
        <w:instrText xml:space="preserve"> REF b3_excJ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w:t>
      </w:r>
      <w:r>
        <w:rPr>
          <w:rtl/>
        </w:rPr>
        <w:fldChar w:fldCharType="end"/>
      </w:r>
      <w:r>
        <w:rPr>
          <w:rtl/>
        </w:rPr>
        <w:t>.</w:t>
      </w:r>
    </w:p>
    <w:p w14:paraId="71104B7A" w14:textId="56ED765B"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בשבת ראש חודש התארח ר׳ חיים בבית רבה של קובנה, ר׳ </w:t>
      </w:r>
      <w:proofErr w:type="spellStart"/>
      <w:r>
        <w:rPr>
          <w:rtl/>
        </w:rPr>
        <w:t>צבי־הירש</w:t>
      </w:r>
      <w:proofErr w:type="spellEnd"/>
      <w:r>
        <w:rPr>
          <w:rtl/>
        </w:rPr>
        <w:t xml:space="preserve"> רבינוביץ</w:t>
      </w:r>
      <w:bookmarkStart w:id="6173" w:name="b5_ref81"/>
      <w:bookmarkEnd w:id="6173"/>
      <w:r>
        <w:rPr>
          <w:vertAlign w:val="superscript"/>
          <w:rtl/>
        </w:rPr>
        <w:fldChar w:fldCharType="begin" w:dirty="true"/>
      </w:r>
      <w:r>
        <w:rPr>
          <w:vertAlign w:val="superscript"/>
          <w:rtl/>
        </w:rPr>
        <w:instrText xml:space="preserve"> REF b5_note81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81</w:t>
      </w:r>
      <w:r>
        <w:rPr>
          <w:vertAlign w:val="superscript"/>
          <w:rtl/>
        </w:rPr>
        <w:fldChar w:fldCharType="end"/>
      </w:r>
      <w:r>
        <w:rPr>
          <w:rtl/>
        </w:rPr>
        <w:t xml:space="preserve">. סופת שלגים השתוללה, אבל קבוצת תלמידים, שהשתוקקו לשמוע עוד מילה מפי ר׳ חיים הדגול, עברה </w:t>
      </w:r>
      <w:proofErr w:type="spellStart"/>
      <w:r>
        <w:rPr>
          <w:rtl/>
        </w:rPr>
        <w:t>מסלבודקה</w:t>
      </w:r>
      <w:proofErr w:type="spellEnd"/>
      <w:r>
        <w:rPr>
          <w:rtl/>
        </w:rPr>
        <w:t xml:space="preserve"> כדי להשתתף בתפילה בבית הכנסת הראשי של קובנה, שבו התפלל הרב. ואולם ר׳ חיים, שהיה רגיל לשמור על בריאותו ונתון להשגחת ר׳ יעקב ליפשיץ, לא העז לצאת במזג אוויר כזה לבית הכנסת עם מארחו, ובאותה שבת נשאר בבית.</w:t>
      </w:r>
    </w:p>
    <w:bookmarkStart w:id="6174" w:name="b5_note81"/>
    <w:p w14:paraId="192C6FFF" w14:textId="6EE27126" w:rsidR="00AB3647" w:rsidRDefault="00000000" w:rsidP="007923E9">
      <w:pPr>
        <w:spacing w:before="120" w:after="100" w:line="276" w:lineRule="auto"/>
        <w:jc w:val="both"/>
      </w:pPr>
      <w:r>
        <w:fldChar w:fldCharType="begin" w:dirty="true"/>
      </w:r>
      <w:r>
        <w:instrText>HYPERLINK \l "b5_ref81"</w:instrText>
      </w:r>
      <w:r>
        <w:fldChar w:fldCharType="separate"/>
      </w:r>
      <w:r>
        <w:rPr>
          <w:b/>
          <w:bCs/>
          <w:rtl/>
        </w:rPr>
        <w:t>81</w:t>
      </w:r>
      <w:r>
        <w:rPr>
          <w:b/>
          <w:bCs/>
        </w:rPr>
        <w:fldChar w:fldCharType="end"/>
      </w:r>
      <w:bookmarkEnd w:id="6174"/>
      <w:r>
        <w:rPr>
          <w:rtl/>
        </w:rPr>
        <w:t xml:space="preserve"> השווה פרק 3, </w:t>
      </w:r>
      <w:r>
        <w:rPr>
          <w:rtl/>
        </w:rPr>
        <w:fldChar w:fldCharType="begin" w:dirty="true"/>
      </w:r>
      <w:r>
        <w:rPr>
          <w:rtl/>
        </w:rPr>
        <w:instrText xml:space="preserve"> REF b3_excL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יב</w:t>
      </w:r>
      <w:proofErr w:type="spellEnd"/>
      <w:r>
        <w:rPr>
          <w:rtl/>
        </w:rPr>
        <w:fldChar w:fldCharType="end"/>
      </w:r>
      <w:r>
        <w:rPr>
          <w:rtl/>
        </w:rPr>
        <w:t xml:space="preserve">, על ההערכה הרבה שרחש ר׳ חיים </w:t>
      </w:r>
      <w:proofErr w:type="spellStart"/>
      <w:r>
        <w:rPr>
          <w:rtl/>
        </w:rPr>
        <w:t>לר</w:t>
      </w:r>
      <w:proofErr w:type="spellEnd"/>
      <w:r>
        <w:rPr>
          <w:rtl/>
        </w:rPr>
        <w:t xml:space="preserve">׳ </w:t>
      </w:r>
      <w:proofErr w:type="spellStart"/>
      <w:r>
        <w:rPr>
          <w:rtl/>
        </w:rPr>
        <w:t>צבי־הירש</w:t>
      </w:r>
      <w:proofErr w:type="spellEnd"/>
      <w:r>
        <w:rPr>
          <w:rtl/>
        </w:rPr>
        <w:t>.</w:t>
      </w:r>
    </w:p>
    <w:p w14:paraId="58D15A09" w14:textId="3853635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הבחורים המתינו עד שהרב ישוב לביתו בתום התפילה, והלכו אחריו לשם. עד שדשדשו אל תוך הבית כבר היו מכוסים שלג – אבל בית של רב לעולם אינו נעול בפני הבאים. מארח נרגז קידם את פניהם בשאלה בגרמנית־יידיש</w:t>
      </w:r>
      <w:bookmarkStart w:id="6175" w:name="b5_ref82"/>
      <w:bookmarkEnd w:id="6175"/>
      <w:r>
        <w:rPr>
          <w:vertAlign w:val="superscript"/>
          <w:rtl/>
        </w:rPr>
        <w:fldChar w:fldCharType="begin" w:dirty="true"/>
      </w:r>
      <w:r>
        <w:rPr>
          <w:vertAlign w:val="superscript"/>
          <w:rtl/>
        </w:rPr>
        <w:instrText xml:space="preserve"> REF b5_note82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82</w:t>
      </w:r>
      <w:r>
        <w:rPr>
          <w:vertAlign w:val="superscript"/>
          <w:rtl/>
        </w:rPr>
        <w:fldChar w:fldCharType="end"/>
      </w:r>
      <w:r>
        <w:rPr>
          <w:rtl/>
        </w:rPr>
        <w:t>: “</w:t>
      </w:r>
      <w:proofErr w:type="spellStart"/>
      <w:r>
        <w:rPr>
          <w:rtl/>
        </w:rPr>
        <w:t>וארום</w:t>
      </w:r>
      <w:proofErr w:type="spellEnd"/>
      <w:r>
        <w:rPr>
          <w:rtl/>
        </w:rPr>
        <w:t xml:space="preserve"> </w:t>
      </w:r>
      <w:proofErr w:type="spellStart"/>
      <w:r>
        <w:rPr>
          <w:rtl/>
        </w:rPr>
        <w:t>ברינגען</w:t>
      </w:r>
      <w:proofErr w:type="spellEnd"/>
      <w:r>
        <w:rPr>
          <w:rtl/>
        </w:rPr>
        <w:t xml:space="preserve"> זי </w:t>
      </w:r>
      <w:proofErr w:type="spellStart"/>
      <w:r>
        <w:rPr>
          <w:rtl/>
        </w:rPr>
        <w:t>העריין</w:t>
      </w:r>
      <w:proofErr w:type="spellEnd"/>
      <w:r>
        <w:rPr>
          <w:rtl/>
        </w:rPr>
        <w:t xml:space="preserve"> </w:t>
      </w:r>
      <w:proofErr w:type="spellStart"/>
      <w:r>
        <w:rPr>
          <w:rtl/>
        </w:rPr>
        <w:t>דעם</w:t>
      </w:r>
      <w:proofErr w:type="spellEnd"/>
      <w:r>
        <w:rPr>
          <w:rtl/>
        </w:rPr>
        <w:t xml:space="preserve"> </w:t>
      </w:r>
      <w:proofErr w:type="spellStart"/>
      <w:r>
        <w:rPr>
          <w:rtl/>
        </w:rPr>
        <w:t>שניי</w:t>
      </w:r>
      <w:proofErr w:type="spellEnd"/>
      <w:r>
        <w:rPr>
          <w:rtl/>
        </w:rPr>
        <w:t xml:space="preserve"> [מדוע אתם מכניסים פנימה את השלג]?” הם השיבו בגלוי: “באנו לראות את הרב מבריסק”</w:t>
      </w:r>
      <w:bookmarkStart w:id="6176" w:name="b5_ref83"/>
      <w:bookmarkEnd w:id="6176"/>
      <w:r>
        <w:rPr>
          <w:vertAlign w:val="superscript"/>
          <w:rtl/>
        </w:rPr>
        <w:fldChar w:fldCharType="begin" w:dirty="true"/>
      </w:r>
      <w:r>
        <w:rPr>
          <w:vertAlign w:val="superscript"/>
          <w:rtl/>
        </w:rPr>
        <w:instrText xml:space="preserve"> REF b5_note83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83</w:t>
      </w:r>
      <w:r>
        <w:rPr>
          <w:vertAlign w:val="superscript"/>
          <w:rtl/>
        </w:rPr>
        <w:fldChar w:fldCharType="end"/>
      </w:r>
      <w:r>
        <w:rPr>
          <w:rtl/>
        </w:rPr>
        <w:t>. האורח שמע מן החדר הפנימי את ההמולה ואת חילופי הדברים, ויצא כשהוא אומר: “</w:t>
      </w:r>
      <w:proofErr w:type="spellStart"/>
      <w:r>
        <w:rPr>
          <w:rtl/>
        </w:rPr>
        <w:t>גוט</w:t>
      </w:r>
      <w:proofErr w:type="spellEnd"/>
      <w:r>
        <w:rPr>
          <w:rtl/>
        </w:rPr>
        <w:t xml:space="preserve"> שבת, </w:t>
      </w:r>
      <w:proofErr w:type="spellStart"/>
      <w:r>
        <w:rPr>
          <w:rtl/>
        </w:rPr>
        <w:t>גוט</w:t>
      </w:r>
      <w:proofErr w:type="spellEnd"/>
      <w:r>
        <w:rPr>
          <w:rtl/>
        </w:rPr>
        <w:t xml:space="preserve"> שבת. נו, באתם לראות, אז תראו: א </w:t>
      </w:r>
      <w:proofErr w:type="spellStart"/>
      <w:r>
        <w:rPr>
          <w:rtl/>
        </w:rPr>
        <w:t>פשוטער</w:t>
      </w:r>
      <w:proofErr w:type="spellEnd"/>
      <w:r>
        <w:rPr>
          <w:rtl/>
        </w:rPr>
        <w:t xml:space="preserve"> מענטש (אדם פשוט), א </w:t>
      </w:r>
      <w:proofErr w:type="spellStart"/>
      <w:r>
        <w:rPr>
          <w:rtl/>
        </w:rPr>
        <w:t>פשוטער</w:t>
      </w:r>
      <w:proofErr w:type="spellEnd"/>
      <w:r>
        <w:rPr>
          <w:rtl/>
        </w:rPr>
        <w:t xml:space="preserve"> מענטש</w:t>
      </w:r>
      <w:bookmarkStart w:id="6177" w:name="b5_ref84"/>
      <w:bookmarkEnd w:id="6177"/>
      <w:r>
        <w:rPr>
          <w:vertAlign w:val="superscript"/>
          <w:rtl/>
        </w:rPr>
        <w:fldChar w:fldCharType="begin" w:dirty="true"/>
      </w:r>
      <w:r>
        <w:rPr>
          <w:vertAlign w:val="superscript"/>
          <w:rtl/>
        </w:rPr>
        <w:instrText xml:space="preserve"> REF b5_note84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84</w:t>
      </w:r>
      <w:r>
        <w:rPr>
          <w:vertAlign w:val="superscript"/>
          <w:rtl/>
        </w:rPr>
        <w:fldChar w:fldCharType="end"/>
      </w:r>
      <w:r>
        <w:rPr>
          <w:rtl/>
        </w:rPr>
        <w:t xml:space="preserve">”. הם אזרו אומץ וביקשו ממנו לומר להם דבר תורה. רבה טוב הלב של </w:t>
      </w:r>
      <w:proofErr w:type="spellStart"/>
      <w:r>
        <w:rPr>
          <w:rtl/>
        </w:rPr>
        <w:t>בריסק</w:t>
      </w:r>
      <w:proofErr w:type="spellEnd"/>
      <w:r>
        <w:rPr>
          <w:rtl/>
        </w:rPr>
        <w:t xml:space="preserve"> נענה ואמר דבר קצר, בהיר וחריף</w:t>
      </w:r>
      <w:bookmarkStart w:id="6178" w:name="b5_ref85"/>
      <w:bookmarkEnd w:id="6178"/>
      <w:r>
        <w:rPr>
          <w:vertAlign w:val="superscript"/>
          <w:rtl/>
        </w:rPr>
        <w:fldChar w:fldCharType="begin" w:dirty="true"/>
      </w:r>
      <w:r>
        <w:rPr>
          <w:vertAlign w:val="superscript"/>
          <w:rtl/>
        </w:rPr>
        <w:instrText xml:space="preserve"> REF b5_note85 \h \* CHARFORMAT </w:instrText>
      </w:r>
      <w:r>
        <w:rPr>
          <w:vertAlign w:val="superscript"/>
          <w:rtl/>
        </w:rPr>
      </w:r>
      <w:r w:rsidR="007923E9">
        <w:rPr>
          <w:vertAlign w:val="superscript"/>
          <w:rtl/>
        </w:rPr>
        <w:instrText xml:space="preserve"> \* </w:instrText>
      </w:r>
      <w:r w:rsidR="007923E9">
        <w:rPr>
          <w:vertAlign w:val="superscript"/>
        </w:rPr>
        <w:instrText>MERGEFORMAT</w:instrText>
      </w:r>
      <w:r w:rsidR="007923E9">
        <w:rPr>
          <w:vertAlign w:val="superscript"/>
          <w:rtl/>
        </w:rPr>
        <w:instrText xml:space="preserve"> </w:instrText>
      </w:r>
      <w:r>
        <w:rPr>
          <w:vertAlign w:val="superscript"/>
          <w:rtl/>
        </w:rPr>
        <w:fldChar w:fldCharType="separate"/>
      </w:r>
      <w:r w:rsidR="007923E9" w:rsidRPr="007923E9">
        <w:rPr>
          <w:vertAlign w:val="superscript"/>
          <w:rtl/>
        </w:rPr>
        <w:t>85</w:t>
      </w:r>
      <w:r>
        <w:rPr>
          <w:vertAlign w:val="superscript"/>
          <w:rtl/>
        </w:rPr>
        <w:fldChar w:fldCharType="end"/>
      </w:r>
      <w:r>
        <w:rPr>
          <w:rtl/>
        </w:rPr>
        <w:t>, והם הלכו.</w:t>
      </w:r>
    </w:p>
    <w:bookmarkStart w:id="6179" w:name="b5_note82"/>
    <w:p w14:paraId="7277E149" w14:textId="77777777" w:rsidR="00AB3647" w:rsidRDefault="00000000" w:rsidP="007923E9">
      <w:pPr>
        <w:spacing w:before="120" w:after="100" w:line="276" w:lineRule="auto"/>
        <w:jc w:val="both"/>
      </w:pPr>
      <w:r>
        <w:fldChar w:fldCharType="begin" w:dirty="true"/>
      </w:r>
      <w:r>
        <w:instrText>HYPERLINK \l "b5_ref82"</w:instrText>
      </w:r>
      <w:r>
        <w:fldChar w:fldCharType="separate"/>
      </w:r>
      <w:r>
        <w:rPr>
          <w:b/>
          <w:bCs/>
          <w:rtl/>
        </w:rPr>
        <w:t>82</w:t>
      </w:r>
      <w:r>
        <w:rPr>
          <w:b/>
          <w:bCs/>
        </w:rPr>
        <w:fldChar w:fldCharType="end"/>
      </w:r>
      <w:bookmarkEnd w:id="6179"/>
      <w:r>
        <w:rPr>
          <w:rtl/>
        </w:rPr>
        <w:t xml:space="preserve"> הוא כיהן ברבנות </w:t>
      </w:r>
      <w:proofErr w:type="spellStart"/>
      <w:r>
        <w:rPr>
          <w:rtl/>
        </w:rPr>
        <w:t>מיטאו</w:t>
      </w:r>
      <w:proofErr w:type="spellEnd"/>
      <w:r>
        <w:rPr>
          <w:rtl/>
        </w:rPr>
        <w:t xml:space="preserve"> </w:t>
      </w:r>
      <w:proofErr w:type="spellStart"/>
      <w:r>
        <w:rPr>
          <w:rtl/>
        </w:rPr>
        <w:t>שבקורלנד</w:t>
      </w:r>
      <w:proofErr w:type="spellEnd"/>
      <w:r>
        <w:rPr>
          <w:rtl/>
        </w:rPr>
        <w:t xml:space="preserve"> </w:t>
      </w:r>
      <w:proofErr w:type="spellStart"/>
      <w:r>
        <w:rPr>
          <w:rtl/>
        </w:rPr>
        <w:t>המגורמנת</w:t>
      </w:r>
      <w:proofErr w:type="spellEnd"/>
      <w:r>
        <w:rPr>
          <w:rtl/>
        </w:rPr>
        <w:t xml:space="preserve"> שבע שנים, החל </w:t>
      </w:r>
      <w:proofErr w:type="spellStart"/>
      <w:r>
        <w:rPr>
          <w:rtl/>
        </w:rPr>
        <w:t>בתרמ״ב</w:t>
      </w:r>
      <w:proofErr w:type="spellEnd"/>
      <w:r>
        <w:rPr>
          <w:rtl/>
        </w:rPr>
        <w:t xml:space="preserve">, ואחר כך נעשה המגיד של וילנה במקום ר׳ </w:t>
      </w:r>
      <w:proofErr w:type="spellStart"/>
      <w:r>
        <w:rPr>
          <w:rtl/>
        </w:rPr>
        <w:t>יעקב־יוסף</w:t>
      </w:r>
      <w:proofErr w:type="spellEnd"/>
      <w:r>
        <w:rPr>
          <w:rtl/>
        </w:rPr>
        <w:t>, שנתמנה לרב הראשי של ניו יורק. “בתחילה היו [תושבי וילנה] בלתי מרוצים כלל מדרשותיו החדשניות – שהיה נוטל מאמר קשה של חז״ל, נותן בו ‘חיים ונשמה’, ומוציא ממנו תשובה נאותה לבעיה כלשהי של השעה – ומלשונו הגרמנית למחצה. אבל ברבות הימים התרגלו אליו עד שנעשה ‘חביב ההמונים’”</w:t>
      </w:r>
      <w:bookmarkStart w:id="6180" w:name="_fnr4626"/>
      <w:r>
        <w:rPr>
          <w:rStyle w:val="a5"/>
        </w:rPr>
        <w:footnoteReference w:id="4637" w:customMarkFollows="0"/>
      </w:r>
      <w:bookmarkEnd w:id="6180"/>
      <w:r>
        <w:rPr>
          <w:rtl/>
        </w:rPr>
        <w:t>.</w:t>
      </w:r>
    </w:p>
    <w:bookmarkStart w:id="6181" w:name="b5_note83"/>
    <w:p w14:paraId="7C0A9B70" w14:textId="77777777" w:rsidR="00AB3647" w:rsidRDefault="00000000" w:rsidP="007923E9">
      <w:pPr>
        <w:spacing w:before="120" w:after="100" w:line="276" w:lineRule="auto"/>
        <w:jc w:val="both"/>
      </w:pPr>
      <w:r>
        <w:fldChar w:fldCharType="begin" w:dirty="true"/>
      </w:r>
      <w:r>
        <w:instrText>HYPERLINK \l "b5_ref83"</w:instrText>
      </w:r>
      <w:r>
        <w:fldChar w:fldCharType="separate"/>
      </w:r>
      <w:r>
        <w:rPr>
          <w:b/>
          <w:bCs/>
          <w:rtl/>
        </w:rPr>
        <w:t>83</w:t>
      </w:r>
      <w:r>
        <w:rPr>
          <w:b/>
          <w:bCs/>
        </w:rPr>
        <w:fldChar w:fldCharType="end"/>
      </w:r>
      <w:bookmarkEnd w:id="6181"/>
      <w:r>
        <w:rPr>
          <w:rtl/>
        </w:rPr>
        <w:t xml:space="preserve"> השווה “עובדות והנהגות לבית </w:t>
      </w:r>
      <w:proofErr w:type="spellStart"/>
      <w:r>
        <w:rPr>
          <w:rtl/>
        </w:rPr>
        <w:t>בריסק</w:t>
      </w:r>
      <w:proofErr w:type="spellEnd"/>
      <w:r>
        <w:rPr>
          <w:rtl/>
        </w:rPr>
        <w:t>”</w:t>
      </w:r>
      <w:bookmarkStart w:id="6182" w:name="_fnr4627"/>
      <w:r>
        <w:rPr>
          <w:rStyle w:val="a5"/>
        </w:rPr>
        <w:footnoteReference w:id="4638" w:customMarkFollows="0"/>
      </w:r>
      <w:bookmarkEnd w:id="6182"/>
      <w:r>
        <w:rPr>
          <w:rtl/>
        </w:rPr>
        <w:t xml:space="preserve">, בשם ר׳ </w:t>
      </w:r>
      <w:proofErr w:type="spellStart"/>
      <w:r>
        <w:rPr>
          <w:rtl/>
        </w:rPr>
        <w:t>משולם־דוד</w:t>
      </w:r>
      <w:proofErr w:type="spellEnd"/>
      <w:r>
        <w:rPr>
          <w:rtl/>
        </w:rPr>
        <w:t xml:space="preserve"> </w:t>
      </w:r>
      <w:proofErr w:type="spellStart"/>
      <w:r>
        <w:rPr>
          <w:rtl/>
        </w:rPr>
        <w:t>סולובייצ׳יק</w:t>
      </w:r>
      <w:proofErr w:type="spellEnd"/>
      <w:r>
        <w:rPr>
          <w:rtl/>
        </w:rPr>
        <w:t xml:space="preserve">: ר׳ חיים ביקר אצל ר׳ </w:t>
      </w:r>
      <w:proofErr w:type="spellStart"/>
      <w:r>
        <w:rPr>
          <w:rtl/>
        </w:rPr>
        <w:t>אליהו־חיים</w:t>
      </w:r>
      <w:proofErr w:type="spellEnd"/>
      <w:r>
        <w:rPr>
          <w:rtl/>
        </w:rPr>
        <w:t xml:space="preserve"> </w:t>
      </w:r>
      <w:proofErr w:type="spellStart"/>
      <w:r>
        <w:rPr>
          <w:rtl/>
        </w:rPr>
        <w:t>מייזל</w:t>
      </w:r>
      <w:proofErr w:type="spellEnd"/>
      <w:r>
        <w:rPr>
          <w:rtl/>
        </w:rPr>
        <w:t xml:space="preserve"> בלודז׳ כמה פעמים</w:t>
      </w:r>
      <w:bookmarkStart w:id="6183" w:name="_fnr4628"/>
      <w:r>
        <w:rPr>
          <w:rStyle w:val="a5"/>
        </w:rPr>
        <w:footnoteReference w:id="4639" w:customMarkFollows="0"/>
      </w:r>
      <w:bookmarkEnd w:id="6183"/>
      <w:r>
        <w:rPr>
          <w:rtl/>
        </w:rPr>
        <w:t xml:space="preserve">, ואנשים רבים היו באים לשם לראות את ר׳ חיים. אברכים חסידיים היו עומדים ומביטים בו כל היום. כששאלם ר׳ חיים על מה הם מסתכלים, השיבו שבספרים הקדושים כתוב שהסתכלות בצדיק היא סגולה לקניית יראת </w:t>
      </w:r>
      <w:r>
        <w:rPr>
          <w:rtl/>
        </w:rPr>
        <w:lastRenderedPageBreak/>
        <w:t>שמים. אמר להם: “כתוב ‘ועמך כולם צדיקים’</w:t>
      </w:r>
      <w:bookmarkStart w:id="6184" w:name="_fnr4629"/>
      <w:r>
        <w:rPr>
          <w:rStyle w:val="a5"/>
        </w:rPr>
        <w:footnoteReference w:id="4640" w:customMarkFollows="0"/>
      </w:r>
      <w:bookmarkEnd w:id="6184"/>
      <w:r>
        <w:rPr>
          <w:rtl/>
        </w:rPr>
        <w:t>; אילו הייתם מסתכלים בעצמכם, הייתה בידכם בוודאי סגולה בדוקה להשגת יראת שמים”.</w:t>
      </w:r>
    </w:p>
    <w:p w14:paraId="3DFA0383" w14:textId="77777777" w:rsidR="00AB3647" w:rsidRDefault="00000000" w:rsidP="007923E9">
      <w:pPr>
        <w:spacing w:before="120" w:after="100" w:line="276" w:lineRule="auto"/>
        <w:jc w:val="both"/>
      </w:pPr>
      <w:r>
        <w:rPr>
          <w:rtl/>
        </w:rPr>
        <w:t xml:space="preserve">תלמידי ישיבת </w:t>
      </w:r>
      <w:proofErr w:type="spellStart"/>
      <w:r>
        <w:rPr>
          <w:rtl/>
        </w:rPr>
        <w:t>סלבודקה</w:t>
      </w:r>
      <w:proofErr w:type="spellEnd"/>
      <w:r>
        <w:rPr>
          <w:rtl/>
        </w:rPr>
        <w:t xml:space="preserve"> רק ביקשו לזכות בזכות ההיסטורית לראות אדם גדול ולשמוע ממנו דבר תורה – ועל כך השיב ר׳ חיים בענווה שאינו אדם גדול אלא יהודי פשוט, כאמור לעיל. ואילו לאברכים החסידיים, שביקשו להשיג יראת שמים באמצעים נסתרים אלה, אמר ר׳ חיים שדרך בטוחה ויעילה יותר להשגת מטרה זו היא שכל אחד </w:t>
      </w:r>
      <w:r>
        <w:rPr>
          <w:b/>
          <w:bCs/>
          <w:rtl/>
        </w:rPr>
        <w:t>יתבונן בעצמו</w:t>
      </w:r>
      <w:r>
        <w:rPr>
          <w:rtl/>
        </w:rPr>
        <w:t xml:space="preserve">, יברר את חסרונותיו ויסלקם. גם בזה ניכרת קרבתו של ר׳ חיים לדרך המוסר, ויש בזה אישור לטענת הסבא שר׳ חיים </w:t>
      </w:r>
      <w:proofErr w:type="spellStart"/>
      <w:r>
        <w:rPr>
          <w:rtl/>
        </w:rPr>
        <w:t>סולובייצ׳יק</w:t>
      </w:r>
      <w:proofErr w:type="spellEnd"/>
      <w:r>
        <w:rPr>
          <w:rtl/>
        </w:rPr>
        <w:t xml:space="preserve"> היה בעצם בעל מוסר</w:t>
      </w:r>
      <w:bookmarkStart w:id="6185" w:name="_fnr4630"/>
      <w:r>
        <w:rPr>
          <w:rStyle w:val="a5"/>
        </w:rPr>
        <w:footnoteReference w:id="4641" w:customMarkFollows="0"/>
      </w:r>
      <w:bookmarkEnd w:id="6185"/>
      <w:r>
        <w:rPr>
          <w:rtl/>
        </w:rPr>
        <w:t>.</w:t>
      </w:r>
    </w:p>
    <w:bookmarkStart w:id="6186" w:name="b5_note84"/>
    <w:p w14:paraId="3B657AC1" w14:textId="7216DA84" w:rsidR="00AB3647" w:rsidRDefault="00000000" w:rsidP="007923E9">
      <w:pPr>
        <w:spacing w:before="120" w:after="100" w:line="276" w:lineRule="auto"/>
        <w:jc w:val="both"/>
      </w:pPr>
      <w:r>
        <w:fldChar w:fldCharType="begin" w:dirty="true"/>
      </w:r>
      <w:r>
        <w:instrText>HYPERLINK \l "b5_ref84"</w:instrText>
      </w:r>
      <w:r>
        <w:fldChar w:fldCharType="separate"/>
      </w:r>
      <w:r>
        <w:rPr>
          <w:b/>
          <w:bCs/>
          <w:rtl/>
        </w:rPr>
        <w:t>84</w:t>
      </w:r>
      <w:r>
        <w:rPr>
          <w:b/>
          <w:bCs/>
        </w:rPr>
        <w:fldChar w:fldCharType="end"/>
      </w:r>
      <w:bookmarkEnd w:id="6186"/>
      <w:r>
        <w:rPr>
          <w:rtl/>
        </w:rPr>
        <w:t xml:space="preserve"> ראה </w:t>
      </w:r>
      <w:r>
        <w:rPr>
          <w:rtl/>
        </w:rPr>
        <w:fldChar w:fldCharType="begin" w:dirty="true"/>
      </w:r>
      <w:r>
        <w:rPr>
          <w:rtl/>
        </w:rPr>
        <w:instrText xml:space="preserve"> REF b5_excJ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w:t>
      </w:r>
      <w:r>
        <w:rPr>
          <w:rtl/>
        </w:rPr>
        <w:fldChar w:fldCharType="end"/>
      </w:r>
      <w:r>
        <w:rPr>
          <w:rtl/>
        </w:rPr>
        <w:t>.</w:t>
      </w:r>
    </w:p>
    <w:bookmarkStart w:id="6187" w:name="b5_note85"/>
    <w:p w14:paraId="3F230080" w14:textId="71C9F8F4" w:rsidR="00AB3647" w:rsidRDefault="00000000" w:rsidP="007923E9">
      <w:pPr>
        <w:spacing w:before="120" w:after="100" w:line="276" w:lineRule="auto"/>
        <w:jc w:val="both"/>
      </w:pPr>
      <w:r>
        <w:fldChar w:fldCharType="begin" w:dirty="true"/>
      </w:r>
      <w:r>
        <w:instrText>HYPERLINK \l "b5_ref85"</w:instrText>
      </w:r>
      <w:r>
        <w:fldChar w:fldCharType="separate"/>
      </w:r>
      <w:r>
        <w:rPr>
          <w:b/>
          <w:bCs/>
          <w:rtl/>
        </w:rPr>
        <w:t>85</w:t>
      </w:r>
      <w:r>
        <w:rPr>
          <w:b/>
          <w:bCs/>
        </w:rPr>
        <w:fldChar w:fldCharType="end"/>
      </w:r>
      <w:bookmarkEnd w:id="6187"/>
      <w:r>
        <w:rPr>
          <w:rtl/>
        </w:rPr>
        <w:t xml:space="preserve"> השווה פרק 3, הפסקה השנייה בהערה </w:t>
      </w:r>
      <w:r>
        <w:rPr>
          <w:rtl/>
        </w:rPr>
        <w:fldChar w:fldCharType="begin" w:dirty="true"/>
      </w:r>
      <w:r>
        <w:rPr>
          <w:rtl/>
        </w:rPr>
        <w:instrText xml:space="preserve"> REF b3_note135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135</w:t>
      </w:r>
      <w:r>
        <w:rPr>
          <w:rtl/>
        </w:rPr>
        <w:fldChar w:fldCharType="end"/>
      </w:r>
      <w:r>
        <w:rPr>
          <w:rtl/>
        </w:rPr>
        <w:t xml:space="preserve">. כשביקר ר׳ </w:t>
      </w:r>
      <w:proofErr w:type="spellStart"/>
      <w:r>
        <w:rPr>
          <w:rtl/>
        </w:rPr>
        <w:t>דוד׳ל</w:t>
      </w:r>
      <w:proofErr w:type="spellEnd"/>
      <w:r>
        <w:rPr>
          <w:rtl/>
        </w:rPr>
        <w:t xml:space="preserve"> פרידמן בקובנה וביקשו ממנו בחורי הישיבות לומר דבר תורה, היה מסרב. “שמושה של תורה”</w:t>
      </w:r>
      <w:bookmarkStart w:id="6188" w:name="_fnr4631"/>
      <w:r>
        <w:rPr>
          <w:rStyle w:val="a5"/>
        </w:rPr>
        <w:footnoteReference w:id="4642" w:customMarkFollows="0"/>
      </w:r>
      <w:bookmarkEnd w:id="6188"/>
      <w:r>
        <w:rPr>
          <w:rtl/>
        </w:rPr>
        <w:t xml:space="preserve"> מספר: “פעם אחת [בביקור אצל בנו</w:t>
      </w:r>
      <w:bookmarkStart w:id="6189" w:name="_fnr4632"/>
      <w:r>
        <w:rPr>
          <w:rStyle w:val="a5"/>
        </w:rPr>
        <w:footnoteReference w:id="4643" w:customMarkFollows="0"/>
      </w:r>
      <w:bookmarkEnd w:id="6189"/>
      <w:r>
        <w:rPr>
          <w:rtl/>
        </w:rPr>
        <w:t xml:space="preserve"> בקובנה] רצו תלמידי </w:t>
      </w:r>
      <w:proofErr w:type="spellStart"/>
      <w:r>
        <w:rPr>
          <w:rtl/>
        </w:rPr>
        <w:t>סלבודקה</w:t>
      </w:r>
      <w:proofErr w:type="spellEnd"/>
      <w:r>
        <w:rPr>
          <w:rtl/>
        </w:rPr>
        <w:t xml:space="preserve"> לשמוע משהו מתורתו... התחננו והפצירו בו, אך הוא סירב... באומרו: ‘חז״ל אומרים שלפני שדורשים בפני הציבור, יש לחזור על הדבר לעצמך ארבע פעמים</w:t>
      </w:r>
      <w:bookmarkStart w:id="6190" w:name="_fnr4633"/>
      <w:r>
        <w:rPr>
          <w:rStyle w:val="a5"/>
        </w:rPr>
        <w:footnoteReference w:id="4644" w:customMarkFollows="0"/>
      </w:r>
      <w:bookmarkEnd w:id="6190"/>
      <w:r>
        <w:rPr>
          <w:rtl/>
        </w:rPr>
        <w:t>, ואני לא [עשיתי זאת]; לכן אי אפשר לי להיענות לבקשתכם’”.</w:t>
      </w:r>
    </w:p>
    <w:p w14:paraId="3CD705CB" w14:textId="6C60A458" w:rsidR="00AB3647" w:rsidRDefault="00000000" w:rsidP="007923E9">
      <w:pPr>
        <w:spacing w:before="120" w:after="100" w:line="276" w:lineRule="auto"/>
        <w:jc w:val="both"/>
      </w:pPr>
      <w:r>
        <w:rPr>
          <w:rtl/>
        </w:rPr>
        <w:t xml:space="preserve">בהזכרת מאמר חז״ל זה לימד ר׳ </w:t>
      </w:r>
      <w:proofErr w:type="spellStart"/>
      <w:r>
        <w:rPr>
          <w:rtl/>
        </w:rPr>
        <w:t>דוד׳ל</w:t>
      </w:r>
      <w:proofErr w:type="spellEnd"/>
      <w:r>
        <w:rPr>
          <w:rtl/>
        </w:rPr>
        <w:t xml:space="preserve"> את התלמידים דבר שעליהם לזכור לעתידם שלהם, אבל אצלו היה זה ללא ספק תירוץ דחוק – שכן בשקידתו ובתפיסתו המהירה בוודאי יכול היה לחזור בן רגע על “</w:t>
      </w:r>
      <w:proofErr w:type="spellStart"/>
      <w:r>
        <w:rPr>
          <w:rtl/>
        </w:rPr>
        <w:t>ווארט</w:t>
      </w:r>
      <w:proofErr w:type="spellEnd"/>
      <w:r>
        <w:rPr>
          <w:rtl/>
        </w:rPr>
        <w:t xml:space="preserve">” שלא חזר עליו ארבע פעמים לאחרונה. נותר לנו לשער מה הייתה הסיבה האמיתית לסירובו. ייתכן שבניגוד </w:t>
      </w:r>
      <w:proofErr w:type="spellStart"/>
      <w:r>
        <w:rPr>
          <w:rtl/>
        </w:rPr>
        <w:t>לר</w:t>
      </w:r>
      <w:proofErr w:type="spellEnd"/>
      <w:r>
        <w:rPr>
          <w:rtl/>
        </w:rPr>
        <w:t xml:space="preserve">׳ חיים </w:t>
      </w:r>
      <w:proofErr w:type="spellStart"/>
      <w:r>
        <w:rPr>
          <w:rtl/>
        </w:rPr>
        <w:t>סולובייצ׳יק</w:t>
      </w:r>
      <w:proofErr w:type="spellEnd"/>
      <w:r>
        <w:rPr>
          <w:rtl/>
        </w:rPr>
        <w:t xml:space="preserve">, שלימד </w:t>
      </w:r>
      <w:proofErr w:type="spellStart"/>
      <w:r>
        <w:rPr>
          <w:rtl/>
        </w:rPr>
        <w:t>בוולוז׳ין</w:t>
      </w:r>
      <w:proofErr w:type="spellEnd"/>
      <w:r>
        <w:rPr>
          <w:rtl/>
        </w:rPr>
        <w:t xml:space="preserve"> (וקצת אחר כך </w:t>
      </w:r>
      <w:proofErr w:type="spellStart"/>
      <w:r>
        <w:rPr>
          <w:rtl/>
        </w:rPr>
        <w:t>בבריסק</w:t>
      </w:r>
      <w:proofErr w:type="spellEnd"/>
      <w:r>
        <w:rPr>
          <w:rtl/>
        </w:rPr>
        <w:t xml:space="preserve">, כמוזכר בפרק 4, הפסקה הראשונה של </w:t>
      </w:r>
      <w:r>
        <w:rPr>
          <w:rtl/>
        </w:rPr>
        <w:fldChar w:fldCharType="begin" w:dirty="true"/>
      </w:r>
      <w:r>
        <w:rPr>
          <w:rtl/>
        </w:rPr>
        <w:instrText xml:space="preserve"> REF b4_excM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יג</w:t>
      </w:r>
      <w:proofErr w:type="spellEnd"/>
      <w:r>
        <w:rPr>
          <w:rtl/>
        </w:rPr>
        <w:fldChar w:fldCharType="end"/>
      </w:r>
      <w:r>
        <w:rPr>
          <w:rtl/>
        </w:rPr>
        <w:t xml:space="preserve">), ר׳ </w:t>
      </w:r>
      <w:proofErr w:type="spellStart"/>
      <w:r>
        <w:rPr>
          <w:rtl/>
        </w:rPr>
        <w:t>דוד׳ל</w:t>
      </w:r>
      <w:proofErr w:type="spellEnd"/>
      <w:r>
        <w:rPr>
          <w:rtl/>
        </w:rPr>
        <w:t xml:space="preserve"> פרידמן מעולם לא עסק בהוראת תלמידים, ולא הייתה לו סבלנות לבחורי הישיבה</w:t>
      </w:r>
      <w:bookmarkStart w:id="6191" w:name="_fnr4634"/>
      <w:r>
        <w:rPr>
          <w:rStyle w:val="a5"/>
        </w:rPr>
        <w:footnoteReference w:id="4645" w:customMarkFollows="0"/>
      </w:r>
      <w:bookmarkEnd w:id="6191"/>
      <w:r>
        <w:rPr>
          <w:rtl/>
        </w:rPr>
        <w:t>.</w:t>
      </w:r>
    </w:p>
    <w:p w14:paraId="200607AD" w14:textId="77777777" w:rsidR="00AB3647" w:rsidRDefault="00000000" w:rsidP="007923E9">
      <w:pPr>
        <w:spacing w:after="100" w:line="276" w:lineRule="auto"/>
        <w:jc w:val="both"/>
      </w:pPr>
      <w:r>
        <w:rPr>
          <w:rtl/>
        </w:rPr>
        <w:t xml:space="preserve">מעניין שר׳ חיים לא ביקר בפרוור </w:t>
      </w:r>
      <w:proofErr w:type="spellStart"/>
      <w:r>
        <w:rPr>
          <w:rtl/>
        </w:rPr>
        <w:t>סלבודקה</w:t>
      </w:r>
      <w:proofErr w:type="spellEnd"/>
      <w:r>
        <w:rPr>
          <w:rtl/>
        </w:rPr>
        <w:t xml:space="preserve">, ובכך החמיץ את ההזדמנות למסור שיעור בישיבת תלמידו ר׳ </w:t>
      </w:r>
      <w:proofErr w:type="spellStart"/>
      <w:r>
        <w:rPr>
          <w:rtl/>
        </w:rPr>
        <w:t>ברוך־בער</w:t>
      </w:r>
      <w:proofErr w:type="spellEnd"/>
      <w:r>
        <w:rPr>
          <w:rtl/>
        </w:rPr>
        <w:t xml:space="preserve">. ר׳ קופל </w:t>
      </w:r>
      <w:proofErr w:type="spellStart"/>
      <w:r>
        <w:rPr>
          <w:rtl/>
        </w:rPr>
        <w:t>וולפרט</w:t>
      </w:r>
      <w:proofErr w:type="spellEnd"/>
      <w:r>
        <w:rPr>
          <w:rtl/>
        </w:rPr>
        <w:t xml:space="preserve"> הציע </w:t>
      </w:r>
      <w:proofErr w:type="spellStart"/>
      <w:r>
        <w:rPr>
          <w:rtl/>
        </w:rPr>
        <w:t>ש“לא</w:t>
      </w:r>
      <w:proofErr w:type="spellEnd"/>
      <w:r>
        <w:rPr>
          <w:rtl/>
        </w:rPr>
        <w:t xml:space="preserve"> רצה לפגוע בכבוד תלמידו ר׳ </w:t>
      </w:r>
      <w:proofErr w:type="spellStart"/>
      <w:r>
        <w:rPr>
          <w:rtl/>
        </w:rPr>
        <w:t>ברוך־בער</w:t>
      </w:r>
      <w:proofErr w:type="spellEnd"/>
      <w:r>
        <w:rPr>
          <w:rtl/>
        </w:rPr>
        <w:t xml:space="preserve"> בעיני תלמידיו, בהראותו שיש גדול מרבם”. אבל אין זה סביר, שכן ר׳ חיים בוודאי ידע שר׳ </w:t>
      </w:r>
      <w:proofErr w:type="spellStart"/>
      <w:r>
        <w:rPr>
          <w:rtl/>
        </w:rPr>
        <w:t>ברוך־בער</w:t>
      </w:r>
      <w:proofErr w:type="spellEnd"/>
      <w:r>
        <w:rPr>
          <w:rtl/>
        </w:rPr>
        <w:t xml:space="preserve"> מרומם בכל מקרה את רבו הרבה מעל עצמו בכל הזדמנות; הושבתו של ר׳ </w:t>
      </w:r>
      <w:proofErr w:type="spellStart"/>
      <w:r>
        <w:rPr>
          <w:rtl/>
        </w:rPr>
        <w:t>ברוך־בער</w:t>
      </w:r>
      <w:proofErr w:type="spellEnd"/>
      <w:r>
        <w:rPr>
          <w:rtl/>
        </w:rPr>
        <w:t xml:space="preserve"> על ברכי ר׳ חיים כבר הייתה הפגנה פומבית </w:t>
      </w:r>
      <w:proofErr w:type="spellStart"/>
      <w:r>
        <w:rPr>
          <w:rtl/>
        </w:rPr>
        <w:t>חד־משמעית</w:t>
      </w:r>
      <w:proofErr w:type="spellEnd"/>
      <w:r>
        <w:rPr>
          <w:rtl/>
        </w:rPr>
        <w:t xml:space="preserve"> של יחסי האב והבן שביניהם.</w:t>
      </w:r>
    </w:p>
    <w:p w14:paraId="226143E7" w14:textId="77777777" w:rsidR="00AB3647" w:rsidRDefault="00000000" w:rsidP="007923E9">
      <w:pPr>
        <w:spacing w:after="100" w:line="276" w:lineRule="auto"/>
        <w:jc w:val="both"/>
      </w:pPr>
      <w:r>
        <w:rPr>
          <w:rtl/>
        </w:rPr>
        <w:t xml:space="preserve">ייתכן שהסיבה האמיתית לכך שר׳ חיים לא ביקר </w:t>
      </w:r>
      <w:proofErr w:type="spellStart"/>
      <w:r>
        <w:rPr>
          <w:rtl/>
        </w:rPr>
        <w:t>בסלבודקה</w:t>
      </w:r>
      <w:proofErr w:type="spellEnd"/>
      <w:r>
        <w:rPr>
          <w:rtl/>
        </w:rPr>
        <w:t xml:space="preserve"> הייתה שאילו עבר את הגשר אל הפרוור, היה נאלץ למסור שיעור גם בכנסת ישראל. הרי בראשה עמדו חבר טוב, ר׳ </w:t>
      </w:r>
      <w:proofErr w:type="spellStart"/>
      <w:r>
        <w:rPr>
          <w:rtl/>
        </w:rPr>
        <w:t>נתן־צבי</w:t>
      </w:r>
      <w:proofErr w:type="spellEnd"/>
      <w:r>
        <w:rPr>
          <w:rtl/>
        </w:rPr>
        <w:t xml:space="preserve"> </w:t>
      </w:r>
      <w:proofErr w:type="spellStart"/>
      <w:r>
        <w:rPr>
          <w:rtl/>
        </w:rPr>
        <w:t>פינקל</w:t>
      </w:r>
      <w:proofErr w:type="spellEnd"/>
      <w:r>
        <w:rPr>
          <w:rtl/>
        </w:rPr>
        <w:t xml:space="preserve"> (כפי שמוכיחה היטב מטרת שליחותו לקובנה</w:t>
      </w:r>
      <w:bookmarkStart w:id="6192" w:name="_fnr4635"/>
      <w:r>
        <w:rPr>
          <w:rStyle w:val="a5"/>
        </w:rPr>
        <w:footnoteReference w:id="4646" w:customMarkFollows="0"/>
      </w:r>
      <w:bookmarkEnd w:id="6192"/>
      <w:r>
        <w:rPr>
          <w:rtl/>
        </w:rPr>
        <w:t xml:space="preserve">), ותלמידו שלו </w:t>
      </w:r>
      <w:proofErr w:type="spellStart"/>
      <w:r>
        <w:rPr>
          <w:rtl/>
        </w:rPr>
        <w:t>מוולוז׳ין</w:t>
      </w:r>
      <w:proofErr w:type="spellEnd"/>
      <w:r>
        <w:rPr>
          <w:rtl/>
        </w:rPr>
        <w:t xml:space="preserve">, ר׳ </w:t>
      </w:r>
      <w:proofErr w:type="spellStart"/>
      <w:r>
        <w:rPr>
          <w:rtl/>
        </w:rPr>
        <w:t>משה־</w:t>
      </w:r>
      <w:r>
        <w:rPr>
          <w:rtl/>
        </w:rPr>
        <w:lastRenderedPageBreak/>
        <w:t>מרדכי</w:t>
      </w:r>
      <w:proofErr w:type="spellEnd"/>
      <w:r>
        <w:rPr>
          <w:rtl/>
        </w:rPr>
        <w:t xml:space="preserve"> אפשטיין. יחסו הדו־ערכי (או עוינותו) למוסר</w:t>
      </w:r>
      <w:bookmarkStart w:id="6193" w:name="_fnr4636"/>
      <w:r>
        <w:rPr>
          <w:rStyle w:val="a5"/>
        </w:rPr>
        <w:footnoteReference w:id="4647" w:customMarkFollows="0"/>
      </w:r>
      <w:bookmarkEnd w:id="6193"/>
      <w:r>
        <w:rPr>
          <w:rtl/>
        </w:rPr>
        <w:t xml:space="preserve"> מנע ממנו למסור שיעור בישיבת מוסר, שמא יתפרש הדבר כהסכמה להשקפתה.</w:t>
      </w:r>
    </w:p>
    <w:p w14:paraId="0876B669" w14:textId="230AA4FA" w:rsidR="00AB3647" w:rsidRDefault="00000000" w:rsidP="007923E9">
      <w:pPr>
        <w:spacing w:after="100" w:line="276" w:lineRule="auto"/>
        <w:jc w:val="both"/>
      </w:pPr>
      <w:r>
        <w:rPr>
          <w:rtl/>
        </w:rPr>
        <w:t xml:space="preserve">ואשר להסכמתו למסור שיעורים בישיבת </w:t>
      </w:r>
      <w:proofErr w:type="spellStart"/>
      <w:r>
        <w:rPr>
          <w:rtl/>
        </w:rPr>
        <w:t>לובביץ</w:t>
      </w:r>
      <w:proofErr w:type="spellEnd"/>
      <w:r>
        <w:rPr>
          <w:rtl/>
        </w:rPr>
        <w:t xml:space="preserve">׳ במינסק, כאמור בפרק 3, הפסקה השישית של </w:t>
      </w:r>
      <w:r>
        <w:rPr>
          <w:rtl/>
        </w:rPr>
        <w:fldChar w:fldCharType="begin" w:dirty="true"/>
      </w:r>
      <w:r>
        <w:rPr>
          <w:rtl/>
        </w:rPr>
        <w:instrText xml:space="preserve"> REF b3_excR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יח</w:t>
      </w:r>
      <w:proofErr w:type="spellEnd"/>
      <w:r>
        <w:rPr>
          <w:rtl/>
        </w:rPr>
        <w:fldChar w:fldCharType="end"/>
      </w:r>
      <w:r>
        <w:rPr>
          <w:rtl/>
        </w:rPr>
        <w:t xml:space="preserve">: מסירת שיעורים בקביעות מבטאת הסכמה פחותה למוסד בכללותו מאשר מסירת שיעור אורח יחיד. יתר על כן, איש לא היה מייחס </w:t>
      </w:r>
      <w:proofErr w:type="spellStart"/>
      <w:r>
        <w:rPr>
          <w:rtl/>
        </w:rPr>
        <w:t>לר</w:t>
      </w:r>
      <w:proofErr w:type="spellEnd"/>
      <w:r>
        <w:rPr>
          <w:rtl/>
        </w:rPr>
        <w:t xml:space="preserve">׳ חיים </w:t>
      </w:r>
      <w:proofErr w:type="spellStart"/>
      <w:r>
        <w:rPr>
          <w:rtl/>
        </w:rPr>
        <w:t>סולובייצ׳יק</w:t>
      </w:r>
      <w:proofErr w:type="spellEnd"/>
      <w:r>
        <w:rPr>
          <w:rtl/>
        </w:rPr>
        <w:t xml:space="preserve"> נטייה לחב״ד, ומסירת שיעורים באחד ממוסדות </w:t>
      </w:r>
      <w:proofErr w:type="spellStart"/>
      <w:r>
        <w:rPr>
          <w:rtl/>
        </w:rPr>
        <w:t>לובביץ</w:t>
      </w:r>
      <w:proofErr w:type="spellEnd"/>
      <w:r>
        <w:rPr>
          <w:rtl/>
        </w:rPr>
        <w:t xml:space="preserve">׳ לא הייתה יכולה בשום אופן להיתפס בטעות כסימן להסכמה. אבל בשאלת המוסר אפשר היה לראות בו בעל מוסר, כפי שאכן סבר הסבא </w:t>
      </w:r>
      <w:proofErr w:type="spellStart"/>
      <w:r>
        <w:rPr>
          <w:rtl/>
        </w:rPr>
        <w:t>מסלבודקה</w:t>
      </w:r>
      <w:proofErr w:type="spellEnd"/>
      <w:r>
        <w:rPr>
          <w:rtl/>
        </w:rPr>
        <w:t xml:space="preserve"> שהוא [“אלא שלא ידע זאת”] – כאמור בפרק 3, סוף הפסקה השלישית של </w:t>
      </w:r>
      <w:r>
        <w:rPr>
          <w:rtl/>
        </w:rPr>
        <w:fldChar w:fldCharType="begin" w:dirty="true"/>
      </w:r>
      <w:r>
        <w:rPr>
          <w:rtl/>
        </w:rPr>
        <w:instrText xml:space="preserve"> REF b3_excN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יד</w:t>
      </w:r>
      <w:r>
        <w:rPr>
          <w:rtl/>
        </w:rPr>
        <w:fldChar w:fldCharType="end"/>
      </w:r>
      <w:r>
        <w:rPr>
          <w:rtl/>
        </w:rPr>
        <w:t>.</w:t>
      </w:r>
    </w:p>
    <w:p w14:paraId="4D40842E" w14:textId="77777777" w:rsidR="00AB3647" w:rsidRDefault="00000000" w:rsidP="007923E9">
      <w:pPr>
        <w:pBdr>
          <w:top w:val="single" w:sz="6" w:space="7" w:color="000000"/>
          <w:left w:val="single" w:sz="6" w:space="7" w:color="000000"/>
          <w:bottom w:val="single" w:sz="6" w:space="7" w:color="000000"/>
          <w:right w:val="single" w:sz="6" w:space="7" w:color="000000"/>
        </w:pBdr>
        <w:spacing w:before="180" w:after="180" w:line="276" w:lineRule="auto"/>
        <w:ind w:firstLine="340"/>
        <w:jc w:val="both"/>
      </w:pPr>
      <w:r>
        <w:rPr>
          <w:rtl/>
        </w:rPr>
        <w:t xml:space="preserve">רבנו השתוקק להתעדכן בכל מה שהחמיץ בזמן בריחתו </w:t>
      </w:r>
      <w:proofErr w:type="spellStart"/>
      <w:r>
        <w:rPr>
          <w:rtl/>
        </w:rPr>
        <w:t>מסלבודקה</w:t>
      </w:r>
      <w:proofErr w:type="spellEnd"/>
      <w:r>
        <w:rPr>
          <w:rtl/>
        </w:rPr>
        <w:t xml:space="preserve"> – במאורעות הגדולים ובקטנים – ושמח לשוב אחרי פסח אל קנו.</w:t>
      </w:r>
    </w:p>
    <w:p w14:paraId="3F1BAEBB" w14:textId="77777777" w:rsidR="00AB3647" w:rsidRDefault="00000000" w:rsidP="007923E9">
      <w:pPr>
        <w:pStyle w:val="2"/>
        <w:pageBreakBefore/>
        <w:spacing w:before="240" w:after="160" w:line="276" w:lineRule="auto"/>
      </w:pPr>
      <w:bookmarkStart w:id="6194" w:name="b5_excursuses"/>
      <w:r>
        <w:lastRenderedPageBreak/>
        <w:t>נספחים</w:t>
      </w:r>
      <w:bookmarkEnd w:id="6194"/>
    </w:p>
    <w:bookmarkStart w:id="6195" w:name="b5_excA"/>
    <w:p w14:paraId="240B037E" w14:textId="77777777" w:rsidR="00AB3647" w:rsidRDefault="00000000" w:rsidP="007923E9">
      <w:pPr>
        <w:pStyle w:val="3"/>
        <w:pageBreakBefore w:val="0"/>
        <w:spacing w:line="276" w:lineRule="auto"/>
      </w:pPr>
      <w:r>
        <w:fldChar w:fldCharType="begin" w:dirty="true"/>
      </w:r>
      <w:r>
        <w:rPr>
          <w:rtl w:val="0"/>
        </w:rPr>
        <w:instrText>HYPERLINK \l "b5_note1</w:instrText>
      </w:r>
      <w:r>
        <w:instrText>"</w:instrText>
      </w:r>
      <w:r>
        <w:fldChar w:fldCharType="separate"/>
      </w:r>
      <w:r>
        <w:t>נספח א</w:t>
      </w:r>
      <w:r>
        <w:fldChar w:fldCharType="end"/>
      </w:r>
      <w:bookmarkEnd w:id="6195"/>
    </w:p>
    <w:p w14:paraId="5591BE28" w14:textId="77777777" w:rsidR="00AB3647" w:rsidRDefault="00000000" w:rsidP="007923E9">
      <w:pPr>
        <w:pStyle w:val="af"/>
        <w:spacing w:line="276" w:lineRule="auto"/>
      </w:pPr>
      <w:r>
        <w:t xml:space="preserve">על גילוח הזקנים בישיבות </w:t>
      </w:r>
      <w:proofErr w:type="spellStart"/>
      <w:r>
        <w:t>וולוז׳ין</w:t>
      </w:r>
      <w:proofErr w:type="spellEnd"/>
      <w:r>
        <w:t xml:space="preserve"> </w:t>
      </w:r>
      <w:proofErr w:type="spellStart"/>
      <w:r>
        <w:t>וסלבודקה</w:t>
      </w:r>
      <w:proofErr w:type="spellEnd"/>
    </w:p>
    <w:p w14:paraId="5338E603" w14:textId="77777777" w:rsidR="00AB3647" w:rsidRDefault="00000000" w:rsidP="007923E9">
      <w:pPr>
        <w:pStyle w:val="5"/>
        <w:spacing w:line="276" w:lineRule="auto"/>
      </w:pPr>
      <w:r>
        <w:t xml:space="preserve">ר׳ </w:t>
      </w:r>
      <w:proofErr w:type="spellStart"/>
      <w:r>
        <w:t>אברהם־יצחק</w:t>
      </w:r>
      <w:proofErr w:type="spellEnd"/>
      <w:r>
        <w:t xml:space="preserve"> קוק שונה מן המקובל </w:t>
      </w:r>
      <w:proofErr w:type="spellStart"/>
      <w:r>
        <w:t>בוולוז׳ין</w:t>
      </w:r>
      <w:proofErr w:type="spellEnd"/>
      <w:r>
        <w:t xml:space="preserve"> מפני שבצדקותו אינו מקצר את זקנו – ר׳ דוד </w:t>
      </w:r>
      <w:proofErr w:type="spellStart"/>
      <w:r>
        <w:t>ליבוביץ</w:t>
      </w:r>
      <w:proofErr w:type="spellEnd"/>
      <w:r>
        <w:t xml:space="preserve">, שבא </w:t>
      </w:r>
      <w:proofErr w:type="spellStart"/>
      <w:r>
        <w:t>לסלבודקה</w:t>
      </w:r>
      <w:proofErr w:type="spellEnd"/>
      <w:r>
        <w:t xml:space="preserve"> בלא גילוח, נחשב לבעל תשובה – תלמידי </w:t>
      </w:r>
      <w:proofErr w:type="spellStart"/>
      <w:r>
        <w:t>סלבודקה</w:t>
      </w:r>
      <w:proofErr w:type="spellEnd"/>
      <w:r>
        <w:t xml:space="preserve"> מתלבשים בלבוש מודרני – כיצד השפיע לבושו של תלמיד על סיכוייו לשידוך – רבנו מתאר כיצד התגלחו התלמידים </w:t>
      </w:r>
      <w:proofErr w:type="spellStart"/>
      <w:r>
        <w:t>בסלבודקה</w:t>
      </w:r>
      <w:proofErr w:type="spellEnd"/>
    </w:p>
    <w:p w14:paraId="48DCE6FE" w14:textId="6A67C569" w:rsidR="00AB3647" w:rsidRDefault="00000000" w:rsidP="007923E9">
      <w:pPr>
        <w:spacing w:after="120" w:line="276" w:lineRule="auto"/>
        <w:ind w:firstLine="283"/>
        <w:jc w:val="both"/>
      </w:pPr>
      <w:r>
        <w:rPr>
          <w:rtl/>
        </w:rPr>
        <w:t xml:space="preserve">כבר בישיבת </w:t>
      </w:r>
      <w:proofErr w:type="spellStart"/>
      <w:r>
        <w:rPr>
          <w:rtl/>
        </w:rPr>
        <w:t>וולוז׳ין</w:t>
      </w:r>
      <w:proofErr w:type="spellEnd"/>
      <w:r>
        <w:rPr>
          <w:rtl/>
        </w:rPr>
        <w:t>, ובוודאי בעשור שקדם לסגירתה, היו התלמידים מקצרים את זקניהם</w:t>
      </w:r>
      <w:bookmarkStart w:id="6196" w:name="_fnr4637"/>
      <w:r>
        <w:rPr>
          <w:rStyle w:val="a5"/>
        </w:rPr>
        <w:footnoteReference w:id="4648" w:customMarkFollows="0"/>
      </w:r>
      <w:bookmarkEnd w:id="6196"/>
      <w:r>
        <w:rPr>
          <w:rtl/>
        </w:rPr>
        <w:t xml:space="preserve">. באמצע שנות </w:t>
      </w:r>
      <w:proofErr w:type="spellStart"/>
      <w:r>
        <w:rPr>
          <w:rtl/>
        </w:rPr>
        <w:t>הת״ר־מ</w:t>
      </w:r>
      <w:proofErr w:type="spellEnd"/>
      <w:r>
        <w:rPr>
          <w:rtl/>
        </w:rPr>
        <w:t xml:space="preserve">׳ כבר היו גם כאלה שגילחו את זקנם לגמרי, והמנהג היה נפוץ כל כך </w:t>
      </w:r>
      <w:proofErr w:type="spellStart"/>
      <w:r>
        <w:rPr>
          <w:rtl/>
        </w:rPr>
        <w:t>שהנצי״ב</w:t>
      </w:r>
      <w:proofErr w:type="spellEnd"/>
      <w:r>
        <w:rPr>
          <w:rtl/>
        </w:rPr>
        <w:t xml:space="preserve"> היה בודק את לחיי הבחורים שנחשדו בשימוש בתער! ראה פרק 4, הפסקה השלישית של </w:t>
      </w:r>
      <w:r>
        <w:rPr>
          <w:rtl/>
        </w:rPr>
        <w:fldChar w:fldCharType="begin" w:dirty="true"/>
      </w:r>
      <w:r>
        <w:rPr>
          <w:rtl/>
        </w:rPr>
        <w:instrText xml:space="preserve"> REF b4_excI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לפרטים נוספים על כך</w:t>
      </w:r>
      <w:bookmarkStart w:id="6197" w:name="_fnr4638"/>
      <w:r>
        <w:rPr>
          <w:rStyle w:val="a5"/>
        </w:rPr>
        <w:footnoteReference w:id="4649" w:customMarkFollows="0"/>
      </w:r>
      <w:bookmarkEnd w:id="6197"/>
      <w:r>
        <w:rPr>
          <w:rtl/>
        </w:rPr>
        <w:t>.</w:t>
      </w:r>
    </w:p>
    <w:p w14:paraId="5D96794F" w14:textId="77777777" w:rsidR="00AB3647" w:rsidRDefault="00000000" w:rsidP="007923E9">
      <w:pPr>
        <w:spacing w:after="120" w:line="276" w:lineRule="auto"/>
        <w:ind w:firstLine="283"/>
        <w:jc w:val="both"/>
      </w:pPr>
      <w:r>
        <w:rPr>
          <w:rtl/>
        </w:rPr>
        <w:t xml:space="preserve">ר׳ </w:t>
      </w:r>
      <w:proofErr w:type="spellStart"/>
      <w:r>
        <w:rPr>
          <w:rtl/>
        </w:rPr>
        <w:t>אברהם־יצחק</w:t>
      </w:r>
      <w:proofErr w:type="spellEnd"/>
      <w:r>
        <w:rPr>
          <w:rtl/>
        </w:rPr>
        <w:t xml:space="preserve"> קוק</w:t>
      </w:r>
      <w:bookmarkStart w:id="6198" w:name="_fnr4639"/>
      <w:r>
        <w:rPr>
          <w:rStyle w:val="a5"/>
        </w:rPr>
        <w:footnoteReference w:id="4650" w:customMarkFollows="0"/>
      </w:r>
      <w:bookmarkEnd w:id="6198"/>
      <w:r>
        <w:rPr>
          <w:rtl/>
        </w:rPr>
        <w:t xml:space="preserve"> היה חריג מפורסם למנהג קיצור הזקן, והמשנה לראש הישיבה, ר׳ חיים </w:t>
      </w:r>
      <w:proofErr w:type="spellStart"/>
      <w:r>
        <w:rPr>
          <w:rtl/>
        </w:rPr>
        <w:t>סולובייצ׳יק</w:t>
      </w:r>
      <w:proofErr w:type="spellEnd"/>
      <w:r>
        <w:rPr>
          <w:rtl/>
        </w:rPr>
        <w:t xml:space="preserve">, מתח עליו ביקורת על שהוא שונה מחבריו. לפי מסורת בבית </w:t>
      </w:r>
      <w:proofErr w:type="spellStart"/>
      <w:r>
        <w:rPr>
          <w:rtl/>
        </w:rPr>
        <w:t>סולובייצ׳יק</w:t>
      </w:r>
      <w:proofErr w:type="spellEnd"/>
      <w:r>
        <w:rPr>
          <w:rtl/>
        </w:rPr>
        <w:t xml:space="preserve"> בארץ ישראל, מסופר שר׳ חיים אמר לתלמידים “להיזהר מן הבחור </w:t>
      </w:r>
      <w:proofErr w:type="spellStart"/>
      <w:r>
        <w:rPr>
          <w:rtl/>
        </w:rPr>
        <w:t>הפרומער</w:t>
      </w:r>
      <w:proofErr w:type="spellEnd"/>
      <w:r>
        <w:rPr>
          <w:rtl/>
        </w:rPr>
        <w:t xml:space="preserve"> [האדוק] </w:t>
      </w:r>
      <w:proofErr w:type="spellStart"/>
      <w:r>
        <w:rPr>
          <w:rtl/>
        </w:rPr>
        <w:t>מגריבה</w:t>
      </w:r>
      <w:proofErr w:type="spellEnd"/>
      <w:r>
        <w:rPr>
          <w:rtl/>
        </w:rPr>
        <w:t>”</w:t>
      </w:r>
      <w:bookmarkStart w:id="6199" w:name="_fnr4640"/>
      <w:r>
        <w:rPr>
          <w:rStyle w:val="a5"/>
        </w:rPr>
        <w:footnoteReference w:id="4651" w:customMarkFollows="0"/>
      </w:r>
      <w:bookmarkEnd w:id="6199"/>
      <w:r>
        <w:rPr>
          <w:rtl/>
        </w:rPr>
        <w:t xml:space="preserve">. מסתבר שמה שהטריד את ר׳ חיים היה שהתנהגותו העצמאית של תלמיד זה – אדוקה ככל שתהיה – העידה שאינו רוצה להכפיף עצמו להדרכת הישיבה בשום תחום. מסתבר שר׳ </w:t>
      </w:r>
      <w:proofErr w:type="spellStart"/>
      <w:r>
        <w:rPr>
          <w:rtl/>
        </w:rPr>
        <w:t>אברהם־יצחק</w:t>
      </w:r>
      <w:proofErr w:type="spellEnd"/>
      <w:r>
        <w:rPr>
          <w:rtl/>
        </w:rPr>
        <w:t xml:space="preserve"> קוק נמנע מלסדר את זקנו מטעמים קבליים – ראה הערה 106 בפרק 4, על הצעתו שתלמידי ישיבות ילמדו זוהר.</w:t>
      </w:r>
    </w:p>
    <w:p w14:paraId="70B8C023" w14:textId="77777777" w:rsidR="00AB3647" w:rsidRDefault="00000000" w:rsidP="007923E9">
      <w:pPr>
        <w:spacing w:after="120" w:line="276" w:lineRule="auto"/>
        <w:ind w:firstLine="283"/>
        <w:jc w:val="both"/>
      </w:pPr>
      <w:r>
        <w:rPr>
          <w:rtl/>
        </w:rPr>
        <w:t xml:space="preserve">אגב, לפי דברי ר׳ ישראל </w:t>
      </w:r>
      <w:proofErr w:type="spellStart"/>
      <w:r>
        <w:rPr>
          <w:rtl/>
        </w:rPr>
        <w:t>שורין</w:t>
      </w:r>
      <w:bookmarkStart w:id="6200" w:name="_fnr4641"/>
      <w:proofErr w:type="spellEnd"/>
      <w:r>
        <w:rPr>
          <w:rStyle w:val="a5"/>
        </w:rPr>
        <w:footnoteReference w:id="4652" w:customMarkFollows="0"/>
      </w:r>
      <w:bookmarkEnd w:id="6200"/>
      <w:r>
        <w:rPr>
          <w:rtl/>
        </w:rPr>
        <w:t xml:space="preserve">, כינה אבי את ר׳ </w:t>
      </w:r>
      <w:proofErr w:type="spellStart"/>
      <w:r>
        <w:rPr>
          <w:rtl/>
        </w:rPr>
        <w:t>אברהם־יצחק</w:t>
      </w:r>
      <w:proofErr w:type="spellEnd"/>
      <w:r>
        <w:rPr>
          <w:rtl/>
        </w:rPr>
        <w:t xml:space="preserve"> קוק “גאון וצדיק”. </w:t>
      </w:r>
      <w:proofErr w:type="spellStart"/>
      <w:r>
        <w:rPr>
          <w:rtl/>
        </w:rPr>
        <w:t>ב“מורי</w:t>
      </w:r>
      <w:proofErr w:type="spellEnd"/>
      <w:r>
        <w:rPr>
          <w:rtl/>
        </w:rPr>
        <w:t xml:space="preserve"> האומה”, כרך ו</w:t>
      </w:r>
      <w:bookmarkStart w:id="6201" w:name="_fnr4642"/>
      <w:r>
        <w:rPr>
          <w:rStyle w:val="a5"/>
        </w:rPr>
        <w:footnoteReference w:id="4653" w:customMarkFollows="0"/>
      </w:r>
      <w:bookmarkEnd w:id="6201"/>
      <w:r>
        <w:rPr>
          <w:rtl/>
        </w:rPr>
        <w:t xml:space="preserve">, מביא ר׳ ישראל </w:t>
      </w:r>
      <w:proofErr w:type="spellStart"/>
      <w:r>
        <w:rPr>
          <w:rtl/>
        </w:rPr>
        <w:t>שורין</w:t>
      </w:r>
      <w:proofErr w:type="spellEnd"/>
      <w:r>
        <w:rPr>
          <w:rtl/>
        </w:rPr>
        <w:t xml:space="preserve"> אמרה שאמר ר׳ לייב חסמן</w:t>
      </w:r>
      <w:bookmarkStart w:id="6202" w:name="_fnr4643"/>
      <w:r>
        <w:rPr>
          <w:rStyle w:val="a5"/>
        </w:rPr>
        <w:footnoteReference w:id="4654" w:customMarkFollows="0"/>
      </w:r>
      <w:bookmarkEnd w:id="6202"/>
      <w:r>
        <w:rPr>
          <w:rtl/>
        </w:rPr>
        <w:t xml:space="preserve"> בהלוויית ר׳ </w:t>
      </w:r>
      <w:proofErr w:type="spellStart"/>
      <w:r>
        <w:rPr>
          <w:rtl/>
        </w:rPr>
        <w:t>אברהם־יצחק</w:t>
      </w:r>
      <w:proofErr w:type="spellEnd"/>
      <w:r>
        <w:rPr>
          <w:rtl/>
        </w:rPr>
        <w:t xml:space="preserve"> קוק בירושלים [חודשיים לפני פטירתו שלו], שבה השתתפו “כחמישים אלף אנשים”: “סמוך לקבר עמד רבי יהודה לייב חסמן, המשגיח של ישיבת חברון, פניו </w:t>
      </w:r>
      <w:proofErr w:type="spellStart"/>
      <w:r>
        <w:rPr>
          <w:rtl/>
        </w:rPr>
        <w:t>חורות</w:t>
      </w:r>
      <w:proofErr w:type="spellEnd"/>
      <w:r>
        <w:rPr>
          <w:rtl/>
        </w:rPr>
        <w:t xml:space="preserve"> כסיד וראשו מורד לארץ. </w:t>
      </w:r>
      <w:proofErr w:type="spellStart"/>
      <w:r>
        <w:rPr>
          <w:rtl/>
        </w:rPr>
        <w:t>פתאם</w:t>
      </w:r>
      <w:proofErr w:type="spellEnd"/>
      <w:r>
        <w:rPr>
          <w:rtl/>
        </w:rPr>
        <w:t xml:space="preserve"> הרים את ראשו ואמר לכל התלמידים אשר הקיפו אותו: ‘איר </w:t>
      </w:r>
      <w:proofErr w:type="spellStart"/>
      <w:r>
        <w:rPr>
          <w:rtl/>
        </w:rPr>
        <w:t>זעט</w:t>
      </w:r>
      <w:proofErr w:type="spellEnd"/>
      <w:r>
        <w:rPr>
          <w:rtl/>
        </w:rPr>
        <w:t xml:space="preserve"> די </w:t>
      </w:r>
      <w:proofErr w:type="spellStart"/>
      <w:r>
        <w:rPr>
          <w:rtl/>
        </w:rPr>
        <w:t>אלע</w:t>
      </w:r>
      <w:proofErr w:type="spellEnd"/>
      <w:r>
        <w:rPr>
          <w:rtl/>
        </w:rPr>
        <w:t xml:space="preserve"> </w:t>
      </w:r>
      <w:proofErr w:type="spellStart"/>
      <w:r>
        <w:rPr>
          <w:rtl/>
        </w:rPr>
        <w:t>קעפ</w:t>
      </w:r>
      <w:proofErr w:type="spellEnd"/>
      <w:r>
        <w:rPr>
          <w:rtl/>
        </w:rPr>
        <w:t xml:space="preserve"> </w:t>
      </w:r>
      <w:proofErr w:type="spellStart"/>
      <w:r>
        <w:rPr>
          <w:rtl/>
        </w:rPr>
        <w:t>וואס</w:t>
      </w:r>
      <w:proofErr w:type="spellEnd"/>
      <w:r>
        <w:rPr>
          <w:rtl/>
        </w:rPr>
        <w:t xml:space="preserve"> </w:t>
      </w:r>
      <w:proofErr w:type="spellStart"/>
      <w:r>
        <w:rPr>
          <w:rtl/>
        </w:rPr>
        <w:t>זיינען</w:t>
      </w:r>
      <w:proofErr w:type="spellEnd"/>
      <w:r>
        <w:rPr>
          <w:rtl/>
        </w:rPr>
        <w:t xml:space="preserve"> דא, </w:t>
      </w:r>
      <w:proofErr w:type="spellStart"/>
      <w:r>
        <w:rPr>
          <w:rtl/>
        </w:rPr>
        <w:t>אזא</w:t>
      </w:r>
      <w:proofErr w:type="spellEnd"/>
      <w:r>
        <w:rPr>
          <w:rtl/>
        </w:rPr>
        <w:t xml:space="preserve"> </w:t>
      </w:r>
      <w:proofErr w:type="spellStart"/>
      <w:r>
        <w:rPr>
          <w:rtl/>
        </w:rPr>
        <w:t>קאפ</w:t>
      </w:r>
      <w:proofErr w:type="spellEnd"/>
      <w:r>
        <w:rPr>
          <w:rtl/>
        </w:rPr>
        <w:t xml:space="preserve"> </w:t>
      </w:r>
      <w:proofErr w:type="spellStart"/>
      <w:r>
        <w:rPr>
          <w:rtl/>
        </w:rPr>
        <w:t>צונויפגענומען</w:t>
      </w:r>
      <w:proofErr w:type="spellEnd"/>
      <w:r>
        <w:rPr>
          <w:rtl/>
        </w:rPr>
        <w:t xml:space="preserve"> </w:t>
      </w:r>
      <w:proofErr w:type="spellStart"/>
      <w:r>
        <w:rPr>
          <w:rtl/>
        </w:rPr>
        <w:t>לייגט</w:t>
      </w:r>
      <w:proofErr w:type="spellEnd"/>
      <w:r>
        <w:rPr>
          <w:rtl/>
        </w:rPr>
        <w:t xml:space="preserve"> מען </w:t>
      </w:r>
      <w:proofErr w:type="spellStart"/>
      <w:r>
        <w:rPr>
          <w:rtl/>
        </w:rPr>
        <w:t>יעצט</w:t>
      </w:r>
      <w:proofErr w:type="spellEnd"/>
      <w:r>
        <w:rPr>
          <w:rtl/>
        </w:rPr>
        <w:t xml:space="preserve"> </w:t>
      </w:r>
      <w:proofErr w:type="spellStart"/>
      <w:r>
        <w:rPr>
          <w:rtl/>
        </w:rPr>
        <w:t>אריין</w:t>
      </w:r>
      <w:proofErr w:type="spellEnd"/>
      <w:r>
        <w:rPr>
          <w:rtl/>
        </w:rPr>
        <w:t xml:space="preserve"> אין קבר’ </w:t>
      </w:r>
      <w:r>
        <w:rPr>
          <w:rtl/>
        </w:rPr>
        <w:lastRenderedPageBreak/>
        <w:t xml:space="preserve">[הסתכלו והביטו, רואים אתם את כל הראשים – ראש שקול כנגד כל הראשים מורידים לקבר]”. ירושלמים מוסרים מפי ר׳ ראובן </w:t>
      </w:r>
      <w:proofErr w:type="spellStart"/>
      <w:r>
        <w:rPr>
          <w:rtl/>
        </w:rPr>
        <w:t>בנגיס</w:t>
      </w:r>
      <w:proofErr w:type="spellEnd"/>
      <w:r>
        <w:rPr>
          <w:rtl/>
        </w:rPr>
        <w:t xml:space="preserve">, שלמד </w:t>
      </w:r>
      <w:proofErr w:type="spellStart"/>
      <w:r>
        <w:rPr>
          <w:rtl/>
        </w:rPr>
        <w:t>בוולוז׳ין</w:t>
      </w:r>
      <w:proofErr w:type="spellEnd"/>
      <w:r>
        <w:rPr>
          <w:rtl/>
        </w:rPr>
        <w:t xml:space="preserve"> עם ר׳ </w:t>
      </w:r>
      <w:proofErr w:type="spellStart"/>
      <w:r>
        <w:rPr>
          <w:rtl/>
        </w:rPr>
        <w:t>אברהם־יצחק</w:t>
      </w:r>
      <w:proofErr w:type="spellEnd"/>
      <w:r>
        <w:rPr>
          <w:rtl/>
        </w:rPr>
        <w:t xml:space="preserve"> קוק, אמרה מעניינת: “</w:t>
      </w:r>
      <w:proofErr w:type="spellStart"/>
      <w:r>
        <w:rPr>
          <w:rtl/>
        </w:rPr>
        <w:t>בוולוז׳ין</w:t>
      </w:r>
      <w:proofErr w:type="spellEnd"/>
      <w:r>
        <w:rPr>
          <w:rtl/>
        </w:rPr>
        <w:t xml:space="preserve"> נודעתי כתלמיד החכם ור׳ </w:t>
      </w:r>
      <w:proofErr w:type="spellStart"/>
      <w:r>
        <w:rPr>
          <w:rtl/>
        </w:rPr>
        <w:t>אברהם־יצחק</w:t>
      </w:r>
      <w:proofErr w:type="spellEnd"/>
      <w:r>
        <w:rPr>
          <w:rtl/>
        </w:rPr>
        <w:t xml:space="preserve"> קוק נודע כצדיק; כשבאתי לירושלים נודעתי כצדיק והוא כתלמיד החכם”.</w:t>
      </w:r>
    </w:p>
    <w:p w14:paraId="7AAFE2E4" w14:textId="77777777" w:rsidR="00AB3647" w:rsidRDefault="00000000" w:rsidP="007923E9">
      <w:pPr>
        <w:spacing w:after="120" w:line="276" w:lineRule="auto"/>
        <w:ind w:firstLine="283"/>
        <w:jc w:val="both"/>
      </w:pPr>
      <w:r>
        <w:rPr>
          <w:rtl/>
        </w:rPr>
        <w:t xml:space="preserve">כוונתו הייתה שר׳ </w:t>
      </w:r>
      <w:proofErr w:type="spellStart"/>
      <w:r>
        <w:rPr>
          <w:rtl/>
        </w:rPr>
        <w:t>אברהם־יצחק</w:t>
      </w:r>
      <w:proofErr w:type="spellEnd"/>
      <w:r>
        <w:rPr>
          <w:rtl/>
        </w:rPr>
        <w:t xml:space="preserve"> קוק נעשה לבסוף שנוי במחלוקת בחוגי תורה מסוימים, וצדקותו הועמדה בספק; על למדנותו לא הייתה דרך לערער, תהא המדרגה שבה הוכרה </w:t>
      </w:r>
      <w:proofErr w:type="spellStart"/>
      <w:r>
        <w:rPr>
          <w:rtl/>
        </w:rPr>
        <w:t>בוולוז׳ין</w:t>
      </w:r>
      <w:proofErr w:type="spellEnd"/>
      <w:r>
        <w:rPr>
          <w:rtl/>
        </w:rPr>
        <w:t xml:space="preserve"> [נמוכה יחסית לצדקותו] אשר תהא. ואילו צדקותו של ר׳ ראובן </w:t>
      </w:r>
      <w:proofErr w:type="spellStart"/>
      <w:r>
        <w:rPr>
          <w:rtl/>
        </w:rPr>
        <w:t>בנגיס</w:t>
      </w:r>
      <w:proofErr w:type="spellEnd"/>
      <w:r>
        <w:rPr>
          <w:rtl/>
        </w:rPr>
        <w:t xml:space="preserve"> עצמו, אף שלא הייתה מופלגת במיוחד </w:t>
      </w:r>
      <w:proofErr w:type="spellStart"/>
      <w:r>
        <w:rPr>
          <w:rtl/>
        </w:rPr>
        <w:t>בוולוז׳ין</w:t>
      </w:r>
      <w:proofErr w:type="spellEnd"/>
      <w:r>
        <w:rPr>
          <w:rtl/>
        </w:rPr>
        <w:t xml:space="preserve"> [לפי ענוותנותו], לא נפגעה. ר׳ ראובן </w:t>
      </w:r>
      <w:proofErr w:type="spellStart"/>
      <w:r>
        <w:rPr>
          <w:rtl/>
        </w:rPr>
        <w:t>בנגיס</w:t>
      </w:r>
      <w:proofErr w:type="spellEnd"/>
      <w:r>
        <w:rPr>
          <w:rtl/>
        </w:rPr>
        <w:t xml:space="preserve"> בא לארץ ישראל שלוש שנים לאחר פטירת ר׳ </w:t>
      </w:r>
      <w:proofErr w:type="spellStart"/>
      <w:r>
        <w:rPr>
          <w:rtl/>
        </w:rPr>
        <w:t>אברהם־יצחק</w:t>
      </w:r>
      <w:proofErr w:type="spellEnd"/>
      <w:r>
        <w:rPr>
          <w:rtl/>
        </w:rPr>
        <w:t xml:space="preserve"> קוק.</w:t>
      </w:r>
    </w:p>
    <w:p w14:paraId="48A03F7C" w14:textId="77777777" w:rsidR="00AB3647" w:rsidRDefault="00000000" w:rsidP="007923E9">
      <w:pPr>
        <w:spacing w:after="120" w:line="276" w:lineRule="auto"/>
        <w:ind w:firstLine="283"/>
        <w:jc w:val="both"/>
      </w:pPr>
      <w:proofErr w:type="spellStart"/>
      <w:r>
        <w:rPr>
          <w:rtl/>
        </w:rPr>
        <w:t>בסלבודקה</w:t>
      </w:r>
      <w:proofErr w:type="spellEnd"/>
      <w:r>
        <w:rPr>
          <w:rtl/>
        </w:rPr>
        <w:t xml:space="preserve"> גילחו כמעט כל התלמידים את זקניהם</w:t>
      </w:r>
      <w:bookmarkStart w:id="6203" w:name="_fnr4644"/>
      <w:r>
        <w:rPr>
          <w:rStyle w:val="a5"/>
        </w:rPr>
        <w:footnoteReference w:id="4655" w:customMarkFollows="0"/>
      </w:r>
      <w:bookmarkEnd w:id="6203"/>
      <w:r>
        <w:rPr>
          <w:rtl/>
        </w:rPr>
        <w:t>; זה היה חלק מן המראה המודרני והמטופח שהישיבה עודדה</w:t>
      </w:r>
      <w:bookmarkStart w:id="6204" w:name="_fnr4645"/>
      <w:r>
        <w:rPr>
          <w:rStyle w:val="a5"/>
        </w:rPr>
        <w:footnoteReference w:id="4656" w:customMarkFollows="0"/>
      </w:r>
      <w:bookmarkEnd w:id="6204"/>
      <w:r>
        <w:rPr>
          <w:rtl/>
        </w:rPr>
        <w:t xml:space="preserve">. ר׳ דוד </w:t>
      </w:r>
      <w:proofErr w:type="spellStart"/>
      <w:r>
        <w:rPr>
          <w:rtl/>
        </w:rPr>
        <w:t>ליבוביץ</w:t>
      </w:r>
      <w:proofErr w:type="spellEnd"/>
      <w:r>
        <w:rPr>
          <w:rtl/>
        </w:rPr>
        <w:t xml:space="preserve">, שלמד עם אבי בישיבת </w:t>
      </w:r>
      <w:proofErr w:type="spellStart"/>
      <w:r>
        <w:rPr>
          <w:rtl/>
        </w:rPr>
        <w:t>סלבודקה</w:t>
      </w:r>
      <w:proofErr w:type="spellEnd"/>
      <w:r>
        <w:rPr>
          <w:rtl/>
        </w:rPr>
        <w:t xml:space="preserve"> ובכולל </w:t>
      </w:r>
      <w:proofErr w:type="spellStart"/>
      <w:r>
        <w:rPr>
          <w:rtl/>
        </w:rPr>
        <w:t>סלבודקה</w:t>
      </w:r>
      <w:bookmarkStart w:id="6205" w:name="_fnr4646"/>
      <w:proofErr w:type="spellEnd"/>
      <w:r>
        <w:rPr>
          <w:rStyle w:val="a5"/>
        </w:rPr>
        <w:footnoteReference w:id="4657" w:customMarkFollows="0"/>
      </w:r>
      <w:bookmarkEnd w:id="6205"/>
      <w:r>
        <w:rPr>
          <w:rtl/>
        </w:rPr>
        <w:t>, סיפר לתלמידיו באמריקה</w:t>
      </w:r>
      <w:bookmarkStart w:id="6206" w:name="_fnr4647"/>
      <w:r>
        <w:rPr>
          <w:rStyle w:val="a5"/>
        </w:rPr>
        <w:footnoteReference w:id="4658" w:customMarkFollows="0"/>
      </w:r>
      <w:bookmarkEnd w:id="6206"/>
      <w:r>
        <w:rPr>
          <w:rtl/>
        </w:rPr>
        <w:t xml:space="preserve"> מעשה שהיה. הוא בא </w:t>
      </w:r>
      <w:proofErr w:type="spellStart"/>
      <w:r>
        <w:rPr>
          <w:rtl/>
        </w:rPr>
        <w:t>לסלבודקה</w:t>
      </w:r>
      <w:proofErr w:type="spellEnd"/>
      <w:r>
        <w:rPr>
          <w:rtl/>
        </w:rPr>
        <w:t xml:space="preserve"> </w:t>
      </w:r>
      <w:proofErr w:type="spellStart"/>
      <w:r>
        <w:rPr>
          <w:rtl/>
        </w:rPr>
        <w:t>מראדין</w:t>
      </w:r>
      <w:proofErr w:type="spellEnd"/>
      <w:r>
        <w:rPr>
          <w:rtl/>
        </w:rPr>
        <w:t xml:space="preserve">, שם נהגו בדרך כלל לגדל זקן. שלושה ימים ישב בבית המדרש בלי שאיש יתייחס אליו, ואז ניגש אל הסבא להשמיע את טענתו. הסבא השיב: “באת ללמוד כאן? והרי כשראינו שאתה בעל זקן חשבנו שאתה בעל תשובה מברלין! אנשים כאלה באים הנה לעיתים קרובות לראות כיצד נראית ישיבה”. מסתבר שהסבא ידע היטב לשם מה בא ר׳ דוד לישיבה; ר׳ </w:t>
      </w:r>
      <w:proofErr w:type="spellStart"/>
      <w:r>
        <w:rPr>
          <w:rtl/>
        </w:rPr>
        <w:t>נתן־צבי</w:t>
      </w:r>
      <w:proofErr w:type="spellEnd"/>
      <w:r>
        <w:rPr>
          <w:rtl/>
        </w:rPr>
        <w:t xml:space="preserve"> </w:t>
      </w:r>
      <w:proofErr w:type="spellStart"/>
      <w:r>
        <w:rPr>
          <w:rtl/>
        </w:rPr>
        <w:t>פינקל</w:t>
      </w:r>
      <w:proofErr w:type="spellEnd"/>
      <w:r>
        <w:rPr>
          <w:rtl/>
        </w:rPr>
        <w:t xml:space="preserve"> רק רמז בכך שהוא רוצה שהתלמיד החדש יקצר את זקנו, כמו שאר התלמידים.</w:t>
      </w:r>
    </w:p>
    <w:p w14:paraId="46B05F39" w14:textId="77777777" w:rsidR="00AB3647" w:rsidRDefault="00000000" w:rsidP="007923E9">
      <w:pPr>
        <w:spacing w:after="120" w:line="276" w:lineRule="auto"/>
        <w:ind w:firstLine="283"/>
        <w:jc w:val="both"/>
      </w:pPr>
      <w:r>
        <w:rPr>
          <w:rtl/>
        </w:rPr>
        <w:t>מאמר מגמתי</w:t>
      </w:r>
      <w:bookmarkStart w:id="6207" w:name="_fnr4648"/>
      <w:r>
        <w:rPr>
          <w:rStyle w:val="a5"/>
        </w:rPr>
        <w:footnoteReference w:id="4659" w:customMarkFollows="0"/>
      </w:r>
      <w:bookmarkEnd w:id="6207"/>
      <w:r>
        <w:rPr>
          <w:rtl/>
        </w:rPr>
        <w:t xml:space="preserve"> מאת הרב טוביה בלוי, “</w:t>
      </w:r>
      <w:proofErr w:type="spellStart"/>
      <w:r>
        <w:rPr>
          <w:rtl/>
        </w:rPr>
        <w:t>נצחון</w:t>
      </w:r>
      <w:proofErr w:type="spellEnd"/>
      <w:r>
        <w:rPr>
          <w:rtl/>
        </w:rPr>
        <w:t xml:space="preserve"> </w:t>
      </w:r>
      <w:proofErr w:type="spellStart"/>
      <w:r>
        <w:rPr>
          <w:rtl/>
        </w:rPr>
        <w:t>הבעש״ט</w:t>
      </w:r>
      <w:proofErr w:type="spellEnd"/>
      <w:r>
        <w:rPr>
          <w:rtl/>
        </w:rPr>
        <w:t xml:space="preserve"> </w:t>
      </w:r>
      <w:proofErr w:type="spellStart"/>
      <w:r>
        <w:rPr>
          <w:rtl/>
        </w:rPr>
        <w:t>הק</w:t>
      </w:r>
      <w:proofErr w:type="spellEnd"/>
      <w:r>
        <w:rPr>
          <w:rtl/>
        </w:rPr>
        <w:t xml:space="preserve">׳”, מספר </w:t>
      </w:r>
      <w:proofErr w:type="spellStart"/>
      <w:r>
        <w:rPr>
          <w:rtl/>
        </w:rPr>
        <w:t>ש“אחד</w:t>
      </w:r>
      <w:proofErr w:type="spellEnd"/>
      <w:r>
        <w:rPr>
          <w:rtl/>
        </w:rPr>
        <w:t xml:space="preserve"> מזקני ירושלים” אמר למחבר שכאשר בא הסבא לארץ ישראל, הלכה משלחת בראשות ר׳ דוד </w:t>
      </w:r>
      <w:proofErr w:type="spellStart"/>
      <w:r>
        <w:rPr>
          <w:rtl/>
        </w:rPr>
        <w:t>בהר״ן</w:t>
      </w:r>
      <w:proofErr w:type="spellEnd"/>
      <w:r>
        <w:rPr>
          <w:rtl/>
        </w:rPr>
        <w:t xml:space="preserve"> להביע את מורת רוחה </w:t>
      </w:r>
      <w:proofErr w:type="spellStart"/>
      <w:r>
        <w:rPr>
          <w:rtl/>
        </w:rPr>
        <w:t>מ“קולות</w:t>
      </w:r>
      <w:proofErr w:type="spellEnd"/>
      <w:r>
        <w:rPr>
          <w:rtl/>
        </w:rPr>
        <w:t xml:space="preserve"> </w:t>
      </w:r>
      <w:proofErr w:type="spellStart"/>
      <w:r>
        <w:rPr>
          <w:rtl/>
        </w:rPr>
        <w:t>מסויימות</w:t>
      </w:r>
      <w:proofErr w:type="spellEnd"/>
      <w:r>
        <w:rPr>
          <w:rtl/>
        </w:rPr>
        <w:t xml:space="preserve">” שנהגו בחורי </w:t>
      </w:r>
      <w:proofErr w:type="spellStart"/>
      <w:r>
        <w:rPr>
          <w:rtl/>
        </w:rPr>
        <w:t>סלבודקה</w:t>
      </w:r>
      <w:proofErr w:type="spellEnd"/>
      <w:r>
        <w:rPr>
          <w:rtl/>
        </w:rPr>
        <w:t xml:space="preserve"> – מסתבר שהכוונה ללבושם ולמראם המודרני. הסבא השיב בשאלה: “וכסטודנטים [חילונים] אתם אוהבים את מראם?” אם חילופי הדברים נאמנים למציאות, רמז הסבא בחריפותו כך: מאבקה של היהדות המסורתית באותה עת היה למנוע מצעיריה לעבור לעולם האוניברסיטאות, ולכן הלבוש והטיפוח המודרניים של תלמידי ישיבתו היו מדי הקרב של צבאו.</w:t>
      </w:r>
    </w:p>
    <w:p w14:paraId="7741EC1D" w14:textId="77777777" w:rsidR="00AB3647" w:rsidRDefault="00000000" w:rsidP="007923E9">
      <w:pPr>
        <w:spacing w:after="120" w:line="276" w:lineRule="auto"/>
        <w:ind w:firstLine="283"/>
        <w:jc w:val="both"/>
      </w:pPr>
      <w:r>
        <w:rPr>
          <w:rtl/>
        </w:rPr>
        <w:t xml:space="preserve">אכן היו ביישוב הישן שהסתייגו מלבושם של תלמידי הישיבה שזה מקרוב באו, אבל מסופר שר׳ </w:t>
      </w:r>
      <w:proofErr w:type="spellStart"/>
      <w:r>
        <w:rPr>
          <w:rtl/>
        </w:rPr>
        <w:t>יוסף־חיים</w:t>
      </w:r>
      <w:proofErr w:type="spellEnd"/>
      <w:r>
        <w:rPr>
          <w:rtl/>
        </w:rPr>
        <w:t xml:space="preserve"> </w:t>
      </w:r>
      <w:proofErr w:type="spellStart"/>
      <w:r>
        <w:rPr>
          <w:rtl/>
        </w:rPr>
        <w:t>זוננפלד</w:t>
      </w:r>
      <w:proofErr w:type="spellEnd"/>
      <w:r>
        <w:rPr>
          <w:rtl/>
        </w:rPr>
        <w:t xml:space="preserve"> (תר״ט–תרצ״ב), רבה של ירושלים, השתיק את המבקרים באמרו: “הניחו להם: הם שיביאו את המשיח”. ייתכן שהתכוון לאותו רעיון שהביע ר׳ </w:t>
      </w:r>
      <w:proofErr w:type="spellStart"/>
      <w:r>
        <w:rPr>
          <w:rtl/>
        </w:rPr>
        <w:t>נתן־צבי</w:t>
      </w:r>
      <w:proofErr w:type="spellEnd"/>
      <w:r>
        <w:rPr>
          <w:rtl/>
        </w:rPr>
        <w:t xml:space="preserve"> </w:t>
      </w:r>
      <w:proofErr w:type="spellStart"/>
      <w:r>
        <w:rPr>
          <w:rtl/>
        </w:rPr>
        <w:t>פינקל</w:t>
      </w:r>
      <w:proofErr w:type="spellEnd"/>
      <w:r>
        <w:rPr>
          <w:rtl/>
        </w:rPr>
        <w:t xml:space="preserve"> בפני ר׳ דוד </w:t>
      </w:r>
      <w:proofErr w:type="spellStart"/>
      <w:r>
        <w:rPr>
          <w:rtl/>
        </w:rPr>
        <w:t>בהר״ן</w:t>
      </w:r>
      <w:proofErr w:type="spellEnd"/>
      <w:r>
        <w:rPr>
          <w:rtl/>
        </w:rPr>
        <w:t>.</w:t>
      </w:r>
    </w:p>
    <w:p w14:paraId="370C0FA5" w14:textId="77777777" w:rsidR="00AB3647" w:rsidRDefault="00000000" w:rsidP="007923E9">
      <w:pPr>
        <w:spacing w:after="120" w:line="276" w:lineRule="auto"/>
        <w:ind w:firstLine="283"/>
        <w:jc w:val="both"/>
      </w:pPr>
      <w:r>
        <w:rPr>
          <w:rtl/>
        </w:rPr>
        <w:t xml:space="preserve">להפתעת רבים שלח הרב </w:t>
      </w:r>
      <w:proofErr w:type="spellStart"/>
      <w:r>
        <w:rPr>
          <w:rtl/>
        </w:rPr>
        <w:t>זוננפלד</w:t>
      </w:r>
      <w:proofErr w:type="spellEnd"/>
      <w:r>
        <w:rPr>
          <w:rtl/>
        </w:rPr>
        <w:t xml:space="preserve"> את נכדיו שלו ללמוד בישיבת </w:t>
      </w:r>
      <w:proofErr w:type="spellStart"/>
      <w:r>
        <w:rPr>
          <w:rtl/>
        </w:rPr>
        <w:t>סלבודקה</w:t>
      </w:r>
      <w:proofErr w:type="spellEnd"/>
      <w:r>
        <w:rPr>
          <w:rtl/>
        </w:rPr>
        <w:t xml:space="preserve"> בחברון. ר׳ חיים </w:t>
      </w:r>
      <w:proofErr w:type="spellStart"/>
      <w:r>
        <w:rPr>
          <w:rtl/>
        </w:rPr>
        <w:t>סרנא</w:t>
      </w:r>
      <w:proofErr w:type="spellEnd"/>
      <w:r>
        <w:rPr>
          <w:rtl/>
        </w:rPr>
        <w:t xml:space="preserve"> סיפר</w:t>
      </w:r>
      <w:bookmarkStart w:id="6208" w:name="_fnr4649"/>
      <w:r>
        <w:rPr>
          <w:rStyle w:val="a5"/>
        </w:rPr>
        <w:footnoteReference w:id="4660" w:customMarkFollows="0"/>
      </w:r>
      <w:bookmarkEnd w:id="6208"/>
      <w:r>
        <w:rPr>
          <w:rtl/>
        </w:rPr>
        <w:t xml:space="preserve"> שר׳ </w:t>
      </w:r>
      <w:proofErr w:type="spellStart"/>
      <w:r>
        <w:rPr>
          <w:rtl/>
        </w:rPr>
        <w:t>יוסף־חיים</w:t>
      </w:r>
      <w:proofErr w:type="spellEnd"/>
      <w:r>
        <w:rPr>
          <w:rtl/>
        </w:rPr>
        <w:t xml:space="preserve"> אמר את הדברים על המשיח לא על התלמידים, אלא על הסבא </w:t>
      </w:r>
      <w:r>
        <w:rPr>
          <w:rtl/>
        </w:rPr>
        <w:lastRenderedPageBreak/>
        <w:t xml:space="preserve">עצמו. באותו ריאיון סיפר ר׳ חיים </w:t>
      </w:r>
      <w:proofErr w:type="spellStart"/>
      <w:r>
        <w:rPr>
          <w:rtl/>
        </w:rPr>
        <w:t>סרנא</w:t>
      </w:r>
      <w:proofErr w:type="spellEnd"/>
      <w:r>
        <w:rPr>
          <w:rtl/>
        </w:rPr>
        <w:t xml:space="preserve">: “הסבא חזר ואמר לאבי ר׳ </w:t>
      </w:r>
      <w:proofErr w:type="spellStart"/>
      <w:r>
        <w:rPr>
          <w:rtl/>
        </w:rPr>
        <w:t>חצקל</w:t>
      </w:r>
      <w:proofErr w:type="spellEnd"/>
      <w:r>
        <w:rPr>
          <w:rtl/>
        </w:rPr>
        <w:t xml:space="preserve"> </w:t>
      </w:r>
      <w:proofErr w:type="spellStart"/>
      <w:r>
        <w:rPr>
          <w:rtl/>
        </w:rPr>
        <w:t>סרנא</w:t>
      </w:r>
      <w:proofErr w:type="spellEnd"/>
      <w:r>
        <w:rPr>
          <w:rtl/>
        </w:rPr>
        <w:t xml:space="preserve"> להעביר את הישיבה מחברון, ואמר: ‘אינני יודע אם האבות מרוצים מהנהגתנו’. כשהיה הסבא חולה בירושלים [כמעט שלוש שנים לפני הטבח בחברון], שאל שוב את ר׳ </w:t>
      </w:r>
      <w:proofErr w:type="spellStart"/>
      <w:r>
        <w:rPr>
          <w:rtl/>
        </w:rPr>
        <w:t>חצקל</w:t>
      </w:r>
      <w:proofErr w:type="spellEnd"/>
      <w:r>
        <w:rPr>
          <w:rtl/>
        </w:rPr>
        <w:t xml:space="preserve"> מדוע אין הישיבה יוצאת מחברון. כשהשיב [הלה]: ‘מען </w:t>
      </w:r>
      <w:proofErr w:type="spellStart"/>
      <w:r>
        <w:rPr>
          <w:rtl/>
        </w:rPr>
        <w:t>קען</w:t>
      </w:r>
      <w:proofErr w:type="spellEnd"/>
      <w:r>
        <w:rPr>
          <w:rtl/>
        </w:rPr>
        <w:t xml:space="preserve"> ניט [אין אנו יכולים]’, השיב הסבא: ‘מען </w:t>
      </w:r>
      <w:proofErr w:type="spellStart"/>
      <w:r>
        <w:rPr>
          <w:rtl/>
        </w:rPr>
        <w:t>קען</w:t>
      </w:r>
      <w:proofErr w:type="spellEnd"/>
      <w:r>
        <w:rPr>
          <w:rtl/>
        </w:rPr>
        <w:t xml:space="preserve"> ניט?! </w:t>
      </w:r>
      <w:proofErr w:type="spellStart"/>
      <w:r>
        <w:rPr>
          <w:rtl/>
        </w:rPr>
        <w:t>זאג</w:t>
      </w:r>
      <w:proofErr w:type="spellEnd"/>
      <w:r>
        <w:rPr>
          <w:rtl/>
        </w:rPr>
        <w:t xml:space="preserve"> אז מען וויל ניט [אין אתם יכולים?! אמור שאין אתם רוצים]’”. לא ברור איזו “הנהגה” של ישיבת </w:t>
      </w:r>
      <w:proofErr w:type="spellStart"/>
      <w:r>
        <w:rPr>
          <w:rtl/>
        </w:rPr>
        <w:t>סלבודקה</w:t>
      </w:r>
      <w:proofErr w:type="spellEnd"/>
      <w:r>
        <w:rPr>
          <w:rtl/>
        </w:rPr>
        <w:t xml:space="preserve"> העיקה על מצפונו של הסבא; אבל ודאי לא היה זה סגנון לבושם וטיפוחם של הבחורים.</w:t>
      </w:r>
    </w:p>
    <w:p w14:paraId="64C0F133" w14:textId="77777777" w:rsidR="00AB3647" w:rsidRDefault="00000000" w:rsidP="007923E9">
      <w:pPr>
        <w:spacing w:after="120" w:line="276" w:lineRule="auto"/>
        <w:ind w:firstLine="283"/>
        <w:jc w:val="both"/>
      </w:pPr>
      <w:r>
        <w:rPr>
          <w:rtl/>
        </w:rPr>
        <w:t xml:space="preserve">על המראה הנדרש מתלמיד </w:t>
      </w:r>
      <w:proofErr w:type="spellStart"/>
      <w:r>
        <w:rPr>
          <w:rtl/>
        </w:rPr>
        <w:t>סלבודקה</w:t>
      </w:r>
      <w:proofErr w:type="spellEnd"/>
      <w:r>
        <w:rPr>
          <w:rtl/>
        </w:rPr>
        <w:t xml:space="preserve"> סיפר אבי סיפור משעשע</w:t>
      </w:r>
      <w:bookmarkStart w:id="6209" w:name="_fnr4650"/>
      <w:r>
        <w:rPr>
          <w:rStyle w:val="a5"/>
        </w:rPr>
        <w:footnoteReference w:id="4661" w:customMarkFollows="0"/>
      </w:r>
      <w:bookmarkEnd w:id="6209"/>
      <w:r>
        <w:rPr>
          <w:rtl/>
        </w:rPr>
        <w:t xml:space="preserve">: אדם עשיר בא </w:t>
      </w:r>
      <w:proofErr w:type="spellStart"/>
      <w:r>
        <w:rPr>
          <w:rtl/>
        </w:rPr>
        <w:t>לסלבודקה</w:t>
      </w:r>
      <w:proofErr w:type="spellEnd"/>
      <w:r>
        <w:rPr>
          <w:rtl/>
        </w:rPr>
        <w:t xml:space="preserve"> וביקש מר׳ </w:t>
      </w:r>
      <w:proofErr w:type="spellStart"/>
      <w:r>
        <w:rPr>
          <w:rtl/>
        </w:rPr>
        <w:t>משה־מרדכי</w:t>
      </w:r>
      <w:proofErr w:type="spellEnd"/>
      <w:r>
        <w:rPr>
          <w:rtl/>
        </w:rPr>
        <w:t xml:space="preserve"> להמליץ לו על חתן לבתו, שבו יתמוך לאחר החתונה. ראש הישיבה אמר לאורח להישאר בישיבה בסדר הבוקר ולעקוב אחר בחור מסוים שהצביע עליו. האורח ראה את הצעיר לומד בשקידה, ותלמידים אחרים באים אליו לבקש עזרה, והתרשם. לפני מנחה ניגש אל ראש הישיבה והביע נכונות להתקדם בשידוך. אבל אחרי מנחה כבר חזר בו: הוא אמר </w:t>
      </w:r>
      <w:proofErr w:type="spellStart"/>
      <w:r>
        <w:rPr>
          <w:rtl/>
        </w:rPr>
        <w:t>לר</w:t>
      </w:r>
      <w:proofErr w:type="spellEnd"/>
      <w:r>
        <w:rPr>
          <w:rtl/>
        </w:rPr>
        <w:t xml:space="preserve">׳ </w:t>
      </w:r>
      <w:proofErr w:type="spellStart"/>
      <w:r>
        <w:rPr>
          <w:rtl/>
        </w:rPr>
        <w:t>משה־מרדכי</w:t>
      </w:r>
      <w:proofErr w:type="spellEnd"/>
      <w:r>
        <w:rPr>
          <w:rtl/>
        </w:rPr>
        <w:t xml:space="preserve"> שהבחור חגר </w:t>
      </w:r>
      <w:proofErr w:type="spellStart"/>
      <w:r>
        <w:rPr>
          <w:rtl/>
        </w:rPr>
        <w:t>גארטל</w:t>
      </w:r>
      <w:proofErr w:type="spellEnd"/>
      <w:r>
        <w:rPr>
          <w:rtl/>
        </w:rPr>
        <w:t xml:space="preserve"> לתפילה. כשהבטיח לו ראש הישיבה שהצעיר אינו חסיד, טען האורח: “אבל בהתנהגות כזאת הוא עלול להוליד בן שיהיה חסיד”.</w:t>
      </w:r>
    </w:p>
    <w:p w14:paraId="58F21D93" w14:textId="77777777" w:rsidR="00AB3647" w:rsidRDefault="00000000" w:rsidP="007923E9">
      <w:pPr>
        <w:spacing w:after="120" w:line="276" w:lineRule="auto"/>
        <w:ind w:firstLine="283"/>
        <w:jc w:val="both"/>
      </w:pPr>
      <w:r>
        <w:rPr>
          <w:rtl/>
        </w:rPr>
        <w:t xml:space="preserve">כשנשאל אבי באמריקה על היתר השימוש במכונת גילוח חשמלית, אמר </w:t>
      </w:r>
      <w:proofErr w:type="spellStart"/>
      <w:r>
        <w:rPr>
          <w:rtl/>
        </w:rPr>
        <w:t>שבסלבודקה</w:t>
      </w:r>
      <w:proofErr w:type="spellEnd"/>
      <w:r>
        <w:rPr>
          <w:rtl/>
        </w:rPr>
        <w:t xml:space="preserve"> השתמשו במכונות תספורת שהשאירו זיפים קצרים על הפנים</w:t>
      </w:r>
      <w:bookmarkStart w:id="6210" w:name="_fnr4651"/>
      <w:r>
        <w:rPr>
          <w:rStyle w:val="a5"/>
        </w:rPr>
        <w:footnoteReference w:id="4662" w:customMarkFollows="0"/>
      </w:r>
      <w:bookmarkEnd w:id="6210"/>
      <w:r>
        <w:rPr>
          <w:rtl/>
        </w:rPr>
        <w:t>. אבי מעולם לא פסק שהשימוש במכונת גילוח חשמלית מותר בהלכה.</w:t>
      </w:r>
    </w:p>
    <w:bookmarkStart w:id="6211" w:name="b5_excB"/>
    <w:p w14:paraId="5B656765" w14:textId="77777777" w:rsidR="00AB3647" w:rsidRDefault="00000000" w:rsidP="007923E9">
      <w:pPr>
        <w:pStyle w:val="3"/>
        <w:spacing w:line="276" w:lineRule="auto"/>
      </w:pPr>
      <w:r>
        <w:lastRenderedPageBreak/>
        <w:fldChar w:fldCharType="begin" w:dirty="true"/>
      </w:r>
      <w:r>
        <w:rPr>
          <w:rtl w:val="0"/>
        </w:rPr>
        <w:instrText>HYPERLINK \l "b5_note2</w:instrText>
      </w:r>
      <w:r>
        <w:instrText>"</w:instrText>
      </w:r>
      <w:r>
        <w:fldChar w:fldCharType="separate"/>
      </w:r>
      <w:r>
        <w:t>נספח ב</w:t>
      </w:r>
      <w:r>
        <w:fldChar w:fldCharType="end"/>
      </w:r>
      <w:bookmarkEnd w:id="6211"/>
    </w:p>
    <w:p w14:paraId="5C3C631C" w14:textId="77777777" w:rsidR="00AB3647" w:rsidRDefault="00000000" w:rsidP="007923E9">
      <w:pPr>
        <w:pStyle w:val="af"/>
        <w:spacing w:line="276" w:lineRule="auto"/>
      </w:pPr>
      <w:r>
        <w:t xml:space="preserve">על מאמצו השכלי של ר׳ ישראל </w:t>
      </w:r>
      <w:proofErr w:type="spellStart"/>
      <w:r>
        <w:t>סלנטר</w:t>
      </w:r>
      <w:proofErr w:type="spellEnd"/>
      <w:r>
        <w:t>, על פסקו המדהים להצלת חייו ועל מורת רוחו מדרכו להרוויח את לחמו</w:t>
      </w:r>
    </w:p>
    <w:p w14:paraId="13B305B6" w14:textId="77777777" w:rsidR="00AB3647" w:rsidRDefault="00000000" w:rsidP="007923E9">
      <w:pPr>
        <w:pStyle w:val="4"/>
        <w:spacing w:line="276" w:lineRule="auto"/>
      </w:pPr>
      <w:r>
        <w:t>· הפסקה הראשונה ·</w:t>
      </w:r>
    </w:p>
    <w:p w14:paraId="55EED71B" w14:textId="77777777" w:rsidR="00AB3647" w:rsidRDefault="00000000" w:rsidP="007923E9">
      <w:pPr>
        <w:pStyle w:val="5"/>
        <w:spacing w:line="276" w:lineRule="auto"/>
      </w:pPr>
      <w:r>
        <w:t xml:space="preserve">הרגל העישון והכישלון בשליטה עצמית – פרשת העישון של רבנו </w:t>
      </w:r>
      <w:proofErr w:type="spellStart"/>
      <w:r>
        <w:t>בציטוביאן</w:t>
      </w:r>
      <w:proofErr w:type="spellEnd"/>
      <w:r>
        <w:t xml:space="preserve"> – חזרה להרגל והתגברות עליו בתורה ודעת – הפרידה הסופית מן הסיגריות – דעתו המאוחרת על העישון – הצהרת רבנו מדוע עלה עליו ר׳ אהרן קוטלר בלימוד – ההשתמטות המוצלחת מגיוס לצבא הצאר – מה הביא את ר׳ </w:t>
      </w:r>
      <w:proofErr w:type="spellStart"/>
      <w:r>
        <w:t>שלמה־זלמן</w:t>
      </w:r>
      <w:proofErr w:type="spellEnd"/>
      <w:r>
        <w:t xml:space="preserve"> </w:t>
      </w:r>
      <w:proofErr w:type="spellStart"/>
      <w:r>
        <w:t xml:space="preserve">אוירבך</w:t>
      </w:r>
      <w:proofErr w:type="spellEnd"/>
      <w:r>
        <w:t xml:space="preserve"> להפסיק לעשן – גרסה נוספת להסבר רבנו מדוע עלה עליו ר׳ אהרן קוטלר</w:t>
      </w:r>
    </w:p>
    <w:p w14:paraId="46BF054B" w14:textId="77777777" w:rsidR="00AB3647" w:rsidRDefault="00000000" w:rsidP="007923E9">
      <w:pPr>
        <w:spacing w:after="120" w:line="276" w:lineRule="auto"/>
        <w:ind w:firstLine="283"/>
        <w:jc w:val="both"/>
      </w:pPr>
      <w:r>
        <w:rPr>
          <w:rtl/>
        </w:rPr>
        <w:t xml:space="preserve">ר׳ דוד </w:t>
      </w:r>
      <w:proofErr w:type="spellStart"/>
      <w:r>
        <w:rPr>
          <w:rtl/>
        </w:rPr>
        <w:t>צימט</w:t>
      </w:r>
      <w:bookmarkStart w:id="6212" w:name="_fnr4652"/>
      <w:proofErr w:type="spellEnd"/>
      <w:r>
        <w:rPr>
          <w:rStyle w:val="a5"/>
        </w:rPr>
        <w:footnoteReference w:id="4663" w:customMarkFollows="0"/>
      </w:r>
      <w:bookmarkEnd w:id="6212"/>
      <w:r>
        <w:rPr>
          <w:rtl/>
        </w:rPr>
        <w:t>, תלמיד מתיבתא תורה ודעת (תש״ד–תש״ח), סיפר שבאחת משיחותיו השבועיות</w:t>
      </w:r>
      <w:bookmarkStart w:id="6213" w:name="_fnr4653"/>
      <w:r>
        <w:rPr>
          <w:rStyle w:val="a5"/>
        </w:rPr>
        <w:footnoteReference w:id="4664" w:customMarkFollows="0"/>
      </w:r>
      <w:bookmarkEnd w:id="6213"/>
      <w:r>
        <w:rPr>
          <w:rtl/>
        </w:rPr>
        <w:t xml:space="preserve"> דיבר רבנו על שליטה עצמית, וסיפר מדוע הפסיק לעשן בצעירותו: פעם אזלו הסיגריות שלו, וביקש אבי מן השמש הגוי שלו לגלגל לו סיגריה מטבק </w:t>
      </w:r>
      <w:proofErr w:type="spellStart"/>
      <w:r>
        <w:rPr>
          <w:rtl/>
        </w:rPr>
        <w:t>המחורקה</w:t>
      </w:r>
      <w:proofErr w:type="spellEnd"/>
      <w:r>
        <w:rPr>
          <w:rtl/>
        </w:rPr>
        <w:t xml:space="preserve"> הזול שלו. כשבחן אחר כך לאיזו שפלות הביאה אותו תשוקתו לטבק, הפסיק רבנו לעשן</w:t>
      </w:r>
      <w:bookmarkStart w:id="6214" w:name="_fnr4654"/>
      <w:r>
        <w:rPr>
          <w:rStyle w:val="a5"/>
        </w:rPr>
        <w:footnoteReference w:id="4665" w:customMarkFollows="0"/>
      </w:r>
      <w:bookmarkEnd w:id="6214"/>
      <w:r>
        <w:rPr>
          <w:rtl/>
        </w:rPr>
        <w:t>.</w:t>
      </w:r>
    </w:p>
    <w:p w14:paraId="293AE9F6" w14:textId="77777777" w:rsidR="00AB3647" w:rsidRDefault="00000000" w:rsidP="007923E9">
      <w:pPr>
        <w:spacing w:after="120" w:line="276" w:lineRule="auto"/>
        <w:ind w:firstLine="283"/>
        <w:jc w:val="both"/>
      </w:pPr>
      <w:bookmarkStart w:id="6215" w:name="pr_b_2619"/>
      <w:bookmarkEnd w:id="6215"/>
      <w:r>
        <w:rPr>
          <w:rtl/>
        </w:rPr>
        <w:t xml:space="preserve">אבל פרידתו מן ההרגל הייתה זמנית. לא ברור מתי שב לעשן, אבל כשגר </w:t>
      </w:r>
      <w:proofErr w:type="spellStart"/>
      <w:r>
        <w:rPr>
          <w:rtl/>
        </w:rPr>
        <w:t>בציטוביאן</w:t>
      </w:r>
      <w:proofErr w:type="spellEnd"/>
      <w:r>
        <w:rPr>
          <w:rtl/>
        </w:rPr>
        <w:t xml:space="preserve">, שבה התחיל לכהן כרב </w:t>
      </w:r>
      <w:proofErr w:type="spellStart"/>
      <w:r>
        <w:rPr>
          <w:rtl/>
        </w:rPr>
        <w:t>בתרפ״ו</w:t>
      </w:r>
      <w:proofErr w:type="spellEnd"/>
      <w:r>
        <w:rPr>
          <w:rtl/>
        </w:rPr>
        <w:t xml:space="preserve">, כבר היה שוב מכור. המעבר מאברך כולל למנהיג רוחני האחראי לשלומה של עיירה שלמה, אף כי קטנה, עשוי היה להפעיל עליו לחץ שהעישון הקל עליו. ר׳ </w:t>
      </w:r>
      <w:proofErr w:type="spellStart"/>
      <w:r>
        <w:rPr>
          <w:rtl/>
        </w:rPr>
        <w:t>יאשה־לייזר</w:t>
      </w:r>
      <w:proofErr w:type="spellEnd"/>
      <w:r>
        <w:rPr>
          <w:rtl/>
        </w:rPr>
        <w:t xml:space="preserve"> </w:t>
      </w:r>
      <w:proofErr w:type="spellStart"/>
      <w:r>
        <w:rPr>
          <w:rtl/>
        </w:rPr>
        <w:t>סנסוליס</w:t>
      </w:r>
      <w:proofErr w:type="spellEnd"/>
      <w:r>
        <w:rPr>
          <w:rtl/>
        </w:rPr>
        <w:t xml:space="preserve">, יליד </w:t>
      </w:r>
      <w:proofErr w:type="spellStart"/>
      <w:r>
        <w:rPr>
          <w:rtl/>
        </w:rPr>
        <w:t>ציטוביאן</w:t>
      </w:r>
      <w:bookmarkStart w:id="6216" w:name="_fnr4655"/>
      <w:proofErr w:type="spellEnd"/>
      <w:r>
        <w:rPr>
          <w:rStyle w:val="a5"/>
        </w:rPr>
        <w:footnoteReference w:id="4666" w:customMarkFollows="0"/>
      </w:r>
      <w:bookmarkEnd w:id="6216"/>
      <w:r>
        <w:rPr>
          <w:rtl/>
        </w:rPr>
        <w:t>, זכר</w:t>
      </w:r>
      <w:bookmarkStart w:id="6217" w:name="_fnr4656"/>
      <w:r>
        <w:rPr>
          <w:rStyle w:val="a5"/>
        </w:rPr>
        <w:footnoteReference w:id="4667" w:customMarkFollows="0"/>
      </w:r>
      <w:bookmarkEnd w:id="6217"/>
      <w:r>
        <w:rPr>
          <w:rtl/>
        </w:rPr>
        <w:t xml:space="preserve"> שבעיירה סיפרו שאבי עשה שני דברים כהכנה לשבת: קילף פתיתים מחפיסת סבון כדי להמיסם לשימוש בשבת, ומילא בקבוק בעשן סיגריות כדי שיוכל לשאוף ממנו בשבת!</w:t>
      </w:r>
    </w:p>
    <w:p w14:paraId="542E426E" w14:textId="77777777" w:rsidR="00AB3647" w:rsidRDefault="00000000" w:rsidP="007923E9">
      <w:pPr>
        <w:spacing w:after="120" w:line="276" w:lineRule="auto"/>
        <w:ind w:firstLine="283"/>
        <w:jc w:val="both"/>
      </w:pPr>
      <w:bookmarkStart w:id="6218" w:name="pr_close_b_4120"/>
      <w:bookmarkEnd w:id="6218"/>
      <w:r>
        <w:rPr>
          <w:rtl/>
        </w:rPr>
        <w:t xml:space="preserve">מתי הפסיק אבי שוב לעשן נודע מפי ר׳ פרץ </w:t>
      </w:r>
      <w:proofErr w:type="spellStart"/>
      <w:r>
        <w:rPr>
          <w:rtl/>
        </w:rPr>
        <w:t>פוזן</w:t>
      </w:r>
      <w:bookmarkStart w:id="6219" w:name="_fnr4657"/>
      <w:proofErr w:type="spellEnd"/>
      <w:r>
        <w:rPr>
          <w:rStyle w:val="a5"/>
        </w:rPr>
        <w:footnoteReference w:id="4668" w:customMarkFollows="0"/>
      </w:r>
      <w:bookmarkEnd w:id="6219"/>
      <w:r>
        <w:rPr>
          <w:rtl/>
        </w:rPr>
        <w:t xml:space="preserve">, שסיפר: “בחתונתי בטורונטו, באב תש״ו, היה צורך באפר </w:t>
      </w:r>
      <w:proofErr w:type="spellStart"/>
      <w:r>
        <w:rPr>
          <w:rtl/>
        </w:rPr>
        <w:t>ל“אפר</w:t>
      </w:r>
      <w:proofErr w:type="spellEnd"/>
      <w:r>
        <w:rPr>
          <w:rtl/>
        </w:rPr>
        <w:t xml:space="preserve"> מקלה”</w:t>
      </w:r>
      <w:bookmarkStart w:id="6220" w:name="_fnr4658"/>
      <w:r>
        <w:rPr>
          <w:rStyle w:val="a5"/>
        </w:rPr>
        <w:footnoteReference w:id="4669" w:customMarkFollows="0"/>
      </w:r>
      <w:bookmarkEnd w:id="6220"/>
      <w:r>
        <w:rPr>
          <w:rtl/>
        </w:rPr>
        <w:t xml:space="preserve">, והרב” – רבנו – “אמר: ‘אני יכול להדליק סיגריה [כדי ליצור אפר] בלי חשש שאשוב להתמכר’. הרב” – רבנו – “המשיך וסיפר: ‘ביום שישי ארוך של קיץ </w:t>
      </w:r>
      <w:proofErr w:type="spellStart"/>
      <w:r>
        <w:rPr>
          <w:rtl/>
        </w:rPr>
        <w:t>בסלבודקה</w:t>
      </w:r>
      <w:proofErr w:type="spellEnd"/>
      <w:r>
        <w:rPr>
          <w:rtl/>
        </w:rPr>
        <w:t xml:space="preserve"> היה חותני, ר׳ </w:t>
      </w:r>
      <w:proofErr w:type="spellStart"/>
      <w:r>
        <w:rPr>
          <w:rtl/>
        </w:rPr>
        <w:t xml:space="preserve">בער־הירש</w:t>
      </w:r>
      <w:proofErr w:type="spellEnd"/>
      <w:r>
        <w:rPr>
          <w:rtl/>
        </w:rPr>
        <w:t xml:space="preserve"> </w:t>
      </w:r>
      <w:proofErr w:type="spellStart"/>
      <w:r>
        <w:rPr>
          <w:rtl/>
        </w:rPr>
        <w:t xml:space="preserve">הלר</w:t>
      </w:r>
      <w:proofErr w:type="spellEnd"/>
      <w:r>
        <w:rPr>
          <w:rtl/>
        </w:rPr>
        <w:t xml:space="preserve">, גוסס, וחשבו שהוא עומד למות; הוא נאבק על כל נשימה ונשימה. הבנתי אז שעלול אני להתחרט יום אחד על אובדן אפילו </w:t>
      </w:r>
      <w:r>
        <w:rPr>
          <w:rtl/>
        </w:rPr>
        <w:lastRenderedPageBreak/>
        <w:t>נשימה אחת מחמת העישון, ולא חזרתי לעשן אחרי אותה שבת׳. סופו המפתיע של המעשה היה: ‘ואחרי כל זה הבריא החולה!’”</w:t>
      </w:r>
    </w:p>
    <w:p w14:paraId="0DB75B6B" w14:textId="77777777" w:rsidR="00AB3647" w:rsidRDefault="00000000" w:rsidP="007923E9">
      <w:pPr>
        <w:spacing w:after="120" w:line="276" w:lineRule="auto"/>
        <w:ind w:firstLine="283"/>
        <w:jc w:val="both"/>
      </w:pPr>
      <w:r>
        <w:rPr>
          <w:rtl/>
        </w:rPr>
        <w:t xml:space="preserve">לפי חשבוני אירע המעשה </w:t>
      </w:r>
      <w:proofErr w:type="spellStart"/>
      <w:r>
        <w:rPr>
          <w:rtl/>
        </w:rPr>
        <w:t>בתרצ״ב</w:t>
      </w:r>
      <w:proofErr w:type="spellEnd"/>
      <w:r>
        <w:rPr>
          <w:rtl/>
        </w:rPr>
        <w:t xml:space="preserve"> (שנה וחצי לפני שעבר ר׳ </w:t>
      </w:r>
      <w:proofErr w:type="spellStart"/>
      <w:r>
        <w:rPr>
          <w:rtl/>
        </w:rPr>
        <w:t xml:space="preserve">בער־הירש</w:t>
      </w:r>
      <w:proofErr w:type="spellEnd"/>
      <w:r>
        <w:rPr>
          <w:rtl/>
        </w:rPr>
        <w:t xml:space="preserve"> לארץ ישראל</w:t>
      </w:r>
      <w:bookmarkStart w:id="6221" w:name="_fnr4659"/>
      <w:r>
        <w:rPr>
          <w:rStyle w:val="a5"/>
        </w:rPr>
        <w:footnoteReference w:id="4670" w:customMarkFollows="0"/>
      </w:r>
      <w:bookmarkEnd w:id="6221"/>
      <w:r>
        <w:rPr>
          <w:rtl/>
        </w:rPr>
        <w:t xml:space="preserve">). נמצא שאבי עישן שוב בשש שנותיו הראשונות ברבנות </w:t>
      </w:r>
      <w:proofErr w:type="spellStart"/>
      <w:r>
        <w:rPr>
          <w:rtl/>
        </w:rPr>
        <w:t>ציטוביאן</w:t>
      </w:r>
      <w:proofErr w:type="spellEnd"/>
      <w:r>
        <w:rPr>
          <w:rtl/>
        </w:rPr>
        <w:t>, ואחר כך הפסיק.</w:t>
      </w:r>
    </w:p>
    <w:p w14:paraId="4E3AC919" w14:textId="77777777" w:rsidR="00AB3647" w:rsidRDefault="00000000" w:rsidP="007923E9">
      <w:pPr>
        <w:spacing w:after="120" w:line="276" w:lineRule="auto"/>
        <w:ind w:firstLine="283"/>
        <w:jc w:val="both"/>
      </w:pPr>
      <w:r>
        <w:rPr>
          <w:rtl/>
        </w:rPr>
        <w:t xml:space="preserve">אף שאבי קשר את המעשה עם חותנו להתגברותו על הרגל העישון, גם הפסקה זו הייתה זמנית בלבד. </w:t>
      </w:r>
      <w:proofErr w:type="spellStart"/>
      <w:r>
        <w:rPr>
          <w:rtl/>
        </w:rPr>
        <w:t>כחמש־עשרה</w:t>
      </w:r>
      <w:proofErr w:type="spellEnd"/>
      <w:r>
        <w:rPr>
          <w:rtl/>
        </w:rPr>
        <w:t xml:space="preserve"> שנה אחר כך התחיל לעשן בפעם השלישית, </w:t>
      </w:r>
      <w:proofErr w:type="spellStart"/>
      <w:r>
        <w:rPr>
          <w:rtl/>
        </w:rPr>
        <w:t>זמן־מה</w:t>
      </w:r>
      <w:proofErr w:type="spellEnd"/>
      <w:r>
        <w:rPr>
          <w:rtl/>
        </w:rPr>
        <w:t xml:space="preserve"> לאחר שהצטרף למתיבתא תורה ודעת – לא זמן רב אחרי מעשה </w:t>
      </w:r>
      <w:proofErr w:type="spellStart"/>
      <w:r>
        <w:rPr>
          <w:rtl/>
        </w:rPr>
        <w:t>פוזן</w:t>
      </w:r>
      <w:proofErr w:type="spellEnd"/>
      <w:r>
        <w:rPr>
          <w:rtl/>
        </w:rPr>
        <w:t xml:space="preserve">. לפי תלמיד מאותה תקופה, ר׳ משה </w:t>
      </w:r>
      <w:proofErr w:type="spellStart"/>
      <w:r>
        <w:rPr>
          <w:rtl/>
        </w:rPr>
        <w:t>שוואב</w:t>
      </w:r>
      <w:bookmarkStart w:id="6222" w:name="_fnr4660"/>
      <w:proofErr w:type="spellEnd"/>
      <w:r>
        <w:rPr>
          <w:rStyle w:val="a5"/>
        </w:rPr>
        <w:footnoteReference w:id="4671" w:customMarkFollows="0"/>
      </w:r>
      <w:bookmarkEnd w:id="6222"/>
      <w:r>
        <w:rPr>
          <w:rtl/>
        </w:rPr>
        <w:t>, היה אבי מוציא אולר מכיס אפודתו וחותך חפיסה של עשרים סיגריות באמצעה, כדי לעשות מהן ארבעים סיגריות. את האולר נשא אבי עמו כדי לנתח חלקים מסופקים של עופות, שנשות שכונת המתיבתא הביאו לעיתים לפסיקתו בענייני כשרות.</w:t>
      </w:r>
    </w:p>
    <w:p w14:paraId="4041AAE2" w14:textId="77777777" w:rsidR="00AB3647" w:rsidRDefault="00000000" w:rsidP="007923E9">
      <w:pPr>
        <w:spacing w:after="120" w:line="276" w:lineRule="auto"/>
        <w:ind w:firstLine="283"/>
        <w:jc w:val="both"/>
      </w:pPr>
      <w:r>
        <w:rPr>
          <w:rtl/>
        </w:rPr>
        <w:t xml:space="preserve">נראה שהמעבר מן הרבנות להוראה – והעדר ההערכה לדרך לימודו העצמאית, כפי שנידון בכרך 3 – החזירו את אבי להרגל שהיה נפוץ מאוד בחברת הישיבות באותה עת. אבל לא עבר זמן רב ושוב הפסיק לעשן, כשר׳ שמואל </w:t>
      </w:r>
      <w:proofErr w:type="spellStart"/>
      <w:r>
        <w:rPr>
          <w:rtl/>
        </w:rPr>
        <w:t>קושלביץ</w:t>
      </w:r>
      <w:proofErr w:type="spellEnd"/>
      <w:r>
        <w:rPr>
          <w:rtl/>
        </w:rPr>
        <w:t xml:space="preserve">, ראש ישיבה ותיק ומכובד מאוד (וחתנו של ר׳ </w:t>
      </w:r>
      <w:proofErr w:type="spellStart"/>
      <w:r>
        <w:rPr>
          <w:rtl/>
        </w:rPr>
        <w:t>בן־ציון</w:t>
      </w:r>
      <w:proofErr w:type="spellEnd"/>
      <w:r>
        <w:rPr>
          <w:rtl/>
        </w:rPr>
        <w:t xml:space="preserve"> </w:t>
      </w:r>
      <w:proofErr w:type="spellStart"/>
      <w:r>
        <w:rPr>
          <w:rtl/>
        </w:rPr>
        <w:t>לויתן</w:t>
      </w:r>
      <w:proofErr w:type="spellEnd"/>
      <w:r>
        <w:rPr>
          <w:rtl/>
        </w:rPr>
        <w:t xml:space="preserve">, רבה של </w:t>
      </w:r>
      <w:proofErr w:type="spellStart"/>
      <w:r>
        <w:rPr>
          <w:rtl/>
        </w:rPr>
        <w:t>שידלובה</w:t>
      </w:r>
      <w:bookmarkStart w:id="6223" w:name="_fnr4661"/>
      <w:proofErr w:type="spellEnd"/>
      <w:r>
        <w:rPr>
          <w:rStyle w:val="a5"/>
        </w:rPr>
        <w:footnoteReference w:id="4672" w:customMarkFollows="0"/>
      </w:r>
      <w:bookmarkEnd w:id="6223"/>
      <w:r>
        <w:rPr>
          <w:rtl/>
        </w:rPr>
        <w:t xml:space="preserve">, עיירה הסמוכה </w:t>
      </w:r>
      <w:proofErr w:type="spellStart"/>
      <w:r>
        <w:rPr>
          <w:rtl/>
        </w:rPr>
        <w:t>לציטוביאן</w:t>
      </w:r>
      <w:proofErr w:type="spellEnd"/>
      <w:r>
        <w:rPr>
          <w:rtl/>
        </w:rPr>
        <w:t>), נזף בו ואמר: “</w:t>
      </w:r>
      <w:proofErr w:type="spellStart"/>
      <w:r>
        <w:rPr>
          <w:rtl/>
        </w:rPr>
        <w:t>עס</w:t>
      </w:r>
      <w:proofErr w:type="spellEnd"/>
      <w:r>
        <w:rPr>
          <w:rtl/>
        </w:rPr>
        <w:t xml:space="preserve"> </w:t>
      </w:r>
      <w:proofErr w:type="spellStart"/>
      <w:r>
        <w:rPr>
          <w:rtl/>
        </w:rPr>
        <w:t>פאסט</w:t>
      </w:r>
      <w:proofErr w:type="spellEnd"/>
      <w:r>
        <w:rPr>
          <w:rtl/>
        </w:rPr>
        <w:t xml:space="preserve"> ניט [אין זה מתאים] לך לעשן”</w:t>
      </w:r>
      <w:bookmarkStart w:id="6224" w:name="_fnr4662"/>
      <w:r>
        <w:rPr>
          <w:rStyle w:val="a5"/>
        </w:rPr>
        <w:footnoteReference w:id="4673" w:customMarkFollows="0"/>
      </w:r>
      <w:bookmarkEnd w:id="6224"/>
      <w:r>
        <w:rPr>
          <w:rtl/>
        </w:rPr>
        <w:t>.</w:t>
      </w:r>
    </w:p>
    <w:p w14:paraId="32458209" w14:textId="77777777" w:rsidR="00AB3647" w:rsidRDefault="00000000" w:rsidP="007923E9">
      <w:pPr>
        <w:spacing w:after="120" w:line="276" w:lineRule="auto"/>
        <w:ind w:firstLine="283"/>
        <w:jc w:val="both"/>
      </w:pPr>
      <w:r>
        <w:rPr>
          <w:rtl/>
        </w:rPr>
        <w:t>אבל מאבקו בהתמכרות לא הסתיים, מפני שכעבור חמש שנים שב לעשן – עד שתי חפיסות ביום</w:t>
      </w:r>
      <w:bookmarkStart w:id="6225" w:name="_fnr4663"/>
      <w:r>
        <w:rPr>
          <w:rStyle w:val="a5"/>
        </w:rPr>
        <w:footnoteReference w:id="4674" w:customMarkFollows="0"/>
      </w:r>
      <w:bookmarkEnd w:id="6225"/>
      <w:r>
        <w:rPr>
          <w:rtl/>
        </w:rPr>
        <w:t xml:space="preserve">. רישומה של נזיפת ר׳ שמואל </w:t>
      </w:r>
      <w:proofErr w:type="spellStart"/>
      <w:r>
        <w:rPr>
          <w:rtl/>
        </w:rPr>
        <w:t>קושלביץ</w:t>
      </w:r>
      <w:proofErr w:type="spellEnd"/>
      <w:r>
        <w:rPr>
          <w:rtl/>
        </w:rPr>
        <w:t>, שכבר פרש אז, ודאי דהה ונמוג – בייחוד מפני שאבי כמעט לא הושפע משיקולים של מה “</w:t>
      </w:r>
      <w:proofErr w:type="spellStart"/>
      <w:r>
        <w:rPr>
          <w:rtl/>
        </w:rPr>
        <w:t>פאסט</w:t>
      </w:r>
      <w:proofErr w:type="spellEnd"/>
      <w:r>
        <w:rPr>
          <w:rtl/>
        </w:rPr>
        <w:t xml:space="preserve"> [מתאים]” ומה לא, ומסתבר שהפסיק לעשן אחרי אותה הערה רק כדי לרצות את האיש המבוגר והמכובד.</w:t>
      </w:r>
    </w:p>
    <w:p w14:paraId="2F9A5642" w14:textId="77777777" w:rsidR="00AB3647" w:rsidRDefault="00000000" w:rsidP="007923E9">
      <w:pPr>
        <w:spacing w:after="120" w:line="276" w:lineRule="auto"/>
        <w:ind w:firstLine="283"/>
        <w:jc w:val="both"/>
      </w:pPr>
      <w:r>
        <w:rPr>
          <w:rtl/>
        </w:rPr>
        <w:t xml:space="preserve">אבי הכניע את ההרגל לבסוף </w:t>
      </w:r>
      <w:proofErr w:type="spellStart"/>
      <w:r>
        <w:rPr>
          <w:rtl/>
        </w:rPr>
        <w:t>בתשי״ד</w:t>
      </w:r>
      <w:proofErr w:type="spellEnd"/>
      <w:r>
        <w:rPr>
          <w:rtl/>
        </w:rPr>
        <w:t xml:space="preserve">. רופא – שהיה בעצמו מעשן – לקח ממנו בבוקר יום שישי דגימת דם לבדיקה, ואמר לו שהעישון מזיק לבריאותו. החולה אמר שכשתיכנס השבת יניח את </w:t>
      </w:r>
      <w:proofErr w:type="spellStart"/>
      <w:r>
        <w:rPr>
          <w:rtl/>
        </w:rPr>
        <w:t>סיגריותיו</w:t>
      </w:r>
      <w:proofErr w:type="spellEnd"/>
      <w:r>
        <w:rPr>
          <w:rtl/>
        </w:rPr>
        <w:t xml:space="preserve"> ולא ישוב לקחתן. ביום שלישי שלאחר מכן, כשבא למרפאה לקבל את תוצאות הבדיקה, העיר רבנו שביקורו הקודם כבר הועיל במשהו: הוא הפסיק לעשן. הוא שאל את הרופא: “מדוע אינך הולך לרופא שיצווה עליך להפסיק לעשן – כפי שציווית עליי?” והלה השיב: “אשריך שיש לך שבת שבאמצעותה אתה יכול להפסיק את ההרגל”</w:t>
      </w:r>
      <w:bookmarkStart w:id="6226" w:name="_fnr4664"/>
      <w:r>
        <w:rPr>
          <w:rStyle w:val="a5"/>
        </w:rPr>
        <w:footnoteReference w:id="4675" w:customMarkFollows="0"/>
      </w:r>
      <w:bookmarkEnd w:id="6226"/>
      <w:r>
        <w:rPr>
          <w:rtl/>
        </w:rPr>
        <w:t>.</w:t>
      </w:r>
    </w:p>
    <w:p w14:paraId="4EEBE44A" w14:textId="77777777" w:rsidR="00AB3647" w:rsidRDefault="00000000" w:rsidP="007923E9">
      <w:pPr>
        <w:spacing w:after="120" w:line="276" w:lineRule="auto"/>
        <w:ind w:firstLine="283"/>
        <w:jc w:val="both"/>
      </w:pPr>
      <w:r>
        <w:rPr>
          <w:rtl/>
        </w:rPr>
        <w:t>אבי אמר שרק האמרה “אין לך דבר העומד בפני הרצון”</w:t>
      </w:r>
      <w:bookmarkStart w:id="6227" w:name="_fnr4665"/>
      <w:r>
        <w:rPr>
          <w:rStyle w:val="a5"/>
        </w:rPr>
        <w:footnoteReference w:id="4676" w:customMarkFollows="0"/>
      </w:r>
      <w:bookmarkEnd w:id="6227"/>
      <w:r>
        <w:rPr>
          <w:rtl/>
        </w:rPr>
        <w:t xml:space="preserve"> שכנעה אותו שביכולתו להפסיק הרגל מושרש כל כך. נראה שרבנו התחזק באמרת חז״ל זו ברגע שנתן הרופא את הוראתו, ויכול היה להשיב מיד שיקיימה. אבל הדרך שבה הפסיק אבי את ההרגל מעידה על נחישות </w:t>
      </w:r>
      <w:r>
        <w:rPr>
          <w:rtl/>
        </w:rPr>
        <w:lastRenderedPageBreak/>
        <w:t xml:space="preserve">פחותה מזו שבמעשה המובא </w:t>
      </w:r>
      <w:proofErr w:type="spellStart"/>
      <w:r>
        <w:rPr>
          <w:rtl/>
        </w:rPr>
        <w:t>ב“גוט</w:t>
      </w:r>
      <w:proofErr w:type="spellEnd"/>
      <w:r>
        <w:rPr>
          <w:rtl/>
        </w:rPr>
        <w:t xml:space="preserve"> </w:t>
      </w:r>
      <w:proofErr w:type="spellStart"/>
      <w:r>
        <w:rPr>
          <w:rtl/>
        </w:rPr>
        <w:t>וואָך</w:t>
      </w:r>
      <w:proofErr w:type="spellEnd"/>
      <w:r>
        <w:rPr>
          <w:rtl/>
        </w:rPr>
        <w:t>”</w:t>
      </w:r>
      <w:bookmarkStart w:id="6228" w:name="_fnr4666"/>
      <w:r>
        <w:rPr>
          <w:rStyle w:val="a5"/>
        </w:rPr>
        <w:footnoteReference w:id="4677" w:customMarkFollows="0"/>
      </w:r>
      <w:bookmarkEnd w:id="6228"/>
      <w:r>
        <w:rPr>
          <w:rtl/>
        </w:rPr>
        <w:t xml:space="preserve"> על ר׳ </w:t>
      </w:r>
      <w:proofErr w:type="spellStart"/>
      <w:r>
        <w:rPr>
          <w:rtl/>
        </w:rPr>
        <w:t>בן־ציון</w:t>
      </w:r>
      <w:proofErr w:type="spellEnd"/>
      <w:r>
        <w:rPr>
          <w:rtl/>
        </w:rPr>
        <w:t xml:space="preserve"> </w:t>
      </w:r>
      <w:proofErr w:type="spellStart"/>
      <w:r>
        <w:rPr>
          <w:rtl/>
        </w:rPr>
        <w:t>הלברשטם</w:t>
      </w:r>
      <w:proofErr w:type="spellEnd"/>
      <w:r>
        <w:rPr>
          <w:rtl/>
        </w:rPr>
        <w:t xml:space="preserve">, הרבי </w:t>
      </w:r>
      <w:proofErr w:type="spellStart"/>
      <w:r>
        <w:rPr>
          <w:rtl/>
        </w:rPr>
        <w:t>מבובוב</w:t>
      </w:r>
      <w:proofErr w:type="spellEnd"/>
      <w:r>
        <w:rPr>
          <w:rtl/>
        </w:rPr>
        <w:t xml:space="preserve"> שלפני השואה.</w:t>
      </w:r>
    </w:p>
    <w:p w14:paraId="4AA1BB35" w14:textId="77777777" w:rsidR="00AB3647" w:rsidRDefault="00000000" w:rsidP="007923E9">
      <w:pPr>
        <w:spacing w:after="120" w:line="276" w:lineRule="auto"/>
        <w:ind w:firstLine="283"/>
        <w:jc w:val="both"/>
      </w:pPr>
      <w:r>
        <w:rPr>
          <w:rtl/>
        </w:rPr>
        <w:t xml:space="preserve">הרבי עישן סיגר בחדר ההמתנה של רופא. כשיצא הרופא מחדרו לקרוא לו לבדיקה והעיר: “הר </w:t>
      </w:r>
      <w:proofErr w:type="spellStart"/>
      <w:r>
        <w:rPr>
          <w:rtl/>
        </w:rPr>
        <w:t>רבינר</w:t>
      </w:r>
      <w:proofErr w:type="spellEnd"/>
      <w:r>
        <w:rPr>
          <w:rtl/>
        </w:rPr>
        <w:t xml:space="preserve"> [אדוני הרב], העישון אינו בריא לך”, הניח הרבי את הסיגר היקר במאפרה ונכנס אחרי הרופא לחדרו. בתום הבדיקה לבש ר׳ </w:t>
      </w:r>
      <w:proofErr w:type="spellStart"/>
      <w:r>
        <w:rPr>
          <w:rtl/>
        </w:rPr>
        <w:t>בן־ציון</w:t>
      </w:r>
      <w:proofErr w:type="spellEnd"/>
      <w:r>
        <w:rPr>
          <w:rtl/>
        </w:rPr>
        <w:t xml:space="preserve"> את מעילו כדי לצאת, בלי לקחת את הסיגר. העיר הרופא: “</w:t>
      </w:r>
      <w:proofErr w:type="spellStart"/>
      <w:r>
        <w:rPr>
          <w:rtl/>
        </w:rPr>
        <w:t>רבינר</w:t>
      </w:r>
      <w:proofErr w:type="spellEnd"/>
      <w:r>
        <w:rPr>
          <w:rtl/>
        </w:rPr>
        <w:t>, אל תשכח את הסיגר שלך”, והוא השיב: “</w:t>
      </w:r>
      <w:proofErr w:type="spellStart"/>
      <w:r>
        <w:rPr>
          <w:rtl/>
        </w:rPr>
        <w:t>דנקה</w:t>
      </w:r>
      <w:proofErr w:type="spellEnd"/>
      <w:r>
        <w:rPr>
          <w:rtl/>
        </w:rPr>
        <w:t xml:space="preserve"> שיין [תודה רבה], אך אינני מעשן”.</w:t>
      </w:r>
    </w:p>
    <w:p w14:paraId="3997AF4E" w14:textId="77777777" w:rsidR="00AB3647" w:rsidRDefault="00000000" w:rsidP="007923E9">
      <w:pPr>
        <w:spacing w:after="120" w:line="276" w:lineRule="auto"/>
        <w:ind w:firstLine="283"/>
        <w:jc w:val="both"/>
      </w:pPr>
      <w:r>
        <w:rPr>
          <w:rtl/>
        </w:rPr>
        <w:t>השווה גם “</w:t>
      </w:r>
      <w:proofErr w:type="spellStart"/>
      <w:r>
        <w:rPr>
          <w:rtl/>
        </w:rPr>
        <w:t>ארחות</w:t>
      </w:r>
      <w:proofErr w:type="spellEnd"/>
      <w:r>
        <w:rPr>
          <w:rtl/>
        </w:rPr>
        <w:t xml:space="preserve"> חסידיך”</w:t>
      </w:r>
      <w:bookmarkStart w:id="6229" w:name="_fnr4667"/>
      <w:r>
        <w:rPr>
          <w:rStyle w:val="a5"/>
        </w:rPr>
        <w:footnoteReference w:id="4678" w:customMarkFollows="0"/>
      </w:r>
      <w:bookmarkEnd w:id="6229"/>
      <w:r>
        <w:rPr>
          <w:rtl/>
        </w:rPr>
        <w:t xml:space="preserve">, שגם ר׳ </w:t>
      </w:r>
      <w:proofErr w:type="spellStart"/>
      <w:r>
        <w:rPr>
          <w:rtl/>
        </w:rPr>
        <w:t>אלעזר־מנחם</w:t>
      </w:r>
      <w:proofErr w:type="spellEnd"/>
      <w:r>
        <w:rPr>
          <w:rtl/>
        </w:rPr>
        <w:t xml:space="preserve"> שך הפסיק לעשן בבת אחת [כמו ר׳ </w:t>
      </w:r>
      <w:proofErr w:type="spellStart"/>
      <w:r>
        <w:rPr>
          <w:rtl/>
        </w:rPr>
        <w:t>בן־ציון</w:t>
      </w:r>
      <w:proofErr w:type="spellEnd"/>
      <w:r>
        <w:rPr>
          <w:rtl/>
        </w:rPr>
        <w:t xml:space="preserve"> </w:t>
      </w:r>
      <w:proofErr w:type="spellStart"/>
      <w:r>
        <w:rPr>
          <w:rtl/>
        </w:rPr>
        <w:t>הלברשטם</w:t>
      </w:r>
      <w:proofErr w:type="spellEnd"/>
      <w:r>
        <w:rPr>
          <w:rtl/>
        </w:rPr>
        <w:t>], וכמו רבנו השתמש באמרה “אין לך דבר העומד בפני הרצון” לחיזוק החלטתו.</w:t>
      </w:r>
    </w:p>
    <w:p w14:paraId="0B2D0F04" w14:textId="77777777" w:rsidR="00AB3647" w:rsidRDefault="00000000" w:rsidP="007923E9">
      <w:pPr>
        <w:spacing w:after="120" w:line="276" w:lineRule="auto"/>
        <w:ind w:firstLine="283"/>
        <w:jc w:val="both"/>
      </w:pPr>
      <w:r>
        <w:rPr>
          <w:rtl/>
        </w:rPr>
        <w:t>ד״ר יעקב פליישמן</w:t>
      </w:r>
      <w:bookmarkStart w:id="6230" w:name="_fnr4668"/>
      <w:r>
        <w:rPr>
          <w:rStyle w:val="a5"/>
        </w:rPr>
        <w:footnoteReference w:id="4679" w:customMarkFollows="0"/>
      </w:r>
      <w:bookmarkEnd w:id="6230"/>
      <w:r>
        <w:rPr>
          <w:rtl/>
        </w:rPr>
        <w:t xml:space="preserve"> שאל את אבי לעת זקנתו מה דעתו על העישון, שלושים שנה לאחר שהפסיק לעשן. הוא השיב שהעישון אסור מדאורייתא.</w:t>
      </w:r>
    </w:p>
    <w:p w14:paraId="5AA5D176" w14:textId="77777777" w:rsidR="00AB3647" w:rsidRDefault="00000000" w:rsidP="007923E9">
      <w:pPr>
        <w:spacing w:after="120" w:line="276" w:lineRule="auto"/>
        <w:ind w:firstLine="283"/>
        <w:jc w:val="both"/>
      </w:pPr>
      <w:r>
        <w:rPr>
          <w:rtl/>
        </w:rPr>
        <w:t>ר׳ יוסף רנד סיפר</w:t>
      </w:r>
      <w:bookmarkStart w:id="6231" w:name="_fnr4669"/>
      <w:r>
        <w:rPr>
          <w:rStyle w:val="a5"/>
        </w:rPr>
        <w:footnoteReference w:id="4680" w:customMarkFollows="0"/>
      </w:r>
      <w:bookmarkEnd w:id="6231"/>
      <w:r>
        <w:rPr>
          <w:rtl/>
        </w:rPr>
        <w:t xml:space="preserve"> שבתקופת לימודו במתיבתא תורה ודעת, </w:t>
      </w:r>
      <w:proofErr w:type="spellStart"/>
      <w:r>
        <w:rPr>
          <w:rtl/>
        </w:rPr>
        <w:t>מתשכ״ג</w:t>
      </w:r>
      <w:proofErr w:type="spellEnd"/>
      <w:r>
        <w:rPr>
          <w:rtl/>
        </w:rPr>
        <w:t xml:space="preserve"> עד תשכ״ז, היה אבי מזהיר את התלמידים בשיחותיו שלפני פורים מפני עישון בחג זה, שבו גוברת ההתרופפות. על יסוד ניסיונו שלו בנעוריו אמר: “הכול מתחיל בסיגריה הראשונה”. במיוחד הקפיד על מורים שעישנו ובכך נתנו דוגמה רעה לתלמידיהם</w:t>
      </w:r>
      <w:bookmarkStart w:id="6232" w:name="_fnr4670"/>
      <w:r>
        <w:rPr>
          <w:rStyle w:val="a5"/>
        </w:rPr>
        <w:footnoteReference w:id="4681" w:customMarkFollows="0"/>
      </w:r>
      <w:bookmarkEnd w:id="6232"/>
      <w:r>
        <w:rPr>
          <w:rtl/>
        </w:rPr>
        <w:t xml:space="preserve">. ר׳ יעקב </w:t>
      </w:r>
      <w:proofErr w:type="spellStart"/>
      <w:r>
        <w:rPr>
          <w:rtl/>
        </w:rPr>
        <w:t>שכט</w:t>
      </w:r>
      <w:proofErr w:type="spellEnd"/>
      <w:r>
        <w:rPr>
          <w:rtl/>
        </w:rPr>
        <w:t xml:space="preserve"> סיפר</w:t>
      </w:r>
      <w:bookmarkStart w:id="6233" w:name="_fnr4671"/>
      <w:r>
        <w:rPr>
          <w:rStyle w:val="a5"/>
        </w:rPr>
        <w:footnoteReference w:id="4682" w:customMarkFollows="0"/>
      </w:r>
      <w:bookmarkEnd w:id="6233"/>
      <w:r>
        <w:rPr>
          <w:rtl/>
        </w:rPr>
        <w:t xml:space="preserve"> שאחרי שסיים את לימודיו במתיבתא תורה ודעת והתארס, היה בדרכו אל ישיבתו לשעבר כדי לחלק את מה שנקרא “סיגריות חתן”; אבל בדרך פגש תלמיד של הישיבה שאמר לו שאבי הוציא איסור על המנהג.</w:t>
      </w:r>
    </w:p>
    <w:p w14:paraId="266180DF" w14:textId="77777777" w:rsidR="00AB3647" w:rsidRDefault="00000000" w:rsidP="007923E9">
      <w:pPr>
        <w:spacing w:after="120" w:line="276" w:lineRule="auto"/>
        <w:ind w:firstLine="283"/>
        <w:jc w:val="both"/>
      </w:pPr>
      <w:r>
        <w:rPr>
          <w:rtl/>
        </w:rPr>
        <w:t xml:space="preserve">ר׳ דוד </w:t>
      </w:r>
      <w:proofErr w:type="spellStart"/>
      <w:r>
        <w:rPr>
          <w:rtl/>
        </w:rPr>
        <w:t>קמינצקי</w:t>
      </w:r>
      <w:proofErr w:type="spellEnd"/>
      <w:r>
        <w:rPr>
          <w:rtl/>
        </w:rPr>
        <w:t xml:space="preserve"> סיפר</w:t>
      </w:r>
      <w:bookmarkStart w:id="6234" w:name="_fnr4672"/>
      <w:r>
        <w:rPr>
          <w:rStyle w:val="a5"/>
        </w:rPr>
        <w:footnoteReference w:id="4683" w:customMarkFollows="0"/>
      </w:r>
      <w:bookmarkEnd w:id="6234"/>
      <w:r>
        <w:rPr>
          <w:rtl/>
        </w:rPr>
        <w:t xml:space="preserve"> שסבו, רבנו, אמר לו שמוחו היה מעולה משל ר׳ ראובן </w:t>
      </w:r>
      <w:proofErr w:type="spellStart"/>
      <w:r>
        <w:rPr>
          <w:rtl/>
        </w:rPr>
        <w:t>גרוזובסקי</w:t>
      </w:r>
      <w:proofErr w:type="spellEnd"/>
      <w:r>
        <w:rPr>
          <w:rtl/>
        </w:rPr>
        <w:t xml:space="preserve"> ור׳ אהרן קוטלר, אבל העישון – שהם נמנעו ממנו – החליש את כוחות שכלו, ובעקבות זאת עלו עליו השניים. הוא מעולם לא סלח לאותו חבר שהכיר לו את הטבק, וסיכם: “במקום </w:t>
      </w:r>
      <w:proofErr w:type="spellStart"/>
      <w:r>
        <w:rPr>
          <w:rtl/>
        </w:rPr>
        <w:t>להצליל</w:t>
      </w:r>
      <w:proofErr w:type="spellEnd"/>
      <w:r>
        <w:rPr>
          <w:rtl/>
        </w:rPr>
        <w:t xml:space="preserve"> את המחשבה, העישון מעכיר אותה”</w:t>
      </w:r>
      <w:bookmarkStart w:id="6235" w:name="_fnr4673"/>
      <w:r>
        <w:rPr>
          <w:rStyle w:val="a5"/>
        </w:rPr>
        <w:footnoteReference w:id="4684" w:customMarkFollows="0"/>
      </w:r>
      <w:bookmarkEnd w:id="6235"/>
      <w:r>
        <w:rPr>
          <w:rtl/>
        </w:rPr>
        <w:t>.</w:t>
      </w:r>
    </w:p>
    <w:p w14:paraId="0599BF29" w14:textId="77777777" w:rsidR="00AB3647" w:rsidRDefault="00000000" w:rsidP="007923E9">
      <w:pPr>
        <w:spacing w:after="120" w:line="276" w:lineRule="auto"/>
        <w:ind w:firstLine="283"/>
        <w:jc w:val="both"/>
      </w:pPr>
      <w:r>
        <w:rPr>
          <w:rtl/>
        </w:rPr>
        <w:t xml:space="preserve">מפי ר׳ דוד </w:t>
      </w:r>
      <w:proofErr w:type="spellStart"/>
      <w:r>
        <w:rPr>
          <w:rtl/>
        </w:rPr>
        <w:t>צימט</w:t>
      </w:r>
      <w:proofErr w:type="spellEnd"/>
      <w:r>
        <w:rPr>
          <w:rtl/>
        </w:rPr>
        <w:t xml:space="preserve"> נודע שרבנו נחשב לעילוי גדול מר׳ אהרן קוטלר גם כמה שנים אחרי שהתחיל לעשן. ר׳ דוד העיד: “ר׳ דוד </w:t>
      </w:r>
      <w:proofErr w:type="spellStart"/>
      <w:r>
        <w:rPr>
          <w:rtl/>
        </w:rPr>
        <w:t>רפאלין</w:t>
      </w:r>
      <w:proofErr w:type="spellEnd"/>
      <w:r>
        <w:rPr>
          <w:rtl/>
        </w:rPr>
        <w:t xml:space="preserve">, רבה של מקסיקו סיטי, תלמיד </w:t>
      </w:r>
      <w:proofErr w:type="spellStart"/>
      <w:r>
        <w:rPr>
          <w:rtl/>
        </w:rPr>
        <w:t>סלבודקה</w:t>
      </w:r>
      <w:proofErr w:type="spellEnd"/>
      <w:r>
        <w:rPr>
          <w:rtl/>
        </w:rPr>
        <w:t xml:space="preserve"> שהיה צעיר מעט מר׳ מאיר חדש</w:t>
      </w:r>
      <w:bookmarkStart w:id="6236" w:name="_fnr4674"/>
      <w:r>
        <w:rPr>
          <w:rStyle w:val="a5"/>
        </w:rPr>
        <w:footnoteReference w:id="4685" w:customMarkFollows="0"/>
      </w:r>
      <w:bookmarkEnd w:id="6236"/>
      <w:r>
        <w:rPr>
          <w:rtl/>
        </w:rPr>
        <w:t xml:space="preserve">, היה מקורב לסבא – ובמיוחד לסבתא, שסידרה את שידוכו – והכיר היטב את ראש הישיבה רבנו ואת ר׳ אהרן קוטלר. הוא הכריז: ‘ראש הישיבה היה מספר </w:t>
      </w:r>
      <w:r>
        <w:rPr>
          <w:rtl/>
        </w:rPr>
        <w:lastRenderedPageBreak/>
        <w:t xml:space="preserve">אחת </w:t>
      </w:r>
      <w:proofErr w:type="spellStart"/>
      <w:r>
        <w:rPr>
          <w:rtl/>
        </w:rPr>
        <w:t>בסלבודקה</w:t>
      </w:r>
      <w:proofErr w:type="spellEnd"/>
      <w:r>
        <w:rPr>
          <w:rtl/>
        </w:rPr>
        <w:t xml:space="preserve"> – נחשב לעילוי גדול יותר מר׳ אהרן – מלבד היותו המכובד ביותר והאישיות הראשונה במעלה בישיבה; אלה היו עובדות שאין עליהן עוררין’”.</w:t>
      </w:r>
    </w:p>
    <w:p w14:paraId="76473AB1" w14:textId="77777777" w:rsidR="00AB3647" w:rsidRDefault="00000000" w:rsidP="007923E9">
      <w:pPr>
        <w:spacing w:after="120" w:line="276" w:lineRule="auto"/>
        <w:ind w:firstLine="283"/>
        <w:jc w:val="both"/>
      </w:pPr>
      <w:r>
        <w:rPr>
          <w:rtl/>
        </w:rPr>
        <w:t xml:space="preserve">בהספד בישיבת עטרת יעקב בסוף שנת האבל על רבנו, סיפר אחי ר׳ בנימין שאבינו דיבר פעם על כך שבחורי ישיבת </w:t>
      </w:r>
      <w:proofErr w:type="spellStart"/>
      <w:r>
        <w:rPr>
          <w:rtl/>
        </w:rPr>
        <w:t>סלבודקה</w:t>
      </w:r>
      <w:proofErr w:type="spellEnd"/>
      <w:r>
        <w:rPr>
          <w:rtl/>
        </w:rPr>
        <w:t xml:space="preserve"> – ככל בחורי הישיבות – היו עושים הכול כדי להשתמט מן הגיוס הרוסי. “היו שהקפידו במשך שבועות על דיאטות קיצוניות להפחתת משקל, ואחרים העמידו פנים שהם צולעים או כמעט עיוורים”, סיפר אבי. אחד מנכדיו שאל אותו אם אי־פעם גויס בפועל אחד מתלמידי הישיבה, והוא השיב: “אני זוכר רק בחור אחד שגויס, זה שנתן לי סיגריות ולימד אותי לעשן. מי יודע, אולי היה זה עונשו על כך, מפני שאילו לא עישנתי היה מוחי צלול יותר והייתי גדול יותר בלימוד. אילו לא עישנתי אולי הייתי עולה על ר׳ אהרן, אך מוחי נסתם מן העשן”. ר׳ יעקב </w:t>
      </w:r>
      <w:proofErr w:type="spellStart"/>
      <w:r>
        <w:rPr>
          <w:rtl/>
        </w:rPr>
        <w:t>שכט</w:t>
      </w:r>
      <w:proofErr w:type="spellEnd"/>
      <w:r>
        <w:rPr>
          <w:rtl/>
        </w:rPr>
        <w:t xml:space="preserve"> סיפר בשם אבי שאותו בחור היה מתהלך בבית המדרש, נותן לתלמידים סיגריות ומרגילם לעשן.</w:t>
      </w:r>
    </w:p>
    <w:p w14:paraId="25A39E59" w14:textId="77777777" w:rsidR="00AB3647" w:rsidRDefault="00000000" w:rsidP="007923E9">
      <w:pPr>
        <w:spacing w:after="120" w:line="276" w:lineRule="auto"/>
        <w:ind w:firstLine="283"/>
        <w:jc w:val="both"/>
      </w:pPr>
      <w:r>
        <w:rPr>
          <w:rtl/>
        </w:rPr>
        <w:t xml:space="preserve">על העובדה המפליאה שכמעט כל תלמידי הישיבות נמנעו בהצלחה מן הגיוס, נאמר בצוואתו המוסרית של ר׳ </w:t>
      </w:r>
      <w:proofErr w:type="spellStart"/>
      <w:r>
        <w:rPr>
          <w:rtl/>
        </w:rPr>
        <w:t>יצחק־אייזיק</w:t>
      </w:r>
      <w:proofErr w:type="spellEnd"/>
      <w:r>
        <w:rPr>
          <w:rtl/>
        </w:rPr>
        <w:t xml:space="preserve"> </w:t>
      </w:r>
      <w:proofErr w:type="spellStart"/>
      <w:r>
        <w:rPr>
          <w:rtl/>
        </w:rPr>
        <w:t>הירשוביץ</w:t>
      </w:r>
      <w:bookmarkStart w:id="6237" w:name="_fnr4675"/>
      <w:proofErr w:type="spellEnd"/>
      <w:r>
        <w:rPr>
          <w:rStyle w:val="a5"/>
        </w:rPr>
        <w:footnoteReference w:id="4686" w:customMarkFollows="0"/>
      </w:r>
      <w:bookmarkEnd w:id="6237"/>
      <w:r>
        <w:rPr>
          <w:rtl/>
        </w:rPr>
        <w:t xml:space="preserve"> (בתרגום): “בימיי, בשנת תרל״ד, הונהג ברוסיה מחדש גיוס חובה כללי, והקב״ה ברוב חסדו הצילני בדרך מופלאה, וגם אתכם הציל” – הוא פנה לילדיו, בני דורו של רבנו – “מעול מלכות הצאר הרשעה. כשאני מדבר על כך אינני יכול לעבור בשתיקה על מעשי ה׳ – לא רק אותנו הציל, אלא כמעט את כל בני הישיבות הדבקים בתורה, כך שבכל עשרות השנים הללו ניצלו כמעט כולם משירות צבאי. בכך התקיימה המשנה בפרק השלישי של מסכת אבות: ‘כל המקבל עליו עול תורה </w:t>
      </w:r>
      <w:proofErr w:type="spellStart"/>
      <w:r>
        <w:rPr>
          <w:rtl/>
        </w:rPr>
        <w:t>מעבירין</w:t>
      </w:r>
      <w:proofErr w:type="spellEnd"/>
      <w:r>
        <w:rPr>
          <w:rtl/>
        </w:rPr>
        <w:t xml:space="preserve"> ממנו עול מלכות’”.</w:t>
      </w:r>
    </w:p>
    <w:p w14:paraId="10FE9487" w14:textId="77777777" w:rsidR="00AB3647" w:rsidRDefault="00000000" w:rsidP="007923E9">
      <w:pPr>
        <w:spacing w:after="120" w:line="276" w:lineRule="auto"/>
        <w:ind w:firstLine="283"/>
        <w:jc w:val="both"/>
      </w:pPr>
      <w:r>
        <w:rPr>
          <w:rtl/>
        </w:rPr>
        <w:t xml:space="preserve">ר׳ בערל </w:t>
      </w:r>
      <w:proofErr w:type="spellStart"/>
      <w:r>
        <w:rPr>
          <w:rtl/>
        </w:rPr>
        <w:t xml:space="preserve">אוירבך</w:t>
      </w:r>
      <w:proofErr w:type="spellEnd"/>
      <w:r>
        <w:rPr>
          <w:rtl/>
        </w:rPr>
        <w:t xml:space="preserve"> סיפר לי</w:t>
      </w:r>
      <w:bookmarkStart w:id="6238" w:name="_fnr4676"/>
      <w:r>
        <w:rPr>
          <w:rStyle w:val="a5"/>
        </w:rPr>
        <w:footnoteReference w:id="4687" w:customMarkFollows="0"/>
      </w:r>
      <w:bookmarkEnd w:id="6238"/>
      <w:r>
        <w:rPr>
          <w:rtl/>
        </w:rPr>
        <w:t xml:space="preserve"> שאחיו ר׳ </w:t>
      </w:r>
      <w:proofErr w:type="spellStart"/>
      <w:r>
        <w:rPr>
          <w:rtl/>
        </w:rPr>
        <w:t>שלמה־זלמן</w:t>
      </w:r>
      <w:proofErr w:type="spellEnd"/>
      <w:r>
        <w:rPr>
          <w:rtl/>
        </w:rPr>
        <w:t xml:space="preserve"> היה מעשן כבד בצעירותו. “ואז”, אמר ר׳ בערל, “קרא ידיעה – הוא היה מרבה לקרוא – שרופא צרפתי סבור שהעישון מזיק לזיכרון, ואחי אמר: ‘אם נזהרים אנו שלא לאכול זיתים בלא שמן מפני שהם קשים לשכחה</w:t>
      </w:r>
      <w:bookmarkStart w:id="6239" w:name="_fnr4677"/>
      <w:r>
        <w:rPr>
          <w:rStyle w:val="a5"/>
        </w:rPr>
        <w:footnoteReference w:id="4688" w:customMarkFollows="0"/>
      </w:r>
      <w:bookmarkEnd w:id="6239"/>
      <w:r>
        <w:rPr>
          <w:rtl/>
        </w:rPr>
        <w:t>, עלינו בוודאי לשמוע לדברי הרופאים בני זמננו’, והפסיק לעשן”.</w:t>
      </w:r>
    </w:p>
    <w:p w14:paraId="1194AA81" w14:textId="77777777" w:rsidR="00AB3647" w:rsidRDefault="00000000" w:rsidP="007923E9">
      <w:pPr>
        <w:spacing w:after="120" w:line="276" w:lineRule="auto"/>
        <w:ind w:firstLine="283"/>
        <w:jc w:val="both"/>
      </w:pPr>
      <w:r>
        <w:rPr>
          <w:rtl/>
        </w:rPr>
        <w:t xml:space="preserve">אבל ר׳ </w:t>
      </w:r>
      <w:proofErr w:type="spellStart"/>
      <w:r>
        <w:rPr>
          <w:rtl/>
        </w:rPr>
        <w:t>חצקל</w:t>
      </w:r>
      <w:proofErr w:type="spellEnd"/>
      <w:r>
        <w:rPr>
          <w:rtl/>
        </w:rPr>
        <w:t xml:space="preserve"> </w:t>
      </w:r>
      <w:proofErr w:type="spellStart"/>
      <w:r>
        <w:rPr>
          <w:rtl/>
        </w:rPr>
        <w:t>ויינפלד</w:t>
      </w:r>
      <w:proofErr w:type="spellEnd"/>
      <w:r>
        <w:rPr>
          <w:rtl/>
        </w:rPr>
        <w:t xml:space="preserve"> סיפר</w:t>
      </w:r>
      <w:bookmarkStart w:id="6240" w:name="_fnr4678"/>
      <w:r>
        <w:rPr>
          <w:rStyle w:val="a5"/>
        </w:rPr>
        <w:footnoteReference w:id="4689" w:customMarkFollows="0"/>
      </w:r>
      <w:bookmarkEnd w:id="6240"/>
      <w:r>
        <w:rPr>
          <w:rtl/>
        </w:rPr>
        <w:t xml:space="preserve"> שאבי תלה את עליונותו של ר׳ אהרן עליו לא בכך שנמנע מן הטבק, אלא </w:t>
      </w:r>
      <w:proofErr w:type="spellStart"/>
      <w:r>
        <w:rPr>
          <w:rtl/>
        </w:rPr>
        <w:t>ב“קאכען</w:t>
      </w:r>
      <w:proofErr w:type="spellEnd"/>
      <w:r>
        <w:rPr>
          <w:rtl/>
        </w:rPr>
        <w:t xml:space="preserve"> אין </w:t>
      </w:r>
      <w:proofErr w:type="spellStart"/>
      <w:r>
        <w:rPr>
          <w:rtl/>
        </w:rPr>
        <w:t>לערנען</w:t>
      </w:r>
      <w:proofErr w:type="spellEnd"/>
      <w:r>
        <w:rPr>
          <w:rtl/>
        </w:rPr>
        <w:t xml:space="preserve"> [להט בלימוד]”. רבנו ציין במפורש </w:t>
      </w:r>
      <w:proofErr w:type="spellStart"/>
      <w:r>
        <w:rPr>
          <w:rtl/>
        </w:rPr>
        <w:t>ש“מאמר</w:t>
      </w:r>
      <w:proofErr w:type="spellEnd"/>
      <w:r>
        <w:rPr>
          <w:rtl/>
        </w:rPr>
        <w:t xml:space="preserve"> חז״ל ‘[בתחילת דיון בתורה, המתדיינים] נעשים אויבים זה את זה’</w:t>
      </w:r>
      <w:bookmarkStart w:id="6241" w:name="_fnr4679"/>
      <w:r>
        <w:rPr>
          <w:rStyle w:val="a5"/>
        </w:rPr>
        <w:footnoteReference w:id="4690" w:customMarkFollows="0"/>
      </w:r>
      <w:bookmarkEnd w:id="6241"/>
      <w:r>
        <w:rPr>
          <w:rtl/>
        </w:rPr>
        <w:t xml:space="preserve"> התגשם בר׳ אהרן קוטלר, </w:t>
      </w:r>
      <w:r>
        <w:rPr>
          <w:rtl/>
        </w:rPr>
        <w:lastRenderedPageBreak/>
        <w:t xml:space="preserve">שכאשר התווכח בלימוד סבר שרק דעתו נכונה”. על עצמו אמר אבי </w:t>
      </w:r>
      <w:proofErr w:type="spellStart"/>
      <w:r>
        <w:rPr>
          <w:rtl/>
        </w:rPr>
        <w:t>ש“ראה</w:t>
      </w:r>
      <w:proofErr w:type="spellEnd"/>
      <w:r>
        <w:rPr>
          <w:rtl/>
        </w:rPr>
        <w:t xml:space="preserve"> שגם לטענת הזולת יש תוקף”.</w:t>
      </w:r>
    </w:p>
    <w:p w14:paraId="0F5DD7D4" w14:textId="77777777" w:rsidR="00AB3647" w:rsidRDefault="00000000" w:rsidP="007923E9">
      <w:pPr>
        <w:spacing w:after="120" w:line="276" w:lineRule="auto"/>
        <w:ind w:firstLine="283"/>
        <w:jc w:val="both"/>
      </w:pPr>
      <w:r>
        <w:rPr>
          <w:rtl/>
        </w:rPr>
        <w:t>השווה גם “אור ישראל”</w:t>
      </w:r>
      <w:bookmarkStart w:id="6242" w:name="_fnr4680"/>
      <w:r>
        <w:rPr>
          <w:rStyle w:val="a5"/>
        </w:rPr>
        <w:footnoteReference w:id="4691" w:customMarkFollows="0"/>
      </w:r>
      <w:bookmarkEnd w:id="6242"/>
      <w:r>
        <w:rPr>
          <w:rtl/>
        </w:rPr>
        <w:t xml:space="preserve">, המביא מאמר חז״ל זה ומכנה את צורת הלימוד המשובחת בו “לימוד בארסיות – </w:t>
      </w:r>
      <w:proofErr w:type="spellStart"/>
      <w:r>
        <w:rPr>
          <w:rtl/>
        </w:rPr>
        <w:t>גיפטיג</w:t>
      </w:r>
      <w:proofErr w:type="spellEnd"/>
      <w:r>
        <w:rPr>
          <w:rtl/>
        </w:rPr>
        <w:t xml:space="preserve"> ביידיש”, ומוסיף: “זהו לימוד תורה שאפשר באמת לכנותו ‘לימוד’”. המאמר מורה לסיים את הלימוד </w:t>
      </w:r>
      <w:proofErr w:type="spellStart"/>
      <w:r>
        <w:rPr>
          <w:rtl/>
        </w:rPr>
        <w:t>ב“מנוחת</w:t>
      </w:r>
      <w:proofErr w:type="spellEnd"/>
      <w:r>
        <w:rPr>
          <w:rtl/>
        </w:rPr>
        <w:t xml:space="preserve"> הנפש, הנקראת ‘לשמה’, כשאין הבדל בעיניו אם דבריו מתקבלים או דברי חברו. נמצא ששני המצבים – זה שבתחילת הדיון בתורה וזה שבסופו – כמעט הפוכים זה מזה”. השווה גם “תורת אברהם”</w:t>
      </w:r>
      <w:bookmarkStart w:id="6243" w:name="_fnr4681"/>
      <w:r>
        <w:rPr>
          <w:rStyle w:val="a5"/>
        </w:rPr>
        <w:footnoteReference w:id="4692" w:customMarkFollows="0"/>
      </w:r>
      <w:bookmarkEnd w:id="6243"/>
      <w:r>
        <w:rPr>
          <w:rtl/>
        </w:rPr>
        <w:t xml:space="preserve">, שדרך הדיון בלימוד שיש בה “נעשים אויבים זה את זה” זכתה לעידוד רב בשיחות הסבא </w:t>
      </w:r>
      <w:proofErr w:type="spellStart"/>
      <w:r>
        <w:rPr>
          <w:rtl/>
        </w:rPr>
        <w:t>מסלבודקה</w:t>
      </w:r>
      <w:proofErr w:type="spellEnd"/>
      <w:r>
        <w:rPr>
          <w:rtl/>
        </w:rPr>
        <w:t xml:space="preserve">, ושצורת לימוד זו שלטה בפועל בכנסת ישראל. לפי זה – ולפי ההגדרה שמסר אבי להבדל בין דרכו בדיון בסוגיה תלמודית לבין דרכו של ר׳ אהרן – נהג ר׳ אהרן כתלמיד </w:t>
      </w:r>
      <w:proofErr w:type="spellStart"/>
      <w:r>
        <w:rPr>
          <w:rtl/>
        </w:rPr>
        <w:t>סלבודקה</w:t>
      </w:r>
      <w:proofErr w:type="spellEnd"/>
      <w:r>
        <w:rPr>
          <w:rtl/>
        </w:rPr>
        <w:t xml:space="preserve"> אמיתי יותר מרבנו!</w:t>
      </w:r>
    </w:p>
    <w:p w14:paraId="1E2DA600" w14:textId="77777777" w:rsidR="00AB3647" w:rsidRDefault="00000000" w:rsidP="007923E9">
      <w:pPr>
        <w:spacing w:after="120" w:line="276" w:lineRule="auto"/>
        <w:ind w:firstLine="283"/>
        <w:jc w:val="both"/>
      </w:pPr>
      <w:r>
        <w:rPr>
          <w:rtl/>
        </w:rPr>
        <w:t>“תורת אברהם”</w:t>
      </w:r>
      <w:bookmarkStart w:id="6244" w:name="_fnr4682"/>
      <w:r>
        <w:rPr>
          <w:rStyle w:val="a5"/>
        </w:rPr>
        <w:footnoteReference w:id="4693" w:customMarkFollows="0"/>
      </w:r>
      <w:bookmarkEnd w:id="6244"/>
      <w:r>
        <w:rPr>
          <w:rtl/>
        </w:rPr>
        <w:t xml:space="preserve"> מתאר גם כיצד גלשה “מלחמה מרה” זו לרחובות </w:t>
      </w:r>
      <w:proofErr w:type="spellStart"/>
      <w:r>
        <w:rPr>
          <w:rtl/>
        </w:rPr>
        <w:t>סלבודקה</w:t>
      </w:r>
      <w:proofErr w:type="spellEnd"/>
      <w:r>
        <w:rPr>
          <w:rtl/>
        </w:rPr>
        <w:t xml:space="preserve"> והפכה את העיר כולה </w:t>
      </w:r>
      <w:proofErr w:type="spellStart"/>
      <w:r>
        <w:rPr>
          <w:rtl/>
        </w:rPr>
        <w:t>ל“שדה</w:t>
      </w:r>
      <w:proofErr w:type="spellEnd"/>
      <w:r>
        <w:rPr>
          <w:rtl/>
        </w:rPr>
        <w:t xml:space="preserve"> קרב של תורה” – כשם שרחובות </w:t>
      </w:r>
      <w:proofErr w:type="spellStart"/>
      <w:r>
        <w:rPr>
          <w:rtl/>
        </w:rPr>
        <w:t>טלז</w:t>
      </w:r>
      <w:proofErr w:type="spellEnd"/>
      <w:r>
        <w:rPr>
          <w:rtl/>
        </w:rPr>
        <w:t xml:space="preserve"> הושפעו מן הישיבה שבעיר</w:t>
      </w:r>
      <w:bookmarkStart w:id="6245" w:name="_fnr4683"/>
      <w:r>
        <w:rPr>
          <w:rStyle w:val="a5"/>
        </w:rPr>
        <w:footnoteReference w:id="4694" w:customMarkFollows="0"/>
      </w:r>
      <w:bookmarkEnd w:id="6245"/>
      <w:r>
        <w:rPr>
          <w:rtl/>
        </w:rPr>
        <w:t xml:space="preserve">. ר׳ אהרן קוטלר הביע פעם את “איבתו” לחותנו, הצדיק ר׳ </w:t>
      </w:r>
      <w:proofErr w:type="spellStart"/>
      <w:r>
        <w:rPr>
          <w:rtl/>
        </w:rPr>
        <w:t>איסר־זלמן</w:t>
      </w:r>
      <w:proofErr w:type="spellEnd"/>
      <w:r>
        <w:rPr>
          <w:rtl/>
        </w:rPr>
        <w:t xml:space="preserve"> מלצר, כשקרא בתוך מלחמתה של תורה: “אני יודע ללמוד טוב ממך!” ר׳ </w:t>
      </w:r>
      <w:proofErr w:type="spellStart"/>
      <w:r>
        <w:rPr>
          <w:rtl/>
        </w:rPr>
        <w:t>איסר־זלמן</w:t>
      </w:r>
      <w:proofErr w:type="spellEnd"/>
      <w:r>
        <w:rPr>
          <w:rtl/>
        </w:rPr>
        <w:t xml:space="preserve"> השיב בלי להתרגש: “נו, זה לא הרבה!”</w:t>
      </w:r>
      <w:bookmarkStart w:id="6246" w:name="_fnr4684"/>
      <w:r>
        <w:rPr>
          <w:rStyle w:val="a5"/>
        </w:rPr>
        <w:footnoteReference w:id="4695" w:customMarkFollows="0"/>
      </w:r>
      <w:bookmarkEnd w:id="6246"/>
      <w:r>
        <w:rPr>
          <w:rtl/>
        </w:rPr>
        <w:t xml:space="preserve">. סירובו של ר׳ אהרן לתת תוקף לדעת הזולת בא לידי ביטוי חריף כשיצא מפגישה בת כמה שעות עם החזון איש ואמר: “מעולם לא פגשתי אדם עקשן כחזון איש”. ר׳ אהרן ראה במחלוקת החזון איש עליו עקשנות גרידא; שאם לא כן, כיצד אפשר שלא לראות את הדברים בדרך </w:t>
      </w:r>
      <w:proofErr w:type="spellStart"/>
      <w:r>
        <w:rPr>
          <w:rtl/>
        </w:rPr>
        <w:t>ה“נכונה</w:t>
      </w:r>
      <w:proofErr w:type="spellEnd"/>
      <w:r>
        <w:rPr>
          <w:rtl/>
        </w:rPr>
        <w:t>” – דרכו שלו, דרך ר׳ אהרן?</w:t>
      </w:r>
      <w:bookmarkStart w:id="6247" w:name="_fnr4685"/>
      <w:r>
        <w:rPr>
          <w:rStyle w:val="a5"/>
        </w:rPr>
        <w:footnoteReference w:id="4696" w:customMarkFollows="0"/>
      </w:r>
      <w:bookmarkEnd w:id="6247"/>
    </w:p>
    <w:p w14:paraId="58461A80" w14:textId="77777777" w:rsidR="00AB3647" w:rsidRDefault="00000000" w:rsidP="007923E9">
      <w:pPr>
        <w:pStyle w:val="4"/>
        <w:spacing w:line="276" w:lineRule="auto"/>
      </w:pPr>
      <w:r>
        <w:t>· הפסקה השנייה ·</w:t>
      </w:r>
    </w:p>
    <w:p w14:paraId="14738BCD" w14:textId="77777777" w:rsidR="00AB3647" w:rsidRDefault="00000000" w:rsidP="007923E9">
      <w:pPr>
        <w:shd w:val="clear" w:color="auto" w:fill="F2F2F2"/>
        <w:spacing w:before="40" w:after="200" w:line="276" w:lineRule="auto"/>
        <w:ind w:left="283" w:right="283"/>
        <w:jc w:val="both"/>
      </w:pPr>
      <w:r>
        <w:rPr>
          <w:color w:val="404040"/>
          <w:sz w:val="22"/>
          <w:szCs w:val="22"/>
          <w:rtl/>
        </w:rPr>
        <w:t xml:space="preserve">עישונו של ר׳ ישראל </w:t>
      </w:r>
      <w:proofErr w:type="spellStart"/>
      <w:r>
        <w:rPr>
          <w:color w:val="404040"/>
          <w:sz w:val="22"/>
          <w:szCs w:val="22"/>
          <w:rtl/>
        </w:rPr>
        <w:t>סלנטר</w:t>
      </w:r>
      <w:proofErr w:type="spellEnd"/>
      <w:r>
        <w:rPr>
          <w:color w:val="404040"/>
          <w:sz w:val="22"/>
          <w:szCs w:val="22"/>
          <w:rtl/>
        </w:rPr>
        <w:t xml:space="preserve"> אינו מידה רעה – גם ר׳ שמעון </w:t>
      </w:r>
      <w:proofErr w:type="spellStart"/>
      <w:r>
        <w:rPr>
          <w:color w:val="404040"/>
          <w:sz w:val="22"/>
          <w:szCs w:val="22"/>
          <w:rtl/>
        </w:rPr>
        <w:t>שקופ</w:t>
      </w:r>
      <w:proofErr w:type="spellEnd"/>
      <w:r>
        <w:rPr>
          <w:color w:val="404040"/>
          <w:sz w:val="22"/>
          <w:szCs w:val="22"/>
          <w:rtl/>
        </w:rPr>
        <w:t xml:space="preserve"> מעשן – הוא מחקה את ר׳ ישראל – ר׳ שמעון רואה בר׳ ישראל את רבו ולפיכך רוצה להישאר בארצות הברית – ד״ר ברנרד </w:t>
      </w:r>
      <w:proofErr w:type="spellStart"/>
      <w:r>
        <w:rPr>
          <w:color w:val="404040"/>
          <w:sz w:val="22"/>
          <w:szCs w:val="22"/>
          <w:rtl/>
        </w:rPr>
        <w:t>רבל</w:t>
      </w:r>
      <w:proofErr w:type="spellEnd"/>
      <w:r>
        <w:rPr>
          <w:color w:val="404040"/>
          <w:sz w:val="22"/>
          <w:szCs w:val="22"/>
          <w:rtl/>
        </w:rPr>
        <w:t xml:space="preserve"> אינו מעסיק נוח – ר׳ שמעון מצטער על העישון – הרופאים מצווים על ר׳ ישראל להניח למוחו – גם </w:t>
      </w:r>
      <w:proofErr w:type="spellStart"/>
      <w:r>
        <w:rPr>
          <w:color w:val="404040"/>
          <w:sz w:val="22"/>
          <w:szCs w:val="22"/>
          <w:rtl/>
        </w:rPr>
        <w:t>החפץ־חיים</w:t>
      </w:r>
      <w:proofErr w:type="spellEnd"/>
      <w:r>
        <w:rPr>
          <w:color w:val="404040"/>
          <w:sz w:val="22"/>
          <w:szCs w:val="22"/>
          <w:rtl/>
        </w:rPr>
        <w:t xml:space="preserve"> צריך להניח למוחו – ר׳ ישראל עושה “קידוש” ביום הכיפורים ומבטל לחלוטין את הצום – כמה שנים חי </w:t>
      </w:r>
      <w:proofErr w:type="spellStart"/>
      <w:r>
        <w:rPr>
          <w:color w:val="404040"/>
          <w:sz w:val="22"/>
          <w:szCs w:val="22"/>
          <w:rtl/>
        </w:rPr>
        <w:t>החפץ־חיים</w:t>
      </w:r>
      <w:proofErr w:type="spellEnd"/>
      <w:r>
        <w:rPr>
          <w:color w:val="404040"/>
          <w:sz w:val="22"/>
          <w:szCs w:val="22"/>
          <w:rtl/>
        </w:rPr>
        <w:t xml:space="preserve">? – הקושי שבמעשה ר׳ ישראל – הוא נקרא לתת דין וחשבון – יום הכיפורים הראשון של אבי בטורונטו – גדולתו של ר׳ ישראל </w:t>
      </w:r>
      <w:proofErr w:type="spellStart"/>
      <w:r>
        <w:rPr>
          <w:color w:val="404040"/>
          <w:sz w:val="22"/>
          <w:szCs w:val="22"/>
          <w:rtl/>
        </w:rPr>
        <w:t>סלנטר</w:t>
      </w:r>
      <w:proofErr w:type="spellEnd"/>
      <w:r>
        <w:rPr>
          <w:color w:val="404040"/>
          <w:sz w:val="22"/>
          <w:szCs w:val="22"/>
          <w:rtl/>
        </w:rPr>
        <w:t xml:space="preserve"> – דעת בית </w:t>
      </w:r>
      <w:proofErr w:type="spellStart"/>
      <w:r>
        <w:rPr>
          <w:color w:val="404040"/>
          <w:sz w:val="22"/>
          <w:szCs w:val="22"/>
          <w:rtl/>
        </w:rPr>
        <w:t>סולובייצ׳יק</w:t>
      </w:r>
      <w:proofErr w:type="spellEnd"/>
      <w:r>
        <w:rPr>
          <w:color w:val="404040"/>
          <w:sz w:val="22"/>
          <w:szCs w:val="22"/>
          <w:rtl/>
        </w:rPr>
        <w:t xml:space="preserve"> על ר׳ ישראל – גדולתו ותלאותיו של </w:t>
      </w:r>
      <w:proofErr w:type="spellStart"/>
      <w:r>
        <w:rPr>
          <w:color w:val="404040"/>
          <w:sz w:val="22"/>
          <w:szCs w:val="22"/>
          <w:rtl/>
        </w:rPr>
        <w:t>המלבי״ם</w:t>
      </w:r>
      <w:proofErr w:type="spellEnd"/>
      <w:r>
        <w:rPr>
          <w:color w:val="404040"/>
          <w:sz w:val="22"/>
          <w:szCs w:val="22"/>
          <w:rtl/>
        </w:rPr>
        <w:t xml:space="preserve"> – מדוע עזב ר׳ ישראל את וילנה – דעת הרב </w:t>
      </w:r>
      <w:proofErr w:type="spellStart"/>
      <w:r>
        <w:rPr>
          <w:color w:val="404040"/>
          <w:sz w:val="22"/>
          <w:szCs w:val="22"/>
          <w:rtl/>
        </w:rPr>
        <w:t>בריט</w:t>
      </w:r>
      <w:proofErr w:type="spellEnd"/>
      <w:r>
        <w:rPr>
          <w:color w:val="404040"/>
          <w:sz w:val="22"/>
          <w:szCs w:val="22"/>
          <w:rtl/>
        </w:rPr>
        <w:t xml:space="preserve"> על בית המדרש לרבנים – קבלת הפנים המפוקפקת </w:t>
      </w:r>
      <w:proofErr w:type="spellStart"/>
      <w:r>
        <w:rPr>
          <w:color w:val="404040"/>
          <w:sz w:val="22"/>
          <w:szCs w:val="22"/>
          <w:rtl/>
        </w:rPr>
        <w:t>לר</w:t>
      </w:r>
      <w:proofErr w:type="spellEnd"/>
      <w:r>
        <w:rPr>
          <w:color w:val="404040"/>
          <w:sz w:val="22"/>
          <w:szCs w:val="22"/>
          <w:rtl/>
        </w:rPr>
        <w:t xml:space="preserve">׳ ישראל בקובנה – ר׳ </w:t>
      </w:r>
      <w:proofErr w:type="spellStart"/>
      <w:r>
        <w:rPr>
          <w:color w:val="404040"/>
          <w:sz w:val="22"/>
          <w:szCs w:val="22"/>
          <w:rtl/>
        </w:rPr>
        <w:t>לייבל׳ה</w:t>
      </w:r>
      <w:proofErr w:type="spellEnd"/>
      <w:r>
        <w:rPr>
          <w:color w:val="404040"/>
          <w:sz w:val="22"/>
          <w:szCs w:val="22"/>
          <w:rtl/>
        </w:rPr>
        <w:t xml:space="preserve"> קובנר נלחם בו – דעות אחרות בשאלה מדוע עזב ר׳ ישראל את וילנה – הוא אינו משיב לשאלת ר׳ יעקב הלוי ליפשיץ – המשכילים תולים את כישלון בית המדרש לרבנים בר׳ ישראל </w:t>
      </w:r>
      <w:proofErr w:type="spellStart"/>
      <w:r>
        <w:rPr>
          <w:color w:val="404040"/>
          <w:sz w:val="22"/>
          <w:szCs w:val="22"/>
          <w:rtl/>
        </w:rPr>
        <w:t>סלנטר</w:t>
      </w:r>
      <w:proofErr w:type="spellEnd"/>
    </w:p>
    <w:p w14:paraId="2FC6EF25" w14:textId="77777777" w:rsidR="00AB3647" w:rsidRDefault="00000000" w:rsidP="007923E9">
      <w:pPr>
        <w:spacing w:after="120" w:line="276" w:lineRule="auto"/>
        <w:ind w:firstLine="283"/>
        <w:jc w:val="both"/>
      </w:pPr>
      <w:r>
        <w:rPr>
          <w:rtl/>
        </w:rPr>
        <w:lastRenderedPageBreak/>
        <w:t xml:space="preserve">בקשר למגרעת העישון נתן אבי טעם – כפי שנרשם להלן, בעמ׳ </w:t>
      </w:r>
      <w:r>
        <w:rPr>
          <w:rtl/>
        </w:rPr>
        <w:fldChar w:fldCharType="begin" w:dirty="true"/>
      </w:r>
      <w:r>
        <w:rPr>
          <w:rtl/>
        </w:rPr>
        <w:instrText xml:space="preserve"> PAGEREF pr_b_2635 \h </w:instrText>
      </w:r>
      <w:r>
        <w:rPr>
          <w:rtl/>
        </w:rPr>
      </w:r>
      <w:r>
        <w:rPr>
          <w:rtl/>
        </w:rPr>
        <w:fldChar w:fldCharType="separate"/>
      </w:r>
      <w:r w:rsidR="007923E9">
        <w:rPr>
          <w:noProof/>
          <w:rtl/>
        </w:rPr>
        <w:t>1</w:t>
      </w:r>
      <w:r>
        <w:rPr>
          <w:rtl/>
        </w:rPr>
        <w:fldChar w:fldCharType="end"/>
      </w:r>
      <w:r>
        <w:rPr>
          <w:rtl/>
        </w:rPr>
        <w:t xml:space="preserve"> – לעובדה המתמיהה שר׳ ישראל </w:t>
      </w:r>
      <w:proofErr w:type="spellStart"/>
      <w:r>
        <w:rPr>
          <w:rtl/>
        </w:rPr>
        <w:t>סלנטר</w:t>
      </w:r>
      <w:proofErr w:type="spellEnd"/>
      <w:r>
        <w:rPr>
          <w:rtl/>
        </w:rPr>
        <w:t>, מורה השליטה העצמית הגדול, היה בעצמו מעשן</w:t>
      </w:r>
      <w:bookmarkStart w:id="6248" w:name="_fnr4686"/>
      <w:r>
        <w:rPr>
          <w:rStyle w:val="a5"/>
        </w:rPr>
        <w:footnoteReference w:id="4697" w:customMarkFollows="0"/>
      </w:r>
      <w:bookmarkEnd w:id="6248"/>
      <w:r>
        <w:rPr>
          <w:rtl/>
        </w:rPr>
        <w:t>. אבי ציין אז גם שלפני כל יום טוב היה ר׳ ישראל לומד מחדש את השאלה אם העישון הוא “מלאכה” האסורה בחג, ומסיק שהעישון מותר רק ביום טוב שני (בחוץ לארץ). רבנו הוסיף שבשאלות של הלכה למעשה ראוי ללמוד את העניין מחדש בכל פעם שעומדת לפני האדם בעיה שנראית זהה.</w:t>
      </w:r>
    </w:p>
    <w:p w14:paraId="7DD136B4" w14:textId="77777777" w:rsidR="00AB3647" w:rsidRDefault="00000000" w:rsidP="007923E9">
      <w:pPr>
        <w:spacing w:after="120" w:line="276" w:lineRule="auto"/>
        <w:ind w:firstLine="283"/>
        <w:jc w:val="both"/>
      </w:pPr>
      <w:r>
        <w:rPr>
          <w:rtl/>
        </w:rPr>
        <w:t xml:space="preserve">עיקרון זה קיים ר׳ </w:t>
      </w:r>
      <w:proofErr w:type="spellStart"/>
      <w:r>
        <w:rPr>
          <w:rtl/>
        </w:rPr>
        <w:t>זלמל׳ה</w:t>
      </w:r>
      <w:proofErr w:type="spellEnd"/>
      <w:r>
        <w:rPr>
          <w:rtl/>
        </w:rPr>
        <w:t xml:space="preserve">, אחיו הצעיר של ר׳ חיים </w:t>
      </w:r>
      <w:proofErr w:type="spellStart"/>
      <w:r>
        <w:rPr>
          <w:rtl/>
        </w:rPr>
        <w:t>מוולוז׳ין</w:t>
      </w:r>
      <w:proofErr w:type="spellEnd"/>
      <w:r>
        <w:rPr>
          <w:rtl/>
        </w:rPr>
        <w:t xml:space="preserve">, ככתוב </w:t>
      </w:r>
      <w:proofErr w:type="spellStart"/>
      <w:r>
        <w:rPr>
          <w:rtl/>
        </w:rPr>
        <w:t>ב“תולדות</w:t>
      </w:r>
      <w:proofErr w:type="spellEnd"/>
      <w:r>
        <w:rPr>
          <w:rtl/>
        </w:rPr>
        <w:t xml:space="preserve"> אדם”, חלק ראשון, מאת הרב וכו׳ יחזקאל </w:t>
      </w:r>
      <w:proofErr w:type="spellStart"/>
      <w:r>
        <w:rPr>
          <w:rtl/>
        </w:rPr>
        <w:t>פייוויל</w:t>
      </w:r>
      <w:proofErr w:type="spellEnd"/>
      <w:r>
        <w:rPr>
          <w:rtl/>
        </w:rPr>
        <w:t xml:space="preserve"> מ״מ ומו״צ </w:t>
      </w:r>
      <w:proofErr w:type="spellStart"/>
      <w:r>
        <w:rPr>
          <w:rtl/>
        </w:rPr>
        <w:t>דק״ק</w:t>
      </w:r>
      <w:proofErr w:type="spellEnd"/>
      <w:r>
        <w:rPr>
          <w:rtl/>
        </w:rPr>
        <w:t xml:space="preserve"> </w:t>
      </w:r>
      <w:proofErr w:type="spellStart"/>
      <w:r>
        <w:rPr>
          <w:rtl/>
        </w:rPr>
        <w:t>ווילנא</w:t>
      </w:r>
      <w:bookmarkStart w:id="6249" w:name="_fnr4687"/>
      <w:proofErr w:type="spellEnd"/>
      <w:r>
        <w:rPr>
          <w:rStyle w:val="a5"/>
        </w:rPr>
        <w:footnoteReference w:id="4698" w:customMarkFollows="0"/>
      </w:r>
      <w:bookmarkEnd w:id="6249"/>
      <w:r>
        <w:rPr>
          <w:rtl/>
        </w:rPr>
        <w:t xml:space="preserve"> – אלא שאצל צדיק מיוחד זה היה העיון החוזר בהלכות כל עניין שהזדמן לו, ואילו אבי התכוון רק לעניינים השנויים במחלוקת, כגון עישון ביום טוב</w:t>
      </w:r>
      <w:bookmarkStart w:id="6250" w:name="_fnr4688"/>
      <w:bookmarkStart w:id="6251" w:name="pr_f_4569"/>
      <w:r>
        <w:rPr>
          <w:rStyle w:val="a5"/>
        </w:rPr>
        <w:footnoteReference w:id="4699" w:customMarkFollows="0"/>
      </w:r>
      <w:bookmarkEnd w:id="6250"/>
      <w:bookmarkEnd w:id="6251"/>
      <w:r>
        <w:rPr>
          <w:rtl/>
        </w:rPr>
        <w:t xml:space="preserve">. ר׳ יוסף </w:t>
      </w:r>
      <w:proofErr w:type="spellStart"/>
      <w:r>
        <w:rPr>
          <w:rtl/>
        </w:rPr>
        <w:t>וולק</w:t>
      </w:r>
      <w:proofErr w:type="spellEnd"/>
      <w:r>
        <w:rPr>
          <w:rtl/>
        </w:rPr>
        <w:t xml:space="preserve"> סיפר</w:t>
      </w:r>
      <w:bookmarkStart w:id="6252" w:name="_fnr4689"/>
      <w:r>
        <w:rPr>
          <w:rStyle w:val="a5"/>
        </w:rPr>
        <w:footnoteReference w:id="4700" w:customMarkFollows="0"/>
      </w:r>
      <w:bookmarkEnd w:id="6252"/>
      <w:r>
        <w:rPr>
          <w:rtl/>
        </w:rPr>
        <w:t xml:space="preserve"> שניסה להצדיק את הרגל העישון שלו בדוגמת ר׳ ישראל, ורבנו דחה זאת בתשובה: “וכי אתה סבור שאתה חייב לעשן? ר׳ ישראל עישן מפני שסבר שהוא חייב לעשות כן”.</w:t>
      </w:r>
    </w:p>
    <w:p w14:paraId="5E2C968B" w14:textId="77777777" w:rsidR="00AB3647" w:rsidRDefault="00000000" w:rsidP="007923E9">
      <w:pPr>
        <w:spacing w:after="120" w:line="276" w:lineRule="auto"/>
        <w:ind w:firstLine="283"/>
        <w:jc w:val="both"/>
      </w:pPr>
      <w:bookmarkStart w:id="6253" w:name="pr_b_2631"/>
      <w:bookmarkEnd w:id="6253"/>
      <w:r>
        <w:rPr>
          <w:rtl/>
        </w:rPr>
        <w:t>ר׳ זליג אפשטיין</w:t>
      </w:r>
      <w:bookmarkStart w:id="6254" w:name="_fnr4690"/>
      <w:r>
        <w:rPr>
          <w:rStyle w:val="a5"/>
        </w:rPr>
        <w:footnoteReference w:id="4701" w:customMarkFollows="0"/>
      </w:r>
      <w:bookmarkEnd w:id="6254"/>
      <w:r>
        <w:rPr>
          <w:rtl/>
        </w:rPr>
        <w:t xml:space="preserve"> נדהם כשראה את ר׳ שמעון </w:t>
      </w:r>
      <w:proofErr w:type="spellStart"/>
      <w:r>
        <w:rPr>
          <w:rtl/>
        </w:rPr>
        <w:t>שקופ</w:t>
      </w:r>
      <w:proofErr w:type="spellEnd"/>
      <w:r>
        <w:rPr>
          <w:rtl/>
        </w:rPr>
        <w:t xml:space="preserve"> מעשן, שהרי “ר׳ שמעון לא עסק מעולם בפעילות ציבורית, שהעימותים </w:t>
      </w:r>
      <w:proofErr w:type="spellStart"/>
      <w:r>
        <w:rPr>
          <w:rtl/>
        </w:rPr>
        <w:t>הבין־אישיים</w:t>
      </w:r>
      <w:proofErr w:type="spellEnd"/>
      <w:r>
        <w:rPr>
          <w:rtl/>
        </w:rPr>
        <w:t xml:space="preserve"> הכרוכים בה עשויים היו להפעיל עליו לחץ שהעישון נחוץ להפגתו; הוא לא יצא מעולם מד׳ אמות של הלכה”</w:t>
      </w:r>
      <w:bookmarkStart w:id="6255" w:name="_fnr4691"/>
      <w:r>
        <w:rPr>
          <w:rStyle w:val="a5"/>
        </w:rPr>
        <w:footnoteReference w:id="4702" w:customMarkFollows="0"/>
      </w:r>
      <w:bookmarkEnd w:id="6255"/>
      <w:r>
        <w:rPr>
          <w:rtl/>
        </w:rPr>
        <w:t xml:space="preserve">. עוד אמר שר׳ לייב </w:t>
      </w:r>
      <w:proofErr w:type="spellStart"/>
      <w:r>
        <w:rPr>
          <w:rtl/>
        </w:rPr>
        <w:t>מאלין</w:t>
      </w:r>
      <w:proofErr w:type="spellEnd"/>
      <w:r>
        <w:rPr>
          <w:rtl/>
        </w:rPr>
        <w:t xml:space="preserve">, שלמד אצל ר׳ שמעון וגם פגש את שאר גדולי עולם הישיבות שלאחר מלחמת העולם הראשונה, הכריז על הרב </w:t>
      </w:r>
      <w:proofErr w:type="spellStart"/>
      <w:r>
        <w:rPr>
          <w:rtl/>
        </w:rPr>
        <w:t>שקופ</w:t>
      </w:r>
      <w:proofErr w:type="spellEnd"/>
      <w:r>
        <w:rPr>
          <w:rtl/>
        </w:rPr>
        <w:t xml:space="preserve"> שהוא “היחיד בדורו הדבוק במחשבה </w:t>
      </w:r>
      <w:proofErr w:type="spellStart"/>
      <w:r>
        <w:rPr>
          <w:rtl/>
        </w:rPr>
        <w:t>עילאה</w:t>
      </w:r>
      <w:bookmarkStart w:id="6256" w:name="_fnr4692"/>
      <w:proofErr w:type="spellEnd"/>
      <w:r>
        <w:rPr>
          <w:rStyle w:val="a5"/>
        </w:rPr>
        <w:footnoteReference w:id="4703" w:customMarkFollows="0"/>
      </w:r>
      <w:bookmarkEnd w:id="6256"/>
      <w:r>
        <w:rPr>
          <w:rtl/>
        </w:rPr>
        <w:t xml:space="preserve"> בכל עת”. השווה גם “תורה יבקשו מפיהו”</w:t>
      </w:r>
      <w:bookmarkStart w:id="6257" w:name="_fnr4693"/>
      <w:r>
        <w:rPr>
          <w:rStyle w:val="a5"/>
        </w:rPr>
        <w:footnoteReference w:id="4704" w:customMarkFollows="0"/>
      </w:r>
      <w:bookmarkEnd w:id="6257"/>
      <w:r>
        <w:rPr>
          <w:rtl/>
        </w:rPr>
        <w:t xml:space="preserve">, המביא את דברי ר׳ זלמן </w:t>
      </w:r>
      <w:proofErr w:type="spellStart"/>
      <w:r>
        <w:rPr>
          <w:rtl/>
        </w:rPr>
        <w:t>רוטברג</w:t>
      </w:r>
      <w:bookmarkStart w:id="6258" w:name="_fnr4694"/>
      <w:proofErr w:type="spellEnd"/>
      <w:r>
        <w:rPr>
          <w:rStyle w:val="a5"/>
        </w:rPr>
        <w:footnoteReference w:id="4705" w:customMarkFollows="0"/>
      </w:r>
      <w:bookmarkEnd w:id="6258"/>
      <w:r>
        <w:rPr>
          <w:rtl/>
        </w:rPr>
        <w:t xml:space="preserve">, שזכה לישון כמה שבועות בחדרו של ר׳ שמעון ולראות שגם כשהרב </w:t>
      </w:r>
      <w:proofErr w:type="spellStart"/>
      <w:r>
        <w:rPr>
          <w:rtl/>
        </w:rPr>
        <w:t>שקופ</w:t>
      </w:r>
      <w:proofErr w:type="spellEnd"/>
      <w:r>
        <w:rPr>
          <w:rtl/>
        </w:rPr>
        <w:t xml:space="preserve"> ישן, “כולו תורה – ולא ניתן זה לתיאור”</w:t>
      </w:r>
      <w:bookmarkStart w:id="6259" w:name="_fnr4695"/>
      <w:r>
        <w:rPr>
          <w:rStyle w:val="a5"/>
        </w:rPr>
        <w:footnoteReference w:id="4706" w:customMarkFollows="0"/>
      </w:r>
      <w:bookmarkEnd w:id="6259"/>
      <w:bookmarkStart w:id="7051" w:name="_TranslatorNote_5401"/>
      <w:r>
        <w:rPr>
          <w:rStyle w:val="a5"/>
          <w:vertAlign w:val="superscript"/>
          <w:rtl/>
        </w:rPr>
        <w:footnoteReference w:id="4707" w:customMarkFollows="1"/>
        <w:t>*</w:t>
      </w:r>
      <w:bookmarkEnd w:id="7051"/>
      <w:r>
        <w:rPr>
          <w:rtl/>
        </w:rPr>
        <w:t>.</w:t>
      </w:r>
    </w:p>
    <w:p w14:paraId="6F9835C6" w14:textId="77777777" w:rsidR="00AB3647" w:rsidRDefault="00000000" w:rsidP="007923E9">
      <w:pPr>
        <w:spacing w:after="120" w:line="276" w:lineRule="auto"/>
        <w:ind w:firstLine="283"/>
        <w:jc w:val="both"/>
      </w:pPr>
      <w:r>
        <w:rPr>
          <w:rtl/>
        </w:rPr>
        <w:lastRenderedPageBreak/>
        <w:t xml:space="preserve">ור׳ שמעון היה מעשן כבד: “מורי האומה”, כרך ה, מאת הרב ישראל </w:t>
      </w:r>
      <w:proofErr w:type="spellStart"/>
      <w:r>
        <w:rPr>
          <w:rtl/>
        </w:rPr>
        <w:t>שורין</w:t>
      </w:r>
      <w:bookmarkStart w:id="6260" w:name="_fnr4696"/>
      <w:proofErr w:type="spellEnd"/>
      <w:r>
        <w:rPr>
          <w:rStyle w:val="a5"/>
        </w:rPr>
        <w:footnoteReference w:id="4708" w:customMarkFollows="0"/>
      </w:r>
      <w:bookmarkEnd w:id="6260"/>
      <w:r>
        <w:rPr>
          <w:rtl/>
        </w:rPr>
        <w:t xml:space="preserve">, מביא את תיאורו של ר׳ מאיר ברלין את ר׳ שמעון בזמן שלמד אצלו </w:t>
      </w:r>
      <w:proofErr w:type="spellStart"/>
      <w:r>
        <w:rPr>
          <w:rtl/>
        </w:rPr>
        <w:t>בטלז</w:t>
      </w:r>
      <w:proofErr w:type="spellEnd"/>
      <w:r>
        <w:rPr>
          <w:rtl/>
        </w:rPr>
        <w:t xml:space="preserve"> (</w:t>
      </w:r>
      <w:proofErr w:type="spellStart"/>
      <w:r>
        <w:rPr>
          <w:rtl/>
        </w:rPr>
        <w:t>בתרנ״ה</w:t>
      </w:r>
      <w:proofErr w:type="spellEnd"/>
      <w:r>
        <w:rPr>
          <w:rtl/>
        </w:rPr>
        <w:t xml:space="preserve">): “פעם נכנסתי אצל רבי שמעון בשעה שש בבקר (הרב היה צריך להגיד שעורו) ומצאתיו יושב על יד השלחן, מגבת </w:t>
      </w:r>
      <w:proofErr w:type="spellStart"/>
      <w:r>
        <w:rPr>
          <w:rtl/>
        </w:rPr>
        <w:t>רטבה־לחה</w:t>
      </w:r>
      <w:proofErr w:type="spellEnd"/>
      <w:r>
        <w:rPr>
          <w:rtl/>
        </w:rPr>
        <w:t xml:space="preserve"> מסביב לראשו, המאפרה מלאה </w:t>
      </w:r>
      <w:proofErr w:type="spellStart"/>
      <w:r>
        <w:rPr>
          <w:rtl/>
        </w:rPr>
        <w:t>בדלי־סיגריות</w:t>
      </w:r>
      <w:proofErr w:type="spellEnd"/>
      <w:r>
        <w:rPr>
          <w:rtl/>
        </w:rPr>
        <w:t xml:space="preserve"> ומחוטמו נזל דם. </w:t>
      </w:r>
      <w:proofErr w:type="spellStart"/>
      <w:r>
        <w:rPr>
          <w:rtl/>
        </w:rPr>
        <w:t>נכר</w:t>
      </w:r>
      <w:proofErr w:type="spellEnd"/>
      <w:r>
        <w:rPr>
          <w:rtl/>
        </w:rPr>
        <w:t xml:space="preserve"> היה: שהיה ער כל הלילה [בלימוד]”.</w:t>
      </w:r>
    </w:p>
    <w:p w14:paraId="3D53E09F" w14:textId="77777777" w:rsidR="00AB3647" w:rsidRDefault="00000000" w:rsidP="007923E9">
      <w:pPr>
        <w:spacing w:after="120" w:line="276" w:lineRule="auto"/>
        <w:ind w:firstLine="283"/>
        <w:jc w:val="both"/>
      </w:pPr>
      <w:r>
        <w:rPr>
          <w:rtl/>
        </w:rPr>
        <w:t xml:space="preserve">תעלומת עישונו של ר׳ שמעון התבררה </w:t>
      </w:r>
      <w:proofErr w:type="spellStart"/>
      <w:r>
        <w:rPr>
          <w:rtl/>
        </w:rPr>
        <w:t>לר</w:t>
      </w:r>
      <w:proofErr w:type="spellEnd"/>
      <w:r>
        <w:rPr>
          <w:rtl/>
        </w:rPr>
        <w:t xml:space="preserve">׳ זליג אפשטיין אחרי פטירת הרב </w:t>
      </w:r>
      <w:proofErr w:type="spellStart"/>
      <w:r>
        <w:rPr>
          <w:rtl/>
        </w:rPr>
        <w:t>שקופ</w:t>
      </w:r>
      <w:proofErr w:type="spellEnd"/>
      <w:r>
        <w:rPr>
          <w:rtl/>
        </w:rPr>
        <w:t xml:space="preserve">. ר׳ זליג שמע מר׳ </w:t>
      </w:r>
      <w:proofErr w:type="spellStart"/>
      <w:r>
        <w:rPr>
          <w:rtl/>
        </w:rPr>
        <w:t>נחום־אבא</w:t>
      </w:r>
      <w:proofErr w:type="spellEnd"/>
      <w:r>
        <w:rPr>
          <w:rtl/>
        </w:rPr>
        <w:t xml:space="preserve"> </w:t>
      </w:r>
      <w:proofErr w:type="spellStart"/>
      <w:r>
        <w:rPr>
          <w:rtl/>
        </w:rPr>
        <w:t>גרוסברד</w:t>
      </w:r>
      <w:proofErr w:type="spellEnd"/>
      <w:r>
        <w:rPr>
          <w:rtl/>
        </w:rPr>
        <w:t xml:space="preserve"> שר׳ שמעון גילה לו, כשנתיים לפני פטירתו, שעישן רק מפני שסבר שיש בעישון תועלת</w:t>
      </w:r>
      <w:bookmarkStart w:id="6261" w:name="_fnr4697"/>
      <w:r>
        <w:rPr>
          <w:rStyle w:val="a5"/>
        </w:rPr>
        <w:footnoteReference w:id="4709" w:customMarkFollows="0"/>
      </w:r>
      <w:bookmarkEnd w:id="6261"/>
      <w:r>
        <w:rPr>
          <w:rtl/>
        </w:rPr>
        <w:t xml:space="preserve">. את הנחתו ביסס על כך שר׳ ישראל עישן – ר׳ ישראל, שנמנע מכל פינוק ומותרות מאז היותו בר מצווה. ר׳ שמעון סיפר </w:t>
      </w:r>
      <w:proofErr w:type="spellStart"/>
      <w:r>
        <w:rPr>
          <w:rtl/>
        </w:rPr>
        <w:t>לר</w:t>
      </w:r>
      <w:proofErr w:type="spellEnd"/>
      <w:r>
        <w:rPr>
          <w:rtl/>
        </w:rPr>
        <w:t xml:space="preserve">׳ </w:t>
      </w:r>
      <w:proofErr w:type="spellStart"/>
      <w:r>
        <w:rPr>
          <w:rtl/>
        </w:rPr>
        <w:t>נחום־אבא</w:t>
      </w:r>
      <w:proofErr w:type="spellEnd"/>
      <w:r>
        <w:rPr>
          <w:rtl/>
        </w:rPr>
        <w:t xml:space="preserve"> שכשהגיע ר׳ ישראל לגיל בר מצווה, החליט להימנע ממאכל שנהנה ממנו יתר על המידה: לביבות תפוחי אדמה. כעבור שנה, כשבא לבית חותנו וחמותו לעתיד כדי להתארס, הניחו לפניו לביבות. הוא התלבט בינו לבין עצמו איזה משני הרעים שניצבו לפניו קל יותר – לוותר על החלטתו או להעליב את מארחיו – ואכל שתי לביבות. לימים אמר ר׳ ישראל שהצטער על החלטה זו כל ימי חייו!</w:t>
      </w:r>
    </w:p>
    <w:p w14:paraId="55DCF89F" w14:textId="77777777" w:rsidR="00AB3647" w:rsidRDefault="00000000" w:rsidP="007923E9">
      <w:pPr>
        <w:spacing w:after="120" w:line="276" w:lineRule="auto"/>
        <w:ind w:firstLine="283"/>
        <w:jc w:val="both"/>
      </w:pPr>
      <w:r>
        <w:rPr>
          <w:rtl/>
        </w:rPr>
        <w:t>המבוא הביוגרפי שכתב ר׳ אריה לוין לספרו של בעל “לשם שבו ואחלמה”</w:t>
      </w:r>
      <w:bookmarkStart w:id="6262" w:name="_fnr4698"/>
      <w:r>
        <w:rPr>
          <w:rStyle w:val="a5"/>
        </w:rPr>
        <w:footnoteReference w:id="4710" w:customMarkFollows="0"/>
      </w:r>
      <w:bookmarkEnd w:id="6262"/>
      <w:r>
        <w:rPr>
          <w:rtl/>
        </w:rPr>
        <w:t xml:space="preserve"> מביא בשם ר׳ שלמה אלישיב: “ר׳ ישראל לא נהנה מן העולם הזה, וכו׳</w:t>
      </w:r>
      <w:bookmarkStart w:id="6263" w:name="_fnr4699"/>
      <w:r>
        <w:rPr>
          <w:rStyle w:val="a5"/>
        </w:rPr>
        <w:footnoteReference w:id="4711" w:customMarkFollows="0"/>
      </w:r>
      <w:bookmarkEnd w:id="6263"/>
      <w:r>
        <w:rPr>
          <w:rtl/>
        </w:rPr>
        <w:t xml:space="preserve">, כי מאס בכבוד, שנא את הכסף ולא הניח מקום </w:t>
      </w:r>
      <w:proofErr w:type="spellStart"/>
      <w:r>
        <w:rPr>
          <w:rtl/>
        </w:rPr>
        <w:t>בלבו</w:t>
      </w:r>
      <w:proofErr w:type="spellEnd"/>
      <w:r>
        <w:rPr>
          <w:rtl/>
        </w:rPr>
        <w:t xml:space="preserve"> לאהבת ילדיו – שלושת יסודות הנאת האדם בעולם הזה”. “ר׳ ישראל”, אמר ר׳ זליג, “היה </w:t>
      </w:r>
      <w:proofErr w:type="spellStart"/>
      <w:r>
        <w:rPr>
          <w:rtl/>
        </w:rPr>
        <w:t>לר</w:t>
      </w:r>
      <w:proofErr w:type="spellEnd"/>
      <w:r>
        <w:rPr>
          <w:rtl/>
        </w:rPr>
        <w:t>׳ שמעון דוגמה של רוממות, טהרה וחכמה – הוא פגש את ר׳ ישראל בצעירותו – ובהחלטותיו האישיות הכריע תמיד לפי השאלה מה היה ר׳ ישראל מייעץ לעשות במצב שלפניו</w:t>
      </w:r>
      <w:bookmarkStart w:id="6264" w:name="_fnr4700"/>
      <w:r>
        <w:rPr>
          <w:rStyle w:val="a5"/>
        </w:rPr>
        <w:footnoteReference w:id="4712" w:customMarkFollows="0"/>
      </w:r>
      <w:bookmarkEnd w:id="6264"/>
      <w:r>
        <w:rPr>
          <w:rtl/>
        </w:rPr>
        <w:t xml:space="preserve">. ואכן, ר׳ שמעון דחה את עצתם של ר׳ </w:t>
      </w:r>
      <w:proofErr w:type="spellStart"/>
      <w:r>
        <w:rPr>
          <w:rtl/>
        </w:rPr>
        <w:t>חיים־עוזר</w:t>
      </w:r>
      <w:proofErr w:type="spellEnd"/>
      <w:r>
        <w:rPr>
          <w:rtl/>
        </w:rPr>
        <w:t xml:space="preserve"> </w:t>
      </w:r>
      <w:proofErr w:type="spellStart"/>
      <w:r>
        <w:rPr>
          <w:rtl/>
        </w:rPr>
        <w:t>גרודזנסקי</w:t>
      </w:r>
      <w:proofErr w:type="spellEnd"/>
      <w:r>
        <w:rPr>
          <w:rtl/>
        </w:rPr>
        <w:t xml:space="preserve"> ושל </w:t>
      </w:r>
      <w:proofErr w:type="spellStart"/>
      <w:r>
        <w:rPr>
          <w:rtl/>
        </w:rPr>
        <w:t>החפץ־חיים</w:t>
      </w:r>
      <w:proofErr w:type="spellEnd"/>
      <w:r>
        <w:rPr>
          <w:rtl/>
        </w:rPr>
        <w:t xml:space="preserve"> גם יחד להתפטר מראשות ישיבת רבנו יצחק אלחנן בניו יורק, שקיבל עליו </w:t>
      </w:r>
      <w:proofErr w:type="spellStart"/>
      <w:r>
        <w:rPr>
          <w:rtl/>
        </w:rPr>
        <w:t>בתרפ״ט</w:t>
      </w:r>
      <w:proofErr w:type="spellEnd"/>
      <w:r>
        <w:rPr>
          <w:rtl/>
        </w:rPr>
        <w:t>, מפני שהיה בטוח שר׳ ישראל היה מורה לו להישאר בה. הוא עזב את תפקידו כעבור חצי שנה, ורק מסיבות משפחתיות</w:t>
      </w:r>
      <w:bookmarkStart w:id="6265" w:name="_fnr4701"/>
      <w:bookmarkStart w:id="6266" w:name="pr_f_4582"/>
      <w:r>
        <w:rPr>
          <w:rStyle w:val="a5"/>
        </w:rPr>
        <w:footnoteReference w:id="4713" w:customMarkFollows="0"/>
      </w:r>
      <w:bookmarkEnd w:id="6265"/>
      <w:bookmarkEnd w:id="6266"/>
      <w:r>
        <w:rPr>
          <w:rtl/>
        </w:rPr>
        <w:t>”.</w:t>
      </w:r>
    </w:p>
    <w:p w14:paraId="193AC2D5" w14:textId="77777777" w:rsidR="00AB3647" w:rsidRDefault="00000000" w:rsidP="007923E9">
      <w:pPr>
        <w:spacing w:after="120" w:line="276" w:lineRule="auto"/>
        <w:ind w:firstLine="283"/>
        <w:jc w:val="both"/>
      </w:pPr>
      <w:r>
        <w:rPr>
          <w:rtl/>
        </w:rPr>
        <w:t>יש להוסיף שכשהחליט ר׳ שמעון להישאר באמריקה, לא התחשב גם ברגשות תלמידיו באירופה, שלבם נשבר כששמעו שרבם יישאר בארצות הברית. ראה “תורה יבקשו מפיהו”</w:t>
      </w:r>
      <w:bookmarkStart w:id="6267" w:name="_fnr4702"/>
      <w:r>
        <w:rPr>
          <w:rStyle w:val="a5"/>
        </w:rPr>
        <w:footnoteReference w:id="4714" w:customMarkFollows="0"/>
      </w:r>
      <w:bookmarkEnd w:id="6267"/>
      <w:r>
        <w:rPr>
          <w:rtl/>
        </w:rPr>
        <w:t xml:space="preserve">, המביא מזיכרונות ר׳ </w:t>
      </w:r>
      <w:proofErr w:type="spellStart"/>
      <w:r>
        <w:rPr>
          <w:rtl/>
        </w:rPr>
        <w:t>ישראל־זאב</w:t>
      </w:r>
      <w:proofErr w:type="spellEnd"/>
      <w:r>
        <w:rPr>
          <w:rtl/>
        </w:rPr>
        <w:t xml:space="preserve"> </w:t>
      </w:r>
      <w:proofErr w:type="spellStart"/>
      <w:r>
        <w:rPr>
          <w:rtl/>
        </w:rPr>
        <w:t>גוסטמן</w:t>
      </w:r>
      <w:proofErr w:type="spellEnd"/>
      <w:r>
        <w:rPr>
          <w:rtl/>
        </w:rPr>
        <w:t xml:space="preserve">: “אני זוכר שהיו בחורים שישבו על הארץ ובכו כששמעו שאין ר׳ שמעון מתכוון לשוב </w:t>
      </w:r>
      <w:proofErr w:type="spellStart"/>
      <w:r>
        <w:rPr>
          <w:rtl/>
        </w:rPr>
        <w:t>לגרודנא</w:t>
      </w:r>
      <w:proofErr w:type="spellEnd"/>
      <w:r>
        <w:rPr>
          <w:rtl/>
        </w:rPr>
        <w:t>”.</w:t>
      </w:r>
    </w:p>
    <w:p w14:paraId="7E511B66" w14:textId="77777777" w:rsidR="00AB3647" w:rsidRDefault="00000000" w:rsidP="007923E9">
      <w:pPr>
        <w:spacing w:after="120" w:line="276" w:lineRule="auto"/>
        <w:ind w:firstLine="283"/>
        <w:jc w:val="both"/>
      </w:pPr>
      <w:r>
        <w:rPr>
          <w:rtl/>
        </w:rPr>
        <w:lastRenderedPageBreak/>
        <w:t xml:space="preserve">ברור שר׳ שמעון ביקש ללכת בדרכו של ר׳ ישראל </w:t>
      </w:r>
      <w:proofErr w:type="spellStart"/>
      <w:r>
        <w:rPr>
          <w:rtl/>
        </w:rPr>
        <w:t>סלנטר</w:t>
      </w:r>
      <w:proofErr w:type="spellEnd"/>
      <w:r>
        <w:rPr>
          <w:rtl/>
        </w:rPr>
        <w:t xml:space="preserve"> בשליש האחרון של חייו: לצאת מסביבת התורה המבוססת שברוסיה ולפעול במערב אירופה (ולבקר ברוסיה רק לעתים רחוקות). ר׳ ישראל יצא אל קהילות גרמניה ואל פריז מפני שלפי </w:t>
      </w:r>
      <w:proofErr w:type="spellStart"/>
      <w:r>
        <w:rPr>
          <w:rtl/>
        </w:rPr>
        <w:t>אטקס</w:t>
      </w:r>
      <w:proofErr w:type="spellEnd"/>
      <w:r>
        <w:rPr>
          <w:rtl/>
        </w:rPr>
        <w:t xml:space="preserve">, “ר׳ ישראל </w:t>
      </w:r>
      <w:proofErr w:type="spellStart"/>
      <w:r>
        <w:rPr>
          <w:rtl/>
        </w:rPr>
        <w:t>סלנטר</w:t>
      </w:r>
      <w:proofErr w:type="spellEnd"/>
      <w:r>
        <w:rPr>
          <w:rtl/>
        </w:rPr>
        <w:t xml:space="preserve"> וראשיתה של תנועת המוסר”</w:t>
      </w:r>
      <w:bookmarkStart w:id="6268" w:name="_fnr4703"/>
      <w:r>
        <w:rPr>
          <w:rStyle w:val="a5"/>
        </w:rPr>
        <w:footnoteReference w:id="4715" w:customMarkFollows="0"/>
      </w:r>
      <w:bookmarkEnd w:id="6268"/>
      <w:r>
        <w:rPr>
          <w:rtl/>
        </w:rPr>
        <w:t>, “האתגר של השבת ערכים מסורתיים ודרכי התנהגות מסורתיות היה בעיקרו מה שמשך אותו [לשם]”</w:t>
      </w:r>
      <w:bookmarkStart w:id="6269" w:name="_fnr4704"/>
      <w:r>
        <w:rPr>
          <w:rStyle w:val="a5"/>
        </w:rPr>
        <w:footnoteReference w:id="4716" w:customMarkFollows="0"/>
      </w:r>
      <w:bookmarkEnd w:id="6269"/>
      <w:r>
        <w:rPr>
          <w:rtl/>
        </w:rPr>
        <w:t>. כץ, “תנועת המוסר”, כרך א</w:t>
      </w:r>
      <w:bookmarkStart w:id="6270" w:name="_fnr4705"/>
      <w:r>
        <w:rPr>
          <w:rStyle w:val="a5"/>
        </w:rPr>
        <w:footnoteReference w:id="4717" w:customMarkFollows="0"/>
      </w:r>
      <w:bookmarkEnd w:id="6270"/>
      <w:r>
        <w:rPr>
          <w:rtl/>
        </w:rPr>
        <w:t>, מתאר זאת בדרמטיות רבה יותר: “</w:t>
      </w:r>
      <w:proofErr w:type="spellStart"/>
      <w:r>
        <w:rPr>
          <w:rtl/>
        </w:rPr>
        <w:t>לר</w:t>
      </w:r>
      <w:proofErr w:type="spellEnd"/>
      <w:r>
        <w:rPr>
          <w:rtl/>
        </w:rPr>
        <w:t xml:space="preserve">׳ ישראל היה </w:t>
      </w:r>
      <w:proofErr w:type="spellStart"/>
      <w:r>
        <w:rPr>
          <w:rtl/>
        </w:rPr>
        <w:t>חזון</w:t>
      </w:r>
      <w:proofErr w:type="spellEnd"/>
      <w:r>
        <w:rPr>
          <w:rtl/>
        </w:rPr>
        <w:t xml:space="preserve"> גדול יותר: לא הסתפק בהישגיו ברוסיה. שאיפותיו הקיפו עולמות רחוקים ועיניו שוטטו במרחבים גדולים, לחזק את יראת ה׳ בכל מקום ולהחדיר את רוח המוסר, שבה ראה את הצלת היהדות, לכל פינות בית ישראל. מבטו הראשון נפל על גרמניה הקרובה, שם שלטה הרפורמה בכל כוחה וסחפה כל שריד של יהדות. ההתבוללות התפשטה בצעדי ענק, ועד מהרה לא יישאר זכר לבית ישראל. ר׳ ישראל עבר לגרמניה וניגש לבלום הידרדרות זו ולהרעיף טל תחייה על היהדות [שם]”.</w:t>
      </w:r>
    </w:p>
    <w:p w14:paraId="089516D6" w14:textId="77777777" w:rsidR="00AB3647" w:rsidRDefault="00000000" w:rsidP="007923E9">
      <w:pPr>
        <w:spacing w:after="120" w:line="276" w:lineRule="auto"/>
        <w:ind w:firstLine="283"/>
        <w:jc w:val="both"/>
      </w:pPr>
      <w:r>
        <w:rPr>
          <w:rtl/>
        </w:rPr>
        <w:t>גם ר׳ שמעון נמשך לאתגר הרוחני שהציבה אמריקה בין שתי מלחמות העולם</w:t>
      </w:r>
      <w:bookmarkStart w:id="6271" w:name="_fnr4706"/>
      <w:r>
        <w:rPr>
          <w:rStyle w:val="a5"/>
        </w:rPr>
        <w:footnoteReference w:id="4718" w:customMarkFollows="0"/>
      </w:r>
      <w:bookmarkEnd w:id="6271"/>
      <w:r>
        <w:rPr>
          <w:rtl/>
        </w:rPr>
        <w:t>. השווה גם “החפץ חיים (ישר)”</w:t>
      </w:r>
      <w:bookmarkStart w:id="6272" w:name="_fnr4707"/>
      <w:r>
        <w:rPr>
          <w:rStyle w:val="a5"/>
        </w:rPr>
        <w:footnoteReference w:id="4719" w:customMarkFollows="0"/>
      </w:r>
      <w:bookmarkEnd w:id="6272"/>
      <w:r>
        <w:rPr>
          <w:rtl/>
        </w:rPr>
        <w:t xml:space="preserve">, הטוען על </w:t>
      </w:r>
      <w:proofErr w:type="spellStart"/>
      <w:r>
        <w:rPr>
          <w:rtl/>
        </w:rPr>
        <w:t>החפץ־חיים</w:t>
      </w:r>
      <w:proofErr w:type="spellEnd"/>
      <w:r>
        <w:rPr>
          <w:rtl/>
        </w:rPr>
        <w:t xml:space="preserve"> </w:t>
      </w:r>
      <w:proofErr w:type="spellStart"/>
      <w:r>
        <w:rPr>
          <w:rtl/>
        </w:rPr>
        <w:t>ש“במובן</w:t>
      </w:r>
      <w:proofErr w:type="spellEnd"/>
      <w:r>
        <w:rPr>
          <w:rtl/>
        </w:rPr>
        <w:t xml:space="preserve"> מסוים ראה בר׳ ישראל את רבו ואת מדריכו בחיים” – כמו שטען ר׳ זליג אפשטיין על ר׳ שמעון </w:t>
      </w:r>
      <w:proofErr w:type="spellStart"/>
      <w:r>
        <w:rPr>
          <w:rtl/>
        </w:rPr>
        <w:t>שקופ</w:t>
      </w:r>
      <w:proofErr w:type="spellEnd"/>
      <w:r>
        <w:rPr>
          <w:rtl/>
        </w:rPr>
        <w:t>.</w:t>
      </w:r>
    </w:p>
    <w:p w14:paraId="5A99D01B" w14:textId="77777777" w:rsidR="00AB3647" w:rsidRDefault="00000000" w:rsidP="007923E9">
      <w:pPr>
        <w:spacing w:after="120" w:line="276" w:lineRule="auto"/>
        <w:ind w:firstLine="283"/>
        <w:jc w:val="both"/>
      </w:pPr>
      <w:r>
        <w:rPr>
          <w:rtl/>
        </w:rPr>
        <w:t xml:space="preserve">ר׳ מרדכי </w:t>
      </w:r>
      <w:proofErr w:type="spellStart"/>
      <w:r>
        <w:rPr>
          <w:rtl/>
        </w:rPr>
        <w:t>קרלינסקי</w:t>
      </w:r>
      <w:proofErr w:type="spellEnd"/>
      <w:r>
        <w:rPr>
          <w:rtl/>
        </w:rPr>
        <w:t>, שלמד אצל ר׳ שמעון בישיבת רבנו יצחק אלחנן, סיפר</w:t>
      </w:r>
      <w:bookmarkStart w:id="6273" w:name="_fnr4708"/>
      <w:r>
        <w:rPr>
          <w:rStyle w:val="a5"/>
        </w:rPr>
        <w:footnoteReference w:id="4720" w:customMarkFollows="0"/>
      </w:r>
      <w:bookmarkEnd w:id="6273"/>
      <w:r>
        <w:rPr>
          <w:rtl/>
        </w:rPr>
        <w:t xml:space="preserve"> שהרב </w:t>
      </w:r>
      <w:proofErr w:type="spellStart"/>
      <w:r>
        <w:rPr>
          <w:rtl/>
        </w:rPr>
        <w:t>שקופ</w:t>
      </w:r>
      <w:proofErr w:type="spellEnd"/>
      <w:r>
        <w:rPr>
          <w:rtl/>
        </w:rPr>
        <w:t xml:space="preserve">, ראש ישיבתו באותה עת, אמר לו כשיצא לחזור לאירופה שהוא רואה באמריקה את בית התורה העתידי, והיה שמח לכהן בישיבה אחרת אילו הייתה כזאת – באותה עת הייתה ישיבת תורה ודעת רק ברמת בית ספר יסודי. הדבר מתיישב עם דברי ר׳ זליג אפשטיין, שהרב </w:t>
      </w:r>
      <w:proofErr w:type="spellStart"/>
      <w:r>
        <w:rPr>
          <w:rtl/>
        </w:rPr>
        <w:t>שקופ</w:t>
      </w:r>
      <w:proofErr w:type="spellEnd"/>
      <w:r>
        <w:rPr>
          <w:rtl/>
        </w:rPr>
        <w:t xml:space="preserve"> נהג כדרכו של ר׳ ישראל כשנשאר באמריקה. אבל בפרט צדדי חלק הרב </w:t>
      </w:r>
      <w:proofErr w:type="spellStart"/>
      <w:r>
        <w:rPr>
          <w:rtl/>
        </w:rPr>
        <w:t>קרלינסקי</w:t>
      </w:r>
      <w:proofErr w:type="spellEnd"/>
      <w:r>
        <w:rPr>
          <w:rtl/>
        </w:rPr>
        <w:t xml:space="preserve">: הוא אמר שר׳ שמעון סיפר לו שעזיבתו את ישיבת רבנו יצחק אלחנן הייתה קשורה ליחסים המעיקים שהיו לו עם ד״ר ברנרד </w:t>
      </w:r>
      <w:proofErr w:type="spellStart"/>
      <w:r>
        <w:rPr>
          <w:rtl/>
        </w:rPr>
        <w:t>רבל</w:t>
      </w:r>
      <w:proofErr w:type="spellEnd"/>
      <w:r>
        <w:rPr>
          <w:rtl/>
        </w:rPr>
        <w:t xml:space="preserve">, נשיא הישיבה – ולא </w:t>
      </w:r>
      <w:proofErr w:type="spellStart"/>
      <w:r>
        <w:rPr>
          <w:rtl/>
        </w:rPr>
        <w:t>ל“סיבות</w:t>
      </w:r>
      <w:proofErr w:type="spellEnd"/>
      <w:r>
        <w:rPr>
          <w:rtl/>
        </w:rPr>
        <w:t xml:space="preserve"> משפחתיות” מעורפלות, כפי שאמר ר׳ זליג אפשטיין. ר׳ מרדכי תלה את יחסו הבלתי ראוי של ד״ר </w:t>
      </w:r>
      <w:proofErr w:type="spellStart"/>
      <w:r>
        <w:rPr>
          <w:rtl/>
        </w:rPr>
        <w:t>רבל</w:t>
      </w:r>
      <w:proofErr w:type="spellEnd"/>
      <w:r>
        <w:rPr>
          <w:rtl/>
        </w:rPr>
        <w:t xml:space="preserve"> לרב </w:t>
      </w:r>
      <w:proofErr w:type="spellStart"/>
      <w:r>
        <w:rPr>
          <w:rtl/>
        </w:rPr>
        <w:t>שקופ</w:t>
      </w:r>
      <w:proofErr w:type="spellEnd"/>
      <w:r>
        <w:rPr>
          <w:rtl/>
        </w:rPr>
        <w:t xml:space="preserve"> בכך שהיה מעסיק קשה במיוחד.</w:t>
      </w:r>
    </w:p>
    <w:p w14:paraId="59D176C5" w14:textId="77777777" w:rsidR="00AB3647" w:rsidRDefault="00000000" w:rsidP="007923E9">
      <w:pPr>
        <w:spacing w:after="120" w:line="276" w:lineRule="auto"/>
        <w:ind w:firstLine="283"/>
        <w:jc w:val="both"/>
      </w:pPr>
      <w:r>
        <w:rPr>
          <w:rtl/>
        </w:rPr>
        <w:t xml:space="preserve">הרב </w:t>
      </w:r>
      <w:proofErr w:type="spellStart"/>
      <w:r>
        <w:rPr>
          <w:rtl/>
        </w:rPr>
        <w:t>קרלינסקי</w:t>
      </w:r>
      <w:proofErr w:type="spellEnd"/>
      <w:r>
        <w:rPr>
          <w:rtl/>
        </w:rPr>
        <w:t xml:space="preserve"> סיפר על חילופי דברים שראה בין ד״ר </w:t>
      </w:r>
      <w:proofErr w:type="spellStart"/>
      <w:r>
        <w:rPr>
          <w:rtl/>
        </w:rPr>
        <w:t>רבל</w:t>
      </w:r>
      <w:proofErr w:type="spellEnd"/>
      <w:r>
        <w:rPr>
          <w:rtl/>
        </w:rPr>
        <w:t xml:space="preserve"> לבין קודמו של ר׳ שמעון, ר׳ שלמה </w:t>
      </w:r>
      <w:proofErr w:type="spellStart"/>
      <w:r>
        <w:rPr>
          <w:rtl/>
        </w:rPr>
        <w:t>פוליצ׳ק</w:t>
      </w:r>
      <w:proofErr w:type="spellEnd"/>
      <w:r>
        <w:rPr>
          <w:rtl/>
        </w:rPr>
        <w:t xml:space="preserve">, העילוי </w:t>
      </w:r>
      <w:proofErr w:type="spellStart"/>
      <w:r>
        <w:rPr>
          <w:rtl/>
        </w:rPr>
        <w:t>ממייצ׳ט</w:t>
      </w:r>
      <w:proofErr w:type="spellEnd"/>
      <w:r>
        <w:rPr>
          <w:rtl/>
        </w:rPr>
        <w:t xml:space="preserve">. עם פטירתו בטרם עת של העילוי </w:t>
      </w:r>
      <w:proofErr w:type="spellStart"/>
      <w:r>
        <w:rPr>
          <w:rtl/>
        </w:rPr>
        <w:t>ממייצ׳ט</w:t>
      </w:r>
      <w:proofErr w:type="spellEnd"/>
      <w:r>
        <w:rPr>
          <w:rtl/>
        </w:rPr>
        <w:t xml:space="preserve"> </w:t>
      </w:r>
      <w:proofErr w:type="spellStart"/>
      <w:r>
        <w:rPr>
          <w:rtl/>
        </w:rPr>
        <w:t>בתרפ״ח</w:t>
      </w:r>
      <w:proofErr w:type="spellEnd"/>
      <w:r>
        <w:rPr>
          <w:rtl/>
        </w:rPr>
        <w:t xml:space="preserve"> נתמנה ר׳ שמעון לתפקיד; הוא היה אז באמריקה, במסע לגיוס כספים לישיבתו </w:t>
      </w:r>
      <w:proofErr w:type="spellStart"/>
      <w:r>
        <w:rPr>
          <w:rtl/>
        </w:rPr>
        <w:t>בגרודנא</w:t>
      </w:r>
      <w:proofErr w:type="spellEnd"/>
      <w:r>
        <w:rPr>
          <w:rtl/>
        </w:rPr>
        <w:t xml:space="preserve">. “העילוי </w:t>
      </w:r>
      <w:proofErr w:type="spellStart"/>
      <w:r>
        <w:rPr>
          <w:rtl/>
        </w:rPr>
        <w:t>ממייצ׳ט</w:t>
      </w:r>
      <w:proofErr w:type="spellEnd"/>
      <w:r>
        <w:rPr>
          <w:rtl/>
        </w:rPr>
        <w:t xml:space="preserve"> סיים את שיעורו חמש דקות לפני השעה המיועדת, אחת, ואני ליוויתי אותו ושוחחתי עמו על התוספות במסכת כתובות שעסק בהם”, סיפר הרב </w:t>
      </w:r>
      <w:proofErr w:type="spellStart"/>
      <w:r>
        <w:rPr>
          <w:rtl/>
        </w:rPr>
        <w:t>קרלינסקי</w:t>
      </w:r>
      <w:proofErr w:type="spellEnd"/>
      <w:r>
        <w:rPr>
          <w:rtl/>
        </w:rPr>
        <w:t xml:space="preserve">. “כשעברנו ליד משרדו, אמר ד״ר </w:t>
      </w:r>
      <w:proofErr w:type="spellStart"/>
      <w:r>
        <w:rPr>
          <w:rtl/>
        </w:rPr>
        <w:t>רבל</w:t>
      </w:r>
      <w:proofErr w:type="spellEnd"/>
      <w:r>
        <w:rPr>
          <w:rtl/>
        </w:rPr>
        <w:t xml:space="preserve">: ‘ר׳ שלמה, נשארו עוד חמש דקות’. השיב ר׳ שלמה: ‘כבר סיימתי את שיעורי </w:t>
      </w:r>
      <w:r>
        <w:rPr>
          <w:rtl/>
        </w:rPr>
        <w:lastRenderedPageBreak/>
        <w:t xml:space="preserve">בעניין, ומה אעשה? וכי אתה חושב שמסירת שיעור היא שיחה בעלמא?’ ראיתי שלא הייתה זו הפעם הראשונה שד״ר </w:t>
      </w:r>
      <w:proofErr w:type="spellStart"/>
      <w:r>
        <w:rPr>
          <w:rtl/>
        </w:rPr>
        <w:t>רבל</w:t>
      </w:r>
      <w:proofErr w:type="spellEnd"/>
      <w:r>
        <w:rPr>
          <w:rtl/>
        </w:rPr>
        <w:t xml:space="preserve"> נהג כך בעילוי </w:t>
      </w:r>
      <w:proofErr w:type="spellStart"/>
      <w:r>
        <w:rPr>
          <w:rtl/>
        </w:rPr>
        <w:t>ממייצ׳ט</w:t>
      </w:r>
      <w:proofErr w:type="spellEnd"/>
      <w:r>
        <w:rPr>
          <w:rtl/>
        </w:rPr>
        <w:t xml:space="preserve">. עם ר׳ שמעון היה ד״ר </w:t>
      </w:r>
      <w:proofErr w:type="spellStart"/>
      <w:r>
        <w:rPr>
          <w:rtl/>
        </w:rPr>
        <w:t>רבל</w:t>
      </w:r>
      <w:proofErr w:type="spellEnd"/>
      <w:r>
        <w:rPr>
          <w:rtl/>
        </w:rPr>
        <w:t xml:space="preserve"> קשה עוד יותר, מפני שהוא עצמו סולק </w:t>
      </w:r>
      <w:proofErr w:type="spellStart"/>
      <w:r>
        <w:rPr>
          <w:rtl/>
        </w:rPr>
        <w:t>מטלז</w:t>
      </w:r>
      <w:proofErr w:type="spellEnd"/>
      <w:r>
        <w:rPr>
          <w:rtl/>
        </w:rPr>
        <w:t xml:space="preserve"> </w:t>
      </w:r>
      <w:proofErr w:type="spellStart"/>
      <w:r>
        <w:rPr>
          <w:rtl/>
        </w:rPr>
        <w:t>בתרס״א</w:t>
      </w:r>
      <w:proofErr w:type="spellEnd"/>
      <w:r>
        <w:rPr>
          <w:rtl/>
        </w:rPr>
        <w:t xml:space="preserve">, כשהיה בן </w:t>
      </w:r>
      <w:proofErr w:type="spellStart"/>
      <w:r>
        <w:rPr>
          <w:rtl/>
        </w:rPr>
        <w:t>שש־עשרה</w:t>
      </w:r>
      <w:proofErr w:type="spellEnd"/>
      <w:r>
        <w:rPr>
          <w:rtl/>
        </w:rPr>
        <w:t xml:space="preserve">, בשעה שר׳ שמעון היה מרבני הישיבה שם; </w:t>
      </w:r>
      <w:proofErr w:type="spellStart"/>
      <w:r>
        <w:rPr>
          <w:rtl/>
        </w:rPr>
        <w:t>רבל</w:t>
      </w:r>
      <w:proofErr w:type="spellEnd"/>
      <w:r>
        <w:rPr>
          <w:rtl/>
        </w:rPr>
        <w:t xml:space="preserve"> היה מעורב בתנועה המהפכנית של אותה עת. שום דבר לא הסב לו הנאה גדולה יותר מלהזכיר </w:t>
      </w:r>
      <w:proofErr w:type="spellStart"/>
      <w:r>
        <w:rPr>
          <w:rtl/>
        </w:rPr>
        <w:t>לר</w:t>
      </w:r>
      <w:proofErr w:type="spellEnd"/>
      <w:r>
        <w:rPr>
          <w:rtl/>
        </w:rPr>
        <w:t>׳ שמעון מי מעסיקו עכשיו”.</w:t>
      </w:r>
    </w:p>
    <w:p w14:paraId="53C65109" w14:textId="77777777" w:rsidR="00AB3647" w:rsidRDefault="00000000" w:rsidP="007923E9">
      <w:pPr>
        <w:spacing w:after="120" w:line="276" w:lineRule="auto"/>
        <w:ind w:firstLine="283"/>
        <w:jc w:val="both"/>
      </w:pPr>
      <w:r>
        <w:rPr>
          <w:rtl/>
        </w:rPr>
        <w:t xml:space="preserve">לפי “ברנרד </w:t>
      </w:r>
      <w:proofErr w:type="spellStart"/>
      <w:r>
        <w:rPr>
          <w:rtl/>
        </w:rPr>
        <w:t>רבל</w:t>
      </w:r>
      <w:proofErr w:type="spellEnd"/>
      <w:r>
        <w:rPr>
          <w:rtl/>
        </w:rPr>
        <w:t xml:space="preserve"> – בונה האורתודוקסיה היהודית באמריקה”</w:t>
      </w:r>
      <w:bookmarkStart w:id="6274" w:name="_fnr4709"/>
      <w:r>
        <w:rPr>
          <w:rStyle w:val="a5"/>
        </w:rPr>
        <w:footnoteReference w:id="4721" w:customMarkFollows="0"/>
      </w:r>
      <w:bookmarkEnd w:id="6274"/>
      <w:r>
        <w:rPr>
          <w:rtl/>
        </w:rPr>
        <w:t xml:space="preserve">, נשאר ד״ר </w:t>
      </w:r>
      <w:proofErr w:type="spellStart"/>
      <w:r>
        <w:rPr>
          <w:rtl/>
        </w:rPr>
        <w:t>רבל</w:t>
      </w:r>
      <w:proofErr w:type="spellEnd"/>
      <w:r>
        <w:rPr>
          <w:rtl/>
        </w:rPr>
        <w:t xml:space="preserve"> </w:t>
      </w:r>
      <w:proofErr w:type="spellStart"/>
      <w:r>
        <w:rPr>
          <w:rtl/>
        </w:rPr>
        <w:t>בטלז</w:t>
      </w:r>
      <w:proofErr w:type="spellEnd"/>
      <w:r>
        <w:rPr>
          <w:rtl/>
        </w:rPr>
        <w:t xml:space="preserve"> פחות משנה, והחברותא שלו שם היה ר׳ </w:t>
      </w:r>
      <w:proofErr w:type="spellStart"/>
      <w:r>
        <w:rPr>
          <w:rtl/>
        </w:rPr>
        <w:t>אברהם־שמואל</w:t>
      </w:r>
      <w:proofErr w:type="spellEnd"/>
      <w:r>
        <w:rPr>
          <w:rtl/>
        </w:rPr>
        <w:t xml:space="preserve"> </w:t>
      </w:r>
      <w:proofErr w:type="spellStart"/>
      <w:r>
        <w:rPr>
          <w:rtl/>
        </w:rPr>
        <w:t>פינקל</w:t>
      </w:r>
      <w:proofErr w:type="spellEnd"/>
      <w:r>
        <w:rPr>
          <w:rtl/>
        </w:rPr>
        <w:t xml:space="preserve">, בנו של הסבא ואחיו התאום של ר׳ משה. בתקופה שבה היה ד״ר </w:t>
      </w:r>
      <w:proofErr w:type="spellStart"/>
      <w:r>
        <w:rPr>
          <w:rtl/>
        </w:rPr>
        <w:t>רבל</w:t>
      </w:r>
      <w:proofErr w:type="spellEnd"/>
      <w:r>
        <w:rPr>
          <w:rtl/>
        </w:rPr>
        <w:t xml:space="preserve"> </w:t>
      </w:r>
      <w:proofErr w:type="spellStart"/>
      <w:r>
        <w:rPr>
          <w:rtl/>
        </w:rPr>
        <w:t>בטלז</w:t>
      </w:r>
      <w:proofErr w:type="spellEnd"/>
      <w:r>
        <w:rPr>
          <w:rtl/>
        </w:rPr>
        <w:t xml:space="preserve"> היה המשגיח ר׳ לייב חסמן, ששש שנות כהונתו התאפיינו </w:t>
      </w:r>
      <w:proofErr w:type="spellStart"/>
      <w:r>
        <w:rPr>
          <w:rtl/>
        </w:rPr>
        <w:t>ב“הופקעס</w:t>
      </w:r>
      <w:proofErr w:type="spellEnd"/>
      <w:r>
        <w:rPr>
          <w:rtl/>
        </w:rPr>
        <w:t>”</w:t>
      </w:r>
      <w:bookmarkStart w:id="6275" w:name="_fnr4710"/>
      <w:r>
        <w:rPr>
          <w:rStyle w:val="a5"/>
        </w:rPr>
        <w:footnoteReference w:id="4722" w:customMarkFollows="0"/>
      </w:r>
      <w:bookmarkEnd w:id="6275"/>
      <w:r>
        <w:rPr>
          <w:rtl/>
        </w:rPr>
        <w:t>.</w:t>
      </w:r>
    </w:p>
    <w:p w14:paraId="7A1FAE91" w14:textId="77777777" w:rsidR="00AB3647" w:rsidRDefault="00000000" w:rsidP="007923E9">
      <w:pPr>
        <w:spacing w:after="120" w:line="276" w:lineRule="auto"/>
        <w:ind w:firstLine="283"/>
        <w:jc w:val="both"/>
      </w:pPr>
      <w:r>
        <w:rPr>
          <w:rtl/>
        </w:rPr>
        <w:t xml:space="preserve">ר׳ זליג אפשטיין המשיך: “ר׳ שמעון סבר שמאחר שר׳ ישראל עישן, ודאי יש בטבק תועלת כלשהי, ולכן עישן גם הוא. אחר כך גילה ר׳ שמעון </w:t>
      </w:r>
      <w:proofErr w:type="spellStart"/>
      <w:r>
        <w:rPr>
          <w:rtl/>
        </w:rPr>
        <w:t>לר</w:t>
      </w:r>
      <w:proofErr w:type="spellEnd"/>
      <w:r>
        <w:rPr>
          <w:rtl/>
        </w:rPr>
        <w:t xml:space="preserve">׳ </w:t>
      </w:r>
      <w:proofErr w:type="spellStart"/>
      <w:r>
        <w:rPr>
          <w:rtl/>
        </w:rPr>
        <w:t>נחום־אבא</w:t>
      </w:r>
      <w:proofErr w:type="spellEnd"/>
      <w:r>
        <w:rPr>
          <w:rtl/>
        </w:rPr>
        <w:t xml:space="preserve"> </w:t>
      </w:r>
      <w:proofErr w:type="spellStart"/>
      <w:r>
        <w:rPr>
          <w:rtl/>
        </w:rPr>
        <w:t>גרוסברד</w:t>
      </w:r>
      <w:proofErr w:type="spellEnd"/>
      <w:r>
        <w:rPr>
          <w:rtl/>
        </w:rPr>
        <w:t xml:space="preserve"> שלעת זקנתו הוא מצטער שהרגיל את עצמו לעשן: הוא גילה מדוע עישן ר׳ ישראל, והטעם לא היה שייך לו עצמו. יש שתי גרסאות לטעם עישונו של ר׳ ישראל – או מפני שסבל מריח רע בפיו, ועשן הטבק הסתירו</w:t>
      </w:r>
      <w:bookmarkStart w:id="6276" w:name="_fnr4711"/>
      <w:r>
        <w:rPr>
          <w:rStyle w:val="a5"/>
        </w:rPr>
        <w:footnoteReference w:id="4723" w:customMarkFollows="0"/>
      </w:r>
      <w:bookmarkEnd w:id="6276"/>
      <w:r>
        <w:rPr>
          <w:rtl/>
        </w:rPr>
        <w:t>, או מטעם אחר, שאינני זוכר”.</w:t>
      </w:r>
    </w:p>
    <w:p w14:paraId="2C78EAE3" w14:textId="77777777" w:rsidR="00AB3647" w:rsidRDefault="00000000" w:rsidP="007923E9">
      <w:pPr>
        <w:spacing w:after="120" w:line="276" w:lineRule="auto"/>
        <w:ind w:firstLine="283"/>
        <w:jc w:val="both"/>
      </w:pPr>
      <w:bookmarkStart w:id="6277" w:name="pr_b_2635"/>
      <w:bookmarkEnd w:id="6277"/>
      <w:r>
        <w:rPr>
          <w:rtl/>
        </w:rPr>
        <w:t>בהתאם לדעתו על השפעת העישון, הציע אבי</w:t>
      </w:r>
      <w:bookmarkStart w:id="6278" w:name="_fnr4712"/>
      <w:r>
        <w:rPr>
          <w:rStyle w:val="a5"/>
        </w:rPr>
        <w:footnoteReference w:id="4724" w:customMarkFollows="0"/>
      </w:r>
      <w:bookmarkEnd w:id="6278"/>
      <w:r>
        <w:rPr>
          <w:rtl/>
        </w:rPr>
        <w:t xml:space="preserve"> טעם נוסף לעישונו של ר׳ ישראל: “ר׳ ישראל </w:t>
      </w:r>
      <w:proofErr w:type="spellStart"/>
      <w:r>
        <w:rPr>
          <w:rtl/>
        </w:rPr>
        <w:t>סלנטר</w:t>
      </w:r>
      <w:proofErr w:type="spellEnd"/>
      <w:r>
        <w:rPr>
          <w:rtl/>
        </w:rPr>
        <w:t xml:space="preserve"> התעלף פעם ברחוב ולקה בשיתוק זמני” – אבי לא ציין מתי אירע הדבר</w:t>
      </w:r>
      <w:bookmarkStart w:id="6279" w:name="_fnr4713"/>
      <w:r>
        <w:rPr>
          <w:rStyle w:val="a5"/>
        </w:rPr>
        <w:footnoteReference w:id="4725" w:customMarkFollows="0"/>
      </w:r>
      <w:bookmarkEnd w:id="6279"/>
      <w:r>
        <w:rPr>
          <w:rtl/>
        </w:rPr>
        <w:t xml:space="preserve"> – “והרופאים אמרו לו שמקור האירוע המוחי היה במאמץ המתמיד שהטיל על מוחו. ציוו עליו להימנע ממחשבה שעתיים בכל יום, והוא התחיל לעשן כאמצעי להקהיית המחשבה!” ר׳ פסח </w:t>
      </w:r>
      <w:proofErr w:type="spellStart"/>
      <w:r>
        <w:rPr>
          <w:rtl/>
        </w:rPr>
        <w:t>דיסקינד</w:t>
      </w:r>
      <w:bookmarkStart w:id="6280" w:name="_fnr4714"/>
      <w:proofErr w:type="spellEnd"/>
      <w:r>
        <w:rPr>
          <w:rStyle w:val="a5"/>
        </w:rPr>
        <w:footnoteReference w:id="4726" w:customMarkFollows="0"/>
      </w:r>
      <w:bookmarkEnd w:id="6280"/>
      <w:r>
        <w:rPr>
          <w:rtl/>
        </w:rPr>
        <w:t xml:space="preserve"> סיפר בשם אבי שאחד מאותם רופאים השתומם: מכל מטופליו מרחבי העולם, שמקצתם הוציאו הון כדי שיטפל בהם, לא פגש מעולם אדם בעל רצון חיים עז כשל ר׳ ישראל.</w:t>
      </w:r>
    </w:p>
    <w:p w14:paraId="35D7C3D5" w14:textId="77777777" w:rsidR="00AB3647" w:rsidRDefault="00000000" w:rsidP="007923E9">
      <w:pPr>
        <w:spacing w:after="120" w:line="276" w:lineRule="auto"/>
        <w:ind w:firstLine="283"/>
        <w:jc w:val="both"/>
      </w:pPr>
      <w:r>
        <w:rPr>
          <w:rtl/>
        </w:rPr>
        <w:t xml:space="preserve">אבי סיפר גם בשיחה המוקלטת בבית הכנסת “בית ישראל” במיאמי </w:t>
      </w:r>
      <w:proofErr w:type="spellStart"/>
      <w:r>
        <w:rPr>
          <w:rtl/>
        </w:rPr>
        <w:t>ביץ</w:t>
      </w:r>
      <w:proofErr w:type="spellEnd"/>
      <w:r>
        <w:rPr>
          <w:rtl/>
        </w:rPr>
        <w:t>׳</w:t>
      </w:r>
      <w:bookmarkStart w:id="6281" w:name="_fnr4715"/>
      <w:r>
        <w:rPr>
          <w:rStyle w:val="a5"/>
        </w:rPr>
        <w:footnoteReference w:id="4727" w:customMarkFollows="0"/>
      </w:r>
      <w:bookmarkEnd w:id="6281"/>
      <w:r>
        <w:rPr>
          <w:rtl/>
        </w:rPr>
        <w:t xml:space="preserve"> שר׳ ישראל למד נגרות רהיטים ועסק בה כמה שעות בכל יום. רבנו הוסיף בחיוך שחבר שלמד עמו </w:t>
      </w:r>
      <w:proofErr w:type="spellStart"/>
      <w:r>
        <w:rPr>
          <w:rtl/>
        </w:rPr>
        <w:t>בסלבודקה</w:t>
      </w:r>
      <w:proofErr w:type="spellEnd"/>
      <w:r>
        <w:rPr>
          <w:rtl/>
        </w:rPr>
        <w:t xml:space="preserve"> זכר שסבו בא פעם אל ר׳ ישראל להתאונן שאין לו מקצוע, ור׳ ישראל הציע ללמדו נגרות, וכך לעשותו “תלמיד של ר׳ ישראל”. השווה גם “כתבי הסבא”</w:t>
      </w:r>
      <w:bookmarkStart w:id="6282" w:name="_fnr4716"/>
      <w:r>
        <w:rPr>
          <w:rStyle w:val="a5"/>
        </w:rPr>
        <w:footnoteReference w:id="4728" w:customMarkFollows="0"/>
      </w:r>
      <w:bookmarkEnd w:id="6282"/>
      <w:r>
        <w:rPr>
          <w:rtl/>
        </w:rPr>
        <w:t xml:space="preserve">, המביא את דברי ר׳ גרשון </w:t>
      </w:r>
      <w:proofErr w:type="spellStart"/>
      <w:r>
        <w:rPr>
          <w:rtl/>
        </w:rPr>
        <w:t>מיאדניק</w:t>
      </w:r>
      <w:proofErr w:type="spellEnd"/>
      <w:r>
        <w:rPr>
          <w:rtl/>
        </w:rPr>
        <w:t xml:space="preserve"> בשם ר׳ נפתלי אמסטרדם, שר׳ ישראל “קיבל פעם עצה מרופאים מומחים, שלמען בריאותו ראוי שיעסוק בכל יום </w:t>
      </w:r>
      <w:proofErr w:type="spellStart"/>
      <w:r>
        <w:rPr>
          <w:rtl/>
        </w:rPr>
        <w:t>זמן־מה</w:t>
      </w:r>
      <w:proofErr w:type="spellEnd"/>
      <w:r>
        <w:rPr>
          <w:rtl/>
        </w:rPr>
        <w:t xml:space="preserve"> בעבודה גופנית קשה, ובמשך תקופה הלך בכל יום לנגר לעשות עבודות נגרות”</w:t>
      </w:r>
      <w:bookmarkStart w:id="6283" w:name="_fnr4717"/>
      <w:r>
        <w:rPr>
          <w:rStyle w:val="a5"/>
        </w:rPr>
        <w:footnoteReference w:id="4729" w:customMarkFollows="0"/>
      </w:r>
      <w:bookmarkEnd w:id="6283"/>
      <w:r>
        <w:rPr>
          <w:rtl/>
        </w:rPr>
        <w:t>.</w:t>
      </w:r>
    </w:p>
    <w:p w14:paraId="31809327" w14:textId="77777777" w:rsidR="00AB3647" w:rsidRDefault="00000000" w:rsidP="007923E9">
      <w:pPr>
        <w:spacing w:after="120" w:line="276" w:lineRule="auto"/>
        <w:ind w:firstLine="283"/>
        <w:jc w:val="both"/>
      </w:pPr>
      <w:bookmarkStart w:id="6284" w:name="pr_b_2636"/>
      <w:bookmarkEnd w:id="6284"/>
      <w:r>
        <w:rPr>
          <w:rtl/>
        </w:rPr>
        <w:lastRenderedPageBreak/>
        <w:t xml:space="preserve">מעניין להביא את המסופר </w:t>
      </w:r>
      <w:proofErr w:type="spellStart"/>
      <w:r>
        <w:rPr>
          <w:rtl/>
        </w:rPr>
        <w:t>ב“כל</w:t>
      </w:r>
      <w:proofErr w:type="spellEnd"/>
      <w:r>
        <w:rPr>
          <w:rtl/>
        </w:rPr>
        <w:t xml:space="preserve"> כתבי חפץ חיים השלם”</w:t>
      </w:r>
      <w:bookmarkStart w:id="6285" w:name="_fnr4718"/>
      <w:r>
        <w:rPr>
          <w:rStyle w:val="a5"/>
        </w:rPr>
        <w:footnoteReference w:id="4730" w:customMarkFollows="0"/>
      </w:r>
      <w:bookmarkEnd w:id="6285"/>
      <w:r>
        <w:rPr>
          <w:rtl/>
        </w:rPr>
        <w:t xml:space="preserve"> על המאמץ השכלי של </w:t>
      </w:r>
      <w:proofErr w:type="spellStart"/>
      <w:r>
        <w:rPr>
          <w:rtl/>
        </w:rPr>
        <w:t>החפץ־חיים</w:t>
      </w:r>
      <w:proofErr w:type="spellEnd"/>
      <w:r>
        <w:rPr>
          <w:rtl/>
        </w:rPr>
        <w:t>: “אבי [</w:t>
      </w:r>
      <w:proofErr w:type="spellStart"/>
      <w:r>
        <w:rPr>
          <w:rtl/>
        </w:rPr>
        <w:t>החפץ־חיים</w:t>
      </w:r>
      <w:proofErr w:type="spellEnd"/>
      <w:r>
        <w:rPr>
          <w:rtl/>
        </w:rPr>
        <w:t xml:space="preserve">] סיפר שכשהיה בן עשרים חלה, ומוחו נפגע עד שלא היה יכול ללמוד שום עניין הדורש ריכוז. לבסוף התקשה גם לחשוב ולהתרכז בתפילתו. גם שנתו נפגעה ונעשתה תנומה בלבד, שבה שמע את כל מה שדיברו הבריות סביבו. מובן שהדבר בא לו מרוב ריכוזו בהלכה, ופעמים רבות סיפר לנו על הצער הגדול [שסבל] אז, כשחשב שאבדה תקוותו להוסיף ללמוד תורה. הוא ניסה תרופות שונות שרשמו רופאי וילנה, אך ללא הועיל. כך עברה עליו שנה שלמה בצער, עד שריחם עליו ה׳ ושב לאיתנו... אך כל ימי חייו היה נזהר שכאשר שהה עמנו ושקע בעומקה </w:t>
      </w:r>
      <w:proofErr w:type="spellStart"/>
      <w:r>
        <w:rPr>
          <w:rtl/>
        </w:rPr>
        <w:t>ובעמקותה</w:t>
      </w:r>
      <w:proofErr w:type="spellEnd"/>
      <w:r>
        <w:rPr>
          <w:rtl/>
        </w:rPr>
        <w:t xml:space="preserve"> של הלכה, היה מפסיק לאחר שלוש או ארבע שעות ואומר: ‘אסור לי לאמץ את מוחי יותר מדי בבת אחת’”.</w:t>
      </w:r>
    </w:p>
    <w:p w14:paraId="2C9A11AA" w14:textId="77777777" w:rsidR="00AB3647" w:rsidRDefault="00000000" w:rsidP="007923E9">
      <w:pPr>
        <w:spacing w:after="120" w:line="276" w:lineRule="auto"/>
        <w:ind w:firstLine="283"/>
        <w:jc w:val="both"/>
      </w:pPr>
      <w:bookmarkStart w:id="6286" w:name="pr_b_2637"/>
      <w:bookmarkEnd w:id="6286"/>
      <w:r>
        <w:rPr>
          <w:rtl/>
        </w:rPr>
        <w:t xml:space="preserve">בריאיון על ר׳ ישראל </w:t>
      </w:r>
      <w:proofErr w:type="spellStart"/>
      <w:r>
        <w:rPr>
          <w:rtl/>
        </w:rPr>
        <w:t>סלנטר</w:t>
      </w:r>
      <w:bookmarkStart w:id="6287" w:name="_fnr4719"/>
      <w:proofErr w:type="spellEnd"/>
      <w:r>
        <w:rPr>
          <w:rStyle w:val="a5"/>
        </w:rPr>
        <w:footnoteReference w:id="4731" w:customMarkFollows="0"/>
      </w:r>
      <w:bookmarkEnd w:id="6287"/>
      <w:r>
        <w:rPr>
          <w:rtl/>
        </w:rPr>
        <w:t xml:space="preserve"> הוסיף אבי: “חסידי </w:t>
      </w:r>
      <w:proofErr w:type="spellStart"/>
      <w:r>
        <w:rPr>
          <w:rtl/>
        </w:rPr>
        <w:t>קוידנוב</w:t>
      </w:r>
      <w:proofErr w:type="spellEnd"/>
      <w:r>
        <w:rPr>
          <w:rtl/>
        </w:rPr>
        <w:t xml:space="preserve"> תלו את השבץ של ר׳ ישראל בקללה שקילל אותו רבם, מצאצאי האדמו״רים </w:t>
      </w:r>
      <w:proofErr w:type="spellStart"/>
      <w:r>
        <w:rPr>
          <w:rtl/>
        </w:rPr>
        <w:t>מז׳ליחוב</w:t>
      </w:r>
      <w:proofErr w:type="spellEnd"/>
      <w:r>
        <w:rPr>
          <w:rtl/>
        </w:rPr>
        <w:t xml:space="preserve">, שר׳ ישראל </w:t>
      </w:r>
      <w:proofErr w:type="spellStart"/>
      <w:r>
        <w:rPr>
          <w:rtl/>
        </w:rPr>
        <w:t>סלנטר</w:t>
      </w:r>
      <w:proofErr w:type="spellEnd"/>
      <w:r>
        <w:rPr>
          <w:rtl/>
        </w:rPr>
        <w:t xml:space="preserve"> בוודאי התנגד לו בתקיפות”. רבנו לא ידע על עימות מסוים בין ר׳ ישראל לאדמו״ר, אבל לא יכול היה להבין בדרך אחרת מדוע העלו החסידים הסבר כזה. “הם אמרו שהקללה הוטלה על ר׳ ישראל כשבזמן מגפת הכולרה בווילנה, </w:t>
      </w:r>
      <w:proofErr w:type="spellStart"/>
      <w:r>
        <w:rPr>
          <w:rtl/>
        </w:rPr>
        <w:t>בתר״ח</w:t>
      </w:r>
      <w:proofErr w:type="spellEnd"/>
      <w:r>
        <w:rPr>
          <w:rtl/>
        </w:rPr>
        <w:t>–תר״ט [סוף 1848], הכריז בבית הכנסת בבוקר יום הכיפורים [שבת, 7 באוקטובר 1848] שהכול חייבים להפסיק את צומם”, אמר אבי. “הוא הקדים ונתן דוגמה אישית, ועשה קידוש על הבימה”.</w:t>
      </w:r>
    </w:p>
    <w:p w14:paraId="2DA48013" w14:textId="77777777" w:rsidR="00AB3647" w:rsidRDefault="00000000" w:rsidP="007923E9">
      <w:pPr>
        <w:spacing w:after="120" w:line="276" w:lineRule="auto"/>
        <w:ind w:firstLine="283"/>
        <w:jc w:val="both"/>
      </w:pPr>
      <w:r>
        <w:rPr>
          <w:rtl/>
        </w:rPr>
        <w:t xml:space="preserve">בשיחה המוקלטת בבית הכנסת “בית ישראל” במיאמי </w:t>
      </w:r>
      <w:proofErr w:type="spellStart"/>
      <w:r>
        <w:rPr>
          <w:rtl/>
        </w:rPr>
        <w:t>ביץ</w:t>
      </w:r>
      <w:proofErr w:type="spellEnd"/>
      <w:r>
        <w:rPr>
          <w:rtl/>
        </w:rPr>
        <w:t xml:space="preserve">׳ תיאר אבי את המעשה ביום הכיפורים באופן שונה במקצת, וגם ציין היכן אירע: “לפני קריאת התורה הביא גוי סמובר של תה חם וכוסות אל </w:t>
      </w:r>
      <w:proofErr w:type="spellStart"/>
      <w:r>
        <w:rPr>
          <w:rtl/>
        </w:rPr>
        <w:t>הזארעצ׳ר</w:t>
      </w:r>
      <w:proofErr w:type="spellEnd"/>
      <w:r>
        <w:rPr>
          <w:rtl/>
        </w:rPr>
        <w:t xml:space="preserve"> </w:t>
      </w:r>
      <w:proofErr w:type="spellStart"/>
      <w:r>
        <w:rPr>
          <w:rtl/>
        </w:rPr>
        <w:t>קלויז</w:t>
      </w:r>
      <w:bookmarkStart w:id="6288" w:name="_fnr4720"/>
      <w:proofErr w:type="spellEnd"/>
      <w:r>
        <w:rPr>
          <w:rStyle w:val="a5"/>
        </w:rPr>
        <w:footnoteReference w:id="4732" w:customMarkFollows="0"/>
      </w:r>
      <w:bookmarkEnd w:id="6288"/>
      <w:r>
        <w:rPr>
          <w:rtl/>
        </w:rPr>
        <w:t>, שבו התפלל ר׳ ישראל. ר׳ ישראל לקח כוס תה וקרא לציבור לעשות כמוהו”. כדי ליישב את הסתירה לכאורה בין שני תיאוריו של אבי למעשה ר׳ ישראל באותו בוקר, יש להבין את המילה “קידוש” כלשון מושאלת</w:t>
      </w:r>
      <w:bookmarkStart w:id="6289" w:name="_fnr4721"/>
      <w:r>
        <w:rPr>
          <w:rStyle w:val="a5"/>
        </w:rPr>
        <w:footnoteReference w:id="4733" w:customMarkFollows="0"/>
      </w:r>
      <w:bookmarkEnd w:id="6289"/>
      <w:r>
        <w:rPr>
          <w:rtl/>
        </w:rPr>
        <w:t xml:space="preserve">. באומרו שר׳ ישראל עשה קידוש, ביקש רבנו לומר בפשטות שר׳ ישראל לא הגביל לא את </w:t>
      </w:r>
      <w:r>
        <w:rPr>
          <w:b/>
          <w:bCs/>
          <w:rtl/>
        </w:rPr>
        <w:t>כמות</w:t>
      </w:r>
      <w:r>
        <w:rPr>
          <w:rtl/>
        </w:rPr>
        <w:t xml:space="preserve"> המזון שהותר למתפללים לאכול ולא את </w:t>
      </w:r>
      <w:r>
        <w:rPr>
          <w:b/>
          <w:bCs/>
          <w:rtl/>
        </w:rPr>
        <w:t>מי</w:t>
      </w:r>
      <w:r>
        <w:rPr>
          <w:rtl/>
        </w:rPr>
        <w:t xml:space="preserve"> שהותר לו לאכול, אלא ביטל את הצום לגמרי. יתרה מזו, אף שאבי סיפר במפורש רק שהציבור ור׳ ישראל שתו יין או תה, הלשון “עשו קידוש” רומזת שאכלו גם משהו.</w:t>
      </w:r>
    </w:p>
    <w:p w14:paraId="1AD22029" w14:textId="77777777" w:rsidR="00AB3647" w:rsidRDefault="00000000" w:rsidP="007923E9">
      <w:pPr>
        <w:spacing w:after="120" w:line="276" w:lineRule="auto"/>
        <w:ind w:firstLine="283"/>
        <w:jc w:val="both"/>
      </w:pPr>
      <w:r>
        <w:rPr>
          <w:rtl/>
        </w:rPr>
        <w:t>ואכן, יעקב מארק</w:t>
      </w:r>
      <w:bookmarkStart w:id="6290" w:name="_fnr4722"/>
      <w:r>
        <w:rPr>
          <w:rStyle w:val="a5"/>
        </w:rPr>
        <w:footnoteReference w:id="4734" w:customMarkFollows="0"/>
      </w:r>
      <w:bookmarkEnd w:id="6290"/>
      <w:r>
        <w:rPr>
          <w:rtl/>
        </w:rPr>
        <w:t xml:space="preserve">, המצוטט להלן, מזכיר שלפי הוראת ר׳ ישראל הוכנו בבתי הכנסת חתיכות עוגה לפני היום הקדוש; ובספרו של </w:t>
      </w:r>
      <w:proofErr w:type="spellStart"/>
      <w:r>
        <w:rPr>
          <w:rtl/>
        </w:rPr>
        <w:t>אטקס</w:t>
      </w:r>
      <w:proofErr w:type="spellEnd"/>
      <w:r>
        <w:rPr>
          <w:rtl/>
        </w:rPr>
        <w:t xml:space="preserve">, “ר׳ ישראל </w:t>
      </w:r>
      <w:proofErr w:type="spellStart"/>
      <w:r>
        <w:rPr>
          <w:rtl/>
        </w:rPr>
        <w:t>סלנטר</w:t>
      </w:r>
      <w:proofErr w:type="spellEnd"/>
      <w:r>
        <w:rPr>
          <w:rtl/>
        </w:rPr>
        <w:t xml:space="preserve"> וראשיתה של תנועת המוסר”</w:t>
      </w:r>
      <w:bookmarkStart w:id="6291" w:name="_fnr4723"/>
      <w:r>
        <w:rPr>
          <w:rStyle w:val="a5"/>
        </w:rPr>
        <w:footnoteReference w:id="4735" w:customMarkFollows="0"/>
      </w:r>
      <w:bookmarkEnd w:id="6291"/>
      <w:r>
        <w:rPr>
          <w:rtl/>
        </w:rPr>
        <w:t>, מובא מקור</w:t>
      </w:r>
      <w:bookmarkStart w:id="6292" w:name="_fnr4724"/>
      <w:r>
        <w:rPr>
          <w:rStyle w:val="a5"/>
        </w:rPr>
        <w:footnoteReference w:id="4736" w:customMarkFollows="0"/>
      </w:r>
      <w:bookmarkEnd w:id="6292"/>
      <w:r>
        <w:rPr>
          <w:rtl/>
        </w:rPr>
        <w:t xml:space="preserve"> המתאר את ר׳ ישראל אוכל עוגה (ואינו מזכיר מאכל אחר): “אחרי </w:t>
      </w:r>
      <w:r>
        <w:rPr>
          <w:rtl/>
        </w:rPr>
        <w:lastRenderedPageBreak/>
        <w:t>שחרית לקח ר׳ ישראל מיני מאפה, עלה על הבימה, בירך... ואכל בפני כולם, כדי שכולם יראו ויעשו כמוהו”. גם כץ, “תנועת המוסר”, כרך א</w:t>
      </w:r>
      <w:bookmarkStart w:id="6293" w:name="_fnr4725"/>
      <w:r>
        <w:rPr>
          <w:rStyle w:val="a5"/>
        </w:rPr>
        <w:footnoteReference w:id="4737" w:customMarkFollows="0"/>
      </w:r>
      <w:bookmarkEnd w:id="6293"/>
      <w:r>
        <w:rPr>
          <w:rtl/>
        </w:rPr>
        <w:t xml:space="preserve">, מספר: “ר׳ ישראל הוציא יין ועוגות, עשה קידוש ואכל בפני כל הקהל”. מסתבר שגם בשיחה זו, כשתיאר את הגוי המביא את התה החם, לא ביקש אבי לתאר במדויק כיצד הפסיק ר׳ ישראל את צומו, אלא דיבר בלשון מושאלת. רבנו הצביע על כך שמלבד ביטולו הגמור של הצום, בהזמנת הכול לשתות תה, הורה ר׳ ישראל לגוי גם </w:t>
      </w:r>
      <w:r>
        <w:rPr>
          <w:b/>
          <w:bCs/>
          <w:rtl/>
        </w:rPr>
        <w:t>לעשות מלאכה האסורה ביום הכיפורים בהכנת מזון לאכילה</w:t>
      </w:r>
      <w:r>
        <w:rPr>
          <w:rtl/>
        </w:rPr>
        <w:t xml:space="preserve"> – הרתחת התה – דבר שאינו נזכר אצל כץ. אשר למה שעשה ר׳ ישראל בפועל כדי להפסיק את הצום, ייתכן שאבי הסכים עם כץ: הוא אכל עוגה ושתה יין – וגם קצת תה חם.</w:t>
      </w:r>
    </w:p>
    <w:p w14:paraId="0A2894C6" w14:textId="77777777" w:rsidR="00AB3647" w:rsidRDefault="00000000" w:rsidP="007923E9">
      <w:pPr>
        <w:spacing w:after="120" w:line="276" w:lineRule="auto"/>
        <w:ind w:firstLine="283"/>
        <w:jc w:val="both"/>
      </w:pPr>
      <w:r>
        <w:rPr>
          <w:rtl/>
        </w:rPr>
        <w:t>עם זאת יש לציין שהמסורת שרשם יעקב מארק</w:t>
      </w:r>
      <w:bookmarkStart w:id="6294" w:name="_fnr4726"/>
      <w:r>
        <w:rPr>
          <w:rStyle w:val="a5"/>
        </w:rPr>
        <w:footnoteReference w:id="4738" w:customMarkFollows="0"/>
      </w:r>
      <w:bookmarkEnd w:id="6294"/>
      <w:r>
        <w:rPr>
          <w:rtl/>
        </w:rPr>
        <w:t xml:space="preserve"> חולקת בעיקרו של דבר על תיאור המאורעות של אבי. יעקב מארק אומר: “ר׳ ישראל דאג לפרסום מודעות בכל העיר שהתפילות יקוצרו והמתפללים יצאו לשאוף אוויר צח; במבואות בתי הכנסת הכין </w:t>
      </w:r>
      <w:r>
        <w:rPr>
          <w:b/>
          <w:bCs/>
          <w:rtl/>
        </w:rPr>
        <w:t>חתיכות עוגה זעירות</w:t>
      </w:r>
      <w:r>
        <w:rPr>
          <w:rtl/>
        </w:rPr>
        <w:t xml:space="preserve"> למקרה הצורך; ואחרי שחרית הכריז </w:t>
      </w:r>
      <w:r>
        <w:rPr>
          <w:b/>
          <w:bCs/>
          <w:rtl/>
        </w:rPr>
        <w:t>שכל מי שמרגיש חולשה רשאי לטעום</w:t>
      </w:r>
      <w:r>
        <w:rPr>
          <w:rtl/>
        </w:rPr>
        <w:t xml:space="preserve"> מן העוגות המוכנות </w:t>
      </w:r>
      <w:r>
        <w:rPr>
          <w:b/>
          <w:bCs/>
          <w:rtl/>
        </w:rPr>
        <w:t>בלי לשאול רופא</w:t>
      </w:r>
      <w:r>
        <w:rPr>
          <w:rtl/>
        </w:rPr>
        <w:t xml:space="preserve"> (ההדגשה שלי)”. לפי יעקב מארק, צום יום הכיפורים לא בוטל כלל, שכן רק אנשים מסוימים קיבלו היתר לאכול, ואף הוגבלה כמות המזון שהותר להם לאכול: מי שחשו חולשה יכלו רק לטעום חתיכת עוגה זעירה. עוד לפי יעקב מארק, שני הדברים הראשונים בתוכניתו של ר׳ ישראל – המודעות בכל העיר והכנת המזון – נעשו לפני החג באישור בית הדין של וילנה; את השלישי, הכרזתו ביום הכיפורים, עשה על דעת עצמו, והיא נתקלה בהתנגדותו של הדיין הרשמי</w:t>
      </w:r>
      <w:bookmarkStart w:id="6295" w:name="_fnr4727"/>
      <w:r>
        <w:rPr>
          <w:rStyle w:val="a5"/>
        </w:rPr>
        <w:footnoteReference w:id="4739" w:customMarkFollows="0"/>
      </w:r>
      <w:bookmarkEnd w:id="6295"/>
      <w:r>
        <w:rPr>
          <w:rtl/>
        </w:rPr>
        <w:t>.</w:t>
      </w:r>
    </w:p>
    <w:p w14:paraId="51E0152B" w14:textId="77777777" w:rsidR="00AB3647" w:rsidRDefault="00000000" w:rsidP="007923E9">
      <w:pPr>
        <w:spacing w:after="120" w:line="276" w:lineRule="auto"/>
        <w:ind w:firstLine="283"/>
        <w:jc w:val="both"/>
      </w:pPr>
      <w:r>
        <w:rPr>
          <w:rtl/>
        </w:rPr>
        <w:t xml:space="preserve">מלבד הפרטים על המאורע יוצא הדופן שנרשמו בספרו של כץ, “תנועת המוסר”, כרך א, מסר אבי בריאיון על ר׳ ישראל </w:t>
      </w:r>
      <w:proofErr w:type="spellStart"/>
      <w:r>
        <w:rPr>
          <w:rtl/>
        </w:rPr>
        <w:t>סלנטר</w:t>
      </w:r>
      <w:proofErr w:type="spellEnd"/>
      <w:r>
        <w:rPr>
          <w:rtl/>
        </w:rPr>
        <w:t xml:space="preserve"> עובדות מעניינות, ששולבו לאחר מכן במאמרו של הרב </w:t>
      </w:r>
      <w:proofErr w:type="spellStart"/>
      <w:r>
        <w:rPr>
          <w:rtl/>
        </w:rPr>
        <w:t>גלדוורט</w:t>
      </w:r>
      <w:bookmarkStart w:id="6296" w:name="_fnr4728"/>
      <w:proofErr w:type="spellEnd"/>
      <w:r>
        <w:rPr>
          <w:rStyle w:val="a5"/>
        </w:rPr>
        <w:footnoteReference w:id="4740" w:customMarkFollows="0"/>
      </w:r>
      <w:bookmarkEnd w:id="6296"/>
      <w:r>
        <w:rPr>
          <w:rtl/>
        </w:rPr>
        <w:t xml:space="preserve"> (ויוחסו לרבנו בהערה 19 שבמאמר). את הידיעות על שהתרחש באותו יום הכיפורים ובעקבותיו שמע אבי מר׳ דוד </w:t>
      </w:r>
      <w:proofErr w:type="spellStart"/>
      <w:r>
        <w:rPr>
          <w:rtl/>
        </w:rPr>
        <w:t>ליבוביץ</w:t>
      </w:r>
      <w:bookmarkStart w:id="6297" w:name="_fnr4729"/>
      <w:proofErr w:type="spellEnd"/>
      <w:r>
        <w:rPr>
          <w:rStyle w:val="a5"/>
        </w:rPr>
        <w:footnoteReference w:id="4741" w:customMarkFollows="0"/>
      </w:r>
      <w:bookmarkEnd w:id="6297"/>
      <w:r>
        <w:rPr>
          <w:rtl/>
        </w:rPr>
        <w:t xml:space="preserve">, ששמע אותן </w:t>
      </w:r>
      <w:proofErr w:type="spellStart"/>
      <w:r>
        <w:rPr>
          <w:rtl/>
        </w:rPr>
        <w:t>מדודו־זקנו</w:t>
      </w:r>
      <w:proofErr w:type="spellEnd"/>
      <w:r>
        <w:rPr>
          <w:rtl/>
        </w:rPr>
        <w:t xml:space="preserve"> </w:t>
      </w:r>
      <w:proofErr w:type="spellStart"/>
      <w:r>
        <w:rPr>
          <w:rtl/>
        </w:rPr>
        <w:t>החפץ־חיים</w:t>
      </w:r>
      <w:proofErr w:type="spellEnd"/>
      <w:r>
        <w:rPr>
          <w:rtl/>
        </w:rPr>
        <w:t xml:space="preserve">, אחי סבו מצד </w:t>
      </w:r>
      <w:proofErr w:type="spellStart"/>
      <w:r>
        <w:rPr>
          <w:rtl/>
        </w:rPr>
        <w:t>אמו</w:t>
      </w:r>
      <w:proofErr w:type="spellEnd"/>
      <w:r>
        <w:rPr>
          <w:rtl/>
        </w:rPr>
        <w:t xml:space="preserve">, ששהה בווילנה בשעת המאורעות. אביו של </w:t>
      </w:r>
      <w:proofErr w:type="spellStart"/>
      <w:r>
        <w:rPr>
          <w:rtl/>
        </w:rPr>
        <w:t>החפץ־חיים</w:t>
      </w:r>
      <w:proofErr w:type="spellEnd"/>
      <w:r>
        <w:rPr>
          <w:rtl/>
        </w:rPr>
        <w:t xml:space="preserve"> היה אחד מקורבנות המגפה: הוא נפטר שבועיים אחרי אותו יום הכיפורים, בשמחת תורה.</w:t>
      </w:r>
    </w:p>
    <w:p w14:paraId="1C98F707" w14:textId="77777777" w:rsidR="00AB3647" w:rsidRDefault="00000000" w:rsidP="007923E9">
      <w:pPr>
        <w:spacing w:after="120" w:line="276" w:lineRule="auto"/>
        <w:ind w:firstLine="283"/>
        <w:jc w:val="both"/>
      </w:pPr>
      <w:r>
        <w:rPr>
          <w:rtl/>
        </w:rPr>
        <w:t xml:space="preserve">לפי ההנחה המקובלת, </w:t>
      </w:r>
      <w:proofErr w:type="spellStart"/>
      <w:r>
        <w:rPr>
          <w:rtl/>
        </w:rPr>
        <w:t>שהחפץ־חיים</w:t>
      </w:r>
      <w:proofErr w:type="spellEnd"/>
      <w:r>
        <w:rPr>
          <w:rtl/>
        </w:rPr>
        <w:t xml:space="preserve"> נפטר בן תשעים וארבע, היה בן פחות מעשר בעת המגפה. אבל נכדו של </w:t>
      </w:r>
      <w:proofErr w:type="spellStart"/>
      <w:r>
        <w:rPr>
          <w:rtl/>
        </w:rPr>
        <w:t>החפץ־חיים</w:t>
      </w:r>
      <w:proofErr w:type="spellEnd"/>
      <w:r>
        <w:rPr>
          <w:rtl/>
        </w:rPr>
        <w:t>, ר׳ הלל זקס</w:t>
      </w:r>
      <w:bookmarkStart w:id="6298" w:name="_fnr4730"/>
      <w:r>
        <w:rPr>
          <w:rStyle w:val="a5"/>
        </w:rPr>
        <w:footnoteReference w:id="4742" w:customMarkFollows="0"/>
      </w:r>
      <w:bookmarkEnd w:id="6298"/>
      <w:r>
        <w:rPr>
          <w:rtl/>
        </w:rPr>
        <w:t xml:space="preserve">, מסר לי שר׳ חיים </w:t>
      </w:r>
      <w:proofErr w:type="spellStart"/>
      <w:r>
        <w:rPr>
          <w:rtl/>
        </w:rPr>
        <w:t xml:space="preserve">קניבסקי</w:t>
      </w:r>
      <w:proofErr w:type="spellEnd"/>
      <w:r>
        <w:rPr>
          <w:rtl/>
        </w:rPr>
        <w:t xml:space="preserve"> שמע בעצמו מפי ר׳ </w:t>
      </w:r>
      <w:proofErr w:type="spellStart"/>
      <w:r>
        <w:rPr>
          <w:rtl/>
        </w:rPr>
        <w:t>אברהם־ישעיהו</w:t>
      </w:r>
      <w:proofErr w:type="spellEnd"/>
      <w:r>
        <w:rPr>
          <w:rtl/>
        </w:rPr>
        <w:t xml:space="preserve"> </w:t>
      </w:r>
      <w:proofErr w:type="spellStart"/>
      <w:r>
        <w:rPr>
          <w:rtl/>
        </w:rPr>
        <w:t>קרליץ</w:t>
      </w:r>
      <w:proofErr w:type="spellEnd"/>
      <w:r>
        <w:rPr>
          <w:rtl/>
        </w:rPr>
        <w:t xml:space="preserve">, </w:t>
      </w:r>
      <w:proofErr w:type="spellStart"/>
      <w:r>
        <w:rPr>
          <w:rtl/>
        </w:rPr>
        <w:t>החזון־איש</w:t>
      </w:r>
      <w:proofErr w:type="spellEnd"/>
      <w:r>
        <w:rPr>
          <w:rtl/>
        </w:rPr>
        <w:t xml:space="preserve">, </w:t>
      </w:r>
      <w:proofErr w:type="spellStart"/>
      <w:r>
        <w:rPr>
          <w:rtl/>
        </w:rPr>
        <w:t>שהחפץ־חיים</w:t>
      </w:r>
      <w:proofErr w:type="spellEnd"/>
      <w:r>
        <w:rPr>
          <w:rtl/>
        </w:rPr>
        <w:t xml:space="preserve"> היה בן 104 כשנפטר</w:t>
      </w:r>
      <w:bookmarkStart w:id="6299" w:name="_fnr4731"/>
      <w:r>
        <w:rPr>
          <w:rStyle w:val="a5"/>
        </w:rPr>
        <w:footnoteReference w:id="4743" w:customMarkFollows="0"/>
      </w:r>
      <w:bookmarkEnd w:id="6299"/>
      <w:r>
        <w:rPr>
          <w:rtl/>
        </w:rPr>
        <w:t xml:space="preserve">; לפי זה היה כבר בן </w:t>
      </w:r>
      <w:proofErr w:type="spellStart"/>
      <w:r>
        <w:rPr>
          <w:rtl/>
        </w:rPr>
        <w:t>תשע־עשרה</w:t>
      </w:r>
      <w:proofErr w:type="spellEnd"/>
      <w:r>
        <w:rPr>
          <w:rtl/>
        </w:rPr>
        <w:t xml:space="preserve"> בעת המגפה. גם לשון הברכה שבהסכמת </w:t>
      </w:r>
      <w:proofErr w:type="spellStart"/>
      <w:r>
        <w:rPr>
          <w:rtl/>
        </w:rPr>
        <w:t>האדר״ת</w:t>
      </w:r>
      <w:proofErr w:type="spellEnd"/>
      <w:r>
        <w:rPr>
          <w:rtl/>
        </w:rPr>
        <w:t xml:space="preserve"> לספרו של </w:t>
      </w:r>
      <w:proofErr w:type="spellStart"/>
      <w:r>
        <w:rPr>
          <w:rtl/>
        </w:rPr>
        <w:t>החפץ־חיים</w:t>
      </w:r>
      <w:proofErr w:type="spellEnd"/>
      <w:r>
        <w:rPr>
          <w:rtl/>
        </w:rPr>
        <w:t xml:space="preserve"> “ליקוטי הלכות”, שניתנה </w:t>
      </w:r>
      <w:proofErr w:type="spellStart"/>
      <w:r>
        <w:rPr>
          <w:rtl/>
        </w:rPr>
        <w:t>בתרנ״ו</w:t>
      </w:r>
      <w:proofErr w:type="spellEnd"/>
      <w:r>
        <w:rPr>
          <w:rtl/>
        </w:rPr>
        <w:t xml:space="preserve">, מלמדת שהיה אז מבוגר בהרבה מכפי שהיה אילו נפטר בן </w:t>
      </w:r>
      <w:r>
        <w:rPr>
          <w:rtl/>
        </w:rPr>
        <w:lastRenderedPageBreak/>
        <w:t>תשעים וארבע. נאמר בה: “ה׳ יאריך ימיו ושנותיו” – לשון ההולמת אדם שכבר הזקין. אם נפטר בן 104, היה אז בן שישים ושבע (</w:t>
      </w:r>
      <w:proofErr w:type="spellStart"/>
      <w:r>
        <w:rPr>
          <w:rtl/>
        </w:rPr>
        <w:t>והאדר״ת</w:t>
      </w:r>
      <w:proofErr w:type="spellEnd"/>
      <w:r>
        <w:rPr>
          <w:rtl/>
        </w:rPr>
        <w:t xml:space="preserve"> בן חמישים ואחת); ואילו לפי החשבון האחר היה רק בן חמישים ושמונה </w:t>
      </w:r>
      <w:proofErr w:type="spellStart"/>
      <w:r>
        <w:rPr>
          <w:rtl/>
        </w:rPr>
        <w:t>בתרנ״ו</w:t>
      </w:r>
      <w:proofErr w:type="spellEnd"/>
      <w:r>
        <w:rPr>
          <w:rtl/>
        </w:rPr>
        <w:t>.</w:t>
      </w:r>
    </w:p>
    <w:p w14:paraId="33498A4E" w14:textId="77777777" w:rsidR="00AB3647" w:rsidRDefault="00000000" w:rsidP="007923E9">
      <w:pPr>
        <w:spacing w:after="120" w:line="276" w:lineRule="auto"/>
        <w:ind w:firstLine="283"/>
        <w:jc w:val="both"/>
      </w:pPr>
      <w:r>
        <w:rPr>
          <w:rtl/>
        </w:rPr>
        <w:t xml:space="preserve">השווה גם </w:t>
      </w:r>
      <w:proofErr w:type="spellStart"/>
      <w:r>
        <w:rPr>
          <w:rtl/>
        </w:rPr>
        <w:t>שאשקעס</w:t>
      </w:r>
      <w:bookmarkStart w:id="6300" w:name="_fnr4732"/>
      <w:proofErr w:type="spellEnd"/>
      <w:r>
        <w:rPr>
          <w:rStyle w:val="a5"/>
        </w:rPr>
        <w:footnoteReference w:id="4744" w:customMarkFollows="0"/>
      </w:r>
      <w:bookmarkEnd w:id="6300"/>
      <w:r>
        <w:rPr>
          <w:rtl/>
        </w:rPr>
        <w:t xml:space="preserve">, המתאר את נסיעתו עם </w:t>
      </w:r>
      <w:proofErr w:type="spellStart"/>
      <w:r>
        <w:rPr>
          <w:rtl/>
        </w:rPr>
        <w:t>החפץ־חיים</w:t>
      </w:r>
      <w:proofErr w:type="spellEnd"/>
      <w:r>
        <w:rPr>
          <w:rtl/>
        </w:rPr>
        <w:t xml:space="preserve">, “כבר </w:t>
      </w:r>
      <w:proofErr w:type="spellStart"/>
      <w:r>
        <w:rPr>
          <w:rtl/>
        </w:rPr>
        <w:t>אלטיטשקער</w:t>
      </w:r>
      <w:proofErr w:type="spellEnd"/>
      <w:r>
        <w:rPr>
          <w:rtl/>
        </w:rPr>
        <w:t xml:space="preserve"> [זקן קטן]”, כשנכבדי הקהילה ולומדי </w:t>
      </w:r>
      <w:proofErr w:type="spellStart"/>
      <w:r>
        <w:rPr>
          <w:rtl/>
        </w:rPr>
        <w:t>ביאליסטוק</w:t>
      </w:r>
      <w:proofErr w:type="spellEnd"/>
      <w:r>
        <w:rPr>
          <w:rtl/>
        </w:rPr>
        <w:t xml:space="preserve"> ליוו אותו לתחנת הרכבת, </w:t>
      </w:r>
      <w:proofErr w:type="spellStart"/>
      <w:r>
        <w:rPr>
          <w:rtl/>
        </w:rPr>
        <w:t>זמן־מה</w:t>
      </w:r>
      <w:proofErr w:type="spellEnd"/>
      <w:r>
        <w:rPr>
          <w:rtl/>
        </w:rPr>
        <w:t xml:space="preserve"> במחצית השנייה של שנות </w:t>
      </w:r>
      <w:proofErr w:type="spellStart"/>
      <w:r>
        <w:rPr>
          <w:rtl/>
        </w:rPr>
        <w:t>הת״ר־נ</w:t>
      </w:r>
      <w:proofErr w:type="spellEnd"/>
      <w:r>
        <w:rPr>
          <w:rtl/>
        </w:rPr>
        <w:t xml:space="preserve">׳. תיאור זה אינו הולם כלל אדם בן חמישים ושמונה עד שישים ושתיים; לפי חשבון </w:t>
      </w:r>
      <w:proofErr w:type="spellStart"/>
      <w:r>
        <w:rPr>
          <w:rtl/>
        </w:rPr>
        <w:t>החזון־איש</w:t>
      </w:r>
      <w:proofErr w:type="spellEnd"/>
      <w:r>
        <w:rPr>
          <w:rtl/>
        </w:rPr>
        <w:t xml:space="preserve"> היה אז בן שישים ושמונה עד שבעים ושתיים.</w:t>
      </w:r>
    </w:p>
    <w:p w14:paraId="274BA61C" w14:textId="77777777" w:rsidR="00AB3647" w:rsidRDefault="00000000" w:rsidP="007923E9">
      <w:pPr>
        <w:spacing w:after="120" w:line="276" w:lineRule="auto"/>
        <w:ind w:firstLine="283"/>
        <w:jc w:val="both"/>
      </w:pPr>
      <w:r>
        <w:rPr>
          <w:rtl/>
        </w:rPr>
        <w:t xml:space="preserve">אגב, </w:t>
      </w:r>
      <w:proofErr w:type="spellStart"/>
      <w:r>
        <w:rPr>
          <w:rtl/>
        </w:rPr>
        <w:t>שאשקעס</w:t>
      </w:r>
      <w:proofErr w:type="spellEnd"/>
      <w:r>
        <w:rPr>
          <w:rtl/>
        </w:rPr>
        <w:t xml:space="preserve"> מספר </w:t>
      </w:r>
      <w:proofErr w:type="spellStart"/>
      <w:r>
        <w:rPr>
          <w:rtl/>
        </w:rPr>
        <w:t>שהחפץ־חיים</w:t>
      </w:r>
      <w:proofErr w:type="spellEnd"/>
      <w:r>
        <w:rPr>
          <w:rtl/>
        </w:rPr>
        <w:t xml:space="preserve"> נשאר עומד בכרכרה, וכשמלוויו לא חדלו להפציר בו לשבת, השיב שאינו יכול, מפני שאינו חש בטוב. “אבל לאחר מכן”, כותב </w:t>
      </w:r>
      <w:proofErr w:type="spellStart"/>
      <w:r>
        <w:rPr>
          <w:rtl/>
        </w:rPr>
        <w:t>שאשקעס</w:t>
      </w:r>
      <w:proofErr w:type="spellEnd"/>
      <w:r>
        <w:rPr>
          <w:rtl/>
        </w:rPr>
        <w:t xml:space="preserve">, “גילה הדוד [שלי] את הסוד. </w:t>
      </w:r>
      <w:proofErr w:type="spellStart"/>
      <w:r>
        <w:rPr>
          <w:rtl/>
        </w:rPr>
        <w:t>החפץ־חיים</w:t>
      </w:r>
      <w:proofErr w:type="spellEnd"/>
      <w:r>
        <w:rPr>
          <w:rtl/>
        </w:rPr>
        <w:t xml:space="preserve"> לא רצה לשבת על האריג מפני חשש שעטנז, אך לא רצה לומר זאת למלוויו כדי שלא להביכם”. תשובתו המתחמקת של </w:t>
      </w:r>
      <w:proofErr w:type="spellStart"/>
      <w:r>
        <w:rPr>
          <w:rtl/>
        </w:rPr>
        <w:t>החפץ־חיים</w:t>
      </w:r>
      <w:proofErr w:type="spellEnd"/>
      <w:r>
        <w:rPr>
          <w:rtl/>
        </w:rPr>
        <w:t>, שאינו חש בטוב, מזכירה מעשה</w:t>
      </w:r>
      <w:bookmarkStart w:id="6301" w:name="_fnr4733"/>
      <w:r>
        <w:rPr>
          <w:rStyle w:val="a5"/>
        </w:rPr>
        <w:footnoteReference w:id="4745" w:customMarkFollows="0"/>
      </w:r>
      <w:bookmarkEnd w:id="6301"/>
      <w:r>
        <w:rPr>
          <w:rtl/>
        </w:rPr>
        <w:t xml:space="preserve"> בר׳ </w:t>
      </w:r>
      <w:proofErr w:type="spellStart"/>
      <w:r>
        <w:rPr>
          <w:rtl/>
        </w:rPr>
        <w:t>צבי־הירש</w:t>
      </w:r>
      <w:proofErr w:type="spellEnd"/>
      <w:r>
        <w:rPr>
          <w:rtl/>
        </w:rPr>
        <w:t xml:space="preserve">, המגיד </w:t>
      </w:r>
      <w:proofErr w:type="spellStart"/>
      <w:r>
        <w:rPr>
          <w:rtl/>
        </w:rPr>
        <w:t>מסמיאטיץ</w:t>
      </w:r>
      <w:proofErr w:type="spellEnd"/>
      <w:r>
        <w:rPr>
          <w:rtl/>
        </w:rPr>
        <w:t xml:space="preserve">׳, שביקר בבית רבו, הגאון מווילנה, ומצא את התלמידים אוכלים. כשהזמינוהו להצטרף לסעודה, השיב: “הרופא אינו מתיר לי לאכול”. הגאון העיר מיד: “אמת: גם הרמב״ם היה רופא”. הוא הבין שר׳ </w:t>
      </w:r>
      <w:proofErr w:type="spellStart"/>
      <w:r>
        <w:rPr>
          <w:rtl/>
        </w:rPr>
        <w:t>צבי־הירש</w:t>
      </w:r>
      <w:proofErr w:type="spellEnd"/>
      <w:r>
        <w:rPr>
          <w:rtl/>
        </w:rPr>
        <w:t xml:space="preserve"> התכוון לפסק הרמב״ם שאין לאדם להשתתף </w:t>
      </w:r>
      <w:proofErr w:type="spellStart"/>
      <w:r>
        <w:rPr>
          <w:rtl/>
        </w:rPr>
        <w:t>ב“סעודה</w:t>
      </w:r>
      <w:proofErr w:type="spellEnd"/>
      <w:r>
        <w:rPr>
          <w:rtl/>
        </w:rPr>
        <w:t xml:space="preserve"> שאינה מספקת לבעליה”</w:t>
      </w:r>
      <w:bookmarkStart w:id="6302" w:name="_fnr4734"/>
      <w:r>
        <w:rPr>
          <w:rStyle w:val="a5"/>
        </w:rPr>
        <w:footnoteReference w:id="4746" w:customMarkFollows="0"/>
      </w:r>
      <w:bookmarkEnd w:id="6302"/>
      <w:r>
        <w:rPr>
          <w:rtl/>
        </w:rPr>
        <w:t>.</w:t>
      </w:r>
    </w:p>
    <w:p w14:paraId="1C30367F" w14:textId="77777777" w:rsidR="00AB3647" w:rsidRDefault="00000000" w:rsidP="007923E9">
      <w:pPr>
        <w:spacing w:after="120" w:line="276" w:lineRule="auto"/>
        <w:ind w:firstLine="283"/>
        <w:jc w:val="both"/>
      </w:pPr>
      <w:r>
        <w:rPr>
          <w:rtl/>
        </w:rPr>
        <w:t>ואולם לפי “הליכות והלכות בר מצוה”</w:t>
      </w:r>
      <w:bookmarkStart w:id="6303" w:name="_fnr4735"/>
      <w:r>
        <w:rPr>
          <w:rStyle w:val="a5"/>
        </w:rPr>
        <w:footnoteReference w:id="4747" w:customMarkFollows="0"/>
      </w:r>
      <w:bookmarkEnd w:id="6303"/>
      <w:r>
        <w:rPr>
          <w:rtl/>
        </w:rPr>
        <w:t xml:space="preserve">, סיפר ר׳ </w:t>
      </w:r>
      <w:proofErr w:type="spellStart"/>
      <w:r>
        <w:rPr>
          <w:rtl/>
        </w:rPr>
        <w:t>יוסף־שלמה</w:t>
      </w:r>
      <w:proofErr w:type="spellEnd"/>
      <w:r>
        <w:rPr>
          <w:rtl/>
        </w:rPr>
        <w:t xml:space="preserve"> </w:t>
      </w:r>
      <w:proofErr w:type="spellStart"/>
      <w:r>
        <w:rPr>
          <w:rtl/>
        </w:rPr>
        <w:t>כהנמן</w:t>
      </w:r>
      <w:proofErr w:type="spellEnd"/>
      <w:r>
        <w:rPr>
          <w:rtl/>
        </w:rPr>
        <w:t xml:space="preserve">, הרב </w:t>
      </w:r>
      <w:proofErr w:type="spellStart"/>
      <w:r>
        <w:rPr>
          <w:rtl/>
        </w:rPr>
        <w:t>מפוניבז</w:t>
      </w:r>
      <w:proofErr w:type="spellEnd"/>
      <w:r>
        <w:rPr>
          <w:rtl/>
        </w:rPr>
        <w:t xml:space="preserve">׳, שהיה נוכח כשחגג </w:t>
      </w:r>
      <w:proofErr w:type="spellStart"/>
      <w:r>
        <w:rPr>
          <w:rtl/>
        </w:rPr>
        <w:t>החפץ־חיים</w:t>
      </w:r>
      <w:proofErr w:type="spellEnd"/>
      <w:r>
        <w:rPr>
          <w:rtl/>
        </w:rPr>
        <w:t xml:space="preserve"> את יום הולדתו השבעים, </w:t>
      </w:r>
      <w:proofErr w:type="spellStart"/>
      <w:r>
        <w:rPr>
          <w:rtl/>
        </w:rPr>
        <w:t>ושהחפץ־חיים</w:t>
      </w:r>
      <w:proofErr w:type="spellEnd"/>
      <w:r>
        <w:rPr>
          <w:rtl/>
        </w:rPr>
        <w:t xml:space="preserve"> לבש בגד חדש כדי לברך שהחיינו</w:t>
      </w:r>
      <w:bookmarkStart w:id="6304" w:name="_fnr4736"/>
      <w:r>
        <w:rPr>
          <w:rStyle w:val="a5"/>
        </w:rPr>
        <w:footnoteReference w:id="4748" w:customMarkFollows="0"/>
      </w:r>
      <w:bookmarkEnd w:id="6304"/>
      <w:r>
        <w:rPr>
          <w:rtl/>
        </w:rPr>
        <w:t xml:space="preserve"> – והרב </w:t>
      </w:r>
      <w:proofErr w:type="spellStart"/>
      <w:r>
        <w:rPr>
          <w:rtl/>
        </w:rPr>
        <w:t>מפוניבז</w:t>
      </w:r>
      <w:proofErr w:type="spellEnd"/>
      <w:r>
        <w:rPr>
          <w:rtl/>
        </w:rPr>
        <w:t xml:space="preserve">׳ היה </w:t>
      </w:r>
      <w:proofErr w:type="spellStart"/>
      <w:r>
        <w:rPr>
          <w:rtl/>
        </w:rPr>
        <w:t>בראדין</w:t>
      </w:r>
      <w:proofErr w:type="spellEnd"/>
      <w:r>
        <w:rPr>
          <w:rtl/>
        </w:rPr>
        <w:t xml:space="preserve"> </w:t>
      </w:r>
      <w:proofErr w:type="spellStart"/>
      <w:r>
        <w:rPr>
          <w:rtl/>
        </w:rPr>
        <w:t>בתרס״ט</w:t>
      </w:r>
      <w:proofErr w:type="spellEnd"/>
      <w:r>
        <w:rPr>
          <w:rtl/>
        </w:rPr>
        <w:t xml:space="preserve">, ולא </w:t>
      </w:r>
      <w:proofErr w:type="spellStart"/>
      <w:r>
        <w:rPr>
          <w:rtl/>
        </w:rPr>
        <w:t>בתרנ״ט</w:t>
      </w:r>
      <w:proofErr w:type="spellEnd"/>
      <w:r>
        <w:rPr>
          <w:rtl/>
        </w:rPr>
        <w:t xml:space="preserve">. נמצא </w:t>
      </w:r>
      <w:proofErr w:type="spellStart"/>
      <w:r>
        <w:rPr>
          <w:rtl/>
        </w:rPr>
        <w:t>שהחפץ־חיים</w:t>
      </w:r>
      <w:proofErr w:type="spellEnd"/>
      <w:r>
        <w:rPr>
          <w:rtl/>
        </w:rPr>
        <w:t xml:space="preserve"> נולד </w:t>
      </w:r>
      <w:proofErr w:type="spellStart"/>
      <w:r>
        <w:rPr>
          <w:rtl/>
        </w:rPr>
        <w:t>בתקצ״ט</w:t>
      </w:r>
      <w:proofErr w:type="spellEnd"/>
      <w:r>
        <w:rPr>
          <w:rtl/>
        </w:rPr>
        <w:t>, והיה בן פחות מעשר בעת המגפה. השווה גם “ספר מאיר עיני ישראל”</w:t>
      </w:r>
      <w:bookmarkStart w:id="6305" w:name="_fnr4737"/>
      <w:r>
        <w:rPr>
          <w:rStyle w:val="a5"/>
        </w:rPr>
        <w:footnoteReference w:id="4749" w:customMarkFollows="0"/>
      </w:r>
      <w:bookmarkEnd w:id="6305"/>
      <w:r>
        <w:rPr>
          <w:rtl/>
        </w:rPr>
        <w:t xml:space="preserve">, המספר בשם ר׳ שלום גלאי </w:t>
      </w:r>
      <w:proofErr w:type="spellStart"/>
      <w:r>
        <w:rPr>
          <w:rtl/>
        </w:rPr>
        <w:t>שהחפץ־חיים</w:t>
      </w:r>
      <w:proofErr w:type="spellEnd"/>
      <w:r>
        <w:rPr>
          <w:rtl/>
        </w:rPr>
        <w:t xml:space="preserve"> תיאר כיצד היה נוכח בשעת פטירת אביו כשהיה “ילד צעיר” – הגדרה ההולמת ילד בן עשר, ולא בן </w:t>
      </w:r>
      <w:proofErr w:type="spellStart"/>
      <w:r>
        <w:rPr>
          <w:rtl/>
        </w:rPr>
        <w:t>תשע־עשרה</w:t>
      </w:r>
      <w:proofErr w:type="spellEnd"/>
      <w:r>
        <w:rPr>
          <w:rtl/>
        </w:rPr>
        <w:t xml:space="preserve"> שכבר היה נשוי מגיל </w:t>
      </w:r>
      <w:proofErr w:type="spellStart"/>
      <w:r>
        <w:rPr>
          <w:rtl/>
        </w:rPr>
        <w:t>שבע־עשרה</w:t>
      </w:r>
      <w:bookmarkStart w:id="6306" w:name="_fnr4738"/>
      <w:proofErr w:type="spellEnd"/>
      <w:r>
        <w:rPr>
          <w:rStyle w:val="a5"/>
        </w:rPr>
        <w:footnoteReference w:id="4750" w:customMarkFollows="0"/>
      </w:r>
      <w:bookmarkEnd w:id="6306"/>
      <w:r>
        <w:rPr>
          <w:rtl/>
        </w:rPr>
        <w:t>.</w:t>
      </w:r>
    </w:p>
    <w:p w14:paraId="00A77411" w14:textId="77777777" w:rsidR="00AB3647" w:rsidRDefault="00000000" w:rsidP="007923E9">
      <w:pPr>
        <w:spacing w:after="120" w:line="276" w:lineRule="auto"/>
        <w:ind w:firstLine="283"/>
        <w:jc w:val="both"/>
      </w:pPr>
      <w:r>
        <w:rPr>
          <w:rtl/>
        </w:rPr>
        <w:t xml:space="preserve">בנו של </w:t>
      </w:r>
      <w:proofErr w:type="spellStart"/>
      <w:r>
        <w:rPr>
          <w:rtl/>
        </w:rPr>
        <w:t>החפץ־חיים</w:t>
      </w:r>
      <w:proofErr w:type="spellEnd"/>
      <w:r>
        <w:rPr>
          <w:rtl/>
        </w:rPr>
        <w:t xml:space="preserve">, ר׳ </w:t>
      </w:r>
      <w:proofErr w:type="spellStart"/>
      <w:r>
        <w:rPr>
          <w:rtl/>
        </w:rPr>
        <w:t>אריה־לייב</w:t>
      </w:r>
      <w:proofErr w:type="spellEnd"/>
      <w:r>
        <w:rPr>
          <w:rtl/>
        </w:rPr>
        <w:t xml:space="preserve">, טעה </w:t>
      </w:r>
      <w:proofErr w:type="spellStart"/>
      <w:r>
        <w:rPr>
          <w:rtl/>
        </w:rPr>
        <w:t>ב“כל</w:t>
      </w:r>
      <w:proofErr w:type="spellEnd"/>
      <w:r>
        <w:rPr>
          <w:rtl/>
        </w:rPr>
        <w:t xml:space="preserve"> כתבי חפץ חיים השלם”</w:t>
      </w:r>
      <w:bookmarkStart w:id="6307" w:name="_fnr4739"/>
      <w:r>
        <w:rPr>
          <w:rStyle w:val="a5"/>
        </w:rPr>
        <w:footnoteReference w:id="4751" w:customMarkFollows="0"/>
      </w:r>
      <w:bookmarkEnd w:id="6307"/>
      <w:r>
        <w:rPr>
          <w:rtl/>
        </w:rPr>
        <w:t xml:space="preserve"> וכתב </w:t>
      </w:r>
      <w:proofErr w:type="spellStart"/>
      <w:r>
        <w:rPr>
          <w:rtl/>
        </w:rPr>
        <w:t>ש“כמדומה</w:t>
      </w:r>
      <w:proofErr w:type="spellEnd"/>
      <w:r>
        <w:rPr>
          <w:rtl/>
        </w:rPr>
        <w:t xml:space="preserve">” אירעה המגפה </w:t>
      </w:r>
      <w:proofErr w:type="spellStart"/>
      <w:r>
        <w:rPr>
          <w:rtl/>
        </w:rPr>
        <w:t>בתרי״ג</w:t>
      </w:r>
      <w:proofErr w:type="spellEnd"/>
      <w:r>
        <w:rPr>
          <w:rtl/>
        </w:rPr>
        <w:t xml:space="preserve">, ולא ארבע שנים קודם לכן, כשאירעה בפועל; על יסוד טעות זו טעה בחשבון וכתב שאביו היה “קרוב לגיל </w:t>
      </w:r>
      <w:proofErr w:type="spellStart"/>
      <w:r>
        <w:rPr>
          <w:rtl/>
        </w:rPr>
        <w:t>ארבע־עשרה</w:t>
      </w:r>
      <w:proofErr w:type="spellEnd"/>
      <w:r>
        <w:rPr>
          <w:rtl/>
        </w:rPr>
        <w:t xml:space="preserve">” באותה עת. משנתקן את </w:t>
      </w:r>
      <w:r>
        <w:rPr>
          <w:rtl/>
        </w:rPr>
        <w:lastRenderedPageBreak/>
        <w:t xml:space="preserve">תאריך המגפה, יסכים גם בנו של </w:t>
      </w:r>
      <w:proofErr w:type="spellStart"/>
      <w:r>
        <w:rPr>
          <w:rtl/>
        </w:rPr>
        <w:t>החפץ־חיים</w:t>
      </w:r>
      <w:proofErr w:type="spellEnd"/>
      <w:r>
        <w:rPr>
          <w:rtl/>
        </w:rPr>
        <w:t xml:space="preserve"> שאביו היה אז רק קרוב לגיל עשר. הרי לנו אישור מפי בנו של </w:t>
      </w:r>
      <w:proofErr w:type="spellStart"/>
      <w:r>
        <w:rPr>
          <w:rtl/>
        </w:rPr>
        <w:t>החפץ־חיים</w:t>
      </w:r>
      <w:proofErr w:type="spellEnd"/>
      <w:r>
        <w:rPr>
          <w:rtl/>
        </w:rPr>
        <w:t xml:space="preserve"> עצמו לגיל אביו, והוא תואם את זיכרונות הרב </w:t>
      </w:r>
      <w:proofErr w:type="spellStart"/>
      <w:r>
        <w:rPr>
          <w:rtl/>
        </w:rPr>
        <w:t>מפוניבז</w:t>
      </w:r>
      <w:proofErr w:type="spellEnd"/>
      <w:r>
        <w:rPr>
          <w:rtl/>
        </w:rPr>
        <w:t>׳.</w:t>
      </w:r>
    </w:p>
    <w:p w14:paraId="331C600E" w14:textId="77777777" w:rsidR="00AB3647" w:rsidRDefault="00000000" w:rsidP="007923E9">
      <w:pPr>
        <w:spacing w:after="120" w:line="276" w:lineRule="auto"/>
        <w:ind w:firstLine="283"/>
        <w:jc w:val="both"/>
      </w:pPr>
      <w:r>
        <w:rPr>
          <w:rtl/>
        </w:rPr>
        <w:t>ראה גם הכרך שיצא לאחרונה, “שנות דור ודור”</w:t>
      </w:r>
      <w:bookmarkStart w:id="6308" w:name="_fnr4740"/>
      <w:r>
        <w:rPr>
          <w:rStyle w:val="a5"/>
        </w:rPr>
        <w:footnoteReference w:id="4752" w:customMarkFollows="0"/>
      </w:r>
      <w:bookmarkEnd w:id="6308"/>
      <w:r>
        <w:rPr>
          <w:rtl/>
        </w:rPr>
        <w:t xml:space="preserve">, שבו נדפס מכתב שכתב </w:t>
      </w:r>
      <w:proofErr w:type="spellStart"/>
      <w:r>
        <w:rPr>
          <w:rtl/>
        </w:rPr>
        <w:t>החפץ־חיים</w:t>
      </w:r>
      <w:proofErr w:type="spellEnd"/>
      <w:r>
        <w:rPr>
          <w:rtl/>
        </w:rPr>
        <w:t xml:space="preserve"> </w:t>
      </w:r>
      <w:proofErr w:type="spellStart"/>
      <w:r>
        <w:rPr>
          <w:rtl/>
        </w:rPr>
        <w:t>בתרפ״ו</w:t>
      </w:r>
      <w:proofErr w:type="spellEnd"/>
      <w:r>
        <w:rPr>
          <w:rtl/>
        </w:rPr>
        <w:t xml:space="preserve">, ובו ביקש ממכר המתגורר בתל אביב להשיג לו מסמכים לעלייה לארץ ישראל, בתנאי “שלא יפרסם הדבר”. במכתב הוא מציין את הגילים המדויקים שלו ושל חמשת בני המשפחה הקרובים שהתכוונו לעלות עמו – אשתו; בנו הצעיר אהרן; חתנו ר׳ מנדל זקס; בתו הרבנית </w:t>
      </w:r>
      <w:proofErr w:type="spellStart"/>
      <w:r>
        <w:rPr>
          <w:rtl/>
        </w:rPr>
        <w:t>פייגל</w:t>
      </w:r>
      <w:proofErr w:type="spellEnd"/>
      <w:r>
        <w:rPr>
          <w:rtl/>
        </w:rPr>
        <w:t xml:space="preserve"> זקס; ותינוקם הירש – ומצהיר שהוא בן שמונים ושש. אפשר כמובן לטעון ששמונים ושש היה הגיל הרשום במסמכיו </w:t>
      </w:r>
      <w:proofErr w:type="spellStart"/>
      <w:r>
        <w:rPr>
          <w:rtl/>
        </w:rPr>
        <w:t>הרוסיים־פולניים</w:t>
      </w:r>
      <w:proofErr w:type="spellEnd"/>
      <w:r>
        <w:rPr>
          <w:rtl/>
        </w:rPr>
        <w:t xml:space="preserve"> הרשמיים, אף שהיה מבוגר יותר. אך לנוכח שאר המקורות המאשרים שנמנו לעיל, יש להניח שזה היה גילו בפועל באותה עת; ובכך נדחית דעת </w:t>
      </w:r>
      <w:proofErr w:type="spellStart"/>
      <w:r>
        <w:rPr>
          <w:rtl/>
        </w:rPr>
        <w:t>החזון־איש</w:t>
      </w:r>
      <w:proofErr w:type="spellEnd"/>
      <w:r>
        <w:rPr>
          <w:rtl/>
        </w:rPr>
        <w:t>.</w:t>
      </w:r>
    </w:p>
    <w:p w14:paraId="629DD58C" w14:textId="77777777" w:rsidR="00AB3647" w:rsidRDefault="00000000" w:rsidP="007923E9">
      <w:pPr>
        <w:spacing w:after="120" w:line="276" w:lineRule="auto"/>
        <w:ind w:firstLine="283"/>
        <w:jc w:val="both"/>
      </w:pPr>
      <w:r>
        <w:rPr>
          <w:rtl/>
        </w:rPr>
        <w:t>נשארנו עם קושיה שאבי לא עסק בה: על איזה יסוד הלכתי יכול היה ר׳ ישראל לבטל את כל צום יום הכיפורים? צום יום הכיפורים אינו נחשב מופר – כך שהמפר אותו חייב כרת (או, כשיש בית דין, מלקות) במזיד, וקרבן חטאת בשוגג – אלא אם נאכלה או נשתתה כמות מזערית מסוימת. במזון, כמות זו פחותה במקצת מנפח ביצה בינונית; במשקה, היא מלוא לוגמיו. כדי שייחשב הצום מופר, צריך לאכול או לשתות כל אחת מן הכמויות בתוך ארבע דקות</w:t>
      </w:r>
      <w:bookmarkStart w:id="6309" w:name="_fnr4741"/>
      <w:bookmarkStart w:id="6310" w:name="pr_f_4622"/>
      <w:r>
        <w:rPr>
          <w:rStyle w:val="a5"/>
        </w:rPr>
        <w:footnoteReference w:id="4753" w:customMarkFollows="0"/>
      </w:r>
      <w:bookmarkEnd w:id="6309"/>
      <w:bookmarkEnd w:id="6310"/>
      <w:r>
        <w:rPr>
          <w:rtl/>
        </w:rPr>
        <w:t xml:space="preserve">. כמות זו נקראת בלשון ההלכה “שיעור”. גם אכילה או שתייה של פחות משיעור אסורה, אך אין בה העונשים האמורים, ואף אין הצום נחשב מופר בה. בחולה שמחלתו מסכנת את חייו, הדין הוא שאם הגבלת אכילתו לפחות </w:t>
      </w:r>
      <w:proofErr w:type="spellStart"/>
      <w:r>
        <w:rPr>
          <w:rtl/>
        </w:rPr>
        <w:t>מכשיעור</w:t>
      </w:r>
      <w:proofErr w:type="spellEnd"/>
      <w:r>
        <w:rPr>
          <w:rtl/>
        </w:rPr>
        <w:t xml:space="preserve"> לא תגדיל את סכנתו, </w:t>
      </w:r>
      <w:r>
        <w:rPr>
          <w:b/>
          <w:bCs/>
          <w:rtl/>
        </w:rPr>
        <w:t>אינו רשאי</w:t>
      </w:r>
      <w:r>
        <w:rPr>
          <w:rtl/>
        </w:rPr>
        <w:t xml:space="preserve"> לאכול שיעור שלם</w:t>
      </w:r>
      <w:bookmarkStart w:id="6311" w:name="_fnr4742"/>
      <w:bookmarkStart w:id="6312" w:name="pr_f_4623"/>
      <w:r>
        <w:rPr>
          <w:rStyle w:val="a5"/>
        </w:rPr>
        <w:footnoteReference w:id="4754" w:customMarkFollows="0"/>
      </w:r>
      <w:bookmarkEnd w:id="6311"/>
      <w:bookmarkEnd w:id="6312"/>
      <w:r>
        <w:rPr>
          <w:rtl/>
        </w:rPr>
        <w:t>.</w:t>
      </w:r>
    </w:p>
    <w:p w14:paraId="5C1646BE" w14:textId="77777777" w:rsidR="00AB3647" w:rsidRDefault="00000000" w:rsidP="007923E9">
      <w:pPr>
        <w:spacing w:after="120" w:line="276" w:lineRule="auto"/>
        <w:ind w:firstLine="283"/>
        <w:jc w:val="both"/>
      </w:pPr>
      <w:r>
        <w:rPr>
          <w:rtl/>
        </w:rPr>
        <w:t xml:space="preserve">הקושיה אפוא היא מדוע התיר ר׳ ישראל לבטל את הצום לגמרי, בשעה שאת המזון הדרוש לשמירת בריאות הציבור אפשר היה לספק באותה מידה באכילות קטנות לאורך כל היום, כל אחת פחות </w:t>
      </w:r>
      <w:proofErr w:type="spellStart"/>
      <w:r>
        <w:rPr>
          <w:rtl/>
        </w:rPr>
        <w:t>מכשיעור</w:t>
      </w:r>
      <w:proofErr w:type="spellEnd"/>
      <w:r>
        <w:rPr>
          <w:rtl/>
        </w:rPr>
        <w:t xml:space="preserve"> ובהפרש של יותר מארבע דקות. אבל מעשהו של אבי בטורונטו, בדיוק תשעים שנה לאחר מכן, </w:t>
      </w:r>
      <w:proofErr w:type="spellStart"/>
      <w:r>
        <w:rPr>
          <w:rtl/>
        </w:rPr>
        <w:t>בתרצ״ח</w:t>
      </w:r>
      <w:proofErr w:type="spellEnd"/>
      <w:r>
        <w:rPr>
          <w:rtl/>
        </w:rPr>
        <w:t xml:space="preserve">, המתואר להלן, ישפוך אור על הבנתו של רבנו את פסקו של ר׳ ישראל </w:t>
      </w:r>
      <w:proofErr w:type="spellStart"/>
      <w:r>
        <w:rPr>
          <w:rtl/>
        </w:rPr>
        <w:t>סלנטר</w:t>
      </w:r>
      <w:proofErr w:type="spellEnd"/>
      <w:r>
        <w:rPr>
          <w:rtl/>
        </w:rPr>
        <w:t xml:space="preserve"> בזמן המגפה בווילנה.</w:t>
      </w:r>
    </w:p>
    <w:p w14:paraId="5DA4D850" w14:textId="77777777" w:rsidR="00AB3647" w:rsidRDefault="00000000" w:rsidP="007923E9">
      <w:pPr>
        <w:spacing w:after="120" w:line="276" w:lineRule="auto"/>
        <w:ind w:firstLine="283"/>
        <w:jc w:val="both"/>
      </w:pPr>
      <w:r>
        <w:rPr>
          <w:rtl/>
        </w:rPr>
        <w:t xml:space="preserve">לשם התיעוד אעתיק חלק מן הריאיון על ר׳ ישראל </w:t>
      </w:r>
      <w:proofErr w:type="spellStart"/>
      <w:r>
        <w:rPr>
          <w:rtl/>
        </w:rPr>
        <w:t>סלנטר</w:t>
      </w:r>
      <w:proofErr w:type="spellEnd"/>
      <w:r>
        <w:rPr>
          <w:rtl/>
        </w:rPr>
        <w:t xml:space="preserve"> (שלא נכלל במאמר </w:t>
      </w:r>
      <w:proofErr w:type="spellStart"/>
      <w:r>
        <w:rPr>
          <w:rtl/>
        </w:rPr>
        <w:t>גלדוורט</w:t>
      </w:r>
      <w:bookmarkStart w:id="6313" w:name="_fnr4743"/>
      <w:proofErr w:type="spellEnd"/>
      <w:r>
        <w:rPr>
          <w:rStyle w:val="a5"/>
        </w:rPr>
        <w:footnoteReference w:id="4755" w:customMarkFollows="0"/>
      </w:r>
      <w:bookmarkEnd w:id="6313"/>
      <w:r>
        <w:rPr>
          <w:rtl/>
        </w:rPr>
        <w:t xml:space="preserve">), ובו יראה הקורא כמה מתוצאות המעשה שרבנו כינה “מרעיש עולמות”: “ר׳ ישראל היה אז רב צעיר [בן שלושים ותשע] בין רבנים גדולים אחרים בווילנה. אחרי יום הכיפורים זומן לבית </w:t>
      </w:r>
      <w:r>
        <w:rPr>
          <w:rtl/>
        </w:rPr>
        <w:lastRenderedPageBreak/>
        <w:t xml:space="preserve">הדין של העיר ונאמר לו: ‘לא ניכנס עמך לוויכוח אם מעשך היה נכון מבחינה הלכתית אם לאו. אבל אתה יודע שיש כאן בית דין; היה עליך להביא לפנינו את השאלה לדיון. או שהיית משכנע אותנו שצדקת וכל וילנה הייתה אוכלת, או שהיינו משכנעים אותך שלא צדקת. נהגת שלא כראוי </w:t>
      </w:r>
      <w:proofErr w:type="spellStart"/>
      <w:r>
        <w:rPr>
          <w:rtl/>
        </w:rPr>
        <w:t>כשלא</w:t>
      </w:r>
      <w:proofErr w:type="spellEnd"/>
      <w:r>
        <w:rPr>
          <w:rtl/>
        </w:rPr>
        <w:t xml:space="preserve"> באת אלינו’”</w:t>
      </w:r>
      <w:bookmarkStart w:id="6314" w:name="_fnr4744"/>
      <w:bookmarkStart w:id="6315" w:name="pr_f_4625"/>
      <w:r>
        <w:rPr>
          <w:rStyle w:val="a5"/>
        </w:rPr>
        <w:footnoteReference w:id="4756" w:customMarkFollows="0"/>
      </w:r>
      <w:bookmarkEnd w:id="6314"/>
      <w:bookmarkEnd w:id="6315"/>
      <w:r>
        <w:rPr>
          <w:rtl/>
        </w:rPr>
        <w:t>.</w:t>
      </w:r>
    </w:p>
    <w:p w14:paraId="180B677B" w14:textId="77777777" w:rsidR="00AB3647" w:rsidRDefault="00000000" w:rsidP="007923E9">
      <w:pPr>
        <w:spacing w:after="120" w:line="276" w:lineRule="auto"/>
        <w:ind w:firstLine="283"/>
        <w:jc w:val="both"/>
      </w:pPr>
      <w:r>
        <w:rPr>
          <w:rtl/>
        </w:rPr>
        <w:t>אבי הצדיק את ר׳ ישראל על שלא הביא את השאלה לפני בית הדין הרשמי, והביא ראיה מן הטור</w:t>
      </w:r>
      <w:bookmarkStart w:id="6316" w:name="_fnr4745"/>
      <w:r>
        <w:rPr>
          <w:rStyle w:val="a5"/>
        </w:rPr>
        <w:footnoteReference w:id="4757" w:customMarkFollows="0"/>
      </w:r>
      <w:bookmarkEnd w:id="6316"/>
      <w:r>
        <w:rPr>
          <w:rtl/>
        </w:rPr>
        <w:t xml:space="preserve">: “ואין צריך ליטול רשות מבית דין” [למחלל שבת כדי להציל נפש] – אף שנראה שמקור זה עוסק בשאלה המתעוררת בשבת עצמה. אבל בהחלט ייתכן שר׳ ישראל החליט רק ביום הכיפורים שהמצב אכן חמור, כפי שעולה מן הקטע המודגש בזיכרונות ר׳ יצחק ליפקין המצוטטים להלן בעמ׳ </w:t>
      </w:r>
      <w:r>
        <w:rPr>
          <w:rtl/>
        </w:rPr>
        <w:fldChar w:fldCharType="begin" w:dirty="true"/>
      </w:r>
      <w:r>
        <w:rPr>
          <w:rtl/>
        </w:rPr>
        <w:instrText xml:space="preserve"> PAGEREF pr_close_b_4229 \h </w:instrText>
      </w:r>
      <w:r>
        <w:rPr>
          <w:rtl/>
        </w:rPr>
      </w:r>
      <w:r>
        <w:rPr>
          <w:rtl/>
        </w:rPr>
        <w:fldChar w:fldCharType="separate"/>
      </w:r>
      <w:r w:rsidR="007923E9">
        <w:rPr>
          <w:noProof/>
          <w:rtl/>
        </w:rPr>
        <w:t>1</w:t>
      </w:r>
      <w:r>
        <w:rPr>
          <w:rtl/>
        </w:rPr>
        <w:fldChar w:fldCharType="end"/>
      </w:r>
      <w:r>
        <w:rPr>
          <w:rtl/>
        </w:rPr>
        <w:t>.</w:t>
      </w:r>
    </w:p>
    <w:p w14:paraId="088D9B2D" w14:textId="77777777" w:rsidR="00AB3647" w:rsidRDefault="00000000" w:rsidP="007923E9">
      <w:pPr>
        <w:spacing w:after="120" w:line="276" w:lineRule="auto"/>
        <w:ind w:firstLine="283"/>
        <w:jc w:val="both"/>
      </w:pPr>
      <w:r>
        <w:rPr>
          <w:rtl/>
        </w:rPr>
        <w:t>ובהמשך הריאיון: “הרבנים חתמו את תוכחתם באומרם: ‘בעצם ראוי להטיל עליך עונש. אבל במקום לפסוק כיצד להענישך, נניח לך לבחור את העונש הנראה לך מתאים’”. אבי הבין שכוונתם הייתה להזמין את ר׳ ישראל, בדרך של כבוד, לקבל עליו “תשובת המשקל” – ייסורים שאדם מטיל על עצמו במידה התואמת את חומרת חטאו.</w:t>
      </w:r>
    </w:p>
    <w:p w14:paraId="3B86B762" w14:textId="77777777" w:rsidR="00AB3647" w:rsidRDefault="00000000" w:rsidP="007923E9">
      <w:pPr>
        <w:spacing w:after="120" w:line="276" w:lineRule="auto"/>
        <w:ind w:firstLine="283"/>
        <w:jc w:val="both"/>
      </w:pPr>
      <w:r>
        <w:rPr>
          <w:rtl/>
        </w:rPr>
        <w:t xml:space="preserve">“ר׳ ישראל השיב”, המשיך אבי, “‘אם אתם שוקלים להעניש אותי, הריני מזהיר אתכם שאבטל את כל </w:t>
      </w:r>
      <w:proofErr w:type="spellStart"/>
      <w:r>
        <w:rPr>
          <w:rtl/>
        </w:rPr>
        <w:t>הגיטין</w:t>
      </w:r>
      <w:proofErr w:type="spellEnd"/>
      <w:r>
        <w:rPr>
          <w:rtl/>
        </w:rPr>
        <w:t xml:space="preserve"> שסידר בית הדין של וילנה’. ר׳ ישראל הוסיף והסביר: ‘בית הדין של </w:t>
      </w:r>
      <w:r>
        <w:rPr>
          <w:rtl/>
        </w:rPr>
        <w:lastRenderedPageBreak/>
        <w:t xml:space="preserve">וילנה נוהג בסדר הגט שקבע </w:t>
      </w:r>
      <w:proofErr w:type="spellStart"/>
      <w:r>
        <w:rPr>
          <w:rtl/>
        </w:rPr>
        <w:t>ה“בית</w:t>
      </w:r>
      <w:proofErr w:type="spellEnd"/>
      <w:r>
        <w:rPr>
          <w:rtl/>
        </w:rPr>
        <w:t xml:space="preserve"> שמואל”</w:t>
      </w:r>
      <w:bookmarkStart w:id="6317" w:name="_fnr4746"/>
      <w:r>
        <w:rPr>
          <w:rStyle w:val="a5"/>
        </w:rPr>
        <w:footnoteReference w:id="4758" w:customMarkFollows="0"/>
      </w:r>
      <w:bookmarkEnd w:id="6317"/>
      <w:r>
        <w:rPr>
          <w:rtl/>
        </w:rPr>
        <w:t xml:space="preserve">, ויש לי עליו טענה שלא תוכלו להפריך’. ר׳ ישראל הציג את טענתו, ובית הדין הרבני של וילנה נותר נבוך – ור׳ ישראל זוכה”. מראיינו שאל את אבי אם ידע איזו שאלה הציג ר׳ ישראל, והשיב שלא. בטענתו זו ודאי לא הטיל ר׳ ישראל ספק </w:t>
      </w:r>
      <w:proofErr w:type="spellStart"/>
      <w:r>
        <w:rPr>
          <w:rtl/>
        </w:rPr>
        <w:t>בטהרת</w:t>
      </w:r>
      <w:proofErr w:type="spellEnd"/>
      <w:r>
        <w:rPr>
          <w:rtl/>
        </w:rPr>
        <w:t xml:space="preserve"> </w:t>
      </w:r>
      <w:proofErr w:type="spellStart"/>
      <w:r>
        <w:rPr>
          <w:rtl/>
        </w:rPr>
        <w:t>יחוסם</w:t>
      </w:r>
      <w:proofErr w:type="spellEnd"/>
      <w:r>
        <w:rPr>
          <w:rtl/>
        </w:rPr>
        <w:t xml:space="preserve"> של כל צאצאי הנשים שקיבלו את גיטיהן בווילנה במשך מאתיים שנה לפי הסדר שביאר </w:t>
      </w:r>
      <w:proofErr w:type="spellStart"/>
      <w:r>
        <w:rPr>
          <w:rtl/>
        </w:rPr>
        <w:t>ה“בית</w:t>
      </w:r>
      <w:proofErr w:type="spellEnd"/>
      <w:r>
        <w:rPr>
          <w:rtl/>
        </w:rPr>
        <w:t xml:space="preserve"> שמואל”. או שר׳ ישראל ידע את התשובה לשאלתו, ובעלי שיחו לא ידעוה, או שבטח שמחבר </w:t>
      </w:r>
      <w:proofErr w:type="spellStart"/>
      <w:r>
        <w:rPr>
          <w:rtl/>
        </w:rPr>
        <w:t>ה“בית</w:t>
      </w:r>
      <w:proofErr w:type="spellEnd"/>
      <w:r>
        <w:rPr>
          <w:rtl/>
        </w:rPr>
        <w:t xml:space="preserve"> שמואל” צדק על אף כל קושיה שתהיה. השאלה הייתה דרכו של ר׳ ישראל להראות להם שאינם ראויים לשבת עליו בדין; בית הדין של וילנה הבין זאת, וזיכה אותו.</w:t>
      </w:r>
    </w:p>
    <w:p w14:paraId="3A36009F" w14:textId="77777777" w:rsidR="00AB3647" w:rsidRDefault="00000000" w:rsidP="007923E9">
      <w:pPr>
        <w:spacing w:after="120" w:line="276" w:lineRule="auto"/>
        <w:ind w:firstLine="283"/>
        <w:jc w:val="both"/>
      </w:pPr>
      <w:r>
        <w:rPr>
          <w:rtl/>
        </w:rPr>
        <w:t xml:space="preserve">אבי הוסיף שר׳ </w:t>
      </w:r>
      <w:proofErr w:type="spellStart"/>
      <w:r>
        <w:rPr>
          <w:rtl/>
        </w:rPr>
        <w:t>ברוך־בער</w:t>
      </w:r>
      <w:proofErr w:type="spellEnd"/>
      <w:r>
        <w:rPr>
          <w:rtl/>
        </w:rPr>
        <w:t xml:space="preserve"> מסר פעם שיעור – מן הסתם בשנותיו של רבנו </w:t>
      </w:r>
      <w:proofErr w:type="spellStart"/>
      <w:r>
        <w:rPr>
          <w:rtl/>
        </w:rPr>
        <w:t>בסלבודקה</w:t>
      </w:r>
      <w:bookmarkStart w:id="6318" w:name="_fnr4747"/>
      <w:proofErr w:type="spellEnd"/>
      <w:r>
        <w:rPr>
          <w:rStyle w:val="a5"/>
        </w:rPr>
        <w:footnoteReference w:id="4759" w:customMarkFollows="0"/>
      </w:r>
      <w:bookmarkEnd w:id="6318"/>
      <w:r>
        <w:rPr>
          <w:rtl/>
        </w:rPr>
        <w:t xml:space="preserve"> – על שני צדדי השאלה אם לבטל את הצום לגמרי במקום פיקוח נפש. בסוף השיעור הכריע ר׳ </w:t>
      </w:r>
      <w:proofErr w:type="spellStart"/>
      <w:r>
        <w:rPr>
          <w:rtl/>
        </w:rPr>
        <w:t>ברוך־בער</w:t>
      </w:r>
      <w:proofErr w:type="spellEnd"/>
      <w:r>
        <w:rPr>
          <w:rtl/>
        </w:rPr>
        <w:t xml:space="preserve"> שבית הדין של וילנה צדק, ור׳ ישראל טעה.</w:t>
      </w:r>
    </w:p>
    <w:p w14:paraId="44C29B51" w14:textId="77777777" w:rsidR="00AB3647" w:rsidRDefault="00000000" w:rsidP="007923E9">
      <w:pPr>
        <w:spacing w:after="120" w:line="276" w:lineRule="auto"/>
        <w:ind w:firstLine="283"/>
        <w:jc w:val="both"/>
      </w:pPr>
      <w:r>
        <w:rPr>
          <w:rtl/>
        </w:rPr>
        <w:t xml:space="preserve">מעשה – או מוטב לומר, הימנעות ממעשה – של אבי כשנכנס לרבנות בטורונטו </w:t>
      </w:r>
      <w:proofErr w:type="spellStart"/>
      <w:r>
        <w:rPr>
          <w:rtl/>
        </w:rPr>
        <w:t>בתרצ״ח</w:t>
      </w:r>
      <w:proofErr w:type="spellEnd"/>
      <w:r>
        <w:rPr>
          <w:rtl/>
        </w:rPr>
        <w:t xml:space="preserve"> יגלה את גישתו לביטול הצום במצב דומה. לפני יום הכיפורים הראשון שלו כרב חשוב בעיר, התבקש לפרסם בעיתון היומי ביידיש מודעה שהצום אינו מסתיים עד שעה מסוימת. כששאל מדוע דרושה מודעה כזאת, נאמר לו שיש בעיר בתי כנסת רבים שאין בהם רבנים להדריך את המתפללים, ונוהגים בהם לסיים את התפילות מוקדם ולהפסיק את הצום לפני זמנו. אבל אבי סירב לפרסם הכרזה כזאת. הוא הסביר שבין אלפי היהודים המתפללים במקומות הללו יש בוודאי לפחות אחד שאסור לו לצום כלל. דווקא מפני שאין לאדם כזה רב שיוכל לפנות אליו אישית, הוא עלול לסכן את חייו בדקות הנוספות שבהן תדחה המודעה הציבורית המוצעת את סיום יום הכיפורים. לפיכך, הדרך היחידה למנוע מאותו אדם לצום את הדקות הנוספות הייתה להניח לכל שאר היהודים הבריאים להפסיק את צומם מוקדם. הוא הביא דוגמה: אדם הנתון בסכנת נפשות מסרב לאכול אלא אם יאכל עמו מניין יהודים – במצב זה מותר לכל המניין לאכול.</w:t>
      </w:r>
    </w:p>
    <w:p w14:paraId="78CD5E2B" w14:textId="77777777" w:rsidR="00AB3647" w:rsidRDefault="00000000" w:rsidP="007923E9">
      <w:pPr>
        <w:spacing w:after="120" w:line="276" w:lineRule="auto"/>
        <w:ind w:firstLine="283"/>
        <w:jc w:val="both"/>
      </w:pPr>
      <w:r>
        <w:rPr>
          <w:rtl/>
        </w:rPr>
        <w:t>השווה “</w:t>
      </w:r>
      <w:proofErr w:type="spellStart"/>
      <w:r>
        <w:rPr>
          <w:rtl/>
        </w:rPr>
        <w:t>החפץ־חיים</w:t>
      </w:r>
      <w:proofErr w:type="spellEnd"/>
      <w:r>
        <w:rPr>
          <w:rtl/>
        </w:rPr>
        <w:t>”</w:t>
      </w:r>
      <w:bookmarkStart w:id="6319" w:name="_fnr4748"/>
      <w:r>
        <w:rPr>
          <w:rStyle w:val="a5"/>
        </w:rPr>
        <w:footnoteReference w:id="4760" w:customMarkFollows="0"/>
      </w:r>
      <w:bookmarkEnd w:id="6319"/>
      <w:r>
        <w:rPr>
          <w:rtl/>
        </w:rPr>
        <w:t xml:space="preserve">: </w:t>
      </w:r>
      <w:proofErr w:type="spellStart"/>
      <w:r>
        <w:rPr>
          <w:rtl/>
        </w:rPr>
        <w:t>החפץ־חיים</w:t>
      </w:r>
      <w:proofErr w:type="spellEnd"/>
      <w:r>
        <w:rPr>
          <w:rtl/>
        </w:rPr>
        <w:t xml:space="preserve"> סירב להורות על חרם גורף על עובדי בית חרושת לסיגריות </w:t>
      </w:r>
      <w:proofErr w:type="spellStart"/>
      <w:r>
        <w:rPr>
          <w:rtl/>
        </w:rPr>
        <w:t>בגרודנא</w:t>
      </w:r>
      <w:proofErr w:type="spellEnd"/>
      <w:r>
        <w:rPr>
          <w:rtl/>
        </w:rPr>
        <w:t xml:space="preserve"> שפעל בשבת, בנימוק </w:t>
      </w:r>
      <w:proofErr w:type="spellStart"/>
      <w:r>
        <w:rPr>
          <w:rtl/>
        </w:rPr>
        <w:t>ש“בין</w:t>
      </w:r>
      <w:proofErr w:type="spellEnd"/>
      <w:r>
        <w:rPr>
          <w:rtl/>
        </w:rPr>
        <w:t xml:space="preserve"> מאות המשפחות, על נשיהן וילדיהן, עלול להיות מקרה של סכנת חיים” אם יפסיק המפרנס לעבוד</w:t>
      </w:r>
      <w:bookmarkStart w:id="6320" w:name="_fnr4749"/>
      <w:r>
        <w:rPr>
          <w:rStyle w:val="a5"/>
        </w:rPr>
        <w:footnoteReference w:id="4761" w:customMarkFollows="0"/>
      </w:r>
      <w:bookmarkEnd w:id="6320"/>
      <w:r>
        <w:rPr>
          <w:rtl/>
        </w:rPr>
        <w:t>. השווה גם “תורת חיים”</w:t>
      </w:r>
      <w:bookmarkStart w:id="6321" w:name="_fnr4750"/>
      <w:r>
        <w:rPr>
          <w:rStyle w:val="a5"/>
        </w:rPr>
        <w:footnoteReference w:id="4762" w:customMarkFollows="0"/>
      </w:r>
      <w:bookmarkEnd w:id="6321"/>
      <w:r>
        <w:rPr>
          <w:rtl/>
        </w:rPr>
        <w:t xml:space="preserve">: </w:t>
      </w:r>
      <w:proofErr w:type="spellStart"/>
      <w:r>
        <w:rPr>
          <w:rtl/>
        </w:rPr>
        <w:t>שנים־עשר</w:t>
      </w:r>
      <w:proofErr w:type="spellEnd"/>
      <w:r>
        <w:rPr>
          <w:rtl/>
        </w:rPr>
        <w:t xml:space="preserve"> יום לפני פטירתו שכנע ר׳ חיים </w:t>
      </w:r>
      <w:proofErr w:type="spellStart"/>
      <w:r>
        <w:rPr>
          <w:rtl/>
        </w:rPr>
        <w:t>סולובייצ׳יק</w:t>
      </w:r>
      <w:proofErr w:type="spellEnd"/>
      <w:r>
        <w:rPr>
          <w:rtl/>
        </w:rPr>
        <w:t xml:space="preserve"> צעיר שהיה נתון בסכנת נפשות להפסיק את צום תשעה באב, באומרו שגם הוא עצמו יפסיק את צומו. מן הלשון שם עולה שר׳ חיים הפסיק </w:t>
      </w:r>
      <w:r>
        <w:rPr>
          <w:rtl/>
        </w:rPr>
        <w:lastRenderedPageBreak/>
        <w:t>את צומו כדי להביא את הצעיר לאכול; אך ייתכן שהניסוח אינו מדויק, ור׳ חיים אכל בשל בריאותו הרופפת שלו. יתרה מזו, צום תשעה באב אינו חמור כיום הכיפורים.</w:t>
      </w:r>
    </w:p>
    <w:p w14:paraId="79A29F77" w14:textId="77777777" w:rsidR="00AB3647" w:rsidRDefault="00000000" w:rsidP="007923E9">
      <w:pPr>
        <w:spacing w:after="120" w:line="276" w:lineRule="auto"/>
        <w:ind w:firstLine="283"/>
        <w:jc w:val="both"/>
      </w:pPr>
      <w:r>
        <w:rPr>
          <w:rtl/>
        </w:rPr>
        <w:t xml:space="preserve">מובן מאליו שחובת הרב אינה רק לדאוג שמי שיכולים לצום יצומו, אלא גם שמי שאינם יכולים לצום לא יצומו. השווה הערת העורך אלתר </w:t>
      </w:r>
      <w:proofErr w:type="spellStart"/>
      <w:r>
        <w:rPr>
          <w:rtl/>
        </w:rPr>
        <w:t>דרויאנוב</w:t>
      </w:r>
      <w:proofErr w:type="spellEnd"/>
      <w:r>
        <w:rPr>
          <w:rtl/>
        </w:rPr>
        <w:t xml:space="preserve"> על </w:t>
      </w:r>
      <w:proofErr w:type="spellStart"/>
      <w:r>
        <w:rPr>
          <w:rtl/>
        </w:rPr>
        <w:t>אלזט</w:t>
      </w:r>
      <w:bookmarkStart w:id="6322" w:name="_fnr4751"/>
      <w:proofErr w:type="spellEnd"/>
      <w:r>
        <w:rPr>
          <w:rStyle w:val="a5"/>
        </w:rPr>
        <w:footnoteReference w:id="4763" w:customMarkFollows="0"/>
      </w:r>
      <w:bookmarkEnd w:id="6322"/>
      <w:r>
        <w:rPr>
          <w:rtl/>
        </w:rPr>
        <w:t xml:space="preserve">, שבערב יום הכיפורים היה הרב מבקר בבתיהם של החולים המסוכנים ושל היולדות, כדי לצוות עליהם שלא לצום וללמדם כיצד להכין את מאכליהם לאותו יום </w:t>
      </w:r>
      <w:proofErr w:type="spellStart"/>
      <w:r>
        <w:rPr>
          <w:rtl/>
        </w:rPr>
        <w:t>ב“פחות</w:t>
      </w:r>
      <w:proofErr w:type="spellEnd"/>
      <w:r>
        <w:rPr>
          <w:rtl/>
        </w:rPr>
        <w:t xml:space="preserve"> </w:t>
      </w:r>
      <w:proofErr w:type="spellStart"/>
      <w:r>
        <w:rPr>
          <w:rtl/>
        </w:rPr>
        <w:t>מכשיעור</w:t>
      </w:r>
      <w:proofErr w:type="spellEnd"/>
      <w:r>
        <w:rPr>
          <w:rtl/>
        </w:rPr>
        <w:t xml:space="preserve">”. אבי מילא אפוא את חובתו הרבנית כלפי העיר טורונטו דווקא </w:t>
      </w:r>
      <w:proofErr w:type="spellStart"/>
      <w:r>
        <w:rPr>
          <w:b/>
          <w:bCs/>
          <w:rtl/>
        </w:rPr>
        <w:t>באי־פרסום</w:t>
      </w:r>
      <w:proofErr w:type="spellEnd"/>
      <w:r>
        <w:rPr>
          <w:rtl/>
        </w:rPr>
        <w:t xml:space="preserve"> המודעה בעיתון. מסתבר שרבנו הבין שביטול הצום בידי ר׳ ישראל </w:t>
      </w:r>
      <w:proofErr w:type="spellStart"/>
      <w:r>
        <w:rPr>
          <w:rtl/>
        </w:rPr>
        <w:t>סלנטר</w:t>
      </w:r>
      <w:proofErr w:type="spellEnd"/>
      <w:r>
        <w:rPr>
          <w:rtl/>
        </w:rPr>
        <w:t xml:space="preserve"> בזמן המגפה בווילנה נשען על אותו שיקול שהביאו לסרב לפרסם את המודעה בטורונטו.</w:t>
      </w:r>
    </w:p>
    <w:p w14:paraId="6ECC7E35" w14:textId="77777777" w:rsidR="00AB3647" w:rsidRDefault="00000000" w:rsidP="007923E9">
      <w:pPr>
        <w:spacing w:after="120" w:line="276" w:lineRule="auto"/>
        <w:ind w:firstLine="283"/>
        <w:jc w:val="both"/>
      </w:pPr>
      <w:r>
        <w:rPr>
          <w:rtl/>
        </w:rPr>
        <w:t xml:space="preserve">אילו הכריז ר׳ ישראל רק שכל מי שחש חולשה יפסיק את צומו באכילת </w:t>
      </w:r>
      <w:r>
        <w:rPr>
          <w:b/>
          <w:bCs/>
          <w:rtl/>
        </w:rPr>
        <w:t xml:space="preserve">פחות </w:t>
      </w:r>
      <w:proofErr w:type="spellStart"/>
      <w:r>
        <w:rPr>
          <w:b/>
          <w:bCs/>
          <w:rtl/>
        </w:rPr>
        <w:t>מכשיעור</w:t>
      </w:r>
      <w:proofErr w:type="spellEnd"/>
      <w:r>
        <w:rPr>
          <w:rtl/>
        </w:rPr>
        <w:t xml:space="preserve"> (בדיוק כמו שמורים ל</w:t>
      </w:r>
      <w:r>
        <w:rPr>
          <w:b/>
          <w:bCs/>
          <w:rtl/>
        </w:rPr>
        <w:t>חולה יחיד</w:t>
      </w:r>
      <w:r>
        <w:rPr>
          <w:rtl/>
        </w:rPr>
        <w:t xml:space="preserve">), כפי שסבור יעקב מארק שעשה – היו בוודאי בין המוני יהודי וילנה אנשים פשוטים </w:t>
      </w:r>
      <w:proofErr w:type="spellStart"/>
      <w:r>
        <w:rPr>
          <w:rtl/>
        </w:rPr>
        <w:t>ו“יראים</w:t>
      </w:r>
      <w:proofErr w:type="spellEnd"/>
      <w:r>
        <w:rPr>
          <w:rtl/>
        </w:rPr>
        <w:t xml:space="preserve">” שהיו ממשיכים לצום על אף חולשתם, ובכך מסכנים את חייהם. כדי להתגבר על “יראת היתר” של אנשים אלו, היה הכרח להכריז שהצום בטל לציבור כולו. אבי חשש לחיי יהודים בטורונטו אם יחזיר את הדקות המעטות שגרעו הבלתי מלומדים מסוף יום הכיפורים, ובעניין זה סיפר מעשה שאירע בעיר הליטאית שאוול. אדם ניגש אל </w:t>
      </w:r>
      <w:proofErr w:type="spellStart"/>
      <w:r>
        <w:rPr>
          <w:rtl/>
        </w:rPr>
        <w:t>המ״ץ</w:t>
      </w:r>
      <w:proofErr w:type="spellEnd"/>
      <w:r>
        <w:rPr>
          <w:rtl/>
        </w:rPr>
        <w:t xml:space="preserve"> </w:t>
      </w:r>
      <w:r>
        <w:rPr>
          <w:b/>
          <w:bCs/>
          <w:rtl/>
        </w:rPr>
        <w:t>דקות אחדות לפני סוף</w:t>
      </w:r>
      <w:r>
        <w:rPr>
          <w:rtl/>
        </w:rPr>
        <w:t xml:space="preserve"> יום הצום ואמר שאינו חש בטוב, </w:t>
      </w:r>
      <w:proofErr w:type="spellStart"/>
      <w:r>
        <w:rPr>
          <w:rtl/>
        </w:rPr>
        <w:t>והמ״ץ</w:t>
      </w:r>
      <w:proofErr w:type="spellEnd"/>
      <w:r>
        <w:rPr>
          <w:rtl/>
        </w:rPr>
        <w:t xml:space="preserve"> אמר לו: “הרי נשארו רק דקות אחדות”. האיש חזר למקומו ונפל מת. אבי הוסיף שרב – להבדיל </w:t>
      </w:r>
      <w:proofErr w:type="spellStart"/>
      <w:r>
        <w:rPr>
          <w:rtl/>
        </w:rPr>
        <w:t>ממ״ץ</w:t>
      </w:r>
      <w:proofErr w:type="spellEnd"/>
      <w:r>
        <w:rPr>
          <w:rtl/>
        </w:rPr>
        <w:t xml:space="preserve"> – היה אומר: “שתה מיד”</w:t>
      </w:r>
      <w:bookmarkStart w:id="6323" w:name="_fnr4752"/>
      <w:bookmarkStart w:id="6324" w:name="pr_f_4633"/>
      <w:r>
        <w:rPr>
          <w:rStyle w:val="a5"/>
        </w:rPr>
        <w:footnoteReference w:id="4764" w:customMarkFollows="0"/>
      </w:r>
      <w:bookmarkEnd w:id="6323"/>
      <w:bookmarkEnd w:id="6324"/>
      <w:r>
        <w:rPr>
          <w:rtl/>
        </w:rPr>
        <w:t>.</w:t>
      </w:r>
    </w:p>
    <w:p w14:paraId="36129956" w14:textId="77777777" w:rsidR="00AB3647" w:rsidRDefault="00000000" w:rsidP="007923E9">
      <w:pPr>
        <w:spacing w:after="120" w:line="276" w:lineRule="auto"/>
        <w:ind w:firstLine="283"/>
        <w:jc w:val="both"/>
      </w:pPr>
      <w:r>
        <w:rPr>
          <w:rtl/>
        </w:rPr>
        <w:t xml:space="preserve">מדבריו בטורונטו נראה שרבנו צידד בפסקו של ר׳ ישראל על אף התנגדותו של ר׳ </w:t>
      </w:r>
      <w:proofErr w:type="spellStart"/>
      <w:r>
        <w:rPr>
          <w:rtl/>
        </w:rPr>
        <w:t>ברוך־בער</w:t>
      </w:r>
      <w:bookmarkStart w:id="6325" w:name="_fnr4753"/>
      <w:bookmarkStart w:id="6326" w:name="pr_f_4634"/>
      <w:proofErr w:type="spellEnd"/>
      <w:r>
        <w:rPr>
          <w:rStyle w:val="a5"/>
        </w:rPr>
        <w:footnoteReference w:id="4765" w:customMarkFollows="0"/>
      </w:r>
      <w:bookmarkEnd w:id="6325"/>
      <w:bookmarkEnd w:id="6326"/>
      <w:r>
        <w:rPr>
          <w:rtl/>
        </w:rPr>
        <w:t xml:space="preserve">. גם </w:t>
      </w:r>
      <w:proofErr w:type="spellStart"/>
      <w:r>
        <w:rPr>
          <w:rtl/>
        </w:rPr>
        <w:t>החפץ־חיים</w:t>
      </w:r>
      <w:proofErr w:type="spellEnd"/>
      <w:r>
        <w:rPr>
          <w:rtl/>
        </w:rPr>
        <w:t xml:space="preserve">, שסיפר את כל מעשה המאורעות בווילנה, כאמור לעיל, לא מצא דופי במעשיו של ר׳ ישראל </w:t>
      </w:r>
      <w:proofErr w:type="spellStart"/>
      <w:r>
        <w:rPr>
          <w:rtl/>
        </w:rPr>
        <w:t>סלנטר</w:t>
      </w:r>
      <w:proofErr w:type="spellEnd"/>
      <w:r>
        <w:rPr>
          <w:rtl/>
        </w:rPr>
        <w:t xml:space="preserve">. ראיה נוספת לכך היא ההערכה הגבוהה שרחש </w:t>
      </w:r>
      <w:proofErr w:type="spellStart"/>
      <w:r>
        <w:rPr>
          <w:rtl/>
        </w:rPr>
        <w:t>החפץ־חיים</w:t>
      </w:r>
      <w:proofErr w:type="spellEnd"/>
      <w:r>
        <w:rPr>
          <w:rtl/>
        </w:rPr>
        <w:t xml:space="preserve"> ליראתו של ר׳ ישראל בשנים מאוחרות יותר, כמסופר </w:t>
      </w:r>
      <w:proofErr w:type="spellStart"/>
      <w:r>
        <w:rPr>
          <w:rtl/>
        </w:rPr>
        <w:t>ב“כל</w:t>
      </w:r>
      <w:proofErr w:type="spellEnd"/>
      <w:r>
        <w:rPr>
          <w:rtl/>
        </w:rPr>
        <w:t xml:space="preserve"> כתבי חפץ חיים השלם”</w:t>
      </w:r>
      <w:bookmarkStart w:id="6327" w:name="_fnr4754"/>
      <w:r>
        <w:rPr>
          <w:rStyle w:val="a5"/>
        </w:rPr>
        <w:footnoteReference w:id="4766" w:customMarkFollows="0"/>
      </w:r>
      <w:bookmarkEnd w:id="6327"/>
      <w:r>
        <w:rPr>
          <w:rtl/>
        </w:rPr>
        <w:t xml:space="preserve">: </w:t>
      </w:r>
      <w:proofErr w:type="spellStart"/>
      <w:r>
        <w:rPr>
          <w:rtl/>
        </w:rPr>
        <w:t>בתרל״ז</w:t>
      </w:r>
      <w:proofErr w:type="spellEnd"/>
      <w:r>
        <w:rPr>
          <w:rtl/>
        </w:rPr>
        <w:t xml:space="preserve"> סבל </w:t>
      </w:r>
      <w:proofErr w:type="spellStart"/>
      <w:r>
        <w:rPr>
          <w:rtl/>
        </w:rPr>
        <w:t>החפץ־חיים</w:t>
      </w:r>
      <w:proofErr w:type="spellEnd"/>
      <w:r>
        <w:rPr>
          <w:rtl/>
        </w:rPr>
        <w:t xml:space="preserve"> חודשים רבים ממחלת קיבה קשה. הוא שהה בווילנה לצורך טיפול </w:t>
      </w:r>
      <w:r>
        <w:rPr>
          <w:rtl/>
        </w:rPr>
        <w:lastRenderedPageBreak/>
        <w:t xml:space="preserve">רפואי כשנזדמן לשם ר׳ ישראל לבקר את חתנו, ר׳ </w:t>
      </w:r>
      <w:proofErr w:type="spellStart"/>
      <w:r>
        <w:rPr>
          <w:rtl/>
        </w:rPr>
        <w:t>אלי׳־לייזר</w:t>
      </w:r>
      <w:proofErr w:type="spellEnd"/>
      <w:r>
        <w:rPr>
          <w:rtl/>
        </w:rPr>
        <w:t xml:space="preserve"> </w:t>
      </w:r>
      <w:proofErr w:type="spellStart"/>
      <w:r>
        <w:rPr>
          <w:rtl/>
        </w:rPr>
        <w:t>גרודננסקי</w:t>
      </w:r>
      <w:proofErr w:type="spellEnd"/>
      <w:r>
        <w:rPr>
          <w:rtl/>
        </w:rPr>
        <w:t xml:space="preserve">, לימים חותנו של ר׳ </w:t>
      </w:r>
      <w:proofErr w:type="spellStart"/>
      <w:r>
        <w:rPr>
          <w:rtl/>
        </w:rPr>
        <w:t>חיים־עוזר</w:t>
      </w:r>
      <w:proofErr w:type="spellEnd"/>
      <w:r>
        <w:rPr>
          <w:rtl/>
        </w:rPr>
        <w:t xml:space="preserve"> </w:t>
      </w:r>
      <w:proofErr w:type="spellStart"/>
      <w:r>
        <w:rPr>
          <w:rtl/>
        </w:rPr>
        <w:t>גרודזנסקי</w:t>
      </w:r>
      <w:proofErr w:type="spellEnd"/>
      <w:r>
        <w:rPr>
          <w:rtl/>
        </w:rPr>
        <w:t xml:space="preserve">, ונודע </w:t>
      </w:r>
      <w:proofErr w:type="spellStart"/>
      <w:r>
        <w:rPr>
          <w:rtl/>
        </w:rPr>
        <w:t>לר</w:t>
      </w:r>
      <w:proofErr w:type="spellEnd"/>
      <w:r>
        <w:rPr>
          <w:rtl/>
        </w:rPr>
        <w:t xml:space="preserve">׳ ישראל על מצבו של </w:t>
      </w:r>
      <w:proofErr w:type="spellStart"/>
      <w:r>
        <w:rPr>
          <w:rtl/>
        </w:rPr>
        <w:t>החפץ־חיים</w:t>
      </w:r>
      <w:proofErr w:type="spellEnd"/>
      <w:r>
        <w:rPr>
          <w:rtl/>
        </w:rPr>
        <w:t xml:space="preserve">. </w:t>
      </w:r>
      <w:proofErr w:type="spellStart"/>
      <w:r>
        <w:rPr>
          <w:rtl/>
        </w:rPr>
        <w:t>החפץ־חיים</w:t>
      </w:r>
      <w:proofErr w:type="spellEnd"/>
      <w:r>
        <w:rPr>
          <w:rtl/>
        </w:rPr>
        <w:t xml:space="preserve"> תלה לאחר מכן את ריפויו, שעמד לו כל ימי חייו, בתפילותיו של ר׳ ישראל עליו</w:t>
      </w:r>
      <w:bookmarkStart w:id="6328" w:name="_fnr4755"/>
      <w:r>
        <w:rPr>
          <w:rStyle w:val="a5"/>
        </w:rPr>
        <w:footnoteReference w:id="4767" w:customMarkFollows="0"/>
      </w:r>
      <w:bookmarkEnd w:id="6328"/>
      <w:r>
        <w:rPr>
          <w:rtl/>
        </w:rPr>
        <w:t xml:space="preserve">. אגב, טוהר כוונותיו של בית הדין בווילנה כשהוכיח את ר׳ ישראל </w:t>
      </w:r>
      <w:proofErr w:type="spellStart"/>
      <w:r>
        <w:rPr>
          <w:rtl/>
        </w:rPr>
        <w:t>סלנטר</w:t>
      </w:r>
      <w:proofErr w:type="spellEnd"/>
      <w:r>
        <w:rPr>
          <w:rtl/>
        </w:rPr>
        <w:t xml:space="preserve"> מוכח – אם דרושה הוכחה – מעצם מינוי חתנו, הרב </w:t>
      </w:r>
      <w:proofErr w:type="spellStart"/>
      <w:r>
        <w:rPr>
          <w:rtl/>
        </w:rPr>
        <w:t>גרודננסקי</w:t>
      </w:r>
      <w:bookmarkStart w:id="6329" w:name="_fnr4756"/>
      <w:proofErr w:type="spellEnd"/>
      <w:r>
        <w:rPr>
          <w:rStyle w:val="a5"/>
        </w:rPr>
        <w:footnoteReference w:id="4768" w:customMarkFollows="0"/>
      </w:r>
      <w:bookmarkEnd w:id="6329"/>
      <w:r>
        <w:rPr>
          <w:rtl/>
        </w:rPr>
        <w:t>, לבית דין זה רק שמונה שנים אחרי המאורעות השנויים במחלוקת.</w:t>
      </w:r>
    </w:p>
    <w:p w14:paraId="0291493E" w14:textId="77777777" w:rsidR="00AB3647" w:rsidRDefault="00000000" w:rsidP="007923E9">
      <w:pPr>
        <w:spacing w:after="120" w:line="276" w:lineRule="auto"/>
        <w:ind w:firstLine="283"/>
        <w:jc w:val="both"/>
      </w:pPr>
      <w:proofErr w:type="spellStart"/>
      <w:r>
        <w:rPr>
          <w:rtl/>
        </w:rPr>
        <w:t>ב“שרידי</w:t>
      </w:r>
      <w:proofErr w:type="spellEnd"/>
      <w:r>
        <w:rPr>
          <w:rtl/>
        </w:rPr>
        <w:t xml:space="preserve"> אש”</w:t>
      </w:r>
      <w:bookmarkStart w:id="6330" w:name="_fnr4757"/>
      <w:r>
        <w:rPr>
          <w:rStyle w:val="a5"/>
        </w:rPr>
        <w:footnoteReference w:id="4769" w:customMarkFollows="0"/>
      </w:r>
      <w:bookmarkEnd w:id="6330"/>
      <w:r>
        <w:rPr>
          <w:rtl/>
        </w:rPr>
        <w:t xml:space="preserve"> מובאת גרסה שונה מזו של אבי – ושל </w:t>
      </w:r>
      <w:proofErr w:type="spellStart"/>
      <w:r>
        <w:rPr>
          <w:rtl/>
        </w:rPr>
        <w:t>החפץ־חיים</w:t>
      </w:r>
      <w:proofErr w:type="spellEnd"/>
      <w:r>
        <w:rPr>
          <w:rtl/>
        </w:rPr>
        <w:t xml:space="preserve"> – על שאירע בעקבות מעשהו הנועז של ר׳ ישראל: “כשנודע </w:t>
      </w:r>
      <w:proofErr w:type="spellStart"/>
      <w:r>
        <w:rPr>
          <w:rtl/>
        </w:rPr>
        <w:t>לר</w:t>
      </w:r>
      <w:proofErr w:type="spellEnd"/>
      <w:r>
        <w:rPr>
          <w:rtl/>
        </w:rPr>
        <w:t xml:space="preserve">׳ ישראל שרבים מן הרבנים הזקנים כועסים עליו, הכריז שימסור פלפול בבית הכנסת הגדול. הלומדים סברו שבשיעורו יציג הצדקה הלכתית למעשהו החריג, וכולם התכנסו לשומעו. אבל הוא מסר שיעור עמוק בנושא אחר לגמרי, שעלה בחריפותו ובברק פלפולו על כל הפלפולים האחרים שהשמיע בווילנה עד אז. בכך הושתקו כל מתנגדיו”. אפשר לשער שר׳ ישראל בחר בכוונה שלא לדון בצד ההלכתי של מעשהו ביום הכיפורים, מפני שלא רצה שמי שאכלו בעקבות הכרזתו ירגישו שמעשיהם טעונים הצדקה.</w:t>
      </w:r>
    </w:p>
    <w:p w14:paraId="1AB39090" w14:textId="77777777" w:rsidR="00AB3647" w:rsidRDefault="00000000" w:rsidP="007923E9">
      <w:pPr>
        <w:spacing w:after="120" w:line="276" w:lineRule="auto"/>
        <w:ind w:firstLine="283"/>
        <w:jc w:val="both"/>
      </w:pPr>
      <w:bookmarkStart w:id="6331" w:name="pr_b_2644"/>
      <w:bookmarkEnd w:id="6331"/>
      <w:r>
        <w:rPr>
          <w:rtl/>
        </w:rPr>
        <w:t xml:space="preserve">תשובתו של ר׳ ישראל לבית הדין בווילנה, הן לפי גרסת ר׳ </w:t>
      </w:r>
      <w:proofErr w:type="spellStart"/>
      <w:r>
        <w:rPr>
          <w:rtl/>
        </w:rPr>
        <w:t>יחיאל־יעקב</w:t>
      </w:r>
      <w:proofErr w:type="spellEnd"/>
      <w:r>
        <w:rPr>
          <w:rtl/>
        </w:rPr>
        <w:t xml:space="preserve"> ויינברג, בעל “שרידי אש”, הן לפי גרסת אבי, היא דוגמה יפה לגדלותו האגדית של ר׳ ישראל בתורה. השווה גם “</w:t>
      </w:r>
      <w:proofErr w:type="spellStart"/>
      <w:r>
        <w:rPr>
          <w:rtl/>
        </w:rPr>
        <w:t>החפץ־חיים</w:t>
      </w:r>
      <w:proofErr w:type="spellEnd"/>
      <w:r>
        <w:rPr>
          <w:rtl/>
        </w:rPr>
        <w:t>”</w:t>
      </w:r>
      <w:bookmarkStart w:id="6332" w:name="_fnr4758"/>
      <w:r>
        <w:rPr>
          <w:rStyle w:val="a5"/>
        </w:rPr>
        <w:footnoteReference w:id="4770" w:customMarkFollows="0"/>
      </w:r>
      <w:bookmarkEnd w:id="6332"/>
      <w:r>
        <w:rPr>
          <w:rtl/>
        </w:rPr>
        <w:t xml:space="preserve"> על הערכת </w:t>
      </w:r>
      <w:proofErr w:type="spellStart"/>
      <w:r>
        <w:rPr>
          <w:rtl/>
        </w:rPr>
        <w:t>החפץ־חיים</w:t>
      </w:r>
      <w:proofErr w:type="spellEnd"/>
      <w:r>
        <w:rPr>
          <w:rtl/>
        </w:rPr>
        <w:t xml:space="preserve"> לגדלותו של ר׳ ישראל. פעמים רבות, ובכללן בריאיון על ר׳ ישראל </w:t>
      </w:r>
      <w:proofErr w:type="spellStart"/>
      <w:r>
        <w:rPr>
          <w:rtl/>
        </w:rPr>
        <w:t>סלנטר</w:t>
      </w:r>
      <w:proofErr w:type="spellEnd"/>
      <w:r>
        <w:rPr>
          <w:rtl/>
        </w:rPr>
        <w:t xml:space="preserve">, חזר אבי על עדותו של ר׳ </w:t>
      </w:r>
      <w:proofErr w:type="spellStart"/>
      <w:r>
        <w:rPr>
          <w:rtl/>
        </w:rPr>
        <w:t xml:space="preserve">יוסף־דב</w:t>
      </w:r>
      <w:proofErr w:type="spellEnd"/>
      <w:r>
        <w:rPr>
          <w:rtl/>
        </w:rPr>
        <w:t xml:space="preserve"> </w:t>
      </w:r>
      <w:proofErr w:type="spellStart"/>
      <w:r>
        <w:rPr>
          <w:rtl/>
        </w:rPr>
        <w:t>סולובייצ׳יק</w:t>
      </w:r>
      <w:bookmarkStart w:id="6333" w:name="_fnr4759"/>
      <w:proofErr w:type="spellEnd"/>
      <w:r>
        <w:rPr>
          <w:rStyle w:val="a5"/>
        </w:rPr>
        <w:footnoteReference w:id="4771" w:customMarkFollows="0"/>
      </w:r>
      <w:bookmarkEnd w:id="6333"/>
      <w:r>
        <w:rPr>
          <w:rtl/>
        </w:rPr>
        <w:t xml:space="preserve"> שסבו, ר׳ חיים, ראה “ארבעה מחכמי [דורו] כמעין ראשונים”</w:t>
      </w:r>
      <w:bookmarkStart w:id="6334" w:name="_fnr4760"/>
      <w:bookmarkStart w:id="6335" w:name="pr_f_4641"/>
      <w:r>
        <w:rPr>
          <w:rStyle w:val="a5"/>
        </w:rPr>
        <w:footnoteReference w:id="4772" w:customMarkFollows="0"/>
      </w:r>
      <w:bookmarkEnd w:id="6334"/>
      <w:bookmarkEnd w:id="6335"/>
      <w:r>
        <w:rPr>
          <w:rtl/>
        </w:rPr>
        <w:t xml:space="preserve">. ארבעת הגדולים היו: ר׳ </w:t>
      </w:r>
      <w:proofErr w:type="spellStart"/>
      <w:r>
        <w:rPr>
          <w:rtl/>
        </w:rPr>
        <w:t>יהושע־לייב</w:t>
      </w:r>
      <w:proofErr w:type="spellEnd"/>
      <w:r>
        <w:rPr>
          <w:rtl/>
        </w:rPr>
        <w:t xml:space="preserve"> דיסקין</w:t>
      </w:r>
      <w:bookmarkStart w:id="6336" w:name="_fnr4761"/>
      <w:r>
        <w:rPr>
          <w:rStyle w:val="a5"/>
        </w:rPr>
        <w:footnoteReference w:id="4773" w:customMarkFollows="0"/>
      </w:r>
      <w:bookmarkEnd w:id="6336"/>
      <w:r>
        <w:rPr>
          <w:rtl/>
        </w:rPr>
        <w:t xml:space="preserve"> (תקע״ז–תרנ״ח); ר׳ </w:t>
      </w:r>
      <w:proofErr w:type="spellStart"/>
      <w:r>
        <w:rPr>
          <w:rtl/>
        </w:rPr>
        <w:t>מאיר־לייבוש</w:t>
      </w:r>
      <w:proofErr w:type="spellEnd"/>
      <w:r>
        <w:rPr>
          <w:rtl/>
        </w:rPr>
        <w:t xml:space="preserve"> </w:t>
      </w:r>
      <w:proofErr w:type="spellStart"/>
      <w:r>
        <w:rPr>
          <w:rtl/>
        </w:rPr>
        <w:t>וייזר</w:t>
      </w:r>
      <w:proofErr w:type="spellEnd"/>
      <w:r>
        <w:rPr>
          <w:rtl/>
        </w:rPr>
        <w:t xml:space="preserve"> (</w:t>
      </w:r>
      <w:proofErr w:type="spellStart"/>
      <w:r>
        <w:rPr>
          <w:rtl/>
        </w:rPr>
        <w:t>המלבי״ם</w:t>
      </w:r>
      <w:proofErr w:type="spellEnd"/>
      <w:r>
        <w:rPr>
          <w:rtl/>
        </w:rPr>
        <w:t>, תקס״ט–</w:t>
      </w:r>
      <w:proofErr w:type="spellStart"/>
      <w:r>
        <w:rPr>
          <w:rtl/>
        </w:rPr>
        <w:t>תר״ם</w:t>
      </w:r>
      <w:proofErr w:type="spellEnd"/>
      <w:r>
        <w:rPr>
          <w:rtl/>
        </w:rPr>
        <w:t xml:space="preserve">); אביו של ר׳ חיים, ר׳ יוסף־דב </w:t>
      </w:r>
      <w:proofErr w:type="spellStart"/>
      <w:r>
        <w:rPr>
          <w:rtl/>
        </w:rPr>
        <w:t>סולובייצ׳יק</w:t>
      </w:r>
      <w:bookmarkStart w:id="6337" w:name="_fnr4762"/>
      <w:proofErr w:type="spellEnd"/>
      <w:r>
        <w:rPr>
          <w:rStyle w:val="a5"/>
        </w:rPr>
        <w:footnoteReference w:id="4774" w:customMarkFollows="0"/>
      </w:r>
      <w:bookmarkEnd w:id="6337"/>
      <w:r>
        <w:rPr>
          <w:rtl/>
        </w:rPr>
        <w:t xml:space="preserve">; ור׳ ישראל </w:t>
      </w:r>
      <w:proofErr w:type="spellStart"/>
      <w:r>
        <w:rPr>
          <w:rtl/>
        </w:rPr>
        <w:t>סלנטר</w:t>
      </w:r>
      <w:bookmarkStart w:id="6338" w:name="_fnr4763"/>
      <w:proofErr w:type="spellEnd"/>
      <w:r>
        <w:rPr>
          <w:rStyle w:val="a5"/>
        </w:rPr>
        <w:footnoteReference w:id="4775" w:customMarkFollows="0"/>
      </w:r>
      <w:bookmarkEnd w:id="6338"/>
      <w:r>
        <w:rPr>
          <w:rtl/>
        </w:rPr>
        <w:t>. השווה גם “מורי האומה”, כרך ג</w:t>
      </w:r>
      <w:bookmarkStart w:id="6339" w:name="_fnr4764"/>
      <w:r>
        <w:rPr>
          <w:rStyle w:val="a5"/>
        </w:rPr>
        <w:footnoteReference w:id="4776" w:customMarkFollows="0"/>
      </w:r>
      <w:bookmarkEnd w:id="6339"/>
      <w:r>
        <w:rPr>
          <w:rtl/>
        </w:rPr>
        <w:t xml:space="preserve">, המצטט אף הוא את ר׳ </w:t>
      </w:r>
      <w:proofErr w:type="spellStart"/>
      <w:r>
        <w:rPr>
          <w:rtl/>
        </w:rPr>
        <w:t xml:space="preserve">יוסף־דב</w:t>
      </w:r>
      <w:proofErr w:type="spellEnd"/>
      <w:r>
        <w:rPr>
          <w:rtl/>
        </w:rPr>
        <w:t xml:space="preserve"> בעניין הערכת ר׳ חיים לארבעה, אך מחליף בין מקומותיהם של </w:t>
      </w:r>
      <w:proofErr w:type="spellStart"/>
      <w:r>
        <w:rPr>
          <w:rtl/>
        </w:rPr>
        <w:t>המלבי״ם</w:t>
      </w:r>
      <w:proofErr w:type="spellEnd"/>
      <w:r>
        <w:rPr>
          <w:rtl/>
        </w:rPr>
        <w:t xml:space="preserve"> ושל ר׳ ישראל; וכך גם “הגאון </w:t>
      </w:r>
      <w:proofErr w:type="spellStart"/>
      <w:r>
        <w:rPr>
          <w:rtl/>
        </w:rPr>
        <w:t>מלבי״ם</w:t>
      </w:r>
      <w:proofErr w:type="spellEnd"/>
      <w:r>
        <w:rPr>
          <w:rtl/>
        </w:rPr>
        <w:t>”</w:t>
      </w:r>
      <w:bookmarkStart w:id="6340" w:name="_fnr4765"/>
      <w:r>
        <w:rPr>
          <w:rStyle w:val="a5"/>
        </w:rPr>
        <w:footnoteReference w:id="4777" w:customMarkFollows="0"/>
      </w:r>
      <w:bookmarkEnd w:id="6340"/>
      <w:r>
        <w:rPr>
          <w:rtl/>
        </w:rPr>
        <w:t>, המעלה את ר׳ ישראל עוד יותר.</w:t>
      </w:r>
      <w:bookmarkStart w:id="6341" w:name="_fnr4766"/>
      <w:bookmarkStart w:id="6342" w:name="pr_f_4647"/>
      <w:r>
        <w:rPr>
          <w:rStyle w:val="a5"/>
        </w:rPr>
        <w:footnoteReference w:id="4778" w:customMarkFollows="0"/>
      </w:r>
      <w:bookmarkEnd w:id="6341"/>
      <w:bookmarkEnd w:id="6342"/>
    </w:p>
    <w:p w14:paraId="75BDB143" w14:textId="2A0D4EFF" w:rsidR="00AB3647" w:rsidRDefault="00000000" w:rsidP="007923E9">
      <w:pPr>
        <w:spacing w:after="120" w:line="276" w:lineRule="auto"/>
        <w:ind w:firstLine="283"/>
        <w:jc w:val="both"/>
      </w:pPr>
      <w:r>
        <w:rPr>
          <w:rtl/>
        </w:rPr>
        <w:lastRenderedPageBreak/>
        <w:t xml:space="preserve">אגב, לפי עד ראייה, כשסיפר ר׳ </w:t>
      </w:r>
      <w:proofErr w:type="spellStart"/>
      <w:r>
        <w:rPr>
          <w:rtl/>
        </w:rPr>
        <w:t xml:space="preserve">יוסף־דב</w:t>
      </w:r>
      <w:proofErr w:type="spellEnd"/>
      <w:r>
        <w:rPr>
          <w:rtl/>
        </w:rPr>
        <w:t xml:space="preserve"> לרבנו על הערכתו של ר׳ חיים </w:t>
      </w:r>
      <w:proofErr w:type="spellStart"/>
      <w:r>
        <w:rPr>
          <w:rtl/>
        </w:rPr>
        <w:t>לר</w:t>
      </w:r>
      <w:proofErr w:type="spellEnd"/>
      <w:r>
        <w:rPr>
          <w:rtl/>
        </w:rPr>
        <w:t xml:space="preserve">׳ ישראל, העיר שאינו מבין מדוע כלל סבו את ר׳ ישראל בין ענקים כאלה. אבי דחה את ההערה בתשובה: “כנראה ר׳ חיים האט </w:t>
      </w:r>
      <w:proofErr w:type="spellStart"/>
      <w:r>
        <w:rPr>
          <w:rtl/>
        </w:rPr>
        <w:t>געקענט</w:t>
      </w:r>
      <w:proofErr w:type="spellEnd"/>
      <w:r>
        <w:rPr>
          <w:rtl/>
        </w:rPr>
        <w:t xml:space="preserve"> ר׳ </w:t>
      </w:r>
      <w:proofErr w:type="spellStart"/>
      <w:r>
        <w:rPr>
          <w:rtl/>
        </w:rPr>
        <w:t>ישראל׳ן</w:t>
      </w:r>
      <w:proofErr w:type="spellEnd"/>
      <w:r>
        <w:rPr>
          <w:rtl/>
        </w:rPr>
        <w:t xml:space="preserve"> [הכיר את ר׳ ישראל]”</w:t>
      </w:r>
      <w:bookmarkStart w:id="6343" w:name="_fnr4767"/>
      <w:r>
        <w:rPr>
          <w:rStyle w:val="a5"/>
        </w:rPr>
        <w:footnoteReference w:id="4779" w:customMarkFollows="0"/>
      </w:r>
      <w:bookmarkEnd w:id="6343"/>
      <w:r>
        <w:rPr>
          <w:rtl/>
        </w:rPr>
        <w:t xml:space="preserve">. ר׳ </w:t>
      </w:r>
      <w:proofErr w:type="spellStart"/>
      <w:r>
        <w:rPr>
          <w:rtl/>
        </w:rPr>
        <w:t>משולם־דוד</w:t>
      </w:r>
      <w:proofErr w:type="spellEnd"/>
      <w:r>
        <w:rPr>
          <w:rtl/>
        </w:rPr>
        <w:t xml:space="preserve"> </w:t>
      </w:r>
      <w:proofErr w:type="spellStart"/>
      <w:r>
        <w:rPr>
          <w:rtl/>
        </w:rPr>
        <w:t>סולובייצ׳יק</w:t>
      </w:r>
      <w:bookmarkStart w:id="6344" w:name="_fnr4768"/>
      <w:proofErr w:type="spellEnd"/>
      <w:r>
        <w:rPr>
          <w:rStyle w:val="a5"/>
        </w:rPr>
        <w:footnoteReference w:id="4780" w:customMarkFollows="0"/>
      </w:r>
      <w:bookmarkEnd w:id="6344"/>
      <w:r>
        <w:rPr>
          <w:rtl/>
        </w:rPr>
        <w:t xml:space="preserve"> אמר ששמע “עוד </w:t>
      </w:r>
      <w:proofErr w:type="spellStart"/>
      <w:r>
        <w:rPr>
          <w:rtl/>
        </w:rPr>
        <w:t>בבריסק</w:t>
      </w:r>
      <w:proofErr w:type="spellEnd"/>
      <w:r>
        <w:rPr>
          <w:rtl/>
        </w:rPr>
        <w:t xml:space="preserve">” שר׳ חיים תיאר את ר׳ ישראל בלשון מופלגת: “למוחו של ר׳ ישראל </w:t>
      </w:r>
      <w:proofErr w:type="spellStart"/>
      <w:r>
        <w:rPr>
          <w:rtl/>
        </w:rPr>
        <w:t>סלנטר</w:t>
      </w:r>
      <w:proofErr w:type="spellEnd"/>
      <w:r>
        <w:rPr>
          <w:rtl/>
        </w:rPr>
        <w:t xml:space="preserve"> הייתה קדושת תפילין”. מסתבר שר׳ חיים התכוון להגדרת הרמב״ם לקדושת התפילין</w:t>
      </w:r>
      <w:bookmarkStart w:id="6345" w:name="_fnr4769"/>
      <w:r>
        <w:rPr>
          <w:rStyle w:val="a5"/>
        </w:rPr>
        <w:footnoteReference w:id="4781" w:customMarkFollows="0"/>
      </w:r>
      <w:bookmarkEnd w:id="6345"/>
      <w:r>
        <w:rPr>
          <w:rtl/>
        </w:rPr>
        <w:t>, ורמז שר׳ ישראל הקרין מאליו “ענוה, יראת שמים ודברי אמת וצדק” וסילק “שחוק, שיחה בטילה ומחשבות רעות” מסביבתו – כלומר, מכל מי שבא עמו במגע. השווה גם אדלשטיין</w:t>
      </w:r>
      <w:bookmarkStart w:id="6346" w:name="_fnr4770"/>
      <w:r>
        <w:rPr>
          <w:rStyle w:val="a5"/>
        </w:rPr>
        <w:footnoteReference w:id="4782" w:customMarkFollows="0"/>
      </w:r>
      <w:bookmarkEnd w:id="6346"/>
      <w:r>
        <w:rPr>
          <w:rtl/>
        </w:rPr>
        <w:t xml:space="preserve">, המביא בשם ר׳ </w:t>
      </w:r>
      <w:proofErr w:type="spellStart"/>
      <w:r>
        <w:rPr>
          <w:rtl/>
        </w:rPr>
        <w:t>ברוך־בער</w:t>
      </w:r>
      <w:proofErr w:type="spellEnd"/>
      <w:r>
        <w:rPr>
          <w:rtl/>
        </w:rPr>
        <w:t xml:space="preserve">: “הרבי ר׳ חיים היה רועד כשהזכיר את ר׳ ישראל”. ברור שר׳ </w:t>
      </w:r>
      <w:proofErr w:type="spellStart"/>
      <w:r>
        <w:rPr>
          <w:rtl/>
        </w:rPr>
        <w:t xml:space="preserve">יוסף־דב</w:t>
      </w:r>
      <w:proofErr w:type="spellEnd"/>
      <w:r>
        <w:rPr>
          <w:rtl/>
        </w:rPr>
        <w:t xml:space="preserve"> לא ידע על מסורות אלו. להערכתו של רבנו עצמו את ר׳ ישראל השווה פרק 3, סוף הערה </w:t>
      </w:r>
      <w:r>
        <w:rPr>
          <w:rtl/>
        </w:rPr>
        <w:fldChar w:fldCharType="begin" w:dirty="true"/>
      </w:r>
      <w:r>
        <w:rPr>
          <w:rtl/>
        </w:rPr>
        <w:instrText xml:space="preserve"> REF b3_note51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51</w:t>
      </w:r>
      <w:r>
        <w:rPr>
          <w:rtl/>
        </w:rPr>
        <w:fldChar w:fldCharType="end"/>
      </w:r>
      <w:r>
        <w:rPr>
          <w:rtl/>
        </w:rPr>
        <w:t>.</w:t>
      </w:r>
    </w:p>
    <w:p w14:paraId="09465D17" w14:textId="77777777" w:rsidR="00AB3647" w:rsidRDefault="00000000" w:rsidP="007923E9">
      <w:pPr>
        <w:spacing w:after="120" w:line="276" w:lineRule="auto"/>
        <w:ind w:firstLine="283"/>
        <w:jc w:val="both"/>
      </w:pPr>
      <w:r>
        <w:rPr>
          <w:rtl/>
        </w:rPr>
        <w:t>השווה גם “אבי הישיבות”</w:t>
      </w:r>
      <w:bookmarkStart w:id="6347" w:name="_fnr4771"/>
      <w:r>
        <w:rPr>
          <w:rStyle w:val="a5"/>
        </w:rPr>
        <w:footnoteReference w:id="4783" w:customMarkFollows="0"/>
      </w:r>
      <w:bookmarkEnd w:id="6347"/>
      <w:r>
        <w:rPr>
          <w:rtl/>
        </w:rPr>
        <w:t xml:space="preserve"> על סיפור נסתרות הנוגע </w:t>
      </w:r>
      <w:proofErr w:type="spellStart"/>
      <w:r>
        <w:rPr>
          <w:rtl/>
        </w:rPr>
        <w:t>לר</w:t>
      </w:r>
      <w:proofErr w:type="spellEnd"/>
      <w:r>
        <w:rPr>
          <w:rtl/>
        </w:rPr>
        <w:t xml:space="preserve">׳ חיים </w:t>
      </w:r>
      <w:proofErr w:type="spellStart"/>
      <w:r>
        <w:rPr>
          <w:rtl/>
        </w:rPr>
        <w:t>מוולוז׳ין</w:t>
      </w:r>
      <w:proofErr w:type="spellEnd"/>
      <w:r>
        <w:rPr>
          <w:rtl/>
        </w:rPr>
        <w:t xml:space="preserve">, שסיפר ר׳ אלי׳ </w:t>
      </w:r>
      <w:proofErr w:type="spellStart"/>
      <w:r>
        <w:rPr>
          <w:rtl/>
        </w:rPr>
        <w:t>לופיאן</w:t>
      </w:r>
      <w:proofErr w:type="spellEnd"/>
      <w:r>
        <w:rPr>
          <w:rtl/>
        </w:rPr>
        <w:t xml:space="preserve">, “ששמע אותו מפי ר׳ הירש </w:t>
      </w:r>
      <w:proofErr w:type="spellStart"/>
      <w:r>
        <w:rPr>
          <w:rtl/>
        </w:rPr>
        <w:t>ברוידא</w:t>
      </w:r>
      <w:proofErr w:type="spellEnd"/>
      <w:r>
        <w:rPr>
          <w:rtl/>
        </w:rPr>
        <w:t xml:space="preserve">, ששמע מפי חותנו ר׳ </w:t>
      </w:r>
      <w:proofErr w:type="spellStart"/>
      <w:r>
        <w:rPr>
          <w:rtl/>
        </w:rPr>
        <w:t>שמחה־זיסל</w:t>
      </w:r>
      <w:proofErr w:type="spellEnd"/>
      <w:r>
        <w:rPr>
          <w:rtl/>
        </w:rPr>
        <w:t xml:space="preserve"> זיו, ששמע מפי ר׳ ישראל </w:t>
      </w:r>
      <w:proofErr w:type="spellStart"/>
      <w:r>
        <w:rPr>
          <w:rtl/>
        </w:rPr>
        <w:t>סלנטר</w:t>
      </w:r>
      <w:proofErr w:type="spellEnd"/>
      <w:r>
        <w:rPr>
          <w:rtl/>
        </w:rPr>
        <w:t xml:space="preserve">, ששמע מפי רבו ר׳ </w:t>
      </w:r>
      <w:proofErr w:type="spellStart"/>
      <w:r>
        <w:rPr>
          <w:rtl/>
        </w:rPr>
        <w:t>זונדל</w:t>
      </w:r>
      <w:proofErr w:type="spellEnd"/>
      <w:r>
        <w:rPr>
          <w:rtl/>
        </w:rPr>
        <w:t xml:space="preserve">, ששמע מפי ר׳ חיים עצמו”. כשהסיפור נמסר שוב, עם שלשלת מקורותיו, </w:t>
      </w:r>
      <w:proofErr w:type="spellStart"/>
      <w:r>
        <w:rPr>
          <w:rtl/>
        </w:rPr>
        <w:t>לר</w:t>
      </w:r>
      <w:proofErr w:type="spellEnd"/>
      <w:r>
        <w:rPr>
          <w:rtl/>
        </w:rPr>
        <w:t xml:space="preserve">׳ יצחק־זאב </w:t>
      </w:r>
      <w:proofErr w:type="spellStart"/>
      <w:r>
        <w:rPr>
          <w:rtl/>
        </w:rPr>
        <w:t>סולובייצ׳יק</w:t>
      </w:r>
      <w:proofErr w:type="spellEnd"/>
      <w:r>
        <w:rPr>
          <w:rtl/>
        </w:rPr>
        <w:t xml:space="preserve">, הפסיק את המספר ברגע שהגיעה השלשלת </w:t>
      </w:r>
      <w:r>
        <w:rPr>
          <w:rtl/>
        </w:rPr>
        <w:lastRenderedPageBreak/>
        <w:t xml:space="preserve">עד ר׳ ישראל </w:t>
      </w:r>
      <w:proofErr w:type="spellStart"/>
      <w:r>
        <w:rPr>
          <w:rtl/>
        </w:rPr>
        <w:t>סלנטר</w:t>
      </w:r>
      <w:proofErr w:type="spellEnd"/>
      <w:r>
        <w:rPr>
          <w:rtl/>
        </w:rPr>
        <w:t xml:space="preserve">, ואמר: “די! זה מספיק: ‘אין </w:t>
      </w:r>
      <w:proofErr w:type="spellStart"/>
      <w:r>
        <w:rPr>
          <w:rtl/>
        </w:rPr>
        <w:t>בודקין</w:t>
      </w:r>
      <w:proofErr w:type="spellEnd"/>
      <w:r>
        <w:rPr>
          <w:rtl/>
        </w:rPr>
        <w:t xml:space="preserve"> מן המזבח ולמעלה’”</w:t>
      </w:r>
      <w:bookmarkStart w:id="6348" w:name="_fnr4772"/>
      <w:r>
        <w:rPr>
          <w:rStyle w:val="a5"/>
        </w:rPr>
        <w:footnoteReference w:id="4784" w:customMarkFollows="0"/>
      </w:r>
      <w:bookmarkEnd w:id="6348"/>
      <w:r>
        <w:rPr>
          <w:rtl/>
        </w:rPr>
        <w:t xml:space="preserve"> – כלומר, משנאמר הדבר מפי ר׳ ישראל, לא היה עוד צורך לבדוק את </w:t>
      </w:r>
      <w:proofErr w:type="spellStart"/>
      <w:r>
        <w:rPr>
          <w:rtl/>
        </w:rPr>
        <w:t>אמיתותו</w:t>
      </w:r>
      <w:proofErr w:type="spellEnd"/>
      <w:r>
        <w:rPr>
          <w:rtl/>
        </w:rPr>
        <w:t>.</w:t>
      </w:r>
    </w:p>
    <w:p w14:paraId="6B6DF7AC" w14:textId="77777777" w:rsidR="00AB3647" w:rsidRDefault="00000000" w:rsidP="007923E9">
      <w:pPr>
        <w:spacing w:after="120" w:line="276" w:lineRule="auto"/>
        <w:ind w:firstLine="283"/>
        <w:jc w:val="both"/>
      </w:pPr>
      <w:r>
        <w:rPr>
          <w:rtl/>
        </w:rPr>
        <w:t xml:space="preserve">ראוי לציין גם ששניים מארבעת הגדולים שנמנו הקדישו את עיקר כוחם ושכלם למלחמה בהשכלה וברפורמה: ר׳ ישראל </w:t>
      </w:r>
      <w:proofErr w:type="spellStart"/>
      <w:r>
        <w:rPr>
          <w:rtl/>
        </w:rPr>
        <w:t>סלנטר</w:t>
      </w:r>
      <w:proofErr w:type="spellEnd"/>
      <w:r>
        <w:rPr>
          <w:rtl/>
        </w:rPr>
        <w:t xml:space="preserve"> </w:t>
      </w:r>
      <w:proofErr w:type="spellStart"/>
      <w:r>
        <w:rPr>
          <w:rtl/>
        </w:rPr>
        <w:t>והמלבי״ם</w:t>
      </w:r>
      <w:proofErr w:type="spellEnd"/>
      <w:r>
        <w:rPr>
          <w:rtl/>
        </w:rPr>
        <w:t xml:space="preserve">. על מפעלו הגדול של </w:t>
      </w:r>
      <w:proofErr w:type="spellStart"/>
      <w:r>
        <w:rPr>
          <w:rtl/>
        </w:rPr>
        <w:t>המלבי״ם</w:t>
      </w:r>
      <w:proofErr w:type="spellEnd"/>
      <w:r>
        <w:rPr>
          <w:rtl/>
        </w:rPr>
        <w:t xml:space="preserve"> בתנ״ך, שחובר כנשק במלחמה במדע ביקורת המקרא שמקורו בגרמניה, אמר ר׳ </w:t>
      </w:r>
      <w:proofErr w:type="spellStart"/>
      <w:r>
        <w:rPr>
          <w:rtl/>
        </w:rPr>
        <w:t>אייזל</w:t>
      </w:r>
      <w:proofErr w:type="spellEnd"/>
      <w:r>
        <w:rPr>
          <w:rtl/>
        </w:rPr>
        <w:t xml:space="preserve"> שפירא מסלונים בשנינות</w:t>
      </w:r>
      <w:bookmarkStart w:id="6349" w:name="_fnr4773"/>
      <w:r>
        <w:rPr>
          <w:rStyle w:val="a5"/>
        </w:rPr>
        <w:footnoteReference w:id="4785" w:customMarkFollows="0"/>
      </w:r>
      <w:bookmarkEnd w:id="6349"/>
      <w:r>
        <w:rPr>
          <w:rtl/>
        </w:rPr>
        <w:t xml:space="preserve">: “מזלנו הטוב </w:t>
      </w:r>
      <w:proofErr w:type="spellStart"/>
      <w:r>
        <w:rPr>
          <w:rtl/>
        </w:rPr>
        <w:t>שהמלבי״ם</w:t>
      </w:r>
      <w:proofErr w:type="spellEnd"/>
      <w:r>
        <w:rPr>
          <w:rtl/>
        </w:rPr>
        <w:t xml:space="preserve"> בחר לעסוק בפירושו לתנ״ך, שכן עתה אנו עדיין יכולים להרים את ראשנו בפניו [בתחום הש״ס והפוסקים]”. עוד מסופר</w:t>
      </w:r>
      <w:bookmarkStart w:id="6350" w:name="_fnr4774"/>
      <w:r>
        <w:rPr>
          <w:rStyle w:val="a5"/>
        </w:rPr>
        <w:footnoteReference w:id="4786" w:customMarkFollows="0"/>
      </w:r>
      <w:bookmarkEnd w:id="6350"/>
      <w:r>
        <w:rPr>
          <w:rtl/>
        </w:rPr>
        <w:t xml:space="preserve"> שכאשר פגש ר׳ ישראל </w:t>
      </w:r>
      <w:proofErr w:type="spellStart"/>
      <w:r>
        <w:rPr>
          <w:rtl/>
        </w:rPr>
        <w:t>סלנטר</w:t>
      </w:r>
      <w:proofErr w:type="spellEnd"/>
      <w:r>
        <w:rPr>
          <w:rtl/>
        </w:rPr>
        <w:t xml:space="preserve"> את </w:t>
      </w:r>
      <w:proofErr w:type="spellStart"/>
      <w:r>
        <w:rPr>
          <w:rtl/>
        </w:rPr>
        <w:t>המלבי״ם</w:t>
      </w:r>
      <w:proofErr w:type="spellEnd"/>
      <w:r>
        <w:rPr>
          <w:rtl/>
        </w:rPr>
        <w:t xml:space="preserve">, בן גילו, אחרי שלא ראהו זמן רב, קרא: “ר׳ </w:t>
      </w:r>
      <w:proofErr w:type="spellStart"/>
      <w:r>
        <w:rPr>
          <w:rtl/>
        </w:rPr>
        <w:t>מאיר־לייבוש</w:t>
      </w:r>
      <w:proofErr w:type="spellEnd"/>
      <w:r>
        <w:rPr>
          <w:rtl/>
        </w:rPr>
        <w:t xml:space="preserve"> יקירנו, מה אירע לך? הרי היית תקוותנו שיהיה בדורנו גדול כמו </w:t>
      </w:r>
      <w:proofErr w:type="spellStart"/>
      <w:r>
        <w:rPr>
          <w:rtl/>
        </w:rPr>
        <w:t>הגר״א</w:t>
      </w:r>
      <w:proofErr w:type="spellEnd"/>
      <w:r>
        <w:rPr>
          <w:rtl/>
        </w:rPr>
        <w:t xml:space="preserve"> בדורו!”</w:t>
      </w:r>
      <w:bookmarkStart w:id="6351" w:name="_fnr4775"/>
      <w:r>
        <w:rPr>
          <w:rStyle w:val="a5"/>
        </w:rPr>
        <w:footnoteReference w:id="4787" w:customMarkFollows="0"/>
      </w:r>
      <w:bookmarkEnd w:id="6351"/>
      <w:r>
        <w:rPr>
          <w:rtl/>
        </w:rPr>
        <w:t xml:space="preserve"> נראה שכוונת ר׳ ישראל הייתה שנטישת התלמוד בידי </w:t>
      </w:r>
      <w:proofErr w:type="spellStart"/>
      <w:r>
        <w:rPr>
          <w:rtl/>
        </w:rPr>
        <w:t>המלבי״ם</w:t>
      </w:r>
      <w:proofErr w:type="spellEnd"/>
      <w:r>
        <w:rPr>
          <w:rtl/>
        </w:rPr>
        <w:t xml:space="preserve"> והקדשת עצמו לתנ״ך היו אכזבה גדולה לכלל ישראל – ואפילו ר׳ ישראל, שהמאבק בהשכלה עמד בראש דאגותיו, כאמור לעיל, התאכזב.</w:t>
      </w:r>
    </w:p>
    <w:p w14:paraId="74C363CA" w14:textId="77777777" w:rsidR="00AB3647" w:rsidRDefault="00000000" w:rsidP="007923E9">
      <w:pPr>
        <w:spacing w:after="120" w:line="276" w:lineRule="auto"/>
        <w:ind w:firstLine="283"/>
        <w:jc w:val="both"/>
      </w:pPr>
      <w:r>
        <w:rPr>
          <w:rtl/>
        </w:rPr>
        <w:t>השווה גם “ושמושה של תורה”</w:t>
      </w:r>
      <w:bookmarkStart w:id="6352" w:name="_fnr4776"/>
      <w:r>
        <w:rPr>
          <w:rStyle w:val="a5"/>
        </w:rPr>
        <w:footnoteReference w:id="4788" w:customMarkFollows="0"/>
      </w:r>
      <w:bookmarkEnd w:id="6352"/>
      <w:r>
        <w:rPr>
          <w:rtl/>
        </w:rPr>
        <w:t xml:space="preserve">: כשהתחיל </w:t>
      </w:r>
      <w:proofErr w:type="spellStart"/>
      <w:r>
        <w:rPr>
          <w:rtl/>
        </w:rPr>
        <w:t>המלבי״ם</w:t>
      </w:r>
      <w:proofErr w:type="spellEnd"/>
      <w:r>
        <w:rPr>
          <w:rtl/>
        </w:rPr>
        <w:t xml:space="preserve"> את פירושו לתנ״ך, ביקרו אצלו ר׳ </w:t>
      </w:r>
      <w:proofErr w:type="spellStart"/>
      <w:r>
        <w:rPr>
          <w:rtl/>
        </w:rPr>
        <w:t>רובל׳ה</w:t>
      </w:r>
      <w:proofErr w:type="spellEnd"/>
      <w:r>
        <w:rPr>
          <w:rtl/>
        </w:rPr>
        <w:t xml:space="preserve"> </w:t>
      </w:r>
      <w:proofErr w:type="spellStart"/>
      <w:r>
        <w:rPr>
          <w:rtl/>
        </w:rPr>
        <w:t>מדווינסק</w:t>
      </w:r>
      <w:bookmarkStart w:id="6353" w:name="_fnr4777"/>
      <w:proofErr w:type="spellEnd"/>
      <w:r>
        <w:rPr>
          <w:rStyle w:val="a5"/>
        </w:rPr>
        <w:footnoteReference w:id="4789" w:customMarkFollows="0"/>
      </w:r>
      <w:bookmarkEnd w:id="6353"/>
      <w:r>
        <w:rPr>
          <w:rtl/>
        </w:rPr>
        <w:t xml:space="preserve"> ור׳ </w:t>
      </w:r>
      <w:proofErr w:type="spellStart"/>
      <w:r>
        <w:rPr>
          <w:rtl/>
        </w:rPr>
        <w:t>ליפל׳ה</w:t>
      </w:r>
      <w:proofErr w:type="spellEnd"/>
      <w:r>
        <w:rPr>
          <w:rtl/>
        </w:rPr>
        <w:t xml:space="preserve"> ממיר, וניסו לשכנעו להמשיך במקום זאת בפירושו החריף לשולחן ערוך. את הכרך הראשון של פירוש זה, “ארצות החיים”, חיבר בגיל </w:t>
      </w:r>
      <w:proofErr w:type="spellStart"/>
      <w:r>
        <w:rPr>
          <w:rtl/>
        </w:rPr>
        <w:t>שמונה־עשרה</w:t>
      </w:r>
      <w:proofErr w:type="spellEnd"/>
      <w:r>
        <w:rPr>
          <w:rtl/>
        </w:rPr>
        <w:t xml:space="preserve"> והוציא לאור עשר שנים אחר כך. הוא אמר להם: “עבודתי [בתורה שבכתב] היא צורך השעה בשל מצב הדור – כדי למשוך את הציבור לדרך מסורת התורה ולהבטיח שלא יילכד ברשתות ההשכלה המדבקת. רק אם אתם שניכם תעשו את עבודתי בתורה שבכתב, אשוב לכתיבת ‘ארצות החיים’”.</w:t>
      </w:r>
    </w:p>
    <w:p w14:paraId="06D82237" w14:textId="77777777" w:rsidR="00AB3647" w:rsidRDefault="00000000" w:rsidP="007923E9">
      <w:pPr>
        <w:spacing w:after="120" w:line="276" w:lineRule="auto"/>
        <w:ind w:firstLine="283"/>
        <w:jc w:val="both"/>
      </w:pPr>
      <w:r>
        <w:rPr>
          <w:rtl/>
        </w:rPr>
        <w:t xml:space="preserve">אולם יש אגדה </w:t>
      </w:r>
      <w:proofErr w:type="spellStart"/>
      <w:r>
        <w:rPr>
          <w:rtl/>
        </w:rPr>
        <w:t>ה“מסבירה</w:t>
      </w:r>
      <w:proofErr w:type="spellEnd"/>
      <w:r>
        <w:rPr>
          <w:rtl/>
        </w:rPr>
        <w:t xml:space="preserve">” מדוע לא היה </w:t>
      </w:r>
      <w:proofErr w:type="spellStart"/>
      <w:r>
        <w:rPr>
          <w:rtl/>
        </w:rPr>
        <w:t>המלבי״ם</w:t>
      </w:r>
      <w:proofErr w:type="spellEnd"/>
      <w:r>
        <w:rPr>
          <w:rtl/>
        </w:rPr>
        <w:t xml:space="preserve"> יכול לכתוב בענייני הלכה אלא רק בתנ״ך. בן עשרים ושש, כשעמד להוציא לאור את “ארצות החיים”, ביקר אצל גדולים רבים כדי לקבל את הסכמותיהם, ובהם ר׳ עקיבא איגר </w:t>
      </w:r>
      <w:proofErr w:type="spellStart"/>
      <w:r>
        <w:rPr>
          <w:rtl/>
        </w:rPr>
        <w:t>בפוזנא</w:t>
      </w:r>
      <w:proofErr w:type="spellEnd"/>
      <w:r>
        <w:rPr>
          <w:rtl/>
        </w:rPr>
        <w:t xml:space="preserve"> ור׳ משה סופר, </w:t>
      </w:r>
      <w:proofErr w:type="spellStart"/>
      <w:r>
        <w:rPr>
          <w:rtl/>
        </w:rPr>
        <w:t>החתם־סופר</w:t>
      </w:r>
      <w:proofErr w:type="spellEnd"/>
      <w:r>
        <w:rPr>
          <w:rtl/>
        </w:rPr>
        <w:t xml:space="preserve">, </w:t>
      </w:r>
      <w:proofErr w:type="spellStart"/>
      <w:r>
        <w:rPr>
          <w:rtl/>
        </w:rPr>
        <w:t>בפרשבורג</w:t>
      </w:r>
      <w:proofErr w:type="spellEnd"/>
      <w:r>
        <w:rPr>
          <w:rtl/>
        </w:rPr>
        <w:t>. בפגישותיו עם שני החכמים הגדולים האלה עשה שני מעשים שעל פי המסורת השפיעו לרעה על כל חייו.</w:t>
      </w:r>
    </w:p>
    <w:p w14:paraId="2CA545C3" w14:textId="77777777" w:rsidR="00AB3647" w:rsidRDefault="00000000" w:rsidP="007923E9">
      <w:pPr>
        <w:spacing w:after="120" w:line="276" w:lineRule="auto"/>
        <w:ind w:firstLine="283"/>
        <w:jc w:val="both"/>
      </w:pPr>
      <w:r>
        <w:rPr>
          <w:rtl/>
        </w:rPr>
        <w:t xml:space="preserve">בביקורו אצל ר׳ עקיבא איגר ביקש </w:t>
      </w:r>
      <w:proofErr w:type="spellStart"/>
      <w:r>
        <w:rPr>
          <w:rtl/>
        </w:rPr>
        <w:t>המלבי״ם</w:t>
      </w:r>
      <w:proofErr w:type="spellEnd"/>
      <w:r>
        <w:rPr>
          <w:rtl/>
        </w:rPr>
        <w:t xml:space="preserve"> סמיכה ממארחו. אחרי שיחות ארוכות בתורה עם </w:t>
      </w:r>
      <w:proofErr w:type="spellStart"/>
      <w:r>
        <w:rPr>
          <w:rtl/>
        </w:rPr>
        <w:t>המלבי״ם</w:t>
      </w:r>
      <w:proofErr w:type="spellEnd"/>
      <w:r>
        <w:rPr>
          <w:rtl/>
        </w:rPr>
        <w:t xml:space="preserve"> המבריק, ואחרי עיון בכתב ידו הנפלא, הכריז החכם הזקן והענוותן שאורחו כבר יודע די הצורך כדי למלא את מקומו כרב </w:t>
      </w:r>
      <w:proofErr w:type="spellStart"/>
      <w:r>
        <w:rPr>
          <w:rtl/>
        </w:rPr>
        <w:t>בפוזנא</w:t>
      </w:r>
      <w:proofErr w:type="spellEnd"/>
      <w:r>
        <w:rPr>
          <w:rtl/>
        </w:rPr>
        <w:t>, ואמר לצעיר לשבת על כיסא הרבנות</w:t>
      </w:r>
      <w:bookmarkStart w:id="6354" w:name="_fnr4778"/>
      <w:bookmarkStart w:id="6355" w:name="pr_f_4659"/>
      <w:r>
        <w:rPr>
          <w:rStyle w:val="a5"/>
        </w:rPr>
        <w:footnoteReference w:id="4790" w:customMarkFollows="0"/>
      </w:r>
      <w:bookmarkEnd w:id="6354"/>
      <w:bookmarkEnd w:id="6355"/>
      <w:r>
        <w:rPr>
          <w:rtl/>
        </w:rPr>
        <w:t xml:space="preserve">. הלה </w:t>
      </w:r>
      <w:r>
        <w:rPr>
          <w:rtl/>
        </w:rPr>
        <w:lastRenderedPageBreak/>
        <w:t xml:space="preserve">לא היסס, וישב על כיסאו של ר׳ עקיבא איגר! על פי האגדה, בשל שגגה זו סבל </w:t>
      </w:r>
      <w:proofErr w:type="spellStart"/>
      <w:r>
        <w:rPr>
          <w:rtl/>
        </w:rPr>
        <w:t>המלבי״ם</w:t>
      </w:r>
      <w:proofErr w:type="spellEnd"/>
      <w:r>
        <w:rPr>
          <w:rtl/>
        </w:rPr>
        <w:t xml:space="preserve"> רדיפות כל ימי חייו</w:t>
      </w:r>
      <w:bookmarkStart w:id="6356" w:name="_fnr4779"/>
      <w:r>
        <w:rPr>
          <w:rStyle w:val="a5"/>
        </w:rPr>
        <w:footnoteReference w:id="4791" w:customMarkFollows="0"/>
      </w:r>
      <w:bookmarkEnd w:id="6356"/>
      <w:r>
        <w:rPr>
          <w:rtl/>
        </w:rPr>
        <w:t xml:space="preserve">, ונאלץ לנדוד מארץ לארץ ומכהונה לכהונה: מרבנות ורשן שבפרוסיה (ארבעים וחמישה קילומטרים ממזרח </w:t>
      </w:r>
      <w:proofErr w:type="spellStart"/>
      <w:r>
        <w:rPr>
          <w:rtl/>
        </w:rPr>
        <w:t>לפוזנא</w:t>
      </w:r>
      <w:proofErr w:type="spellEnd"/>
      <w:r>
        <w:rPr>
          <w:rtl/>
        </w:rPr>
        <w:t xml:space="preserve">) לרבנות </w:t>
      </w:r>
      <w:proofErr w:type="spellStart"/>
      <w:r>
        <w:rPr>
          <w:rtl/>
        </w:rPr>
        <w:t>קמפן</w:t>
      </w:r>
      <w:proofErr w:type="spellEnd"/>
      <w:r>
        <w:rPr>
          <w:rtl/>
        </w:rPr>
        <w:t xml:space="preserve"> (שם התחיל לעיין עיון מעמיק בתנ״ך), לרבנות בוקרשט, להפוגה בפריז</w:t>
      </w:r>
      <w:bookmarkStart w:id="6357" w:name="_fnr4780"/>
      <w:r>
        <w:rPr>
          <w:rStyle w:val="a5"/>
        </w:rPr>
        <w:footnoteReference w:id="4792" w:customMarkFollows="0"/>
      </w:r>
      <w:bookmarkEnd w:id="6357"/>
      <w:r>
        <w:rPr>
          <w:rtl/>
        </w:rPr>
        <w:t xml:space="preserve">, לרבנות </w:t>
      </w:r>
      <w:proofErr w:type="spellStart"/>
      <w:r>
        <w:rPr>
          <w:rtl/>
        </w:rPr>
        <w:t>חרסון</w:t>
      </w:r>
      <w:proofErr w:type="spellEnd"/>
      <w:r>
        <w:rPr>
          <w:rtl/>
        </w:rPr>
        <w:t xml:space="preserve"> שבאוקראינה, לרבנות </w:t>
      </w:r>
      <w:proofErr w:type="spellStart"/>
      <w:r>
        <w:rPr>
          <w:rtl/>
        </w:rPr>
        <w:t>לנצ׳יץ</w:t>
      </w:r>
      <w:proofErr w:type="spellEnd"/>
      <w:r>
        <w:rPr>
          <w:rtl/>
        </w:rPr>
        <w:t xml:space="preserve">’ שבפולין, לרבנות </w:t>
      </w:r>
      <w:proofErr w:type="spellStart"/>
      <w:r>
        <w:rPr>
          <w:rtl/>
        </w:rPr>
        <w:t>מוהילוב</w:t>
      </w:r>
      <w:proofErr w:type="spellEnd"/>
      <w:r>
        <w:rPr>
          <w:rtl/>
        </w:rPr>
        <w:t xml:space="preserve"> שבבלארוס, ולרבנות קהילת המהגרים הליטאים והפולנים בקניגסברג שבפרוסיה. הוא נפטר בקייב, בדרכו לכהונה חדשה נוספת – רבנות </w:t>
      </w:r>
      <w:proofErr w:type="spellStart"/>
      <w:r>
        <w:rPr>
          <w:rtl/>
        </w:rPr>
        <w:t>קרמנצ׳וג</w:t>
      </w:r>
      <w:proofErr w:type="spellEnd"/>
      <w:r>
        <w:rPr>
          <w:rtl/>
        </w:rPr>
        <w:t xml:space="preserve"> שבאוקראינה.</w:t>
      </w:r>
    </w:p>
    <w:p w14:paraId="5B722301" w14:textId="77777777" w:rsidR="00AB3647" w:rsidRDefault="00000000" w:rsidP="007923E9">
      <w:pPr>
        <w:spacing w:after="120" w:line="276" w:lineRule="auto"/>
        <w:ind w:firstLine="283"/>
        <w:jc w:val="both"/>
      </w:pPr>
      <w:r>
        <w:rPr>
          <w:rtl/>
        </w:rPr>
        <w:t xml:space="preserve">ר׳ עקיבא איגר, שבדרך כלל נמנע מלתת הסכמות, נתן לאורחו מכתב שבו דן בכמה עניינים הלכתיים שכתב עליהם המחבר הצעיר. מעשהו האחר של </w:t>
      </w:r>
      <w:proofErr w:type="spellStart"/>
      <w:r>
        <w:rPr>
          <w:rtl/>
        </w:rPr>
        <w:t>המלבי״ם</w:t>
      </w:r>
      <w:proofErr w:type="spellEnd"/>
      <w:r>
        <w:rPr>
          <w:rtl/>
        </w:rPr>
        <w:t xml:space="preserve">, שנעשה בלי מחשבה, אירע לפנות ערב באחת השבתות, כשישב – בשגגה הפעם – על כיסאו של </w:t>
      </w:r>
      <w:proofErr w:type="spellStart"/>
      <w:r>
        <w:rPr>
          <w:rtl/>
        </w:rPr>
        <w:t>החתם־סופר</w:t>
      </w:r>
      <w:proofErr w:type="spellEnd"/>
      <w:r>
        <w:rPr>
          <w:rtl/>
        </w:rPr>
        <w:t xml:space="preserve">, ומארחו אמר לו “להישאר במקומו”. מאז הרגיש שאינו יכול להתקדם בלימודי ההלכה: </w:t>
      </w:r>
      <w:r>
        <w:rPr>
          <w:b/>
          <w:bCs/>
          <w:rtl/>
        </w:rPr>
        <w:t>הוא נשאר במקומו מבחינת הלימוד</w:t>
      </w:r>
      <w:bookmarkStart w:id="6358" w:name="_fnr4781"/>
      <w:bookmarkStart w:id="6359" w:name="pr_f_4662"/>
      <w:r>
        <w:rPr>
          <w:rStyle w:val="a5"/>
        </w:rPr>
        <w:footnoteReference w:id="4793" w:customMarkFollows="0"/>
      </w:r>
      <w:bookmarkEnd w:id="6358"/>
      <w:bookmarkEnd w:id="6359"/>
      <w:r>
        <w:rPr>
          <w:rtl/>
        </w:rPr>
        <w:t>.</w:t>
      </w:r>
    </w:p>
    <w:p w14:paraId="44B5BD0C" w14:textId="77777777" w:rsidR="00AB3647" w:rsidRDefault="00000000" w:rsidP="007923E9">
      <w:pPr>
        <w:spacing w:after="120" w:line="276" w:lineRule="auto"/>
        <w:ind w:firstLine="283"/>
        <w:jc w:val="both"/>
      </w:pPr>
      <w:proofErr w:type="spellStart"/>
      <w:r>
        <w:rPr>
          <w:rtl/>
        </w:rPr>
        <w:lastRenderedPageBreak/>
        <w:t>המלבי״ם</w:t>
      </w:r>
      <w:proofErr w:type="spellEnd"/>
      <w:r>
        <w:rPr>
          <w:rtl/>
        </w:rPr>
        <w:t xml:space="preserve"> התרחק מן החלקים ההלכתיים של התורה עד כדי כך שנמנע </w:t>
      </w:r>
      <w:proofErr w:type="spellStart"/>
      <w:r>
        <w:rPr>
          <w:rtl/>
        </w:rPr>
        <w:t>מ“לדבר</w:t>
      </w:r>
      <w:proofErr w:type="spellEnd"/>
      <w:r>
        <w:rPr>
          <w:rtl/>
        </w:rPr>
        <w:t xml:space="preserve"> בלימוד”, אף שבתוקף כהונותיו ברבנות היה עליו לפסוק שאלות הלכתיות, וכן להשיב על שאלות שנשלחו אליו בדואר. “הגאון </w:t>
      </w:r>
      <w:proofErr w:type="spellStart"/>
      <w:r>
        <w:rPr>
          <w:rtl/>
        </w:rPr>
        <w:t>מלבי״ם</w:t>
      </w:r>
      <w:proofErr w:type="spellEnd"/>
      <w:r>
        <w:rPr>
          <w:rtl/>
        </w:rPr>
        <w:t>”</w:t>
      </w:r>
      <w:bookmarkStart w:id="6360" w:name="_fnr4782"/>
      <w:r>
        <w:rPr>
          <w:rStyle w:val="a5"/>
        </w:rPr>
        <w:footnoteReference w:id="4794" w:customMarkFollows="0"/>
      </w:r>
      <w:bookmarkEnd w:id="6360"/>
      <w:r>
        <w:rPr>
          <w:rtl/>
        </w:rPr>
        <w:t xml:space="preserve"> מספר </w:t>
      </w:r>
      <w:proofErr w:type="spellStart"/>
      <w:r>
        <w:rPr>
          <w:rtl/>
        </w:rPr>
        <w:t>שהמלבי״ם</w:t>
      </w:r>
      <w:proofErr w:type="spellEnd"/>
      <w:r>
        <w:rPr>
          <w:rtl/>
        </w:rPr>
        <w:t xml:space="preserve"> נזדמן לפטרבורג, </w:t>
      </w:r>
      <w:proofErr w:type="spellStart"/>
      <w:r>
        <w:rPr>
          <w:rtl/>
        </w:rPr>
        <w:t>ו“איש</w:t>
      </w:r>
      <w:proofErr w:type="spellEnd"/>
      <w:r>
        <w:rPr>
          <w:rtl/>
        </w:rPr>
        <w:t xml:space="preserve"> תורה פולני גדול” בא לשם “ממרחק רב” כדי “לדבר בלימוד” ולעזור לו “לפתור כמה שאלות הלכתיות קשות שהיו לו”. </w:t>
      </w:r>
      <w:proofErr w:type="spellStart"/>
      <w:r>
        <w:rPr>
          <w:rtl/>
        </w:rPr>
        <w:t>המלבי״ם</w:t>
      </w:r>
      <w:proofErr w:type="spellEnd"/>
      <w:r>
        <w:rPr>
          <w:rtl/>
        </w:rPr>
        <w:t xml:space="preserve"> דחה אותו באומרו </w:t>
      </w:r>
      <w:proofErr w:type="spellStart"/>
      <w:r>
        <w:rPr>
          <w:rtl/>
        </w:rPr>
        <w:t>ש“טרדות</w:t>
      </w:r>
      <w:proofErr w:type="spellEnd"/>
      <w:r>
        <w:rPr>
          <w:rtl/>
        </w:rPr>
        <w:t xml:space="preserve"> אישיות מונעות [ממנו] לעסוק בענייני הלכה, אך כיוון [שהוא] שקוע מאוד בלימוד התנ״ך, הוא מוכן לדבר [עמו] בכל נושא מקראי [שיבחר] – אך לא במשא ומתן תלמודי”.</w:t>
      </w:r>
    </w:p>
    <w:p w14:paraId="0B224D7B" w14:textId="5B9C5E28" w:rsidR="00AB3647" w:rsidRDefault="00000000" w:rsidP="007923E9">
      <w:pPr>
        <w:spacing w:after="120" w:line="276" w:lineRule="auto"/>
        <w:ind w:firstLine="283"/>
        <w:jc w:val="both"/>
      </w:pPr>
      <w:r>
        <w:rPr>
          <w:rtl/>
        </w:rPr>
        <w:t xml:space="preserve">האורח התעקש “לדבר בלימוד”, ולא הועיל, עד שהוציא מכיסו מכתב שכתב ר׳ עקיבא איגר לאביו, ואמר: “אבי הכיר את ר׳ עקיבא איגר אחרי שפגשו כשבא </w:t>
      </w:r>
      <w:proofErr w:type="spellStart"/>
      <w:r>
        <w:rPr>
          <w:rtl/>
        </w:rPr>
        <w:t>ללומז׳ה</w:t>
      </w:r>
      <w:proofErr w:type="spellEnd"/>
      <w:r>
        <w:rPr>
          <w:rtl/>
        </w:rPr>
        <w:t xml:space="preserve"> לחתונת בנו” – ראה פרק 3, הערה </w:t>
      </w:r>
      <w:r>
        <w:rPr>
          <w:rtl/>
        </w:rPr>
        <w:fldChar w:fldCharType="begin" w:dirty="true"/>
      </w:r>
      <w:r>
        <w:rPr>
          <w:rtl/>
        </w:rPr>
        <w:instrText xml:space="preserve"> REF b3_note10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10</w:t>
      </w:r>
      <w:r>
        <w:rPr>
          <w:rtl/>
        </w:rPr>
        <w:fldChar w:fldCharType="end"/>
      </w:r>
      <w:r>
        <w:rPr>
          <w:rtl/>
        </w:rPr>
        <w:t xml:space="preserve">. “לפני שעזב ר׳ עקיבא איגר, ביקש ממנו אבי להתפלל שיזכה לבן, וכשחזר הגאון לביתו כתב לאבי מכתב זה: ברכת הרב כוונה ללידתי. רק אם תסכים ‘לדבר בלימוד’ עמי אראה לך את המכתב”. עתה לא הועילו תחנוני </w:t>
      </w:r>
      <w:proofErr w:type="spellStart"/>
      <w:r>
        <w:rPr>
          <w:rtl/>
        </w:rPr>
        <w:t>המלבי״ם</w:t>
      </w:r>
      <w:proofErr w:type="spellEnd"/>
      <w:r>
        <w:rPr>
          <w:rtl/>
        </w:rPr>
        <w:t xml:space="preserve"> לראות את המכתב, והוא נענה לנהל משא ומתן תלמודי עם אורחו. כשהראו לו את המכתב, אמר: “זה אכן כתב ידו של ר׳ עקיבא איגר”, ונישק אותו.</w:t>
      </w:r>
    </w:p>
    <w:p w14:paraId="3E030C2D" w14:textId="77777777" w:rsidR="00AB3647" w:rsidRDefault="00000000" w:rsidP="007923E9">
      <w:pPr>
        <w:spacing w:after="120" w:line="276" w:lineRule="auto"/>
        <w:ind w:firstLine="283"/>
        <w:jc w:val="both"/>
      </w:pPr>
      <w:bookmarkStart w:id="6361" w:name="pr_b_2649"/>
      <w:bookmarkEnd w:id="6361"/>
      <w:r>
        <w:rPr>
          <w:rtl/>
        </w:rPr>
        <w:t xml:space="preserve">אבי סיפר </w:t>
      </w:r>
      <w:proofErr w:type="spellStart"/>
      <w:r>
        <w:rPr>
          <w:rtl/>
        </w:rPr>
        <w:t>לר</w:t>
      </w:r>
      <w:proofErr w:type="spellEnd"/>
      <w:r>
        <w:rPr>
          <w:rtl/>
        </w:rPr>
        <w:t xml:space="preserve">׳ דוד </w:t>
      </w:r>
      <w:proofErr w:type="spellStart"/>
      <w:r>
        <w:rPr>
          <w:rtl/>
        </w:rPr>
        <w:t>צימט</w:t>
      </w:r>
      <w:bookmarkStart w:id="6362" w:name="_fnr4783"/>
      <w:proofErr w:type="spellEnd"/>
      <w:r>
        <w:rPr>
          <w:rStyle w:val="a5"/>
        </w:rPr>
        <w:footnoteReference w:id="4795" w:customMarkFollows="0"/>
      </w:r>
      <w:bookmarkEnd w:id="6362"/>
      <w:r>
        <w:rPr>
          <w:rtl/>
        </w:rPr>
        <w:t xml:space="preserve"> שר׳ ישראל עזב את וילנה בחיפזון, זמן קצר אחרי מעשה יום הכיפורים, כתוצאה ישירה של המרירות שבינו ובין בית הדין. אבי חלק על הגרסה המקובלת, המובאת בספרו של כץ, “תנועת המוסר”, כרך א</w:t>
      </w:r>
      <w:bookmarkStart w:id="6363" w:name="_fnr4784"/>
      <w:r>
        <w:rPr>
          <w:rStyle w:val="a5"/>
        </w:rPr>
        <w:footnoteReference w:id="4796" w:customMarkFollows="0"/>
      </w:r>
      <w:bookmarkEnd w:id="6363"/>
      <w:r>
        <w:rPr>
          <w:rtl/>
        </w:rPr>
        <w:t xml:space="preserve">, ומצוטטת ממקורות מוקדמים בספרו של </w:t>
      </w:r>
      <w:proofErr w:type="spellStart"/>
      <w:r>
        <w:rPr>
          <w:rtl/>
        </w:rPr>
        <w:lastRenderedPageBreak/>
        <w:t>אטקס</w:t>
      </w:r>
      <w:proofErr w:type="spellEnd"/>
      <w:r>
        <w:rPr>
          <w:rtl/>
        </w:rPr>
        <w:t xml:space="preserve">, “ר׳ ישראל </w:t>
      </w:r>
      <w:proofErr w:type="spellStart"/>
      <w:r>
        <w:rPr>
          <w:rtl/>
        </w:rPr>
        <w:t>סלנטר</w:t>
      </w:r>
      <w:proofErr w:type="spellEnd"/>
      <w:r>
        <w:rPr>
          <w:rtl/>
        </w:rPr>
        <w:t xml:space="preserve"> וראשיתה של תנועת המוסר”</w:t>
      </w:r>
      <w:bookmarkStart w:id="6364" w:name="_fnr4785"/>
      <w:r>
        <w:rPr>
          <w:rStyle w:val="a5"/>
        </w:rPr>
        <w:footnoteReference w:id="4797" w:customMarkFollows="0"/>
      </w:r>
      <w:bookmarkEnd w:id="6364"/>
      <w:r>
        <w:rPr>
          <w:rtl/>
        </w:rPr>
        <w:t xml:space="preserve">, שר׳ ישראל עזב את וילנה מפני שהמשכילים ניסו לכפות עליו, באמצעות פקידי ממשלת רוסיה, ללמד בבית המדרש לרבנים, </w:t>
      </w:r>
      <w:r>
        <w:rPr>
          <w:rtl/>
        </w:rPr>
        <w:lastRenderedPageBreak/>
        <w:t>שהוקם זמן לא רב יחסית לפני המגפה</w:t>
      </w:r>
      <w:bookmarkStart w:id="6365" w:name="fx_ref_560"/>
      <w:bookmarkStart w:id="6366" w:name="_fnr4786"/>
      <w:r>
        <w:rPr>
          <w:rStyle w:val="a5"/>
        </w:rPr>
        <w:footnoteReference w:id="4798" w:customMarkFollows="0"/>
      </w:r>
      <w:bookmarkEnd w:id="6365"/>
      <w:bookmarkEnd w:id="6366"/>
      <w:r>
        <w:rPr>
          <w:rtl/>
        </w:rPr>
        <w:t>. שם</w:t>
      </w:r>
      <w:bookmarkStart w:id="6367" w:name="_fnr4787"/>
      <w:r>
        <w:rPr>
          <w:rStyle w:val="a5"/>
        </w:rPr>
        <w:footnoteReference w:id="4799" w:customMarkFollows="0"/>
      </w:r>
      <w:bookmarkEnd w:id="6367"/>
      <w:r>
        <w:rPr>
          <w:rtl/>
        </w:rPr>
        <w:t xml:space="preserve"> מוכח שר׳ ישראל עזב את וילנה לא יאוחר מדצמבר 1848 (אך מסתבר יותר שבנובמבר, שכן באמצע דצמבר כבר נתמנה אדם אחר לתפקיד שיועד </w:t>
      </w:r>
      <w:proofErr w:type="spellStart"/>
      <w:r>
        <w:rPr>
          <w:rtl/>
        </w:rPr>
        <w:t>לר</w:t>
      </w:r>
      <w:proofErr w:type="spellEnd"/>
      <w:r>
        <w:rPr>
          <w:rtl/>
        </w:rPr>
        <w:t xml:space="preserve">׳ ישראל), </w:t>
      </w:r>
      <w:proofErr w:type="spellStart"/>
      <w:r>
        <w:rPr>
          <w:rtl/>
        </w:rPr>
        <w:t>שלושה־עשר</w:t>
      </w:r>
      <w:proofErr w:type="spellEnd"/>
      <w:r>
        <w:rPr>
          <w:rtl/>
        </w:rPr>
        <w:t xml:space="preserve"> חודש בלבד אחרי ייסוד בית המדרש. אין זה מתקבל </w:t>
      </w:r>
      <w:r>
        <w:rPr>
          <w:rtl/>
        </w:rPr>
        <w:lastRenderedPageBreak/>
        <w:t>על הדעת שזמן קצר כל כך אחרי פתיחת בית המדרש יסור חנו בעיני הרשויות במידה מסוכנת כל כך, בשל סירובו לשמש בסגל, עד שייאלץ לברוח מן העיר.</w:t>
      </w:r>
    </w:p>
    <w:p w14:paraId="15F6DF6F" w14:textId="77777777" w:rsidR="00AB3647" w:rsidRDefault="00000000" w:rsidP="007923E9">
      <w:pPr>
        <w:spacing w:after="120" w:line="276" w:lineRule="auto"/>
        <w:ind w:firstLine="283"/>
        <w:jc w:val="both"/>
      </w:pPr>
      <w:r>
        <w:rPr>
          <w:rtl/>
        </w:rPr>
        <w:t xml:space="preserve">יתרה מזו, בית הספר נפתח בשלוש מחלקות יסוד (המתחילות </w:t>
      </w:r>
      <w:r>
        <w:rPr>
          <w:b/>
          <w:bCs/>
          <w:rtl/>
        </w:rPr>
        <w:t>בילדים בני עשר!</w:t>
      </w:r>
      <w:r>
        <w:rPr>
          <w:rtl/>
        </w:rPr>
        <w:t>), שבהן התורה שבעל פה היחידה שנלמדה הייתה משניות, ובשנתו השנייה נוספו המחלקות הרביעית והחמישית, שבהן נלמדה רק גמרא בסיסית</w:t>
      </w:r>
      <w:bookmarkStart w:id="6368" w:name="_fnr4788"/>
      <w:r>
        <w:rPr>
          <w:rStyle w:val="a5"/>
        </w:rPr>
        <w:footnoteReference w:id="4800" w:customMarkFollows="0"/>
      </w:r>
      <w:bookmarkEnd w:id="6368"/>
      <w:r>
        <w:rPr>
          <w:rtl/>
        </w:rPr>
        <w:t xml:space="preserve">. לכן הייתה </w:t>
      </w:r>
      <w:proofErr w:type="spellStart"/>
      <w:r>
        <w:rPr>
          <w:rtl/>
        </w:rPr>
        <w:t>לר</w:t>
      </w:r>
      <w:proofErr w:type="spellEnd"/>
      <w:r>
        <w:rPr>
          <w:rtl/>
        </w:rPr>
        <w:t>׳ ישראל, גאון ולא מלמד גמרא פשוט, אמתלה מצוינת שלא לקבל משרה בבית ספר שתוכנית לימודי התלמוד שלו בסיסית כל כך</w:t>
      </w:r>
      <w:bookmarkStart w:id="6369" w:name="_fnr4789"/>
      <w:bookmarkStart w:id="6370" w:name="pr_f_4670"/>
      <w:r>
        <w:rPr>
          <w:rStyle w:val="a5"/>
        </w:rPr>
        <w:footnoteReference w:id="4801" w:customMarkFollows="0"/>
      </w:r>
      <w:bookmarkEnd w:id="6369"/>
      <w:bookmarkEnd w:id="6370"/>
      <w:r>
        <w:rPr>
          <w:rtl/>
        </w:rPr>
        <w:t>. ועוד, ר׳ ישראל לא היה היחיד שהוצעה לו המשרה וסירב לה. “מקור ברוך”</w:t>
      </w:r>
      <w:bookmarkStart w:id="6371" w:name="_fnr4790"/>
      <w:r>
        <w:rPr>
          <w:rStyle w:val="a5"/>
        </w:rPr>
        <w:footnoteReference w:id="4802" w:customMarkFollows="0"/>
      </w:r>
      <w:bookmarkEnd w:id="6371"/>
      <w:r>
        <w:rPr>
          <w:rtl/>
        </w:rPr>
        <w:t xml:space="preserve"> אומר: “הגאונים ר׳ יעקב </w:t>
      </w:r>
      <w:proofErr w:type="spellStart"/>
      <w:r>
        <w:rPr>
          <w:rtl/>
        </w:rPr>
        <w:t>באריט</w:t>
      </w:r>
      <w:proofErr w:type="spellEnd"/>
      <w:r>
        <w:rPr>
          <w:rtl/>
        </w:rPr>
        <w:t xml:space="preserve">, ר׳ ישראל </w:t>
      </w:r>
      <w:proofErr w:type="spellStart"/>
      <w:r>
        <w:rPr>
          <w:rtl/>
        </w:rPr>
        <w:t>סלנטר</w:t>
      </w:r>
      <w:proofErr w:type="spellEnd"/>
      <w:r>
        <w:rPr>
          <w:rtl/>
        </w:rPr>
        <w:t xml:space="preserve">, ר׳ שמואל </w:t>
      </w:r>
      <w:proofErr w:type="spellStart"/>
      <w:r>
        <w:rPr>
          <w:rtl/>
        </w:rPr>
        <w:t>שטראשון</w:t>
      </w:r>
      <w:proofErr w:type="spellEnd"/>
      <w:r>
        <w:rPr>
          <w:rtl/>
        </w:rPr>
        <w:t xml:space="preserve"> ואחרים דחו את ההצעה, מפני שידעו אילו זרעים רוצה הממשלה לזרוע בשדה [בתי המדרש הללו], ואיזה יבול היא מתכוונת לקצור”</w:t>
      </w:r>
      <w:bookmarkStart w:id="6372" w:name="_fnr4791"/>
      <w:r>
        <w:rPr>
          <w:rStyle w:val="a5"/>
        </w:rPr>
        <w:footnoteReference w:id="4803" w:customMarkFollows="0"/>
      </w:r>
      <w:bookmarkEnd w:id="6372"/>
      <w:r>
        <w:rPr>
          <w:rtl/>
        </w:rPr>
        <w:t xml:space="preserve"> – ואילו שאר המועמדים לא ברחו</w:t>
      </w:r>
      <w:bookmarkStart w:id="6373" w:name="_fnr4792"/>
      <w:r>
        <w:rPr>
          <w:rStyle w:val="a5"/>
        </w:rPr>
        <w:footnoteReference w:id="4804" w:customMarkFollows="0"/>
      </w:r>
      <w:bookmarkEnd w:id="6373"/>
      <w:r>
        <w:rPr>
          <w:rtl/>
        </w:rPr>
        <w:t>.</w:t>
      </w:r>
    </w:p>
    <w:p w14:paraId="3AE66AEF" w14:textId="77777777" w:rsidR="00AB3647" w:rsidRDefault="00000000" w:rsidP="007923E9">
      <w:pPr>
        <w:spacing w:after="120" w:line="276" w:lineRule="auto"/>
        <w:ind w:firstLine="283"/>
        <w:jc w:val="both"/>
      </w:pPr>
      <w:r>
        <w:rPr>
          <w:rtl/>
        </w:rPr>
        <w:t xml:space="preserve">“מקור ברוך” מגלה שר׳ יעקב </w:t>
      </w:r>
      <w:proofErr w:type="spellStart"/>
      <w:r>
        <w:rPr>
          <w:rtl/>
        </w:rPr>
        <w:t>באריט</w:t>
      </w:r>
      <w:proofErr w:type="spellEnd"/>
      <w:r>
        <w:rPr>
          <w:rtl/>
        </w:rPr>
        <w:t xml:space="preserve"> הוזמן לקבל את המשרה בבית המדרש לרבנים. ר׳ יעקב היה רבם של שני האחים שכיהנו לימים ברבנות בווילנה, ר׳ בצלאל הכהן ור׳ שלמה הכהן, ורבו של </w:t>
      </w:r>
      <w:proofErr w:type="spellStart"/>
      <w:r>
        <w:rPr>
          <w:rtl/>
        </w:rPr>
        <w:t>החפץ־חיים</w:t>
      </w:r>
      <w:proofErr w:type="spellEnd"/>
      <w:r>
        <w:rPr>
          <w:rtl/>
        </w:rPr>
        <w:t xml:space="preserve"> בנעוריו</w:t>
      </w:r>
      <w:bookmarkStart w:id="6374" w:name="_fnr4793"/>
      <w:r>
        <w:rPr>
          <w:rStyle w:val="a5"/>
        </w:rPr>
        <w:footnoteReference w:id="4805" w:customMarkFollows="0"/>
      </w:r>
      <w:bookmarkEnd w:id="6374"/>
      <w:r>
        <w:rPr>
          <w:rtl/>
        </w:rPr>
        <w:t xml:space="preserve">. לפי “מקור ברוך”, דחה ר׳ יעקב את המשרה משום שחשד, כשאר החכמים המובילים שהוצעה להם, שתכליתה היסודית של הממשלה בהקמת בתי המדרש בווילנה </w:t>
      </w:r>
      <w:proofErr w:type="spellStart"/>
      <w:r>
        <w:rPr>
          <w:rtl/>
        </w:rPr>
        <w:t>ובז׳יטומיר</w:t>
      </w:r>
      <w:proofErr w:type="spellEnd"/>
      <w:r>
        <w:rPr>
          <w:rtl/>
        </w:rPr>
        <w:t xml:space="preserve"> הייתה לערער את האמונה היהודית</w:t>
      </w:r>
      <w:bookmarkStart w:id="6375" w:name="_fnr4794"/>
      <w:r>
        <w:rPr>
          <w:rStyle w:val="a5"/>
        </w:rPr>
        <w:footnoteReference w:id="4806" w:customMarkFollows="0"/>
      </w:r>
      <w:bookmarkEnd w:id="6375"/>
      <w:r>
        <w:rPr>
          <w:rtl/>
        </w:rPr>
        <w:t>.</w:t>
      </w:r>
    </w:p>
    <w:p w14:paraId="34A122D9" w14:textId="77777777" w:rsidR="00AB3647" w:rsidRDefault="00000000" w:rsidP="007923E9">
      <w:pPr>
        <w:spacing w:after="120" w:line="276" w:lineRule="auto"/>
        <w:ind w:firstLine="283"/>
        <w:jc w:val="both"/>
      </w:pPr>
      <w:r>
        <w:rPr>
          <w:rtl/>
        </w:rPr>
        <w:t xml:space="preserve">אבל פירוש זה ליחסו של הרב </w:t>
      </w:r>
      <w:proofErr w:type="spellStart"/>
      <w:r>
        <w:rPr>
          <w:rtl/>
        </w:rPr>
        <w:t>באריט</w:t>
      </w:r>
      <w:proofErr w:type="spellEnd"/>
      <w:r>
        <w:rPr>
          <w:rtl/>
        </w:rPr>
        <w:t xml:space="preserve"> למוסד סותר את עדותו של אחד מתלמידי המוסד, אחיינו של הרב </w:t>
      </w:r>
      <w:proofErr w:type="spellStart"/>
      <w:r>
        <w:rPr>
          <w:rtl/>
        </w:rPr>
        <w:t>באריט</w:t>
      </w:r>
      <w:proofErr w:type="spellEnd"/>
      <w:r>
        <w:rPr>
          <w:rtl/>
        </w:rPr>
        <w:t xml:space="preserve"> ח.ז. מרגליות, </w:t>
      </w:r>
      <w:proofErr w:type="spellStart"/>
      <w:r>
        <w:rPr>
          <w:rtl/>
        </w:rPr>
        <w:t>ש“לא</w:t>
      </w:r>
      <w:proofErr w:type="spellEnd"/>
      <w:r>
        <w:rPr>
          <w:rtl/>
        </w:rPr>
        <w:t xml:space="preserve"> זו בלבד שלא היה אויבם של בתי המדרש לרבנים, אלא אף יעץ לצעירים ששאלו לדעתו ללמוד בהם”</w:t>
      </w:r>
      <w:bookmarkStart w:id="6376" w:name="_fnr4795"/>
      <w:r>
        <w:rPr>
          <w:rStyle w:val="a5"/>
        </w:rPr>
        <w:footnoteReference w:id="4807" w:customMarkFollows="0"/>
      </w:r>
      <w:bookmarkEnd w:id="6376"/>
      <w:r>
        <w:rPr>
          <w:rtl/>
        </w:rPr>
        <w:t xml:space="preserve">. גם חוברת ביוגרפית על הרב </w:t>
      </w:r>
      <w:proofErr w:type="spellStart"/>
      <w:r>
        <w:rPr>
          <w:rtl/>
        </w:rPr>
        <w:t>באריט</w:t>
      </w:r>
      <w:proofErr w:type="spellEnd"/>
      <w:r>
        <w:rPr>
          <w:rtl/>
        </w:rPr>
        <w:t xml:space="preserve">, “לתולדות יעקב”, מאת בנו משה </w:t>
      </w:r>
      <w:proofErr w:type="spellStart"/>
      <w:r>
        <w:rPr>
          <w:rtl/>
        </w:rPr>
        <w:t>יהודא</w:t>
      </w:r>
      <w:proofErr w:type="spellEnd"/>
      <w:r>
        <w:rPr>
          <w:rtl/>
        </w:rPr>
        <w:t xml:space="preserve"> </w:t>
      </w:r>
      <w:proofErr w:type="spellStart"/>
      <w:r>
        <w:rPr>
          <w:rtl/>
        </w:rPr>
        <w:t>באריט</w:t>
      </w:r>
      <w:bookmarkStart w:id="6377" w:name="_fnr4796"/>
      <w:proofErr w:type="spellEnd"/>
      <w:r>
        <w:rPr>
          <w:rStyle w:val="a5"/>
        </w:rPr>
        <w:footnoteReference w:id="4808" w:customMarkFollows="0"/>
      </w:r>
      <w:bookmarkEnd w:id="6377"/>
      <w:r>
        <w:rPr>
          <w:rtl/>
        </w:rPr>
        <w:t>, מספרת שהרב בחן את תלמידי בית המדרש “לסמיכה כרב מטעם, וגם במקצועות אחרים בזמנים אחרים של השנה” – דבר המלמד על שיתוף פעולה הדוק עם הנהלת בית המדרש.</w:t>
      </w:r>
    </w:p>
    <w:p w14:paraId="24C2B860" w14:textId="77777777" w:rsidR="00AB3647" w:rsidRDefault="00000000" w:rsidP="007923E9">
      <w:pPr>
        <w:spacing w:after="120" w:line="276" w:lineRule="auto"/>
        <w:ind w:firstLine="283"/>
        <w:jc w:val="both"/>
      </w:pPr>
      <w:r>
        <w:rPr>
          <w:rtl/>
        </w:rPr>
        <w:lastRenderedPageBreak/>
        <w:t xml:space="preserve">ואילו האוטוביוגרפיה של </w:t>
      </w:r>
      <w:proofErr w:type="spellStart"/>
      <w:r>
        <w:rPr>
          <w:rtl/>
        </w:rPr>
        <w:t>אליקום</w:t>
      </w:r>
      <w:proofErr w:type="spellEnd"/>
      <w:r>
        <w:rPr>
          <w:rtl/>
        </w:rPr>
        <w:t xml:space="preserve"> צונזר</w:t>
      </w:r>
      <w:bookmarkStart w:id="6378" w:name="_fnr4797"/>
      <w:r>
        <w:rPr>
          <w:rStyle w:val="a5"/>
        </w:rPr>
        <w:footnoteReference w:id="4809" w:customMarkFollows="0"/>
      </w:r>
      <w:bookmarkEnd w:id="6378"/>
      <w:r>
        <w:rPr>
          <w:rtl/>
        </w:rPr>
        <w:t xml:space="preserve"> מוכיחה לכאורה </w:t>
      </w:r>
      <w:proofErr w:type="spellStart"/>
      <w:r>
        <w:rPr>
          <w:rtl/>
        </w:rPr>
        <w:t>ש“מקור</w:t>
      </w:r>
      <w:proofErr w:type="spellEnd"/>
      <w:r>
        <w:rPr>
          <w:rtl/>
        </w:rPr>
        <w:t xml:space="preserve"> ברוך” צדק. נאמר בה שתשובה שהשיב ר׳ יעקב </w:t>
      </w:r>
      <w:proofErr w:type="spellStart"/>
      <w:r>
        <w:rPr>
          <w:rtl/>
        </w:rPr>
        <w:t>באריט</w:t>
      </w:r>
      <w:proofErr w:type="spellEnd"/>
      <w:r>
        <w:rPr>
          <w:rtl/>
        </w:rPr>
        <w:t xml:space="preserve"> – או, כפי שכונה גם, ר׳ יענקל׳ה קובנר – לגנרל </w:t>
      </w:r>
      <w:proofErr w:type="spellStart"/>
      <w:r>
        <w:rPr>
          <w:rtl/>
        </w:rPr>
        <w:t xml:space="preserve">פוטאפוב</w:t>
      </w:r>
      <w:bookmarkStart w:id="6379" w:name="_fnr4798"/>
      <w:bookmarkEnd w:id="6379"/>
      <w:proofErr w:type="spellEnd"/>
      <w:r>
        <w:rPr>
          <w:rStyle w:val="a5"/>
        </w:rPr>
        <w:t/>
      </w:r>
      <w:bookmarkStart w:id="7052" w:name="_TranslatorNote_4796"/>
      <w:r>
        <w:rPr>
          <w:rStyle w:val="a5"/>
          <w:vertAlign w:val="superscript"/>
          <w:rtl/>
        </w:rPr>
        <w:footnoteReference w:id="4810" w:customMarkFollows="1"/>
        <w:t>*</w:t>
      </w:r>
      <w:bookmarkEnd w:id="7052"/>
      <w:r>
        <w:rPr>
          <w:rtl/>
        </w:rPr>
        <w:t xml:space="preserve">, מושל פלך וילנה, היא שהובילה </w:t>
      </w:r>
      <w:r>
        <w:rPr>
          <w:b/>
          <w:bCs/>
          <w:rtl/>
        </w:rPr>
        <w:t>לסגירת</w:t>
      </w:r>
      <w:r>
        <w:rPr>
          <w:rtl/>
        </w:rPr>
        <w:t xml:space="preserve"> המוסד בווילנה. </w:t>
      </w:r>
      <w:proofErr w:type="spellStart"/>
      <w:r>
        <w:rPr>
          <w:rtl/>
        </w:rPr>
        <w:t>בתרל״ב</w:t>
      </w:r>
      <w:proofErr w:type="spellEnd"/>
      <w:r>
        <w:rPr>
          <w:rtl/>
        </w:rPr>
        <w:t xml:space="preserve"> פשטה המשטרה על ארבעים צעירים יהודים ועצרה אותם כנִיהיליסטים, והגנרל זימן כמה יהודים חשובים, ובהם ר׳ יעקב, כדי לגעור בהם על שחינכו את צעיריהם </w:t>
      </w:r>
      <w:proofErr w:type="spellStart"/>
      <w:r>
        <w:rPr>
          <w:rtl/>
        </w:rPr>
        <w:t>לאי־נאמנות</w:t>
      </w:r>
      <w:proofErr w:type="spellEnd"/>
      <w:r>
        <w:rPr>
          <w:rtl/>
        </w:rPr>
        <w:t xml:space="preserve"> לצאר. הרב </w:t>
      </w:r>
      <w:proofErr w:type="spellStart"/>
      <w:r>
        <w:rPr>
          <w:rtl/>
        </w:rPr>
        <w:t>באריט</w:t>
      </w:r>
      <w:proofErr w:type="spellEnd"/>
      <w:r>
        <w:rPr>
          <w:rtl/>
        </w:rPr>
        <w:t xml:space="preserve"> השיב שדבר כזה אירע רק מחמת התערבותה של ממשלת רוסיה בחינוך היהודי. תשובה זו הועברה לפטרבורג, והביאה לסגירתם המיידית של שני בתי המדרש לרבנים ברוסיה, בווילנה </w:t>
      </w:r>
      <w:proofErr w:type="spellStart"/>
      <w:r>
        <w:rPr>
          <w:rtl/>
        </w:rPr>
        <w:t>ובז׳יטומיר</w:t>
      </w:r>
      <w:proofErr w:type="spellEnd"/>
      <w:r>
        <w:rPr>
          <w:rtl/>
        </w:rPr>
        <w:t>, באותה שנה, תרל״ב.</w:t>
      </w:r>
    </w:p>
    <w:p w14:paraId="5D27F0AC" w14:textId="77777777" w:rsidR="00AB3647" w:rsidRDefault="00000000" w:rsidP="007923E9">
      <w:pPr>
        <w:spacing w:after="120" w:line="276" w:lineRule="auto"/>
        <w:ind w:firstLine="283"/>
        <w:jc w:val="both"/>
      </w:pPr>
      <w:r>
        <w:rPr>
          <w:rtl/>
        </w:rPr>
        <w:t xml:space="preserve">אפשר כמובן שר׳ יעקב התאכזב מבית המדרש – ואולי הבין מדוע ייסדה הממשלה בתי ספר כאלה – בשלב מאוחר יותר מתקופת לימודיו של אחיינו. יתרה מזו, אולי מה שראה הרב </w:t>
      </w:r>
      <w:proofErr w:type="spellStart"/>
      <w:r>
        <w:rPr>
          <w:rtl/>
        </w:rPr>
        <w:t>באריט</w:t>
      </w:r>
      <w:proofErr w:type="spellEnd"/>
      <w:r>
        <w:rPr>
          <w:rtl/>
        </w:rPr>
        <w:t xml:space="preserve">, כיצד השפיע בית הספר לרעה על אחיינו, הוא שהביא אותו להכרה זו! אולם עדיין אין בכך כדי להסביר מדוע כתב בנו של ר׳ יעקב, </w:t>
      </w:r>
      <w:r>
        <w:rPr>
          <w:b/>
          <w:bCs/>
          <w:rtl/>
        </w:rPr>
        <w:t>אחרי פטירת אביו</w:t>
      </w:r>
      <w:r>
        <w:rPr>
          <w:rtl/>
        </w:rPr>
        <w:t xml:space="preserve">, על יחסו החיובי לבית המדרש, בלי לסייג שבשלב מאוחר יותר שינה את דעתו. גם הטעם שמייחס “מקור ברוך” לסירובו לקבל את המשרה בבית המדרש – משרה שהוצעה </w:t>
      </w:r>
      <w:r>
        <w:rPr>
          <w:b/>
          <w:bCs/>
          <w:rtl/>
        </w:rPr>
        <w:t>מיד עם ייסוד המוסד</w:t>
      </w:r>
      <w:r>
        <w:rPr>
          <w:rtl/>
        </w:rPr>
        <w:t xml:space="preserve"> – נשאר בסתירה לעדות אחיינו של הרב </w:t>
      </w:r>
      <w:proofErr w:type="spellStart"/>
      <w:r>
        <w:rPr>
          <w:rtl/>
        </w:rPr>
        <w:t>באריט</w:t>
      </w:r>
      <w:proofErr w:type="spellEnd"/>
      <w:r>
        <w:rPr>
          <w:rtl/>
        </w:rPr>
        <w:t xml:space="preserve"> על תמיכת דודו במוסד, </w:t>
      </w:r>
      <w:r>
        <w:rPr>
          <w:b/>
          <w:bCs/>
          <w:rtl/>
        </w:rPr>
        <w:t>לפחות בתחילה</w:t>
      </w:r>
      <w:r>
        <w:rPr>
          <w:rtl/>
        </w:rPr>
        <w:t>.</w:t>
      </w:r>
    </w:p>
    <w:p w14:paraId="6048E05B" w14:textId="77777777" w:rsidR="00AB3647" w:rsidRDefault="00000000" w:rsidP="007923E9">
      <w:pPr>
        <w:spacing w:after="120" w:line="276" w:lineRule="auto"/>
        <w:ind w:firstLine="283"/>
        <w:jc w:val="both"/>
      </w:pPr>
      <w:r>
        <w:rPr>
          <w:rtl/>
        </w:rPr>
        <w:t>אילו נועד מעברו של ר׳ ישראל לקובנה להימלט מידו הכבדה של השלטון, לא היה מרוויח דבר במעבר מעיר אחת לחברתה תחת אותו משטר. אבל אם, כדברי רבנו, מאורעות יום הכיפורים הם שגרמו למעברו של ר׳ ישראל, מובנים היטב הן המעבר עצמו הן מועדו – בייחוד לנוכח פרט נוסף שסיפר אבי</w:t>
      </w:r>
      <w:bookmarkStart w:id="6380" w:name="_fnr4799"/>
      <w:r>
        <w:rPr>
          <w:rStyle w:val="a5"/>
        </w:rPr>
        <w:footnoteReference w:id="4811" w:customMarkFollows="0"/>
      </w:r>
      <w:bookmarkEnd w:id="6380"/>
      <w:r>
        <w:rPr>
          <w:rtl/>
        </w:rPr>
        <w:t>.</w:t>
      </w:r>
    </w:p>
    <w:p w14:paraId="66D3F625" w14:textId="77777777" w:rsidR="00AB3647" w:rsidRDefault="00000000" w:rsidP="007923E9">
      <w:pPr>
        <w:spacing w:after="120" w:line="276" w:lineRule="auto"/>
        <w:ind w:firstLine="283"/>
        <w:jc w:val="both"/>
      </w:pPr>
      <w:r>
        <w:rPr>
          <w:rtl/>
        </w:rPr>
        <w:t>הציגו לפני אבי צאצא בדור חמישי</w:t>
      </w:r>
      <w:bookmarkStart w:id="6381" w:name="_fnr4800"/>
      <w:r>
        <w:rPr>
          <w:rStyle w:val="a5"/>
        </w:rPr>
        <w:footnoteReference w:id="4812" w:customMarkFollows="0"/>
      </w:r>
      <w:bookmarkEnd w:id="6381"/>
      <w:r>
        <w:rPr>
          <w:rtl/>
        </w:rPr>
        <w:t xml:space="preserve"> של ר׳ </w:t>
      </w:r>
      <w:proofErr w:type="spellStart"/>
      <w:r>
        <w:rPr>
          <w:rtl/>
        </w:rPr>
        <w:t>לייבל׳ה</w:t>
      </w:r>
      <w:proofErr w:type="spellEnd"/>
      <w:r>
        <w:rPr>
          <w:rtl/>
        </w:rPr>
        <w:t xml:space="preserve"> שפירא</w:t>
      </w:r>
      <w:bookmarkStart w:id="6382" w:name="_fnr4801"/>
      <w:r>
        <w:rPr>
          <w:rStyle w:val="a5"/>
        </w:rPr>
        <w:footnoteReference w:id="4813" w:customMarkFollows="0"/>
      </w:r>
      <w:bookmarkEnd w:id="6382"/>
      <w:r>
        <w:rPr>
          <w:rtl/>
        </w:rPr>
        <w:t xml:space="preserve">, והוא קרא: “הדבר מחמם את לבי! למדתי עם אביך </w:t>
      </w:r>
      <w:proofErr w:type="spellStart"/>
      <w:r>
        <w:rPr>
          <w:rtl/>
        </w:rPr>
        <w:t>בסלבודקה</w:t>
      </w:r>
      <w:proofErr w:type="spellEnd"/>
      <w:r>
        <w:rPr>
          <w:rtl/>
        </w:rPr>
        <w:t xml:space="preserve">; ואיזה עילוי היה! אבי משפחתכם ר׳ </w:t>
      </w:r>
      <w:proofErr w:type="spellStart"/>
      <w:r>
        <w:rPr>
          <w:rtl/>
        </w:rPr>
        <w:t>לייבל׳ה</w:t>
      </w:r>
      <w:proofErr w:type="spellEnd"/>
      <w:r>
        <w:rPr>
          <w:rtl/>
        </w:rPr>
        <w:t xml:space="preserve"> היה מתנגד למוסר</w:t>
      </w:r>
      <w:bookmarkStart w:id="6383" w:name="_fnr4802"/>
      <w:r>
        <w:rPr>
          <w:rStyle w:val="a5"/>
        </w:rPr>
        <w:footnoteReference w:id="4814" w:customMarkFollows="0"/>
      </w:r>
      <w:bookmarkEnd w:id="6383"/>
      <w:r>
        <w:rPr>
          <w:rtl/>
        </w:rPr>
        <w:t xml:space="preserve"> – ואספר לך כיצד נהגו מתנגדי המוסר באותם ימים. כשרצה ר׳ ישראל </w:t>
      </w:r>
      <w:proofErr w:type="spellStart"/>
      <w:r>
        <w:rPr>
          <w:rtl/>
        </w:rPr>
        <w:t>סלנטר</w:t>
      </w:r>
      <w:proofErr w:type="spellEnd"/>
      <w:r>
        <w:rPr>
          <w:rtl/>
        </w:rPr>
        <w:t xml:space="preserve"> לעבור לקובנה, ביקש רשות מר׳ </w:t>
      </w:r>
      <w:proofErr w:type="spellStart"/>
      <w:r>
        <w:rPr>
          <w:rtl/>
        </w:rPr>
        <w:t>לייבל׳ה</w:t>
      </w:r>
      <w:proofErr w:type="spellEnd"/>
      <w:r>
        <w:rPr>
          <w:rtl/>
        </w:rPr>
        <w:t>, שנתמנה זה עתה. הלה השיב שאם ר׳ ישראל מוכן לקבל עליו משרה רבנית, הוא יכול לבוא – אבל לא יוכל להישאר בקובנה בלי תפקיד</w:t>
      </w:r>
      <w:bookmarkStart w:id="6384" w:name="_fnr4803"/>
      <w:bookmarkStart w:id="6385" w:name="pr_f_4683"/>
      <w:r>
        <w:rPr>
          <w:rStyle w:val="a5"/>
        </w:rPr>
        <w:footnoteReference w:id="4815" w:customMarkFollows="0"/>
      </w:r>
      <w:bookmarkEnd w:id="6384"/>
      <w:bookmarkEnd w:id="6385"/>
      <w:r>
        <w:rPr>
          <w:rtl/>
        </w:rPr>
        <w:t xml:space="preserve">. אחר כך השיא ר׳ </w:t>
      </w:r>
      <w:proofErr w:type="spellStart"/>
      <w:r>
        <w:rPr>
          <w:rtl/>
        </w:rPr>
        <w:t>לייבל׳ה</w:t>
      </w:r>
      <w:proofErr w:type="spellEnd"/>
      <w:r>
        <w:rPr>
          <w:rtl/>
        </w:rPr>
        <w:t xml:space="preserve"> בן, ור׳ ישראל לא קיבל הזמנה. ר׳ ישראל עמד בפני דילמה: אם לא יבוא לחתונה, יבזה את הרב; ואם יבוא, הוא עלול לעשות מעשה גזל. הוא הסיק שמאחר שגם יהודים פשוטים, ובכללם עניי העיר, מקבלים מעט ממטעמי החתונה – הללו חולקו לכל אדם </w:t>
      </w:r>
      <w:r>
        <w:rPr>
          <w:rtl/>
        </w:rPr>
        <w:lastRenderedPageBreak/>
        <w:t xml:space="preserve">– יבוא ויאכל רק ממה שמיועד לציבור הרחב. בחתונה הבחין ר׳ </w:t>
      </w:r>
      <w:proofErr w:type="spellStart"/>
      <w:r>
        <w:rPr>
          <w:rtl/>
        </w:rPr>
        <w:t>לייבל׳ה</w:t>
      </w:r>
      <w:proofErr w:type="spellEnd"/>
      <w:r>
        <w:rPr>
          <w:rtl/>
        </w:rPr>
        <w:t xml:space="preserve"> שר׳ ישראל ממעט לאכול מן הסעודה. ר׳ </w:t>
      </w:r>
      <w:proofErr w:type="spellStart"/>
      <w:r>
        <w:rPr>
          <w:rtl/>
        </w:rPr>
        <w:t>לייבל׳ה</w:t>
      </w:r>
      <w:proofErr w:type="spellEnd"/>
      <w:r>
        <w:rPr>
          <w:rtl/>
        </w:rPr>
        <w:t xml:space="preserve"> שפירא חשד מיד במה שקרה, ושאל את שמשו אם הזמין את ר׳ ישראל. כשנענה בשלילה [‘למה שיהיה כאן </w:t>
      </w:r>
      <w:proofErr w:type="spellStart"/>
      <w:r>
        <w:rPr>
          <w:rtl/>
        </w:rPr>
        <w:t>המוסרניק</w:t>
      </w:r>
      <w:proofErr w:type="spellEnd"/>
      <w:r>
        <w:rPr>
          <w:rtl/>
        </w:rPr>
        <w:t>?!’], מחה הרב: ‘אבל הרי אמרתי לך להזמין אותו!’ זו”, סיים אבי, “תמונה של [רוחם העדינה של] מתנגדי המוסר בימים ההם”.</w:t>
      </w:r>
    </w:p>
    <w:p w14:paraId="6C96E9A4" w14:textId="77777777" w:rsidR="00AB3647" w:rsidRDefault="00000000" w:rsidP="007923E9">
      <w:pPr>
        <w:spacing w:after="120" w:line="276" w:lineRule="auto"/>
        <w:ind w:firstLine="283"/>
        <w:jc w:val="both"/>
      </w:pPr>
      <w:r>
        <w:rPr>
          <w:rtl/>
        </w:rPr>
        <w:t xml:space="preserve">לפי רבנו, בעקבות העימות עם בית הדין של וילנה החליט ר׳ ישראל שלא נאה לו להישאר בעיר – ואולי הביע בית הדין את מורת רוחו ממנו באיזו הזדמנות אחרי מעשה יום הכיפורים – וכתב </w:t>
      </w:r>
      <w:proofErr w:type="spellStart"/>
      <w:r>
        <w:rPr>
          <w:rtl/>
        </w:rPr>
        <w:t>לר</w:t>
      </w:r>
      <w:proofErr w:type="spellEnd"/>
      <w:r>
        <w:rPr>
          <w:rtl/>
        </w:rPr>
        <w:t xml:space="preserve">׳ </w:t>
      </w:r>
      <w:proofErr w:type="spellStart"/>
      <w:r>
        <w:rPr>
          <w:rtl/>
        </w:rPr>
        <w:t>לייבל׳ה</w:t>
      </w:r>
      <w:proofErr w:type="spellEnd"/>
      <w:r>
        <w:rPr>
          <w:rtl/>
        </w:rPr>
        <w:t xml:space="preserve"> וביקש רשות לעבור לקובנה. ההתכתבות והסידורים הטכניים ארכו כמה שבועות, והמעבר לקובנה נעשה בחשוון (נובמבר) או בכסלו (דצמבר)</w:t>
      </w:r>
      <w:bookmarkStart w:id="6386" w:name="_fnr4804"/>
      <w:r>
        <w:rPr>
          <w:rStyle w:val="a5"/>
        </w:rPr>
        <w:footnoteReference w:id="4816" w:customMarkFollows="0"/>
      </w:r>
      <w:bookmarkEnd w:id="6386"/>
      <w:r>
        <w:rPr>
          <w:rtl/>
        </w:rPr>
        <w:t>.</w:t>
      </w:r>
    </w:p>
    <w:p w14:paraId="748E309C" w14:textId="18D5165A" w:rsidR="00AB3647" w:rsidRDefault="00000000" w:rsidP="007923E9">
      <w:pPr>
        <w:spacing w:after="120" w:line="276" w:lineRule="auto"/>
        <w:ind w:firstLine="283"/>
        <w:jc w:val="both"/>
      </w:pPr>
      <w:r>
        <w:rPr>
          <w:rtl/>
        </w:rPr>
        <w:t xml:space="preserve">על היחסים בין רבה של קובנה ובין מי שבא זה עתה לעיר סיפר ר׳ ישראל </w:t>
      </w:r>
      <w:proofErr w:type="spellStart"/>
      <w:r>
        <w:rPr>
          <w:rtl/>
        </w:rPr>
        <w:t>שורין</w:t>
      </w:r>
      <w:bookmarkStart w:id="6387" w:name="_fnr4805"/>
      <w:proofErr w:type="spellEnd"/>
      <w:r>
        <w:rPr>
          <w:rStyle w:val="a5"/>
        </w:rPr>
        <w:footnoteReference w:id="4817" w:customMarkFollows="0"/>
      </w:r>
      <w:bookmarkEnd w:id="6387"/>
      <w:r>
        <w:rPr>
          <w:rtl/>
        </w:rPr>
        <w:t xml:space="preserve">, שבברית משפחתית אמר ר׳ </w:t>
      </w:r>
      <w:proofErr w:type="spellStart"/>
      <w:r>
        <w:rPr>
          <w:rtl/>
        </w:rPr>
        <w:t>לייבל׳ה</w:t>
      </w:r>
      <w:proofErr w:type="spellEnd"/>
      <w:r>
        <w:rPr>
          <w:rtl/>
        </w:rPr>
        <w:t xml:space="preserve"> לנוכחים שלא להתחיל את המעמד עד שיבוא ר׳ ישראל </w:t>
      </w:r>
      <w:proofErr w:type="spellStart"/>
      <w:r>
        <w:rPr>
          <w:rtl/>
        </w:rPr>
        <w:t>סלנטר</w:t>
      </w:r>
      <w:proofErr w:type="spellEnd"/>
      <w:r>
        <w:rPr>
          <w:rtl/>
        </w:rPr>
        <w:t xml:space="preserve">. הנוכחים סברו שר׳ ישראל לא יבוא לשמחת מתנגדו, אבל ר׳ </w:t>
      </w:r>
      <w:proofErr w:type="spellStart"/>
      <w:r>
        <w:rPr>
          <w:rtl/>
        </w:rPr>
        <w:t>לייבל׳ה</w:t>
      </w:r>
      <w:proofErr w:type="spellEnd"/>
      <w:r>
        <w:rPr>
          <w:rtl/>
        </w:rPr>
        <w:t xml:space="preserve"> צדק: ר׳ ישראל בא כעבור דקות אחדות. השווה גם פרק 1, סוף הפסקה השנייה של </w:t>
      </w:r>
      <w:r>
        <w:rPr>
          <w:rtl/>
        </w:rPr>
        <w:fldChar w:fldCharType="begin" w:dirty="true"/>
      </w:r>
      <w:r>
        <w:rPr>
          <w:rtl/>
        </w:rPr>
        <w:instrText xml:space="preserve"> REF b1_excB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 xml:space="preserve">, על פעם שר׳ </w:t>
      </w:r>
      <w:proofErr w:type="spellStart"/>
      <w:r>
        <w:rPr>
          <w:rtl/>
        </w:rPr>
        <w:t>לייבל׳ה</w:t>
      </w:r>
      <w:proofErr w:type="spellEnd"/>
      <w:r>
        <w:rPr>
          <w:rtl/>
        </w:rPr>
        <w:t xml:space="preserve"> לא רצה שר׳ ישראל יבקר אצלו.</w:t>
      </w:r>
    </w:p>
    <w:p w14:paraId="0DEBD094" w14:textId="77777777" w:rsidR="00AB3647" w:rsidRDefault="00000000" w:rsidP="007923E9">
      <w:pPr>
        <w:spacing w:after="120" w:line="276" w:lineRule="auto"/>
        <w:ind w:firstLine="283"/>
        <w:jc w:val="both"/>
      </w:pPr>
      <w:r>
        <w:rPr>
          <w:rtl/>
        </w:rPr>
        <w:t xml:space="preserve">הערה מעניינת, שאולי יש לייחסה </w:t>
      </w:r>
      <w:proofErr w:type="spellStart"/>
      <w:r>
        <w:rPr>
          <w:rtl/>
        </w:rPr>
        <w:t>לר</w:t>
      </w:r>
      <w:proofErr w:type="spellEnd"/>
      <w:r>
        <w:rPr>
          <w:rtl/>
        </w:rPr>
        <w:t xml:space="preserve">׳ </w:t>
      </w:r>
      <w:proofErr w:type="spellStart"/>
      <w:r>
        <w:rPr>
          <w:rtl/>
        </w:rPr>
        <w:t>לייבל׳ה</w:t>
      </w:r>
      <w:proofErr w:type="spellEnd"/>
      <w:r>
        <w:rPr>
          <w:rtl/>
        </w:rPr>
        <w:t xml:space="preserve">, מאירה את יחסו לתנועה דתית אחרת. בכתבתו של </w:t>
      </w:r>
      <w:proofErr w:type="spellStart"/>
      <w:r>
        <w:rPr>
          <w:rtl/>
        </w:rPr>
        <w:t>חיים־צבי־הירש</w:t>
      </w:r>
      <w:proofErr w:type="spellEnd"/>
      <w:r>
        <w:rPr>
          <w:rtl/>
        </w:rPr>
        <w:t xml:space="preserve"> </w:t>
      </w:r>
      <w:proofErr w:type="spellStart"/>
      <w:r>
        <w:rPr>
          <w:rtl/>
        </w:rPr>
        <w:t>ברודא</w:t>
      </w:r>
      <w:proofErr w:type="spellEnd"/>
      <w:r>
        <w:rPr>
          <w:rtl/>
        </w:rPr>
        <w:t xml:space="preserve"> </w:t>
      </w:r>
      <w:proofErr w:type="spellStart"/>
      <w:r>
        <w:rPr>
          <w:rtl/>
        </w:rPr>
        <w:t>ב“המליץ</w:t>
      </w:r>
      <w:proofErr w:type="spellEnd"/>
      <w:r>
        <w:rPr>
          <w:rtl/>
        </w:rPr>
        <w:t>”</w:t>
      </w:r>
      <w:bookmarkStart w:id="6388" w:name="_fnr4806"/>
      <w:r>
        <w:rPr>
          <w:rStyle w:val="a5"/>
        </w:rPr>
        <w:footnoteReference w:id="4818" w:customMarkFollows="0"/>
      </w:r>
      <w:bookmarkEnd w:id="6388"/>
      <w:r>
        <w:rPr>
          <w:rtl/>
        </w:rPr>
        <w:t xml:space="preserve"> נזכר המחבר: “אני זוכר מן התקופה שבה הייתי נער וזכיתי לשמש את הגאון, צדיק ותמים ר׳ </w:t>
      </w:r>
      <w:proofErr w:type="spellStart"/>
      <w:r>
        <w:rPr>
          <w:rtl/>
        </w:rPr>
        <w:t>אברהם־שמואל</w:t>
      </w:r>
      <w:proofErr w:type="spellEnd"/>
      <w:r>
        <w:rPr>
          <w:rtl/>
        </w:rPr>
        <w:t xml:space="preserve"> </w:t>
      </w:r>
      <w:proofErr w:type="spellStart"/>
      <w:r>
        <w:rPr>
          <w:rtl/>
        </w:rPr>
        <w:t>מראסיין</w:t>
      </w:r>
      <w:proofErr w:type="spellEnd"/>
      <w:r>
        <w:rPr>
          <w:rtl/>
        </w:rPr>
        <w:t>, זי״ע</w:t>
      </w:r>
      <w:bookmarkStart w:id="6389" w:name="_fnr4807"/>
      <w:r>
        <w:rPr>
          <w:rStyle w:val="a5"/>
        </w:rPr>
        <w:footnoteReference w:id="4819" w:customMarkFollows="0"/>
      </w:r>
      <w:bookmarkEnd w:id="6389"/>
      <w:r>
        <w:rPr>
          <w:rtl/>
        </w:rPr>
        <w:t xml:space="preserve">, כשנתיים וחצי, ושמעתי לא מעט פעמים את פיו הקדוש מתאונן על תנועת המוסר, שרק התחילה בימיו. אינני זוכר היטב אם אמר זאת מדעת עצמו, או, כמדומה, בשם הגאון ר׳ </w:t>
      </w:r>
      <w:proofErr w:type="spellStart"/>
      <w:r>
        <w:rPr>
          <w:rtl/>
        </w:rPr>
        <w:t>לייבל׳ה</w:t>
      </w:r>
      <w:proofErr w:type="spellEnd"/>
      <w:r>
        <w:rPr>
          <w:rtl/>
        </w:rPr>
        <w:t xml:space="preserve"> שפירא מקובנה, </w:t>
      </w:r>
      <w:proofErr w:type="spellStart"/>
      <w:r>
        <w:rPr>
          <w:rtl/>
        </w:rPr>
        <w:t>זצללה״ה</w:t>
      </w:r>
      <w:proofErr w:type="spellEnd"/>
      <w:r>
        <w:rPr>
          <w:rtl/>
        </w:rPr>
        <w:t xml:space="preserve">, זי״ע, בלשון זו: חסידי </w:t>
      </w:r>
      <w:proofErr w:type="spellStart"/>
      <w:r>
        <w:rPr>
          <w:rtl/>
        </w:rPr>
        <w:t>זאמוט</w:t>
      </w:r>
      <w:proofErr w:type="spellEnd"/>
      <w:r>
        <w:rPr>
          <w:rtl/>
        </w:rPr>
        <w:t xml:space="preserve"> [בעלי המוסר] יזיקו לנו ויחריבו יותר בימים הבאים מחסידי גליציה [תנועת החסידות], ונצטרך לסבול ולהתענות מהם”.</w:t>
      </w:r>
    </w:p>
    <w:p w14:paraId="2AAD73A4" w14:textId="77777777" w:rsidR="00AB3647" w:rsidRDefault="00000000" w:rsidP="007923E9">
      <w:pPr>
        <w:spacing w:after="120" w:line="276" w:lineRule="auto"/>
        <w:ind w:firstLine="283"/>
        <w:jc w:val="both"/>
      </w:pPr>
      <w:r>
        <w:rPr>
          <w:rtl/>
        </w:rPr>
        <w:t xml:space="preserve">השווה גם </w:t>
      </w:r>
      <w:proofErr w:type="spellStart"/>
      <w:r>
        <w:rPr>
          <w:rtl/>
        </w:rPr>
        <w:t>אטקס</w:t>
      </w:r>
      <w:proofErr w:type="spellEnd"/>
      <w:r>
        <w:rPr>
          <w:rtl/>
        </w:rPr>
        <w:t xml:space="preserve">, “ר׳ ישראל </w:t>
      </w:r>
      <w:proofErr w:type="spellStart"/>
      <w:r>
        <w:rPr>
          <w:rtl/>
        </w:rPr>
        <w:t>סלנטר</w:t>
      </w:r>
      <w:proofErr w:type="spellEnd"/>
      <w:r>
        <w:rPr>
          <w:rtl/>
        </w:rPr>
        <w:t xml:space="preserve"> וראשיתה של תנועת המוסר”</w:t>
      </w:r>
      <w:bookmarkStart w:id="6390" w:name="_fnr4808"/>
      <w:r>
        <w:rPr>
          <w:rStyle w:val="a5"/>
        </w:rPr>
        <w:footnoteReference w:id="4820" w:customMarkFollows="0"/>
      </w:r>
      <w:bookmarkEnd w:id="6390"/>
      <w:r>
        <w:rPr>
          <w:rtl/>
        </w:rPr>
        <w:t>, על טיב משרתו הראשונה של ר׳ ישראל בקובנה ועל הסיבה שעזב אותה אחרי זמן קצר. בתחילה הופקד “על עניינים הנוגעים ליראת שמים”</w:t>
      </w:r>
      <w:bookmarkStart w:id="6391" w:name="_fnr4809"/>
      <w:r>
        <w:rPr>
          <w:rStyle w:val="a5"/>
        </w:rPr>
        <w:footnoteReference w:id="4821" w:customMarkFollows="0"/>
      </w:r>
      <w:bookmarkEnd w:id="6391"/>
      <w:r>
        <w:rPr>
          <w:rtl/>
        </w:rPr>
        <w:t xml:space="preserve">, ודרש מדי שבוע בכל העיר דרשות למדניות ומעוררות. אבל בתחילת העשור הבא, כשהבין ר׳ </w:t>
      </w:r>
      <w:proofErr w:type="spellStart"/>
      <w:r>
        <w:rPr>
          <w:rtl/>
        </w:rPr>
        <w:t>לייבל׳ה</w:t>
      </w:r>
      <w:proofErr w:type="spellEnd"/>
      <w:r>
        <w:rPr>
          <w:rtl/>
        </w:rPr>
        <w:t xml:space="preserve"> שגישה זו ליראת שמים – כלומר, דרך המוסר – אינה שגרתית, הכריח את ר׳ ישראל להתפטר. אז נודעה התנגדותו של ר׳ </w:t>
      </w:r>
      <w:proofErr w:type="spellStart"/>
      <w:r>
        <w:rPr>
          <w:rtl/>
        </w:rPr>
        <w:t>לייבל׳ה</w:t>
      </w:r>
      <w:proofErr w:type="spellEnd"/>
      <w:r>
        <w:rPr>
          <w:rtl/>
        </w:rPr>
        <w:t xml:space="preserve"> למוסר ברבים, והגיעה לעוצמה כזו שהביאה את שמשו לנהוג ביד רמה ולא להזמין את “</w:t>
      </w:r>
      <w:proofErr w:type="spellStart"/>
      <w:r>
        <w:rPr>
          <w:rtl/>
        </w:rPr>
        <w:t>המוסרניק</w:t>
      </w:r>
      <w:proofErr w:type="spellEnd"/>
      <w:r>
        <w:rPr>
          <w:rtl/>
        </w:rPr>
        <w:t xml:space="preserve">” לחתונת בנו של ר׳ </w:t>
      </w:r>
      <w:proofErr w:type="spellStart"/>
      <w:r>
        <w:rPr>
          <w:rtl/>
        </w:rPr>
        <w:t>לייבל׳ה</w:t>
      </w:r>
      <w:proofErr w:type="spellEnd"/>
      <w:r>
        <w:rPr>
          <w:rtl/>
        </w:rPr>
        <w:t xml:space="preserve">, בניגוד להוראותיו המפורשות של הרב. לפי זה, מעשה ההזמנה </w:t>
      </w:r>
      <w:r>
        <w:rPr>
          <w:rtl/>
        </w:rPr>
        <w:lastRenderedPageBreak/>
        <w:t xml:space="preserve">שלא נמסרה מוכרח היה להתרחש </w:t>
      </w:r>
      <w:proofErr w:type="spellStart"/>
      <w:r>
        <w:rPr>
          <w:rtl/>
        </w:rPr>
        <w:t>בתרי״ב</w:t>
      </w:r>
      <w:proofErr w:type="spellEnd"/>
      <w:r>
        <w:rPr>
          <w:rtl/>
        </w:rPr>
        <w:t xml:space="preserve">, השנה האחרונה לחייו של ר׳ </w:t>
      </w:r>
      <w:proofErr w:type="spellStart"/>
      <w:r>
        <w:rPr>
          <w:rtl/>
        </w:rPr>
        <w:t>לייבל׳ה</w:t>
      </w:r>
      <w:proofErr w:type="spellEnd"/>
      <w:r>
        <w:rPr>
          <w:rtl/>
        </w:rPr>
        <w:t xml:space="preserve"> ולכהונתו בקובנה, שנמשכה חמש שנים</w:t>
      </w:r>
      <w:bookmarkStart w:id="6392" w:name="_fnr4810"/>
      <w:r>
        <w:rPr>
          <w:rStyle w:val="a5"/>
        </w:rPr>
        <w:footnoteReference w:id="4822" w:customMarkFollows="0"/>
      </w:r>
      <w:bookmarkEnd w:id="6392"/>
      <w:r>
        <w:rPr>
          <w:rtl/>
        </w:rPr>
        <w:t>.</w:t>
      </w:r>
    </w:p>
    <w:p w14:paraId="5B3A250E" w14:textId="77777777" w:rsidR="00AB3647" w:rsidRDefault="00000000" w:rsidP="007923E9">
      <w:pPr>
        <w:spacing w:after="120" w:line="276" w:lineRule="auto"/>
        <w:ind w:firstLine="283"/>
        <w:jc w:val="both"/>
      </w:pPr>
      <w:r>
        <w:rPr>
          <w:rtl/>
        </w:rPr>
        <w:t xml:space="preserve">אפשר לשער שנטייתם של פשוטי העם – כמו זו של יעקב מארק, כאמור לעיל – לשנות את הסיפור המזעזע על אכילת ר׳ ישראל ביום הכיפורים, חייבה בחוגים </w:t>
      </w:r>
      <w:r>
        <w:rPr>
          <w:b/>
          <w:bCs/>
          <w:rtl/>
        </w:rPr>
        <w:t>שלא היו רבניים</w:t>
      </w:r>
      <w:r>
        <w:rPr>
          <w:rtl/>
        </w:rPr>
        <w:t xml:space="preserve"> להמציא סיבה אחרת למעבר ר׳ ישראל לקובנה. התנגדותו הנמרצת של ר׳ ישראל לרעיון בתי המדרש לרבנים סיפקה את האמתלה המתקבלת על הדעת. התנגדות זו הופגנה באופן </w:t>
      </w:r>
      <w:proofErr w:type="spellStart"/>
      <w:r>
        <w:rPr>
          <w:rtl/>
        </w:rPr>
        <w:t>חד־משמעי</w:t>
      </w:r>
      <w:proofErr w:type="spellEnd"/>
      <w:r>
        <w:rPr>
          <w:rtl/>
        </w:rPr>
        <w:t xml:space="preserve"> בחצי השנה האחרונה לחייו, כאשר נשקלה הקמת בית מדרש חדש כזה</w:t>
      </w:r>
      <w:bookmarkStart w:id="6393" w:name="_fnr4811"/>
      <w:r>
        <w:rPr>
          <w:rStyle w:val="a5"/>
        </w:rPr>
        <w:footnoteReference w:id="4823" w:customMarkFollows="0"/>
      </w:r>
      <w:bookmarkEnd w:id="6393"/>
      <w:r>
        <w:rPr>
          <w:rtl/>
        </w:rPr>
        <w:t xml:space="preserve">. אפשר לשער גם שאם על יחסו של ר׳ יעקב </w:t>
      </w:r>
      <w:proofErr w:type="spellStart"/>
      <w:r>
        <w:rPr>
          <w:rtl/>
        </w:rPr>
        <w:t>באריט</w:t>
      </w:r>
      <w:proofErr w:type="spellEnd"/>
      <w:r>
        <w:rPr>
          <w:rtl/>
        </w:rPr>
        <w:t>, חכם וילנאי מיושב בדעתו, לבית המדרש לרבנים יש עדויות סותרות, כאמור לעיל, בוודאי אפשר שהיו דעות חלוקות על יחסו של ר׳ ישראל למוסד – אדם בעל רעיונות בלתי רגילים כל כך, כמו שליחת תלמידים לאוניברסיטאות</w:t>
      </w:r>
      <w:bookmarkStart w:id="6394" w:name="_fnr4812"/>
      <w:r>
        <w:rPr>
          <w:rStyle w:val="a5"/>
        </w:rPr>
        <w:footnoteReference w:id="4824" w:customMarkFollows="0"/>
      </w:r>
      <w:bookmarkEnd w:id="6394"/>
      <w:r>
        <w:rPr>
          <w:rtl/>
        </w:rPr>
        <w:t>.</w:t>
      </w:r>
    </w:p>
    <w:p w14:paraId="60AC790E" w14:textId="77777777" w:rsidR="00AB3647" w:rsidRDefault="00000000" w:rsidP="007923E9">
      <w:pPr>
        <w:spacing w:after="120" w:line="276" w:lineRule="auto"/>
        <w:ind w:firstLine="283"/>
        <w:jc w:val="both"/>
      </w:pPr>
      <w:r>
        <w:rPr>
          <w:rtl/>
        </w:rPr>
        <w:t xml:space="preserve">כדי להבהיר בלי ספק שר׳ ישראל מתנגד לבית המדרש לרבנים, היה צורך להפיץ בחוגים </w:t>
      </w:r>
      <w:r>
        <w:rPr>
          <w:b/>
          <w:bCs/>
          <w:rtl/>
        </w:rPr>
        <w:t>הרבניים</w:t>
      </w:r>
      <w:r>
        <w:rPr>
          <w:rtl/>
        </w:rPr>
        <w:t xml:space="preserve"> שהרחיק לכת כדי להימנע מכל זיהוי עמו. כך חברו החוגים הרבניים </w:t>
      </w:r>
      <w:proofErr w:type="spellStart"/>
      <w:r>
        <w:rPr>
          <w:rtl/>
        </w:rPr>
        <w:t>והלא־רבניים</w:t>
      </w:r>
      <w:proofErr w:type="spellEnd"/>
      <w:r>
        <w:rPr>
          <w:rtl/>
        </w:rPr>
        <w:t xml:space="preserve"> להפצת הסיבה הכוזבת </w:t>
      </w:r>
      <w:proofErr w:type="spellStart"/>
      <w:r>
        <w:rPr>
          <w:rtl/>
        </w:rPr>
        <w:t>ל“בריחתו</w:t>
      </w:r>
      <w:proofErr w:type="spellEnd"/>
      <w:r>
        <w:rPr>
          <w:rtl/>
        </w:rPr>
        <w:t xml:space="preserve">” של ר׳ ישראל לקובנה. סיבה זו, על אף חולשותיה ההגיוניות, אולי כבר הועלתה בידי חסידיו של ר׳ ישראל בשעת מעברו לקובנה. לו עצמו לא היה עניין להכחיש את הסיבה הבדויה, מפני שהבלטת הסיבה האמיתית – כלומר, מחלוקתו עם הממסד הרבני בווילנה – הייתה עלולה רק לעורר חשד כלפיו במקום מגוריו החדש, שבו היה עליו לקבל משרה ציבורית כלשהי, כפי שהתנה ר׳ </w:t>
      </w:r>
      <w:proofErr w:type="spellStart"/>
      <w:r>
        <w:rPr>
          <w:rtl/>
        </w:rPr>
        <w:t>לייבל׳ה</w:t>
      </w:r>
      <w:proofErr w:type="spellEnd"/>
      <w:r>
        <w:rPr>
          <w:rtl/>
        </w:rPr>
        <w:t xml:space="preserve"> ברשות שנתן לו להתגורר בעיר.</w:t>
      </w:r>
    </w:p>
    <w:p w14:paraId="53ACE84C" w14:textId="77777777" w:rsidR="00AB3647" w:rsidRDefault="00000000" w:rsidP="007923E9">
      <w:pPr>
        <w:spacing w:after="120" w:line="276" w:lineRule="auto"/>
        <w:ind w:firstLine="283"/>
        <w:jc w:val="both"/>
      </w:pPr>
      <w:r>
        <w:rPr>
          <w:rtl/>
        </w:rPr>
        <w:t xml:space="preserve">בכך מוסבר מדוע גם ר׳ יהונתן </w:t>
      </w:r>
      <w:proofErr w:type="spellStart"/>
      <w:r>
        <w:rPr>
          <w:rtl/>
        </w:rPr>
        <w:t>אליאשברג</w:t>
      </w:r>
      <w:proofErr w:type="spellEnd"/>
      <w:r>
        <w:rPr>
          <w:rtl/>
        </w:rPr>
        <w:t xml:space="preserve"> טעה כשכתב</w:t>
      </w:r>
      <w:bookmarkStart w:id="6395" w:name="_fnr4813"/>
      <w:r>
        <w:rPr>
          <w:rStyle w:val="a5"/>
        </w:rPr>
        <w:footnoteReference w:id="4825" w:customMarkFollows="0"/>
      </w:r>
      <w:bookmarkEnd w:id="6395"/>
      <w:r>
        <w:rPr>
          <w:rtl/>
        </w:rPr>
        <w:t xml:space="preserve"> – כארבעים שנה אחר כך</w:t>
      </w:r>
      <w:bookmarkStart w:id="6396" w:name="_fnr4814"/>
      <w:r>
        <w:rPr>
          <w:rStyle w:val="a5"/>
        </w:rPr>
        <w:footnoteReference w:id="4826" w:customMarkFollows="0"/>
      </w:r>
      <w:bookmarkEnd w:id="6396"/>
      <w:r>
        <w:rPr>
          <w:rtl/>
        </w:rPr>
        <w:t xml:space="preserve"> – שר׳ ישראל </w:t>
      </w:r>
      <w:r>
        <w:rPr>
          <w:b/>
          <w:bCs/>
          <w:rtl/>
        </w:rPr>
        <w:t>אמר</w:t>
      </w:r>
      <w:r>
        <w:rPr>
          <w:rtl/>
        </w:rPr>
        <w:t xml:space="preserve"> לאביו, כשהסדירו את המעבר לקובנה, שבית המדרש לרבנים הוא הסיבה. ההסבר המוצע הוא שהרב </w:t>
      </w:r>
      <w:proofErr w:type="spellStart"/>
      <w:r>
        <w:rPr>
          <w:rtl/>
        </w:rPr>
        <w:t>אליאשברג</w:t>
      </w:r>
      <w:proofErr w:type="spellEnd"/>
      <w:r>
        <w:rPr>
          <w:rtl/>
        </w:rPr>
        <w:t xml:space="preserve">, בנו של האיש שהיה אחראי להסדרת משכורתו של ר׳ ישראל בקובנה, ייפה בתום לב את השיחה בין השניים. בשיחה זו, אם אכן הוזכר בה בית המדרש, </w:t>
      </w:r>
      <w:r>
        <w:rPr>
          <w:b/>
          <w:bCs/>
          <w:rtl/>
        </w:rPr>
        <w:t>לא אמר</w:t>
      </w:r>
      <w:r>
        <w:rPr>
          <w:rtl/>
        </w:rPr>
        <w:t xml:space="preserve"> ר׳ ישראל שעזב את וילנה בגללו, אלא לא תיקן את הנחתו (המוטעית) של המנהיג </w:t>
      </w:r>
      <w:proofErr w:type="spellStart"/>
      <w:r>
        <w:rPr>
          <w:rtl/>
        </w:rPr>
        <w:t>הקובנאי</w:t>
      </w:r>
      <w:proofErr w:type="spellEnd"/>
      <w:r>
        <w:rPr>
          <w:rtl/>
        </w:rPr>
        <w:t>.</w:t>
      </w:r>
    </w:p>
    <w:p w14:paraId="2B58A020" w14:textId="77777777" w:rsidR="00AB3647" w:rsidRDefault="00000000" w:rsidP="007923E9">
      <w:pPr>
        <w:spacing w:after="120" w:line="276" w:lineRule="auto"/>
        <w:ind w:firstLine="283"/>
        <w:jc w:val="both"/>
      </w:pPr>
      <w:r>
        <w:rPr>
          <w:rtl/>
        </w:rPr>
        <w:t xml:space="preserve">ראיה נוספת, אם כי חלשה, לכך שההצעה מבית המדרש לא הייתה סיבת עזיבתו את וילנה, אפשר לראות בכך שר׳ ישראל הסתיר את סיבת עזיבתו. הדבר עולה </w:t>
      </w:r>
      <w:proofErr w:type="spellStart"/>
      <w:r>
        <w:rPr>
          <w:rtl/>
        </w:rPr>
        <w:t>מ“זכרון</w:t>
      </w:r>
      <w:proofErr w:type="spellEnd"/>
      <w:r>
        <w:rPr>
          <w:rtl/>
        </w:rPr>
        <w:t xml:space="preserve"> יעקב”</w:t>
      </w:r>
      <w:bookmarkStart w:id="6397" w:name="_fnr4815"/>
      <w:r>
        <w:rPr>
          <w:rStyle w:val="a5"/>
        </w:rPr>
        <w:footnoteReference w:id="4827" w:customMarkFollows="0"/>
      </w:r>
      <w:bookmarkEnd w:id="6397"/>
      <w:r>
        <w:rPr>
          <w:rtl/>
        </w:rPr>
        <w:t xml:space="preserve">, שבו </w:t>
      </w:r>
      <w:r>
        <w:rPr>
          <w:rtl/>
        </w:rPr>
        <w:lastRenderedPageBreak/>
        <w:t>מספר המחבר: “באחת משיחותיי עם ר׳ ישראל</w:t>
      </w:r>
      <w:bookmarkStart w:id="6398" w:name="_fnr4816"/>
      <w:r>
        <w:rPr>
          <w:rStyle w:val="a5"/>
        </w:rPr>
        <w:footnoteReference w:id="4828" w:customMarkFollows="0"/>
      </w:r>
      <w:bookmarkEnd w:id="6398"/>
      <w:r>
        <w:rPr>
          <w:rtl/>
        </w:rPr>
        <w:t xml:space="preserve">, שאלתיו... אם יש לו עוד טעמים ונימוקים נסתרים יותר, שבגללם לא רצה לקבל משרה זו – מלבד הטעם היסודי שמוסד זה נוסד רק על כוח המנהל </w:t>
      </w:r>
      <w:proofErr w:type="spellStart"/>
      <w:r>
        <w:rPr>
          <w:rtl/>
        </w:rPr>
        <w:t>הלא־יהודי</w:t>
      </w:r>
      <w:proofErr w:type="spellEnd"/>
      <w:r>
        <w:rPr>
          <w:rtl/>
        </w:rPr>
        <w:t xml:space="preserve">. הוא השיב </w:t>
      </w:r>
      <w:r>
        <w:rPr>
          <w:b/>
          <w:bCs/>
          <w:rtl/>
        </w:rPr>
        <w:t>בארשת רצינית</w:t>
      </w:r>
      <w:r>
        <w:rPr>
          <w:rtl/>
        </w:rPr>
        <w:t xml:space="preserve"> (ההדגשה שלי): ‘אילו היה כדאי לחרדים לקבל בתים אלו תחת השגחתם והנהגתם, היה ר׳ דוד</w:t>
      </w:r>
      <w:bookmarkStart w:id="6399" w:name="_fnr4817"/>
      <w:r>
        <w:rPr>
          <w:rStyle w:val="a5"/>
        </w:rPr>
        <w:footnoteReference w:id="4829" w:customMarkFollows="0"/>
      </w:r>
      <w:bookmarkEnd w:id="6399"/>
      <w:r>
        <w:rPr>
          <w:rtl/>
        </w:rPr>
        <w:t xml:space="preserve"> </w:t>
      </w:r>
      <w:proofErr w:type="spellStart"/>
      <w:r>
        <w:rPr>
          <w:rtl/>
        </w:rPr>
        <w:t>מביחוב</w:t>
      </w:r>
      <w:proofErr w:type="spellEnd"/>
      <w:r>
        <w:rPr>
          <w:rtl/>
        </w:rPr>
        <w:t xml:space="preserve"> ראוי ומסוגל לכך יותר ממני’. ראיתי שרצונו הקדוש שלא לדבר עוד על כך, וחדלתי”.</w:t>
      </w:r>
    </w:p>
    <w:p w14:paraId="0203B06A" w14:textId="77777777" w:rsidR="00AB3647" w:rsidRDefault="00000000" w:rsidP="007923E9">
      <w:pPr>
        <w:spacing w:after="120" w:line="276" w:lineRule="auto"/>
        <w:ind w:firstLine="283"/>
        <w:jc w:val="both"/>
      </w:pPr>
      <w:r>
        <w:rPr>
          <w:rtl/>
        </w:rPr>
        <w:t xml:space="preserve">יש משמעות לכך שר׳ ישראל לא השיב שדחה את המשרה מפני שהיה אדם ראוי ממנו לקבלה. הוא רק הביע את דעתו על התאמתו למשרה במצב היפותטי, שבו הציבור החרדי היה מנהל את בית המדרש. נראה שבמילים שהודגשו מבקש ר׳ יעקב הלוי ליפשיץ להבליט שאף שתשובת ר׳ ישראל הייתה היפותטית – ר׳ יעקב הלוי ליפשיץ הבין שר׳ ישראל אינו משיב על שאלתו אלא רק מעלה אפשרות – נשאר ר׳ ישראל בעל “ארשת רצינית”. ר׳ ישראל השיב בהתחמקות להנחה (הכוזבת) שעזיבתו את וילנה הייתה קשורה להצעה מבית המדרש, בדומה לתגובתו כאשר טעה אביו של הרב </w:t>
      </w:r>
      <w:proofErr w:type="spellStart"/>
      <w:r>
        <w:rPr>
          <w:rtl/>
        </w:rPr>
        <w:t>אליאשברג</w:t>
      </w:r>
      <w:proofErr w:type="spellEnd"/>
      <w:r>
        <w:rPr>
          <w:rtl/>
        </w:rPr>
        <w:t xml:space="preserve"> באותה טעות</w:t>
      </w:r>
      <w:bookmarkStart w:id="6400" w:name="_fnr4818"/>
      <w:r>
        <w:rPr>
          <w:rStyle w:val="a5"/>
        </w:rPr>
        <w:footnoteReference w:id="4830" w:customMarkFollows="0"/>
      </w:r>
      <w:bookmarkEnd w:id="6400"/>
      <w:r>
        <w:rPr>
          <w:rtl/>
        </w:rPr>
        <w:t>.</w:t>
      </w:r>
    </w:p>
    <w:p w14:paraId="62937C3E" w14:textId="77777777" w:rsidR="00AB3647" w:rsidRDefault="00000000" w:rsidP="007923E9">
      <w:pPr>
        <w:spacing w:after="120" w:line="276" w:lineRule="auto"/>
        <w:ind w:firstLine="283"/>
        <w:jc w:val="both"/>
      </w:pPr>
      <w:r>
        <w:rPr>
          <w:rtl/>
        </w:rPr>
        <w:t>ההשערה שר׳ ישראל עזב את וילנה בגלל ההצעה מבית המדרש השתרשה היטב כאשר המשכילים, שחיפשו שעיר לעזאזל להטיל עליו את אשמת כישלונו של בית המדרש לרבנים הראשון, טענו שאילו קיבל את המשרה היה המוסד מצליח. השווה “הכרמל”, תרמ״ח</w:t>
      </w:r>
      <w:bookmarkStart w:id="6401" w:name="_fnr4819"/>
      <w:r>
        <w:rPr>
          <w:rStyle w:val="a5"/>
        </w:rPr>
        <w:footnoteReference w:id="4831" w:customMarkFollows="0"/>
      </w:r>
      <w:bookmarkEnd w:id="6401"/>
      <w:r>
        <w:rPr>
          <w:rtl/>
        </w:rPr>
        <w:t xml:space="preserve">: את הטענה הזאת מעלה שם כותב שלמד שנה </w:t>
      </w:r>
      <w:proofErr w:type="spellStart"/>
      <w:r>
        <w:rPr>
          <w:rtl/>
        </w:rPr>
        <w:t>בוולוז׳ין</w:t>
      </w:r>
      <w:proofErr w:type="spellEnd"/>
      <w:r>
        <w:rPr>
          <w:rtl/>
        </w:rPr>
        <w:t xml:space="preserve"> ובדרך כלל היה יחסו לישיבה אוהד – </w:t>
      </w:r>
      <w:proofErr w:type="spellStart"/>
      <w:r>
        <w:rPr>
          <w:rtl/>
        </w:rPr>
        <w:t>יב״ם</w:t>
      </w:r>
      <w:proofErr w:type="spellEnd"/>
      <w:r>
        <w:rPr>
          <w:rtl/>
        </w:rPr>
        <w:t xml:space="preserve">, שם העט של מיכה יוסף </w:t>
      </w:r>
      <w:proofErr w:type="spellStart"/>
      <w:r>
        <w:rPr>
          <w:rtl/>
        </w:rPr>
        <w:t>ברדיצבסקי</w:t>
      </w:r>
      <w:proofErr w:type="spellEnd"/>
      <w:r>
        <w:rPr>
          <w:rtl/>
        </w:rPr>
        <w:t xml:space="preserve"> – בתשובה לטענת </w:t>
      </w:r>
      <w:proofErr w:type="spellStart"/>
      <w:r>
        <w:rPr>
          <w:rtl/>
        </w:rPr>
        <w:t>הנצי״ב</w:t>
      </w:r>
      <w:proofErr w:type="spellEnd"/>
      <w:r>
        <w:rPr>
          <w:rtl/>
        </w:rPr>
        <w:t xml:space="preserve"> שכישלונם של בתי המדרש לרבנים הוא טענה נגד הכנסת לימודי חול לישיבה. השווה גם “השחר”</w:t>
      </w:r>
      <w:bookmarkStart w:id="6402" w:name="_fnr4820"/>
      <w:r>
        <w:rPr>
          <w:rStyle w:val="a5"/>
        </w:rPr>
        <w:footnoteReference w:id="4832" w:customMarkFollows="0"/>
      </w:r>
      <w:bookmarkEnd w:id="6402"/>
      <w:r>
        <w:rPr>
          <w:rtl/>
        </w:rPr>
        <w:t>, שבו נאמר</w:t>
      </w:r>
      <w:bookmarkStart w:id="6403" w:name="_fnr4821"/>
      <w:r>
        <w:rPr>
          <w:rStyle w:val="a5"/>
        </w:rPr>
        <w:footnoteReference w:id="4833" w:customMarkFollows="0"/>
      </w:r>
      <w:bookmarkEnd w:id="6403"/>
      <w:r>
        <w:rPr>
          <w:rtl/>
        </w:rPr>
        <w:t xml:space="preserve"> במאמר מאת ישראל </w:t>
      </w:r>
      <w:proofErr w:type="spellStart"/>
      <w:r>
        <w:rPr>
          <w:rtl/>
        </w:rPr>
        <w:t>בערנשטיין</w:t>
      </w:r>
      <w:proofErr w:type="spellEnd"/>
      <w:r>
        <w:rPr>
          <w:rtl/>
        </w:rPr>
        <w:t xml:space="preserve"> בשם “למהר גאולה”: “חכמי הדור [המשכילים] ראו ב[דחיית המשרה] עוון פלילי מצד ר׳ ישראל”.</w:t>
      </w:r>
    </w:p>
    <w:p w14:paraId="4F123708" w14:textId="77777777" w:rsidR="00AB3647" w:rsidRDefault="00000000" w:rsidP="007923E9">
      <w:pPr>
        <w:spacing w:after="120" w:line="276" w:lineRule="auto"/>
        <w:ind w:firstLine="283"/>
        <w:jc w:val="both"/>
      </w:pPr>
      <w:r>
        <w:rPr>
          <w:rtl/>
        </w:rPr>
        <w:t xml:space="preserve">המשכילים התעלמו, כנוח להם, ממטרתה של ממשלת רוסיה בייסוד בתי המדרש לרבנים, כפי שנוסחה בתזכירו של שר ההשכלה </w:t>
      </w:r>
      <w:proofErr w:type="spellStart"/>
      <w:r>
        <w:rPr>
          <w:rtl/>
        </w:rPr>
        <w:t>אוברוב</w:t>
      </w:r>
      <w:bookmarkStart w:id="6404" w:name="_fnr4822"/>
      <w:proofErr w:type="spellEnd"/>
      <w:r>
        <w:rPr>
          <w:rStyle w:val="a5"/>
        </w:rPr>
        <w:t/>
      </w:r>
      <w:bookmarkStart w:id="7053" w:name="_TranslatorNote_4820"/>
      <w:r>
        <w:rPr>
          <w:rStyle w:val="a5"/>
          <w:vertAlign w:val="superscript"/>
          <w:rtl/>
        </w:rPr>
        <w:footnoteReference w:id="4834" w:customMarkFollows="1"/>
        <w:t>*</w:t>
      </w:r>
      <w:bookmarkEnd w:id="7053"/>
      <w:bookmarkEnd w:id="6404"/>
      <w:r>
        <w:rPr>
          <w:rtl/>
        </w:rPr>
        <w:t xml:space="preserve"> לצאר ניקולאי הראשון. התזכיר נתפרסם</w:t>
      </w:r>
      <w:bookmarkStart w:id="6405" w:name="_fnr4823"/>
      <w:r>
        <w:rPr>
          <w:rStyle w:val="a5"/>
        </w:rPr>
        <w:footnoteReference w:id="4835" w:customMarkFollows="0"/>
      </w:r>
      <w:bookmarkEnd w:id="6405"/>
      <w:r>
        <w:rPr>
          <w:rtl/>
        </w:rPr>
        <w:t xml:space="preserve"> </w:t>
      </w:r>
      <w:proofErr w:type="spellStart"/>
      <w:r>
        <w:rPr>
          <w:rtl/>
        </w:rPr>
        <w:t>בתרכ״ו</w:t>
      </w:r>
      <w:proofErr w:type="spellEnd"/>
      <w:r>
        <w:rPr>
          <w:rtl/>
        </w:rPr>
        <w:t xml:space="preserve">, </w:t>
      </w:r>
      <w:proofErr w:type="spellStart"/>
      <w:r>
        <w:rPr>
          <w:b/>
          <w:bCs/>
          <w:rtl/>
        </w:rPr>
        <w:t>ארבע־עשרה</w:t>
      </w:r>
      <w:proofErr w:type="spellEnd"/>
      <w:r>
        <w:rPr>
          <w:b/>
          <w:bCs/>
          <w:rtl/>
        </w:rPr>
        <w:t xml:space="preserve"> שנה לפני פרסום מאמרו של </w:t>
      </w:r>
      <w:proofErr w:type="spellStart"/>
      <w:r>
        <w:rPr>
          <w:b/>
          <w:bCs/>
          <w:rtl/>
        </w:rPr>
        <w:t>בערנשטיין</w:t>
      </w:r>
      <w:proofErr w:type="spellEnd"/>
      <w:r>
        <w:rPr>
          <w:rtl/>
        </w:rPr>
        <w:t>, ונאמר בו: “באמצעות הרבנים שיסיימו את בתי המדרש לרבנים ימאסו היהודים בתלמוד, שהוא המכשול העומד בדרך התנצרותם”</w:t>
      </w:r>
      <w:bookmarkStart w:id="6406" w:name="_fnr4824"/>
      <w:r>
        <w:rPr>
          <w:rStyle w:val="a5"/>
        </w:rPr>
        <w:footnoteReference w:id="4836" w:customMarkFollows="0"/>
      </w:r>
      <w:bookmarkEnd w:id="6406"/>
      <w:r>
        <w:rPr>
          <w:rtl/>
        </w:rPr>
        <w:t xml:space="preserve">. כעסם של המשכילים על ר׳ ישראל היה גדול מכעסם על האחרים שדחו את המשרה – “ר׳ יעקב </w:t>
      </w:r>
      <w:proofErr w:type="spellStart"/>
      <w:r>
        <w:rPr>
          <w:rtl/>
        </w:rPr>
        <w:t>באריט</w:t>
      </w:r>
      <w:proofErr w:type="spellEnd"/>
      <w:r>
        <w:rPr>
          <w:rtl/>
        </w:rPr>
        <w:t xml:space="preserve">... ר׳ שמואל </w:t>
      </w:r>
      <w:proofErr w:type="spellStart"/>
      <w:r>
        <w:rPr>
          <w:rtl/>
        </w:rPr>
        <w:t>שטראשון</w:t>
      </w:r>
      <w:proofErr w:type="spellEnd"/>
      <w:r>
        <w:rPr>
          <w:rtl/>
        </w:rPr>
        <w:t xml:space="preserve"> ואחרים”, כפי שצוטט </w:t>
      </w:r>
      <w:proofErr w:type="spellStart"/>
      <w:r>
        <w:rPr>
          <w:rtl/>
        </w:rPr>
        <w:t>מ“מקור</w:t>
      </w:r>
      <w:proofErr w:type="spellEnd"/>
      <w:r>
        <w:rPr>
          <w:rtl/>
        </w:rPr>
        <w:t xml:space="preserve"> ברוך” בעמ׳ </w:t>
      </w:r>
      <w:r>
        <w:rPr>
          <w:rtl/>
        </w:rPr>
        <w:lastRenderedPageBreak/>
        <w:fldChar w:fldCharType="begin" w:dirty="true"/>
      </w:r>
      <w:r>
        <w:rPr>
          <w:rtl/>
        </w:rPr>
        <w:instrText xml:space="preserve"> PAGEREF pr_b_2649 \h </w:instrText>
      </w:r>
      <w:r>
        <w:rPr>
          <w:rtl/>
        </w:rPr>
      </w:r>
      <w:r>
        <w:rPr>
          <w:rtl/>
        </w:rPr>
        <w:fldChar w:fldCharType="separate"/>
      </w:r>
      <w:r w:rsidR="007923E9">
        <w:rPr>
          <w:noProof/>
          <w:rtl/>
        </w:rPr>
        <w:t>1</w:t>
      </w:r>
      <w:r>
        <w:rPr>
          <w:rtl/>
        </w:rPr>
        <w:fldChar w:fldCharType="end"/>
      </w:r>
      <w:r>
        <w:rPr>
          <w:rtl/>
        </w:rPr>
        <w:t xml:space="preserve"> לעיל – מפני שאחרי שחשבוהו לאחד מהם, כמסופר בפרק 3, הפסקה השנייה של נספח </w:t>
      </w:r>
      <w:proofErr w:type="spellStart"/>
      <w:r>
        <w:rPr>
          <w:rtl/>
        </w:rPr>
        <w:t>יט</w:t>
      </w:r>
      <w:proofErr w:type="spellEnd"/>
      <w:r>
        <w:rPr>
          <w:rtl/>
        </w:rPr>
        <w:t xml:space="preserve"> (עמ׳ </w:t>
      </w:r>
      <w:r>
        <w:rPr>
          <w:rtl/>
        </w:rPr>
        <w:fldChar w:fldCharType="begin" w:dirty="true"/>
      </w:r>
      <w:r>
        <w:rPr>
          <w:rtl/>
        </w:rPr>
        <w:instrText xml:space="preserve"> PAGEREF pr_b_1383 \h </w:instrText>
      </w:r>
      <w:r>
        <w:rPr>
          <w:rtl/>
        </w:rPr>
      </w:r>
      <w:r>
        <w:rPr>
          <w:rtl/>
        </w:rPr>
        <w:fldChar w:fldCharType="separate"/>
      </w:r>
      <w:r w:rsidR="007923E9">
        <w:rPr>
          <w:noProof/>
          <w:rtl/>
        </w:rPr>
        <w:t>1</w:t>
      </w:r>
      <w:r>
        <w:rPr>
          <w:rtl/>
        </w:rPr>
        <w:fldChar w:fldCharType="end"/>
      </w:r>
      <w:r>
        <w:rPr>
          <w:rtl/>
        </w:rPr>
        <w:t xml:space="preserve">), נהפכה אכזבתם</w:t>
      </w:r>
      <w:hyperlink w:anchor="b3_excS" w:history="1">
        <w:r w:rsidR="007923E9" w:rsidRPr="007923E9">
          <w:rPr>
            <w:rStyle w:val="Hyperlink"/>
          </w:rPr>
          <w:t xml:space="preserve"/>
        </w:r>
      </w:hyperlink>
      <w:r>
        <w:rPr>
          <w:rtl/>
        </w:rPr>
        <w:t xml:space="preserve"> ממנו לעוינות.</w:t>
      </w:r>
    </w:p>
    <w:p w14:paraId="08D61CF4" w14:textId="77777777" w:rsidR="00AB3647" w:rsidRDefault="00000000" w:rsidP="007923E9">
      <w:pPr>
        <w:pStyle w:val="4"/>
        <w:spacing w:line="276" w:lineRule="auto"/>
      </w:pPr>
      <w:r>
        <w:t>· הפסקה השלישית ·</w:t>
      </w:r>
    </w:p>
    <w:p w14:paraId="19217776" w14:textId="77777777" w:rsidR="00AB3647" w:rsidRDefault="00000000" w:rsidP="007923E9">
      <w:pPr>
        <w:pStyle w:val="5"/>
        <w:spacing w:line="276" w:lineRule="auto"/>
      </w:pPr>
      <w:r>
        <w:t xml:space="preserve">סיבה אפשרית להתנגדות חסידי </w:t>
      </w:r>
      <w:proofErr w:type="spellStart"/>
      <w:r>
        <w:t>קוידנוב</w:t>
      </w:r>
      <w:proofErr w:type="spellEnd"/>
      <w:r>
        <w:t xml:space="preserve"> </w:t>
      </w:r>
      <w:proofErr w:type="spellStart"/>
      <w:r>
        <w:t>לר</w:t>
      </w:r>
      <w:proofErr w:type="spellEnd"/>
      <w:r>
        <w:t xml:space="preserve">׳ ישראל </w:t>
      </w:r>
      <w:proofErr w:type="spellStart"/>
      <w:r>
        <w:t>סלנטר</w:t>
      </w:r>
      <w:proofErr w:type="spellEnd"/>
      <w:r>
        <w:t xml:space="preserve"> – ר׳ שלמה </w:t>
      </w:r>
      <w:proofErr w:type="spellStart"/>
      <w:r>
        <w:t>מקרלין</w:t>
      </w:r>
      <w:proofErr w:type="spellEnd"/>
      <w:r>
        <w:t xml:space="preserve"> מסרב לטפל בשבת בפצע שפצעו קוזק – </w:t>
      </w:r>
      <w:proofErr w:type="spellStart"/>
      <w:r>
        <w:t>ז׳ליחוב</w:t>
      </w:r>
      <w:proofErr w:type="spellEnd"/>
      <w:r>
        <w:t xml:space="preserve"> משמשת מקלט לחסידים נרדפים – נכדו של רבנו נישא לנכדתו של נין האדמו״ר </w:t>
      </w:r>
      <w:proofErr w:type="spellStart"/>
      <w:r>
        <w:t>מקוידנוב</w:t>
      </w:r>
      <w:proofErr w:type="spellEnd"/>
    </w:p>
    <w:p w14:paraId="33F0B3E6" w14:textId="77777777" w:rsidR="00AB3647" w:rsidRDefault="00000000" w:rsidP="007923E9">
      <w:pPr>
        <w:spacing w:after="120" w:line="276" w:lineRule="auto"/>
        <w:ind w:firstLine="283"/>
        <w:jc w:val="both"/>
      </w:pPr>
      <w:r>
        <w:rPr>
          <w:rtl/>
        </w:rPr>
        <w:t xml:space="preserve">להבנת הלשון שבה תיאר אבי את האדמו״רים החסידיים מבלארוס בריאיון על ר׳ ישראל </w:t>
      </w:r>
      <w:proofErr w:type="spellStart"/>
      <w:r>
        <w:rPr>
          <w:rtl/>
        </w:rPr>
        <w:t>סלנטר</w:t>
      </w:r>
      <w:proofErr w:type="spellEnd"/>
      <w:r>
        <w:rPr>
          <w:rtl/>
        </w:rPr>
        <w:t xml:space="preserve">, שצוטט בעמ׳ </w:t>
      </w:r>
      <w:r>
        <w:rPr>
          <w:rtl/>
        </w:rPr>
        <w:fldChar w:fldCharType="begin" w:dirty="true"/>
      </w:r>
      <w:r>
        <w:rPr>
          <w:rtl/>
        </w:rPr>
        <w:instrText xml:space="preserve"> PAGEREF pr_b_2637 \h </w:instrText>
      </w:r>
      <w:r>
        <w:rPr>
          <w:rtl/>
        </w:rPr>
      </w:r>
      <w:r>
        <w:rPr>
          <w:rtl/>
        </w:rPr>
        <w:fldChar w:fldCharType="separate"/>
      </w:r>
      <w:r w:rsidR="007923E9">
        <w:rPr>
          <w:noProof/>
          <w:rtl/>
        </w:rPr>
        <w:t>1</w:t>
      </w:r>
      <w:r>
        <w:rPr>
          <w:rtl/>
        </w:rPr>
        <w:fldChar w:fldCharType="end"/>
      </w:r>
      <w:r>
        <w:rPr>
          <w:rtl/>
        </w:rPr>
        <w:t xml:space="preserve"> לעיל: הרבי </w:t>
      </w:r>
      <w:proofErr w:type="spellStart"/>
      <w:r>
        <w:rPr>
          <w:rtl/>
        </w:rPr>
        <w:t>מקוידנוב</w:t>
      </w:r>
      <w:proofErr w:type="spellEnd"/>
      <w:r>
        <w:rPr>
          <w:rtl/>
        </w:rPr>
        <w:t xml:space="preserve"> בזמן מגפת הכולרה בווילנה היה הראשון בשושלת </w:t>
      </w:r>
      <w:proofErr w:type="spellStart"/>
      <w:r>
        <w:rPr>
          <w:rtl/>
        </w:rPr>
        <w:t>קוידנוב</w:t>
      </w:r>
      <w:proofErr w:type="spellEnd"/>
      <w:r>
        <w:rPr>
          <w:rtl/>
        </w:rPr>
        <w:t xml:space="preserve">, ר׳ </w:t>
      </w:r>
      <w:proofErr w:type="spellStart"/>
      <w:r>
        <w:rPr>
          <w:rtl/>
        </w:rPr>
        <w:t>שלמה־חיים</w:t>
      </w:r>
      <w:proofErr w:type="spellEnd"/>
      <w:r>
        <w:rPr>
          <w:rtl/>
        </w:rPr>
        <w:t xml:space="preserve"> </w:t>
      </w:r>
      <w:proofErr w:type="spellStart"/>
      <w:r>
        <w:rPr>
          <w:rtl/>
        </w:rPr>
        <w:t>פרלוב</w:t>
      </w:r>
      <w:proofErr w:type="spellEnd"/>
      <w:r>
        <w:rPr>
          <w:rtl/>
        </w:rPr>
        <w:t xml:space="preserve"> (תקנ״ז–תרכ״ב), בן ר׳ אהרן, בן ר׳ מרדכי </w:t>
      </w:r>
      <w:proofErr w:type="spellStart"/>
      <w:r>
        <w:rPr>
          <w:rtl/>
        </w:rPr>
        <w:t>מלכוביץ</w:t>
      </w:r>
      <w:proofErr w:type="spellEnd"/>
      <w:r>
        <w:rPr>
          <w:rtl/>
        </w:rPr>
        <w:t xml:space="preserve">׳ (תק״ב–תק״ע). ר׳ </w:t>
      </w:r>
      <w:proofErr w:type="spellStart"/>
      <w:r>
        <w:rPr>
          <w:rtl/>
        </w:rPr>
        <w:t>שלמה־חיים</w:t>
      </w:r>
      <w:proofErr w:type="spellEnd"/>
      <w:r>
        <w:rPr>
          <w:rtl/>
        </w:rPr>
        <w:t xml:space="preserve"> היה רק בן תשע כשנפטר אביו, וגדל אצל אבי </w:t>
      </w:r>
      <w:proofErr w:type="spellStart"/>
      <w:r>
        <w:rPr>
          <w:rtl/>
        </w:rPr>
        <w:t>אמו</w:t>
      </w:r>
      <w:proofErr w:type="spellEnd"/>
      <w:r>
        <w:rPr>
          <w:rtl/>
        </w:rPr>
        <w:t xml:space="preserve"> </w:t>
      </w:r>
      <w:proofErr w:type="spellStart"/>
      <w:r>
        <w:rPr>
          <w:rtl/>
        </w:rPr>
        <w:t>פערל</w:t>
      </w:r>
      <w:bookmarkStart w:id="6407" w:name="_fnr4825"/>
      <w:proofErr w:type="spellEnd"/>
      <w:r>
        <w:rPr>
          <w:rStyle w:val="a5"/>
        </w:rPr>
        <w:footnoteReference w:id="4837" w:customMarkFollows="0"/>
      </w:r>
      <w:bookmarkEnd w:id="6407"/>
      <w:r>
        <w:rPr>
          <w:rtl/>
        </w:rPr>
        <w:t xml:space="preserve">, ר׳ אשר (הראשון) </w:t>
      </w:r>
      <w:proofErr w:type="spellStart"/>
      <w:r>
        <w:rPr>
          <w:rtl/>
        </w:rPr>
        <w:t>מסטולין</w:t>
      </w:r>
      <w:proofErr w:type="spellEnd"/>
      <w:r>
        <w:rPr>
          <w:rtl/>
        </w:rPr>
        <w:t xml:space="preserve"> (תק״כ–תקפ״ו), בן ר׳ אהרן (הגדול) </w:t>
      </w:r>
      <w:proofErr w:type="spellStart"/>
      <w:r>
        <w:rPr>
          <w:rtl/>
        </w:rPr>
        <w:t>מקרלין</w:t>
      </w:r>
      <w:proofErr w:type="spellEnd"/>
      <w:r>
        <w:rPr>
          <w:rtl/>
        </w:rPr>
        <w:t xml:space="preserve"> (ה׳תצ״ו–תקל״ב). גם ר׳ אשר התייתם בצעירותו, וגדל אצל תלמיד מובהק של אביו, ר׳ שלמה </w:t>
      </w:r>
      <w:proofErr w:type="spellStart"/>
      <w:r>
        <w:rPr>
          <w:rtl/>
        </w:rPr>
        <w:t>מקרלין</w:t>
      </w:r>
      <w:proofErr w:type="spellEnd"/>
      <w:r>
        <w:rPr>
          <w:rtl/>
        </w:rPr>
        <w:t xml:space="preserve"> (ה׳תצ״ח–תקנ״ב), שהיה צעיר מאביו בשנתיים בלבד; ותלמידו של ר׳ שלמה היה ר׳ מרדכי </w:t>
      </w:r>
      <w:proofErr w:type="spellStart"/>
      <w:r>
        <w:rPr>
          <w:rtl/>
        </w:rPr>
        <w:t>מלכוביץ</w:t>
      </w:r>
      <w:proofErr w:type="spellEnd"/>
      <w:r>
        <w:rPr>
          <w:rtl/>
        </w:rPr>
        <w:t>׳.</w:t>
      </w:r>
    </w:p>
    <w:p w14:paraId="343243B7" w14:textId="77777777" w:rsidR="00AB3647" w:rsidRDefault="00000000" w:rsidP="007923E9">
      <w:pPr>
        <w:spacing w:after="120" w:line="276" w:lineRule="auto"/>
        <w:ind w:firstLine="283"/>
        <w:jc w:val="both"/>
      </w:pPr>
      <w:r>
        <w:rPr>
          <w:rtl/>
        </w:rPr>
        <w:t xml:space="preserve">ר׳ </w:t>
      </w:r>
      <w:proofErr w:type="spellStart"/>
      <w:r>
        <w:rPr>
          <w:rtl/>
        </w:rPr>
        <w:t>שניאור־זלמן</w:t>
      </w:r>
      <w:proofErr w:type="spellEnd"/>
      <w:r>
        <w:rPr>
          <w:rtl/>
        </w:rPr>
        <w:t xml:space="preserve"> </w:t>
      </w:r>
      <w:proofErr w:type="spellStart"/>
      <w:r>
        <w:rPr>
          <w:rtl/>
        </w:rPr>
        <w:t>מלאדי</w:t>
      </w:r>
      <w:proofErr w:type="spellEnd"/>
      <w:r>
        <w:rPr>
          <w:rtl/>
        </w:rPr>
        <w:t xml:space="preserve"> (תק״ז–תקע״ג) ביקר את ר׳ שלמה על שהוא “משפיל את הלומדים”, או לפחות “לא מכבד את הלומדים”</w:t>
      </w:r>
      <w:bookmarkStart w:id="6408" w:name="_fnr4826"/>
      <w:r>
        <w:rPr>
          <w:rStyle w:val="a5"/>
        </w:rPr>
        <w:footnoteReference w:id="4838" w:customMarkFollows="0"/>
      </w:r>
      <w:bookmarkEnd w:id="6408"/>
      <w:r>
        <w:rPr>
          <w:rtl/>
        </w:rPr>
        <w:t xml:space="preserve">. אפשר לשער שמשום כך אולי העביר ר׳ שלמה מסורת זו לחניכו ר׳ אשר, וזה מסרה לחניכו ולנכדו, הרבי </w:t>
      </w:r>
      <w:proofErr w:type="spellStart"/>
      <w:r>
        <w:rPr>
          <w:rtl/>
        </w:rPr>
        <w:t>מקוידנוב</w:t>
      </w:r>
      <w:proofErr w:type="spellEnd"/>
      <w:r>
        <w:rPr>
          <w:rtl/>
        </w:rPr>
        <w:t xml:space="preserve">. ייתכן שהמסורת התחזקה גם בידי סבו של הרבי </w:t>
      </w:r>
      <w:proofErr w:type="spellStart"/>
      <w:r>
        <w:rPr>
          <w:rtl/>
        </w:rPr>
        <w:t>מקוידנוב</w:t>
      </w:r>
      <w:proofErr w:type="spellEnd"/>
      <w:r>
        <w:rPr>
          <w:rtl/>
        </w:rPr>
        <w:t xml:space="preserve"> מצד אביו, שהיה תלמידו של ר׳ שלמה, כאמור</w:t>
      </w:r>
      <w:bookmarkStart w:id="6409" w:name="_fnr4827"/>
      <w:r>
        <w:rPr>
          <w:rStyle w:val="a5"/>
        </w:rPr>
        <w:footnoteReference w:id="4839" w:customMarkFollows="0"/>
      </w:r>
      <w:bookmarkEnd w:id="6409"/>
      <w:r>
        <w:rPr>
          <w:rtl/>
        </w:rPr>
        <w:t xml:space="preserve">. יחס זה לחכמי התורה אולי עורר את “התנגדותו הגדולה” של ר׳ ישראל </w:t>
      </w:r>
      <w:proofErr w:type="spellStart"/>
      <w:r>
        <w:rPr>
          <w:rtl/>
        </w:rPr>
        <w:t>לר</w:t>
      </w:r>
      <w:proofErr w:type="spellEnd"/>
      <w:r>
        <w:rPr>
          <w:rtl/>
        </w:rPr>
        <w:t xml:space="preserve">׳ </w:t>
      </w:r>
      <w:proofErr w:type="spellStart"/>
      <w:r>
        <w:rPr>
          <w:rtl/>
        </w:rPr>
        <w:t>שלמה־חיים</w:t>
      </w:r>
      <w:proofErr w:type="spellEnd"/>
      <w:r>
        <w:rPr>
          <w:rtl/>
        </w:rPr>
        <w:t>, שאבי שיער שהיא שעמדה ביסוד קללתו הנטענת של הרבי.</w:t>
      </w:r>
    </w:p>
    <w:p w14:paraId="075C9010" w14:textId="77777777" w:rsidR="00AB3647" w:rsidRDefault="00000000" w:rsidP="007923E9">
      <w:pPr>
        <w:spacing w:after="120" w:line="276" w:lineRule="auto"/>
        <w:ind w:firstLine="283"/>
        <w:jc w:val="both"/>
      </w:pPr>
      <w:bookmarkStart w:id="6410" w:name="pr_b_2659"/>
      <w:bookmarkEnd w:id="6410"/>
      <w:r>
        <w:rPr>
          <w:rtl/>
        </w:rPr>
        <w:t xml:space="preserve">אולם אפשר שר׳ ישראל לא עשה דבר לעורר את כעסם של חסידים אלו מלבד אכילתו ביום הכיפורים. מתקבל על הדעת </w:t>
      </w:r>
      <w:proofErr w:type="spellStart"/>
      <w:r>
        <w:rPr>
          <w:rtl/>
        </w:rPr>
        <w:t>ש“חילול</w:t>
      </w:r>
      <w:proofErr w:type="spellEnd"/>
      <w:r>
        <w:rPr>
          <w:rtl/>
        </w:rPr>
        <w:t>” יום הכיפורים בידי ר׳ ישראל היה מקומם אותם במיוחד, מפני שחמישים ושש שנה קודם לכן לא הרשה ר׳ שלמה לאיש לחלל בשבילו את השבת כשנורה בידי קוזק, ובעקבות זאת נפטר כעבור חמישה ימים</w:t>
      </w:r>
      <w:bookmarkStart w:id="6411" w:name="_fnr4828"/>
      <w:bookmarkStart w:id="6412" w:name="pr_f_4707"/>
      <w:r>
        <w:rPr>
          <w:rStyle w:val="a5"/>
        </w:rPr>
        <w:footnoteReference w:id="4840" w:customMarkFollows="0"/>
      </w:r>
      <w:bookmarkEnd w:id="6411"/>
      <w:bookmarkEnd w:id="6412"/>
      <w:r>
        <w:rPr>
          <w:rtl/>
        </w:rPr>
        <w:t xml:space="preserve">. ייתכן שהסיבה האמיתית לסירובו לקבל טיפול רפואי בשבת הייתה פשוט שטעה בהערכת חומרת פצעו – </w:t>
      </w:r>
      <w:r>
        <w:rPr>
          <w:rtl/>
        </w:rPr>
        <w:lastRenderedPageBreak/>
        <w:t>טעות שהחסידים לא רצו לייחס לרבם. תחת זאת ראוהו</w:t>
      </w:r>
      <w:bookmarkStart w:id="6413" w:name="_fnr4829"/>
      <w:r>
        <w:rPr>
          <w:rStyle w:val="a5"/>
        </w:rPr>
        <w:footnoteReference w:id="4841" w:customMarkFollows="0"/>
      </w:r>
      <w:bookmarkEnd w:id="6413"/>
      <w:r>
        <w:rPr>
          <w:rtl/>
        </w:rPr>
        <w:t xml:space="preserve"> כמי שמצפה למות על קידוש השם, כתנא רבי עקיבא</w:t>
      </w:r>
      <w:bookmarkStart w:id="6414" w:name="_fnr4830"/>
      <w:r>
        <w:rPr>
          <w:rStyle w:val="a5"/>
        </w:rPr>
        <w:footnoteReference w:id="4842" w:customMarkFollows="0"/>
      </w:r>
      <w:bookmarkEnd w:id="6414"/>
      <w:r>
        <w:rPr>
          <w:rtl/>
        </w:rPr>
        <w:t>, או</w:t>
      </w:r>
      <w:bookmarkStart w:id="6415" w:name="_fnr4831"/>
      <w:r>
        <w:rPr>
          <w:rStyle w:val="a5"/>
        </w:rPr>
        <w:footnoteReference w:id="4843" w:customMarkFollows="0"/>
      </w:r>
      <w:bookmarkEnd w:id="6415"/>
      <w:r>
        <w:rPr>
          <w:rtl/>
        </w:rPr>
        <w:t xml:space="preserve"> כמי שנועד להיות “משיח בן יוסף” הנרצח</w:t>
      </w:r>
      <w:bookmarkStart w:id="6416" w:name="_fnr4832"/>
      <w:r>
        <w:rPr>
          <w:rStyle w:val="a5"/>
        </w:rPr>
        <w:footnoteReference w:id="4844" w:customMarkFollows="0"/>
      </w:r>
      <w:bookmarkEnd w:id="6416"/>
      <w:r>
        <w:rPr>
          <w:rtl/>
        </w:rPr>
        <w:t>.</w:t>
      </w:r>
    </w:p>
    <w:p w14:paraId="050F5B5B" w14:textId="77777777" w:rsidR="00AB3647" w:rsidRDefault="00000000" w:rsidP="007923E9">
      <w:pPr>
        <w:spacing w:after="120" w:line="276" w:lineRule="auto"/>
        <w:ind w:firstLine="283"/>
        <w:jc w:val="both"/>
      </w:pPr>
      <w:r>
        <w:rPr>
          <w:rtl/>
        </w:rPr>
        <w:t xml:space="preserve">מבחינה הלכתית נראה בוודאי שאסור לאדם – או לעומדים סביבו – להניח לפצעיו בלי טיפול מפני שהוא שואף להיות כרבי עקיבא או רואה עצמו </w:t>
      </w:r>
      <w:proofErr w:type="spellStart"/>
      <w:r>
        <w:rPr>
          <w:rtl/>
        </w:rPr>
        <w:t>כ“משיח</w:t>
      </w:r>
      <w:proofErr w:type="spellEnd"/>
      <w:r>
        <w:rPr>
          <w:rtl/>
        </w:rPr>
        <w:t xml:space="preserve"> בן יוסף”. אולי אכן הבין ר׳ שלמה את חומרת פצעו, ובכל זאת לא הרשה לחלל את השבת כדי להציל את חייו, מפני שסבר, כמו ר׳ ישראל </w:t>
      </w:r>
      <w:proofErr w:type="spellStart"/>
      <w:r>
        <w:rPr>
          <w:rtl/>
        </w:rPr>
        <w:t>סלנטר</w:t>
      </w:r>
      <w:proofErr w:type="spellEnd"/>
      <w:r>
        <w:rPr>
          <w:rtl/>
        </w:rPr>
        <w:t xml:space="preserve"> בשנותיו המאוחרות</w:t>
      </w:r>
      <w:bookmarkStart w:id="6417" w:name="_fnr4833"/>
      <w:r>
        <w:rPr>
          <w:rStyle w:val="a5"/>
        </w:rPr>
        <w:footnoteReference w:id="4845" w:customMarkFollows="0"/>
      </w:r>
      <w:bookmarkEnd w:id="6417"/>
      <w:r>
        <w:rPr>
          <w:rtl/>
        </w:rPr>
        <w:t>, שאסור לחלל את השבת בשביל חוטא כמותו (ובצירוף ההשפעה ההלכתית שאולי הייתה על המצב לשיקולים כגון היותו כרבי עקיבא וכיוצא באלה</w:t>
      </w:r>
      <w:bookmarkStart w:id="6418" w:name="_fnr4834"/>
      <w:r>
        <w:rPr>
          <w:rStyle w:val="a5"/>
        </w:rPr>
        <w:footnoteReference w:id="4846" w:customMarkFollows="0"/>
      </w:r>
      <w:bookmarkEnd w:id="6418"/>
      <w:r>
        <w:rPr>
          <w:rtl/>
        </w:rPr>
        <w:t xml:space="preserve">). תהא הסיבה שר׳ שלמה לא הציל את עצמו במחיר חילול השבת אשר תהא, החסידים – בלי לבחון אם טעמו של רבם שייך למעשה בווילנה – סברו שר׳ ישראל היה צריך לנהוג כמוהו, ולכן צידדו בבית הדין של וילנה, עד כדי תחושה שראוי להטיל עליו קללה.</w:t>
      </w:r>
    </w:p>
    <w:p w14:paraId="3930659C" w14:textId="77777777" w:rsidR="00AB3647" w:rsidRDefault="00000000" w:rsidP="007923E9">
      <w:pPr>
        <w:spacing w:after="120" w:line="276" w:lineRule="auto"/>
        <w:ind w:firstLine="283"/>
        <w:jc w:val="both"/>
      </w:pPr>
      <w:r>
        <w:rPr>
          <w:rtl/>
        </w:rPr>
        <w:t xml:space="preserve">אשר לתיאורו של אבי את ר׳ </w:t>
      </w:r>
      <w:proofErr w:type="spellStart"/>
      <w:r>
        <w:rPr>
          <w:rtl/>
        </w:rPr>
        <w:t>שלמה־חיים</w:t>
      </w:r>
      <w:proofErr w:type="spellEnd"/>
      <w:r>
        <w:rPr>
          <w:rtl/>
        </w:rPr>
        <w:t xml:space="preserve">, הרבי </w:t>
      </w:r>
      <w:proofErr w:type="spellStart"/>
      <w:r>
        <w:rPr>
          <w:rtl/>
        </w:rPr>
        <w:t>מקוידנוב</w:t>
      </w:r>
      <w:proofErr w:type="spellEnd"/>
      <w:r>
        <w:rPr>
          <w:rtl/>
        </w:rPr>
        <w:t xml:space="preserve">, </w:t>
      </w:r>
      <w:proofErr w:type="spellStart"/>
      <w:r>
        <w:rPr>
          <w:rtl/>
        </w:rPr>
        <w:t>כ“צאצא</w:t>
      </w:r>
      <w:proofErr w:type="spellEnd"/>
      <w:r>
        <w:rPr>
          <w:rtl/>
        </w:rPr>
        <w:t xml:space="preserve"> האדמו״רים </w:t>
      </w:r>
      <w:proofErr w:type="spellStart"/>
      <w:r>
        <w:rPr>
          <w:rtl/>
        </w:rPr>
        <w:t>מז׳ליחוב</w:t>
      </w:r>
      <w:proofErr w:type="spellEnd"/>
      <w:r>
        <w:rPr>
          <w:rtl/>
        </w:rPr>
        <w:t xml:space="preserve">” בריאיון על ר׳ ישראל </w:t>
      </w:r>
      <w:proofErr w:type="spellStart"/>
      <w:r>
        <w:rPr>
          <w:rtl/>
        </w:rPr>
        <w:t>סלנטר</w:t>
      </w:r>
      <w:proofErr w:type="spellEnd"/>
      <w:r>
        <w:rPr>
          <w:rtl/>
        </w:rPr>
        <w:t xml:space="preserve"> המצוטט לעיל: סבו של ר׳ </w:t>
      </w:r>
      <w:proofErr w:type="spellStart"/>
      <w:r>
        <w:rPr>
          <w:rtl/>
        </w:rPr>
        <w:t>שלמה־חיים</w:t>
      </w:r>
      <w:proofErr w:type="spellEnd"/>
      <w:r>
        <w:rPr>
          <w:rtl/>
        </w:rPr>
        <w:t xml:space="preserve"> מצד </w:t>
      </w:r>
      <w:proofErr w:type="spellStart"/>
      <w:r>
        <w:rPr>
          <w:rtl/>
        </w:rPr>
        <w:t>אמו</w:t>
      </w:r>
      <w:proofErr w:type="spellEnd"/>
      <w:r>
        <w:rPr>
          <w:rtl/>
        </w:rPr>
        <w:t xml:space="preserve"> (ואביו המאמץ), ר׳ אשר, ברח ממתנגדי ליטא אל </w:t>
      </w:r>
      <w:proofErr w:type="spellStart"/>
      <w:r>
        <w:rPr>
          <w:rtl/>
        </w:rPr>
        <w:t>ז׳ליחוב</w:t>
      </w:r>
      <w:proofErr w:type="spellEnd"/>
      <w:r>
        <w:rPr>
          <w:rtl/>
        </w:rPr>
        <w:t xml:space="preserve"> הרחוקה (</w:t>
      </w:r>
      <w:proofErr w:type="spellStart"/>
      <w:r>
        <w:rPr>
          <w:rtl/>
        </w:rPr>
        <w:t>מצפון־מערב</w:t>
      </w:r>
      <w:proofErr w:type="spellEnd"/>
      <w:r>
        <w:rPr>
          <w:rtl/>
        </w:rPr>
        <w:t xml:space="preserve"> ללובלין), ואף שהיה שם פחות מעשר שנים</w:t>
      </w:r>
      <w:bookmarkStart w:id="6419" w:name="_fnr4835"/>
      <w:r>
        <w:rPr>
          <w:rStyle w:val="a5"/>
        </w:rPr>
        <w:footnoteReference w:id="4847" w:customMarkFollows="0"/>
      </w:r>
      <w:bookmarkEnd w:id="6419"/>
      <w:r>
        <w:rPr>
          <w:rtl/>
        </w:rPr>
        <w:t xml:space="preserve">, אולי כונה “הרבי </w:t>
      </w:r>
      <w:proofErr w:type="spellStart"/>
      <w:r>
        <w:rPr>
          <w:rtl/>
        </w:rPr>
        <w:t>מז׳ליחוב</w:t>
      </w:r>
      <w:proofErr w:type="spellEnd"/>
      <w:r>
        <w:rPr>
          <w:rtl/>
        </w:rPr>
        <w:t>” בחוגי המתנגדים, וכך גם חתנו ר׳ אהרן</w:t>
      </w:r>
      <w:bookmarkStart w:id="6420" w:name="_fnr4836"/>
      <w:r>
        <w:rPr>
          <w:rStyle w:val="a5"/>
        </w:rPr>
        <w:footnoteReference w:id="4848" w:customMarkFollows="0"/>
      </w:r>
      <w:bookmarkEnd w:id="6420"/>
      <w:r>
        <w:rPr>
          <w:rtl/>
        </w:rPr>
        <w:t>.</w:t>
      </w:r>
    </w:p>
    <w:p w14:paraId="10B6EA51" w14:textId="77777777" w:rsidR="00AB3647" w:rsidRDefault="00000000" w:rsidP="007923E9">
      <w:pPr>
        <w:spacing w:after="120" w:line="276" w:lineRule="auto"/>
        <w:ind w:firstLine="283"/>
        <w:jc w:val="both"/>
      </w:pPr>
      <w:r>
        <w:rPr>
          <w:rtl/>
        </w:rPr>
        <w:t xml:space="preserve">לעניין השערתו של אבי שר׳ ישראל התנגד לרבי </w:t>
      </w:r>
      <w:proofErr w:type="spellStart"/>
      <w:r>
        <w:rPr>
          <w:rtl/>
        </w:rPr>
        <w:t>מקוידנוב</w:t>
      </w:r>
      <w:proofErr w:type="spellEnd"/>
      <w:r>
        <w:rPr>
          <w:rtl/>
        </w:rPr>
        <w:t xml:space="preserve"> שבימיו, ר׳ </w:t>
      </w:r>
      <w:proofErr w:type="spellStart"/>
      <w:r>
        <w:rPr>
          <w:rtl/>
        </w:rPr>
        <w:t>שלמה־חיים</w:t>
      </w:r>
      <w:proofErr w:type="spellEnd"/>
      <w:r>
        <w:rPr>
          <w:rtl/>
        </w:rPr>
        <w:t xml:space="preserve"> </w:t>
      </w:r>
      <w:proofErr w:type="spellStart"/>
      <w:r>
        <w:rPr>
          <w:rtl/>
        </w:rPr>
        <w:t>פרלוב</w:t>
      </w:r>
      <w:proofErr w:type="spellEnd"/>
      <w:r>
        <w:rPr>
          <w:rtl/>
        </w:rPr>
        <w:t xml:space="preserve">: ר׳ ישראל </w:t>
      </w:r>
      <w:proofErr w:type="spellStart"/>
      <w:r>
        <w:rPr>
          <w:rtl/>
        </w:rPr>
        <w:t>שורין</w:t>
      </w:r>
      <w:proofErr w:type="spellEnd"/>
      <w:r>
        <w:rPr>
          <w:rtl/>
        </w:rPr>
        <w:t xml:space="preserve"> נזכר</w:t>
      </w:r>
      <w:bookmarkStart w:id="6421" w:name="_fnr4837"/>
      <w:r>
        <w:rPr>
          <w:rStyle w:val="a5"/>
        </w:rPr>
        <w:footnoteReference w:id="4849" w:customMarkFollows="0"/>
      </w:r>
      <w:bookmarkEnd w:id="6421"/>
      <w:r>
        <w:rPr>
          <w:rtl/>
        </w:rPr>
        <w:t xml:space="preserve"> שאף על פי כן סיפר רבנו שבמינסק, בימי מלחמת העולם הראשונה, נכח בסעודה שלישית חגיגית (“טיש”) של </w:t>
      </w:r>
      <w:proofErr w:type="spellStart"/>
      <w:r>
        <w:rPr>
          <w:rtl/>
        </w:rPr>
        <w:t>נינו</w:t>
      </w:r>
      <w:proofErr w:type="spellEnd"/>
      <w:r>
        <w:rPr>
          <w:rtl/>
        </w:rPr>
        <w:t xml:space="preserve"> של ר׳ </w:t>
      </w:r>
      <w:proofErr w:type="spellStart"/>
      <w:r>
        <w:rPr>
          <w:rtl/>
        </w:rPr>
        <w:t>שלמה־חיים</w:t>
      </w:r>
      <w:proofErr w:type="spellEnd"/>
      <w:r>
        <w:rPr>
          <w:rtl/>
        </w:rPr>
        <w:t xml:space="preserve">, הרבי </w:t>
      </w:r>
      <w:proofErr w:type="spellStart"/>
      <w:r>
        <w:rPr>
          <w:rtl/>
        </w:rPr>
        <w:t>מקוידנוב</w:t>
      </w:r>
      <w:proofErr w:type="spellEnd"/>
      <w:r>
        <w:rPr>
          <w:rtl/>
        </w:rPr>
        <w:t xml:space="preserve"> ר׳ יוסף </w:t>
      </w:r>
      <w:proofErr w:type="spellStart"/>
      <w:r>
        <w:rPr>
          <w:rtl/>
        </w:rPr>
        <w:t>פרלוב</w:t>
      </w:r>
      <w:proofErr w:type="spellEnd"/>
      <w:r>
        <w:rPr>
          <w:rtl/>
        </w:rPr>
        <w:t xml:space="preserve"> (תרי״ד–תרע״ו [נפטר בחנוכה], בן ר׳ </w:t>
      </w:r>
      <w:proofErr w:type="spellStart"/>
      <w:r>
        <w:rPr>
          <w:rtl/>
        </w:rPr>
        <w:t>אהרל׳ה</w:t>
      </w:r>
      <w:proofErr w:type="spellEnd"/>
      <w:r>
        <w:rPr>
          <w:rtl/>
        </w:rPr>
        <w:t xml:space="preserve">, בן ר׳ </w:t>
      </w:r>
      <w:proofErr w:type="spellStart"/>
      <w:r>
        <w:rPr>
          <w:rtl/>
        </w:rPr>
        <w:t>ברוך־מרדכי</w:t>
      </w:r>
      <w:proofErr w:type="spellEnd"/>
      <w:r>
        <w:rPr>
          <w:rtl/>
        </w:rPr>
        <w:t xml:space="preserve">), “שבה גילה הרבי רוח הקודש”. הרבי הכריז “מען </w:t>
      </w:r>
      <w:proofErr w:type="spellStart"/>
      <w:r>
        <w:rPr>
          <w:rtl/>
        </w:rPr>
        <w:t>שינדט</w:t>
      </w:r>
      <w:proofErr w:type="spellEnd"/>
      <w:r>
        <w:rPr>
          <w:rtl/>
        </w:rPr>
        <w:t xml:space="preserve"> </w:t>
      </w:r>
      <w:proofErr w:type="spellStart"/>
      <w:r>
        <w:rPr>
          <w:rtl/>
        </w:rPr>
        <w:t>שוין</w:t>
      </w:r>
      <w:proofErr w:type="spellEnd"/>
      <w:r>
        <w:rPr>
          <w:rtl/>
        </w:rPr>
        <w:t xml:space="preserve"> די נבילה [כבר פושטים את עור הנבלה]”, ולאחר השבת נודע לנוכחים שאנטישמי ידוע נהרג בשעה שאמר הרבי את הדברים. אבי סיפר סיפור זה בשמחת האירוסין של נכדו הבכור, ר׳ משה </w:t>
      </w:r>
      <w:proofErr w:type="spellStart"/>
      <w:r>
        <w:rPr>
          <w:rtl/>
        </w:rPr>
        <w:t>שורין</w:t>
      </w:r>
      <w:proofErr w:type="spellEnd"/>
      <w:r>
        <w:rPr>
          <w:rtl/>
        </w:rPr>
        <w:t>, בנו של המרואיין, עם נכדתו של הרבי בעל רוח הקודש!</w:t>
      </w:r>
    </w:p>
    <w:p w14:paraId="5447D454" w14:textId="77777777" w:rsidR="00AB3647" w:rsidRDefault="00000000" w:rsidP="007923E9">
      <w:pPr>
        <w:pStyle w:val="4"/>
        <w:spacing w:line="276" w:lineRule="auto"/>
      </w:pPr>
      <w:r>
        <w:lastRenderedPageBreak/>
        <w:t>· הפסקה הרביעית ·</w:t>
      </w:r>
    </w:p>
    <w:p w14:paraId="62A98F7A" w14:textId="77777777" w:rsidR="00AB3647" w:rsidRDefault="00000000" w:rsidP="007923E9">
      <w:pPr>
        <w:pStyle w:val="5"/>
        <w:spacing w:line="276" w:lineRule="auto"/>
      </w:pPr>
      <w:r>
        <w:t>מתי לקה ר׳ ישראל בשיתוק – היכן אירע השבץ – “מחלתו הפנימית” של ר׳ ישראל</w:t>
      </w:r>
    </w:p>
    <w:p w14:paraId="1DF229EB" w14:textId="77777777" w:rsidR="00AB3647" w:rsidRDefault="00000000" w:rsidP="007923E9">
      <w:pPr>
        <w:spacing w:after="120" w:line="276" w:lineRule="auto"/>
        <w:ind w:firstLine="283"/>
        <w:jc w:val="both"/>
      </w:pPr>
      <w:r>
        <w:rPr>
          <w:rtl/>
        </w:rPr>
        <w:t>אשר למועד השבץ של ר׳ ישראל, נראה לכאורה שאירע בסוף התקופה שבה ישב בקובנה, שכן יעקב מארק</w:t>
      </w:r>
      <w:bookmarkStart w:id="6422" w:name="_fnr4838"/>
      <w:r>
        <w:rPr>
          <w:rStyle w:val="a5"/>
        </w:rPr>
        <w:footnoteReference w:id="4850" w:customMarkFollows="0"/>
      </w:r>
      <w:bookmarkEnd w:id="6422"/>
      <w:r>
        <w:rPr>
          <w:rtl/>
        </w:rPr>
        <w:t xml:space="preserve"> אומר: “תשע שנים [</w:t>
      </w:r>
      <w:proofErr w:type="spellStart"/>
      <w:r>
        <w:rPr>
          <w:rtl/>
        </w:rPr>
        <w:t>מתר״ט</w:t>
      </w:r>
      <w:proofErr w:type="spellEnd"/>
      <w:r>
        <w:rPr>
          <w:rtl/>
        </w:rPr>
        <w:t xml:space="preserve"> עד תרי״ז] נשאר בקובנה, עד שלאחר שאימץ מאוד את מוחו נפגעה מערכת העצבים שלו, וסבל ממחלה זו כמעט בכל שלושים השנים שנותרו לחייו. ידידיו שלחוהו לחוץ לארץ לטיפול, ושם נשאר עד סמוך לסוף ימיו”.</w:t>
      </w:r>
    </w:p>
    <w:p w14:paraId="6E3ED3BE" w14:textId="77777777" w:rsidR="00AB3647" w:rsidRDefault="00000000" w:rsidP="007923E9">
      <w:pPr>
        <w:spacing w:after="120" w:line="276" w:lineRule="auto"/>
        <w:ind w:firstLine="283"/>
        <w:jc w:val="both"/>
      </w:pPr>
      <w:r>
        <w:rPr>
          <w:rtl/>
        </w:rPr>
        <w:t xml:space="preserve">אולם טענת החסידים שקללת רבם היא שגרמה לשיתוקו של ר׳ ישראל התפרסמה כנראה </w:t>
      </w:r>
      <w:r>
        <w:rPr>
          <w:b/>
          <w:bCs/>
          <w:rtl/>
        </w:rPr>
        <w:t>רק אחרי</w:t>
      </w:r>
      <w:r>
        <w:rPr>
          <w:rtl/>
        </w:rPr>
        <w:t xml:space="preserve"> פטירת המקלל הנטען. לכן מסתבר שהשבץ אירע אחרי פטירת ר׳ </w:t>
      </w:r>
      <w:proofErr w:type="spellStart"/>
      <w:r>
        <w:rPr>
          <w:rtl/>
        </w:rPr>
        <w:t>שלמה־חיים</w:t>
      </w:r>
      <w:proofErr w:type="spellEnd"/>
      <w:r>
        <w:rPr>
          <w:rtl/>
        </w:rPr>
        <w:t xml:space="preserve"> </w:t>
      </w:r>
      <w:proofErr w:type="spellStart"/>
      <w:r>
        <w:rPr>
          <w:rtl/>
        </w:rPr>
        <w:t>בתרכ״ב</w:t>
      </w:r>
      <w:proofErr w:type="spellEnd"/>
      <w:r>
        <w:rPr>
          <w:rtl/>
        </w:rPr>
        <w:t xml:space="preserve">, כאשר בנו ר׳ </w:t>
      </w:r>
      <w:proofErr w:type="spellStart"/>
      <w:r>
        <w:rPr>
          <w:rtl/>
        </w:rPr>
        <w:t>ברוך־מרדכי</w:t>
      </w:r>
      <w:proofErr w:type="spellEnd"/>
      <w:r>
        <w:rPr>
          <w:rtl/>
        </w:rPr>
        <w:t xml:space="preserve"> (תקע״ח–תרל״א) כבר קיבל את הנהגת </w:t>
      </w:r>
      <w:proofErr w:type="spellStart"/>
      <w:r>
        <w:rPr>
          <w:rtl/>
        </w:rPr>
        <w:t>קוידנוב</w:t>
      </w:r>
      <w:proofErr w:type="spellEnd"/>
      <w:r>
        <w:rPr>
          <w:rtl/>
        </w:rPr>
        <w:t xml:space="preserve"> – ובאותה עת כבר עבר ר׳ ישראל מקובנה לגרמניה. השיתוק מוכרח אפוא היה להופיע באחד מביקוריו הרבים של ר׳ ישראל בליטא לאחר מכן. ואכן, בשיחה המוקלטת בבית הכנסת “בית ישראל” במיאמי </w:t>
      </w:r>
      <w:proofErr w:type="spellStart"/>
      <w:r>
        <w:rPr>
          <w:rtl/>
        </w:rPr>
        <w:t>ביץ</w:t>
      </w:r>
      <w:proofErr w:type="spellEnd"/>
      <w:r>
        <w:rPr>
          <w:rtl/>
        </w:rPr>
        <w:t xml:space="preserve">׳ ציין אבי שהמעשה אירע בווילנה. מאחר שהידיעה הקדומה ביותר על בריאותו הרופפת של ר׳ ישראל קושרת אותה לקובנה, </w:t>
      </w:r>
      <w:r>
        <w:rPr>
          <w:b/>
          <w:bCs/>
          <w:rtl/>
        </w:rPr>
        <w:t xml:space="preserve">אחרי שחדל להתגורר בווילנה</w:t>
      </w:r>
      <w:r>
        <w:rPr>
          <w:rtl/>
        </w:rPr>
        <w:t>, בוודאי לקה בשבץ באחד מביקוריו המאוחרים בעיר, שבה התגורר חתנו.</w:t>
      </w:r>
    </w:p>
    <w:p w14:paraId="7B4E02C7" w14:textId="77777777" w:rsidR="00AB3647" w:rsidRDefault="00000000" w:rsidP="007923E9">
      <w:pPr>
        <w:spacing w:after="120" w:line="276" w:lineRule="auto"/>
        <w:ind w:firstLine="283"/>
        <w:jc w:val="both"/>
      </w:pPr>
      <w:r>
        <w:rPr>
          <w:rtl/>
        </w:rPr>
        <w:t>כפי שעולה מן הציטוט לעיל מיעקב מארק, הטיפול בגרמניה לא הועיל הרבה. יעקב מארק</w:t>
      </w:r>
      <w:bookmarkStart w:id="6423" w:name="_fnr4839"/>
      <w:r>
        <w:rPr>
          <w:rStyle w:val="a5"/>
        </w:rPr>
        <w:footnoteReference w:id="4851" w:customMarkFollows="0"/>
      </w:r>
      <w:bookmarkEnd w:id="6423"/>
      <w:r>
        <w:rPr>
          <w:rtl/>
        </w:rPr>
        <w:t xml:space="preserve"> מתאר את כאבי הראש המתמידים של ר׳ ישראל, ואובדן הכרה שהמחבר עצמו היה עד לו עוד בסוף שנות </w:t>
      </w:r>
      <w:proofErr w:type="spellStart"/>
      <w:r>
        <w:rPr>
          <w:rtl/>
        </w:rPr>
        <w:t>התר״ל</w:t>
      </w:r>
      <w:proofErr w:type="spellEnd"/>
      <w:r>
        <w:rPr>
          <w:rtl/>
        </w:rPr>
        <w:t xml:space="preserve">, </w:t>
      </w:r>
      <w:proofErr w:type="spellStart"/>
      <w:r>
        <w:rPr>
          <w:rtl/>
        </w:rPr>
        <w:t>זמן־מה</w:t>
      </w:r>
      <w:proofErr w:type="spellEnd"/>
      <w:r>
        <w:rPr>
          <w:rtl/>
        </w:rPr>
        <w:t xml:space="preserve"> בחמש השנים האחרונות לחיי ר׳ ישראל.</w:t>
      </w:r>
    </w:p>
    <w:p w14:paraId="7ACD75B7" w14:textId="77777777" w:rsidR="00AB3647" w:rsidRDefault="00000000" w:rsidP="007923E9">
      <w:pPr>
        <w:spacing w:after="120" w:line="276" w:lineRule="auto"/>
        <w:ind w:firstLine="283"/>
        <w:jc w:val="both"/>
      </w:pPr>
      <w:r>
        <w:rPr>
          <w:rtl/>
        </w:rPr>
        <w:t xml:space="preserve">מסתבר שבשנות מגוריו האחרונות בקובנה, מיד כשפקדה אותו המחלה לראשונה (המחלה שגרמה </w:t>
      </w:r>
      <w:r>
        <w:rPr>
          <w:b/>
          <w:bCs/>
          <w:rtl/>
        </w:rPr>
        <w:t>כעבור זמן</w:t>
      </w:r>
      <w:r>
        <w:rPr>
          <w:rtl/>
        </w:rPr>
        <w:t xml:space="preserve"> לשיתוק) ונקבע שהיא נובעת </w:t>
      </w:r>
      <w:proofErr w:type="spellStart"/>
      <w:r>
        <w:rPr>
          <w:rtl/>
        </w:rPr>
        <w:t>מ“אימוץ</w:t>
      </w:r>
      <w:proofErr w:type="spellEnd"/>
      <w:r>
        <w:rPr>
          <w:rtl/>
        </w:rPr>
        <w:t xml:space="preserve"> רב של מוחו”, הורו לו הרופאים “להימנע ממחשבה שעתיים בכל יום” (עמ׳ </w:t>
      </w:r>
      <w:r>
        <w:rPr>
          <w:rtl/>
        </w:rPr>
        <w:fldChar w:fldCharType="begin" w:dirty="true"/>
      </w:r>
      <w:r>
        <w:rPr>
          <w:rtl/>
        </w:rPr>
        <w:instrText xml:space="preserve"> PAGEREF pr_b_2635 \h </w:instrText>
      </w:r>
      <w:r>
        <w:rPr>
          <w:rtl/>
        </w:rPr>
      </w:r>
      <w:r>
        <w:rPr>
          <w:rtl/>
        </w:rPr>
        <w:fldChar w:fldCharType="separate"/>
      </w:r>
      <w:r w:rsidR="007923E9">
        <w:rPr>
          <w:noProof/>
          <w:rtl/>
        </w:rPr>
        <w:t>1</w:t>
      </w:r>
      <w:r>
        <w:rPr>
          <w:rtl/>
        </w:rPr>
        <w:fldChar w:fldCharType="end"/>
      </w:r>
      <w:r>
        <w:rPr>
          <w:rtl/>
        </w:rPr>
        <w:t>), ושם, בקובנה, למד נגרות רהיטים. לפי השערתו של רבנו שעישונו של ר׳ ישראל היה קשור לאבחנה זו, נמצא שהתחיל לעשן בקובנה. מתקופה זו, שבה עדיין היה בין תלמידיו הליטאים, באה המסורת שלפני יום טוב היה חוזר על ההלכה הנוגעת להיתר העישון ביום טוב – ולא משהותו בגרמניה, כשהיה כמעט בין זרים.</w:t>
      </w:r>
    </w:p>
    <w:p w14:paraId="3729DD33" w14:textId="77777777" w:rsidR="00AB3647" w:rsidRDefault="00000000" w:rsidP="007923E9">
      <w:pPr>
        <w:spacing w:after="120" w:line="276" w:lineRule="auto"/>
        <w:ind w:firstLine="283"/>
        <w:jc w:val="both"/>
      </w:pPr>
      <w:r>
        <w:rPr>
          <w:rtl/>
        </w:rPr>
        <w:t xml:space="preserve">תימוכין להשערה זו אפשר למצוא אצל </w:t>
      </w:r>
      <w:proofErr w:type="spellStart"/>
      <w:r>
        <w:rPr>
          <w:rtl/>
        </w:rPr>
        <w:t>רבינר</w:t>
      </w:r>
      <w:proofErr w:type="spellEnd"/>
      <w:r>
        <w:rPr>
          <w:rtl/>
        </w:rPr>
        <w:t>, “הגאון רבי אליעזר גורדון”</w:t>
      </w:r>
      <w:bookmarkStart w:id="6424" w:name="_fnr4840"/>
      <w:r>
        <w:rPr>
          <w:rStyle w:val="a5"/>
        </w:rPr>
        <w:footnoteReference w:id="4852" w:customMarkFollows="0"/>
      </w:r>
      <w:bookmarkEnd w:id="6424"/>
      <w:r>
        <w:rPr>
          <w:rtl/>
        </w:rPr>
        <w:t xml:space="preserve">. שם מסופר שר׳ ישראל דן עם ר׳ לייזר גורדון (ואולי עם תלמידים נוספים) בשאלה הלכתית זו עצמה כשהדבר נגע לו, </w:t>
      </w:r>
      <w:r>
        <w:rPr>
          <w:b/>
          <w:bCs/>
          <w:rtl/>
        </w:rPr>
        <w:t>כבר כמעשן כבד</w:t>
      </w:r>
      <w:r>
        <w:rPr>
          <w:rtl/>
        </w:rPr>
        <w:t xml:space="preserve"> – וזה היה בהכרח בשנותיו האחרונות בקובנה. הדיון לא יכול היה להתקיים זמן רב קודם לכן, שכן ר׳ לייזר גורדון היה רק בן </w:t>
      </w:r>
      <w:proofErr w:type="spellStart"/>
      <w:r>
        <w:rPr>
          <w:rtl/>
        </w:rPr>
        <w:t>שבע־עשרה</w:t>
      </w:r>
      <w:proofErr w:type="spellEnd"/>
      <w:r>
        <w:rPr>
          <w:rtl/>
        </w:rPr>
        <w:t xml:space="preserve"> כשעזב ר׳ ישראל. לפי זה, הקשר שקשר אבי בין השיתוק ובין העישון (עמ׳ </w:t>
      </w:r>
      <w:r>
        <w:rPr>
          <w:rtl/>
        </w:rPr>
        <w:fldChar w:fldCharType="begin" w:dirty="true"/>
      </w:r>
      <w:r>
        <w:rPr>
          <w:rtl/>
        </w:rPr>
        <w:instrText xml:space="preserve"> PAGEREF pr_b_2635 \h </w:instrText>
      </w:r>
      <w:r>
        <w:rPr>
          <w:rtl/>
        </w:rPr>
      </w:r>
      <w:r>
        <w:rPr>
          <w:rtl/>
        </w:rPr>
        <w:fldChar w:fldCharType="separate"/>
      </w:r>
      <w:r w:rsidR="007923E9">
        <w:rPr>
          <w:noProof/>
          <w:rtl/>
        </w:rPr>
        <w:t>1</w:t>
      </w:r>
      <w:r>
        <w:rPr>
          <w:rtl/>
        </w:rPr>
        <w:fldChar w:fldCharType="end"/>
      </w:r>
      <w:r>
        <w:rPr>
          <w:rtl/>
        </w:rPr>
        <w:t xml:space="preserve">) אינו קשר של זמן אלא של סיבה: אבחון המחלה (שגרמה לאחר מכן לשבץ) </w:t>
      </w:r>
      <w:r>
        <w:rPr>
          <w:b/>
          <w:bCs/>
          <w:rtl/>
        </w:rPr>
        <w:t>בצורתה הראשונית</w:t>
      </w:r>
      <w:r>
        <w:rPr>
          <w:rtl/>
        </w:rPr>
        <w:t xml:space="preserve"> הביא, בצד ההוראה לעסוק בעבודה גופנית, גם לטיפול הנטען באמצעות עישון.</w:t>
      </w:r>
    </w:p>
    <w:p w14:paraId="5C17C0C5" w14:textId="77777777" w:rsidR="00AB3647" w:rsidRDefault="00000000" w:rsidP="007923E9">
      <w:pPr>
        <w:spacing w:after="120" w:line="276" w:lineRule="auto"/>
        <w:ind w:firstLine="283"/>
        <w:jc w:val="both"/>
      </w:pPr>
      <w:r>
        <w:rPr>
          <w:rtl/>
        </w:rPr>
        <w:lastRenderedPageBreak/>
        <w:t xml:space="preserve">יהא מועדו אשר יהא, השבץ המשתק של ר׳ ישראל מאיר באור חדש את מצבו הרפואי. את מחלתו, המתוארת </w:t>
      </w:r>
      <w:proofErr w:type="spellStart"/>
      <w:r>
        <w:rPr>
          <w:rtl/>
        </w:rPr>
        <w:t>ב“עיר</w:t>
      </w:r>
      <w:proofErr w:type="spellEnd"/>
      <w:r>
        <w:rPr>
          <w:rtl/>
        </w:rPr>
        <w:t xml:space="preserve"> </w:t>
      </w:r>
      <w:proofErr w:type="spellStart"/>
      <w:r>
        <w:rPr>
          <w:rtl/>
        </w:rPr>
        <w:t>ווילנא</w:t>
      </w:r>
      <w:proofErr w:type="spellEnd"/>
      <w:r>
        <w:rPr>
          <w:rtl/>
        </w:rPr>
        <w:t>”</w:t>
      </w:r>
      <w:bookmarkStart w:id="6425" w:name="_fnr4841"/>
      <w:r>
        <w:rPr>
          <w:rStyle w:val="a5"/>
        </w:rPr>
        <w:footnoteReference w:id="4853" w:customMarkFollows="0"/>
      </w:r>
      <w:bookmarkEnd w:id="6425"/>
      <w:r>
        <w:rPr>
          <w:rtl/>
        </w:rPr>
        <w:t xml:space="preserve"> בלשון “מחלה פנימית”, אין עוד צורך לאבחן כמלנכוליה, כמו שעשו מחברים שקשרו אותה למחלת הנפש שפקדה אחר כך את בנו (כפי שטענה אשת הבן במבוא לכרך שחיבר, “חיי אריה”</w:t>
      </w:r>
      <w:bookmarkStart w:id="6426" w:name="_fnr4842"/>
      <w:r>
        <w:rPr>
          <w:rStyle w:val="a5"/>
        </w:rPr>
        <w:footnoteReference w:id="4854" w:customMarkFollows="0"/>
      </w:r>
      <w:bookmarkEnd w:id="6426"/>
      <w:r>
        <w:rPr>
          <w:rtl/>
        </w:rPr>
        <w:t>); אפשר שבעייתו של ר׳ ישראל הייתה נוירולוגית.</w:t>
      </w:r>
    </w:p>
    <w:p w14:paraId="164B3E34" w14:textId="77777777" w:rsidR="00AB3647" w:rsidRDefault="00000000" w:rsidP="007923E9">
      <w:pPr>
        <w:pStyle w:val="4"/>
        <w:spacing w:line="276" w:lineRule="auto"/>
      </w:pPr>
      <w:r>
        <w:t>· הפסקה החמישית ·</w:t>
      </w:r>
    </w:p>
    <w:p w14:paraId="5F9E154C" w14:textId="77777777" w:rsidR="00AB3647" w:rsidRDefault="00000000" w:rsidP="007923E9">
      <w:pPr>
        <w:pStyle w:val="5"/>
        <w:spacing w:line="276" w:lineRule="auto"/>
      </w:pPr>
      <w:r>
        <w:t xml:space="preserve">ראיה שר׳ ישראל אכן אכל ביום הכיפורים בזמן מגפת הכולרה בווילנה – מוצע טעם חדש לביטול הצום בידי ר׳ ישראל – דרך הלכתית לעקוף את איסור האכילה בכמויות קטנות – ר׳ ישראל נשבע כנראה</w:t>
      </w:r>
    </w:p>
    <w:p w14:paraId="4EA3FE98" w14:textId="77777777" w:rsidR="00AB3647" w:rsidRDefault="00000000" w:rsidP="007923E9">
      <w:pPr>
        <w:spacing w:after="120" w:line="276" w:lineRule="auto"/>
        <w:ind w:firstLine="283"/>
        <w:jc w:val="both"/>
      </w:pPr>
      <w:bookmarkStart w:id="6427" w:name="pr_b_2669"/>
      <w:bookmarkEnd w:id="6427"/>
      <w:r>
        <w:rPr>
          <w:rtl/>
        </w:rPr>
        <w:t xml:space="preserve">תיאורו של אבי את מעשה ר׳ ישראל </w:t>
      </w:r>
      <w:proofErr w:type="spellStart"/>
      <w:r>
        <w:rPr>
          <w:rtl/>
        </w:rPr>
        <w:t>סלנטר</w:t>
      </w:r>
      <w:proofErr w:type="spellEnd"/>
      <w:r>
        <w:rPr>
          <w:rtl/>
        </w:rPr>
        <w:t xml:space="preserve"> באותו יום כיפור, שהיה </w:t>
      </w:r>
      <w:proofErr w:type="spellStart"/>
      <w:r>
        <w:rPr>
          <w:rtl/>
        </w:rPr>
        <w:t>הרה־גורל</w:t>
      </w:r>
      <w:proofErr w:type="spellEnd"/>
      <w:r>
        <w:rPr>
          <w:rtl/>
        </w:rPr>
        <w:t xml:space="preserve"> בשבילו, חולק בשתי נקודות יסוד על מסורת יעקב מארק (שצוטטה בפסקה השנייה לעיל), שלפיה ר׳ ישראל רק “הכין במבואות בתי הכנסת חתיכות עוגה זעירות למקרה הצורך” </w:t>
      </w:r>
      <w:proofErr w:type="spellStart"/>
      <w:r>
        <w:rPr>
          <w:rtl/>
        </w:rPr>
        <w:t>ו“הכריז</w:t>
      </w:r>
      <w:proofErr w:type="spellEnd"/>
      <w:r>
        <w:rPr>
          <w:rtl/>
        </w:rPr>
        <w:t xml:space="preserve"> שכל מי שמרגיש חולשה רשאי לטעום מן העוגות המוכנות בלי לשאול רופא”. ראשית, לפי אבי ביטל ר׳ ישראל את הצום כולו: הוא הכריז שהכול יאכלו, ולא הגביל את אכילתם לפחות </w:t>
      </w:r>
      <w:proofErr w:type="spellStart"/>
      <w:r>
        <w:rPr>
          <w:rtl/>
        </w:rPr>
        <w:t>מכשיעור</w:t>
      </w:r>
      <w:proofErr w:type="spellEnd"/>
      <w:r>
        <w:rPr>
          <w:rtl/>
        </w:rPr>
        <w:t xml:space="preserve">. שנית, ר׳ ישראל עצמו אכל. הידיעה על תגובת חסידי </w:t>
      </w:r>
      <w:proofErr w:type="spellStart"/>
      <w:r>
        <w:rPr>
          <w:rtl/>
        </w:rPr>
        <w:t>קוידנוב</w:t>
      </w:r>
      <w:proofErr w:type="spellEnd"/>
      <w:r>
        <w:rPr>
          <w:rtl/>
        </w:rPr>
        <w:t xml:space="preserve"> למאורעות יום הכיפורים מחזקת את הדעה שר׳ ישראל ביטל את הצום, שאם לא כן בוודאי לא היו מגנים אותו עד כדי הטלת קללה על ראשו. אפילו הכרזה שהכול רשאים לאכול כנראה לא הייתה מעוררת את כעסם, אלמלא אכל גם הוא עצמו. התנגדות אחרת להתנהגות ר׳ ישראל הייתה אולי על שנטל לעצמו את סמכות בית הדין – ועל כך, לפי אבי, זומן להופיע לפני בית הדין למחרת. אבל מעשה כזה בוודאי לא היה מעורר את ביקורתם הקשה של החסידים, ואולי אף לא היה נחשב אצלם פסול, שהרי עצם תנועתם נוסדה מתוך התנגדות לממסד.</w:t>
      </w:r>
    </w:p>
    <w:p w14:paraId="046ADBF9" w14:textId="77777777" w:rsidR="00AB3647" w:rsidRDefault="00000000" w:rsidP="007923E9">
      <w:pPr>
        <w:spacing w:after="120" w:line="276" w:lineRule="auto"/>
        <w:ind w:firstLine="283"/>
        <w:jc w:val="both"/>
      </w:pPr>
      <w:bookmarkStart w:id="6428" w:name="pr_close_b_4229"/>
      <w:bookmarkEnd w:id="6428"/>
      <w:r>
        <w:rPr>
          <w:rtl/>
        </w:rPr>
        <w:t>השווה גם “מקור ברוך”</w:t>
      </w:r>
      <w:bookmarkStart w:id="6429" w:name="_fnr4843"/>
      <w:r>
        <w:rPr>
          <w:rStyle w:val="a5"/>
        </w:rPr>
        <w:footnoteReference w:id="4855" w:customMarkFollows="0"/>
      </w:r>
      <w:bookmarkEnd w:id="6429"/>
      <w:r>
        <w:rPr>
          <w:rtl/>
        </w:rPr>
        <w:t xml:space="preserve">, האומר שר׳ ישראל עצמו אכל. אבל טענתו </w:t>
      </w:r>
      <w:proofErr w:type="spellStart"/>
      <w:r>
        <w:rPr>
          <w:rtl/>
        </w:rPr>
        <w:t>ש“עלה</w:t>
      </w:r>
      <w:proofErr w:type="spellEnd"/>
      <w:r>
        <w:rPr>
          <w:rtl/>
        </w:rPr>
        <w:t xml:space="preserve"> על הבימה בבית הכנסת הגדול בווילנה ועמו שני </w:t>
      </w:r>
      <w:proofErr w:type="spellStart"/>
      <w:r>
        <w:rPr>
          <w:rtl/>
        </w:rPr>
        <w:t>מ״צים</w:t>
      </w:r>
      <w:proofErr w:type="spellEnd"/>
      <w:r>
        <w:rPr>
          <w:rtl/>
        </w:rPr>
        <w:t xml:space="preserve"> ידועים” מוטעית הן במקום הן במלוויו, כפי שעולה מן הפסקה השנייה לעיל</w:t>
      </w:r>
      <w:bookmarkStart w:id="6430" w:name="_fnr4844"/>
      <w:r>
        <w:rPr>
          <w:rStyle w:val="a5"/>
        </w:rPr>
        <w:footnoteReference w:id="4856" w:customMarkFollows="0"/>
      </w:r>
      <w:bookmarkEnd w:id="6430"/>
      <w:bookmarkStart w:id="7054" w:name="_TranslatorNote_5402"/>
      <w:r>
        <w:rPr>
          <w:rStyle w:val="a5"/>
          <w:vertAlign w:val="superscript"/>
          <w:rtl/>
        </w:rPr>
        <w:footnoteReference w:id="4857" w:customMarkFollows="1"/>
        <w:t>*</w:t>
      </w:r>
      <w:bookmarkEnd w:id="7054"/>
      <w:r>
        <w:rPr>
          <w:rtl/>
        </w:rPr>
        <w:t xml:space="preserve">. </w:t>
      </w:r>
      <w:proofErr w:type="spellStart"/>
      <w:r>
        <w:rPr>
          <w:rtl/>
        </w:rPr>
        <w:t>אטקס</w:t>
      </w:r>
      <w:proofErr w:type="spellEnd"/>
      <w:r>
        <w:rPr>
          <w:rtl/>
        </w:rPr>
        <w:t xml:space="preserve">, “ר׳ ישראל </w:t>
      </w:r>
      <w:proofErr w:type="spellStart"/>
      <w:r>
        <w:rPr>
          <w:rtl/>
        </w:rPr>
        <w:t>סלנטר</w:t>
      </w:r>
      <w:proofErr w:type="spellEnd"/>
      <w:r>
        <w:rPr>
          <w:rtl/>
        </w:rPr>
        <w:t xml:space="preserve"> וראשיתה של תנועת המוסר”</w:t>
      </w:r>
      <w:bookmarkStart w:id="6431" w:name="_fnr4845"/>
      <w:r>
        <w:rPr>
          <w:rStyle w:val="a5"/>
        </w:rPr>
        <w:footnoteReference w:id="4858" w:customMarkFollows="0"/>
      </w:r>
      <w:bookmarkEnd w:id="6431"/>
      <w:r>
        <w:rPr>
          <w:rtl/>
        </w:rPr>
        <w:t xml:space="preserve">, מוצא תמיכה בגרסת יעקב מארק למאורעות יום הכיפורים בזיכרונות בנו של ר׳ ישראל, ר׳ יצחק ליפקין, שכתב: “בעת ‘המחלה’, לא עלינו, כשהגיע יום הכיפורים, ידוע שהתיר לאכול פחות </w:t>
      </w:r>
      <w:proofErr w:type="spellStart"/>
      <w:r>
        <w:rPr>
          <w:rtl/>
        </w:rPr>
        <w:t>מכשיעור</w:t>
      </w:r>
      <w:proofErr w:type="spellEnd"/>
      <w:r>
        <w:rPr>
          <w:rtl/>
        </w:rPr>
        <w:t xml:space="preserve">, </w:t>
      </w:r>
      <w:proofErr w:type="spellStart"/>
      <w:r>
        <w:rPr>
          <w:b/>
          <w:bCs/>
          <w:rtl/>
        </w:rPr>
        <w:t>וכו</w:t>
      </w:r>
      <w:proofErr w:type="spellEnd"/>
      <w:r>
        <w:rPr>
          <w:b/>
          <w:bCs/>
          <w:rtl/>
        </w:rPr>
        <w:t>׳</w:t>
      </w:r>
      <w:r>
        <w:rPr>
          <w:rtl/>
        </w:rPr>
        <w:t xml:space="preserve">, ואת זאת </w:t>
      </w:r>
      <w:r>
        <w:rPr>
          <w:b/>
          <w:bCs/>
          <w:rtl/>
        </w:rPr>
        <w:t>החליט רק בלילה שלפני יום הכיפורים</w:t>
      </w:r>
      <w:r>
        <w:rPr>
          <w:rtl/>
        </w:rPr>
        <w:t xml:space="preserve">... וצירף להיתר את </w:t>
      </w:r>
      <w:r>
        <w:rPr>
          <w:rtl/>
        </w:rPr>
        <w:lastRenderedPageBreak/>
        <w:t xml:space="preserve">שיקול חילול השם </w:t>
      </w:r>
      <w:proofErr w:type="spellStart"/>
      <w:r>
        <w:rPr>
          <w:rtl/>
        </w:rPr>
        <w:t>מהעכו״ם</w:t>
      </w:r>
      <w:bookmarkStart w:id="6432" w:name="_fnr4846"/>
      <w:proofErr w:type="spellEnd"/>
      <w:r>
        <w:rPr>
          <w:rStyle w:val="a5"/>
        </w:rPr>
        <w:footnoteReference w:id="4859" w:customMarkFollows="0"/>
      </w:r>
      <w:bookmarkEnd w:id="6432"/>
      <w:r>
        <w:rPr>
          <w:rtl/>
        </w:rPr>
        <w:t xml:space="preserve">, שמא יאמרו כי בגלל האמונה היהודית באה עליהם ‘המחלה’, חס ושלום (ההדגשות שלי)”. עיון בדברי הרב ליפקין תומך בדברי רבנו, שבית הדין של וילנה הביע מורת רוח מוצדקת על שר׳ ישראל לא התייעץ עמו קודם לכן. בטענה </w:t>
      </w:r>
      <w:proofErr w:type="spellStart"/>
      <w:r>
        <w:rPr>
          <w:rtl/>
        </w:rPr>
        <w:t>ש“רק</w:t>
      </w:r>
      <w:proofErr w:type="spellEnd"/>
      <w:r>
        <w:rPr>
          <w:rtl/>
        </w:rPr>
        <w:t xml:space="preserve"> בלילה שלפני יום הכיפורים” החליט ר׳ ישראל לפעול כפי שפעל, ביקש בנו להדוף את עיקר תלונתו של בית הדין.</w:t>
      </w:r>
    </w:p>
    <w:p w14:paraId="12858F44" w14:textId="77777777" w:rsidR="00AB3647" w:rsidRDefault="00000000" w:rsidP="007923E9">
      <w:pPr>
        <w:spacing w:after="120" w:line="276" w:lineRule="auto"/>
        <w:ind w:firstLine="283"/>
        <w:jc w:val="both"/>
      </w:pPr>
      <w:r>
        <w:rPr>
          <w:rtl/>
        </w:rPr>
        <w:t xml:space="preserve">אין בדברי ר׳ יצחק ליפקין ראיה מכרעת שר׳ ישראל עצמו לא אכל. </w:t>
      </w:r>
      <w:proofErr w:type="spellStart"/>
      <w:r>
        <w:rPr>
          <w:rtl/>
        </w:rPr>
        <w:t>אטקס</w:t>
      </w:r>
      <w:proofErr w:type="spellEnd"/>
      <w:r>
        <w:rPr>
          <w:rtl/>
        </w:rPr>
        <w:t xml:space="preserve"> מוכרח להודות שהרב ליפקין </w:t>
      </w:r>
      <w:r>
        <w:rPr>
          <w:b/>
          <w:bCs/>
          <w:rtl/>
        </w:rPr>
        <w:t>הרחיק לכת יותר מיעקב מארק</w:t>
      </w:r>
      <w:r>
        <w:rPr>
          <w:rtl/>
        </w:rPr>
        <w:t xml:space="preserve">, באומרו שאביו התיר לכל אדם “לאכול פחות </w:t>
      </w:r>
      <w:proofErr w:type="spellStart"/>
      <w:r>
        <w:rPr>
          <w:rtl/>
        </w:rPr>
        <w:t>מכשיעור</w:t>
      </w:r>
      <w:proofErr w:type="spellEnd"/>
      <w:r>
        <w:rPr>
          <w:rtl/>
        </w:rPr>
        <w:t xml:space="preserve">”: לפי יעקב מארק, ההיתר היחיד שנתן היה “לכל מי שמרגיש חולשה לטעום מן העוגות המוכנות בלי לשאול רופא”. אם הותר לכל אדם לאכול, גם למי שחש בטוב, כפי שמורה הרב ליפקין – אף שרק פחות </w:t>
      </w:r>
      <w:proofErr w:type="spellStart"/>
      <w:r>
        <w:rPr>
          <w:rtl/>
        </w:rPr>
        <w:t>מכשיעור</w:t>
      </w:r>
      <w:proofErr w:type="spellEnd"/>
      <w:r>
        <w:rPr>
          <w:rtl/>
        </w:rPr>
        <w:t xml:space="preserve"> – באיזה היגיון יכול היה ר׳ ישראל להצדיק את המשך הימנעותו מאוכל? מוכרח שגם הוא טעם </w:t>
      </w:r>
      <w:proofErr w:type="spellStart"/>
      <w:r>
        <w:rPr>
          <w:rtl/>
        </w:rPr>
        <w:t>דבר־מה</w:t>
      </w:r>
      <w:proofErr w:type="spellEnd"/>
      <w:r>
        <w:rPr>
          <w:rtl/>
        </w:rPr>
        <w:t xml:space="preserve">, כדי שפסקו יתקבל באמון. יתרה מזו, ובניגוד לתפיסת </w:t>
      </w:r>
      <w:proofErr w:type="spellStart"/>
      <w:r>
        <w:rPr>
          <w:rtl/>
        </w:rPr>
        <w:t>אטקס</w:t>
      </w:r>
      <w:proofErr w:type="spellEnd"/>
      <w:r>
        <w:rPr>
          <w:rtl/>
        </w:rPr>
        <w:t xml:space="preserve">: בהכניסו את </w:t>
      </w:r>
      <w:proofErr w:type="spellStart"/>
      <w:r>
        <w:rPr>
          <w:rtl/>
        </w:rPr>
        <w:t>ה“וכו</w:t>
      </w:r>
      <w:proofErr w:type="spellEnd"/>
      <w:r>
        <w:rPr>
          <w:rtl/>
        </w:rPr>
        <w:t>׳” התמוה (שהודגש לעיל), רמז הרב ליפקין ש</w:t>
      </w:r>
      <w:r>
        <w:rPr>
          <w:b/>
          <w:bCs/>
          <w:rtl/>
        </w:rPr>
        <w:t>השמיט בכוונה</w:t>
      </w:r>
      <w:r>
        <w:rPr>
          <w:rtl/>
        </w:rPr>
        <w:t xml:space="preserve"> </w:t>
      </w:r>
      <w:proofErr w:type="spellStart"/>
      <w:r>
        <w:rPr>
          <w:rtl/>
        </w:rPr>
        <w:t>דבר־מה</w:t>
      </w:r>
      <w:proofErr w:type="spellEnd"/>
      <w:r>
        <w:rPr>
          <w:rtl/>
        </w:rPr>
        <w:t xml:space="preserve"> שקוראים מסוימים – הלומדים – אמורים להבין, כגון שגם </w:t>
      </w:r>
      <w:r>
        <w:rPr>
          <w:b/>
          <w:bCs/>
          <w:rtl/>
        </w:rPr>
        <w:t>ר׳ ישראל עצמו</w:t>
      </w:r>
      <w:r>
        <w:rPr>
          <w:rtl/>
        </w:rPr>
        <w:t xml:space="preserve"> הפסיק את הצום! בנו לא ציין עובדה זו במפורש, וזה משקף רק את רצונו לסלק מעל אביו את מראית חוסר הדתיות שבמעשה כזה.</w:t>
      </w:r>
    </w:p>
    <w:p w14:paraId="28D5D2D6" w14:textId="77777777" w:rsidR="00AB3647" w:rsidRDefault="00000000" w:rsidP="007923E9">
      <w:pPr>
        <w:spacing w:after="120" w:line="276" w:lineRule="auto"/>
        <w:ind w:firstLine="283"/>
        <w:jc w:val="both"/>
      </w:pPr>
      <w:r>
        <w:rPr>
          <w:rtl/>
        </w:rPr>
        <w:t xml:space="preserve">הסתירה בין דברי הרב ליפקין לדברי אבי, בשאלה אם הגביל ר׳ ישראל לפחות </w:t>
      </w:r>
      <w:proofErr w:type="spellStart"/>
      <w:r>
        <w:rPr>
          <w:rtl/>
        </w:rPr>
        <w:t>מכשיעור</w:t>
      </w:r>
      <w:proofErr w:type="spellEnd"/>
      <w:r>
        <w:rPr>
          <w:rtl/>
        </w:rPr>
        <w:t xml:space="preserve"> את כמות המזון שהתיר לציבור אם לאו, נראית בלתי ניתנת ליישוב. אבל בפסקה השנייה הוסבר שר׳ ישראל נזקק להיתר גורף להפסיק את הצום כדי שפשוטי העם שחייהם נתונים בסכנה יאכלו, ומכאן נמצא פתרון לסתירה בין דברי אבי לזיכרונות הרב ליפקין. כדי להביא חולים מפשוטי העם לאכול, די היה בהכרזה שהצום בטל; לא היה </w:t>
      </w:r>
      <w:r>
        <w:rPr>
          <w:b/>
          <w:bCs/>
          <w:rtl/>
        </w:rPr>
        <w:t>צורך ממשי</w:t>
      </w:r>
      <w:r>
        <w:rPr>
          <w:rtl/>
        </w:rPr>
        <w:t xml:space="preserve"> שאנשים שאינם בסכנה יאכלו. בדוגמה שנתן אבי בטורונטו, חולה מסוכן מתעקש שלא יאכל אלא אם יאכל עמו מניין יהודים, ובכך מותר לכל העשרה לאכול כדי להציל את החולה היחיד. אם אחד או יותר מן העשרה יכולים להסתפק </w:t>
      </w:r>
      <w:r>
        <w:rPr>
          <w:b/>
          <w:bCs/>
          <w:rtl/>
        </w:rPr>
        <w:t>בהעמדת פנים של אכילה</w:t>
      </w:r>
      <w:r>
        <w:rPr>
          <w:rtl/>
        </w:rPr>
        <w:t xml:space="preserve"> ולהטעות את החולה, שיחשוב שהם אוכלים עמו, הם בוודאי חייבים לעשות כן (ואם יאכלו בכל זאת, יהיו חייבים על העבירה). כך גם כל אדם בווילנה שיכול היה </w:t>
      </w:r>
      <w:r>
        <w:rPr>
          <w:b/>
          <w:bCs/>
          <w:rtl/>
        </w:rPr>
        <w:t>להימנע</w:t>
      </w:r>
      <w:r>
        <w:rPr>
          <w:rtl/>
        </w:rPr>
        <w:t xml:space="preserve"> מקיום הכרזת ר׳ ישראל – בלי לשים אותה ללעג – היה חייב להתעלם ממנה, </w:t>
      </w:r>
      <w:r>
        <w:rPr>
          <w:b/>
          <w:bCs/>
          <w:rtl/>
        </w:rPr>
        <w:t>ובכלל זה ר׳ ישראל עצמו</w:t>
      </w:r>
      <w:r>
        <w:rPr>
          <w:rtl/>
        </w:rPr>
        <w:t>.</w:t>
      </w:r>
    </w:p>
    <w:p w14:paraId="2E0618E3" w14:textId="77777777" w:rsidR="00AB3647" w:rsidRDefault="00000000" w:rsidP="007923E9">
      <w:pPr>
        <w:spacing w:after="120" w:line="276" w:lineRule="auto"/>
        <w:ind w:firstLine="283"/>
        <w:jc w:val="both"/>
      </w:pPr>
      <w:r>
        <w:rPr>
          <w:rtl/>
        </w:rPr>
        <w:t xml:space="preserve">לפיכך, אף שר׳ ישראל סבר שגם עליו לטעום מאכל כדי שהציבור יתייחס ברצינות להכרזתו, די היה שיאכל </w:t>
      </w:r>
      <w:r>
        <w:rPr>
          <w:b/>
          <w:bCs/>
          <w:rtl/>
        </w:rPr>
        <w:t xml:space="preserve">פחות </w:t>
      </w:r>
      <w:proofErr w:type="spellStart"/>
      <w:r>
        <w:rPr>
          <w:b/>
          <w:bCs/>
          <w:rtl/>
        </w:rPr>
        <w:t>מכשיעור</w:t>
      </w:r>
      <w:proofErr w:type="spellEnd"/>
      <w:r>
        <w:rPr>
          <w:rtl/>
        </w:rPr>
        <w:t xml:space="preserve">, שבכך לא הופר צומו מבחינה הלכתית – ורק כך אכל מן העוגה, היין והתה החם! נמצא שדברי הבן שר׳ ישראל “התיר לאכול פחות </w:t>
      </w:r>
      <w:proofErr w:type="spellStart"/>
      <w:r>
        <w:rPr>
          <w:rtl/>
        </w:rPr>
        <w:t>מכשיעור</w:t>
      </w:r>
      <w:proofErr w:type="spellEnd"/>
      <w:r>
        <w:rPr>
          <w:rtl/>
        </w:rPr>
        <w:t xml:space="preserve">, </w:t>
      </w:r>
      <w:proofErr w:type="spellStart"/>
      <w:r>
        <w:rPr>
          <w:rtl/>
        </w:rPr>
        <w:t>וכו</w:t>
      </w:r>
      <w:proofErr w:type="spellEnd"/>
      <w:r>
        <w:rPr>
          <w:rtl/>
        </w:rPr>
        <w:t xml:space="preserve">׳” מתייחסים רק אליו עצמו: את הכול ציווה לאכול שיעורי מזון שלמים (דבר שהבן אינו מגלה), ואילו ר׳ ישראל התיר </w:t>
      </w:r>
      <w:r>
        <w:rPr>
          <w:b/>
          <w:bCs/>
          <w:rtl/>
        </w:rPr>
        <w:t>לעצמו</w:t>
      </w:r>
      <w:r>
        <w:rPr>
          <w:rtl/>
        </w:rPr>
        <w:t xml:space="preserve"> לאכול רק </w:t>
      </w:r>
      <w:r>
        <w:rPr>
          <w:b/>
          <w:bCs/>
          <w:rtl/>
        </w:rPr>
        <w:t xml:space="preserve">פחות </w:t>
      </w:r>
      <w:proofErr w:type="spellStart"/>
      <w:r>
        <w:rPr>
          <w:b/>
          <w:bCs/>
          <w:rtl/>
        </w:rPr>
        <w:t>מכשיעור</w:t>
      </w:r>
      <w:proofErr w:type="spellEnd"/>
      <w:r>
        <w:rPr>
          <w:rtl/>
        </w:rPr>
        <w:t xml:space="preserve">. אם כן, הרב ליפקין לא רק רומז </w:t>
      </w:r>
      <w:proofErr w:type="spellStart"/>
      <w:r>
        <w:rPr>
          <w:rtl/>
        </w:rPr>
        <w:t>ב“וכו</w:t>
      </w:r>
      <w:proofErr w:type="spellEnd"/>
      <w:r>
        <w:rPr>
          <w:rtl/>
        </w:rPr>
        <w:t xml:space="preserve">׳” הסתום שר׳ ישראל עצמו אכל ביום הכיפורים, אלא כל המשפט שלפני מילה זו מתאר </w:t>
      </w:r>
      <w:r>
        <w:rPr>
          <w:rtl/>
        </w:rPr>
        <w:lastRenderedPageBreak/>
        <w:t xml:space="preserve">למעשה </w:t>
      </w:r>
      <w:r>
        <w:rPr>
          <w:b/>
          <w:bCs/>
          <w:rtl/>
        </w:rPr>
        <w:t>מה שעשה</w:t>
      </w:r>
      <w:r>
        <w:rPr>
          <w:rtl/>
        </w:rPr>
        <w:t>. כנראה אמר ר׳ ישראל גם לתלמידיו שהיו בריאים ומהימנים כאחד שלא ישמעו להכרזתו, ויצומו בסתר</w:t>
      </w:r>
      <w:bookmarkStart w:id="6433" w:name="_fnr4847"/>
      <w:r>
        <w:rPr>
          <w:rStyle w:val="a5"/>
        </w:rPr>
        <w:footnoteReference w:id="4860" w:customMarkFollows="0"/>
      </w:r>
      <w:bookmarkEnd w:id="6433"/>
      <w:r>
        <w:rPr>
          <w:rtl/>
        </w:rPr>
        <w:t>.</w:t>
      </w:r>
    </w:p>
    <w:p w14:paraId="3AF57855" w14:textId="77777777" w:rsidR="00AB3647" w:rsidRDefault="00000000" w:rsidP="007923E9">
      <w:pPr>
        <w:spacing w:after="120" w:line="276" w:lineRule="auto"/>
        <w:ind w:firstLine="283"/>
        <w:jc w:val="both"/>
      </w:pPr>
      <w:r>
        <w:rPr>
          <w:rtl/>
        </w:rPr>
        <w:t xml:space="preserve">עיון בטעם הנוסף והמחודש שנתן הרב ליפקין למעשה אביו – למנוע מן הגויים לטעון שיום הצום היהודי גורם להתפשטות המגפה – יביא אותנו לראיה שבן ר׳ ישראל הסכים עם מסורת אבי, שר׳ ישראל התיר גם אכילה של שיעורים שלמים. יש להבין שבמילים “חילול השם </w:t>
      </w:r>
      <w:proofErr w:type="spellStart"/>
      <w:r>
        <w:rPr>
          <w:rtl/>
        </w:rPr>
        <w:t>מהעכו״ם</w:t>
      </w:r>
      <w:proofErr w:type="spellEnd"/>
      <w:r>
        <w:rPr>
          <w:rtl/>
        </w:rPr>
        <w:t xml:space="preserve">” התכוון הרב ליפקין למעשה </w:t>
      </w:r>
      <w:proofErr w:type="spellStart"/>
      <w:r>
        <w:rPr>
          <w:rtl/>
        </w:rPr>
        <w:t>ל“סכנת</w:t>
      </w:r>
      <w:proofErr w:type="spellEnd"/>
      <w:r>
        <w:rPr>
          <w:rtl/>
        </w:rPr>
        <w:t xml:space="preserve"> נפשות מצד </w:t>
      </w:r>
      <w:proofErr w:type="spellStart"/>
      <w:r>
        <w:rPr>
          <w:rtl/>
        </w:rPr>
        <w:t>העכו״ם</w:t>
      </w:r>
      <w:proofErr w:type="spellEnd"/>
      <w:r>
        <w:rPr>
          <w:rtl/>
        </w:rPr>
        <w:t>”. אף כעבור עשרות שנים השתמש בלשון נקייה – חילול השם במקום סכנת נפשות – מפחד לעורר את עוינות הגויים. לקורא החריף גילה הרב ליפקין את כוונתו האמיתית בכך שכתב חילול השם “</w:t>
      </w:r>
      <w:proofErr w:type="spellStart"/>
      <w:r>
        <w:rPr>
          <w:rtl/>
        </w:rPr>
        <w:t>מהעכו״ם</w:t>
      </w:r>
      <w:proofErr w:type="spellEnd"/>
      <w:r>
        <w:rPr>
          <w:rtl/>
        </w:rPr>
        <w:t>”, במקום הלשון המתאימה לחילול השם: “</w:t>
      </w:r>
      <w:proofErr w:type="spellStart"/>
      <w:r>
        <w:rPr>
          <w:rtl/>
        </w:rPr>
        <w:t>להעכו״ם</w:t>
      </w:r>
      <w:proofErr w:type="spellEnd"/>
      <w:r>
        <w:rPr>
          <w:rtl/>
        </w:rPr>
        <w:t>”.</w:t>
      </w:r>
    </w:p>
    <w:p w14:paraId="761633BC" w14:textId="77777777" w:rsidR="00AB3647" w:rsidRDefault="00000000" w:rsidP="007923E9">
      <w:pPr>
        <w:spacing w:after="120" w:line="276" w:lineRule="auto"/>
        <w:ind w:firstLine="283"/>
        <w:jc w:val="both"/>
      </w:pPr>
      <w:r>
        <w:rPr>
          <w:rtl/>
        </w:rPr>
        <w:t xml:space="preserve">ההצעה שהרב ליפקין אינו מתכוון באמת לחילול השם אינה נובעת מפלפול בחילוף אות עברית אחת, אלא מן האמירה כולה: חילול השם – בייחוד כלפי </w:t>
      </w:r>
      <w:proofErr w:type="spellStart"/>
      <w:r>
        <w:rPr>
          <w:rtl/>
        </w:rPr>
        <w:t>לא־יהודים</w:t>
      </w:r>
      <w:proofErr w:type="spellEnd"/>
      <w:r>
        <w:rPr>
          <w:rtl/>
        </w:rPr>
        <w:t xml:space="preserve"> – אינו מוכר אצל הפוסקים אפילו כשיקול מצטרף להיתר לעבור עבירה</w:t>
      </w:r>
      <w:bookmarkStart w:id="6434" w:name="_fnr4848"/>
      <w:r>
        <w:rPr>
          <w:rStyle w:val="a5"/>
        </w:rPr>
        <w:footnoteReference w:id="4861" w:customMarkFollows="0"/>
      </w:r>
      <w:bookmarkEnd w:id="6434"/>
      <w:r>
        <w:rPr>
          <w:rtl/>
        </w:rPr>
        <w:t xml:space="preserve">! אבל אם התכוון ר׳ יצחק ליפקין </w:t>
      </w:r>
      <w:proofErr w:type="spellStart"/>
      <w:r>
        <w:rPr>
          <w:rtl/>
        </w:rPr>
        <w:t>ל“סכנת</w:t>
      </w:r>
      <w:proofErr w:type="spellEnd"/>
      <w:r>
        <w:rPr>
          <w:rtl/>
        </w:rPr>
        <w:t xml:space="preserve"> נפשות מצד </w:t>
      </w:r>
      <w:proofErr w:type="spellStart"/>
      <w:r>
        <w:rPr>
          <w:rtl/>
        </w:rPr>
        <w:t>העכו״ם</w:t>
      </w:r>
      <w:proofErr w:type="spellEnd"/>
      <w:r>
        <w:rPr>
          <w:rtl/>
        </w:rPr>
        <w:t>”, כפי שמוצע כאן, נמצא היתר המבוסס על שיקול כזה בשולחן ערוך</w:t>
      </w:r>
      <w:bookmarkStart w:id="6435" w:name="_fnr4849"/>
      <w:r>
        <w:rPr>
          <w:rStyle w:val="a5"/>
        </w:rPr>
        <w:footnoteReference w:id="4862" w:customMarkFollows="0"/>
      </w:r>
      <w:bookmarkEnd w:id="6435"/>
      <w:r>
        <w:rPr>
          <w:rtl/>
        </w:rPr>
        <w:t xml:space="preserve">: </w:t>
      </w:r>
      <w:proofErr w:type="spellStart"/>
      <w:r>
        <w:rPr>
          <w:rtl/>
        </w:rPr>
        <w:t>הרמ״א</w:t>
      </w:r>
      <w:proofErr w:type="spellEnd"/>
      <w:r>
        <w:rPr>
          <w:rtl/>
        </w:rPr>
        <w:t xml:space="preserve"> מבטל שם את כל ההגבלות על כיבוי אש בשבת בעיר שגרים בה </w:t>
      </w:r>
      <w:proofErr w:type="spellStart"/>
      <w:r>
        <w:rPr>
          <w:rtl/>
        </w:rPr>
        <w:t>לא־יהודים</w:t>
      </w:r>
      <w:proofErr w:type="spellEnd"/>
      <w:r>
        <w:rPr>
          <w:rtl/>
        </w:rPr>
        <w:t>, מפני שתגובת הגויים עלולה לסכן חיי יהודים</w:t>
      </w:r>
      <w:bookmarkStart w:id="6436" w:name="_fnr4850"/>
      <w:r>
        <w:rPr>
          <w:rStyle w:val="a5"/>
        </w:rPr>
        <w:footnoteReference w:id="4863" w:customMarkFollows="0"/>
      </w:r>
      <w:bookmarkEnd w:id="6436"/>
      <w:r>
        <w:rPr>
          <w:rtl/>
        </w:rPr>
        <w:t>. האשמת יהודים במגפות והריגתם בהמוניהם בעקבותיהן היא עובדה היסטורית</w:t>
      </w:r>
      <w:bookmarkStart w:id="6437" w:name="_fnr4851"/>
      <w:r>
        <w:rPr>
          <w:rStyle w:val="a5"/>
        </w:rPr>
        <w:footnoteReference w:id="4864" w:customMarkFollows="0"/>
      </w:r>
      <w:bookmarkEnd w:id="6437"/>
      <w:r>
        <w:rPr>
          <w:rtl/>
        </w:rPr>
        <w:t xml:space="preserve">, והיא שעשתה שיקול זה נוגע לפסיקה בשעת מגפת הכולרה בווילנה. כך גם כשמביא הרב ליפקין את חשש אביו שהגויים יאמרו “שבגלל האמונה היהודית באה עליהם המחלה”, כוונתו להתפשטות המחלה לא בקרב היהודים (שבכך ייתכן שהיה חילול השם!), אלא </w:t>
      </w:r>
      <w:r>
        <w:rPr>
          <w:b/>
          <w:bCs/>
          <w:rtl/>
        </w:rPr>
        <w:t>מהם</w:t>
      </w:r>
      <w:r>
        <w:rPr>
          <w:rtl/>
        </w:rPr>
        <w:t xml:space="preserve"> אל הציבור הכללי, </w:t>
      </w:r>
      <w:proofErr w:type="spellStart"/>
      <w:r>
        <w:rPr>
          <w:rtl/>
        </w:rPr>
        <w:t>הלא־יהודי</w:t>
      </w:r>
      <w:proofErr w:type="spellEnd"/>
      <w:r>
        <w:rPr>
          <w:rtl/>
        </w:rPr>
        <w:t>.</w:t>
      </w:r>
    </w:p>
    <w:p w14:paraId="4CCBB1DA" w14:textId="77777777" w:rsidR="00AB3647" w:rsidRDefault="00000000" w:rsidP="007923E9">
      <w:pPr>
        <w:spacing w:after="120" w:line="276" w:lineRule="auto"/>
        <w:ind w:firstLine="283"/>
        <w:jc w:val="both"/>
      </w:pPr>
      <w:r>
        <w:rPr>
          <w:rtl/>
        </w:rPr>
        <w:t xml:space="preserve">עיון זה מוביל למסקנה שהרב ליפקין רמז שר׳ ישראל </w:t>
      </w:r>
      <w:r>
        <w:rPr>
          <w:b/>
          <w:bCs/>
          <w:rtl/>
        </w:rPr>
        <w:t>ביטל את הצום לגמרי</w:t>
      </w:r>
      <w:r>
        <w:rPr>
          <w:rtl/>
        </w:rPr>
        <w:t xml:space="preserve">. שאם לא כן – כלומר, אם התיר רק לחלשים לאכול בלי הוראת רופא מפורשת (או אף אם התיר לכל אדם לאכול רק כמויות מזעריות) – עדיין היו הגויים יכולים לטעון </w:t>
      </w:r>
      <w:proofErr w:type="spellStart"/>
      <w:r>
        <w:rPr>
          <w:rtl/>
        </w:rPr>
        <w:t>ש“האמונה</w:t>
      </w:r>
      <w:proofErr w:type="spellEnd"/>
      <w:r>
        <w:rPr>
          <w:rtl/>
        </w:rPr>
        <w:t xml:space="preserve"> היהודית”, כלומר יום הצום, גורמת להתפשטות המחלה, ועדיין היו עלולים לצאת למסע רצח ביהודים. נמצא שדברי הרב ליפקין מאשרים בשלמות את מסורת אבי שר׳ ישראל ביטל את הצום. אולם די היה בהכרזה הפומבית כדי לשכך את החשש שהגויים יאשימו את היהודים בהתפשטות הכולרה. ואילו לגבי כל יחיד, רק הסכנה לבריאות שבמגפה התירה להפסיק את הצום, והחולים היו צריכים לאכול רק פחות </w:t>
      </w:r>
      <w:proofErr w:type="spellStart"/>
      <w:r>
        <w:rPr>
          <w:rtl/>
        </w:rPr>
        <w:t>מכשיעור</w:t>
      </w:r>
      <w:proofErr w:type="spellEnd"/>
      <w:r>
        <w:rPr>
          <w:rtl/>
        </w:rPr>
        <w:t>.</w:t>
      </w:r>
    </w:p>
    <w:p w14:paraId="3D72CA18" w14:textId="77777777" w:rsidR="00AB3647" w:rsidRDefault="00000000" w:rsidP="007923E9">
      <w:pPr>
        <w:spacing w:after="120" w:line="276" w:lineRule="auto"/>
        <w:ind w:firstLine="283"/>
        <w:jc w:val="both"/>
      </w:pPr>
      <w:proofErr w:type="spellStart"/>
      <w:r>
        <w:rPr>
          <w:rtl/>
        </w:rPr>
        <w:lastRenderedPageBreak/>
        <w:t>ב“שערי</w:t>
      </w:r>
      <w:proofErr w:type="spellEnd"/>
      <w:r>
        <w:rPr>
          <w:rtl/>
        </w:rPr>
        <w:t xml:space="preserve"> ציון”</w:t>
      </w:r>
      <w:bookmarkStart w:id="6438" w:name="_fnr4852"/>
      <w:r>
        <w:rPr>
          <w:rStyle w:val="a5"/>
        </w:rPr>
        <w:footnoteReference w:id="4865" w:customMarkFollows="0"/>
      </w:r>
      <w:bookmarkEnd w:id="6438"/>
      <w:r>
        <w:rPr>
          <w:rtl/>
        </w:rPr>
        <w:t xml:space="preserve"> מספר ר׳ </w:t>
      </w:r>
      <w:proofErr w:type="spellStart"/>
      <w:r>
        <w:rPr>
          <w:rtl/>
        </w:rPr>
        <w:t>צבי־הירש</w:t>
      </w:r>
      <w:proofErr w:type="spellEnd"/>
      <w:r>
        <w:rPr>
          <w:rtl/>
        </w:rPr>
        <w:t xml:space="preserve"> פרבר שר׳ ישראל מצא דרך הלכתית להתיר לכל אדם לאכול פחות </w:t>
      </w:r>
      <w:proofErr w:type="spellStart"/>
      <w:r>
        <w:rPr>
          <w:rtl/>
        </w:rPr>
        <w:t>מכשיעור</w:t>
      </w:r>
      <w:proofErr w:type="spellEnd"/>
      <w:r>
        <w:rPr>
          <w:rtl/>
        </w:rPr>
        <w:t xml:space="preserve"> ביום הכיפורים אפילו </w:t>
      </w:r>
      <w:r>
        <w:rPr>
          <w:b/>
          <w:bCs/>
          <w:rtl/>
        </w:rPr>
        <w:t>בלי נסיבות מיוחדות</w:t>
      </w:r>
      <w:r>
        <w:rPr>
          <w:rtl/>
        </w:rPr>
        <w:t xml:space="preserve">: שבועה שלא אוכל כשיעור. מצד האיסור שקבעה השבועה נשאר האדם רשאי לאכול פחות </w:t>
      </w:r>
      <w:proofErr w:type="spellStart"/>
      <w:r>
        <w:rPr>
          <w:rtl/>
        </w:rPr>
        <w:t>מכשיעור</w:t>
      </w:r>
      <w:proofErr w:type="spellEnd"/>
      <w:r>
        <w:rPr>
          <w:rtl/>
        </w:rPr>
        <w:t xml:space="preserve">, ובשל השבועה אין איסור יום הכיפורים לאכול שיעור שלם חל, מחמת הכלל “אין איסור חל על איסור”. כשבא יום הכיפורים, לא יחול איסורו על שיעור מזון שכבר נאסר מחמת השבועה, ובעקבות זאת אין איסור יום הכיפורים חל גם על פחות </w:t>
      </w:r>
      <w:proofErr w:type="spellStart"/>
      <w:r>
        <w:rPr>
          <w:rtl/>
        </w:rPr>
        <w:t>מכשיעור</w:t>
      </w:r>
      <w:proofErr w:type="spellEnd"/>
      <w:r>
        <w:rPr>
          <w:rtl/>
        </w:rPr>
        <w:t xml:space="preserve">. הטעם הוא שאיסורו של דבר שהוא פחות מן השיעור ההלכתי מבוסס על “חזי </w:t>
      </w:r>
      <w:proofErr w:type="spellStart"/>
      <w:r>
        <w:rPr>
          <w:rtl/>
        </w:rPr>
        <w:t>לאיצטרופי</w:t>
      </w:r>
      <w:proofErr w:type="spellEnd"/>
      <w:r>
        <w:rPr>
          <w:rtl/>
        </w:rPr>
        <w:t>” [אפשר לצרפו לכמות קטנה נוספת ולהגיע לשיעור שלם]</w:t>
      </w:r>
      <w:bookmarkStart w:id="6439" w:name="_fnr4853"/>
      <w:r>
        <w:rPr>
          <w:rStyle w:val="a5"/>
        </w:rPr>
        <w:footnoteReference w:id="4866" w:customMarkFollows="0"/>
      </w:r>
      <w:bookmarkEnd w:id="6439"/>
      <w:r>
        <w:rPr>
          <w:rtl/>
        </w:rPr>
        <w:t xml:space="preserve">. </w:t>
      </w:r>
      <w:proofErr w:type="spellStart"/>
      <w:r>
        <w:rPr>
          <w:rtl/>
        </w:rPr>
        <w:t>וכשאפילו</w:t>
      </w:r>
      <w:proofErr w:type="spellEnd"/>
      <w:r>
        <w:rPr>
          <w:rtl/>
        </w:rPr>
        <w:t xml:space="preserve"> שיעור שלם אינו אסור ביום הכיפורים, כפי שהוסבר, אין פחות </w:t>
      </w:r>
      <w:proofErr w:type="spellStart"/>
      <w:r>
        <w:rPr>
          <w:rtl/>
        </w:rPr>
        <w:t>מכשיעור</w:t>
      </w:r>
      <w:proofErr w:type="spellEnd"/>
      <w:r>
        <w:rPr>
          <w:rtl/>
        </w:rPr>
        <w:t xml:space="preserve"> ראוי עוד להצטרף עם כמות נוספת לשיעור שלם האסור. לפיכך פחות </w:t>
      </w:r>
      <w:proofErr w:type="spellStart"/>
      <w:r>
        <w:rPr>
          <w:rtl/>
        </w:rPr>
        <w:t>מכשיעור</w:t>
      </w:r>
      <w:proofErr w:type="spellEnd"/>
      <w:r>
        <w:rPr>
          <w:rtl/>
        </w:rPr>
        <w:t xml:space="preserve"> מותר לגמרי.</w:t>
      </w:r>
    </w:p>
    <w:p w14:paraId="77BFC2A6" w14:textId="77777777" w:rsidR="00AB3647" w:rsidRDefault="00000000" w:rsidP="007923E9">
      <w:pPr>
        <w:spacing w:after="120" w:line="276" w:lineRule="auto"/>
        <w:ind w:firstLine="283"/>
        <w:jc w:val="both"/>
      </w:pPr>
      <w:r>
        <w:rPr>
          <w:rtl/>
        </w:rPr>
        <w:t xml:space="preserve">מסתבר אפוא שר׳ ישראל לא הפסיק את צומו מן הבחינה ההלכתית – אף באכילת פחות </w:t>
      </w:r>
      <w:proofErr w:type="spellStart"/>
      <w:r>
        <w:rPr>
          <w:rtl/>
        </w:rPr>
        <w:t>מכשיעור</w:t>
      </w:r>
      <w:proofErr w:type="spellEnd"/>
      <w:r>
        <w:rPr>
          <w:rtl/>
        </w:rPr>
        <w:t xml:space="preserve"> בלבד, כאמור לעיל – רק כדי לתת תוקף להכרזתו שהצום בטל. וכך עשה: ביום שלפני יום הכיפורים נשבע שלא יאכל שיעור מזון שלם בעשרה בתשרי, יום הכיפורים, ולפי חידושו ההלכתי שמסר ר׳ </w:t>
      </w:r>
      <w:proofErr w:type="spellStart"/>
      <w:r>
        <w:rPr>
          <w:rtl/>
        </w:rPr>
        <w:t>צבי־הירש</w:t>
      </w:r>
      <w:proofErr w:type="spellEnd"/>
      <w:r>
        <w:rPr>
          <w:rtl/>
        </w:rPr>
        <w:t xml:space="preserve"> פרבר יכול היה אפוא לאכול פחות </w:t>
      </w:r>
      <w:proofErr w:type="spellStart"/>
      <w:r>
        <w:rPr>
          <w:rtl/>
        </w:rPr>
        <w:t>מכשיעור</w:t>
      </w:r>
      <w:proofErr w:type="spellEnd"/>
      <w:r>
        <w:rPr>
          <w:rtl/>
        </w:rPr>
        <w:t xml:space="preserve"> בלי צורך בהיתר מיוחד. כנראה אמר גם לתלמידיו</w:t>
      </w:r>
      <w:bookmarkStart w:id="6440" w:name="_fnr4854"/>
      <w:r>
        <w:rPr>
          <w:rStyle w:val="a5"/>
        </w:rPr>
        <w:footnoteReference w:id="4867" w:customMarkFollows="0"/>
      </w:r>
      <w:bookmarkEnd w:id="6440"/>
      <w:r>
        <w:rPr>
          <w:rtl/>
        </w:rPr>
        <w:t xml:space="preserve"> להישבע כך, וגם הם יכלו להטעות את פשוטי העם בטעימת מעט אוכל, ולהניח להם להאמין שהם מקיימים את ביטול הצום של רבם!</w:t>
      </w:r>
    </w:p>
    <w:p w14:paraId="129B4288" w14:textId="77777777" w:rsidR="00AB3647" w:rsidRDefault="00000000" w:rsidP="007923E9">
      <w:pPr>
        <w:spacing w:after="120" w:line="276" w:lineRule="auto"/>
        <w:ind w:firstLine="283"/>
        <w:jc w:val="both"/>
      </w:pPr>
      <w:r>
        <w:rPr>
          <w:rtl/>
        </w:rPr>
        <w:t xml:space="preserve">אבל העובדה שר׳ ישראל לא פרסם היתר גורף כזה לאכול פחות </w:t>
      </w:r>
      <w:proofErr w:type="spellStart"/>
      <w:r>
        <w:rPr>
          <w:rtl/>
        </w:rPr>
        <w:t>מכשיעור</w:t>
      </w:r>
      <w:proofErr w:type="spellEnd"/>
      <w:r>
        <w:rPr>
          <w:rtl/>
        </w:rPr>
        <w:t xml:space="preserve"> אינה מוכיחה שהתכוון, בניגוד ליעקב מארק, להתיר גם אכילה של שיעורים שלמים. עדיין אפשר שהתיר רק פחות </w:t>
      </w:r>
      <w:proofErr w:type="spellStart"/>
      <w:r>
        <w:rPr>
          <w:rtl/>
        </w:rPr>
        <w:t>מכשיעור</w:t>
      </w:r>
      <w:proofErr w:type="spellEnd"/>
      <w:r>
        <w:rPr>
          <w:rtl/>
        </w:rPr>
        <w:t xml:space="preserve">, אלא שמאחר שהגיע להחלטתו לפעול “רק בלילה שלפני יום הכיפורים”, לא מוקדם מעשרים וארבע שעות לפני החג – כפי שכתב בנו הרב ליפקין – לא היה די זמן לפרסם דרך זו. יתרה מזו, ר׳ ישראל לא היה מפרסם את חידושו, מפני שהיתר מסוג זה מתאים רק ללומדים ולא לציבור הרחב, שהיה רואה בו רק דרך פלפולית לחלל את היום הקדוש. ואכן, ר׳ </w:t>
      </w:r>
      <w:proofErr w:type="spellStart"/>
      <w:r>
        <w:rPr>
          <w:rtl/>
        </w:rPr>
        <w:t>צבי־הירש</w:t>
      </w:r>
      <w:proofErr w:type="spellEnd"/>
      <w:r>
        <w:rPr>
          <w:rtl/>
        </w:rPr>
        <w:t xml:space="preserve"> פרבר אומר במפורש </w:t>
      </w:r>
      <w:proofErr w:type="spellStart"/>
      <w:r>
        <w:rPr>
          <w:rtl/>
        </w:rPr>
        <w:t>ש“בדרך</w:t>
      </w:r>
      <w:proofErr w:type="spellEnd"/>
      <w:r>
        <w:rPr>
          <w:rtl/>
        </w:rPr>
        <w:t xml:space="preserve"> מבריקה מסר רעיון מחוכם זה לתלמידים השומעים את תורתו” – רק לתלמידים.</w:t>
      </w:r>
    </w:p>
    <w:p w14:paraId="6954285B" w14:textId="77777777" w:rsidR="00AB3647" w:rsidRDefault="00000000" w:rsidP="007923E9">
      <w:pPr>
        <w:spacing w:after="120" w:line="276" w:lineRule="auto"/>
        <w:ind w:firstLine="283"/>
        <w:jc w:val="both"/>
      </w:pPr>
      <w:r>
        <w:rPr>
          <w:rtl/>
        </w:rPr>
        <w:t xml:space="preserve">לנוכח גילוי זה </w:t>
      </w:r>
      <w:proofErr w:type="spellStart"/>
      <w:r>
        <w:rPr>
          <w:rtl/>
        </w:rPr>
        <w:t>ב“שערי</w:t>
      </w:r>
      <w:proofErr w:type="spellEnd"/>
      <w:r>
        <w:rPr>
          <w:rtl/>
        </w:rPr>
        <w:t xml:space="preserve"> ציון” אפשר להבין את </w:t>
      </w:r>
      <w:proofErr w:type="spellStart"/>
      <w:r>
        <w:rPr>
          <w:rtl/>
        </w:rPr>
        <w:t>ה“וכו</w:t>
      </w:r>
      <w:proofErr w:type="spellEnd"/>
      <w:r>
        <w:rPr>
          <w:rtl/>
        </w:rPr>
        <w:t xml:space="preserve">׳” בדברי הרב ליפקין כרמז לאו דווקא לכך שאביו אכל באותו יום הכיפורים, אלא לכך שמצא דרך להימנע מאיסור פחות </w:t>
      </w:r>
      <w:proofErr w:type="spellStart"/>
      <w:r>
        <w:rPr>
          <w:rtl/>
        </w:rPr>
        <w:t>מכשיעור</w:t>
      </w:r>
      <w:proofErr w:type="spellEnd"/>
      <w:r>
        <w:rPr>
          <w:rtl/>
        </w:rPr>
        <w:t xml:space="preserve">. מכל מקום, אם סבר שיש לחידושו תוקף הלכתי מלא – ושאינו רק פלפול – לא הייתה סיבה שר׳ ישראל לא ישתמש בו בעצמו ויאכל פחות </w:t>
      </w:r>
      <w:proofErr w:type="spellStart"/>
      <w:r>
        <w:rPr>
          <w:rtl/>
        </w:rPr>
        <w:t>מכשיעור</w:t>
      </w:r>
      <w:proofErr w:type="spellEnd"/>
      <w:r>
        <w:rPr>
          <w:rtl/>
        </w:rPr>
        <w:t>.</w:t>
      </w:r>
    </w:p>
    <w:p w14:paraId="5C9D19CD" w14:textId="77777777" w:rsidR="00AB3647" w:rsidRDefault="00000000" w:rsidP="007923E9">
      <w:pPr>
        <w:pStyle w:val="4"/>
        <w:spacing w:line="276" w:lineRule="auto"/>
      </w:pPr>
      <w:r>
        <w:lastRenderedPageBreak/>
        <w:t>· הפסקה השישית ·</w:t>
      </w:r>
    </w:p>
    <w:p w14:paraId="11F3B926" w14:textId="77777777" w:rsidR="00AB3647" w:rsidRDefault="00000000" w:rsidP="007923E9">
      <w:pPr>
        <w:pStyle w:val="5"/>
        <w:spacing w:line="276" w:lineRule="auto"/>
      </w:pPr>
      <w:r>
        <w:t xml:space="preserve">הגרסה האחרת על שאירע ביום הכיפורים בזמן המגפה – גישתו של ר׳ חיים </w:t>
      </w:r>
      <w:proofErr w:type="spellStart"/>
      <w:r>
        <w:t>סולובייצ׳יק</w:t>
      </w:r>
      <w:proofErr w:type="spellEnd"/>
      <w:r>
        <w:t xml:space="preserve"> לשאלות של חיים ומוות</w:t>
      </w:r>
    </w:p>
    <w:p w14:paraId="4E129AF4" w14:textId="77777777" w:rsidR="00AB3647" w:rsidRDefault="00000000" w:rsidP="007923E9">
      <w:pPr>
        <w:spacing w:after="120" w:line="276" w:lineRule="auto"/>
        <w:ind w:firstLine="283"/>
        <w:jc w:val="both"/>
      </w:pPr>
      <w:r>
        <w:rPr>
          <w:rtl/>
        </w:rPr>
        <w:t xml:space="preserve">קיומן של שתי גרסאות על מעשה ר׳ ישראל באותו יום כיפור – האחת שאכל בעצמו, והאחרת שלא אכל – מוסבר בספרו של </w:t>
      </w:r>
      <w:proofErr w:type="spellStart"/>
      <w:r>
        <w:rPr>
          <w:rtl/>
        </w:rPr>
        <w:t>אטקס</w:t>
      </w:r>
      <w:proofErr w:type="spellEnd"/>
      <w:r>
        <w:rPr>
          <w:rtl/>
        </w:rPr>
        <w:t xml:space="preserve">, “ר׳ ישראל </w:t>
      </w:r>
      <w:proofErr w:type="spellStart"/>
      <w:r>
        <w:rPr>
          <w:rtl/>
        </w:rPr>
        <w:t>סלנטר</w:t>
      </w:r>
      <w:proofErr w:type="spellEnd"/>
      <w:r>
        <w:rPr>
          <w:rtl/>
        </w:rPr>
        <w:t xml:space="preserve"> וראשיתה של תנועת המוסר”</w:t>
      </w:r>
      <w:bookmarkStart w:id="6441" w:name="_fnr4855"/>
      <w:r>
        <w:rPr>
          <w:rStyle w:val="a5"/>
        </w:rPr>
        <w:footnoteReference w:id="4868" w:customMarkFollows="0"/>
      </w:r>
      <w:bookmarkEnd w:id="6441"/>
      <w:r>
        <w:rPr>
          <w:rtl/>
        </w:rPr>
        <w:t xml:space="preserve">. לשם הקיצור נכנה את מסורת רבנו ואת זו של כץ, “תנועת המוסר”, כרך א, </w:t>
      </w:r>
      <w:r>
        <w:rPr>
          <w:b/>
          <w:bCs/>
          <w:rtl/>
        </w:rPr>
        <w:t>“גרסת האכילה”</w:t>
      </w:r>
      <w:r>
        <w:rPr>
          <w:rtl/>
        </w:rPr>
        <w:t xml:space="preserve">, ואת מסורת יעקב מארק </w:t>
      </w:r>
      <w:r>
        <w:rPr>
          <w:b/>
          <w:bCs/>
          <w:rtl/>
        </w:rPr>
        <w:t>“גרסת ההכרזה”</w:t>
      </w:r>
      <w:r>
        <w:rPr>
          <w:rtl/>
        </w:rPr>
        <w:t xml:space="preserve">. </w:t>
      </w:r>
      <w:proofErr w:type="spellStart"/>
      <w:r>
        <w:rPr>
          <w:rtl/>
        </w:rPr>
        <w:t>אטקס</w:t>
      </w:r>
      <w:proofErr w:type="spellEnd"/>
      <w:r>
        <w:rPr>
          <w:rtl/>
        </w:rPr>
        <w:t xml:space="preserve"> טוען שגרסת ההכרזה היא האמיתית, וגרסת האכילה היא המחזה מוגזמת של העובדות. יתרה מזו, הוא סבור גם</w:t>
      </w:r>
      <w:bookmarkStart w:id="6442" w:name="_fnr4856"/>
      <w:r>
        <w:rPr>
          <w:rStyle w:val="a5"/>
        </w:rPr>
        <w:footnoteReference w:id="4869" w:customMarkFollows="0"/>
      </w:r>
      <w:bookmarkEnd w:id="6442"/>
      <w:r>
        <w:rPr>
          <w:rtl/>
        </w:rPr>
        <w:t xml:space="preserve"> שגרסת ההכרזה הולמת יותר את “דמותו השקולה והזהירה” של ר׳ ישראל.</w:t>
      </w:r>
    </w:p>
    <w:p w14:paraId="3ACF6CAA" w14:textId="77777777" w:rsidR="00AB3647" w:rsidRDefault="00000000" w:rsidP="007923E9">
      <w:pPr>
        <w:spacing w:after="120" w:line="276" w:lineRule="auto"/>
        <w:ind w:firstLine="283"/>
        <w:jc w:val="both"/>
      </w:pPr>
      <w:r>
        <w:rPr>
          <w:rtl/>
        </w:rPr>
        <w:t xml:space="preserve">אבל על יסוד המסורת שמסר רבנו אני מקבל את גרסת האכילה, ואת היווצרות גרסת ההכרזה אני תולה בניסיון להמעיט בחומרת מעשה שנראה בלתי דתי של אחד מגדולי החכמים: הבלתי מלומדים ראו בו עקיפת דין תורה מתוך שיקולים אנושיים, ולא קיום ציווי התורה “ושמרתם את </w:t>
      </w:r>
      <w:proofErr w:type="spellStart"/>
      <w:r>
        <w:rPr>
          <w:rtl/>
        </w:rPr>
        <w:t>חוקותי</w:t>
      </w:r>
      <w:proofErr w:type="spellEnd"/>
      <w:r>
        <w:rPr>
          <w:rtl/>
        </w:rPr>
        <w:t xml:space="preserve"> ואת משפטי אשר יעשה אותם האדם </w:t>
      </w:r>
      <w:r>
        <w:rPr>
          <w:b/>
          <w:bCs/>
          <w:rtl/>
        </w:rPr>
        <w:t>וחי בהם</w:t>
      </w:r>
      <w:r>
        <w:rPr>
          <w:rtl/>
        </w:rPr>
        <w:t>”</w:t>
      </w:r>
      <w:bookmarkStart w:id="6443" w:name="_fnr4857"/>
      <w:r>
        <w:rPr>
          <w:rStyle w:val="a5"/>
        </w:rPr>
        <w:footnoteReference w:id="4870" w:customMarkFollows="0"/>
      </w:r>
      <w:bookmarkEnd w:id="6443"/>
      <w:r>
        <w:rPr>
          <w:rtl/>
        </w:rPr>
        <w:t xml:space="preserve">, כפי שהיה באמת. המשכיל </w:t>
      </w:r>
      <w:proofErr w:type="spellStart"/>
      <w:r>
        <w:rPr>
          <w:rtl/>
        </w:rPr>
        <w:t>האנטי־דתי</w:t>
      </w:r>
      <w:proofErr w:type="spellEnd"/>
      <w:r>
        <w:rPr>
          <w:rtl/>
        </w:rPr>
        <w:t xml:space="preserve"> דוד פרישמן נתן לגרסת האכילה ביטוי מלא כשתיאר את המאורע בהמחזה, בסיפור קצר</w:t>
      </w:r>
      <w:bookmarkStart w:id="6444" w:name="_fnr4858"/>
      <w:r>
        <w:rPr>
          <w:rStyle w:val="a5"/>
        </w:rPr>
        <w:footnoteReference w:id="4871" w:customMarkFollows="0"/>
      </w:r>
      <w:bookmarkEnd w:id="6444"/>
      <w:r>
        <w:rPr>
          <w:rtl/>
        </w:rPr>
        <w:t xml:space="preserve"> בשם “שלשה שאכלו כאחד”</w:t>
      </w:r>
      <w:bookmarkStart w:id="6445" w:name="_fnr4859"/>
      <w:r>
        <w:rPr>
          <w:rStyle w:val="a5"/>
        </w:rPr>
        <w:footnoteReference w:id="4872" w:customMarkFollows="0"/>
      </w:r>
      <w:bookmarkEnd w:id="6445"/>
      <w:r>
        <w:rPr>
          <w:rtl/>
        </w:rPr>
        <w:t xml:space="preserve"> – דווקא מפני שהבלתי מלומדים ראו במעשהו הנטען של ר׳ ישראל מעשה אנושי ונוגד את ההלכה.</w:t>
      </w:r>
    </w:p>
    <w:p w14:paraId="4288906C" w14:textId="77777777" w:rsidR="00AB3647" w:rsidRDefault="00000000" w:rsidP="007923E9">
      <w:pPr>
        <w:spacing w:after="120" w:line="276" w:lineRule="auto"/>
        <w:ind w:firstLine="283"/>
        <w:jc w:val="both"/>
      </w:pPr>
      <w:r>
        <w:rPr>
          <w:rtl/>
        </w:rPr>
        <w:t xml:space="preserve">על ההצעה </w:t>
      </w:r>
      <w:proofErr w:type="spellStart"/>
      <w:r>
        <w:rPr>
          <w:rtl/>
        </w:rPr>
        <w:t>ש“דמותו</w:t>
      </w:r>
      <w:proofErr w:type="spellEnd"/>
      <w:r>
        <w:rPr>
          <w:rtl/>
        </w:rPr>
        <w:t xml:space="preserve"> השקולה והזהירה” של ר׳ ישראל אינה מתיישבת עם גרסת האכילה, השווה “אישים ושיטות”</w:t>
      </w:r>
      <w:bookmarkStart w:id="6446" w:name="_fnr4860"/>
      <w:r>
        <w:rPr>
          <w:rStyle w:val="a5"/>
        </w:rPr>
        <w:footnoteReference w:id="4873" w:customMarkFollows="0"/>
      </w:r>
      <w:bookmarkEnd w:id="6446"/>
      <w:r>
        <w:rPr>
          <w:rtl/>
        </w:rPr>
        <w:t xml:space="preserve">, המביא ידיעה שר׳ חיים </w:t>
      </w:r>
      <w:proofErr w:type="spellStart"/>
      <w:r>
        <w:rPr>
          <w:rtl/>
        </w:rPr>
        <w:t>סולובייצ׳יק</w:t>
      </w:r>
      <w:proofErr w:type="spellEnd"/>
      <w:r>
        <w:rPr>
          <w:rtl/>
        </w:rPr>
        <w:t xml:space="preserve"> השיב למי שביקר את קולותיו בשאלות פיקוח נפש: “אינני </w:t>
      </w:r>
      <w:proofErr w:type="spellStart"/>
      <w:r>
        <w:rPr>
          <w:rtl/>
        </w:rPr>
        <w:t>מקיל</w:t>
      </w:r>
      <w:proofErr w:type="spellEnd"/>
      <w:r>
        <w:rPr>
          <w:rtl/>
        </w:rPr>
        <w:t xml:space="preserve"> באיסורים; אני מחמיר בענייני פיקוח נפשות”. דווקא מפני זהירותו היה ר׳ ישראל </w:t>
      </w:r>
      <w:r>
        <w:rPr>
          <w:b/>
          <w:bCs/>
          <w:rtl/>
        </w:rPr>
        <w:t>מחמיר כל כך עד שאכל ביום הכיפורים בעצמו</w:t>
      </w:r>
      <w:r>
        <w:rPr>
          <w:rtl/>
        </w:rPr>
        <w:t xml:space="preserve">, ובכך הבטיח שגם כל האחרים יאכלו. נקודה זו נעלמה כל כך מעיני הציבור הפשוט (ומעיני חסידי </w:t>
      </w:r>
      <w:proofErr w:type="spellStart"/>
      <w:r>
        <w:rPr>
          <w:rtl/>
        </w:rPr>
        <w:t>קוידנוב</w:t>
      </w:r>
      <w:proofErr w:type="spellEnd"/>
      <w:r>
        <w:rPr>
          <w:rtl/>
        </w:rPr>
        <w:t>), עד שהיה צורך להמציא את גרסת ההכרזה, ובנו של ר׳ ישראל נאלץ לכסות את אכילת אביו ברמזים נסתרים (והחסידים דימו שנפל קורבן לקללת רבם).</w:t>
      </w:r>
    </w:p>
    <w:p w14:paraId="0C1950D6" w14:textId="77777777" w:rsidR="00AB3647" w:rsidRDefault="00000000" w:rsidP="007923E9">
      <w:pPr>
        <w:spacing w:after="120" w:line="276" w:lineRule="auto"/>
        <w:ind w:firstLine="283"/>
        <w:jc w:val="both"/>
      </w:pPr>
      <w:r>
        <w:rPr>
          <w:rtl/>
        </w:rPr>
        <w:t xml:space="preserve">ר׳ אהרן </w:t>
      </w:r>
      <w:proofErr w:type="spellStart"/>
      <w:r>
        <w:rPr>
          <w:rtl/>
        </w:rPr>
        <w:t>סולובייצ׳יק</w:t>
      </w:r>
      <w:proofErr w:type="spellEnd"/>
      <w:r>
        <w:rPr>
          <w:rtl/>
        </w:rPr>
        <w:t xml:space="preserve"> סיפר</w:t>
      </w:r>
      <w:bookmarkStart w:id="6447" w:name="_fnr4861"/>
      <w:r>
        <w:rPr>
          <w:rStyle w:val="a5"/>
        </w:rPr>
        <w:footnoteReference w:id="4874" w:customMarkFollows="0"/>
      </w:r>
      <w:bookmarkEnd w:id="6447"/>
      <w:r>
        <w:rPr>
          <w:rtl/>
        </w:rPr>
        <w:t xml:space="preserve"> שהביטוי שבו השתמש סבו ר׳ חיים היה: “אפילו </w:t>
      </w:r>
      <w:r>
        <w:rPr>
          <w:b/>
          <w:bCs/>
          <w:rtl/>
        </w:rPr>
        <w:t>מיליונית</w:t>
      </w:r>
      <w:r>
        <w:rPr>
          <w:rtl/>
        </w:rPr>
        <w:t xml:space="preserve"> של ספק פיקוח נפש מחייבת את </w:t>
      </w:r>
      <w:proofErr w:type="spellStart"/>
      <w:r>
        <w:rPr>
          <w:rtl/>
        </w:rPr>
        <w:t>החומרא</w:t>
      </w:r>
      <w:proofErr w:type="spellEnd"/>
      <w:r>
        <w:rPr>
          <w:rtl/>
        </w:rPr>
        <w:t>”</w:t>
      </w:r>
      <w:bookmarkStart w:id="6448" w:name="_fnr4862"/>
      <w:r>
        <w:rPr>
          <w:rStyle w:val="a5"/>
        </w:rPr>
        <w:footnoteReference w:id="4875" w:customMarkFollows="0"/>
      </w:r>
      <w:bookmarkEnd w:id="6448"/>
      <w:r>
        <w:rPr>
          <w:rtl/>
        </w:rPr>
        <w:t xml:space="preserve">. דוגמה לפסק כזה של ר׳ חיים </w:t>
      </w:r>
      <w:proofErr w:type="spellStart"/>
      <w:r>
        <w:rPr>
          <w:rtl/>
        </w:rPr>
        <w:t>סולובייצ׳יק</w:t>
      </w:r>
      <w:proofErr w:type="spellEnd"/>
      <w:r>
        <w:rPr>
          <w:rtl/>
        </w:rPr>
        <w:t xml:space="preserve"> נמצאת </w:t>
      </w:r>
      <w:proofErr w:type="spellStart"/>
      <w:r>
        <w:rPr>
          <w:rtl/>
        </w:rPr>
        <w:t>ב“לבני</w:t>
      </w:r>
      <w:proofErr w:type="spellEnd"/>
      <w:r>
        <w:rPr>
          <w:rtl/>
        </w:rPr>
        <w:t xml:space="preserve"> בינה”</w:t>
      </w:r>
      <w:bookmarkStart w:id="6449" w:name="_fnr4863"/>
      <w:r>
        <w:rPr>
          <w:rStyle w:val="a5"/>
        </w:rPr>
        <w:footnoteReference w:id="4876" w:customMarkFollows="0"/>
      </w:r>
      <w:bookmarkEnd w:id="6449"/>
      <w:r>
        <w:rPr>
          <w:rtl/>
        </w:rPr>
        <w:t xml:space="preserve">: “יהודי בא </w:t>
      </w:r>
      <w:proofErr w:type="spellStart"/>
      <w:r>
        <w:rPr>
          <w:rtl/>
        </w:rPr>
        <w:t>לר</w:t>
      </w:r>
      <w:proofErr w:type="spellEnd"/>
      <w:r>
        <w:rPr>
          <w:rtl/>
        </w:rPr>
        <w:t xml:space="preserve">׳ חיים באחד מלילות שבת לשאול אם מותר לו לנסוע בשבת לעיר שבה עמד בנו להתייצב לפני ועדת הגיוס, מתוך אפשרות שאביו יצליח להשיג לו פטור, ור׳ חיים התיר את הנסיעה. כשהלך היהודי ומקורבי הרב שאלוהו על פסקו, הסביר: ‘אם </w:t>
      </w:r>
      <w:r>
        <w:rPr>
          <w:rtl/>
        </w:rPr>
        <w:lastRenderedPageBreak/>
        <w:t>יגויס הצעיר, יהיה עליו לשרת חמש שנים, שבמהלכן עלולה לפרוץ מלחמה, וייתכן שיישלח לחזית, ושם עלול להיהרג. הרי זה אפוא פיקוח נפש הדוחה את השבת’”</w:t>
      </w:r>
      <w:bookmarkStart w:id="6450" w:name="_fnr4864"/>
      <w:r>
        <w:rPr>
          <w:rStyle w:val="a5"/>
        </w:rPr>
        <w:footnoteReference w:id="4877" w:customMarkFollows="0"/>
      </w:r>
      <w:bookmarkEnd w:id="6450"/>
      <w:r>
        <w:rPr>
          <w:rtl/>
        </w:rPr>
        <w:t>.</w:t>
      </w:r>
    </w:p>
    <w:p w14:paraId="423ECDCD" w14:textId="77777777" w:rsidR="00AB3647" w:rsidRDefault="00000000" w:rsidP="007923E9">
      <w:pPr>
        <w:spacing w:after="120" w:line="276" w:lineRule="auto"/>
        <w:ind w:firstLine="283"/>
        <w:jc w:val="both"/>
      </w:pPr>
      <w:r>
        <w:rPr>
          <w:rtl/>
        </w:rPr>
        <w:t>לצד חומרת פיקוח נפש המוטלת על הרב הפוסק, מוטלת גם על החולה חובה להיזהר ביותר בבריאותו – התורה אומרת “ונשמרתם מאד לנפשותיכם”</w:t>
      </w:r>
      <w:bookmarkStart w:id="6451" w:name="_fnr4865"/>
      <w:r>
        <w:rPr>
          <w:rStyle w:val="a5"/>
        </w:rPr>
        <w:footnoteReference w:id="4878" w:customMarkFollows="0"/>
      </w:r>
      <w:bookmarkEnd w:id="6451"/>
      <w:r>
        <w:rPr>
          <w:rtl/>
        </w:rPr>
        <w:t xml:space="preserve">. על חובה זו אמר ר׳ יצחק־זאב, בנו הצעיר של ר׳ חיים וממלא מקומו </w:t>
      </w:r>
      <w:proofErr w:type="spellStart"/>
      <w:r>
        <w:rPr>
          <w:rtl/>
        </w:rPr>
        <w:t>בבריסק</w:t>
      </w:r>
      <w:proofErr w:type="spellEnd"/>
      <w:r>
        <w:rPr>
          <w:rtl/>
        </w:rPr>
        <w:t xml:space="preserve">, </w:t>
      </w:r>
      <w:r>
        <w:rPr>
          <w:b/>
          <w:bCs/>
          <w:rtl/>
        </w:rPr>
        <w:t xml:space="preserve">בשם ר׳ ישראל </w:t>
      </w:r>
      <w:proofErr w:type="spellStart"/>
      <w:r>
        <w:rPr>
          <w:b/>
          <w:bCs/>
          <w:rtl/>
        </w:rPr>
        <w:t>סלנטר</w:t>
      </w:r>
      <w:proofErr w:type="spellEnd"/>
      <w:r>
        <w:rPr>
          <w:rtl/>
        </w:rPr>
        <w:t>: “החולה פטור מכל המצוות חוץ מזו, ובא היצר הרע ומסיתו להקל בה”</w:t>
      </w:r>
      <w:bookmarkStart w:id="6452" w:name="_fnr4866"/>
      <w:r>
        <w:rPr>
          <w:rStyle w:val="a5"/>
        </w:rPr>
        <w:footnoteReference w:id="4879" w:customMarkFollows="0"/>
      </w:r>
      <w:bookmarkEnd w:id="6452"/>
      <w:r>
        <w:rPr>
          <w:rtl/>
        </w:rPr>
        <w:t xml:space="preserve">. ר׳ מרדכי </w:t>
      </w:r>
      <w:proofErr w:type="spellStart"/>
      <w:r>
        <w:rPr>
          <w:rtl/>
        </w:rPr>
        <w:t>וייספיש</w:t>
      </w:r>
      <w:bookmarkStart w:id="6453" w:name="_fnr4867"/>
      <w:proofErr w:type="spellEnd"/>
      <w:r>
        <w:rPr>
          <w:rStyle w:val="a5"/>
        </w:rPr>
        <w:footnoteReference w:id="4880" w:customMarkFollows="0"/>
      </w:r>
      <w:bookmarkEnd w:id="6453"/>
      <w:r>
        <w:rPr>
          <w:rtl/>
        </w:rPr>
        <w:t xml:space="preserve"> ציין שבעניין קולותיו של ר׳ חיים בפטור החולים מן הצום ביום הכיפורים היה מסופר בירושלים שאמר: “כנגד הציווי ‘ועיניתם את נפשותיכם’</w:t>
      </w:r>
      <w:bookmarkStart w:id="6454" w:name="_fnr4868"/>
      <w:r>
        <w:rPr>
          <w:rStyle w:val="a5"/>
        </w:rPr>
        <w:footnoteReference w:id="4881" w:customMarkFollows="0"/>
      </w:r>
      <w:bookmarkEnd w:id="6454"/>
      <w:r>
        <w:rPr>
          <w:rtl/>
        </w:rPr>
        <w:t xml:space="preserve"> עומד הציווי ‘ונשמרתם מאד לנפשותיכם’ [והימנעו מסכנה זו]”.</w:t>
      </w:r>
    </w:p>
    <w:p w14:paraId="7E6A03D1" w14:textId="77777777" w:rsidR="00AB3647" w:rsidRDefault="00000000" w:rsidP="007923E9">
      <w:pPr>
        <w:spacing w:after="120" w:line="276" w:lineRule="auto"/>
        <w:ind w:firstLine="283"/>
        <w:jc w:val="both"/>
      </w:pPr>
      <w:r>
        <w:rPr>
          <w:rtl/>
        </w:rPr>
        <w:t>ר׳ שלמה לורנץ</w:t>
      </w:r>
      <w:bookmarkStart w:id="6455" w:name="_fnr4869"/>
      <w:r>
        <w:rPr>
          <w:rStyle w:val="a5"/>
        </w:rPr>
        <w:footnoteReference w:id="4882" w:customMarkFollows="0"/>
      </w:r>
      <w:bookmarkEnd w:id="6455"/>
      <w:r>
        <w:rPr>
          <w:rtl/>
        </w:rPr>
        <w:t xml:space="preserve"> סיפר מעשה מעניין בר׳ </w:t>
      </w:r>
      <w:proofErr w:type="spellStart"/>
      <w:r>
        <w:rPr>
          <w:rtl/>
        </w:rPr>
        <w:t>ברוך־בער</w:t>
      </w:r>
      <w:proofErr w:type="spellEnd"/>
      <w:r>
        <w:rPr>
          <w:rtl/>
        </w:rPr>
        <w:t xml:space="preserve">. באחת משנותיו האחרונות היה חולה, ונזקק לנסוע לוורשה כדי להתייעץ עם פרופסור בכיר אם מותר לו לצום ביום הכיפורים. הוא נאלץ לשהות ימים אחדים בבירת פולין כדי לקבל תור אצל הפרופסור, והתאכסן באותו מלון שבו שהה ר׳ שמעון </w:t>
      </w:r>
      <w:proofErr w:type="spellStart"/>
      <w:r>
        <w:rPr>
          <w:rtl/>
        </w:rPr>
        <w:t>שקופ</w:t>
      </w:r>
      <w:proofErr w:type="spellEnd"/>
      <w:r>
        <w:rPr>
          <w:rtl/>
        </w:rPr>
        <w:t xml:space="preserve">, אכסניית הרבנית </w:t>
      </w:r>
      <w:proofErr w:type="spellStart"/>
      <w:r>
        <w:rPr>
          <w:rtl/>
        </w:rPr>
        <w:t>מפרצ׳ב</w:t>
      </w:r>
      <w:proofErr w:type="spellEnd"/>
      <w:r>
        <w:rPr>
          <w:rtl/>
        </w:rPr>
        <w:t xml:space="preserve">. ר׳ שמעון הבחין שר׳ </w:t>
      </w:r>
      <w:proofErr w:type="spellStart"/>
      <w:r>
        <w:rPr>
          <w:rtl/>
        </w:rPr>
        <w:t>ברוך־בער</w:t>
      </w:r>
      <w:proofErr w:type="spellEnd"/>
      <w:r>
        <w:rPr>
          <w:rtl/>
        </w:rPr>
        <w:t xml:space="preserve"> מוטרד מאוד, והוכיחו על שאינו מקבל את העובדה שאכילה לאדם הנתון בסכנה היא מצווה גדולה בדיוק כצום למי שאינו בסכנה. ר׳ </w:t>
      </w:r>
      <w:proofErr w:type="spellStart"/>
      <w:r>
        <w:rPr>
          <w:rtl/>
        </w:rPr>
        <w:t>ברוך־בער</w:t>
      </w:r>
      <w:proofErr w:type="spellEnd"/>
      <w:r>
        <w:rPr>
          <w:rtl/>
        </w:rPr>
        <w:t xml:space="preserve"> השיב: “בוודאי אני יודע זאת. הבעיה שלי היא שיום הכיפורים מתקרב, ועדיין אינני יודע </w:t>
      </w:r>
      <w:r>
        <w:rPr>
          <w:b/>
          <w:bCs/>
          <w:rtl/>
        </w:rPr>
        <w:t>לאיזו מצווה להתכונן</w:t>
      </w:r>
      <w:r>
        <w:rPr>
          <w:rtl/>
        </w:rPr>
        <w:t xml:space="preserve"> – למצוות האכילה או למצוות הצום”</w:t>
      </w:r>
      <w:bookmarkStart w:id="6456" w:name="_fnr4870"/>
      <w:r>
        <w:rPr>
          <w:rStyle w:val="a5"/>
        </w:rPr>
        <w:footnoteReference w:id="4883" w:customMarkFollows="0"/>
      </w:r>
      <w:bookmarkEnd w:id="6456"/>
      <w:r>
        <w:rPr>
          <w:rtl/>
        </w:rPr>
        <w:t>.</w:t>
      </w:r>
    </w:p>
    <w:p w14:paraId="44215AAB" w14:textId="77777777" w:rsidR="00AB3647" w:rsidRDefault="00000000" w:rsidP="007923E9">
      <w:pPr>
        <w:spacing w:after="120" w:line="276" w:lineRule="auto"/>
        <w:ind w:firstLine="283"/>
        <w:jc w:val="both"/>
      </w:pPr>
      <w:r>
        <w:rPr>
          <w:rtl/>
        </w:rPr>
        <w:t>ר׳ שלמה לורנץ סיפר גם</w:t>
      </w:r>
      <w:bookmarkStart w:id="6457" w:name="_fnr4871"/>
      <w:r>
        <w:rPr>
          <w:rStyle w:val="a5"/>
        </w:rPr>
        <w:footnoteReference w:id="4884" w:customMarkFollows="0"/>
      </w:r>
      <w:bookmarkEnd w:id="6457"/>
      <w:r>
        <w:rPr>
          <w:rtl/>
        </w:rPr>
        <w:t xml:space="preserve"> על מצב שנקלע אליו ר׳ </w:t>
      </w:r>
      <w:proofErr w:type="spellStart"/>
      <w:r>
        <w:rPr>
          <w:rtl/>
        </w:rPr>
        <w:t>אליהו־ברוך</w:t>
      </w:r>
      <w:proofErr w:type="spellEnd"/>
      <w:r>
        <w:rPr>
          <w:rtl/>
        </w:rPr>
        <w:t xml:space="preserve"> קמאי </w:t>
      </w:r>
      <w:proofErr w:type="spellStart"/>
      <w:r>
        <w:rPr>
          <w:rtl/>
        </w:rPr>
        <w:t>במיר</w:t>
      </w:r>
      <w:proofErr w:type="spellEnd"/>
      <w:r>
        <w:rPr>
          <w:rtl/>
        </w:rPr>
        <w:t xml:space="preserve">, כשאמר לאישה חולה אחת שעליה לאכול ביום הכיפורים. היא סירבה בעקשנות להישמע לפסקו, עד שהציע לה “עסקה”: הוא יחליף את שכרו </w:t>
      </w:r>
      <w:proofErr w:type="spellStart"/>
      <w:r>
        <w:rPr>
          <w:rtl/>
        </w:rPr>
        <w:t>השמימי</w:t>
      </w:r>
      <w:proofErr w:type="spellEnd"/>
      <w:r>
        <w:rPr>
          <w:rtl/>
        </w:rPr>
        <w:t xml:space="preserve"> על הצום בשכרה על האכילה, ויוסיף עוד עשרה רובלים במזומן, “מפני ששכרה על האכילה גדול משכרו על הצום”. לכך הסכימה, ואכלה בתיאבון באותו יום כיפור.</w:t>
      </w:r>
      <w:bookmarkStart w:id="6458" w:name="_fnr4872"/>
      <w:r>
        <w:rPr>
          <w:rStyle w:val="a5"/>
        </w:rPr>
        <w:footnoteReference w:id="4885" w:customMarkFollows="0"/>
      </w:r>
      <w:bookmarkEnd w:id="6458"/>
    </w:p>
    <w:p w14:paraId="4EA021C5" w14:textId="77777777" w:rsidR="00AB3647" w:rsidRDefault="00000000" w:rsidP="007923E9">
      <w:pPr>
        <w:spacing w:after="120" w:line="276" w:lineRule="auto"/>
        <w:ind w:firstLine="283"/>
        <w:jc w:val="both"/>
      </w:pPr>
      <w:r>
        <w:rPr>
          <w:rtl/>
        </w:rPr>
        <w:lastRenderedPageBreak/>
        <w:t xml:space="preserve">מכל מקום, באשר לשתי הגרסאות הסותרות על מעשהו של ר׳ ישראל – האחת אמיתית והאחרת בדויה – לא נטייה להמחזה, כדעת </w:t>
      </w:r>
      <w:proofErr w:type="spellStart"/>
      <w:r>
        <w:rPr>
          <w:rtl/>
        </w:rPr>
        <w:t>אטקס</w:t>
      </w:r>
      <w:proofErr w:type="spellEnd"/>
      <w:r>
        <w:rPr>
          <w:rtl/>
        </w:rPr>
        <w:t xml:space="preserve"> (נטייה שאינה אופיינית כלל ליהודי וילנה), היא שהולידה את המחזה המקומם של ר׳ ישראל אוכל ביום הכיפורים. להיפך: יראת שמים פשטנית היא שדחקה את פרשת מעשהו ההרואי – האכילה ביום הכיפורים – והשאירה בידו רק הכרזה חסרת תוכן.</w:t>
      </w:r>
    </w:p>
    <w:p w14:paraId="703C5FA0" w14:textId="77777777" w:rsidR="00AB3647" w:rsidRDefault="00000000" w:rsidP="007923E9">
      <w:pPr>
        <w:pStyle w:val="4"/>
        <w:spacing w:line="276" w:lineRule="auto"/>
      </w:pPr>
      <w:r>
        <w:t>· הפסקה השביעית ·</w:t>
      </w:r>
    </w:p>
    <w:p w14:paraId="572D6DE4" w14:textId="77777777" w:rsidR="00AB3647" w:rsidRDefault="00000000" w:rsidP="007923E9">
      <w:pPr>
        <w:pStyle w:val="5"/>
        <w:spacing w:line="276" w:lineRule="auto"/>
      </w:pPr>
      <w:r>
        <w:t xml:space="preserve">הוראותיו החמורות של ר׳ ישראל </w:t>
      </w:r>
      <w:proofErr w:type="spellStart"/>
      <w:r>
        <w:t>סלנטר</w:t>
      </w:r>
      <w:proofErr w:type="spellEnd"/>
      <w:r>
        <w:t xml:space="preserve"> – ר׳ ישראל מתייסר בשל דרך פרנסתו – </w:t>
      </w:r>
      <w:proofErr w:type="spellStart"/>
      <w:r>
        <w:t>החפץ־חיים</w:t>
      </w:r>
      <w:proofErr w:type="spellEnd"/>
      <w:r>
        <w:t xml:space="preserve"> נזהר שלא ליהנות מצדקותו המיוחסת לו – ר׳ </w:t>
      </w:r>
      <w:proofErr w:type="spellStart"/>
      <w:r>
        <w:t>יואליש</w:t>
      </w:r>
      <w:proofErr w:type="spellEnd"/>
      <w:r>
        <w:t xml:space="preserve"> </w:t>
      </w:r>
      <w:proofErr w:type="spellStart"/>
      <w:r>
        <w:t>טייטלבוים</w:t>
      </w:r>
      <w:proofErr w:type="spellEnd"/>
      <w:r>
        <w:t xml:space="preserve"> רואה בחסידיו צדיקים ממנו – כמה מקומות שבהם חזר ר׳ ישראל על הוראותיו החמורות – האסון בבית בנו של ר׳ </w:t>
      </w:r>
      <w:proofErr w:type="spellStart"/>
      <w:r>
        <w:t>יצחק־אלחנן</w:t>
      </w:r>
      <w:proofErr w:type="spellEnd"/>
      <w:r>
        <w:t xml:space="preserve"> </w:t>
      </w:r>
      <w:proofErr w:type="spellStart"/>
      <w:r>
        <w:t>ספקטור</w:t>
      </w:r>
      <w:proofErr w:type="spellEnd"/>
      <w:r>
        <w:t xml:space="preserve"> – ר׳ ישראל נפטר בערב שבת – חסיה </w:t>
      </w:r>
      <w:proofErr w:type="spellStart"/>
      <w:r>
        <w:t>גרודזינסקי</w:t>
      </w:r>
      <w:proofErr w:type="spellEnd"/>
      <w:r>
        <w:t xml:space="preserve"> נקברת בשורה הסמוכה – טוהרו וענוותנותו של ר׳ שלמה </w:t>
      </w:r>
      <w:proofErr w:type="spellStart"/>
      <w:r>
        <w:t>מקרלין</w:t>
      </w:r>
      <w:proofErr w:type="spellEnd"/>
    </w:p>
    <w:p w14:paraId="04DDABE8" w14:textId="77777777" w:rsidR="00AB3647" w:rsidRDefault="00000000" w:rsidP="007923E9">
      <w:pPr>
        <w:spacing w:after="120" w:line="276" w:lineRule="auto"/>
        <w:ind w:firstLine="283"/>
        <w:jc w:val="both"/>
      </w:pPr>
      <w:r>
        <w:rPr>
          <w:rtl/>
        </w:rPr>
        <w:t xml:space="preserve">כפי שצוין בפסקה השלישית לעיל, אביא כאן את פסקו של ר׳ ישראל בשאלה אם מותר לחלל את השבת כדי להצילו מסכנת נפשות – פסק העשוי להאיר את סירובו של ר׳ שלמה </w:t>
      </w:r>
      <w:proofErr w:type="spellStart"/>
      <w:r>
        <w:rPr>
          <w:rtl/>
        </w:rPr>
        <w:t>מקרלין</w:t>
      </w:r>
      <w:proofErr w:type="spellEnd"/>
      <w:r>
        <w:rPr>
          <w:rtl/>
        </w:rPr>
        <w:t xml:space="preserve"> להרשות חילול שבת כדי להציל את עצמו. בריאיון על ר׳ ישראל </w:t>
      </w:r>
      <w:proofErr w:type="spellStart"/>
      <w:r>
        <w:rPr>
          <w:rtl/>
        </w:rPr>
        <w:t>סלנטר</w:t>
      </w:r>
      <w:proofErr w:type="spellEnd"/>
      <w:r>
        <w:rPr>
          <w:rtl/>
        </w:rPr>
        <w:t xml:space="preserve"> פתח אבי את הסיפור הבא במילים: “זהו סיפור שצריך לדעת – מען </w:t>
      </w:r>
      <w:proofErr w:type="spellStart"/>
      <w:r>
        <w:rPr>
          <w:rtl/>
        </w:rPr>
        <w:t>מעג</w:t>
      </w:r>
      <w:proofErr w:type="spellEnd"/>
      <w:r>
        <w:rPr>
          <w:rtl/>
        </w:rPr>
        <w:t xml:space="preserve"> </w:t>
      </w:r>
      <w:proofErr w:type="spellStart"/>
      <w:r>
        <w:rPr>
          <w:rtl/>
        </w:rPr>
        <w:t>וויסען</w:t>
      </w:r>
      <w:proofErr w:type="spellEnd"/>
      <w:r>
        <w:rPr>
          <w:rtl/>
        </w:rPr>
        <w:t xml:space="preserve"> [מותר לדעת]”. הוא סיפר: “ר׳ פישל בר</w:t>
      </w:r>
      <w:bookmarkStart w:id="6459" w:name="_fnr4873"/>
      <w:r>
        <w:rPr>
          <w:rStyle w:val="a5"/>
        </w:rPr>
        <w:footnoteReference w:id="4886" w:customMarkFollows="0"/>
      </w:r>
      <w:bookmarkEnd w:id="6459"/>
      <w:r>
        <w:rPr>
          <w:rtl/>
        </w:rPr>
        <w:t xml:space="preserve"> אמר לי ש</w:t>
      </w:r>
      <w:r>
        <w:rPr>
          <w:b/>
          <w:bCs/>
          <w:rtl/>
        </w:rPr>
        <w:t>בחודשים האחרונים לחיי ר׳ ישראל</w:t>
      </w:r>
      <w:r>
        <w:rPr>
          <w:rtl/>
        </w:rPr>
        <w:t xml:space="preserve"> שהה </w:t>
      </w:r>
      <w:proofErr w:type="spellStart"/>
      <w:r>
        <w:rPr>
          <w:rtl/>
        </w:rPr>
        <w:t>זמן־מה</w:t>
      </w:r>
      <w:proofErr w:type="spellEnd"/>
      <w:r>
        <w:rPr>
          <w:rtl/>
        </w:rPr>
        <w:t xml:space="preserve"> בבית הוריו של ר׳ פישל בממל, לפני שהמשיך לקניגסברג [שבה נפטר]. ר׳ ישראל אמר לו ולאחיו נפתלי, שהיו אז נערים, שהוא חושש שלפתע לא יוכל עוד לטפל בעצמו”. בשיחה המוקלטת בבית הכנסת “בית ישראל” במיאמי </w:t>
      </w:r>
      <w:proofErr w:type="spellStart"/>
      <w:r>
        <w:rPr>
          <w:rtl/>
        </w:rPr>
        <w:t>ביץ</w:t>
      </w:r>
      <w:proofErr w:type="spellEnd"/>
      <w:r>
        <w:rPr>
          <w:rtl/>
        </w:rPr>
        <w:t xml:space="preserve">׳, שגם בה סיפר אבי מעשה זה, הוסיף שחשש זה היה </w:t>
      </w:r>
      <w:proofErr w:type="spellStart"/>
      <w:r>
        <w:rPr>
          <w:rtl/>
        </w:rPr>
        <w:t>לר</w:t>
      </w:r>
      <w:proofErr w:type="spellEnd"/>
      <w:r>
        <w:rPr>
          <w:rtl/>
        </w:rPr>
        <w:t>׳ ישראל מאז אירוע השיתוק שנידון לעיל.</w:t>
      </w:r>
    </w:p>
    <w:p w14:paraId="4718A239" w14:textId="77777777" w:rsidR="00AB3647" w:rsidRDefault="00000000" w:rsidP="007923E9">
      <w:pPr>
        <w:spacing w:after="120" w:line="276" w:lineRule="auto"/>
        <w:ind w:firstLine="283"/>
        <w:jc w:val="both"/>
      </w:pPr>
      <w:r>
        <w:rPr>
          <w:rtl/>
        </w:rPr>
        <w:t>השווה כץ, “תנועת המוסר”, כרך א</w:t>
      </w:r>
      <w:bookmarkStart w:id="6460" w:name="_fnr4874"/>
      <w:r>
        <w:rPr>
          <w:rStyle w:val="a5"/>
        </w:rPr>
        <w:footnoteReference w:id="4887" w:customMarkFollows="0"/>
      </w:r>
      <w:bookmarkEnd w:id="6460"/>
      <w:r>
        <w:rPr>
          <w:rtl/>
        </w:rPr>
        <w:t>, האומר: “בוקר אחד [באביב תרמ״ב] קם, ארז את חפציו ועזב את פריז, באומרו למכריו המשתוממים: ‘לא טוב למות בפריז’</w:t>
      </w:r>
      <w:bookmarkStart w:id="6461" w:name="_fnr4875"/>
      <w:r>
        <w:rPr>
          <w:rStyle w:val="a5"/>
        </w:rPr>
        <w:footnoteReference w:id="4888" w:customMarkFollows="0"/>
      </w:r>
      <w:bookmarkEnd w:id="6461"/>
      <w:r>
        <w:rPr>
          <w:rtl/>
        </w:rPr>
        <w:t xml:space="preserve"> – כאילו אמר לו לבו שימיו ספורים”. אין בכך סתירה לידיעת אבי, שחששו מפני אובדן היכולת לטפל בעצמו התחיל באירוע הנוירולוגי שלו. דאגתו ודאי התחזקה </w:t>
      </w:r>
      <w:proofErr w:type="spellStart"/>
      <w:r>
        <w:rPr>
          <w:rtl/>
        </w:rPr>
        <w:t>ב“חודשים</w:t>
      </w:r>
      <w:proofErr w:type="spellEnd"/>
      <w:r>
        <w:rPr>
          <w:rtl/>
        </w:rPr>
        <w:t xml:space="preserve"> האחרונים לחייו”, מפני שחש שימיו מגיעים לקצם.</w:t>
      </w:r>
    </w:p>
    <w:p w14:paraId="17142E5D" w14:textId="77777777" w:rsidR="00AB3647" w:rsidRDefault="00000000" w:rsidP="007923E9">
      <w:pPr>
        <w:spacing w:after="120" w:line="276" w:lineRule="auto"/>
        <w:ind w:firstLine="283"/>
        <w:jc w:val="both"/>
      </w:pPr>
      <w:r>
        <w:rPr>
          <w:rtl/>
        </w:rPr>
        <w:t xml:space="preserve">“ר׳ ישראל אמר אז לבני בר”, המשיך אבי: “‘ילדים, אם יקרה לי </w:t>
      </w:r>
      <w:proofErr w:type="spellStart"/>
      <w:r>
        <w:rPr>
          <w:rtl/>
        </w:rPr>
        <w:t>דבר־מה</w:t>
      </w:r>
      <w:proofErr w:type="spellEnd"/>
      <w:r>
        <w:rPr>
          <w:rtl/>
        </w:rPr>
        <w:t>, אסור לחלל שבת כדי להציל את חיי. מדוע? הגמרא</w:t>
      </w:r>
      <w:bookmarkStart w:id="6462" w:name="_fnr4876"/>
      <w:r>
        <w:rPr>
          <w:rStyle w:val="a5"/>
        </w:rPr>
        <w:footnoteReference w:id="4889" w:customMarkFollows="0"/>
      </w:r>
      <w:bookmarkEnd w:id="6462"/>
      <w:r>
        <w:rPr>
          <w:rtl/>
        </w:rPr>
        <w:t xml:space="preserve"> אומרת שרועי בהמה דקה לא מעלין ולא מורידין [מן הבור שנפלו אליו, אף שאסור להשליכם לתוכו], מפני שהם מתפרנסים מרעיית צאנם בשדות אחרים [חיים מממון גזול]</w:t>
      </w:r>
      <w:bookmarkStart w:id="6463" w:name="_fnr4877"/>
      <w:r>
        <w:rPr>
          <w:rStyle w:val="a5"/>
        </w:rPr>
        <w:footnoteReference w:id="4890" w:customMarkFollows="0"/>
      </w:r>
      <w:bookmarkEnd w:id="6463"/>
      <w:r>
        <w:rPr>
          <w:rtl/>
        </w:rPr>
        <w:t xml:space="preserve">. אף פרנסתי מושגת בגזל: אין לי כסף – הבריות תומכות </w:t>
      </w:r>
      <w:r>
        <w:rPr>
          <w:rtl/>
        </w:rPr>
        <w:lastRenderedPageBreak/>
        <w:t>בי מתוך מחשבה שאני צדיק; אילו ידעו את האמת, שאינני כזה, לא היו תומכות בי. לפיכך אני חי מממון גזול, ואין להצילני מסכנת נפשות’”.</w:t>
      </w:r>
    </w:p>
    <w:p w14:paraId="7C436E76" w14:textId="77777777" w:rsidR="00AB3647" w:rsidRDefault="00000000" w:rsidP="007923E9">
      <w:pPr>
        <w:spacing w:after="120" w:line="276" w:lineRule="auto"/>
        <w:ind w:firstLine="283"/>
        <w:jc w:val="both"/>
      </w:pPr>
      <w:r>
        <w:rPr>
          <w:rtl/>
        </w:rPr>
        <w:t xml:space="preserve">גם תלמידו ר׳ </w:t>
      </w:r>
      <w:proofErr w:type="spellStart"/>
      <w:r>
        <w:rPr>
          <w:rtl/>
        </w:rPr>
        <w:t>איצל׳ה</w:t>
      </w:r>
      <w:proofErr w:type="spellEnd"/>
      <w:r>
        <w:rPr>
          <w:rtl/>
        </w:rPr>
        <w:t xml:space="preserve"> </w:t>
      </w:r>
      <w:proofErr w:type="spellStart"/>
      <w:r>
        <w:rPr>
          <w:rtl/>
        </w:rPr>
        <w:t>בלאזר</w:t>
      </w:r>
      <w:proofErr w:type="spellEnd"/>
      <w:r>
        <w:rPr>
          <w:rtl/>
        </w:rPr>
        <w:t xml:space="preserve"> מגלה, בחלק “נתיבות אור” </w:t>
      </w:r>
      <w:proofErr w:type="spellStart"/>
      <w:r>
        <w:rPr>
          <w:rtl/>
        </w:rPr>
        <w:t>שב“אור</w:t>
      </w:r>
      <w:proofErr w:type="spellEnd"/>
      <w:r>
        <w:rPr>
          <w:rtl/>
        </w:rPr>
        <w:t xml:space="preserve"> ישראל”</w:t>
      </w:r>
      <w:bookmarkStart w:id="6464" w:name="_fnr4878"/>
      <w:r>
        <w:rPr>
          <w:rStyle w:val="a5"/>
        </w:rPr>
        <w:footnoteReference w:id="4891" w:customMarkFollows="0"/>
      </w:r>
      <w:bookmarkEnd w:id="6464"/>
      <w:r>
        <w:rPr>
          <w:rtl/>
        </w:rPr>
        <w:t xml:space="preserve">, שדרך פרנסתו של ר׳ ישראל הכבידה מאוד על מצפונו. ר׳ </w:t>
      </w:r>
      <w:proofErr w:type="spellStart"/>
      <w:r>
        <w:rPr>
          <w:rtl/>
        </w:rPr>
        <w:t>איצל׳ה</w:t>
      </w:r>
      <w:proofErr w:type="spellEnd"/>
      <w:r>
        <w:rPr>
          <w:rtl/>
        </w:rPr>
        <w:t xml:space="preserve"> כותב: “אחרי שעזב את משרתו בקובנה [</w:t>
      </w:r>
      <w:proofErr w:type="spellStart"/>
      <w:r>
        <w:rPr>
          <w:rtl/>
        </w:rPr>
        <w:t>בתרי״ז</w:t>
      </w:r>
      <w:proofErr w:type="spellEnd"/>
      <w:r>
        <w:rPr>
          <w:rtl/>
        </w:rPr>
        <w:t xml:space="preserve">], נאלץ ר׳ ישראל להיתמך בידי אחרים, ופרנסתו ניתנה לו בידי אחד </w:t>
      </w:r>
      <w:proofErr w:type="spellStart"/>
      <w:r>
        <w:rPr>
          <w:rtl/>
        </w:rPr>
        <w:t>מיח״ס</w:t>
      </w:r>
      <w:bookmarkStart w:id="6465" w:name="_fnr4879"/>
      <w:proofErr w:type="spellEnd"/>
      <w:r>
        <w:rPr>
          <w:rStyle w:val="a5"/>
        </w:rPr>
        <w:footnoteReference w:id="4892" w:customMarkFollows="0"/>
      </w:r>
      <w:bookmarkEnd w:id="6465"/>
      <w:r>
        <w:rPr>
          <w:rtl/>
        </w:rPr>
        <w:t xml:space="preserve"> מבין תלמידיו המצטיינים. הצדיק הצטער על כך כל ימיו... במיוחד פחד ודאג שמא הבריות טועות בו והוא נכשל בגזל – ותמיד היה נאנח ומתייסר על כך”. וכן שם</w:t>
      </w:r>
      <w:bookmarkStart w:id="6466" w:name="_fnr4880"/>
      <w:r>
        <w:rPr>
          <w:rStyle w:val="a5"/>
        </w:rPr>
        <w:footnoteReference w:id="4893" w:customMarkFollows="0"/>
      </w:r>
      <w:bookmarkEnd w:id="6466"/>
      <w:r>
        <w:rPr>
          <w:rtl/>
        </w:rPr>
        <w:t xml:space="preserve">: “בזקנותו כינה את עצמו עני זקן”. מסתבר שכאן, מתוך כבוד לרבו, תרגם ר׳ </w:t>
      </w:r>
      <w:proofErr w:type="spellStart"/>
      <w:r>
        <w:rPr>
          <w:rtl/>
        </w:rPr>
        <w:t>איצל׳ה</w:t>
      </w:r>
      <w:proofErr w:type="spellEnd"/>
      <w:r>
        <w:rPr>
          <w:rtl/>
        </w:rPr>
        <w:t xml:space="preserve"> </w:t>
      </w:r>
      <w:proofErr w:type="spellStart"/>
      <w:r>
        <w:rPr>
          <w:rtl/>
        </w:rPr>
        <w:t>בלאזר</w:t>
      </w:r>
      <w:proofErr w:type="spellEnd"/>
      <w:r>
        <w:rPr>
          <w:rtl/>
        </w:rPr>
        <w:t xml:space="preserve"> לעברית שלא בדיוק את המילים ביידיש שאמר ר׳ ישראל. ר׳ ישראל לא התכוון למחסורו אלא לתלותו הכספית באחרים, וכנראה לא כינה את עצמו “אן </w:t>
      </w:r>
      <w:proofErr w:type="spellStart"/>
      <w:r>
        <w:rPr>
          <w:rtl/>
        </w:rPr>
        <w:t>אלטער</w:t>
      </w:r>
      <w:proofErr w:type="spellEnd"/>
      <w:r>
        <w:rPr>
          <w:rtl/>
        </w:rPr>
        <w:t xml:space="preserve"> </w:t>
      </w:r>
      <w:proofErr w:type="spellStart"/>
      <w:r>
        <w:rPr>
          <w:rtl/>
        </w:rPr>
        <w:t>ארימאן</w:t>
      </w:r>
      <w:proofErr w:type="spellEnd"/>
      <w:r>
        <w:rPr>
          <w:rtl/>
        </w:rPr>
        <w:t xml:space="preserve"> [עני זקן]”, אלא “אן </w:t>
      </w:r>
      <w:proofErr w:type="spellStart"/>
      <w:r>
        <w:rPr>
          <w:rtl/>
        </w:rPr>
        <w:t>אלטער</w:t>
      </w:r>
      <w:proofErr w:type="spellEnd"/>
      <w:r>
        <w:rPr>
          <w:rtl/>
        </w:rPr>
        <w:t xml:space="preserve"> </w:t>
      </w:r>
      <w:proofErr w:type="spellStart"/>
      <w:r>
        <w:rPr>
          <w:rtl/>
        </w:rPr>
        <w:t>בעטלער</w:t>
      </w:r>
      <w:proofErr w:type="spellEnd"/>
      <w:r>
        <w:rPr>
          <w:rtl/>
        </w:rPr>
        <w:t xml:space="preserve"> [קבצן זקן]” – הביטוי המבזה. ר׳ </w:t>
      </w:r>
      <w:proofErr w:type="spellStart"/>
      <w:r>
        <w:rPr>
          <w:rtl/>
        </w:rPr>
        <w:t>איצל׳ה</w:t>
      </w:r>
      <w:proofErr w:type="spellEnd"/>
      <w:r>
        <w:rPr>
          <w:rtl/>
        </w:rPr>
        <w:t xml:space="preserve"> </w:t>
      </w:r>
      <w:proofErr w:type="spellStart"/>
      <w:r>
        <w:rPr>
          <w:rtl/>
        </w:rPr>
        <w:t>בלאזר</w:t>
      </w:r>
      <w:proofErr w:type="spellEnd"/>
      <w:r>
        <w:rPr>
          <w:rtl/>
        </w:rPr>
        <w:t xml:space="preserve"> ממשיך: “אדם נאמן מן העיר קניגסברג סיפר לי שכאשר חלה שם את מחלתו האחרונה ומצבו החמיר, ובני קהילה חשובים ונכבדים רבים באו לבקרו לעיתים קרובות, הבחינו בשעון גדול שתקתק בקול רם מאוד בחדר שבו שכב. הם שוחחו ביניהם על האפשרות להוציא את השעון מן החדר ולהניחו במקום אחר. כששמע רבנו ר׳ ישראל את לחישתם, התרעם עליהם ואמר: ‘מה אתם רוצים? עני זקן’” – מוטב לומר, קבצן זקן – “‘חולה, אז מה אם שעון מתקתק באוזניו? האם תדאגו גם לרפד את הרחוב בתבן ובקש [כדי לעמעם את רעש הרחוב]?’”</w:t>
      </w:r>
      <w:bookmarkStart w:id="6467" w:name="_fnr4881"/>
      <w:r>
        <w:rPr>
          <w:rStyle w:val="a5"/>
        </w:rPr>
        <w:footnoteReference w:id="4894" w:customMarkFollows="0"/>
      </w:r>
      <w:bookmarkEnd w:id="6467"/>
    </w:p>
    <w:p w14:paraId="41F1AC6A" w14:textId="77777777" w:rsidR="00AB3647" w:rsidRDefault="00000000" w:rsidP="007923E9">
      <w:pPr>
        <w:spacing w:after="120" w:line="276" w:lineRule="auto"/>
        <w:ind w:firstLine="283"/>
        <w:jc w:val="both"/>
      </w:pPr>
      <w:r>
        <w:rPr>
          <w:rtl/>
        </w:rPr>
        <w:t>השווה גם יעקב מארק</w:t>
      </w:r>
      <w:bookmarkStart w:id="6468" w:name="_fnr4882"/>
      <w:r>
        <w:rPr>
          <w:rStyle w:val="a5"/>
        </w:rPr>
        <w:footnoteReference w:id="4895" w:customMarkFollows="0"/>
      </w:r>
      <w:bookmarkEnd w:id="6468"/>
      <w:r>
        <w:rPr>
          <w:rtl/>
        </w:rPr>
        <w:t xml:space="preserve">, שר׳ ישראל הזמין פעם רב לאכול עמו ארוחת ערב, ואמר: “מותר לך לאכול הכול, שכן בשבילך הכול כשר”. הרב שאל מדוע כשר הדבר רק בשבילו, ור׳ ישראל השיב: “אנשים טובים תומכים בי: הם נותנים לי את פרנסתי מפני שהם רואים בי אדם גדול. אך מאחר שאינני כזה, הכסף שהם נותנים לי </w:t>
      </w:r>
      <w:r>
        <w:rPr>
          <w:b/>
          <w:bCs/>
          <w:rtl/>
        </w:rPr>
        <w:t>נחשב מאליו ממון גזול</w:t>
      </w:r>
      <w:r>
        <w:rPr>
          <w:rtl/>
        </w:rPr>
        <w:t xml:space="preserve"> (ההדגשה שלי), אפילו </w:t>
      </w:r>
      <w:proofErr w:type="spellStart"/>
      <w:r>
        <w:rPr>
          <w:rtl/>
        </w:rPr>
        <w:t>נתייאשו</w:t>
      </w:r>
      <w:proofErr w:type="spellEnd"/>
      <w:r>
        <w:rPr>
          <w:rtl/>
        </w:rPr>
        <w:t xml:space="preserve"> </w:t>
      </w:r>
      <w:proofErr w:type="spellStart"/>
      <w:r>
        <w:rPr>
          <w:rtl/>
        </w:rPr>
        <w:t>מלקבלו</w:t>
      </w:r>
      <w:proofErr w:type="spellEnd"/>
      <w:r>
        <w:rPr>
          <w:rtl/>
        </w:rPr>
        <w:t xml:space="preserve"> בחזרה. אבל כשאני נותן לך אותו, קנית אותו בשינוי רשות, ולכן הוא כשר לגמרי בשבילך”.</w:t>
      </w:r>
    </w:p>
    <w:p w14:paraId="6F70289C" w14:textId="77777777" w:rsidR="00AB3647" w:rsidRDefault="00000000" w:rsidP="007923E9">
      <w:pPr>
        <w:spacing w:after="120" w:line="276" w:lineRule="auto"/>
        <w:ind w:firstLine="283"/>
        <w:jc w:val="both"/>
      </w:pPr>
      <w:r>
        <w:rPr>
          <w:rtl/>
        </w:rPr>
        <w:t xml:space="preserve">מעשה זה מסופר גם </w:t>
      </w:r>
      <w:proofErr w:type="spellStart"/>
      <w:r>
        <w:rPr>
          <w:rtl/>
        </w:rPr>
        <w:t>ב“אור</w:t>
      </w:r>
      <w:proofErr w:type="spellEnd"/>
      <w:r>
        <w:rPr>
          <w:rtl/>
        </w:rPr>
        <w:t xml:space="preserve"> ישראל”</w:t>
      </w:r>
      <w:bookmarkStart w:id="6469" w:name="_fnr4883"/>
      <w:r>
        <w:rPr>
          <w:rStyle w:val="a5"/>
        </w:rPr>
        <w:footnoteReference w:id="4896" w:customMarkFollows="0"/>
      </w:r>
      <w:bookmarkEnd w:id="6469"/>
      <w:r>
        <w:rPr>
          <w:rtl/>
        </w:rPr>
        <w:t xml:space="preserve">, ושם נאמר שהאורח היה “רב גדול מבין מקורבי ר׳ ישראל”. אבל בדומה לתרגומו המוטעה של “קבצן זקן” שהוזכר לעיל, מסלק כאן ר׳ </w:t>
      </w:r>
      <w:proofErr w:type="spellStart"/>
      <w:r>
        <w:rPr>
          <w:rtl/>
        </w:rPr>
        <w:t>איצל׳ה</w:t>
      </w:r>
      <w:proofErr w:type="spellEnd"/>
      <w:r>
        <w:rPr>
          <w:rtl/>
        </w:rPr>
        <w:t xml:space="preserve"> </w:t>
      </w:r>
      <w:proofErr w:type="spellStart"/>
      <w:r>
        <w:rPr>
          <w:rtl/>
        </w:rPr>
        <w:t>בלאזר</w:t>
      </w:r>
      <w:proofErr w:type="spellEnd"/>
      <w:r>
        <w:rPr>
          <w:rtl/>
        </w:rPr>
        <w:t xml:space="preserve"> מקצת החריפות בשלושה שינויים קלים, המודגשים והממוספרים להלן. הוא כותב: “רבנו אמר [לאורחו]: ‘אולי תרצה מעט אוכל; מותר לך לאוכלו מפני </w:t>
      </w:r>
      <w:r>
        <w:rPr>
          <w:b/>
          <w:bCs/>
          <w:rtl/>
        </w:rPr>
        <w:t>שהוא כשר [1]</w:t>
      </w:r>
      <w:r>
        <w:rPr>
          <w:rtl/>
        </w:rPr>
        <w:t xml:space="preserve">’. הרב </w:t>
      </w:r>
      <w:r>
        <w:rPr>
          <w:rtl/>
        </w:rPr>
        <w:lastRenderedPageBreak/>
        <w:t xml:space="preserve">שאל למה התכוון [באומרו שהוא כשר], ורבנו השיב </w:t>
      </w:r>
      <w:r>
        <w:rPr>
          <w:b/>
          <w:bCs/>
          <w:rtl/>
        </w:rPr>
        <w:t>בצחות לשונו [2]</w:t>
      </w:r>
      <w:r>
        <w:rPr>
          <w:rtl/>
        </w:rPr>
        <w:t xml:space="preserve">: ‘האוכל </w:t>
      </w:r>
      <w:r>
        <w:rPr>
          <w:b/>
          <w:bCs/>
          <w:rtl/>
        </w:rPr>
        <w:t>אולי [3]</w:t>
      </w:r>
      <w:r>
        <w:rPr>
          <w:rtl/>
        </w:rPr>
        <w:t xml:space="preserve"> אינו כשר בשבילי, מפני שנגזל על ידי’”</w:t>
      </w:r>
      <w:bookmarkStart w:id="6470" w:name="_fnr4884"/>
      <w:r>
        <w:rPr>
          <w:rStyle w:val="a5"/>
        </w:rPr>
        <w:footnoteReference w:id="4897" w:customMarkFollows="0"/>
      </w:r>
      <w:bookmarkEnd w:id="6470"/>
      <w:r>
        <w:rPr>
          <w:rtl/>
        </w:rPr>
        <w:t xml:space="preserve">. [1] ר׳ </w:t>
      </w:r>
      <w:proofErr w:type="spellStart"/>
      <w:r>
        <w:rPr>
          <w:rtl/>
        </w:rPr>
        <w:t>איצל׳ה</w:t>
      </w:r>
      <w:proofErr w:type="spellEnd"/>
      <w:r>
        <w:rPr>
          <w:rtl/>
        </w:rPr>
        <w:t xml:space="preserve"> </w:t>
      </w:r>
      <w:proofErr w:type="spellStart"/>
      <w:r>
        <w:rPr>
          <w:rtl/>
        </w:rPr>
        <w:t>בלאזר</w:t>
      </w:r>
      <w:proofErr w:type="spellEnd"/>
      <w:r>
        <w:rPr>
          <w:rtl/>
        </w:rPr>
        <w:t xml:space="preserve"> נמנע מלומר שר׳ ישראל רמז בתחילת שיחתו שהאוכל אינו כשר לעצמו. [2] ר׳ </w:t>
      </w:r>
      <w:proofErr w:type="spellStart"/>
      <w:r>
        <w:rPr>
          <w:rtl/>
        </w:rPr>
        <w:t>איצל׳ה</w:t>
      </w:r>
      <w:proofErr w:type="spellEnd"/>
      <w:r>
        <w:rPr>
          <w:rtl/>
        </w:rPr>
        <w:t xml:space="preserve"> </w:t>
      </w:r>
      <w:proofErr w:type="spellStart"/>
      <w:r>
        <w:rPr>
          <w:rtl/>
        </w:rPr>
        <w:t>בלאזר</w:t>
      </w:r>
      <w:proofErr w:type="spellEnd"/>
      <w:r>
        <w:rPr>
          <w:rtl/>
        </w:rPr>
        <w:t xml:space="preserve"> הבין את דברי ר׳ ישראל כדרך שנונה לבטא מורת רוח מדרך פרנסתו, ולא כביטוי לכך שראה את עצמו גזלן ממש. [3] במקום לומר בוודאות שהאוכל אינו כשר לו עצמו, שם ר׳ </w:t>
      </w:r>
      <w:proofErr w:type="spellStart"/>
      <w:r>
        <w:rPr>
          <w:rtl/>
        </w:rPr>
        <w:t>איצל׳ה</w:t>
      </w:r>
      <w:proofErr w:type="spellEnd"/>
      <w:r>
        <w:rPr>
          <w:rtl/>
        </w:rPr>
        <w:t xml:space="preserve"> </w:t>
      </w:r>
      <w:proofErr w:type="spellStart"/>
      <w:r>
        <w:rPr>
          <w:rtl/>
        </w:rPr>
        <w:t>בלאזר</w:t>
      </w:r>
      <w:proofErr w:type="spellEnd"/>
      <w:r>
        <w:rPr>
          <w:rtl/>
        </w:rPr>
        <w:t xml:space="preserve"> בפי ר׳ ישראל רק אמירה שיש אפשרות כזאת.</w:t>
      </w:r>
    </w:p>
    <w:p w14:paraId="3CD2DB2A" w14:textId="77777777" w:rsidR="00AB3647" w:rsidRDefault="00000000" w:rsidP="007923E9">
      <w:pPr>
        <w:spacing w:after="120" w:line="276" w:lineRule="auto"/>
        <w:ind w:firstLine="283"/>
        <w:jc w:val="both"/>
      </w:pPr>
      <w:proofErr w:type="spellStart"/>
      <w:r>
        <w:rPr>
          <w:rtl/>
        </w:rPr>
        <w:t>החפץ־חיים</w:t>
      </w:r>
      <w:proofErr w:type="spellEnd"/>
      <w:r>
        <w:rPr>
          <w:rtl/>
        </w:rPr>
        <w:t xml:space="preserve"> התייסר בייסורי מצפון דומים, לפי גיליון “שערי ציון” לזכרו, שיצא ביום השנה הראשון לפטירתו</w:t>
      </w:r>
      <w:bookmarkStart w:id="6471" w:name="_fnr4885"/>
      <w:r>
        <w:rPr>
          <w:rStyle w:val="a5"/>
        </w:rPr>
        <w:footnoteReference w:id="4898" w:customMarkFollows="0"/>
      </w:r>
      <w:bookmarkEnd w:id="6471"/>
      <w:r>
        <w:rPr>
          <w:rtl/>
        </w:rPr>
        <w:t xml:space="preserve">. “שערי ציון” מספר: “במלחמת העולם [הראשונה], </w:t>
      </w:r>
      <w:proofErr w:type="spellStart"/>
      <w:r>
        <w:rPr>
          <w:rtl/>
        </w:rPr>
        <w:t>כשהחפץ־חיים</w:t>
      </w:r>
      <w:proofErr w:type="spellEnd"/>
      <w:r>
        <w:rPr>
          <w:rtl/>
        </w:rPr>
        <w:t xml:space="preserve"> וכמה מתלמידיו נדדו ברוסיה</w:t>
      </w:r>
      <w:bookmarkStart w:id="6472" w:name="_fnr4886"/>
      <w:r>
        <w:rPr>
          <w:rStyle w:val="a5"/>
        </w:rPr>
        <w:footnoteReference w:id="4899" w:customMarkFollows="0"/>
      </w:r>
      <w:bookmarkEnd w:id="6472"/>
      <w:r>
        <w:rPr>
          <w:rtl/>
        </w:rPr>
        <w:t xml:space="preserve">, נכנס פעם ד״ר מ.ס. ממוסקבה, שהיה אף הוא בין הפליטים, לחדר </w:t>
      </w:r>
      <w:proofErr w:type="spellStart"/>
      <w:r>
        <w:rPr>
          <w:rtl/>
        </w:rPr>
        <w:t>החפץ־חיים</w:t>
      </w:r>
      <w:proofErr w:type="spellEnd"/>
      <w:r>
        <w:rPr>
          <w:rtl/>
        </w:rPr>
        <w:t xml:space="preserve"> וראה אותו מהלך הלוך ושוב. </w:t>
      </w:r>
      <w:proofErr w:type="spellStart"/>
      <w:r>
        <w:rPr>
          <w:rtl/>
        </w:rPr>
        <w:t>החפץ־חיים</w:t>
      </w:r>
      <w:proofErr w:type="spellEnd"/>
      <w:r>
        <w:rPr>
          <w:rtl/>
        </w:rPr>
        <w:t xml:space="preserve"> הבחין באורח ואמר: ‘צריך להחזיר את 300 הרובל שקיבלתי בדואר מן הגביר מר [</w:t>
      </w:r>
      <w:proofErr w:type="spellStart"/>
      <w:r>
        <w:rPr>
          <w:rtl/>
        </w:rPr>
        <w:t>רפאל־שלמה</w:t>
      </w:r>
      <w:proofErr w:type="spellEnd"/>
      <w:r>
        <w:rPr>
          <w:rtl/>
        </w:rPr>
        <w:t>] גוץ</w:t>
      </w:r>
      <w:bookmarkStart w:id="6473" w:name="_fnr4887"/>
      <w:r>
        <w:rPr>
          <w:rStyle w:val="a5"/>
        </w:rPr>
        <w:footnoteReference w:id="4900" w:customMarkFollows="0"/>
      </w:r>
      <w:bookmarkEnd w:id="6473"/>
      <w:r>
        <w:rPr>
          <w:rtl/>
        </w:rPr>
        <w:t xml:space="preserve">’. ‘אבל מדוע צריך להחזיר את הכסף הנחוץ?’ שאל הרופא. </w:t>
      </w:r>
      <w:proofErr w:type="spellStart"/>
      <w:r>
        <w:rPr>
          <w:rtl/>
        </w:rPr>
        <w:t>החפץ־חיים</w:t>
      </w:r>
      <w:proofErr w:type="spellEnd"/>
      <w:r>
        <w:rPr>
          <w:rtl/>
        </w:rPr>
        <w:t xml:space="preserve"> השיב: ‘זו שאלה של גזל. אתה רואה את המכתב המצורף, שבו הוא מתאר אותי בתארים מופלגים בשבחי? כנראה הוא חושב שאני אדם הראוי לתארים הללו, ומשום כך שלח סכום גדול כל כך לפרנסתי. אילו ידע שבעצם אין שום תואר מן התארים האלה מתאר אותי, לא היה שולח לי את הכסף. לפיכך החזקת הכסף תהיה גנבה’. מאמצי הרופא לשנות את דעת </w:t>
      </w:r>
      <w:proofErr w:type="spellStart"/>
      <w:r>
        <w:rPr>
          <w:rtl/>
        </w:rPr>
        <w:t>החפץ־חיים</w:t>
      </w:r>
      <w:proofErr w:type="spellEnd"/>
      <w:r>
        <w:rPr>
          <w:rtl/>
        </w:rPr>
        <w:t xml:space="preserve"> לא הועילו, והוא נאלץ להחזיר את הכסף. בביקורו הבא אצל </w:t>
      </w:r>
      <w:proofErr w:type="spellStart"/>
      <w:r>
        <w:rPr>
          <w:rtl/>
        </w:rPr>
        <w:t>החפץ־חיים</w:t>
      </w:r>
      <w:proofErr w:type="spellEnd"/>
      <w:r>
        <w:rPr>
          <w:rtl/>
        </w:rPr>
        <w:t xml:space="preserve"> שאל אותו הלה אם החזיר את הכסף, וכשהשיב בחיוב עדיין לא נחה דעת הצדיק, מפחד שמטעים אותו – עד שהראה לו הרופא את הקבלה מבית הדואר. אז נחה דעתו, כאילו נגולה מעל חזהו אבן כבדה”.</w:t>
      </w:r>
    </w:p>
    <w:p w14:paraId="002EA2B8" w14:textId="77777777" w:rsidR="00AB3647" w:rsidRDefault="00000000" w:rsidP="007923E9">
      <w:pPr>
        <w:spacing w:after="120" w:line="276" w:lineRule="auto"/>
        <w:ind w:firstLine="283"/>
        <w:jc w:val="both"/>
      </w:pPr>
      <w:r>
        <w:rPr>
          <w:rtl/>
        </w:rPr>
        <w:t xml:space="preserve">מצאתי גישה דומה אצל צדיק מדור מאוחר יותר, הרב </w:t>
      </w:r>
      <w:proofErr w:type="spellStart"/>
      <w:r>
        <w:rPr>
          <w:rtl/>
        </w:rPr>
        <w:t>מסאטמר</w:t>
      </w:r>
      <w:proofErr w:type="spellEnd"/>
      <w:r>
        <w:rPr>
          <w:rtl/>
        </w:rPr>
        <w:t xml:space="preserve">, ר׳ </w:t>
      </w:r>
      <w:proofErr w:type="spellStart"/>
      <w:r>
        <w:rPr>
          <w:rtl/>
        </w:rPr>
        <w:t>יואליש</w:t>
      </w:r>
      <w:proofErr w:type="spellEnd"/>
      <w:r>
        <w:rPr>
          <w:rtl/>
        </w:rPr>
        <w:t xml:space="preserve"> </w:t>
      </w:r>
      <w:proofErr w:type="spellStart"/>
      <w:r>
        <w:rPr>
          <w:rtl/>
        </w:rPr>
        <w:t>טייטלבוים</w:t>
      </w:r>
      <w:proofErr w:type="spellEnd"/>
      <w:r>
        <w:rPr>
          <w:rtl/>
        </w:rPr>
        <w:t xml:space="preserve">. </w:t>
      </w:r>
      <w:proofErr w:type="spellStart"/>
      <w:r>
        <w:rPr>
          <w:rtl/>
        </w:rPr>
        <w:t>ב“זכרונות</w:t>
      </w:r>
      <w:proofErr w:type="spellEnd"/>
      <w:r>
        <w:rPr>
          <w:rtl/>
        </w:rPr>
        <w:t xml:space="preserve"> פון רבנו הקדוש </w:t>
      </w:r>
      <w:proofErr w:type="spellStart"/>
      <w:r>
        <w:rPr>
          <w:rtl/>
        </w:rPr>
        <w:t>מסאטמאר</w:t>
      </w:r>
      <w:proofErr w:type="spellEnd"/>
      <w:r>
        <w:rPr>
          <w:rtl/>
        </w:rPr>
        <w:t xml:space="preserve">” [זיכרונות מרבנו הקדוש </w:t>
      </w:r>
      <w:proofErr w:type="spellStart"/>
      <w:r>
        <w:rPr>
          <w:rtl/>
        </w:rPr>
        <w:t>מסאטמר</w:t>
      </w:r>
      <w:proofErr w:type="spellEnd"/>
      <w:r>
        <w:rPr>
          <w:rtl/>
        </w:rPr>
        <w:t>]</w:t>
      </w:r>
      <w:bookmarkStart w:id="6474" w:name="_fnr4888"/>
      <w:r>
        <w:rPr>
          <w:rStyle w:val="a5"/>
        </w:rPr>
        <w:footnoteReference w:id="4901" w:customMarkFollows="0"/>
      </w:r>
      <w:bookmarkEnd w:id="6474"/>
      <w:r>
        <w:rPr>
          <w:rtl/>
        </w:rPr>
        <w:t xml:space="preserve">, כותב המחבר חיים משה </w:t>
      </w:r>
      <w:proofErr w:type="spellStart"/>
      <w:r>
        <w:rPr>
          <w:rtl/>
        </w:rPr>
        <w:t>שטאובער</w:t>
      </w:r>
      <w:proofErr w:type="spellEnd"/>
      <w:r>
        <w:rPr>
          <w:rtl/>
        </w:rPr>
        <w:t xml:space="preserve"> (בתרגום מיידיש): “[שמשו של הרב], ר׳ עזריאל גליק, סיפר שפעם לפני הימים הנוראים... הבחין שהרבי שבור </w:t>
      </w:r>
      <w:proofErr w:type="spellStart"/>
      <w:r>
        <w:rPr>
          <w:rtl/>
        </w:rPr>
        <w:t>בלבו</w:t>
      </w:r>
      <w:proofErr w:type="spellEnd"/>
      <w:r>
        <w:rPr>
          <w:rtl/>
        </w:rPr>
        <w:t xml:space="preserve"> יותר מן הרגיל – </w:t>
      </w:r>
      <w:proofErr w:type="spellStart"/>
      <w:r>
        <w:rPr>
          <w:rtl/>
        </w:rPr>
        <w:t>צובראכען</w:t>
      </w:r>
      <w:proofErr w:type="spellEnd"/>
      <w:r>
        <w:rPr>
          <w:rtl/>
        </w:rPr>
        <w:t xml:space="preserve"> ביי </w:t>
      </w:r>
      <w:proofErr w:type="spellStart"/>
      <w:r>
        <w:rPr>
          <w:rtl/>
        </w:rPr>
        <w:t>זיך</w:t>
      </w:r>
      <w:proofErr w:type="spellEnd"/>
      <w:r>
        <w:rPr>
          <w:rtl/>
        </w:rPr>
        <w:t xml:space="preserve"> [שבור בתוך עצמו]. פתח ר׳ עזריאל בשיחה עם הרבי וניסה לחזקו: ‘יהיה טוב; הימים הנוראים מגיעים; העולם מחכה לשמוע את תפילת הרבי ולהתעורר לתשובה שלמה’. הרב פרץ בבכי ואמר: ‘העולם צריך לשוב בתשובה? הרי הם יהודים יקרים וטובים – לא חטאו. אבל </w:t>
      </w:r>
      <w:r>
        <w:rPr>
          <w:b/>
          <w:bCs/>
          <w:rtl/>
        </w:rPr>
        <w:t>לי יש</w:t>
      </w:r>
      <w:r>
        <w:rPr>
          <w:rtl/>
        </w:rPr>
        <w:t xml:space="preserve"> על מה לשוב בתשובה</w:t>
      </w:r>
      <w:bookmarkStart w:id="6475" w:name="_fnr4889"/>
      <w:r>
        <w:rPr>
          <w:rStyle w:val="a5"/>
        </w:rPr>
        <w:footnoteReference w:id="4902" w:customMarkFollows="0"/>
      </w:r>
      <w:bookmarkEnd w:id="6475"/>
      <w:r>
        <w:rPr>
          <w:rtl/>
        </w:rPr>
        <w:t>’</w:t>
      </w:r>
      <w:bookmarkStart w:id="6476" w:name="_fnr4890"/>
      <w:r>
        <w:rPr>
          <w:rStyle w:val="a5"/>
        </w:rPr>
        <w:footnoteReference w:id="4903" w:customMarkFollows="0"/>
      </w:r>
      <w:bookmarkEnd w:id="6476"/>
      <w:r>
        <w:rPr>
          <w:rtl/>
        </w:rPr>
        <w:t xml:space="preserve">. הוא אחז... בזקנו הלבן כשלג בשתי... ידיו, וקרא: ‘אני כבר זקן, ואני </w:t>
      </w:r>
      <w:r>
        <w:rPr>
          <w:rtl/>
        </w:rPr>
        <w:lastRenderedPageBreak/>
        <w:t>חושש שלעולם לא אוכל לשוב בתשובה על לקיחת הכסף מן הבריות. אני מוציא מהם את כספם במרמה, מפני שהם חושבים שאני יודע משהו, שאני מישהו. אוי לי, אוי לי!’”</w:t>
      </w:r>
    </w:p>
    <w:p w14:paraId="182512C3" w14:textId="77777777" w:rsidR="00AB3647" w:rsidRDefault="00000000" w:rsidP="007923E9">
      <w:pPr>
        <w:spacing w:after="120" w:line="276" w:lineRule="auto"/>
        <w:ind w:firstLine="283"/>
        <w:jc w:val="both"/>
      </w:pPr>
      <w:r>
        <w:rPr>
          <w:rtl/>
        </w:rPr>
        <w:t xml:space="preserve">אבי המשיך את המעשה ששמע מר׳ פישל בר: “האחים חייכו כששמעו את ר׳ ישראל </w:t>
      </w:r>
      <w:proofErr w:type="spellStart"/>
      <w:r>
        <w:rPr>
          <w:rtl/>
        </w:rPr>
        <w:t>סלנטר</w:t>
      </w:r>
      <w:proofErr w:type="spellEnd"/>
      <w:r>
        <w:rPr>
          <w:rtl/>
        </w:rPr>
        <w:t xml:space="preserve"> הגדול אומר להם שאסור להם להציל את חייו בשבת, ולכן הוסיף: ‘אני פוסק זאת כהלכה. דעו שתיחשבו מחללי שבת [אם תעשו מלאכה בשבת כדי להצילני]. זו ההלכה; זו אינה צדקות [מצדי]. אין זו ענווה; זהו הדין’”. ר׳ חיים </w:t>
      </w:r>
      <w:proofErr w:type="spellStart"/>
      <w:r>
        <w:rPr>
          <w:rtl/>
        </w:rPr>
        <w:t>קרייזווירט</w:t>
      </w:r>
      <w:proofErr w:type="spellEnd"/>
      <w:r>
        <w:rPr>
          <w:rtl/>
        </w:rPr>
        <w:t xml:space="preserve"> חזר על פסק זה של ר׳ ישראל </w:t>
      </w:r>
      <w:r>
        <w:rPr>
          <w:b/>
          <w:bCs/>
          <w:rtl/>
        </w:rPr>
        <w:t>בשם רבנו</w:t>
      </w:r>
      <w:bookmarkStart w:id="6477" w:name="_fnr4891"/>
      <w:r>
        <w:rPr>
          <w:rStyle w:val="a5"/>
        </w:rPr>
        <w:footnoteReference w:id="4904" w:customMarkFollows="0"/>
      </w:r>
      <w:bookmarkEnd w:id="6477"/>
      <w:r>
        <w:rPr>
          <w:rtl/>
        </w:rPr>
        <w:t xml:space="preserve">, אבל הוסיף שר׳ ישראל נתן את ההוראה עוד קודם לכן, </w:t>
      </w:r>
      <w:proofErr w:type="spellStart"/>
      <w:r>
        <w:rPr>
          <w:rtl/>
        </w:rPr>
        <w:t>לר</w:t>
      </w:r>
      <w:proofErr w:type="spellEnd"/>
      <w:r>
        <w:rPr>
          <w:rtl/>
        </w:rPr>
        <w:t xml:space="preserve">׳ ברוך </w:t>
      </w:r>
      <w:proofErr w:type="spellStart"/>
      <w:r>
        <w:rPr>
          <w:rtl/>
        </w:rPr>
        <w:t>זלדוביץ</w:t>
      </w:r>
      <w:proofErr w:type="spellEnd"/>
      <w:r>
        <w:rPr>
          <w:rtl/>
        </w:rPr>
        <w:t>׳ במינסק</w:t>
      </w:r>
      <w:bookmarkStart w:id="6478" w:name="_fnr4892"/>
      <w:r>
        <w:rPr>
          <w:rStyle w:val="a5"/>
        </w:rPr>
        <w:footnoteReference w:id="4905" w:customMarkFollows="0"/>
      </w:r>
      <w:bookmarkEnd w:id="6478"/>
      <w:r>
        <w:rPr>
          <w:rtl/>
        </w:rPr>
        <w:t>.</w:t>
      </w:r>
    </w:p>
    <w:p w14:paraId="614D72DE" w14:textId="77777777" w:rsidR="00AB3647" w:rsidRDefault="00000000" w:rsidP="007923E9">
      <w:pPr>
        <w:spacing w:after="120" w:line="276" w:lineRule="auto"/>
        <w:ind w:firstLine="283"/>
        <w:jc w:val="both"/>
      </w:pPr>
      <w:r>
        <w:rPr>
          <w:rtl/>
        </w:rPr>
        <w:t xml:space="preserve">באותו מעמד המחיש הרב </w:t>
      </w:r>
      <w:proofErr w:type="spellStart"/>
      <w:r>
        <w:rPr>
          <w:rtl/>
        </w:rPr>
        <w:t>קרייזווירט</w:t>
      </w:r>
      <w:proofErr w:type="spellEnd"/>
      <w:r>
        <w:rPr>
          <w:rtl/>
        </w:rPr>
        <w:t xml:space="preserve"> את “טוהרו” של ר׳ ישראל בענייני ממון, בסיפור ששמע מפי ר׳ אייזיק שר. הרב שר נסע </w:t>
      </w:r>
      <w:proofErr w:type="spellStart"/>
      <w:r>
        <w:rPr>
          <w:rtl/>
        </w:rPr>
        <w:t>לצ׳רקס</w:t>
      </w:r>
      <w:proofErr w:type="spellEnd"/>
      <w:r>
        <w:rPr>
          <w:rtl/>
        </w:rPr>
        <w:t xml:space="preserve">, עיר שבין </w:t>
      </w:r>
      <w:proofErr w:type="spellStart"/>
      <w:r>
        <w:rPr>
          <w:rtl/>
        </w:rPr>
        <w:t>קרמנצ׳וג</w:t>
      </w:r>
      <w:proofErr w:type="spellEnd"/>
      <w:r>
        <w:rPr>
          <w:rtl/>
        </w:rPr>
        <w:t xml:space="preserve"> לקייב, לגייס כספים לישיבת </w:t>
      </w:r>
      <w:proofErr w:type="spellStart"/>
      <w:r>
        <w:rPr>
          <w:rtl/>
        </w:rPr>
        <w:t>סלבודקה</w:t>
      </w:r>
      <w:proofErr w:type="spellEnd"/>
      <w:r>
        <w:rPr>
          <w:rtl/>
        </w:rPr>
        <w:t xml:space="preserve"> [מן הסתם בעת גלותה </w:t>
      </w:r>
      <w:proofErr w:type="spellStart"/>
      <w:r>
        <w:rPr>
          <w:rtl/>
        </w:rPr>
        <w:t>בקרמנצ׳וג</w:t>
      </w:r>
      <w:bookmarkStart w:id="6479" w:name="_fnr4893"/>
      <w:proofErr w:type="spellEnd"/>
      <w:r>
        <w:rPr>
          <w:rStyle w:val="a5"/>
        </w:rPr>
        <w:footnoteReference w:id="4906" w:customMarkFollows="0"/>
      </w:r>
      <w:bookmarkEnd w:id="6479"/>
      <w:r>
        <w:rPr>
          <w:rtl/>
        </w:rPr>
        <w:t xml:space="preserve">]. אחרי שנשא את דבריו ניגש אליו זקן אחד ואמר שדבריו מזכירים את הדרשה שנשא ר׳ ישראל </w:t>
      </w:r>
      <w:proofErr w:type="spellStart"/>
      <w:r>
        <w:rPr>
          <w:rtl/>
        </w:rPr>
        <w:t>סלנטר</w:t>
      </w:r>
      <w:proofErr w:type="spellEnd"/>
      <w:r>
        <w:rPr>
          <w:rtl/>
        </w:rPr>
        <w:t xml:space="preserve"> באותה עיר עשרות שנים קודם לכן. הרב שר שמח, ושאל אם הוא יודע מה עשה ר׳ ישראל בעיר רחוקה זו. האיש השיב שר׳ ישראל אמר לבתו, שנישאה בעיר זו, שאין לו כסף לבוא לחתונתה, ובהזדמנות הבאה יבוא לבקרה שם; וכעבור שנים הגיע. הקהילה ניצלה את ביקורו וביקשה שידבר לפני בני העיר. הרי שר׳ ישראל, </w:t>
      </w:r>
      <w:proofErr w:type="spellStart"/>
      <w:r>
        <w:rPr>
          <w:rtl/>
        </w:rPr>
        <w:t>כשלא</w:t>
      </w:r>
      <w:proofErr w:type="spellEnd"/>
      <w:r>
        <w:rPr>
          <w:rtl/>
        </w:rPr>
        <w:t xml:space="preserve"> היו בידו האמצעים, לא העלה בדעתו ללוות כסף אפילו כדי להשתתף בחתונת בתו</w:t>
      </w:r>
      <w:bookmarkStart w:id="6480" w:name="_fnr4894"/>
      <w:r>
        <w:rPr>
          <w:rStyle w:val="a5"/>
        </w:rPr>
        <w:footnoteReference w:id="4907" w:customMarkFollows="0"/>
      </w:r>
      <w:bookmarkEnd w:id="6480"/>
      <w:r>
        <w:rPr>
          <w:rtl/>
        </w:rPr>
        <w:t>!</w:t>
      </w:r>
    </w:p>
    <w:p w14:paraId="733CA769" w14:textId="77777777" w:rsidR="00AB3647" w:rsidRDefault="00000000" w:rsidP="007923E9">
      <w:pPr>
        <w:spacing w:after="120" w:line="276" w:lineRule="auto"/>
        <w:ind w:firstLine="283"/>
        <w:jc w:val="both"/>
      </w:pPr>
      <w:r>
        <w:rPr>
          <w:rtl/>
        </w:rPr>
        <w:t>השווה גם “כתבי הסבא”</w:t>
      </w:r>
      <w:bookmarkStart w:id="6481" w:name="_fnr4895"/>
      <w:r>
        <w:rPr>
          <w:rStyle w:val="a5"/>
        </w:rPr>
        <w:footnoteReference w:id="4908" w:customMarkFollows="0"/>
      </w:r>
      <w:bookmarkEnd w:id="6481"/>
      <w:r>
        <w:rPr>
          <w:rtl/>
        </w:rPr>
        <w:t xml:space="preserve">, שבהם מוסר ר׳ גרשון </w:t>
      </w:r>
      <w:proofErr w:type="spellStart"/>
      <w:r>
        <w:rPr>
          <w:rtl/>
        </w:rPr>
        <w:t>מיאדניק</w:t>
      </w:r>
      <w:proofErr w:type="spellEnd"/>
      <w:r>
        <w:rPr>
          <w:rtl/>
        </w:rPr>
        <w:t xml:space="preserve"> שהוראת ר׳ ישראל שלא לחלל שבת בשבילו נאמרה לא בממל, כפי שסיפר אבי בשם ר׳ פישל בר, אלא “באמצע שיחה </w:t>
      </w:r>
      <w:proofErr w:type="spellStart"/>
      <w:r>
        <w:rPr>
          <w:rtl/>
        </w:rPr>
        <w:t>בנבייזר</w:t>
      </w:r>
      <w:proofErr w:type="spellEnd"/>
      <w:r>
        <w:rPr>
          <w:rtl/>
        </w:rPr>
        <w:t xml:space="preserve"> </w:t>
      </w:r>
      <w:proofErr w:type="spellStart"/>
      <w:r>
        <w:rPr>
          <w:rtl/>
        </w:rPr>
        <w:t>קלויז</w:t>
      </w:r>
      <w:proofErr w:type="spellEnd"/>
      <w:r>
        <w:rPr>
          <w:rtl/>
        </w:rPr>
        <w:t xml:space="preserve"> בקובנה – ור׳ ישראל פרסם אותה פעמיים במהלך השיחה – בלשון זו: ‘הריני מודיע בפירוש שאם, חס ושלום, אחלה, אין לחלל שבת בשבילי, מפני שאני חושש שיש לי דין רועה, שאין לחלל שבת כדי להציל את חייו’”. הלשון מוכרחה להיות מצוטטת שלא במדויק, שכן אילו רק “חשש” ר׳ ישראל שאין חייו ראויים להצלה, אבל הכיר באפשרות שהם ראויים להצלה, היה עליו להתיר את חילול השבת, כשם שמחללים אותה בשביל אדם שספק אם הוא חי וספק אם לאו</w:t>
      </w:r>
      <w:bookmarkStart w:id="6482" w:name="_fnr4896"/>
      <w:r>
        <w:rPr>
          <w:rStyle w:val="a5"/>
        </w:rPr>
        <w:footnoteReference w:id="4909" w:customMarkFollows="0"/>
      </w:r>
      <w:bookmarkEnd w:id="6482"/>
      <w:r>
        <w:rPr>
          <w:rtl/>
        </w:rPr>
        <w:t>.</w:t>
      </w:r>
    </w:p>
    <w:p w14:paraId="78EF67B8" w14:textId="41C72ACD" w:rsidR="00AB3647" w:rsidRDefault="00000000" w:rsidP="007923E9">
      <w:pPr>
        <w:spacing w:after="120" w:line="276" w:lineRule="auto"/>
        <w:ind w:firstLine="283"/>
        <w:jc w:val="both"/>
      </w:pPr>
      <w:r>
        <w:rPr>
          <w:rtl/>
        </w:rPr>
        <w:t xml:space="preserve">אם נתן ר׳ ישראל את הוראתו גם בקובנה, מסתבר שהדבר היה בביקורו שם בקיץ, לפני בואו לממל – ראה פרק 3, הפסקה החמישית של </w:t>
      </w:r>
      <w:r>
        <w:rPr>
          <w:rtl/>
        </w:rPr>
        <w:fldChar w:fldCharType="begin" w:dirty="true"/>
      </w:r>
      <w:r>
        <w:rPr>
          <w:rtl/>
        </w:rPr>
        <w:instrText xml:space="preserve"> REF b3_excZ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כו</w:t>
      </w:r>
      <w:proofErr w:type="spellEnd"/>
      <w:r>
        <w:rPr>
          <w:rtl/>
        </w:rPr>
        <w:fldChar w:fldCharType="end"/>
      </w:r>
      <w:r>
        <w:rPr>
          <w:rtl/>
        </w:rPr>
        <w:t>. לפי כץ, “תנועת המוסר”, כרך א</w:t>
      </w:r>
      <w:bookmarkStart w:id="6483" w:name="_fnr4897"/>
      <w:r>
        <w:rPr>
          <w:rStyle w:val="a5"/>
        </w:rPr>
        <w:footnoteReference w:id="4910" w:customMarkFollows="0"/>
      </w:r>
      <w:bookmarkEnd w:id="6483"/>
      <w:r>
        <w:rPr>
          <w:rtl/>
        </w:rPr>
        <w:t xml:space="preserve">, </w:t>
      </w:r>
      <w:r>
        <w:rPr>
          <w:rtl/>
        </w:rPr>
        <w:lastRenderedPageBreak/>
        <w:t>ביקר ר׳ ישראל גם במינסק בשובו מפריז באותה עת</w:t>
      </w:r>
      <w:bookmarkStart w:id="6484" w:name="_fnr4898"/>
      <w:r>
        <w:rPr>
          <w:rStyle w:val="a5"/>
        </w:rPr>
        <w:footnoteReference w:id="4911" w:customMarkFollows="0"/>
      </w:r>
      <w:bookmarkEnd w:id="6484"/>
      <w:r>
        <w:rPr>
          <w:rtl/>
        </w:rPr>
        <w:t xml:space="preserve">; אם אכן נתן הוראות דומות </w:t>
      </w:r>
      <w:proofErr w:type="spellStart"/>
      <w:r>
        <w:rPr>
          <w:rtl/>
        </w:rPr>
        <w:t>לזלדוביץ</w:t>
      </w:r>
      <w:proofErr w:type="spellEnd"/>
      <w:r>
        <w:rPr>
          <w:rtl/>
        </w:rPr>
        <w:t xml:space="preserve">׳, כפי שמסר הרב </w:t>
      </w:r>
      <w:proofErr w:type="spellStart"/>
      <w:r>
        <w:rPr>
          <w:rtl/>
        </w:rPr>
        <w:t>קרייזווירט</w:t>
      </w:r>
      <w:proofErr w:type="spellEnd"/>
      <w:r>
        <w:rPr>
          <w:rtl/>
        </w:rPr>
        <w:t xml:space="preserve"> בשם רבנו, גם דבר זה היה אז. לפי כץ, שם</w:t>
      </w:r>
      <w:bookmarkStart w:id="6485" w:name="_fnr4899"/>
      <w:r>
        <w:rPr>
          <w:rStyle w:val="a5"/>
        </w:rPr>
        <w:footnoteReference w:id="4912" w:customMarkFollows="0"/>
      </w:r>
      <w:bookmarkEnd w:id="6485"/>
      <w:r>
        <w:rPr>
          <w:rtl/>
        </w:rPr>
        <w:t xml:space="preserve">, “ביקר אז ר׳ ישראל גם את בניו ובנותיו ואת שאר קרוביו במקומות מגוריהם השונים”. אבל ספק אם ביקורו </w:t>
      </w:r>
      <w:proofErr w:type="spellStart"/>
      <w:r>
        <w:rPr>
          <w:rtl/>
        </w:rPr>
        <w:t>בצ׳רקס</w:t>
      </w:r>
      <w:proofErr w:type="spellEnd"/>
      <w:r>
        <w:rPr>
          <w:rtl/>
        </w:rPr>
        <w:t xml:space="preserve"> היה בחודשיו האחרונים, כשנפרד [או אולי מסר את צוואתו המוסרית] מכל יקיריו בארץ, כשלושים וחמש שנה לפני ביקור הרב שר שם. שהרי לפי הנקודה שביקש הרב </w:t>
      </w:r>
      <w:proofErr w:type="spellStart"/>
      <w:r>
        <w:rPr>
          <w:rtl/>
        </w:rPr>
        <w:t>קרייזווירט</w:t>
      </w:r>
      <w:proofErr w:type="spellEnd"/>
      <w:r>
        <w:rPr>
          <w:rtl/>
        </w:rPr>
        <w:t xml:space="preserve"> להמחיש במעשה זה, נראה שר׳ ישראל בא לשם שנים אחדות בלבד אחרי חתונת בתו, מיד כשעלה בידו לאסוף די כסף לנסיעה.</w:t>
      </w:r>
    </w:p>
    <w:p w14:paraId="136AF25C" w14:textId="77777777" w:rsidR="00AB3647" w:rsidRDefault="00000000" w:rsidP="007923E9">
      <w:pPr>
        <w:spacing w:after="120" w:line="276" w:lineRule="auto"/>
        <w:ind w:firstLine="283"/>
        <w:jc w:val="both"/>
      </w:pPr>
      <w:r>
        <w:rPr>
          <w:rtl/>
        </w:rPr>
        <w:t>רבנו המשיך: “</w:t>
      </w:r>
      <w:proofErr w:type="spellStart"/>
      <w:r>
        <w:rPr>
          <w:rtl/>
        </w:rPr>
        <w:t>לר</w:t>
      </w:r>
      <w:proofErr w:type="spellEnd"/>
      <w:r>
        <w:rPr>
          <w:rtl/>
        </w:rPr>
        <w:t xml:space="preserve">׳ פישל הייתה אחות שהייתה כלתו של ר׳ </w:t>
      </w:r>
      <w:proofErr w:type="spellStart"/>
      <w:r>
        <w:rPr>
          <w:rtl/>
        </w:rPr>
        <w:t>יצחק־אלחנן</w:t>
      </w:r>
      <w:proofErr w:type="spellEnd"/>
      <w:r>
        <w:rPr>
          <w:rtl/>
        </w:rPr>
        <w:t xml:space="preserve"> </w:t>
      </w:r>
      <w:proofErr w:type="spellStart"/>
      <w:r>
        <w:rPr>
          <w:rtl/>
        </w:rPr>
        <w:t>ספקטור</w:t>
      </w:r>
      <w:proofErr w:type="spellEnd"/>
      <w:r>
        <w:rPr>
          <w:rtl/>
        </w:rPr>
        <w:t>, רבה של קובנה. עוד הכרתי את בעלה, ר׳ בנימין, שנורה בשוד”.</w:t>
      </w:r>
    </w:p>
    <w:p w14:paraId="08E07849" w14:textId="77777777" w:rsidR="00AB3647" w:rsidRDefault="00000000" w:rsidP="007923E9">
      <w:pPr>
        <w:spacing w:after="120" w:line="276" w:lineRule="auto"/>
        <w:ind w:firstLine="283"/>
        <w:jc w:val="both"/>
      </w:pPr>
      <w:r>
        <w:rPr>
          <w:rtl/>
        </w:rPr>
        <w:t xml:space="preserve">בשיחה המוקלטת בבית הכנסת “בית ישראל” במיאמי </w:t>
      </w:r>
      <w:proofErr w:type="spellStart"/>
      <w:r>
        <w:rPr>
          <w:rtl/>
        </w:rPr>
        <w:t>ביץ</w:t>
      </w:r>
      <w:proofErr w:type="spellEnd"/>
      <w:r>
        <w:rPr>
          <w:rtl/>
        </w:rPr>
        <w:t xml:space="preserve">׳ הוסיף אבי שהשוד התרחש במטבח, ואחר כך באו השודדים לחדר המגורים, שבו למד ר׳ בנימין, והרגוהו. פרטים נוספים על אסון זה מצויים </w:t>
      </w:r>
      <w:proofErr w:type="spellStart"/>
      <w:r>
        <w:rPr>
          <w:rtl/>
        </w:rPr>
        <w:t>ב“הדואר</w:t>
      </w:r>
      <w:proofErr w:type="spellEnd"/>
      <w:r>
        <w:rPr>
          <w:rtl/>
        </w:rPr>
        <w:t xml:space="preserve">” [תשכ״ד], במאמרו של </w:t>
      </w:r>
      <w:proofErr w:type="spellStart"/>
      <w:r>
        <w:rPr>
          <w:rtl/>
        </w:rPr>
        <w:t>הירש־לייב</w:t>
      </w:r>
      <w:proofErr w:type="spellEnd"/>
      <w:r>
        <w:rPr>
          <w:rtl/>
        </w:rPr>
        <w:t xml:space="preserve"> גורדון, תלמיד כנסת בית יצחק</w:t>
      </w:r>
      <w:bookmarkStart w:id="6486" w:name="_fnr4900"/>
      <w:r>
        <w:rPr>
          <w:rStyle w:val="a5"/>
        </w:rPr>
        <w:footnoteReference w:id="4913" w:customMarkFollows="0"/>
      </w:r>
      <w:bookmarkEnd w:id="6486"/>
      <w:r>
        <w:rPr>
          <w:rtl/>
        </w:rPr>
        <w:t xml:space="preserve">: “הנוער הסוער של </w:t>
      </w:r>
      <w:proofErr w:type="spellStart"/>
      <w:r>
        <w:rPr>
          <w:rtl/>
        </w:rPr>
        <w:t>סלבודקה</w:t>
      </w:r>
      <w:proofErr w:type="spellEnd"/>
      <w:r>
        <w:rPr>
          <w:rtl/>
        </w:rPr>
        <w:t xml:space="preserve"> היה הולך בראש מורם ברחובות, לבוש חולצות צבעוניות ואבנטים, כל חבורה וצבעה. הבולטים והניכרים ביותר היו האנרכיסטים הטרוריסטים. הם הטילו פחד על האחרים, מפני שתמיד היו אקדחים בכיסיהם, מוכנים לירי. לא היו לאנרכיסטים הללו אידיאלים חיוביים לתקן את העולם למען אחרים. שיטתם הייתה גזל פשוט – ‘הפקעה’, בלשון המקובלת – כמין נקמה בעשירים. וכך נהרג ר׳ בנימין, בנו של ר׳ </w:t>
      </w:r>
      <w:proofErr w:type="spellStart"/>
      <w:r>
        <w:rPr>
          <w:rtl/>
        </w:rPr>
        <w:t>יצחק־אלחנן</w:t>
      </w:r>
      <w:proofErr w:type="spellEnd"/>
      <w:r>
        <w:rPr>
          <w:rtl/>
        </w:rPr>
        <w:t xml:space="preserve">, כשנכנסו הפושעים הללו לביתו ורצחוהו בלי כל מניע. המעשה עורר מהומה גדולה בין היהודים, אך האשמים לא נתפסו. המזימה כולה נרקמה בחדר קרוב </w:t>
      </w:r>
      <w:proofErr w:type="spellStart"/>
      <w:r>
        <w:rPr>
          <w:rtl/>
        </w:rPr>
        <w:t>לסטאנציע</w:t>
      </w:r>
      <w:proofErr w:type="spellEnd"/>
      <w:r>
        <w:rPr>
          <w:rtl/>
        </w:rPr>
        <w:t xml:space="preserve"> שלי, בבית הסנדלר, שבו סרגה אנרכיסטית גרביים ומילאה אותן בנשק. בערבים התקיימו שם </w:t>
      </w:r>
      <w:proofErr w:type="spellStart"/>
      <w:r>
        <w:rPr>
          <w:rtl/>
        </w:rPr>
        <w:t>אספות</w:t>
      </w:r>
      <w:proofErr w:type="spellEnd"/>
      <w:r>
        <w:rPr>
          <w:rtl/>
        </w:rPr>
        <w:t xml:space="preserve"> אנרכיסטים. אני זוכר שבשבת אחת, כשטיילנו בין גדרות התיל שסביב המבצרים, מצאנו גופה מוטלת בחוץ. היה זה אחד האנרכיסטים הטורפים”.</w:t>
      </w:r>
    </w:p>
    <w:p w14:paraId="2673393A" w14:textId="77777777" w:rsidR="00AB3647" w:rsidRDefault="00000000" w:rsidP="007923E9">
      <w:pPr>
        <w:spacing w:after="120" w:line="276" w:lineRule="auto"/>
        <w:ind w:firstLine="283"/>
        <w:jc w:val="both"/>
      </w:pPr>
      <w:r>
        <w:rPr>
          <w:rtl/>
        </w:rPr>
        <w:t>“בגלל אחות זו”, המשיך אבי, “היה אביו של ר׳ פישל, ר׳ אלי׳ בר</w:t>
      </w:r>
      <w:bookmarkStart w:id="6487" w:name="_fnr4901"/>
      <w:r>
        <w:rPr>
          <w:rStyle w:val="a5"/>
        </w:rPr>
        <w:footnoteReference w:id="4914" w:customMarkFollows="0"/>
      </w:r>
      <w:bookmarkEnd w:id="6487"/>
      <w:r>
        <w:rPr>
          <w:rtl/>
        </w:rPr>
        <w:t xml:space="preserve">, בן בית אצל הרב מקובנה; ובפעם הבאה שבא ר׳ אלי׳ לקובנה, חזר לפני ר׳ </w:t>
      </w:r>
      <w:proofErr w:type="spellStart"/>
      <w:r>
        <w:rPr>
          <w:rtl/>
        </w:rPr>
        <w:t>יצחק־אלחנן</w:t>
      </w:r>
      <w:proofErr w:type="spellEnd"/>
      <w:r>
        <w:rPr>
          <w:rtl/>
        </w:rPr>
        <w:t xml:space="preserve"> על פסקו של ר׳ ישראל </w:t>
      </w:r>
      <w:proofErr w:type="spellStart"/>
      <w:r>
        <w:rPr>
          <w:rtl/>
        </w:rPr>
        <w:t>סלנטר</w:t>
      </w:r>
      <w:proofErr w:type="spellEnd"/>
      <w:r>
        <w:rPr>
          <w:rtl/>
        </w:rPr>
        <w:t xml:space="preserve">. ר׳ </w:t>
      </w:r>
      <w:proofErr w:type="spellStart"/>
      <w:r>
        <w:rPr>
          <w:rtl/>
        </w:rPr>
        <w:t>יצחק־אלחנן</w:t>
      </w:r>
      <w:proofErr w:type="spellEnd"/>
      <w:r>
        <w:rPr>
          <w:rtl/>
        </w:rPr>
        <w:t xml:space="preserve"> </w:t>
      </w:r>
      <w:proofErr w:type="spellStart"/>
      <w:r>
        <w:rPr>
          <w:rtl/>
        </w:rPr>
        <w:t>ספקטור</w:t>
      </w:r>
      <w:proofErr w:type="spellEnd"/>
      <w:r>
        <w:rPr>
          <w:rtl/>
        </w:rPr>
        <w:t xml:space="preserve"> לא צחק. הוא הקשיב לדברי מחותנו והרהר בהם; ואחר כך אמר: ‘אמור </w:t>
      </w:r>
      <w:proofErr w:type="spellStart"/>
      <w:r>
        <w:rPr>
          <w:rtl/>
        </w:rPr>
        <w:t>לר</w:t>
      </w:r>
      <w:proofErr w:type="spellEnd"/>
      <w:r>
        <w:rPr>
          <w:rtl/>
        </w:rPr>
        <w:t xml:space="preserve">׳ ישראל שהרב מקובנה פוסק שמותר – מען </w:t>
      </w:r>
      <w:proofErr w:type="spellStart"/>
      <w:r>
        <w:rPr>
          <w:rtl/>
        </w:rPr>
        <w:t>מעג</w:t>
      </w:r>
      <w:proofErr w:type="spellEnd"/>
      <w:r>
        <w:rPr>
          <w:rtl/>
        </w:rPr>
        <w:t xml:space="preserve">. אני פוסק לכם שמותר לחלל בשבילו את השבת’”. העובדה שר׳ </w:t>
      </w:r>
      <w:proofErr w:type="spellStart"/>
      <w:r>
        <w:rPr>
          <w:rtl/>
        </w:rPr>
        <w:t>יצחק־אלחנן</w:t>
      </w:r>
      <w:proofErr w:type="spellEnd"/>
      <w:r>
        <w:rPr>
          <w:rtl/>
        </w:rPr>
        <w:t xml:space="preserve"> שמע לראשונה על פסקו של ר׳ ישראל מפי חותן בנו, מחותנו מממל, מעוררת ספק בדברי ר׳ גרשון </w:t>
      </w:r>
      <w:proofErr w:type="spellStart"/>
      <w:r>
        <w:rPr>
          <w:rtl/>
        </w:rPr>
        <w:t>מיאדניק</w:t>
      </w:r>
      <w:proofErr w:type="spellEnd"/>
      <w:r>
        <w:rPr>
          <w:rtl/>
        </w:rPr>
        <w:t xml:space="preserve"> שר׳ ישראל הכריז על פסקו </w:t>
      </w:r>
      <w:r>
        <w:rPr>
          <w:rtl/>
        </w:rPr>
        <w:lastRenderedPageBreak/>
        <w:t xml:space="preserve">ההלכתי עוד קודם לכן </w:t>
      </w:r>
      <w:proofErr w:type="spellStart"/>
      <w:r>
        <w:rPr>
          <w:rtl/>
        </w:rPr>
        <w:t>בנביאזר</w:t>
      </w:r>
      <w:proofErr w:type="spellEnd"/>
      <w:r>
        <w:rPr>
          <w:rtl/>
        </w:rPr>
        <w:t xml:space="preserve"> </w:t>
      </w:r>
      <w:proofErr w:type="spellStart"/>
      <w:r>
        <w:rPr>
          <w:rtl/>
        </w:rPr>
        <w:t>קלויז</w:t>
      </w:r>
      <w:proofErr w:type="spellEnd"/>
      <w:r>
        <w:rPr>
          <w:rtl/>
        </w:rPr>
        <w:t xml:space="preserve"> [ולא רק פעם אחת, אלא פעמיים], שכן הכרזה כזאת מפי ר׳ ישראל </w:t>
      </w:r>
      <w:proofErr w:type="spellStart"/>
      <w:r>
        <w:rPr>
          <w:rtl/>
        </w:rPr>
        <w:t>סלנטר</w:t>
      </w:r>
      <w:proofErr w:type="spellEnd"/>
      <w:r>
        <w:rPr>
          <w:rtl/>
        </w:rPr>
        <w:t xml:space="preserve"> ודאי הייתה מהדהדת בעיר כולה ומגיעה לאוזני הרב מקובנה.</w:t>
      </w:r>
    </w:p>
    <w:p w14:paraId="2D671C18" w14:textId="77777777" w:rsidR="00AB3647" w:rsidRDefault="00000000" w:rsidP="007923E9">
      <w:pPr>
        <w:spacing w:after="120" w:line="276" w:lineRule="auto"/>
        <w:ind w:firstLine="283"/>
        <w:jc w:val="both"/>
      </w:pPr>
      <w:r>
        <w:rPr>
          <w:rtl/>
        </w:rPr>
        <w:t>אבי המשיך: “כשר׳ ישראל נפטר באותו חורף בקניגסברג, הסתקרן פישל בר הצעיר לדעת אם חיללו בשבילו את השבת אם לאו, ובירר אצל האנשים שאצלם התאכסן ר׳ ישראל לאחרונה. הם אמרו לנער שר׳ ישראל היה בריא כל זמן שהותו שם, פרט לסוף ממש: אז חלה במוצאי שבת, ונפטר בערב השבת שלאחריה. השאלה אם לחלל בשבילו את השבת כלל לא התעוררה”.</w:t>
      </w:r>
    </w:p>
    <w:p w14:paraId="67AD9D22" w14:textId="77777777" w:rsidR="00AB3647" w:rsidRDefault="00000000" w:rsidP="007923E9">
      <w:pPr>
        <w:spacing w:after="120" w:line="276" w:lineRule="auto"/>
        <w:ind w:firstLine="283"/>
        <w:jc w:val="both"/>
      </w:pPr>
      <w:r>
        <w:rPr>
          <w:rtl/>
        </w:rPr>
        <w:t xml:space="preserve">לסיפורו של ר׳ פישל בר הוסיף אבי הערה זו: “זאת אני יודע בעצמי – שר׳ ישראל נפטר ביום שישי בקניגסברג – מפני שגיסתי [חסיה, אשת ר׳ אברהם </w:t>
      </w:r>
      <w:proofErr w:type="spellStart"/>
      <w:r>
        <w:rPr>
          <w:rtl/>
        </w:rPr>
        <w:t>גרודזינסקי</w:t>
      </w:r>
      <w:proofErr w:type="spellEnd"/>
      <w:r>
        <w:rPr>
          <w:rtl/>
        </w:rPr>
        <w:t xml:space="preserve">] נקברה בקניגסברג בקרבתו, ובעלה, ר׳ אברהם </w:t>
      </w:r>
      <w:proofErr w:type="spellStart"/>
      <w:r>
        <w:rPr>
          <w:rtl/>
        </w:rPr>
        <w:t>גרודזינסקי</w:t>
      </w:r>
      <w:proofErr w:type="spellEnd"/>
      <w:r>
        <w:rPr>
          <w:rtl/>
        </w:rPr>
        <w:t xml:space="preserve">, סיפר לי שקרא על מצבת ר׳ ישראל שיום פטירתו היה יום שישי. קבורתה סמוך </w:t>
      </w:r>
      <w:proofErr w:type="spellStart"/>
      <w:r>
        <w:rPr>
          <w:rtl/>
        </w:rPr>
        <w:t>לר</w:t>
      </w:r>
      <w:proofErr w:type="spellEnd"/>
      <w:r>
        <w:rPr>
          <w:rtl/>
        </w:rPr>
        <w:t xml:space="preserve">׳ ישראל הסתדרה בדרך משונה – א </w:t>
      </w:r>
      <w:proofErr w:type="spellStart"/>
      <w:r>
        <w:rPr>
          <w:rtl/>
        </w:rPr>
        <w:t>מאדנע</w:t>
      </w:r>
      <w:proofErr w:type="spellEnd"/>
      <w:r>
        <w:rPr>
          <w:rtl/>
        </w:rPr>
        <w:t xml:space="preserve"> היכי </w:t>
      </w:r>
      <w:proofErr w:type="spellStart"/>
      <w:r>
        <w:rPr>
          <w:rtl/>
        </w:rPr>
        <w:t>תימצי</w:t>
      </w:r>
      <w:proofErr w:type="spellEnd"/>
      <w:r>
        <w:rPr>
          <w:rtl/>
        </w:rPr>
        <w:t xml:space="preserve">. היא נפטרה ארבעים ושש שנה אחרי ר׳ ישראל, אבל בינתיים הרחיבו את בית הקברות בשורת קברים חדשה. הוא היה קבור בראש שורה, וכמעט חצי מאה אחר כך נקברה היא בראש השורה החדשה, ורק שביל הפריד ביניהם. מעולם לא הייתי שם, אבל גיסי גילה את כל זה בבואו לשם וסיפר לי. </w:t>
      </w:r>
    </w:p>
    <w:p w14:paraId="0A720815" w14:textId="77777777" w:rsidR="00AB3647" w:rsidRDefault="00000000" w:rsidP="007923E9">
      <w:pPr>
        <w:spacing w:after="120" w:line="276" w:lineRule="auto"/>
        <w:ind w:firstLine="283"/>
        <w:jc w:val="both"/>
      </w:pPr>
      <w:r>
        <w:rPr>
          <w:rtl/>
        </w:rPr>
        <w:t xml:space="preserve">לפני פטירתה אמרה גיסתי שר׳ ישראל </w:t>
      </w:r>
      <w:proofErr w:type="spellStart"/>
      <w:r>
        <w:rPr>
          <w:rtl/>
        </w:rPr>
        <w:t>סלנטר</w:t>
      </w:r>
      <w:proofErr w:type="spellEnd"/>
      <w:r>
        <w:rPr>
          <w:rtl/>
        </w:rPr>
        <w:t xml:space="preserve"> נראה לה. היא הייתה בעלת מעלה, ותמיד שמעה “ר׳ ישראל”, “ר׳ ישראל” מפי בעלה, שהיה משפיע המוסר </w:t>
      </w:r>
      <w:proofErr w:type="spellStart"/>
      <w:r>
        <w:rPr>
          <w:rtl/>
        </w:rPr>
        <w:t>בסלבודקה</w:t>
      </w:r>
      <w:proofErr w:type="spellEnd"/>
      <w:r>
        <w:rPr>
          <w:rtl/>
        </w:rPr>
        <w:t>”. (</w:t>
      </w:r>
      <w:proofErr w:type="spellStart"/>
      <w:r>
        <w:rPr>
          <w:rtl/>
        </w:rPr>
        <w:t>ב“ואמונתך</w:t>
      </w:r>
      <w:proofErr w:type="spellEnd"/>
      <w:r>
        <w:rPr>
          <w:rtl/>
        </w:rPr>
        <w:t xml:space="preserve"> בלילות”</w:t>
      </w:r>
      <w:bookmarkStart w:id="6488" w:name="_fnr4902"/>
      <w:r>
        <w:rPr>
          <w:rStyle w:val="a5"/>
        </w:rPr>
        <w:footnoteReference w:id="4915" w:customMarkFollows="0"/>
      </w:r>
      <w:bookmarkEnd w:id="6488"/>
      <w:r>
        <w:rPr>
          <w:rtl/>
        </w:rPr>
        <w:t xml:space="preserve"> מאת רבקה </w:t>
      </w:r>
      <w:proofErr w:type="spellStart"/>
      <w:r>
        <w:rPr>
          <w:rtl/>
        </w:rPr>
        <w:t>וולבה</w:t>
      </w:r>
      <w:proofErr w:type="spellEnd"/>
      <w:r>
        <w:rPr>
          <w:rtl/>
        </w:rPr>
        <w:t xml:space="preserve"> [בתה של חסיה </w:t>
      </w:r>
      <w:proofErr w:type="spellStart"/>
      <w:r>
        <w:rPr>
          <w:rtl/>
        </w:rPr>
        <w:t>גרודזינסקי</w:t>
      </w:r>
      <w:proofErr w:type="spellEnd"/>
      <w:r>
        <w:rPr>
          <w:rtl/>
        </w:rPr>
        <w:t xml:space="preserve">] מסופר: “זמן קצר לפני פטירתה אמרה שר׳ ישראל והסבא </w:t>
      </w:r>
      <w:proofErr w:type="spellStart"/>
      <w:r>
        <w:rPr>
          <w:rtl/>
        </w:rPr>
        <w:t>מסלבודקה</w:t>
      </w:r>
      <w:proofErr w:type="spellEnd"/>
      <w:r>
        <w:rPr>
          <w:rtl/>
        </w:rPr>
        <w:t xml:space="preserve"> באו בחלומה לקבל את פניה”.)</w:t>
      </w:r>
    </w:p>
    <w:p w14:paraId="53ACC23A" w14:textId="77777777" w:rsidR="00AB3647" w:rsidRDefault="00000000" w:rsidP="007923E9">
      <w:pPr>
        <w:spacing w:after="120" w:line="276" w:lineRule="auto"/>
        <w:ind w:firstLine="283"/>
        <w:jc w:val="both"/>
      </w:pPr>
      <w:r>
        <w:rPr>
          <w:rtl/>
        </w:rPr>
        <w:t xml:space="preserve">את הכתובת על מצבת ר׳ ישראל, שראה הרב </w:t>
      </w:r>
      <w:proofErr w:type="spellStart"/>
      <w:r>
        <w:rPr>
          <w:rtl/>
        </w:rPr>
        <w:t>גרודזינסקי</w:t>
      </w:r>
      <w:proofErr w:type="spellEnd"/>
      <w:r>
        <w:rPr>
          <w:rtl/>
        </w:rPr>
        <w:t xml:space="preserve">, ראה הרב י. ברמן </w:t>
      </w:r>
      <w:proofErr w:type="spellStart"/>
      <w:r>
        <w:rPr>
          <w:rtl/>
        </w:rPr>
        <w:t>שבע־עשרה</w:t>
      </w:r>
      <w:proofErr w:type="spellEnd"/>
      <w:r>
        <w:rPr>
          <w:rtl/>
        </w:rPr>
        <w:t xml:space="preserve"> שנה קודם לכן, והיא נדפסה </w:t>
      </w:r>
      <w:proofErr w:type="spellStart"/>
      <w:r>
        <w:rPr>
          <w:rtl/>
        </w:rPr>
        <w:t>ב“יתד</w:t>
      </w:r>
      <w:proofErr w:type="spellEnd"/>
      <w:r>
        <w:rPr>
          <w:rtl/>
        </w:rPr>
        <w:t xml:space="preserve"> נאמן”</w:t>
      </w:r>
      <w:bookmarkStart w:id="6489" w:name="_fnr4903"/>
      <w:r>
        <w:rPr>
          <w:rStyle w:val="a5"/>
        </w:rPr>
        <w:footnoteReference w:id="4916" w:customMarkFollows="0"/>
      </w:r>
      <w:bookmarkEnd w:id="6489"/>
      <w:r>
        <w:rPr>
          <w:rtl/>
        </w:rPr>
        <w:t>. השורות האחרונות, שבהן מצוין יום השבוע שבו נפטר ר׳ ישראל, הן: “נולד בשנת תק״ע ונאסף אל עמיו ביום ו׳ עש״ק כ״ה שבט”. “הרב י. ברמן” זה הוא כנראה הרב יעקב ברמן, שישב לימים ברחובות והוציא חוברת</w:t>
      </w:r>
      <w:bookmarkStart w:id="6490" w:name="_fnr4904"/>
      <w:r>
        <w:rPr>
          <w:rStyle w:val="a5"/>
        </w:rPr>
        <w:footnoteReference w:id="4917" w:customMarkFollows="0"/>
      </w:r>
      <w:bookmarkEnd w:id="6490"/>
      <w:r>
        <w:rPr>
          <w:rtl/>
        </w:rPr>
        <w:t xml:space="preserve"> בשם “ר׳ ישראל </w:t>
      </w:r>
      <w:proofErr w:type="spellStart"/>
      <w:r>
        <w:rPr>
          <w:rtl/>
        </w:rPr>
        <w:t>סלנטר</w:t>
      </w:r>
      <w:proofErr w:type="spellEnd"/>
      <w:r>
        <w:rPr>
          <w:rtl/>
        </w:rPr>
        <w:t xml:space="preserve"> ובני דורו” (ללא תאריך). בחוברת כתב </w:t>
      </w:r>
      <w:proofErr w:type="spellStart"/>
      <w:r>
        <w:rPr>
          <w:rtl/>
        </w:rPr>
        <w:t>שבתשי״ב</w:t>
      </w:r>
      <w:proofErr w:type="spellEnd"/>
      <w:r>
        <w:rPr>
          <w:rtl/>
        </w:rPr>
        <w:t xml:space="preserve"> ביקר שוב בקבר ר׳ ישראל, ארבעים שנה אחרי ביקורו הראשון, והוסיף: “גדר של ברזל יפה מוקם סביב קברו ועל ידו שטח ריק כדי מקום שלם </w:t>
      </w:r>
      <w:proofErr w:type="spellStart"/>
      <w:r>
        <w:rPr>
          <w:rtl/>
        </w:rPr>
        <w:t>הכל</w:t>
      </w:r>
      <w:proofErr w:type="spellEnd"/>
      <w:r>
        <w:rPr>
          <w:rtl/>
        </w:rPr>
        <w:t xml:space="preserve"> לכבודו, וידע השמש של בית הקברות להראות לתיירים את </w:t>
      </w:r>
      <w:proofErr w:type="spellStart"/>
      <w:r>
        <w:rPr>
          <w:rtl/>
        </w:rPr>
        <w:t>ציונו</w:t>
      </w:r>
      <w:proofErr w:type="spellEnd"/>
      <w:r>
        <w:rPr>
          <w:rtl/>
        </w:rPr>
        <w:t xml:space="preserve"> של ‘הרב הגאון הצדיק’ כי הרגיש לשם מה בא התייר לבית קברות עתיק זה”.</w:t>
      </w:r>
    </w:p>
    <w:p w14:paraId="25A4188B" w14:textId="77777777" w:rsidR="00AB3647" w:rsidRDefault="00000000" w:rsidP="007923E9">
      <w:pPr>
        <w:spacing w:after="120" w:line="276" w:lineRule="auto"/>
        <w:ind w:firstLine="283"/>
        <w:jc w:val="both"/>
      </w:pPr>
      <w:r>
        <w:rPr>
          <w:rtl/>
        </w:rPr>
        <w:lastRenderedPageBreak/>
        <w:t xml:space="preserve">נוסח מוקדם יותר וארוך הרבה יותר, שנלקח </w:t>
      </w:r>
      <w:proofErr w:type="spellStart"/>
      <w:r>
        <w:rPr>
          <w:rtl/>
        </w:rPr>
        <w:t>מ“עיר</w:t>
      </w:r>
      <w:proofErr w:type="spellEnd"/>
      <w:r>
        <w:rPr>
          <w:rtl/>
        </w:rPr>
        <w:t xml:space="preserve"> </w:t>
      </w:r>
      <w:proofErr w:type="spellStart"/>
      <w:r>
        <w:rPr>
          <w:rtl/>
        </w:rPr>
        <w:t>וילנא</w:t>
      </w:r>
      <w:proofErr w:type="spellEnd"/>
      <w:r>
        <w:rPr>
          <w:rtl/>
        </w:rPr>
        <w:t xml:space="preserve">” שיצא </w:t>
      </w:r>
      <w:proofErr w:type="spellStart"/>
      <w:r>
        <w:rPr>
          <w:rtl/>
        </w:rPr>
        <w:t>בתר״ס</w:t>
      </w:r>
      <w:proofErr w:type="spellEnd"/>
      <w:r>
        <w:rPr>
          <w:rtl/>
        </w:rPr>
        <w:t>, מובא בספרו של כץ, “תנועת המוסר”, כרך א</w:t>
      </w:r>
      <w:bookmarkStart w:id="6491" w:name="_fnr4905"/>
      <w:r>
        <w:rPr>
          <w:rStyle w:val="a5"/>
        </w:rPr>
        <w:footnoteReference w:id="4918" w:customMarkFollows="0"/>
      </w:r>
      <w:bookmarkEnd w:id="6491"/>
      <w:r>
        <w:rPr>
          <w:rtl/>
        </w:rPr>
        <w:t xml:space="preserve">. שורות הסיום של המצבה המקורית אומרות: “נולד </w:t>
      </w:r>
      <w:proofErr w:type="spellStart"/>
      <w:r>
        <w:rPr>
          <w:rtl/>
        </w:rPr>
        <w:t>בש</w:t>
      </w:r>
      <w:proofErr w:type="spellEnd"/>
      <w:r>
        <w:rPr>
          <w:rtl/>
        </w:rPr>
        <w:t xml:space="preserve">׳ תק״ע </w:t>
      </w:r>
      <w:r>
        <w:rPr>
          <w:b/>
          <w:bCs/>
          <w:rtl/>
        </w:rPr>
        <w:t>מת בעש״ק סימן יפה לו</w:t>
      </w:r>
      <w:r>
        <w:rPr>
          <w:rtl/>
        </w:rPr>
        <w:t xml:space="preserve"> והוא כ״ה שבט שנת תרמ״ג” (ההדגשה שלי).</w:t>
      </w:r>
    </w:p>
    <w:p w14:paraId="234E4E6F" w14:textId="77777777" w:rsidR="00AB3647" w:rsidRDefault="00000000" w:rsidP="007923E9">
      <w:pPr>
        <w:spacing w:after="120" w:line="276" w:lineRule="auto"/>
        <w:ind w:firstLine="283"/>
        <w:jc w:val="both"/>
      </w:pPr>
      <w:r>
        <w:rPr>
          <w:rtl/>
        </w:rPr>
        <w:t>כתובת זו חריגה בשני דברים: היא מציינת באיזה יום בשבוע אירעה הפטירה, ומוסיפה שיום זה מבשר “סימן יפה” – פרט שכל יהודי למדני יודע ממסכת כתובות</w:t>
      </w:r>
      <w:bookmarkStart w:id="6492" w:name="_fnr4906"/>
      <w:r>
        <w:rPr>
          <w:rStyle w:val="a5"/>
        </w:rPr>
        <w:footnoteReference w:id="4919" w:customMarkFollows="0"/>
      </w:r>
      <w:bookmarkEnd w:id="6492"/>
      <w:r>
        <w:rPr>
          <w:rtl/>
        </w:rPr>
        <w:t xml:space="preserve">. אני סבור שהיא עשויה בהחלט לרמוז למעשה שסיפר ר׳ פישל: ר׳ ישראל חלה </w:t>
      </w:r>
      <w:r>
        <w:rPr>
          <w:b/>
          <w:bCs/>
          <w:rtl/>
        </w:rPr>
        <w:t>אחרי השבת</w:t>
      </w:r>
      <w:r>
        <w:rPr>
          <w:rtl/>
        </w:rPr>
        <w:t xml:space="preserve"> ונפטר </w:t>
      </w:r>
      <w:r>
        <w:rPr>
          <w:b/>
          <w:bCs/>
          <w:rtl/>
        </w:rPr>
        <w:t>בערב שבת</w:t>
      </w:r>
      <w:r>
        <w:rPr>
          <w:rtl/>
        </w:rPr>
        <w:t xml:space="preserve">, ולכן לא היה צורך לחלל בשבילו את השבת, וזה היה “סימן יפה” לו. אילו חלה בשבת, בוודאי היו מחללים אותה בשבילו, מפני שפסקו של ר׳ ישראל נדחה מפני פסקו של הפוסק המפורסם בעולם, ר׳ </w:t>
      </w:r>
      <w:proofErr w:type="spellStart"/>
      <w:r>
        <w:rPr>
          <w:rtl/>
        </w:rPr>
        <w:t>יצחק־אלחנן</w:t>
      </w:r>
      <w:proofErr w:type="spellEnd"/>
      <w:r>
        <w:rPr>
          <w:rtl/>
        </w:rPr>
        <w:t xml:space="preserve">. גם המילה “והוא” שנוספה, המלמדת שיום השבוע היה מרכיב חשוב בתאריך הפטירה (לפחות) כמו היום בחודש שבט, מעידה שהיה משהו מיוחד ביום השבוע שבו נפטר. ר׳ ישראל הסתלק כך שנתמלאה בקשתו – כדברי בעל התהלים, “רצון </w:t>
      </w:r>
      <w:proofErr w:type="spellStart"/>
      <w:r>
        <w:rPr>
          <w:rtl/>
        </w:rPr>
        <w:t>יראיו</w:t>
      </w:r>
      <w:proofErr w:type="spellEnd"/>
      <w:r>
        <w:rPr>
          <w:rtl/>
        </w:rPr>
        <w:t xml:space="preserve"> יעשה”</w:t>
      </w:r>
      <w:bookmarkStart w:id="6493" w:name="_fnr4907"/>
      <w:r>
        <w:rPr>
          <w:rStyle w:val="a5"/>
        </w:rPr>
        <w:footnoteReference w:id="4920" w:customMarkFollows="0"/>
      </w:r>
      <w:bookmarkEnd w:id="6493"/>
      <w:r>
        <w:rPr>
          <w:rtl/>
        </w:rPr>
        <w:t>: ירא ה׳ המובהק נפטר בלי חילול שבת!</w:t>
      </w:r>
    </w:p>
    <w:p w14:paraId="0E23CC2C" w14:textId="77777777" w:rsidR="00AB3647" w:rsidRDefault="00000000" w:rsidP="007923E9">
      <w:pPr>
        <w:spacing w:after="120" w:line="276" w:lineRule="auto"/>
        <w:ind w:firstLine="283"/>
        <w:jc w:val="both"/>
      </w:pPr>
      <w:r>
        <w:rPr>
          <w:rtl/>
        </w:rPr>
        <w:t xml:space="preserve">גם מי ששינו את נוסח המצבה, בזמן כלשהו לפני תרע״ב, ציינו את יום השבוע שבו נפטר, אף שלא הצביעו על משמעותו – שזה היה סימן יפה </w:t>
      </w:r>
      <w:proofErr w:type="spellStart"/>
      <w:r>
        <w:rPr>
          <w:rtl/>
        </w:rPr>
        <w:t>לר</w:t>
      </w:r>
      <w:proofErr w:type="spellEnd"/>
      <w:r>
        <w:rPr>
          <w:rtl/>
        </w:rPr>
        <w:t xml:space="preserve">׳ ישראל (ולפיכך השמיטו את המילה “והוא”). אולי בשעה שתוקן נוסח המצבה כבר הוכר ר׳ ישראל בכל העולם </w:t>
      </w:r>
      <w:proofErr w:type="spellStart"/>
      <w:r>
        <w:rPr>
          <w:rtl/>
        </w:rPr>
        <w:t>כ</w:t>
      </w:r>
      <w:r>
        <w:rPr>
          <w:b/>
          <w:bCs/>
          <w:rtl/>
        </w:rPr>
        <w:t>“ירא</w:t>
      </w:r>
      <w:proofErr w:type="spellEnd"/>
      <w:r>
        <w:rPr>
          <w:b/>
          <w:bCs/>
          <w:rtl/>
        </w:rPr>
        <w:t xml:space="preserve"> ה׳”</w:t>
      </w:r>
      <w:r>
        <w:rPr>
          <w:rtl/>
        </w:rPr>
        <w:t xml:space="preserve"> מופלג מן הדור הקודם, ושוב לא היה צורך </w:t>
      </w:r>
      <w:proofErr w:type="spellStart"/>
      <w:r>
        <w:rPr>
          <w:rtl/>
        </w:rPr>
        <w:t>ב“סימן</w:t>
      </w:r>
      <w:proofErr w:type="spellEnd"/>
      <w:r>
        <w:rPr>
          <w:rtl/>
        </w:rPr>
        <w:t>” מן השמים שיעיד על מדרגתו.</w:t>
      </w:r>
    </w:p>
    <w:p w14:paraId="0E5C7147" w14:textId="77777777" w:rsidR="00AB3647" w:rsidRDefault="00000000" w:rsidP="007923E9">
      <w:pPr>
        <w:spacing w:after="120" w:line="276" w:lineRule="auto"/>
        <w:ind w:firstLine="283"/>
        <w:jc w:val="both"/>
      </w:pPr>
      <w:r>
        <w:rPr>
          <w:rtl/>
        </w:rPr>
        <w:t xml:space="preserve">ייתכן בהחלט שר׳ שלמה </w:t>
      </w:r>
      <w:proofErr w:type="spellStart"/>
      <w:r>
        <w:rPr>
          <w:rtl/>
        </w:rPr>
        <w:t>מקרלין</w:t>
      </w:r>
      <w:proofErr w:type="spellEnd"/>
      <w:r>
        <w:rPr>
          <w:rtl/>
        </w:rPr>
        <w:t xml:space="preserve"> לא התיר לחסידיו לחלל שבת כדי להציל את חייו, מאותו טעם שבגללו לא התיר זאת ר׳ ישראל תשעים שנה אחריו. גם ר׳ שלמה היה משוכנע שדין “רועה” חל עליו, שכן לדעתו גם הוא לא היה ראוי שיתפרנס מתמיכת חסידיו כל ימיו. יחס כזה ודאי הולם את אופיו של ר׳ שלמה. מסופר</w:t>
      </w:r>
      <w:bookmarkStart w:id="6494" w:name="_fnr4908"/>
      <w:r>
        <w:rPr>
          <w:rStyle w:val="a5"/>
        </w:rPr>
        <w:footnoteReference w:id="4921" w:customMarkFollows="0"/>
      </w:r>
      <w:bookmarkEnd w:id="6494"/>
      <w:r>
        <w:rPr>
          <w:rtl/>
        </w:rPr>
        <w:t xml:space="preserve"> שר׳ אשר </w:t>
      </w:r>
      <w:proofErr w:type="spellStart"/>
      <w:r>
        <w:rPr>
          <w:rtl/>
        </w:rPr>
        <w:t>מסטולין</w:t>
      </w:r>
      <w:proofErr w:type="spellEnd"/>
      <w:r>
        <w:rPr>
          <w:rtl/>
        </w:rPr>
        <w:t xml:space="preserve"> אמר: “[אבי האומן] ר׳ שלמה היה בטוח כל כך בחייו שיורד לגיהינום, עד שאחרי פטירתו, כשהופיעו כתות מלאכי השרת וצדיקים וגדולים רבים ללוותו לגן עדן, תמה: ‘הזהו עולם האמת, שבו אני, הראוי לגיהינום, מלוּוה דווקא לגן עדן?!’</w:t>
      </w:r>
      <w:bookmarkStart w:id="6495" w:name="_fnr4909"/>
      <w:r>
        <w:rPr>
          <w:rStyle w:val="a5"/>
        </w:rPr>
        <w:footnoteReference w:id="4922" w:customMarkFollows="0"/>
      </w:r>
      <w:bookmarkEnd w:id="6495"/>
      <w:r>
        <w:rPr>
          <w:rtl/>
        </w:rPr>
        <w:t xml:space="preserve"> הוא נמנע מלהיכנס לגן עדן עד שאמרה לו השכינה שניתנת לו מתנת חינם”</w:t>
      </w:r>
      <w:bookmarkStart w:id="6496" w:name="_fnr4910"/>
      <w:r>
        <w:rPr>
          <w:rStyle w:val="a5"/>
        </w:rPr>
        <w:footnoteReference w:id="4923" w:customMarkFollows="0"/>
      </w:r>
      <w:bookmarkEnd w:id="6496"/>
      <w:r>
        <w:rPr>
          <w:rtl/>
        </w:rPr>
        <w:t xml:space="preserve">. ר׳ אשר לא הסביר מדוע היה ר׳ שלמה בטוח כל כך שמקומו בגיהינום. ייתכן שהחטא שהעיק כל כך על ר׳ שלמה היה המשא שהעיק על ר׳ ישראל </w:t>
      </w:r>
      <w:proofErr w:type="spellStart"/>
      <w:r>
        <w:rPr>
          <w:rtl/>
        </w:rPr>
        <w:t>סלנטר</w:t>
      </w:r>
      <w:proofErr w:type="spellEnd"/>
      <w:r>
        <w:rPr>
          <w:rtl/>
        </w:rPr>
        <w:t xml:space="preserve"> – מה שנקרא גזל, שאפילו הקב״ה אינו יכול, כביכול, למחוק בלי מחילת הנגזלים</w:t>
      </w:r>
      <w:bookmarkStart w:id="6497" w:name="_fnr4911"/>
      <w:r>
        <w:rPr>
          <w:rStyle w:val="a5"/>
        </w:rPr>
        <w:footnoteReference w:id="4924" w:customMarkFollows="0"/>
      </w:r>
      <w:bookmarkEnd w:id="6497"/>
      <w:r>
        <w:rPr>
          <w:rtl/>
        </w:rPr>
        <w:t>.</w:t>
      </w:r>
    </w:p>
    <w:p w14:paraId="0B727A9A" w14:textId="77777777" w:rsidR="00AB3647" w:rsidRDefault="00000000" w:rsidP="007923E9">
      <w:pPr>
        <w:spacing w:after="120" w:line="276" w:lineRule="auto"/>
        <w:ind w:firstLine="283"/>
        <w:jc w:val="both"/>
      </w:pPr>
      <w:r>
        <w:rPr>
          <w:rtl/>
        </w:rPr>
        <w:lastRenderedPageBreak/>
        <w:t xml:space="preserve">גישה זו עשויה להסביר את הטעמים, הנראים מנוגדים להלכה, שנתנו החסידים לסירובו של ר׳ שלמה לקבל טיפול בפציעתו בשבת, כפי שנזכר לעיל, בפסקה השלישית (עמ׳ </w:t>
      </w:r>
      <w:r>
        <w:rPr>
          <w:rtl/>
        </w:rPr>
        <w:fldChar w:fldCharType="begin" w:dirty="true"/>
      </w:r>
      <w:r>
        <w:rPr>
          <w:rtl/>
        </w:rPr>
        <w:instrText xml:space="preserve"> PAGEREF pr_b_2659 \h </w:instrText>
      </w:r>
      <w:r>
        <w:rPr>
          <w:rtl/>
        </w:rPr>
      </w:r>
      <w:r>
        <w:rPr>
          <w:rtl/>
        </w:rPr>
        <w:fldChar w:fldCharType="separate"/>
      </w:r>
      <w:r w:rsidR="007923E9">
        <w:rPr>
          <w:noProof/>
          <w:rtl/>
        </w:rPr>
        <w:t>1</w:t>
      </w:r>
      <w:r>
        <w:rPr>
          <w:rtl/>
        </w:rPr>
        <w:fldChar w:fldCharType="end"/>
      </w:r>
      <w:r>
        <w:rPr>
          <w:rtl/>
        </w:rPr>
        <w:t xml:space="preserve">). מצד אחד, ר׳ שלמה ראה את עצמו – כמו ר׳ ישראל </w:t>
      </w:r>
      <w:proofErr w:type="spellStart"/>
      <w:r>
        <w:rPr>
          <w:rtl/>
        </w:rPr>
        <w:t>סלנטר</w:t>
      </w:r>
      <w:proofErr w:type="spellEnd"/>
      <w:r>
        <w:rPr>
          <w:rtl/>
        </w:rPr>
        <w:t xml:space="preserve"> עשרות שנים אחריו – </w:t>
      </w:r>
      <w:proofErr w:type="spellStart"/>
      <w:r>
        <w:rPr>
          <w:rtl/>
        </w:rPr>
        <w:t>כ“רועה</w:t>
      </w:r>
      <w:proofErr w:type="spellEnd"/>
      <w:r>
        <w:rPr>
          <w:rtl/>
        </w:rPr>
        <w:t xml:space="preserve">” על פי ההלכה, שבסכנת מותו יש לנהוג בשב ואל תעשה. לכן היה על אחרים (שהסכימו עם ר׳ שלמה שהוא “רועה”) להימנע מלטפל בפצעו, מפני שטיפול כזה נאסר בכלל “לא מעלין מן הבור”. מצד שני, הפצוע עצמו רשאי לרפא את פצעו, כשם שהרועה הרגיל אינו מחויב מכוח “לא מעלין” להישאר בבור. אדרבה, עליו לנסות לחלץ את עצמו, בגלל מחציתו השנייה של הכלל, “לא מורידין [לבור]”. לגבי הרועה עצמו, </w:t>
      </w:r>
      <w:r>
        <w:rPr>
          <w:b/>
          <w:bCs/>
          <w:rtl/>
        </w:rPr>
        <w:t>שיש לו דחף טבעי לחיות</w:t>
      </w:r>
      <w:r>
        <w:rPr>
          <w:rtl/>
        </w:rPr>
        <w:t xml:space="preserve">, הישארות בבור אינה שב ואל תעשה, אלא כמוה כהשלכת עצמו פנימה. לפיכך, בכל הנוגע </w:t>
      </w:r>
      <w:proofErr w:type="spellStart"/>
      <w:r>
        <w:rPr>
          <w:rtl/>
        </w:rPr>
        <w:t>ל“רועה</w:t>
      </w:r>
      <w:proofErr w:type="spellEnd"/>
      <w:r>
        <w:rPr>
          <w:rtl/>
        </w:rPr>
        <w:t>” עצמו, עליו לעשות הכול כדי להציל את עצמו – ואפילו לבקש מאחרים לרפאו, אם רק ישמעו לו.</w:t>
      </w:r>
    </w:p>
    <w:p w14:paraId="41D61633" w14:textId="77777777" w:rsidR="00AB3647" w:rsidRDefault="00000000" w:rsidP="007923E9">
      <w:pPr>
        <w:spacing w:after="120" w:line="276" w:lineRule="auto"/>
        <w:ind w:firstLine="283"/>
        <w:jc w:val="both"/>
      </w:pPr>
      <w:r>
        <w:rPr>
          <w:rtl/>
        </w:rPr>
        <w:t xml:space="preserve">אולם אם </w:t>
      </w:r>
      <w:proofErr w:type="spellStart"/>
      <w:r>
        <w:rPr>
          <w:rtl/>
        </w:rPr>
        <w:t>ה“רועה</w:t>
      </w:r>
      <w:proofErr w:type="spellEnd"/>
      <w:r>
        <w:rPr>
          <w:rtl/>
        </w:rPr>
        <w:t>” אינו מסוגל לפעול באותה שעה (כפי שחשש ר׳ ישראל שיהיה, ואולי אכן היה בסוף ימיו), או שרצונו הטבעי לשרוד הוכנע – כמו אצל ר׳ שלמה, שראה בעצמו רבי עקיבא נוסף או “משיח בן יוסף” – שוב אין הישארותו “בבור” נחשבת להשלכת עצמו לתוכו, ועליו לשכב ולמות בשב ואל תעשה גמור, ולהחיל על עצמו את הכלל “לא מעלין”.</w:t>
      </w:r>
    </w:p>
    <w:bookmarkStart w:id="6498" w:name="b5_excC"/>
    <w:p w14:paraId="4D1E7B77" w14:textId="77777777" w:rsidR="00AB3647" w:rsidRDefault="00000000" w:rsidP="007923E9">
      <w:pPr>
        <w:pStyle w:val="3"/>
        <w:spacing w:line="276" w:lineRule="auto"/>
      </w:pPr>
      <w:r>
        <w:lastRenderedPageBreak/>
        <w:fldChar w:fldCharType="begin" w:dirty="true"/>
      </w:r>
      <w:r>
        <w:rPr>
          <w:rtl w:val="0"/>
        </w:rPr>
        <w:instrText>HYPERLINK \l "b5_note11</w:instrText>
      </w:r>
      <w:r>
        <w:instrText>"</w:instrText>
      </w:r>
      <w:r>
        <w:fldChar w:fldCharType="separate"/>
      </w:r>
      <w:r>
        <w:t>נספח ג</w:t>
      </w:r>
      <w:r>
        <w:fldChar w:fldCharType="end"/>
      </w:r>
      <w:bookmarkEnd w:id="6498"/>
    </w:p>
    <w:p w14:paraId="25737560" w14:textId="77777777" w:rsidR="00AB3647" w:rsidRDefault="00000000" w:rsidP="007923E9">
      <w:pPr>
        <w:pStyle w:val="af"/>
        <w:spacing w:line="276" w:lineRule="auto"/>
        <w:ind w:firstLine="340"/>
      </w:pPr>
      <w:r>
        <w:t xml:space="preserve">על לימוד תנ״ך בישיבות לצעירים ועל גאונותו של העילוי </w:t>
      </w:r>
      <w:proofErr w:type="spellStart"/>
      <w:r>
        <w:t>מווישקי</w:t>
      </w:r>
      <w:proofErr w:type="spellEnd"/>
    </w:p>
    <w:p w14:paraId="596AA1FD" w14:textId="77777777" w:rsidR="00AB3647" w:rsidRDefault="00000000" w:rsidP="007923E9">
      <w:pPr>
        <w:pStyle w:val="5"/>
        <w:spacing w:line="276" w:lineRule="auto"/>
      </w:pPr>
      <w:r>
        <w:t xml:space="preserve">לימוד תנ״ך אינו מתקבל בעין יפה – העילוי </w:t>
      </w:r>
      <w:proofErr w:type="spellStart"/>
      <w:r>
        <w:t>מווישקי</w:t>
      </w:r>
      <w:proofErr w:type="spellEnd"/>
      <w:r>
        <w:t xml:space="preserve"> מגלה את התנ״ך – הוא נחשב צדיק – הוא נודד בעולם בחיפוש אחר תורה נוספת – הוא מובא למנוחות בארץ ישראל</w:t>
      </w:r>
    </w:p>
    <w:p w14:paraId="6AD55700" w14:textId="77777777" w:rsidR="00AB3647" w:rsidRDefault="00000000" w:rsidP="007923E9">
      <w:pPr>
        <w:spacing w:after="120" w:line="276" w:lineRule="auto"/>
        <w:ind w:firstLine="283"/>
        <w:jc w:val="both"/>
      </w:pPr>
      <w:r>
        <w:rPr>
          <w:rtl/>
        </w:rPr>
        <w:t xml:space="preserve">לימוד תנ״ך היה מקובל בחדר, אבל לא התקבל בעין יפה אצל תלמידים בגיל הישיבה. שכנו של אבי </w:t>
      </w:r>
      <w:proofErr w:type="spellStart"/>
      <w:r>
        <w:rPr>
          <w:rtl/>
        </w:rPr>
        <w:t>במונסי</w:t>
      </w:r>
      <w:proofErr w:type="spellEnd"/>
      <w:r>
        <w:rPr>
          <w:rtl/>
        </w:rPr>
        <w:t xml:space="preserve">, ר׳ </w:t>
      </w:r>
      <w:proofErr w:type="spellStart"/>
      <w:r>
        <w:rPr>
          <w:rtl/>
        </w:rPr>
        <w:t>חיים־מאיר</w:t>
      </w:r>
      <w:proofErr w:type="spellEnd"/>
      <w:r>
        <w:rPr>
          <w:rtl/>
        </w:rPr>
        <w:t xml:space="preserve"> </w:t>
      </w:r>
      <w:proofErr w:type="spellStart"/>
      <w:r>
        <w:rPr>
          <w:rtl/>
        </w:rPr>
        <w:t>גרפינקל</w:t>
      </w:r>
      <w:proofErr w:type="spellEnd"/>
      <w:r>
        <w:rPr>
          <w:rtl/>
        </w:rPr>
        <w:t>, סיפר</w:t>
      </w:r>
      <w:bookmarkStart w:id="6499" w:name="_fnr4912"/>
      <w:r>
        <w:rPr>
          <w:rStyle w:val="a5"/>
        </w:rPr>
        <w:footnoteReference w:id="4925" w:customMarkFollows="0"/>
      </w:r>
      <w:bookmarkEnd w:id="6499"/>
      <w:r>
        <w:rPr>
          <w:rtl/>
        </w:rPr>
        <w:t xml:space="preserve"> על מעשה שאירע כשאביו, ר׳ דוד</w:t>
      </w:r>
      <w:bookmarkStart w:id="6500" w:name="_fnr4913"/>
      <w:r>
        <w:rPr>
          <w:rStyle w:val="a5"/>
        </w:rPr>
        <w:footnoteReference w:id="4926" w:customMarkFollows="0"/>
      </w:r>
      <w:bookmarkEnd w:id="6500"/>
      <w:r>
        <w:rPr>
          <w:rtl/>
        </w:rPr>
        <w:t xml:space="preserve">, למד </w:t>
      </w:r>
      <w:proofErr w:type="spellStart"/>
      <w:r>
        <w:rPr>
          <w:rtl/>
        </w:rPr>
        <w:t>ב“ישיבת</w:t>
      </w:r>
      <w:proofErr w:type="spellEnd"/>
      <w:r>
        <w:rPr>
          <w:rtl/>
        </w:rPr>
        <w:t xml:space="preserve"> ר׳ חיים </w:t>
      </w:r>
      <w:proofErr w:type="spellStart"/>
      <w:r>
        <w:rPr>
          <w:rtl/>
        </w:rPr>
        <w:t>סולובייצ׳יק</w:t>
      </w:r>
      <w:proofErr w:type="spellEnd"/>
      <w:r>
        <w:rPr>
          <w:rtl/>
        </w:rPr>
        <w:t xml:space="preserve">” </w:t>
      </w:r>
      <w:proofErr w:type="spellStart"/>
      <w:r>
        <w:rPr>
          <w:rtl/>
        </w:rPr>
        <w:t>בבריסק</w:t>
      </w:r>
      <w:proofErr w:type="spellEnd"/>
      <w:r>
        <w:rPr>
          <w:rtl/>
        </w:rPr>
        <w:t xml:space="preserve">, בן </w:t>
      </w:r>
      <w:proofErr w:type="spellStart"/>
      <w:r>
        <w:rPr>
          <w:rtl/>
        </w:rPr>
        <w:t>שש־עשרה</w:t>
      </w:r>
      <w:proofErr w:type="spellEnd"/>
      <w:r>
        <w:rPr>
          <w:rtl/>
        </w:rPr>
        <w:t xml:space="preserve">, זמן קצר לפני שיצא לאמריקה </w:t>
      </w:r>
      <w:proofErr w:type="spellStart"/>
      <w:r>
        <w:rPr>
          <w:rtl/>
        </w:rPr>
        <w:t>בתרס״ד</w:t>
      </w:r>
      <w:proofErr w:type="spellEnd"/>
      <w:r>
        <w:rPr>
          <w:rtl/>
        </w:rPr>
        <w:t xml:space="preserve">. ר׳ דוד קנה תנ״ך קטן במכירה פומבית של ספרים ישנים, ומישהו סיפר על כך </w:t>
      </w:r>
      <w:proofErr w:type="spellStart"/>
      <w:r>
        <w:rPr>
          <w:rtl/>
        </w:rPr>
        <w:t>לר</w:t>
      </w:r>
      <w:proofErr w:type="spellEnd"/>
      <w:r>
        <w:rPr>
          <w:rtl/>
        </w:rPr>
        <w:t>׳ חיים. ר׳ חיים קרא לו ואמר: “כבר אתה יודע ש״ס כל כך ברור [שהלכת וקנית תנ״ך]?!” והנער החזיר את הכרך למוכר.</w:t>
      </w:r>
    </w:p>
    <w:p w14:paraId="15779104" w14:textId="77777777" w:rsidR="00AB3647" w:rsidRDefault="00000000" w:rsidP="007923E9">
      <w:pPr>
        <w:spacing w:after="120" w:line="276" w:lineRule="auto"/>
        <w:ind w:firstLine="283"/>
        <w:jc w:val="both"/>
      </w:pPr>
      <w:r>
        <w:rPr>
          <w:rtl/>
        </w:rPr>
        <w:t xml:space="preserve">מעשה זה מפתיע למדי, מפני שתלמידי </w:t>
      </w:r>
      <w:proofErr w:type="spellStart"/>
      <w:r>
        <w:rPr>
          <w:rtl/>
        </w:rPr>
        <w:t>וולוז׳ין</w:t>
      </w:r>
      <w:proofErr w:type="spellEnd"/>
      <w:r>
        <w:rPr>
          <w:rtl/>
        </w:rPr>
        <w:t xml:space="preserve"> נהגו להחזיק כרכי תנ״ך קטנים, כמסופר </w:t>
      </w:r>
      <w:proofErr w:type="spellStart"/>
      <w:r>
        <w:rPr>
          <w:rtl/>
        </w:rPr>
        <w:t>ב“עלי</w:t>
      </w:r>
      <w:proofErr w:type="spellEnd"/>
      <w:r>
        <w:rPr>
          <w:rtl/>
        </w:rPr>
        <w:t xml:space="preserve"> </w:t>
      </w:r>
      <w:proofErr w:type="spellStart"/>
      <w:r>
        <w:rPr>
          <w:rtl/>
        </w:rPr>
        <w:t>חלדי</w:t>
      </w:r>
      <w:proofErr w:type="spellEnd"/>
      <w:r>
        <w:rPr>
          <w:rtl/>
        </w:rPr>
        <w:t>”</w:t>
      </w:r>
      <w:bookmarkStart w:id="6501" w:name="_fnr4914"/>
      <w:r>
        <w:rPr>
          <w:rStyle w:val="a5"/>
        </w:rPr>
        <w:footnoteReference w:id="4927" w:customMarkFollows="0"/>
      </w:r>
      <w:bookmarkEnd w:id="6501"/>
      <w:r>
        <w:rPr>
          <w:rtl/>
        </w:rPr>
        <w:t>: “</w:t>
      </w:r>
      <w:proofErr w:type="spellStart"/>
      <w:r>
        <w:rPr>
          <w:rtl/>
        </w:rPr>
        <w:t>הנצי״ב</w:t>
      </w:r>
      <w:proofErr w:type="spellEnd"/>
      <w:r>
        <w:rPr>
          <w:rtl/>
        </w:rPr>
        <w:t xml:space="preserve"> היה מתפלל בישיבה בקול רם, ושליח הציבור... היה ממתין לו בסוף כל מזמור. כל תלמיד ישיבה שהתפלל מהר יותר היה מנצל את ‘הזמן הפנוי’ לעיין בתנ״ך הקטן שבידו”. ביומנו רשם ר׳ דוד פירוש מחודש של ר׳ חיים לביטוי התלמודי “עורבא פרח”</w:t>
      </w:r>
      <w:bookmarkStart w:id="6502" w:name="_fnr4915"/>
      <w:r>
        <w:rPr>
          <w:rStyle w:val="a5"/>
        </w:rPr>
        <w:footnoteReference w:id="4928" w:customMarkFollows="0"/>
      </w:r>
      <w:bookmarkEnd w:id="6502"/>
      <w:r>
        <w:rPr>
          <w:rtl/>
        </w:rPr>
        <w:t>. רש״י מפרש שכאשר אמורא סירב להשיב על שאלה שהעלה חברו, היה רק משנה את הנושא ואומר: “ראה, עורב פורח”</w:t>
      </w:r>
      <w:bookmarkStart w:id="6503" w:name="_fnr4916"/>
      <w:r>
        <w:rPr>
          <w:rStyle w:val="a5"/>
        </w:rPr>
        <w:footnoteReference w:id="4929" w:customMarkFollows="0"/>
      </w:r>
      <w:bookmarkEnd w:id="6503"/>
      <w:r>
        <w:rPr>
          <w:rtl/>
        </w:rPr>
        <w:t>. ר׳ חיים הסביר את הביטוי על פי סיפור נח שבתורה</w:t>
      </w:r>
      <w:bookmarkStart w:id="6504" w:name="_fnr4917"/>
      <w:r>
        <w:rPr>
          <w:rStyle w:val="a5"/>
        </w:rPr>
        <w:footnoteReference w:id="4930" w:customMarkFollows="0"/>
      </w:r>
      <w:bookmarkEnd w:id="6504"/>
      <w:r>
        <w:rPr>
          <w:rtl/>
        </w:rPr>
        <w:t>: כשם שהעורב ששלח נח לברר את מצב מי המבול מחוץ לתיבה לא חזר עם תשובה, כך גם אל תצפה שאשיב על שאלתך.</w:t>
      </w:r>
    </w:p>
    <w:p w14:paraId="2702FD3A" w14:textId="77777777" w:rsidR="00AB3647" w:rsidRDefault="00000000" w:rsidP="007923E9">
      <w:pPr>
        <w:spacing w:after="120" w:line="276" w:lineRule="auto"/>
        <w:ind w:firstLine="283"/>
        <w:jc w:val="both"/>
      </w:pPr>
      <w:r>
        <w:rPr>
          <w:rtl/>
        </w:rPr>
        <w:t xml:space="preserve">דבר שנינה זה נרשם בשם ר׳ חיים </w:t>
      </w:r>
      <w:proofErr w:type="spellStart"/>
      <w:r>
        <w:rPr>
          <w:rtl/>
        </w:rPr>
        <w:t>סולובייצ׳יק</w:t>
      </w:r>
      <w:proofErr w:type="spellEnd"/>
      <w:r>
        <w:rPr>
          <w:rtl/>
        </w:rPr>
        <w:t xml:space="preserve"> </w:t>
      </w:r>
      <w:proofErr w:type="spellStart"/>
      <w:r>
        <w:rPr>
          <w:rtl/>
        </w:rPr>
        <w:t>ב“תורת</w:t>
      </w:r>
      <w:proofErr w:type="spellEnd"/>
      <w:r>
        <w:rPr>
          <w:rtl/>
        </w:rPr>
        <w:t xml:space="preserve"> חיים”</w:t>
      </w:r>
      <w:bookmarkStart w:id="6505" w:name="_fnr4918"/>
      <w:r>
        <w:rPr>
          <w:rStyle w:val="a5"/>
        </w:rPr>
        <w:footnoteReference w:id="4931" w:customMarkFollows="0"/>
      </w:r>
      <w:bookmarkEnd w:id="6505"/>
      <w:r>
        <w:rPr>
          <w:rtl/>
        </w:rPr>
        <w:t xml:space="preserve">, המצטט את “ספר ליקוטי בתר ליקוטי” – ר׳ דוד </w:t>
      </w:r>
      <w:proofErr w:type="spellStart"/>
      <w:r>
        <w:rPr>
          <w:rtl/>
        </w:rPr>
        <w:t>גרפינקל</w:t>
      </w:r>
      <w:proofErr w:type="spellEnd"/>
      <w:r>
        <w:rPr>
          <w:rtl/>
        </w:rPr>
        <w:t xml:space="preserve"> שמעו מפי הרב עצמו. ישיבת </w:t>
      </w:r>
      <w:proofErr w:type="spellStart"/>
      <w:r>
        <w:rPr>
          <w:rtl/>
        </w:rPr>
        <w:t>בריסק</w:t>
      </w:r>
      <w:proofErr w:type="spellEnd"/>
      <w:r>
        <w:rPr>
          <w:rtl/>
        </w:rPr>
        <w:t xml:space="preserve"> שר׳ דוד כינה, כאמור, “ישיבת ר׳ חיים </w:t>
      </w:r>
      <w:proofErr w:type="spellStart"/>
      <w:r>
        <w:rPr>
          <w:rtl/>
        </w:rPr>
        <w:t>סולובייצ׳יק</w:t>
      </w:r>
      <w:proofErr w:type="spellEnd"/>
      <w:r>
        <w:rPr>
          <w:rtl/>
        </w:rPr>
        <w:t xml:space="preserve">” הייתה למעשה הישיבה הקטנה של </w:t>
      </w:r>
      <w:proofErr w:type="spellStart"/>
      <w:r>
        <w:rPr>
          <w:rtl/>
        </w:rPr>
        <w:t>בריסק</w:t>
      </w:r>
      <w:bookmarkStart w:id="6506" w:name="_fnr4919"/>
      <w:proofErr w:type="spellEnd"/>
      <w:r>
        <w:rPr>
          <w:rStyle w:val="a5"/>
        </w:rPr>
        <w:footnoteReference w:id="4932" w:customMarkFollows="0"/>
      </w:r>
      <w:bookmarkEnd w:id="6506"/>
      <w:r>
        <w:rPr>
          <w:rtl/>
        </w:rPr>
        <w:t>, שבה אולי אמר ר׳ חיים דבר קליל כזה.</w:t>
      </w:r>
    </w:p>
    <w:p w14:paraId="38B96B71" w14:textId="77777777" w:rsidR="00AB3647" w:rsidRDefault="00000000" w:rsidP="007923E9">
      <w:pPr>
        <w:spacing w:after="120" w:line="276" w:lineRule="auto"/>
        <w:ind w:firstLine="283"/>
        <w:jc w:val="both"/>
      </w:pPr>
      <w:bookmarkStart w:id="6507" w:name="pr_b_2696"/>
      <w:bookmarkEnd w:id="6507"/>
      <w:r>
        <w:rPr>
          <w:rtl/>
        </w:rPr>
        <w:t xml:space="preserve">מעשה מעניין נוסף בכרך תנ״ך יעניין במיוחד את הקורא האמריקני. הוא אירע בכנסת בית יצחק, ומובא במאמרו של </w:t>
      </w:r>
      <w:proofErr w:type="spellStart"/>
      <w:r>
        <w:rPr>
          <w:rtl/>
        </w:rPr>
        <w:t>הירש־לייב</w:t>
      </w:r>
      <w:proofErr w:type="spellEnd"/>
      <w:r>
        <w:rPr>
          <w:rtl/>
        </w:rPr>
        <w:t xml:space="preserve"> גורדון “על גדות </w:t>
      </w:r>
      <w:proofErr w:type="spellStart"/>
      <w:r>
        <w:rPr>
          <w:rtl/>
        </w:rPr>
        <w:t>הוויליה</w:t>
      </w:r>
      <w:proofErr w:type="spellEnd"/>
      <w:r>
        <w:rPr>
          <w:rtl/>
        </w:rPr>
        <w:t xml:space="preserve"> </w:t>
      </w:r>
      <w:proofErr w:type="spellStart"/>
      <w:r>
        <w:rPr>
          <w:rtl/>
        </w:rPr>
        <w:t>והנימן</w:t>
      </w:r>
      <w:proofErr w:type="spellEnd"/>
      <w:r>
        <w:rPr>
          <w:rtl/>
        </w:rPr>
        <w:t xml:space="preserve">” </w:t>
      </w:r>
      <w:proofErr w:type="spellStart"/>
      <w:r>
        <w:rPr>
          <w:rtl/>
        </w:rPr>
        <w:t>ב“הדואר</w:t>
      </w:r>
      <w:proofErr w:type="spellEnd"/>
      <w:r>
        <w:rPr>
          <w:rtl/>
        </w:rPr>
        <w:t>”</w:t>
      </w:r>
      <w:bookmarkStart w:id="6508" w:name="_fnr4920"/>
      <w:r>
        <w:rPr>
          <w:rStyle w:val="a5"/>
        </w:rPr>
        <w:footnoteReference w:id="4933" w:customMarkFollows="0"/>
      </w:r>
      <w:bookmarkEnd w:id="6508"/>
      <w:r>
        <w:rPr>
          <w:rtl/>
        </w:rPr>
        <w:t>.</w:t>
      </w:r>
    </w:p>
    <w:p w14:paraId="3C5BB1EE" w14:textId="77777777" w:rsidR="00AB3647" w:rsidRDefault="00000000" w:rsidP="007923E9">
      <w:pPr>
        <w:spacing w:after="120" w:line="276" w:lineRule="auto"/>
        <w:ind w:firstLine="283"/>
        <w:jc w:val="both"/>
      </w:pPr>
      <w:r>
        <w:rPr>
          <w:rtl/>
        </w:rPr>
        <w:lastRenderedPageBreak/>
        <w:t xml:space="preserve">הכותב מספר: “תלמיד ישיבה בלתי רגיל היה העילוי </w:t>
      </w:r>
      <w:proofErr w:type="spellStart"/>
      <w:r>
        <w:rPr>
          <w:rtl/>
        </w:rPr>
        <w:t>מווישקי</w:t>
      </w:r>
      <w:proofErr w:type="spellEnd"/>
      <w:r>
        <w:rPr>
          <w:rtl/>
        </w:rPr>
        <w:t xml:space="preserve">... גדולתו הייתה בכוח זיכרונו </w:t>
      </w:r>
      <w:proofErr w:type="spellStart"/>
      <w:r>
        <w:rPr>
          <w:rtl/>
        </w:rPr>
        <w:t>הצילומי</w:t>
      </w:r>
      <w:proofErr w:type="spellEnd"/>
      <w:r>
        <w:rPr>
          <w:rtl/>
        </w:rPr>
        <w:t xml:space="preserve">. הוא היה יושב ליד כותל המזרח, סמוך לראש הישיבה ר׳ </w:t>
      </w:r>
      <w:proofErr w:type="spellStart"/>
      <w:r>
        <w:rPr>
          <w:rtl/>
        </w:rPr>
        <w:t>ברוך־בר</w:t>
      </w:r>
      <w:proofErr w:type="spellEnd"/>
      <w:r>
        <w:rPr>
          <w:rtl/>
        </w:rPr>
        <w:t xml:space="preserve"> </w:t>
      </w:r>
      <w:proofErr w:type="spellStart"/>
      <w:r>
        <w:rPr>
          <w:rtl/>
        </w:rPr>
        <w:t>ליבוביץ</w:t>
      </w:r>
      <w:proofErr w:type="spellEnd"/>
      <w:r>
        <w:rPr>
          <w:rtl/>
        </w:rPr>
        <w:t xml:space="preserve">, מדפדף בגמרא, ובעיניים </w:t>
      </w:r>
      <w:proofErr w:type="spellStart"/>
      <w:r>
        <w:rPr>
          <w:rtl/>
        </w:rPr>
        <w:t>קצרות־ראייה</w:t>
      </w:r>
      <w:proofErr w:type="spellEnd"/>
      <w:r>
        <w:rPr>
          <w:rtl/>
        </w:rPr>
        <w:t xml:space="preserve"> עצומות למחצה עובר מדף לדף בדקות ספורות – והכול נשתמר בזיכרונו ‘כמונח בקופסא’</w:t>
      </w:r>
      <w:bookmarkStart w:id="6509" w:name="_fnr4921"/>
      <w:r>
        <w:rPr>
          <w:rStyle w:val="a5"/>
        </w:rPr>
        <w:footnoteReference w:id="4934" w:customMarkFollows="0"/>
      </w:r>
      <w:bookmarkEnd w:id="6509"/>
      <w:r>
        <w:rPr>
          <w:rtl/>
        </w:rPr>
        <w:t>. בתחילה השתוממנו על כישרונו זה. היינו בוחנים אותו בתקיעת מחט דרך דפי הגמרא, והוא היה אומר איזו מילה ניקבה בכל דף – אפילו היה הדף רחוק מאה דפים... כשהתרגלנו לכך, חדלנו לבוחנו. פעם ביקש ממני לתת לו ספר לעיין בו בשבת, והשאלתי לו את התנ״ך הקטן שלי – מימיו לא ראה כרך תנ״ך</w:t>
      </w:r>
      <w:bookmarkStart w:id="6510" w:name="_fnr4922"/>
      <w:r>
        <w:rPr>
          <w:rStyle w:val="a5"/>
        </w:rPr>
        <w:footnoteReference w:id="4935" w:customMarkFollows="0"/>
      </w:r>
      <w:bookmarkEnd w:id="6510"/>
      <w:r>
        <w:rPr>
          <w:rtl/>
        </w:rPr>
        <w:t xml:space="preserve">. במשך השבת קרא את הכרך כולו; הוא התפלא ונהנה, ובייחוד משיר השירים. למחרת סיפר לראש הישיבה על פסוק נפלא שמצא בתנ״ך, והרבי שאל: ‘מי נתן לך את הספר?’ השיב בתמימות: ‘הוילנאי הקטן’, והצביע עליי. ציפיתי לנזיפה, אך הכול עבר בשלום”.</w:t>
      </w:r>
    </w:p>
    <w:p w14:paraId="24C5D62C" w14:textId="77777777" w:rsidR="00AB3647" w:rsidRDefault="00000000" w:rsidP="007923E9">
      <w:pPr>
        <w:spacing w:after="120" w:line="276" w:lineRule="auto"/>
        <w:ind w:firstLine="283"/>
        <w:jc w:val="both"/>
      </w:pPr>
      <w:r>
        <w:rPr>
          <w:rtl/>
        </w:rPr>
        <w:t xml:space="preserve">העילוי </w:t>
      </w:r>
      <w:proofErr w:type="spellStart"/>
      <w:r>
        <w:rPr>
          <w:rtl/>
        </w:rPr>
        <w:t>מווישקי</w:t>
      </w:r>
      <w:proofErr w:type="spellEnd"/>
      <w:r>
        <w:rPr>
          <w:rtl/>
        </w:rPr>
        <w:t xml:space="preserve">, ר׳ </w:t>
      </w:r>
      <w:proofErr w:type="spellStart"/>
      <w:r>
        <w:rPr>
          <w:rtl/>
        </w:rPr>
        <w:t>יעקב־דוב</w:t>
      </w:r>
      <w:proofErr w:type="spellEnd"/>
      <w:r>
        <w:rPr>
          <w:rtl/>
        </w:rPr>
        <w:t xml:space="preserve"> ספסל, היה בנו של השוחט בעיר שבה כיהן ברבנות ר׳ </w:t>
      </w:r>
      <w:proofErr w:type="spellStart"/>
      <w:r>
        <w:rPr>
          <w:rtl/>
        </w:rPr>
        <w:t>שלמה־יהודה־לייב</w:t>
      </w:r>
      <w:proofErr w:type="spellEnd"/>
      <w:r>
        <w:rPr>
          <w:rtl/>
        </w:rPr>
        <w:t xml:space="preserve"> </w:t>
      </w:r>
      <w:proofErr w:type="spellStart"/>
      <w:r>
        <w:rPr>
          <w:rtl/>
        </w:rPr>
        <w:t>פלצ׳ינסקי</w:t>
      </w:r>
      <w:proofErr w:type="spellEnd"/>
      <w:r>
        <w:rPr>
          <w:rtl/>
        </w:rPr>
        <w:t xml:space="preserve">, חתנו הגדול של הסבא. אחרי מלחמת העולם הראשונה בא לאמריקה, ושימש ראש ישיבה בניו </w:t>
      </w:r>
      <w:proofErr w:type="spellStart"/>
      <w:r>
        <w:rPr>
          <w:rtl/>
        </w:rPr>
        <w:t>הייבן</w:t>
      </w:r>
      <w:proofErr w:type="spellEnd"/>
      <w:r>
        <w:rPr>
          <w:rtl/>
        </w:rPr>
        <w:t xml:space="preserve"> ואחר כך </w:t>
      </w:r>
      <w:proofErr w:type="spellStart"/>
      <w:r>
        <w:rPr>
          <w:rtl/>
        </w:rPr>
        <w:t>בקולצ׳סטר</w:t>
      </w:r>
      <w:proofErr w:type="spellEnd"/>
      <w:r>
        <w:rPr>
          <w:rtl/>
        </w:rPr>
        <w:t xml:space="preserve">, לפני שעבר לניו יורק. לפי מאמר עליו </w:t>
      </w:r>
      <w:proofErr w:type="spellStart"/>
      <w:r>
        <w:rPr>
          <w:rtl/>
        </w:rPr>
        <w:t>ב“מורי</w:t>
      </w:r>
      <w:proofErr w:type="spellEnd"/>
      <w:r>
        <w:rPr>
          <w:rtl/>
        </w:rPr>
        <w:t xml:space="preserve"> האומה” מאת הרב ישראל </w:t>
      </w:r>
      <w:proofErr w:type="spellStart"/>
      <w:r>
        <w:rPr>
          <w:rtl/>
        </w:rPr>
        <w:t>שורין</w:t>
      </w:r>
      <w:bookmarkStart w:id="6511" w:name="_fnr4923"/>
      <w:proofErr w:type="spellEnd"/>
      <w:r>
        <w:rPr>
          <w:rStyle w:val="a5"/>
        </w:rPr>
        <w:footnoteReference w:id="4936" w:customMarkFollows="0"/>
      </w:r>
      <w:bookmarkEnd w:id="6511"/>
      <w:r>
        <w:rPr>
          <w:rtl/>
        </w:rPr>
        <w:t xml:space="preserve">, סיפר ר׳ אליעזר </w:t>
      </w:r>
      <w:proofErr w:type="spellStart"/>
      <w:r>
        <w:rPr>
          <w:rtl/>
        </w:rPr>
        <w:t>סילבר</w:t>
      </w:r>
      <w:proofErr w:type="spellEnd"/>
      <w:r>
        <w:rPr>
          <w:rtl/>
        </w:rPr>
        <w:t xml:space="preserve"> ששאל את ר׳ </w:t>
      </w:r>
      <w:proofErr w:type="spellStart"/>
      <w:r>
        <w:rPr>
          <w:rtl/>
        </w:rPr>
        <w:t>חיים־עוזר</w:t>
      </w:r>
      <w:proofErr w:type="spellEnd"/>
      <w:r>
        <w:rPr>
          <w:rtl/>
        </w:rPr>
        <w:t xml:space="preserve"> </w:t>
      </w:r>
      <w:proofErr w:type="spellStart"/>
      <w:r>
        <w:rPr>
          <w:rtl/>
        </w:rPr>
        <w:t>גרודזנסקי</w:t>
      </w:r>
      <w:proofErr w:type="spellEnd"/>
      <w:r>
        <w:rPr>
          <w:rtl/>
        </w:rPr>
        <w:t xml:space="preserve"> מיהו הגאון הגדול ביותר בישיבות, ור׳ </w:t>
      </w:r>
      <w:proofErr w:type="spellStart"/>
      <w:r>
        <w:rPr>
          <w:rtl/>
        </w:rPr>
        <w:t>חיים־עוזר</w:t>
      </w:r>
      <w:proofErr w:type="spellEnd"/>
      <w:r>
        <w:rPr>
          <w:rtl/>
        </w:rPr>
        <w:t xml:space="preserve"> השיב אחרי מחשבה קצרה: ר׳ יעקב(־דוב) ספסל.</w:t>
      </w:r>
    </w:p>
    <w:p w14:paraId="54B6203D" w14:textId="77777777" w:rsidR="00AB3647" w:rsidRDefault="00000000" w:rsidP="007923E9">
      <w:pPr>
        <w:spacing w:after="120" w:line="276" w:lineRule="auto"/>
        <w:ind w:firstLine="283"/>
        <w:jc w:val="both"/>
      </w:pPr>
      <w:r>
        <w:rPr>
          <w:rtl/>
        </w:rPr>
        <w:t>מסופר שם: “בקיץ היה הולך ברחובות ניו יורק בלי קפוטה, עטוף בטלית קטן מעל חולצתו. מעולם לא הפסיק ללמוד: למד בנסיעות, בעל פה או בכתיבת חידושים – המחברת שבה רשם את חידושיו הייתה תמיד בהישג יד – ודמות הזקן הרכון על מחברתו וכותב במהירות מפליאה זכורה היטב לנוסעי קו הרכבת התחתית מנהטן–</w:t>
      </w:r>
      <w:proofErr w:type="spellStart"/>
      <w:r>
        <w:rPr>
          <w:rtl/>
        </w:rPr>
        <w:t>רוקאוויי</w:t>
      </w:r>
      <w:proofErr w:type="spellEnd"/>
      <w:r>
        <w:rPr>
          <w:rtl/>
        </w:rPr>
        <w:t xml:space="preserve">. מסופר שכשבא לאמריקה שכנעוהו ללמוד אנגלית. הביאו לו מילון וובסטר, ובמשך חודש למד את המילון עד שידעו בעל פה. אך כל ימיו הצטער שהסיח דעתו מן התורה למשך חודש”.</w:t>
      </w:r>
    </w:p>
    <w:p w14:paraId="69FF9E39" w14:textId="77777777" w:rsidR="00AB3647" w:rsidRDefault="00000000" w:rsidP="007923E9">
      <w:pPr>
        <w:spacing w:after="120" w:line="276" w:lineRule="auto"/>
        <w:ind w:firstLine="283"/>
        <w:jc w:val="both"/>
      </w:pPr>
      <w:r>
        <w:rPr>
          <w:rtl/>
        </w:rPr>
        <w:t xml:space="preserve">חבריו לישיבה </w:t>
      </w:r>
      <w:proofErr w:type="spellStart"/>
      <w:r>
        <w:rPr>
          <w:rtl/>
        </w:rPr>
        <w:t>בסלבודקה</w:t>
      </w:r>
      <w:proofErr w:type="spellEnd"/>
      <w:r>
        <w:rPr>
          <w:rtl/>
        </w:rPr>
        <w:t xml:space="preserve"> החשיבוהו לצדיק גדול, כפי שמסר ר׳ </w:t>
      </w:r>
      <w:proofErr w:type="spellStart"/>
      <w:r>
        <w:rPr>
          <w:rtl/>
        </w:rPr>
        <w:t>יענקל</w:t>
      </w:r>
      <w:proofErr w:type="spellEnd"/>
      <w:r>
        <w:rPr>
          <w:rtl/>
        </w:rPr>
        <w:t xml:space="preserve"> </w:t>
      </w:r>
      <w:proofErr w:type="spellStart"/>
      <w:r>
        <w:rPr>
          <w:rtl/>
        </w:rPr>
        <w:t>לשינסקי</w:t>
      </w:r>
      <w:bookmarkStart w:id="6512" w:name="_fnr4924"/>
      <w:proofErr w:type="spellEnd"/>
      <w:r>
        <w:rPr>
          <w:rStyle w:val="a5"/>
        </w:rPr>
        <w:footnoteReference w:id="4937" w:customMarkFollows="0"/>
      </w:r>
      <w:bookmarkEnd w:id="6512"/>
      <w:r>
        <w:rPr>
          <w:rtl/>
        </w:rPr>
        <w:t xml:space="preserve">. ר׳ </w:t>
      </w:r>
      <w:proofErr w:type="spellStart"/>
      <w:r>
        <w:rPr>
          <w:rtl/>
        </w:rPr>
        <w:t>יענקל</w:t>
      </w:r>
      <w:proofErr w:type="spellEnd"/>
      <w:r>
        <w:rPr>
          <w:rtl/>
        </w:rPr>
        <w:t>, שהיה מקורב מאוד לראשי ישיבת תורה ודעת בזה אחר זה, סיפר שכאשר חלה ראש הישיבה ר׳ שלמה היימן</w:t>
      </w:r>
      <w:bookmarkStart w:id="6513" w:name="_fnr4925"/>
      <w:r>
        <w:rPr>
          <w:rStyle w:val="a5"/>
        </w:rPr>
        <w:footnoteReference w:id="4938" w:customMarkFollows="0"/>
      </w:r>
      <w:bookmarkEnd w:id="6513"/>
      <w:r>
        <w:rPr>
          <w:rtl/>
        </w:rPr>
        <w:t xml:space="preserve"> בסרטן, ביקש ממנו הרב החולה לפנות אל העילוי </w:t>
      </w:r>
      <w:proofErr w:type="spellStart"/>
      <w:r>
        <w:rPr>
          <w:rtl/>
        </w:rPr>
        <w:t>מווישקי</w:t>
      </w:r>
      <w:proofErr w:type="spellEnd"/>
      <w:r>
        <w:rPr>
          <w:rtl/>
        </w:rPr>
        <w:t xml:space="preserve"> שיתפלל להחלמתו. הדבר מפליא במיוחד, שהרי ר׳ שלמה ידע שר׳ </w:t>
      </w:r>
      <w:proofErr w:type="spellStart"/>
      <w:r>
        <w:rPr>
          <w:rtl/>
        </w:rPr>
        <w:t>יעקב־דוב</w:t>
      </w:r>
      <w:proofErr w:type="spellEnd"/>
      <w:r>
        <w:rPr>
          <w:rtl/>
        </w:rPr>
        <w:t xml:space="preserve"> ספסל מתרחק ממנו, משום שר׳ שלמה הסכים לבוא במקומו של ר׳ דוד </w:t>
      </w:r>
      <w:proofErr w:type="spellStart"/>
      <w:r>
        <w:rPr>
          <w:rtl/>
        </w:rPr>
        <w:t>ליבוביץ</w:t>
      </w:r>
      <w:proofErr w:type="spellEnd"/>
      <w:r>
        <w:rPr>
          <w:rtl/>
        </w:rPr>
        <w:t xml:space="preserve"> – אומנם בעצת ר׳ </w:t>
      </w:r>
      <w:proofErr w:type="spellStart"/>
      <w:r>
        <w:rPr>
          <w:rtl/>
        </w:rPr>
        <w:t>חיים־עוזר</w:t>
      </w:r>
      <w:proofErr w:type="spellEnd"/>
      <w:r>
        <w:rPr>
          <w:rtl/>
        </w:rPr>
        <w:t xml:space="preserve"> </w:t>
      </w:r>
      <w:proofErr w:type="spellStart"/>
      <w:r>
        <w:rPr>
          <w:rtl/>
        </w:rPr>
        <w:t>גרודזנסקי</w:t>
      </w:r>
      <w:proofErr w:type="spellEnd"/>
      <w:r>
        <w:rPr>
          <w:rtl/>
        </w:rPr>
        <w:t xml:space="preserve"> – אחרי שר׳ דוד </w:t>
      </w:r>
      <w:proofErr w:type="spellStart"/>
      <w:r>
        <w:rPr>
          <w:rtl/>
        </w:rPr>
        <w:t>ליבוביץ</w:t>
      </w:r>
      <w:proofErr w:type="spellEnd"/>
      <w:r>
        <w:rPr>
          <w:rtl/>
        </w:rPr>
        <w:t xml:space="preserve"> נאלץ להתפטר מתפקידו בתורה ודעת</w:t>
      </w:r>
      <w:bookmarkStart w:id="6514" w:name="_fnr4926"/>
      <w:r>
        <w:rPr>
          <w:rStyle w:val="a5"/>
        </w:rPr>
        <w:footnoteReference w:id="4939" w:customMarkFollows="0"/>
      </w:r>
      <w:bookmarkEnd w:id="6514"/>
      <w:r>
        <w:rPr>
          <w:rtl/>
        </w:rPr>
        <w:t>.</w:t>
      </w:r>
    </w:p>
    <w:p w14:paraId="0E65D74A" w14:textId="77777777" w:rsidR="00AB3647" w:rsidRDefault="00000000" w:rsidP="007923E9">
      <w:pPr>
        <w:spacing w:after="120" w:line="276" w:lineRule="auto"/>
        <w:ind w:firstLine="283"/>
        <w:jc w:val="both"/>
      </w:pPr>
      <w:r>
        <w:rPr>
          <w:rtl/>
        </w:rPr>
        <w:lastRenderedPageBreak/>
        <w:t xml:space="preserve">ממלא מקומו של ר׳ שלמה, ר׳ ראובן </w:t>
      </w:r>
      <w:proofErr w:type="spellStart"/>
      <w:r>
        <w:rPr>
          <w:rtl/>
        </w:rPr>
        <w:t>גרוזובסקי</w:t>
      </w:r>
      <w:proofErr w:type="spellEnd"/>
      <w:r>
        <w:rPr>
          <w:rtl/>
        </w:rPr>
        <w:t xml:space="preserve">, תלמיד כנסת ישראל וחתנו של ר׳ </w:t>
      </w:r>
      <w:proofErr w:type="spellStart"/>
      <w:r>
        <w:rPr>
          <w:rtl/>
        </w:rPr>
        <w:t>ברוך־בער</w:t>
      </w:r>
      <w:proofErr w:type="spellEnd"/>
      <w:r>
        <w:rPr>
          <w:rtl/>
        </w:rPr>
        <w:t xml:space="preserve"> </w:t>
      </w:r>
      <w:proofErr w:type="spellStart"/>
      <w:r>
        <w:rPr>
          <w:rtl/>
        </w:rPr>
        <w:t>ליבוביץ</w:t>
      </w:r>
      <w:bookmarkStart w:id="6515" w:name="_fnr4927"/>
      <w:proofErr w:type="spellEnd"/>
      <w:r>
        <w:rPr>
          <w:rStyle w:val="a5"/>
        </w:rPr>
        <w:footnoteReference w:id="4940" w:customMarkFollows="0"/>
      </w:r>
      <w:bookmarkEnd w:id="6515"/>
      <w:r>
        <w:rPr>
          <w:rtl/>
        </w:rPr>
        <w:t xml:space="preserve">, שלח אף הוא את ר׳ </w:t>
      </w:r>
      <w:proofErr w:type="spellStart"/>
      <w:r>
        <w:rPr>
          <w:rtl/>
        </w:rPr>
        <w:t>יענקל</w:t>
      </w:r>
      <w:proofErr w:type="spellEnd"/>
      <w:r>
        <w:rPr>
          <w:rtl/>
        </w:rPr>
        <w:t xml:space="preserve"> </w:t>
      </w:r>
      <w:proofErr w:type="spellStart"/>
      <w:r>
        <w:rPr>
          <w:rtl/>
        </w:rPr>
        <w:t>לשינסקי</w:t>
      </w:r>
      <w:proofErr w:type="spellEnd"/>
      <w:r>
        <w:rPr>
          <w:rtl/>
        </w:rPr>
        <w:t xml:space="preserve"> אל ר׳ </w:t>
      </w:r>
      <w:proofErr w:type="spellStart"/>
      <w:r>
        <w:rPr>
          <w:rtl/>
        </w:rPr>
        <w:t>יעקב־דוב</w:t>
      </w:r>
      <w:proofErr w:type="spellEnd"/>
      <w:r>
        <w:rPr>
          <w:rtl/>
        </w:rPr>
        <w:t xml:space="preserve"> ספסל, לבקשו שיתפלל לרפואת הרבנית כשחלתה. הוא הורה </w:t>
      </w:r>
      <w:proofErr w:type="spellStart"/>
      <w:r>
        <w:rPr>
          <w:rtl/>
        </w:rPr>
        <w:t>לר</w:t>
      </w:r>
      <w:proofErr w:type="spellEnd"/>
      <w:r>
        <w:rPr>
          <w:rtl/>
        </w:rPr>
        <w:t xml:space="preserve">׳ </w:t>
      </w:r>
      <w:proofErr w:type="spellStart"/>
      <w:r>
        <w:rPr>
          <w:rtl/>
        </w:rPr>
        <w:t>יענקל</w:t>
      </w:r>
      <w:proofErr w:type="spellEnd"/>
      <w:r>
        <w:rPr>
          <w:rtl/>
        </w:rPr>
        <w:t xml:space="preserve"> לחצות את גשר </w:t>
      </w:r>
      <w:proofErr w:type="spellStart"/>
      <w:r>
        <w:rPr>
          <w:rtl/>
        </w:rPr>
        <w:t>וויליאמסבורג</w:t>
      </w:r>
      <w:proofErr w:type="spellEnd"/>
      <w:r>
        <w:rPr>
          <w:rtl/>
        </w:rPr>
        <w:t xml:space="preserve"> אל אגודת אנשי מעמד</w:t>
      </w:r>
      <w:bookmarkStart w:id="6516" w:name="_fnr4928"/>
      <w:r>
        <w:rPr>
          <w:rStyle w:val="a5"/>
        </w:rPr>
        <w:footnoteReference w:id="4941" w:customMarkFollows="0"/>
      </w:r>
      <w:bookmarkEnd w:id="6516"/>
      <w:r>
        <w:rPr>
          <w:rtl/>
        </w:rPr>
        <w:t xml:space="preserve">, ולומר לעילוי </w:t>
      </w:r>
      <w:proofErr w:type="spellStart"/>
      <w:r>
        <w:rPr>
          <w:rtl/>
        </w:rPr>
        <w:t>מווישקי</w:t>
      </w:r>
      <w:proofErr w:type="spellEnd"/>
      <w:r>
        <w:rPr>
          <w:rtl/>
        </w:rPr>
        <w:t xml:space="preserve"> “בדיוק את המילים האלה: בתו של הרב חולה”.</w:t>
      </w:r>
    </w:p>
    <w:p w14:paraId="7400D88B" w14:textId="77777777" w:rsidR="00AB3647" w:rsidRDefault="00000000" w:rsidP="007923E9">
      <w:pPr>
        <w:spacing w:after="120" w:line="276" w:lineRule="auto"/>
        <w:ind w:firstLine="283"/>
        <w:jc w:val="both"/>
      </w:pPr>
      <w:r>
        <w:rPr>
          <w:rtl/>
        </w:rPr>
        <w:t>ר׳ ישראל ברגשטיין, מחותנו של בן העילוי, מסר</w:t>
      </w:r>
      <w:bookmarkStart w:id="6517" w:name="_fnr4929"/>
      <w:r>
        <w:rPr>
          <w:rStyle w:val="a5"/>
        </w:rPr>
        <w:footnoteReference w:id="4942" w:customMarkFollows="0"/>
      </w:r>
      <w:bookmarkEnd w:id="6517"/>
      <w:r>
        <w:rPr>
          <w:rtl/>
        </w:rPr>
        <w:t xml:space="preserve"> בשם אבי שבאירופה היה ר׳ </w:t>
      </w:r>
      <w:proofErr w:type="spellStart"/>
      <w:r>
        <w:rPr>
          <w:rtl/>
        </w:rPr>
        <w:t>יעקב־דוב</w:t>
      </w:r>
      <w:proofErr w:type="spellEnd"/>
      <w:r>
        <w:rPr>
          <w:rtl/>
        </w:rPr>
        <w:t xml:space="preserve"> ספסל נוסע מגדול לגדול כדי לשוחח בדברי תורה, </w:t>
      </w:r>
      <w:proofErr w:type="spellStart"/>
      <w:r>
        <w:rPr>
          <w:rtl/>
        </w:rPr>
        <w:t>ו“כשבא</w:t>
      </w:r>
      <w:proofErr w:type="spellEnd"/>
      <w:r>
        <w:rPr>
          <w:rtl/>
        </w:rPr>
        <w:t xml:space="preserve"> לבית ר׳ חיים </w:t>
      </w:r>
      <w:proofErr w:type="spellStart"/>
      <w:r>
        <w:rPr>
          <w:rtl/>
        </w:rPr>
        <w:t>סולובייצ׳יק</w:t>
      </w:r>
      <w:proofErr w:type="spellEnd"/>
      <w:r>
        <w:rPr>
          <w:rtl/>
        </w:rPr>
        <w:t xml:space="preserve">, פשוט נשכב העילוי </w:t>
      </w:r>
      <w:proofErr w:type="spellStart"/>
      <w:r>
        <w:rPr>
          <w:rtl/>
        </w:rPr>
        <w:t>מווישקי</w:t>
      </w:r>
      <w:proofErr w:type="spellEnd"/>
      <w:r>
        <w:rPr>
          <w:rtl/>
        </w:rPr>
        <w:t xml:space="preserve"> על הספה לישון ולנוח מן הדרך הארוכה”. לפי “מורי האומה”, היה ר׳ </w:t>
      </w:r>
      <w:proofErr w:type="spellStart"/>
      <w:r>
        <w:rPr>
          <w:rtl/>
        </w:rPr>
        <w:t>יעקב־דוב</w:t>
      </w:r>
      <w:proofErr w:type="spellEnd"/>
      <w:r>
        <w:rPr>
          <w:rtl/>
        </w:rPr>
        <w:t xml:space="preserve"> ספסל הולך ברגל עשרות קילומטרים לבתי גדולי תורה, כדי לעיין בספרים נדירים או לשוחח בדברי תורה. הוא למד </w:t>
      </w:r>
      <w:proofErr w:type="spellStart"/>
      <w:r>
        <w:rPr>
          <w:rtl/>
        </w:rPr>
        <w:t>בטלז</w:t>
      </w:r>
      <w:proofErr w:type="spellEnd"/>
      <w:r>
        <w:rPr>
          <w:rtl/>
        </w:rPr>
        <w:t xml:space="preserve">, </w:t>
      </w:r>
      <w:proofErr w:type="spellStart"/>
      <w:r>
        <w:rPr>
          <w:rtl/>
        </w:rPr>
        <w:t>בסלבודקה</w:t>
      </w:r>
      <w:proofErr w:type="spellEnd"/>
      <w:r>
        <w:rPr>
          <w:rtl/>
        </w:rPr>
        <w:t xml:space="preserve">, </w:t>
      </w:r>
      <w:proofErr w:type="spellStart"/>
      <w:r>
        <w:rPr>
          <w:rtl/>
        </w:rPr>
        <w:t>במיר</w:t>
      </w:r>
      <w:proofErr w:type="spellEnd"/>
      <w:r>
        <w:rPr>
          <w:rtl/>
        </w:rPr>
        <w:t xml:space="preserve">, </w:t>
      </w:r>
      <w:proofErr w:type="spellStart"/>
      <w:r>
        <w:rPr>
          <w:rtl/>
        </w:rPr>
        <w:t>בוולוז׳ין</w:t>
      </w:r>
      <w:proofErr w:type="spellEnd"/>
      <w:r>
        <w:rPr>
          <w:rtl/>
        </w:rPr>
        <w:t xml:space="preserve"> </w:t>
      </w:r>
      <w:proofErr w:type="spellStart"/>
      <w:r>
        <w:rPr>
          <w:rtl/>
        </w:rPr>
        <w:t>ובראדין</w:t>
      </w:r>
      <w:proofErr w:type="spellEnd"/>
      <w:r>
        <w:rPr>
          <w:rtl/>
        </w:rPr>
        <w:t>. מסופר שם</w:t>
      </w:r>
      <w:bookmarkStart w:id="6518" w:name="_fnr4930"/>
      <w:r>
        <w:rPr>
          <w:rStyle w:val="a5"/>
        </w:rPr>
        <w:footnoteReference w:id="4943" w:customMarkFollows="0"/>
      </w:r>
      <w:bookmarkEnd w:id="6518"/>
      <w:r>
        <w:rPr>
          <w:rtl/>
        </w:rPr>
        <w:t xml:space="preserve">: “ר׳ </w:t>
      </w:r>
      <w:proofErr w:type="spellStart"/>
      <w:r>
        <w:rPr>
          <w:rtl/>
        </w:rPr>
        <w:t>יוסף־אליהו</w:t>
      </w:r>
      <w:proofErr w:type="spellEnd"/>
      <w:r>
        <w:rPr>
          <w:rtl/>
        </w:rPr>
        <w:t xml:space="preserve"> </w:t>
      </w:r>
      <w:proofErr w:type="spellStart"/>
      <w:r>
        <w:rPr>
          <w:rtl/>
        </w:rPr>
        <w:t>הענקין</w:t>
      </w:r>
      <w:proofErr w:type="spellEnd"/>
      <w:r>
        <w:rPr>
          <w:rtl/>
        </w:rPr>
        <w:t xml:space="preserve"> העיד: ‘ר׳ </w:t>
      </w:r>
      <w:proofErr w:type="spellStart"/>
      <w:r>
        <w:rPr>
          <w:rtl/>
        </w:rPr>
        <w:t>יעקב־דוב</w:t>
      </w:r>
      <w:proofErr w:type="spellEnd"/>
      <w:r>
        <w:rPr>
          <w:rtl/>
        </w:rPr>
        <w:t xml:space="preserve"> ספסל עבר חמישים או שישים דפי גמרא בשעה!’”</w:t>
      </w:r>
    </w:p>
    <w:p w14:paraId="5F804235" w14:textId="77777777" w:rsidR="00AB3647" w:rsidRDefault="00000000" w:rsidP="007923E9">
      <w:pPr>
        <w:spacing w:after="120" w:line="276" w:lineRule="auto"/>
        <w:ind w:firstLine="283"/>
        <w:jc w:val="both"/>
      </w:pPr>
      <w:bookmarkStart w:id="6519" w:name="pr_b_2700"/>
      <w:bookmarkEnd w:id="6519"/>
      <w:r>
        <w:rPr>
          <w:rtl/>
        </w:rPr>
        <w:t xml:space="preserve">ר׳ </w:t>
      </w:r>
      <w:proofErr w:type="spellStart"/>
      <w:r>
        <w:rPr>
          <w:rtl/>
        </w:rPr>
        <w:t>יעקב־דוב</w:t>
      </w:r>
      <w:proofErr w:type="spellEnd"/>
      <w:r>
        <w:rPr>
          <w:rtl/>
        </w:rPr>
        <w:t xml:space="preserve"> ספסל נפטר </w:t>
      </w:r>
      <w:proofErr w:type="spellStart"/>
      <w:r>
        <w:rPr>
          <w:rtl/>
        </w:rPr>
        <w:t>בתשכ״ח</w:t>
      </w:r>
      <w:proofErr w:type="spellEnd"/>
      <w:r>
        <w:rPr>
          <w:rtl/>
        </w:rPr>
        <w:t xml:space="preserve">, בגיל שמונים, וחידושי תורתו יצאו לאור בידי בנו ר׳ </w:t>
      </w:r>
      <w:proofErr w:type="spellStart"/>
      <w:r>
        <w:rPr>
          <w:rtl/>
        </w:rPr>
        <w:t>יוסף־שלמה</w:t>
      </w:r>
      <w:proofErr w:type="spellEnd"/>
      <w:r>
        <w:rPr>
          <w:rtl/>
        </w:rPr>
        <w:t xml:space="preserve"> </w:t>
      </w:r>
      <w:proofErr w:type="spellStart"/>
      <w:r>
        <w:rPr>
          <w:rtl/>
        </w:rPr>
        <w:t>ב“ספר</w:t>
      </w:r>
      <w:proofErr w:type="spellEnd"/>
      <w:r>
        <w:rPr>
          <w:rtl/>
        </w:rPr>
        <w:t xml:space="preserve"> דברי יעקב”. ר׳ </w:t>
      </w:r>
      <w:proofErr w:type="spellStart"/>
      <w:r>
        <w:rPr>
          <w:rtl/>
        </w:rPr>
        <w:t>יוסף־שלמה</w:t>
      </w:r>
      <w:proofErr w:type="spellEnd"/>
      <w:r>
        <w:rPr>
          <w:rtl/>
        </w:rPr>
        <w:t xml:space="preserve"> סיפר לי</w:t>
      </w:r>
      <w:bookmarkStart w:id="6520" w:name="_fnr4931"/>
      <w:r>
        <w:rPr>
          <w:rStyle w:val="a5"/>
        </w:rPr>
        <w:footnoteReference w:id="4944" w:customMarkFollows="0"/>
      </w:r>
      <w:bookmarkEnd w:id="6520"/>
      <w:r>
        <w:rPr>
          <w:rtl/>
        </w:rPr>
        <w:t>: “אביך הספיד את אבי ובכה מרה, מפני שהיה מקניט אותו כשהלכו לשחות יחד בצעירותם – שניהם היו שחיינים גדולים. משפחתי תכננה לקבור אותו בארץ ישראל, ולכן הציע מישהו בהלוויה שאשאל את אביך אם עליי ללוות את הארון. קיבלתי תשובה שהיא משחק מילים בשמות האב והבן: ‘הקב״ה הבטיח ליעקב, “יוסף ישית ידו על עיניך” [</w:t>
      </w:r>
      <w:proofErr w:type="spellStart"/>
      <w:r>
        <w:rPr>
          <w:rtl/>
        </w:rPr>
        <w:t>יקברך</w:t>
      </w:r>
      <w:proofErr w:type="spellEnd"/>
      <w:r>
        <w:rPr>
          <w:rtl/>
        </w:rPr>
        <w:t>]</w:t>
      </w:r>
      <w:bookmarkStart w:id="6521" w:name="_fnr4932"/>
      <w:r>
        <w:rPr>
          <w:rStyle w:val="a5"/>
        </w:rPr>
        <w:footnoteReference w:id="4945" w:customMarkFollows="0"/>
      </w:r>
      <w:bookmarkEnd w:id="6521"/>
      <w:r>
        <w:rPr>
          <w:rtl/>
        </w:rPr>
        <w:t xml:space="preserve">’”. לפי הרב ברגשטיין, גם ר׳ </w:t>
      </w:r>
      <w:proofErr w:type="spellStart"/>
      <w:r>
        <w:rPr>
          <w:rtl/>
        </w:rPr>
        <w:t>יעקב־דוב</w:t>
      </w:r>
      <w:proofErr w:type="spellEnd"/>
      <w:r>
        <w:rPr>
          <w:rtl/>
        </w:rPr>
        <w:t xml:space="preserve"> עצמו היה מתייעץ לפעמים עם רבנו.</w:t>
      </w:r>
    </w:p>
    <w:bookmarkStart w:id="6522" w:name="b5_excD"/>
    <w:p w14:paraId="5678D2E1" w14:textId="77777777" w:rsidR="00AB3647" w:rsidRDefault="00000000" w:rsidP="007923E9">
      <w:pPr>
        <w:pStyle w:val="3"/>
        <w:pageBreakBefore w:val="0"/>
        <w:spacing w:line="276" w:lineRule="auto"/>
      </w:pPr>
      <w:r>
        <w:fldChar w:fldCharType="begin" w:dirty="true"/>
      </w:r>
      <w:r>
        <w:rPr>
          <w:rtl w:val="0"/>
        </w:rPr>
        <w:instrText>HYPERLINK \l "b5_note59</w:instrText>
      </w:r>
      <w:r>
        <w:instrText>"</w:instrText>
      </w:r>
      <w:r>
        <w:fldChar w:fldCharType="separate"/>
      </w:r>
      <w:r>
        <w:t>נספח ד</w:t>
      </w:r>
      <w:r>
        <w:fldChar w:fldCharType="end"/>
      </w:r>
      <w:bookmarkEnd w:id="6522"/>
    </w:p>
    <w:p w14:paraId="743EE397" w14:textId="77777777" w:rsidR="00AB3647" w:rsidRDefault="00000000" w:rsidP="007923E9">
      <w:pPr>
        <w:pStyle w:val="af"/>
        <w:spacing w:line="276" w:lineRule="auto"/>
        <w:ind w:firstLine="340"/>
      </w:pPr>
      <w:r>
        <w:t xml:space="preserve">על טעם אפשרי להחזרת רבנו </w:t>
      </w:r>
      <w:proofErr w:type="spellStart"/>
      <w:r>
        <w:t>ממאלטש</w:t>
      </w:r>
      <w:proofErr w:type="spellEnd"/>
      <w:r>
        <w:t xml:space="preserve"> בידי הסבא ועל ויתורו של הרב על האמת לטובת תלמידיו</w:t>
      </w:r>
    </w:p>
    <w:p w14:paraId="2BAE209A" w14:textId="77777777" w:rsidR="00AB3647" w:rsidRDefault="00000000" w:rsidP="007923E9">
      <w:pPr>
        <w:pStyle w:val="4"/>
        <w:spacing w:line="276" w:lineRule="auto"/>
      </w:pPr>
      <w:r>
        <w:t>· הפסקה הראשונה ·</w:t>
      </w:r>
    </w:p>
    <w:p w14:paraId="52257A74" w14:textId="77777777" w:rsidR="00AB3647" w:rsidRDefault="00000000" w:rsidP="007923E9">
      <w:pPr>
        <w:pStyle w:val="5"/>
        <w:spacing w:line="276" w:lineRule="auto"/>
      </w:pPr>
      <w:r>
        <w:t xml:space="preserve">הסבא דואג לגורל רבנו </w:t>
      </w:r>
      <w:proofErr w:type="spellStart"/>
      <w:r>
        <w:t>במאלטש</w:t>
      </w:r>
      <w:proofErr w:type="spellEnd"/>
      <w:r>
        <w:t xml:space="preserve"> – רבנו רחב אופקים – הוא נזכר במגידים – יש לו דרך </w:t>
      </w:r>
      <w:proofErr w:type="spellStart"/>
      <w:r>
        <w:t>לא־רגילה</w:t>
      </w:r>
      <w:proofErr w:type="spellEnd"/>
      <w:r>
        <w:t xml:space="preserve"> למדוד בני אדם – ר׳ שאול ליברמן רואה עצמו תלמיד ר׳ </w:t>
      </w:r>
      <w:proofErr w:type="spellStart"/>
      <w:r>
        <w:t>דוד־טעביל</w:t>
      </w:r>
      <w:proofErr w:type="spellEnd"/>
      <w:r>
        <w:t xml:space="preserve"> </w:t>
      </w:r>
      <w:proofErr w:type="spellStart"/>
      <w:r>
        <w:t>דינובסקי</w:t>
      </w:r>
      <w:proofErr w:type="spellEnd"/>
    </w:p>
    <w:p w14:paraId="02D78B10" w14:textId="10C1C57B" w:rsidR="00AB3647" w:rsidRDefault="00000000" w:rsidP="007923E9">
      <w:pPr>
        <w:spacing w:after="120" w:line="276" w:lineRule="auto"/>
        <w:ind w:firstLine="283"/>
        <w:jc w:val="both"/>
      </w:pPr>
      <w:r>
        <w:rPr>
          <w:rtl/>
        </w:rPr>
        <w:t xml:space="preserve">על הבטחת הסבא למצוא לו חברותא מצוינת סיפר אבי לנכדו ר׳ יצחק </w:t>
      </w:r>
      <w:proofErr w:type="spellStart"/>
      <w:r>
        <w:rPr>
          <w:rtl/>
        </w:rPr>
        <w:t>שורין</w:t>
      </w:r>
      <w:bookmarkStart w:id="6523" w:name="_fnr4933"/>
      <w:proofErr w:type="spellEnd"/>
      <w:r>
        <w:rPr>
          <w:rStyle w:val="a5"/>
        </w:rPr>
        <w:footnoteReference w:id="4946" w:customMarkFollows="0"/>
      </w:r>
      <w:bookmarkEnd w:id="6523"/>
      <w:r>
        <w:rPr>
          <w:rtl/>
        </w:rPr>
        <w:t xml:space="preserve">, והוסיף שכשחזר </w:t>
      </w:r>
      <w:proofErr w:type="spellStart"/>
      <w:r>
        <w:rPr>
          <w:rtl/>
        </w:rPr>
        <w:t>לסלבודקה</w:t>
      </w:r>
      <w:proofErr w:type="spellEnd"/>
      <w:r>
        <w:rPr>
          <w:rtl/>
        </w:rPr>
        <w:t xml:space="preserve"> לא חיכה לו שום חברותא: “לא דובים ולא יער</w:t>
      </w:r>
      <w:bookmarkStart w:id="6524" w:name="_fnr4934"/>
      <w:r>
        <w:rPr>
          <w:rStyle w:val="a5"/>
        </w:rPr>
        <w:footnoteReference w:id="4947" w:customMarkFollows="0"/>
      </w:r>
      <w:bookmarkEnd w:id="6524"/>
      <w:r>
        <w:rPr>
          <w:rtl/>
        </w:rPr>
        <w:t xml:space="preserve">”, הכריז – כלומר, להבטחת הסבא לא היה שום יסוד. נראה שהסבא נקט תחבולה כדי להבטיח שרבנו יחזור </w:t>
      </w:r>
      <w:r>
        <w:rPr>
          <w:rtl/>
        </w:rPr>
        <w:lastRenderedPageBreak/>
        <w:t>לכנסת ישראל</w:t>
      </w:r>
      <w:bookmarkStart w:id="6525" w:name="_fnr4935"/>
      <w:r>
        <w:rPr>
          <w:rStyle w:val="a5"/>
        </w:rPr>
        <w:footnoteReference w:id="4948" w:customMarkFollows="0"/>
      </w:r>
      <w:bookmarkEnd w:id="6525"/>
      <w:r>
        <w:rPr>
          <w:rtl/>
        </w:rPr>
        <w:t>. כל זה ראוי לציון משלוש בחינות. ראשית, הסבא חשב עליו אף שלא היה לנגד עיניו, ואף שהישיבה הייתה מלאה באותה שעה תלמידים מבריקים</w:t>
      </w:r>
      <w:bookmarkStart w:id="6526" w:name="_fnr4936"/>
      <w:r>
        <w:rPr>
          <w:rStyle w:val="a5"/>
        </w:rPr>
        <w:footnoteReference w:id="4949" w:customMarkFollows="0"/>
      </w:r>
      <w:bookmarkEnd w:id="6526"/>
      <w:r>
        <w:rPr>
          <w:rtl/>
        </w:rPr>
        <w:t xml:space="preserve">. שנית, ההודעה שסודרה בשבילו חברותא רומזת רמז חזק שהסבא הבין – אחרי שהחליט במהירות לחלץ את אבי מן המבוי הסתום </w:t>
      </w:r>
      <w:proofErr w:type="spellStart"/>
      <w:r>
        <w:rPr>
          <w:rtl/>
        </w:rPr>
        <w:t>בסלבודקה</w:t>
      </w:r>
      <w:proofErr w:type="spellEnd"/>
      <w:r>
        <w:rPr>
          <w:rtl/>
        </w:rPr>
        <w:t xml:space="preserve"> ולשלחו משם – שבעיית החברותא היא שעמדה מאחורי חוסר שביעות רצונו של רבנו, והיא שהביאה לבטלתו. אבי עצמו לא עמד על כך (ראה הערה </w:t>
      </w:r>
      <w:r>
        <w:rPr>
          <w:rtl/>
        </w:rPr>
        <w:fldChar w:fldCharType="begin" w:dirty="true"/>
      </w:r>
      <w:r>
        <w:rPr>
          <w:rtl/>
        </w:rPr>
        <w:instrText xml:space="preserve"> REF b5_note21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21</w:t>
      </w:r>
      <w:r>
        <w:rPr>
          <w:rtl/>
        </w:rPr>
        <w:fldChar w:fldCharType="end"/>
      </w:r>
      <w:r>
        <w:rPr>
          <w:rtl/>
        </w:rPr>
        <w:t xml:space="preserve"> לעיל).</w:t>
      </w:r>
    </w:p>
    <w:p w14:paraId="21FE8CE7" w14:textId="77777777" w:rsidR="00AB3647" w:rsidRDefault="00000000" w:rsidP="007923E9">
      <w:pPr>
        <w:spacing w:after="120" w:line="276" w:lineRule="auto"/>
        <w:ind w:firstLine="283"/>
        <w:jc w:val="both"/>
      </w:pPr>
      <w:r>
        <w:rPr>
          <w:rtl/>
        </w:rPr>
        <w:t>שלישית, הצד המפתיע ביותר בתמרון הסבא היה השימוש ב</w:t>
      </w:r>
      <w:r>
        <w:rPr>
          <w:b/>
          <w:bCs/>
          <w:rtl/>
        </w:rPr>
        <w:t>מרמה</w:t>
      </w:r>
      <w:bookmarkStart w:id="6527" w:name="_fnr4937"/>
      <w:r>
        <w:rPr>
          <w:rStyle w:val="a5"/>
        </w:rPr>
        <w:footnoteReference w:id="4950" w:customMarkFollows="0"/>
      </w:r>
      <w:bookmarkEnd w:id="6527"/>
      <w:r>
        <w:rPr>
          <w:rtl/>
        </w:rPr>
        <w:t xml:space="preserve"> כדי להבטיח את שובו של אבי, ולנוכח זה ודאי חש הסבא שחובה להחזירו תחת חסותו בכל מחיר. ברור שהסבא ידע (באמצעות “מערכת הדואר”</w:t>
      </w:r>
      <w:bookmarkStart w:id="6528" w:name="_fnr4938"/>
      <w:r>
        <w:rPr>
          <w:rStyle w:val="a5"/>
        </w:rPr>
        <w:footnoteReference w:id="4951" w:customMarkFollows="0"/>
      </w:r>
      <w:bookmarkEnd w:id="6528"/>
      <w:r>
        <w:rPr>
          <w:rtl/>
        </w:rPr>
        <w:t xml:space="preserve">) שאבי אוהב מאוד את ישיבת </w:t>
      </w:r>
      <w:proofErr w:type="spellStart"/>
      <w:r>
        <w:rPr>
          <w:rtl/>
        </w:rPr>
        <w:t>מאלטש</w:t>
      </w:r>
      <w:proofErr w:type="spellEnd"/>
      <w:r>
        <w:rPr>
          <w:rtl/>
        </w:rPr>
        <w:t xml:space="preserve">, ושיש לפתותו כדי שיחזור </w:t>
      </w:r>
      <w:proofErr w:type="spellStart"/>
      <w:r>
        <w:rPr>
          <w:rtl/>
        </w:rPr>
        <w:t>לסלבודקה</w:t>
      </w:r>
      <w:proofErr w:type="spellEnd"/>
      <w:r>
        <w:rPr>
          <w:rtl/>
        </w:rPr>
        <w:t xml:space="preserve">. מסתבר שלנוכח רוחב תחומי העניין של רבנו וסובלנותו לרעיונות, חש הסבא שאווירת תורה מגבילה יותר ודמויות מופת שמרניות יועילו לחינוכו יותר מסביבת </w:t>
      </w:r>
      <w:proofErr w:type="spellStart"/>
      <w:r>
        <w:rPr>
          <w:rtl/>
        </w:rPr>
        <w:t>מאלטש</w:t>
      </w:r>
      <w:proofErr w:type="spellEnd"/>
      <w:r>
        <w:rPr>
          <w:rtl/>
        </w:rPr>
        <w:t xml:space="preserve"> וממה ששני ראשי ישיבתה ייצגו</w:t>
      </w:r>
      <w:bookmarkStart w:id="6529" w:name="_fnr4939"/>
      <w:r>
        <w:rPr>
          <w:rStyle w:val="a5"/>
        </w:rPr>
        <w:footnoteReference w:id="4952" w:customMarkFollows="0"/>
      </w:r>
      <w:bookmarkEnd w:id="6529"/>
      <w:r>
        <w:rPr>
          <w:rtl/>
        </w:rPr>
        <w:t>.</w:t>
      </w:r>
    </w:p>
    <w:p w14:paraId="3D703437" w14:textId="77777777" w:rsidR="00AB3647" w:rsidRDefault="00000000" w:rsidP="007923E9">
      <w:pPr>
        <w:spacing w:after="120" w:line="276" w:lineRule="auto"/>
        <w:ind w:firstLine="283"/>
        <w:jc w:val="both"/>
      </w:pPr>
      <w:r>
        <w:rPr>
          <w:rtl/>
        </w:rPr>
        <w:t xml:space="preserve">שתי דוגמאות מעניינות לרוחב אופקיו של אבי הביא תלמידו ר׳ </w:t>
      </w:r>
      <w:proofErr w:type="spellStart"/>
      <w:r>
        <w:rPr>
          <w:rtl/>
        </w:rPr>
        <w:t>יענקל</w:t>
      </w:r>
      <w:proofErr w:type="spellEnd"/>
      <w:r>
        <w:rPr>
          <w:rtl/>
        </w:rPr>
        <w:t xml:space="preserve"> פולק</w:t>
      </w:r>
      <w:bookmarkStart w:id="6530" w:name="_fnr4940"/>
      <w:r>
        <w:rPr>
          <w:rStyle w:val="a5"/>
        </w:rPr>
        <w:footnoteReference w:id="4953" w:customMarkFollows="0"/>
      </w:r>
      <w:bookmarkEnd w:id="6530"/>
      <w:r>
        <w:rPr>
          <w:rtl/>
        </w:rPr>
        <w:t xml:space="preserve">, אחת משנות בגרותו של רבנו ואחת מנעוריו: “פעם, כשאביך עוד היה ראש ישיבת תורה ודעת, סיפרתי לו שהלכתי לשמוע את השיעור השנתי של ר׳ </w:t>
      </w:r>
      <w:proofErr w:type="spellStart"/>
      <w:r>
        <w:rPr>
          <w:rtl/>
        </w:rPr>
        <w:t xml:space="preserve">יוסף־דב</w:t>
      </w:r>
      <w:proofErr w:type="spellEnd"/>
      <w:r>
        <w:rPr>
          <w:rtl/>
        </w:rPr>
        <w:t xml:space="preserve"> </w:t>
      </w:r>
      <w:proofErr w:type="spellStart"/>
      <w:r>
        <w:rPr>
          <w:rtl/>
        </w:rPr>
        <w:t>סולובייצ׳יק</w:t>
      </w:r>
      <w:proofErr w:type="spellEnd"/>
      <w:r>
        <w:rPr>
          <w:rtl/>
        </w:rPr>
        <w:t xml:space="preserve"> [שבחוגי מתיבתא תורה ודעת נמנעו ממנו] ביום השנה לפטירת אביו, ר׳ משה, ותיארתי כמה עצום היה הקהל. ראש הישיבה השיב: ‘זה קידוש השם, שעולם התורה הולך לשמוע נכד של ר׳ חיים </w:t>
      </w:r>
      <w:proofErr w:type="spellStart"/>
      <w:r>
        <w:rPr>
          <w:rtl/>
        </w:rPr>
        <w:t>סולובייצ׳יק</w:t>
      </w:r>
      <w:proofErr w:type="spellEnd"/>
      <w:r>
        <w:rPr>
          <w:rtl/>
        </w:rPr>
        <w:t xml:space="preserve"> מכבד בן של ר׳ חיים’. בפעם אחרת סיפר לי ראש הישיבה שכבחור צעיר התגנב מן הישיבה וחצה לקובנה לשמוע את ר׳ </w:t>
      </w:r>
      <w:proofErr w:type="spellStart"/>
      <w:r>
        <w:rPr>
          <w:rtl/>
        </w:rPr>
        <w:t>שלום־בצלאל</w:t>
      </w:r>
      <w:proofErr w:type="spellEnd"/>
      <w:r>
        <w:rPr>
          <w:rtl/>
        </w:rPr>
        <w:t xml:space="preserve"> </w:t>
      </w:r>
      <w:proofErr w:type="spellStart"/>
      <w:r>
        <w:rPr>
          <w:rtl/>
        </w:rPr>
        <w:t>צדוקוב</w:t>
      </w:r>
      <w:proofErr w:type="spellEnd"/>
      <w:r>
        <w:rPr>
          <w:rtl/>
        </w:rPr>
        <w:t xml:space="preserve">, נואם ציוני [שר׳ לייזר גורדון לא הרשה לו לדבר </w:t>
      </w:r>
      <w:proofErr w:type="spellStart"/>
      <w:r>
        <w:rPr>
          <w:rtl/>
        </w:rPr>
        <w:t>בטלז</w:t>
      </w:r>
      <w:proofErr w:type="spellEnd"/>
      <w:r>
        <w:rPr>
          <w:rtl/>
        </w:rPr>
        <w:t>]. אביך תיאר את הנואם כמי שידע לצייר מעשה תלמודי כך שהסיפור קם לתחייה, ואף זכר את נושא הדרשה שנשא אז – על שמעון אחי עזריה במסכת סוטה</w:t>
      </w:r>
      <w:bookmarkStart w:id="6531" w:name="_fnr4941"/>
      <w:r>
        <w:rPr>
          <w:rStyle w:val="a5"/>
        </w:rPr>
        <w:footnoteReference w:id="4954" w:customMarkFollows="0"/>
      </w:r>
      <w:bookmarkStart w:id="6532" w:name="_fnr4942"/>
      <w:bookmarkEnd w:id="6531"/>
      <w:r>
        <w:rPr>
          <w:rStyle w:val="a5"/>
        </w:rPr>
        <w:footnoteReference w:id="4955" w:customMarkFollows="0"/>
      </w:r>
      <w:bookmarkEnd w:id="6532"/>
      <w:r>
        <w:rPr>
          <w:rtl/>
        </w:rPr>
        <w:t xml:space="preserve">. למעשה, ראש הישיבה נהג כבוד באשתי, מפני </w:t>
      </w:r>
      <w:proofErr w:type="spellStart"/>
      <w:r>
        <w:rPr>
          <w:rtl/>
        </w:rPr>
        <w:t>שצדוקוב</w:t>
      </w:r>
      <w:proofErr w:type="spellEnd"/>
      <w:r>
        <w:rPr>
          <w:rtl/>
        </w:rPr>
        <w:t xml:space="preserve"> היה אבי סבה מצד אמה”.</w:t>
      </w:r>
    </w:p>
    <w:p w14:paraId="148FF89A" w14:textId="77777777" w:rsidR="00AB3647" w:rsidRDefault="00000000" w:rsidP="007923E9">
      <w:pPr>
        <w:spacing w:after="120" w:line="276" w:lineRule="auto"/>
        <w:ind w:firstLine="283"/>
        <w:jc w:val="both"/>
      </w:pPr>
      <w:bookmarkStart w:id="6533" w:name="pr_b_2708"/>
      <w:bookmarkEnd w:id="6533"/>
      <w:r>
        <w:rPr>
          <w:rtl/>
        </w:rPr>
        <w:t xml:space="preserve">למגיד טוב היה תמיד פירוש חד, שנחרת בזיכרון, לפסוק או למאמר חז״ל. למשל, </w:t>
      </w:r>
      <w:proofErr w:type="spellStart"/>
      <w:r>
        <w:rPr>
          <w:rtl/>
        </w:rPr>
        <w:t>ב“זכרונות</w:t>
      </w:r>
      <w:proofErr w:type="spellEnd"/>
      <w:r>
        <w:rPr>
          <w:rtl/>
        </w:rPr>
        <w:t xml:space="preserve"> מתוך עברי”</w:t>
      </w:r>
      <w:bookmarkStart w:id="6534" w:name="_fnr4943"/>
      <w:r>
        <w:rPr>
          <w:rStyle w:val="a5"/>
        </w:rPr>
        <w:footnoteReference w:id="4956" w:customMarkFollows="0"/>
      </w:r>
      <w:bookmarkEnd w:id="6534"/>
      <w:r>
        <w:rPr>
          <w:rtl/>
        </w:rPr>
        <w:t xml:space="preserve"> מספר המחבר ששמע </w:t>
      </w:r>
      <w:proofErr w:type="spellStart"/>
      <w:r>
        <w:rPr>
          <w:rtl/>
        </w:rPr>
        <w:t>בסמורגון</w:t>
      </w:r>
      <w:proofErr w:type="spellEnd"/>
      <w:r>
        <w:rPr>
          <w:rtl/>
        </w:rPr>
        <w:t xml:space="preserve">, בהיותו בן עשר, את “המגיד מקלם” (כנראה ר׳ </w:t>
      </w:r>
      <w:proofErr w:type="spellStart"/>
      <w:r>
        <w:rPr>
          <w:rtl/>
        </w:rPr>
        <w:t>שלום־בצלאל</w:t>
      </w:r>
      <w:proofErr w:type="spellEnd"/>
      <w:r>
        <w:rPr>
          <w:rtl/>
        </w:rPr>
        <w:t xml:space="preserve"> </w:t>
      </w:r>
      <w:proofErr w:type="spellStart"/>
      <w:r>
        <w:rPr>
          <w:rtl/>
        </w:rPr>
        <w:t>צדוקוב</w:t>
      </w:r>
      <w:proofErr w:type="spellEnd"/>
      <w:r>
        <w:rPr>
          <w:rtl/>
        </w:rPr>
        <w:t xml:space="preserve"> הנזכר לעיל) מפרש את הפסוק “ויקרבו ימי דוד למות ויצו את שלמה בנו </w:t>
      </w:r>
      <w:proofErr w:type="spellStart"/>
      <w:r>
        <w:rPr>
          <w:rtl/>
        </w:rPr>
        <w:t>לאמר</w:t>
      </w:r>
      <w:proofErr w:type="spellEnd"/>
      <w:r>
        <w:rPr>
          <w:rtl/>
        </w:rPr>
        <w:t xml:space="preserve"> ‘אנכי הולך בדרך כל הארץ’”</w:t>
      </w:r>
      <w:bookmarkStart w:id="6535" w:name="_fnr4944"/>
      <w:r>
        <w:rPr>
          <w:rStyle w:val="a5"/>
        </w:rPr>
        <w:footnoteReference w:id="4957" w:customMarkFollows="0"/>
      </w:r>
      <w:bookmarkEnd w:id="6535"/>
      <w:r>
        <w:rPr>
          <w:rtl/>
        </w:rPr>
        <w:t xml:space="preserve"> כך: דוד ציווה את בנו שלמה </w:t>
      </w:r>
      <w:r>
        <w:rPr>
          <w:b/>
          <w:bCs/>
          <w:rtl/>
        </w:rPr>
        <w:t>לומר</w:t>
      </w:r>
      <w:r>
        <w:rPr>
          <w:rtl/>
        </w:rPr>
        <w:t xml:space="preserve"> </w:t>
      </w:r>
      <w:r>
        <w:rPr>
          <w:rtl/>
        </w:rPr>
        <w:lastRenderedPageBreak/>
        <w:t xml:space="preserve">(על עצמו, תמיד) “אנכי הולך בדרך כל הארץ – אמות פעם – </w:t>
      </w:r>
      <w:proofErr w:type="spellStart"/>
      <w:r>
        <w:rPr>
          <w:rtl/>
        </w:rPr>
        <w:t>מ‘דארף</w:t>
      </w:r>
      <w:proofErr w:type="spellEnd"/>
      <w:r>
        <w:rPr>
          <w:rtl/>
        </w:rPr>
        <w:t xml:space="preserve"> </w:t>
      </w:r>
      <w:proofErr w:type="spellStart"/>
      <w:r>
        <w:rPr>
          <w:rtl/>
        </w:rPr>
        <w:t>שטארבען</w:t>
      </w:r>
      <w:proofErr w:type="spellEnd"/>
      <w:r>
        <w:rPr>
          <w:rtl/>
        </w:rPr>
        <w:t xml:space="preserve"> [צריך למות]”, ולנהוג בחייו מתוך הכרת מציאות זו</w:t>
      </w:r>
      <w:bookmarkStart w:id="6536" w:name="_fnr4945"/>
      <w:r>
        <w:rPr>
          <w:rStyle w:val="a5"/>
        </w:rPr>
        <w:footnoteReference w:id="4958" w:customMarkFollows="0"/>
      </w:r>
      <w:bookmarkEnd w:id="6536"/>
      <w:r>
        <w:rPr>
          <w:rtl/>
        </w:rPr>
        <w:t>.</w:t>
      </w:r>
    </w:p>
    <w:p w14:paraId="7240DE85" w14:textId="77777777" w:rsidR="00AB3647" w:rsidRDefault="00000000" w:rsidP="007923E9">
      <w:pPr>
        <w:spacing w:after="120" w:line="276" w:lineRule="auto"/>
        <w:ind w:firstLine="283"/>
        <w:jc w:val="both"/>
      </w:pPr>
      <w:r>
        <w:rPr>
          <w:rtl/>
        </w:rPr>
        <w:t xml:space="preserve">אבי אהב גם לצטט את פירושו של המגיד </w:t>
      </w:r>
      <w:proofErr w:type="spellStart"/>
      <w:r>
        <w:rPr>
          <w:rtl/>
        </w:rPr>
        <w:t>ממוז׳יר</w:t>
      </w:r>
      <w:proofErr w:type="spellEnd"/>
      <w:r>
        <w:rPr>
          <w:rtl/>
        </w:rPr>
        <w:t xml:space="preserve">, ר׳ שמואל </w:t>
      </w:r>
      <w:proofErr w:type="spellStart"/>
      <w:r>
        <w:rPr>
          <w:rtl/>
        </w:rPr>
        <w:t>רבינוביץ</w:t>
      </w:r>
      <w:bookmarkStart w:id="6537" w:name="_fnr4946"/>
      <w:proofErr w:type="spellEnd"/>
      <w:r>
        <w:rPr>
          <w:rStyle w:val="a5"/>
        </w:rPr>
        <w:footnoteReference w:id="4959" w:customMarkFollows="0"/>
      </w:r>
      <w:bookmarkEnd w:id="6537"/>
      <w:r>
        <w:rPr>
          <w:rtl/>
        </w:rPr>
        <w:t>, לגמרא במסכת ברכות</w:t>
      </w:r>
      <w:bookmarkStart w:id="6538" w:name="_fnr4947"/>
      <w:r>
        <w:rPr>
          <w:rStyle w:val="a5"/>
        </w:rPr>
        <w:footnoteReference w:id="4960" w:customMarkFollows="0"/>
      </w:r>
      <w:bookmarkEnd w:id="6538"/>
      <w:r>
        <w:rPr>
          <w:rtl/>
        </w:rPr>
        <w:t>, “</w:t>
      </w:r>
      <w:proofErr w:type="spellStart"/>
      <w:r>
        <w:rPr>
          <w:rtl/>
        </w:rPr>
        <w:t>כנור</w:t>
      </w:r>
      <w:proofErr w:type="spellEnd"/>
      <w:r>
        <w:rPr>
          <w:rtl/>
        </w:rPr>
        <w:t xml:space="preserve"> היה תלוי למעלה </w:t>
      </w:r>
      <w:proofErr w:type="spellStart"/>
      <w:r>
        <w:rPr>
          <w:rtl/>
        </w:rPr>
        <w:t>ממטתו</w:t>
      </w:r>
      <w:proofErr w:type="spellEnd"/>
      <w:r>
        <w:rPr>
          <w:rtl/>
        </w:rPr>
        <w:t xml:space="preserve"> של דוד וכו׳ ומנגן מאליו”</w:t>
      </w:r>
      <w:bookmarkStart w:id="6539" w:name="_fnr4948"/>
      <w:r>
        <w:rPr>
          <w:rStyle w:val="a5"/>
        </w:rPr>
        <w:footnoteReference w:id="4961" w:customMarkFollows="0"/>
      </w:r>
      <w:bookmarkEnd w:id="6539"/>
      <w:r>
        <w:rPr>
          <w:rtl/>
        </w:rPr>
        <w:t xml:space="preserve">: ישראל חשים איזו דרך חיונית לקיומם, ואינם בודקים אם דרך הפעולה (או ההימנעות מפעולה) מבוססת על ההלכה אם לאו. אחת הדוגמאות שנתן הייתה השאלה הרטורית: “מי נתן לבחורי ישיבת </w:t>
      </w:r>
      <w:proofErr w:type="spellStart"/>
      <w:r>
        <w:rPr>
          <w:rtl/>
        </w:rPr>
        <w:t>סלבודקה</w:t>
      </w:r>
      <w:proofErr w:type="spellEnd"/>
      <w:r>
        <w:rPr>
          <w:rtl/>
        </w:rPr>
        <w:t xml:space="preserve"> היתר להינשא בגיל מאוחר כל כך?” ובתשובה הביא, בשינוי לשון, את דברי הגמרא (שתרגם ליידיש): “און </w:t>
      </w:r>
      <w:proofErr w:type="spellStart"/>
      <w:r>
        <w:rPr>
          <w:rtl/>
        </w:rPr>
        <w:t>דער</w:t>
      </w:r>
      <w:proofErr w:type="spellEnd"/>
      <w:r>
        <w:rPr>
          <w:rtl/>
        </w:rPr>
        <w:t xml:space="preserve"> </w:t>
      </w:r>
      <w:proofErr w:type="spellStart"/>
      <w:r>
        <w:rPr>
          <w:rtl/>
        </w:rPr>
        <w:t>פידעלע</w:t>
      </w:r>
      <w:proofErr w:type="spellEnd"/>
      <w:r>
        <w:rPr>
          <w:rtl/>
        </w:rPr>
        <w:t xml:space="preserve"> שפילט פון </w:t>
      </w:r>
      <w:proofErr w:type="spellStart"/>
      <w:r>
        <w:rPr>
          <w:rtl/>
        </w:rPr>
        <w:t>זיך</w:t>
      </w:r>
      <w:proofErr w:type="spellEnd"/>
      <w:r>
        <w:rPr>
          <w:rtl/>
        </w:rPr>
        <w:t xml:space="preserve"> </w:t>
      </w:r>
      <w:proofErr w:type="spellStart"/>
      <w:r>
        <w:rPr>
          <w:rtl/>
        </w:rPr>
        <w:t>אליין</w:t>
      </w:r>
      <w:proofErr w:type="spellEnd"/>
      <w:r>
        <w:rPr>
          <w:rtl/>
        </w:rPr>
        <w:t xml:space="preserve"> [והכינור הקטן מנגן מאליו]”. הוא ביקש להוכיח שכאשר עמדה מסוימת חיונית לישראל – כגון הגדלת מספר היהודים הנבונים שלומדים תורה שנים נוספות לפני שהם יוצאים לעיסוקיהם – פרטי ההלכה נדחים</w:t>
      </w:r>
      <w:bookmarkStart w:id="6540" w:name="_fnr4949"/>
      <w:r>
        <w:rPr>
          <w:rStyle w:val="a5"/>
        </w:rPr>
        <w:footnoteReference w:id="4962" w:customMarkFollows="0"/>
      </w:r>
      <w:bookmarkEnd w:id="6540"/>
      <w:r>
        <w:rPr>
          <w:rtl/>
        </w:rPr>
        <w:t xml:space="preserve">. על כל דוגמה שהביא חזר המגיד על הפזמון: “והכינור הקטן מנגן מאליו”. כשחזר אבי על אמרת המגיד, שר אותה באותו ניגון ובאותה תהודה ששמע מפי המגיד </w:t>
      </w:r>
      <w:proofErr w:type="spellStart"/>
      <w:r>
        <w:rPr>
          <w:rtl/>
        </w:rPr>
        <w:t>ממוז׳יר</w:t>
      </w:r>
      <w:proofErr w:type="spellEnd"/>
      <w:r>
        <w:rPr>
          <w:rtl/>
        </w:rPr>
        <w:t xml:space="preserve"> במינסק</w:t>
      </w:r>
      <w:bookmarkStart w:id="6541" w:name="_fnr4950"/>
      <w:r>
        <w:rPr>
          <w:rStyle w:val="a5"/>
        </w:rPr>
        <w:footnoteReference w:id="4963" w:customMarkFollows="0"/>
      </w:r>
      <w:bookmarkEnd w:id="6541"/>
      <w:r>
        <w:rPr>
          <w:rtl/>
        </w:rPr>
        <w:t>.</w:t>
      </w:r>
    </w:p>
    <w:p w14:paraId="3DA58575" w14:textId="74C1AC57" w:rsidR="00AB3647" w:rsidRDefault="00000000" w:rsidP="007923E9">
      <w:pPr>
        <w:spacing w:after="120" w:line="276" w:lineRule="auto"/>
        <w:ind w:firstLine="283"/>
        <w:jc w:val="both"/>
      </w:pPr>
      <w:bookmarkStart w:id="6542" w:name="pr_close_b_4300"/>
      <w:bookmarkEnd w:id="6542"/>
      <w:r>
        <w:rPr>
          <w:rtl/>
        </w:rPr>
        <w:t>סובלנותו של אבי לכל סוגי האנשים התבטאה בכך שהרבה לצטט את הגמרא במסכת ברכות</w:t>
      </w:r>
      <w:bookmarkStart w:id="6543" w:name="_fnr4951"/>
      <w:r>
        <w:rPr>
          <w:rStyle w:val="a5"/>
        </w:rPr>
        <w:footnoteReference w:id="4964" w:customMarkFollows="0"/>
      </w:r>
      <w:bookmarkEnd w:id="6543"/>
      <w:r>
        <w:rPr>
          <w:rtl/>
        </w:rPr>
        <w:t>: “</w:t>
      </w:r>
      <w:proofErr w:type="spellStart"/>
      <w:r>
        <w:rPr>
          <w:rtl/>
        </w:rPr>
        <w:t>מרגלא</w:t>
      </w:r>
      <w:proofErr w:type="spellEnd"/>
      <w:r>
        <w:rPr>
          <w:rtl/>
        </w:rPr>
        <w:t xml:space="preserve"> </w:t>
      </w:r>
      <w:proofErr w:type="spellStart"/>
      <w:r>
        <w:rPr>
          <w:rtl/>
        </w:rPr>
        <w:t>בפומייהו</w:t>
      </w:r>
      <w:proofErr w:type="spellEnd"/>
      <w:r>
        <w:rPr>
          <w:rtl/>
        </w:rPr>
        <w:t xml:space="preserve"> דרבנן </w:t>
      </w:r>
      <w:proofErr w:type="spellStart"/>
      <w:r>
        <w:rPr>
          <w:rtl/>
        </w:rPr>
        <w:t>דיבנה</w:t>
      </w:r>
      <w:proofErr w:type="spellEnd"/>
      <w:r>
        <w:rPr>
          <w:rtl/>
        </w:rPr>
        <w:t xml:space="preserve">: אני בריה </w:t>
      </w:r>
      <w:r>
        <w:rPr>
          <w:b/>
          <w:bCs/>
          <w:rtl/>
        </w:rPr>
        <w:t>וחברי בריה</w:t>
      </w:r>
      <w:r>
        <w:rPr>
          <w:rtl/>
        </w:rPr>
        <w:t xml:space="preserve"> אני מלאכתי בעיר והוא מלאכתו בשדה אני משכים למלאכתי והוא משכים למלאכתו כשם שהוא אינו מתגדר במלאכתי כך אני אינני מתגדר במלאכתו”. רבנו קיים את מאמר חז״ל “אל תהי בז לכל אדם”</w:t>
      </w:r>
      <w:bookmarkStart w:id="6544" w:name="_fnr4952"/>
      <w:r>
        <w:rPr>
          <w:rStyle w:val="a5"/>
        </w:rPr>
        <w:footnoteReference w:id="4965" w:customMarkFollows="0"/>
      </w:r>
      <w:bookmarkStart w:id="6545" w:name="_fnr4953"/>
      <w:bookmarkEnd w:id="6544"/>
      <w:r>
        <w:rPr>
          <w:rStyle w:val="a5"/>
        </w:rPr>
        <w:footnoteReference w:id="4966" w:customMarkFollows="0"/>
      </w:r>
      <w:bookmarkEnd w:id="6545"/>
      <w:r>
        <w:rPr>
          <w:rtl/>
        </w:rPr>
        <w:t xml:space="preserve">. ראוי לציין – והיבט זה קשור למידה שתוארה לעיל – שהוא מדד את האחרים לפי “תבונתם”. כשחזר מביקורו הראשון בישראל </w:t>
      </w:r>
      <w:proofErr w:type="spellStart"/>
      <w:r>
        <w:rPr>
          <w:rtl/>
        </w:rPr>
        <w:t>בתשט״ז</w:t>
      </w:r>
      <w:proofErr w:type="spellEnd"/>
      <w:r>
        <w:rPr>
          <w:rtl/>
        </w:rPr>
        <w:t xml:space="preserve"> ונשאל מה התרשמותו מר׳ יצחק־זאב </w:t>
      </w:r>
      <w:proofErr w:type="spellStart"/>
      <w:r>
        <w:rPr>
          <w:rtl/>
        </w:rPr>
        <w:t>סולובייצ׳יק</w:t>
      </w:r>
      <w:proofErr w:type="spellEnd"/>
      <w:r>
        <w:rPr>
          <w:rtl/>
        </w:rPr>
        <w:t xml:space="preserve">, שפגש אז בפעם הראשונה והיחידה, הייתה תשובתו בלתי צפויה לגמרי: “הוא אדם </w:t>
      </w:r>
      <w:r>
        <w:rPr>
          <w:b/>
          <w:bCs/>
          <w:rtl/>
        </w:rPr>
        <w:t>נבון</w:t>
      </w:r>
      <w:r>
        <w:rPr>
          <w:rtl/>
        </w:rPr>
        <w:t>”</w:t>
      </w:r>
      <w:bookmarkStart w:id="6546" w:name="_fnr4954"/>
      <w:r>
        <w:rPr>
          <w:rStyle w:val="a5"/>
        </w:rPr>
        <w:footnoteReference w:id="4967" w:customMarkFollows="0"/>
      </w:r>
      <w:bookmarkEnd w:id="6546"/>
      <w:r>
        <w:rPr>
          <w:rtl/>
        </w:rPr>
        <w:t xml:space="preserve">. השווה גם פרק 1, סוף </w:t>
      </w:r>
      <w:r>
        <w:rPr>
          <w:rtl/>
        </w:rPr>
        <w:fldChar w:fldCharType="begin" w:dirty="true"/>
      </w:r>
      <w:r>
        <w:rPr>
          <w:rtl/>
        </w:rPr>
        <w:instrText xml:space="preserve"> REF b1_excF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ו</w:t>
      </w:r>
      <w:r>
        <w:rPr>
          <w:rtl/>
        </w:rPr>
        <w:fldChar w:fldCharType="end"/>
      </w:r>
      <w:r>
        <w:rPr>
          <w:rtl/>
        </w:rPr>
        <w:t>.</w:t>
      </w:r>
    </w:p>
    <w:p w14:paraId="11FDBE23" w14:textId="77777777" w:rsidR="00AB3647" w:rsidRDefault="00000000" w:rsidP="007923E9">
      <w:pPr>
        <w:spacing w:after="120" w:line="276" w:lineRule="auto"/>
        <w:ind w:firstLine="283"/>
        <w:jc w:val="both"/>
      </w:pPr>
      <w:r>
        <w:rPr>
          <w:rtl/>
        </w:rPr>
        <w:lastRenderedPageBreak/>
        <w:t xml:space="preserve">בקשר להשערה שהסבא לא נתן אמון מלא בכישורי החינוך של הרב </w:t>
      </w:r>
      <w:proofErr w:type="spellStart"/>
      <w:r>
        <w:rPr>
          <w:rtl/>
        </w:rPr>
        <w:t>דינובסקי</w:t>
      </w:r>
      <w:proofErr w:type="spellEnd"/>
      <w:r>
        <w:rPr>
          <w:rtl/>
        </w:rPr>
        <w:t>, ראוי לציין שהישיבה הראשונה שבה למד ר׳ שאול ליברמן</w:t>
      </w:r>
      <w:bookmarkStart w:id="6547" w:name="_fnr4955"/>
      <w:r>
        <w:rPr>
          <w:rStyle w:val="a5"/>
        </w:rPr>
        <w:footnoteReference w:id="4968" w:customMarkFollows="0"/>
      </w:r>
      <w:bookmarkEnd w:id="6547"/>
      <w:r>
        <w:rPr>
          <w:rtl/>
        </w:rPr>
        <w:t xml:space="preserve">, מגיל </w:t>
      </w:r>
      <w:proofErr w:type="spellStart"/>
      <w:r>
        <w:rPr>
          <w:rtl/>
        </w:rPr>
        <w:t>שתים־עשרה</w:t>
      </w:r>
      <w:proofErr w:type="spellEnd"/>
      <w:r>
        <w:rPr>
          <w:rtl/>
        </w:rPr>
        <w:t xml:space="preserve"> עד </w:t>
      </w:r>
      <w:proofErr w:type="spellStart"/>
      <w:r>
        <w:rPr>
          <w:rtl/>
        </w:rPr>
        <w:t>ארבע־עשרה</w:t>
      </w:r>
      <w:proofErr w:type="spellEnd"/>
      <w:r>
        <w:rPr>
          <w:rtl/>
        </w:rPr>
        <w:t xml:space="preserve">, הייתה </w:t>
      </w:r>
      <w:proofErr w:type="spellStart"/>
      <w:r>
        <w:rPr>
          <w:rtl/>
        </w:rPr>
        <w:t>מאלטש</w:t>
      </w:r>
      <w:proofErr w:type="spellEnd"/>
      <w:r>
        <w:rPr>
          <w:rtl/>
        </w:rPr>
        <w:t xml:space="preserve">. לפי ר׳ שרגא אברמסון (שמסר רבים מן הפרטים הביוגרפיים שלהלן), ראה הרב ליברמן בר׳ </w:t>
      </w:r>
      <w:proofErr w:type="spellStart"/>
      <w:r>
        <w:rPr>
          <w:rtl/>
        </w:rPr>
        <w:t>דוד־טעביל</w:t>
      </w:r>
      <w:proofErr w:type="spellEnd"/>
      <w:r>
        <w:rPr>
          <w:rtl/>
        </w:rPr>
        <w:t xml:space="preserve"> את רבו המובהק כל ימיו.</w:t>
      </w:r>
    </w:p>
    <w:p w14:paraId="4E73F604" w14:textId="77777777" w:rsidR="00AB3647" w:rsidRDefault="00000000" w:rsidP="007923E9">
      <w:pPr>
        <w:spacing w:after="120" w:line="276" w:lineRule="auto"/>
        <w:ind w:firstLine="283"/>
        <w:jc w:val="both"/>
      </w:pPr>
      <w:r>
        <w:rPr>
          <w:rtl/>
        </w:rPr>
        <w:t xml:space="preserve">אחרי </w:t>
      </w:r>
      <w:proofErr w:type="spellStart"/>
      <w:r>
        <w:rPr>
          <w:rtl/>
        </w:rPr>
        <w:t>מאלטש</w:t>
      </w:r>
      <w:proofErr w:type="spellEnd"/>
      <w:r>
        <w:rPr>
          <w:rtl/>
        </w:rPr>
        <w:t xml:space="preserve"> למד הרב ליברמן כשנה </w:t>
      </w:r>
      <w:proofErr w:type="spellStart"/>
      <w:r>
        <w:rPr>
          <w:rtl/>
        </w:rPr>
        <w:t>בסלבודקה</w:t>
      </w:r>
      <w:proofErr w:type="spellEnd"/>
      <w:r>
        <w:rPr>
          <w:rtl/>
        </w:rPr>
        <w:t>, והסבא הוקסם מגאונותו</w:t>
      </w:r>
      <w:bookmarkStart w:id="6548" w:name="_fnr4956"/>
      <w:r>
        <w:rPr>
          <w:rStyle w:val="a5"/>
        </w:rPr>
        <w:footnoteReference w:id="4969" w:customMarkFollows="0"/>
      </w:r>
      <w:bookmarkEnd w:id="6548"/>
      <w:r>
        <w:rPr>
          <w:rtl/>
        </w:rPr>
        <w:t>. סמוך לפרוץ מלחמת העולם יצא אל קרוב בקייב, כדי להירשם לאוניברסיטה</w:t>
      </w:r>
      <w:bookmarkStart w:id="6549" w:name="_fnr4957"/>
      <w:r>
        <w:rPr>
          <w:rStyle w:val="a5"/>
        </w:rPr>
        <w:footnoteReference w:id="4970" w:customMarkFollows="0"/>
      </w:r>
      <w:bookmarkEnd w:id="6549"/>
      <w:r>
        <w:rPr>
          <w:rtl/>
        </w:rPr>
        <w:t xml:space="preserve">. כעבור זמן קצר הפסיק את לימודיו וחזר לישיבת </w:t>
      </w:r>
      <w:proofErr w:type="spellStart"/>
      <w:r>
        <w:rPr>
          <w:rtl/>
        </w:rPr>
        <w:t>סלבודקה</w:t>
      </w:r>
      <w:proofErr w:type="spellEnd"/>
      <w:r>
        <w:rPr>
          <w:rtl/>
        </w:rPr>
        <w:t>, שהייתה אז במינסק, ושם אמר הסבא על הצעיר: “הוא לא יהיה גאון, מפני שכבר הוא גאון!”</w:t>
      </w:r>
      <w:bookmarkStart w:id="6550" w:name="_fnr4958"/>
      <w:r>
        <w:rPr>
          <w:rStyle w:val="a5"/>
        </w:rPr>
        <w:footnoteReference w:id="4971" w:customMarkFollows="0"/>
      </w:r>
      <w:bookmarkEnd w:id="6550"/>
      <w:r>
        <w:rPr>
          <w:rtl/>
        </w:rPr>
        <w:t xml:space="preserve"> אחר כך נפרד הרב ליברמן מן הסבא, ואמר לו</w:t>
      </w:r>
      <w:bookmarkStart w:id="6551" w:name="_fnr4959"/>
      <w:r>
        <w:rPr>
          <w:rStyle w:val="a5"/>
        </w:rPr>
        <w:footnoteReference w:id="4972" w:customMarkFollows="0"/>
      </w:r>
      <w:bookmarkEnd w:id="6551"/>
      <w:r>
        <w:rPr>
          <w:rtl/>
        </w:rPr>
        <w:t xml:space="preserve"> שהוא יוצא </w:t>
      </w:r>
      <w:proofErr w:type="spellStart"/>
      <w:r>
        <w:rPr>
          <w:rtl/>
        </w:rPr>
        <w:t>להומל</w:t>
      </w:r>
      <w:proofErr w:type="spellEnd"/>
      <w:r>
        <w:rPr>
          <w:rtl/>
        </w:rPr>
        <w:t xml:space="preserve"> [שאליה נמלט ר׳ יוזל </w:t>
      </w:r>
      <w:proofErr w:type="spellStart"/>
      <w:r>
        <w:rPr>
          <w:rtl/>
        </w:rPr>
        <w:t>הורוויץ</w:t>
      </w:r>
      <w:proofErr w:type="spellEnd"/>
      <w:r>
        <w:rPr>
          <w:rtl/>
        </w:rPr>
        <w:t xml:space="preserve"> עם ישיבתו </w:t>
      </w:r>
      <w:proofErr w:type="spellStart"/>
      <w:r>
        <w:rPr>
          <w:rtl/>
        </w:rPr>
        <w:t>מנובהרדוק</w:t>
      </w:r>
      <w:proofErr w:type="spellEnd"/>
      <w:r>
        <w:rPr>
          <w:rtl/>
        </w:rPr>
        <w:t xml:space="preserve">] “לראות מהי [דרך] </w:t>
      </w:r>
      <w:proofErr w:type="spellStart"/>
      <w:r>
        <w:rPr>
          <w:rtl/>
        </w:rPr>
        <w:t>נובהרדוק</w:t>
      </w:r>
      <w:proofErr w:type="spellEnd"/>
      <w:r>
        <w:rPr>
          <w:rtl/>
        </w:rPr>
        <w:t xml:space="preserve">”. משם חזר לאוניברסיטה ללמוד רפואה. לימים נשא את בתו של ר׳ לייזר </w:t>
      </w:r>
      <w:proofErr w:type="spellStart"/>
      <w:r>
        <w:rPr>
          <w:rtl/>
        </w:rPr>
        <w:t>רבינוביץ</w:t>
      </w:r>
      <w:proofErr w:type="spellEnd"/>
      <w:r>
        <w:rPr>
          <w:rtl/>
        </w:rPr>
        <w:t>, רבה של מינסק</w:t>
      </w:r>
      <w:bookmarkStart w:id="6552" w:name="_fnr4960"/>
      <w:r>
        <w:rPr>
          <w:rStyle w:val="a5"/>
        </w:rPr>
        <w:footnoteReference w:id="4973" w:customMarkFollows="0"/>
      </w:r>
      <w:bookmarkEnd w:id="6552"/>
      <w:r>
        <w:rPr>
          <w:rtl/>
        </w:rPr>
        <w:t>.</w:t>
      </w:r>
    </w:p>
    <w:p w14:paraId="51B1E539" w14:textId="77777777" w:rsidR="00AB3647" w:rsidRDefault="00000000" w:rsidP="007923E9">
      <w:pPr>
        <w:spacing w:after="120" w:line="276" w:lineRule="auto"/>
        <w:ind w:firstLine="283"/>
        <w:jc w:val="both"/>
      </w:pPr>
      <w:r>
        <w:rPr>
          <w:rtl/>
        </w:rPr>
        <w:t xml:space="preserve">בשנות השלושים לחייו למד ר׳ שאול את השיטה המדעית בלימוד התלמוד מפרופסור </w:t>
      </w:r>
      <w:proofErr w:type="spellStart"/>
      <w:r>
        <w:rPr>
          <w:rtl/>
        </w:rPr>
        <w:t>יעקב־נחום</w:t>
      </w:r>
      <w:proofErr w:type="spellEnd"/>
      <w:r>
        <w:rPr>
          <w:rtl/>
        </w:rPr>
        <w:t xml:space="preserve"> אפשטיין באוניברסיטה העברית בירושלים, ובשנותיו המאוחרות שימש ראש המחלקה לתלמוד בבית המדרש לרבנים (הקונסרבטיבי) בניו יורק</w:t>
      </w:r>
      <w:bookmarkStart w:id="6553" w:name="_fnr4961"/>
      <w:r>
        <w:rPr>
          <w:rStyle w:val="a5"/>
        </w:rPr>
        <w:footnoteReference w:id="4974" w:customMarkFollows="0"/>
      </w:r>
      <w:bookmarkEnd w:id="6553"/>
      <w:r>
        <w:rPr>
          <w:rtl/>
        </w:rPr>
        <w:t>.</w:t>
      </w:r>
    </w:p>
    <w:p w14:paraId="30B39985" w14:textId="77777777" w:rsidR="00AB3647" w:rsidRDefault="00000000" w:rsidP="007923E9">
      <w:pPr>
        <w:pStyle w:val="4"/>
        <w:spacing w:line="276" w:lineRule="auto"/>
      </w:pPr>
      <w:r>
        <w:t>· הפסקה השנייה ·</w:t>
      </w:r>
    </w:p>
    <w:p w14:paraId="751546AD" w14:textId="77777777" w:rsidR="00AB3647" w:rsidRDefault="00000000" w:rsidP="007923E9">
      <w:pPr>
        <w:pStyle w:val="5"/>
        <w:spacing w:line="276" w:lineRule="auto"/>
      </w:pPr>
      <w:r>
        <w:t>הסבא רואה באמירת דבר שאינו אמת כלי מותר – רבנו מערים על תלמיד עקשן – אבי מטעה את בנו כדי שלא יבזבז זמן – הסבא לוקח את דרכונו של תלמיד</w:t>
      </w:r>
    </w:p>
    <w:p w14:paraId="4C454000" w14:textId="48BED917" w:rsidR="00AB3647" w:rsidRDefault="00000000" w:rsidP="007923E9">
      <w:pPr>
        <w:spacing w:after="120" w:line="276" w:lineRule="auto"/>
        <w:ind w:firstLine="283"/>
        <w:jc w:val="both"/>
      </w:pPr>
      <w:r>
        <w:rPr>
          <w:rtl/>
        </w:rPr>
        <w:t xml:space="preserve">ראוי לציין שהסבא התיר לומר דברי כזב לטובת חניכיו – כפי שעשה כדי להחזיר את אבי </w:t>
      </w:r>
      <w:proofErr w:type="spellStart"/>
      <w:r>
        <w:rPr>
          <w:rtl/>
        </w:rPr>
        <w:t>לסלבודקה</w:t>
      </w:r>
      <w:proofErr w:type="spellEnd"/>
      <w:r>
        <w:rPr>
          <w:rtl/>
        </w:rPr>
        <w:t xml:space="preserve">. ר׳ ישראל </w:t>
      </w:r>
      <w:proofErr w:type="spellStart"/>
      <w:r>
        <w:rPr>
          <w:rtl/>
        </w:rPr>
        <w:t>שורין</w:t>
      </w:r>
      <w:proofErr w:type="spellEnd"/>
      <w:r>
        <w:rPr>
          <w:rtl/>
        </w:rPr>
        <w:t xml:space="preserve"> סיפר</w:t>
      </w:r>
      <w:bookmarkStart w:id="6554" w:name="_fnr4962"/>
      <w:r>
        <w:rPr>
          <w:rStyle w:val="a5"/>
        </w:rPr>
        <w:footnoteReference w:id="4975" w:customMarkFollows="0"/>
      </w:r>
      <w:bookmarkEnd w:id="6554"/>
      <w:r>
        <w:rPr>
          <w:rtl/>
        </w:rPr>
        <w:t xml:space="preserve"> שר׳ יצחק </w:t>
      </w:r>
      <w:proofErr w:type="spellStart"/>
      <w:r>
        <w:rPr>
          <w:rtl/>
        </w:rPr>
        <w:t>הוטנר</w:t>
      </w:r>
      <w:proofErr w:type="spellEnd"/>
      <w:r>
        <w:rPr>
          <w:rtl/>
        </w:rPr>
        <w:t xml:space="preserve"> מסר </w:t>
      </w:r>
      <w:proofErr w:type="spellStart"/>
      <w:r>
        <w:rPr>
          <w:rtl/>
        </w:rPr>
        <w:t>לר</w:t>
      </w:r>
      <w:proofErr w:type="spellEnd"/>
      <w:r>
        <w:rPr>
          <w:rtl/>
        </w:rPr>
        <w:t xml:space="preserve">׳ אהרן </w:t>
      </w:r>
      <w:proofErr w:type="spellStart"/>
      <w:r>
        <w:rPr>
          <w:rtl/>
        </w:rPr>
        <w:t>סולובייצ׳יק</w:t>
      </w:r>
      <w:proofErr w:type="spellEnd"/>
      <w:r>
        <w:rPr>
          <w:rtl/>
        </w:rPr>
        <w:t xml:space="preserve"> שלמד מרבו, הסבא, שאמירת דבר שאינו אמת היא כלי חינוכי מותר. השווה גם את המעשה המסופר </w:t>
      </w:r>
      <w:r>
        <w:rPr>
          <w:rtl/>
        </w:rPr>
        <w:lastRenderedPageBreak/>
        <w:t xml:space="preserve">בזיכרונותיו של </w:t>
      </w:r>
      <w:proofErr w:type="spellStart"/>
      <w:r>
        <w:rPr>
          <w:rtl/>
        </w:rPr>
        <w:t>יהושע־לייב</w:t>
      </w:r>
      <w:proofErr w:type="spellEnd"/>
      <w:r>
        <w:rPr>
          <w:rtl/>
        </w:rPr>
        <w:t xml:space="preserve"> </w:t>
      </w:r>
      <w:proofErr w:type="spellStart"/>
      <w:r>
        <w:rPr>
          <w:rtl/>
        </w:rPr>
        <w:t>ראדוס</w:t>
      </w:r>
      <w:bookmarkStart w:id="6555" w:name="_fnr4963"/>
      <w:proofErr w:type="spellEnd"/>
      <w:r>
        <w:rPr>
          <w:rStyle w:val="a5"/>
        </w:rPr>
        <w:footnoteReference w:id="4976" w:customMarkFollows="0"/>
      </w:r>
      <w:bookmarkEnd w:id="6555"/>
      <w:r>
        <w:rPr>
          <w:rtl/>
        </w:rPr>
        <w:t xml:space="preserve">, ומובא בפרק 3, בפסקאות השניות של </w:t>
      </w:r>
      <w:r>
        <w:rPr>
          <w:rtl/>
        </w:rPr>
        <w:fldChar w:fldCharType="begin" w:dirty="true"/>
      </w:r>
      <w:r>
        <w:rPr>
          <w:rtl/>
        </w:rPr>
        <w:instrText xml:space="preserve"> REF b3_excII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לה</w:t>
      </w:r>
      <w:r>
        <w:rPr>
          <w:rtl/>
        </w:rPr>
        <w:fldChar w:fldCharType="end"/>
      </w:r>
      <w:r>
        <w:rPr>
          <w:rtl/>
        </w:rPr>
        <w:t xml:space="preserve"> ושל הערה </w:t>
      </w:r>
      <w:r>
        <w:rPr>
          <w:rtl/>
        </w:rPr>
        <w:fldChar w:fldCharType="begin" w:dirty="true"/>
      </w:r>
      <w:r>
        <w:rPr>
          <w:rtl/>
        </w:rPr>
        <w:instrText xml:space="preserve"> REF b3_note47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47</w:t>
      </w:r>
      <w:r>
        <w:rPr>
          <w:rtl/>
        </w:rPr>
        <w:fldChar w:fldCharType="end"/>
      </w:r>
      <w:r>
        <w:rPr>
          <w:rtl/>
        </w:rPr>
        <w:t>.</w:t>
      </w:r>
    </w:p>
    <w:p w14:paraId="17B5223C" w14:textId="77777777" w:rsidR="00AB3647" w:rsidRDefault="00000000" w:rsidP="007923E9">
      <w:pPr>
        <w:spacing w:after="120" w:line="276" w:lineRule="auto"/>
        <w:ind w:firstLine="283"/>
        <w:jc w:val="both"/>
      </w:pPr>
      <w:r>
        <w:rPr>
          <w:rtl/>
        </w:rPr>
        <w:t xml:space="preserve">באשר לרבנו, ידועים לי רק שני מקרים שבהם נקט תחבולות שאפשר למנותן בסוג זה. מקרה אחד נמסר בריאיון עם ר׳ שלמה </w:t>
      </w:r>
      <w:proofErr w:type="spellStart"/>
      <w:r>
        <w:rPr>
          <w:rtl/>
        </w:rPr>
        <w:t>גיסינגר</w:t>
      </w:r>
      <w:bookmarkStart w:id="6556" w:name="_fnr4964"/>
      <w:proofErr w:type="spellEnd"/>
      <w:r>
        <w:rPr>
          <w:rStyle w:val="a5"/>
        </w:rPr>
        <w:footnoteReference w:id="4977" w:customMarkFollows="0"/>
      </w:r>
      <w:bookmarkEnd w:id="6556"/>
      <w:r>
        <w:rPr>
          <w:rtl/>
        </w:rPr>
        <w:t>. כשפרש אבי ממתיבתא תורה ודעת</w:t>
      </w:r>
      <w:bookmarkStart w:id="6557" w:name="_fnr4965"/>
      <w:r>
        <w:rPr>
          <w:rStyle w:val="a5"/>
        </w:rPr>
        <w:footnoteReference w:id="4978" w:customMarkFollows="0"/>
      </w:r>
      <w:bookmarkEnd w:id="6557"/>
      <w:r>
        <w:rPr>
          <w:rtl/>
        </w:rPr>
        <w:t xml:space="preserve">, סידר ר׳ שלמה את מעברו מאותה ישיבה לבית מדרש גבוה </w:t>
      </w:r>
      <w:proofErr w:type="spellStart"/>
      <w:r>
        <w:rPr>
          <w:rtl/>
        </w:rPr>
        <w:t>בלייקווד</w:t>
      </w:r>
      <w:proofErr w:type="spellEnd"/>
      <w:r>
        <w:rPr>
          <w:rtl/>
        </w:rPr>
        <w:t xml:space="preserve">. הוא נדרש להגיע לשם ביום הראשון של ראש חודש אלול תשכ״ז (יום שלישי) – היום שבו עבר אבי </w:t>
      </w:r>
      <w:proofErr w:type="spellStart"/>
      <w:r>
        <w:rPr>
          <w:rtl/>
        </w:rPr>
        <w:t>מוויליאמסבורג</w:t>
      </w:r>
      <w:proofErr w:type="spellEnd"/>
      <w:r>
        <w:rPr>
          <w:rtl/>
        </w:rPr>
        <w:t xml:space="preserve"> שבברוקלין </w:t>
      </w:r>
      <w:proofErr w:type="spellStart"/>
      <w:r>
        <w:rPr>
          <w:rtl/>
        </w:rPr>
        <w:t>למונסי</w:t>
      </w:r>
      <w:proofErr w:type="spellEnd"/>
      <w:r>
        <w:rPr>
          <w:rtl/>
        </w:rPr>
        <w:t xml:space="preserve">. אחרי שעזר לאבי ולרבנית להעמיס במכונית את שארית חפציהם, התעקש הרב </w:t>
      </w:r>
      <w:proofErr w:type="spellStart"/>
      <w:r>
        <w:rPr>
          <w:rtl/>
        </w:rPr>
        <w:t>גיסינגר</w:t>
      </w:r>
      <w:proofErr w:type="spellEnd"/>
      <w:r>
        <w:rPr>
          <w:rtl/>
        </w:rPr>
        <w:t xml:space="preserve"> ללוות את שניהם לביתם החדש כדי לעזור בפריקה. אבי ניסה לשכנעו שחשוב יותר שיתייצב בישיבתו החדשה ביום הראשון של הזמן, אבל הפצרותיו לא הזיזו את ר׳ שלמה מעמדתו; וכשהשיב ר׳ שלמה שרוב התלמידים לא יגיעו עד </w:t>
      </w:r>
      <w:r>
        <w:rPr>
          <w:b/>
          <w:bCs/>
          <w:rtl/>
        </w:rPr>
        <w:t>למחרת</w:t>
      </w:r>
      <w:r>
        <w:rPr>
          <w:rtl/>
        </w:rPr>
        <w:t>, דחה רבנו את טענתו.</w:t>
      </w:r>
    </w:p>
    <w:p w14:paraId="1AEF104C" w14:textId="77777777" w:rsidR="00AB3647" w:rsidRDefault="00000000" w:rsidP="007923E9">
      <w:pPr>
        <w:spacing w:after="120" w:line="276" w:lineRule="auto"/>
        <w:ind w:firstLine="283"/>
        <w:jc w:val="both"/>
      </w:pPr>
      <w:r>
        <w:rPr>
          <w:rtl/>
        </w:rPr>
        <w:t xml:space="preserve">ר׳ שלמה </w:t>
      </w:r>
      <w:proofErr w:type="spellStart"/>
      <w:r>
        <w:rPr>
          <w:rtl/>
        </w:rPr>
        <w:t>גיסינגר</w:t>
      </w:r>
      <w:proofErr w:type="spellEnd"/>
      <w:r>
        <w:rPr>
          <w:rtl/>
        </w:rPr>
        <w:t xml:space="preserve"> החליט שלא להוסיף להתווכח, ולקח את העניין לידיו: הוא התיישב במכונית כשהייתה מוכנה לצאת. אבי אמר אז לנהג לעצור כמה רחובות משם, לפני ביתו של אחד מחבריו הקרובים </w:t>
      </w:r>
      <w:proofErr w:type="spellStart"/>
      <w:r>
        <w:rPr>
          <w:rtl/>
        </w:rPr>
        <w:t>בוויליאמסבורג</w:t>
      </w:r>
      <w:proofErr w:type="spellEnd"/>
      <w:r>
        <w:rPr>
          <w:rtl/>
        </w:rPr>
        <w:t xml:space="preserve">, ר׳ </w:t>
      </w:r>
      <w:proofErr w:type="spellStart"/>
      <w:r>
        <w:rPr>
          <w:rtl/>
        </w:rPr>
        <w:t>יונה־זאב</w:t>
      </w:r>
      <w:proofErr w:type="spellEnd"/>
      <w:r>
        <w:rPr>
          <w:rtl/>
        </w:rPr>
        <w:t xml:space="preserve"> הרשקוביץ. רבנו אמר לאורחו </w:t>
      </w:r>
      <w:proofErr w:type="spellStart"/>
      <w:r>
        <w:rPr>
          <w:rtl/>
        </w:rPr>
        <w:t>הלא־רצוי</w:t>
      </w:r>
      <w:proofErr w:type="spellEnd"/>
      <w:r>
        <w:rPr>
          <w:rtl/>
        </w:rPr>
        <w:t xml:space="preserve"> להיכנס לבית משפחת הרשקוביץ ולבדוק אם יש להם משהו לשלוח עמם. כשחזר ר׳ שלמה עם תשובה שלילית, גילה שהמכונית איננה: הערימו עליו והשאירוהו </w:t>
      </w:r>
      <w:proofErr w:type="spellStart"/>
      <w:r>
        <w:rPr>
          <w:rtl/>
        </w:rPr>
        <w:t>בוויליאמסבורג</w:t>
      </w:r>
      <w:proofErr w:type="spellEnd"/>
      <w:r>
        <w:rPr>
          <w:rtl/>
        </w:rPr>
        <w:t>.</w:t>
      </w:r>
    </w:p>
    <w:p w14:paraId="6050E56F" w14:textId="77777777" w:rsidR="00AB3647" w:rsidRDefault="00000000" w:rsidP="007923E9">
      <w:pPr>
        <w:spacing w:after="120" w:line="276" w:lineRule="auto"/>
        <w:ind w:firstLine="283"/>
        <w:jc w:val="both"/>
      </w:pPr>
      <w:r>
        <w:rPr>
          <w:rtl/>
        </w:rPr>
        <w:t>המקרה השני שבו השתמש אבי במרמה לטובתו של אדם אירע מיד אחרי בר המצווה שלי (ח׳ בתמוז תש״ג). ימים אחדים אחרי תחילת חופשת הקיץ נתן לי אבי מחברת, ובה הייתי צריך להעתיק, בעזרת קונקורדנציה, את כל הפסוקים בתנ״ך שיש בהם צורה כלשהי של הפועל “הלך” – יש קרוב לחמש מאות פסוקים כאלה. אחרי כמה ימי עבודה מייגעת שאלתי את אבי אם הוא באמת צריך את רשימת הפסוקים שאני מכין. רק כעבור שנתיים הבנתי שתשובתו החיובית של רבנו לא הייתה אמת: כשראה אבי שבנו הנער מתבטל, המציא משימה כדי להעסיקו, בהתאם לכלל שכתב לי במכתב מאוחר יותר, “כי אם כל חטאת היא הבטלה”</w:t>
      </w:r>
      <w:bookmarkStart w:id="6558" w:name="_fnr4966"/>
      <w:r>
        <w:rPr>
          <w:rStyle w:val="a5"/>
        </w:rPr>
        <w:footnoteReference w:id="4979" w:customMarkFollows="0"/>
      </w:r>
      <w:bookmarkEnd w:id="6558"/>
      <w:r>
        <w:rPr>
          <w:rtl/>
        </w:rPr>
        <w:t>.</w:t>
      </w:r>
    </w:p>
    <w:p w14:paraId="1A7ECB83" w14:textId="77777777" w:rsidR="00AB3647" w:rsidRDefault="00000000" w:rsidP="007923E9">
      <w:pPr>
        <w:spacing w:after="120" w:line="276" w:lineRule="auto"/>
        <w:ind w:firstLine="283"/>
        <w:jc w:val="both"/>
      </w:pPr>
      <w:r>
        <w:rPr>
          <w:rtl/>
        </w:rPr>
        <w:t xml:space="preserve">ר׳ ישראל </w:t>
      </w:r>
      <w:proofErr w:type="spellStart"/>
      <w:r>
        <w:rPr>
          <w:rtl/>
        </w:rPr>
        <w:t>שורין</w:t>
      </w:r>
      <w:proofErr w:type="spellEnd"/>
      <w:r>
        <w:rPr>
          <w:rtl/>
        </w:rPr>
        <w:t xml:space="preserve"> שמע מפי ר׳ </w:t>
      </w:r>
      <w:proofErr w:type="spellStart"/>
      <w:r>
        <w:rPr>
          <w:rtl/>
        </w:rPr>
        <w:t>שמואל־דוד</w:t>
      </w:r>
      <w:proofErr w:type="spellEnd"/>
      <w:r>
        <w:rPr>
          <w:rtl/>
        </w:rPr>
        <w:t xml:space="preserve"> </w:t>
      </w:r>
      <w:proofErr w:type="spellStart"/>
      <w:r>
        <w:rPr>
          <w:rtl/>
        </w:rPr>
        <w:t>וולקין</w:t>
      </w:r>
      <w:proofErr w:type="spellEnd"/>
      <w:r>
        <w:rPr>
          <w:rtl/>
        </w:rPr>
        <w:t xml:space="preserve"> על מעשה מרמה מפליא עוד יותר של הסבא. </w:t>
      </w:r>
      <w:proofErr w:type="spellStart"/>
      <w:r>
        <w:rPr>
          <w:rtl/>
        </w:rPr>
        <w:t>לר</w:t>
      </w:r>
      <w:proofErr w:type="spellEnd"/>
      <w:r>
        <w:rPr>
          <w:rtl/>
        </w:rPr>
        <w:t xml:space="preserve">׳ </w:t>
      </w:r>
      <w:proofErr w:type="spellStart"/>
      <w:r>
        <w:rPr>
          <w:rtl/>
        </w:rPr>
        <w:t>שמואל־דוד</w:t>
      </w:r>
      <w:proofErr w:type="spellEnd"/>
      <w:r>
        <w:rPr>
          <w:rtl/>
        </w:rPr>
        <w:t xml:space="preserve"> </w:t>
      </w:r>
      <w:proofErr w:type="spellStart"/>
      <w:r>
        <w:rPr>
          <w:rtl/>
        </w:rPr>
        <w:t>וולקין</w:t>
      </w:r>
      <w:proofErr w:type="spellEnd"/>
      <w:r>
        <w:rPr>
          <w:rtl/>
        </w:rPr>
        <w:t xml:space="preserve"> סיפר אותו ר׳ שמואל </w:t>
      </w:r>
      <w:proofErr w:type="spellStart"/>
      <w:r>
        <w:rPr>
          <w:rtl/>
        </w:rPr>
        <w:t>צפח</w:t>
      </w:r>
      <w:proofErr w:type="spellEnd"/>
      <w:r>
        <w:rPr>
          <w:rtl/>
        </w:rPr>
        <w:t xml:space="preserve">, עילוי שנודע בישיבה בשם שמואל </w:t>
      </w:r>
      <w:proofErr w:type="spellStart"/>
      <w:r>
        <w:rPr>
          <w:rtl/>
        </w:rPr>
        <w:t>צ׳רקסער</w:t>
      </w:r>
      <w:proofErr w:type="spellEnd"/>
      <w:r>
        <w:rPr>
          <w:rtl/>
        </w:rPr>
        <w:t xml:space="preserve">. הוריו עברו לארצות הברית זמן קצר אחרי סוף מלחמת העולם הראשונה, ור׳ שמואל תכנן לעזוב את ישיבת </w:t>
      </w:r>
      <w:proofErr w:type="spellStart"/>
      <w:r>
        <w:rPr>
          <w:rtl/>
        </w:rPr>
        <w:t>סלבודקה</w:t>
      </w:r>
      <w:proofErr w:type="spellEnd"/>
      <w:r>
        <w:rPr>
          <w:rtl/>
        </w:rPr>
        <w:t xml:space="preserve"> ולהצטרף אליהם שם. כשבא להיפרד מן הסבא, חיבק אותו הסבא “בחיבה”, ובאותה שעה כייס את דרכונו מכיס מקטורנו! בעקבות “אובדן” המסמך לא יכול היה </w:t>
      </w:r>
      <w:proofErr w:type="spellStart"/>
      <w:r>
        <w:rPr>
          <w:rtl/>
        </w:rPr>
        <w:t>צפח</w:t>
      </w:r>
      <w:proofErr w:type="spellEnd"/>
      <w:r>
        <w:rPr>
          <w:rtl/>
        </w:rPr>
        <w:t xml:space="preserve"> לנסוע לארצות הברית, ונאלץ להצטרף לשאר תלמידי </w:t>
      </w:r>
      <w:proofErr w:type="spellStart"/>
      <w:r>
        <w:rPr>
          <w:rtl/>
        </w:rPr>
        <w:t>סלבודקה</w:t>
      </w:r>
      <w:proofErr w:type="spellEnd"/>
      <w:r>
        <w:rPr>
          <w:rtl/>
        </w:rPr>
        <w:t xml:space="preserve"> שיצאו לארץ ישראל להקים את ישיבת חברון.</w:t>
      </w:r>
    </w:p>
    <w:p w14:paraId="0D52218E" w14:textId="77777777" w:rsidR="00AB3647" w:rsidRDefault="00000000" w:rsidP="007923E9">
      <w:pPr>
        <w:spacing w:after="120" w:line="276" w:lineRule="auto"/>
        <w:ind w:firstLine="283"/>
        <w:jc w:val="both"/>
      </w:pPr>
      <w:r>
        <w:rPr>
          <w:rtl/>
        </w:rPr>
        <w:t>לפי תיאור אחר</w:t>
      </w:r>
      <w:bookmarkStart w:id="6559" w:name="_fnr4967"/>
      <w:r>
        <w:rPr>
          <w:rStyle w:val="a5"/>
        </w:rPr>
        <w:footnoteReference w:id="4980" w:customMarkFollows="0"/>
      </w:r>
      <w:bookmarkEnd w:id="6559"/>
      <w:r>
        <w:rPr>
          <w:rtl/>
        </w:rPr>
        <w:t xml:space="preserve">, שלח הסבא יד לכיסו של שמואל גם בפעם אחרת – כנראה לפני המאורע שתואר לעיל – ואז הוציא ממנו כרטיס לקולנוע. כשהבין </w:t>
      </w:r>
      <w:proofErr w:type="spellStart"/>
      <w:r>
        <w:rPr>
          <w:rtl/>
        </w:rPr>
        <w:t>הצ׳רקסער</w:t>
      </w:r>
      <w:proofErr w:type="spellEnd"/>
      <w:r>
        <w:rPr>
          <w:rtl/>
        </w:rPr>
        <w:t xml:space="preserve"> החריף מה אירע, השתמש </w:t>
      </w:r>
      <w:r>
        <w:rPr>
          <w:rtl/>
        </w:rPr>
        <w:lastRenderedPageBreak/>
        <w:t>בלשונו של הסבא ואמר לרבו בהלצה: “עכשיו צמצמת את ‘גדלות האדם’ כשנטלת ממנו את ‘חופש הבחירה’”.</w:t>
      </w:r>
    </w:p>
    <w:bookmarkStart w:id="6560" w:name="b5_excE"/>
    <w:p w14:paraId="22DE0A92" w14:textId="77777777" w:rsidR="00AB3647" w:rsidRDefault="00000000" w:rsidP="007923E9">
      <w:pPr>
        <w:pStyle w:val="3"/>
        <w:spacing w:line="276" w:lineRule="auto"/>
      </w:pPr>
      <w:r>
        <w:lastRenderedPageBreak/>
        <w:fldChar w:fldCharType="begin" w:dirty="true"/>
      </w:r>
      <w:r>
        <w:rPr>
          <w:rtl w:val="0"/>
        </w:rPr>
        <w:instrText>HYPERLINK \l "b5_note60</w:instrText>
      </w:r>
      <w:r>
        <w:instrText>"</w:instrText>
      </w:r>
      <w:r>
        <w:fldChar w:fldCharType="separate"/>
      </w:r>
      <w:r>
        <w:t>נספח ה</w:t>
      </w:r>
      <w:r>
        <w:fldChar w:fldCharType="end"/>
      </w:r>
      <w:bookmarkEnd w:id="6560"/>
    </w:p>
    <w:p w14:paraId="3B484F8B" w14:textId="77777777" w:rsidR="00AB3647" w:rsidRDefault="00000000" w:rsidP="007923E9">
      <w:pPr>
        <w:pStyle w:val="af"/>
        <w:spacing w:line="276" w:lineRule="auto"/>
        <w:ind w:firstLine="340"/>
      </w:pPr>
      <w:r>
        <w:t>על גיוס יהודים לצבא הצאר</w:t>
      </w:r>
    </w:p>
    <w:p w14:paraId="60204C6E" w14:textId="77777777" w:rsidR="00AB3647" w:rsidRDefault="00000000" w:rsidP="007923E9">
      <w:pPr>
        <w:pStyle w:val="5"/>
        <w:spacing w:line="276" w:lineRule="auto"/>
      </w:pPr>
      <w:r>
        <w:t xml:space="preserve">נכדי </w:t>
      </w:r>
      <w:proofErr w:type="spellStart"/>
      <w:r>
        <w:t>שמואל־הירש</w:t>
      </w:r>
      <w:proofErr w:type="spellEnd"/>
      <w:r>
        <w:t xml:space="preserve"> </w:t>
      </w:r>
      <w:proofErr w:type="spellStart"/>
      <w:r>
        <w:t>קמינצקי</w:t>
      </w:r>
      <w:proofErr w:type="spellEnd"/>
      <w:r>
        <w:t xml:space="preserve"> אינם מתגייסים – התחמקות מן הגיוס אינה נחשבת מבישה – משפחות </w:t>
      </w:r>
      <w:proofErr w:type="spellStart"/>
      <w:r>
        <w:t>קמינצקי</w:t>
      </w:r>
      <w:proofErr w:type="spellEnd"/>
      <w:r>
        <w:t xml:space="preserve"> </w:t>
      </w:r>
      <w:proofErr w:type="spellStart"/>
      <w:r>
        <w:t>מדולהינוב</w:t>
      </w:r>
      <w:proofErr w:type="spellEnd"/>
      <w:r>
        <w:t>, מסלונים ומלידה קרובות זו לזו</w:t>
      </w:r>
    </w:p>
    <w:p w14:paraId="5220F5FF" w14:textId="77777777" w:rsidR="00AB3647" w:rsidRDefault="00000000" w:rsidP="007923E9">
      <w:pPr>
        <w:spacing w:after="120" w:line="276" w:lineRule="auto"/>
        <w:ind w:firstLine="283"/>
        <w:jc w:val="both"/>
      </w:pPr>
      <w:r>
        <w:rPr>
          <w:rtl/>
        </w:rPr>
        <w:t>באותה תקופה שבה התכתבתי ביידיש עם אחות אבי, הדודה דבורה</w:t>
      </w:r>
      <w:bookmarkStart w:id="6561" w:name="_fnr4968"/>
      <w:r>
        <w:rPr>
          <w:rStyle w:val="a5"/>
        </w:rPr>
        <w:footnoteReference w:id="4981" w:customMarkFollows="0"/>
      </w:r>
      <w:bookmarkEnd w:id="6561"/>
      <w:r>
        <w:rPr>
          <w:rtl/>
        </w:rPr>
        <w:t xml:space="preserve">, התכתבתי באנגלית גם עם קרובתי פימה </w:t>
      </w:r>
      <w:proofErr w:type="spellStart"/>
      <w:r>
        <w:rPr>
          <w:rtl/>
        </w:rPr>
        <w:t>קמינצקי</w:t>
      </w:r>
      <w:proofErr w:type="spellEnd"/>
      <w:r>
        <w:rPr>
          <w:rtl/>
        </w:rPr>
        <w:t xml:space="preserve">, כלתו של אחיו הבכור של אבי, </w:t>
      </w:r>
      <w:proofErr w:type="spellStart"/>
      <w:r>
        <w:rPr>
          <w:rtl/>
        </w:rPr>
        <w:t>חיים־זרח</w:t>
      </w:r>
      <w:bookmarkStart w:id="6562" w:name="_fnr4969"/>
      <w:proofErr w:type="spellEnd"/>
      <w:r>
        <w:rPr>
          <w:rStyle w:val="a5"/>
        </w:rPr>
        <w:footnoteReference w:id="4982" w:customMarkFollows="0"/>
      </w:r>
      <w:bookmarkEnd w:id="6562"/>
      <w:r>
        <w:rPr>
          <w:rtl/>
        </w:rPr>
        <w:t>. גם פימה גרה במינסק, והמידע שמסרה בא מדודתנו דבורה.</w:t>
      </w:r>
    </w:p>
    <w:p w14:paraId="558A0FE7" w14:textId="77777777" w:rsidR="00AB3647" w:rsidRDefault="00000000" w:rsidP="007923E9">
      <w:pPr>
        <w:spacing w:after="120" w:line="276" w:lineRule="auto"/>
        <w:ind w:firstLine="283"/>
        <w:jc w:val="both"/>
      </w:pPr>
      <w:r>
        <w:rPr>
          <w:rtl/>
        </w:rPr>
        <w:t xml:space="preserve">במכתב מ־28 במאי 1988 כתבה פימה: “לאבי אביך, </w:t>
      </w:r>
      <w:proofErr w:type="spellStart"/>
      <w:r>
        <w:rPr>
          <w:rtl/>
        </w:rPr>
        <w:t>שמואל־הירש</w:t>
      </w:r>
      <w:proofErr w:type="spellEnd"/>
      <w:r>
        <w:rPr>
          <w:rtl/>
        </w:rPr>
        <w:t xml:space="preserve"> </w:t>
      </w:r>
      <w:proofErr w:type="spellStart"/>
      <w:r>
        <w:rPr>
          <w:rtl/>
        </w:rPr>
        <w:t>קמינצקי</w:t>
      </w:r>
      <w:bookmarkStart w:id="6563" w:name="_fnr4970"/>
      <w:bookmarkEnd w:id="6563"/>
      <w:proofErr w:type="spellEnd"/>
      <w:r>
        <w:rPr>
          <w:rStyle w:val="a5"/>
        </w:rPr>
        <w:t/>
      </w:r>
      <w:bookmarkStart w:id="7055" w:name="_TranslatorNote_5403"/>
      <w:r>
        <w:rPr>
          <w:rStyle w:val="a5"/>
          <w:vertAlign w:val="superscript"/>
          <w:rtl/>
        </w:rPr>
        <w:footnoteReference w:id="4983" w:customMarkFollows="1"/>
        <w:t>*</w:t>
      </w:r>
      <w:bookmarkEnd w:id="7055"/>
      <w:r>
        <w:rPr>
          <w:rtl/>
        </w:rPr>
        <w:t xml:space="preserve">, היה אח למחצה [לשניהם אותה אם] בשם משפחה </w:t>
      </w:r>
      <w:proofErr w:type="spellStart"/>
      <w:r>
        <w:rPr>
          <w:rtl/>
        </w:rPr>
        <w:t>רוגוב</w:t>
      </w:r>
      <w:proofErr w:type="spellEnd"/>
      <w:r>
        <w:rPr>
          <w:rtl/>
        </w:rPr>
        <w:t xml:space="preserve">, והוא היה רופא בווילנה</w:t>
      </w:r>
      <w:bookmarkStart w:id="6564" w:name="_fnr4971"/>
      <w:r>
        <w:rPr>
          <w:rStyle w:val="a5"/>
        </w:rPr>
        <w:footnoteReference w:id="4984" w:customMarkFollows="0"/>
      </w:r>
      <w:bookmarkEnd w:id="6564"/>
      <w:r>
        <w:rPr>
          <w:rtl/>
        </w:rPr>
        <w:t xml:space="preserve">. בכל שנה, כשיצאה הקריאה לשירות צבאי, נסע ד״ר </w:t>
      </w:r>
      <w:proofErr w:type="spellStart"/>
      <w:r>
        <w:rPr>
          <w:rtl/>
        </w:rPr>
        <w:t>רוגוב</w:t>
      </w:r>
      <w:proofErr w:type="spellEnd"/>
      <w:r>
        <w:rPr>
          <w:rtl/>
        </w:rPr>
        <w:t xml:space="preserve"> ללידה, שהייתה אז עיר מחוז, כדי לבדוק את המתגייסים ולהעיד על בריאותם. </w:t>
      </w:r>
      <w:proofErr w:type="spellStart"/>
      <w:r>
        <w:rPr>
          <w:rtl/>
        </w:rPr>
        <w:t>רוגוב</w:t>
      </w:r>
      <w:proofErr w:type="spellEnd"/>
      <w:r>
        <w:rPr>
          <w:rtl/>
        </w:rPr>
        <w:t xml:space="preserve"> אמר </w:t>
      </w:r>
      <w:proofErr w:type="spellStart"/>
      <w:r>
        <w:rPr>
          <w:rtl/>
        </w:rPr>
        <w:t>לשמואל־הירש</w:t>
      </w:r>
      <w:proofErr w:type="spellEnd"/>
      <w:r>
        <w:rPr>
          <w:rtl/>
        </w:rPr>
        <w:t xml:space="preserve"> להוסיף שנתיים או שלוש לגיל נכדיו בשעת לידתם, ולטעון שנולדו בלידה – אף שהמשפחה מעולם לא גרה שם. מאחר שגופם היה מטבעו מפותח הרבה פחות מן המתאים ל</w:t>
      </w:r>
      <w:r>
        <w:rPr>
          <w:b/>
          <w:bCs/>
          <w:rtl/>
        </w:rPr>
        <w:t>גילם הרשום</w:t>
      </w:r>
      <w:r>
        <w:rPr>
          <w:rtl/>
        </w:rPr>
        <w:t xml:space="preserve">, קיבלו כרטיסים לבנים, כלומר פטור מגיוס. כך לא שירת איש מנכדי </w:t>
      </w:r>
      <w:proofErr w:type="spellStart"/>
      <w:r>
        <w:rPr>
          <w:rtl/>
        </w:rPr>
        <w:t>שמואל־הירש</w:t>
      </w:r>
      <w:proofErr w:type="spellEnd"/>
      <w:r>
        <w:rPr>
          <w:rtl/>
        </w:rPr>
        <w:t xml:space="preserve"> בצבא הצאר”</w:t>
      </w:r>
      <w:bookmarkStart w:id="6565" w:name="_fnr4972"/>
      <w:r>
        <w:rPr>
          <w:rStyle w:val="a5"/>
        </w:rPr>
        <w:footnoteReference w:id="4985" w:customMarkFollows="0"/>
      </w:r>
      <w:bookmarkEnd w:id="6565"/>
      <w:r>
        <w:rPr>
          <w:rtl/>
        </w:rPr>
        <w:t>.</w:t>
      </w:r>
    </w:p>
    <w:p w14:paraId="2C90E9B6" w14:textId="77777777" w:rsidR="00AB3647" w:rsidRDefault="00000000" w:rsidP="007923E9">
      <w:pPr>
        <w:spacing w:after="120" w:line="276" w:lineRule="auto"/>
        <w:ind w:firstLine="283"/>
        <w:jc w:val="both"/>
      </w:pPr>
      <w:r>
        <w:rPr>
          <w:rtl/>
        </w:rPr>
        <w:t xml:space="preserve">זיכרונותיו של </w:t>
      </w:r>
      <w:proofErr w:type="spellStart"/>
      <w:r>
        <w:rPr>
          <w:rtl/>
        </w:rPr>
        <w:t>יהושע־לייב</w:t>
      </w:r>
      <w:proofErr w:type="spellEnd"/>
      <w:r>
        <w:rPr>
          <w:rtl/>
        </w:rPr>
        <w:t xml:space="preserve"> </w:t>
      </w:r>
      <w:proofErr w:type="spellStart"/>
      <w:r>
        <w:rPr>
          <w:rtl/>
        </w:rPr>
        <w:t>ראדוס</w:t>
      </w:r>
      <w:bookmarkStart w:id="6566" w:name="_fnr4973"/>
      <w:proofErr w:type="spellEnd"/>
      <w:r>
        <w:rPr>
          <w:rStyle w:val="a5"/>
        </w:rPr>
        <w:footnoteReference w:id="4986" w:customMarkFollows="0"/>
      </w:r>
      <w:bookmarkEnd w:id="6566"/>
      <w:r>
        <w:rPr>
          <w:rtl/>
        </w:rPr>
        <w:t xml:space="preserve"> מספרים מעשה – מופלא אך אמיתי – באדם </w:t>
      </w:r>
      <w:proofErr w:type="spellStart"/>
      <w:r>
        <w:rPr>
          <w:rtl/>
        </w:rPr>
        <w:t>מדווינסק</w:t>
      </w:r>
      <w:proofErr w:type="spellEnd"/>
      <w:r>
        <w:rPr>
          <w:rtl/>
        </w:rPr>
        <w:t xml:space="preserve"> ששמו אינו נמסר, מלבד האות ר׳. הוא היה “גדול בתורה, דרשן בציבור, שנאומיו השפיעו מאוד על לב האנשים, אך לא רצה להתפרנס מן התורה”, ועבד כרוכל צנוע. אחר כך השיג רישיון לעסוק במסחר במבצר הרוסי הגדול שבעיר, וקנה לו את אמונו של הרופא הראשי בבית החולים הצבאי שם. לימים הציגו הרופא לפני מפקד המבצר ולפני קצינים אחרים </w:t>
      </w:r>
      <w:proofErr w:type="spellStart"/>
      <w:r>
        <w:rPr>
          <w:rtl/>
        </w:rPr>
        <w:t>כ“היהודי</w:t>
      </w:r>
      <w:proofErr w:type="spellEnd"/>
      <w:r>
        <w:rPr>
          <w:rtl/>
        </w:rPr>
        <w:t xml:space="preserve"> הלמדן שלו”, וכשערך הרופא מסיבה להם ולאורחים נוספים, ביקש מר׳, נמוך הקומה, לנאום “מעל שולחן עגול באמצע האולם, וכולם התרשמו מאוד”.</w:t>
      </w:r>
    </w:p>
    <w:p w14:paraId="4E62A7F5" w14:textId="5C9B20D2" w:rsidR="00AB3647" w:rsidRDefault="00000000" w:rsidP="007923E9">
      <w:pPr>
        <w:spacing w:after="120" w:line="276" w:lineRule="auto"/>
        <w:ind w:firstLine="283"/>
        <w:jc w:val="both"/>
      </w:pPr>
      <w:r>
        <w:rPr>
          <w:rtl/>
        </w:rPr>
        <w:t xml:space="preserve">דבר גרר דבר, עד שר׳ הגיע למעמד שבו יכול היה להשפיע על הרופא לשחרר מגיוס מועמדים מסוימים. המעשה </w:t>
      </w:r>
      <w:proofErr w:type="spellStart"/>
      <w:r>
        <w:rPr>
          <w:rtl/>
        </w:rPr>
        <w:t>הלא־ייאמן</w:t>
      </w:r>
      <w:proofErr w:type="spellEnd"/>
      <w:r>
        <w:rPr>
          <w:rtl/>
        </w:rPr>
        <w:t xml:space="preserve"> מסתיים במשפט הבא: “אחרי זמן רב, כשהעבירה הממשלה את הרופא לבית החולים בווילנה, עזב גם ר׳ את עירנו והשתקע בווילנה”. אפשר לשער </w:t>
      </w:r>
      <w:proofErr w:type="spellStart"/>
      <w:r>
        <w:rPr>
          <w:rtl/>
        </w:rPr>
        <w:t>ש“ר</w:t>
      </w:r>
      <w:proofErr w:type="spellEnd"/>
      <w:r>
        <w:rPr>
          <w:rtl/>
        </w:rPr>
        <w:t>׳”, שהיה בעליל אדם נבון מאוד, אינו אלא “</w:t>
      </w:r>
      <w:proofErr w:type="spellStart"/>
      <w:r>
        <w:rPr>
          <w:rtl/>
        </w:rPr>
        <w:t>רוגוב</w:t>
      </w:r>
      <w:proofErr w:type="spellEnd"/>
      <w:r>
        <w:rPr>
          <w:rtl/>
        </w:rPr>
        <w:t xml:space="preserve">”, שלבסוף רכש מן המיטיב עמו </w:t>
      </w:r>
      <w:r>
        <w:rPr>
          <w:rtl/>
        </w:rPr>
        <w:lastRenderedPageBreak/>
        <w:t xml:space="preserve">– עתה הרופא הצבאי הראשי בווילנה – די ידיעות רפואיות וקשרים כדי לפעול כשליחו בענייני גיוס בלידה, עיר באזור וילנה! השווה גם פרק 1, הערה </w:t>
      </w:r>
      <w:r>
        <w:rPr>
          <w:rtl/>
        </w:rPr>
        <w:fldChar w:fldCharType="begin" w:dirty="true"/>
      </w:r>
      <w:r>
        <w:rPr>
          <w:rtl/>
        </w:rPr>
        <w:instrText xml:space="preserve"> REF b1_note28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28</w:t>
      </w:r>
      <w:r>
        <w:rPr>
          <w:rtl/>
        </w:rPr>
        <w:fldChar w:fldCharType="end"/>
      </w:r>
      <w:r>
        <w:rPr>
          <w:rtl/>
        </w:rPr>
        <w:t>.</w:t>
      </w:r>
    </w:p>
    <w:p w14:paraId="39D24EBA" w14:textId="77777777" w:rsidR="00AB3647" w:rsidRDefault="00000000" w:rsidP="007923E9">
      <w:pPr>
        <w:spacing w:after="120" w:line="276" w:lineRule="auto"/>
        <w:ind w:firstLine="283"/>
        <w:jc w:val="both"/>
      </w:pPr>
      <w:bookmarkStart w:id="6567" w:name="pr_b_2723"/>
      <w:bookmarkEnd w:id="6567"/>
      <w:r>
        <w:rPr>
          <w:rtl/>
        </w:rPr>
        <w:t>על האמצעים הבלתי חוקיים שבהם התחמקו יהודים מן הגיוס</w:t>
      </w:r>
      <w:bookmarkStart w:id="6568" w:name="_fnr4974"/>
      <w:r>
        <w:rPr>
          <w:rStyle w:val="a5"/>
        </w:rPr>
        <w:footnoteReference w:id="4987" w:customMarkFollows="0"/>
      </w:r>
      <w:bookmarkEnd w:id="6568"/>
      <w:r>
        <w:rPr>
          <w:rtl/>
        </w:rPr>
        <w:t xml:space="preserve"> מביא </w:t>
      </w:r>
      <w:proofErr w:type="spellStart"/>
      <w:r>
        <w:rPr>
          <w:rtl/>
        </w:rPr>
        <w:t>שאשקעס</w:t>
      </w:r>
      <w:bookmarkStart w:id="6569" w:name="_fnr4975"/>
      <w:proofErr w:type="spellEnd"/>
      <w:r>
        <w:rPr>
          <w:rStyle w:val="a5"/>
        </w:rPr>
        <w:footnoteReference w:id="4988" w:customMarkFollows="0"/>
      </w:r>
      <w:bookmarkEnd w:id="6569"/>
      <w:r>
        <w:rPr>
          <w:rtl/>
        </w:rPr>
        <w:t xml:space="preserve"> ניתוח מעניין: דירוג עוברי החוק היהודים ברוסיה הצארית, כפי שקבעה אותו החברה היהודית שם. וזו לשונו: “ישיבה בכלא בגלל גנבה, שלא לדבר על שוד, הייתה מאוסה בעיני החברה [היהודית]. ואף על פי כן, אני זוכר שכאשר אסרו את הרשל </w:t>
      </w:r>
      <w:proofErr w:type="spellStart"/>
      <w:r>
        <w:rPr>
          <w:rtl/>
        </w:rPr>
        <w:t>דער</w:t>
      </w:r>
      <w:proofErr w:type="spellEnd"/>
      <w:r>
        <w:rPr>
          <w:rtl/>
        </w:rPr>
        <w:t xml:space="preserve"> </w:t>
      </w:r>
      <w:proofErr w:type="spellStart"/>
      <w:r>
        <w:rPr>
          <w:rtl/>
        </w:rPr>
        <w:t>געלער</w:t>
      </w:r>
      <w:proofErr w:type="spellEnd"/>
      <w:r>
        <w:rPr>
          <w:rtl/>
        </w:rPr>
        <w:t xml:space="preserve"> [הבלונדיני] בגלל זיוף </w:t>
      </w:r>
      <w:proofErr w:type="spellStart"/>
      <w:r>
        <w:rPr>
          <w:rtl/>
        </w:rPr>
        <w:t>בנדרולים</w:t>
      </w:r>
      <w:proofErr w:type="spellEnd"/>
      <w:r>
        <w:rPr>
          <w:rtl/>
        </w:rPr>
        <w:t xml:space="preserve"> [פתקי מס בלו] שהודבקו על חפיסות סיגריות ועל אריזות שמרים, או את יאשה הרופא בגלל ‘הורדת מעיים’ מלאכותית כדי להציל יהודי משירות הצאר, היו מצקצקים בלשונם באהדה ואוספים תרומות למשפחת האסיר. בין מיטב בני הקהילה הייתה מעין הסכמה פסיכולוגית, שלהונות את ‘</w:t>
      </w:r>
      <w:proofErr w:type="spellStart"/>
      <w:r>
        <w:rPr>
          <w:rtl/>
        </w:rPr>
        <w:t>פוניה</w:t>
      </w:r>
      <w:proofErr w:type="spellEnd"/>
      <w:r>
        <w:rPr>
          <w:rtl/>
        </w:rPr>
        <w:t xml:space="preserve"> גנב [</w:t>
      </w:r>
      <w:proofErr w:type="spellStart"/>
      <w:r>
        <w:rPr>
          <w:rtl/>
        </w:rPr>
        <w:t>פוניה</w:t>
      </w:r>
      <w:proofErr w:type="spellEnd"/>
      <w:r>
        <w:rPr>
          <w:rtl/>
        </w:rPr>
        <w:t xml:space="preserve"> – כינוי לשלטון הרוסי – הגנב]’ באמצעות מעט סחורה מוברחת מעבר לגבול, או באמצעות הדפסת ניירות ‘רשמיים’ </w:t>
      </w:r>
      <w:proofErr w:type="spellStart"/>
      <w:r>
        <w:rPr>
          <w:rtl/>
        </w:rPr>
        <w:t>ובנדרולים</w:t>
      </w:r>
      <w:proofErr w:type="spellEnd"/>
      <w:r>
        <w:rPr>
          <w:rtl/>
        </w:rPr>
        <w:t xml:space="preserve"> מזויפים – או בריחה לאמריקה אחרי שבועת אמונים לצאר – אינו פשע שעל המשפחה להתבייש בו. הייתה זו מחאתו האינסטינקטיבית של היהודי המדוכא והמבוזה נגד השלטון הצארי, שהשתמש בעצמו באמצעים בלתי חוקיים כדי </w:t>
      </w:r>
      <w:proofErr w:type="spellStart"/>
      <w:r>
        <w:rPr>
          <w:rtl/>
        </w:rPr>
        <w:t>להרסו</w:t>
      </w:r>
      <w:proofErr w:type="spellEnd"/>
      <w:r>
        <w:rPr>
          <w:rtl/>
        </w:rPr>
        <w:t xml:space="preserve"> ולהשמידו”.</w:t>
      </w:r>
    </w:p>
    <w:p w14:paraId="5422FE8D" w14:textId="77777777" w:rsidR="00AB3647" w:rsidRDefault="00000000" w:rsidP="007923E9">
      <w:pPr>
        <w:spacing w:after="120" w:line="276" w:lineRule="auto"/>
        <w:ind w:firstLine="283"/>
        <w:jc w:val="both"/>
      </w:pPr>
      <w:r>
        <w:rPr>
          <w:rtl/>
        </w:rPr>
        <w:t xml:space="preserve">גזרת </w:t>
      </w:r>
      <w:proofErr w:type="spellStart"/>
      <w:r>
        <w:rPr>
          <w:rtl/>
        </w:rPr>
        <w:t>הקנטוניסטים</w:t>
      </w:r>
      <w:proofErr w:type="spellEnd"/>
      <w:r>
        <w:rPr>
          <w:rtl/>
        </w:rPr>
        <w:t xml:space="preserve"> הטרגית היא מן העוולות הידועות של הצארים ושל הממסד הצבאי הרוסי: ילדים, מהם מתחת לגיל עשר, נחטפו מהוריהם</w:t>
      </w:r>
      <w:bookmarkStart w:id="6570" w:name="_fnr4976"/>
      <w:r>
        <w:rPr>
          <w:rStyle w:val="a5"/>
        </w:rPr>
        <w:footnoteReference w:id="4989" w:customMarkFollows="0"/>
      </w:r>
      <w:bookmarkEnd w:id="6570"/>
      <w:r>
        <w:rPr>
          <w:rtl/>
        </w:rPr>
        <w:t xml:space="preserve">, גודלו בקסרקטינים או אצל איכרים גויים פרימיטיביים ברוסיה הפנימית עד גיל </w:t>
      </w:r>
      <w:proofErr w:type="spellStart"/>
      <w:r>
        <w:rPr>
          <w:rtl/>
        </w:rPr>
        <w:t>שמונה־עשרה</w:t>
      </w:r>
      <w:proofErr w:type="spellEnd"/>
      <w:r>
        <w:rPr>
          <w:rtl/>
        </w:rPr>
        <w:t>, ואז גויסו לצבא הרוסי לעשרים וחמש שנה. מכ־130,000 נערים שנחטפו בשנים תקפ״ז–תרט״ז, פחות ממחצית שרדו את מסעות הכפייה מתחום המושב היהודי לסיביר הרחוקה. מן הנותרים, שעונו ונלחצו בדרכים אחרות לקבל את הנצרות, בחרו אלפים להתאבד, והשאר המירו את דתם. רק יוצאי דופן מעטים נשארו יהודים אחרי שירותם הצבאי</w:t>
      </w:r>
      <w:bookmarkStart w:id="6571" w:name="_fnr4977"/>
      <w:r>
        <w:rPr>
          <w:rStyle w:val="a5"/>
        </w:rPr>
        <w:footnoteReference w:id="4990" w:customMarkFollows="0"/>
      </w:r>
      <w:bookmarkEnd w:id="6571"/>
      <w:r>
        <w:rPr>
          <w:rtl/>
        </w:rPr>
        <w:t xml:space="preserve">. אם כן, לפי </w:t>
      </w:r>
      <w:proofErr w:type="spellStart"/>
      <w:r>
        <w:rPr>
          <w:rtl/>
        </w:rPr>
        <w:t>שאשקעס</w:t>
      </w:r>
      <w:proofErr w:type="spellEnd"/>
      <w:r>
        <w:rPr>
          <w:rtl/>
        </w:rPr>
        <w:t xml:space="preserve">, התחמקות מן הגיוס, כמו זו של נכדי ר׳ </w:t>
      </w:r>
      <w:proofErr w:type="spellStart"/>
      <w:r>
        <w:rPr>
          <w:rtl/>
        </w:rPr>
        <w:t>שמואל־הירש</w:t>
      </w:r>
      <w:proofErr w:type="spellEnd"/>
      <w:r>
        <w:rPr>
          <w:rtl/>
        </w:rPr>
        <w:t>, לא נחשבה מבישה כלל.</w:t>
      </w:r>
    </w:p>
    <w:p w14:paraId="5D8C3DEA" w14:textId="77777777" w:rsidR="00AB3647" w:rsidRDefault="00000000" w:rsidP="007923E9">
      <w:pPr>
        <w:spacing w:after="120" w:line="276" w:lineRule="auto"/>
        <w:ind w:firstLine="283"/>
        <w:jc w:val="both"/>
      </w:pPr>
      <w:r>
        <w:rPr>
          <w:rtl/>
        </w:rPr>
        <w:t xml:space="preserve">רבנו סיפר גם לנכדו ר׳ דוד </w:t>
      </w:r>
      <w:proofErr w:type="spellStart"/>
      <w:r>
        <w:rPr>
          <w:rtl/>
        </w:rPr>
        <w:t>קמינצקי</w:t>
      </w:r>
      <w:bookmarkStart w:id="6572" w:name="_fnr4978"/>
      <w:proofErr w:type="spellEnd"/>
      <w:r>
        <w:rPr>
          <w:rStyle w:val="a5"/>
        </w:rPr>
        <w:footnoteReference w:id="4991" w:customMarkFollows="0"/>
      </w:r>
      <w:bookmarkEnd w:id="6572"/>
      <w:r>
        <w:rPr>
          <w:rtl/>
        </w:rPr>
        <w:t xml:space="preserve"> </w:t>
      </w:r>
      <w:proofErr w:type="spellStart"/>
      <w:r>
        <w:rPr>
          <w:rtl/>
        </w:rPr>
        <w:t>ש“מעולם</w:t>
      </w:r>
      <w:proofErr w:type="spellEnd"/>
      <w:r>
        <w:rPr>
          <w:rtl/>
        </w:rPr>
        <w:t xml:space="preserve"> לא ביקר בלידה, ומשפחתו הקרובה מעולם לא גרה שם”, והוסיף: “אך ייתכן שמוצאם משם!”</w:t>
      </w:r>
      <w:bookmarkStart w:id="6573" w:name="_fnr4979"/>
      <w:r>
        <w:rPr>
          <w:rStyle w:val="a5"/>
        </w:rPr>
        <w:footnoteReference w:id="4992" w:customMarkFollows="0"/>
      </w:r>
      <w:bookmarkEnd w:id="6573"/>
      <w:r>
        <w:rPr>
          <w:rtl/>
        </w:rPr>
        <w:t xml:space="preserve"> אבי הביע ספק רק בשאלה אם מוצא משפחת </w:t>
      </w:r>
      <w:proofErr w:type="spellStart"/>
      <w:r>
        <w:rPr>
          <w:rtl/>
        </w:rPr>
        <w:t>קמינצקי</w:t>
      </w:r>
      <w:proofErr w:type="spellEnd"/>
      <w:r>
        <w:rPr>
          <w:rtl/>
        </w:rPr>
        <w:t xml:space="preserve"> מלידה, אבל היה בטוח שהוא קרוב למשפחות בשם זה שישבו שם, כפי שמוכיח מעשה שמסר לי ד״ר יוסף </w:t>
      </w:r>
      <w:proofErr w:type="spellStart"/>
      <w:r>
        <w:rPr>
          <w:rtl/>
        </w:rPr>
        <w:t>קמינצקי</w:t>
      </w:r>
      <w:bookmarkStart w:id="6574" w:name="_fnr4980"/>
      <w:proofErr w:type="spellEnd"/>
      <w:r>
        <w:rPr>
          <w:rStyle w:val="a5"/>
        </w:rPr>
        <w:footnoteReference w:id="4993" w:customMarkFollows="0"/>
      </w:r>
      <w:bookmarkEnd w:id="6574"/>
      <w:r>
        <w:rPr>
          <w:rtl/>
        </w:rPr>
        <w:t>.</w:t>
      </w:r>
    </w:p>
    <w:p w14:paraId="683019EA" w14:textId="77777777" w:rsidR="00AB3647" w:rsidRDefault="00000000" w:rsidP="007923E9">
      <w:pPr>
        <w:spacing w:after="120" w:line="276" w:lineRule="auto"/>
        <w:ind w:firstLine="283"/>
        <w:jc w:val="both"/>
      </w:pPr>
      <w:r>
        <w:rPr>
          <w:rtl/>
        </w:rPr>
        <w:t xml:space="preserve">אביו של ד״ר </w:t>
      </w:r>
      <w:proofErr w:type="spellStart"/>
      <w:r>
        <w:rPr>
          <w:rtl/>
        </w:rPr>
        <w:t>קמינצקי</w:t>
      </w:r>
      <w:proofErr w:type="spellEnd"/>
      <w:r>
        <w:rPr>
          <w:rtl/>
        </w:rPr>
        <w:t xml:space="preserve"> סבל ממחלה ניוונית, שבגללה נזקק לגירויים שיעוררו את מודעותו לסביבתו. אבי פתח עמו בשיחה ושאל מאין מוצא משפחתו. כשהשיב “העיר סלונים”, אמר </w:t>
      </w:r>
      <w:r>
        <w:rPr>
          <w:rtl/>
        </w:rPr>
        <w:lastRenderedPageBreak/>
        <w:t xml:space="preserve">אבי: “אם כן אנחנו קרובים, מפני שמשפחות </w:t>
      </w:r>
      <w:proofErr w:type="spellStart"/>
      <w:r>
        <w:rPr>
          <w:rtl/>
        </w:rPr>
        <w:t>קמינצקי</w:t>
      </w:r>
      <w:proofErr w:type="spellEnd"/>
      <w:r>
        <w:rPr>
          <w:rtl/>
        </w:rPr>
        <w:t xml:space="preserve"> מלידה – שאליהן אני קשור – ומשפחות </w:t>
      </w:r>
      <w:proofErr w:type="spellStart"/>
      <w:r>
        <w:rPr>
          <w:rtl/>
        </w:rPr>
        <w:t>קמינצקי</w:t>
      </w:r>
      <w:proofErr w:type="spellEnd"/>
      <w:r>
        <w:rPr>
          <w:rtl/>
        </w:rPr>
        <w:t xml:space="preserve"> מסלונים היו קרובות”.</w:t>
      </w:r>
    </w:p>
    <w:p w14:paraId="185F1308" w14:textId="77777777" w:rsidR="00AB3647" w:rsidRDefault="00000000" w:rsidP="007923E9">
      <w:pPr>
        <w:spacing w:after="120" w:line="276" w:lineRule="auto"/>
        <w:ind w:firstLine="283"/>
        <w:jc w:val="both"/>
      </w:pPr>
      <w:r>
        <w:rPr>
          <w:rtl/>
        </w:rPr>
        <w:t xml:space="preserve">לפי מכתב של ר׳ </w:t>
      </w:r>
      <w:proofErr w:type="spellStart"/>
      <w:r>
        <w:rPr>
          <w:rtl/>
        </w:rPr>
        <w:t xml:space="preserve">יוסף־דב</w:t>
      </w:r>
      <w:proofErr w:type="spellEnd"/>
      <w:r>
        <w:rPr>
          <w:rtl/>
        </w:rPr>
        <w:t xml:space="preserve"> הלוי </w:t>
      </w:r>
      <w:proofErr w:type="spellStart"/>
      <w:r>
        <w:rPr>
          <w:rtl/>
        </w:rPr>
        <w:t>ליינר</w:t>
      </w:r>
      <w:proofErr w:type="spellEnd"/>
      <w:r>
        <w:rPr>
          <w:rtl/>
        </w:rPr>
        <w:t xml:space="preserve"> מיום י״א בניסן תשנ״ה, גילה רבנו מהי בדיוק קרבתו לד״ר יוסף </w:t>
      </w:r>
      <w:proofErr w:type="spellStart"/>
      <w:r>
        <w:rPr>
          <w:rtl/>
        </w:rPr>
        <w:t>קמינצקי</w:t>
      </w:r>
      <w:proofErr w:type="spellEnd"/>
      <w:r>
        <w:rPr>
          <w:rtl/>
        </w:rPr>
        <w:t xml:space="preserve">, כשביקר אצלו ר׳ </w:t>
      </w:r>
      <w:proofErr w:type="spellStart"/>
      <w:r>
        <w:rPr>
          <w:rtl/>
        </w:rPr>
        <w:t xml:space="preserve">יוסף־דב</w:t>
      </w:r>
      <w:proofErr w:type="spellEnd"/>
      <w:r>
        <w:rPr>
          <w:rtl/>
        </w:rPr>
        <w:t xml:space="preserve"> הלוי </w:t>
      </w:r>
      <w:proofErr w:type="spellStart"/>
      <w:r>
        <w:rPr>
          <w:rtl/>
        </w:rPr>
        <w:t>במונסי</w:t>
      </w:r>
      <w:proofErr w:type="spellEnd"/>
      <w:r>
        <w:rPr>
          <w:rtl/>
        </w:rPr>
        <w:t xml:space="preserve"> עם חתנו ר׳ אברהם </w:t>
      </w:r>
      <w:proofErr w:type="spellStart"/>
      <w:r>
        <w:rPr>
          <w:rtl/>
        </w:rPr>
        <w:t>קמינצקי</w:t>
      </w:r>
      <w:proofErr w:type="spellEnd"/>
      <w:r>
        <w:rPr>
          <w:rtl/>
        </w:rPr>
        <w:t xml:space="preserve">, בנו של ר׳ ישעיה, אחיו של ד״ר </w:t>
      </w:r>
      <w:proofErr w:type="spellStart"/>
      <w:r>
        <w:rPr>
          <w:rtl/>
        </w:rPr>
        <w:t>קמינצקי</w:t>
      </w:r>
      <w:proofErr w:type="spellEnd"/>
      <w:r>
        <w:rPr>
          <w:rtl/>
        </w:rPr>
        <w:t xml:space="preserve">. אבי הצביע על דיוקן שהיה תלוי על הקיר ואמר לאורח הצעיר: “זו תמונת סבי, ר׳ </w:t>
      </w:r>
      <w:proofErr w:type="spellStart"/>
      <w:r>
        <w:rPr>
          <w:rtl/>
        </w:rPr>
        <w:t>שמואל־הירש</w:t>
      </w:r>
      <w:proofErr w:type="spellEnd"/>
      <w:r>
        <w:rPr>
          <w:rtl/>
        </w:rPr>
        <w:t xml:space="preserve"> </w:t>
      </w:r>
      <w:proofErr w:type="spellStart"/>
      <w:r>
        <w:rPr>
          <w:rtl/>
        </w:rPr>
        <w:t>קמינצקי</w:t>
      </w:r>
      <w:proofErr w:type="spellEnd"/>
      <w:r>
        <w:rPr>
          <w:rtl/>
        </w:rPr>
        <w:t xml:space="preserve"> – וסבו של אביך היה אחיו”. לפיכך היה אבי בן דוד שני של ד״ר יוסף ושל ר׳ ישעיה </w:t>
      </w:r>
      <w:proofErr w:type="spellStart"/>
      <w:r>
        <w:rPr>
          <w:rtl/>
        </w:rPr>
        <w:t>קמינצקי</w:t>
      </w:r>
      <w:bookmarkStart w:id="6575" w:name="_fnr4981"/>
      <w:proofErr w:type="spellEnd"/>
      <w:r>
        <w:rPr>
          <w:rStyle w:val="a5"/>
        </w:rPr>
        <w:footnoteReference w:id="4994" w:customMarkFollows="0"/>
      </w:r>
      <w:bookmarkEnd w:id="6575"/>
      <w:r>
        <w:rPr>
          <w:rtl/>
        </w:rPr>
        <w:t>.</w:t>
      </w:r>
    </w:p>
    <w:bookmarkStart w:id="6576" w:name="b5_excF"/>
    <w:p w14:paraId="1269D866" w14:textId="77777777" w:rsidR="00AB3647" w:rsidRDefault="00000000" w:rsidP="007923E9">
      <w:pPr>
        <w:pStyle w:val="3"/>
        <w:spacing w:line="276" w:lineRule="auto"/>
      </w:pPr>
      <w:r>
        <w:lastRenderedPageBreak/>
        <w:fldChar w:fldCharType="begin" w:dirty="true"/>
      </w:r>
      <w:r>
        <w:rPr>
          <w:rtl w:val="0"/>
        </w:rPr>
        <w:instrText>HYPERLINK \l "b5_note63</w:instrText>
      </w:r>
      <w:r>
        <w:instrText>"</w:instrText>
      </w:r>
      <w:r>
        <w:fldChar w:fldCharType="separate"/>
      </w:r>
      <w:r>
        <w:t>נספח ו</w:t>
      </w:r>
      <w:r>
        <w:fldChar w:fldCharType="end"/>
      </w:r>
      <w:bookmarkEnd w:id="6576"/>
    </w:p>
    <w:p w14:paraId="019F8744" w14:textId="77777777" w:rsidR="00AB3647" w:rsidRDefault="00000000" w:rsidP="007923E9">
      <w:pPr>
        <w:pStyle w:val="af"/>
        <w:spacing w:line="276" w:lineRule="auto"/>
        <w:ind w:firstLine="340"/>
      </w:pPr>
      <w:r>
        <w:t xml:space="preserve">על כושר המחשבה המיוחד של ר׳ חיים </w:t>
      </w:r>
      <w:proofErr w:type="spellStart"/>
      <w:r>
        <w:t>סולובייצ׳יק</w:t>
      </w:r>
      <w:proofErr w:type="spellEnd"/>
      <w:r>
        <w:t xml:space="preserve"> ועל חסדו המופלג</w:t>
      </w:r>
    </w:p>
    <w:p w14:paraId="6014F6BF" w14:textId="77777777" w:rsidR="00AB3647" w:rsidRDefault="00000000" w:rsidP="007923E9">
      <w:pPr>
        <w:pStyle w:val="4"/>
        <w:spacing w:line="276" w:lineRule="auto"/>
      </w:pPr>
      <w:r>
        <w:t>· הפסקה הראשונה ·</w:t>
      </w:r>
    </w:p>
    <w:p w14:paraId="1F4ADC53" w14:textId="77777777" w:rsidR="00AB3647" w:rsidRDefault="00000000" w:rsidP="007923E9">
      <w:pPr>
        <w:shd w:val="clear" w:color="auto" w:fill="F2F2F2"/>
        <w:spacing w:before="40" w:after="200" w:line="276" w:lineRule="auto"/>
        <w:ind w:left="283" w:right="283"/>
        <w:jc w:val="both"/>
      </w:pPr>
      <w:r>
        <w:rPr>
          <w:color w:val="404040"/>
          <w:sz w:val="22"/>
          <w:szCs w:val="22"/>
          <w:rtl/>
        </w:rPr>
        <w:t xml:space="preserve">ר׳ חיים </w:t>
      </w:r>
      <w:proofErr w:type="spellStart"/>
      <w:r>
        <w:rPr>
          <w:color w:val="404040"/>
          <w:sz w:val="22"/>
          <w:szCs w:val="22"/>
          <w:rtl/>
        </w:rPr>
        <w:t>סולובייצ׳יק</w:t>
      </w:r>
      <w:proofErr w:type="spellEnd"/>
      <w:r>
        <w:rPr>
          <w:color w:val="404040"/>
          <w:sz w:val="22"/>
          <w:szCs w:val="22"/>
          <w:rtl/>
        </w:rPr>
        <w:t xml:space="preserve"> מבקש לבנו ר׳ משה את כיסא הרבנות הבעייתי </w:t>
      </w:r>
      <w:proofErr w:type="spellStart"/>
      <w:r>
        <w:rPr>
          <w:color w:val="404040"/>
          <w:sz w:val="22"/>
          <w:szCs w:val="22"/>
          <w:rtl/>
        </w:rPr>
        <w:t>בראסיין</w:t>
      </w:r>
      <w:proofErr w:type="spellEnd"/>
      <w:r>
        <w:rPr>
          <w:color w:val="404040"/>
          <w:sz w:val="22"/>
          <w:szCs w:val="22"/>
          <w:rtl/>
        </w:rPr>
        <w:t xml:space="preserve"> – ר׳ פישל בר מסרב לחתום על כתב הרבנות – הסבא מתבקש לשלוח תלמידים לפתוח ישיבה </w:t>
      </w:r>
      <w:proofErr w:type="spellStart"/>
      <w:r>
        <w:rPr>
          <w:color w:val="404040"/>
          <w:sz w:val="22"/>
          <w:szCs w:val="22"/>
          <w:rtl/>
        </w:rPr>
        <w:t>לר</w:t>
      </w:r>
      <w:proofErr w:type="spellEnd"/>
      <w:r>
        <w:rPr>
          <w:color w:val="404040"/>
          <w:sz w:val="22"/>
          <w:szCs w:val="22"/>
          <w:rtl/>
        </w:rPr>
        <w:t xml:space="preserve">׳ משה, שבה ימסור ר׳ חיים שיעורים – לסבא </w:t>
      </w:r>
      <w:proofErr w:type="spellStart"/>
      <w:r>
        <w:rPr>
          <w:color w:val="404040"/>
          <w:sz w:val="22"/>
          <w:szCs w:val="22"/>
          <w:rtl/>
        </w:rPr>
        <w:t>מסלבודקה</w:t>
      </w:r>
      <w:proofErr w:type="spellEnd"/>
      <w:r>
        <w:rPr>
          <w:color w:val="404040"/>
          <w:sz w:val="22"/>
          <w:szCs w:val="22"/>
          <w:rtl/>
        </w:rPr>
        <w:t xml:space="preserve"> מניע אישי לעזור לבן ר׳ חיים – בנו של הסבא חוזר על חסדו של אביו כלפי בן ר׳ חיים – ר׳ משה נעשה רבה של </w:t>
      </w:r>
      <w:proofErr w:type="spellStart"/>
      <w:r>
        <w:rPr>
          <w:color w:val="404040"/>
          <w:sz w:val="22"/>
          <w:szCs w:val="22"/>
          <w:rtl/>
        </w:rPr>
        <w:t>ראסיין</w:t>
      </w:r>
      <w:proofErr w:type="spellEnd"/>
      <w:r>
        <w:rPr>
          <w:color w:val="404040"/>
          <w:sz w:val="22"/>
          <w:szCs w:val="22"/>
          <w:rtl/>
        </w:rPr>
        <w:t xml:space="preserve"> – הצעות רבנות קודמות ששקל ר׳ משה – גיסו </w:t>
      </w:r>
      <w:proofErr w:type="spellStart"/>
      <w:r>
        <w:rPr>
          <w:color w:val="404040"/>
          <w:sz w:val="22"/>
          <w:szCs w:val="22"/>
          <w:rtl/>
        </w:rPr>
        <w:t>מחסלוויץ</w:t>
      </w:r>
      <w:proofErr w:type="spellEnd"/>
      <w:r>
        <w:rPr>
          <w:color w:val="404040"/>
          <w:sz w:val="22"/>
          <w:szCs w:val="22"/>
          <w:rtl/>
        </w:rPr>
        <w:t xml:space="preserve">׳ בא במקום מי שכיהן זמן קצר כרב </w:t>
      </w:r>
      <w:proofErr w:type="spellStart"/>
      <w:r>
        <w:rPr>
          <w:color w:val="404040"/>
          <w:sz w:val="22"/>
          <w:szCs w:val="22"/>
          <w:rtl/>
        </w:rPr>
        <w:t>נובהרדוק</w:t>
      </w:r>
      <w:proofErr w:type="spellEnd"/>
      <w:r>
        <w:rPr>
          <w:color w:val="404040"/>
          <w:sz w:val="22"/>
          <w:szCs w:val="22"/>
          <w:rtl/>
        </w:rPr>
        <w:t xml:space="preserve">, ור׳ משה בא במקומו – ר׳ </w:t>
      </w:r>
      <w:proofErr w:type="spellStart"/>
      <w:r>
        <w:rPr>
          <w:color w:val="404040"/>
          <w:sz w:val="22"/>
          <w:szCs w:val="22"/>
          <w:rtl/>
        </w:rPr>
        <w:t>אברהם־אהרן</w:t>
      </w:r>
      <w:proofErr w:type="spellEnd"/>
      <w:r>
        <w:rPr>
          <w:color w:val="404040"/>
          <w:sz w:val="22"/>
          <w:szCs w:val="22"/>
          <w:rtl/>
        </w:rPr>
        <w:t xml:space="preserve"> </w:t>
      </w:r>
      <w:proofErr w:type="spellStart"/>
      <w:r>
        <w:rPr>
          <w:color w:val="404040"/>
          <w:sz w:val="22"/>
          <w:szCs w:val="22"/>
          <w:rtl/>
        </w:rPr>
        <w:t>בורשטין</w:t>
      </w:r>
      <w:proofErr w:type="spellEnd"/>
      <w:r>
        <w:rPr>
          <w:color w:val="404040"/>
          <w:sz w:val="22"/>
          <w:szCs w:val="22"/>
          <w:rtl/>
        </w:rPr>
        <w:t xml:space="preserve"> ניצב </w:t>
      </w:r>
      <w:proofErr w:type="spellStart"/>
      <w:r>
        <w:rPr>
          <w:color w:val="404040"/>
          <w:sz w:val="22"/>
          <w:szCs w:val="22"/>
          <w:rtl/>
        </w:rPr>
        <w:t>בנובהרדוק</w:t>
      </w:r>
      <w:proofErr w:type="spellEnd"/>
      <w:r>
        <w:rPr>
          <w:color w:val="404040"/>
          <w:sz w:val="22"/>
          <w:szCs w:val="22"/>
          <w:rtl/>
        </w:rPr>
        <w:t xml:space="preserve"> לפני בעיה שאין לה פתרון – הסכם מפוקפק</w:t>
      </w:r>
    </w:p>
    <w:p w14:paraId="15F3206A" w14:textId="77777777" w:rsidR="00AB3647" w:rsidRDefault="00000000" w:rsidP="007923E9">
      <w:pPr>
        <w:spacing w:after="120" w:line="276" w:lineRule="auto"/>
        <w:ind w:firstLine="283"/>
        <w:jc w:val="both"/>
      </w:pPr>
      <w:r>
        <w:rPr>
          <w:rtl/>
        </w:rPr>
        <w:t xml:space="preserve">אפשר לשער שביקורו של ר׳ חיים בקובנה היה קשור בניסיונו להשיג לבנו ר׳ משה את כיסא הרבנות </w:t>
      </w:r>
      <w:proofErr w:type="spellStart"/>
      <w:r>
        <w:rPr>
          <w:rtl/>
        </w:rPr>
        <w:t>בראסיין</w:t>
      </w:r>
      <w:proofErr w:type="spellEnd"/>
      <w:r>
        <w:rPr>
          <w:rtl/>
        </w:rPr>
        <w:t xml:space="preserve">. הרב הקודם, ר׳ </w:t>
      </w:r>
      <w:proofErr w:type="spellStart"/>
      <w:r>
        <w:rPr>
          <w:rtl/>
        </w:rPr>
        <w:t>אלכסנדר־משה</w:t>
      </w:r>
      <w:proofErr w:type="spellEnd"/>
      <w:r>
        <w:rPr>
          <w:rtl/>
        </w:rPr>
        <w:t xml:space="preserve"> לפידות</w:t>
      </w:r>
      <w:bookmarkStart w:id="6577" w:name="_fnr4982"/>
      <w:r>
        <w:rPr>
          <w:rStyle w:val="a5"/>
        </w:rPr>
        <w:footnoteReference w:id="4995" w:customMarkFollows="0"/>
      </w:r>
      <w:bookmarkEnd w:id="6577"/>
      <w:r>
        <w:rPr>
          <w:rtl/>
        </w:rPr>
        <w:t>, נפטר שנתיים קודם לכן, והעיר חיפשה לו מחליף. בריאיון על ר׳ ישראל</w:t>
      </w:r>
      <w:bookmarkStart w:id="6578" w:name="_fnr4983"/>
      <w:r>
        <w:rPr>
          <w:rStyle w:val="a5"/>
        </w:rPr>
        <w:footnoteReference w:id="4996" w:customMarkFollows="0"/>
      </w:r>
      <w:bookmarkEnd w:id="6578"/>
      <w:r>
        <w:rPr>
          <w:rtl/>
        </w:rPr>
        <w:t xml:space="preserve"> תיאר אבי את המצב </w:t>
      </w:r>
      <w:proofErr w:type="spellStart"/>
      <w:r>
        <w:rPr>
          <w:rtl/>
        </w:rPr>
        <w:t>בראסיין</w:t>
      </w:r>
      <w:proofErr w:type="spellEnd"/>
      <w:r>
        <w:rPr>
          <w:rtl/>
        </w:rPr>
        <w:t xml:space="preserve"> כך: “ר׳ </w:t>
      </w:r>
      <w:proofErr w:type="spellStart"/>
      <w:r>
        <w:rPr>
          <w:rtl/>
        </w:rPr>
        <w:t>אלכסנדר־משה</w:t>
      </w:r>
      <w:proofErr w:type="spellEnd"/>
      <w:r>
        <w:rPr>
          <w:rtl/>
        </w:rPr>
        <w:t xml:space="preserve"> היה מן הרבנים החשובים ביותר בזמנו. הוא הגיע לזקנה מופלגת</w:t>
      </w:r>
      <w:bookmarkStart w:id="6579" w:name="_fnr4984"/>
      <w:r>
        <w:rPr>
          <w:rStyle w:val="a5"/>
        </w:rPr>
        <w:footnoteReference w:id="4997" w:customMarkFollows="0"/>
      </w:r>
      <w:bookmarkEnd w:id="6579"/>
      <w:r>
        <w:rPr>
          <w:rtl/>
        </w:rPr>
        <w:t xml:space="preserve">, אבל בשנותיו האחרונות לא היה שפוי בדעתו, והעיר הייתה </w:t>
      </w:r>
      <w:proofErr w:type="spellStart"/>
      <w:r>
        <w:rPr>
          <w:rtl/>
        </w:rPr>
        <w:t>אויף</w:t>
      </w:r>
      <w:proofErr w:type="spellEnd"/>
      <w:r>
        <w:rPr>
          <w:rtl/>
        </w:rPr>
        <w:t xml:space="preserve"> צרות [בצרות]. [ראשי העיר] לא יכלו למנות רב אחר, מפני שהרב הזקן היה בחיים, ולא היה את מי לשאול שאלה רצינית; לכן קיבלו דיין, אחיינו של רבם”.</w:t>
      </w:r>
    </w:p>
    <w:p w14:paraId="2B2F4831" w14:textId="77777777" w:rsidR="00AB3647" w:rsidRDefault="00000000" w:rsidP="007923E9">
      <w:pPr>
        <w:spacing w:after="120" w:line="276" w:lineRule="auto"/>
        <w:ind w:firstLine="283"/>
        <w:jc w:val="both"/>
      </w:pPr>
      <w:proofErr w:type="spellStart"/>
      <w:r>
        <w:rPr>
          <w:rtl/>
        </w:rPr>
        <w:t>ב“אהלי</w:t>
      </w:r>
      <w:proofErr w:type="spellEnd"/>
      <w:r>
        <w:rPr>
          <w:rtl/>
        </w:rPr>
        <w:t xml:space="preserve"> שם”</w:t>
      </w:r>
      <w:bookmarkStart w:id="6580" w:name="_fnr4985"/>
      <w:r>
        <w:rPr>
          <w:rStyle w:val="a5"/>
        </w:rPr>
        <w:footnoteReference w:id="4998" w:customMarkFollows="0"/>
      </w:r>
      <w:bookmarkEnd w:id="6580"/>
      <w:r>
        <w:rPr>
          <w:rtl/>
        </w:rPr>
        <w:t xml:space="preserve"> נקרא הדיין ר׳ </w:t>
      </w:r>
      <w:proofErr w:type="spellStart"/>
      <w:r>
        <w:rPr>
          <w:rtl/>
        </w:rPr>
        <w:t>אהרן־שמואל</w:t>
      </w:r>
      <w:proofErr w:type="spellEnd"/>
      <w:r>
        <w:rPr>
          <w:rtl/>
        </w:rPr>
        <w:t xml:space="preserve"> כץ, חתנו של ר׳ </w:t>
      </w:r>
      <w:proofErr w:type="spellStart"/>
      <w:r>
        <w:rPr>
          <w:rtl/>
        </w:rPr>
        <w:t>בן־ציון</w:t>
      </w:r>
      <w:proofErr w:type="spellEnd"/>
      <w:r>
        <w:rPr>
          <w:rtl/>
        </w:rPr>
        <w:t xml:space="preserve"> </w:t>
      </w:r>
      <w:proofErr w:type="spellStart"/>
      <w:r>
        <w:rPr>
          <w:rtl/>
        </w:rPr>
        <w:t>גינזבורג</w:t>
      </w:r>
      <w:proofErr w:type="spellEnd"/>
      <w:r>
        <w:rPr>
          <w:rtl/>
        </w:rPr>
        <w:t xml:space="preserve">, גיסו של ר׳ </w:t>
      </w:r>
      <w:proofErr w:type="spellStart"/>
      <w:r>
        <w:rPr>
          <w:rtl/>
        </w:rPr>
        <w:t>אלכסנדר־משה</w:t>
      </w:r>
      <w:proofErr w:type="spellEnd"/>
      <w:r>
        <w:rPr>
          <w:rtl/>
        </w:rPr>
        <w:t xml:space="preserve"> לפידות, ושם נמסר שר׳ </w:t>
      </w:r>
      <w:proofErr w:type="spellStart"/>
      <w:r>
        <w:rPr>
          <w:rtl/>
        </w:rPr>
        <w:t>אהרן־שמואל</w:t>
      </w:r>
      <w:proofErr w:type="spellEnd"/>
      <w:r>
        <w:rPr>
          <w:rtl/>
        </w:rPr>
        <w:t xml:space="preserve"> כץ נכנס לתפקידו </w:t>
      </w:r>
      <w:proofErr w:type="spellStart"/>
      <w:r>
        <w:rPr>
          <w:rtl/>
        </w:rPr>
        <w:t>בתרס״א</w:t>
      </w:r>
      <w:proofErr w:type="spellEnd"/>
      <w:r>
        <w:rPr>
          <w:rtl/>
        </w:rPr>
        <w:t xml:space="preserve">, חמש שנים לפני פטירת ר׳ </w:t>
      </w:r>
      <w:proofErr w:type="spellStart"/>
      <w:r>
        <w:rPr>
          <w:rtl/>
        </w:rPr>
        <w:t>אלכסנדר־משה</w:t>
      </w:r>
      <w:proofErr w:type="spellEnd"/>
      <w:r>
        <w:rPr>
          <w:rtl/>
        </w:rPr>
        <w:t xml:space="preserve">. אבי המשיך: “האחיין היה יושב בבית הרב, וכשבאו אנשים אל הרב, היה הדיין פוסק. </w:t>
      </w:r>
      <w:proofErr w:type="spellStart"/>
      <w:r>
        <w:rPr>
          <w:rtl/>
        </w:rPr>
        <w:t>בתרס״ו</w:t>
      </w:r>
      <w:proofErr w:type="spellEnd"/>
      <w:r>
        <w:rPr>
          <w:rtl/>
        </w:rPr>
        <w:t xml:space="preserve"> נפטר ר׳ </w:t>
      </w:r>
      <w:proofErr w:type="spellStart"/>
      <w:r>
        <w:rPr>
          <w:rtl/>
        </w:rPr>
        <w:t>אלכסנדר־משה</w:t>
      </w:r>
      <w:proofErr w:type="spellEnd"/>
      <w:r>
        <w:rPr>
          <w:rtl/>
        </w:rPr>
        <w:t xml:space="preserve"> לפידות, אבל הדיין הפיקח לא הניח לשום רב להיכנס [לעיר] – ער </w:t>
      </w:r>
      <w:proofErr w:type="spellStart"/>
      <w:r>
        <w:rPr>
          <w:rtl/>
        </w:rPr>
        <w:t>פלעגט</w:t>
      </w:r>
      <w:proofErr w:type="spellEnd"/>
      <w:r>
        <w:rPr>
          <w:rtl/>
        </w:rPr>
        <w:t xml:space="preserve"> ניט </w:t>
      </w:r>
      <w:proofErr w:type="spellStart"/>
      <w:r>
        <w:rPr>
          <w:rtl/>
        </w:rPr>
        <w:t>צולאזען</w:t>
      </w:r>
      <w:proofErr w:type="spellEnd"/>
      <w:r>
        <w:rPr>
          <w:rtl/>
        </w:rPr>
        <w:t xml:space="preserve"> קיין רב</w:t>
      </w:r>
      <w:bookmarkStart w:id="6581" w:name="_fnr4986"/>
      <w:r>
        <w:rPr>
          <w:rStyle w:val="a5"/>
        </w:rPr>
        <w:footnoteReference w:id="4999" w:customMarkFollows="0"/>
      </w:r>
      <w:bookmarkEnd w:id="6581"/>
      <w:r>
        <w:rPr>
          <w:rtl/>
        </w:rPr>
        <w:t xml:space="preserve">. ר׳ יוסף לייב בלוך, לימים רבה של </w:t>
      </w:r>
      <w:proofErr w:type="spellStart"/>
      <w:r>
        <w:rPr>
          <w:rtl/>
        </w:rPr>
        <w:t>טלז</w:t>
      </w:r>
      <w:bookmarkStart w:id="6582" w:name="_fnr4987"/>
      <w:proofErr w:type="spellEnd"/>
      <w:r>
        <w:rPr>
          <w:rStyle w:val="a5"/>
        </w:rPr>
        <w:footnoteReference w:id="5000" w:customMarkFollows="0"/>
      </w:r>
      <w:bookmarkEnd w:id="6582"/>
      <w:r>
        <w:rPr>
          <w:rtl/>
        </w:rPr>
        <w:t>, נסע לשם כמועמד לרבנות, ויצא בפחי נפש”.</w:t>
      </w:r>
    </w:p>
    <w:p w14:paraId="4FF156CB" w14:textId="77777777" w:rsidR="00AB3647" w:rsidRDefault="00000000" w:rsidP="007923E9">
      <w:pPr>
        <w:spacing w:after="120" w:line="276" w:lineRule="auto"/>
        <w:ind w:firstLine="283"/>
        <w:jc w:val="both"/>
      </w:pPr>
      <w:r>
        <w:rPr>
          <w:rtl/>
        </w:rPr>
        <w:t xml:space="preserve">מעניין שבערל </w:t>
      </w:r>
      <w:proofErr w:type="spellStart"/>
      <w:r>
        <w:rPr>
          <w:rtl/>
        </w:rPr>
        <w:t>קגן</w:t>
      </w:r>
      <w:bookmarkStart w:id="6583" w:name="_fnr4988"/>
      <w:proofErr w:type="spellEnd"/>
      <w:r>
        <w:rPr>
          <w:rStyle w:val="a5"/>
        </w:rPr>
        <w:footnoteReference w:id="5001" w:customMarkFollows="0"/>
      </w:r>
      <w:bookmarkEnd w:id="6583"/>
      <w:r>
        <w:rPr>
          <w:rtl/>
        </w:rPr>
        <w:t xml:space="preserve"> מונה את ר׳ </w:t>
      </w:r>
      <w:proofErr w:type="spellStart"/>
      <w:r>
        <w:rPr>
          <w:rtl/>
        </w:rPr>
        <w:t>יהושע־מרדכי</w:t>
      </w:r>
      <w:proofErr w:type="spellEnd"/>
      <w:r>
        <w:rPr>
          <w:rtl/>
        </w:rPr>
        <w:t xml:space="preserve"> </w:t>
      </w:r>
      <w:proofErr w:type="spellStart"/>
      <w:r>
        <w:rPr>
          <w:rtl/>
        </w:rPr>
        <w:t>קלצקין</w:t>
      </w:r>
      <w:proofErr w:type="spellEnd"/>
      <w:r>
        <w:rPr>
          <w:rtl/>
        </w:rPr>
        <w:t xml:space="preserve"> כיורשו של ר׳ משה </w:t>
      </w:r>
      <w:proofErr w:type="spellStart"/>
      <w:r>
        <w:rPr>
          <w:rtl/>
        </w:rPr>
        <w:t>סולובייצ׳יק</w:t>
      </w:r>
      <w:proofErr w:type="spellEnd"/>
      <w:r>
        <w:rPr>
          <w:rtl/>
        </w:rPr>
        <w:t xml:space="preserve">, שירש את ר׳ </w:t>
      </w:r>
      <w:proofErr w:type="spellStart"/>
      <w:r>
        <w:rPr>
          <w:rtl/>
        </w:rPr>
        <w:t>אלכסנדר־משה</w:t>
      </w:r>
      <w:proofErr w:type="spellEnd"/>
      <w:r>
        <w:rPr>
          <w:rtl/>
        </w:rPr>
        <w:t xml:space="preserve"> לפידות, וכך גם “לקורות”</w:t>
      </w:r>
      <w:bookmarkStart w:id="6584" w:name="_fnr4989"/>
      <w:r>
        <w:rPr>
          <w:rStyle w:val="a5"/>
        </w:rPr>
        <w:footnoteReference w:id="5002" w:customMarkFollows="0"/>
      </w:r>
      <w:bookmarkEnd w:id="6584"/>
      <w:r>
        <w:rPr>
          <w:rtl/>
        </w:rPr>
        <w:t xml:space="preserve">. כלומר, הרב </w:t>
      </w:r>
      <w:proofErr w:type="spellStart"/>
      <w:r>
        <w:rPr>
          <w:rtl/>
        </w:rPr>
        <w:t>קלצקין</w:t>
      </w:r>
      <w:proofErr w:type="spellEnd"/>
      <w:r>
        <w:rPr>
          <w:rtl/>
        </w:rPr>
        <w:t xml:space="preserve"> בא </w:t>
      </w:r>
      <w:proofErr w:type="spellStart"/>
      <w:r>
        <w:rPr>
          <w:rtl/>
        </w:rPr>
        <w:t>לראסיין</w:t>
      </w:r>
      <w:proofErr w:type="spellEnd"/>
      <w:r>
        <w:rPr>
          <w:rtl/>
        </w:rPr>
        <w:t xml:space="preserve"> אחרי תרע״ב, כשעזב ר׳ משה, ונשאר בה זמן שלא נמסר. אבל בערל </w:t>
      </w:r>
      <w:proofErr w:type="spellStart"/>
      <w:r>
        <w:rPr>
          <w:rtl/>
        </w:rPr>
        <w:t>קגן</w:t>
      </w:r>
      <w:bookmarkStart w:id="6585" w:name="_fnr4990"/>
      <w:proofErr w:type="spellEnd"/>
      <w:r>
        <w:rPr>
          <w:rStyle w:val="a5"/>
        </w:rPr>
        <w:footnoteReference w:id="5003" w:customMarkFollows="0"/>
      </w:r>
      <w:bookmarkEnd w:id="6585"/>
      <w:r>
        <w:rPr>
          <w:rtl/>
        </w:rPr>
        <w:t xml:space="preserve"> ממשיך ומונה את ר׳ </w:t>
      </w:r>
      <w:proofErr w:type="spellStart"/>
      <w:r>
        <w:rPr>
          <w:rtl/>
        </w:rPr>
        <w:t>אהרן־שמואל</w:t>
      </w:r>
      <w:proofErr w:type="spellEnd"/>
      <w:r>
        <w:rPr>
          <w:rtl/>
        </w:rPr>
        <w:t xml:space="preserve"> כץ כרבה של </w:t>
      </w:r>
      <w:proofErr w:type="spellStart"/>
      <w:r>
        <w:rPr>
          <w:rtl/>
        </w:rPr>
        <w:t>ראסיין</w:t>
      </w:r>
      <w:proofErr w:type="spellEnd"/>
      <w:r>
        <w:rPr>
          <w:rtl/>
        </w:rPr>
        <w:t xml:space="preserve"> משנת תרס״ו – עוד לפני בוא ר׳ משה </w:t>
      </w:r>
      <w:proofErr w:type="spellStart"/>
      <w:r>
        <w:rPr>
          <w:rtl/>
        </w:rPr>
        <w:t>סולובייצ׳יק</w:t>
      </w:r>
      <w:proofErr w:type="spellEnd"/>
      <w:r>
        <w:rPr>
          <w:rtl/>
        </w:rPr>
        <w:t xml:space="preserve"> – ועד </w:t>
      </w:r>
      <w:r>
        <w:rPr>
          <w:rtl/>
        </w:rPr>
        <w:lastRenderedPageBreak/>
        <w:t xml:space="preserve">שנהרג על קידוש השם תחת הגרמנים. לאור דברי אבי, ההסבר הוא זה: ר׳ </w:t>
      </w:r>
      <w:proofErr w:type="spellStart"/>
      <w:r>
        <w:rPr>
          <w:rtl/>
        </w:rPr>
        <w:t>אהרן־שמואל</w:t>
      </w:r>
      <w:proofErr w:type="spellEnd"/>
      <w:r>
        <w:rPr>
          <w:rtl/>
        </w:rPr>
        <w:t xml:space="preserve"> כץ היה קוץ בבשרם של המועמדים לרבנות מאז פטירת ר׳ </w:t>
      </w:r>
      <w:proofErr w:type="spellStart"/>
      <w:r>
        <w:rPr>
          <w:rtl/>
        </w:rPr>
        <w:t>אלכסנדר־משה</w:t>
      </w:r>
      <w:proofErr w:type="spellEnd"/>
      <w:r>
        <w:rPr>
          <w:rtl/>
        </w:rPr>
        <w:t xml:space="preserve"> לפידות; ואחרי כהונת הרב </w:t>
      </w:r>
      <w:proofErr w:type="spellStart"/>
      <w:r>
        <w:rPr>
          <w:rtl/>
        </w:rPr>
        <w:t>קלצקין</w:t>
      </w:r>
      <w:proofErr w:type="spellEnd"/>
      <w:r>
        <w:rPr>
          <w:rtl/>
        </w:rPr>
        <w:t xml:space="preserve"> [שהייתה כנראה קצרה] החליטה העיר לקבל את הטוען העיקש </w:t>
      </w:r>
      <w:proofErr w:type="spellStart"/>
      <w:r>
        <w:rPr>
          <w:rtl/>
        </w:rPr>
        <w:t>לכסא</w:t>
      </w:r>
      <w:proofErr w:type="spellEnd"/>
      <w:r>
        <w:rPr>
          <w:rtl/>
        </w:rPr>
        <w:t xml:space="preserve"> הרבנות [מאז תרס״ו!] כרבה הרשמי, ובמובן מסוים – למפרע.</w:t>
      </w:r>
    </w:p>
    <w:p w14:paraId="789B7F29" w14:textId="77777777" w:rsidR="00AB3647" w:rsidRDefault="00000000" w:rsidP="007923E9">
      <w:pPr>
        <w:spacing w:after="120" w:line="276" w:lineRule="auto"/>
        <w:ind w:firstLine="283"/>
        <w:jc w:val="both"/>
      </w:pPr>
      <w:r>
        <w:rPr>
          <w:rtl/>
        </w:rPr>
        <w:t xml:space="preserve">בערל </w:t>
      </w:r>
      <w:proofErr w:type="spellStart"/>
      <w:r>
        <w:rPr>
          <w:rtl/>
        </w:rPr>
        <w:t>קגן</w:t>
      </w:r>
      <w:bookmarkStart w:id="6586" w:name="_fnr4991"/>
      <w:proofErr w:type="spellEnd"/>
      <w:r>
        <w:rPr>
          <w:rStyle w:val="a5"/>
        </w:rPr>
        <w:footnoteReference w:id="5004" w:customMarkFollows="0"/>
      </w:r>
      <w:bookmarkEnd w:id="6586"/>
      <w:r>
        <w:rPr>
          <w:rtl/>
        </w:rPr>
        <w:t xml:space="preserve"> מצטט רשימה </w:t>
      </w:r>
      <w:proofErr w:type="spellStart"/>
      <w:r>
        <w:rPr>
          <w:rtl/>
        </w:rPr>
        <w:t>מתרע״ג</w:t>
      </w:r>
      <w:proofErr w:type="spellEnd"/>
      <w:r>
        <w:rPr>
          <w:rtl/>
        </w:rPr>
        <w:t xml:space="preserve"> של תומכי אגודת ישראל </w:t>
      </w:r>
      <w:proofErr w:type="spellStart"/>
      <w:r>
        <w:rPr>
          <w:rtl/>
        </w:rPr>
        <w:t>בראסיין</w:t>
      </w:r>
      <w:proofErr w:type="spellEnd"/>
      <w:r>
        <w:rPr>
          <w:rtl/>
        </w:rPr>
        <w:t xml:space="preserve">, ור׳ </w:t>
      </w:r>
      <w:proofErr w:type="spellStart"/>
      <w:r>
        <w:rPr>
          <w:rtl/>
        </w:rPr>
        <w:t>יהושע־מרדכי</w:t>
      </w:r>
      <w:proofErr w:type="spellEnd"/>
      <w:r>
        <w:rPr>
          <w:rtl/>
        </w:rPr>
        <w:t xml:space="preserve"> </w:t>
      </w:r>
      <w:proofErr w:type="spellStart"/>
      <w:r>
        <w:rPr>
          <w:rtl/>
        </w:rPr>
        <w:t>קלצקין</w:t>
      </w:r>
      <w:proofErr w:type="spellEnd"/>
      <w:r>
        <w:rPr>
          <w:rtl/>
        </w:rPr>
        <w:t xml:space="preserve"> נמנה בה </w:t>
      </w:r>
      <w:r>
        <w:rPr>
          <w:b/>
          <w:bCs/>
          <w:rtl/>
        </w:rPr>
        <w:t>לפני</w:t>
      </w:r>
      <w:r>
        <w:rPr>
          <w:rtl/>
        </w:rPr>
        <w:t xml:space="preserve"> ר׳ </w:t>
      </w:r>
      <w:proofErr w:type="spellStart"/>
      <w:r>
        <w:rPr>
          <w:rtl/>
        </w:rPr>
        <w:t>אהרן־שמואל</w:t>
      </w:r>
      <w:proofErr w:type="spellEnd"/>
      <w:r>
        <w:rPr>
          <w:rtl/>
        </w:rPr>
        <w:t xml:space="preserve"> כץ – מה שמעיד שהרב </w:t>
      </w:r>
      <w:proofErr w:type="spellStart"/>
      <w:r>
        <w:rPr>
          <w:rtl/>
        </w:rPr>
        <w:t>קלצקין</w:t>
      </w:r>
      <w:proofErr w:type="spellEnd"/>
      <w:r>
        <w:rPr>
          <w:rtl/>
        </w:rPr>
        <w:t xml:space="preserve"> היה אז הרב, והאחר רק הדיין. אגב, בערל </w:t>
      </w:r>
      <w:proofErr w:type="spellStart"/>
      <w:r>
        <w:rPr>
          <w:rtl/>
        </w:rPr>
        <w:t>קגן</w:t>
      </w:r>
      <w:proofErr w:type="spellEnd"/>
      <w:r>
        <w:rPr>
          <w:rtl/>
        </w:rPr>
        <w:t xml:space="preserve"> מתאר את ר׳ </w:t>
      </w:r>
      <w:proofErr w:type="spellStart"/>
      <w:r>
        <w:rPr>
          <w:rtl/>
        </w:rPr>
        <w:t>אהרן־שמואל</w:t>
      </w:r>
      <w:proofErr w:type="spellEnd"/>
      <w:r>
        <w:rPr>
          <w:rtl/>
        </w:rPr>
        <w:t xml:space="preserve"> כץ כגיסו של ר׳ </w:t>
      </w:r>
      <w:proofErr w:type="spellStart"/>
      <w:r>
        <w:rPr>
          <w:rtl/>
        </w:rPr>
        <w:t>אלכסנדר־משה</w:t>
      </w:r>
      <w:proofErr w:type="spellEnd"/>
      <w:r>
        <w:rPr>
          <w:rtl/>
        </w:rPr>
        <w:t xml:space="preserve">, בעוד שלמעשה היה </w:t>
      </w:r>
      <w:r>
        <w:rPr>
          <w:b/>
          <w:bCs/>
          <w:rtl/>
        </w:rPr>
        <w:t>אחיינו</w:t>
      </w:r>
      <w:r>
        <w:rPr>
          <w:rtl/>
        </w:rPr>
        <w:t xml:space="preserve"> של ר׳ </w:t>
      </w:r>
      <w:proofErr w:type="spellStart"/>
      <w:r>
        <w:rPr>
          <w:rtl/>
        </w:rPr>
        <w:t>אלכסנדר־משה</w:t>
      </w:r>
      <w:proofErr w:type="spellEnd"/>
      <w:r>
        <w:rPr>
          <w:rtl/>
        </w:rPr>
        <w:t xml:space="preserve"> לפידות.</w:t>
      </w:r>
    </w:p>
    <w:p w14:paraId="006A4ACC" w14:textId="77777777" w:rsidR="00AB3647" w:rsidRDefault="00000000" w:rsidP="007923E9">
      <w:pPr>
        <w:spacing w:after="120" w:line="276" w:lineRule="auto"/>
        <w:ind w:firstLine="283"/>
        <w:jc w:val="both"/>
      </w:pPr>
      <w:r>
        <w:rPr>
          <w:rtl/>
        </w:rPr>
        <w:t xml:space="preserve">רבנו המשיך: “ר׳ חיים </w:t>
      </w:r>
      <w:proofErr w:type="spellStart"/>
      <w:r>
        <w:rPr>
          <w:rtl/>
        </w:rPr>
        <w:t>סולובייצ׳יק</w:t>
      </w:r>
      <w:proofErr w:type="spellEnd"/>
      <w:r>
        <w:rPr>
          <w:rtl/>
        </w:rPr>
        <w:t xml:space="preserve"> כתב אז </w:t>
      </w:r>
      <w:proofErr w:type="spellStart"/>
      <w:r>
        <w:rPr>
          <w:rtl/>
        </w:rPr>
        <w:t>לר</w:t>
      </w:r>
      <w:proofErr w:type="spellEnd"/>
      <w:r>
        <w:rPr>
          <w:rtl/>
        </w:rPr>
        <w:t xml:space="preserve">׳ </w:t>
      </w:r>
      <w:proofErr w:type="spellStart"/>
      <w:r>
        <w:rPr>
          <w:rtl/>
        </w:rPr>
        <w:t>ברוך־בער</w:t>
      </w:r>
      <w:proofErr w:type="spellEnd"/>
      <w:r>
        <w:rPr>
          <w:rtl/>
        </w:rPr>
        <w:t xml:space="preserve"> </w:t>
      </w:r>
      <w:proofErr w:type="spellStart"/>
      <w:r>
        <w:rPr>
          <w:rtl/>
        </w:rPr>
        <w:t>ליבוביץ</w:t>
      </w:r>
      <w:proofErr w:type="spellEnd"/>
      <w:r>
        <w:rPr>
          <w:rtl/>
        </w:rPr>
        <w:t xml:space="preserve"> שייסע </w:t>
      </w:r>
      <w:proofErr w:type="spellStart"/>
      <w:r>
        <w:rPr>
          <w:rtl/>
        </w:rPr>
        <w:t>לראסיין</w:t>
      </w:r>
      <w:proofErr w:type="spellEnd"/>
      <w:r>
        <w:rPr>
          <w:rtl/>
        </w:rPr>
        <w:t xml:space="preserve"> וישיג את הרבנות שם לבנו [השני של ר׳ חיים], ר׳ משה, שהיה אז רק בשלהי שנות העשרים לחייו ועדיין לא כיהן ברבנות. ואם </w:t>
      </w:r>
      <w:proofErr w:type="spellStart"/>
      <w:r>
        <w:rPr>
          <w:rtl/>
        </w:rPr>
        <w:t>ה‘רבי</w:t>
      </w:r>
      <w:proofErr w:type="spellEnd"/>
      <w:r>
        <w:rPr>
          <w:rtl/>
        </w:rPr>
        <w:t xml:space="preserve">’ מצווה – ר׳ </w:t>
      </w:r>
      <w:proofErr w:type="spellStart"/>
      <w:r>
        <w:rPr>
          <w:rtl/>
        </w:rPr>
        <w:t>ברוך־בער</w:t>
      </w:r>
      <w:proofErr w:type="spellEnd"/>
      <w:r>
        <w:rPr>
          <w:rtl/>
        </w:rPr>
        <w:t xml:space="preserve"> מציית!</w:t>
      </w:r>
      <w:bookmarkStart w:id="6587" w:name="_fnr4992"/>
      <w:r>
        <w:rPr>
          <w:rStyle w:val="a5"/>
        </w:rPr>
        <w:footnoteReference w:id="5005" w:customMarkFollows="0"/>
      </w:r>
      <w:bookmarkEnd w:id="6587"/>
      <w:r>
        <w:rPr>
          <w:rtl/>
        </w:rPr>
        <w:t xml:space="preserve"> ר׳ </w:t>
      </w:r>
      <w:proofErr w:type="spellStart"/>
      <w:r>
        <w:rPr>
          <w:rtl/>
        </w:rPr>
        <w:t>ברוך־בער</w:t>
      </w:r>
      <w:proofErr w:type="spellEnd"/>
      <w:r>
        <w:rPr>
          <w:rtl/>
        </w:rPr>
        <w:t xml:space="preserve"> נשא בעיר נאום בשבח המועמד, ואמר בו שר׳ משה מסוגל </w:t>
      </w:r>
      <w:proofErr w:type="spellStart"/>
      <w:r>
        <w:rPr>
          <w:rtl/>
        </w:rPr>
        <w:t>פארענטפערען</w:t>
      </w:r>
      <w:proofErr w:type="spellEnd"/>
      <w:r>
        <w:rPr>
          <w:rtl/>
        </w:rPr>
        <w:t xml:space="preserve"> </w:t>
      </w:r>
      <w:proofErr w:type="spellStart"/>
      <w:r>
        <w:rPr>
          <w:rtl/>
        </w:rPr>
        <w:t>אלע</w:t>
      </w:r>
      <w:proofErr w:type="spellEnd"/>
      <w:r>
        <w:rPr>
          <w:rtl/>
        </w:rPr>
        <w:t xml:space="preserve"> </w:t>
      </w:r>
      <w:proofErr w:type="spellStart"/>
      <w:r>
        <w:rPr>
          <w:rtl/>
        </w:rPr>
        <w:t>שווערע</w:t>
      </w:r>
      <w:proofErr w:type="spellEnd"/>
      <w:r>
        <w:rPr>
          <w:rtl/>
        </w:rPr>
        <w:t xml:space="preserve"> </w:t>
      </w:r>
      <w:proofErr w:type="spellStart"/>
      <w:r>
        <w:rPr>
          <w:rtl/>
        </w:rPr>
        <w:t>רמב״מ׳ס</w:t>
      </w:r>
      <w:proofErr w:type="spellEnd"/>
      <w:r>
        <w:rPr>
          <w:rtl/>
        </w:rPr>
        <w:t xml:space="preserve"> [ליישב את כל </w:t>
      </w:r>
      <w:proofErr w:type="spellStart"/>
      <w:r>
        <w:rPr>
          <w:rtl/>
        </w:rPr>
        <w:t>הרמב״מים</w:t>
      </w:r>
      <w:proofErr w:type="spellEnd"/>
      <w:r>
        <w:rPr>
          <w:rtl/>
        </w:rPr>
        <w:t xml:space="preserve"> הקשים]. אבל איש מבעלי הבתים לא זז. הם ראו מעט חוצפה בכך שצעיר חסר ניסיון רוצה לרשת רבנות שבה כיהן ארבעים שנה אחד מגדולי רבני דורו”. (את תחושתם של אנשי </w:t>
      </w:r>
      <w:proofErr w:type="spellStart"/>
      <w:r>
        <w:rPr>
          <w:rtl/>
        </w:rPr>
        <w:t>ראסיין</w:t>
      </w:r>
      <w:proofErr w:type="spellEnd"/>
      <w:r>
        <w:rPr>
          <w:rtl/>
        </w:rPr>
        <w:t xml:space="preserve"> אפשר לנסח בלשון התנגדותו של “הגדול” ממינסק למינוי ר׳ חיים לרבנות </w:t>
      </w:r>
      <w:proofErr w:type="spellStart"/>
      <w:r>
        <w:rPr>
          <w:rtl/>
        </w:rPr>
        <w:t>בריסק</w:t>
      </w:r>
      <w:proofErr w:type="spellEnd"/>
      <w:r>
        <w:rPr>
          <w:rtl/>
        </w:rPr>
        <w:t xml:space="preserve"> </w:t>
      </w:r>
      <w:proofErr w:type="spellStart"/>
      <w:r>
        <w:rPr>
          <w:rtl/>
        </w:rPr>
        <w:t>שש־עשרה</w:t>
      </w:r>
      <w:proofErr w:type="spellEnd"/>
      <w:r>
        <w:rPr>
          <w:rtl/>
        </w:rPr>
        <w:t xml:space="preserve"> שנה קודם לכן, המובאת בפסקה החמישית להלן: “גלייך </w:t>
      </w:r>
      <w:proofErr w:type="spellStart"/>
      <w:r>
        <w:rPr>
          <w:rtl/>
        </w:rPr>
        <w:t>ראסיין</w:t>
      </w:r>
      <w:proofErr w:type="spellEnd"/>
      <w:r>
        <w:rPr>
          <w:rtl/>
        </w:rPr>
        <w:t xml:space="preserve">?! [ישר </w:t>
      </w:r>
      <w:proofErr w:type="spellStart"/>
      <w:r>
        <w:rPr>
          <w:rtl/>
        </w:rPr>
        <w:t>לראסיין</w:t>
      </w:r>
      <w:proofErr w:type="spellEnd"/>
      <w:r>
        <w:rPr>
          <w:rtl/>
        </w:rPr>
        <w:t>?!]”)</w:t>
      </w:r>
    </w:p>
    <w:p w14:paraId="08C4342D" w14:textId="77777777" w:rsidR="00AB3647" w:rsidRDefault="00000000" w:rsidP="007923E9">
      <w:pPr>
        <w:spacing w:after="120" w:line="276" w:lineRule="auto"/>
        <w:ind w:firstLine="283"/>
        <w:jc w:val="both"/>
      </w:pPr>
      <w:r>
        <w:rPr>
          <w:rtl/>
        </w:rPr>
        <w:t xml:space="preserve">“ר׳ </w:t>
      </w:r>
      <w:proofErr w:type="spellStart"/>
      <w:r>
        <w:rPr>
          <w:rtl/>
        </w:rPr>
        <w:t>ברוך־בער</w:t>
      </w:r>
      <w:proofErr w:type="spellEnd"/>
      <w:r>
        <w:rPr>
          <w:rtl/>
        </w:rPr>
        <w:t xml:space="preserve"> חש”, המשיך אבי, “שיש למלא את רצון </w:t>
      </w:r>
      <w:proofErr w:type="spellStart"/>
      <w:r>
        <w:rPr>
          <w:rtl/>
        </w:rPr>
        <w:t>ה‘רבי</w:t>
      </w:r>
      <w:proofErr w:type="spellEnd"/>
      <w:r>
        <w:rPr>
          <w:rtl/>
        </w:rPr>
        <w:t xml:space="preserve">’. לכן לקח עמו אחד מן המכובדים בעיר, סבב בבתי בני הקהילה וביקש שיחתמו על כתב הרבנות. אם ר׳ </w:t>
      </w:r>
      <w:proofErr w:type="spellStart"/>
      <w:r>
        <w:rPr>
          <w:rtl/>
        </w:rPr>
        <w:t>ברוך־בער</w:t>
      </w:r>
      <w:proofErr w:type="spellEnd"/>
      <w:r>
        <w:rPr>
          <w:rtl/>
        </w:rPr>
        <w:t xml:space="preserve"> בא בעצמו – מי יכול לסרב לו?! אבל כשבא </w:t>
      </w:r>
      <w:proofErr w:type="spellStart"/>
      <w:r>
        <w:rPr>
          <w:rtl/>
        </w:rPr>
        <w:t>לר</w:t>
      </w:r>
      <w:proofErr w:type="spellEnd"/>
      <w:r>
        <w:rPr>
          <w:rtl/>
        </w:rPr>
        <w:t>׳ פישל בר</w:t>
      </w:r>
      <w:bookmarkStart w:id="6588" w:name="_fnr4993"/>
      <w:r>
        <w:rPr>
          <w:rStyle w:val="a5"/>
        </w:rPr>
        <w:footnoteReference w:id="5006" w:customMarkFollows="0"/>
      </w:r>
      <w:bookmarkEnd w:id="6588"/>
      <w:r>
        <w:rPr>
          <w:rtl/>
        </w:rPr>
        <w:t xml:space="preserve"> – הכרתי את ר׳ פישל אישית מימי הקיץ שבילה </w:t>
      </w:r>
      <w:proofErr w:type="spellStart"/>
      <w:r>
        <w:rPr>
          <w:rtl/>
        </w:rPr>
        <w:t>בציטוביאן</w:t>
      </w:r>
      <w:proofErr w:type="spellEnd"/>
      <w:r>
        <w:rPr>
          <w:rtl/>
        </w:rPr>
        <w:t xml:space="preserve">, עיירתי, והוא ידע ממש הכול, ער האט אלץ </w:t>
      </w:r>
      <w:proofErr w:type="spellStart"/>
      <w:r>
        <w:rPr>
          <w:rtl/>
        </w:rPr>
        <w:t>געקענט</w:t>
      </w:r>
      <w:proofErr w:type="spellEnd"/>
      <w:r>
        <w:rPr>
          <w:rtl/>
        </w:rPr>
        <w:t xml:space="preserve">! – אמר </w:t>
      </w:r>
      <w:proofErr w:type="spellStart"/>
      <w:r>
        <w:rPr>
          <w:rtl/>
        </w:rPr>
        <w:t>לר</w:t>
      </w:r>
      <w:proofErr w:type="spellEnd"/>
      <w:r>
        <w:rPr>
          <w:rtl/>
        </w:rPr>
        <w:t xml:space="preserve">׳ </w:t>
      </w:r>
      <w:proofErr w:type="spellStart"/>
      <w:r>
        <w:rPr>
          <w:rtl/>
        </w:rPr>
        <w:t>ברוך־בער</w:t>
      </w:r>
      <w:proofErr w:type="spellEnd"/>
      <w:r>
        <w:rPr>
          <w:rtl/>
        </w:rPr>
        <w:t xml:space="preserve"> בגלוי שאינו יכול לחתום, מפני </w:t>
      </w:r>
      <w:proofErr w:type="spellStart"/>
      <w:r>
        <w:rPr>
          <w:rtl/>
        </w:rPr>
        <w:t>ש‘ראסיין</w:t>
      </w:r>
      <w:proofErr w:type="spellEnd"/>
      <w:r>
        <w:rPr>
          <w:rtl/>
        </w:rPr>
        <w:t xml:space="preserve"> ראויה לרב גדול יותר’. </w:t>
      </w:r>
      <w:proofErr w:type="spellStart"/>
      <w:r>
        <w:rPr>
          <w:rtl/>
        </w:rPr>
        <w:t>ראסיין</w:t>
      </w:r>
      <w:proofErr w:type="spellEnd"/>
      <w:r>
        <w:rPr>
          <w:rtl/>
        </w:rPr>
        <w:t xml:space="preserve">”, הוסיף אבי במאמר מוסגר, “לא הייתה כרך, אלא עיירה גדולה יותר, מן העיירות </w:t>
      </w:r>
      <w:proofErr w:type="spellStart"/>
      <w:r>
        <w:rPr>
          <w:rtl/>
        </w:rPr>
        <w:t>החשוב׳ע</w:t>
      </w:r>
      <w:proofErr w:type="spellEnd"/>
      <w:r>
        <w:rPr>
          <w:rtl/>
        </w:rPr>
        <w:t xml:space="preserve"> בליטא”. והמשיך: “‘ואשר לבקיאותו ברמב״ם׳, הוסיף ר׳ פישל, ‘מי אמר שעליו ליישב את </w:t>
      </w:r>
      <w:proofErr w:type="spellStart"/>
      <w:r>
        <w:rPr>
          <w:rtl/>
        </w:rPr>
        <w:t>הרמב״מים</w:t>
      </w:r>
      <w:proofErr w:type="spellEnd"/>
      <w:r>
        <w:rPr>
          <w:rtl/>
        </w:rPr>
        <w:t xml:space="preserve"> הקשים דווקא </w:t>
      </w:r>
      <w:proofErr w:type="spellStart"/>
      <w:r>
        <w:rPr>
          <w:rtl/>
        </w:rPr>
        <w:t>בראסיין</w:t>
      </w:r>
      <w:proofErr w:type="spellEnd"/>
      <w:r>
        <w:rPr>
          <w:rtl/>
        </w:rPr>
        <w:t xml:space="preserve">? שיישב אותם </w:t>
      </w:r>
      <w:proofErr w:type="spellStart"/>
      <w:r>
        <w:rPr>
          <w:rtl/>
        </w:rPr>
        <w:t>בבריסק</w:t>
      </w:r>
      <w:proofErr w:type="spellEnd"/>
      <w:r>
        <w:rPr>
          <w:rtl/>
        </w:rPr>
        <w:t>’”.</w:t>
      </w:r>
    </w:p>
    <w:p w14:paraId="6A126170" w14:textId="77777777" w:rsidR="00AB3647" w:rsidRDefault="00000000" w:rsidP="007923E9">
      <w:pPr>
        <w:spacing w:after="120" w:line="276" w:lineRule="auto"/>
        <w:ind w:firstLine="283"/>
        <w:jc w:val="both"/>
      </w:pPr>
      <w:r>
        <w:rPr>
          <w:rtl/>
        </w:rPr>
        <w:t xml:space="preserve">(ר׳ </w:t>
      </w:r>
      <w:proofErr w:type="spellStart"/>
      <w:r>
        <w:rPr>
          <w:rtl/>
        </w:rPr>
        <w:t>יענקל</w:t>
      </w:r>
      <w:proofErr w:type="spellEnd"/>
      <w:r>
        <w:rPr>
          <w:rtl/>
        </w:rPr>
        <w:t xml:space="preserve"> </w:t>
      </w:r>
      <w:proofErr w:type="spellStart"/>
      <w:r>
        <w:rPr>
          <w:rtl/>
        </w:rPr>
        <w:t>לשינסקי</w:t>
      </w:r>
      <w:proofErr w:type="spellEnd"/>
      <w:r>
        <w:rPr>
          <w:rtl/>
        </w:rPr>
        <w:t xml:space="preserve"> סיפר ששמע מרבנו</w:t>
      </w:r>
      <w:bookmarkStart w:id="6589" w:name="_fnr4994"/>
      <w:r>
        <w:rPr>
          <w:rStyle w:val="a5"/>
        </w:rPr>
        <w:footnoteReference w:id="5007" w:customMarkFollows="0"/>
      </w:r>
      <w:bookmarkEnd w:id="6589"/>
      <w:r>
        <w:rPr>
          <w:rtl/>
        </w:rPr>
        <w:t xml:space="preserve"> טיעון מקביל מפי ר׳ פישל: “</w:t>
      </w:r>
      <w:proofErr w:type="spellStart"/>
      <w:r>
        <w:rPr>
          <w:rtl/>
        </w:rPr>
        <w:t>שראסיין</w:t>
      </w:r>
      <w:proofErr w:type="spellEnd"/>
      <w:r>
        <w:rPr>
          <w:rtl/>
        </w:rPr>
        <w:t xml:space="preserve"> צריכה רב – אין ספק; שר׳ משה </w:t>
      </w:r>
      <w:proofErr w:type="spellStart"/>
      <w:r>
        <w:rPr>
          <w:rtl/>
        </w:rPr>
        <w:t>סולובייצ׳יק</w:t>
      </w:r>
      <w:proofErr w:type="spellEnd"/>
      <w:r>
        <w:rPr>
          <w:rtl/>
        </w:rPr>
        <w:t xml:space="preserve"> צריך משרה – אין להכחיש; אבל מי אומר שדווקא את ר׳ משה </w:t>
      </w:r>
      <w:proofErr w:type="spellStart"/>
      <w:r>
        <w:rPr>
          <w:rtl/>
        </w:rPr>
        <w:t>סולובייצ׳יק</w:t>
      </w:r>
      <w:proofErr w:type="spellEnd"/>
      <w:r>
        <w:rPr>
          <w:rtl/>
        </w:rPr>
        <w:t xml:space="preserve"> חייבת </w:t>
      </w:r>
      <w:proofErr w:type="spellStart"/>
      <w:r>
        <w:rPr>
          <w:rtl/>
        </w:rPr>
        <w:t>ראסיין</w:t>
      </w:r>
      <w:proofErr w:type="spellEnd"/>
      <w:r>
        <w:rPr>
          <w:rtl/>
        </w:rPr>
        <w:t xml:space="preserve"> לקחת?”) “היו עוד אנשים אחדים שלא חתמו, אבל ר׳ משה יכול היה על פי דין להיות רב גם בלי הסכמת מיעוט קטן, וכך היה”, סיים אבי.</w:t>
      </w:r>
    </w:p>
    <w:p w14:paraId="5E30E8C7" w14:textId="77777777" w:rsidR="00AB3647" w:rsidRDefault="00000000" w:rsidP="007923E9">
      <w:pPr>
        <w:spacing w:after="120" w:line="276" w:lineRule="auto"/>
        <w:ind w:firstLine="283"/>
        <w:jc w:val="both"/>
      </w:pPr>
      <w:r>
        <w:rPr>
          <w:rtl/>
        </w:rPr>
        <w:t xml:space="preserve">הדבר לא מנע מר׳ פישל בר לנסות לחשוף את בורותו המשוערת של הרב החדש באחרונים – כך לפי בנו של ר׳ משה, ר׳ אהרן </w:t>
      </w:r>
      <w:proofErr w:type="spellStart"/>
      <w:r>
        <w:rPr>
          <w:rtl/>
        </w:rPr>
        <w:t>סולובייצ׳יק</w:t>
      </w:r>
      <w:bookmarkStart w:id="6590" w:name="_fnr4995"/>
      <w:proofErr w:type="spellEnd"/>
      <w:r>
        <w:rPr>
          <w:rStyle w:val="a5"/>
        </w:rPr>
        <w:footnoteReference w:id="5008" w:customMarkFollows="0"/>
      </w:r>
      <w:bookmarkEnd w:id="6590"/>
      <w:r>
        <w:rPr>
          <w:rtl/>
        </w:rPr>
        <w:t xml:space="preserve">. “ר׳ פישל ידע היטב שאת אבא ר׳ משה אי </w:t>
      </w:r>
      <w:r>
        <w:rPr>
          <w:rtl/>
        </w:rPr>
        <w:lastRenderedPageBreak/>
        <w:t>אפשר להכשיל בשום ראשון”, אמר ר׳ אהרן. “אך ר׳ פישל שאלו מה המקור לפסול אתרוג מורכב, עניין שאין הראשונים עוסקים בו. ר׳ משה ידע את התשובה והשיב: ‘המגן אברהם, אחרון, הוא המקור; ועוד, הגמרא פוסלת אותו כשאומרת שנדרש אתרוג ולא לימון’”. “הרב”</w:t>
      </w:r>
      <w:bookmarkStart w:id="6591" w:name="_fnr4996"/>
      <w:r>
        <w:rPr>
          <w:rStyle w:val="a5"/>
        </w:rPr>
        <w:footnoteReference w:id="5009" w:customMarkFollows="0"/>
      </w:r>
      <w:bookmarkEnd w:id="6591"/>
      <w:r>
        <w:rPr>
          <w:rtl/>
        </w:rPr>
        <w:t xml:space="preserve"> טועה כשהוא מוסר בשם בנו הבכור של ר׳ משה, ר׳ </w:t>
      </w:r>
      <w:proofErr w:type="spellStart"/>
      <w:r>
        <w:rPr>
          <w:rtl/>
        </w:rPr>
        <w:t xml:space="preserve">יוסף־דב</w:t>
      </w:r>
      <w:proofErr w:type="spellEnd"/>
      <w:r>
        <w:rPr>
          <w:rtl/>
        </w:rPr>
        <w:t xml:space="preserve">, </w:t>
      </w:r>
      <w:proofErr w:type="spellStart"/>
      <w:r>
        <w:rPr>
          <w:rtl/>
        </w:rPr>
        <w:t>ש“דיין</w:t>
      </w:r>
      <w:proofErr w:type="spellEnd"/>
      <w:r>
        <w:rPr>
          <w:rtl/>
        </w:rPr>
        <w:t xml:space="preserve">” מסוים </w:t>
      </w:r>
      <w:proofErr w:type="spellStart"/>
      <w:r>
        <w:rPr>
          <w:rtl/>
        </w:rPr>
        <w:t>בראסיין</w:t>
      </w:r>
      <w:proofErr w:type="spellEnd"/>
      <w:r>
        <w:rPr>
          <w:rtl/>
        </w:rPr>
        <w:t xml:space="preserve"> סירב לחתום על כתב הרבנות של ר׳ משה, ושדיין זה, “שהתפרנס ממכירת אתרוגים”, ניסה לתפוס את ר׳ משה בעניין האתרוג המורכב. מי </w:t>
      </w:r>
      <w:proofErr w:type="spellStart"/>
      <w:r>
        <w:rPr>
          <w:rtl/>
        </w:rPr>
        <w:t>ש“בחן</w:t>
      </w:r>
      <w:proofErr w:type="spellEnd"/>
      <w:r>
        <w:rPr>
          <w:rtl/>
        </w:rPr>
        <w:t>” את ר׳ משה באתרוגים מורכבים היה ר׳ פישל, והוא לא היה עובד ציבור, אלא, כפי שתיארו אבי, מנהיג קהילה עשיר ותלמיד חכם מופלג</w:t>
      </w:r>
      <w:bookmarkStart w:id="6592" w:name="_fnr4997"/>
      <w:r>
        <w:rPr>
          <w:rStyle w:val="a5"/>
        </w:rPr>
        <w:footnoteReference w:id="5010" w:customMarkFollows="0"/>
      </w:r>
      <w:bookmarkEnd w:id="6592"/>
      <w:r>
        <w:rPr>
          <w:rtl/>
        </w:rPr>
        <w:t>.</w:t>
      </w:r>
    </w:p>
    <w:p w14:paraId="155F0FC9" w14:textId="77777777" w:rsidR="00AB3647" w:rsidRDefault="00000000" w:rsidP="007923E9">
      <w:pPr>
        <w:spacing w:after="120" w:line="276" w:lineRule="auto"/>
        <w:ind w:firstLine="283"/>
        <w:jc w:val="both"/>
      </w:pPr>
      <w:r>
        <w:rPr>
          <w:rtl/>
        </w:rPr>
        <w:t>בשיעור תנ״ך מוקלט</w:t>
      </w:r>
      <w:bookmarkStart w:id="6593" w:name="_fnr4998"/>
      <w:bookmarkStart w:id="6594" w:name="pr_f_4876"/>
      <w:r>
        <w:rPr>
          <w:rStyle w:val="a5"/>
        </w:rPr>
        <w:footnoteReference w:id="5011" w:customMarkFollows="0"/>
      </w:r>
      <w:bookmarkEnd w:id="6593"/>
      <w:bookmarkEnd w:id="6594"/>
      <w:r>
        <w:rPr>
          <w:rtl/>
        </w:rPr>
        <w:t xml:space="preserve"> הוסיף אבי: “ר׳ פישל היה האיש העשיר ביותר </w:t>
      </w:r>
      <w:proofErr w:type="spellStart"/>
      <w:r>
        <w:rPr>
          <w:rtl/>
        </w:rPr>
        <w:t>בראסיין</w:t>
      </w:r>
      <w:proofErr w:type="spellEnd"/>
      <w:r>
        <w:rPr>
          <w:rtl/>
        </w:rPr>
        <w:t xml:space="preserve">, ובלי חתימתו הייתה </w:t>
      </w:r>
      <w:proofErr w:type="spellStart"/>
      <w:r>
        <w:rPr>
          <w:rtl/>
        </w:rPr>
        <w:t>לר</w:t>
      </w:r>
      <w:proofErr w:type="spellEnd"/>
      <w:r>
        <w:rPr>
          <w:rtl/>
        </w:rPr>
        <w:t xml:space="preserve">׳ משה רק ‘חצי רבנות’”. אגב, אצל בערל </w:t>
      </w:r>
      <w:proofErr w:type="spellStart"/>
      <w:r>
        <w:rPr>
          <w:rtl/>
        </w:rPr>
        <w:t>קגן</w:t>
      </w:r>
      <w:bookmarkStart w:id="6595" w:name="_fnr4999"/>
      <w:proofErr w:type="spellEnd"/>
      <w:r>
        <w:rPr>
          <w:rStyle w:val="a5"/>
        </w:rPr>
        <w:footnoteReference w:id="5012" w:customMarkFollows="0"/>
      </w:r>
      <w:bookmarkEnd w:id="6595"/>
      <w:r>
        <w:rPr>
          <w:rtl/>
        </w:rPr>
        <w:t xml:space="preserve"> נמנה ר׳ פישל בר עם תומכי אגודת ישראל </w:t>
      </w:r>
      <w:proofErr w:type="spellStart"/>
      <w:r>
        <w:rPr>
          <w:rtl/>
        </w:rPr>
        <w:t>בראסיין</w:t>
      </w:r>
      <w:proofErr w:type="spellEnd"/>
      <w:r>
        <w:rPr>
          <w:rtl/>
        </w:rPr>
        <w:t xml:space="preserve"> – כבר שנה אחרי ייסוד הארגון היה בעיר זו “חוג ניכר של חברים ותומכים” של אגודת ישראל. ברבעון הירושלמי “שערי ציון”</w:t>
      </w:r>
      <w:bookmarkStart w:id="6596" w:name="_fnr5000"/>
      <w:r>
        <w:rPr>
          <w:rStyle w:val="a5"/>
        </w:rPr>
        <w:footnoteReference w:id="5013" w:customMarkFollows="0"/>
      </w:r>
      <w:bookmarkEnd w:id="6596"/>
      <w:r>
        <w:rPr>
          <w:rtl/>
        </w:rPr>
        <w:t xml:space="preserve"> איחלה לו הנהלת כולל ליטא </w:t>
      </w:r>
      <w:proofErr w:type="spellStart"/>
      <w:r>
        <w:rPr>
          <w:rtl/>
        </w:rPr>
        <w:t>זאמוט</w:t>
      </w:r>
      <w:proofErr w:type="spellEnd"/>
      <w:r>
        <w:rPr>
          <w:rtl/>
        </w:rPr>
        <w:t xml:space="preserve"> </w:t>
      </w:r>
      <w:proofErr w:type="spellStart"/>
      <w:r>
        <w:rPr>
          <w:rtl/>
        </w:rPr>
        <w:t>קורלאנד</w:t>
      </w:r>
      <w:proofErr w:type="spellEnd"/>
      <w:r>
        <w:rPr>
          <w:rtl/>
        </w:rPr>
        <w:t xml:space="preserve"> </w:t>
      </w:r>
      <w:proofErr w:type="spellStart"/>
      <w:r>
        <w:rPr>
          <w:rtl/>
        </w:rPr>
        <w:t>וליפלאנד</w:t>
      </w:r>
      <w:proofErr w:type="spellEnd"/>
      <w:r>
        <w:rPr>
          <w:rtl/>
        </w:rPr>
        <w:t xml:space="preserve"> שנה טובה, </w:t>
      </w:r>
      <w:proofErr w:type="spellStart"/>
      <w:r>
        <w:rPr>
          <w:rtl/>
        </w:rPr>
        <w:t>כ“גבאי</w:t>
      </w:r>
      <w:proofErr w:type="spellEnd"/>
      <w:r>
        <w:rPr>
          <w:rtl/>
        </w:rPr>
        <w:t xml:space="preserve"> הנכבד בעיר </w:t>
      </w:r>
      <w:proofErr w:type="spellStart"/>
      <w:r>
        <w:rPr>
          <w:rtl/>
        </w:rPr>
        <w:t>ראסיין</w:t>
      </w:r>
      <w:proofErr w:type="spellEnd"/>
      <w:r>
        <w:rPr>
          <w:rtl/>
        </w:rPr>
        <w:t>”, וכינתה אותו “הרה״ג המפורסם רב פעלים”</w:t>
      </w:r>
      <w:bookmarkStart w:id="6597" w:name="_fnr5001"/>
      <w:r>
        <w:rPr>
          <w:rStyle w:val="a5"/>
        </w:rPr>
        <w:footnoteReference w:id="5014" w:customMarkFollows="0"/>
      </w:r>
      <w:bookmarkEnd w:id="6597"/>
      <w:r>
        <w:rPr>
          <w:rtl/>
        </w:rPr>
        <w:t xml:space="preserve">. כשנפטר ר׳ פישל, נשלחו תנחומים למשפחתו </w:t>
      </w:r>
      <w:proofErr w:type="spellStart"/>
      <w:r>
        <w:rPr>
          <w:rtl/>
        </w:rPr>
        <w:t>ב“שערי</w:t>
      </w:r>
      <w:proofErr w:type="spellEnd"/>
      <w:r>
        <w:rPr>
          <w:rtl/>
        </w:rPr>
        <w:t xml:space="preserve"> ציון”</w:t>
      </w:r>
      <w:bookmarkStart w:id="6598" w:name="_fnr5002"/>
      <w:r>
        <w:rPr>
          <w:rStyle w:val="a5"/>
        </w:rPr>
        <w:footnoteReference w:id="5015" w:customMarkFollows="0"/>
      </w:r>
      <w:bookmarkEnd w:id="6598"/>
      <w:r>
        <w:rPr>
          <w:rtl/>
        </w:rPr>
        <w:t>.</w:t>
      </w:r>
    </w:p>
    <w:p w14:paraId="7AED3E4D" w14:textId="77777777" w:rsidR="00AB3647" w:rsidRDefault="00000000" w:rsidP="007923E9">
      <w:pPr>
        <w:spacing w:after="120" w:line="276" w:lineRule="auto"/>
        <w:ind w:firstLine="283"/>
        <w:jc w:val="both"/>
      </w:pPr>
      <w:bookmarkStart w:id="6599" w:name="pr_b_2733"/>
      <w:bookmarkEnd w:id="6599"/>
      <w:r>
        <w:rPr>
          <w:rtl/>
        </w:rPr>
        <w:t xml:space="preserve">אבי המשיך: “כדי לחזק את מעמד בנו בקהילה, ביקש ר׳ חיים מן הסבא </w:t>
      </w:r>
      <w:proofErr w:type="spellStart"/>
      <w:r>
        <w:rPr>
          <w:rtl/>
        </w:rPr>
        <w:t>מסלבודקה</w:t>
      </w:r>
      <w:proofErr w:type="spellEnd"/>
      <w:r>
        <w:rPr>
          <w:rtl/>
        </w:rPr>
        <w:t xml:space="preserve"> – שתלמידיו הוכשרו לצאת ולהקים ישיבות חדשות</w:t>
      </w:r>
      <w:bookmarkStart w:id="6600" w:name="_fnr5003"/>
      <w:r>
        <w:rPr>
          <w:rStyle w:val="a5"/>
        </w:rPr>
        <w:footnoteReference w:id="5016" w:customMarkFollows="0"/>
      </w:r>
      <w:bookmarkEnd w:id="6600"/>
      <w:r>
        <w:rPr>
          <w:rtl/>
        </w:rPr>
        <w:t xml:space="preserve"> – לשלוח קבוצה של תלמידים מעולים </w:t>
      </w:r>
      <w:proofErr w:type="spellStart"/>
      <w:r>
        <w:rPr>
          <w:rtl/>
        </w:rPr>
        <w:t>לר</w:t>
      </w:r>
      <w:proofErr w:type="spellEnd"/>
      <w:r>
        <w:rPr>
          <w:rtl/>
        </w:rPr>
        <w:t xml:space="preserve">׳ משה </w:t>
      </w:r>
      <w:proofErr w:type="spellStart"/>
      <w:r>
        <w:rPr>
          <w:rtl/>
        </w:rPr>
        <w:t>בראסיין</w:t>
      </w:r>
      <w:proofErr w:type="spellEnd"/>
      <w:r>
        <w:rPr>
          <w:rtl/>
        </w:rPr>
        <w:t xml:space="preserve">. כתמריץ הציע ר׳ חיים לבוא </w:t>
      </w:r>
      <w:proofErr w:type="spellStart"/>
      <w:r>
        <w:rPr>
          <w:rtl/>
        </w:rPr>
        <w:t>מבריסק</w:t>
      </w:r>
      <w:proofErr w:type="spellEnd"/>
      <w:r>
        <w:rPr>
          <w:rtl/>
        </w:rPr>
        <w:t xml:space="preserve"> פעם בחודש למסור שיעור”. תמריץ זה בא נוסף על הדרך הרגילה למשוך תלמידי ישיבה לעבור למוסד חדש</w:t>
      </w:r>
      <w:bookmarkStart w:id="6601" w:name="_fnr5004"/>
      <w:r>
        <w:rPr>
          <w:rStyle w:val="a5"/>
        </w:rPr>
        <w:footnoteReference w:id="5017" w:customMarkFollows="0"/>
      </w:r>
      <w:bookmarkEnd w:id="6601"/>
      <w:r>
        <w:rPr>
          <w:rtl/>
        </w:rPr>
        <w:t xml:space="preserve"> – פירעון החובות שצברו; גם לכך התחייב ר׳ חיים, בשביל התלמידים שיבחר הסבא</w:t>
      </w:r>
      <w:bookmarkStart w:id="6602" w:name="_fnr5005"/>
      <w:r>
        <w:rPr>
          <w:rStyle w:val="a5"/>
        </w:rPr>
        <w:footnoteReference w:id="5018" w:customMarkFollows="0"/>
      </w:r>
      <w:bookmarkEnd w:id="6602"/>
      <w:r>
        <w:rPr>
          <w:rtl/>
        </w:rPr>
        <w:t>.</w:t>
      </w:r>
    </w:p>
    <w:p w14:paraId="7A7BF738" w14:textId="77777777" w:rsidR="00AB3647" w:rsidRDefault="00000000" w:rsidP="007923E9">
      <w:pPr>
        <w:spacing w:after="120" w:line="276" w:lineRule="auto"/>
        <w:ind w:firstLine="283"/>
        <w:jc w:val="both"/>
      </w:pPr>
      <w:r>
        <w:rPr>
          <w:rtl/>
        </w:rPr>
        <w:t xml:space="preserve">ר׳ חיים </w:t>
      </w:r>
      <w:proofErr w:type="spellStart"/>
      <w:r>
        <w:rPr>
          <w:rtl/>
        </w:rPr>
        <w:t>סרנא</w:t>
      </w:r>
      <w:proofErr w:type="spellEnd"/>
      <w:r>
        <w:rPr>
          <w:rtl/>
        </w:rPr>
        <w:t xml:space="preserve"> אמר</w:t>
      </w:r>
      <w:bookmarkStart w:id="6603" w:name="_fnr5006"/>
      <w:r>
        <w:rPr>
          <w:rStyle w:val="a5"/>
        </w:rPr>
        <w:footnoteReference w:id="5019" w:customMarkFollows="0"/>
      </w:r>
      <w:bookmarkEnd w:id="6603"/>
      <w:r>
        <w:rPr>
          <w:rtl/>
        </w:rPr>
        <w:t xml:space="preserve"> שנשלחו </w:t>
      </w:r>
      <w:proofErr w:type="spellStart"/>
      <w:r>
        <w:rPr>
          <w:rtl/>
        </w:rPr>
        <w:t>לראסיין</w:t>
      </w:r>
      <w:proofErr w:type="spellEnd"/>
      <w:r>
        <w:rPr>
          <w:rtl/>
        </w:rPr>
        <w:t xml:space="preserve"> לא פחות מעשרים וחמישה בחורים </w:t>
      </w:r>
      <w:proofErr w:type="spellStart"/>
      <w:r>
        <w:rPr>
          <w:rtl/>
        </w:rPr>
        <w:t>מסלבודקה</w:t>
      </w:r>
      <w:proofErr w:type="spellEnd"/>
      <w:r>
        <w:rPr>
          <w:rtl/>
        </w:rPr>
        <w:t xml:space="preserve">. בעיירה גדולה יותר </w:t>
      </w:r>
      <w:proofErr w:type="spellStart"/>
      <w:r>
        <w:rPr>
          <w:rtl/>
        </w:rPr>
        <w:t>כראסיין</w:t>
      </w:r>
      <w:proofErr w:type="spellEnd"/>
      <w:r>
        <w:rPr>
          <w:rtl/>
        </w:rPr>
        <w:t xml:space="preserve">, אירוחם של עשרים וחמישה בחורים לא היה שיקול כלכלי; אבל </w:t>
      </w:r>
      <w:r>
        <w:rPr>
          <w:rtl/>
        </w:rPr>
        <w:lastRenderedPageBreak/>
        <w:t>עיירה “חשובה” כמותה ודאי הייתה מעריכה את נוכחותה של קבוצת בחורים מעולים הלומדים תורה בתוכה.</w:t>
      </w:r>
    </w:p>
    <w:p w14:paraId="00C82B3D" w14:textId="77777777" w:rsidR="00AB3647" w:rsidRDefault="00000000" w:rsidP="007923E9">
      <w:pPr>
        <w:spacing w:after="120" w:line="276" w:lineRule="auto"/>
        <w:ind w:firstLine="283"/>
        <w:jc w:val="both"/>
      </w:pPr>
      <w:r>
        <w:rPr>
          <w:rtl/>
        </w:rPr>
        <w:t>ר׳ בערל שחר אמר</w:t>
      </w:r>
      <w:bookmarkStart w:id="6604" w:name="_fnr5007"/>
      <w:r>
        <w:rPr>
          <w:rStyle w:val="a5"/>
        </w:rPr>
        <w:footnoteReference w:id="5020" w:customMarkFollows="0"/>
      </w:r>
      <w:bookmarkEnd w:id="6604"/>
      <w:r>
        <w:rPr>
          <w:rtl/>
        </w:rPr>
        <w:t xml:space="preserve"> שרבנו סיפר כך</w:t>
      </w:r>
      <w:bookmarkStart w:id="6605" w:name="_fnr5008"/>
      <w:r>
        <w:rPr>
          <w:rStyle w:val="a5"/>
        </w:rPr>
        <w:footnoteReference w:id="5021" w:customMarkFollows="0"/>
      </w:r>
      <w:bookmarkEnd w:id="6605"/>
      <w:r>
        <w:rPr>
          <w:rtl/>
        </w:rPr>
        <w:t xml:space="preserve">: “הסבא </w:t>
      </w:r>
      <w:proofErr w:type="spellStart"/>
      <w:r>
        <w:rPr>
          <w:rtl/>
        </w:rPr>
        <w:t>מסלבודקה</w:t>
      </w:r>
      <w:proofErr w:type="spellEnd"/>
      <w:r>
        <w:rPr>
          <w:rtl/>
        </w:rPr>
        <w:t xml:space="preserve"> ביקש מר׳ משה </w:t>
      </w:r>
      <w:proofErr w:type="spellStart"/>
      <w:r>
        <w:rPr>
          <w:rtl/>
        </w:rPr>
        <w:t>סולובייצ׳יק</w:t>
      </w:r>
      <w:proofErr w:type="spellEnd"/>
      <w:r>
        <w:rPr>
          <w:rtl/>
        </w:rPr>
        <w:t xml:space="preserve"> לסדר שהתלמידים ששלח </w:t>
      </w:r>
      <w:proofErr w:type="spellStart"/>
      <w:r>
        <w:rPr>
          <w:rtl/>
        </w:rPr>
        <w:t>מסלבודקה</w:t>
      </w:r>
      <w:proofErr w:type="spellEnd"/>
      <w:r>
        <w:rPr>
          <w:rtl/>
        </w:rPr>
        <w:t xml:space="preserve"> ילמדו אצל ר׳ חיים </w:t>
      </w:r>
      <w:proofErr w:type="spellStart"/>
      <w:r>
        <w:rPr>
          <w:rtl/>
        </w:rPr>
        <w:t>בבריסק</w:t>
      </w:r>
      <w:proofErr w:type="spellEnd"/>
      <w:r>
        <w:rPr>
          <w:rtl/>
        </w:rPr>
        <w:t xml:space="preserve"> אחרי הזמן הראשון שלהם </w:t>
      </w:r>
      <w:proofErr w:type="spellStart"/>
      <w:r>
        <w:rPr>
          <w:rtl/>
        </w:rPr>
        <w:t>בראסיין</w:t>
      </w:r>
      <w:proofErr w:type="spellEnd"/>
      <w:r>
        <w:rPr>
          <w:rtl/>
        </w:rPr>
        <w:t xml:space="preserve">, ור׳ משה אמר שינסה לסייע בכך. כשהציע זאת לאביו, הזכיר לו ר׳ חיים שר׳ משה עצמו תמך בפיזור קבוצת תלמידי </w:t>
      </w:r>
      <w:proofErr w:type="spellStart"/>
      <w:r>
        <w:rPr>
          <w:rtl/>
        </w:rPr>
        <w:t>טלז</w:t>
      </w:r>
      <w:proofErr w:type="spellEnd"/>
      <w:r>
        <w:rPr>
          <w:rtl/>
        </w:rPr>
        <w:t xml:space="preserve"> שבאה ללמוד אצלו [אצל ר׳ חיים] </w:t>
      </w:r>
      <w:proofErr w:type="spellStart"/>
      <w:r>
        <w:rPr>
          <w:rtl/>
        </w:rPr>
        <w:t>בבריסק</w:t>
      </w:r>
      <w:proofErr w:type="spellEnd"/>
      <w:r>
        <w:rPr>
          <w:rtl/>
        </w:rPr>
        <w:t xml:space="preserve"> עם סגירת </w:t>
      </w:r>
      <w:proofErr w:type="spellStart"/>
      <w:r>
        <w:rPr>
          <w:rtl/>
        </w:rPr>
        <w:t>וולוז׳ין</w:t>
      </w:r>
      <w:proofErr w:type="spellEnd"/>
      <w:r>
        <w:rPr>
          <w:rtl/>
        </w:rPr>
        <w:t>, מפני שבלי הרקע הנכון לא הבינו את דרך לימודו</w:t>
      </w:r>
      <w:bookmarkStart w:id="6606" w:name="_fnr5009"/>
      <w:r>
        <w:rPr>
          <w:rStyle w:val="a5"/>
        </w:rPr>
        <w:footnoteReference w:id="5022" w:customMarkFollows="0"/>
      </w:r>
      <w:bookmarkEnd w:id="6606"/>
      <w:r>
        <w:rPr>
          <w:rtl/>
        </w:rPr>
        <w:t xml:space="preserve">. ר׳ משה השיב שתלמידים אלה יבואו אל אביו אחרי שהוא יניח את היסודות בחצי השנה שלהם </w:t>
      </w:r>
      <w:proofErr w:type="spellStart"/>
      <w:r>
        <w:rPr>
          <w:rtl/>
        </w:rPr>
        <w:t>בראסיין</w:t>
      </w:r>
      <w:proofErr w:type="spellEnd"/>
      <w:r>
        <w:rPr>
          <w:rtl/>
        </w:rPr>
        <w:t xml:space="preserve">. כשטען ר׳ חיים ‘מי </w:t>
      </w:r>
      <w:proofErr w:type="spellStart"/>
      <w:r>
        <w:rPr>
          <w:rtl/>
        </w:rPr>
        <w:t>יימר</w:t>
      </w:r>
      <w:proofErr w:type="spellEnd"/>
      <w:r>
        <w:rPr>
          <w:rtl/>
        </w:rPr>
        <w:t xml:space="preserve"> [מי אומר – שתניח תשתית מספקת]?’, הוחלט שר׳ </w:t>
      </w:r>
      <w:proofErr w:type="spellStart"/>
      <w:r>
        <w:rPr>
          <w:rtl/>
        </w:rPr>
        <w:t xml:space="preserve">וועלוול׳ה</w:t>
      </w:r>
      <w:proofErr w:type="spellEnd"/>
      <w:r>
        <w:rPr>
          <w:rtl/>
        </w:rPr>
        <w:t xml:space="preserve">, שכבר היה נשוי ותכנן לשהות </w:t>
      </w:r>
      <w:proofErr w:type="spellStart"/>
      <w:r>
        <w:rPr>
          <w:rtl/>
        </w:rPr>
        <w:t>זמן־מה</w:t>
      </w:r>
      <w:proofErr w:type="spellEnd"/>
      <w:r>
        <w:rPr>
          <w:rtl/>
        </w:rPr>
        <w:t xml:space="preserve"> בבית חותניו בוורשה, יסטה </w:t>
      </w:r>
      <w:proofErr w:type="spellStart"/>
      <w:r>
        <w:rPr>
          <w:rtl/>
        </w:rPr>
        <w:t>לראסיין</w:t>
      </w:r>
      <w:proofErr w:type="spellEnd"/>
      <w:r>
        <w:rPr>
          <w:rtl/>
        </w:rPr>
        <w:t xml:space="preserve"> בדרכו </w:t>
      </w:r>
      <w:proofErr w:type="spellStart"/>
      <w:r>
        <w:rPr>
          <w:rtl/>
        </w:rPr>
        <w:t>מבריסק</w:t>
      </w:r>
      <w:proofErr w:type="spellEnd"/>
      <w:r>
        <w:rPr>
          <w:rtl/>
        </w:rPr>
        <w:t xml:space="preserve"> ויבחן את תלמידי </w:t>
      </w:r>
      <w:proofErr w:type="spellStart"/>
      <w:r>
        <w:rPr>
          <w:rtl/>
        </w:rPr>
        <w:t>סלבודקה</w:t>
      </w:r>
      <w:proofErr w:type="spellEnd"/>
      <w:r>
        <w:rPr>
          <w:rtl/>
        </w:rPr>
        <w:t xml:space="preserve"> לשעבר</w:t>
      </w:r>
      <w:bookmarkStart w:id="6607" w:name="_fnr5010"/>
      <w:r>
        <w:rPr>
          <w:rStyle w:val="a5"/>
        </w:rPr>
        <w:footnoteReference w:id="5023" w:customMarkFollows="0"/>
      </w:r>
      <w:bookmarkEnd w:id="6607"/>
      <w:r>
        <w:rPr>
          <w:rtl/>
        </w:rPr>
        <w:t>.</w:t>
      </w:r>
    </w:p>
    <w:p w14:paraId="1A2F7B6F" w14:textId="77777777" w:rsidR="00AB3647" w:rsidRDefault="00000000" w:rsidP="007923E9">
      <w:pPr>
        <w:spacing w:after="120" w:line="276" w:lineRule="auto"/>
        <w:ind w:firstLine="283"/>
        <w:jc w:val="both"/>
      </w:pPr>
      <w:r>
        <w:rPr>
          <w:rtl/>
        </w:rPr>
        <w:t xml:space="preserve">אבל אשתו של ר׳ יצחק־זאב, </w:t>
      </w:r>
      <w:proofErr w:type="spellStart"/>
      <w:r>
        <w:rPr>
          <w:rtl/>
        </w:rPr>
        <w:t>הינדל</w:t>
      </w:r>
      <w:proofErr w:type="spellEnd"/>
      <w:r>
        <w:rPr>
          <w:rtl/>
        </w:rPr>
        <w:t xml:space="preserve">, הייתה ביחסים מתוחים עם גיסתה פשה, וסירבה לנסוע אליה </w:t>
      </w:r>
      <w:proofErr w:type="spellStart"/>
      <w:r>
        <w:rPr>
          <w:rtl/>
        </w:rPr>
        <w:t>לראסיין</w:t>
      </w:r>
      <w:proofErr w:type="spellEnd"/>
      <w:r>
        <w:rPr>
          <w:rtl/>
        </w:rPr>
        <w:t xml:space="preserve">. כשהתוכנית נכשלה, דרשו תלמידי </w:t>
      </w:r>
      <w:proofErr w:type="spellStart"/>
      <w:r>
        <w:rPr>
          <w:rtl/>
        </w:rPr>
        <w:t>סלבודקה</w:t>
      </w:r>
      <w:proofErr w:type="spellEnd"/>
      <w:r>
        <w:rPr>
          <w:rtl/>
        </w:rPr>
        <w:t xml:space="preserve"> בשינוי לשון את הגמרא במסכת גיטין</w:t>
      </w:r>
      <w:bookmarkStart w:id="6608" w:name="_fnr5011"/>
      <w:r>
        <w:rPr>
          <w:rStyle w:val="a5"/>
        </w:rPr>
        <w:footnoteReference w:id="5024" w:customMarkFollows="0"/>
      </w:r>
      <w:bookmarkEnd w:id="6608"/>
      <w:r>
        <w:rPr>
          <w:rtl/>
        </w:rPr>
        <w:t xml:space="preserve"> על חורבן טור </w:t>
      </w:r>
      <w:proofErr w:type="spellStart"/>
      <w:r>
        <w:rPr>
          <w:rtl/>
        </w:rPr>
        <w:t>מלכא</w:t>
      </w:r>
      <w:proofErr w:type="spellEnd"/>
      <w:r>
        <w:rPr>
          <w:rtl/>
        </w:rPr>
        <w:t xml:space="preserve"> לפני יותר מ־17 מאות שנה – חורבן שבא כאשר יהודי העיר הגדולה ההיא התקיפו גדוד רומאי שהחרים “תרנגול ותרנגולת”. תלמידי </w:t>
      </w:r>
      <w:proofErr w:type="spellStart"/>
      <w:r>
        <w:rPr>
          <w:rtl/>
        </w:rPr>
        <w:t>סלבודקה</w:t>
      </w:r>
      <w:proofErr w:type="spellEnd"/>
      <w:r>
        <w:rPr>
          <w:rtl/>
        </w:rPr>
        <w:t xml:space="preserve"> הכריזו: ‘בגלל... </w:t>
      </w:r>
      <w:proofErr w:type="spellStart"/>
      <w:r>
        <w:rPr>
          <w:rtl/>
        </w:rPr>
        <w:t>הינדל</w:t>
      </w:r>
      <w:proofErr w:type="spellEnd"/>
      <w:r>
        <w:rPr>
          <w:rtl/>
        </w:rPr>
        <w:t xml:space="preserve"> [תרנגולת ביידיש] נחרבה </w:t>
      </w:r>
      <w:proofErr w:type="spellStart"/>
      <w:r>
        <w:rPr>
          <w:rtl/>
        </w:rPr>
        <w:t>ראסיין</w:t>
      </w:r>
      <w:proofErr w:type="spellEnd"/>
      <w:r>
        <w:rPr>
          <w:rtl/>
        </w:rPr>
        <w:t xml:space="preserve"> [הישיבה]’”.</w:t>
      </w:r>
    </w:p>
    <w:p w14:paraId="2A9F149D" w14:textId="77777777" w:rsidR="00AB3647" w:rsidRDefault="00000000" w:rsidP="007923E9">
      <w:pPr>
        <w:spacing w:after="120" w:line="276" w:lineRule="auto"/>
        <w:ind w:firstLine="283"/>
        <w:jc w:val="both"/>
      </w:pPr>
      <w:r>
        <w:rPr>
          <w:rtl/>
        </w:rPr>
        <w:t xml:space="preserve">נראה שמלכתחילה הסכים ר׳ חיים למסור שיעורים מדי חודש מפני שהדבר לא דרש מן התלמידים אותה תשתית שדורש לימוד קבוע אצל הרב. ייתכן שהתוכנית לשיעור החודשי לא יצאה לפועל מפני שהנסיעות התכופות </w:t>
      </w:r>
      <w:proofErr w:type="spellStart"/>
      <w:r>
        <w:rPr>
          <w:rtl/>
        </w:rPr>
        <w:t>לראסיין</w:t>
      </w:r>
      <w:proofErr w:type="spellEnd"/>
      <w:r>
        <w:rPr>
          <w:rtl/>
        </w:rPr>
        <w:t xml:space="preserve"> הכבידו מדי על בריאותו של ר׳ חיים. אפשרות אחרת היא שר׳ חיים הבין </w:t>
      </w:r>
      <w:r>
        <w:rPr>
          <w:b/>
          <w:bCs/>
          <w:rtl/>
        </w:rPr>
        <w:t>אחרי המינוי</w:t>
      </w:r>
      <w:r>
        <w:rPr>
          <w:rtl/>
        </w:rPr>
        <w:t xml:space="preserve"> שלמרות כל תמיכתו – ובעיקרה הייתה תמיכה זו ייסוד הקיבוץ בידי הרב החדש</w:t>
      </w:r>
      <w:bookmarkStart w:id="6609" w:name="_fnr5012"/>
      <w:r>
        <w:rPr>
          <w:rStyle w:val="a5"/>
        </w:rPr>
        <w:footnoteReference w:id="5025" w:customMarkFollows="0"/>
      </w:r>
      <w:bookmarkEnd w:id="6609"/>
      <w:r>
        <w:rPr>
          <w:rtl/>
        </w:rPr>
        <w:t xml:space="preserve"> – לא יוכל בנו להישאר זמן רב על כיסא הרבנות בעיר שנאלצה לקבלו לרב</w:t>
      </w:r>
      <w:bookmarkStart w:id="6610" w:name="_fnr5013"/>
      <w:bookmarkStart w:id="6611" w:name="pr_f_4891"/>
      <w:r>
        <w:rPr>
          <w:rStyle w:val="a5"/>
        </w:rPr>
        <w:footnoteReference w:id="5026" w:customMarkFollows="0"/>
      </w:r>
      <w:bookmarkEnd w:id="6610"/>
      <w:bookmarkEnd w:id="6611"/>
      <w:r>
        <w:rPr>
          <w:rtl/>
        </w:rPr>
        <w:t xml:space="preserve">. תהא הסיבה שר׳ חיים חזר בו מהתחייבותו לבוא אליהם אשר תהא, ודאי הגה הסבא את הרעיון לפייס את הבחורים המאוכזבים בכך שיסדיר את מעברם </w:t>
      </w:r>
      <w:proofErr w:type="spellStart"/>
      <w:r>
        <w:rPr>
          <w:rtl/>
        </w:rPr>
        <w:t>לבריסק</w:t>
      </w:r>
      <w:proofErr w:type="spellEnd"/>
      <w:r>
        <w:rPr>
          <w:rtl/>
        </w:rPr>
        <w:t xml:space="preserve"> אחרי חצי השנה </w:t>
      </w:r>
      <w:proofErr w:type="spellStart"/>
      <w:r>
        <w:rPr>
          <w:rtl/>
        </w:rPr>
        <w:t>בראסיין</w:t>
      </w:r>
      <w:proofErr w:type="spellEnd"/>
      <w:r>
        <w:rPr>
          <w:rtl/>
        </w:rPr>
        <w:t xml:space="preserve"> – וגם זה לא הצליח.</w:t>
      </w:r>
    </w:p>
    <w:p w14:paraId="33E68E5C" w14:textId="4646ED7C" w:rsidR="00AB3647" w:rsidRDefault="00000000" w:rsidP="007923E9">
      <w:pPr>
        <w:spacing w:after="120" w:line="276" w:lineRule="auto"/>
        <w:ind w:firstLine="283"/>
        <w:jc w:val="both"/>
      </w:pPr>
      <w:r>
        <w:rPr>
          <w:rtl/>
        </w:rPr>
        <w:lastRenderedPageBreak/>
        <w:t xml:space="preserve">ר׳ חיים </w:t>
      </w:r>
      <w:proofErr w:type="spellStart"/>
      <w:r>
        <w:rPr>
          <w:rtl/>
        </w:rPr>
        <w:t>סרנא</w:t>
      </w:r>
      <w:proofErr w:type="spellEnd"/>
      <w:r>
        <w:rPr>
          <w:rtl/>
        </w:rPr>
        <w:t xml:space="preserve"> אמר שבתוך שנה חזרה הקבוצה כולה לישיבתה המקורית. כנראה הייתה זו תוצאה ישירה של אכזבתם מכך שאף אחת משתי התוכניות לשמיעת שיעורי ר׳ חיים לא יצאה לפועל. אף שר׳ חיים לא בא בעצמו למסור שיעורים </w:t>
      </w:r>
      <w:proofErr w:type="spellStart"/>
      <w:r>
        <w:rPr>
          <w:rtl/>
        </w:rPr>
        <w:t>בראסיין</w:t>
      </w:r>
      <w:proofErr w:type="spellEnd"/>
      <w:r>
        <w:rPr>
          <w:rtl/>
        </w:rPr>
        <w:t xml:space="preserve">, הוא שלח </w:t>
      </w:r>
      <w:proofErr w:type="spellStart"/>
      <w:r>
        <w:rPr>
          <w:rtl/>
        </w:rPr>
        <w:t>לר</w:t>
      </w:r>
      <w:proofErr w:type="spellEnd"/>
      <w:r>
        <w:rPr>
          <w:rtl/>
        </w:rPr>
        <w:t xml:space="preserve">׳ משה (או נתן לו מיד כשיצא </w:t>
      </w:r>
      <w:proofErr w:type="spellStart"/>
      <w:r>
        <w:rPr>
          <w:rtl/>
        </w:rPr>
        <w:t>לראסיין</w:t>
      </w:r>
      <w:proofErr w:type="spellEnd"/>
      <w:r>
        <w:rPr>
          <w:rtl/>
        </w:rPr>
        <w:t xml:space="preserve">) את רשימות השיעורים שמסר </w:t>
      </w:r>
      <w:proofErr w:type="spellStart"/>
      <w:r>
        <w:rPr>
          <w:rtl/>
        </w:rPr>
        <w:t>בוולוז׳ין</w:t>
      </w:r>
      <w:proofErr w:type="spellEnd"/>
      <w:r>
        <w:rPr>
          <w:rtl/>
        </w:rPr>
        <w:t xml:space="preserve"> בתחילת כהונתו שם</w:t>
      </w:r>
      <w:bookmarkStart w:id="6612" w:name="_fnr5014"/>
      <w:r>
        <w:rPr>
          <w:rStyle w:val="a5"/>
        </w:rPr>
        <w:footnoteReference w:id="5027" w:customMarkFollows="0"/>
      </w:r>
      <w:bookmarkEnd w:id="6612"/>
      <w:r>
        <w:rPr>
          <w:rtl/>
        </w:rPr>
        <w:t xml:space="preserve">, כדי שישתמש בהן בשיעוריו לקיבוץ. אולי חש ר׳ חיים שבכך שבנו מוסר את השיעורים שהגה ויצר אביו, הוא מקיים את התחייבותו לתלמידים ממש כאילו לימדם בעצמו. ראה הערת השוליים </w:t>
      </w:r>
      <w:r>
        <w:rPr>
          <w:rtl/>
        </w:rPr>
        <w:fldChar w:fldCharType="begin" w:dirty="true"/>
      </w:r>
      <w:r>
        <w:rPr>
          <w:rtl/>
        </w:rPr>
        <w:instrText xml:space="preserve"> NOTEREF pr_f_4252 \h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Pr>
          <w:rtl/>
        </w:rPr>
        <w:t>1329</w:t>
      </w:r>
      <w:r>
        <w:rPr>
          <w:rtl/>
        </w:rPr>
        <w:fldChar w:fldCharType="end"/>
      </w:r>
      <w:r>
        <w:rPr>
          <w:rtl/>
        </w:rPr>
        <w:t xml:space="preserve"> בעמ׳ </w:t>
      </w:r>
      <w:r>
        <w:rPr>
          <w:rtl/>
        </w:rPr>
        <w:fldChar w:fldCharType="begin" w:dirty="true"/>
      </w:r>
      <w:r>
        <w:rPr>
          <w:rtl/>
        </w:rPr>
        <w:instrText xml:space="preserve"> PAGEREF pr_f_4252 \h </w:instrText>
      </w:r>
      <w:r>
        <w:rPr>
          <w:rtl/>
        </w:rPr>
      </w:r>
      <w:r>
        <w:rPr>
          <w:rtl/>
        </w:rPr>
        <w:fldChar w:fldCharType="separate"/>
      </w:r>
      <w:r w:rsidR="007923E9">
        <w:rPr>
          <w:noProof/>
          <w:rtl/>
        </w:rPr>
        <w:t>1</w:t>
      </w:r>
      <w:r>
        <w:rPr>
          <w:rtl/>
        </w:rPr>
        <w:fldChar w:fldCharType="end"/>
      </w:r>
      <w:r>
        <w:rPr>
          <w:rtl/>
        </w:rPr>
        <w:t>, שלדעת ר׳ חיים הוא עצמו כותב מכתב ברוסית גם כשכל מה שעשה היה לתת “נייר, עט ודיו”, עם הוראות לתוכן המכתב, למי שיודע רוסית. אבל התלמידים רצו לשמוע את התורה ישר מפי ר׳ חיים</w:t>
      </w:r>
      <w:bookmarkStart w:id="6613" w:name="_fnr5015"/>
      <w:r>
        <w:rPr>
          <w:rStyle w:val="a5"/>
        </w:rPr>
        <w:footnoteReference w:id="5028" w:customMarkFollows="0"/>
      </w:r>
      <w:bookmarkEnd w:id="6613"/>
      <w:r>
        <w:rPr>
          <w:rtl/>
        </w:rPr>
        <w:t>.</w:t>
      </w:r>
    </w:p>
    <w:p w14:paraId="2EF02DE9" w14:textId="77777777" w:rsidR="00AB3647" w:rsidRDefault="00000000" w:rsidP="007923E9">
      <w:pPr>
        <w:spacing w:after="120" w:line="276" w:lineRule="auto"/>
        <w:ind w:firstLine="283"/>
        <w:jc w:val="both"/>
      </w:pPr>
      <w:r>
        <w:rPr>
          <w:rtl/>
        </w:rPr>
        <w:t xml:space="preserve">ר׳ חיים </w:t>
      </w:r>
      <w:proofErr w:type="spellStart"/>
      <w:r>
        <w:rPr>
          <w:rtl/>
        </w:rPr>
        <w:t>סרנא</w:t>
      </w:r>
      <w:proofErr w:type="spellEnd"/>
      <w:r>
        <w:rPr>
          <w:rtl/>
        </w:rPr>
        <w:t xml:space="preserve"> השלים פרטים נוספים</w:t>
      </w:r>
      <w:bookmarkStart w:id="6614" w:name="_fnr5016"/>
      <w:r>
        <w:rPr>
          <w:rStyle w:val="a5"/>
        </w:rPr>
        <w:footnoteReference w:id="5029" w:customMarkFollows="0"/>
      </w:r>
      <w:bookmarkEnd w:id="6614"/>
      <w:r>
        <w:rPr>
          <w:rtl/>
        </w:rPr>
        <w:t xml:space="preserve"> בסיפור ששמע מאביו, ר׳ </w:t>
      </w:r>
      <w:proofErr w:type="spellStart"/>
      <w:r>
        <w:rPr>
          <w:rtl/>
        </w:rPr>
        <w:t>חצקל</w:t>
      </w:r>
      <w:proofErr w:type="spellEnd"/>
      <w:r>
        <w:rPr>
          <w:rtl/>
        </w:rPr>
        <w:t xml:space="preserve">, והדפיס </w:t>
      </w:r>
      <w:proofErr w:type="spellStart"/>
      <w:r>
        <w:rPr>
          <w:rtl/>
        </w:rPr>
        <w:t>ב“במשך</w:t>
      </w:r>
      <w:proofErr w:type="spellEnd"/>
      <w:r>
        <w:rPr>
          <w:rtl/>
        </w:rPr>
        <w:t xml:space="preserve"> היובל”</w:t>
      </w:r>
      <w:bookmarkStart w:id="6615" w:name="_fnr5017"/>
      <w:r>
        <w:rPr>
          <w:rStyle w:val="a5"/>
        </w:rPr>
        <w:footnoteReference w:id="5030" w:customMarkFollows="0"/>
      </w:r>
      <w:bookmarkEnd w:id="6615"/>
      <w:r>
        <w:rPr>
          <w:rtl/>
        </w:rPr>
        <w:t xml:space="preserve">. שלא כרבנו, הוא זקף לזכות הסבא עצמו את </w:t>
      </w:r>
      <w:r>
        <w:rPr>
          <w:b/>
          <w:bCs/>
          <w:rtl/>
        </w:rPr>
        <w:t>היוזמה</w:t>
      </w:r>
      <w:r>
        <w:rPr>
          <w:rtl/>
        </w:rPr>
        <w:t xml:space="preserve"> לשלוח מלכתחילה תלמידים </w:t>
      </w:r>
      <w:proofErr w:type="spellStart"/>
      <w:r>
        <w:rPr>
          <w:rtl/>
        </w:rPr>
        <w:t>לראסיין</w:t>
      </w:r>
      <w:bookmarkStart w:id="6616" w:name="_fnr5018"/>
      <w:proofErr w:type="spellEnd"/>
      <w:r>
        <w:rPr>
          <w:rStyle w:val="a5"/>
        </w:rPr>
        <w:footnoteReference w:id="5031" w:customMarkFollows="0"/>
      </w:r>
      <w:bookmarkEnd w:id="6616"/>
      <w:r>
        <w:rPr>
          <w:rtl/>
        </w:rPr>
        <w:t xml:space="preserve">. ר׳ חיים </w:t>
      </w:r>
      <w:proofErr w:type="spellStart"/>
      <w:r>
        <w:rPr>
          <w:rtl/>
        </w:rPr>
        <w:t>סרנא</w:t>
      </w:r>
      <w:proofErr w:type="spellEnd"/>
      <w:r>
        <w:rPr>
          <w:rtl/>
        </w:rPr>
        <w:t xml:space="preserve"> אמר: “לסבא הייתה סיבה </w:t>
      </w:r>
      <w:r>
        <w:rPr>
          <w:b/>
          <w:bCs/>
          <w:rtl/>
        </w:rPr>
        <w:t>מיוחדת</w:t>
      </w:r>
      <w:r>
        <w:rPr>
          <w:rtl/>
        </w:rPr>
        <w:t xml:space="preserve"> לשלוח קבוצה של עשרים בחורים</w:t>
      </w:r>
      <w:bookmarkStart w:id="6617" w:name="_fnr5019"/>
      <w:r>
        <w:rPr>
          <w:rStyle w:val="a5"/>
        </w:rPr>
        <w:footnoteReference w:id="5032" w:customMarkFollows="0"/>
      </w:r>
      <w:bookmarkEnd w:id="6617"/>
      <w:r>
        <w:rPr>
          <w:rtl/>
        </w:rPr>
        <w:t xml:space="preserve"> ללמוד אצל ר׳ משה. הסבא נפגע פעם מר׳ חיים, ובכך שהעניק טובה יוצאת דופן למי שהיה פעם יריבו, וידא ר׳ </w:t>
      </w:r>
      <w:proofErr w:type="spellStart"/>
      <w:r>
        <w:rPr>
          <w:rtl/>
        </w:rPr>
        <w:t>נתן־צבי</w:t>
      </w:r>
      <w:proofErr w:type="spellEnd"/>
      <w:r>
        <w:rPr>
          <w:rtl/>
        </w:rPr>
        <w:t xml:space="preserve"> </w:t>
      </w:r>
      <w:proofErr w:type="spellStart"/>
      <w:r>
        <w:rPr>
          <w:rtl/>
        </w:rPr>
        <w:t>פינקל</w:t>
      </w:r>
      <w:proofErr w:type="spellEnd"/>
      <w:r>
        <w:rPr>
          <w:rtl/>
        </w:rPr>
        <w:t xml:space="preserve"> שלא נותר </w:t>
      </w:r>
      <w:proofErr w:type="spellStart"/>
      <w:r>
        <w:rPr>
          <w:rtl/>
        </w:rPr>
        <w:t>בלבו</w:t>
      </w:r>
      <w:proofErr w:type="spellEnd"/>
      <w:r>
        <w:rPr>
          <w:rtl/>
        </w:rPr>
        <w:t xml:space="preserve"> שום שמץ של טינה מן העימות”. (מעשה מוסר זה מזכיר סיפור על ר׳ ישראל </w:t>
      </w:r>
      <w:proofErr w:type="spellStart"/>
      <w:r>
        <w:rPr>
          <w:rtl/>
        </w:rPr>
        <w:t>סלנטר</w:t>
      </w:r>
      <w:proofErr w:type="spellEnd"/>
      <w:r>
        <w:rPr>
          <w:rtl/>
        </w:rPr>
        <w:t xml:space="preserve"> המובא בספרו של כץ, “תנועת המוסר”, כרך א</w:t>
      </w:r>
      <w:bookmarkStart w:id="6618" w:name="_fnr5020"/>
      <w:r>
        <w:rPr>
          <w:rStyle w:val="a5"/>
        </w:rPr>
        <w:footnoteReference w:id="5033" w:customMarkFollows="0"/>
      </w:r>
      <w:bookmarkEnd w:id="6618"/>
      <w:r>
        <w:rPr>
          <w:rtl/>
        </w:rPr>
        <w:t xml:space="preserve">.) “הפגיעה אירעה במהלך דין תורה בין ישיבות </w:t>
      </w:r>
      <w:proofErr w:type="spellStart"/>
      <w:r>
        <w:rPr>
          <w:rtl/>
        </w:rPr>
        <w:t>וולוז׳ין</w:t>
      </w:r>
      <w:proofErr w:type="spellEnd"/>
      <w:r>
        <w:rPr>
          <w:rtl/>
        </w:rPr>
        <w:t xml:space="preserve"> </w:t>
      </w:r>
      <w:proofErr w:type="spellStart"/>
      <w:r>
        <w:rPr>
          <w:rtl/>
        </w:rPr>
        <w:t>וסלבודקה</w:t>
      </w:r>
      <w:proofErr w:type="spellEnd"/>
      <w:r>
        <w:rPr>
          <w:rtl/>
        </w:rPr>
        <w:t xml:space="preserve">, שבו ייצגו ר׳ חיים והסבא את מוסדותיהם. </w:t>
      </w:r>
      <w:proofErr w:type="spellStart"/>
      <w:r>
        <w:rPr>
          <w:rtl/>
        </w:rPr>
        <w:t>וולוז׳ין</w:t>
      </w:r>
      <w:proofErr w:type="spellEnd"/>
      <w:r>
        <w:rPr>
          <w:rtl/>
        </w:rPr>
        <w:t xml:space="preserve"> טענה שאין </w:t>
      </w:r>
      <w:proofErr w:type="spellStart"/>
      <w:r>
        <w:rPr>
          <w:rtl/>
        </w:rPr>
        <w:t>לסלבודקה</w:t>
      </w:r>
      <w:proofErr w:type="spellEnd"/>
      <w:r>
        <w:rPr>
          <w:rtl/>
        </w:rPr>
        <w:t xml:space="preserve"> לשלוח משולחים לעיירות שמבקרים בהן משולחי ישיבת </w:t>
      </w:r>
      <w:proofErr w:type="spellStart"/>
      <w:r>
        <w:rPr>
          <w:rtl/>
        </w:rPr>
        <w:t>וולוז׳ין</w:t>
      </w:r>
      <w:proofErr w:type="spellEnd"/>
      <w:r>
        <w:rPr>
          <w:rtl/>
        </w:rPr>
        <w:t>” – לפרטי דין התורה השווה כץ, “תנועת המוסר”, כרך ב</w:t>
      </w:r>
      <w:bookmarkStart w:id="6619" w:name="_fnr5021"/>
      <w:r>
        <w:rPr>
          <w:rStyle w:val="a5"/>
        </w:rPr>
        <w:footnoteReference w:id="5034" w:customMarkFollows="0"/>
      </w:r>
      <w:bookmarkEnd w:id="6619"/>
      <w:r>
        <w:rPr>
          <w:rtl/>
        </w:rPr>
        <w:t>.</w:t>
      </w:r>
    </w:p>
    <w:p w14:paraId="4F1E149B" w14:textId="77777777" w:rsidR="00AB3647" w:rsidRDefault="00000000" w:rsidP="007923E9">
      <w:pPr>
        <w:spacing w:after="120" w:line="276" w:lineRule="auto"/>
        <w:ind w:firstLine="283"/>
        <w:jc w:val="both"/>
      </w:pPr>
      <w:r>
        <w:rPr>
          <w:rtl/>
        </w:rPr>
        <w:t xml:space="preserve">כץ אינו מגלה מי היה בית הדין שערך את דין התורה, אבל השווה הפסקה הרביעית להלן, בשם ר׳ יצחק־זאב </w:t>
      </w:r>
      <w:proofErr w:type="spellStart"/>
      <w:r>
        <w:rPr>
          <w:rtl/>
        </w:rPr>
        <w:t>סולובייצ׳יק</w:t>
      </w:r>
      <w:proofErr w:type="spellEnd"/>
      <w:r>
        <w:rPr>
          <w:rtl/>
        </w:rPr>
        <w:t xml:space="preserve">, שהוא נערך לפני ר׳ ראובן לוין </w:t>
      </w:r>
      <w:proofErr w:type="spellStart"/>
      <w:r>
        <w:rPr>
          <w:rtl/>
        </w:rPr>
        <w:t>בדינבורג</w:t>
      </w:r>
      <w:proofErr w:type="spellEnd"/>
      <w:r>
        <w:rPr>
          <w:rtl/>
        </w:rPr>
        <w:t xml:space="preserve">. הוא ודאי נערך זמן לא רב לפני תרמ״ז, שנת פטירת ר׳ ראובן, מפני שבאותה עת כבר התבססה ישיבת </w:t>
      </w:r>
      <w:proofErr w:type="spellStart"/>
      <w:r>
        <w:rPr>
          <w:rtl/>
        </w:rPr>
        <w:t>סלבודקה</w:t>
      </w:r>
      <w:proofErr w:type="spellEnd"/>
      <w:r>
        <w:rPr>
          <w:rtl/>
        </w:rPr>
        <w:t xml:space="preserve"> עד כדי כך </w:t>
      </w:r>
      <w:proofErr w:type="spellStart"/>
      <w:r>
        <w:rPr>
          <w:rtl/>
        </w:rPr>
        <w:t>שוולוז׳ין</w:t>
      </w:r>
      <w:proofErr w:type="spellEnd"/>
      <w:r>
        <w:rPr>
          <w:rtl/>
        </w:rPr>
        <w:t xml:space="preserve"> החלה לחוש בתחרותה בגיוס הכספים.</w:t>
      </w:r>
    </w:p>
    <w:p w14:paraId="50094F0B" w14:textId="77777777" w:rsidR="00AB3647" w:rsidRDefault="00000000" w:rsidP="007923E9">
      <w:pPr>
        <w:spacing w:after="120" w:line="276" w:lineRule="auto"/>
        <w:ind w:firstLine="283"/>
        <w:jc w:val="both"/>
      </w:pPr>
      <w:r>
        <w:rPr>
          <w:rtl/>
        </w:rPr>
        <w:t xml:space="preserve">כעבור שש שנים כבר התרחבה פעילות איסוף הכספים של </w:t>
      </w:r>
      <w:proofErr w:type="spellStart"/>
      <w:r>
        <w:rPr>
          <w:rtl/>
        </w:rPr>
        <w:t>סלבודקה</w:t>
      </w:r>
      <w:proofErr w:type="spellEnd"/>
      <w:r>
        <w:rPr>
          <w:rtl/>
        </w:rPr>
        <w:t xml:space="preserve"> לממדים כאלה, שלפי מכתבו של אלתר </w:t>
      </w:r>
      <w:proofErr w:type="spellStart"/>
      <w:r>
        <w:rPr>
          <w:rtl/>
        </w:rPr>
        <w:t>דרויאנוב</w:t>
      </w:r>
      <w:proofErr w:type="spellEnd"/>
      <w:r>
        <w:rPr>
          <w:rtl/>
        </w:rPr>
        <w:t xml:space="preserve"> </w:t>
      </w:r>
      <w:proofErr w:type="spellStart"/>
      <w:r>
        <w:rPr>
          <w:rtl/>
        </w:rPr>
        <w:t>ב“תלפיות</w:t>
      </w:r>
      <w:proofErr w:type="spellEnd"/>
      <w:r>
        <w:rPr>
          <w:rtl/>
        </w:rPr>
        <w:t>”</w:t>
      </w:r>
      <w:bookmarkStart w:id="6620" w:name="_fnr5022"/>
      <w:r>
        <w:rPr>
          <w:rStyle w:val="a5"/>
        </w:rPr>
        <w:footnoteReference w:id="5035" w:customMarkFollows="0"/>
      </w:r>
      <w:bookmarkEnd w:id="6620"/>
      <w:r>
        <w:rPr>
          <w:rtl/>
        </w:rPr>
        <w:t xml:space="preserve">, המתוארך </w:t>
      </w:r>
      <w:proofErr w:type="spellStart"/>
      <w:r>
        <w:rPr>
          <w:rtl/>
        </w:rPr>
        <w:t>לתרנ״ג</w:t>
      </w:r>
      <w:proofErr w:type="spellEnd"/>
      <w:r>
        <w:rPr>
          <w:rtl/>
        </w:rPr>
        <w:t xml:space="preserve">, “ישיבת קובנה עולה [על </w:t>
      </w:r>
      <w:proofErr w:type="spellStart"/>
      <w:r>
        <w:rPr>
          <w:rtl/>
        </w:rPr>
        <w:lastRenderedPageBreak/>
        <w:t>וולוז׳ין</w:t>
      </w:r>
      <w:proofErr w:type="spellEnd"/>
      <w:r>
        <w:rPr>
          <w:rtl/>
        </w:rPr>
        <w:t>] בסכום הכסף הנכנס למשרד הנהלת החשבונות שלה מכל קצות תבל – לץ בן זמננו כבר אמר שהראיה הטובה ביותר לכך שאין בני אדם במאדים היא שאין שם משולח של ישיבת קובנה”. הכותב טוען: “[לישיבת קובנה</w:t>
      </w:r>
      <w:bookmarkStart w:id="6621" w:name="_fnr5023"/>
      <w:r>
        <w:rPr>
          <w:rStyle w:val="a5"/>
        </w:rPr>
        <w:footnoteReference w:id="5036" w:customMarkFollows="0"/>
      </w:r>
      <w:bookmarkEnd w:id="6621"/>
      <w:r>
        <w:rPr>
          <w:rtl/>
        </w:rPr>
        <w:t xml:space="preserve"> ולישיבת </w:t>
      </w:r>
      <w:proofErr w:type="spellStart"/>
      <w:r>
        <w:rPr>
          <w:rtl/>
        </w:rPr>
        <w:t>וולוז׳ין</w:t>
      </w:r>
      <w:proofErr w:type="spellEnd"/>
      <w:r>
        <w:rPr>
          <w:rtl/>
        </w:rPr>
        <w:t xml:space="preserve">] משותף רק דבר זה: לשתיהן אותו שם, ‘ישיבת עץ חיים’, ושתיהן מרעישות בטענה שהן הקן היחיד לתורה, וטוענות שמשימתן הראשונה, האחרונה והאמצעית היא להוציא רבנים לעם ישראל. כמה אמת יש בהכרזה זו נראה בעוד רגע – וכעד ראיה ושמיעה גם יחד, אספר לקוראים מה מידת התועלת שמביאות לנו ישיבות אלו”. מכאן עובר הכותב לביקורת קטלנית ומקיפה על ישיבת קובנה – שבמינוחו היא כוללת הן את כולל קובנה והן את ישיבת </w:t>
      </w:r>
      <w:proofErr w:type="spellStart"/>
      <w:r>
        <w:rPr>
          <w:rtl/>
        </w:rPr>
        <w:t>סלבודקה</w:t>
      </w:r>
      <w:bookmarkStart w:id="6622" w:name="_fnr5024"/>
      <w:proofErr w:type="spellEnd"/>
      <w:r>
        <w:rPr>
          <w:rStyle w:val="a5"/>
        </w:rPr>
        <w:footnoteReference w:id="5037" w:customMarkFollows="0"/>
      </w:r>
      <w:bookmarkEnd w:id="6622"/>
      <w:r>
        <w:rPr>
          <w:rtl/>
        </w:rPr>
        <w:t xml:space="preserve"> – ואילו על ישיבת </w:t>
      </w:r>
      <w:proofErr w:type="spellStart"/>
      <w:r>
        <w:rPr>
          <w:rtl/>
        </w:rPr>
        <w:t>וולוז׳ין</w:t>
      </w:r>
      <w:proofErr w:type="spellEnd"/>
      <w:r>
        <w:rPr>
          <w:rtl/>
        </w:rPr>
        <w:t xml:space="preserve"> הוא מותח רק ביקורת קלה. בהערת שוליים שבה הוא מסביר מדוע הוא מדבר על ישיבת </w:t>
      </w:r>
      <w:proofErr w:type="spellStart"/>
      <w:r>
        <w:rPr>
          <w:rtl/>
        </w:rPr>
        <w:t>וולוז׳ין</w:t>
      </w:r>
      <w:proofErr w:type="spellEnd"/>
      <w:r>
        <w:rPr>
          <w:rtl/>
        </w:rPr>
        <w:t xml:space="preserve"> כעל מוסד קיים, אף שנסגרה בשנה הקודמת, תרנ״ב, הוא אומר</w:t>
      </w:r>
      <w:bookmarkStart w:id="6623" w:name="_fnr5025"/>
      <w:r>
        <w:rPr>
          <w:rStyle w:val="a5"/>
        </w:rPr>
        <w:footnoteReference w:id="5038" w:customMarkFollows="0"/>
      </w:r>
      <w:bookmarkEnd w:id="6623"/>
      <w:r>
        <w:rPr>
          <w:rtl/>
        </w:rPr>
        <w:t xml:space="preserve">: “לפי הידיעות האחרונות, הסגירה זמנית בלבד, ו... ר׳ חיים ברלין, בנו של </w:t>
      </w:r>
      <w:proofErr w:type="spellStart"/>
      <w:r>
        <w:rPr>
          <w:rtl/>
        </w:rPr>
        <w:t>הנצי״ב</w:t>
      </w:r>
      <w:proofErr w:type="spellEnd"/>
      <w:r>
        <w:rPr>
          <w:rtl/>
        </w:rPr>
        <w:t>, משתדל לפתוח אותה מחדש, ולשם כך אוסף כספים בארצות המערב [האירופיות]”.</w:t>
      </w:r>
    </w:p>
    <w:p w14:paraId="102A3B28" w14:textId="77777777" w:rsidR="00AB3647" w:rsidRDefault="00000000" w:rsidP="007923E9">
      <w:pPr>
        <w:spacing w:after="120" w:line="276" w:lineRule="auto"/>
        <w:ind w:firstLine="283"/>
        <w:jc w:val="both"/>
      </w:pPr>
      <w:r>
        <w:rPr>
          <w:rtl/>
        </w:rPr>
        <w:t xml:space="preserve">ר׳ חיים </w:t>
      </w:r>
      <w:proofErr w:type="spellStart"/>
      <w:r>
        <w:rPr>
          <w:rtl/>
        </w:rPr>
        <w:t>סרנא</w:t>
      </w:r>
      <w:proofErr w:type="spellEnd"/>
      <w:r>
        <w:rPr>
          <w:rtl/>
        </w:rPr>
        <w:t xml:space="preserve"> המשיך: “ר׳ </w:t>
      </w:r>
      <w:proofErr w:type="spellStart"/>
      <w:r>
        <w:rPr>
          <w:rtl/>
        </w:rPr>
        <w:t xml:space="preserve">אברמצ׳יק</w:t>
      </w:r>
      <w:proofErr w:type="spellEnd"/>
      <w:r>
        <w:rPr>
          <w:rtl/>
        </w:rPr>
        <w:t xml:space="preserve"> </w:t>
      </w:r>
      <w:proofErr w:type="spellStart"/>
      <w:r>
        <w:rPr>
          <w:rtl/>
        </w:rPr>
        <w:t>טאנעס</w:t>
      </w:r>
      <w:proofErr w:type="spellEnd"/>
      <w:r>
        <w:rPr>
          <w:rtl/>
        </w:rPr>
        <w:t xml:space="preserve"> [שנקר]</w:t>
      </w:r>
      <w:bookmarkStart w:id="6624" w:name="_fnr5026"/>
      <w:r>
        <w:rPr>
          <w:rStyle w:val="a5"/>
        </w:rPr>
        <w:footnoteReference w:id="5039" w:customMarkFollows="0"/>
      </w:r>
      <w:bookmarkEnd w:id="6624"/>
      <w:r>
        <w:rPr>
          <w:rtl/>
        </w:rPr>
        <w:t xml:space="preserve"> היה עד לדיונים, וכששמע את ר׳ חיים פוגע בר׳ </w:t>
      </w:r>
      <w:proofErr w:type="spellStart"/>
      <w:r>
        <w:rPr>
          <w:rtl/>
        </w:rPr>
        <w:t>נתן־צבי</w:t>
      </w:r>
      <w:proofErr w:type="spellEnd"/>
      <w:r>
        <w:rPr>
          <w:rtl/>
        </w:rPr>
        <w:t xml:space="preserve"> </w:t>
      </w:r>
      <w:proofErr w:type="spellStart"/>
      <w:r>
        <w:rPr>
          <w:rtl/>
        </w:rPr>
        <w:t>פינקל</w:t>
      </w:r>
      <w:proofErr w:type="spellEnd"/>
      <w:r>
        <w:rPr>
          <w:rtl/>
        </w:rPr>
        <w:t>, השיב: ‘לפי גודל שכלך, ר׳ חיים, הייתה צריכה להיות לך יותר יראת שמים</w:t>
      </w:r>
      <w:bookmarkStart w:id="6625" w:name="_fnr5027"/>
      <w:r>
        <w:rPr>
          <w:rStyle w:val="a5"/>
        </w:rPr>
        <w:footnoteReference w:id="5040" w:customMarkFollows="0"/>
      </w:r>
      <w:bookmarkEnd w:id="6625"/>
      <w:r>
        <w:rPr>
          <w:rtl/>
        </w:rPr>
        <w:t>’. אז ביקש ר׳ חיים מבית הדין לפסוק בו במקום</w:t>
      </w:r>
      <w:bookmarkStart w:id="6626" w:name="_fnr5028"/>
      <w:r>
        <w:rPr>
          <w:rStyle w:val="a5"/>
        </w:rPr>
        <w:footnoteReference w:id="5041" w:customMarkFollows="0"/>
      </w:r>
      <w:bookmarkEnd w:id="6626"/>
      <w:r>
        <w:rPr>
          <w:rtl/>
        </w:rPr>
        <w:t xml:space="preserve"> אם כוונת הרב שנקר הייתה לפגוע או להוכיח. הפסיקה הייתה לזכות הרב שנקר, על יסוד שמו הטוב, </w:t>
      </w:r>
      <w:proofErr w:type="spellStart"/>
      <w:r>
        <w:rPr>
          <w:rtl/>
        </w:rPr>
        <w:t>ש‘כל</w:t>
      </w:r>
      <w:proofErr w:type="spellEnd"/>
      <w:r>
        <w:rPr>
          <w:rtl/>
        </w:rPr>
        <w:t xml:space="preserve"> מעשיו לשם שמים’</w:t>
      </w:r>
      <w:bookmarkStart w:id="6627" w:name="_fnr5029"/>
      <w:r>
        <w:rPr>
          <w:rStyle w:val="a5"/>
        </w:rPr>
        <w:footnoteReference w:id="5042" w:customMarkFollows="0"/>
      </w:r>
      <w:bookmarkEnd w:id="6627"/>
      <w:r>
        <w:rPr>
          <w:rtl/>
        </w:rPr>
        <w:t>”. אצל כץ</w:t>
      </w:r>
      <w:bookmarkStart w:id="6628" w:name="_fnr5030"/>
      <w:r>
        <w:rPr>
          <w:rStyle w:val="a5"/>
        </w:rPr>
        <w:footnoteReference w:id="5043" w:customMarkFollows="0"/>
      </w:r>
      <w:bookmarkEnd w:id="6628"/>
      <w:r>
        <w:rPr>
          <w:rtl/>
        </w:rPr>
        <w:t xml:space="preserve"> מובאת פסיקת בית הדין בפשטות, כאילו התבססה על “העובדה הידועה שר׳ </w:t>
      </w:r>
      <w:proofErr w:type="spellStart"/>
      <w:r>
        <w:rPr>
          <w:rtl/>
        </w:rPr>
        <w:t xml:space="preserve">אברמצ׳יק</w:t>
      </w:r>
      <w:proofErr w:type="spellEnd"/>
      <w:r>
        <w:rPr>
          <w:rtl/>
        </w:rPr>
        <w:t xml:space="preserve"> </w:t>
      </w:r>
      <w:proofErr w:type="spellStart"/>
      <w:r>
        <w:rPr>
          <w:rtl/>
        </w:rPr>
        <w:t>טאנעס</w:t>
      </w:r>
      <w:proofErr w:type="spellEnd"/>
      <w:r>
        <w:rPr>
          <w:rtl/>
        </w:rPr>
        <w:t xml:space="preserve"> אינו מעליב איש לעולם”. ר׳ </w:t>
      </w:r>
      <w:proofErr w:type="spellStart"/>
      <w:r>
        <w:rPr>
          <w:rtl/>
        </w:rPr>
        <w:t xml:space="preserve">אברמצ׳יק</w:t>
      </w:r>
      <w:proofErr w:type="spellEnd"/>
      <w:r>
        <w:rPr>
          <w:rtl/>
        </w:rPr>
        <w:t xml:space="preserve"> </w:t>
      </w:r>
      <w:proofErr w:type="spellStart"/>
      <w:r>
        <w:rPr>
          <w:rtl/>
        </w:rPr>
        <w:t>טאנעס</w:t>
      </w:r>
      <w:proofErr w:type="spellEnd"/>
      <w:r>
        <w:rPr>
          <w:rtl/>
        </w:rPr>
        <w:t xml:space="preserve"> נפטר שנה אחרי ר׳ ראובן.</w:t>
      </w:r>
    </w:p>
    <w:p w14:paraId="3F2C1F0F" w14:textId="77777777" w:rsidR="00AB3647" w:rsidRDefault="00000000" w:rsidP="007923E9">
      <w:pPr>
        <w:spacing w:after="120" w:line="276" w:lineRule="auto"/>
        <w:ind w:firstLine="283"/>
        <w:jc w:val="both"/>
      </w:pPr>
      <w:r>
        <w:rPr>
          <w:rtl/>
        </w:rPr>
        <w:t xml:space="preserve">אשר לדין התורה עצמו, פסק בית הדין שאין </w:t>
      </w:r>
      <w:proofErr w:type="spellStart"/>
      <w:r>
        <w:rPr>
          <w:rtl/>
        </w:rPr>
        <w:t>לוולוז׳ין</w:t>
      </w:r>
      <w:proofErr w:type="spellEnd"/>
      <w:r>
        <w:rPr>
          <w:rtl/>
        </w:rPr>
        <w:t xml:space="preserve"> מונופול על שום עיירה. אילו נתקבלה תביעת </w:t>
      </w:r>
      <w:proofErr w:type="spellStart"/>
      <w:r>
        <w:rPr>
          <w:rtl/>
        </w:rPr>
        <w:t>וולוז׳ין</w:t>
      </w:r>
      <w:proofErr w:type="spellEnd"/>
      <w:r>
        <w:rPr>
          <w:rtl/>
        </w:rPr>
        <w:t xml:space="preserve">, היו משולחי </w:t>
      </w:r>
      <w:proofErr w:type="spellStart"/>
      <w:r>
        <w:rPr>
          <w:rtl/>
        </w:rPr>
        <w:t>סלבודקה</w:t>
      </w:r>
      <w:proofErr w:type="spellEnd"/>
      <w:r>
        <w:rPr>
          <w:rtl/>
        </w:rPr>
        <w:t xml:space="preserve"> נאלצים למעשה להפסיק את פעילותם, אף שהיו מצויים בכל מקום. עורך “</w:t>
      </w:r>
      <w:proofErr w:type="spellStart"/>
      <w:r>
        <w:rPr>
          <w:rtl/>
        </w:rPr>
        <w:t>הכרם־תרמ״ח</w:t>
      </w:r>
      <w:proofErr w:type="spellEnd"/>
      <w:r>
        <w:rPr>
          <w:rtl/>
        </w:rPr>
        <w:t xml:space="preserve">”, בדווחו על ריבוי המשולחים שהעסיקה </w:t>
      </w:r>
      <w:proofErr w:type="spellStart"/>
      <w:r>
        <w:rPr>
          <w:rtl/>
        </w:rPr>
        <w:t>וולוז׳ין</w:t>
      </w:r>
      <w:proofErr w:type="spellEnd"/>
      <w:r>
        <w:rPr>
          <w:rtl/>
        </w:rPr>
        <w:t>, כותב</w:t>
      </w:r>
      <w:bookmarkStart w:id="6629" w:name="_fnr5031"/>
      <w:r>
        <w:rPr>
          <w:rStyle w:val="a5"/>
        </w:rPr>
        <w:footnoteReference w:id="5044" w:customMarkFollows="0"/>
      </w:r>
      <w:bookmarkEnd w:id="6629"/>
      <w:r>
        <w:rPr>
          <w:rtl/>
        </w:rPr>
        <w:t xml:space="preserve"> שליצני דורנו כופרים בקיומם של עשרת השבטים האבודים, שאם לא כן כבר היו משולחי </w:t>
      </w:r>
      <w:proofErr w:type="spellStart"/>
      <w:r>
        <w:rPr>
          <w:rtl/>
        </w:rPr>
        <w:t>וולוז׳ין</w:t>
      </w:r>
      <w:proofErr w:type="spellEnd"/>
      <w:r>
        <w:rPr>
          <w:rtl/>
        </w:rPr>
        <w:t xml:space="preserve"> מגלים אותם.</w:t>
      </w:r>
    </w:p>
    <w:p w14:paraId="1AB05EC3" w14:textId="77777777" w:rsidR="00AB3647" w:rsidRDefault="00000000" w:rsidP="007923E9">
      <w:pPr>
        <w:spacing w:after="120" w:line="276" w:lineRule="auto"/>
        <w:ind w:firstLine="283"/>
        <w:jc w:val="both"/>
      </w:pPr>
      <w:bookmarkStart w:id="6630" w:name="pr_b_2738"/>
      <w:bookmarkEnd w:id="6630"/>
      <w:r>
        <w:rPr>
          <w:rtl/>
        </w:rPr>
        <w:lastRenderedPageBreak/>
        <w:t xml:space="preserve">ר׳ חיים </w:t>
      </w:r>
      <w:proofErr w:type="spellStart"/>
      <w:r>
        <w:rPr>
          <w:rtl/>
        </w:rPr>
        <w:t>סרנא</w:t>
      </w:r>
      <w:proofErr w:type="spellEnd"/>
      <w:r>
        <w:rPr>
          <w:rtl/>
        </w:rPr>
        <w:t xml:space="preserve"> ציין גם שנדיבותו של הסבא כלפי ר׳ חיים נמשכה לדור הבא: ר׳ </w:t>
      </w:r>
      <w:proofErr w:type="spellStart"/>
      <w:r>
        <w:rPr>
          <w:rtl/>
        </w:rPr>
        <w:t>לייזר־יודל</w:t>
      </w:r>
      <w:proofErr w:type="spellEnd"/>
      <w:r>
        <w:rPr>
          <w:rtl/>
        </w:rPr>
        <w:t xml:space="preserve"> </w:t>
      </w:r>
      <w:proofErr w:type="spellStart"/>
      <w:r>
        <w:rPr>
          <w:rtl/>
        </w:rPr>
        <w:t>פינקל</w:t>
      </w:r>
      <w:proofErr w:type="spellEnd"/>
      <w:r>
        <w:rPr>
          <w:rtl/>
        </w:rPr>
        <w:t xml:space="preserve"> הקים ישיבה </w:t>
      </w:r>
      <w:proofErr w:type="spellStart"/>
      <w:r>
        <w:rPr>
          <w:rtl/>
        </w:rPr>
        <w:t>לר</w:t>
      </w:r>
      <w:proofErr w:type="spellEnd"/>
      <w:r>
        <w:rPr>
          <w:rtl/>
        </w:rPr>
        <w:t xml:space="preserve">׳ יצחק־זאב </w:t>
      </w:r>
      <w:proofErr w:type="spellStart"/>
      <w:r>
        <w:rPr>
          <w:rtl/>
        </w:rPr>
        <w:t>סולובייצ׳יק</w:t>
      </w:r>
      <w:proofErr w:type="spellEnd"/>
      <w:r>
        <w:rPr>
          <w:rtl/>
        </w:rPr>
        <w:t xml:space="preserve"> </w:t>
      </w:r>
      <w:proofErr w:type="spellStart"/>
      <w:r>
        <w:rPr>
          <w:rtl/>
        </w:rPr>
        <w:t>בבריסק</w:t>
      </w:r>
      <w:proofErr w:type="spellEnd"/>
      <w:r>
        <w:rPr>
          <w:rtl/>
        </w:rPr>
        <w:t xml:space="preserve"> – </w:t>
      </w:r>
      <w:proofErr w:type="spellStart"/>
      <w:r>
        <w:rPr>
          <w:rtl/>
        </w:rPr>
        <w:t>לר</w:t>
      </w:r>
      <w:proofErr w:type="spellEnd"/>
      <w:r>
        <w:rPr>
          <w:rtl/>
        </w:rPr>
        <w:t xml:space="preserve">׳ יצחק־זאב היה רק חוג קטן של תלמידים בעיר ציונית מאוד זו, שחוגיה הציוניים כבר התעמתו עם אביו</w:t>
      </w:r>
      <w:bookmarkStart w:id="6631" w:name="_fnr5032"/>
      <w:r>
        <w:rPr>
          <w:rStyle w:val="a5"/>
        </w:rPr>
        <w:footnoteReference w:id="5045" w:customMarkFollows="0"/>
      </w:r>
      <w:bookmarkEnd w:id="6631"/>
      <w:r>
        <w:rPr>
          <w:rtl/>
        </w:rPr>
        <w:t xml:space="preserve"> – ולא רק סיפק לו תלמידים, אלא גם החזיק אותם שם בתמיכה כספית. כך ביסס ר׳ </w:t>
      </w:r>
      <w:proofErr w:type="spellStart"/>
      <w:r>
        <w:rPr>
          <w:rtl/>
        </w:rPr>
        <w:t>לייזר־יודל</w:t>
      </w:r>
      <w:proofErr w:type="spellEnd"/>
      <w:r>
        <w:rPr>
          <w:rtl/>
        </w:rPr>
        <w:t xml:space="preserve"> את שמו של ר׳ יצחק־זאב בעולם הישיבות לדורות.</w:t>
      </w:r>
    </w:p>
    <w:p w14:paraId="7B303049" w14:textId="77777777" w:rsidR="00AB3647" w:rsidRDefault="00000000" w:rsidP="007923E9">
      <w:pPr>
        <w:spacing w:after="120" w:line="276" w:lineRule="auto"/>
        <w:ind w:firstLine="283"/>
        <w:jc w:val="both"/>
      </w:pPr>
      <w:bookmarkStart w:id="6632" w:name="pr_close_b_4349"/>
      <w:bookmarkEnd w:id="6632"/>
      <w:r>
        <w:rPr>
          <w:rtl/>
        </w:rPr>
        <w:t xml:space="preserve">השווה מאמרו של הרב ניסן וקסמן על ר׳ </w:t>
      </w:r>
      <w:proofErr w:type="spellStart"/>
      <w:r>
        <w:rPr>
          <w:rtl/>
        </w:rPr>
        <w:t>אליעזר־יהודה</w:t>
      </w:r>
      <w:proofErr w:type="spellEnd"/>
      <w:r>
        <w:rPr>
          <w:rtl/>
        </w:rPr>
        <w:t xml:space="preserve"> </w:t>
      </w:r>
      <w:proofErr w:type="spellStart"/>
      <w:r>
        <w:rPr>
          <w:rtl/>
        </w:rPr>
        <w:t>פינקל</w:t>
      </w:r>
      <w:bookmarkStart w:id="6633" w:name="_fnr5033"/>
      <w:proofErr w:type="spellEnd"/>
      <w:r>
        <w:rPr>
          <w:rStyle w:val="a5"/>
        </w:rPr>
        <w:footnoteReference w:id="5046" w:customMarkFollows="0"/>
      </w:r>
      <w:bookmarkEnd w:id="6633"/>
      <w:r>
        <w:rPr>
          <w:rtl/>
        </w:rPr>
        <w:t xml:space="preserve">, הזוקף לזכות ר׳ </w:t>
      </w:r>
      <w:proofErr w:type="spellStart"/>
      <w:r>
        <w:rPr>
          <w:rtl/>
        </w:rPr>
        <w:t>איסר־זלמן</w:t>
      </w:r>
      <w:proofErr w:type="spellEnd"/>
      <w:r>
        <w:rPr>
          <w:rtl/>
        </w:rPr>
        <w:t xml:space="preserve"> מלצר את ההערה </w:t>
      </w:r>
      <w:proofErr w:type="spellStart"/>
      <w:r>
        <w:rPr>
          <w:rtl/>
        </w:rPr>
        <w:t>לר</w:t>
      </w:r>
      <w:proofErr w:type="spellEnd"/>
      <w:r>
        <w:rPr>
          <w:rtl/>
        </w:rPr>
        <w:t xml:space="preserve">׳ </w:t>
      </w:r>
      <w:proofErr w:type="spellStart"/>
      <w:r>
        <w:rPr>
          <w:rtl/>
        </w:rPr>
        <w:t>לייזר־יודל</w:t>
      </w:r>
      <w:proofErr w:type="spellEnd"/>
      <w:r>
        <w:rPr>
          <w:rtl/>
        </w:rPr>
        <w:t xml:space="preserve"> </w:t>
      </w:r>
      <w:proofErr w:type="spellStart"/>
      <w:r>
        <w:rPr>
          <w:rtl/>
        </w:rPr>
        <w:t>ש“כישרונו</w:t>
      </w:r>
      <w:proofErr w:type="spellEnd"/>
      <w:r>
        <w:rPr>
          <w:rtl/>
        </w:rPr>
        <w:t xml:space="preserve"> וכוחותיו הגדולים” של ר׳ יצחק־זאב “אינם מנוצלים</w:t>
      </w:r>
      <w:bookmarkStart w:id="6634" w:name="_fnr5034"/>
      <w:r>
        <w:rPr>
          <w:rStyle w:val="a5"/>
        </w:rPr>
        <w:footnoteReference w:id="5047" w:customMarkFollows="0"/>
      </w:r>
      <w:bookmarkEnd w:id="6634"/>
      <w:r>
        <w:rPr>
          <w:rtl/>
        </w:rPr>
        <w:t xml:space="preserve"> בידי מנהלי הישיבות הגדולות בפולין”, ואת העצה שנתן </w:t>
      </w:r>
      <w:proofErr w:type="spellStart"/>
      <w:r>
        <w:rPr>
          <w:rtl/>
        </w:rPr>
        <w:t>לר</w:t>
      </w:r>
      <w:proofErr w:type="spellEnd"/>
      <w:r>
        <w:rPr>
          <w:rtl/>
        </w:rPr>
        <w:t xml:space="preserve">׳ </w:t>
      </w:r>
      <w:proofErr w:type="spellStart"/>
      <w:r>
        <w:rPr>
          <w:rtl/>
        </w:rPr>
        <w:t>לייזר־יודל</w:t>
      </w:r>
      <w:proofErr w:type="spellEnd"/>
      <w:r>
        <w:rPr>
          <w:rtl/>
        </w:rPr>
        <w:t xml:space="preserve"> </w:t>
      </w:r>
      <w:proofErr w:type="spellStart"/>
      <w:r>
        <w:rPr>
          <w:rtl/>
        </w:rPr>
        <w:t>פינקל</w:t>
      </w:r>
      <w:proofErr w:type="spellEnd"/>
      <w:r>
        <w:rPr>
          <w:rtl/>
        </w:rPr>
        <w:t xml:space="preserve"> לשלוח </w:t>
      </w:r>
      <w:proofErr w:type="spellStart"/>
      <w:r>
        <w:rPr>
          <w:rtl/>
        </w:rPr>
        <w:t>לבריסק</w:t>
      </w:r>
      <w:proofErr w:type="spellEnd"/>
      <w:r>
        <w:rPr>
          <w:rtl/>
        </w:rPr>
        <w:t xml:space="preserve"> קבוצה מטובי תלמידיו. ר׳ </w:t>
      </w:r>
      <w:proofErr w:type="spellStart"/>
      <w:r>
        <w:rPr>
          <w:rtl/>
        </w:rPr>
        <w:t>איסר־זלמן</w:t>
      </w:r>
      <w:proofErr w:type="spellEnd"/>
      <w:r>
        <w:rPr>
          <w:rtl/>
        </w:rPr>
        <w:t xml:space="preserve"> מלצר בא מארץ ישראל לביקור בפולין כדי להשתתף בחנוכת בניין ישיבה חדש שחנך חתנו, ר׳ אהרן קוטלר, </w:t>
      </w:r>
      <w:proofErr w:type="spellStart"/>
      <w:r>
        <w:rPr>
          <w:rtl/>
        </w:rPr>
        <w:t>בקלצק</w:t>
      </w:r>
      <w:proofErr w:type="spellEnd"/>
      <w:r>
        <w:rPr>
          <w:rtl/>
        </w:rPr>
        <w:t xml:space="preserve"> בסוף תרפ״ט, ור׳ </w:t>
      </w:r>
      <w:proofErr w:type="spellStart"/>
      <w:r>
        <w:rPr>
          <w:rtl/>
        </w:rPr>
        <w:t>לייזר־יודל</w:t>
      </w:r>
      <w:proofErr w:type="spellEnd"/>
      <w:r>
        <w:rPr>
          <w:rtl/>
        </w:rPr>
        <w:t xml:space="preserve"> השתתף במעמד. לכאורה נראה שר׳ יצחק־זאב, שלא כאביו, יכול היה ללמד תלמידים שלא היה להם היסוד הראוי בדרך לימודו. אבל סביר יותר שבסוף שנות </w:t>
      </w:r>
      <w:proofErr w:type="spellStart"/>
      <w:r>
        <w:rPr>
          <w:rtl/>
        </w:rPr>
        <w:t>הת״ר־פ</w:t>
      </w:r>
      <w:proofErr w:type="spellEnd"/>
      <w:r>
        <w:rPr>
          <w:rtl/>
        </w:rPr>
        <w:t xml:space="preserve">׳ כבר נפוצה שיטת לימודו של ר׳ חיים </w:t>
      </w:r>
      <w:proofErr w:type="spellStart"/>
      <w:r>
        <w:rPr>
          <w:rtl/>
        </w:rPr>
        <w:t>סולובייצ׳יק</w:t>
      </w:r>
      <w:proofErr w:type="spellEnd"/>
      <w:r>
        <w:rPr>
          <w:rtl/>
        </w:rPr>
        <w:t xml:space="preserve"> בכל הישיבות די הצורך, והתלמידים הטובים בכל מקום כבר יכלו לתפוס את דברי תורתו של ר׳ יצחק־זאב. שני תלמידי חכמים ידועים שבאו מישיבת </w:t>
      </w:r>
      <w:proofErr w:type="spellStart"/>
      <w:r>
        <w:rPr>
          <w:rtl/>
        </w:rPr>
        <w:t>מיר</w:t>
      </w:r>
      <w:proofErr w:type="spellEnd"/>
      <w:r>
        <w:rPr>
          <w:rtl/>
        </w:rPr>
        <w:t xml:space="preserve"> ללמוד אצל ר׳ יצחק־זאב היו ר׳ מיכל </w:t>
      </w:r>
      <w:proofErr w:type="spellStart"/>
      <w:r>
        <w:rPr>
          <w:rtl/>
        </w:rPr>
        <w:t>פיינשטיין</w:t>
      </w:r>
      <w:proofErr w:type="spellEnd"/>
      <w:r>
        <w:rPr>
          <w:rtl/>
        </w:rPr>
        <w:t xml:space="preserve">, שלימים נשא את </w:t>
      </w:r>
      <w:proofErr w:type="spellStart"/>
      <w:r>
        <w:rPr>
          <w:rtl/>
        </w:rPr>
        <w:t>ליפשה</w:t>
      </w:r>
      <w:proofErr w:type="spellEnd"/>
      <w:r>
        <w:rPr>
          <w:rtl/>
        </w:rPr>
        <w:t xml:space="preserve"> בתו של ר׳ יצחק־זאב, ור׳ לייב </w:t>
      </w:r>
      <w:proofErr w:type="spellStart"/>
      <w:r>
        <w:rPr>
          <w:rtl/>
        </w:rPr>
        <w:t>מאלין</w:t>
      </w:r>
      <w:proofErr w:type="spellEnd"/>
      <w:r>
        <w:rPr>
          <w:rtl/>
        </w:rPr>
        <w:t xml:space="preserve">, מרבותיי, שיצא ממיר לשנה </w:t>
      </w:r>
      <w:proofErr w:type="spellStart"/>
      <w:r>
        <w:rPr>
          <w:rtl/>
        </w:rPr>
        <w:t>בתרצ״ז</w:t>
      </w:r>
      <w:proofErr w:type="spellEnd"/>
      <w:r>
        <w:rPr>
          <w:rtl/>
        </w:rPr>
        <w:t xml:space="preserve"> כדי ללמוד </w:t>
      </w:r>
      <w:proofErr w:type="spellStart"/>
      <w:r>
        <w:rPr>
          <w:rtl/>
        </w:rPr>
        <w:t>בבריסק</w:t>
      </w:r>
      <w:proofErr w:type="spellEnd"/>
      <w:r>
        <w:rPr>
          <w:rtl/>
        </w:rPr>
        <w:t>.</w:t>
      </w:r>
    </w:p>
    <w:p w14:paraId="02B94B5F" w14:textId="77777777" w:rsidR="00AB3647" w:rsidRDefault="00000000" w:rsidP="007923E9">
      <w:pPr>
        <w:spacing w:after="120" w:line="276" w:lineRule="auto"/>
        <w:ind w:firstLine="283"/>
        <w:jc w:val="both"/>
      </w:pPr>
      <w:r>
        <w:rPr>
          <w:rtl/>
        </w:rPr>
        <w:t xml:space="preserve">לפי מועד ביקורו של ר׳ חיים בקובנה אפשר לשער שבא לברר עם הסבא אם אפשר לסדר שליחת קיבוץ תלמידים </w:t>
      </w:r>
      <w:proofErr w:type="spellStart"/>
      <w:r>
        <w:rPr>
          <w:rtl/>
        </w:rPr>
        <w:t>לראסיין</w:t>
      </w:r>
      <w:proofErr w:type="spellEnd"/>
      <w:r>
        <w:rPr>
          <w:rtl/>
        </w:rPr>
        <w:t xml:space="preserve">. למעשה נתמנה ר׳ משה לרב </w:t>
      </w:r>
      <w:proofErr w:type="spellStart"/>
      <w:r>
        <w:rPr>
          <w:rtl/>
        </w:rPr>
        <w:t>בראסיין</w:t>
      </w:r>
      <w:proofErr w:type="spellEnd"/>
      <w:r>
        <w:rPr>
          <w:rtl/>
        </w:rPr>
        <w:t xml:space="preserve"> רק כעבור שנתיים, </w:t>
      </w:r>
      <w:proofErr w:type="spellStart"/>
      <w:r>
        <w:rPr>
          <w:rtl/>
        </w:rPr>
        <w:t>בתר״ע</w:t>
      </w:r>
      <w:proofErr w:type="spellEnd"/>
      <w:r>
        <w:rPr>
          <w:rtl/>
        </w:rPr>
        <w:t xml:space="preserve">, כפי שרשם הבקי בתולדות </w:t>
      </w:r>
      <w:proofErr w:type="spellStart"/>
      <w:r>
        <w:rPr>
          <w:rtl/>
        </w:rPr>
        <w:t>ראסיין</w:t>
      </w:r>
      <w:proofErr w:type="spellEnd"/>
      <w:r>
        <w:rPr>
          <w:rtl/>
        </w:rPr>
        <w:t xml:space="preserve">, ר׳ משה </w:t>
      </w:r>
      <w:proofErr w:type="spellStart"/>
      <w:r>
        <w:rPr>
          <w:rtl/>
        </w:rPr>
        <w:t>מרקוביץ</w:t>
      </w:r>
      <w:proofErr w:type="spellEnd"/>
      <w:r>
        <w:rPr>
          <w:rtl/>
        </w:rPr>
        <w:t xml:space="preserve">, </w:t>
      </w:r>
      <w:proofErr w:type="spellStart"/>
      <w:r>
        <w:rPr>
          <w:rtl/>
        </w:rPr>
        <w:t>ב“לקורות</w:t>
      </w:r>
      <w:proofErr w:type="spellEnd"/>
      <w:r>
        <w:rPr>
          <w:rtl/>
        </w:rPr>
        <w:t>”</w:t>
      </w:r>
      <w:bookmarkStart w:id="6635" w:name="_fnr5035"/>
      <w:r>
        <w:rPr>
          <w:rStyle w:val="a5"/>
        </w:rPr>
        <w:footnoteReference w:id="5048" w:customMarkFollows="0"/>
      </w:r>
      <w:bookmarkEnd w:id="6635"/>
      <w:r>
        <w:rPr>
          <w:rtl/>
        </w:rPr>
        <w:t xml:space="preserve">, וכפי שאישר לי ר׳ אהרן </w:t>
      </w:r>
      <w:proofErr w:type="spellStart"/>
      <w:r>
        <w:rPr>
          <w:rtl/>
        </w:rPr>
        <w:t>סולובייצ׳יק</w:t>
      </w:r>
      <w:proofErr w:type="spellEnd"/>
      <w:r>
        <w:rPr>
          <w:rtl/>
        </w:rPr>
        <w:t xml:space="preserve">, בנו של ר׳ משה שנולד מאוחר יותר. אבל בערל </w:t>
      </w:r>
      <w:proofErr w:type="spellStart"/>
      <w:r>
        <w:rPr>
          <w:rtl/>
        </w:rPr>
        <w:t>קגן</w:t>
      </w:r>
      <w:bookmarkStart w:id="6636" w:name="_fnr5036"/>
      <w:proofErr w:type="spellEnd"/>
      <w:r>
        <w:rPr>
          <w:rStyle w:val="a5"/>
        </w:rPr>
        <w:footnoteReference w:id="5049" w:customMarkFollows="0"/>
      </w:r>
      <w:bookmarkEnd w:id="6636"/>
      <w:r>
        <w:rPr>
          <w:rtl/>
        </w:rPr>
        <w:t xml:space="preserve"> נותן את שנת 1908 (תרס״ח) כשנת עלייתו של ר׳ משה </w:t>
      </w:r>
      <w:proofErr w:type="spellStart"/>
      <w:r>
        <w:rPr>
          <w:rtl/>
        </w:rPr>
        <w:t>סולובייצ׳יק</w:t>
      </w:r>
      <w:proofErr w:type="spellEnd"/>
      <w:r>
        <w:rPr>
          <w:rtl/>
        </w:rPr>
        <w:t xml:space="preserve"> על כס הרבנות, ואבי אמר שר׳ משה, שנולד </w:t>
      </w:r>
      <w:proofErr w:type="spellStart"/>
      <w:r>
        <w:rPr>
          <w:rtl/>
        </w:rPr>
        <w:t>בתרל״ח</w:t>
      </w:r>
      <w:proofErr w:type="spellEnd"/>
      <w:r>
        <w:rPr>
          <w:rtl/>
        </w:rPr>
        <w:t xml:space="preserve">, היה כבן שלושים כאשר דחף אותו אביו אל העיר. לכן מסתבר שר׳ חיים החל לפעול </w:t>
      </w:r>
      <w:r>
        <w:rPr>
          <w:b/>
          <w:bCs/>
          <w:rtl/>
        </w:rPr>
        <w:t>לקראת</w:t>
      </w:r>
      <w:r>
        <w:rPr>
          <w:rtl/>
        </w:rPr>
        <w:t xml:space="preserve"> המינוי שנתיים לפני שבנו זכה בפועל ברבנות, כלומר </w:t>
      </w:r>
      <w:proofErr w:type="spellStart"/>
      <w:r>
        <w:rPr>
          <w:rtl/>
        </w:rPr>
        <w:t>בתרס״ח</w:t>
      </w:r>
      <w:proofErr w:type="spellEnd"/>
      <w:r>
        <w:rPr>
          <w:rtl/>
        </w:rPr>
        <w:t>.</w:t>
      </w:r>
    </w:p>
    <w:p w14:paraId="198D2FE4" w14:textId="77777777" w:rsidR="00AB3647" w:rsidRDefault="00000000" w:rsidP="007923E9">
      <w:pPr>
        <w:spacing w:after="120" w:line="276" w:lineRule="auto"/>
        <w:ind w:firstLine="283"/>
        <w:jc w:val="both"/>
      </w:pPr>
      <w:r>
        <w:rPr>
          <w:rtl/>
        </w:rPr>
        <w:t xml:space="preserve">מאמציו המוקדמים של ר׳ חיים לא נשאו פרי, עד שבייאושו שיתף בהם את תלמידו ר׳ </w:t>
      </w:r>
      <w:proofErr w:type="spellStart"/>
      <w:r>
        <w:rPr>
          <w:rtl/>
        </w:rPr>
        <w:t>ברוך־בער</w:t>
      </w:r>
      <w:proofErr w:type="spellEnd"/>
      <w:r>
        <w:rPr>
          <w:rtl/>
        </w:rPr>
        <w:t xml:space="preserve">, כאמור לעיל. אם כן, רבנו אינו מדייק כשהוא מצמיד את נסיעת ר׳ </w:t>
      </w:r>
      <w:proofErr w:type="spellStart"/>
      <w:r>
        <w:rPr>
          <w:rtl/>
        </w:rPr>
        <w:t>ברוך־בער</w:t>
      </w:r>
      <w:proofErr w:type="spellEnd"/>
      <w:r>
        <w:rPr>
          <w:rtl/>
        </w:rPr>
        <w:t xml:space="preserve"> </w:t>
      </w:r>
      <w:proofErr w:type="spellStart"/>
      <w:r>
        <w:rPr>
          <w:rtl/>
        </w:rPr>
        <w:t>לראסיין</w:t>
      </w:r>
      <w:proofErr w:type="spellEnd"/>
      <w:r>
        <w:rPr>
          <w:rtl/>
        </w:rPr>
        <w:t xml:space="preserve"> לגילו של ר׳ משה, שלושים: ר׳ חיים </w:t>
      </w:r>
      <w:r>
        <w:rPr>
          <w:b/>
          <w:bCs/>
          <w:rtl/>
        </w:rPr>
        <w:t>החל</w:t>
      </w:r>
      <w:r>
        <w:rPr>
          <w:rtl/>
        </w:rPr>
        <w:t xml:space="preserve"> לפעול להשגת הרבנות כשבנו היה קרוב לשלושים, ור׳ </w:t>
      </w:r>
      <w:proofErr w:type="spellStart"/>
      <w:r>
        <w:rPr>
          <w:rtl/>
        </w:rPr>
        <w:t>ברוך־בער</w:t>
      </w:r>
      <w:proofErr w:type="spellEnd"/>
      <w:r>
        <w:rPr>
          <w:rtl/>
        </w:rPr>
        <w:t xml:space="preserve"> נרתם להוציא לפועל את תוכנית רבו כעבור שנתיים. “מורשת”</w:t>
      </w:r>
      <w:bookmarkStart w:id="6637" w:name="_fnr5037"/>
      <w:r>
        <w:rPr>
          <w:rStyle w:val="a5"/>
        </w:rPr>
        <w:footnoteReference w:id="5050" w:customMarkFollows="0"/>
      </w:r>
      <w:bookmarkEnd w:id="6637"/>
      <w:r>
        <w:rPr>
          <w:rtl/>
        </w:rPr>
        <w:t xml:space="preserve"> טועה כנראה כשהיא מתארת ביקור של ר׳ חיים עצמו </w:t>
      </w:r>
      <w:proofErr w:type="spellStart"/>
      <w:r>
        <w:rPr>
          <w:rtl/>
        </w:rPr>
        <w:t>בראסיין</w:t>
      </w:r>
      <w:proofErr w:type="spellEnd"/>
      <w:r>
        <w:rPr>
          <w:rtl/>
        </w:rPr>
        <w:t xml:space="preserve"> כדי להבטיח את בחירת בנו. היא מתארת אותו מבעד לעיניו של אדם שהמחברת אינה זוכרת את שמו, אך קראה את תיאורו “לפני שנים אחדות”; התיאור היה כנראה של ביקורו </w:t>
      </w:r>
      <w:r>
        <w:rPr>
          <w:b/>
          <w:bCs/>
          <w:rtl/>
        </w:rPr>
        <w:t>המאוחר יותר</w:t>
      </w:r>
      <w:r>
        <w:rPr>
          <w:rtl/>
        </w:rPr>
        <w:t xml:space="preserve"> של ר׳ חיים, שאכן </w:t>
      </w:r>
      <w:r>
        <w:rPr>
          <w:b/>
          <w:bCs/>
          <w:rtl/>
        </w:rPr>
        <w:t>חיזק</w:t>
      </w:r>
      <w:r>
        <w:rPr>
          <w:rtl/>
        </w:rPr>
        <w:t xml:space="preserve"> את מעמד בנו </w:t>
      </w:r>
      <w:r>
        <w:rPr>
          <w:rtl/>
        </w:rPr>
        <w:lastRenderedPageBreak/>
        <w:t>בעיר – ראה הפסקה השלישית להלן. אגב, התאריך שנותן כץ, “תנועת המוסר”, כרך ג</w:t>
      </w:r>
      <w:bookmarkStart w:id="6638" w:name="_fnr5038"/>
      <w:r>
        <w:rPr>
          <w:rStyle w:val="a5"/>
        </w:rPr>
        <w:footnoteReference w:id="5051" w:customMarkFollows="0"/>
      </w:r>
      <w:bookmarkEnd w:id="6638"/>
      <w:r>
        <w:rPr>
          <w:rtl/>
        </w:rPr>
        <w:t>, למינויו של ר׳ משה</w:t>
      </w:r>
      <w:bookmarkStart w:id="6639" w:name="_fnr5039"/>
      <w:r>
        <w:rPr>
          <w:rStyle w:val="a5"/>
        </w:rPr>
        <w:footnoteReference w:id="5052" w:customMarkFollows="0"/>
      </w:r>
      <w:bookmarkEnd w:id="6639"/>
      <w:r>
        <w:rPr>
          <w:rtl/>
        </w:rPr>
        <w:t xml:space="preserve"> – תרע״ב – שגוי: לפי בנו ר׳ אהרן, באותה שנה </w:t>
      </w:r>
      <w:r>
        <w:rPr>
          <w:b/>
          <w:bCs/>
          <w:rtl/>
        </w:rPr>
        <w:t>עזב</w:t>
      </w:r>
      <w:r>
        <w:rPr>
          <w:rtl/>
        </w:rPr>
        <w:t xml:space="preserve"> ר׳ משה את </w:t>
      </w:r>
      <w:proofErr w:type="spellStart"/>
      <w:r>
        <w:rPr>
          <w:rtl/>
        </w:rPr>
        <w:t>ראסיין</w:t>
      </w:r>
      <w:proofErr w:type="spellEnd"/>
      <w:r>
        <w:rPr>
          <w:rtl/>
        </w:rPr>
        <w:t xml:space="preserve"> </w:t>
      </w:r>
      <w:proofErr w:type="spellStart"/>
      <w:r>
        <w:rPr>
          <w:rtl/>
        </w:rPr>
        <w:t>לחסלוויץ</w:t>
      </w:r>
      <w:proofErr w:type="spellEnd"/>
      <w:r>
        <w:rPr>
          <w:rtl/>
        </w:rPr>
        <w:t>׳.</w:t>
      </w:r>
    </w:p>
    <w:p w14:paraId="5872F008" w14:textId="77777777" w:rsidR="00AB3647" w:rsidRDefault="00000000" w:rsidP="007923E9">
      <w:pPr>
        <w:spacing w:after="120" w:line="276" w:lineRule="auto"/>
        <w:ind w:firstLine="283"/>
        <w:jc w:val="both"/>
      </w:pPr>
      <w:r>
        <w:rPr>
          <w:rtl/>
        </w:rPr>
        <w:t xml:space="preserve">ר׳ דוד </w:t>
      </w:r>
      <w:proofErr w:type="spellStart"/>
      <w:r>
        <w:rPr>
          <w:rtl/>
        </w:rPr>
        <w:t>מוסטופסקי</w:t>
      </w:r>
      <w:bookmarkStart w:id="6640" w:name="_fnr5040"/>
      <w:proofErr w:type="spellEnd"/>
      <w:r>
        <w:rPr>
          <w:rStyle w:val="a5"/>
        </w:rPr>
        <w:footnoteReference w:id="5053" w:customMarkFollows="0"/>
      </w:r>
      <w:bookmarkEnd w:id="6640"/>
      <w:r>
        <w:rPr>
          <w:rtl/>
        </w:rPr>
        <w:t xml:space="preserve"> סיפר שלפני שעלה ר׳ משה על כס הרבנות </w:t>
      </w:r>
      <w:proofErr w:type="spellStart"/>
      <w:r>
        <w:rPr>
          <w:rtl/>
        </w:rPr>
        <w:t>בראסיין</w:t>
      </w:r>
      <w:proofErr w:type="spellEnd"/>
      <w:r>
        <w:rPr>
          <w:rtl/>
        </w:rPr>
        <w:t xml:space="preserve">, ניסה ר׳ חיים להשיג עבורו את רבנות </w:t>
      </w:r>
      <w:proofErr w:type="spellStart"/>
      <w:r>
        <w:rPr>
          <w:rtl/>
        </w:rPr>
        <w:t>קמניץ</w:t>
      </w:r>
      <w:proofErr w:type="spellEnd"/>
      <w:r>
        <w:rPr>
          <w:rtl/>
        </w:rPr>
        <w:t xml:space="preserve">, ולא הצליח. בני העיר נועצו בר׳ חיים את מי לקבל לרב במקום ר׳ </w:t>
      </w:r>
      <w:proofErr w:type="spellStart"/>
      <w:r>
        <w:rPr>
          <w:rtl/>
        </w:rPr>
        <w:t>משה־יצחק</w:t>
      </w:r>
      <w:proofErr w:type="spellEnd"/>
      <w:r>
        <w:rPr>
          <w:rtl/>
        </w:rPr>
        <w:t xml:space="preserve"> </w:t>
      </w:r>
      <w:proofErr w:type="spellStart"/>
      <w:r>
        <w:rPr>
          <w:rtl/>
        </w:rPr>
        <w:t>רבינוביץ</w:t>
      </w:r>
      <w:proofErr w:type="spellEnd"/>
      <w:r>
        <w:rPr>
          <w:rtl/>
        </w:rPr>
        <w:t xml:space="preserve">, שהיה רבם כמעט שלושה עשורים ונפטר בחורף תרס״ח. כשהציע להם לקחת את בנו שלו, שלח </w:t>
      </w:r>
      <w:proofErr w:type="spellStart"/>
      <w:r>
        <w:rPr>
          <w:rtl/>
        </w:rPr>
        <w:t>אבי־סבו</w:t>
      </w:r>
      <w:proofErr w:type="spellEnd"/>
      <w:r>
        <w:rPr>
          <w:rtl/>
        </w:rPr>
        <w:t xml:space="preserve"> של המרואיין, ר׳ </w:t>
      </w:r>
      <w:proofErr w:type="spellStart"/>
      <w:r>
        <w:rPr>
          <w:rtl/>
        </w:rPr>
        <w:t xml:space="preserve">וועלוול־חיים</w:t>
      </w:r>
      <w:proofErr w:type="spellEnd"/>
      <w:r>
        <w:rPr>
          <w:rtl/>
        </w:rPr>
        <w:t xml:space="preserve"> – תושב בעל השפעה שעבד כפחח אבל ידע את כל המשניות על פה – את התשובה: “אילו היה ר׳ חיים עצמו מציע את מועמדותו, נו [היינו, אפשר שהיה נשקל בחיוב], אבל בבנו אין </w:t>
      </w:r>
      <w:proofErr w:type="spellStart"/>
      <w:r>
        <w:rPr>
          <w:rtl/>
        </w:rPr>
        <w:t>קמניץ</w:t>
      </w:r>
      <w:proofErr w:type="spellEnd"/>
      <w:r>
        <w:rPr>
          <w:rtl/>
        </w:rPr>
        <w:t xml:space="preserve"> מעוניינת”. נראה </w:t>
      </w:r>
      <w:proofErr w:type="spellStart"/>
      <w:r>
        <w:rPr>
          <w:rtl/>
        </w:rPr>
        <w:t>שקמניץ</w:t>
      </w:r>
      <w:proofErr w:type="spellEnd"/>
      <w:r>
        <w:rPr>
          <w:rtl/>
        </w:rPr>
        <w:t xml:space="preserve">, כמו </w:t>
      </w:r>
      <w:proofErr w:type="spellStart"/>
      <w:r>
        <w:rPr>
          <w:rtl/>
        </w:rPr>
        <w:t>ראסיין</w:t>
      </w:r>
      <w:proofErr w:type="spellEnd"/>
      <w:r>
        <w:rPr>
          <w:rtl/>
        </w:rPr>
        <w:t xml:space="preserve">, חשה </w:t>
      </w:r>
      <w:proofErr w:type="spellStart"/>
      <w:r>
        <w:rPr>
          <w:rtl/>
        </w:rPr>
        <w:t>ש“יש</w:t>
      </w:r>
      <w:proofErr w:type="spellEnd"/>
      <w:r>
        <w:rPr>
          <w:rtl/>
        </w:rPr>
        <w:t xml:space="preserve"> כאן מעט חוצפה” – כלשונו של אבי על </w:t>
      </w:r>
      <w:proofErr w:type="spellStart"/>
      <w:r>
        <w:rPr>
          <w:rtl/>
        </w:rPr>
        <w:t>ראסיין</w:t>
      </w:r>
      <w:proofErr w:type="spellEnd"/>
      <w:r>
        <w:rPr>
          <w:rtl/>
        </w:rPr>
        <w:t xml:space="preserve"> – מצד ר׳ חיים להציע שבנו חסר הניסיון יירש את רבם, ולכן השיבו תושביה בעזות פנים כזאת.</w:t>
      </w:r>
    </w:p>
    <w:p w14:paraId="4C6F4835" w14:textId="2A1175AE" w:rsidR="00AB3647" w:rsidRDefault="00000000" w:rsidP="007923E9">
      <w:pPr>
        <w:spacing w:after="120" w:line="276" w:lineRule="auto"/>
        <w:ind w:firstLine="283"/>
        <w:jc w:val="both"/>
      </w:pPr>
      <w:r>
        <w:rPr>
          <w:rtl/>
        </w:rPr>
        <w:t xml:space="preserve">בן </w:t>
      </w:r>
      <w:proofErr w:type="spellStart"/>
      <w:r>
        <w:rPr>
          <w:rtl/>
        </w:rPr>
        <w:t>נינו</w:t>
      </w:r>
      <w:proofErr w:type="spellEnd"/>
      <w:r>
        <w:rPr>
          <w:rtl/>
        </w:rPr>
        <w:t xml:space="preserve"> של ר׳ </w:t>
      </w:r>
      <w:proofErr w:type="spellStart"/>
      <w:r>
        <w:rPr>
          <w:rtl/>
        </w:rPr>
        <w:t xml:space="preserve">וועלוול־חיים</w:t>
      </w:r>
      <w:proofErr w:type="spellEnd"/>
      <w:r>
        <w:rPr>
          <w:rtl/>
        </w:rPr>
        <w:t xml:space="preserve">, ר׳ מרדכי </w:t>
      </w:r>
      <w:proofErr w:type="spellStart"/>
      <w:r>
        <w:rPr>
          <w:rtl/>
        </w:rPr>
        <w:t>דולינסקי</w:t>
      </w:r>
      <w:proofErr w:type="spellEnd"/>
      <w:r>
        <w:rPr>
          <w:rtl/>
        </w:rPr>
        <w:t>, סיפר</w:t>
      </w:r>
      <w:bookmarkStart w:id="6641" w:name="_fnr5041"/>
      <w:r>
        <w:rPr>
          <w:rStyle w:val="a5"/>
        </w:rPr>
        <w:footnoteReference w:id="5054" w:customMarkFollows="0"/>
      </w:r>
      <w:bookmarkEnd w:id="6641"/>
      <w:r>
        <w:rPr>
          <w:rtl/>
        </w:rPr>
        <w:t xml:space="preserve"> </w:t>
      </w:r>
      <w:proofErr w:type="spellStart"/>
      <w:r>
        <w:rPr>
          <w:rtl/>
        </w:rPr>
        <w:t>שאבי־אבותיו</w:t>
      </w:r>
      <w:proofErr w:type="spellEnd"/>
      <w:r>
        <w:rPr>
          <w:rtl/>
        </w:rPr>
        <w:t xml:space="preserve"> גר </w:t>
      </w:r>
      <w:proofErr w:type="spellStart"/>
      <w:r>
        <w:rPr>
          <w:rtl/>
        </w:rPr>
        <w:t>בבריסק</w:t>
      </w:r>
      <w:proofErr w:type="spellEnd"/>
      <w:r>
        <w:rPr>
          <w:rtl/>
        </w:rPr>
        <w:t xml:space="preserve"> זמן מה לפני שהשתקע </w:t>
      </w:r>
      <w:proofErr w:type="spellStart"/>
      <w:r>
        <w:rPr>
          <w:rtl/>
        </w:rPr>
        <w:t>בקמניץ</w:t>
      </w:r>
      <w:proofErr w:type="spellEnd"/>
      <w:r>
        <w:rPr>
          <w:rtl/>
        </w:rPr>
        <w:t xml:space="preserve">, </w:t>
      </w:r>
      <w:proofErr w:type="spellStart"/>
      <w:r>
        <w:rPr>
          <w:rtl/>
        </w:rPr>
        <w:t>ו“דיבר</w:t>
      </w:r>
      <w:proofErr w:type="spellEnd"/>
      <w:r>
        <w:rPr>
          <w:rtl/>
        </w:rPr>
        <w:t xml:space="preserve"> בלימוד עם ר׳ חיים פעמים רבות”. אולי היכרותו עם ר׳ חיים הגדול היא שאפשרה לפחח להשיב תשובה מזלזלת כל כך. (השווה גם פרק 3, הערה </w:t>
      </w:r>
      <w:r>
        <w:rPr>
          <w:rtl/>
        </w:rPr>
        <w:fldChar w:fldCharType="begin" w:dirty="true"/>
      </w:r>
      <w:r>
        <w:rPr>
          <w:rtl/>
        </w:rPr>
        <w:instrText xml:space="preserve"> REF b3_note135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135</w:t>
      </w:r>
      <w:r>
        <w:rPr>
          <w:rtl/>
        </w:rPr>
        <w:fldChar w:fldCharType="end"/>
      </w:r>
      <w:r>
        <w:rPr>
          <w:rtl/>
        </w:rPr>
        <w:t xml:space="preserve">, שכוח ההסברה של ר׳ חיים אפשר גם לפשוטי העם להבין את דברי תורתו, ומשום כך ייתכן שר׳ </w:t>
      </w:r>
      <w:proofErr w:type="spellStart"/>
      <w:r>
        <w:rPr>
          <w:rtl/>
        </w:rPr>
        <w:t xml:space="preserve">וועלוול־חיים</w:t>
      </w:r>
      <w:proofErr w:type="spellEnd"/>
      <w:r>
        <w:rPr>
          <w:rtl/>
        </w:rPr>
        <w:t xml:space="preserve"> לא עמד על גדלותו של ר׳ חיים.) אפשר להציע שיהודי </w:t>
      </w:r>
      <w:proofErr w:type="spellStart"/>
      <w:r>
        <w:rPr>
          <w:rtl/>
        </w:rPr>
        <w:t>ראסיין</w:t>
      </w:r>
      <w:proofErr w:type="spellEnd"/>
      <w:r>
        <w:rPr>
          <w:rtl/>
        </w:rPr>
        <w:t xml:space="preserve">, אפילו כשחשו שמועמדותו של ר׳ משה גובלת בחוצפה, לא היו פונים כך </w:t>
      </w:r>
      <w:proofErr w:type="spellStart"/>
      <w:r>
        <w:rPr>
          <w:rtl/>
        </w:rPr>
        <w:t>לר</w:t>
      </w:r>
      <w:proofErr w:type="spellEnd"/>
      <w:r>
        <w:rPr>
          <w:rtl/>
        </w:rPr>
        <w:t xml:space="preserve">׳ חיים לעולם, מפני שבכל </w:t>
      </w:r>
      <w:proofErr w:type="spellStart"/>
      <w:r>
        <w:rPr>
          <w:rtl/>
        </w:rPr>
        <w:t>זאמוט</w:t>
      </w:r>
      <w:proofErr w:type="spellEnd"/>
      <w:r>
        <w:rPr>
          <w:rtl/>
        </w:rPr>
        <w:t xml:space="preserve"> – </w:t>
      </w:r>
      <w:proofErr w:type="spellStart"/>
      <w:r>
        <w:rPr>
          <w:rtl/>
        </w:rPr>
        <w:t>ראסיין</w:t>
      </w:r>
      <w:proofErr w:type="spellEnd"/>
      <w:r>
        <w:rPr>
          <w:rtl/>
        </w:rPr>
        <w:t xml:space="preserve"> נחשבה בעיני אחדים “ירושלים </w:t>
      </w:r>
      <w:proofErr w:type="spellStart"/>
      <w:r>
        <w:rPr>
          <w:rtl/>
        </w:rPr>
        <w:t>דזאמוט</w:t>
      </w:r>
      <w:proofErr w:type="spellEnd"/>
      <w:r>
        <w:rPr>
          <w:rtl/>
        </w:rPr>
        <w:t>”</w:t>
      </w:r>
      <w:bookmarkStart w:id="6642" w:name="_fnr5042"/>
      <w:r>
        <w:rPr>
          <w:rStyle w:val="a5"/>
        </w:rPr>
        <w:footnoteReference w:id="5055" w:customMarkFollows="0"/>
      </w:r>
      <w:bookmarkEnd w:id="6642"/>
      <w:r>
        <w:rPr>
          <w:rtl/>
        </w:rPr>
        <w:t xml:space="preserve"> – הייתה הערכת התורה רבה מכדי להתיר שמץ של זלזול בתלמיד חכם בשיעור קומתו</w:t>
      </w:r>
      <w:bookmarkStart w:id="6643" w:name="_fnr5043"/>
      <w:r>
        <w:rPr>
          <w:rStyle w:val="a5"/>
        </w:rPr>
        <w:footnoteReference w:id="5056" w:customMarkFollows="0"/>
      </w:r>
      <w:bookmarkEnd w:id="6643"/>
      <w:r>
        <w:rPr>
          <w:rtl/>
        </w:rPr>
        <w:t>.</w:t>
      </w:r>
    </w:p>
    <w:p w14:paraId="64320945" w14:textId="77777777" w:rsidR="00AB3647" w:rsidRDefault="00000000" w:rsidP="007923E9">
      <w:pPr>
        <w:spacing w:after="120" w:line="276" w:lineRule="auto"/>
        <w:ind w:firstLine="283"/>
        <w:jc w:val="both"/>
      </w:pPr>
      <w:r>
        <w:rPr>
          <w:rtl/>
        </w:rPr>
        <w:t xml:space="preserve">מאמציו של ר׳ חיים להשיג את רבנות </w:t>
      </w:r>
      <w:proofErr w:type="spellStart"/>
      <w:r>
        <w:rPr>
          <w:rtl/>
        </w:rPr>
        <w:t>ראסיין</w:t>
      </w:r>
      <w:proofErr w:type="spellEnd"/>
      <w:r>
        <w:rPr>
          <w:rtl/>
        </w:rPr>
        <w:t xml:space="preserve"> ודאי החלו מיד כשירדה </w:t>
      </w:r>
      <w:proofErr w:type="spellStart"/>
      <w:r>
        <w:rPr>
          <w:rtl/>
        </w:rPr>
        <w:t>קמניץ</w:t>
      </w:r>
      <w:proofErr w:type="spellEnd"/>
      <w:r>
        <w:rPr>
          <w:rtl/>
        </w:rPr>
        <w:t xml:space="preserve"> מן הפרק. (</w:t>
      </w:r>
      <w:proofErr w:type="spellStart"/>
      <w:r>
        <w:rPr>
          <w:rtl/>
        </w:rPr>
        <w:t>קמניץ</w:t>
      </w:r>
      <w:proofErr w:type="spellEnd"/>
      <w:r>
        <w:rPr>
          <w:rtl/>
        </w:rPr>
        <w:t xml:space="preserve"> הייתה כנראה עדיפה </w:t>
      </w:r>
      <w:proofErr w:type="spellStart"/>
      <w:r>
        <w:rPr>
          <w:rtl/>
        </w:rPr>
        <w:t>לר</w:t>
      </w:r>
      <w:proofErr w:type="spellEnd"/>
      <w:r>
        <w:rPr>
          <w:rtl/>
        </w:rPr>
        <w:t xml:space="preserve">׳ משה על </w:t>
      </w:r>
      <w:proofErr w:type="spellStart"/>
      <w:r>
        <w:rPr>
          <w:rtl/>
        </w:rPr>
        <w:t>ראסיין</w:t>
      </w:r>
      <w:proofErr w:type="spellEnd"/>
      <w:r>
        <w:rPr>
          <w:rtl/>
        </w:rPr>
        <w:t xml:space="preserve">, מפני שעיירה זו הייתה קרובה הן </w:t>
      </w:r>
      <w:proofErr w:type="spellStart"/>
      <w:r>
        <w:rPr>
          <w:rtl/>
        </w:rPr>
        <w:t>לבריסק</w:t>
      </w:r>
      <w:proofErr w:type="spellEnd"/>
      <w:r>
        <w:rPr>
          <w:rtl/>
        </w:rPr>
        <w:t xml:space="preserve">, מקום רבנות אביו, והן </w:t>
      </w:r>
      <w:proofErr w:type="spellStart"/>
      <w:r>
        <w:rPr>
          <w:rtl/>
        </w:rPr>
        <w:t>לפרוז׳ני</w:t>
      </w:r>
      <w:proofErr w:type="spellEnd"/>
      <w:r>
        <w:rPr>
          <w:rtl/>
        </w:rPr>
        <w:t xml:space="preserve">, מקום רבנות חותנו.) “מורשת” אינה מזכירה את רבנות </w:t>
      </w:r>
      <w:proofErr w:type="spellStart"/>
      <w:r>
        <w:rPr>
          <w:rtl/>
        </w:rPr>
        <w:t>קמניץ</w:t>
      </w:r>
      <w:proofErr w:type="spellEnd"/>
      <w:r>
        <w:rPr>
          <w:rtl/>
        </w:rPr>
        <w:t xml:space="preserve"> האפשרית, אך טוענת</w:t>
      </w:r>
      <w:bookmarkStart w:id="6644" w:name="_fnr5044"/>
      <w:r>
        <w:rPr>
          <w:rStyle w:val="a5"/>
        </w:rPr>
        <w:footnoteReference w:id="5057" w:customMarkFollows="0"/>
      </w:r>
      <w:bookmarkEnd w:id="6644"/>
      <w:r>
        <w:rPr>
          <w:rtl/>
        </w:rPr>
        <w:t xml:space="preserve"> שהמשרה הראשונה שעלתה לדיון עבור אבי המחברת הייתה ראשות ישיבת עץ חיים שנוסדה זה עתה בניו יורק, מוסד שנעשה לבסוף לגרעינה של ישיבת רבנו יצחק אלחנן</w:t>
      </w:r>
      <w:bookmarkStart w:id="6645" w:name="_fnr5045"/>
      <w:r>
        <w:rPr>
          <w:rStyle w:val="a5"/>
        </w:rPr>
        <w:footnoteReference w:id="5058" w:customMarkFollows="0"/>
      </w:r>
      <w:bookmarkEnd w:id="6645"/>
      <w:r>
        <w:rPr>
          <w:rtl/>
        </w:rPr>
        <w:t xml:space="preserve">. אבל ר׳ חיים פסל זאת, חרף “התלהבותה” של כלתו לקבל את המשרה, מפני </w:t>
      </w:r>
      <w:proofErr w:type="spellStart"/>
      <w:r>
        <w:rPr>
          <w:rtl/>
        </w:rPr>
        <w:t>ש“בשום</w:t>
      </w:r>
      <w:proofErr w:type="spellEnd"/>
      <w:r>
        <w:rPr>
          <w:rtl/>
        </w:rPr>
        <w:t xml:space="preserve"> פנים ואופן” לא התיר לבנו לתת לילדיו את החינוך הכללי שהיה חובה באמריקה: “פשה [כלתו של ר׳ חיים] לא סלחה לו על כך לעולם”, קובעת “מורשת”</w:t>
      </w:r>
      <w:bookmarkStart w:id="6646" w:name="_fnr5046"/>
      <w:r>
        <w:rPr>
          <w:rStyle w:val="a5"/>
        </w:rPr>
        <w:footnoteReference w:id="5059" w:customMarkFollows="0"/>
      </w:r>
      <w:bookmarkEnd w:id="6646"/>
      <w:r>
        <w:rPr>
          <w:rtl/>
        </w:rPr>
        <w:t xml:space="preserve">. “זמן קצר לאחר </w:t>
      </w:r>
      <w:r>
        <w:rPr>
          <w:rtl/>
        </w:rPr>
        <w:lastRenderedPageBreak/>
        <w:t xml:space="preserve">[דחיית ההצעה מאמריקה] </w:t>
      </w:r>
      <w:proofErr w:type="spellStart"/>
      <w:r>
        <w:rPr>
          <w:rtl/>
        </w:rPr>
        <w:t>נזדמנה</w:t>
      </w:r>
      <w:proofErr w:type="spellEnd"/>
      <w:r>
        <w:rPr>
          <w:rtl/>
        </w:rPr>
        <w:t xml:space="preserve"> האפשרות של </w:t>
      </w:r>
      <w:proofErr w:type="spellStart"/>
      <w:r>
        <w:rPr>
          <w:rtl/>
        </w:rPr>
        <w:t>ראסיין</w:t>
      </w:r>
      <w:proofErr w:type="spellEnd"/>
      <w:r>
        <w:rPr>
          <w:rtl/>
        </w:rPr>
        <w:t xml:space="preserve">”. (מאחר </w:t>
      </w:r>
      <w:proofErr w:type="spellStart"/>
      <w:r>
        <w:rPr>
          <w:rtl/>
        </w:rPr>
        <w:t>ש“מורשת</w:t>
      </w:r>
      <w:proofErr w:type="spellEnd"/>
      <w:r>
        <w:rPr>
          <w:rtl/>
        </w:rPr>
        <w:t xml:space="preserve">” משמיטה לגמרי את המועמדות </w:t>
      </w:r>
      <w:proofErr w:type="spellStart"/>
      <w:r>
        <w:rPr>
          <w:rtl/>
        </w:rPr>
        <w:t>בקמניץ</w:t>
      </w:r>
      <w:proofErr w:type="spellEnd"/>
      <w:r>
        <w:rPr>
          <w:rtl/>
        </w:rPr>
        <w:t xml:space="preserve">, תיאורה את ישיבת עץ חיים </w:t>
      </w:r>
      <w:proofErr w:type="spellStart"/>
      <w:r>
        <w:rPr>
          <w:rtl/>
        </w:rPr>
        <w:t>כ“משרה</w:t>
      </w:r>
      <w:proofErr w:type="spellEnd"/>
      <w:r>
        <w:rPr>
          <w:rtl/>
        </w:rPr>
        <w:t xml:space="preserve"> הראשונה שעלתה” אינו שולל את האפשרות שרבנות </w:t>
      </w:r>
      <w:proofErr w:type="spellStart"/>
      <w:r>
        <w:rPr>
          <w:rtl/>
        </w:rPr>
        <w:t>קמניץ</w:t>
      </w:r>
      <w:proofErr w:type="spellEnd"/>
      <w:r>
        <w:rPr>
          <w:rtl/>
        </w:rPr>
        <w:t xml:space="preserve"> הייתה הראשונה שנשקלה – ולא רק בידי ר׳ חיים.)</w:t>
      </w:r>
    </w:p>
    <w:p w14:paraId="6E9A8B1C" w14:textId="77777777" w:rsidR="00AB3647" w:rsidRDefault="00000000" w:rsidP="007923E9">
      <w:pPr>
        <w:spacing w:after="120" w:line="276" w:lineRule="auto"/>
        <w:ind w:firstLine="283"/>
        <w:jc w:val="both"/>
      </w:pPr>
      <w:r>
        <w:rPr>
          <w:rtl/>
        </w:rPr>
        <w:t>“לקורות”</w:t>
      </w:r>
      <w:bookmarkStart w:id="6647" w:name="_fnr5047"/>
      <w:r>
        <w:rPr>
          <w:rStyle w:val="a5"/>
        </w:rPr>
        <w:footnoteReference w:id="5060" w:customMarkFollows="0"/>
      </w:r>
      <w:bookmarkEnd w:id="6647"/>
      <w:r>
        <w:rPr>
          <w:rtl/>
        </w:rPr>
        <w:t xml:space="preserve"> מתאר כך את ישיבתו של ר׳ משה </w:t>
      </w:r>
      <w:proofErr w:type="spellStart"/>
      <w:r>
        <w:rPr>
          <w:rtl/>
        </w:rPr>
        <w:t>בראסיין</w:t>
      </w:r>
      <w:proofErr w:type="spellEnd"/>
      <w:r>
        <w:rPr>
          <w:rtl/>
        </w:rPr>
        <w:t>: “סביב גאון זה נתאסף קיבוץ של בחורים יקרים, מן המובחרים שבתלמידים המצוינים, ששתו בצמא את חידושיו העמוקים וסברתו הטהורה. גאון זה דאג לכל צורכיהם של תלמידים מצוינים אלה, כדי שלבם ודעתם של הלומדים יהיו פנויים לעסוק בתורת ה׳ בכל נפשם. עתה</w:t>
      </w:r>
      <w:bookmarkStart w:id="6648" w:name="_fnr5048"/>
      <w:r>
        <w:rPr>
          <w:rStyle w:val="a5"/>
        </w:rPr>
        <w:footnoteReference w:id="5061" w:customMarkFollows="0"/>
      </w:r>
      <w:bookmarkEnd w:id="6648"/>
      <w:r>
        <w:rPr>
          <w:rtl/>
        </w:rPr>
        <w:t xml:space="preserve"> נקרא לכבוד בעיר </w:t>
      </w:r>
      <w:proofErr w:type="spellStart"/>
      <w:r>
        <w:rPr>
          <w:rtl/>
        </w:rPr>
        <w:t>חסלוויץ</w:t>
      </w:r>
      <w:proofErr w:type="spellEnd"/>
      <w:r>
        <w:rPr>
          <w:rtl/>
        </w:rPr>
        <w:t xml:space="preserve">׳, [ב]פלך </w:t>
      </w:r>
      <w:proofErr w:type="spellStart"/>
      <w:r>
        <w:rPr>
          <w:rtl/>
        </w:rPr>
        <w:t>מוהילוב</w:t>
      </w:r>
      <w:proofErr w:type="spellEnd"/>
      <w:r>
        <w:rPr>
          <w:rtl/>
        </w:rPr>
        <w:t xml:space="preserve">, להיות רבה, וגם שם נהרו אליו תלמידים מצוינים”. “לקורות” אינו מזכיר כלל את מסירת שיעוריו של ר׳ חיים לתלמידים, וזו הוכחה שחלק זה בתוכנית לא יצא לפועל מעולם, כאמור לעיל. את רבנות </w:t>
      </w:r>
      <w:proofErr w:type="spellStart"/>
      <w:r>
        <w:rPr>
          <w:rtl/>
        </w:rPr>
        <w:t>חסלוויץ</w:t>
      </w:r>
      <w:proofErr w:type="spellEnd"/>
      <w:r>
        <w:rPr>
          <w:rtl/>
        </w:rPr>
        <w:t xml:space="preserve">׳ קיבל ר׳ משה אחרי שגיסו ר׳ מנחם </w:t>
      </w:r>
      <w:proofErr w:type="spellStart"/>
      <w:r>
        <w:rPr>
          <w:rtl/>
        </w:rPr>
        <w:t>קרקובסקי</w:t>
      </w:r>
      <w:proofErr w:type="spellEnd"/>
      <w:r>
        <w:rPr>
          <w:rtl/>
        </w:rPr>
        <w:t xml:space="preserve"> פינה אותה – שניהם היו חתניו של ר׳ אליהו </w:t>
      </w:r>
      <w:proofErr w:type="spellStart"/>
      <w:r>
        <w:rPr>
          <w:rtl/>
        </w:rPr>
        <w:t>פיינשטיין</w:t>
      </w:r>
      <w:proofErr w:type="spellEnd"/>
      <w:r>
        <w:rPr>
          <w:rtl/>
        </w:rPr>
        <w:t xml:space="preserve">, רבה של </w:t>
      </w:r>
      <w:proofErr w:type="spellStart"/>
      <w:r>
        <w:rPr>
          <w:rtl/>
        </w:rPr>
        <w:t>פרוז׳ני</w:t>
      </w:r>
      <w:proofErr w:type="spellEnd"/>
      <w:r>
        <w:rPr>
          <w:rtl/>
        </w:rPr>
        <w:t xml:space="preserve"> – כשעבר לרבנות הגדולה יותר </w:t>
      </w:r>
      <w:proofErr w:type="spellStart"/>
      <w:r>
        <w:rPr>
          <w:rtl/>
        </w:rPr>
        <w:t>בנובהרדוק</w:t>
      </w:r>
      <w:proofErr w:type="spellEnd"/>
      <w:r>
        <w:rPr>
          <w:rtl/>
        </w:rPr>
        <w:t xml:space="preserve">, במקום רבה הוותיק, ר׳ </w:t>
      </w:r>
      <w:proofErr w:type="spellStart"/>
      <w:r>
        <w:rPr>
          <w:rtl/>
        </w:rPr>
        <w:t>יחיאל־מיכל</w:t>
      </w:r>
      <w:proofErr w:type="spellEnd"/>
      <w:r>
        <w:rPr>
          <w:rtl/>
        </w:rPr>
        <w:t xml:space="preserve"> אפשטיין, בעל “ערוך השולחן”.</w:t>
      </w:r>
    </w:p>
    <w:p w14:paraId="39D7925B" w14:textId="77777777" w:rsidR="00AB3647" w:rsidRDefault="00000000" w:rsidP="007923E9">
      <w:pPr>
        <w:spacing w:after="120" w:line="276" w:lineRule="auto"/>
        <w:ind w:firstLine="283"/>
        <w:jc w:val="both"/>
      </w:pPr>
      <w:r>
        <w:rPr>
          <w:rtl/>
        </w:rPr>
        <w:t xml:space="preserve">מועמד מוקדם יותר לרבנות </w:t>
      </w:r>
      <w:proofErr w:type="spellStart"/>
      <w:r>
        <w:rPr>
          <w:rtl/>
        </w:rPr>
        <w:t>נובהרדוק</w:t>
      </w:r>
      <w:proofErr w:type="spellEnd"/>
      <w:r>
        <w:rPr>
          <w:rtl/>
        </w:rPr>
        <w:t xml:space="preserve"> – כנראה </w:t>
      </w:r>
      <w:proofErr w:type="spellStart"/>
      <w:r>
        <w:rPr>
          <w:rtl/>
        </w:rPr>
        <w:t>בתרס״ט</w:t>
      </w:r>
      <w:proofErr w:type="spellEnd"/>
      <w:r>
        <w:rPr>
          <w:rtl/>
        </w:rPr>
        <w:t xml:space="preserve">, שנה אחרי פטירת ר׳ </w:t>
      </w:r>
      <w:proofErr w:type="spellStart"/>
      <w:r>
        <w:rPr>
          <w:rtl/>
        </w:rPr>
        <w:t>יחיאל־מיכל</w:t>
      </w:r>
      <w:proofErr w:type="spellEnd"/>
      <w:r>
        <w:rPr>
          <w:rtl/>
        </w:rPr>
        <w:t xml:space="preserve"> אפשטיין – היה ר׳ </w:t>
      </w:r>
      <w:proofErr w:type="spellStart"/>
      <w:r>
        <w:rPr>
          <w:rtl/>
        </w:rPr>
        <w:t>אברהם־אהרן</w:t>
      </w:r>
      <w:proofErr w:type="spellEnd"/>
      <w:r>
        <w:rPr>
          <w:rtl/>
        </w:rPr>
        <w:t xml:space="preserve"> </w:t>
      </w:r>
      <w:proofErr w:type="spellStart"/>
      <w:r>
        <w:rPr>
          <w:rtl/>
        </w:rPr>
        <w:t>בורשטין</w:t>
      </w:r>
      <w:proofErr w:type="spellEnd"/>
      <w:r>
        <w:rPr>
          <w:rtl/>
        </w:rPr>
        <w:t xml:space="preserve">. ר׳ יוזל </w:t>
      </w:r>
      <w:proofErr w:type="spellStart"/>
      <w:r>
        <w:rPr>
          <w:rtl/>
        </w:rPr>
        <w:t>הורוויץ</w:t>
      </w:r>
      <w:bookmarkStart w:id="6649" w:name="_fnr5049"/>
      <w:proofErr w:type="spellEnd"/>
      <w:r>
        <w:rPr>
          <w:rStyle w:val="a5"/>
        </w:rPr>
        <w:footnoteReference w:id="5062" w:customMarkFollows="0"/>
      </w:r>
      <w:bookmarkEnd w:id="6649"/>
      <w:r>
        <w:rPr>
          <w:rtl/>
        </w:rPr>
        <w:t xml:space="preserve"> כבר היה מבוסס אז </w:t>
      </w:r>
      <w:proofErr w:type="spellStart"/>
      <w:r>
        <w:rPr>
          <w:rtl/>
        </w:rPr>
        <w:t>בנובהרדוק</w:t>
      </w:r>
      <w:proofErr w:type="spellEnd"/>
      <w:r>
        <w:rPr>
          <w:rtl/>
        </w:rPr>
        <w:t xml:space="preserve"> יותר מעשור, ולכן לא היה </w:t>
      </w:r>
      <w:proofErr w:type="spellStart"/>
      <w:r>
        <w:rPr>
          <w:rtl/>
        </w:rPr>
        <w:t>לר</w:t>
      </w:r>
      <w:proofErr w:type="spellEnd"/>
      <w:r>
        <w:rPr>
          <w:rtl/>
        </w:rPr>
        <w:t xml:space="preserve">׳ </w:t>
      </w:r>
      <w:proofErr w:type="spellStart"/>
      <w:r>
        <w:rPr>
          <w:rtl/>
        </w:rPr>
        <w:t>אברהם־אהרן</w:t>
      </w:r>
      <w:proofErr w:type="spellEnd"/>
      <w:r>
        <w:rPr>
          <w:rtl/>
        </w:rPr>
        <w:t xml:space="preserve"> </w:t>
      </w:r>
      <w:proofErr w:type="spellStart"/>
      <w:r>
        <w:rPr>
          <w:rtl/>
        </w:rPr>
        <w:t>בורשטין</w:t>
      </w:r>
      <w:proofErr w:type="spellEnd"/>
      <w:r>
        <w:rPr>
          <w:rtl/>
        </w:rPr>
        <w:t>, שהתנגד בעבר למוסר</w:t>
      </w:r>
      <w:bookmarkStart w:id="6650" w:name="_fnr5050"/>
      <w:r>
        <w:rPr>
          <w:rStyle w:val="a5"/>
        </w:rPr>
        <w:footnoteReference w:id="5063" w:customMarkFollows="0"/>
      </w:r>
      <w:bookmarkEnd w:id="6650"/>
      <w:r>
        <w:rPr>
          <w:rtl/>
        </w:rPr>
        <w:t xml:space="preserve">, שום סיכוי לכהן שם כרב בשלווה. השווה </w:t>
      </w:r>
      <w:proofErr w:type="spellStart"/>
      <w:r>
        <w:rPr>
          <w:rtl/>
        </w:rPr>
        <w:t>קנציפולסקי</w:t>
      </w:r>
      <w:bookmarkStart w:id="6651" w:name="_fnr5051"/>
      <w:proofErr w:type="spellEnd"/>
      <w:r>
        <w:rPr>
          <w:rStyle w:val="a5"/>
        </w:rPr>
        <w:footnoteReference w:id="5064" w:customMarkFollows="0"/>
      </w:r>
      <w:bookmarkEnd w:id="6651"/>
      <w:r>
        <w:rPr>
          <w:rtl/>
        </w:rPr>
        <w:t xml:space="preserve">, האומר: “מאחר שר׳ </w:t>
      </w:r>
      <w:proofErr w:type="spellStart"/>
      <w:r>
        <w:rPr>
          <w:rtl/>
        </w:rPr>
        <w:t>אברהם־אהרן</w:t>
      </w:r>
      <w:proofErr w:type="spellEnd"/>
      <w:r>
        <w:rPr>
          <w:rtl/>
        </w:rPr>
        <w:t xml:space="preserve"> </w:t>
      </w:r>
      <w:proofErr w:type="spellStart"/>
      <w:r>
        <w:rPr>
          <w:rtl/>
        </w:rPr>
        <w:t>בורשטין</w:t>
      </w:r>
      <w:proofErr w:type="spellEnd"/>
      <w:r>
        <w:rPr>
          <w:rtl/>
        </w:rPr>
        <w:t xml:space="preserve"> פרסם זמן מה קודם לכן מאמרים נגד המוסר, פרצה בעיר מחלוקת גדולה [כשבא אליה]. ר׳ יוזל ואנשיו רדפו אותו מאוד; הוא נאלץ לעזוב את העיר”.</w:t>
      </w:r>
    </w:p>
    <w:p w14:paraId="1E16772A" w14:textId="77777777" w:rsidR="00AB3647" w:rsidRDefault="00000000" w:rsidP="007923E9">
      <w:pPr>
        <w:spacing w:after="120" w:line="276" w:lineRule="auto"/>
        <w:ind w:firstLine="283"/>
        <w:jc w:val="both"/>
      </w:pPr>
      <w:r>
        <w:rPr>
          <w:rtl/>
        </w:rPr>
        <w:t xml:space="preserve">מאמר מאת ד״ר </w:t>
      </w:r>
      <w:proofErr w:type="spellStart"/>
      <w:r>
        <w:rPr>
          <w:rtl/>
        </w:rPr>
        <w:t>שמואל־שרגא</w:t>
      </w:r>
      <w:proofErr w:type="spellEnd"/>
      <w:r>
        <w:rPr>
          <w:rtl/>
        </w:rPr>
        <w:t xml:space="preserve"> </w:t>
      </w:r>
      <w:proofErr w:type="spellStart"/>
      <w:r>
        <w:rPr>
          <w:rtl/>
        </w:rPr>
        <w:t>ביאלובלוצקי</w:t>
      </w:r>
      <w:proofErr w:type="spellEnd"/>
      <w:r>
        <w:rPr>
          <w:rtl/>
        </w:rPr>
        <w:t xml:space="preserve"> </w:t>
      </w:r>
      <w:proofErr w:type="spellStart"/>
      <w:r>
        <w:rPr>
          <w:rtl/>
        </w:rPr>
        <w:t>ב“יהדות</w:t>
      </w:r>
      <w:proofErr w:type="spellEnd"/>
      <w:r>
        <w:rPr>
          <w:rtl/>
        </w:rPr>
        <w:t xml:space="preserve"> ליטא”</w:t>
      </w:r>
      <w:bookmarkStart w:id="6652" w:name="_fnr5052"/>
      <w:r>
        <w:rPr>
          <w:rStyle w:val="a5"/>
        </w:rPr>
        <w:footnoteReference w:id="5065" w:customMarkFollows="0"/>
      </w:r>
      <w:bookmarkEnd w:id="6652"/>
      <w:r>
        <w:rPr>
          <w:rtl/>
        </w:rPr>
        <w:t xml:space="preserve"> אומר שר׳ יוזל “הסכים בתחילה שענייני התורה בישיבת </w:t>
      </w:r>
      <w:proofErr w:type="spellStart"/>
      <w:r>
        <w:rPr>
          <w:rtl/>
        </w:rPr>
        <w:t>נובהרדוק</w:t>
      </w:r>
      <w:proofErr w:type="spellEnd"/>
      <w:r>
        <w:rPr>
          <w:rtl/>
        </w:rPr>
        <w:t xml:space="preserve"> יוכרעו בידי ר׳ </w:t>
      </w:r>
      <w:proofErr w:type="spellStart"/>
      <w:r>
        <w:rPr>
          <w:rtl/>
        </w:rPr>
        <w:t>אברהם־אהרן</w:t>
      </w:r>
      <w:proofErr w:type="spellEnd"/>
      <w:r>
        <w:rPr>
          <w:rtl/>
        </w:rPr>
        <w:t xml:space="preserve"> </w:t>
      </w:r>
      <w:proofErr w:type="spellStart"/>
      <w:r>
        <w:rPr>
          <w:rtl/>
        </w:rPr>
        <w:t>בורשטין</w:t>
      </w:r>
      <w:proofErr w:type="spellEnd"/>
      <w:r>
        <w:rPr>
          <w:rtl/>
        </w:rPr>
        <w:t xml:space="preserve">, שישמש ראש ישיבה, ואילו ההנהלה תהיה בידיו שלו. ר׳ </w:t>
      </w:r>
      <w:proofErr w:type="spellStart"/>
      <w:r>
        <w:rPr>
          <w:rtl/>
        </w:rPr>
        <w:t>אברהם־אהרן</w:t>
      </w:r>
      <w:proofErr w:type="spellEnd"/>
      <w:r>
        <w:rPr>
          <w:rtl/>
        </w:rPr>
        <w:t xml:space="preserve"> </w:t>
      </w:r>
      <w:proofErr w:type="spellStart"/>
      <w:r>
        <w:rPr>
          <w:rtl/>
        </w:rPr>
        <w:t>בורשטין</w:t>
      </w:r>
      <w:proofErr w:type="spellEnd"/>
      <w:r>
        <w:rPr>
          <w:rtl/>
        </w:rPr>
        <w:t xml:space="preserve"> עבר [לעיר] עם משפחתו, אך [אז] איים ר׳ יוזל... להעביר את הישיבה לעיר אחרת, ועשה עצמו כמי שמתחיל בכך. כך הצליח לעורר התנגדות [לרב] בקרב חלק קטן מבני העיר. ר׳ </w:t>
      </w:r>
      <w:proofErr w:type="spellStart"/>
      <w:r>
        <w:rPr>
          <w:rtl/>
        </w:rPr>
        <w:t>אברהם־אהרן</w:t>
      </w:r>
      <w:proofErr w:type="spellEnd"/>
      <w:r>
        <w:rPr>
          <w:rtl/>
        </w:rPr>
        <w:t xml:space="preserve"> </w:t>
      </w:r>
      <w:proofErr w:type="spellStart"/>
      <w:r>
        <w:rPr>
          <w:rtl/>
        </w:rPr>
        <w:t>בורשטין</w:t>
      </w:r>
      <w:proofErr w:type="spellEnd"/>
      <w:r>
        <w:rPr>
          <w:rtl/>
        </w:rPr>
        <w:t xml:space="preserve"> החליט לעזוב את העיר, אך מאחר שבאותם ימים עדיין לא הגיעה מסילת ברזל </w:t>
      </w:r>
      <w:proofErr w:type="spellStart"/>
      <w:r>
        <w:rPr>
          <w:rtl/>
        </w:rPr>
        <w:t>לנובהרדוק</w:t>
      </w:r>
      <w:proofErr w:type="spellEnd"/>
      <w:r>
        <w:rPr>
          <w:rtl/>
        </w:rPr>
        <w:t xml:space="preserve">, היה הרב תלוי בבעלי העגלות, והם החליטו שלא להניח לגאון לצאת מן העיר. לפיכך יצא מן העיר בסתר בלילה וחזר </w:t>
      </w:r>
      <w:proofErr w:type="spellStart"/>
      <w:r>
        <w:rPr>
          <w:rtl/>
        </w:rPr>
        <w:t>לטבריג</w:t>
      </w:r>
      <w:proofErr w:type="spellEnd"/>
      <w:r>
        <w:rPr>
          <w:rtl/>
        </w:rPr>
        <w:t xml:space="preserve">”. שלא </w:t>
      </w:r>
      <w:proofErr w:type="spellStart"/>
      <w:r>
        <w:rPr>
          <w:rtl/>
        </w:rPr>
        <w:t>כקנציפולסקי</w:t>
      </w:r>
      <w:proofErr w:type="spellEnd"/>
      <w:r>
        <w:rPr>
          <w:rtl/>
        </w:rPr>
        <w:t xml:space="preserve">, “יהדות ליטא” מניח שר׳ יוזל רצה בתחילה שר׳ </w:t>
      </w:r>
      <w:proofErr w:type="spellStart"/>
      <w:r>
        <w:rPr>
          <w:rtl/>
        </w:rPr>
        <w:t>אברהם־אהרן</w:t>
      </w:r>
      <w:proofErr w:type="spellEnd"/>
      <w:r>
        <w:rPr>
          <w:rtl/>
        </w:rPr>
        <w:t xml:space="preserve"> יהיה ראש הישיבה, ואינו מסביר מדוע שינה ר׳ יוזל את דעתו. אפשר שהבין שראש ישיבה מלהיב כל כך ימשוך את הבחורים מן המוסר. כשנתמנה ר׳ </w:t>
      </w:r>
      <w:proofErr w:type="spellStart"/>
      <w:r>
        <w:rPr>
          <w:rtl/>
        </w:rPr>
        <w:t>אברהם־אהרן</w:t>
      </w:r>
      <w:proofErr w:type="spellEnd"/>
      <w:r>
        <w:rPr>
          <w:rtl/>
        </w:rPr>
        <w:t xml:space="preserve"> </w:t>
      </w:r>
      <w:proofErr w:type="spellStart"/>
      <w:r>
        <w:rPr>
          <w:rtl/>
        </w:rPr>
        <w:t>בורשטין</w:t>
      </w:r>
      <w:proofErr w:type="spellEnd"/>
      <w:r>
        <w:rPr>
          <w:rtl/>
        </w:rPr>
        <w:t xml:space="preserve"> לראש ישיבה בירושלים בשנותיו האחרונות, מסר את שיעוריו בהתלהבות רבה כל כך ובשיתוף התלמידים במידה כזאת, </w:t>
      </w:r>
      <w:proofErr w:type="spellStart"/>
      <w:r>
        <w:rPr>
          <w:rtl/>
        </w:rPr>
        <w:t>ש“שיעורו</w:t>
      </w:r>
      <w:proofErr w:type="spellEnd"/>
      <w:r>
        <w:rPr>
          <w:rtl/>
        </w:rPr>
        <w:t xml:space="preserve"> היה מתחיל ליד ארון הקודש ומסתיים ליד </w:t>
      </w:r>
      <w:r>
        <w:rPr>
          <w:rtl/>
        </w:rPr>
        <w:lastRenderedPageBreak/>
        <w:t>הדלת”</w:t>
      </w:r>
      <w:bookmarkStart w:id="6653" w:name="_fnr5053"/>
      <w:r>
        <w:rPr>
          <w:rStyle w:val="a5"/>
        </w:rPr>
        <w:footnoteReference w:id="5066" w:customMarkFollows="0"/>
      </w:r>
      <w:bookmarkEnd w:id="6653"/>
      <w:r>
        <w:rPr>
          <w:rtl/>
        </w:rPr>
        <w:t xml:space="preserve">. אפשר לשער שאילו עמד הגאון ר׳ </w:t>
      </w:r>
      <w:proofErr w:type="spellStart"/>
      <w:r>
        <w:rPr>
          <w:rtl/>
        </w:rPr>
        <w:t>אברהם־אהרן</w:t>
      </w:r>
      <w:proofErr w:type="spellEnd"/>
      <w:r>
        <w:rPr>
          <w:rtl/>
        </w:rPr>
        <w:t xml:space="preserve"> </w:t>
      </w:r>
      <w:proofErr w:type="spellStart"/>
      <w:r>
        <w:rPr>
          <w:rtl/>
        </w:rPr>
        <w:t>בורשטין</w:t>
      </w:r>
      <w:proofErr w:type="spellEnd"/>
      <w:r>
        <w:rPr>
          <w:rtl/>
        </w:rPr>
        <w:t xml:space="preserve"> בראש ישיבת האם של רשת </w:t>
      </w:r>
      <w:proofErr w:type="spellStart"/>
      <w:r>
        <w:rPr>
          <w:rtl/>
        </w:rPr>
        <w:t>נובהרדוק</w:t>
      </w:r>
      <w:proofErr w:type="spellEnd"/>
      <w:r>
        <w:rPr>
          <w:rtl/>
        </w:rPr>
        <w:t>, היה מעמדה בעולם הישיבות עולה לאין שיעור.</w:t>
      </w:r>
    </w:p>
    <w:p w14:paraId="5EE65262" w14:textId="77777777" w:rsidR="00AB3647" w:rsidRDefault="00000000" w:rsidP="007923E9">
      <w:pPr>
        <w:spacing w:after="120" w:line="276" w:lineRule="auto"/>
        <w:ind w:firstLine="283"/>
        <w:jc w:val="both"/>
      </w:pPr>
      <w:r>
        <w:rPr>
          <w:rtl/>
        </w:rPr>
        <w:t xml:space="preserve">ר׳ </w:t>
      </w:r>
      <w:proofErr w:type="spellStart"/>
      <w:r>
        <w:rPr>
          <w:rtl/>
        </w:rPr>
        <w:t xml:space="preserve">זליג</w:t>
      </w:r>
      <w:proofErr w:type="spellEnd"/>
      <w:r>
        <w:rPr>
          <w:rtl/>
        </w:rPr>
        <w:t xml:space="preserve"> סטאר</w:t>
      </w:r>
      <w:bookmarkStart w:id="6654" w:name="_fnr5054"/>
      <w:r>
        <w:rPr>
          <w:rStyle w:val="a5"/>
        </w:rPr>
        <w:footnoteReference w:id="5067" w:customMarkFollows="0"/>
      </w:r>
      <w:bookmarkEnd w:id="6654"/>
      <w:r>
        <w:rPr>
          <w:rtl/>
        </w:rPr>
        <w:t xml:space="preserve">, שהיה אז בישיבת </w:t>
      </w:r>
      <w:proofErr w:type="spellStart"/>
      <w:r>
        <w:rPr>
          <w:rtl/>
        </w:rPr>
        <w:t>נובהרדוק</w:t>
      </w:r>
      <w:proofErr w:type="spellEnd"/>
      <w:r>
        <w:rPr>
          <w:rtl/>
        </w:rPr>
        <w:t xml:space="preserve">, סיפר: “ר׳ יוזל שלח סופר לשאול שאלה [מקצועית] שהרב יצטרך לעיין בה בספרים. ר׳ יוזל יצא אז לעיר ואמר שר׳ </w:t>
      </w:r>
      <w:proofErr w:type="spellStart"/>
      <w:r>
        <w:rPr>
          <w:rtl/>
        </w:rPr>
        <w:t>אברהם־אהרן</w:t>
      </w:r>
      <w:proofErr w:type="spellEnd"/>
      <w:r>
        <w:rPr>
          <w:rtl/>
        </w:rPr>
        <w:t xml:space="preserve"> </w:t>
      </w:r>
      <w:proofErr w:type="spellStart"/>
      <w:r>
        <w:rPr>
          <w:rtl/>
        </w:rPr>
        <w:t>בורשטין</w:t>
      </w:r>
      <w:proofErr w:type="spellEnd"/>
      <w:r>
        <w:rPr>
          <w:rtl/>
        </w:rPr>
        <w:t xml:space="preserve"> אינו יודע ללמוד. ר׳ יוזל הכריז גם שרק אם הרב החדש יוכל להשיב על שאלה שישאל אחד מטובי תלמידי ישיבתו, יהיה ראוי לרבנות – כלומר, ר׳ יוזל פקפק אם ר׳ </w:t>
      </w:r>
      <w:proofErr w:type="spellStart"/>
      <w:r>
        <w:rPr>
          <w:rtl/>
        </w:rPr>
        <w:t>אברהם־אהרן</w:t>
      </w:r>
      <w:proofErr w:type="spellEnd"/>
      <w:r>
        <w:rPr>
          <w:rtl/>
        </w:rPr>
        <w:t xml:space="preserve"> </w:t>
      </w:r>
      <w:proofErr w:type="spellStart"/>
      <w:r>
        <w:rPr>
          <w:rtl/>
        </w:rPr>
        <w:t>בורשטין</w:t>
      </w:r>
      <w:proofErr w:type="spellEnd"/>
      <w:r>
        <w:rPr>
          <w:rtl/>
        </w:rPr>
        <w:t xml:space="preserve"> מלומד כבחורים הטובים בישיבתו! בקיצור, ר׳ יוזל הציגו </w:t>
      </w:r>
      <w:proofErr w:type="spellStart"/>
      <w:r>
        <w:rPr>
          <w:rtl/>
        </w:rPr>
        <w:t>כ‘עם</w:t>
      </w:r>
      <w:proofErr w:type="spellEnd"/>
      <w:r>
        <w:rPr>
          <w:rtl/>
        </w:rPr>
        <w:t xml:space="preserve"> הארץ’, ור׳ </w:t>
      </w:r>
      <w:proofErr w:type="spellStart"/>
      <w:r>
        <w:rPr>
          <w:rtl/>
        </w:rPr>
        <w:t>אברהם־אהרן</w:t>
      </w:r>
      <w:proofErr w:type="spellEnd"/>
      <w:r>
        <w:rPr>
          <w:rtl/>
        </w:rPr>
        <w:t xml:space="preserve"> נאלץ לצאת מן העיר לפני שיגרשוהו”. שאלה הלכתית שלא הייתה לרב החדש תשובה מוכנה עליה הייתה יעילה במיוחד נגד יורשו של פוסק בעל שיעור קומה עולמי כבעל “ערוך השולחן”.</w:t>
      </w:r>
    </w:p>
    <w:p w14:paraId="44F3686C" w14:textId="77777777" w:rsidR="00AB3647" w:rsidRDefault="00000000" w:rsidP="007923E9">
      <w:pPr>
        <w:spacing w:after="120" w:line="276" w:lineRule="auto"/>
        <w:ind w:firstLine="283"/>
        <w:jc w:val="both"/>
      </w:pPr>
      <w:r>
        <w:rPr>
          <w:rtl/>
        </w:rPr>
        <w:t xml:space="preserve">אבל את דברי הרב סטאר </w:t>
      </w:r>
      <w:proofErr w:type="spellStart"/>
      <w:r>
        <w:rPr>
          <w:rtl/>
        </w:rPr>
        <w:t>ש“נאלץ</w:t>
      </w:r>
      <w:proofErr w:type="spellEnd"/>
      <w:r>
        <w:rPr>
          <w:rtl/>
        </w:rPr>
        <w:t xml:space="preserve"> לצאת מן העיר לפני שיגרשוהו” יש לסייג, מפני שבהקדמת חתנו של ר׳ </w:t>
      </w:r>
      <w:proofErr w:type="spellStart"/>
      <w:r>
        <w:rPr>
          <w:rtl/>
        </w:rPr>
        <w:t>אברהם־אהרן</w:t>
      </w:r>
      <w:proofErr w:type="spellEnd"/>
      <w:r>
        <w:rPr>
          <w:rtl/>
        </w:rPr>
        <w:t xml:space="preserve"> </w:t>
      </w:r>
      <w:proofErr w:type="spellStart"/>
      <w:r>
        <w:rPr>
          <w:rtl/>
        </w:rPr>
        <w:t>בורשטין</w:t>
      </w:r>
      <w:proofErr w:type="spellEnd"/>
      <w:r>
        <w:rPr>
          <w:rtl/>
        </w:rPr>
        <w:t xml:space="preserve"> </w:t>
      </w:r>
      <w:proofErr w:type="spellStart"/>
      <w:r>
        <w:rPr>
          <w:rtl/>
        </w:rPr>
        <w:t>ל“נר</w:t>
      </w:r>
      <w:proofErr w:type="spellEnd"/>
      <w:r>
        <w:rPr>
          <w:rtl/>
        </w:rPr>
        <w:t xml:space="preserve"> אהרן”, כרך משיעוריו שנדפס לאחר פטירתו</w:t>
      </w:r>
      <w:bookmarkStart w:id="6655" w:name="_fnr5055"/>
      <w:r>
        <w:rPr>
          <w:rStyle w:val="a5"/>
        </w:rPr>
        <w:footnoteReference w:id="5068" w:customMarkFollows="0"/>
      </w:r>
      <w:bookmarkEnd w:id="6655"/>
      <w:r>
        <w:rPr>
          <w:rtl/>
        </w:rPr>
        <w:t xml:space="preserve">, משמשת עזיבתו את העיר דוגמה </w:t>
      </w:r>
      <w:proofErr w:type="spellStart"/>
      <w:r>
        <w:rPr>
          <w:rtl/>
        </w:rPr>
        <w:t>ל“יפה</w:t>
      </w:r>
      <w:proofErr w:type="spellEnd"/>
      <w:r>
        <w:rPr>
          <w:rtl/>
        </w:rPr>
        <w:t xml:space="preserve"> רוח, נקי הדעת ועדינות” שלו. “נר אהרן” מספר: “בעודו בעיר [</w:t>
      </w:r>
      <w:proofErr w:type="spellStart"/>
      <w:r>
        <w:rPr>
          <w:rtl/>
        </w:rPr>
        <w:t>נובהרדוק</w:t>
      </w:r>
      <w:proofErr w:type="spellEnd"/>
      <w:r>
        <w:rPr>
          <w:rtl/>
        </w:rPr>
        <w:t>], נודע לו שמיעוט קטן... מתנגד לו, וביקש לעזוב... אך לא עלה בידו, מפני שבעלי העגלות בעיר החליטו ביניהם שלא להוציאו בשום אופן. לכן יצא בלילה בסתר ברגל, ואילו אשתו וילדיו נשארו בעיר. כשנודע הדבר בבוקר, החליטו בני העיר למנוע מן המשפחה לצאת כדי להשיבו. אך בתחבולות רבות הצליחה הרבנית להוציא [את עצמה ואת ילדיה] מן העיר”.</w:t>
      </w:r>
    </w:p>
    <w:p w14:paraId="48F9C383" w14:textId="77777777" w:rsidR="00AB3647" w:rsidRDefault="00000000" w:rsidP="007923E9">
      <w:pPr>
        <w:spacing w:after="120" w:line="276" w:lineRule="auto"/>
        <w:ind w:firstLine="283"/>
        <w:jc w:val="both"/>
      </w:pPr>
      <w:r>
        <w:rPr>
          <w:rtl/>
        </w:rPr>
        <w:t xml:space="preserve">תיאור מאורעות זה מתאים לדיווח </w:t>
      </w:r>
      <w:proofErr w:type="spellStart"/>
      <w:r>
        <w:rPr>
          <w:rtl/>
        </w:rPr>
        <w:t>ב“יהדות</w:t>
      </w:r>
      <w:proofErr w:type="spellEnd"/>
      <w:r>
        <w:rPr>
          <w:rtl/>
        </w:rPr>
        <w:t xml:space="preserve"> ליטא” שרק “חלק קטן מבני העיר” עמד לצד ר׳ יוזל – כנראה היו אלה המשכירים </w:t>
      </w:r>
      <w:proofErr w:type="spellStart"/>
      <w:r>
        <w:rPr>
          <w:rtl/>
        </w:rPr>
        <w:t>סטאנציעס</w:t>
      </w:r>
      <w:proofErr w:type="spellEnd"/>
      <w:r>
        <w:rPr>
          <w:rtl/>
        </w:rPr>
        <w:t xml:space="preserve"> לתלמידים, שחששו שהכנסתם תקטן אם תצא הישיבה מן העיר</w:t>
      </w:r>
      <w:bookmarkStart w:id="6656" w:name="_fnr5056"/>
      <w:r>
        <w:rPr>
          <w:rStyle w:val="a5"/>
        </w:rPr>
        <w:footnoteReference w:id="5069" w:customMarkFollows="0"/>
      </w:r>
      <w:bookmarkEnd w:id="6656"/>
      <w:r>
        <w:rPr>
          <w:rtl/>
        </w:rPr>
        <w:t xml:space="preserve">. העובדה שר׳ </w:t>
      </w:r>
      <w:proofErr w:type="spellStart"/>
      <w:r>
        <w:rPr>
          <w:rtl/>
        </w:rPr>
        <w:t>אברהם־אהרן</w:t>
      </w:r>
      <w:proofErr w:type="spellEnd"/>
      <w:r>
        <w:rPr>
          <w:rtl/>
        </w:rPr>
        <w:t xml:space="preserve"> כבר הביא את משפחתו </w:t>
      </w:r>
      <w:proofErr w:type="spellStart"/>
      <w:r>
        <w:rPr>
          <w:rtl/>
        </w:rPr>
        <w:t>לנובהרדוק</w:t>
      </w:r>
      <w:proofErr w:type="spellEnd"/>
      <w:r>
        <w:rPr>
          <w:rtl/>
        </w:rPr>
        <w:t xml:space="preserve"> מוכיחה בבירור שכבר לא היה מועמד בלבד, ושהעיר בעיקרה עמדה לצדו. מנהיגי ההתנגדות אליו – אנשי המוסר ותומכיהם בעלי העניין – היו רק מחרחרי ריב, בלי כוח “לגרשו”, כדברי הרב סטאר. הרב סטאר, שהיה אז בחור צעיר, ראה את המאורעות מבעד לאספקלריה של ישיבת </w:t>
      </w:r>
      <w:proofErr w:type="spellStart"/>
      <w:r>
        <w:rPr>
          <w:rtl/>
        </w:rPr>
        <w:t>נובהרדוק</w:t>
      </w:r>
      <w:proofErr w:type="spellEnd"/>
      <w:r>
        <w:rPr>
          <w:rtl/>
        </w:rPr>
        <w:t xml:space="preserve"> שבה למד, וכך תואר שם המצב בעיר. אבל למעשה עזב ר׳ </w:t>
      </w:r>
      <w:proofErr w:type="spellStart"/>
      <w:r>
        <w:rPr>
          <w:rtl/>
        </w:rPr>
        <w:t>אברהם־אהרן</w:t>
      </w:r>
      <w:proofErr w:type="spellEnd"/>
      <w:r>
        <w:rPr>
          <w:rtl/>
        </w:rPr>
        <w:t xml:space="preserve"> </w:t>
      </w:r>
      <w:proofErr w:type="spellStart"/>
      <w:r>
        <w:rPr>
          <w:rtl/>
        </w:rPr>
        <w:t>בורשטין</w:t>
      </w:r>
      <w:proofErr w:type="spellEnd"/>
      <w:r>
        <w:rPr>
          <w:rtl/>
        </w:rPr>
        <w:t xml:space="preserve"> מפני שהיה עדין מכדי להסתבך במחלוקת.</w:t>
      </w:r>
    </w:p>
    <w:p w14:paraId="30CE4EFC" w14:textId="7ADC608F" w:rsidR="00AB3647" w:rsidRDefault="00000000" w:rsidP="007923E9">
      <w:pPr>
        <w:spacing w:after="120" w:line="276" w:lineRule="auto"/>
        <w:ind w:firstLine="283"/>
        <w:jc w:val="both"/>
      </w:pPr>
      <w:r>
        <w:rPr>
          <w:rtl/>
        </w:rPr>
        <w:t>ברשימותיו של ר׳ משה גרוסמן</w:t>
      </w:r>
      <w:bookmarkStart w:id="6657" w:name="_fnr5057"/>
      <w:r>
        <w:rPr>
          <w:rStyle w:val="a5"/>
        </w:rPr>
        <w:footnoteReference w:id="5070" w:customMarkFollows="0"/>
      </w:r>
      <w:bookmarkEnd w:id="6657"/>
      <w:r>
        <w:rPr>
          <w:rtl/>
        </w:rPr>
        <w:t xml:space="preserve"> מובא בשם ר׳ </w:t>
      </w:r>
      <w:proofErr w:type="spellStart"/>
      <w:r>
        <w:rPr>
          <w:rtl/>
        </w:rPr>
        <w:t>יעקב־יצחק</w:t>
      </w:r>
      <w:proofErr w:type="spellEnd"/>
      <w:r>
        <w:rPr>
          <w:rtl/>
        </w:rPr>
        <w:t xml:space="preserve"> </w:t>
      </w:r>
      <w:proofErr w:type="spellStart"/>
      <w:r>
        <w:rPr>
          <w:rtl/>
        </w:rPr>
        <w:t>רודרמן</w:t>
      </w:r>
      <w:proofErr w:type="spellEnd"/>
      <w:r>
        <w:rPr>
          <w:rtl/>
        </w:rPr>
        <w:t xml:space="preserve"> שאנשי המוסר – כלומר, תלמידי ישיבת </w:t>
      </w:r>
      <w:proofErr w:type="spellStart"/>
      <w:r>
        <w:rPr>
          <w:rtl/>
        </w:rPr>
        <w:t>נובהרדוק</w:t>
      </w:r>
      <w:proofErr w:type="spellEnd"/>
      <w:r>
        <w:rPr>
          <w:rtl/>
        </w:rPr>
        <w:t xml:space="preserve"> – מרחו דבק על כיסא הרב לפני שבת, והקפוטה שלו נדבקה אליו; הוא נאלץ להשאיר את בגדו בבית הכנסת עד מוצאי שבת, ובאותו לילה עזב את העיר. המאמר </w:t>
      </w:r>
      <w:proofErr w:type="spellStart"/>
      <w:r>
        <w:rPr>
          <w:rtl/>
        </w:rPr>
        <w:t>ב“יהדות</w:t>
      </w:r>
      <w:proofErr w:type="spellEnd"/>
      <w:r>
        <w:rPr>
          <w:rtl/>
        </w:rPr>
        <w:t xml:space="preserve"> ליטא”</w:t>
      </w:r>
      <w:bookmarkStart w:id="6658" w:name="_fnr5058"/>
      <w:r>
        <w:rPr>
          <w:rStyle w:val="a5"/>
        </w:rPr>
        <w:footnoteReference w:id="5071" w:customMarkFollows="0"/>
      </w:r>
      <w:bookmarkEnd w:id="6658"/>
      <w:r>
        <w:rPr>
          <w:rtl/>
        </w:rPr>
        <w:t xml:space="preserve"> אומר על ר׳ </w:t>
      </w:r>
      <w:proofErr w:type="spellStart"/>
      <w:r>
        <w:rPr>
          <w:rtl/>
        </w:rPr>
        <w:t>אברהם־אהרן</w:t>
      </w:r>
      <w:proofErr w:type="spellEnd"/>
      <w:r>
        <w:rPr>
          <w:rtl/>
        </w:rPr>
        <w:t xml:space="preserve"> </w:t>
      </w:r>
      <w:proofErr w:type="spellStart"/>
      <w:r>
        <w:rPr>
          <w:rtl/>
        </w:rPr>
        <w:t>בורשטין</w:t>
      </w:r>
      <w:proofErr w:type="spellEnd"/>
      <w:r>
        <w:rPr>
          <w:rtl/>
        </w:rPr>
        <w:t xml:space="preserve"> </w:t>
      </w:r>
      <w:proofErr w:type="spellStart"/>
      <w:r>
        <w:rPr>
          <w:rtl/>
        </w:rPr>
        <w:t>ש“כשהיה</w:t>
      </w:r>
      <w:proofErr w:type="spellEnd"/>
      <w:r>
        <w:rPr>
          <w:rtl/>
        </w:rPr>
        <w:t xml:space="preserve"> מקבל כתב רבנות </w:t>
      </w:r>
      <w:r>
        <w:rPr>
          <w:rtl/>
        </w:rPr>
        <w:lastRenderedPageBreak/>
        <w:t xml:space="preserve">מעיר גדולה, כתוב וחתום בידי כל טובי העיר, ונודע לו שרב [אחר] מבקש את המשרה – אף אם ידע שרוב מניינה ובניינה של העיר אינו רוצה באותו רב – היה מסיר את מועמדותו לאותה רבנות”. אדם עדין כל כך לא היה מעלה על דעתו אף לרגע להישאר במקום שבו יכול לקרות מעשה מחפיר כמו זה שנעשה לו, והוא ברח. השווה גם פרק 3, </w:t>
      </w:r>
      <w:r>
        <w:rPr>
          <w:rtl/>
        </w:rPr>
        <w:fldChar w:fldCharType="begin" w:dirty="true"/>
      </w:r>
      <w:r>
        <w:rPr>
          <w:rtl/>
        </w:rPr>
        <w:instrText xml:space="preserve"> REF b3_excG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ז</w:t>
      </w:r>
      <w:r>
        <w:rPr>
          <w:rtl/>
        </w:rPr>
        <w:fldChar w:fldCharType="end"/>
      </w:r>
      <w:r>
        <w:rPr>
          <w:rtl/>
        </w:rPr>
        <w:t xml:space="preserve">, על מידותיו הנאות של ר׳ </w:t>
      </w:r>
      <w:proofErr w:type="spellStart"/>
      <w:r>
        <w:rPr>
          <w:rtl/>
        </w:rPr>
        <w:t>אברהם־אהרן</w:t>
      </w:r>
      <w:proofErr w:type="spellEnd"/>
      <w:r>
        <w:rPr>
          <w:rtl/>
        </w:rPr>
        <w:t xml:space="preserve"> </w:t>
      </w:r>
      <w:proofErr w:type="spellStart"/>
      <w:r>
        <w:rPr>
          <w:rtl/>
        </w:rPr>
        <w:t>בורשטין</w:t>
      </w:r>
      <w:proofErr w:type="spellEnd"/>
      <w:r>
        <w:rPr>
          <w:rtl/>
        </w:rPr>
        <w:t>. הרב סטאר לא סיפר את מעשה הקפוטה מפני שכנראה לא ידע שהתרחש: מעשה נבזי כזה ודאי נעשה ביוזמה פרטית של מישהו, וחוג הישיבה לא נטל עליו ‘קרדיט’ רשמי. הסיפור ודאי היה מביש מכדי להזכירו, והתלמידים המבוגרים והבקיאים בישיבה העלימו אותו.</w:t>
      </w:r>
    </w:p>
    <w:p w14:paraId="75B8DD94" w14:textId="737151AC" w:rsidR="00AB3647" w:rsidRDefault="00000000" w:rsidP="007923E9">
      <w:pPr>
        <w:spacing w:after="120" w:line="276" w:lineRule="auto"/>
        <w:ind w:firstLine="283"/>
        <w:jc w:val="both"/>
      </w:pPr>
      <w:proofErr w:type="spellStart"/>
      <w:r>
        <w:rPr>
          <w:rtl/>
        </w:rPr>
        <w:t>דבורץ</w:t>
      </w:r>
      <w:proofErr w:type="spellEnd"/>
      <w:r>
        <w:rPr>
          <w:rtl/>
        </w:rPr>
        <w:t>, “הגאון רבי משה מרדכי אפשטיין”</w:t>
      </w:r>
      <w:bookmarkStart w:id="6659" w:name="_fnr5059"/>
      <w:r>
        <w:rPr>
          <w:rStyle w:val="a5"/>
        </w:rPr>
        <w:footnoteReference w:id="5072" w:customMarkFollows="0"/>
      </w:r>
      <w:bookmarkEnd w:id="6659"/>
      <w:r>
        <w:rPr>
          <w:rtl/>
        </w:rPr>
        <w:t xml:space="preserve">, מציע השערה מעניינת: “המעשה רב שבהתקרבות זו – [בחורי </w:t>
      </w:r>
      <w:proofErr w:type="spellStart"/>
      <w:r>
        <w:rPr>
          <w:rtl/>
        </w:rPr>
        <w:t>סלבודקה</w:t>
      </w:r>
      <w:proofErr w:type="spellEnd"/>
      <w:r>
        <w:rPr>
          <w:rtl/>
        </w:rPr>
        <w:t xml:space="preserve"> שייסדו קיבוץ בחסות משפחת </w:t>
      </w:r>
      <w:proofErr w:type="spellStart"/>
      <w:r>
        <w:rPr>
          <w:rtl/>
        </w:rPr>
        <w:t>סולובייצ׳יק</w:t>
      </w:r>
      <w:proofErr w:type="spellEnd"/>
      <w:r>
        <w:rPr>
          <w:rtl/>
        </w:rPr>
        <w:t xml:space="preserve"> </w:t>
      </w:r>
      <w:proofErr w:type="spellStart"/>
      <w:r>
        <w:rPr>
          <w:rtl/>
        </w:rPr>
        <w:t>בראסיין</w:t>
      </w:r>
      <w:proofErr w:type="spellEnd"/>
      <w:r>
        <w:rPr>
          <w:rtl/>
        </w:rPr>
        <w:t xml:space="preserve">] – נעשה מעין ברית בין </w:t>
      </w:r>
      <w:proofErr w:type="spellStart"/>
      <w:r>
        <w:rPr>
          <w:rtl/>
        </w:rPr>
        <w:t>סלבודקה</w:t>
      </w:r>
      <w:proofErr w:type="spellEnd"/>
      <w:r>
        <w:rPr>
          <w:rtl/>
        </w:rPr>
        <w:t xml:space="preserve"> ומשטר המוסר שלה לבין מאור ישראל, רשכבה״ג, ר׳ חיים </w:t>
      </w:r>
      <w:proofErr w:type="spellStart"/>
      <w:r>
        <w:rPr>
          <w:rtl/>
        </w:rPr>
        <w:t>סולובייצ׳יק</w:t>
      </w:r>
      <w:proofErr w:type="spellEnd"/>
      <w:r>
        <w:rPr>
          <w:rtl/>
        </w:rPr>
        <w:t xml:space="preserve">, שדעתו בכל ענייני היהדות הייתה מכרעת ומקובלת בין גדולי ישראל בכל העולם. בכך נמחקו הפגמים שהטילה על המוסר המחלוקת [על המוסר] </w:t>
      </w:r>
      <w:proofErr w:type="spellStart"/>
      <w:r>
        <w:rPr>
          <w:rtl/>
        </w:rPr>
        <w:t>בתרנ״ז</w:t>
      </w:r>
      <w:bookmarkStart w:id="6660" w:name="_fnr5060"/>
      <w:proofErr w:type="spellEnd"/>
      <w:r>
        <w:rPr>
          <w:rStyle w:val="a5"/>
        </w:rPr>
        <w:footnoteReference w:id="5073" w:customMarkFollows="0"/>
      </w:r>
      <w:bookmarkEnd w:id="6660"/>
      <w:r>
        <w:rPr>
          <w:rtl/>
        </w:rPr>
        <w:t xml:space="preserve">, ותוצאותיה נמחקו לחלוטין”. לא שיקול זה הניע את הסבא כשהסכים לשלוח תלמידים – או כשיזם את שליחותם, כאמור לעיל. למעשה, סביר שלא קיבל כלל תאוריה זו, כפי שמעידה העובדה שגם באלול תרע״ג עדיין היה טרוד במחלוקות הישנות נגד המוסר, כמתואר בפרק 3, סוף </w:t>
      </w:r>
      <w:r>
        <w:rPr>
          <w:rtl/>
        </w:rPr>
        <w:fldChar w:fldCharType="begin" w:dirty="true"/>
      </w:r>
      <w:r>
        <w:rPr>
          <w:rtl/>
        </w:rPr>
        <w:instrText xml:space="preserve"> REF b3_excU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כא</w:t>
      </w:r>
      <w:proofErr w:type="spellEnd"/>
      <w:r>
        <w:rPr>
          <w:rtl/>
        </w:rPr>
        <w:fldChar w:fldCharType="end"/>
      </w:r>
      <w:r>
        <w:rPr>
          <w:rtl/>
        </w:rPr>
        <w:t>.</w:t>
      </w:r>
    </w:p>
    <w:p w14:paraId="50197445" w14:textId="77777777" w:rsidR="00AB3647" w:rsidRDefault="00000000" w:rsidP="007923E9">
      <w:pPr>
        <w:pStyle w:val="4"/>
        <w:spacing w:line="276" w:lineRule="auto"/>
      </w:pPr>
      <w:r>
        <w:t>· הפסקה השנייה ·</w:t>
      </w:r>
    </w:p>
    <w:p w14:paraId="7B8E5E7E" w14:textId="77777777" w:rsidR="00AB3647" w:rsidRDefault="00000000" w:rsidP="007923E9">
      <w:pPr>
        <w:pStyle w:val="5"/>
        <w:spacing w:line="276" w:lineRule="auto"/>
      </w:pPr>
      <w:r>
        <w:t xml:space="preserve">הערכתו הרבה של ר׳ חיים לבנו ר׳ משה – הערכתו הרבה יותר של ר׳ חיים לבנו ר׳ יצחק־זאב – הערכתו הרבה של ר׳ יוסף־דב </w:t>
      </w:r>
      <w:proofErr w:type="spellStart"/>
      <w:r>
        <w:t>סולובייצ׳יק</w:t>
      </w:r>
      <w:proofErr w:type="spellEnd"/>
      <w:r>
        <w:t xml:space="preserve"> לבנו ר׳ חיים</w:t>
      </w:r>
    </w:p>
    <w:p w14:paraId="1FCC0967" w14:textId="77777777" w:rsidR="00AB3647" w:rsidRDefault="00000000" w:rsidP="007923E9">
      <w:pPr>
        <w:spacing w:after="120" w:line="276" w:lineRule="auto"/>
        <w:ind w:firstLine="283"/>
        <w:jc w:val="both"/>
      </w:pPr>
      <w:r>
        <w:rPr>
          <w:rtl/>
        </w:rPr>
        <w:t xml:space="preserve">בניגוד לדעה הרווחת </w:t>
      </w:r>
      <w:proofErr w:type="spellStart"/>
      <w:r>
        <w:rPr>
          <w:rtl/>
        </w:rPr>
        <w:t>בראסיין</w:t>
      </w:r>
      <w:proofErr w:type="spellEnd"/>
      <w:r>
        <w:rPr>
          <w:rtl/>
        </w:rPr>
        <w:t xml:space="preserve"> על ר׳ משה, ר׳ חיים לא סבר שבנו אינו מסוגל למלא את מקומו של ר׳ </w:t>
      </w:r>
      <w:proofErr w:type="spellStart"/>
      <w:r>
        <w:rPr>
          <w:rtl/>
        </w:rPr>
        <w:t>אלכסנדר־משה</w:t>
      </w:r>
      <w:proofErr w:type="spellEnd"/>
      <w:r>
        <w:rPr>
          <w:rtl/>
        </w:rPr>
        <w:t xml:space="preserve"> לפידות. עד כמה העריך ר׳ חיים את ר׳ משה אפשר ללמוד ממה שסיפר ר׳ ישראל </w:t>
      </w:r>
      <w:proofErr w:type="spellStart"/>
      <w:r>
        <w:rPr>
          <w:rtl/>
        </w:rPr>
        <w:t>שורין</w:t>
      </w:r>
      <w:bookmarkStart w:id="6661" w:name="_fnr5061"/>
      <w:proofErr w:type="spellEnd"/>
      <w:r>
        <w:rPr>
          <w:rStyle w:val="a5"/>
        </w:rPr>
        <w:footnoteReference w:id="5074" w:customMarkFollows="0"/>
      </w:r>
      <w:bookmarkEnd w:id="6661"/>
      <w:r>
        <w:rPr>
          <w:rtl/>
        </w:rPr>
        <w:t xml:space="preserve"> ששמע מר׳ </w:t>
      </w:r>
      <w:proofErr w:type="spellStart"/>
      <w:r>
        <w:rPr>
          <w:rtl/>
        </w:rPr>
        <w:t>אורצ׳יק</w:t>
      </w:r>
      <w:proofErr w:type="spellEnd"/>
      <w:r>
        <w:rPr>
          <w:rtl/>
        </w:rPr>
        <w:t xml:space="preserve"> </w:t>
      </w:r>
      <w:proofErr w:type="spellStart"/>
      <w:r>
        <w:rPr>
          <w:rtl/>
        </w:rPr>
        <w:t>צעלקער</w:t>
      </w:r>
      <w:proofErr w:type="spellEnd"/>
      <w:r>
        <w:rPr>
          <w:rtl/>
        </w:rPr>
        <w:t xml:space="preserve">, משולח של ישיבת תורת חיים בירושלים לפני מלחמת העולם הראשונה, שר׳ חיים </w:t>
      </w:r>
      <w:proofErr w:type="spellStart"/>
      <w:r>
        <w:rPr>
          <w:rtl/>
        </w:rPr>
        <w:t>סולובייצ׳יק</w:t>
      </w:r>
      <w:proofErr w:type="spellEnd"/>
      <w:r>
        <w:rPr>
          <w:rtl/>
        </w:rPr>
        <w:t xml:space="preserve"> היה נאמנה</w:t>
      </w:r>
      <w:bookmarkStart w:id="6662" w:name="_fnr5062"/>
      <w:r>
        <w:rPr>
          <w:rStyle w:val="a5"/>
        </w:rPr>
        <w:footnoteReference w:id="5075" w:customMarkFollows="0"/>
      </w:r>
      <w:bookmarkEnd w:id="6662"/>
      <w:r>
        <w:rPr>
          <w:rtl/>
        </w:rPr>
        <w:t xml:space="preserve">. כשדיבר על דחיפת בנו </w:t>
      </w:r>
      <w:proofErr w:type="spellStart"/>
      <w:r>
        <w:rPr>
          <w:rtl/>
        </w:rPr>
        <w:t>לראסיין</w:t>
      </w:r>
      <w:proofErr w:type="spellEnd"/>
      <w:r>
        <w:rPr>
          <w:rtl/>
        </w:rPr>
        <w:t xml:space="preserve">, אמר ר׳ חיים לרב </w:t>
      </w:r>
      <w:proofErr w:type="spellStart"/>
      <w:r>
        <w:rPr>
          <w:rtl/>
        </w:rPr>
        <w:t>צעלקער</w:t>
      </w:r>
      <w:proofErr w:type="spellEnd"/>
      <w:r>
        <w:rPr>
          <w:rtl/>
        </w:rPr>
        <w:t xml:space="preserve"> שר׳ משה “יודע ללמוד יותר מכל רבני </w:t>
      </w:r>
      <w:proofErr w:type="spellStart"/>
      <w:r>
        <w:rPr>
          <w:rtl/>
        </w:rPr>
        <w:t>זאמוט</w:t>
      </w:r>
      <w:proofErr w:type="spellEnd"/>
      <w:r>
        <w:rPr>
          <w:rtl/>
        </w:rPr>
        <w:t xml:space="preserve">”. כששאלו הרב </w:t>
      </w:r>
      <w:proofErr w:type="spellStart"/>
      <w:r>
        <w:rPr>
          <w:rtl/>
        </w:rPr>
        <w:t>צעלקער</w:t>
      </w:r>
      <w:proofErr w:type="spellEnd"/>
      <w:r>
        <w:rPr>
          <w:rtl/>
        </w:rPr>
        <w:t xml:space="preserve">: “כוונתך ליותר מר׳ </w:t>
      </w:r>
      <w:proofErr w:type="spellStart"/>
      <w:r>
        <w:rPr>
          <w:rtl/>
        </w:rPr>
        <w:t>אברהם־אהרן</w:t>
      </w:r>
      <w:proofErr w:type="spellEnd"/>
      <w:r>
        <w:rPr>
          <w:rtl/>
        </w:rPr>
        <w:t xml:space="preserve"> [</w:t>
      </w:r>
      <w:proofErr w:type="spellStart"/>
      <w:r>
        <w:rPr>
          <w:rtl/>
        </w:rPr>
        <w:t>בורשטין</w:t>
      </w:r>
      <w:proofErr w:type="spellEnd"/>
      <w:r>
        <w:rPr>
          <w:rtl/>
        </w:rPr>
        <w:t xml:space="preserve">] </w:t>
      </w:r>
      <w:proofErr w:type="spellStart"/>
      <w:r>
        <w:rPr>
          <w:rtl/>
        </w:rPr>
        <w:t>מטבריג</w:t>
      </w:r>
      <w:bookmarkStart w:id="6663" w:name="_fnr5063"/>
      <w:proofErr w:type="spellEnd"/>
      <w:r>
        <w:rPr>
          <w:rStyle w:val="a5"/>
        </w:rPr>
        <w:footnoteReference w:id="5076" w:customMarkFollows="0"/>
      </w:r>
      <w:bookmarkEnd w:id="6663"/>
      <w:r>
        <w:rPr>
          <w:rtl/>
        </w:rPr>
        <w:t xml:space="preserve">?”, השיב ר׳ חיים: “גם יותר ממנו”. אבל כשהוסיף הרב </w:t>
      </w:r>
      <w:proofErr w:type="spellStart"/>
      <w:r>
        <w:rPr>
          <w:rtl/>
        </w:rPr>
        <w:t>צעלקער</w:t>
      </w:r>
      <w:proofErr w:type="spellEnd"/>
      <w:r>
        <w:rPr>
          <w:rtl/>
        </w:rPr>
        <w:t xml:space="preserve"> ושאל: “יותר מר׳ </w:t>
      </w:r>
      <w:proofErr w:type="spellStart"/>
      <w:r>
        <w:rPr>
          <w:rtl/>
        </w:rPr>
        <w:t>איצל׳ה</w:t>
      </w:r>
      <w:proofErr w:type="spellEnd"/>
      <w:r>
        <w:rPr>
          <w:rtl/>
        </w:rPr>
        <w:t xml:space="preserve"> </w:t>
      </w:r>
      <w:proofErr w:type="spellStart"/>
      <w:r>
        <w:rPr>
          <w:rtl/>
        </w:rPr>
        <w:t>פוניבז׳ער</w:t>
      </w:r>
      <w:proofErr w:type="spellEnd"/>
      <w:r>
        <w:rPr>
          <w:rtl/>
        </w:rPr>
        <w:t>?”, חזר בו ר׳ חיים ואמר: “חס ושלום!”</w:t>
      </w:r>
    </w:p>
    <w:p w14:paraId="7191712F" w14:textId="77777777" w:rsidR="00AB3647" w:rsidRDefault="00000000" w:rsidP="007923E9">
      <w:pPr>
        <w:spacing w:after="120" w:line="276" w:lineRule="auto"/>
        <w:ind w:firstLine="283"/>
        <w:jc w:val="both"/>
      </w:pPr>
      <w:r>
        <w:rPr>
          <w:rtl/>
        </w:rPr>
        <w:t>“</w:t>
      </w:r>
      <w:proofErr w:type="spellStart"/>
      <w:r>
        <w:rPr>
          <w:rtl/>
        </w:rPr>
        <w:t>אהלי</w:t>
      </w:r>
      <w:proofErr w:type="spellEnd"/>
      <w:r>
        <w:rPr>
          <w:rtl/>
        </w:rPr>
        <w:t xml:space="preserve"> שם”, ספר שר׳ חיים נתן לו מכתב הסכמה המעיד שהכיר את מחברו אישית, הוכן לדפוס בערך בזמן שנתקבל ר׳ משה לרב </w:t>
      </w:r>
      <w:proofErr w:type="spellStart"/>
      <w:r>
        <w:rPr>
          <w:rtl/>
        </w:rPr>
        <w:t>בראסיין</w:t>
      </w:r>
      <w:proofErr w:type="spellEnd"/>
      <w:r>
        <w:rPr>
          <w:rtl/>
        </w:rPr>
        <w:t>. המחבר מספר</w:t>
      </w:r>
      <w:bookmarkStart w:id="6664" w:name="_fnr5064"/>
      <w:r>
        <w:rPr>
          <w:rStyle w:val="a5"/>
        </w:rPr>
        <w:footnoteReference w:id="5077" w:customMarkFollows="0"/>
      </w:r>
      <w:bookmarkEnd w:id="6664"/>
      <w:r>
        <w:rPr>
          <w:rtl/>
        </w:rPr>
        <w:t xml:space="preserve"> במאמר מוסגר שקיבל </w:t>
      </w:r>
      <w:r>
        <w:rPr>
          <w:rtl/>
        </w:rPr>
        <w:lastRenderedPageBreak/>
        <w:t>הוראות מר׳ חיים – “הייתי אנוס על פי אזהרה [שלו]” – מה לכתוב ברשימה הקצרה עליו (כפי שיש על כל רב ורב בעולם). יש להניח שר׳ חיים הורה גם מה לכתוב שם על ילדיו. “</w:t>
      </w:r>
      <w:proofErr w:type="spellStart"/>
      <w:r>
        <w:rPr>
          <w:rtl/>
        </w:rPr>
        <w:t>אהלי</w:t>
      </w:r>
      <w:proofErr w:type="spellEnd"/>
      <w:r>
        <w:rPr>
          <w:rtl/>
        </w:rPr>
        <w:t xml:space="preserve"> שם” משבח מאוד את ר׳ משה, אבל ר׳ יצחק־זאב, האח הצעיר שירש לימים את אביו ברבנות </w:t>
      </w:r>
      <w:proofErr w:type="spellStart"/>
      <w:r>
        <w:rPr>
          <w:rtl/>
        </w:rPr>
        <w:t>בריסק</w:t>
      </w:r>
      <w:proofErr w:type="spellEnd"/>
      <w:r>
        <w:rPr>
          <w:rtl/>
        </w:rPr>
        <w:t xml:space="preserve">, זוכה לשבחים מופלגים יותר. אך השווה גם “קשת </w:t>
      </w:r>
      <w:proofErr w:type="spellStart"/>
      <w:r>
        <w:rPr>
          <w:rtl/>
        </w:rPr>
        <w:t>גבורים</w:t>
      </w:r>
      <w:proofErr w:type="spellEnd"/>
      <w:r>
        <w:rPr>
          <w:rtl/>
        </w:rPr>
        <w:t>”</w:t>
      </w:r>
      <w:bookmarkStart w:id="6665" w:name="_fnr5065"/>
      <w:r>
        <w:rPr>
          <w:rStyle w:val="a5"/>
        </w:rPr>
        <w:footnoteReference w:id="5078" w:customMarkFollows="0"/>
      </w:r>
      <w:bookmarkEnd w:id="6665"/>
      <w:r>
        <w:rPr>
          <w:rtl/>
        </w:rPr>
        <w:t xml:space="preserve">, המספר שר׳ יצחק־זאב ירש את אביו </w:t>
      </w:r>
      <w:proofErr w:type="spellStart"/>
      <w:r>
        <w:rPr>
          <w:rtl/>
        </w:rPr>
        <w:t>בבריסק</w:t>
      </w:r>
      <w:proofErr w:type="spellEnd"/>
      <w:r>
        <w:rPr>
          <w:rtl/>
        </w:rPr>
        <w:t xml:space="preserve"> (אחרי שנה שבילה בוורשה לאחר פטירת ר׳ חיים) </w:t>
      </w:r>
      <w:r>
        <w:rPr>
          <w:b/>
          <w:bCs/>
          <w:rtl/>
        </w:rPr>
        <w:t>רק מפני</w:t>
      </w:r>
      <w:r>
        <w:rPr>
          <w:rtl/>
        </w:rPr>
        <w:t xml:space="preserve"> שר׳ משה לא יכול היה לחצות את הגבול שלאחר מלחמת העולם, כדי להגיע </w:t>
      </w:r>
      <w:proofErr w:type="spellStart"/>
      <w:r>
        <w:rPr>
          <w:rtl/>
        </w:rPr>
        <w:t>מחסלוויץ</w:t>
      </w:r>
      <w:proofErr w:type="spellEnd"/>
      <w:r>
        <w:rPr>
          <w:rtl/>
        </w:rPr>
        <w:t xml:space="preserve">׳ שברוסיה </w:t>
      </w:r>
      <w:proofErr w:type="spellStart"/>
      <w:r>
        <w:rPr>
          <w:rtl/>
        </w:rPr>
        <w:t>לבריסק</w:t>
      </w:r>
      <w:proofErr w:type="spellEnd"/>
      <w:r>
        <w:rPr>
          <w:rtl/>
        </w:rPr>
        <w:t>, שהייתה עתה בפולין, עד שנתיים אחרי פטירת אביהם.</w:t>
      </w:r>
    </w:p>
    <w:p w14:paraId="73AFFDD3" w14:textId="77777777" w:rsidR="00AB3647" w:rsidRDefault="00000000" w:rsidP="007923E9">
      <w:pPr>
        <w:spacing w:after="120" w:line="276" w:lineRule="auto"/>
        <w:ind w:firstLine="283"/>
        <w:jc w:val="both"/>
      </w:pPr>
      <w:r>
        <w:rPr>
          <w:rtl/>
        </w:rPr>
        <w:t>בדרך אגב ברצוני להציע הסבר למה שרמז מחבר “</w:t>
      </w:r>
      <w:proofErr w:type="spellStart"/>
      <w:r>
        <w:rPr>
          <w:rtl/>
        </w:rPr>
        <w:t>אהלי</w:t>
      </w:r>
      <w:proofErr w:type="spellEnd"/>
      <w:r>
        <w:rPr>
          <w:rtl/>
        </w:rPr>
        <w:t xml:space="preserve"> שם” כשכתב</w:t>
      </w:r>
      <w:bookmarkStart w:id="6666" w:name="_fnr5066"/>
      <w:r>
        <w:rPr>
          <w:rStyle w:val="a5"/>
        </w:rPr>
        <w:footnoteReference w:id="5079" w:customMarkFollows="0"/>
      </w:r>
      <w:bookmarkEnd w:id="6666"/>
      <w:r>
        <w:rPr>
          <w:rtl/>
        </w:rPr>
        <w:t xml:space="preserve"> שהיה “אנוס על פי אזהרה של ר׳ חיים להימנע מלדבר על רוחב ועומק דעתו של ר׳ חיים כשהיה ילד בן ארבע”. ר׳ יוסף </w:t>
      </w:r>
      <w:proofErr w:type="spellStart"/>
      <w:r>
        <w:rPr>
          <w:rtl/>
        </w:rPr>
        <w:t>סולובייצ׳יק</w:t>
      </w:r>
      <w:bookmarkStart w:id="6667" w:name="_fnr5067"/>
      <w:proofErr w:type="spellEnd"/>
      <w:r>
        <w:rPr>
          <w:rStyle w:val="a5"/>
        </w:rPr>
        <w:footnoteReference w:id="5080" w:customMarkFollows="0"/>
      </w:r>
      <w:bookmarkEnd w:id="6667"/>
      <w:r>
        <w:rPr>
          <w:rtl/>
        </w:rPr>
        <w:t xml:space="preserve"> סיפר שכאשר נפטר ר׳ חיים, השיב ר׳ משה, סבו של המרואיין, על מכתב תנחומים מחתנו של </w:t>
      </w:r>
      <w:proofErr w:type="spellStart"/>
      <w:r>
        <w:rPr>
          <w:rtl/>
        </w:rPr>
        <w:t>החפץ־חיים</w:t>
      </w:r>
      <w:proofErr w:type="spellEnd"/>
      <w:r>
        <w:rPr>
          <w:rtl/>
        </w:rPr>
        <w:t xml:space="preserve">, ר׳ הירש </w:t>
      </w:r>
      <w:proofErr w:type="spellStart"/>
      <w:r>
        <w:rPr>
          <w:rtl/>
        </w:rPr>
        <w:t>לוינסון</w:t>
      </w:r>
      <w:proofErr w:type="spellEnd"/>
      <w:r>
        <w:rPr>
          <w:rtl/>
        </w:rPr>
        <w:t>, וגילה בו: כאשר היה ר׳ חיים בן שלוש ואביו סיפר לו את מעשה אברהם אבינו והשלכתו לכבשן האש</w:t>
      </w:r>
      <w:bookmarkStart w:id="6668" w:name="_fnr5068"/>
      <w:r>
        <w:rPr>
          <w:rStyle w:val="a5"/>
        </w:rPr>
        <w:footnoteReference w:id="5081" w:customMarkFollows="0"/>
      </w:r>
      <w:bookmarkEnd w:id="6668"/>
      <w:r>
        <w:rPr>
          <w:rtl/>
        </w:rPr>
        <w:t xml:space="preserve">, אמר דבר שממנו הבין ר׳ יוסף־דב שבנו הקטן כבר מכיר את בוראו, והאב בכה משמחה. ייתכן בהחלט שלכך רמז “</w:t>
      </w:r>
      <w:proofErr w:type="spellStart"/>
      <w:r>
        <w:rPr>
          <w:rtl/>
        </w:rPr>
        <w:t>אהלי</w:t>
      </w:r>
      <w:proofErr w:type="spellEnd"/>
      <w:r>
        <w:rPr>
          <w:rtl/>
        </w:rPr>
        <w:t xml:space="preserve"> שם” (אף שלדברי המחבר היה ר׳ חיים אז בן ארבע, ולא בן שלוש). באותו מכתב לרב </w:t>
      </w:r>
      <w:proofErr w:type="spellStart"/>
      <w:r>
        <w:rPr>
          <w:rtl/>
        </w:rPr>
        <w:t>לוינסון</w:t>
      </w:r>
      <w:proofErr w:type="spellEnd"/>
      <w:r>
        <w:rPr>
          <w:rtl/>
        </w:rPr>
        <w:t xml:space="preserve"> כתב ר׳ משה: “אחרי פטירת אבי לבש אחי ר׳ </w:t>
      </w:r>
      <w:proofErr w:type="spellStart"/>
      <w:r>
        <w:rPr>
          <w:rtl/>
        </w:rPr>
        <w:t xml:space="preserve">וועלוול׳ה</w:t>
      </w:r>
      <w:proofErr w:type="spellEnd"/>
      <w:r>
        <w:rPr>
          <w:rtl/>
        </w:rPr>
        <w:t xml:space="preserve"> את אדרת הגדול בתורה שבדור</w:t>
      </w:r>
      <w:bookmarkStart w:id="6669" w:name="_fnr5069"/>
      <w:r>
        <w:rPr>
          <w:rStyle w:val="a5"/>
        </w:rPr>
        <w:footnoteReference w:id="5082" w:customMarkFollows="0"/>
      </w:r>
      <w:bookmarkEnd w:id="6669"/>
      <w:r>
        <w:rPr>
          <w:rtl/>
        </w:rPr>
        <w:t xml:space="preserve">, הבקי בכל ‘חדרי התורה’: קדשים וטהרות, נגעים </w:t>
      </w:r>
      <w:proofErr w:type="spellStart"/>
      <w:r>
        <w:rPr>
          <w:rtl/>
        </w:rPr>
        <w:t>ואהלות</w:t>
      </w:r>
      <w:proofErr w:type="spellEnd"/>
      <w:r>
        <w:rPr>
          <w:rtl/>
        </w:rPr>
        <w:t>, עירובין ומקוואות”.</w:t>
      </w:r>
    </w:p>
    <w:p w14:paraId="41A97B44" w14:textId="77777777" w:rsidR="00AB3647" w:rsidRDefault="00000000" w:rsidP="007923E9">
      <w:pPr>
        <w:spacing w:after="120" w:line="276" w:lineRule="auto"/>
        <w:ind w:firstLine="283"/>
        <w:jc w:val="both"/>
      </w:pPr>
      <w:r>
        <w:rPr>
          <w:rtl/>
        </w:rPr>
        <w:t xml:space="preserve">ביטוי להערכה הגבוהה שרחש ר׳ חיים </w:t>
      </w:r>
      <w:proofErr w:type="spellStart"/>
      <w:r>
        <w:rPr>
          <w:rtl/>
        </w:rPr>
        <w:t>לר</w:t>
      </w:r>
      <w:proofErr w:type="spellEnd"/>
      <w:r>
        <w:rPr>
          <w:rtl/>
        </w:rPr>
        <w:t xml:space="preserve">׳ יצחק־זאב – כפי שאישר האחרון – הביא ר׳ שלמה לורנץ בזיכרונותיו על ר׳ יצחק־זאב </w:t>
      </w:r>
      <w:proofErr w:type="spellStart"/>
      <w:r>
        <w:rPr>
          <w:rtl/>
        </w:rPr>
        <w:t>ב“דגלנו</w:t>
      </w:r>
      <w:proofErr w:type="spellEnd"/>
      <w:r>
        <w:rPr>
          <w:rtl/>
        </w:rPr>
        <w:t>”</w:t>
      </w:r>
      <w:bookmarkStart w:id="6670" w:name="_fnr5070"/>
      <w:r>
        <w:rPr>
          <w:rStyle w:val="a5"/>
        </w:rPr>
        <w:footnoteReference w:id="5083" w:customMarkFollows="0"/>
      </w:r>
      <w:bookmarkEnd w:id="6670"/>
      <w:r>
        <w:rPr>
          <w:rtl/>
        </w:rPr>
        <w:t xml:space="preserve">. ר׳ שלמה לורנץ כתב שר׳ יצחק־זאב אמר לו פעם: “אין לך מושג בגדלותם של גדולי התורה בדור הקודם: הפער ביני, וכן בין שאר גדולי דורנו, לבין אבי גדול מן הפער שבינך לביני”. ר׳ שלמה הקשה: “אבל שמעתי שפעם אמרת לאביך חידוש שהרשים אותו כל כך, עד שנכנס למטבח ואמר </w:t>
      </w:r>
      <w:proofErr w:type="spellStart"/>
      <w:r>
        <w:rPr>
          <w:rtl/>
        </w:rPr>
        <w:t>לאמך</w:t>
      </w:r>
      <w:proofErr w:type="spellEnd"/>
      <w:r>
        <w:rPr>
          <w:rtl/>
        </w:rPr>
        <w:t xml:space="preserve">: ‘מזל טוב, בננו יודע ללמוד יותר ממני!’”, והרב </w:t>
      </w:r>
      <w:proofErr w:type="spellStart"/>
      <w:r>
        <w:rPr>
          <w:rtl/>
        </w:rPr>
        <w:t>מבריסק</w:t>
      </w:r>
      <w:proofErr w:type="spellEnd"/>
      <w:r>
        <w:rPr>
          <w:rtl/>
        </w:rPr>
        <w:t xml:space="preserve"> השיב בלשון חידתית: “הסיפור אמת, אבל אינו נוגע [לדבריי]”. (אפשר שבעיני ר׳ יצחק־זאב לא הייתה “ידיעה ללמוד” אמת המידה היחידה </w:t>
      </w:r>
      <w:proofErr w:type="spellStart"/>
      <w:r>
        <w:rPr>
          <w:rtl/>
        </w:rPr>
        <w:t>ל“גדלות</w:t>
      </w:r>
      <w:proofErr w:type="spellEnd"/>
      <w:r>
        <w:rPr>
          <w:rtl/>
        </w:rPr>
        <w:t>”</w:t>
      </w:r>
      <w:bookmarkStart w:id="6671" w:name="_fnr5071"/>
      <w:r>
        <w:rPr>
          <w:rStyle w:val="a5"/>
        </w:rPr>
        <w:footnoteReference w:id="5084" w:customMarkFollows="0"/>
      </w:r>
      <w:bookmarkEnd w:id="6671"/>
      <w:r>
        <w:rPr>
          <w:rtl/>
        </w:rPr>
        <w:t>.)</w:t>
      </w:r>
    </w:p>
    <w:p w14:paraId="1DEAC409" w14:textId="77777777" w:rsidR="00AB3647" w:rsidRDefault="00000000" w:rsidP="007923E9">
      <w:pPr>
        <w:spacing w:after="120" w:line="276" w:lineRule="auto"/>
        <w:ind w:firstLine="283"/>
        <w:jc w:val="both"/>
      </w:pPr>
      <w:r>
        <w:rPr>
          <w:rtl/>
        </w:rPr>
        <w:t>בקשר ליחס ההערצה של ר׳ חיים לבניו, מעניין לציין ש</w:t>
      </w:r>
      <w:r>
        <w:rPr>
          <w:b/>
          <w:bCs/>
          <w:rtl/>
        </w:rPr>
        <w:t>אביו שלו</w:t>
      </w:r>
      <w:r>
        <w:rPr>
          <w:rtl/>
        </w:rPr>
        <w:t xml:space="preserve">, ר׳ יוסף־דב, רחש הערצה כזאת </w:t>
      </w:r>
      <w:r>
        <w:rPr>
          <w:b/>
          <w:bCs/>
          <w:rtl/>
        </w:rPr>
        <w:t>כלפיו</w:t>
      </w:r>
      <w:r>
        <w:rPr>
          <w:rtl/>
        </w:rPr>
        <w:t xml:space="preserve">. הדבר התגלה כשהתכונן ר׳ חיים לחתונתו בעיירה </w:t>
      </w:r>
      <w:proofErr w:type="spellStart"/>
      <w:r>
        <w:rPr>
          <w:rtl/>
        </w:rPr>
        <w:t>וולוז׳ין</w:t>
      </w:r>
      <w:proofErr w:type="spellEnd"/>
      <w:r>
        <w:rPr>
          <w:rtl/>
        </w:rPr>
        <w:t xml:space="preserve">, ור׳ יוסף־דב הורה לו להכין דבר תורה מעולה, שיישא לפני הרבנים הרבים שהיו עתידים לבוא. לפי “הראשון לשושלת </w:t>
      </w:r>
      <w:proofErr w:type="spellStart"/>
      <w:r>
        <w:rPr>
          <w:rtl/>
        </w:rPr>
        <w:t>בריסק</w:t>
      </w:r>
      <w:proofErr w:type="spellEnd"/>
      <w:r>
        <w:rPr>
          <w:rtl/>
        </w:rPr>
        <w:t>”</w:t>
      </w:r>
      <w:bookmarkStart w:id="6672" w:name="_fnr5072"/>
      <w:r>
        <w:rPr>
          <w:rStyle w:val="a5"/>
        </w:rPr>
        <w:footnoteReference w:id="5085" w:customMarkFollows="0"/>
      </w:r>
      <w:bookmarkEnd w:id="6672"/>
      <w:r>
        <w:rPr>
          <w:rtl/>
        </w:rPr>
        <w:t xml:space="preserve"> השתתפו במעמד עשרים ושישה “מגדולי הרבנים במדינה”. ר׳ יוסף־דב </w:t>
      </w:r>
      <w:r>
        <w:rPr>
          <w:rtl/>
        </w:rPr>
        <w:lastRenderedPageBreak/>
        <w:t>התרשם מדרשת בנו כל כך, עד שמסופר שאמר לאחד הרבנים האורחים: “כל הרבנים הנוכחים אינם יכולים להבין אפילו את שיחת החולין של בני, כל שכן את דברי תורתו”</w:t>
      </w:r>
      <w:bookmarkStart w:id="6673" w:name="_fnr5073"/>
      <w:r>
        <w:rPr>
          <w:rStyle w:val="a5"/>
        </w:rPr>
        <w:footnoteReference w:id="5086" w:customMarkFollows="0"/>
      </w:r>
      <w:bookmarkEnd w:id="6673"/>
      <w:r>
        <w:rPr>
          <w:rtl/>
        </w:rPr>
        <w:t>.</w:t>
      </w:r>
    </w:p>
    <w:p w14:paraId="526F4910" w14:textId="77777777" w:rsidR="00AB3647" w:rsidRDefault="00000000" w:rsidP="007923E9">
      <w:pPr>
        <w:spacing w:after="120" w:line="276" w:lineRule="auto"/>
        <w:ind w:firstLine="283"/>
        <w:jc w:val="both"/>
      </w:pPr>
      <w:r>
        <w:rPr>
          <w:rtl/>
        </w:rPr>
        <w:t>השווה גם “תורת חיים”</w:t>
      </w:r>
      <w:bookmarkStart w:id="6674" w:name="_fnr5074"/>
      <w:r>
        <w:rPr>
          <w:rStyle w:val="a5"/>
        </w:rPr>
        <w:footnoteReference w:id="5087" w:customMarkFollows="0"/>
      </w:r>
      <w:bookmarkEnd w:id="6674"/>
      <w:r>
        <w:rPr>
          <w:rtl/>
        </w:rPr>
        <w:t xml:space="preserve">. מסופר שם שר׳ יוסף־דב שאל את תלמידו ר׳ </w:t>
      </w:r>
      <w:proofErr w:type="spellStart"/>
      <w:r>
        <w:rPr>
          <w:rtl/>
        </w:rPr>
        <w:t>אריה־לייב</w:t>
      </w:r>
      <w:proofErr w:type="spellEnd"/>
      <w:r>
        <w:rPr>
          <w:rtl/>
        </w:rPr>
        <w:t xml:space="preserve"> </w:t>
      </w:r>
      <w:proofErr w:type="spellStart"/>
      <w:r>
        <w:rPr>
          <w:rtl/>
        </w:rPr>
        <w:t>פופקו</w:t>
      </w:r>
      <w:proofErr w:type="spellEnd"/>
      <w:r>
        <w:rPr>
          <w:rtl/>
        </w:rPr>
        <w:t xml:space="preserve">, בנו של </w:t>
      </w:r>
      <w:proofErr w:type="spellStart"/>
      <w:r>
        <w:rPr>
          <w:rtl/>
        </w:rPr>
        <w:t>החפץ־חיים</w:t>
      </w:r>
      <w:proofErr w:type="spellEnd"/>
      <w:r>
        <w:rPr>
          <w:rtl/>
        </w:rPr>
        <w:t>: “</w:t>
      </w:r>
      <w:proofErr w:type="spellStart"/>
      <w:r>
        <w:rPr>
          <w:rtl/>
        </w:rPr>
        <w:t>ראדינער</w:t>
      </w:r>
      <w:proofErr w:type="spellEnd"/>
      <w:r>
        <w:rPr>
          <w:rtl/>
        </w:rPr>
        <w:t xml:space="preserve">, מה דעתך על חיים [בני]?”, וכשהשיב: “ר׳ חיים יהיה גאון גדול”, התרחק ממנו רבו שישה שבועות. אחר כך הסביר ר׳ יוסף־דב: “איך העזת להפחית מערכו של בני באומרך שהוא </w:t>
      </w:r>
      <w:r>
        <w:rPr>
          <w:b/>
          <w:bCs/>
          <w:rtl/>
        </w:rPr>
        <w:t>יהיה</w:t>
      </w:r>
      <w:r>
        <w:rPr>
          <w:rtl/>
        </w:rPr>
        <w:t xml:space="preserve"> גאון, כאשר </w:t>
      </w:r>
      <w:r>
        <w:rPr>
          <w:b/>
          <w:bCs/>
          <w:rtl/>
        </w:rPr>
        <w:t>כבר הוא גאון</w:t>
      </w:r>
      <w:r>
        <w:rPr>
          <w:rtl/>
        </w:rPr>
        <w:t>?!”</w:t>
      </w:r>
      <w:bookmarkStart w:id="6675" w:name="_fnr5075"/>
      <w:bookmarkStart w:id="6676" w:name="pr_f_4953"/>
      <w:r>
        <w:rPr>
          <w:rStyle w:val="a5"/>
        </w:rPr>
        <w:footnoteReference w:id="5088" w:customMarkFollows="0"/>
      </w:r>
      <w:bookmarkEnd w:id="6675"/>
      <w:bookmarkEnd w:id="6676"/>
      <w:r>
        <w:rPr>
          <w:rtl/>
        </w:rPr>
        <w:t>.</w:t>
      </w:r>
    </w:p>
    <w:p w14:paraId="1252C2B5" w14:textId="77777777" w:rsidR="00AB3647" w:rsidRDefault="00000000" w:rsidP="007923E9">
      <w:pPr>
        <w:spacing w:after="120" w:line="276" w:lineRule="auto"/>
        <w:ind w:firstLine="283"/>
        <w:jc w:val="both"/>
      </w:pPr>
      <w:r>
        <w:rPr>
          <w:rtl/>
        </w:rPr>
        <w:t xml:space="preserve">נראה שהשיחה הזאת בין ר׳ יוסף־דב </w:t>
      </w:r>
      <w:proofErr w:type="spellStart"/>
      <w:r>
        <w:rPr>
          <w:rtl/>
        </w:rPr>
        <w:t>לר</w:t>
      </w:r>
      <w:proofErr w:type="spellEnd"/>
      <w:r>
        <w:rPr>
          <w:rtl/>
        </w:rPr>
        <w:t xml:space="preserve">׳ </w:t>
      </w:r>
      <w:proofErr w:type="spellStart"/>
      <w:r>
        <w:rPr>
          <w:rtl/>
        </w:rPr>
        <w:t>אריה־לייב</w:t>
      </w:r>
      <w:proofErr w:type="spellEnd"/>
      <w:r>
        <w:rPr>
          <w:rtl/>
        </w:rPr>
        <w:t xml:space="preserve"> </w:t>
      </w:r>
      <w:proofErr w:type="spellStart"/>
      <w:r>
        <w:rPr>
          <w:rtl/>
        </w:rPr>
        <w:t>פופקו</w:t>
      </w:r>
      <w:proofErr w:type="spellEnd"/>
      <w:r>
        <w:rPr>
          <w:rtl/>
        </w:rPr>
        <w:t xml:space="preserve"> התקיימה בין סוף תקופת </w:t>
      </w:r>
      <w:proofErr w:type="spellStart"/>
      <w:r>
        <w:rPr>
          <w:rtl/>
        </w:rPr>
        <w:t>הקעסט</w:t>
      </w:r>
      <w:proofErr w:type="spellEnd"/>
      <w:r>
        <w:rPr>
          <w:rtl/>
        </w:rPr>
        <w:t xml:space="preserve"> של ר׳ חיים לבין תחילת כהונתו בישיבת </w:t>
      </w:r>
      <w:proofErr w:type="spellStart"/>
      <w:r>
        <w:rPr>
          <w:rtl/>
        </w:rPr>
        <w:t>וולוז׳ין</w:t>
      </w:r>
      <w:proofErr w:type="spellEnd"/>
      <w:r>
        <w:rPr>
          <w:rtl/>
        </w:rPr>
        <w:t xml:space="preserve">, כלומר </w:t>
      </w:r>
      <w:proofErr w:type="spellStart"/>
      <w:r>
        <w:rPr>
          <w:rtl/>
        </w:rPr>
        <w:t>בתרל״ט</w:t>
      </w:r>
      <w:proofErr w:type="spellEnd"/>
      <w:r>
        <w:rPr>
          <w:rtl/>
        </w:rPr>
        <w:t>–</w:t>
      </w:r>
      <w:proofErr w:type="spellStart"/>
      <w:r>
        <w:rPr>
          <w:rtl/>
        </w:rPr>
        <w:t>תר״ם</w:t>
      </w:r>
      <w:proofErr w:type="spellEnd"/>
      <w:r>
        <w:rPr>
          <w:rtl/>
        </w:rPr>
        <w:t xml:space="preserve">, כשהיה בן עשרים ושש ור׳ לייב בן </w:t>
      </w:r>
      <w:proofErr w:type="spellStart"/>
      <w:r>
        <w:rPr>
          <w:rtl/>
        </w:rPr>
        <w:t>שמונה־עשרה</w:t>
      </w:r>
      <w:proofErr w:type="spellEnd"/>
      <w:r>
        <w:rPr>
          <w:rtl/>
        </w:rPr>
        <w:t xml:space="preserve">. היה זה זמן קצר אחרי שנתמנה ר׳ יוסף־דב לרבה של </w:t>
      </w:r>
      <w:proofErr w:type="spellStart"/>
      <w:r>
        <w:rPr>
          <w:rtl/>
        </w:rPr>
        <w:t>בריסק</w:t>
      </w:r>
      <w:proofErr w:type="spellEnd"/>
      <w:r>
        <w:rPr>
          <w:rtl/>
        </w:rPr>
        <w:t xml:space="preserve">. ר׳ </w:t>
      </w:r>
      <w:proofErr w:type="spellStart"/>
      <w:r>
        <w:rPr>
          <w:rtl/>
        </w:rPr>
        <w:t>אריה־לייב</w:t>
      </w:r>
      <w:proofErr w:type="spellEnd"/>
      <w:r>
        <w:rPr>
          <w:rtl/>
        </w:rPr>
        <w:t xml:space="preserve"> שהה </w:t>
      </w:r>
      <w:proofErr w:type="spellStart"/>
      <w:r>
        <w:rPr>
          <w:rtl/>
        </w:rPr>
        <w:t>בבריסק</w:t>
      </w:r>
      <w:proofErr w:type="spellEnd"/>
      <w:r>
        <w:rPr>
          <w:rtl/>
        </w:rPr>
        <w:t xml:space="preserve"> זמן קצר בלבד, מפני שבגיל </w:t>
      </w:r>
      <w:proofErr w:type="spellStart"/>
      <w:r>
        <w:rPr>
          <w:rtl/>
        </w:rPr>
        <w:t>תשע־עשרה</w:t>
      </w:r>
      <w:proofErr w:type="spellEnd"/>
      <w:r>
        <w:rPr>
          <w:rtl/>
        </w:rPr>
        <w:t xml:space="preserve"> כבר למד אצל ר׳ </w:t>
      </w:r>
      <w:proofErr w:type="spellStart"/>
      <w:r>
        <w:rPr>
          <w:rtl/>
        </w:rPr>
        <w:t>בן־ציון</w:t>
      </w:r>
      <w:proofErr w:type="spellEnd"/>
      <w:r>
        <w:rPr>
          <w:rtl/>
        </w:rPr>
        <w:t xml:space="preserve"> </w:t>
      </w:r>
      <w:proofErr w:type="spellStart"/>
      <w:r>
        <w:rPr>
          <w:rtl/>
        </w:rPr>
        <w:t>שטרנפלד</w:t>
      </w:r>
      <w:proofErr w:type="spellEnd"/>
      <w:r>
        <w:rPr>
          <w:rtl/>
        </w:rPr>
        <w:t xml:space="preserve">, שהיה אז </w:t>
      </w:r>
      <w:proofErr w:type="spellStart"/>
      <w:r>
        <w:rPr>
          <w:rtl/>
        </w:rPr>
        <w:t>בקלווריה</w:t>
      </w:r>
      <w:bookmarkStart w:id="6677" w:name="_fnr5076"/>
      <w:proofErr w:type="spellEnd"/>
      <w:r>
        <w:rPr>
          <w:rStyle w:val="a5"/>
        </w:rPr>
        <w:footnoteReference w:id="5089" w:customMarkFollows="0"/>
      </w:r>
      <w:bookmarkEnd w:id="6677"/>
      <w:r>
        <w:rPr>
          <w:rtl/>
        </w:rPr>
        <w:t xml:space="preserve">. חתונתו של ר׳ חיים התקיימה שש שנים לפני השיחה בין ר׳ יוסף־דב </w:t>
      </w:r>
      <w:proofErr w:type="spellStart"/>
      <w:r>
        <w:rPr>
          <w:rtl/>
        </w:rPr>
        <w:t>סולובייצ׳יק</w:t>
      </w:r>
      <w:proofErr w:type="spellEnd"/>
      <w:r>
        <w:rPr>
          <w:rtl/>
        </w:rPr>
        <w:t xml:space="preserve"> </w:t>
      </w:r>
      <w:proofErr w:type="spellStart"/>
      <w:r>
        <w:rPr>
          <w:rtl/>
        </w:rPr>
        <w:t>לר</w:t>
      </w:r>
      <w:proofErr w:type="spellEnd"/>
      <w:r>
        <w:rPr>
          <w:rtl/>
        </w:rPr>
        <w:t xml:space="preserve">׳ </w:t>
      </w:r>
      <w:proofErr w:type="spellStart"/>
      <w:r>
        <w:rPr>
          <w:rtl/>
        </w:rPr>
        <w:t>אריה־לייב</w:t>
      </w:r>
      <w:proofErr w:type="spellEnd"/>
      <w:r>
        <w:rPr>
          <w:rtl/>
        </w:rPr>
        <w:t xml:space="preserve"> </w:t>
      </w:r>
      <w:proofErr w:type="spellStart"/>
      <w:r>
        <w:rPr>
          <w:rtl/>
        </w:rPr>
        <w:t>פופקו</w:t>
      </w:r>
      <w:proofErr w:type="spellEnd"/>
      <w:r>
        <w:rPr>
          <w:rtl/>
        </w:rPr>
        <w:t>.</w:t>
      </w:r>
    </w:p>
    <w:p w14:paraId="0C044FB5" w14:textId="77777777" w:rsidR="00AB3647" w:rsidRDefault="00000000" w:rsidP="007923E9">
      <w:pPr>
        <w:pStyle w:val="4"/>
        <w:spacing w:line="276" w:lineRule="auto"/>
      </w:pPr>
      <w:r>
        <w:t>· הפסקה השלישית ·</w:t>
      </w:r>
    </w:p>
    <w:p w14:paraId="1C727DD7" w14:textId="77777777" w:rsidR="00AB3647" w:rsidRDefault="00000000" w:rsidP="007923E9">
      <w:pPr>
        <w:pStyle w:val="5"/>
        <w:spacing w:line="276" w:lineRule="auto"/>
      </w:pPr>
      <w:r>
        <w:t xml:space="preserve">ר׳ חיים מבקר אצל בנו ר׳ משה </w:t>
      </w:r>
      <w:proofErr w:type="spellStart"/>
      <w:r>
        <w:t>בראסיין</w:t>
      </w:r>
      <w:proofErr w:type="spellEnd"/>
      <w:r>
        <w:t xml:space="preserve"> ופוגש את ר׳ פישל בר – ר׳ חיים קורא את מחשבות ר׳ פישל, והלה קונה בו “אמונה”</w:t>
      </w:r>
    </w:p>
    <w:p w14:paraId="6F526596" w14:textId="77777777" w:rsidR="00AB3647" w:rsidRDefault="00000000" w:rsidP="007923E9">
      <w:pPr>
        <w:spacing w:after="120" w:line="276" w:lineRule="auto"/>
        <w:ind w:firstLine="283"/>
        <w:jc w:val="both"/>
      </w:pPr>
      <w:r>
        <w:rPr>
          <w:rtl/>
        </w:rPr>
        <w:t xml:space="preserve">בריאיון על ר׳ ישראל תיאר אבי ביקור מאוחר יותר של ר׳ חיים </w:t>
      </w:r>
      <w:proofErr w:type="spellStart"/>
      <w:r>
        <w:rPr>
          <w:rtl/>
        </w:rPr>
        <w:t>בראסיין</w:t>
      </w:r>
      <w:proofErr w:type="spellEnd"/>
      <w:r>
        <w:rPr>
          <w:rtl/>
        </w:rPr>
        <w:t xml:space="preserve">, תשעים קילומטר מקובנה: “כשבא לבקר אצל בנו, התאכסן ר׳ חיים כמובן בבית ר׳ משה, ור׳ פישל בר בא לראותו. אחרי ששוחח מעט עם ר׳ חיים, החל ר׳ פישל, שהיה באמצע כתיבתו של ספר </w:t>
      </w:r>
      <w:proofErr w:type="spellStart"/>
      <w:r>
        <w:rPr>
          <w:rtl/>
        </w:rPr>
        <w:t>ממאדנער</w:t>
      </w:r>
      <w:proofErr w:type="spellEnd"/>
      <w:r>
        <w:rPr>
          <w:rtl/>
        </w:rPr>
        <w:t xml:space="preserve"> </w:t>
      </w:r>
      <w:proofErr w:type="spellStart"/>
      <w:r>
        <w:rPr>
          <w:rtl/>
        </w:rPr>
        <w:t>סארט</w:t>
      </w:r>
      <w:proofErr w:type="spellEnd"/>
      <w:r>
        <w:rPr>
          <w:rtl/>
        </w:rPr>
        <w:t xml:space="preserve"> [סוג משונה] – הוא היה איש מדעי, וראוי לקרוא לספרו, העוסק בתנ״ך ולוחם במבקרי המקרא, ובתקופות היסטוריות שונות, ‘מדעי’ – לדבר עם ר׳ חיים על אן </w:t>
      </w:r>
      <w:proofErr w:type="spellStart"/>
      <w:r>
        <w:rPr>
          <w:rtl/>
        </w:rPr>
        <w:t>אפהאנדלונג</w:t>
      </w:r>
      <w:proofErr w:type="spellEnd"/>
      <w:r>
        <w:rPr>
          <w:rtl/>
        </w:rPr>
        <w:t xml:space="preserve"> [מאמר] שר׳ פישל בר עתיד היה להדפיס בספרו, בשאלת זהותו של מחבר ‘הלכות גדולות’”. אבי הוסיף</w:t>
      </w:r>
      <w:bookmarkStart w:id="6678" w:name="_fnr5077"/>
      <w:r>
        <w:rPr>
          <w:rStyle w:val="a5"/>
        </w:rPr>
        <w:footnoteReference w:id="5090" w:customMarkFollows="0"/>
      </w:r>
      <w:bookmarkEnd w:id="6678"/>
      <w:r>
        <w:rPr>
          <w:rtl/>
        </w:rPr>
        <w:t xml:space="preserve"> בהערת אגב: “ר׳ פישל, בעל כשרון עצום, הדפיס רק כמה מאות עותקים מספרו – שמו ‘דברי משולם’ – והעניק לי אחד כשנפש </w:t>
      </w:r>
      <w:proofErr w:type="spellStart"/>
      <w:r>
        <w:rPr>
          <w:rtl/>
        </w:rPr>
        <w:t>בציטוביאן</w:t>
      </w:r>
      <w:bookmarkStart w:id="6679" w:name="_fnr5078"/>
      <w:proofErr w:type="spellEnd"/>
      <w:r>
        <w:rPr>
          <w:rStyle w:val="a5"/>
        </w:rPr>
        <w:footnoteReference w:id="5091" w:customMarkFollows="0"/>
      </w:r>
      <w:bookmarkEnd w:id="6679"/>
      <w:r>
        <w:rPr>
          <w:rtl/>
        </w:rPr>
        <w:t>”.</w:t>
      </w:r>
    </w:p>
    <w:p w14:paraId="47102C72" w14:textId="77777777" w:rsidR="00AB3647" w:rsidRDefault="00000000" w:rsidP="007923E9">
      <w:pPr>
        <w:spacing w:after="120" w:line="276" w:lineRule="auto"/>
        <w:ind w:firstLine="283"/>
        <w:jc w:val="both"/>
      </w:pPr>
      <w:r>
        <w:rPr>
          <w:rtl/>
        </w:rPr>
        <w:lastRenderedPageBreak/>
        <w:t xml:space="preserve">“ר׳ פישל עיין בראיה על זהות מחבר ‘ספר הלכות גדולות’, מתוך דברי בעל המאור על מסכת שבת, שהציעו כמה חוקרים. לפני שהתחיל האורח להרצות את טענתו נגד הראיה, אמר לו ר׳ חיים, שבדקות מעטות של שיחה כללית תפס את דרך סברתו של בן שיחו וחזה בדיוק מה בדעתו: ‘ובכן, אתה רוצה לטעון כך וכך; אבל אתה טועה, מפני שכך וכך׳. כשסיפר לי על שיחתו עם ר׳ חיים </w:t>
      </w:r>
      <w:proofErr w:type="spellStart"/>
      <w:r>
        <w:rPr>
          <w:rtl/>
        </w:rPr>
        <w:t>סולובייצ׳יק</w:t>
      </w:r>
      <w:proofErr w:type="spellEnd"/>
      <w:r>
        <w:rPr>
          <w:rtl/>
        </w:rPr>
        <w:t>, הוסיף ר׳ פישל: ‘באותו רגע קניתי אמונה בר׳ חיים. אז ביקשתי מר׳ משה את כתב הרבנות והוספתי עליו את חתימתי’”.</w:t>
      </w:r>
    </w:p>
    <w:p w14:paraId="5285DC1E" w14:textId="77777777" w:rsidR="00AB3647" w:rsidRDefault="00000000" w:rsidP="007923E9">
      <w:pPr>
        <w:spacing w:after="120" w:line="276" w:lineRule="auto"/>
        <w:ind w:firstLine="283"/>
        <w:jc w:val="both"/>
      </w:pPr>
      <w:r>
        <w:rPr>
          <w:rtl/>
        </w:rPr>
        <w:t xml:space="preserve">ייתכן </w:t>
      </w:r>
      <w:proofErr w:type="spellStart"/>
      <w:r>
        <w:rPr>
          <w:rtl/>
        </w:rPr>
        <w:t>ש“אמונתו</w:t>
      </w:r>
      <w:proofErr w:type="spellEnd"/>
      <w:r>
        <w:rPr>
          <w:rtl/>
        </w:rPr>
        <w:t xml:space="preserve">” של ר׳ פישל בר </w:t>
      </w:r>
      <w:proofErr w:type="spellStart"/>
      <w:r>
        <w:rPr>
          <w:rtl/>
        </w:rPr>
        <w:t>בר</w:t>
      </w:r>
      <w:proofErr w:type="spellEnd"/>
      <w:r>
        <w:rPr>
          <w:rtl/>
        </w:rPr>
        <w:t xml:space="preserve">׳ חיים לא הייתה במקומה, שכן לפי תלמיד החכם הגדול וההיסטוריון ר׳ </w:t>
      </w:r>
      <w:proofErr w:type="spellStart"/>
      <w:r>
        <w:rPr>
          <w:rtl/>
        </w:rPr>
        <w:t>יצחק־אייזיק</w:t>
      </w:r>
      <w:proofErr w:type="spellEnd"/>
      <w:r>
        <w:rPr>
          <w:rtl/>
        </w:rPr>
        <w:t xml:space="preserve"> הלוי, במכתב שבאגרותיו</w:t>
      </w:r>
      <w:bookmarkStart w:id="6680" w:name="_fnr5079"/>
      <w:r>
        <w:rPr>
          <w:rStyle w:val="a5"/>
        </w:rPr>
        <w:footnoteReference w:id="5092" w:customMarkFollows="0"/>
      </w:r>
      <w:bookmarkEnd w:id="6680"/>
      <w:r>
        <w:rPr>
          <w:rtl/>
        </w:rPr>
        <w:t xml:space="preserve">, “בכל שנה ושנה ישב ר׳ חיים בביתו של הלוי בווילנה חודשים שלמים”. אומנם הלוי נאלץ לברוח מרוסיה </w:t>
      </w:r>
      <w:proofErr w:type="spellStart"/>
      <w:r>
        <w:rPr>
          <w:rtl/>
        </w:rPr>
        <w:t>בתרנ״ה</w:t>
      </w:r>
      <w:proofErr w:type="spellEnd"/>
      <w:r>
        <w:rPr>
          <w:rtl/>
        </w:rPr>
        <w:t xml:space="preserve">, </w:t>
      </w:r>
      <w:proofErr w:type="spellStart"/>
      <w:r>
        <w:rPr>
          <w:rtl/>
        </w:rPr>
        <w:t>חמש־עשרה</w:t>
      </w:r>
      <w:proofErr w:type="spellEnd"/>
      <w:r>
        <w:rPr>
          <w:rtl/>
        </w:rPr>
        <w:t xml:space="preserve"> שנה לפני פגישת ר׳ חיים עם ר׳ פישל בר, אבל אין זה רחוק מן הסברה לשער שר׳ חיים קלט ממארחו בווילנה מידע על אותו נושא ממש שדן בו ר׳ פישל. ר׳ </w:t>
      </w:r>
      <w:proofErr w:type="spellStart"/>
      <w:r>
        <w:rPr>
          <w:rtl/>
        </w:rPr>
        <w:t>יצחק־אייזיק</w:t>
      </w:r>
      <w:proofErr w:type="spellEnd"/>
      <w:r>
        <w:rPr>
          <w:rtl/>
        </w:rPr>
        <w:t xml:space="preserve"> הלוי היה מחבר “דורות הראשונים”, שהכרך הראשון שלו שנדפס (</w:t>
      </w:r>
      <w:proofErr w:type="spellStart"/>
      <w:r>
        <w:rPr>
          <w:rtl/>
        </w:rPr>
        <w:t>בפרשבורג</w:t>
      </w:r>
      <w:proofErr w:type="spellEnd"/>
      <w:r>
        <w:rPr>
          <w:rtl/>
        </w:rPr>
        <w:t xml:space="preserve"> </w:t>
      </w:r>
      <w:proofErr w:type="spellStart"/>
      <w:r>
        <w:rPr>
          <w:rtl/>
        </w:rPr>
        <w:t>בתרנ״ז</w:t>
      </w:r>
      <w:proofErr w:type="spellEnd"/>
      <w:r>
        <w:rPr>
          <w:rtl/>
        </w:rPr>
        <w:t>) עוסק, בין השאר, בתקופתו של “הלכות גדולות” ובזהות מחברו.</w:t>
      </w:r>
    </w:p>
    <w:p w14:paraId="745A4868" w14:textId="77777777" w:rsidR="00AB3647" w:rsidRDefault="00000000" w:rsidP="007923E9">
      <w:pPr>
        <w:pStyle w:val="4"/>
        <w:spacing w:line="276" w:lineRule="auto"/>
      </w:pPr>
      <w:r>
        <w:t>· הפסקה הרביעית ·</w:t>
      </w:r>
    </w:p>
    <w:p w14:paraId="4698B1FF" w14:textId="77777777" w:rsidR="00AB3647" w:rsidRDefault="00000000" w:rsidP="007923E9">
      <w:pPr>
        <w:shd w:val="clear" w:color="auto" w:fill="F2F2F2"/>
        <w:spacing w:before="40" w:after="200" w:line="276" w:lineRule="auto"/>
        <w:ind w:left="283" w:right="283"/>
        <w:jc w:val="both"/>
      </w:pPr>
      <w:r>
        <w:rPr>
          <w:color w:val="404040"/>
          <w:sz w:val="22"/>
          <w:szCs w:val="22"/>
          <w:rtl/>
        </w:rPr>
        <w:t xml:space="preserve">שליחותו של ר׳ חיים </w:t>
      </w:r>
      <w:proofErr w:type="spellStart"/>
      <w:r>
        <w:rPr>
          <w:color w:val="404040"/>
          <w:sz w:val="22"/>
          <w:szCs w:val="22"/>
          <w:rtl/>
        </w:rPr>
        <w:t>לר</w:t>
      </w:r>
      <w:proofErr w:type="spellEnd"/>
      <w:r>
        <w:rPr>
          <w:color w:val="404040"/>
          <w:sz w:val="22"/>
          <w:szCs w:val="22"/>
          <w:rtl/>
        </w:rPr>
        <w:t xml:space="preserve">׳ ראובן </w:t>
      </w:r>
      <w:proofErr w:type="spellStart"/>
      <w:r>
        <w:rPr>
          <w:color w:val="404040"/>
          <w:sz w:val="22"/>
          <w:szCs w:val="22"/>
          <w:rtl/>
        </w:rPr>
        <w:t>דננבורגר</w:t>
      </w:r>
      <w:proofErr w:type="spellEnd"/>
      <w:r>
        <w:rPr>
          <w:color w:val="404040"/>
          <w:sz w:val="22"/>
          <w:szCs w:val="22"/>
          <w:rtl/>
        </w:rPr>
        <w:t xml:space="preserve"> – ר׳ חיים מרשים את מארחו – ר׳ חיים קורא את מחשבות ר׳ ראובן – ר׳ ראובן משמש לימים דיין בדין תורה של </w:t>
      </w:r>
      <w:proofErr w:type="spellStart"/>
      <w:r>
        <w:rPr>
          <w:color w:val="404040"/>
          <w:sz w:val="22"/>
          <w:szCs w:val="22"/>
          <w:rtl/>
        </w:rPr>
        <w:t>וולוז׳ין</w:t>
      </w:r>
      <w:proofErr w:type="spellEnd"/>
      <w:r>
        <w:rPr>
          <w:color w:val="404040"/>
          <w:sz w:val="22"/>
          <w:szCs w:val="22"/>
          <w:rtl/>
        </w:rPr>
        <w:t xml:space="preserve"> – ר׳ חיים מכיר את דרך מחשבתו של ר׳ ראובן מפי תלמיד </w:t>
      </w:r>
      <w:proofErr w:type="spellStart"/>
      <w:r>
        <w:rPr>
          <w:color w:val="404040"/>
          <w:sz w:val="22"/>
          <w:szCs w:val="22"/>
          <w:rtl/>
        </w:rPr>
        <w:t>וולוז׳ין</w:t>
      </w:r>
      <w:proofErr w:type="spellEnd"/>
      <w:r>
        <w:rPr>
          <w:color w:val="404040"/>
          <w:sz w:val="22"/>
          <w:szCs w:val="22"/>
          <w:rtl/>
        </w:rPr>
        <w:t xml:space="preserve">, ר׳ </w:t>
      </w:r>
      <w:proofErr w:type="spellStart"/>
      <w:r>
        <w:rPr>
          <w:color w:val="404040"/>
          <w:sz w:val="22"/>
          <w:szCs w:val="22"/>
          <w:rtl/>
        </w:rPr>
        <w:t>אברהם־יצחק</w:t>
      </w:r>
      <w:proofErr w:type="spellEnd"/>
      <w:r>
        <w:rPr>
          <w:color w:val="404040"/>
          <w:sz w:val="22"/>
          <w:szCs w:val="22"/>
          <w:rtl/>
        </w:rPr>
        <w:t xml:space="preserve"> קוק – גרסה מוטעית על סיבת נסיעתו של ר׳ חיים </w:t>
      </w:r>
      <w:proofErr w:type="spellStart"/>
      <w:r>
        <w:rPr>
          <w:color w:val="404040"/>
          <w:sz w:val="22"/>
          <w:szCs w:val="22"/>
          <w:rtl/>
        </w:rPr>
        <w:t>לדננבורג</w:t>
      </w:r>
      <w:proofErr w:type="spellEnd"/>
      <w:r>
        <w:rPr>
          <w:color w:val="404040"/>
          <w:sz w:val="22"/>
          <w:szCs w:val="22"/>
          <w:rtl/>
        </w:rPr>
        <w:t xml:space="preserve"> – הוא נבחן אם ראוי לתפקידו </w:t>
      </w:r>
      <w:proofErr w:type="spellStart"/>
      <w:r>
        <w:rPr>
          <w:color w:val="404040"/>
          <w:sz w:val="22"/>
          <w:szCs w:val="22"/>
          <w:rtl/>
        </w:rPr>
        <w:t>בוולוז׳ין</w:t>
      </w:r>
      <w:proofErr w:type="spellEnd"/>
      <w:r>
        <w:rPr>
          <w:color w:val="404040"/>
          <w:sz w:val="22"/>
          <w:szCs w:val="22"/>
          <w:rtl/>
        </w:rPr>
        <w:t xml:space="preserve"> – הוא משיב בחריפות כשמזכירים לו את הערעור הזה – ר׳ חיים פוגש בנסיעה זו גם תלמיד של ר׳ מנשה מאיליה</w:t>
      </w:r>
    </w:p>
    <w:p w14:paraId="6AF152FC" w14:textId="77777777" w:rsidR="00AB3647" w:rsidRDefault="00000000" w:rsidP="007923E9">
      <w:pPr>
        <w:spacing w:after="120" w:line="276" w:lineRule="auto"/>
        <w:ind w:firstLine="283"/>
        <w:jc w:val="both"/>
      </w:pPr>
      <w:r>
        <w:rPr>
          <w:rtl/>
        </w:rPr>
        <w:t>אבי המשיך</w:t>
      </w:r>
      <w:bookmarkStart w:id="6681" w:name="_fnr5080"/>
      <w:r>
        <w:rPr>
          <w:rStyle w:val="a5"/>
        </w:rPr>
        <w:footnoteReference w:id="5093" w:customMarkFollows="0"/>
      </w:r>
      <w:bookmarkEnd w:id="6681"/>
      <w:r>
        <w:rPr>
          <w:rtl/>
        </w:rPr>
        <w:t xml:space="preserve">: “העולם אומר שר׳ חיים התמחה </w:t>
      </w:r>
      <w:proofErr w:type="spellStart"/>
      <w:r>
        <w:rPr>
          <w:rtl/>
        </w:rPr>
        <w:t>בצוטרעפען</w:t>
      </w:r>
      <w:proofErr w:type="spellEnd"/>
      <w:r>
        <w:rPr>
          <w:rtl/>
        </w:rPr>
        <w:t xml:space="preserve"> [ניחוש] מחשבותיו של אדם”, וסיפר: “כשפתחה ישיבת </w:t>
      </w:r>
      <w:proofErr w:type="spellStart"/>
      <w:r>
        <w:rPr>
          <w:rtl/>
        </w:rPr>
        <w:t>וולוז׳ין</w:t>
      </w:r>
      <w:proofErr w:type="spellEnd"/>
      <w:r>
        <w:rPr>
          <w:rtl/>
        </w:rPr>
        <w:t xml:space="preserve"> כולל בפעם הראשונה, רצתה ההנהלה לקבל הסכמה לכך”. רבנו הוסיף כאן הערת אגב: “שלא כבימינו, באותה עת לא יכול אדם לעשות ככל העולה על רוחו: כדי לפתוח כולל [נדרשה] הסכמתם של גדולי תורה ידועים”. “ראש הישיבה, </w:t>
      </w:r>
      <w:proofErr w:type="spellStart"/>
      <w:r>
        <w:rPr>
          <w:rtl/>
        </w:rPr>
        <w:t>הנצי״ב</w:t>
      </w:r>
      <w:proofErr w:type="spellEnd"/>
      <w:r>
        <w:rPr>
          <w:rtl/>
        </w:rPr>
        <w:t xml:space="preserve">, החליט לשלוח את ר׳ חיים </w:t>
      </w:r>
      <w:proofErr w:type="spellStart"/>
      <w:r>
        <w:rPr>
          <w:rtl/>
        </w:rPr>
        <w:t>לר</w:t>
      </w:r>
      <w:proofErr w:type="spellEnd"/>
      <w:r>
        <w:rPr>
          <w:rtl/>
        </w:rPr>
        <w:t xml:space="preserve">׳ ראובן [לוין] </w:t>
      </w:r>
      <w:proofErr w:type="spellStart"/>
      <w:r>
        <w:rPr>
          <w:rtl/>
        </w:rPr>
        <w:t>דננבורגר</w:t>
      </w:r>
      <w:proofErr w:type="spellEnd"/>
      <w:r>
        <w:rPr>
          <w:rtl/>
        </w:rPr>
        <w:t xml:space="preserve"> – </w:t>
      </w:r>
      <w:proofErr w:type="spellStart"/>
      <w:r>
        <w:rPr>
          <w:rtl/>
        </w:rPr>
        <w:t>דווינסק</w:t>
      </w:r>
      <w:proofErr w:type="spellEnd"/>
      <w:r>
        <w:rPr>
          <w:rtl/>
        </w:rPr>
        <w:t xml:space="preserve"> נקראה אז </w:t>
      </w:r>
      <w:proofErr w:type="spellStart"/>
      <w:r>
        <w:rPr>
          <w:rtl/>
        </w:rPr>
        <w:t>דננבורג</w:t>
      </w:r>
      <w:proofErr w:type="spellEnd"/>
      <w:r>
        <w:rPr>
          <w:rtl/>
        </w:rPr>
        <w:t xml:space="preserve"> – לשם קבלת מכתב הסכמה. ר׳ ראובן היה תלמידו של ר׳ </w:t>
      </w:r>
      <w:proofErr w:type="spellStart"/>
      <w:r>
        <w:rPr>
          <w:rtl/>
        </w:rPr>
        <w:t>לייבל׳ה</w:t>
      </w:r>
      <w:proofErr w:type="spellEnd"/>
      <w:r>
        <w:rPr>
          <w:rtl/>
        </w:rPr>
        <w:t xml:space="preserve"> שפירא, רבה הראשון של קובנה</w:t>
      </w:r>
      <w:bookmarkStart w:id="6682" w:name="_fnr5081"/>
      <w:r>
        <w:rPr>
          <w:rStyle w:val="a5"/>
        </w:rPr>
        <w:footnoteReference w:id="5094" w:customMarkFollows="0"/>
      </w:r>
      <w:bookmarkEnd w:id="6682"/>
      <w:r>
        <w:rPr>
          <w:rtl/>
        </w:rPr>
        <w:t>, ונחשב אז גדול הדור”, הוסיף אבי</w:t>
      </w:r>
      <w:bookmarkStart w:id="6683" w:name="_fnr5082"/>
      <w:r>
        <w:rPr>
          <w:rStyle w:val="a5"/>
        </w:rPr>
        <w:footnoteReference w:id="5095" w:customMarkFollows="0"/>
      </w:r>
      <w:bookmarkEnd w:id="6683"/>
      <w:r>
        <w:rPr>
          <w:rtl/>
        </w:rPr>
        <w:t>.</w:t>
      </w:r>
    </w:p>
    <w:p w14:paraId="47097519" w14:textId="77777777" w:rsidR="00AB3647" w:rsidRDefault="00000000" w:rsidP="007923E9">
      <w:pPr>
        <w:spacing w:after="120" w:line="276" w:lineRule="auto"/>
        <w:ind w:firstLine="283"/>
        <w:jc w:val="both"/>
      </w:pPr>
      <w:r>
        <w:rPr>
          <w:rtl/>
        </w:rPr>
        <w:t xml:space="preserve">השווה גם זיכרונות </w:t>
      </w:r>
      <w:proofErr w:type="spellStart"/>
      <w:r>
        <w:rPr>
          <w:rtl/>
        </w:rPr>
        <w:t>ראדוס</w:t>
      </w:r>
      <w:bookmarkStart w:id="6684" w:name="_fnr5083"/>
      <w:proofErr w:type="spellEnd"/>
      <w:r>
        <w:rPr>
          <w:rStyle w:val="a5"/>
        </w:rPr>
        <w:footnoteReference w:id="5096" w:customMarkFollows="0"/>
      </w:r>
      <w:bookmarkEnd w:id="6684"/>
      <w:r>
        <w:rPr>
          <w:rtl/>
        </w:rPr>
        <w:t xml:space="preserve">, המספר שכאשר ניסה רבה החסידי של </w:t>
      </w:r>
      <w:proofErr w:type="spellStart"/>
      <w:r>
        <w:rPr>
          <w:rtl/>
        </w:rPr>
        <w:t>דננבורג</w:t>
      </w:r>
      <w:proofErr w:type="spellEnd"/>
      <w:r>
        <w:rPr>
          <w:rtl/>
        </w:rPr>
        <w:t xml:space="preserve"> במשך חודשים לגייס רבנים ואדמו״רים נגד פסק של ר׳ ראובן, שלח ר׳ </w:t>
      </w:r>
      <w:proofErr w:type="spellStart"/>
      <w:r>
        <w:rPr>
          <w:rtl/>
        </w:rPr>
        <w:t>יצחק־אלחנן</w:t>
      </w:r>
      <w:proofErr w:type="spellEnd"/>
      <w:r>
        <w:rPr>
          <w:rtl/>
        </w:rPr>
        <w:t xml:space="preserve"> </w:t>
      </w:r>
      <w:proofErr w:type="spellStart"/>
      <w:r>
        <w:rPr>
          <w:rtl/>
        </w:rPr>
        <w:t>ספקטור</w:t>
      </w:r>
      <w:proofErr w:type="spellEnd"/>
      <w:r>
        <w:rPr>
          <w:rtl/>
        </w:rPr>
        <w:t xml:space="preserve"> לאדמו״ר איגרת ובה: “כבר הורה זקן הגאונים</w:t>
      </w:r>
      <w:bookmarkStart w:id="6685" w:name="_fnr5084"/>
      <w:r>
        <w:rPr>
          <w:rStyle w:val="a5"/>
        </w:rPr>
        <w:footnoteReference w:id="5097" w:customMarkFollows="0"/>
      </w:r>
      <w:bookmarkEnd w:id="6685"/>
      <w:r>
        <w:rPr>
          <w:rtl/>
        </w:rPr>
        <w:t>, ואי אפשר לחלוק על פסק שכבר פסק”.</w:t>
      </w:r>
    </w:p>
    <w:p w14:paraId="50DE1B1F" w14:textId="77777777" w:rsidR="00AB3647" w:rsidRDefault="00000000" w:rsidP="007923E9">
      <w:pPr>
        <w:spacing w:after="120" w:line="276" w:lineRule="auto"/>
        <w:ind w:firstLine="283"/>
        <w:jc w:val="both"/>
      </w:pPr>
      <w:r>
        <w:rPr>
          <w:rtl/>
        </w:rPr>
        <w:lastRenderedPageBreak/>
        <w:t xml:space="preserve">בהנחה שהכולל שהזכיר אבי הוא הכולל שמימן איל הסוכר מקייב ר׳ ישראל </w:t>
      </w:r>
      <w:proofErr w:type="spellStart"/>
      <w:r>
        <w:rPr>
          <w:rtl/>
        </w:rPr>
        <w:t>ברודסקי</w:t>
      </w:r>
      <w:proofErr w:type="spellEnd"/>
      <w:r>
        <w:rPr>
          <w:rtl/>
        </w:rPr>
        <w:t xml:space="preserve">, שנוסד בישיבת </w:t>
      </w:r>
      <w:proofErr w:type="spellStart"/>
      <w:r>
        <w:rPr>
          <w:rtl/>
        </w:rPr>
        <w:t>וולוז׳ין</w:t>
      </w:r>
      <w:proofErr w:type="spellEnd"/>
      <w:r>
        <w:rPr>
          <w:rtl/>
        </w:rPr>
        <w:t xml:space="preserve"> בתחילת תרמ״ו, אפשר לקבוע את נסיעת ר׳ חיים </w:t>
      </w:r>
      <w:proofErr w:type="spellStart"/>
      <w:r>
        <w:rPr>
          <w:rtl/>
        </w:rPr>
        <w:t>לדננבורג</w:t>
      </w:r>
      <w:proofErr w:type="spellEnd"/>
      <w:r>
        <w:rPr>
          <w:rtl/>
        </w:rPr>
        <w:t xml:space="preserve"> </w:t>
      </w:r>
      <w:proofErr w:type="spellStart"/>
      <w:r>
        <w:rPr>
          <w:rtl/>
        </w:rPr>
        <w:t>בתרמ״ה</w:t>
      </w:r>
      <w:proofErr w:type="spellEnd"/>
      <w:r>
        <w:rPr>
          <w:rtl/>
        </w:rPr>
        <w:t xml:space="preserve"> – שנתיים לפני פטירת ר׳ ראובן, וחמש שנים אחרי שהחל ר׳ חיים למסור שיעורים </w:t>
      </w:r>
      <w:proofErr w:type="spellStart"/>
      <w:r>
        <w:rPr>
          <w:rtl/>
        </w:rPr>
        <w:t>בוולוז׳ין</w:t>
      </w:r>
      <w:proofErr w:type="spellEnd"/>
      <w:r>
        <w:rPr>
          <w:rtl/>
        </w:rPr>
        <w:t>.</w:t>
      </w:r>
    </w:p>
    <w:p w14:paraId="73C34256" w14:textId="77777777" w:rsidR="00AB3647" w:rsidRDefault="00000000" w:rsidP="007923E9">
      <w:pPr>
        <w:spacing w:after="120" w:line="276" w:lineRule="auto"/>
        <w:ind w:firstLine="283"/>
        <w:jc w:val="both"/>
      </w:pPr>
      <w:r>
        <w:rPr>
          <w:rtl/>
        </w:rPr>
        <w:t>לפי “</w:t>
      </w:r>
      <w:proofErr w:type="spellStart"/>
      <w:r>
        <w:rPr>
          <w:rtl/>
        </w:rPr>
        <w:t>זכרון</w:t>
      </w:r>
      <w:proofErr w:type="spellEnd"/>
      <w:r>
        <w:rPr>
          <w:rtl/>
        </w:rPr>
        <w:t xml:space="preserve"> יעקב”</w:t>
      </w:r>
      <w:bookmarkStart w:id="6686" w:name="_fnr5085"/>
      <w:r>
        <w:rPr>
          <w:rStyle w:val="a5"/>
        </w:rPr>
        <w:footnoteReference w:id="5098" w:customMarkFollows="0"/>
      </w:r>
      <w:bookmarkEnd w:id="6686"/>
      <w:r>
        <w:rPr>
          <w:rtl/>
        </w:rPr>
        <w:t xml:space="preserve"> </w:t>
      </w:r>
      <w:proofErr w:type="spellStart"/>
      <w:r>
        <w:rPr>
          <w:rtl/>
        </w:rPr>
        <w:t>וצינוביץ</w:t>
      </w:r>
      <w:proofErr w:type="spellEnd"/>
      <w:r>
        <w:rPr>
          <w:rtl/>
        </w:rPr>
        <w:t>, “עץ חיים”</w:t>
      </w:r>
      <w:bookmarkStart w:id="6687" w:name="_fnr5086"/>
      <w:r>
        <w:rPr>
          <w:rStyle w:val="a5"/>
        </w:rPr>
        <w:footnoteReference w:id="5099" w:customMarkFollows="0"/>
      </w:r>
      <w:bookmarkEnd w:id="6687"/>
      <w:r>
        <w:rPr>
          <w:rtl/>
        </w:rPr>
        <w:t xml:space="preserve">, השלטונות לא אסרו על עשרת אנשי כולל </w:t>
      </w:r>
      <w:proofErr w:type="spellStart"/>
      <w:r>
        <w:rPr>
          <w:rtl/>
        </w:rPr>
        <w:t>ברודסקי</w:t>
      </w:r>
      <w:proofErr w:type="spellEnd"/>
      <w:r>
        <w:rPr>
          <w:rtl/>
        </w:rPr>
        <w:t xml:space="preserve"> להישאר </w:t>
      </w:r>
      <w:proofErr w:type="spellStart"/>
      <w:r>
        <w:rPr>
          <w:rtl/>
        </w:rPr>
        <w:t>בוולוז׳ין</w:t>
      </w:r>
      <w:proofErr w:type="spellEnd"/>
      <w:r>
        <w:rPr>
          <w:rtl/>
        </w:rPr>
        <w:t xml:space="preserve"> אחרי שנסגרה הישיבה כעבור שבע שנים, </w:t>
      </w:r>
      <w:proofErr w:type="spellStart"/>
      <w:r>
        <w:rPr>
          <w:rtl/>
        </w:rPr>
        <w:t>בתרנ״ב</w:t>
      </w:r>
      <w:proofErr w:type="spellEnd"/>
      <w:r>
        <w:rPr>
          <w:rtl/>
        </w:rPr>
        <w:t xml:space="preserve">. כעבור שנתיים וחצי הצטרפה לאברכים המצוינים האלה קבוצה נוספת של שלושים ממינסק, ואחר כך תלמידים נוספים שיכלו לפרנס את עצמם. הקורא ימצא עניין בפנייה למען הישיבה המתחדשת שהפנו אל יהודי אמריקה ר׳ </w:t>
      </w:r>
      <w:proofErr w:type="spellStart"/>
      <w:r>
        <w:rPr>
          <w:rtl/>
        </w:rPr>
        <w:t>ירוחם־יהודה־לייב</w:t>
      </w:r>
      <w:proofErr w:type="spellEnd"/>
      <w:r>
        <w:rPr>
          <w:rtl/>
        </w:rPr>
        <w:t xml:space="preserve"> פרלמן, </w:t>
      </w:r>
      <w:proofErr w:type="spellStart"/>
      <w:r>
        <w:rPr>
          <w:rtl/>
        </w:rPr>
        <w:t>ה“גדול</w:t>
      </w:r>
      <w:proofErr w:type="spellEnd"/>
      <w:r>
        <w:rPr>
          <w:rtl/>
        </w:rPr>
        <w:t>” ממינסק</w:t>
      </w:r>
      <w:bookmarkStart w:id="6688" w:name="_fnr5087"/>
      <w:r>
        <w:rPr>
          <w:rStyle w:val="a5"/>
        </w:rPr>
        <w:footnoteReference w:id="5100" w:customMarkFollows="0"/>
      </w:r>
      <w:bookmarkEnd w:id="6688"/>
      <w:r>
        <w:rPr>
          <w:rtl/>
        </w:rPr>
        <w:t xml:space="preserve">, ור׳ </w:t>
      </w:r>
      <w:proofErr w:type="spellStart"/>
      <w:r>
        <w:rPr>
          <w:rtl/>
        </w:rPr>
        <w:t>אלי׳־חיים</w:t>
      </w:r>
      <w:proofErr w:type="spellEnd"/>
      <w:r>
        <w:rPr>
          <w:rtl/>
        </w:rPr>
        <w:t xml:space="preserve"> </w:t>
      </w:r>
      <w:proofErr w:type="spellStart"/>
      <w:r>
        <w:rPr>
          <w:rtl/>
        </w:rPr>
        <w:t>מייזל</w:t>
      </w:r>
      <w:proofErr w:type="spellEnd"/>
      <w:r>
        <w:rPr>
          <w:rtl/>
        </w:rPr>
        <w:t xml:space="preserve"> </w:t>
      </w:r>
      <w:proofErr w:type="spellStart"/>
      <w:r>
        <w:rPr>
          <w:rtl/>
        </w:rPr>
        <w:t>מלודז</w:t>
      </w:r>
      <w:proofErr w:type="spellEnd"/>
      <w:r>
        <w:rPr>
          <w:rtl/>
        </w:rPr>
        <w:t xml:space="preserve">׳, כפי שהיא מצוטטת בספרו של </w:t>
      </w:r>
      <w:proofErr w:type="spellStart"/>
      <w:r>
        <w:rPr>
          <w:rtl/>
        </w:rPr>
        <w:t>צינוביץ</w:t>
      </w:r>
      <w:bookmarkStart w:id="6689" w:name="_fnr5088"/>
      <w:proofErr w:type="spellEnd"/>
      <w:r>
        <w:rPr>
          <w:rStyle w:val="a5"/>
        </w:rPr>
        <w:footnoteReference w:id="5101" w:customMarkFollows="0"/>
      </w:r>
      <w:bookmarkEnd w:id="6689"/>
      <w:r>
        <w:rPr>
          <w:rtl/>
        </w:rPr>
        <w:t xml:space="preserve">. </w:t>
      </w:r>
      <w:proofErr w:type="spellStart"/>
      <w:r>
        <w:rPr>
          <w:rtl/>
        </w:rPr>
        <w:t>ב“מגד</w:t>
      </w:r>
      <w:proofErr w:type="spellEnd"/>
      <w:r>
        <w:rPr>
          <w:rtl/>
        </w:rPr>
        <w:t xml:space="preserve"> גבעות עולם”</w:t>
      </w:r>
      <w:bookmarkStart w:id="6690" w:name="_fnr5089"/>
      <w:r>
        <w:rPr>
          <w:rStyle w:val="a5"/>
        </w:rPr>
        <w:footnoteReference w:id="5102" w:customMarkFollows="0"/>
      </w:r>
      <w:bookmarkEnd w:id="6690"/>
      <w:r>
        <w:rPr>
          <w:rtl/>
        </w:rPr>
        <w:t xml:space="preserve"> מובא בשם סבו של מחברו, ר׳ יעקב </w:t>
      </w:r>
      <w:proofErr w:type="spellStart"/>
      <w:r>
        <w:rPr>
          <w:rtl/>
        </w:rPr>
        <w:t>קנטרוביץ</w:t>
      </w:r>
      <w:proofErr w:type="spellEnd"/>
      <w:r>
        <w:rPr>
          <w:rtl/>
        </w:rPr>
        <w:t xml:space="preserve">, אחד מאנשי כולל </w:t>
      </w:r>
      <w:proofErr w:type="spellStart"/>
      <w:r>
        <w:rPr>
          <w:rtl/>
        </w:rPr>
        <w:t>ברודסקי</w:t>
      </w:r>
      <w:proofErr w:type="spellEnd"/>
      <w:r>
        <w:rPr>
          <w:rtl/>
        </w:rPr>
        <w:t>, שהרב פרלמן הוא שבחן את המועמדים לקבלה לכולל.</w:t>
      </w:r>
    </w:p>
    <w:p w14:paraId="24D4C16C" w14:textId="77777777" w:rsidR="00AB3647" w:rsidRDefault="00000000" w:rsidP="007923E9">
      <w:pPr>
        <w:spacing w:after="120" w:line="276" w:lineRule="auto"/>
        <w:ind w:firstLine="283"/>
        <w:jc w:val="both"/>
      </w:pPr>
      <w:r>
        <w:rPr>
          <w:rtl/>
        </w:rPr>
        <w:t xml:space="preserve">מאוחר יותר באה קבוצה נוספת </w:t>
      </w:r>
      <w:proofErr w:type="spellStart"/>
      <w:r>
        <w:rPr>
          <w:rtl/>
        </w:rPr>
        <w:t>מטלז</w:t>
      </w:r>
      <w:proofErr w:type="spellEnd"/>
      <w:r>
        <w:rPr>
          <w:rtl/>
        </w:rPr>
        <w:t xml:space="preserve"> וממקומות אחרים, וכשהגיע מספר התלמידים </w:t>
      </w:r>
      <w:proofErr w:type="spellStart"/>
      <w:r>
        <w:rPr>
          <w:rtl/>
        </w:rPr>
        <w:t>ל“קרוב</w:t>
      </w:r>
      <w:proofErr w:type="spellEnd"/>
      <w:r>
        <w:rPr>
          <w:rtl/>
        </w:rPr>
        <w:t xml:space="preserve"> למאתיים”</w:t>
      </w:r>
      <w:bookmarkStart w:id="6691" w:name="_fnr5090"/>
      <w:r>
        <w:rPr>
          <w:rStyle w:val="a5"/>
        </w:rPr>
        <w:footnoteReference w:id="5103" w:customMarkFollows="0"/>
      </w:r>
      <w:bookmarkEnd w:id="6691"/>
      <w:r>
        <w:rPr>
          <w:rtl/>
        </w:rPr>
        <w:t xml:space="preserve">, נדרש ראש ישיבה. עוד </w:t>
      </w:r>
      <w:proofErr w:type="spellStart"/>
      <w:r>
        <w:rPr>
          <w:rtl/>
        </w:rPr>
        <w:t>בתר״ם</w:t>
      </w:r>
      <w:proofErr w:type="spellEnd"/>
      <w:r>
        <w:rPr>
          <w:rtl/>
        </w:rPr>
        <w:t xml:space="preserve">, בימים שחותנו של ר׳ רפאל שפירא, </w:t>
      </w:r>
      <w:proofErr w:type="spellStart"/>
      <w:r>
        <w:rPr>
          <w:rtl/>
        </w:rPr>
        <w:t>הנצי״ב</w:t>
      </w:r>
      <w:proofErr w:type="spellEnd"/>
      <w:r>
        <w:rPr>
          <w:rtl/>
        </w:rPr>
        <w:t xml:space="preserve">, היה ראש הישיבה ור׳ רפאל עוזרו, העביר ר׳ רפאל את מקומו בישיבת </w:t>
      </w:r>
      <w:proofErr w:type="spellStart"/>
      <w:r>
        <w:rPr>
          <w:rtl/>
        </w:rPr>
        <w:t>וולוז׳ין</w:t>
      </w:r>
      <w:proofErr w:type="spellEnd"/>
      <w:r>
        <w:rPr>
          <w:rtl/>
        </w:rPr>
        <w:t xml:space="preserve"> לחתנו, ר׳ חיים </w:t>
      </w:r>
      <w:proofErr w:type="spellStart"/>
      <w:r>
        <w:rPr>
          <w:rtl/>
        </w:rPr>
        <w:t>סולובייצ׳יק</w:t>
      </w:r>
      <w:bookmarkStart w:id="6692" w:name="_fnr5091"/>
      <w:proofErr w:type="spellEnd"/>
      <w:r>
        <w:rPr>
          <w:rStyle w:val="a5"/>
        </w:rPr>
        <w:footnoteReference w:id="5104" w:customMarkFollows="0"/>
      </w:r>
      <w:bookmarkEnd w:id="6692"/>
      <w:r>
        <w:rPr>
          <w:rtl/>
        </w:rPr>
        <w:t xml:space="preserve">. </w:t>
      </w:r>
      <w:proofErr w:type="spellStart"/>
      <w:r>
        <w:rPr>
          <w:rtl/>
        </w:rPr>
        <w:t>בתרנ״ט</w:t>
      </w:r>
      <w:proofErr w:type="spellEnd"/>
      <w:r>
        <w:rPr>
          <w:rtl/>
        </w:rPr>
        <w:t xml:space="preserve"> התפטר ר׳ רפאל מרבנות </w:t>
      </w:r>
      <w:proofErr w:type="spellStart"/>
      <w:r>
        <w:rPr>
          <w:rtl/>
        </w:rPr>
        <w:t>בוברויסק</w:t>
      </w:r>
      <w:proofErr w:type="spellEnd"/>
      <w:r>
        <w:rPr>
          <w:rtl/>
        </w:rPr>
        <w:t xml:space="preserve">, שאליה בא </w:t>
      </w:r>
      <w:proofErr w:type="spellStart"/>
      <w:r>
        <w:rPr>
          <w:rtl/>
        </w:rPr>
        <w:t>בתרמ״ו</w:t>
      </w:r>
      <w:proofErr w:type="spellEnd"/>
      <w:r>
        <w:rPr>
          <w:rtl/>
        </w:rPr>
        <w:t xml:space="preserve"> </w:t>
      </w:r>
      <w:proofErr w:type="spellStart"/>
      <w:r>
        <w:rPr>
          <w:rtl/>
        </w:rPr>
        <w:t>מכסא</w:t>
      </w:r>
      <w:proofErr w:type="spellEnd"/>
      <w:r>
        <w:rPr>
          <w:rtl/>
        </w:rPr>
        <w:t xml:space="preserve"> </w:t>
      </w:r>
      <w:proofErr w:type="spellStart"/>
      <w:r>
        <w:rPr>
          <w:rtl/>
        </w:rPr>
        <w:t>רבנותו</w:t>
      </w:r>
      <w:proofErr w:type="spellEnd"/>
      <w:r>
        <w:rPr>
          <w:rtl/>
        </w:rPr>
        <w:t xml:space="preserve"> הקודם </w:t>
      </w:r>
      <w:proofErr w:type="spellStart"/>
      <w:r>
        <w:rPr>
          <w:rtl/>
        </w:rPr>
        <w:t>בנובו־אלכסנדרובסק</w:t>
      </w:r>
      <w:bookmarkStart w:id="6693" w:name="_fnr5092"/>
      <w:proofErr w:type="spellEnd"/>
      <w:r>
        <w:rPr>
          <w:rStyle w:val="a5"/>
        </w:rPr>
        <w:footnoteReference w:id="5105" w:customMarkFollows="0"/>
      </w:r>
      <w:bookmarkEnd w:id="6693"/>
      <w:r>
        <w:rPr>
          <w:rtl/>
        </w:rPr>
        <w:t xml:space="preserve">, וקיבל את רבנות העיירה הקטנה הרבה יותר, </w:t>
      </w:r>
      <w:proofErr w:type="spellStart"/>
      <w:r>
        <w:rPr>
          <w:rtl/>
        </w:rPr>
        <w:t>וולוז׳ין</w:t>
      </w:r>
      <w:proofErr w:type="spellEnd"/>
      <w:r>
        <w:rPr>
          <w:rtl/>
        </w:rPr>
        <w:t>, כדי להחזיר עטרה ליושנה בישיבתה המתחדשת</w:t>
      </w:r>
      <w:bookmarkStart w:id="6694" w:name="_fnr5093"/>
      <w:r>
        <w:rPr>
          <w:rStyle w:val="a5"/>
        </w:rPr>
        <w:footnoteReference w:id="5106" w:customMarkFollows="0"/>
      </w:r>
      <w:bookmarkEnd w:id="6694"/>
      <w:r>
        <w:rPr>
          <w:rtl/>
        </w:rPr>
        <w:t xml:space="preserve">. לסיכום, באמצעות כולל </w:t>
      </w:r>
      <w:proofErr w:type="spellStart"/>
      <w:r>
        <w:rPr>
          <w:rtl/>
        </w:rPr>
        <w:t>ברודסקי</w:t>
      </w:r>
      <w:proofErr w:type="spellEnd"/>
      <w:r>
        <w:rPr>
          <w:rtl/>
        </w:rPr>
        <w:t xml:space="preserve"> שוקמה לבסוף הישיבה </w:t>
      </w:r>
      <w:proofErr w:type="spellStart"/>
      <w:r>
        <w:rPr>
          <w:rtl/>
        </w:rPr>
        <w:t>בוולוז׳ין</w:t>
      </w:r>
      <w:proofErr w:type="spellEnd"/>
      <w:r>
        <w:rPr>
          <w:rtl/>
        </w:rPr>
        <w:t>.</w:t>
      </w:r>
    </w:p>
    <w:p w14:paraId="110D2088" w14:textId="77777777" w:rsidR="00AB3647" w:rsidRDefault="00000000" w:rsidP="007923E9">
      <w:pPr>
        <w:spacing w:after="120" w:line="276" w:lineRule="auto"/>
        <w:ind w:firstLine="283"/>
        <w:jc w:val="both"/>
      </w:pPr>
      <w:r>
        <w:rPr>
          <w:rtl/>
        </w:rPr>
        <w:t>ר׳ מאיר ליברמן</w:t>
      </w:r>
      <w:bookmarkStart w:id="6695" w:name="_fnr5094"/>
      <w:r>
        <w:rPr>
          <w:rStyle w:val="a5"/>
        </w:rPr>
        <w:footnoteReference w:id="5107" w:customMarkFollows="0"/>
      </w:r>
      <w:bookmarkEnd w:id="6695"/>
      <w:r>
        <w:rPr>
          <w:rtl/>
        </w:rPr>
        <w:t xml:space="preserve"> סיפר שר׳ יצחק־זאב </w:t>
      </w:r>
      <w:proofErr w:type="spellStart"/>
      <w:r>
        <w:rPr>
          <w:rtl/>
        </w:rPr>
        <w:t>סולובייצ׳יק</w:t>
      </w:r>
      <w:proofErr w:type="spellEnd"/>
      <w:r>
        <w:rPr>
          <w:rtl/>
        </w:rPr>
        <w:t xml:space="preserve"> אמר לו </w:t>
      </w:r>
      <w:proofErr w:type="spellStart"/>
      <w:r>
        <w:rPr>
          <w:rtl/>
        </w:rPr>
        <w:t>שהנצי״ב</w:t>
      </w:r>
      <w:proofErr w:type="spellEnd"/>
      <w:r>
        <w:rPr>
          <w:rtl/>
        </w:rPr>
        <w:t xml:space="preserve"> שלח את ר׳ חיים </w:t>
      </w:r>
      <w:proofErr w:type="spellStart"/>
      <w:r>
        <w:rPr>
          <w:rtl/>
        </w:rPr>
        <w:t>לר</w:t>
      </w:r>
      <w:proofErr w:type="spellEnd"/>
      <w:r>
        <w:rPr>
          <w:rtl/>
        </w:rPr>
        <w:t xml:space="preserve">׳ ראובן מפני שר׳ ראובן לא העריך כל כך את ישיבת </w:t>
      </w:r>
      <w:proofErr w:type="spellStart"/>
      <w:r>
        <w:rPr>
          <w:rtl/>
        </w:rPr>
        <w:t>וולוז׳ין</w:t>
      </w:r>
      <w:proofErr w:type="spellEnd"/>
      <w:r>
        <w:rPr>
          <w:rtl/>
        </w:rPr>
        <w:t xml:space="preserve">, ושאחרי ששוחח עמו אורחו אמר ר׳ ראובן – בלשון חידתית, כנראה – “כשאומרים </w:t>
      </w:r>
      <w:proofErr w:type="spellStart"/>
      <w:r>
        <w:rPr>
          <w:rtl/>
        </w:rPr>
        <w:t>שבוולוז׳ין</w:t>
      </w:r>
      <w:proofErr w:type="spellEnd"/>
      <w:r>
        <w:rPr>
          <w:rtl/>
        </w:rPr>
        <w:t xml:space="preserve"> יש הכול, אפשר להאמין לכך”.</w:t>
      </w:r>
    </w:p>
    <w:p w14:paraId="3FA5C225" w14:textId="77777777" w:rsidR="00AB3647" w:rsidRDefault="00000000" w:rsidP="007923E9">
      <w:pPr>
        <w:spacing w:after="120" w:line="276" w:lineRule="auto"/>
        <w:ind w:firstLine="283"/>
        <w:jc w:val="both"/>
      </w:pPr>
      <w:r>
        <w:rPr>
          <w:rtl/>
        </w:rPr>
        <w:t xml:space="preserve">ייתכן שאין סתירה בין גרסת רבנו על מטרת הנסיעה לבין דברי ר׳ יצחק־זאב, מפני שהטעם הגלוי לביקור </w:t>
      </w:r>
      <w:proofErr w:type="spellStart"/>
      <w:r>
        <w:rPr>
          <w:rtl/>
        </w:rPr>
        <w:t>בדננבורג</w:t>
      </w:r>
      <w:proofErr w:type="spellEnd"/>
      <w:r>
        <w:rPr>
          <w:rtl/>
        </w:rPr>
        <w:t xml:space="preserve"> היה שאלת כולל </w:t>
      </w:r>
      <w:proofErr w:type="spellStart"/>
      <w:r>
        <w:rPr>
          <w:rtl/>
        </w:rPr>
        <w:t>ברודסקי</w:t>
      </w:r>
      <w:proofErr w:type="spellEnd"/>
      <w:r>
        <w:rPr>
          <w:rtl/>
        </w:rPr>
        <w:t xml:space="preserve">, ואילו מאחוריו עמדה הכוונה להביא את ר׳ ראובן לשנות את דעתו על הישיבה. אלמלא רצתה הישיבה להציג את פניה היפות של </w:t>
      </w:r>
      <w:proofErr w:type="spellStart"/>
      <w:r>
        <w:rPr>
          <w:rtl/>
        </w:rPr>
        <w:t>וולוז׳ין</w:t>
      </w:r>
      <w:proofErr w:type="spellEnd"/>
      <w:r>
        <w:rPr>
          <w:rtl/>
        </w:rPr>
        <w:t xml:space="preserve"> לפני ר׳ ראובן </w:t>
      </w:r>
      <w:proofErr w:type="spellStart"/>
      <w:r>
        <w:rPr>
          <w:rtl/>
        </w:rPr>
        <w:t>דננבורגר</w:t>
      </w:r>
      <w:proofErr w:type="spellEnd"/>
      <w:r>
        <w:rPr>
          <w:rtl/>
        </w:rPr>
        <w:t xml:space="preserve">, אפשר היה להכריע בשאלת הכולל בפנייה לאחד מגדולי התורה האחרים – או להניח </w:t>
      </w:r>
      <w:proofErr w:type="spellStart"/>
      <w:r>
        <w:rPr>
          <w:rtl/>
        </w:rPr>
        <w:t>לנצי״ב</w:t>
      </w:r>
      <w:proofErr w:type="spellEnd"/>
      <w:r>
        <w:rPr>
          <w:rtl/>
        </w:rPr>
        <w:t xml:space="preserve"> עצמו, שהיה בוודאי סמכות עולמית, להכריע לבדו. אולם נראה ששינוי דעתו של ר׳ ראובן על </w:t>
      </w:r>
      <w:proofErr w:type="spellStart"/>
      <w:r>
        <w:rPr>
          <w:rtl/>
        </w:rPr>
        <w:t>וולוז׳ין</w:t>
      </w:r>
      <w:proofErr w:type="spellEnd"/>
      <w:r>
        <w:rPr>
          <w:rtl/>
        </w:rPr>
        <w:t xml:space="preserve"> </w:t>
      </w:r>
      <w:r>
        <w:rPr>
          <w:b/>
          <w:bCs/>
          <w:rtl/>
        </w:rPr>
        <w:t>אחרי</w:t>
      </w:r>
      <w:r>
        <w:rPr>
          <w:rtl/>
        </w:rPr>
        <w:t xml:space="preserve"> שפגש את ר׳ חיים היה מסויג.</w:t>
      </w:r>
    </w:p>
    <w:p w14:paraId="5515DCE2" w14:textId="77777777" w:rsidR="00AB3647" w:rsidRDefault="00000000" w:rsidP="007923E9">
      <w:pPr>
        <w:spacing w:after="120" w:line="276" w:lineRule="auto"/>
        <w:ind w:firstLine="283"/>
        <w:jc w:val="both"/>
      </w:pPr>
      <w:r>
        <w:rPr>
          <w:rtl/>
        </w:rPr>
        <w:lastRenderedPageBreak/>
        <w:t xml:space="preserve">אבי המשיך: “כשהציג ר׳ חיים את עצמו כחתנו של בן רבו, ר׳ רפאל שפירא, אמר ר׳ ראובן: ‘אז אתה הוא ר׳ חיים שמדברים עליו כל כך הרבה? שאל קושיא!’ ר׳ חיים השיב: ‘[שאשאל] קושיא? אתה שאל את </w:t>
      </w:r>
      <w:proofErr w:type="spellStart"/>
      <w:r>
        <w:rPr>
          <w:rtl/>
        </w:rPr>
        <w:t>הקושיא</w:t>
      </w:r>
      <w:proofErr w:type="spellEnd"/>
      <w:r>
        <w:rPr>
          <w:rtl/>
        </w:rPr>
        <w:t>, ואני אומר גם את תירוצך וגם את תירוצי’, וכך עשה”. ר׳ שלמה לורנץ חזר על סיפור זה</w:t>
      </w:r>
      <w:bookmarkStart w:id="6696" w:name="_fnr5095"/>
      <w:r>
        <w:rPr>
          <w:rStyle w:val="a5"/>
        </w:rPr>
        <w:footnoteReference w:id="5108" w:customMarkFollows="0"/>
      </w:r>
      <w:bookmarkEnd w:id="6696"/>
      <w:r>
        <w:rPr>
          <w:rtl/>
        </w:rPr>
        <w:t xml:space="preserve"> כפי ששמעו מרבנו בביקורו בארץ ישראל </w:t>
      </w:r>
      <w:proofErr w:type="spellStart"/>
      <w:r>
        <w:rPr>
          <w:rtl/>
        </w:rPr>
        <w:t>בתשכ״ג</w:t>
      </w:r>
      <w:proofErr w:type="spellEnd"/>
      <w:r>
        <w:rPr>
          <w:rtl/>
        </w:rPr>
        <w:t xml:space="preserve">: אבי אמר שר׳ חיים הסביר </w:t>
      </w:r>
      <w:proofErr w:type="spellStart"/>
      <w:r>
        <w:rPr>
          <w:rtl/>
        </w:rPr>
        <w:t>לר</w:t>
      </w:r>
      <w:proofErr w:type="spellEnd"/>
      <w:r>
        <w:rPr>
          <w:rtl/>
        </w:rPr>
        <w:t xml:space="preserve">׳ ראובן מדוע קושיא משלו לא תספיק להוכיח שהוא ראוי לכך </w:t>
      </w:r>
      <w:proofErr w:type="spellStart"/>
      <w:r>
        <w:rPr>
          <w:rtl/>
        </w:rPr>
        <w:t>ש“מדברים</w:t>
      </w:r>
      <w:proofErr w:type="spellEnd"/>
      <w:r>
        <w:rPr>
          <w:rtl/>
        </w:rPr>
        <w:t xml:space="preserve"> עליו כל כך הרבה” – שהרי “</w:t>
      </w:r>
      <w:r>
        <w:rPr>
          <w:b/>
          <w:bCs/>
          <w:rtl/>
        </w:rPr>
        <w:t>כל</w:t>
      </w:r>
      <w:r>
        <w:rPr>
          <w:rtl/>
        </w:rPr>
        <w:t xml:space="preserve"> תלמיד ישיבה מגיע במהלך לימודו לפחות </w:t>
      </w:r>
      <w:proofErr w:type="spellStart"/>
      <w:r>
        <w:rPr>
          <w:rtl/>
        </w:rPr>
        <w:t>לקושיא</w:t>
      </w:r>
      <w:proofErr w:type="spellEnd"/>
      <w:r>
        <w:rPr>
          <w:rtl/>
        </w:rPr>
        <w:t xml:space="preserve"> מעולה אחת!”</w:t>
      </w:r>
    </w:p>
    <w:p w14:paraId="42C7A2F7" w14:textId="77777777" w:rsidR="00AB3647" w:rsidRDefault="00000000" w:rsidP="007923E9">
      <w:pPr>
        <w:spacing w:after="120" w:line="276" w:lineRule="auto"/>
        <w:ind w:firstLine="283"/>
        <w:jc w:val="both"/>
      </w:pPr>
      <w:r>
        <w:rPr>
          <w:rtl/>
        </w:rPr>
        <w:t xml:space="preserve">לפי ר׳ </w:t>
      </w:r>
      <w:proofErr w:type="spellStart"/>
      <w:r>
        <w:rPr>
          <w:rtl/>
        </w:rPr>
        <w:t>משולם־דוד</w:t>
      </w:r>
      <w:proofErr w:type="spellEnd"/>
      <w:r>
        <w:rPr>
          <w:rtl/>
        </w:rPr>
        <w:t xml:space="preserve"> </w:t>
      </w:r>
      <w:proofErr w:type="spellStart"/>
      <w:r>
        <w:rPr>
          <w:rtl/>
        </w:rPr>
        <w:t>סולובייצ׳יק</w:t>
      </w:r>
      <w:bookmarkStart w:id="6697" w:name="_fnr5096"/>
      <w:proofErr w:type="spellEnd"/>
      <w:r>
        <w:rPr>
          <w:rStyle w:val="a5"/>
        </w:rPr>
        <w:footnoteReference w:id="5109" w:customMarkFollows="0"/>
      </w:r>
      <w:bookmarkEnd w:id="6697"/>
      <w:r>
        <w:rPr>
          <w:rtl/>
        </w:rPr>
        <w:t xml:space="preserve">, אחרי שאמר ר׳ ראובן: “ישבתי אמש וכתבתי תשובה על שאלה הלכתית מסוימת”, הציע לו ר׳ חיים לומר מה הוא עומד לומר, וקלע בדיוק למה שכתב מארחו – התשובה הראשונה, הקושי שבה, והמסקנה. אין הדבר סותר במישרין את גרסת אבי, שכן ייתכן שאירע </w:t>
      </w:r>
      <w:r>
        <w:rPr>
          <w:b/>
          <w:bCs/>
          <w:rtl/>
        </w:rPr>
        <w:t>אחרי</w:t>
      </w:r>
      <w:r>
        <w:rPr>
          <w:rtl/>
        </w:rPr>
        <w:t xml:space="preserve"> שסירב ר׳ חיים לבקשת הפתיחה שיקשה קושיא משלו, והחזיר את הכדור למגרשו של ר׳ ראובן.</w:t>
      </w:r>
    </w:p>
    <w:p w14:paraId="7FC3C7E6" w14:textId="77777777" w:rsidR="00AB3647" w:rsidRDefault="00000000" w:rsidP="007923E9">
      <w:pPr>
        <w:spacing w:after="120" w:line="276" w:lineRule="auto"/>
        <w:ind w:firstLine="283"/>
        <w:jc w:val="both"/>
      </w:pPr>
      <w:r>
        <w:rPr>
          <w:rtl/>
        </w:rPr>
        <w:t xml:space="preserve">ר׳ שלמה לורנץ מסר גם בשם אבי שר׳ חיים יכול היה להסיק את תשובת מארחו מהאזנה לאופן שבו הציג את </w:t>
      </w:r>
      <w:proofErr w:type="spellStart"/>
      <w:r>
        <w:rPr>
          <w:rtl/>
        </w:rPr>
        <w:t>הקושיא</w:t>
      </w:r>
      <w:proofErr w:type="spellEnd"/>
      <w:r>
        <w:rPr>
          <w:rtl/>
        </w:rPr>
        <w:t>. לפי תפיסה זו פענח ר׳ חיים את דרך מחשבתו של ר׳ ראובן באותו אופן שבו פענח, לפי המסופר, את זו של ר׳ פישל בר – מן השיחה בלבד, זו שהתנהלה כשנפגשו וקדמה לשיחתם בדברי תורה.</w:t>
      </w:r>
    </w:p>
    <w:p w14:paraId="14D8D185" w14:textId="77777777" w:rsidR="00AB3647" w:rsidRDefault="00000000" w:rsidP="007923E9">
      <w:pPr>
        <w:spacing w:after="120" w:line="276" w:lineRule="auto"/>
        <w:ind w:firstLine="283"/>
        <w:jc w:val="both"/>
      </w:pPr>
      <w:r>
        <w:rPr>
          <w:rtl/>
        </w:rPr>
        <w:t xml:space="preserve">סיפור פגישתו של ר׳ חיים עם ר׳ ראובן מובא גם אצל </w:t>
      </w:r>
      <w:proofErr w:type="spellStart"/>
      <w:r>
        <w:rPr>
          <w:rtl/>
        </w:rPr>
        <w:t>רבינר</w:t>
      </w:r>
      <w:proofErr w:type="spellEnd"/>
      <w:r>
        <w:rPr>
          <w:rtl/>
        </w:rPr>
        <w:t>, “רבינו מאיר שמחה הכהן”</w:t>
      </w:r>
      <w:bookmarkStart w:id="6698" w:name="_fnr5097"/>
      <w:r>
        <w:rPr>
          <w:rStyle w:val="a5"/>
        </w:rPr>
        <w:footnoteReference w:id="5110" w:customMarkFollows="0"/>
      </w:r>
      <w:bookmarkEnd w:id="6698"/>
      <w:r>
        <w:rPr>
          <w:rtl/>
        </w:rPr>
        <w:t xml:space="preserve">, בשני שינויים עיקריים: 1) ר׳ חיים בא </w:t>
      </w:r>
      <w:proofErr w:type="spellStart"/>
      <w:r>
        <w:rPr>
          <w:rtl/>
        </w:rPr>
        <w:t>לדננבורג</w:t>
      </w:r>
      <w:proofErr w:type="spellEnd"/>
      <w:r>
        <w:rPr>
          <w:rtl/>
        </w:rPr>
        <w:t xml:space="preserve"> לאסוף כספים יחד עם חותנו; 2) ר׳ חיים אמר </w:t>
      </w:r>
      <w:proofErr w:type="spellStart"/>
      <w:r>
        <w:rPr>
          <w:rtl/>
        </w:rPr>
        <w:t>לר</w:t>
      </w:r>
      <w:proofErr w:type="spellEnd"/>
      <w:r>
        <w:rPr>
          <w:rtl/>
        </w:rPr>
        <w:t xml:space="preserve">׳ ראובן שאת דרך סברתו הכיר מפי תלמיד </w:t>
      </w:r>
      <w:proofErr w:type="spellStart"/>
      <w:r>
        <w:rPr>
          <w:rtl/>
        </w:rPr>
        <w:t>וולוז׳ין</w:t>
      </w:r>
      <w:proofErr w:type="spellEnd"/>
      <w:r>
        <w:rPr>
          <w:rtl/>
        </w:rPr>
        <w:t xml:space="preserve"> יליד </w:t>
      </w:r>
      <w:proofErr w:type="spellStart"/>
      <w:r>
        <w:rPr>
          <w:rtl/>
        </w:rPr>
        <w:t>דננבורג</w:t>
      </w:r>
      <w:proofErr w:type="spellEnd"/>
      <w:r>
        <w:rPr>
          <w:rtl/>
        </w:rPr>
        <w:t xml:space="preserve">, שחזר לפניו על כמה מחידושי תורתו של רבו. יש שם גם שני שינויים קלים לעומת גרסת אבי: ר׳ חיים לא אמר </w:t>
      </w:r>
      <w:proofErr w:type="spellStart"/>
      <w:r>
        <w:rPr>
          <w:rtl/>
        </w:rPr>
        <w:t>לר</w:t>
      </w:r>
      <w:proofErr w:type="spellEnd"/>
      <w:r>
        <w:rPr>
          <w:rtl/>
        </w:rPr>
        <w:t xml:space="preserve">׳ ראובן </w:t>
      </w:r>
      <w:r>
        <w:rPr>
          <w:b/>
          <w:bCs/>
          <w:rtl/>
        </w:rPr>
        <w:t>מראש</w:t>
      </w:r>
      <w:r>
        <w:rPr>
          <w:rtl/>
        </w:rPr>
        <w:t xml:space="preserve"> שיכוון לתשובתו, ואף לא הודיעו שפתרונו שלו יהיה שונה מזה של מארחו.</w:t>
      </w:r>
    </w:p>
    <w:p w14:paraId="5CEAA4AB" w14:textId="77777777" w:rsidR="00AB3647" w:rsidRDefault="00000000" w:rsidP="007923E9">
      <w:pPr>
        <w:spacing w:after="120" w:line="276" w:lineRule="auto"/>
        <w:ind w:firstLine="283"/>
        <w:jc w:val="both"/>
      </w:pPr>
      <w:proofErr w:type="spellStart"/>
      <w:r>
        <w:rPr>
          <w:rtl/>
        </w:rPr>
        <w:t>רבינר</w:t>
      </w:r>
      <w:proofErr w:type="spellEnd"/>
      <w:r>
        <w:rPr>
          <w:rtl/>
        </w:rPr>
        <w:t xml:space="preserve"> מייחס את גרסתו </w:t>
      </w:r>
      <w:proofErr w:type="spellStart"/>
      <w:r>
        <w:rPr>
          <w:rtl/>
        </w:rPr>
        <w:t>לר</w:t>
      </w:r>
      <w:proofErr w:type="spellEnd"/>
      <w:r>
        <w:rPr>
          <w:rtl/>
        </w:rPr>
        <w:t xml:space="preserve">׳ </w:t>
      </w:r>
      <w:proofErr w:type="spellStart"/>
      <w:r>
        <w:rPr>
          <w:rtl/>
        </w:rPr>
        <w:t>נפתלי־צבי־יהודה</w:t>
      </w:r>
      <w:proofErr w:type="spellEnd"/>
      <w:r>
        <w:rPr>
          <w:rtl/>
        </w:rPr>
        <w:t xml:space="preserve"> ריף, ומוסיף: “על הדיון שבין ר׳ ראובן </w:t>
      </w:r>
      <w:proofErr w:type="spellStart"/>
      <w:r>
        <w:rPr>
          <w:rtl/>
        </w:rPr>
        <w:t>לר</w:t>
      </w:r>
      <w:proofErr w:type="spellEnd"/>
      <w:r>
        <w:rPr>
          <w:rtl/>
        </w:rPr>
        <w:t xml:space="preserve">׳ חיים שמעתי גם מר׳ מיכל </w:t>
      </w:r>
      <w:proofErr w:type="spellStart"/>
      <w:r>
        <w:rPr>
          <w:rtl/>
        </w:rPr>
        <w:t>פיינשטיין</w:t>
      </w:r>
      <w:proofErr w:type="spellEnd"/>
      <w:r>
        <w:rPr>
          <w:rtl/>
        </w:rPr>
        <w:t xml:space="preserve"> בשם חותנו, ר׳ </w:t>
      </w:r>
      <w:proofErr w:type="spellStart"/>
      <w:r>
        <w:rPr>
          <w:rtl/>
        </w:rPr>
        <w:t xml:space="preserve">וועלוול׳ה</w:t>
      </w:r>
      <w:proofErr w:type="spellEnd"/>
      <w:r>
        <w:rPr>
          <w:rtl/>
        </w:rPr>
        <w:t xml:space="preserve">” – ניסוח המעיד שגרסת ר׳ יצחק־זאב, כגרסת רבנו, לא הייתה זהה לגמרי לזו של הרב ריף. אולם ייתכן שגרסת ר׳ יצחק־זאב לפגישת ההיכרות של ר׳ חיים עם ר׳ ראובן אינה זהה לגרסת רבנו. אפשר שהיא הגרסה המצוטטת בשמו </w:t>
      </w:r>
      <w:proofErr w:type="spellStart"/>
      <w:r>
        <w:rPr>
          <w:rtl/>
        </w:rPr>
        <w:t>ב“שמושה</w:t>
      </w:r>
      <w:proofErr w:type="spellEnd"/>
      <w:r>
        <w:rPr>
          <w:rtl/>
        </w:rPr>
        <w:t xml:space="preserve"> של תורה”</w:t>
      </w:r>
      <w:bookmarkStart w:id="6699" w:name="_fnr5098"/>
      <w:r>
        <w:rPr>
          <w:rStyle w:val="a5"/>
        </w:rPr>
        <w:footnoteReference w:id="5111" w:customMarkFollows="0"/>
      </w:r>
      <w:bookmarkEnd w:id="6699"/>
      <w:r>
        <w:rPr>
          <w:rtl/>
        </w:rPr>
        <w:t xml:space="preserve">, שלפיה נפגשו השניים כאשר “את ישיבת </w:t>
      </w:r>
      <w:proofErr w:type="spellStart"/>
      <w:r>
        <w:rPr>
          <w:rtl/>
        </w:rPr>
        <w:t>וולוז׳ין</w:t>
      </w:r>
      <w:proofErr w:type="spellEnd"/>
      <w:r>
        <w:rPr>
          <w:rtl/>
        </w:rPr>
        <w:t xml:space="preserve"> ייצג ר׳ חיים בדין תורה שערכה נגד כולל קובנה על זכויות איסוף כספים”. פתיחת כולל </w:t>
      </w:r>
      <w:proofErr w:type="spellStart"/>
      <w:r>
        <w:rPr>
          <w:rtl/>
        </w:rPr>
        <w:t>ברודסקי</w:t>
      </w:r>
      <w:proofErr w:type="spellEnd"/>
      <w:r>
        <w:rPr>
          <w:rtl/>
        </w:rPr>
        <w:t xml:space="preserve"> ודין התורה אכן אירעו בערך באותו זמן!</w:t>
      </w:r>
    </w:p>
    <w:p w14:paraId="30BC2DA8" w14:textId="77777777" w:rsidR="00AB3647" w:rsidRDefault="00000000" w:rsidP="007923E9">
      <w:pPr>
        <w:spacing w:after="120" w:line="276" w:lineRule="auto"/>
        <w:ind w:firstLine="283"/>
        <w:jc w:val="both"/>
      </w:pPr>
      <w:r>
        <w:rPr>
          <w:rtl/>
        </w:rPr>
        <w:t xml:space="preserve">נכון שר׳ חיים ייצג את ישיבת </w:t>
      </w:r>
      <w:proofErr w:type="spellStart"/>
      <w:r>
        <w:rPr>
          <w:rtl/>
        </w:rPr>
        <w:t>וולוז׳ין</w:t>
      </w:r>
      <w:proofErr w:type="spellEnd"/>
      <w:r>
        <w:rPr>
          <w:rtl/>
        </w:rPr>
        <w:t xml:space="preserve"> בדין התורה – שבו אירעו חילופי הדברים החריפים עם ר׳ </w:t>
      </w:r>
      <w:proofErr w:type="spellStart"/>
      <w:r>
        <w:rPr>
          <w:rtl/>
        </w:rPr>
        <w:t xml:space="preserve">אברמצ׳יק</w:t>
      </w:r>
      <w:proofErr w:type="spellEnd"/>
      <w:r>
        <w:rPr>
          <w:rtl/>
        </w:rPr>
        <w:t xml:space="preserve"> </w:t>
      </w:r>
      <w:proofErr w:type="spellStart"/>
      <w:r>
        <w:rPr>
          <w:rtl/>
        </w:rPr>
        <w:t>טאנעס</w:t>
      </w:r>
      <w:proofErr w:type="spellEnd"/>
      <w:r>
        <w:rPr>
          <w:rtl/>
        </w:rPr>
        <w:t xml:space="preserve">, כמסופר בפסקה הראשונה לעיל. אבל רבנו החזיק בדעה שהטעם לביקורו [הראשון] של ר׳ חיים אצל ר׳ ראובן היה קשור, כאמור לעיל, לשאלת הכולל, שכן לא </w:t>
      </w:r>
      <w:r>
        <w:rPr>
          <w:rtl/>
        </w:rPr>
        <w:lastRenderedPageBreak/>
        <w:t xml:space="preserve">סביר שר׳ חיים ביקר אצל דיין שנבחר לדון בהיעדר בעל הדין האחר. מובן שאין בכך כדי לשלול את דברי ר׳ יצחק־זאב שדין התורה נערך לפני ר׳ ראובן – אך זמן [קצר] </w:t>
      </w:r>
      <w:r>
        <w:rPr>
          <w:b/>
          <w:bCs/>
          <w:rtl/>
        </w:rPr>
        <w:t>אחרי</w:t>
      </w:r>
      <w:r>
        <w:rPr>
          <w:rtl/>
        </w:rPr>
        <w:t xml:space="preserve"> ביקורו הראשון של ר׳ חיים אצלו, שלא היה קשור אליו.</w:t>
      </w:r>
    </w:p>
    <w:p w14:paraId="3E305156" w14:textId="77777777" w:rsidR="00AB3647" w:rsidRDefault="00000000" w:rsidP="007923E9">
      <w:pPr>
        <w:spacing w:after="120" w:line="276" w:lineRule="auto"/>
        <w:ind w:firstLine="283"/>
        <w:jc w:val="both"/>
      </w:pPr>
      <w:r>
        <w:rPr>
          <w:rtl/>
        </w:rPr>
        <w:t xml:space="preserve">גם העדות אצל </w:t>
      </w:r>
      <w:proofErr w:type="spellStart"/>
      <w:r>
        <w:rPr>
          <w:rtl/>
        </w:rPr>
        <w:t>רבינר</w:t>
      </w:r>
      <w:proofErr w:type="spellEnd"/>
      <w:r>
        <w:rPr>
          <w:rtl/>
        </w:rPr>
        <w:t xml:space="preserve"> שביקור ר׳ חיים </w:t>
      </w:r>
      <w:proofErr w:type="spellStart"/>
      <w:r>
        <w:rPr>
          <w:rtl/>
        </w:rPr>
        <w:t>בדווינסק</w:t>
      </w:r>
      <w:proofErr w:type="spellEnd"/>
      <w:r>
        <w:rPr>
          <w:rtl/>
        </w:rPr>
        <w:t xml:space="preserve"> היה לשם איסוף כספים מוטלת בספק, אף שסביר שחותנו ליווהו, שכן </w:t>
      </w:r>
      <w:proofErr w:type="spellStart"/>
      <w:r>
        <w:rPr>
          <w:rtl/>
        </w:rPr>
        <w:t>נובו־אלכסנדרובסק</w:t>
      </w:r>
      <w:proofErr w:type="spellEnd"/>
      <w:r>
        <w:rPr>
          <w:rtl/>
        </w:rPr>
        <w:t xml:space="preserve">, שבה כיהן ר׳ רפאל כרב עוד שנה לפני שעבר </w:t>
      </w:r>
      <w:proofErr w:type="spellStart"/>
      <w:r>
        <w:rPr>
          <w:rtl/>
        </w:rPr>
        <w:t>לבוברויסק</w:t>
      </w:r>
      <w:proofErr w:type="spellEnd"/>
      <w:r>
        <w:rPr>
          <w:rtl/>
        </w:rPr>
        <w:t xml:space="preserve">, כאמור לעיל, הייתה במרחק עשרים קילומטר בלבד </w:t>
      </w:r>
      <w:proofErr w:type="spellStart"/>
      <w:r>
        <w:rPr>
          <w:rtl/>
        </w:rPr>
        <w:t>מדננבורג</w:t>
      </w:r>
      <w:proofErr w:type="spellEnd"/>
      <w:r>
        <w:rPr>
          <w:rtl/>
        </w:rPr>
        <w:t xml:space="preserve">. אולם דברי אבי </w:t>
      </w:r>
      <w:proofErr w:type="spellStart"/>
      <w:r>
        <w:rPr>
          <w:rtl/>
        </w:rPr>
        <w:t>ש“ר</w:t>
      </w:r>
      <w:proofErr w:type="spellEnd"/>
      <w:r>
        <w:rPr>
          <w:rtl/>
        </w:rPr>
        <w:t>׳ חיים הציג עצמו כחתנו של... ר׳ רפאל שפירא” מורים שרבנו סבר שר׳ רפאל לא נכח בפגישה.</w:t>
      </w:r>
    </w:p>
    <w:p w14:paraId="5EAD18C5" w14:textId="77777777" w:rsidR="00AB3647" w:rsidRDefault="00000000" w:rsidP="007923E9">
      <w:pPr>
        <w:spacing w:after="120" w:line="276" w:lineRule="auto"/>
        <w:ind w:firstLine="283"/>
        <w:jc w:val="both"/>
      </w:pPr>
      <w:r>
        <w:rPr>
          <w:rtl/>
        </w:rPr>
        <w:t xml:space="preserve">אשר לטענת </w:t>
      </w:r>
      <w:proofErr w:type="spellStart"/>
      <w:r>
        <w:rPr>
          <w:rtl/>
        </w:rPr>
        <w:t>רבינר</w:t>
      </w:r>
      <w:proofErr w:type="spellEnd"/>
      <w:r>
        <w:rPr>
          <w:rtl/>
        </w:rPr>
        <w:t xml:space="preserve">, “רבינו מאיר שמחה הכהן”, שר׳ חיים הכיר את דרך סברתו של ר׳ ראובן משמיעת חידושיו מפי אחד מתלמידי </w:t>
      </w:r>
      <w:proofErr w:type="spellStart"/>
      <w:r>
        <w:rPr>
          <w:rtl/>
        </w:rPr>
        <w:t>וולוז׳ין</w:t>
      </w:r>
      <w:proofErr w:type="spellEnd"/>
      <w:r>
        <w:rPr>
          <w:rtl/>
        </w:rPr>
        <w:t xml:space="preserve"> – שמעתי מר׳ יוסף </w:t>
      </w:r>
      <w:proofErr w:type="spellStart"/>
      <w:r>
        <w:rPr>
          <w:rtl/>
        </w:rPr>
        <w:t>סולובייצ׳יק</w:t>
      </w:r>
      <w:bookmarkStart w:id="6700" w:name="_fnr5099"/>
      <w:proofErr w:type="spellEnd"/>
      <w:r>
        <w:rPr>
          <w:rStyle w:val="a5"/>
        </w:rPr>
        <w:footnoteReference w:id="5112" w:customMarkFollows="0"/>
      </w:r>
      <w:bookmarkEnd w:id="6700"/>
      <w:r>
        <w:rPr>
          <w:rtl/>
        </w:rPr>
        <w:t xml:space="preserve"> שיש מסורת כזאת במשפחת </w:t>
      </w:r>
      <w:proofErr w:type="spellStart"/>
      <w:r>
        <w:rPr>
          <w:rtl/>
        </w:rPr>
        <w:t>סולובייצ׳יק</w:t>
      </w:r>
      <w:proofErr w:type="spellEnd"/>
      <w:r>
        <w:rPr>
          <w:rtl/>
        </w:rPr>
        <w:t xml:space="preserve"> (אף שהטענה שר׳ חיים </w:t>
      </w:r>
      <w:r>
        <w:rPr>
          <w:b/>
          <w:bCs/>
          <w:rtl/>
        </w:rPr>
        <w:t>סיפר זאת</w:t>
      </w:r>
      <w:r>
        <w:rPr>
          <w:rtl/>
        </w:rPr>
        <w:t xml:space="preserve"> </w:t>
      </w:r>
      <w:proofErr w:type="spellStart"/>
      <w:r>
        <w:rPr>
          <w:rtl/>
        </w:rPr>
        <w:t>לר</w:t>
      </w:r>
      <w:proofErr w:type="spellEnd"/>
      <w:r>
        <w:rPr>
          <w:rtl/>
        </w:rPr>
        <w:t xml:space="preserve">׳ ראובן עודנה, כמובן, שאלה פתוחה). לפי מסורת </w:t>
      </w:r>
      <w:proofErr w:type="spellStart"/>
      <w:r>
        <w:rPr>
          <w:rtl/>
        </w:rPr>
        <w:t>סולובייצ׳יק</w:t>
      </w:r>
      <w:proofErr w:type="spellEnd"/>
      <w:r>
        <w:rPr>
          <w:rtl/>
        </w:rPr>
        <w:t xml:space="preserve">, התלמיד שממנו שמע ר׳ חיים את דברי תורתו של ר׳ ראובן היה ר׳ </w:t>
      </w:r>
      <w:proofErr w:type="spellStart"/>
      <w:r>
        <w:rPr>
          <w:rtl/>
        </w:rPr>
        <w:t>אברהם־יצחק</w:t>
      </w:r>
      <w:proofErr w:type="spellEnd"/>
      <w:r>
        <w:rPr>
          <w:rtl/>
        </w:rPr>
        <w:t xml:space="preserve"> קוק, שמוצאו </w:t>
      </w:r>
      <w:proofErr w:type="spellStart"/>
      <w:r>
        <w:rPr>
          <w:rtl/>
        </w:rPr>
        <w:t>מגריבה</w:t>
      </w:r>
      <w:bookmarkStart w:id="6701" w:name="_fnr5100"/>
      <w:proofErr w:type="spellEnd"/>
      <w:r>
        <w:rPr>
          <w:rStyle w:val="a5"/>
        </w:rPr>
        <w:footnoteReference w:id="5113" w:customMarkFollows="0"/>
      </w:r>
      <w:bookmarkEnd w:id="6701"/>
      <w:r>
        <w:rPr>
          <w:rtl/>
        </w:rPr>
        <w:t xml:space="preserve">, עיירה סמוכה </w:t>
      </w:r>
      <w:proofErr w:type="spellStart"/>
      <w:r>
        <w:rPr>
          <w:rtl/>
        </w:rPr>
        <w:t>לדננבורג</w:t>
      </w:r>
      <w:proofErr w:type="spellEnd"/>
      <w:r>
        <w:rPr>
          <w:rtl/>
        </w:rPr>
        <w:t xml:space="preserve">, והרבה לדבר עם רבה. ר׳ מאיר ליברמן מסר גם בשם ר׳ יצחק־זאב שלפני נסיעתו ביקש ר׳ חיים מבחור </w:t>
      </w:r>
      <w:proofErr w:type="spellStart"/>
      <w:r>
        <w:rPr>
          <w:rtl/>
        </w:rPr>
        <w:t>מדננבורג</w:t>
      </w:r>
      <w:proofErr w:type="spellEnd"/>
      <w:r>
        <w:rPr>
          <w:rtl/>
        </w:rPr>
        <w:t>, ששמו לא נמסר, לכתוב כמה שאלות לרבו, ומתוך העיון בתשובות ידע ר׳ חיים כיצד פועלת מחשבתו של ר׳ ראובן.</w:t>
      </w:r>
    </w:p>
    <w:p w14:paraId="319C372D" w14:textId="77777777" w:rsidR="00AB3647" w:rsidRDefault="00000000" w:rsidP="007923E9">
      <w:pPr>
        <w:spacing w:after="120" w:line="276" w:lineRule="auto"/>
        <w:ind w:firstLine="283"/>
        <w:jc w:val="both"/>
      </w:pPr>
      <w:r>
        <w:rPr>
          <w:rtl/>
        </w:rPr>
        <w:t xml:space="preserve">ר׳ </w:t>
      </w:r>
      <w:proofErr w:type="spellStart"/>
      <w:r>
        <w:rPr>
          <w:rtl/>
        </w:rPr>
        <w:t>משולם־דוד</w:t>
      </w:r>
      <w:proofErr w:type="spellEnd"/>
      <w:r>
        <w:rPr>
          <w:rtl/>
        </w:rPr>
        <w:t xml:space="preserve"> </w:t>
      </w:r>
      <w:proofErr w:type="spellStart"/>
      <w:r>
        <w:rPr>
          <w:rtl/>
        </w:rPr>
        <w:t>סולובייצ׳יק</w:t>
      </w:r>
      <w:proofErr w:type="spellEnd"/>
      <w:r>
        <w:rPr>
          <w:rtl/>
        </w:rPr>
        <w:t xml:space="preserve"> אישר זאת</w:t>
      </w:r>
      <w:bookmarkStart w:id="6702" w:name="_fnr5101"/>
      <w:r>
        <w:rPr>
          <w:rStyle w:val="a5"/>
        </w:rPr>
        <w:footnoteReference w:id="5114" w:customMarkFollows="0"/>
      </w:r>
      <w:bookmarkEnd w:id="6702"/>
      <w:r>
        <w:rPr>
          <w:rtl/>
        </w:rPr>
        <w:t xml:space="preserve">, אך הוסיף שבתחילה ביקש ר׳ חיים מתלמיד לחזור על דברים ששמע מר׳ ראובן, </w:t>
      </w:r>
      <w:proofErr w:type="spellStart"/>
      <w:r>
        <w:rPr>
          <w:rtl/>
        </w:rPr>
        <w:t>וכשלא</w:t>
      </w:r>
      <w:proofErr w:type="spellEnd"/>
      <w:r>
        <w:rPr>
          <w:rtl/>
        </w:rPr>
        <w:t xml:space="preserve"> קיבל תשובה מספקת, ביקש מן הצעיר לכתוב לרב שאלה מסוימת. הרב השיב על השאלה בכתב, ופתח בהקדמה הזאת: “מכיר אני אותך, </w:t>
      </w:r>
      <w:proofErr w:type="spellStart"/>
      <w:r>
        <w:rPr>
          <w:rtl/>
        </w:rPr>
        <w:t>ויכולני</w:t>
      </w:r>
      <w:proofErr w:type="spellEnd"/>
      <w:r>
        <w:rPr>
          <w:rtl/>
        </w:rPr>
        <w:t xml:space="preserve"> לדעת </w:t>
      </w:r>
      <w:proofErr w:type="spellStart"/>
      <w:r>
        <w:rPr>
          <w:rtl/>
        </w:rPr>
        <w:t>שהקושיא</w:t>
      </w:r>
      <w:proofErr w:type="spellEnd"/>
      <w:r>
        <w:rPr>
          <w:rtl/>
        </w:rPr>
        <w:t xml:space="preserve"> אינה שלך. </w:t>
      </w:r>
      <w:proofErr w:type="spellStart"/>
      <w:r>
        <w:rPr>
          <w:rtl/>
        </w:rPr>
        <w:t>הקושיא</w:t>
      </w:r>
      <w:proofErr w:type="spellEnd"/>
      <w:r>
        <w:rPr>
          <w:rtl/>
        </w:rPr>
        <w:t xml:space="preserve"> קשה כברזל, והיא באה [לא ממך, אלא] מאדם שהוא קשה כברזל</w:t>
      </w:r>
      <w:bookmarkStart w:id="6703" w:name="_fnr5102"/>
      <w:r>
        <w:rPr>
          <w:rStyle w:val="a5"/>
        </w:rPr>
        <w:footnoteReference w:id="5115" w:customMarkFollows="0"/>
      </w:r>
      <w:bookmarkEnd w:id="6703"/>
      <w:r>
        <w:rPr>
          <w:rtl/>
        </w:rPr>
        <w:t>”.</w:t>
      </w:r>
    </w:p>
    <w:p w14:paraId="50FD8B9E" w14:textId="77777777" w:rsidR="00AB3647" w:rsidRDefault="00000000" w:rsidP="007923E9">
      <w:pPr>
        <w:spacing w:after="120" w:line="276" w:lineRule="auto"/>
        <w:ind w:firstLine="283"/>
        <w:jc w:val="both"/>
      </w:pPr>
      <w:bookmarkStart w:id="6704" w:name="pr_b_2761"/>
      <w:bookmarkEnd w:id="6704"/>
      <w:r>
        <w:rPr>
          <w:rtl/>
        </w:rPr>
        <w:t>השווה גם “שמושה של תורה”</w:t>
      </w:r>
      <w:bookmarkStart w:id="6705" w:name="_fnr5103"/>
      <w:r>
        <w:rPr>
          <w:rStyle w:val="a5"/>
        </w:rPr>
        <w:footnoteReference w:id="5116" w:customMarkFollows="0"/>
      </w:r>
      <w:bookmarkEnd w:id="6705"/>
      <w:r>
        <w:rPr>
          <w:rtl/>
        </w:rPr>
        <w:t xml:space="preserve">, המספר שהבחור [ששמו לא נמסר] בא אל ר׳ ראובן לשאול את </w:t>
      </w:r>
      <w:proofErr w:type="spellStart"/>
      <w:r>
        <w:rPr>
          <w:rtl/>
        </w:rPr>
        <w:t>הקושיא</w:t>
      </w:r>
      <w:proofErr w:type="spellEnd"/>
      <w:r>
        <w:rPr>
          <w:rtl/>
        </w:rPr>
        <w:t xml:space="preserve"> בעת ביקור בביתו [ולא כתב אותה אליו </w:t>
      </w:r>
      <w:proofErr w:type="spellStart"/>
      <w:r>
        <w:rPr>
          <w:rtl/>
        </w:rPr>
        <w:t>מוולוז׳ין</w:t>
      </w:r>
      <w:proofErr w:type="spellEnd"/>
      <w:r>
        <w:rPr>
          <w:rtl/>
        </w:rPr>
        <w:t>].</w:t>
      </w:r>
    </w:p>
    <w:p w14:paraId="29E2172C" w14:textId="77777777" w:rsidR="00AB3647" w:rsidRDefault="00000000" w:rsidP="007923E9">
      <w:pPr>
        <w:spacing w:after="120" w:line="276" w:lineRule="auto"/>
        <w:ind w:firstLine="283"/>
        <w:jc w:val="both"/>
      </w:pPr>
      <w:r>
        <w:rPr>
          <w:rtl/>
        </w:rPr>
        <w:t xml:space="preserve">השווה גם “שיחות </w:t>
      </w:r>
      <w:proofErr w:type="spellStart"/>
      <w:r>
        <w:rPr>
          <w:rtl/>
        </w:rPr>
        <w:t>הראי״ה</w:t>
      </w:r>
      <w:proofErr w:type="spellEnd"/>
      <w:r>
        <w:rPr>
          <w:rtl/>
        </w:rPr>
        <w:t xml:space="preserve"> ואורות משנתו” מאת הרב משה צבי נריה</w:t>
      </w:r>
      <w:bookmarkStart w:id="6706" w:name="_fnr5104"/>
      <w:r>
        <w:rPr>
          <w:rStyle w:val="a5"/>
        </w:rPr>
        <w:footnoteReference w:id="5117" w:customMarkFollows="0"/>
      </w:r>
      <w:bookmarkEnd w:id="6706"/>
      <w:r>
        <w:rPr>
          <w:rtl/>
        </w:rPr>
        <w:t xml:space="preserve">. הרב נריה כותב שם שר׳ </w:t>
      </w:r>
      <w:proofErr w:type="spellStart"/>
      <w:r>
        <w:rPr>
          <w:rtl/>
        </w:rPr>
        <w:t>אברהם־יצחק</w:t>
      </w:r>
      <w:proofErr w:type="spellEnd"/>
      <w:r>
        <w:rPr>
          <w:rtl/>
        </w:rPr>
        <w:t xml:space="preserve"> קוק התחנך על שיטת לימודו של ר׳ ראובן, ולכן העדיף את שיעורי </w:t>
      </w:r>
      <w:proofErr w:type="spellStart"/>
      <w:r>
        <w:rPr>
          <w:rtl/>
        </w:rPr>
        <w:t>הנצי״ב</w:t>
      </w:r>
      <w:proofErr w:type="spellEnd"/>
      <w:r>
        <w:rPr>
          <w:rtl/>
        </w:rPr>
        <w:t xml:space="preserve"> על פני שיעורי ר׳ חיים. אותו מחבר מצטט את ר׳ </w:t>
      </w:r>
      <w:proofErr w:type="spellStart"/>
      <w:r>
        <w:rPr>
          <w:rtl/>
        </w:rPr>
        <w:t>אברהם־יצחק</w:t>
      </w:r>
      <w:proofErr w:type="spellEnd"/>
      <w:r>
        <w:rPr>
          <w:rtl/>
        </w:rPr>
        <w:t xml:space="preserve"> קוק שאמר לו שהוראת ר׳ ראובן, </w:t>
      </w:r>
      <w:proofErr w:type="spellStart"/>
      <w:r>
        <w:rPr>
          <w:rtl/>
        </w:rPr>
        <w:t>ש“כל</w:t>
      </w:r>
      <w:proofErr w:type="spellEnd"/>
      <w:r>
        <w:rPr>
          <w:rtl/>
        </w:rPr>
        <w:t xml:space="preserve"> </w:t>
      </w:r>
      <w:proofErr w:type="spellStart"/>
      <w:r>
        <w:rPr>
          <w:rtl/>
        </w:rPr>
        <w:t>סברא</w:t>
      </w:r>
      <w:proofErr w:type="spellEnd"/>
      <w:r>
        <w:rPr>
          <w:rtl/>
        </w:rPr>
        <w:t xml:space="preserve"> שבעולם חשודה – עליה להיות מפורשת או כמעט מפורשת [בש״ס ובראשונים] כדי להיות תקפה”, מנעה את קבלת שיטת לימודו של ר׳ חיים</w:t>
      </w:r>
      <w:bookmarkStart w:id="6707" w:name="_fnr5105"/>
      <w:r>
        <w:rPr>
          <w:rStyle w:val="a5"/>
        </w:rPr>
        <w:footnoteReference w:id="5118" w:customMarkFollows="0"/>
      </w:r>
      <w:bookmarkEnd w:id="6707"/>
      <w:r>
        <w:rPr>
          <w:rtl/>
        </w:rPr>
        <w:t xml:space="preserve">. אולי מסקנתו </w:t>
      </w:r>
      <w:r>
        <w:rPr>
          <w:rtl/>
        </w:rPr>
        <w:lastRenderedPageBreak/>
        <w:t xml:space="preserve">החידתית של ר׳ ראובן על </w:t>
      </w:r>
      <w:proofErr w:type="spellStart"/>
      <w:r>
        <w:rPr>
          <w:rtl/>
        </w:rPr>
        <w:t>וולוז׳ין</w:t>
      </w:r>
      <w:proofErr w:type="spellEnd"/>
      <w:r>
        <w:rPr>
          <w:rtl/>
        </w:rPr>
        <w:t>, “</w:t>
      </w:r>
      <w:proofErr w:type="spellStart"/>
      <w:r>
        <w:rPr>
          <w:rtl/>
        </w:rPr>
        <w:t>בוולוז׳ין</w:t>
      </w:r>
      <w:proofErr w:type="spellEnd"/>
      <w:r>
        <w:rPr>
          <w:rtl/>
        </w:rPr>
        <w:t xml:space="preserve"> יש הכול”, שהובאה לעיל, משקפת מיתון מסוים של התנגדותו לשיטת ר׳ חיים, ורבה של </w:t>
      </w:r>
      <w:proofErr w:type="spellStart"/>
      <w:r>
        <w:rPr>
          <w:rtl/>
        </w:rPr>
        <w:t>דננבורג</w:t>
      </w:r>
      <w:proofErr w:type="spellEnd"/>
      <w:r>
        <w:rPr>
          <w:rtl/>
        </w:rPr>
        <w:t xml:space="preserve"> התכוון שאף ששיטת </w:t>
      </w:r>
      <w:proofErr w:type="spellStart"/>
      <w:r>
        <w:rPr>
          <w:rtl/>
        </w:rPr>
        <w:t>הנצי״ב</w:t>
      </w:r>
      <w:proofErr w:type="spellEnd"/>
      <w:r>
        <w:rPr>
          <w:rtl/>
        </w:rPr>
        <w:t xml:space="preserve"> עדיפה, יש באותה ישיבה גם שיטת לימוד אחרת שיש בה ערך מסוים. (מנגד טוענים ההולכים בשיטת “</w:t>
      </w:r>
      <w:proofErr w:type="spellStart"/>
      <w:r>
        <w:rPr>
          <w:rtl/>
        </w:rPr>
        <w:t>בריסק</w:t>
      </w:r>
      <w:proofErr w:type="spellEnd"/>
      <w:r>
        <w:rPr>
          <w:rtl/>
        </w:rPr>
        <w:t>” של ר׳ חיים שכל חידושיהם אינם למעשה אלא הפשט הפשוט, אף שהוא עמוק, בתלמוד ובמפרשיו הקלאסיים</w:t>
      </w:r>
      <w:bookmarkStart w:id="6708" w:name="_fnr5106"/>
      <w:bookmarkStart w:id="6709" w:name="pr_f_4984"/>
      <w:r>
        <w:rPr>
          <w:rStyle w:val="a5"/>
        </w:rPr>
        <w:footnoteReference w:id="5119" w:customMarkFollows="0"/>
      </w:r>
      <w:bookmarkEnd w:id="6708"/>
      <w:bookmarkEnd w:id="6709"/>
      <w:r>
        <w:rPr>
          <w:rtl/>
        </w:rPr>
        <w:t>.)</w:t>
      </w:r>
    </w:p>
    <w:p w14:paraId="619FC69A" w14:textId="77777777" w:rsidR="00AB3647" w:rsidRDefault="00000000" w:rsidP="007923E9">
      <w:pPr>
        <w:spacing w:after="120" w:line="276" w:lineRule="auto"/>
        <w:ind w:firstLine="283"/>
        <w:jc w:val="both"/>
      </w:pPr>
      <w:r>
        <w:rPr>
          <w:rtl/>
        </w:rPr>
        <w:t xml:space="preserve">לפי “שיחות </w:t>
      </w:r>
      <w:proofErr w:type="spellStart"/>
      <w:r>
        <w:rPr>
          <w:rtl/>
        </w:rPr>
        <w:t>הראי״ה</w:t>
      </w:r>
      <w:proofErr w:type="spellEnd"/>
      <w:r>
        <w:rPr>
          <w:rtl/>
        </w:rPr>
        <w:t xml:space="preserve">”, למד ר׳ </w:t>
      </w:r>
      <w:proofErr w:type="spellStart"/>
      <w:r>
        <w:rPr>
          <w:rtl/>
        </w:rPr>
        <w:t>אברהם־יצחק</w:t>
      </w:r>
      <w:proofErr w:type="spellEnd"/>
      <w:r>
        <w:rPr>
          <w:rtl/>
        </w:rPr>
        <w:t xml:space="preserve"> קוק </w:t>
      </w:r>
      <w:proofErr w:type="spellStart"/>
      <w:r>
        <w:rPr>
          <w:rtl/>
        </w:rPr>
        <w:t>בוולוז׳ין</w:t>
      </w:r>
      <w:proofErr w:type="spellEnd"/>
      <w:r>
        <w:rPr>
          <w:rtl/>
        </w:rPr>
        <w:t xml:space="preserve"> שנה אחת – בדיוק השנה ששיערנו לעיל כמועד הפגישה </w:t>
      </w:r>
      <w:proofErr w:type="spellStart"/>
      <w:r>
        <w:rPr>
          <w:rtl/>
        </w:rPr>
        <w:t>בדננבורג</w:t>
      </w:r>
      <w:proofErr w:type="spellEnd"/>
      <w:r>
        <w:rPr>
          <w:rtl/>
        </w:rPr>
        <w:t>, תרמ״ה – ולפי “סדר אליהו”</w:t>
      </w:r>
      <w:bookmarkStart w:id="6710" w:name="_fnr5107"/>
      <w:r>
        <w:rPr>
          <w:rStyle w:val="a5"/>
        </w:rPr>
        <w:footnoteReference w:id="5120" w:customMarkFollows="0"/>
      </w:r>
      <w:bookmarkEnd w:id="6710"/>
      <w:r>
        <w:rPr>
          <w:rtl/>
        </w:rPr>
        <w:t xml:space="preserve">, יומנו של חותנו של ר׳ </w:t>
      </w:r>
      <w:proofErr w:type="spellStart"/>
      <w:r>
        <w:rPr>
          <w:rtl/>
        </w:rPr>
        <w:t>אברהם־יצחק</w:t>
      </w:r>
      <w:proofErr w:type="spellEnd"/>
      <w:r>
        <w:rPr>
          <w:rtl/>
        </w:rPr>
        <w:t xml:space="preserve"> קוק, </w:t>
      </w:r>
      <w:proofErr w:type="spellStart"/>
      <w:r>
        <w:rPr>
          <w:rtl/>
        </w:rPr>
        <w:t>האדר״ת</w:t>
      </w:r>
      <w:proofErr w:type="spellEnd"/>
      <w:r>
        <w:rPr>
          <w:rtl/>
        </w:rPr>
        <w:t>, נראה שלמד שם עוד חצי שנה, המחצית הראשונה של תרמ״ו.</w:t>
      </w:r>
    </w:p>
    <w:p w14:paraId="4992F70F" w14:textId="77777777" w:rsidR="00AB3647" w:rsidRDefault="00000000" w:rsidP="007923E9">
      <w:pPr>
        <w:spacing w:after="120" w:line="276" w:lineRule="auto"/>
        <w:ind w:firstLine="283"/>
        <w:jc w:val="both"/>
      </w:pPr>
      <w:r>
        <w:rPr>
          <w:rtl/>
        </w:rPr>
        <w:t xml:space="preserve">ר׳ יוסף </w:t>
      </w:r>
      <w:proofErr w:type="spellStart"/>
      <w:r>
        <w:rPr>
          <w:rtl/>
        </w:rPr>
        <w:t>סולובייצ׳יק</w:t>
      </w:r>
      <w:proofErr w:type="spellEnd"/>
      <w:r>
        <w:rPr>
          <w:rtl/>
        </w:rPr>
        <w:t xml:space="preserve"> הציע גרסה נוספת למטרת הביקור אצל ר׳ ראובן: לפני שהחל ר׳ חיים למסור שיעורים התעוררה בחוגי </w:t>
      </w:r>
      <w:proofErr w:type="spellStart"/>
      <w:r>
        <w:rPr>
          <w:rtl/>
        </w:rPr>
        <w:t>וולוז׳ין</w:t>
      </w:r>
      <w:proofErr w:type="spellEnd"/>
      <w:r>
        <w:rPr>
          <w:rtl/>
        </w:rPr>
        <w:t xml:space="preserve"> שאלה אם הוא ראוי לתפקיד, ולכן היה עליו לקבל את אישורו של תלמיד חכם מוכר. אבל הצעה זו שגויה, שהרי ר׳ חיים כבר מסר שיעורים חמש שנים </w:t>
      </w:r>
      <w:r>
        <w:rPr>
          <w:b/>
          <w:bCs/>
          <w:rtl/>
        </w:rPr>
        <w:t>לפני</w:t>
      </w:r>
      <w:r>
        <w:rPr>
          <w:rtl/>
        </w:rPr>
        <w:t xml:space="preserve"> בואו של ר׳ </w:t>
      </w:r>
      <w:proofErr w:type="spellStart"/>
      <w:r>
        <w:rPr>
          <w:rtl/>
        </w:rPr>
        <w:t>אברהם־יצחק</w:t>
      </w:r>
      <w:proofErr w:type="spellEnd"/>
      <w:r>
        <w:rPr>
          <w:rtl/>
        </w:rPr>
        <w:t xml:space="preserve"> קוק, ומזמן הוכיח שהוא מתאים ביותר לתפקיד.</w:t>
      </w:r>
    </w:p>
    <w:p w14:paraId="261CD09E" w14:textId="5229A78B" w:rsidR="00AB3647" w:rsidRDefault="00000000" w:rsidP="007923E9">
      <w:pPr>
        <w:spacing w:after="120" w:line="276" w:lineRule="auto"/>
        <w:ind w:firstLine="283"/>
        <w:jc w:val="both"/>
      </w:pPr>
      <w:r>
        <w:rPr>
          <w:rtl/>
        </w:rPr>
        <w:t xml:space="preserve">אומנם נכון מבחינה היסטורית שהיה דיון בין גדולי התורה אם ר׳ חיים ראוי למסור שיעורים – השווה פרק 4, הפסקה הרביעית של </w:t>
      </w:r>
      <w:r>
        <w:rPr>
          <w:rtl/>
        </w:rPr>
        <w:fldChar w:fldCharType="begin" w:dirty="true"/>
      </w:r>
      <w:r>
        <w:rPr>
          <w:rtl/>
        </w:rPr>
        <w:instrText xml:space="preserve"> REF b4_excI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xml:space="preserve">, </w:t>
      </w:r>
      <w:proofErr w:type="spellStart"/>
      <w:r>
        <w:rPr>
          <w:rtl/>
        </w:rPr>
        <w:t>ו“נפש</w:t>
      </w:r>
      <w:proofErr w:type="spellEnd"/>
      <w:r>
        <w:rPr>
          <w:rtl/>
        </w:rPr>
        <w:t xml:space="preserve"> הרב”</w:t>
      </w:r>
      <w:bookmarkStart w:id="6711" w:name="_fnr5108"/>
      <w:r>
        <w:rPr>
          <w:rStyle w:val="a5"/>
        </w:rPr>
        <w:footnoteReference w:id="5121" w:customMarkFollows="0"/>
      </w:r>
      <w:bookmarkEnd w:id="6711"/>
      <w:r>
        <w:rPr>
          <w:rtl/>
        </w:rPr>
        <w:t xml:space="preserve">, שם מובא הדבר בשם ר׳ </w:t>
      </w:r>
      <w:proofErr w:type="spellStart"/>
      <w:r>
        <w:rPr>
          <w:rtl/>
        </w:rPr>
        <w:t xml:space="preserve">יוסף־דב</w:t>
      </w:r>
      <w:proofErr w:type="spellEnd"/>
      <w:r>
        <w:rPr>
          <w:rtl/>
        </w:rPr>
        <w:t xml:space="preserve"> </w:t>
      </w:r>
      <w:proofErr w:type="spellStart"/>
      <w:r>
        <w:rPr>
          <w:rtl/>
        </w:rPr>
        <w:t>סולובייצ׳יק</w:t>
      </w:r>
      <w:proofErr w:type="spellEnd"/>
      <w:r>
        <w:rPr>
          <w:rtl/>
        </w:rPr>
        <w:t xml:space="preserve">, שחזר עליו בשם אביו. </w:t>
      </w:r>
      <w:proofErr w:type="spellStart"/>
      <w:r>
        <w:rPr>
          <w:rtl/>
        </w:rPr>
        <w:t>ב“נפש</w:t>
      </w:r>
      <w:proofErr w:type="spellEnd"/>
      <w:r>
        <w:rPr>
          <w:rtl/>
        </w:rPr>
        <w:t xml:space="preserve"> הרב” נאמר שהביקורת על מינוי ר׳ חיים הועלתה לא בחוגי </w:t>
      </w:r>
      <w:proofErr w:type="spellStart"/>
      <w:r>
        <w:rPr>
          <w:rtl/>
        </w:rPr>
        <w:t>וולוז׳ין</w:t>
      </w:r>
      <w:proofErr w:type="spellEnd"/>
      <w:r>
        <w:rPr>
          <w:rtl/>
        </w:rPr>
        <w:t xml:space="preserve">, אלא בידי גדולי התורה עצמם, ונבעה משיטתו החדשה. זו הייתה גם הבעיה שהייתה </w:t>
      </w:r>
      <w:proofErr w:type="spellStart"/>
      <w:r>
        <w:rPr>
          <w:rtl/>
        </w:rPr>
        <w:t>לר</w:t>
      </w:r>
      <w:proofErr w:type="spellEnd"/>
      <w:r>
        <w:rPr>
          <w:rtl/>
        </w:rPr>
        <w:t xml:space="preserve">׳ </w:t>
      </w:r>
      <w:proofErr w:type="spellStart"/>
      <w:r>
        <w:rPr>
          <w:rtl/>
        </w:rPr>
        <w:t>יצחק־אלחנן</w:t>
      </w:r>
      <w:proofErr w:type="spellEnd"/>
      <w:r>
        <w:rPr>
          <w:rtl/>
        </w:rPr>
        <w:t xml:space="preserve"> </w:t>
      </w:r>
      <w:proofErr w:type="spellStart"/>
      <w:r>
        <w:rPr>
          <w:rtl/>
        </w:rPr>
        <w:t>ספקטור</w:t>
      </w:r>
      <w:proofErr w:type="spellEnd"/>
      <w:r>
        <w:rPr>
          <w:rtl/>
        </w:rPr>
        <w:t xml:space="preserve"> עם </w:t>
      </w:r>
      <w:proofErr w:type="spellStart"/>
      <w:r>
        <w:rPr>
          <w:rtl/>
        </w:rPr>
        <w:t>ההדרן</w:t>
      </w:r>
      <w:proofErr w:type="spellEnd"/>
      <w:r>
        <w:rPr>
          <w:rtl/>
        </w:rPr>
        <w:t xml:space="preserve"> של ר׳ </w:t>
      </w:r>
      <w:proofErr w:type="spellStart"/>
      <w:r>
        <w:rPr>
          <w:rtl/>
        </w:rPr>
        <w:t>איצל׳ה</w:t>
      </w:r>
      <w:proofErr w:type="spellEnd"/>
      <w:r>
        <w:rPr>
          <w:rtl/>
        </w:rPr>
        <w:t xml:space="preserve"> </w:t>
      </w:r>
      <w:proofErr w:type="spellStart"/>
      <w:r>
        <w:rPr>
          <w:rtl/>
        </w:rPr>
        <w:t>רבינוביץ</w:t>
      </w:r>
      <w:proofErr w:type="spellEnd"/>
      <w:r>
        <w:rPr>
          <w:rtl/>
        </w:rPr>
        <w:t xml:space="preserve"> [</w:t>
      </w:r>
      <w:proofErr w:type="spellStart"/>
      <w:r>
        <w:rPr>
          <w:rtl/>
        </w:rPr>
        <w:t>הפוניבז׳ער</w:t>
      </w:r>
      <w:proofErr w:type="spellEnd"/>
      <w:r>
        <w:rPr>
          <w:rtl/>
        </w:rPr>
        <w:t xml:space="preserve">] בקובנה כעבור עשור, כפי שסיפר רבנו, ודבריו מובאים בפרק 3, הפסקה הראשונה של </w:t>
      </w:r>
      <w:r>
        <w:rPr>
          <w:rtl/>
        </w:rPr>
        <w:fldChar w:fldCharType="begin" w:dirty="true"/>
      </w:r>
      <w:r>
        <w:rPr>
          <w:rtl/>
        </w:rPr>
        <w:instrText xml:space="preserve"> REF b3_excH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ח</w:t>
      </w:r>
      <w:r>
        <w:rPr>
          <w:rtl/>
        </w:rPr>
        <w:fldChar w:fldCharType="end"/>
      </w:r>
      <w:r>
        <w:rPr>
          <w:rtl/>
        </w:rPr>
        <w:t xml:space="preserve">. ראה גם פרק 4, הפסקה הרביעית של </w:t>
      </w:r>
      <w:r>
        <w:rPr>
          <w:rtl/>
        </w:rPr>
        <w:fldChar w:fldCharType="begin" w:dirty="true"/>
      </w:r>
      <w:r>
        <w:rPr>
          <w:rtl/>
        </w:rPr>
        <w:instrText xml:space="preserve"> REF b4_excI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שכש</w:t>
      </w:r>
      <w:r>
        <w:rPr>
          <w:b/>
          <w:bCs/>
          <w:rtl/>
        </w:rPr>
        <w:t>החל</w:t>
      </w:r>
      <w:r>
        <w:rPr>
          <w:rtl/>
        </w:rPr>
        <w:t xml:space="preserve"> ר׳ חיים למסור שיעורים, עדיין לא הייתה שיטתו שונה מן השיטה המקובלת במידה כה קיצונית כפי שנעשתה לימים.</w:t>
      </w:r>
    </w:p>
    <w:p w14:paraId="3A7C12E4" w14:textId="77777777" w:rsidR="00AB3647" w:rsidRDefault="00000000" w:rsidP="007923E9">
      <w:pPr>
        <w:spacing w:after="120" w:line="276" w:lineRule="auto"/>
        <w:ind w:firstLine="283"/>
        <w:jc w:val="both"/>
      </w:pPr>
      <w:r>
        <w:rPr>
          <w:rtl/>
        </w:rPr>
        <w:t xml:space="preserve">הדיון בין גדולי התורה אם ראוי ר׳ חיים למינוי מובא גם </w:t>
      </w:r>
      <w:proofErr w:type="spellStart"/>
      <w:r>
        <w:rPr>
          <w:rtl/>
        </w:rPr>
        <w:t>ב“הרב</w:t>
      </w:r>
      <w:proofErr w:type="spellEnd"/>
      <w:r>
        <w:rPr>
          <w:rtl/>
        </w:rPr>
        <w:t>”</w:t>
      </w:r>
      <w:bookmarkStart w:id="6712" w:name="_fnr5109"/>
      <w:r>
        <w:rPr>
          <w:rStyle w:val="a5"/>
        </w:rPr>
        <w:footnoteReference w:id="5122" w:customMarkFollows="0"/>
      </w:r>
      <w:bookmarkEnd w:id="6712"/>
      <w:r>
        <w:rPr>
          <w:rtl/>
        </w:rPr>
        <w:t xml:space="preserve">. אבל לא יעלה על הדעת </w:t>
      </w:r>
      <w:proofErr w:type="spellStart"/>
      <w:r>
        <w:rPr>
          <w:rtl/>
        </w:rPr>
        <w:t>שהנצי״ב</w:t>
      </w:r>
      <w:proofErr w:type="spellEnd"/>
      <w:r>
        <w:rPr>
          <w:rtl/>
        </w:rPr>
        <w:t xml:space="preserve"> יניח למי שמינה, שהוא גם בעל נכדתו, לנסוע </w:t>
      </w:r>
      <w:r>
        <w:rPr>
          <w:b/>
          <w:bCs/>
          <w:rtl/>
        </w:rPr>
        <w:t>למקום אחר</w:t>
      </w:r>
      <w:r>
        <w:rPr>
          <w:rtl/>
        </w:rPr>
        <w:t xml:space="preserve"> – </w:t>
      </w:r>
      <w:proofErr w:type="spellStart"/>
      <w:r>
        <w:rPr>
          <w:rtl/>
        </w:rPr>
        <w:t>לדננבורג</w:t>
      </w:r>
      <w:proofErr w:type="spellEnd"/>
      <w:r>
        <w:rPr>
          <w:rtl/>
        </w:rPr>
        <w:t xml:space="preserve"> – לקבל </w:t>
      </w:r>
      <w:r>
        <w:rPr>
          <w:rtl/>
        </w:rPr>
        <w:lastRenderedPageBreak/>
        <w:t xml:space="preserve">אישור. לפי “נפש הרב”, כמה רבנים גדולים באו </w:t>
      </w:r>
      <w:proofErr w:type="spellStart"/>
      <w:r>
        <w:rPr>
          <w:rtl/>
        </w:rPr>
        <w:t>לוולוז׳ין</w:t>
      </w:r>
      <w:proofErr w:type="spellEnd"/>
      <w:r>
        <w:rPr>
          <w:rtl/>
        </w:rPr>
        <w:t xml:space="preserve"> לשמוע את ר׳ חיים, ונתנו את אישורם שם!</w:t>
      </w:r>
    </w:p>
    <w:p w14:paraId="44ED9855" w14:textId="77777777" w:rsidR="00AB3647" w:rsidRDefault="00000000" w:rsidP="007923E9">
      <w:pPr>
        <w:spacing w:after="120" w:line="276" w:lineRule="auto"/>
        <w:ind w:firstLine="283"/>
        <w:jc w:val="both"/>
      </w:pPr>
      <w:r>
        <w:rPr>
          <w:rtl/>
        </w:rPr>
        <w:t xml:space="preserve">ייתכן שדבריו התמוהים של ר׳ חיים, המובאים </w:t>
      </w:r>
      <w:proofErr w:type="spellStart"/>
      <w:r>
        <w:rPr>
          <w:rtl/>
        </w:rPr>
        <w:t>ב“שמושה</w:t>
      </w:r>
      <w:proofErr w:type="spellEnd"/>
      <w:r>
        <w:rPr>
          <w:rtl/>
        </w:rPr>
        <w:t xml:space="preserve"> של תורה”</w:t>
      </w:r>
      <w:bookmarkStart w:id="6713" w:name="_fnr5110"/>
      <w:r>
        <w:rPr>
          <w:rStyle w:val="a5"/>
        </w:rPr>
        <w:footnoteReference w:id="5123" w:customMarkFollows="0"/>
      </w:r>
      <w:bookmarkEnd w:id="6713"/>
      <w:r>
        <w:rPr>
          <w:rtl/>
        </w:rPr>
        <w:t xml:space="preserve"> ממקור שאינו נזכר בשמו [“מספרים”] – “עולם רב עמי, ואני עם איש לא” – מתייחסים לתקופה זו בחייו, כשנמתחה ביקורת על שיעוריו מצדדים רבים, הן מפי תלמידי חכמים מפורסמים הן מפי תלמידים בישיבה</w:t>
      </w:r>
      <w:bookmarkStart w:id="6714" w:name="_fnr5111"/>
      <w:r>
        <w:rPr>
          <w:rStyle w:val="a5"/>
        </w:rPr>
        <w:footnoteReference w:id="5124" w:customMarkFollows="0"/>
      </w:r>
      <w:bookmarkEnd w:id="6714"/>
      <w:r>
        <w:rPr>
          <w:rtl/>
        </w:rPr>
        <w:t xml:space="preserve">. בדיווחים ששיעורי ר׳ חיים עמדו לבחינתם של תלמידי חכמים מפורסמים – הן </w:t>
      </w:r>
      <w:proofErr w:type="spellStart"/>
      <w:r>
        <w:rPr>
          <w:rtl/>
        </w:rPr>
        <w:t>ב“נפש</w:t>
      </w:r>
      <w:proofErr w:type="spellEnd"/>
      <w:r>
        <w:rPr>
          <w:rtl/>
        </w:rPr>
        <w:t xml:space="preserve"> הרב” הן </w:t>
      </w:r>
      <w:proofErr w:type="spellStart"/>
      <w:r>
        <w:rPr>
          <w:rtl/>
        </w:rPr>
        <w:t>ב“הרב</w:t>
      </w:r>
      <w:proofErr w:type="spellEnd"/>
      <w:r>
        <w:rPr>
          <w:rtl/>
        </w:rPr>
        <w:t xml:space="preserve">” – יש כמה </w:t>
      </w:r>
      <w:proofErr w:type="spellStart"/>
      <w:r>
        <w:rPr>
          <w:rtl/>
        </w:rPr>
        <w:t>אי־דיוקים</w:t>
      </w:r>
      <w:proofErr w:type="spellEnd"/>
      <w:r>
        <w:rPr>
          <w:rtl/>
        </w:rPr>
        <w:t xml:space="preserve"> היסטוריים, ועליהם </w:t>
      </w:r>
      <w:proofErr w:type="spellStart"/>
      <w:r>
        <w:rPr>
          <w:rtl/>
        </w:rPr>
        <w:t>יוצבע</w:t>
      </w:r>
      <w:proofErr w:type="spellEnd"/>
      <w:r>
        <w:rPr>
          <w:rtl/>
        </w:rPr>
        <w:t xml:space="preserve"> בהערות שוטפות לדברים.</w:t>
      </w:r>
    </w:p>
    <w:p w14:paraId="69F9D71C" w14:textId="230D6254" w:rsidR="00AB3647" w:rsidRDefault="00000000" w:rsidP="007923E9">
      <w:pPr>
        <w:spacing w:after="120" w:line="276" w:lineRule="auto"/>
        <w:ind w:firstLine="283"/>
        <w:jc w:val="both"/>
      </w:pPr>
      <w:r>
        <w:rPr>
          <w:rtl/>
        </w:rPr>
        <w:t xml:space="preserve">“נפש הרב” אומר: “כמה גדולי תורה באו לישיבה לשמוע כיצד הוא מוסר את השיעור, ולדון על פיו אם הוא באמת מתאים למשרה. בין הגאונים ששימשו אז בוועד המנהל של הישיבה היו: ר׳ </w:t>
      </w:r>
      <w:proofErr w:type="spellStart"/>
      <w:r>
        <w:rPr>
          <w:rtl/>
        </w:rPr>
        <w:t>אלעזר־משה</w:t>
      </w:r>
      <w:proofErr w:type="spellEnd"/>
      <w:r>
        <w:rPr>
          <w:rtl/>
        </w:rPr>
        <w:t xml:space="preserve"> הורוביץ” [</w:t>
      </w:r>
      <w:proofErr w:type="spellStart"/>
      <w:r>
        <w:rPr>
          <w:rtl/>
        </w:rPr>
        <w:t>מפינסק</w:t>
      </w:r>
      <w:proofErr w:type="spellEnd"/>
      <w:r>
        <w:rPr>
          <w:rtl/>
        </w:rPr>
        <w:t xml:space="preserve">; ייתכן שהדבר מדויק, שכן כשהחל ר׳ חיים למסור שיעורים היה ר׳ </w:t>
      </w:r>
      <w:proofErr w:type="spellStart"/>
      <w:r>
        <w:rPr>
          <w:rtl/>
        </w:rPr>
        <w:t>אלעזר־משה</w:t>
      </w:r>
      <w:proofErr w:type="spellEnd"/>
      <w:r>
        <w:rPr>
          <w:rtl/>
        </w:rPr>
        <w:t xml:space="preserve"> בן שישים ושתיים – וכעבור שנתיים לקה בשבץ שנטל ממנו את יכולת הדיבור הברור, לפי “רבותינו שבגולה”, כרך 1</w:t>
      </w:r>
      <w:bookmarkStart w:id="6715" w:name="_fnr5112"/>
      <w:r>
        <w:rPr>
          <w:rStyle w:val="a5"/>
        </w:rPr>
        <w:footnoteReference w:id="5125" w:customMarkFollows="0"/>
      </w:r>
      <w:bookmarkEnd w:id="6715"/>
      <w:r>
        <w:rPr>
          <w:rtl/>
        </w:rPr>
        <w:t xml:space="preserve">]; “ר׳ </w:t>
      </w:r>
      <w:proofErr w:type="spellStart"/>
      <w:r>
        <w:rPr>
          <w:rtl/>
        </w:rPr>
        <w:t>אייזיל</w:t>
      </w:r>
      <w:proofErr w:type="spellEnd"/>
      <w:r>
        <w:rPr>
          <w:rtl/>
        </w:rPr>
        <w:t xml:space="preserve"> חריף” [מסלונים, אך הדבר אינו נכון, שהרי נפטר </w:t>
      </w:r>
      <w:proofErr w:type="spellStart"/>
      <w:r>
        <w:rPr>
          <w:rtl/>
        </w:rPr>
        <w:t>בתרל״ג</w:t>
      </w:r>
      <w:proofErr w:type="spellEnd"/>
      <w:r>
        <w:rPr>
          <w:rtl/>
        </w:rPr>
        <w:t>, שנת נישואיו של ר׳ חיים</w:t>
      </w:r>
      <w:bookmarkStart w:id="6716" w:name="_fnr5113"/>
      <w:r>
        <w:rPr>
          <w:rStyle w:val="a5"/>
        </w:rPr>
        <w:footnoteReference w:id="5126" w:customMarkFollows="0"/>
      </w:r>
      <w:bookmarkEnd w:id="6716"/>
      <w:r>
        <w:rPr>
          <w:rtl/>
        </w:rPr>
        <w:t xml:space="preserve">; אולי הכוונה לחתנו ויורשו של ר׳ </w:t>
      </w:r>
      <w:proofErr w:type="spellStart"/>
      <w:r>
        <w:rPr>
          <w:rtl/>
        </w:rPr>
        <w:t>אייזיל</w:t>
      </w:r>
      <w:proofErr w:type="spellEnd"/>
      <w:r>
        <w:rPr>
          <w:rtl/>
        </w:rPr>
        <w:t xml:space="preserve"> בסלונים, ר׳ יוסל </w:t>
      </w:r>
      <w:proofErr w:type="spellStart"/>
      <w:r>
        <w:rPr>
          <w:rtl/>
        </w:rPr>
        <w:t>שלופפר</w:t>
      </w:r>
      <w:proofErr w:type="spellEnd"/>
      <w:r>
        <w:rPr>
          <w:rtl/>
        </w:rPr>
        <w:t xml:space="preserve"> – הידוע כעילוי </w:t>
      </w:r>
      <w:proofErr w:type="spellStart"/>
      <w:r>
        <w:rPr>
          <w:rtl/>
        </w:rPr>
        <w:t>מדננבורג</w:t>
      </w:r>
      <w:proofErr w:type="spellEnd"/>
      <w:r>
        <w:rPr>
          <w:rtl/>
        </w:rPr>
        <w:t xml:space="preserve">, הנזכר בפרק 3, </w:t>
      </w:r>
      <w:r>
        <w:rPr>
          <w:rtl/>
        </w:rPr>
        <w:fldChar w:fldCharType="begin" w:dirty="true"/>
      </w:r>
      <w:r>
        <w:rPr>
          <w:rtl/>
        </w:rPr>
        <w:instrText xml:space="preserve"> REF b3_excN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יד</w:t>
      </w:r>
      <w:r>
        <w:rPr>
          <w:rtl/>
        </w:rPr>
        <w:fldChar w:fldCharType="end"/>
      </w:r>
      <w:r>
        <w:rPr>
          <w:rtl/>
        </w:rPr>
        <w:t>; והשווה “שמושה של תורה”</w:t>
      </w:r>
      <w:bookmarkStart w:id="6717" w:name="_fnr5114"/>
      <w:r>
        <w:rPr>
          <w:rStyle w:val="a5"/>
        </w:rPr>
        <w:footnoteReference w:id="5127" w:customMarkFollows="0"/>
      </w:r>
      <w:bookmarkEnd w:id="6717"/>
      <w:r>
        <w:rPr>
          <w:rtl/>
        </w:rPr>
        <w:t xml:space="preserve"> למה שסיפר ר׳ </w:t>
      </w:r>
      <w:proofErr w:type="spellStart"/>
      <w:r>
        <w:rPr>
          <w:rtl/>
        </w:rPr>
        <w:t>איסר־זלמן</w:t>
      </w:r>
      <w:proofErr w:type="spellEnd"/>
      <w:r>
        <w:rPr>
          <w:rtl/>
        </w:rPr>
        <w:t xml:space="preserve"> על בחירת הרב </w:t>
      </w:r>
      <w:proofErr w:type="spellStart"/>
      <w:r>
        <w:rPr>
          <w:rtl/>
        </w:rPr>
        <w:t>שלופפר</w:t>
      </w:r>
      <w:proofErr w:type="spellEnd"/>
      <w:r>
        <w:rPr>
          <w:rtl/>
        </w:rPr>
        <w:t xml:space="preserve"> לחתנו של ר׳ </w:t>
      </w:r>
      <w:proofErr w:type="spellStart"/>
      <w:r>
        <w:rPr>
          <w:rtl/>
        </w:rPr>
        <w:t>אייזיל</w:t>
      </w:r>
      <w:proofErr w:type="spellEnd"/>
      <w:r>
        <w:rPr>
          <w:rtl/>
        </w:rPr>
        <w:t xml:space="preserve">]; “ור׳ אלי׳ ממיר” [צריך להיות ר׳ </w:t>
      </w:r>
      <w:proofErr w:type="spellStart"/>
      <w:r>
        <w:rPr>
          <w:rtl/>
        </w:rPr>
        <w:t>ליפא</w:t>
      </w:r>
      <w:proofErr w:type="spellEnd"/>
      <w:r>
        <w:rPr>
          <w:rtl/>
        </w:rPr>
        <w:t xml:space="preserve"> ממיר, שהרי ר׳ </w:t>
      </w:r>
      <w:proofErr w:type="spellStart"/>
      <w:r>
        <w:rPr>
          <w:rtl/>
        </w:rPr>
        <w:t>אלי׳־ברוך</w:t>
      </w:r>
      <w:proofErr w:type="spellEnd"/>
      <w:r>
        <w:rPr>
          <w:rtl/>
        </w:rPr>
        <w:t xml:space="preserve"> לא בא </w:t>
      </w:r>
      <w:proofErr w:type="spellStart"/>
      <w:r>
        <w:rPr>
          <w:rtl/>
        </w:rPr>
        <w:t>למיר</w:t>
      </w:r>
      <w:proofErr w:type="spellEnd"/>
      <w:r>
        <w:rPr>
          <w:rtl/>
        </w:rPr>
        <w:t xml:space="preserve"> עד תרנ״ט, זמן רב אחרי שנסגרה ישיבת </w:t>
      </w:r>
      <w:proofErr w:type="spellStart"/>
      <w:r>
        <w:rPr>
          <w:rtl/>
        </w:rPr>
        <w:t>וולוז׳ין</w:t>
      </w:r>
      <w:proofErr w:type="spellEnd"/>
      <w:r>
        <w:rPr>
          <w:rtl/>
        </w:rPr>
        <w:t xml:space="preserve"> ור׳ חיים החל לכהן כרב </w:t>
      </w:r>
      <w:proofErr w:type="spellStart"/>
      <w:r>
        <w:rPr>
          <w:rtl/>
        </w:rPr>
        <w:t>בבריסק</w:t>
      </w:r>
      <w:proofErr w:type="spellEnd"/>
      <w:r>
        <w:rPr>
          <w:rtl/>
        </w:rPr>
        <w:t>].</w:t>
      </w:r>
    </w:p>
    <w:p w14:paraId="30BE2C08" w14:textId="5381FA65" w:rsidR="00AB3647" w:rsidRDefault="00000000" w:rsidP="007923E9">
      <w:pPr>
        <w:spacing w:after="120" w:line="276" w:lineRule="auto"/>
        <w:ind w:firstLine="283"/>
        <w:jc w:val="both"/>
      </w:pPr>
      <w:r>
        <w:rPr>
          <w:rtl/>
        </w:rPr>
        <w:t xml:space="preserve">גרסת “הרב” משמיטה שניים מן השמות שמונה “נפש הרב”, ר׳ </w:t>
      </w:r>
      <w:proofErr w:type="spellStart"/>
      <w:r>
        <w:rPr>
          <w:rtl/>
        </w:rPr>
        <w:t>אלעזר־משה</w:t>
      </w:r>
      <w:proofErr w:type="spellEnd"/>
      <w:r>
        <w:rPr>
          <w:rtl/>
        </w:rPr>
        <w:t xml:space="preserve"> הורוביץ ור׳ אלי׳[־ר׳ </w:t>
      </w:r>
      <w:proofErr w:type="spellStart"/>
      <w:r>
        <w:rPr>
          <w:rtl/>
        </w:rPr>
        <w:t>ליפא</w:t>
      </w:r>
      <w:proofErr w:type="spellEnd"/>
      <w:r>
        <w:rPr>
          <w:rtl/>
        </w:rPr>
        <w:t xml:space="preserve">] ממיר, ומחליפה אותם בשניים אחרים: “ר׳ ראובן </w:t>
      </w:r>
      <w:proofErr w:type="spellStart"/>
      <w:r>
        <w:rPr>
          <w:rtl/>
        </w:rPr>
        <w:t>מדננבורג</w:t>
      </w:r>
      <w:proofErr w:type="spellEnd"/>
      <w:r>
        <w:rPr>
          <w:rtl/>
        </w:rPr>
        <w:t xml:space="preserve"> ור׳ </w:t>
      </w:r>
      <w:proofErr w:type="spellStart"/>
      <w:r>
        <w:rPr>
          <w:rtl/>
        </w:rPr>
        <w:t>יצחק־אלחנן</w:t>
      </w:r>
      <w:proofErr w:type="spellEnd"/>
      <w:r>
        <w:rPr>
          <w:rtl/>
        </w:rPr>
        <w:t xml:space="preserve"> </w:t>
      </w:r>
      <w:proofErr w:type="spellStart"/>
      <w:r>
        <w:rPr>
          <w:rtl/>
        </w:rPr>
        <w:t>ספקטור</w:t>
      </w:r>
      <w:proofErr w:type="spellEnd"/>
      <w:r>
        <w:rPr>
          <w:rtl/>
        </w:rPr>
        <w:t xml:space="preserve">” [הראשון בוודאי לא בא </w:t>
      </w:r>
      <w:proofErr w:type="spellStart"/>
      <w:r>
        <w:rPr>
          <w:rtl/>
        </w:rPr>
        <w:t>לוולוז׳ין</w:t>
      </w:r>
      <w:proofErr w:type="spellEnd"/>
      <w:r>
        <w:rPr>
          <w:rtl/>
        </w:rPr>
        <w:t xml:space="preserve"> להשתתף בבחינת ר׳ חיים, כפי שציין גם ר׳ יוסף </w:t>
      </w:r>
      <w:proofErr w:type="spellStart"/>
      <w:r>
        <w:rPr>
          <w:rtl/>
        </w:rPr>
        <w:t>סולובייצ׳יק</w:t>
      </w:r>
      <w:proofErr w:type="spellEnd"/>
      <w:r>
        <w:rPr>
          <w:rtl/>
        </w:rPr>
        <w:t xml:space="preserve"> בריאיון עמי]. השווה גם פרק 4, הפסקה הרביעית של </w:t>
      </w:r>
      <w:r>
        <w:rPr>
          <w:rtl/>
        </w:rPr>
        <w:fldChar w:fldCharType="begin" w:dirty="true"/>
      </w:r>
      <w:r>
        <w:rPr>
          <w:rtl/>
        </w:rPr>
        <w:instrText xml:space="preserve"> REF b4_excI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xml:space="preserve">, </w:t>
      </w:r>
      <w:proofErr w:type="spellStart"/>
      <w:r>
        <w:rPr>
          <w:rtl/>
        </w:rPr>
        <w:t>לאי־דיוקים</w:t>
      </w:r>
      <w:proofErr w:type="spellEnd"/>
      <w:r>
        <w:rPr>
          <w:rtl/>
        </w:rPr>
        <w:t xml:space="preserve"> נוספים בדיווחי “נפש הרב” </w:t>
      </w:r>
      <w:proofErr w:type="spellStart"/>
      <w:r>
        <w:rPr>
          <w:rtl/>
        </w:rPr>
        <w:t>ו“הרב</w:t>
      </w:r>
      <w:proofErr w:type="spellEnd"/>
      <w:r>
        <w:rPr>
          <w:rtl/>
        </w:rPr>
        <w:t>”.</w:t>
      </w:r>
    </w:p>
    <w:p w14:paraId="0AAC071A" w14:textId="77777777" w:rsidR="00AB3647" w:rsidRDefault="00000000" w:rsidP="007923E9">
      <w:pPr>
        <w:spacing w:after="120" w:line="276" w:lineRule="auto"/>
        <w:ind w:firstLine="283"/>
        <w:jc w:val="both"/>
      </w:pPr>
      <w:r>
        <w:rPr>
          <w:rtl/>
        </w:rPr>
        <w:t xml:space="preserve">אף שמטרת ביקורו של ר׳ חיים אצל ר׳ ראובן לא הייתה להראות לו שהאורח מתאים למסור שיעורים – שאלה זו כבר הוכרעה לטובת ר׳ חיים חמש שנים קודם לכן – אפשר שהערעור המוקדם על התאמתו כמגיד שיעור עמד ברקע חילופי הדברים המשונים שאבי סיפר עליהם ושאירעו בפתיחת השיחה בין שני גדולי התורה. רקע היסטורי זה מסביר את יסוד הערתו המתגרה של ר׳ ראובן כשהציג ר׳ חיים את עצמו לפניו: “אז אתה הוא ר׳ חיים שמדברים עליו כל כך הרבה? שאל קושיא!” ר׳ ראובן נזכר – והזכיר </w:t>
      </w:r>
      <w:proofErr w:type="spellStart"/>
      <w:r>
        <w:rPr>
          <w:rtl/>
        </w:rPr>
        <w:t>לר</w:t>
      </w:r>
      <w:proofErr w:type="spellEnd"/>
      <w:r>
        <w:rPr>
          <w:rtl/>
        </w:rPr>
        <w:t xml:space="preserve">׳ חיים – שמינויו </w:t>
      </w:r>
      <w:proofErr w:type="spellStart"/>
      <w:r>
        <w:rPr>
          <w:rtl/>
        </w:rPr>
        <w:t>בוולוז׳ין</w:t>
      </w:r>
      <w:proofErr w:type="spellEnd"/>
      <w:r>
        <w:rPr>
          <w:rtl/>
        </w:rPr>
        <w:t xml:space="preserve"> הועמד </w:t>
      </w:r>
      <w:r>
        <w:rPr>
          <w:rtl/>
        </w:rPr>
        <w:lastRenderedPageBreak/>
        <w:t>בספק חמש שנים קודם לכן. ר׳ חיים, שהיה צעיר מר׳ ראובן כמעט בארבעים שנה, השיב לו אז בחריפות: “</w:t>
      </w:r>
      <w:r>
        <w:rPr>
          <w:b/>
          <w:bCs/>
          <w:rtl/>
        </w:rPr>
        <w:t>אתה</w:t>
      </w:r>
      <w:r>
        <w:rPr>
          <w:rtl/>
        </w:rPr>
        <w:t xml:space="preserve"> שאל את </w:t>
      </w:r>
      <w:proofErr w:type="spellStart"/>
      <w:r>
        <w:rPr>
          <w:rtl/>
        </w:rPr>
        <w:t>הקושיא</w:t>
      </w:r>
      <w:proofErr w:type="spellEnd"/>
      <w:r>
        <w:rPr>
          <w:rtl/>
        </w:rPr>
        <w:t>, ואני אומר גם את תירוצך וגם את תירוצי”.</w:t>
      </w:r>
    </w:p>
    <w:p w14:paraId="04991BE8" w14:textId="77777777" w:rsidR="00AB3647" w:rsidRDefault="00000000" w:rsidP="007923E9">
      <w:pPr>
        <w:spacing w:after="120" w:line="276" w:lineRule="auto"/>
        <w:ind w:firstLine="283"/>
        <w:jc w:val="both"/>
      </w:pPr>
      <w:r>
        <w:rPr>
          <w:rtl/>
        </w:rPr>
        <w:t xml:space="preserve">הגרסה שמסר ר׳ יוסף </w:t>
      </w:r>
      <w:proofErr w:type="spellStart"/>
      <w:r>
        <w:rPr>
          <w:rtl/>
        </w:rPr>
        <w:t>סולובייצ׳יק</w:t>
      </w:r>
      <w:proofErr w:type="spellEnd"/>
      <w:r>
        <w:rPr>
          <w:rtl/>
        </w:rPr>
        <w:t>, ש</w:t>
      </w:r>
      <w:r>
        <w:rPr>
          <w:b/>
          <w:bCs/>
          <w:rtl/>
        </w:rPr>
        <w:t>כל מטרת</w:t>
      </w:r>
      <w:r>
        <w:rPr>
          <w:rtl/>
        </w:rPr>
        <w:t xml:space="preserve"> נסיעתו של ר׳ חיים </w:t>
      </w:r>
      <w:proofErr w:type="spellStart"/>
      <w:r>
        <w:rPr>
          <w:rtl/>
        </w:rPr>
        <w:t>לדננבורג</w:t>
      </w:r>
      <w:proofErr w:type="spellEnd"/>
      <w:r>
        <w:rPr>
          <w:rtl/>
        </w:rPr>
        <w:t xml:space="preserve"> הייתה לקבל את אישור ר׳ ראובן למסירת שיעורים, הוסקה בטעות מחילופי דברים אלה, שאכן </w:t>
      </w:r>
      <w:r>
        <w:rPr>
          <w:b/>
          <w:bCs/>
          <w:rtl/>
        </w:rPr>
        <w:t>הדהד בהם הדיון הישן, שכבר עבר זמנו</w:t>
      </w:r>
      <w:r>
        <w:rPr>
          <w:rtl/>
        </w:rPr>
        <w:t xml:space="preserve">, בין גדולי התורה, אם ראוי להפיץ את שיטת לימודו של ר׳ חיים מעל במת ישיבת </w:t>
      </w:r>
      <w:proofErr w:type="spellStart"/>
      <w:r>
        <w:rPr>
          <w:rtl/>
        </w:rPr>
        <w:t>וולוז׳ין</w:t>
      </w:r>
      <w:proofErr w:type="spellEnd"/>
      <w:r>
        <w:rPr>
          <w:rtl/>
        </w:rPr>
        <w:t>.</w:t>
      </w:r>
    </w:p>
    <w:p w14:paraId="00D05440" w14:textId="77777777" w:rsidR="00AB3647" w:rsidRDefault="00000000" w:rsidP="007923E9">
      <w:pPr>
        <w:spacing w:after="120" w:line="276" w:lineRule="auto"/>
        <w:ind w:firstLine="283"/>
        <w:jc w:val="both"/>
      </w:pPr>
      <w:r>
        <w:rPr>
          <w:rtl/>
        </w:rPr>
        <w:t xml:space="preserve">ר׳ </w:t>
      </w:r>
      <w:proofErr w:type="spellStart"/>
      <w:r>
        <w:rPr>
          <w:rtl/>
        </w:rPr>
        <w:t>משולם־דוד</w:t>
      </w:r>
      <w:proofErr w:type="spellEnd"/>
      <w:r>
        <w:rPr>
          <w:rtl/>
        </w:rPr>
        <w:t xml:space="preserve"> הזכיר גם תלמיד חכם גדול אחר שאליו נשלח ר׳ חיים </w:t>
      </w:r>
      <w:r>
        <w:rPr>
          <w:b/>
          <w:bCs/>
          <w:rtl/>
        </w:rPr>
        <w:t xml:space="preserve">באותו זמן שנשלח </w:t>
      </w:r>
      <w:proofErr w:type="spellStart"/>
      <w:r>
        <w:rPr>
          <w:b/>
          <w:bCs/>
          <w:rtl/>
        </w:rPr>
        <w:t>לר</w:t>
      </w:r>
      <w:proofErr w:type="spellEnd"/>
      <w:r>
        <w:rPr>
          <w:b/>
          <w:bCs/>
          <w:rtl/>
        </w:rPr>
        <w:t>׳ ראובן</w:t>
      </w:r>
      <w:r>
        <w:rPr>
          <w:rtl/>
        </w:rPr>
        <w:t xml:space="preserve">: ר׳ אריה </w:t>
      </w:r>
      <w:proofErr w:type="spellStart"/>
      <w:r>
        <w:rPr>
          <w:rtl/>
        </w:rPr>
        <w:t>האיהומינר</w:t>
      </w:r>
      <w:proofErr w:type="spellEnd"/>
      <w:r>
        <w:rPr>
          <w:rtl/>
        </w:rPr>
        <w:t xml:space="preserve">, </w:t>
      </w:r>
      <w:proofErr w:type="spellStart"/>
      <w:r>
        <w:rPr>
          <w:rtl/>
        </w:rPr>
        <w:t>מ״ץ</w:t>
      </w:r>
      <w:proofErr w:type="spellEnd"/>
      <w:r>
        <w:rPr>
          <w:rtl/>
        </w:rPr>
        <w:t xml:space="preserve"> במינסק. כשבא ר׳ חיים לפני ר׳ אריה, הזכיר פירוש קשה ברש״י, ור׳ אריה עצרו במילים: “קושיא זו ידועה”. אמר ר׳ חיים: “כן, אבל אני רוצה להציע תירוץ”. השיב ר׳ אריה, תלמיד ר׳ מנשה מאיליה</w:t>
      </w:r>
      <w:bookmarkStart w:id="6718" w:name="_fnr5115"/>
      <w:r>
        <w:rPr>
          <w:rStyle w:val="a5"/>
        </w:rPr>
        <w:footnoteReference w:id="5128" w:customMarkFollows="0"/>
      </w:r>
      <w:bookmarkEnd w:id="6718"/>
      <w:r>
        <w:rPr>
          <w:rtl/>
        </w:rPr>
        <w:t xml:space="preserve">: “אתה תציע תירוץ הסוטה מן הפשטות – ואני שונא </w:t>
      </w:r>
      <w:proofErr w:type="spellStart"/>
      <w:r>
        <w:rPr>
          <w:rtl/>
        </w:rPr>
        <w:t>פשעטלאך</w:t>
      </w:r>
      <w:proofErr w:type="spellEnd"/>
      <w:r>
        <w:rPr>
          <w:rtl/>
        </w:rPr>
        <w:t xml:space="preserve"> [תירוצים מפולפלים] שנאת מוות. אך מאחר שזה רצונך, אורחי, אסבול את הכאב חצי שעה ואשמע את </w:t>
      </w:r>
      <w:proofErr w:type="spellStart"/>
      <w:r>
        <w:rPr>
          <w:rtl/>
        </w:rPr>
        <w:t>הפשעטל</w:t>
      </w:r>
      <w:proofErr w:type="spellEnd"/>
      <w:r>
        <w:rPr>
          <w:rtl/>
        </w:rPr>
        <w:t xml:space="preserve"> שלך”.</w:t>
      </w:r>
    </w:p>
    <w:p w14:paraId="533CBADE" w14:textId="77777777" w:rsidR="00AB3647" w:rsidRDefault="00000000" w:rsidP="007923E9">
      <w:pPr>
        <w:spacing w:after="120" w:line="276" w:lineRule="auto"/>
        <w:ind w:firstLine="283"/>
        <w:jc w:val="both"/>
      </w:pPr>
      <w:r>
        <w:rPr>
          <w:rtl/>
        </w:rPr>
        <w:t>ר׳ חיים, כמובן, אמר שלא יעלה על דעתו לצער כך את מארחו, ועבר להזכיר דברי רמב״ם, ואחר כך גמרא ותוספות – עד שקפץ מארחו על רגליו ואמר: “עתה, כשהובלת אותי דרך המקורות, אני מבין מה יהיה תירוצך לרש״י הקשה; תירוצך טוב, ואני מבקש את סליחתך”</w:t>
      </w:r>
      <w:bookmarkStart w:id="6719" w:name="_fnr5116"/>
      <w:r>
        <w:rPr>
          <w:rStyle w:val="a5"/>
        </w:rPr>
        <w:footnoteReference w:id="5129" w:customMarkFollows="0"/>
      </w:r>
      <w:bookmarkEnd w:id="6719"/>
      <w:r>
        <w:rPr>
          <w:rtl/>
        </w:rPr>
        <w:t>.</w:t>
      </w:r>
    </w:p>
    <w:p w14:paraId="5BD9C983" w14:textId="77777777" w:rsidR="00AB3647" w:rsidRDefault="00000000" w:rsidP="007923E9">
      <w:pPr>
        <w:spacing w:after="120" w:line="276" w:lineRule="auto"/>
        <w:ind w:firstLine="283"/>
        <w:jc w:val="both"/>
      </w:pPr>
      <w:r>
        <w:rPr>
          <w:rtl/>
        </w:rPr>
        <w:t xml:space="preserve">סיפור זה מובא </w:t>
      </w:r>
      <w:proofErr w:type="spellStart"/>
      <w:r>
        <w:rPr>
          <w:rtl/>
        </w:rPr>
        <w:t>ב“עובדות</w:t>
      </w:r>
      <w:proofErr w:type="spellEnd"/>
      <w:r>
        <w:rPr>
          <w:rtl/>
        </w:rPr>
        <w:t xml:space="preserve"> והנהגות לבית </w:t>
      </w:r>
      <w:proofErr w:type="spellStart"/>
      <w:r>
        <w:rPr>
          <w:rtl/>
        </w:rPr>
        <w:t>בריסק</w:t>
      </w:r>
      <w:proofErr w:type="spellEnd"/>
      <w:r>
        <w:rPr>
          <w:rtl/>
        </w:rPr>
        <w:t>”</w:t>
      </w:r>
      <w:bookmarkStart w:id="6720" w:name="_fnr5117"/>
      <w:r>
        <w:rPr>
          <w:rStyle w:val="a5"/>
        </w:rPr>
        <w:footnoteReference w:id="5130" w:customMarkFollows="0"/>
      </w:r>
      <w:bookmarkEnd w:id="6720"/>
      <w:r>
        <w:rPr>
          <w:rtl/>
        </w:rPr>
        <w:t xml:space="preserve"> בשם ר׳ </w:t>
      </w:r>
      <w:proofErr w:type="spellStart"/>
      <w:r>
        <w:rPr>
          <w:rtl/>
        </w:rPr>
        <w:t>משולם־דוד</w:t>
      </w:r>
      <w:proofErr w:type="spellEnd"/>
      <w:r>
        <w:rPr>
          <w:rtl/>
        </w:rPr>
        <w:t xml:space="preserve">, ובמועד שאינו מתאים לנסיעת ר׳ חיים </w:t>
      </w:r>
      <w:proofErr w:type="spellStart"/>
      <w:r>
        <w:rPr>
          <w:rtl/>
        </w:rPr>
        <w:t>לדננבורג</w:t>
      </w:r>
      <w:proofErr w:type="spellEnd"/>
      <w:r>
        <w:rPr>
          <w:rtl/>
        </w:rPr>
        <w:t xml:space="preserve">. נאמר שם: “פעם נזקקה ישיבת </w:t>
      </w:r>
      <w:proofErr w:type="spellStart"/>
      <w:r>
        <w:rPr>
          <w:rtl/>
        </w:rPr>
        <w:t>וולוז׳ין</w:t>
      </w:r>
      <w:proofErr w:type="spellEnd"/>
      <w:r>
        <w:rPr>
          <w:rtl/>
        </w:rPr>
        <w:t xml:space="preserve"> למכתבים מגדולי התורה בעניין מסוים, </w:t>
      </w:r>
      <w:proofErr w:type="spellStart"/>
      <w:r>
        <w:rPr>
          <w:rtl/>
        </w:rPr>
        <w:t>והנצי״ב</w:t>
      </w:r>
      <w:proofErr w:type="spellEnd"/>
      <w:r>
        <w:rPr>
          <w:rtl/>
        </w:rPr>
        <w:t xml:space="preserve"> שלח את ר׳ חיים להשיג את המכתבים. </w:t>
      </w:r>
      <w:r>
        <w:rPr>
          <w:b/>
          <w:bCs/>
          <w:rtl/>
        </w:rPr>
        <w:t>הדבר אירע מיד אחרי נישואיו</w:t>
      </w:r>
      <w:r>
        <w:rPr>
          <w:rtl/>
        </w:rPr>
        <w:t xml:space="preserve"> (ההדגשה שלי)”. ר׳ חיים נישא </w:t>
      </w:r>
      <w:proofErr w:type="spellStart"/>
      <w:r>
        <w:rPr>
          <w:rtl/>
        </w:rPr>
        <w:t>בתרל״ג</w:t>
      </w:r>
      <w:proofErr w:type="spellEnd"/>
      <w:r>
        <w:rPr>
          <w:rtl/>
        </w:rPr>
        <w:t xml:space="preserve">, ונסיעתו </w:t>
      </w:r>
      <w:proofErr w:type="spellStart"/>
      <w:r>
        <w:rPr>
          <w:rtl/>
        </w:rPr>
        <w:t>לדננבורג</w:t>
      </w:r>
      <w:proofErr w:type="spellEnd"/>
      <w:r>
        <w:rPr>
          <w:rtl/>
        </w:rPr>
        <w:t xml:space="preserve"> הייתה כעבור </w:t>
      </w:r>
      <w:proofErr w:type="spellStart"/>
      <w:r>
        <w:rPr>
          <w:rtl/>
        </w:rPr>
        <w:t>שתים־עשרה</w:t>
      </w:r>
      <w:proofErr w:type="spellEnd"/>
      <w:r>
        <w:rPr>
          <w:rtl/>
        </w:rPr>
        <w:t xml:space="preserve"> שנה, כמבואר בראש פסקה זו. אני נוטה לקבל את דברי ר׳ </w:t>
      </w:r>
      <w:proofErr w:type="spellStart"/>
      <w:r>
        <w:rPr>
          <w:rtl/>
        </w:rPr>
        <w:t>משולם־דוד</w:t>
      </w:r>
      <w:proofErr w:type="spellEnd"/>
      <w:r>
        <w:rPr>
          <w:rtl/>
        </w:rPr>
        <w:t xml:space="preserve"> בעל פה על פני הכתוב בספר הנזכר: אני מניח שהפגישה עם ר׳ אריה </w:t>
      </w:r>
      <w:proofErr w:type="spellStart"/>
      <w:r>
        <w:rPr>
          <w:rtl/>
        </w:rPr>
        <w:t>האיהומינר</w:t>
      </w:r>
      <w:proofErr w:type="spellEnd"/>
      <w:r>
        <w:rPr>
          <w:rtl/>
        </w:rPr>
        <w:t xml:space="preserve"> התקיימה כשנסע ר׳ חיים </w:t>
      </w:r>
      <w:proofErr w:type="spellStart"/>
      <w:r>
        <w:rPr>
          <w:rtl/>
        </w:rPr>
        <w:t>לדננבורג</w:t>
      </w:r>
      <w:proofErr w:type="spellEnd"/>
      <w:r>
        <w:rPr>
          <w:rtl/>
        </w:rPr>
        <w:t xml:space="preserve">, </w:t>
      </w:r>
      <w:proofErr w:type="spellStart"/>
      <w:r>
        <w:rPr>
          <w:rtl/>
        </w:rPr>
        <w:t>ושה“מכתבים</w:t>
      </w:r>
      <w:proofErr w:type="spellEnd"/>
      <w:r>
        <w:rPr>
          <w:rtl/>
        </w:rPr>
        <w:t xml:space="preserve"> שנדרשו” היו לשם פתיחת כולל, כפי שהובא מדברי רבנו בתחילת פסקה זו.</w:t>
      </w:r>
    </w:p>
    <w:p w14:paraId="4D149D5A" w14:textId="77777777" w:rsidR="00AB3647" w:rsidRDefault="00000000" w:rsidP="007923E9">
      <w:pPr>
        <w:spacing w:after="120" w:line="276" w:lineRule="auto"/>
        <w:ind w:firstLine="283"/>
        <w:jc w:val="both"/>
      </w:pPr>
      <w:r>
        <w:rPr>
          <w:rtl/>
        </w:rPr>
        <w:t xml:space="preserve">אגב, יש דרכים חלופיות </w:t>
      </w:r>
      <w:proofErr w:type="spellStart"/>
      <w:r>
        <w:rPr>
          <w:rtl/>
        </w:rPr>
        <w:t>מוולוז׳ין</w:t>
      </w:r>
      <w:proofErr w:type="spellEnd"/>
      <w:r>
        <w:rPr>
          <w:rtl/>
        </w:rPr>
        <w:t xml:space="preserve"> </w:t>
      </w:r>
      <w:proofErr w:type="spellStart"/>
      <w:r>
        <w:rPr>
          <w:rtl/>
        </w:rPr>
        <w:t>לדננבורג</w:t>
      </w:r>
      <w:proofErr w:type="spellEnd"/>
      <w:r>
        <w:rPr>
          <w:rtl/>
        </w:rPr>
        <w:t xml:space="preserve">. הדרך דרך מינסק ארוכה מעט מזו שדרך וילנה, אך מסתבר שהיו קשרי מסחר רבים יותר בין מינסק </w:t>
      </w:r>
      <w:proofErr w:type="spellStart"/>
      <w:r>
        <w:rPr>
          <w:rtl/>
        </w:rPr>
        <w:t>לדננבורג</w:t>
      </w:r>
      <w:proofErr w:type="spellEnd"/>
      <w:r>
        <w:rPr>
          <w:rtl/>
        </w:rPr>
        <w:t xml:space="preserve"> מאשר בין וילנה </w:t>
      </w:r>
      <w:proofErr w:type="spellStart"/>
      <w:r>
        <w:rPr>
          <w:rtl/>
        </w:rPr>
        <w:t>לדננבורג</w:t>
      </w:r>
      <w:proofErr w:type="spellEnd"/>
      <w:r>
        <w:rPr>
          <w:rtl/>
        </w:rPr>
        <w:t xml:space="preserve">, ולכן קל היה יותר להסדיר את הנסיעה דרך מינסק. כך יכול היה ר׳ חיים לסור אל ר׳ אריה </w:t>
      </w:r>
      <w:r>
        <w:rPr>
          <w:b/>
          <w:bCs/>
          <w:rtl/>
        </w:rPr>
        <w:t>בדרכו</w:t>
      </w:r>
      <w:r>
        <w:rPr>
          <w:rtl/>
        </w:rPr>
        <w:t xml:space="preserve"> </w:t>
      </w:r>
      <w:proofErr w:type="spellStart"/>
      <w:r>
        <w:rPr>
          <w:rtl/>
        </w:rPr>
        <w:t>לר</w:t>
      </w:r>
      <w:proofErr w:type="spellEnd"/>
      <w:r>
        <w:rPr>
          <w:rtl/>
        </w:rPr>
        <w:t xml:space="preserve">׳ ראובן. אילו התכוון ר׳ חיים לאסוף מעט כספים </w:t>
      </w:r>
      <w:r>
        <w:rPr>
          <w:b/>
          <w:bCs/>
          <w:rtl/>
        </w:rPr>
        <w:t>בדרך</w:t>
      </w:r>
      <w:r>
        <w:rPr>
          <w:rtl/>
        </w:rPr>
        <w:t xml:space="preserve"> – ולא </w:t>
      </w:r>
      <w:proofErr w:type="spellStart"/>
      <w:r>
        <w:rPr>
          <w:rtl/>
        </w:rPr>
        <w:t>בדננבורג</w:t>
      </w:r>
      <w:proofErr w:type="spellEnd"/>
      <w:r>
        <w:rPr>
          <w:rtl/>
        </w:rPr>
        <w:t xml:space="preserve">, שלפי </w:t>
      </w:r>
      <w:proofErr w:type="spellStart"/>
      <w:r>
        <w:rPr>
          <w:rtl/>
        </w:rPr>
        <w:t>רבינר</w:t>
      </w:r>
      <w:proofErr w:type="spellEnd"/>
      <w:r>
        <w:rPr>
          <w:rtl/>
        </w:rPr>
        <w:t xml:space="preserve">, “רבינו מאיר שמחה הכהן”, שצוטט לעיל, איסוף הכספים שם היה מטרת נסיעתו – הייתה דרכו עוברת כנראה במינסק, שבה גרו תומכיה הנאמנים ביותר של ישיבת </w:t>
      </w:r>
      <w:proofErr w:type="spellStart"/>
      <w:r>
        <w:rPr>
          <w:rtl/>
        </w:rPr>
        <w:t>וולוז׳ין</w:t>
      </w:r>
      <w:proofErr w:type="spellEnd"/>
      <w:r>
        <w:rPr>
          <w:rtl/>
        </w:rPr>
        <w:t>.</w:t>
      </w:r>
    </w:p>
    <w:p w14:paraId="2AE55BB7" w14:textId="77777777" w:rsidR="00AB3647" w:rsidRDefault="00000000" w:rsidP="007923E9">
      <w:pPr>
        <w:pStyle w:val="4"/>
        <w:spacing w:line="276" w:lineRule="auto"/>
      </w:pPr>
      <w:r>
        <w:lastRenderedPageBreak/>
        <w:t>· הפסקה החמישית ·</w:t>
      </w:r>
    </w:p>
    <w:p w14:paraId="3BFC430A" w14:textId="77777777" w:rsidR="00AB3647" w:rsidRDefault="00000000" w:rsidP="007923E9">
      <w:pPr>
        <w:shd w:val="clear" w:color="auto" w:fill="F2F2F2"/>
        <w:spacing w:before="40" w:after="200" w:line="276" w:lineRule="auto"/>
        <w:ind w:left="283" w:right="283"/>
        <w:jc w:val="both"/>
      </w:pPr>
      <w:r>
        <w:rPr>
          <w:color w:val="404040"/>
          <w:sz w:val="22"/>
          <w:szCs w:val="22"/>
          <w:rtl/>
        </w:rPr>
        <w:t xml:space="preserve">כישרונו המיוחד של ר׳ חיים מתגלה, לפי המסופר, בדרשת בר המצווה שלו – הוא מגלה אותו שוב בביקור לאיסוף כספים במינסק – חסדו של ר׳ חיים לעניי </w:t>
      </w:r>
      <w:proofErr w:type="spellStart"/>
      <w:r>
        <w:rPr>
          <w:color w:val="404040"/>
          <w:sz w:val="22"/>
          <w:szCs w:val="22"/>
          <w:rtl/>
        </w:rPr>
        <w:t>בריסק</w:t>
      </w:r>
      <w:proofErr w:type="spellEnd"/>
      <w:r>
        <w:rPr>
          <w:color w:val="404040"/>
          <w:sz w:val="22"/>
          <w:szCs w:val="22"/>
          <w:rtl/>
        </w:rPr>
        <w:t xml:space="preserve"> וגבורתו בהצלת ילדים מן השרפה הגדולה – מדוע רצה להרשים את רבה של מינסק – כיצד נתמנה ר׳ חיים לרבה של </w:t>
      </w:r>
      <w:proofErr w:type="spellStart"/>
      <w:r>
        <w:rPr>
          <w:color w:val="404040"/>
          <w:sz w:val="22"/>
          <w:szCs w:val="22"/>
          <w:rtl/>
        </w:rPr>
        <w:t>בריסק</w:t>
      </w:r>
      <w:proofErr w:type="spellEnd"/>
      <w:r>
        <w:rPr>
          <w:color w:val="404040"/>
          <w:sz w:val="22"/>
          <w:szCs w:val="22"/>
          <w:rtl/>
        </w:rPr>
        <w:t xml:space="preserve"> – אהבתו למשפחת </w:t>
      </w:r>
      <w:proofErr w:type="spellStart"/>
      <w:r>
        <w:rPr>
          <w:color w:val="404040"/>
          <w:sz w:val="22"/>
          <w:szCs w:val="22"/>
          <w:rtl/>
        </w:rPr>
        <w:t>ה“גדול</w:t>
      </w:r>
      <w:proofErr w:type="spellEnd"/>
      <w:r>
        <w:rPr>
          <w:color w:val="404040"/>
          <w:sz w:val="22"/>
          <w:szCs w:val="22"/>
          <w:rtl/>
        </w:rPr>
        <w:t xml:space="preserve">” ממינסק – ר׳ </w:t>
      </w:r>
      <w:proofErr w:type="spellStart"/>
      <w:r>
        <w:rPr>
          <w:color w:val="404040"/>
          <w:sz w:val="22"/>
          <w:szCs w:val="22"/>
          <w:rtl/>
        </w:rPr>
        <w:t>דוד־טעביל</w:t>
      </w:r>
      <w:proofErr w:type="spellEnd"/>
      <w:r>
        <w:rPr>
          <w:color w:val="404040"/>
          <w:sz w:val="22"/>
          <w:szCs w:val="22"/>
          <w:rtl/>
        </w:rPr>
        <w:t xml:space="preserve"> זוכה לבנו היחיד לעת זקנתו – ניסיונותיו של ר׳ חיים למנות יורשים </w:t>
      </w:r>
      <w:proofErr w:type="spellStart"/>
      <w:r>
        <w:rPr>
          <w:color w:val="404040"/>
          <w:sz w:val="22"/>
          <w:szCs w:val="22"/>
          <w:rtl/>
        </w:rPr>
        <w:t>ברבנויות</w:t>
      </w:r>
      <w:proofErr w:type="spellEnd"/>
      <w:r>
        <w:rPr>
          <w:color w:val="404040"/>
          <w:sz w:val="22"/>
          <w:szCs w:val="22"/>
          <w:rtl/>
        </w:rPr>
        <w:t xml:space="preserve"> שונות – ר׳ לייזר </w:t>
      </w:r>
      <w:proofErr w:type="spellStart"/>
      <w:r>
        <w:rPr>
          <w:color w:val="404040"/>
          <w:sz w:val="22"/>
          <w:szCs w:val="22"/>
          <w:rtl/>
        </w:rPr>
        <w:t>רבינוביץ</w:t>
      </w:r>
      <w:proofErr w:type="spellEnd"/>
      <w:r>
        <w:rPr>
          <w:color w:val="404040"/>
          <w:sz w:val="22"/>
          <w:szCs w:val="22"/>
          <w:rtl/>
        </w:rPr>
        <w:t xml:space="preserve"> ממנה את בנו של ר׳ </w:t>
      </w:r>
      <w:proofErr w:type="spellStart"/>
      <w:r>
        <w:rPr>
          <w:color w:val="404040"/>
          <w:sz w:val="22"/>
          <w:szCs w:val="22"/>
          <w:rtl/>
        </w:rPr>
        <w:t>אלי׳־ברוך</w:t>
      </w:r>
      <w:proofErr w:type="spellEnd"/>
      <w:r>
        <w:rPr>
          <w:color w:val="404040"/>
          <w:sz w:val="22"/>
          <w:szCs w:val="22"/>
          <w:rtl/>
        </w:rPr>
        <w:t xml:space="preserve"> קמאי לרבה של </w:t>
      </w:r>
      <w:proofErr w:type="spellStart"/>
      <w:r>
        <w:rPr>
          <w:color w:val="404040"/>
          <w:sz w:val="22"/>
          <w:szCs w:val="22"/>
          <w:rtl/>
        </w:rPr>
        <w:t>מיר</w:t>
      </w:r>
      <w:proofErr w:type="spellEnd"/>
    </w:p>
    <w:p w14:paraId="57A49C04" w14:textId="77777777" w:rsidR="00AB3647" w:rsidRDefault="00000000" w:rsidP="007923E9">
      <w:pPr>
        <w:spacing w:after="120" w:line="276" w:lineRule="auto"/>
        <w:ind w:firstLine="283"/>
        <w:jc w:val="both"/>
      </w:pPr>
      <w:r>
        <w:rPr>
          <w:rtl/>
        </w:rPr>
        <w:t xml:space="preserve">שני סיפורים נוספים המדגימים את כישרונו המיוחד של ר׳ חיים להבנת דרכי מחשבתם של אחרים מובאים </w:t>
      </w:r>
      <w:proofErr w:type="spellStart"/>
      <w:r>
        <w:rPr>
          <w:rtl/>
        </w:rPr>
        <w:t>ב“אישים</w:t>
      </w:r>
      <w:proofErr w:type="spellEnd"/>
      <w:r>
        <w:rPr>
          <w:rtl/>
        </w:rPr>
        <w:t xml:space="preserve"> ושיטות”</w:t>
      </w:r>
      <w:bookmarkStart w:id="6721" w:name="_fnr5118"/>
      <w:r>
        <w:rPr>
          <w:rStyle w:val="a5"/>
        </w:rPr>
        <w:footnoteReference w:id="5131" w:customMarkFollows="0"/>
      </w:r>
      <w:bookmarkEnd w:id="6721"/>
      <w:r>
        <w:rPr>
          <w:rtl/>
        </w:rPr>
        <w:t xml:space="preserve">. הראשון מספר בשם נכדו, ר׳ </w:t>
      </w:r>
      <w:proofErr w:type="spellStart"/>
      <w:r>
        <w:rPr>
          <w:rtl/>
        </w:rPr>
        <w:t xml:space="preserve">יוסף־דב</w:t>
      </w:r>
      <w:proofErr w:type="spellEnd"/>
      <w:r>
        <w:rPr>
          <w:rtl/>
        </w:rPr>
        <w:t xml:space="preserve"> </w:t>
      </w:r>
      <w:proofErr w:type="spellStart"/>
      <w:r>
        <w:rPr>
          <w:rtl/>
        </w:rPr>
        <w:t>סולובייצ׳יק</w:t>
      </w:r>
      <w:proofErr w:type="spellEnd"/>
      <w:r>
        <w:rPr>
          <w:rtl/>
        </w:rPr>
        <w:t xml:space="preserve">, שכאשר נזקק ר׳ חיים לדרשת בר מצווה, אמר לו אביו להכין דבר תורה על הלכה מסוימת ברמב״ם </w:t>
      </w:r>
      <w:proofErr w:type="spellStart"/>
      <w:r>
        <w:rPr>
          <w:rtl/>
        </w:rPr>
        <w:t>ו“להסבירה</w:t>
      </w:r>
      <w:proofErr w:type="spellEnd"/>
      <w:r>
        <w:rPr>
          <w:rtl/>
        </w:rPr>
        <w:t xml:space="preserve"> כפי שהוא (ר׳ </w:t>
      </w:r>
      <w:proofErr w:type="spellStart"/>
      <w:r>
        <w:rPr>
          <w:rtl/>
        </w:rPr>
        <w:t xml:space="preserve">יושע־בער</w:t>
      </w:r>
      <w:proofErr w:type="spellEnd"/>
      <w:r>
        <w:rPr>
          <w:rtl/>
        </w:rPr>
        <w:t>) היה מסביר”, והנער עשה כך. (אך “שמושה של תורה”</w:t>
      </w:r>
      <w:bookmarkStart w:id="6722" w:name="_fnr5119"/>
      <w:r>
        <w:rPr>
          <w:rStyle w:val="a5"/>
        </w:rPr>
        <w:footnoteReference w:id="5132" w:customMarkFollows="0"/>
      </w:r>
      <w:bookmarkEnd w:id="6722"/>
      <w:r>
        <w:rPr>
          <w:rtl/>
        </w:rPr>
        <w:t xml:space="preserve"> טוען בשם ר׳ יצחק־זאב </w:t>
      </w:r>
      <w:proofErr w:type="spellStart"/>
      <w:r>
        <w:rPr>
          <w:rtl/>
        </w:rPr>
        <w:t>סולובייצ׳יק</w:t>
      </w:r>
      <w:proofErr w:type="spellEnd"/>
      <w:r>
        <w:rPr>
          <w:rtl/>
        </w:rPr>
        <w:t xml:space="preserve"> שר׳ חיים כלל לא הכין דרשה, אלא “דיבר בלימוד” עם האורחים המוזמנים.)</w:t>
      </w:r>
    </w:p>
    <w:p w14:paraId="610226EF" w14:textId="77777777" w:rsidR="00AB3647" w:rsidRDefault="00000000" w:rsidP="007923E9">
      <w:pPr>
        <w:spacing w:after="120" w:line="276" w:lineRule="auto"/>
        <w:ind w:firstLine="283"/>
        <w:jc w:val="both"/>
      </w:pPr>
      <w:bookmarkStart w:id="6723" w:name="pr_b_2769"/>
      <w:bookmarkEnd w:id="6723"/>
      <w:r>
        <w:rPr>
          <w:rtl/>
        </w:rPr>
        <w:t xml:space="preserve">הסיפור השני ממחיש אותו עניין, אבל פרטים רבים חסרים בו: “בעת ביקור בעיר גדולה, יחד עם רבה של </w:t>
      </w:r>
      <w:proofErr w:type="spellStart"/>
      <w:r>
        <w:rPr>
          <w:rtl/>
        </w:rPr>
        <w:t>איהומן</w:t>
      </w:r>
      <w:proofErr w:type="spellEnd"/>
      <w:r>
        <w:rPr>
          <w:rtl/>
        </w:rPr>
        <w:t xml:space="preserve">, ר׳ </w:t>
      </w:r>
      <w:proofErr w:type="spellStart"/>
      <w:r>
        <w:rPr>
          <w:rtl/>
        </w:rPr>
        <w:t>ישראל־יהונתן</w:t>
      </w:r>
      <w:proofErr w:type="spellEnd"/>
      <w:r>
        <w:rPr>
          <w:rtl/>
        </w:rPr>
        <w:t xml:space="preserve"> </w:t>
      </w:r>
      <w:proofErr w:type="spellStart"/>
      <w:r>
        <w:rPr>
          <w:rtl/>
        </w:rPr>
        <w:t>ירושלמסקי</w:t>
      </w:r>
      <w:bookmarkStart w:id="6724" w:name="_fnr5120"/>
      <w:proofErr w:type="spellEnd"/>
      <w:r>
        <w:rPr>
          <w:rStyle w:val="a5"/>
        </w:rPr>
        <w:footnoteReference w:id="5133" w:customMarkFollows="0"/>
      </w:r>
      <w:bookmarkEnd w:id="6724"/>
      <w:r>
        <w:rPr>
          <w:rtl/>
        </w:rPr>
        <w:t xml:space="preserve">, הציע ר׳ חיים שיעלו לבקר את הרב המקומי. כשעלו במדרגות אמר ר׳ חיים למלווהו: ‘אנא, אל תקשה על מה שתראה עכשיו’. אחרי שבירך את רב העיר לשלום, ביקש ממנו ר׳ חיים לומר דבר תורה. ברגע שהרב חזר על לשון הגמרא, הפסיקו ר׳ חיים ואמר: ‘ודאי אתה עומד להקשות את </w:t>
      </w:r>
      <w:proofErr w:type="spellStart"/>
      <w:r>
        <w:rPr>
          <w:rtl/>
        </w:rPr>
        <w:t>הקושיא</w:t>
      </w:r>
      <w:proofErr w:type="spellEnd"/>
      <w:r>
        <w:rPr>
          <w:rtl/>
        </w:rPr>
        <w:t xml:space="preserve"> הזאת’, והציג אותה. הרב אמר: ‘נכון, ואני רוצה לתרץ כך...’ שוב הפסיקו ר׳ חיים ואמר: ‘בוודאי אתה רוצה להציע את התירוץ הזה’, והמשיך והביע מה שהיה בדעת הרב. אמר הרב: ‘נכון. אבל הקושי שיש לי בתירוץ הזה הוא...’ ולפני שיכול היה להמשיך, נכנס ר׳ חיים לדבריו: ‘הקושי הוא מדברי הגמרא במסכת פלונית’, ושוב הקדים את מחשבות הרב. כך נמשך הדבר עד שסיים הרב את חידוש התורה, ור׳ חיים צפה אותו מראשיתו ועד סופו. מיד אחר כך נפרדו ר׳ חיים ומלווהו מן הרב ויצאו. כשירדו במדרגות הסביר ר׳ חיים </w:t>
      </w:r>
      <w:proofErr w:type="spellStart"/>
      <w:r>
        <w:rPr>
          <w:rtl/>
        </w:rPr>
        <w:t>לר</w:t>
      </w:r>
      <w:proofErr w:type="spellEnd"/>
      <w:r>
        <w:rPr>
          <w:rtl/>
        </w:rPr>
        <w:t xml:space="preserve">׳ </w:t>
      </w:r>
      <w:proofErr w:type="spellStart"/>
      <w:r>
        <w:rPr>
          <w:rtl/>
        </w:rPr>
        <w:t>ישראל־יהונתן</w:t>
      </w:r>
      <w:proofErr w:type="spellEnd"/>
      <w:r>
        <w:rPr>
          <w:rtl/>
        </w:rPr>
        <w:t xml:space="preserve">: ‘עכשיו לא יאמר עוד שרבה של </w:t>
      </w:r>
      <w:proofErr w:type="spellStart"/>
      <w:r>
        <w:rPr>
          <w:rtl/>
        </w:rPr>
        <w:t>בריסק</w:t>
      </w:r>
      <w:proofErr w:type="spellEnd"/>
      <w:r>
        <w:rPr>
          <w:rtl/>
        </w:rPr>
        <w:t xml:space="preserve"> אינו יודע ללמוד’”.</w:t>
      </w:r>
    </w:p>
    <w:p w14:paraId="2A9C84BA" w14:textId="77777777" w:rsidR="00AB3647" w:rsidRDefault="00000000" w:rsidP="007923E9">
      <w:pPr>
        <w:spacing w:after="120" w:line="276" w:lineRule="auto"/>
        <w:ind w:firstLine="283"/>
        <w:jc w:val="both"/>
      </w:pPr>
      <w:r>
        <w:rPr>
          <w:rtl/>
        </w:rPr>
        <w:t xml:space="preserve">ר׳ ישראל </w:t>
      </w:r>
      <w:proofErr w:type="spellStart"/>
      <w:r>
        <w:rPr>
          <w:rtl/>
        </w:rPr>
        <w:t>שורין</w:t>
      </w:r>
      <w:bookmarkStart w:id="6725" w:name="_fnr5121"/>
      <w:proofErr w:type="spellEnd"/>
      <w:r>
        <w:rPr>
          <w:rStyle w:val="a5"/>
        </w:rPr>
        <w:footnoteReference w:id="5134" w:customMarkFollows="0"/>
      </w:r>
      <w:bookmarkEnd w:id="6725"/>
      <w:r>
        <w:rPr>
          <w:rtl/>
        </w:rPr>
        <w:t xml:space="preserve"> שמע מר׳ </w:t>
      </w:r>
      <w:proofErr w:type="spellStart"/>
      <w:r>
        <w:rPr>
          <w:rtl/>
        </w:rPr>
        <w:t xml:space="preserve">יוסף־דב</w:t>
      </w:r>
      <w:proofErr w:type="spellEnd"/>
      <w:r>
        <w:rPr>
          <w:rtl/>
        </w:rPr>
        <w:t xml:space="preserve"> </w:t>
      </w:r>
      <w:proofErr w:type="spellStart"/>
      <w:r>
        <w:rPr>
          <w:rtl/>
        </w:rPr>
        <w:t>סולובייצ׳יק</w:t>
      </w:r>
      <w:proofErr w:type="spellEnd"/>
      <w:r>
        <w:rPr>
          <w:rtl/>
        </w:rPr>
        <w:t xml:space="preserve"> פרטים ששופכים אור על מעשה מעניין זה, שנראה בלתי אופייני </w:t>
      </w:r>
      <w:proofErr w:type="spellStart"/>
      <w:r>
        <w:rPr>
          <w:rtl/>
        </w:rPr>
        <w:t>לר</w:t>
      </w:r>
      <w:proofErr w:type="spellEnd"/>
      <w:r>
        <w:rPr>
          <w:rtl/>
        </w:rPr>
        <w:t>׳ חיים. הדבר התרחש במינסק, והרב היה המרא דאתרא</w:t>
      </w:r>
      <w:bookmarkStart w:id="6726" w:name="_fnr5122"/>
      <w:r>
        <w:rPr>
          <w:rStyle w:val="a5"/>
        </w:rPr>
        <w:footnoteReference w:id="5135" w:customMarkFollows="0"/>
      </w:r>
      <w:bookmarkEnd w:id="6726"/>
      <w:r>
        <w:rPr>
          <w:rtl/>
        </w:rPr>
        <w:t xml:space="preserve">, ר׳ </w:t>
      </w:r>
      <w:proofErr w:type="spellStart"/>
      <w:r>
        <w:rPr>
          <w:rtl/>
        </w:rPr>
        <w:t>ירוחם־יהודה־לייב</w:t>
      </w:r>
      <w:proofErr w:type="spellEnd"/>
      <w:r>
        <w:rPr>
          <w:rtl/>
        </w:rPr>
        <w:t xml:space="preserve"> פרלמן, </w:t>
      </w:r>
      <w:proofErr w:type="spellStart"/>
      <w:r>
        <w:rPr>
          <w:rtl/>
        </w:rPr>
        <w:t>ה“גדול</w:t>
      </w:r>
      <w:proofErr w:type="spellEnd"/>
      <w:r>
        <w:rPr>
          <w:rtl/>
        </w:rPr>
        <w:t>”</w:t>
      </w:r>
      <w:bookmarkStart w:id="6727" w:name="_fnr5123"/>
      <w:r>
        <w:rPr>
          <w:rStyle w:val="a5"/>
        </w:rPr>
        <w:footnoteReference w:id="5136" w:customMarkFollows="0"/>
      </w:r>
      <w:bookmarkEnd w:id="6727"/>
      <w:r>
        <w:rPr>
          <w:rtl/>
        </w:rPr>
        <w:t xml:space="preserve">. השנה הייתה תרנ״ה, שלוש שנים אחרי שנתמנה ר׳ חיים לרבה של </w:t>
      </w:r>
      <w:proofErr w:type="spellStart"/>
      <w:r>
        <w:rPr>
          <w:rtl/>
        </w:rPr>
        <w:t>בריסק</w:t>
      </w:r>
      <w:proofErr w:type="spellEnd"/>
      <w:r>
        <w:rPr>
          <w:rtl/>
        </w:rPr>
        <w:t xml:space="preserve">, ומטרת ביקורו הייתה לאסוף כספים מעשירי מינסק עבור בני </w:t>
      </w:r>
      <w:proofErr w:type="spellStart"/>
      <w:r>
        <w:rPr>
          <w:rtl/>
        </w:rPr>
        <w:t>בריסק</w:t>
      </w:r>
      <w:proofErr w:type="spellEnd"/>
      <w:r>
        <w:rPr>
          <w:rtl/>
        </w:rPr>
        <w:t xml:space="preserve"> שאיבדו את בתיהם ורכושם בשרפה הגדולה של אותה שנה. “אישים ושיטות” מספר גם</w:t>
      </w:r>
      <w:bookmarkStart w:id="6728" w:name="_fnr5124"/>
      <w:r>
        <w:rPr>
          <w:rStyle w:val="a5"/>
        </w:rPr>
        <w:footnoteReference w:id="5137" w:customMarkFollows="0"/>
      </w:r>
      <w:bookmarkEnd w:id="6728"/>
      <w:r>
        <w:rPr>
          <w:rtl/>
        </w:rPr>
        <w:t xml:space="preserve"> </w:t>
      </w:r>
      <w:r>
        <w:rPr>
          <w:rtl/>
        </w:rPr>
        <w:lastRenderedPageBreak/>
        <w:t>שר׳ חיים, שהשתתף בצער בני עירו חסרי הכול, ישן על רצפת מבוא בית הכנסת עד שלכל אחד הייתה קורת גג מעל ראשו.</w:t>
      </w:r>
    </w:p>
    <w:p w14:paraId="519CAE9C" w14:textId="77777777" w:rsidR="00AB3647" w:rsidRDefault="00000000" w:rsidP="007923E9">
      <w:pPr>
        <w:spacing w:after="120" w:line="276" w:lineRule="auto"/>
        <w:ind w:firstLine="283"/>
        <w:jc w:val="both"/>
      </w:pPr>
      <w:r>
        <w:rPr>
          <w:rtl/>
        </w:rPr>
        <w:t xml:space="preserve">דוגמה נוספת להשתתפותו בצער הנזקקים מובאת </w:t>
      </w:r>
      <w:proofErr w:type="spellStart"/>
      <w:r>
        <w:rPr>
          <w:rtl/>
        </w:rPr>
        <w:t>ב“וולוז׳ין</w:t>
      </w:r>
      <w:proofErr w:type="spellEnd"/>
      <w:r>
        <w:rPr>
          <w:rtl/>
        </w:rPr>
        <w:t xml:space="preserve"> – ספרה של העיר ושל ישיבת עץ חיים”</w:t>
      </w:r>
      <w:bookmarkStart w:id="6729" w:name="_fnr5125"/>
      <w:r>
        <w:rPr>
          <w:rStyle w:val="a5"/>
        </w:rPr>
        <w:footnoteReference w:id="5138" w:customMarkFollows="0"/>
      </w:r>
      <w:bookmarkEnd w:id="6729"/>
      <w:r>
        <w:rPr>
          <w:rtl/>
        </w:rPr>
        <w:t xml:space="preserve">: “פרנסי </w:t>
      </w:r>
      <w:proofErr w:type="spellStart"/>
      <w:r>
        <w:rPr>
          <w:rtl/>
        </w:rPr>
        <w:t>בריסק</w:t>
      </w:r>
      <w:proofErr w:type="spellEnd"/>
      <w:r>
        <w:rPr>
          <w:rtl/>
        </w:rPr>
        <w:t xml:space="preserve"> הבחינו שההוצאה על עצי ההסקה שסיפקו לחימום בית הרב מופרזת. הם בדקו ומצאו שהמחסן שבו נשמרו עצי ההסקה לא היה נעול, ועניי העיר היו באים ולוקחים ממנו כאילו היה שלהם; הלכו ונעלו את המחסן ונתנו את המפתח לשמש. כשנודע הדבר </w:t>
      </w:r>
      <w:proofErr w:type="spellStart"/>
      <w:r>
        <w:rPr>
          <w:rtl/>
        </w:rPr>
        <w:t>לר</w:t>
      </w:r>
      <w:proofErr w:type="spellEnd"/>
      <w:r>
        <w:rPr>
          <w:rtl/>
        </w:rPr>
        <w:t>׳ חיים, הורה להסיר מיד את המנעול. שוב היה המחסן פתוח לרווחה, והעניים באו ולקחו את צורכיהם. כשטענו מנהיגי העיר לפני ר׳ חיים שאין קופת הקהל יכולה לספק עצים לכל עניי העיר, השיב: ‘אם כן, גם בביתי לא תהיה הסקה: איך אוכל לשבת בחום כשהעניים קופאים בקור?!’”.</w:t>
      </w:r>
    </w:p>
    <w:p w14:paraId="02E364C0" w14:textId="77777777" w:rsidR="00AB3647" w:rsidRDefault="00000000" w:rsidP="007923E9">
      <w:pPr>
        <w:spacing w:after="120" w:line="276" w:lineRule="auto"/>
        <w:ind w:firstLine="283"/>
        <w:jc w:val="both"/>
      </w:pPr>
      <w:r>
        <w:rPr>
          <w:rtl/>
        </w:rPr>
        <w:t xml:space="preserve">על השרפה הגדולה השווה “אנציקלופדיה </w:t>
      </w:r>
      <w:proofErr w:type="spellStart"/>
      <w:r>
        <w:rPr>
          <w:rtl/>
        </w:rPr>
        <w:t>בריסק</w:t>
      </w:r>
      <w:proofErr w:type="spellEnd"/>
      <w:r>
        <w:rPr>
          <w:rtl/>
        </w:rPr>
        <w:t>”</w:t>
      </w:r>
      <w:bookmarkStart w:id="6730" w:name="_fnr5126"/>
      <w:r>
        <w:rPr>
          <w:rStyle w:val="a5"/>
        </w:rPr>
        <w:footnoteReference w:id="5139" w:customMarkFollows="0"/>
      </w:r>
      <w:bookmarkEnd w:id="6730"/>
      <w:r>
        <w:rPr>
          <w:rtl/>
        </w:rPr>
        <w:t xml:space="preserve">, ושם אומר מאמר מאת פרופ׳ נ. </w:t>
      </w:r>
      <w:proofErr w:type="spellStart"/>
      <w:r>
        <w:rPr>
          <w:rtl/>
        </w:rPr>
        <w:t>סלושץ</w:t>
      </w:r>
      <w:proofErr w:type="spellEnd"/>
      <w:r>
        <w:rPr>
          <w:rtl/>
        </w:rPr>
        <w:t xml:space="preserve"> </w:t>
      </w:r>
      <w:proofErr w:type="spellStart"/>
      <w:r>
        <w:rPr>
          <w:rtl/>
        </w:rPr>
        <w:t>ש“הכול</w:t>
      </w:r>
      <w:proofErr w:type="spellEnd"/>
      <w:r>
        <w:rPr>
          <w:rtl/>
        </w:rPr>
        <w:t xml:space="preserve"> יודעים מה עשה (ר׳ חיים) בשעת השרפה, כיצד סיכן את חייו כדי להציל את ילדי התלמוד תורה שעמדו בפני מוות – עוד לפני שהספיק להציל את ביתו שלו”. מאמר זה מתאר גם את “התמונה הנהדרת, הפיוטית [כך במקור]” של “זקנים שפרצו אל בית הכנסת להציל את ספרי התורה ונשרפו חיים יחד עמם... סימן שלא פסו יהודים נאמנים וקדושים מליטא”.</w:t>
      </w:r>
    </w:p>
    <w:p w14:paraId="689CD790" w14:textId="77777777" w:rsidR="00AB3647" w:rsidRDefault="00000000" w:rsidP="007923E9">
      <w:pPr>
        <w:spacing w:after="120" w:line="276" w:lineRule="auto"/>
        <w:ind w:firstLine="283"/>
        <w:jc w:val="both"/>
      </w:pPr>
      <w:r>
        <w:rPr>
          <w:rtl/>
        </w:rPr>
        <w:t xml:space="preserve">שרפה זו החריבה מחצית העיר – את אזור </w:t>
      </w:r>
      <w:proofErr w:type="spellStart"/>
      <w:r>
        <w:rPr>
          <w:rtl/>
        </w:rPr>
        <w:t>בריסק</w:t>
      </w:r>
      <w:proofErr w:type="spellEnd"/>
      <w:r>
        <w:rPr>
          <w:rtl/>
        </w:rPr>
        <w:t xml:space="preserve"> שבו גרו העניים. כעבור שש שנים, כשבני המעמד הנמוך כבר בנו מחדש את בתיהם עמידים יותר בפני אש, כילתה שרפה נוספת את שכונות העשירים, כמתואר במאמר מאת נחום סוקולוב</w:t>
      </w:r>
      <w:bookmarkStart w:id="6731" w:name="_fnr5127"/>
      <w:r>
        <w:rPr>
          <w:rStyle w:val="a5"/>
        </w:rPr>
        <w:footnoteReference w:id="5140" w:customMarkFollows="0"/>
      </w:r>
      <w:bookmarkEnd w:id="6731"/>
      <w:r>
        <w:rPr>
          <w:rtl/>
        </w:rPr>
        <w:t>. נאמר בו ששתי השרפות הגדולות, “כמעט לא ייאמן, פרצו בדיוק באותו מקום, באותו יום ובאותה שעה – בכ״ב באייר, היום השלושים ושניים לספירת העומר</w:t>
      </w:r>
      <w:bookmarkStart w:id="6732" w:name="_fnr5128"/>
      <w:r>
        <w:rPr>
          <w:rStyle w:val="a5"/>
        </w:rPr>
        <w:footnoteReference w:id="5141" w:customMarkFollows="0"/>
      </w:r>
      <w:bookmarkEnd w:id="6732"/>
      <w:bookmarkStart w:id="7056" w:name="_TranslatorNote_5404"/>
      <w:r>
        <w:rPr>
          <w:rStyle w:val="a5"/>
          <w:vertAlign w:val="superscript"/>
          <w:rtl/>
        </w:rPr>
        <w:footnoteReference w:id="5142" w:customMarkFollows="1"/>
        <w:t>*</w:t>
      </w:r>
      <w:bookmarkEnd w:id="7056"/>
      <w:r>
        <w:rPr>
          <w:rtl/>
        </w:rPr>
        <w:t>”, ושבשרפה הראשונה “יש אומרים שנהרגו שבעים איש ויש אומרים מאה”.</w:t>
      </w:r>
    </w:p>
    <w:p w14:paraId="6406A9E5" w14:textId="77777777" w:rsidR="00AB3647" w:rsidRDefault="00000000" w:rsidP="007923E9">
      <w:pPr>
        <w:spacing w:after="120" w:line="276" w:lineRule="auto"/>
        <w:ind w:firstLine="283"/>
        <w:jc w:val="both"/>
      </w:pPr>
      <w:r>
        <w:rPr>
          <w:rtl/>
        </w:rPr>
        <w:t xml:space="preserve">מאמר נוסף </w:t>
      </w:r>
      <w:proofErr w:type="spellStart"/>
      <w:r>
        <w:rPr>
          <w:rtl/>
        </w:rPr>
        <w:t>ב“אנציקלופדיה</w:t>
      </w:r>
      <w:proofErr w:type="spellEnd"/>
      <w:r>
        <w:rPr>
          <w:rtl/>
        </w:rPr>
        <w:t xml:space="preserve"> </w:t>
      </w:r>
      <w:proofErr w:type="spellStart"/>
      <w:r>
        <w:rPr>
          <w:rtl/>
        </w:rPr>
        <w:t>בריסק</w:t>
      </w:r>
      <w:proofErr w:type="spellEnd"/>
      <w:r>
        <w:rPr>
          <w:rtl/>
        </w:rPr>
        <w:t xml:space="preserve">”, “רבני </w:t>
      </w:r>
      <w:proofErr w:type="spellStart"/>
      <w:r>
        <w:rPr>
          <w:rtl/>
        </w:rPr>
        <w:t>בריסק</w:t>
      </w:r>
      <w:proofErr w:type="spellEnd"/>
      <w:r>
        <w:rPr>
          <w:rtl/>
        </w:rPr>
        <w:t xml:space="preserve"> האחרונים”</w:t>
      </w:r>
      <w:bookmarkStart w:id="6733" w:name="_fnr5129"/>
      <w:r>
        <w:rPr>
          <w:rStyle w:val="a5"/>
        </w:rPr>
        <w:footnoteReference w:id="5143" w:customMarkFollows="0"/>
      </w:r>
      <w:bookmarkEnd w:id="6733"/>
      <w:r>
        <w:rPr>
          <w:rtl/>
        </w:rPr>
        <w:t xml:space="preserve">, מספר: “נאמר... שמי שלא ראה את מסירותו של ר׳ חיים למען תושבי </w:t>
      </w:r>
      <w:proofErr w:type="spellStart"/>
      <w:r>
        <w:rPr>
          <w:rtl/>
        </w:rPr>
        <w:t>בריסק</w:t>
      </w:r>
      <w:proofErr w:type="spellEnd"/>
      <w:r>
        <w:rPr>
          <w:rtl/>
        </w:rPr>
        <w:t xml:space="preserve"> אחרי השרפה הגדולה [הראשונה] בשנת תרנ״ה, לא ראה מידה שלמה של רחמים”. ר׳ </w:t>
      </w:r>
      <w:proofErr w:type="spellStart"/>
      <w:r>
        <w:rPr>
          <w:rtl/>
        </w:rPr>
        <w:t>זלמן־נחמיה</w:t>
      </w:r>
      <w:proofErr w:type="spellEnd"/>
      <w:r>
        <w:rPr>
          <w:rtl/>
        </w:rPr>
        <w:t xml:space="preserve"> גולדברג סיפר</w:t>
      </w:r>
      <w:bookmarkStart w:id="6734" w:name="_fnr5130"/>
      <w:r>
        <w:rPr>
          <w:rStyle w:val="a5"/>
        </w:rPr>
        <w:footnoteReference w:id="5144" w:customMarkFollows="0"/>
      </w:r>
      <w:bookmarkEnd w:id="6734"/>
      <w:r>
        <w:rPr>
          <w:rtl/>
        </w:rPr>
        <w:t xml:space="preserve"> ששמע מר׳ </w:t>
      </w:r>
      <w:proofErr w:type="spellStart"/>
      <w:r>
        <w:rPr>
          <w:rtl/>
        </w:rPr>
        <w:t>איסר־יהודה</w:t>
      </w:r>
      <w:proofErr w:type="spellEnd"/>
      <w:r>
        <w:rPr>
          <w:rtl/>
        </w:rPr>
        <w:t xml:space="preserve"> </w:t>
      </w:r>
      <w:proofErr w:type="spellStart"/>
      <w:r>
        <w:rPr>
          <w:rtl/>
        </w:rPr>
        <w:t>אונטרמן</w:t>
      </w:r>
      <w:proofErr w:type="spellEnd"/>
      <w:r>
        <w:rPr>
          <w:rtl/>
        </w:rPr>
        <w:t xml:space="preserve"> – יליד </w:t>
      </w:r>
      <w:proofErr w:type="spellStart"/>
      <w:r>
        <w:rPr>
          <w:rtl/>
        </w:rPr>
        <w:t>בריסק</w:t>
      </w:r>
      <w:proofErr w:type="spellEnd"/>
      <w:r>
        <w:rPr>
          <w:rtl/>
        </w:rPr>
        <w:t xml:space="preserve"> שהיה בן </w:t>
      </w:r>
      <w:proofErr w:type="spellStart"/>
      <w:r>
        <w:rPr>
          <w:rtl/>
        </w:rPr>
        <w:t>אחת־עשרה</w:t>
      </w:r>
      <w:proofErr w:type="spellEnd"/>
      <w:r>
        <w:rPr>
          <w:rtl/>
        </w:rPr>
        <w:t xml:space="preserve"> בשעת השרפה</w:t>
      </w:r>
      <w:bookmarkStart w:id="6735" w:name="_fnr5131"/>
      <w:bookmarkEnd w:id="6735"/>
      <w:r>
        <w:rPr>
          <w:rStyle w:val="a5"/>
        </w:rPr>
        <w:t/>
      </w:r>
      <w:bookmarkStart w:id="7057" w:name="_TranslatorNote_5129"/>
      <w:r>
        <w:rPr>
          <w:rStyle w:val="a5"/>
          <w:vertAlign w:val="superscript"/>
          <w:rtl/>
        </w:rPr>
        <w:footnoteReference w:id="5145" w:customMarkFollows="1"/>
        <w:t>*</w:t>
      </w:r>
      <w:bookmarkEnd w:id="7057"/>
      <w:r>
        <w:rPr>
          <w:rtl/>
        </w:rPr>
        <w:t xml:space="preserve"> – שביום שאחרי </w:t>
      </w:r>
      <w:r>
        <w:rPr>
          <w:rtl/>
        </w:rPr>
        <w:lastRenderedPageBreak/>
        <w:t>האסון באו פועלים לתקן את בניין המקווה. הם אמרו לתושבים המופתעים שר׳ חיים הורה לתת לבניין זה עדיפות עליונה.</w:t>
      </w:r>
    </w:p>
    <w:p w14:paraId="6EB0AD53" w14:textId="77777777" w:rsidR="00AB3647" w:rsidRDefault="00000000" w:rsidP="007923E9">
      <w:pPr>
        <w:spacing w:after="120" w:line="276" w:lineRule="auto"/>
        <w:ind w:firstLine="283"/>
        <w:jc w:val="both"/>
      </w:pPr>
      <w:r>
        <w:rPr>
          <w:rtl/>
        </w:rPr>
        <w:t xml:space="preserve">בדרך מן הדירה של </w:t>
      </w:r>
      <w:proofErr w:type="spellStart"/>
      <w:r>
        <w:rPr>
          <w:rtl/>
        </w:rPr>
        <w:t>ה“גדול</w:t>
      </w:r>
      <w:proofErr w:type="spellEnd"/>
      <w:r>
        <w:rPr>
          <w:rtl/>
        </w:rPr>
        <w:t xml:space="preserve">” ממינסק, כך סיפר ר׳ </w:t>
      </w:r>
      <w:proofErr w:type="spellStart"/>
      <w:r>
        <w:rPr>
          <w:rtl/>
        </w:rPr>
        <w:t xml:space="preserve">יוסף־דב</w:t>
      </w:r>
      <w:proofErr w:type="spellEnd"/>
      <w:r>
        <w:rPr>
          <w:rtl/>
        </w:rPr>
        <w:t xml:space="preserve">, לא יכול היה ר׳ </w:t>
      </w:r>
      <w:proofErr w:type="spellStart"/>
      <w:r>
        <w:rPr>
          <w:rtl/>
        </w:rPr>
        <w:t>ישראל־יהונתן</w:t>
      </w:r>
      <w:proofErr w:type="spellEnd"/>
      <w:r>
        <w:rPr>
          <w:rtl/>
        </w:rPr>
        <w:t xml:space="preserve"> להתאפק ואמר: “שמעתי שרבה של </w:t>
      </w:r>
      <w:proofErr w:type="spellStart"/>
      <w:r>
        <w:rPr>
          <w:rtl/>
        </w:rPr>
        <w:t>בריסק</w:t>
      </w:r>
      <w:proofErr w:type="spellEnd"/>
      <w:r>
        <w:rPr>
          <w:rtl/>
        </w:rPr>
        <w:t xml:space="preserve"> הוא בטלן [אדם שאינו מבין בענייני העולם]</w:t>
      </w:r>
      <w:bookmarkStart w:id="6736" w:name="_fnr5132"/>
      <w:r>
        <w:rPr>
          <w:rStyle w:val="a5"/>
        </w:rPr>
        <w:footnoteReference w:id="5146" w:customMarkFollows="0"/>
      </w:r>
      <w:bookmarkEnd w:id="6736"/>
      <w:r>
        <w:rPr>
          <w:rtl/>
        </w:rPr>
        <w:t xml:space="preserve">, אבל לא האמנתי עד שראיתי זאת היום במו עיניי! באת לעיר זו לאסוף כספים; וכי זו השעה להלבין את פני רבה?” השיב ר׳ חיים: “אני יודע שאומרים כאן </w:t>
      </w:r>
      <w:proofErr w:type="spellStart"/>
      <w:r>
        <w:rPr>
          <w:rtl/>
        </w:rPr>
        <w:t>שבריסק</w:t>
      </w:r>
      <w:proofErr w:type="spellEnd"/>
      <w:r>
        <w:rPr>
          <w:rtl/>
        </w:rPr>
        <w:t xml:space="preserve"> נשרפה מפני שבית רבה – המטבח שלי – אינו כשר למהדרין. לכן רציתי שבני מינסק ידעו </w:t>
      </w:r>
      <w:proofErr w:type="spellStart"/>
      <w:r>
        <w:rPr>
          <w:rtl/>
        </w:rPr>
        <w:t>שבבריסק</w:t>
      </w:r>
      <w:proofErr w:type="spellEnd"/>
      <w:r>
        <w:rPr>
          <w:rtl/>
        </w:rPr>
        <w:t xml:space="preserve"> אנחנו יודעים ללמוד!”</w:t>
      </w:r>
    </w:p>
    <w:p w14:paraId="0AF64204" w14:textId="77777777" w:rsidR="00AB3647" w:rsidRDefault="00000000" w:rsidP="007923E9">
      <w:pPr>
        <w:spacing w:after="120" w:line="276" w:lineRule="auto"/>
        <w:ind w:firstLine="283"/>
        <w:jc w:val="both"/>
      </w:pPr>
      <w:r>
        <w:rPr>
          <w:rtl/>
        </w:rPr>
        <w:t>מסתבר שהשמועה המשונה על פגם בכשרותו של ר׳ חיים נולדה מצדקתו המופלאה. הוא הותיר את מטבחו פתוח לכל נווד ונפש סובלת, שיעשה בו כבתוך שלו, ואנשים חשו שאין לסמוך על האורחים הנודדים האלה שישמרו על כשרות ביתו.</w:t>
      </w:r>
    </w:p>
    <w:p w14:paraId="244F467B" w14:textId="77777777" w:rsidR="00AB3647" w:rsidRDefault="00000000" w:rsidP="007923E9">
      <w:pPr>
        <w:spacing w:after="120" w:line="276" w:lineRule="auto"/>
        <w:ind w:firstLine="283"/>
        <w:jc w:val="both"/>
      </w:pPr>
      <w:r>
        <w:rPr>
          <w:rtl/>
        </w:rPr>
        <w:t xml:space="preserve">נראה שאת מדיניות הבית הפתוח קבע אביו של ר׳ חיים. ר׳ דוד </w:t>
      </w:r>
      <w:proofErr w:type="spellStart"/>
      <w:r>
        <w:rPr>
          <w:rtl/>
        </w:rPr>
        <w:t>הנמן</w:t>
      </w:r>
      <w:proofErr w:type="spellEnd"/>
      <w:r>
        <w:rPr>
          <w:rtl/>
        </w:rPr>
        <w:t xml:space="preserve"> סיפר</w:t>
      </w:r>
      <w:bookmarkStart w:id="6737" w:name="_fnr5133"/>
      <w:r>
        <w:rPr>
          <w:rStyle w:val="a5"/>
        </w:rPr>
        <w:footnoteReference w:id="5147" w:customMarkFollows="0"/>
      </w:r>
      <w:bookmarkEnd w:id="6737"/>
      <w:r>
        <w:rPr>
          <w:rtl/>
        </w:rPr>
        <w:t xml:space="preserve"> שאביו, ר׳ </w:t>
      </w:r>
      <w:proofErr w:type="spellStart"/>
      <w:r>
        <w:rPr>
          <w:rtl/>
        </w:rPr>
        <w:t>יהודה־לייב</w:t>
      </w:r>
      <w:bookmarkStart w:id="6738" w:name="_fnr5134"/>
      <w:proofErr w:type="spellEnd"/>
      <w:r>
        <w:rPr>
          <w:rStyle w:val="a5"/>
        </w:rPr>
        <w:footnoteReference w:id="5148" w:customMarkFollows="0"/>
      </w:r>
      <w:bookmarkEnd w:id="6738"/>
      <w:r>
        <w:rPr>
          <w:rtl/>
        </w:rPr>
        <w:t xml:space="preserve">, נסע בערך </w:t>
      </w:r>
      <w:proofErr w:type="spellStart"/>
      <w:r>
        <w:rPr>
          <w:rtl/>
        </w:rPr>
        <w:t>בתרמ״ג</w:t>
      </w:r>
      <w:proofErr w:type="spellEnd"/>
      <w:r>
        <w:rPr>
          <w:rtl/>
        </w:rPr>
        <w:t xml:space="preserve"> מעיר מולדתו ממל </w:t>
      </w:r>
      <w:proofErr w:type="spellStart"/>
      <w:r>
        <w:rPr>
          <w:rtl/>
        </w:rPr>
        <w:t>לוולוז׳ין</w:t>
      </w:r>
      <w:proofErr w:type="spellEnd"/>
      <w:r>
        <w:rPr>
          <w:rtl/>
        </w:rPr>
        <w:t xml:space="preserve">, להתחיל בלימוד התורה, ועשה דרך עקיפה דרך </w:t>
      </w:r>
      <w:proofErr w:type="spellStart"/>
      <w:r>
        <w:rPr>
          <w:rtl/>
        </w:rPr>
        <w:t>בריסק</w:t>
      </w:r>
      <w:proofErr w:type="spellEnd"/>
      <w:r>
        <w:rPr>
          <w:rtl/>
        </w:rPr>
        <w:t xml:space="preserve"> כדי לראות את ר׳ יוסף־דב </w:t>
      </w:r>
      <w:proofErr w:type="spellStart"/>
      <w:r>
        <w:rPr>
          <w:rtl/>
        </w:rPr>
        <w:t>סולובייצ׳יק</w:t>
      </w:r>
      <w:proofErr w:type="spellEnd"/>
      <w:r>
        <w:rPr>
          <w:rtl/>
        </w:rPr>
        <w:t>. הוא מסר: “הבית היה הפקר – חוץ מן החדר שבו ישב הרב ולמד”. השווה גם “תורת חיים”</w:t>
      </w:r>
      <w:bookmarkStart w:id="6739" w:name="_fnr5135"/>
      <w:r>
        <w:rPr>
          <w:rStyle w:val="a5"/>
        </w:rPr>
        <w:footnoteReference w:id="5149" w:customMarkFollows="0"/>
      </w:r>
      <w:bookmarkEnd w:id="6739"/>
      <w:r>
        <w:rPr>
          <w:rtl/>
        </w:rPr>
        <w:t xml:space="preserve">, שבו סיפר ר׳ יצחק־זאב על ר׳ חיים: “אבא לא הרגיש שהוא בעל הבית יותר מן הזר הנכנס אליו. כל מי שרצה נכנס, הכין לעצמו כוס תה, בישל דבר מה במטבח, ישב לאכול ואחר כך שכב לישון באחד החדרים. לפעמים באו משפחות שלמות עם ילדים רבים ונשארו בבית חודשים רבים, עד שאבא, ברצותו לשכב לנוח, מצא שמיטתו תפוסה ונאלץ לישון על ספסל”</w:t>
      </w:r>
      <w:bookmarkStart w:id="6740" w:name="_fnr5136"/>
      <w:bookmarkStart w:id="6741" w:name="pr_f_5013"/>
      <w:r>
        <w:rPr>
          <w:rStyle w:val="a5"/>
        </w:rPr>
        <w:footnoteReference w:id="5150" w:customMarkFollows="0"/>
      </w:r>
      <w:bookmarkEnd w:id="6740"/>
      <w:bookmarkEnd w:id="6741"/>
      <w:r>
        <w:rPr>
          <w:rtl/>
        </w:rPr>
        <w:t>.</w:t>
      </w:r>
    </w:p>
    <w:p w14:paraId="104FAAE9" w14:textId="77777777" w:rsidR="00AB3647" w:rsidRDefault="00000000" w:rsidP="007923E9">
      <w:pPr>
        <w:spacing w:after="120" w:line="276" w:lineRule="auto"/>
        <w:ind w:firstLine="283"/>
        <w:jc w:val="both"/>
      </w:pPr>
      <w:r>
        <w:rPr>
          <w:rtl/>
        </w:rPr>
        <w:t xml:space="preserve">עוד סיפר ר׳ יצחק־זאב </w:t>
      </w:r>
      <w:proofErr w:type="spellStart"/>
      <w:r>
        <w:rPr>
          <w:rtl/>
        </w:rPr>
        <w:t>שלר</w:t>
      </w:r>
      <w:proofErr w:type="spellEnd"/>
      <w:r>
        <w:rPr>
          <w:rtl/>
        </w:rPr>
        <w:t>׳ חיים הייתה פינה פרטית שיוחדה [לא ללימוד, כאביו</w:t>
      </w:r>
      <w:bookmarkStart w:id="6742" w:name="_fnr5137"/>
      <w:r>
        <w:rPr>
          <w:rStyle w:val="a5"/>
        </w:rPr>
        <w:footnoteReference w:id="5151" w:customMarkFollows="0"/>
      </w:r>
      <w:bookmarkEnd w:id="6742"/>
      <w:r>
        <w:rPr>
          <w:rtl/>
        </w:rPr>
        <w:t>, אלא] לתפילה, והאורחים ידעו שאין להם רשות להיכנס אליה. “משפחה עם עשרה ילדים שהתה בבית חודשים רבים”, סיפר</w:t>
      </w:r>
      <w:bookmarkStart w:id="6743" w:name="_fnr5138"/>
      <w:r>
        <w:rPr>
          <w:rStyle w:val="a5"/>
        </w:rPr>
        <w:footnoteReference w:id="5152" w:customMarkFollows="0"/>
      </w:r>
      <w:bookmarkEnd w:id="6743"/>
      <w:r>
        <w:rPr>
          <w:rtl/>
        </w:rPr>
        <w:t xml:space="preserve">, “ואבא התאזר בסבלנות ושמר כלפיהם על נועם הליכותיו כמו כלפי כל אדם. פעם ניגש אבא לפינה להתפלל ערבית, ומצא שדווקא אותה פינה נתפסה בידי אם המשפחה. באותו רגע חלפה על פניו ארשת של </w:t>
      </w:r>
      <w:proofErr w:type="spellStart"/>
      <w:r>
        <w:rPr>
          <w:rtl/>
        </w:rPr>
        <w:t>אי־נחת</w:t>
      </w:r>
      <w:proofErr w:type="spellEnd"/>
      <w:r>
        <w:rPr>
          <w:rtl/>
        </w:rPr>
        <w:t xml:space="preserve">, כאילו חשב: ‘וכי לא יכולה רק פינה קטנה זו להישאר שלי, כדי שאוכל להתייחד עם בוראי?’” האב והבן כאחד לא ביקשו בעלות בלעדית על חדר או על פינה קטנה, אלא פרטיות להתבוננות. (נתקלתי גם במעשה שר׳ </w:t>
      </w:r>
      <w:r>
        <w:rPr>
          <w:rtl/>
        </w:rPr>
        <w:lastRenderedPageBreak/>
        <w:t xml:space="preserve">חיים ישב פעם ליד שולחנו וכתב, ואחד </w:t>
      </w:r>
      <w:proofErr w:type="spellStart"/>
      <w:r>
        <w:rPr>
          <w:rtl/>
        </w:rPr>
        <w:t>מ“אורחיו</w:t>
      </w:r>
      <w:proofErr w:type="spellEnd"/>
      <w:r>
        <w:rPr>
          <w:rtl/>
        </w:rPr>
        <w:t>” הצעירים משך את העט מידו, מפני שנזקק לו לשרבוטיו.)</w:t>
      </w:r>
    </w:p>
    <w:p w14:paraId="5B5C7865" w14:textId="77777777" w:rsidR="00AB3647" w:rsidRDefault="00000000" w:rsidP="007923E9">
      <w:pPr>
        <w:spacing w:after="120" w:line="276" w:lineRule="auto"/>
        <w:ind w:firstLine="283"/>
        <w:jc w:val="both"/>
      </w:pPr>
      <w:r>
        <w:rPr>
          <w:rtl/>
        </w:rPr>
        <w:t xml:space="preserve">ר׳ אלימלך </w:t>
      </w:r>
      <w:proofErr w:type="spellStart"/>
      <w:r>
        <w:rPr>
          <w:rtl/>
        </w:rPr>
        <w:t>רטמן</w:t>
      </w:r>
      <w:proofErr w:type="spellEnd"/>
      <w:r>
        <w:rPr>
          <w:rtl/>
        </w:rPr>
        <w:t xml:space="preserve"> מסר</w:t>
      </w:r>
      <w:bookmarkStart w:id="6744" w:name="_fnr5139"/>
      <w:r>
        <w:rPr>
          <w:rStyle w:val="a5"/>
        </w:rPr>
        <w:footnoteReference w:id="5153" w:customMarkFollows="0"/>
      </w:r>
      <w:bookmarkEnd w:id="6744"/>
      <w:r>
        <w:rPr>
          <w:rtl/>
        </w:rPr>
        <w:t xml:space="preserve"> בשם ר׳ </w:t>
      </w:r>
      <w:proofErr w:type="spellStart"/>
      <w:r>
        <w:rPr>
          <w:rtl/>
        </w:rPr>
        <w:t>משולם־דוד</w:t>
      </w:r>
      <w:proofErr w:type="spellEnd"/>
      <w:r>
        <w:rPr>
          <w:rtl/>
        </w:rPr>
        <w:t xml:space="preserve"> </w:t>
      </w:r>
      <w:proofErr w:type="spellStart"/>
      <w:r>
        <w:rPr>
          <w:rtl/>
        </w:rPr>
        <w:t>סולובייצ׳יק</w:t>
      </w:r>
      <w:proofErr w:type="spellEnd"/>
      <w:r>
        <w:rPr>
          <w:rtl/>
        </w:rPr>
        <w:t xml:space="preserve"> שר׳ חיים אמר על ביתו שהוא רשות הרבים </w:t>
      </w:r>
      <w:r>
        <w:rPr>
          <w:b/>
          <w:bCs/>
          <w:rtl/>
        </w:rPr>
        <w:t>יותר</w:t>
      </w:r>
      <w:r>
        <w:rPr>
          <w:rtl/>
        </w:rPr>
        <w:t xml:space="preserve"> מן הרחוב: הציבור היה מוחה במי שמציע את מיטתו ברחוב, ואילו בבית ר׳ חיים נכנסו אנשים בכל עת ושכבו לישון</w:t>
      </w:r>
      <w:bookmarkStart w:id="6745" w:name="_fnr5140"/>
      <w:r>
        <w:rPr>
          <w:rStyle w:val="a5"/>
        </w:rPr>
        <w:footnoteReference w:id="5154" w:customMarkFollows="0"/>
      </w:r>
      <w:bookmarkEnd w:id="6745"/>
      <w:r>
        <w:rPr>
          <w:rtl/>
        </w:rPr>
        <w:t>. “תורת חיים”</w:t>
      </w:r>
      <w:bookmarkStart w:id="6746" w:name="_fnr5141"/>
      <w:r>
        <w:rPr>
          <w:rStyle w:val="a5"/>
        </w:rPr>
        <w:footnoteReference w:id="5155" w:customMarkFollows="0"/>
      </w:r>
      <w:bookmarkEnd w:id="6746"/>
      <w:r>
        <w:rPr>
          <w:rtl/>
        </w:rPr>
        <w:t xml:space="preserve"> מצטט את ר׳ חיים, שלמד מן הסיפור המופתי של הכנסת אורחים אצל אברהם אבינו: מאחר שאורחיו נראו כערבים נודדים</w:t>
      </w:r>
      <w:bookmarkStart w:id="6747" w:name="_fnr5142"/>
      <w:r>
        <w:rPr>
          <w:rStyle w:val="a5"/>
        </w:rPr>
        <w:footnoteReference w:id="5156" w:customMarkFollows="0"/>
      </w:r>
      <w:bookmarkEnd w:id="6747"/>
      <w:r>
        <w:rPr>
          <w:rtl/>
        </w:rPr>
        <w:t>, ודאי עשה את ביתו הפקר.</w:t>
      </w:r>
    </w:p>
    <w:p w14:paraId="0583AD09" w14:textId="77777777" w:rsidR="00AB3647" w:rsidRDefault="00000000" w:rsidP="007923E9">
      <w:pPr>
        <w:spacing w:after="120" w:line="276" w:lineRule="auto"/>
        <w:ind w:firstLine="283"/>
        <w:jc w:val="both"/>
      </w:pPr>
      <w:r>
        <w:rPr>
          <w:rtl/>
        </w:rPr>
        <w:t>ר׳ אהרן ליכטנשטיין חזר</w:t>
      </w:r>
      <w:bookmarkStart w:id="6748" w:name="_fnr5143"/>
      <w:r>
        <w:rPr>
          <w:rStyle w:val="a5"/>
        </w:rPr>
        <w:footnoteReference w:id="5157" w:customMarkFollows="0"/>
      </w:r>
      <w:bookmarkEnd w:id="6748"/>
      <w:r>
        <w:rPr>
          <w:rtl/>
        </w:rPr>
        <w:t xml:space="preserve"> על גרסה אחרת לטעם שהוטל ספק בכשרות מטבחו של ר׳ חיים: </w:t>
      </w:r>
      <w:proofErr w:type="spellStart"/>
      <w:r>
        <w:rPr>
          <w:rtl/>
        </w:rPr>
        <w:t>ה“גדול</w:t>
      </w:r>
      <w:proofErr w:type="spellEnd"/>
      <w:r>
        <w:rPr>
          <w:rtl/>
        </w:rPr>
        <w:t xml:space="preserve">” מתח ביקורת על ר׳ חיים שאינו מחמיר דיו בהלכות טרפות, מפני שהקל בשאלת תרתי </w:t>
      </w:r>
      <w:proofErr w:type="spellStart"/>
      <w:r>
        <w:rPr>
          <w:rtl/>
        </w:rPr>
        <w:t>לריעותא</w:t>
      </w:r>
      <w:proofErr w:type="spellEnd"/>
      <w:r>
        <w:rPr>
          <w:rtl/>
        </w:rPr>
        <w:t xml:space="preserve"> – השווה “בית דוד”</w:t>
      </w:r>
      <w:bookmarkStart w:id="6749" w:name="_fnr5144"/>
      <w:r>
        <w:rPr>
          <w:rStyle w:val="a5"/>
        </w:rPr>
        <w:footnoteReference w:id="5158" w:customMarkFollows="0"/>
      </w:r>
      <w:bookmarkEnd w:id="6749"/>
      <w:r>
        <w:rPr>
          <w:rtl/>
        </w:rPr>
        <w:t xml:space="preserve">, המחמיר יותר. אגב, ר׳ חיים כתב הסכמה </w:t>
      </w:r>
      <w:proofErr w:type="spellStart"/>
      <w:r>
        <w:rPr>
          <w:rtl/>
        </w:rPr>
        <w:t>ל“בית</w:t>
      </w:r>
      <w:proofErr w:type="spellEnd"/>
      <w:r>
        <w:rPr>
          <w:rtl/>
        </w:rPr>
        <w:t xml:space="preserve"> דוד” בראש חודש סיוון תרס״א, אך אין בזה כדי ללמד שבין ביקורו במינסק </w:t>
      </w:r>
      <w:proofErr w:type="spellStart"/>
      <w:r>
        <w:rPr>
          <w:rtl/>
        </w:rPr>
        <w:t>בתרנ״ה</w:t>
      </w:r>
      <w:proofErr w:type="spellEnd"/>
      <w:r>
        <w:rPr>
          <w:rtl/>
        </w:rPr>
        <w:t xml:space="preserve"> לבין מתן ההסכמה חזר בו בעניין תרתי </w:t>
      </w:r>
      <w:proofErr w:type="spellStart"/>
      <w:r>
        <w:rPr>
          <w:rtl/>
        </w:rPr>
        <w:t>לריעותא</w:t>
      </w:r>
      <w:proofErr w:type="spellEnd"/>
      <w:r>
        <w:rPr>
          <w:rtl/>
        </w:rPr>
        <w:t xml:space="preserve"> ונעשה מחמיר יותר. ראה “עובדות והנהגות לבית </w:t>
      </w:r>
      <w:proofErr w:type="spellStart"/>
      <w:r>
        <w:rPr>
          <w:rtl/>
        </w:rPr>
        <w:t>בריסק</w:t>
      </w:r>
      <w:proofErr w:type="spellEnd"/>
      <w:r>
        <w:rPr>
          <w:rtl/>
        </w:rPr>
        <w:t>”</w:t>
      </w:r>
      <w:bookmarkStart w:id="6750" w:name="_fnr5145"/>
      <w:r>
        <w:rPr>
          <w:rStyle w:val="a5"/>
        </w:rPr>
        <w:footnoteReference w:id="5159" w:customMarkFollows="0"/>
      </w:r>
      <w:bookmarkEnd w:id="6750"/>
      <w:r>
        <w:rPr>
          <w:rtl/>
        </w:rPr>
        <w:t xml:space="preserve">, שנתן הסכמות לספרי הלכה בלי להבחין ביניהם, עד שלפי המסופר היה נכדו ר׳ </w:t>
      </w:r>
      <w:proofErr w:type="spellStart"/>
      <w:r>
        <w:rPr>
          <w:rtl/>
        </w:rPr>
        <w:t xml:space="preserve">יושע־בערל</w:t>
      </w:r>
      <w:proofErr w:type="spellEnd"/>
      <w:r>
        <w:rPr>
          <w:rtl/>
        </w:rPr>
        <w:t xml:space="preserve"> מכנה את הסכמות סבו “חסרות ערך”. מכל מקום, בגרסת הרב ליכטנשטיין היה עוד שינוי קל: ר׳ חיים נימק את התנהגותו המשונה בבית רבה של מינסק </w:t>
      </w:r>
      <w:proofErr w:type="spellStart"/>
      <w:r>
        <w:rPr>
          <w:rtl/>
        </w:rPr>
        <w:t>ב“רצונו</w:t>
      </w:r>
      <w:proofErr w:type="spellEnd"/>
      <w:r>
        <w:rPr>
          <w:rtl/>
        </w:rPr>
        <w:t xml:space="preserve"> </w:t>
      </w:r>
      <w:proofErr w:type="spellStart"/>
      <w:r>
        <w:rPr>
          <w:rtl/>
        </w:rPr>
        <w:t>שה‘גדול</w:t>
      </w:r>
      <w:proofErr w:type="spellEnd"/>
      <w:r>
        <w:rPr>
          <w:rtl/>
        </w:rPr>
        <w:t xml:space="preserve">’ ידע </w:t>
      </w:r>
      <w:proofErr w:type="spellStart"/>
      <w:r>
        <w:rPr>
          <w:rtl/>
        </w:rPr>
        <w:t>שבבריסק</w:t>
      </w:r>
      <w:proofErr w:type="spellEnd"/>
      <w:r>
        <w:rPr>
          <w:rtl/>
        </w:rPr>
        <w:t xml:space="preserve"> אין אוכלים מאכלות אסורות”.</w:t>
      </w:r>
    </w:p>
    <w:p w14:paraId="2791ECCA" w14:textId="77777777" w:rsidR="00AB3647" w:rsidRDefault="00000000" w:rsidP="007923E9">
      <w:pPr>
        <w:spacing w:after="120" w:line="276" w:lineRule="auto"/>
        <w:ind w:firstLine="283"/>
        <w:jc w:val="both"/>
      </w:pPr>
      <w:r>
        <w:rPr>
          <w:rtl/>
        </w:rPr>
        <w:t>ר׳ שלמה סלונים</w:t>
      </w:r>
      <w:bookmarkStart w:id="6751" w:name="_fnr5146"/>
      <w:r>
        <w:rPr>
          <w:rStyle w:val="a5"/>
        </w:rPr>
        <w:footnoteReference w:id="5160" w:customMarkFollows="0"/>
      </w:r>
      <w:bookmarkEnd w:id="6751"/>
      <w:r>
        <w:rPr>
          <w:rtl/>
        </w:rPr>
        <w:t xml:space="preserve"> חזר על סיפור ששמע מחותנו ר׳ </w:t>
      </w:r>
      <w:proofErr w:type="spellStart"/>
      <w:r>
        <w:rPr>
          <w:rtl/>
        </w:rPr>
        <w:t>יעקב־מאיר</w:t>
      </w:r>
      <w:proofErr w:type="spellEnd"/>
      <w:r>
        <w:rPr>
          <w:rtl/>
        </w:rPr>
        <w:t xml:space="preserve"> </w:t>
      </w:r>
      <w:proofErr w:type="spellStart"/>
      <w:r>
        <w:rPr>
          <w:rtl/>
        </w:rPr>
        <w:t>פומרנץ</w:t>
      </w:r>
      <w:proofErr w:type="spellEnd"/>
      <w:r>
        <w:rPr>
          <w:rtl/>
        </w:rPr>
        <w:t xml:space="preserve">, תלמיד </w:t>
      </w:r>
      <w:proofErr w:type="spellStart"/>
      <w:r>
        <w:rPr>
          <w:rtl/>
        </w:rPr>
        <w:t>ראדין</w:t>
      </w:r>
      <w:proofErr w:type="spellEnd"/>
      <w:r>
        <w:rPr>
          <w:rtl/>
        </w:rPr>
        <w:t xml:space="preserve">, ששמעו מתלמיד </w:t>
      </w:r>
      <w:proofErr w:type="spellStart"/>
      <w:r>
        <w:rPr>
          <w:rtl/>
        </w:rPr>
        <w:t>ראדין</w:t>
      </w:r>
      <w:proofErr w:type="spellEnd"/>
      <w:r>
        <w:rPr>
          <w:rtl/>
        </w:rPr>
        <w:t xml:space="preserve"> אחר, ר׳ משה־מאיר ישר</w:t>
      </w:r>
      <w:bookmarkStart w:id="6752" w:name="_fnr5147"/>
      <w:r>
        <w:rPr>
          <w:rStyle w:val="a5"/>
        </w:rPr>
        <w:footnoteReference w:id="5161" w:customMarkFollows="0"/>
      </w:r>
      <w:bookmarkEnd w:id="6752"/>
      <w:r>
        <w:rPr>
          <w:rtl/>
        </w:rPr>
        <w:t xml:space="preserve">, על פגישה נוספת של ר׳ חיים עם </w:t>
      </w:r>
      <w:proofErr w:type="spellStart"/>
      <w:r>
        <w:rPr>
          <w:rtl/>
        </w:rPr>
        <w:t>ה“גדול</w:t>
      </w:r>
      <w:proofErr w:type="spellEnd"/>
      <w:r>
        <w:rPr>
          <w:rtl/>
        </w:rPr>
        <w:t xml:space="preserve">” ממינסק. בכינוס רבנים, בשיחה לא רשמית בין הרבנים, הקשה </w:t>
      </w:r>
      <w:proofErr w:type="spellStart"/>
      <w:r>
        <w:rPr>
          <w:rtl/>
        </w:rPr>
        <w:t>ה“גדול</w:t>
      </w:r>
      <w:proofErr w:type="spellEnd"/>
      <w:r>
        <w:rPr>
          <w:rtl/>
        </w:rPr>
        <w:t xml:space="preserve">” קושיא על דברי רמב״ם ותירץ תירוץ מבריק, כדרכו. ר׳ חיים דיבר על </w:t>
      </w:r>
      <w:r>
        <w:rPr>
          <w:b/>
          <w:bCs/>
          <w:rtl/>
        </w:rPr>
        <w:t>אותו רמב״ם</w:t>
      </w:r>
      <w:r>
        <w:rPr>
          <w:rtl/>
        </w:rPr>
        <w:t xml:space="preserve"> וביארו כך שהכול הבינו שכל יסוד קושיית </w:t>
      </w:r>
      <w:proofErr w:type="spellStart"/>
      <w:r>
        <w:rPr>
          <w:rtl/>
        </w:rPr>
        <w:t>ה“גדול</w:t>
      </w:r>
      <w:proofErr w:type="spellEnd"/>
      <w:r>
        <w:rPr>
          <w:rtl/>
        </w:rPr>
        <w:t>” נשמט – כדרכו של ר׳ חיים</w:t>
      </w:r>
      <w:bookmarkStart w:id="6753" w:name="_fnr5148"/>
      <w:r>
        <w:rPr>
          <w:rStyle w:val="a5"/>
        </w:rPr>
        <w:footnoteReference w:id="5162" w:customMarkFollows="0"/>
      </w:r>
      <w:bookmarkEnd w:id="6753"/>
      <w:r>
        <w:rPr>
          <w:rtl/>
        </w:rPr>
        <w:t>. אחר כך, ביחידות, שאל אחד ממקורביו את ר׳ חיים מדוע בחר לדון ב</w:t>
      </w:r>
      <w:r>
        <w:rPr>
          <w:b/>
          <w:bCs/>
          <w:rtl/>
        </w:rPr>
        <w:t>אותו רמב״ם</w:t>
      </w:r>
      <w:r>
        <w:rPr>
          <w:rtl/>
        </w:rPr>
        <w:t xml:space="preserve"> שדיבר עליו </w:t>
      </w:r>
      <w:proofErr w:type="spellStart"/>
      <w:r>
        <w:rPr>
          <w:rtl/>
        </w:rPr>
        <w:t>ה“גדול</w:t>
      </w:r>
      <w:proofErr w:type="spellEnd"/>
      <w:r>
        <w:rPr>
          <w:rtl/>
        </w:rPr>
        <w:t xml:space="preserve">”: “וכי אין עניינים אחרים ברמב״ם שיכולת לבאר?”, שאל בתמיהה. ר׳ חיים גילה שכאשר נפטר אביו ועלתה </w:t>
      </w:r>
      <w:r>
        <w:rPr>
          <w:rtl/>
        </w:rPr>
        <w:lastRenderedPageBreak/>
        <w:t xml:space="preserve">ההצעה למנותו על כס הרבנות </w:t>
      </w:r>
      <w:proofErr w:type="spellStart"/>
      <w:r>
        <w:rPr>
          <w:rtl/>
        </w:rPr>
        <w:t>בבריסק</w:t>
      </w:r>
      <w:proofErr w:type="spellEnd"/>
      <w:r>
        <w:rPr>
          <w:rtl/>
        </w:rPr>
        <w:t xml:space="preserve">, העיר </w:t>
      </w:r>
      <w:proofErr w:type="spellStart"/>
      <w:r>
        <w:rPr>
          <w:rtl/>
        </w:rPr>
        <w:t>ה“גדול</w:t>
      </w:r>
      <w:proofErr w:type="spellEnd"/>
      <w:r>
        <w:rPr>
          <w:rtl/>
        </w:rPr>
        <w:t xml:space="preserve">”: “גלייך [מיד] </w:t>
      </w:r>
      <w:proofErr w:type="spellStart"/>
      <w:r>
        <w:rPr>
          <w:rtl/>
        </w:rPr>
        <w:t>בריסק</w:t>
      </w:r>
      <w:proofErr w:type="spellEnd"/>
      <w:r>
        <w:rPr>
          <w:rtl/>
        </w:rPr>
        <w:t>?!” – כלומר, העיר ראויה לרב בעל ניסיון רב יותר</w:t>
      </w:r>
      <w:bookmarkStart w:id="6754" w:name="_fnr5149"/>
      <w:r>
        <w:rPr>
          <w:rStyle w:val="a5"/>
        </w:rPr>
        <w:footnoteReference w:id="5163" w:customMarkFollows="0"/>
      </w:r>
      <w:bookmarkEnd w:id="6754"/>
      <w:r>
        <w:rPr>
          <w:rtl/>
        </w:rPr>
        <w:t>.</w:t>
      </w:r>
    </w:p>
    <w:p w14:paraId="2435D5E7" w14:textId="77777777" w:rsidR="00AB3647" w:rsidRDefault="00000000" w:rsidP="007923E9">
      <w:pPr>
        <w:spacing w:after="120" w:line="276" w:lineRule="auto"/>
        <w:ind w:firstLine="283"/>
        <w:jc w:val="both"/>
      </w:pPr>
      <w:r>
        <w:rPr>
          <w:rtl/>
        </w:rPr>
        <w:t xml:space="preserve">על חוסר ניסיונו של ר׳ חיים כרב קהילה השווה “הראשון לשושלת </w:t>
      </w:r>
      <w:proofErr w:type="spellStart"/>
      <w:r>
        <w:rPr>
          <w:rtl/>
        </w:rPr>
        <w:t>בריסק</w:t>
      </w:r>
      <w:proofErr w:type="spellEnd"/>
      <w:r>
        <w:rPr>
          <w:rtl/>
        </w:rPr>
        <w:t>”</w:t>
      </w:r>
      <w:bookmarkStart w:id="6755" w:name="_fnr5150"/>
      <w:r>
        <w:rPr>
          <w:rStyle w:val="a5"/>
        </w:rPr>
        <w:footnoteReference w:id="5164" w:customMarkFollows="0"/>
      </w:r>
      <w:bookmarkEnd w:id="6755"/>
      <w:r>
        <w:rPr>
          <w:rtl/>
        </w:rPr>
        <w:t xml:space="preserve">: אחרי הלוויית ר׳ יוסף־דב נשאר אחי הנפטר, ר׳ </w:t>
      </w:r>
      <w:proofErr w:type="spellStart"/>
      <w:r>
        <w:rPr>
          <w:rtl/>
        </w:rPr>
        <w:t>חיים־שמחה</w:t>
      </w:r>
      <w:proofErr w:type="spellEnd"/>
      <w:r>
        <w:rPr>
          <w:rtl/>
        </w:rPr>
        <w:t xml:space="preserve">, </w:t>
      </w:r>
      <w:proofErr w:type="spellStart"/>
      <w:r>
        <w:rPr>
          <w:rtl/>
        </w:rPr>
        <w:t>בבריסק</w:t>
      </w:r>
      <w:proofErr w:type="spellEnd"/>
      <w:r>
        <w:rPr>
          <w:rtl/>
        </w:rPr>
        <w:t xml:space="preserve"> יותר מחודשיים, כדי להדריך את ר׳ חיים בצעדיו הראשונים ברבנות, ורק אחר כך חזר לקובנה, עיר מולדתו [כנראה]</w:t>
      </w:r>
      <w:bookmarkStart w:id="6756" w:name="_fnr5151"/>
      <w:r>
        <w:rPr>
          <w:rStyle w:val="a5"/>
        </w:rPr>
        <w:footnoteReference w:id="5165" w:customMarkFollows="0"/>
      </w:r>
      <w:bookmarkEnd w:id="6756"/>
      <w:r>
        <w:rPr>
          <w:rtl/>
        </w:rPr>
        <w:t>. עוד מסופר שם</w:t>
      </w:r>
      <w:bookmarkStart w:id="6757" w:name="_fnr5152"/>
      <w:r>
        <w:rPr>
          <w:rStyle w:val="a5"/>
        </w:rPr>
        <w:footnoteReference w:id="5166" w:customMarkFollows="0"/>
      </w:r>
      <w:bookmarkEnd w:id="6757"/>
      <w:r>
        <w:rPr>
          <w:rtl/>
        </w:rPr>
        <w:t xml:space="preserve"> שר׳ חיים קיבל את סמיכתו – משני ידידיו הקרובים של ר׳ יוסף־דב, ר׳ </w:t>
      </w:r>
      <w:proofErr w:type="spellStart"/>
      <w:r>
        <w:rPr>
          <w:rtl/>
        </w:rPr>
        <w:t>אלי׳־חיים</w:t>
      </w:r>
      <w:proofErr w:type="spellEnd"/>
      <w:r>
        <w:rPr>
          <w:rtl/>
        </w:rPr>
        <w:t xml:space="preserve"> </w:t>
      </w:r>
      <w:proofErr w:type="spellStart"/>
      <w:r>
        <w:rPr>
          <w:rtl/>
        </w:rPr>
        <w:t>מייזל</w:t>
      </w:r>
      <w:proofErr w:type="spellEnd"/>
      <w:r>
        <w:rPr>
          <w:rtl/>
        </w:rPr>
        <w:t xml:space="preserve"> ור׳ </w:t>
      </w:r>
      <w:proofErr w:type="spellStart"/>
      <w:r>
        <w:rPr>
          <w:rtl/>
        </w:rPr>
        <w:t>ישראל־איסר</w:t>
      </w:r>
      <w:proofErr w:type="spellEnd"/>
      <w:r>
        <w:rPr>
          <w:rtl/>
        </w:rPr>
        <w:t xml:space="preserve"> שפירא</w:t>
      </w:r>
      <w:bookmarkStart w:id="6758" w:name="_fnr5153"/>
      <w:r>
        <w:rPr>
          <w:rStyle w:val="a5"/>
        </w:rPr>
        <w:footnoteReference w:id="5167" w:customMarkFollows="0"/>
      </w:r>
      <w:bookmarkEnd w:id="6758"/>
      <w:r>
        <w:rPr>
          <w:rtl/>
        </w:rPr>
        <w:t xml:space="preserve"> – </w:t>
      </w:r>
      <w:r>
        <w:rPr>
          <w:b/>
          <w:bCs/>
          <w:rtl/>
        </w:rPr>
        <w:t>רק בתום השבעה</w:t>
      </w:r>
      <w:r>
        <w:rPr>
          <w:rtl/>
        </w:rPr>
        <w:t xml:space="preserve"> על אביו, </w:t>
      </w:r>
      <w:r>
        <w:rPr>
          <w:b/>
          <w:bCs/>
          <w:rtl/>
        </w:rPr>
        <w:t>לאחר</w:t>
      </w:r>
      <w:r>
        <w:rPr>
          <w:rtl/>
        </w:rPr>
        <w:t xml:space="preserve"> שנתמנה לרבה של העיר.</w:t>
      </w:r>
    </w:p>
    <w:p w14:paraId="405BD490" w14:textId="77777777" w:rsidR="00AB3647" w:rsidRDefault="00000000" w:rsidP="007923E9">
      <w:pPr>
        <w:spacing w:after="120" w:line="276" w:lineRule="auto"/>
        <w:ind w:firstLine="283"/>
        <w:jc w:val="both"/>
      </w:pPr>
      <w:proofErr w:type="spellStart"/>
      <w:r>
        <w:rPr>
          <w:rtl/>
        </w:rPr>
        <w:t>ב“הראשון</w:t>
      </w:r>
      <w:proofErr w:type="spellEnd"/>
      <w:r>
        <w:rPr>
          <w:rtl/>
        </w:rPr>
        <w:t xml:space="preserve"> לשושלת </w:t>
      </w:r>
      <w:proofErr w:type="spellStart"/>
      <w:r>
        <w:rPr>
          <w:rtl/>
        </w:rPr>
        <w:t>בריסק</w:t>
      </w:r>
      <w:proofErr w:type="spellEnd"/>
      <w:r>
        <w:rPr>
          <w:rtl/>
        </w:rPr>
        <w:t xml:space="preserve">” לא ברור מתי בדיוק נתמנה ר׳ חיים, אך “פון </w:t>
      </w:r>
      <w:proofErr w:type="spellStart"/>
      <w:r>
        <w:rPr>
          <w:rtl/>
        </w:rPr>
        <w:t>וואלאזין</w:t>
      </w:r>
      <w:proofErr w:type="spellEnd"/>
      <w:r>
        <w:rPr>
          <w:rtl/>
        </w:rPr>
        <w:t xml:space="preserve"> </w:t>
      </w:r>
      <w:proofErr w:type="spellStart"/>
      <w:r>
        <w:rPr>
          <w:rtl/>
        </w:rPr>
        <w:t>ביז</w:t>
      </w:r>
      <w:proofErr w:type="spellEnd"/>
      <w:r>
        <w:rPr>
          <w:rtl/>
        </w:rPr>
        <w:t xml:space="preserve"> ירושלים”</w:t>
      </w:r>
      <w:bookmarkStart w:id="6759" w:name="_fnr5154"/>
      <w:r>
        <w:rPr>
          <w:rStyle w:val="a5"/>
        </w:rPr>
        <w:footnoteReference w:id="5168" w:customMarkFollows="0"/>
      </w:r>
      <w:bookmarkEnd w:id="6759"/>
      <w:r>
        <w:rPr>
          <w:rtl/>
        </w:rPr>
        <w:t xml:space="preserve"> מגלה את המועד המדויק: “כמקובל במקרה כזה, [נתמנה ר׳ חיים לרב] לפני קבורת אביו, בהכרזה לנפטר לפני שטמנו את גופתו באדמה: ‘מזל טוב, בנך ר׳ חיים נעשה רבנו!’” ניסוח מסורתו של ר׳ משה־מאיר ישר, שהובאה לעיל, מורה שר׳ חיים לא נתמנה ליד הקבר, ולכן היה זמן להתייעץ עם </w:t>
      </w:r>
      <w:proofErr w:type="spellStart"/>
      <w:r>
        <w:rPr>
          <w:rtl/>
        </w:rPr>
        <w:t>ה“גדול</w:t>
      </w:r>
      <w:proofErr w:type="spellEnd"/>
      <w:r>
        <w:rPr>
          <w:rtl/>
        </w:rPr>
        <w:t>” על המינוי.</w:t>
      </w:r>
    </w:p>
    <w:p w14:paraId="1DF66365" w14:textId="77777777" w:rsidR="00AB3647" w:rsidRDefault="00000000" w:rsidP="007923E9">
      <w:pPr>
        <w:spacing w:after="120" w:line="276" w:lineRule="auto"/>
        <w:ind w:firstLine="283"/>
        <w:jc w:val="both"/>
      </w:pPr>
      <w:r>
        <w:rPr>
          <w:rtl/>
        </w:rPr>
        <w:t>“הרב”</w:t>
      </w:r>
      <w:bookmarkStart w:id="6760" w:name="_fnr5155"/>
      <w:r>
        <w:rPr>
          <w:rStyle w:val="a5"/>
        </w:rPr>
        <w:footnoteReference w:id="5169" w:customMarkFollows="0"/>
      </w:r>
      <w:bookmarkEnd w:id="6760"/>
      <w:r>
        <w:rPr>
          <w:rtl/>
        </w:rPr>
        <w:t xml:space="preserve"> מספר בשם ר׳ </w:t>
      </w:r>
      <w:proofErr w:type="spellStart"/>
      <w:r>
        <w:rPr>
          <w:rtl/>
        </w:rPr>
        <w:t xml:space="preserve">יוסף־דב</w:t>
      </w:r>
      <w:proofErr w:type="spellEnd"/>
      <w:r>
        <w:rPr>
          <w:rtl/>
        </w:rPr>
        <w:t xml:space="preserve"> </w:t>
      </w:r>
      <w:proofErr w:type="spellStart"/>
      <w:r>
        <w:rPr>
          <w:rtl/>
        </w:rPr>
        <w:t>סולובייצ׳יק</w:t>
      </w:r>
      <w:proofErr w:type="spellEnd"/>
      <w:r>
        <w:rPr>
          <w:rtl/>
        </w:rPr>
        <w:t xml:space="preserve"> כיצד “</w:t>
      </w:r>
      <w:r>
        <w:rPr>
          <w:b/>
          <w:bCs/>
          <w:rtl/>
        </w:rPr>
        <w:t>הוועדה</w:t>
      </w:r>
      <w:r>
        <w:rPr>
          <w:rtl/>
        </w:rPr>
        <w:t xml:space="preserve"> [לבחירת רב </w:t>
      </w:r>
      <w:proofErr w:type="spellStart"/>
      <w:r>
        <w:rPr>
          <w:rtl/>
        </w:rPr>
        <w:t>לבריסק</w:t>
      </w:r>
      <w:proofErr w:type="spellEnd"/>
      <w:r>
        <w:rPr>
          <w:rtl/>
        </w:rPr>
        <w:t xml:space="preserve">] שנפגשה תחילה עם ר׳ חיים טענה שאינו מלומד די הצורך” כדי להתקבל. אז “נפגש עם </w:t>
      </w:r>
      <w:r>
        <w:rPr>
          <w:b/>
          <w:bCs/>
          <w:rtl/>
        </w:rPr>
        <w:t>המועמד</w:t>
      </w:r>
      <w:r>
        <w:rPr>
          <w:rtl/>
        </w:rPr>
        <w:t xml:space="preserve">” (ההדגשה שלי) עשיר אחד, </w:t>
      </w:r>
      <w:proofErr w:type="spellStart"/>
      <w:r>
        <w:rPr>
          <w:rtl/>
        </w:rPr>
        <w:t>ש“היה</w:t>
      </w:r>
      <w:proofErr w:type="spellEnd"/>
      <w:r>
        <w:rPr>
          <w:rtl/>
        </w:rPr>
        <w:t xml:space="preserve"> תלמיד חכם מופלג, ועד מהרה פרסם את הגדלות והייחוד שבגישתו של ר׳ חיים ללימוד התלמוד”, ור׳ חיים אושר. תלמיד חכם מופלג ומנהיג קהילה זה נקרא שם</w:t>
      </w:r>
      <w:bookmarkStart w:id="6761" w:name="_fnr5156"/>
      <w:r>
        <w:rPr>
          <w:rStyle w:val="a5"/>
        </w:rPr>
        <w:footnoteReference w:id="5170" w:customMarkFollows="0"/>
      </w:r>
      <w:bookmarkEnd w:id="6761"/>
      <w:r>
        <w:rPr>
          <w:rtl/>
        </w:rPr>
        <w:t xml:space="preserve"> ר׳ </w:t>
      </w:r>
      <w:proofErr w:type="spellStart"/>
      <w:r>
        <w:rPr>
          <w:rtl/>
        </w:rPr>
        <w:t>חיים־זלמן</w:t>
      </w:r>
      <w:proofErr w:type="spellEnd"/>
      <w:r>
        <w:rPr>
          <w:rtl/>
        </w:rPr>
        <w:t xml:space="preserve"> ליפשיץ. מאחר שההחלטה לקבל את ר׳ חיים </w:t>
      </w:r>
      <w:proofErr w:type="spellStart"/>
      <w:r>
        <w:rPr>
          <w:rtl/>
        </w:rPr>
        <w:t>סולובייצ׳יק</w:t>
      </w:r>
      <w:proofErr w:type="spellEnd"/>
      <w:r>
        <w:rPr>
          <w:rtl/>
        </w:rPr>
        <w:t xml:space="preserve"> התקבלה בשעת קבורת אביו או בתום השבעה, לא ברור מתי יכלו להתקיים כל הפגישות המתוארות </w:t>
      </w:r>
      <w:proofErr w:type="spellStart"/>
      <w:r>
        <w:rPr>
          <w:rtl/>
        </w:rPr>
        <w:t>ב“הרב</w:t>
      </w:r>
      <w:proofErr w:type="spellEnd"/>
      <w:r>
        <w:rPr>
          <w:rtl/>
        </w:rPr>
        <w:t>”. אפשר לשער שבחצי השנה שבין פסח תרנ״א לבין ראש השנה שלאחריו</w:t>
      </w:r>
      <w:bookmarkStart w:id="6762" w:name="_fnr5157"/>
      <w:r>
        <w:rPr>
          <w:rStyle w:val="a5"/>
        </w:rPr>
        <w:footnoteReference w:id="5171" w:customMarkFollows="0"/>
      </w:r>
      <w:bookmarkEnd w:id="6762"/>
      <w:r>
        <w:rPr>
          <w:rtl/>
        </w:rPr>
        <w:t xml:space="preserve">, כשר׳ יוסף־דב שכב על ערש דווי והחלים, תכננו אחדים מזקני העיר לקראת האפשרות שרבם ייפטר, ודנו שלא באופן רשמי באפשרויות ליורש. ר׳ </w:t>
      </w:r>
      <w:proofErr w:type="spellStart"/>
      <w:r>
        <w:rPr>
          <w:rtl/>
        </w:rPr>
        <w:t xml:space="preserve">יוסף־דב</w:t>
      </w:r>
      <w:proofErr w:type="spellEnd"/>
      <w:r>
        <w:rPr>
          <w:rtl/>
        </w:rPr>
        <w:t xml:space="preserve"> השתמש במונחים “ועדה” </w:t>
      </w:r>
      <w:proofErr w:type="spellStart"/>
      <w:r>
        <w:rPr>
          <w:rtl/>
        </w:rPr>
        <w:t>ו“מועמד</w:t>
      </w:r>
      <w:proofErr w:type="spellEnd"/>
      <w:r>
        <w:rPr>
          <w:rtl/>
        </w:rPr>
        <w:t>” (שהודגשו לעיל) רק כדי שהסיפור יהיה מובן יותר לקהל שומעיו האמריקאי.</w:t>
      </w:r>
    </w:p>
    <w:p w14:paraId="104FCD52" w14:textId="77777777" w:rsidR="00AB3647" w:rsidRDefault="00000000" w:rsidP="007923E9">
      <w:pPr>
        <w:spacing w:after="120" w:line="276" w:lineRule="auto"/>
        <w:ind w:firstLine="283"/>
        <w:jc w:val="both"/>
      </w:pPr>
      <w:r>
        <w:rPr>
          <w:rtl/>
        </w:rPr>
        <w:t xml:space="preserve">ביקורת </w:t>
      </w:r>
      <w:proofErr w:type="spellStart"/>
      <w:r>
        <w:rPr>
          <w:rtl/>
        </w:rPr>
        <w:t>ה“גדול</w:t>
      </w:r>
      <w:proofErr w:type="spellEnd"/>
      <w:r>
        <w:rPr>
          <w:rtl/>
        </w:rPr>
        <w:t xml:space="preserve">” על מינויו של ר׳ חיים לרבנות </w:t>
      </w:r>
      <w:proofErr w:type="spellStart"/>
      <w:r>
        <w:rPr>
          <w:rtl/>
        </w:rPr>
        <w:t>בריסק</w:t>
      </w:r>
      <w:proofErr w:type="spellEnd"/>
      <w:r>
        <w:rPr>
          <w:rtl/>
        </w:rPr>
        <w:t xml:space="preserve"> עוררה את מורת רוחו של ר׳ חיים. “בחרתי דווקא באותו רמב״ם של </w:t>
      </w:r>
      <w:proofErr w:type="spellStart"/>
      <w:r>
        <w:rPr>
          <w:rtl/>
        </w:rPr>
        <w:t>ה‘גדול</w:t>
      </w:r>
      <w:proofErr w:type="spellEnd"/>
      <w:r>
        <w:rPr>
          <w:rtl/>
        </w:rPr>
        <w:t xml:space="preserve">’ כדי להודיעו שעליו לדאוג פחות </w:t>
      </w:r>
      <w:proofErr w:type="spellStart"/>
      <w:r>
        <w:rPr>
          <w:rtl/>
        </w:rPr>
        <w:t>לבריסק</w:t>
      </w:r>
      <w:proofErr w:type="spellEnd"/>
      <w:r>
        <w:rPr>
          <w:rtl/>
        </w:rPr>
        <w:t xml:space="preserve">”, סיים. המעשה שתיאר ר׳ משה־מאיר ישר אירע בבירור לפני מעשה “אישים ושיטות” </w:t>
      </w:r>
      <w:proofErr w:type="spellStart"/>
      <w:r>
        <w:rPr>
          <w:rtl/>
        </w:rPr>
        <w:t>בתרנ״ה</w:t>
      </w:r>
      <w:proofErr w:type="spellEnd"/>
      <w:r>
        <w:rPr>
          <w:rtl/>
        </w:rPr>
        <w:t>, כלומר בשלב כלשהו בשנתיים הראשונות אחרי מינויו של ר׳ חיים לרבנות.</w:t>
      </w:r>
    </w:p>
    <w:p w14:paraId="60847C08" w14:textId="77777777" w:rsidR="00AB3647" w:rsidRDefault="00000000" w:rsidP="007923E9">
      <w:pPr>
        <w:spacing w:after="120" w:line="276" w:lineRule="auto"/>
        <w:ind w:firstLine="283"/>
        <w:jc w:val="both"/>
      </w:pPr>
      <w:r>
        <w:rPr>
          <w:rtl/>
        </w:rPr>
        <w:lastRenderedPageBreak/>
        <w:t xml:space="preserve">ר׳ </w:t>
      </w:r>
      <w:proofErr w:type="spellStart"/>
      <w:r>
        <w:rPr>
          <w:rtl/>
        </w:rPr>
        <w:t>משולם־דוד</w:t>
      </w:r>
      <w:proofErr w:type="spellEnd"/>
      <w:r>
        <w:rPr>
          <w:rtl/>
        </w:rPr>
        <w:t xml:space="preserve"> </w:t>
      </w:r>
      <w:proofErr w:type="spellStart"/>
      <w:r>
        <w:rPr>
          <w:rtl/>
        </w:rPr>
        <w:t>סולובייצ׳יק</w:t>
      </w:r>
      <w:proofErr w:type="spellEnd"/>
      <w:r>
        <w:rPr>
          <w:rtl/>
        </w:rPr>
        <w:t xml:space="preserve"> סיפר מעשה שנראה כשילוב של סיפור “אישים ושיטות” ושל מעשה ר׳ משה־מאיר ישר: סבו ר׳ חיים הלך עם הרב </w:t>
      </w:r>
      <w:proofErr w:type="spellStart"/>
      <w:r>
        <w:rPr>
          <w:rtl/>
        </w:rPr>
        <w:t>ירושלמסקי</w:t>
      </w:r>
      <w:proofErr w:type="spellEnd"/>
      <w:r>
        <w:rPr>
          <w:rtl/>
        </w:rPr>
        <w:t xml:space="preserve"> לבקר את </w:t>
      </w:r>
      <w:proofErr w:type="spellStart"/>
      <w:r>
        <w:rPr>
          <w:rtl/>
        </w:rPr>
        <w:t>ה“גדול</w:t>
      </w:r>
      <w:proofErr w:type="spellEnd"/>
      <w:r>
        <w:rPr>
          <w:rtl/>
        </w:rPr>
        <w:t xml:space="preserve">”, וביטל את כל מה שאמר המארח. כששאלו הרב </w:t>
      </w:r>
      <w:proofErr w:type="spellStart"/>
      <w:r>
        <w:rPr>
          <w:rtl/>
        </w:rPr>
        <w:t>ירושלמסקי</w:t>
      </w:r>
      <w:proofErr w:type="spellEnd"/>
      <w:r>
        <w:rPr>
          <w:rtl/>
        </w:rPr>
        <w:t xml:space="preserve"> אחר כך מדוע ציער את הרב הזקן, שהיה מבוגר מר׳ חיים </w:t>
      </w:r>
      <w:proofErr w:type="spellStart"/>
      <w:r>
        <w:rPr>
          <w:rtl/>
        </w:rPr>
        <w:t>בשמונה־עשרה</w:t>
      </w:r>
      <w:proofErr w:type="spellEnd"/>
      <w:r>
        <w:rPr>
          <w:rtl/>
        </w:rPr>
        <w:t xml:space="preserve"> שנה, השיב: “אדרבה, עכשיו טוב לו; הוא היה מודאג </w:t>
      </w:r>
      <w:proofErr w:type="spellStart"/>
      <w:r>
        <w:rPr>
          <w:rtl/>
        </w:rPr>
        <w:t>שבריסק</w:t>
      </w:r>
      <w:proofErr w:type="spellEnd"/>
      <w:r>
        <w:rPr>
          <w:rtl/>
        </w:rPr>
        <w:t xml:space="preserve"> לא קיבלה רב שאפשר להשוותו לקודמו – אבי, ר׳ </w:t>
      </w:r>
      <w:proofErr w:type="spellStart"/>
      <w:r>
        <w:rPr>
          <w:rtl/>
        </w:rPr>
        <w:t xml:space="preserve">יושע־בער</w:t>
      </w:r>
      <w:proofErr w:type="spellEnd"/>
      <w:r>
        <w:rPr>
          <w:rtl/>
        </w:rPr>
        <w:t xml:space="preserve"> – אבל אחרי שהראיתי לו מה ביכולתי לעשות, נחה דעתו”. לפי זה מתבאר משפט הסיום המעורפל </w:t>
      </w:r>
      <w:proofErr w:type="spellStart"/>
      <w:r>
        <w:rPr>
          <w:rtl/>
        </w:rPr>
        <w:t>ב“אישים</w:t>
      </w:r>
      <w:proofErr w:type="spellEnd"/>
      <w:r>
        <w:rPr>
          <w:rtl/>
        </w:rPr>
        <w:t xml:space="preserve"> ושיטות”, “עכשיו [</w:t>
      </w:r>
      <w:proofErr w:type="spellStart"/>
      <w:r>
        <w:rPr>
          <w:rtl/>
        </w:rPr>
        <w:t>ה‘גדול</w:t>
      </w:r>
      <w:proofErr w:type="spellEnd"/>
      <w:r>
        <w:rPr>
          <w:rtl/>
        </w:rPr>
        <w:t xml:space="preserve">’ ממינסק] לא יאמר עוד שרבה של </w:t>
      </w:r>
      <w:proofErr w:type="spellStart"/>
      <w:r>
        <w:rPr>
          <w:rtl/>
        </w:rPr>
        <w:t>בריסק</w:t>
      </w:r>
      <w:proofErr w:type="spellEnd"/>
      <w:r>
        <w:rPr>
          <w:rtl/>
        </w:rPr>
        <w:t xml:space="preserve"> אינו יודע ללמוד” [עמ׳ </w:t>
      </w:r>
      <w:r>
        <w:rPr>
          <w:rtl/>
        </w:rPr>
        <w:fldChar w:fldCharType="begin" w:dirty="true"/>
      </w:r>
      <w:r>
        <w:rPr>
          <w:rtl/>
        </w:rPr>
        <w:instrText xml:space="preserve"> PAGEREF pr_b_2769 \h </w:instrText>
      </w:r>
      <w:r>
        <w:rPr>
          <w:rtl/>
        </w:rPr>
      </w:r>
      <w:r>
        <w:rPr>
          <w:rtl/>
        </w:rPr>
        <w:fldChar w:fldCharType="separate"/>
      </w:r>
      <w:r w:rsidR="007923E9">
        <w:rPr>
          <w:noProof/>
          <w:rtl/>
        </w:rPr>
        <w:t>1</w:t>
      </w:r>
      <w:r>
        <w:rPr>
          <w:rtl/>
        </w:rPr>
        <w:fldChar w:fldCharType="end"/>
      </w:r>
      <w:r>
        <w:rPr>
          <w:rtl/>
        </w:rPr>
        <w:t xml:space="preserve">], ומשמעותו: “עכשיו לא [ידאג] עוד שרבה של </w:t>
      </w:r>
      <w:proofErr w:type="spellStart"/>
      <w:r>
        <w:rPr>
          <w:rtl/>
        </w:rPr>
        <w:t>בריסק</w:t>
      </w:r>
      <w:proofErr w:type="spellEnd"/>
      <w:r>
        <w:rPr>
          <w:rtl/>
        </w:rPr>
        <w:t xml:space="preserve"> אינו יודע ללמוד כקודמו”.</w:t>
      </w:r>
    </w:p>
    <w:p w14:paraId="5597366A" w14:textId="77777777" w:rsidR="00AB3647" w:rsidRDefault="00000000" w:rsidP="007923E9">
      <w:pPr>
        <w:spacing w:after="120" w:line="276" w:lineRule="auto"/>
        <w:ind w:firstLine="283"/>
        <w:jc w:val="both"/>
      </w:pPr>
      <w:r>
        <w:rPr>
          <w:rtl/>
        </w:rPr>
        <w:t xml:space="preserve">גרסה נוספת שנראית כשילוב מעשי ישר </w:t>
      </w:r>
      <w:proofErr w:type="spellStart"/>
      <w:r>
        <w:rPr>
          <w:rtl/>
        </w:rPr>
        <w:t>ו“אישים</w:t>
      </w:r>
      <w:proofErr w:type="spellEnd"/>
      <w:r>
        <w:rPr>
          <w:rtl/>
        </w:rPr>
        <w:t xml:space="preserve"> ושיטות” מובאת </w:t>
      </w:r>
      <w:proofErr w:type="spellStart"/>
      <w:r>
        <w:rPr>
          <w:rtl/>
        </w:rPr>
        <w:t>ב“עובדות</w:t>
      </w:r>
      <w:proofErr w:type="spellEnd"/>
      <w:r>
        <w:rPr>
          <w:rtl/>
        </w:rPr>
        <w:t xml:space="preserve"> והנהגות לבית </w:t>
      </w:r>
      <w:proofErr w:type="spellStart"/>
      <w:r>
        <w:rPr>
          <w:rtl/>
        </w:rPr>
        <w:t>בריסק</w:t>
      </w:r>
      <w:proofErr w:type="spellEnd"/>
      <w:r>
        <w:rPr>
          <w:rtl/>
        </w:rPr>
        <w:t>”</w:t>
      </w:r>
      <w:bookmarkStart w:id="6763" w:name="_fnr5158"/>
      <w:r>
        <w:rPr>
          <w:rStyle w:val="a5"/>
        </w:rPr>
        <w:footnoteReference w:id="5172" w:customMarkFollows="0"/>
      </w:r>
      <w:bookmarkEnd w:id="6763"/>
      <w:r>
        <w:rPr>
          <w:rtl/>
        </w:rPr>
        <w:t xml:space="preserve"> בשם ר׳ יצחק־זאב</w:t>
      </w:r>
      <w:bookmarkStart w:id="6764" w:name="_fnr5159"/>
      <w:r>
        <w:rPr>
          <w:rStyle w:val="a5"/>
        </w:rPr>
        <w:footnoteReference w:id="5173" w:customMarkFollows="0"/>
      </w:r>
      <w:bookmarkEnd w:id="6764"/>
      <w:r>
        <w:rPr>
          <w:rtl/>
        </w:rPr>
        <w:t xml:space="preserve">: בחתונת בת </w:t>
      </w:r>
      <w:proofErr w:type="spellStart"/>
      <w:r>
        <w:rPr>
          <w:rtl/>
        </w:rPr>
        <w:t>ה“גדול</w:t>
      </w:r>
      <w:proofErr w:type="spellEnd"/>
      <w:r>
        <w:rPr>
          <w:rtl/>
        </w:rPr>
        <w:t xml:space="preserve">” עם ר׳ </w:t>
      </w:r>
      <w:proofErr w:type="spellStart"/>
      <w:r>
        <w:rPr>
          <w:rtl/>
        </w:rPr>
        <w:t>אברהם־דובער</w:t>
      </w:r>
      <w:proofErr w:type="spellEnd"/>
      <w:r>
        <w:rPr>
          <w:rtl/>
        </w:rPr>
        <w:t xml:space="preserve"> </w:t>
      </w:r>
      <w:proofErr w:type="spellStart"/>
      <w:r>
        <w:rPr>
          <w:rtl/>
        </w:rPr>
        <w:t>כהנא־שפירא</w:t>
      </w:r>
      <w:proofErr w:type="spellEnd"/>
      <w:r>
        <w:rPr>
          <w:rtl/>
        </w:rPr>
        <w:t>, לימים רבה של קובנה</w:t>
      </w:r>
      <w:bookmarkStart w:id="6765" w:name="_fnr5160"/>
      <w:r>
        <w:rPr>
          <w:rStyle w:val="a5"/>
        </w:rPr>
        <w:footnoteReference w:id="5174" w:customMarkFollows="0"/>
      </w:r>
      <w:bookmarkEnd w:id="6765"/>
      <w:r>
        <w:rPr>
          <w:rtl/>
        </w:rPr>
        <w:t>, אמר הרב פרלמן פלפול גדול, ופנה אל ר׳ חיים, שנכח שם בשל קרבתו לחתן</w:t>
      </w:r>
      <w:bookmarkStart w:id="6766" w:name="_fnr5161"/>
      <w:r>
        <w:rPr>
          <w:rStyle w:val="a5"/>
        </w:rPr>
        <w:footnoteReference w:id="5175" w:customMarkFollows="0"/>
      </w:r>
      <w:bookmarkEnd w:id="6766"/>
      <w:r>
        <w:rPr>
          <w:rtl/>
        </w:rPr>
        <w:t xml:space="preserve">: “האם גם רבה של </w:t>
      </w:r>
      <w:proofErr w:type="spellStart"/>
      <w:r>
        <w:rPr>
          <w:rtl/>
        </w:rPr>
        <w:t>בריסק</w:t>
      </w:r>
      <w:proofErr w:type="spellEnd"/>
      <w:r>
        <w:rPr>
          <w:rtl/>
        </w:rPr>
        <w:t xml:space="preserve"> יכול לומר פלפול כזה?” ר׳ חיים, שנתמנה לרבנות </w:t>
      </w:r>
      <w:proofErr w:type="spellStart"/>
      <w:r>
        <w:rPr>
          <w:rtl/>
        </w:rPr>
        <w:t>בריסק</w:t>
      </w:r>
      <w:proofErr w:type="spellEnd"/>
      <w:r>
        <w:rPr>
          <w:rtl/>
        </w:rPr>
        <w:t xml:space="preserve"> רק שנתיים קודם לכן, נענה לאתגר ומסר דבר תורה מזהיר שהאפיל על דברי תורתו של המארח. כשנשאל אחר כך מדוע גרם </w:t>
      </w:r>
      <w:proofErr w:type="spellStart"/>
      <w:r>
        <w:rPr>
          <w:rtl/>
        </w:rPr>
        <w:t>ל“גדול</w:t>
      </w:r>
      <w:proofErr w:type="spellEnd"/>
      <w:r>
        <w:rPr>
          <w:rtl/>
        </w:rPr>
        <w:t xml:space="preserve">” </w:t>
      </w:r>
      <w:proofErr w:type="spellStart"/>
      <w:r>
        <w:rPr>
          <w:rtl/>
        </w:rPr>
        <w:t>אי־נעימות</w:t>
      </w:r>
      <w:proofErr w:type="spellEnd"/>
      <w:r>
        <w:rPr>
          <w:rtl/>
        </w:rPr>
        <w:t xml:space="preserve"> כזו, השיב: “אילו הדגיש </w:t>
      </w:r>
      <w:proofErr w:type="spellStart"/>
      <w:r>
        <w:rPr>
          <w:rtl/>
        </w:rPr>
        <w:t>ה‘גדול</w:t>
      </w:r>
      <w:proofErr w:type="spellEnd"/>
      <w:r>
        <w:rPr>
          <w:rtl/>
        </w:rPr>
        <w:t xml:space="preserve">’ שהוא קורא תיגר לא על ‘רבה של </w:t>
      </w:r>
      <w:proofErr w:type="spellStart"/>
      <w:r>
        <w:rPr>
          <w:rtl/>
        </w:rPr>
        <w:t>בריסק</w:t>
      </w:r>
      <w:proofErr w:type="spellEnd"/>
      <w:r>
        <w:rPr>
          <w:rtl/>
        </w:rPr>
        <w:t xml:space="preserve">’ אלא על ‘חיים </w:t>
      </w:r>
      <w:proofErr w:type="spellStart"/>
      <w:r>
        <w:rPr>
          <w:rtl/>
        </w:rPr>
        <w:t>סולובייצ׳יק</w:t>
      </w:r>
      <w:proofErr w:type="spellEnd"/>
      <w:r>
        <w:rPr>
          <w:rtl/>
        </w:rPr>
        <w:t>’, הייתי מוותר. אך כשמתגרים בכבוד העיר – כאילו לא קיבלה רב בשיעור הקומה הראוי לה – לא יכולתי לעבור על כך”.</w:t>
      </w:r>
    </w:p>
    <w:p w14:paraId="250F75D9" w14:textId="77777777" w:rsidR="00AB3647" w:rsidRDefault="00000000" w:rsidP="007923E9">
      <w:pPr>
        <w:spacing w:after="120" w:line="276" w:lineRule="auto"/>
        <w:ind w:firstLine="283"/>
        <w:jc w:val="both"/>
      </w:pPr>
      <w:r>
        <w:rPr>
          <w:rtl/>
        </w:rPr>
        <w:t xml:space="preserve">סיפור נוסף על פגישה בין ר׳ חיים </w:t>
      </w:r>
      <w:proofErr w:type="spellStart"/>
      <w:r>
        <w:rPr>
          <w:rtl/>
        </w:rPr>
        <w:t>ל“גדול</w:t>
      </w:r>
      <w:proofErr w:type="spellEnd"/>
      <w:r>
        <w:rPr>
          <w:rtl/>
        </w:rPr>
        <w:t xml:space="preserve">” ממינסק מובא </w:t>
      </w:r>
      <w:proofErr w:type="spellStart"/>
      <w:r>
        <w:rPr>
          <w:rtl/>
        </w:rPr>
        <w:t>ב“עובדות</w:t>
      </w:r>
      <w:proofErr w:type="spellEnd"/>
      <w:r>
        <w:rPr>
          <w:rtl/>
        </w:rPr>
        <w:t xml:space="preserve"> והנהגות לבית </w:t>
      </w:r>
      <w:proofErr w:type="spellStart"/>
      <w:r>
        <w:rPr>
          <w:rtl/>
        </w:rPr>
        <w:t>בריסק</w:t>
      </w:r>
      <w:proofErr w:type="spellEnd"/>
      <w:r>
        <w:rPr>
          <w:rtl/>
        </w:rPr>
        <w:t>”</w:t>
      </w:r>
      <w:bookmarkStart w:id="6767" w:name="_fnr5162"/>
      <w:r>
        <w:rPr>
          <w:rStyle w:val="a5"/>
        </w:rPr>
        <w:footnoteReference w:id="5176" w:customMarkFollows="0"/>
      </w:r>
      <w:bookmarkEnd w:id="6767"/>
      <w:r>
        <w:rPr>
          <w:rtl/>
        </w:rPr>
        <w:t xml:space="preserve">, גם הוא בשם ר׳ יצחק־זאב. בכינוס במינסק אמר הרב פרלמן דבר תורה מרשים, ש</w:t>
      </w:r>
      <w:r>
        <w:rPr>
          <w:b/>
          <w:bCs/>
          <w:rtl/>
        </w:rPr>
        <w:t>במהלכו</w:t>
      </w:r>
      <w:r>
        <w:rPr>
          <w:rtl/>
        </w:rPr>
        <w:t xml:space="preserve"> קרץ ר׳ חיים פעמים אחדות כדי לרמוז שיש לו קושיות – “</w:t>
      </w:r>
      <w:r>
        <w:rPr>
          <w:b/>
          <w:bCs/>
          <w:rtl/>
        </w:rPr>
        <w:t>אבל לא שאל אותן ברבים</w:t>
      </w:r>
      <w:r>
        <w:rPr>
          <w:rtl/>
        </w:rPr>
        <w:t xml:space="preserve">”. אחר כך השמיע ר׳ חיים את הקושיות לפני </w:t>
      </w:r>
      <w:proofErr w:type="spellStart"/>
      <w:r>
        <w:rPr>
          <w:rtl/>
        </w:rPr>
        <w:t>ה“גדול</w:t>
      </w:r>
      <w:proofErr w:type="spellEnd"/>
      <w:r>
        <w:rPr>
          <w:rtl/>
        </w:rPr>
        <w:t xml:space="preserve">”, וזה הודה שהן נכונות והחל לבכות. הוא הסביר שזה דבר התורה שהכין לומר במתיבתא </w:t>
      </w:r>
      <w:proofErr w:type="spellStart"/>
      <w:r>
        <w:rPr>
          <w:rtl/>
        </w:rPr>
        <w:t>דרקיע</w:t>
      </w:r>
      <w:bookmarkStart w:id="6768" w:name="_fnr5163"/>
      <w:proofErr w:type="spellEnd"/>
      <w:r>
        <w:rPr>
          <w:rStyle w:val="a5"/>
        </w:rPr>
        <w:footnoteReference w:id="5177" w:customMarkFollows="0"/>
      </w:r>
      <w:bookmarkEnd w:id="6768"/>
      <w:r>
        <w:rPr>
          <w:rtl/>
        </w:rPr>
        <w:t xml:space="preserve"> אחרי מותו, ועכשיו יישאר בלא מילים כשיגיע לשם.</w:t>
      </w:r>
    </w:p>
    <w:p w14:paraId="5D28CA8A" w14:textId="77777777" w:rsidR="00AB3647" w:rsidRDefault="00000000" w:rsidP="007923E9">
      <w:pPr>
        <w:spacing w:after="120" w:line="276" w:lineRule="auto"/>
        <w:ind w:firstLine="283"/>
        <w:jc w:val="both"/>
      </w:pPr>
      <w:r>
        <w:rPr>
          <w:rtl/>
        </w:rPr>
        <w:t>שמא ייצרו הסיפורים שלעיל רושם מוטעה על היחסים בין שני גדולי התורה, הפנה אותי ר׳ שלמה סלונים</w:t>
      </w:r>
      <w:bookmarkStart w:id="6769" w:name="_fnr5164"/>
      <w:r>
        <w:rPr>
          <w:rStyle w:val="a5"/>
        </w:rPr>
        <w:footnoteReference w:id="5178" w:customMarkFollows="0"/>
      </w:r>
      <w:bookmarkEnd w:id="6769"/>
      <w:r>
        <w:rPr>
          <w:rtl/>
        </w:rPr>
        <w:t xml:space="preserve"> לכרך שערך, “הגדול ממינסק”, ובו נאמר</w:t>
      </w:r>
      <w:bookmarkStart w:id="6770" w:name="_fnr5165"/>
      <w:r>
        <w:rPr>
          <w:rStyle w:val="a5"/>
        </w:rPr>
        <w:footnoteReference w:id="5179" w:customMarkFollows="0"/>
      </w:r>
      <w:bookmarkEnd w:id="6770"/>
      <w:r>
        <w:rPr>
          <w:rtl/>
        </w:rPr>
        <w:t xml:space="preserve">: “הגאון ר׳ חיים </w:t>
      </w:r>
      <w:proofErr w:type="spellStart"/>
      <w:r>
        <w:rPr>
          <w:rtl/>
        </w:rPr>
        <w:t>סולובייצ׳יק</w:t>
      </w:r>
      <w:proofErr w:type="spellEnd"/>
      <w:r>
        <w:rPr>
          <w:rtl/>
        </w:rPr>
        <w:t xml:space="preserve"> </w:t>
      </w:r>
      <w:proofErr w:type="spellStart"/>
      <w:r>
        <w:rPr>
          <w:rtl/>
        </w:rPr>
        <w:t>מבריסק</w:t>
      </w:r>
      <w:proofErr w:type="spellEnd"/>
      <w:r>
        <w:rPr>
          <w:rtl/>
        </w:rPr>
        <w:t xml:space="preserve"> גילה אהבה יתרה למשפחת </w:t>
      </w:r>
      <w:proofErr w:type="spellStart"/>
      <w:r>
        <w:rPr>
          <w:rtl/>
        </w:rPr>
        <w:t>ה‘גדול</w:t>
      </w:r>
      <w:proofErr w:type="spellEnd"/>
      <w:r>
        <w:rPr>
          <w:rtl/>
        </w:rPr>
        <w:t xml:space="preserve">’, בכך שר׳ חיים התעכב במינסק כעשרה ימים [אחרי שנפטר </w:t>
      </w:r>
      <w:proofErr w:type="spellStart"/>
      <w:r>
        <w:rPr>
          <w:rtl/>
        </w:rPr>
        <w:t>ה‘גדול</w:t>
      </w:r>
      <w:proofErr w:type="spellEnd"/>
      <w:r>
        <w:rPr>
          <w:rtl/>
        </w:rPr>
        <w:t xml:space="preserve">’]; ואף שלא עשה דבר ממשי, נוכחותו ומעמדו של איש גדול זה הביאו </w:t>
      </w:r>
      <w:r>
        <w:rPr>
          <w:rtl/>
        </w:rPr>
        <w:lastRenderedPageBreak/>
        <w:t xml:space="preserve">[למשפחה] תועלת רבה”. ר׳ שלמה ביאר אמירה סתומה זו: ר׳ חיים נשאר במינסק אחרי ההלוויה כדי להבטיח שחתנו של </w:t>
      </w:r>
      <w:proofErr w:type="spellStart"/>
      <w:r>
        <w:rPr>
          <w:rtl/>
        </w:rPr>
        <w:t>ה“גדול</w:t>
      </w:r>
      <w:proofErr w:type="spellEnd"/>
      <w:r>
        <w:rPr>
          <w:rtl/>
        </w:rPr>
        <w:t xml:space="preserve">”, ר׳ לייזר </w:t>
      </w:r>
      <w:proofErr w:type="spellStart"/>
      <w:r>
        <w:rPr>
          <w:rtl/>
        </w:rPr>
        <w:t>רבינוביץ</w:t>
      </w:r>
      <w:proofErr w:type="spellEnd"/>
      <w:r>
        <w:rPr>
          <w:rtl/>
        </w:rPr>
        <w:t>, יתמנה ליורשו</w:t>
      </w:r>
      <w:bookmarkStart w:id="6771" w:name="_fnr5166"/>
      <w:r>
        <w:rPr>
          <w:rStyle w:val="a5"/>
        </w:rPr>
        <w:footnoteReference w:id="5180" w:customMarkFollows="0"/>
      </w:r>
      <w:bookmarkEnd w:id="6771"/>
      <w:r>
        <w:rPr>
          <w:rtl/>
        </w:rPr>
        <w:t>.</w:t>
      </w:r>
    </w:p>
    <w:p w14:paraId="00EEFFA1" w14:textId="77777777" w:rsidR="00AB3647" w:rsidRDefault="00000000" w:rsidP="007923E9">
      <w:pPr>
        <w:spacing w:after="120" w:line="276" w:lineRule="auto"/>
        <w:ind w:firstLine="283"/>
        <w:jc w:val="both"/>
      </w:pPr>
      <w:r>
        <w:rPr>
          <w:rtl/>
        </w:rPr>
        <w:t>מוזכרת שם</w:t>
      </w:r>
      <w:bookmarkStart w:id="6772" w:name="_fnr5167"/>
      <w:r>
        <w:rPr>
          <w:rStyle w:val="a5"/>
        </w:rPr>
        <w:footnoteReference w:id="5181" w:customMarkFollows="0"/>
      </w:r>
      <w:bookmarkEnd w:id="6772"/>
      <w:r>
        <w:rPr>
          <w:rtl/>
        </w:rPr>
        <w:t xml:space="preserve"> המחלוקת שפרצה בקהילה כאשר “כמה חברים נלהבים רצו לעכב את קבורת הרב עד שתמנה הקהילה את אחד מיורשיו</w:t>
      </w:r>
      <w:bookmarkStart w:id="6773" w:name="_fnr5168"/>
      <w:bookmarkStart w:id="6774" w:name="pr_f_5045"/>
      <w:r>
        <w:rPr>
          <w:rStyle w:val="a5"/>
        </w:rPr>
        <w:footnoteReference w:id="5182" w:customMarkFollows="0"/>
      </w:r>
      <w:bookmarkEnd w:id="6773"/>
      <w:bookmarkEnd w:id="6774"/>
      <w:r>
        <w:rPr>
          <w:rtl/>
        </w:rPr>
        <w:t xml:space="preserve"> למלא את מקומו. אך מכבדי </w:t>
      </w:r>
      <w:proofErr w:type="spellStart"/>
      <w:r>
        <w:rPr>
          <w:rtl/>
        </w:rPr>
        <w:t>ה‘גדול</w:t>
      </w:r>
      <w:proofErr w:type="spellEnd"/>
      <w:r>
        <w:rPr>
          <w:rtl/>
        </w:rPr>
        <w:t xml:space="preserve">’ וביתו הניאום מכך באומרם: ‘מינסק אינה עיירה קטנה שבה אפשר למנות רב בבהלה </w:t>
      </w:r>
      <w:proofErr w:type="spellStart"/>
      <w:r>
        <w:rPr>
          <w:rtl/>
        </w:rPr>
        <w:t>ובחפזון</w:t>
      </w:r>
      <w:proofErr w:type="spellEnd"/>
      <w:r>
        <w:rPr>
          <w:rtl/>
        </w:rPr>
        <w:t xml:space="preserve"> ו</w:t>
      </w:r>
      <w:r>
        <w:rPr>
          <w:b/>
          <w:bCs/>
          <w:rtl/>
        </w:rPr>
        <w:t>כפיית הר כגיגית</w:t>
      </w:r>
      <w:bookmarkStart w:id="6775" w:name="_fnr5169"/>
      <w:r>
        <w:rPr>
          <w:rStyle w:val="a5"/>
        </w:rPr>
        <w:footnoteReference w:id="5183" w:customMarkFollows="0"/>
      </w:r>
      <w:bookmarkEnd w:id="6775"/>
      <w:r>
        <w:rPr>
          <w:rtl/>
        </w:rPr>
        <w:t>; אתם מבזים את הרב בעשיית דבר שב</w:t>
      </w:r>
      <w:r>
        <w:rPr>
          <w:b/>
          <w:bCs/>
          <w:rtl/>
        </w:rPr>
        <w:t>חייו</w:t>
      </w:r>
      <w:r>
        <w:rPr>
          <w:rtl/>
        </w:rPr>
        <w:t xml:space="preserve"> לא ניחא ליה </w:t>
      </w:r>
      <w:r>
        <w:rPr>
          <w:b/>
          <w:bCs/>
          <w:rtl/>
        </w:rPr>
        <w:t xml:space="preserve">דלא </w:t>
      </w:r>
      <w:proofErr w:type="spellStart"/>
      <w:r>
        <w:rPr>
          <w:b/>
          <w:bCs/>
          <w:rtl/>
        </w:rPr>
        <w:t>סבירא</w:t>
      </w:r>
      <w:proofErr w:type="spellEnd"/>
      <w:r>
        <w:rPr>
          <w:b/>
          <w:bCs/>
          <w:rtl/>
        </w:rPr>
        <w:t xml:space="preserve"> ליה</w:t>
      </w:r>
      <w:r>
        <w:rPr>
          <w:rtl/>
        </w:rPr>
        <w:t xml:space="preserve"> (ההדגשה שלי), שכן שנא רבנות שבאה בעקיפין, שלא ברצון ושלא בכבוד’”. ייתכן שהביטויים המודגשים רומזים להתנגדות הרב פרלמן למינויו של ר׳ חיים </w:t>
      </w:r>
      <w:r>
        <w:rPr>
          <w:b/>
          <w:bCs/>
          <w:rtl/>
        </w:rPr>
        <w:t>עצמו</w:t>
      </w:r>
      <w:r>
        <w:rPr>
          <w:rtl/>
        </w:rPr>
        <w:t xml:space="preserve"> לרשת את כס אביו “בבהלה </w:t>
      </w:r>
      <w:proofErr w:type="spellStart"/>
      <w:r>
        <w:rPr>
          <w:rtl/>
        </w:rPr>
        <w:t>ובחפזון</w:t>
      </w:r>
      <w:proofErr w:type="spellEnd"/>
      <w:r>
        <w:rPr>
          <w:rtl/>
        </w:rPr>
        <w:t xml:space="preserve">” בתום השבעה על ר׳ יוסף־דב, או [כאמור לעיל] אולי עוד קודם לכן – לפני קבורת אביו – בדיוק כפי שביקשו לעשות “כמה חברים נלהבים” בקהילת מינסק </w:t>
      </w:r>
      <w:r>
        <w:rPr>
          <w:b/>
          <w:bCs/>
          <w:rtl/>
        </w:rPr>
        <w:t>כשנפטר</w:t>
      </w:r>
      <w:r>
        <w:rPr>
          <w:rtl/>
        </w:rPr>
        <w:t xml:space="preserve">, לפני קבורת </w:t>
      </w:r>
      <w:proofErr w:type="spellStart"/>
      <w:r>
        <w:rPr>
          <w:rtl/>
        </w:rPr>
        <w:t>ה“גדול</w:t>
      </w:r>
      <w:proofErr w:type="spellEnd"/>
      <w:r>
        <w:rPr>
          <w:rtl/>
        </w:rPr>
        <w:t>”. ר׳ חיים נשאר בעיר אחרי הלוויית הרב פרלמן כדי לוודא שגם אם חתנו לא הוכתר “בהתלהבות” בשעת הקבורה, ואף לא בתום השבעה, עדיין יזכה ר׳ לייזר ברבנות בתוך זמן קצר.</w:t>
      </w:r>
    </w:p>
    <w:p w14:paraId="6BD181C0" w14:textId="77777777" w:rsidR="00AB3647" w:rsidRDefault="00000000" w:rsidP="007923E9">
      <w:pPr>
        <w:spacing w:after="120" w:line="276" w:lineRule="auto"/>
        <w:ind w:firstLine="283"/>
        <w:jc w:val="both"/>
      </w:pPr>
      <w:r>
        <w:rPr>
          <w:rtl/>
        </w:rPr>
        <w:t>“מינסק עיר ואם”</w:t>
      </w:r>
      <w:bookmarkStart w:id="6776" w:name="_fnr5170"/>
      <w:r>
        <w:rPr>
          <w:rStyle w:val="a5"/>
        </w:rPr>
        <w:footnoteReference w:id="5184" w:customMarkFollows="0"/>
      </w:r>
      <w:bookmarkEnd w:id="6776"/>
      <w:r>
        <w:rPr>
          <w:rtl/>
        </w:rPr>
        <w:t xml:space="preserve"> מגלה שמתחרהו של ר׳ לייזר </w:t>
      </w:r>
      <w:proofErr w:type="spellStart"/>
      <w:r>
        <w:rPr>
          <w:rtl/>
        </w:rPr>
        <w:t>רבינוביץ</w:t>
      </w:r>
      <w:proofErr w:type="spellEnd"/>
      <w:r>
        <w:rPr>
          <w:rtl/>
        </w:rPr>
        <w:t xml:space="preserve"> על רבנות מינסק היה ר׳ יצחק רבין, “שנולד </w:t>
      </w:r>
      <w:proofErr w:type="spellStart"/>
      <w:r>
        <w:rPr>
          <w:rtl/>
        </w:rPr>
        <w:t>לר</w:t>
      </w:r>
      <w:proofErr w:type="spellEnd"/>
      <w:r>
        <w:rPr>
          <w:rtl/>
        </w:rPr>
        <w:t xml:space="preserve">׳ </w:t>
      </w:r>
      <w:proofErr w:type="spellStart"/>
      <w:r>
        <w:rPr>
          <w:rtl/>
        </w:rPr>
        <w:t>דוד־טעביל</w:t>
      </w:r>
      <w:proofErr w:type="spellEnd"/>
      <w:r>
        <w:rPr>
          <w:rtl/>
        </w:rPr>
        <w:t xml:space="preserve"> [רב קודם של העיר]</w:t>
      </w:r>
      <w:bookmarkStart w:id="6777" w:name="_fnr5171"/>
      <w:r>
        <w:rPr>
          <w:rStyle w:val="a5"/>
        </w:rPr>
        <w:footnoteReference w:id="5185" w:customMarkFollows="0"/>
      </w:r>
      <w:bookmarkEnd w:id="6777"/>
      <w:r>
        <w:rPr>
          <w:rtl/>
        </w:rPr>
        <w:t xml:space="preserve"> לעת זקנתו”. אחרי פטירת ר׳ </w:t>
      </w:r>
      <w:proofErr w:type="spellStart"/>
      <w:r>
        <w:rPr>
          <w:rtl/>
        </w:rPr>
        <w:t>דוד־טעביל</w:t>
      </w:r>
      <w:proofErr w:type="spellEnd"/>
      <w:r>
        <w:rPr>
          <w:rtl/>
        </w:rPr>
        <w:t xml:space="preserve"> </w:t>
      </w:r>
      <w:proofErr w:type="spellStart"/>
      <w:r>
        <w:rPr>
          <w:rtl/>
        </w:rPr>
        <w:t>בתרכ״א</w:t>
      </w:r>
      <w:proofErr w:type="spellEnd"/>
      <w:r>
        <w:rPr>
          <w:rtl/>
        </w:rPr>
        <w:t xml:space="preserve"> נותר כס הרבנות פנוי, הן מחמת הקושי האובייקטיבי למצוא ממלא מקום לגאון גדול כל כך, הן מפני שחתנו, ר׳ </w:t>
      </w:r>
      <w:proofErr w:type="spellStart"/>
      <w:r>
        <w:rPr>
          <w:rtl/>
        </w:rPr>
        <w:t>משה־יהודה־לייב</w:t>
      </w:r>
      <w:proofErr w:type="spellEnd"/>
      <w:r>
        <w:rPr>
          <w:rtl/>
        </w:rPr>
        <w:t xml:space="preserve"> </w:t>
      </w:r>
      <w:proofErr w:type="spellStart"/>
      <w:r>
        <w:rPr>
          <w:rtl/>
        </w:rPr>
        <w:t>הינדין</w:t>
      </w:r>
      <w:proofErr w:type="spellEnd"/>
      <w:r>
        <w:rPr>
          <w:rtl/>
        </w:rPr>
        <w:t xml:space="preserve">, ישב במינסק – רשמית רק </w:t>
      </w:r>
      <w:proofErr w:type="spellStart"/>
      <w:r>
        <w:rPr>
          <w:rtl/>
        </w:rPr>
        <w:t>מ״ץ</w:t>
      </w:r>
      <w:proofErr w:type="spellEnd"/>
      <w:r>
        <w:rPr>
          <w:rtl/>
        </w:rPr>
        <w:t xml:space="preserve">, אך </w:t>
      </w:r>
      <w:r>
        <w:rPr>
          <w:b/>
          <w:bCs/>
          <w:rtl/>
        </w:rPr>
        <w:t>למעשה</w:t>
      </w:r>
      <w:r>
        <w:rPr>
          <w:rtl/>
        </w:rPr>
        <w:t xml:space="preserve"> הרב בפועל של העיר</w:t>
      </w:r>
      <w:bookmarkStart w:id="6778" w:name="_fnr5172"/>
      <w:r>
        <w:rPr>
          <w:rStyle w:val="a5"/>
        </w:rPr>
        <w:footnoteReference w:id="5186" w:customMarkFollows="0"/>
      </w:r>
      <w:bookmarkEnd w:id="6778"/>
      <w:r>
        <w:rPr>
          <w:rtl/>
        </w:rPr>
        <w:t xml:space="preserve">. רק כשנעשה ר׳ </w:t>
      </w:r>
      <w:proofErr w:type="spellStart"/>
      <w:r>
        <w:rPr>
          <w:rtl/>
        </w:rPr>
        <w:t>משה־יהודה־לייב</w:t>
      </w:r>
      <w:proofErr w:type="spellEnd"/>
      <w:r>
        <w:rPr>
          <w:rtl/>
        </w:rPr>
        <w:t xml:space="preserve"> “זקן וחלש” נתמנה הרב פרלמן לרב, </w:t>
      </w:r>
      <w:proofErr w:type="spellStart"/>
      <w:r>
        <w:rPr>
          <w:rtl/>
        </w:rPr>
        <w:t>בתרמ״ג</w:t>
      </w:r>
      <w:bookmarkStart w:id="6779" w:name="_fnr5173"/>
      <w:proofErr w:type="spellEnd"/>
      <w:r>
        <w:rPr>
          <w:rStyle w:val="a5"/>
        </w:rPr>
        <w:footnoteReference w:id="5187" w:customMarkFollows="0"/>
      </w:r>
      <w:bookmarkEnd w:id="6779"/>
      <w:r>
        <w:rPr>
          <w:rtl/>
        </w:rPr>
        <w:t xml:space="preserve">. היו שסברו שאחרי פטירתו ראוי שהרבנות תחזור למשפחת ר׳ </w:t>
      </w:r>
      <w:proofErr w:type="spellStart"/>
      <w:r>
        <w:rPr>
          <w:rtl/>
        </w:rPr>
        <w:t>דוד־טעביל</w:t>
      </w:r>
      <w:proofErr w:type="spellEnd"/>
      <w:r>
        <w:rPr>
          <w:rtl/>
        </w:rPr>
        <w:t xml:space="preserve">, בייחוד מפני שבנו עצמו, ר׳ יצחק רבין, כבר גדל והיה מוכן לתפקיד. לכן, אפילו כשזכה ר׳ לייזר </w:t>
      </w:r>
      <w:proofErr w:type="spellStart"/>
      <w:r>
        <w:rPr>
          <w:rtl/>
        </w:rPr>
        <w:t>רבינוביץ</w:t>
      </w:r>
      <w:proofErr w:type="spellEnd"/>
      <w:r>
        <w:rPr>
          <w:rtl/>
        </w:rPr>
        <w:t xml:space="preserve"> ברבנות, נוצר בעיר תפקיד חדש </w:t>
      </w:r>
      <w:proofErr w:type="spellStart"/>
      <w:r>
        <w:rPr>
          <w:rtl/>
        </w:rPr>
        <w:t>לר</w:t>
      </w:r>
      <w:proofErr w:type="spellEnd"/>
      <w:r>
        <w:rPr>
          <w:rtl/>
        </w:rPr>
        <w:t>׳ יצחק: הוא נקרא “עוזר הרב”</w:t>
      </w:r>
      <w:bookmarkStart w:id="6780" w:name="_fnr5174"/>
      <w:r>
        <w:rPr>
          <w:rStyle w:val="a5"/>
        </w:rPr>
        <w:footnoteReference w:id="5188" w:customMarkFollows="0"/>
      </w:r>
      <w:bookmarkEnd w:id="6780"/>
      <w:r>
        <w:rPr>
          <w:rtl/>
        </w:rPr>
        <w:t>.</w:t>
      </w:r>
    </w:p>
    <w:p w14:paraId="5F6BA0C7" w14:textId="77777777" w:rsidR="00AB3647" w:rsidRDefault="00000000" w:rsidP="007923E9">
      <w:pPr>
        <w:spacing w:after="120" w:line="276" w:lineRule="auto"/>
        <w:ind w:firstLine="283"/>
        <w:jc w:val="both"/>
      </w:pPr>
      <w:r>
        <w:rPr>
          <w:rtl/>
        </w:rPr>
        <w:t xml:space="preserve">על לידת בנו של ר׳ </w:t>
      </w:r>
      <w:proofErr w:type="spellStart"/>
      <w:r>
        <w:rPr>
          <w:rtl/>
        </w:rPr>
        <w:t>דוד־טעביל</w:t>
      </w:r>
      <w:proofErr w:type="spellEnd"/>
      <w:r>
        <w:rPr>
          <w:rtl/>
        </w:rPr>
        <w:t xml:space="preserve"> השווה את הסכמתו של ר׳ </w:t>
      </w:r>
      <w:proofErr w:type="spellStart"/>
      <w:r>
        <w:rPr>
          <w:rtl/>
        </w:rPr>
        <w:t>משה־יהודה־לייב</w:t>
      </w:r>
      <w:proofErr w:type="spellEnd"/>
      <w:r>
        <w:rPr>
          <w:rtl/>
        </w:rPr>
        <w:t xml:space="preserve"> </w:t>
      </w:r>
      <w:proofErr w:type="spellStart"/>
      <w:r>
        <w:rPr>
          <w:rtl/>
        </w:rPr>
        <w:t>הינדין</w:t>
      </w:r>
      <w:proofErr w:type="spellEnd"/>
      <w:r>
        <w:rPr>
          <w:rtl/>
        </w:rPr>
        <w:t xml:space="preserve"> </w:t>
      </w:r>
      <w:proofErr w:type="spellStart"/>
      <w:r>
        <w:rPr>
          <w:rtl/>
        </w:rPr>
        <w:t>בתרמ״ו</w:t>
      </w:r>
      <w:proofErr w:type="spellEnd"/>
      <w:r>
        <w:rPr>
          <w:rtl/>
        </w:rPr>
        <w:t xml:space="preserve"> </w:t>
      </w:r>
      <w:proofErr w:type="spellStart"/>
      <w:r>
        <w:rPr>
          <w:rtl/>
        </w:rPr>
        <w:t>ל“נחלת</w:t>
      </w:r>
      <w:proofErr w:type="spellEnd"/>
      <w:r>
        <w:rPr>
          <w:rtl/>
        </w:rPr>
        <w:t xml:space="preserve"> דוד על הש״ס”</w:t>
      </w:r>
      <w:bookmarkStart w:id="6781" w:name="_fnr5175"/>
      <w:r>
        <w:rPr>
          <w:rStyle w:val="a5"/>
        </w:rPr>
        <w:footnoteReference w:id="5189" w:customMarkFollows="0"/>
      </w:r>
      <w:bookmarkEnd w:id="6781"/>
      <w:r>
        <w:rPr>
          <w:rtl/>
        </w:rPr>
        <w:t xml:space="preserve">. ההסכמה מופנית </w:t>
      </w:r>
      <w:proofErr w:type="spellStart"/>
      <w:r>
        <w:rPr>
          <w:rtl/>
        </w:rPr>
        <w:t>לר</w:t>
      </w:r>
      <w:proofErr w:type="spellEnd"/>
      <w:r>
        <w:rPr>
          <w:rtl/>
        </w:rPr>
        <w:t xml:space="preserve">׳ יצחק, שעמד להדפיס כמה מחידושי אביו, ובה הרב </w:t>
      </w:r>
      <w:proofErr w:type="spellStart"/>
      <w:r>
        <w:rPr>
          <w:rtl/>
        </w:rPr>
        <w:t>הינדין</w:t>
      </w:r>
      <w:proofErr w:type="spellEnd"/>
      <w:r>
        <w:rPr>
          <w:rtl/>
        </w:rPr>
        <w:t xml:space="preserve"> “מודה לה׳ שנתן לחותנו בן </w:t>
      </w:r>
      <w:r>
        <w:rPr>
          <w:b/>
          <w:bCs/>
          <w:rtl/>
        </w:rPr>
        <w:t>לעת זקנתו</w:t>
      </w:r>
      <w:r>
        <w:rPr>
          <w:rtl/>
        </w:rPr>
        <w:t xml:space="preserve">, שיכול לקבל עליו הוצאה כזאת </w:t>
      </w:r>
      <w:r>
        <w:rPr>
          <w:rtl/>
        </w:rPr>
        <w:lastRenderedPageBreak/>
        <w:t>לאור”. לפי מה שסיפר רבנו על לידת ר׳ יצחק (ראה להלן), היה ר׳ יצחק בן עשרים ושבע בשעת ההדפסה. השווה גם “דרשות בית דוד”</w:t>
      </w:r>
      <w:bookmarkStart w:id="6782" w:name="_fnr5176"/>
      <w:r>
        <w:rPr>
          <w:rStyle w:val="a5"/>
        </w:rPr>
        <w:footnoteReference w:id="5190" w:customMarkFollows="0"/>
      </w:r>
      <w:bookmarkEnd w:id="6782"/>
      <w:r>
        <w:rPr>
          <w:rtl/>
        </w:rPr>
        <w:t xml:space="preserve">, המצטט את מחבר “נחלת דוד”: “אם חלילה לא אזכה בעצמי להביא את שאר חידושיי על מזבח הדפוס, תקוותי [אמונתי] בה׳ הטוב בטוחה שבניי – </w:t>
      </w:r>
      <w:r>
        <w:rPr>
          <w:b/>
          <w:bCs/>
          <w:rtl/>
        </w:rPr>
        <w:t>שהם</w:t>
      </w:r>
      <w:r>
        <w:rPr>
          <w:rtl/>
        </w:rPr>
        <w:t xml:space="preserve"> (ההדגשה שלי) חתניי הרבנים – ישתדלו בעזרת ה׳ להוציא לאור עולם את פרי רעיון זה”. מנוסח זה ברור שלא היו לו בנים, וכבר לא ציפה שייוולדו לו.</w:t>
      </w:r>
    </w:p>
    <w:p w14:paraId="3F03EB9A" w14:textId="77777777" w:rsidR="00AB3647" w:rsidRDefault="00000000" w:rsidP="007923E9">
      <w:pPr>
        <w:spacing w:after="120" w:line="276" w:lineRule="auto"/>
        <w:ind w:firstLine="283"/>
        <w:jc w:val="both"/>
      </w:pPr>
      <w:r>
        <w:rPr>
          <w:rtl/>
        </w:rPr>
        <w:t>על הולדתו הבלתי צפויה של ר׳ יצחק לעת זקנה סיפר רבנו לנכדו ר׳ יוסף</w:t>
      </w:r>
      <w:bookmarkStart w:id="6783" w:name="_fnr5177"/>
      <w:r>
        <w:rPr>
          <w:rStyle w:val="a5"/>
        </w:rPr>
        <w:footnoteReference w:id="5191" w:customMarkFollows="0"/>
      </w:r>
      <w:bookmarkEnd w:id="6783"/>
      <w:r>
        <w:rPr>
          <w:rtl/>
        </w:rPr>
        <w:t xml:space="preserve">: “ר׳ </w:t>
      </w:r>
      <w:proofErr w:type="spellStart"/>
      <w:r>
        <w:rPr>
          <w:rtl/>
        </w:rPr>
        <w:t>דוד־טעביל</w:t>
      </w:r>
      <w:proofErr w:type="spellEnd"/>
      <w:r>
        <w:rPr>
          <w:rtl/>
        </w:rPr>
        <w:t xml:space="preserve"> היה בן שבעים כשמתה אשתו, ולא היו לו אלא בנות. הוא החליט להינשא שנית, שמא עוד יזכה בבן. אך היכן ימצא צעירה שתסכים להינשא לו? אז הגיעה הצעה מאחת העיירות שסביב מינסק. הוא לקח עמו את השמש שלו, ולפי המנהג בימים ההם, שבני הזוג לא נפגשו ממש, הכניסה האישה מגש ועליו תה וריבות. ר׳ </w:t>
      </w:r>
      <w:proofErr w:type="spellStart"/>
      <w:r>
        <w:rPr>
          <w:rtl/>
        </w:rPr>
        <w:t>דוד־טעביל</w:t>
      </w:r>
      <w:proofErr w:type="spellEnd"/>
      <w:r>
        <w:rPr>
          <w:rtl/>
        </w:rPr>
        <w:t xml:space="preserve"> ראה מיד שהיא מפגרת במקצת, והקיש על הקרקע במקל הרבני שלו ואמר לשמש: ‘נו, בוא נלך’. אך השמש אמר: ‘רבי, יאמרו שפסלת בת ישראל כפסולת [</w:t>
      </w:r>
      <w:proofErr w:type="spellStart"/>
      <w:r>
        <w:rPr>
          <w:rtl/>
        </w:rPr>
        <w:t>בראקירט</w:t>
      </w:r>
      <w:proofErr w:type="spellEnd"/>
      <w:r>
        <w:rPr>
          <w:rtl/>
        </w:rPr>
        <w:t xml:space="preserve"> א בת ישראל]’. הוא הרהר רגע ואמר: ‘כן, צודק אתה; אגמור את השידוך’. כעבור שנה ילדה בן, ור׳ </w:t>
      </w:r>
      <w:proofErr w:type="spellStart"/>
      <w:r>
        <w:rPr>
          <w:rtl/>
        </w:rPr>
        <w:t>דוד־טעביל</w:t>
      </w:r>
      <w:proofErr w:type="spellEnd"/>
      <w:r>
        <w:rPr>
          <w:rtl/>
        </w:rPr>
        <w:t xml:space="preserve"> נפטר כשהילד היה בן שנתיים.”</w:t>
      </w:r>
    </w:p>
    <w:p w14:paraId="14724FB6" w14:textId="77777777" w:rsidR="00AB3647" w:rsidRDefault="00000000" w:rsidP="007923E9">
      <w:pPr>
        <w:spacing w:after="120" w:line="276" w:lineRule="auto"/>
        <w:ind w:firstLine="283"/>
        <w:jc w:val="both"/>
      </w:pPr>
      <w:r>
        <w:rPr>
          <w:rtl/>
        </w:rPr>
        <w:t xml:space="preserve">ר׳ חיים אומנם הצליח במאמצו הפסיבי להושיב את חתנו של </w:t>
      </w:r>
      <w:proofErr w:type="spellStart"/>
      <w:r>
        <w:rPr>
          <w:rtl/>
        </w:rPr>
        <w:t>ה“גדול</w:t>
      </w:r>
      <w:proofErr w:type="spellEnd"/>
      <w:r>
        <w:rPr>
          <w:rtl/>
        </w:rPr>
        <w:t xml:space="preserve">” במינסק – “הגדול ממינסק” כותב, כמובא לעיל, שר׳ חיים </w:t>
      </w:r>
      <w:proofErr w:type="spellStart"/>
      <w:r>
        <w:rPr>
          <w:rtl/>
        </w:rPr>
        <w:t>סולובייצ׳יק</w:t>
      </w:r>
      <w:proofErr w:type="spellEnd"/>
      <w:r>
        <w:rPr>
          <w:rtl/>
        </w:rPr>
        <w:t xml:space="preserve"> “לא עשה דבר ממשי”, אך “נוכחותו ומעמדו של איש גדול זה (ר׳ חיים) הביאו תועלת רבה” בהשגת הרבנות </w:t>
      </w:r>
      <w:proofErr w:type="spellStart"/>
      <w:r>
        <w:rPr>
          <w:rtl/>
        </w:rPr>
        <w:t>לר</w:t>
      </w:r>
      <w:proofErr w:type="spellEnd"/>
      <w:r>
        <w:rPr>
          <w:rtl/>
        </w:rPr>
        <w:t xml:space="preserve">׳ לייזר </w:t>
      </w:r>
      <w:proofErr w:type="spellStart"/>
      <w:r>
        <w:rPr>
          <w:rtl/>
        </w:rPr>
        <w:t>רבינוביץ</w:t>
      </w:r>
      <w:proofErr w:type="spellEnd"/>
      <w:r>
        <w:rPr>
          <w:rtl/>
        </w:rPr>
        <w:t xml:space="preserve">. אבל ראוי לציין שכעבור שמונה שנים, כשכבר שימש </w:t>
      </w:r>
      <w:proofErr w:type="spellStart"/>
      <w:r>
        <w:rPr>
          <w:rtl/>
        </w:rPr>
        <w:t>שתים־עשרה</w:t>
      </w:r>
      <w:proofErr w:type="spellEnd"/>
      <w:r>
        <w:rPr>
          <w:rtl/>
        </w:rPr>
        <w:t xml:space="preserve"> שנה רבה המפורסם של </w:t>
      </w:r>
      <w:proofErr w:type="spellStart"/>
      <w:r>
        <w:rPr>
          <w:rtl/>
        </w:rPr>
        <w:t>בריסק</w:t>
      </w:r>
      <w:proofErr w:type="spellEnd"/>
      <w:r>
        <w:rPr>
          <w:rtl/>
        </w:rPr>
        <w:t xml:space="preserve">, נכשל ר׳ חיים בניסיונו להפעיל את השפעתו במכתבים, כדי שר׳ </w:t>
      </w:r>
      <w:proofErr w:type="spellStart"/>
      <w:r>
        <w:rPr>
          <w:rtl/>
        </w:rPr>
        <w:t>יעקב־דוד</w:t>
      </w:r>
      <w:proofErr w:type="spellEnd"/>
      <w:r>
        <w:rPr>
          <w:rtl/>
        </w:rPr>
        <w:t xml:space="preserve"> רפפורט, רבה של </w:t>
      </w:r>
      <w:proofErr w:type="spellStart"/>
      <w:r>
        <w:rPr>
          <w:rtl/>
        </w:rPr>
        <w:t>זיימל</w:t>
      </w:r>
      <w:proofErr w:type="spellEnd"/>
      <w:r>
        <w:rPr>
          <w:rtl/>
        </w:rPr>
        <w:t xml:space="preserve">, יתמנה לממלא מקום חותנו, ר׳ </w:t>
      </w:r>
      <w:proofErr w:type="spellStart"/>
      <w:r>
        <w:rPr>
          <w:rtl/>
        </w:rPr>
        <w:t>יוסף־זכריה</w:t>
      </w:r>
      <w:proofErr w:type="spellEnd"/>
      <w:r>
        <w:rPr>
          <w:rtl/>
        </w:rPr>
        <w:t xml:space="preserve"> שטרן, ברבנות שאוול</w:t>
      </w:r>
      <w:bookmarkStart w:id="6784" w:name="_fnr5178"/>
      <w:r>
        <w:rPr>
          <w:rStyle w:val="a5"/>
        </w:rPr>
        <w:footnoteReference w:id="5192" w:customMarkFollows="0"/>
      </w:r>
      <w:bookmarkEnd w:id="6784"/>
      <w:r>
        <w:rPr>
          <w:rtl/>
        </w:rPr>
        <w:t xml:space="preserve">. אולם שאוול הייתה קשורה </w:t>
      </w:r>
      <w:proofErr w:type="spellStart"/>
      <w:r>
        <w:rPr>
          <w:rtl/>
        </w:rPr>
        <w:t>לבריסק</w:t>
      </w:r>
      <w:proofErr w:type="spellEnd"/>
      <w:r>
        <w:rPr>
          <w:rtl/>
        </w:rPr>
        <w:t xml:space="preserve"> פחות ישירות ממינסק, ורחוקה ממנה מעט יותר, ולכן הייתה פחות נוחה להשפעתו של ר׳ חיים.</w:t>
      </w:r>
    </w:p>
    <w:p w14:paraId="0068A7A7" w14:textId="3C6FD247" w:rsidR="00AB3647" w:rsidRDefault="00000000" w:rsidP="007923E9">
      <w:pPr>
        <w:spacing w:after="120" w:line="276" w:lineRule="auto"/>
        <w:ind w:firstLine="283"/>
        <w:jc w:val="both"/>
      </w:pPr>
      <w:r>
        <w:rPr>
          <w:rtl/>
        </w:rPr>
        <w:t>במקרה אחר, ב</w:t>
      </w:r>
      <w:r>
        <w:rPr>
          <w:b/>
          <w:bCs/>
          <w:rtl/>
        </w:rPr>
        <w:t>תחילת</w:t>
      </w:r>
      <w:r>
        <w:rPr>
          <w:rtl/>
        </w:rPr>
        <w:t xml:space="preserve"> דרכו ברבנות, הצליח ר׳ חיים יותר: שנתיים אחרי שנעשה רבה של </w:t>
      </w:r>
      <w:proofErr w:type="spellStart"/>
      <w:r>
        <w:rPr>
          <w:rtl/>
        </w:rPr>
        <w:t>בריסק</w:t>
      </w:r>
      <w:proofErr w:type="spellEnd"/>
      <w:r>
        <w:rPr>
          <w:rtl/>
        </w:rPr>
        <w:t xml:space="preserve"> נסע </w:t>
      </w:r>
      <w:proofErr w:type="spellStart"/>
      <w:r>
        <w:rPr>
          <w:rtl/>
        </w:rPr>
        <w:t>למזריטש</w:t>
      </w:r>
      <w:proofErr w:type="spellEnd"/>
      <w:r>
        <w:rPr>
          <w:rtl/>
        </w:rPr>
        <w:t xml:space="preserve">, כדי לוודא שרבה של קונסטנטין, בנו של הרב הנפטר ר׳ </w:t>
      </w:r>
      <w:proofErr w:type="spellStart"/>
      <w:r>
        <w:rPr>
          <w:rtl/>
        </w:rPr>
        <w:t>ישראל־איסר</w:t>
      </w:r>
      <w:proofErr w:type="spellEnd"/>
      <w:r>
        <w:rPr>
          <w:rtl/>
        </w:rPr>
        <w:t xml:space="preserve"> שפירא (אחד משני </w:t>
      </w:r>
      <w:proofErr w:type="spellStart"/>
      <w:r>
        <w:rPr>
          <w:rtl/>
        </w:rPr>
        <w:t>מסמיכיו</w:t>
      </w:r>
      <w:proofErr w:type="spellEnd"/>
      <w:r>
        <w:rPr>
          <w:rtl/>
        </w:rPr>
        <w:t>, כאמור לעיל), יתקבל שם, ולא ר׳ חיים ברלין – דודו של ר׳ חיים עצמו</w:t>
      </w:r>
      <w:bookmarkStart w:id="6785" w:name="_fnr5179"/>
      <w:r>
        <w:rPr>
          <w:rStyle w:val="a5"/>
        </w:rPr>
        <w:footnoteReference w:id="5193" w:customMarkFollows="0"/>
      </w:r>
      <w:bookmarkEnd w:id="6785"/>
      <w:r>
        <w:rPr>
          <w:rtl/>
        </w:rPr>
        <w:t xml:space="preserve">! ראה ספר </w:t>
      </w:r>
      <w:proofErr w:type="spellStart"/>
      <w:r>
        <w:rPr>
          <w:rtl/>
        </w:rPr>
        <w:t>מזריטש</w:t>
      </w:r>
      <w:bookmarkStart w:id="6786" w:name="_fnr5180"/>
      <w:proofErr w:type="spellEnd"/>
      <w:r>
        <w:rPr>
          <w:rStyle w:val="a5"/>
        </w:rPr>
        <w:footnoteReference w:id="5194" w:customMarkFollows="0"/>
      </w:r>
      <w:bookmarkEnd w:id="6786"/>
      <w:r>
        <w:rPr>
          <w:rtl/>
        </w:rPr>
        <w:t xml:space="preserve">: בהלוויית ר׳ </w:t>
      </w:r>
      <w:proofErr w:type="spellStart"/>
      <w:r>
        <w:rPr>
          <w:rtl/>
        </w:rPr>
        <w:t>ישראל־איסר</w:t>
      </w:r>
      <w:proofErr w:type="spellEnd"/>
      <w:r>
        <w:rPr>
          <w:rtl/>
        </w:rPr>
        <w:t xml:space="preserve">, ר׳ חיים, שבין “הרבנים שבאו מקרוב ומרחוק היה אחד המספידים הראשיים... השמיע נימה שעוררה מיד את שאלת הירושה, והוא </w:t>
      </w:r>
      <w:r>
        <w:rPr>
          <w:b/>
          <w:bCs/>
          <w:rtl/>
        </w:rPr>
        <w:t>ייעץ</w:t>
      </w:r>
      <w:r>
        <w:rPr>
          <w:rtl/>
        </w:rPr>
        <w:t xml:space="preserve"> (ההדגשה שלי) לקבל את בן הנפטר”. ר׳ חיים ניסה לחזור על מה שהתרחש אצלו </w:t>
      </w:r>
      <w:proofErr w:type="spellStart"/>
      <w:r>
        <w:rPr>
          <w:rtl/>
        </w:rPr>
        <w:t>בבריסק</w:t>
      </w:r>
      <w:proofErr w:type="spellEnd"/>
      <w:r>
        <w:rPr>
          <w:rtl/>
        </w:rPr>
        <w:t xml:space="preserve"> – בן רב שנבחר ליורש בהלוויית אביו, או סמוך לאחריה. ואף ש</w:t>
      </w:r>
      <w:r>
        <w:rPr>
          <w:b/>
          <w:bCs/>
          <w:rtl/>
        </w:rPr>
        <w:t>עצה</w:t>
      </w:r>
      <w:r>
        <w:rPr>
          <w:rtl/>
        </w:rPr>
        <w:t xml:space="preserve"> זו לא נתקבלה, הביא ר׳ חיים אחר כך את המינוי לידי גמר בהצלחה. השווה גם </w:t>
      </w:r>
      <w:r>
        <w:rPr>
          <w:rtl/>
        </w:rPr>
        <w:fldChar w:fldCharType="begin" w:dirty="true"/>
      </w:r>
      <w:r>
        <w:rPr>
          <w:rtl/>
        </w:rPr>
        <w:instrText xml:space="preserve"> REF b5_excJ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w:t>
      </w:r>
      <w:r>
        <w:rPr>
          <w:rtl/>
        </w:rPr>
        <w:fldChar w:fldCharType="end"/>
      </w:r>
      <w:r>
        <w:rPr>
          <w:rtl/>
        </w:rPr>
        <w:t xml:space="preserve"> להלן, ששם מיוחסת </w:t>
      </w:r>
      <w:proofErr w:type="spellStart"/>
      <w:r>
        <w:rPr>
          <w:rtl/>
        </w:rPr>
        <w:t>לר</w:t>
      </w:r>
      <w:proofErr w:type="spellEnd"/>
      <w:r>
        <w:rPr>
          <w:rtl/>
        </w:rPr>
        <w:t>׳ חיים מלוא הזכות להשגת המינוי.</w:t>
      </w:r>
    </w:p>
    <w:p w14:paraId="49F45D6D" w14:textId="77777777" w:rsidR="00AB3647" w:rsidRDefault="00000000" w:rsidP="007923E9">
      <w:pPr>
        <w:spacing w:after="120" w:line="276" w:lineRule="auto"/>
        <w:ind w:firstLine="283"/>
        <w:jc w:val="both"/>
      </w:pPr>
      <w:r>
        <w:rPr>
          <w:rtl/>
        </w:rPr>
        <w:lastRenderedPageBreak/>
        <w:t xml:space="preserve">מקרה נוסף שבו התחשבו ר׳ חיים ור׳ לייזר </w:t>
      </w:r>
      <w:proofErr w:type="spellStart"/>
      <w:r>
        <w:rPr>
          <w:rtl/>
        </w:rPr>
        <w:t>רבינוביץ</w:t>
      </w:r>
      <w:proofErr w:type="spellEnd"/>
      <w:r>
        <w:rPr>
          <w:rtl/>
        </w:rPr>
        <w:t xml:space="preserve"> יחד במשפחתו של רב שנפטר מתגלה </w:t>
      </w:r>
      <w:proofErr w:type="spellStart"/>
      <w:r>
        <w:rPr>
          <w:rtl/>
        </w:rPr>
        <w:t>ב“שמושה</w:t>
      </w:r>
      <w:proofErr w:type="spellEnd"/>
      <w:r>
        <w:rPr>
          <w:rtl/>
        </w:rPr>
        <w:t xml:space="preserve"> של תורה”</w:t>
      </w:r>
      <w:bookmarkStart w:id="6787" w:name="_fnr5181"/>
      <w:r>
        <w:rPr>
          <w:rStyle w:val="a5"/>
        </w:rPr>
        <w:footnoteReference w:id="5195" w:customMarkFollows="0"/>
      </w:r>
      <w:bookmarkEnd w:id="6787"/>
      <w:r>
        <w:rPr>
          <w:rtl/>
        </w:rPr>
        <w:t xml:space="preserve">, המספר כיצד נסעו </w:t>
      </w:r>
      <w:proofErr w:type="spellStart"/>
      <w:r>
        <w:rPr>
          <w:rtl/>
        </w:rPr>
        <w:t>לפינסק</w:t>
      </w:r>
      <w:proofErr w:type="spellEnd"/>
      <w:r>
        <w:rPr>
          <w:rtl/>
        </w:rPr>
        <w:t xml:space="preserve"> אחרי פטירת ר׳ הירש הכהן </w:t>
      </w:r>
      <w:proofErr w:type="spellStart"/>
      <w:r>
        <w:rPr>
          <w:rtl/>
        </w:rPr>
        <w:t>וולק</w:t>
      </w:r>
      <w:proofErr w:type="spellEnd"/>
      <w:r>
        <w:rPr>
          <w:rtl/>
        </w:rPr>
        <w:t xml:space="preserve"> כדי לארגן “מעמד” קבוע לפרנסת אלמנתו הרבנית. הרבנים שטרן </w:t>
      </w:r>
      <w:proofErr w:type="spellStart"/>
      <w:r>
        <w:rPr>
          <w:rtl/>
        </w:rPr>
        <w:t>וולק</w:t>
      </w:r>
      <w:proofErr w:type="spellEnd"/>
      <w:r>
        <w:rPr>
          <w:rtl/>
        </w:rPr>
        <w:t xml:space="preserve"> היו גיסים: שניהם נשאו את בנות ר׳ </w:t>
      </w:r>
      <w:proofErr w:type="spellStart"/>
      <w:r>
        <w:rPr>
          <w:rtl/>
        </w:rPr>
        <w:t>מרדכי־גימפל</w:t>
      </w:r>
      <w:proofErr w:type="spellEnd"/>
      <w:r>
        <w:rPr>
          <w:rtl/>
        </w:rPr>
        <w:t xml:space="preserve"> יפה.</w:t>
      </w:r>
    </w:p>
    <w:p w14:paraId="3EB0FB70" w14:textId="77777777" w:rsidR="00AB3647" w:rsidRDefault="00000000" w:rsidP="007923E9">
      <w:pPr>
        <w:spacing w:after="120" w:line="276" w:lineRule="auto"/>
        <w:ind w:firstLine="283"/>
        <w:jc w:val="both"/>
      </w:pPr>
      <w:r>
        <w:rPr>
          <w:rtl/>
        </w:rPr>
        <w:t>יש לציין גם שלפי “אלה אזכרה”</w:t>
      </w:r>
      <w:bookmarkStart w:id="6788" w:name="_fnr5182"/>
      <w:r>
        <w:rPr>
          <w:rStyle w:val="a5"/>
        </w:rPr>
        <w:footnoteReference w:id="5196" w:customMarkFollows="0"/>
      </w:r>
      <w:bookmarkEnd w:id="6788"/>
      <w:r>
        <w:rPr>
          <w:rtl/>
        </w:rPr>
        <w:t xml:space="preserve">, ר׳ לייזר </w:t>
      </w:r>
      <w:proofErr w:type="spellStart"/>
      <w:r>
        <w:rPr>
          <w:rtl/>
        </w:rPr>
        <w:t>רבינוביץ</w:t>
      </w:r>
      <w:proofErr w:type="spellEnd"/>
      <w:r>
        <w:rPr>
          <w:rtl/>
        </w:rPr>
        <w:t xml:space="preserve">, חתנו של </w:t>
      </w:r>
      <w:proofErr w:type="spellStart"/>
      <w:r>
        <w:rPr>
          <w:rtl/>
        </w:rPr>
        <w:t>ה“גדול</w:t>
      </w:r>
      <w:proofErr w:type="spellEnd"/>
      <w:r>
        <w:rPr>
          <w:rtl/>
        </w:rPr>
        <w:t xml:space="preserve">” – </w:t>
      </w:r>
      <w:proofErr w:type="spellStart"/>
      <w:r>
        <w:rPr>
          <w:rtl/>
        </w:rPr>
        <w:t>וה“גדול</w:t>
      </w:r>
      <w:proofErr w:type="spellEnd"/>
      <w:r>
        <w:rPr>
          <w:rtl/>
        </w:rPr>
        <w:t xml:space="preserve">”, לפי המסופר, לא הסכים לנוהג כזה – מינה את ר׳ </w:t>
      </w:r>
      <w:proofErr w:type="spellStart"/>
      <w:r>
        <w:rPr>
          <w:rtl/>
        </w:rPr>
        <w:t>אברהם־צבי</w:t>
      </w:r>
      <w:proofErr w:type="spellEnd"/>
      <w:r>
        <w:rPr>
          <w:rtl/>
        </w:rPr>
        <w:t xml:space="preserve"> קמאי לרבה של </w:t>
      </w:r>
      <w:proofErr w:type="spellStart"/>
      <w:r>
        <w:rPr>
          <w:rtl/>
        </w:rPr>
        <w:t>מיר</w:t>
      </w:r>
      <w:proofErr w:type="spellEnd"/>
      <w:r>
        <w:rPr>
          <w:rtl/>
        </w:rPr>
        <w:t xml:space="preserve"> במקום אביו, ר׳ </w:t>
      </w:r>
      <w:proofErr w:type="spellStart"/>
      <w:r>
        <w:rPr>
          <w:rtl/>
        </w:rPr>
        <w:t>אלי׳־ברוך</w:t>
      </w:r>
      <w:proofErr w:type="spellEnd"/>
      <w:r>
        <w:rPr>
          <w:rtl/>
        </w:rPr>
        <w:t xml:space="preserve">, </w:t>
      </w:r>
      <w:r>
        <w:rPr>
          <w:b/>
          <w:bCs/>
          <w:rtl/>
        </w:rPr>
        <w:t>בהלווייתו</w:t>
      </w:r>
      <w:r>
        <w:rPr>
          <w:rtl/>
        </w:rPr>
        <w:t xml:space="preserve">. ר׳ </w:t>
      </w:r>
      <w:proofErr w:type="spellStart"/>
      <w:r>
        <w:rPr>
          <w:rtl/>
        </w:rPr>
        <w:t>אלי׳־ברוך</w:t>
      </w:r>
      <w:proofErr w:type="spellEnd"/>
      <w:r>
        <w:rPr>
          <w:rtl/>
        </w:rPr>
        <w:t xml:space="preserve"> נפטר במינסק בזמן מלחמת העולם, כששהו בה אלפי פליטים, ובהם רבים ממיר, וכן ר׳ חיים </w:t>
      </w:r>
      <w:proofErr w:type="spellStart"/>
      <w:r>
        <w:rPr>
          <w:rtl/>
        </w:rPr>
        <w:t>סולובייצ׳יק</w:t>
      </w:r>
      <w:proofErr w:type="spellEnd"/>
      <w:r>
        <w:rPr>
          <w:rtl/>
        </w:rPr>
        <w:t xml:space="preserve"> </w:t>
      </w:r>
      <w:proofErr w:type="spellStart"/>
      <w:r>
        <w:rPr>
          <w:rtl/>
        </w:rPr>
        <w:t>מבריסק</w:t>
      </w:r>
      <w:proofErr w:type="spellEnd"/>
      <w:r>
        <w:rPr>
          <w:rtl/>
        </w:rPr>
        <w:t xml:space="preserve"> וחותנו, ר׳ רפאל שפירא </w:t>
      </w:r>
      <w:proofErr w:type="spellStart"/>
      <w:r>
        <w:rPr>
          <w:rtl/>
        </w:rPr>
        <w:t>מוולוז׳ין</w:t>
      </w:r>
      <w:proofErr w:type="spellEnd"/>
      <w:r>
        <w:rPr>
          <w:rtl/>
        </w:rPr>
        <w:t xml:space="preserve">. “אלה אזכרה” מספר: “בהלוויית ר׳ </w:t>
      </w:r>
      <w:proofErr w:type="spellStart"/>
      <w:r>
        <w:rPr>
          <w:rtl/>
        </w:rPr>
        <w:t>אלי׳־ברוך</w:t>
      </w:r>
      <w:proofErr w:type="spellEnd"/>
      <w:r>
        <w:rPr>
          <w:rtl/>
        </w:rPr>
        <w:t xml:space="preserve">, שבה השתתפו רבבות יהודים... בנוכחות ההמון הרב, </w:t>
      </w:r>
      <w:r>
        <w:rPr>
          <w:b/>
          <w:bCs/>
          <w:rtl/>
        </w:rPr>
        <w:t>ובהסכמת כל גדולי הדור</w:t>
      </w:r>
      <w:r>
        <w:rPr>
          <w:rtl/>
        </w:rPr>
        <w:t xml:space="preserve"> (ההדגשה שלי) וקהל [גולי] </w:t>
      </w:r>
      <w:proofErr w:type="spellStart"/>
      <w:r>
        <w:rPr>
          <w:rtl/>
        </w:rPr>
        <w:t>מיר</w:t>
      </w:r>
      <w:proofErr w:type="spellEnd"/>
      <w:r>
        <w:rPr>
          <w:rtl/>
        </w:rPr>
        <w:t xml:space="preserve">, הכריז ר׳ לייזר </w:t>
      </w:r>
      <w:proofErr w:type="spellStart"/>
      <w:r>
        <w:rPr>
          <w:rtl/>
        </w:rPr>
        <w:t>רבינוביץ</w:t>
      </w:r>
      <w:proofErr w:type="spellEnd"/>
      <w:r>
        <w:rPr>
          <w:rtl/>
        </w:rPr>
        <w:t xml:space="preserve">, רבה של מינסק: ‘לפנינו עומד “ר׳ </w:t>
      </w:r>
      <w:proofErr w:type="spellStart"/>
      <w:r>
        <w:rPr>
          <w:rtl/>
        </w:rPr>
        <w:t>אלי׳־ברוך</w:t>
      </w:r>
      <w:proofErr w:type="spellEnd"/>
      <w:r>
        <w:rPr>
          <w:rtl/>
        </w:rPr>
        <w:t xml:space="preserve">” חי, אבל צעיר בשלושים שנה מר׳ </w:t>
      </w:r>
      <w:proofErr w:type="spellStart"/>
      <w:r>
        <w:rPr>
          <w:rtl/>
        </w:rPr>
        <w:t>אלי׳־ברוך</w:t>
      </w:r>
      <w:proofErr w:type="spellEnd"/>
      <w:r>
        <w:rPr>
          <w:rtl/>
        </w:rPr>
        <w:t xml:space="preserve"> שנפטר’. (בהספד רווי הדמעות של ר׳ </w:t>
      </w:r>
      <w:proofErr w:type="spellStart"/>
      <w:r>
        <w:rPr>
          <w:rtl/>
        </w:rPr>
        <w:t>אברהם־צבי</w:t>
      </w:r>
      <w:proofErr w:type="spellEnd"/>
      <w:r>
        <w:rPr>
          <w:rtl/>
        </w:rPr>
        <w:t xml:space="preserve"> שבא אחר כך, ניסה ‘להפריך בכל כוחו’ את דברי רבה של מינסק, באומרו שאין שום דמיון והשוואה בינו לבין אביו הגדול ממנו הרבה.)” המילים המודגשות מורות שר׳ חיים – כמו במקרים האחרים שתוארו לעיל – הסכים להכתרת רבנים בהלוויות; לא יהיה מפתיע אם אף יזם את המעשה לטובת ר׳ </w:t>
      </w:r>
      <w:proofErr w:type="spellStart"/>
      <w:r>
        <w:rPr>
          <w:rtl/>
        </w:rPr>
        <w:t>אברהם־צבי</w:t>
      </w:r>
      <w:proofErr w:type="spellEnd"/>
      <w:r>
        <w:rPr>
          <w:rtl/>
        </w:rPr>
        <w:t xml:space="preserve"> קמאי.</w:t>
      </w:r>
    </w:p>
    <w:p w14:paraId="26AABB93" w14:textId="77777777" w:rsidR="00AB3647" w:rsidRDefault="00000000" w:rsidP="007923E9">
      <w:pPr>
        <w:pStyle w:val="4"/>
        <w:spacing w:line="276" w:lineRule="auto"/>
      </w:pPr>
      <w:r>
        <w:t>· הפסקה השישית ·</w:t>
      </w:r>
    </w:p>
    <w:p w14:paraId="7EEABF9B" w14:textId="77777777" w:rsidR="00AB3647" w:rsidRDefault="00000000" w:rsidP="007923E9">
      <w:pPr>
        <w:pStyle w:val="5"/>
        <w:spacing w:line="276" w:lineRule="auto"/>
      </w:pPr>
      <w:r>
        <w:t xml:space="preserve">ר׳ חיים מסביר כיצד אביו, ר׳ יוסף־דב, יכול לעמוד על מחשבתו – </w:t>
      </w:r>
      <w:proofErr w:type="spellStart"/>
      <w:r>
        <w:t>לר</w:t>
      </w:r>
      <w:proofErr w:type="spellEnd"/>
      <w:r>
        <w:t xml:space="preserve">׳ </w:t>
      </w:r>
      <w:proofErr w:type="spellStart"/>
      <w:r>
        <w:t>יהושע־לייב</w:t>
      </w:r>
      <w:proofErr w:type="spellEnd"/>
      <w:r>
        <w:t xml:space="preserve"> דיסקין כישרון דומה</w:t>
      </w:r>
    </w:p>
    <w:p w14:paraId="0EC588E9" w14:textId="77777777" w:rsidR="00AB3647" w:rsidRDefault="00000000" w:rsidP="007923E9">
      <w:pPr>
        <w:spacing w:after="120" w:line="276" w:lineRule="auto"/>
        <w:ind w:firstLine="283"/>
        <w:jc w:val="both"/>
      </w:pPr>
      <w:r>
        <w:rPr>
          <w:rtl/>
        </w:rPr>
        <w:t xml:space="preserve">על יכולתו של ר׳ חיים להבין את דרך מחשבתם של אחרים מצאתי סיפור נפוץ, תחת הכותרת “ר׳ חיים בילדותו”, </w:t>
      </w:r>
      <w:proofErr w:type="spellStart"/>
      <w:r>
        <w:rPr>
          <w:rtl/>
        </w:rPr>
        <w:t>ב“אנציקלופדיה</w:t>
      </w:r>
      <w:proofErr w:type="spellEnd"/>
      <w:r>
        <w:rPr>
          <w:rtl/>
        </w:rPr>
        <w:t xml:space="preserve"> </w:t>
      </w:r>
      <w:proofErr w:type="spellStart"/>
      <w:r>
        <w:rPr>
          <w:rtl/>
        </w:rPr>
        <w:t>בריסק</w:t>
      </w:r>
      <w:proofErr w:type="spellEnd"/>
      <w:r>
        <w:rPr>
          <w:rtl/>
        </w:rPr>
        <w:t>”</w:t>
      </w:r>
      <w:bookmarkStart w:id="6789" w:name="_fnr5183"/>
      <w:r>
        <w:rPr>
          <w:rStyle w:val="a5"/>
        </w:rPr>
        <w:footnoteReference w:id="5197" w:customMarkFollows="0"/>
      </w:r>
      <w:bookmarkEnd w:id="6789"/>
      <w:r>
        <w:rPr>
          <w:rtl/>
        </w:rPr>
        <w:t xml:space="preserve">. הסיפור מראה שגם אביו של ר׳ חיים ניחן בכישרון זה, והפעיל אותו </w:t>
      </w:r>
      <w:r>
        <w:rPr>
          <w:b/>
          <w:bCs/>
          <w:rtl/>
        </w:rPr>
        <w:t>על ר׳ חיים עצמו</w:t>
      </w:r>
      <w:r>
        <w:rPr>
          <w:rtl/>
        </w:rPr>
        <w:t xml:space="preserve">: “פעם אמרו </w:t>
      </w:r>
      <w:proofErr w:type="spellStart"/>
      <w:r>
        <w:rPr>
          <w:rtl/>
        </w:rPr>
        <w:t>לר</w:t>
      </w:r>
      <w:proofErr w:type="spellEnd"/>
      <w:r>
        <w:rPr>
          <w:rtl/>
        </w:rPr>
        <w:t xml:space="preserve">׳ </w:t>
      </w:r>
      <w:proofErr w:type="spellStart"/>
      <w:r>
        <w:rPr>
          <w:rtl/>
        </w:rPr>
        <w:t xml:space="preserve">יושע־בער</w:t>
      </w:r>
      <w:proofErr w:type="spellEnd"/>
      <w:r>
        <w:rPr>
          <w:rtl/>
        </w:rPr>
        <w:t xml:space="preserve"> שבנו מתגאה מאוד בידיעותיו בתורה. אביו קרא לו וציווה עליו בכעס לחזור על אחד מחידושיו. ברגע שהתחיל ר׳ חיים לבאר, עצרו אביו ואמר: ‘ודאי אתה רוצה להקשות כך וכך ולתרץ כך וכך׳. כשהסכים ר׳ חיים ורצה להמשיך בדבר התורה, שוב עצרו אביו ואמר: ‘למה להמשיך? הרי בדעתך לשאול את </w:t>
      </w:r>
      <w:proofErr w:type="spellStart"/>
      <w:r>
        <w:rPr>
          <w:rtl/>
        </w:rPr>
        <w:t>הקושיא</w:t>
      </w:r>
      <w:proofErr w:type="spellEnd"/>
      <w:r>
        <w:rPr>
          <w:rtl/>
        </w:rPr>
        <w:t xml:space="preserve"> הבאה ולתרץ כך וכך, לא כן?’ רוחו של ר׳ חיים נפלה. לבסוף השיב: ‘בכרכי הגמרא שנדפסו זה עתה נדפסות הגהות ר׳ עקיבא איגר בשוליים, וסימנן בגוף הגמרא הוא עיגול ובו קו. ודאי יש תלמידי חכמים גדולים רבים הבקיאים בדרך לימודו של ר׳ עקיבא איגר, שאינם צריכים לעיין בשוליים, אלא בראותם את סימן העיגול בגוף הדברים הם צופים את הגהתו. אף על פי כן, עדיין יש ערך לחידושי ר׳ עקיבא איגר. כך, וכי אין חידושי הבן עדיין חידושים, אף שאביו מכיר היטב את מחשבת בנו? אם אבא צופה את דבריי, הרי זה כאילו הוא רואה בגוף הדברים שאני מצטט את סימן העיגול האומר: “עיין כאן במחשבתו של </w:t>
      </w:r>
      <w:proofErr w:type="spellStart"/>
      <w:r>
        <w:rPr>
          <w:rtl/>
        </w:rPr>
        <w:t>חיים׳קה</w:t>
      </w:r>
      <w:proofErr w:type="spellEnd"/>
      <w:r>
        <w:rPr>
          <w:rtl/>
        </w:rPr>
        <w:t xml:space="preserve">”‘. ‘ניצחתני, בני’, אמר ר׳ </w:t>
      </w:r>
      <w:proofErr w:type="spellStart"/>
      <w:r>
        <w:rPr>
          <w:rtl/>
        </w:rPr>
        <w:t xml:space="preserve">יושע־בער</w:t>
      </w:r>
      <w:proofErr w:type="spellEnd"/>
      <w:r>
        <w:rPr>
          <w:rtl/>
        </w:rPr>
        <w:t>”.</w:t>
      </w:r>
    </w:p>
    <w:p w14:paraId="4B21FFD3" w14:textId="77777777" w:rsidR="00AB3647" w:rsidRDefault="00000000" w:rsidP="007923E9">
      <w:pPr>
        <w:spacing w:after="120" w:line="276" w:lineRule="auto"/>
        <w:ind w:firstLine="283"/>
        <w:jc w:val="both"/>
      </w:pPr>
      <w:r>
        <w:rPr>
          <w:rtl/>
        </w:rPr>
        <w:lastRenderedPageBreak/>
        <w:t xml:space="preserve">מצאתי גם אצל </w:t>
      </w:r>
      <w:proofErr w:type="spellStart"/>
      <w:r>
        <w:rPr>
          <w:rtl/>
        </w:rPr>
        <w:t>רבינר</w:t>
      </w:r>
      <w:proofErr w:type="spellEnd"/>
      <w:r>
        <w:rPr>
          <w:rtl/>
        </w:rPr>
        <w:t>, “רבינו מאיר שמחה הכהן”</w:t>
      </w:r>
      <w:bookmarkStart w:id="6790" w:name="_fnr5184"/>
      <w:r>
        <w:rPr>
          <w:rStyle w:val="a5"/>
        </w:rPr>
        <w:footnoteReference w:id="5198" w:customMarkFollows="0"/>
      </w:r>
      <w:bookmarkEnd w:id="6790"/>
      <w:r>
        <w:rPr>
          <w:rtl/>
        </w:rPr>
        <w:t xml:space="preserve">, שגם ר׳ </w:t>
      </w:r>
      <w:proofErr w:type="spellStart"/>
      <w:r>
        <w:rPr>
          <w:rtl/>
        </w:rPr>
        <w:t>יהושע־לייב</w:t>
      </w:r>
      <w:proofErr w:type="spellEnd"/>
      <w:r>
        <w:rPr>
          <w:rtl/>
        </w:rPr>
        <w:t xml:space="preserve"> דיסקין, שר׳ יוסף־דב העריצו</w:t>
      </w:r>
      <w:bookmarkStart w:id="6791" w:name="_fnr5185"/>
      <w:r>
        <w:rPr>
          <w:rStyle w:val="a5"/>
        </w:rPr>
        <w:footnoteReference w:id="5199" w:customMarkFollows="0"/>
      </w:r>
      <w:bookmarkEnd w:id="6791"/>
      <w:r>
        <w:rPr>
          <w:rtl/>
        </w:rPr>
        <w:t>, ניחן ביכולת לעמוד על דרך סברתו של כל אדם. הוא הוכיח זאת כששמע מתלמיד חידוש מתוך ספר מסוים, ואחר כך קבע מה אמר אותו מחבר בעניינים אחרים.</w:t>
      </w:r>
    </w:p>
    <w:p w14:paraId="72602FCB" w14:textId="77777777" w:rsidR="00AB3647" w:rsidRDefault="00000000" w:rsidP="007923E9">
      <w:pPr>
        <w:pStyle w:val="4"/>
        <w:spacing w:line="276" w:lineRule="auto"/>
      </w:pPr>
      <w:r>
        <w:t>· הפסקה השביעית ·</w:t>
      </w:r>
    </w:p>
    <w:p w14:paraId="6F167F65" w14:textId="77777777" w:rsidR="00AB3647" w:rsidRDefault="00000000" w:rsidP="007923E9">
      <w:pPr>
        <w:pStyle w:val="5"/>
        <w:spacing w:line="276" w:lineRule="auto"/>
      </w:pPr>
      <w:r>
        <w:t>עוד על כישרונו המיוחד של ר׳ חיים</w:t>
      </w:r>
    </w:p>
    <w:p w14:paraId="4D22413F" w14:textId="77777777" w:rsidR="00AB3647" w:rsidRDefault="00000000" w:rsidP="007923E9">
      <w:pPr>
        <w:spacing w:after="120" w:line="276" w:lineRule="auto"/>
        <w:ind w:firstLine="283"/>
        <w:jc w:val="both"/>
      </w:pPr>
      <w:r>
        <w:rPr>
          <w:rtl/>
        </w:rPr>
        <w:t xml:space="preserve">בשיעור שמסר </w:t>
      </w:r>
      <w:proofErr w:type="spellStart"/>
      <w:r>
        <w:rPr>
          <w:rtl/>
        </w:rPr>
        <w:t>במונסי</w:t>
      </w:r>
      <w:proofErr w:type="spellEnd"/>
      <w:r>
        <w:rPr>
          <w:rtl/>
        </w:rPr>
        <w:t xml:space="preserve"> לקבוצת תלמידים לשעבר של ישיבת תורה ודעת</w:t>
      </w:r>
      <w:bookmarkStart w:id="6792" w:name="_fnr5186"/>
      <w:r>
        <w:rPr>
          <w:rStyle w:val="a5"/>
        </w:rPr>
        <w:footnoteReference w:id="5200" w:customMarkFollows="0"/>
      </w:r>
      <w:bookmarkEnd w:id="6792"/>
      <w:r>
        <w:rPr>
          <w:rtl/>
        </w:rPr>
        <w:t xml:space="preserve"> הסביר אבי שהכישרון לצפות את מחשבות הזולת הוא חכמת שלמה המלך במשפט שתי הנשים</w:t>
      </w:r>
      <w:bookmarkStart w:id="6793" w:name="_fnr5187"/>
      <w:r>
        <w:rPr>
          <w:rStyle w:val="a5"/>
        </w:rPr>
        <w:footnoteReference w:id="5201" w:customMarkFollows="0"/>
      </w:r>
      <w:bookmarkEnd w:id="6793"/>
      <w:r>
        <w:rPr>
          <w:rtl/>
        </w:rPr>
        <w:t xml:space="preserve">: המלך ידע מראש מה תהיה מחשבת האם האמיתית, שאם לא כן היה עליו להרוג את התינוק, על פי הכלל “אי אמר </w:t>
      </w:r>
      <w:proofErr w:type="spellStart"/>
      <w:r>
        <w:rPr>
          <w:rtl/>
        </w:rPr>
        <w:t>מלכא</w:t>
      </w:r>
      <w:proofErr w:type="spellEnd"/>
      <w:r>
        <w:rPr>
          <w:rtl/>
        </w:rPr>
        <w:t xml:space="preserve"> </w:t>
      </w:r>
      <w:proofErr w:type="spellStart"/>
      <w:r>
        <w:rPr>
          <w:rtl/>
        </w:rPr>
        <w:t>עקרנא</w:t>
      </w:r>
      <w:proofErr w:type="spellEnd"/>
      <w:r>
        <w:rPr>
          <w:rtl/>
        </w:rPr>
        <w:t xml:space="preserve"> טורי עקר טורי ולא הדר ביה”</w:t>
      </w:r>
      <w:bookmarkStart w:id="6794" w:name="_fnr5188"/>
      <w:r>
        <w:rPr>
          <w:rStyle w:val="a5"/>
        </w:rPr>
        <w:footnoteReference w:id="5202" w:customMarkFollows="0"/>
      </w:r>
      <w:bookmarkEnd w:id="6794"/>
      <w:r>
        <w:rPr>
          <w:rtl/>
        </w:rPr>
        <w:t>. ר׳ זליג ברקוביץ חזר</w:t>
      </w:r>
      <w:bookmarkStart w:id="6795" w:name="_fnr5189"/>
      <w:r>
        <w:rPr>
          <w:rStyle w:val="a5"/>
        </w:rPr>
        <w:footnoteReference w:id="5203" w:customMarkFollows="0"/>
      </w:r>
      <w:bookmarkEnd w:id="6795"/>
      <w:r>
        <w:rPr>
          <w:rtl/>
        </w:rPr>
        <w:t xml:space="preserve"> בשם רבנו על ההערה הזאת: ר׳ חיים ניחן ביכולת להבין רעיונות בדרכים שונות, ולכן ודאי בחר בדרכו המיוחדת מפני שראה בה “את אמיתה של תורה”</w:t>
      </w:r>
      <w:bookmarkStart w:id="6796" w:name="_fnr5190"/>
      <w:r>
        <w:rPr>
          <w:rStyle w:val="a5"/>
        </w:rPr>
        <w:footnoteReference w:id="5204" w:customMarkFollows="0"/>
      </w:r>
      <w:bookmarkEnd w:id="6796"/>
      <w:r>
        <w:rPr>
          <w:rtl/>
        </w:rPr>
        <w:t>.</w:t>
      </w:r>
    </w:p>
    <w:p w14:paraId="362DFBF5" w14:textId="77777777" w:rsidR="00AB3647" w:rsidRDefault="00000000" w:rsidP="007923E9">
      <w:pPr>
        <w:spacing w:after="120" w:line="276" w:lineRule="auto"/>
        <w:ind w:firstLine="283"/>
        <w:jc w:val="both"/>
      </w:pPr>
      <w:r>
        <w:rPr>
          <w:rtl/>
        </w:rPr>
        <w:t xml:space="preserve">אמרה של ר׳ חיים המובאת </w:t>
      </w:r>
      <w:proofErr w:type="spellStart"/>
      <w:r>
        <w:rPr>
          <w:rtl/>
        </w:rPr>
        <w:t>ב“בדרך</w:t>
      </w:r>
      <w:proofErr w:type="spellEnd"/>
      <w:r>
        <w:rPr>
          <w:rtl/>
        </w:rPr>
        <w:t xml:space="preserve"> עץ החיים”</w:t>
      </w:r>
      <w:bookmarkStart w:id="6797" w:name="_fnr5191"/>
      <w:r>
        <w:rPr>
          <w:rStyle w:val="a5"/>
        </w:rPr>
        <w:footnoteReference w:id="5205" w:customMarkFollows="0"/>
      </w:r>
      <w:bookmarkEnd w:id="6797"/>
      <w:r>
        <w:rPr>
          <w:rtl/>
        </w:rPr>
        <w:t xml:space="preserve"> מדגימה את כישרונו המיוחד להכיר את דרכי מחשבתם של אחרים. ר׳ </w:t>
      </w:r>
      <w:proofErr w:type="spellStart"/>
      <w:r>
        <w:rPr>
          <w:rtl/>
        </w:rPr>
        <w:t>איסר־זלמן</w:t>
      </w:r>
      <w:proofErr w:type="spellEnd"/>
      <w:r>
        <w:rPr>
          <w:rtl/>
        </w:rPr>
        <w:t xml:space="preserve"> סיפר שידידו המבוגר, ר׳ ראובן </w:t>
      </w:r>
      <w:proofErr w:type="spellStart"/>
      <w:r>
        <w:rPr>
          <w:rtl/>
        </w:rPr>
        <w:t>בנגיס</w:t>
      </w:r>
      <w:bookmarkStart w:id="6798" w:name="_fnr5192"/>
      <w:proofErr w:type="spellEnd"/>
      <w:r>
        <w:rPr>
          <w:rStyle w:val="a5"/>
        </w:rPr>
        <w:footnoteReference w:id="5206" w:customMarkFollows="0"/>
      </w:r>
      <w:bookmarkEnd w:id="6798"/>
      <w:r>
        <w:rPr>
          <w:rtl/>
        </w:rPr>
        <w:t xml:space="preserve">, בא פעם </w:t>
      </w:r>
      <w:proofErr w:type="spellStart"/>
      <w:r>
        <w:rPr>
          <w:rtl/>
        </w:rPr>
        <w:t>לסטאנציע</w:t>
      </w:r>
      <w:proofErr w:type="spellEnd"/>
      <w:r>
        <w:rPr>
          <w:rtl/>
        </w:rPr>
        <w:t xml:space="preserve"> שלו לספר: “ר׳ חיים ישב עתה עם כמה רבנים וחזר על קושיא ותירוץ, באומרו: ‘</w:t>
      </w:r>
      <w:proofErr w:type="spellStart"/>
      <w:r>
        <w:rPr>
          <w:rtl/>
        </w:rPr>
        <w:t>הקושיא</w:t>
      </w:r>
      <w:proofErr w:type="spellEnd"/>
      <w:r>
        <w:rPr>
          <w:rtl/>
        </w:rPr>
        <w:t xml:space="preserve"> שלי, אבל איני זוכר מי אמר את התירוץ, אני או </w:t>
      </w:r>
      <w:proofErr w:type="spellStart"/>
      <w:r>
        <w:rPr>
          <w:rtl/>
        </w:rPr>
        <w:t>זוניא</w:t>
      </w:r>
      <w:proofErr w:type="spellEnd"/>
      <w:r>
        <w:rPr>
          <w:rtl/>
        </w:rPr>
        <w:t xml:space="preserve"> </w:t>
      </w:r>
      <w:proofErr w:type="spellStart"/>
      <w:r>
        <w:rPr>
          <w:rtl/>
        </w:rPr>
        <w:t>מירער</w:t>
      </w:r>
      <w:proofErr w:type="spellEnd"/>
      <w:r>
        <w:rPr>
          <w:rtl/>
        </w:rPr>
        <w:t xml:space="preserve"> [ר׳ </w:t>
      </w:r>
      <w:proofErr w:type="spellStart"/>
      <w:r>
        <w:rPr>
          <w:rtl/>
        </w:rPr>
        <w:t>איסר־זלמן</w:t>
      </w:r>
      <w:proofErr w:type="spellEnd"/>
      <w:r>
        <w:rPr>
          <w:rtl/>
        </w:rPr>
        <w:t xml:space="preserve">, בכינוי שהיה ידוע בו </w:t>
      </w:r>
      <w:proofErr w:type="spellStart"/>
      <w:r>
        <w:rPr>
          <w:rtl/>
        </w:rPr>
        <w:t>בוולוז׳ין</w:t>
      </w:r>
      <w:proofErr w:type="spellEnd"/>
      <w:r>
        <w:rPr>
          <w:rtl/>
        </w:rPr>
        <w:t xml:space="preserve">]; אבל התירוץ מתאים לדרך המחשבה הישרה של </w:t>
      </w:r>
      <w:proofErr w:type="spellStart"/>
      <w:r>
        <w:rPr>
          <w:rtl/>
        </w:rPr>
        <w:t>זוניא</w:t>
      </w:r>
      <w:proofErr w:type="spellEnd"/>
      <w:r>
        <w:rPr>
          <w:rtl/>
        </w:rPr>
        <w:t xml:space="preserve"> יותר </w:t>
      </w:r>
      <w:proofErr w:type="spellStart"/>
      <w:r>
        <w:rPr>
          <w:rtl/>
        </w:rPr>
        <w:t>מלשלי</w:t>
      </w:r>
      <w:proofErr w:type="spellEnd"/>
      <w:r>
        <w:rPr>
          <w:rtl/>
        </w:rPr>
        <w:t>’”.</w:t>
      </w:r>
    </w:p>
    <w:p w14:paraId="1D27B954" w14:textId="77777777" w:rsidR="00AB3647" w:rsidRDefault="00000000" w:rsidP="007923E9">
      <w:pPr>
        <w:pStyle w:val="4"/>
        <w:spacing w:line="276" w:lineRule="auto"/>
      </w:pPr>
      <w:r>
        <w:lastRenderedPageBreak/>
        <w:t>· הפסקה השמינית ·</w:t>
      </w:r>
    </w:p>
    <w:p w14:paraId="17FD7E65" w14:textId="77777777" w:rsidR="00AB3647" w:rsidRDefault="00000000" w:rsidP="007923E9">
      <w:pPr>
        <w:pStyle w:val="5"/>
        <w:spacing w:line="276" w:lineRule="auto"/>
      </w:pPr>
      <w:r>
        <w:t>יש כישרון גדול אף יותר מהבנת דרך סברתו של אדם מוכר</w:t>
      </w:r>
    </w:p>
    <w:p w14:paraId="72E6A8FA" w14:textId="77777777" w:rsidR="00AB3647" w:rsidRDefault="00000000" w:rsidP="007923E9">
      <w:pPr>
        <w:spacing w:after="120" w:line="276" w:lineRule="auto"/>
        <w:ind w:firstLine="283"/>
        <w:jc w:val="both"/>
      </w:pPr>
      <w:r>
        <w:rPr>
          <w:rtl/>
        </w:rPr>
        <w:t xml:space="preserve">“פון </w:t>
      </w:r>
      <w:proofErr w:type="spellStart"/>
      <w:r>
        <w:rPr>
          <w:rtl/>
        </w:rPr>
        <w:t>וואלאזין</w:t>
      </w:r>
      <w:proofErr w:type="spellEnd"/>
      <w:r>
        <w:rPr>
          <w:rtl/>
        </w:rPr>
        <w:t xml:space="preserve"> </w:t>
      </w:r>
      <w:proofErr w:type="spellStart"/>
      <w:r>
        <w:rPr>
          <w:rtl/>
        </w:rPr>
        <w:t>ביז</w:t>
      </w:r>
      <w:proofErr w:type="spellEnd"/>
      <w:r>
        <w:rPr>
          <w:rtl/>
        </w:rPr>
        <w:t xml:space="preserve"> ירושלים”</w:t>
      </w:r>
      <w:bookmarkStart w:id="6799" w:name="_fnr5193"/>
      <w:r>
        <w:rPr>
          <w:rStyle w:val="a5"/>
        </w:rPr>
        <w:footnoteReference w:id="5207" w:customMarkFollows="0"/>
      </w:r>
      <w:bookmarkEnd w:id="6799"/>
      <w:r>
        <w:rPr>
          <w:rtl/>
        </w:rPr>
        <w:t xml:space="preserve"> מייחס </w:t>
      </w:r>
      <w:proofErr w:type="spellStart"/>
      <w:r>
        <w:rPr>
          <w:rtl/>
        </w:rPr>
        <w:t>לר</w:t>
      </w:r>
      <w:proofErr w:type="spellEnd"/>
      <w:r>
        <w:rPr>
          <w:rtl/>
        </w:rPr>
        <w:t xml:space="preserve">׳ חיים כישרון זה במידה גדולה עוד יותר: “ר׳ חיים יכול היה להעריך את הכישורים ודרכי המחשבה של אנשים ‘קטנים’ למדי; הוא אף הבין היטב את מחשבותיהם של ילדים קטנים”. אבל בהקדמה הביוגרפית </w:t>
      </w:r>
      <w:proofErr w:type="spellStart"/>
      <w:r>
        <w:rPr>
          <w:rtl/>
        </w:rPr>
        <w:t>ל“ספר</w:t>
      </w:r>
      <w:proofErr w:type="spellEnd"/>
      <w:r>
        <w:rPr>
          <w:rtl/>
        </w:rPr>
        <w:t xml:space="preserve"> נודע בשערים, חלק ב”</w:t>
      </w:r>
      <w:bookmarkStart w:id="6800" w:name="_fnr5194"/>
      <w:r>
        <w:rPr>
          <w:rStyle w:val="a5"/>
        </w:rPr>
        <w:footnoteReference w:id="5208" w:customMarkFollows="0"/>
      </w:r>
      <w:bookmarkEnd w:id="6800"/>
      <w:r>
        <w:rPr>
          <w:rtl/>
        </w:rPr>
        <w:t xml:space="preserve">, כרך תשובות מאת ר׳ ברוך </w:t>
      </w:r>
      <w:proofErr w:type="spellStart"/>
      <w:r>
        <w:rPr>
          <w:rtl/>
        </w:rPr>
        <w:t>מנדלבוים</w:t>
      </w:r>
      <w:proofErr w:type="spellEnd"/>
      <w:r>
        <w:rPr>
          <w:rtl/>
        </w:rPr>
        <w:t xml:space="preserve">, רבה של </w:t>
      </w:r>
      <w:proofErr w:type="spellStart"/>
      <w:r>
        <w:rPr>
          <w:rtl/>
        </w:rPr>
        <w:t>טורוב</w:t>
      </w:r>
      <w:proofErr w:type="spellEnd"/>
      <w:r>
        <w:rPr>
          <w:rtl/>
        </w:rPr>
        <w:t xml:space="preserve"> (נולד </w:t>
      </w:r>
      <w:proofErr w:type="spellStart"/>
      <w:r>
        <w:rPr>
          <w:rtl/>
        </w:rPr>
        <w:t>בתקצ״ב</w:t>
      </w:r>
      <w:proofErr w:type="spellEnd"/>
      <w:r>
        <w:rPr>
          <w:rtl/>
        </w:rPr>
        <w:t xml:space="preserve">), מיוחס </w:t>
      </w:r>
      <w:proofErr w:type="spellStart"/>
      <w:r>
        <w:rPr>
          <w:rtl/>
        </w:rPr>
        <w:t>לר</w:t>
      </w:r>
      <w:proofErr w:type="spellEnd"/>
      <w:r>
        <w:rPr>
          <w:rtl/>
        </w:rPr>
        <w:t xml:space="preserve">׳ חיים כישרון גדול עוד יותר מצפיית מחשבותיו של אדם מוכר: לזהות אדם על פי התאמת רעיונותיו שבכתב לדבריו שבעל פה. מסופר שם שכאשר היה הרב </w:t>
      </w:r>
      <w:proofErr w:type="spellStart"/>
      <w:r>
        <w:rPr>
          <w:rtl/>
        </w:rPr>
        <w:t>מנדלבוים</w:t>
      </w:r>
      <w:proofErr w:type="spellEnd"/>
      <w:r>
        <w:rPr>
          <w:rtl/>
        </w:rPr>
        <w:t xml:space="preserve"> בדרכו לארץ ישראל </w:t>
      </w:r>
      <w:proofErr w:type="spellStart"/>
      <w:r>
        <w:rPr>
          <w:rtl/>
        </w:rPr>
        <w:t>בתרל״ד</w:t>
      </w:r>
      <w:proofErr w:type="spellEnd"/>
      <w:r>
        <w:rPr>
          <w:rtl/>
        </w:rPr>
        <w:t xml:space="preserve">, עבר </w:t>
      </w:r>
      <w:proofErr w:type="spellStart"/>
      <w:r>
        <w:rPr>
          <w:rtl/>
        </w:rPr>
        <w:t>בבריסק</w:t>
      </w:r>
      <w:proofErr w:type="spellEnd"/>
      <w:r>
        <w:rPr>
          <w:rtl/>
        </w:rPr>
        <w:t xml:space="preserve"> וביקר אצל רבה, ר׳ חיים </w:t>
      </w:r>
      <w:proofErr w:type="spellStart"/>
      <w:r>
        <w:rPr>
          <w:rtl/>
        </w:rPr>
        <w:t>סולובייצ׳יק</w:t>
      </w:r>
      <w:proofErr w:type="spellEnd"/>
      <w:r>
        <w:rPr>
          <w:rtl/>
        </w:rPr>
        <w:t xml:space="preserve">, והתחיל לדון בדברי תורה בלי להציג את עצמו. פתאום פנה אליו ר׳ חיים ואמר: “שלום עליכם, רבה של </w:t>
      </w:r>
      <w:proofErr w:type="spellStart"/>
      <w:r>
        <w:rPr>
          <w:rtl/>
        </w:rPr>
        <w:t>טורוב</w:t>
      </w:r>
      <w:proofErr w:type="spellEnd"/>
      <w:r>
        <w:rPr>
          <w:rtl/>
        </w:rPr>
        <w:t xml:space="preserve">!” כששאל ר׳ ברוך כיצד מכירו רבה של </w:t>
      </w:r>
      <w:proofErr w:type="spellStart"/>
      <w:r>
        <w:rPr>
          <w:rtl/>
        </w:rPr>
        <w:t>בריסק</w:t>
      </w:r>
      <w:proofErr w:type="spellEnd"/>
      <w:r>
        <w:rPr>
          <w:rtl/>
        </w:rPr>
        <w:t xml:space="preserve"> אף שמעולם לא נפגשו, השיב ר׳ חיים: “זיהיתי אותך כשהבנתי שדרך לימודך בתורה מתאימה לזו המתבטאת בתשובות שחיבר רבה של </w:t>
      </w:r>
      <w:proofErr w:type="spellStart"/>
      <w:r>
        <w:rPr>
          <w:rtl/>
        </w:rPr>
        <w:t>טורוב</w:t>
      </w:r>
      <w:proofErr w:type="spellEnd"/>
      <w:r>
        <w:rPr>
          <w:rtl/>
        </w:rPr>
        <w:t xml:space="preserve"> ושקראתי”.</w:t>
      </w:r>
    </w:p>
    <w:p w14:paraId="15ED792E" w14:textId="77777777" w:rsidR="00AB3647" w:rsidRDefault="00000000" w:rsidP="007923E9">
      <w:pPr>
        <w:spacing w:after="120" w:line="276" w:lineRule="auto"/>
        <w:ind w:firstLine="283"/>
        <w:jc w:val="both"/>
      </w:pPr>
      <w:r>
        <w:rPr>
          <w:rtl/>
        </w:rPr>
        <w:t xml:space="preserve">מחבר ההקדמה, ששמו לא נמסר, טועה בבירור כשהוא קורא </w:t>
      </w:r>
      <w:proofErr w:type="spellStart"/>
      <w:r>
        <w:rPr>
          <w:rtl/>
        </w:rPr>
        <w:t>לר</w:t>
      </w:r>
      <w:proofErr w:type="spellEnd"/>
      <w:r>
        <w:rPr>
          <w:rtl/>
        </w:rPr>
        <w:t xml:space="preserve">׳ חיים רבה של </w:t>
      </w:r>
      <w:proofErr w:type="spellStart"/>
      <w:r>
        <w:rPr>
          <w:rtl/>
        </w:rPr>
        <w:t>בריסק</w:t>
      </w:r>
      <w:proofErr w:type="spellEnd"/>
      <w:r>
        <w:rPr>
          <w:rtl/>
        </w:rPr>
        <w:t xml:space="preserve"> </w:t>
      </w:r>
      <w:proofErr w:type="spellStart"/>
      <w:r>
        <w:rPr>
          <w:rtl/>
        </w:rPr>
        <w:t>בתרל״ד</w:t>
      </w:r>
      <w:proofErr w:type="spellEnd"/>
      <w:r>
        <w:rPr>
          <w:rtl/>
        </w:rPr>
        <w:t xml:space="preserve">: ר׳ חיים היה אז אברך שזה עתה נישא, </w:t>
      </w:r>
      <w:proofErr w:type="spellStart"/>
      <w:r>
        <w:rPr>
          <w:rtl/>
        </w:rPr>
        <w:t>בוולוז׳ין</w:t>
      </w:r>
      <w:proofErr w:type="spellEnd"/>
      <w:r>
        <w:rPr>
          <w:rtl/>
        </w:rPr>
        <w:t xml:space="preserve">, אבל ייתכן שביקר אצל אביו </w:t>
      </w:r>
      <w:proofErr w:type="spellStart"/>
      <w:r>
        <w:rPr>
          <w:rtl/>
        </w:rPr>
        <w:t>בבריסק</w:t>
      </w:r>
      <w:proofErr w:type="spellEnd"/>
      <w:r>
        <w:rPr>
          <w:rtl/>
        </w:rPr>
        <w:t xml:space="preserve"> בזמן ביקורו של ר׳ ברוך.</w:t>
      </w:r>
      <w:bookmarkStart w:id="6801" w:name="_fnr5195"/>
      <w:bookmarkEnd w:id="6801"/>
      <w:r>
        <w:rPr>
          <w:rStyle w:val="a5"/>
        </w:rPr>
        <w:t/>
      </w:r>
      <w:bookmarkStart w:id="7058" w:name="_TranslatorNote_5405"/>
      <w:r>
        <w:rPr>
          <w:rStyle w:val="a5"/>
          <w:vertAlign w:val="superscript"/>
          <w:rtl/>
        </w:rPr>
        <w:footnoteReference w:id="5209" w:customMarkFollows="1"/>
        <w:t>*</w:t>
      </w:r>
      <w:bookmarkEnd w:id="7058"/>
      <w:r>
        <w:rPr>
          <w:rtl/>
        </w:rPr>
        <w:t xml:space="preserve"> אולם </w:t>
      </w:r>
      <w:proofErr w:type="spellStart"/>
      <w:r>
        <w:rPr>
          <w:rtl/>
        </w:rPr>
        <w:t>נינו</w:t>
      </w:r>
      <w:proofErr w:type="spellEnd"/>
      <w:r>
        <w:rPr>
          <w:rtl/>
        </w:rPr>
        <w:t xml:space="preserve"> של ר׳ ברוך </w:t>
      </w:r>
      <w:proofErr w:type="spellStart"/>
      <w:r>
        <w:rPr>
          <w:rtl/>
        </w:rPr>
        <w:t>מנדלבוים</w:t>
      </w:r>
      <w:proofErr w:type="spellEnd"/>
      <w:r>
        <w:rPr>
          <w:rtl/>
        </w:rPr>
        <w:t xml:space="preserve">, ר׳ </w:t>
      </w:r>
      <w:proofErr w:type="spellStart"/>
      <w:r>
        <w:rPr>
          <w:rtl/>
        </w:rPr>
        <w:t>יעקב־יצחק</w:t>
      </w:r>
      <w:proofErr w:type="spellEnd"/>
      <w:r>
        <w:rPr>
          <w:rtl/>
        </w:rPr>
        <w:t xml:space="preserve"> ממלוק, הבהיר את העניין כשגילה</w:t>
      </w:r>
      <w:bookmarkStart w:id="6802" w:name="_fnr5196"/>
      <w:r>
        <w:rPr>
          <w:rStyle w:val="a5"/>
        </w:rPr>
        <w:footnoteReference w:id="5210" w:customMarkFollows="0"/>
      </w:r>
      <w:bookmarkEnd w:id="6802"/>
      <w:r>
        <w:rPr>
          <w:rtl/>
        </w:rPr>
        <w:t xml:space="preserve"> ששמע את הסיפור מסבתו, ושהמעשה היה </w:t>
      </w:r>
      <w:proofErr w:type="spellStart"/>
      <w:r>
        <w:rPr>
          <w:rtl/>
        </w:rPr>
        <w:t>בוולוז׳ין</w:t>
      </w:r>
      <w:proofErr w:type="spellEnd"/>
      <w:r>
        <w:rPr>
          <w:rtl/>
        </w:rPr>
        <w:t xml:space="preserve"> ולא </w:t>
      </w:r>
      <w:proofErr w:type="spellStart"/>
      <w:r>
        <w:rPr>
          <w:rtl/>
        </w:rPr>
        <w:t>בבריסק</w:t>
      </w:r>
      <w:proofErr w:type="spellEnd"/>
      <w:r>
        <w:rPr>
          <w:rtl/>
        </w:rPr>
        <w:t xml:space="preserve">; ומה שביקש הרב </w:t>
      </w:r>
      <w:proofErr w:type="spellStart"/>
      <w:r>
        <w:rPr>
          <w:rtl/>
        </w:rPr>
        <w:t>מנדלבוים</w:t>
      </w:r>
      <w:proofErr w:type="spellEnd"/>
      <w:r>
        <w:rPr>
          <w:rtl/>
        </w:rPr>
        <w:t xml:space="preserve"> לראות לפני שיצא מאירופה היה ישיבת </w:t>
      </w:r>
      <w:proofErr w:type="spellStart"/>
      <w:r>
        <w:rPr>
          <w:rtl/>
        </w:rPr>
        <w:t>וולוז׳ין</w:t>
      </w:r>
      <w:proofErr w:type="spellEnd"/>
      <w:r>
        <w:rPr>
          <w:rtl/>
        </w:rPr>
        <w:t xml:space="preserve"> – לא בני משפחת </w:t>
      </w:r>
      <w:proofErr w:type="spellStart"/>
      <w:r>
        <w:rPr>
          <w:rtl/>
        </w:rPr>
        <w:t>סולובייצ׳יק</w:t>
      </w:r>
      <w:proofErr w:type="spellEnd"/>
      <w:r>
        <w:rPr>
          <w:rtl/>
        </w:rPr>
        <w:t>, האב או הבן.</w:t>
      </w:r>
    </w:p>
    <w:p w14:paraId="524EA503" w14:textId="77777777" w:rsidR="00AB3647" w:rsidRDefault="00000000" w:rsidP="007923E9">
      <w:pPr>
        <w:pStyle w:val="4"/>
        <w:spacing w:line="276" w:lineRule="auto"/>
      </w:pPr>
      <w:r>
        <w:t>· הפסקה התשיעית ·</w:t>
      </w:r>
    </w:p>
    <w:p w14:paraId="2E1D52FC" w14:textId="77777777" w:rsidR="00AB3647" w:rsidRDefault="00000000" w:rsidP="007923E9">
      <w:pPr>
        <w:pStyle w:val="5"/>
        <w:spacing w:line="276" w:lineRule="auto"/>
      </w:pPr>
      <w:r>
        <w:t xml:space="preserve">חסדו של ר׳ חיים כלפי אנשים במצוקה – הוא מקדיש זמן להשתתף בצערם של העניים והסובלים – רווחתם של ילד או אלמנה חשובה לו יותר מבעיותיהם של העשירים – הוא משחק עם ילדי </w:t>
      </w:r>
      <w:proofErr w:type="spellStart"/>
      <w:r>
        <w:t>בריסק</w:t>
      </w:r>
      <w:proofErr w:type="spellEnd"/>
      <w:r>
        <w:t xml:space="preserve"> – אין לו התחשבות בעושר – הוא מקדיש זמן להקל על חלומות רעים – בעוד גופו עסוק בגמילות חסדים, מוחו שקוע בלימודו – הכתובת על מצבתו – החסד זוכה לבכורה – הוא פוסק לפי מידת החסד – כיצד ראה את תפקידי הרב</w:t>
      </w:r>
    </w:p>
    <w:p w14:paraId="360560CB" w14:textId="77777777" w:rsidR="00AB3647" w:rsidRDefault="00000000" w:rsidP="007923E9">
      <w:pPr>
        <w:spacing w:after="120" w:line="276" w:lineRule="auto"/>
        <w:ind w:firstLine="283"/>
        <w:jc w:val="both"/>
      </w:pPr>
      <w:r>
        <w:rPr>
          <w:rtl/>
        </w:rPr>
        <w:t>לעיל, בפסקה החמישית, הובאו שלוש דוגמאות לרחמיו הרבים של ר׳ חיים על הנזקקים ולעזרתו להם: הוא סיכן את חייו להצלת ילדים משרפה, פתח את מחסן העצים שלו לכל עניי העיר, ולא ישן בביתו עד שהיה גג מעל ראשן של כל המשפחות שבתיהן נשרפו. “אישים ושיטות”</w:t>
      </w:r>
      <w:bookmarkStart w:id="6803" w:name="_fnr5197"/>
      <w:r>
        <w:rPr>
          <w:rStyle w:val="a5"/>
        </w:rPr>
        <w:footnoteReference w:id="5211" w:customMarkFollows="0"/>
      </w:r>
      <w:bookmarkEnd w:id="6803"/>
      <w:r>
        <w:rPr>
          <w:rtl/>
        </w:rPr>
        <w:t xml:space="preserve"> מביא ארבעה סיפורים אופייניים על חסדו כלפי יחידים. אחד מהם, מפי חתנו של </w:t>
      </w:r>
      <w:r>
        <w:rPr>
          <w:rtl/>
        </w:rPr>
        <w:lastRenderedPageBreak/>
        <w:t>ר׳ חיים, ר׳ הירש (</w:t>
      </w:r>
      <w:proofErr w:type="spellStart"/>
      <w:r>
        <w:rPr>
          <w:rtl/>
        </w:rPr>
        <w:t>צבי־דב</w:t>
      </w:r>
      <w:proofErr w:type="spellEnd"/>
      <w:r>
        <w:rPr>
          <w:rtl/>
        </w:rPr>
        <w:t xml:space="preserve">) גליקסון, הוא על אישה ענייה הרה שבעלה עזב אותה </w:t>
      </w:r>
      <w:proofErr w:type="spellStart"/>
      <w:r>
        <w:rPr>
          <w:rtl/>
        </w:rPr>
        <w:t>אחד־עשר</w:t>
      </w:r>
      <w:proofErr w:type="spellEnd"/>
      <w:r>
        <w:rPr>
          <w:rtl/>
        </w:rPr>
        <w:t xml:space="preserve"> חודשים קודם לכן. ר׳ חיים ציווה על הרבנית להכניס את האישה לביתם עד אחרי הלידה, ערך בביתו את ברית הילד, שנראה כממזר, וסידר לה קצבה חודשית לפרנסתה ולפרנסת התינוק</w:t>
      </w:r>
      <w:bookmarkStart w:id="6804" w:name="_fnr5198"/>
      <w:r>
        <w:rPr>
          <w:rStyle w:val="a5"/>
        </w:rPr>
        <w:footnoteReference w:id="5212" w:customMarkFollows="0"/>
      </w:r>
      <w:bookmarkEnd w:id="6804"/>
      <w:r>
        <w:rPr>
          <w:rtl/>
        </w:rPr>
        <w:t>.</w:t>
      </w:r>
    </w:p>
    <w:p w14:paraId="075F1E05" w14:textId="77777777" w:rsidR="00AB3647" w:rsidRDefault="00000000" w:rsidP="007923E9">
      <w:pPr>
        <w:spacing w:after="120" w:line="276" w:lineRule="auto"/>
        <w:ind w:firstLine="283"/>
        <w:jc w:val="both"/>
      </w:pPr>
      <w:r>
        <w:rPr>
          <w:rtl/>
        </w:rPr>
        <w:t xml:space="preserve">ר׳ </w:t>
      </w:r>
      <w:proofErr w:type="spellStart"/>
      <w:r>
        <w:rPr>
          <w:rtl/>
        </w:rPr>
        <w:t>לייבל</w:t>
      </w:r>
      <w:proofErr w:type="spellEnd"/>
      <w:r>
        <w:rPr>
          <w:rtl/>
        </w:rPr>
        <w:t xml:space="preserve"> </w:t>
      </w:r>
      <w:proofErr w:type="spellStart"/>
      <w:r>
        <w:rPr>
          <w:rtl/>
        </w:rPr>
        <w:t>פרלשטיין</w:t>
      </w:r>
      <w:bookmarkStart w:id="6805" w:name="_fnr5199"/>
      <w:proofErr w:type="spellEnd"/>
      <w:r>
        <w:rPr>
          <w:rStyle w:val="a5"/>
        </w:rPr>
        <w:footnoteReference w:id="5213" w:customMarkFollows="0"/>
      </w:r>
      <w:bookmarkEnd w:id="6805"/>
      <w:r>
        <w:rPr>
          <w:rtl/>
        </w:rPr>
        <w:t xml:space="preserve"> ציטט את רבנו: “</w:t>
      </w:r>
      <w:proofErr w:type="spellStart"/>
      <w:r>
        <w:rPr>
          <w:rtl/>
        </w:rPr>
        <w:t>לר</w:t>
      </w:r>
      <w:proofErr w:type="spellEnd"/>
      <w:r>
        <w:rPr>
          <w:rtl/>
        </w:rPr>
        <w:t xml:space="preserve">׳ חיים היה בית מלא תינוקות ממזרים”. כוונתו לא הייתה לסיפור </w:t>
      </w:r>
      <w:proofErr w:type="spellStart"/>
      <w:r>
        <w:rPr>
          <w:rtl/>
        </w:rPr>
        <w:t>שב“אישים</w:t>
      </w:r>
      <w:proofErr w:type="spellEnd"/>
      <w:r>
        <w:rPr>
          <w:rtl/>
        </w:rPr>
        <w:t xml:space="preserve"> ושיטות”, שבו היה הילד לכאורה ממזר על פי ההלכה, אלא לכך שר׳ חיים היה מכניס לביתו תינוקות אסופים ומגדלם – אלה שבלשון היידיש, אף שלא כהלכה, נקראים “</w:t>
      </w:r>
      <w:proofErr w:type="spellStart"/>
      <w:r>
        <w:rPr>
          <w:rtl/>
        </w:rPr>
        <w:t>ממזירים</w:t>
      </w:r>
      <w:proofErr w:type="spellEnd"/>
      <w:r>
        <w:rPr>
          <w:rtl/>
        </w:rPr>
        <w:t>”</w:t>
      </w:r>
      <w:bookmarkStart w:id="6806" w:name="_fnr5200"/>
      <w:r>
        <w:rPr>
          <w:rStyle w:val="a5"/>
        </w:rPr>
        <w:footnoteReference w:id="5214" w:customMarkFollows="0"/>
      </w:r>
      <w:bookmarkEnd w:id="6806"/>
      <w:r>
        <w:rPr>
          <w:rtl/>
        </w:rPr>
        <w:t xml:space="preserve">. נראה שהיה זה דבר שכיח </w:t>
      </w:r>
      <w:proofErr w:type="spellStart"/>
      <w:r>
        <w:rPr>
          <w:rtl/>
        </w:rPr>
        <w:t>בבריסק</w:t>
      </w:r>
      <w:proofErr w:type="spellEnd"/>
      <w:r>
        <w:rPr>
          <w:rtl/>
        </w:rPr>
        <w:t>, ואולי גם בכפרים הסמוכים לה, להניח ילד לא רצוי – תופעה נדירה בין יהודים, כמובן – על מפתן ביתו. ראה גם בסוף פסקה זו כיצד, על פי המסופר, החשיב ר׳ חיים משימה זו לאחד מתפקידיו העיקריים של כל רב!</w:t>
      </w:r>
    </w:p>
    <w:p w14:paraId="670F6A39" w14:textId="77777777" w:rsidR="00AB3647" w:rsidRDefault="00000000" w:rsidP="007923E9">
      <w:pPr>
        <w:spacing w:after="120" w:line="276" w:lineRule="auto"/>
        <w:ind w:firstLine="283"/>
        <w:jc w:val="both"/>
      </w:pPr>
      <w:r>
        <w:rPr>
          <w:rtl/>
        </w:rPr>
        <w:t xml:space="preserve">ר׳ </w:t>
      </w:r>
      <w:proofErr w:type="spellStart"/>
      <w:r>
        <w:rPr>
          <w:rtl/>
        </w:rPr>
        <w:t>עזריאל־זליג־נח</w:t>
      </w:r>
      <w:proofErr w:type="spellEnd"/>
      <w:r>
        <w:rPr>
          <w:rtl/>
        </w:rPr>
        <w:t xml:space="preserve"> </w:t>
      </w:r>
      <w:proofErr w:type="spellStart"/>
      <w:r>
        <w:rPr>
          <w:rtl/>
        </w:rPr>
        <w:t>קושלבסקי</w:t>
      </w:r>
      <w:proofErr w:type="spellEnd"/>
      <w:r>
        <w:rPr>
          <w:rtl/>
        </w:rPr>
        <w:t xml:space="preserve">, </w:t>
      </w:r>
      <w:proofErr w:type="spellStart"/>
      <w:r>
        <w:rPr>
          <w:rtl/>
        </w:rPr>
        <w:t>מ״ץ</w:t>
      </w:r>
      <w:proofErr w:type="spellEnd"/>
      <w:r>
        <w:rPr>
          <w:rtl/>
        </w:rPr>
        <w:t xml:space="preserve"> </w:t>
      </w:r>
      <w:proofErr w:type="spellStart"/>
      <w:r>
        <w:rPr>
          <w:rtl/>
        </w:rPr>
        <w:t>יאגוסטוב</w:t>
      </w:r>
      <w:proofErr w:type="spellEnd"/>
      <w:r>
        <w:rPr>
          <w:rtl/>
        </w:rPr>
        <w:t xml:space="preserve">, כותב בהספדו על ר׳ חיים </w:t>
      </w:r>
      <w:proofErr w:type="spellStart"/>
      <w:r>
        <w:rPr>
          <w:rtl/>
        </w:rPr>
        <w:t>סולובייצ׳יק</w:t>
      </w:r>
      <w:proofErr w:type="spellEnd"/>
      <w:r>
        <w:rPr>
          <w:rtl/>
        </w:rPr>
        <w:t xml:space="preserve"> </w:t>
      </w:r>
      <w:proofErr w:type="spellStart"/>
      <w:r>
        <w:rPr>
          <w:rtl/>
        </w:rPr>
        <w:t>ב“ממעונות</w:t>
      </w:r>
      <w:proofErr w:type="spellEnd"/>
      <w:r>
        <w:rPr>
          <w:rtl/>
        </w:rPr>
        <w:t xml:space="preserve"> אריות”</w:t>
      </w:r>
      <w:bookmarkStart w:id="6807" w:name="_fnr5201"/>
      <w:r>
        <w:rPr>
          <w:rStyle w:val="a5"/>
        </w:rPr>
        <w:footnoteReference w:id="5215" w:customMarkFollows="0"/>
      </w:r>
      <w:bookmarkEnd w:id="6807"/>
      <w:r>
        <w:rPr>
          <w:rtl/>
        </w:rPr>
        <w:t xml:space="preserve"> שהבריות השתוממו כיצד שמר ר׳ חיים על מדרגתו בידיעת התורה, בשעה שהיה טרוד תמיד בדאגה לשלומו של “כל עני ומר נפש הבא אל פתחו, ומשתדל למלא את בקשותיהם; מכל עבר נהרו אליו אנשים שונים לשפוך את שיחם, והוא קיבלם בסבר פנים יפות והשתתף בצערו של כל אחד ואחד”</w:t>
      </w:r>
      <w:bookmarkStart w:id="6808" w:name="_fnr5202"/>
      <w:r>
        <w:rPr>
          <w:rStyle w:val="a5"/>
        </w:rPr>
        <w:footnoteReference w:id="5216" w:customMarkFollows="0"/>
      </w:r>
      <w:bookmarkEnd w:id="6808"/>
      <w:r>
        <w:rPr>
          <w:rtl/>
        </w:rPr>
        <w:t>.</w:t>
      </w:r>
    </w:p>
    <w:p w14:paraId="556B06B0" w14:textId="77777777" w:rsidR="00AB3647" w:rsidRDefault="00000000" w:rsidP="007923E9">
      <w:pPr>
        <w:spacing w:after="120" w:line="276" w:lineRule="auto"/>
        <w:ind w:firstLine="283"/>
        <w:jc w:val="both"/>
      </w:pPr>
      <w:r>
        <w:rPr>
          <w:rtl/>
        </w:rPr>
        <w:t>ר׳ שלמה אשכנזי ציטט</w:t>
      </w:r>
      <w:bookmarkStart w:id="6809" w:name="_fnr5203"/>
      <w:r>
        <w:rPr>
          <w:rStyle w:val="a5"/>
        </w:rPr>
        <w:footnoteReference w:id="5217" w:customMarkFollows="0"/>
      </w:r>
      <w:bookmarkEnd w:id="6809"/>
      <w:r>
        <w:rPr>
          <w:rtl/>
        </w:rPr>
        <w:t xml:space="preserve"> את מחותנו ר׳ ישראל רוטשילד: אביו, ר׳ שמעון, נשלח בידי רבה של פרנקפורט, ר׳ </w:t>
      </w:r>
      <w:proofErr w:type="spellStart"/>
      <w:r>
        <w:rPr>
          <w:rtl/>
        </w:rPr>
        <w:t>שלמה־זלמן</w:t>
      </w:r>
      <w:proofErr w:type="spellEnd"/>
      <w:r>
        <w:rPr>
          <w:rtl/>
        </w:rPr>
        <w:t xml:space="preserve"> </w:t>
      </w:r>
      <w:proofErr w:type="spellStart"/>
      <w:r>
        <w:rPr>
          <w:rtl/>
        </w:rPr>
        <w:t>ברויאר</w:t>
      </w:r>
      <w:proofErr w:type="spellEnd"/>
      <w:r>
        <w:rPr>
          <w:rtl/>
        </w:rPr>
        <w:t xml:space="preserve">, </w:t>
      </w:r>
      <w:proofErr w:type="spellStart"/>
      <w:r>
        <w:rPr>
          <w:rtl/>
        </w:rPr>
        <w:t>לבריסק</w:t>
      </w:r>
      <w:proofErr w:type="spellEnd"/>
      <w:r>
        <w:rPr>
          <w:rtl/>
        </w:rPr>
        <w:t xml:space="preserve">, לדון עם ר׳ חיים </w:t>
      </w:r>
      <w:proofErr w:type="spellStart"/>
      <w:r>
        <w:rPr>
          <w:rtl/>
        </w:rPr>
        <w:t>סולובייצ׳יק</w:t>
      </w:r>
      <w:proofErr w:type="spellEnd"/>
      <w:r>
        <w:rPr>
          <w:rtl/>
        </w:rPr>
        <w:t xml:space="preserve"> בעניין מסוים. ר׳ חיים אמר לו שיוכל לדון עמו באותו לילה, ור׳ שמעון קיבל רשות לשהות כל היום בביתו ולהתבונן במתרחש. לאחר מכן שאל ר׳ שמעון: “במחילת כבוד הרב, מאחר שהוא עסוק כל היום בענייני חסד, מתי יש לו פנאי ללמוד?” ור׳ חיים השיב: “צריך היה ללמוד זמן רב לפני שמקבלים על עצמם להיות רבה של </w:t>
      </w:r>
      <w:proofErr w:type="spellStart"/>
      <w:r>
        <w:rPr>
          <w:rtl/>
        </w:rPr>
        <w:t>בריסק</w:t>
      </w:r>
      <w:proofErr w:type="spellEnd"/>
      <w:r>
        <w:rPr>
          <w:rtl/>
        </w:rPr>
        <w:t>”</w:t>
      </w:r>
      <w:bookmarkStart w:id="6810" w:name="_fnr5204"/>
      <w:r>
        <w:rPr>
          <w:rStyle w:val="a5"/>
        </w:rPr>
        <w:footnoteReference w:id="5218" w:customMarkFollows="0"/>
      </w:r>
      <w:bookmarkEnd w:id="6810"/>
      <w:r>
        <w:rPr>
          <w:rtl/>
        </w:rPr>
        <w:t>.</w:t>
      </w:r>
    </w:p>
    <w:p w14:paraId="05EC830E" w14:textId="77777777" w:rsidR="00AB3647" w:rsidRDefault="00000000" w:rsidP="007923E9">
      <w:pPr>
        <w:spacing w:after="120" w:line="276" w:lineRule="auto"/>
        <w:ind w:firstLine="283"/>
        <w:jc w:val="both"/>
      </w:pPr>
      <w:r>
        <w:rPr>
          <w:rtl/>
        </w:rPr>
        <w:lastRenderedPageBreak/>
        <w:t>יעקב מארק</w:t>
      </w:r>
      <w:bookmarkStart w:id="6811" w:name="_fnr5205"/>
      <w:r>
        <w:rPr>
          <w:rStyle w:val="a5"/>
        </w:rPr>
        <w:footnoteReference w:id="5219" w:customMarkFollows="0"/>
      </w:r>
      <w:bookmarkEnd w:id="6811"/>
      <w:r>
        <w:rPr>
          <w:rtl/>
        </w:rPr>
        <w:t xml:space="preserve"> מספר: “לא פעם קרה שר׳ חיים הניח לעשירי </w:t>
      </w:r>
      <w:proofErr w:type="spellStart"/>
      <w:r>
        <w:rPr>
          <w:rtl/>
        </w:rPr>
        <w:t>בריסק</w:t>
      </w:r>
      <w:proofErr w:type="spellEnd"/>
      <w:r>
        <w:rPr>
          <w:rtl/>
        </w:rPr>
        <w:t xml:space="preserve"> להמתין לו שעות ארוכות, בשעה שהיה עסוק בשמיעת דבריהם של יהודים ויהודיות עניים ושבורי לב. גם בהיותו </w:t>
      </w:r>
      <w:proofErr w:type="spellStart"/>
      <w:r>
        <w:rPr>
          <w:rtl/>
        </w:rPr>
        <w:t>בליבאו</w:t>
      </w:r>
      <w:proofErr w:type="spellEnd"/>
      <w:r>
        <w:rPr>
          <w:rtl/>
        </w:rPr>
        <w:t xml:space="preserve">” – מקום מגוריו של מארק, שבו התבונן בר׳ חיים – “היה יושב לעיתים קרובות בצד בית המדרש ומשוחח ארוכות עם יהודי זקן ופשוט. לא יכולתי להתאפק, ופעם השלכתי לעברו שאלה: איזה דיבור יכול להיות לו עם יהודי כזה, </w:t>
      </w:r>
      <w:proofErr w:type="spellStart"/>
      <w:r>
        <w:rPr>
          <w:rtl/>
        </w:rPr>
        <w:t>תהילים־זאגער</w:t>
      </w:r>
      <w:proofErr w:type="spellEnd"/>
      <w:r>
        <w:rPr>
          <w:rtl/>
        </w:rPr>
        <w:t>. קיבלתי תשובה לא מחמיאה ביותר: ‘אין זה לפי כבודך ולפי כבוד שכמותך (כלומר, אוהדי ההשכלה</w:t>
      </w:r>
      <w:bookmarkStart w:id="6812" w:name="_fnr5206"/>
      <w:r>
        <w:rPr>
          <w:rStyle w:val="a5"/>
        </w:rPr>
        <w:footnoteReference w:id="5220" w:customMarkFollows="0"/>
      </w:r>
      <w:bookmarkEnd w:id="6812"/>
      <w:r>
        <w:rPr>
          <w:rtl/>
        </w:rPr>
        <w:t>) לדבר עם יהודי כזה – בלי להביא בחשבון שאולי לבו מלא צרות והוא זקוק למישהו לשוחח עמו עליהן’”.</w:t>
      </w:r>
    </w:p>
    <w:p w14:paraId="5D6C5FE4" w14:textId="77777777" w:rsidR="00AB3647" w:rsidRDefault="00000000" w:rsidP="007923E9">
      <w:pPr>
        <w:spacing w:after="120" w:line="276" w:lineRule="auto"/>
        <w:ind w:firstLine="283"/>
        <w:jc w:val="both"/>
      </w:pPr>
      <w:r>
        <w:rPr>
          <w:rtl/>
        </w:rPr>
        <w:t xml:space="preserve">על דברי מארק בעניין הנהגת ר׳ חיים </w:t>
      </w:r>
      <w:proofErr w:type="spellStart"/>
      <w:r>
        <w:rPr>
          <w:rtl/>
        </w:rPr>
        <w:t>בבריסק</w:t>
      </w:r>
      <w:proofErr w:type="spellEnd"/>
      <w:r>
        <w:rPr>
          <w:rtl/>
        </w:rPr>
        <w:t>, חזר ר׳ ישמעאל כהן</w:t>
      </w:r>
      <w:bookmarkStart w:id="6813" w:name="_fnr5207"/>
      <w:r>
        <w:rPr>
          <w:rStyle w:val="a5"/>
        </w:rPr>
        <w:footnoteReference w:id="5221" w:customMarkFollows="0"/>
      </w:r>
      <w:bookmarkEnd w:id="6813"/>
      <w:r>
        <w:rPr>
          <w:rtl/>
        </w:rPr>
        <w:t xml:space="preserve"> על אמרה ששמע מרבו, ר׳ </w:t>
      </w:r>
      <w:proofErr w:type="spellStart"/>
      <w:r>
        <w:rPr>
          <w:rtl/>
        </w:rPr>
        <w:t xml:space="preserve">יוסף־דב</w:t>
      </w:r>
      <w:proofErr w:type="spellEnd"/>
      <w:r>
        <w:rPr>
          <w:rtl/>
        </w:rPr>
        <w:t xml:space="preserve"> </w:t>
      </w:r>
      <w:proofErr w:type="spellStart"/>
      <w:r>
        <w:rPr>
          <w:rtl/>
        </w:rPr>
        <w:t>סולובייצ׳יק</w:t>
      </w:r>
      <w:proofErr w:type="spellEnd"/>
      <w:r>
        <w:rPr>
          <w:rtl/>
        </w:rPr>
        <w:t xml:space="preserve">, בשם ר׳ חיים: אם עשיר ועני רוצים שניהם לדבר עם הרב, יש להקדים את העני, מפני שהעשיר אולי מבקש רק לפטפט, ואילו העני בוודאי בא לדבר על בעיה. עוד סיפר ר׳ </w:t>
      </w:r>
      <w:proofErr w:type="spellStart"/>
      <w:r>
        <w:rPr>
          <w:rtl/>
        </w:rPr>
        <w:t xml:space="preserve">יוסף־דב</w:t>
      </w:r>
      <w:proofErr w:type="spellEnd"/>
      <w:r>
        <w:rPr>
          <w:rtl/>
        </w:rPr>
        <w:t xml:space="preserve"> שפעם ישב ר׳ חיים באספה ציבורית של בעלי תעשייה עשירים, נכנס השמש ולחש דבר מה באוזנו, ור׳ חיים יצא מן האספה. כששב כעבור עשר דקות הסביר שאלמנה באה לביתו, וכשנאמר לה שהרב נמצא באספה עם אנשים חשובים במקום אחר, עמדה על כך שתמתין לו מחוץ למקום האספה: היא ישבה בחוץ ובכתה, והמתינה שיפתור לה חלום רע. כשאחד מבעלי התעשייה העיר שעשר דקות מזמנו שוות כסף רב, השיב ר׳ חיים: “דמעותיה של אלמנה חשובות לי יותר מכל מה שנחליט כאן”.</w:t>
      </w:r>
    </w:p>
    <w:p w14:paraId="21A78353" w14:textId="77777777" w:rsidR="00AB3647" w:rsidRDefault="00000000" w:rsidP="007923E9">
      <w:pPr>
        <w:spacing w:after="120" w:line="276" w:lineRule="auto"/>
        <w:ind w:firstLine="283"/>
        <w:jc w:val="both"/>
      </w:pPr>
      <w:r>
        <w:rPr>
          <w:rtl/>
        </w:rPr>
        <w:t xml:space="preserve">ר׳ </w:t>
      </w:r>
      <w:proofErr w:type="spellStart"/>
      <w:r>
        <w:rPr>
          <w:rtl/>
        </w:rPr>
        <w:t xml:space="preserve">יוסף־דב</w:t>
      </w:r>
      <w:proofErr w:type="spellEnd"/>
      <w:r>
        <w:rPr>
          <w:rtl/>
        </w:rPr>
        <w:t xml:space="preserve"> סיפר לתלמידיו שחזר על הסיפור הזה באוזני דוד </w:t>
      </w:r>
      <w:proofErr w:type="spellStart"/>
      <w:r>
        <w:rPr>
          <w:rtl/>
        </w:rPr>
        <w:t>בן־גוריון</w:t>
      </w:r>
      <w:proofErr w:type="spellEnd"/>
      <w:r>
        <w:rPr>
          <w:rtl/>
        </w:rPr>
        <w:t xml:space="preserve">, כשזה ביקר אצלו בבוסטון אחרי פטירת הרב הראשי </w:t>
      </w:r>
      <w:proofErr w:type="spellStart"/>
      <w:r>
        <w:rPr>
          <w:rtl/>
        </w:rPr>
        <w:t>יצחק־אייזיק</w:t>
      </w:r>
      <w:proofErr w:type="spellEnd"/>
      <w:r>
        <w:rPr>
          <w:rtl/>
        </w:rPr>
        <w:t xml:space="preserve"> הרצוג והציע להכתירו ליורשו. הוא אמר </w:t>
      </w:r>
      <w:proofErr w:type="spellStart"/>
      <w:r>
        <w:rPr>
          <w:rtl/>
        </w:rPr>
        <w:t>לבן־גוריון</w:t>
      </w:r>
      <w:proofErr w:type="spellEnd"/>
      <w:r>
        <w:rPr>
          <w:rtl/>
        </w:rPr>
        <w:t xml:space="preserve"> שיהיה רב כמו סבו שבסיפור, ולא יוכל למלא את התפקיד הטקסי המצופה מרב ראשי לישראל.</w:t>
      </w:r>
    </w:p>
    <w:p w14:paraId="3265C44C" w14:textId="77777777" w:rsidR="00AB3647" w:rsidRDefault="00000000" w:rsidP="007923E9">
      <w:pPr>
        <w:spacing w:after="120" w:line="276" w:lineRule="auto"/>
        <w:ind w:firstLine="283"/>
        <w:jc w:val="both"/>
      </w:pPr>
      <w:r>
        <w:rPr>
          <w:rtl/>
        </w:rPr>
        <w:t xml:space="preserve">עוד סיפור יוצא דופן שסיפר ר׳ </w:t>
      </w:r>
      <w:proofErr w:type="spellStart"/>
      <w:r>
        <w:rPr>
          <w:rtl/>
        </w:rPr>
        <w:t xml:space="preserve">יוסף־דב</w:t>
      </w:r>
      <w:proofErr w:type="spellEnd"/>
      <w:r>
        <w:rPr>
          <w:rtl/>
        </w:rPr>
        <w:t xml:space="preserve"> </w:t>
      </w:r>
      <w:proofErr w:type="spellStart"/>
      <w:r>
        <w:rPr>
          <w:rtl/>
        </w:rPr>
        <w:t>לבן־גוריון</w:t>
      </w:r>
      <w:proofErr w:type="spellEnd"/>
      <w:r>
        <w:rPr>
          <w:rtl/>
        </w:rPr>
        <w:t>: שמשו של ר׳ חיים ראה אותו פעם זוחל על ארבע וילד רוכב על גבו, כפי שעשו שם עוד שני זוגות ילדים של “סוס” ורוכב. ר׳ חיים הסביר שעבר במקום וראה ארבעה ילדים רוכבים, וילד חמישי בוכה. כששאל את הילד מדוע הוא בוכה, ונענה שאין לו סוס לרכוב עליו, אמר ר׳ חיים: “בוא, אהיה הסוס שלך”. ר׳ חיים הוסיף לשמשו, בנימה של התנצלות: “וכי יכולתי להניח לילד יהודי לבכות?!”</w:t>
      </w:r>
      <w:bookmarkStart w:id="6814" w:name="_fnr5208"/>
      <w:r>
        <w:rPr>
          <w:rStyle w:val="a5"/>
        </w:rPr>
        <w:footnoteReference w:id="5222" w:customMarkFollows="0"/>
      </w:r>
      <w:bookmarkEnd w:id="6814"/>
      <w:r>
        <w:rPr>
          <w:rtl/>
        </w:rPr>
        <w:t>.</w:t>
      </w:r>
    </w:p>
    <w:p w14:paraId="0528537B" w14:textId="77777777" w:rsidR="00AB3647" w:rsidRDefault="00000000" w:rsidP="007923E9">
      <w:pPr>
        <w:spacing w:after="120" w:line="276" w:lineRule="auto"/>
        <w:ind w:firstLine="283"/>
        <w:jc w:val="both"/>
      </w:pPr>
      <w:r>
        <w:rPr>
          <w:rtl/>
        </w:rPr>
        <w:lastRenderedPageBreak/>
        <w:t>גם ר׳ מאיר פינס סיפר לי</w:t>
      </w:r>
      <w:bookmarkStart w:id="6815" w:name="_fnr5209"/>
      <w:r>
        <w:rPr>
          <w:rStyle w:val="a5"/>
        </w:rPr>
        <w:footnoteReference w:id="5223" w:customMarkFollows="0"/>
      </w:r>
      <w:bookmarkEnd w:id="6815"/>
      <w:r>
        <w:rPr>
          <w:rtl/>
        </w:rPr>
        <w:t xml:space="preserve"> שכאשר התכונן ר׳ חיים לעזוב את מינסק בתום מלחמת העולם הראשונה ולנסוע לוורשה כדי לטפל שם במחלת הכבד שלו, אמרה המשרתת שבביתו שגם היא רוצה להצטרף למשפחת </w:t>
      </w:r>
      <w:proofErr w:type="spellStart"/>
      <w:r>
        <w:rPr>
          <w:rtl/>
        </w:rPr>
        <w:t>סולובייצ׳יק</w:t>
      </w:r>
      <w:proofErr w:type="spellEnd"/>
      <w:r>
        <w:rPr>
          <w:rtl/>
        </w:rPr>
        <w:t>, והוא הרשה לה. ר׳ מאיר לא גילה מה הייתה טענתה, אבל אפשר לשער שלא רצתה לעזוב בית שבו זכתה ליחס מלכותי, כפי שבוודאי נהגו בה על פי הוראותיו של ר׳ חיים</w:t>
      </w:r>
      <w:bookmarkStart w:id="6816" w:name="_fnr5210"/>
      <w:r>
        <w:rPr>
          <w:rStyle w:val="a5"/>
        </w:rPr>
        <w:footnoteReference w:id="5224" w:customMarkFollows="0"/>
      </w:r>
      <w:bookmarkEnd w:id="6816"/>
      <w:r>
        <w:rPr>
          <w:rtl/>
        </w:rPr>
        <w:t>.</w:t>
      </w:r>
    </w:p>
    <w:p w14:paraId="77174E2D" w14:textId="77777777" w:rsidR="00AB3647" w:rsidRDefault="00000000" w:rsidP="007923E9">
      <w:pPr>
        <w:spacing w:after="120" w:line="276" w:lineRule="auto"/>
        <w:ind w:firstLine="283"/>
        <w:jc w:val="both"/>
      </w:pPr>
      <w:r>
        <w:rPr>
          <w:rtl/>
        </w:rPr>
        <w:t xml:space="preserve">על התעלמותו של ר׳ חיים מן העשירים שבבני קהילתו, ימצא הקורא עניין במה שכתב ר׳ </w:t>
      </w:r>
      <w:proofErr w:type="spellStart"/>
      <w:r>
        <w:rPr>
          <w:rtl/>
        </w:rPr>
        <w:t>יצחק־אייזיק</w:t>
      </w:r>
      <w:proofErr w:type="spellEnd"/>
      <w:r>
        <w:rPr>
          <w:rtl/>
        </w:rPr>
        <w:t xml:space="preserve"> הלוי</w:t>
      </w:r>
      <w:bookmarkStart w:id="6817" w:name="_fnr5211"/>
      <w:r>
        <w:rPr>
          <w:rStyle w:val="a5"/>
        </w:rPr>
        <w:footnoteReference w:id="5225" w:customMarkFollows="0"/>
      </w:r>
      <w:bookmarkEnd w:id="6817"/>
      <w:r>
        <w:rPr>
          <w:rtl/>
        </w:rPr>
        <w:t xml:space="preserve"> </w:t>
      </w:r>
      <w:proofErr w:type="spellStart"/>
      <w:r>
        <w:rPr>
          <w:rtl/>
        </w:rPr>
        <w:t>לר</w:t>
      </w:r>
      <w:proofErr w:type="spellEnd"/>
      <w:r>
        <w:rPr>
          <w:rtl/>
        </w:rPr>
        <w:t xml:space="preserve">׳ יעקב </w:t>
      </w:r>
      <w:proofErr w:type="spellStart"/>
      <w:r>
        <w:rPr>
          <w:rtl/>
        </w:rPr>
        <w:t>רוזנהיים</w:t>
      </w:r>
      <w:proofErr w:type="spellEnd"/>
      <w:r>
        <w:rPr>
          <w:rtl/>
        </w:rPr>
        <w:t xml:space="preserve">, כשזה הציע </w:t>
      </w:r>
      <w:proofErr w:type="spellStart"/>
      <w:r>
        <w:rPr>
          <w:rtl/>
        </w:rPr>
        <w:t>ש“מארקס</w:t>
      </w:r>
      <w:proofErr w:type="spellEnd"/>
      <w:r>
        <w:rPr>
          <w:rtl/>
        </w:rPr>
        <w:t xml:space="preserve"> (העשיר) מקניגסברג” יכתוב </w:t>
      </w:r>
      <w:proofErr w:type="spellStart"/>
      <w:r>
        <w:rPr>
          <w:rtl/>
        </w:rPr>
        <w:t>לר</w:t>
      </w:r>
      <w:proofErr w:type="spellEnd"/>
      <w:r>
        <w:rPr>
          <w:rtl/>
        </w:rPr>
        <w:t>׳ חיים כדי להשפיע עליו להצטרף אליהם לכינוס עסקנים</w:t>
      </w:r>
      <w:bookmarkStart w:id="6818" w:name="_fnr5212"/>
      <w:r>
        <w:rPr>
          <w:rStyle w:val="a5"/>
        </w:rPr>
        <w:footnoteReference w:id="5226" w:customMarkFollows="0"/>
      </w:r>
      <w:bookmarkEnd w:id="6818"/>
      <w:r>
        <w:rPr>
          <w:rtl/>
        </w:rPr>
        <w:t>. הלוי השיב: “ממכתבך היקר מיום 23 בפברואר</w:t>
      </w:r>
      <w:bookmarkStart w:id="6819" w:name="_fnr5213"/>
      <w:r>
        <w:rPr>
          <w:rStyle w:val="a5"/>
        </w:rPr>
        <w:footnoteReference w:id="5227" w:customMarkFollows="0"/>
      </w:r>
      <w:bookmarkEnd w:id="6819"/>
      <w:r>
        <w:rPr>
          <w:rtl/>
        </w:rPr>
        <w:t xml:space="preserve"> אני רואה שאתה סבור שכדי להשפיע על רבה של </w:t>
      </w:r>
      <w:proofErr w:type="spellStart"/>
      <w:r>
        <w:rPr>
          <w:rtl/>
        </w:rPr>
        <w:t>בריסק</w:t>
      </w:r>
      <w:proofErr w:type="spellEnd"/>
      <w:r>
        <w:rPr>
          <w:rtl/>
        </w:rPr>
        <w:t xml:space="preserve"> יש צורך בפקידים גדולים ונכבדים, ולכן אתה חושב שאם תורה לא הועילה, אולי גדולה</w:t>
      </w:r>
      <w:bookmarkStart w:id="6820" w:name="_fnr5214"/>
      <w:r>
        <w:rPr>
          <w:rStyle w:val="a5"/>
        </w:rPr>
        <w:footnoteReference w:id="5228" w:customMarkFollows="0"/>
      </w:r>
      <w:bookmarkEnd w:id="6820"/>
      <w:r>
        <w:rPr>
          <w:rtl/>
        </w:rPr>
        <w:t xml:space="preserve"> תועיל. כל הדברים האלה מראים לי רק שאתה [אולי] מכיר את רוב רבני רוסיה, אבל לא את יחידי הסגולה שבהם: רבה של </w:t>
      </w:r>
      <w:proofErr w:type="spellStart"/>
      <w:r>
        <w:rPr>
          <w:rtl/>
        </w:rPr>
        <w:t>בריסק</w:t>
      </w:r>
      <w:proofErr w:type="spellEnd"/>
      <w:r>
        <w:rPr>
          <w:rtl/>
        </w:rPr>
        <w:t xml:space="preserve"> אין לו בעולמו אלא תורה, וגדולתם [עושרם] של אפילו מיליונרים כרוטשילד אינה משפיעה עליו אפילו קוצו של יו״ד”.</w:t>
      </w:r>
    </w:p>
    <w:p w14:paraId="541F12E7" w14:textId="77777777" w:rsidR="00AB3647" w:rsidRDefault="00000000" w:rsidP="007923E9">
      <w:pPr>
        <w:spacing w:after="120" w:line="276" w:lineRule="auto"/>
        <w:ind w:firstLine="283"/>
        <w:jc w:val="both"/>
      </w:pPr>
      <w:r>
        <w:rPr>
          <w:rtl/>
        </w:rPr>
        <w:t xml:space="preserve">בעניין פתרון החלום, שלמענו הפסיק ר׳ חיים את האספה עם עשירי </w:t>
      </w:r>
      <w:proofErr w:type="spellStart"/>
      <w:r>
        <w:rPr>
          <w:rtl/>
        </w:rPr>
        <w:t>בריסק</w:t>
      </w:r>
      <w:proofErr w:type="spellEnd"/>
      <w:r>
        <w:rPr>
          <w:rtl/>
        </w:rPr>
        <w:t xml:space="preserve">: בראשית שנות </w:t>
      </w:r>
      <w:proofErr w:type="spellStart"/>
      <w:r>
        <w:rPr>
          <w:rtl/>
        </w:rPr>
        <w:t>התש״ך</w:t>
      </w:r>
      <w:proofErr w:type="spellEnd"/>
      <w:r>
        <w:rPr>
          <w:rtl/>
        </w:rPr>
        <w:t xml:space="preserve"> פגשתי בארצות הברית יהודי זקן ויקר, ר׳ נפתלי קפלן, שראה בעצמו מעשה נוסף מסוג זה. הוא שירת בצבא הרוסי סמוך </w:t>
      </w:r>
      <w:proofErr w:type="spellStart"/>
      <w:r>
        <w:rPr>
          <w:rtl/>
        </w:rPr>
        <w:t>לבריסק</w:t>
      </w:r>
      <w:proofErr w:type="spellEnd"/>
      <w:r>
        <w:rPr>
          <w:rtl/>
        </w:rPr>
        <w:t xml:space="preserve"> לפני מלחמת העולם הראשונה, ויחד עם חיילים אחרים היה בא לעיתים קרובות לבית הרב לאכול ארוחות כשרות – עוד דוגמה לדאגתו של ר׳ חיים לנצרכים. ר׳ נפתלי סיפר מעשה שראה, בלי לדעת שיש בו גם כדי לתאר את דרך החשיבה האנליטית של ר׳ חיים, שבה נודע בעולם הישיבות.</w:t>
      </w:r>
    </w:p>
    <w:p w14:paraId="4724F9D1" w14:textId="77777777" w:rsidR="00AB3647" w:rsidRDefault="00000000" w:rsidP="007923E9">
      <w:pPr>
        <w:spacing w:after="120" w:line="276" w:lineRule="auto"/>
        <w:ind w:firstLine="283"/>
        <w:jc w:val="both"/>
      </w:pPr>
      <w:r>
        <w:rPr>
          <w:rtl/>
        </w:rPr>
        <w:t xml:space="preserve">אלמנה ענייה באה אל “ביתו של ר׳ </w:t>
      </w:r>
      <w:proofErr w:type="spellStart"/>
      <w:r>
        <w:rPr>
          <w:rtl/>
        </w:rPr>
        <w:t>חיים׳קה</w:t>
      </w:r>
      <w:proofErr w:type="spellEnd"/>
      <w:r>
        <w:rPr>
          <w:rtl/>
        </w:rPr>
        <w:t xml:space="preserve">” בשעת בוקר מוקדמת, ופניה שטופות דמעות: באותו לילה חלמה שבנה הקטן והיחיד מת, וכשהתעוררה בבהלה, מיששה את ראשו של הילד והנה הוא בוער מחום. ר׳ חיים אמר לה: “באשר לחלום, אין בו משמעות רעה – הכול יהיה טוב; ובאשר לחומו של בנך, הנה רובל וקחי אותו לדוקטור פלוני”. ר׳ חיים פירק את סיפור האלמנה לשני חלקים שאין ביניהם קשר: החלום וחום הילד. כשחזרתי על הסיפור לפני רבנו, העיר שהייתה זו תופעה שכיחה שאדם בא אל ר׳ חיים טוב הלב להטבת חלום. השווה גם “פון </w:t>
      </w:r>
      <w:proofErr w:type="spellStart"/>
      <w:r>
        <w:rPr>
          <w:rtl/>
        </w:rPr>
        <w:t>וואלאזין</w:t>
      </w:r>
      <w:proofErr w:type="spellEnd"/>
      <w:r>
        <w:rPr>
          <w:rtl/>
        </w:rPr>
        <w:t xml:space="preserve"> </w:t>
      </w:r>
      <w:proofErr w:type="spellStart"/>
      <w:r>
        <w:rPr>
          <w:rtl/>
        </w:rPr>
        <w:t>ביז</w:t>
      </w:r>
      <w:proofErr w:type="spellEnd"/>
      <w:r>
        <w:rPr>
          <w:rtl/>
        </w:rPr>
        <w:t xml:space="preserve"> ירושלים”</w:t>
      </w:r>
      <w:bookmarkStart w:id="6821" w:name="_fnr5215"/>
      <w:r>
        <w:rPr>
          <w:rStyle w:val="a5"/>
        </w:rPr>
        <w:footnoteReference w:id="5229" w:customMarkFollows="0"/>
      </w:r>
      <w:bookmarkEnd w:id="6821"/>
      <w:r>
        <w:rPr>
          <w:rtl/>
        </w:rPr>
        <w:t xml:space="preserve">, שם מסופר כיצד התבדח ר׳ חיים שהטבת חלומות היא עיקר עיסוקו </w:t>
      </w:r>
      <w:proofErr w:type="spellStart"/>
      <w:r>
        <w:rPr>
          <w:rtl/>
        </w:rPr>
        <w:t>בבריסק</w:t>
      </w:r>
      <w:proofErr w:type="spellEnd"/>
      <w:r>
        <w:rPr>
          <w:rtl/>
        </w:rPr>
        <w:t>.</w:t>
      </w:r>
    </w:p>
    <w:p w14:paraId="70908EDB" w14:textId="77777777" w:rsidR="00AB3647" w:rsidRDefault="00000000" w:rsidP="007923E9">
      <w:pPr>
        <w:spacing w:after="120" w:line="276" w:lineRule="auto"/>
        <w:ind w:firstLine="283"/>
        <w:jc w:val="both"/>
      </w:pPr>
      <w:bookmarkStart w:id="6822" w:name="pr_b_2800"/>
      <w:bookmarkEnd w:id="6822"/>
      <w:r>
        <w:rPr>
          <w:rtl/>
        </w:rPr>
        <w:lastRenderedPageBreak/>
        <w:t xml:space="preserve">על ישיבותיו של ר׳ חיים עם מי שאינם בני תורה, או על עיסוקיו האחרים שנראים כביטול זמן, ראוי לחזור על המסופר </w:t>
      </w:r>
      <w:proofErr w:type="spellStart"/>
      <w:r>
        <w:rPr>
          <w:rtl/>
        </w:rPr>
        <w:t>ב“יתד</w:t>
      </w:r>
      <w:proofErr w:type="spellEnd"/>
      <w:r>
        <w:rPr>
          <w:rtl/>
        </w:rPr>
        <w:t xml:space="preserve"> נאמן”</w:t>
      </w:r>
      <w:bookmarkStart w:id="6823" w:name="_fnr5216"/>
      <w:r>
        <w:rPr>
          <w:rStyle w:val="a5"/>
        </w:rPr>
        <w:footnoteReference w:id="5230" w:customMarkFollows="0"/>
      </w:r>
      <w:bookmarkEnd w:id="6823"/>
      <w:r>
        <w:rPr>
          <w:rtl/>
        </w:rPr>
        <w:t xml:space="preserve"> בשם בנו ר׳ יצחק־זאב. הוא סיפר שפעמים רבות ראה את אביו מזיע מאוד בשעת שיחה פשוטה עם אדם כלשהו, והסיבה הייתה שר׳ חיים אימץ אז את מחשבתו כדי לגבש רעיון. עוד גילה ר׳ יצחק־זאב שלא פעם, באמצע שיחה, היה אביו נכנס לחדר הסמוך, שבו למד בנו, ומקשה על האופן שבו ביאר את </w:t>
      </w:r>
      <w:proofErr w:type="spellStart"/>
      <w:r>
        <w:rPr>
          <w:rtl/>
        </w:rPr>
        <w:t>הסוגיה</w:t>
      </w:r>
      <w:proofErr w:type="spellEnd"/>
      <w:r>
        <w:rPr>
          <w:rtl/>
        </w:rPr>
        <w:t xml:space="preserve"> שדן בה עמו קודם לכן. אחרי ששב לאורחיו, היה עשוי להיכנס שוב לאותו חדר ולומר שמצא תירוץ </w:t>
      </w:r>
      <w:proofErr w:type="spellStart"/>
      <w:r>
        <w:rPr>
          <w:rtl/>
        </w:rPr>
        <w:t>לקושיה</w:t>
      </w:r>
      <w:proofErr w:type="spellEnd"/>
      <w:r>
        <w:rPr>
          <w:rtl/>
        </w:rPr>
        <w:t>. כך המשיך לשוחח עם אורחיו, ומחשבתו נתונה לסוגיית הלימוד.</w:t>
      </w:r>
    </w:p>
    <w:p w14:paraId="74C54FC8" w14:textId="77777777" w:rsidR="00AB3647" w:rsidRDefault="00000000" w:rsidP="007923E9">
      <w:pPr>
        <w:spacing w:after="120" w:line="276" w:lineRule="auto"/>
        <w:ind w:firstLine="283"/>
        <w:jc w:val="both"/>
      </w:pPr>
      <w:r>
        <w:rPr>
          <w:rtl/>
        </w:rPr>
        <w:t>אף שפרץ דרך מיוחדת ויצר גישה חדשה ללימוד התלמוד (מוטב לומר: גילה אותה)</w:t>
      </w:r>
      <w:bookmarkStart w:id="6824" w:name="_fnr5217"/>
      <w:r>
        <w:rPr>
          <w:rStyle w:val="a5"/>
        </w:rPr>
        <w:footnoteReference w:id="5231" w:customMarkFollows="0"/>
      </w:r>
      <w:bookmarkEnd w:id="6824"/>
      <w:r>
        <w:rPr>
          <w:rtl/>
        </w:rPr>
        <w:t xml:space="preserve">, ראה ר׳ חיים את עיקר הישגו בחיים בתחום החסד. כך הטעים פעם רבנו לפני ר׳ </w:t>
      </w:r>
      <w:proofErr w:type="spellStart"/>
      <w:r>
        <w:rPr>
          <w:rtl/>
        </w:rPr>
        <w:t>יעקב־יצחק</w:t>
      </w:r>
      <w:proofErr w:type="spellEnd"/>
      <w:r>
        <w:rPr>
          <w:rtl/>
        </w:rPr>
        <w:t xml:space="preserve"> </w:t>
      </w:r>
      <w:proofErr w:type="spellStart"/>
      <w:r>
        <w:rPr>
          <w:rtl/>
        </w:rPr>
        <w:t>רודרמן</w:t>
      </w:r>
      <w:bookmarkStart w:id="6825" w:name="_fnr5218"/>
      <w:proofErr w:type="spellEnd"/>
      <w:r>
        <w:rPr>
          <w:rStyle w:val="a5"/>
        </w:rPr>
        <w:footnoteReference w:id="5232" w:customMarkFollows="0"/>
      </w:r>
      <w:bookmarkEnd w:id="6825"/>
      <w:r>
        <w:rPr>
          <w:rtl/>
        </w:rPr>
        <w:t>, כשסיפר שר׳ חיים ציווה שלא ייכתב על מצבתו אלא: “איש חסד היה”. גם ר׳ עזריה ברזון סיפר</w:t>
      </w:r>
      <w:bookmarkStart w:id="6826" w:name="_fnr5219"/>
      <w:r>
        <w:rPr>
          <w:rStyle w:val="a5"/>
        </w:rPr>
        <w:footnoteReference w:id="5233" w:customMarkFollows="0"/>
      </w:r>
      <w:bookmarkEnd w:id="6826"/>
      <w:r>
        <w:rPr>
          <w:rtl/>
        </w:rPr>
        <w:t xml:space="preserve"> בשם ר׳ </w:t>
      </w:r>
      <w:proofErr w:type="spellStart"/>
      <w:r>
        <w:rPr>
          <w:rtl/>
        </w:rPr>
        <w:t xml:space="preserve">יוסף־דב</w:t>
      </w:r>
      <w:proofErr w:type="spellEnd"/>
      <w:r>
        <w:rPr>
          <w:rtl/>
        </w:rPr>
        <w:t xml:space="preserve"> </w:t>
      </w:r>
      <w:proofErr w:type="spellStart"/>
      <w:r>
        <w:rPr>
          <w:rtl/>
        </w:rPr>
        <w:t>סולובייצ׳יק</w:t>
      </w:r>
      <w:proofErr w:type="spellEnd"/>
      <w:r>
        <w:rPr>
          <w:rtl/>
        </w:rPr>
        <w:t>, שצוואתו האחרונה של סבו ר׳ חיים הייתה שרק שלוש המילים האלה ייחרתו על מצבתו</w:t>
      </w:r>
      <w:bookmarkStart w:id="6827" w:name="_fnr5220"/>
      <w:r>
        <w:rPr>
          <w:rStyle w:val="a5"/>
        </w:rPr>
        <w:footnoteReference w:id="5234" w:customMarkFollows="0"/>
      </w:r>
      <w:bookmarkEnd w:id="6827"/>
      <w:r>
        <w:rPr>
          <w:rtl/>
        </w:rPr>
        <w:t>.</w:t>
      </w:r>
    </w:p>
    <w:p w14:paraId="50929EF8" w14:textId="77777777" w:rsidR="00AB3647" w:rsidRDefault="00000000" w:rsidP="007923E9">
      <w:pPr>
        <w:spacing w:after="120" w:line="276" w:lineRule="auto"/>
        <w:ind w:firstLine="283"/>
        <w:jc w:val="both"/>
      </w:pPr>
      <w:r>
        <w:rPr>
          <w:rtl/>
        </w:rPr>
        <w:t>כשקרא רבנו שבפועל נחקקה על המצבה מגילת שבחים, הצטער מאוד. “איך יכלו להמרות את רצונו?!” מחה. הוא רמז שידע מי אשם בכך, אך “מחמת גודל העוולה” לא יגלה את שמו</w:t>
      </w:r>
      <w:bookmarkStart w:id="6828" w:name="_fnr5221"/>
      <w:r>
        <w:rPr>
          <w:rStyle w:val="a5"/>
        </w:rPr>
        <w:footnoteReference w:id="5235" w:customMarkFollows="0"/>
      </w:r>
      <w:bookmarkEnd w:id="6828"/>
      <w:r>
        <w:rPr>
          <w:rtl/>
        </w:rPr>
        <w:t xml:space="preserve">. את הנוסח הרצוף של הכתובת שעל המצבה מסר לי נכדו של ר׳ חיים, ר׳ </w:t>
      </w:r>
      <w:proofErr w:type="spellStart"/>
      <w:r>
        <w:rPr>
          <w:rtl/>
        </w:rPr>
        <w:t>משולם־דוד</w:t>
      </w:r>
      <w:proofErr w:type="spellEnd"/>
      <w:r>
        <w:rPr>
          <w:rtl/>
        </w:rPr>
        <w:t xml:space="preserve"> </w:t>
      </w:r>
      <w:proofErr w:type="spellStart"/>
      <w:r>
        <w:rPr>
          <w:rtl/>
        </w:rPr>
        <w:t>סולובייצ׳יק</w:t>
      </w:r>
      <w:proofErr w:type="spellEnd"/>
      <w:r>
        <w:rPr>
          <w:rtl/>
        </w:rPr>
        <w:t>, וזו לשונה</w:t>
      </w:r>
      <w:bookmarkStart w:id="6829" w:name="_fnr5222"/>
      <w:r>
        <w:rPr>
          <w:rStyle w:val="a5"/>
        </w:rPr>
        <w:footnoteReference w:id="5236" w:customMarkFollows="0"/>
      </w:r>
      <w:bookmarkEnd w:id="6829"/>
      <w:r>
        <w:rPr>
          <w:rtl/>
        </w:rPr>
        <w:t>:</w:t>
      </w:r>
    </w:p>
    <w:p w14:paraId="23E97EEA" w14:textId="77777777" w:rsidR="00AB3647" w:rsidRDefault="00000000" w:rsidP="007923E9">
      <w:pPr>
        <w:pStyle w:val="af1"/>
        <w:spacing w:line="276" w:lineRule="auto"/>
      </w:pPr>
      <w:r>
        <w:t>פ״נ</w:t>
      </w:r>
    </w:p>
    <w:p w14:paraId="4FB6A349" w14:textId="77777777" w:rsidR="00AB3647" w:rsidRDefault="00000000" w:rsidP="007923E9">
      <w:pPr>
        <w:pStyle w:val="af1"/>
        <w:spacing w:line="276" w:lineRule="auto"/>
      </w:pPr>
      <w:r>
        <w:t>רבנו הגדול רב החסד</w:t>
      </w:r>
      <w:bookmarkStart w:id="6830" w:name="_fnr5223"/>
      <w:r>
        <w:rPr>
          <w:rStyle w:val="a5"/>
        </w:rPr>
        <w:footnoteReference w:id="5237" w:customMarkFollows="0"/>
      </w:r>
      <w:bookmarkEnd w:id="6830"/>
      <w:r>
        <w:t xml:space="preserve"> שר התורה</w:t>
      </w:r>
    </w:p>
    <w:p w14:paraId="2CA2FDEA" w14:textId="77777777" w:rsidR="00AB3647" w:rsidRDefault="00000000" w:rsidP="007923E9">
      <w:pPr>
        <w:pStyle w:val="af1"/>
        <w:spacing w:line="276" w:lineRule="auto"/>
      </w:pPr>
      <w:r>
        <w:t>הגאון החסיד האמיתי רבן של כל ישראל</w:t>
      </w:r>
    </w:p>
    <w:p w14:paraId="03F3BE0C" w14:textId="77777777" w:rsidR="00AB3647" w:rsidRDefault="00000000" w:rsidP="007923E9">
      <w:pPr>
        <w:pStyle w:val="af1"/>
        <w:spacing w:line="276" w:lineRule="auto"/>
      </w:pPr>
      <w:r>
        <w:t>אשר נתן דרך בים התלמוד וסלל נתיבה</w:t>
      </w:r>
    </w:p>
    <w:p w14:paraId="38CE8323" w14:textId="77777777" w:rsidR="00AB3647" w:rsidRDefault="00000000" w:rsidP="007923E9">
      <w:pPr>
        <w:pStyle w:val="af1"/>
        <w:spacing w:line="276" w:lineRule="auto"/>
      </w:pPr>
      <w:r>
        <w:t>חדשה בידיעת והבנת התורה לאמיתה</w:t>
      </w:r>
    </w:p>
    <w:p w14:paraId="6589B911" w14:textId="77777777" w:rsidR="00AB3647" w:rsidRDefault="00000000" w:rsidP="007923E9">
      <w:pPr>
        <w:pStyle w:val="af1"/>
        <w:spacing w:line="276" w:lineRule="auto"/>
      </w:pPr>
      <w:r>
        <w:t>והעמיד תלמידים למאות ולאלפים</w:t>
      </w:r>
    </w:p>
    <w:p w14:paraId="6F8DBBD5" w14:textId="77777777" w:rsidR="00AB3647" w:rsidRDefault="00000000" w:rsidP="007923E9">
      <w:pPr>
        <w:pStyle w:val="af1"/>
        <w:spacing w:line="276" w:lineRule="auto"/>
      </w:pPr>
      <w:proofErr w:type="spellStart"/>
      <w:r>
        <w:t>כקש״ת</w:t>
      </w:r>
      <w:proofErr w:type="spellEnd"/>
      <w:r>
        <w:t xml:space="preserve"> מרן ר׳ חיים הלוי </w:t>
      </w:r>
      <w:proofErr w:type="spellStart"/>
      <w:r>
        <w:t>זצללה״ה</w:t>
      </w:r>
      <w:proofErr w:type="spellEnd"/>
    </w:p>
    <w:p w14:paraId="2B6BC17B" w14:textId="77777777" w:rsidR="00AB3647" w:rsidRDefault="00000000" w:rsidP="007923E9">
      <w:pPr>
        <w:pStyle w:val="af1"/>
        <w:spacing w:line="276" w:lineRule="auto"/>
      </w:pPr>
      <w:proofErr w:type="spellStart"/>
      <w:r>
        <w:t>סאלאווייציק</w:t>
      </w:r>
      <w:proofErr w:type="spellEnd"/>
    </w:p>
    <w:p w14:paraId="5FEA6320" w14:textId="77777777" w:rsidR="00AB3647" w:rsidRDefault="00000000" w:rsidP="007923E9">
      <w:pPr>
        <w:pStyle w:val="af1"/>
        <w:spacing w:line="276" w:lineRule="auto"/>
      </w:pPr>
      <w:proofErr w:type="spellStart"/>
      <w:r>
        <w:t>בהגאון</w:t>
      </w:r>
      <w:proofErr w:type="spellEnd"/>
      <w:r>
        <w:t xml:space="preserve"> מרן ר׳ יוסף דוב הלוי </w:t>
      </w:r>
      <w:proofErr w:type="spellStart"/>
      <w:r>
        <w:t>זצללה״ה</w:t>
      </w:r>
      <w:proofErr w:type="spellEnd"/>
    </w:p>
    <w:p w14:paraId="3DE99B7E" w14:textId="77777777" w:rsidR="00AB3647" w:rsidRDefault="00000000" w:rsidP="007923E9">
      <w:pPr>
        <w:pStyle w:val="af1"/>
        <w:spacing w:line="276" w:lineRule="auto"/>
      </w:pPr>
      <w:r>
        <w:t xml:space="preserve">בראשיתו ר״מ בישיבת </w:t>
      </w:r>
      <w:proofErr w:type="spellStart"/>
      <w:r>
        <w:t>וואלאזשין</w:t>
      </w:r>
      <w:proofErr w:type="spellEnd"/>
    </w:p>
    <w:p w14:paraId="45FEF495" w14:textId="77777777" w:rsidR="00AB3647" w:rsidRDefault="00000000" w:rsidP="007923E9">
      <w:pPr>
        <w:pStyle w:val="af1"/>
        <w:spacing w:line="276" w:lineRule="auto"/>
      </w:pPr>
      <w:r>
        <w:t xml:space="preserve">ובאחריתו אב״ד </w:t>
      </w:r>
      <w:proofErr w:type="spellStart"/>
      <w:r>
        <w:t>בבריסק</w:t>
      </w:r>
      <w:proofErr w:type="spellEnd"/>
      <w:r>
        <w:t xml:space="preserve"> </w:t>
      </w:r>
      <w:proofErr w:type="spellStart"/>
      <w:r>
        <w:t>דליטא</w:t>
      </w:r>
      <w:proofErr w:type="spellEnd"/>
    </w:p>
    <w:p w14:paraId="60F9E0BA" w14:textId="77777777" w:rsidR="00AB3647" w:rsidRDefault="00000000" w:rsidP="007923E9">
      <w:pPr>
        <w:pStyle w:val="af1"/>
        <w:spacing w:line="276" w:lineRule="auto"/>
      </w:pPr>
      <w:r>
        <w:t>והשאיר אחריו ברכה בכתב יד</w:t>
      </w:r>
    </w:p>
    <w:p w14:paraId="6D2F2F49" w14:textId="77777777" w:rsidR="00AB3647" w:rsidRDefault="00000000" w:rsidP="007923E9">
      <w:pPr>
        <w:pStyle w:val="af1"/>
        <w:spacing w:line="276" w:lineRule="auto"/>
      </w:pPr>
      <w:r>
        <w:t>חיבור גדול על הרמב״ם שיראה אור</w:t>
      </w:r>
    </w:p>
    <w:p w14:paraId="4635FD0E" w14:textId="77777777" w:rsidR="00AB3647" w:rsidRDefault="00000000" w:rsidP="007923E9">
      <w:pPr>
        <w:pStyle w:val="af1"/>
        <w:spacing w:line="276" w:lineRule="auto"/>
      </w:pPr>
      <w:r>
        <w:lastRenderedPageBreak/>
        <w:t>כעמוד האש הפיץ אור חדש</w:t>
      </w:r>
    </w:p>
    <w:p w14:paraId="2039CD8A" w14:textId="77777777" w:rsidR="00AB3647" w:rsidRDefault="00000000" w:rsidP="007923E9">
      <w:pPr>
        <w:pStyle w:val="af1"/>
        <w:spacing w:line="276" w:lineRule="auto"/>
      </w:pPr>
      <w:r>
        <w:t>על דרכה של תורה וגילה לתלמידיו</w:t>
      </w:r>
    </w:p>
    <w:p w14:paraId="648EFD99" w14:textId="77777777" w:rsidR="00AB3647" w:rsidRDefault="00000000" w:rsidP="007923E9">
      <w:pPr>
        <w:pStyle w:val="af1"/>
        <w:spacing w:line="276" w:lineRule="auto"/>
      </w:pPr>
      <w:r>
        <w:t>דבריה כמו שהם שמחים כנתינתם מסיני</w:t>
      </w:r>
      <w:bookmarkStart w:id="6831" w:name="_fnr5224"/>
      <w:r>
        <w:rPr>
          <w:rStyle w:val="a5"/>
        </w:rPr>
        <w:footnoteReference w:id="5238" w:customMarkFollows="0"/>
      </w:r>
      <w:bookmarkEnd w:id="6831"/>
    </w:p>
    <w:p w14:paraId="5CA3C7F2" w14:textId="77777777" w:rsidR="00AB3647" w:rsidRDefault="00000000" w:rsidP="007923E9">
      <w:pPr>
        <w:pStyle w:val="af1"/>
        <w:spacing w:line="276" w:lineRule="auto"/>
      </w:pPr>
      <w:r>
        <w:t>נתבקש בישיבה של מעלה</w:t>
      </w:r>
    </w:p>
    <w:p w14:paraId="123A884D" w14:textId="77777777" w:rsidR="00AB3647" w:rsidRDefault="00000000" w:rsidP="007923E9">
      <w:pPr>
        <w:pStyle w:val="af1"/>
        <w:spacing w:line="276" w:lineRule="auto"/>
      </w:pPr>
      <w:r>
        <w:t>ביום כ״א מנחם אב שנת תרע״ח</w:t>
      </w:r>
    </w:p>
    <w:p w14:paraId="6A8BAF56" w14:textId="77777777" w:rsidR="00AB3647" w:rsidRDefault="00000000" w:rsidP="007923E9">
      <w:pPr>
        <w:pStyle w:val="af1"/>
        <w:spacing w:line="276" w:lineRule="auto"/>
      </w:pPr>
      <w:r>
        <w:t xml:space="preserve">כי בא השמש לפ״ק </w:t>
      </w:r>
      <w:proofErr w:type="spellStart"/>
      <w:r>
        <w:t>באטוואצק</w:t>
      </w:r>
      <w:bookmarkStart w:id="6832" w:name="_fnr5225"/>
      <w:proofErr w:type="spellEnd"/>
      <w:r>
        <w:rPr>
          <w:rStyle w:val="a5"/>
        </w:rPr>
        <w:footnoteReference w:id="5239" w:customMarkFollows="0"/>
      </w:r>
      <w:bookmarkEnd w:id="6832"/>
    </w:p>
    <w:p w14:paraId="0BD26D62" w14:textId="77777777" w:rsidR="00AB3647" w:rsidRDefault="00000000" w:rsidP="007923E9">
      <w:pPr>
        <w:pStyle w:val="af1"/>
        <w:spacing w:line="276" w:lineRule="auto"/>
      </w:pPr>
      <w:r>
        <w:t>ת נ צ ב ” ה</w:t>
      </w:r>
    </w:p>
    <w:p w14:paraId="22BAF4BD" w14:textId="77777777" w:rsidR="00AB3647" w:rsidRDefault="00000000" w:rsidP="007923E9">
      <w:pPr>
        <w:spacing w:after="120" w:line="276" w:lineRule="auto"/>
        <w:ind w:firstLine="283"/>
        <w:jc w:val="both"/>
      </w:pPr>
      <w:r>
        <w:rPr>
          <w:rtl/>
        </w:rPr>
        <w:t xml:space="preserve">ר׳ חיים קבור באוהל, וקברו סמוך לקבר </w:t>
      </w:r>
      <w:proofErr w:type="spellStart"/>
      <w:r>
        <w:rPr>
          <w:rtl/>
        </w:rPr>
        <w:t>הנצי״ב</w:t>
      </w:r>
      <w:proofErr w:type="spellEnd"/>
      <w:r>
        <w:rPr>
          <w:rtl/>
        </w:rPr>
        <w:t xml:space="preserve">. מצבותיהם האופקיות צמודות זו לזו, בלי שום הפרדה ביניהן. בראש המצבה הכפולה עומד לוח אנכי משותף, ושורתו הראשונה אומרת: “אהל משפחת ראשי ישיבת ‘עץ חיים’ </w:t>
      </w:r>
      <w:proofErr w:type="spellStart"/>
      <w:r>
        <w:rPr>
          <w:rtl/>
        </w:rPr>
        <w:t>דוואלאזשין</w:t>
      </w:r>
      <w:proofErr w:type="spellEnd"/>
      <w:r>
        <w:rPr>
          <w:rtl/>
        </w:rPr>
        <w:t xml:space="preserve">”. מתחת לכתובת זו מחלק קו אמצעי את שאר הלוח לשני חלקים. בראש הצד הימני ארבע שורות: “רבנו הרב חיים הלוי זצ״ל </w:t>
      </w:r>
      <w:proofErr w:type="spellStart"/>
      <w:r>
        <w:rPr>
          <w:rtl/>
        </w:rPr>
        <w:t>סאלאווייציק</w:t>
      </w:r>
      <w:proofErr w:type="spellEnd"/>
      <w:r>
        <w:rPr>
          <w:rtl/>
        </w:rPr>
        <w:t xml:space="preserve"> </w:t>
      </w:r>
      <w:proofErr w:type="spellStart"/>
      <w:r>
        <w:rPr>
          <w:rtl/>
        </w:rPr>
        <w:t>האב״ד</w:t>
      </w:r>
      <w:proofErr w:type="spellEnd"/>
      <w:r>
        <w:rPr>
          <w:rtl/>
        </w:rPr>
        <w:t xml:space="preserve"> </w:t>
      </w:r>
      <w:proofErr w:type="spellStart"/>
      <w:r>
        <w:rPr>
          <w:rtl/>
        </w:rPr>
        <w:t>בבריסק</w:t>
      </w:r>
      <w:proofErr w:type="spellEnd"/>
      <w:r>
        <w:rPr>
          <w:rtl/>
        </w:rPr>
        <w:t xml:space="preserve"> </w:t>
      </w:r>
      <w:proofErr w:type="spellStart"/>
      <w:r>
        <w:rPr>
          <w:rtl/>
        </w:rPr>
        <w:t>דליטא</w:t>
      </w:r>
      <w:proofErr w:type="spellEnd"/>
      <w:r>
        <w:rPr>
          <w:rtl/>
        </w:rPr>
        <w:t xml:space="preserve">”, ובראש הצד השמאלי מספר שורות זהה: “רבנו הרב נפתלי צבי יהודה ברלין זצ״ל </w:t>
      </w:r>
      <w:proofErr w:type="spellStart"/>
      <w:r>
        <w:rPr>
          <w:rtl/>
        </w:rPr>
        <w:t>הנצי״ב</w:t>
      </w:r>
      <w:proofErr w:type="spellEnd"/>
      <w:r>
        <w:rPr>
          <w:rtl/>
        </w:rPr>
        <w:t xml:space="preserve"> </w:t>
      </w:r>
      <w:proofErr w:type="spellStart"/>
      <w:r>
        <w:rPr>
          <w:rtl/>
        </w:rPr>
        <w:t>מוואלאזשין</w:t>
      </w:r>
      <w:proofErr w:type="spellEnd"/>
      <w:r>
        <w:rPr>
          <w:rtl/>
        </w:rPr>
        <w:t>”.</w:t>
      </w:r>
    </w:p>
    <w:p w14:paraId="794BA99C" w14:textId="77777777" w:rsidR="00AB3647" w:rsidRDefault="00000000" w:rsidP="007923E9">
      <w:pPr>
        <w:spacing w:after="120" w:line="276" w:lineRule="auto"/>
        <w:ind w:firstLine="283"/>
        <w:jc w:val="both"/>
      </w:pPr>
      <w:r>
        <w:rPr>
          <w:rtl/>
        </w:rPr>
        <w:t xml:space="preserve">כשציווה ר׳ חיים על נוסח המצבה בן שלוש המילים, “איש חסד היה”, לא יכול היה לדעת שההשגחה תביאו </w:t>
      </w:r>
      <w:proofErr w:type="spellStart"/>
      <w:r>
        <w:rPr>
          <w:rtl/>
        </w:rPr>
        <w:t>לאוטבוצק</w:t>
      </w:r>
      <w:proofErr w:type="spellEnd"/>
      <w:r>
        <w:rPr>
          <w:rtl/>
        </w:rPr>
        <w:t xml:space="preserve"> שליד ורשה, ושם ימות, ושייקבר באוהל לצד </w:t>
      </w:r>
      <w:proofErr w:type="spellStart"/>
      <w:r>
        <w:rPr>
          <w:rtl/>
        </w:rPr>
        <w:t>הנצי״ב</w:t>
      </w:r>
      <w:proofErr w:type="spellEnd"/>
      <w:r>
        <w:rPr>
          <w:rtl/>
        </w:rPr>
        <w:t xml:space="preserve"> (מכוח פסק מיוחד, כפי שסופר לעיל, עמ׳ </w:t>
      </w:r>
      <w:r>
        <w:rPr>
          <w:rtl/>
        </w:rPr>
        <w:fldChar w:fldCharType="begin" w:dirty="true"/>
      </w:r>
      <w:r>
        <w:rPr>
          <w:rtl/>
        </w:rPr>
        <w:instrText xml:space="preserve"> PAGEREF pr_b_2480 \h </w:instrText>
      </w:r>
      <w:r>
        <w:rPr>
          <w:rtl/>
        </w:rPr>
      </w:r>
      <w:r>
        <w:rPr>
          <w:rtl/>
        </w:rPr>
        <w:fldChar w:fldCharType="separate"/>
      </w:r>
      <w:r w:rsidR="007923E9">
        <w:rPr>
          <w:noProof/>
          <w:rtl/>
        </w:rPr>
        <w:t>1</w:t>
      </w:r>
      <w:r>
        <w:rPr>
          <w:rtl/>
        </w:rPr>
        <w:fldChar w:fldCharType="end"/>
      </w:r>
      <w:r>
        <w:rPr>
          <w:rtl/>
        </w:rPr>
        <w:t xml:space="preserve">). ייתכן שהאדם שרבנו האשים בהרחבת הנוסח שציווה ר׳ חיים סבר שיהיה זה ביזיון </w:t>
      </w:r>
      <w:proofErr w:type="spellStart"/>
      <w:r>
        <w:rPr>
          <w:rtl/>
        </w:rPr>
        <w:t>לר</w:t>
      </w:r>
      <w:proofErr w:type="spellEnd"/>
      <w:r>
        <w:rPr>
          <w:rtl/>
        </w:rPr>
        <w:t xml:space="preserve">׳ חיים להיות מונצח בשלוש מילים, בשעה </w:t>
      </w:r>
      <w:proofErr w:type="spellStart"/>
      <w:r>
        <w:rPr>
          <w:rtl/>
        </w:rPr>
        <w:t>שהנצי״ב</w:t>
      </w:r>
      <w:proofErr w:type="spellEnd"/>
      <w:r>
        <w:rPr>
          <w:rtl/>
        </w:rPr>
        <w:t xml:space="preserve"> זוכה, כמעט על אותה מצבה, לשבחים מפורטים. בדומה לכך, אך בכיוון ההפוך, הורה ר׳ שמואל </w:t>
      </w:r>
      <w:proofErr w:type="spellStart"/>
      <w:r>
        <w:rPr>
          <w:rtl/>
        </w:rPr>
        <w:t>סלנט</w:t>
      </w:r>
      <w:proofErr w:type="spellEnd"/>
      <w:r>
        <w:rPr>
          <w:rtl/>
        </w:rPr>
        <w:t>, רבה של ירושלים, לחקוק על מצבתו רק את שמו</w:t>
      </w:r>
      <w:bookmarkStart w:id="6833" w:name="_fnr5226"/>
      <w:r>
        <w:rPr>
          <w:rStyle w:val="a5"/>
        </w:rPr>
        <w:footnoteReference w:id="5240" w:customMarkFollows="0"/>
      </w:r>
      <w:bookmarkEnd w:id="6833"/>
      <w:r>
        <w:rPr>
          <w:rtl/>
        </w:rPr>
        <w:t xml:space="preserve"> – מן הסתם מפני שמקום קברו היה שמור במשך למעלה מארבעים שנה לצד קבר חותנו, ר׳ </w:t>
      </w:r>
      <w:proofErr w:type="spellStart"/>
      <w:r>
        <w:rPr>
          <w:rtl/>
        </w:rPr>
        <w:t>יוסף־זונדל</w:t>
      </w:r>
      <w:proofErr w:type="spellEnd"/>
      <w:r>
        <w:rPr>
          <w:rtl/>
        </w:rPr>
        <w:t>, שעל מצבתו נחקק שמו בלבד. מכל מקום, ייתכן שרבנו לא ידע היכן נמצאת מצבת ר׳ חיים כשהביע את תרעומתו על מי ששינה את הנוסח.</w:t>
      </w:r>
    </w:p>
    <w:p w14:paraId="66B6B34A" w14:textId="77777777" w:rsidR="00AB3647" w:rsidRDefault="00000000" w:rsidP="007923E9">
      <w:pPr>
        <w:spacing w:after="120" w:line="276" w:lineRule="auto"/>
        <w:ind w:firstLine="283"/>
        <w:jc w:val="both"/>
      </w:pPr>
      <w:r>
        <w:rPr>
          <w:rtl/>
        </w:rPr>
        <w:t xml:space="preserve">אפשר שהמילים “רב החסד” הוקדמו בכתובת (ולמילה שאחריהן, “שר”, לא נוספה </w:t>
      </w:r>
      <w:proofErr w:type="spellStart"/>
      <w:r>
        <w:rPr>
          <w:rtl/>
        </w:rPr>
        <w:t>וא״ו</w:t>
      </w:r>
      <w:proofErr w:type="spellEnd"/>
      <w:r>
        <w:rPr>
          <w:rtl/>
        </w:rPr>
        <w:t xml:space="preserve"> החיבור) – במקום הנוסח הצפוי, “שר התורה ורב החסד”, שבו התורה קודמת לחסד</w:t>
      </w:r>
      <w:bookmarkStart w:id="6834" w:name="_fnr5227"/>
      <w:r>
        <w:rPr>
          <w:rStyle w:val="a5"/>
        </w:rPr>
        <w:footnoteReference w:id="5241" w:customMarkFollows="0"/>
      </w:r>
      <w:bookmarkEnd w:id="6834"/>
      <w:r>
        <w:rPr>
          <w:rtl/>
        </w:rPr>
        <w:t xml:space="preserve"> – מפני שרצונו של ר׳ חיים היה שרק מידת חסדו תונצח על מצבתו. “הרב”</w:t>
      </w:r>
      <w:bookmarkStart w:id="6835" w:name="_fnr5228"/>
      <w:r>
        <w:rPr>
          <w:rStyle w:val="a5"/>
        </w:rPr>
        <w:footnoteReference w:id="5242" w:customMarkFollows="0"/>
      </w:r>
      <w:bookmarkEnd w:id="6835"/>
      <w:r>
        <w:rPr>
          <w:rtl/>
        </w:rPr>
        <w:t xml:space="preserve"> מצטט את ר׳ </w:t>
      </w:r>
      <w:proofErr w:type="spellStart"/>
      <w:r>
        <w:rPr>
          <w:rtl/>
        </w:rPr>
        <w:t xml:space="preserve">יוסף־דב</w:t>
      </w:r>
      <w:proofErr w:type="spellEnd"/>
      <w:r>
        <w:rPr>
          <w:rtl/>
        </w:rPr>
        <w:t xml:space="preserve"> </w:t>
      </w:r>
      <w:proofErr w:type="spellStart"/>
      <w:r>
        <w:rPr>
          <w:rtl/>
        </w:rPr>
        <w:t>סולובייצ׳יק</w:t>
      </w:r>
      <w:proofErr w:type="spellEnd"/>
      <w:r>
        <w:rPr>
          <w:rtl/>
        </w:rPr>
        <w:t xml:space="preserve">, שאביו נשאל בעניין הכתובת </w:t>
      </w:r>
      <w:proofErr w:type="spellStart"/>
      <w:r>
        <w:rPr>
          <w:rtl/>
        </w:rPr>
        <w:t>ו“עמד</w:t>
      </w:r>
      <w:proofErr w:type="spellEnd"/>
      <w:r>
        <w:rPr>
          <w:rtl/>
        </w:rPr>
        <w:t xml:space="preserve"> על כך שהתואר העיקרי יהיה ‘רב החסד’”</w:t>
      </w:r>
      <w:bookmarkStart w:id="6836" w:name="_fnr5229"/>
      <w:r>
        <w:rPr>
          <w:rStyle w:val="a5"/>
        </w:rPr>
        <w:footnoteReference w:id="5243" w:customMarkFollows="0"/>
      </w:r>
      <w:bookmarkEnd w:id="6836"/>
      <w:r>
        <w:rPr>
          <w:rtl/>
        </w:rPr>
        <w:t>.</w:t>
      </w:r>
    </w:p>
    <w:p w14:paraId="0A091433" w14:textId="77777777" w:rsidR="00AB3647" w:rsidRDefault="00000000" w:rsidP="007923E9">
      <w:pPr>
        <w:spacing w:after="120" w:line="276" w:lineRule="auto"/>
        <w:ind w:firstLine="283"/>
        <w:jc w:val="both"/>
      </w:pPr>
      <w:r>
        <w:rPr>
          <w:rtl/>
        </w:rPr>
        <w:lastRenderedPageBreak/>
        <w:t>בעניין הכיתוב “רב החסד”, צוטט ר׳ שאול רוט</w:t>
      </w:r>
      <w:bookmarkStart w:id="6837" w:name="_fnr5230"/>
      <w:r>
        <w:rPr>
          <w:rStyle w:val="a5"/>
        </w:rPr>
        <w:footnoteReference w:id="5244" w:customMarkFollows="0"/>
      </w:r>
      <w:bookmarkEnd w:id="6837"/>
      <w:r>
        <w:rPr>
          <w:rtl/>
        </w:rPr>
        <w:t xml:space="preserve"> בשם רבו ר׳ </w:t>
      </w:r>
      <w:proofErr w:type="spellStart"/>
      <w:r>
        <w:rPr>
          <w:rtl/>
        </w:rPr>
        <w:t xml:space="preserve">יוסף־דב</w:t>
      </w:r>
      <w:proofErr w:type="spellEnd"/>
      <w:r>
        <w:rPr>
          <w:rtl/>
        </w:rPr>
        <w:t xml:space="preserve"> </w:t>
      </w:r>
      <w:proofErr w:type="spellStart"/>
      <w:r>
        <w:rPr>
          <w:rtl/>
        </w:rPr>
        <w:t>סולובייצ׳יק</w:t>
      </w:r>
      <w:proofErr w:type="spellEnd"/>
      <w:r>
        <w:rPr>
          <w:rtl/>
        </w:rPr>
        <w:t xml:space="preserve">: “ר׳ חיים כונה על מצבתו ‘רב החסד’, מפני שהכניס </w:t>
      </w:r>
      <w:proofErr w:type="spellStart"/>
      <w:r>
        <w:rPr>
          <w:rtl/>
        </w:rPr>
        <w:t>לפסקיו</w:t>
      </w:r>
      <w:proofErr w:type="spellEnd"/>
      <w:r>
        <w:rPr>
          <w:rtl/>
        </w:rPr>
        <w:t xml:space="preserve"> ההלכתיים את מידת החסד”. התכתבות מאוחרת יותר עם ר׳ שאול רוט העלתה שדבריו המדויקים של ר׳ </w:t>
      </w:r>
      <w:proofErr w:type="spellStart"/>
      <w:r>
        <w:rPr>
          <w:rtl/>
        </w:rPr>
        <w:t xml:space="preserve">יוסף־דב</w:t>
      </w:r>
      <w:proofErr w:type="spellEnd"/>
      <w:r>
        <w:rPr>
          <w:rtl/>
        </w:rPr>
        <w:t xml:space="preserve"> היו: “מלבד הזמן הרב להפליא שהקדיש לעזרה לאלמנות וליתומים, הכניס ר׳ חיים </w:t>
      </w:r>
      <w:proofErr w:type="spellStart"/>
      <w:r>
        <w:rPr>
          <w:rtl/>
        </w:rPr>
        <w:t>לפסקיו</w:t>
      </w:r>
      <w:proofErr w:type="spellEnd"/>
      <w:r>
        <w:rPr>
          <w:rtl/>
        </w:rPr>
        <w:t xml:space="preserve"> ההלכתיים” </w:t>
      </w:r>
      <w:proofErr w:type="spellStart"/>
      <w:r>
        <w:rPr>
          <w:rtl/>
        </w:rPr>
        <w:t>וכו</w:t>
      </w:r>
      <w:proofErr w:type="spellEnd"/>
      <w:r>
        <w:rPr>
          <w:rtl/>
        </w:rPr>
        <w:t>׳.</w:t>
      </w:r>
    </w:p>
    <w:p w14:paraId="195894BD" w14:textId="77777777" w:rsidR="00AB3647" w:rsidRDefault="00000000" w:rsidP="007923E9">
      <w:pPr>
        <w:spacing w:after="120" w:line="276" w:lineRule="auto"/>
        <w:ind w:firstLine="283"/>
        <w:jc w:val="both"/>
      </w:pPr>
      <w:r>
        <w:rPr>
          <w:rtl/>
        </w:rPr>
        <w:t>נראה שפירוש זה לכתובת מבוסס על הבנת הביטוי “רב החסד” במשמעות “הרב של [בעל] חסד” – קריאה בלתי רגילה ובלתי מסתברת. יתר על כן, אם נניח שהכיתוב “רב החסד” נוסח על יסוד תיאורו העצמי של ר׳ חיים בצוואתו, “איש חסד היה” – שבלי המילה “רב” ודאי לא היה בו קשר (הכרחי) לפסקי הלכה – נעשה פירוש זה חסר בסיס. המילה “רב” משמשת בכתובת לא כשם עצם בסמיכות, במשמעות “רב של”, אלא כשם תואר פשוט, במשמעות “מרובה”</w:t>
      </w:r>
      <w:bookmarkStart w:id="6838" w:name="_fnr5231"/>
      <w:r>
        <w:rPr>
          <w:rStyle w:val="a5"/>
        </w:rPr>
        <w:footnoteReference w:id="5245" w:customMarkFollows="0"/>
      </w:r>
      <w:bookmarkEnd w:id="6838"/>
      <w:r>
        <w:rPr>
          <w:rtl/>
        </w:rPr>
        <w:t xml:space="preserve">. במקום הנוסח הפשוט “איש חסד” שבצוואת ר׳ חיים נכתב “רב החסד”, שמשמעו למעשה “מרובה בחסד” (למרות חוסר הדיוק של שם התואר, שבני </w:t>
      </w:r>
      <w:proofErr w:type="spellStart"/>
      <w:r>
        <w:rPr>
          <w:rtl/>
        </w:rPr>
        <w:t>בריסק</w:t>
      </w:r>
      <w:proofErr w:type="spellEnd"/>
      <w:r>
        <w:rPr>
          <w:rtl/>
        </w:rPr>
        <w:t xml:space="preserve"> היו נמנעים ממנו בדרך כלל</w:t>
      </w:r>
      <w:bookmarkStart w:id="6839" w:name="_fnr5232"/>
      <w:r>
        <w:rPr>
          <w:rStyle w:val="a5"/>
        </w:rPr>
        <w:footnoteReference w:id="5246" w:customMarkFollows="0"/>
      </w:r>
      <w:bookmarkEnd w:id="6839"/>
      <w:r>
        <w:rPr>
          <w:rtl/>
        </w:rPr>
        <w:t>). שימוש זה נכפה על מחבר נוסח המצבה כמשקל נגד הולם לתואר הסמוך, “שר התורה”, שמצד עצמו היה ראוי להקדים.</w:t>
      </w:r>
    </w:p>
    <w:p w14:paraId="764ED094" w14:textId="77777777" w:rsidR="00AB3647" w:rsidRDefault="00000000" w:rsidP="007923E9">
      <w:pPr>
        <w:spacing w:after="120" w:line="276" w:lineRule="auto"/>
        <w:ind w:firstLine="283"/>
        <w:jc w:val="both"/>
      </w:pPr>
      <w:r>
        <w:rPr>
          <w:rtl/>
        </w:rPr>
        <w:t xml:space="preserve">באשר לתפיסתו של ר׳ </w:t>
      </w:r>
      <w:proofErr w:type="spellStart"/>
      <w:r>
        <w:rPr>
          <w:rtl/>
        </w:rPr>
        <w:t xml:space="preserve">יוסף־דב</w:t>
      </w:r>
      <w:proofErr w:type="spellEnd"/>
      <w:r>
        <w:rPr>
          <w:rtl/>
        </w:rPr>
        <w:t xml:space="preserve"> </w:t>
      </w:r>
      <w:proofErr w:type="spellStart"/>
      <w:r>
        <w:rPr>
          <w:rtl/>
        </w:rPr>
        <w:t>סולובייצ׳יק</w:t>
      </w:r>
      <w:proofErr w:type="spellEnd"/>
      <w:r>
        <w:rPr>
          <w:rtl/>
        </w:rPr>
        <w:t xml:space="preserve"> בדבר תפקידה של “מידת החסד” בפסקי ר׳ חיים, מצאתי שאחיו ר׳ אהרן </w:t>
      </w:r>
      <w:proofErr w:type="spellStart"/>
      <w:r>
        <w:rPr>
          <w:rtl/>
        </w:rPr>
        <w:t>סולובייצ׳יק</w:t>
      </w:r>
      <w:bookmarkStart w:id="6840" w:name="_fnr5233"/>
      <w:proofErr w:type="spellEnd"/>
      <w:r>
        <w:rPr>
          <w:rStyle w:val="a5"/>
        </w:rPr>
        <w:footnoteReference w:id="5247" w:customMarkFollows="0"/>
      </w:r>
      <w:bookmarkEnd w:id="6840"/>
      <w:r>
        <w:rPr>
          <w:rtl/>
        </w:rPr>
        <w:t xml:space="preserve"> הסכים להשקפה זו על פסיקת ההלכה. השקפה זו נראית לכאורה פרדוקסלית – שהרי כיצד יכולים כללי ההלכה המוצקים להיות מושפעים מרגשות של השתתפות בצער? ואף על פי כן אמר ר׳ אהרן: “הכרעתו של ר׳ חיים נגד פסיקת </w:t>
      </w:r>
      <w:proofErr w:type="spellStart"/>
      <w:r>
        <w:rPr>
          <w:rtl/>
        </w:rPr>
        <w:t>ה‘משנה</w:t>
      </w:r>
      <w:proofErr w:type="spellEnd"/>
      <w:r>
        <w:rPr>
          <w:rtl/>
        </w:rPr>
        <w:t xml:space="preserve"> ברורה’ בנוגע למה שמותר לעשות למען חולה שיש בו סכנה</w:t>
      </w:r>
      <w:bookmarkStart w:id="6841" w:name="_fnr5234"/>
      <w:r>
        <w:rPr>
          <w:rStyle w:val="a5"/>
        </w:rPr>
        <w:footnoteReference w:id="5248" w:customMarkFollows="0"/>
      </w:r>
      <w:bookmarkEnd w:id="6841"/>
      <w:r>
        <w:rPr>
          <w:rtl/>
        </w:rPr>
        <w:t xml:space="preserve"> הייתה מבוססת על מידת החסד”.</w:t>
      </w:r>
    </w:p>
    <w:p w14:paraId="48A4A744" w14:textId="28E2C29D" w:rsidR="00AB3647" w:rsidRDefault="00000000" w:rsidP="007923E9">
      <w:pPr>
        <w:spacing w:after="120" w:line="276" w:lineRule="auto"/>
        <w:ind w:firstLine="283"/>
        <w:jc w:val="both"/>
      </w:pPr>
      <w:r>
        <w:rPr>
          <w:rtl/>
        </w:rPr>
        <w:t xml:space="preserve">הסיפור ביעקב מארק המצוטט בראש </w:t>
      </w:r>
      <w:r>
        <w:rPr>
          <w:rtl/>
        </w:rPr>
        <w:fldChar w:fldCharType="begin" w:dirty="true"/>
      </w:r>
      <w:r>
        <w:rPr>
          <w:rtl/>
        </w:rPr>
        <w:instrText xml:space="preserve"> REF b5_excI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xml:space="preserve"> להלן, שמראה שר׳ חיים לא הקל לצורך בריאותו שלו אלא רק לצורכי אחרים, תומך אף הוא בהשערתם של נכדי ר׳ חיים. אולם </w:t>
      </w:r>
      <w:proofErr w:type="spellStart"/>
      <w:r>
        <w:rPr>
          <w:rtl/>
        </w:rPr>
        <w:t>ב“איש</w:t>
      </w:r>
      <w:proofErr w:type="spellEnd"/>
      <w:r>
        <w:rPr>
          <w:rtl/>
        </w:rPr>
        <w:t xml:space="preserve"> ההלכה”</w:t>
      </w:r>
      <w:bookmarkStart w:id="6842" w:name="_fnr5235"/>
      <w:r>
        <w:rPr>
          <w:rStyle w:val="a5"/>
        </w:rPr>
        <w:footnoteReference w:id="5249" w:customMarkFollows="0"/>
      </w:r>
      <w:bookmarkEnd w:id="6842"/>
      <w:r>
        <w:rPr>
          <w:rtl/>
        </w:rPr>
        <w:t xml:space="preserve">, שבו דן ר׳ </w:t>
      </w:r>
      <w:proofErr w:type="spellStart"/>
      <w:r>
        <w:rPr>
          <w:rtl/>
        </w:rPr>
        <w:t xml:space="preserve">יוסף־דב</w:t>
      </w:r>
      <w:proofErr w:type="spellEnd"/>
      <w:r>
        <w:rPr>
          <w:rtl/>
        </w:rPr>
        <w:t xml:space="preserve"> בחידוש של ר׳ חיים בעניין הדאגה לבריאות ובדרכו לעשות משפט בלי מורא, אין שום רמז להשפעת “מידת החסד” על ההלכה הצרופה. השווה גם “הרב”</w:t>
      </w:r>
      <w:bookmarkStart w:id="6843" w:name="_fnr5236"/>
      <w:r>
        <w:rPr>
          <w:rStyle w:val="a5"/>
        </w:rPr>
        <w:footnoteReference w:id="5250" w:customMarkFollows="0"/>
      </w:r>
      <w:bookmarkEnd w:id="6843"/>
      <w:r>
        <w:rPr>
          <w:rtl/>
        </w:rPr>
        <w:t xml:space="preserve">: שם מצטט ר׳ </w:t>
      </w:r>
      <w:proofErr w:type="spellStart"/>
      <w:r>
        <w:rPr>
          <w:rtl/>
        </w:rPr>
        <w:t xml:space="preserve">יוסף־דב</w:t>
      </w:r>
      <w:proofErr w:type="spellEnd"/>
      <w:r>
        <w:rPr>
          <w:rtl/>
        </w:rPr>
        <w:t xml:space="preserve"> את אביו, שבכל השנים שכיהן ר׳ חיים </w:t>
      </w:r>
      <w:proofErr w:type="spellStart"/>
      <w:r>
        <w:rPr>
          <w:rtl/>
        </w:rPr>
        <w:t>בבריסק</w:t>
      </w:r>
      <w:bookmarkStart w:id="6844" w:name="_fnr5237"/>
      <w:proofErr w:type="spellEnd"/>
      <w:r>
        <w:rPr>
          <w:rStyle w:val="a5"/>
        </w:rPr>
        <w:footnoteReference w:id="5251" w:customMarkFollows="0"/>
      </w:r>
      <w:bookmarkEnd w:id="6844"/>
      <w:r>
        <w:rPr>
          <w:rtl/>
        </w:rPr>
        <w:t xml:space="preserve"> הייתה כל </w:t>
      </w:r>
      <w:r>
        <w:rPr>
          <w:rtl/>
        </w:rPr>
        <w:lastRenderedPageBreak/>
        <w:t xml:space="preserve">הכרעה שלו במחלוקת או בדין תורה מבוססת לא על שורת הדין אלא על פשרה. גישה זו לפסיקה בענייני “בין אדם </w:t>
      </w:r>
      <w:proofErr w:type="spellStart"/>
      <w:r>
        <w:rPr>
          <w:rtl/>
        </w:rPr>
        <w:t>לחבירו</w:t>
      </w:r>
      <w:proofErr w:type="spellEnd"/>
      <w:r>
        <w:rPr>
          <w:rtl/>
        </w:rPr>
        <w:t>” אפשר לכנות “מידת החסד”, גם אם בדרך רחוקה.</w:t>
      </w:r>
    </w:p>
    <w:p w14:paraId="6FB1ABF3" w14:textId="77777777" w:rsidR="00AB3647" w:rsidRDefault="00000000" w:rsidP="007923E9">
      <w:pPr>
        <w:spacing w:after="120" w:line="276" w:lineRule="auto"/>
        <w:ind w:firstLine="283"/>
        <w:jc w:val="both"/>
      </w:pPr>
      <w:r>
        <w:rPr>
          <w:rtl/>
        </w:rPr>
        <w:t>“ירחי כלה”</w:t>
      </w:r>
      <w:bookmarkStart w:id="6845" w:name="_fnr5238"/>
      <w:r>
        <w:rPr>
          <w:rStyle w:val="a5"/>
        </w:rPr>
        <w:footnoteReference w:id="5252" w:customMarkFollows="0"/>
      </w:r>
      <w:bookmarkEnd w:id="6845"/>
      <w:r>
        <w:rPr>
          <w:rtl/>
        </w:rPr>
        <w:t xml:space="preserve"> מספר: “סיפר לי ר׳ רפאל קוק ששמע מר׳ מאיר ברלין, שלקראת מאמר שתכנן לכתוב על ‘תפקיד הרב בזמננו’ נסע אל סבו ר׳ </w:t>
      </w:r>
      <w:proofErr w:type="spellStart"/>
      <w:r>
        <w:rPr>
          <w:rtl/>
        </w:rPr>
        <w:t>יחיאל־מיכל</w:t>
      </w:r>
      <w:proofErr w:type="spellEnd"/>
      <w:r>
        <w:rPr>
          <w:rtl/>
        </w:rPr>
        <w:t xml:space="preserve"> אפשטיין, רבה של </w:t>
      </w:r>
      <w:proofErr w:type="spellStart"/>
      <w:r>
        <w:rPr>
          <w:rtl/>
        </w:rPr>
        <w:t>נובהרדוק</w:t>
      </w:r>
      <w:proofErr w:type="spellEnd"/>
      <w:r>
        <w:rPr>
          <w:rtl/>
        </w:rPr>
        <w:t xml:space="preserve">, שסבר שתפקיד הרב הוא לפסוק באיסור והיתר. משם נסע </w:t>
      </w:r>
      <w:proofErr w:type="spellStart"/>
      <w:r>
        <w:rPr>
          <w:rtl/>
        </w:rPr>
        <w:t>לבריסק</w:t>
      </w:r>
      <w:proofErr w:type="spellEnd"/>
      <w:r>
        <w:rPr>
          <w:rtl/>
        </w:rPr>
        <w:t xml:space="preserve"> ושאל את דעת ר׳ חיים בעניין. הוא השיב: א: על הרב לדאוג שילדים שנולדו שלא בנישואין, הנקראים [בפי העם] ממזרים, לא ייפלו, חס וחלילה, בחיקה של הכנסייה הנוצרית; על הרב מוטל לשכור מינקות ומטפלות כדי שיגדלו את הילדים כיהודים. הוא סיפר אגב כך שמסר לאחרונה שיעור בבית המדרש, ואחד </w:t>
      </w:r>
      <w:proofErr w:type="spellStart"/>
      <w:r>
        <w:rPr>
          <w:rtl/>
        </w:rPr>
        <w:t>מ‘ממזריו</w:t>
      </w:r>
      <w:proofErr w:type="spellEnd"/>
      <w:r>
        <w:rPr>
          <w:rtl/>
        </w:rPr>
        <w:t>’ קפץ ושאל שאלה מפליאה; ר׳ חיים שמח ואמר: ‘אני מודה לה׳ שזכיתי לגדל “ממזר תלמיד חכם קודם לכהן גדול עם הארץ”‘</w:t>
      </w:r>
      <w:bookmarkStart w:id="6846" w:name="_fnr5239"/>
      <w:r>
        <w:rPr>
          <w:rStyle w:val="a5"/>
        </w:rPr>
        <w:footnoteReference w:id="5253" w:customMarkFollows="0"/>
      </w:r>
      <w:bookmarkEnd w:id="6846"/>
      <w:r>
        <w:rPr>
          <w:rtl/>
        </w:rPr>
        <w:t>.</w:t>
      </w:r>
    </w:p>
    <w:p w14:paraId="0E1E77BA" w14:textId="77777777" w:rsidR="00AB3647" w:rsidRDefault="00000000" w:rsidP="007923E9">
      <w:pPr>
        <w:spacing w:after="120" w:line="276" w:lineRule="auto"/>
        <w:ind w:firstLine="283"/>
        <w:jc w:val="both"/>
      </w:pPr>
      <w:r>
        <w:rPr>
          <w:rtl/>
        </w:rPr>
        <w:t xml:space="preserve">ב: על הרב לדאוג שייבחרו מדי שנה גבאים חדשים לקופות </w:t>
      </w:r>
      <w:proofErr w:type="spellStart"/>
      <w:r>
        <w:rPr>
          <w:rtl/>
        </w:rPr>
        <w:t>הגמ״ח</w:t>
      </w:r>
      <w:proofErr w:type="spellEnd"/>
      <w:r>
        <w:rPr>
          <w:rtl/>
        </w:rPr>
        <w:t xml:space="preserve"> של חברות הצדקה, כדי שכאשר יבוא עני ללוות, לא יאמר לו הגבאי: ‘אבל כבר לקחת הלוואה בשנה שעברה’. ועל הרב לדאוג שהגבאים יהיו אנשי אמת ויראי שמים”. “איש ההלכה”</w:t>
      </w:r>
      <w:bookmarkStart w:id="6847" w:name="_fnr5240"/>
      <w:r>
        <w:rPr>
          <w:rStyle w:val="a5"/>
        </w:rPr>
        <w:footnoteReference w:id="5254" w:customMarkFollows="0"/>
      </w:r>
      <w:bookmarkEnd w:id="6847"/>
      <w:r>
        <w:rPr>
          <w:rtl/>
        </w:rPr>
        <w:t xml:space="preserve"> מספר – כנראה על אותו מעשה – שר׳ חיים השיב לשאלתו של ר׳ מאיר ברלין מהו תפקידו של רב, לא בפרטים אלא בכללים: על הרב לעמוד נגד הפגיעה בגלמודים ובעזובים, לשמור על כבוד העניים ולהציל את העשוקים מיד </w:t>
      </w:r>
      <w:proofErr w:type="spellStart"/>
      <w:r>
        <w:rPr>
          <w:rtl/>
        </w:rPr>
        <w:t>עושקיהם</w:t>
      </w:r>
      <w:proofErr w:type="spellEnd"/>
      <w:r>
        <w:rPr>
          <w:rtl/>
        </w:rPr>
        <w:t>.</w:t>
      </w:r>
    </w:p>
    <w:p w14:paraId="41E3C428" w14:textId="77777777" w:rsidR="00AB3647" w:rsidRDefault="00000000" w:rsidP="007923E9">
      <w:pPr>
        <w:spacing w:after="120" w:line="276" w:lineRule="auto"/>
        <w:ind w:firstLine="283"/>
        <w:jc w:val="both"/>
      </w:pPr>
      <w:r>
        <w:rPr>
          <w:rtl/>
        </w:rPr>
        <w:t>אגב הנקודה האחרונה מבין השלוש, מתעד יעקב מארק</w:t>
      </w:r>
      <w:bookmarkStart w:id="6848" w:name="_fnr5241"/>
      <w:r>
        <w:rPr>
          <w:rStyle w:val="a5"/>
        </w:rPr>
        <w:footnoteReference w:id="5255" w:customMarkFollows="0"/>
      </w:r>
      <w:bookmarkEnd w:id="6848"/>
      <w:r>
        <w:rPr>
          <w:rtl/>
        </w:rPr>
        <w:t xml:space="preserve"> חילופי דברים מעניינים בינו לבין ר׳ חיים, במעשה הבא: “לעיתים קרובות היה מגלה אהבה רבה כלפיי, ופעם אמרתי לו בצחוק: ‘מן החיבה שאתה רוחש לי אני רואה שאינך מחשיב אותי לעשיר – שהרי אני יודע עד כמה אתה שונא את העשירים’. ר׳ חיים השיב שהוא שונא רק את מי שעשו את כספם בעסקים שאינם כשרים, במרמה, בניצול וכדומה. ‘אבל הרובל שלך הוא רובל כשר בהחלט’.”</w:t>
      </w:r>
    </w:p>
    <w:p w14:paraId="59E9051A" w14:textId="77777777" w:rsidR="00AB3647" w:rsidRDefault="00000000" w:rsidP="007923E9">
      <w:pPr>
        <w:spacing w:after="120" w:line="276" w:lineRule="auto"/>
        <w:ind w:firstLine="283"/>
        <w:jc w:val="both"/>
      </w:pPr>
      <w:r>
        <w:rPr>
          <w:rtl/>
        </w:rPr>
        <w:t>ר׳ שלמה אשכנזי סיפר</w:t>
      </w:r>
      <w:bookmarkStart w:id="6849" w:name="_fnr5242"/>
      <w:r>
        <w:rPr>
          <w:rStyle w:val="a5"/>
        </w:rPr>
        <w:footnoteReference w:id="5256" w:customMarkFollows="0"/>
      </w:r>
      <w:bookmarkEnd w:id="6849"/>
      <w:r>
        <w:rPr>
          <w:rtl/>
        </w:rPr>
        <w:t xml:space="preserve"> שר׳ שמואל </w:t>
      </w:r>
      <w:proofErr w:type="spellStart"/>
      <w:r>
        <w:rPr>
          <w:rtl/>
        </w:rPr>
        <w:t>סולובייצ׳יק</w:t>
      </w:r>
      <w:proofErr w:type="spellEnd"/>
      <w:r>
        <w:rPr>
          <w:rtl/>
        </w:rPr>
        <w:t xml:space="preserve">, אחיו של מחבר “איש ההלכה”, אמר </w:t>
      </w:r>
      <w:proofErr w:type="spellStart"/>
      <w:r>
        <w:rPr>
          <w:rtl/>
        </w:rPr>
        <w:t>לר</w:t>
      </w:r>
      <w:proofErr w:type="spellEnd"/>
      <w:r>
        <w:rPr>
          <w:rtl/>
        </w:rPr>
        <w:t>׳ דוד ליפשיץ שר׳ חיים הגדיר את תפקיד הרב בתמציתיות רבה יותר, כשאמר לבנו ר׳ משה</w:t>
      </w:r>
      <w:bookmarkStart w:id="6850" w:name="_fnr5243"/>
      <w:r>
        <w:rPr>
          <w:rStyle w:val="a5"/>
        </w:rPr>
        <w:footnoteReference w:id="5257" w:customMarkFollows="0"/>
      </w:r>
      <w:bookmarkEnd w:id="6850"/>
      <w:r>
        <w:rPr>
          <w:rtl/>
        </w:rPr>
        <w:t>: “וכי סבור אתה שתפקידו של רב הוא לפסוק שאלות בהלכה? אילו כך היה, לא היה רשאי לקבל שכר. תפקידו לעשות חסד”</w:t>
      </w:r>
      <w:bookmarkStart w:id="6851" w:name="_fnr5244"/>
      <w:r>
        <w:rPr>
          <w:rStyle w:val="a5"/>
        </w:rPr>
        <w:footnoteReference w:id="5258" w:customMarkFollows="0"/>
      </w:r>
      <w:bookmarkEnd w:id="6851"/>
      <w:r>
        <w:rPr>
          <w:rtl/>
        </w:rPr>
        <w:t xml:space="preserve">. ראוי לציון עד כמה הגדרתו של ר׳ חיים לתפקיד הרב עולה בקנה אחד עם הגדרתו של ר׳ ישראל </w:t>
      </w:r>
      <w:proofErr w:type="spellStart"/>
      <w:r>
        <w:rPr>
          <w:rtl/>
        </w:rPr>
        <w:t>סלנטר</w:t>
      </w:r>
      <w:proofErr w:type="spellEnd"/>
      <w:r>
        <w:rPr>
          <w:rtl/>
        </w:rPr>
        <w:t xml:space="preserve"> לתפקיד הישיבה: “להחיות רוח שפלים </w:t>
      </w:r>
      <w:r>
        <w:rPr>
          <w:rtl/>
        </w:rPr>
        <w:lastRenderedPageBreak/>
        <w:t>ולהחיות לב נדכאים”</w:t>
      </w:r>
      <w:bookmarkStart w:id="6852" w:name="_fnr5245"/>
      <w:r>
        <w:rPr>
          <w:rStyle w:val="a5"/>
        </w:rPr>
        <w:footnoteReference w:id="5259" w:customMarkFollows="0"/>
      </w:r>
      <w:bookmarkEnd w:id="6852"/>
      <w:r>
        <w:rPr>
          <w:rtl/>
        </w:rPr>
        <w:t xml:space="preserve">. לפיכך אין להתפלא על דעתו של הסבא </w:t>
      </w:r>
      <w:proofErr w:type="spellStart"/>
      <w:r>
        <w:rPr>
          <w:rtl/>
        </w:rPr>
        <w:t>מסלבודקה</w:t>
      </w:r>
      <w:proofErr w:type="spellEnd"/>
      <w:r>
        <w:rPr>
          <w:rtl/>
        </w:rPr>
        <w:t xml:space="preserve">, שר׳ חיים </w:t>
      </w:r>
      <w:proofErr w:type="spellStart"/>
      <w:r>
        <w:rPr>
          <w:rtl/>
        </w:rPr>
        <w:t>סולובייצ׳יק</w:t>
      </w:r>
      <w:proofErr w:type="spellEnd"/>
      <w:r>
        <w:rPr>
          <w:rtl/>
        </w:rPr>
        <w:t xml:space="preserve"> היה במהותו בעל מוסר</w:t>
      </w:r>
      <w:bookmarkStart w:id="6853" w:name="_fnr5246"/>
      <w:r>
        <w:rPr>
          <w:rStyle w:val="a5"/>
        </w:rPr>
        <w:footnoteReference w:id="5260" w:customMarkFollows="0"/>
      </w:r>
      <w:bookmarkEnd w:id="6853"/>
      <w:r>
        <w:rPr>
          <w:rtl/>
        </w:rPr>
        <w:t>.</w:t>
      </w:r>
    </w:p>
    <w:p w14:paraId="5B7596BA" w14:textId="77777777" w:rsidR="00AB3647" w:rsidRDefault="00000000" w:rsidP="007923E9">
      <w:pPr>
        <w:pStyle w:val="4"/>
        <w:spacing w:line="276" w:lineRule="auto"/>
      </w:pPr>
      <w:r>
        <w:t>· הפסקה העשירית ·</w:t>
      </w:r>
    </w:p>
    <w:p w14:paraId="49244712" w14:textId="77777777" w:rsidR="00AB3647" w:rsidRDefault="00000000" w:rsidP="007923E9">
      <w:pPr>
        <w:pStyle w:val="5"/>
        <w:spacing w:line="276" w:lineRule="auto"/>
      </w:pPr>
      <w:r>
        <w:t>חסדו של ר׳ חיים כובש את עולם הישיבות לשיטת לימודו – הוא קושר בין עשיית חסד לבין הבנה טובה יותר של כוונת הגמרא</w:t>
      </w:r>
    </w:p>
    <w:p w14:paraId="0FC74DCA" w14:textId="77777777" w:rsidR="00AB3647" w:rsidRDefault="00000000" w:rsidP="007923E9">
      <w:pPr>
        <w:spacing w:after="120" w:line="276" w:lineRule="auto"/>
        <w:ind w:firstLine="283"/>
        <w:jc w:val="both"/>
      </w:pPr>
      <w:r>
        <w:rPr>
          <w:rtl/>
        </w:rPr>
        <w:t xml:space="preserve">מאמרו של ניסן וקסמן </w:t>
      </w:r>
      <w:proofErr w:type="spellStart"/>
      <w:r>
        <w:rPr>
          <w:rtl/>
        </w:rPr>
        <w:t>ב“תלפיות</w:t>
      </w:r>
      <w:proofErr w:type="spellEnd"/>
      <w:r>
        <w:rPr>
          <w:rtl/>
        </w:rPr>
        <w:t>”</w:t>
      </w:r>
      <w:bookmarkStart w:id="6854" w:name="_fnr5247"/>
      <w:r>
        <w:rPr>
          <w:rStyle w:val="a5"/>
        </w:rPr>
        <w:footnoteReference w:id="5261" w:customMarkFollows="0"/>
      </w:r>
      <w:bookmarkEnd w:id="6854"/>
      <w:r>
        <w:rPr>
          <w:rtl/>
        </w:rPr>
        <w:t xml:space="preserve"> מצטט את ר׳ שלמה </w:t>
      </w:r>
      <w:proofErr w:type="spellStart"/>
      <w:r>
        <w:rPr>
          <w:rtl/>
        </w:rPr>
        <w:t>פוליצ׳ק</w:t>
      </w:r>
      <w:proofErr w:type="spellEnd"/>
      <w:r>
        <w:rPr>
          <w:rtl/>
        </w:rPr>
        <w:t xml:space="preserve">, העילוי </w:t>
      </w:r>
      <w:proofErr w:type="spellStart"/>
      <w:r>
        <w:rPr>
          <w:rtl/>
        </w:rPr>
        <w:t>ממייצ׳ט</w:t>
      </w:r>
      <w:proofErr w:type="spellEnd"/>
      <w:r>
        <w:rPr>
          <w:rtl/>
        </w:rPr>
        <w:t xml:space="preserve">, שהיה תלמידו הקרוב של ר׳ חיים </w:t>
      </w:r>
      <w:proofErr w:type="spellStart"/>
      <w:r>
        <w:rPr>
          <w:rtl/>
        </w:rPr>
        <w:t>סולובייצ׳יק</w:t>
      </w:r>
      <w:proofErr w:type="spellEnd"/>
      <w:r>
        <w:rPr>
          <w:rtl/>
        </w:rPr>
        <w:t xml:space="preserve"> בשנתיים וחצי האחרונות </w:t>
      </w:r>
      <w:proofErr w:type="spellStart"/>
      <w:r>
        <w:rPr>
          <w:rtl/>
        </w:rPr>
        <w:t>בוולוז׳ין</w:t>
      </w:r>
      <w:proofErr w:type="spellEnd"/>
      <w:r>
        <w:rPr>
          <w:rtl/>
        </w:rPr>
        <w:t xml:space="preserve"> ובמשך כמה שנים </w:t>
      </w:r>
      <w:proofErr w:type="spellStart"/>
      <w:r>
        <w:rPr>
          <w:rtl/>
        </w:rPr>
        <w:t>בבריסק</w:t>
      </w:r>
      <w:bookmarkStart w:id="6855" w:name="_fnr5248"/>
      <w:proofErr w:type="spellEnd"/>
      <w:r>
        <w:rPr>
          <w:rStyle w:val="a5"/>
        </w:rPr>
        <w:footnoteReference w:id="5262" w:customMarkFollows="0"/>
      </w:r>
      <w:bookmarkEnd w:id="6855"/>
      <w:r>
        <w:rPr>
          <w:rtl/>
        </w:rPr>
        <w:t>. ר׳ שלמה קשר בין חסדו של ר׳ חיים לבין התופעה שתורתו כבשה את עולם הישיבות ותופסת בו מקום מיוחד, ואלה דבריו כפי שהם מצוטטים שם: “לבו הטוב של ר׳ חיים כלפי הסובבים אותו, מידותיו הנאות כלפי תלמידיו והנהגתו כלפי האסופים שהכניס לביתו וגידלם</w:t>
      </w:r>
      <w:bookmarkStart w:id="6856" w:name="_fnr5249"/>
      <w:r>
        <w:rPr>
          <w:rStyle w:val="a5"/>
        </w:rPr>
        <w:footnoteReference w:id="5263" w:customMarkFollows="0"/>
      </w:r>
      <w:bookmarkEnd w:id="6856"/>
      <w:r>
        <w:rPr>
          <w:rtl/>
        </w:rPr>
        <w:t xml:space="preserve"> הם שכבשו את לבבות תלמידיו והטביעו בהם את חותמו, והכשירו אותם לקבל את עומק תפיסתו ולהפיצה במרכזי התורה. בלא תכונות אלה, קרוב לוודאי שעם כל גדלותו לא הייתה תורתו פורשת כנפיים ומצליחה להתפשט במידה שרבים מגדולי הדורות הקודמים לא זכו לה”.</w:t>
      </w:r>
    </w:p>
    <w:p w14:paraId="6C000676" w14:textId="77777777" w:rsidR="00AB3647" w:rsidRDefault="00000000" w:rsidP="007923E9">
      <w:pPr>
        <w:spacing w:after="120" w:line="276" w:lineRule="auto"/>
        <w:ind w:firstLine="283"/>
        <w:jc w:val="both"/>
      </w:pPr>
      <w:r>
        <w:rPr>
          <w:rtl/>
        </w:rPr>
        <w:t xml:space="preserve">מפליא בוודאי </w:t>
      </w:r>
      <w:proofErr w:type="spellStart"/>
      <w:r>
        <w:rPr>
          <w:rtl/>
        </w:rPr>
        <w:t>שבאחת־עשרה</w:t>
      </w:r>
      <w:proofErr w:type="spellEnd"/>
      <w:r>
        <w:rPr>
          <w:rtl/>
        </w:rPr>
        <w:t xml:space="preserve"> שנים וחצי של מסירת שיעורים </w:t>
      </w:r>
      <w:proofErr w:type="spellStart"/>
      <w:r>
        <w:rPr>
          <w:rtl/>
        </w:rPr>
        <w:t>בוולוז׳ין</w:t>
      </w:r>
      <w:proofErr w:type="spellEnd"/>
      <w:r>
        <w:rPr>
          <w:rtl/>
        </w:rPr>
        <w:t xml:space="preserve"> (ובניסיונות המועטים, שנעשו בחצי לב, ללמד </w:t>
      </w:r>
      <w:proofErr w:type="spellStart"/>
      <w:r>
        <w:rPr>
          <w:rtl/>
        </w:rPr>
        <w:t>בבריסק</w:t>
      </w:r>
      <w:proofErr w:type="spellEnd"/>
      <w:r>
        <w:rPr>
          <w:rtl/>
        </w:rPr>
        <w:t xml:space="preserve">) הצליח ר׳ חיים לשנות מן היסוד את דרך לימוד התלמוד של עולם הישיבות, עד כדי כך שמצבתו מכריזה כי “העמיד תלמידים למאות ולאלפים”. הצלחה זו ודאי דורשת הסבר. אותו מחבר מוסיף שהעילוי </w:t>
      </w:r>
      <w:proofErr w:type="spellStart"/>
      <w:r>
        <w:rPr>
          <w:rtl/>
        </w:rPr>
        <w:t>ממייצ׳ט</w:t>
      </w:r>
      <w:proofErr w:type="spellEnd"/>
      <w:r>
        <w:rPr>
          <w:rtl/>
        </w:rPr>
        <w:t xml:space="preserve"> אמר “בשיחה פרטית” שהוא “מניח שמידותיו ותכונותיו של הרב הן הצינורות העיקריים להעברת תורתו לתלמידיו; ומי שאינו בעל מידות טובות יתקשה להעמיד תלמידים שיהיו מסורים לתורתו ויעמלו להטביע את חותמו בחייהם ובתורתם. אף שקשה לנמק השערה זו, הייתה העובדה ברורה לעילוי </w:t>
      </w:r>
      <w:proofErr w:type="spellStart"/>
      <w:r>
        <w:rPr>
          <w:rtl/>
        </w:rPr>
        <w:t>ממייצ׳ט</w:t>
      </w:r>
      <w:proofErr w:type="spellEnd"/>
      <w:r>
        <w:rPr>
          <w:rtl/>
        </w:rPr>
        <w:t xml:space="preserve"> מתוך התבוננותו בחייהם של גדולי התורה שפגש בחייו, ומתוך הכרת הצלחתם להשפיע על תלמידיהם”.</w:t>
      </w:r>
    </w:p>
    <w:p w14:paraId="5804D307" w14:textId="77777777" w:rsidR="00AB3647" w:rsidRDefault="00000000" w:rsidP="007923E9">
      <w:pPr>
        <w:spacing w:after="120" w:line="276" w:lineRule="auto"/>
        <w:ind w:firstLine="283"/>
        <w:jc w:val="both"/>
      </w:pPr>
      <w:r>
        <w:rPr>
          <w:rtl/>
        </w:rPr>
        <w:t xml:space="preserve">(הרב </w:t>
      </w:r>
      <w:proofErr w:type="spellStart"/>
      <w:r>
        <w:rPr>
          <w:rtl/>
        </w:rPr>
        <w:t>וואקסמן</w:t>
      </w:r>
      <w:proofErr w:type="spellEnd"/>
      <w:r>
        <w:rPr>
          <w:rtl/>
        </w:rPr>
        <w:t xml:space="preserve"> מוצא סימוכין לרעיון המחודש הזה בדברי מהר״ל מפראג </w:t>
      </w:r>
      <w:proofErr w:type="spellStart"/>
      <w:r>
        <w:rPr>
          <w:rtl/>
        </w:rPr>
        <w:t>בפ״ו</w:t>
      </w:r>
      <w:proofErr w:type="spellEnd"/>
      <w:r>
        <w:rPr>
          <w:rtl/>
        </w:rPr>
        <w:t xml:space="preserve"> מספרו דרך חיים על הגמרא מנחות נ״ג יבוא טוב ויקבל טוב </w:t>
      </w:r>
      <w:proofErr w:type="spellStart"/>
      <w:r>
        <w:rPr>
          <w:rtl/>
        </w:rPr>
        <w:t>וכו</w:t>
      </w:r>
      <w:proofErr w:type="spellEnd"/>
      <w:r>
        <w:rPr>
          <w:rtl/>
        </w:rPr>
        <w:t xml:space="preserve">׳. ויש להעמיס רעיון זה גם בדברי </w:t>
      </w:r>
      <w:proofErr w:type="spellStart"/>
      <w:r>
        <w:rPr>
          <w:rtl/>
        </w:rPr>
        <w:t>מהרש״א</w:t>
      </w:r>
      <w:proofErr w:type="spellEnd"/>
      <w:r>
        <w:rPr>
          <w:rtl/>
        </w:rPr>
        <w:t xml:space="preserve"> יבמות י״ד ע״ב וז״ל הגם שאי אפשר שיהיו שני הדעות אמת לאמתו מכל מקום מצד השלום והאהבה שהיה ביניהם כולם אמת עכ״ל כלו׳ שכל צד קיבל את הבנת השני בדבר מפני שהרגיש </w:t>
      </w:r>
      <w:r>
        <w:rPr>
          <w:rtl/>
        </w:rPr>
        <w:lastRenderedPageBreak/>
        <w:t xml:space="preserve">בו את האהבה והשלום. וע׳ עירובין י״ג ע״ב מפני מה זכו בית הלל לקבוע הלכה כמותן מפני </w:t>
      </w:r>
      <w:proofErr w:type="spellStart"/>
      <w:r>
        <w:rPr>
          <w:rtl/>
        </w:rPr>
        <w:t>שנוחין</w:t>
      </w:r>
      <w:proofErr w:type="spellEnd"/>
      <w:r>
        <w:rPr>
          <w:rtl/>
        </w:rPr>
        <w:t xml:space="preserve"> </w:t>
      </w:r>
      <w:proofErr w:type="spellStart"/>
      <w:r>
        <w:rPr>
          <w:rtl/>
        </w:rPr>
        <w:t>ועלובין</w:t>
      </w:r>
      <w:proofErr w:type="spellEnd"/>
      <w:r>
        <w:rPr>
          <w:rtl/>
        </w:rPr>
        <w:t xml:space="preserve"> היו. ועוד נראה שעצם היסוד מפורש בכתובים, באיוב </w:t>
      </w:r>
      <w:proofErr w:type="spellStart"/>
      <w:r>
        <w:rPr>
          <w:rtl/>
        </w:rPr>
        <w:t>כט:ט</w:t>
      </w:r>
      <w:proofErr w:type="spellEnd"/>
      <w:r>
        <w:rPr>
          <w:rtl/>
        </w:rPr>
        <w:t>–</w:t>
      </w:r>
      <w:proofErr w:type="spellStart"/>
      <w:r>
        <w:rPr>
          <w:rtl/>
        </w:rPr>
        <w:t>יז</w:t>
      </w:r>
      <w:proofErr w:type="spellEnd"/>
      <w:r>
        <w:rPr>
          <w:rtl/>
        </w:rPr>
        <w:t>.)</w:t>
      </w:r>
      <w:bookmarkStart w:id="6857" w:name="_fnr5250"/>
      <w:r>
        <w:rPr>
          <w:rStyle w:val="a5"/>
        </w:rPr>
        <w:footnoteReference w:id="5264" w:customMarkFollows="0"/>
      </w:r>
      <w:bookmarkEnd w:id="6857"/>
    </w:p>
    <w:p w14:paraId="4C209E9D" w14:textId="77777777" w:rsidR="00AB3647" w:rsidRDefault="00000000" w:rsidP="007923E9">
      <w:pPr>
        <w:spacing w:after="120" w:line="276" w:lineRule="auto"/>
        <w:ind w:firstLine="283"/>
        <w:jc w:val="both"/>
      </w:pPr>
      <w:r>
        <w:rPr>
          <w:rtl/>
        </w:rPr>
        <w:t xml:space="preserve">גם בעיני ר׳ חיים היה קשר בין עשיית חסד ללימוד תורה, אבל לדידו נגע הקשר ליכולתו של אדם ללמוד תורה ולהבינה – ולא ללימוד לאחרים ולהשפעה עליהם שיקבלו את שיטת לימודו, כמו שמצא העילוי </w:t>
      </w:r>
      <w:proofErr w:type="spellStart"/>
      <w:r>
        <w:rPr>
          <w:rtl/>
        </w:rPr>
        <w:t>ממייצ׳ט</w:t>
      </w:r>
      <w:proofErr w:type="spellEnd"/>
      <w:r>
        <w:rPr>
          <w:rtl/>
        </w:rPr>
        <w:t xml:space="preserve">. כשמתחו ביקורת על ר׳ יצחק־זאב על ששלח בן שקדן במיוחד להקדיש מזמנו לסידור עניין של חסד, חזר על אמרה של אביו</w:t>
      </w:r>
      <w:bookmarkStart w:id="6858" w:name="_fnr5251"/>
      <w:r>
        <w:rPr>
          <w:rStyle w:val="a5"/>
        </w:rPr>
        <w:footnoteReference w:id="5265" w:customMarkFollows="0"/>
      </w:r>
      <w:bookmarkEnd w:id="6858"/>
      <w:r>
        <w:rPr>
          <w:rtl/>
        </w:rPr>
        <w:t>: “מי שסוגר את הגמרא שלו כדי לעשות חסד, הגמרא פתוחה לפניו. מי שפותח את הגמרא כדי להימנע מעשיית חסד, הגמרא סגורה לפניו”.</w:t>
      </w:r>
    </w:p>
    <w:p w14:paraId="1A71DC88" w14:textId="77777777" w:rsidR="00AB3647" w:rsidRDefault="00000000" w:rsidP="007923E9">
      <w:pPr>
        <w:pStyle w:val="4"/>
        <w:spacing w:line="276" w:lineRule="auto"/>
      </w:pPr>
      <w:r>
        <w:t xml:space="preserve">· הפסקה </w:t>
      </w:r>
      <w:proofErr w:type="spellStart"/>
      <w:r>
        <w:t>האחת־עשרה</w:t>
      </w:r>
      <w:proofErr w:type="spellEnd"/>
      <w:r>
        <w:t xml:space="preserve"> ·</w:t>
      </w:r>
    </w:p>
    <w:p w14:paraId="1D260BAD" w14:textId="77777777" w:rsidR="00AB3647" w:rsidRDefault="00000000" w:rsidP="007923E9">
      <w:pPr>
        <w:pStyle w:val="5"/>
        <w:spacing w:line="276" w:lineRule="auto"/>
      </w:pPr>
      <w:r>
        <w:t>מתן הסבר לטובו המופלג של ר׳ חיים</w:t>
      </w:r>
    </w:p>
    <w:p w14:paraId="579A9D26" w14:textId="1E50CC31" w:rsidR="00AB3647" w:rsidRDefault="00000000" w:rsidP="007923E9">
      <w:pPr>
        <w:spacing w:after="120" w:line="276" w:lineRule="auto"/>
        <w:ind w:firstLine="283"/>
        <w:jc w:val="both"/>
      </w:pPr>
      <w:r>
        <w:rPr>
          <w:rtl/>
        </w:rPr>
        <w:t xml:space="preserve">ר׳ חיים </w:t>
      </w:r>
      <w:proofErr w:type="spellStart"/>
      <w:r>
        <w:rPr>
          <w:rtl/>
        </w:rPr>
        <w:t>סרנא</w:t>
      </w:r>
      <w:proofErr w:type="spellEnd"/>
      <w:r>
        <w:rPr>
          <w:rtl/>
        </w:rPr>
        <w:t xml:space="preserve"> גילה</w:t>
      </w:r>
      <w:bookmarkStart w:id="6859" w:name="_fnr5252"/>
      <w:r>
        <w:rPr>
          <w:rStyle w:val="a5"/>
        </w:rPr>
        <w:footnoteReference w:id="5266" w:customMarkFollows="0"/>
      </w:r>
      <w:bookmarkEnd w:id="6859"/>
      <w:r>
        <w:rPr>
          <w:rtl/>
        </w:rPr>
        <w:t xml:space="preserve"> שר׳ </w:t>
      </w:r>
      <w:proofErr w:type="spellStart"/>
      <w:r>
        <w:rPr>
          <w:rtl/>
        </w:rPr>
        <w:t>יחיאל־יעקב</w:t>
      </w:r>
      <w:proofErr w:type="spellEnd"/>
      <w:r>
        <w:rPr>
          <w:rtl/>
        </w:rPr>
        <w:t xml:space="preserve"> ויינברג הגדיר את חסדו של ר׳ חיים כחסד של הראש (</w:t>
      </w:r>
      <w:proofErr w:type="spellStart"/>
      <w:r>
        <w:rPr>
          <w:rtl/>
        </w:rPr>
        <w:t>קאפ־חסד</w:t>
      </w:r>
      <w:proofErr w:type="spellEnd"/>
      <w:r>
        <w:rPr>
          <w:rtl/>
        </w:rPr>
        <w:t xml:space="preserve">, בניגוד </w:t>
      </w:r>
      <w:proofErr w:type="spellStart"/>
      <w:r>
        <w:rPr>
          <w:rtl/>
        </w:rPr>
        <w:t>להארץ־חסד</w:t>
      </w:r>
      <w:proofErr w:type="spellEnd"/>
      <w:r>
        <w:rPr>
          <w:rtl/>
        </w:rPr>
        <w:t xml:space="preserve"> [חסד של הלב]). על הבחנתו של ר׳ </w:t>
      </w:r>
      <w:proofErr w:type="spellStart"/>
      <w:r>
        <w:rPr>
          <w:rtl/>
        </w:rPr>
        <w:t>יחיאל־יעקב</w:t>
      </w:r>
      <w:proofErr w:type="spellEnd"/>
      <w:r>
        <w:rPr>
          <w:rtl/>
        </w:rPr>
        <w:t xml:space="preserve"> בין “לב” </w:t>
      </w:r>
      <w:proofErr w:type="spellStart"/>
      <w:r>
        <w:rPr>
          <w:rtl/>
        </w:rPr>
        <w:t>ל“ראש</w:t>
      </w:r>
      <w:proofErr w:type="spellEnd"/>
      <w:r>
        <w:rPr>
          <w:rtl/>
        </w:rPr>
        <w:t xml:space="preserve">”, השווה “שרידי אש” (פרק 3, </w:t>
      </w:r>
      <w:r>
        <w:rPr>
          <w:rtl/>
        </w:rPr>
        <w:fldChar w:fldCharType="begin" w:dirty="true"/>
      </w:r>
      <w:r>
        <w:rPr>
          <w:rtl/>
        </w:rPr>
        <w:instrText xml:space="preserve"> REF b3_excB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ב</w:t>
      </w:r>
      <w:r>
        <w:rPr>
          <w:rtl/>
        </w:rPr>
        <w:fldChar w:fldCharType="end"/>
      </w:r>
      <w:r>
        <w:rPr>
          <w:rtl/>
        </w:rPr>
        <w:t>), עמ׳ רצד. השווה גם שו״ת “שרידי אש”</w:t>
      </w:r>
      <w:bookmarkStart w:id="6860" w:name="_fnr5253"/>
      <w:r>
        <w:rPr>
          <w:rStyle w:val="a5"/>
        </w:rPr>
        <w:footnoteReference w:id="5267" w:customMarkFollows="0"/>
      </w:r>
      <w:bookmarkEnd w:id="6860"/>
      <w:r>
        <w:rPr>
          <w:rtl/>
        </w:rPr>
        <w:t xml:space="preserve">, שם כותב ר׳ </w:t>
      </w:r>
      <w:proofErr w:type="spellStart"/>
      <w:r>
        <w:rPr>
          <w:rtl/>
        </w:rPr>
        <w:t>יחיאל־יעקב</w:t>
      </w:r>
      <w:proofErr w:type="spellEnd"/>
      <w:r>
        <w:rPr>
          <w:rtl/>
        </w:rPr>
        <w:t xml:space="preserve"> שהטעם שאין מברכים ברכת המצווה על נתינת צדקה הוא שצדקה הנובעת מרחמים עדיפה על צדקה הנעשית מכוח כפייה וציווי [“רצונו”].</w:t>
      </w:r>
    </w:p>
    <w:p w14:paraId="618BA893" w14:textId="77777777" w:rsidR="00AB3647" w:rsidRDefault="00000000" w:rsidP="007923E9">
      <w:pPr>
        <w:spacing w:after="120" w:line="276" w:lineRule="auto"/>
        <w:ind w:firstLine="283"/>
        <w:jc w:val="both"/>
      </w:pPr>
      <w:r>
        <w:rPr>
          <w:rtl/>
        </w:rPr>
        <w:t xml:space="preserve">ייתכן שאמירתו, הנראית ביקורתית, משקפת את היחס הדו־ערכי שגילו בעלי המוסר כלפי ר׳ חיים </w:t>
      </w:r>
      <w:proofErr w:type="spellStart"/>
      <w:r>
        <w:rPr>
          <w:rtl/>
        </w:rPr>
        <w:t>סולובייצ׳יק</w:t>
      </w:r>
      <w:bookmarkStart w:id="6861" w:name="_fnr5254"/>
      <w:proofErr w:type="spellEnd"/>
      <w:r>
        <w:rPr>
          <w:rStyle w:val="a5"/>
        </w:rPr>
        <w:footnoteReference w:id="5268" w:customMarkFollows="0"/>
      </w:r>
      <w:bookmarkEnd w:id="6861"/>
      <w:r>
        <w:rPr>
          <w:rtl/>
        </w:rPr>
        <w:t xml:space="preserve">. תהא כוונתו של ר׳ </w:t>
      </w:r>
      <w:proofErr w:type="spellStart"/>
      <w:r>
        <w:rPr>
          <w:rtl/>
        </w:rPr>
        <w:t>יחיאל־יעקב</w:t>
      </w:r>
      <w:proofErr w:type="spellEnd"/>
      <w:r>
        <w:rPr>
          <w:rtl/>
        </w:rPr>
        <w:t xml:space="preserve"> ויינברג אשר תהא, אפשר לומר – בהנחה שהגדרתו למקור חסדו של ר׳ חיים נכונה – שחסדו של ר׳ חיים נתעלה עוד יותר בהיותו “חסד של הראש”, כדברי הרמב״ם </w:t>
      </w:r>
      <w:proofErr w:type="spellStart"/>
      <w:r>
        <w:rPr>
          <w:rtl/>
        </w:rPr>
        <w:t>ב“מורה</w:t>
      </w:r>
      <w:proofErr w:type="spellEnd"/>
      <w:r>
        <w:rPr>
          <w:rtl/>
        </w:rPr>
        <w:t xml:space="preserve"> נבוכים”</w:t>
      </w:r>
      <w:bookmarkStart w:id="6862" w:name="_fnr5255"/>
      <w:r>
        <w:rPr>
          <w:rStyle w:val="a5"/>
        </w:rPr>
        <w:footnoteReference w:id="5269" w:customMarkFollows="0"/>
      </w:r>
      <w:bookmarkEnd w:id="6862"/>
      <w:r>
        <w:rPr>
          <w:rtl/>
        </w:rPr>
        <w:t>: “כי כל התפעלות רעה”</w:t>
      </w:r>
      <w:bookmarkStart w:id="6863" w:name="_fnr5256"/>
      <w:r>
        <w:rPr>
          <w:rStyle w:val="a5"/>
        </w:rPr>
        <w:footnoteReference w:id="5270" w:customMarkFollows="0"/>
      </w:r>
      <w:bookmarkEnd w:id="6863"/>
      <w:r>
        <w:rPr>
          <w:rtl/>
        </w:rPr>
        <w:t>.</w:t>
      </w:r>
    </w:p>
    <w:p w14:paraId="45CEED36" w14:textId="77777777" w:rsidR="00AB3647" w:rsidRDefault="00000000" w:rsidP="007923E9">
      <w:pPr>
        <w:spacing w:after="120" w:line="276" w:lineRule="auto"/>
        <w:ind w:firstLine="283"/>
        <w:jc w:val="both"/>
      </w:pPr>
      <w:r>
        <w:rPr>
          <w:rtl/>
        </w:rPr>
        <w:t xml:space="preserve">השווה גם “פניני רבנו </w:t>
      </w:r>
      <w:proofErr w:type="spellStart"/>
      <w:r>
        <w:rPr>
          <w:rtl/>
        </w:rPr>
        <w:t>הגרי״ז</w:t>
      </w:r>
      <w:proofErr w:type="spellEnd"/>
      <w:r>
        <w:rPr>
          <w:rtl/>
        </w:rPr>
        <w:t>”</w:t>
      </w:r>
      <w:bookmarkStart w:id="6864" w:name="_fnr5257"/>
      <w:r>
        <w:rPr>
          <w:rStyle w:val="a5"/>
        </w:rPr>
        <w:footnoteReference w:id="5271" w:customMarkFollows="0"/>
      </w:r>
      <w:bookmarkEnd w:id="6864"/>
      <w:r>
        <w:rPr>
          <w:rtl/>
        </w:rPr>
        <w:t xml:space="preserve">, המספר שבהספדו על ר׳ יצחק־זאב </w:t>
      </w:r>
      <w:proofErr w:type="spellStart"/>
      <w:r>
        <w:rPr>
          <w:rtl/>
        </w:rPr>
        <w:t>סולובייצ׳יק</w:t>
      </w:r>
      <w:proofErr w:type="spellEnd"/>
      <w:r>
        <w:rPr>
          <w:rtl/>
        </w:rPr>
        <w:t xml:space="preserve"> דיבר ר׳ יחזקאל </w:t>
      </w:r>
      <w:proofErr w:type="spellStart"/>
      <w:r>
        <w:rPr>
          <w:rtl/>
        </w:rPr>
        <w:t>אברמסקי</w:t>
      </w:r>
      <w:proofErr w:type="spellEnd"/>
      <w:r>
        <w:rPr>
          <w:rtl/>
        </w:rPr>
        <w:t xml:space="preserve"> על ר׳ חיים ברוח דומה לזו של ר׳ </w:t>
      </w:r>
      <w:proofErr w:type="spellStart"/>
      <w:r>
        <w:rPr>
          <w:rtl/>
        </w:rPr>
        <w:t>יחיאל־יעקב</w:t>
      </w:r>
      <w:proofErr w:type="spellEnd"/>
      <w:r>
        <w:rPr>
          <w:rtl/>
        </w:rPr>
        <w:t xml:space="preserve"> ויינברג, והכריז: “מי שנכנס למחיצתו של ר׳ חיים לא יכול היה להגדיר את מידותיו כפי שאנו רגילים להגדירן באנשים אחרים – טוב לב או אכזר, נדיב או קמצן, מהיר לכעוס או ארך אפיים, וכו׳ – שכן ר׳ חיים היה כולו בהתאם לתורה; בכל רגע ובכל עניין התנהג בהתאם למה שציוותה עליו התורה באותה שעה”.</w:t>
      </w:r>
    </w:p>
    <w:p w14:paraId="2E6F1A58" w14:textId="77777777" w:rsidR="00AB3647" w:rsidRDefault="00000000" w:rsidP="007923E9">
      <w:pPr>
        <w:spacing w:after="120" w:line="276" w:lineRule="auto"/>
        <w:ind w:firstLine="283"/>
        <w:jc w:val="both"/>
      </w:pPr>
      <w:r>
        <w:rPr>
          <w:rtl/>
        </w:rPr>
        <w:lastRenderedPageBreak/>
        <w:t xml:space="preserve">אולם אני מתקשה לקבל את הגדרתו של ר׳ יחזקאל </w:t>
      </w:r>
      <w:proofErr w:type="spellStart"/>
      <w:r>
        <w:rPr>
          <w:rtl/>
        </w:rPr>
        <w:t>אברמסקי</w:t>
      </w:r>
      <w:proofErr w:type="spellEnd"/>
      <w:r>
        <w:rPr>
          <w:rtl/>
        </w:rPr>
        <w:t xml:space="preserve"> לאופיו של ר׳ חיים, שהופכת אותו לאוטומט המתוכנת </w:t>
      </w:r>
      <w:proofErr w:type="spellStart"/>
      <w:r>
        <w:rPr>
          <w:rtl/>
        </w:rPr>
        <w:t>לתרי״ג</w:t>
      </w:r>
      <w:proofErr w:type="spellEnd"/>
      <w:r>
        <w:rPr>
          <w:rtl/>
        </w:rPr>
        <w:t xml:space="preserve"> המצוות – וזאת למרות הגדרתו של ר׳ </w:t>
      </w:r>
      <w:proofErr w:type="spellStart"/>
      <w:r>
        <w:rPr>
          <w:rtl/>
        </w:rPr>
        <w:t>חיים־עוזר</w:t>
      </w:r>
      <w:proofErr w:type="spellEnd"/>
      <w:r>
        <w:rPr>
          <w:rtl/>
        </w:rPr>
        <w:t xml:space="preserve"> </w:t>
      </w:r>
      <w:proofErr w:type="spellStart"/>
      <w:r>
        <w:rPr>
          <w:rtl/>
        </w:rPr>
        <w:t>גרודזנסקי</w:t>
      </w:r>
      <w:proofErr w:type="spellEnd"/>
      <w:r>
        <w:rPr>
          <w:rtl/>
        </w:rPr>
        <w:t xml:space="preserve"> לשכלו יוצא הדופן של ר׳ חיים, שהופכת אותו לברייה מיוחדת (ראה לעיל, עמ׳ </w:t>
      </w:r>
      <w:r>
        <w:rPr>
          <w:rtl/>
        </w:rPr>
        <w:fldChar w:fldCharType="begin" w:dirty="true"/>
      </w:r>
      <w:r>
        <w:rPr>
          <w:rtl/>
        </w:rPr>
        <w:instrText xml:space="preserve"> PAGEREF pr_b_2365 \h </w:instrText>
      </w:r>
      <w:r>
        <w:rPr>
          <w:rtl/>
        </w:rPr>
      </w:r>
      <w:r>
        <w:rPr>
          <w:rtl/>
        </w:rPr>
        <w:fldChar w:fldCharType="separate"/>
      </w:r>
      <w:r w:rsidR="007923E9">
        <w:rPr>
          <w:noProof/>
          <w:rtl/>
        </w:rPr>
        <w:t>1</w:t>
      </w:r>
      <w:r>
        <w:rPr>
          <w:rtl/>
        </w:rPr>
        <w:fldChar w:fldCharType="end"/>
      </w:r>
      <w:r>
        <w:rPr>
          <w:rtl/>
        </w:rPr>
        <w:t>).</w:t>
      </w:r>
    </w:p>
    <w:p w14:paraId="775260C1" w14:textId="77777777" w:rsidR="00AB3647" w:rsidRDefault="00000000" w:rsidP="007923E9">
      <w:pPr>
        <w:spacing w:after="120" w:line="276" w:lineRule="auto"/>
        <w:ind w:firstLine="283"/>
        <w:jc w:val="both"/>
      </w:pPr>
      <w:r>
        <w:rPr>
          <w:rtl/>
        </w:rPr>
        <w:t xml:space="preserve">העובדה שר׳ חיים ציווה לשבח על מצבתו מידה מסוימת, את חסדו, במילים “איש חסד היה”, מוכיחה שראה בתכונה זו תכונה המאפיינת אותו במיוחד. לפיכך מסתבר שר׳ חיים היה בעל תשוקה לחסד, ולא כפי שסבר ר׳ יחזקאל </w:t>
      </w:r>
      <w:proofErr w:type="spellStart"/>
      <w:r>
        <w:rPr>
          <w:rtl/>
        </w:rPr>
        <w:t>אברמסקי</w:t>
      </w:r>
      <w:proofErr w:type="spellEnd"/>
      <w:r>
        <w:rPr>
          <w:rtl/>
        </w:rPr>
        <w:t>. אין פירוש הדבר שר׳ חיים לא שלט במידה זו: במקרים הנדירים שבהם דרשה ממנו התורה להיות אכזר או קמצן, נעשה כזה בשבירת נטייתו הטבעית (או המפותחת במלואה) לחסד ולנדיבות, כשם שכל אדם אחר צריך להתגבר על נטיותיו הטבעיות כשהן מתנגשות עם הוראות התורה.</w:t>
      </w:r>
    </w:p>
    <w:bookmarkStart w:id="6865" w:name="b5_excG"/>
    <w:p w14:paraId="2E56D48F" w14:textId="77777777" w:rsidR="00AB3647" w:rsidRDefault="00000000" w:rsidP="007923E9">
      <w:pPr>
        <w:pStyle w:val="3"/>
        <w:spacing w:line="276" w:lineRule="auto"/>
      </w:pPr>
      <w:r>
        <w:lastRenderedPageBreak/>
        <w:fldChar w:fldCharType="begin" w:dirty="true"/>
      </w:r>
      <w:r>
        <w:rPr>
          <w:rtl w:val="0"/>
        </w:rPr>
        <w:instrText>HYPERLINK \l "b5_note64</w:instrText>
      </w:r>
      <w:r>
        <w:instrText>"</w:instrText>
      </w:r>
      <w:r>
        <w:fldChar w:fldCharType="separate"/>
      </w:r>
      <w:r>
        <w:t>נספח ז</w:t>
      </w:r>
      <w:r>
        <w:fldChar w:fldCharType="end"/>
      </w:r>
      <w:bookmarkEnd w:id="6865"/>
    </w:p>
    <w:p w14:paraId="542542F2" w14:textId="77777777" w:rsidR="00AB3647" w:rsidRDefault="00000000" w:rsidP="007923E9">
      <w:pPr>
        <w:pStyle w:val="af"/>
        <w:spacing w:line="276" w:lineRule="auto"/>
      </w:pPr>
      <w:r>
        <w:t xml:space="preserve">על גאונותו של ר׳ </w:t>
      </w:r>
      <w:proofErr w:type="spellStart"/>
      <w:r>
        <w:t>אברהם־אליהו</w:t>
      </w:r>
      <w:proofErr w:type="spellEnd"/>
      <w:r>
        <w:t xml:space="preserve"> קפלן ופטירתו בטרם עת</w:t>
      </w:r>
    </w:p>
    <w:p w14:paraId="34862551" w14:textId="77777777" w:rsidR="00AB3647" w:rsidRDefault="00000000" w:rsidP="007923E9">
      <w:pPr>
        <w:pStyle w:val="4"/>
        <w:spacing w:line="276" w:lineRule="auto"/>
      </w:pPr>
      <w:r>
        <w:t>· הפסקה הראשונה ·</w:t>
      </w:r>
    </w:p>
    <w:p w14:paraId="19526161" w14:textId="77777777" w:rsidR="00AB3647" w:rsidRDefault="00000000" w:rsidP="007923E9">
      <w:pPr>
        <w:pStyle w:val="5"/>
        <w:spacing w:line="276" w:lineRule="auto"/>
      </w:pPr>
      <w:r>
        <w:t xml:space="preserve">ר׳ </w:t>
      </w:r>
      <w:proofErr w:type="spellStart"/>
      <w:r>
        <w:t>אברהם־אליהו</w:t>
      </w:r>
      <w:proofErr w:type="spellEnd"/>
      <w:r>
        <w:t xml:space="preserve"> קפלן מכוון את הנוער החרדי הגרמני לישיבות ליטא – הוא מנגן בכינור וחוזר בחרוזים על דרשת שבע הברכות הארוכה של ר׳ אהרן קוטלר</w:t>
      </w:r>
    </w:p>
    <w:p w14:paraId="086E8E9F" w14:textId="77777777" w:rsidR="00AB3647" w:rsidRDefault="00000000" w:rsidP="007923E9">
      <w:pPr>
        <w:spacing w:after="120" w:line="276" w:lineRule="auto"/>
        <w:ind w:firstLine="283"/>
        <w:jc w:val="both"/>
      </w:pPr>
      <w:r>
        <w:rPr>
          <w:rtl/>
        </w:rPr>
        <w:t xml:space="preserve">ר׳ </w:t>
      </w:r>
      <w:proofErr w:type="spellStart"/>
      <w:r>
        <w:rPr>
          <w:rtl/>
        </w:rPr>
        <w:t>אברהם־אליהו</w:t>
      </w:r>
      <w:proofErr w:type="spellEnd"/>
      <w:r>
        <w:rPr>
          <w:rtl/>
        </w:rPr>
        <w:t xml:space="preserve"> קפלן נולד </w:t>
      </w:r>
      <w:proofErr w:type="spellStart"/>
      <w:r>
        <w:rPr>
          <w:rtl/>
        </w:rPr>
        <w:t>בתר״ן</w:t>
      </w:r>
      <w:proofErr w:type="spellEnd"/>
      <w:r>
        <w:rPr>
          <w:rtl/>
        </w:rPr>
        <w:t xml:space="preserve"> ולמד </w:t>
      </w:r>
      <w:proofErr w:type="spellStart"/>
      <w:r>
        <w:rPr>
          <w:rtl/>
        </w:rPr>
        <w:t>בסלבודקה</w:t>
      </w:r>
      <w:proofErr w:type="spellEnd"/>
      <w:r>
        <w:rPr>
          <w:rtl/>
        </w:rPr>
        <w:t>, ושם “היה שמו אגדה, סמל”</w:t>
      </w:r>
      <w:bookmarkStart w:id="6866" w:name="_fnr5258"/>
      <w:r>
        <w:rPr>
          <w:rStyle w:val="a5"/>
        </w:rPr>
        <w:footnoteReference w:id="5272" w:customMarkFollows="0"/>
      </w:r>
      <w:bookmarkEnd w:id="6866"/>
      <w:r>
        <w:rPr>
          <w:rtl/>
        </w:rPr>
        <w:t xml:space="preserve">. בפרוץ מלחמת העולם הראשונה שהה בעירו, </w:t>
      </w:r>
      <w:proofErr w:type="spellStart"/>
      <w:r>
        <w:rPr>
          <w:rtl/>
        </w:rPr>
        <w:t>טלז</w:t>
      </w:r>
      <w:proofErr w:type="spellEnd"/>
      <w:r>
        <w:rPr>
          <w:rtl/>
        </w:rPr>
        <w:t xml:space="preserve">. הוא נשאר שם, </w:t>
      </w:r>
      <w:proofErr w:type="spellStart"/>
      <w:r>
        <w:rPr>
          <w:rtl/>
        </w:rPr>
        <w:t>ובתר״ף</w:t>
      </w:r>
      <w:proofErr w:type="spellEnd"/>
      <w:r>
        <w:rPr>
          <w:rtl/>
        </w:rPr>
        <w:t xml:space="preserve"> נשא את בתו של ר׳ הירש אבל (אחיו של ר׳ </w:t>
      </w:r>
      <w:proofErr w:type="spellStart"/>
      <w:r>
        <w:rPr>
          <w:rtl/>
        </w:rPr>
        <w:t>שלמה־זלמן</w:t>
      </w:r>
      <w:bookmarkStart w:id="6867" w:name="_fnr5259"/>
      <w:proofErr w:type="spellEnd"/>
      <w:r>
        <w:rPr>
          <w:rStyle w:val="a5"/>
        </w:rPr>
        <w:footnoteReference w:id="5273" w:customMarkFollows="0"/>
      </w:r>
      <w:bookmarkEnd w:id="6867"/>
      <w:r>
        <w:rPr>
          <w:rtl/>
        </w:rPr>
        <w:t xml:space="preserve">). מאמר </w:t>
      </w:r>
      <w:proofErr w:type="spellStart"/>
      <w:r>
        <w:rPr>
          <w:rtl/>
        </w:rPr>
        <w:t>ב“יתד</w:t>
      </w:r>
      <w:proofErr w:type="spellEnd"/>
      <w:r>
        <w:rPr>
          <w:rtl/>
        </w:rPr>
        <w:t xml:space="preserve"> נאמן”</w:t>
      </w:r>
      <w:bookmarkStart w:id="6868" w:name="_fnr5260"/>
      <w:r>
        <w:rPr>
          <w:rStyle w:val="a5"/>
        </w:rPr>
        <w:footnoteReference w:id="5274" w:customMarkFollows="0"/>
      </w:r>
      <w:bookmarkEnd w:id="6868"/>
      <w:r>
        <w:rPr>
          <w:rtl/>
        </w:rPr>
        <w:t xml:space="preserve"> מתאר את פעילותו של ר׳ </w:t>
      </w:r>
      <w:proofErr w:type="spellStart"/>
      <w:r>
        <w:rPr>
          <w:rtl/>
        </w:rPr>
        <w:t>אברהם־אליהו</w:t>
      </w:r>
      <w:proofErr w:type="spellEnd"/>
      <w:r>
        <w:rPr>
          <w:rtl/>
        </w:rPr>
        <w:t xml:space="preserve"> בליטא באותה עת: “עם שוך המלחמה שבו חיי הציבור היהודיים בליטא לתחייה. המלחמה החיצונית בשדות הקטל נסתיימה, אבל מלחמה פנימית החלה: סדר עולמי חדש התחיל לאיים על היהדות</w:t>
      </w:r>
      <w:bookmarkStart w:id="6869" w:name="_fnr5261"/>
      <w:r>
        <w:rPr>
          <w:rStyle w:val="a5"/>
        </w:rPr>
        <w:footnoteReference w:id="5275" w:customMarkFollows="0"/>
      </w:r>
      <w:bookmarkEnd w:id="6869"/>
      <w:r>
        <w:rPr>
          <w:rtl/>
        </w:rPr>
        <w:t>. הרב קפלן הבין שעליו מוטלת החובה לצאת מד׳ אמותיו ולהתמסר להצלת עם ישראל – ‘ביטולה זה קיומה’</w:t>
      </w:r>
      <w:bookmarkStart w:id="6870" w:name="_fnr5262"/>
      <w:r>
        <w:rPr>
          <w:rStyle w:val="a5"/>
        </w:rPr>
        <w:footnoteReference w:id="5276" w:customMarkFollows="0"/>
      </w:r>
      <w:bookmarkEnd w:id="6870"/>
      <w:r>
        <w:rPr>
          <w:rtl/>
        </w:rPr>
        <w:t xml:space="preserve">. ובייחוד אמורים הדברים ברב קפלן, שכן בכישרונותיו יכול היה לעשות הכול בזריזות, בתקיפות, בהחלטיות ובמהירות, בלי להפריע למהלך לימודו. באותה עת ייסד את ארגון הנוער הדתי צעירי אגודת ישראל וחיבר המנון, שחברי הארגון שרו בכל כינוס. כנציג החרדים השתתף בוועד הלאומי שנבחר לנהל את ענייני האוטונומיה היהודית בליטא. יחד עם ד״ר ליאו </w:t>
      </w:r>
      <w:proofErr w:type="spellStart"/>
      <w:r>
        <w:rPr>
          <w:rtl/>
        </w:rPr>
        <w:t>דויטשלנדר</w:t>
      </w:r>
      <w:proofErr w:type="spellEnd"/>
      <w:r>
        <w:rPr>
          <w:rtl/>
        </w:rPr>
        <w:t xml:space="preserve"> ניהל את מחלקת החינוך. בד בבד יצא </w:t>
      </w:r>
      <w:proofErr w:type="spellStart"/>
      <w:r>
        <w:rPr>
          <w:rtl/>
        </w:rPr>
        <w:t>לאספות</w:t>
      </w:r>
      <w:proofErr w:type="spellEnd"/>
      <w:r>
        <w:rPr>
          <w:rtl/>
        </w:rPr>
        <w:t xml:space="preserve"> בערים כדי להרחיב ולחזק את ארגון החרדים בכל מקום ומקום”.</w:t>
      </w:r>
    </w:p>
    <w:p w14:paraId="14622F13" w14:textId="77777777" w:rsidR="00AB3647" w:rsidRDefault="00000000" w:rsidP="007923E9">
      <w:pPr>
        <w:spacing w:after="120" w:line="276" w:lineRule="auto"/>
        <w:ind w:firstLine="283"/>
        <w:jc w:val="both"/>
      </w:pPr>
      <w:r>
        <w:rPr>
          <w:rtl/>
        </w:rPr>
        <w:t xml:space="preserve">לאחר מכן נתמנה למשרה בבית המדרש לרבנים ע״ש </w:t>
      </w:r>
      <w:proofErr w:type="spellStart"/>
      <w:r>
        <w:rPr>
          <w:rtl/>
        </w:rPr>
        <w:t>הילדסהיימר</w:t>
      </w:r>
      <w:proofErr w:type="spellEnd"/>
      <w:r>
        <w:rPr>
          <w:rtl/>
        </w:rPr>
        <w:t xml:space="preserve"> בברלין, </w:t>
      </w:r>
      <w:proofErr w:type="spellStart"/>
      <w:r>
        <w:rPr>
          <w:rtl/>
        </w:rPr>
        <w:t>ובתרפ״ב</w:t>
      </w:r>
      <w:proofErr w:type="spellEnd"/>
      <w:r>
        <w:rPr>
          <w:rtl/>
        </w:rPr>
        <w:t xml:space="preserve">, כשנפטר ר׳ </w:t>
      </w:r>
      <w:proofErr w:type="spellStart"/>
      <w:r>
        <w:rPr>
          <w:rtl/>
        </w:rPr>
        <w:t>דוד־צבי</w:t>
      </w:r>
      <w:proofErr w:type="spellEnd"/>
      <w:r>
        <w:rPr>
          <w:rtl/>
        </w:rPr>
        <w:t xml:space="preserve"> הופמן, נתמנה לראש מחלקת התלמוד בבית המדרש. הוא ערך גם את המדור העברי של כתב העת “ישורון”, ותרם מאמרים למדניים רבים שחיזקו את היהדות החרדית בגרמניה. תלמידיו אהבוהו והעריצוהו, והוא הביא את אור ישיבות ליטא למערב אירופה. בעקבות תורתו ואישיותו החל זרם של תלמידים גרמנים לנהור אל הישיבות המסורתיות</w:t>
      </w:r>
      <w:bookmarkStart w:id="6871" w:name="_fnr5263"/>
      <w:r>
        <w:rPr>
          <w:rStyle w:val="a5"/>
        </w:rPr>
        <w:footnoteReference w:id="5277" w:customMarkFollows="0"/>
      </w:r>
      <w:bookmarkEnd w:id="6871"/>
      <w:r>
        <w:rPr>
          <w:rtl/>
        </w:rPr>
        <w:t>.</w:t>
      </w:r>
    </w:p>
    <w:p w14:paraId="15B4A00E" w14:textId="77777777" w:rsidR="00AB3647" w:rsidRDefault="00000000" w:rsidP="007923E9">
      <w:pPr>
        <w:spacing w:after="120" w:line="276" w:lineRule="auto"/>
        <w:ind w:firstLine="283"/>
        <w:jc w:val="both"/>
      </w:pPr>
      <w:r>
        <w:rPr>
          <w:rtl/>
        </w:rPr>
        <w:t xml:space="preserve">המאמר </w:t>
      </w:r>
      <w:proofErr w:type="spellStart"/>
      <w:r>
        <w:rPr>
          <w:rtl/>
        </w:rPr>
        <w:t>ב“יתד</w:t>
      </w:r>
      <w:proofErr w:type="spellEnd"/>
      <w:r>
        <w:rPr>
          <w:rtl/>
        </w:rPr>
        <w:t xml:space="preserve"> נאמן” שצוטט לעיל מספר: “במאבקו בנסיגת היהדות החרדית בגרמניה היה מאריך לבאר שהעניין החשוב ביותר הוא החינוך. [הכריז:] ‘מי שרושם את ילדו לבתי הספר הממשלתיים חייב לדעת – בין שהוא אוהב לשמוע זאת ובין שהדבר מאוד לא נעים לו, </w:t>
      </w:r>
      <w:r>
        <w:rPr>
          <w:rtl/>
        </w:rPr>
        <w:lastRenderedPageBreak/>
        <w:t>עליו להיות מודע היטב לכך שהוא מעביר את זרעו למולך האירופי</w:t>
      </w:r>
      <w:bookmarkStart w:id="6872" w:name="_fnr5264"/>
      <w:r>
        <w:rPr>
          <w:rStyle w:val="a5"/>
        </w:rPr>
        <w:footnoteReference w:id="5278" w:customMarkFollows="0"/>
      </w:r>
      <w:bookmarkEnd w:id="6872"/>
      <w:r>
        <w:rPr>
          <w:rtl/>
        </w:rPr>
        <w:t>, ובכך הוא מוחק מלב ילדו את הבטחת הקב״ה כי [התורה] “לא תשכח מפי זרעו”</w:t>
      </w:r>
      <w:bookmarkStart w:id="6873" w:name="_fnr5265"/>
      <w:r>
        <w:rPr>
          <w:rStyle w:val="a5"/>
        </w:rPr>
        <w:footnoteReference w:id="5279" w:customMarkFollows="0"/>
      </w:r>
      <w:bookmarkEnd w:id="6873"/>
      <w:r>
        <w:rPr>
          <w:rtl/>
        </w:rPr>
        <w:t>‘”.</w:t>
      </w:r>
    </w:p>
    <w:p w14:paraId="4D6CFCBF" w14:textId="77777777" w:rsidR="00AB3647" w:rsidRDefault="00000000" w:rsidP="007923E9">
      <w:pPr>
        <w:spacing w:after="120" w:line="276" w:lineRule="auto"/>
        <w:ind w:firstLine="283"/>
        <w:jc w:val="both"/>
      </w:pPr>
      <w:r>
        <w:rPr>
          <w:rtl/>
        </w:rPr>
        <w:t xml:space="preserve">הקורא האמריקאי ימצא עניין במידע שחושף מאמר מאת ר׳ </w:t>
      </w:r>
      <w:proofErr w:type="spellStart"/>
      <w:r>
        <w:rPr>
          <w:rtl/>
        </w:rPr>
        <w:t>אברהם־יעקב</w:t>
      </w:r>
      <w:proofErr w:type="spellEnd"/>
      <w:r>
        <w:rPr>
          <w:rtl/>
        </w:rPr>
        <w:t xml:space="preserve"> </w:t>
      </w:r>
      <w:proofErr w:type="spellStart"/>
      <w:r>
        <w:rPr>
          <w:rtl/>
        </w:rPr>
        <w:t>ניימרק</w:t>
      </w:r>
      <w:bookmarkStart w:id="6874" w:name="_fnr5266"/>
      <w:proofErr w:type="spellEnd"/>
      <w:r>
        <w:rPr>
          <w:rStyle w:val="a5"/>
        </w:rPr>
        <w:footnoteReference w:id="5280" w:customMarkFollows="0"/>
      </w:r>
      <w:bookmarkEnd w:id="6874"/>
      <w:r>
        <w:rPr>
          <w:rtl/>
        </w:rPr>
        <w:t xml:space="preserve">: ר׳ </w:t>
      </w:r>
      <w:proofErr w:type="spellStart"/>
      <w:r>
        <w:rPr>
          <w:rtl/>
        </w:rPr>
        <w:t>אברהם־אליהו</w:t>
      </w:r>
      <w:proofErr w:type="spellEnd"/>
      <w:r>
        <w:rPr>
          <w:rtl/>
        </w:rPr>
        <w:t xml:space="preserve"> נכח בחתונת ר׳ אהרן קוטלר </w:t>
      </w:r>
      <w:proofErr w:type="spellStart"/>
      <w:r>
        <w:rPr>
          <w:rtl/>
        </w:rPr>
        <w:t>בסלוצק</w:t>
      </w:r>
      <w:proofErr w:type="spellEnd"/>
      <w:r>
        <w:rPr>
          <w:rtl/>
        </w:rPr>
        <w:t xml:space="preserve"> בחורף תרע״ד</w:t>
      </w:r>
      <w:bookmarkStart w:id="6875" w:name="_fnr5267"/>
      <w:r>
        <w:rPr>
          <w:rStyle w:val="a5"/>
        </w:rPr>
        <w:footnoteReference w:id="5281" w:customMarkFollows="0"/>
      </w:r>
      <w:bookmarkEnd w:id="6875"/>
      <w:r>
        <w:rPr>
          <w:rtl/>
        </w:rPr>
        <w:t>. באחת מסעודות שבע הברכות, אחרי שאמר החתן את דברי תורתו “בעומק ובחריפות נפלאים, והאריך בדרשתו עד שאפילו הלומדים התקשו לרדת לסוף דעתו, עמד הרב קפלן, המכרכר בשיר והמלמד תורה בכל כלי שיר</w:t>
      </w:r>
      <w:bookmarkStart w:id="6876" w:name="_fnr5268"/>
      <w:r>
        <w:rPr>
          <w:rStyle w:val="a5"/>
        </w:rPr>
        <w:footnoteReference w:id="5282" w:customMarkFollows="0"/>
      </w:r>
      <w:bookmarkEnd w:id="6876"/>
      <w:r>
        <w:rPr>
          <w:rtl/>
        </w:rPr>
        <w:t xml:space="preserve">, ושר את הפלפול בחרוזים, בבהירות נפלאה, ‘ולא </w:t>
      </w:r>
      <w:proofErr w:type="spellStart"/>
      <w:r>
        <w:rPr>
          <w:rtl/>
        </w:rPr>
        <w:t>יפול</w:t>
      </w:r>
      <w:proofErr w:type="spellEnd"/>
      <w:r>
        <w:rPr>
          <w:rtl/>
        </w:rPr>
        <w:t xml:space="preserve"> צרור ארץ’</w:t>
      </w:r>
      <w:bookmarkStart w:id="6877" w:name="_fnr5269"/>
      <w:r>
        <w:rPr>
          <w:rStyle w:val="a5"/>
        </w:rPr>
        <w:footnoteReference w:id="5283" w:customMarkFollows="0"/>
      </w:r>
      <w:bookmarkEnd w:id="6877"/>
      <w:r>
        <w:rPr>
          <w:rtl/>
        </w:rPr>
        <w:t>”.</w:t>
      </w:r>
    </w:p>
    <w:p w14:paraId="6929060C" w14:textId="77777777" w:rsidR="00AB3647" w:rsidRDefault="00000000" w:rsidP="007923E9">
      <w:pPr>
        <w:spacing w:after="120" w:line="276" w:lineRule="auto"/>
        <w:ind w:firstLine="283"/>
        <w:jc w:val="both"/>
      </w:pPr>
      <w:r>
        <w:rPr>
          <w:rtl/>
        </w:rPr>
        <w:t xml:space="preserve">ר׳ </w:t>
      </w:r>
      <w:proofErr w:type="spellStart"/>
      <w:r>
        <w:rPr>
          <w:rtl/>
        </w:rPr>
        <w:t>פיבל</w:t>
      </w:r>
      <w:proofErr w:type="spellEnd"/>
      <w:r>
        <w:rPr>
          <w:rtl/>
        </w:rPr>
        <w:t xml:space="preserve"> מלצר, אחי הכלה, נזכר </w:t>
      </w:r>
      <w:proofErr w:type="spellStart"/>
      <w:r>
        <w:rPr>
          <w:rtl/>
        </w:rPr>
        <w:t>ב“בעקבות</w:t>
      </w:r>
      <w:proofErr w:type="spellEnd"/>
      <w:r>
        <w:rPr>
          <w:rtl/>
        </w:rPr>
        <w:t xml:space="preserve"> היראה”</w:t>
      </w:r>
      <w:bookmarkStart w:id="6878" w:name="_fnr5270"/>
      <w:r>
        <w:rPr>
          <w:rStyle w:val="a5"/>
        </w:rPr>
        <w:footnoteReference w:id="5284" w:customMarkFollows="0"/>
      </w:r>
      <w:bookmarkEnd w:id="6878"/>
      <w:r>
        <w:rPr>
          <w:rtl/>
        </w:rPr>
        <w:t xml:space="preserve"> </w:t>
      </w:r>
      <w:proofErr w:type="spellStart"/>
      <w:r>
        <w:rPr>
          <w:rtl/>
        </w:rPr>
        <w:t>ש“ברגע</w:t>
      </w:r>
      <w:proofErr w:type="spellEnd"/>
      <w:r>
        <w:rPr>
          <w:rtl/>
        </w:rPr>
        <w:t xml:space="preserve"> שסיים ר׳ אהרן את הרצאתו, החל הרב קפלן מיד לחזור עליה בחרוזים ובשירה”. עוד טוען ר׳ </w:t>
      </w:r>
      <w:proofErr w:type="spellStart"/>
      <w:r>
        <w:rPr>
          <w:rtl/>
        </w:rPr>
        <w:t>פיבל</w:t>
      </w:r>
      <w:proofErr w:type="spellEnd"/>
      <w:r>
        <w:rPr>
          <w:rtl/>
        </w:rPr>
        <w:t xml:space="preserve"> שפלפולו של ר׳ אהרן נמשך שלוש שעות</w:t>
      </w:r>
      <w:bookmarkStart w:id="6879" w:name="_fnr5271"/>
      <w:r>
        <w:rPr>
          <w:rStyle w:val="a5"/>
        </w:rPr>
        <w:footnoteReference w:id="5285" w:customMarkFollows="0"/>
      </w:r>
      <w:bookmarkEnd w:id="6879"/>
      <w:r>
        <w:rPr>
          <w:rtl/>
        </w:rPr>
        <w:t xml:space="preserve">. תלמיד של ר׳ אהרן מבית מדרש גבוה </w:t>
      </w:r>
      <w:proofErr w:type="spellStart"/>
      <w:r>
        <w:rPr>
          <w:rtl/>
        </w:rPr>
        <w:t>בלייקווד</w:t>
      </w:r>
      <w:proofErr w:type="spellEnd"/>
      <w:r>
        <w:rPr>
          <w:rtl/>
        </w:rPr>
        <w:t xml:space="preserve"> אמר: “ידוע לכול שבכל יום משבע הברכות שלו הרצה ר׳ אהרן דרך אחרת ליישב את הקשיים בנושא ‘חופה לפסולות’</w:t>
      </w:r>
      <w:bookmarkStart w:id="6880" w:name="_fnr5272"/>
      <w:r>
        <w:rPr>
          <w:rStyle w:val="a5"/>
        </w:rPr>
        <w:footnoteReference w:id="5286" w:customMarkFollows="0"/>
      </w:r>
      <w:bookmarkEnd w:id="6880"/>
      <w:r>
        <w:rPr>
          <w:rtl/>
        </w:rPr>
        <w:t xml:space="preserve">”. בסעודה האחרונה משבע הברכות חזר ר׳ </w:t>
      </w:r>
      <w:proofErr w:type="spellStart"/>
      <w:r>
        <w:rPr>
          <w:rtl/>
        </w:rPr>
        <w:t>איסר־זלמן</w:t>
      </w:r>
      <w:proofErr w:type="spellEnd"/>
      <w:r>
        <w:rPr>
          <w:rtl/>
        </w:rPr>
        <w:t>, אבי הכלה, על דרשת ר׳ אהרן בבתים מחורזים, והרב קפלן ליווה בכינורו את הפזמון שבין הבתים</w:t>
      </w:r>
      <w:bookmarkStart w:id="6881" w:name="_fnr5273"/>
      <w:r>
        <w:rPr>
          <w:rStyle w:val="a5"/>
        </w:rPr>
        <w:footnoteReference w:id="5287" w:customMarkFollows="0"/>
      </w:r>
      <w:bookmarkEnd w:id="6881"/>
      <w:r>
        <w:rPr>
          <w:rtl/>
        </w:rPr>
        <w:t>. לפי “בעקבות היראה”</w:t>
      </w:r>
      <w:bookmarkStart w:id="6882" w:name="_fnr5274"/>
      <w:r>
        <w:rPr>
          <w:rStyle w:val="a5"/>
        </w:rPr>
        <w:footnoteReference w:id="5288" w:customMarkFollows="0"/>
      </w:r>
      <w:bookmarkEnd w:id="6882"/>
      <w:r>
        <w:rPr>
          <w:rtl/>
        </w:rPr>
        <w:t xml:space="preserve">, שימש הרב קפלן חזן בישיבת </w:t>
      </w:r>
      <w:proofErr w:type="spellStart"/>
      <w:r>
        <w:rPr>
          <w:rtl/>
        </w:rPr>
        <w:t>סלבודקה</w:t>
      </w:r>
      <w:proofErr w:type="spellEnd"/>
      <w:r>
        <w:rPr>
          <w:rtl/>
        </w:rPr>
        <w:t xml:space="preserve"> בכל ראש השנה עד פטירתו.</w:t>
      </w:r>
    </w:p>
    <w:p w14:paraId="65D9F251" w14:textId="77777777" w:rsidR="00AB3647" w:rsidRDefault="00000000" w:rsidP="007923E9">
      <w:pPr>
        <w:pStyle w:val="4"/>
        <w:spacing w:line="276" w:lineRule="auto"/>
      </w:pPr>
      <w:r>
        <w:t>· הפסקה השנייה ·</w:t>
      </w:r>
    </w:p>
    <w:p w14:paraId="75320635" w14:textId="77777777" w:rsidR="00AB3647" w:rsidRDefault="00000000" w:rsidP="007923E9">
      <w:pPr>
        <w:pStyle w:val="5"/>
        <w:spacing w:line="276" w:lineRule="auto"/>
      </w:pPr>
      <w:r>
        <w:t xml:space="preserve">יש הסבורים שפטירתו המוקדמת של ר׳ </w:t>
      </w:r>
      <w:proofErr w:type="spellStart"/>
      <w:r>
        <w:t>אברהם־אליהו</w:t>
      </w:r>
      <w:proofErr w:type="spellEnd"/>
      <w:r>
        <w:t xml:space="preserve"> קפלן הייתה אות משמים שלא לחבר פירוש חדש לש״ס – ר׳ </w:t>
      </w:r>
      <w:proofErr w:type="spellStart"/>
      <w:r>
        <w:t>איסר־זלמן</w:t>
      </w:r>
      <w:proofErr w:type="spellEnd"/>
      <w:r>
        <w:t xml:space="preserve"> חולק</w:t>
      </w:r>
    </w:p>
    <w:p w14:paraId="1B2517F7" w14:textId="1CB62E66" w:rsidR="00AB3647" w:rsidRDefault="00000000" w:rsidP="007923E9">
      <w:pPr>
        <w:spacing w:after="120" w:line="276" w:lineRule="auto"/>
        <w:ind w:firstLine="283"/>
        <w:jc w:val="both"/>
      </w:pPr>
      <w:r>
        <w:rPr>
          <w:rtl/>
        </w:rPr>
        <w:t xml:space="preserve">ר׳ </w:t>
      </w:r>
      <w:proofErr w:type="spellStart"/>
      <w:r>
        <w:rPr>
          <w:rtl/>
        </w:rPr>
        <w:t>אברהם־אליהו</w:t>
      </w:r>
      <w:proofErr w:type="spellEnd"/>
      <w:r>
        <w:rPr>
          <w:rtl/>
        </w:rPr>
        <w:t xml:space="preserve"> החל במפעל של פירוש חדש לש״ס, כדוגמת פירוש רש״י: </w:t>
      </w:r>
      <w:proofErr w:type="spellStart"/>
      <w:r>
        <w:rPr>
          <w:rtl/>
        </w:rPr>
        <w:t>בתרפ״ד</w:t>
      </w:r>
      <w:proofErr w:type="spellEnd"/>
      <w:r>
        <w:rPr>
          <w:rtl/>
        </w:rPr>
        <w:t xml:space="preserve"> פרסם </w:t>
      </w:r>
      <w:proofErr w:type="spellStart"/>
      <w:r>
        <w:rPr>
          <w:rtl/>
        </w:rPr>
        <w:t>ב“ישורון</w:t>
      </w:r>
      <w:proofErr w:type="spellEnd"/>
      <w:r>
        <w:rPr>
          <w:rtl/>
        </w:rPr>
        <w:t>” מאמר ארוך על הצורך בחיבור כזה ועל תוכנית לביצועו – ואז נפטר לפתע</w:t>
      </w:r>
      <w:bookmarkStart w:id="6883" w:name="_fnr5275"/>
      <w:r>
        <w:rPr>
          <w:rStyle w:val="a5"/>
        </w:rPr>
        <w:footnoteReference w:id="5289" w:customMarkFollows="0"/>
      </w:r>
      <w:bookmarkEnd w:id="6883"/>
      <w:r>
        <w:rPr>
          <w:rtl/>
        </w:rPr>
        <w:t xml:space="preserve">. תלמידי </w:t>
      </w:r>
      <w:proofErr w:type="spellStart"/>
      <w:r>
        <w:rPr>
          <w:rtl/>
        </w:rPr>
        <w:t>סלבודקה</w:t>
      </w:r>
      <w:proofErr w:type="spellEnd"/>
      <w:r>
        <w:rPr>
          <w:rtl/>
        </w:rPr>
        <w:t xml:space="preserve"> כאבי הזדעזעו מפטירתו בטרם עת של הרב קפלן, וראו בו אדם שכישרונותיו </w:t>
      </w:r>
      <w:r>
        <w:rPr>
          <w:rtl/>
        </w:rPr>
        <w:lastRenderedPageBreak/>
        <w:t xml:space="preserve">אין להם גבול. הם ייחסו את האסון לכך שקיבל עליו לחבר פירוש שהיה מתחרה בפירוש רש״י (שהרב קפלן היה מצאצאיו! – ראה </w:t>
      </w:r>
      <w:r>
        <w:rPr>
          <w:rtl/>
        </w:rPr>
        <w:fldChar w:fldCharType="begin" w:dirty="true"/>
      </w:r>
      <w:r>
        <w:rPr>
          <w:rtl/>
        </w:rPr>
        <w:instrText xml:space="preserve"> REF b5_excH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ח</w:t>
      </w:r>
      <w:r>
        <w:rPr>
          <w:rtl/>
        </w:rPr>
        <w:fldChar w:fldCharType="end"/>
      </w:r>
      <w:r>
        <w:rPr>
          <w:rtl/>
        </w:rPr>
        <w:t xml:space="preserve"> להלן).</w:t>
      </w:r>
    </w:p>
    <w:p w14:paraId="79152A2E" w14:textId="77777777" w:rsidR="00AB3647" w:rsidRDefault="00000000" w:rsidP="007923E9">
      <w:pPr>
        <w:spacing w:after="120" w:line="276" w:lineRule="auto"/>
        <w:ind w:firstLine="283"/>
        <w:jc w:val="both"/>
      </w:pPr>
      <w:r>
        <w:rPr>
          <w:rtl/>
        </w:rPr>
        <w:t xml:space="preserve">גישה זו באה לידי ביטוי במאמרו של </w:t>
      </w:r>
      <w:proofErr w:type="spellStart"/>
      <w:r>
        <w:rPr>
          <w:rtl/>
        </w:rPr>
        <w:t>ניימרק</w:t>
      </w:r>
      <w:proofErr w:type="spellEnd"/>
      <w:r>
        <w:rPr>
          <w:rtl/>
        </w:rPr>
        <w:t xml:space="preserve"> שנזכר לעיל</w:t>
      </w:r>
      <w:bookmarkStart w:id="6884" w:name="_fnr5276"/>
      <w:r>
        <w:rPr>
          <w:rStyle w:val="a5"/>
        </w:rPr>
        <w:footnoteReference w:id="5290" w:customMarkFollows="0"/>
      </w:r>
      <w:bookmarkEnd w:id="6884"/>
      <w:r>
        <w:rPr>
          <w:rtl/>
        </w:rPr>
        <w:t xml:space="preserve">, שבו הוא כותב: “לפתע פתאום הופיע לנגד עיניי, </w:t>
      </w:r>
      <w:proofErr w:type="spellStart"/>
      <w:r>
        <w:rPr>
          <w:rtl/>
        </w:rPr>
        <w:t>ב‘ישורון</w:t>
      </w:r>
      <w:proofErr w:type="spellEnd"/>
      <w:r>
        <w:rPr>
          <w:rtl/>
        </w:rPr>
        <w:t xml:space="preserve">’, מאמרו של הרב קפלן על ‘עריכת פירוש לתלמוד הבבלי’. דבר קטן! פירוש לתלמוד הבבלי הבנוי על ארבעה יסודות: ספרא, ספרי, </w:t>
      </w:r>
      <w:proofErr w:type="spellStart"/>
      <w:r>
        <w:rPr>
          <w:rtl/>
        </w:rPr>
        <w:t>תוספתא</w:t>
      </w:r>
      <w:proofErr w:type="spellEnd"/>
      <w:r>
        <w:rPr>
          <w:rtl/>
        </w:rPr>
        <w:t xml:space="preserve"> וירושלמי, וכל הראשונים שיש לנו מאז נחתם התלמוד. הקו כבר נטוי, המקום נקבע, </w:t>
      </w:r>
      <w:proofErr w:type="spellStart"/>
      <w:r>
        <w:rPr>
          <w:rtl/>
        </w:rPr>
        <w:t>ואחד־עשר</w:t>
      </w:r>
      <w:proofErr w:type="spellEnd"/>
      <w:r>
        <w:rPr>
          <w:rtl/>
        </w:rPr>
        <w:t xml:space="preserve"> העמודים ניצבים על מקומם</w:t>
      </w:r>
      <w:bookmarkStart w:id="6885" w:name="_fnr5277"/>
      <w:r>
        <w:rPr>
          <w:rStyle w:val="a5"/>
        </w:rPr>
        <w:footnoteReference w:id="5291" w:customMarkFollows="0"/>
      </w:r>
      <w:bookmarkEnd w:id="6885"/>
      <w:r>
        <w:rPr>
          <w:rtl/>
        </w:rPr>
        <w:t xml:space="preserve">. קראתי שוב, ולא יכולתי להאמין למראה עיניי. האומנם קם לתחייה רמב״ם – יוצר הבניין הענקי ‘יד החזקה’ לבירור ההלכה – לבנות לנו מגדל מפואר עוד יותר [וראשו בשמים] לביאור ההלכה? שמא אני חולם בהקיץ? אך לאחר עיון מיושב בחמשת העמודים, משוכנע אני שאין אלה חלומות. משוכנע אני שהאדריכל המקבל עליו מפעל כזה סבור שבכוחו להתחיל ולהשלים את הבניין מן היסוד ועד התקרה. קראתי, ורעד אחזני: נזכרתי במה שנכתב על הגאון מווילנה, שהתכוון, בהיותו בן פחות מארבעים</w:t>
      </w:r>
      <w:bookmarkStart w:id="6886" w:name="_fnr5278"/>
      <w:r>
        <w:rPr>
          <w:rStyle w:val="a5"/>
        </w:rPr>
        <w:footnoteReference w:id="5292" w:customMarkFollows="0"/>
      </w:r>
      <w:bookmarkEnd w:id="6886"/>
      <w:r>
        <w:rPr>
          <w:rtl/>
        </w:rPr>
        <w:t xml:space="preserve">, לחבר שולחן ערוך ובו הכרעותיו המיוסדות על ביאוריו לתלמוד הבבלי, לתלמוד הירושלמי </w:t>
      </w:r>
      <w:proofErr w:type="spellStart"/>
      <w:r>
        <w:rPr>
          <w:rtl/>
        </w:rPr>
        <w:t>וכו</w:t>
      </w:r>
      <w:proofErr w:type="spellEnd"/>
      <w:r>
        <w:rPr>
          <w:rtl/>
        </w:rPr>
        <w:t xml:space="preserve">׳, והראו לו אות משמים שיחדל מכך... ‘ויהי המה הלכים הלוך ודבר והנה רכב אש וסוסי אש </w:t>
      </w:r>
      <w:proofErr w:type="spellStart"/>
      <w:r>
        <w:rPr>
          <w:rtl/>
        </w:rPr>
        <w:t>ויפרדו</w:t>
      </w:r>
      <w:proofErr w:type="spellEnd"/>
      <w:r>
        <w:rPr>
          <w:rtl/>
        </w:rPr>
        <w:t xml:space="preserve"> בין שניהם ויעל אליהו בסערה השמים...’</w:t>
      </w:r>
      <w:bookmarkStart w:id="6887" w:name="_fnr5279"/>
      <w:r>
        <w:rPr>
          <w:rStyle w:val="a5"/>
        </w:rPr>
        <w:footnoteReference w:id="5293" w:customMarkFollows="0"/>
      </w:r>
      <w:bookmarkEnd w:id="6887"/>
      <w:r>
        <w:rPr>
          <w:rtl/>
        </w:rPr>
        <w:t xml:space="preserve"> הבנתי את קול האות האחרון</w:t>
      </w:r>
      <w:bookmarkStart w:id="6888" w:name="_fnr5280"/>
      <w:r>
        <w:rPr>
          <w:rStyle w:val="a5"/>
        </w:rPr>
        <w:footnoteReference w:id="5294" w:customMarkFollows="0"/>
      </w:r>
      <w:bookmarkEnd w:id="6888"/>
      <w:r>
        <w:rPr>
          <w:rtl/>
        </w:rPr>
        <w:t>”.</w:t>
      </w:r>
    </w:p>
    <w:p w14:paraId="3C00238B" w14:textId="77777777" w:rsidR="00AB3647" w:rsidRDefault="00000000" w:rsidP="007923E9">
      <w:pPr>
        <w:spacing w:after="120" w:line="276" w:lineRule="auto"/>
        <w:ind w:firstLine="283"/>
        <w:jc w:val="both"/>
      </w:pPr>
      <w:r>
        <w:rPr>
          <w:rtl/>
        </w:rPr>
        <w:t xml:space="preserve">בדבריו האחרונים מתכוון ר׳ </w:t>
      </w:r>
      <w:proofErr w:type="spellStart"/>
      <w:r>
        <w:rPr>
          <w:rtl/>
        </w:rPr>
        <w:t>אברהם־יעקב</w:t>
      </w:r>
      <w:proofErr w:type="spellEnd"/>
      <w:r>
        <w:rPr>
          <w:rtl/>
        </w:rPr>
        <w:t xml:space="preserve"> </w:t>
      </w:r>
      <w:proofErr w:type="spellStart"/>
      <w:r>
        <w:rPr>
          <w:rtl/>
        </w:rPr>
        <w:t>ניימרק</w:t>
      </w:r>
      <w:proofErr w:type="spellEnd"/>
      <w:r>
        <w:rPr>
          <w:rtl/>
        </w:rPr>
        <w:t xml:space="preserve"> כנראה לומר שאין הוא יודע מה בדיוק היה האות שהראו לגאון מווילנה (ר׳ אליהו קרמר); אבל במקרה המאוחר, של ר׳ אליהו קפלן, האות היה ברור: הוא נחטף כביכול בסערת אש, במיתה בטרם עת.</w:t>
      </w:r>
    </w:p>
    <w:p w14:paraId="6C6056A6" w14:textId="77777777" w:rsidR="00AB3647" w:rsidRDefault="00000000" w:rsidP="007923E9">
      <w:pPr>
        <w:spacing w:after="120" w:line="276" w:lineRule="auto"/>
        <w:ind w:firstLine="283"/>
        <w:jc w:val="both"/>
      </w:pPr>
      <w:r>
        <w:rPr>
          <w:rtl/>
        </w:rPr>
        <w:t xml:space="preserve">אולם ר׳ </w:t>
      </w:r>
      <w:proofErr w:type="spellStart"/>
      <w:r>
        <w:rPr>
          <w:rtl/>
        </w:rPr>
        <w:t>איסר־זלמן</w:t>
      </w:r>
      <w:proofErr w:type="spellEnd"/>
      <w:r>
        <w:rPr>
          <w:rtl/>
        </w:rPr>
        <w:t xml:space="preserve"> מלצר לא הסכים לגישה </w:t>
      </w:r>
      <w:proofErr w:type="spellStart"/>
      <w:r>
        <w:rPr>
          <w:rtl/>
        </w:rPr>
        <w:t>הסלבודקאית</w:t>
      </w:r>
      <w:proofErr w:type="spellEnd"/>
      <w:r>
        <w:rPr>
          <w:rtl/>
        </w:rPr>
        <w:t xml:space="preserve"> הזאת לפטירתו הטרגית של הרב קפלן, וכך כתב</w:t>
      </w:r>
      <w:bookmarkStart w:id="6889" w:name="_fnr5281"/>
      <w:r>
        <w:rPr>
          <w:rStyle w:val="a5"/>
        </w:rPr>
        <w:footnoteReference w:id="5295" w:customMarkFollows="0"/>
      </w:r>
      <w:bookmarkEnd w:id="6889"/>
      <w:r>
        <w:rPr>
          <w:rtl/>
        </w:rPr>
        <w:t xml:space="preserve">: “לדעתי כדאי להדפיס שוב את מאמרו </w:t>
      </w:r>
      <w:proofErr w:type="spellStart"/>
      <w:r>
        <w:rPr>
          <w:rtl/>
        </w:rPr>
        <w:t>ב‘ישורון</w:t>
      </w:r>
      <w:proofErr w:type="spellEnd"/>
      <w:r>
        <w:rPr>
          <w:rtl/>
        </w:rPr>
        <w:t>’... שעל ידו יראו הבריות כיצד גבהו לבו, שכלו וכוחו בדרכי ה׳, עד שראה את עצמו מסוגל להעפיל לשמי שמים באהבה ובחשק להתעמק בלימוד תורתנו הקדושה”.</w:t>
      </w:r>
    </w:p>
    <w:p w14:paraId="46E8FF43" w14:textId="77777777" w:rsidR="00AB3647" w:rsidRDefault="00000000" w:rsidP="007923E9">
      <w:pPr>
        <w:spacing w:after="120" w:line="276" w:lineRule="auto"/>
        <w:ind w:firstLine="283"/>
        <w:jc w:val="both"/>
      </w:pPr>
      <w:r>
        <w:rPr>
          <w:rtl/>
        </w:rPr>
        <w:t xml:space="preserve">ברור שר׳ </w:t>
      </w:r>
      <w:proofErr w:type="spellStart"/>
      <w:r>
        <w:rPr>
          <w:rtl/>
        </w:rPr>
        <w:t>איסר־זלמן</w:t>
      </w:r>
      <w:proofErr w:type="spellEnd"/>
      <w:r>
        <w:rPr>
          <w:rtl/>
        </w:rPr>
        <w:t xml:space="preserve"> מלצר סבר שלא המאמר ולא המפעל שהמאמר דגל בו היו הסיבה </w:t>
      </w:r>
      <w:proofErr w:type="spellStart"/>
      <w:r>
        <w:rPr>
          <w:rtl/>
        </w:rPr>
        <w:t>ההשגחתית</w:t>
      </w:r>
      <w:proofErr w:type="spellEnd"/>
      <w:r>
        <w:rPr>
          <w:rtl/>
        </w:rPr>
        <w:t xml:space="preserve"> לפטירתו המוקדמת של הרב קפלן.</w:t>
      </w:r>
    </w:p>
    <w:bookmarkStart w:id="6890" w:name="b5_excH"/>
    <w:p w14:paraId="739588F9" w14:textId="77777777" w:rsidR="00AB3647" w:rsidRDefault="00000000" w:rsidP="007923E9">
      <w:pPr>
        <w:pStyle w:val="3"/>
        <w:spacing w:line="276" w:lineRule="auto"/>
      </w:pPr>
      <w:r>
        <w:lastRenderedPageBreak/>
        <w:fldChar w:fldCharType="begin" w:dirty="true"/>
      </w:r>
      <w:r>
        <w:rPr>
          <w:rtl w:val="0"/>
        </w:rPr>
        <w:instrText>HYPERLINK \l "b5_note66</w:instrText>
      </w:r>
      <w:r>
        <w:instrText>"</w:instrText>
      </w:r>
      <w:r>
        <w:fldChar w:fldCharType="separate"/>
      </w:r>
      <w:r>
        <w:t>נספח ח</w:t>
      </w:r>
      <w:r>
        <w:fldChar w:fldCharType="end"/>
      </w:r>
      <w:bookmarkEnd w:id="6890"/>
    </w:p>
    <w:p w14:paraId="4AB4BE47" w14:textId="77777777" w:rsidR="00AB3647" w:rsidRDefault="00000000" w:rsidP="007923E9">
      <w:pPr>
        <w:pStyle w:val="af"/>
        <w:spacing w:line="276" w:lineRule="auto"/>
      </w:pPr>
      <w:r>
        <w:t xml:space="preserve">על העילוי </w:t>
      </w:r>
      <w:proofErr w:type="spellStart"/>
      <w:r>
        <w:t>מראקוב</w:t>
      </w:r>
      <w:proofErr w:type="spellEnd"/>
      <w:r>
        <w:t xml:space="preserve"> והעילוי </w:t>
      </w:r>
      <w:proofErr w:type="spellStart"/>
      <w:r>
        <w:t>ממייצ׳ט</w:t>
      </w:r>
      <w:proofErr w:type="spellEnd"/>
    </w:p>
    <w:p w14:paraId="12F49385" w14:textId="77777777" w:rsidR="00AB3647" w:rsidRDefault="00000000" w:rsidP="007923E9">
      <w:pPr>
        <w:pStyle w:val="4"/>
        <w:spacing w:line="276" w:lineRule="auto"/>
      </w:pPr>
      <w:r>
        <w:t>· הפסקה הראשונה ·</w:t>
      </w:r>
    </w:p>
    <w:p w14:paraId="4BCC141B" w14:textId="77777777" w:rsidR="00AB3647" w:rsidRDefault="00000000" w:rsidP="007923E9">
      <w:pPr>
        <w:pStyle w:val="5"/>
        <w:spacing w:line="276" w:lineRule="auto"/>
      </w:pPr>
      <w:r>
        <w:t xml:space="preserve">ר׳ חיים </w:t>
      </w:r>
      <w:proofErr w:type="spellStart"/>
      <w:r>
        <w:t>סולובייצ׳יק</w:t>
      </w:r>
      <w:proofErr w:type="spellEnd"/>
      <w:r>
        <w:t xml:space="preserve"> מתאר את ר׳ </w:t>
      </w:r>
      <w:proofErr w:type="spellStart"/>
      <w:r>
        <w:t>אברהם־אליהו</w:t>
      </w:r>
      <w:proofErr w:type="spellEnd"/>
      <w:r>
        <w:t xml:space="preserve"> קפלן האב</w:t>
      </w:r>
    </w:p>
    <w:p w14:paraId="6F2C31E3" w14:textId="77777777" w:rsidR="00AB3647" w:rsidRDefault="00000000" w:rsidP="007923E9">
      <w:pPr>
        <w:spacing w:after="120" w:line="276" w:lineRule="auto"/>
        <w:ind w:firstLine="283"/>
        <w:jc w:val="both"/>
      </w:pPr>
      <w:r>
        <w:rPr>
          <w:rtl/>
        </w:rPr>
        <w:t xml:space="preserve">ר׳ </w:t>
      </w:r>
      <w:proofErr w:type="spellStart"/>
      <w:r>
        <w:rPr>
          <w:rtl/>
        </w:rPr>
        <w:t>אברהם־אליהו</w:t>
      </w:r>
      <w:proofErr w:type="spellEnd"/>
      <w:r>
        <w:rPr>
          <w:rtl/>
        </w:rPr>
        <w:t xml:space="preserve">, העילוי </w:t>
      </w:r>
      <w:proofErr w:type="spellStart"/>
      <w:r>
        <w:rPr>
          <w:rtl/>
        </w:rPr>
        <w:t>מראקוב</w:t>
      </w:r>
      <w:proofErr w:type="spellEnd"/>
      <w:r>
        <w:rPr>
          <w:rtl/>
        </w:rPr>
        <w:t xml:space="preserve">, היה צעיר מר׳ חיים בארבע שנים, ולמד </w:t>
      </w:r>
      <w:proofErr w:type="spellStart"/>
      <w:r>
        <w:rPr>
          <w:rtl/>
        </w:rPr>
        <w:t>בוולוז׳ין</w:t>
      </w:r>
      <w:proofErr w:type="spellEnd"/>
      <w:r>
        <w:rPr>
          <w:rtl/>
        </w:rPr>
        <w:t xml:space="preserve"> באותה עת שלמד בה ר׳ חיים </w:t>
      </w:r>
      <w:proofErr w:type="spellStart"/>
      <w:r>
        <w:rPr>
          <w:rtl/>
        </w:rPr>
        <w:t>סולובייצ׳יק</w:t>
      </w:r>
      <w:proofErr w:type="spellEnd"/>
      <w:r>
        <w:rPr>
          <w:rtl/>
        </w:rPr>
        <w:t>. “בעקבות היראה”</w:t>
      </w:r>
      <w:bookmarkStart w:id="6891" w:name="_fnr5282"/>
      <w:r>
        <w:rPr>
          <w:rStyle w:val="a5"/>
        </w:rPr>
        <w:footnoteReference w:id="5296" w:customMarkFollows="0"/>
      </w:r>
      <w:bookmarkEnd w:id="6891"/>
      <w:r>
        <w:rPr>
          <w:rtl/>
        </w:rPr>
        <w:t xml:space="preserve"> מצטט מכתב של ר׳ </w:t>
      </w:r>
      <w:proofErr w:type="spellStart"/>
      <w:r>
        <w:rPr>
          <w:rtl/>
        </w:rPr>
        <w:t xml:space="preserve">יוסף־דב</w:t>
      </w:r>
      <w:proofErr w:type="spellEnd"/>
      <w:r>
        <w:rPr>
          <w:rtl/>
        </w:rPr>
        <w:t xml:space="preserve"> </w:t>
      </w:r>
      <w:proofErr w:type="spellStart"/>
      <w:r>
        <w:rPr>
          <w:rtl/>
        </w:rPr>
        <w:t>סולובייצ׳יק</w:t>
      </w:r>
      <w:proofErr w:type="spellEnd"/>
      <w:r>
        <w:rPr>
          <w:rtl/>
        </w:rPr>
        <w:t xml:space="preserve">, וזו לשונו: “סבי ר׳ חיים </w:t>
      </w:r>
      <w:proofErr w:type="spellStart"/>
      <w:r>
        <w:rPr>
          <w:rtl/>
        </w:rPr>
        <w:t>סולובייצ׳יק</w:t>
      </w:r>
      <w:proofErr w:type="spellEnd"/>
      <w:r>
        <w:rPr>
          <w:rtl/>
        </w:rPr>
        <w:t xml:space="preserve"> אמר בשיחה אישית עם אחד ממקורביו: ‘אינני מאמין בעילויים המפורסמים; היה יוצא מן הכלל אחד בלבד, העילוי </w:t>
      </w:r>
      <w:proofErr w:type="spellStart"/>
      <w:r>
        <w:rPr>
          <w:rtl/>
        </w:rPr>
        <w:t>מראקוב</w:t>
      </w:r>
      <w:proofErr w:type="spellEnd"/>
      <w:r>
        <w:rPr>
          <w:rtl/>
        </w:rPr>
        <w:t xml:space="preserve">, שהיה בקי בכל התורה’”. עוד מובא שם מכתב של ר׳ </w:t>
      </w:r>
      <w:proofErr w:type="spellStart"/>
      <w:r>
        <w:rPr>
          <w:rtl/>
        </w:rPr>
        <w:t>איסר־זלמן</w:t>
      </w:r>
      <w:proofErr w:type="spellEnd"/>
      <w:r>
        <w:rPr>
          <w:rtl/>
        </w:rPr>
        <w:t xml:space="preserve"> מלצר: “עם ישראל תלה בו תקוות, וציפה לראותו נעשה גאון בשיעור קומתם של גאוני דורות קודמים”</w:t>
      </w:r>
      <w:bookmarkStart w:id="6892" w:name="_fnr5283"/>
      <w:r>
        <w:rPr>
          <w:rStyle w:val="a5"/>
        </w:rPr>
        <w:footnoteReference w:id="5297" w:customMarkFollows="0"/>
      </w:r>
      <w:bookmarkEnd w:id="6892"/>
      <w:r>
        <w:rPr>
          <w:rtl/>
        </w:rPr>
        <w:t>.</w:t>
      </w:r>
    </w:p>
    <w:p w14:paraId="0D82C8C1" w14:textId="141EB42F" w:rsidR="00AB3647" w:rsidRDefault="00000000" w:rsidP="007923E9">
      <w:pPr>
        <w:spacing w:after="120" w:line="276" w:lineRule="auto"/>
        <w:ind w:firstLine="283"/>
        <w:jc w:val="both"/>
      </w:pPr>
      <w:r>
        <w:rPr>
          <w:rtl/>
        </w:rPr>
        <w:t xml:space="preserve">ר׳ </w:t>
      </w:r>
      <w:proofErr w:type="spellStart"/>
      <w:r>
        <w:rPr>
          <w:rtl/>
        </w:rPr>
        <w:t>אברהם־אליהו</w:t>
      </w:r>
      <w:proofErr w:type="spellEnd"/>
      <w:r>
        <w:rPr>
          <w:rtl/>
        </w:rPr>
        <w:t xml:space="preserve"> נפטר לפתע ובגיל צעיר – “בן שלושים ושתיים או שלושים ושלוש שנה”. בנו, שנולד חמישה חודשים אחרי פטירתו ונקרא על שמו, עתיד היה אף הוא למות צעיר, כמו שסופר ב</w:t>
      </w:r>
      <w:r>
        <w:rPr>
          <w:rtl/>
        </w:rPr>
        <w:fldChar w:fldCharType="begin" w:dirty="true"/>
      </w:r>
      <w:r>
        <w:rPr>
          <w:rtl/>
        </w:rPr>
        <w:instrText xml:space="preserve"> REF b5_excG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ז</w:t>
      </w:r>
      <w:r>
        <w:rPr>
          <w:rtl/>
        </w:rPr>
        <w:fldChar w:fldCharType="end"/>
      </w:r>
      <w:r>
        <w:rPr>
          <w:rtl/>
        </w:rPr>
        <w:t xml:space="preserve"> לעיל. חותנו של העילוי </w:t>
      </w:r>
      <w:proofErr w:type="spellStart"/>
      <w:r>
        <w:rPr>
          <w:rtl/>
        </w:rPr>
        <w:t>מראקוב</w:t>
      </w:r>
      <w:proofErr w:type="spellEnd"/>
      <w:r>
        <w:rPr>
          <w:rtl/>
        </w:rPr>
        <w:t xml:space="preserve"> היה ר׳ </w:t>
      </w:r>
      <w:proofErr w:type="spellStart"/>
      <w:r>
        <w:rPr>
          <w:rtl/>
        </w:rPr>
        <w:t>שלמה־זלמן־שמחה</w:t>
      </w:r>
      <w:proofErr w:type="spellEnd"/>
      <w:r>
        <w:rPr>
          <w:rtl/>
        </w:rPr>
        <w:t xml:space="preserve"> </w:t>
      </w:r>
      <w:proofErr w:type="spellStart"/>
      <w:r>
        <w:rPr>
          <w:rtl/>
        </w:rPr>
        <w:t>טראוב</w:t>
      </w:r>
      <w:proofErr w:type="spellEnd"/>
      <w:r>
        <w:rPr>
          <w:rtl/>
        </w:rPr>
        <w:t xml:space="preserve">, רבה של </w:t>
      </w:r>
      <w:proofErr w:type="spellStart"/>
      <w:r>
        <w:rPr>
          <w:rtl/>
        </w:rPr>
        <w:t>קיידאן</w:t>
      </w:r>
      <w:proofErr w:type="spellEnd"/>
      <w:r>
        <w:rPr>
          <w:rtl/>
        </w:rPr>
        <w:t>, מצאצאי רש״י</w:t>
      </w:r>
      <w:bookmarkStart w:id="6893" w:name="_fnr5284"/>
      <w:r>
        <w:rPr>
          <w:rStyle w:val="a5"/>
        </w:rPr>
        <w:footnoteReference w:id="5298" w:customMarkFollows="0"/>
      </w:r>
      <w:bookmarkEnd w:id="6893"/>
      <w:r>
        <w:rPr>
          <w:rtl/>
        </w:rPr>
        <w:t>.</w:t>
      </w:r>
    </w:p>
    <w:p w14:paraId="6D5C4E2E" w14:textId="77777777" w:rsidR="00AB3647" w:rsidRDefault="00000000" w:rsidP="007923E9">
      <w:pPr>
        <w:pStyle w:val="4"/>
        <w:spacing w:line="276" w:lineRule="auto"/>
      </w:pPr>
      <w:r>
        <w:t>· הפסקה השנייה ·</w:t>
      </w:r>
    </w:p>
    <w:p w14:paraId="09303226" w14:textId="77777777" w:rsidR="00AB3647" w:rsidRDefault="00000000" w:rsidP="007923E9">
      <w:pPr>
        <w:pStyle w:val="5"/>
        <w:spacing w:line="276" w:lineRule="auto"/>
      </w:pPr>
      <w:r>
        <w:t xml:space="preserve">ר׳ חיים </w:t>
      </w:r>
      <w:proofErr w:type="spellStart"/>
      <w:r>
        <w:t>סולובייצ׳יק</w:t>
      </w:r>
      <w:proofErr w:type="spellEnd"/>
      <w:r>
        <w:t xml:space="preserve"> מכנה את ר׳ שלמה </w:t>
      </w:r>
      <w:proofErr w:type="spellStart"/>
      <w:r>
        <w:t>פוליצ׳ק</w:t>
      </w:r>
      <w:proofErr w:type="spellEnd"/>
      <w:r>
        <w:t xml:space="preserve"> “העילוי </w:t>
      </w:r>
      <w:proofErr w:type="spellStart"/>
      <w:r>
        <w:t>ממייצ׳ט</w:t>
      </w:r>
      <w:proofErr w:type="spellEnd"/>
      <w:r>
        <w:t xml:space="preserve">” – מגלהו כותב כיצד הביאו </w:t>
      </w:r>
      <w:proofErr w:type="spellStart"/>
      <w:r>
        <w:t>לוולוז׳ין</w:t>
      </w:r>
      <w:proofErr w:type="spellEnd"/>
      <w:r>
        <w:t xml:space="preserve"> – ניסיונו של הסבא </w:t>
      </w:r>
      <w:proofErr w:type="spellStart"/>
      <w:r>
        <w:t>מסלבודקה</w:t>
      </w:r>
      <w:proofErr w:type="spellEnd"/>
      <w:r>
        <w:t xml:space="preserve"> למשכו למוסר</w:t>
      </w:r>
    </w:p>
    <w:p w14:paraId="1900A3F7" w14:textId="77777777" w:rsidR="00AB3647" w:rsidRDefault="00000000" w:rsidP="007923E9">
      <w:pPr>
        <w:spacing w:after="120" w:line="276" w:lineRule="auto"/>
        <w:ind w:firstLine="283"/>
        <w:jc w:val="both"/>
      </w:pPr>
      <w:r>
        <w:rPr>
          <w:rtl/>
        </w:rPr>
        <w:t xml:space="preserve">בעניין סיפורו של ר׳ </w:t>
      </w:r>
      <w:proofErr w:type="spellStart"/>
      <w:r>
        <w:rPr>
          <w:rtl/>
        </w:rPr>
        <w:t xml:space="preserve">יוסף־דב</w:t>
      </w:r>
      <w:proofErr w:type="spellEnd"/>
      <w:r>
        <w:rPr>
          <w:rtl/>
        </w:rPr>
        <w:t xml:space="preserve"> </w:t>
      </w:r>
      <w:proofErr w:type="spellStart"/>
      <w:r>
        <w:rPr>
          <w:rtl/>
        </w:rPr>
        <w:t>סולובייצ׳יק</w:t>
      </w:r>
      <w:proofErr w:type="spellEnd"/>
      <w:r>
        <w:rPr>
          <w:rtl/>
        </w:rPr>
        <w:t xml:space="preserve"> על דעתו של ר׳ חיים בעילויים, השווה “חידושי </w:t>
      </w:r>
      <w:proofErr w:type="spellStart"/>
      <w:r>
        <w:rPr>
          <w:rtl/>
        </w:rPr>
        <w:t>העלוי</w:t>
      </w:r>
      <w:proofErr w:type="spellEnd"/>
      <w:r>
        <w:rPr>
          <w:rtl/>
        </w:rPr>
        <w:t xml:space="preserve"> </w:t>
      </w:r>
      <w:proofErr w:type="spellStart"/>
      <w:r>
        <w:rPr>
          <w:rtl/>
        </w:rPr>
        <w:t>ממייציט</w:t>
      </w:r>
      <w:proofErr w:type="spellEnd"/>
      <w:r>
        <w:rPr>
          <w:rtl/>
        </w:rPr>
        <w:t>”</w:t>
      </w:r>
      <w:bookmarkStart w:id="6894" w:name="_fnr5285"/>
      <w:r>
        <w:rPr>
          <w:rStyle w:val="a5"/>
        </w:rPr>
        <w:footnoteReference w:id="5299" w:customMarkFollows="0"/>
      </w:r>
      <w:bookmarkEnd w:id="6894"/>
      <w:r>
        <w:rPr>
          <w:rtl/>
        </w:rPr>
        <w:t xml:space="preserve">: שם מצטט ר׳ אלחנן וסרמן את ר׳ חיים, שאמר </w:t>
      </w:r>
      <w:proofErr w:type="spellStart"/>
      <w:r>
        <w:rPr>
          <w:rtl/>
        </w:rPr>
        <w:t>בתרנ״ז</w:t>
      </w:r>
      <w:bookmarkStart w:id="6895" w:name="_fnr5286"/>
      <w:proofErr w:type="spellEnd"/>
      <w:r>
        <w:rPr>
          <w:rStyle w:val="a5"/>
        </w:rPr>
        <w:footnoteReference w:id="5300" w:customMarkFollows="0"/>
      </w:r>
      <w:bookmarkEnd w:id="6895"/>
      <w:r>
        <w:rPr>
          <w:rtl/>
        </w:rPr>
        <w:t xml:space="preserve"> </w:t>
      </w:r>
      <w:proofErr w:type="spellStart"/>
      <w:r>
        <w:rPr>
          <w:rtl/>
        </w:rPr>
        <w:t>ש“בכל</w:t>
      </w:r>
      <w:proofErr w:type="spellEnd"/>
      <w:r>
        <w:rPr>
          <w:rtl/>
        </w:rPr>
        <w:t xml:space="preserve"> ימי חייו לא ראה עילוי מדהים כ(ר׳ שלמה </w:t>
      </w:r>
      <w:proofErr w:type="spellStart"/>
      <w:r>
        <w:rPr>
          <w:rtl/>
        </w:rPr>
        <w:t>פוליצ׳ק</w:t>
      </w:r>
      <w:proofErr w:type="spellEnd"/>
      <w:r>
        <w:rPr>
          <w:rtl/>
        </w:rPr>
        <w:t xml:space="preserve">) העילוי </w:t>
      </w:r>
      <w:proofErr w:type="spellStart"/>
      <w:r>
        <w:rPr>
          <w:rtl/>
        </w:rPr>
        <w:t>ממייצ׳ט</w:t>
      </w:r>
      <w:proofErr w:type="spellEnd"/>
      <w:r>
        <w:rPr>
          <w:rtl/>
        </w:rPr>
        <w:t xml:space="preserve">”. דברי ר׳ אלחנן אינם סותרים את דברי ר׳ </w:t>
      </w:r>
      <w:proofErr w:type="spellStart"/>
      <w:r>
        <w:rPr>
          <w:rtl/>
        </w:rPr>
        <w:t xml:space="preserve">יוסף־דב</w:t>
      </w:r>
      <w:proofErr w:type="spellEnd"/>
      <w:r>
        <w:rPr>
          <w:rtl/>
        </w:rPr>
        <w:t xml:space="preserve">, שכן כשדיבר ר׳ חיים על “אמונה” באדם, התכוון ליכולתו להיות מנהיג בתורה, ולא רק ליכולת להציע חידושים מבריקים בתורה. בדברי ר׳ אלחנן אין רמז שר׳ חיים “האמין” בעילוי </w:t>
      </w:r>
      <w:proofErr w:type="spellStart"/>
      <w:r>
        <w:rPr>
          <w:rtl/>
        </w:rPr>
        <w:t>ממייצ׳ט</w:t>
      </w:r>
      <w:proofErr w:type="spellEnd"/>
      <w:r>
        <w:rPr>
          <w:rtl/>
        </w:rPr>
        <w:t xml:space="preserve"> כמו שהאמין בעילוי </w:t>
      </w:r>
      <w:proofErr w:type="spellStart"/>
      <w:r>
        <w:rPr>
          <w:rtl/>
        </w:rPr>
        <w:t>מראקוב</w:t>
      </w:r>
      <w:proofErr w:type="spellEnd"/>
      <w:r>
        <w:rPr>
          <w:rtl/>
        </w:rPr>
        <w:t>.</w:t>
      </w:r>
    </w:p>
    <w:p w14:paraId="489EEB22" w14:textId="77777777" w:rsidR="00AB3647" w:rsidRDefault="00000000" w:rsidP="007923E9">
      <w:pPr>
        <w:spacing w:after="120" w:line="276" w:lineRule="auto"/>
        <w:ind w:firstLine="283"/>
        <w:jc w:val="both"/>
      </w:pPr>
      <w:r>
        <w:rPr>
          <w:rtl/>
        </w:rPr>
        <w:t xml:space="preserve">במאמרו על העילוי </w:t>
      </w:r>
      <w:proofErr w:type="spellStart"/>
      <w:r>
        <w:rPr>
          <w:rtl/>
        </w:rPr>
        <w:t>ממייצ׳ט</w:t>
      </w:r>
      <w:proofErr w:type="spellEnd"/>
      <w:r>
        <w:rPr>
          <w:rtl/>
        </w:rPr>
        <w:t xml:space="preserve"> כותב ד״ר הירש ליב גורדון</w:t>
      </w:r>
      <w:bookmarkStart w:id="6896" w:name="_fnr5287"/>
      <w:r>
        <w:rPr>
          <w:rStyle w:val="a5"/>
        </w:rPr>
        <w:footnoteReference w:id="5301" w:customMarkFollows="0"/>
      </w:r>
      <w:bookmarkEnd w:id="6896"/>
      <w:r>
        <w:rPr>
          <w:rtl/>
        </w:rPr>
        <w:t xml:space="preserve"> שר׳ שלמה </w:t>
      </w:r>
      <w:proofErr w:type="spellStart"/>
      <w:r>
        <w:rPr>
          <w:rtl/>
        </w:rPr>
        <w:t>פוליצ׳ק</w:t>
      </w:r>
      <w:proofErr w:type="spellEnd"/>
      <w:r>
        <w:rPr>
          <w:rtl/>
        </w:rPr>
        <w:t xml:space="preserve"> קיבל את התואר “עילוי” מר׳ חיים עצמו, ביום הראשון לבואו </w:t>
      </w:r>
      <w:proofErr w:type="spellStart"/>
      <w:r>
        <w:rPr>
          <w:rtl/>
        </w:rPr>
        <w:t>לוולוז׳ין</w:t>
      </w:r>
      <w:proofErr w:type="spellEnd"/>
      <w:r>
        <w:rPr>
          <w:rtl/>
        </w:rPr>
        <w:t xml:space="preserve">. גורדון מספר בשם אביו, שהיה תלמיד </w:t>
      </w:r>
      <w:proofErr w:type="spellStart"/>
      <w:r>
        <w:rPr>
          <w:rtl/>
        </w:rPr>
        <w:t>בוולוז׳ין</w:t>
      </w:r>
      <w:proofErr w:type="spellEnd"/>
      <w:r>
        <w:rPr>
          <w:rtl/>
        </w:rPr>
        <w:t xml:space="preserve"> באותה תקופה: </w:t>
      </w:r>
      <w:proofErr w:type="spellStart"/>
      <w:r>
        <w:rPr>
          <w:rtl/>
        </w:rPr>
        <w:t>בתרמ״ט</w:t>
      </w:r>
      <w:proofErr w:type="spellEnd"/>
      <w:r>
        <w:rPr>
          <w:rtl/>
        </w:rPr>
        <w:t xml:space="preserve"> הביא חברו ללימודים, אהרן </w:t>
      </w:r>
      <w:proofErr w:type="spellStart"/>
      <w:r>
        <w:rPr>
          <w:rtl/>
        </w:rPr>
        <w:t>רבינוביץ</w:t>
      </w:r>
      <w:proofErr w:type="spellEnd"/>
      <w:r>
        <w:rPr>
          <w:rtl/>
        </w:rPr>
        <w:t xml:space="preserve">, את שלמה </w:t>
      </w:r>
      <w:proofErr w:type="spellStart"/>
      <w:r>
        <w:rPr>
          <w:rtl/>
        </w:rPr>
        <w:lastRenderedPageBreak/>
        <w:t>לוולוז׳ין</w:t>
      </w:r>
      <w:proofErr w:type="spellEnd"/>
      <w:r>
        <w:rPr>
          <w:rtl/>
        </w:rPr>
        <w:t xml:space="preserve"> מביתו שבאחוזה בשם </w:t>
      </w:r>
      <w:proofErr w:type="spellStart"/>
      <w:r>
        <w:rPr>
          <w:rtl/>
        </w:rPr>
        <w:t>סינצ׳ינץ</w:t>
      </w:r>
      <w:proofErr w:type="spellEnd"/>
      <w:r>
        <w:rPr>
          <w:rtl/>
        </w:rPr>
        <w:t xml:space="preserve">, סמוך </w:t>
      </w:r>
      <w:proofErr w:type="spellStart"/>
      <w:r>
        <w:rPr>
          <w:rtl/>
        </w:rPr>
        <w:t>למייצ׳ט</w:t>
      </w:r>
      <w:proofErr w:type="spellEnd"/>
      <w:r>
        <w:rPr>
          <w:rtl/>
        </w:rPr>
        <w:t xml:space="preserve">. שלמה היה אז רך בשנים, בן </w:t>
      </w:r>
      <w:proofErr w:type="spellStart"/>
      <w:r>
        <w:rPr>
          <w:rtl/>
        </w:rPr>
        <w:t>שתים־עשרה</w:t>
      </w:r>
      <w:proofErr w:type="spellEnd"/>
      <w:r>
        <w:rPr>
          <w:rtl/>
        </w:rPr>
        <w:t xml:space="preserve">, </w:t>
      </w:r>
      <w:proofErr w:type="spellStart"/>
      <w:r>
        <w:rPr>
          <w:rtl/>
        </w:rPr>
        <w:t>והנצי״ב</w:t>
      </w:r>
      <w:proofErr w:type="spellEnd"/>
      <w:r>
        <w:rPr>
          <w:rtl/>
        </w:rPr>
        <w:t xml:space="preserve"> קידם את פני </w:t>
      </w:r>
      <w:proofErr w:type="spellStart"/>
      <w:r>
        <w:rPr>
          <w:rtl/>
        </w:rPr>
        <w:t>רבינוביץ</w:t>
      </w:r>
      <w:proofErr w:type="spellEnd"/>
      <w:r>
        <w:rPr>
          <w:rtl/>
        </w:rPr>
        <w:t xml:space="preserve"> במילים: “ולמה, אהרן, לא הבאת את עריסתו עמו?” </w:t>
      </w:r>
      <w:proofErr w:type="spellStart"/>
      <w:r>
        <w:rPr>
          <w:rtl/>
        </w:rPr>
        <w:t>רבינוביץ</w:t>
      </w:r>
      <w:proofErr w:type="spellEnd"/>
      <w:r>
        <w:rPr>
          <w:rtl/>
        </w:rPr>
        <w:t xml:space="preserve"> הצעיר השיב: “יבחן אותו הרב, ואחר כך יקבע מה גודל העריסה שהילד צריך”. בשעה ששלמה הוכיח את כוחו לפני ראש הישיבה, נכנס ר׳ חיים והצטרף לבחינה המדוקדקת שנערכה לילד, ולבסוף שאל מאין הוא. כשנאמר לו שהמבקש להתקבל בא </w:t>
      </w:r>
      <w:proofErr w:type="spellStart"/>
      <w:r>
        <w:rPr>
          <w:rtl/>
        </w:rPr>
        <w:t>ממייצ׳ט</w:t>
      </w:r>
      <w:proofErr w:type="spellEnd"/>
      <w:r>
        <w:rPr>
          <w:rtl/>
        </w:rPr>
        <w:t xml:space="preserve">, הכריז ר׳ חיים: “אם כן, זהו העילוי </w:t>
      </w:r>
      <w:proofErr w:type="spellStart"/>
      <w:r>
        <w:rPr>
          <w:rtl/>
        </w:rPr>
        <w:t>ממייצ׳ט</w:t>
      </w:r>
      <w:proofErr w:type="spellEnd"/>
      <w:r>
        <w:rPr>
          <w:rtl/>
        </w:rPr>
        <w:t>”.</w:t>
      </w:r>
    </w:p>
    <w:p w14:paraId="13AF5E3B" w14:textId="77777777" w:rsidR="00AB3647" w:rsidRDefault="00000000" w:rsidP="007923E9">
      <w:pPr>
        <w:spacing w:after="120" w:line="276" w:lineRule="auto"/>
        <w:ind w:firstLine="283"/>
        <w:jc w:val="both"/>
      </w:pPr>
      <w:r>
        <w:rPr>
          <w:rtl/>
        </w:rPr>
        <w:t xml:space="preserve">מעניין </w:t>
      </w:r>
      <w:proofErr w:type="spellStart"/>
      <w:r>
        <w:rPr>
          <w:rtl/>
        </w:rPr>
        <w:t>שב“אידנו</w:t>
      </w:r>
      <w:proofErr w:type="spellEnd"/>
      <w:r>
        <w:rPr>
          <w:rtl/>
        </w:rPr>
        <w:t>”</w:t>
      </w:r>
      <w:bookmarkStart w:id="6897" w:name="_fnr5288"/>
      <w:r>
        <w:rPr>
          <w:rStyle w:val="a5"/>
        </w:rPr>
        <w:footnoteReference w:id="5302" w:customMarkFollows="0"/>
      </w:r>
      <w:bookmarkEnd w:id="6897"/>
      <w:r>
        <w:rPr>
          <w:rtl/>
        </w:rPr>
        <w:t xml:space="preserve"> כתב ר׳ אהרן </w:t>
      </w:r>
      <w:proofErr w:type="spellStart"/>
      <w:r>
        <w:rPr>
          <w:rtl/>
        </w:rPr>
        <w:t>רבינוביץ</w:t>
      </w:r>
      <w:proofErr w:type="spellEnd"/>
      <w:r>
        <w:rPr>
          <w:rtl/>
        </w:rPr>
        <w:t xml:space="preserve"> – שבאותה עת כבר היה חתנו וממלא מקומו של רבה של לידה, ר׳ </w:t>
      </w:r>
      <w:proofErr w:type="spellStart"/>
      <w:r>
        <w:rPr>
          <w:rtl/>
        </w:rPr>
        <w:t>יצחק־יעקב</w:t>
      </w:r>
      <w:proofErr w:type="spellEnd"/>
      <w:r>
        <w:rPr>
          <w:rtl/>
        </w:rPr>
        <w:t xml:space="preserve"> ריינס</w:t>
      </w:r>
      <w:bookmarkStart w:id="6898" w:name="_fnr5289"/>
      <w:r>
        <w:rPr>
          <w:rStyle w:val="a5"/>
        </w:rPr>
        <w:footnoteReference w:id="5303" w:customMarkFollows="0"/>
      </w:r>
      <w:bookmarkEnd w:id="6898"/>
      <w:r>
        <w:rPr>
          <w:rtl/>
        </w:rPr>
        <w:t xml:space="preserve"> – שהוא הביא את הנער היישר אל ר׳ חיים לבחינה (את </w:t>
      </w:r>
      <w:proofErr w:type="spellStart"/>
      <w:r>
        <w:rPr>
          <w:rtl/>
        </w:rPr>
        <w:t>הנצי״ב</w:t>
      </w:r>
      <w:proofErr w:type="spellEnd"/>
      <w:r>
        <w:rPr>
          <w:rtl/>
        </w:rPr>
        <w:t xml:space="preserve"> אין הוא מזכיר כלל), ושר׳ חיים הנרגש הכריז “בפשטות: ‘זהו עילוי שאין כמוהו’”. ר׳ אהרן </w:t>
      </w:r>
      <w:proofErr w:type="spellStart"/>
      <w:r>
        <w:rPr>
          <w:rtl/>
        </w:rPr>
        <w:t>רבינוביץ</w:t>
      </w:r>
      <w:proofErr w:type="spellEnd"/>
      <w:r>
        <w:rPr>
          <w:rtl/>
        </w:rPr>
        <w:t xml:space="preserve"> אינו מזכיר כלל שר׳ חיים השתמש בביטוי “העילוי </w:t>
      </w:r>
      <w:proofErr w:type="spellStart"/>
      <w:r>
        <w:rPr>
          <w:rtl/>
        </w:rPr>
        <w:t>ממייצ׳ט</w:t>
      </w:r>
      <w:proofErr w:type="spellEnd"/>
      <w:r>
        <w:rPr>
          <w:rtl/>
        </w:rPr>
        <w:t xml:space="preserve">”. למעשה, הוא כותב גם שר׳ שלמה נודע </w:t>
      </w:r>
      <w:proofErr w:type="spellStart"/>
      <w:r>
        <w:rPr>
          <w:rtl/>
        </w:rPr>
        <w:t>בוולוז׳ין</w:t>
      </w:r>
      <w:proofErr w:type="spellEnd"/>
      <w:r>
        <w:rPr>
          <w:rtl/>
        </w:rPr>
        <w:t xml:space="preserve"> </w:t>
      </w:r>
      <w:proofErr w:type="spellStart"/>
      <w:r>
        <w:rPr>
          <w:rtl/>
        </w:rPr>
        <w:t>כ“העילוי</w:t>
      </w:r>
      <w:proofErr w:type="spellEnd"/>
      <w:r>
        <w:rPr>
          <w:rtl/>
        </w:rPr>
        <w:t xml:space="preserve"> </w:t>
      </w:r>
      <w:proofErr w:type="spellStart"/>
      <w:r>
        <w:rPr>
          <w:rtl/>
        </w:rPr>
        <w:t>מהורודישץ</w:t>
      </w:r>
      <w:proofErr w:type="spellEnd"/>
      <w:r>
        <w:rPr>
          <w:rtl/>
        </w:rPr>
        <w:t xml:space="preserve">׳”, משום שאחוזת הולדתו הייתה בין </w:t>
      </w:r>
      <w:proofErr w:type="spellStart"/>
      <w:r>
        <w:rPr>
          <w:rtl/>
        </w:rPr>
        <w:t>מייצ׳ט</w:t>
      </w:r>
      <w:proofErr w:type="spellEnd"/>
      <w:r>
        <w:rPr>
          <w:rtl/>
        </w:rPr>
        <w:t xml:space="preserve"> </w:t>
      </w:r>
      <w:proofErr w:type="spellStart"/>
      <w:r>
        <w:rPr>
          <w:rtl/>
        </w:rPr>
        <w:t>להורודישץ</w:t>
      </w:r>
      <w:proofErr w:type="spellEnd"/>
      <w:r>
        <w:rPr>
          <w:rtl/>
        </w:rPr>
        <w:t xml:space="preserve">׳; </w:t>
      </w:r>
      <w:proofErr w:type="spellStart"/>
      <w:r>
        <w:rPr>
          <w:rtl/>
        </w:rPr>
        <w:t>רבינוביץ</w:t>
      </w:r>
      <w:proofErr w:type="spellEnd"/>
      <w:r>
        <w:rPr>
          <w:rtl/>
        </w:rPr>
        <w:t xml:space="preserve"> אינו מפרש מתי הוחלף שמו של ר׳ שלמה </w:t>
      </w:r>
      <w:proofErr w:type="spellStart"/>
      <w:r>
        <w:rPr>
          <w:rtl/>
        </w:rPr>
        <w:t>ל“עילוי</w:t>
      </w:r>
      <w:proofErr w:type="spellEnd"/>
      <w:r>
        <w:rPr>
          <w:rtl/>
        </w:rPr>
        <w:t xml:space="preserve"> </w:t>
      </w:r>
      <w:proofErr w:type="spellStart"/>
      <w:r>
        <w:rPr>
          <w:rtl/>
        </w:rPr>
        <w:t>ממייצ׳ט</w:t>
      </w:r>
      <w:proofErr w:type="spellEnd"/>
      <w:r>
        <w:rPr>
          <w:rtl/>
        </w:rPr>
        <w:t>”.</w:t>
      </w:r>
    </w:p>
    <w:p w14:paraId="49BEBFF8" w14:textId="77777777" w:rsidR="00AB3647" w:rsidRDefault="00000000" w:rsidP="007923E9">
      <w:pPr>
        <w:spacing w:after="120" w:line="276" w:lineRule="auto"/>
        <w:ind w:firstLine="283"/>
        <w:jc w:val="both"/>
      </w:pPr>
      <w:r>
        <w:rPr>
          <w:rtl/>
        </w:rPr>
        <w:t xml:space="preserve">אפשר לשער שכששאל אותו ר׳ חיים </w:t>
      </w:r>
      <w:proofErr w:type="spellStart"/>
      <w:r>
        <w:rPr>
          <w:rtl/>
        </w:rPr>
        <w:t>סולובייצ׳יק</w:t>
      </w:r>
      <w:proofErr w:type="spellEnd"/>
      <w:r>
        <w:rPr>
          <w:rtl/>
        </w:rPr>
        <w:t xml:space="preserve"> מאין הוא, השיב ר׳ שלמה: “אני מאחוזה שבין </w:t>
      </w:r>
      <w:proofErr w:type="spellStart"/>
      <w:r>
        <w:rPr>
          <w:rtl/>
        </w:rPr>
        <w:t>הורודישץ</w:t>
      </w:r>
      <w:proofErr w:type="spellEnd"/>
      <w:r>
        <w:rPr>
          <w:rtl/>
        </w:rPr>
        <w:t xml:space="preserve">׳ </w:t>
      </w:r>
      <w:proofErr w:type="spellStart"/>
      <w:r>
        <w:rPr>
          <w:rtl/>
        </w:rPr>
        <w:t>למייצ׳ט</w:t>
      </w:r>
      <w:proofErr w:type="spellEnd"/>
      <w:r>
        <w:rPr>
          <w:rtl/>
        </w:rPr>
        <w:t xml:space="preserve">”, ור׳ חיים נאחז במילה האחרונה ואמר: “אם כן, זהו העילוי </w:t>
      </w:r>
      <w:proofErr w:type="spellStart"/>
      <w:r>
        <w:rPr>
          <w:rtl/>
        </w:rPr>
        <w:t>ממייצ׳ט</w:t>
      </w:r>
      <w:proofErr w:type="spellEnd"/>
      <w:r>
        <w:rPr>
          <w:rtl/>
        </w:rPr>
        <w:t xml:space="preserve">”. אבל מאחר </w:t>
      </w:r>
      <w:proofErr w:type="spellStart"/>
      <w:r>
        <w:rPr>
          <w:rtl/>
        </w:rPr>
        <w:t>שפוליצ׳ק</w:t>
      </w:r>
      <w:proofErr w:type="spellEnd"/>
      <w:r>
        <w:rPr>
          <w:rtl/>
        </w:rPr>
        <w:t xml:space="preserve"> קרא לעצמו בישיבת </w:t>
      </w:r>
      <w:proofErr w:type="spellStart"/>
      <w:r>
        <w:rPr>
          <w:rtl/>
        </w:rPr>
        <w:t>וולוז׳ין</w:t>
      </w:r>
      <w:proofErr w:type="spellEnd"/>
      <w:r>
        <w:rPr>
          <w:rtl/>
        </w:rPr>
        <w:t xml:space="preserve"> “שלמה </w:t>
      </w:r>
      <w:proofErr w:type="spellStart"/>
      <w:r>
        <w:rPr>
          <w:rtl/>
        </w:rPr>
        <w:t>הורודישצ׳ר</w:t>
      </w:r>
      <w:proofErr w:type="spellEnd"/>
      <w:r>
        <w:rPr>
          <w:rtl/>
        </w:rPr>
        <w:t xml:space="preserve">”, קראו לו חבריו “העילוי </w:t>
      </w:r>
      <w:proofErr w:type="spellStart"/>
      <w:r>
        <w:rPr>
          <w:rtl/>
        </w:rPr>
        <w:t>מהורודישץ</w:t>
      </w:r>
      <w:proofErr w:type="spellEnd"/>
      <w:r>
        <w:rPr>
          <w:rtl/>
        </w:rPr>
        <w:t xml:space="preserve">׳”. אף שר׳ חיים אמר “אם כן, זהו העילוי </w:t>
      </w:r>
      <w:proofErr w:type="spellStart"/>
      <w:r>
        <w:rPr>
          <w:rtl/>
        </w:rPr>
        <w:t>ממייצ׳ט</w:t>
      </w:r>
      <w:proofErr w:type="spellEnd"/>
      <w:r>
        <w:rPr>
          <w:rtl/>
        </w:rPr>
        <w:t xml:space="preserve">” – כנוסח מאמרו של גורדון </w:t>
      </w:r>
      <w:proofErr w:type="spellStart"/>
      <w:r>
        <w:rPr>
          <w:rtl/>
        </w:rPr>
        <w:t>ב“ההד</w:t>
      </w:r>
      <w:proofErr w:type="spellEnd"/>
      <w:r>
        <w:rPr>
          <w:rtl/>
        </w:rPr>
        <w:t xml:space="preserve">” – ר׳ אהרן </w:t>
      </w:r>
      <w:proofErr w:type="spellStart"/>
      <w:r>
        <w:rPr>
          <w:rtl/>
        </w:rPr>
        <w:t>רבינוביץ</w:t>
      </w:r>
      <w:proofErr w:type="spellEnd"/>
      <w:r>
        <w:rPr>
          <w:rtl/>
        </w:rPr>
        <w:t xml:space="preserve"> לא ציטט אותו כאומר זאת, מחמת </w:t>
      </w:r>
      <w:proofErr w:type="spellStart"/>
      <w:r>
        <w:rPr>
          <w:rtl/>
        </w:rPr>
        <w:t>אי־דיוקו</w:t>
      </w:r>
      <w:proofErr w:type="spellEnd"/>
      <w:r>
        <w:rPr>
          <w:rtl/>
        </w:rPr>
        <w:t xml:space="preserve"> של הכינוי. רק כשיצא ר׳ שלמה </w:t>
      </w:r>
      <w:proofErr w:type="spellStart"/>
      <w:r>
        <w:rPr>
          <w:rtl/>
        </w:rPr>
        <w:t>פוליצ׳ק</w:t>
      </w:r>
      <w:proofErr w:type="spellEnd"/>
      <w:r>
        <w:rPr>
          <w:rtl/>
        </w:rPr>
        <w:t xml:space="preserve"> לעולם נשמט הכינוי ששימש את חבריו </w:t>
      </w:r>
      <w:proofErr w:type="spellStart"/>
      <w:r>
        <w:rPr>
          <w:rtl/>
        </w:rPr>
        <w:t>בוולוז׳ין</w:t>
      </w:r>
      <w:proofErr w:type="spellEnd"/>
      <w:r>
        <w:rPr>
          <w:rtl/>
        </w:rPr>
        <w:t>, ונדבק בו הכינוי (הבלתי מדויק) שטבע ר׳ חיים.</w:t>
      </w:r>
    </w:p>
    <w:p w14:paraId="35D77253" w14:textId="77777777" w:rsidR="00AB3647" w:rsidRDefault="00000000" w:rsidP="007923E9">
      <w:pPr>
        <w:spacing w:after="120" w:line="276" w:lineRule="auto"/>
        <w:ind w:firstLine="283"/>
        <w:jc w:val="both"/>
      </w:pPr>
      <w:r>
        <w:rPr>
          <w:rtl/>
        </w:rPr>
        <w:t xml:space="preserve">מאמרו של ניסן וקסמן </w:t>
      </w:r>
      <w:proofErr w:type="spellStart"/>
      <w:r>
        <w:rPr>
          <w:rtl/>
        </w:rPr>
        <w:t>ב“תלפיות</w:t>
      </w:r>
      <w:proofErr w:type="spellEnd"/>
      <w:r>
        <w:rPr>
          <w:rtl/>
        </w:rPr>
        <w:t>”</w:t>
      </w:r>
      <w:bookmarkStart w:id="6899" w:name="_fnr5290"/>
      <w:r>
        <w:rPr>
          <w:rStyle w:val="a5"/>
        </w:rPr>
        <w:footnoteReference w:id="5304" w:customMarkFollows="0"/>
      </w:r>
      <w:bookmarkEnd w:id="6899"/>
      <w:r>
        <w:rPr>
          <w:rtl/>
        </w:rPr>
        <w:t xml:space="preserve"> מספר (בשם שני גיבורי המעשה), שאחרי שנסגרה ישיבת </w:t>
      </w:r>
      <w:proofErr w:type="spellStart"/>
      <w:r>
        <w:rPr>
          <w:rtl/>
        </w:rPr>
        <w:t>וולוז׳ין</w:t>
      </w:r>
      <w:proofErr w:type="spellEnd"/>
      <w:r>
        <w:rPr>
          <w:rtl/>
        </w:rPr>
        <w:t xml:space="preserve"> למד ר׳ שלמה </w:t>
      </w:r>
      <w:proofErr w:type="spellStart"/>
      <w:r>
        <w:rPr>
          <w:rtl/>
        </w:rPr>
        <w:t>פוליצ׳ק</w:t>
      </w:r>
      <w:proofErr w:type="spellEnd"/>
      <w:r>
        <w:rPr>
          <w:rtl/>
        </w:rPr>
        <w:t xml:space="preserve">, ששמו כבר נפוץ בכל “עולם הישיבות”, אצל ר׳ חיים </w:t>
      </w:r>
      <w:proofErr w:type="spellStart"/>
      <w:r>
        <w:rPr>
          <w:rtl/>
        </w:rPr>
        <w:t>בבריסק</w:t>
      </w:r>
      <w:proofErr w:type="spellEnd"/>
      <w:r>
        <w:rPr>
          <w:rtl/>
        </w:rPr>
        <w:t>. הסבא, שנמשך מאוד לעילויים</w:t>
      </w:r>
      <w:bookmarkStart w:id="6900" w:name="_fnr5291"/>
      <w:r>
        <w:rPr>
          <w:rStyle w:val="a5"/>
        </w:rPr>
        <w:footnoteReference w:id="5305" w:customMarkFollows="0"/>
      </w:r>
      <w:bookmarkEnd w:id="6900"/>
      <w:r>
        <w:rPr>
          <w:rtl/>
        </w:rPr>
        <w:t xml:space="preserve">, שלח אז את בנו ר׳ </w:t>
      </w:r>
      <w:proofErr w:type="spellStart"/>
      <w:r>
        <w:rPr>
          <w:rtl/>
        </w:rPr>
        <w:t>לייזר־יודל</w:t>
      </w:r>
      <w:proofErr w:type="spellEnd"/>
      <w:r>
        <w:rPr>
          <w:rtl/>
        </w:rPr>
        <w:t xml:space="preserve"> ללמוד אף הוא אצל ר׳ חיים – ובחשאי, לשכנע את בן </w:t>
      </w:r>
      <w:proofErr w:type="spellStart"/>
      <w:r>
        <w:rPr>
          <w:rtl/>
        </w:rPr>
        <w:t>התשע־עשרה</w:t>
      </w:r>
      <w:proofErr w:type="spellEnd"/>
      <w:r>
        <w:rPr>
          <w:rtl/>
        </w:rPr>
        <w:t xml:space="preserve"> לבוא </w:t>
      </w:r>
      <w:proofErr w:type="spellStart"/>
      <w:r>
        <w:rPr>
          <w:rtl/>
        </w:rPr>
        <w:t>לסלבודקה</w:t>
      </w:r>
      <w:proofErr w:type="spellEnd"/>
      <w:r>
        <w:rPr>
          <w:rtl/>
        </w:rPr>
        <w:t xml:space="preserve">. השניים עזבו את </w:t>
      </w:r>
      <w:proofErr w:type="spellStart"/>
      <w:r>
        <w:rPr>
          <w:rtl/>
        </w:rPr>
        <w:t>בריסק</w:t>
      </w:r>
      <w:proofErr w:type="spellEnd"/>
      <w:r>
        <w:rPr>
          <w:rtl/>
        </w:rPr>
        <w:t xml:space="preserve"> בסתר – “כל ימיו הצטער (ר׳ שלמה </w:t>
      </w:r>
      <w:proofErr w:type="spellStart"/>
      <w:r>
        <w:rPr>
          <w:rtl/>
        </w:rPr>
        <w:t>פוליצ׳ק</w:t>
      </w:r>
      <w:proofErr w:type="spellEnd"/>
      <w:r>
        <w:rPr>
          <w:rtl/>
        </w:rPr>
        <w:t>) על שגרם לרבו צער (</w:t>
      </w:r>
      <w:proofErr w:type="spellStart"/>
      <w:r>
        <w:rPr>
          <w:rtl/>
        </w:rPr>
        <w:t>בעזבו</w:t>
      </w:r>
      <w:proofErr w:type="spellEnd"/>
      <w:r>
        <w:rPr>
          <w:rtl/>
        </w:rPr>
        <w:t xml:space="preserve"> את </w:t>
      </w:r>
      <w:proofErr w:type="spellStart"/>
      <w:r>
        <w:rPr>
          <w:rtl/>
        </w:rPr>
        <w:t>בריסק</w:t>
      </w:r>
      <w:proofErr w:type="spellEnd"/>
      <w:r>
        <w:rPr>
          <w:rtl/>
        </w:rPr>
        <w:t xml:space="preserve"> כפי שעשה)” – והגיעו לקובנה ביום הלווייתו של ר׳ </w:t>
      </w:r>
      <w:proofErr w:type="spellStart"/>
      <w:r>
        <w:rPr>
          <w:rtl/>
        </w:rPr>
        <w:t>יצחק־אלחנן</w:t>
      </w:r>
      <w:proofErr w:type="spellEnd"/>
      <w:r>
        <w:rPr>
          <w:rtl/>
        </w:rPr>
        <w:t xml:space="preserve"> </w:t>
      </w:r>
      <w:proofErr w:type="spellStart"/>
      <w:r>
        <w:rPr>
          <w:rtl/>
        </w:rPr>
        <w:t>ספקטור</w:t>
      </w:r>
      <w:proofErr w:type="spellEnd"/>
      <w:r>
        <w:rPr>
          <w:rtl/>
        </w:rPr>
        <w:t xml:space="preserve">, כ״א באדר תרנ״ו. ר׳ שלמה </w:t>
      </w:r>
      <w:proofErr w:type="spellStart"/>
      <w:r>
        <w:rPr>
          <w:rtl/>
        </w:rPr>
        <w:t>פוליצ׳ק</w:t>
      </w:r>
      <w:proofErr w:type="spellEnd"/>
      <w:r>
        <w:rPr>
          <w:rtl/>
        </w:rPr>
        <w:t xml:space="preserve"> למד </w:t>
      </w:r>
      <w:proofErr w:type="spellStart"/>
      <w:r>
        <w:rPr>
          <w:rtl/>
        </w:rPr>
        <w:t>בסלבודקה</w:t>
      </w:r>
      <w:proofErr w:type="spellEnd"/>
      <w:r>
        <w:rPr>
          <w:rtl/>
        </w:rPr>
        <w:t xml:space="preserve"> בקיץ שלאחר מכן, אבל לא נמשך למוסר.</w:t>
      </w:r>
    </w:p>
    <w:p w14:paraId="25499CD7" w14:textId="77777777" w:rsidR="00AB3647" w:rsidRDefault="00000000" w:rsidP="007923E9">
      <w:pPr>
        <w:spacing w:after="120" w:line="276" w:lineRule="auto"/>
        <w:ind w:firstLine="283"/>
        <w:jc w:val="both"/>
      </w:pPr>
      <w:r>
        <w:rPr>
          <w:rtl/>
        </w:rPr>
        <w:t>וקסמן מתאר מה במוסר לא מצא חן בעיני ר׳ שלמה, ומספר שכשענה בחריפות מבריקה לטענתו של הסבא בזכות המוסר, “תפסו לחבקו ולנשקו בלי להרפות” (כדרכו של הסבא כשהתרגש מחריפות</w:t>
      </w:r>
      <w:bookmarkStart w:id="6901" w:name="_fnr5292"/>
      <w:r>
        <w:rPr>
          <w:rStyle w:val="a5"/>
        </w:rPr>
        <w:footnoteReference w:id="5306" w:customMarkFollows="0"/>
      </w:r>
      <w:bookmarkEnd w:id="6901"/>
      <w:r>
        <w:rPr>
          <w:rtl/>
        </w:rPr>
        <w:t xml:space="preserve">). בתקווה לשכנעו באמיתת המוסר, שלח אותו הסבא עם קבוצת </w:t>
      </w:r>
      <w:r>
        <w:rPr>
          <w:rtl/>
        </w:rPr>
        <w:lastRenderedPageBreak/>
        <w:t xml:space="preserve">תלמידים לבלות את אלול </w:t>
      </w:r>
      <w:proofErr w:type="spellStart"/>
      <w:r>
        <w:rPr>
          <w:rtl/>
        </w:rPr>
        <w:t>בקלם</w:t>
      </w:r>
      <w:proofErr w:type="spellEnd"/>
      <w:r>
        <w:rPr>
          <w:rtl/>
        </w:rPr>
        <w:t xml:space="preserve">. לפי מאמרו של משה גולדברג </w:t>
      </w:r>
      <w:proofErr w:type="spellStart"/>
      <w:r>
        <w:rPr>
          <w:rtl/>
        </w:rPr>
        <w:t>ב“אידנו</w:t>
      </w:r>
      <w:proofErr w:type="spellEnd"/>
      <w:r>
        <w:rPr>
          <w:rtl/>
        </w:rPr>
        <w:t>”</w:t>
      </w:r>
      <w:bookmarkStart w:id="6902" w:name="_fnr5293"/>
      <w:r>
        <w:rPr>
          <w:rStyle w:val="a5"/>
        </w:rPr>
        <w:footnoteReference w:id="5307" w:customMarkFollows="0"/>
      </w:r>
      <w:bookmarkEnd w:id="6902"/>
      <w:r>
        <w:rPr>
          <w:rtl/>
        </w:rPr>
        <w:t xml:space="preserve">, “ארבעים או חמישים מטובי תלמידי </w:t>
      </w:r>
      <w:proofErr w:type="spellStart"/>
      <w:r>
        <w:rPr>
          <w:rtl/>
        </w:rPr>
        <w:t>סלבודקה</w:t>
      </w:r>
      <w:proofErr w:type="spellEnd"/>
      <w:r>
        <w:rPr>
          <w:rtl/>
        </w:rPr>
        <w:t xml:space="preserve"> נשלחו לשמוע מוסר והתעוררות מ... ר׳ </w:t>
      </w:r>
      <w:proofErr w:type="spellStart"/>
      <w:r>
        <w:rPr>
          <w:rtl/>
        </w:rPr>
        <w:t>שמחה־זיסל</w:t>
      </w:r>
      <w:proofErr w:type="spellEnd"/>
      <w:r>
        <w:rPr>
          <w:rtl/>
        </w:rPr>
        <w:t xml:space="preserve"> זיו”. אבל הדבר לא הועיל: שלמה עזב לבית הוריו מיד אחרי יום הכיפורים, ולפי גולדברג שב </w:t>
      </w:r>
      <w:proofErr w:type="spellStart"/>
      <w:r>
        <w:rPr>
          <w:rtl/>
        </w:rPr>
        <w:t>לבריסק</w:t>
      </w:r>
      <w:proofErr w:type="spellEnd"/>
      <w:r>
        <w:rPr>
          <w:rtl/>
        </w:rPr>
        <w:t xml:space="preserve"> “עד שהגיע זמנו להתייצב לגיוס”</w:t>
      </w:r>
      <w:bookmarkStart w:id="6903" w:name="_fnr5294"/>
      <w:r>
        <w:rPr>
          <w:rStyle w:val="a5"/>
        </w:rPr>
        <w:footnoteReference w:id="5308" w:customMarkFollows="0"/>
      </w:r>
      <w:bookmarkEnd w:id="6903"/>
      <w:r>
        <w:rPr>
          <w:rtl/>
        </w:rPr>
        <w:t>.</w:t>
      </w:r>
    </w:p>
    <w:p w14:paraId="1412B0E9" w14:textId="77777777" w:rsidR="00AB3647" w:rsidRDefault="00000000" w:rsidP="007923E9">
      <w:pPr>
        <w:spacing w:after="120" w:line="276" w:lineRule="auto"/>
        <w:ind w:firstLine="283"/>
        <w:jc w:val="both"/>
      </w:pPr>
      <w:r>
        <w:rPr>
          <w:rtl/>
        </w:rPr>
        <w:t xml:space="preserve">ר׳ </w:t>
      </w:r>
      <w:proofErr w:type="spellStart"/>
      <w:r>
        <w:rPr>
          <w:rtl/>
        </w:rPr>
        <w:t>ארצ׳יק</w:t>
      </w:r>
      <w:proofErr w:type="spellEnd"/>
      <w:r>
        <w:rPr>
          <w:rtl/>
        </w:rPr>
        <w:t xml:space="preserve"> בקשט שהה </w:t>
      </w:r>
      <w:proofErr w:type="spellStart"/>
      <w:r>
        <w:rPr>
          <w:rtl/>
        </w:rPr>
        <w:t>בקלם</w:t>
      </w:r>
      <w:proofErr w:type="spellEnd"/>
      <w:r>
        <w:rPr>
          <w:rtl/>
        </w:rPr>
        <w:t xml:space="preserve"> בזמן שהותו הקצרה של ר׳ שלמה </w:t>
      </w:r>
      <w:proofErr w:type="spellStart"/>
      <w:r>
        <w:rPr>
          <w:rtl/>
        </w:rPr>
        <w:t>פוליצ׳ק</w:t>
      </w:r>
      <w:proofErr w:type="spellEnd"/>
      <w:r>
        <w:rPr>
          <w:rtl/>
        </w:rPr>
        <w:t xml:space="preserve"> שם. כעבור </w:t>
      </w:r>
      <w:proofErr w:type="spellStart"/>
      <w:r>
        <w:rPr>
          <w:rtl/>
        </w:rPr>
        <w:t>שבע־עשרה</w:t>
      </w:r>
      <w:proofErr w:type="spellEnd"/>
      <w:r>
        <w:rPr>
          <w:rtl/>
        </w:rPr>
        <w:t xml:space="preserve"> שנה חזר ר׳ </w:t>
      </w:r>
      <w:proofErr w:type="spellStart"/>
      <w:r>
        <w:rPr>
          <w:rtl/>
        </w:rPr>
        <w:t>ארצ׳יק</w:t>
      </w:r>
      <w:proofErr w:type="spellEnd"/>
      <w:r>
        <w:rPr>
          <w:rtl/>
        </w:rPr>
        <w:t xml:space="preserve"> לפני ר׳ שלמה על שיחה ששמעו שניהם אז מר׳ </w:t>
      </w:r>
      <w:proofErr w:type="spellStart"/>
      <w:r>
        <w:rPr>
          <w:rtl/>
        </w:rPr>
        <w:t>שמחה־זיסל</w:t>
      </w:r>
      <w:proofErr w:type="spellEnd"/>
      <w:r>
        <w:rPr>
          <w:rtl/>
        </w:rPr>
        <w:t>, ואז “קם ר׳ שלמה ממקומו בהתרגשות רבה והחל לפסוע בחדר ולמלמל: ‘אוי ווי, לא היו לי אז אוזניים לשמוע ולהבין’”</w:t>
      </w:r>
      <w:bookmarkStart w:id="6904" w:name="_fnr5295"/>
      <w:r>
        <w:rPr>
          <w:rStyle w:val="a5"/>
        </w:rPr>
        <w:footnoteReference w:id="5309" w:customMarkFollows="0"/>
      </w:r>
      <w:bookmarkEnd w:id="6904"/>
      <w:r>
        <w:rPr>
          <w:rtl/>
        </w:rPr>
        <w:t>.</w:t>
      </w:r>
    </w:p>
    <w:p w14:paraId="2C199517" w14:textId="77777777" w:rsidR="00AB3647" w:rsidRDefault="00000000" w:rsidP="007923E9">
      <w:pPr>
        <w:spacing w:after="120" w:line="276" w:lineRule="auto"/>
        <w:ind w:firstLine="283"/>
        <w:jc w:val="both"/>
      </w:pPr>
      <w:r>
        <w:rPr>
          <w:rtl/>
        </w:rPr>
        <w:t xml:space="preserve">אגב, ר׳ </w:t>
      </w:r>
      <w:proofErr w:type="spellStart"/>
      <w:r>
        <w:rPr>
          <w:rtl/>
        </w:rPr>
        <w:t>ארצ׳יק</w:t>
      </w:r>
      <w:proofErr w:type="spellEnd"/>
      <w:r>
        <w:rPr>
          <w:rtl/>
        </w:rPr>
        <w:t xml:space="preserve"> היה בעל מוסר נלהב. בתו שרה גורני סיפרה</w:t>
      </w:r>
      <w:bookmarkStart w:id="6905" w:name="_fnr5296"/>
      <w:r>
        <w:rPr>
          <w:rStyle w:val="a5"/>
        </w:rPr>
        <w:footnoteReference w:id="5310" w:customMarkFollows="0"/>
      </w:r>
      <w:bookmarkEnd w:id="6905"/>
      <w:r>
        <w:rPr>
          <w:rtl/>
        </w:rPr>
        <w:t xml:space="preserve"> סיפור מעניין שאירע בילדותה, כשאביה היה רב </w:t>
      </w:r>
      <w:proofErr w:type="spellStart"/>
      <w:r>
        <w:rPr>
          <w:rtl/>
        </w:rPr>
        <w:t>בלומז׳ה</w:t>
      </w:r>
      <w:bookmarkStart w:id="6906" w:name="_fnr5297"/>
      <w:proofErr w:type="spellEnd"/>
      <w:r>
        <w:rPr>
          <w:rStyle w:val="a5"/>
        </w:rPr>
        <w:footnoteReference w:id="5311" w:customMarkFollows="0"/>
      </w:r>
      <w:bookmarkEnd w:id="6906"/>
      <w:r>
        <w:rPr>
          <w:rtl/>
        </w:rPr>
        <w:t xml:space="preserve">. היא שפכה בכוונה מים על אחד הבחורים החשובים בישיבת </w:t>
      </w:r>
      <w:proofErr w:type="spellStart"/>
      <w:r>
        <w:rPr>
          <w:rtl/>
        </w:rPr>
        <w:t>לומז׳ה</w:t>
      </w:r>
      <w:proofErr w:type="spellEnd"/>
      <w:r>
        <w:rPr>
          <w:rtl/>
        </w:rPr>
        <w:t xml:space="preserve">, והבחור סטר לה. בערב יום הכיפורים בא לבקש סליחה מן הקטנה בת השמונה, אבל היא ברחה והתחבאה. ר׳ </w:t>
      </w:r>
      <w:proofErr w:type="spellStart"/>
      <w:r>
        <w:rPr>
          <w:rtl/>
        </w:rPr>
        <w:t>ארצ׳יק</w:t>
      </w:r>
      <w:proofErr w:type="spellEnd"/>
      <w:r>
        <w:rPr>
          <w:rtl/>
        </w:rPr>
        <w:t xml:space="preserve"> אמר לבחור לשוב כעבור שעה, ובינתיים דיבר האב על לב בתו הקטנה בעניין הוויתור, ושכנע אותה שזה הדבר הראוי לעשות.</w:t>
      </w:r>
    </w:p>
    <w:p w14:paraId="6C7960E7" w14:textId="77777777" w:rsidR="00AB3647" w:rsidRDefault="00000000" w:rsidP="007923E9">
      <w:pPr>
        <w:spacing w:after="120" w:line="276" w:lineRule="auto"/>
        <w:ind w:firstLine="283"/>
        <w:jc w:val="both"/>
      </w:pPr>
      <w:r>
        <w:rPr>
          <w:rtl/>
        </w:rPr>
        <w:t xml:space="preserve">בנו של ר׳ </w:t>
      </w:r>
      <w:proofErr w:type="spellStart"/>
      <w:r>
        <w:rPr>
          <w:rtl/>
        </w:rPr>
        <w:t>ארצ׳יק</w:t>
      </w:r>
      <w:proofErr w:type="spellEnd"/>
      <w:r>
        <w:rPr>
          <w:rtl/>
        </w:rPr>
        <w:t>, ר׳ דוד, סיפר את המעשה הבא</w:t>
      </w:r>
      <w:bookmarkStart w:id="6907" w:name="_fnr5298"/>
      <w:r>
        <w:rPr>
          <w:rStyle w:val="a5"/>
        </w:rPr>
        <w:footnoteReference w:id="5312" w:customMarkFollows="0"/>
      </w:r>
      <w:bookmarkEnd w:id="6907"/>
      <w:r>
        <w:rPr>
          <w:rtl/>
        </w:rPr>
        <w:t xml:space="preserve">: שאוול הייתה צומת רכבות, ובחורים שנסעו </w:t>
      </w:r>
      <w:proofErr w:type="spellStart"/>
      <w:r>
        <w:rPr>
          <w:rtl/>
        </w:rPr>
        <w:t>לטלז</w:t>
      </w:r>
      <w:proofErr w:type="spellEnd"/>
      <w:r>
        <w:rPr>
          <w:rtl/>
        </w:rPr>
        <w:t xml:space="preserve"> וממנה היו נכנסים לבית הרב “לדבר בלימוד” עם ר׳ </w:t>
      </w:r>
      <w:proofErr w:type="spellStart"/>
      <w:r>
        <w:rPr>
          <w:rtl/>
        </w:rPr>
        <w:t>ארצ׳יק</w:t>
      </w:r>
      <w:proofErr w:type="spellEnd"/>
      <w:r>
        <w:rPr>
          <w:rtl/>
        </w:rPr>
        <w:t xml:space="preserve"> בקשט, כשהיה להם פנאי בין רכבת לרכבת. בוקר אחד ראה דוד שאביו אינו הולך לבית הכנסת להתפלל. הבן שאל בדאגה אם הוא נשאר בבית מפני שאינו חש בטוב, ונענה: “היום יום השוק, </w:t>
      </w:r>
      <w:proofErr w:type="spellStart"/>
      <w:r>
        <w:rPr>
          <w:rtl/>
        </w:rPr>
        <w:t>ואמך</w:t>
      </w:r>
      <w:proofErr w:type="spellEnd"/>
      <w:r>
        <w:rPr>
          <w:rtl/>
        </w:rPr>
        <w:t xml:space="preserve"> יצאה לקניות עם המשרתת; אם יבוא בחור לביתנו, מי יגיש לו כוס תה, מי יציע לו דבר מאכל, אם גם אני אצא מן הבית?!”</w:t>
      </w:r>
    </w:p>
    <w:p w14:paraId="07877E0D" w14:textId="77777777" w:rsidR="00AB3647" w:rsidRDefault="00000000" w:rsidP="007923E9">
      <w:pPr>
        <w:pStyle w:val="4"/>
        <w:spacing w:line="276" w:lineRule="auto"/>
      </w:pPr>
      <w:r>
        <w:t>· הפסקה השלישית ·</w:t>
      </w:r>
    </w:p>
    <w:p w14:paraId="73FB5D36" w14:textId="77777777" w:rsidR="00AB3647" w:rsidRDefault="00000000" w:rsidP="007923E9">
      <w:pPr>
        <w:pStyle w:val="5"/>
        <w:spacing w:line="276" w:lineRule="auto"/>
      </w:pPr>
      <w:r>
        <w:t xml:space="preserve">רבנו שומע שיעור מפי העילוי </w:t>
      </w:r>
      <w:proofErr w:type="spellStart"/>
      <w:r>
        <w:t>ממייצ׳ט</w:t>
      </w:r>
      <w:proofErr w:type="spellEnd"/>
      <w:r>
        <w:t xml:space="preserve"> – ר׳ חיים </w:t>
      </w:r>
      <w:proofErr w:type="spellStart"/>
      <w:r>
        <w:t>סולובייצ׳יק</w:t>
      </w:r>
      <w:proofErr w:type="spellEnd"/>
      <w:r>
        <w:t xml:space="preserve"> מגן על ר׳ שלמה </w:t>
      </w:r>
      <w:proofErr w:type="spellStart"/>
      <w:r>
        <w:t>פוליצ׳ק</w:t>
      </w:r>
      <w:proofErr w:type="spellEnd"/>
      <w:r>
        <w:t xml:space="preserve"> מפני </w:t>
      </w:r>
      <w:proofErr w:type="spellStart"/>
      <w:r>
        <w:t>מקטרגיו</w:t>
      </w:r>
      <w:proofErr w:type="spellEnd"/>
    </w:p>
    <w:p w14:paraId="0D33CC11" w14:textId="77777777" w:rsidR="00AB3647" w:rsidRDefault="00000000" w:rsidP="007923E9">
      <w:pPr>
        <w:spacing w:after="120" w:line="276" w:lineRule="auto"/>
        <w:ind w:firstLine="283"/>
        <w:jc w:val="both"/>
      </w:pPr>
      <w:r>
        <w:rPr>
          <w:rtl/>
        </w:rPr>
        <w:t xml:space="preserve">רבנו סיפר שפעם שמע את העילוי </w:t>
      </w:r>
      <w:proofErr w:type="spellStart"/>
      <w:r>
        <w:rPr>
          <w:rtl/>
        </w:rPr>
        <w:t>ממייצ׳ט</w:t>
      </w:r>
      <w:proofErr w:type="spellEnd"/>
      <w:r>
        <w:rPr>
          <w:rtl/>
        </w:rPr>
        <w:t xml:space="preserve"> מוסר שיעור, </w:t>
      </w:r>
      <w:proofErr w:type="spellStart"/>
      <w:r>
        <w:rPr>
          <w:rtl/>
        </w:rPr>
        <w:t>ו“היה</w:t>
      </w:r>
      <w:proofErr w:type="spellEnd"/>
      <w:r>
        <w:rPr>
          <w:rtl/>
        </w:rPr>
        <w:t xml:space="preserve"> אחד משני השומעים היחידים שהבינו אותו”. אבי לא גילה מתי בדיוק שמע את השיעור. הדבר לא יכול היה להיות בעשור תרס״ה–תרע״ה, שבו כיהן ר׳ שלמה </w:t>
      </w:r>
      <w:proofErr w:type="spellStart"/>
      <w:r>
        <w:rPr>
          <w:rtl/>
        </w:rPr>
        <w:t>פוליצ׳ק</w:t>
      </w:r>
      <w:proofErr w:type="spellEnd"/>
      <w:r>
        <w:rPr>
          <w:rtl/>
        </w:rPr>
        <w:t xml:space="preserve"> כראש ישיבה בישיבה בלידה</w:t>
      </w:r>
      <w:bookmarkStart w:id="6908" w:name="_fnr5299"/>
      <w:r>
        <w:rPr>
          <w:rStyle w:val="a5"/>
        </w:rPr>
        <w:footnoteReference w:id="5313" w:customMarkFollows="0"/>
      </w:r>
      <w:bookmarkEnd w:id="6908"/>
      <w:r>
        <w:rPr>
          <w:rtl/>
        </w:rPr>
        <w:t xml:space="preserve"> – אף שמבקרים </w:t>
      </w:r>
      <w:proofErr w:type="spellStart"/>
      <w:r>
        <w:rPr>
          <w:rtl/>
        </w:rPr>
        <w:t>מסלבודקה</w:t>
      </w:r>
      <w:proofErr w:type="spellEnd"/>
      <w:r>
        <w:rPr>
          <w:rtl/>
        </w:rPr>
        <w:t xml:space="preserve">, </w:t>
      </w:r>
      <w:proofErr w:type="spellStart"/>
      <w:r>
        <w:rPr>
          <w:rtl/>
        </w:rPr>
        <w:t>מטלז</w:t>
      </w:r>
      <w:proofErr w:type="spellEnd"/>
      <w:r>
        <w:rPr>
          <w:rtl/>
        </w:rPr>
        <w:t xml:space="preserve"> וממיר באו מפעם לפעם לשמוע אותו שם, לפי מאמרו של משה </w:t>
      </w:r>
      <w:r>
        <w:rPr>
          <w:rtl/>
        </w:rPr>
        <w:lastRenderedPageBreak/>
        <w:t xml:space="preserve">גולדברג </w:t>
      </w:r>
      <w:proofErr w:type="spellStart"/>
      <w:r>
        <w:rPr>
          <w:rtl/>
        </w:rPr>
        <w:t>ב“אידנו</w:t>
      </w:r>
      <w:proofErr w:type="spellEnd"/>
      <w:r>
        <w:rPr>
          <w:rtl/>
        </w:rPr>
        <w:t>”</w:t>
      </w:r>
      <w:bookmarkStart w:id="6909" w:name="_fnr5300"/>
      <w:r>
        <w:rPr>
          <w:rStyle w:val="a5"/>
        </w:rPr>
        <w:footnoteReference w:id="5314" w:customMarkFollows="0"/>
      </w:r>
      <w:bookmarkEnd w:id="6909"/>
      <w:r>
        <w:rPr>
          <w:rtl/>
        </w:rPr>
        <w:t xml:space="preserve"> – שכן אבי אמר פעם שמעולם לא היה בלידה</w:t>
      </w:r>
      <w:bookmarkStart w:id="6910" w:name="_fnr5301"/>
      <w:r>
        <w:rPr>
          <w:rStyle w:val="a5"/>
        </w:rPr>
        <w:footnoteReference w:id="5315" w:customMarkFollows="0"/>
      </w:r>
      <w:bookmarkEnd w:id="6910"/>
      <w:r>
        <w:rPr>
          <w:rtl/>
        </w:rPr>
        <w:t xml:space="preserve">. מסתבר ששמע את השיעור בעת שהותו של העילוי </w:t>
      </w:r>
      <w:proofErr w:type="spellStart"/>
      <w:r>
        <w:rPr>
          <w:rtl/>
        </w:rPr>
        <w:t>ממייצ׳ט</w:t>
      </w:r>
      <w:proofErr w:type="spellEnd"/>
      <w:r>
        <w:rPr>
          <w:rtl/>
        </w:rPr>
        <w:t xml:space="preserve"> </w:t>
      </w:r>
      <w:proofErr w:type="spellStart"/>
      <w:r>
        <w:rPr>
          <w:rtl/>
        </w:rPr>
        <w:t>בקרמנצ׳וג</w:t>
      </w:r>
      <w:bookmarkStart w:id="6911" w:name="_fnr5302"/>
      <w:proofErr w:type="spellEnd"/>
      <w:r>
        <w:rPr>
          <w:rStyle w:val="a5"/>
        </w:rPr>
        <w:footnoteReference w:id="5316" w:customMarkFollows="0"/>
      </w:r>
      <w:bookmarkEnd w:id="6911"/>
      <w:r>
        <w:rPr>
          <w:rtl/>
        </w:rPr>
        <w:t xml:space="preserve">. לפי הכרונולוגיה של נדודי העילוי </w:t>
      </w:r>
      <w:proofErr w:type="spellStart"/>
      <w:r>
        <w:rPr>
          <w:rtl/>
        </w:rPr>
        <w:t>ממייצ׳ט</w:t>
      </w:r>
      <w:proofErr w:type="spellEnd"/>
      <w:r>
        <w:rPr>
          <w:rtl/>
        </w:rPr>
        <w:t xml:space="preserve"> אחרי המהפכה הרוסית</w:t>
      </w:r>
      <w:bookmarkStart w:id="6912" w:name="_fnr5303"/>
      <w:r>
        <w:rPr>
          <w:rStyle w:val="a5"/>
        </w:rPr>
        <w:footnoteReference w:id="5317" w:customMarkFollows="0"/>
      </w:r>
      <w:bookmarkEnd w:id="6912"/>
      <w:r>
        <w:rPr>
          <w:rtl/>
        </w:rPr>
        <w:t xml:space="preserve">, בוודאי שמע אבי את השיעור </w:t>
      </w:r>
      <w:proofErr w:type="spellStart"/>
      <w:r>
        <w:rPr>
          <w:rtl/>
        </w:rPr>
        <w:t>בתר״פ</w:t>
      </w:r>
      <w:proofErr w:type="spellEnd"/>
      <w:r>
        <w:rPr>
          <w:rtl/>
        </w:rPr>
        <w:t xml:space="preserve"> (במחצית הראשונה של 1920).</w:t>
      </w:r>
    </w:p>
    <w:p w14:paraId="17286DF0" w14:textId="77777777" w:rsidR="00AB3647" w:rsidRDefault="00000000" w:rsidP="007923E9">
      <w:pPr>
        <w:spacing w:after="120" w:line="276" w:lineRule="auto"/>
        <w:ind w:firstLine="283"/>
        <w:jc w:val="both"/>
      </w:pPr>
      <w:r>
        <w:rPr>
          <w:rtl/>
        </w:rPr>
        <w:t xml:space="preserve">אף ששיעורי העילוי </w:t>
      </w:r>
      <w:proofErr w:type="spellStart"/>
      <w:r>
        <w:rPr>
          <w:rtl/>
        </w:rPr>
        <w:t>ממייצ׳ט</w:t>
      </w:r>
      <w:proofErr w:type="spellEnd"/>
      <w:r>
        <w:rPr>
          <w:rtl/>
        </w:rPr>
        <w:t xml:space="preserve"> היו קשים להבנה</w:t>
      </w:r>
      <w:bookmarkStart w:id="6913" w:name="_fnr5304"/>
      <w:r>
        <w:rPr>
          <w:rStyle w:val="a5"/>
        </w:rPr>
        <w:footnoteReference w:id="5318" w:customMarkFollows="0"/>
      </w:r>
      <w:bookmarkEnd w:id="6913"/>
      <w:r>
        <w:rPr>
          <w:rtl/>
        </w:rPr>
        <w:t xml:space="preserve">, לא ייתכן שמבין כמה הישיבות שגלו אז </w:t>
      </w:r>
      <w:proofErr w:type="spellStart"/>
      <w:r>
        <w:rPr>
          <w:rtl/>
        </w:rPr>
        <w:t>לקרמנצ׳וג</w:t>
      </w:r>
      <w:proofErr w:type="spellEnd"/>
      <w:r>
        <w:rPr>
          <w:rtl/>
        </w:rPr>
        <w:t xml:space="preserve"> היו רק שני תלמידים המסוגלים להבין את השיעור. אפשר לשער שתלמידי הישיבות, ובייחוד העילויים המובהקים שהיו חריפים דיים לעקוב אחר מהלך דבריו של העילוי, החרימו את שיעורו של העילוי </w:t>
      </w:r>
      <w:proofErr w:type="spellStart"/>
      <w:r>
        <w:rPr>
          <w:rtl/>
        </w:rPr>
        <w:t>ממייצ׳ט</w:t>
      </w:r>
      <w:proofErr w:type="spellEnd"/>
      <w:r>
        <w:rPr>
          <w:rtl/>
        </w:rPr>
        <w:t xml:space="preserve"> משום שדבק בו כתם עשר שנות כהונתו כראש ישיבה בישיבת לידה. מוסד זה היה “פסול” הן משום ששילב לימודי חול בלימודי הקודש והן משום שהיה בעל מגמה ציונית (ברוח מייסדו, ר׳ </w:t>
      </w:r>
      <w:proofErr w:type="spellStart"/>
      <w:r>
        <w:rPr>
          <w:rtl/>
        </w:rPr>
        <w:t>יצחק־יעקב</w:t>
      </w:r>
      <w:proofErr w:type="spellEnd"/>
      <w:r>
        <w:rPr>
          <w:rtl/>
        </w:rPr>
        <w:t xml:space="preserve"> ריינס</w:t>
      </w:r>
      <w:bookmarkStart w:id="6914" w:name="_fnr5305"/>
      <w:r>
        <w:rPr>
          <w:rStyle w:val="a5"/>
        </w:rPr>
        <w:footnoteReference w:id="5319" w:customMarkFollows="0"/>
      </w:r>
      <w:bookmarkEnd w:id="6914"/>
      <w:r>
        <w:rPr>
          <w:rtl/>
        </w:rPr>
        <w:t>).</w:t>
      </w:r>
    </w:p>
    <w:p w14:paraId="050E47CA" w14:textId="77777777" w:rsidR="00AB3647" w:rsidRDefault="00000000" w:rsidP="007923E9">
      <w:pPr>
        <w:spacing w:after="120" w:line="276" w:lineRule="auto"/>
        <w:ind w:firstLine="283"/>
        <w:jc w:val="both"/>
      </w:pPr>
      <w:r>
        <w:rPr>
          <w:rtl/>
        </w:rPr>
        <w:t>רבנו, שהיה עצמאי ורחב דעת</w:t>
      </w:r>
      <w:bookmarkStart w:id="6915" w:name="_fnr5306"/>
      <w:r>
        <w:rPr>
          <w:rStyle w:val="a5"/>
        </w:rPr>
        <w:footnoteReference w:id="5320" w:customMarkFollows="0"/>
      </w:r>
      <w:bookmarkEnd w:id="6915"/>
      <w:r>
        <w:rPr>
          <w:rtl/>
        </w:rPr>
        <w:t xml:space="preserve">, לא הושפע משיקולי </w:t>
      </w:r>
      <w:proofErr w:type="spellStart"/>
      <w:r>
        <w:rPr>
          <w:rtl/>
        </w:rPr>
        <w:t>ה“תקינות</w:t>
      </w:r>
      <w:proofErr w:type="spellEnd"/>
      <w:r>
        <w:rPr>
          <w:rtl/>
        </w:rPr>
        <w:t xml:space="preserve"> הפוליטית” האלה – גם אחרי נישואיו לבתו של אחד מבעלי התפקידים בישיבת </w:t>
      </w:r>
      <w:proofErr w:type="spellStart"/>
      <w:r>
        <w:rPr>
          <w:rtl/>
        </w:rPr>
        <w:t>סלבודקה</w:t>
      </w:r>
      <w:proofErr w:type="spellEnd"/>
      <w:r>
        <w:rPr>
          <w:rtl/>
        </w:rPr>
        <w:t xml:space="preserve">, “המשגיח הצעיר” ר׳ </w:t>
      </w:r>
      <w:proofErr w:type="spellStart"/>
      <w:r>
        <w:rPr>
          <w:rtl/>
        </w:rPr>
        <w:t xml:space="preserve">בער־הירש</w:t>
      </w:r>
      <w:proofErr w:type="spellEnd"/>
      <w:r>
        <w:rPr>
          <w:rtl/>
        </w:rPr>
        <w:t xml:space="preserve"> </w:t>
      </w:r>
      <w:proofErr w:type="spellStart"/>
      <w:r>
        <w:rPr>
          <w:rtl/>
        </w:rPr>
        <w:t xml:space="preserve">הלר</w:t>
      </w:r>
      <w:bookmarkStart w:id="6916" w:name="_fnr5307"/>
      <w:proofErr w:type="spellEnd"/>
      <w:r>
        <w:rPr>
          <w:rStyle w:val="a5"/>
        </w:rPr>
        <w:footnoteReference w:id="5321" w:customMarkFollows="0"/>
      </w:r>
      <w:bookmarkEnd w:id="6916"/>
      <w:r>
        <w:rPr>
          <w:rtl/>
        </w:rPr>
        <w:t>, שנערכו כחצי שנה (או יותר) קודם לכן</w:t>
      </w:r>
      <w:bookmarkStart w:id="6917" w:name="_fnr5308"/>
      <w:r>
        <w:rPr>
          <w:rStyle w:val="a5"/>
        </w:rPr>
        <w:footnoteReference w:id="5322" w:customMarkFollows="0"/>
      </w:r>
      <w:bookmarkEnd w:id="6917"/>
      <w:r>
        <w:rPr>
          <w:rtl/>
        </w:rPr>
        <w:t>.</w:t>
      </w:r>
    </w:p>
    <w:p w14:paraId="0FE4BB52" w14:textId="77777777" w:rsidR="00AB3647" w:rsidRDefault="00000000" w:rsidP="007923E9">
      <w:pPr>
        <w:spacing w:after="120" w:line="276" w:lineRule="auto"/>
        <w:ind w:firstLine="283"/>
        <w:jc w:val="both"/>
      </w:pPr>
      <w:r>
        <w:rPr>
          <w:rtl/>
        </w:rPr>
        <w:t xml:space="preserve">בעניין זה השווה “פון </w:t>
      </w:r>
      <w:proofErr w:type="spellStart"/>
      <w:r>
        <w:rPr>
          <w:rtl/>
        </w:rPr>
        <w:t>וואלאזין</w:t>
      </w:r>
      <w:proofErr w:type="spellEnd"/>
      <w:r>
        <w:rPr>
          <w:rtl/>
        </w:rPr>
        <w:t xml:space="preserve"> </w:t>
      </w:r>
      <w:proofErr w:type="spellStart"/>
      <w:r>
        <w:rPr>
          <w:rtl/>
        </w:rPr>
        <w:t>ביז</w:t>
      </w:r>
      <w:proofErr w:type="spellEnd"/>
      <w:r>
        <w:rPr>
          <w:rtl/>
        </w:rPr>
        <w:t xml:space="preserve"> ירושלים”</w:t>
      </w:r>
      <w:bookmarkStart w:id="6918" w:name="_fnr5309"/>
      <w:r>
        <w:rPr>
          <w:rStyle w:val="a5"/>
        </w:rPr>
        <w:footnoteReference w:id="5323" w:customMarkFollows="0"/>
      </w:r>
      <w:bookmarkEnd w:id="6918"/>
      <w:r>
        <w:rPr>
          <w:rtl/>
        </w:rPr>
        <w:t xml:space="preserve">: אחרי שהתמנה העילוי </w:t>
      </w:r>
      <w:proofErr w:type="spellStart"/>
      <w:r>
        <w:rPr>
          <w:rtl/>
        </w:rPr>
        <w:t>ממייצ׳ט</w:t>
      </w:r>
      <w:proofErr w:type="spellEnd"/>
      <w:r>
        <w:rPr>
          <w:rtl/>
        </w:rPr>
        <w:t xml:space="preserve"> לראש הישיבה בלידה, התנהלה שיחה בין ר׳ חיים </w:t>
      </w:r>
      <w:proofErr w:type="spellStart"/>
      <w:r>
        <w:rPr>
          <w:rtl/>
        </w:rPr>
        <w:t>ל“מקורביו</w:t>
      </w:r>
      <w:proofErr w:type="spellEnd"/>
      <w:r>
        <w:rPr>
          <w:rtl/>
        </w:rPr>
        <w:t xml:space="preserve">”, ושמו של ר׳ שלמה </w:t>
      </w:r>
      <w:proofErr w:type="spellStart"/>
      <w:r>
        <w:rPr>
          <w:rtl/>
        </w:rPr>
        <w:t>פוליצ׳ק</w:t>
      </w:r>
      <w:proofErr w:type="spellEnd"/>
      <w:r>
        <w:rPr>
          <w:rtl/>
        </w:rPr>
        <w:t xml:space="preserve"> עלה בה. כשדיבר עליו ר׳ חיים “בהתפעלות גדולה”, העיר אחד מבני החבורה כי סברו שיחסו של ר׳ חיים – מתנגד חריף לציונות ולרב ריינס</w:t>
      </w:r>
      <w:bookmarkStart w:id="6919" w:name="_fnr5310"/>
      <w:r>
        <w:rPr>
          <w:rStyle w:val="a5"/>
        </w:rPr>
        <w:footnoteReference w:id="5324" w:customMarkFollows="0"/>
      </w:r>
      <w:bookmarkEnd w:id="6919"/>
      <w:r>
        <w:rPr>
          <w:rtl/>
        </w:rPr>
        <w:t xml:space="preserve"> – יצטנן כלפי העילוי </w:t>
      </w:r>
      <w:proofErr w:type="spellStart"/>
      <w:r>
        <w:rPr>
          <w:rtl/>
        </w:rPr>
        <w:t>ממייצ׳ט</w:t>
      </w:r>
      <w:proofErr w:type="spellEnd"/>
      <w:r>
        <w:rPr>
          <w:rtl/>
        </w:rPr>
        <w:t xml:space="preserve"> מעת שזה התקרב אל ר׳ </w:t>
      </w:r>
      <w:proofErr w:type="spellStart"/>
      <w:r>
        <w:rPr>
          <w:rtl/>
        </w:rPr>
        <w:t>יצחק־יעקב</w:t>
      </w:r>
      <w:proofErr w:type="spellEnd"/>
      <w:r>
        <w:rPr>
          <w:rtl/>
        </w:rPr>
        <w:t xml:space="preserve"> ריינס והעלה את קרנה של ישיבתו הפסולה בלידה בקבלו עליו את ראשותה. וכך מסופר שם: “ר׳ חיים, כדרכו, ענה בבהירות ובחריפות: ‘מה שייך זה לזה? מפני שאינני אוחז מן הציונות, מוכרח אני גם לא לאחוז מר׳ </w:t>
      </w:r>
      <w:proofErr w:type="spellStart"/>
      <w:r>
        <w:rPr>
          <w:rtl/>
        </w:rPr>
        <w:t>יצחק־יעקב</w:t>
      </w:r>
      <w:proofErr w:type="spellEnd"/>
      <w:r>
        <w:rPr>
          <w:rtl/>
        </w:rPr>
        <w:t xml:space="preserve"> ריינס? ואם אינני אוחז מר׳ </w:t>
      </w:r>
      <w:proofErr w:type="spellStart"/>
      <w:r>
        <w:rPr>
          <w:rtl/>
        </w:rPr>
        <w:t>יצחק־יעקב</w:t>
      </w:r>
      <w:proofErr w:type="spellEnd"/>
      <w:r>
        <w:rPr>
          <w:rtl/>
        </w:rPr>
        <w:t xml:space="preserve"> ריינס, מוכרח אני גם לא לאחוז מהישיבה שלו? ואם אינני אוחז מישיבת לידה, מוכרח אני גם לא לאחוז מהעילוי </w:t>
      </w:r>
      <w:proofErr w:type="spellStart"/>
      <w:r>
        <w:rPr>
          <w:rtl/>
        </w:rPr>
        <w:t>ממייצ׳ט</w:t>
      </w:r>
      <w:proofErr w:type="spellEnd"/>
      <w:r>
        <w:rPr>
          <w:rtl/>
        </w:rPr>
        <w:t xml:space="preserve">? יכול אני להיות מתנגד לציונות, ובכל זאת לאחוז מר׳ </w:t>
      </w:r>
      <w:proofErr w:type="spellStart"/>
      <w:r>
        <w:rPr>
          <w:rtl/>
        </w:rPr>
        <w:t>יצחק־יעקב</w:t>
      </w:r>
      <w:proofErr w:type="spellEnd"/>
      <w:r>
        <w:rPr>
          <w:rtl/>
        </w:rPr>
        <w:t xml:space="preserve"> ריינס; ויכול אני להיות מתנגד גם לו, והישיבה שלו יכולה להיות טובה; ואפילו אם גם הישיבה איננה לרוחי, העילוי </w:t>
      </w:r>
      <w:proofErr w:type="spellStart"/>
      <w:r>
        <w:rPr>
          <w:rtl/>
        </w:rPr>
        <w:t>ממייצ׳ט</w:t>
      </w:r>
      <w:proofErr w:type="spellEnd"/>
      <w:r>
        <w:rPr>
          <w:rtl/>
        </w:rPr>
        <w:t xml:space="preserve"> עודנו גדול כפי שהיה תמיד [אין זיין חשיבות]...’”.</w:t>
      </w:r>
    </w:p>
    <w:p w14:paraId="54F2EF56" w14:textId="21423B40" w:rsidR="00AB3647" w:rsidRDefault="00000000" w:rsidP="007923E9">
      <w:pPr>
        <w:spacing w:after="120" w:line="276" w:lineRule="auto"/>
        <w:ind w:firstLine="283"/>
        <w:jc w:val="both"/>
      </w:pPr>
      <w:r>
        <w:rPr>
          <w:rtl/>
        </w:rPr>
        <w:lastRenderedPageBreak/>
        <w:t xml:space="preserve">השווה פרק 3, הפסקה השלישית של </w:t>
      </w:r>
      <w:r>
        <w:rPr>
          <w:rtl/>
        </w:rPr>
        <w:fldChar w:fldCharType="begin" w:dirty="true"/>
      </w:r>
      <w:r>
        <w:rPr>
          <w:rtl/>
        </w:rPr>
        <w:instrText xml:space="preserve"> REF b3_excN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יד</w:t>
      </w:r>
      <w:r>
        <w:rPr>
          <w:rtl/>
        </w:rPr>
        <w:fldChar w:fldCharType="end"/>
      </w:r>
      <w:r>
        <w:rPr>
          <w:rtl/>
        </w:rPr>
        <w:t xml:space="preserve">, שבה משתקפת גישה זו בעמדתו של רבנו. לא פורש מי היו אותם “מקורבים” </w:t>
      </w:r>
      <w:proofErr w:type="spellStart"/>
      <w:r>
        <w:rPr>
          <w:rtl/>
        </w:rPr>
        <w:t>לר</w:t>
      </w:r>
      <w:proofErr w:type="spellEnd"/>
      <w:r>
        <w:rPr>
          <w:rtl/>
        </w:rPr>
        <w:t xml:space="preserve">׳ חיים בשיחה זו, אבל אפשר לשער שר׳ יעקב הלוי ליפשיץ היה ביניהם, לפי פרק 3, הפסקה השנייה של </w:t>
      </w:r>
      <w:r>
        <w:rPr>
          <w:rtl/>
        </w:rPr>
        <w:fldChar w:fldCharType="begin" w:dirty="true"/>
      </w:r>
      <w:r>
        <w:rPr>
          <w:rtl/>
        </w:rPr>
        <w:instrText xml:space="preserve"> REF b3_excL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יב</w:t>
      </w:r>
      <w:proofErr w:type="spellEnd"/>
      <w:r>
        <w:rPr>
          <w:rtl/>
        </w:rPr>
        <w:fldChar w:fldCharType="end"/>
      </w:r>
      <w:bookmarkStart w:id="6920" w:name="_fnr5311"/>
      <w:r>
        <w:rPr>
          <w:rStyle w:val="a5"/>
        </w:rPr>
        <w:footnoteReference w:id="5325" w:customMarkFollows="0"/>
      </w:r>
      <w:bookmarkEnd w:id="6920"/>
      <w:r>
        <w:rPr>
          <w:rtl/>
        </w:rPr>
        <w:t>.</w:t>
      </w:r>
    </w:p>
    <w:p w14:paraId="06D49914" w14:textId="77777777" w:rsidR="00AB3647" w:rsidRDefault="00000000" w:rsidP="007923E9">
      <w:pPr>
        <w:spacing w:after="120" w:line="276" w:lineRule="auto"/>
        <w:ind w:firstLine="283"/>
        <w:jc w:val="both"/>
      </w:pPr>
      <w:r>
        <w:rPr>
          <w:rtl/>
        </w:rPr>
        <w:t>השווה גם “תורת חיים”</w:t>
      </w:r>
      <w:bookmarkStart w:id="6921" w:name="_fnr5312"/>
      <w:r>
        <w:rPr>
          <w:rStyle w:val="a5"/>
        </w:rPr>
        <w:footnoteReference w:id="5326" w:customMarkFollows="0"/>
      </w:r>
      <w:bookmarkEnd w:id="6921"/>
      <w:r>
        <w:rPr>
          <w:rtl/>
        </w:rPr>
        <w:t xml:space="preserve">, המספר: “כשנפטר ר׳ שמואל </w:t>
      </w:r>
      <w:proofErr w:type="spellStart"/>
      <w:r>
        <w:rPr>
          <w:rtl/>
        </w:rPr>
        <w:t>מוהליבר</w:t>
      </w:r>
      <w:proofErr w:type="spellEnd"/>
      <w:r>
        <w:rPr>
          <w:rtl/>
        </w:rPr>
        <w:t xml:space="preserve"> [רבה של </w:t>
      </w:r>
      <w:proofErr w:type="spellStart"/>
      <w:r>
        <w:rPr>
          <w:rtl/>
        </w:rPr>
        <w:t>ביאליסטוק</w:t>
      </w:r>
      <w:proofErr w:type="spellEnd"/>
      <w:r>
        <w:rPr>
          <w:rtl/>
        </w:rPr>
        <w:t xml:space="preserve"> ואחד ממייסדי המזרחי] באביב תרנ״ח, רצה ר׳ חיים להשתתף בהלוויה, וכשבני משפחתו של ר׳ חיים שאלו: ‘איך אתה יכול לעשות זאת? הרי הוא היה ציוני!’ השיב: ‘מה זה שייך? הרי הוא היה רב, ואני צריך להשתתף בהלוויה של רב!’ ככל שניסו להניאו מכך, לא הועיל דבר. אז ניגש יהודי </w:t>
      </w:r>
      <w:proofErr w:type="spellStart"/>
      <w:r>
        <w:rPr>
          <w:rtl/>
        </w:rPr>
        <w:t>מבריסק</w:t>
      </w:r>
      <w:proofErr w:type="spellEnd"/>
      <w:r>
        <w:rPr>
          <w:rtl/>
        </w:rPr>
        <w:t xml:space="preserve"> והתחנן... והסביר שהאנשים [‘העולם’] לא יבינו וישיגו את מה שר׳ חיים הבין והשיג – </w:t>
      </w:r>
      <w:proofErr w:type="spellStart"/>
      <w:r>
        <w:rPr>
          <w:rtl/>
        </w:rPr>
        <w:t>שציונותו</w:t>
      </w:r>
      <w:proofErr w:type="spellEnd"/>
      <w:r>
        <w:rPr>
          <w:rtl/>
        </w:rPr>
        <w:t xml:space="preserve"> של ר׳ שמואל והחובה להשתתף בהלוויית רב הן שני עניינים שאין ביניהם קשר – וייגרם חילול השם נורא, מפני שהכופרים יאמרו: ‘ראו, אפילו ר׳ חיים מסכים לציונות, והראיה – שהוא משתתף בהלוויה’. לבסוף נענה ר׳ חיים ואמר: ‘אתה צודק. מה אני יכול לעשות אם העולם טיפשים?!’”</w:t>
      </w:r>
      <w:bookmarkStart w:id="6922" w:name="_fnr5313"/>
      <w:r>
        <w:rPr>
          <w:rStyle w:val="a5"/>
        </w:rPr>
        <w:footnoteReference w:id="5327" w:customMarkFollows="0"/>
      </w:r>
      <w:bookmarkEnd w:id="6922"/>
      <w:r>
        <w:rPr>
          <w:rtl/>
        </w:rPr>
        <w:t>.</w:t>
      </w:r>
    </w:p>
    <w:bookmarkStart w:id="6923" w:name="b5_excI"/>
    <w:p w14:paraId="250137C9" w14:textId="77777777" w:rsidR="00AB3647" w:rsidRDefault="00000000" w:rsidP="007923E9">
      <w:pPr>
        <w:pStyle w:val="3"/>
        <w:spacing w:line="276" w:lineRule="auto"/>
      </w:pPr>
      <w:r>
        <w:lastRenderedPageBreak/>
        <w:fldChar w:fldCharType="begin" w:dirty="true"/>
      </w:r>
      <w:r>
        <w:rPr>
          <w:rtl w:val="0"/>
        </w:rPr>
        <w:instrText>HYPERLINK \l "b5_note77</w:instrText>
      </w:r>
      <w:r>
        <w:instrText>"</w:instrText>
      </w:r>
      <w:r>
        <w:fldChar w:fldCharType="separate"/>
      </w:r>
      <w:r>
        <w:t>נספח ט</w:t>
      </w:r>
      <w:r>
        <w:fldChar w:fldCharType="end"/>
      </w:r>
      <w:bookmarkEnd w:id="6923"/>
    </w:p>
    <w:p w14:paraId="3AC5D13E" w14:textId="77777777" w:rsidR="00AB3647" w:rsidRDefault="00000000" w:rsidP="007923E9">
      <w:pPr>
        <w:pStyle w:val="af"/>
        <w:spacing w:line="276" w:lineRule="auto"/>
      </w:pPr>
      <w:r>
        <w:t xml:space="preserve">על בריאותו של ר׳ חיים </w:t>
      </w:r>
      <w:proofErr w:type="spellStart"/>
      <w:r>
        <w:t>סולובייצ׳יק</w:t>
      </w:r>
      <w:proofErr w:type="spellEnd"/>
    </w:p>
    <w:p w14:paraId="51F90C57" w14:textId="77777777" w:rsidR="00AB3647" w:rsidRDefault="00000000" w:rsidP="007923E9">
      <w:pPr>
        <w:pStyle w:val="5"/>
        <w:spacing w:line="276" w:lineRule="auto"/>
      </w:pPr>
      <w:r>
        <w:t xml:space="preserve">ר׳ חיים </w:t>
      </w:r>
      <w:proofErr w:type="spellStart"/>
      <w:r>
        <w:t>סולובייצ׳יק</w:t>
      </w:r>
      <w:proofErr w:type="spellEnd"/>
      <w:r>
        <w:t xml:space="preserve"> אינו בקו הבריאות בשנות השלושים לחייו – נכד סבור שהיה בריא כמעט עד סופו – שנות המצוקה שלו במינסק במלחמת העולם הראשונה – שכלו מביא את גופו לידי זקנה</w:t>
      </w:r>
    </w:p>
    <w:p w14:paraId="5A5B571F" w14:textId="77777777" w:rsidR="00AB3647" w:rsidRDefault="00000000" w:rsidP="007923E9">
      <w:pPr>
        <w:spacing w:after="120" w:line="276" w:lineRule="auto"/>
        <w:ind w:firstLine="283"/>
        <w:jc w:val="both"/>
      </w:pPr>
      <w:r>
        <w:rPr>
          <w:rtl/>
        </w:rPr>
        <w:t xml:space="preserve">מה שסיפר מרואייני, ר׳ קופל </w:t>
      </w:r>
      <w:proofErr w:type="spellStart"/>
      <w:r>
        <w:rPr>
          <w:rtl/>
        </w:rPr>
        <w:t>וולפרט</w:t>
      </w:r>
      <w:proofErr w:type="spellEnd"/>
      <w:r>
        <w:rPr>
          <w:rtl/>
        </w:rPr>
        <w:t>, על מצב בריאותו של ר׳ חיים בהיותו בן חמישים וחמש מפורט מכדי שיהיה מוטעה לגמרי. גם הפרק בספרו של יעקב מארק</w:t>
      </w:r>
      <w:bookmarkStart w:id="6924" w:name="_fnr5314"/>
      <w:r>
        <w:rPr>
          <w:rStyle w:val="a5"/>
        </w:rPr>
        <w:footnoteReference w:id="5328" w:customMarkFollows="0"/>
      </w:r>
      <w:bookmarkEnd w:id="6924"/>
      <w:r>
        <w:rPr>
          <w:rtl/>
        </w:rPr>
        <w:t xml:space="preserve"> על ר׳ חיים </w:t>
      </w:r>
      <w:proofErr w:type="spellStart"/>
      <w:r>
        <w:rPr>
          <w:rtl/>
        </w:rPr>
        <w:t>סולובייצ׳יק</w:t>
      </w:r>
      <w:bookmarkStart w:id="6925" w:name="_fnr5315"/>
      <w:proofErr w:type="spellEnd"/>
      <w:r>
        <w:rPr>
          <w:rStyle w:val="a5"/>
        </w:rPr>
        <w:footnoteReference w:id="5329" w:customMarkFollows="0"/>
      </w:r>
      <w:bookmarkEnd w:id="6925"/>
      <w:r>
        <w:rPr>
          <w:rtl/>
        </w:rPr>
        <w:t xml:space="preserve"> מספר שאפילו בשלהי שנות השלושים לחייו בילה כמה קיצים בעיר החוף </w:t>
      </w:r>
      <w:proofErr w:type="spellStart"/>
      <w:r>
        <w:rPr>
          <w:rtl/>
        </w:rPr>
        <w:t>ליבאו</w:t>
      </w:r>
      <w:proofErr w:type="spellEnd"/>
      <w:r>
        <w:rPr>
          <w:rtl/>
        </w:rPr>
        <w:t xml:space="preserve"> “לצורכי מרפא”</w:t>
      </w:r>
      <w:bookmarkStart w:id="6926" w:name="_fnr5316"/>
      <w:r>
        <w:rPr>
          <w:rStyle w:val="a5"/>
        </w:rPr>
        <w:footnoteReference w:id="5330" w:customMarkFollows="0"/>
      </w:r>
      <w:bookmarkEnd w:id="6926"/>
      <w:r>
        <w:rPr>
          <w:rtl/>
        </w:rPr>
        <w:t xml:space="preserve">. את הצורך במרפא הוא מסביר כך: “ר׳ חיים היה מטבעו אדם בריא, אך באורח חייו הרשלני – </w:t>
      </w:r>
      <w:proofErr w:type="spellStart"/>
      <w:r>
        <w:rPr>
          <w:rtl/>
        </w:rPr>
        <w:t>משלא</w:t>
      </w:r>
      <w:proofErr w:type="spellEnd"/>
      <w:r>
        <w:rPr>
          <w:rtl/>
        </w:rPr>
        <w:t xml:space="preserve"> שמר על עצמו – הביא על עצמו כמה מחלות”.</w:t>
      </w:r>
    </w:p>
    <w:p w14:paraId="7D2A2137" w14:textId="77777777" w:rsidR="00AB3647" w:rsidRDefault="00000000" w:rsidP="007923E9">
      <w:pPr>
        <w:spacing w:after="120" w:line="276" w:lineRule="auto"/>
        <w:ind w:firstLine="283"/>
        <w:jc w:val="both"/>
      </w:pPr>
      <w:r>
        <w:rPr>
          <w:rtl/>
        </w:rPr>
        <w:t>מארק מספר שם את הסיפור המעניין הבא</w:t>
      </w:r>
      <w:bookmarkStart w:id="6927" w:name="_fnr5317"/>
      <w:r>
        <w:rPr>
          <w:rStyle w:val="a5"/>
        </w:rPr>
        <w:footnoteReference w:id="5331" w:customMarkFollows="0"/>
      </w:r>
      <w:bookmarkEnd w:id="6927"/>
      <w:r>
        <w:rPr>
          <w:rtl/>
        </w:rPr>
        <w:t xml:space="preserve">: “בליל תשעה באב אחד, לאחר אמירת הקינות, ביקש ממני ר׳ הלל </w:t>
      </w:r>
      <w:proofErr w:type="spellStart"/>
      <w:r>
        <w:rPr>
          <w:rtl/>
        </w:rPr>
        <w:t>סלנטר</w:t>
      </w:r>
      <w:proofErr w:type="spellEnd"/>
      <w:r>
        <w:rPr>
          <w:rtl/>
        </w:rPr>
        <w:t xml:space="preserve">, שהיה בא </w:t>
      </w:r>
      <w:proofErr w:type="spellStart"/>
      <w:r>
        <w:rPr>
          <w:rtl/>
        </w:rPr>
        <w:t>לליבאו</w:t>
      </w:r>
      <w:proofErr w:type="spellEnd"/>
      <w:r>
        <w:rPr>
          <w:rtl/>
        </w:rPr>
        <w:t xml:space="preserve"> מדי קיץ, ללכת אל ר׳ חיים ולומר לו בשמו שאסור לו לצום למחרת. מילאתי את השליחות, אך ר׳ חיים ביטל אותה בצחוק. וכשסיפרתי זאת </w:t>
      </w:r>
      <w:proofErr w:type="spellStart"/>
      <w:r>
        <w:rPr>
          <w:rtl/>
        </w:rPr>
        <w:t>לר</w:t>
      </w:r>
      <w:proofErr w:type="spellEnd"/>
      <w:r>
        <w:rPr>
          <w:rtl/>
        </w:rPr>
        <w:t xml:space="preserve">׳ הלל למחרת, שלחני אליו שנית לומר בשמו שהוא, </w:t>
      </w:r>
      <w:proofErr w:type="spellStart"/>
      <w:r>
        <w:rPr>
          <w:rtl/>
        </w:rPr>
        <w:t>כמ״ץ</w:t>
      </w:r>
      <w:proofErr w:type="spellEnd"/>
      <w:r>
        <w:rPr>
          <w:rtl/>
        </w:rPr>
        <w:t xml:space="preserve"> זקן ממנו, מצווה עליו לאכול מיד, מפני שלא היצר הטוב אומר לו לצום אלא היצר הרע, המסית את כל החולים שלא לציית לרופאים</w:t>
      </w:r>
      <w:bookmarkStart w:id="6928" w:name="_fnr5318"/>
      <w:r>
        <w:rPr>
          <w:rStyle w:val="a5"/>
        </w:rPr>
        <w:footnoteReference w:id="5332" w:customMarkFollows="0"/>
      </w:r>
      <w:bookmarkEnd w:id="6928"/>
      <w:r>
        <w:rPr>
          <w:rtl/>
        </w:rPr>
        <w:t xml:space="preserve">. בה בעת הורה לי </w:t>
      </w:r>
      <w:proofErr w:type="spellStart"/>
      <w:r>
        <w:rPr>
          <w:rtl/>
        </w:rPr>
        <w:t>המ״ץ</w:t>
      </w:r>
      <w:proofErr w:type="spellEnd"/>
      <w:r>
        <w:rPr>
          <w:rtl/>
        </w:rPr>
        <w:t xml:space="preserve"> שלא לעזוב את ר׳ חיים עד שיטעם דבר מאכל. אבל הכול לא הועיל, ור׳ חיים צם כל היום – ואיזה יום! – עד </w:t>
      </w:r>
      <w:proofErr w:type="spellStart"/>
      <w:r>
        <w:rPr>
          <w:rtl/>
        </w:rPr>
        <w:t>אחת־עשרה</w:t>
      </w:r>
      <w:proofErr w:type="spellEnd"/>
      <w:r>
        <w:rPr>
          <w:rtl/>
        </w:rPr>
        <w:t xml:space="preserve"> בלילה, שכן לפי חישובו, עם כל החומרות, לא היה צאת הכוכבים </w:t>
      </w:r>
      <w:proofErr w:type="spellStart"/>
      <w:r>
        <w:rPr>
          <w:rtl/>
        </w:rPr>
        <w:t>בליבאו</w:t>
      </w:r>
      <w:proofErr w:type="spellEnd"/>
      <w:r>
        <w:rPr>
          <w:rtl/>
        </w:rPr>
        <w:t xml:space="preserve"> בימי הקיץ לפני שעתיים וחצי אחרי השקיעה. בסופו של דבר הזיק לו הצום מאוד, אבל הוא סירב בשום אופן להודות שנהג שלא כראוי”.</w:t>
      </w:r>
    </w:p>
    <w:p w14:paraId="54493CD5" w14:textId="77777777" w:rsidR="00AB3647" w:rsidRDefault="00000000" w:rsidP="007923E9">
      <w:pPr>
        <w:spacing w:after="120" w:line="276" w:lineRule="auto"/>
        <w:ind w:firstLine="283"/>
        <w:jc w:val="both"/>
      </w:pPr>
      <w:r>
        <w:rPr>
          <w:rtl/>
        </w:rPr>
        <w:t xml:space="preserve">מכתב שכתב ר׳ חיים </w:t>
      </w:r>
      <w:proofErr w:type="spellStart"/>
      <w:r>
        <w:rPr>
          <w:rtl/>
        </w:rPr>
        <w:t>סולובייצ׳יק</w:t>
      </w:r>
      <w:proofErr w:type="spellEnd"/>
      <w:r>
        <w:rPr>
          <w:rtl/>
        </w:rPr>
        <w:t xml:space="preserve"> </w:t>
      </w:r>
      <w:proofErr w:type="spellStart"/>
      <w:r>
        <w:rPr>
          <w:rtl/>
        </w:rPr>
        <w:t>ארבעה־עשר</w:t>
      </w:r>
      <w:proofErr w:type="spellEnd"/>
      <w:r>
        <w:rPr>
          <w:rtl/>
        </w:rPr>
        <w:t xml:space="preserve"> חודשים אחרי ביקורו בקובנה, ונדפס שוב </w:t>
      </w:r>
      <w:proofErr w:type="spellStart"/>
      <w:r>
        <w:rPr>
          <w:rtl/>
        </w:rPr>
        <w:t>ב“קובץ</w:t>
      </w:r>
      <w:proofErr w:type="spellEnd"/>
      <w:r>
        <w:rPr>
          <w:rtl/>
        </w:rPr>
        <w:t xml:space="preserve"> מכתבים”</w:t>
      </w:r>
      <w:bookmarkStart w:id="6929" w:name="_fnr5319"/>
      <w:r>
        <w:rPr>
          <w:rStyle w:val="a5"/>
        </w:rPr>
        <w:footnoteReference w:id="5333" w:customMarkFollows="0"/>
      </w:r>
      <w:bookmarkEnd w:id="6929"/>
      <w:r>
        <w:rPr>
          <w:rtl/>
        </w:rPr>
        <w:t xml:space="preserve">, מזכיר הן את הידרדרות בריאותו והן את חברו לנסיעה. וזה לשונו: “בנוגע אלי, כבר כתבתי לך במכתבי הקודם שאינני יודע איזו תועלת תמצא בנסיעתי [לאספה </w:t>
      </w:r>
      <w:proofErr w:type="spellStart"/>
      <w:r>
        <w:rPr>
          <w:rtl/>
        </w:rPr>
        <w:t>בבאד</w:t>
      </w:r>
      <w:proofErr w:type="spellEnd"/>
      <w:r>
        <w:rPr>
          <w:rtl/>
        </w:rPr>
        <w:t xml:space="preserve"> </w:t>
      </w:r>
      <w:proofErr w:type="spellStart"/>
      <w:r>
        <w:rPr>
          <w:rtl/>
        </w:rPr>
        <w:t>הומבורג</w:t>
      </w:r>
      <w:bookmarkStart w:id="6930" w:name="_fnr5320"/>
      <w:proofErr w:type="spellEnd"/>
      <w:r>
        <w:rPr>
          <w:rStyle w:val="a5"/>
        </w:rPr>
        <w:footnoteReference w:id="5334" w:customMarkFollows="0"/>
      </w:r>
      <w:bookmarkEnd w:id="6930"/>
      <w:r>
        <w:rPr>
          <w:rtl/>
        </w:rPr>
        <w:t xml:space="preserve">], מפני שעל ידי חוליי פג טעמי – ואין אני אומר זאת מתוך ענווה או שפלות הדעת, אלא מפני שאני אוהב את האמת בכל העניינים, וגם [מחלתי] גורמת לי קושי נוסף בכל נסיעה ובייחוד במעברי הגבול. אולם למרות כל זאת לא החלטתי בדבר, ומסרתי את העניין להכרעתך. ומובן שאם תיפול ההחלטה שאסע, יהיה זה יחד עם ידידי הגאון ר׳ </w:t>
      </w:r>
      <w:proofErr w:type="spellStart"/>
      <w:r>
        <w:rPr>
          <w:rtl/>
        </w:rPr>
        <w:t>יעקב־זלמן</w:t>
      </w:r>
      <w:proofErr w:type="spellEnd"/>
      <w:r>
        <w:rPr>
          <w:rtl/>
        </w:rPr>
        <w:t xml:space="preserve"> ליפשיץ”. לא ברור למה התכוון ר׳ חיים כשכתב שמעברי הגבול הכבידו עוד על בריאותו. </w:t>
      </w:r>
      <w:r>
        <w:rPr>
          <w:rtl/>
        </w:rPr>
        <w:lastRenderedPageBreak/>
        <w:t>ייתכן שכוונתו לחרדה שחש כשבדקו פקידי הגבול את ניירותיו, חרדה שהשפיעה עליו בגופו ופגעה בבריאותו</w:t>
      </w:r>
      <w:bookmarkStart w:id="6931" w:name="_fnr5321"/>
      <w:r>
        <w:rPr>
          <w:rStyle w:val="a5"/>
        </w:rPr>
        <w:footnoteReference w:id="5335" w:customMarkFollows="0"/>
      </w:r>
      <w:bookmarkEnd w:id="6931"/>
      <w:r>
        <w:rPr>
          <w:rtl/>
        </w:rPr>
        <w:t>.</w:t>
      </w:r>
    </w:p>
    <w:p w14:paraId="18AF88FB" w14:textId="77777777" w:rsidR="00AB3647" w:rsidRDefault="00000000" w:rsidP="007923E9">
      <w:pPr>
        <w:spacing w:after="120" w:line="276" w:lineRule="auto"/>
        <w:ind w:firstLine="283"/>
        <w:jc w:val="both"/>
      </w:pPr>
      <w:r>
        <w:rPr>
          <w:rtl/>
        </w:rPr>
        <w:t xml:space="preserve">בעניין זה השווה “פון </w:t>
      </w:r>
      <w:proofErr w:type="spellStart"/>
      <w:r>
        <w:rPr>
          <w:rtl/>
        </w:rPr>
        <w:t>וואלאזין</w:t>
      </w:r>
      <w:proofErr w:type="spellEnd"/>
      <w:r>
        <w:rPr>
          <w:rtl/>
        </w:rPr>
        <w:t xml:space="preserve"> </w:t>
      </w:r>
      <w:proofErr w:type="spellStart"/>
      <w:r>
        <w:rPr>
          <w:rtl/>
        </w:rPr>
        <w:t>ביז</w:t>
      </w:r>
      <w:proofErr w:type="spellEnd"/>
      <w:r>
        <w:rPr>
          <w:rtl/>
        </w:rPr>
        <w:t xml:space="preserve"> ירושלים”</w:t>
      </w:r>
      <w:bookmarkStart w:id="6932" w:name="_fnr5322"/>
      <w:r>
        <w:rPr>
          <w:rStyle w:val="a5"/>
        </w:rPr>
        <w:footnoteReference w:id="5336" w:customMarkFollows="0"/>
      </w:r>
      <w:bookmarkEnd w:id="6932"/>
      <w:r>
        <w:rPr>
          <w:rtl/>
        </w:rPr>
        <w:t xml:space="preserve">, שלפיו ר׳ חיים “נטה בדרך כלל לפסימיות, תמיד פחד וציפה לגרוע מכול”. אותו מחבר תולה בתכונה זו את העובדה שר׳ חיים “חזה שכל מחלה עלולה להפוך לפיקוח נפש”. אבל למעשה נבע החשש “שכל מחלה עלולה להפוך לפיקוח נפש” מפסקו בענייני בריאות: </w:t>
      </w:r>
      <w:proofErr w:type="spellStart"/>
      <w:r>
        <w:rPr>
          <w:rtl/>
        </w:rPr>
        <w:t>ש“מיליונית</w:t>
      </w:r>
      <w:proofErr w:type="spellEnd"/>
      <w:r>
        <w:rPr>
          <w:rtl/>
        </w:rPr>
        <w:t xml:space="preserve"> של ספק סכנת נפשות נחשבת להלכה לפיקוח נפש”</w:t>
      </w:r>
      <w:bookmarkStart w:id="6933" w:name="_fnr5323"/>
      <w:r>
        <w:rPr>
          <w:rStyle w:val="a5"/>
        </w:rPr>
        <w:footnoteReference w:id="5337" w:customMarkFollows="0"/>
      </w:r>
      <w:bookmarkEnd w:id="6933"/>
      <w:r>
        <w:rPr>
          <w:rtl/>
        </w:rPr>
        <w:t>.</w:t>
      </w:r>
    </w:p>
    <w:p w14:paraId="2126B13E" w14:textId="77777777" w:rsidR="00AB3647" w:rsidRDefault="00000000" w:rsidP="007923E9">
      <w:pPr>
        <w:spacing w:after="120" w:line="276" w:lineRule="auto"/>
        <w:ind w:firstLine="283"/>
        <w:jc w:val="both"/>
      </w:pPr>
      <w:bookmarkStart w:id="6934" w:name="pr_b_2871"/>
      <w:bookmarkEnd w:id="6934"/>
      <w:r>
        <w:rPr>
          <w:rtl/>
        </w:rPr>
        <w:t xml:space="preserve">אבל ר׳ משה </w:t>
      </w:r>
      <w:proofErr w:type="spellStart"/>
      <w:r>
        <w:rPr>
          <w:rtl/>
        </w:rPr>
        <w:t>סולובייצ׳יק</w:t>
      </w:r>
      <w:proofErr w:type="spellEnd"/>
      <w:r>
        <w:rPr>
          <w:rtl/>
        </w:rPr>
        <w:t xml:space="preserve"> מציריך, צעיר ילדיו של בנו הבכור של ר׳ חיים, העיד</w:t>
      </w:r>
      <w:bookmarkStart w:id="6935" w:name="_fnr5324"/>
      <w:r>
        <w:rPr>
          <w:rStyle w:val="a5"/>
        </w:rPr>
        <w:footnoteReference w:id="5338" w:customMarkFollows="0"/>
      </w:r>
      <w:bookmarkEnd w:id="6935"/>
      <w:r>
        <w:rPr>
          <w:rtl/>
        </w:rPr>
        <w:t xml:space="preserve"> </w:t>
      </w:r>
      <w:proofErr w:type="spellStart"/>
      <w:r>
        <w:rPr>
          <w:rtl/>
        </w:rPr>
        <w:t>ש“במשפחה</w:t>
      </w:r>
      <w:proofErr w:type="spellEnd"/>
      <w:r>
        <w:rPr>
          <w:rtl/>
        </w:rPr>
        <w:t>” נחשב ר׳ חיים לבריא וחזק כמעט עד סופו</w:t>
      </w:r>
      <w:bookmarkStart w:id="6936" w:name="_fnr5325"/>
      <w:r>
        <w:rPr>
          <w:rStyle w:val="a5"/>
        </w:rPr>
        <w:footnoteReference w:id="5339" w:customMarkFollows="0"/>
      </w:r>
      <w:bookmarkEnd w:id="6936"/>
      <w:r>
        <w:rPr>
          <w:rtl/>
        </w:rPr>
        <w:t xml:space="preserve">. ר׳ משה סיפר מעשה הממחיש את כוחו הגופני של סבו: קצב </w:t>
      </w:r>
      <w:proofErr w:type="spellStart"/>
      <w:r>
        <w:rPr>
          <w:rtl/>
        </w:rPr>
        <w:t>בריסקאי</w:t>
      </w:r>
      <w:proofErr w:type="spellEnd"/>
      <w:r>
        <w:rPr>
          <w:rtl/>
        </w:rPr>
        <w:t xml:space="preserve"> חסון, שבהמתו השחוטה </w:t>
      </w:r>
      <w:proofErr w:type="spellStart"/>
      <w:r>
        <w:rPr>
          <w:rtl/>
        </w:rPr>
        <w:t>הוטרפה</w:t>
      </w:r>
      <w:proofErr w:type="spellEnd"/>
      <w:r>
        <w:rPr>
          <w:rtl/>
        </w:rPr>
        <w:t xml:space="preserve">, שאג ואיים לשבור את כל חלונות בית הרב, ור׳ חיים השיב: “אינני מפחד ממך, מפני שאני חזק ממך”, והמחיש את דבריו בכפיפת מטבע באצבעותיו. תלמידו של ר׳ </w:t>
      </w:r>
      <w:proofErr w:type="spellStart"/>
      <w:r>
        <w:rPr>
          <w:rtl/>
        </w:rPr>
        <w:t>משולם־דוד</w:t>
      </w:r>
      <w:proofErr w:type="spellEnd"/>
      <w:r>
        <w:rPr>
          <w:rtl/>
        </w:rPr>
        <w:t xml:space="preserve"> </w:t>
      </w:r>
      <w:proofErr w:type="spellStart"/>
      <w:r>
        <w:rPr>
          <w:rtl/>
        </w:rPr>
        <w:t>סולובייצ׳יק</w:t>
      </w:r>
      <w:proofErr w:type="spellEnd"/>
      <w:r>
        <w:rPr>
          <w:rtl/>
        </w:rPr>
        <w:t xml:space="preserve"> שמע מרבו שר׳ חיים היה משתעשע בפורים בכפיפת פרסת סוס בידיו החשופות. </w:t>
      </w:r>
      <w:proofErr w:type="spellStart"/>
      <w:r>
        <w:rPr>
          <w:rtl/>
        </w:rPr>
        <w:t>ו“תורת</w:t>
      </w:r>
      <w:proofErr w:type="spellEnd"/>
      <w:r>
        <w:rPr>
          <w:rtl/>
        </w:rPr>
        <w:t xml:space="preserve"> חיים”</w:t>
      </w:r>
      <w:bookmarkStart w:id="6937" w:name="_fnr5326"/>
      <w:r>
        <w:rPr>
          <w:rStyle w:val="a5"/>
        </w:rPr>
        <w:footnoteReference w:id="5340" w:customMarkFollows="0"/>
      </w:r>
      <w:bookmarkEnd w:id="6937"/>
      <w:r>
        <w:rPr>
          <w:rtl/>
        </w:rPr>
        <w:t xml:space="preserve"> מספר שאדם אחד, שרצה להפחיד את ר׳ חיים, שסירב להגדיל את מנת הצדקה שנתן לו, הפגין את כוחו בכפיפת מטבע; ר׳ חיים נטל את המטבע באצבעותיו ויישר אותו.</w:t>
      </w:r>
    </w:p>
    <w:p w14:paraId="646A69DE" w14:textId="77777777" w:rsidR="00AB3647" w:rsidRDefault="00000000" w:rsidP="007923E9">
      <w:pPr>
        <w:spacing w:after="120" w:line="276" w:lineRule="auto"/>
        <w:ind w:firstLine="283"/>
        <w:jc w:val="both"/>
      </w:pPr>
      <w:bookmarkStart w:id="6938" w:name="pr_close_b_4564"/>
      <w:bookmarkEnd w:id="6938"/>
      <w:r>
        <w:rPr>
          <w:rtl/>
        </w:rPr>
        <w:t xml:space="preserve">את פטירת ר׳ חיים </w:t>
      </w:r>
      <w:proofErr w:type="spellStart"/>
      <w:r>
        <w:rPr>
          <w:rtl/>
        </w:rPr>
        <w:t>באוטבוצק</w:t>
      </w:r>
      <w:proofErr w:type="spellEnd"/>
      <w:r>
        <w:rPr>
          <w:rtl/>
        </w:rPr>
        <w:t>, ליד ורשה, בכ״א באב תרע״ח, בן שישים וחמש בלבד, ייחס ר׳ משה לשנות הרעב שעבר במינסק בשלוש שנות המלחמה שקדמו לה – ולא לסיבת המוות הישירה, “מחלת כבד שסבל ממנה מאוד ושריתקה אותו רוב הזמן למיטתו” בשלהי חייו</w:t>
      </w:r>
      <w:bookmarkStart w:id="6939" w:name="_fnr5327"/>
      <w:r>
        <w:rPr>
          <w:rStyle w:val="a5"/>
        </w:rPr>
        <w:footnoteReference w:id="5341" w:customMarkFollows="0"/>
      </w:r>
      <w:bookmarkEnd w:id="6939"/>
      <w:r>
        <w:rPr>
          <w:rtl/>
        </w:rPr>
        <w:t xml:space="preserve">, ושלשם ריפויה הובא ממקום מקלטו במינסק “אל רופאים גדולים בוורשה, שכבר לא יכלו לעזור”</w:t>
      </w:r>
      <w:bookmarkStart w:id="6940" w:name="_fnr5328"/>
      <w:r>
        <w:rPr>
          <w:rStyle w:val="a5"/>
        </w:rPr>
        <w:footnoteReference w:id="5342" w:customMarkFollows="0"/>
      </w:r>
      <w:bookmarkEnd w:id="6940"/>
      <w:r>
        <w:rPr>
          <w:rtl/>
        </w:rPr>
        <w:t>.</w:t>
      </w:r>
    </w:p>
    <w:p w14:paraId="616C5B63" w14:textId="77777777" w:rsidR="00AB3647" w:rsidRDefault="00000000" w:rsidP="007923E9">
      <w:pPr>
        <w:spacing w:after="120" w:line="276" w:lineRule="auto"/>
        <w:ind w:firstLine="283"/>
        <w:jc w:val="both"/>
      </w:pPr>
      <w:bookmarkStart w:id="6941" w:name="pr_b_2872"/>
      <w:bookmarkEnd w:id="6941"/>
      <w:r>
        <w:rPr>
          <w:rtl/>
        </w:rPr>
        <w:t xml:space="preserve">מאמרו של יצחק ברגר, בן מינסק חשוב ותלמיד </w:t>
      </w:r>
      <w:proofErr w:type="spellStart"/>
      <w:r>
        <w:rPr>
          <w:rtl/>
        </w:rPr>
        <w:t>וולוז׳ין</w:t>
      </w:r>
      <w:proofErr w:type="spellEnd"/>
      <w:r>
        <w:rPr>
          <w:rtl/>
        </w:rPr>
        <w:t xml:space="preserve"> לשעבר, </w:t>
      </w:r>
      <w:proofErr w:type="spellStart"/>
      <w:r>
        <w:rPr>
          <w:rtl/>
        </w:rPr>
        <w:t>ב“מינסק</w:t>
      </w:r>
      <w:proofErr w:type="spellEnd"/>
      <w:r>
        <w:rPr>
          <w:rtl/>
        </w:rPr>
        <w:t xml:space="preserve"> עיר ואם” א</w:t>
      </w:r>
      <w:bookmarkStart w:id="6942" w:name="_fnr5329"/>
      <w:r>
        <w:rPr>
          <w:rStyle w:val="a5"/>
        </w:rPr>
        <w:footnoteReference w:id="5343" w:customMarkFollows="0"/>
      </w:r>
      <w:bookmarkEnd w:id="6942"/>
      <w:r>
        <w:rPr>
          <w:rtl/>
        </w:rPr>
        <w:t xml:space="preserve">, מתאר כיצד סירב ר׳ חיים לקבל מזון מן הארגון שסייע לפליטים במינסק, שמחבר המאמר היה מזכירו הראשי, מפני שר׳ חיים </w:t>
      </w:r>
      <w:proofErr w:type="spellStart"/>
      <w:r>
        <w:rPr>
          <w:rtl/>
        </w:rPr>
        <w:t>סולובייצ׳יק</w:t>
      </w:r>
      <w:proofErr w:type="spellEnd"/>
      <w:r>
        <w:rPr>
          <w:rtl/>
        </w:rPr>
        <w:t xml:space="preserve"> סבר שרבנים אחרים, שלא היו להם כמותו בעלי בתים מעריהם שיסייעו להם, נזקקו לכך יותר ממנו. כשהחזית התקרבה למינסק ותושביה החלו לרעוב יחד עם הפליטים, סירב ר׳ חיים, מפני שלא היה בן מינסק, לקבל בעבור עצמו </w:t>
      </w:r>
      <w:proofErr w:type="spellStart"/>
      <w:r>
        <w:rPr>
          <w:rtl/>
        </w:rPr>
        <w:t>ו“ארבעה־</w:t>
      </w:r>
      <w:r>
        <w:rPr>
          <w:rtl/>
        </w:rPr>
        <w:lastRenderedPageBreak/>
        <w:t>עשר</w:t>
      </w:r>
      <w:proofErr w:type="spellEnd"/>
      <w:r>
        <w:rPr>
          <w:rtl/>
        </w:rPr>
        <w:t xml:space="preserve"> ילדיו ונכדיו” את תלושי קצבת המזון שחילקה ועדת האספקה העירונית של מינסק, שהוקמה אז.</w:t>
      </w:r>
    </w:p>
    <w:p w14:paraId="14FADAD4" w14:textId="77777777" w:rsidR="00AB3647" w:rsidRDefault="00000000" w:rsidP="007923E9">
      <w:pPr>
        <w:spacing w:after="120" w:line="276" w:lineRule="auto"/>
        <w:ind w:firstLine="283"/>
        <w:jc w:val="both"/>
      </w:pPr>
      <w:r>
        <w:rPr>
          <w:rtl/>
        </w:rPr>
        <w:t xml:space="preserve">לשאלתי מנה ר׳ משה </w:t>
      </w:r>
      <w:proofErr w:type="spellStart"/>
      <w:r>
        <w:rPr>
          <w:rtl/>
        </w:rPr>
        <w:t>סולובייצ׳יק</w:t>
      </w:r>
      <w:proofErr w:type="spellEnd"/>
      <w:r>
        <w:rPr>
          <w:rtl/>
        </w:rPr>
        <w:t xml:space="preserve"> מי היו </w:t>
      </w:r>
      <w:proofErr w:type="spellStart"/>
      <w:r>
        <w:rPr>
          <w:rtl/>
        </w:rPr>
        <w:t>הארבעה־עשר</w:t>
      </w:r>
      <w:proofErr w:type="spellEnd"/>
      <w:r>
        <w:rPr>
          <w:rtl/>
        </w:rPr>
        <w:t xml:space="preserve">: בנו הבכור של ר׳ חיים [אבי המרואיין], ר׳ </w:t>
      </w:r>
      <w:proofErr w:type="spellStart"/>
      <w:r>
        <w:rPr>
          <w:rtl/>
        </w:rPr>
        <w:t>ישראל־גרשון</w:t>
      </w:r>
      <w:proofErr w:type="spellEnd"/>
      <w:r>
        <w:rPr>
          <w:rtl/>
        </w:rPr>
        <w:t xml:space="preserve">, ורעייתו; בנו הצעיר ר׳ יצחק־זאב ורעייתו; שמונת ילדיו של ר׳ </w:t>
      </w:r>
      <w:proofErr w:type="spellStart"/>
      <w:r>
        <w:rPr>
          <w:rtl/>
        </w:rPr>
        <w:t>ישראל־גרשון</w:t>
      </w:r>
      <w:proofErr w:type="spellEnd"/>
      <w:r>
        <w:rPr>
          <w:rtl/>
        </w:rPr>
        <w:t xml:space="preserve"> שהיו אז בחיים [ובהם המרואיין, שנולד </w:t>
      </w:r>
      <w:proofErr w:type="spellStart"/>
      <w:r>
        <w:rPr>
          <w:rtl/>
        </w:rPr>
        <w:t>בתרע״ו</w:t>
      </w:r>
      <w:proofErr w:type="spellEnd"/>
      <w:r>
        <w:rPr>
          <w:rtl/>
        </w:rPr>
        <w:t xml:space="preserve">]; ושני ילדיו של ר׳ יצחק־זאב [הצעיר היה </w:t>
      </w:r>
      <w:proofErr w:type="spellStart"/>
      <w:r>
        <w:rPr>
          <w:rtl/>
        </w:rPr>
        <w:t xml:space="preserve">יושע־בערל</w:t>
      </w:r>
      <w:proofErr w:type="spellEnd"/>
      <w:r>
        <w:rPr>
          <w:rtl/>
        </w:rPr>
        <w:t xml:space="preserve">, שנולד </w:t>
      </w:r>
      <w:proofErr w:type="spellStart"/>
      <w:r>
        <w:rPr>
          <w:rtl/>
        </w:rPr>
        <w:t>בתרע״ו</w:t>
      </w:r>
      <w:proofErr w:type="spellEnd"/>
      <w:r>
        <w:rPr>
          <w:rtl/>
        </w:rPr>
        <w:t xml:space="preserve">]. שני ילדיו האמצעיים של ר׳ חיים – בתו היחידה </w:t>
      </w:r>
      <w:proofErr w:type="spellStart"/>
      <w:r>
        <w:rPr>
          <w:rtl/>
        </w:rPr>
        <w:t>שרה־ראשקה</w:t>
      </w:r>
      <w:proofErr w:type="spellEnd"/>
      <w:r>
        <w:rPr>
          <w:rtl/>
        </w:rPr>
        <w:t>, אשת ר׳ הירש (</w:t>
      </w:r>
      <w:proofErr w:type="spellStart"/>
      <w:r>
        <w:rPr>
          <w:rtl/>
        </w:rPr>
        <w:t>צבי־דוב</w:t>
      </w:r>
      <w:proofErr w:type="spellEnd"/>
      <w:r>
        <w:rPr>
          <w:rtl/>
        </w:rPr>
        <w:t xml:space="preserve">) גליקסון מוורשה, ובנו ר׳ משה, שהיה רבה של </w:t>
      </w:r>
      <w:proofErr w:type="spellStart"/>
      <w:r>
        <w:rPr>
          <w:rtl/>
        </w:rPr>
        <w:t>חסלוויץ</w:t>
      </w:r>
      <w:proofErr w:type="spellEnd"/>
      <w:r>
        <w:rPr>
          <w:rtl/>
        </w:rPr>
        <w:t>׳</w:t>
      </w:r>
      <w:bookmarkStart w:id="6943" w:name="_fnr5330"/>
      <w:r>
        <w:rPr>
          <w:rStyle w:val="a5"/>
        </w:rPr>
        <w:footnoteReference w:id="5344" w:customMarkFollows="0"/>
      </w:r>
      <w:bookmarkEnd w:id="6943"/>
      <w:r>
        <w:rPr>
          <w:rtl/>
        </w:rPr>
        <w:t xml:space="preserve"> – לא היו אז עם אביהם במינסק, אלא במקומות מגוריהם: היא תחת הכיבוש הגרמני בוורשה, והוא בעומק רוסיה.</w:t>
      </w:r>
    </w:p>
    <w:p w14:paraId="76A9C623" w14:textId="77777777" w:rsidR="00AB3647" w:rsidRDefault="00000000" w:rsidP="007923E9">
      <w:pPr>
        <w:spacing w:after="120" w:line="276" w:lineRule="auto"/>
        <w:ind w:firstLine="283"/>
        <w:jc w:val="both"/>
      </w:pPr>
      <w:r>
        <w:rPr>
          <w:rtl/>
        </w:rPr>
        <w:t xml:space="preserve">מאמר </w:t>
      </w:r>
      <w:proofErr w:type="spellStart"/>
      <w:r>
        <w:rPr>
          <w:rtl/>
        </w:rPr>
        <w:t>ב“קולמוס</w:t>
      </w:r>
      <w:proofErr w:type="spellEnd"/>
      <w:r>
        <w:rPr>
          <w:rtl/>
        </w:rPr>
        <w:t xml:space="preserve"> הלב”</w:t>
      </w:r>
      <w:bookmarkStart w:id="6944" w:name="_fnr5331"/>
      <w:r>
        <w:rPr>
          <w:rStyle w:val="a5"/>
        </w:rPr>
        <w:footnoteReference w:id="5345" w:customMarkFollows="0"/>
      </w:r>
      <w:bookmarkEnd w:id="6944"/>
      <w:r>
        <w:rPr>
          <w:rtl/>
        </w:rPr>
        <w:t xml:space="preserve">, </w:t>
      </w:r>
      <w:proofErr w:type="spellStart"/>
      <w:r>
        <w:rPr>
          <w:rtl/>
        </w:rPr>
        <w:t>שתומלל</w:t>
      </w:r>
      <w:proofErr w:type="spellEnd"/>
      <w:r>
        <w:rPr>
          <w:rtl/>
        </w:rPr>
        <w:t xml:space="preserve"> מתוך שיחה מוקלטת של ר׳ אברהם </w:t>
      </w:r>
      <w:proofErr w:type="spellStart"/>
      <w:r>
        <w:rPr>
          <w:rtl/>
        </w:rPr>
        <w:t>קלמנוביץ</w:t>
      </w:r>
      <w:bookmarkStart w:id="6945" w:name="_fnr5332"/>
      <w:proofErr w:type="spellEnd"/>
      <w:r>
        <w:rPr>
          <w:rStyle w:val="a5"/>
        </w:rPr>
        <w:footnoteReference w:id="5346" w:customMarkFollows="0"/>
      </w:r>
      <w:bookmarkEnd w:id="6945"/>
      <w:r>
        <w:rPr>
          <w:rtl/>
        </w:rPr>
        <w:t xml:space="preserve">, אומר שר׳ חיים נמלט למינסק כבר </w:t>
      </w:r>
      <w:proofErr w:type="spellStart"/>
      <w:r>
        <w:rPr>
          <w:rtl/>
        </w:rPr>
        <w:t>בתרע״ד</w:t>
      </w:r>
      <w:proofErr w:type="spellEnd"/>
      <w:r>
        <w:rPr>
          <w:rtl/>
        </w:rPr>
        <w:t xml:space="preserve">, ושגם ר׳ הירש גליקסון ורעייתו היו שם. ייתכן שזמן מה לאחר מכן, כשהרעב גבר על הפליטים, חצו ר׳ </w:t>
      </w:r>
      <w:proofErr w:type="spellStart"/>
      <w:r>
        <w:rPr>
          <w:rtl/>
        </w:rPr>
        <w:t>צבי־דוב</w:t>
      </w:r>
      <w:proofErr w:type="spellEnd"/>
      <w:r>
        <w:rPr>
          <w:rtl/>
        </w:rPr>
        <w:t xml:space="preserve"> ורעייתו איכשהו את קווי הלחימה, נסוגו אל הצד הכבוש בידי הגרמנים והגיעו לוורשה. מובן שמשכבשו הגרמנים את מינסק בפברואר 1918 הייתה הדרך לוורשה פתוחה, ולא היה עוד צורך לחצות קווי לחימה כדי להגיע למינסק מוורשה; אבל ברגר בוודאי כותב על תקופה שקדמה לכיבוש הגרמני.</w:t>
      </w:r>
    </w:p>
    <w:p w14:paraId="6A2325B9" w14:textId="77777777" w:rsidR="00AB3647" w:rsidRDefault="00000000" w:rsidP="007923E9">
      <w:pPr>
        <w:spacing w:after="120" w:line="276" w:lineRule="auto"/>
        <w:ind w:firstLine="283"/>
        <w:jc w:val="both"/>
      </w:pPr>
      <w:r>
        <w:rPr>
          <w:rtl/>
        </w:rPr>
        <w:t xml:space="preserve">במאמרו מספר ברגר, שנתמנה לחבר ועדת האספקה העירונית של מינסק כאחד משלושת נציגי האוכלוסייה היהודית בעיר: “סיפרתי לראש הוועדה, </w:t>
      </w:r>
      <w:proofErr w:type="spellStart"/>
      <w:r>
        <w:rPr>
          <w:rtl/>
        </w:rPr>
        <w:t>איגנצי</w:t>
      </w:r>
      <w:proofErr w:type="spellEnd"/>
      <w:r>
        <w:rPr>
          <w:rtl/>
        </w:rPr>
        <w:t xml:space="preserve"> </w:t>
      </w:r>
      <w:proofErr w:type="spellStart"/>
      <w:r>
        <w:rPr>
          <w:rtl/>
        </w:rPr>
        <w:t>ויטקביץ</w:t>
      </w:r>
      <w:proofErr w:type="spellEnd"/>
      <w:r>
        <w:rPr>
          <w:rtl/>
        </w:rPr>
        <w:t>׳, עורך דין פולני, [את העובדות הללו על ר׳ חיים], ותדהמתו לא ידעה גבול. ‘אילולא אתה הוא המספר לי׳, אמר, ‘לא הייתי מאמין שיש עוד אנשים בעלי מידות מוסריות נעלות כל כך, המוכנים לרעוב ולהניח לכל משפחתם לרעוב, ובלבד שלא יגרעו מאחרים’”.</w:t>
      </w:r>
    </w:p>
    <w:p w14:paraId="616B1188" w14:textId="77777777" w:rsidR="00AB3647" w:rsidRDefault="00000000" w:rsidP="007923E9">
      <w:pPr>
        <w:spacing w:after="120" w:line="276" w:lineRule="auto"/>
        <w:ind w:firstLine="283"/>
        <w:jc w:val="both"/>
      </w:pPr>
      <w:r>
        <w:rPr>
          <w:rtl/>
        </w:rPr>
        <w:t xml:space="preserve">בשיחת “קולמוס הלב” סיפר ר׳ אברהם </w:t>
      </w:r>
      <w:proofErr w:type="spellStart"/>
      <w:r>
        <w:rPr>
          <w:rtl/>
        </w:rPr>
        <w:t>קלמנוביץ</w:t>
      </w:r>
      <w:bookmarkStart w:id="6946" w:name="_fnr5333"/>
      <w:proofErr w:type="spellEnd"/>
      <w:r>
        <w:rPr>
          <w:rStyle w:val="a5"/>
        </w:rPr>
        <w:footnoteReference w:id="5347" w:customMarkFollows="0"/>
      </w:r>
      <w:bookmarkEnd w:id="6946"/>
      <w:r>
        <w:rPr>
          <w:rtl/>
        </w:rPr>
        <w:t xml:space="preserve"> שר׳ חיים הסתגר בביתו כדי להימנע ממגע עם בני מינסק, מפני שהרמב״ם פוסק</w:t>
      </w:r>
      <w:bookmarkStart w:id="6947" w:name="_fnr5334"/>
      <w:r>
        <w:rPr>
          <w:rStyle w:val="a5"/>
        </w:rPr>
        <w:footnoteReference w:id="5348" w:customMarkFollows="0"/>
      </w:r>
      <w:bookmarkEnd w:id="6947"/>
      <w:r>
        <w:rPr>
          <w:rtl/>
        </w:rPr>
        <w:t xml:space="preserve"> שאין להתערב באנשי רשע, אלא “ילך למקום שאנשיה צדיקים ונוהגים בדרך טובים; ואם היו כל המדינות שהוא יודעם ושומע שמועתן נוהגים בדרך לא טובה, כמו זמננו, או שאינו יכול ללכת למדינה שמנהגותיה טובים, מפני הגייסות או מפני החולי – ישב לבדו יחידי”</w:t>
      </w:r>
      <w:bookmarkStart w:id="6948" w:name="_fnr5335"/>
      <w:r>
        <w:rPr>
          <w:rStyle w:val="a5"/>
        </w:rPr>
        <w:footnoteReference w:id="5349" w:customMarkFollows="0"/>
      </w:r>
      <w:bookmarkEnd w:id="6948"/>
      <w:r>
        <w:rPr>
          <w:rtl/>
        </w:rPr>
        <w:t xml:space="preserve">. ר׳ חיים ראה בבני מינסק רשעים, משום ששיכנו </w:t>
      </w:r>
      <w:r>
        <w:rPr>
          <w:rtl/>
        </w:rPr>
        <w:lastRenderedPageBreak/>
        <w:t>את הפליטים בבתי הכנסת במקום להכניסם לבתיהם, ומשום שרשמו את ילדי הפליטים לבתי ספר לא דתיים.</w:t>
      </w:r>
    </w:p>
    <w:p w14:paraId="638C7AC0" w14:textId="77777777" w:rsidR="00AB3647" w:rsidRDefault="00000000" w:rsidP="007923E9">
      <w:pPr>
        <w:spacing w:after="120" w:line="276" w:lineRule="auto"/>
        <w:ind w:firstLine="283"/>
        <w:jc w:val="both"/>
      </w:pPr>
      <w:r>
        <w:rPr>
          <w:rtl/>
        </w:rPr>
        <w:t xml:space="preserve">עוד סיפר ר׳ אברהם </w:t>
      </w:r>
      <w:proofErr w:type="spellStart"/>
      <w:r>
        <w:rPr>
          <w:rtl/>
        </w:rPr>
        <w:t>קלמנוביץ</w:t>
      </w:r>
      <w:proofErr w:type="spellEnd"/>
      <w:r>
        <w:rPr>
          <w:rtl/>
        </w:rPr>
        <w:t xml:space="preserve"> שהשיג מראש ועדת הסיוע חצי שק קמח לבן </w:t>
      </w:r>
      <w:proofErr w:type="spellStart"/>
      <w:r>
        <w:rPr>
          <w:rtl/>
        </w:rPr>
        <w:t>לר</w:t>
      </w:r>
      <w:proofErr w:type="spellEnd"/>
      <w:r>
        <w:rPr>
          <w:rtl/>
        </w:rPr>
        <w:t xml:space="preserve">׳ חיים, שלא היה מסוגל לאכול לחם שחור (אולי בגלל מחלת הכבד שלו), והביאו אליו בלי לגלות את מקורו. כשנודע </w:t>
      </w:r>
      <w:proofErr w:type="spellStart"/>
      <w:r>
        <w:rPr>
          <w:rtl/>
        </w:rPr>
        <w:t>לר</w:t>
      </w:r>
      <w:proofErr w:type="spellEnd"/>
      <w:r>
        <w:rPr>
          <w:rtl/>
        </w:rPr>
        <w:t>׳ חיים, מהתפארותו של יושב ראש הוועדה</w:t>
      </w:r>
      <w:bookmarkStart w:id="6949" w:name="_fnr5336"/>
      <w:r>
        <w:rPr>
          <w:rStyle w:val="a5"/>
        </w:rPr>
        <w:footnoteReference w:id="5350" w:customMarkFollows="0"/>
      </w:r>
      <w:bookmarkEnd w:id="6949"/>
      <w:r>
        <w:rPr>
          <w:rtl/>
        </w:rPr>
        <w:t xml:space="preserve">, מניין בא הקמח, “החל לצעוק: ‘מה?! אוי לי! [בתי,] </w:t>
      </w:r>
      <w:proofErr w:type="spellStart"/>
      <w:r>
        <w:rPr>
          <w:rtl/>
        </w:rPr>
        <w:t>שרה־ראשקה</w:t>
      </w:r>
      <w:proofErr w:type="spellEnd"/>
      <w:r>
        <w:rPr>
          <w:rtl/>
        </w:rPr>
        <w:t xml:space="preserve"> [גליקסון], קחי זאת מיד בחזרה; וכי חסרים עניים לחלק להם זאת?!’ ולא נח ולא שקט ולא נרגע עד ששכרו עגלון להחזיר את הקמח”.</w:t>
      </w:r>
    </w:p>
    <w:p w14:paraId="1F4E0A9E" w14:textId="77777777" w:rsidR="00AB3647" w:rsidRDefault="00000000" w:rsidP="007923E9">
      <w:pPr>
        <w:spacing w:after="120" w:line="276" w:lineRule="auto"/>
        <w:ind w:firstLine="283"/>
        <w:jc w:val="both"/>
      </w:pPr>
      <w:r>
        <w:rPr>
          <w:rtl/>
        </w:rPr>
        <w:t xml:space="preserve">אבל ר׳ </w:t>
      </w:r>
      <w:proofErr w:type="spellStart"/>
      <w:r>
        <w:rPr>
          <w:rtl/>
        </w:rPr>
        <w:t>משולם־דוד</w:t>
      </w:r>
      <w:proofErr w:type="spellEnd"/>
      <w:r>
        <w:rPr>
          <w:rtl/>
        </w:rPr>
        <w:t xml:space="preserve"> </w:t>
      </w:r>
      <w:proofErr w:type="spellStart"/>
      <w:r>
        <w:rPr>
          <w:rtl/>
        </w:rPr>
        <w:t>סולובייצ׳יק</w:t>
      </w:r>
      <w:proofErr w:type="spellEnd"/>
      <w:r>
        <w:rPr>
          <w:rtl/>
        </w:rPr>
        <w:t xml:space="preserve"> שמע מאביו הסבר אחר לכך שרופא במינסק, שבדק את ר׳ חיים כשהיה בן שישים וארבע בלבד, מצא לתדהמתו שגופו כגוף אדם בן יותר מתשעים: ר׳ חיים אימץ את מוחו בשישים וארבע שנותיו כמו שאדם רגיל מאמץ אותו בתשעים שנה – והדבר התיש את גופו.</w:t>
      </w:r>
    </w:p>
    <w:p w14:paraId="0FFA1456" w14:textId="77777777" w:rsidR="00AB3647" w:rsidRDefault="00000000" w:rsidP="007923E9">
      <w:pPr>
        <w:spacing w:after="120" w:line="276" w:lineRule="auto"/>
        <w:ind w:firstLine="283"/>
        <w:jc w:val="both"/>
      </w:pPr>
      <w:r>
        <w:rPr>
          <w:rtl/>
        </w:rPr>
        <w:t xml:space="preserve">רבנו העלה פעם רעיון זה בנוכחותי. בביקורו האחרון בישראל שאל עסקן ומגייס כספים פעיל מאוד, שהיה בתחילת שנות החמישים לחייו, מדוע הוא נראה זקן הרבה יותר מכפי גילו, והלה השיב: “הגיל אינו תלוי בלוח השנה אלא </w:t>
      </w:r>
      <w:proofErr w:type="spellStart"/>
      <w:r>
        <w:rPr>
          <w:rtl/>
        </w:rPr>
        <w:t>ב‘קילומטרים</w:t>
      </w:r>
      <w:proofErr w:type="spellEnd"/>
      <w:r>
        <w:rPr>
          <w:rtl/>
        </w:rPr>
        <w:t xml:space="preserve">’ שעבר האדם – ואני עברתי הרבה מאוד”. אבי הביע את הסכמתו לדברים אלה כשציטט את פירוש המשניות לרמב״ם על המשנה האחרונה בפרק הראשון של מסכת ברכות, המסביר מדוע היה התנא רבי אלעזר בן עזריה בעל שיער שיבה בגיל </w:t>
      </w:r>
      <w:proofErr w:type="spellStart"/>
      <w:r>
        <w:rPr>
          <w:rtl/>
        </w:rPr>
        <w:t>שמונה־עשרה</w:t>
      </w:r>
      <w:proofErr w:type="spellEnd"/>
      <w:r>
        <w:rPr>
          <w:rtl/>
        </w:rPr>
        <w:t xml:space="preserve">: “והיה מרבה לשנות וללמוד ולקרות יום ולילה עד אשר תשש </w:t>
      </w:r>
      <w:proofErr w:type="spellStart"/>
      <w:r>
        <w:rPr>
          <w:rtl/>
        </w:rPr>
        <w:t>כחו</w:t>
      </w:r>
      <w:proofErr w:type="spellEnd"/>
      <w:r>
        <w:rPr>
          <w:rtl/>
        </w:rPr>
        <w:t xml:space="preserve"> ונזרקה בו שיבה, וחזר כזקן בן שבעים שנה”.</w:t>
      </w:r>
    </w:p>
    <w:p w14:paraId="07EADEEB" w14:textId="77777777" w:rsidR="00AB3647" w:rsidRDefault="00000000" w:rsidP="007923E9">
      <w:pPr>
        <w:spacing w:after="120" w:line="276" w:lineRule="auto"/>
        <w:ind w:firstLine="283"/>
        <w:jc w:val="both"/>
      </w:pPr>
      <w:r>
        <w:rPr>
          <w:rtl/>
        </w:rPr>
        <w:t xml:space="preserve">בניגוד לתזה של ר׳ משה </w:t>
      </w:r>
      <w:proofErr w:type="spellStart"/>
      <w:r>
        <w:rPr>
          <w:rtl/>
        </w:rPr>
        <w:t>סולובייצ׳יק</w:t>
      </w:r>
      <w:proofErr w:type="spellEnd"/>
      <w:r>
        <w:rPr>
          <w:rtl/>
        </w:rPr>
        <w:t xml:space="preserve">, ששנות הרעב בגלותו של ר׳ חיים במינסק החלישו את גופו, גישתו של ר׳ יצחק־זאב מניחה הידרדרות מתמדת במצבו של אביו לאורך כל חייו – וזה יכול להתיישב עם מה שדיווחו יעקב מארק ור׳ קופל </w:t>
      </w:r>
      <w:proofErr w:type="spellStart"/>
      <w:r>
        <w:rPr>
          <w:rtl/>
        </w:rPr>
        <w:t>וולפרט</w:t>
      </w:r>
      <w:proofErr w:type="spellEnd"/>
      <w:r>
        <w:rPr>
          <w:rtl/>
        </w:rPr>
        <w:t xml:space="preserve"> על חוליו של ר׳ חיים שנים רבות לפני מצוקותיו במינסק.</w:t>
      </w:r>
    </w:p>
    <w:bookmarkStart w:id="6950" w:name="b5_excJ"/>
    <w:p w14:paraId="58768F46" w14:textId="77777777" w:rsidR="00AB3647" w:rsidRDefault="00000000" w:rsidP="007923E9">
      <w:pPr>
        <w:pStyle w:val="3"/>
        <w:spacing w:line="276" w:lineRule="auto"/>
      </w:pPr>
      <w:r>
        <w:lastRenderedPageBreak/>
        <w:fldChar w:fldCharType="begin" w:dirty="true"/>
      </w:r>
      <w:r>
        <w:rPr>
          <w:rtl w:val="0"/>
        </w:rPr>
        <w:instrText>HYPERLINK \l "b5_note84</w:instrText>
      </w:r>
      <w:r>
        <w:instrText>"</w:instrText>
      </w:r>
      <w:r>
        <w:fldChar w:fldCharType="separate"/>
      </w:r>
      <w:r>
        <w:t>נספח י</w:t>
      </w:r>
      <w:r>
        <w:fldChar w:fldCharType="end"/>
      </w:r>
      <w:bookmarkEnd w:id="6950"/>
    </w:p>
    <w:p w14:paraId="57634938" w14:textId="77777777" w:rsidR="00AB3647" w:rsidRDefault="00000000" w:rsidP="007923E9">
      <w:pPr>
        <w:pStyle w:val="af"/>
        <w:spacing w:line="276" w:lineRule="auto"/>
        <w:ind w:firstLine="340"/>
      </w:pPr>
      <w:r>
        <w:t xml:space="preserve">על לבושו הרבני של ר׳ חיים </w:t>
      </w:r>
      <w:proofErr w:type="spellStart"/>
      <w:r>
        <w:t>סולובייצ׳יק</w:t>
      </w:r>
      <w:proofErr w:type="spellEnd"/>
      <w:r>
        <w:t xml:space="preserve"> ועל יחסו אליו</w:t>
      </w:r>
    </w:p>
    <w:p w14:paraId="16FCCC8D" w14:textId="77777777" w:rsidR="00AB3647" w:rsidRDefault="00000000" w:rsidP="007923E9">
      <w:pPr>
        <w:pStyle w:val="5"/>
        <w:spacing w:line="276" w:lineRule="auto"/>
      </w:pPr>
      <w:r>
        <w:t xml:space="preserve">ר׳ חיים </w:t>
      </w:r>
      <w:proofErr w:type="spellStart"/>
      <w:r>
        <w:t>סולובייצ׳יק</w:t>
      </w:r>
      <w:proofErr w:type="spellEnd"/>
      <w:r>
        <w:t xml:space="preserve"> מלמד בעלי בתים במינסק – הוא עניו במידה מופלגת – הוא בא </w:t>
      </w:r>
      <w:proofErr w:type="spellStart"/>
      <w:r>
        <w:t>למזריטש</w:t>
      </w:r>
      <w:proofErr w:type="spellEnd"/>
      <w:r>
        <w:t xml:space="preserve"> – הבגדים אינם בעיניו סימן לקדושה – הוא מצטער על שעליו לכהן ברבנות – הוא מפגין </w:t>
      </w:r>
      <w:proofErr w:type="spellStart"/>
      <w:r>
        <w:t>אי־שגרתיות</w:t>
      </w:r>
      <w:proofErr w:type="spellEnd"/>
      <w:r>
        <w:t xml:space="preserve"> – גם רבנו אינו מחבב לבוש רבני.</w:t>
      </w:r>
    </w:p>
    <w:p w14:paraId="7B400394" w14:textId="77777777" w:rsidR="00AB3647" w:rsidRDefault="00000000" w:rsidP="007923E9">
      <w:pPr>
        <w:spacing w:after="120" w:line="276" w:lineRule="auto"/>
        <w:ind w:firstLine="283"/>
        <w:jc w:val="both"/>
      </w:pPr>
      <w:r>
        <w:rPr>
          <w:rtl/>
        </w:rPr>
        <w:t xml:space="preserve">מעשה הממחיש הלכה למעשה שר׳ חיים ראה את עצמו “יהודי פשוט” סיפר ר׳ </w:t>
      </w:r>
      <w:proofErr w:type="spellStart"/>
      <w:r>
        <w:rPr>
          <w:rtl/>
        </w:rPr>
        <w:t>שלום־נח</w:t>
      </w:r>
      <w:proofErr w:type="spellEnd"/>
      <w:r>
        <w:rPr>
          <w:rtl/>
        </w:rPr>
        <w:t xml:space="preserve"> </w:t>
      </w:r>
      <w:proofErr w:type="spellStart"/>
      <w:r>
        <w:rPr>
          <w:rtl/>
        </w:rPr>
        <w:t>ברזובסקי</w:t>
      </w:r>
      <w:proofErr w:type="spellEnd"/>
      <w:r>
        <w:rPr>
          <w:rtl/>
        </w:rPr>
        <w:t>, האדמו״ר הקודם מסלונים</w:t>
      </w:r>
      <w:bookmarkStart w:id="6951" w:name="_fnr5337"/>
      <w:r>
        <w:rPr>
          <w:rStyle w:val="a5"/>
        </w:rPr>
        <w:footnoteReference w:id="5351" w:customMarkFollows="0"/>
      </w:r>
      <w:bookmarkEnd w:id="6951"/>
      <w:r>
        <w:rPr>
          <w:rtl/>
        </w:rPr>
        <w:t xml:space="preserve">. אדמו״ר מוקדם יותר מסלונים, ר׳ שמואל ויינברג, שלח את אחיינו, ר׳ אברהם ויינברג – לימים, </w:t>
      </w:r>
      <w:proofErr w:type="spellStart"/>
      <w:r>
        <w:rPr>
          <w:rtl/>
        </w:rPr>
        <w:t>בתשי״ד</w:t>
      </w:r>
      <w:proofErr w:type="spellEnd"/>
      <w:r>
        <w:rPr>
          <w:rtl/>
        </w:rPr>
        <w:t xml:space="preserve">, האדמו״ר מסלונים, וחותנו של ר׳ </w:t>
      </w:r>
      <w:proofErr w:type="spellStart"/>
      <w:r>
        <w:rPr>
          <w:rtl/>
        </w:rPr>
        <w:t>שלום־נח</w:t>
      </w:r>
      <w:proofErr w:type="spellEnd"/>
      <w:r>
        <w:rPr>
          <w:rtl/>
        </w:rPr>
        <w:t xml:space="preserve"> – אל ר׳ חיים </w:t>
      </w:r>
      <w:proofErr w:type="spellStart"/>
      <w:r>
        <w:rPr>
          <w:rtl/>
        </w:rPr>
        <w:t>סולובייצ׳יק</w:t>
      </w:r>
      <w:proofErr w:type="spellEnd"/>
      <w:r>
        <w:rPr>
          <w:rtl/>
        </w:rPr>
        <w:t xml:space="preserve"> בעניינים מסוימים של אגודת ישראל; האדמו״ר היה פעיל בארגון בראשיתו. ר׳ אברהם נכנס אל ר׳ חיים כשזה לימד קבוצת בעלי בתים בבית מדרש, ושמע אותו מלמד את הגמרא</w:t>
      </w:r>
      <w:bookmarkStart w:id="6952" w:name="_fnr5338"/>
      <w:r>
        <w:rPr>
          <w:rStyle w:val="a5"/>
        </w:rPr>
        <w:footnoteReference w:id="5352" w:customMarkFollows="0"/>
      </w:r>
      <w:bookmarkEnd w:id="6952"/>
      <w:r>
        <w:rPr>
          <w:rtl/>
        </w:rPr>
        <w:t xml:space="preserve"> האומרת שבאחת משלוש העבירות החמורות חייב אדם למסור את נפשו ולא לעבור עליה – ייהרג ואל יעבור.</w:t>
      </w:r>
    </w:p>
    <w:p w14:paraId="61D6341B" w14:textId="77777777" w:rsidR="00AB3647" w:rsidRDefault="00000000" w:rsidP="007923E9">
      <w:pPr>
        <w:spacing w:after="120" w:line="276" w:lineRule="auto"/>
        <w:ind w:firstLine="283"/>
        <w:jc w:val="both"/>
      </w:pPr>
      <w:r>
        <w:rPr>
          <w:rtl/>
        </w:rPr>
        <w:t xml:space="preserve">ר׳ חיים הסביר שבעבודה זרה ובגילוי עריות, אילו איימו על אדם במוות, היה מותר לו לעבור עליהן, אלמלא דרשה המלמדת שעליו למסור את נפשו ולא לעשות עבירות אלה. אבל ברציחה, העבירה החמורה השלישית, אומרת הגמרא שאין צורך בדרשה כדי להוכיח שאסור להרוג כדי להציל את עצמו: ההיגיון הפשוט מחייב שאדם ימסור את נפשו ולא יהרוג את חברו, שהרי “מאי חזית </w:t>
      </w:r>
      <w:proofErr w:type="spellStart"/>
      <w:r>
        <w:rPr>
          <w:rtl/>
        </w:rPr>
        <w:t>דדמא</w:t>
      </w:r>
      <w:proofErr w:type="spellEnd"/>
      <w:r>
        <w:rPr>
          <w:rtl/>
        </w:rPr>
        <w:t xml:space="preserve"> דידך סומק טפי, דילמא </w:t>
      </w:r>
      <w:proofErr w:type="spellStart"/>
      <w:r>
        <w:rPr>
          <w:rtl/>
        </w:rPr>
        <w:t>דמא</w:t>
      </w:r>
      <w:proofErr w:type="spellEnd"/>
      <w:r>
        <w:rPr>
          <w:rtl/>
        </w:rPr>
        <w:t xml:space="preserve"> </w:t>
      </w:r>
      <w:proofErr w:type="spellStart"/>
      <w:r>
        <w:rPr>
          <w:rtl/>
        </w:rPr>
        <w:t>דחברך</w:t>
      </w:r>
      <w:proofErr w:type="spellEnd"/>
      <w:r>
        <w:rPr>
          <w:rtl/>
        </w:rPr>
        <w:t xml:space="preserve"> סומק טפי”. כשביאר ר׳ חיים את הגמרא לשומעיו, הביא דוגמה ואמר: “למשל: אם מישהו מאיים עליי ‘או שתהרוג את יוסל שואב המים, או שנהרוג אותך’, ברור שאינני יכול להרוג אותו כדי להציל את עצמי, מפני שבשום פנים אין חייו של חיים </w:t>
      </w:r>
      <w:proofErr w:type="spellStart"/>
      <w:r>
        <w:rPr>
          <w:rtl/>
        </w:rPr>
        <w:t>סולובייצ׳יק</w:t>
      </w:r>
      <w:proofErr w:type="spellEnd"/>
      <w:r>
        <w:rPr>
          <w:rtl/>
        </w:rPr>
        <w:t xml:space="preserve"> ראויים יותר מחייו של יוסל שואב המים”.</w:t>
      </w:r>
    </w:p>
    <w:p w14:paraId="7199ED03" w14:textId="77777777" w:rsidR="00AB3647" w:rsidRDefault="00000000" w:rsidP="007923E9">
      <w:pPr>
        <w:spacing w:after="120" w:line="276" w:lineRule="auto"/>
        <w:ind w:firstLine="283"/>
        <w:jc w:val="both"/>
      </w:pPr>
      <w:r>
        <w:rPr>
          <w:rtl/>
        </w:rPr>
        <w:t>הדין שכל היהודים נחשבים שווים ודאי אמת. אבל העובדה שר׳ חיים לא נזקק להסביר מדוע חיי גדול מן המעלה העליונה, כמותו</w:t>
      </w:r>
      <w:bookmarkStart w:id="6953" w:name="_fnr5339"/>
      <w:r>
        <w:rPr>
          <w:rStyle w:val="a5"/>
        </w:rPr>
        <w:footnoteReference w:id="5353" w:customMarkFollows="0"/>
      </w:r>
      <w:bookmarkEnd w:id="6953"/>
      <w:r>
        <w:rPr>
          <w:rtl/>
        </w:rPr>
        <w:t xml:space="preserve">, אינם שווים יותר </w:t>
      </w:r>
      <w:proofErr w:type="spellStart"/>
      <w:r>
        <w:rPr>
          <w:rtl/>
        </w:rPr>
        <w:t>מחיי</w:t>
      </w:r>
      <w:proofErr w:type="spellEnd"/>
      <w:r>
        <w:rPr>
          <w:rtl/>
        </w:rPr>
        <w:t xml:space="preserve"> יהודי פשוט</w:t>
      </w:r>
      <w:bookmarkStart w:id="6954" w:name="_fnr5340"/>
      <w:r>
        <w:rPr>
          <w:rStyle w:val="a5"/>
        </w:rPr>
        <w:footnoteReference w:id="5354" w:customMarkFollows="0"/>
      </w:r>
      <w:bookmarkEnd w:id="6954"/>
      <w:r>
        <w:rPr>
          <w:rtl/>
        </w:rPr>
        <w:t xml:space="preserve">, מגלה שראה את עצמו בדיוק כפי שתיאר את עצמו לפני תלמידי </w:t>
      </w:r>
      <w:proofErr w:type="spellStart"/>
      <w:r>
        <w:rPr>
          <w:rtl/>
        </w:rPr>
        <w:t>סלבודקה</w:t>
      </w:r>
      <w:proofErr w:type="spellEnd"/>
      <w:r>
        <w:rPr>
          <w:rtl/>
        </w:rPr>
        <w:t xml:space="preserve">: “א </w:t>
      </w:r>
      <w:proofErr w:type="spellStart"/>
      <w:r>
        <w:rPr>
          <w:rtl/>
        </w:rPr>
        <w:t>פשוטער</w:t>
      </w:r>
      <w:proofErr w:type="spellEnd"/>
      <w:r>
        <w:rPr>
          <w:rtl/>
        </w:rPr>
        <w:t xml:space="preserve"> מענטש”.</w:t>
      </w:r>
    </w:p>
    <w:p w14:paraId="392679EF" w14:textId="4E0E29B8" w:rsidR="00AB3647" w:rsidRDefault="00000000" w:rsidP="007923E9">
      <w:pPr>
        <w:spacing w:after="120" w:line="276" w:lineRule="auto"/>
        <w:ind w:firstLine="283"/>
        <w:jc w:val="both"/>
      </w:pPr>
      <w:r>
        <w:rPr>
          <w:rtl/>
        </w:rPr>
        <w:t>הוא היה עניו מאוד בכלל – אולי עד כדי כך שענוותו גבלה בתכונה שייחס לעצמו במכתב המצוטט ב</w:t>
      </w:r>
      <w:r>
        <w:rPr>
          <w:rtl/>
        </w:rPr>
        <w:fldChar w:fldCharType="begin" w:dirty="true"/>
      </w:r>
      <w:r>
        <w:rPr>
          <w:rtl/>
        </w:rPr>
        <w:instrText xml:space="preserve"> REF b5_excI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w:t>
      </w:r>
      <w:r>
        <w:rPr>
          <w:rtl/>
        </w:rPr>
        <w:fldChar w:fldCharType="end"/>
      </w:r>
      <w:r>
        <w:rPr>
          <w:rtl/>
        </w:rPr>
        <w:t xml:space="preserve"> לעיל: שפלות הדעת</w:t>
      </w:r>
      <w:bookmarkStart w:id="6955" w:name="_fnr5341"/>
      <w:bookmarkEnd w:id="6955"/>
      <w:r>
        <w:rPr>
          <w:rStyle w:val="a5"/>
        </w:rPr>
        <w:t/>
      </w:r>
      <w:bookmarkStart w:id="7059" w:name="_TranslatorNote_5406"/>
      <w:r>
        <w:rPr>
          <w:rStyle w:val="a5"/>
          <w:vertAlign w:val="superscript"/>
          <w:rtl/>
        </w:rPr>
        <w:footnoteReference w:id="5355" w:customMarkFollows="1"/>
        <w:t>*</w:t>
      </w:r>
      <w:bookmarkEnd w:id="7059"/>
      <w:r>
        <w:rPr>
          <w:rtl/>
        </w:rPr>
        <w:t>. הדבר מודגם במעשה שסיפר בנו ר׳ משה</w:t>
      </w:r>
      <w:bookmarkStart w:id="6956" w:name="_fnr5342"/>
      <w:r>
        <w:rPr>
          <w:rStyle w:val="a5"/>
        </w:rPr>
        <w:footnoteReference w:id="5356" w:customMarkFollows="0"/>
      </w:r>
      <w:bookmarkEnd w:id="6956"/>
      <w:r>
        <w:rPr>
          <w:rtl/>
        </w:rPr>
        <w:t>: ר׳ חיים ביקר אצלו בפסח – כשמחלקים אגוזים לילדים</w:t>
      </w:r>
      <w:bookmarkStart w:id="6957" w:name="_fnr5343"/>
      <w:r>
        <w:rPr>
          <w:rStyle w:val="a5"/>
        </w:rPr>
        <w:footnoteReference w:id="5357" w:customMarkFollows="0"/>
      </w:r>
      <w:bookmarkEnd w:id="6957"/>
      <w:r>
        <w:rPr>
          <w:rtl/>
        </w:rPr>
        <w:t xml:space="preserve">. בנו הבכור של ר׳ משה, </w:t>
      </w:r>
      <w:proofErr w:type="spellStart"/>
      <w:r>
        <w:rPr>
          <w:rtl/>
        </w:rPr>
        <w:t>יוסף־דוב</w:t>
      </w:r>
      <w:proofErr w:type="spellEnd"/>
      <w:r>
        <w:rPr>
          <w:rtl/>
        </w:rPr>
        <w:t xml:space="preserve">, שהיה בן שנתיים בלבד, גלגל אגוז לתוך גומה באדמה, שפתחה היה צר מכדי שיוכל להכניס בו את </w:t>
      </w:r>
      <w:r>
        <w:rPr>
          <w:rtl/>
        </w:rPr>
        <w:lastRenderedPageBreak/>
        <w:t>אצבעו ולמשוך את האגוז החוצה. לכן שפך מים לגומה, והאגוז צף למעלה</w:t>
      </w:r>
      <w:bookmarkStart w:id="6958" w:name="_fnr5344"/>
      <w:r>
        <w:rPr>
          <w:rStyle w:val="a5"/>
        </w:rPr>
        <w:footnoteReference w:id="5358" w:customMarkFollows="0"/>
      </w:r>
      <w:bookmarkEnd w:id="6958"/>
      <w:r>
        <w:rPr>
          <w:rtl/>
        </w:rPr>
        <w:t xml:space="preserve">. ר׳ משה הראה לאביו את פיקחות הילד, ור׳ חיים השיב ברצינות: “אין בזה כלום: גם אני, כשהייתי תינוק, גיליתי פיקחות רבה, ובכל זאת לא יצא ממני דבר. אותו הדבר עלול לקרות גם לו”. השווה גם סוף הפסקה החמישית בפרק 3, </w:t>
      </w:r>
      <w:r>
        <w:rPr>
          <w:rtl/>
        </w:rPr>
        <w:fldChar w:fldCharType="begin" w:dirty="true"/>
      </w:r>
      <w:r>
        <w:rPr>
          <w:rtl/>
        </w:rPr>
        <w:instrText xml:space="preserve"> REF b3_excR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יח</w:t>
      </w:r>
      <w:proofErr w:type="spellEnd"/>
      <w:r>
        <w:rPr>
          <w:rtl/>
        </w:rPr>
        <w:fldChar w:fldCharType="end"/>
      </w:r>
      <w:r>
        <w:rPr>
          <w:rtl/>
        </w:rPr>
        <w:t xml:space="preserve">, על ששאל נער בן </w:t>
      </w:r>
      <w:proofErr w:type="spellStart"/>
      <w:r>
        <w:rPr>
          <w:rtl/>
        </w:rPr>
        <w:t>שבע־עשרה</w:t>
      </w:r>
      <w:proofErr w:type="spellEnd"/>
      <w:r>
        <w:rPr>
          <w:rtl/>
        </w:rPr>
        <w:t xml:space="preserve"> </w:t>
      </w:r>
      <w:proofErr w:type="spellStart"/>
      <w:r>
        <w:rPr>
          <w:rtl/>
        </w:rPr>
        <w:t>בליבאו</w:t>
      </w:r>
      <w:proofErr w:type="spellEnd"/>
      <w:r>
        <w:rPr>
          <w:rtl/>
        </w:rPr>
        <w:t xml:space="preserve"> מה דעתו על חידושי התורה שלו.</w:t>
      </w:r>
    </w:p>
    <w:p w14:paraId="1420AAC1" w14:textId="4B9DCB21" w:rsidR="00AB3647" w:rsidRDefault="00000000" w:rsidP="007923E9">
      <w:pPr>
        <w:spacing w:after="120" w:line="276" w:lineRule="auto"/>
        <w:ind w:firstLine="283"/>
        <w:jc w:val="both"/>
      </w:pPr>
      <w:r>
        <w:rPr>
          <w:rtl/>
        </w:rPr>
        <w:t xml:space="preserve">זיכרונו של הרב צ״ה </w:t>
      </w:r>
      <w:proofErr w:type="spellStart"/>
      <w:r>
        <w:rPr>
          <w:rtl/>
        </w:rPr>
        <w:t>מסליאנסקי</w:t>
      </w:r>
      <w:proofErr w:type="spellEnd"/>
      <w:r>
        <w:rPr>
          <w:rtl/>
        </w:rPr>
        <w:t xml:space="preserve"> על ר׳ חיים, שצוטט בתחילת הערה </w:t>
      </w:r>
      <w:r>
        <w:rPr>
          <w:rtl/>
        </w:rPr>
        <w:fldChar w:fldCharType="begin" w:dirty="true"/>
      </w:r>
      <w:r>
        <w:rPr>
          <w:rtl/>
        </w:rPr>
        <w:instrText xml:space="preserve"> REF b5_note65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65</w:t>
      </w:r>
      <w:r>
        <w:rPr>
          <w:rtl/>
        </w:rPr>
        <w:fldChar w:fldCharType="end"/>
      </w:r>
      <w:r>
        <w:rPr>
          <w:rtl/>
        </w:rPr>
        <w:t xml:space="preserve"> לעיל, נמשך כך: “ובמקום שאתה מוצא את גדולתו שם אתה מוצא את פשטותו</w:t>
      </w:r>
      <w:bookmarkStart w:id="6959" w:name="_fnr5345"/>
      <w:r>
        <w:rPr>
          <w:rStyle w:val="a5"/>
        </w:rPr>
        <w:footnoteReference w:id="5359" w:customMarkFollows="0"/>
      </w:r>
      <w:bookmarkEnd w:id="6959"/>
      <w:r>
        <w:rPr>
          <w:rtl/>
        </w:rPr>
        <w:t xml:space="preserve">. ר׳ חיים אינו מתלבש בהידור ואינו נוהג בשררה בביתו. אפשר שהוא שרוע על הספה ומהרהר ברמב״ם, או מהלך הלוך ושוב עם ר׳ </w:t>
      </w:r>
      <w:proofErr w:type="spellStart"/>
      <w:r>
        <w:rPr>
          <w:rtl/>
        </w:rPr>
        <w:t>שמחה־זליג</w:t>
      </w:r>
      <w:proofErr w:type="spellEnd"/>
      <w:r>
        <w:rPr>
          <w:rtl/>
        </w:rPr>
        <w:t xml:space="preserve"> ומשוחח בדברי תורה, כפי שהיה רגיל </w:t>
      </w:r>
      <w:proofErr w:type="spellStart"/>
      <w:r>
        <w:rPr>
          <w:rtl/>
        </w:rPr>
        <w:t>בוולוז׳ין</w:t>
      </w:r>
      <w:proofErr w:type="spellEnd"/>
      <w:r>
        <w:rPr>
          <w:rtl/>
        </w:rPr>
        <w:t xml:space="preserve">”. השווה גם את התיאור </w:t>
      </w:r>
      <w:proofErr w:type="spellStart"/>
      <w:r>
        <w:rPr>
          <w:rtl/>
        </w:rPr>
        <w:t>ב“וולוז׳ין</w:t>
      </w:r>
      <w:proofErr w:type="spellEnd"/>
      <w:r>
        <w:rPr>
          <w:rtl/>
        </w:rPr>
        <w:t xml:space="preserve"> – ספרה של העיר ושל ישיבת עץ חיים” המצוטט בפרק 3, </w:t>
      </w:r>
      <w:r>
        <w:rPr>
          <w:rtl/>
        </w:rPr>
        <w:fldChar w:fldCharType="begin" w:dirty="true"/>
      </w:r>
      <w:r>
        <w:rPr>
          <w:rtl/>
        </w:rPr>
        <w:instrText xml:space="preserve"> REF b3_excEE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לא</w:t>
      </w:r>
      <w:r>
        <w:rPr>
          <w:rtl/>
        </w:rPr>
        <w:fldChar w:fldCharType="end"/>
      </w:r>
      <w:r>
        <w:rPr>
          <w:rtl/>
        </w:rPr>
        <w:t>.</w:t>
      </w:r>
    </w:p>
    <w:p w14:paraId="44437B4A" w14:textId="77777777" w:rsidR="00AB3647" w:rsidRDefault="00000000" w:rsidP="007923E9">
      <w:pPr>
        <w:spacing w:after="120" w:line="276" w:lineRule="auto"/>
        <w:ind w:firstLine="283"/>
        <w:jc w:val="both"/>
      </w:pPr>
      <w:r>
        <w:rPr>
          <w:rtl/>
        </w:rPr>
        <w:t xml:space="preserve">הערה מעניינת על לבושו מופיעה במאמר </w:t>
      </w:r>
      <w:proofErr w:type="spellStart"/>
      <w:r>
        <w:rPr>
          <w:rtl/>
        </w:rPr>
        <w:t>ב“ספר</w:t>
      </w:r>
      <w:proofErr w:type="spellEnd"/>
      <w:r>
        <w:rPr>
          <w:rtl/>
        </w:rPr>
        <w:t xml:space="preserve"> </w:t>
      </w:r>
      <w:proofErr w:type="spellStart"/>
      <w:r>
        <w:rPr>
          <w:rtl/>
        </w:rPr>
        <w:t>מזריטש</w:t>
      </w:r>
      <w:proofErr w:type="spellEnd"/>
      <w:r>
        <w:rPr>
          <w:rtl/>
        </w:rPr>
        <w:t>”</w:t>
      </w:r>
      <w:bookmarkStart w:id="6960" w:name="_fnr5346"/>
      <w:r>
        <w:rPr>
          <w:rStyle w:val="a5"/>
        </w:rPr>
        <w:footnoteReference w:id="5360" w:customMarkFollows="0"/>
      </w:r>
      <w:bookmarkEnd w:id="6960"/>
      <w:r>
        <w:rPr>
          <w:rtl/>
        </w:rPr>
        <w:t xml:space="preserve">. כותב המאמר, מ׳ </w:t>
      </w:r>
      <w:proofErr w:type="spellStart"/>
      <w:r>
        <w:rPr>
          <w:rtl/>
        </w:rPr>
        <w:t>איידלבוים</w:t>
      </w:r>
      <w:proofErr w:type="spellEnd"/>
      <w:r>
        <w:rPr>
          <w:rtl/>
        </w:rPr>
        <w:t xml:space="preserve">, מספר כיצד הובא ר׳ חיים </w:t>
      </w:r>
      <w:proofErr w:type="spellStart"/>
      <w:r>
        <w:rPr>
          <w:rtl/>
        </w:rPr>
        <w:t>למזריטש</w:t>
      </w:r>
      <w:proofErr w:type="spellEnd"/>
      <w:r>
        <w:rPr>
          <w:rtl/>
        </w:rPr>
        <w:t xml:space="preserve">, שנתיים אחרי שעלה על כיסא הרבנות </w:t>
      </w:r>
      <w:proofErr w:type="spellStart"/>
      <w:r>
        <w:rPr>
          <w:rtl/>
        </w:rPr>
        <w:t>בבריסק</w:t>
      </w:r>
      <w:proofErr w:type="spellEnd"/>
      <w:r>
        <w:rPr>
          <w:rtl/>
        </w:rPr>
        <w:t xml:space="preserve">, כדי להבטיח שהמועמד שתמך בו לרבנות </w:t>
      </w:r>
      <w:proofErr w:type="spellStart"/>
      <w:r>
        <w:rPr>
          <w:rtl/>
        </w:rPr>
        <w:t>מזריטש</w:t>
      </w:r>
      <w:proofErr w:type="spellEnd"/>
      <w:r>
        <w:rPr>
          <w:rtl/>
        </w:rPr>
        <w:t>, בנו של הרב שנפטר</w:t>
      </w:r>
      <w:bookmarkStart w:id="6961" w:name="_fnr5347"/>
      <w:r>
        <w:rPr>
          <w:rStyle w:val="a5"/>
        </w:rPr>
        <w:footnoteReference w:id="5361" w:customMarkFollows="0"/>
      </w:r>
      <w:bookmarkEnd w:id="6961"/>
      <w:r>
        <w:rPr>
          <w:rtl/>
        </w:rPr>
        <w:t xml:space="preserve">, לא יידחק הצדה. וכך הוא כותב: “אבי זכרונו לברכה סיפר: ‘כשראיתי שהמצב רופף’ – המתחרה עמד להתמנות לרב – ‘הודעתי מיד </w:t>
      </w:r>
      <w:proofErr w:type="spellStart"/>
      <w:r>
        <w:rPr>
          <w:rtl/>
        </w:rPr>
        <w:t>לר</w:t>
      </w:r>
      <w:proofErr w:type="spellEnd"/>
      <w:r>
        <w:rPr>
          <w:rtl/>
        </w:rPr>
        <w:t>׳ חיים [</w:t>
      </w:r>
      <w:proofErr w:type="spellStart"/>
      <w:r>
        <w:rPr>
          <w:rtl/>
        </w:rPr>
        <w:t>בבריסק</w:t>
      </w:r>
      <w:proofErr w:type="spellEnd"/>
      <w:r>
        <w:rPr>
          <w:rtl/>
        </w:rPr>
        <w:t xml:space="preserve">], והוא בא מיד </w:t>
      </w:r>
      <w:proofErr w:type="spellStart"/>
      <w:r>
        <w:rPr>
          <w:rtl/>
        </w:rPr>
        <w:t>למזריטש</w:t>
      </w:r>
      <w:proofErr w:type="spellEnd"/>
      <w:r>
        <w:rPr>
          <w:rtl/>
        </w:rPr>
        <w:t xml:space="preserve">. באותה עת התכנסה במקרה בבית פרטי אספה של </w:t>
      </w:r>
      <w:proofErr w:type="spellStart"/>
      <w:r>
        <w:rPr>
          <w:rtl/>
        </w:rPr>
        <w:t>שיינע</w:t>
      </w:r>
      <w:proofErr w:type="spellEnd"/>
      <w:r>
        <w:rPr>
          <w:rtl/>
        </w:rPr>
        <w:t xml:space="preserve"> </w:t>
      </w:r>
      <w:proofErr w:type="spellStart"/>
      <w:r>
        <w:rPr>
          <w:rtl/>
        </w:rPr>
        <w:t>אידען</w:t>
      </w:r>
      <w:proofErr w:type="spellEnd"/>
      <w:r>
        <w:rPr>
          <w:rtl/>
        </w:rPr>
        <w:t xml:space="preserve">, לומדי תורה ועשירים, וכמובן הוזמן ר׳ חיים. הוא היה רגיל לחבוש כובע יהודי פשוט – לא את המגבעת הרבנית – וכך בא </w:t>
      </w:r>
      <w:proofErr w:type="spellStart"/>
      <w:r>
        <w:rPr>
          <w:rtl/>
        </w:rPr>
        <w:t>למזריטש</w:t>
      </w:r>
      <w:proofErr w:type="spellEnd"/>
      <w:r>
        <w:rPr>
          <w:rtl/>
        </w:rPr>
        <w:t>. פני העיר דרשו ממנו להחליף את כובעו במגבעת רבנית</w:t>
      </w:r>
      <w:bookmarkStart w:id="6962" w:name="_fnr5348"/>
      <w:r>
        <w:rPr>
          <w:rStyle w:val="a5"/>
        </w:rPr>
        <w:footnoteReference w:id="5362" w:customMarkFollows="0"/>
      </w:r>
      <w:bookmarkEnd w:id="6962"/>
      <w:r>
        <w:rPr>
          <w:rtl/>
        </w:rPr>
        <w:t xml:space="preserve">, אך הוא סירב’. ‘מִילָא, </w:t>
      </w:r>
      <w:proofErr w:type="spellStart"/>
      <w:r>
        <w:rPr>
          <w:rtl/>
        </w:rPr>
        <w:t>בבריסק</w:t>
      </w:r>
      <w:proofErr w:type="spellEnd"/>
      <w:r>
        <w:rPr>
          <w:rtl/>
        </w:rPr>
        <w:t xml:space="preserve">’, אמר ר׳ חיים לאבי, ‘אני חייב לחבוש מגבעת [ולא כובע], כי </w:t>
      </w:r>
      <w:proofErr w:type="spellStart"/>
      <w:r>
        <w:rPr>
          <w:rtl/>
        </w:rPr>
        <w:t>בריסק</w:t>
      </w:r>
      <w:proofErr w:type="spellEnd"/>
      <w:r>
        <w:rPr>
          <w:rtl/>
        </w:rPr>
        <w:t xml:space="preserve"> מפרנסת אותי. אבל איזו תביעה יש </w:t>
      </w:r>
      <w:proofErr w:type="spellStart"/>
      <w:r>
        <w:rPr>
          <w:rtl/>
        </w:rPr>
        <w:t>למזריטש</w:t>
      </w:r>
      <w:proofErr w:type="spellEnd"/>
      <w:r>
        <w:rPr>
          <w:rtl/>
        </w:rPr>
        <w:t xml:space="preserve"> כלפיי – הרי יש בה רק המון אביונים, ובכללם אלה הקרויים גבירים (ההדגשה שלי)!’”</w:t>
      </w:r>
    </w:p>
    <w:p w14:paraId="6BDDA32B" w14:textId="77777777" w:rsidR="00AB3647" w:rsidRDefault="00000000" w:rsidP="007923E9">
      <w:pPr>
        <w:spacing w:after="120" w:line="276" w:lineRule="auto"/>
        <w:ind w:firstLine="283"/>
        <w:jc w:val="both"/>
      </w:pPr>
      <w:proofErr w:type="spellStart"/>
      <w:r>
        <w:rPr>
          <w:rtl/>
        </w:rPr>
        <w:t>איידלבוים</w:t>
      </w:r>
      <w:proofErr w:type="spellEnd"/>
      <w:r>
        <w:rPr>
          <w:rtl/>
        </w:rPr>
        <w:t xml:space="preserve"> ממשיך: “טענתו של ר׳ חיים” – על מצבם הכלכלי של יהודי </w:t>
      </w:r>
      <w:proofErr w:type="spellStart"/>
      <w:r>
        <w:rPr>
          <w:rtl/>
        </w:rPr>
        <w:t>מזריטש</w:t>
      </w:r>
      <w:proofErr w:type="spellEnd"/>
      <w:r>
        <w:rPr>
          <w:rtl/>
        </w:rPr>
        <w:t xml:space="preserve">, כפי שהודגש – “בוודאי לא הייתה מוצדקת: נראה שהיה כועס מאוד על מנהיגי </w:t>
      </w:r>
      <w:proofErr w:type="spellStart"/>
      <w:r>
        <w:rPr>
          <w:rtl/>
        </w:rPr>
        <w:t>מזריטש</w:t>
      </w:r>
      <w:proofErr w:type="spellEnd"/>
      <w:r>
        <w:rPr>
          <w:rtl/>
        </w:rPr>
        <w:t xml:space="preserve"> [על ששקלו למנות אדם אחר במקום בנו של הרב שנפטר]. התייצבותו לטובת [הבן] ונגד המועמד האחר, דודו שלו</w:t>
      </w:r>
      <w:bookmarkStart w:id="6963" w:name="_fnr5349"/>
      <w:r>
        <w:rPr>
          <w:rStyle w:val="a5"/>
        </w:rPr>
        <w:footnoteReference w:id="5363" w:customMarkFollows="0"/>
      </w:r>
      <w:bookmarkEnd w:id="6963"/>
      <w:r>
        <w:rPr>
          <w:rtl/>
        </w:rPr>
        <w:t xml:space="preserve">, עשתה רושם חזק. ר׳ חיים, גאון זמנו, ראה את רבנות </w:t>
      </w:r>
      <w:proofErr w:type="spellStart"/>
      <w:r>
        <w:rPr>
          <w:rtl/>
        </w:rPr>
        <w:t>מזריטש</w:t>
      </w:r>
      <w:proofErr w:type="spellEnd"/>
      <w:r>
        <w:rPr>
          <w:rtl/>
        </w:rPr>
        <w:t xml:space="preserve"> אחרת; בעיניו הייתה זו שאלה מוסרית וגם משפטית. הוא סבר שדודו נהג שלא כראוי [בעצם הגשת </w:t>
      </w:r>
      <w:r>
        <w:rPr>
          <w:rtl/>
        </w:rPr>
        <w:lastRenderedPageBreak/>
        <w:t>מועמדותו]. רק אדם כר׳ חיים יכול היה להכריע את הכף נגד רצונם של עסקני הקהילה ומנהיגי העיר”.</w:t>
      </w:r>
    </w:p>
    <w:p w14:paraId="30C987EE" w14:textId="77777777" w:rsidR="00AB3647" w:rsidRDefault="00000000" w:rsidP="007923E9">
      <w:pPr>
        <w:spacing w:after="120" w:line="276" w:lineRule="auto"/>
        <w:ind w:firstLine="283"/>
        <w:jc w:val="both"/>
      </w:pPr>
      <w:r>
        <w:rPr>
          <w:rtl/>
        </w:rPr>
        <w:t xml:space="preserve">על תיאור מצבם הכלכלי של יהודי </w:t>
      </w:r>
      <w:proofErr w:type="spellStart"/>
      <w:r>
        <w:rPr>
          <w:rtl/>
        </w:rPr>
        <w:t>מזריטש</w:t>
      </w:r>
      <w:proofErr w:type="spellEnd"/>
      <w:r>
        <w:rPr>
          <w:rtl/>
        </w:rPr>
        <w:t xml:space="preserve"> בפי ר׳ חיים, שמ׳ </w:t>
      </w:r>
      <w:proofErr w:type="spellStart"/>
      <w:r>
        <w:rPr>
          <w:rtl/>
        </w:rPr>
        <w:t>איידלבוים</w:t>
      </w:r>
      <w:proofErr w:type="spellEnd"/>
      <w:r>
        <w:rPr>
          <w:rtl/>
        </w:rPr>
        <w:t xml:space="preserve">, יליד </w:t>
      </w:r>
      <w:proofErr w:type="spellStart"/>
      <w:r>
        <w:rPr>
          <w:rtl/>
        </w:rPr>
        <w:t>מזריטש</w:t>
      </w:r>
      <w:proofErr w:type="spellEnd"/>
      <w:r>
        <w:rPr>
          <w:rtl/>
        </w:rPr>
        <w:t xml:space="preserve">, התנגד לו מתוך גאוותו על עירו, סיפר ר׳ שמאי </w:t>
      </w:r>
      <w:proofErr w:type="spellStart"/>
      <w:r>
        <w:rPr>
          <w:rtl/>
        </w:rPr>
        <w:t>גינזבורג</w:t>
      </w:r>
      <w:bookmarkStart w:id="6964" w:name="_fnr5350"/>
      <w:proofErr w:type="spellEnd"/>
      <w:r>
        <w:rPr>
          <w:rStyle w:val="a5"/>
        </w:rPr>
        <w:footnoteReference w:id="5364" w:customMarkFollows="0"/>
      </w:r>
      <w:bookmarkEnd w:id="6964"/>
      <w:r>
        <w:rPr>
          <w:rtl/>
        </w:rPr>
        <w:t xml:space="preserve"> </w:t>
      </w:r>
      <w:proofErr w:type="spellStart"/>
      <w:r>
        <w:rPr>
          <w:rtl/>
        </w:rPr>
        <w:t>ש“אזור</w:t>
      </w:r>
      <w:proofErr w:type="spellEnd"/>
      <w:r>
        <w:rPr>
          <w:rtl/>
        </w:rPr>
        <w:t xml:space="preserve"> </w:t>
      </w:r>
      <w:proofErr w:type="spellStart"/>
      <w:r>
        <w:rPr>
          <w:rtl/>
        </w:rPr>
        <w:t>ביאלה</w:t>
      </w:r>
      <w:proofErr w:type="spellEnd"/>
      <w:r>
        <w:rPr>
          <w:rtl/>
        </w:rPr>
        <w:t>–</w:t>
      </w:r>
      <w:proofErr w:type="spellStart"/>
      <w:r>
        <w:rPr>
          <w:rtl/>
        </w:rPr>
        <w:t>מזריטש</w:t>
      </w:r>
      <w:proofErr w:type="spellEnd"/>
      <w:r>
        <w:rPr>
          <w:rtl/>
        </w:rPr>
        <w:t>–</w:t>
      </w:r>
      <w:proofErr w:type="spellStart"/>
      <w:r>
        <w:rPr>
          <w:rtl/>
        </w:rPr>
        <w:t>לוקוב</w:t>
      </w:r>
      <w:proofErr w:type="spellEnd"/>
      <w:r>
        <w:rPr>
          <w:rtl/>
        </w:rPr>
        <w:t>–</w:t>
      </w:r>
      <w:proofErr w:type="spellStart"/>
      <w:r>
        <w:rPr>
          <w:rtl/>
        </w:rPr>
        <w:t>שדליץ</w:t>
      </w:r>
      <w:proofErr w:type="spellEnd"/>
      <w:r>
        <w:rPr>
          <w:rtl/>
        </w:rPr>
        <w:t xml:space="preserve"> כונה ‘מלך </w:t>
      </w:r>
      <w:proofErr w:type="spellStart"/>
      <w:r>
        <w:rPr>
          <w:rtl/>
        </w:rPr>
        <w:t>אביון׳ס</w:t>
      </w:r>
      <w:proofErr w:type="spellEnd"/>
      <w:r>
        <w:rPr>
          <w:rtl/>
        </w:rPr>
        <w:t xml:space="preserve"> </w:t>
      </w:r>
      <w:proofErr w:type="spellStart"/>
      <w:r>
        <w:rPr>
          <w:rtl/>
        </w:rPr>
        <w:t>גיטער</w:t>
      </w:r>
      <w:proofErr w:type="spellEnd"/>
      <w:r>
        <w:rPr>
          <w:rtl/>
        </w:rPr>
        <w:t xml:space="preserve"> [נחלותיו של המלך אביון]’”. ר׳ שמאי </w:t>
      </w:r>
      <w:proofErr w:type="spellStart"/>
      <w:r>
        <w:rPr>
          <w:rtl/>
        </w:rPr>
        <w:t>גינזבורג</w:t>
      </w:r>
      <w:proofErr w:type="spellEnd"/>
      <w:r>
        <w:rPr>
          <w:rtl/>
        </w:rPr>
        <w:t xml:space="preserve"> נולד [</w:t>
      </w:r>
      <w:proofErr w:type="spellStart"/>
      <w:r>
        <w:rPr>
          <w:rtl/>
        </w:rPr>
        <w:t>בתרס״ז</w:t>
      </w:r>
      <w:proofErr w:type="spellEnd"/>
      <w:r>
        <w:rPr>
          <w:rtl/>
        </w:rPr>
        <w:t xml:space="preserve">] </w:t>
      </w:r>
      <w:proofErr w:type="spellStart"/>
      <w:r>
        <w:rPr>
          <w:rtl/>
        </w:rPr>
        <w:t>בלוקוב</w:t>
      </w:r>
      <w:proofErr w:type="spellEnd"/>
      <w:r>
        <w:rPr>
          <w:rtl/>
        </w:rPr>
        <w:t xml:space="preserve">, עיירה קטנה 25 קילומטרים ממערב </w:t>
      </w:r>
      <w:proofErr w:type="spellStart"/>
      <w:r>
        <w:rPr>
          <w:rtl/>
        </w:rPr>
        <w:t>למזריטש</w:t>
      </w:r>
      <w:proofErr w:type="spellEnd"/>
      <w:r>
        <w:rPr>
          <w:rtl/>
        </w:rPr>
        <w:t xml:space="preserve"> ובאותו מרחק מדרום </w:t>
      </w:r>
      <w:proofErr w:type="spellStart"/>
      <w:r>
        <w:rPr>
          <w:rtl/>
        </w:rPr>
        <w:t>לשדליץ</w:t>
      </w:r>
      <w:proofErr w:type="spellEnd"/>
      <w:r>
        <w:rPr>
          <w:rtl/>
        </w:rPr>
        <w:t>.</w:t>
      </w:r>
    </w:p>
    <w:p w14:paraId="3E709119" w14:textId="77777777" w:rsidR="00AB3647" w:rsidRDefault="00000000" w:rsidP="007923E9">
      <w:pPr>
        <w:spacing w:after="120" w:line="276" w:lineRule="auto"/>
        <w:ind w:firstLine="283"/>
        <w:jc w:val="both"/>
      </w:pPr>
      <w:r>
        <w:rPr>
          <w:rtl/>
        </w:rPr>
        <w:t xml:space="preserve">על העדפתו של ר׳ חיים ללבוש שאינו רבני סיפר נכדו ר׳ רפאל </w:t>
      </w:r>
      <w:proofErr w:type="spellStart"/>
      <w:r>
        <w:rPr>
          <w:rtl/>
        </w:rPr>
        <w:t>סולובייצ׳יק</w:t>
      </w:r>
      <w:proofErr w:type="spellEnd"/>
      <w:r>
        <w:rPr>
          <w:rtl/>
        </w:rPr>
        <w:t xml:space="preserve">, בנו של ר׳ יצחק־זאב</w:t>
      </w:r>
      <w:bookmarkStart w:id="6965" w:name="_fnr5351"/>
      <w:bookmarkStart w:id="6966" w:name="pr_f_5226"/>
      <w:r>
        <w:rPr>
          <w:rStyle w:val="a5"/>
        </w:rPr>
        <w:footnoteReference w:id="5365" w:customMarkFollows="0"/>
      </w:r>
      <w:bookmarkEnd w:id="6965"/>
      <w:bookmarkEnd w:id="6966"/>
      <w:r>
        <w:rPr>
          <w:rtl/>
        </w:rPr>
        <w:t xml:space="preserve">: פעם נסע ר׳ חיים ברכבת בלי להזדהות, ואדמו״ר חסידי זיהה אותו וקרא: “הרב הקדוש </w:t>
      </w:r>
      <w:proofErr w:type="spellStart"/>
      <w:r>
        <w:rPr>
          <w:rtl/>
        </w:rPr>
        <w:t>מבריסק</w:t>
      </w:r>
      <w:proofErr w:type="spellEnd"/>
      <w:r>
        <w:rPr>
          <w:rtl/>
        </w:rPr>
        <w:t>, למה אתם לבושים כך</w:t>
      </w:r>
      <w:bookmarkStart w:id="6967" w:name="_fnr5352"/>
      <w:r>
        <w:rPr>
          <w:rStyle w:val="a5"/>
        </w:rPr>
        <w:footnoteReference w:id="5366" w:customMarkFollows="0"/>
      </w:r>
      <w:bookmarkEnd w:id="6967"/>
      <w:r>
        <w:rPr>
          <w:rtl/>
        </w:rPr>
        <w:t>?” ר׳ חיים השיב שמן הגמרא בברכות</w:t>
      </w:r>
      <w:bookmarkStart w:id="6968" w:name="_fnr5353"/>
      <w:r>
        <w:rPr>
          <w:rStyle w:val="a5"/>
        </w:rPr>
        <w:footnoteReference w:id="5367" w:customMarkFollows="0"/>
      </w:r>
      <w:bookmarkEnd w:id="6968"/>
      <w:r>
        <w:rPr>
          <w:rtl/>
        </w:rPr>
        <w:t xml:space="preserve">, השואלת “כיצד ידעה </w:t>
      </w:r>
      <w:proofErr w:type="spellStart"/>
      <w:r>
        <w:rPr>
          <w:rtl/>
        </w:rPr>
        <w:t>השונמית</w:t>
      </w:r>
      <w:proofErr w:type="spellEnd"/>
      <w:r>
        <w:rPr>
          <w:rtl/>
        </w:rPr>
        <w:t xml:space="preserve"> שאלישע הנביא היה איש קדוש?”, אפשר להוכיח שאין לדעת מן הבגדים שאדם לובש אם הוא קדוש. השווה גם “ממעונות אריות”</w:t>
      </w:r>
      <w:bookmarkStart w:id="6969" w:name="_fnr5354"/>
      <w:r>
        <w:rPr>
          <w:rStyle w:val="a5"/>
        </w:rPr>
        <w:footnoteReference w:id="5368" w:customMarkFollows="0"/>
      </w:r>
      <w:bookmarkEnd w:id="6969"/>
      <w:r>
        <w:rPr>
          <w:rtl/>
        </w:rPr>
        <w:t>, המחיל על ר׳ חיים את השיר ששרו האמוראים</w:t>
      </w:r>
      <w:bookmarkStart w:id="6970" w:name="_fnr5355"/>
      <w:r>
        <w:rPr>
          <w:rStyle w:val="a5"/>
        </w:rPr>
        <w:footnoteReference w:id="5369" w:customMarkFollows="0"/>
      </w:r>
      <w:bookmarkEnd w:id="6970"/>
      <w:r>
        <w:rPr>
          <w:rtl/>
        </w:rPr>
        <w:t xml:space="preserve"> כשנסמך רב </w:t>
      </w:r>
      <w:proofErr w:type="spellStart"/>
      <w:r>
        <w:rPr>
          <w:rtl/>
        </w:rPr>
        <w:t>זירא</w:t>
      </w:r>
      <w:proofErr w:type="spellEnd"/>
      <w:r>
        <w:rPr>
          <w:rtl/>
        </w:rPr>
        <w:t>: “לא כחל ולא סרק ולא פרכוס ויעלת חן”</w:t>
      </w:r>
      <w:bookmarkStart w:id="6971" w:name="_fnr5356"/>
      <w:r>
        <w:rPr>
          <w:rStyle w:val="a5"/>
        </w:rPr>
        <w:footnoteReference w:id="5370" w:customMarkFollows="0"/>
      </w:r>
      <w:bookmarkEnd w:id="6971"/>
      <w:r>
        <w:rPr>
          <w:rtl/>
        </w:rPr>
        <w:t>. ובהספד שם: “ר׳ חיים היה ללא כל הידור חיצוני – צנוע בתכלית, נכנס בדשדוש ויוצא בדשדוש</w:t>
      </w:r>
      <w:bookmarkStart w:id="6972" w:name="_fnr5357"/>
      <w:r>
        <w:rPr>
          <w:rStyle w:val="a5"/>
        </w:rPr>
        <w:footnoteReference w:id="5371" w:customMarkFollows="0"/>
      </w:r>
      <w:bookmarkEnd w:id="6972"/>
      <w:r>
        <w:rPr>
          <w:rtl/>
        </w:rPr>
        <w:t>, ובכל זאת מלא חן”.</w:t>
      </w:r>
    </w:p>
    <w:p w14:paraId="7F7B4B8A" w14:textId="77777777" w:rsidR="00AB3647" w:rsidRDefault="00000000" w:rsidP="007923E9">
      <w:pPr>
        <w:spacing w:after="120" w:line="276" w:lineRule="auto"/>
        <w:ind w:firstLine="283"/>
        <w:jc w:val="both"/>
      </w:pPr>
      <w:r>
        <w:rPr>
          <w:rtl/>
        </w:rPr>
        <w:t>העדפתו של ר׳ חיים ללבוש שאינו רבני שיקפה את יחסו לעצם היותו רב. השווה את יעקב מארק</w:t>
      </w:r>
      <w:bookmarkStart w:id="6973" w:name="_fnr5358"/>
      <w:r>
        <w:rPr>
          <w:rStyle w:val="a5"/>
        </w:rPr>
        <w:footnoteReference w:id="5372" w:customMarkFollows="0"/>
      </w:r>
      <w:bookmarkEnd w:id="6973"/>
      <w:r>
        <w:rPr>
          <w:rtl/>
        </w:rPr>
        <w:t xml:space="preserve">, המתאר את פגישותיו עם ר׳ חיים </w:t>
      </w:r>
      <w:proofErr w:type="spellStart"/>
      <w:r>
        <w:rPr>
          <w:rtl/>
        </w:rPr>
        <w:t>בליבאו</w:t>
      </w:r>
      <w:proofErr w:type="spellEnd"/>
      <w:r>
        <w:rPr>
          <w:rtl/>
        </w:rPr>
        <w:t xml:space="preserve">: “מטבעו לא אהב ר׳ חיים לדבר על עצמו ובייחוד על מעלותיו. כל אימת שהפצרתי בו להיזכר בחייו, היה מתחמק תמיד בדברי חידוד, ומתלונן שהעולם עושה ממנו יותר מדי ‘פירוש’. בתמימות גלויה התלונן בפניי פעמים רבות על הנסיבות שהביאו למינויו לרב </w:t>
      </w:r>
      <w:proofErr w:type="spellStart"/>
      <w:r>
        <w:rPr>
          <w:rtl/>
        </w:rPr>
        <w:t>בבריסק</w:t>
      </w:r>
      <w:proofErr w:type="spellEnd"/>
      <w:r>
        <w:rPr>
          <w:rtl/>
        </w:rPr>
        <w:t>, כהונה שהייתה למעלה מיכולותיו ולא לפי נטייתו. הודות לכישרונו להסביר, יכול היה אולי להיות מלמד גמרא לא רע לשני נערים”. השווה גם “הרב”</w:t>
      </w:r>
      <w:bookmarkStart w:id="6974" w:name="_fnr5359"/>
      <w:r>
        <w:rPr>
          <w:rStyle w:val="a5"/>
        </w:rPr>
        <w:footnoteReference w:id="5373" w:customMarkFollows="0"/>
      </w:r>
      <w:bookmarkEnd w:id="6974"/>
      <w:r>
        <w:rPr>
          <w:rtl/>
        </w:rPr>
        <w:t xml:space="preserve">, המספר </w:t>
      </w:r>
      <w:proofErr w:type="spellStart"/>
      <w:r>
        <w:rPr>
          <w:rtl/>
        </w:rPr>
        <w:t>ש“כשבא</w:t>
      </w:r>
      <w:proofErr w:type="spellEnd"/>
      <w:r>
        <w:rPr>
          <w:rtl/>
        </w:rPr>
        <w:t xml:space="preserve"> ר׳ חיים לראשונה </w:t>
      </w:r>
      <w:proofErr w:type="spellStart"/>
      <w:r>
        <w:rPr>
          <w:rtl/>
        </w:rPr>
        <w:t>לבריסק</w:t>
      </w:r>
      <w:proofErr w:type="spellEnd"/>
      <w:r>
        <w:rPr>
          <w:rtl/>
        </w:rPr>
        <w:t xml:space="preserve">, נשא דרשה אחת בשבת הגדול ודרשה אחת בשבת שובה”, ולא חזר על כך עוד. דברי נכדו, ר׳ </w:t>
      </w:r>
      <w:proofErr w:type="spellStart"/>
      <w:r>
        <w:rPr>
          <w:rtl/>
        </w:rPr>
        <w:t xml:space="preserve">יוסף־דב</w:t>
      </w:r>
      <w:proofErr w:type="spellEnd"/>
      <w:r>
        <w:rPr>
          <w:rtl/>
        </w:rPr>
        <w:t xml:space="preserve"> </w:t>
      </w:r>
      <w:proofErr w:type="spellStart"/>
      <w:r>
        <w:rPr>
          <w:rtl/>
        </w:rPr>
        <w:t>סולובייצ׳יק</w:t>
      </w:r>
      <w:proofErr w:type="spellEnd"/>
      <w:r>
        <w:rPr>
          <w:rtl/>
        </w:rPr>
        <w:t>, מסתיימים בטעם שנתן ר׳ חיים להפסקת הדרשות המקובלות של הרב פעמיים בשנה: הן התישו אותו</w:t>
      </w:r>
      <w:bookmarkStart w:id="6975" w:name="_fnr5360"/>
      <w:bookmarkStart w:id="6976" w:name="pr_f_5235"/>
      <w:r>
        <w:rPr>
          <w:rStyle w:val="a5"/>
        </w:rPr>
        <w:footnoteReference w:id="5374" w:customMarkFollows="0"/>
      </w:r>
      <w:bookmarkEnd w:id="6975"/>
      <w:bookmarkEnd w:id="6976"/>
      <w:r>
        <w:rPr>
          <w:rtl/>
        </w:rPr>
        <w:t>.</w:t>
      </w:r>
    </w:p>
    <w:p w14:paraId="380DD6B5" w14:textId="77777777" w:rsidR="00AB3647" w:rsidRDefault="00000000" w:rsidP="007923E9">
      <w:pPr>
        <w:spacing w:after="120" w:line="276" w:lineRule="auto"/>
        <w:ind w:firstLine="283"/>
        <w:jc w:val="both"/>
      </w:pPr>
      <w:r>
        <w:rPr>
          <w:rtl/>
        </w:rPr>
        <w:lastRenderedPageBreak/>
        <w:t xml:space="preserve">השווה גם “פון </w:t>
      </w:r>
      <w:proofErr w:type="spellStart"/>
      <w:r>
        <w:rPr>
          <w:rtl/>
        </w:rPr>
        <w:t>וואלאזין</w:t>
      </w:r>
      <w:proofErr w:type="spellEnd"/>
      <w:r>
        <w:rPr>
          <w:rtl/>
        </w:rPr>
        <w:t xml:space="preserve"> </w:t>
      </w:r>
      <w:proofErr w:type="spellStart"/>
      <w:r>
        <w:rPr>
          <w:rtl/>
        </w:rPr>
        <w:t>ביז</w:t>
      </w:r>
      <w:proofErr w:type="spellEnd"/>
      <w:r>
        <w:rPr>
          <w:rtl/>
        </w:rPr>
        <w:t xml:space="preserve"> ירושלים”</w:t>
      </w:r>
      <w:bookmarkStart w:id="6977" w:name="_fnr5361"/>
      <w:r>
        <w:rPr>
          <w:rStyle w:val="a5"/>
        </w:rPr>
        <w:footnoteReference w:id="5375" w:customMarkFollows="0"/>
      </w:r>
      <w:bookmarkEnd w:id="6977"/>
      <w:r>
        <w:rPr>
          <w:rtl/>
        </w:rPr>
        <w:t xml:space="preserve">, המספר: “בן משפחתו של ר׳ חיים היה בעל בית חרושת לסודה בעיירה לא רחוקה </w:t>
      </w:r>
      <w:proofErr w:type="spellStart"/>
      <w:r>
        <w:rPr>
          <w:rtl/>
        </w:rPr>
        <w:t>מבריסק</w:t>
      </w:r>
      <w:proofErr w:type="spellEnd"/>
      <w:r>
        <w:rPr>
          <w:rtl/>
        </w:rPr>
        <w:t xml:space="preserve">. בעל העסק בא פעם </w:t>
      </w:r>
      <w:proofErr w:type="spellStart"/>
      <w:r>
        <w:rPr>
          <w:rtl/>
        </w:rPr>
        <w:t>לבריסק</w:t>
      </w:r>
      <w:proofErr w:type="spellEnd"/>
      <w:r>
        <w:rPr>
          <w:rtl/>
        </w:rPr>
        <w:t>, ומשיחתו בדברי תורה ניכר שהיה תלמיד חכם במלוא מובן המילה. מישהו העיר בנוכחות ר׳ חיים: ‘למה אדם כזה צריך את עסקו על סיבוכיו [</w:t>
      </w:r>
      <w:proofErr w:type="spellStart"/>
      <w:r>
        <w:rPr>
          <w:rtl/>
        </w:rPr>
        <w:t>קאפ־דרעהעניש</w:t>
      </w:r>
      <w:proofErr w:type="spellEnd"/>
      <w:r>
        <w:rPr>
          <w:rtl/>
        </w:rPr>
        <w:t xml:space="preserve"> – מילולית: סחרחורת], כשהיה יכול להשיג רבנות טובה?’ ר׳ חיים השיב: ‘אילו היה לי בית חרושת לסודה, גם אני הייתי מתפטר מרבנות </w:t>
      </w:r>
      <w:proofErr w:type="spellStart"/>
      <w:r>
        <w:rPr>
          <w:rtl/>
        </w:rPr>
        <w:t>בריסק</w:t>
      </w:r>
      <w:proofErr w:type="spellEnd"/>
      <w:r>
        <w:rPr>
          <w:rtl/>
        </w:rPr>
        <w:t>’”. ואכן, לפי “הרב”</w:t>
      </w:r>
      <w:bookmarkStart w:id="6978" w:name="_fnr5362"/>
      <w:r>
        <w:rPr>
          <w:rStyle w:val="a5"/>
        </w:rPr>
        <w:footnoteReference w:id="5376" w:customMarkFollows="0"/>
      </w:r>
      <w:bookmarkEnd w:id="6978"/>
      <w:r>
        <w:rPr>
          <w:rtl/>
        </w:rPr>
        <w:t xml:space="preserve">, ר׳ חיים “התענג תמיד על המחשבה שלאחר שישיא את כל ילדיו, יעביר את </w:t>
      </w:r>
      <w:proofErr w:type="spellStart"/>
      <w:r>
        <w:rPr>
          <w:rtl/>
        </w:rPr>
        <w:t>רבנותו</w:t>
      </w:r>
      <w:proofErr w:type="spellEnd"/>
      <w:r>
        <w:rPr>
          <w:rtl/>
        </w:rPr>
        <w:t xml:space="preserve"> לאחד מבניו וישתקע בארץ ישראל”</w:t>
      </w:r>
      <w:bookmarkStart w:id="6979" w:name="_fnr5363"/>
      <w:r>
        <w:rPr>
          <w:rStyle w:val="a5"/>
        </w:rPr>
        <w:footnoteReference w:id="5377" w:customMarkFollows="0"/>
      </w:r>
      <w:bookmarkEnd w:id="6979"/>
      <w:r>
        <w:rPr>
          <w:rtl/>
        </w:rPr>
        <w:t>.</w:t>
      </w:r>
    </w:p>
    <w:p w14:paraId="05F2B50D" w14:textId="77777777" w:rsidR="00AB3647" w:rsidRDefault="00000000" w:rsidP="007923E9">
      <w:pPr>
        <w:spacing w:after="120" w:line="276" w:lineRule="auto"/>
        <w:ind w:firstLine="283"/>
        <w:jc w:val="both"/>
      </w:pPr>
      <w:r>
        <w:rPr>
          <w:rtl/>
        </w:rPr>
        <w:t xml:space="preserve">כמו בביקורו </w:t>
      </w:r>
      <w:proofErr w:type="spellStart"/>
      <w:r>
        <w:rPr>
          <w:rtl/>
        </w:rPr>
        <w:t>במזריטש</w:t>
      </w:r>
      <w:proofErr w:type="spellEnd"/>
      <w:r>
        <w:rPr>
          <w:rtl/>
        </w:rPr>
        <w:t xml:space="preserve">, נראה שכיסוי הראש היה האמצעי המיוחד שבו הפגין ר׳ חיים את </w:t>
      </w:r>
      <w:proofErr w:type="spellStart"/>
      <w:r>
        <w:rPr>
          <w:rtl/>
        </w:rPr>
        <w:t>אי־שגרתיותו</w:t>
      </w:r>
      <w:proofErr w:type="spellEnd"/>
      <w:r>
        <w:rPr>
          <w:rtl/>
        </w:rPr>
        <w:t>. ר׳ חיים ברנד הביא</w:t>
      </w:r>
      <w:bookmarkStart w:id="6980" w:name="_fnr5364"/>
      <w:r>
        <w:rPr>
          <w:rStyle w:val="a5"/>
        </w:rPr>
        <w:footnoteReference w:id="5378" w:customMarkFollows="0"/>
      </w:r>
      <w:bookmarkEnd w:id="6980"/>
      <w:r>
        <w:rPr>
          <w:rtl/>
        </w:rPr>
        <w:t xml:space="preserve"> בשם נכדו של ר׳ חיים, ר׳ </w:t>
      </w:r>
      <w:proofErr w:type="spellStart"/>
      <w:r>
        <w:rPr>
          <w:rtl/>
        </w:rPr>
        <w:t xml:space="preserve">יושע־בערל</w:t>
      </w:r>
      <w:proofErr w:type="spellEnd"/>
      <w:r>
        <w:rPr>
          <w:rtl/>
        </w:rPr>
        <w:t>, שבכינוס רבנים שאליו בא ר׳ חיים במגבעת מעוכה, גער בו אחד מבעלי הבתים הנוכחים על “שלא בא במקום זאת לאספה המכובדת במגבעת השבת שלו”. ר׳ חיים השיב: “זו מגבעת השבת שלי”.</w:t>
      </w:r>
    </w:p>
    <w:p w14:paraId="4B18584A" w14:textId="77777777" w:rsidR="00AB3647" w:rsidRDefault="00000000" w:rsidP="007923E9">
      <w:pPr>
        <w:spacing w:after="120" w:line="276" w:lineRule="auto"/>
        <w:ind w:firstLine="283"/>
        <w:jc w:val="both"/>
      </w:pPr>
      <w:r>
        <w:rPr>
          <w:rtl/>
        </w:rPr>
        <w:t xml:space="preserve">על דרך ניתוח כזאת אצל ר׳ חיים סיפר פעם רבנו: ר׳ חיים נהג לסיים את תפילת העמידה כשרבים מן המתפללים עוד היו באמצע תפילתם, ומכר שאל אותו מדוע הוא פוסע לאחור לפניהם, שלא כרבנים אחרים. ר׳ חיים השיב: “כבר סיימתי להתפלל”. כשאמר המכר: “אם כן, אמור איזה מזמור – למשל אשרי... </w:t>
      </w:r>
      <w:proofErr w:type="spellStart"/>
      <w:r>
        <w:rPr>
          <w:rtl/>
        </w:rPr>
        <w:t>תהלה</w:t>
      </w:r>
      <w:proofErr w:type="spellEnd"/>
      <w:r>
        <w:rPr>
          <w:rtl/>
        </w:rPr>
        <w:t xml:space="preserve"> לדוד</w:t>
      </w:r>
      <w:bookmarkStart w:id="6981" w:name="_fnr5365"/>
      <w:r>
        <w:rPr>
          <w:rStyle w:val="a5"/>
        </w:rPr>
        <w:footnoteReference w:id="5379" w:customMarkFollows="0"/>
      </w:r>
      <w:bookmarkEnd w:id="6981"/>
      <w:r>
        <w:rPr>
          <w:rtl/>
        </w:rPr>
        <w:t xml:space="preserve"> – לפני שתפסע לאחור”, השיב ר׳ חיים: “גם אשרי כבר אמרתי”.</w:t>
      </w:r>
    </w:p>
    <w:p w14:paraId="7FFFDAEE" w14:textId="77777777" w:rsidR="00AB3647" w:rsidRDefault="00000000" w:rsidP="007923E9">
      <w:pPr>
        <w:spacing w:after="120" w:line="276" w:lineRule="auto"/>
        <w:ind w:firstLine="283"/>
        <w:jc w:val="both"/>
      </w:pPr>
      <w:r>
        <w:rPr>
          <w:rtl/>
        </w:rPr>
        <w:t xml:space="preserve">ר׳ </w:t>
      </w:r>
      <w:proofErr w:type="spellStart"/>
      <w:r>
        <w:rPr>
          <w:rtl/>
        </w:rPr>
        <w:t xml:space="preserve">יושע־בערל</w:t>
      </w:r>
      <w:proofErr w:type="spellEnd"/>
      <w:r>
        <w:rPr>
          <w:rtl/>
        </w:rPr>
        <w:t xml:space="preserve"> סיפר גם שאביו, ר׳ יצחק־זאב, היה מיישר את מגבעתו של ר׳ חיים לפני שמסר אותה לידיו; אבל מיד כשהגיעה לידי ר׳ חיים, היה מועך אותה ורק אז חובש אותה. השווה גם “חייו וזמנו של ר׳ רפאל </w:t>
      </w:r>
      <w:proofErr w:type="spellStart"/>
      <w:r>
        <w:rPr>
          <w:rtl/>
        </w:rPr>
        <w:t>סולובייצ׳יק</w:t>
      </w:r>
      <w:proofErr w:type="spellEnd"/>
      <w:r>
        <w:rPr>
          <w:rtl/>
        </w:rPr>
        <w:t xml:space="preserve"> </w:t>
      </w:r>
      <w:proofErr w:type="spellStart"/>
      <w:r>
        <w:rPr>
          <w:rtl/>
        </w:rPr>
        <w:t>מבריסק</w:t>
      </w:r>
      <w:proofErr w:type="spellEnd"/>
      <w:r>
        <w:rPr>
          <w:rtl/>
        </w:rPr>
        <w:t>”</w:t>
      </w:r>
      <w:bookmarkStart w:id="6982" w:name="_fnr5366"/>
      <w:r>
        <w:rPr>
          <w:rStyle w:val="a5"/>
        </w:rPr>
        <w:footnoteReference w:id="5380" w:customMarkFollows="0"/>
      </w:r>
      <w:bookmarkEnd w:id="6982"/>
      <w:r>
        <w:rPr>
          <w:rtl/>
        </w:rPr>
        <w:t xml:space="preserve">: “כל היום היה ר׳ חיים מהלך בחלוק... ובירמולקה גדולה – וכך הלך ברחובות </w:t>
      </w:r>
      <w:proofErr w:type="spellStart"/>
      <w:r>
        <w:rPr>
          <w:rtl/>
        </w:rPr>
        <w:t>בריסק</w:t>
      </w:r>
      <w:proofErr w:type="spellEnd"/>
      <w:r>
        <w:rPr>
          <w:rtl/>
        </w:rPr>
        <w:t>, ולא רק בביתו”. אבל יש להוסיף שדרך לבושו הבלתי שגרתית של ר׳ חיים נזנחה מיד כשכבוד התורה עמד על הפרק. השווה שם</w:t>
      </w:r>
      <w:bookmarkStart w:id="6983" w:name="_fnr5367"/>
      <w:r>
        <w:rPr>
          <w:rStyle w:val="a5"/>
        </w:rPr>
        <w:footnoteReference w:id="5381" w:customMarkFollows="0"/>
      </w:r>
      <w:bookmarkEnd w:id="6983"/>
      <w:r>
        <w:rPr>
          <w:rtl/>
        </w:rPr>
        <w:t xml:space="preserve">: כשנסע ר׳ חיים לכינוס </w:t>
      </w:r>
      <w:proofErr w:type="spellStart"/>
      <w:r>
        <w:rPr>
          <w:rtl/>
        </w:rPr>
        <w:t>בבאד</w:t>
      </w:r>
      <w:proofErr w:type="spellEnd"/>
      <w:r>
        <w:rPr>
          <w:rtl/>
        </w:rPr>
        <w:t xml:space="preserve"> </w:t>
      </w:r>
      <w:proofErr w:type="spellStart"/>
      <w:r>
        <w:rPr>
          <w:rtl/>
        </w:rPr>
        <w:t>הומבורג</w:t>
      </w:r>
      <w:bookmarkStart w:id="6984" w:name="_fnr5368"/>
      <w:proofErr w:type="spellEnd"/>
      <w:r>
        <w:rPr>
          <w:rStyle w:val="a5"/>
        </w:rPr>
        <w:footnoteReference w:id="5382" w:customMarkFollows="0"/>
      </w:r>
      <w:bookmarkEnd w:id="6984"/>
      <w:r>
        <w:rPr>
          <w:rtl/>
        </w:rPr>
        <w:t>, הזמין בגדים חדשים והקפיד מאוד על הופעתו, והסביר: “בפולין וברוסיה אין מדגישים את הלבוש, אבל בגרמניה, אם רב אינו לבוש היטב, זהו חילול כבוד התורה”.</w:t>
      </w:r>
    </w:p>
    <w:p w14:paraId="157EEAAE" w14:textId="77777777" w:rsidR="00AB3647" w:rsidRDefault="00000000" w:rsidP="007923E9">
      <w:pPr>
        <w:spacing w:after="120" w:line="276" w:lineRule="auto"/>
        <w:ind w:firstLine="283"/>
        <w:jc w:val="both"/>
      </w:pPr>
      <w:r>
        <w:rPr>
          <w:rtl/>
        </w:rPr>
        <w:lastRenderedPageBreak/>
        <w:t xml:space="preserve">רבנו העיר פעם, בתקופה שבה כיהן כראש ישיבה במתיבתא תורה ודעת, </w:t>
      </w:r>
      <w:proofErr w:type="spellStart"/>
      <w:r>
        <w:rPr>
          <w:rtl/>
        </w:rPr>
        <w:t>ש“אלמלא</w:t>
      </w:r>
      <w:proofErr w:type="spellEnd"/>
      <w:r>
        <w:rPr>
          <w:rtl/>
        </w:rPr>
        <w:t xml:space="preserve"> הפרנסה המרה” שחייבה אותו ללבוש בגדי רבנות, היה מעדיף להתלבש כבעל בית. הוא הסביר שכאשר נסע ברכבת התחתית – באותם ימים נסע אבי בתחבורה ציבורית – לבושו העיד עליו שהוא אדם הקשור לתורה, והדבר חייבו לשים לב לכל תנועה שלו כדי שלא יגרום בשוגג לחילול השם. אילו התלבש כאדם רגיל, יכול היה להתנהל בלי פחד תמידי שיעשה משהו שאינו ראוי או שאינו נאה, ודעתו הייתה פנויה למחשבות אחרות.</w:t>
      </w:r>
    </w:p>
    <w:p w14:paraId="40FDBF65" w14:textId="22F0AF6B" w:rsidR="00AB3647" w:rsidRDefault="00000000" w:rsidP="007923E9">
      <w:pPr>
        <w:spacing w:before="240" w:after="120" w:line="276" w:lineRule="auto"/>
        <w:ind w:firstLine="283"/>
        <w:jc w:val="both"/>
      </w:pPr>
      <w:bookmarkStart w:id="6985" w:name="pr_b_2886"/>
      <w:bookmarkEnd w:id="6985"/>
      <w:r>
        <w:rPr>
          <w:b/>
          <w:bCs/>
          <w:rtl/>
        </w:rPr>
        <w:t xml:space="preserve">הערת סיום (במקור בסוף הפרק, בסימן כוכבית; היא המשך להערת שוליים </w:t>
      </w:r>
      <w:r>
        <w:rPr>
          <w:b/>
          <w:bCs/>
          <w:rtl/>
        </w:rPr>
        <w:fldChar w:fldCharType="begin" w:dirty="true"/>
      </w:r>
      <w:r>
        <w:rPr>
          <w:b/>
          <w:bCs/>
          <w:rtl/>
        </w:rPr>
        <w:instrText xml:space="preserve"> NOTEREF pr_f_3065 \h </w:instrText>
      </w:r>
      <w:r>
        <w:rPr>
          <w:b/>
          <w:bCs/>
          <w:rtl/>
        </w:rPr>
      </w:r>
      <w:r w:rsidR="007923E9">
        <w:rPr>
          <w:b/>
          <w:bCs/>
          <w:rtl/>
        </w:rPr>
        <w:instrText xml:space="preserve"> \* </w:instrText>
      </w:r>
      <w:r w:rsidR="007923E9">
        <w:rPr>
          <w:b/>
          <w:bCs/>
        </w:rPr>
        <w:instrText>MERGEFORMAT</w:instrText>
      </w:r>
      <w:r w:rsidR="007923E9">
        <w:rPr>
          <w:b/>
          <w:bCs/>
          <w:rtl/>
        </w:rPr>
        <w:instrText xml:space="preserve"> </w:instrText>
      </w:r>
      <w:r>
        <w:rPr>
          <w:b/>
          <w:bCs/>
          <w:rtl/>
        </w:rPr>
        <w:fldChar w:fldCharType="separate"/>
      </w:r>
      <w:r w:rsidR="007923E9">
        <w:rPr>
          <w:b/>
          <w:bCs/>
          <w:rtl/>
        </w:rPr>
        <w:t>142</w:t>
      </w:r>
      <w:r>
        <w:rPr>
          <w:b/>
          <w:bCs/>
          <w:rtl/>
        </w:rPr>
        <w:fldChar w:fldCharType="end"/>
      </w:r>
      <w:r>
        <w:rPr>
          <w:b/>
          <w:bCs/>
          <w:rtl/>
        </w:rPr>
        <w:t xml:space="preserve"> בפרק 4, המפנה אליה, ולכן אין לה סימן הפניה בפרק זה): אגב הערת שוליים </w:t>
      </w:r>
      <w:r>
        <w:rPr>
          <w:b/>
          <w:bCs/>
          <w:rtl/>
        </w:rPr>
        <w:fldChar w:fldCharType="begin" w:dirty="true"/>
      </w:r>
      <w:r>
        <w:rPr>
          <w:b/>
          <w:bCs/>
          <w:rtl/>
        </w:rPr>
        <w:instrText xml:space="preserve"> NOTEREF pr_f_3065 \h </w:instrText>
      </w:r>
      <w:r>
        <w:rPr>
          <w:b/>
          <w:bCs/>
          <w:rtl/>
        </w:rPr>
      </w:r>
      <w:r w:rsidR="007923E9">
        <w:rPr>
          <w:b/>
          <w:bCs/>
          <w:rtl/>
        </w:rPr>
        <w:instrText xml:space="preserve"> \* </w:instrText>
      </w:r>
      <w:r w:rsidR="007923E9">
        <w:rPr>
          <w:b/>
          <w:bCs/>
        </w:rPr>
        <w:instrText>MERGEFORMAT</w:instrText>
      </w:r>
      <w:r w:rsidR="007923E9">
        <w:rPr>
          <w:b/>
          <w:bCs/>
          <w:rtl/>
        </w:rPr>
        <w:instrText xml:space="preserve"> </w:instrText>
      </w:r>
      <w:r>
        <w:rPr>
          <w:b/>
          <w:bCs/>
          <w:rtl/>
        </w:rPr>
        <w:fldChar w:fldCharType="separate"/>
      </w:r>
      <w:r w:rsidR="007923E9">
        <w:rPr>
          <w:b/>
          <w:bCs/>
          <w:rtl/>
        </w:rPr>
        <w:t>142</w:t>
      </w:r>
      <w:r>
        <w:rPr>
          <w:b/>
          <w:bCs/>
          <w:rtl/>
        </w:rPr>
        <w:fldChar w:fldCharType="end"/>
      </w:r>
      <w:r>
        <w:rPr>
          <w:b/>
          <w:bCs/>
          <w:rtl/>
        </w:rPr>
        <w:t>, סיפר</w:t>
      </w:r>
      <w:r>
        <w:rPr>
          <w:rtl/>
        </w:rPr>
        <w:t xml:space="preserve"> ר׳ </w:t>
      </w:r>
      <w:proofErr w:type="spellStart"/>
      <w:r>
        <w:rPr>
          <w:rtl/>
        </w:rPr>
        <w:t>נתן־מאיר</w:t>
      </w:r>
      <w:proofErr w:type="spellEnd"/>
      <w:r>
        <w:rPr>
          <w:rtl/>
        </w:rPr>
        <w:t xml:space="preserve"> מעשה נוסף על ר׳ ירוחם, ששמע בצעירותו כשליווה את אביו, ר׳ </w:t>
      </w:r>
      <w:proofErr w:type="spellStart"/>
      <w:r>
        <w:rPr>
          <w:rtl/>
        </w:rPr>
        <w:t>משה־יום־טוב</w:t>
      </w:r>
      <w:proofErr w:type="spellEnd"/>
      <w:r>
        <w:rPr>
          <w:rtl/>
        </w:rPr>
        <w:t xml:space="preserve"> </w:t>
      </w:r>
      <w:proofErr w:type="spellStart"/>
      <w:r>
        <w:rPr>
          <w:rtl/>
        </w:rPr>
        <w:t>וכטפוגל</w:t>
      </w:r>
      <w:proofErr w:type="spellEnd"/>
      <w:r>
        <w:rPr>
          <w:rtl/>
        </w:rPr>
        <w:t xml:space="preserve"> – ראה פרק 4, סוף </w:t>
      </w:r>
      <w:r>
        <w:rPr>
          <w:rtl/>
        </w:rPr>
        <w:fldChar w:fldCharType="begin" w:dirty="true"/>
      </w:r>
      <w:r>
        <w:rPr>
          <w:rtl/>
        </w:rPr>
        <w:instrText xml:space="preserve"> REF b4_excR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 xml:space="preserve">נספח </w:t>
      </w:r>
      <w:proofErr w:type="spellStart"/>
      <w:r w:rsidR="007923E9" w:rsidRPr="007923E9">
        <w:rPr>
          <w:rtl/>
        </w:rPr>
        <w:t>יח</w:t>
      </w:r>
      <w:proofErr w:type="spellEnd"/>
      <w:r>
        <w:rPr>
          <w:rtl/>
        </w:rPr>
        <w:fldChar w:fldCharType="end"/>
      </w:r>
      <w:r>
        <w:rPr>
          <w:rtl/>
        </w:rPr>
        <w:t xml:space="preserve"> – בביקור אצל רבה של </w:t>
      </w:r>
      <w:proofErr w:type="spellStart"/>
      <w:r>
        <w:rPr>
          <w:rtl/>
        </w:rPr>
        <w:t>ניוארק</w:t>
      </w:r>
      <w:proofErr w:type="spellEnd"/>
      <w:r>
        <w:rPr>
          <w:rtl/>
        </w:rPr>
        <w:t xml:space="preserve">, ר׳ יוסף </w:t>
      </w:r>
      <w:proofErr w:type="spellStart"/>
      <w:r>
        <w:rPr>
          <w:rtl/>
        </w:rPr>
        <w:t>קונוויץ</w:t>
      </w:r>
      <w:proofErr w:type="spellEnd"/>
      <w:r>
        <w:rPr>
          <w:rtl/>
        </w:rPr>
        <w:t xml:space="preserve">. בין זיכרונותיהם של שני החברים הוותיקים, תלמידי </w:t>
      </w:r>
      <w:proofErr w:type="spellStart"/>
      <w:r>
        <w:rPr>
          <w:rtl/>
        </w:rPr>
        <w:t>סלבודקה</w:t>
      </w:r>
      <w:proofErr w:type="spellEnd"/>
      <w:r>
        <w:rPr>
          <w:rtl/>
        </w:rPr>
        <w:t xml:space="preserve"> שהיו בקבוצת המייסדים של ישיבת </w:t>
      </w:r>
      <w:proofErr w:type="spellStart"/>
      <w:r>
        <w:rPr>
          <w:rtl/>
        </w:rPr>
        <w:t>סלוצק</w:t>
      </w:r>
      <w:proofErr w:type="spellEnd"/>
      <w:r>
        <w:rPr>
          <w:rtl/>
        </w:rPr>
        <w:t xml:space="preserve"> במאה הקודמת – ראה פרק 3, </w:t>
      </w:r>
      <w:r>
        <w:rPr>
          <w:rtl/>
        </w:rPr>
        <w:fldChar w:fldCharType="begin" w:dirty="true"/>
      </w:r>
      <w:r>
        <w:rPr>
          <w:rtl/>
        </w:rPr>
        <w:instrText xml:space="preserve"> REF b3_excO \h \* CHARFORMAT </w:instrText>
      </w:r>
      <w:r>
        <w:rPr>
          <w:rtl/>
        </w:rPr>
      </w:r>
      <w:r w:rsidR="007923E9">
        <w:rPr>
          <w:rtl/>
        </w:rPr>
        <w:instrText xml:space="preserve"> \* </w:instrText>
      </w:r>
      <w:r w:rsidR="007923E9">
        <w:instrText>MERGEFORMAT</w:instrText>
      </w:r>
      <w:r w:rsidR="007923E9">
        <w:rPr>
          <w:rtl/>
        </w:rPr>
        <w:instrText xml:space="preserve"> </w:instrText>
      </w:r>
      <w:r>
        <w:rPr>
          <w:rtl/>
        </w:rPr>
        <w:fldChar w:fldCharType="separate"/>
      </w:r>
      <w:r w:rsidR="007923E9" w:rsidRPr="007923E9">
        <w:rPr>
          <w:rtl/>
        </w:rPr>
        <w:t>נספח טו</w:t>
      </w:r>
      <w:r>
        <w:rPr>
          <w:rtl/>
        </w:rPr>
        <w:fldChar w:fldCharType="end"/>
      </w:r>
      <w:r>
        <w:rPr>
          <w:rtl/>
        </w:rPr>
        <w:t xml:space="preserve"> – היה סיפור קצר של ר׳ יוסף </w:t>
      </w:r>
      <w:proofErr w:type="spellStart"/>
      <w:r>
        <w:rPr>
          <w:rtl/>
        </w:rPr>
        <w:t>קונוויץ</w:t>
      </w:r>
      <w:proofErr w:type="spellEnd"/>
      <w:r>
        <w:rPr>
          <w:rtl/>
        </w:rPr>
        <w:t xml:space="preserve">, שעורר אצל ר׳ </w:t>
      </w:r>
      <w:proofErr w:type="spellStart"/>
      <w:r>
        <w:rPr>
          <w:rtl/>
        </w:rPr>
        <w:t>משה־יום־טוב</w:t>
      </w:r>
      <w:proofErr w:type="spellEnd"/>
      <w:r>
        <w:rPr>
          <w:rtl/>
        </w:rPr>
        <w:t xml:space="preserve"> </w:t>
      </w:r>
      <w:proofErr w:type="spellStart"/>
      <w:r>
        <w:rPr>
          <w:rtl/>
        </w:rPr>
        <w:t>וכטפוגל</w:t>
      </w:r>
      <w:proofErr w:type="spellEnd"/>
      <w:r>
        <w:rPr>
          <w:rtl/>
        </w:rPr>
        <w:t xml:space="preserve"> פרצי צחוק.</w:t>
      </w:r>
    </w:p>
    <w:p w14:paraId="61A469A5" w14:textId="77777777" w:rsidR="00AB3647" w:rsidRDefault="00000000" w:rsidP="007923E9">
      <w:pPr>
        <w:spacing w:before="240" w:after="120" w:line="276" w:lineRule="auto"/>
        <w:ind w:firstLine="283"/>
        <w:jc w:val="both"/>
      </w:pPr>
      <w:r>
        <w:rPr>
          <w:rtl/>
        </w:rPr>
        <w:t xml:space="preserve">מיד כשהגיע ר׳ ירוחם </w:t>
      </w:r>
      <w:proofErr w:type="spellStart"/>
      <w:r>
        <w:rPr>
          <w:rtl/>
        </w:rPr>
        <w:t>ליבוביץ</w:t>
      </w:r>
      <w:proofErr w:type="spellEnd"/>
      <w:r>
        <w:rPr>
          <w:rtl/>
        </w:rPr>
        <w:t xml:space="preserve"> לישיבת </w:t>
      </w:r>
      <w:proofErr w:type="spellStart"/>
      <w:r>
        <w:rPr>
          <w:rtl/>
        </w:rPr>
        <w:t>סלבודקה</w:t>
      </w:r>
      <w:proofErr w:type="spellEnd"/>
      <w:r>
        <w:rPr>
          <w:rtl/>
        </w:rPr>
        <w:t xml:space="preserve">, בן 16, ראה בו הסבא עתיד גדול, ולא עבר זמן רב עד שר׳ </w:t>
      </w:r>
      <w:proofErr w:type="spellStart"/>
      <w:r>
        <w:rPr>
          <w:rtl/>
        </w:rPr>
        <w:t>נתן־צבי</w:t>
      </w:r>
      <w:proofErr w:type="spellEnd"/>
      <w:r>
        <w:rPr>
          <w:rtl/>
        </w:rPr>
        <w:t xml:space="preserve"> </w:t>
      </w:r>
      <w:proofErr w:type="spellStart"/>
      <w:r>
        <w:rPr>
          <w:rtl/>
        </w:rPr>
        <w:t>פינקל</w:t>
      </w:r>
      <w:proofErr w:type="spellEnd"/>
      <w:r>
        <w:rPr>
          <w:rtl/>
        </w:rPr>
        <w:t xml:space="preserve"> הזמינו להצטרף לתלמידים אחרים, מבוגרים ממנו, לסעודת השבת הקרובה על שולחנו. ר׳ יוסף, שלא היה מרוצה מכך שתלמיד צעיר וחדש כל כך יסעד עמם, לקח את הנער הצדה </w:t>
      </w:r>
      <w:proofErr w:type="spellStart"/>
      <w:r>
        <w:rPr>
          <w:rtl/>
        </w:rPr>
        <w:t>ו“ייעץ</w:t>
      </w:r>
      <w:proofErr w:type="spellEnd"/>
      <w:r>
        <w:rPr>
          <w:rtl/>
        </w:rPr>
        <w:t xml:space="preserve">” לו: בבית הסבא יש מנהגים מיוחדים, ואחד מהם הוא שהמזמן אומר בראש ברכת המזון “ברשות רבנו ר׳ אליהו </w:t>
      </w:r>
      <w:proofErr w:type="spellStart"/>
      <w:r>
        <w:rPr>
          <w:rtl/>
        </w:rPr>
        <w:t>מווילנא</w:t>
      </w:r>
      <w:proofErr w:type="spellEnd"/>
      <w:r>
        <w:rPr>
          <w:rtl/>
        </w:rPr>
        <w:t xml:space="preserve">”, ואחריו “וברשות מורנו ר׳ ישראל בעל שם טוב”, ורק אחר כך ממשיך בנוסח הרגיל, בבקשת רשות מבעל הבית: “וברשות הרב בעל הבית”. התלמיד החדש הודה </w:t>
      </w:r>
      <w:proofErr w:type="spellStart"/>
      <w:r>
        <w:rPr>
          <w:rtl/>
        </w:rPr>
        <w:t>לר</w:t>
      </w:r>
      <w:proofErr w:type="spellEnd"/>
      <w:r>
        <w:rPr>
          <w:rtl/>
        </w:rPr>
        <w:t xml:space="preserve">׳ יוסף בהכרת טובה על הדרכתו. על פי ההלכה </w:t>
      </w:r>
      <w:proofErr w:type="spellStart"/>
      <w:r>
        <w:rPr>
          <w:rtl/>
        </w:rPr>
        <w:t>בשו״ע</w:t>
      </w:r>
      <w:proofErr w:type="spellEnd"/>
      <w:r>
        <w:rPr>
          <w:rtl/>
        </w:rPr>
        <w:t xml:space="preserve"> </w:t>
      </w:r>
      <w:proofErr w:type="spellStart"/>
      <w:r>
        <w:rPr>
          <w:rtl/>
        </w:rPr>
        <w:t>או״ח</w:t>
      </w:r>
      <w:proofErr w:type="spellEnd"/>
      <w:r>
        <w:rPr>
          <w:rtl/>
        </w:rPr>
        <w:t xml:space="preserve"> ריש סי׳ ר״א, שאורח מברך, ניתן כבוד זה </w:t>
      </w:r>
      <w:proofErr w:type="spellStart"/>
      <w:r>
        <w:rPr>
          <w:rtl/>
        </w:rPr>
        <w:t>לליבוביץ</w:t>
      </w:r>
      <w:proofErr w:type="spellEnd"/>
      <w:r>
        <w:rPr>
          <w:rtl/>
        </w:rPr>
        <w:t xml:space="preserve"> הצעיר – בדיוק כפי שציפה ר׳ יוסף </w:t>
      </w:r>
      <w:proofErr w:type="spellStart"/>
      <w:r>
        <w:rPr>
          <w:rtl/>
        </w:rPr>
        <w:t>קונוויץ</w:t>
      </w:r>
      <w:proofErr w:type="spellEnd"/>
      <w:r>
        <w:rPr>
          <w:rtl/>
        </w:rPr>
        <w:t>.</w:t>
      </w:r>
    </w:p>
    <w:p w14:paraId="7B75C49E" w14:textId="77777777" w:rsidR="00AB3647" w:rsidRDefault="00000000" w:rsidP="007923E9">
      <w:pPr>
        <w:spacing w:before="240" w:after="120" w:line="276" w:lineRule="auto"/>
        <w:ind w:firstLine="283"/>
        <w:jc w:val="both"/>
      </w:pPr>
      <w:r>
        <w:rPr>
          <w:rtl/>
        </w:rPr>
        <w:t xml:space="preserve">כשהשפיל ר׳ ירוחם את עיניו אל השולחן בענווה והזכיר את הגאון מווילנה, הביטו המסובים זה בזה ופרצו בצחוק, ומיהרו לכסות את פיהם כדי לעמעמו. כולם צחקו – מלבד הסבא, ששמר על ארשת פניו הרצינית. אבל כשהמשיך האורח והזכיר את </w:t>
      </w:r>
      <w:proofErr w:type="spellStart"/>
      <w:r>
        <w:rPr>
          <w:rtl/>
        </w:rPr>
        <w:t>הבעש״ט</w:t>
      </w:r>
      <w:proofErr w:type="spellEnd"/>
      <w:r>
        <w:rPr>
          <w:rtl/>
        </w:rPr>
        <w:t xml:space="preserve">, נאלץ אפילו ר׳ </w:t>
      </w:r>
      <w:proofErr w:type="spellStart"/>
      <w:r>
        <w:rPr>
          <w:rtl/>
        </w:rPr>
        <w:t>נתן־צבי</w:t>
      </w:r>
      <w:proofErr w:type="spellEnd"/>
      <w:r>
        <w:rPr>
          <w:rtl/>
        </w:rPr>
        <w:t xml:space="preserve"> </w:t>
      </w:r>
      <w:proofErr w:type="spellStart"/>
      <w:r>
        <w:rPr>
          <w:rtl/>
        </w:rPr>
        <w:t>פינקל</w:t>
      </w:r>
      <w:proofErr w:type="spellEnd"/>
      <w:r>
        <w:rPr>
          <w:rtl/>
        </w:rPr>
        <w:t xml:space="preserve"> לכבוש את צחוקו בידו. ר׳ יוסף לא סיפר לאיש שהוא עומד להכשיל את הנער, אבל ברגע שהסבא הביט לעברו, ידע האשם שרבו הבין מי עשה את התעלול. “ובכל זאת הסבא מעולם לא גער בי על מה שעשיתי, ואף לא הזכיר את המעשה – אולי מפני שידע שמניעי היה לשמור על סדרי הסמכות בישיבה”, סיים ר׳ יוסף </w:t>
      </w:r>
      <w:proofErr w:type="spellStart"/>
      <w:r>
        <w:rPr>
          <w:rtl/>
        </w:rPr>
        <w:t>קונוויץ</w:t>
      </w:r>
      <w:proofErr w:type="spellEnd"/>
      <w:r>
        <w:rPr>
          <w:rtl/>
        </w:rPr>
        <w:t xml:space="preserve">. ר׳ </w:t>
      </w:r>
      <w:proofErr w:type="spellStart"/>
      <w:r>
        <w:rPr>
          <w:rtl/>
        </w:rPr>
        <w:t>נתן־מאיר</w:t>
      </w:r>
      <w:proofErr w:type="spellEnd"/>
      <w:r>
        <w:rPr>
          <w:rtl/>
        </w:rPr>
        <w:t xml:space="preserve"> סיפר מעשה זה </w:t>
      </w:r>
      <w:proofErr w:type="spellStart"/>
      <w:r>
        <w:rPr>
          <w:rtl/>
        </w:rPr>
        <w:t>לר</w:t>
      </w:r>
      <w:proofErr w:type="spellEnd"/>
      <w:r>
        <w:rPr>
          <w:rtl/>
        </w:rPr>
        <w:t>׳ דוד ויסקי, והוא חזר וסיפרו לי לקראת השלמת כתיבת הספר, ב־16 באפריל 2002.</w:t>
      </w:r>
    </w:p>
    <w:p w14:paraId="7004CDE4" w14:textId="77777777" w:rsidR="00AB3647" w:rsidRDefault="00000000" w:rsidP="007923E9">
      <w:pPr>
        <w:spacing w:before="480" w:after="120" w:line="276" w:lineRule="auto"/>
        <w:jc w:val="center"/>
      </w:pPr>
      <w:r>
        <w:rPr>
          <w:b/>
          <w:bCs/>
          <w:sz w:val="28"/>
          <w:rtl/>
        </w:rPr>
        <w:t>תם ונשלם שבח לא־ל בורא עולם</w:t>
      </w:r>
    </w:p>
    <w:p w14:paraId="035BA4A2" w14:textId="77777777" w:rsidR="00AB3647" w:rsidRDefault="00000000" w:rsidP="007923E9">
      <w:pPr>
        <w:spacing w:line="276" w:lineRule="auto"/>
      </w:pPr>
      <w:r>
        <w:br w:type="page"/>
      </w:r>
    </w:p>
    <w:sectPr w:rsidR="00AB3647">
      <w:footerReference w:type="default" r:id="rId16"/>
      <w:footnotePr>
        <w:pos w:val="pageBottom"/>
        <w:numRestart w:val="eachSect"/>
      </w:footnotePr>
      <w:pgSz w:w="9638" w:h="13606"/>
      <w:pgMar w:top="1134" w:right="1077" w:bottom="1134" w:left="1077" w:header="567" w:footer="567"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C401C4" w14:textId="77777777" w:rsidR="007A449E" w:rsidRDefault="007A449E">
      <w:r>
        <w:separator/>
      </w:r>
    </w:p>
  </w:endnote>
  <w:endnote w:type="continuationSeparator" w:id="0">
    <w:p w14:paraId="33F65E47" w14:textId="77777777" w:rsidR="007A449E" w:rsidRDefault="007A4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FrankRuehl">
    <w:panose1 w:val="020E05030601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431890" w14:textId="77777777" w:rsidR="00AB3647" w:rsidRDefault="00000000">
    <w:pPr>
      <w:jc w:val="center"/>
    </w:pPr>
    <w:r>
      <w:rPr>
        <w:sz w:val="20"/>
        <w:szCs w:val="20"/>
      </w:rPr>
      <w:fldChar w:fldCharType="begin"/>
    </w:r>
    <w:r>
      <w:rPr>
        <w:sz w:val="20"/>
        <w:szCs w:val="20"/>
      </w:rPr>
      <w:instrText>PAGE</w:instrText>
    </w:r>
    <w:r>
      <w:rPr>
        <w:sz w:val="20"/>
        <w:szCs w:val="20"/>
      </w:rPr>
      <w:fldChar w:fldCharType="separate"/>
    </w:r>
    <w:r w:rsidR="007923E9">
      <w:rPr>
        <w:noProof/>
        <w:sz w:val="20"/>
        <w:szCs w:val="20"/>
        <w:rtl/>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B5C7AC" w14:textId="77777777" w:rsidR="00AB3647" w:rsidRDefault="00000000">
    <w:pPr>
      <w:jc w:val="center"/>
    </w:pPr>
    <w:r>
      <w:rPr>
        <w:sz w:val="20"/>
        <w:szCs w:val="20"/>
      </w:rPr>
      <w:fldChar w:fldCharType="begin"/>
    </w:r>
    <w:r>
      <w:rPr>
        <w:sz w:val="20"/>
        <w:szCs w:val="20"/>
      </w:rPr>
      <w:instrText>PAGE</w:instrText>
    </w:r>
    <w:r>
      <w:rPr>
        <w:sz w:val="20"/>
        <w:szCs w:val="20"/>
      </w:rPr>
      <w:fldChar w:fldCharType="separate"/>
    </w:r>
    <w:r w:rsidR="007923E9">
      <w:rPr>
        <w:noProof/>
        <w:sz w:val="20"/>
        <w:szCs w:val="20"/>
        <w:rtl/>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BE9BB6" w14:textId="77777777" w:rsidR="00AB3647" w:rsidRDefault="00000000">
    <w:pPr>
      <w:jc w:val="center"/>
    </w:pPr>
    <w:r>
      <w:rPr>
        <w:sz w:val="20"/>
        <w:szCs w:val="20"/>
      </w:rPr>
      <w:fldChar w:fldCharType="begin"/>
    </w:r>
    <w:r>
      <w:rPr>
        <w:sz w:val="20"/>
        <w:szCs w:val="20"/>
      </w:rPr>
      <w:instrText>PAGE</w:instrText>
    </w:r>
    <w:r>
      <w:rPr>
        <w:sz w:val="20"/>
        <w:szCs w:val="20"/>
      </w:rPr>
      <w:fldChar w:fldCharType="separate"/>
    </w:r>
    <w:r w:rsidR="007923E9">
      <w:rPr>
        <w:noProof/>
        <w:sz w:val="20"/>
        <w:szCs w:val="20"/>
        <w:rtl/>
      </w:rPr>
      <w:t>1</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A1764A" w14:textId="77777777" w:rsidR="00AB3647" w:rsidRDefault="00000000">
    <w:pPr>
      <w:jc w:val="center"/>
    </w:pPr>
    <w:r>
      <w:rPr>
        <w:sz w:val="20"/>
        <w:szCs w:val="20"/>
      </w:rPr>
      <w:fldChar w:fldCharType="begin"/>
    </w:r>
    <w:r>
      <w:rPr>
        <w:sz w:val="20"/>
        <w:szCs w:val="20"/>
      </w:rPr>
      <w:instrText>PAGE</w:instrText>
    </w:r>
    <w:r>
      <w:rPr>
        <w:sz w:val="20"/>
        <w:szCs w:val="20"/>
      </w:rPr>
      <w:fldChar w:fldCharType="separate"/>
    </w:r>
    <w:r w:rsidR="007923E9">
      <w:rPr>
        <w:noProof/>
        <w:sz w:val="20"/>
        <w:szCs w:val="20"/>
        <w:rtl/>
      </w:rPr>
      <w:t>1</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A71732" w14:textId="77777777" w:rsidR="00AB3647" w:rsidRDefault="00000000">
    <w:pPr>
      <w:jc w:val="center"/>
    </w:pPr>
    <w:r>
      <w:rPr>
        <w:sz w:val="20"/>
        <w:szCs w:val="20"/>
      </w:rPr>
      <w:fldChar w:fldCharType="begin"/>
    </w:r>
    <w:r>
      <w:rPr>
        <w:sz w:val="20"/>
        <w:szCs w:val="20"/>
      </w:rPr>
      <w:instrText>PAGE</w:instrText>
    </w:r>
    <w:r>
      <w:rPr>
        <w:sz w:val="20"/>
        <w:szCs w:val="20"/>
      </w:rPr>
      <w:fldChar w:fldCharType="separate"/>
    </w:r>
    <w:r w:rsidR="007923E9">
      <w:rPr>
        <w:noProof/>
        <w:sz w:val="20"/>
        <w:szCs w:val="20"/>
        <w:rtl/>
      </w:rPr>
      <w:t>1</w:t>
    </w:r>
    <w:r>
      <w:rPr>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4DF7CC" w14:textId="77777777" w:rsidR="00AB3647" w:rsidRDefault="00000000">
    <w:pPr>
      <w:jc w:val="center"/>
    </w:pPr>
    <w:r>
      <w:rPr>
        <w:sz w:val="20"/>
        <w:szCs w:val="20"/>
      </w:rPr>
      <w:fldChar w:fldCharType="begin"/>
    </w:r>
    <w:r>
      <w:rPr>
        <w:sz w:val="20"/>
        <w:szCs w:val="20"/>
      </w:rPr>
      <w:instrText>PAGE</w:instrText>
    </w:r>
    <w:r>
      <w:rPr>
        <w:sz w:val="20"/>
        <w:szCs w:val="20"/>
      </w:rPr>
      <w:fldChar w:fldCharType="separate"/>
    </w:r>
    <w:r w:rsidR="007923E9">
      <w:rPr>
        <w:noProof/>
        <w:sz w:val="20"/>
        <w:szCs w:val="20"/>
        <w:rtl/>
      </w:rPr>
      <w:t>1</w:t>
    </w:r>
    <w:r>
      <w:rPr>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830DFA" w14:textId="77777777" w:rsidR="00AB3647" w:rsidRDefault="00000000">
    <w:pPr>
      <w:jc w:val="center"/>
    </w:pPr>
    <w:r>
      <w:rPr>
        <w:sz w:val="20"/>
        <w:szCs w:val="20"/>
      </w:rPr>
      <w:fldChar w:fldCharType="begin"/>
    </w:r>
    <w:r>
      <w:rPr>
        <w:sz w:val="20"/>
        <w:szCs w:val="20"/>
      </w:rPr>
      <w:instrText>PAGE</w:instrText>
    </w:r>
    <w:r>
      <w:rPr>
        <w:sz w:val="20"/>
        <w:szCs w:val="20"/>
      </w:rPr>
      <w:fldChar w:fldCharType="separate"/>
    </w:r>
    <w:r w:rsidR="007923E9">
      <w:rPr>
        <w:noProof/>
        <w:sz w:val="20"/>
        <w:szCs w:val="20"/>
        <w:rtl/>
      </w:rPr>
      <w:t>1</w:t>
    </w:r>
    <w:r>
      <w:rPr>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E00BB1" w14:textId="77777777" w:rsidR="00AB3647" w:rsidRDefault="00000000">
    <w:pPr>
      <w:jc w:val="center"/>
    </w:pPr>
    <w:r>
      <w:rPr>
        <w:sz w:val="20"/>
        <w:szCs w:val="20"/>
      </w:rPr>
      <w:fldChar w:fldCharType="begin"/>
    </w:r>
    <w:r>
      <w:rPr>
        <w:sz w:val="20"/>
        <w:szCs w:val="20"/>
      </w:rPr>
      <w:instrText>PAGE</w:instrText>
    </w:r>
    <w:r>
      <w:rPr>
        <w:sz w:val="20"/>
        <w:szCs w:val="20"/>
      </w:rPr>
      <w:fldChar w:fldCharType="separate"/>
    </w:r>
    <w:r w:rsidR="007923E9">
      <w:rPr>
        <w:noProof/>
        <w:sz w:val="20"/>
        <w:szCs w:val="20"/>
        <w:rtl/>
      </w:rPr>
      <w:t>1</w:t>
    </w:r>
    <w:r>
      <w:rPr>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2EFF2F" w14:textId="77777777" w:rsidR="00AB3647" w:rsidRDefault="00000000">
    <w:pPr>
      <w:jc w:val="center"/>
    </w:pPr>
    <w:r>
      <w:rPr>
        <w:sz w:val="20"/>
        <w:szCs w:val="20"/>
      </w:rPr>
      <w:fldChar w:fldCharType="begin"/>
    </w:r>
    <w:r>
      <w:rPr>
        <w:sz w:val="20"/>
        <w:szCs w:val="20"/>
      </w:rPr>
      <w:instrText>PAGE</w:instrText>
    </w:r>
    <w:r>
      <w:rPr>
        <w:sz w:val="20"/>
        <w:szCs w:val="20"/>
      </w:rPr>
      <w:fldChar w:fldCharType="separate"/>
    </w:r>
    <w:r w:rsidR="007923E9">
      <w:rPr>
        <w:noProof/>
        <w:sz w:val="20"/>
        <w:szCs w:val="20"/>
        <w:rtl/>
      </w:rPr>
      <w:t>1</w:t>
    </w:r>
    <w:r>
      <w:rPr>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8B0EC9" w14:textId="77777777" w:rsidR="00AB3647" w:rsidRDefault="00000000">
    <w:pPr>
      <w:jc w:val="center"/>
    </w:pPr>
    <w:r>
      <w:rPr>
        <w:sz w:val="20"/>
        <w:szCs w:val="20"/>
      </w:rPr>
      <w:fldChar w:fldCharType="begin"/>
    </w:r>
    <w:r>
      <w:rPr>
        <w:sz w:val="20"/>
        <w:szCs w:val="20"/>
      </w:rPr>
      <w:instrText>PAGE</w:instrText>
    </w:r>
    <w:r>
      <w:rPr>
        <w:sz w:val="20"/>
        <w:szCs w:val="20"/>
      </w:rPr>
      <w:fldChar w:fldCharType="separate"/>
    </w:r>
    <w:r w:rsidR="007923E9">
      <w:rPr>
        <w:noProof/>
        <w:sz w:val="20"/>
        <w:szCs w:val="20"/>
        <w:rtl/>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7B514D" w14:textId="77777777" w:rsidR="007A449E" w:rsidRDefault="007A449E">
      <w:r>
        <w:separator/>
      </w:r>
    </w:p>
  </w:footnote>
  <w:footnote w:type="continuationSeparator" w:id="0">
    <w:p w14:paraId="2C439355" w14:textId="77777777" w:rsidR="007A449E" w:rsidRDefault="007A449E">
      <w:r>
        <w:continuationSeparator/>
      </w:r>
    </w:p>
  </w:footnote>
  <w:footnote w:id="1">
    <w:p w14:paraId="00DDEC26" w14:textId="77777777" w:rsidR="00AB3647" w:rsidRDefault="00000000">
      <w:pPr>
        <w:spacing w:after="0" w:before="0"/>
        <w:jc w:val="both"/>
      </w:pPr>
      <w:r>
        <w:fldChar w:fldCharType="begin" w:dirty="true"/>
      </w:r>
      <w:r>
        <w:instrText>HYPERLINK \l "_fnr1"</w:instrText>
      </w:r>
      <w:r>
        <w:fldChar w:fldCharType="separate"/>
      </w:r>
      <w:r>
        <w:rPr>
          <w:rStyle w:val="a5"/>
          <w:sz w:val="20"/>
          <w:szCs w:val="20"/>
          <w:vertAlign w:val="baseline"/>
        </w:rPr>
        <w:footnoteRef/>
      </w:r>
      <w:r>
        <w:rPr>
          <w:rStyle w:val="a5"/>
          <w:sz w:val="20"/>
          <w:szCs w:val="20"/>
          <w:vertAlign w:val="baseline"/>
        </w:rPr>
        <w:fldChar w:fldCharType="end"/>
      </w:r>
      <w:r>
        <w:rPr>
          <w:rStyle w:val="a5"/>
          <w:sz w:val="20"/>
          <w:szCs w:val="20"/>
          <w:vertAlign w:val="baseline"/>
          <w:rtl/>
        </w:rPr>
        <w:t>.</w:t>
      </w:r>
      <w:r>
        <w:rPr>
          <w:sz w:val="20"/>
          <w:szCs w:val="20"/>
          <w:rtl/>
        </w:rPr>
        <w:t xml:space="preserve"> הוצאת מסורה, ברוקלין, ניו יורק, 1993.</w:t>
      </w:r>
    </w:p>
  </w:footnote>
  <w:footnote w:id="2">
    <w:p w14:paraId="5CB9227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יצא לאור בידי מכון “תפארת אברהם”, איתרי, תשנ״ז.</w:t>
      </w:r>
    </w:p>
  </w:footnote>
  <w:footnote w:id="3">
    <w:p w14:paraId="456C96C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20 בנובמבר 1987.</w:t>
      </w:r>
    </w:p>
  </w:footnote>
  <w:footnote w:id="4">
    <w:p w14:paraId="71E0801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עמ׳ 29.</w:t>
      </w:r>
    </w:p>
  </w:footnote>
  <w:footnote w:id="5">
    <w:p w14:paraId="4C9FF17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עמ׳ 31.</w:t>
      </w:r>
    </w:p>
  </w:footnote>
  <w:footnote w:id="6">
    <w:p w14:paraId="2EFF31B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ר׳ מרדכי </w:t>
      </w:r>
      <w:proofErr w:type="spellStart"/>
      <w:r>
        <w:rPr>
          <w:sz w:val="20"/>
          <w:szCs w:val="20"/>
          <w:rtl/>
        </w:rPr>
        <w:t>אליאסברג</w:t>
      </w:r>
      <w:proofErr w:type="spellEnd"/>
      <w:r>
        <w:rPr>
          <w:sz w:val="20"/>
          <w:szCs w:val="20"/>
          <w:rtl/>
        </w:rPr>
        <w:t xml:space="preserve">, שלמד אז </w:t>
      </w:r>
      <w:proofErr w:type="spellStart"/>
      <w:r>
        <w:rPr>
          <w:sz w:val="20"/>
          <w:szCs w:val="20"/>
          <w:rtl/>
        </w:rPr>
        <w:t>בוולוז׳ין</w:t>
      </w:r>
      <w:proofErr w:type="spellEnd"/>
      <w:r>
        <w:rPr>
          <w:sz w:val="20"/>
          <w:szCs w:val="20"/>
          <w:rtl/>
        </w:rPr>
        <w:t xml:space="preserve"> כנשוי טרי בן </w:t>
      </w:r>
      <w:proofErr w:type="spellStart"/>
      <w:r>
        <w:rPr>
          <w:sz w:val="20"/>
          <w:szCs w:val="20"/>
          <w:rtl/>
        </w:rPr>
        <w:t>ארבע־עשרה</w:t>
      </w:r>
      <w:proofErr w:type="spellEnd"/>
      <w:r>
        <w:rPr>
          <w:sz w:val="20"/>
          <w:szCs w:val="20"/>
          <w:rtl/>
        </w:rPr>
        <w:t>.</w:t>
      </w:r>
    </w:p>
  </w:footnote>
  <w:footnote w:id="7">
    <w:p w14:paraId="0F23A21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מבוא ביוגרפי מאת בן המחבר, ר׳ יהונתן </w:t>
      </w:r>
      <w:proofErr w:type="spellStart"/>
      <w:r>
        <w:rPr>
          <w:sz w:val="20"/>
          <w:szCs w:val="20"/>
          <w:rtl/>
        </w:rPr>
        <w:t>אליאסברג</w:t>
      </w:r>
      <w:proofErr w:type="spellEnd"/>
      <w:r>
        <w:rPr>
          <w:sz w:val="20"/>
          <w:szCs w:val="20"/>
          <w:rtl/>
        </w:rPr>
        <w:t xml:space="preserve">, </w:t>
      </w:r>
      <w:proofErr w:type="spellStart"/>
      <w:r>
        <w:rPr>
          <w:sz w:val="20"/>
          <w:szCs w:val="20"/>
          <w:rtl/>
        </w:rPr>
        <w:t>ל“שביל</w:t>
      </w:r>
      <w:proofErr w:type="spellEnd"/>
      <w:r>
        <w:rPr>
          <w:sz w:val="20"/>
          <w:szCs w:val="20"/>
          <w:rtl/>
        </w:rPr>
        <w:t xml:space="preserve"> הזהב” מאת הרב הגאון וכו׳ מרדכי </w:t>
      </w:r>
      <w:proofErr w:type="spellStart"/>
      <w:r>
        <w:rPr>
          <w:sz w:val="20"/>
          <w:szCs w:val="20"/>
          <w:rtl/>
        </w:rPr>
        <w:t>עליאסבערג</w:t>
      </w:r>
      <w:proofErr w:type="spellEnd"/>
      <w:r>
        <w:rPr>
          <w:sz w:val="20"/>
          <w:szCs w:val="20"/>
          <w:rtl/>
        </w:rPr>
        <w:t xml:space="preserve"> (</w:t>
      </w:r>
      <w:proofErr w:type="spellStart"/>
      <w:r>
        <w:rPr>
          <w:sz w:val="20"/>
          <w:szCs w:val="20"/>
          <w:rtl/>
        </w:rPr>
        <w:t>ווארשא</w:t>
      </w:r>
      <w:proofErr w:type="spellEnd"/>
      <w:r>
        <w:rPr>
          <w:sz w:val="20"/>
          <w:szCs w:val="20"/>
          <w:rtl/>
        </w:rPr>
        <w:t xml:space="preserve">, תרנ״ז), עמ׳ </w:t>
      </w:r>
      <w:proofErr w:type="spellStart"/>
      <w:r>
        <w:rPr>
          <w:sz w:val="20"/>
          <w:szCs w:val="20"/>
          <w:rtl/>
        </w:rPr>
        <w:t>vii</w:t>
      </w:r>
      <w:proofErr w:type="spellEnd"/>
      <w:r>
        <w:rPr>
          <w:sz w:val="20"/>
          <w:szCs w:val="20"/>
          <w:rtl/>
        </w:rPr>
        <w:t>.</w:t>
      </w:r>
    </w:p>
  </w:footnote>
  <w:footnote w:id="8">
    <w:p w14:paraId="650CEC1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יצא לאור ביום השנה הראשון לפטירת ר׳ מאיר חדש בידי “הועד להוצאת כתבי מרן זצ״ל” (ירושלים, </w:t>
      </w:r>
      <w:proofErr w:type="spellStart"/>
      <w:r>
        <w:rPr>
          <w:sz w:val="20"/>
          <w:szCs w:val="20"/>
          <w:rtl/>
        </w:rPr>
        <w:t>תש״ן</w:t>
      </w:r>
      <w:proofErr w:type="spellEnd"/>
      <w:r>
        <w:rPr>
          <w:sz w:val="20"/>
          <w:szCs w:val="20"/>
          <w:rtl/>
        </w:rPr>
        <w:t xml:space="preserve">), </w:t>
      </w:r>
      <w:proofErr w:type="spellStart"/>
      <w:r>
        <w:rPr>
          <w:sz w:val="20"/>
          <w:szCs w:val="20"/>
          <w:rtl/>
        </w:rPr>
        <w:t>ח״ב</w:t>
      </w:r>
      <w:proofErr w:type="spellEnd"/>
      <w:r>
        <w:rPr>
          <w:sz w:val="20"/>
          <w:szCs w:val="20"/>
          <w:rtl/>
        </w:rPr>
        <w:t>, עמ׳ נ.</w:t>
      </w:r>
    </w:p>
  </w:footnote>
  <w:footnote w:id="9">
    <w:p w14:paraId="3BCA3BF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4 בפברואר 1988.</w:t>
      </w:r>
    </w:p>
  </w:footnote>
  <w:footnote w:id="10">
    <w:p w14:paraId="586B7E7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מוסד הרב קוק, ירושלים, תשמ״ד.</w:t>
      </w:r>
    </w:p>
  </w:footnote>
  <w:footnote w:id="11">
    <w:p w14:paraId="2EDFB89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ראה גם מלכים א </w:t>
      </w:r>
      <w:proofErr w:type="spellStart"/>
      <w:r>
        <w:rPr>
          <w:sz w:val="20"/>
          <w:szCs w:val="20"/>
          <w:rtl/>
        </w:rPr>
        <w:t>יט</w:t>
      </w:r>
      <w:proofErr w:type="spellEnd"/>
      <w:r>
        <w:rPr>
          <w:sz w:val="20"/>
          <w:szCs w:val="20"/>
          <w:rtl/>
        </w:rPr>
        <w:t xml:space="preserve">, </w:t>
      </w:r>
      <w:proofErr w:type="spellStart"/>
      <w:r>
        <w:rPr>
          <w:sz w:val="20"/>
          <w:szCs w:val="20"/>
          <w:rtl/>
        </w:rPr>
        <w:t>יג</w:t>
      </w:r>
      <w:proofErr w:type="spellEnd"/>
      <w:r>
        <w:rPr>
          <w:sz w:val="20"/>
          <w:szCs w:val="20"/>
          <w:rtl/>
        </w:rPr>
        <w:t>.</w:t>
      </w:r>
    </w:p>
  </w:footnote>
  <w:footnote w:id="12">
    <w:p w14:paraId="57B8F0B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ראה פרק 4, הפסקה הראשונה של נספח </w:t>
      </w:r>
      <w:proofErr w:type="spellStart"/>
      <w:r>
        <w:rPr>
          <w:sz w:val="20"/>
          <w:szCs w:val="20"/>
          <w:rtl/>
        </w:rPr>
        <w:t>יב</w:t>
      </w:r>
      <w:proofErr w:type="spellEnd"/>
      <w:r>
        <w:rPr>
          <w:sz w:val="20"/>
          <w:szCs w:val="20"/>
          <w:rtl/>
        </w:rPr>
        <w:t xml:space="preserve">, שם מובא בשם רבנו </w:t>
      </w:r>
      <w:proofErr w:type="spellStart"/>
      <w:r>
        <w:rPr>
          <w:sz w:val="20"/>
          <w:szCs w:val="20"/>
          <w:rtl/>
        </w:rPr>
        <w:t>ש“באותם</w:t>
      </w:r>
      <w:proofErr w:type="spellEnd"/>
      <w:r>
        <w:rPr>
          <w:sz w:val="20"/>
          <w:szCs w:val="20"/>
          <w:rtl/>
        </w:rPr>
        <w:t xml:space="preserve"> ימים היה מעמדו של ראש ישיבה נמוך ממעמדו של רב”. ניסיון להביא את “האריות” האלה לידיעת הציבור נעשה לאחרונה עם פרסום שני הכרכים “רבותינו שבגולה” (הוצאת </w:t>
      </w:r>
      <w:proofErr w:type="spellStart"/>
      <w:r>
        <w:rPr>
          <w:sz w:val="20"/>
          <w:szCs w:val="20"/>
          <w:rtl/>
        </w:rPr>
        <w:t>נחליאל</w:t>
      </w:r>
      <w:proofErr w:type="spellEnd"/>
      <w:r>
        <w:rPr>
          <w:sz w:val="20"/>
          <w:szCs w:val="20"/>
          <w:rtl/>
        </w:rPr>
        <w:t xml:space="preserve">, ירושלים, תשנ״ו, תשנ״ח), המביאים ביוגרפיות תמציתיות של 57 רבנים ליטאים גדולים שחיו משנת ת״ר ואילך. בהקדמה לכרך הראשון כותבים העורכים: “הגאונים הגדולים המפורסמים מאוד לא נכללו בסדרה, מפני שמטרתה למלא חלל, לא לחזור על דברים ולא לשמש אנציקלופדיה.” את הרעיון להדפיס מפות בצדה הפנימי של הכריכה במהדורה בכריכה קשה של ספר זה אימצתי </w:t>
      </w:r>
      <w:proofErr w:type="spellStart"/>
      <w:r>
        <w:rPr>
          <w:sz w:val="20"/>
          <w:szCs w:val="20"/>
          <w:rtl/>
        </w:rPr>
        <w:t>מ“רבותינו</w:t>
      </w:r>
      <w:proofErr w:type="spellEnd"/>
      <w:r>
        <w:rPr>
          <w:sz w:val="20"/>
          <w:szCs w:val="20"/>
          <w:rtl/>
        </w:rPr>
        <w:t xml:space="preserve"> שבגולה”, </w:t>
      </w:r>
      <w:proofErr w:type="spellStart"/>
      <w:r>
        <w:rPr>
          <w:sz w:val="20"/>
          <w:szCs w:val="20"/>
          <w:rtl/>
        </w:rPr>
        <w:t>ח״ב</w:t>
      </w:r>
      <w:proofErr w:type="spellEnd"/>
      <w:r>
        <w:rPr>
          <w:sz w:val="20"/>
          <w:szCs w:val="20"/>
          <w:rtl/>
        </w:rPr>
        <w:t>.</w:t>
      </w:r>
    </w:p>
  </w:footnote>
  <w:footnote w:id="13">
    <w:p w14:paraId="6CF6717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יבמות </w:t>
      </w:r>
      <w:proofErr w:type="spellStart"/>
      <w:r>
        <w:rPr>
          <w:sz w:val="20"/>
          <w:szCs w:val="20"/>
          <w:rtl/>
        </w:rPr>
        <w:t>צז</w:t>
      </w:r>
      <w:proofErr w:type="spellEnd"/>
      <w:r>
        <w:rPr>
          <w:sz w:val="20"/>
          <w:szCs w:val="20"/>
          <w:rtl/>
        </w:rPr>
        <w:t xml:space="preserve"> ע״א.</w:t>
      </w:r>
    </w:p>
  </w:footnote>
  <w:footnote w:id="14">
    <w:p w14:paraId="456CDBA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23 במרץ 1993.</w:t>
      </w:r>
    </w:p>
  </w:footnote>
  <w:footnote w:id="15">
    <w:p w14:paraId="7C331FE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“כתבי הסבא ותלמידיו מקלם” (בני ברק, תשנ״ב), </w:t>
      </w:r>
      <w:proofErr w:type="spellStart"/>
      <w:r>
        <w:rPr>
          <w:sz w:val="20"/>
          <w:szCs w:val="20"/>
          <w:rtl/>
        </w:rPr>
        <w:t>ח״ב</w:t>
      </w:r>
      <w:proofErr w:type="spellEnd"/>
      <w:r>
        <w:rPr>
          <w:sz w:val="20"/>
          <w:szCs w:val="20"/>
          <w:rtl/>
        </w:rPr>
        <w:t xml:space="preserve">, עמ׳ </w:t>
      </w:r>
      <w:proofErr w:type="spellStart"/>
      <w:r>
        <w:rPr>
          <w:sz w:val="20"/>
          <w:szCs w:val="20"/>
          <w:rtl/>
        </w:rPr>
        <w:t>תשסט</w:t>
      </w:r>
      <w:proofErr w:type="spellEnd"/>
      <w:r>
        <w:rPr>
          <w:sz w:val="20"/>
          <w:szCs w:val="20"/>
          <w:rtl/>
        </w:rPr>
        <w:t>–</w:t>
      </w:r>
      <w:proofErr w:type="spellStart"/>
      <w:r>
        <w:rPr>
          <w:sz w:val="20"/>
          <w:szCs w:val="20"/>
          <w:rtl/>
        </w:rPr>
        <w:t>תשעג</w:t>
      </w:r>
      <w:proofErr w:type="spellEnd"/>
      <w:r>
        <w:rPr>
          <w:sz w:val="20"/>
          <w:szCs w:val="20"/>
          <w:rtl/>
        </w:rPr>
        <w:t>.</w:t>
      </w:r>
    </w:p>
  </w:footnote>
  <w:footnote w:id="16">
    <w:p w14:paraId="505CE93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proofErr w:type="spellStart"/>
      <w:r>
        <w:rPr>
          <w:sz w:val="20"/>
          <w:szCs w:val="20"/>
          <w:rtl/>
        </w:rPr>
        <w:t>נה</w:t>
      </w:r>
      <w:proofErr w:type="spellEnd"/>
      <w:r>
        <w:rPr>
          <w:sz w:val="20"/>
          <w:szCs w:val="20"/>
          <w:rtl/>
        </w:rPr>
        <w:t xml:space="preserve"> ע״א ד״ה </w:t>
      </w:r>
      <w:proofErr w:type="spellStart"/>
      <w:r>
        <w:rPr>
          <w:sz w:val="20"/>
          <w:szCs w:val="20"/>
          <w:rtl/>
        </w:rPr>
        <w:t>סחרנין</w:t>
      </w:r>
      <w:proofErr w:type="spellEnd"/>
      <w:r>
        <w:rPr>
          <w:sz w:val="20"/>
          <w:szCs w:val="20"/>
          <w:rtl/>
        </w:rPr>
        <w:t>.</w:t>
      </w:r>
    </w:p>
  </w:footnote>
  <w:footnote w:id="17">
    <w:p w14:paraId="176CCC1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16 בדצמבר 1987.</w:t>
      </w:r>
    </w:p>
  </w:footnote>
  <w:footnote w:id="18">
    <w:p w14:paraId="43DD41C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ראה פרק 3, </w:t>
      </w:r>
      <w:r>
        <w:rPr>
          <w:sz w:val="20"/>
          <w:szCs w:val="20"/>
          <w:rtl/>
        </w:rPr>
        <w:fldChar w:fldCharType="begin" w:dirty="true"/>
      </w:r>
      <w:r>
        <w:rPr>
          <w:sz w:val="20"/>
          <w:szCs w:val="20"/>
          <w:rtl/>
        </w:rPr>
        <w:instrText xml:space="preserve"> REF b3_excR \h \* CHARFORMAT </w:instrText>
      </w:r>
      <w:r>
        <w:rPr>
          <w:sz w:val="20"/>
          <w:szCs w:val="20"/>
          <w:rtl/>
        </w:rPr>
      </w:r>
      <w:r>
        <w:rPr>
          <w:sz w:val="20"/>
          <w:szCs w:val="20"/>
          <w:rtl/>
        </w:rPr>
        <w:fldChar w:fldCharType="separate"/>
      </w:r>
      <w:r w:rsidR="007923E9" w:rsidRPr="007923E9">
        <w:rPr>
          <w:sz w:val="20"/>
          <w:szCs w:val="20"/>
          <w:rtl/>
        </w:rPr>
        <w:t xml:space="preserve">נספח </w:t>
      </w:r>
      <w:proofErr w:type="spellStart"/>
      <w:r w:rsidR="007923E9" w:rsidRPr="007923E9">
        <w:rPr>
          <w:sz w:val="20"/>
          <w:szCs w:val="20"/>
          <w:rtl/>
        </w:rPr>
        <w:t>יח</w:t>
      </w:r>
      <w:proofErr w:type="spellEnd"/>
      <w:r>
        <w:rPr>
          <w:sz w:val="20"/>
          <w:szCs w:val="20"/>
          <w:rtl/>
        </w:rPr>
        <w:fldChar w:fldCharType="end"/>
      </w:r>
      <w:r>
        <w:rPr>
          <w:sz w:val="20"/>
          <w:szCs w:val="20"/>
          <w:rtl/>
        </w:rPr>
        <w:t>.</w:t>
      </w:r>
    </w:p>
  </w:footnote>
  <w:footnote w:id="19">
    <w:p w14:paraId="1A3233F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בסביבות 15 בנובמבר 1993.</w:t>
      </w:r>
    </w:p>
  </w:footnote>
  <w:footnote w:id="20">
    <w:p w14:paraId="130019B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ראה כרך 2, העתיד לצאת לאור.</w:t>
      </w:r>
    </w:p>
  </w:footnote>
  <w:footnote w:id="21">
    <w:p w14:paraId="05E767E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המראיין, ר׳ </w:t>
      </w:r>
      <w:proofErr w:type="spellStart"/>
      <w:r>
        <w:rPr>
          <w:sz w:val="20"/>
          <w:szCs w:val="20"/>
          <w:rtl/>
        </w:rPr>
        <w:t>ידעאל</w:t>
      </w:r>
      <w:proofErr w:type="spellEnd"/>
      <w:r>
        <w:rPr>
          <w:sz w:val="20"/>
          <w:szCs w:val="20"/>
          <w:rtl/>
        </w:rPr>
        <w:t>, חיבר לימים את הספר “בדרך עץ החיים”, המכיל רבים מזיכרונותיו של אבי מאותו ריאיון.</w:t>
      </w:r>
    </w:p>
  </w:footnote>
  <w:footnote w:id="22">
    <w:p w14:paraId="198A14B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ברכות </w:t>
      </w:r>
      <w:proofErr w:type="spellStart"/>
      <w:r>
        <w:rPr>
          <w:sz w:val="20"/>
          <w:szCs w:val="20"/>
          <w:rtl/>
        </w:rPr>
        <w:t>מב</w:t>
      </w:r>
      <w:proofErr w:type="spellEnd"/>
      <w:r>
        <w:rPr>
          <w:sz w:val="20"/>
          <w:szCs w:val="20"/>
          <w:rtl/>
        </w:rPr>
        <w:t xml:space="preserve"> ע״א.</w:t>
      </w:r>
    </w:p>
  </w:footnote>
  <w:footnote w:id="23">
    <w:p w14:paraId="614A47E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השווה פירוש רש״י שם על משמעות “תכף לתלמיד חכם”, והוא: “המקריבו אליו ומארחו בבית”.</w:t>
      </w:r>
    </w:p>
  </w:footnote>
  <w:footnote w:id="24">
    <w:p w14:paraId="79B4B64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ראה ברכות </w:t>
      </w:r>
      <w:proofErr w:type="spellStart"/>
      <w:r>
        <w:rPr>
          <w:sz w:val="20"/>
          <w:szCs w:val="20"/>
          <w:rtl/>
        </w:rPr>
        <w:t>מז</w:t>
      </w:r>
      <w:proofErr w:type="spellEnd"/>
      <w:r>
        <w:rPr>
          <w:sz w:val="20"/>
          <w:szCs w:val="20"/>
          <w:rtl/>
        </w:rPr>
        <w:t xml:space="preserve"> ע״ב.</w:t>
      </w:r>
    </w:p>
  </w:footnote>
  <w:footnote w:id="25">
    <w:p w14:paraId="24C130A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שבת נו ע״א.</w:t>
      </w:r>
    </w:p>
  </w:footnote>
  <w:footnote w:id="26">
    <w:p w14:paraId="2273A04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proofErr w:type="spellStart"/>
      <w:r>
        <w:rPr>
          <w:sz w:val="20"/>
          <w:szCs w:val="20"/>
          <w:rtl/>
        </w:rPr>
        <w:t>ח״ב</w:t>
      </w:r>
      <w:proofErr w:type="spellEnd"/>
      <w:r>
        <w:rPr>
          <w:sz w:val="20"/>
          <w:szCs w:val="20"/>
          <w:rtl/>
        </w:rPr>
        <w:t xml:space="preserve"> </w:t>
      </w:r>
      <w:proofErr w:type="spellStart"/>
      <w:r>
        <w:rPr>
          <w:sz w:val="20"/>
          <w:szCs w:val="20"/>
          <w:rtl/>
        </w:rPr>
        <w:t>פמ״ה</w:t>
      </w:r>
      <w:proofErr w:type="spellEnd"/>
      <w:r>
        <w:rPr>
          <w:sz w:val="20"/>
          <w:szCs w:val="20"/>
          <w:rtl/>
        </w:rPr>
        <w:t>.</w:t>
      </w:r>
    </w:p>
  </w:footnote>
  <w:footnote w:id="27">
    <w:p w14:paraId="48D88D1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שופטים ו, לד ועוד.</w:t>
      </w:r>
    </w:p>
  </w:footnote>
  <w:footnote w:id="28">
    <w:p w14:paraId="36A8DE1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19 בדצמבר 1994.</w:t>
      </w:r>
    </w:p>
  </w:footnote>
  <w:footnote w:id="29">
    <w:p w14:paraId="075D813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ראה </w:t>
      </w:r>
      <w:proofErr w:type="spellStart"/>
      <w:r>
        <w:rPr>
          <w:sz w:val="20"/>
          <w:szCs w:val="20"/>
          <w:rtl/>
        </w:rPr>
        <w:t>Reb</w:t>
      </w:r>
      <w:proofErr w:type="spellEnd"/>
      <w:r>
        <w:rPr>
          <w:sz w:val="20"/>
          <w:szCs w:val="20"/>
          <w:rtl/>
        </w:rPr>
        <w:t xml:space="preserve"> </w:t>
      </w:r>
      <w:proofErr w:type="spellStart"/>
      <w:r>
        <w:rPr>
          <w:sz w:val="20"/>
          <w:szCs w:val="20"/>
          <w:rtl/>
        </w:rPr>
        <w:t>Yaakov</w:t>
      </w:r>
      <w:proofErr w:type="spellEnd"/>
      <w:r>
        <w:rPr>
          <w:sz w:val="20"/>
          <w:szCs w:val="20"/>
          <w:rtl/>
        </w:rPr>
        <w:t xml:space="preserve">, עמ׳ 371–372, </w:t>
      </w:r>
      <w:proofErr w:type="spellStart"/>
      <w:r>
        <w:rPr>
          <w:sz w:val="20"/>
          <w:szCs w:val="20"/>
          <w:rtl/>
        </w:rPr>
        <w:t>ו“רבי</w:t>
      </w:r>
      <w:proofErr w:type="spellEnd"/>
      <w:r>
        <w:rPr>
          <w:sz w:val="20"/>
          <w:szCs w:val="20"/>
          <w:rtl/>
        </w:rPr>
        <w:t xml:space="preserve"> יעקב”, עמ׳ 457–458.</w:t>
      </w:r>
    </w:p>
  </w:footnote>
  <w:footnote w:id="30">
    <w:p w14:paraId="2933A2F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ויקרא רבה </w:t>
      </w:r>
      <w:proofErr w:type="spellStart"/>
      <w:r>
        <w:rPr>
          <w:sz w:val="20"/>
          <w:szCs w:val="20"/>
          <w:rtl/>
        </w:rPr>
        <w:t>כב:ב</w:t>
      </w:r>
      <w:proofErr w:type="spellEnd"/>
      <w:r>
        <w:rPr>
          <w:sz w:val="20"/>
          <w:szCs w:val="20"/>
          <w:rtl/>
        </w:rPr>
        <w:t>.</w:t>
      </w:r>
    </w:p>
  </w:footnote>
  <w:footnote w:id="31">
    <w:p w14:paraId="3CFF416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קהלת ה:ט.</w:t>
      </w:r>
    </w:p>
  </w:footnote>
  <w:footnote w:id="32">
    <w:p w14:paraId="277D19A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בהקדמה </w:t>
      </w:r>
      <w:proofErr w:type="spellStart"/>
      <w:r>
        <w:rPr>
          <w:sz w:val="20"/>
          <w:szCs w:val="20"/>
          <w:rtl/>
        </w:rPr>
        <w:t>ל“פלא</w:t>
      </w:r>
      <w:proofErr w:type="spellEnd"/>
      <w:r>
        <w:rPr>
          <w:sz w:val="20"/>
          <w:szCs w:val="20"/>
          <w:rtl/>
        </w:rPr>
        <w:t xml:space="preserve"> יועץ” (הוצאת בן יעקב, בלא ציון מקום ושנה) מביא המחבר, רבי אליעזר </w:t>
      </w:r>
      <w:proofErr w:type="spellStart"/>
      <w:r>
        <w:rPr>
          <w:sz w:val="20"/>
          <w:szCs w:val="20"/>
          <w:rtl/>
        </w:rPr>
        <w:t>פאפו</w:t>
      </w:r>
      <w:proofErr w:type="spellEnd"/>
      <w:r>
        <w:rPr>
          <w:sz w:val="20"/>
          <w:szCs w:val="20"/>
          <w:rtl/>
        </w:rPr>
        <w:t xml:space="preserve">, מדרש זה ומכריז: “על כן בחרתי אני </w:t>
      </w:r>
      <w:proofErr w:type="spellStart"/>
      <w:r>
        <w:rPr>
          <w:sz w:val="20"/>
          <w:szCs w:val="20"/>
          <w:rtl/>
        </w:rPr>
        <w:t>במצוה</w:t>
      </w:r>
      <w:proofErr w:type="spellEnd"/>
      <w:r>
        <w:rPr>
          <w:sz w:val="20"/>
          <w:szCs w:val="20"/>
          <w:rtl/>
        </w:rPr>
        <w:t xml:space="preserve"> זו לזכות את הרבים” (המצווה – כתיבת ספר זה, שיוערך לדורות הבאים).</w:t>
      </w:r>
    </w:p>
  </w:footnote>
  <w:footnote w:id="33">
    <w:p w14:paraId="054E2AE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19 במרץ 1994.</w:t>
      </w:r>
    </w:p>
  </w:footnote>
  <w:footnote w:id="34">
    <w:p w14:paraId="22D1D1B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וע׳ מגילה ט״ז ע״א, אמר רבי יוחנן כל האומר דבר חכמה אפי׳ </w:t>
      </w:r>
      <w:proofErr w:type="spellStart"/>
      <w:r>
        <w:rPr>
          <w:sz w:val="20"/>
          <w:szCs w:val="20"/>
          <w:rtl/>
        </w:rPr>
        <w:t>באוה״ע</w:t>
      </w:r>
      <w:proofErr w:type="spellEnd"/>
      <w:r>
        <w:rPr>
          <w:sz w:val="20"/>
          <w:szCs w:val="20"/>
          <w:rtl/>
        </w:rPr>
        <w:t xml:space="preserve"> נקרא חכם.</w:t>
      </w:r>
    </w:p>
  </w:footnote>
  <w:footnote w:id="35">
    <w:p w14:paraId="666635F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תחילת הקדמתו למסכת אבות.</w:t>
      </w:r>
    </w:p>
  </w:footnote>
  <w:footnote w:id="36">
    <w:p w14:paraId="7A31F7B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ועיין שדי חמד, מערכת האל״ף כללים אות ס״ד, שרבה של העיר שאוויל, ר׳ </w:t>
      </w:r>
      <w:proofErr w:type="spellStart"/>
      <w:r>
        <w:rPr>
          <w:sz w:val="20"/>
          <w:szCs w:val="20"/>
          <w:rtl/>
        </w:rPr>
        <w:t>יהוסף</w:t>
      </w:r>
      <w:proofErr w:type="spellEnd"/>
      <w:r>
        <w:rPr>
          <w:sz w:val="20"/>
          <w:szCs w:val="20"/>
          <w:rtl/>
        </w:rPr>
        <w:t xml:space="preserve"> זכריה שטרן, בעל שו״ת זכר </w:t>
      </w:r>
      <w:proofErr w:type="spellStart"/>
      <w:r>
        <w:rPr>
          <w:sz w:val="20"/>
          <w:szCs w:val="20"/>
          <w:rtl/>
        </w:rPr>
        <w:t>יהוסף</w:t>
      </w:r>
      <w:proofErr w:type="spellEnd"/>
      <w:r>
        <w:rPr>
          <w:sz w:val="20"/>
          <w:szCs w:val="20"/>
          <w:rtl/>
        </w:rPr>
        <w:t xml:space="preserve">, כתב שהאיסור לומר שמועה מפי אדם רשע שהובא </w:t>
      </w:r>
      <w:proofErr w:type="spellStart"/>
      <w:r>
        <w:rPr>
          <w:sz w:val="20"/>
          <w:szCs w:val="20"/>
          <w:rtl/>
        </w:rPr>
        <w:t>בשו״ת</w:t>
      </w:r>
      <w:proofErr w:type="spellEnd"/>
      <w:r>
        <w:rPr>
          <w:sz w:val="20"/>
          <w:szCs w:val="20"/>
          <w:rtl/>
        </w:rPr>
        <w:t xml:space="preserve"> </w:t>
      </w:r>
      <w:proofErr w:type="spellStart"/>
      <w:r>
        <w:rPr>
          <w:sz w:val="20"/>
          <w:szCs w:val="20"/>
          <w:rtl/>
        </w:rPr>
        <w:t>הרדב״ז</w:t>
      </w:r>
      <w:proofErr w:type="spellEnd"/>
      <w:r>
        <w:rPr>
          <w:sz w:val="20"/>
          <w:szCs w:val="20"/>
          <w:rtl/>
        </w:rPr>
        <w:t xml:space="preserve"> עיקרו הוא מפיהם ולא מפי כתבם עיי״ש. (</w:t>
      </w:r>
      <w:proofErr w:type="spellStart"/>
      <w:r>
        <w:rPr>
          <w:sz w:val="20"/>
          <w:szCs w:val="20"/>
          <w:rtl/>
        </w:rPr>
        <w:t>ובענין</w:t>
      </w:r>
      <w:proofErr w:type="spellEnd"/>
      <w:r>
        <w:rPr>
          <w:sz w:val="20"/>
          <w:szCs w:val="20"/>
          <w:rtl/>
        </w:rPr>
        <w:t xml:space="preserve"> זה ע׳ בתנועת המוסר, כרך ראשון, עמ׳ רפא–</w:t>
      </w:r>
      <w:proofErr w:type="spellStart"/>
      <w:r>
        <w:rPr>
          <w:sz w:val="20"/>
          <w:szCs w:val="20"/>
          <w:rtl/>
        </w:rPr>
        <w:t>רפב</w:t>
      </w:r>
      <w:proofErr w:type="spellEnd"/>
      <w:r>
        <w:rPr>
          <w:sz w:val="20"/>
          <w:szCs w:val="20"/>
          <w:rtl/>
        </w:rPr>
        <w:t xml:space="preserve"> ובהערות י״ב וט״ו שם, שבשנת תר״ה הדפיס ר׳ ישראל </w:t>
      </w:r>
      <w:proofErr w:type="spellStart"/>
      <w:r>
        <w:rPr>
          <w:sz w:val="20"/>
          <w:szCs w:val="20"/>
          <w:rtl/>
        </w:rPr>
        <w:t>סלנטר</w:t>
      </w:r>
      <w:proofErr w:type="spellEnd"/>
      <w:r>
        <w:rPr>
          <w:sz w:val="20"/>
          <w:szCs w:val="20"/>
          <w:rtl/>
        </w:rPr>
        <w:t xml:space="preserve"> ספר לתיקון המידות שחובר ע״י הנוכרי בנג׳מין פרנקלין [ותורגם לעברית ע״י מנדל לפין </w:t>
      </w:r>
      <w:proofErr w:type="spellStart"/>
      <w:r>
        <w:rPr>
          <w:sz w:val="20"/>
          <w:szCs w:val="20"/>
          <w:rtl/>
        </w:rPr>
        <w:t>מסטנוב</w:t>
      </w:r>
      <w:proofErr w:type="spellEnd"/>
      <w:r>
        <w:rPr>
          <w:sz w:val="20"/>
          <w:szCs w:val="20"/>
          <w:rtl/>
        </w:rPr>
        <w:t xml:space="preserve">]. ספר זה שימש גם כספר לימוד והדרכה בישיבות המוסריות בליטא ונדפס שם בפעם האחרונה ע״י הסתדרות תלמידי </w:t>
      </w:r>
      <w:proofErr w:type="spellStart"/>
      <w:r>
        <w:rPr>
          <w:sz w:val="20"/>
          <w:szCs w:val="20"/>
          <w:rtl/>
        </w:rPr>
        <w:t>סלבודקה</w:t>
      </w:r>
      <w:proofErr w:type="spellEnd"/>
      <w:r>
        <w:rPr>
          <w:sz w:val="20"/>
          <w:szCs w:val="20"/>
          <w:rtl/>
        </w:rPr>
        <w:t xml:space="preserve"> בשנת תרצ״ז.)</w:t>
      </w:r>
    </w:p>
  </w:footnote>
  <w:footnote w:id="37">
    <w:p w14:paraId="69F8E1E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בערך 18 בנובמבר 1993.</w:t>
      </w:r>
    </w:p>
  </w:footnote>
  <w:footnote w:id="38">
    <w:p w14:paraId="0C000EA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הוצאת “ארזי החן”, תשמ״ו – עמ׳ 272.</w:t>
      </w:r>
    </w:p>
  </w:footnote>
  <w:footnote w:id="39">
    <w:p w14:paraId="793ED01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השווה “הרב: עולמו של הרב יוסף ב. </w:t>
      </w:r>
      <w:proofErr w:type="spellStart"/>
      <w:r>
        <w:rPr>
          <w:sz w:val="20"/>
          <w:szCs w:val="20"/>
          <w:rtl/>
        </w:rPr>
        <w:t>סולובייצ׳יק</w:t>
      </w:r>
      <w:proofErr w:type="spellEnd"/>
      <w:r>
        <w:rPr>
          <w:sz w:val="20"/>
          <w:szCs w:val="20"/>
          <w:rtl/>
        </w:rPr>
        <w:t xml:space="preserve">” מאת אהרן </w:t>
      </w:r>
      <w:proofErr w:type="spellStart"/>
      <w:r>
        <w:rPr>
          <w:sz w:val="20"/>
          <w:szCs w:val="20"/>
          <w:rtl/>
        </w:rPr>
        <w:t>רקפת־רוטקוף</w:t>
      </w:r>
      <w:proofErr w:type="spellEnd"/>
      <w:r>
        <w:rPr>
          <w:sz w:val="20"/>
          <w:szCs w:val="20"/>
          <w:rtl/>
        </w:rPr>
        <w:t xml:space="preserve"> (הוצאת כתב, ניו יורק, 1999), כרך א, עמ׳ 178–179, לסיפור דומה על ר׳ יוסף־דב </w:t>
      </w:r>
      <w:proofErr w:type="spellStart"/>
      <w:r>
        <w:rPr>
          <w:sz w:val="20"/>
          <w:szCs w:val="20"/>
          <w:rtl/>
        </w:rPr>
        <w:t>מבריסק</w:t>
      </w:r>
      <w:proofErr w:type="spellEnd"/>
      <w:r>
        <w:rPr>
          <w:sz w:val="20"/>
          <w:szCs w:val="20"/>
          <w:rtl/>
        </w:rPr>
        <w:t xml:space="preserve">, שמסר ר׳ </w:t>
      </w:r>
      <w:proofErr w:type="spellStart"/>
      <w:r>
        <w:rPr>
          <w:sz w:val="20"/>
          <w:szCs w:val="20"/>
          <w:rtl/>
        </w:rPr>
        <w:t>לוי־יצחק</w:t>
      </w:r>
      <w:proofErr w:type="spellEnd"/>
      <w:r>
        <w:rPr>
          <w:sz w:val="20"/>
          <w:szCs w:val="20"/>
          <w:rtl/>
        </w:rPr>
        <w:t xml:space="preserve"> הורוביץ. את אותה נקודה העלה ר׳ </w:t>
      </w:r>
      <w:proofErr w:type="spellStart"/>
      <w:r>
        <w:rPr>
          <w:sz w:val="20"/>
          <w:szCs w:val="20"/>
          <w:rtl/>
        </w:rPr>
        <w:t>יעקב־יצחק</w:t>
      </w:r>
      <w:proofErr w:type="spellEnd"/>
      <w:r>
        <w:rPr>
          <w:sz w:val="20"/>
          <w:szCs w:val="20"/>
          <w:rtl/>
        </w:rPr>
        <w:t xml:space="preserve"> </w:t>
      </w:r>
      <w:proofErr w:type="spellStart"/>
      <w:r>
        <w:rPr>
          <w:sz w:val="20"/>
          <w:szCs w:val="20"/>
          <w:rtl/>
        </w:rPr>
        <w:t>רודרמן</w:t>
      </w:r>
      <w:proofErr w:type="spellEnd"/>
      <w:r>
        <w:rPr>
          <w:sz w:val="20"/>
          <w:szCs w:val="20"/>
          <w:rtl/>
        </w:rPr>
        <w:t xml:space="preserve"> בריאיון עם כמה מחנכים תורניים, בוגרי ישיבת רבנו ישראל מאיר הכהן. הוא ציין את הדגש המיוחד ששמה ישיבת </w:t>
      </w:r>
      <w:proofErr w:type="spellStart"/>
      <w:r>
        <w:rPr>
          <w:sz w:val="20"/>
          <w:szCs w:val="20"/>
          <w:rtl/>
        </w:rPr>
        <w:t>סלבודקה</w:t>
      </w:r>
      <w:proofErr w:type="spellEnd"/>
      <w:r>
        <w:rPr>
          <w:sz w:val="20"/>
          <w:szCs w:val="20"/>
          <w:rtl/>
        </w:rPr>
        <w:t xml:space="preserve"> על היחסים שבין אדם לחברו וסיפר את הסיפור הבא. (ניכר היה מנימת קולו שלא היה בטוח אם לספר את הסיפור למראייניו – אבל סיפר.) בשנות </w:t>
      </w:r>
      <w:proofErr w:type="spellStart"/>
      <w:r>
        <w:rPr>
          <w:sz w:val="20"/>
          <w:szCs w:val="20"/>
          <w:rtl/>
        </w:rPr>
        <w:t>הת״ר־צ</w:t>
      </w:r>
      <w:proofErr w:type="spellEnd"/>
      <w:r>
        <w:rPr>
          <w:sz w:val="20"/>
          <w:szCs w:val="20"/>
          <w:rtl/>
        </w:rPr>
        <w:t xml:space="preserve">׳ הוזמן פעם לשבות בביתו של רבה של אליזבת, ניו ג׳רזי. לפני כניסת השבת לקח אותו הרב הצידה לשיחה חשאית. הוא אמר לאורחו שיש לו כמה בנות הסועדות בשולחן השבת ונהנות מן השבת בשירת הזמירות יחד עמו. (בנקודה זו של הסיפור העיר הרב </w:t>
      </w:r>
      <w:proofErr w:type="spellStart"/>
      <w:r>
        <w:rPr>
          <w:sz w:val="20"/>
          <w:szCs w:val="20"/>
          <w:rtl/>
        </w:rPr>
        <w:t>רודרמן</w:t>
      </w:r>
      <w:proofErr w:type="spellEnd"/>
      <w:r>
        <w:rPr>
          <w:sz w:val="20"/>
          <w:szCs w:val="20"/>
          <w:rtl/>
        </w:rPr>
        <w:t xml:space="preserve"> שלא היו אז בתי ספר של בית יעקב באמריקה – לומר שבוגרות בית יעקב היו יודעות שאין לנהוג כך.) הרב סיפר לו שר׳ </w:t>
      </w:r>
      <w:proofErr w:type="spellStart"/>
      <w:r>
        <w:rPr>
          <w:sz w:val="20"/>
          <w:szCs w:val="20"/>
          <w:rtl/>
        </w:rPr>
        <w:t>ברוך־בער</w:t>
      </w:r>
      <w:proofErr w:type="spellEnd"/>
      <w:r>
        <w:rPr>
          <w:sz w:val="20"/>
          <w:szCs w:val="20"/>
          <w:rtl/>
        </w:rPr>
        <w:t xml:space="preserve"> </w:t>
      </w:r>
      <w:proofErr w:type="spellStart"/>
      <w:r>
        <w:rPr>
          <w:sz w:val="20"/>
          <w:szCs w:val="20"/>
          <w:rtl/>
        </w:rPr>
        <w:t>ליבוביץ</w:t>
      </w:r>
      <w:proofErr w:type="spellEnd"/>
      <w:r>
        <w:rPr>
          <w:sz w:val="20"/>
          <w:szCs w:val="20"/>
          <w:rtl/>
        </w:rPr>
        <w:t xml:space="preserve"> התארח בביתו זמן מה קודם לכן, וכשהתחילו הבנות לשיר, קם ויצא בריצה מן החדר – והעכיר על הבנות את השבת והשפיל את אביהן. אז שאל המארח אם הרב </w:t>
      </w:r>
      <w:proofErr w:type="spellStart"/>
      <w:r>
        <w:rPr>
          <w:sz w:val="20"/>
          <w:szCs w:val="20"/>
          <w:rtl/>
        </w:rPr>
        <w:t>רודרמן</w:t>
      </w:r>
      <w:proofErr w:type="spellEnd"/>
      <w:r>
        <w:rPr>
          <w:sz w:val="20"/>
          <w:szCs w:val="20"/>
          <w:rtl/>
        </w:rPr>
        <w:t xml:space="preserve"> ינהג כמותו. האורח השיב שעם הרקע </w:t>
      </w:r>
      <w:proofErr w:type="spellStart"/>
      <w:r>
        <w:rPr>
          <w:sz w:val="20"/>
          <w:szCs w:val="20"/>
          <w:rtl/>
        </w:rPr>
        <w:t>הסלבודקאי</w:t>
      </w:r>
      <w:proofErr w:type="spellEnd"/>
      <w:r>
        <w:rPr>
          <w:sz w:val="20"/>
          <w:szCs w:val="20"/>
          <w:rtl/>
        </w:rPr>
        <w:t xml:space="preserve"> שלו לא יהרוס את רוח השבת של המשפחה ולא יבייש את מארחו; הוא יישאר יושב ולא יאזין לבנות. “</w:t>
      </w:r>
      <w:proofErr w:type="spellStart"/>
      <w:r>
        <w:rPr>
          <w:sz w:val="20"/>
          <w:szCs w:val="20"/>
          <w:rtl/>
        </w:rPr>
        <w:t>הפרומקייט</w:t>
      </w:r>
      <w:proofErr w:type="spellEnd"/>
      <w:r>
        <w:rPr>
          <w:sz w:val="20"/>
          <w:szCs w:val="20"/>
          <w:rtl/>
        </w:rPr>
        <w:t xml:space="preserve"> שלי אינה צריכה לפגוע באחרים”, סיכם. ראה גם פרק 1, סוף נספח ו; פרק 3, הפסקה השנייה של נספח </w:t>
      </w:r>
      <w:proofErr w:type="spellStart"/>
      <w:r>
        <w:rPr>
          <w:sz w:val="20"/>
          <w:szCs w:val="20"/>
          <w:rtl/>
        </w:rPr>
        <w:t>כו</w:t>
      </w:r>
      <w:proofErr w:type="spellEnd"/>
      <w:r>
        <w:rPr>
          <w:sz w:val="20"/>
          <w:szCs w:val="20"/>
          <w:rtl/>
        </w:rPr>
        <w:t xml:space="preserve">; והערת שוליים </w:t>
      </w:r>
      <w:r>
        <w:rPr>
          <w:sz w:val="20"/>
          <w:szCs w:val="20"/>
          <w:rtl/>
        </w:rPr>
        <w:fldChar w:fldCharType="begin" w:dirty="true"/>
      </w:r>
      <w:r>
        <w:rPr>
          <w:sz w:val="20"/>
          <w:szCs w:val="20"/>
          <w:rtl/>
        </w:rPr>
        <w:instrText xml:space="preserve"> NOTEREF _fnr2624 \h </w:instrText>
      </w:r>
      <w:r>
        <w:rPr>
          <w:sz w:val="20"/>
          <w:szCs w:val="20"/>
          <w:rtl/>
        </w:rPr>
      </w:r>
      <w:r>
        <w:rPr>
          <w:sz w:val="20"/>
          <w:szCs w:val="20"/>
          <w:rtl/>
        </w:rPr>
        <w:fldChar w:fldCharType="separate"/>
      </w:r>
      <w:r w:rsidR="007923E9">
        <w:rPr>
          <w:sz w:val="20"/>
          <w:szCs w:val="20"/>
          <w:rtl/>
        </w:rPr>
        <w:t>1571</w:t>
      </w:r>
      <w:r>
        <w:rPr>
          <w:sz w:val="20"/>
          <w:szCs w:val="20"/>
          <w:rtl/>
        </w:rPr>
        <w:fldChar w:fldCharType="end"/>
      </w:r>
      <w:r>
        <w:rPr>
          <w:sz w:val="20"/>
          <w:szCs w:val="20"/>
          <w:rtl/>
        </w:rPr>
        <w:t xml:space="preserve"> בפרק 3, נספח </w:t>
      </w:r>
      <w:proofErr w:type="spellStart"/>
      <w:r>
        <w:rPr>
          <w:sz w:val="20"/>
          <w:szCs w:val="20"/>
          <w:rtl/>
        </w:rPr>
        <w:t>כו</w:t>
      </w:r>
      <w:proofErr w:type="spellEnd"/>
      <w:r>
        <w:rPr>
          <w:sz w:val="20"/>
          <w:szCs w:val="20"/>
          <w:rtl/>
        </w:rPr>
        <w:t>.</w:t>
      </w:r>
    </w:p>
  </w:footnote>
  <w:footnote w:id="40">
    <w:p w14:paraId="79C10D3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הוצאת חי״ל, ניו יורק</w:t>
      </w:r>
      <w:proofErr w:type="spellStart"/>
      <w:r>
        <w:rPr>
          <w:sz w:val="20"/>
          <w:szCs w:val="20"/>
          <w:rtl/>
        </w:rPr>
        <w:t xml:space="preserve"/>
      </w:r>
      <w:proofErr w:type="spellEnd"/>
      <w:r>
        <w:rPr>
          <w:sz w:val="20"/>
          <w:szCs w:val="20"/>
          <w:rtl/>
        </w:rPr>
        <w:t>, תשי״ד – עמ׳ 14.</w:t>
      </w:r>
    </w:p>
  </w:footnote>
  <w:footnote w:id="41">
    <w:p w14:paraId="7E25E11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“תנועת המוסר”, כרך ראשון (מהדורה שישית, ירושלים, תשמ״ב), עמ׳ 300–310, מס׳ 7.21. ראה גם שם, עמ׳ 346, ושם מובאת דוגמה לכך שר׳ ישראל נהג לפי כלל זה בכתביו.</w:t>
      </w:r>
    </w:p>
  </w:footnote>
  <w:footnote w:id="42">
    <w:p w14:paraId="0E39C41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ח״א – עמ׳ 2.</w:t>
      </w:r>
    </w:p>
  </w:footnote>
  <w:footnote w:id="43">
    <w:p w14:paraId="5923925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קהלת ט:ו.</w:t>
      </w:r>
    </w:p>
  </w:footnote>
  <w:footnote w:id="44">
    <w:p w14:paraId="44B32A5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ועיין הוריות י״ד.</w:t>
      </w:r>
    </w:p>
  </w:footnote>
  <w:footnote w:id="45">
    <w:p w14:paraId="286B3D2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ראה הערה 1 בהערות לפתיחה של ספר זה.</w:t>
      </w:r>
    </w:p>
  </w:footnote>
  <w:footnote w:id="46">
    <w:p w14:paraId="351668F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ועיין ברש״י בראשית (</w:t>
      </w:r>
      <w:proofErr w:type="spellStart"/>
      <w:r>
        <w:rPr>
          <w:sz w:val="20"/>
          <w:szCs w:val="20"/>
          <w:rtl/>
        </w:rPr>
        <w:t>מז:כט</w:t>
      </w:r>
      <w:proofErr w:type="spellEnd"/>
      <w:r>
        <w:rPr>
          <w:sz w:val="20"/>
          <w:szCs w:val="20"/>
          <w:rtl/>
        </w:rPr>
        <w:t>) ובמדרש רבה (</w:t>
      </w:r>
      <w:proofErr w:type="spellStart"/>
      <w:r>
        <w:rPr>
          <w:sz w:val="20"/>
          <w:szCs w:val="20"/>
          <w:rtl/>
        </w:rPr>
        <w:t>צו:ה</w:t>
      </w:r>
      <w:proofErr w:type="spellEnd"/>
      <w:r>
        <w:rPr>
          <w:sz w:val="20"/>
          <w:szCs w:val="20"/>
          <w:rtl/>
        </w:rPr>
        <w:t>) שיעקב אבינו ביקש שלא יעשו אותו ע״ז.</w:t>
      </w:r>
    </w:p>
  </w:footnote>
  <w:footnote w:id="47">
    <w:p w14:paraId="37C6D85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proofErr w:type="spellStart"/>
      <w:r>
        <w:rPr>
          <w:sz w:val="20"/>
          <w:szCs w:val="20"/>
          <w:rtl/>
        </w:rPr>
        <w:t>לייקווד</w:t>
      </w:r>
      <w:proofErr w:type="spellEnd"/>
      <w:r>
        <w:rPr>
          <w:sz w:val="20"/>
          <w:szCs w:val="20"/>
          <w:rtl/>
        </w:rPr>
        <w:t>, 1988 – עמ׳ 233–234.</w:t>
      </w:r>
    </w:p>
  </w:footnote>
  <w:footnote w:id="48">
    <w:p w14:paraId="6265D24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הוא עקבי כשהוא קובע בפסקה קודמת במאמרו: “רק נביא שנצטווה בייעודו האלוהי יש בכוחו לדווח על ההיסטוריה כפי שאירעה באמת, ללא משוא פנים וללא דעה קדומה”; ומכאן שהוא ממליץ שכתיבת </w:t>
      </w:r>
      <w:proofErr w:type="spellStart"/>
      <w:r>
        <w:rPr>
          <w:sz w:val="20"/>
          <w:szCs w:val="20"/>
          <w:rtl/>
        </w:rPr>
        <w:t>ה“היסטוריה</w:t>
      </w:r>
      <w:proofErr w:type="spellEnd"/>
      <w:r>
        <w:rPr>
          <w:sz w:val="20"/>
          <w:szCs w:val="20"/>
          <w:rtl/>
        </w:rPr>
        <w:t xml:space="preserve">” </w:t>
      </w:r>
      <w:proofErr w:type="spellStart"/>
      <w:r>
        <w:rPr>
          <w:sz w:val="20"/>
          <w:szCs w:val="20"/>
          <w:rtl/>
        </w:rPr>
        <w:t>הלא־נבואית</w:t>
      </w:r>
      <w:proofErr w:type="spellEnd"/>
      <w:r>
        <w:rPr>
          <w:sz w:val="20"/>
          <w:szCs w:val="20"/>
          <w:rtl/>
        </w:rPr>
        <w:t xml:space="preserve"> שלנו תהיה בעלת משוא פנים ודעה קדומה.</w:t>
      </w:r>
    </w:p>
  </w:footnote>
  <w:footnote w:id="49">
    <w:p w14:paraId="773FC2E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14 בינואר 1988.</w:t>
      </w:r>
    </w:p>
  </w:footnote>
  <w:footnote w:id="50">
    <w:p w14:paraId="6424259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בכך דחה את השערתם של כמה היסטוריונים יהודים, שחכמי התלמוד המציאו את סיפור המרד הכושל של שבט אפרים בגלות מצרים כדי להניא מן המרד ברומאים בימיהם שלהם. ראה “כתבים נבחרים” מאת הרב יהושע יוסף </w:t>
      </w:r>
      <w:proofErr w:type="spellStart"/>
      <w:r>
        <w:rPr>
          <w:sz w:val="20"/>
          <w:szCs w:val="20"/>
          <w:rtl/>
        </w:rPr>
        <w:t>פרייל</w:t>
      </w:r>
      <w:proofErr w:type="spellEnd"/>
      <w:r>
        <w:rPr>
          <w:sz w:val="20"/>
          <w:szCs w:val="20"/>
          <w:rtl/>
        </w:rPr>
        <w:t xml:space="preserve"> (ניו יורק</w:t>
      </w:r>
      <w:proofErr w:type="spellStart"/>
      <w:r>
        <w:rPr>
          <w:sz w:val="20"/>
          <w:szCs w:val="20"/>
          <w:rtl/>
        </w:rPr>
        <w:t xml:space="preserve"/>
      </w:r>
      <w:proofErr w:type="spellEnd"/>
      <w:r>
        <w:rPr>
          <w:sz w:val="20"/>
          <w:szCs w:val="20"/>
          <w:rtl/>
        </w:rPr>
        <w:t>, תרפ״ד), עמ׳ 248.</w:t>
      </w:r>
    </w:p>
  </w:footnote>
  <w:footnote w:id="51">
    <w:p w14:paraId="59C271B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26 בנובמבר 1997.</w:t>
      </w:r>
    </w:p>
  </w:footnote>
  <w:footnote w:id="52">
    <w:p w14:paraId="13912FE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הרב </w:t>
      </w:r>
      <w:proofErr w:type="spellStart"/>
      <w:r>
        <w:rPr>
          <w:sz w:val="20"/>
          <w:szCs w:val="20"/>
          <w:rtl/>
        </w:rPr>
        <w:t>דויטש</w:t>
      </w:r>
      <w:proofErr w:type="spellEnd"/>
      <w:r>
        <w:rPr>
          <w:sz w:val="20"/>
          <w:szCs w:val="20"/>
          <w:rtl/>
        </w:rPr>
        <w:t xml:space="preserve"> הביא דוגמה נוקבת לכך שהרבי עצמו נהג לפי כלל זה, כשמימן את הוצאת ספר הזיכרון לעיר </w:t>
      </w:r>
      <w:proofErr w:type="spellStart"/>
      <w:r>
        <w:rPr>
          <w:sz w:val="20"/>
          <w:szCs w:val="20"/>
          <w:rtl/>
        </w:rPr>
        <w:t>יקטרינוסלב־דנייפרופטרובסק</w:t>
      </w:r>
      <w:proofErr w:type="spellEnd"/>
      <w:r>
        <w:rPr>
          <w:sz w:val="20"/>
          <w:szCs w:val="20"/>
          <w:rtl/>
        </w:rPr>
        <w:t xml:space="preserve">, שבה כיהן אביו כרב – אף על פי שהספר מגלה שאחד מאחיו של הרבי, “הצעיר, </w:t>
      </w:r>
      <w:proofErr w:type="spellStart"/>
      <w:r>
        <w:rPr>
          <w:sz w:val="20"/>
          <w:szCs w:val="20"/>
          <w:rtl/>
        </w:rPr>
        <w:t>ישראל־אריה־לייב</w:t>
      </w:r>
      <w:proofErr w:type="spellEnd"/>
      <w:r>
        <w:rPr>
          <w:sz w:val="20"/>
          <w:szCs w:val="20"/>
          <w:rtl/>
        </w:rPr>
        <w:t xml:space="preserve">, עילוי, נסחף להשכלה, למרקסיזם </w:t>
      </w:r>
      <w:proofErr w:type="spellStart"/>
      <w:r>
        <w:rPr>
          <w:sz w:val="20"/>
          <w:szCs w:val="20"/>
          <w:rtl/>
        </w:rPr>
        <w:t>ולטרוצקיזם</w:t>
      </w:r>
      <w:proofErr w:type="spellEnd"/>
      <w:r>
        <w:rPr>
          <w:sz w:val="20"/>
          <w:szCs w:val="20"/>
          <w:rtl/>
        </w:rPr>
        <w:t xml:space="preserve">, ואחר כך עבר לארץ ישראל כשהוא רחוק מתורה ומחב״ד”, והאח השני, </w:t>
      </w:r>
      <w:proofErr w:type="spellStart"/>
      <w:r>
        <w:rPr>
          <w:sz w:val="20"/>
          <w:szCs w:val="20"/>
          <w:rtl/>
        </w:rPr>
        <w:t>דובער</w:t>
      </w:r>
      <w:proofErr w:type="spellEnd"/>
      <w:r>
        <w:rPr>
          <w:sz w:val="20"/>
          <w:szCs w:val="20"/>
          <w:rtl/>
        </w:rPr>
        <w:t xml:space="preserve">, אושפז בבית חולים לחולי נפש “ומת רווק בדיכאונו בקזחסטן” – ראה “ספר </w:t>
      </w:r>
      <w:proofErr w:type="spellStart"/>
      <w:r>
        <w:rPr>
          <w:sz w:val="20"/>
          <w:szCs w:val="20"/>
          <w:rtl/>
        </w:rPr>
        <w:t>יקאטרינוסלב־דנפרופטרובסק</w:t>
      </w:r>
      <w:proofErr w:type="spellEnd"/>
      <w:r>
        <w:rPr>
          <w:sz w:val="20"/>
          <w:szCs w:val="20"/>
          <w:rtl/>
        </w:rPr>
        <w:t xml:space="preserve">” (הוצאת יוצאי </w:t>
      </w:r>
      <w:proofErr w:type="spellStart"/>
      <w:r>
        <w:rPr>
          <w:sz w:val="20"/>
          <w:szCs w:val="20"/>
          <w:rtl/>
        </w:rPr>
        <w:t>יקאטרינוסלב־דנפרופטרובסק</w:t>
      </w:r>
      <w:proofErr w:type="spellEnd"/>
      <w:r>
        <w:rPr>
          <w:sz w:val="20"/>
          <w:szCs w:val="20"/>
          <w:rtl/>
        </w:rPr>
        <w:t xml:space="preserve"> בישראל, ירושלים </w:t>
      </w:r>
      <w:proofErr w:type="spellStart"/>
      <w:r>
        <w:rPr>
          <w:sz w:val="20"/>
          <w:szCs w:val="20"/>
          <w:rtl/>
        </w:rPr>
        <w:t>תל־אביב</w:t>
      </w:r>
      <w:proofErr w:type="spellEnd"/>
      <w:r>
        <w:rPr>
          <w:sz w:val="20"/>
          <w:szCs w:val="20"/>
          <w:rtl/>
        </w:rPr>
        <w:t>, תשל״ג), עמ׳ 119, במאמר מאת העורך, הרב ד״ר צבי הרכבי, ששמו “שלשה רבנים”.</w:t>
      </w:r>
    </w:p>
  </w:footnote>
  <w:footnote w:id="53">
    <w:p w14:paraId="43E69FA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יצא לאור בירושלים, תשל״ב – עמ׳ 19–20 והערה 5.</w:t>
      </w:r>
    </w:p>
  </w:footnote>
  <w:footnote w:id="54">
    <w:p w14:paraId="0186DBF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הרב ויינברג כתב לו: “לפי דעתי היה על </w:t>
      </w:r>
      <w:proofErr w:type="spellStart"/>
      <w:r>
        <w:rPr>
          <w:sz w:val="20"/>
          <w:szCs w:val="20"/>
          <w:rtl/>
        </w:rPr>
        <w:t>כת״ר</w:t>
      </w:r>
      <w:proofErr w:type="spellEnd"/>
      <w:r>
        <w:rPr>
          <w:sz w:val="20"/>
          <w:szCs w:val="20"/>
          <w:rtl/>
        </w:rPr>
        <w:t xml:space="preserve"> לתאר גם את מחלוקת המוסר וטענות מתנגדיו, שכן ראוי לסופר היסטוריון שלא להעלים את הצד השני, דעותיו והשקפותיו”.</w:t>
      </w:r>
    </w:p>
  </w:footnote>
  <w:footnote w:id="55">
    <w:p w14:paraId="2DB1BC4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קהלת ז, כ; ובתפלתו במלכים א ח, מו: “כי אין אדם אשר לא יחטא”.</w:t>
      </w:r>
    </w:p>
  </w:footnote>
  <w:footnote w:id="56">
    <w:p w14:paraId="1691651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סנהדרין מו ע״ב. השווה גם קהלת רבה שם, החולק על אותה גמרא, והשווה </w:t>
      </w:r>
      <w:proofErr w:type="spellStart"/>
      <w:r>
        <w:rPr>
          <w:sz w:val="20"/>
          <w:szCs w:val="20"/>
          <w:rtl/>
        </w:rPr>
        <w:t>תוד״ה</w:t>
      </w:r>
      <w:proofErr w:type="spellEnd"/>
      <w:r>
        <w:rPr>
          <w:sz w:val="20"/>
          <w:szCs w:val="20"/>
          <w:rtl/>
        </w:rPr>
        <w:t xml:space="preserve"> ארבעה, שבת </w:t>
      </w:r>
      <w:proofErr w:type="spellStart"/>
      <w:r>
        <w:rPr>
          <w:sz w:val="20"/>
          <w:szCs w:val="20"/>
          <w:rtl/>
        </w:rPr>
        <w:t>נה</w:t>
      </w:r>
      <w:proofErr w:type="spellEnd"/>
      <w:r>
        <w:rPr>
          <w:sz w:val="20"/>
          <w:szCs w:val="20"/>
          <w:rtl/>
        </w:rPr>
        <w:t xml:space="preserve"> ע״ב.</w:t>
      </w:r>
    </w:p>
  </w:footnote>
  <w:footnote w:id="57">
    <w:p w14:paraId="62E0BCA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סנהדרין יד ע״א.</w:t>
      </w:r>
    </w:p>
  </w:footnote>
  <w:footnote w:id="58">
    <w:p w14:paraId="62B2FE5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גיליון תמוז תשנ״ב, עמ׳ 48–49.</w:t>
      </w:r>
    </w:p>
  </w:footnote>
  <w:footnote w:id="59">
    <w:p w14:paraId="07D44EB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מפעל “תורה מציון” (ירושלים, תשל״ח).</w:t>
      </w:r>
    </w:p>
  </w:footnote>
  <w:footnote w:id="60">
    <w:p w14:paraId="76DB6BC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על טענה מסוימת זו העיר אבי – ברצינות, כך נראה – שאפילו בין הנישואין האסורים יש כאלה שבדיעבד אין חובה לבטלם (אם נשאת לא תצא); ולכן אין לחשוש ל</w:t>
      </w:r>
      <w:r>
        <w:rPr>
          <w:i/>
          <w:iCs/>
          <w:sz w:val="20"/>
          <w:szCs w:val="20"/>
          <w:rtl/>
        </w:rPr>
        <w:t>פירוק</w:t>
      </w:r>
      <w:r>
        <w:rPr>
          <w:sz w:val="20"/>
          <w:szCs w:val="20"/>
          <w:rtl/>
        </w:rPr>
        <w:t xml:space="preserve"> משפחות כתוצאה מפרסום איסורו של הגאון.</w:t>
      </w:r>
    </w:p>
  </w:footnote>
  <w:footnote w:id="61">
    <w:p w14:paraId="5AC3D50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השווה גם הערה 5 בהערות לפתיחה של ספר זה, המצטטת את “תולדות מנחם”.</w:t>
      </w:r>
    </w:p>
  </w:footnote>
  <w:footnote w:id="62">
    <w:p w14:paraId="25D0CFC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29 בנובמבר 1988.</w:t>
      </w:r>
    </w:p>
  </w:footnote>
  <w:footnote w:id="63">
    <w:p w14:paraId="56BEE0E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שיחות מוסר תשל״ג, עמ׳ קנב–</w:t>
      </w:r>
      <w:proofErr w:type="spellStart"/>
      <w:r>
        <w:rPr>
          <w:sz w:val="20"/>
          <w:szCs w:val="20"/>
          <w:rtl/>
        </w:rPr>
        <w:t>קנג</w:t>
      </w:r>
      <w:proofErr w:type="spellEnd"/>
      <w:r>
        <w:rPr>
          <w:sz w:val="20"/>
          <w:szCs w:val="20"/>
          <w:rtl/>
        </w:rPr>
        <w:t>.</w:t>
      </w:r>
    </w:p>
  </w:footnote>
  <w:footnote w:id="64">
    <w:p w14:paraId="73C6C3D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proofErr w:type="spellStart"/>
      <w:r>
        <w:rPr>
          <w:sz w:val="20"/>
          <w:szCs w:val="20"/>
          <w:rtl/>
        </w:rPr>
        <w:t>כג</w:t>
      </w:r>
      <w:proofErr w:type="spellEnd"/>
      <w:r>
        <w:rPr>
          <w:sz w:val="20"/>
          <w:szCs w:val="20"/>
          <w:rtl/>
        </w:rPr>
        <w:t xml:space="preserve"> ע״ב.</w:t>
      </w:r>
    </w:p>
  </w:footnote>
  <w:footnote w:id="65">
    <w:p w14:paraId="2B53618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וע׳ בסוף “מאמר על אגדות חז״ל” </w:t>
      </w:r>
      <w:proofErr w:type="spellStart"/>
      <w:r>
        <w:rPr>
          <w:sz w:val="20"/>
          <w:szCs w:val="20"/>
          <w:rtl/>
        </w:rPr>
        <w:t>לרמח״ל</w:t>
      </w:r>
      <w:proofErr w:type="spellEnd"/>
      <w:r>
        <w:rPr>
          <w:sz w:val="20"/>
          <w:szCs w:val="20"/>
          <w:rtl/>
        </w:rPr>
        <w:t xml:space="preserve"> (שמודפס בריש ספר עין יעקב) שכך היה הכלל בידי חז״ל “שבמעשה הצדיקים כל מה שיש לדרוש לשבח צריך לדרוש לשבח” ועל רשעים, להיפך.</w:t>
      </w:r>
    </w:p>
  </w:footnote>
  <w:footnote w:id="66">
    <w:p w14:paraId="38D2274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w:t>
      </w:r>
      <w:r>
        <w:rPr>
          <w:sz w:val="20"/>
          <w:szCs w:val="20"/>
          <w:rtl/>
        </w:rPr>
        <w:t xml:space="preserve"> </w:t>
      </w:r>
      <w:r>
        <w:rPr>
          <w:sz w:val="20"/>
          <w:szCs w:val="20"/>
          <w:rtl/>
        </w:rPr>
        <w:t xml:space="preserve">ישעיה </w:t>
      </w:r>
      <w:proofErr w:type="spellStart"/>
      <w:r>
        <w:rPr>
          <w:sz w:val="20"/>
          <w:szCs w:val="20"/>
          <w:rtl/>
        </w:rPr>
        <w:t>נה</w:t>
      </w:r>
      <w:proofErr w:type="spellEnd"/>
      <w:r>
        <w:rPr>
          <w:sz w:val="20"/>
          <w:szCs w:val="20"/>
          <w:rtl/>
        </w:rPr>
        <w:t>, ח–ט.</w:t>
      </w:r>
    </w:p>
  </w:footnote>
  <w:footnote w:id="67">
    <w:p w14:paraId="7139AC73"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יבמות ל ע״א, ועוד.</w:t>
      </w:r>
    </w:p>
  </w:footnote>
  <w:footnote w:id="68">
    <w:p w14:paraId="4C99B9ED"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במדבר רבה </w:t>
      </w:r>
      <w:proofErr w:type="spellStart"/>
      <w:r>
        <w:rPr>
          <w:b/>
          <w:sz w:val="20"/>
          <w:szCs w:val="20"/>
          <w:rtl/>
        </w:rPr>
        <w:t>כא</w:t>
      </w:r>
      <w:proofErr w:type="spellEnd"/>
      <w:r>
        <w:rPr>
          <w:b/>
          <w:sz w:val="20"/>
          <w:szCs w:val="20"/>
          <w:rtl/>
        </w:rPr>
        <w:t>, ג.</w:t>
      </w:r>
    </w:p>
  </w:footnote>
  <w:footnote w:id="69">
    <w:p w14:paraId="407EA691"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מכאן מוכח שהקב״ה עושה דברים שלא היה עושה אלמלא כן, כדי להוציא לאור את “שבחן של צדיקים”. אם כן, לשבח הצדיקים מעמד מיוחד, ויש לשער שזה מה שהביא את שו״ת חתם סופר (</w:t>
      </w:r>
      <w:proofErr w:type="spellStart"/>
      <w:r>
        <w:rPr>
          <w:b/>
          <w:sz w:val="20"/>
          <w:szCs w:val="20"/>
          <w:rtl/>
        </w:rPr>
        <w:t>חו״מ</w:t>
      </w:r>
      <w:proofErr w:type="spellEnd"/>
      <w:r>
        <w:rPr>
          <w:b/>
          <w:sz w:val="20"/>
          <w:szCs w:val="20"/>
          <w:rtl/>
        </w:rPr>
        <w:t>, ליקוטי שו״ת, סי׳ נט, ד״ה והנה) לכנות את שבח הצדיקים “מצוה גדולה”.</w:t>
      </w:r>
    </w:p>
  </w:footnote>
  <w:footnote w:id="70">
    <w:p w14:paraId="55C8F0FA"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אבות פ״א מי״ז.</w:t>
      </w:r>
    </w:p>
  </w:footnote>
  <w:footnote w:id="71">
    <w:p w14:paraId="18D17AAB"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שער ג, אות רכו.</w:t>
      </w:r>
    </w:p>
  </w:footnote>
  <w:footnote w:id="72">
    <w:p w14:paraId="375BAF6A"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פרק </w:t>
      </w:r>
      <w:proofErr w:type="spellStart"/>
      <w:r>
        <w:rPr>
          <w:b/>
          <w:sz w:val="20"/>
          <w:szCs w:val="20"/>
          <w:rtl/>
        </w:rPr>
        <w:t>כא</w:t>
      </w:r>
      <w:proofErr w:type="spellEnd"/>
      <w:r>
        <w:rPr>
          <w:b/>
          <w:sz w:val="20"/>
          <w:szCs w:val="20"/>
          <w:rtl/>
        </w:rPr>
        <w:t>.</w:t>
      </w:r>
    </w:p>
  </w:footnote>
  <w:footnote w:id="73">
    <w:p w14:paraId="53653F50"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נדפסה בשנת </w:t>
      </w:r>
      <w:proofErr w:type="spellStart"/>
      <w:r>
        <w:rPr>
          <w:b/>
          <w:sz w:val="20"/>
          <w:szCs w:val="20"/>
          <w:rtl/>
        </w:rPr>
        <w:t>תר״ן</w:t>
      </w:r>
      <w:proofErr w:type="spellEnd"/>
      <w:r>
        <w:rPr>
          <w:b/>
          <w:sz w:val="20"/>
          <w:szCs w:val="20"/>
          <w:rtl/>
        </w:rPr>
        <w:t>, ונדפסה שוב בספר פולמוס המוסר, עמ׳ 41–50.</w:t>
      </w:r>
    </w:p>
  </w:footnote>
  <w:footnote w:id="74">
    <w:p w14:paraId="6E3AB6AD"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שם, עמ׳ 43–44.</w:t>
      </w:r>
    </w:p>
  </w:footnote>
  <w:footnote w:id="75">
    <w:p w14:paraId="5D7F0A26"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אבות פ״ג מי״ח.</w:t>
      </w:r>
    </w:p>
  </w:footnote>
  <w:footnote w:id="76">
    <w:p w14:paraId="6DB54505"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במכתב משנת תרנ״ז, שנדפס בהקדמה לספרו של </w:t>
      </w:r>
      <w:proofErr w:type="spellStart"/>
      <w:r>
        <w:rPr>
          <w:b/>
          <w:sz w:val="20"/>
          <w:szCs w:val="20"/>
          <w:rtl/>
        </w:rPr>
        <w:t>הנצי״ב</w:t>
      </w:r>
      <w:proofErr w:type="spellEnd"/>
      <w:r>
        <w:rPr>
          <w:b/>
          <w:sz w:val="20"/>
          <w:szCs w:val="20"/>
          <w:rtl/>
        </w:rPr>
        <w:t xml:space="preserve"> “מרומי שדה”.</w:t>
      </w:r>
    </w:p>
  </w:footnote>
  <w:footnote w:id="77">
    <w:p w14:paraId="5E25BC43"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מידע זה נדפס יחד עם “הגהות על יורה דעה” </w:t>
      </w:r>
      <w:proofErr w:type="spellStart"/>
      <w:r>
        <w:rPr>
          <w:b/>
          <w:sz w:val="20"/>
          <w:szCs w:val="20"/>
          <w:rtl/>
        </w:rPr>
        <w:t>לר</w:t>
      </w:r>
      <w:proofErr w:type="spellEnd"/>
      <w:r>
        <w:rPr>
          <w:b/>
          <w:sz w:val="20"/>
          <w:szCs w:val="20"/>
          <w:rtl/>
        </w:rPr>
        <w:t>׳ עקיבא איגר (ברלין, תרכ״ב).</w:t>
      </w:r>
    </w:p>
  </w:footnote>
  <w:footnote w:id="78">
    <w:p w14:paraId="68B44276"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עיין קידושין לא ע״ב.</w:t>
      </w:r>
    </w:p>
  </w:footnote>
  <w:footnote w:id="79">
    <w:p w14:paraId="666686D3"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ר׳ חיים ברלין מתכוון כאן לפסק שבמועד קטן ט ע״ב, </w:t>
      </w:r>
      <w:proofErr w:type="spellStart"/>
      <w:r>
        <w:rPr>
          <w:b/>
          <w:sz w:val="20"/>
          <w:szCs w:val="20"/>
          <w:rtl/>
        </w:rPr>
        <w:t>שמצוה</w:t>
      </w:r>
      <w:proofErr w:type="spellEnd"/>
      <w:r>
        <w:rPr>
          <w:b/>
          <w:sz w:val="20"/>
          <w:szCs w:val="20"/>
          <w:rtl/>
        </w:rPr>
        <w:t xml:space="preserve"> שאפשר לעשותה על ידי אחרים אינה דוחה את חובת תלמוד תורה.</w:t>
      </w:r>
    </w:p>
  </w:footnote>
  <w:footnote w:id="80">
    <w:p w14:paraId="064F4451"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בשיחה עמי ב־22 בפברואר 1999 העלה ר׳ שלמה פישר השערה: התנגדותו הנמרצת של </w:t>
      </w:r>
      <w:proofErr w:type="spellStart"/>
      <w:r>
        <w:rPr>
          <w:b/>
          <w:sz w:val="20"/>
          <w:szCs w:val="20"/>
          <w:rtl/>
        </w:rPr>
        <w:t>הנצי״ב</w:t>
      </w:r>
      <w:proofErr w:type="spellEnd"/>
      <w:r>
        <w:rPr>
          <w:b/>
          <w:sz w:val="20"/>
          <w:szCs w:val="20"/>
          <w:rtl/>
        </w:rPr>
        <w:t xml:space="preserve"> לקריאת סיפורי גדולים ולפרסומם נבעה מהתנגדותו האידיאולוגית לחשיבות שייחסו החסידים לסיפורים על מנהיגיהם הרוחניים – עד שטבעו בפולקלור שלהם את האמרה “מעשי צדיקים – מעשה מרכבה” (ראה חגיגה </w:t>
      </w:r>
      <w:proofErr w:type="spellStart"/>
      <w:r>
        <w:rPr>
          <w:b/>
          <w:sz w:val="20"/>
          <w:szCs w:val="20"/>
          <w:rtl/>
        </w:rPr>
        <w:t>יג</w:t>
      </w:r>
      <w:proofErr w:type="spellEnd"/>
      <w:r>
        <w:rPr>
          <w:b/>
          <w:sz w:val="20"/>
          <w:szCs w:val="20"/>
          <w:rtl/>
        </w:rPr>
        <w:t xml:space="preserve"> ע״א וסוכה </w:t>
      </w:r>
      <w:proofErr w:type="spellStart"/>
      <w:r>
        <w:rPr>
          <w:b/>
          <w:sz w:val="20"/>
          <w:szCs w:val="20"/>
          <w:rtl/>
        </w:rPr>
        <w:t>כח</w:t>
      </w:r>
      <w:proofErr w:type="spellEnd"/>
      <w:r>
        <w:rPr>
          <w:b/>
          <w:sz w:val="20"/>
          <w:szCs w:val="20"/>
          <w:rtl/>
        </w:rPr>
        <w:t xml:space="preserve"> ע״א: “דבר גדול – מעשה מרכבה”). המתנגדים של אותו הדור הקפידו במיוחד שלא לאמץ מנהגי חסידים. </w:t>
      </w:r>
    </w:p>
    <w:p w14:paraId="29FC8DFA" w14:textId="77777777" w:rsidR="00AB3647" w:rsidRDefault="00000000">
      <w:pPr>
        <w:spacing w:after="0" w:before="0"/>
        <w:jc w:val="both"/>
        <w:rPr>
          <w:b/>
          <w:sz w:val="20"/>
          <w:szCs w:val="20"/>
        </w:rPr>
      </w:pPr>
      <w:r>
        <w:rPr>
          <w:b/>
          <w:sz w:val="20"/>
          <w:szCs w:val="20"/>
          <w:rtl/>
        </w:rPr>
        <w:t xml:space="preserve">ראה למשל “הצדיק רבי שלמה” (ירושלים, </w:t>
      </w:r>
      <w:proofErr w:type="spellStart"/>
      <w:r>
        <w:rPr>
          <w:b/>
          <w:sz w:val="20"/>
          <w:szCs w:val="20"/>
          <w:rtl/>
        </w:rPr>
        <w:t>תש״ן</w:t>
      </w:r>
      <w:proofErr w:type="spellEnd"/>
      <w:r>
        <w:rPr>
          <w:b/>
          <w:sz w:val="20"/>
          <w:szCs w:val="20"/>
          <w:rtl/>
        </w:rPr>
        <w:t xml:space="preserve">), עמ׳ </w:t>
      </w:r>
      <w:proofErr w:type="spellStart"/>
      <w:r>
        <w:rPr>
          <w:b/>
          <w:sz w:val="20"/>
          <w:szCs w:val="20"/>
          <w:rtl/>
        </w:rPr>
        <w:t>רלט</w:t>
      </w:r>
      <w:proofErr w:type="spellEnd"/>
      <w:r>
        <w:rPr>
          <w:b/>
          <w:sz w:val="20"/>
          <w:szCs w:val="20"/>
          <w:rtl/>
        </w:rPr>
        <w:t xml:space="preserve">, המביא מדברי ר׳ </w:t>
      </w:r>
      <w:proofErr w:type="spellStart"/>
      <w:r>
        <w:rPr>
          <w:b/>
          <w:sz w:val="20"/>
          <w:szCs w:val="20"/>
          <w:rtl/>
        </w:rPr>
        <w:t>אלעזר־משה</w:t>
      </w:r>
      <w:proofErr w:type="spellEnd"/>
      <w:r>
        <w:rPr>
          <w:b/>
          <w:sz w:val="20"/>
          <w:szCs w:val="20"/>
          <w:rtl/>
        </w:rPr>
        <w:t xml:space="preserve"> </w:t>
      </w:r>
      <w:proofErr w:type="spellStart"/>
      <w:r>
        <w:rPr>
          <w:b/>
          <w:sz w:val="20"/>
          <w:szCs w:val="20"/>
          <w:rtl/>
        </w:rPr>
        <w:t>הורוויץ</w:t>
      </w:r>
      <w:proofErr w:type="spellEnd"/>
      <w:r>
        <w:rPr>
          <w:b/>
          <w:sz w:val="20"/>
          <w:szCs w:val="20"/>
          <w:rtl/>
        </w:rPr>
        <w:t xml:space="preserve">, רבה של </w:t>
      </w:r>
      <w:proofErr w:type="spellStart"/>
      <w:r>
        <w:rPr>
          <w:b/>
          <w:sz w:val="20"/>
          <w:szCs w:val="20"/>
          <w:rtl/>
        </w:rPr>
        <w:t>פינסק</w:t>
      </w:r>
      <w:proofErr w:type="spellEnd"/>
      <w:r>
        <w:rPr>
          <w:b/>
          <w:sz w:val="20"/>
          <w:szCs w:val="20"/>
          <w:rtl/>
        </w:rPr>
        <w:t xml:space="preserve">, </w:t>
      </w:r>
      <w:proofErr w:type="spellStart"/>
      <w:r>
        <w:rPr>
          <w:b/>
          <w:sz w:val="20"/>
          <w:szCs w:val="20"/>
          <w:rtl/>
        </w:rPr>
        <w:t>בשו״ת</w:t>
      </w:r>
      <w:proofErr w:type="spellEnd"/>
      <w:r>
        <w:rPr>
          <w:b/>
          <w:sz w:val="20"/>
          <w:szCs w:val="20"/>
          <w:rtl/>
        </w:rPr>
        <w:t xml:space="preserve"> “אהל משה”: “המאמינים [שמותר לעקם את האמת כדי ליישב פסק תמוה של הגאון מווילנה] אינם מתלמידי הגאון, כי לא את דרכו למדו אלא את דרך </w:t>
      </w:r>
      <w:proofErr w:type="spellStart"/>
      <w:r>
        <w:rPr>
          <w:b/>
          <w:sz w:val="20"/>
          <w:szCs w:val="20"/>
          <w:rtl/>
        </w:rPr>
        <w:t>מנגדינו</w:t>
      </w:r>
      <w:proofErr w:type="spellEnd"/>
      <w:r>
        <w:rPr>
          <w:b/>
          <w:sz w:val="20"/>
          <w:szCs w:val="20"/>
          <w:rtl/>
        </w:rPr>
        <w:t xml:space="preserve">, </w:t>
      </w:r>
      <w:proofErr w:type="spellStart"/>
      <w:r>
        <w:rPr>
          <w:b/>
          <w:sz w:val="20"/>
          <w:szCs w:val="20"/>
          <w:rtl/>
        </w:rPr>
        <w:t>ש‘יעקשו</w:t>
      </w:r>
      <w:proofErr w:type="spellEnd"/>
      <w:r>
        <w:rPr>
          <w:b/>
          <w:sz w:val="20"/>
          <w:szCs w:val="20"/>
          <w:rtl/>
        </w:rPr>
        <w:t xml:space="preserve"> הישרה’ לכבוד מנהיגיהם – וכבוד מדומה הוא!”. ועיין עוד בסוף הפסקה שלפני האחרונה </w:t>
      </w:r>
      <w:proofErr w:type="spellStart"/>
      <w:r>
        <w:rPr>
          <w:b/>
          <w:sz w:val="20"/>
          <w:szCs w:val="20"/>
          <w:rtl/>
        </w:rPr>
        <w:t>בשו״ת</w:t>
      </w:r>
      <w:proofErr w:type="spellEnd"/>
      <w:r>
        <w:rPr>
          <w:b/>
          <w:sz w:val="20"/>
          <w:szCs w:val="20"/>
          <w:rtl/>
        </w:rPr>
        <w:t xml:space="preserve"> משיב דבר, סי׳ מד, על ביקורתו המרומזת של </w:t>
      </w:r>
      <w:proofErr w:type="spellStart"/>
      <w:r>
        <w:rPr>
          <w:b/>
          <w:sz w:val="20"/>
          <w:szCs w:val="20"/>
          <w:rtl/>
        </w:rPr>
        <w:t>הנצי״ב</w:t>
      </w:r>
      <w:proofErr w:type="spellEnd"/>
      <w:r>
        <w:rPr>
          <w:b/>
          <w:sz w:val="20"/>
          <w:szCs w:val="20"/>
          <w:rtl/>
        </w:rPr>
        <w:t xml:space="preserve"> על החסידים.</w:t>
      </w:r>
    </w:p>
  </w:footnote>
  <w:footnote w:id="81">
    <w:p w14:paraId="58DF6C49"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אף שר׳ </w:t>
      </w:r>
      <w:proofErr w:type="spellStart"/>
      <w:r>
        <w:rPr>
          <w:b/>
          <w:sz w:val="20"/>
          <w:szCs w:val="20"/>
          <w:rtl/>
        </w:rPr>
        <w:t>חיים־עוזר</w:t>
      </w:r>
      <w:proofErr w:type="spellEnd"/>
      <w:r>
        <w:rPr>
          <w:b/>
          <w:sz w:val="20"/>
          <w:szCs w:val="20"/>
          <w:rtl/>
        </w:rPr>
        <w:t xml:space="preserve"> היה צעיר מהם, פעילותו הציבורית החלה עוד בחייהם.</w:t>
      </w:r>
    </w:p>
  </w:footnote>
  <w:footnote w:id="82">
    <w:p w14:paraId="0E4A1CC4"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מאת הרב משה מאיר ישר, הוצאת האחים </w:t>
      </w:r>
      <w:proofErr w:type="spellStart"/>
      <w:r>
        <w:rPr>
          <w:b/>
          <w:sz w:val="20"/>
          <w:szCs w:val="20"/>
          <w:rtl/>
        </w:rPr>
        <w:t>שולזינגר</w:t>
      </w:r>
      <w:proofErr w:type="spellEnd"/>
      <w:r>
        <w:rPr>
          <w:b/>
          <w:sz w:val="20"/>
          <w:szCs w:val="20"/>
          <w:rtl/>
        </w:rPr>
        <w:t xml:space="preserve">, </w:t>
      </w:r>
      <w:proofErr w:type="spellStart"/>
      <w:r>
        <w:rPr>
          <w:b/>
          <w:sz w:val="20"/>
          <w:szCs w:val="20"/>
          <w:rtl/>
        </w:rPr>
        <w:t>ניו־יורק</w:t>
      </w:r>
      <w:proofErr w:type="spellEnd"/>
      <w:r>
        <w:rPr>
          <w:b/>
          <w:sz w:val="20"/>
          <w:szCs w:val="20"/>
          <w:rtl/>
        </w:rPr>
        <w:t>, תש״ו, עמ׳ 7.</w:t>
      </w:r>
    </w:p>
  </w:footnote>
  <w:footnote w:id="83">
    <w:p w14:paraId="4C3E426D"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מאת רבה של </w:t>
      </w:r>
      <w:proofErr w:type="spellStart"/>
      <w:r>
        <w:rPr>
          <w:b/>
          <w:sz w:val="20"/>
          <w:szCs w:val="20"/>
          <w:rtl/>
        </w:rPr>
        <w:t>מעריטש</w:t>
      </w:r>
      <w:proofErr w:type="spellEnd"/>
      <w:r>
        <w:rPr>
          <w:b/>
          <w:sz w:val="20"/>
          <w:szCs w:val="20"/>
          <w:rtl/>
        </w:rPr>
        <w:t xml:space="preserve">, “הגאון המפורסם וכו׳ </w:t>
      </w:r>
      <w:proofErr w:type="spellStart"/>
      <w:r>
        <w:rPr>
          <w:b/>
          <w:sz w:val="20"/>
          <w:szCs w:val="20"/>
          <w:rtl/>
        </w:rPr>
        <w:t>יהודא</w:t>
      </w:r>
      <w:proofErr w:type="spellEnd"/>
      <w:r>
        <w:rPr>
          <w:b/>
          <w:sz w:val="20"/>
          <w:szCs w:val="20"/>
          <w:rtl/>
        </w:rPr>
        <w:t xml:space="preserve"> הלוי ליפשיץ”, שנדפס </w:t>
      </w:r>
      <w:proofErr w:type="spellStart"/>
      <w:r>
        <w:rPr>
          <w:b/>
          <w:sz w:val="20"/>
          <w:szCs w:val="20"/>
          <w:rtl/>
        </w:rPr>
        <w:t>בפיעטרקוב</w:t>
      </w:r>
      <w:proofErr w:type="spellEnd"/>
      <w:r>
        <w:rPr>
          <w:b/>
          <w:sz w:val="20"/>
          <w:szCs w:val="20"/>
          <w:rtl/>
        </w:rPr>
        <w:t xml:space="preserve"> (תרס״ח).</w:t>
      </w:r>
    </w:p>
  </w:footnote>
  <w:footnote w:id="84">
    <w:p w14:paraId="0B87246C"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על פי איוב יא, ט ועירובין </w:t>
      </w:r>
      <w:proofErr w:type="spellStart"/>
      <w:r>
        <w:rPr>
          <w:b/>
          <w:sz w:val="20"/>
          <w:szCs w:val="20"/>
          <w:rtl/>
        </w:rPr>
        <w:t>כא</w:t>
      </w:r>
      <w:proofErr w:type="spellEnd"/>
      <w:r>
        <w:rPr>
          <w:b/>
          <w:sz w:val="20"/>
          <w:szCs w:val="20"/>
          <w:rtl/>
        </w:rPr>
        <w:t xml:space="preserve"> ע״א.</w:t>
      </w:r>
    </w:p>
  </w:footnote>
  <w:footnote w:id="85">
    <w:p w14:paraId="5A8CE806"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כל ספרי </w:t>
      </w:r>
      <w:proofErr w:type="spellStart"/>
      <w:r>
        <w:rPr>
          <w:b/>
          <w:sz w:val="20"/>
          <w:szCs w:val="20"/>
          <w:rtl/>
        </w:rPr>
        <w:t>מהר״ץ</w:t>
      </w:r>
      <w:proofErr w:type="spellEnd"/>
      <w:r>
        <w:rPr>
          <w:b/>
          <w:sz w:val="20"/>
          <w:szCs w:val="20"/>
          <w:rtl/>
        </w:rPr>
        <w:t xml:space="preserve"> חיות (ירושלים, תשי״ח), עמ׳ תו–</w:t>
      </w:r>
      <w:proofErr w:type="spellStart"/>
      <w:r>
        <w:rPr>
          <w:b/>
          <w:sz w:val="20"/>
          <w:szCs w:val="20"/>
          <w:rtl/>
        </w:rPr>
        <w:t>תז</w:t>
      </w:r>
      <w:proofErr w:type="spellEnd"/>
      <w:r>
        <w:rPr>
          <w:b/>
          <w:sz w:val="20"/>
          <w:szCs w:val="20"/>
          <w:rtl/>
        </w:rPr>
        <w:t>.</w:t>
      </w:r>
    </w:p>
  </w:footnote>
  <w:footnote w:id="86">
    <w:p w14:paraId="6AAE0F22"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על פי אסתר רבה פ״י, יא.</w:t>
      </w:r>
    </w:p>
  </w:footnote>
  <w:footnote w:id="87">
    <w:p w14:paraId="32878D34"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אל יטעה הקורא לראות במכתבו של </w:t>
      </w:r>
      <w:proofErr w:type="spellStart"/>
      <w:r>
        <w:rPr>
          <w:b/>
          <w:sz w:val="20"/>
          <w:szCs w:val="20"/>
          <w:rtl/>
        </w:rPr>
        <w:t>החזון־איש</w:t>
      </w:r>
      <w:proofErr w:type="spellEnd"/>
      <w:r>
        <w:rPr>
          <w:b/>
          <w:sz w:val="20"/>
          <w:szCs w:val="20"/>
          <w:rtl/>
        </w:rPr>
        <w:t xml:space="preserve">, אגרת </w:t>
      </w:r>
      <w:proofErr w:type="spellStart"/>
      <w:r>
        <w:rPr>
          <w:b/>
          <w:sz w:val="20"/>
          <w:szCs w:val="20"/>
          <w:rtl/>
        </w:rPr>
        <w:t>קלג</w:t>
      </w:r>
      <w:proofErr w:type="spellEnd"/>
      <w:r>
        <w:rPr>
          <w:b/>
          <w:sz w:val="20"/>
          <w:szCs w:val="20"/>
          <w:rtl/>
        </w:rPr>
        <w:t xml:space="preserve"> שנדפסה </w:t>
      </w:r>
      <w:proofErr w:type="spellStart"/>
      <w:r>
        <w:rPr>
          <w:b/>
          <w:sz w:val="20"/>
          <w:szCs w:val="20"/>
          <w:rtl/>
        </w:rPr>
        <w:t>ב“קובץ</w:t>
      </w:r>
      <w:proofErr w:type="spellEnd"/>
      <w:r>
        <w:rPr>
          <w:b/>
          <w:sz w:val="20"/>
          <w:szCs w:val="20"/>
          <w:rtl/>
        </w:rPr>
        <w:t xml:space="preserve"> אגרות” </w:t>
      </w:r>
      <w:proofErr w:type="spellStart"/>
      <w:r>
        <w:rPr>
          <w:b/>
          <w:sz w:val="20"/>
          <w:szCs w:val="20"/>
          <w:rtl/>
        </w:rPr>
        <w:t>ח״ב</w:t>
      </w:r>
      <w:proofErr w:type="spellEnd"/>
      <w:r>
        <w:rPr>
          <w:b/>
          <w:sz w:val="20"/>
          <w:szCs w:val="20"/>
          <w:rtl/>
        </w:rPr>
        <w:t xml:space="preserve"> (בני ברק, </w:t>
      </w:r>
      <w:proofErr w:type="spellStart"/>
      <w:r>
        <w:rPr>
          <w:b/>
          <w:sz w:val="20"/>
          <w:szCs w:val="20"/>
          <w:rtl/>
        </w:rPr>
        <w:t>תש״ן</w:t>
      </w:r>
      <w:proofErr w:type="spellEnd"/>
      <w:r>
        <w:rPr>
          <w:b/>
          <w:sz w:val="20"/>
          <w:szCs w:val="20"/>
          <w:rtl/>
        </w:rPr>
        <w:t xml:space="preserve">), תמיכה בעמדתו של הרב חיות. </w:t>
      </w:r>
      <w:proofErr w:type="spellStart"/>
      <w:r>
        <w:rPr>
          <w:b/>
          <w:sz w:val="20"/>
          <w:szCs w:val="20"/>
          <w:rtl/>
        </w:rPr>
        <w:t>החזון־איש</w:t>
      </w:r>
      <w:proofErr w:type="spellEnd"/>
      <w:r>
        <w:rPr>
          <w:b/>
          <w:sz w:val="20"/>
          <w:szCs w:val="20"/>
          <w:rtl/>
        </w:rPr>
        <w:t xml:space="preserve"> כותב שם: “דעתי כי ראוי </w:t>
      </w:r>
      <w:proofErr w:type="spellStart"/>
      <w:r>
        <w:rPr>
          <w:b/>
          <w:sz w:val="20"/>
          <w:szCs w:val="20"/>
          <w:rtl/>
        </w:rPr>
        <w:t>להמחזיקים</w:t>
      </w:r>
      <w:proofErr w:type="spellEnd"/>
      <w:r>
        <w:rPr>
          <w:b/>
          <w:sz w:val="20"/>
          <w:szCs w:val="20"/>
          <w:rtl/>
        </w:rPr>
        <w:t xml:space="preserve"> בתורת ה׳ לדעת את </w:t>
      </w:r>
      <w:proofErr w:type="spellStart"/>
      <w:r>
        <w:rPr>
          <w:b/>
          <w:sz w:val="20"/>
          <w:szCs w:val="20"/>
          <w:rtl/>
        </w:rPr>
        <w:t>גדוליה</w:t>
      </w:r>
      <w:proofErr w:type="spellEnd"/>
      <w:r>
        <w:rPr>
          <w:b/>
          <w:sz w:val="20"/>
          <w:szCs w:val="20"/>
          <w:rtl/>
        </w:rPr>
        <w:t xml:space="preserve"> באופיים האמיתי... וצריכים לדעת, כי הידיעה של חכמי הדור לבם ומידתם הן </w:t>
      </w:r>
      <w:proofErr w:type="spellStart"/>
      <w:r>
        <w:rPr>
          <w:b/>
          <w:sz w:val="20"/>
          <w:szCs w:val="20"/>
          <w:rtl/>
        </w:rPr>
        <w:t>הן</w:t>
      </w:r>
      <w:proofErr w:type="spellEnd"/>
      <w:r>
        <w:rPr>
          <w:b/>
          <w:sz w:val="20"/>
          <w:szCs w:val="20"/>
          <w:rtl/>
        </w:rPr>
        <w:t xml:space="preserve"> גופי תורה” (ההדגשה שלי). עיון מדוקדק יראה שאין כוונתו לידיעה כללית על גדולי כל הדורות, אלא להכרת גדולי התורה בני הדור: יש להעריך נכונה את אישיותם, כדי </w:t>
      </w:r>
      <w:proofErr w:type="spellStart"/>
      <w:r>
        <w:rPr>
          <w:b/>
          <w:sz w:val="20"/>
          <w:szCs w:val="20"/>
          <w:rtl/>
        </w:rPr>
        <w:t>ש“המחזיקים</w:t>
      </w:r>
      <w:proofErr w:type="spellEnd"/>
      <w:r>
        <w:rPr>
          <w:b/>
          <w:sz w:val="20"/>
          <w:szCs w:val="20"/>
          <w:rtl/>
        </w:rPr>
        <w:t xml:space="preserve"> בתורת ה׳” יוכלו לשקול את </w:t>
      </w:r>
      <w:proofErr w:type="spellStart"/>
      <w:r>
        <w:rPr>
          <w:b/>
          <w:sz w:val="20"/>
          <w:szCs w:val="20"/>
          <w:rtl/>
        </w:rPr>
        <w:t>פסקיהם</w:t>
      </w:r>
      <w:proofErr w:type="spellEnd"/>
      <w:r>
        <w:rPr>
          <w:b/>
          <w:sz w:val="20"/>
          <w:szCs w:val="20"/>
          <w:rtl/>
        </w:rPr>
        <w:t xml:space="preserve"> בתבונה. ידיעה כזו היא אכן “גופי תורה”. הבנה זו בדברי </w:t>
      </w:r>
      <w:proofErr w:type="spellStart"/>
      <w:r>
        <w:rPr>
          <w:b/>
          <w:sz w:val="20"/>
          <w:szCs w:val="20"/>
          <w:rtl/>
        </w:rPr>
        <w:t>החזון־איש</w:t>
      </w:r>
      <w:proofErr w:type="spellEnd"/>
      <w:r>
        <w:rPr>
          <w:b/>
          <w:sz w:val="20"/>
          <w:szCs w:val="20"/>
          <w:rtl/>
        </w:rPr>
        <w:t xml:space="preserve"> שונה מזו של רפאל הלפרין בחיבורו המונומנטלי על רש״י, “רש״י – חייו ופירושיו” (הוצאת “הקדש רוח יעקב”, תשנ״ז), עמ׳ 44.</w:t>
      </w:r>
    </w:p>
  </w:footnote>
  <w:footnote w:id="88">
    <w:p w14:paraId="1540D56A"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הוצאת “נצח”, בני ברק, תשל״ג, עמ׳ קמח.</w:t>
      </w:r>
    </w:p>
  </w:footnote>
  <w:footnote w:id="89">
    <w:p w14:paraId="73480EF5"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ר׳ יעקב הלוי ליפשיץ מציע בספרו “</w:t>
      </w:r>
      <w:proofErr w:type="spellStart"/>
      <w:r>
        <w:rPr>
          <w:b/>
          <w:sz w:val="20"/>
          <w:szCs w:val="20"/>
          <w:rtl/>
        </w:rPr>
        <w:t>זכרון</w:t>
      </w:r>
      <w:proofErr w:type="spellEnd"/>
      <w:r>
        <w:rPr>
          <w:b/>
          <w:sz w:val="20"/>
          <w:szCs w:val="20"/>
          <w:rtl/>
        </w:rPr>
        <w:t xml:space="preserve"> יעקב” (</w:t>
      </w:r>
      <w:proofErr w:type="spellStart"/>
      <w:r>
        <w:rPr>
          <w:b/>
          <w:sz w:val="20"/>
          <w:szCs w:val="20"/>
          <w:rtl/>
        </w:rPr>
        <w:t>קובנה־סלבודקה</w:t>
      </w:r>
      <w:proofErr w:type="spellEnd"/>
      <w:r>
        <w:rPr>
          <w:b/>
          <w:sz w:val="20"/>
          <w:szCs w:val="20"/>
          <w:rtl/>
        </w:rPr>
        <w:t xml:space="preserve">, תרפ״ג), ח״א, עמ׳ 185–186, טעם מקורי לכך שאנו “עניים” בספרי תולדות של גדולי תורה: “עניה היא </w:t>
      </w:r>
      <w:proofErr w:type="spellStart"/>
      <w:r>
        <w:rPr>
          <w:b/>
          <w:sz w:val="20"/>
          <w:szCs w:val="20"/>
          <w:rtl/>
        </w:rPr>
        <w:t>בספורי</w:t>
      </w:r>
      <w:proofErr w:type="spellEnd"/>
      <w:r>
        <w:rPr>
          <w:b/>
          <w:sz w:val="20"/>
          <w:szCs w:val="20"/>
          <w:rtl/>
        </w:rPr>
        <w:t xml:space="preserve"> תולדות גדולי ישראל וטובי עמנו, ושתי סבות בדבר: האחת, כפתגם הידוע: ‘מרוב העצים לא נראה היער’, מפני שאין ערך </w:t>
      </w:r>
      <w:proofErr w:type="spellStart"/>
      <w:r>
        <w:rPr>
          <w:b/>
          <w:sz w:val="20"/>
          <w:szCs w:val="20"/>
          <w:rtl/>
        </w:rPr>
        <w:t>להעושר</w:t>
      </w:r>
      <w:proofErr w:type="spellEnd"/>
      <w:r>
        <w:rPr>
          <w:b/>
          <w:sz w:val="20"/>
          <w:szCs w:val="20"/>
          <w:rtl/>
        </w:rPr>
        <w:t xml:space="preserve"> הרב של בני עמנו ב״ה באנשי הסגולה והמעלה, </w:t>
      </w:r>
      <w:proofErr w:type="spellStart"/>
      <w:r>
        <w:rPr>
          <w:b/>
          <w:sz w:val="20"/>
          <w:szCs w:val="20"/>
          <w:rtl/>
        </w:rPr>
        <w:t>בגאוניה</w:t>
      </w:r>
      <w:proofErr w:type="spellEnd"/>
      <w:r>
        <w:rPr>
          <w:b/>
          <w:sz w:val="20"/>
          <w:szCs w:val="20"/>
          <w:rtl/>
        </w:rPr>
        <w:t xml:space="preserve"> חסידיה חכמיה, ובכלל טובי העם אנשי המעשה בכל </w:t>
      </w:r>
      <w:proofErr w:type="spellStart"/>
      <w:r>
        <w:rPr>
          <w:b/>
          <w:sz w:val="20"/>
          <w:szCs w:val="20"/>
          <w:rtl/>
        </w:rPr>
        <w:t>מפעלות</w:t>
      </w:r>
      <w:proofErr w:type="spellEnd"/>
      <w:r>
        <w:rPr>
          <w:b/>
          <w:sz w:val="20"/>
          <w:szCs w:val="20"/>
          <w:rtl/>
        </w:rPr>
        <w:t xml:space="preserve"> הצדקה והטוב, שהזהירו </w:t>
      </w:r>
      <w:proofErr w:type="spellStart"/>
      <w:r>
        <w:rPr>
          <w:b/>
          <w:sz w:val="20"/>
          <w:szCs w:val="20"/>
          <w:rtl/>
        </w:rPr>
        <w:t>ככבבי</w:t>
      </w:r>
      <w:proofErr w:type="spellEnd"/>
      <w:r>
        <w:rPr>
          <w:b/>
          <w:sz w:val="20"/>
          <w:szCs w:val="20"/>
          <w:rtl/>
        </w:rPr>
        <w:t xml:space="preserve"> שחק בשמי היהדות, שאם נבוא לספרם </w:t>
      </w:r>
      <w:proofErr w:type="spellStart"/>
      <w:r>
        <w:rPr>
          <w:b/>
          <w:sz w:val="20"/>
          <w:szCs w:val="20"/>
          <w:rtl/>
        </w:rPr>
        <w:t>לפרטותיהם</w:t>
      </w:r>
      <w:proofErr w:type="spellEnd"/>
      <w:r>
        <w:rPr>
          <w:b/>
          <w:sz w:val="20"/>
          <w:szCs w:val="20"/>
          <w:rtl/>
        </w:rPr>
        <w:t xml:space="preserve"> ולתארם בכל צביונם הנכון לא יכילם שום ספר, אשר לכן לא שמו דורות החולפים לב לרשום תולדותיהם בספר”. טענתו מעניינת: דווקא משום שהיו בישראל רבים כל כך הראויים לספרי תולדות, לא נכתב ספר כזה על אף אחד מהם.</w:t>
      </w:r>
    </w:p>
  </w:footnote>
  <w:footnote w:id="90">
    <w:p w14:paraId="2E72C9D6"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תחילת פרשת וישלח.</w:t>
      </w:r>
    </w:p>
  </w:footnote>
  <w:footnote w:id="91">
    <w:p w14:paraId="04B5E1E6"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משלי כה, </w:t>
      </w:r>
      <w:proofErr w:type="spellStart"/>
      <w:r>
        <w:rPr>
          <w:b/>
          <w:sz w:val="20"/>
          <w:szCs w:val="20"/>
          <w:rtl/>
        </w:rPr>
        <w:t>כז</w:t>
      </w:r>
      <w:proofErr w:type="spellEnd"/>
      <w:r>
        <w:rPr>
          <w:b/>
          <w:sz w:val="20"/>
          <w:szCs w:val="20"/>
          <w:rtl/>
        </w:rPr>
        <w:t>.</w:t>
      </w:r>
    </w:p>
  </w:footnote>
  <w:footnote w:id="92">
    <w:p w14:paraId="50A7EF26"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גם “מצודת דוד” שם מבאר באופן דומה את חציו השני של הפסוק, “וחקר כבודם כבוד”, וכותב: “חקירת כבוד הקדושים יותר מדי, לכבוד ייחשב”, כלומר שראוי לחקור את חכמתם, שהיא כבודם ותפארתם. רבנו בחיי אינו מפרש מהו “כבודם”, ואילו “מצודת דוד” מבין שהכוונה </w:t>
      </w:r>
      <w:proofErr w:type="spellStart"/>
      <w:r>
        <w:rPr>
          <w:b/>
          <w:sz w:val="20"/>
          <w:szCs w:val="20"/>
          <w:rtl/>
        </w:rPr>
        <w:t>ל“חכמתם</w:t>
      </w:r>
      <w:proofErr w:type="spellEnd"/>
      <w:r>
        <w:rPr>
          <w:b/>
          <w:sz w:val="20"/>
          <w:szCs w:val="20"/>
          <w:rtl/>
        </w:rPr>
        <w:t>”.</w:t>
      </w:r>
    </w:p>
  </w:footnote>
  <w:footnote w:id="93">
    <w:p w14:paraId="558E604B"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שער ג, אות קמט.</w:t>
      </w:r>
    </w:p>
  </w:footnote>
  <w:footnote w:id="94">
    <w:p w14:paraId="5210EEC4"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ירושלים, </w:t>
      </w:r>
      <w:proofErr w:type="spellStart"/>
      <w:r>
        <w:rPr>
          <w:b/>
          <w:sz w:val="20"/>
          <w:szCs w:val="20"/>
          <w:rtl/>
        </w:rPr>
        <w:t>תנש״א</w:t>
      </w:r>
      <w:proofErr w:type="spellEnd"/>
      <w:r>
        <w:rPr>
          <w:b/>
          <w:sz w:val="20"/>
          <w:szCs w:val="20"/>
          <w:rtl/>
        </w:rPr>
        <w:t>, עמ׳ 12.</w:t>
      </w:r>
    </w:p>
  </w:footnote>
  <w:footnote w:id="95">
    <w:p w14:paraId="6EA4C704"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שופטים ז, </w:t>
      </w:r>
      <w:proofErr w:type="spellStart"/>
      <w:r>
        <w:rPr>
          <w:b/>
          <w:sz w:val="20"/>
          <w:szCs w:val="20"/>
          <w:rtl/>
        </w:rPr>
        <w:t>יז</w:t>
      </w:r>
      <w:proofErr w:type="spellEnd"/>
      <w:r>
        <w:rPr>
          <w:b/>
          <w:sz w:val="20"/>
          <w:szCs w:val="20"/>
          <w:rtl/>
        </w:rPr>
        <w:t>.</w:t>
      </w:r>
    </w:p>
  </w:footnote>
  <w:footnote w:id="96">
    <w:p w14:paraId="4273E149"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הוצאת משאבים, ירושלים, תשמ״ה, עמ׳ </w:t>
      </w:r>
      <w:proofErr w:type="spellStart"/>
      <w:r>
        <w:rPr>
          <w:b/>
          <w:sz w:val="20"/>
          <w:szCs w:val="20"/>
          <w:rtl/>
        </w:rPr>
        <w:t>קכא</w:t>
      </w:r>
      <w:proofErr w:type="spellEnd"/>
      <w:r>
        <w:rPr>
          <w:b/>
          <w:sz w:val="20"/>
          <w:szCs w:val="20"/>
          <w:rtl/>
        </w:rPr>
        <w:t>.</w:t>
      </w:r>
    </w:p>
  </w:footnote>
  <w:footnote w:id="97">
    <w:p w14:paraId="729678AB"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נדפס בירושלים, תשנ״ט, </w:t>
      </w:r>
      <w:proofErr w:type="spellStart"/>
      <w:r>
        <w:rPr>
          <w:b/>
          <w:sz w:val="20"/>
          <w:szCs w:val="20"/>
          <w:rtl/>
        </w:rPr>
        <w:t>ח״ב</w:t>
      </w:r>
      <w:proofErr w:type="spellEnd"/>
      <w:r>
        <w:rPr>
          <w:b/>
          <w:sz w:val="20"/>
          <w:szCs w:val="20"/>
          <w:rtl/>
        </w:rPr>
        <w:t>, עמ׳ ח.</w:t>
      </w:r>
    </w:p>
  </w:footnote>
  <w:footnote w:id="98">
    <w:p w14:paraId="11A03F72"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ספר על ישיבת </w:t>
      </w:r>
      <w:proofErr w:type="spellStart"/>
      <w:r>
        <w:rPr>
          <w:b/>
          <w:sz w:val="20"/>
          <w:szCs w:val="20"/>
          <w:rtl/>
        </w:rPr>
        <w:t>גרודנא</w:t>
      </w:r>
      <w:proofErr w:type="spellEnd"/>
      <w:r>
        <w:rPr>
          <w:b/>
          <w:sz w:val="20"/>
          <w:szCs w:val="20"/>
          <w:rtl/>
        </w:rPr>
        <w:t xml:space="preserve"> ועל ראשה, ר׳ שמעון </w:t>
      </w:r>
      <w:proofErr w:type="spellStart"/>
      <w:r>
        <w:rPr>
          <w:b/>
          <w:sz w:val="20"/>
          <w:szCs w:val="20"/>
          <w:rtl/>
        </w:rPr>
        <w:t>שקופ</w:t>
      </w:r>
      <w:proofErr w:type="spellEnd"/>
      <w:r>
        <w:rPr>
          <w:b/>
          <w:sz w:val="20"/>
          <w:szCs w:val="20"/>
          <w:rtl/>
        </w:rPr>
        <w:t xml:space="preserve"> (ללא מקום הוצאה, חשוון תש״ס), עמ׳ 272.</w:t>
      </w:r>
    </w:p>
  </w:footnote>
  <w:footnote w:id="99">
    <w:p w14:paraId="4BAEADB0"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מאת אשר ברגמן (בני ברק, תשנ״ט), עמ׳ 322.</w:t>
      </w:r>
    </w:p>
  </w:footnote>
  <w:footnote w:id="100">
    <w:p w14:paraId="074A1866"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עמ׳ 509.</w:t>
      </w:r>
    </w:p>
  </w:footnote>
  <w:footnote w:id="101">
    <w:p w14:paraId="4096C444"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ריאיון נוסף, 7 בנובמבר 1987.</w:t>
      </w:r>
    </w:p>
  </w:footnote>
  <w:footnote w:id="102">
    <w:p w14:paraId="72F43BEB"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ריאיון, 15 בספטמבר 1987.</w:t>
      </w:r>
    </w:p>
  </w:footnote>
  <w:footnote w:id="103">
    <w:p w14:paraId="1EAB90B2"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הוצאת מסורה, ברוקלין, 1994, עמ׳ 82.</w:t>
      </w:r>
    </w:p>
  </w:footnote>
  <w:footnote w:id="104">
    <w:p w14:paraId="36DACCEA"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סי׳ יא, אות כ.</w:t>
      </w:r>
    </w:p>
  </w:footnote>
  <w:footnote w:id="105">
    <w:p w14:paraId="02F3F518"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1 בדצמבר 1997.</w:t>
      </w:r>
    </w:p>
  </w:footnote>
  <w:footnote w:id="106">
    <w:p w14:paraId="640E4327"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אבי הבהיר פעם </w:t>
      </w:r>
      <w:proofErr w:type="spellStart"/>
      <w:r>
        <w:rPr>
          <w:b/>
          <w:sz w:val="20"/>
          <w:szCs w:val="20"/>
          <w:rtl/>
        </w:rPr>
        <w:t>לר</w:t>
      </w:r>
      <w:proofErr w:type="spellEnd"/>
      <w:r>
        <w:rPr>
          <w:b/>
          <w:sz w:val="20"/>
          <w:szCs w:val="20"/>
          <w:rtl/>
        </w:rPr>
        <w:t xml:space="preserve">׳ דוד </w:t>
      </w:r>
      <w:proofErr w:type="spellStart"/>
      <w:r>
        <w:rPr>
          <w:b/>
          <w:sz w:val="20"/>
          <w:szCs w:val="20"/>
          <w:rtl/>
        </w:rPr>
        <w:t>צימט</w:t>
      </w:r>
      <w:proofErr w:type="spellEnd"/>
      <w:r>
        <w:rPr>
          <w:b/>
          <w:sz w:val="20"/>
          <w:szCs w:val="20"/>
          <w:rtl/>
        </w:rPr>
        <w:t xml:space="preserve"> (ריאיון, 6 בינואר 1988) את הסתייגויותיו מהלוי, וזו לשונו: “הוא מבזה [</w:t>
      </w:r>
      <w:proofErr w:type="spellStart"/>
      <w:r>
        <w:rPr>
          <w:b/>
          <w:sz w:val="20"/>
          <w:szCs w:val="20"/>
          <w:rtl/>
        </w:rPr>
        <w:t>ריהרט</w:t>
      </w:r>
      <w:proofErr w:type="spellEnd"/>
      <w:r>
        <w:rPr>
          <w:b/>
          <w:sz w:val="20"/>
          <w:szCs w:val="20"/>
          <w:rtl/>
        </w:rPr>
        <w:t xml:space="preserve"> אן] את </w:t>
      </w:r>
      <w:proofErr w:type="spellStart"/>
      <w:r>
        <w:rPr>
          <w:b/>
          <w:sz w:val="20"/>
          <w:szCs w:val="20"/>
          <w:rtl/>
        </w:rPr>
        <w:t>המלבי״ם</w:t>
      </w:r>
      <w:proofErr w:type="spellEnd"/>
      <w:r>
        <w:rPr>
          <w:b/>
          <w:sz w:val="20"/>
          <w:szCs w:val="20"/>
          <w:rtl/>
        </w:rPr>
        <w:t>, ופוגע מאוד בכבוד [</w:t>
      </w:r>
      <w:proofErr w:type="spellStart"/>
      <w:r>
        <w:rPr>
          <w:b/>
          <w:sz w:val="20"/>
          <w:szCs w:val="20"/>
          <w:rtl/>
        </w:rPr>
        <w:t>שטארק</w:t>
      </w:r>
      <w:proofErr w:type="spellEnd"/>
      <w:r>
        <w:rPr>
          <w:b/>
          <w:sz w:val="20"/>
          <w:szCs w:val="20"/>
          <w:rtl/>
        </w:rPr>
        <w:t xml:space="preserve"> פוגע בכבוד] אפילו של ראשונים”.</w:t>
      </w:r>
    </w:p>
  </w:footnote>
  <w:footnote w:id="107">
    <w:p w14:paraId="12331A2C"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יומא ה ע״א.</w:t>
      </w:r>
    </w:p>
  </w:footnote>
  <w:footnote w:id="108">
    <w:p w14:paraId="4D7FBCC9"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25 במרץ 1988.</w:t>
      </w:r>
    </w:p>
  </w:footnote>
  <w:footnote w:id="109">
    <w:p w14:paraId="387A4AB4"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בתרגום קהלת (</w:t>
      </w:r>
      <w:proofErr w:type="spellStart"/>
      <w:r>
        <w:rPr>
          <w:b/>
          <w:sz w:val="20"/>
          <w:szCs w:val="20"/>
          <w:rtl/>
        </w:rPr>
        <w:t>יב</w:t>
      </w:r>
      <w:proofErr w:type="spellEnd"/>
      <w:r>
        <w:rPr>
          <w:b/>
          <w:sz w:val="20"/>
          <w:szCs w:val="20"/>
          <w:rtl/>
        </w:rPr>
        <w:t>, ה) איתא שאדם זקן מפחד להזכיר דברים שקרו לפניו זמן רב, עיי״ש, ולא ברור הטעם לכך; ואולי מפני שסתם זקן חושש שמא זיכרונו מטעהו.</w:t>
      </w:r>
    </w:p>
  </w:footnote>
  <w:footnote w:id="110">
    <w:p w14:paraId="4690B382"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בני ברק, תשנ״ח, עמ׳ </w:t>
      </w:r>
      <w:proofErr w:type="spellStart"/>
      <w:r>
        <w:rPr>
          <w:b/>
          <w:sz w:val="20"/>
          <w:szCs w:val="20"/>
          <w:rtl/>
        </w:rPr>
        <w:t>יב</w:t>
      </w:r>
      <w:proofErr w:type="spellEnd"/>
      <w:r>
        <w:rPr>
          <w:b/>
          <w:sz w:val="20"/>
          <w:szCs w:val="20"/>
          <w:rtl/>
        </w:rPr>
        <w:t>.</w:t>
      </w:r>
    </w:p>
  </w:footnote>
  <w:footnote w:id="111">
    <w:p w14:paraId="38434D15"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השווה הפסקה שלפני האחרונה במאמר הזיכרון מאת הרב ניסן </w:t>
      </w:r>
      <w:proofErr w:type="spellStart"/>
      <w:r>
        <w:rPr>
          <w:b/>
          <w:sz w:val="20"/>
          <w:szCs w:val="20"/>
          <w:rtl/>
        </w:rPr>
        <w:t>וולפין</w:t>
      </w:r>
      <w:proofErr w:type="spellEnd"/>
      <w:r>
        <w:rPr>
          <w:b/>
          <w:sz w:val="20"/>
          <w:szCs w:val="20"/>
          <w:rtl/>
        </w:rPr>
        <w:t xml:space="preserve"> </w:t>
      </w:r>
      <w:proofErr w:type="spellStart"/>
      <w:r>
        <w:rPr>
          <w:b/>
          <w:sz w:val="20"/>
          <w:szCs w:val="20"/>
          <w:rtl/>
        </w:rPr>
        <w:t>בג׳ואיש</w:t>
      </w:r>
      <w:proofErr w:type="spellEnd"/>
      <w:r>
        <w:rPr>
          <w:b/>
          <w:sz w:val="20"/>
          <w:szCs w:val="20"/>
          <w:rtl/>
        </w:rPr>
        <w:t xml:space="preserve"> </w:t>
      </w:r>
      <w:proofErr w:type="spellStart"/>
      <w:r>
        <w:rPr>
          <w:b/>
          <w:sz w:val="20"/>
          <w:szCs w:val="20"/>
          <w:rtl/>
        </w:rPr>
        <w:t>אובזרבר</w:t>
      </w:r>
      <w:proofErr w:type="spellEnd"/>
      <w:r>
        <w:rPr>
          <w:b/>
          <w:sz w:val="20"/>
          <w:szCs w:val="20"/>
          <w:rtl/>
        </w:rPr>
        <w:t xml:space="preserve"> (אייר תשמ״ו).</w:t>
      </w:r>
    </w:p>
  </w:footnote>
  <w:footnote w:id="112">
    <w:p w14:paraId="08F0E3B7"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השווה פרק 1.2.</w:t>
      </w:r>
    </w:p>
  </w:footnote>
  <w:footnote w:id="113">
    <w:p w14:paraId="1C5CA917"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ריאיון במינסק עם דבורה, חברתה של בתו שיינה (השווה פרק 1, הערה 84), 6 בדצמבר 1990. בזמן הריאיון הייתה דבורה אלמנתו של אחי אבי, אהרן </w:t>
      </w:r>
      <w:proofErr w:type="spellStart"/>
      <w:r>
        <w:rPr>
          <w:b/>
          <w:sz w:val="20"/>
          <w:szCs w:val="20"/>
          <w:rtl/>
        </w:rPr>
        <w:t>קמינצקי</w:t>
      </w:r>
      <w:proofErr w:type="spellEnd"/>
      <w:r>
        <w:rPr>
          <w:b/>
          <w:sz w:val="20"/>
          <w:szCs w:val="20"/>
          <w:rtl/>
        </w:rPr>
        <w:t>, מנישואיהם השניים שלאחר מלחמת העולם השנייה.</w:t>
      </w:r>
    </w:p>
  </w:footnote>
  <w:footnote w:id="114">
    <w:p w14:paraId="29CFA761"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ריאיון, 17 במרץ 1988.</w:t>
      </w:r>
    </w:p>
  </w:footnote>
  <w:footnote w:id="115">
    <w:p w14:paraId="1E550DC8"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השווה פרק 1.2.</w:t>
      </w:r>
    </w:p>
  </w:footnote>
  <w:footnote w:id="116">
    <w:p w14:paraId="3FFE6775"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השווה את הערתו של העורך אלתר </w:t>
      </w:r>
      <w:proofErr w:type="spellStart"/>
      <w:r>
        <w:rPr>
          <w:b/>
          <w:sz w:val="20"/>
          <w:szCs w:val="20"/>
          <w:rtl/>
        </w:rPr>
        <w:t>דרויאנוב</w:t>
      </w:r>
      <w:proofErr w:type="spellEnd"/>
      <w:r>
        <w:rPr>
          <w:b/>
          <w:sz w:val="20"/>
          <w:szCs w:val="20"/>
          <w:rtl/>
        </w:rPr>
        <w:t xml:space="preserve"> למאמר “ממנהגי ישראל” מאת יהודה </w:t>
      </w:r>
      <w:proofErr w:type="spellStart"/>
      <w:r>
        <w:rPr>
          <w:b/>
          <w:sz w:val="20"/>
          <w:szCs w:val="20"/>
          <w:rtl/>
        </w:rPr>
        <w:t>אלזט</w:t>
      </w:r>
      <w:proofErr w:type="spellEnd"/>
      <w:r>
        <w:rPr>
          <w:b/>
          <w:sz w:val="20"/>
          <w:szCs w:val="20"/>
          <w:rtl/>
        </w:rPr>
        <w:t xml:space="preserve">, </w:t>
      </w:r>
      <w:proofErr w:type="spellStart"/>
      <w:r>
        <w:rPr>
          <w:b/>
          <w:sz w:val="20"/>
          <w:szCs w:val="20"/>
          <w:rtl/>
        </w:rPr>
        <w:t>ב“רשומות</w:t>
      </w:r>
      <w:proofErr w:type="spellEnd"/>
      <w:r>
        <w:rPr>
          <w:b/>
          <w:sz w:val="20"/>
          <w:szCs w:val="20"/>
          <w:rtl/>
        </w:rPr>
        <w:t>” א׳ (תרפ״ה), עמ׳ 367 (סוף סעיף ד). מאחורי השם “</w:t>
      </w:r>
      <w:proofErr w:type="spellStart"/>
      <w:r>
        <w:rPr>
          <w:b/>
          <w:sz w:val="20"/>
          <w:szCs w:val="20"/>
          <w:rtl/>
        </w:rPr>
        <w:t>אלזט</w:t>
      </w:r>
      <w:proofErr w:type="spellEnd"/>
      <w:r>
        <w:rPr>
          <w:b/>
          <w:sz w:val="20"/>
          <w:szCs w:val="20"/>
          <w:rtl/>
        </w:rPr>
        <w:t xml:space="preserve">” עמד ר׳ </w:t>
      </w:r>
      <w:proofErr w:type="spellStart"/>
      <w:r>
        <w:rPr>
          <w:b/>
          <w:sz w:val="20"/>
          <w:szCs w:val="20"/>
          <w:rtl/>
        </w:rPr>
        <w:t>יהודה־לייב</w:t>
      </w:r>
      <w:proofErr w:type="spellEnd"/>
      <w:r>
        <w:rPr>
          <w:b/>
          <w:sz w:val="20"/>
          <w:szCs w:val="20"/>
          <w:rtl/>
        </w:rPr>
        <w:t xml:space="preserve"> </w:t>
      </w:r>
      <w:proofErr w:type="spellStart"/>
      <w:r>
        <w:rPr>
          <w:b/>
          <w:sz w:val="20"/>
          <w:szCs w:val="20"/>
          <w:rtl/>
        </w:rPr>
        <w:t>זלוטניק</w:t>
      </w:r>
      <w:proofErr w:type="spellEnd"/>
      <w:r>
        <w:rPr>
          <w:b/>
          <w:sz w:val="20"/>
          <w:szCs w:val="20"/>
          <w:rtl/>
        </w:rPr>
        <w:t xml:space="preserve">, רבה של </w:t>
      </w:r>
      <w:proofErr w:type="spellStart"/>
      <w:r>
        <w:rPr>
          <w:b/>
          <w:sz w:val="20"/>
          <w:szCs w:val="20"/>
          <w:rtl/>
        </w:rPr>
        <w:t>גומבין</w:t>
      </w:r>
      <w:proofErr w:type="spellEnd"/>
      <w:r>
        <w:rPr>
          <w:b/>
          <w:sz w:val="20"/>
          <w:szCs w:val="20"/>
          <w:rtl/>
        </w:rPr>
        <w:t xml:space="preserve"> שממערב לוורשה. הוא כתב חומר אתנוגרפי בשם בדוי, משום </w:t>
      </w:r>
      <w:proofErr w:type="spellStart"/>
      <w:r>
        <w:rPr>
          <w:b/>
          <w:sz w:val="20"/>
          <w:szCs w:val="20"/>
          <w:rtl/>
        </w:rPr>
        <w:t>ש“חשש</w:t>
      </w:r>
      <w:proofErr w:type="spellEnd"/>
      <w:r>
        <w:rPr>
          <w:b/>
          <w:sz w:val="20"/>
          <w:szCs w:val="20"/>
          <w:rtl/>
        </w:rPr>
        <w:t xml:space="preserve"> שהמון העם, שאינו יכול להעריך את חשיבותם של מחקרים כאלה, יראה בהם דבר שאינו הולם רב” (</w:t>
      </w:r>
      <w:proofErr w:type="spellStart"/>
      <w:r>
        <w:rPr>
          <w:b/>
          <w:sz w:val="20"/>
          <w:szCs w:val="20"/>
        </w:rPr>
        <w:t>אנציקלופדיה</w:t>
      </w:r>
      <w:proofErr w:type="spellEnd"/>
      <w:r>
        <w:rPr>
          <w:b/>
          <w:sz w:val="20"/>
          <w:szCs w:val="20"/>
        </w:rPr>
        <w:t xml:space="preserve"> </w:t>
      </w:r>
      <w:proofErr w:type="spellStart"/>
      <w:r>
        <w:rPr>
          <w:b/>
          <w:sz w:val="20"/>
          <w:szCs w:val="20"/>
        </w:rPr>
        <w:t>יודאיקה</w:t>
      </w:r>
      <w:proofErr w:type="spellEnd"/>
      <w:r>
        <w:rPr>
          <w:b/>
          <w:sz w:val="20"/>
          <w:szCs w:val="20"/>
          <w:rtl/>
        </w:rPr>
        <w:t xml:space="preserve">, כרך 3, עמ׳ 960). ועיין </w:t>
      </w:r>
      <w:proofErr w:type="spellStart"/>
      <w:r>
        <w:rPr>
          <w:b/>
          <w:sz w:val="20"/>
          <w:szCs w:val="20"/>
          <w:rtl/>
        </w:rPr>
        <w:t>שו״ע</w:t>
      </w:r>
      <w:proofErr w:type="spellEnd"/>
      <w:r>
        <w:rPr>
          <w:b/>
          <w:sz w:val="20"/>
          <w:szCs w:val="20"/>
          <w:rtl/>
        </w:rPr>
        <w:t xml:space="preserve"> יו״ד סי׳ </w:t>
      </w:r>
      <w:proofErr w:type="spellStart"/>
      <w:r>
        <w:rPr>
          <w:b/>
          <w:sz w:val="20"/>
          <w:szCs w:val="20"/>
          <w:rtl/>
        </w:rPr>
        <w:t>רסד</w:t>
      </w:r>
      <w:proofErr w:type="spellEnd"/>
      <w:r>
        <w:rPr>
          <w:b/>
          <w:sz w:val="20"/>
          <w:szCs w:val="20"/>
          <w:rtl/>
        </w:rPr>
        <w:t xml:space="preserve"> ס״א בהגה, שיש לאדם לחזר ולהדר אחר מוהל ובעל ברית (סנדק) היותר טוב וצדיק.</w:t>
      </w:r>
    </w:p>
  </w:footnote>
  <w:footnote w:id="117">
    <w:p w14:paraId="1DD3B704"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אחי ר׳ אברהם, ריאיון, 2 בדצמבר 1989.</w:t>
      </w:r>
    </w:p>
  </w:footnote>
  <w:footnote w:id="118">
    <w:p w14:paraId="5E20E12E"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המוסד גור אריה (ירושלים, תשמ״א), עמ׳ </w:t>
      </w:r>
      <w:proofErr w:type="spellStart"/>
      <w:r>
        <w:rPr>
          <w:b/>
          <w:sz w:val="20"/>
          <w:szCs w:val="20"/>
          <w:rtl/>
        </w:rPr>
        <w:t>ריז</w:t>
      </w:r>
      <w:proofErr w:type="spellEnd"/>
      <w:r>
        <w:rPr>
          <w:b/>
          <w:sz w:val="20"/>
          <w:szCs w:val="20"/>
          <w:rtl/>
        </w:rPr>
        <w:t>.</w:t>
      </w:r>
    </w:p>
  </w:footnote>
  <w:footnote w:id="119">
    <w:p w14:paraId="2E6B7B8D"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מאת </w:t>
      </w:r>
      <w:proofErr w:type="spellStart"/>
      <w:r>
        <w:rPr>
          <w:b/>
          <w:sz w:val="20"/>
          <w:szCs w:val="20"/>
          <w:rtl/>
        </w:rPr>
        <w:t>הר״ר</w:t>
      </w:r>
      <w:proofErr w:type="spellEnd"/>
      <w:r>
        <w:rPr>
          <w:b/>
          <w:sz w:val="20"/>
          <w:szCs w:val="20"/>
          <w:rtl/>
        </w:rPr>
        <w:t xml:space="preserve"> ישראל דוד </w:t>
      </w:r>
      <w:proofErr w:type="spellStart"/>
      <w:r>
        <w:rPr>
          <w:b/>
          <w:sz w:val="20"/>
          <w:szCs w:val="20"/>
          <w:rtl/>
        </w:rPr>
        <w:t>מיללער</w:t>
      </w:r>
      <w:proofErr w:type="spellEnd"/>
      <w:r>
        <w:rPr>
          <w:b/>
          <w:sz w:val="20"/>
          <w:szCs w:val="20"/>
          <w:rtl/>
        </w:rPr>
        <w:t xml:space="preserve">, תרמ״ט (מהדורה שלישית: “הוצאת חנניה”, ירושלים, תש״י), עמ׳ </w:t>
      </w:r>
      <w:proofErr w:type="spellStart"/>
      <w:r>
        <w:rPr>
          <w:b/>
          <w:sz w:val="20"/>
          <w:szCs w:val="20"/>
          <w:rtl/>
        </w:rPr>
        <w:t>כא</w:t>
      </w:r>
      <w:proofErr w:type="spellEnd"/>
      <w:r>
        <w:rPr>
          <w:b/>
          <w:sz w:val="20"/>
          <w:szCs w:val="20"/>
          <w:rtl/>
        </w:rPr>
        <w:t>–</w:t>
      </w:r>
      <w:proofErr w:type="spellStart"/>
      <w:r>
        <w:rPr>
          <w:b/>
          <w:sz w:val="20"/>
          <w:szCs w:val="20"/>
          <w:rtl/>
        </w:rPr>
        <w:t>כב</w:t>
      </w:r>
      <w:proofErr w:type="spellEnd"/>
      <w:r>
        <w:rPr>
          <w:b/>
          <w:sz w:val="20"/>
          <w:szCs w:val="20"/>
          <w:rtl/>
        </w:rPr>
        <w:t xml:space="preserve">. זהו ספר תולדות חייו של ר׳ </w:t>
      </w:r>
      <w:proofErr w:type="spellStart"/>
      <w:r>
        <w:rPr>
          <w:b/>
          <w:sz w:val="20"/>
          <w:szCs w:val="20"/>
          <w:rtl/>
        </w:rPr>
        <w:t>נחומק׳ה</w:t>
      </w:r>
      <w:proofErr w:type="spellEnd"/>
      <w:r>
        <w:rPr>
          <w:b/>
          <w:sz w:val="20"/>
          <w:szCs w:val="20"/>
          <w:rtl/>
        </w:rPr>
        <w:t xml:space="preserve"> </w:t>
      </w:r>
      <w:proofErr w:type="spellStart"/>
      <w:r>
        <w:rPr>
          <w:b/>
          <w:sz w:val="20"/>
          <w:szCs w:val="20"/>
          <w:rtl/>
        </w:rPr>
        <w:t>הורודנער</w:t>
      </w:r>
      <w:proofErr w:type="spellEnd"/>
      <w:r>
        <w:rPr>
          <w:b/>
          <w:sz w:val="20"/>
          <w:szCs w:val="20"/>
          <w:rtl/>
        </w:rPr>
        <w:t xml:space="preserve"> (קפלן), מרבותיו של </w:t>
      </w:r>
      <w:proofErr w:type="spellStart"/>
      <w:r>
        <w:rPr>
          <w:b/>
          <w:sz w:val="20"/>
          <w:szCs w:val="20"/>
          <w:rtl/>
        </w:rPr>
        <w:t>החפץ־חיים</w:t>
      </w:r>
      <w:proofErr w:type="spellEnd"/>
      <w:r>
        <w:rPr>
          <w:b/>
          <w:sz w:val="20"/>
          <w:szCs w:val="20"/>
          <w:rtl/>
        </w:rPr>
        <w:t xml:space="preserve"> (ראה פרק 4, הערה 8). בספר זה יכונה ר׳ </w:t>
      </w:r>
      <w:proofErr w:type="spellStart"/>
      <w:r>
        <w:rPr>
          <w:b/>
          <w:sz w:val="20"/>
          <w:szCs w:val="20"/>
          <w:rtl/>
        </w:rPr>
        <w:t>ישראל־מאיר</w:t>
      </w:r>
      <w:proofErr w:type="spellEnd"/>
      <w:r>
        <w:rPr>
          <w:b/>
          <w:sz w:val="20"/>
          <w:szCs w:val="20"/>
          <w:rtl/>
        </w:rPr>
        <w:t xml:space="preserve"> הכהן (</w:t>
      </w:r>
      <w:proofErr w:type="spellStart"/>
      <w:r>
        <w:rPr>
          <w:b/>
          <w:sz w:val="20"/>
          <w:szCs w:val="20"/>
          <w:rtl/>
        </w:rPr>
        <w:t>קגן</w:t>
      </w:r>
      <w:proofErr w:type="spellEnd"/>
      <w:r>
        <w:rPr>
          <w:b/>
          <w:sz w:val="20"/>
          <w:szCs w:val="20"/>
          <w:rtl/>
        </w:rPr>
        <w:t>) בשם ספרו המפורסם, “</w:t>
      </w:r>
      <w:proofErr w:type="spellStart"/>
      <w:r>
        <w:rPr>
          <w:b/>
          <w:sz w:val="20"/>
          <w:szCs w:val="20"/>
          <w:rtl/>
        </w:rPr>
        <w:t>החפץ־חיים</w:t>
      </w:r>
      <w:proofErr w:type="spellEnd"/>
      <w:r>
        <w:rPr>
          <w:b/>
          <w:sz w:val="20"/>
          <w:szCs w:val="20"/>
          <w:rtl/>
        </w:rPr>
        <w:t xml:space="preserve">”, כפי שהוא נקרא בפי כל. הביוגרפיה שלו מאת הרב מ״מ ישר, בתרגומה לאנגלית מאת </w:t>
      </w:r>
      <w:proofErr w:type="spellStart"/>
      <w:r>
        <w:rPr>
          <w:b/>
          <w:sz w:val="20"/>
          <w:szCs w:val="20"/>
        </w:rPr>
        <w:t>סי</w:t>
      </w:r>
      <w:proofErr w:type="spellEnd"/>
      <w:r>
        <w:rPr>
          <w:b/>
          <w:sz w:val="20"/>
          <w:szCs w:val="20"/>
        </w:rPr>
        <w:t xml:space="preserve">. </w:t>
      </w:r>
      <w:proofErr w:type="spellStart"/>
      <w:r>
        <w:rPr>
          <w:b/>
          <w:sz w:val="20"/>
          <w:szCs w:val="20"/>
        </w:rPr>
        <w:t>וינגרוב</w:t>
      </w:r>
      <w:proofErr w:type="spellEnd"/>
      <w:r>
        <w:rPr>
          <w:b/>
          <w:sz w:val="20"/>
          <w:szCs w:val="20"/>
          <w:rtl/>
        </w:rPr>
        <w:t xml:space="preserve"> – </w:t>
      </w:r>
      <w:r>
        <w:rPr>
          <w:b/>
          <w:sz w:val="20"/>
          <w:szCs w:val="20"/>
        </w:rPr>
        <w:t>“</w:t>
      </w:r>
      <w:proofErr w:type="spellStart"/>
      <w:r>
        <w:rPr>
          <w:b/>
          <w:sz w:val="20"/>
          <w:szCs w:val="20"/>
        </w:rPr>
        <w:t>החפץ</w:t>
      </w:r>
      <w:proofErr w:type="spellEnd"/>
      <w:r>
        <w:rPr>
          <w:b/>
          <w:sz w:val="20"/>
          <w:szCs w:val="20"/>
        </w:rPr>
        <w:t xml:space="preserve"> </w:t>
      </w:r>
      <w:proofErr w:type="spellStart"/>
      <w:r>
        <w:rPr>
          <w:b/>
          <w:sz w:val="20"/>
          <w:szCs w:val="20"/>
        </w:rPr>
        <w:t>חיים</w:t>
      </w:r>
      <w:proofErr w:type="spellEnd"/>
      <w:r>
        <w:rPr>
          <w:b/>
          <w:sz w:val="20"/>
          <w:szCs w:val="20"/>
        </w:rPr>
        <w:t xml:space="preserve"> – </w:t>
      </w:r>
      <w:proofErr w:type="spellStart"/>
      <w:r>
        <w:rPr>
          <w:b/>
          <w:sz w:val="20"/>
          <w:szCs w:val="20"/>
        </w:rPr>
        <w:t>חייו</w:t>
      </w:r>
      <w:proofErr w:type="spellEnd"/>
      <w:r>
        <w:rPr>
          <w:b/>
          <w:sz w:val="20"/>
          <w:szCs w:val="20"/>
        </w:rPr>
        <w:t xml:space="preserve"> </w:t>
      </w:r>
      <w:proofErr w:type="spellStart"/>
      <w:r>
        <w:rPr>
          <w:b/>
          <w:sz w:val="20"/>
          <w:szCs w:val="20"/>
        </w:rPr>
        <w:t>ופעלו</w:t>
      </w:r>
      <w:proofErr w:type="spellEnd"/>
      <w:r>
        <w:rPr>
          <w:b/>
          <w:sz w:val="20"/>
          <w:szCs w:val="20"/>
        </w:rPr>
        <w:t>”</w:t>
      </w:r>
      <w:r>
        <w:rPr>
          <w:b/>
          <w:sz w:val="20"/>
          <w:szCs w:val="20"/>
          <w:rtl/>
        </w:rPr>
        <w:t xml:space="preserve"> (</w:t>
      </w:r>
      <w:proofErr w:type="spellStart"/>
      <w:r>
        <w:rPr>
          <w:b/>
          <w:sz w:val="20"/>
          <w:szCs w:val="20"/>
        </w:rPr>
        <w:t>הוצאת</w:t>
      </w:r>
      <w:proofErr w:type="spellEnd"/>
      <w:r>
        <w:rPr>
          <w:b/>
          <w:sz w:val="20"/>
          <w:szCs w:val="20"/>
        </w:rPr>
        <w:t xml:space="preserve"> </w:t>
      </w:r>
      <w:proofErr w:type="spellStart"/>
      <w:r>
        <w:rPr>
          <w:b/>
          <w:sz w:val="20"/>
          <w:szCs w:val="20"/>
        </w:rPr>
        <w:t>מסורה</w:t>
      </w:r>
      <w:proofErr w:type="spellEnd"/>
      <w:r>
        <w:rPr>
          <w:b/>
          <w:sz w:val="20"/>
          <w:szCs w:val="20"/>
          <w:rtl/>
        </w:rPr>
        <w:t xml:space="preserve">, ברוקלין, 1984) – תכונה להלן: </w:t>
      </w:r>
      <w:proofErr w:type="spellStart"/>
      <w:r>
        <w:rPr>
          <w:b/>
          <w:sz w:val="20"/>
          <w:szCs w:val="20"/>
        </w:rPr>
        <w:t>החפץ</w:t>
      </w:r>
      <w:proofErr w:type="spellEnd"/>
      <w:r>
        <w:rPr>
          <w:b/>
          <w:sz w:val="20"/>
          <w:szCs w:val="20"/>
        </w:rPr>
        <w:t xml:space="preserve"> </w:t>
      </w:r>
      <w:proofErr w:type="spellStart"/>
      <w:r>
        <w:rPr>
          <w:b/>
          <w:sz w:val="20"/>
          <w:szCs w:val="20"/>
        </w:rPr>
        <w:t>חיים</w:t>
      </w:r>
      <w:proofErr w:type="spellEnd"/>
      <w:r>
        <w:rPr>
          <w:b/>
          <w:sz w:val="20"/>
          <w:szCs w:val="20"/>
        </w:rPr>
        <w:t xml:space="preserve"> (</w:t>
      </w:r>
      <w:proofErr w:type="spellStart"/>
      <w:r>
        <w:rPr>
          <w:b/>
          <w:sz w:val="20"/>
          <w:szCs w:val="20"/>
        </w:rPr>
        <w:t>ישר</w:t>
      </w:r>
      <w:proofErr w:type="spellEnd"/>
      <w:r>
        <w:rPr>
          <w:b/>
          <w:sz w:val="20"/>
          <w:szCs w:val="20"/>
        </w:rPr>
        <w:t>).</w:t>
      </w:r>
    </w:p>
  </w:footnote>
  <w:footnote w:id="120">
    <w:p w14:paraId="6C6FA1E4" w14:textId="77777777" w:rsidR="00AB3647" w:rsidRDefault="00000000">
      <w:pPr>
        <w:spacing w:after="0" w:before="0"/>
        <w:jc w:val="both"/>
        <w:rPr>
          <w:b/>
          <w:sz w:val="20"/>
          <w:szCs w:val="20"/>
        </w:rPr>
      </w:pPr>
      <w:r>
        <w:rPr>
          <w:rStyle w:val="a5"/>
          <w:b/>
          <w:sz w:val="20"/>
          <w:szCs w:val="20"/>
          <w:vertAlign w:val="baseline"/>
        </w:rPr>
        <w:footnoteRef/>
      </w:r>
      <w:r>
        <w:rPr>
          <w:rStyle w:val="a5"/>
          <w:b/>
          <w:sz w:val="20"/>
          <w:szCs w:val="20"/>
          <w:vertAlign w:val="baseline"/>
          <w:rtl/>
        </w:rPr>
        <w:t>.</w:t>
      </w:r>
      <w:r>
        <w:rPr>
          <w:b/>
          <w:sz w:val="20"/>
          <w:szCs w:val="20"/>
          <w:rtl/>
        </w:rPr>
        <w:t xml:space="preserve"> </w:t>
      </w:r>
      <w:r>
        <w:rPr>
          <w:b/>
          <w:sz w:val="20"/>
          <w:szCs w:val="20"/>
          <w:rtl/>
        </w:rPr>
        <w:t xml:space="preserve">ירמיה לא, </w:t>
      </w:r>
      <w:proofErr w:type="spellStart"/>
      <w:r>
        <w:rPr>
          <w:b/>
          <w:sz w:val="20"/>
          <w:szCs w:val="20"/>
          <w:rtl/>
        </w:rPr>
        <w:t>טז</w:t>
      </w:r>
      <w:proofErr w:type="spellEnd"/>
      <w:r>
        <w:rPr>
          <w:b/>
          <w:sz w:val="20"/>
          <w:szCs w:val="20"/>
          <w:rtl/>
        </w:rPr>
        <w:t>.</w:t>
      </w:r>
    </w:p>
  </w:footnote>
  <w:footnote w:id="121">
    <w:p w14:paraId="11A2A79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4 בפברואר 1988; והשווה כרך 3.</w:t>
      </w:r>
    </w:p>
  </w:footnote>
  <w:footnote w:id="122">
    <w:p w14:paraId="2803CD6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ועיין מסכת ע״ז ד׳ ע״א שאפשר להיות “אדם גדול” בלי לדעת קראי.</w:t>
      </w:r>
    </w:p>
  </w:footnote>
  <w:footnote w:id="123">
    <w:p w14:paraId="34ECC7A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ח״ב</w:t>
      </w:r>
      <w:proofErr w:type="spellEnd"/>
      <w:r>
        <w:rPr>
          <w:sz w:val="20"/>
          <w:szCs w:val="20"/>
          <w:rtl/>
        </w:rPr>
        <w:t>, עמ׳ 18. “</w:t>
      </w:r>
      <w:proofErr w:type="spellStart"/>
      <w:r>
        <w:rPr>
          <w:sz w:val="20"/>
          <w:szCs w:val="20"/>
          <w:rtl/>
        </w:rPr>
        <w:t>זכרון</w:t>
      </w:r>
      <w:proofErr w:type="spellEnd"/>
      <w:r>
        <w:rPr>
          <w:sz w:val="20"/>
          <w:szCs w:val="20"/>
          <w:rtl/>
        </w:rPr>
        <w:t xml:space="preserve"> יעקב” יצא לאור בשלושה כרכים </w:t>
      </w:r>
      <w:proofErr w:type="spellStart"/>
      <w:r>
        <w:rPr>
          <w:sz w:val="20"/>
          <w:szCs w:val="20"/>
          <w:rtl/>
        </w:rPr>
        <w:t>בקובנה־סלבודקה</w:t>
      </w:r>
      <w:proofErr w:type="spellEnd"/>
      <w:r>
        <w:rPr>
          <w:sz w:val="20"/>
          <w:szCs w:val="20"/>
          <w:rtl/>
        </w:rPr>
        <w:t>, בשנים 1924, 1927 ו־1930.</w:t>
      </w:r>
    </w:p>
  </w:footnote>
  <w:footnote w:id="124">
    <w:p w14:paraId="7AB54C6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קי״א ע״א.</w:t>
      </w:r>
    </w:p>
  </w:footnote>
  <w:footnote w:id="125">
    <w:p w14:paraId="1841F93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פ״ג ע״א.</w:t>
      </w:r>
    </w:p>
  </w:footnote>
  <w:footnote w:id="126">
    <w:p w14:paraId="3602AA7E"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ר׳ אברהם דנציג נפטר בווילנה בתשרי תקפ״א, כשנה לפני השנה הנזכרת כאן.</w:t>
      </w:r>
    </w:p>
  </w:footnote>
  <w:footnote w:id="127">
    <w:p w14:paraId="1F5372C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כלל </w:t>
      </w:r>
      <w:proofErr w:type="spellStart"/>
      <w:r>
        <w:rPr>
          <w:sz w:val="20"/>
          <w:szCs w:val="20"/>
          <w:rtl/>
        </w:rPr>
        <w:t>קכא</w:t>
      </w:r>
      <w:proofErr w:type="spellEnd"/>
      <w:r>
        <w:rPr>
          <w:sz w:val="20"/>
          <w:szCs w:val="20"/>
          <w:rtl/>
        </w:rPr>
        <w:t xml:space="preserve"> סעיף ז׳.</w:t>
      </w:r>
    </w:p>
  </w:footnote>
  <w:footnote w:id="128">
    <w:p w14:paraId="5F65F47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אני חב תודה </w:t>
      </w:r>
      <w:proofErr w:type="spellStart"/>
      <w:r>
        <w:rPr>
          <w:sz w:val="20"/>
          <w:szCs w:val="20"/>
          <w:rtl/>
        </w:rPr>
        <w:t>לר</w:t>
      </w:r>
      <w:proofErr w:type="spellEnd"/>
      <w:r>
        <w:rPr>
          <w:sz w:val="20"/>
          <w:szCs w:val="20"/>
          <w:rtl/>
        </w:rPr>
        <w:t xml:space="preserve">׳ מרדכי מאייר על הפרטים על בעל “חיי אדם”, שמסר לי ב־14 באוקטובר 1999. ר׳ מרדכי סיפר עוד כי בספרייה הלאומית בירושלים יש עותק יחיד של ספר שחיבר אבי אביו של ר׳ אברהם דנציג, “ר׳ שמואל </w:t>
      </w:r>
      <w:proofErr w:type="spellStart"/>
      <w:r>
        <w:rPr>
          <w:sz w:val="20"/>
          <w:szCs w:val="20"/>
          <w:rtl/>
        </w:rPr>
        <w:t>מהופנבך</w:t>
      </w:r>
      <w:proofErr w:type="spellEnd"/>
      <w:r>
        <w:rPr>
          <w:sz w:val="20"/>
          <w:szCs w:val="20"/>
          <w:rtl/>
        </w:rPr>
        <w:t xml:space="preserve">, המכונה </w:t>
      </w:r>
      <w:proofErr w:type="spellStart"/>
      <w:r>
        <w:rPr>
          <w:sz w:val="20"/>
          <w:szCs w:val="20"/>
          <w:rtl/>
        </w:rPr>
        <w:t>שוטלנד</w:t>
      </w:r>
      <w:proofErr w:type="spellEnd"/>
      <w:r>
        <w:rPr>
          <w:sz w:val="20"/>
          <w:szCs w:val="20"/>
          <w:rtl/>
        </w:rPr>
        <w:t>, פרבר של העיר דנציג”, שנפטר בערך בשנת תק״ל. הספר הוא פירוש על ספר ישעיה בשם “נחמות ציון”, ויצא לאור בברלין בשנת תקל״ב.</w:t>
      </w:r>
    </w:p>
    <w:p w14:paraId="65601BFF" w14:textId="77777777" w:rsidR="00AB3647" w:rsidRDefault="00000000">
      <w:pPr>
        <w:spacing w:after="0" w:before="0"/>
        <w:jc w:val="both"/>
      </w:pPr>
      <w:r>
        <w:rPr>
          <w:sz w:val="20"/>
          <w:szCs w:val="20"/>
          <w:rtl/>
        </w:rPr>
        <w:t xml:space="preserve">לפי עדות המוציא לאור, היו בכתב היד פירושים רבים על דרך הקבלה, והוא השמיטם משום שכתב היד היה מתפורר, וחשש שמא יקרא את קטעי הקבלה </w:t>
      </w:r>
      <w:r>
        <w:rPr>
          <w:b/>
          <w:bCs/>
          <w:sz w:val="20"/>
          <w:szCs w:val="20"/>
          <w:rtl/>
        </w:rPr>
        <w:t>שלא כראוי</w:t>
      </w:r>
      <w:r>
        <w:rPr>
          <w:sz w:val="20"/>
          <w:szCs w:val="20"/>
          <w:rtl/>
        </w:rPr>
        <w:t xml:space="preserve">. </w:t>
      </w:r>
      <w:proofErr w:type="spellStart"/>
      <w:r>
        <w:rPr>
          <w:sz w:val="20"/>
          <w:szCs w:val="20"/>
          <w:rtl/>
        </w:rPr>
        <w:t>לר</w:t>
      </w:r>
      <w:proofErr w:type="spellEnd"/>
      <w:r>
        <w:rPr>
          <w:sz w:val="20"/>
          <w:szCs w:val="20"/>
          <w:rtl/>
        </w:rPr>
        <w:t xml:space="preserve">׳ שמואל היו שלוש בנות ושבעה </w:t>
      </w:r>
      <w:r>
        <w:rPr>
          <w:b/>
          <w:bCs/>
          <w:sz w:val="20"/>
          <w:szCs w:val="20"/>
          <w:rtl/>
        </w:rPr>
        <w:t>בנים</w:t>
      </w:r>
      <w:r>
        <w:rPr>
          <w:sz w:val="20"/>
          <w:szCs w:val="20"/>
          <w:rtl/>
        </w:rPr>
        <w:t xml:space="preserve">; שניים מן הבנים, ר׳ </w:t>
      </w:r>
      <w:proofErr w:type="spellStart"/>
      <w:r>
        <w:rPr>
          <w:sz w:val="20"/>
          <w:szCs w:val="20"/>
          <w:rtl/>
        </w:rPr>
        <w:t>דוב־בער</w:t>
      </w:r>
      <w:proofErr w:type="spellEnd"/>
      <w:r>
        <w:rPr>
          <w:sz w:val="20"/>
          <w:szCs w:val="20"/>
          <w:rtl/>
        </w:rPr>
        <w:t xml:space="preserve"> ור׳ </w:t>
      </w:r>
      <w:proofErr w:type="spellStart"/>
      <w:r>
        <w:rPr>
          <w:sz w:val="20"/>
          <w:szCs w:val="20"/>
          <w:rtl/>
        </w:rPr>
        <w:t>יחיאל־מיכל</w:t>
      </w:r>
      <w:proofErr w:type="spellEnd"/>
      <w:r>
        <w:rPr>
          <w:sz w:val="20"/>
          <w:szCs w:val="20"/>
          <w:rtl/>
        </w:rPr>
        <w:t>, הם שהוציאו את הספר לאור, והאחרון הוא אביו של ר׳ אברהם דנציג. ראה גם את הפסקה השנייה בהערה 7 להלן.</w:t>
      </w:r>
    </w:p>
  </w:footnote>
  <w:footnote w:id="129">
    <w:p w14:paraId="331EEA4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גם הערה 95 להלן, על הכלל של אבי בעניין הגיית ראשי תיבות.</w:t>
      </w:r>
    </w:p>
  </w:footnote>
  <w:footnote w:id="130">
    <w:p w14:paraId="440E0A5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הערת השוליים השנייה בהערה 5 לעיל.</w:t>
      </w:r>
    </w:p>
  </w:footnote>
  <w:footnote w:id="131">
    <w:p w14:paraId="69B0A5E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w:t>
      </w:r>
      <w:proofErr w:type="spellStart"/>
      <w:r>
        <w:rPr>
          <w:sz w:val="20"/>
          <w:szCs w:val="20"/>
          <w:rtl/>
        </w:rPr>
        <w:t>שו״ע</w:t>
      </w:r>
      <w:proofErr w:type="spellEnd"/>
      <w:r>
        <w:rPr>
          <w:sz w:val="20"/>
          <w:szCs w:val="20"/>
          <w:rtl/>
        </w:rPr>
        <w:t xml:space="preserve"> יו״ד רמ״ו </w:t>
      </w:r>
      <w:proofErr w:type="spellStart"/>
      <w:r>
        <w:rPr>
          <w:sz w:val="20"/>
          <w:szCs w:val="20"/>
          <w:rtl/>
        </w:rPr>
        <w:t>סכ״א</w:t>
      </w:r>
      <w:proofErr w:type="spellEnd"/>
      <w:r>
        <w:rPr>
          <w:sz w:val="20"/>
          <w:szCs w:val="20"/>
          <w:rtl/>
        </w:rPr>
        <w:t xml:space="preserve"> בהגה.</w:t>
      </w:r>
    </w:p>
  </w:footnote>
  <w:footnote w:id="132">
    <w:p w14:paraId="38DA062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והשווה גם “אבי הישיבות” מאת הרב </w:t>
      </w:r>
      <w:proofErr w:type="spellStart"/>
      <w:r>
        <w:rPr>
          <w:sz w:val="20"/>
          <w:szCs w:val="20"/>
          <w:rtl/>
        </w:rPr>
        <w:t>אליאך</w:t>
      </w:r>
      <w:proofErr w:type="spellEnd"/>
      <w:r>
        <w:rPr>
          <w:sz w:val="20"/>
          <w:szCs w:val="20"/>
          <w:rtl/>
        </w:rPr>
        <w:t xml:space="preserve"> (מכון מורשת הישיבות, ירושלים, תשנ״א), עמ׳ 531–534.</w:t>
      </w:r>
    </w:p>
  </w:footnote>
  <w:footnote w:id="133">
    <w:p w14:paraId="1F2BFC7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מהדורת הוצאת קהת, ברוקלין, 1959 – עמ׳ 3664.</w:t>
      </w:r>
    </w:p>
  </w:footnote>
  <w:footnote w:id="134">
    <w:p w14:paraId="7580137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יצא לאור על ידי </w:t>
      </w:r>
      <w:proofErr w:type="spellStart"/>
      <w:r>
        <w:rPr>
          <w:sz w:val="20"/>
          <w:szCs w:val="20"/>
          <w:rtl/>
        </w:rPr>
        <w:t>צענטראל</w:t>
      </w:r>
      <w:proofErr w:type="spellEnd"/>
      <w:r>
        <w:rPr>
          <w:sz w:val="20"/>
          <w:szCs w:val="20"/>
          <w:rtl/>
        </w:rPr>
        <w:t xml:space="preserve"> </w:t>
      </w:r>
      <w:proofErr w:type="spellStart"/>
      <w:r>
        <w:rPr>
          <w:sz w:val="20"/>
          <w:szCs w:val="20"/>
          <w:rtl/>
        </w:rPr>
        <w:t>פארבאנד</w:t>
      </w:r>
      <w:proofErr w:type="spellEnd"/>
      <w:r>
        <w:rPr>
          <w:sz w:val="20"/>
          <w:szCs w:val="20"/>
          <w:rtl/>
        </w:rPr>
        <w:t xml:space="preserve"> פון </w:t>
      </w:r>
      <w:proofErr w:type="spellStart"/>
      <w:r>
        <w:rPr>
          <w:sz w:val="20"/>
          <w:szCs w:val="20"/>
          <w:rtl/>
        </w:rPr>
        <w:t>פוילישע</w:t>
      </w:r>
      <w:proofErr w:type="spellEnd"/>
      <w:r>
        <w:rPr>
          <w:sz w:val="20"/>
          <w:szCs w:val="20"/>
          <w:rtl/>
        </w:rPr>
        <w:t xml:space="preserve"> יידען אין </w:t>
      </w:r>
      <w:proofErr w:type="spellStart"/>
      <w:r>
        <w:rPr>
          <w:sz w:val="20"/>
          <w:szCs w:val="20"/>
          <w:rtl/>
        </w:rPr>
        <w:t>ארגענטינע</w:t>
      </w:r>
      <w:proofErr w:type="spellEnd"/>
      <w:r>
        <w:rPr>
          <w:sz w:val="20"/>
          <w:szCs w:val="20"/>
          <w:rtl/>
        </w:rPr>
        <w:t xml:space="preserve">, בואנוס איירס, 1949 (להלן: </w:t>
      </w:r>
      <w:proofErr w:type="spellStart"/>
      <w:r>
        <w:rPr>
          <w:sz w:val="20"/>
          <w:szCs w:val="20"/>
          <w:rtl/>
        </w:rPr>
        <w:t>שאשקעס</w:t>
      </w:r>
      <w:proofErr w:type="spellEnd"/>
      <w:r>
        <w:rPr>
          <w:sz w:val="20"/>
          <w:szCs w:val="20"/>
          <w:rtl/>
        </w:rPr>
        <w:t>) – עמ׳ 265.</w:t>
      </w:r>
    </w:p>
  </w:footnote>
  <w:footnote w:id="135">
    <w:p w14:paraId="4D78116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יצא לאור בהוצאת ארזי חן, ירושלים, תשמ״ו – עמ׳ 191 ואילך, הערה 22.</w:t>
      </w:r>
    </w:p>
  </w:footnote>
  <w:footnote w:id="136">
    <w:p w14:paraId="12406D6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w:t>
      </w:r>
      <w:proofErr w:type="spellStart"/>
      <w:r>
        <w:rPr>
          <w:sz w:val="20"/>
          <w:szCs w:val="20"/>
          <w:rtl/>
        </w:rPr>
        <w:t>לייבל</w:t>
      </w:r>
      <w:proofErr w:type="spellEnd"/>
      <w:r>
        <w:rPr>
          <w:sz w:val="20"/>
          <w:szCs w:val="20"/>
          <w:rtl/>
        </w:rPr>
        <w:t xml:space="preserve"> </w:t>
      </w:r>
      <w:proofErr w:type="spellStart"/>
      <w:r>
        <w:rPr>
          <w:sz w:val="20"/>
          <w:szCs w:val="20"/>
          <w:rtl/>
        </w:rPr>
        <w:t>פרלשטיין</w:t>
      </w:r>
      <w:proofErr w:type="spellEnd"/>
      <w:r>
        <w:rPr>
          <w:sz w:val="20"/>
          <w:szCs w:val="20"/>
          <w:rtl/>
        </w:rPr>
        <w:t xml:space="preserve"> היה </w:t>
      </w:r>
      <w:proofErr w:type="spellStart"/>
      <w:r>
        <w:rPr>
          <w:sz w:val="20"/>
          <w:szCs w:val="20"/>
          <w:rtl/>
        </w:rPr>
        <w:t>ה“שבת־בחור</w:t>
      </w:r>
      <w:proofErr w:type="spellEnd"/>
      <w:r>
        <w:rPr>
          <w:sz w:val="20"/>
          <w:szCs w:val="20"/>
          <w:rtl/>
        </w:rPr>
        <w:t xml:space="preserve">” של אבי בשש שנותיו האחרונות </w:t>
      </w:r>
      <w:proofErr w:type="spellStart"/>
      <w:r>
        <w:rPr>
          <w:sz w:val="20"/>
          <w:szCs w:val="20"/>
          <w:rtl/>
        </w:rPr>
        <w:t>בוויליאמסבורג</w:t>
      </w:r>
      <w:proofErr w:type="spellEnd"/>
      <w:r>
        <w:rPr>
          <w:sz w:val="20"/>
          <w:szCs w:val="20"/>
          <w:rtl/>
        </w:rPr>
        <w:t xml:space="preserve"> שבברוקלין, משנת תשכ״א ועד שעבר </w:t>
      </w:r>
      <w:proofErr w:type="spellStart"/>
      <w:r>
        <w:rPr>
          <w:sz w:val="20"/>
          <w:szCs w:val="20"/>
          <w:rtl/>
        </w:rPr>
        <w:t>למונסי</w:t>
      </w:r>
      <w:proofErr w:type="spellEnd"/>
      <w:r>
        <w:rPr>
          <w:sz w:val="20"/>
          <w:szCs w:val="20"/>
          <w:rtl/>
        </w:rPr>
        <w:t xml:space="preserve"> בשנת תשכ״ז. ר׳ </w:t>
      </w:r>
      <w:proofErr w:type="spellStart"/>
      <w:r>
        <w:rPr>
          <w:sz w:val="20"/>
          <w:szCs w:val="20"/>
          <w:rtl/>
        </w:rPr>
        <w:t>לייבל</w:t>
      </w:r>
      <w:proofErr w:type="spellEnd"/>
      <w:r>
        <w:rPr>
          <w:sz w:val="20"/>
          <w:szCs w:val="20"/>
          <w:rtl/>
        </w:rPr>
        <w:t xml:space="preserve"> היה אז אורח קבוע בביתו </w:t>
      </w:r>
      <w:proofErr w:type="spellStart"/>
      <w:r>
        <w:rPr>
          <w:sz w:val="20"/>
          <w:szCs w:val="20"/>
          <w:rtl/>
        </w:rPr>
        <w:t>במונסי</w:t>
      </w:r>
      <w:proofErr w:type="spellEnd"/>
      <w:r>
        <w:rPr>
          <w:sz w:val="20"/>
          <w:szCs w:val="20"/>
          <w:rtl/>
        </w:rPr>
        <w:t xml:space="preserve">, וכן בטורונטו כשאבי והרבנית שהו שם. ישבתי עמו יומיים, ג׳ וד׳ בניסן תשמ״ח, וראיינתי אותו בביתו בדטרויט. ר׳ </w:t>
      </w:r>
      <w:proofErr w:type="spellStart"/>
      <w:r>
        <w:rPr>
          <w:sz w:val="20"/>
          <w:szCs w:val="20"/>
          <w:rtl/>
        </w:rPr>
        <w:t>לייבל</w:t>
      </w:r>
      <w:proofErr w:type="spellEnd"/>
      <w:r>
        <w:rPr>
          <w:sz w:val="20"/>
          <w:szCs w:val="20"/>
          <w:rtl/>
        </w:rPr>
        <w:t xml:space="preserve"> הכיר את רבנו טוב יותר מכל אדם אחר, והיה מעין איש סודו. הוא סיפר שכשנתיים אחרי שנבחר לשבתות שאל את אבי מדוע נבחר דווקא הוא, ונענה: “משום שאתה זקוק לזה יותר מכולם”. כעבור כחמש שנים שמח לשמוע: “אתה קרוב אליי יותר מכל אדם. אתה כמו בן חמישי”.</w:t>
      </w:r>
    </w:p>
  </w:footnote>
  <w:footnote w:id="137">
    <w:p w14:paraId="4CB262E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ועיין עירובין ס״ג ע״א “תמה אני אם יוציא זה שנתו”, ויומא ל״ט ע״ב.</w:t>
      </w:r>
    </w:p>
  </w:footnote>
  <w:footnote w:id="138">
    <w:p w14:paraId="7289519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סוף פרק 2.3.</w:t>
      </w:r>
    </w:p>
  </w:footnote>
  <w:footnote w:id="139">
    <w:p w14:paraId="190C22F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סוף פרק 4.2, וכרך 2.</w:t>
      </w:r>
    </w:p>
  </w:footnote>
  <w:footnote w:id="140">
    <w:p w14:paraId="01A6233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בפסקה השלישית של הערה 41 להלן מועלית השערה שאבי לא ידע שסבתו מצד </w:t>
      </w:r>
      <w:proofErr w:type="spellStart"/>
      <w:r>
        <w:rPr>
          <w:sz w:val="20"/>
          <w:szCs w:val="20"/>
          <w:rtl/>
        </w:rPr>
        <w:t>אמו</w:t>
      </w:r>
      <w:proofErr w:type="spellEnd"/>
      <w:r>
        <w:rPr>
          <w:sz w:val="20"/>
          <w:szCs w:val="20"/>
          <w:rtl/>
        </w:rPr>
        <w:t xml:space="preserve"> נפטרה זמן קצר אחרי סבו. ואף על פי כן, אילו חל היארצייט שלה בפסח, היה מזכיר זאת.</w:t>
      </w:r>
    </w:p>
  </w:footnote>
  <w:footnote w:id="141">
    <w:p w14:paraId="5DA0D0E3"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proofErr w:type="spellStart"/>
      <w:r>
        <w:rPr>
          <w:sz w:val="20"/>
          <w:szCs w:val="20"/>
          <w:rtl/>
        </w:rPr>
        <w:t>פרייאסלב</w:t>
      </w:r>
      <w:proofErr w:type="spellEnd"/>
      <w:r>
        <w:rPr>
          <w:sz w:val="20"/>
          <w:szCs w:val="20"/>
          <w:rtl/>
        </w:rPr>
        <w:t xml:space="preserve"> (</w:t>
      </w:r>
      <w:proofErr w:type="spellStart"/>
      <w:r>
        <w:rPr>
          <w:sz w:val="20"/>
          <w:szCs w:val="20"/>
          <w:rtl/>
        </w:rPr>
        <w:t>Pereyaslav</w:t>
      </w:r>
      <w:proofErr w:type="spellEnd"/>
      <w:r>
        <w:rPr>
          <w:sz w:val="20"/>
          <w:szCs w:val="20"/>
          <w:rtl/>
        </w:rPr>
        <w:t xml:space="preserve">) שכנה בפלך </w:t>
      </w:r>
      <w:proofErr w:type="spellStart"/>
      <w:r>
        <w:rPr>
          <w:sz w:val="20"/>
          <w:szCs w:val="20"/>
          <w:rtl/>
        </w:rPr>
        <w:t>פולטבה</w:t>
      </w:r>
      <w:proofErr w:type="spellEnd"/>
      <w:r>
        <w:rPr>
          <w:sz w:val="20"/>
          <w:szCs w:val="20"/>
          <w:rtl/>
        </w:rPr>
        <w:t xml:space="preserve">, ולא בפלך </w:t>
      </w:r>
      <w:proofErr w:type="spellStart"/>
      <w:r>
        <w:rPr>
          <w:sz w:val="20"/>
          <w:szCs w:val="20"/>
          <w:rtl/>
        </w:rPr>
        <w:t>פודוליה</w:t>
      </w:r>
      <w:proofErr w:type="spellEnd"/>
      <w:r>
        <w:rPr>
          <w:sz w:val="20"/>
          <w:szCs w:val="20"/>
          <w:rtl/>
        </w:rPr>
        <w:t>. ייתכן שהמחבר התכוון לעיירה אחרת, או שטעה.</w:t>
      </w:r>
    </w:p>
  </w:footnote>
  <w:footnote w:id="142">
    <w:p w14:paraId="7D7A763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תחילת ההערה הקודמת.</w:t>
      </w:r>
    </w:p>
  </w:footnote>
  <w:footnote w:id="143">
    <w:p w14:paraId="5E1735C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הקורא ימצא עניין במעשה שאירע לנכדו של רבנו, ר׳ צבי </w:t>
      </w:r>
      <w:proofErr w:type="spellStart"/>
      <w:r>
        <w:rPr>
          <w:sz w:val="20"/>
          <w:szCs w:val="20"/>
          <w:rtl/>
        </w:rPr>
        <w:t>קמינצקי</w:t>
      </w:r>
      <w:proofErr w:type="spellEnd"/>
      <w:r>
        <w:rPr>
          <w:sz w:val="20"/>
          <w:szCs w:val="20"/>
          <w:rtl/>
        </w:rPr>
        <w:t xml:space="preserve">, כשלמד בישיבת </w:t>
      </w:r>
      <w:proofErr w:type="spellStart"/>
      <w:r>
        <w:rPr>
          <w:sz w:val="20"/>
          <w:szCs w:val="20"/>
          <w:rtl/>
        </w:rPr>
        <w:t>פוניבז</w:t>
      </w:r>
      <w:proofErr w:type="spellEnd"/>
      <w:r>
        <w:rPr>
          <w:sz w:val="20"/>
          <w:szCs w:val="20"/>
          <w:rtl/>
        </w:rPr>
        <w:t xml:space="preserve">׳ בבני ברק בשנת תשמ״ב, כפי שסיפר לי ב־20 באוגוסט 1999. אביו של ר׳ צבי ביקש ממנו בטלפון שיסדר אמירת תהלים לרפואת סבו, רבנו, שהיה צריך לעבור אז צנתור. עד אז היה אבי בריא בדרך כלל, ור׳ צבי, שהופתע שיש צורך בתפילות, שכח לשאול את אביו מה שם </w:t>
      </w:r>
      <w:proofErr w:type="spellStart"/>
      <w:r>
        <w:rPr>
          <w:sz w:val="20"/>
          <w:szCs w:val="20"/>
          <w:rtl/>
        </w:rPr>
        <w:t>אמו</w:t>
      </w:r>
      <w:proofErr w:type="spellEnd"/>
      <w:r>
        <w:rPr>
          <w:sz w:val="20"/>
          <w:szCs w:val="20"/>
          <w:rtl/>
        </w:rPr>
        <w:t xml:space="preserve"> של סבו. אחרי מאמץ רב מצא מי שידע שאבי הוא בן </w:t>
      </w:r>
      <w:proofErr w:type="spellStart"/>
      <w:r>
        <w:rPr>
          <w:sz w:val="20"/>
          <w:szCs w:val="20"/>
          <w:rtl/>
        </w:rPr>
        <w:t>עטקע</w:t>
      </w:r>
      <w:proofErr w:type="spellEnd"/>
      <w:r>
        <w:rPr>
          <w:sz w:val="20"/>
          <w:szCs w:val="20"/>
          <w:rtl/>
        </w:rPr>
        <w:t>.</w:t>
      </w:r>
    </w:p>
    <w:p w14:paraId="3B7662D1" w14:textId="77777777" w:rsidR="00AB3647" w:rsidRDefault="00000000">
      <w:pPr>
        <w:spacing w:after="0" w:before="0"/>
        <w:jc w:val="both"/>
      </w:pPr>
      <w:r>
        <w:rPr>
          <w:sz w:val="20"/>
          <w:szCs w:val="20"/>
          <w:rtl/>
        </w:rPr>
        <w:t xml:space="preserve">אחר כך הלך לביתו של ר׳ </w:t>
      </w:r>
      <w:proofErr w:type="spellStart"/>
      <w:r>
        <w:rPr>
          <w:sz w:val="20"/>
          <w:szCs w:val="20"/>
          <w:rtl/>
        </w:rPr>
        <w:t>אלעזר־מנחם־מן</w:t>
      </w:r>
      <w:proofErr w:type="spellEnd"/>
      <w:r>
        <w:rPr>
          <w:sz w:val="20"/>
          <w:szCs w:val="20"/>
          <w:rtl/>
        </w:rPr>
        <w:t xml:space="preserve"> שך לבקש שגם הוא יתפלל לרפואת סבו, והרב שך אמר מיד שיעשה כן בעד “יעקב בן </w:t>
      </w:r>
      <w:proofErr w:type="spellStart"/>
      <w:r>
        <w:rPr>
          <w:sz w:val="20"/>
          <w:szCs w:val="20"/>
          <w:rtl/>
        </w:rPr>
        <w:t>עטקע</w:t>
      </w:r>
      <w:proofErr w:type="spellEnd"/>
      <w:r>
        <w:rPr>
          <w:sz w:val="20"/>
          <w:szCs w:val="20"/>
          <w:rtl/>
        </w:rPr>
        <w:t xml:space="preserve">”. ר׳ צבי השתומם על שהרב שך ידע בעל פה את שם </w:t>
      </w:r>
      <w:proofErr w:type="spellStart"/>
      <w:r>
        <w:rPr>
          <w:sz w:val="20"/>
          <w:szCs w:val="20"/>
          <w:rtl/>
        </w:rPr>
        <w:t>אמו</w:t>
      </w:r>
      <w:proofErr w:type="spellEnd"/>
      <w:r>
        <w:rPr>
          <w:sz w:val="20"/>
          <w:szCs w:val="20"/>
          <w:rtl/>
        </w:rPr>
        <w:t xml:space="preserve"> של סבו, והביע את תמיהתו. סיפר לו הרב שך שכשנפגשו הוא ורבנו בירושלים שנתיים קודם לכן, בכנסייה הגדולה של אגודת ישראל, הבטיחו זה לזה להתפלל זה בעד זה, והחליפו שמות לשם כך. מאז הזכיר הרב שך את שם אבי בתפילותיו שלוש פעמים ביום.</w:t>
      </w:r>
    </w:p>
    <w:p w14:paraId="47B9B1C2" w14:textId="77777777" w:rsidR="00AB3647" w:rsidRDefault="00000000">
      <w:pPr>
        <w:spacing w:after="0" w:before="0"/>
        <w:jc w:val="both"/>
      </w:pPr>
      <w:r>
        <w:rPr>
          <w:sz w:val="20"/>
          <w:szCs w:val="20"/>
          <w:rtl/>
        </w:rPr>
        <w:t xml:space="preserve">כשעזב ר׳ צבי את ישיבת </w:t>
      </w:r>
      <w:proofErr w:type="spellStart"/>
      <w:r>
        <w:rPr>
          <w:sz w:val="20"/>
          <w:szCs w:val="20"/>
          <w:rtl/>
        </w:rPr>
        <w:t>פוניבז</w:t>
      </w:r>
      <w:proofErr w:type="spellEnd"/>
      <w:r>
        <w:rPr>
          <w:sz w:val="20"/>
          <w:szCs w:val="20"/>
          <w:rtl/>
        </w:rPr>
        <w:t>׳ כדי לחזור לאמריקה, נתן לו הרב שך הוראה מחמיאה להפליא: הוא אמר לתלמידו שיאמר לסבו שעליו להמשיך לחיות עד ביאת המשיח, משום שבלעדיו העולם “</w:t>
      </w:r>
      <w:proofErr w:type="spellStart"/>
      <w:r>
        <w:rPr>
          <w:sz w:val="20"/>
          <w:szCs w:val="20"/>
          <w:rtl/>
        </w:rPr>
        <w:t>קען</w:t>
      </w:r>
      <w:proofErr w:type="spellEnd"/>
      <w:r>
        <w:rPr>
          <w:sz w:val="20"/>
          <w:szCs w:val="20"/>
          <w:rtl/>
        </w:rPr>
        <w:t xml:space="preserve"> ניט </w:t>
      </w:r>
      <w:proofErr w:type="spellStart"/>
      <w:r>
        <w:rPr>
          <w:sz w:val="20"/>
          <w:szCs w:val="20"/>
          <w:rtl/>
        </w:rPr>
        <w:t>האבען</w:t>
      </w:r>
      <w:proofErr w:type="spellEnd"/>
      <w:r>
        <w:rPr>
          <w:sz w:val="20"/>
          <w:szCs w:val="20"/>
          <w:rtl/>
        </w:rPr>
        <w:t xml:space="preserve"> א קיום” [אינו יכול להתקיים].</w:t>
      </w:r>
    </w:p>
  </w:footnote>
  <w:footnote w:id="144">
    <w:p w14:paraId="39E5446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שמות כ, </w:t>
      </w:r>
      <w:proofErr w:type="spellStart"/>
      <w:r>
        <w:rPr>
          <w:sz w:val="20"/>
          <w:szCs w:val="20"/>
          <w:rtl/>
        </w:rPr>
        <w:t>יב</w:t>
      </w:r>
      <w:proofErr w:type="spellEnd"/>
      <w:r>
        <w:rPr>
          <w:sz w:val="20"/>
          <w:szCs w:val="20"/>
          <w:rtl/>
        </w:rPr>
        <w:t>.</w:t>
      </w:r>
    </w:p>
  </w:footnote>
  <w:footnote w:id="145">
    <w:p w14:paraId="2B7E16F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גיליון </w:t>
      </w:r>
      <w:proofErr w:type="spellStart"/>
      <w:r>
        <w:rPr>
          <w:sz w:val="20"/>
          <w:szCs w:val="20"/>
          <w:rtl/>
        </w:rPr>
        <w:t>כסלו־שבט</w:t>
      </w:r>
      <w:proofErr w:type="spellEnd"/>
      <w:r>
        <w:rPr>
          <w:sz w:val="20"/>
          <w:szCs w:val="20"/>
          <w:rtl/>
        </w:rPr>
        <w:t xml:space="preserve"> תרצ״ג, המוקדש </w:t>
      </w:r>
      <w:proofErr w:type="spellStart"/>
      <w:r>
        <w:rPr>
          <w:sz w:val="20"/>
          <w:szCs w:val="20"/>
          <w:rtl/>
        </w:rPr>
        <w:t>לר</w:t>
      </w:r>
      <w:proofErr w:type="spellEnd"/>
      <w:r>
        <w:rPr>
          <w:sz w:val="20"/>
          <w:szCs w:val="20"/>
          <w:rtl/>
        </w:rPr>
        <w:t xml:space="preserve">׳ ישראל </w:t>
      </w:r>
      <w:proofErr w:type="spellStart"/>
      <w:r>
        <w:rPr>
          <w:sz w:val="20"/>
          <w:szCs w:val="20"/>
          <w:rtl/>
        </w:rPr>
        <w:t>סלנטר</w:t>
      </w:r>
      <w:proofErr w:type="spellEnd"/>
      <w:r>
        <w:rPr>
          <w:sz w:val="20"/>
          <w:szCs w:val="20"/>
          <w:rtl/>
        </w:rPr>
        <w:t xml:space="preserve"> במלאת חמישים שנה לפטירתו – עמ׳ כ.</w:t>
      </w:r>
    </w:p>
  </w:footnote>
  <w:footnote w:id="146">
    <w:p w14:paraId="1F43924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נדפס בספרו של אבי “עיונים במקרא על התורה, </w:t>
      </w:r>
      <w:proofErr w:type="spellStart"/>
      <w:r>
        <w:rPr>
          <w:sz w:val="20"/>
          <w:szCs w:val="20"/>
          <w:rtl/>
        </w:rPr>
        <w:t>מהדורא</w:t>
      </w:r>
      <w:proofErr w:type="spellEnd"/>
      <w:r>
        <w:rPr>
          <w:sz w:val="20"/>
          <w:szCs w:val="20"/>
          <w:rtl/>
        </w:rPr>
        <w:t xml:space="preserve"> שניה מורחבת </w:t>
      </w:r>
      <w:proofErr w:type="spellStart"/>
      <w:r>
        <w:rPr>
          <w:sz w:val="20"/>
          <w:szCs w:val="20"/>
          <w:rtl/>
        </w:rPr>
        <w:t>וכו</w:t>
      </w:r>
      <w:proofErr w:type="spellEnd"/>
      <w:r>
        <w:rPr>
          <w:sz w:val="20"/>
          <w:szCs w:val="20"/>
          <w:rtl/>
        </w:rPr>
        <w:t>׳” (</w:t>
      </w:r>
      <w:proofErr w:type="spellStart"/>
      <w:r>
        <w:rPr>
          <w:sz w:val="20"/>
          <w:szCs w:val="20"/>
          <w:rtl/>
        </w:rPr>
        <w:t>נוא</w:t>
      </w:r>
      <w:proofErr w:type="spellEnd"/>
      <w:r>
        <w:rPr>
          <w:sz w:val="20"/>
          <w:szCs w:val="20"/>
          <w:rtl/>
        </w:rPr>
        <w:t xml:space="preserve"> יורק, תשמ״ו), עמ׳ שמא, בסוף דרשה ד.</w:t>
      </w:r>
    </w:p>
  </w:footnote>
  <w:footnote w:id="147">
    <w:p w14:paraId="7E50003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“חידושי מרן רי״ז הלוי על התורה” (ירושלים, תשכ״ג), עמ׳ 11–12.</w:t>
      </w:r>
    </w:p>
  </w:footnote>
  <w:footnote w:id="148">
    <w:p w14:paraId="5E24337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4.</w:t>
      </w:r>
    </w:p>
  </w:footnote>
  <w:footnote w:id="149">
    <w:p w14:paraId="2DD62F3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ניו יורק, 1927 (להלן: יעקב מארק).</w:t>
      </w:r>
    </w:p>
  </w:footnote>
  <w:footnote w:id="150">
    <w:p w14:paraId="0CDE67E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153–157.</w:t>
      </w:r>
    </w:p>
  </w:footnote>
  <w:footnote w:id="151">
    <w:p w14:paraId="4B44428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טבלת יוחסין מס׳ 25 בנספח לספר “המשתה והצום”. ספר זה “הוכן על ידי הרב ח.א. ליפשיץ וד״ר ניל </w:t>
      </w:r>
      <w:proofErr w:type="spellStart"/>
      <w:r>
        <w:rPr>
          <w:sz w:val="20"/>
          <w:szCs w:val="20"/>
          <w:rtl/>
        </w:rPr>
        <w:t>רוזנשטיין</w:t>
      </w:r>
      <w:proofErr w:type="spellEnd"/>
      <w:r>
        <w:rPr>
          <w:sz w:val="20"/>
          <w:szCs w:val="20"/>
          <w:rtl/>
        </w:rPr>
        <w:t xml:space="preserve">, יצא לאור </w:t>
      </w:r>
      <w:proofErr w:type="spellStart"/>
      <w:r>
        <w:rPr>
          <w:sz w:val="20"/>
          <w:szCs w:val="20"/>
          <w:rtl/>
        </w:rPr>
        <w:t>בתשמ״ד</w:t>
      </w:r>
      <w:proofErr w:type="spellEnd"/>
      <w:r>
        <w:rPr>
          <w:sz w:val="20"/>
          <w:szCs w:val="20"/>
          <w:rtl/>
        </w:rPr>
        <w:t>, (ו)מופץ על ידי הוצאת מאזנים, ניו יורק/ירושלים”. והשווה גם פרק 5, סוף נספח ה.</w:t>
      </w:r>
    </w:p>
  </w:footnote>
  <w:footnote w:id="152">
    <w:p w14:paraId="14BA52A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8 לעיל. מכתב מיום 12 ביוני 1989.</w:t>
      </w:r>
    </w:p>
  </w:footnote>
  <w:footnote w:id="153">
    <w:p w14:paraId="4B0176F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העיירה </w:t>
      </w:r>
      <w:proofErr w:type="spellStart"/>
      <w:r>
        <w:rPr>
          <w:sz w:val="20"/>
          <w:szCs w:val="20"/>
          <w:rtl/>
        </w:rPr>
        <w:t>ראגאלע</w:t>
      </w:r>
      <w:proofErr w:type="spellEnd"/>
      <w:r>
        <w:rPr>
          <w:sz w:val="20"/>
          <w:szCs w:val="20"/>
          <w:rtl/>
        </w:rPr>
        <w:t xml:space="preserve">, קיצור של </w:t>
      </w:r>
      <w:proofErr w:type="spellStart"/>
      <w:r>
        <w:rPr>
          <w:sz w:val="20"/>
          <w:szCs w:val="20"/>
          <w:rtl/>
        </w:rPr>
        <w:t>איירגאלע</w:t>
      </w:r>
      <w:proofErr w:type="spellEnd"/>
      <w:r>
        <w:rPr>
          <w:sz w:val="20"/>
          <w:szCs w:val="20"/>
          <w:rtl/>
        </w:rPr>
        <w:t xml:space="preserve">, נמצאת </w:t>
      </w:r>
      <w:proofErr w:type="spellStart"/>
      <w:r>
        <w:rPr>
          <w:sz w:val="20"/>
          <w:szCs w:val="20"/>
          <w:rtl/>
        </w:rPr>
        <w:t>בזאמוט</w:t>
      </w:r>
      <w:proofErr w:type="spellEnd"/>
      <w:r>
        <w:rPr>
          <w:sz w:val="20"/>
          <w:szCs w:val="20"/>
          <w:rtl/>
        </w:rPr>
        <w:t xml:space="preserve">, על נהר </w:t>
      </w:r>
      <w:proofErr w:type="spellStart"/>
      <w:r>
        <w:rPr>
          <w:sz w:val="20"/>
          <w:szCs w:val="20"/>
          <w:rtl/>
        </w:rPr>
        <w:t>דוביסה</w:t>
      </w:r>
      <w:proofErr w:type="spellEnd"/>
      <w:r>
        <w:rPr>
          <w:sz w:val="20"/>
          <w:szCs w:val="20"/>
          <w:rtl/>
        </w:rPr>
        <w:t xml:space="preserve">, הזורם מסמוך </w:t>
      </w:r>
      <w:proofErr w:type="spellStart"/>
      <w:r>
        <w:rPr>
          <w:sz w:val="20"/>
          <w:szCs w:val="20"/>
          <w:rtl/>
        </w:rPr>
        <w:t>לשאוול</w:t>
      </w:r>
      <w:proofErr w:type="spellEnd"/>
      <w:r>
        <w:rPr>
          <w:sz w:val="20"/>
          <w:szCs w:val="20"/>
          <w:rtl/>
        </w:rPr>
        <w:t xml:space="preserve"> דרומה בין </w:t>
      </w:r>
      <w:proofErr w:type="spellStart"/>
      <w:r>
        <w:rPr>
          <w:sz w:val="20"/>
          <w:szCs w:val="20"/>
          <w:rtl/>
        </w:rPr>
        <w:t>ציטוביאן</w:t>
      </w:r>
      <w:proofErr w:type="spellEnd"/>
      <w:r>
        <w:rPr>
          <w:sz w:val="20"/>
          <w:szCs w:val="20"/>
          <w:rtl/>
        </w:rPr>
        <w:t xml:space="preserve"> </w:t>
      </w:r>
      <w:proofErr w:type="spellStart"/>
      <w:r>
        <w:rPr>
          <w:sz w:val="20"/>
          <w:szCs w:val="20"/>
          <w:rtl/>
        </w:rPr>
        <w:t>לקלם</w:t>
      </w:r>
      <w:proofErr w:type="spellEnd"/>
      <w:r>
        <w:rPr>
          <w:sz w:val="20"/>
          <w:szCs w:val="20"/>
          <w:rtl/>
        </w:rPr>
        <w:t xml:space="preserve">, עד שהוא מתחבר לנהר </w:t>
      </w:r>
      <w:proofErr w:type="spellStart"/>
      <w:r>
        <w:rPr>
          <w:sz w:val="20"/>
          <w:szCs w:val="20"/>
          <w:rtl/>
        </w:rPr>
        <w:t>נמן</w:t>
      </w:r>
      <w:proofErr w:type="spellEnd"/>
      <w:r>
        <w:rPr>
          <w:sz w:val="20"/>
          <w:szCs w:val="20"/>
          <w:rtl/>
        </w:rPr>
        <w:t xml:space="preserve"> מערבית לקובנה.</w:t>
      </w:r>
    </w:p>
  </w:footnote>
  <w:footnote w:id="154">
    <w:p w14:paraId="123D67E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השתמשתי בכתיב “</w:t>
      </w:r>
      <w:proofErr w:type="spellStart"/>
      <w:r>
        <w:rPr>
          <w:sz w:val="20"/>
          <w:szCs w:val="20"/>
          <w:rtl/>
        </w:rPr>
        <w:t>קאליסקובקה</w:t>
      </w:r>
      <w:proofErr w:type="spellEnd"/>
      <w:r>
        <w:rPr>
          <w:sz w:val="20"/>
          <w:szCs w:val="20"/>
          <w:rtl/>
        </w:rPr>
        <w:t>” לשם האחוזה, ולא “</w:t>
      </w:r>
      <w:proofErr w:type="spellStart"/>
      <w:r>
        <w:rPr>
          <w:sz w:val="20"/>
          <w:szCs w:val="20"/>
          <w:rtl/>
        </w:rPr>
        <w:t>קאלוז׳קובקה</w:t>
      </w:r>
      <w:proofErr w:type="spellEnd"/>
      <w:r>
        <w:rPr>
          <w:sz w:val="20"/>
          <w:szCs w:val="20"/>
          <w:rtl/>
        </w:rPr>
        <w:t>” כפי שהוא מופיע כאן, משום שדודתי דבורה, שהתכתבה עמי, קראה לאחוזה תמיד בשם “</w:t>
      </w:r>
      <w:proofErr w:type="spellStart"/>
      <w:r>
        <w:rPr>
          <w:sz w:val="20"/>
          <w:szCs w:val="20"/>
          <w:rtl/>
        </w:rPr>
        <w:t>קאליסקובקה</w:t>
      </w:r>
      <w:proofErr w:type="spellEnd"/>
      <w:r>
        <w:rPr>
          <w:sz w:val="20"/>
          <w:szCs w:val="20"/>
          <w:rtl/>
        </w:rPr>
        <w:t xml:space="preserve">”. כשהראיתי לה את המאמר בפגישתי האישית עמה ושאלתי אותה במפורש איזו מן ההגיות נכונה, עמדה על כך שהנוסח שלה הוא שבו השתמשה משפחתה תמיד. היא גם בדקה את הדבר אצל </w:t>
      </w:r>
      <w:proofErr w:type="spellStart"/>
      <w:r>
        <w:rPr>
          <w:sz w:val="20"/>
          <w:szCs w:val="20"/>
          <w:rtl/>
        </w:rPr>
        <w:t>סימיון</w:t>
      </w:r>
      <w:proofErr w:type="spellEnd"/>
      <w:r>
        <w:rPr>
          <w:sz w:val="20"/>
          <w:szCs w:val="20"/>
          <w:rtl/>
        </w:rPr>
        <w:t xml:space="preserve"> </w:t>
      </w:r>
      <w:proofErr w:type="spellStart"/>
      <w:r>
        <w:rPr>
          <w:sz w:val="20"/>
          <w:szCs w:val="20"/>
          <w:rtl/>
        </w:rPr>
        <w:t>סולוביו</w:t>
      </w:r>
      <w:proofErr w:type="spellEnd"/>
      <w:r>
        <w:rPr>
          <w:sz w:val="20"/>
          <w:szCs w:val="20"/>
          <w:rtl/>
        </w:rPr>
        <w:t xml:space="preserve"> (השווה הערה 92 להלן), וזיכרונה נמצא מדויק לחלוטין.</w:t>
      </w:r>
    </w:p>
  </w:footnote>
  <w:footnote w:id="155">
    <w:p w14:paraId="58C6D22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מכתב מיום 23 בפברואר 1991.</w:t>
      </w:r>
    </w:p>
  </w:footnote>
  <w:footnote w:id="156">
    <w:p w14:paraId="5E7994A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33, הערה 3.</w:t>
      </w:r>
    </w:p>
  </w:footnote>
  <w:footnote w:id="157">
    <w:p w14:paraId="794802F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14 לעיל.</w:t>
      </w:r>
    </w:p>
  </w:footnote>
  <w:footnote w:id="158">
    <w:p w14:paraId="5AA677B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14 לעיל – עמ׳ 136.</w:t>
      </w:r>
    </w:p>
  </w:footnote>
  <w:footnote w:id="159">
    <w:p w14:paraId="3F4BE4D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3.</w:t>
      </w:r>
    </w:p>
  </w:footnote>
  <w:footnote w:id="160">
    <w:p w14:paraId="5D964CB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יעקב מארק (הערה 13 לעיל), עמ׳ 101.</w:t>
      </w:r>
    </w:p>
  </w:footnote>
  <w:footnote w:id="161">
    <w:p w14:paraId="6A09EF0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w:t>
      </w:r>
      <w:proofErr w:type="spellStart"/>
      <w:r>
        <w:rPr>
          <w:sz w:val="20"/>
          <w:szCs w:val="20"/>
          <w:rtl/>
        </w:rPr>
        <w:t>שו״ע</w:t>
      </w:r>
      <w:proofErr w:type="spellEnd"/>
      <w:r>
        <w:rPr>
          <w:sz w:val="20"/>
          <w:szCs w:val="20"/>
          <w:rtl/>
        </w:rPr>
        <w:t xml:space="preserve"> אבן העזר סי׳ א׳ ס״ג.</w:t>
      </w:r>
    </w:p>
  </w:footnote>
  <w:footnote w:id="162">
    <w:p w14:paraId="1A24DF7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המאמר מובא בפרק 3, בפסקה השנייה של נספח </w:t>
      </w:r>
      <w:proofErr w:type="spellStart"/>
      <w:r>
        <w:rPr>
          <w:sz w:val="20"/>
          <w:szCs w:val="20"/>
          <w:rtl/>
        </w:rPr>
        <w:t>יט</w:t>
      </w:r>
      <w:proofErr w:type="spellEnd"/>
      <w:r>
        <w:rPr>
          <w:sz w:val="20"/>
          <w:szCs w:val="20"/>
          <w:rtl/>
        </w:rPr>
        <w:t>.</w:t>
      </w:r>
    </w:p>
  </w:footnote>
  <w:footnote w:id="163">
    <w:p w14:paraId="139E1AA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4.</w:t>
      </w:r>
    </w:p>
  </w:footnote>
  <w:footnote w:id="164">
    <w:p w14:paraId="3371F9A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22 לעיל.</w:t>
      </w:r>
    </w:p>
  </w:footnote>
  <w:footnote w:id="165">
    <w:p w14:paraId="3684166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מאכל פסח זה עשוי מצה טחונה, בצל וביצים, מטוגנים כלביבות.</w:t>
      </w:r>
    </w:p>
  </w:footnote>
  <w:footnote w:id="166">
    <w:p w14:paraId="045B210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הערת שוליים </w:t>
      </w:r>
      <w:r>
        <w:rPr>
          <w:rStyle w:val="a5"/>
          <w:sz w:val="20"/>
          <w:szCs w:val="20"/>
          <w:vertAlign w:val="baseline"/>
          <w:rtl/>
        </w:rPr>
        <w:fldChar w:fldCharType="begin" w:dirty="true"/>
      </w:r>
      <w:r>
        <w:rPr>
          <w:rStyle w:val="a5"/>
          <w:sz w:val="20"/>
          <w:szCs w:val="20"/>
          <w:vertAlign w:val="baseline"/>
          <w:rtl/>
        </w:rPr>
        <w:instrText xml:space="preserve"> NOTEREF pr_f_215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158</w:t>
      </w:r>
      <w:r>
        <w:rPr>
          <w:rStyle w:val="a5"/>
          <w:sz w:val="20"/>
          <w:szCs w:val="20"/>
          <w:vertAlign w:val="baseline"/>
          <w:rtl/>
        </w:rPr>
        <w:fldChar w:fldCharType="end"/>
      </w:r>
      <w:r>
        <w:rPr>
          <w:rStyle w:val="a5"/>
          <w:sz w:val="20"/>
          <w:szCs w:val="20"/>
          <w:vertAlign w:val="baseline"/>
          <w:rtl/>
        </w:rPr>
        <w:t xml:space="preserve"> (עמ׳ </w:t>
      </w:r>
      <w:r>
        <w:rPr>
          <w:rStyle w:val="a5"/>
          <w:sz w:val="20"/>
          <w:szCs w:val="20"/>
          <w:vertAlign w:val="baseline"/>
          <w:rtl/>
        </w:rPr>
        <w:fldChar w:fldCharType="begin" w:dirty="true"/>
      </w:r>
      <w:r>
        <w:rPr>
          <w:rStyle w:val="a5"/>
          <w:sz w:val="20"/>
          <w:szCs w:val="20"/>
          <w:vertAlign w:val="baseline"/>
          <w:rtl/>
        </w:rPr>
        <w:instrText xml:space="preserve"> PAGEREF pr_f_215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w:t>
      </w:r>
    </w:p>
  </w:footnote>
  <w:footnote w:id="167">
    <w:p w14:paraId="370E5C8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כפי שמסר רב זה מבולטימור, 15 בנובמבר 1987.</w:t>
      </w:r>
    </w:p>
  </w:footnote>
  <w:footnote w:id="168">
    <w:p w14:paraId="3CFFE10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4.</w:t>
      </w:r>
    </w:p>
  </w:footnote>
  <w:footnote w:id="169">
    <w:p w14:paraId="3F69E3A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ריאיון עם ר׳ </w:t>
      </w:r>
      <w:proofErr w:type="spellStart"/>
      <w:r>
        <w:rPr>
          <w:sz w:val="20"/>
          <w:szCs w:val="20"/>
          <w:rtl/>
        </w:rPr>
        <w:t>ליפא</w:t>
      </w:r>
      <w:proofErr w:type="spellEnd"/>
      <w:r>
        <w:rPr>
          <w:sz w:val="20"/>
          <w:szCs w:val="20"/>
          <w:rtl/>
        </w:rPr>
        <w:t xml:space="preserve"> </w:t>
      </w:r>
      <w:proofErr w:type="spellStart"/>
      <w:r>
        <w:rPr>
          <w:sz w:val="20"/>
          <w:szCs w:val="20"/>
          <w:rtl/>
        </w:rPr>
        <w:t>גלדוורט</w:t>
      </w:r>
      <w:proofErr w:type="spellEnd"/>
      <w:r>
        <w:rPr>
          <w:sz w:val="20"/>
          <w:szCs w:val="20"/>
          <w:rtl/>
        </w:rPr>
        <w:t>, 11 בינואר 1988. והשווה גם חולין כ״ד ע״ב.</w:t>
      </w:r>
    </w:p>
  </w:footnote>
  <w:footnote w:id="170">
    <w:p w14:paraId="5C4E4F8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22 בנובמבר 1987.</w:t>
      </w:r>
    </w:p>
  </w:footnote>
  <w:footnote w:id="171">
    <w:p w14:paraId="434E0F8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שפטל </w:t>
      </w:r>
      <w:proofErr w:type="spellStart"/>
      <w:r>
        <w:rPr>
          <w:sz w:val="20"/>
          <w:szCs w:val="20"/>
          <w:rtl/>
        </w:rPr>
        <w:t>נויבערגר</w:t>
      </w:r>
      <w:proofErr w:type="spellEnd"/>
      <w:r>
        <w:rPr>
          <w:sz w:val="20"/>
          <w:szCs w:val="20"/>
          <w:rtl/>
        </w:rPr>
        <w:t xml:space="preserve">, אחיו של ר׳ עזרא, גילה בריאיון ב־20 בנובמבר 1987 שאשתו של ר׳ </w:t>
      </w:r>
      <w:proofErr w:type="spellStart"/>
      <w:r>
        <w:rPr>
          <w:sz w:val="20"/>
          <w:szCs w:val="20"/>
          <w:rtl/>
        </w:rPr>
        <w:t>יעקב־יצחק</w:t>
      </w:r>
      <w:proofErr w:type="spellEnd"/>
      <w:r>
        <w:rPr>
          <w:sz w:val="20"/>
          <w:szCs w:val="20"/>
          <w:rtl/>
        </w:rPr>
        <w:t xml:space="preserve"> וקרובים אחרים עדיין קראו לו </w:t>
      </w:r>
      <w:proofErr w:type="spellStart"/>
      <w:r>
        <w:rPr>
          <w:sz w:val="20"/>
          <w:szCs w:val="20"/>
          <w:rtl/>
        </w:rPr>
        <w:t>יצחק־יעקב</w:t>
      </w:r>
      <w:proofErr w:type="spellEnd"/>
      <w:r>
        <w:rPr>
          <w:sz w:val="20"/>
          <w:szCs w:val="20"/>
          <w:rtl/>
        </w:rPr>
        <w:t xml:space="preserve"> – והוא נשא אותה עשר שנים </w:t>
      </w:r>
      <w:r>
        <w:rPr>
          <w:b/>
          <w:bCs/>
          <w:sz w:val="20"/>
          <w:szCs w:val="20"/>
          <w:rtl/>
        </w:rPr>
        <w:t>אחרי</w:t>
      </w:r>
      <w:r>
        <w:rPr>
          <w:sz w:val="20"/>
          <w:szCs w:val="20"/>
          <w:rtl/>
        </w:rPr>
        <w:t xml:space="preserve"> שהצטרף לישיבת </w:t>
      </w:r>
      <w:proofErr w:type="spellStart"/>
      <w:r>
        <w:rPr>
          <w:sz w:val="20"/>
          <w:szCs w:val="20"/>
          <w:rtl/>
        </w:rPr>
        <w:t>סלבודקה</w:t>
      </w:r>
      <w:proofErr w:type="spellEnd"/>
      <w:r>
        <w:rPr>
          <w:sz w:val="20"/>
          <w:szCs w:val="20"/>
          <w:rtl/>
        </w:rPr>
        <w:t xml:space="preserve"> במינסק. ברור שגם ר׳ </w:t>
      </w:r>
      <w:proofErr w:type="spellStart"/>
      <w:r>
        <w:rPr>
          <w:sz w:val="20"/>
          <w:szCs w:val="20"/>
          <w:rtl/>
        </w:rPr>
        <w:t>יעקב־יצחק</w:t>
      </w:r>
      <w:proofErr w:type="spellEnd"/>
      <w:r>
        <w:rPr>
          <w:sz w:val="20"/>
          <w:szCs w:val="20"/>
          <w:rtl/>
        </w:rPr>
        <w:t xml:space="preserve"> </w:t>
      </w:r>
      <w:proofErr w:type="spellStart"/>
      <w:r>
        <w:rPr>
          <w:sz w:val="20"/>
          <w:szCs w:val="20"/>
          <w:rtl/>
        </w:rPr>
        <w:t>רודרמן</w:t>
      </w:r>
      <w:proofErr w:type="spellEnd"/>
      <w:r>
        <w:rPr>
          <w:sz w:val="20"/>
          <w:szCs w:val="20"/>
          <w:rtl/>
        </w:rPr>
        <w:t xml:space="preserve"> עצמו עדיין השתמש לפעמים בשם שקיבל עליו בטעות.</w:t>
      </w:r>
    </w:p>
  </w:footnote>
  <w:footnote w:id="172">
    <w:p w14:paraId="24B5FF2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25 במרץ 1988.</w:t>
      </w:r>
    </w:p>
  </w:footnote>
  <w:footnote w:id="173">
    <w:p w14:paraId="7509C6C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הרב </w:t>
      </w:r>
      <w:proofErr w:type="spellStart"/>
      <w:r>
        <w:rPr>
          <w:sz w:val="20"/>
          <w:szCs w:val="20"/>
          <w:rtl/>
        </w:rPr>
        <w:t>פויער</w:t>
      </w:r>
      <w:proofErr w:type="spellEnd"/>
      <w:r>
        <w:rPr>
          <w:sz w:val="20"/>
          <w:szCs w:val="20"/>
          <w:rtl/>
        </w:rPr>
        <w:t xml:space="preserve"> רשם רשימות מתוארכות של כל שיחותיו של אבי עמו.</w:t>
      </w:r>
    </w:p>
  </w:footnote>
  <w:footnote w:id="174">
    <w:p w14:paraId="131C34D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48 להלן.</w:t>
      </w:r>
    </w:p>
  </w:footnote>
  <w:footnote w:id="175">
    <w:p w14:paraId="3C24B0F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מונח זה, שפירושו “נבדל” או “מסתגף”, שימש לאדם נשוי שהשאיר את אשתו (וילדיו הקטנים) אצל הוריה לזמן מוגבל, כדי לעסוק בתורה בלי הפרעה במקום אחר, ושם פרנסוהו בני העיר. בימי הראשונים שימש המונח לאדם </w:t>
      </w:r>
      <w:r>
        <w:rPr>
          <w:b/>
          <w:bCs/>
          <w:sz w:val="20"/>
          <w:szCs w:val="20"/>
          <w:rtl/>
        </w:rPr>
        <w:t>הפורש</w:t>
      </w:r>
      <w:r>
        <w:rPr>
          <w:sz w:val="20"/>
          <w:szCs w:val="20"/>
          <w:rtl/>
        </w:rPr>
        <w:t xml:space="preserve"> מעסקי העולם ומקדיש עצמו לתלמוד תורה – כך לפי כתב היד מימי הביניים “חוקי התורה”, המובא בספרו של משה </w:t>
      </w:r>
      <w:proofErr w:type="spellStart"/>
      <w:r>
        <w:rPr>
          <w:sz w:val="20"/>
          <w:szCs w:val="20"/>
          <w:rtl/>
        </w:rPr>
        <w:t>גידעמן</w:t>
      </w:r>
      <w:proofErr w:type="spellEnd"/>
      <w:r>
        <w:rPr>
          <w:sz w:val="20"/>
          <w:szCs w:val="20"/>
          <w:rtl/>
        </w:rPr>
        <w:t xml:space="preserve"> “התורה והחיים בארצות המערב בימי הביניים” (</w:t>
      </w:r>
      <w:proofErr w:type="spellStart"/>
      <w:r>
        <w:rPr>
          <w:sz w:val="20"/>
          <w:szCs w:val="20"/>
          <w:rtl/>
        </w:rPr>
        <w:t>ווארשא</w:t>
      </w:r>
      <w:proofErr w:type="spellEnd"/>
      <w:r>
        <w:rPr>
          <w:sz w:val="20"/>
          <w:szCs w:val="20"/>
          <w:rtl/>
        </w:rPr>
        <w:t>, תרנ״ז), חלק א, עמ׳ 73–80.</w:t>
      </w:r>
    </w:p>
  </w:footnote>
  <w:footnote w:id="176">
    <w:p w14:paraId="66A5D3C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רק באביב תשל״ח נודע לאבי מפי דבורה, אחותו שנותרה בחיים, שלאה נפטרה. היא הטעתה אותו, בלי שידעה את ההשלכות ההלכתיות של שקרה, כך שחשב שלאה נפטרה רק אז. הוא ישב שבעה שלמה שלא לצורך.</w:t>
      </w:r>
    </w:p>
  </w:footnote>
  <w:footnote w:id="177">
    <w:p w14:paraId="02BAC0F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8 לעיל.</w:t>
      </w:r>
    </w:p>
  </w:footnote>
  <w:footnote w:id="178">
    <w:p w14:paraId="518A136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26 באוקטובר 1995.</w:t>
      </w:r>
    </w:p>
  </w:footnote>
  <w:footnote w:id="179">
    <w:p w14:paraId="3918504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14 לעיל – עמ׳ 14, 29, 131.</w:t>
      </w:r>
    </w:p>
  </w:footnote>
  <w:footnote w:id="180">
    <w:p w14:paraId="74CCCB85"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כך במקור. לפי הלוח, 28 במרץ 1942 (תש״ב) חל בי׳ בניסן (י״ב בניסן הוא 30 במרץ), ו־21 במאי חל בה׳ בסיוון (ו׳ בסיוון הוא 22 במאי).</w:t>
      </w:r>
    </w:p>
  </w:footnote>
  <w:footnote w:id="181">
    <w:p w14:paraId="6FA8A6B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מאמר מאת נחום </w:t>
      </w:r>
      <w:proofErr w:type="spellStart"/>
      <w:r>
        <w:rPr>
          <w:sz w:val="20"/>
          <w:szCs w:val="20"/>
          <w:rtl/>
        </w:rPr>
        <w:t>לנקין</w:t>
      </w:r>
      <w:proofErr w:type="spellEnd"/>
      <w:r>
        <w:rPr>
          <w:sz w:val="20"/>
          <w:szCs w:val="20"/>
          <w:rtl/>
        </w:rPr>
        <w:t xml:space="preserve"> </w:t>
      </w:r>
      <w:proofErr w:type="spellStart"/>
      <w:r>
        <w:rPr>
          <w:sz w:val="20"/>
          <w:szCs w:val="20"/>
          <w:rtl/>
        </w:rPr>
        <w:t>ב“אש</w:t>
      </w:r>
      <w:proofErr w:type="spellEnd"/>
      <w:r>
        <w:rPr>
          <w:sz w:val="20"/>
          <w:szCs w:val="20"/>
          <w:rtl/>
        </w:rPr>
        <w:t xml:space="preserve"> תמיד”, עמ׳ 73. התאריך הלועזי שמביא אותו מחבר כמקביל לי״ב בניסן אינו מדויק, וצריך להיות 29 או 30 במרץ.</w:t>
      </w:r>
    </w:p>
  </w:footnote>
  <w:footnote w:id="182">
    <w:p w14:paraId="341004C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72.</w:t>
      </w:r>
    </w:p>
  </w:footnote>
  <w:footnote w:id="183">
    <w:p w14:paraId="6593575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14, עמ׳ 434.</w:t>
      </w:r>
    </w:p>
  </w:footnote>
  <w:footnote w:id="184">
    <w:p w14:paraId="6089E49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“אש תמיד”, עמ׳ 136. שם הוא נקרא בטעות </w:t>
      </w:r>
      <w:proofErr w:type="spellStart"/>
      <w:r>
        <w:rPr>
          <w:b/>
          <w:bCs/>
          <w:sz w:val="20"/>
          <w:szCs w:val="20"/>
          <w:rtl/>
        </w:rPr>
        <w:t>אריה</w:t>
      </w:r>
      <w:r>
        <w:rPr>
          <w:sz w:val="20"/>
          <w:szCs w:val="20"/>
          <w:rtl/>
        </w:rPr>
        <w:t>־לייב</w:t>
      </w:r>
      <w:proofErr w:type="spellEnd"/>
      <w:r>
        <w:rPr>
          <w:sz w:val="20"/>
          <w:szCs w:val="20"/>
          <w:rtl/>
        </w:rPr>
        <w:t>, ומספר בנותיו אינו נכון.</w:t>
      </w:r>
    </w:p>
  </w:footnote>
  <w:footnote w:id="185">
    <w:p w14:paraId="2514569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23 במרץ 1988.</w:t>
      </w:r>
    </w:p>
  </w:footnote>
  <w:footnote w:id="186">
    <w:p w14:paraId="184ACCD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32 לעיל.</w:t>
      </w:r>
    </w:p>
  </w:footnote>
  <w:footnote w:id="187">
    <w:p w14:paraId="08A1938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2, הערה 69.</w:t>
      </w:r>
    </w:p>
  </w:footnote>
  <w:footnote w:id="188">
    <w:p w14:paraId="39A63F3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הוצאת כתב, </w:t>
      </w:r>
      <w:proofErr w:type="spellStart"/>
      <w:r>
        <w:rPr>
          <w:sz w:val="20"/>
          <w:szCs w:val="20"/>
          <w:rtl/>
        </w:rPr>
        <w:t>הובוקן</w:t>
      </w:r>
      <w:proofErr w:type="spellEnd"/>
      <w:r>
        <w:rPr>
          <w:sz w:val="20"/>
          <w:szCs w:val="20"/>
          <w:rtl/>
        </w:rPr>
        <w:t xml:space="preserve">, ניו ג׳רזי, 1995 (להלן: “מורשת </w:t>
      </w:r>
      <w:proofErr w:type="spellStart"/>
      <w:r>
        <w:rPr>
          <w:sz w:val="20"/>
          <w:szCs w:val="20"/>
          <w:rtl/>
        </w:rPr>
        <w:t>סולובייצ׳יק</w:t>
      </w:r>
      <w:proofErr w:type="spellEnd"/>
      <w:r>
        <w:rPr>
          <w:sz w:val="20"/>
          <w:szCs w:val="20"/>
          <w:rtl/>
        </w:rPr>
        <w:t>”) – עמ׳ 124.</w:t>
      </w:r>
    </w:p>
  </w:footnote>
  <w:footnote w:id="189">
    <w:p w14:paraId="39D42D9F" w14:textId="6191358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והשווה גם “אבי הישיבות” (הערה 7 לעיל), עמ׳ 471 ואילך, על יחסו של ר׳ חיים </w:t>
      </w:r>
      <w:proofErr w:type="spellStart"/>
      <w:r>
        <w:rPr>
          <w:sz w:val="20"/>
          <w:szCs w:val="20"/>
          <w:rtl/>
        </w:rPr>
        <w:t>מוולוז׳ין</w:t>
      </w:r>
      <w:proofErr w:type="spellEnd"/>
      <w:r>
        <w:rPr>
          <w:sz w:val="20"/>
          <w:szCs w:val="20"/>
          <w:rtl/>
        </w:rPr>
        <w:t xml:space="preserve"> (</w:t>
      </w:r>
      <w:proofErr w:type="spellStart"/>
      <w:r w:rsidR="00AB485B">
        <w:rPr>
          <w:sz w:val="20"/>
          <w:szCs w:val="20"/>
          <w:rtl/>
        </w:rPr>
        <w:t>איצקוביץ</w:t>
      </w:r>
      <w:proofErr w:type="spellEnd"/>
      <w:r w:rsidR="00AB485B">
        <w:rPr>
          <w:sz w:val="20"/>
          <w:szCs w:val="20"/>
          <w:rtl/>
        </w:rPr>
        <w:t>'</w:t>
      </w:r>
      <w:r>
        <w:rPr>
          <w:sz w:val="20"/>
          <w:szCs w:val="20"/>
          <w:rtl/>
        </w:rPr>
        <w:t>) לנפוליאון, ועל מה שאירע כשנפגשו, כפי שמסופר, ר׳ חיים ונפוליאון, להבדיל.</w:t>
      </w:r>
    </w:p>
  </w:footnote>
  <w:footnote w:id="190">
    <w:p w14:paraId="1BE7044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ב־10 באפריל 2001 חזר באוזניי ר׳ שלום שטרן על נוסח שונה במקצת ששמע מפי ר׳ </w:t>
      </w:r>
      <w:proofErr w:type="spellStart"/>
      <w:r>
        <w:rPr>
          <w:sz w:val="20"/>
          <w:szCs w:val="20"/>
          <w:rtl/>
        </w:rPr>
        <w:t xml:space="preserve">יוסף־דב</w:t>
      </w:r>
      <w:proofErr w:type="spellEnd"/>
      <w:r>
        <w:rPr>
          <w:sz w:val="20"/>
          <w:szCs w:val="20"/>
          <w:rtl/>
        </w:rPr>
        <w:t xml:space="preserve"> </w:t>
      </w:r>
      <w:proofErr w:type="spellStart"/>
      <w:r>
        <w:rPr>
          <w:sz w:val="20"/>
          <w:szCs w:val="20"/>
          <w:rtl/>
        </w:rPr>
        <w:t>סולובייצ׳יק</w:t>
      </w:r>
      <w:proofErr w:type="spellEnd"/>
      <w:r>
        <w:rPr>
          <w:sz w:val="20"/>
          <w:szCs w:val="20"/>
          <w:rtl/>
        </w:rPr>
        <w:t xml:space="preserve">, בהספד על ר׳ </w:t>
      </w:r>
      <w:proofErr w:type="spellStart"/>
      <w:r>
        <w:rPr>
          <w:sz w:val="20"/>
          <w:szCs w:val="20"/>
          <w:rtl/>
        </w:rPr>
        <w:t>משה־דובער</w:t>
      </w:r>
      <w:proofErr w:type="spellEnd"/>
      <w:r>
        <w:rPr>
          <w:sz w:val="20"/>
          <w:szCs w:val="20"/>
          <w:rtl/>
        </w:rPr>
        <w:t xml:space="preserve"> </w:t>
      </w:r>
      <w:proofErr w:type="spellStart"/>
      <w:r>
        <w:rPr>
          <w:sz w:val="20"/>
          <w:szCs w:val="20"/>
          <w:rtl/>
        </w:rPr>
        <w:t>ריבקין</w:t>
      </w:r>
      <w:proofErr w:type="spellEnd"/>
      <w:r>
        <w:rPr>
          <w:sz w:val="20"/>
          <w:szCs w:val="20"/>
          <w:rtl/>
        </w:rPr>
        <w:t xml:space="preserve">, חסיד </w:t>
      </w:r>
      <w:proofErr w:type="spellStart"/>
      <w:r>
        <w:rPr>
          <w:sz w:val="20"/>
          <w:szCs w:val="20"/>
          <w:rtl/>
        </w:rPr>
        <w:t>ליובאוויטש</w:t>
      </w:r>
      <w:proofErr w:type="spellEnd"/>
      <w:r>
        <w:rPr>
          <w:sz w:val="20"/>
          <w:szCs w:val="20"/>
          <w:rtl/>
        </w:rPr>
        <w:t xml:space="preserve"> רם מעלה. וזה הנוסח: הגנרל הצרפתי שערך את החיפוש שאל את הרב אם הרבי מסתתר בביתו, והרב השיב: “לכם יש עם ר׳ </w:t>
      </w:r>
      <w:proofErr w:type="spellStart"/>
      <w:r>
        <w:rPr>
          <w:sz w:val="20"/>
          <w:szCs w:val="20"/>
          <w:rtl/>
        </w:rPr>
        <w:t>שניאור־זלמן</w:t>
      </w:r>
      <w:proofErr w:type="spellEnd"/>
      <w:r>
        <w:rPr>
          <w:sz w:val="20"/>
          <w:szCs w:val="20"/>
          <w:rtl/>
        </w:rPr>
        <w:t xml:space="preserve"> רק מאבק פוליטי, ולי – מאבק אידיאולוגי; לעולם לא הייתי מסתיר אותו”. כששאל הגנרל את הרב אם הוא נותן את הן צדקו כרב שהנמלט אינו מוסתר בביתו, השיב הרב בחיוב – וביתו לא נבדק. והשווה גם “מפניני הרב” מאת צבי שכטר (הוצאת בית המדרש </w:t>
      </w:r>
      <w:proofErr w:type="spellStart"/>
      <w:r>
        <w:rPr>
          <w:sz w:val="20"/>
          <w:szCs w:val="20"/>
          <w:rtl/>
        </w:rPr>
        <w:t>דפלאטבוש</w:t>
      </w:r>
      <w:proofErr w:type="spellEnd"/>
      <w:r>
        <w:rPr>
          <w:sz w:val="20"/>
          <w:szCs w:val="20"/>
          <w:rtl/>
        </w:rPr>
        <w:t xml:space="preserve">, ירושלים, תשס״א), עמ׳ </w:t>
      </w:r>
      <w:proofErr w:type="spellStart"/>
      <w:r>
        <w:rPr>
          <w:sz w:val="20"/>
          <w:szCs w:val="20"/>
          <w:rtl/>
        </w:rPr>
        <w:t>קפ</w:t>
      </w:r>
      <w:proofErr w:type="spellEnd"/>
      <w:r>
        <w:rPr>
          <w:sz w:val="20"/>
          <w:szCs w:val="20"/>
          <w:rtl/>
        </w:rPr>
        <w:t>.</w:t>
      </w:r>
    </w:p>
    <w:p w14:paraId="089BF7A1" w14:textId="77777777" w:rsidR="00AB3647" w:rsidRDefault="00000000">
      <w:pPr>
        <w:spacing w:after="0" w:before="0"/>
        <w:jc w:val="both"/>
      </w:pPr>
      <w:r>
        <w:rPr>
          <w:sz w:val="20"/>
          <w:szCs w:val="20"/>
          <w:rtl/>
        </w:rPr>
        <w:t xml:space="preserve">באותו מעמד אמר ר׳ </w:t>
      </w:r>
      <w:proofErr w:type="spellStart"/>
      <w:r>
        <w:rPr>
          <w:sz w:val="20"/>
          <w:szCs w:val="20"/>
          <w:rtl/>
        </w:rPr>
        <w:t xml:space="preserve">יוסף־דב</w:t>
      </w:r>
      <w:proofErr w:type="spellEnd"/>
      <w:r>
        <w:rPr>
          <w:sz w:val="20"/>
          <w:szCs w:val="20"/>
          <w:rtl/>
        </w:rPr>
        <w:t xml:space="preserve">: “אם תשאלו מה הקשר שלי </w:t>
      </w:r>
      <w:proofErr w:type="spellStart"/>
      <w:r>
        <w:rPr>
          <w:sz w:val="20"/>
          <w:szCs w:val="20"/>
          <w:rtl/>
        </w:rPr>
        <w:t>לליובאוויטש</w:t>
      </w:r>
      <w:proofErr w:type="spellEnd"/>
      <w:r>
        <w:rPr>
          <w:sz w:val="20"/>
          <w:szCs w:val="20"/>
          <w:rtl/>
        </w:rPr>
        <w:t xml:space="preserve">, אומר לכם: לימדו אותי תניא, ספר היסוד של חב״ד, לפני חומש, משום שאבי שכר חסיד </w:t>
      </w:r>
      <w:proofErr w:type="spellStart"/>
      <w:r>
        <w:rPr>
          <w:sz w:val="20"/>
          <w:szCs w:val="20"/>
          <w:rtl/>
        </w:rPr>
        <w:t>ליובאוויטש</w:t>
      </w:r>
      <w:proofErr w:type="spellEnd"/>
      <w:r>
        <w:rPr>
          <w:sz w:val="20"/>
          <w:szCs w:val="20"/>
          <w:rtl/>
        </w:rPr>
        <w:t xml:space="preserve"> ללמדני חומש, </w:t>
      </w:r>
      <w:proofErr w:type="spellStart"/>
      <w:r>
        <w:rPr>
          <w:sz w:val="20"/>
          <w:szCs w:val="20"/>
          <w:rtl/>
        </w:rPr>
        <w:t>וכשלא</w:t>
      </w:r>
      <w:proofErr w:type="spellEnd"/>
      <w:r>
        <w:rPr>
          <w:sz w:val="20"/>
          <w:szCs w:val="20"/>
          <w:rtl/>
        </w:rPr>
        <w:t xml:space="preserve"> היה אבי בסביבה, הוציא המלמד שלי תניא ולימד אותי אותו במקום זה”.</w:t>
      </w:r>
    </w:p>
  </w:footnote>
  <w:footnote w:id="191">
    <w:p w14:paraId="62779B2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192">
    <w:p w14:paraId="2188F65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96.</w:t>
      </w:r>
    </w:p>
  </w:footnote>
  <w:footnote w:id="193">
    <w:p w14:paraId="1E5E93F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136, מאמר מאת אליעזר רובין.</w:t>
      </w:r>
    </w:p>
  </w:footnote>
  <w:footnote w:id="194">
    <w:p w14:paraId="2D600F7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81, מאמר מאת ירחמיאל פורמן.</w:t>
      </w:r>
    </w:p>
  </w:footnote>
  <w:footnote w:id="195">
    <w:p w14:paraId="593E887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48, מאמר מאת הרצל </w:t>
      </w:r>
      <w:proofErr w:type="spellStart"/>
      <w:r>
        <w:rPr>
          <w:sz w:val="20"/>
          <w:szCs w:val="20"/>
          <w:rtl/>
        </w:rPr>
        <w:t>גיטלסון</w:t>
      </w:r>
      <w:proofErr w:type="spellEnd"/>
      <w:r>
        <w:rPr>
          <w:sz w:val="20"/>
          <w:szCs w:val="20"/>
          <w:rtl/>
        </w:rPr>
        <w:t>.</w:t>
      </w:r>
    </w:p>
  </w:footnote>
  <w:footnote w:id="196">
    <w:p w14:paraId="4F074D6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גם תחילת נספח א בפרק זה.</w:t>
      </w:r>
    </w:p>
  </w:footnote>
  <w:footnote w:id="197">
    <w:p w14:paraId="6632078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באר הגולה, אבן העזר סי׳ נ״ה ס״ט.</w:t>
      </w:r>
    </w:p>
  </w:footnote>
  <w:footnote w:id="198">
    <w:p w14:paraId="28583B2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135, רובין.</w:t>
      </w:r>
    </w:p>
  </w:footnote>
  <w:footnote w:id="199">
    <w:p w14:paraId="5BE166C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פארלאג</w:t>
      </w:r>
      <w:proofErr w:type="spellEnd"/>
      <w:r>
        <w:rPr>
          <w:sz w:val="20"/>
          <w:szCs w:val="20"/>
          <w:rtl/>
        </w:rPr>
        <w:t xml:space="preserve"> “</w:t>
      </w:r>
      <w:proofErr w:type="spellStart"/>
      <w:r>
        <w:rPr>
          <w:sz w:val="20"/>
          <w:szCs w:val="20"/>
          <w:rtl/>
        </w:rPr>
        <w:t>אידישער</w:t>
      </w:r>
      <w:proofErr w:type="spellEnd"/>
      <w:r>
        <w:rPr>
          <w:sz w:val="20"/>
          <w:szCs w:val="20"/>
          <w:rtl/>
        </w:rPr>
        <w:t xml:space="preserve"> </w:t>
      </w:r>
      <w:proofErr w:type="spellStart"/>
      <w:r>
        <w:rPr>
          <w:sz w:val="20"/>
          <w:szCs w:val="20"/>
          <w:rtl/>
        </w:rPr>
        <w:t>קעמפער</w:t>
      </w:r>
      <w:proofErr w:type="spellEnd"/>
      <w:r>
        <w:rPr>
          <w:sz w:val="20"/>
          <w:szCs w:val="20"/>
          <w:rtl/>
        </w:rPr>
        <w:t xml:space="preserve">”, </w:t>
      </w:r>
      <w:proofErr w:type="spellStart"/>
      <w:r>
        <w:rPr>
          <w:sz w:val="20"/>
          <w:szCs w:val="20"/>
          <w:rtl/>
        </w:rPr>
        <w:t xml:space="preserve">ניו יורק</w:t>
      </w:r>
      <w:proofErr w:type="spellEnd"/>
      <w:r>
        <w:rPr>
          <w:sz w:val="20"/>
          <w:szCs w:val="20"/>
          <w:rtl/>
        </w:rPr>
        <w:t>, תשכ״ב.</w:t>
      </w:r>
    </w:p>
  </w:footnote>
  <w:footnote w:id="200">
    <w:p w14:paraId="7131FCC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הערה 99 בפרק זה.</w:t>
      </w:r>
    </w:p>
  </w:footnote>
  <w:footnote w:id="201">
    <w:p w14:paraId="25BB0F2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זיכרונותיו של ברוך צוקרמן, עמ׳ 28.</w:t>
      </w:r>
    </w:p>
  </w:footnote>
  <w:footnote w:id="202">
    <w:p w14:paraId="1440E8C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אליהו </w:t>
      </w:r>
      <w:proofErr w:type="spellStart"/>
      <w:r>
        <w:rPr>
          <w:sz w:val="20"/>
          <w:szCs w:val="20"/>
          <w:rtl/>
        </w:rPr>
        <w:t>קריגר</w:t>
      </w:r>
      <w:proofErr w:type="spellEnd"/>
      <w:r>
        <w:rPr>
          <w:sz w:val="20"/>
          <w:szCs w:val="20"/>
          <w:rtl/>
        </w:rPr>
        <w:t>, ריאיון, 18 בנובמבר 1988.</w:t>
      </w:r>
    </w:p>
  </w:footnote>
  <w:footnote w:id="203">
    <w:p w14:paraId="192E776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19 בפברואר 1988.</w:t>
      </w:r>
    </w:p>
  </w:footnote>
  <w:footnote w:id="204">
    <w:p w14:paraId="26A6855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3.</w:t>
      </w:r>
    </w:p>
  </w:footnote>
  <w:footnote w:id="205">
    <w:p w14:paraId="5D56A19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לר</w:t>
      </w:r>
      <w:proofErr w:type="spellEnd"/>
      <w:r>
        <w:rPr>
          <w:sz w:val="20"/>
          <w:szCs w:val="20"/>
          <w:rtl/>
        </w:rPr>
        <w:t xml:space="preserve">׳ </w:t>
      </w:r>
      <w:proofErr w:type="spellStart"/>
      <w:r>
        <w:rPr>
          <w:sz w:val="20"/>
          <w:szCs w:val="20"/>
          <w:rtl/>
        </w:rPr>
        <w:t>שמואל־יצחק</w:t>
      </w:r>
      <w:proofErr w:type="spellEnd"/>
      <w:r>
        <w:rPr>
          <w:sz w:val="20"/>
          <w:szCs w:val="20"/>
          <w:rtl/>
        </w:rPr>
        <w:t xml:space="preserve"> הרמן, שלא כר׳ אליהו </w:t>
      </w:r>
      <w:proofErr w:type="spellStart"/>
      <w:r>
        <w:rPr>
          <w:sz w:val="20"/>
          <w:szCs w:val="20"/>
          <w:rtl/>
        </w:rPr>
        <w:t>קריגר</w:t>
      </w:r>
      <w:proofErr w:type="spellEnd"/>
      <w:r>
        <w:rPr>
          <w:sz w:val="20"/>
          <w:szCs w:val="20"/>
          <w:rtl/>
        </w:rPr>
        <w:t xml:space="preserve">, הייתה שאלת הרכבת המשקפיים עיונית בלבד ולא שאלה של הלכה למעשה, משום שהוא עצמו לא נזקק אז למשקפיים. והשווה גם משנה ברורה סי׳ ש״א </w:t>
      </w:r>
      <w:proofErr w:type="spellStart"/>
      <w:r>
        <w:rPr>
          <w:sz w:val="20"/>
          <w:szCs w:val="20"/>
          <w:rtl/>
        </w:rPr>
        <w:t>ס״ק</w:t>
      </w:r>
      <w:proofErr w:type="spellEnd"/>
      <w:r>
        <w:rPr>
          <w:sz w:val="20"/>
          <w:szCs w:val="20"/>
          <w:rtl/>
        </w:rPr>
        <w:t xml:space="preserve"> מ״ד בעניין משקפי צביטה (</w:t>
      </w:r>
      <w:proofErr w:type="spellStart"/>
      <w:r>
        <w:rPr>
          <w:sz w:val="20"/>
          <w:szCs w:val="20"/>
          <w:rtl/>
        </w:rPr>
        <w:t>פינס־נה</w:t>
      </w:r>
      <w:proofErr w:type="spellEnd"/>
      <w:r>
        <w:rPr>
          <w:sz w:val="20"/>
          <w:szCs w:val="20"/>
          <w:rtl/>
        </w:rPr>
        <w:t>), והאחרונים בעניין משקפיים מודרניים, שמסגרתם נתפסת מעל האוזניים.</w:t>
      </w:r>
    </w:p>
  </w:footnote>
  <w:footnote w:id="206">
    <w:p w14:paraId="5F82EEA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214, </w:t>
      </w:r>
      <w:proofErr w:type="spellStart"/>
      <w:r>
        <w:rPr>
          <w:sz w:val="20"/>
          <w:szCs w:val="20"/>
          <w:rtl/>
        </w:rPr>
        <w:t>גיטלסון</w:t>
      </w:r>
      <w:proofErr w:type="spellEnd"/>
      <w:r>
        <w:rPr>
          <w:sz w:val="20"/>
          <w:szCs w:val="20"/>
          <w:rtl/>
        </w:rPr>
        <w:t>.</w:t>
      </w:r>
    </w:p>
  </w:footnote>
  <w:footnote w:id="207">
    <w:p w14:paraId="3D0A8F1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כל כתבי </w:t>
      </w:r>
      <w:proofErr w:type="spellStart"/>
      <w:r>
        <w:rPr>
          <w:sz w:val="20"/>
          <w:szCs w:val="20"/>
          <w:rtl/>
        </w:rPr>
        <w:t>ח״ח</w:t>
      </w:r>
      <w:proofErr w:type="spellEnd"/>
      <w:r>
        <w:rPr>
          <w:sz w:val="20"/>
          <w:szCs w:val="20"/>
          <w:rtl/>
        </w:rPr>
        <w:t xml:space="preserve"> (נספח ב), עמ׳ 67.</w:t>
      </w:r>
    </w:p>
  </w:footnote>
  <w:footnote w:id="208">
    <w:p w14:paraId="591FC94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בעמ׳ 68 בכל כתבי </w:t>
      </w:r>
      <w:proofErr w:type="spellStart"/>
      <w:r>
        <w:rPr>
          <w:sz w:val="20"/>
          <w:szCs w:val="20"/>
          <w:rtl/>
        </w:rPr>
        <w:t>ח״ח</w:t>
      </w:r>
      <w:proofErr w:type="spellEnd"/>
      <w:r>
        <w:rPr>
          <w:sz w:val="20"/>
          <w:szCs w:val="20"/>
          <w:rtl/>
        </w:rPr>
        <w:t xml:space="preserve"> נאמר בטעות ששנת ההוצאה הייתה תר״ע.</w:t>
      </w:r>
    </w:p>
  </w:footnote>
  <w:footnote w:id="209">
    <w:p w14:paraId="3378BE6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208, מאמר מאת אחיינו, שלמה </w:t>
      </w:r>
      <w:proofErr w:type="spellStart"/>
      <w:r>
        <w:rPr>
          <w:sz w:val="20"/>
          <w:szCs w:val="20"/>
          <w:rtl/>
        </w:rPr>
        <w:t>שמגר־סמורגונסקי</w:t>
      </w:r>
      <w:proofErr w:type="spellEnd"/>
      <w:r>
        <w:rPr>
          <w:sz w:val="20"/>
          <w:szCs w:val="20"/>
          <w:rtl/>
        </w:rPr>
        <w:t>.</w:t>
      </w:r>
    </w:p>
  </w:footnote>
  <w:footnote w:id="210">
    <w:p w14:paraId="3A2D053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בנו של ר׳ שלמה – השווה פרק 2.2, הפסקה החמישית.</w:t>
      </w:r>
    </w:p>
  </w:footnote>
  <w:footnote w:id="211">
    <w:p w14:paraId="6C2E686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31 בינואר 1988.</w:t>
      </w:r>
    </w:p>
  </w:footnote>
  <w:footnote w:id="212">
    <w:p w14:paraId="4B68D5B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פתיחה, הערה 2.</w:t>
      </w:r>
    </w:p>
  </w:footnote>
  <w:footnote w:id="213">
    <w:p w14:paraId="0FDBCFA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12 במאי 1991.</w:t>
      </w:r>
    </w:p>
  </w:footnote>
  <w:footnote w:id="214">
    <w:p w14:paraId="7EB940E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ריאיון, 14 בינואר 1988. הוא </w:t>
      </w:r>
      <w:proofErr w:type="spellStart"/>
      <w:r>
        <w:rPr>
          <w:sz w:val="20"/>
          <w:szCs w:val="20"/>
          <w:rtl/>
        </w:rPr>
        <w:t>נכד־חתן</w:t>
      </w:r>
      <w:proofErr w:type="spellEnd"/>
      <w:r>
        <w:rPr>
          <w:sz w:val="20"/>
          <w:szCs w:val="20"/>
          <w:rtl/>
        </w:rPr>
        <w:t xml:space="preserve"> של רבנו, ורשם לעצמו את שיחותיהם.</w:t>
      </w:r>
    </w:p>
  </w:footnote>
  <w:footnote w:id="215">
    <w:p w14:paraId="23FAFF6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7 לעיל.</w:t>
      </w:r>
    </w:p>
  </w:footnote>
  <w:footnote w:id="216">
    <w:p w14:paraId="6F261D5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3.1.</w:t>
      </w:r>
    </w:p>
  </w:footnote>
  <w:footnote w:id="217">
    <w:p w14:paraId="2441630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שנתון “היכל שלמה” – עמ׳ 413.</w:t>
      </w:r>
    </w:p>
  </w:footnote>
  <w:footnote w:id="218">
    <w:p w14:paraId="7B81199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נכדו ר׳ יצחק </w:t>
      </w:r>
      <w:proofErr w:type="spellStart"/>
      <w:r>
        <w:rPr>
          <w:sz w:val="20"/>
          <w:szCs w:val="20"/>
          <w:rtl/>
        </w:rPr>
        <w:t>שורין</w:t>
      </w:r>
      <w:proofErr w:type="spellEnd"/>
      <w:r>
        <w:rPr>
          <w:sz w:val="20"/>
          <w:szCs w:val="20"/>
          <w:rtl/>
        </w:rPr>
        <w:t>, שרואיין ב־2 בפברואר 1992, שאל את אבי באיזה גיל סיים את כל התנ״ך, ולפי דבריו השיב רבנו: “עד גיל עשר”. אני סבור שתשובתו הייתה “</w:t>
      </w:r>
      <w:proofErr w:type="spellStart"/>
      <w:r>
        <w:rPr>
          <w:sz w:val="20"/>
          <w:szCs w:val="20"/>
          <w:rtl/>
        </w:rPr>
        <w:t>דער</w:t>
      </w:r>
      <w:proofErr w:type="spellEnd"/>
      <w:r>
        <w:rPr>
          <w:sz w:val="20"/>
          <w:szCs w:val="20"/>
          <w:rtl/>
        </w:rPr>
        <w:t xml:space="preserve"> </w:t>
      </w:r>
      <w:proofErr w:type="spellStart"/>
      <w:r>
        <w:rPr>
          <w:sz w:val="20"/>
          <w:szCs w:val="20"/>
          <w:rtl/>
        </w:rPr>
        <w:t>צענטער</w:t>
      </w:r>
      <w:proofErr w:type="spellEnd"/>
      <w:r>
        <w:rPr>
          <w:sz w:val="20"/>
          <w:szCs w:val="20"/>
          <w:rtl/>
        </w:rPr>
        <w:t xml:space="preserve"> </w:t>
      </w:r>
      <w:proofErr w:type="spellStart"/>
      <w:r>
        <w:rPr>
          <w:sz w:val="20"/>
          <w:szCs w:val="20"/>
          <w:rtl/>
        </w:rPr>
        <w:t>יאהר</w:t>
      </w:r>
      <w:proofErr w:type="spellEnd"/>
      <w:r>
        <w:rPr>
          <w:sz w:val="20"/>
          <w:szCs w:val="20"/>
          <w:rtl/>
        </w:rPr>
        <w:t>” (השנה העשירית), שפירושו ביידיש “בגיל תשע ומשהו”.</w:t>
      </w:r>
    </w:p>
  </w:footnote>
  <w:footnote w:id="219">
    <w:p w14:paraId="22C0E24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31 בינואר 1988.</w:t>
      </w:r>
    </w:p>
  </w:footnote>
  <w:footnote w:id="220">
    <w:p w14:paraId="5CB6491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14 לעיל.</w:t>
      </w:r>
    </w:p>
  </w:footnote>
  <w:footnote w:id="221">
    <w:p w14:paraId="581DC14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22 באוגוסט 1995.</w:t>
      </w:r>
    </w:p>
  </w:footnote>
  <w:footnote w:id="222">
    <w:p w14:paraId="088CB22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שלמה </w:t>
      </w:r>
      <w:proofErr w:type="spellStart"/>
      <w:r>
        <w:rPr>
          <w:sz w:val="20"/>
          <w:szCs w:val="20"/>
          <w:rtl/>
        </w:rPr>
        <w:t>גליקסמן</w:t>
      </w:r>
      <w:proofErr w:type="spellEnd"/>
      <w:r>
        <w:rPr>
          <w:sz w:val="20"/>
          <w:szCs w:val="20"/>
          <w:rtl/>
        </w:rPr>
        <w:t>, 6 בדצמבר 1987.</w:t>
      </w:r>
    </w:p>
  </w:footnote>
  <w:footnote w:id="223">
    <w:p w14:paraId="189BA1E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רש״י דברים ו:ז שהרב קרוי אב.</w:t>
      </w:r>
    </w:p>
  </w:footnote>
  <w:footnote w:id="224">
    <w:p w14:paraId="259F71B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נמסר ב־16 בדצמבר 1987 מפי ר׳ פלטיאל בנדר, שנכח כשאחיו ראיין את רבנו.</w:t>
      </w:r>
    </w:p>
  </w:footnote>
  <w:footnote w:id="225">
    <w:p w14:paraId="70DB306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מתוך קלטת זיכרונות שהכין ר׳ אהרן </w:t>
      </w:r>
      <w:proofErr w:type="spellStart"/>
      <w:r>
        <w:rPr>
          <w:sz w:val="20"/>
          <w:szCs w:val="20"/>
          <w:rtl/>
        </w:rPr>
        <w:t>ברפמן</w:t>
      </w:r>
      <w:proofErr w:type="spellEnd"/>
      <w:r>
        <w:rPr>
          <w:sz w:val="20"/>
          <w:szCs w:val="20"/>
          <w:rtl/>
        </w:rPr>
        <w:t xml:space="preserve"> בשבוע של י״ג בטבת תשמ״ח.</w:t>
      </w:r>
    </w:p>
  </w:footnote>
  <w:footnote w:id="226">
    <w:p w14:paraId="23DDE4D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ריאיון עם ר׳ משה </w:t>
      </w:r>
      <w:proofErr w:type="spellStart"/>
      <w:r>
        <w:rPr>
          <w:sz w:val="20"/>
          <w:szCs w:val="20"/>
          <w:rtl/>
        </w:rPr>
        <w:t>שוואב</w:t>
      </w:r>
      <w:proofErr w:type="spellEnd"/>
      <w:r>
        <w:rPr>
          <w:sz w:val="20"/>
          <w:szCs w:val="20"/>
          <w:rtl/>
        </w:rPr>
        <w:t>, 17 בינואר 1988.</w:t>
      </w:r>
    </w:p>
  </w:footnote>
  <w:footnote w:id="227">
    <w:p w14:paraId="12A025A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עם ר׳ מרדכי שיין, 15 בנובמבר 1987.</w:t>
      </w:r>
    </w:p>
  </w:footnote>
  <w:footnote w:id="228">
    <w:p w14:paraId="24D2527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שו״ע</w:t>
      </w:r>
      <w:proofErr w:type="spellEnd"/>
      <w:r>
        <w:rPr>
          <w:sz w:val="20"/>
          <w:szCs w:val="20"/>
          <w:rtl/>
        </w:rPr>
        <w:t xml:space="preserve"> </w:t>
      </w:r>
      <w:proofErr w:type="spellStart"/>
      <w:r>
        <w:rPr>
          <w:sz w:val="20"/>
          <w:szCs w:val="20"/>
          <w:rtl/>
        </w:rPr>
        <w:t>או״ח</w:t>
      </w:r>
      <w:proofErr w:type="spellEnd"/>
      <w:r>
        <w:rPr>
          <w:sz w:val="20"/>
          <w:szCs w:val="20"/>
          <w:rtl/>
        </w:rPr>
        <w:t xml:space="preserve"> סוף סימן תקנ״א.</w:t>
      </w:r>
    </w:p>
  </w:footnote>
  <w:footnote w:id="229">
    <w:p w14:paraId="33B15E7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עם ר׳ ישעיה שכטר (הערה 56 לעיל).</w:t>
      </w:r>
    </w:p>
  </w:footnote>
  <w:footnote w:id="230">
    <w:p w14:paraId="3680E10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4. ריאיון, 8 בפברואר 1988.</w:t>
      </w:r>
    </w:p>
  </w:footnote>
  <w:footnote w:id="231">
    <w:p w14:paraId="0945AA6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7 לעיל.</w:t>
      </w:r>
    </w:p>
  </w:footnote>
  <w:footnote w:id="232">
    <w:p w14:paraId="50A7EC1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סיפורו של ר׳ </w:t>
      </w:r>
      <w:proofErr w:type="spellStart"/>
      <w:r>
        <w:rPr>
          <w:sz w:val="20"/>
          <w:szCs w:val="20"/>
          <w:rtl/>
        </w:rPr>
        <w:t>לייבל</w:t>
      </w:r>
      <w:proofErr w:type="spellEnd"/>
      <w:r>
        <w:rPr>
          <w:sz w:val="20"/>
          <w:szCs w:val="20"/>
          <w:rtl/>
        </w:rPr>
        <w:t xml:space="preserve"> </w:t>
      </w:r>
      <w:proofErr w:type="spellStart"/>
      <w:r>
        <w:rPr>
          <w:sz w:val="20"/>
          <w:szCs w:val="20"/>
          <w:rtl/>
        </w:rPr>
        <w:t>פרלשטיין</w:t>
      </w:r>
      <w:proofErr w:type="spellEnd"/>
      <w:r>
        <w:rPr>
          <w:sz w:val="20"/>
          <w:szCs w:val="20"/>
          <w:rtl/>
        </w:rPr>
        <w:t xml:space="preserve">, לא היה אבי עושה את חשבונו עם המלמד כעבור חצי שנה, בשחייה בשלושת השבועות. ספק גם אם היה נוקם על עונש שהגיע לו ביושר, אחרי שנתפס עושה דבר שלא כהוגן (ונוסף על כך משקר עליו). לפיכך נראה שסיפורו של ר׳ </w:t>
      </w:r>
      <w:proofErr w:type="spellStart"/>
      <w:r>
        <w:rPr>
          <w:sz w:val="20"/>
          <w:szCs w:val="20"/>
          <w:rtl/>
        </w:rPr>
        <w:t>לייבל</w:t>
      </w:r>
      <w:proofErr w:type="spellEnd"/>
      <w:r>
        <w:rPr>
          <w:sz w:val="20"/>
          <w:szCs w:val="20"/>
          <w:rtl/>
        </w:rPr>
        <w:t xml:space="preserve"> </w:t>
      </w:r>
      <w:proofErr w:type="spellStart"/>
      <w:r>
        <w:rPr>
          <w:sz w:val="20"/>
          <w:szCs w:val="20"/>
          <w:rtl/>
        </w:rPr>
        <w:t>פרלשטיין</w:t>
      </w:r>
      <w:proofErr w:type="spellEnd"/>
      <w:r>
        <w:rPr>
          <w:sz w:val="20"/>
          <w:szCs w:val="20"/>
          <w:rtl/>
        </w:rPr>
        <w:t xml:space="preserve"> אינו גרסה אחרת – וסותרת – של המאורע שסופר בתחילת הערה זו, אלא מעשה בפני עצמו. יתר על כן, ייתכן שהמעשה שסיפר ר׳ </w:t>
      </w:r>
      <w:proofErr w:type="spellStart"/>
      <w:r>
        <w:rPr>
          <w:sz w:val="20"/>
          <w:szCs w:val="20"/>
          <w:rtl/>
        </w:rPr>
        <w:t>לייבל</w:t>
      </w:r>
      <w:proofErr w:type="spellEnd"/>
      <w:r>
        <w:rPr>
          <w:sz w:val="20"/>
          <w:szCs w:val="20"/>
          <w:rtl/>
        </w:rPr>
        <w:t xml:space="preserve"> אירע כחצי שנה לפני המאורע האחר, ומשתפס המלמד את הילד הקטן משקר פעם אחת, חשד בו שהוא משקר שוב לפני שלושת השבועות. אבי כעס על שהמלמד לא הבין ש</w:t>
      </w:r>
      <w:r>
        <w:rPr>
          <w:b/>
          <w:bCs/>
          <w:sz w:val="20"/>
          <w:szCs w:val="20"/>
          <w:rtl/>
        </w:rPr>
        <w:t>אחרי שנתפס משקר פעם אחת</w:t>
      </w:r>
      <w:r>
        <w:rPr>
          <w:sz w:val="20"/>
          <w:szCs w:val="20"/>
          <w:rtl/>
        </w:rPr>
        <w:t xml:space="preserve"> החליט שלא לשקר עוד לעולם!</w:t>
      </w:r>
    </w:p>
    <w:p w14:paraId="551A108A" w14:textId="77777777" w:rsidR="00AB3647" w:rsidRDefault="00000000">
      <w:pPr>
        <w:spacing w:after="0" w:before="0"/>
        <w:jc w:val="both"/>
      </w:pPr>
      <w:r>
        <w:rPr>
          <w:sz w:val="20"/>
          <w:szCs w:val="20"/>
          <w:rtl/>
        </w:rPr>
        <w:t xml:space="preserve">משום שבמעשה השני שיקר אבי, סיפר אותו רק </w:t>
      </w:r>
      <w:proofErr w:type="spellStart"/>
      <w:r>
        <w:rPr>
          <w:sz w:val="20"/>
          <w:szCs w:val="20"/>
          <w:rtl/>
        </w:rPr>
        <w:t>לר</w:t>
      </w:r>
      <w:proofErr w:type="spellEnd"/>
      <w:r>
        <w:rPr>
          <w:sz w:val="20"/>
          <w:szCs w:val="20"/>
          <w:rtl/>
        </w:rPr>
        <w:t xml:space="preserve">׳ </w:t>
      </w:r>
      <w:proofErr w:type="spellStart"/>
      <w:r>
        <w:rPr>
          <w:sz w:val="20"/>
          <w:szCs w:val="20"/>
          <w:rtl/>
        </w:rPr>
        <w:t>לייבל</w:t>
      </w:r>
      <w:proofErr w:type="spellEnd"/>
      <w:r>
        <w:rPr>
          <w:sz w:val="20"/>
          <w:szCs w:val="20"/>
          <w:rtl/>
        </w:rPr>
        <w:t xml:space="preserve"> </w:t>
      </w:r>
      <w:proofErr w:type="spellStart"/>
      <w:r>
        <w:rPr>
          <w:sz w:val="20"/>
          <w:szCs w:val="20"/>
          <w:rtl/>
        </w:rPr>
        <w:t>פרלשטיין</w:t>
      </w:r>
      <w:proofErr w:type="spellEnd"/>
      <w:r>
        <w:rPr>
          <w:sz w:val="20"/>
          <w:szCs w:val="20"/>
          <w:rtl/>
        </w:rPr>
        <w:t xml:space="preserve">, “איש סודו” (כמתואר בהערת שוליים </w:t>
      </w:r>
      <w:r>
        <w:rPr>
          <w:sz w:val="20"/>
          <w:szCs w:val="20"/>
          <w:rtl/>
        </w:rPr>
        <w:fldChar w:fldCharType="begin" w:dirty="true"/>
      </w:r>
      <w:r>
        <w:rPr>
          <w:sz w:val="20"/>
          <w:szCs w:val="20"/>
          <w:rtl/>
        </w:rPr>
        <w:instrText xml:space="preserve"> NOTEREF pr_f_70 \h </w:instrText>
      </w:r>
      <w:r>
        <w:rPr>
          <w:sz w:val="20"/>
          <w:szCs w:val="20"/>
          <w:rtl/>
        </w:rPr>
      </w:r>
      <w:r>
        <w:rPr>
          <w:sz w:val="20"/>
          <w:szCs w:val="20"/>
          <w:rtl/>
        </w:rPr>
        <w:fldChar w:fldCharType="separate"/>
      </w:r>
      <w:r w:rsidR="007923E9">
        <w:rPr>
          <w:sz w:val="20"/>
          <w:szCs w:val="20"/>
          <w:rtl/>
        </w:rPr>
        <w:t>15</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pr_f_70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בכרך זה). ר׳ אהרן לסקר (הערת שוליים </w:t>
      </w:r>
      <w:r>
        <w:rPr>
          <w:sz w:val="20"/>
          <w:szCs w:val="20"/>
          <w:rtl/>
        </w:rPr>
        <w:fldChar w:fldCharType="begin" w:dirty="true"/>
      </w:r>
      <w:r>
        <w:rPr>
          <w:sz w:val="20"/>
          <w:szCs w:val="20"/>
          <w:rtl/>
        </w:rPr>
        <w:instrText xml:space="preserve"> NOTEREF pr_f_297 \h </w:instrText>
      </w:r>
      <w:r>
        <w:rPr>
          <w:sz w:val="20"/>
          <w:szCs w:val="20"/>
          <w:rtl/>
        </w:rPr>
      </w:r>
      <w:r>
        <w:rPr>
          <w:sz w:val="20"/>
          <w:szCs w:val="20"/>
          <w:rtl/>
        </w:rPr>
        <w:fldChar w:fldCharType="separate"/>
      </w:r>
      <w:r w:rsidR="007923E9">
        <w:rPr>
          <w:sz w:val="20"/>
          <w:szCs w:val="20"/>
          <w:rtl/>
        </w:rPr>
        <w:t>240</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pr_f_297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מסר ששמע שחשדו באבי שהלך להחליק על הקרח בלילה שלפני איחורו לחדר, ושאחותו אישרה את הכחשתו. נמצא שהמעשה שבו </w:t>
      </w:r>
      <w:r>
        <w:rPr>
          <w:b/>
          <w:bCs/>
          <w:sz w:val="20"/>
          <w:szCs w:val="20"/>
          <w:rtl/>
        </w:rPr>
        <w:t>לא</w:t>
      </w:r>
      <w:r>
        <w:rPr>
          <w:sz w:val="20"/>
          <w:szCs w:val="20"/>
          <w:rtl/>
        </w:rPr>
        <w:t xml:space="preserve"> שיקר אירע בחורף, ולא יכול היה לנקום במלמדו בשחייה.</w:t>
      </w:r>
    </w:p>
    <w:p w14:paraId="63F96F93" w14:textId="77777777" w:rsidR="00AB3647" w:rsidRDefault="00000000">
      <w:pPr>
        <w:spacing w:after="0" w:before="0"/>
        <w:jc w:val="both"/>
      </w:pPr>
      <w:r>
        <w:rPr>
          <w:sz w:val="20"/>
          <w:szCs w:val="20"/>
          <w:rtl/>
        </w:rPr>
        <w:t xml:space="preserve">העובדה שיש גרסאות סותרות עשויה להוכיח שהמעשה המלא לא סופר בבירור משום שהיה בו דבר שצריך להסתיר, כדברי ר׳ </w:t>
      </w:r>
      <w:proofErr w:type="spellStart"/>
      <w:r>
        <w:rPr>
          <w:sz w:val="20"/>
          <w:szCs w:val="20"/>
          <w:rtl/>
        </w:rPr>
        <w:t>לייבל</w:t>
      </w:r>
      <w:proofErr w:type="spellEnd"/>
      <w:r>
        <w:rPr>
          <w:sz w:val="20"/>
          <w:szCs w:val="20"/>
          <w:rtl/>
        </w:rPr>
        <w:t xml:space="preserve"> </w:t>
      </w:r>
      <w:proofErr w:type="spellStart"/>
      <w:r>
        <w:rPr>
          <w:sz w:val="20"/>
          <w:szCs w:val="20"/>
          <w:rtl/>
        </w:rPr>
        <w:t>פרלשטיין</w:t>
      </w:r>
      <w:proofErr w:type="spellEnd"/>
      <w:r>
        <w:rPr>
          <w:sz w:val="20"/>
          <w:szCs w:val="20"/>
          <w:rtl/>
        </w:rPr>
        <w:t xml:space="preserve"> – כלומר, שאבי אכן שיקר במאורע של חורף, ורק נמנע מלשקר עוד במאורע של סוף האביב. אגב, אבי היה תמיד מסייג את דבריו הידועים שמעולם לא הוציא שקר מפיו, ומוסיף: “מיום עומדי על דעתי” (ראה חולין סוף ז׳ ע״ב). ראה גם הערת שוליים </w:t>
      </w:r>
      <w:r>
        <w:rPr>
          <w:sz w:val="20"/>
          <w:szCs w:val="20"/>
          <w:rtl/>
        </w:rPr>
        <w:fldChar w:fldCharType="begin" w:dirty="true"/>
      </w:r>
      <w:r>
        <w:rPr>
          <w:sz w:val="20"/>
          <w:szCs w:val="20"/>
          <w:rtl/>
        </w:rPr>
        <w:instrText xml:space="preserve"> NOTEREF pr_f_441 \h </w:instrText>
      </w:r>
      <w:r>
        <w:rPr>
          <w:sz w:val="20"/>
          <w:szCs w:val="20"/>
          <w:rtl/>
        </w:rPr>
      </w:r>
      <w:r>
        <w:rPr>
          <w:sz w:val="20"/>
          <w:szCs w:val="20"/>
          <w:rtl/>
        </w:rPr>
        <w:fldChar w:fldCharType="separate"/>
      </w:r>
      <w:r w:rsidR="007923E9">
        <w:rPr>
          <w:sz w:val="20"/>
          <w:szCs w:val="20"/>
          <w:rtl/>
        </w:rPr>
        <w:t>75</w:t>
      </w:r>
      <w:r>
        <w:rPr>
          <w:sz w:val="20"/>
          <w:szCs w:val="20"/>
          <w:rtl/>
        </w:rPr>
        <w:fldChar w:fldCharType="end"/>
      </w:r>
      <w:r>
        <w:rPr>
          <w:sz w:val="20"/>
          <w:szCs w:val="20"/>
          <w:rtl/>
        </w:rPr>
        <w:t xml:space="preserve"> (עמ׳ </w:t>
      </w:r>
      <w:r>
        <w:rPr>
          <w:sz w:val="20"/>
          <w:szCs w:val="20"/>
          <w:rtl/>
        </w:rPr>
        <w:fldChar w:fldCharType="begin" w:dirty="true"/>
      </w:r>
      <w:r>
        <w:rPr>
          <w:sz w:val="20"/>
          <w:szCs w:val="20"/>
          <w:rtl/>
        </w:rPr>
        <w:instrText xml:space="preserve"> PAGEREF pr_f_441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233">
    <w:p w14:paraId="733A346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זאב לב סיפר ב־15 באפריל 2002 (כשכתיבת ספר זה הגיעה לסיומה) שאבי אמר לו </w:t>
      </w:r>
      <w:r>
        <w:rPr>
          <w:b/>
          <w:bCs/>
          <w:sz w:val="20"/>
          <w:szCs w:val="20"/>
          <w:rtl/>
        </w:rPr>
        <w:t>בשנת תשל״א</w:t>
      </w:r>
      <w:r>
        <w:rPr>
          <w:sz w:val="20"/>
          <w:szCs w:val="20"/>
          <w:rtl/>
        </w:rPr>
        <w:t xml:space="preserve"> שהפסיק לפסוק פסקים משום ששכח תוספות!</w:t>
      </w:r>
    </w:p>
  </w:footnote>
  <w:footnote w:id="234">
    <w:p w14:paraId="1AF8BFF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26 בספטמבר 1998.</w:t>
      </w:r>
    </w:p>
  </w:footnote>
  <w:footnote w:id="235">
    <w:p w14:paraId="53E82B5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6 בדצמבר 1987.</w:t>
      </w:r>
    </w:p>
  </w:footnote>
  <w:footnote w:id="236">
    <w:p w14:paraId="0CD3513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ועיי’ סוף מסכת מגילה.</w:t>
      </w:r>
    </w:p>
  </w:footnote>
  <w:footnote w:id="237">
    <w:p w14:paraId="21DF960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נמסר שוב ב־9 באוקטובר 1990.</w:t>
      </w:r>
    </w:p>
  </w:footnote>
  <w:footnote w:id="238">
    <w:p w14:paraId="198C603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31 בינואר 1988.</w:t>
      </w:r>
    </w:p>
  </w:footnote>
  <w:footnote w:id="239">
    <w:p w14:paraId="3954029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להלן: רשימות ביוגרפיות.</w:t>
      </w:r>
    </w:p>
  </w:footnote>
  <w:footnote w:id="240">
    <w:p w14:paraId="66F4F25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שופטים ה.</w:t>
      </w:r>
    </w:p>
  </w:footnote>
  <w:footnote w:id="241">
    <w:p w14:paraId="5E01BB0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 בנובמבר 1987.</w:t>
      </w:r>
    </w:p>
  </w:footnote>
  <w:footnote w:id="242">
    <w:p w14:paraId="03703FE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29 בינואר 1988.</w:t>
      </w:r>
    </w:p>
  </w:footnote>
  <w:footnote w:id="243">
    <w:p w14:paraId="0450444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פרק 2, סוף הערה 84, שבה מוזכרים אותו אב ובנו בעניין סיום התיכון.</w:t>
      </w:r>
    </w:p>
  </w:footnote>
  <w:footnote w:id="244">
    <w:p w14:paraId="16583CF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מרץ 1988 (ראה הערה 7 לעיל).</w:t>
      </w:r>
    </w:p>
  </w:footnote>
  <w:footnote w:id="245">
    <w:p w14:paraId="5226F1F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9 במרץ 1993.</w:t>
      </w:r>
    </w:p>
  </w:footnote>
  <w:footnote w:id="246">
    <w:p w14:paraId="3B1E948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והשווה גם הערה 4 בפתיחה.</w:t>
      </w:r>
    </w:p>
  </w:footnote>
  <w:footnote w:id="247">
    <w:p w14:paraId="1F36126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עיין נתיבות עולם למהר״ל, נתיב התורה, פרק י״ד, שכתב: כל דבר שהוא לעמוד על מהות העולם... יש לעמוד עליהם ולהכיר על ידי זה בוראו.</w:t>
      </w:r>
    </w:p>
  </w:footnote>
  <w:footnote w:id="248">
    <w:p w14:paraId="786C0AA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פ״ג מ״ז.</w:t>
      </w:r>
    </w:p>
  </w:footnote>
  <w:footnote w:id="249">
    <w:p w14:paraId="63E256D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אשר </w:t>
      </w:r>
      <w:proofErr w:type="spellStart"/>
      <w:r>
        <w:rPr>
          <w:sz w:val="20"/>
          <w:szCs w:val="20"/>
          <w:rtl/>
        </w:rPr>
        <w:t>קצמן</w:t>
      </w:r>
      <w:proofErr w:type="spellEnd"/>
      <w:r>
        <w:rPr>
          <w:sz w:val="20"/>
          <w:szCs w:val="20"/>
          <w:rtl/>
        </w:rPr>
        <w:t xml:space="preserve">. הוא רשם את השיחות שהיו לו עם אבי בחורפים של תשכ״ה, תשכ״ו, תשל״א </w:t>
      </w:r>
      <w:proofErr w:type="spellStart"/>
      <w:r>
        <w:rPr>
          <w:sz w:val="20"/>
          <w:szCs w:val="20"/>
          <w:rtl/>
        </w:rPr>
        <w:t>ותשל״ח</w:t>
      </w:r>
      <w:proofErr w:type="spellEnd"/>
      <w:r>
        <w:rPr>
          <w:sz w:val="20"/>
          <w:szCs w:val="20"/>
          <w:rtl/>
        </w:rPr>
        <w:t xml:space="preserve">. ועיין ר״ע </w:t>
      </w:r>
      <w:proofErr w:type="spellStart"/>
      <w:r>
        <w:rPr>
          <w:sz w:val="20"/>
          <w:szCs w:val="20"/>
          <w:rtl/>
        </w:rPr>
        <w:t>מברטנורא</w:t>
      </w:r>
      <w:proofErr w:type="spellEnd"/>
      <w:r>
        <w:rPr>
          <w:sz w:val="20"/>
          <w:szCs w:val="20"/>
          <w:rtl/>
        </w:rPr>
        <w:t xml:space="preserve"> על אתר שהמפסיק בירך “שככה לו בעולמו (עפ״י ברכות נ״ח ע״ב)” ומ״מ מתחייב בנפשו, אבל לא קשה על דברי רבנו כי על הנאתו הוא מברך ולא על גדלות הבורא </w:t>
      </w:r>
      <w:proofErr w:type="spellStart"/>
      <w:r>
        <w:rPr>
          <w:sz w:val="20"/>
          <w:szCs w:val="20"/>
          <w:rtl/>
        </w:rPr>
        <w:t>ודו״ק</w:t>
      </w:r>
      <w:proofErr w:type="spellEnd"/>
      <w:r>
        <w:rPr>
          <w:sz w:val="20"/>
          <w:szCs w:val="20"/>
          <w:rtl/>
        </w:rPr>
        <w:t>.</w:t>
      </w:r>
    </w:p>
  </w:footnote>
  <w:footnote w:id="250">
    <w:p w14:paraId="7D2AD87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ספק ערלה בענבים, טבל במיץ, תולעים בקרפיון, חלב עכו״ם בגבינה לבנה, זריקות מפוקפקות בעופות, ובשר שהובא קפוא מעבר לים.</w:t>
      </w:r>
    </w:p>
  </w:footnote>
  <w:footnote w:id="251">
    <w:p w14:paraId="6FBF1CF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תהלים </w:t>
      </w:r>
      <w:proofErr w:type="spellStart"/>
      <w:r>
        <w:rPr>
          <w:sz w:val="20"/>
          <w:szCs w:val="20"/>
          <w:rtl/>
        </w:rPr>
        <w:t>קד:כה</w:t>
      </w:r>
      <w:proofErr w:type="spellEnd"/>
      <w:r>
        <w:rPr>
          <w:sz w:val="20"/>
          <w:szCs w:val="20"/>
          <w:rtl/>
        </w:rPr>
        <w:t>.</w:t>
      </w:r>
    </w:p>
  </w:footnote>
  <w:footnote w:id="252">
    <w:p w14:paraId="11C6A0A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הושע ו:ד.</w:t>
      </w:r>
    </w:p>
  </w:footnote>
  <w:footnote w:id="253">
    <w:p w14:paraId="0C0EACD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4.</w:t>
      </w:r>
    </w:p>
  </w:footnote>
  <w:footnote w:id="254">
    <w:p w14:paraId="2A09A37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מאת אשר ברגמן (בני ברק, תשנ״ט), עמ׳ 119.</w:t>
      </w:r>
    </w:p>
  </w:footnote>
  <w:footnote w:id="255">
    <w:p w14:paraId="4ED0497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4, נספח </w:t>
      </w:r>
      <w:proofErr w:type="spellStart"/>
      <w:r>
        <w:rPr>
          <w:sz w:val="20"/>
          <w:szCs w:val="20"/>
          <w:rtl/>
        </w:rPr>
        <w:t>טז</w:t>
      </w:r>
      <w:proofErr w:type="spellEnd"/>
      <w:r>
        <w:rPr>
          <w:sz w:val="20"/>
          <w:szCs w:val="20"/>
          <w:rtl/>
        </w:rPr>
        <w:t>, וכרך 2.</w:t>
      </w:r>
    </w:p>
  </w:footnote>
  <w:footnote w:id="256">
    <w:p w14:paraId="279F608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8 באוגוסט 1994.</w:t>
      </w:r>
    </w:p>
  </w:footnote>
  <w:footnote w:id="257">
    <w:p w14:paraId="1FCF022C"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שביט האלי התקרב לכדור הארץ במאי 1910 (הקרבה המרבית – 20 במאי). רבנו נולד באדר תרנ״א, ולכן היה אז בן </w:t>
      </w:r>
      <w:proofErr w:type="spellStart"/>
      <w:r>
        <w:rPr>
          <w:sz w:val="20"/>
          <w:szCs w:val="20"/>
          <w:rtl/>
        </w:rPr>
        <w:t>תשע־עשרה</w:t>
      </w:r>
      <w:proofErr w:type="spellEnd"/>
      <w:r>
        <w:rPr>
          <w:sz w:val="20"/>
          <w:szCs w:val="20"/>
          <w:rtl/>
        </w:rPr>
        <w:t>, ולא עשרים ואחת.</w:t>
      </w:r>
    </w:p>
  </w:footnote>
  <w:footnote w:id="258">
    <w:p w14:paraId="2845FB8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ביאר על פי זה באופן חדש את דברי רש״י בבראשית ז:ז שנח מקטני אמנה הי׳, מאמין שיבוא מבול וגם אינו מאמין, שהאמין שמגיע לאנושות </w:t>
      </w:r>
      <w:proofErr w:type="spellStart"/>
      <w:r>
        <w:rPr>
          <w:sz w:val="20"/>
          <w:szCs w:val="20"/>
          <w:rtl/>
        </w:rPr>
        <w:t>להכחד</w:t>
      </w:r>
      <w:proofErr w:type="spellEnd"/>
      <w:r>
        <w:rPr>
          <w:sz w:val="20"/>
          <w:szCs w:val="20"/>
          <w:rtl/>
        </w:rPr>
        <w:t xml:space="preserve"> ע״י מבול אבל חשב שהדור יעשה תשובה לבסוף כשיראו שהגשם מתחיל לרדת, כי אז יחששו שמא סו״ס יהי׳ מבול כמו שנח הלך וצעק כבר מאה ועשרים שנה, וכיון שיעשו תשובה תבוטל הגזירה, ולכן לא נכנס לתיבה עד שדחקוהו המים. (ועי׳ </w:t>
      </w:r>
      <w:proofErr w:type="spellStart"/>
      <w:r>
        <w:rPr>
          <w:sz w:val="20"/>
          <w:szCs w:val="20"/>
          <w:rtl/>
        </w:rPr>
        <w:t>בב״ר</w:t>
      </w:r>
      <w:proofErr w:type="spellEnd"/>
      <w:r>
        <w:rPr>
          <w:sz w:val="20"/>
          <w:szCs w:val="20"/>
          <w:rtl/>
        </w:rPr>
        <w:t xml:space="preserve"> </w:t>
      </w:r>
      <w:proofErr w:type="spellStart"/>
      <w:r>
        <w:rPr>
          <w:sz w:val="20"/>
          <w:szCs w:val="20"/>
          <w:rtl/>
        </w:rPr>
        <w:t>לב:ו</w:t>
      </w:r>
      <w:proofErr w:type="spellEnd"/>
      <w:r>
        <w:rPr>
          <w:sz w:val="20"/>
          <w:szCs w:val="20"/>
          <w:rtl/>
        </w:rPr>
        <w:t xml:space="preserve"> ששם הלשון הוא “נח מחוסר אמנה היה”.)</w:t>
      </w:r>
    </w:p>
  </w:footnote>
  <w:footnote w:id="259">
    <w:p w14:paraId="1D13F13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56 לעיל.</w:t>
      </w:r>
    </w:p>
  </w:footnote>
  <w:footnote w:id="260">
    <w:p w14:paraId="21195D3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כתוצאה ממה שראה הגיע למסקנה הנועזת ששלושת הפרקים הראשונים </w:t>
      </w:r>
      <w:proofErr w:type="spellStart"/>
      <w:r>
        <w:rPr>
          <w:sz w:val="20"/>
          <w:szCs w:val="20"/>
          <w:rtl/>
        </w:rPr>
        <w:t>שב“יד</w:t>
      </w:r>
      <w:proofErr w:type="spellEnd"/>
      <w:r>
        <w:rPr>
          <w:sz w:val="20"/>
          <w:szCs w:val="20"/>
          <w:rtl/>
        </w:rPr>
        <w:t xml:space="preserve"> החזקה” לרמב״ם אינם מיוסדים על מקורות התלמוד, שאין בהם טעות, אלא הם דעותיו של הרמב״ם עצמו. כשהראה לו אחר כך ר׳ יצחק פרמן שר׳ דוד </w:t>
      </w:r>
      <w:proofErr w:type="spellStart"/>
      <w:r>
        <w:rPr>
          <w:sz w:val="20"/>
          <w:szCs w:val="20"/>
          <w:rtl/>
        </w:rPr>
        <w:t>ערמאה</w:t>
      </w:r>
      <w:proofErr w:type="spellEnd"/>
      <w:r>
        <w:rPr>
          <w:sz w:val="20"/>
          <w:szCs w:val="20"/>
          <w:rtl/>
        </w:rPr>
        <w:t xml:space="preserve"> כותב כעין זה בפירושו על הרמב״ם (ראה מהדורת שבתי פרנקל), קרא אבי: “שישו בני מעי!” (ביטוי על פי בבא מציעא פ״ג ע״ב, </w:t>
      </w:r>
      <w:proofErr w:type="spellStart"/>
      <w:r>
        <w:rPr>
          <w:sz w:val="20"/>
          <w:szCs w:val="20"/>
          <w:rtl/>
        </w:rPr>
        <w:t>ועיי״ש</w:t>
      </w:r>
      <w:proofErr w:type="spellEnd"/>
      <w:r>
        <w:rPr>
          <w:sz w:val="20"/>
          <w:szCs w:val="20"/>
          <w:rtl/>
        </w:rPr>
        <w:t>).</w:t>
      </w:r>
    </w:p>
    <w:p w14:paraId="6518D998" w14:textId="77777777" w:rsidR="00AB3647" w:rsidRDefault="00000000">
      <w:pPr>
        <w:spacing w:after="0" w:before="0"/>
        <w:jc w:val="both"/>
      </w:pPr>
      <w:r>
        <w:rPr>
          <w:sz w:val="20"/>
          <w:szCs w:val="20"/>
          <w:rtl/>
        </w:rPr>
        <w:t xml:space="preserve">והשווה גם את ספרו של רבנו “עיונים במקרא” (יצא לאור ע״י בני המחבר, </w:t>
      </w:r>
      <w:proofErr w:type="spellStart"/>
      <w:r>
        <w:rPr>
          <w:sz w:val="20"/>
          <w:szCs w:val="20"/>
          <w:rtl/>
        </w:rPr>
        <w:t>נוא</w:t>
      </w:r>
      <w:proofErr w:type="spellEnd"/>
      <w:r>
        <w:rPr>
          <w:sz w:val="20"/>
          <w:szCs w:val="20"/>
          <w:rtl/>
        </w:rPr>
        <w:t xml:space="preserve"> יורק </w:t>
      </w:r>
      <w:proofErr w:type="spellStart"/>
      <w:r>
        <w:rPr>
          <w:sz w:val="20"/>
          <w:szCs w:val="20"/>
          <w:rtl/>
        </w:rPr>
        <w:t>תדש״ם</w:t>
      </w:r>
      <w:proofErr w:type="spellEnd"/>
      <w:r>
        <w:rPr>
          <w:sz w:val="20"/>
          <w:szCs w:val="20"/>
          <w:rtl/>
        </w:rPr>
        <w:t>; להלן: “עיונים”), הספר היחיד מכתבי אבי שיצא לאור בחייו. שם, בעמ׳ י, הוא מזכיר את צפייתו בנחיתה על הירח. וראה גם את המהדורה המורחבת של “עיונים במקרא”, הנקראת “אמת ליעקב”, שיצאה לאור ע״י מכון “אמת ליעקב” (</w:t>
      </w:r>
      <w:proofErr w:type="spellStart"/>
      <w:r>
        <w:rPr>
          <w:sz w:val="20"/>
          <w:szCs w:val="20"/>
          <w:rtl/>
        </w:rPr>
        <w:t>נוא</w:t>
      </w:r>
      <w:proofErr w:type="spellEnd"/>
      <w:r>
        <w:rPr>
          <w:sz w:val="20"/>
          <w:szCs w:val="20"/>
          <w:rtl/>
        </w:rPr>
        <w:t xml:space="preserve"> יורק/</w:t>
      </w:r>
      <w:proofErr w:type="spellStart"/>
      <w:r>
        <w:rPr>
          <w:sz w:val="20"/>
          <w:szCs w:val="20"/>
          <w:rtl/>
        </w:rPr>
        <w:t>קליוולנד</w:t>
      </w:r>
      <w:proofErr w:type="spellEnd"/>
      <w:r>
        <w:rPr>
          <w:sz w:val="20"/>
          <w:szCs w:val="20"/>
          <w:rtl/>
        </w:rPr>
        <w:t xml:space="preserve">, תשנ״א) בעריכת </w:t>
      </w:r>
      <w:proofErr w:type="spellStart"/>
      <w:r>
        <w:rPr>
          <w:sz w:val="20"/>
          <w:szCs w:val="20"/>
          <w:rtl/>
        </w:rPr>
        <w:t>נכד־חתנו</w:t>
      </w:r>
      <w:proofErr w:type="spellEnd"/>
      <w:r>
        <w:rPr>
          <w:sz w:val="20"/>
          <w:szCs w:val="20"/>
          <w:rtl/>
        </w:rPr>
        <w:t xml:space="preserve"> של רבנו, דניאל יהודה </w:t>
      </w:r>
      <w:proofErr w:type="spellStart"/>
      <w:r>
        <w:rPr>
          <w:sz w:val="20"/>
          <w:szCs w:val="20"/>
          <w:rtl/>
        </w:rPr>
        <w:t>נוישטט</w:t>
      </w:r>
      <w:proofErr w:type="spellEnd"/>
      <w:r>
        <w:rPr>
          <w:sz w:val="20"/>
          <w:szCs w:val="20"/>
          <w:rtl/>
        </w:rPr>
        <w:t>. שם, בעמ׳ טו–</w:t>
      </w:r>
      <w:proofErr w:type="spellStart"/>
      <w:r>
        <w:rPr>
          <w:sz w:val="20"/>
          <w:szCs w:val="20"/>
          <w:rtl/>
        </w:rPr>
        <w:t>טז</w:t>
      </w:r>
      <w:proofErr w:type="spellEnd"/>
      <w:r>
        <w:rPr>
          <w:sz w:val="20"/>
          <w:szCs w:val="20"/>
          <w:rtl/>
        </w:rPr>
        <w:t>, מובא ביאור נוסף של אבי לגישתו החדשה לפרקים הראשונים של הרמב״ם.</w:t>
      </w:r>
    </w:p>
  </w:footnote>
  <w:footnote w:id="261">
    <w:p w14:paraId="0560904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23 במרץ 1988.</w:t>
      </w:r>
    </w:p>
  </w:footnote>
  <w:footnote w:id="262">
    <w:p w14:paraId="648C01D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8 לעיל.</w:t>
      </w:r>
    </w:p>
  </w:footnote>
  <w:footnote w:id="263">
    <w:p w14:paraId="6A30176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27 במרץ 1988.</w:t>
      </w:r>
    </w:p>
  </w:footnote>
  <w:footnote w:id="264">
    <w:p w14:paraId="51FDE8D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ככל שהצלחתי ללקט מדברי המרואיינים, סיפר אבי זאת בהקשר של יכולתו ללכת בימי שישי דרך ארוכה </w:t>
      </w:r>
      <w:proofErr w:type="spellStart"/>
      <w:r>
        <w:rPr>
          <w:sz w:val="20"/>
          <w:szCs w:val="20"/>
          <w:rtl/>
        </w:rPr>
        <w:t>מלומז׳ה</w:t>
      </w:r>
      <w:proofErr w:type="spellEnd"/>
      <w:r>
        <w:rPr>
          <w:sz w:val="20"/>
          <w:szCs w:val="20"/>
          <w:rtl/>
        </w:rPr>
        <w:t xml:space="preserve"> </w:t>
      </w:r>
      <w:proofErr w:type="spellStart"/>
      <w:r>
        <w:rPr>
          <w:sz w:val="20"/>
          <w:szCs w:val="20"/>
          <w:rtl/>
        </w:rPr>
        <w:t>למישניץ</w:t>
      </w:r>
      <w:proofErr w:type="spellEnd"/>
      <w:r>
        <w:rPr>
          <w:sz w:val="20"/>
          <w:szCs w:val="20"/>
          <w:rtl/>
        </w:rPr>
        <w:t>, שם אכל בשבת בבית הרב. ראה כרך 2 לדיון נוסף בדיוקו של דיווח זה.</w:t>
      </w:r>
    </w:p>
  </w:footnote>
  <w:footnote w:id="265">
    <w:p w14:paraId="14DB2D1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17 בינואר 1988.</w:t>
      </w:r>
    </w:p>
  </w:footnote>
  <w:footnote w:id="266">
    <w:p w14:paraId="375DBE2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6 בינואר 1988.</w:t>
      </w:r>
    </w:p>
  </w:footnote>
  <w:footnote w:id="267">
    <w:p w14:paraId="225475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16 בדצמבר 1987. והשווה גם עירובין כ״א ע״ב.</w:t>
      </w:r>
    </w:p>
  </w:footnote>
  <w:footnote w:id="268">
    <w:p w14:paraId="1D36E8B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ריאיון, 24 באפריל 1987, עם יליד </w:t>
      </w:r>
      <w:proofErr w:type="spellStart"/>
      <w:r>
        <w:rPr>
          <w:sz w:val="20"/>
          <w:szCs w:val="20"/>
          <w:rtl/>
        </w:rPr>
        <w:t>דולהינוב</w:t>
      </w:r>
      <w:proofErr w:type="spellEnd"/>
      <w:r>
        <w:rPr>
          <w:sz w:val="20"/>
          <w:szCs w:val="20"/>
          <w:rtl/>
        </w:rPr>
        <w:t xml:space="preserve">, שמואל </w:t>
      </w:r>
      <w:proofErr w:type="spellStart"/>
      <w:r>
        <w:rPr>
          <w:sz w:val="20"/>
          <w:szCs w:val="20"/>
          <w:rtl/>
        </w:rPr>
        <w:t>אלפרוביץ</w:t>
      </w:r>
      <w:proofErr w:type="spellEnd"/>
      <w:r>
        <w:rPr>
          <w:sz w:val="20"/>
          <w:szCs w:val="20"/>
          <w:rtl/>
        </w:rPr>
        <w:t>׳ מגבעתיים, ישראל, חבר מערכת “אש תמיד”.</w:t>
      </w:r>
    </w:p>
  </w:footnote>
  <w:footnote w:id="269">
    <w:p w14:paraId="5E8AD91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80, 30–32.</w:t>
      </w:r>
    </w:p>
  </w:footnote>
  <w:footnote w:id="270">
    <w:p w14:paraId="0FB7706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(הערת שוליים </w:t>
      </w:r>
      <w:r>
        <w:rPr>
          <w:rStyle w:val="a5"/>
          <w:sz w:val="20"/>
          <w:szCs w:val="20"/>
          <w:vertAlign w:val="baseline"/>
          <w:rtl/>
        </w:rPr>
        <w:fldChar w:fldCharType="begin" w:dirty="true"/>
      </w:r>
      <w:r>
        <w:rPr>
          <w:rStyle w:val="a5"/>
          <w:sz w:val="20"/>
          <w:szCs w:val="20"/>
          <w:vertAlign w:val="baseline"/>
          <w:rtl/>
        </w:rPr>
        <w:instrText xml:space="preserve"> NOTEREF pr_f_105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50</w:t>
      </w:r>
      <w:r>
        <w:rPr>
          <w:rStyle w:val="a5"/>
          <w:sz w:val="20"/>
          <w:szCs w:val="20"/>
          <w:vertAlign w:val="baseline"/>
          <w:rtl/>
        </w:rPr>
        <w:fldChar w:fldCharType="end"/>
      </w:r>
      <w:r>
        <w:rPr>
          <w:rStyle w:val="a5"/>
          <w:sz w:val="20"/>
          <w:szCs w:val="20"/>
          <w:vertAlign w:val="baseline"/>
          <w:rtl/>
        </w:rPr>
        <w:t xml:space="preserve"> בעמ׳ </w:t>
      </w:r>
      <w:r>
        <w:rPr>
          <w:rStyle w:val="a5"/>
          <w:sz w:val="20"/>
          <w:szCs w:val="20"/>
          <w:vertAlign w:val="baseline"/>
          <w:rtl/>
        </w:rPr>
        <w:fldChar w:fldCharType="begin" w:dirty="true"/>
      </w:r>
      <w:r>
        <w:rPr>
          <w:rStyle w:val="a5"/>
          <w:sz w:val="20"/>
          <w:szCs w:val="20"/>
          <w:vertAlign w:val="baseline"/>
          <w:rtl/>
        </w:rPr>
        <w:instrText xml:space="preserve"> PAGEREF pr_f_105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w:t>
      </w:r>
    </w:p>
  </w:footnote>
  <w:footnote w:id="271">
    <w:p w14:paraId="0B5FA42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4.</w:t>
      </w:r>
    </w:p>
  </w:footnote>
  <w:footnote w:id="272">
    <w:p w14:paraId="6F28BD8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7 לעיל.</w:t>
      </w:r>
    </w:p>
  </w:footnote>
  <w:footnote w:id="273">
    <w:p w14:paraId="08FD17E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8 לעיל.</w:t>
      </w:r>
    </w:p>
  </w:footnote>
  <w:footnote w:id="274">
    <w:p w14:paraId="708AC39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8 לעיל.</w:t>
      </w:r>
    </w:p>
  </w:footnote>
  <w:footnote w:id="275">
    <w:p w14:paraId="167F884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ב־1 בדצמבר 1997.</w:t>
      </w:r>
    </w:p>
  </w:footnote>
  <w:footnote w:id="276">
    <w:p w14:paraId="359BB34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95 להלן.</w:t>
      </w:r>
    </w:p>
  </w:footnote>
  <w:footnote w:id="277">
    <w:p w14:paraId="3139A06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אבי לא ראה במאורע זה, שאירע כשמלאו לו זה עתה </w:t>
      </w:r>
      <w:proofErr w:type="spellStart"/>
      <w:r>
        <w:rPr>
          <w:sz w:val="20"/>
          <w:szCs w:val="20"/>
          <w:rtl/>
        </w:rPr>
        <w:t>אחת־עשרה</w:t>
      </w:r>
      <w:proofErr w:type="spellEnd"/>
      <w:r>
        <w:rPr>
          <w:sz w:val="20"/>
          <w:szCs w:val="20"/>
          <w:rtl/>
        </w:rPr>
        <w:t xml:space="preserve"> שנה, ראשיתה של התמכרות (השווה תחילת פרק 5, וההערות). כשהזכיר שלמד אז לעשן, לא בא אלא להמחיש שרכש את “כישוריו” של איכר.</w:t>
      </w:r>
    </w:p>
  </w:footnote>
  <w:footnote w:id="278">
    <w:p w14:paraId="0ACC7C8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“עלייתם ונפילתם של בית </w:t>
      </w:r>
      <w:proofErr w:type="spellStart"/>
      <w:r>
        <w:rPr>
          <w:sz w:val="20"/>
          <w:szCs w:val="20"/>
          <w:rtl/>
        </w:rPr>
        <w:t>רומנוב</w:t>
      </w:r>
      <w:proofErr w:type="spellEnd"/>
      <w:r>
        <w:rPr>
          <w:sz w:val="20"/>
          <w:szCs w:val="20"/>
          <w:rtl/>
        </w:rPr>
        <w:t xml:space="preserve">”, מאת </w:t>
      </w:r>
      <w:proofErr w:type="spellStart"/>
      <w:r>
        <w:rPr>
          <w:sz w:val="20"/>
          <w:szCs w:val="20"/>
          <w:rtl/>
        </w:rPr>
        <w:t>אנטול</w:t>
      </w:r>
      <w:proofErr w:type="spellEnd"/>
      <w:r>
        <w:rPr>
          <w:sz w:val="20"/>
          <w:szCs w:val="20"/>
          <w:rtl/>
        </w:rPr>
        <w:t xml:space="preserve"> ג׳י. מזור (הוצאת ד. ואן </w:t>
      </w:r>
      <w:proofErr w:type="spellStart"/>
      <w:r>
        <w:rPr>
          <w:sz w:val="20"/>
          <w:szCs w:val="20"/>
          <w:rtl/>
        </w:rPr>
        <w:t>נוסטרנד</w:t>
      </w:r>
      <w:proofErr w:type="spellEnd"/>
      <w:r>
        <w:rPr>
          <w:sz w:val="20"/>
          <w:szCs w:val="20"/>
          <w:rtl/>
        </w:rPr>
        <w:t>, פרינסטון, ניו ג׳רזי, 1960).</w:t>
      </w:r>
    </w:p>
  </w:footnote>
  <w:footnote w:id="279">
    <w:p w14:paraId="61D2BF8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 לעיל – כרך א, עמ׳ 131.</w:t>
      </w:r>
    </w:p>
  </w:footnote>
  <w:footnote w:id="280">
    <w:p w14:paraId="6D099DF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עם ר׳ מרדכי שיין (הערה 64 לעיל).</w:t>
      </w:r>
    </w:p>
  </w:footnote>
  <w:footnote w:id="281">
    <w:p w14:paraId="24FEE2D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17 בדצמבר 1987.</w:t>
      </w:r>
    </w:p>
  </w:footnote>
  <w:footnote w:id="282">
    <w:p w14:paraId="6151AD6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צאצאיו של ר׳ </w:t>
      </w:r>
      <w:proofErr w:type="spellStart"/>
      <w:r>
        <w:rPr>
          <w:sz w:val="20"/>
          <w:szCs w:val="20"/>
          <w:rtl/>
        </w:rPr>
        <w:t>שמואל־הירש</w:t>
      </w:r>
      <w:proofErr w:type="spellEnd"/>
      <w:r>
        <w:rPr>
          <w:sz w:val="20"/>
          <w:szCs w:val="20"/>
          <w:rtl/>
        </w:rPr>
        <w:t xml:space="preserve">, שרואיינו ברוסיה בדצמבר 1990, התקשו לקבוע מתי נפטר, והגיעו לשנה המוטעית 1913 – ארבע שנים </w:t>
      </w:r>
      <w:r>
        <w:rPr>
          <w:b/>
          <w:bCs/>
          <w:sz w:val="20"/>
          <w:szCs w:val="20"/>
          <w:rtl/>
        </w:rPr>
        <w:t>לפחות</w:t>
      </w:r>
      <w:r>
        <w:rPr>
          <w:sz w:val="20"/>
          <w:szCs w:val="20"/>
          <w:rtl/>
        </w:rPr>
        <w:t xml:space="preserve"> לפני פטירתו בפועל. אבל הם ידעו בבירור מה עלה בגורל אחוזת </w:t>
      </w:r>
      <w:proofErr w:type="spellStart"/>
      <w:r>
        <w:rPr>
          <w:sz w:val="20"/>
          <w:szCs w:val="20"/>
          <w:rtl/>
        </w:rPr>
        <w:t>קאליסקובקה</w:t>
      </w:r>
      <w:proofErr w:type="spellEnd"/>
      <w:r>
        <w:rPr>
          <w:sz w:val="20"/>
          <w:szCs w:val="20"/>
          <w:rtl/>
        </w:rPr>
        <w:t xml:space="preserve"> המקוצצת. אחרי שעבר ר׳ </w:t>
      </w:r>
      <w:proofErr w:type="spellStart"/>
      <w:r>
        <w:rPr>
          <w:sz w:val="20"/>
          <w:szCs w:val="20"/>
          <w:rtl/>
        </w:rPr>
        <w:t>שמואל־הירש</w:t>
      </w:r>
      <w:proofErr w:type="spellEnd"/>
      <w:r>
        <w:rPr>
          <w:sz w:val="20"/>
          <w:szCs w:val="20"/>
          <w:rtl/>
        </w:rPr>
        <w:t xml:space="preserve"> למינסק, קיבל עליו בנו הבכור, </w:t>
      </w:r>
      <w:proofErr w:type="spellStart"/>
      <w:r>
        <w:rPr>
          <w:sz w:val="20"/>
          <w:szCs w:val="20"/>
          <w:rtl/>
        </w:rPr>
        <w:t>ישראל־יצחק</w:t>
      </w:r>
      <w:proofErr w:type="spellEnd"/>
      <w:r>
        <w:rPr>
          <w:sz w:val="20"/>
          <w:szCs w:val="20"/>
          <w:rtl/>
        </w:rPr>
        <w:t xml:space="preserve">, את ניהול האחוזה. בשנת 1928 קיצצו הבולשביקים את החווה עוד יותר, </w:t>
      </w:r>
      <w:proofErr w:type="spellStart"/>
      <w:r>
        <w:rPr>
          <w:sz w:val="20"/>
          <w:szCs w:val="20"/>
          <w:rtl/>
        </w:rPr>
        <w:t>וישראל־יצחק</w:t>
      </w:r>
      <w:proofErr w:type="spellEnd"/>
      <w:r>
        <w:rPr>
          <w:sz w:val="20"/>
          <w:szCs w:val="20"/>
          <w:rtl/>
        </w:rPr>
        <w:t xml:space="preserve"> עבר </w:t>
      </w:r>
      <w:proofErr w:type="spellStart"/>
      <w:r>
        <w:rPr>
          <w:sz w:val="20"/>
          <w:szCs w:val="20"/>
          <w:rtl/>
        </w:rPr>
        <w:t>לדולהינוב</w:t>
      </w:r>
      <w:proofErr w:type="spellEnd"/>
      <w:r>
        <w:rPr>
          <w:sz w:val="20"/>
          <w:szCs w:val="20"/>
          <w:rtl/>
        </w:rPr>
        <w:t xml:space="preserve">, ומשם היה יוצא לעבודת השדה לפי הצורך. בשנת 1935 עזב את </w:t>
      </w:r>
      <w:proofErr w:type="spellStart"/>
      <w:r>
        <w:rPr>
          <w:sz w:val="20"/>
          <w:szCs w:val="20"/>
          <w:rtl/>
        </w:rPr>
        <w:t>קאליסקובקה</w:t>
      </w:r>
      <w:proofErr w:type="spellEnd"/>
      <w:r>
        <w:rPr>
          <w:sz w:val="20"/>
          <w:szCs w:val="20"/>
          <w:rtl/>
        </w:rPr>
        <w:t xml:space="preserve"> לגמרי ועבר למוסקבה. במלחמת העולם השנייה נהרס כל מה שהיה בחווה, ובכלל זה הטחנה, </w:t>
      </w:r>
      <w:proofErr w:type="spellStart"/>
      <w:r>
        <w:rPr>
          <w:sz w:val="20"/>
          <w:szCs w:val="20"/>
          <w:rtl/>
        </w:rPr>
        <w:t>ו“לא</w:t>
      </w:r>
      <w:proofErr w:type="spellEnd"/>
      <w:r>
        <w:rPr>
          <w:sz w:val="20"/>
          <w:szCs w:val="20"/>
          <w:rtl/>
        </w:rPr>
        <w:t xml:space="preserve"> נשארה אבן על אבן”.</w:t>
      </w:r>
    </w:p>
    <w:p w14:paraId="1576D51D" w14:textId="77777777" w:rsidR="00AB3647" w:rsidRDefault="00000000">
      <w:pPr>
        <w:spacing w:after="0" w:before="0"/>
        <w:jc w:val="both"/>
      </w:pPr>
      <w:r>
        <w:rPr>
          <w:sz w:val="20"/>
          <w:szCs w:val="20"/>
          <w:rtl/>
        </w:rPr>
        <w:t xml:space="preserve">הריאיון במוסקבה, ב־9 בדצמבר 1990, נערך עם ראיה </w:t>
      </w:r>
      <w:proofErr w:type="spellStart"/>
      <w:r>
        <w:rPr>
          <w:sz w:val="20"/>
          <w:szCs w:val="20"/>
          <w:rtl/>
        </w:rPr>
        <w:t>בושקאניץ</w:t>
      </w:r>
      <w:proofErr w:type="spellEnd"/>
      <w:r>
        <w:rPr>
          <w:sz w:val="20"/>
          <w:szCs w:val="20"/>
          <w:rtl/>
        </w:rPr>
        <w:t xml:space="preserve">, נכדתו של ר׳ </w:t>
      </w:r>
      <w:proofErr w:type="spellStart"/>
      <w:r>
        <w:rPr>
          <w:sz w:val="20"/>
          <w:szCs w:val="20"/>
          <w:rtl/>
        </w:rPr>
        <w:t>שמואל־הירש</w:t>
      </w:r>
      <w:proofErr w:type="spellEnd"/>
      <w:r>
        <w:rPr>
          <w:sz w:val="20"/>
          <w:szCs w:val="20"/>
          <w:rtl/>
        </w:rPr>
        <w:t xml:space="preserve"> מבתו מלכה (השווה הערה 29 לעיל); הריאיון במינסק, ב־7 בדצמבר 1990, נערך עם </w:t>
      </w:r>
      <w:proofErr w:type="spellStart"/>
      <w:r>
        <w:rPr>
          <w:sz w:val="20"/>
          <w:szCs w:val="20"/>
          <w:rtl/>
        </w:rPr>
        <w:t>סימיון</w:t>
      </w:r>
      <w:proofErr w:type="spellEnd"/>
      <w:r>
        <w:rPr>
          <w:sz w:val="20"/>
          <w:szCs w:val="20"/>
          <w:rtl/>
        </w:rPr>
        <w:t xml:space="preserve"> </w:t>
      </w:r>
      <w:proofErr w:type="spellStart"/>
      <w:r>
        <w:rPr>
          <w:sz w:val="20"/>
          <w:szCs w:val="20"/>
          <w:rtl/>
        </w:rPr>
        <w:t>סולוביו</w:t>
      </w:r>
      <w:proofErr w:type="spellEnd"/>
      <w:r>
        <w:rPr>
          <w:sz w:val="20"/>
          <w:szCs w:val="20"/>
          <w:rtl/>
        </w:rPr>
        <w:t xml:space="preserve"> (ששמו המקורי </w:t>
      </w:r>
      <w:proofErr w:type="spellStart"/>
      <w:r>
        <w:rPr>
          <w:sz w:val="20"/>
          <w:szCs w:val="20"/>
          <w:rtl/>
        </w:rPr>
        <w:t>שמואל־הירש</w:t>
      </w:r>
      <w:proofErr w:type="spellEnd"/>
      <w:r>
        <w:rPr>
          <w:sz w:val="20"/>
          <w:szCs w:val="20"/>
          <w:rtl/>
        </w:rPr>
        <w:t xml:space="preserve"> </w:t>
      </w:r>
      <w:proofErr w:type="spellStart"/>
      <w:r>
        <w:rPr>
          <w:sz w:val="20"/>
          <w:szCs w:val="20"/>
          <w:rtl/>
        </w:rPr>
        <w:t>סולובייצ׳יק</w:t>
      </w:r>
      <w:proofErr w:type="spellEnd"/>
      <w:r>
        <w:rPr>
          <w:sz w:val="20"/>
          <w:szCs w:val="20"/>
          <w:rtl/>
        </w:rPr>
        <w:t xml:space="preserve">), נכדו של </w:t>
      </w:r>
      <w:proofErr w:type="spellStart"/>
      <w:r>
        <w:rPr>
          <w:sz w:val="20"/>
          <w:szCs w:val="20"/>
          <w:rtl/>
        </w:rPr>
        <w:t>ישראל־יצחק</w:t>
      </w:r>
      <w:proofErr w:type="spellEnd"/>
      <w:r>
        <w:rPr>
          <w:sz w:val="20"/>
          <w:szCs w:val="20"/>
          <w:rtl/>
        </w:rPr>
        <w:t xml:space="preserve"> מבתו שיינה. על גורלו של </w:t>
      </w:r>
      <w:proofErr w:type="spellStart"/>
      <w:r>
        <w:rPr>
          <w:sz w:val="20"/>
          <w:szCs w:val="20"/>
          <w:rtl/>
        </w:rPr>
        <w:t>ישראל־יצחק</w:t>
      </w:r>
      <w:proofErr w:type="spellEnd"/>
      <w:r>
        <w:rPr>
          <w:sz w:val="20"/>
          <w:szCs w:val="20"/>
          <w:rtl/>
        </w:rPr>
        <w:t xml:space="preserve"> במלחמת העולם השנייה השווה הערה 18 לעיל.</w:t>
      </w:r>
    </w:p>
  </w:footnote>
  <w:footnote w:id="283">
    <w:p w14:paraId="0ADA7AF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סוף הפסקה השלישית מן הסוף בפרק 2.2.</w:t>
      </w:r>
    </w:p>
  </w:footnote>
  <w:footnote w:id="284">
    <w:p w14:paraId="7AAB85B4" w14:textId="77777777" w:rsidR="00AB3647" w:rsidRDefault="00000000">
      <w:pPr>
        <w:spacing w:after="0" w:before="0"/>
        <w:jc w:val="both"/>
        <w:rPr>
          <w:rFonts w:hint="cs"/>
          <w:rtl/>
        </w:rPr>
      </w:pPr>
      <w:r>
        <w:rPr>
          <w:rStyle w:val="a5"/>
          <w:sz w:val="20"/>
          <w:szCs w:val="20"/>
          <w:vertAlign w:val="baseline"/>
        </w:rPr>
        <w:footnoteRef/>
      </w:r>
      <w:r>
        <w:rPr>
          <w:rStyle w:val="a5"/>
          <w:sz w:val="20"/>
          <w:szCs w:val="20"/>
          <w:vertAlign w:val="baseline"/>
          <w:rtl/>
        </w:rPr>
        <w:t xml:space="preserve">. </w:t>
      </w:r>
      <w:r>
        <w:rPr>
          <w:sz w:val="20"/>
          <w:szCs w:val="20"/>
          <w:rtl/>
        </w:rPr>
        <w:t>הדודה דבורה, הערה 8 לעיל.</w:t>
      </w:r>
    </w:p>
  </w:footnote>
  <w:footnote w:id="285">
    <w:p w14:paraId="21354AE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41 לעיל.</w:t>
      </w:r>
    </w:p>
  </w:footnote>
  <w:footnote w:id="286">
    <w:p w14:paraId="1486FA7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שמע מאבי חתנו ר׳ הירש </w:t>
      </w:r>
      <w:proofErr w:type="spellStart"/>
      <w:r>
        <w:rPr>
          <w:sz w:val="20"/>
          <w:szCs w:val="20"/>
          <w:rtl/>
        </w:rPr>
        <w:t>דיסקינד</w:t>
      </w:r>
      <w:proofErr w:type="spellEnd"/>
      <w:r>
        <w:rPr>
          <w:sz w:val="20"/>
          <w:szCs w:val="20"/>
          <w:rtl/>
        </w:rPr>
        <w:t>, כפי שמסר בנו, ר׳ פסח, ב־22 בנובמבר 1987. והשווה גם הערה 68 לעיל.</w:t>
      </w:r>
    </w:p>
  </w:footnote>
  <w:footnote w:id="287">
    <w:p w14:paraId="1942DDA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32 לעיל.</w:t>
      </w:r>
    </w:p>
  </w:footnote>
  <w:footnote w:id="288">
    <w:p w14:paraId="353E1B4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בעניין התוכנית האוניברסיטאית חלק אבי על ר׳ אהרן – כך לפי ריאיון עם ר׳ נפתלי </w:t>
      </w:r>
      <w:proofErr w:type="spellStart"/>
      <w:r>
        <w:rPr>
          <w:sz w:val="20"/>
          <w:szCs w:val="20"/>
          <w:rtl/>
        </w:rPr>
        <w:t>נויבערגר</w:t>
      </w:r>
      <w:proofErr w:type="spellEnd"/>
      <w:r>
        <w:rPr>
          <w:sz w:val="20"/>
          <w:szCs w:val="20"/>
          <w:rtl/>
        </w:rPr>
        <w:t xml:space="preserve">, גיסו של ר׳ </w:t>
      </w:r>
      <w:proofErr w:type="spellStart"/>
      <w:r>
        <w:rPr>
          <w:sz w:val="20"/>
          <w:szCs w:val="20"/>
          <w:rtl/>
        </w:rPr>
        <w:t>יעקב־יצחק</w:t>
      </w:r>
      <w:proofErr w:type="spellEnd"/>
      <w:r>
        <w:rPr>
          <w:sz w:val="20"/>
          <w:szCs w:val="20"/>
          <w:rtl/>
        </w:rPr>
        <w:t xml:space="preserve"> </w:t>
      </w:r>
      <w:proofErr w:type="spellStart"/>
      <w:r>
        <w:rPr>
          <w:sz w:val="20"/>
          <w:szCs w:val="20"/>
          <w:rtl/>
        </w:rPr>
        <w:t>רודרמן</w:t>
      </w:r>
      <w:proofErr w:type="spellEnd"/>
      <w:r>
        <w:rPr>
          <w:sz w:val="20"/>
          <w:szCs w:val="20"/>
          <w:rtl/>
        </w:rPr>
        <w:t xml:space="preserve"> ומנהל נר ישראל, ב־14 בנובמבר 1987 – וכמוהו גם אגודת הרבנים, שהייתה אז רבת השפעה. ביוזמת נשיאה, ר׳ לייזר </w:t>
      </w:r>
      <w:proofErr w:type="spellStart"/>
      <w:r>
        <w:rPr>
          <w:sz w:val="20"/>
          <w:szCs w:val="20"/>
          <w:rtl/>
        </w:rPr>
        <w:t>סילבר</w:t>
      </w:r>
      <w:proofErr w:type="spellEnd"/>
      <w:r>
        <w:rPr>
          <w:sz w:val="20"/>
          <w:szCs w:val="20"/>
          <w:rtl/>
        </w:rPr>
        <w:t xml:space="preserve">, שוכנע ר׳ אהרן לגנוז את התוכחה על נר ישראל (ראה גם הערת שוליים </w:t>
      </w:r>
      <w:r>
        <w:rPr>
          <w:sz w:val="20"/>
          <w:szCs w:val="20"/>
          <w:rtl/>
        </w:rPr>
        <w:fldChar w:fldCharType="begin" w:dirty="true"/>
      </w:r>
      <w:r>
        <w:rPr>
          <w:sz w:val="20"/>
          <w:szCs w:val="20"/>
          <w:rtl/>
        </w:rPr>
        <w:instrText xml:space="preserve"> NOTEREF pr_f_3006 \h </w:instrText>
      </w:r>
      <w:r>
        <w:rPr>
          <w:sz w:val="20"/>
          <w:szCs w:val="20"/>
          <w:rtl/>
        </w:rPr>
      </w:r>
      <w:r>
        <w:rPr>
          <w:sz w:val="20"/>
          <w:szCs w:val="20"/>
          <w:rtl/>
        </w:rPr>
        <w:fldChar w:fldCharType="separate"/>
      </w:r>
      <w:r w:rsidR="007923E9">
        <w:rPr>
          <w:sz w:val="20"/>
          <w:szCs w:val="20"/>
          <w:rtl/>
        </w:rPr>
        <w:t>83</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pr_f_3006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אבל מחלוקתו של רבנו עם הרב קוטלר הייתה רק בשאלה אם לפרסם את הביקורת; בעצם העניין הסכים שהתוכנית אסורה.</w:t>
      </w:r>
    </w:p>
    <w:p w14:paraId="2AA90A79" w14:textId="77777777" w:rsidR="00AB3647" w:rsidRDefault="00000000">
      <w:pPr>
        <w:spacing w:after="0" w:before="0"/>
        <w:jc w:val="both"/>
      </w:pPr>
      <w:r>
        <w:rPr>
          <w:sz w:val="20"/>
          <w:szCs w:val="20"/>
          <w:rtl/>
        </w:rPr>
        <w:t xml:space="preserve">הדבר נתגלה כשחתנו הצעיר של רבנו, ר׳ הירש </w:t>
      </w:r>
      <w:proofErr w:type="spellStart"/>
      <w:r>
        <w:rPr>
          <w:sz w:val="20"/>
          <w:szCs w:val="20"/>
          <w:rtl/>
        </w:rPr>
        <w:t>דיסקינד</w:t>
      </w:r>
      <w:proofErr w:type="spellEnd"/>
      <w:r>
        <w:rPr>
          <w:sz w:val="20"/>
          <w:szCs w:val="20"/>
          <w:rtl/>
        </w:rPr>
        <w:t xml:space="preserve">, מסר ב־18 במרץ 1998 שכמה ימים קודם לכן סיפר לו ר׳ אברהם </w:t>
      </w:r>
      <w:proofErr w:type="spellStart"/>
      <w:r>
        <w:rPr>
          <w:sz w:val="20"/>
          <w:szCs w:val="20"/>
          <w:rtl/>
        </w:rPr>
        <w:t>הורוויץ</w:t>
      </w:r>
      <w:proofErr w:type="spellEnd"/>
      <w:r>
        <w:rPr>
          <w:sz w:val="20"/>
          <w:szCs w:val="20"/>
          <w:rtl/>
        </w:rPr>
        <w:t xml:space="preserve">, חברותא של ר׳ </w:t>
      </w:r>
      <w:proofErr w:type="spellStart"/>
      <w:r>
        <w:rPr>
          <w:sz w:val="20"/>
          <w:szCs w:val="20"/>
          <w:rtl/>
        </w:rPr>
        <w:t>יעקב־ישראל</w:t>
      </w:r>
      <w:proofErr w:type="spellEnd"/>
      <w:r>
        <w:rPr>
          <w:sz w:val="20"/>
          <w:szCs w:val="20"/>
          <w:rtl/>
        </w:rPr>
        <w:t xml:space="preserve"> </w:t>
      </w:r>
      <w:proofErr w:type="spellStart"/>
      <w:r>
        <w:rPr>
          <w:sz w:val="20"/>
          <w:szCs w:val="20"/>
          <w:rtl/>
        </w:rPr>
        <w:t>קניבסקי</w:t>
      </w:r>
      <w:proofErr w:type="spellEnd"/>
      <w:r>
        <w:rPr>
          <w:sz w:val="20"/>
          <w:szCs w:val="20"/>
          <w:rtl/>
        </w:rPr>
        <w:t xml:space="preserve"> (הסטייפלר</w:t>
      </w:r>
      <w:proofErr w:type="spellStart"/>
      <w:r>
        <w:rPr>
          <w:sz w:val="20"/>
          <w:szCs w:val="20"/>
          <w:rtl/>
        </w:rPr>
        <w:t xml:space="preserve"/>
      </w:r>
      <w:proofErr w:type="spellEnd"/>
      <w:r>
        <w:rPr>
          <w:sz w:val="20"/>
          <w:szCs w:val="20"/>
          <w:rtl/>
        </w:rPr>
        <w:t xml:space="preserve">) במשך שלושים וחמש שנה, שהיה נוכח כשביקר אבי אצל הרב </w:t>
      </w:r>
      <w:proofErr w:type="spellStart"/>
      <w:r>
        <w:rPr>
          <w:sz w:val="20"/>
          <w:szCs w:val="20"/>
          <w:rtl/>
        </w:rPr>
        <w:t>קניבסקי</w:t>
      </w:r>
      <w:proofErr w:type="spellEnd"/>
      <w:r>
        <w:rPr>
          <w:sz w:val="20"/>
          <w:szCs w:val="20"/>
          <w:rtl/>
        </w:rPr>
        <w:t xml:space="preserve"> בביקורו הראשון בארץ ישראל, בשנת תשט״ז, ושימש מתווך למארח, שהיה כמעט חירש. הם דנו בעניין, והסטייפלר</w:t>
      </w:r>
      <w:proofErr w:type="spellStart"/>
      <w:r>
        <w:rPr>
          <w:sz w:val="20"/>
          <w:szCs w:val="20"/>
          <w:rtl/>
        </w:rPr>
        <w:t xml:space="preserve"/>
      </w:r>
      <w:proofErr w:type="spellEnd"/>
      <w:r>
        <w:rPr>
          <w:sz w:val="20"/>
          <w:szCs w:val="20"/>
          <w:rtl/>
        </w:rPr>
        <w:t xml:space="preserve"> הסכים עם אבי שתוכנית כזו אינה מותרת.</w:t>
      </w:r>
    </w:p>
  </w:footnote>
  <w:footnote w:id="289">
    <w:p w14:paraId="320386B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אמו</w:t>
      </w:r>
      <w:proofErr w:type="spellEnd"/>
      <w:r>
        <w:rPr>
          <w:sz w:val="20"/>
          <w:szCs w:val="20"/>
          <w:rtl/>
        </w:rPr>
        <w:t xml:space="preserve"> של ר׳ </w:t>
      </w:r>
      <w:proofErr w:type="spellStart"/>
      <w:r>
        <w:rPr>
          <w:sz w:val="20"/>
          <w:szCs w:val="20"/>
          <w:rtl/>
        </w:rPr>
        <w:t>יעקב־יצחק</w:t>
      </w:r>
      <w:proofErr w:type="spellEnd"/>
      <w:r>
        <w:rPr>
          <w:sz w:val="20"/>
          <w:szCs w:val="20"/>
          <w:rtl/>
        </w:rPr>
        <w:t xml:space="preserve"> נפטרה כשהיה ילד קטן, לפי דברי אבי שמסר ר׳ ישראל </w:t>
      </w:r>
      <w:proofErr w:type="spellStart"/>
      <w:r>
        <w:rPr>
          <w:sz w:val="20"/>
          <w:szCs w:val="20"/>
          <w:rtl/>
        </w:rPr>
        <w:t>בלסקי</w:t>
      </w:r>
      <w:proofErr w:type="spellEnd"/>
      <w:r>
        <w:rPr>
          <w:sz w:val="20"/>
          <w:szCs w:val="20"/>
          <w:rtl/>
        </w:rPr>
        <w:t>, 13 במרץ 1988.</w:t>
      </w:r>
    </w:p>
  </w:footnote>
  <w:footnote w:id="290">
    <w:p w14:paraId="4C54149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מתוך רשימות פרטיות של ר׳ משה גרוסמן משיחה עם ר׳ </w:t>
      </w:r>
      <w:proofErr w:type="spellStart"/>
      <w:r>
        <w:rPr>
          <w:sz w:val="20"/>
          <w:szCs w:val="20"/>
          <w:rtl/>
        </w:rPr>
        <w:t>יעקב־יצחק</w:t>
      </w:r>
      <w:proofErr w:type="spellEnd"/>
      <w:r>
        <w:rPr>
          <w:sz w:val="20"/>
          <w:szCs w:val="20"/>
          <w:rtl/>
        </w:rPr>
        <w:t xml:space="preserve"> </w:t>
      </w:r>
      <w:proofErr w:type="spellStart"/>
      <w:r>
        <w:rPr>
          <w:sz w:val="20"/>
          <w:szCs w:val="20"/>
          <w:rtl/>
        </w:rPr>
        <w:t>רודרמן</w:t>
      </w:r>
      <w:proofErr w:type="spellEnd"/>
      <w:r>
        <w:rPr>
          <w:sz w:val="20"/>
          <w:szCs w:val="20"/>
          <w:rtl/>
        </w:rPr>
        <w:t xml:space="preserve"> בז׳ באב תשמ״א, ועמ׳ 12–13 במאמר הזיכרון </w:t>
      </w:r>
      <w:proofErr w:type="spellStart"/>
      <w:r>
        <w:rPr>
          <w:sz w:val="20"/>
          <w:szCs w:val="20"/>
          <w:rtl/>
        </w:rPr>
        <w:t>בג׳ואיש</w:t>
      </w:r>
      <w:proofErr w:type="spellEnd"/>
      <w:r>
        <w:rPr>
          <w:sz w:val="20"/>
          <w:szCs w:val="20"/>
          <w:rtl/>
        </w:rPr>
        <w:t xml:space="preserve"> </w:t>
      </w:r>
      <w:proofErr w:type="spellStart"/>
      <w:r>
        <w:rPr>
          <w:sz w:val="20"/>
          <w:szCs w:val="20"/>
          <w:rtl/>
        </w:rPr>
        <w:t>אובזרבר</w:t>
      </w:r>
      <w:proofErr w:type="spellEnd"/>
      <w:r>
        <w:rPr>
          <w:sz w:val="20"/>
          <w:szCs w:val="20"/>
          <w:rtl/>
        </w:rPr>
        <w:t xml:space="preserve"> המובא בהערת שוליים </w:t>
      </w:r>
      <w:r>
        <w:rPr>
          <w:sz w:val="20"/>
          <w:szCs w:val="20"/>
          <w:rtl/>
        </w:rPr>
        <w:fldChar w:fldCharType="begin" w:dirty="true"/>
      </w:r>
      <w:r>
        <w:rPr>
          <w:sz w:val="20"/>
          <w:szCs w:val="20"/>
          <w:rtl/>
        </w:rPr>
        <w:instrText xml:space="preserve"> NOTEREF pr_f_293 \h </w:instrText>
      </w:r>
      <w:r>
        <w:rPr>
          <w:sz w:val="20"/>
          <w:szCs w:val="20"/>
          <w:rtl/>
        </w:rPr>
      </w:r>
      <w:r>
        <w:rPr>
          <w:sz w:val="20"/>
          <w:szCs w:val="20"/>
          <w:rtl/>
        </w:rPr>
        <w:fldChar w:fldCharType="separate"/>
      </w:r>
      <w:r w:rsidR="007923E9">
        <w:rPr>
          <w:sz w:val="20"/>
          <w:szCs w:val="20"/>
          <w:rtl/>
        </w:rPr>
        <w:t>236</w:t>
      </w:r>
      <w:r>
        <w:rPr>
          <w:sz w:val="20"/>
          <w:szCs w:val="20"/>
          <w:rtl/>
        </w:rPr>
        <w:fldChar w:fldCharType="end"/>
      </w:r>
      <w:r>
        <w:rPr>
          <w:sz w:val="20"/>
          <w:szCs w:val="20"/>
          <w:rtl/>
        </w:rPr>
        <w:t xml:space="preserve"> בסוף נספח ג בפרק זה.</w:t>
      </w:r>
    </w:p>
  </w:footnote>
  <w:footnote w:id="291">
    <w:p w14:paraId="50A7A7B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22 באוקטובר 1987.</w:t>
      </w:r>
    </w:p>
  </w:footnote>
  <w:footnote w:id="292">
    <w:p w14:paraId="4ADA322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הוצאת </w:t>
      </w:r>
      <w:proofErr w:type="spellStart"/>
      <w:r>
        <w:rPr>
          <w:sz w:val="20"/>
          <w:szCs w:val="20"/>
          <w:rtl/>
        </w:rPr>
        <w:t>ארטסקרול־מסורה</w:t>
      </w:r>
      <w:proofErr w:type="spellEnd"/>
      <w:r>
        <w:rPr>
          <w:sz w:val="20"/>
          <w:szCs w:val="20"/>
          <w:rtl/>
        </w:rPr>
        <w:t>, ניו יורק, 1988 – עמ׳ 422.</w:t>
      </w:r>
    </w:p>
  </w:footnote>
  <w:footnote w:id="293">
    <w:p w14:paraId="2FC2189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12 באפריל 1994.</w:t>
      </w:r>
    </w:p>
  </w:footnote>
  <w:footnote w:id="294">
    <w:p w14:paraId="44365BA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זהו נוסח תחילת הקדיש.</w:t>
      </w:r>
    </w:p>
  </w:footnote>
  <w:footnote w:id="295">
    <w:p w14:paraId="7468019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מאת הרב </w:t>
      </w:r>
      <w:proofErr w:type="spellStart"/>
      <w:r>
        <w:rPr>
          <w:sz w:val="20"/>
          <w:szCs w:val="20"/>
          <w:rtl/>
        </w:rPr>
        <w:t>צבי־זאב</w:t>
      </w:r>
      <w:proofErr w:type="spellEnd"/>
      <w:r>
        <w:rPr>
          <w:sz w:val="20"/>
          <w:szCs w:val="20"/>
          <w:rtl/>
        </w:rPr>
        <w:t xml:space="preserve"> ארם (הוצאת מסורה, ברוקלין, ניו יורק, 1987) (להלן: סיפור ר׳ </w:t>
      </w:r>
      <w:proofErr w:type="spellStart"/>
      <w:r>
        <w:rPr>
          <w:sz w:val="20"/>
          <w:szCs w:val="20"/>
          <w:rtl/>
        </w:rPr>
        <w:t>ברוך־בער</w:t>
      </w:r>
      <w:proofErr w:type="spellEnd"/>
      <w:r>
        <w:rPr>
          <w:sz w:val="20"/>
          <w:szCs w:val="20"/>
          <w:rtl/>
        </w:rPr>
        <w:t>) – עמ׳ 99.</w:t>
      </w:r>
    </w:p>
  </w:footnote>
  <w:footnote w:id="296">
    <w:p w14:paraId="551206D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19 באוקטובר 1991.</w:t>
      </w:r>
    </w:p>
  </w:footnote>
  <w:footnote w:id="297">
    <w:p w14:paraId="2F9CA7F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עיונים (הערה 73 לעיל), בראשית ב:יט.</w:t>
      </w:r>
    </w:p>
  </w:footnote>
  <w:footnote w:id="298">
    <w:p w14:paraId="27E57ED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דברי פי חכם חן, קהלת י:יב.</w:t>
      </w:r>
    </w:p>
  </w:footnote>
  <w:footnote w:id="299">
    <w:p w14:paraId="2A40919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סוף הערה 13 לעיל.</w:t>
      </w:r>
    </w:p>
  </w:footnote>
  <w:footnote w:id="300">
    <w:p w14:paraId="0A1F301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כבהערה 7 לעיל. והשווה גם הערה 87 לעיל.</w:t>
      </w:r>
    </w:p>
  </w:footnote>
  <w:footnote w:id="301">
    <w:p w14:paraId="6985C0F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יצחק </w:t>
      </w:r>
      <w:proofErr w:type="spellStart"/>
      <w:r>
        <w:rPr>
          <w:sz w:val="20"/>
          <w:szCs w:val="20"/>
          <w:rtl/>
        </w:rPr>
        <w:t>קנובל</w:t>
      </w:r>
      <w:proofErr w:type="spellEnd"/>
      <w:r>
        <w:rPr>
          <w:sz w:val="20"/>
          <w:szCs w:val="20"/>
          <w:rtl/>
        </w:rPr>
        <w:t>, ריאיון, 21 בדצמבר 1987. וראה גם כרך 2.</w:t>
      </w:r>
    </w:p>
  </w:footnote>
  <w:footnote w:id="302">
    <w:p w14:paraId="4B47D9C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רובין, “אש תמיד”, עמ׳ 135.</w:t>
      </w:r>
    </w:p>
  </w:footnote>
  <w:footnote w:id="303">
    <w:p w14:paraId="1E7AADA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8 לעיל.</w:t>
      </w:r>
    </w:p>
  </w:footnote>
  <w:footnote w:id="304">
    <w:p w14:paraId="63643A3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השווה (הערת שוליים </w:t>
      </w:r>
      <w:r>
        <w:rPr>
          <w:rStyle w:val="a5"/>
          <w:sz w:val="20"/>
          <w:szCs w:val="20"/>
          <w:vertAlign w:val="baseline"/>
          <w:rtl/>
        </w:rPr>
        <w:fldChar w:fldCharType="begin" w:dirty="true"/>
      </w:r>
      <w:r>
        <w:rPr>
          <w:rStyle w:val="a5"/>
          <w:sz w:val="20"/>
          <w:szCs w:val="20"/>
          <w:vertAlign w:val="baseline"/>
          <w:rtl/>
        </w:rPr>
        <w:instrText xml:space="preserve"> NOTEREF pr_f_287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230</w:t>
      </w:r>
      <w:r>
        <w:rPr>
          <w:rStyle w:val="a5"/>
          <w:sz w:val="20"/>
          <w:szCs w:val="20"/>
          <w:vertAlign w:val="baseline"/>
          <w:rtl/>
        </w:rPr>
        <w:fldChar w:fldCharType="end"/>
      </w:r>
      <w:r>
        <w:rPr>
          <w:rStyle w:val="a5"/>
          <w:sz w:val="20"/>
          <w:szCs w:val="20"/>
          <w:vertAlign w:val="baseline"/>
          <w:rtl/>
        </w:rPr>
        <w:t xml:space="preserve"> בעמ׳ </w:t>
      </w:r>
      <w:r>
        <w:rPr>
          <w:rStyle w:val="a5"/>
          <w:sz w:val="20"/>
          <w:szCs w:val="20"/>
          <w:vertAlign w:val="baseline"/>
          <w:rtl/>
        </w:rPr>
        <w:fldChar w:fldCharType="begin" w:dirty="true"/>
      </w:r>
      <w:r>
        <w:rPr>
          <w:rStyle w:val="a5"/>
          <w:sz w:val="20"/>
          <w:szCs w:val="20"/>
          <w:vertAlign w:val="baseline"/>
          <w:rtl/>
        </w:rPr>
        <w:instrText xml:space="preserve"> PAGEREF pr_f_287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 xml:space="preserve"> בכרך זה</w:t>
      </w:r>
      <w:r>
        <w:rPr>
          <w:sz w:val="20"/>
          <w:szCs w:val="20"/>
          <w:rtl/>
        </w:rPr>
        <w:t>).</w:t>
      </w:r>
    </w:p>
  </w:footnote>
  <w:footnote w:id="305">
    <w:p w14:paraId="1719BDA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בערך ב־7 בינואר 1989.</w:t>
      </w:r>
    </w:p>
  </w:footnote>
  <w:footnote w:id="306">
    <w:p w14:paraId="518C69B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הדודה דבורה, ריאיון, 5 בדצמבר 1990.</w:t>
      </w:r>
    </w:p>
  </w:footnote>
  <w:footnote w:id="307">
    <w:p w14:paraId="12C022A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בפרק זה – עמ׳ 76.</w:t>
      </w:r>
    </w:p>
  </w:footnote>
  <w:footnote w:id="308">
    <w:p w14:paraId="6FFDB7E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“מינסק עיר ואם א”, עמ׳ 486.</w:t>
      </w:r>
    </w:p>
  </w:footnote>
  <w:footnote w:id="309">
    <w:p w14:paraId="7385205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ילידת מינסק רחל חדש, בתו של המגיד האחרון של מינסק, ר׳ בנימין </w:t>
      </w:r>
      <w:proofErr w:type="spellStart"/>
      <w:r>
        <w:rPr>
          <w:sz w:val="20"/>
          <w:szCs w:val="20"/>
          <w:rtl/>
        </w:rPr>
        <w:t>שוקוביצקי</w:t>
      </w:r>
      <w:proofErr w:type="spellEnd"/>
      <w:r>
        <w:rPr>
          <w:sz w:val="20"/>
          <w:szCs w:val="20"/>
          <w:rtl/>
        </w:rPr>
        <w:t>, ריאיון, 4 בנובמבר 1990.</w:t>
      </w:r>
    </w:p>
  </w:footnote>
  <w:footnote w:id="310">
    <w:p w14:paraId="55357F9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תחילת סעיף 3 בפרק זה.</w:t>
      </w:r>
    </w:p>
  </w:footnote>
  <w:footnote w:id="311">
    <w:p w14:paraId="006CBEA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“מינסק עיר ואם”, ארגון יוצאי מינסק ובנותיה בישראל (הוצאת הקיבוץ המאוחד, תשל״ה) (להלן: “מינסק עיר ואם”), כרך א, עמ׳ 158.</w:t>
      </w:r>
    </w:p>
  </w:footnote>
  <w:footnote w:id="312">
    <w:p w14:paraId="66DB4E6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הערה 1 לעיל – </w:t>
      </w:r>
      <w:proofErr w:type="spellStart"/>
      <w:r>
        <w:rPr>
          <w:sz w:val="20"/>
          <w:szCs w:val="20"/>
          <w:rtl/>
        </w:rPr>
        <w:t>ח״ב</w:t>
      </w:r>
      <w:proofErr w:type="spellEnd"/>
      <w:r>
        <w:rPr>
          <w:sz w:val="20"/>
          <w:szCs w:val="20"/>
          <w:rtl/>
        </w:rPr>
        <w:t>, עמ׳ 25 ו־87.</w:t>
      </w:r>
    </w:p>
  </w:footnote>
  <w:footnote w:id="313">
    <w:p w14:paraId="065CC78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ח״ג</w:t>
      </w:r>
      <w:proofErr w:type="spellEnd"/>
      <w:r>
        <w:rPr>
          <w:sz w:val="20"/>
          <w:szCs w:val="20"/>
          <w:rtl/>
        </w:rPr>
        <w:t>, עמ׳ 3.</w:t>
      </w:r>
    </w:p>
  </w:footnote>
  <w:footnote w:id="314">
    <w:p w14:paraId="305F44C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הראשון.</w:t>
      </w:r>
    </w:p>
  </w:footnote>
  <w:footnote w:id="315">
    <w:p w14:paraId="51DDA19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ח״ב</w:t>
      </w:r>
      <w:proofErr w:type="spellEnd"/>
      <w:r>
        <w:rPr>
          <w:sz w:val="20"/>
          <w:szCs w:val="20"/>
          <w:rtl/>
        </w:rPr>
        <w:t>, עמ׳ 109.</w:t>
      </w:r>
    </w:p>
  </w:footnote>
  <w:footnote w:id="316">
    <w:p w14:paraId="3E8CF2E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נאספו ונערכו בידי יצחק יעקב ווייסברג, ויצאו לאור בוורשה, 1894 (להלן: “אגרות </w:t>
      </w:r>
      <w:proofErr w:type="spellStart"/>
      <w:r>
        <w:rPr>
          <w:sz w:val="20"/>
          <w:szCs w:val="20"/>
          <w:rtl/>
        </w:rPr>
        <w:t>יל״ג</w:t>
      </w:r>
      <w:proofErr w:type="spellEnd"/>
      <w:r>
        <w:rPr>
          <w:sz w:val="20"/>
          <w:szCs w:val="20"/>
          <w:rtl/>
        </w:rPr>
        <w:t>”).</w:t>
      </w:r>
    </w:p>
  </w:footnote>
  <w:footnote w:id="317">
    <w:p w14:paraId="404F419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מכתב מס׳ 78, מיום ג׳ פ׳ אלה שמות, תר״ל.</w:t>
      </w:r>
    </w:p>
  </w:footnote>
  <w:footnote w:id="318">
    <w:p w14:paraId="3B94F8A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מכך ש</w:t>
      </w:r>
      <w:r>
        <w:rPr>
          <w:b/>
          <w:bCs/>
          <w:sz w:val="20"/>
          <w:szCs w:val="20"/>
          <w:rtl/>
        </w:rPr>
        <w:t>לא</w:t>
      </w:r>
      <w:r>
        <w:rPr>
          <w:sz w:val="20"/>
          <w:szCs w:val="20"/>
          <w:rtl/>
        </w:rPr>
        <w:t xml:space="preserve"> הביא משפט סמוך זה, נראה שבעל “</w:t>
      </w:r>
      <w:proofErr w:type="spellStart"/>
      <w:r>
        <w:rPr>
          <w:sz w:val="20"/>
          <w:szCs w:val="20"/>
          <w:rtl/>
        </w:rPr>
        <w:t>זכרון</w:t>
      </w:r>
      <w:proofErr w:type="spellEnd"/>
      <w:r>
        <w:rPr>
          <w:sz w:val="20"/>
          <w:szCs w:val="20"/>
          <w:rtl/>
        </w:rPr>
        <w:t xml:space="preserve"> יעקב” אולי קיבל את דעתו של </w:t>
      </w:r>
      <w:proofErr w:type="spellStart"/>
      <w:r>
        <w:rPr>
          <w:sz w:val="20"/>
          <w:szCs w:val="20"/>
          <w:rtl/>
        </w:rPr>
        <w:t>יל״ג</w:t>
      </w:r>
      <w:proofErr w:type="spellEnd"/>
      <w:r>
        <w:rPr>
          <w:sz w:val="20"/>
          <w:szCs w:val="20"/>
          <w:rtl/>
        </w:rPr>
        <w:t xml:space="preserve"> בעניין זה; כלומר, אולי גם הוא סבר שהנוצרים אינם שונאים עוד את היהודים – אף שעדיין ינסו להמירם לנצרות.</w:t>
      </w:r>
    </w:p>
  </w:footnote>
  <w:footnote w:id="319">
    <w:p w14:paraId="5D13151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עמ׳ 4 בספר “ולמי אני עמל?” מאת מיכאל סטניסלבסקי (הוצאת אוניברסיטת אוקספורד, 1988). והשווה גם פרק 2, הפסקה השישית של נספח א.</w:t>
      </w:r>
    </w:p>
  </w:footnote>
  <w:footnote w:id="320">
    <w:p w14:paraId="401D4D6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ח״ב</w:t>
      </w:r>
      <w:proofErr w:type="spellEnd"/>
      <w:r>
        <w:rPr>
          <w:sz w:val="20"/>
          <w:szCs w:val="20"/>
          <w:rtl/>
        </w:rPr>
        <w:t>, עמ׳ 86–92.</w:t>
      </w:r>
    </w:p>
  </w:footnote>
  <w:footnote w:id="321">
    <w:p w14:paraId="3F2F42C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86–87.</w:t>
      </w:r>
    </w:p>
  </w:footnote>
  <w:footnote w:id="322">
    <w:p w14:paraId="1321CEB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91–92.</w:t>
      </w:r>
    </w:p>
  </w:footnote>
  <w:footnote w:id="323">
    <w:p w14:paraId="130531E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העט של אשר גינצברג.</w:t>
      </w:r>
    </w:p>
  </w:footnote>
  <w:footnote w:id="324">
    <w:p w14:paraId="4959484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4.1.</w:t>
      </w:r>
    </w:p>
  </w:footnote>
  <w:footnote w:id="325">
    <w:p w14:paraId="0137D82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הוצאת מסורה, ברוקלין, 1992 – עמ׳ </w:t>
      </w:r>
      <w:proofErr w:type="spellStart"/>
      <w:r>
        <w:rPr>
          <w:sz w:val="20"/>
          <w:szCs w:val="20"/>
          <w:rtl/>
        </w:rPr>
        <w:t>רסב</w:t>
      </w:r>
      <w:proofErr w:type="spellEnd"/>
      <w:r>
        <w:rPr>
          <w:sz w:val="20"/>
          <w:szCs w:val="20"/>
          <w:rtl/>
        </w:rPr>
        <w:t>.</w:t>
      </w:r>
    </w:p>
  </w:footnote>
  <w:footnote w:id="326">
    <w:p w14:paraId="566C987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הוצאת </w:t>
      </w:r>
      <w:proofErr w:type="spellStart"/>
      <w:r>
        <w:rPr>
          <w:sz w:val="20"/>
          <w:szCs w:val="20"/>
          <w:rtl/>
        </w:rPr>
        <w:t>נחליאל</w:t>
      </w:r>
      <w:proofErr w:type="spellEnd"/>
      <w:r>
        <w:rPr>
          <w:sz w:val="20"/>
          <w:szCs w:val="20"/>
          <w:rtl/>
        </w:rPr>
        <w:t>, ירושלים, תשנ״ו – כרך א, עמ׳ 38.</w:t>
      </w:r>
    </w:p>
  </w:footnote>
  <w:footnote w:id="327">
    <w:p w14:paraId="1F2161C7"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rFonts w:ascii="David" w:eastAsia="David" w:hAnsi="David" w:cs="David"/>
          <w:sz w:val="20"/>
          <w:szCs w:val="20"/>
          <w:rtl/>
        </w:rPr>
        <w:t xml:space="preserve"/>
      </w:r>
      <w:r>
        <w:rPr>
          <w:b/>
          <w:color w:val="000000"/>
          <w:sz w:val="20"/>
          <w:szCs w:val="20"/>
          <w:rtl/>
        </w:rPr>
        <w:t xml:space="preserve">הערת המתרגם: </w:t>
      </w:r>
      <w:r>
        <w:rPr>
          <w:sz w:val="20"/>
          <w:szCs w:val="20"/>
          <w:rtl/>
        </w:rPr>
        <w:t xml:space="preserve">במקור: “כשהראשון [ר׳ אליהו] ‘אכל </w:t>
      </w:r>
      <w:proofErr w:type="spellStart"/>
      <w:r>
        <w:rPr>
          <w:sz w:val="20"/>
          <w:szCs w:val="20"/>
          <w:rtl/>
        </w:rPr>
        <w:t>קעסט</w:t>
      </w:r>
      <w:proofErr w:type="spellEnd"/>
      <w:r>
        <w:rPr>
          <w:sz w:val="20"/>
          <w:szCs w:val="20"/>
          <w:rtl/>
        </w:rPr>
        <w:t xml:space="preserve">’”; תיקנתי </w:t>
      </w:r>
      <w:proofErr w:type="spellStart"/>
      <w:r>
        <w:rPr>
          <w:sz w:val="20"/>
          <w:szCs w:val="20"/>
          <w:rtl/>
        </w:rPr>
        <w:t>ל“זה</w:t>
      </w:r>
      <w:proofErr w:type="spellEnd"/>
      <w:r>
        <w:rPr>
          <w:sz w:val="20"/>
          <w:szCs w:val="20"/>
          <w:rtl/>
        </w:rPr>
        <w:t xml:space="preserve"> האחרון”, שהרי ר׳ </w:t>
      </w:r>
      <w:proofErr w:type="spellStart"/>
      <w:r>
        <w:rPr>
          <w:sz w:val="20"/>
          <w:szCs w:val="20"/>
          <w:rtl/>
        </w:rPr>
        <w:t>יצחק־אלחנן</w:t>
      </w:r>
      <w:proofErr w:type="spellEnd"/>
      <w:r>
        <w:rPr>
          <w:sz w:val="20"/>
          <w:szCs w:val="20"/>
          <w:rtl/>
        </w:rPr>
        <w:t xml:space="preserve"> הוא שנשא אישה בגיל </w:t>
      </w:r>
      <w:proofErr w:type="spellStart"/>
      <w:r>
        <w:rPr>
          <w:sz w:val="20"/>
          <w:szCs w:val="20"/>
          <w:rtl/>
        </w:rPr>
        <w:t>שלוש־עשרה</w:t>
      </w:r>
      <w:proofErr w:type="spellEnd"/>
      <w:r>
        <w:rPr>
          <w:sz w:val="20"/>
          <w:szCs w:val="20"/>
          <w:rtl/>
        </w:rPr>
        <w:t xml:space="preserve"> והיה סמוך על שולחן חותנו </w:t>
      </w:r>
      <w:proofErr w:type="spellStart"/>
      <w:r>
        <w:rPr>
          <w:sz w:val="20"/>
          <w:szCs w:val="20"/>
          <w:rtl/>
        </w:rPr>
        <w:t>בוולקוביסק</w:t>
      </w:r>
      <w:proofErr w:type="spellEnd"/>
      <w:r>
        <w:rPr>
          <w:sz w:val="20"/>
          <w:szCs w:val="20"/>
          <w:rtl/>
        </w:rPr>
        <w:t>, ושם למד אצל ר׳ אליהו שיק.</w:t>
      </w:r>
    </w:p>
  </w:footnote>
  <w:footnote w:id="328">
    <w:p w14:paraId="5EB0C0B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4, אמצע הפסקה הראשונה של נספח </w:t>
      </w:r>
      <w:proofErr w:type="spellStart"/>
      <w:r>
        <w:rPr>
          <w:sz w:val="20"/>
          <w:szCs w:val="20"/>
          <w:rtl/>
        </w:rPr>
        <w:t>יז</w:t>
      </w:r>
      <w:proofErr w:type="spellEnd"/>
      <w:r>
        <w:rPr>
          <w:sz w:val="20"/>
          <w:szCs w:val="20"/>
          <w:rtl/>
        </w:rPr>
        <w:t>.</w:t>
      </w:r>
    </w:p>
  </w:footnote>
  <w:footnote w:id="329">
    <w:p w14:paraId="3DDF34B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ב“כל</w:t>
      </w:r>
      <w:proofErr w:type="spellEnd"/>
      <w:r>
        <w:rPr>
          <w:sz w:val="20"/>
          <w:szCs w:val="20"/>
          <w:rtl/>
        </w:rPr>
        <w:t xml:space="preserve"> כתבי חפץ חיים השלם”, ח״א (להלן: כל כתבי </w:t>
      </w:r>
      <w:proofErr w:type="spellStart"/>
      <w:r>
        <w:rPr>
          <w:sz w:val="20"/>
          <w:szCs w:val="20"/>
          <w:rtl/>
        </w:rPr>
        <w:t>ח״ח</w:t>
      </w:r>
      <w:proofErr w:type="spellEnd"/>
      <w:r>
        <w:rPr>
          <w:sz w:val="20"/>
          <w:szCs w:val="20"/>
          <w:rtl/>
        </w:rPr>
        <w:t xml:space="preserve">), </w:t>
      </w:r>
      <w:proofErr w:type="spellStart"/>
      <w:r>
        <w:rPr>
          <w:sz w:val="20"/>
          <w:szCs w:val="20"/>
          <w:rtl/>
        </w:rPr>
        <w:t>ב“דוגמא</w:t>
      </w:r>
      <w:proofErr w:type="spellEnd"/>
      <w:r>
        <w:rPr>
          <w:sz w:val="20"/>
          <w:szCs w:val="20"/>
          <w:rtl/>
        </w:rPr>
        <w:t xml:space="preserve"> מדרכי אבי זצ״ל”, אות ער, עמ׳ </w:t>
      </w:r>
      <w:proofErr w:type="spellStart"/>
      <w:r>
        <w:rPr>
          <w:sz w:val="20"/>
          <w:szCs w:val="20"/>
          <w:rtl/>
        </w:rPr>
        <w:t>מא</w:t>
      </w:r>
      <w:proofErr w:type="spellEnd"/>
      <w:r>
        <w:rPr>
          <w:sz w:val="20"/>
          <w:szCs w:val="20"/>
          <w:rtl/>
        </w:rPr>
        <w:t>.</w:t>
      </w:r>
    </w:p>
  </w:footnote>
  <w:footnote w:id="330">
    <w:p w14:paraId="36F6BF8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מאת ברוך הלוי אפשטיין (הוצאת חי״ל, ניו יורק</w:t>
      </w:r>
      <w:proofErr w:type="spellStart"/>
      <w:r>
        <w:rPr>
          <w:sz w:val="20"/>
          <w:szCs w:val="20"/>
          <w:rtl/>
        </w:rPr>
        <w:t xml:space="preserve"/>
      </w:r>
      <w:proofErr w:type="spellEnd"/>
      <w:r>
        <w:rPr>
          <w:sz w:val="20"/>
          <w:szCs w:val="20"/>
          <w:rtl/>
        </w:rPr>
        <w:t>, תשי״ד) – עמ׳ 1702–</w:t>
      </w:r>
      <w:proofErr w:type="spellStart"/>
      <w:r>
        <w:rPr>
          <w:sz w:val="20"/>
          <w:szCs w:val="20"/>
          <w:rtl/>
        </w:rPr>
        <w:t>תתנ</w:t>
      </w:r>
      <w:proofErr w:type="spellEnd"/>
      <w:r>
        <w:rPr>
          <w:sz w:val="20"/>
          <w:szCs w:val="20"/>
          <w:rtl/>
        </w:rPr>
        <w:t>.</w:t>
      </w:r>
    </w:p>
  </w:footnote>
  <w:footnote w:id="331">
    <w:p w14:paraId="331D7BF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יצא לאור </w:t>
      </w:r>
      <w:proofErr w:type="spellStart"/>
      <w:r>
        <w:rPr>
          <w:sz w:val="20"/>
          <w:szCs w:val="20"/>
          <w:rtl/>
        </w:rPr>
        <w:t xml:space="preserve">בניו יורק</w:t>
      </w:r>
      <w:proofErr w:type="spellEnd"/>
      <w:r>
        <w:rPr>
          <w:sz w:val="20"/>
          <w:szCs w:val="20"/>
          <w:rtl/>
        </w:rPr>
        <w:t xml:space="preserve">, 1991 (להלן: בערל </w:t>
      </w:r>
      <w:proofErr w:type="spellStart"/>
      <w:r>
        <w:rPr>
          <w:sz w:val="20"/>
          <w:szCs w:val="20"/>
          <w:rtl/>
        </w:rPr>
        <w:t>קגן</w:t>
      </w:r>
      <w:proofErr w:type="spellEnd"/>
      <w:r>
        <w:rPr>
          <w:sz w:val="20"/>
          <w:szCs w:val="20"/>
          <w:rtl/>
        </w:rPr>
        <w:t>) – עמ׳ 149.</w:t>
      </w:r>
    </w:p>
  </w:footnote>
  <w:footnote w:id="332">
    <w:p w14:paraId="0D29DD9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פרק 5, נספח ה (עמ׳ </w:t>
      </w:r>
      <w:r>
        <w:rPr>
          <w:rStyle w:val="a5"/>
          <w:sz w:val="20"/>
          <w:szCs w:val="20"/>
          <w:vertAlign w:val="baseline"/>
          <w:rtl/>
        </w:rPr>
        <w:fldChar w:fldCharType="begin" w:dirty="true"/>
      </w:r>
      <w:r>
        <w:rPr>
          <w:rStyle w:val="a5"/>
          <w:sz w:val="20"/>
          <w:szCs w:val="20"/>
          <w:vertAlign w:val="baseline"/>
          <w:rtl/>
        </w:rPr>
        <w:instrText xml:space="preserve"> PAGEREF pr_b_2723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 על פרטי מספר הילדים היהודים שנלכדו בגזירה אכזרית זו ועל המספר הקטן ששרדו כיהודים.</w:t>
      </w:r>
    </w:p>
  </w:footnote>
  <w:footnote w:id="333">
    <w:p w14:paraId="1A25E2E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2.1.</w:t>
      </w:r>
    </w:p>
  </w:footnote>
  <w:footnote w:id="334">
    <w:p w14:paraId="2F63B5A5"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אחרי פטירת ר׳ </w:t>
      </w:r>
      <w:proofErr w:type="spellStart"/>
      <w:r>
        <w:rPr>
          <w:sz w:val="20"/>
          <w:szCs w:val="20"/>
          <w:rtl/>
        </w:rPr>
        <w:t>איצל׳ה</w:t>
      </w:r>
      <w:proofErr w:type="spellEnd"/>
      <w:r>
        <w:rPr>
          <w:sz w:val="20"/>
          <w:szCs w:val="20"/>
          <w:rtl/>
        </w:rPr>
        <w:t xml:space="preserve"> </w:t>
      </w:r>
      <w:proofErr w:type="spellStart"/>
      <w:r>
        <w:rPr>
          <w:sz w:val="20"/>
          <w:szCs w:val="20"/>
          <w:rtl/>
        </w:rPr>
        <w:t>בתר״ט</w:t>
      </w:r>
      <w:proofErr w:type="spellEnd"/>
      <w:r>
        <w:rPr>
          <w:sz w:val="20"/>
          <w:szCs w:val="20"/>
          <w:rtl/>
        </w:rPr>
        <w:t xml:space="preserve"> עמד בראש הישיבה חתנו האחר, ר׳ </w:t>
      </w:r>
      <w:proofErr w:type="spellStart"/>
      <w:r>
        <w:rPr>
          <w:sz w:val="20"/>
          <w:szCs w:val="20"/>
          <w:rtl/>
        </w:rPr>
        <w:t>אליעזר־יצחק</w:t>
      </w:r>
      <w:proofErr w:type="spellEnd"/>
      <w:r>
        <w:rPr>
          <w:sz w:val="20"/>
          <w:szCs w:val="20"/>
          <w:rtl/>
        </w:rPr>
        <w:t xml:space="preserve"> פריד, </w:t>
      </w:r>
      <w:proofErr w:type="spellStart"/>
      <w:r>
        <w:rPr>
          <w:sz w:val="20"/>
          <w:szCs w:val="20"/>
          <w:rtl/>
        </w:rPr>
        <w:t>והנצי״ב</w:t>
      </w:r>
      <w:proofErr w:type="spellEnd"/>
      <w:r>
        <w:rPr>
          <w:sz w:val="20"/>
          <w:szCs w:val="20"/>
          <w:rtl/>
        </w:rPr>
        <w:t xml:space="preserve"> שימש </w:t>
      </w:r>
      <w:proofErr w:type="spellStart"/>
      <w:r>
        <w:rPr>
          <w:sz w:val="20"/>
          <w:szCs w:val="20"/>
          <w:rtl/>
        </w:rPr>
        <w:t>סגנו</w:t>
      </w:r>
      <w:proofErr w:type="spellEnd"/>
      <w:r>
        <w:rPr>
          <w:sz w:val="20"/>
          <w:szCs w:val="20"/>
          <w:rtl/>
        </w:rPr>
        <w:t xml:space="preserve">; רק לאחר פטירת ר׳ </w:t>
      </w:r>
      <w:proofErr w:type="spellStart"/>
      <w:r>
        <w:rPr>
          <w:sz w:val="20"/>
          <w:szCs w:val="20"/>
          <w:rtl/>
        </w:rPr>
        <w:t>אליעזר־יצחק</w:t>
      </w:r>
      <w:proofErr w:type="spellEnd"/>
      <w:r>
        <w:rPr>
          <w:sz w:val="20"/>
          <w:szCs w:val="20"/>
          <w:rtl/>
        </w:rPr>
        <w:t xml:space="preserve">, כעבור כארבע שנים, נעשה </w:t>
      </w:r>
      <w:proofErr w:type="spellStart"/>
      <w:r>
        <w:rPr>
          <w:sz w:val="20"/>
          <w:szCs w:val="20"/>
          <w:rtl/>
        </w:rPr>
        <w:t>הנצי״ב</w:t>
      </w:r>
      <w:proofErr w:type="spellEnd"/>
      <w:r>
        <w:rPr>
          <w:sz w:val="20"/>
          <w:szCs w:val="20"/>
          <w:rtl/>
        </w:rPr>
        <w:t xml:space="preserve"> ראש הישיבה.</w:t>
      </w:r>
    </w:p>
  </w:footnote>
  <w:footnote w:id="335">
    <w:p w14:paraId="3A7ED95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“משפחת הרב (בית הרב)”: השווה פרק 3, הערה 11, והפסקה הראשונה של נספח י.</w:t>
      </w:r>
    </w:p>
  </w:footnote>
  <w:footnote w:id="336">
    <w:p w14:paraId="651AD60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ועיין בספר פסח ותשעה באב בשבת מאת צבי כהן (תשמ״ה), עמ׳ </w:t>
      </w:r>
      <w:proofErr w:type="spellStart"/>
      <w:r>
        <w:rPr>
          <w:sz w:val="20"/>
          <w:szCs w:val="20"/>
          <w:rtl/>
        </w:rPr>
        <w:t>קפג</w:t>
      </w:r>
      <w:proofErr w:type="spellEnd"/>
      <w:r>
        <w:rPr>
          <w:sz w:val="20"/>
          <w:szCs w:val="20"/>
          <w:rtl/>
        </w:rPr>
        <w:t xml:space="preserve"> והלאה.</w:t>
      </w:r>
    </w:p>
  </w:footnote>
  <w:footnote w:id="337">
    <w:p w14:paraId="5191C97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וגם ראה כל כתבי </w:t>
      </w:r>
      <w:proofErr w:type="spellStart"/>
      <w:r>
        <w:rPr>
          <w:sz w:val="20"/>
          <w:szCs w:val="20"/>
          <w:rtl/>
        </w:rPr>
        <w:t>ח״ח</w:t>
      </w:r>
      <w:proofErr w:type="spellEnd"/>
      <w:r>
        <w:rPr>
          <w:sz w:val="20"/>
          <w:szCs w:val="20"/>
          <w:rtl/>
        </w:rPr>
        <w:t xml:space="preserve"> בחלק “שיחות החפץ חיים” עמ׳ </w:t>
      </w:r>
      <w:proofErr w:type="spellStart"/>
      <w:r>
        <w:rPr>
          <w:sz w:val="20"/>
          <w:szCs w:val="20"/>
          <w:rtl/>
        </w:rPr>
        <w:t>קיז</w:t>
      </w:r>
      <w:proofErr w:type="spellEnd"/>
      <w:r>
        <w:rPr>
          <w:sz w:val="20"/>
          <w:szCs w:val="20"/>
          <w:rtl/>
        </w:rPr>
        <w:t xml:space="preserve"> שמביא בשם ר׳ אליהו שיק משל על מה זה לשמה, דהיינו, כמו הלוליין כשהולך על החבל עסוק הוא במלאכתו בלי שום כונה ואח״כ הוא מקבל שכרו, כמו כן עושה </w:t>
      </w:r>
      <w:proofErr w:type="spellStart"/>
      <w:r>
        <w:rPr>
          <w:sz w:val="20"/>
          <w:szCs w:val="20"/>
          <w:rtl/>
        </w:rPr>
        <w:t>המצוה</w:t>
      </w:r>
      <w:proofErr w:type="spellEnd"/>
      <w:r>
        <w:rPr>
          <w:sz w:val="20"/>
          <w:szCs w:val="20"/>
          <w:rtl/>
        </w:rPr>
        <w:t xml:space="preserve"> (או הלומד תורה) בשעה שעוסק </w:t>
      </w:r>
      <w:proofErr w:type="spellStart"/>
      <w:r>
        <w:rPr>
          <w:sz w:val="20"/>
          <w:szCs w:val="20"/>
          <w:rtl/>
        </w:rPr>
        <w:t>במצוה</w:t>
      </w:r>
      <w:proofErr w:type="spellEnd"/>
      <w:r>
        <w:rPr>
          <w:sz w:val="20"/>
          <w:szCs w:val="20"/>
          <w:rtl/>
        </w:rPr>
        <w:t xml:space="preserve"> או בלימוד </w:t>
      </w:r>
      <w:proofErr w:type="spellStart"/>
      <w:r>
        <w:rPr>
          <w:sz w:val="20"/>
          <w:szCs w:val="20"/>
          <w:rtl/>
        </w:rPr>
        <w:t>יכוין</w:t>
      </w:r>
      <w:proofErr w:type="spellEnd"/>
      <w:r>
        <w:rPr>
          <w:sz w:val="20"/>
          <w:szCs w:val="20"/>
          <w:rtl/>
        </w:rPr>
        <w:t xml:space="preserve"> לעשייתה באופן טוב, וזהו “לשמה” עיי״ש. ונראה שגישה כזאת טיפוסית היא למתנגדים. (ומה </w:t>
      </w:r>
      <w:proofErr w:type="spellStart"/>
      <w:r>
        <w:rPr>
          <w:sz w:val="20"/>
          <w:szCs w:val="20"/>
          <w:rtl/>
        </w:rPr>
        <w:t>שהח״ח</w:t>
      </w:r>
      <w:proofErr w:type="spellEnd"/>
      <w:r>
        <w:rPr>
          <w:sz w:val="20"/>
          <w:szCs w:val="20"/>
          <w:rtl/>
        </w:rPr>
        <w:t xml:space="preserve"> ביקש שלא לאומרו בפני עם הארץ נראה לי שאין הפשט כמו שהבין בנו המחבר עיי״ש אלא שעם הארץ לא יבין שזה נקרא לשמה, כי בחינה זו דקה מדי בשבילו.)</w:t>
      </w:r>
    </w:p>
  </w:footnote>
  <w:footnote w:id="338">
    <w:p w14:paraId="60EAF54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א, עמ׳ 40.</w:t>
      </w:r>
    </w:p>
  </w:footnote>
  <w:footnote w:id="339">
    <w:p w14:paraId="30CFB7B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שמות </w:t>
      </w:r>
      <w:proofErr w:type="spellStart"/>
      <w:r>
        <w:rPr>
          <w:sz w:val="20"/>
          <w:szCs w:val="20"/>
          <w:rtl/>
        </w:rPr>
        <w:t>כג</w:t>
      </w:r>
      <w:proofErr w:type="spellEnd"/>
      <w:r>
        <w:rPr>
          <w:sz w:val="20"/>
          <w:szCs w:val="20"/>
          <w:rtl/>
        </w:rPr>
        <w:t>, ז.</w:t>
      </w:r>
    </w:p>
  </w:footnote>
  <w:footnote w:id="340">
    <w:p w14:paraId="2BC715E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בערל </w:t>
      </w:r>
      <w:proofErr w:type="spellStart"/>
      <w:r>
        <w:rPr>
          <w:sz w:val="20"/>
          <w:szCs w:val="20"/>
          <w:rtl/>
        </w:rPr>
        <w:t>קגן</w:t>
      </w:r>
      <w:proofErr w:type="spellEnd"/>
      <w:r>
        <w:rPr>
          <w:sz w:val="20"/>
          <w:szCs w:val="20"/>
          <w:rtl/>
        </w:rPr>
        <w:t xml:space="preserve">, עמ׳ 157, כיהן שם אחרי </w:t>
      </w:r>
      <w:proofErr w:type="spellStart"/>
      <w:r>
        <w:rPr>
          <w:sz w:val="20"/>
          <w:szCs w:val="20"/>
          <w:rtl/>
        </w:rPr>
        <w:t>זאגר</w:t>
      </w:r>
      <w:proofErr w:type="spellEnd"/>
      <w:r>
        <w:rPr>
          <w:sz w:val="20"/>
          <w:szCs w:val="20"/>
          <w:rtl/>
        </w:rPr>
        <w:t xml:space="preserve"> חודש אחד בלבד (ולפי “רבותינו שבגולה”, כרך א, עמ׳ 41, חצי שנה) לפני פטירתו.</w:t>
      </w:r>
    </w:p>
  </w:footnote>
  <w:footnote w:id="341">
    <w:p w14:paraId="0F9F605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אף שאבי לא אמר זאת, מסתבר שהמבקר היה האדמו״ר </w:t>
      </w:r>
      <w:proofErr w:type="spellStart"/>
      <w:r>
        <w:rPr>
          <w:sz w:val="20"/>
          <w:szCs w:val="20"/>
          <w:rtl/>
        </w:rPr>
        <w:t>מקוברין</w:t>
      </w:r>
      <w:proofErr w:type="spellEnd"/>
      <w:r>
        <w:rPr>
          <w:sz w:val="20"/>
          <w:szCs w:val="20"/>
          <w:rtl/>
        </w:rPr>
        <w:t>, שבא אצל הרב החדש מיד אחרי מינויו.</w:t>
      </w:r>
    </w:p>
  </w:footnote>
  <w:footnote w:id="342">
    <w:p w14:paraId="70407A6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אבי סיפר את כל המעשה הזה בקשר לבקשתו של רב שנתמנה זה עתה בקהילת </w:t>
      </w:r>
      <w:proofErr w:type="spellStart"/>
      <w:r>
        <w:rPr>
          <w:sz w:val="20"/>
          <w:szCs w:val="20"/>
          <w:rtl/>
        </w:rPr>
        <w:t>סאטמאר</w:t>
      </w:r>
      <w:proofErr w:type="spellEnd"/>
      <w:r>
        <w:rPr>
          <w:sz w:val="20"/>
          <w:szCs w:val="20"/>
          <w:rtl/>
        </w:rPr>
        <w:t xml:space="preserve"> לבקר אותו </w:t>
      </w:r>
      <w:proofErr w:type="spellStart"/>
      <w:r>
        <w:rPr>
          <w:sz w:val="20"/>
          <w:szCs w:val="20"/>
          <w:rtl/>
        </w:rPr>
        <w:t>במונסי</w:t>
      </w:r>
      <w:proofErr w:type="spellEnd"/>
      <w:r>
        <w:rPr>
          <w:sz w:val="20"/>
          <w:szCs w:val="20"/>
          <w:rtl/>
        </w:rPr>
        <w:t>.</w:t>
      </w:r>
    </w:p>
  </w:footnote>
  <w:footnote w:id="343">
    <w:p w14:paraId="74A5424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13 במרץ 1995.</w:t>
      </w:r>
    </w:p>
  </w:footnote>
  <w:footnote w:id="344">
    <w:p w14:paraId="02EC446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ח, </w:t>
      </w:r>
      <w:proofErr w:type="spellStart"/>
      <w:r>
        <w:rPr>
          <w:sz w:val="20"/>
          <w:szCs w:val="20"/>
          <w:rtl/>
        </w:rPr>
        <w:t>יב</w:t>
      </w:r>
      <w:proofErr w:type="spellEnd"/>
      <w:r>
        <w:rPr>
          <w:sz w:val="20"/>
          <w:szCs w:val="20"/>
          <w:rtl/>
        </w:rPr>
        <w:t>.</w:t>
      </w:r>
    </w:p>
  </w:footnote>
  <w:footnote w:id="345">
    <w:p w14:paraId="3D082C0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יצא לאור בירושלים, תשנ״ט (להלן: “עובדות והנהגות לבית </w:t>
      </w:r>
      <w:proofErr w:type="spellStart"/>
      <w:r>
        <w:rPr>
          <w:sz w:val="20"/>
          <w:szCs w:val="20"/>
          <w:rtl/>
        </w:rPr>
        <w:t>בריסק</w:t>
      </w:r>
      <w:proofErr w:type="spellEnd"/>
      <w:r>
        <w:rPr>
          <w:sz w:val="20"/>
          <w:szCs w:val="20"/>
          <w:rtl/>
        </w:rPr>
        <w:t xml:space="preserve">”) – חלק א, עמ׳ </w:t>
      </w:r>
      <w:proofErr w:type="spellStart"/>
      <w:r>
        <w:rPr>
          <w:sz w:val="20"/>
          <w:szCs w:val="20"/>
          <w:rtl/>
        </w:rPr>
        <w:t>קסב</w:t>
      </w:r>
      <w:proofErr w:type="spellEnd"/>
      <w:r>
        <w:rPr>
          <w:sz w:val="20"/>
          <w:szCs w:val="20"/>
          <w:rtl/>
        </w:rPr>
        <w:t>.</w:t>
      </w:r>
    </w:p>
  </w:footnote>
  <w:footnote w:id="346">
    <w:p w14:paraId="7D8F07B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כץ, “תנועת המוסר”, כרך ראשון (מהדורה שישית, ירושלים, תשמ״ב), עמ׳ 244. והשווה גם שם, עמ׳ 346: ר׳ ישראל הספיד פעם אדם הגון ואמר “הוא היה איש ישר”, ותיקן מיד את דבריו </w:t>
      </w:r>
      <w:proofErr w:type="spellStart"/>
      <w:r>
        <w:rPr>
          <w:sz w:val="20"/>
          <w:szCs w:val="20"/>
          <w:rtl/>
        </w:rPr>
        <w:t>ל“</w:t>
      </w:r>
      <w:r>
        <w:rPr>
          <w:b/>
          <w:bCs/>
          <w:sz w:val="20"/>
          <w:szCs w:val="20"/>
          <w:rtl/>
        </w:rPr>
        <w:t>נראה</w:t>
      </w:r>
      <w:proofErr w:type="spellEnd"/>
      <w:r>
        <w:rPr>
          <w:b/>
          <w:bCs/>
          <w:sz w:val="20"/>
          <w:szCs w:val="20"/>
          <w:rtl/>
        </w:rPr>
        <w:t xml:space="preserve"> לי</w:t>
      </w:r>
      <w:r>
        <w:rPr>
          <w:sz w:val="20"/>
          <w:szCs w:val="20"/>
          <w:rtl/>
        </w:rPr>
        <w:t xml:space="preserve"> שהוא היה איש ישר”.</w:t>
      </w:r>
    </w:p>
  </w:footnote>
  <w:footnote w:id="347">
    <w:p w14:paraId="732857F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הרב </w:t>
      </w:r>
      <w:proofErr w:type="spellStart"/>
      <w:r>
        <w:rPr>
          <w:sz w:val="20"/>
          <w:szCs w:val="20"/>
          <w:rtl/>
        </w:rPr>
        <w:t xml:space="preserve">וולרשטיין־הלר</w:t>
      </w:r>
      <w:proofErr w:type="spellEnd"/>
      <w:r>
        <w:rPr>
          <w:sz w:val="20"/>
          <w:szCs w:val="20"/>
          <w:rtl/>
        </w:rPr>
        <w:t xml:space="preserve"> הוא גם מאבותיו של רבנו. ראה הערה 2 לעיל.</w:t>
      </w:r>
    </w:p>
  </w:footnote>
  <w:footnote w:id="348">
    <w:p w14:paraId="6DC3800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והשווה גם “דרכי משה החדש” (נדפס מחדש </w:t>
      </w:r>
      <w:proofErr w:type="spellStart"/>
      <w:r>
        <w:rPr>
          <w:sz w:val="20"/>
          <w:szCs w:val="20"/>
          <w:rtl/>
        </w:rPr>
        <w:t>בתשמ״ב</w:t>
      </w:r>
      <w:proofErr w:type="spellEnd"/>
      <w:r>
        <w:rPr>
          <w:sz w:val="20"/>
          <w:szCs w:val="20"/>
          <w:rtl/>
        </w:rPr>
        <w:t xml:space="preserve"> על ידי כולל ומתיבתא </w:t>
      </w:r>
      <w:proofErr w:type="spellStart"/>
      <w:r>
        <w:rPr>
          <w:sz w:val="20"/>
          <w:szCs w:val="20"/>
          <w:rtl/>
        </w:rPr>
        <w:t>מהר״ם</w:t>
      </w:r>
      <w:proofErr w:type="spellEnd"/>
      <w:r>
        <w:rPr>
          <w:sz w:val="20"/>
          <w:szCs w:val="20"/>
          <w:rtl/>
        </w:rPr>
        <w:t xml:space="preserve"> שיק, ירושלים), עמ׳ א: מסופר שם </w:t>
      </w:r>
      <w:proofErr w:type="spellStart"/>
      <w:r>
        <w:rPr>
          <w:sz w:val="20"/>
          <w:szCs w:val="20"/>
          <w:rtl/>
        </w:rPr>
        <w:t>שהמהר״ם</w:t>
      </w:r>
      <w:proofErr w:type="spellEnd"/>
      <w:r>
        <w:rPr>
          <w:sz w:val="20"/>
          <w:szCs w:val="20"/>
          <w:rtl/>
        </w:rPr>
        <w:t xml:space="preserve"> שיק טיפח מסורת ששם משפחתו הוא ראשי תיבות של “שם ישראל קודש”, ושהוא נבחר כמחאה נגד החובה החוקית לקבל שמות משפחה.</w:t>
      </w:r>
    </w:p>
  </w:footnote>
  <w:footnote w:id="349">
    <w:p w14:paraId="0014BDD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מחקר יוחסין זה נעשה בידי בני, ר׳ יוסף.</w:t>
      </w:r>
    </w:p>
  </w:footnote>
  <w:footnote w:id="350">
    <w:p w14:paraId="36C43E8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“דרכי משה החדש”, עמ׳ לו ואילך.</w:t>
      </w:r>
    </w:p>
  </w:footnote>
  <w:footnote w:id="351">
    <w:p w14:paraId="219F447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הערה 1 לעיל – </w:t>
      </w:r>
      <w:proofErr w:type="spellStart"/>
      <w:r>
        <w:rPr>
          <w:sz w:val="20"/>
          <w:szCs w:val="20"/>
          <w:rtl/>
        </w:rPr>
        <w:t>ח״ב</w:t>
      </w:r>
      <w:proofErr w:type="spellEnd"/>
      <w:r>
        <w:rPr>
          <w:sz w:val="20"/>
          <w:szCs w:val="20"/>
          <w:rtl/>
        </w:rPr>
        <w:t>, עמ׳ 151.</w:t>
      </w:r>
    </w:p>
  </w:footnote>
  <w:footnote w:id="352">
    <w:p w14:paraId="7613648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יצחק </w:t>
      </w:r>
      <w:proofErr w:type="spellStart"/>
      <w:r>
        <w:rPr>
          <w:sz w:val="20"/>
          <w:szCs w:val="20"/>
          <w:rtl/>
        </w:rPr>
        <w:t>קנובל</w:t>
      </w:r>
      <w:proofErr w:type="spellEnd"/>
      <w:r>
        <w:rPr>
          <w:sz w:val="20"/>
          <w:szCs w:val="20"/>
          <w:rtl/>
        </w:rPr>
        <w:t>, ריאיון, 21 בדצמבר 1987.</w:t>
      </w:r>
    </w:p>
  </w:footnote>
  <w:footnote w:id="353">
    <w:p w14:paraId="61043ED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תוכנה הובא בספר העיתים, עמ׳ </w:t>
      </w:r>
      <w:proofErr w:type="spellStart"/>
      <w:r>
        <w:rPr>
          <w:sz w:val="20"/>
          <w:szCs w:val="20"/>
          <w:rtl/>
        </w:rPr>
        <w:t>רסז</w:t>
      </w:r>
      <w:proofErr w:type="spellEnd"/>
      <w:r>
        <w:rPr>
          <w:sz w:val="20"/>
          <w:szCs w:val="20"/>
          <w:rtl/>
        </w:rPr>
        <w:t>.</w:t>
      </w:r>
    </w:p>
  </w:footnote>
  <w:footnote w:id="354">
    <w:p w14:paraId="7AEBE079"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כך במקור. רב </w:t>
      </w:r>
      <w:proofErr w:type="spellStart"/>
      <w:r>
        <w:rPr>
          <w:sz w:val="20"/>
          <w:szCs w:val="20"/>
          <w:rtl/>
        </w:rPr>
        <w:t>נטרונאי</w:t>
      </w:r>
      <w:proofErr w:type="spellEnd"/>
      <w:r>
        <w:rPr>
          <w:sz w:val="20"/>
          <w:szCs w:val="20"/>
          <w:rtl/>
        </w:rPr>
        <w:t xml:space="preserve"> גאון, ראש ישיבת </w:t>
      </w:r>
      <w:proofErr w:type="spellStart"/>
      <w:r>
        <w:rPr>
          <w:sz w:val="20"/>
          <w:szCs w:val="20"/>
          <w:rtl/>
        </w:rPr>
        <w:t>סורא</w:t>
      </w:r>
      <w:proofErr w:type="spellEnd"/>
      <w:r>
        <w:rPr>
          <w:sz w:val="20"/>
          <w:szCs w:val="20"/>
          <w:rtl/>
        </w:rPr>
        <w:t>, נפטר יותר ממאה שנה לפני שנולד רב שמואל הנגיד, ולא ייתכן שהשיב לו.</w:t>
      </w:r>
    </w:p>
  </w:footnote>
  <w:footnote w:id="355">
    <w:p w14:paraId="460F736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21 באוגוסט 1992, והשווה כרך 3.</w:t>
      </w:r>
    </w:p>
  </w:footnote>
  <w:footnote w:id="356">
    <w:p w14:paraId="59CAEA3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155.</w:t>
      </w:r>
    </w:p>
  </w:footnote>
  <w:footnote w:id="357">
    <w:p w14:paraId="5887475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בזמנים קודמים נקרא כך (“בחור עני” ביידיש – כינוי כללי) תלמיד ישיבה </w:t>
      </w:r>
      <w:proofErr w:type="spellStart"/>
      <w:r>
        <w:rPr>
          <w:sz w:val="20"/>
          <w:szCs w:val="20"/>
          <w:rtl/>
        </w:rPr>
        <w:t>ש“אכל</w:t>
      </w:r>
      <w:proofErr w:type="spellEnd"/>
      <w:r>
        <w:rPr>
          <w:sz w:val="20"/>
          <w:szCs w:val="20"/>
          <w:rtl/>
        </w:rPr>
        <w:t xml:space="preserve"> </w:t>
      </w:r>
      <w:proofErr w:type="spellStart"/>
      <w:r>
        <w:rPr>
          <w:sz w:val="20"/>
          <w:szCs w:val="20"/>
          <w:rtl/>
        </w:rPr>
        <w:t>טעג</w:t>
      </w:r>
      <w:proofErr w:type="spellEnd"/>
      <w:r>
        <w:rPr>
          <w:sz w:val="20"/>
          <w:szCs w:val="20"/>
          <w:rtl/>
        </w:rPr>
        <w:t>”. הכינוי תיאר את יחסו של בעל הבית הממוצע להאכלת האורחים הצעירים: הוא הרגיש מחויב לספק להם מזון יותר מחמת עניותו של הבחור מאשר מחמת למדנותו.</w:t>
      </w:r>
    </w:p>
  </w:footnote>
  <w:footnote w:id="358">
    <w:p w14:paraId="58C8EA3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בעת ביקורי בביתו, 14 בפברואר 1993.</w:t>
      </w:r>
    </w:p>
  </w:footnote>
  <w:footnote w:id="359">
    <w:p w14:paraId="2ECEF5E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3, הפסקה השלישית של נספח יד.</w:t>
      </w:r>
    </w:p>
  </w:footnote>
  <w:footnote w:id="360">
    <w:p w14:paraId="54BBC32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מהדורה </w:t>
      </w:r>
      <w:proofErr w:type="spellStart"/>
      <w:r>
        <w:rPr>
          <w:sz w:val="20"/>
          <w:szCs w:val="20"/>
          <w:rtl/>
        </w:rPr>
        <w:t>שש־עשרה</w:t>
      </w:r>
      <w:proofErr w:type="spellEnd"/>
      <w:r>
        <w:rPr>
          <w:sz w:val="20"/>
          <w:szCs w:val="20"/>
          <w:rtl/>
        </w:rPr>
        <w:t xml:space="preserve"> חדשה ומתוקנת (ירושלים, תשמ״ג), בעריכת אריה כרמל ואלטר </w:t>
      </w:r>
      <w:proofErr w:type="spellStart"/>
      <w:r>
        <w:rPr>
          <w:sz w:val="20"/>
          <w:szCs w:val="20"/>
          <w:rtl/>
        </w:rPr>
        <w:t>האלפרן</w:t>
      </w:r>
      <w:proofErr w:type="spellEnd"/>
      <w:r>
        <w:rPr>
          <w:sz w:val="20"/>
          <w:szCs w:val="20"/>
          <w:rtl/>
        </w:rPr>
        <w:t xml:space="preserve"> – עמ׳ 25.</w:t>
      </w:r>
    </w:p>
  </w:footnote>
  <w:footnote w:id="361">
    <w:p w14:paraId="4239B5A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3, הערה 105: בני משפחת </w:t>
      </w:r>
      <w:proofErr w:type="spellStart"/>
      <w:r>
        <w:rPr>
          <w:sz w:val="20"/>
          <w:szCs w:val="20"/>
          <w:rtl/>
        </w:rPr>
        <w:t>דסלר</w:t>
      </w:r>
      <w:proofErr w:type="spellEnd"/>
      <w:r>
        <w:rPr>
          <w:sz w:val="20"/>
          <w:szCs w:val="20"/>
          <w:rtl/>
        </w:rPr>
        <w:t xml:space="preserve"> האמידה תרמו את המבנים לבית </w:t>
      </w:r>
      <w:proofErr w:type="spellStart"/>
      <w:r>
        <w:rPr>
          <w:sz w:val="20"/>
          <w:szCs w:val="20"/>
          <w:rtl/>
        </w:rPr>
        <w:t>הספר־הפנימייה</w:t>
      </w:r>
      <w:proofErr w:type="spellEnd"/>
      <w:r>
        <w:rPr>
          <w:sz w:val="20"/>
          <w:szCs w:val="20"/>
          <w:rtl/>
        </w:rPr>
        <w:t xml:space="preserve"> </w:t>
      </w:r>
      <w:proofErr w:type="spellStart"/>
      <w:r>
        <w:rPr>
          <w:sz w:val="20"/>
          <w:szCs w:val="20"/>
          <w:rtl/>
        </w:rPr>
        <w:t>בגרובין</w:t>
      </w:r>
      <w:proofErr w:type="spellEnd"/>
      <w:r>
        <w:rPr>
          <w:sz w:val="20"/>
          <w:szCs w:val="20"/>
          <w:rtl/>
        </w:rPr>
        <w:t xml:space="preserve">. והשווה גם פרק 3, נספח כה, על תוכנית הלימודים </w:t>
      </w:r>
      <w:proofErr w:type="spellStart"/>
      <w:r>
        <w:rPr>
          <w:sz w:val="20"/>
          <w:szCs w:val="20"/>
          <w:rtl/>
        </w:rPr>
        <w:t>בגרובין</w:t>
      </w:r>
      <w:proofErr w:type="spellEnd"/>
      <w:r>
        <w:rPr>
          <w:sz w:val="20"/>
          <w:szCs w:val="20"/>
          <w:rtl/>
        </w:rPr>
        <w:t>, שהותאמה לנערים מבתים אמידים.</w:t>
      </w:r>
    </w:p>
  </w:footnote>
  <w:footnote w:id="362">
    <w:p w14:paraId="3AF9F03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למעשה הייתה זו </w:t>
      </w:r>
      <w:proofErr w:type="spellStart"/>
      <w:r>
        <w:rPr>
          <w:sz w:val="20"/>
          <w:szCs w:val="20"/>
          <w:rtl/>
        </w:rPr>
        <w:t>אמו</w:t>
      </w:r>
      <w:proofErr w:type="spellEnd"/>
      <w:r>
        <w:rPr>
          <w:sz w:val="20"/>
          <w:szCs w:val="20"/>
          <w:rtl/>
        </w:rPr>
        <w:t xml:space="preserve"> החורגת של המחבר; </w:t>
      </w:r>
      <w:proofErr w:type="spellStart"/>
      <w:r>
        <w:rPr>
          <w:sz w:val="20"/>
          <w:szCs w:val="20"/>
          <w:rtl/>
        </w:rPr>
        <w:t>אמו</w:t>
      </w:r>
      <w:proofErr w:type="spellEnd"/>
      <w:r>
        <w:rPr>
          <w:sz w:val="20"/>
          <w:szCs w:val="20"/>
          <w:rtl/>
        </w:rPr>
        <w:t xml:space="preserve">, נכדתו של ר׳ ישראל </w:t>
      </w:r>
      <w:proofErr w:type="spellStart"/>
      <w:r>
        <w:rPr>
          <w:sz w:val="20"/>
          <w:szCs w:val="20"/>
          <w:rtl/>
        </w:rPr>
        <w:t>סלנטר</w:t>
      </w:r>
      <w:proofErr w:type="spellEnd"/>
      <w:r>
        <w:rPr>
          <w:sz w:val="20"/>
          <w:szCs w:val="20"/>
          <w:rtl/>
        </w:rPr>
        <w:t>, נפטרה כשהיה תינוק בן שנה.</w:t>
      </w:r>
    </w:p>
  </w:footnote>
  <w:footnote w:id="363">
    <w:p w14:paraId="2181BBE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נרשם גם בעמ׳ 21–22 של מאמר הזיכרון על ר׳ </w:t>
      </w:r>
      <w:proofErr w:type="spellStart"/>
      <w:r>
        <w:rPr>
          <w:sz w:val="20"/>
          <w:szCs w:val="20"/>
          <w:rtl/>
        </w:rPr>
        <w:t>יעקב־יצחק</w:t>
      </w:r>
      <w:proofErr w:type="spellEnd"/>
      <w:r>
        <w:rPr>
          <w:sz w:val="20"/>
          <w:szCs w:val="20"/>
          <w:rtl/>
        </w:rPr>
        <w:t xml:space="preserve"> </w:t>
      </w:r>
      <w:proofErr w:type="spellStart"/>
      <w:r>
        <w:rPr>
          <w:sz w:val="20"/>
          <w:szCs w:val="20"/>
          <w:rtl/>
        </w:rPr>
        <w:t>רודרמן</w:t>
      </w:r>
      <w:proofErr w:type="spellEnd"/>
      <w:r>
        <w:rPr>
          <w:sz w:val="20"/>
          <w:szCs w:val="20"/>
          <w:rtl/>
        </w:rPr>
        <w:t xml:space="preserve"> </w:t>
      </w:r>
      <w:proofErr w:type="spellStart"/>
      <w:r>
        <w:rPr>
          <w:sz w:val="20"/>
          <w:szCs w:val="20"/>
          <w:rtl/>
        </w:rPr>
        <w:t>בג׳ואיש</w:t>
      </w:r>
      <w:proofErr w:type="spellEnd"/>
      <w:r>
        <w:rPr>
          <w:sz w:val="20"/>
          <w:szCs w:val="20"/>
          <w:rtl/>
        </w:rPr>
        <w:t xml:space="preserve"> </w:t>
      </w:r>
      <w:proofErr w:type="spellStart"/>
      <w:r>
        <w:rPr>
          <w:sz w:val="20"/>
          <w:szCs w:val="20"/>
          <w:rtl/>
        </w:rPr>
        <w:t>אובזרבר</w:t>
      </w:r>
      <w:proofErr w:type="spellEnd"/>
      <w:r>
        <w:rPr>
          <w:sz w:val="20"/>
          <w:szCs w:val="20"/>
          <w:rtl/>
        </w:rPr>
        <w:t xml:space="preserve"> (חשוון תשמ״ח).</w:t>
      </w:r>
    </w:p>
  </w:footnote>
  <w:footnote w:id="364">
    <w:p w14:paraId="0911ACA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הערות 32 ו־41 לעיל.</w:t>
      </w:r>
    </w:p>
  </w:footnote>
  <w:footnote w:id="365">
    <w:p w14:paraId="0618B36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רמ״א </w:t>
      </w:r>
      <w:proofErr w:type="spellStart"/>
      <w:r>
        <w:rPr>
          <w:sz w:val="20"/>
          <w:szCs w:val="20"/>
          <w:rtl/>
        </w:rPr>
        <w:t>או״ח</w:t>
      </w:r>
      <w:proofErr w:type="spellEnd"/>
      <w:r>
        <w:rPr>
          <w:sz w:val="20"/>
          <w:szCs w:val="20"/>
          <w:rtl/>
        </w:rPr>
        <w:t xml:space="preserve"> סי׳ תרס״ד ס״א. ר׳ ישראל ודאי לא היה מצער איש, </w:t>
      </w:r>
      <w:r>
        <w:rPr>
          <w:b/>
          <w:bCs/>
          <w:sz w:val="20"/>
          <w:szCs w:val="20"/>
          <w:rtl/>
        </w:rPr>
        <w:t>אף על פי</w:t>
      </w:r>
      <w:r>
        <w:rPr>
          <w:sz w:val="20"/>
          <w:szCs w:val="20"/>
          <w:rtl/>
        </w:rPr>
        <w:t xml:space="preserve"> שהעריך מאוד את מנהגי ישראל, ובכללם מנהג זה עצמו של לבישת </w:t>
      </w:r>
      <w:proofErr w:type="spellStart"/>
      <w:r>
        <w:rPr>
          <w:sz w:val="20"/>
          <w:szCs w:val="20"/>
          <w:rtl/>
        </w:rPr>
        <w:t>קיטל</w:t>
      </w:r>
      <w:proofErr w:type="spellEnd"/>
      <w:r>
        <w:rPr>
          <w:sz w:val="20"/>
          <w:szCs w:val="20"/>
          <w:rtl/>
        </w:rPr>
        <w:t xml:space="preserve">, כמו בנספח הבא (עמ׳ </w:t>
      </w:r>
      <w:r>
        <w:rPr>
          <w:sz w:val="20"/>
          <w:szCs w:val="20"/>
          <w:rtl/>
        </w:rPr>
        <w:fldChar w:fldCharType="begin" w:dirty="true"/>
      </w:r>
      <w:r>
        <w:rPr>
          <w:sz w:val="20"/>
          <w:szCs w:val="20"/>
          <w:rtl/>
        </w:rPr>
        <w:instrText xml:space="preserve"> PAGEREF pr_b_349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להלן).</w:t>
      </w:r>
    </w:p>
  </w:footnote>
  <w:footnote w:id="366">
    <w:p w14:paraId="7CA6FCC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24 באוקטובר 1999.</w:t>
      </w:r>
    </w:p>
  </w:footnote>
  <w:footnote w:id="367">
    <w:p w14:paraId="2D3C95B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אחד הדברים מסוג זה שזכר המרואיין נגע לדברי המשנה ברורה בסי׳ תצ״ג </w:t>
      </w:r>
      <w:proofErr w:type="spellStart"/>
      <w:r>
        <w:rPr>
          <w:sz w:val="20"/>
          <w:szCs w:val="20"/>
          <w:rtl/>
        </w:rPr>
        <w:t>ס״ק</w:t>
      </w:r>
      <w:proofErr w:type="spellEnd"/>
      <w:r>
        <w:rPr>
          <w:sz w:val="20"/>
          <w:szCs w:val="20"/>
          <w:rtl/>
        </w:rPr>
        <w:t xml:space="preserve"> י״א, שהוא “לא ראה שעושים נישואין בערב ל״ג בעומר”. ר׳ אהרן לסקר (ריאיון, 30 במאי 2000) סיפר שכמה אברכים ישבו בסעודה, והוגשו להם אפרסקים משומרים לקינוח, והם דנו אם צריך לברך עליהם. אז בא רבנו לשולחן, לקח אפרסק, הניחו על פרוסת לחם ואכלו בלי ברכה. מישהו שאל אותו מה המקור לכך, והשיב: “אבי עשה כך”.</w:t>
      </w:r>
    </w:p>
  </w:footnote>
  <w:footnote w:id="368">
    <w:p w14:paraId="0848808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שבת נ״א ע״א.</w:t>
      </w:r>
    </w:p>
  </w:footnote>
  <w:footnote w:id="369">
    <w:p w14:paraId="60765B0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מתוך הספד ביום השנה הראשון בישיבת עטרת יעקב, מפי אחד משלושת התלמידים שנכחו שם, ר׳ שמואל דישון.</w:t>
      </w:r>
    </w:p>
  </w:footnote>
  <w:footnote w:id="370">
    <w:p w14:paraId="378E318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15 בנובמבר 1987.</w:t>
      </w:r>
    </w:p>
  </w:footnote>
  <w:footnote w:id="371">
    <w:p w14:paraId="650E945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והשווה גם (עמ׳ </w:t>
      </w:r>
      <w:r>
        <w:rPr>
          <w:rStyle w:val="a5"/>
          <w:sz w:val="20"/>
          <w:szCs w:val="20"/>
          <w:vertAlign w:val="baseline"/>
          <w:rtl/>
        </w:rPr>
        <w:fldChar w:fldCharType="begin" w:dirty="true"/>
      </w:r>
      <w:r>
        <w:rPr>
          <w:rStyle w:val="a5"/>
          <w:sz w:val="20"/>
          <w:szCs w:val="20"/>
          <w:vertAlign w:val="baseline"/>
          <w:rtl/>
        </w:rPr>
        <w:instrText xml:space="preserve"> PAGEREF pr_close_b_4300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 על כבודו של אבי לעבודתם של אחרים.</w:t>
      </w:r>
    </w:p>
  </w:footnote>
  <w:footnote w:id="372">
    <w:p w14:paraId="7B5D529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6 בינואר 1998.</w:t>
      </w:r>
    </w:p>
  </w:footnote>
  <w:footnote w:id="373">
    <w:p w14:paraId="4637A47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20 בנובמבר 1987.</w:t>
      </w:r>
    </w:p>
  </w:footnote>
  <w:footnote w:id="374">
    <w:p w14:paraId="5FADF34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כדעת הגאון מווילנה – השווה “מעשה רב”, אות </w:t>
      </w:r>
      <w:proofErr w:type="spellStart"/>
      <w:r>
        <w:rPr>
          <w:sz w:val="20"/>
          <w:szCs w:val="20"/>
          <w:rtl/>
        </w:rPr>
        <w:t>קכב</w:t>
      </w:r>
      <w:proofErr w:type="spellEnd"/>
      <w:r>
        <w:rPr>
          <w:sz w:val="20"/>
          <w:szCs w:val="20"/>
          <w:rtl/>
        </w:rPr>
        <w:t>.</w:t>
      </w:r>
    </w:p>
  </w:footnote>
  <w:footnote w:id="375">
    <w:p w14:paraId="2F5BAB0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7 לעיל.</w:t>
      </w:r>
    </w:p>
  </w:footnote>
  <w:footnote w:id="376">
    <w:p w14:paraId="6ABD5ED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אבל אני זוכר שבחיי אמי נאמרו דברי תורה רבים בשעת אמירת ההגדה. ייתכן שאבי עשה כן משום שידע שרבניתו הראשונה, שגדלה בסביבת ישיבת </w:t>
      </w:r>
      <w:proofErr w:type="spellStart"/>
      <w:r>
        <w:rPr>
          <w:sz w:val="20"/>
          <w:szCs w:val="20"/>
          <w:rtl/>
        </w:rPr>
        <w:t>סלבודקה</w:t>
      </w:r>
      <w:proofErr w:type="spellEnd"/>
      <w:r>
        <w:rPr>
          <w:sz w:val="20"/>
          <w:szCs w:val="20"/>
          <w:rtl/>
        </w:rPr>
        <w:t xml:space="preserve">, ראתה גם היא בדברי התורה שליד השולחן “שיעור שלה”. על הרקע המשפחתי והחברתי של אשתו הראשונה השווה כרך 2, וכיצד ראתה אשתו של הסבא </w:t>
      </w:r>
      <w:proofErr w:type="spellStart"/>
      <w:r>
        <w:rPr>
          <w:sz w:val="20"/>
          <w:szCs w:val="20"/>
          <w:rtl/>
        </w:rPr>
        <w:t>מסלבודקה</w:t>
      </w:r>
      <w:proofErr w:type="spellEnd"/>
      <w:r>
        <w:rPr>
          <w:sz w:val="20"/>
          <w:szCs w:val="20"/>
          <w:rtl/>
        </w:rPr>
        <w:t xml:space="preserve"> את תלמידי הישיבה – השווה פרק 4, הערה 30.</w:t>
      </w:r>
    </w:p>
  </w:footnote>
  <w:footnote w:id="377">
    <w:p w14:paraId="7DEC77D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 לעיל.</w:t>
      </w:r>
    </w:p>
  </w:footnote>
  <w:footnote w:id="378">
    <w:p w14:paraId="73BF024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בפלורידה, 27 במרץ 1988.</w:t>
      </w:r>
    </w:p>
  </w:footnote>
  <w:footnote w:id="379">
    <w:p w14:paraId="01C6F8B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ק״ה ע״א.</w:t>
      </w:r>
    </w:p>
  </w:footnote>
  <w:footnote w:id="380">
    <w:p w14:paraId="493F803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אבי סיפר זאת לבני ר׳ יוסף כשהציע לו ר׳ יוסף גבינה לארוחת בוקר במלון בטבריה, בכ״ו בטבת תשמ״א. כשמזג אבי חלב לקפה שלו, העיר כמתנצל: “אני כחומץ בן יין, שהרי אבי לא אכל גבינה </w:t>
      </w:r>
      <w:r>
        <w:rPr>
          <w:b/>
          <w:bCs/>
          <w:sz w:val="20"/>
          <w:szCs w:val="20"/>
          <w:rtl/>
        </w:rPr>
        <w:t>ולא</w:t>
      </w:r>
      <w:r>
        <w:rPr>
          <w:sz w:val="20"/>
          <w:szCs w:val="20"/>
          <w:rtl/>
        </w:rPr>
        <w:t xml:space="preserve"> שתה חלב בערבי שבתות”. משל החומץ בן היין מקורו בדברי מר </w:t>
      </w:r>
      <w:proofErr w:type="spellStart"/>
      <w:r>
        <w:rPr>
          <w:sz w:val="20"/>
          <w:szCs w:val="20"/>
          <w:rtl/>
        </w:rPr>
        <w:t>עוקבא</w:t>
      </w:r>
      <w:proofErr w:type="spellEnd"/>
      <w:r>
        <w:rPr>
          <w:sz w:val="20"/>
          <w:szCs w:val="20"/>
          <w:rtl/>
        </w:rPr>
        <w:t xml:space="preserve"> על עצמו, שם, כשגילה לשאר האמוראים שאינו נוהג באותה חומרה שנהג בה אביו.</w:t>
      </w:r>
    </w:p>
  </w:footnote>
  <w:footnote w:id="381">
    <w:p w14:paraId="242740C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ווארשא</w:t>
      </w:r>
      <w:proofErr w:type="spellEnd"/>
      <w:r>
        <w:rPr>
          <w:sz w:val="20"/>
          <w:szCs w:val="20"/>
          <w:rtl/>
        </w:rPr>
        <w:t>, לפרט המטעמים טובים יפים ונעימים (</w:t>
      </w:r>
      <w:proofErr w:type="spellStart"/>
      <w:r>
        <w:rPr>
          <w:sz w:val="20"/>
          <w:szCs w:val="20"/>
          <w:rtl/>
        </w:rPr>
        <w:t>תר״ן</w:t>
      </w:r>
      <w:proofErr w:type="spellEnd"/>
      <w:r>
        <w:rPr>
          <w:sz w:val="20"/>
          <w:szCs w:val="20"/>
          <w:rtl/>
        </w:rPr>
        <w:t>) – עמ׳ 111, אות כ״ה.</w:t>
      </w:r>
    </w:p>
  </w:footnote>
  <w:footnote w:id="382">
    <w:p w14:paraId="10ED385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ועיין בספר “מנהג ישראל תורה”, נלקט נערך ונסדר... ע״י... יוסף </w:t>
      </w:r>
      <w:proofErr w:type="spellStart"/>
      <w:r>
        <w:rPr>
          <w:sz w:val="20"/>
          <w:szCs w:val="20"/>
          <w:rtl/>
        </w:rPr>
        <w:t>לאוי</w:t>
      </w:r>
      <w:proofErr w:type="spellEnd"/>
      <w:r>
        <w:rPr>
          <w:sz w:val="20"/>
          <w:szCs w:val="20"/>
          <w:rtl/>
        </w:rPr>
        <w:t xml:space="preserve"> (תשנ״ד), </w:t>
      </w:r>
      <w:proofErr w:type="spellStart"/>
      <w:r>
        <w:rPr>
          <w:sz w:val="20"/>
          <w:szCs w:val="20"/>
          <w:rtl/>
        </w:rPr>
        <w:t>ח״ב</w:t>
      </w:r>
      <w:proofErr w:type="spellEnd"/>
      <w:r>
        <w:rPr>
          <w:sz w:val="20"/>
          <w:szCs w:val="20"/>
          <w:rtl/>
        </w:rPr>
        <w:t>, עמ׳ לד.</w:t>
      </w:r>
    </w:p>
  </w:footnote>
  <w:footnote w:id="383">
    <w:p w14:paraId="7797027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גם זאת מסר בני ר׳ יוסף, אבל אפשר שאבי הזכיר ספר אחר, שכן לא מצאתי זאת בספר חסידים. אם לא שבני לא הבין את דברי רבנו כראוי, והוא רק הזכיר את דברי הספר חסידים אות קיד, שם כתב, “המשנה מנהג ראשונים וכו׳ עובר משום אל תשיג גבול עולם אשר עשו אבותיך (משלי </w:t>
      </w:r>
      <w:proofErr w:type="spellStart"/>
      <w:r>
        <w:rPr>
          <w:sz w:val="20"/>
          <w:szCs w:val="20"/>
          <w:rtl/>
        </w:rPr>
        <w:t>כב</w:t>
      </w:r>
      <w:proofErr w:type="spellEnd"/>
      <w:r>
        <w:rPr>
          <w:sz w:val="20"/>
          <w:szCs w:val="20"/>
          <w:rtl/>
        </w:rPr>
        <w:t xml:space="preserve">, </w:t>
      </w:r>
      <w:proofErr w:type="spellStart"/>
      <w:r>
        <w:rPr>
          <w:sz w:val="20"/>
          <w:szCs w:val="20"/>
          <w:rtl/>
        </w:rPr>
        <w:t>כח</w:t>
      </w:r>
      <w:proofErr w:type="spellEnd"/>
      <w:r>
        <w:rPr>
          <w:sz w:val="20"/>
          <w:szCs w:val="20"/>
          <w:rtl/>
        </w:rPr>
        <w:t>)” ועל זה הוסיף רבנו מעצמו שמצד פסוק זה, נכלל גם מנהג בלתי מובן, כמו לא לאכול חלבי בערבי שבתות.</w:t>
      </w:r>
    </w:p>
  </w:footnote>
  <w:footnote w:id="384">
    <w:p w14:paraId="7747B85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28 ביולי 1999.</w:t>
      </w:r>
    </w:p>
  </w:footnote>
  <w:footnote w:id="385">
    <w:p w14:paraId="157906A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ניו־יורק</w:t>
      </w:r>
      <w:proofErr w:type="spellEnd"/>
      <w:r>
        <w:rPr>
          <w:sz w:val="20"/>
          <w:szCs w:val="20"/>
          <w:rtl/>
        </w:rPr>
        <w:t xml:space="preserve">/תל אביב, תשכ״ב (להלן: “פנקס </w:t>
      </w:r>
      <w:proofErr w:type="spellStart"/>
      <w:r>
        <w:rPr>
          <w:sz w:val="20"/>
          <w:szCs w:val="20"/>
          <w:rtl/>
        </w:rPr>
        <w:t>סלוצק</w:t>
      </w:r>
      <w:proofErr w:type="spellEnd"/>
      <w:r>
        <w:rPr>
          <w:sz w:val="20"/>
          <w:szCs w:val="20"/>
          <w:rtl/>
        </w:rPr>
        <w:t>”) – עמ׳ 101, 127 ו־98.</w:t>
      </w:r>
    </w:p>
  </w:footnote>
  <w:footnote w:id="386">
    <w:p w14:paraId="5F001A8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הכינוי לקוח מסדר ליל הפסח.</w:t>
      </w:r>
    </w:p>
  </w:footnote>
  <w:footnote w:id="387">
    <w:p w14:paraId="220707F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2, סוף הערה 14.</w:t>
      </w:r>
    </w:p>
  </w:footnote>
  <w:footnote w:id="388">
    <w:p w14:paraId="02CA1EF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ירושלים, </w:t>
      </w:r>
      <w:proofErr w:type="spellStart"/>
      <w:r>
        <w:rPr>
          <w:sz w:val="20"/>
          <w:szCs w:val="20"/>
          <w:rtl/>
        </w:rPr>
        <w:t>תש״ן</w:t>
      </w:r>
      <w:proofErr w:type="spellEnd"/>
      <w:r>
        <w:rPr>
          <w:sz w:val="20"/>
          <w:szCs w:val="20"/>
          <w:rtl/>
        </w:rPr>
        <w:t xml:space="preserve"> – עמ׳ </w:t>
      </w:r>
      <w:proofErr w:type="spellStart"/>
      <w:r>
        <w:rPr>
          <w:sz w:val="20"/>
          <w:szCs w:val="20"/>
          <w:rtl/>
        </w:rPr>
        <w:t>מא</w:t>
      </w:r>
      <w:proofErr w:type="spellEnd"/>
      <w:r>
        <w:rPr>
          <w:sz w:val="20"/>
          <w:szCs w:val="20"/>
          <w:rtl/>
        </w:rPr>
        <w:t>.</w:t>
      </w:r>
    </w:p>
  </w:footnote>
  <w:footnote w:id="389">
    <w:p w14:paraId="1F11FFE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שבת ס״ג ע״א.</w:t>
      </w:r>
    </w:p>
  </w:footnote>
  <w:footnote w:id="390">
    <w:p w14:paraId="10943B6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והשווה גם </w:t>
      </w:r>
      <w:proofErr w:type="spellStart"/>
      <w:r>
        <w:rPr>
          <w:sz w:val="20"/>
          <w:szCs w:val="20"/>
          <w:rtl/>
        </w:rPr>
        <w:t>נו״ב</w:t>
      </w:r>
      <w:proofErr w:type="spellEnd"/>
      <w:r>
        <w:rPr>
          <w:sz w:val="20"/>
          <w:szCs w:val="20"/>
          <w:rtl/>
        </w:rPr>
        <w:t xml:space="preserve"> </w:t>
      </w:r>
      <w:proofErr w:type="spellStart"/>
      <w:r>
        <w:rPr>
          <w:sz w:val="20"/>
          <w:szCs w:val="20"/>
          <w:rtl/>
        </w:rPr>
        <w:t>מהדו״ק</w:t>
      </w:r>
      <w:proofErr w:type="spellEnd"/>
      <w:r>
        <w:rPr>
          <w:sz w:val="20"/>
          <w:szCs w:val="20"/>
          <w:rtl/>
        </w:rPr>
        <w:t xml:space="preserve"> יו״ד סוף סי׳ נ״ד, </w:t>
      </w:r>
      <w:proofErr w:type="spellStart"/>
      <w:r>
        <w:rPr>
          <w:sz w:val="20"/>
          <w:szCs w:val="20"/>
          <w:rtl/>
        </w:rPr>
        <w:t>וחת״ס</w:t>
      </w:r>
      <w:proofErr w:type="spellEnd"/>
      <w:r>
        <w:rPr>
          <w:sz w:val="20"/>
          <w:szCs w:val="20"/>
          <w:rtl/>
        </w:rPr>
        <w:t xml:space="preserve"> </w:t>
      </w:r>
      <w:proofErr w:type="spellStart"/>
      <w:r>
        <w:rPr>
          <w:sz w:val="20"/>
          <w:szCs w:val="20"/>
          <w:rtl/>
        </w:rPr>
        <w:t>או״ח</w:t>
      </w:r>
      <w:proofErr w:type="spellEnd"/>
      <w:r>
        <w:rPr>
          <w:sz w:val="20"/>
          <w:szCs w:val="20"/>
          <w:rtl/>
        </w:rPr>
        <w:t xml:space="preserve"> סוף תש׳ נ״א, וב״י </w:t>
      </w:r>
      <w:proofErr w:type="spellStart"/>
      <w:r>
        <w:rPr>
          <w:sz w:val="20"/>
          <w:szCs w:val="20"/>
          <w:rtl/>
        </w:rPr>
        <w:t>חו״מ</w:t>
      </w:r>
      <w:proofErr w:type="spellEnd"/>
      <w:r>
        <w:rPr>
          <w:sz w:val="20"/>
          <w:szCs w:val="20"/>
          <w:rtl/>
        </w:rPr>
        <w:t xml:space="preserve"> ססי׳ ק״ט.</w:t>
      </w:r>
    </w:p>
  </w:footnote>
  <w:footnote w:id="391">
    <w:p w14:paraId="21B6FAF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בני ברק, תשנ״ב (להלן: “כתבי הסבא”) – כרך ב, עמ׳ </w:t>
      </w:r>
      <w:proofErr w:type="spellStart"/>
      <w:r>
        <w:rPr>
          <w:sz w:val="20"/>
          <w:szCs w:val="20"/>
          <w:rtl/>
        </w:rPr>
        <w:t>תשפז</w:t>
      </w:r>
      <w:proofErr w:type="spellEnd"/>
      <w:r>
        <w:rPr>
          <w:sz w:val="20"/>
          <w:szCs w:val="20"/>
          <w:rtl/>
        </w:rPr>
        <w:t>, אות כ.</w:t>
      </w:r>
    </w:p>
  </w:footnote>
  <w:footnote w:id="392">
    <w:p w14:paraId="03C7945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2. לא ברור שם אם שמע ר׳ גרשון את המעשה מר׳ נפתלי אמסטרדם (השווה פרק 4.2).</w:t>
      </w:r>
    </w:p>
  </w:footnote>
  <w:footnote w:id="393">
    <w:p w14:paraId="1A921AE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ב לעיל – עמ׳ 207.</w:t>
      </w:r>
    </w:p>
  </w:footnote>
  <w:footnote w:id="394">
    <w:p w14:paraId="721E04B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נספח ב לעיל.</w:t>
      </w:r>
    </w:p>
  </w:footnote>
  <w:footnote w:id="395">
    <w:p w14:paraId="04A7348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עירובין י״ג ע״ב, שבו נאמר כלל זה על מחלוקת בית שמאי ובית הלל, וגיטין ו׳ ע״ב, על מחלוקת האמוראים ר׳ אביתר ור׳ יונתן.</w:t>
      </w:r>
    </w:p>
  </w:footnote>
  <w:footnote w:id="396">
    <w:p w14:paraId="1D95D48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2, הפסקה התשיעית של נספח א, שכל הצרות הפוקדות את הכלל כולו נחשבות סכנת נפשות.</w:t>
      </w:r>
    </w:p>
  </w:footnote>
  <w:footnote w:id="397">
    <w:p w14:paraId="1806806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7 באוקטובר 1996.</w:t>
      </w:r>
    </w:p>
  </w:footnote>
  <w:footnote w:id="398">
    <w:p w14:paraId="4C78CEF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אפשר לדמות להנהגה זו המשל של שו״ת </w:t>
      </w:r>
      <w:proofErr w:type="spellStart"/>
      <w:r>
        <w:rPr>
          <w:sz w:val="20"/>
          <w:szCs w:val="20"/>
          <w:rtl/>
        </w:rPr>
        <w:t>הרי״ד</w:t>
      </w:r>
      <w:proofErr w:type="spellEnd"/>
      <w:r>
        <w:rPr>
          <w:sz w:val="20"/>
          <w:szCs w:val="20"/>
          <w:rtl/>
        </w:rPr>
        <w:t xml:space="preserve"> (ירושלים, תשכ״ז) סי׳ ס״ב על מה שבכוחנו לסתור דברי </w:t>
      </w:r>
      <w:proofErr w:type="spellStart"/>
      <w:r>
        <w:rPr>
          <w:sz w:val="20"/>
          <w:szCs w:val="20"/>
          <w:rtl/>
        </w:rPr>
        <w:t>קדמונינו</w:t>
      </w:r>
      <w:proofErr w:type="spellEnd"/>
      <w:r>
        <w:rPr>
          <w:sz w:val="20"/>
          <w:szCs w:val="20"/>
          <w:rtl/>
        </w:rPr>
        <w:t xml:space="preserve">, והוא, שאנחנו דומים לננסים שמורכבים על </w:t>
      </w:r>
      <w:proofErr w:type="spellStart"/>
      <w:r>
        <w:rPr>
          <w:sz w:val="20"/>
          <w:szCs w:val="20"/>
          <w:rtl/>
        </w:rPr>
        <w:t>צוארי</w:t>
      </w:r>
      <w:proofErr w:type="spellEnd"/>
      <w:r>
        <w:rPr>
          <w:sz w:val="20"/>
          <w:szCs w:val="20"/>
          <w:rtl/>
        </w:rPr>
        <w:t xml:space="preserve"> ענקים ורואים למרחוק מהם, כך ראה את עצמו שיכול לחלוק על מנהג בראייתו הוא, ולמרות זאת המנהג הקיים עפ״י ענקים </w:t>
      </w:r>
      <w:proofErr w:type="spellStart"/>
      <w:r>
        <w:rPr>
          <w:sz w:val="20"/>
          <w:szCs w:val="20"/>
          <w:rtl/>
        </w:rPr>
        <w:t>שקדמוהו</w:t>
      </w:r>
      <w:proofErr w:type="spellEnd"/>
      <w:r>
        <w:rPr>
          <w:sz w:val="20"/>
          <w:szCs w:val="20"/>
          <w:rtl/>
        </w:rPr>
        <w:t xml:space="preserve"> נשאר תקף לאחרים.</w:t>
      </w:r>
    </w:p>
  </w:footnote>
  <w:footnote w:id="399">
    <w:p w14:paraId="51A830D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3, הפסקה השלישית של נספח </w:t>
      </w:r>
      <w:proofErr w:type="spellStart"/>
      <w:r>
        <w:rPr>
          <w:sz w:val="20"/>
          <w:szCs w:val="20"/>
          <w:rtl/>
        </w:rPr>
        <w:t>כו</w:t>
      </w:r>
      <w:proofErr w:type="spellEnd"/>
      <w:r>
        <w:rPr>
          <w:sz w:val="20"/>
          <w:szCs w:val="20"/>
          <w:rtl/>
        </w:rPr>
        <w:t xml:space="preserve">, שהנוהגים כפסקי הגאון מווילנה הקפידו במיוחד לעשות כן רק בצנעה.</w:t>
      </w:r>
    </w:p>
  </w:footnote>
  <w:footnote w:id="400">
    <w:p w14:paraId="3C65BB6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הערת שוליים </w:t>
      </w:r>
      <w:r>
        <w:rPr>
          <w:rStyle w:val="a5"/>
          <w:sz w:val="20"/>
          <w:szCs w:val="20"/>
          <w:vertAlign w:val="baseline"/>
          <w:rtl/>
        </w:rPr>
        <w:fldChar w:fldCharType="begin" w:dirty="true"/>
      </w:r>
      <w:r>
        <w:rPr>
          <w:rStyle w:val="a5"/>
          <w:sz w:val="20"/>
          <w:szCs w:val="20"/>
          <w:vertAlign w:val="baseline"/>
          <w:rtl/>
        </w:rPr>
        <w:instrText xml:space="preserve"> NOTEREF pr_f_365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307</w:t>
      </w:r>
      <w:r>
        <w:rPr>
          <w:rStyle w:val="a5"/>
          <w:sz w:val="20"/>
          <w:szCs w:val="20"/>
          <w:vertAlign w:val="baseline"/>
          <w:rtl/>
        </w:rPr>
        <w:fldChar w:fldCharType="end"/>
      </w:r>
      <w:r>
        <w:rPr>
          <w:rStyle w:val="a5"/>
          <w:sz w:val="20"/>
          <w:szCs w:val="20"/>
          <w:vertAlign w:val="baseline"/>
          <w:rtl/>
        </w:rPr>
        <w:t xml:space="preserve"> (עמ׳ </w:t>
      </w:r>
      <w:r>
        <w:rPr>
          <w:rStyle w:val="a5"/>
          <w:sz w:val="20"/>
          <w:szCs w:val="20"/>
          <w:vertAlign w:val="baseline"/>
          <w:rtl/>
        </w:rPr>
        <w:fldChar w:fldCharType="begin" w:dirty="true"/>
      </w:r>
      <w:r>
        <w:rPr>
          <w:rStyle w:val="a5"/>
          <w:sz w:val="20"/>
          <w:szCs w:val="20"/>
          <w:vertAlign w:val="baseline"/>
          <w:rtl/>
        </w:rPr>
        <w:instrText xml:space="preserve"> PAGEREF pr_f_365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w:t>
      </w:r>
    </w:p>
  </w:footnote>
  <w:footnote w:id="401">
    <w:p w14:paraId="25D2894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ריאיון, 8 במרץ 1997. השווה כרך 3 עד כמה היה ר׳ פרץ </w:t>
      </w:r>
      <w:proofErr w:type="spellStart"/>
      <w:r>
        <w:rPr>
          <w:sz w:val="20"/>
          <w:szCs w:val="20"/>
          <w:rtl/>
        </w:rPr>
        <w:t>פוזן</w:t>
      </w:r>
      <w:proofErr w:type="spellEnd"/>
      <w:r>
        <w:rPr>
          <w:sz w:val="20"/>
          <w:szCs w:val="20"/>
          <w:rtl/>
        </w:rPr>
        <w:t xml:space="preserve"> קרוב לרבנו.</w:t>
      </w:r>
    </w:p>
  </w:footnote>
  <w:footnote w:id="402">
    <w:p w14:paraId="18EA1BA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9 במרץ 1988.</w:t>
      </w:r>
    </w:p>
  </w:footnote>
  <w:footnote w:id="403">
    <w:p w14:paraId="68329BF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13 במרץ 1988.</w:t>
      </w:r>
    </w:p>
  </w:footnote>
  <w:footnote w:id="404">
    <w:p w14:paraId="78975B6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יצא לאור ע״י מכון המאור, ירושלים, תשל״ה.</w:t>
      </w:r>
    </w:p>
  </w:footnote>
  <w:footnote w:id="405">
    <w:p w14:paraId="619B63F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בראשית יא, א–ט.</w:t>
      </w:r>
    </w:p>
  </w:footnote>
  <w:footnote w:id="406">
    <w:p w14:paraId="21573F9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ויקרא רבה ה, א.</w:t>
      </w:r>
    </w:p>
  </w:footnote>
  <w:footnote w:id="407">
    <w:p w14:paraId="2B2E7E0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פרק 3, הפסקה השישית של נספח </w:t>
      </w:r>
      <w:proofErr w:type="spellStart"/>
      <w:r>
        <w:rPr>
          <w:sz w:val="20"/>
          <w:szCs w:val="20"/>
          <w:rtl/>
        </w:rPr>
        <w:t>כו</w:t>
      </w:r>
      <w:proofErr w:type="spellEnd"/>
      <w:r>
        <w:rPr>
          <w:sz w:val="20"/>
          <w:szCs w:val="20"/>
          <w:rtl/>
        </w:rPr>
        <w:t>, שגרסה אנגלית בת זמננו, “מעובדת מתוך” ספר עברי, השמיטה מעשה מסתורי.</w:t>
      </w:r>
    </w:p>
  </w:footnote>
  <w:footnote w:id="408">
    <w:p w14:paraId="31A5E96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“אור הצפון”, </w:t>
      </w:r>
      <w:proofErr w:type="spellStart"/>
      <w:r>
        <w:rPr>
          <w:sz w:val="20"/>
          <w:szCs w:val="20"/>
          <w:rtl/>
        </w:rPr>
        <w:t>ח״ב</w:t>
      </w:r>
      <w:proofErr w:type="spellEnd"/>
      <w:r>
        <w:rPr>
          <w:sz w:val="20"/>
          <w:szCs w:val="20"/>
          <w:rtl/>
        </w:rPr>
        <w:t xml:space="preserve"> (הועד להוצאת מאמרי מרן הסבא </w:t>
      </w:r>
      <w:proofErr w:type="spellStart"/>
      <w:r>
        <w:rPr>
          <w:sz w:val="20"/>
          <w:szCs w:val="20"/>
          <w:rtl/>
        </w:rPr>
        <w:t>מסלבודקה</w:t>
      </w:r>
      <w:proofErr w:type="spellEnd"/>
      <w:r>
        <w:rPr>
          <w:sz w:val="20"/>
          <w:szCs w:val="20"/>
          <w:rtl/>
        </w:rPr>
        <w:t xml:space="preserve"> זצ״ל, ירושלים, תשכ״ח; בעריכת הרב דב כץ), עמ׳ </w:t>
      </w:r>
      <w:proofErr w:type="spellStart"/>
      <w:r>
        <w:rPr>
          <w:sz w:val="20"/>
          <w:szCs w:val="20"/>
          <w:rtl/>
        </w:rPr>
        <w:t>רכט</w:t>
      </w:r>
      <w:proofErr w:type="spellEnd"/>
      <w:r>
        <w:rPr>
          <w:sz w:val="20"/>
          <w:szCs w:val="20"/>
          <w:rtl/>
        </w:rPr>
        <w:t xml:space="preserve">. והשווה גם פרק 4, הערה 55, הערת שוליים </w:t>
      </w:r>
      <w:r>
        <w:rPr>
          <w:sz w:val="20"/>
          <w:szCs w:val="20"/>
          <w:rtl/>
        </w:rPr>
        <w:fldChar w:fldCharType="begin" w:dirty="true"/>
      </w:r>
      <w:r>
        <w:rPr>
          <w:sz w:val="20"/>
          <w:szCs w:val="20"/>
          <w:rtl/>
        </w:rPr>
        <w:instrText xml:space="preserve"> NOTEREF pr_f_3097 \h </w:instrText>
      </w:r>
      <w:r>
        <w:rPr>
          <w:sz w:val="20"/>
          <w:szCs w:val="20"/>
          <w:rtl/>
        </w:rPr>
      </w:r>
      <w:r>
        <w:rPr>
          <w:sz w:val="20"/>
          <w:szCs w:val="20"/>
          <w:rtl/>
        </w:rPr>
        <w:fldChar w:fldCharType="separate"/>
      </w:r>
      <w:r w:rsidR="007923E9">
        <w:rPr>
          <w:sz w:val="20"/>
          <w:szCs w:val="20"/>
          <w:rtl/>
        </w:rPr>
        <w:t>174</w:t>
      </w:r>
      <w:r>
        <w:rPr>
          <w:sz w:val="20"/>
          <w:szCs w:val="20"/>
          <w:rtl/>
        </w:rPr>
        <w:fldChar w:fldCharType="end"/>
      </w:r>
      <w:r>
        <w:rPr>
          <w:sz w:val="20"/>
          <w:szCs w:val="20"/>
          <w:rtl/>
        </w:rPr>
        <w:t xml:space="preserve">, שבה מובאים עוד שני מכתבים של הסבא שלא היו ידועים </w:t>
      </w:r>
      <w:proofErr w:type="spellStart"/>
      <w:r>
        <w:rPr>
          <w:sz w:val="20"/>
          <w:szCs w:val="20"/>
          <w:rtl/>
        </w:rPr>
        <w:t>לר</w:t>
      </w:r>
      <w:proofErr w:type="spellEnd"/>
      <w:r>
        <w:rPr>
          <w:sz w:val="20"/>
          <w:szCs w:val="20"/>
          <w:rtl/>
        </w:rPr>
        <w:t>׳ דב כץ.</w:t>
      </w:r>
    </w:p>
  </w:footnote>
  <w:footnote w:id="409">
    <w:p w14:paraId="44F6D40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בראשית א, ה.</w:t>
      </w:r>
    </w:p>
  </w:footnote>
  <w:footnote w:id="410">
    <w:p w14:paraId="4C2FF2D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בראשית רבה שם.</w:t>
      </w:r>
    </w:p>
  </w:footnote>
  <w:footnote w:id="411">
    <w:p w14:paraId="66832E9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המילה “יום” שבתחילת הפסוק מתפרשת שם כמשל למעשיהם של הצדיקים. השווה פרק 3, תחילת נספח א: ההערה שהעיר הסבא לאבי על הפירוש המדעי שכתב הסבא למאמר חז״ל ופרסם בעילום שם בביטאון “עץ פרי” בשנת תרמ״א. כשכתב הסבא לבנו את המכתב הזה, שאינו מתוארך, כבר התרחק כמובן שנות אור ממה שכינה </w:t>
      </w:r>
      <w:proofErr w:type="spellStart"/>
      <w:r>
        <w:rPr>
          <w:sz w:val="20"/>
          <w:szCs w:val="20"/>
          <w:rtl/>
        </w:rPr>
        <w:t>ה“פלירטוט</w:t>
      </w:r>
      <w:proofErr w:type="spellEnd"/>
      <w:r>
        <w:rPr>
          <w:sz w:val="20"/>
          <w:szCs w:val="20"/>
          <w:rtl/>
        </w:rPr>
        <w:t>” שלו עם ההשכלה.</w:t>
      </w:r>
    </w:p>
  </w:footnote>
  <w:footnote w:id="412">
    <w:p w14:paraId="519E471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מוסד הרב קוק, ירושלים תשמ״ח (להלן: “בעקבות היראה”) – עמ׳ ז.</w:t>
      </w:r>
    </w:p>
  </w:footnote>
  <w:footnote w:id="413">
    <w:p w14:paraId="4019419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5, הפסקה החמישית של נספח ו. חתן נוסף של “הגדול” היה ר׳ </w:t>
      </w:r>
      <w:proofErr w:type="spellStart"/>
      <w:r>
        <w:rPr>
          <w:sz w:val="20"/>
          <w:szCs w:val="20"/>
          <w:rtl/>
        </w:rPr>
        <w:t>אברהם־דובער</w:t>
      </w:r>
      <w:proofErr w:type="spellEnd"/>
      <w:r>
        <w:rPr>
          <w:sz w:val="20"/>
          <w:szCs w:val="20"/>
          <w:rtl/>
        </w:rPr>
        <w:t xml:space="preserve"> </w:t>
      </w:r>
      <w:proofErr w:type="spellStart"/>
      <w:r>
        <w:rPr>
          <w:sz w:val="20"/>
          <w:szCs w:val="20"/>
          <w:rtl/>
        </w:rPr>
        <w:t>כהנא־שפירא</w:t>
      </w:r>
      <w:proofErr w:type="spellEnd"/>
      <w:r>
        <w:rPr>
          <w:sz w:val="20"/>
          <w:szCs w:val="20"/>
          <w:rtl/>
        </w:rPr>
        <w:t xml:space="preserve"> (נולד תר״ל), רבה האחרון של קובנה – השווה פרק 3, הערה 17.</w:t>
      </w:r>
    </w:p>
  </w:footnote>
  <w:footnote w:id="414">
    <w:p w14:paraId="23F57B8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מוסד הרב קוק, ירושלים, תשמ״ד, יומנו של ר׳ </w:t>
      </w:r>
      <w:proofErr w:type="spellStart"/>
      <w:r>
        <w:rPr>
          <w:sz w:val="20"/>
          <w:szCs w:val="20"/>
          <w:rtl/>
        </w:rPr>
        <w:t>אליהו־דוד</w:t>
      </w:r>
      <w:proofErr w:type="spellEnd"/>
      <w:r>
        <w:rPr>
          <w:sz w:val="20"/>
          <w:szCs w:val="20"/>
          <w:rtl/>
        </w:rPr>
        <w:t xml:space="preserve"> </w:t>
      </w:r>
      <w:proofErr w:type="spellStart"/>
      <w:r>
        <w:rPr>
          <w:sz w:val="20"/>
          <w:szCs w:val="20"/>
          <w:rtl/>
        </w:rPr>
        <w:t>רבינוביץ־תאומים</w:t>
      </w:r>
      <w:proofErr w:type="spellEnd"/>
      <w:r>
        <w:rPr>
          <w:sz w:val="20"/>
          <w:szCs w:val="20"/>
          <w:rtl/>
        </w:rPr>
        <w:t xml:space="preserve"> (הידוע בראשי התיבות של שמו, </w:t>
      </w:r>
      <w:proofErr w:type="spellStart"/>
      <w:r>
        <w:rPr>
          <w:sz w:val="20"/>
          <w:szCs w:val="20"/>
          <w:rtl/>
        </w:rPr>
        <w:t>האדר״ת</w:t>
      </w:r>
      <w:proofErr w:type="spellEnd"/>
      <w:r>
        <w:rPr>
          <w:sz w:val="20"/>
          <w:szCs w:val="20"/>
          <w:rtl/>
        </w:rPr>
        <w:t>) – עמ׳ 97.</w:t>
      </w:r>
    </w:p>
  </w:footnote>
  <w:footnote w:id="415">
    <w:p w14:paraId="1B9166D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הובא לדפוס בידי ר׳ שלמה סלונים, </w:t>
      </w:r>
      <w:proofErr w:type="spellStart"/>
      <w:r>
        <w:rPr>
          <w:sz w:val="20"/>
          <w:szCs w:val="20"/>
          <w:rtl/>
        </w:rPr>
        <w:t>נינו</w:t>
      </w:r>
      <w:proofErr w:type="spellEnd"/>
      <w:r>
        <w:rPr>
          <w:sz w:val="20"/>
          <w:szCs w:val="20"/>
          <w:rtl/>
        </w:rPr>
        <w:t xml:space="preserve"> של “הגדול”, אחרי שכתב היד היה אבוד שמונים שנה!</w:t>
      </w:r>
    </w:p>
  </w:footnote>
  <w:footnote w:id="416">
    <w:p w14:paraId="34238D7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פלדהיים</w:t>
      </w:r>
      <w:proofErr w:type="spellEnd"/>
      <w:r>
        <w:rPr>
          <w:sz w:val="20"/>
          <w:szCs w:val="20"/>
          <w:rtl/>
        </w:rPr>
        <w:t>, ירושלים–ניו יורק, 1991 – עמ׳ 100.</w:t>
      </w:r>
    </w:p>
  </w:footnote>
  <w:footnote w:id="417">
    <w:p w14:paraId="52F7DB8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5 בנובמבר 1990.</w:t>
      </w:r>
    </w:p>
  </w:footnote>
  <w:footnote w:id="418">
    <w:p w14:paraId="09AD080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18 בנובמבר 1987.</w:t>
      </w:r>
    </w:p>
  </w:footnote>
  <w:footnote w:id="419">
    <w:p w14:paraId="4E19F3C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(הערת שוליים </w:t>
      </w:r>
      <w:r>
        <w:rPr>
          <w:rStyle w:val="a5"/>
          <w:sz w:val="20"/>
          <w:szCs w:val="20"/>
          <w:vertAlign w:val="baseline"/>
          <w:rtl/>
        </w:rPr>
        <w:fldChar w:fldCharType="begin" w:dirty="true"/>
      </w:r>
      <w:r>
        <w:rPr>
          <w:rStyle w:val="a5"/>
          <w:sz w:val="20"/>
          <w:szCs w:val="20"/>
          <w:vertAlign w:val="baseline"/>
          <w:rtl/>
        </w:rPr>
        <w:instrText xml:space="preserve"> NOTEREF pr_f_66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11</w:t>
      </w:r>
      <w:r>
        <w:rPr>
          <w:rStyle w:val="a5"/>
          <w:sz w:val="20"/>
          <w:szCs w:val="20"/>
          <w:vertAlign w:val="baseline"/>
          <w:rtl/>
        </w:rPr>
        <w:fldChar w:fldCharType="end"/>
      </w:r>
      <w:r>
        <w:rPr>
          <w:rStyle w:val="a5"/>
          <w:sz w:val="20"/>
          <w:szCs w:val="20"/>
          <w:vertAlign w:val="baseline"/>
          <w:rtl/>
        </w:rPr>
        <w:t xml:space="preserve"> בעמ׳ </w:t>
      </w:r>
      <w:r>
        <w:rPr>
          <w:rStyle w:val="a5"/>
          <w:sz w:val="20"/>
          <w:szCs w:val="20"/>
          <w:vertAlign w:val="baseline"/>
          <w:rtl/>
        </w:rPr>
        <w:fldChar w:fldCharType="begin" w:dirty="true"/>
      </w:r>
      <w:r>
        <w:rPr>
          <w:rStyle w:val="a5"/>
          <w:sz w:val="20"/>
          <w:szCs w:val="20"/>
          <w:vertAlign w:val="baseline"/>
          <w:rtl/>
        </w:rPr>
        <w:instrText xml:space="preserve"> PAGEREF pr_f_66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 xml:space="preserve"> בכרך זה</w:t>
      </w:r>
      <w:r>
        <w:rPr>
          <w:sz w:val="20"/>
          <w:szCs w:val="20"/>
          <w:rtl/>
        </w:rPr>
        <w:t>) – עמ׳ 94.</w:t>
      </w:r>
    </w:p>
  </w:footnote>
  <w:footnote w:id="420">
    <w:p w14:paraId="54A9B6B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(הערת שוליים </w:t>
      </w:r>
      <w:r>
        <w:rPr>
          <w:rStyle w:val="a5"/>
          <w:sz w:val="20"/>
          <w:szCs w:val="20"/>
          <w:vertAlign w:val="baseline"/>
          <w:rtl/>
        </w:rPr>
        <w:fldChar w:fldCharType="begin" w:dirty="true"/>
      </w:r>
      <w:r>
        <w:rPr>
          <w:rStyle w:val="a5"/>
          <w:sz w:val="20"/>
          <w:szCs w:val="20"/>
          <w:vertAlign w:val="baseline"/>
          <w:rtl/>
        </w:rPr>
        <w:instrText xml:space="preserve"> NOTEREF pr_f_244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187</w:t>
      </w:r>
      <w:r>
        <w:rPr>
          <w:rStyle w:val="a5"/>
          <w:sz w:val="20"/>
          <w:szCs w:val="20"/>
          <w:vertAlign w:val="baseline"/>
          <w:rtl/>
        </w:rPr>
        <w:fldChar w:fldCharType="end"/>
      </w:r>
      <w:r>
        <w:rPr>
          <w:rStyle w:val="a5"/>
          <w:sz w:val="20"/>
          <w:szCs w:val="20"/>
          <w:vertAlign w:val="baseline"/>
          <w:rtl/>
        </w:rPr>
        <w:t xml:space="preserve"> בעמ׳ </w:t>
      </w:r>
      <w:r>
        <w:rPr>
          <w:rStyle w:val="a5"/>
          <w:sz w:val="20"/>
          <w:szCs w:val="20"/>
          <w:vertAlign w:val="baseline"/>
          <w:rtl/>
        </w:rPr>
        <w:fldChar w:fldCharType="begin" w:dirty="true"/>
      </w:r>
      <w:r>
        <w:rPr>
          <w:rStyle w:val="a5"/>
          <w:sz w:val="20"/>
          <w:szCs w:val="20"/>
          <w:vertAlign w:val="baseline"/>
          <w:rtl/>
        </w:rPr>
        <w:instrText xml:space="preserve"> PAGEREF pr_f_244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 – עמ׳ 495.</w:t>
      </w:r>
    </w:p>
  </w:footnote>
  <w:footnote w:id="421">
    <w:p w14:paraId="0DD4594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5 בנובמבר 1990.</w:t>
      </w:r>
    </w:p>
  </w:footnote>
  <w:footnote w:id="422">
    <w:p w14:paraId="267128B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“הראשון לשושלת </w:t>
      </w:r>
      <w:proofErr w:type="spellStart"/>
      <w:r>
        <w:rPr>
          <w:sz w:val="20"/>
          <w:szCs w:val="20"/>
          <w:rtl/>
        </w:rPr>
        <w:t>בריסק</w:t>
      </w:r>
      <w:proofErr w:type="spellEnd"/>
      <w:r>
        <w:rPr>
          <w:sz w:val="20"/>
          <w:szCs w:val="20"/>
          <w:rtl/>
        </w:rPr>
        <w:t xml:space="preserve">” מאת הרב חיים </w:t>
      </w:r>
      <w:proofErr w:type="spellStart"/>
      <w:r>
        <w:rPr>
          <w:sz w:val="20"/>
          <w:szCs w:val="20"/>
          <w:rtl/>
        </w:rPr>
        <w:t>קרלינסקי</w:t>
      </w:r>
      <w:proofErr w:type="spellEnd"/>
      <w:r>
        <w:rPr>
          <w:sz w:val="20"/>
          <w:szCs w:val="20"/>
          <w:rtl/>
        </w:rPr>
        <w:t xml:space="preserve">, מכון ירושלים, </w:t>
      </w:r>
      <w:proofErr w:type="spellStart"/>
      <w:r>
        <w:rPr>
          <w:sz w:val="20"/>
          <w:szCs w:val="20"/>
          <w:rtl/>
        </w:rPr>
        <w:t>תשד״ם</w:t>
      </w:r>
      <w:proofErr w:type="spellEnd"/>
      <w:r>
        <w:rPr>
          <w:sz w:val="20"/>
          <w:szCs w:val="20"/>
          <w:rtl/>
        </w:rPr>
        <w:t xml:space="preserve"> (להלן: “הראשון לשושלת </w:t>
      </w:r>
      <w:proofErr w:type="spellStart"/>
      <w:r>
        <w:rPr>
          <w:sz w:val="20"/>
          <w:szCs w:val="20"/>
          <w:rtl/>
        </w:rPr>
        <w:t>בריסק</w:t>
      </w:r>
      <w:proofErr w:type="spellEnd"/>
      <w:r>
        <w:rPr>
          <w:sz w:val="20"/>
          <w:szCs w:val="20"/>
          <w:rtl/>
        </w:rPr>
        <w:t>”), עמ׳ 52–56.</w:t>
      </w:r>
    </w:p>
  </w:footnote>
  <w:footnote w:id="423">
    <w:p w14:paraId="5E3307D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דבר זה מסרה ב־7 באוקטובר 1999 רוז </w:t>
      </w:r>
      <w:proofErr w:type="spellStart"/>
      <w:r>
        <w:rPr>
          <w:sz w:val="20"/>
          <w:szCs w:val="20"/>
          <w:rtl/>
        </w:rPr>
        <w:t>להרר־כהן</w:t>
      </w:r>
      <w:proofErr w:type="spellEnd"/>
      <w:r>
        <w:rPr>
          <w:sz w:val="20"/>
          <w:szCs w:val="20"/>
          <w:rtl/>
        </w:rPr>
        <w:t xml:space="preserve"> מיוהנסבורג שבדרום אפריקה, בשם אמה, שהייתה </w:t>
      </w:r>
      <w:proofErr w:type="spellStart"/>
      <w:r>
        <w:rPr>
          <w:sz w:val="20"/>
          <w:szCs w:val="20"/>
          <w:rtl/>
        </w:rPr>
        <w:t>מאוזוונט</w:t>
      </w:r>
      <w:proofErr w:type="spellEnd"/>
      <w:r>
        <w:rPr>
          <w:sz w:val="20"/>
          <w:szCs w:val="20"/>
          <w:rtl/>
        </w:rPr>
        <w:t xml:space="preserve"> אבל היו לה קרובים </w:t>
      </w:r>
      <w:proofErr w:type="spellStart"/>
      <w:r>
        <w:rPr>
          <w:sz w:val="20"/>
          <w:szCs w:val="20"/>
          <w:rtl/>
        </w:rPr>
        <w:t>בסלנט</w:t>
      </w:r>
      <w:proofErr w:type="spellEnd"/>
      <w:r>
        <w:rPr>
          <w:sz w:val="20"/>
          <w:szCs w:val="20"/>
          <w:rtl/>
        </w:rPr>
        <w:t>.</w:t>
      </w:r>
    </w:p>
  </w:footnote>
  <w:footnote w:id="424">
    <w:p w14:paraId="66C0680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ישראל, 1968 – עמ׳ 61.</w:t>
      </w:r>
    </w:p>
  </w:footnote>
  <w:footnote w:id="425">
    <w:p w14:paraId="7E645CE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“מינסק עיר ואם א”, עמ׳ 237.</w:t>
      </w:r>
    </w:p>
  </w:footnote>
  <w:footnote w:id="426">
    <w:p w14:paraId="6B4C6A1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אבי למד שם חצי שנה – השווה כרך 2.</w:t>
      </w:r>
    </w:p>
  </w:footnote>
  <w:footnote w:id="427">
    <w:p w14:paraId="6D8E2D3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יצא לאור ע״י האגודה התרבותית </w:t>
      </w:r>
      <w:proofErr w:type="spellStart"/>
      <w:r>
        <w:rPr>
          <w:sz w:val="20"/>
          <w:szCs w:val="20"/>
          <w:rtl/>
        </w:rPr>
        <w:t>היהודית־ליטאית</w:t>
      </w:r>
      <w:proofErr w:type="spellEnd"/>
      <w:r>
        <w:rPr>
          <w:sz w:val="20"/>
          <w:szCs w:val="20"/>
          <w:rtl/>
        </w:rPr>
        <w:t xml:space="preserve"> “</w:t>
      </w:r>
      <w:proofErr w:type="spellStart"/>
      <w:r>
        <w:rPr>
          <w:sz w:val="20"/>
          <w:szCs w:val="20"/>
          <w:rtl/>
        </w:rPr>
        <w:t>ליטע</w:t>
      </w:r>
      <w:proofErr w:type="spellEnd"/>
      <w:r>
        <w:rPr>
          <w:sz w:val="20"/>
          <w:szCs w:val="20"/>
          <w:rtl/>
        </w:rPr>
        <w:t>”, ניו יורק, 1951 (להלן: “</w:t>
      </w:r>
      <w:proofErr w:type="spellStart"/>
      <w:r>
        <w:rPr>
          <w:sz w:val="20"/>
          <w:szCs w:val="20"/>
          <w:rtl/>
        </w:rPr>
        <w:t>ליטע</w:t>
      </w:r>
      <w:proofErr w:type="spellEnd"/>
      <w:r>
        <w:rPr>
          <w:sz w:val="20"/>
          <w:szCs w:val="20"/>
          <w:rtl/>
        </w:rPr>
        <w:t>”) – עמ׳ 1439–1441.</w:t>
      </w:r>
    </w:p>
  </w:footnote>
  <w:footnote w:id="428">
    <w:p w14:paraId="026ABBB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ספר חסידים אות תשיא.</w:t>
      </w:r>
    </w:p>
  </w:footnote>
  <w:footnote w:id="429">
    <w:p w14:paraId="53AFBEE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כנראה תהלים צא – השווה שבועות ט״ו ע״ב, שיר של פגעים וברש״י שם.</w:t>
      </w:r>
    </w:p>
  </w:footnote>
  <w:footnote w:id="430">
    <w:p w14:paraId="183CA8C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2, הערה 41.</w:t>
      </w:r>
    </w:p>
  </w:footnote>
  <w:footnote w:id="431">
    <w:p w14:paraId="6A24800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10 בינואר 1998.</w:t>
      </w:r>
    </w:p>
  </w:footnote>
  <w:footnote w:id="432">
    <w:p w14:paraId="154FCE2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18 בדצמבר 1987.</w:t>
      </w:r>
    </w:p>
  </w:footnote>
  <w:footnote w:id="433">
    <w:p w14:paraId="31A3961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5, הפסקה הראשונה של נספח ד.</w:t>
      </w:r>
    </w:p>
  </w:footnote>
  <w:footnote w:id="434">
    <w:p w14:paraId="6BC0C7F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מעשה זה סיפר ר׳ </w:t>
      </w:r>
      <w:proofErr w:type="spellStart"/>
      <w:r>
        <w:rPr>
          <w:sz w:val="20"/>
          <w:szCs w:val="20"/>
          <w:rtl/>
        </w:rPr>
        <w:t>יעקב־יצחק</w:t>
      </w:r>
      <w:proofErr w:type="spellEnd"/>
      <w:r>
        <w:rPr>
          <w:sz w:val="20"/>
          <w:szCs w:val="20"/>
          <w:rtl/>
        </w:rPr>
        <w:t xml:space="preserve"> </w:t>
      </w:r>
      <w:proofErr w:type="spellStart"/>
      <w:r>
        <w:rPr>
          <w:sz w:val="20"/>
          <w:szCs w:val="20"/>
          <w:rtl/>
        </w:rPr>
        <w:t>רודרמן</w:t>
      </w:r>
      <w:proofErr w:type="spellEnd"/>
      <w:r>
        <w:rPr>
          <w:sz w:val="20"/>
          <w:szCs w:val="20"/>
          <w:rtl/>
        </w:rPr>
        <w:t xml:space="preserve"> בריאיון מוקלט עם כמה מחנכי תורה, בוגרי ישיבת רבנו ישראל מאיר הכהן, כשדיבר על כמה מקווי החינוך בישיבת </w:t>
      </w:r>
      <w:proofErr w:type="spellStart"/>
      <w:r>
        <w:rPr>
          <w:sz w:val="20"/>
          <w:szCs w:val="20"/>
          <w:rtl/>
        </w:rPr>
        <w:t>סלבודקה</w:t>
      </w:r>
      <w:proofErr w:type="spellEnd"/>
      <w:r>
        <w:rPr>
          <w:sz w:val="20"/>
          <w:szCs w:val="20"/>
          <w:rtl/>
        </w:rPr>
        <w:t>.</w:t>
      </w:r>
    </w:p>
  </w:footnote>
  <w:footnote w:id="435">
    <w:p w14:paraId="5DC52F7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בעניין </w:t>
      </w:r>
      <w:proofErr w:type="spellStart"/>
      <w:r>
        <w:rPr>
          <w:sz w:val="20"/>
          <w:szCs w:val="20"/>
          <w:rtl/>
        </w:rPr>
        <w:t>ה“פשט</w:t>
      </w:r>
      <w:proofErr w:type="spellEnd"/>
      <w:r>
        <w:rPr>
          <w:sz w:val="20"/>
          <w:szCs w:val="20"/>
          <w:rtl/>
        </w:rPr>
        <w:t xml:space="preserve">” של אבי שמשנה מסוימת נלמדה קודם זמן המבול (עמ׳ </w:t>
      </w:r>
      <w:r>
        <w:rPr>
          <w:sz w:val="20"/>
          <w:szCs w:val="20"/>
          <w:rtl/>
        </w:rPr>
        <w:fldChar w:fldCharType="begin" w:dirty="true"/>
      </w:r>
      <w:r>
        <w:rPr>
          <w:sz w:val="20"/>
          <w:szCs w:val="20"/>
          <w:rtl/>
        </w:rPr>
        <w:instrText xml:space="preserve"> PAGEREF pr_b_359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לעיל): ב־2 ביוני 2002, כשכתיבת ספר זה הגיעה לסיומה, מסר ר׳ יעקב </w:t>
      </w:r>
      <w:proofErr w:type="spellStart"/>
      <w:r>
        <w:rPr>
          <w:sz w:val="20"/>
          <w:szCs w:val="20"/>
          <w:rtl/>
        </w:rPr>
        <w:t>לויסון</w:t>
      </w:r>
      <w:proofErr w:type="spellEnd"/>
      <w:r>
        <w:rPr>
          <w:sz w:val="20"/>
          <w:szCs w:val="20"/>
          <w:rtl/>
        </w:rPr>
        <w:t xml:space="preserve"> בשם ר׳ יעקב </w:t>
      </w:r>
      <w:proofErr w:type="spellStart"/>
      <w:r>
        <w:rPr>
          <w:sz w:val="20"/>
          <w:szCs w:val="20"/>
          <w:rtl/>
        </w:rPr>
        <w:t>יאפען</w:t>
      </w:r>
      <w:proofErr w:type="spellEnd"/>
      <w:r>
        <w:rPr>
          <w:sz w:val="20"/>
          <w:szCs w:val="20"/>
          <w:rtl/>
        </w:rPr>
        <w:t xml:space="preserve"> שדרך הלימוד הרווחת בישיבות אמריקה כיום הייתה טובה ויפה בתקופה שלפני המבול, כשאנשים חיו שמונה מאות שנה והיה להם די זמן לעבור על הש״ס אפילו כשלמדו דפים מעטים בכל זמן – ראה פרק 3, הערה 129. אבל אחרי המבול דרך זו הרת אסון.</w:t>
      </w:r>
    </w:p>
  </w:footnote>
  <w:footnote w:id="436">
    <w:p w14:paraId="70BBD4E7"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מינסק נזכרת לראשונה בכרוניקה הרוסית הקדומה כבר בשנת </w:t>
      </w:r>
      <w:proofErr w:type="spellStart"/>
      <w:r>
        <w:rPr>
          <w:sz w:val="20"/>
          <w:szCs w:val="20"/>
          <w:rtl/>
        </w:rPr>
        <w:t>ד׳תתכ״ז</w:t>
      </w:r>
      <w:proofErr w:type="spellEnd"/>
      <w:r>
        <w:rPr>
          <w:sz w:val="20"/>
          <w:szCs w:val="20"/>
          <w:rtl/>
        </w:rPr>
        <w:t>, בקשר לקרב על נהר נמיגה – כמאתיים שנה לפני הזמן הנזכר כאן.</w:t>
      </w:r>
    </w:p>
  </w:footnote>
  <w:footnote w:id="437">
    <w:p w14:paraId="70E3A3D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מאמר בשם “</w:t>
      </w:r>
      <w:proofErr w:type="spellStart"/>
      <w:r>
        <w:rPr>
          <w:sz w:val="20"/>
          <w:szCs w:val="20"/>
          <w:rtl/>
        </w:rPr>
        <w:t>וואס</w:t>
      </w:r>
      <w:proofErr w:type="spellEnd"/>
      <w:r>
        <w:rPr>
          <w:sz w:val="20"/>
          <w:szCs w:val="20"/>
          <w:rtl/>
        </w:rPr>
        <w:t xml:space="preserve"> </w:t>
      </w:r>
      <w:proofErr w:type="spellStart"/>
      <w:r>
        <w:rPr>
          <w:sz w:val="20"/>
          <w:szCs w:val="20"/>
          <w:rtl/>
        </w:rPr>
        <w:t>ווילנע</w:t>
      </w:r>
      <w:proofErr w:type="spellEnd"/>
      <w:r>
        <w:rPr>
          <w:sz w:val="20"/>
          <w:szCs w:val="20"/>
          <w:rtl/>
        </w:rPr>
        <w:t xml:space="preserve"> און מינסק </w:t>
      </w:r>
      <w:proofErr w:type="spellStart"/>
      <w:r>
        <w:rPr>
          <w:sz w:val="20"/>
          <w:szCs w:val="20"/>
          <w:rtl/>
        </w:rPr>
        <w:t>האבען</w:t>
      </w:r>
      <w:proofErr w:type="spellEnd"/>
      <w:r>
        <w:rPr>
          <w:sz w:val="20"/>
          <w:szCs w:val="20"/>
          <w:rtl/>
        </w:rPr>
        <w:t xml:space="preserve"> </w:t>
      </w:r>
      <w:proofErr w:type="spellStart"/>
      <w:r>
        <w:rPr>
          <w:sz w:val="20"/>
          <w:szCs w:val="20"/>
          <w:rtl/>
        </w:rPr>
        <w:t>געמיינט</w:t>
      </w:r>
      <w:proofErr w:type="spellEnd"/>
      <w:r>
        <w:rPr>
          <w:sz w:val="20"/>
          <w:szCs w:val="20"/>
          <w:rtl/>
        </w:rPr>
        <w:t xml:space="preserve"> אין </w:t>
      </w:r>
      <w:proofErr w:type="spellStart"/>
      <w:r>
        <w:rPr>
          <w:sz w:val="20"/>
          <w:szCs w:val="20"/>
          <w:rtl/>
        </w:rPr>
        <w:t>אידישען</w:t>
      </w:r>
      <w:proofErr w:type="spellEnd"/>
      <w:r>
        <w:rPr>
          <w:sz w:val="20"/>
          <w:szCs w:val="20"/>
          <w:rtl/>
        </w:rPr>
        <w:t xml:space="preserve"> </w:t>
      </w:r>
      <w:proofErr w:type="spellStart"/>
      <w:r>
        <w:rPr>
          <w:sz w:val="20"/>
          <w:szCs w:val="20"/>
          <w:rtl/>
        </w:rPr>
        <w:t>לעבען</w:t>
      </w:r>
      <w:proofErr w:type="spellEnd"/>
      <w:r>
        <w:rPr>
          <w:sz w:val="20"/>
          <w:szCs w:val="20"/>
          <w:rtl/>
        </w:rPr>
        <w:t xml:space="preserve"> </w:t>
      </w:r>
      <w:proofErr w:type="spellStart"/>
      <w:r>
        <w:rPr>
          <w:sz w:val="20"/>
          <w:szCs w:val="20"/>
          <w:rtl/>
        </w:rPr>
        <w:t>איידער</w:t>
      </w:r>
      <w:proofErr w:type="spellEnd"/>
      <w:r>
        <w:rPr>
          <w:sz w:val="20"/>
          <w:szCs w:val="20"/>
          <w:rtl/>
        </w:rPr>
        <w:t xml:space="preserve"> </w:t>
      </w:r>
      <w:proofErr w:type="spellStart"/>
      <w:r>
        <w:rPr>
          <w:sz w:val="20"/>
          <w:szCs w:val="20"/>
          <w:rtl/>
        </w:rPr>
        <w:t>זיי</w:t>
      </w:r>
      <w:proofErr w:type="spellEnd"/>
      <w:r>
        <w:rPr>
          <w:sz w:val="20"/>
          <w:szCs w:val="20"/>
          <w:rtl/>
        </w:rPr>
        <w:t xml:space="preserve"> </w:t>
      </w:r>
      <w:proofErr w:type="spellStart"/>
      <w:r>
        <w:rPr>
          <w:sz w:val="20"/>
          <w:szCs w:val="20"/>
          <w:rtl/>
        </w:rPr>
        <w:t>זיינען</w:t>
      </w:r>
      <w:proofErr w:type="spellEnd"/>
      <w:r>
        <w:rPr>
          <w:sz w:val="20"/>
          <w:szCs w:val="20"/>
          <w:rtl/>
        </w:rPr>
        <w:t xml:space="preserve"> </w:t>
      </w:r>
      <w:proofErr w:type="spellStart"/>
      <w:r>
        <w:rPr>
          <w:sz w:val="20"/>
          <w:szCs w:val="20"/>
          <w:rtl/>
        </w:rPr>
        <w:t>צוטיילט</w:t>
      </w:r>
      <w:proofErr w:type="spellEnd"/>
      <w:r>
        <w:rPr>
          <w:sz w:val="20"/>
          <w:szCs w:val="20"/>
          <w:rtl/>
        </w:rPr>
        <w:t xml:space="preserve"> </w:t>
      </w:r>
      <w:proofErr w:type="spellStart"/>
      <w:r>
        <w:rPr>
          <w:sz w:val="20"/>
          <w:szCs w:val="20"/>
          <w:rtl/>
        </w:rPr>
        <w:t>געווארען</w:t>
      </w:r>
      <w:proofErr w:type="spellEnd"/>
      <w:r>
        <w:rPr>
          <w:sz w:val="20"/>
          <w:szCs w:val="20"/>
          <w:rtl/>
        </w:rPr>
        <w:t xml:space="preserve"> </w:t>
      </w:r>
      <w:proofErr w:type="spellStart"/>
      <w:r>
        <w:rPr>
          <w:sz w:val="20"/>
          <w:szCs w:val="20"/>
          <w:rtl/>
        </w:rPr>
        <w:t>נאך</w:t>
      </w:r>
      <w:proofErr w:type="spellEnd"/>
      <w:r>
        <w:rPr>
          <w:sz w:val="20"/>
          <w:szCs w:val="20"/>
          <w:rtl/>
        </w:rPr>
        <w:t xml:space="preserve"> </w:t>
      </w:r>
      <w:proofErr w:type="spellStart"/>
      <w:r>
        <w:rPr>
          <w:sz w:val="20"/>
          <w:szCs w:val="20"/>
          <w:rtl/>
        </w:rPr>
        <w:t>דער</w:t>
      </w:r>
      <w:proofErr w:type="spellEnd"/>
      <w:r>
        <w:rPr>
          <w:sz w:val="20"/>
          <w:szCs w:val="20"/>
          <w:rtl/>
        </w:rPr>
        <w:t xml:space="preserve"> </w:t>
      </w:r>
      <w:proofErr w:type="spellStart"/>
      <w:r>
        <w:rPr>
          <w:sz w:val="20"/>
          <w:szCs w:val="20"/>
          <w:rtl/>
        </w:rPr>
        <w:t>וועלט</w:t>
      </w:r>
      <w:proofErr w:type="spellEnd"/>
      <w:r>
        <w:rPr>
          <w:sz w:val="20"/>
          <w:szCs w:val="20"/>
          <w:rtl/>
        </w:rPr>
        <w:t xml:space="preserve"> מלחמה” (מה היו וילנה ומינסק בחיים היהודיים לפני שנפרדו זו מזו אחרי מלחמת העולם) מאת א. </w:t>
      </w:r>
      <w:proofErr w:type="spellStart"/>
      <w:r>
        <w:rPr>
          <w:sz w:val="20"/>
          <w:szCs w:val="20"/>
          <w:rtl/>
        </w:rPr>
        <w:t>ליטווין</w:t>
      </w:r>
      <w:proofErr w:type="spellEnd"/>
      <w:r>
        <w:rPr>
          <w:sz w:val="20"/>
          <w:szCs w:val="20"/>
          <w:rtl/>
        </w:rPr>
        <w:t xml:space="preserve">, </w:t>
      </w:r>
      <w:proofErr w:type="spellStart"/>
      <w:r>
        <w:rPr>
          <w:sz w:val="20"/>
          <w:szCs w:val="20"/>
          <w:rtl/>
        </w:rPr>
        <w:t>ב“מורנינג</w:t>
      </w:r>
      <w:proofErr w:type="spellEnd"/>
      <w:r>
        <w:rPr>
          <w:sz w:val="20"/>
          <w:szCs w:val="20"/>
          <w:rtl/>
        </w:rPr>
        <w:t xml:space="preserve"> </w:t>
      </w:r>
      <w:proofErr w:type="spellStart"/>
      <w:r>
        <w:rPr>
          <w:sz w:val="20"/>
          <w:szCs w:val="20"/>
          <w:rtl/>
        </w:rPr>
        <w:t>ג׳ורנל</w:t>
      </w:r>
      <w:proofErr w:type="spellEnd"/>
      <w:r>
        <w:rPr>
          <w:sz w:val="20"/>
          <w:szCs w:val="20"/>
          <w:rtl/>
        </w:rPr>
        <w:t>”, עיתון יומי ביידיש, ניו יורק, 10 באפריל 1938.</w:t>
      </w:r>
    </w:p>
  </w:footnote>
  <w:footnote w:id="438">
    <w:p w14:paraId="68116E1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אלא שנראה שבמשפחת </w:t>
      </w:r>
      <w:proofErr w:type="spellStart"/>
      <w:r>
        <w:rPr>
          <w:sz w:val="20"/>
          <w:szCs w:val="20"/>
          <w:rtl/>
        </w:rPr>
        <w:t>סולובייצ׳יק</w:t>
      </w:r>
      <w:proofErr w:type="spellEnd"/>
      <w:r>
        <w:rPr>
          <w:sz w:val="20"/>
          <w:szCs w:val="20"/>
          <w:rtl/>
        </w:rPr>
        <w:t xml:space="preserve"> לא היה מנהג כזה, שכן “עובדות והנהגות לבית </w:t>
      </w:r>
      <w:proofErr w:type="spellStart"/>
      <w:r>
        <w:rPr>
          <w:sz w:val="20"/>
          <w:szCs w:val="20"/>
          <w:rtl/>
        </w:rPr>
        <w:t>בריסק</w:t>
      </w:r>
      <w:proofErr w:type="spellEnd"/>
      <w:r>
        <w:rPr>
          <w:sz w:val="20"/>
          <w:szCs w:val="20"/>
          <w:rtl/>
        </w:rPr>
        <w:t xml:space="preserve">” (הנ״ל, פרק 1, הפסקה השנייה בהערה 21), חלק ב, עמ׳ </w:t>
      </w:r>
      <w:proofErr w:type="spellStart"/>
      <w:r>
        <w:rPr>
          <w:sz w:val="20"/>
          <w:szCs w:val="20"/>
          <w:rtl/>
        </w:rPr>
        <w:t>יב</w:t>
      </w:r>
      <w:proofErr w:type="spellEnd"/>
      <w:r>
        <w:rPr>
          <w:sz w:val="20"/>
          <w:szCs w:val="20"/>
          <w:rtl/>
        </w:rPr>
        <w:t xml:space="preserve">, מספר שר׳ יצחק־זאב </w:t>
      </w:r>
      <w:proofErr w:type="spellStart"/>
      <w:r>
        <w:rPr>
          <w:sz w:val="20"/>
          <w:szCs w:val="20"/>
          <w:rtl/>
        </w:rPr>
        <w:t>סולובייצ׳יק</w:t>
      </w:r>
      <w:proofErr w:type="spellEnd"/>
      <w:r>
        <w:rPr>
          <w:sz w:val="20"/>
          <w:szCs w:val="20"/>
          <w:rtl/>
        </w:rPr>
        <w:t>, בנו של ר׳ חיים, הרשה לנער בר מצווה לומר אחד מחידושיו שלו.</w:t>
      </w:r>
    </w:p>
  </w:footnote>
  <w:footnote w:id="439">
    <w:p w14:paraId="7FB9FD8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17 ביולי 1997.</w:t>
      </w:r>
    </w:p>
  </w:footnote>
  <w:footnote w:id="440">
    <w:p w14:paraId="1D3F868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הפסקה השלישית מהסוף בפרק 5.2, ופרק 3, הפסקה הראשונה בנספח </w:t>
      </w:r>
      <w:proofErr w:type="spellStart"/>
      <w:r>
        <w:rPr>
          <w:sz w:val="20"/>
          <w:szCs w:val="20"/>
          <w:rtl/>
        </w:rPr>
        <w:t>יח</w:t>
      </w:r>
      <w:proofErr w:type="spellEnd"/>
      <w:r>
        <w:rPr>
          <w:sz w:val="20"/>
          <w:szCs w:val="20"/>
          <w:rtl/>
        </w:rPr>
        <w:t>.</w:t>
      </w:r>
    </w:p>
  </w:footnote>
  <w:footnote w:id="441">
    <w:p w14:paraId="291886F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ח״א, עמ׳ רצו.</w:t>
      </w:r>
    </w:p>
  </w:footnote>
  <w:footnote w:id="442">
    <w:p w14:paraId="2CFD913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3, הפסקה הראשונה בנספח ח.</w:t>
      </w:r>
    </w:p>
  </w:footnote>
  <w:footnote w:id="443">
    <w:p w14:paraId="16B981CB"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בחלוקת תקנ״ג, השנייה מחלוקות פולין, השתתפו רוסיה ופרוסיה בלבד; אוסטריה נטלה חלק בחלוקות של תקל״ב </w:t>
      </w:r>
      <w:proofErr w:type="spellStart"/>
      <w:r>
        <w:rPr>
          <w:sz w:val="20"/>
          <w:szCs w:val="20"/>
          <w:rtl/>
        </w:rPr>
        <w:t>ותקנ״ה</w:t>
      </w:r>
      <w:proofErr w:type="spellEnd"/>
      <w:r>
        <w:rPr>
          <w:sz w:val="20"/>
          <w:szCs w:val="20"/>
          <w:rtl/>
        </w:rPr>
        <w:t>.</w:t>
      </w:r>
    </w:p>
  </w:footnote>
  <w:footnote w:id="444">
    <w:p w14:paraId="65B4F7C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“מינסק עיר ואם” (הנ״ל, פרק 1, הערת שוליים </w:t>
      </w:r>
      <w:r>
        <w:rPr>
          <w:sz w:val="20"/>
          <w:szCs w:val="20"/>
          <w:rtl/>
        </w:rPr>
        <w:fldChar w:fldCharType="begin" w:dirty="true"/>
      </w:r>
      <w:r>
        <w:rPr>
          <w:sz w:val="20"/>
          <w:szCs w:val="20"/>
          <w:rtl/>
        </w:rPr>
        <w:instrText xml:space="preserve"> NOTEREF pr_f_244 \h </w:instrText>
      </w:r>
      <w:r>
        <w:rPr>
          <w:sz w:val="20"/>
          <w:szCs w:val="20"/>
          <w:rtl/>
        </w:rPr>
      </w:r>
      <w:r>
        <w:rPr>
          <w:sz w:val="20"/>
          <w:szCs w:val="20"/>
          <w:rtl/>
        </w:rPr>
        <w:fldChar w:fldCharType="separate"/>
      </w:r>
      <w:r w:rsidR="007923E9">
        <w:rPr>
          <w:sz w:val="20"/>
          <w:szCs w:val="20"/>
          <w:rtl/>
        </w:rPr>
        <w:t>187</w:t>
      </w:r>
      <w:r>
        <w:rPr>
          <w:sz w:val="20"/>
          <w:szCs w:val="20"/>
          <w:rtl/>
        </w:rPr>
        <w:fldChar w:fldCharType="end"/>
      </w:r>
      <w:r>
        <w:rPr>
          <w:sz w:val="20"/>
          <w:szCs w:val="20"/>
          <w:rtl/>
        </w:rPr>
        <w:t xml:space="preserve">, עמ׳ </w:t>
      </w:r>
      <w:r>
        <w:rPr>
          <w:sz w:val="20"/>
          <w:szCs w:val="20"/>
          <w:rtl/>
        </w:rPr>
        <w:fldChar w:fldCharType="begin" w:dirty="true"/>
      </w:r>
      <w:r>
        <w:rPr>
          <w:sz w:val="20"/>
          <w:szCs w:val="20"/>
          <w:rtl/>
        </w:rPr>
        <w:instrText xml:space="preserve"> PAGEREF pr_f_244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כרך 1, עמ׳ 11.</w:t>
      </w:r>
    </w:p>
  </w:footnote>
  <w:footnote w:id="445">
    <w:p w14:paraId="6A93500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168.</w:t>
      </w:r>
    </w:p>
  </w:footnote>
  <w:footnote w:id="446">
    <w:p w14:paraId="3071431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מאת מרדכי </w:t>
      </w:r>
      <w:proofErr w:type="spellStart"/>
      <w:r>
        <w:rPr>
          <w:sz w:val="20"/>
          <w:szCs w:val="20"/>
          <w:rtl/>
        </w:rPr>
        <w:t>שעכטער</w:t>
      </w:r>
      <w:proofErr w:type="spellEnd"/>
      <w:r>
        <w:rPr>
          <w:sz w:val="20"/>
          <w:szCs w:val="20"/>
          <w:rtl/>
        </w:rPr>
        <w:t xml:space="preserve"> (הוצאת </w:t>
      </w:r>
      <w:proofErr w:type="spellStart"/>
      <w:r>
        <w:rPr>
          <w:sz w:val="20"/>
          <w:szCs w:val="20"/>
          <w:rtl/>
        </w:rPr>
        <w:t>ייווא</w:t>
      </w:r>
      <w:proofErr w:type="spellEnd"/>
      <w:r>
        <w:rPr>
          <w:sz w:val="20"/>
          <w:szCs w:val="20"/>
          <w:rtl/>
        </w:rPr>
        <w:t xml:space="preserve">, </w:t>
      </w:r>
      <w:proofErr w:type="spellStart"/>
      <w:r>
        <w:rPr>
          <w:sz w:val="20"/>
          <w:szCs w:val="20"/>
          <w:rtl/>
        </w:rPr>
        <w:t xml:space="preserve">ניו יורק</w:t>
      </w:r>
      <w:proofErr w:type="spellEnd"/>
      <w:r>
        <w:rPr>
          <w:sz w:val="20"/>
          <w:szCs w:val="20"/>
          <w:rtl/>
        </w:rPr>
        <w:t>, תשכ״ד).</w:t>
      </w:r>
    </w:p>
  </w:footnote>
  <w:footnote w:id="447">
    <w:p w14:paraId="042734C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גם הרבנית של ר׳ ישראל מתה באותה מגפה – ראה כץ, “תנועת המוסר”, כרך א (הנ״ל, פרק 1, הערת שוליים </w:t>
      </w:r>
      <w:r>
        <w:rPr>
          <w:sz w:val="20"/>
          <w:szCs w:val="20"/>
          <w:rtl/>
        </w:rPr>
        <w:fldChar w:fldCharType="begin" w:dirty="true"/>
      </w:r>
      <w:r>
        <w:rPr>
          <w:sz w:val="20"/>
          <w:szCs w:val="20"/>
          <w:rtl/>
        </w:rPr>
        <w:instrText xml:space="preserve"> NOTEREF pr_f_277 \h </w:instrText>
      </w:r>
      <w:r>
        <w:rPr>
          <w:sz w:val="20"/>
          <w:szCs w:val="20"/>
          <w:rtl/>
        </w:rPr>
      </w:r>
      <w:r>
        <w:rPr>
          <w:sz w:val="20"/>
          <w:szCs w:val="20"/>
          <w:rtl/>
        </w:rPr>
        <w:fldChar w:fldCharType="separate"/>
      </w:r>
      <w:r w:rsidR="007923E9">
        <w:rPr>
          <w:sz w:val="20"/>
          <w:szCs w:val="20"/>
          <w:rtl/>
        </w:rPr>
        <w:t>220</w:t>
      </w:r>
      <w:r>
        <w:rPr>
          <w:sz w:val="20"/>
          <w:szCs w:val="20"/>
          <w:rtl/>
        </w:rPr>
        <w:fldChar w:fldCharType="end"/>
      </w:r>
      <w:r>
        <w:rPr>
          <w:sz w:val="20"/>
          <w:szCs w:val="20"/>
          <w:rtl/>
        </w:rPr>
        <w:t xml:space="preserve">, עמ׳ </w:t>
      </w:r>
      <w:r>
        <w:rPr>
          <w:sz w:val="20"/>
          <w:szCs w:val="20"/>
          <w:rtl/>
        </w:rPr>
        <w:fldChar w:fldCharType="begin" w:dirty="true"/>
      </w:r>
      <w:r>
        <w:rPr>
          <w:sz w:val="20"/>
          <w:szCs w:val="20"/>
          <w:rtl/>
        </w:rPr>
        <w:instrText xml:space="preserve"> PAGEREF pr_f_277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הערה 8 בעמ׳ 160.</w:t>
      </w:r>
    </w:p>
  </w:footnote>
  <w:footnote w:id="448">
    <w:p w14:paraId="6F1F8576"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proofErr w:type="spellStart"/>
      <w:r>
        <w:rPr>
          <w:sz w:val="20"/>
          <w:szCs w:val="20"/>
          <w:rtl/>
        </w:rPr>
        <w:t>צונזער</w:t>
      </w:r>
      <w:proofErr w:type="spellEnd"/>
      <w:r>
        <w:rPr>
          <w:sz w:val="20"/>
          <w:szCs w:val="20"/>
          <w:rtl/>
        </w:rPr>
        <w:t xml:space="preserve"> היגר לאמריקה עשר שנים קודם לכן, בשנת תרמ״ט או בתחילת </w:t>
      </w:r>
      <w:proofErr w:type="spellStart"/>
      <w:r>
        <w:rPr>
          <w:sz w:val="20"/>
          <w:szCs w:val="20"/>
          <w:rtl/>
        </w:rPr>
        <w:t>תר״ן</w:t>
      </w:r>
      <w:proofErr w:type="spellEnd"/>
      <w:r>
        <w:rPr>
          <w:sz w:val="20"/>
          <w:szCs w:val="20"/>
          <w:rtl/>
        </w:rPr>
        <w:t>.</w:t>
      </w:r>
    </w:p>
  </w:footnote>
  <w:footnote w:id="449">
    <w:p w14:paraId="274FE64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מאת הרב מאיר ברלין (ניו יורק</w:t>
      </w:r>
      <w:proofErr w:type="spellStart"/>
      <w:r>
        <w:rPr>
          <w:sz w:val="20"/>
          <w:szCs w:val="20"/>
          <w:rtl/>
        </w:rPr>
        <w:t xml:space="preserve"/>
      </w:r>
      <w:proofErr w:type="spellEnd"/>
      <w:r>
        <w:rPr>
          <w:sz w:val="20"/>
          <w:szCs w:val="20"/>
          <w:rtl/>
        </w:rPr>
        <w:t xml:space="preserve">, 1933) (להלן: “פון </w:t>
      </w:r>
      <w:proofErr w:type="spellStart"/>
      <w:r>
        <w:rPr>
          <w:sz w:val="20"/>
          <w:szCs w:val="20"/>
          <w:rtl/>
        </w:rPr>
        <w:t>וואלאזין</w:t>
      </w:r>
      <w:proofErr w:type="spellEnd"/>
      <w:r>
        <w:rPr>
          <w:sz w:val="20"/>
          <w:szCs w:val="20"/>
          <w:rtl/>
        </w:rPr>
        <w:t xml:space="preserve"> </w:t>
      </w:r>
      <w:proofErr w:type="spellStart"/>
      <w:r>
        <w:rPr>
          <w:sz w:val="20"/>
          <w:szCs w:val="20"/>
          <w:rtl/>
        </w:rPr>
        <w:t>ביז</w:t>
      </w:r>
      <w:proofErr w:type="spellEnd"/>
      <w:r>
        <w:rPr>
          <w:sz w:val="20"/>
          <w:szCs w:val="20"/>
          <w:rtl/>
        </w:rPr>
        <w:t xml:space="preserve"> ירושלים”) – כרך 2, עמ׳ 322.</w:t>
      </w:r>
    </w:p>
  </w:footnote>
  <w:footnote w:id="450">
    <w:p w14:paraId="7C847A7C" w14:textId="77777777" w:rsidR="00AB3647" w:rsidRDefault="00000000">
      <w:pPr>
        <w:spacing w:after="0" w:before="0"/>
        <w:jc w:val="both"/>
      </w:pPr>
      <w:r>
        <w:rPr>
          <w:rStyle w:val="a5"/>
          <w:vertAlign w:val="superscript"/>
          <w:rtl/>
        </w:rPr>
        <w:footnoteRef/>
      </w:r>
      <w:r>
        <w:rPr>
          <w:sz w:val="20"/>
          <w:szCs w:val="20"/>
        </w:rPr>
        <w:t xml:space="preserve"> </w:t>
      </w:r>
      <w:r>
        <w:rPr>
          <w:color w:val="000000"/>
          <w:sz w:val="20"/>
          <w:szCs w:val="20"/>
          <w:rtl/>
        </w:rPr>
      </w:r>
      <w:r>
        <w:rPr>
          <w:color w:val="000000"/>
          <w:sz w:val="20"/>
          <w:szCs w:val="20"/>
          <w:rtl/>
        </w:rPr>
        <w:t xml:space="preserve">הערת המתרגם: מסילת הברזל הגיעה </w:t>
      </w:r>
      <w:proofErr w:type="spellStart"/>
      <w:r>
        <w:rPr>
          <w:color w:val="000000"/>
          <w:sz w:val="20"/>
          <w:szCs w:val="20"/>
          <w:rtl/>
        </w:rPr>
        <w:t>לנובוזיבקוב</w:t>
      </w:r>
      <w:proofErr w:type="spellEnd"/>
      <w:r>
        <w:rPr>
          <w:color w:val="000000"/>
          <w:sz w:val="20"/>
          <w:szCs w:val="20"/>
          <w:rtl/>
        </w:rPr>
        <w:t xml:space="preserve"> רק בשנת תרמ״ז, עם פתיחת קו גומל–</w:t>
      </w:r>
      <w:proofErr w:type="spellStart"/>
      <w:r>
        <w:rPr>
          <w:color w:val="000000"/>
          <w:sz w:val="20"/>
          <w:szCs w:val="20"/>
          <w:rtl/>
        </w:rPr>
        <w:t>בריאנסק</w:t>
      </w:r>
      <w:proofErr w:type="spellEnd"/>
      <w:r>
        <w:rPr>
          <w:color w:val="000000"/>
          <w:sz w:val="20"/>
          <w:szCs w:val="20"/>
          <w:rtl/>
        </w:rPr>
        <w:t>, לאחר שנות כהונתו של בעל “ערוך השולחן” בעיר המצוינות כאן.</w:t>
      </w:r>
    </w:p>
  </w:footnote>
  <w:footnote w:id="451">
    <w:p w14:paraId="3F42B0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4, הפסקה הראשונה בנספח </w:t>
      </w:r>
      <w:proofErr w:type="spellStart"/>
      <w:r>
        <w:rPr>
          <w:sz w:val="20"/>
          <w:szCs w:val="20"/>
          <w:rtl/>
        </w:rPr>
        <w:t>יז</w:t>
      </w:r>
      <w:proofErr w:type="spellEnd"/>
      <w:r>
        <w:rPr>
          <w:sz w:val="20"/>
          <w:szCs w:val="20"/>
          <w:rtl/>
        </w:rPr>
        <w:t>.</w:t>
      </w:r>
    </w:p>
  </w:footnote>
  <w:footnote w:id="452">
    <w:p w14:paraId="3F1684B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הנ״ל, פרק 1, הערה 1 – כרך 1, עמ׳ 236.</w:t>
      </w:r>
    </w:p>
  </w:footnote>
  <w:footnote w:id="453">
    <w:p w14:paraId="5DEF0D1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197–198.</w:t>
      </w:r>
    </w:p>
  </w:footnote>
  <w:footnote w:id="454">
    <w:p w14:paraId="36D62D2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3, עמ׳ 31.</w:t>
      </w:r>
    </w:p>
  </w:footnote>
  <w:footnote w:id="455">
    <w:p w14:paraId="518E3BE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“מינסק עיר ואם א”, עמ׳ 74.</w:t>
      </w:r>
    </w:p>
  </w:footnote>
  <w:footnote w:id="456">
    <w:p w14:paraId="589D02D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14, עמ׳ 451.</w:t>
      </w:r>
    </w:p>
  </w:footnote>
  <w:footnote w:id="457">
    <w:p w14:paraId="1A8361A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“מינסק עיר ואם א”, עמ׳ 72.</w:t>
      </w:r>
    </w:p>
  </w:footnote>
  <w:footnote w:id="458">
    <w:p w14:paraId="3D46123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עמ׳ 557. והשווה גם עמ׳ 627, שבו רושם הרב שלמה פינס, נצר למשפחה </w:t>
      </w:r>
      <w:proofErr w:type="spellStart"/>
      <w:r>
        <w:rPr>
          <w:sz w:val="20"/>
          <w:szCs w:val="20"/>
          <w:rtl/>
        </w:rPr>
        <w:t>מינסקאית</w:t>
      </w:r>
      <w:proofErr w:type="spellEnd"/>
      <w:r>
        <w:rPr>
          <w:sz w:val="20"/>
          <w:szCs w:val="20"/>
          <w:rtl/>
        </w:rPr>
        <w:t xml:space="preserve"> חשובה, אגדה הקשורה במקום קבורתו של הרב </w:t>
      </w:r>
      <w:proofErr w:type="spellStart"/>
      <w:r>
        <w:rPr>
          <w:sz w:val="20"/>
          <w:szCs w:val="20"/>
          <w:rtl/>
        </w:rPr>
        <w:t>היילפרין</w:t>
      </w:r>
      <w:proofErr w:type="spellEnd"/>
      <w:r>
        <w:rPr>
          <w:sz w:val="20"/>
          <w:szCs w:val="20"/>
          <w:rtl/>
        </w:rPr>
        <w:t>.</w:t>
      </w:r>
    </w:p>
  </w:footnote>
  <w:footnote w:id="459">
    <w:p w14:paraId="4434C96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ההערה הבאה.</w:t>
      </w:r>
    </w:p>
  </w:footnote>
  <w:footnote w:id="460">
    <w:p w14:paraId="38203C7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הערה 103.</w:t>
      </w:r>
    </w:p>
  </w:footnote>
  <w:footnote w:id="461">
    <w:p w14:paraId="47BC108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3 בינואר 1991.</w:t>
      </w:r>
    </w:p>
  </w:footnote>
  <w:footnote w:id="462">
    <w:p w14:paraId="14D2AB1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ההערה הקודמת.</w:t>
      </w:r>
    </w:p>
  </w:footnote>
  <w:footnote w:id="463">
    <w:p w14:paraId="70FB477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פרטים אלה ואלה שבהערות הבאות לוקטו מן הנספח הביוגרפי </w:t>
      </w:r>
      <w:proofErr w:type="spellStart"/>
      <w:r>
        <w:rPr>
          <w:sz w:val="20"/>
          <w:szCs w:val="20"/>
          <w:rtl/>
        </w:rPr>
        <w:t>לשו״ת</w:t>
      </w:r>
      <w:proofErr w:type="spellEnd"/>
      <w:r>
        <w:rPr>
          <w:sz w:val="20"/>
          <w:szCs w:val="20"/>
          <w:rtl/>
        </w:rPr>
        <w:t xml:space="preserve"> שאגת אריה (מכון להוצאת ספרים וכו׳ ע״ש </w:t>
      </w:r>
      <w:proofErr w:type="spellStart"/>
      <w:r>
        <w:rPr>
          <w:sz w:val="20"/>
          <w:szCs w:val="20"/>
          <w:rtl/>
        </w:rPr>
        <w:t>החתם־סופר</w:t>
      </w:r>
      <w:proofErr w:type="spellEnd"/>
      <w:r>
        <w:rPr>
          <w:sz w:val="20"/>
          <w:szCs w:val="20"/>
          <w:rtl/>
        </w:rPr>
        <w:t xml:space="preserve">, ירושלים, תשל״ג), מאת הרב מאיר משה ישר, ומן המבוא הביוגרפי לספר “רבנו </w:t>
      </w:r>
      <w:proofErr w:type="spellStart"/>
      <w:r>
        <w:rPr>
          <w:sz w:val="20"/>
          <w:szCs w:val="20"/>
          <w:rtl/>
        </w:rPr>
        <w:t>ה‘שאגת</w:t>
      </w:r>
      <w:proofErr w:type="spellEnd"/>
      <w:r>
        <w:rPr>
          <w:sz w:val="20"/>
          <w:szCs w:val="20"/>
          <w:rtl/>
        </w:rPr>
        <w:t xml:space="preserve"> אריה’ חייו ותורתו”, מאת שמואל ירושלמי (הוצאת פישר, ירושלים, תשנ״א) (שעל כריכתו נקרא “שאגת אריה המפורש”).</w:t>
      </w:r>
    </w:p>
  </w:footnote>
  <w:footnote w:id="464">
    <w:p w14:paraId="72F2329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יב</w:t>
      </w:r>
      <w:proofErr w:type="spellEnd"/>
      <w:r>
        <w:rPr>
          <w:sz w:val="20"/>
          <w:szCs w:val="20"/>
          <w:rtl/>
        </w:rPr>
        <w:t>.</w:t>
      </w:r>
    </w:p>
  </w:footnote>
  <w:footnote w:id="465">
    <w:p w14:paraId="508CB7D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466">
    <w:p w14:paraId="4175378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6 באוגוסט 1995.</w:t>
      </w:r>
    </w:p>
  </w:footnote>
  <w:footnote w:id="467">
    <w:p w14:paraId="48E0050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הנ״ל, עמ׳ </w:t>
      </w:r>
      <w:r>
        <w:rPr>
          <w:rStyle w:val="a5"/>
          <w:sz w:val="20"/>
          <w:szCs w:val="20"/>
          <w:vertAlign w:val="baseline"/>
          <w:rtl/>
        </w:rPr>
        <w:fldChar w:fldCharType="begin" w:dirty="true"/>
      </w:r>
      <w:r>
        <w:rPr>
          <w:rStyle w:val="a5"/>
          <w:sz w:val="20"/>
          <w:szCs w:val="20"/>
          <w:vertAlign w:val="baseline"/>
          <w:rtl/>
        </w:rPr>
        <w:instrText xml:space="preserve"> PAGEREF pr_f_66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 xml:space="preserve">, הערת שוליים </w:t>
      </w:r>
      <w:r>
        <w:rPr>
          <w:rStyle w:val="a5"/>
          <w:sz w:val="20"/>
          <w:szCs w:val="20"/>
          <w:vertAlign w:val="baseline"/>
          <w:rtl/>
        </w:rPr>
        <w:fldChar w:fldCharType="begin" w:dirty="true"/>
      </w:r>
      <w:r>
        <w:rPr>
          <w:rStyle w:val="a5"/>
          <w:sz w:val="20"/>
          <w:szCs w:val="20"/>
          <w:vertAlign w:val="baseline"/>
          <w:rtl/>
        </w:rPr>
        <w:instrText xml:space="preserve"> NOTEREF pr_f_66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11</w:t>
      </w:r>
      <w:r>
        <w:rPr>
          <w:rStyle w:val="a5"/>
          <w:sz w:val="20"/>
          <w:szCs w:val="20"/>
          <w:vertAlign w:val="baseline"/>
          <w:rtl/>
        </w:rPr>
        <w:fldChar w:fldCharType="end"/>
      </w:r>
      <w:r>
        <w:rPr>
          <w:rStyle w:val="a5"/>
          <w:sz w:val="20"/>
          <w:szCs w:val="20"/>
          <w:vertAlign w:val="baseline"/>
          <w:rtl/>
        </w:rPr>
        <w:t xml:space="preserve"> – עמ׳ 61–68 והערה 9 בעמ׳ 68–69</w:t>
      </w:r>
      <w:r>
        <w:rPr>
          <w:sz w:val="20"/>
          <w:szCs w:val="20"/>
          <w:rtl/>
        </w:rPr>
        <w:t>.</w:t>
      </w:r>
    </w:p>
  </w:footnote>
  <w:footnote w:id="468">
    <w:p w14:paraId="552D558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א. ספר זה יצא לאור בבני ברק, תשנ״ח, והוא קובץ סיפורים היסטוריים על “רבותינו גדולי הדורות... שיצאו בזמנים (שונים) בשלהבת אש קודש מפי מרן מורה דרכם של ישראל, מלמד העם (</w:t>
      </w:r>
      <w:proofErr w:type="spellStart"/>
      <w:r>
        <w:rPr>
          <w:sz w:val="20"/>
          <w:szCs w:val="20"/>
          <w:rtl/>
        </w:rPr>
        <w:t>הגרא״מ</w:t>
      </w:r>
      <w:proofErr w:type="spellEnd"/>
      <w:r>
        <w:rPr>
          <w:sz w:val="20"/>
          <w:szCs w:val="20"/>
          <w:rtl/>
        </w:rPr>
        <w:t xml:space="preserve"> שך)... נכתבו וסודרו לדפוס על ידי נכדו אשר ברגמן”. הספר מובא כאן ובמקומות אחרים ברשותו האדיבה של אותו מחבר.</w:t>
      </w:r>
    </w:p>
  </w:footnote>
  <w:footnote w:id="469">
    <w:p w14:paraId="4736E52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מאת אהרן מרקוס (הוצאת “נצח”, </w:t>
      </w:r>
      <w:proofErr w:type="spellStart"/>
      <w:r>
        <w:rPr>
          <w:sz w:val="20"/>
          <w:szCs w:val="20"/>
          <w:rtl/>
        </w:rPr>
        <w:t>תל־אביב</w:t>
      </w:r>
      <w:proofErr w:type="spellEnd"/>
      <w:r>
        <w:rPr>
          <w:sz w:val="20"/>
          <w:szCs w:val="20"/>
          <w:rtl/>
        </w:rPr>
        <w:t>, תשי״ד) – עמ׳ 73.</w:t>
      </w:r>
    </w:p>
  </w:footnote>
  <w:footnote w:id="470">
    <w:p w14:paraId="2002AD9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הערה 33 להלן.</w:t>
      </w:r>
    </w:p>
  </w:footnote>
  <w:footnote w:id="471">
    <w:p w14:paraId="21CB37B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ועיין חכמת אדם, כלל י״ג </w:t>
      </w:r>
      <w:proofErr w:type="spellStart"/>
      <w:r>
        <w:rPr>
          <w:sz w:val="20"/>
          <w:szCs w:val="20"/>
          <w:rtl/>
        </w:rPr>
        <w:t>סי״ז</w:t>
      </w:r>
      <w:proofErr w:type="spellEnd"/>
      <w:r>
        <w:rPr>
          <w:sz w:val="20"/>
          <w:szCs w:val="20"/>
          <w:rtl/>
        </w:rPr>
        <w:t>.</w:t>
      </w:r>
    </w:p>
  </w:footnote>
  <w:footnote w:id="472">
    <w:p w14:paraId="0C24BBC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 לעיל – ח״א, עמ׳ קנה–קנו.</w:t>
      </w:r>
    </w:p>
  </w:footnote>
  <w:footnote w:id="473">
    <w:p w14:paraId="78455EE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5, הערה 24.</w:t>
      </w:r>
    </w:p>
  </w:footnote>
  <w:footnote w:id="474">
    <w:p w14:paraId="1857471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גם “תולדות העם היהודי מנחמיה ועד ימינו”, מאת הרב חיים דב </w:t>
      </w:r>
      <w:proofErr w:type="spellStart"/>
      <w:r>
        <w:rPr>
          <w:sz w:val="20"/>
          <w:szCs w:val="20"/>
          <w:rtl/>
        </w:rPr>
        <w:t>רבינוביץ</w:t>
      </w:r>
      <w:proofErr w:type="spellEnd"/>
      <w:r>
        <w:rPr>
          <w:sz w:val="20"/>
          <w:szCs w:val="20"/>
          <w:rtl/>
        </w:rPr>
        <w:t xml:space="preserve"> (הוצאת מאזנים, ניו יורק/ירושלים, 1998), כרך 2 (להלן: </w:t>
      </w:r>
      <w:proofErr w:type="spellStart"/>
      <w:r>
        <w:rPr>
          <w:sz w:val="20"/>
          <w:szCs w:val="20"/>
          <w:rtl/>
        </w:rPr>
        <w:t>רבינוביץ</w:t>
      </w:r>
      <w:proofErr w:type="spellEnd"/>
      <w:r>
        <w:rPr>
          <w:sz w:val="20"/>
          <w:szCs w:val="20"/>
          <w:rtl/>
        </w:rPr>
        <w:t>), עמ׳ 299 ו־303.</w:t>
      </w:r>
    </w:p>
  </w:footnote>
  <w:footnote w:id="475">
    <w:p w14:paraId="674F48F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3, הפסקה השנייה בנספח ה, מה שסיפר אבי על היחס שקיבל ר׳ רפאל מן השאגת אריה בשעה שהראשון כיהן בסביבות מינסק והאחרון שב למינסק עצמה.</w:t>
      </w:r>
    </w:p>
  </w:footnote>
  <w:footnote w:id="476">
    <w:p w14:paraId="67AE54F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המחבר בחר בחכמה שם המבוסס על יהושע טו, לח, הקרוב דיו לשם הספר שתקף, ושונה דיו כדי לרמוז שפסקי ר׳ רפאל מאוסים. ראה פירוש רש״י למילה </w:t>
      </w:r>
      <w:proofErr w:type="spellStart"/>
      <w:r>
        <w:rPr>
          <w:sz w:val="20"/>
          <w:szCs w:val="20"/>
          <w:rtl/>
        </w:rPr>
        <w:t>יקתאל</w:t>
      </w:r>
      <w:proofErr w:type="spellEnd"/>
      <w:r>
        <w:rPr>
          <w:sz w:val="20"/>
          <w:szCs w:val="20"/>
          <w:rtl/>
        </w:rPr>
        <w:t xml:space="preserve"> במלכים ב יד, ז.</w:t>
      </w:r>
    </w:p>
  </w:footnote>
  <w:footnote w:id="477">
    <w:p w14:paraId="25FE548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וע׳ מאורן של ישראל רבינו עקיבא איגר זצ״ל (הוצאת מכון שם משמואל, ברוקלין, </w:t>
      </w:r>
      <w:proofErr w:type="spellStart"/>
      <w:r>
        <w:rPr>
          <w:sz w:val="20"/>
          <w:szCs w:val="20"/>
          <w:rtl/>
        </w:rPr>
        <w:t>תש״ן</w:t>
      </w:r>
      <w:proofErr w:type="spellEnd"/>
      <w:r>
        <w:rPr>
          <w:sz w:val="20"/>
          <w:szCs w:val="20"/>
          <w:rtl/>
        </w:rPr>
        <w:t xml:space="preserve">) (להלן: “מאורן של ישראל”) </w:t>
      </w:r>
      <w:proofErr w:type="spellStart"/>
      <w:r>
        <w:rPr>
          <w:sz w:val="20"/>
          <w:szCs w:val="20"/>
          <w:rtl/>
        </w:rPr>
        <w:t>ח״ב</w:t>
      </w:r>
      <w:proofErr w:type="spellEnd"/>
      <w:r>
        <w:rPr>
          <w:sz w:val="20"/>
          <w:szCs w:val="20"/>
          <w:rtl/>
        </w:rPr>
        <w:t>, עמ׳ שעט, שתמה על כך. מעניין שמחבר בירושלים הוציא לאור מחדש את “בשמים ראש” בשנת תשמ״ד, 190 שנה אחרי הופעתו הראשונה, והציע הגנה על המחבר הנבזה!</w:t>
      </w:r>
    </w:p>
  </w:footnote>
  <w:footnote w:id="478">
    <w:p w14:paraId="28FDC63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להלן: “</w:t>
      </w:r>
      <w:proofErr w:type="spellStart"/>
      <w:r>
        <w:rPr>
          <w:sz w:val="20"/>
          <w:szCs w:val="20"/>
          <w:rtl/>
        </w:rPr>
        <w:t>זכרונות</w:t>
      </w:r>
      <w:proofErr w:type="spellEnd"/>
      <w:r>
        <w:rPr>
          <w:sz w:val="20"/>
          <w:szCs w:val="20"/>
          <w:rtl/>
        </w:rPr>
        <w:t xml:space="preserve"> פון צווי דורות”. נכתב ויצא לאור ביידיש בשנת 1935.</w:t>
      </w:r>
    </w:p>
  </w:footnote>
  <w:footnote w:id="479">
    <w:p w14:paraId="2AA9F98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3 לעיל – עמ׳ 140–145.</w:t>
      </w:r>
    </w:p>
  </w:footnote>
  <w:footnote w:id="480">
    <w:p w14:paraId="55D6B02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ורשה, תר״ע.</w:t>
      </w:r>
    </w:p>
  </w:footnote>
  <w:footnote w:id="481">
    <w:p w14:paraId="283152B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שבת קל״ח ע״ב.</w:t>
      </w:r>
    </w:p>
  </w:footnote>
  <w:footnote w:id="482">
    <w:p w14:paraId="073E077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ישעיה </w:t>
      </w:r>
      <w:proofErr w:type="spellStart"/>
      <w:r>
        <w:rPr>
          <w:sz w:val="20"/>
          <w:szCs w:val="20"/>
          <w:rtl/>
        </w:rPr>
        <w:t>כט</w:t>
      </w:r>
      <w:proofErr w:type="spellEnd"/>
      <w:r>
        <w:rPr>
          <w:sz w:val="20"/>
          <w:szCs w:val="20"/>
          <w:rtl/>
        </w:rPr>
        <w:t>, יא.</w:t>
      </w:r>
    </w:p>
  </w:footnote>
  <w:footnote w:id="483">
    <w:p w14:paraId="71B094A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חששותיו של המחבר לא נתאמתו בעיקרם, ברוך ה׳. אבי סיפר שבימי לימודיו בישיבת </w:t>
      </w:r>
      <w:proofErr w:type="spellStart"/>
      <w:r>
        <w:rPr>
          <w:sz w:val="20"/>
          <w:szCs w:val="20"/>
          <w:rtl/>
        </w:rPr>
        <w:t>סלבודקה</w:t>
      </w:r>
      <w:proofErr w:type="spellEnd"/>
      <w:r>
        <w:rPr>
          <w:sz w:val="20"/>
          <w:szCs w:val="20"/>
          <w:rtl/>
        </w:rPr>
        <w:t>, “</w:t>
      </w:r>
      <w:proofErr w:type="spellStart"/>
      <w:r>
        <w:rPr>
          <w:sz w:val="20"/>
          <w:szCs w:val="20"/>
          <w:rtl/>
        </w:rPr>
        <w:t>ה׳עולת</w:t>
      </w:r>
      <w:proofErr w:type="spellEnd"/>
      <w:r>
        <w:rPr>
          <w:sz w:val="20"/>
          <w:szCs w:val="20"/>
          <w:rtl/>
        </w:rPr>
        <w:t xml:space="preserve"> שלמה’ שימש ללימוד דף אחר דף בסדר קדשים, כמו </w:t>
      </w:r>
      <w:proofErr w:type="spellStart"/>
      <w:r>
        <w:rPr>
          <w:sz w:val="20"/>
          <w:szCs w:val="20"/>
          <w:rtl/>
        </w:rPr>
        <w:t>שה‘פני</w:t>
      </w:r>
      <w:proofErr w:type="spellEnd"/>
      <w:r>
        <w:rPr>
          <w:sz w:val="20"/>
          <w:szCs w:val="20"/>
          <w:rtl/>
        </w:rPr>
        <w:t xml:space="preserve"> יהושע’ שימש לנשים </w:t>
      </w:r>
      <w:proofErr w:type="spellStart"/>
      <w:r>
        <w:rPr>
          <w:sz w:val="20"/>
          <w:szCs w:val="20"/>
          <w:rtl/>
        </w:rPr>
        <w:t>ולנזיקין</w:t>
      </w:r>
      <w:proofErr w:type="spellEnd"/>
      <w:r>
        <w:rPr>
          <w:sz w:val="20"/>
          <w:szCs w:val="20"/>
          <w:rtl/>
        </w:rPr>
        <w:t>”.</w:t>
      </w:r>
    </w:p>
  </w:footnote>
  <w:footnote w:id="484">
    <w:p w14:paraId="1E42B3C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הנ״ל, פרק 1, הערה 7 – עמ׳ 246.</w:t>
      </w:r>
    </w:p>
  </w:footnote>
  <w:footnote w:id="485">
    <w:p w14:paraId="7FF7209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3, הערה 129: מסופר שם שרבנו השתמש בשני אמוראים אלה כדוגמה למשא ומתן התלמודי.</w:t>
      </w:r>
    </w:p>
  </w:footnote>
  <w:footnote w:id="486">
    <w:p w14:paraId="46A96DF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הוצאת ספרים מ. נוימן בע״מ, </w:t>
      </w:r>
      <w:proofErr w:type="spellStart"/>
      <w:r>
        <w:rPr>
          <w:sz w:val="20"/>
          <w:szCs w:val="20"/>
          <w:rtl/>
        </w:rPr>
        <w:t>ירושלים־תל</w:t>
      </w:r>
      <w:proofErr w:type="spellEnd"/>
      <w:r>
        <w:rPr>
          <w:sz w:val="20"/>
          <w:szCs w:val="20"/>
          <w:rtl/>
        </w:rPr>
        <w:t xml:space="preserve"> אביב, </w:t>
      </w:r>
      <w:proofErr w:type="spellStart"/>
      <w:r>
        <w:rPr>
          <w:sz w:val="20"/>
          <w:szCs w:val="20"/>
          <w:rtl/>
        </w:rPr>
        <w:t>תש״ך</w:t>
      </w:r>
      <w:proofErr w:type="spellEnd"/>
      <w:r>
        <w:rPr>
          <w:sz w:val="20"/>
          <w:szCs w:val="20"/>
          <w:rtl/>
        </w:rPr>
        <w:t xml:space="preserve"> – עמ׳ 36 ו־41.</w:t>
      </w:r>
    </w:p>
  </w:footnote>
  <w:footnote w:id="487">
    <w:p w14:paraId="63ED3E65"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לפי דברי המחבר עצמו בפרק 3, “עץ פרי” נדפס ארבע שנים אחרי חנוכת כולל קובנה </w:t>
      </w:r>
      <w:proofErr w:type="spellStart"/>
      <w:r>
        <w:rPr>
          <w:sz w:val="20"/>
          <w:szCs w:val="20"/>
          <w:rtl/>
        </w:rPr>
        <w:t>בתרל״ז</w:t>
      </w:r>
      <w:proofErr w:type="spellEnd"/>
      <w:r>
        <w:rPr>
          <w:sz w:val="20"/>
          <w:szCs w:val="20"/>
          <w:rtl/>
        </w:rPr>
        <w:t xml:space="preserve">, כלומר </w:t>
      </w:r>
      <w:proofErr w:type="spellStart"/>
      <w:r>
        <w:rPr>
          <w:sz w:val="20"/>
          <w:szCs w:val="20"/>
          <w:rtl/>
        </w:rPr>
        <w:t>בתרמ״א</w:t>
      </w:r>
      <w:proofErr w:type="spellEnd"/>
      <w:r>
        <w:rPr>
          <w:sz w:val="20"/>
          <w:szCs w:val="20"/>
          <w:rtl/>
        </w:rPr>
        <w:t xml:space="preserve">, ולא </w:t>
      </w:r>
      <w:proofErr w:type="spellStart"/>
      <w:r>
        <w:rPr>
          <w:sz w:val="20"/>
          <w:szCs w:val="20"/>
          <w:rtl/>
        </w:rPr>
        <w:t>בתרל״ט</w:t>
      </w:r>
      <w:proofErr w:type="spellEnd"/>
      <w:r>
        <w:rPr>
          <w:sz w:val="20"/>
          <w:szCs w:val="20"/>
          <w:rtl/>
        </w:rPr>
        <w:t>.</w:t>
      </w:r>
    </w:p>
  </w:footnote>
  <w:footnote w:id="488">
    <w:p w14:paraId="6CED3A9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3, הערה 15.</w:t>
      </w:r>
    </w:p>
  </w:footnote>
  <w:footnote w:id="489">
    <w:p w14:paraId="1F7F81A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מאת רבי חיים הלוי כץ (נולד תרי״ד), רב </w:t>
      </w:r>
      <w:proofErr w:type="spellStart"/>
      <w:r>
        <w:rPr>
          <w:sz w:val="20"/>
          <w:szCs w:val="20"/>
          <w:rtl/>
        </w:rPr>
        <w:t>פומפיאן</w:t>
      </w:r>
      <w:proofErr w:type="spellEnd"/>
      <w:r>
        <w:rPr>
          <w:sz w:val="20"/>
          <w:szCs w:val="20"/>
          <w:rtl/>
        </w:rPr>
        <w:t xml:space="preserve"> (יצא לאור בידי נכדו ישראל </w:t>
      </w:r>
      <w:proofErr w:type="spellStart"/>
      <w:r>
        <w:rPr>
          <w:sz w:val="20"/>
          <w:szCs w:val="20"/>
          <w:rtl/>
        </w:rPr>
        <w:t>פינחס</w:t>
      </w:r>
      <w:proofErr w:type="spellEnd"/>
      <w:r>
        <w:rPr>
          <w:sz w:val="20"/>
          <w:szCs w:val="20"/>
          <w:rtl/>
        </w:rPr>
        <w:t xml:space="preserve"> הלוי כץ בתל אביב, תשנ״ה) – עמ׳ </w:t>
      </w:r>
      <w:proofErr w:type="spellStart"/>
      <w:r>
        <w:rPr>
          <w:sz w:val="20"/>
          <w:szCs w:val="20"/>
          <w:rtl/>
        </w:rPr>
        <w:t>ריט</w:t>
      </w:r>
      <w:proofErr w:type="spellEnd"/>
      <w:r>
        <w:rPr>
          <w:sz w:val="20"/>
          <w:szCs w:val="20"/>
          <w:rtl/>
        </w:rPr>
        <w:t>–</w:t>
      </w:r>
      <w:proofErr w:type="spellStart"/>
      <w:r>
        <w:rPr>
          <w:sz w:val="20"/>
          <w:szCs w:val="20"/>
          <w:rtl/>
        </w:rPr>
        <w:t>רכ</w:t>
      </w:r>
      <w:proofErr w:type="spellEnd"/>
      <w:r>
        <w:rPr>
          <w:sz w:val="20"/>
          <w:szCs w:val="20"/>
          <w:rtl/>
        </w:rPr>
        <w:t>.</w:t>
      </w:r>
    </w:p>
  </w:footnote>
  <w:footnote w:id="490">
    <w:p w14:paraId="147B7AF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90.</w:t>
      </w:r>
    </w:p>
  </w:footnote>
  <w:footnote w:id="491">
    <w:p w14:paraId="602945E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שני הראשונים ברשימתו של הורוביץ שכנו </w:t>
      </w:r>
      <w:proofErr w:type="spellStart"/>
      <w:r>
        <w:rPr>
          <w:sz w:val="20"/>
          <w:szCs w:val="20"/>
          <w:rtl/>
        </w:rPr>
        <w:t>בשולהויף</w:t>
      </w:r>
      <w:proofErr w:type="spellEnd"/>
      <w:r>
        <w:rPr>
          <w:sz w:val="20"/>
          <w:szCs w:val="20"/>
          <w:rtl/>
        </w:rPr>
        <w:t>. ראה גם הערה 30 להלן.</w:t>
      </w:r>
    </w:p>
  </w:footnote>
  <w:footnote w:id="492">
    <w:p w14:paraId="2A6B5F2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הפסקה השנייה בנספח ו.</w:t>
      </w:r>
    </w:p>
  </w:footnote>
  <w:footnote w:id="493">
    <w:p w14:paraId="742EF3E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רחל חדש (פרק 1, הערה 103).</w:t>
      </w:r>
    </w:p>
  </w:footnote>
  <w:footnote w:id="494">
    <w:p w14:paraId="485095E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רמב״ם ריש </w:t>
      </w:r>
      <w:proofErr w:type="spellStart"/>
      <w:r>
        <w:rPr>
          <w:sz w:val="20"/>
          <w:szCs w:val="20"/>
          <w:rtl/>
        </w:rPr>
        <w:t>פי״א</w:t>
      </w:r>
      <w:proofErr w:type="spellEnd"/>
      <w:r>
        <w:rPr>
          <w:sz w:val="20"/>
          <w:szCs w:val="20"/>
          <w:rtl/>
        </w:rPr>
        <w:t xml:space="preserve"> מהל׳ תפלה.</w:t>
      </w:r>
    </w:p>
  </w:footnote>
  <w:footnote w:id="495">
    <w:p w14:paraId="5692970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“מינסק עיר ואם”, כרך 2, עמ׳ 150, וכרך 1, עמ׳ 89. והשווה גם “</w:t>
      </w:r>
      <w:proofErr w:type="spellStart"/>
      <w:r>
        <w:rPr>
          <w:sz w:val="20"/>
          <w:szCs w:val="20"/>
          <w:rtl/>
        </w:rPr>
        <w:t>זכרון</w:t>
      </w:r>
      <w:proofErr w:type="spellEnd"/>
      <w:r>
        <w:rPr>
          <w:sz w:val="20"/>
          <w:szCs w:val="20"/>
          <w:rtl/>
        </w:rPr>
        <w:t xml:space="preserve"> יעקב” (הערה 4 לעיל), כרך 2, עמ׳ 147: המנהג להחזיק מניין בבית הכנסת כל השנה לא היה נדיר בערים אחרות, אלא שבמקרה שמתאר “</w:t>
      </w:r>
      <w:proofErr w:type="spellStart"/>
      <w:r>
        <w:rPr>
          <w:sz w:val="20"/>
          <w:szCs w:val="20"/>
          <w:rtl/>
        </w:rPr>
        <w:t>זכרון</w:t>
      </w:r>
      <w:proofErr w:type="spellEnd"/>
      <w:r>
        <w:rPr>
          <w:sz w:val="20"/>
          <w:szCs w:val="20"/>
          <w:rtl/>
        </w:rPr>
        <w:t xml:space="preserve"> יעקב” היה זה מניין של מתנדבים.</w:t>
      </w:r>
    </w:p>
  </w:footnote>
  <w:footnote w:id="496">
    <w:p w14:paraId="50B7D90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w:t>
      </w:r>
      <w:proofErr w:type="spellStart"/>
      <w:r>
        <w:rPr>
          <w:sz w:val="20"/>
          <w:szCs w:val="20"/>
          <w:rtl/>
        </w:rPr>
        <w:t>שו״ע</w:t>
      </w:r>
      <w:proofErr w:type="spellEnd"/>
      <w:r>
        <w:rPr>
          <w:sz w:val="20"/>
          <w:szCs w:val="20"/>
          <w:rtl/>
        </w:rPr>
        <w:t xml:space="preserve"> יורה דעה רפ״ו ס״ג.</w:t>
      </w:r>
    </w:p>
  </w:footnote>
  <w:footnote w:id="497">
    <w:p w14:paraId="380DCF5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הוא עמד בראש קרן היסוד מבואו לארץ ישראל בשנת תרצ״ה עד מותו בשנת תש״ט.</w:t>
      </w:r>
    </w:p>
  </w:footnote>
  <w:footnote w:id="498">
    <w:p w14:paraId="04D70DE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מובא </w:t>
      </w:r>
      <w:proofErr w:type="spellStart"/>
      <w:r>
        <w:rPr>
          <w:sz w:val="20"/>
          <w:szCs w:val="20"/>
          <w:rtl/>
        </w:rPr>
        <w:t>ב“מינסק</w:t>
      </w:r>
      <w:proofErr w:type="spellEnd"/>
      <w:r>
        <w:rPr>
          <w:sz w:val="20"/>
          <w:szCs w:val="20"/>
          <w:rtl/>
        </w:rPr>
        <w:t xml:space="preserve"> עיר ואם א”, עמ׳ 223.</w:t>
      </w:r>
    </w:p>
  </w:footnote>
  <w:footnote w:id="499">
    <w:p w14:paraId="493C0DB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4, סוף הפסקה הראשונה של נספח </w:t>
      </w:r>
      <w:proofErr w:type="spellStart"/>
      <w:r>
        <w:rPr>
          <w:sz w:val="20"/>
          <w:szCs w:val="20"/>
          <w:rtl/>
        </w:rPr>
        <w:t>יז</w:t>
      </w:r>
      <w:proofErr w:type="spellEnd"/>
      <w:r>
        <w:rPr>
          <w:sz w:val="20"/>
          <w:szCs w:val="20"/>
          <w:rtl/>
        </w:rPr>
        <w:t>.</w:t>
      </w:r>
    </w:p>
  </w:footnote>
  <w:footnote w:id="500">
    <w:p w14:paraId="1FE7CA7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הפסקה השנייה של נספח א בפרק זה; פרק 1, הפסקה הראשונה של נספח ו; ופרק 5, הפסקה החמישית של נספח ו.</w:t>
      </w:r>
    </w:p>
  </w:footnote>
  <w:footnote w:id="501">
    <w:p w14:paraId="1A4E7FD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את ההקדמה הקצרה למכתב שקיבל, הנדפס כהקדמה </w:t>
      </w:r>
      <w:proofErr w:type="spellStart"/>
      <w:r>
        <w:rPr>
          <w:sz w:val="20"/>
          <w:szCs w:val="20"/>
          <w:rtl/>
        </w:rPr>
        <w:t>ל“חוסן</w:t>
      </w:r>
      <w:proofErr w:type="spellEnd"/>
      <w:r>
        <w:rPr>
          <w:sz w:val="20"/>
          <w:szCs w:val="20"/>
          <w:rtl/>
        </w:rPr>
        <w:t xml:space="preserve"> יהושע” (ירושלים, תשכ״ה).</w:t>
      </w:r>
    </w:p>
  </w:footnote>
  <w:footnote w:id="502">
    <w:p w14:paraId="508BEBD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הוצאת אברהם ציוני, תל אביב (בלי שנה).</w:t>
      </w:r>
    </w:p>
  </w:footnote>
  <w:footnote w:id="503">
    <w:p w14:paraId="22E39DE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עמ׳ 353, ויעקב מארק, עמ׳ 60–66. המחבר, יעקב מארק, היה בעצמו יליד </w:t>
      </w:r>
      <w:proofErr w:type="spellStart"/>
      <w:r>
        <w:rPr>
          <w:sz w:val="20"/>
          <w:szCs w:val="20"/>
          <w:rtl/>
        </w:rPr>
        <w:t>פאלאנגן</w:t>
      </w:r>
      <w:proofErr w:type="spellEnd"/>
      <w:r>
        <w:rPr>
          <w:sz w:val="20"/>
          <w:szCs w:val="20"/>
          <w:rtl/>
        </w:rPr>
        <w:t xml:space="preserve">, והוא זוכר שהנושאים שלמדו הפועלים היו “חיי אדם” </w:t>
      </w:r>
      <w:proofErr w:type="spellStart"/>
      <w:r>
        <w:rPr>
          <w:sz w:val="20"/>
          <w:szCs w:val="20"/>
          <w:rtl/>
        </w:rPr>
        <w:t>ו“מנורת</w:t>
      </w:r>
      <w:proofErr w:type="spellEnd"/>
      <w:r>
        <w:rPr>
          <w:sz w:val="20"/>
          <w:szCs w:val="20"/>
          <w:rtl/>
        </w:rPr>
        <w:t xml:space="preserve"> המאור” (שם, עמ׳ 63).</w:t>
      </w:r>
    </w:p>
  </w:footnote>
  <w:footnote w:id="504">
    <w:p w14:paraId="112D77F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כרך 3.</w:t>
      </w:r>
    </w:p>
  </w:footnote>
  <w:footnote w:id="505">
    <w:p w14:paraId="1861134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504, 100, 557.</w:t>
      </w:r>
    </w:p>
  </w:footnote>
  <w:footnote w:id="506">
    <w:p w14:paraId="5F2D79F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149 ו־161.</w:t>
      </w:r>
    </w:p>
  </w:footnote>
  <w:footnote w:id="507">
    <w:p w14:paraId="6EADA7A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בעריכת ישראל </w:t>
      </w:r>
      <w:proofErr w:type="spellStart"/>
      <w:r>
        <w:rPr>
          <w:sz w:val="20"/>
          <w:szCs w:val="20"/>
          <w:rtl/>
        </w:rPr>
        <w:t>זיסל</w:t>
      </w:r>
      <w:proofErr w:type="spellEnd"/>
      <w:r>
        <w:rPr>
          <w:sz w:val="20"/>
          <w:szCs w:val="20"/>
          <w:rtl/>
        </w:rPr>
        <w:t xml:space="preserve"> </w:t>
      </w:r>
      <w:proofErr w:type="spellStart"/>
      <w:r>
        <w:rPr>
          <w:sz w:val="20"/>
          <w:szCs w:val="20"/>
          <w:rtl/>
        </w:rPr>
        <w:t>פלטין־דבורץ</w:t>
      </w:r>
      <w:proofErr w:type="spellEnd"/>
      <w:r>
        <w:rPr>
          <w:sz w:val="20"/>
          <w:szCs w:val="20"/>
          <w:rtl/>
        </w:rPr>
        <w:t>, גיליון אייר תש״ו (יצא לאור בירושלים).</w:t>
      </w:r>
    </w:p>
  </w:footnote>
  <w:footnote w:id="508">
    <w:p w14:paraId="17060CE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152–167.</w:t>
      </w:r>
    </w:p>
  </w:footnote>
  <w:footnote w:id="509">
    <w:p w14:paraId="5E2A0CB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הערה 8.</w:t>
      </w:r>
    </w:p>
  </w:footnote>
  <w:footnote w:id="510">
    <w:p w14:paraId="0E3628D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הערה 14.</w:t>
      </w:r>
    </w:p>
  </w:footnote>
  <w:footnote w:id="511">
    <w:p w14:paraId="4ECA671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דוד </w:t>
      </w:r>
      <w:proofErr w:type="spellStart"/>
      <w:r>
        <w:rPr>
          <w:sz w:val="20"/>
          <w:szCs w:val="20"/>
          <w:rtl/>
        </w:rPr>
        <w:t>קמינצקי</w:t>
      </w:r>
      <w:proofErr w:type="spellEnd"/>
      <w:r>
        <w:rPr>
          <w:sz w:val="20"/>
          <w:szCs w:val="20"/>
          <w:rtl/>
        </w:rPr>
        <w:t>, 27 במרץ 1987.</w:t>
      </w:r>
    </w:p>
  </w:footnote>
  <w:footnote w:id="512">
    <w:p w14:paraId="45E2087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הפסקה החמישית בפרק 1, והערה 61 שם.</w:t>
      </w:r>
    </w:p>
  </w:footnote>
  <w:footnote w:id="513">
    <w:p w14:paraId="0B6C9E8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משה </w:t>
      </w:r>
      <w:proofErr w:type="spellStart"/>
      <w:r>
        <w:rPr>
          <w:sz w:val="20"/>
          <w:szCs w:val="20"/>
          <w:rtl/>
        </w:rPr>
        <w:t>יודקובסקי</w:t>
      </w:r>
      <w:proofErr w:type="spellEnd"/>
      <w:r>
        <w:rPr>
          <w:sz w:val="20"/>
          <w:szCs w:val="20"/>
          <w:rtl/>
        </w:rPr>
        <w:t>, 24 בנובמבר 1987.</w:t>
      </w:r>
    </w:p>
  </w:footnote>
  <w:footnote w:id="514">
    <w:p w14:paraId="610A188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“מינסק עיר ואם א”, עמ׳ 566, וראה סוף נספח א בפרק זה.</w:t>
      </w:r>
    </w:p>
  </w:footnote>
  <w:footnote w:id="515">
    <w:bookmarkStart w:id="837" w:name="_Hlk243584120"/>
    <w:p w14:paraId="5B5ACB94" w14:textId="77777777" w:rsidR="00AB3647" w:rsidRDefault="00000000">
      <w:pPr>
        <w:spacing w:after="0" w:before="0"/>
        <w:jc w:val="both"/>
      </w:pPr>
      <w:r>
        <w:fldChar w:fldCharType="begin" w:dirty="true"/>
      </w:r>
      <w:r>
        <w:instrText>HYPERLINK \l "_fnr515"</w:instrText>
      </w:r>
      <w:r>
        <w:fldChar w:fldCharType="separate"/>
      </w:r>
      <w:r>
        <w:rPr>
          <w:rStyle w:val="a5"/>
          <w:sz w:val="20"/>
          <w:szCs w:val="20"/>
          <w:vertAlign w:val="baseline"/>
        </w:rPr>
        <w:footnoteRef/>
      </w:r>
      <w:r>
        <w:rPr>
          <w:rStyle w:val="a5"/>
          <w:sz w:val="20"/>
          <w:szCs w:val="20"/>
          <w:vertAlign w:val="baseline"/>
        </w:rPr>
        <w:fldChar w:fldCharType="end"/>
      </w:r>
      <w:r>
        <w:rPr>
          <w:rStyle w:val="a5"/>
          <w:sz w:val="20"/>
          <w:szCs w:val="20"/>
          <w:vertAlign w:val="baseline"/>
          <w:rtl/>
        </w:rPr>
        <w:t xml:space="preserve">. בעניין סוף הערת שוליים </w:t>
      </w:r>
      <w:r>
        <w:rPr>
          <w:rStyle w:val="a5"/>
          <w:sz w:val="20"/>
          <w:szCs w:val="20"/>
          <w:vertAlign w:val="baseline"/>
          <w:rtl/>
        </w:rPr>
        <w:fldChar w:fldCharType="begin" w:dirty="true"/>
      </w:r>
      <w:r>
        <w:rPr>
          <w:rStyle w:val="a5"/>
          <w:sz w:val="20"/>
          <w:szCs w:val="20"/>
          <w:vertAlign w:val="baseline"/>
          <w:rtl/>
        </w:rPr>
        <w:instrText xml:space="preserve"> NOTEREF pr_f_165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109</w:t>
      </w:r>
      <w:r>
        <w:rPr>
          <w:rStyle w:val="a5"/>
          <w:sz w:val="20"/>
          <w:szCs w:val="20"/>
          <w:vertAlign w:val="baseline"/>
          <w:rtl/>
        </w:rPr>
        <w:fldChar w:fldCharType="end"/>
      </w:r>
      <w:r>
        <w:rPr>
          <w:rStyle w:val="a5"/>
          <w:sz w:val="20"/>
          <w:szCs w:val="20"/>
          <w:vertAlign w:val="baseline"/>
          <w:rtl/>
        </w:rPr>
        <w:t xml:space="preserve"> </w:t>
      </w:r>
      <w:bookmarkEnd w:id="837"/>
      <w:r>
        <w:rPr>
          <w:rStyle w:val="a5"/>
          <w:sz w:val="20"/>
          <w:szCs w:val="20"/>
          <w:vertAlign w:val="baseline"/>
          <w:rtl/>
        </w:rPr>
        <w:t xml:space="preserve">(עמ׳ </w:t>
      </w:r>
      <w:r>
        <w:rPr>
          <w:rStyle w:val="a5"/>
          <w:sz w:val="20"/>
          <w:szCs w:val="20"/>
          <w:vertAlign w:val="baseline"/>
          <w:rtl/>
        </w:rPr>
        <w:fldChar w:fldCharType="begin" w:dirty="true"/>
      </w:r>
      <w:r>
        <w:rPr>
          <w:rStyle w:val="a5"/>
          <w:sz w:val="20"/>
          <w:szCs w:val="20"/>
          <w:vertAlign w:val="baseline"/>
          <w:rtl/>
        </w:rPr>
        <w:instrText xml:space="preserve"> PAGEREF pr_f_165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 xml:space="preserve">): כשכתיבת ספר זה הגיעה לסיומה נתגלה מקרה שבו השתמש אבי בביטוי “מיום עומדי על דעתי” בעניין זה שמעולם לא שיקר. </w:t>
      </w:r>
      <w:proofErr w:type="spellStart"/>
      <w:r>
        <w:rPr>
          <w:sz w:val="20"/>
          <w:szCs w:val="20"/>
          <w:rtl/>
        </w:rPr>
        <w:t>נכד־חתנו</w:t>
      </w:r>
      <w:proofErr w:type="spellEnd"/>
      <w:r>
        <w:rPr>
          <w:sz w:val="20"/>
          <w:szCs w:val="20"/>
          <w:rtl/>
        </w:rPr>
        <w:t xml:space="preserve"> של רבנו, ר׳ שלמה וילהלם, מסר זאת לבני ר׳ יוסף ב־16 במרץ 2002, כפי ששמע מתלמיד מתיבתא תורה ודעת. התלמיד ליווה את אבי בדרכו לישיבה </w:t>
      </w:r>
      <w:proofErr w:type="spellStart"/>
      <w:r>
        <w:rPr>
          <w:sz w:val="20"/>
          <w:szCs w:val="20"/>
          <w:rtl/>
        </w:rPr>
        <w:t>בוויליאמסבורג</w:t>
      </w:r>
      <w:proofErr w:type="spellEnd"/>
      <w:r>
        <w:rPr>
          <w:sz w:val="20"/>
          <w:szCs w:val="20"/>
          <w:rtl/>
        </w:rPr>
        <w:t xml:space="preserve"> ביום אחד בחודש סיון. בדרכם פגשו את הרב </w:t>
      </w:r>
      <w:proofErr w:type="spellStart"/>
      <w:r>
        <w:rPr>
          <w:sz w:val="20"/>
          <w:szCs w:val="20"/>
          <w:rtl/>
        </w:rPr>
        <w:t>מסאטמאר</w:t>
      </w:r>
      <w:proofErr w:type="spellEnd"/>
      <w:r>
        <w:rPr>
          <w:sz w:val="20"/>
          <w:szCs w:val="20"/>
          <w:rtl/>
        </w:rPr>
        <w:t xml:space="preserve">, ר׳ </w:t>
      </w:r>
      <w:proofErr w:type="spellStart"/>
      <w:r>
        <w:rPr>
          <w:sz w:val="20"/>
          <w:szCs w:val="20"/>
          <w:rtl/>
        </w:rPr>
        <w:t>יואליש</w:t>
      </w:r>
      <w:proofErr w:type="spellEnd"/>
      <w:r>
        <w:rPr>
          <w:sz w:val="20"/>
          <w:szCs w:val="20"/>
          <w:rtl/>
        </w:rPr>
        <w:t xml:space="preserve"> </w:t>
      </w:r>
      <w:proofErr w:type="spellStart"/>
      <w:r>
        <w:rPr>
          <w:sz w:val="20"/>
          <w:szCs w:val="20"/>
          <w:rtl/>
        </w:rPr>
        <w:t>טייטלבוים</w:t>
      </w:r>
      <w:proofErr w:type="spellEnd"/>
      <w:r>
        <w:rPr>
          <w:sz w:val="20"/>
          <w:szCs w:val="20"/>
          <w:rtl/>
        </w:rPr>
        <w:t xml:space="preserve">, שגם אותו ליוו אדם או שניים. פניו של ר׳ </w:t>
      </w:r>
      <w:proofErr w:type="spellStart"/>
      <w:r>
        <w:rPr>
          <w:sz w:val="20"/>
          <w:szCs w:val="20"/>
          <w:rtl/>
        </w:rPr>
        <w:t>יואליש</w:t>
      </w:r>
      <w:proofErr w:type="spellEnd"/>
      <w:r>
        <w:rPr>
          <w:sz w:val="20"/>
          <w:szCs w:val="20"/>
          <w:rtl/>
        </w:rPr>
        <w:t xml:space="preserve"> היו מאירות בדרך כלל באור יוצא מן הכלל, אבל באותו יום הרגיש שאין מראהו טוב, והעיר: “הימים האלה קשים לי במיוחד.” כוונתו הייתה לעונה זו של השנה, שבה ציינו הוא ורבים מקהלו את ימי היארצייט של בני משפחותיהם הקדושים שגורשו מהונגריה למחנות המוות בשנת תש״ד.</w:t>
      </w:r>
    </w:p>
    <w:p w14:paraId="4540C7E1" w14:textId="77777777" w:rsidR="00AB3647" w:rsidRDefault="00000000">
      <w:pPr>
        <w:spacing w:after="0" w:before="0"/>
        <w:jc w:val="both"/>
      </w:pPr>
      <w:r>
        <w:rPr>
          <w:sz w:val="20"/>
          <w:szCs w:val="20"/>
          <w:rtl/>
        </w:rPr>
        <w:t xml:space="preserve">כששאל אבי: “ובמה ניצלתם </w:t>
      </w:r>
      <w:r>
        <w:rPr>
          <w:b/>
          <w:bCs/>
          <w:sz w:val="20"/>
          <w:szCs w:val="20"/>
          <w:rtl/>
        </w:rPr>
        <w:t>אתם</w:t>
      </w:r>
      <w:r>
        <w:rPr>
          <w:sz w:val="20"/>
          <w:szCs w:val="20"/>
          <w:rtl/>
        </w:rPr>
        <w:t xml:space="preserve">?”, החל הרב </w:t>
      </w:r>
      <w:proofErr w:type="spellStart"/>
      <w:r>
        <w:rPr>
          <w:sz w:val="20"/>
          <w:szCs w:val="20"/>
          <w:rtl/>
        </w:rPr>
        <w:t>טייטלבוים</w:t>
      </w:r>
      <w:proofErr w:type="spellEnd"/>
      <w:r>
        <w:rPr>
          <w:sz w:val="20"/>
          <w:szCs w:val="20"/>
          <w:rtl/>
        </w:rPr>
        <w:t xml:space="preserve"> לספר את סיפור רכבת </w:t>
      </w:r>
      <w:proofErr w:type="spellStart"/>
      <w:r>
        <w:rPr>
          <w:sz w:val="20"/>
          <w:szCs w:val="20"/>
          <w:rtl/>
        </w:rPr>
        <w:t>קסטנר</w:t>
      </w:r>
      <w:proofErr w:type="spellEnd"/>
      <w:r>
        <w:rPr>
          <w:sz w:val="20"/>
          <w:szCs w:val="20"/>
          <w:rtl/>
        </w:rPr>
        <w:t xml:space="preserve"> שהביאה אותו לשווייץ. אבל אבי קטע אותו ואמר: “מה שהתכוונתי לשאול הוא באיזו </w:t>
      </w:r>
      <w:r>
        <w:rPr>
          <w:b/>
          <w:bCs/>
          <w:sz w:val="20"/>
          <w:szCs w:val="20"/>
          <w:rtl/>
        </w:rPr>
        <w:t>זכות</w:t>
      </w:r>
      <w:r>
        <w:rPr>
          <w:sz w:val="20"/>
          <w:szCs w:val="20"/>
          <w:rtl/>
        </w:rPr>
        <w:t xml:space="preserve"> ניצלתם?” כשהיסס הרב </w:t>
      </w:r>
      <w:proofErr w:type="spellStart"/>
      <w:r>
        <w:rPr>
          <w:sz w:val="20"/>
          <w:szCs w:val="20"/>
          <w:rtl/>
        </w:rPr>
        <w:t>מסאטמאר</w:t>
      </w:r>
      <w:proofErr w:type="spellEnd"/>
      <w:r>
        <w:rPr>
          <w:sz w:val="20"/>
          <w:szCs w:val="20"/>
          <w:rtl/>
        </w:rPr>
        <w:t>, עודד אותו אבי להשיב, והוסיף: “מותר לספר לי, שהרי הדבר יישאר בינינו.” אמר הרב: “נראה לי שזה משום שמעולם לא הלכתי לישון.” כוונתו הייתה לשקידתו הנודעת בתורה: הוא היה יושב על ספריו עד שנרדם, וממשיך מן המקום שהפסיק בו מיד כשהתעורר.</w:t>
      </w:r>
    </w:p>
    <w:p w14:paraId="6140D7C8" w14:textId="77777777" w:rsidR="00AB3647" w:rsidRDefault="00000000">
      <w:pPr>
        <w:spacing w:after="0" w:before="0"/>
        <w:jc w:val="both"/>
      </w:pPr>
      <w:r>
        <w:rPr>
          <w:sz w:val="20"/>
          <w:szCs w:val="20"/>
          <w:rtl/>
        </w:rPr>
        <w:t xml:space="preserve">השיב הרב </w:t>
      </w:r>
      <w:proofErr w:type="spellStart"/>
      <w:r>
        <w:rPr>
          <w:sz w:val="20"/>
          <w:szCs w:val="20"/>
          <w:rtl/>
        </w:rPr>
        <w:t>טייטלבוים</w:t>
      </w:r>
      <w:proofErr w:type="spellEnd"/>
      <w:r>
        <w:rPr>
          <w:sz w:val="20"/>
          <w:szCs w:val="20"/>
          <w:rtl/>
        </w:rPr>
        <w:t xml:space="preserve"> בשאלה: “ומה אתכם? באיזו זכות ניצלתם </w:t>
      </w:r>
      <w:r>
        <w:rPr>
          <w:b/>
          <w:bCs/>
          <w:sz w:val="20"/>
          <w:szCs w:val="20"/>
          <w:rtl/>
        </w:rPr>
        <w:t>אתם</w:t>
      </w:r>
      <w:r>
        <w:rPr>
          <w:sz w:val="20"/>
          <w:szCs w:val="20"/>
          <w:rtl/>
        </w:rPr>
        <w:t xml:space="preserve">?” – אבי בא לאמריקה בשנת תרצ״ז, לפני פרוץ המלחמה, אבל אחד השיקולים העיקריים שלו בעזיבת אירופה היה דעתו שהמלחמה ממשמשת ובאה (ראה עמ׳ </w:t>
      </w:r>
      <w:r>
        <w:rPr>
          <w:sz w:val="20"/>
          <w:szCs w:val="20"/>
          <w:rtl/>
        </w:rPr>
        <w:fldChar w:fldCharType="begin" w:dirty="true"/>
      </w:r>
      <w:r>
        <w:rPr>
          <w:sz w:val="20"/>
          <w:szCs w:val="20"/>
          <w:rtl/>
        </w:rPr>
        <w:instrText xml:space="preserve"> PAGEREF pr_b_1585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וכרך 3). כשנרתע רבנו בתורו מלהשיב, מחה הרב </w:t>
      </w:r>
      <w:proofErr w:type="spellStart"/>
      <w:r>
        <w:rPr>
          <w:sz w:val="20"/>
          <w:szCs w:val="20"/>
          <w:rtl/>
        </w:rPr>
        <w:t>מסאטמאר</w:t>
      </w:r>
      <w:proofErr w:type="spellEnd"/>
      <w:r>
        <w:rPr>
          <w:sz w:val="20"/>
          <w:szCs w:val="20"/>
          <w:rtl/>
        </w:rPr>
        <w:t xml:space="preserve"> ואמר: “ראה, אני גיליתי לך את מחשבותיי [ואני מצפה לגמול]!” ואז אמר אבי: “נראה לי שזה משום שמעולם לא הוצאתי שקר מפי מיום עמדי על דעתי.”</w:t>
      </w:r>
    </w:p>
  </w:footnote>
  <w:footnote w:id="516">
    <w:p w14:paraId="0FA2F3B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לשון נקייה לשוחד לשחרור מגויסים מן הצבא.</w:t>
      </w:r>
    </w:p>
  </w:footnote>
  <w:footnote w:id="517">
    <w:p w14:paraId="796C881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“מינסק עיר ואם א”, עמ׳ 28.</w:t>
      </w:r>
    </w:p>
  </w:footnote>
  <w:footnote w:id="518">
    <w:p w14:paraId="53AD1D8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“מינסק עיר ואם א”, עמ׳ 471, 510; וראה תחילת הפסקה העשרים ושש בנספח א בפרק זה.</w:t>
      </w:r>
    </w:p>
  </w:footnote>
  <w:footnote w:id="519">
    <w:p w14:paraId="335217E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עמ׳ 20–21 במבוא הביוגרפי לכל כתבי </w:t>
      </w:r>
      <w:proofErr w:type="spellStart"/>
      <w:r>
        <w:rPr>
          <w:sz w:val="20"/>
          <w:szCs w:val="20"/>
          <w:rtl/>
        </w:rPr>
        <w:t>ח״ח</w:t>
      </w:r>
      <w:proofErr w:type="spellEnd"/>
      <w:r>
        <w:rPr>
          <w:sz w:val="20"/>
          <w:szCs w:val="20"/>
          <w:rtl/>
        </w:rPr>
        <w:t xml:space="preserve"> (הנ״ל, עמ׳ </w:t>
      </w:r>
      <w:r>
        <w:rPr>
          <w:sz w:val="20"/>
          <w:szCs w:val="20"/>
          <w:rtl/>
        </w:rPr>
        <w:fldChar w:fldCharType="begin" w:dirty="true"/>
      </w:r>
      <w:r>
        <w:rPr>
          <w:sz w:val="20"/>
          <w:szCs w:val="20"/>
          <w:rtl/>
        </w:rPr>
        <w:instrText xml:space="preserve"> PAGEREF pr_f_261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הערת שוליים </w:t>
      </w:r>
      <w:r>
        <w:rPr>
          <w:sz w:val="20"/>
          <w:szCs w:val="20"/>
          <w:rtl/>
        </w:rPr>
        <w:fldChar w:fldCharType="begin" w:dirty="true"/>
      </w:r>
      <w:r>
        <w:rPr>
          <w:sz w:val="20"/>
          <w:szCs w:val="20"/>
          <w:rtl/>
        </w:rPr>
        <w:instrText xml:space="preserve"> NOTEREF pr_f_261 \h </w:instrText>
      </w:r>
      <w:r>
        <w:rPr>
          <w:sz w:val="20"/>
          <w:szCs w:val="20"/>
          <w:rtl/>
        </w:rPr>
      </w:r>
      <w:r>
        <w:rPr>
          <w:sz w:val="20"/>
          <w:szCs w:val="20"/>
          <w:rtl/>
        </w:rPr>
        <w:fldChar w:fldCharType="separate"/>
      </w:r>
      <w:r w:rsidR="007923E9">
        <w:rPr>
          <w:sz w:val="20"/>
          <w:szCs w:val="20"/>
          <w:rtl/>
        </w:rPr>
        <w:t>204</w:t>
      </w:r>
      <w:r>
        <w:rPr>
          <w:sz w:val="20"/>
          <w:szCs w:val="20"/>
          <w:rtl/>
        </w:rPr>
        <w:fldChar w:fldCharType="end"/>
      </w:r>
      <w:r>
        <w:rPr>
          <w:sz w:val="20"/>
          <w:szCs w:val="20"/>
          <w:rtl/>
        </w:rPr>
        <w:t xml:space="preserve">): </w:t>
      </w:r>
      <w:proofErr w:type="spellStart"/>
      <w:r>
        <w:rPr>
          <w:sz w:val="20"/>
          <w:szCs w:val="20"/>
          <w:rtl/>
        </w:rPr>
        <w:t>החפץ־חיים</w:t>
      </w:r>
      <w:proofErr w:type="spellEnd"/>
      <w:r>
        <w:rPr>
          <w:sz w:val="20"/>
          <w:szCs w:val="20"/>
          <w:rtl/>
        </w:rPr>
        <w:t xml:space="preserve"> הוא שיזם צדקה זו בערים שונות שחנו בהן חיילים יהודים. זו הייתה הצדקה היחידה שנשאה שם יידי ולא עברי. אפשר להציע שבניגוד לשאר הצדקות, שפנו בבקשת תרומות אל בעלי הבתים האמידים, הבקיאים בעברית, פנתה צדקת “</w:t>
      </w:r>
      <w:proofErr w:type="spellStart"/>
      <w:r>
        <w:rPr>
          <w:sz w:val="20"/>
          <w:szCs w:val="20"/>
          <w:rtl/>
        </w:rPr>
        <w:t>כשר־קעסעל</w:t>
      </w:r>
      <w:proofErr w:type="spellEnd"/>
      <w:r>
        <w:rPr>
          <w:sz w:val="20"/>
          <w:szCs w:val="20"/>
          <w:rtl/>
        </w:rPr>
        <w:t xml:space="preserve">” אל הנהנים ממנה, החיילים, וקראה להם בלשון האם </w:t>
      </w:r>
      <w:r>
        <w:rPr>
          <w:b/>
          <w:bCs/>
          <w:sz w:val="20"/>
          <w:szCs w:val="20"/>
          <w:rtl/>
        </w:rPr>
        <w:t>שלהם</w:t>
      </w:r>
      <w:r>
        <w:rPr>
          <w:sz w:val="20"/>
          <w:szCs w:val="20"/>
          <w:rtl/>
        </w:rPr>
        <w:t>, יידיש, שלא יעברו על דת ישראל באכילת מאכלות אסורים.</w:t>
      </w:r>
    </w:p>
  </w:footnote>
  <w:footnote w:id="520">
    <w:p w14:paraId="6F6C200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הערה 8.</w:t>
      </w:r>
    </w:p>
  </w:footnote>
  <w:footnote w:id="521">
    <w:p w14:paraId="2214C8D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אגודה זו הייתה ענף של צדקת ביקור חולים המקורית, אחת מקבוצת </w:t>
      </w:r>
      <w:proofErr w:type="spellStart"/>
      <w:r>
        <w:rPr>
          <w:sz w:val="20"/>
          <w:szCs w:val="20"/>
          <w:rtl/>
        </w:rPr>
        <w:t>הז״ץ</w:t>
      </w:r>
      <w:proofErr w:type="spellEnd"/>
      <w:r>
        <w:rPr>
          <w:sz w:val="20"/>
          <w:szCs w:val="20"/>
          <w:rtl/>
        </w:rPr>
        <w:t xml:space="preserve"> שהוזכרה לעיל, </w:t>
      </w:r>
      <w:proofErr w:type="spellStart"/>
      <w:r>
        <w:rPr>
          <w:sz w:val="20"/>
          <w:szCs w:val="20"/>
          <w:rtl/>
        </w:rPr>
        <w:t>וה“לינה</w:t>
      </w:r>
      <w:proofErr w:type="spellEnd"/>
      <w:r>
        <w:rPr>
          <w:sz w:val="20"/>
          <w:szCs w:val="20"/>
          <w:rtl/>
        </w:rPr>
        <w:t>” שבשם האגודה מוסבת על החולים המרותקים למיטתם.</w:t>
      </w:r>
    </w:p>
  </w:footnote>
  <w:footnote w:id="522">
    <w:p w14:paraId="1268B68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הפסקה הראשונה בנספח ב בפרק זה.</w:t>
      </w:r>
    </w:p>
  </w:footnote>
  <w:footnote w:id="523">
    <w:p w14:paraId="562FCA5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מאמר מאת רחל חדש </w:t>
      </w:r>
      <w:proofErr w:type="spellStart"/>
      <w:r>
        <w:rPr>
          <w:sz w:val="20"/>
          <w:szCs w:val="20"/>
          <w:rtl/>
        </w:rPr>
        <w:t>ב“מינסק</w:t>
      </w:r>
      <w:proofErr w:type="spellEnd"/>
      <w:r>
        <w:rPr>
          <w:sz w:val="20"/>
          <w:szCs w:val="20"/>
          <w:rtl/>
        </w:rPr>
        <w:t xml:space="preserve"> עיר ואם א”, עמ׳ 506.</w:t>
      </w:r>
    </w:p>
  </w:footnote>
  <w:footnote w:id="524">
    <w:p w14:paraId="0271346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הערה 7.</w:t>
      </w:r>
    </w:p>
  </w:footnote>
  <w:footnote w:id="525">
    <w:p w14:paraId="4BF44F5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24 בנובמבר 1987.</w:t>
      </w:r>
    </w:p>
  </w:footnote>
  <w:footnote w:id="526">
    <w:p w14:paraId="7694F3C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הערה 14.</w:t>
      </w:r>
    </w:p>
  </w:footnote>
  <w:footnote w:id="527">
    <w:p w14:paraId="4B5A1AF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5 במאי 1995.</w:t>
      </w:r>
    </w:p>
  </w:footnote>
  <w:footnote w:id="528">
    <w:p w14:paraId="5AC8B28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סעיף 3 בפרק זה.</w:t>
      </w:r>
    </w:p>
  </w:footnote>
  <w:footnote w:id="529">
    <w:p w14:paraId="607574C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23 ביולי 1993.</w:t>
      </w:r>
    </w:p>
  </w:footnote>
  <w:footnote w:id="530">
    <w:p w14:paraId="150DD5A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10 בפברואר 1988.</w:t>
      </w:r>
    </w:p>
  </w:footnote>
  <w:footnote w:id="531">
    <w:p w14:paraId="4ECB307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נמסר ב־5 באוקטובר 1990.</w:t>
      </w:r>
    </w:p>
  </w:footnote>
  <w:footnote w:id="532">
    <w:p w14:paraId="640EAD7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11 לעיל.</w:t>
      </w:r>
    </w:p>
  </w:footnote>
  <w:footnote w:id="533">
    <w:p w14:paraId="22220B4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הערה 1 לעיל.</w:t>
      </w:r>
    </w:p>
  </w:footnote>
  <w:footnote w:id="534">
    <w:p w14:paraId="0F1729C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דבריו מובאים בעמ׳ 187 בספר “המגיד מדבר” מאת הרב פסח י. קרון (הוצאת מסורה, 1987). הסיפור כפי שהוא מובא שם אינו מדויק בשש נקודות: (1) שמה לא היה “</w:t>
      </w:r>
      <w:proofErr w:type="spellStart"/>
      <w:r>
        <w:rPr>
          <w:sz w:val="20"/>
          <w:szCs w:val="20"/>
          <w:rtl/>
        </w:rPr>
        <w:t>חאוואלע</w:t>
      </w:r>
      <w:proofErr w:type="spellEnd"/>
      <w:r>
        <w:rPr>
          <w:sz w:val="20"/>
          <w:szCs w:val="20"/>
          <w:rtl/>
        </w:rPr>
        <w:t xml:space="preserve">”, אלא </w:t>
      </w:r>
      <w:proofErr w:type="spellStart"/>
      <w:r>
        <w:rPr>
          <w:sz w:val="20"/>
          <w:szCs w:val="20"/>
          <w:rtl/>
        </w:rPr>
        <w:t>בלומקה</w:t>
      </w:r>
      <w:proofErr w:type="spellEnd"/>
      <w:r>
        <w:rPr>
          <w:sz w:val="20"/>
          <w:szCs w:val="20"/>
          <w:rtl/>
        </w:rPr>
        <w:t xml:space="preserve">; (2) השול שבנתה לא נודע בשם “השול של </w:t>
      </w:r>
      <w:proofErr w:type="spellStart"/>
      <w:r>
        <w:rPr>
          <w:sz w:val="20"/>
          <w:szCs w:val="20"/>
          <w:rtl/>
        </w:rPr>
        <w:t>חאוואלע</w:t>
      </w:r>
      <w:proofErr w:type="spellEnd"/>
      <w:r>
        <w:rPr>
          <w:sz w:val="20"/>
          <w:szCs w:val="20"/>
          <w:rtl/>
        </w:rPr>
        <w:t>”, אלא בשם “</w:t>
      </w:r>
      <w:proofErr w:type="spellStart"/>
      <w:r>
        <w:rPr>
          <w:sz w:val="20"/>
          <w:szCs w:val="20"/>
          <w:rtl/>
        </w:rPr>
        <w:t>הקלויז</w:t>
      </w:r>
      <w:proofErr w:type="spellEnd"/>
      <w:r>
        <w:rPr>
          <w:sz w:val="20"/>
          <w:szCs w:val="20"/>
          <w:rtl/>
        </w:rPr>
        <w:t xml:space="preserve"> של </w:t>
      </w:r>
      <w:proofErr w:type="spellStart"/>
      <w:r>
        <w:rPr>
          <w:sz w:val="20"/>
          <w:szCs w:val="20"/>
          <w:rtl/>
        </w:rPr>
        <w:t>בלומקה</w:t>
      </w:r>
      <w:proofErr w:type="spellEnd"/>
      <w:r>
        <w:rPr>
          <w:sz w:val="20"/>
          <w:szCs w:val="20"/>
          <w:rtl/>
        </w:rPr>
        <w:t xml:space="preserve">”; (3) היא לא הביאה לו “שתי חלות לשבת בכל שבוע”, אלא כמסופר בהערה 33 לעיל; (4) השאגת אריה לא רצה שתתעשר </w:t>
      </w:r>
      <w:r>
        <w:rPr>
          <w:b/>
          <w:bCs/>
          <w:sz w:val="20"/>
          <w:szCs w:val="20"/>
          <w:rtl/>
        </w:rPr>
        <w:t>כדי</w:t>
      </w:r>
      <w:r>
        <w:rPr>
          <w:sz w:val="20"/>
          <w:szCs w:val="20"/>
          <w:rtl/>
        </w:rPr>
        <w:t xml:space="preserve"> שתבנה שני בתי כנסת (אחד במינסק והאחר בירושלים), וברכתו לעושר לא הזכירה שום תכלית; (5) השאגת אריה לא הזכיר שתבנה בית כנסת בארץ ישראל, אלא רק שתשב שם; (6) השאגת אריה מעולם לא הזכיר שתבנה בית כנסת במינסק, והרעיון עלה מיוזמה בת זמנה.</w:t>
      </w:r>
    </w:p>
  </w:footnote>
  <w:footnote w:id="535">
    <w:p w14:paraId="06A9F39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מאת חיים ע. </w:t>
      </w:r>
      <w:proofErr w:type="spellStart"/>
      <w:r>
        <w:rPr>
          <w:sz w:val="20"/>
          <w:szCs w:val="20"/>
          <w:rtl/>
        </w:rPr>
        <w:t>קוליץ</w:t>
      </w:r>
      <w:proofErr w:type="spellEnd"/>
      <w:r>
        <w:rPr>
          <w:sz w:val="20"/>
          <w:szCs w:val="20"/>
          <w:rtl/>
        </w:rPr>
        <w:t xml:space="preserve"> – עמ׳ 38.</w:t>
      </w:r>
    </w:p>
  </w:footnote>
  <w:footnote w:id="536">
    <w:p w14:paraId="40F186F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גם ספר זה טועה כשהוא מוסר: (1) </w:t>
      </w:r>
      <w:proofErr w:type="spellStart"/>
      <w:r>
        <w:rPr>
          <w:sz w:val="20"/>
          <w:szCs w:val="20"/>
          <w:rtl/>
        </w:rPr>
        <w:t>שהשאגת</w:t>
      </w:r>
      <w:proofErr w:type="spellEnd"/>
      <w:r>
        <w:rPr>
          <w:sz w:val="20"/>
          <w:szCs w:val="20"/>
          <w:rtl/>
        </w:rPr>
        <w:t xml:space="preserve"> אריה קשר את ברכתו לעושר בבניית שני בתי כנסת – כמו </w:t>
      </w:r>
      <w:proofErr w:type="spellStart"/>
      <w:r>
        <w:rPr>
          <w:sz w:val="20"/>
          <w:szCs w:val="20"/>
          <w:rtl/>
        </w:rPr>
        <w:t>ב“המגיד</w:t>
      </w:r>
      <w:proofErr w:type="spellEnd"/>
      <w:r>
        <w:rPr>
          <w:sz w:val="20"/>
          <w:szCs w:val="20"/>
          <w:rtl/>
        </w:rPr>
        <w:t xml:space="preserve"> מדבר”; (2) </w:t>
      </w:r>
      <w:proofErr w:type="spellStart"/>
      <w:r>
        <w:rPr>
          <w:sz w:val="20"/>
          <w:szCs w:val="20"/>
          <w:rtl/>
        </w:rPr>
        <w:t>שהשאגת</w:t>
      </w:r>
      <w:proofErr w:type="spellEnd"/>
      <w:r>
        <w:rPr>
          <w:sz w:val="20"/>
          <w:szCs w:val="20"/>
          <w:rtl/>
        </w:rPr>
        <w:t xml:space="preserve"> אריה בירך אותה שילדיה יהיו גדולי תורה; (3) שר׳ רפאל המבורגר היה מילדיה של </w:t>
      </w:r>
      <w:proofErr w:type="spellStart"/>
      <w:r>
        <w:rPr>
          <w:sz w:val="20"/>
          <w:szCs w:val="20"/>
          <w:rtl/>
        </w:rPr>
        <w:t>בלומקה</w:t>
      </w:r>
      <w:proofErr w:type="spellEnd"/>
      <w:r>
        <w:rPr>
          <w:sz w:val="20"/>
          <w:szCs w:val="20"/>
          <w:rtl/>
        </w:rPr>
        <w:t xml:space="preserve"> – טעות גסה, שמקורה כנראה בטעות השנייה.</w:t>
      </w:r>
    </w:p>
  </w:footnote>
  <w:footnote w:id="537">
    <w:p w14:paraId="0CD4BA8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“הראשון לשושלת </w:t>
      </w:r>
      <w:proofErr w:type="spellStart"/>
      <w:r>
        <w:rPr>
          <w:rStyle w:val="a5"/>
          <w:sz w:val="20"/>
          <w:szCs w:val="20"/>
          <w:vertAlign w:val="baseline"/>
          <w:rtl/>
        </w:rPr>
        <w:t>בריסק</w:t>
      </w:r>
      <w:proofErr w:type="spellEnd"/>
      <w:r>
        <w:rPr>
          <w:rStyle w:val="a5"/>
          <w:sz w:val="20"/>
          <w:szCs w:val="20"/>
          <w:vertAlign w:val="baseline"/>
          <w:rtl/>
        </w:rPr>
        <w:t xml:space="preserve">” (הנ״ל, עמ׳ </w:t>
      </w:r>
      <w:r>
        <w:rPr>
          <w:rStyle w:val="a5"/>
          <w:sz w:val="20"/>
          <w:szCs w:val="20"/>
          <w:vertAlign w:val="baseline"/>
          <w:rtl/>
        </w:rPr>
        <w:fldChar w:fldCharType="begin" w:dirty="true"/>
      </w:r>
      <w:r>
        <w:rPr>
          <w:rStyle w:val="a5"/>
          <w:sz w:val="20"/>
          <w:szCs w:val="20"/>
          <w:vertAlign w:val="baseline"/>
          <w:rtl/>
        </w:rPr>
        <w:instrText xml:space="preserve"> PAGEREF pr_f_352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 xml:space="preserve">, הערת שוליים </w:t>
      </w:r>
      <w:r>
        <w:rPr>
          <w:rStyle w:val="a5"/>
          <w:sz w:val="20"/>
          <w:szCs w:val="20"/>
          <w:vertAlign w:val="baseline"/>
          <w:rtl/>
        </w:rPr>
        <w:fldChar w:fldCharType="begin" w:dirty="true"/>
      </w:r>
      <w:r>
        <w:rPr>
          <w:rStyle w:val="a5"/>
          <w:sz w:val="20"/>
          <w:szCs w:val="20"/>
          <w:vertAlign w:val="baseline"/>
          <w:rtl/>
        </w:rPr>
        <w:instrText xml:space="preserve"> NOTEREF pr_f_352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295</w:t>
      </w:r>
      <w:r>
        <w:rPr>
          <w:rStyle w:val="a5"/>
          <w:sz w:val="20"/>
          <w:szCs w:val="20"/>
          <w:vertAlign w:val="baseline"/>
          <w:rtl/>
        </w:rPr>
        <w:fldChar w:fldCharType="end"/>
      </w:r>
      <w:r>
        <w:rPr>
          <w:sz w:val="20"/>
          <w:szCs w:val="20"/>
          <w:rtl/>
        </w:rPr>
        <w:t>), הערה 130 בעמ׳ 82.</w:t>
      </w:r>
    </w:p>
  </w:footnote>
  <w:footnote w:id="538">
    <w:p w14:paraId="5803C6D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בהגהותיו על </w:t>
      </w:r>
      <w:proofErr w:type="spellStart"/>
      <w:r>
        <w:rPr>
          <w:sz w:val="20"/>
          <w:szCs w:val="20"/>
          <w:rtl/>
        </w:rPr>
        <w:t>שו״ע</w:t>
      </w:r>
      <w:proofErr w:type="spellEnd"/>
      <w:r>
        <w:rPr>
          <w:sz w:val="20"/>
          <w:szCs w:val="20"/>
          <w:rtl/>
        </w:rPr>
        <w:t xml:space="preserve"> </w:t>
      </w:r>
      <w:proofErr w:type="spellStart"/>
      <w:r>
        <w:rPr>
          <w:sz w:val="20"/>
          <w:szCs w:val="20"/>
          <w:rtl/>
        </w:rPr>
        <w:t>או״ח</w:t>
      </w:r>
      <w:proofErr w:type="spellEnd"/>
      <w:r>
        <w:rPr>
          <w:sz w:val="20"/>
          <w:szCs w:val="20"/>
          <w:rtl/>
        </w:rPr>
        <w:t xml:space="preserve"> ססי׳ ש״ה מזכירו רע״א כבנו “החתן החריף”.</w:t>
      </w:r>
    </w:p>
  </w:footnote>
  <w:footnote w:id="539">
    <w:p w14:paraId="23F0407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“מאורן של ישראל” (פרק 2, הערה 12), ח״א, עמ׳ קנב.</w:t>
      </w:r>
    </w:p>
  </w:footnote>
  <w:footnote w:id="540">
    <w:p w14:paraId="52E5A93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הערה 33 לעיל.</w:t>
      </w:r>
    </w:p>
  </w:footnote>
  <w:footnote w:id="541">
    <w:p w14:paraId="4F9A4FB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w:t>
      </w:r>
      <w:proofErr w:type="spellStart"/>
      <w:r>
        <w:rPr>
          <w:sz w:val="20"/>
          <w:szCs w:val="20"/>
          <w:rtl/>
        </w:rPr>
        <w:t>ח״ב</w:t>
      </w:r>
      <w:proofErr w:type="spellEnd"/>
      <w:r>
        <w:rPr>
          <w:sz w:val="20"/>
          <w:szCs w:val="20"/>
          <w:rtl/>
        </w:rPr>
        <w:t>, עמ׳ שיט.</w:t>
      </w:r>
    </w:p>
  </w:footnote>
  <w:footnote w:id="542">
    <w:p w14:paraId="6DF209E8"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כך במקור; לפי המשך הטיעון נראה שהכוונה לאחי בעלה של </w:t>
      </w:r>
      <w:proofErr w:type="spellStart"/>
      <w:r>
        <w:rPr>
          <w:sz w:val="20"/>
          <w:szCs w:val="20"/>
          <w:rtl/>
        </w:rPr>
        <w:t>בלומקה</w:t>
      </w:r>
      <w:proofErr w:type="spellEnd"/>
      <w:r>
        <w:rPr>
          <w:sz w:val="20"/>
          <w:szCs w:val="20"/>
          <w:rtl/>
        </w:rPr>
        <w:t>.</w:t>
      </w:r>
    </w:p>
  </w:footnote>
  <w:footnote w:id="543">
    <w:p w14:paraId="7972F9F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4 לעיל – כרך 1, בסוף עמ׳ 24.</w:t>
      </w:r>
    </w:p>
  </w:footnote>
  <w:footnote w:id="544">
    <w:p w14:paraId="4AECA67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10 לעיל – עמ׳ 446–460.</w:t>
      </w:r>
    </w:p>
  </w:footnote>
  <w:footnote w:id="545">
    <w:p w14:paraId="73BBEBF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“מינסק עיר ואם א”, עמ׳ 504.</w:t>
      </w:r>
    </w:p>
  </w:footnote>
  <w:footnote w:id="546">
    <w:p w14:paraId="0B5750E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מאת </w:t>
      </w:r>
      <w:proofErr w:type="spellStart"/>
      <w:r>
        <w:rPr>
          <w:sz w:val="20"/>
          <w:szCs w:val="20"/>
          <w:rtl/>
        </w:rPr>
        <w:t>משה־שמואל</w:t>
      </w:r>
      <w:proofErr w:type="spellEnd"/>
      <w:r>
        <w:rPr>
          <w:sz w:val="20"/>
          <w:szCs w:val="20"/>
          <w:rtl/>
        </w:rPr>
        <w:t xml:space="preserve"> </w:t>
      </w:r>
      <w:proofErr w:type="spellStart"/>
      <w:r>
        <w:rPr>
          <w:sz w:val="20"/>
          <w:szCs w:val="20"/>
          <w:rtl/>
        </w:rPr>
        <w:t>שמוקלר</w:t>
      </w:r>
      <w:proofErr w:type="spellEnd"/>
      <w:r>
        <w:rPr>
          <w:sz w:val="20"/>
          <w:szCs w:val="20"/>
          <w:rtl/>
        </w:rPr>
        <w:t xml:space="preserve"> (שפירא), וילנה, תר״ע – עמ׳ 33–34.</w:t>
      </w:r>
    </w:p>
  </w:footnote>
  <w:footnote w:id="547">
    <w:p w14:paraId="2FC8359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92 ו־99.</w:t>
      </w:r>
    </w:p>
  </w:footnote>
  <w:footnote w:id="548">
    <w:p w14:paraId="2EBCC31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108.</w:t>
      </w:r>
    </w:p>
  </w:footnote>
  <w:footnote w:id="549">
    <w:p w14:paraId="1A96008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הרב אלכסנדר </w:t>
      </w:r>
      <w:proofErr w:type="spellStart"/>
      <w:r>
        <w:rPr>
          <w:sz w:val="20"/>
          <w:szCs w:val="20"/>
          <w:rtl/>
        </w:rPr>
        <w:t>זיסקינד</w:t>
      </w:r>
      <w:proofErr w:type="spellEnd"/>
      <w:r>
        <w:rPr>
          <w:sz w:val="20"/>
          <w:szCs w:val="20"/>
          <w:rtl/>
        </w:rPr>
        <w:t xml:space="preserve"> הורוביץ, מחבר “</w:t>
      </w:r>
      <w:proofErr w:type="spellStart"/>
      <w:r>
        <w:rPr>
          <w:sz w:val="20"/>
          <w:szCs w:val="20"/>
          <w:rtl/>
        </w:rPr>
        <w:t>זכרונות</w:t>
      </w:r>
      <w:proofErr w:type="spellEnd"/>
      <w:r>
        <w:rPr>
          <w:sz w:val="20"/>
          <w:szCs w:val="20"/>
          <w:rtl/>
        </w:rPr>
        <w:t xml:space="preserve"> פון צווי דורות” (הערה 13 לעיל), טוען שישיבת </w:t>
      </w:r>
      <w:proofErr w:type="spellStart"/>
      <w:r>
        <w:rPr>
          <w:sz w:val="20"/>
          <w:szCs w:val="20"/>
          <w:rtl/>
        </w:rPr>
        <w:t>הקלויז</w:t>
      </w:r>
      <w:proofErr w:type="spellEnd"/>
      <w:r>
        <w:rPr>
          <w:sz w:val="20"/>
          <w:szCs w:val="20"/>
          <w:rtl/>
        </w:rPr>
        <w:t xml:space="preserve"> של </w:t>
      </w:r>
      <w:proofErr w:type="spellStart"/>
      <w:r>
        <w:rPr>
          <w:sz w:val="20"/>
          <w:szCs w:val="20"/>
          <w:rtl/>
        </w:rPr>
        <w:t>בלומקה</w:t>
      </w:r>
      <w:proofErr w:type="spellEnd"/>
      <w:r>
        <w:rPr>
          <w:sz w:val="20"/>
          <w:szCs w:val="20"/>
          <w:rtl/>
        </w:rPr>
        <w:t xml:space="preserve">, שבה למד בגיל </w:t>
      </w:r>
      <w:proofErr w:type="spellStart"/>
      <w:r>
        <w:rPr>
          <w:sz w:val="20"/>
          <w:szCs w:val="20"/>
          <w:rtl/>
        </w:rPr>
        <w:t>ארבע־עשרה</w:t>
      </w:r>
      <w:proofErr w:type="spellEnd"/>
      <w:r>
        <w:rPr>
          <w:sz w:val="20"/>
          <w:szCs w:val="20"/>
          <w:rtl/>
        </w:rPr>
        <w:t xml:space="preserve"> בשנת תרל״ד, התנהלה בידי בתה של </w:t>
      </w:r>
      <w:proofErr w:type="spellStart"/>
      <w:r>
        <w:rPr>
          <w:sz w:val="20"/>
          <w:szCs w:val="20"/>
          <w:rtl/>
        </w:rPr>
        <w:t>בלומקה</w:t>
      </w:r>
      <w:proofErr w:type="spellEnd"/>
      <w:r>
        <w:rPr>
          <w:sz w:val="20"/>
          <w:szCs w:val="20"/>
          <w:rtl/>
        </w:rPr>
        <w:t xml:space="preserve">, רבקה, ושלושים שנה קודם לכן, כלומר בשנת תר״ד, ניהלה </w:t>
      </w:r>
      <w:proofErr w:type="spellStart"/>
      <w:r>
        <w:rPr>
          <w:sz w:val="20"/>
          <w:szCs w:val="20"/>
          <w:rtl/>
        </w:rPr>
        <w:t>בלומקה</w:t>
      </w:r>
      <w:proofErr w:type="spellEnd"/>
      <w:r>
        <w:rPr>
          <w:sz w:val="20"/>
          <w:szCs w:val="20"/>
          <w:rtl/>
        </w:rPr>
        <w:t xml:space="preserve"> עצמה את הישיבה. טענתו מוטעית: </w:t>
      </w:r>
      <w:proofErr w:type="spellStart"/>
      <w:r>
        <w:rPr>
          <w:sz w:val="20"/>
          <w:szCs w:val="20"/>
          <w:rtl/>
        </w:rPr>
        <w:t>בלומקה</w:t>
      </w:r>
      <w:proofErr w:type="spellEnd"/>
      <w:r>
        <w:rPr>
          <w:sz w:val="20"/>
          <w:szCs w:val="20"/>
          <w:rtl/>
        </w:rPr>
        <w:t xml:space="preserve">, מייסדת </w:t>
      </w:r>
      <w:proofErr w:type="spellStart"/>
      <w:r>
        <w:rPr>
          <w:sz w:val="20"/>
          <w:szCs w:val="20"/>
          <w:rtl/>
        </w:rPr>
        <w:t>הקלויז</w:t>
      </w:r>
      <w:proofErr w:type="spellEnd"/>
      <w:r>
        <w:rPr>
          <w:sz w:val="20"/>
          <w:szCs w:val="20"/>
          <w:rtl/>
        </w:rPr>
        <w:t xml:space="preserve">, כבר מלאו לה מאה שנה בארץ ישראל </w:t>
      </w:r>
      <w:proofErr w:type="spellStart"/>
      <w:r>
        <w:rPr>
          <w:sz w:val="20"/>
          <w:szCs w:val="20"/>
          <w:rtl/>
        </w:rPr>
        <w:t>ארבע־עשרה</w:t>
      </w:r>
      <w:proofErr w:type="spellEnd"/>
      <w:r>
        <w:rPr>
          <w:sz w:val="20"/>
          <w:szCs w:val="20"/>
          <w:rtl/>
        </w:rPr>
        <w:t xml:space="preserve"> שנה לפני תר״ד – אפילו אם הייתה רק בת </w:t>
      </w:r>
      <w:proofErr w:type="spellStart"/>
      <w:r>
        <w:rPr>
          <w:sz w:val="20"/>
          <w:szCs w:val="20"/>
          <w:rtl/>
        </w:rPr>
        <w:t>שתים־עשרה</w:t>
      </w:r>
      <w:proofErr w:type="spellEnd"/>
      <w:r>
        <w:rPr>
          <w:sz w:val="20"/>
          <w:szCs w:val="20"/>
          <w:rtl/>
        </w:rPr>
        <w:t xml:space="preserve"> כשגורש השאגת אריה לראשונה ממינסק, בשנת תק״ב.</w:t>
      </w:r>
    </w:p>
    <w:p w14:paraId="079F48D0" w14:textId="77777777" w:rsidR="00AB3647" w:rsidRDefault="00000000">
      <w:pPr>
        <w:spacing w:after="0" w:before="0"/>
        <w:jc w:val="both"/>
      </w:pPr>
      <w:r>
        <w:rPr>
          <w:sz w:val="20"/>
          <w:szCs w:val="20"/>
          <w:rtl/>
        </w:rPr>
        <w:t xml:space="preserve">אולי </w:t>
      </w:r>
      <w:r>
        <w:rPr>
          <w:b/>
          <w:bCs/>
          <w:sz w:val="20"/>
          <w:szCs w:val="20"/>
          <w:rtl/>
        </w:rPr>
        <w:t>צאצאית</w:t>
      </w:r>
      <w:r>
        <w:rPr>
          <w:sz w:val="20"/>
          <w:szCs w:val="20"/>
          <w:rtl/>
        </w:rPr>
        <w:t xml:space="preserve"> של </w:t>
      </w:r>
      <w:proofErr w:type="spellStart"/>
      <w:r>
        <w:rPr>
          <w:sz w:val="20"/>
          <w:szCs w:val="20"/>
          <w:rtl/>
        </w:rPr>
        <w:t>בלומקה</w:t>
      </w:r>
      <w:proofErr w:type="spellEnd"/>
      <w:r>
        <w:rPr>
          <w:sz w:val="20"/>
          <w:szCs w:val="20"/>
          <w:rtl/>
        </w:rPr>
        <w:t xml:space="preserve"> המקורית </w:t>
      </w:r>
      <w:r>
        <w:rPr>
          <w:b/>
          <w:bCs/>
          <w:sz w:val="20"/>
          <w:szCs w:val="20"/>
          <w:rtl/>
        </w:rPr>
        <w:t>שנקראה על שמה</w:t>
      </w:r>
      <w:r>
        <w:rPr>
          <w:sz w:val="20"/>
          <w:szCs w:val="20"/>
          <w:rtl/>
        </w:rPr>
        <w:t xml:space="preserve"> היא </w:t>
      </w:r>
      <w:proofErr w:type="spellStart"/>
      <w:r>
        <w:rPr>
          <w:sz w:val="20"/>
          <w:szCs w:val="20"/>
          <w:rtl/>
        </w:rPr>
        <w:t>בלומקה</w:t>
      </w:r>
      <w:proofErr w:type="spellEnd"/>
      <w:r>
        <w:rPr>
          <w:sz w:val="20"/>
          <w:szCs w:val="20"/>
          <w:rtl/>
        </w:rPr>
        <w:t xml:space="preserve"> שעמדה בראש </w:t>
      </w:r>
      <w:proofErr w:type="spellStart"/>
      <w:r>
        <w:rPr>
          <w:sz w:val="20"/>
          <w:szCs w:val="20"/>
          <w:rtl/>
        </w:rPr>
        <w:t>הקלויז</w:t>
      </w:r>
      <w:proofErr w:type="spellEnd"/>
      <w:r>
        <w:rPr>
          <w:sz w:val="20"/>
          <w:szCs w:val="20"/>
          <w:rtl/>
        </w:rPr>
        <w:t xml:space="preserve"> שלושים שנה לפני שלמד שם הרב הורוביץ. אבל אם צאצאית שנקראה על שמה – אחרי שנפטרה בת יותר ממאה (כבסוף הערה 33 לעיל) – כבר הייתה בגיל שבו יכלה לנהל את </w:t>
      </w:r>
      <w:proofErr w:type="spellStart"/>
      <w:r>
        <w:rPr>
          <w:sz w:val="20"/>
          <w:szCs w:val="20"/>
          <w:rtl/>
        </w:rPr>
        <w:t>הקלויז</w:t>
      </w:r>
      <w:proofErr w:type="spellEnd"/>
      <w:r>
        <w:rPr>
          <w:sz w:val="20"/>
          <w:szCs w:val="20"/>
          <w:rtl/>
        </w:rPr>
        <w:t xml:space="preserve"> בשנת תר״ד, מן ההכרח </w:t>
      </w:r>
      <w:proofErr w:type="spellStart"/>
      <w:r>
        <w:rPr>
          <w:sz w:val="20"/>
          <w:szCs w:val="20"/>
          <w:rtl/>
        </w:rPr>
        <w:t>שבלומקה</w:t>
      </w:r>
      <w:proofErr w:type="spellEnd"/>
      <w:r>
        <w:rPr>
          <w:sz w:val="20"/>
          <w:szCs w:val="20"/>
          <w:rtl/>
        </w:rPr>
        <w:t xml:space="preserve"> הגיעה לגיל מאה עד שנת תקפ״ב. אם כן, הייתה לפחות בת עשרים כשהגישה לשאגת אריה את מרכולתה, ולפחות בת תשעים כשעלתה לארץ ישראל!</w:t>
      </w:r>
    </w:p>
  </w:footnote>
  <w:footnote w:id="550">
    <w:p w14:paraId="04B8FA2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הוצאת אלמנת המחבר, תל אביב, </w:t>
      </w:r>
      <w:proofErr w:type="spellStart"/>
      <w:r>
        <w:rPr>
          <w:sz w:val="20"/>
          <w:szCs w:val="20"/>
          <w:rtl/>
        </w:rPr>
        <w:t>תש״ן</w:t>
      </w:r>
      <w:proofErr w:type="spellEnd"/>
      <w:r>
        <w:rPr>
          <w:sz w:val="20"/>
          <w:szCs w:val="20"/>
          <w:rtl/>
        </w:rPr>
        <w:t xml:space="preserve"> – עמ׳ 476.</w:t>
      </w:r>
    </w:p>
  </w:footnote>
  <w:footnote w:id="551">
    <w:p w14:paraId="4761728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תחילת נספח א בפרק זה.</w:t>
      </w:r>
    </w:p>
  </w:footnote>
  <w:footnote w:id="552">
    <w:p w14:paraId="0074508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82.</w:t>
      </w:r>
    </w:p>
  </w:footnote>
  <w:footnote w:id="553">
    <w:p w14:paraId="09424BE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141.</w:t>
      </w:r>
    </w:p>
  </w:footnote>
  <w:footnote w:id="554">
    <w:p w14:paraId="4F67606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הערה 102.</w:t>
      </w:r>
    </w:p>
  </w:footnote>
  <w:footnote w:id="555">
    <w:p w14:paraId="4BE9E8D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“מינסק עיר ואם ב”, עמ׳ 153.</w:t>
      </w:r>
    </w:p>
  </w:footnote>
  <w:footnote w:id="556">
    <w:p w14:paraId="6796F9C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141 ו־143.</w:t>
      </w:r>
    </w:p>
  </w:footnote>
  <w:footnote w:id="557">
    <w:p w14:paraId="25F8B6B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255.</w:t>
      </w:r>
    </w:p>
  </w:footnote>
  <w:footnote w:id="558">
    <w:p w14:paraId="51871EA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עמ׳ 149, הערה 1, </w:t>
      </w:r>
      <w:proofErr w:type="spellStart"/>
      <w:r>
        <w:rPr>
          <w:sz w:val="20"/>
          <w:szCs w:val="20"/>
          <w:rtl/>
        </w:rPr>
        <w:t>ו“זכרון</w:t>
      </w:r>
      <w:proofErr w:type="spellEnd"/>
      <w:r>
        <w:rPr>
          <w:sz w:val="20"/>
          <w:szCs w:val="20"/>
          <w:rtl/>
        </w:rPr>
        <w:t xml:space="preserve"> יעקב” (הערה 4 לעיל), כרך 1, עמ׳ 196. בתלמוד פירושו קניין בדרך של החזקה.</w:t>
      </w:r>
    </w:p>
  </w:footnote>
  <w:footnote w:id="559">
    <w:p w14:paraId="47B04DD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שם, עמ׳ 196–197.</w:t>
      </w:r>
    </w:p>
  </w:footnote>
  <w:footnote w:id="560">
    <w:p w14:paraId="51A6915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3, הפסקה השלישית בנספח </w:t>
      </w:r>
      <w:proofErr w:type="spellStart"/>
      <w:r>
        <w:rPr>
          <w:sz w:val="20"/>
          <w:szCs w:val="20"/>
          <w:rtl/>
        </w:rPr>
        <w:t>כו</w:t>
      </w:r>
      <w:proofErr w:type="spellEnd"/>
      <w:r>
        <w:rPr>
          <w:sz w:val="20"/>
          <w:szCs w:val="20"/>
          <w:rtl/>
        </w:rPr>
        <w:t>.</w:t>
      </w:r>
    </w:p>
  </w:footnote>
  <w:footnote w:id="561">
    <w:p w14:paraId="7E22697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w:t>
      </w:r>
      <w:proofErr w:type="spellStart"/>
      <w:r>
        <w:rPr>
          <w:sz w:val="20"/>
          <w:szCs w:val="20"/>
          <w:rtl/>
        </w:rPr>
        <w:t>זכרון</w:t>
      </w:r>
      <w:proofErr w:type="spellEnd"/>
      <w:r>
        <w:rPr>
          <w:sz w:val="20"/>
          <w:szCs w:val="20"/>
          <w:rtl/>
        </w:rPr>
        <w:t xml:space="preserve"> יעקב”, כרך 2, עמ׳ 151.</w:t>
      </w:r>
    </w:p>
  </w:footnote>
  <w:footnote w:id="562">
    <w:p w14:paraId="09357A5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ישעיה שכטר (פרק 1, הערה 56). והשווה גם פרק 1, הערה 1. ובסידור אוצר התפלות מביא </w:t>
      </w:r>
      <w:proofErr w:type="spellStart"/>
      <w:r>
        <w:rPr>
          <w:sz w:val="20"/>
          <w:szCs w:val="20"/>
          <w:rtl/>
        </w:rPr>
        <w:t>בענין</w:t>
      </w:r>
      <w:proofErr w:type="spellEnd"/>
      <w:r>
        <w:rPr>
          <w:sz w:val="20"/>
          <w:szCs w:val="20"/>
          <w:rtl/>
        </w:rPr>
        <w:t xml:space="preserve"> קדושה </w:t>
      </w:r>
      <w:proofErr w:type="spellStart"/>
      <w:r>
        <w:rPr>
          <w:sz w:val="20"/>
          <w:szCs w:val="20"/>
          <w:rtl/>
        </w:rPr>
        <w:t>דסידרא</w:t>
      </w:r>
      <w:proofErr w:type="spellEnd"/>
      <w:r>
        <w:rPr>
          <w:sz w:val="20"/>
          <w:szCs w:val="20"/>
          <w:rtl/>
        </w:rPr>
        <w:t xml:space="preserve"> מתשובות הגאונים בשם רב </w:t>
      </w:r>
      <w:proofErr w:type="spellStart"/>
      <w:r>
        <w:rPr>
          <w:sz w:val="20"/>
          <w:szCs w:val="20"/>
          <w:rtl/>
        </w:rPr>
        <w:t>נטרונאי</w:t>
      </w:r>
      <w:proofErr w:type="spellEnd"/>
      <w:r>
        <w:rPr>
          <w:sz w:val="20"/>
          <w:szCs w:val="20"/>
          <w:rtl/>
        </w:rPr>
        <w:t xml:space="preserve"> גאון שבתחילה היו קוראים בנביא כל יום אחר התפלה.</w:t>
      </w:r>
    </w:p>
  </w:footnote>
  <w:footnote w:id="563">
    <w:p w14:paraId="63A3096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אורח חיים סי׳ קי״ד ס״ח.</w:t>
      </w:r>
    </w:p>
  </w:footnote>
  <w:footnote w:id="564">
    <w:p w14:paraId="00ABF42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שמעון </w:t>
      </w:r>
      <w:proofErr w:type="spellStart"/>
      <w:r>
        <w:rPr>
          <w:sz w:val="20"/>
          <w:szCs w:val="20"/>
          <w:rtl/>
        </w:rPr>
        <w:t>ג׳ייקובס</w:t>
      </w:r>
      <w:proofErr w:type="spellEnd"/>
      <w:r>
        <w:rPr>
          <w:sz w:val="20"/>
          <w:szCs w:val="20"/>
          <w:rtl/>
        </w:rPr>
        <w:t>, ריאיון, 21 בפברואר 1988.</w:t>
      </w:r>
    </w:p>
  </w:footnote>
  <w:footnote w:id="565">
    <w:p w14:paraId="5FC175A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w:t>
      </w:r>
      <w:proofErr w:type="spellStart"/>
      <w:r>
        <w:rPr>
          <w:sz w:val="20"/>
          <w:szCs w:val="20"/>
          <w:rtl/>
        </w:rPr>
        <w:t>זכרון</w:t>
      </w:r>
      <w:proofErr w:type="spellEnd"/>
      <w:r>
        <w:rPr>
          <w:sz w:val="20"/>
          <w:szCs w:val="20"/>
          <w:rtl/>
        </w:rPr>
        <w:t xml:space="preserve"> יעקב” (הערה 4 לעיל), כרך 2, עמ׳ 152.</w:t>
      </w:r>
    </w:p>
  </w:footnote>
  <w:footnote w:id="566">
    <w:p w14:paraId="1BCC1F9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תחילת נספח ב בפרק זה.</w:t>
      </w:r>
    </w:p>
  </w:footnote>
  <w:footnote w:id="567">
    <w:p w14:paraId="00E52D4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5, נספחים ז </w:t>
      </w:r>
      <w:proofErr w:type="spellStart"/>
      <w:r>
        <w:rPr>
          <w:sz w:val="20"/>
          <w:szCs w:val="20"/>
          <w:rtl/>
        </w:rPr>
        <w:t>ו־ח</w:t>
      </w:r>
      <w:proofErr w:type="spellEnd"/>
      <w:r>
        <w:rPr>
          <w:sz w:val="20"/>
          <w:szCs w:val="20"/>
          <w:rtl/>
        </w:rPr>
        <w:t>.</w:t>
      </w:r>
    </w:p>
  </w:footnote>
  <w:footnote w:id="568">
    <w:p w14:paraId="730646C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הנהר מתחיל את מסלולו המתפתל, באורך 800 קילומטר, ממקום סמוך </w:t>
      </w:r>
      <w:proofErr w:type="spellStart"/>
      <w:r>
        <w:rPr>
          <w:sz w:val="20"/>
          <w:szCs w:val="20"/>
          <w:rtl/>
        </w:rPr>
        <w:t>לסטויבץ</w:t>
      </w:r>
      <w:proofErr w:type="spellEnd"/>
      <w:r>
        <w:rPr>
          <w:sz w:val="20"/>
          <w:szCs w:val="20"/>
          <w:rtl/>
        </w:rPr>
        <w:t xml:space="preserve">, דרך </w:t>
      </w:r>
      <w:proofErr w:type="spellStart"/>
      <w:r>
        <w:rPr>
          <w:sz w:val="20"/>
          <w:szCs w:val="20"/>
          <w:rtl/>
        </w:rPr>
        <w:t>גרודנא</w:t>
      </w:r>
      <w:proofErr w:type="spellEnd"/>
      <w:r>
        <w:rPr>
          <w:sz w:val="20"/>
          <w:szCs w:val="20"/>
          <w:rtl/>
        </w:rPr>
        <w:t xml:space="preserve"> וקובנה, אל הים הבלטי.</w:t>
      </w:r>
    </w:p>
  </w:footnote>
  <w:footnote w:id="569">
    <w:p w14:paraId="52D5CED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סיפור זה מסר לי ב־20 במאי 1999 ר׳ נחמן קליין, ששמע אותו מבתו של חברו לשחייה של </w:t>
      </w:r>
      <w:proofErr w:type="spellStart"/>
      <w:r>
        <w:rPr>
          <w:sz w:val="20"/>
          <w:szCs w:val="20"/>
          <w:rtl/>
        </w:rPr>
        <w:t>החזון־איש</w:t>
      </w:r>
      <w:proofErr w:type="spellEnd"/>
      <w:r>
        <w:rPr>
          <w:sz w:val="20"/>
          <w:szCs w:val="20"/>
          <w:rtl/>
        </w:rPr>
        <w:t xml:space="preserve">. מעשה אחר בגאון ומחדש שהתיז מים על חבריו לשחייה מובא בספר “שמואל בדורו” (ראה עמ׳ </w:t>
      </w:r>
      <w:r>
        <w:rPr>
          <w:sz w:val="20"/>
          <w:szCs w:val="20"/>
          <w:rtl/>
        </w:rPr>
        <w:fldChar w:fldCharType="begin" w:dirty="true"/>
      </w:r>
      <w:r>
        <w:rPr>
          <w:sz w:val="20"/>
          <w:szCs w:val="20"/>
          <w:rtl/>
        </w:rPr>
        <w:instrText xml:space="preserve"> PAGEREF pr_f_3727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הערת שוליים </w:t>
      </w:r>
      <w:r>
        <w:rPr>
          <w:sz w:val="20"/>
          <w:szCs w:val="20"/>
          <w:rtl/>
        </w:rPr>
        <w:fldChar w:fldCharType="begin" w:dirty="true"/>
      </w:r>
      <w:r>
        <w:rPr>
          <w:sz w:val="20"/>
          <w:szCs w:val="20"/>
          <w:rtl/>
        </w:rPr>
        <w:instrText xml:space="preserve"> NOTEREF pr_f_3727 \h </w:instrText>
      </w:r>
      <w:r>
        <w:rPr>
          <w:sz w:val="20"/>
          <w:szCs w:val="20"/>
          <w:rtl/>
        </w:rPr>
      </w:r>
      <w:r>
        <w:rPr>
          <w:sz w:val="20"/>
          <w:szCs w:val="20"/>
          <w:rtl/>
        </w:rPr>
        <w:fldChar w:fldCharType="separate"/>
      </w:r>
      <w:r w:rsidR="007923E9">
        <w:rPr>
          <w:sz w:val="20"/>
          <w:szCs w:val="20"/>
          <w:rtl/>
        </w:rPr>
        <w:t>804</w:t>
      </w:r>
      <w:r>
        <w:rPr>
          <w:sz w:val="20"/>
          <w:szCs w:val="20"/>
          <w:rtl/>
        </w:rPr>
        <w:fldChar w:fldCharType="end"/>
      </w:r>
      <w:r>
        <w:rPr>
          <w:sz w:val="20"/>
          <w:szCs w:val="20"/>
          <w:rtl/>
        </w:rPr>
        <w:t xml:space="preserve">), עמ׳ </w:t>
      </w:r>
      <w:proofErr w:type="spellStart"/>
      <w:r>
        <w:rPr>
          <w:sz w:val="20"/>
          <w:szCs w:val="20"/>
          <w:rtl/>
        </w:rPr>
        <w:t>נה</w:t>
      </w:r>
      <w:proofErr w:type="spellEnd"/>
      <w:r>
        <w:rPr>
          <w:sz w:val="20"/>
          <w:szCs w:val="20"/>
          <w:rtl/>
        </w:rPr>
        <w:t xml:space="preserve">–נו, וזה לשונו: כמה נערים ירושלמים ירדו לטבול בבריכת השילוח שלמרגלות הר הזיתים, וכשנכנסו למים פרץ קרב התזות בין אלה שהיו שם קודם ובין הבאים. כשעייפו </w:t>
      </w:r>
      <w:proofErr w:type="spellStart"/>
      <w:r>
        <w:rPr>
          <w:sz w:val="20"/>
          <w:szCs w:val="20"/>
          <w:rtl/>
        </w:rPr>
        <w:t>ה“לוחמים</w:t>
      </w:r>
      <w:proofErr w:type="spellEnd"/>
      <w:r>
        <w:rPr>
          <w:sz w:val="20"/>
          <w:szCs w:val="20"/>
          <w:rtl/>
        </w:rPr>
        <w:t xml:space="preserve">” ושכך </w:t>
      </w:r>
      <w:proofErr w:type="spellStart"/>
      <w:r>
        <w:rPr>
          <w:sz w:val="20"/>
          <w:szCs w:val="20"/>
          <w:rtl/>
        </w:rPr>
        <w:t>ה“קרב</w:t>
      </w:r>
      <w:proofErr w:type="spellEnd"/>
      <w:r>
        <w:rPr>
          <w:sz w:val="20"/>
          <w:szCs w:val="20"/>
          <w:rtl/>
        </w:rPr>
        <w:t xml:space="preserve">”, נדהמו הנערים לראות שאחד מיריביהם היה ר׳ מאיר אורבך (תקע״ה–תרל״ח), לשעבר רבה של </w:t>
      </w:r>
      <w:proofErr w:type="spellStart"/>
      <w:r>
        <w:rPr>
          <w:sz w:val="20"/>
          <w:szCs w:val="20"/>
          <w:rtl/>
        </w:rPr>
        <w:t>קאליש</w:t>
      </w:r>
      <w:proofErr w:type="spellEnd"/>
      <w:r>
        <w:rPr>
          <w:sz w:val="20"/>
          <w:szCs w:val="20"/>
          <w:rtl/>
        </w:rPr>
        <w:t xml:space="preserve"> ומחבר “אמרי בינה”, שעלה לארץ ישראל (בשנת </w:t>
      </w:r>
      <w:proofErr w:type="spellStart"/>
      <w:r>
        <w:rPr>
          <w:sz w:val="20"/>
          <w:szCs w:val="20"/>
          <w:rtl/>
        </w:rPr>
        <w:t>תר״ך</w:t>
      </w:r>
      <w:proofErr w:type="spellEnd"/>
      <w:r>
        <w:rPr>
          <w:sz w:val="20"/>
          <w:szCs w:val="20"/>
          <w:rtl/>
        </w:rPr>
        <w:t xml:space="preserve">). מסופר שהשקיט את </w:t>
      </w:r>
      <w:proofErr w:type="spellStart"/>
      <w:r>
        <w:rPr>
          <w:sz w:val="20"/>
          <w:szCs w:val="20"/>
          <w:rtl/>
        </w:rPr>
        <w:t>תמהונם</w:t>
      </w:r>
      <w:proofErr w:type="spellEnd"/>
      <w:r>
        <w:rPr>
          <w:sz w:val="20"/>
          <w:szCs w:val="20"/>
          <w:rtl/>
        </w:rPr>
        <w:t xml:space="preserve"> באמרו להם: “בניי, צריך לדעת לשחק בשעת משחק, וללמוד בשעת לימוד.”</w:t>
      </w:r>
    </w:p>
  </w:footnote>
  <w:footnote w:id="570">
    <w:p w14:paraId="6F6C898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סיפר ר׳ </w:t>
      </w:r>
      <w:proofErr w:type="spellStart"/>
      <w:r>
        <w:rPr>
          <w:sz w:val="20"/>
          <w:szCs w:val="20"/>
          <w:rtl/>
        </w:rPr>
        <w:t>שמואל־דוד</w:t>
      </w:r>
      <w:proofErr w:type="spellEnd"/>
      <w:r>
        <w:rPr>
          <w:sz w:val="20"/>
          <w:szCs w:val="20"/>
          <w:rtl/>
        </w:rPr>
        <w:t xml:space="preserve"> </w:t>
      </w:r>
      <w:proofErr w:type="spellStart"/>
      <w:r>
        <w:rPr>
          <w:sz w:val="20"/>
          <w:szCs w:val="20"/>
          <w:rtl/>
        </w:rPr>
        <w:t>מובשוביץ</w:t>
      </w:r>
      <w:proofErr w:type="spellEnd"/>
      <w:r>
        <w:rPr>
          <w:sz w:val="20"/>
          <w:szCs w:val="20"/>
          <w:rtl/>
        </w:rPr>
        <w:t>, 3 באוגוסט 1999.</w:t>
      </w:r>
    </w:p>
  </w:footnote>
  <w:footnote w:id="571">
    <w:p w14:paraId="31E5238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w:t>
      </w:r>
      <w:proofErr w:type="spellStart"/>
      <w:r>
        <w:rPr>
          <w:sz w:val="20"/>
          <w:szCs w:val="20"/>
          <w:rtl/>
        </w:rPr>
        <w:t>שו״ע</w:t>
      </w:r>
      <w:proofErr w:type="spellEnd"/>
      <w:r>
        <w:rPr>
          <w:sz w:val="20"/>
          <w:szCs w:val="20"/>
          <w:rtl/>
        </w:rPr>
        <w:t xml:space="preserve"> יו״ד סי׳ רמ״ו ס״ד בהגה, וסוף הערה 84 להלן.</w:t>
      </w:r>
    </w:p>
  </w:footnote>
  <w:footnote w:id="572">
    <w:p w14:paraId="3E9125C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3.</w:t>
      </w:r>
    </w:p>
  </w:footnote>
  <w:footnote w:id="573">
    <w:p w14:paraId="6163D39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נראה לי שהדבר אירע בזמן שלמד </w:t>
      </w:r>
      <w:proofErr w:type="spellStart"/>
      <w:r>
        <w:rPr>
          <w:sz w:val="20"/>
          <w:szCs w:val="20"/>
          <w:rtl/>
        </w:rPr>
        <w:t>בסלבודקה</w:t>
      </w:r>
      <w:proofErr w:type="spellEnd"/>
      <w:r>
        <w:rPr>
          <w:sz w:val="20"/>
          <w:szCs w:val="20"/>
          <w:rtl/>
        </w:rPr>
        <w:t xml:space="preserve">, או אחרי שכבר היה רב </w:t>
      </w:r>
      <w:proofErr w:type="spellStart"/>
      <w:r>
        <w:rPr>
          <w:sz w:val="20"/>
          <w:szCs w:val="20"/>
          <w:rtl/>
        </w:rPr>
        <w:t>בציטוביאן</w:t>
      </w:r>
      <w:proofErr w:type="spellEnd"/>
      <w:r>
        <w:rPr>
          <w:sz w:val="20"/>
          <w:szCs w:val="20"/>
          <w:rtl/>
        </w:rPr>
        <w:t>.</w:t>
      </w:r>
    </w:p>
  </w:footnote>
  <w:footnote w:id="574">
    <w:p w14:paraId="4DB8D81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הערה 59.</w:t>
      </w:r>
    </w:p>
  </w:footnote>
  <w:footnote w:id="575">
    <w:p w14:paraId="4747BA5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הערה 8.</w:t>
      </w:r>
    </w:p>
  </w:footnote>
  <w:footnote w:id="576">
    <w:p w14:paraId="25C43B0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505.</w:t>
      </w:r>
    </w:p>
  </w:footnote>
  <w:footnote w:id="577">
    <w:p w14:paraId="74184CF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4 בינואר 1991.</w:t>
      </w:r>
    </w:p>
  </w:footnote>
  <w:footnote w:id="578">
    <w:p w14:paraId="634D4AA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כרך 2.</w:t>
      </w:r>
    </w:p>
  </w:footnote>
  <w:footnote w:id="579">
    <w:p w14:paraId="273638B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במות ר׳ רפאל בשנת תרפ״א מילא ר׳ יעקב את מקומו במשרות הרב וראש הישיבה של </w:t>
      </w:r>
      <w:proofErr w:type="spellStart"/>
      <w:r>
        <w:rPr>
          <w:sz w:val="20"/>
          <w:szCs w:val="20"/>
          <w:rtl/>
        </w:rPr>
        <w:t>וולוז׳ין</w:t>
      </w:r>
      <w:proofErr w:type="spellEnd"/>
      <w:r>
        <w:rPr>
          <w:sz w:val="20"/>
          <w:szCs w:val="20"/>
          <w:rtl/>
        </w:rPr>
        <w:t xml:space="preserve">. ראה הפסקה השלישית בפרק 1.3; פרק 1, סוף הערה 95; ועמ׳ </w:t>
      </w:r>
      <w:r>
        <w:rPr>
          <w:sz w:val="20"/>
          <w:szCs w:val="20"/>
          <w:rtl/>
        </w:rPr>
        <w:fldChar w:fldCharType="begin" w:dirty="true"/>
      </w:r>
      <w:r>
        <w:rPr>
          <w:sz w:val="20"/>
          <w:szCs w:val="20"/>
          <w:rtl/>
        </w:rPr>
        <w:instrText xml:space="preserve"> PAGEREF pr_b_1194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להלן.</w:t>
      </w:r>
    </w:p>
  </w:footnote>
  <w:footnote w:id="580">
    <w:p w14:paraId="662BBAD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חזר עליה באוזניי ב־24 באוקטובר 1994.</w:t>
      </w:r>
    </w:p>
  </w:footnote>
  <w:footnote w:id="581">
    <w:p w14:paraId="36AAF66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סוף פרק זה. לפי ר׳ </w:t>
      </w:r>
      <w:proofErr w:type="spellStart"/>
      <w:r>
        <w:rPr>
          <w:sz w:val="20"/>
          <w:szCs w:val="20"/>
          <w:rtl/>
        </w:rPr>
        <w:t>משה־דב</w:t>
      </w:r>
      <w:proofErr w:type="spellEnd"/>
      <w:r>
        <w:rPr>
          <w:sz w:val="20"/>
          <w:szCs w:val="20"/>
          <w:rtl/>
        </w:rPr>
        <w:t xml:space="preserve"> </w:t>
      </w:r>
      <w:proofErr w:type="spellStart"/>
      <w:r>
        <w:rPr>
          <w:sz w:val="20"/>
          <w:szCs w:val="20"/>
          <w:rtl/>
        </w:rPr>
        <w:t>אוקסנקרוג</w:t>
      </w:r>
      <w:proofErr w:type="spellEnd"/>
      <w:r>
        <w:rPr>
          <w:sz w:val="20"/>
          <w:szCs w:val="20"/>
          <w:rtl/>
        </w:rPr>
        <w:t xml:space="preserve">, אביו עלה לארץ לפני סבו, ולימים, בשנת תש״ב, פתח מפעל סודה, שבזמן ביקורו של ר׳ מרדכי שפירא היה במאה שערים. אביו סיפק סחורה לקיוסק של ר׳ </w:t>
      </w:r>
      <w:proofErr w:type="spellStart"/>
      <w:r>
        <w:rPr>
          <w:sz w:val="20"/>
          <w:szCs w:val="20"/>
          <w:rtl/>
        </w:rPr>
        <w:t>יעקב־נח</w:t>
      </w:r>
      <w:proofErr w:type="spellEnd"/>
      <w:r>
        <w:rPr>
          <w:sz w:val="20"/>
          <w:szCs w:val="20"/>
          <w:rtl/>
        </w:rPr>
        <w:t xml:space="preserve"> בתל אביב.</w:t>
      </w:r>
    </w:p>
  </w:footnote>
  <w:footnote w:id="582">
    <w:p w14:paraId="57BBF81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23 במרץ 1997.</w:t>
      </w:r>
    </w:p>
  </w:footnote>
  <w:footnote w:id="583">
    <w:p w14:paraId="6129F51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28 בינואר 1996.</w:t>
      </w:r>
    </w:p>
  </w:footnote>
  <w:footnote w:id="584">
    <w:p w14:paraId="21ACE9B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w:t>
      </w:r>
      <w:proofErr w:type="spellStart"/>
      <w:r>
        <w:rPr>
          <w:sz w:val="20"/>
          <w:szCs w:val="20"/>
          <w:rtl/>
        </w:rPr>
        <w:t>משה־דב</w:t>
      </w:r>
      <w:proofErr w:type="spellEnd"/>
      <w:r>
        <w:rPr>
          <w:sz w:val="20"/>
          <w:szCs w:val="20"/>
          <w:rtl/>
        </w:rPr>
        <w:t xml:space="preserve"> סיפר באותה שעה מעשה מוזר שקשור בפטירתו של ר׳ </w:t>
      </w:r>
      <w:proofErr w:type="spellStart"/>
      <w:r>
        <w:rPr>
          <w:sz w:val="20"/>
          <w:szCs w:val="20"/>
          <w:rtl/>
        </w:rPr>
        <w:t>יעקב־נח</w:t>
      </w:r>
      <w:proofErr w:type="spellEnd"/>
      <w:r>
        <w:rPr>
          <w:sz w:val="20"/>
          <w:szCs w:val="20"/>
          <w:rtl/>
        </w:rPr>
        <w:t xml:space="preserve">. מסיבת אירוסיו של המרואיין נערכה בבית ארוסתו בחדרה, ובדרכו לשם מירושלים סר לבית סבו לבקשו שיצטרף אליו וישתתף במסיבה. תשובה מוזרה קיבל: “בשבילי כבר מאוחר מדי – ואם יקרה דבר שעלול להפריע לשמחתך, אל תניח לו.” ר׳ </w:t>
      </w:r>
      <w:proofErr w:type="spellStart"/>
      <w:r>
        <w:rPr>
          <w:sz w:val="20"/>
          <w:szCs w:val="20"/>
          <w:rtl/>
        </w:rPr>
        <w:t>משה־דב</w:t>
      </w:r>
      <w:proofErr w:type="spellEnd"/>
      <w:r>
        <w:rPr>
          <w:sz w:val="20"/>
          <w:szCs w:val="20"/>
          <w:rtl/>
        </w:rPr>
        <w:t xml:space="preserve"> לא ידע מה פשר דבריו של הישיש בן התשעים ושש, והמשיך בדרכו בלעדיו. כשחזר עם הוריו לביתם בירושלים בשעה מאוחרת באותו לילה, קיבלו הודעה טלפונית מתל אביב שר׳ </w:t>
      </w:r>
      <w:proofErr w:type="spellStart"/>
      <w:r>
        <w:rPr>
          <w:sz w:val="20"/>
          <w:szCs w:val="20"/>
          <w:rtl/>
        </w:rPr>
        <w:t>יעקב־נח</w:t>
      </w:r>
      <w:proofErr w:type="spellEnd"/>
      <w:r>
        <w:rPr>
          <w:sz w:val="20"/>
          <w:szCs w:val="20"/>
          <w:rtl/>
        </w:rPr>
        <w:t xml:space="preserve"> נפטר.</w:t>
      </w:r>
    </w:p>
  </w:footnote>
  <w:footnote w:id="585">
    <w:p w14:paraId="018F1AA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105 להלן.</w:t>
      </w:r>
    </w:p>
  </w:footnote>
  <w:footnote w:id="586">
    <w:p w14:paraId="69FF28B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השיחה הוקלטה.</w:t>
      </w:r>
    </w:p>
  </w:footnote>
  <w:footnote w:id="587">
    <w:p w14:paraId="7CCA452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משה </w:t>
      </w:r>
      <w:proofErr w:type="spellStart"/>
      <w:r>
        <w:rPr>
          <w:sz w:val="20"/>
          <w:szCs w:val="20"/>
          <w:rtl/>
        </w:rPr>
        <w:t>זוננזון</w:t>
      </w:r>
      <w:proofErr w:type="spellEnd"/>
      <w:r>
        <w:rPr>
          <w:sz w:val="20"/>
          <w:szCs w:val="20"/>
          <w:rtl/>
        </w:rPr>
        <w:t xml:space="preserve">, שמסר את הדברים הנ״ל ב־1 במרץ 1999, הוסיף שלפי נוסח אחר הפילה </w:t>
      </w:r>
      <w:proofErr w:type="spellStart"/>
      <w:r>
        <w:rPr>
          <w:sz w:val="20"/>
          <w:szCs w:val="20"/>
          <w:rtl/>
        </w:rPr>
        <w:t>סבתו־רבתו</w:t>
      </w:r>
      <w:proofErr w:type="spellEnd"/>
      <w:r>
        <w:rPr>
          <w:sz w:val="20"/>
          <w:szCs w:val="20"/>
          <w:rtl/>
        </w:rPr>
        <w:t xml:space="preserve"> את המכתב בגן בעצמה. הוא אמר גם שלפי כמה ממסמכי המשפחה היה ההפרש בגיל בין בני הזוג רק ארבע שנים. אם המסמכים נכונים, הרי שהכלה הייתה רק בת עשרים וארבע, או שהחתן כבר היה בן עשרים ושתיים. עוד סיפר ר׳ משה שאביו של ר׳ </w:t>
      </w:r>
      <w:proofErr w:type="spellStart"/>
      <w:r>
        <w:rPr>
          <w:sz w:val="20"/>
          <w:szCs w:val="20"/>
          <w:rtl/>
        </w:rPr>
        <w:t>יצחק־יחיאל</w:t>
      </w:r>
      <w:proofErr w:type="spellEnd"/>
      <w:r>
        <w:rPr>
          <w:sz w:val="20"/>
          <w:szCs w:val="20"/>
          <w:rtl/>
        </w:rPr>
        <w:t xml:space="preserve"> התנגד לנישואים בתוקף כזה, שביום החתונה יצא מן העיר בעגלה כדי שלא להשתתף בה. העגלה התהפכה והוא נהרג. סבו של המרואיין נולד עשר שנים אחרי הנישואים, שנערכו בשנת תרנ״ב.</w:t>
      </w:r>
    </w:p>
  </w:footnote>
  <w:footnote w:id="588">
    <w:p w14:paraId="76CBEFD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שקלים פ״ד מ״ב </w:t>
      </w:r>
      <w:proofErr w:type="spellStart"/>
      <w:r>
        <w:rPr>
          <w:sz w:val="20"/>
          <w:szCs w:val="20"/>
          <w:rtl/>
        </w:rPr>
        <w:t>ופ״ה</w:t>
      </w:r>
      <w:proofErr w:type="spellEnd"/>
      <w:r>
        <w:rPr>
          <w:sz w:val="20"/>
          <w:szCs w:val="20"/>
          <w:rtl/>
        </w:rPr>
        <w:t xml:space="preserve"> מ״ו.</w:t>
      </w:r>
    </w:p>
  </w:footnote>
  <w:footnote w:id="589">
    <w:p w14:paraId="08BBE82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המילה הרוסית </w:t>
      </w:r>
      <w:proofErr w:type="spellStart"/>
      <w:r>
        <w:rPr>
          <w:sz w:val="20"/>
          <w:szCs w:val="20"/>
          <w:rtl/>
        </w:rPr>
        <w:t>ל“פושקע</w:t>
      </w:r>
      <w:proofErr w:type="spellEnd"/>
      <w:r>
        <w:rPr>
          <w:sz w:val="20"/>
          <w:szCs w:val="20"/>
          <w:rtl/>
        </w:rPr>
        <w:t>”.</w:t>
      </w:r>
    </w:p>
  </w:footnote>
  <w:footnote w:id="590">
    <w:p w14:paraId="2BC55E0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אבי המשיך וסיפר על מאורע במלחמת העולם הראשונה, כשהציעו נכבדי </w:t>
      </w:r>
      <w:proofErr w:type="spellStart"/>
      <w:r>
        <w:rPr>
          <w:sz w:val="20"/>
          <w:szCs w:val="20"/>
          <w:rtl/>
        </w:rPr>
        <w:t>דווינסק</w:t>
      </w:r>
      <w:proofErr w:type="spellEnd"/>
      <w:r>
        <w:rPr>
          <w:sz w:val="20"/>
          <w:szCs w:val="20"/>
          <w:rtl/>
        </w:rPr>
        <w:t xml:space="preserve"> להשתמש </w:t>
      </w:r>
      <w:proofErr w:type="spellStart"/>
      <w:r>
        <w:rPr>
          <w:sz w:val="20"/>
          <w:szCs w:val="20"/>
          <w:rtl/>
        </w:rPr>
        <w:t>בקאראפקע</w:t>
      </w:r>
      <w:proofErr w:type="spellEnd"/>
      <w:r>
        <w:rPr>
          <w:sz w:val="20"/>
          <w:szCs w:val="20"/>
          <w:rtl/>
        </w:rPr>
        <w:t xml:space="preserve"> לטובת הפליטים, ועל תגובתו של הגאון </w:t>
      </w:r>
      <w:proofErr w:type="spellStart"/>
      <w:r>
        <w:rPr>
          <w:sz w:val="20"/>
          <w:szCs w:val="20"/>
          <w:rtl/>
        </w:rPr>
        <w:t>הרוגצ׳ובר</w:t>
      </w:r>
      <w:proofErr w:type="spellEnd"/>
      <w:r>
        <w:rPr>
          <w:sz w:val="20"/>
          <w:szCs w:val="20"/>
          <w:rtl/>
        </w:rPr>
        <w:t xml:space="preserve">, ר׳ יוסף </w:t>
      </w:r>
      <w:proofErr w:type="spellStart"/>
      <w:r>
        <w:rPr>
          <w:sz w:val="20"/>
          <w:szCs w:val="20"/>
          <w:rtl/>
        </w:rPr>
        <w:t>רוזין</w:t>
      </w:r>
      <w:proofErr w:type="spellEnd"/>
      <w:r>
        <w:rPr>
          <w:sz w:val="20"/>
          <w:szCs w:val="20"/>
          <w:rtl/>
        </w:rPr>
        <w:t>, להצעה – ראה פרק 3, נספח לב. לפרטים ראה כרך 2.</w:t>
      </w:r>
    </w:p>
  </w:footnote>
  <w:footnote w:id="591">
    <w:p w14:paraId="4DB43DA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“מינסק עיר ואם א”, עמ׳ 542.</w:t>
      </w:r>
    </w:p>
  </w:footnote>
  <w:footnote w:id="592">
    <w:p w14:paraId="16AE221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1.1 וסוף הערה 7 שם.</w:t>
      </w:r>
    </w:p>
  </w:footnote>
  <w:footnote w:id="593">
    <w:p w14:paraId="315E677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“מינסק עיר ואם א”, עמ׳ 57.</w:t>
      </w:r>
    </w:p>
  </w:footnote>
  <w:footnote w:id="594">
    <w:p w14:paraId="0DB4AA1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662.</w:t>
      </w:r>
    </w:p>
  </w:footnote>
  <w:footnote w:id="595">
    <w:p w14:paraId="66EDBDA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w:t>
      </w:r>
      <w:proofErr w:type="spellStart"/>
      <w:r>
        <w:rPr>
          <w:sz w:val="20"/>
          <w:szCs w:val="20"/>
          <w:rtl/>
        </w:rPr>
        <w:t>ח״ב</w:t>
      </w:r>
      <w:proofErr w:type="spellEnd"/>
      <w:r>
        <w:rPr>
          <w:sz w:val="20"/>
          <w:szCs w:val="20"/>
          <w:rtl/>
        </w:rPr>
        <w:t>, עמ׳ 161.</w:t>
      </w:r>
    </w:p>
  </w:footnote>
  <w:footnote w:id="596">
    <w:p w14:paraId="499150D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Heb</w:t>
      </w:r>
      <w:proofErr w:type="spellEnd"/>
      <w:r>
        <w:rPr>
          <w:sz w:val="20"/>
          <w:szCs w:val="20"/>
          <w:rtl/>
        </w:rPr>
        <w:t>. 40 974.</w:t>
      </w:r>
    </w:p>
  </w:footnote>
  <w:footnote w:id="597">
    <w:p w14:paraId="66D7F3A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נדרים פ״א ע״א.</w:t>
      </w:r>
    </w:p>
  </w:footnote>
  <w:footnote w:id="598">
    <w:p w14:paraId="05ABC89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נספח ו.</w:t>
      </w:r>
    </w:p>
  </w:footnote>
  <w:footnote w:id="599">
    <w:p w14:paraId="2A3BA1D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100.</w:t>
      </w:r>
    </w:p>
  </w:footnote>
  <w:footnote w:id="600">
    <w:p w14:paraId="4CBCDCD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4.</w:t>
      </w:r>
    </w:p>
  </w:footnote>
  <w:footnote w:id="601">
    <w:p w14:paraId="0472251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9 באוגוסט 1987.</w:t>
      </w:r>
    </w:p>
  </w:footnote>
  <w:footnote w:id="602">
    <w:p w14:paraId="2A05A12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הפסקה העשרים וארבע בנספח א בפרק זה, שבה הזכיר אבי רק אחד משני הרומנים, והשווה פרק 1, הערה 71.</w:t>
      </w:r>
    </w:p>
  </w:footnote>
  <w:footnote w:id="603">
    <w:p w14:paraId="3504E93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12 באוגוסט 1996.</w:t>
      </w:r>
    </w:p>
  </w:footnote>
  <w:footnote w:id="604">
    <w:p w14:paraId="1873500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21 בדצמבר 1990.</w:t>
      </w:r>
    </w:p>
  </w:footnote>
  <w:footnote w:id="605">
    <w:p w14:paraId="1AD1D1B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46 לעיל.</w:t>
      </w:r>
    </w:p>
  </w:footnote>
  <w:footnote w:id="606">
    <w:p w14:paraId="7E683E8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“אריאל”, יונייטד ישראל </w:t>
      </w:r>
      <w:proofErr w:type="spellStart"/>
      <w:r>
        <w:rPr>
          <w:sz w:val="20"/>
          <w:szCs w:val="20"/>
          <w:rtl/>
        </w:rPr>
        <w:t>אינסטיטיוטס</w:t>
      </w:r>
      <w:proofErr w:type="spellEnd"/>
      <w:r>
        <w:rPr>
          <w:sz w:val="20"/>
          <w:szCs w:val="20"/>
          <w:rtl/>
        </w:rPr>
        <w:t>, ירושלים, תשנ״ב.</w:t>
      </w:r>
    </w:p>
  </w:footnote>
  <w:footnote w:id="607">
    <w:p w14:paraId="0033154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הוצאת </w:t>
      </w:r>
      <w:proofErr w:type="spellStart"/>
      <w:r>
        <w:rPr>
          <w:sz w:val="20"/>
          <w:szCs w:val="20"/>
          <w:rtl/>
        </w:rPr>
        <w:t>פלדהיים</w:t>
      </w:r>
      <w:proofErr w:type="spellEnd"/>
      <w:r>
        <w:rPr>
          <w:sz w:val="20"/>
          <w:szCs w:val="20"/>
          <w:rtl/>
        </w:rPr>
        <w:t>, ירושלים, תשנ״ו.</w:t>
      </w:r>
    </w:p>
  </w:footnote>
  <w:footnote w:id="608">
    <w:p w14:paraId="42C4685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מקור תנאי זה מביא את הכללים לדרישת האגדה מן הפסוקים.</w:t>
      </w:r>
    </w:p>
  </w:footnote>
  <w:footnote w:id="609">
    <w:p w14:paraId="03E47F4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תחילת נספח ב בפרק זה.</w:t>
      </w:r>
    </w:p>
  </w:footnote>
  <w:footnote w:id="610">
    <w:p w14:paraId="6FF346D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הערה 8.</w:t>
      </w:r>
    </w:p>
  </w:footnote>
  <w:footnote w:id="611">
    <w:p w14:paraId="62F2937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דוד </w:t>
      </w:r>
      <w:proofErr w:type="spellStart"/>
      <w:r>
        <w:rPr>
          <w:sz w:val="20"/>
          <w:szCs w:val="20"/>
          <w:rtl/>
        </w:rPr>
        <w:t>רוזנשטוק</w:t>
      </w:r>
      <w:proofErr w:type="spellEnd"/>
      <w:r>
        <w:rPr>
          <w:sz w:val="20"/>
          <w:szCs w:val="20"/>
          <w:rtl/>
        </w:rPr>
        <w:t>, 12 בדצמבר 1989. והשווה גם פרק 3, הערה 96.</w:t>
      </w:r>
    </w:p>
  </w:footnote>
  <w:footnote w:id="612">
    <w:p w14:paraId="0F0FBD0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5 באוקטובר 1990.</w:t>
      </w:r>
    </w:p>
  </w:footnote>
  <w:footnote w:id="613">
    <w:p w14:paraId="69D49BD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הערה 8; מכתב מיום 18 באפריל 1988.</w:t>
      </w:r>
    </w:p>
  </w:footnote>
  <w:footnote w:id="614">
    <w:p w14:paraId="1C6BC4E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מכתב מיום 10 באוקטובר 1988.</w:t>
      </w:r>
    </w:p>
  </w:footnote>
  <w:footnote w:id="615">
    <w:p w14:paraId="6D6D891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היא הדגישה נקודה זו כדי למחות על ההאשמות השקריות שהטיח המשטר הסטליניסטי בה ובבעלה – האשמות שבגללן הוצא הוא להורג והיא הוגלתה לאסיה בשנת תרצ״ז. כשעלה </w:t>
      </w:r>
      <w:proofErr w:type="spellStart"/>
      <w:r>
        <w:rPr>
          <w:sz w:val="20"/>
          <w:szCs w:val="20"/>
          <w:rtl/>
        </w:rPr>
        <w:t>ניקיטה</w:t>
      </w:r>
      <w:proofErr w:type="spellEnd"/>
      <w:r>
        <w:rPr>
          <w:sz w:val="20"/>
          <w:szCs w:val="20"/>
          <w:rtl/>
        </w:rPr>
        <w:t xml:space="preserve"> </w:t>
      </w:r>
      <w:proofErr w:type="spellStart"/>
      <w:r>
        <w:rPr>
          <w:sz w:val="20"/>
          <w:szCs w:val="20"/>
          <w:rtl/>
        </w:rPr>
        <w:t>חרושצ׳וב</w:t>
      </w:r>
      <w:proofErr w:type="spellEnd"/>
      <w:r>
        <w:rPr>
          <w:sz w:val="20"/>
          <w:szCs w:val="20"/>
          <w:rtl/>
        </w:rPr>
        <w:t xml:space="preserve"> לשלטון טוהר שמה והיא “שוקמה”. ראה פרק 1, הערה 100.</w:t>
      </w:r>
    </w:p>
  </w:footnote>
  <w:footnote w:id="616">
    <w:p w14:paraId="1E301F0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3, נספח י, וכרך 2.</w:t>
      </w:r>
    </w:p>
  </w:footnote>
  <w:footnote w:id="617">
    <w:p w14:paraId="37231EE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הפסקה הרביעית והשישית בפרק 3.1, והפסקה שלפני האחרונה בפרק 5.</w:t>
      </w:r>
    </w:p>
  </w:footnote>
  <w:footnote w:id="618">
    <w:p w14:paraId="5964F86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ב בפרק זה.</w:t>
      </w:r>
    </w:p>
  </w:footnote>
  <w:footnote w:id="619">
    <w:p w14:paraId="11997C2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7 בנובמבר 1987.</w:t>
      </w:r>
    </w:p>
  </w:footnote>
  <w:footnote w:id="620">
    <w:p w14:paraId="483BBE2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והשווה גם פרק 4, הערה 61.</w:t>
      </w:r>
    </w:p>
  </w:footnote>
  <w:footnote w:id="621">
    <w:p w14:paraId="36F9BE0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21 בדצמבר 1987.</w:t>
      </w:r>
    </w:p>
  </w:footnote>
  <w:footnote w:id="622">
    <w:p w14:paraId="25FCA5D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זיהוי רגיל על פי המראה לא היה אפשרי, משום שנפרדו זה מזה לפני שגידלו זקן: השווה פרק 5, נספח א, וכתובות כ״ז ע״ב.</w:t>
      </w:r>
    </w:p>
  </w:footnote>
  <w:footnote w:id="623">
    <w:p w14:paraId="68729D3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13 לעיל – עמ׳ 166.</w:t>
      </w:r>
    </w:p>
  </w:footnote>
  <w:footnote w:id="624">
    <w:p w14:paraId="10053F3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 סוף נספח יד, היכן נדפסה.</w:t>
      </w:r>
    </w:p>
  </w:footnote>
  <w:footnote w:id="625">
    <w:p w14:paraId="3456CF5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ד בפרק זה – עמ׳ תלד (ראה אות ד).</w:t>
      </w:r>
    </w:p>
  </w:footnote>
  <w:footnote w:id="626">
    <w:p w14:paraId="015DE6F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94.</w:t>
      </w:r>
    </w:p>
  </w:footnote>
  <w:footnote w:id="627">
    <w:p w14:paraId="0A729D2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היה קודמו של ר׳ לייב </w:t>
      </w:r>
      <w:proofErr w:type="spellStart"/>
      <w:r>
        <w:rPr>
          <w:sz w:val="20"/>
          <w:szCs w:val="20"/>
          <w:rtl/>
        </w:rPr>
        <w:t>דבוטין</w:t>
      </w:r>
      <w:proofErr w:type="spellEnd"/>
      <w:r>
        <w:rPr>
          <w:sz w:val="20"/>
          <w:szCs w:val="20"/>
          <w:rtl/>
        </w:rPr>
        <w:t xml:space="preserve"> – ראה הפסקה הרביעית בנספח א בפרק זה.</w:t>
      </w:r>
    </w:p>
  </w:footnote>
  <w:footnote w:id="628">
    <w:p w14:paraId="6A047C1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96.</w:t>
      </w:r>
    </w:p>
  </w:footnote>
  <w:footnote w:id="629">
    <w:p w14:paraId="4919ABA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7 בדצמבר 1987.</w:t>
      </w:r>
    </w:p>
  </w:footnote>
  <w:footnote w:id="630">
    <w:p w14:paraId="78DA07D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בשיחה המוקלטת עם ר׳ מרדכי שפירא (הערה 51 לעיל).</w:t>
      </w:r>
    </w:p>
  </w:footnote>
  <w:footnote w:id="631">
    <w:p w14:paraId="5F6CBB5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מכתב מיום 7 בדצמבר 1998.</w:t>
      </w:r>
    </w:p>
  </w:footnote>
  <w:footnote w:id="632">
    <w:p w14:paraId="695B1360" w14:textId="77777777" w:rsidR="00AB3647" w:rsidRDefault="00000000">
      <w:pPr>
        <w:spacing w:after="0" w:before="0"/>
        <w:jc w:val="both"/>
      </w:pPr>
      <w:r>
        <w:rPr>
          <w:rStyle w:val="a5"/>
          <w:vertAlign w:val="superscript"/>
          <w:rtl/>
        </w:rPr>
        <w:footnoteRef/>
      </w:r>
      <w:r>
        <w:rPr>
          <w:sz w:val="20"/>
          <w:szCs w:val="20"/>
        </w:rPr>
        <w:t xml:space="preserve"> </w:t>
      </w:r>
      <w:r>
        <w:rPr>
          <w:color w:val="000000"/>
          <w:sz w:val="20"/>
          <w:szCs w:val="20"/>
          <w:rtl/>
        </w:rPr>
      </w:r>
      <w:r>
        <w:rPr>
          <w:color w:val="000000"/>
          <w:sz w:val="20"/>
          <w:szCs w:val="20"/>
          <w:rtl/>
        </w:rPr>
        <w:t xml:space="preserve"/>
      </w:r>
      <w:r>
        <w:rPr>
          <w:color w:val="000000"/>
          <w:sz w:val="20"/>
          <w:szCs w:val="20"/>
          <w:rtl/>
        </w:rPr>
        <w:t xml:space="preserve">הערת המתרגם: כך גם בנוסח האנגלי, פרק 2, הערה 80. ר׳ שניאור קוטלר נפטר בג׳ בתמוז תשמ״ב, לאחר פטירת בנו ר׳ מאיר </w:t>
      </w:r>
      <w:proofErr w:type="spellStart"/>
      <w:r>
        <w:rPr>
          <w:color w:val="000000"/>
          <w:sz w:val="20"/>
          <w:szCs w:val="20"/>
          <w:rtl/>
        </w:rPr>
        <w:t>בתשל״ט</w:t>
      </w:r>
      <w:proofErr w:type="spellEnd"/>
      <w:r>
        <w:rPr>
          <w:color w:val="000000"/>
          <w:sz w:val="20"/>
          <w:szCs w:val="20"/>
          <w:rtl/>
        </w:rPr>
        <w:t xml:space="preserve">. לפיכך לא ייתכן שבהספד על ר׳ מאיר </w:t>
      </w:r>
      <w:proofErr w:type="spellStart"/>
      <w:r>
        <w:rPr>
          <w:color w:val="000000"/>
          <w:sz w:val="20"/>
          <w:szCs w:val="20"/>
          <w:rtl/>
        </w:rPr>
        <w:t>בתשל״ט</w:t>
      </w:r>
      <w:proofErr w:type="spellEnd"/>
      <w:r>
        <w:rPr>
          <w:color w:val="000000"/>
          <w:sz w:val="20"/>
          <w:szCs w:val="20"/>
          <w:rtl/>
        </w:rPr>
        <w:t xml:space="preserve"> כבר מנה רבנו גם הספד על ר׳ שניאור. יש כאן שיבוש בפרטי הסיפור שבמקור, ואין בידינו לקבוע מהו הנוסח הנכון.</w:t>
      </w:r>
    </w:p>
  </w:footnote>
  <w:footnote w:id="633">
    <w:p w14:paraId="66033AD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מכתב מיום 18 באפריל 1988.</w:t>
      </w:r>
    </w:p>
  </w:footnote>
  <w:footnote w:id="634">
    <w:p w14:paraId="24F62D3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השימוש במונח המודגש מכוון: השווה סוף נספח ה בפרק זה.</w:t>
      </w:r>
    </w:p>
  </w:footnote>
  <w:footnote w:id="635">
    <w:p w14:paraId="133082C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הערה 55.</w:t>
      </w:r>
    </w:p>
  </w:footnote>
  <w:footnote w:id="636">
    <w:p w14:paraId="4715B4D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טלפוני, 9 במרץ 1993.</w:t>
      </w:r>
    </w:p>
  </w:footnote>
  <w:footnote w:id="637">
    <w:p w14:paraId="26C70D1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שו״ת “משנה הלכות” </w:t>
      </w:r>
      <w:proofErr w:type="spellStart"/>
      <w:r>
        <w:rPr>
          <w:sz w:val="20"/>
          <w:szCs w:val="20"/>
          <w:rtl/>
        </w:rPr>
        <w:t>ח״ט</w:t>
      </w:r>
      <w:proofErr w:type="spellEnd"/>
      <w:r>
        <w:rPr>
          <w:sz w:val="20"/>
          <w:szCs w:val="20"/>
          <w:rtl/>
        </w:rPr>
        <w:t xml:space="preserve">, </w:t>
      </w:r>
      <w:proofErr w:type="spellStart"/>
      <w:r>
        <w:rPr>
          <w:sz w:val="20"/>
          <w:szCs w:val="20"/>
          <w:rtl/>
        </w:rPr>
        <w:t>לר</w:t>
      </w:r>
      <w:proofErr w:type="spellEnd"/>
      <w:r>
        <w:rPr>
          <w:sz w:val="20"/>
          <w:szCs w:val="20"/>
          <w:rtl/>
        </w:rPr>
        <w:t xml:space="preserve">׳ מנשה קליין, תשובה שי״א (בסוף הטור השני). המחבר מניח שם בטעות שלרבנו לא הייתה כל השכלה חילונית, ומבסס הנחה זו על הסכמה שכתב אבי לספר המציע להשתמש בפסיכולוגיה ביחסים שבין אדם לחברו, ובה הצהיר: “אין לי ידיעה במקצוע זה”. שלא כהבנתו של הרב קליין, אבי הראה בבחירת המילה (“זה”) שאכן הייתה לו ידיעה במקצועות </w:t>
      </w:r>
      <w:r>
        <w:rPr>
          <w:b/>
          <w:bCs/>
          <w:sz w:val="20"/>
          <w:szCs w:val="20"/>
          <w:rtl/>
        </w:rPr>
        <w:t>אחרים</w:t>
      </w:r>
      <w:r>
        <w:rPr>
          <w:sz w:val="20"/>
          <w:szCs w:val="20"/>
          <w:rtl/>
        </w:rPr>
        <w:t>. אלא שכאשר עיין אבי בנעוריו בענפי ידיעה אחרים, הפסיכולוגיה לא הייתה מקצוע נלמד.</w:t>
      </w:r>
    </w:p>
  </w:footnote>
  <w:footnote w:id="638">
    <w:p w14:paraId="3D4F2B8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ההערה הקודמת.</w:t>
      </w:r>
    </w:p>
  </w:footnote>
  <w:footnote w:id="639">
    <w:p w14:paraId="214524D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23 בפברואר 1991.</w:t>
      </w:r>
    </w:p>
  </w:footnote>
  <w:footnote w:id="640">
    <w:p w14:paraId="74A34DA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הערת שוליים </w:t>
      </w:r>
      <w:r>
        <w:rPr>
          <w:sz w:val="20"/>
          <w:szCs w:val="20"/>
          <w:rtl/>
        </w:rPr>
        <w:fldChar w:fldCharType="begin" w:dirty="true"/>
      </w:r>
      <w:r>
        <w:rPr>
          <w:sz w:val="20"/>
          <w:szCs w:val="20"/>
          <w:rtl/>
        </w:rPr>
        <w:instrText xml:space="preserve"> NOTEREF pr_f_561 \h </w:instrText>
      </w:r>
      <w:r>
        <w:rPr>
          <w:sz w:val="20"/>
          <w:szCs w:val="20"/>
          <w:rtl/>
        </w:rPr>
      </w:r>
      <w:r>
        <w:rPr>
          <w:sz w:val="20"/>
          <w:szCs w:val="20"/>
          <w:rtl/>
        </w:rPr>
        <w:fldChar w:fldCharType="separate"/>
      </w:r>
      <w:r w:rsidR="007923E9">
        <w:rPr>
          <w:sz w:val="20"/>
          <w:szCs w:val="20"/>
          <w:rtl/>
        </w:rPr>
        <w:t>194</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pr_f_561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641">
    <w:p w14:paraId="37E7020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“שלמה קודש מספר סיפורים מבית אבא” (פרסום דרור, אשדוד), עמ׳ 21, על ההערכה הרבה שרחשו לכתב יד יפה בליטא שלפני מלחמת העולם הראשונה.</w:t>
      </w:r>
    </w:p>
  </w:footnote>
  <w:footnote w:id="642">
    <w:p w14:paraId="34463BE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הערה 68, שכנראה מדובר בה באותו אב ובאותו בן.</w:t>
      </w:r>
    </w:p>
  </w:footnote>
  <w:footnote w:id="643">
    <w:p w14:paraId="057614C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3 בינואר 1991.</w:t>
      </w:r>
    </w:p>
  </w:footnote>
  <w:footnote w:id="644">
    <w:p w14:paraId="1E0888D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ד בפרק זה.</w:t>
      </w:r>
    </w:p>
  </w:footnote>
  <w:footnote w:id="645">
    <w:p w14:paraId="4876527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פעיל </w:t>
      </w:r>
      <w:proofErr w:type="spellStart"/>
      <w:r>
        <w:rPr>
          <w:sz w:val="20"/>
          <w:szCs w:val="20"/>
          <w:rtl/>
        </w:rPr>
        <w:t>ציוני־דתי</w:t>
      </w:r>
      <w:proofErr w:type="spellEnd"/>
      <w:r>
        <w:rPr>
          <w:sz w:val="20"/>
          <w:szCs w:val="20"/>
          <w:rtl/>
        </w:rPr>
        <w:t xml:space="preserve"> מפורסם זה היה מן הדמויות המרכזיות בהצלת ישיבת </w:t>
      </w:r>
      <w:proofErr w:type="spellStart"/>
      <w:r>
        <w:rPr>
          <w:sz w:val="20"/>
          <w:szCs w:val="20"/>
          <w:rtl/>
        </w:rPr>
        <w:t>מיר</w:t>
      </w:r>
      <w:proofErr w:type="spellEnd"/>
      <w:r>
        <w:rPr>
          <w:sz w:val="20"/>
          <w:szCs w:val="20"/>
          <w:rtl/>
        </w:rPr>
        <w:t xml:space="preserve"> </w:t>
      </w:r>
      <w:proofErr w:type="spellStart"/>
      <w:r>
        <w:rPr>
          <w:sz w:val="20"/>
          <w:szCs w:val="20"/>
          <w:rtl/>
        </w:rPr>
        <w:t xml:space="preserve">לשנחאי</w:t>
      </w:r>
      <w:proofErr w:type="spellEnd"/>
      <w:r>
        <w:rPr>
          <w:sz w:val="20"/>
          <w:szCs w:val="20"/>
          <w:rtl/>
        </w:rPr>
        <w:t xml:space="preserve"> במלחמת העולם השנייה, כפי שהוא מפרט בספרו “פליט ושריד בימי השואה” (יד ושם, ירושלים, תשמ״ד).</w:t>
      </w:r>
    </w:p>
  </w:footnote>
  <w:footnote w:id="646">
    <w:p w14:paraId="7E462EB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25 באפריל 1993.</w:t>
      </w:r>
    </w:p>
  </w:footnote>
  <w:footnote w:id="647">
    <w:p w14:paraId="657BF98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גם הערת שוליים </w:t>
      </w:r>
      <w:r>
        <w:rPr>
          <w:rStyle w:val="a5"/>
          <w:sz w:val="20"/>
          <w:szCs w:val="20"/>
          <w:vertAlign w:val="baseline"/>
          <w:rtl/>
        </w:rPr>
        <w:fldChar w:fldCharType="begin" w:dirty="true"/>
      </w:r>
      <w:r>
        <w:rPr>
          <w:rStyle w:val="a5"/>
          <w:sz w:val="20"/>
          <w:szCs w:val="20"/>
          <w:vertAlign w:val="baseline"/>
          <w:rtl/>
        </w:rPr>
        <w:instrText xml:space="preserve"> NOTEREF pr_f_3006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83</w:t>
      </w:r>
      <w:r>
        <w:rPr>
          <w:rStyle w:val="a5"/>
          <w:sz w:val="20"/>
          <w:szCs w:val="20"/>
          <w:vertAlign w:val="baseline"/>
          <w:rtl/>
        </w:rPr>
        <w:fldChar w:fldCharType="end"/>
      </w:r>
      <w:r>
        <w:rPr>
          <w:rStyle w:val="a5"/>
          <w:sz w:val="20"/>
          <w:szCs w:val="20"/>
          <w:vertAlign w:val="baseline"/>
          <w:rtl/>
        </w:rPr>
        <w:t xml:space="preserve"> (עמ׳ </w:t>
      </w:r>
      <w:r>
        <w:rPr>
          <w:rStyle w:val="a5"/>
          <w:sz w:val="20"/>
          <w:szCs w:val="20"/>
          <w:vertAlign w:val="baseline"/>
          <w:rtl/>
        </w:rPr>
        <w:fldChar w:fldCharType="begin" w:dirty="true"/>
      </w:r>
      <w:r>
        <w:rPr>
          <w:rStyle w:val="a5"/>
          <w:sz w:val="20"/>
          <w:szCs w:val="20"/>
          <w:vertAlign w:val="baseline"/>
          <w:rtl/>
        </w:rPr>
        <w:instrText xml:space="preserve"> PAGEREF pr_f_3006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w:t>
      </w:r>
    </w:p>
  </w:footnote>
  <w:footnote w:id="648">
    <w:p w14:paraId="601F929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23 באוקטובר 1991.</w:t>
      </w:r>
    </w:p>
  </w:footnote>
  <w:footnote w:id="649">
    <w:p w14:paraId="36489F8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21 באפריל 1995.</w:t>
      </w:r>
    </w:p>
  </w:footnote>
  <w:footnote w:id="650">
    <w:p w14:paraId="1B1DAA2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22 במרץ 1996.</w:t>
      </w:r>
    </w:p>
  </w:footnote>
  <w:footnote w:id="651">
    <w:p w14:paraId="5C149FE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1, סוף הערה 93 – עמ׳ 91.</w:t>
      </w:r>
    </w:p>
  </w:footnote>
  <w:footnote w:id="652">
    <w:p w14:paraId="1E46908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18 בנובמבר 1991.</w:t>
      </w:r>
    </w:p>
  </w:footnote>
  <w:footnote w:id="653">
    <w:p w14:paraId="14231BF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16 בנובמבר 1987.</w:t>
      </w:r>
    </w:p>
  </w:footnote>
  <w:footnote w:id="654">
    <w:p w14:paraId="21F5219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86 לעיל – עמ׳ 91–93.</w:t>
      </w:r>
    </w:p>
  </w:footnote>
  <w:footnote w:id="655">
    <w:p w14:paraId="541724B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78 לעיל.</w:t>
      </w:r>
    </w:p>
  </w:footnote>
  <w:footnote w:id="656">
    <w:p w14:paraId="16E7EEB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79.</w:t>
      </w:r>
    </w:p>
  </w:footnote>
  <w:footnote w:id="657">
    <w:p w14:paraId="5ABE072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השנייה בנספח ב בפרק זה.</w:t>
      </w:r>
    </w:p>
  </w:footnote>
  <w:footnote w:id="658">
    <w:p w14:paraId="4726064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85 לעיל, ונספח ו להלן.</w:t>
      </w:r>
    </w:p>
  </w:footnote>
  <w:footnote w:id="659">
    <w:p w14:paraId="18CB2C0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הערה 111.</w:t>
      </w:r>
    </w:p>
  </w:footnote>
  <w:footnote w:id="660">
    <w:p w14:paraId="4564F3C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בריאיון מוקלט על הסבא </w:t>
      </w:r>
      <w:proofErr w:type="spellStart"/>
      <w:r>
        <w:rPr>
          <w:sz w:val="20"/>
          <w:szCs w:val="20"/>
          <w:rtl/>
        </w:rPr>
        <w:t>מסלבודקה</w:t>
      </w:r>
      <w:proofErr w:type="spellEnd"/>
      <w:r>
        <w:rPr>
          <w:sz w:val="20"/>
          <w:szCs w:val="20"/>
          <w:rtl/>
        </w:rPr>
        <w:t xml:space="preserve"> עם אחיי ר׳ בנימין ור׳ אברהם, 16 במרץ 1977.</w:t>
      </w:r>
    </w:p>
  </w:footnote>
  <w:footnote w:id="661">
    <w:p w14:paraId="4CE87D4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18 בספטמבר 1996.</w:t>
      </w:r>
    </w:p>
  </w:footnote>
  <w:footnote w:id="662">
    <w:p w14:paraId="0E1A9C7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5, סוף הפסקה הראשונה בנספח ד, ופרק 4, סוף נספח ד.</w:t>
      </w:r>
    </w:p>
  </w:footnote>
  <w:footnote w:id="663">
    <w:p w14:paraId="2DF0E68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72.</w:t>
      </w:r>
    </w:p>
  </w:footnote>
  <w:footnote w:id="664">
    <w:p w14:paraId="0DC9BC5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הביטוי לקוח מן הפיוט “האדרת והאמונה” שבתפילת יום הכיפורים, ושם התארים מיוחסים לקב״ה.</w:t>
      </w:r>
    </w:p>
  </w:footnote>
  <w:footnote w:id="665">
    <w:p w14:paraId="0F4A240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נכנס לישיבתו של ר׳ </w:t>
      </w:r>
      <w:proofErr w:type="spellStart"/>
      <w:r>
        <w:rPr>
          <w:sz w:val="20"/>
          <w:szCs w:val="20"/>
          <w:rtl/>
        </w:rPr>
        <w:t>ברוך־בער</w:t>
      </w:r>
      <w:proofErr w:type="spellEnd"/>
      <w:r>
        <w:rPr>
          <w:sz w:val="20"/>
          <w:szCs w:val="20"/>
          <w:rtl/>
        </w:rPr>
        <w:t xml:space="preserve"> מיד כשהגיע לשם – שלא כגורדון, שהתחיל בישיבת ר׳ </w:t>
      </w:r>
      <w:proofErr w:type="spellStart"/>
      <w:r>
        <w:rPr>
          <w:sz w:val="20"/>
          <w:szCs w:val="20"/>
          <w:rtl/>
        </w:rPr>
        <w:t>הירשל׳ה</w:t>
      </w:r>
      <w:proofErr w:type="spellEnd"/>
      <w:r>
        <w:rPr>
          <w:sz w:val="20"/>
          <w:szCs w:val="20"/>
          <w:rtl/>
        </w:rPr>
        <w:t>, בית ספר לצעירים.</w:t>
      </w:r>
    </w:p>
  </w:footnote>
  <w:footnote w:id="666">
    <w:p w14:paraId="2A54E7A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3, נספח לג.</w:t>
      </w:r>
    </w:p>
  </w:footnote>
  <w:footnote w:id="667">
    <w:p w14:paraId="1647B39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נדפס מחדש </w:t>
      </w:r>
      <w:proofErr w:type="spellStart"/>
      <w:r>
        <w:rPr>
          <w:sz w:val="20"/>
          <w:szCs w:val="20"/>
          <w:rtl/>
        </w:rPr>
        <w:t>ב“הסבא</w:t>
      </w:r>
      <w:proofErr w:type="spellEnd"/>
      <w:r>
        <w:rPr>
          <w:sz w:val="20"/>
          <w:szCs w:val="20"/>
          <w:rtl/>
        </w:rPr>
        <w:t xml:space="preserve"> </w:t>
      </w:r>
      <w:proofErr w:type="spellStart"/>
      <w:r>
        <w:rPr>
          <w:sz w:val="20"/>
          <w:szCs w:val="20"/>
          <w:rtl/>
        </w:rPr>
        <w:t>מסלבודקה</w:t>
      </w:r>
      <w:proofErr w:type="spellEnd"/>
      <w:r>
        <w:rPr>
          <w:sz w:val="20"/>
          <w:szCs w:val="20"/>
          <w:rtl/>
        </w:rPr>
        <w:t xml:space="preserve">”, דוד </w:t>
      </w:r>
      <w:proofErr w:type="spellStart"/>
      <w:r>
        <w:rPr>
          <w:sz w:val="20"/>
          <w:szCs w:val="20"/>
          <w:rtl/>
        </w:rPr>
        <w:t>ווינבערגער</w:t>
      </w:r>
      <w:proofErr w:type="spellEnd"/>
      <w:r>
        <w:rPr>
          <w:sz w:val="20"/>
          <w:szCs w:val="20"/>
          <w:rtl/>
        </w:rPr>
        <w:t>, ברוקלין, אדר תשמ״ו.</w:t>
      </w:r>
    </w:p>
  </w:footnote>
  <w:footnote w:id="668">
    <w:p w14:paraId="57C2152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יב</w:t>
      </w:r>
      <w:proofErr w:type="spellEnd"/>
      <w:r>
        <w:rPr>
          <w:sz w:val="20"/>
          <w:szCs w:val="20"/>
          <w:rtl/>
        </w:rPr>
        <w:t>.</w:t>
      </w:r>
    </w:p>
  </w:footnote>
  <w:footnote w:id="669">
    <w:p w14:paraId="4BB25CD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3, נספח ה.</w:t>
      </w:r>
    </w:p>
  </w:footnote>
  <w:footnote w:id="670">
    <w:p w14:paraId="149FD47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גיליון פרשת בלק, תשנ״ה, בשם ר׳ </w:t>
      </w:r>
      <w:proofErr w:type="spellStart"/>
      <w:r>
        <w:rPr>
          <w:sz w:val="20"/>
          <w:szCs w:val="20"/>
          <w:rtl/>
        </w:rPr>
        <w:t>חצקל</w:t>
      </w:r>
      <w:proofErr w:type="spellEnd"/>
      <w:r>
        <w:rPr>
          <w:sz w:val="20"/>
          <w:szCs w:val="20"/>
          <w:rtl/>
        </w:rPr>
        <w:t xml:space="preserve"> </w:t>
      </w:r>
      <w:proofErr w:type="spellStart"/>
      <w:r>
        <w:rPr>
          <w:sz w:val="20"/>
          <w:szCs w:val="20"/>
          <w:rtl/>
        </w:rPr>
        <w:t>לוינשטיין</w:t>
      </w:r>
      <w:proofErr w:type="spellEnd"/>
      <w:r>
        <w:rPr>
          <w:sz w:val="20"/>
          <w:szCs w:val="20"/>
          <w:rtl/>
        </w:rPr>
        <w:t>.</w:t>
      </w:r>
    </w:p>
  </w:footnote>
  <w:footnote w:id="671">
    <w:p w14:paraId="52A6631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פרק 3, נספח ב, על גדולתו של ר׳ </w:t>
      </w:r>
      <w:proofErr w:type="spellStart"/>
      <w:r>
        <w:rPr>
          <w:sz w:val="20"/>
          <w:szCs w:val="20"/>
          <w:rtl/>
        </w:rPr>
        <w:t>שמחה־זיסל</w:t>
      </w:r>
      <w:proofErr w:type="spellEnd"/>
      <w:r>
        <w:rPr>
          <w:sz w:val="20"/>
          <w:szCs w:val="20"/>
          <w:rtl/>
        </w:rPr>
        <w:t>, ופרק 4, הפסקה הראשונה בנספח י, על הסתרת עצמו של ר׳ ישראל.</w:t>
      </w:r>
    </w:p>
  </w:footnote>
  <w:footnote w:id="672">
    <w:p w14:paraId="5435753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24 באפריל 1987.</w:t>
      </w:r>
    </w:p>
  </w:footnote>
  <w:footnote w:id="673">
    <w:p w14:paraId="21DE16A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ייתכן שר׳ </w:t>
      </w:r>
      <w:proofErr w:type="spellStart"/>
      <w:r>
        <w:rPr>
          <w:sz w:val="20"/>
          <w:szCs w:val="20"/>
          <w:rtl/>
        </w:rPr>
        <w:t>אלעזר־מנחם־מן</w:t>
      </w:r>
      <w:proofErr w:type="spellEnd"/>
      <w:r>
        <w:rPr>
          <w:sz w:val="20"/>
          <w:szCs w:val="20"/>
          <w:rtl/>
        </w:rPr>
        <w:t xml:space="preserve"> שך לא ידע על לימודו של ר׳ אהרן בכנסת בית יצחק </w:t>
      </w:r>
      <w:proofErr w:type="spellStart"/>
      <w:r>
        <w:rPr>
          <w:sz w:val="20"/>
          <w:szCs w:val="20"/>
          <w:rtl/>
        </w:rPr>
        <w:t>שבסלבודקה</w:t>
      </w:r>
      <w:proofErr w:type="spellEnd"/>
      <w:r>
        <w:rPr>
          <w:sz w:val="20"/>
          <w:szCs w:val="20"/>
          <w:rtl/>
        </w:rPr>
        <w:t xml:space="preserve"> לפני שהצטרף לכנסת ישראל, כשם שלא ידעו על כך גם הנכדים – ראה ראש נספח ד בפרק זה.</w:t>
      </w:r>
    </w:p>
  </w:footnote>
  <w:footnote w:id="674">
    <w:p w14:paraId="6018829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המרואיין סיפר שנשאר </w:t>
      </w:r>
      <w:proofErr w:type="spellStart"/>
      <w:r>
        <w:rPr>
          <w:sz w:val="20"/>
          <w:szCs w:val="20"/>
          <w:rtl/>
        </w:rPr>
        <w:t>בסלבודקה</w:t>
      </w:r>
      <w:proofErr w:type="spellEnd"/>
      <w:r>
        <w:rPr>
          <w:sz w:val="20"/>
          <w:szCs w:val="20"/>
          <w:rtl/>
        </w:rPr>
        <w:t xml:space="preserve"> רק עד מלחמת העולם הראשונה, ואז חזר לעיר הולדתו, </w:t>
      </w:r>
      <w:proofErr w:type="spellStart"/>
      <w:r>
        <w:rPr>
          <w:sz w:val="20"/>
          <w:szCs w:val="20"/>
          <w:rtl/>
        </w:rPr>
        <w:t>וואבולניק</w:t>
      </w:r>
      <w:proofErr w:type="spellEnd"/>
      <w:r>
        <w:rPr>
          <w:sz w:val="20"/>
          <w:szCs w:val="20"/>
          <w:rtl/>
        </w:rPr>
        <w:t xml:space="preserve">: </w:t>
      </w:r>
      <w:proofErr w:type="spellStart"/>
      <w:r>
        <w:rPr>
          <w:sz w:val="20"/>
          <w:szCs w:val="20"/>
          <w:rtl/>
        </w:rPr>
        <w:t>אמו</w:t>
      </w:r>
      <w:proofErr w:type="spellEnd"/>
      <w:r>
        <w:rPr>
          <w:sz w:val="20"/>
          <w:szCs w:val="20"/>
          <w:rtl/>
        </w:rPr>
        <w:t xml:space="preserve"> ציוותה עליו שלא ילך אחרי ישיבתו, ישיבת </w:t>
      </w:r>
      <w:proofErr w:type="spellStart"/>
      <w:r>
        <w:rPr>
          <w:sz w:val="20"/>
          <w:szCs w:val="20"/>
          <w:rtl/>
        </w:rPr>
        <w:t>סלבודקה</w:t>
      </w:r>
      <w:proofErr w:type="spellEnd"/>
      <w:r>
        <w:rPr>
          <w:sz w:val="20"/>
          <w:szCs w:val="20"/>
          <w:rtl/>
        </w:rPr>
        <w:t xml:space="preserve">, למינסק, אלא שיחזור הביתה. היא חששה שמא יושפע לרעה באותה עיר גדולה ומהפכנית. אחר כך עבר לישיבת </w:t>
      </w:r>
      <w:proofErr w:type="spellStart"/>
      <w:r>
        <w:rPr>
          <w:sz w:val="20"/>
          <w:szCs w:val="20"/>
          <w:rtl/>
        </w:rPr>
        <w:t>סלוצק</w:t>
      </w:r>
      <w:proofErr w:type="spellEnd"/>
      <w:r>
        <w:rPr>
          <w:sz w:val="20"/>
          <w:szCs w:val="20"/>
          <w:rtl/>
        </w:rPr>
        <w:t>.</w:t>
      </w:r>
    </w:p>
  </w:footnote>
  <w:footnote w:id="675">
    <w:p w14:paraId="275717A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הערה 98 להלן.</w:t>
      </w:r>
    </w:p>
  </w:footnote>
  <w:footnote w:id="676">
    <w:p w14:paraId="10764033"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גם במקור האנגלי קיימת סתירה: בפסקה שבגוף הפרק נאמר שר׳ ראובן </w:t>
      </w:r>
      <w:proofErr w:type="spellStart"/>
      <w:r>
        <w:rPr>
          <w:sz w:val="20"/>
          <w:szCs w:val="20"/>
          <w:rtl/>
        </w:rPr>
        <w:t>גרוזובסקי</w:t>
      </w:r>
      <w:proofErr w:type="spellEnd"/>
      <w:r>
        <w:rPr>
          <w:sz w:val="20"/>
          <w:szCs w:val="20"/>
          <w:rtl/>
        </w:rPr>
        <w:t xml:space="preserve"> היה צעיר מר׳ שמחה בשמונה שנים. ר׳ ראובן נולד, לפי המקובל, בשנת 1886, ולפי הערה זו נולד ר׳ שמחה ב־1879. הפער בין שנות הלידה האלה הוא אפוא שבע שנים.</w:t>
      </w:r>
    </w:p>
  </w:footnote>
  <w:footnote w:id="677">
    <w:p w14:paraId="5334177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“הראשון לשושלת </w:t>
      </w:r>
      <w:proofErr w:type="spellStart"/>
      <w:r>
        <w:rPr>
          <w:sz w:val="20"/>
          <w:szCs w:val="20"/>
          <w:rtl/>
        </w:rPr>
        <w:t>בריסק</w:t>
      </w:r>
      <w:proofErr w:type="spellEnd"/>
      <w:r>
        <w:rPr>
          <w:sz w:val="20"/>
          <w:szCs w:val="20"/>
          <w:rtl/>
        </w:rPr>
        <w:t>”, עמ׳ 5, הערה 2.</w:t>
      </w:r>
    </w:p>
  </w:footnote>
  <w:footnote w:id="678">
    <w:p w14:paraId="7408C87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16 באוקטובר 1987.</w:t>
      </w:r>
    </w:p>
  </w:footnote>
  <w:footnote w:id="679">
    <w:p w14:paraId="0FFF353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כרך 2.</w:t>
      </w:r>
    </w:p>
  </w:footnote>
  <w:footnote w:id="680">
    <w:p w14:paraId="4CA8D9B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78 לעיל.</w:t>
      </w:r>
    </w:p>
  </w:footnote>
  <w:footnote w:id="681">
    <w:p w14:paraId="04B61D4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“מינסק עיר ואם א”, עמ׳ 459.</w:t>
      </w:r>
    </w:p>
  </w:footnote>
  <w:footnote w:id="682">
    <w:p w14:paraId="598ECD3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ראש נספח א בפרק זה.</w:t>
      </w:r>
    </w:p>
  </w:footnote>
  <w:footnote w:id="683">
    <w:p w14:paraId="5662AFC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19 בינואר 1987.</w:t>
      </w:r>
    </w:p>
  </w:footnote>
  <w:footnote w:id="684">
    <w:p w14:paraId="22FF7E5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הערה 51 לעיל. בהקלטת אותה שיחה לא נשמע בבירור אם אמר אבי </w:t>
      </w:r>
      <w:proofErr w:type="spellStart"/>
      <w:r>
        <w:rPr>
          <w:sz w:val="20"/>
          <w:szCs w:val="20"/>
          <w:rtl/>
        </w:rPr>
        <w:t>ביילינסון</w:t>
      </w:r>
      <w:proofErr w:type="spellEnd"/>
      <w:r>
        <w:rPr>
          <w:sz w:val="20"/>
          <w:szCs w:val="20"/>
          <w:rtl/>
        </w:rPr>
        <w:t xml:space="preserve"> או </w:t>
      </w:r>
      <w:proofErr w:type="spellStart"/>
      <w:r>
        <w:rPr>
          <w:sz w:val="20"/>
          <w:szCs w:val="20"/>
          <w:rtl/>
        </w:rPr>
        <w:t>בייניסון</w:t>
      </w:r>
      <w:proofErr w:type="spellEnd"/>
      <w:r>
        <w:rPr>
          <w:sz w:val="20"/>
          <w:szCs w:val="20"/>
          <w:rtl/>
        </w:rPr>
        <w:t xml:space="preserve">, אבל ברשימות שרשם ר׳ אשר </w:t>
      </w:r>
      <w:proofErr w:type="spellStart"/>
      <w:r>
        <w:rPr>
          <w:sz w:val="20"/>
          <w:szCs w:val="20"/>
          <w:rtl/>
        </w:rPr>
        <w:t>קצמן</w:t>
      </w:r>
      <w:proofErr w:type="spellEnd"/>
      <w:r>
        <w:rPr>
          <w:sz w:val="20"/>
          <w:szCs w:val="20"/>
          <w:rtl/>
        </w:rPr>
        <w:t xml:space="preserve"> (השווה פרק 1, הערה 71) נכתב בבירור </w:t>
      </w:r>
      <w:proofErr w:type="spellStart"/>
      <w:r>
        <w:rPr>
          <w:sz w:val="20"/>
          <w:szCs w:val="20"/>
          <w:rtl/>
        </w:rPr>
        <w:t>בייניסון</w:t>
      </w:r>
      <w:proofErr w:type="spellEnd"/>
      <w:r>
        <w:rPr>
          <w:sz w:val="20"/>
          <w:szCs w:val="20"/>
          <w:rtl/>
        </w:rPr>
        <w:t xml:space="preserve"> – אף שר׳ אשר </w:t>
      </w:r>
      <w:proofErr w:type="spellStart"/>
      <w:r>
        <w:rPr>
          <w:sz w:val="20"/>
          <w:szCs w:val="20"/>
          <w:rtl/>
        </w:rPr>
        <w:t>קצמן</w:t>
      </w:r>
      <w:proofErr w:type="spellEnd"/>
      <w:r>
        <w:rPr>
          <w:sz w:val="20"/>
          <w:szCs w:val="20"/>
          <w:rtl/>
        </w:rPr>
        <w:t xml:space="preserve"> כתב בטעות </w:t>
      </w:r>
      <w:proofErr w:type="spellStart"/>
      <w:r>
        <w:rPr>
          <w:sz w:val="20"/>
          <w:szCs w:val="20"/>
          <w:rtl/>
        </w:rPr>
        <w:t>שבייניסון</w:t>
      </w:r>
      <w:proofErr w:type="spellEnd"/>
      <w:r>
        <w:rPr>
          <w:sz w:val="20"/>
          <w:szCs w:val="20"/>
          <w:rtl/>
        </w:rPr>
        <w:t xml:space="preserve"> הוא ששילם את דמי נסיעתם </w:t>
      </w:r>
      <w:proofErr w:type="spellStart"/>
      <w:r>
        <w:rPr>
          <w:sz w:val="20"/>
          <w:szCs w:val="20"/>
          <w:rtl/>
        </w:rPr>
        <w:t>לסלבודקה</w:t>
      </w:r>
      <w:proofErr w:type="spellEnd"/>
      <w:r>
        <w:rPr>
          <w:sz w:val="20"/>
          <w:szCs w:val="20"/>
          <w:rtl/>
        </w:rPr>
        <w:t xml:space="preserve"> (ראה להלן שהיה זה </w:t>
      </w:r>
      <w:proofErr w:type="spellStart"/>
      <w:r>
        <w:rPr>
          <w:sz w:val="20"/>
          <w:szCs w:val="20"/>
          <w:rtl/>
        </w:rPr>
        <w:t>אוקסנקרוג</w:t>
      </w:r>
      <w:proofErr w:type="spellEnd"/>
      <w:r>
        <w:rPr>
          <w:sz w:val="20"/>
          <w:szCs w:val="20"/>
          <w:rtl/>
        </w:rPr>
        <w:t>).</w:t>
      </w:r>
    </w:p>
  </w:footnote>
  <w:footnote w:id="685">
    <w:p w14:paraId="3E9E261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644.</w:t>
      </w:r>
    </w:p>
  </w:footnote>
  <w:footnote w:id="686">
    <w:p w14:paraId="54284EC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אלה היו עיתונים ביידיש שיצאו לאור מדי יום בניו יורק עד שנות </w:t>
      </w:r>
      <w:proofErr w:type="spellStart"/>
      <w:r>
        <w:rPr>
          <w:sz w:val="20"/>
          <w:szCs w:val="20"/>
          <w:rtl/>
        </w:rPr>
        <w:t>התש״כ</w:t>
      </w:r>
      <w:proofErr w:type="spellEnd"/>
      <w:r>
        <w:rPr>
          <w:sz w:val="20"/>
          <w:szCs w:val="20"/>
          <w:rtl/>
        </w:rPr>
        <w:t>.</w:t>
      </w:r>
    </w:p>
  </w:footnote>
  <w:footnote w:id="687">
    <w:p w14:paraId="2963A70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152.</w:t>
      </w:r>
    </w:p>
  </w:footnote>
  <w:footnote w:id="688">
    <w:p w14:paraId="6F0C676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מסר הנכד ב־11 בינואר 1987.</w:t>
      </w:r>
    </w:p>
  </w:footnote>
  <w:footnote w:id="689">
    <w:p w14:paraId="49E6BCE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3, הערה 1.</w:t>
      </w:r>
    </w:p>
  </w:footnote>
  <w:footnote w:id="690">
    <w:p w14:paraId="33EA64B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הערה 31 לעיל, שר׳ שלמה אכן פגש את הנער מבית פינס ושאל אותו שאלה.</w:t>
      </w:r>
    </w:p>
  </w:footnote>
  <w:footnote w:id="691">
    <w:p w14:paraId="4226255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23 ביולי 1993.</w:t>
      </w:r>
    </w:p>
  </w:footnote>
  <w:footnote w:id="692">
    <w:p w14:paraId="4C73F75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17 בפברואר 1997.</w:t>
      </w:r>
    </w:p>
  </w:footnote>
  <w:footnote w:id="693">
    <w:p w14:paraId="17E491E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סוף הערה 31 לעיל.</w:t>
      </w:r>
    </w:p>
  </w:footnote>
  <w:footnote w:id="694">
    <w:p w14:paraId="36BF42A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13 בינואר 1988.</w:t>
      </w:r>
    </w:p>
  </w:footnote>
  <w:footnote w:id="695">
    <w:p w14:paraId="626E0AA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השיחה המוקלטת עם ר׳ מרדכי שפירא (הערה 51 לעיל).</w:t>
      </w:r>
    </w:p>
  </w:footnote>
  <w:footnote w:id="696">
    <w:p w14:paraId="329B11F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ב״ק</w:t>
      </w:r>
      <w:proofErr w:type="spellEnd"/>
      <w:r>
        <w:rPr>
          <w:sz w:val="20"/>
          <w:szCs w:val="20"/>
          <w:rtl/>
        </w:rPr>
        <w:t xml:space="preserve"> ע״ד ע״ב.</w:t>
      </w:r>
    </w:p>
  </w:footnote>
  <w:footnote w:id="697">
    <w:p w14:paraId="020D092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ועי׳ </w:t>
      </w:r>
      <w:proofErr w:type="spellStart"/>
      <w:r>
        <w:rPr>
          <w:sz w:val="20"/>
          <w:szCs w:val="20"/>
          <w:rtl/>
        </w:rPr>
        <w:t>מו״ק</w:t>
      </w:r>
      <w:proofErr w:type="spellEnd"/>
      <w:r>
        <w:rPr>
          <w:sz w:val="20"/>
          <w:szCs w:val="20"/>
          <w:rtl/>
        </w:rPr>
        <w:t xml:space="preserve"> ט״ז ע״ב </w:t>
      </w:r>
      <w:proofErr w:type="spellStart"/>
      <w:r>
        <w:rPr>
          <w:sz w:val="20"/>
          <w:szCs w:val="20"/>
          <w:rtl/>
        </w:rPr>
        <w:t>זוטרא</w:t>
      </w:r>
      <w:proofErr w:type="spellEnd"/>
      <w:r>
        <w:rPr>
          <w:sz w:val="20"/>
          <w:szCs w:val="20"/>
          <w:rtl/>
        </w:rPr>
        <w:t xml:space="preserve"> בר טוביה </w:t>
      </w:r>
      <w:proofErr w:type="spellStart"/>
      <w:r>
        <w:rPr>
          <w:sz w:val="20"/>
          <w:szCs w:val="20"/>
          <w:rtl/>
        </w:rPr>
        <w:t>וכו</w:t>
      </w:r>
      <w:proofErr w:type="spellEnd"/>
      <w:r>
        <w:rPr>
          <w:sz w:val="20"/>
          <w:szCs w:val="20"/>
          <w:rtl/>
        </w:rPr>
        <w:t>׳.</w:t>
      </w:r>
    </w:p>
  </w:footnote>
  <w:footnote w:id="698">
    <w:p w14:paraId="4924B72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50 לעיל.</w:t>
      </w:r>
    </w:p>
  </w:footnote>
  <w:footnote w:id="699">
    <w:p w14:paraId="2093C79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הערה 93.</w:t>
      </w:r>
    </w:p>
  </w:footnote>
  <w:footnote w:id="700">
    <w:p w14:paraId="605CA39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85 לעיל.</w:t>
      </w:r>
    </w:p>
  </w:footnote>
  <w:footnote w:id="701">
    <w:p w14:paraId="5CFD2A2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השנייה בהערה 85 לעיל.</w:t>
      </w:r>
    </w:p>
  </w:footnote>
  <w:footnote w:id="702">
    <w:p w14:paraId="7747FB6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הערה 160.</w:t>
      </w:r>
    </w:p>
  </w:footnote>
  <w:footnote w:id="703">
    <w:p w14:paraId="1F839BD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91 לעיל.</w:t>
      </w:r>
    </w:p>
  </w:footnote>
  <w:footnote w:id="704">
    <w:p w14:paraId="16FD8A3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3, נספח </w:t>
      </w:r>
      <w:proofErr w:type="spellStart"/>
      <w:r>
        <w:rPr>
          <w:sz w:val="20"/>
          <w:szCs w:val="20"/>
          <w:rtl/>
        </w:rPr>
        <w:t>יז</w:t>
      </w:r>
      <w:proofErr w:type="spellEnd"/>
      <w:r>
        <w:rPr>
          <w:sz w:val="20"/>
          <w:szCs w:val="20"/>
          <w:rtl/>
        </w:rPr>
        <w:t>.</w:t>
      </w:r>
    </w:p>
  </w:footnote>
  <w:footnote w:id="705">
    <w:p w14:paraId="17ABA83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“בעל מחשבות” – ראה פרק 4, הערה 139, והערה 107 להלן. השווה הראשון מבין שני חלקי מאמר </w:t>
      </w:r>
      <w:proofErr w:type="spellStart"/>
      <w:r>
        <w:rPr>
          <w:sz w:val="20"/>
          <w:szCs w:val="20"/>
          <w:rtl/>
        </w:rPr>
        <w:t>ב“כרכים</w:t>
      </w:r>
      <w:proofErr w:type="spellEnd"/>
      <w:r>
        <w:rPr>
          <w:sz w:val="20"/>
          <w:szCs w:val="20"/>
          <w:rtl/>
        </w:rPr>
        <w:t xml:space="preserve"> א׳ </w:t>
      </w:r>
      <w:proofErr w:type="spellStart"/>
      <w:r>
        <w:rPr>
          <w:sz w:val="20"/>
          <w:szCs w:val="20"/>
          <w:rtl/>
        </w:rPr>
        <w:t>וב</w:t>
      </w:r>
      <w:proofErr w:type="spellEnd"/>
      <w:r>
        <w:rPr>
          <w:sz w:val="20"/>
          <w:szCs w:val="20"/>
          <w:rtl/>
        </w:rPr>
        <w:t>׳” של הרבעון “העבר (פטרוגרד, תרע״ח)”.</w:t>
      </w:r>
    </w:p>
  </w:footnote>
  <w:footnote w:id="706">
    <w:p w14:paraId="2F61DA3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א׳”, עמ׳ 112.</w:t>
      </w:r>
    </w:p>
  </w:footnote>
  <w:footnote w:id="707">
    <w:p w14:paraId="57FE4B3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3, נספח לו.</w:t>
      </w:r>
    </w:p>
  </w:footnote>
  <w:footnote w:id="708">
    <w:p w14:paraId="5197B2B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כץ, “תנועת המוסר”, כרך ג (נספח ו להלן), עמ׳ 64.</w:t>
      </w:r>
    </w:p>
  </w:footnote>
  <w:footnote w:id="709">
    <w:p w14:paraId="43B0632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אבי עמד אז לעזוב את </w:t>
      </w:r>
      <w:proofErr w:type="spellStart"/>
      <w:r>
        <w:rPr>
          <w:sz w:val="20"/>
          <w:szCs w:val="20"/>
          <w:rtl/>
        </w:rPr>
        <w:t>סלבודקה</w:t>
      </w:r>
      <w:proofErr w:type="spellEnd"/>
      <w:r>
        <w:rPr>
          <w:sz w:val="20"/>
          <w:szCs w:val="20"/>
          <w:rtl/>
        </w:rPr>
        <w:t xml:space="preserve"> לטובת </w:t>
      </w:r>
      <w:proofErr w:type="spellStart"/>
      <w:r>
        <w:rPr>
          <w:sz w:val="20"/>
          <w:szCs w:val="20"/>
          <w:rtl/>
        </w:rPr>
        <w:t>מאלטש</w:t>
      </w:r>
      <w:proofErr w:type="spellEnd"/>
      <w:r>
        <w:rPr>
          <w:sz w:val="20"/>
          <w:szCs w:val="20"/>
          <w:rtl/>
        </w:rPr>
        <w:t xml:space="preserve"> – השווה פרק 5.</w:t>
      </w:r>
    </w:p>
  </w:footnote>
  <w:footnote w:id="710">
    <w:p w14:paraId="60D9E53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לפי כץ, שם.</w:t>
      </w:r>
    </w:p>
  </w:footnote>
  <w:footnote w:id="711">
    <w:p w14:paraId="223AE1A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הערה 1 לעיל – </w:t>
      </w:r>
      <w:proofErr w:type="spellStart"/>
      <w:r>
        <w:rPr>
          <w:sz w:val="20"/>
          <w:szCs w:val="20"/>
          <w:rtl/>
        </w:rPr>
        <w:t>ח״ב</w:t>
      </w:r>
      <w:proofErr w:type="spellEnd"/>
      <w:r>
        <w:rPr>
          <w:sz w:val="20"/>
          <w:szCs w:val="20"/>
          <w:rtl/>
        </w:rPr>
        <w:t xml:space="preserve">, עמ׳ רעד, בשם ר׳ אלימלך מילר (אבי המחבר).</w:t>
      </w:r>
    </w:p>
  </w:footnote>
  <w:footnote w:id="712">
    <w:p w14:paraId="47EF440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אבי לא סיפר מעולם מעשה זה, משום שכשאירע לא היה </w:t>
      </w:r>
      <w:proofErr w:type="spellStart"/>
      <w:r>
        <w:rPr>
          <w:sz w:val="20"/>
          <w:szCs w:val="20"/>
          <w:rtl/>
        </w:rPr>
        <w:t>בסלבודקה</w:t>
      </w:r>
      <w:proofErr w:type="spellEnd"/>
      <w:r>
        <w:rPr>
          <w:sz w:val="20"/>
          <w:szCs w:val="20"/>
          <w:rtl/>
        </w:rPr>
        <w:t xml:space="preserve"> אלא </w:t>
      </w:r>
      <w:proofErr w:type="spellStart"/>
      <w:r>
        <w:rPr>
          <w:sz w:val="20"/>
          <w:szCs w:val="20"/>
          <w:rtl/>
        </w:rPr>
        <w:t>במאלטש</w:t>
      </w:r>
      <w:proofErr w:type="spellEnd"/>
      <w:r>
        <w:rPr>
          <w:sz w:val="20"/>
          <w:szCs w:val="20"/>
          <w:rtl/>
        </w:rPr>
        <w:t xml:space="preserve">, כמצוין בהערת שוליים </w:t>
      </w:r>
      <w:r>
        <w:rPr>
          <w:sz w:val="20"/>
          <w:szCs w:val="20"/>
          <w:rtl/>
        </w:rPr>
        <w:fldChar w:fldCharType="begin" w:dirty="true"/>
      </w:r>
      <w:r>
        <w:rPr>
          <w:sz w:val="20"/>
          <w:szCs w:val="20"/>
          <w:rtl/>
        </w:rPr>
        <w:instrText xml:space="preserve"> NOTEREF pr_f_635 \h </w:instrText>
      </w:r>
      <w:r>
        <w:rPr>
          <w:sz w:val="20"/>
          <w:szCs w:val="20"/>
          <w:rtl/>
        </w:rPr>
      </w:r>
      <w:r>
        <w:rPr>
          <w:sz w:val="20"/>
          <w:szCs w:val="20"/>
          <w:rtl/>
        </w:rPr>
        <w:fldChar w:fldCharType="separate"/>
      </w:r>
      <w:r w:rsidR="007923E9">
        <w:rPr>
          <w:sz w:val="20"/>
          <w:szCs w:val="20"/>
          <w:rtl/>
        </w:rPr>
        <w:t>266</w:t>
      </w:r>
      <w:r>
        <w:rPr>
          <w:sz w:val="20"/>
          <w:szCs w:val="20"/>
          <w:rtl/>
        </w:rPr>
        <w:fldChar w:fldCharType="end"/>
      </w:r>
      <w:r>
        <w:rPr>
          <w:sz w:val="20"/>
          <w:szCs w:val="20"/>
          <w:rtl/>
        </w:rPr>
        <w:t xml:space="preserve"> לעיל. השווה גם פרק 4, הערה 42, על מקרה אחר שבו, לפי רבנו, השתמש הסבא </w:t>
      </w:r>
      <w:proofErr w:type="spellStart"/>
      <w:r>
        <w:rPr>
          <w:sz w:val="20"/>
          <w:szCs w:val="20"/>
          <w:rtl/>
        </w:rPr>
        <w:t>ב“דברי</w:t>
      </w:r>
      <w:proofErr w:type="spellEnd"/>
      <w:r>
        <w:rPr>
          <w:sz w:val="20"/>
          <w:szCs w:val="20"/>
          <w:rtl/>
        </w:rPr>
        <w:t xml:space="preserve"> ריצוי” כדי להניע את ר׳ אהרן.</w:t>
      </w:r>
    </w:p>
  </w:footnote>
  <w:footnote w:id="713">
    <w:p w14:paraId="4112305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10 באפריל 2000.</w:t>
      </w:r>
    </w:p>
  </w:footnote>
  <w:footnote w:id="714">
    <w:p w14:paraId="71D4507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w:t>
      </w:r>
      <w:proofErr w:type="spellStart"/>
      <w:r>
        <w:rPr>
          <w:sz w:val="20"/>
          <w:szCs w:val="20"/>
          <w:rtl/>
        </w:rPr>
        <w:t>יענקל</w:t>
      </w:r>
      <w:proofErr w:type="spellEnd"/>
      <w:r>
        <w:rPr>
          <w:sz w:val="20"/>
          <w:szCs w:val="20"/>
          <w:rtl/>
        </w:rPr>
        <w:t xml:space="preserve"> </w:t>
      </w:r>
      <w:proofErr w:type="spellStart"/>
      <w:r>
        <w:rPr>
          <w:sz w:val="20"/>
          <w:szCs w:val="20"/>
          <w:rtl/>
        </w:rPr>
        <w:t>לשינסקי</w:t>
      </w:r>
      <w:proofErr w:type="spellEnd"/>
      <w:r>
        <w:rPr>
          <w:sz w:val="20"/>
          <w:szCs w:val="20"/>
          <w:rtl/>
        </w:rPr>
        <w:t>, בריאיון מיום 4 באפריל 2000.</w:t>
      </w:r>
    </w:p>
  </w:footnote>
  <w:footnote w:id="715">
    <w:p w14:paraId="7920CD0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את הדברים מסר לבני ר׳ יוסף ב־9 ביוני 1991 נכד ירושלמי של ר׳ שמשון, ר׳ אברהם </w:t>
      </w:r>
      <w:proofErr w:type="spellStart"/>
      <w:r>
        <w:rPr>
          <w:sz w:val="20"/>
          <w:szCs w:val="20"/>
          <w:rtl/>
        </w:rPr>
        <w:t>דינין</w:t>
      </w:r>
      <w:proofErr w:type="spellEnd"/>
      <w:r>
        <w:rPr>
          <w:sz w:val="20"/>
          <w:szCs w:val="20"/>
          <w:rtl/>
        </w:rPr>
        <w:t>, שנכח בשמחה.</w:t>
      </w:r>
    </w:p>
  </w:footnote>
  <w:footnote w:id="716">
    <w:p w14:paraId="7A66B56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יהודה </w:t>
      </w:r>
      <w:proofErr w:type="spellStart"/>
      <w:r>
        <w:rPr>
          <w:sz w:val="20"/>
          <w:szCs w:val="20"/>
          <w:rtl/>
        </w:rPr>
        <w:t>ג׳ייקובס</w:t>
      </w:r>
      <w:proofErr w:type="spellEnd"/>
      <w:r>
        <w:rPr>
          <w:sz w:val="20"/>
          <w:szCs w:val="20"/>
          <w:rtl/>
        </w:rPr>
        <w:t xml:space="preserve">, ריאיון, 13 בנובמבר 1987. והשווה גם הערה 98 בפרק זה, על סיבה אחרת לכך שבחורי מינסק באו </w:t>
      </w:r>
      <w:proofErr w:type="spellStart"/>
      <w:r>
        <w:rPr>
          <w:sz w:val="20"/>
          <w:szCs w:val="20"/>
          <w:rtl/>
        </w:rPr>
        <w:t>לסלבודקה</w:t>
      </w:r>
      <w:proofErr w:type="spellEnd"/>
      <w:r>
        <w:rPr>
          <w:sz w:val="20"/>
          <w:szCs w:val="20"/>
          <w:rtl/>
        </w:rPr>
        <w:t xml:space="preserve">: מאמצי הגיוס של ר׳ ראובן </w:t>
      </w:r>
      <w:proofErr w:type="spellStart"/>
      <w:r>
        <w:rPr>
          <w:sz w:val="20"/>
          <w:szCs w:val="20"/>
          <w:rtl/>
        </w:rPr>
        <w:t>גרוזובסקי</w:t>
      </w:r>
      <w:proofErr w:type="spellEnd"/>
      <w:r>
        <w:rPr>
          <w:sz w:val="20"/>
          <w:szCs w:val="20"/>
          <w:rtl/>
        </w:rPr>
        <w:t>.</w:t>
      </w:r>
    </w:p>
  </w:footnote>
  <w:footnote w:id="717">
    <w:p w14:paraId="5149EFE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ירושלים, בלי שנה.</w:t>
      </w:r>
    </w:p>
  </w:footnote>
  <w:footnote w:id="718">
    <w:p w14:paraId="1C84854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הוא מחבר “נחלת דוד” על בבא קמא ובבא מציעא.</w:t>
      </w:r>
    </w:p>
  </w:footnote>
  <w:footnote w:id="719">
    <w:p w14:paraId="22F89B0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סופר ב־23 במרץ 1988 על ידי ר׳ אנשל </w:t>
      </w:r>
      <w:proofErr w:type="spellStart"/>
      <w:r>
        <w:rPr>
          <w:sz w:val="20"/>
          <w:szCs w:val="20"/>
          <w:rtl/>
        </w:rPr>
        <w:t>ווינהויז</w:t>
      </w:r>
      <w:proofErr w:type="spellEnd"/>
      <w:r>
        <w:rPr>
          <w:sz w:val="20"/>
          <w:szCs w:val="20"/>
          <w:rtl/>
        </w:rPr>
        <w:t xml:space="preserve"> בשם ר׳ </w:t>
      </w:r>
      <w:proofErr w:type="spellStart"/>
      <w:r>
        <w:rPr>
          <w:sz w:val="20"/>
          <w:szCs w:val="20"/>
          <w:rtl/>
        </w:rPr>
        <w:t>אברהם־צבי</w:t>
      </w:r>
      <w:proofErr w:type="spellEnd"/>
      <w:r>
        <w:rPr>
          <w:sz w:val="20"/>
          <w:szCs w:val="20"/>
          <w:rtl/>
        </w:rPr>
        <w:t xml:space="preserve"> קמאי (שמן הסתם שמע זאת מאביו, ר׳ </w:t>
      </w:r>
      <w:proofErr w:type="spellStart"/>
      <w:r>
        <w:rPr>
          <w:sz w:val="20"/>
          <w:szCs w:val="20"/>
          <w:rtl/>
        </w:rPr>
        <w:t>אליהו־ברוך</w:t>
      </w:r>
      <w:proofErr w:type="spellEnd"/>
      <w:r>
        <w:rPr>
          <w:sz w:val="20"/>
          <w:szCs w:val="20"/>
          <w:rtl/>
        </w:rPr>
        <w:t xml:space="preserve">), רב </w:t>
      </w:r>
      <w:proofErr w:type="spellStart"/>
      <w:r>
        <w:rPr>
          <w:sz w:val="20"/>
          <w:szCs w:val="20"/>
          <w:rtl/>
        </w:rPr>
        <w:t>מיר</w:t>
      </w:r>
      <w:proofErr w:type="spellEnd"/>
      <w:r>
        <w:rPr>
          <w:sz w:val="20"/>
          <w:szCs w:val="20"/>
          <w:rtl/>
        </w:rPr>
        <w:t>.</w:t>
      </w:r>
    </w:p>
  </w:footnote>
  <w:footnote w:id="720">
    <w:p w14:paraId="3661216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1, סוף הפסקה הראשונה בנספח ב.</w:t>
      </w:r>
    </w:p>
  </w:footnote>
  <w:footnote w:id="721">
    <w:p w14:paraId="474B6AE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ראש השנה ל״א ע״א.</w:t>
      </w:r>
    </w:p>
  </w:footnote>
  <w:footnote w:id="722">
    <w:p w14:paraId="3350C46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10 לעיל – עמ׳ 110–112.</w:t>
      </w:r>
    </w:p>
  </w:footnote>
  <w:footnote w:id="723">
    <w:p w14:paraId="3C8BB53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יצא לאור בבני ברק, תשנ״ב (להלן: “נימוקי </w:t>
      </w:r>
      <w:proofErr w:type="spellStart"/>
      <w:r>
        <w:rPr>
          <w:sz w:val="20"/>
          <w:szCs w:val="20"/>
          <w:rtl/>
        </w:rPr>
        <w:t>הרידב״ז</w:t>
      </w:r>
      <w:proofErr w:type="spellEnd"/>
      <w:r>
        <w:rPr>
          <w:sz w:val="20"/>
          <w:szCs w:val="20"/>
          <w:rtl/>
        </w:rPr>
        <w:t xml:space="preserve">”) – עמ׳ </w:t>
      </w:r>
      <w:proofErr w:type="spellStart"/>
      <w:r>
        <w:rPr>
          <w:sz w:val="20"/>
          <w:szCs w:val="20"/>
          <w:rtl/>
        </w:rPr>
        <w:t>יג</w:t>
      </w:r>
      <w:proofErr w:type="spellEnd"/>
      <w:r>
        <w:rPr>
          <w:sz w:val="20"/>
          <w:szCs w:val="20"/>
          <w:rtl/>
        </w:rPr>
        <w:t xml:space="preserve"> בהקדמה.</w:t>
      </w:r>
    </w:p>
  </w:footnote>
  <w:footnote w:id="724">
    <w:p w14:paraId="56B45E0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הרידב״ז</w:t>
      </w:r>
      <w:proofErr w:type="spellEnd"/>
      <w:r>
        <w:rPr>
          <w:sz w:val="20"/>
          <w:szCs w:val="20"/>
          <w:rtl/>
        </w:rPr>
        <w:t xml:space="preserve"> מביא </w:t>
      </w:r>
      <w:proofErr w:type="spellStart"/>
      <w:r>
        <w:rPr>
          <w:sz w:val="20"/>
          <w:szCs w:val="20"/>
          <w:rtl/>
        </w:rPr>
        <w:t>מ“ספר</w:t>
      </w:r>
      <w:proofErr w:type="spellEnd"/>
      <w:r>
        <w:rPr>
          <w:sz w:val="20"/>
          <w:szCs w:val="20"/>
          <w:rtl/>
        </w:rPr>
        <w:t xml:space="preserve"> קדמון” שבו נרשמה תשובה של רב גרמני שהקל בשאלה של רב פולני, והוסיף: “אל תפרסם את ההוראה בפולין, כי אינם בני תורה שם”.</w:t>
      </w:r>
    </w:p>
  </w:footnote>
  <w:footnote w:id="725">
    <w:p w14:paraId="60889C0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“הרב: עולמו של הרב יוסף ב. </w:t>
      </w:r>
      <w:proofErr w:type="spellStart"/>
      <w:r>
        <w:rPr>
          <w:sz w:val="20"/>
          <w:szCs w:val="20"/>
          <w:rtl/>
        </w:rPr>
        <w:t>סולובייצ׳יק</w:t>
      </w:r>
      <w:proofErr w:type="spellEnd"/>
      <w:r>
        <w:rPr>
          <w:sz w:val="20"/>
          <w:szCs w:val="20"/>
          <w:rtl/>
        </w:rPr>
        <w:t xml:space="preserve">” מאת אהרן </w:t>
      </w:r>
      <w:proofErr w:type="spellStart"/>
      <w:r>
        <w:rPr>
          <w:sz w:val="20"/>
          <w:szCs w:val="20"/>
          <w:rtl/>
        </w:rPr>
        <w:t>רקפת־רוטקוף</w:t>
      </w:r>
      <w:proofErr w:type="spellEnd"/>
      <w:r>
        <w:rPr>
          <w:sz w:val="20"/>
          <w:szCs w:val="20"/>
          <w:rtl/>
        </w:rPr>
        <w:t xml:space="preserve"> (הוצאת כתב, 1999), כרך 1, עמ׳ 9. לפי הספר חל יום הולדתו </w:t>
      </w:r>
      <w:proofErr w:type="spellStart"/>
      <w:r>
        <w:rPr>
          <w:sz w:val="20"/>
          <w:szCs w:val="20"/>
          <w:rtl/>
        </w:rPr>
        <w:t>השלושה־עשר</w:t>
      </w:r>
      <w:proofErr w:type="spellEnd"/>
      <w:r>
        <w:rPr>
          <w:sz w:val="20"/>
          <w:szCs w:val="20"/>
          <w:rtl/>
        </w:rPr>
        <w:t xml:space="preserve"> של ר׳ משה אחרי שנסגרה הישיבה, אבל ר׳ אהרן עמד על כך בשיחה עמי באוגוסט 2000 שגרסתו נכונה.</w:t>
      </w:r>
    </w:p>
  </w:footnote>
  <w:footnote w:id="726">
    <w:p w14:paraId="73D6455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“הראשון לשושלת </w:t>
      </w:r>
      <w:proofErr w:type="spellStart"/>
      <w:r>
        <w:rPr>
          <w:sz w:val="20"/>
          <w:szCs w:val="20"/>
          <w:rtl/>
        </w:rPr>
        <w:t>בריסק</w:t>
      </w:r>
      <w:proofErr w:type="spellEnd"/>
      <w:r>
        <w:rPr>
          <w:sz w:val="20"/>
          <w:szCs w:val="20"/>
          <w:rtl/>
        </w:rPr>
        <w:t>” (פרק 1, הפסקה השנייה בהערה 96), עמ׳ 393.</w:t>
      </w:r>
    </w:p>
  </w:footnote>
  <w:footnote w:id="727">
    <w:p w14:paraId="7E2F903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שם, עמ׳ 395.</w:t>
      </w:r>
    </w:p>
  </w:footnote>
  <w:footnote w:id="728">
    <w:p w14:paraId="01BC9E5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115–116 והערה 16 בעמ׳ 116.</w:t>
      </w:r>
    </w:p>
  </w:footnote>
  <w:footnote w:id="729">
    <w:p w14:paraId="3C1456E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שער ד׳ </w:t>
      </w:r>
      <w:proofErr w:type="spellStart"/>
      <w:r>
        <w:rPr>
          <w:rStyle w:val="a5"/>
          <w:sz w:val="20"/>
          <w:szCs w:val="20"/>
          <w:vertAlign w:val="baseline"/>
          <w:rtl/>
        </w:rPr>
        <w:t>פכ״ה</w:t>
      </w:r>
      <w:proofErr w:type="spellEnd"/>
      <w:r>
        <w:rPr>
          <w:rStyle w:val="a5"/>
          <w:sz w:val="20"/>
          <w:szCs w:val="20"/>
          <w:vertAlign w:val="baseline"/>
          <w:rtl/>
        </w:rPr>
        <w:t xml:space="preserve">. והשווה גם הערת שוליים </w:t>
      </w:r>
      <w:r>
        <w:rPr>
          <w:rStyle w:val="a5"/>
          <w:sz w:val="20"/>
          <w:szCs w:val="20"/>
          <w:vertAlign w:val="baseline"/>
          <w:rtl/>
        </w:rPr>
        <w:fldChar w:fldCharType="begin" w:dirty="true"/>
      </w:r>
      <w:r>
        <w:rPr>
          <w:rStyle w:val="a5"/>
          <w:sz w:val="20"/>
          <w:szCs w:val="20"/>
          <w:vertAlign w:val="baseline"/>
          <w:rtl/>
        </w:rPr>
        <w:instrText xml:space="preserve"> NOTEREF pr_f_2580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1626</w:t>
      </w:r>
      <w:r>
        <w:rPr>
          <w:rStyle w:val="a5"/>
          <w:sz w:val="20"/>
          <w:szCs w:val="20"/>
          <w:vertAlign w:val="baseline"/>
          <w:rtl/>
        </w:rPr>
        <w:fldChar w:fldCharType="end"/>
      </w:r>
      <w:r>
        <w:rPr>
          <w:rStyle w:val="a5"/>
          <w:sz w:val="20"/>
          <w:szCs w:val="20"/>
          <w:vertAlign w:val="baseline"/>
          <w:rtl/>
        </w:rPr>
        <w:t xml:space="preserve"> (עמ׳ </w:t>
      </w:r>
      <w:r>
        <w:rPr>
          <w:rStyle w:val="a5"/>
          <w:sz w:val="20"/>
          <w:szCs w:val="20"/>
          <w:vertAlign w:val="baseline"/>
          <w:rtl/>
        </w:rPr>
        <w:fldChar w:fldCharType="begin" w:dirty="true"/>
      </w:r>
      <w:r>
        <w:rPr>
          <w:rStyle w:val="a5"/>
          <w:sz w:val="20"/>
          <w:szCs w:val="20"/>
          <w:vertAlign w:val="baseline"/>
          <w:rtl/>
        </w:rPr>
        <w:instrText xml:space="preserve"> PAGEREF pr_f_2580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 בכרך זה.</w:t>
      </w:r>
    </w:p>
  </w:footnote>
  <w:footnote w:id="730">
    <w:p w14:paraId="73561B0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אולם בסוף אותה פסקה מוצע </w:t>
      </w:r>
      <w:proofErr w:type="spellStart"/>
      <w:r>
        <w:rPr>
          <w:sz w:val="20"/>
          <w:szCs w:val="20"/>
          <w:rtl/>
        </w:rPr>
        <w:t>שה“ברכה</w:t>
      </w:r>
      <w:proofErr w:type="spellEnd"/>
      <w:r>
        <w:rPr>
          <w:sz w:val="20"/>
          <w:szCs w:val="20"/>
          <w:rtl/>
        </w:rPr>
        <w:t xml:space="preserve">” הייתה חלק מדברים ארוכים יותר של ר׳ חיים </w:t>
      </w:r>
      <w:proofErr w:type="spellStart"/>
      <w:r>
        <w:rPr>
          <w:sz w:val="20"/>
          <w:szCs w:val="20"/>
          <w:rtl/>
        </w:rPr>
        <w:t>מוולוז׳ין</w:t>
      </w:r>
      <w:proofErr w:type="spellEnd"/>
      <w:r>
        <w:rPr>
          <w:sz w:val="20"/>
          <w:szCs w:val="20"/>
          <w:rtl/>
        </w:rPr>
        <w:t xml:space="preserve">, שבהם המליץ על ר׳ </w:t>
      </w:r>
      <w:proofErr w:type="spellStart"/>
      <w:r>
        <w:rPr>
          <w:sz w:val="20"/>
          <w:szCs w:val="20"/>
          <w:rtl/>
        </w:rPr>
        <w:t>דוד־טעביל</w:t>
      </w:r>
      <w:proofErr w:type="spellEnd"/>
      <w:r>
        <w:rPr>
          <w:sz w:val="20"/>
          <w:szCs w:val="20"/>
          <w:rtl/>
        </w:rPr>
        <w:t xml:space="preserve"> </w:t>
      </w:r>
      <w:r>
        <w:rPr>
          <w:b/>
          <w:bCs/>
          <w:sz w:val="20"/>
          <w:szCs w:val="20"/>
          <w:rtl/>
        </w:rPr>
        <w:t>למשרה בעיירה קטנה</w:t>
      </w:r>
      <w:r>
        <w:rPr>
          <w:sz w:val="20"/>
          <w:szCs w:val="20"/>
          <w:rtl/>
        </w:rPr>
        <w:t>.</w:t>
      </w:r>
    </w:p>
  </w:footnote>
  <w:footnote w:id="731">
    <w:p w14:paraId="4957E73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ניו יורק, 1915 (להלן: </w:t>
      </w:r>
      <w:proofErr w:type="spellStart"/>
      <w:r>
        <w:rPr>
          <w:sz w:val="20"/>
          <w:szCs w:val="20"/>
          <w:rtl/>
        </w:rPr>
        <w:t>פיליפסון</w:t>
      </w:r>
      <w:proofErr w:type="spellEnd"/>
      <w:r>
        <w:rPr>
          <w:sz w:val="20"/>
          <w:szCs w:val="20"/>
          <w:rtl/>
        </w:rPr>
        <w:t>).</w:t>
      </w:r>
    </w:p>
  </w:footnote>
  <w:footnote w:id="732">
    <w:p w14:paraId="4C4DCC4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היומן, שכותרתו “מסעותיי ברוסיה”, פורסם בהמשכים </w:t>
      </w:r>
      <w:proofErr w:type="spellStart"/>
      <w:r>
        <w:rPr>
          <w:sz w:val="20"/>
          <w:szCs w:val="20"/>
          <w:rtl/>
        </w:rPr>
        <w:t>ב“דה</w:t>
      </w:r>
      <w:proofErr w:type="spellEnd"/>
      <w:r>
        <w:rPr>
          <w:sz w:val="20"/>
          <w:szCs w:val="20"/>
          <w:rtl/>
        </w:rPr>
        <w:t xml:space="preserve"> </w:t>
      </w:r>
      <w:proofErr w:type="spellStart"/>
      <w:r>
        <w:rPr>
          <w:sz w:val="20"/>
          <w:szCs w:val="20"/>
          <w:rtl/>
        </w:rPr>
        <w:t>ישראלייט</w:t>
      </w:r>
      <w:proofErr w:type="spellEnd"/>
      <w:r>
        <w:rPr>
          <w:sz w:val="20"/>
          <w:szCs w:val="20"/>
          <w:rtl/>
        </w:rPr>
        <w:t>” בשנים 1855–1857.</w:t>
      </w:r>
    </w:p>
  </w:footnote>
  <w:footnote w:id="733">
    <w:p w14:paraId="5FA2621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נולד תקע״ה; נפטר </w:t>
      </w:r>
      <w:proofErr w:type="spellStart"/>
      <w:r>
        <w:rPr>
          <w:sz w:val="20"/>
          <w:szCs w:val="20"/>
          <w:rtl/>
        </w:rPr>
        <w:t>בסינסינטי</w:t>
      </w:r>
      <w:proofErr w:type="spellEnd"/>
      <w:r>
        <w:rPr>
          <w:sz w:val="20"/>
          <w:szCs w:val="20"/>
          <w:rtl/>
        </w:rPr>
        <w:t>, תרמ״ב.</w:t>
      </w:r>
    </w:p>
  </w:footnote>
  <w:footnote w:id="734">
    <w:p w14:paraId="739AAD5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פיליפסון</w:t>
      </w:r>
      <w:proofErr w:type="spellEnd"/>
      <w:r>
        <w:rPr>
          <w:sz w:val="20"/>
          <w:szCs w:val="20"/>
          <w:rtl/>
        </w:rPr>
        <w:t>, עמ׳ 305.</w:t>
      </w:r>
    </w:p>
  </w:footnote>
  <w:footnote w:id="735">
    <w:p w14:paraId="0FF9461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הערת שוליים </w:t>
      </w:r>
      <w:r>
        <w:rPr>
          <w:rStyle w:val="a5"/>
          <w:sz w:val="20"/>
          <w:szCs w:val="20"/>
          <w:vertAlign w:val="baseline"/>
          <w:rtl/>
        </w:rPr>
        <w:fldChar w:fldCharType="begin" w:dirty="true"/>
      </w:r>
      <w:r>
        <w:rPr>
          <w:rStyle w:val="a5"/>
          <w:sz w:val="20"/>
          <w:szCs w:val="20"/>
          <w:vertAlign w:val="baseline"/>
          <w:rtl/>
        </w:rPr>
        <w:instrText xml:space="preserve"> NOTEREF pr_f_182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126</w:t>
      </w:r>
      <w:r>
        <w:rPr>
          <w:rStyle w:val="a5"/>
          <w:sz w:val="20"/>
          <w:szCs w:val="20"/>
          <w:vertAlign w:val="baseline"/>
          <w:rtl/>
        </w:rPr>
        <w:fldChar w:fldCharType="end"/>
      </w:r>
      <w:r>
        <w:rPr>
          <w:rStyle w:val="a5"/>
          <w:sz w:val="20"/>
          <w:szCs w:val="20"/>
          <w:vertAlign w:val="baseline"/>
          <w:rtl/>
        </w:rPr>
        <w:t xml:space="preserve"> (עמ׳ </w:t>
      </w:r>
      <w:r>
        <w:rPr>
          <w:rStyle w:val="a5"/>
          <w:sz w:val="20"/>
          <w:szCs w:val="20"/>
          <w:vertAlign w:val="baseline"/>
          <w:rtl/>
        </w:rPr>
        <w:fldChar w:fldCharType="begin" w:dirty="true"/>
      </w:r>
      <w:r>
        <w:rPr>
          <w:rStyle w:val="a5"/>
          <w:sz w:val="20"/>
          <w:szCs w:val="20"/>
          <w:vertAlign w:val="baseline"/>
          <w:rtl/>
        </w:rPr>
        <w:instrText xml:space="preserve"> PAGEREF pr_f_182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w:t>
      </w:r>
    </w:p>
  </w:footnote>
  <w:footnote w:id="736">
    <w:p w14:paraId="6902A58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דבריו של רבנו על ד״ר </w:t>
      </w:r>
      <w:proofErr w:type="spellStart"/>
      <w:r>
        <w:rPr>
          <w:sz w:val="20"/>
          <w:szCs w:val="20"/>
          <w:rtl/>
        </w:rPr>
        <w:t>ליליינטל</w:t>
      </w:r>
      <w:proofErr w:type="spellEnd"/>
      <w:r>
        <w:rPr>
          <w:sz w:val="20"/>
          <w:szCs w:val="20"/>
          <w:rtl/>
        </w:rPr>
        <w:t xml:space="preserve"> הביאו לחקר סיפורו ותעלומותיו, להלן.</w:t>
      </w:r>
    </w:p>
  </w:footnote>
  <w:footnote w:id="737">
    <w:p w14:paraId="2594858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“מינסק עיר ואם א”, עמ׳ 94.</w:t>
      </w:r>
    </w:p>
  </w:footnote>
  <w:footnote w:id="738">
    <w:p w14:paraId="4DD37E4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הוצאת חי״ל, ניו יורק</w:t>
      </w:r>
      <w:proofErr w:type="spellStart"/>
      <w:r>
        <w:rPr>
          <w:sz w:val="20"/>
          <w:szCs w:val="20"/>
          <w:rtl/>
        </w:rPr>
        <w:t xml:space="preserve"/>
      </w:r>
      <w:proofErr w:type="spellEnd"/>
      <w:r>
        <w:rPr>
          <w:sz w:val="20"/>
          <w:szCs w:val="20"/>
          <w:rtl/>
        </w:rPr>
        <w:t>, תשי״ד.</w:t>
      </w:r>
    </w:p>
  </w:footnote>
  <w:footnote w:id="739">
    <w:p w14:paraId="45A1769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הערת שוליים בעמ׳ </w:t>
      </w:r>
      <w:proofErr w:type="spellStart"/>
      <w:r>
        <w:rPr>
          <w:sz w:val="20"/>
          <w:szCs w:val="20"/>
          <w:rtl/>
        </w:rPr>
        <w:t>תקלז</w:t>
      </w:r>
      <w:proofErr w:type="spellEnd"/>
      <w:r>
        <w:rPr>
          <w:sz w:val="20"/>
          <w:szCs w:val="20"/>
          <w:rtl/>
        </w:rPr>
        <w:t>.</w:t>
      </w:r>
    </w:p>
  </w:footnote>
  <w:footnote w:id="740">
    <w:p w14:paraId="5E503DA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הוצאת JPS, פילדלפיה, תשמ״ג (להלן: סטניסלבסקי) – עמ׳ 91 (בפרק “ראשית ההשכלה הרוסית”).</w:t>
      </w:r>
    </w:p>
  </w:footnote>
  <w:footnote w:id="741">
    <w:p w14:paraId="475AEB1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גילוי זה מבוסס על מכתביו האישיים של </w:t>
      </w:r>
      <w:proofErr w:type="spellStart"/>
      <w:r>
        <w:rPr>
          <w:sz w:val="20"/>
          <w:szCs w:val="20"/>
          <w:rtl/>
        </w:rPr>
        <w:t>ליליינטל</w:t>
      </w:r>
      <w:proofErr w:type="spellEnd"/>
      <w:r>
        <w:rPr>
          <w:sz w:val="20"/>
          <w:szCs w:val="20"/>
          <w:rtl/>
        </w:rPr>
        <w:t xml:space="preserve"> שפרסמה כלתו סופי </w:t>
      </w:r>
      <w:proofErr w:type="spellStart"/>
      <w:r>
        <w:rPr>
          <w:sz w:val="20"/>
          <w:szCs w:val="20"/>
          <w:rtl/>
        </w:rPr>
        <w:t>ב“רשומות</w:t>
      </w:r>
      <w:proofErr w:type="spellEnd"/>
      <w:r>
        <w:rPr>
          <w:sz w:val="20"/>
          <w:szCs w:val="20"/>
          <w:rtl/>
        </w:rPr>
        <w:t xml:space="preserve"> משפחת </w:t>
      </w:r>
      <w:proofErr w:type="spellStart"/>
      <w:r>
        <w:rPr>
          <w:sz w:val="20"/>
          <w:szCs w:val="20"/>
          <w:rtl/>
        </w:rPr>
        <w:t>ליליינטל</w:t>
      </w:r>
      <w:proofErr w:type="spellEnd"/>
      <w:r>
        <w:rPr>
          <w:sz w:val="20"/>
          <w:szCs w:val="20"/>
          <w:rtl/>
        </w:rPr>
        <w:t>” (סן פרנסיסקו, 1930) (להלן: מכתבים אישיים).</w:t>
      </w:r>
    </w:p>
  </w:footnote>
  <w:footnote w:id="742">
    <w:p w14:paraId="7CB872BA"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proofErr w:type="spellStart"/>
      <w:r>
        <w:rPr>
          <w:sz w:val="20"/>
          <w:szCs w:val="20"/>
          <w:rtl/>
        </w:rPr>
        <w:t>ליליינטל</w:t>
      </w:r>
      <w:proofErr w:type="spellEnd"/>
      <w:r>
        <w:rPr>
          <w:sz w:val="20"/>
          <w:szCs w:val="20"/>
          <w:rtl/>
        </w:rPr>
        <w:t xml:space="preserve"> נתמנה למשרה זו בשנת תקצ״ט ובא לריגה בשנת ת״ר, כנזכר לעיל.</w:t>
      </w:r>
    </w:p>
    <w:p w14:paraId="4B164DAB" w14:textId="77777777" w:rsidR="00AB3647" w:rsidRDefault="00000000">
      <w:pPr>
        <w:spacing w:after="0" w:before="0"/>
        <w:jc w:val="both"/>
      </w:pPr>
      <w:r>
        <w:rPr>
          <w:b/>
          <w:sz w:val="20"/>
          <w:szCs w:val="20"/>
          <w:rtl/>
        </w:rPr>
        <w:t xml:space="preserve">אשר </w:t>
      </w:r>
      <w:proofErr w:type="spellStart"/>
      <w:r>
        <w:rPr>
          <w:b/>
          <w:sz w:val="20"/>
          <w:szCs w:val="20"/>
          <w:rtl/>
        </w:rPr>
        <w:t>ל</w:t>
      </w:r>
      <w:r>
        <w:rPr>
          <w:sz w:val="20"/>
          <w:szCs w:val="20"/>
          <w:rtl/>
        </w:rPr>
        <w:t>פיליפסון</w:t>
      </w:r>
      <w:proofErr w:type="spellEnd"/>
      <w:r>
        <w:rPr>
          <w:sz w:val="20"/>
          <w:szCs w:val="20"/>
          <w:rtl/>
        </w:rPr>
        <w:t xml:space="preserve">: הוא נולד בטבת תקע״ב ונפטר בטבת </w:t>
      </w:r>
      <w:proofErr w:type="spellStart"/>
      <w:r>
        <w:rPr>
          <w:sz w:val="20"/>
          <w:szCs w:val="20"/>
          <w:rtl/>
        </w:rPr>
        <w:t>תר״ן</w:t>
      </w:r>
      <w:proofErr w:type="spellEnd"/>
      <w:r>
        <w:rPr>
          <w:sz w:val="20"/>
          <w:szCs w:val="20"/>
          <w:rtl/>
        </w:rPr>
        <w:t>.</w:t>
      </w:r>
    </w:p>
  </w:footnote>
  <w:footnote w:id="743">
    <w:p w14:paraId="05FAAC8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ביומנו קובע ד״ר </w:t>
      </w:r>
      <w:proofErr w:type="spellStart"/>
      <w:r>
        <w:rPr>
          <w:sz w:val="20"/>
          <w:szCs w:val="20"/>
          <w:rtl/>
        </w:rPr>
        <w:t>ליליינטל</w:t>
      </w:r>
      <w:proofErr w:type="spellEnd"/>
      <w:r>
        <w:rPr>
          <w:sz w:val="20"/>
          <w:szCs w:val="20"/>
          <w:rtl/>
        </w:rPr>
        <w:t xml:space="preserve"> את 1839 כשנת מינויו בריגה, כאמור בפסקה הקודמת.</w:t>
      </w:r>
    </w:p>
  </w:footnote>
  <w:footnote w:id="744">
    <w:p w14:paraId="31AE7BF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11, עמ׳ 243–245.</w:t>
      </w:r>
    </w:p>
  </w:footnote>
  <w:footnote w:id="745">
    <w:p w14:paraId="0DD6098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שם: </w:t>
      </w:r>
      <w:proofErr w:type="spellStart"/>
      <w:r>
        <w:rPr>
          <w:sz w:val="20"/>
          <w:szCs w:val="20"/>
          <w:rtl/>
        </w:rPr>
        <w:t>פיליפסון</w:t>
      </w:r>
      <w:proofErr w:type="spellEnd"/>
      <w:r>
        <w:rPr>
          <w:sz w:val="20"/>
          <w:szCs w:val="20"/>
          <w:rtl/>
        </w:rPr>
        <w:t xml:space="preserve"> היה “דרשן בקהילה היהודית </w:t>
      </w:r>
      <w:proofErr w:type="spellStart"/>
      <w:r>
        <w:rPr>
          <w:sz w:val="20"/>
          <w:szCs w:val="20"/>
          <w:rtl/>
        </w:rPr>
        <w:t>במגדבורג</w:t>
      </w:r>
      <w:proofErr w:type="spellEnd"/>
      <w:r>
        <w:rPr>
          <w:sz w:val="20"/>
          <w:szCs w:val="20"/>
          <w:rtl/>
        </w:rPr>
        <w:t xml:space="preserve">, ויוזם </w:t>
      </w:r>
      <w:proofErr w:type="spellStart"/>
      <w:r>
        <w:rPr>
          <w:sz w:val="20"/>
          <w:szCs w:val="20"/>
          <w:rtl/>
        </w:rPr>
        <w:t>הסינודים</w:t>
      </w:r>
      <w:proofErr w:type="spellEnd"/>
      <w:r>
        <w:rPr>
          <w:sz w:val="20"/>
          <w:szCs w:val="20"/>
          <w:rtl/>
        </w:rPr>
        <w:t xml:space="preserve"> הרבניים של הרפורמה </w:t>
      </w:r>
      <w:proofErr w:type="spellStart"/>
      <w:r>
        <w:rPr>
          <w:sz w:val="20"/>
          <w:szCs w:val="20"/>
          <w:rtl/>
        </w:rPr>
        <w:t>בבראונשווייג</w:t>
      </w:r>
      <w:proofErr w:type="spellEnd"/>
      <w:r>
        <w:rPr>
          <w:sz w:val="20"/>
          <w:szCs w:val="20"/>
          <w:rtl/>
        </w:rPr>
        <w:t xml:space="preserve"> (1844), בפרנקפורט (1845) ובברסלאו (1846), אף שמתח ביקורת על ההחלטות שהתקבלו בהם”. אני סבור שפרנקפורט זו היא פרנקפורט על נהר האודר, במזרח גרמניה – שם נערכו שני </w:t>
      </w:r>
      <w:proofErr w:type="spellStart"/>
      <w:r>
        <w:rPr>
          <w:sz w:val="20"/>
          <w:szCs w:val="20"/>
          <w:rtl/>
        </w:rPr>
        <w:t>הסינודים</w:t>
      </w:r>
      <w:proofErr w:type="spellEnd"/>
      <w:r>
        <w:rPr>
          <w:sz w:val="20"/>
          <w:szCs w:val="20"/>
          <w:rtl/>
        </w:rPr>
        <w:t xml:space="preserve"> האחרים – ולא פרנקפורט על נהר המיין (אף שאנציקלופדיה יודאיקה רושמת זאת בערך על העיר האחרונה).</w:t>
      </w:r>
    </w:p>
  </w:footnote>
  <w:footnote w:id="746">
    <w:p w14:paraId="673810E6" w14:textId="77777777" w:rsidR="00AB3647" w:rsidRDefault="00000000">
      <w:pPr>
        <w:spacing w:after="0" w:before="0"/>
        <w:jc w:val="both"/>
      </w:pPr>
      <w:r>
        <w:rPr>
          <w:rStyle w:val="a5"/>
          <w:vertAlign w:val="superscript"/>
          <w:rtl/>
        </w:rPr>
        <w:footnoteRef/>
      </w:r>
      <w:r>
        <w:rPr>
          <w:sz w:val="20"/>
          <w:szCs w:val="20"/>
        </w:rPr>
        <w:t xml:space="preserve"> </w:t>
      </w:r>
      <w:r>
        <w:rPr>
          <w:sz w:val="20"/>
          <w:szCs w:val="20"/>
          <w:rtl/>
        </w:rPr>
        <w:t xml:space="preserve">הערת המתרגם: ועידת הרבנים של תר״ה נערכה בפרנקפורט שעל נהר המיין; גם </w:t>
      </w:r>
      <w:proofErr w:type="spellStart"/>
      <w:r>
        <w:rPr>
          <w:sz w:val="20"/>
          <w:szCs w:val="20"/>
          <w:rtl/>
        </w:rPr>
        <w:t>בראונשווייג</w:t>
      </w:r>
      <w:proofErr w:type="spellEnd"/>
      <w:r>
        <w:rPr>
          <w:sz w:val="20"/>
          <w:szCs w:val="20"/>
          <w:rtl/>
        </w:rPr>
        <w:t xml:space="preserve"> אינה במזרח גרמניה.</w:t>
      </w:r>
    </w:p>
  </w:footnote>
  <w:footnote w:id="747">
    <w:p w14:paraId="652617D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הפסקה </w:t>
      </w:r>
      <w:proofErr w:type="spellStart"/>
      <w:r>
        <w:rPr>
          <w:sz w:val="20"/>
          <w:szCs w:val="20"/>
          <w:rtl/>
        </w:rPr>
        <w:t>השמונה־עשרה</w:t>
      </w:r>
      <w:proofErr w:type="spellEnd"/>
      <w:r>
        <w:rPr>
          <w:sz w:val="20"/>
          <w:szCs w:val="20"/>
          <w:rtl/>
        </w:rPr>
        <w:t xml:space="preserve"> להלן.</w:t>
      </w:r>
    </w:p>
  </w:footnote>
  <w:footnote w:id="748">
    <w:p w14:paraId="016C679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הערה 17 במאמרו של עמנואל </w:t>
      </w:r>
      <w:proofErr w:type="spellStart"/>
      <w:r>
        <w:rPr>
          <w:sz w:val="20"/>
          <w:szCs w:val="20"/>
          <w:rtl/>
        </w:rPr>
        <w:t>אטקס</w:t>
      </w:r>
      <w:proofErr w:type="spellEnd"/>
      <w:r>
        <w:rPr>
          <w:sz w:val="20"/>
          <w:szCs w:val="20"/>
          <w:rtl/>
        </w:rPr>
        <w:t xml:space="preserve"> “פרשת ההשכלה מטעם והתמורה במעמד ההשכלה ברוסיה”, שהופיע </w:t>
      </w:r>
      <w:proofErr w:type="spellStart"/>
      <w:r>
        <w:rPr>
          <w:sz w:val="20"/>
          <w:szCs w:val="20"/>
          <w:rtl/>
        </w:rPr>
        <w:t>ב“ציון</w:t>
      </w:r>
      <w:proofErr w:type="spellEnd"/>
      <w:r>
        <w:rPr>
          <w:sz w:val="20"/>
          <w:szCs w:val="20"/>
          <w:rtl/>
        </w:rPr>
        <w:t xml:space="preserve">” מג, עמ׳ 264–313. הגעתי למאמר דרך ספרו המצוין של אותו מחבר, “ר׳ ישראל </w:t>
      </w:r>
      <w:proofErr w:type="spellStart"/>
      <w:r>
        <w:rPr>
          <w:sz w:val="20"/>
          <w:szCs w:val="20"/>
          <w:rtl/>
        </w:rPr>
        <w:t>סלנטר</w:t>
      </w:r>
      <w:proofErr w:type="spellEnd"/>
      <w:r>
        <w:rPr>
          <w:sz w:val="20"/>
          <w:szCs w:val="20"/>
          <w:rtl/>
        </w:rPr>
        <w:t xml:space="preserve"> וראשיתה של תנועת המוסר” (הוצאת ספרים ע״ש </w:t>
      </w:r>
      <w:proofErr w:type="spellStart"/>
      <w:r>
        <w:rPr>
          <w:sz w:val="20"/>
          <w:szCs w:val="20"/>
          <w:rtl/>
        </w:rPr>
        <w:t>י״ל</w:t>
      </w:r>
      <w:proofErr w:type="spellEnd"/>
      <w:r>
        <w:rPr>
          <w:sz w:val="20"/>
          <w:szCs w:val="20"/>
          <w:rtl/>
        </w:rPr>
        <w:t xml:space="preserve"> </w:t>
      </w:r>
      <w:proofErr w:type="spellStart"/>
      <w:r>
        <w:rPr>
          <w:sz w:val="20"/>
          <w:szCs w:val="20"/>
          <w:rtl/>
        </w:rPr>
        <w:t>מגנס</w:t>
      </w:r>
      <w:proofErr w:type="spellEnd"/>
      <w:r>
        <w:rPr>
          <w:sz w:val="20"/>
          <w:szCs w:val="20"/>
          <w:rtl/>
        </w:rPr>
        <w:t xml:space="preserve">, ירושלים, תשמ״ד). בספר זה, פרק 9, עמ׳ 147–169, מניח המחבר שהביטחון העצמי והקשרים הממשלתיים שרכשו המשכילים בפרשת </w:t>
      </w:r>
      <w:proofErr w:type="spellStart"/>
      <w:r>
        <w:rPr>
          <w:sz w:val="20"/>
          <w:szCs w:val="20"/>
          <w:rtl/>
        </w:rPr>
        <w:t>ליליינטל</w:t>
      </w:r>
      <w:proofErr w:type="spellEnd"/>
      <w:r>
        <w:rPr>
          <w:sz w:val="20"/>
          <w:szCs w:val="20"/>
          <w:rtl/>
        </w:rPr>
        <w:t xml:space="preserve"> הפכו את ההשכלה הרוסית הזעירה לכוח המזרז שגרם </w:t>
      </w:r>
      <w:proofErr w:type="spellStart"/>
      <w:r>
        <w:rPr>
          <w:sz w:val="20"/>
          <w:szCs w:val="20"/>
          <w:rtl/>
        </w:rPr>
        <w:t>לר</w:t>
      </w:r>
      <w:proofErr w:type="spellEnd"/>
      <w:r>
        <w:rPr>
          <w:sz w:val="20"/>
          <w:szCs w:val="20"/>
          <w:rtl/>
        </w:rPr>
        <w:t xml:space="preserve">׳ ישראל </w:t>
      </w:r>
      <w:proofErr w:type="spellStart"/>
      <w:r>
        <w:rPr>
          <w:sz w:val="20"/>
          <w:szCs w:val="20"/>
          <w:rtl/>
        </w:rPr>
        <w:t>סלנטר</w:t>
      </w:r>
      <w:proofErr w:type="spellEnd"/>
      <w:r>
        <w:rPr>
          <w:sz w:val="20"/>
          <w:szCs w:val="20"/>
          <w:rtl/>
        </w:rPr>
        <w:t xml:space="preserve"> לייסד את תנועת המוסר. אבי הסכים לעיקר התזה – שר׳ ישראל הבין עד כמה מסוכנת ההשכלה להמשך קיומה של היהדות, ושהבנה זו הניעה אותו במידה רבה – כמובא בפרק 3, תחילת הפסקה השנייה בנספח </w:t>
      </w:r>
      <w:proofErr w:type="spellStart"/>
      <w:r>
        <w:rPr>
          <w:sz w:val="20"/>
          <w:szCs w:val="20"/>
          <w:rtl/>
        </w:rPr>
        <w:t>יט</w:t>
      </w:r>
      <w:proofErr w:type="spellEnd"/>
      <w:r>
        <w:rPr>
          <w:sz w:val="20"/>
          <w:szCs w:val="20"/>
          <w:rtl/>
        </w:rPr>
        <w:t xml:space="preserve">. והשווה גם פרק 3, תחילת נספח </w:t>
      </w:r>
      <w:proofErr w:type="spellStart"/>
      <w:r>
        <w:rPr>
          <w:sz w:val="20"/>
          <w:szCs w:val="20"/>
          <w:rtl/>
        </w:rPr>
        <w:t>יט</w:t>
      </w:r>
      <w:proofErr w:type="spellEnd"/>
      <w:r>
        <w:rPr>
          <w:sz w:val="20"/>
          <w:szCs w:val="20"/>
          <w:rtl/>
        </w:rPr>
        <w:t xml:space="preserve">, ופרק 4, סוף נספח </w:t>
      </w:r>
      <w:proofErr w:type="spellStart"/>
      <w:r>
        <w:rPr>
          <w:sz w:val="20"/>
          <w:szCs w:val="20"/>
          <w:rtl/>
        </w:rPr>
        <w:t>יג</w:t>
      </w:r>
      <w:proofErr w:type="spellEnd"/>
      <w:r>
        <w:rPr>
          <w:sz w:val="20"/>
          <w:szCs w:val="20"/>
          <w:rtl/>
        </w:rPr>
        <w:t>.</w:t>
      </w:r>
    </w:p>
  </w:footnote>
  <w:footnote w:id="749">
    <w:p w14:paraId="36CF14A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והשווה גם הפסקה </w:t>
      </w:r>
      <w:proofErr w:type="spellStart"/>
      <w:r>
        <w:rPr>
          <w:sz w:val="20"/>
          <w:szCs w:val="20"/>
          <w:rtl/>
        </w:rPr>
        <w:t>השמונה־עשרה</w:t>
      </w:r>
      <w:proofErr w:type="spellEnd"/>
      <w:r>
        <w:rPr>
          <w:sz w:val="20"/>
          <w:szCs w:val="20"/>
          <w:rtl/>
        </w:rPr>
        <w:t xml:space="preserve"> להלן, על בורותו של </w:t>
      </w:r>
      <w:proofErr w:type="spellStart"/>
      <w:r>
        <w:rPr>
          <w:sz w:val="20"/>
          <w:szCs w:val="20"/>
          <w:rtl/>
        </w:rPr>
        <w:t>אוברוב</w:t>
      </w:r>
      <w:proofErr w:type="spellEnd"/>
      <w:r>
        <w:rPr>
          <w:sz w:val="20"/>
          <w:szCs w:val="20"/>
          <w:rtl/>
        </w:rPr>
        <w:t xml:space="preserve"> עצמו באשר למהותו של התלמוד.</w:t>
      </w:r>
    </w:p>
  </w:footnote>
  <w:footnote w:id="750">
    <w:p w14:paraId="4158FE4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70–76.</w:t>
      </w:r>
    </w:p>
  </w:footnote>
  <w:footnote w:id="751">
    <w:p w14:paraId="0E1EB48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72–73.</w:t>
      </w:r>
    </w:p>
  </w:footnote>
  <w:footnote w:id="752">
    <w:p w14:paraId="4B01036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73.</w:t>
      </w:r>
    </w:p>
  </w:footnote>
  <w:footnote w:id="753">
    <w:p w14:paraId="00ED38A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94.</w:t>
      </w:r>
    </w:p>
  </w:footnote>
  <w:footnote w:id="754">
    <w:p w14:paraId="27A3202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7.</w:t>
      </w:r>
    </w:p>
  </w:footnote>
  <w:footnote w:id="755">
    <w:p w14:paraId="38156EE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כ״ז, תרע״ב–תרע״ג – עמ׳ 551.</w:t>
      </w:r>
    </w:p>
  </w:footnote>
  <w:footnote w:id="756">
    <w:p w14:paraId="294D81F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1, עמ׳ 82–83.</w:t>
      </w:r>
    </w:p>
  </w:footnote>
  <w:footnote w:id="757">
    <w:p w14:paraId="1D80505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חיים ברלין סיפר שבשלב זה “בכה ר׳ </w:t>
      </w:r>
      <w:proofErr w:type="spellStart"/>
      <w:r>
        <w:rPr>
          <w:sz w:val="20"/>
          <w:szCs w:val="20"/>
          <w:rtl/>
        </w:rPr>
        <w:t>איצל׳ה</w:t>
      </w:r>
      <w:proofErr w:type="spellEnd"/>
      <w:r>
        <w:rPr>
          <w:sz w:val="20"/>
          <w:szCs w:val="20"/>
          <w:rtl/>
        </w:rPr>
        <w:t xml:space="preserve"> כל כך במרירות שגם </w:t>
      </w:r>
      <w:proofErr w:type="spellStart"/>
      <w:r>
        <w:rPr>
          <w:sz w:val="20"/>
          <w:szCs w:val="20"/>
          <w:rtl/>
        </w:rPr>
        <w:t>ליליינטל</w:t>
      </w:r>
      <w:proofErr w:type="spellEnd"/>
      <w:r>
        <w:rPr>
          <w:sz w:val="20"/>
          <w:szCs w:val="20"/>
          <w:rtl/>
        </w:rPr>
        <w:t xml:space="preserve"> החל להזיל דמעות”. מחבר “</w:t>
      </w:r>
      <w:proofErr w:type="spellStart"/>
      <w:r>
        <w:rPr>
          <w:sz w:val="20"/>
          <w:szCs w:val="20"/>
          <w:rtl/>
        </w:rPr>
        <w:t>זכרון</w:t>
      </w:r>
      <w:proofErr w:type="spellEnd"/>
      <w:r>
        <w:rPr>
          <w:sz w:val="20"/>
          <w:szCs w:val="20"/>
          <w:rtl/>
        </w:rPr>
        <w:t xml:space="preserve"> יעקב”, ר׳ יעקב הלוי ליפשיץ, מספר שם גם </w:t>
      </w:r>
      <w:r>
        <w:rPr>
          <w:b/>
          <w:bCs/>
          <w:sz w:val="20"/>
          <w:szCs w:val="20"/>
          <w:rtl/>
        </w:rPr>
        <w:t>שסיפר לו ר׳ חיים ברלין</w:t>
      </w:r>
      <w:r>
        <w:rPr>
          <w:sz w:val="20"/>
          <w:szCs w:val="20"/>
          <w:rtl/>
        </w:rPr>
        <w:t xml:space="preserve"> בשם אביו, שכאשר הרצה ר׳ </w:t>
      </w:r>
      <w:proofErr w:type="spellStart"/>
      <w:r>
        <w:rPr>
          <w:sz w:val="20"/>
          <w:szCs w:val="20"/>
          <w:rtl/>
        </w:rPr>
        <w:t>איצל׳ה</w:t>
      </w:r>
      <w:proofErr w:type="spellEnd"/>
      <w:r>
        <w:rPr>
          <w:sz w:val="20"/>
          <w:szCs w:val="20"/>
          <w:rtl/>
        </w:rPr>
        <w:t xml:space="preserve"> לפני </w:t>
      </w:r>
      <w:proofErr w:type="spellStart"/>
      <w:r>
        <w:rPr>
          <w:sz w:val="20"/>
          <w:szCs w:val="20"/>
          <w:rtl/>
        </w:rPr>
        <w:t>ליליינטל</w:t>
      </w:r>
      <w:proofErr w:type="spellEnd"/>
      <w:r>
        <w:rPr>
          <w:sz w:val="20"/>
          <w:szCs w:val="20"/>
          <w:rtl/>
        </w:rPr>
        <w:t xml:space="preserve"> את פשטו במשנה במסכת יומא – פשט שהצדיק את החשד במניעיו של ד״ר </w:t>
      </w:r>
      <w:proofErr w:type="spellStart"/>
      <w:r>
        <w:rPr>
          <w:sz w:val="20"/>
          <w:szCs w:val="20"/>
          <w:rtl/>
        </w:rPr>
        <w:t>ליליינטל</w:t>
      </w:r>
      <w:proofErr w:type="spellEnd"/>
      <w:r>
        <w:rPr>
          <w:sz w:val="20"/>
          <w:szCs w:val="20"/>
          <w:rtl/>
        </w:rPr>
        <w:t xml:space="preserve">, ומובא להלן בפסקה התשיעית – שוב “בכה ר׳ </w:t>
      </w:r>
      <w:proofErr w:type="spellStart"/>
      <w:r>
        <w:rPr>
          <w:sz w:val="20"/>
          <w:szCs w:val="20"/>
          <w:rtl/>
        </w:rPr>
        <w:t>איצל׳ה</w:t>
      </w:r>
      <w:proofErr w:type="spellEnd"/>
      <w:r>
        <w:rPr>
          <w:sz w:val="20"/>
          <w:szCs w:val="20"/>
          <w:rtl/>
        </w:rPr>
        <w:t xml:space="preserve"> כל כך במרירות שגם </w:t>
      </w:r>
      <w:proofErr w:type="spellStart"/>
      <w:r>
        <w:rPr>
          <w:sz w:val="20"/>
          <w:szCs w:val="20"/>
          <w:rtl/>
        </w:rPr>
        <w:t>ליליינטל</w:t>
      </w:r>
      <w:proofErr w:type="spellEnd"/>
      <w:r>
        <w:rPr>
          <w:sz w:val="20"/>
          <w:szCs w:val="20"/>
          <w:rtl/>
        </w:rPr>
        <w:t xml:space="preserve"> פנה הצידה ובכה”. גם “מקור ברוך” מספר </w:t>
      </w:r>
      <w:proofErr w:type="spellStart"/>
      <w:r>
        <w:rPr>
          <w:sz w:val="20"/>
          <w:szCs w:val="20"/>
          <w:rtl/>
        </w:rPr>
        <w:t>שליליינטל</w:t>
      </w:r>
      <w:proofErr w:type="spellEnd"/>
      <w:r>
        <w:rPr>
          <w:sz w:val="20"/>
          <w:szCs w:val="20"/>
          <w:rtl/>
        </w:rPr>
        <w:t xml:space="preserve"> בכה אחרי ששמע את פירושו של ר׳ </w:t>
      </w:r>
      <w:proofErr w:type="spellStart"/>
      <w:r>
        <w:rPr>
          <w:sz w:val="20"/>
          <w:szCs w:val="20"/>
          <w:rtl/>
        </w:rPr>
        <w:t>איצל׳ה</w:t>
      </w:r>
      <w:proofErr w:type="spellEnd"/>
      <w:r>
        <w:rPr>
          <w:sz w:val="20"/>
          <w:szCs w:val="20"/>
          <w:rtl/>
        </w:rPr>
        <w:t xml:space="preserve">, אבל לא בגלוי כבתיאורו של ר׳ חיים ברלין (בשם </w:t>
      </w:r>
      <w:proofErr w:type="spellStart"/>
      <w:r>
        <w:rPr>
          <w:sz w:val="20"/>
          <w:szCs w:val="20"/>
          <w:rtl/>
        </w:rPr>
        <w:t>הנצי״ב</w:t>
      </w:r>
      <w:proofErr w:type="spellEnd"/>
      <w:r>
        <w:rPr>
          <w:sz w:val="20"/>
          <w:szCs w:val="20"/>
          <w:rtl/>
        </w:rPr>
        <w:t xml:space="preserve">): ראה להלן, באמצע (עמ׳ </w:t>
      </w:r>
      <w:r>
        <w:rPr>
          <w:sz w:val="20"/>
          <w:szCs w:val="20"/>
          <w:rtl/>
        </w:rPr>
        <w:fldChar w:fldCharType="begin" w:dirty="true"/>
      </w:r>
      <w:r>
        <w:rPr>
          <w:sz w:val="20"/>
          <w:szCs w:val="20"/>
          <w:rtl/>
        </w:rPr>
        <w:instrText xml:space="preserve"> PAGEREF pr_b_617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w:t>
      </w:r>
      <w:proofErr w:type="spellStart"/>
      <w:r>
        <w:rPr>
          <w:sz w:val="20"/>
          <w:szCs w:val="20"/>
          <w:rtl/>
        </w:rPr>
        <w:t>ש“האנשים</w:t>
      </w:r>
      <w:proofErr w:type="spellEnd"/>
      <w:r>
        <w:rPr>
          <w:sz w:val="20"/>
          <w:szCs w:val="20"/>
          <w:rtl/>
        </w:rPr>
        <w:t xml:space="preserve"> שליד (ה)פינה שבה ישב כשטליתו על ראשו שמעו אותו בוכה חרש”.</w:t>
      </w:r>
    </w:p>
    <w:p w14:paraId="5E976230" w14:textId="77777777" w:rsidR="00AB3647" w:rsidRDefault="00000000">
      <w:pPr>
        <w:spacing w:after="0" w:before="0"/>
        <w:jc w:val="both"/>
      </w:pPr>
      <w:r>
        <w:rPr>
          <w:sz w:val="20"/>
          <w:szCs w:val="20"/>
          <w:rtl/>
        </w:rPr>
        <w:t>לפי “</w:t>
      </w:r>
      <w:proofErr w:type="spellStart"/>
      <w:r>
        <w:rPr>
          <w:sz w:val="20"/>
          <w:szCs w:val="20"/>
          <w:rtl/>
        </w:rPr>
        <w:t>זכרון</w:t>
      </w:r>
      <w:proofErr w:type="spellEnd"/>
      <w:r>
        <w:rPr>
          <w:sz w:val="20"/>
          <w:szCs w:val="20"/>
          <w:rtl/>
        </w:rPr>
        <w:t xml:space="preserve"> יעקב” מסר ר׳ </w:t>
      </w:r>
      <w:proofErr w:type="spellStart"/>
      <w:r>
        <w:rPr>
          <w:sz w:val="20"/>
          <w:szCs w:val="20"/>
          <w:rtl/>
        </w:rPr>
        <w:t>איצל׳ה</w:t>
      </w:r>
      <w:proofErr w:type="spellEnd"/>
      <w:r>
        <w:rPr>
          <w:sz w:val="20"/>
          <w:szCs w:val="20"/>
          <w:rtl/>
        </w:rPr>
        <w:t xml:space="preserve"> את פשטו </w:t>
      </w:r>
      <w:proofErr w:type="spellStart"/>
      <w:r>
        <w:rPr>
          <w:sz w:val="20"/>
          <w:szCs w:val="20"/>
          <w:rtl/>
        </w:rPr>
        <w:t>לליליינטל</w:t>
      </w:r>
      <w:proofErr w:type="spellEnd"/>
      <w:r>
        <w:rPr>
          <w:sz w:val="20"/>
          <w:szCs w:val="20"/>
          <w:rtl/>
        </w:rPr>
        <w:t xml:space="preserve"> בארבע עיניים, ולא במעמד המתואר בתחילת הפסקה הבאה לפי “עץ חיים” מאת משה </w:t>
      </w:r>
      <w:proofErr w:type="spellStart"/>
      <w:r>
        <w:rPr>
          <w:sz w:val="20"/>
          <w:szCs w:val="20"/>
          <w:rtl/>
        </w:rPr>
        <w:t>צינוביץ</w:t>
      </w:r>
      <w:proofErr w:type="spellEnd"/>
      <w:r>
        <w:rPr>
          <w:sz w:val="20"/>
          <w:szCs w:val="20"/>
          <w:rtl/>
        </w:rPr>
        <w:t xml:space="preserve"> (הוצאת “מור”, תל אביב, תשל״ב). ר׳ חיים ברלין ודאי שמע גם מאביו, </w:t>
      </w:r>
      <w:proofErr w:type="spellStart"/>
      <w:r>
        <w:rPr>
          <w:sz w:val="20"/>
          <w:szCs w:val="20"/>
          <w:rtl/>
        </w:rPr>
        <w:t>הנצי״ב</w:t>
      </w:r>
      <w:proofErr w:type="spellEnd"/>
      <w:r>
        <w:rPr>
          <w:sz w:val="20"/>
          <w:szCs w:val="20"/>
          <w:rtl/>
        </w:rPr>
        <w:t xml:space="preserve">, על תגובתו הנרגשת של </w:t>
      </w:r>
      <w:proofErr w:type="spellStart"/>
      <w:r>
        <w:rPr>
          <w:sz w:val="20"/>
          <w:szCs w:val="20"/>
          <w:rtl/>
        </w:rPr>
        <w:t>ליליינטל</w:t>
      </w:r>
      <w:proofErr w:type="spellEnd"/>
      <w:r>
        <w:rPr>
          <w:sz w:val="20"/>
          <w:szCs w:val="20"/>
          <w:rtl/>
        </w:rPr>
        <w:t xml:space="preserve"> כשנשאל מדוע נבחר דווקא הוא מכל סוגי האנשים המתאימים יותר למשימה. הערכתו של </w:t>
      </w:r>
      <w:proofErr w:type="spellStart"/>
      <w:r>
        <w:rPr>
          <w:sz w:val="20"/>
          <w:szCs w:val="20"/>
          <w:rtl/>
        </w:rPr>
        <w:t>הנצי״ב</w:t>
      </w:r>
      <w:proofErr w:type="spellEnd"/>
      <w:r>
        <w:rPr>
          <w:sz w:val="20"/>
          <w:szCs w:val="20"/>
          <w:rtl/>
        </w:rPr>
        <w:t xml:space="preserve"> את </w:t>
      </w:r>
      <w:proofErr w:type="spellStart"/>
      <w:r>
        <w:rPr>
          <w:sz w:val="20"/>
          <w:szCs w:val="20"/>
          <w:rtl/>
        </w:rPr>
        <w:t>ליליינטל</w:t>
      </w:r>
      <w:proofErr w:type="spellEnd"/>
      <w:r>
        <w:rPr>
          <w:sz w:val="20"/>
          <w:szCs w:val="20"/>
          <w:rtl/>
        </w:rPr>
        <w:t xml:space="preserve"> הייתה חיובית בתמימות גמורה, כמובא בפסקה </w:t>
      </w:r>
      <w:proofErr w:type="spellStart"/>
      <w:r>
        <w:rPr>
          <w:sz w:val="20"/>
          <w:szCs w:val="20"/>
          <w:rtl/>
        </w:rPr>
        <w:t>השש־עשרה</w:t>
      </w:r>
      <w:proofErr w:type="spellEnd"/>
      <w:r>
        <w:rPr>
          <w:sz w:val="20"/>
          <w:szCs w:val="20"/>
          <w:rtl/>
        </w:rPr>
        <w:t xml:space="preserve"> להלן.</w:t>
      </w:r>
    </w:p>
  </w:footnote>
  <w:footnote w:id="758">
    <w:p w14:paraId="709EAEF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1076.</w:t>
      </w:r>
    </w:p>
  </w:footnote>
  <w:footnote w:id="759">
    <w:p w14:paraId="12AA35C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הדבר מסופר בספרו של </w:t>
      </w:r>
      <w:proofErr w:type="spellStart"/>
      <w:r>
        <w:rPr>
          <w:sz w:val="20"/>
          <w:szCs w:val="20"/>
          <w:rtl/>
        </w:rPr>
        <w:t>צינוביץ</w:t>
      </w:r>
      <w:proofErr w:type="spellEnd"/>
      <w:r>
        <w:rPr>
          <w:sz w:val="20"/>
          <w:szCs w:val="20"/>
          <w:rtl/>
        </w:rPr>
        <w:t xml:space="preserve">, “עץ חיים” (ראה לעיל, הערת השוליים שבסוף הפסקה החמישית), עמ׳ 185–186 (המביא ממאמר מאת </w:t>
      </w:r>
      <w:proofErr w:type="spellStart"/>
      <w:r>
        <w:rPr>
          <w:sz w:val="20"/>
          <w:szCs w:val="20"/>
          <w:rtl/>
        </w:rPr>
        <w:t>אברהם־יעקב</w:t>
      </w:r>
      <w:proofErr w:type="spellEnd"/>
      <w:r>
        <w:rPr>
          <w:sz w:val="20"/>
          <w:szCs w:val="20"/>
          <w:rtl/>
        </w:rPr>
        <w:t xml:space="preserve"> </w:t>
      </w:r>
      <w:proofErr w:type="spellStart"/>
      <w:r>
        <w:rPr>
          <w:sz w:val="20"/>
          <w:szCs w:val="20"/>
          <w:rtl/>
        </w:rPr>
        <w:t>פפירנא</w:t>
      </w:r>
      <w:proofErr w:type="spellEnd"/>
      <w:r>
        <w:rPr>
          <w:sz w:val="20"/>
          <w:szCs w:val="20"/>
          <w:rtl/>
        </w:rPr>
        <w:t xml:space="preserve"> </w:t>
      </w:r>
      <w:proofErr w:type="spellStart"/>
      <w:r>
        <w:rPr>
          <w:sz w:val="20"/>
          <w:szCs w:val="20"/>
          <w:rtl/>
        </w:rPr>
        <w:t>ב“רשומות</w:t>
      </w:r>
      <w:proofErr w:type="spellEnd"/>
      <w:r>
        <w:rPr>
          <w:sz w:val="20"/>
          <w:szCs w:val="20"/>
          <w:rtl/>
        </w:rPr>
        <w:t>” א, 1925, בשם “</w:t>
      </w:r>
      <w:proofErr w:type="spellStart"/>
      <w:r>
        <w:rPr>
          <w:sz w:val="20"/>
          <w:szCs w:val="20"/>
          <w:rtl/>
        </w:rPr>
        <w:t>זכרונות</w:t>
      </w:r>
      <w:proofErr w:type="spellEnd"/>
      <w:r>
        <w:rPr>
          <w:sz w:val="20"/>
          <w:szCs w:val="20"/>
          <w:rtl/>
        </w:rPr>
        <w:t xml:space="preserve"> ושמועות”).</w:t>
      </w:r>
    </w:p>
  </w:footnote>
  <w:footnote w:id="760">
    <w:p w14:paraId="26DE189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היה תלמידו של ר׳ חיים </w:t>
      </w:r>
      <w:proofErr w:type="spellStart"/>
      <w:r>
        <w:rPr>
          <w:sz w:val="20"/>
          <w:szCs w:val="20"/>
          <w:rtl/>
        </w:rPr>
        <w:t>מוולוז׳ין</w:t>
      </w:r>
      <w:proofErr w:type="spellEnd"/>
      <w:r>
        <w:rPr>
          <w:sz w:val="20"/>
          <w:szCs w:val="20"/>
          <w:rtl/>
        </w:rPr>
        <w:t xml:space="preserve"> שייסד את </w:t>
      </w:r>
      <w:proofErr w:type="spellStart"/>
      <w:r>
        <w:rPr>
          <w:sz w:val="20"/>
          <w:szCs w:val="20"/>
          <w:rtl/>
        </w:rPr>
        <w:t>הקלויז</w:t>
      </w:r>
      <w:proofErr w:type="spellEnd"/>
      <w:r>
        <w:rPr>
          <w:sz w:val="20"/>
          <w:szCs w:val="20"/>
          <w:rtl/>
        </w:rPr>
        <w:t xml:space="preserve"> שבו עתיד היה </w:t>
      </w:r>
      <w:proofErr w:type="spellStart"/>
      <w:r>
        <w:rPr>
          <w:sz w:val="20"/>
          <w:szCs w:val="20"/>
          <w:rtl/>
        </w:rPr>
        <w:t>החפץ־חיים</w:t>
      </w:r>
      <w:proofErr w:type="spellEnd"/>
      <w:r>
        <w:rPr>
          <w:sz w:val="20"/>
          <w:szCs w:val="20"/>
          <w:rtl/>
        </w:rPr>
        <w:t xml:space="preserve"> ללמוד בנערותו.</w:t>
      </w:r>
    </w:p>
  </w:footnote>
  <w:footnote w:id="761">
    <w:p w14:paraId="3162380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לדעתי, אנו עדים לאותו דבר בימינו: השומר הצעיר, יהיר לא פחות, יחד עם המפלגות הפוליטיות שצמחו מאותה תנועה, מנסים לכפות את השקפת המיעוט שלהם על עם ישראל באמצעות כוח השלטון והתקשורת. למרבה התדהמה, אין הם מחילים על מעלליהם את התקדים ההיסטורי של הרפורמים בגרמניה, שאף הם, </w:t>
      </w:r>
      <w:r>
        <w:rPr>
          <w:b/>
          <w:bCs/>
          <w:sz w:val="20"/>
          <w:szCs w:val="20"/>
          <w:rtl/>
        </w:rPr>
        <w:t>בכוונותיהם הטובות</w:t>
      </w:r>
      <w:r>
        <w:rPr>
          <w:sz w:val="20"/>
          <w:szCs w:val="20"/>
          <w:rtl/>
        </w:rPr>
        <w:t xml:space="preserve">, זרעו את הזרעים שצמחו כעבור מאה שנה לשנאה הנאצית החייתית ליהודים המתבוללים, ואחר כך לכל השאר, ושהגיעו לשיאם בשואה. והשווה גם הערת השוליים האחרונה בפסקה </w:t>
      </w:r>
      <w:proofErr w:type="spellStart"/>
      <w:r>
        <w:rPr>
          <w:sz w:val="20"/>
          <w:szCs w:val="20"/>
          <w:rtl/>
        </w:rPr>
        <w:t>השתים־עשרה</w:t>
      </w:r>
      <w:proofErr w:type="spellEnd"/>
      <w:r>
        <w:rPr>
          <w:sz w:val="20"/>
          <w:szCs w:val="20"/>
          <w:rtl/>
        </w:rPr>
        <w:t xml:space="preserve"> להלן.</w:t>
      </w:r>
    </w:p>
    <w:p w14:paraId="200BBF28" w14:textId="77777777" w:rsidR="00AB3647" w:rsidRDefault="00000000">
      <w:pPr>
        <w:spacing w:after="0" w:before="0"/>
        <w:jc w:val="both"/>
      </w:pPr>
      <w:r>
        <w:rPr>
          <w:sz w:val="20"/>
          <w:szCs w:val="20"/>
          <w:rtl/>
        </w:rPr>
        <w:t>השווה “</w:t>
      </w:r>
      <w:proofErr w:type="spellStart"/>
      <w:r>
        <w:rPr>
          <w:sz w:val="20"/>
          <w:szCs w:val="20"/>
          <w:rtl/>
        </w:rPr>
        <w:t>זכרון</w:t>
      </w:r>
      <w:proofErr w:type="spellEnd"/>
      <w:r>
        <w:rPr>
          <w:sz w:val="20"/>
          <w:szCs w:val="20"/>
          <w:rtl/>
        </w:rPr>
        <w:t xml:space="preserve"> יעקב” (כרך 2, עמ׳ 72), הכותב ברוח נבואה: “מאז החלו היהודים ללכת אחר מאמר ההשכלה ‘היה אדם בצאתך ויהודי </w:t>
      </w:r>
      <w:proofErr w:type="spellStart"/>
      <w:r>
        <w:rPr>
          <w:sz w:val="20"/>
          <w:szCs w:val="20"/>
          <w:rtl/>
        </w:rPr>
        <w:t>באהלך</w:t>
      </w:r>
      <w:proofErr w:type="spellEnd"/>
      <w:r>
        <w:rPr>
          <w:sz w:val="20"/>
          <w:szCs w:val="20"/>
          <w:rtl/>
        </w:rPr>
        <w:t xml:space="preserve">’ בהקפדה כזו, עד שהסתירו את יהדותם אפילו בחדר משכבם עד שנעשתה בלתי נראית לגמרי, מאז החלו הגויים לבזות את היהודי ‘בצאתו’ בהקפדה כזו, שהחילו את שנאתם אפילו על משומד עד דור עשירי, שמא נשאר בו משהו מן היהדות.” ובלשון הנביא (יחזקאל כ, לב–לג): “והעלה על רוחכם היו לא תהיה אשר אתם אמרים נהיה כגוים כמשפחות הארצות לשרת עץ ואבן. חי אני נאם ה׳ </w:t>
      </w:r>
      <w:proofErr w:type="spellStart"/>
      <w:r>
        <w:rPr>
          <w:sz w:val="20"/>
          <w:szCs w:val="20"/>
          <w:rtl/>
        </w:rPr>
        <w:t>אלקים</w:t>
      </w:r>
      <w:proofErr w:type="spellEnd"/>
      <w:r>
        <w:rPr>
          <w:sz w:val="20"/>
          <w:szCs w:val="20"/>
          <w:rtl/>
        </w:rPr>
        <w:t xml:space="preserve"> אם לא ביד חזקה ובזרוע נטויה ובחמה שפוכה אמלוך עליכם.”</w:t>
      </w:r>
    </w:p>
  </w:footnote>
  <w:footnote w:id="762">
    <w:p w14:paraId="7DB122D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107–108.</w:t>
      </w:r>
    </w:p>
  </w:footnote>
  <w:footnote w:id="763">
    <w:p w14:paraId="0F93877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120.</w:t>
      </w:r>
    </w:p>
  </w:footnote>
  <w:footnote w:id="764">
    <w:p w14:paraId="29C10B4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186.</w:t>
      </w:r>
    </w:p>
  </w:footnote>
  <w:footnote w:id="765">
    <w:p w14:paraId="6DDB0A0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המקור לסיפור זה הוא פרסום משנת תרל״ז מאת בנימין </w:t>
      </w:r>
      <w:proofErr w:type="spellStart"/>
      <w:r>
        <w:rPr>
          <w:sz w:val="20"/>
          <w:szCs w:val="20"/>
          <w:rtl/>
        </w:rPr>
        <w:t>מנדלשטם</w:t>
      </w:r>
      <w:proofErr w:type="spellEnd"/>
      <w:r>
        <w:rPr>
          <w:sz w:val="20"/>
          <w:szCs w:val="20"/>
          <w:rtl/>
        </w:rPr>
        <w:t xml:space="preserve">, המובא בעמ׳ 289 של מאמרו של </w:t>
      </w:r>
      <w:proofErr w:type="spellStart"/>
      <w:r>
        <w:rPr>
          <w:sz w:val="20"/>
          <w:szCs w:val="20"/>
          <w:rtl/>
        </w:rPr>
        <w:t>אטקס</w:t>
      </w:r>
      <w:proofErr w:type="spellEnd"/>
      <w:r>
        <w:rPr>
          <w:sz w:val="20"/>
          <w:szCs w:val="20"/>
          <w:rtl/>
        </w:rPr>
        <w:t xml:space="preserve"> על “ההשכלה מטעם” </w:t>
      </w:r>
      <w:proofErr w:type="spellStart"/>
      <w:r>
        <w:rPr>
          <w:sz w:val="20"/>
          <w:szCs w:val="20"/>
          <w:rtl/>
        </w:rPr>
        <w:t>ב“ציון</w:t>
      </w:r>
      <w:proofErr w:type="spellEnd"/>
      <w:r>
        <w:rPr>
          <w:sz w:val="20"/>
          <w:szCs w:val="20"/>
          <w:rtl/>
        </w:rPr>
        <w:t xml:space="preserve">”. אני סבור שהקריאה בווילנה לא הייתה בפועל כפי שתרגם אותה </w:t>
      </w:r>
      <w:proofErr w:type="spellStart"/>
      <w:r>
        <w:rPr>
          <w:sz w:val="20"/>
          <w:szCs w:val="20"/>
          <w:rtl/>
        </w:rPr>
        <w:t>מנדלשטם</w:t>
      </w:r>
      <w:proofErr w:type="spellEnd"/>
      <w:r>
        <w:rPr>
          <w:sz w:val="20"/>
          <w:szCs w:val="20"/>
          <w:rtl/>
        </w:rPr>
        <w:t xml:space="preserve"> לעברית שלושה עשורים וחצי אחרי המאורע, “לא חפצנו”, אלא כפי שחוברה במינסק – שממנה עברה לווילנה יחד עם האומץ לעמוד מול </w:t>
      </w:r>
      <w:proofErr w:type="spellStart"/>
      <w:r>
        <w:rPr>
          <w:sz w:val="20"/>
          <w:szCs w:val="20"/>
          <w:rtl/>
        </w:rPr>
        <w:t>ליליינטל</w:t>
      </w:r>
      <w:proofErr w:type="spellEnd"/>
      <w:r>
        <w:rPr>
          <w:sz w:val="20"/>
          <w:szCs w:val="20"/>
          <w:rtl/>
        </w:rPr>
        <w:t xml:space="preserve">: “זה לא מעניין אותנו; איננו רוצים בתי ספר!”, כמובא לעיל מספרו של </w:t>
      </w:r>
      <w:proofErr w:type="spellStart"/>
      <w:r>
        <w:rPr>
          <w:sz w:val="20"/>
          <w:szCs w:val="20"/>
          <w:rtl/>
        </w:rPr>
        <w:t>צינוביץ</w:t>
      </w:r>
      <w:proofErr w:type="spellEnd"/>
      <w:r>
        <w:rPr>
          <w:sz w:val="20"/>
          <w:szCs w:val="20"/>
          <w:rtl/>
        </w:rPr>
        <w:t>, “עץ חיים”.</w:t>
      </w:r>
    </w:p>
    <w:p w14:paraId="071C507D" w14:textId="77777777" w:rsidR="00AB3647" w:rsidRDefault="00000000">
      <w:pPr>
        <w:spacing w:after="0" w:before="0"/>
        <w:jc w:val="both"/>
      </w:pPr>
      <w:r>
        <w:rPr>
          <w:sz w:val="20"/>
          <w:szCs w:val="20"/>
          <w:rtl/>
        </w:rPr>
        <w:t xml:space="preserve">תחילה שקלתי את האפשרות שקריאתו של </w:t>
      </w:r>
      <w:proofErr w:type="spellStart"/>
      <w:r>
        <w:rPr>
          <w:sz w:val="20"/>
          <w:szCs w:val="20"/>
          <w:rtl/>
        </w:rPr>
        <w:t>מנדלשטם</w:t>
      </w:r>
      <w:proofErr w:type="spellEnd"/>
      <w:r>
        <w:rPr>
          <w:sz w:val="20"/>
          <w:szCs w:val="20"/>
          <w:rtl/>
        </w:rPr>
        <w:t xml:space="preserve"> היא הנכונה, ושבה השתמשו גם במינסק – ושדיווחו של </w:t>
      </w:r>
      <w:proofErr w:type="spellStart"/>
      <w:r>
        <w:rPr>
          <w:sz w:val="20"/>
          <w:szCs w:val="20"/>
          <w:rtl/>
        </w:rPr>
        <w:t>פפירנא</w:t>
      </w:r>
      <w:proofErr w:type="spellEnd"/>
      <w:r>
        <w:rPr>
          <w:sz w:val="20"/>
          <w:szCs w:val="20"/>
          <w:rtl/>
        </w:rPr>
        <w:t xml:space="preserve"> (כפי שמסר אותו </w:t>
      </w:r>
      <w:proofErr w:type="spellStart"/>
      <w:r>
        <w:rPr>
          <w:sz w:val="20"/>
          <w:szCs w:val="20"/>
          <w:rtl/>
        </w:rPr>
        <w:t>צינוביץ</w:t>
      </w:r>
      <w:proofErr w:type="spellEnd"/>
      <w:r>
        <w:rPr>
          <w:sz w:val="20"/>
          <w:szCs w:val="20"/>
          <w:rtl/>
        </w:rPr>
        <w:t xml:space="preserve">) על נוסח הקריאה במינסק שגוי. אבל הכרעתי אחרת, משום </w:t>
      </w:r>
      <w:proofErr w:type="spellStart"/>
      <w:r>
        <w:rPr>
          <w:sz w:val="20"/>
          <w:szCs w:val="20"/>
          <w:rtl/>
        </w:rPr>
        <w:t>שפפירנא</w:t>
      </w:r>
      <w:proofErr w:type="spellEnd"/>
      <w:r>
        <w:rPr>
          <w:sz w:val="20"/>
          <w:szCs w:val="20"/>
          <w:rtl/>
        </w:rPr>
        <w:t xml:space="preserve"> מדווח שהקריאה הייתה ברוסית, ולא ביידיש – פרט שאי אפשר לסלפו – ולכן מן הסתם תרגם </w:t>
      </w:r>
      <w:proofErr w:type="spellStart"/>
      <w:r>
        <w:rPr>
          <w:sz w:val="20"/>
          <w:szCs w:val="20"/>
          <w:rtl/>
        </w:rPr>
        <w:t>פפירנא</w:t>
      </w:r>
      <w:proofErr w:type="spellEnd"/>
      <w:r>
        <w:rPr>
          <w:sz w:val="20"/>
          <w:szCs w:val="20"/>
          <w:rtl/>
        </w:rPr>
        <w:t xml:space="preserve"> במדויק גם אותה. מכל מקום, הקריאות בשתי הערים היו זהות, שכן “</w:t>
      </w:r>
      <w:proofErr w:type="spellStart"/>
      <w:r>
        <w:rPr>
          <w:sz w:val="20"/>
          <w:szCs w:val="20"/>
          <w:rtl/>
        </w:rPr>
        <w:t>זכרון</w:t>
      </w:r>
      <w:proofErr w:type="spellEnd"/>
      <w:r>
        <w:rPr>
          <w:sz w:val="20"/>
          <w:szCs w:val="20"/>
          <w:rtl/>
        </w:rPr>
        <w:t xml:space="preserve"> יעקב”, שם, עמ׳ 82, מציין במפורש שווילנה הלכה בעקבות קריאות מינסק – והוא מביא את הקריאה בלשון הרוסית.</w:t>
      </w:r>
    </w:p>
  </w:footnote>
  <w:footnote w:id="766">
    <w:p w14:paraId="644889D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הנ״ל, פרק 1, הערה 13 – עמ׳ 321.</w:t>
      </w:r>
    </w:p>
  </w:footnote>
  <w:footnote w:id="767">
    <w:p w14:paraId="4DDC494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549, הערת שוליים 1.</w:t>
      </w:r>
    </w:p>
  </w:footnote>
  <w:footnote w:id="768">
    <w:p w14:paraId="16F3282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“הרב”, כרך 1, עמ׳ 167, אומר: “זו הייתה הפעם הראשונה שנציג של חב״ד נפגש עם נציג של בית מדרשו של הגאון [מווילנה]”.</w:t>
      </w:r>
    </w:p>
  </w:footnote>
  <w:footnote w:id="769">
    <w:p w14:paraId="0957CBA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צינוביץ</w:t>
      </w:r>
      <w:proofErr w:type="spellEnd"/>
      <w:r>
        <w:rPr>
          <w:sz w:val="20"/>
          <w:szCs w:val="20"/>
          <w:rtl/>
        </w:rPr>
        <w:t xml:space="preserve">, “עץ חיים”, עמ׳ 191, טועה בכתבו שהוועדה הוקמה </w:t>
      </w:r>
      <w:r>
        <w:rPr>
          <w:b/>
          <w:bCs/>
          <w:sz w:val="20"/>
          <w:szCs w:val="20"/>
          <w:rtl/>
        </w:rPr>
        <w:t>בעקבות</w:t>
      </w:r>
      <w:r>
        <w:rPr>
          <w:sz w:val="20"/>
          <w:szCs w:val="20"/>
          <w:rtl/>
        </w:rPr>
        <w:t xml:space="preserve"> ביקורו של </w:t>
      </w:r>
      <w:proofErr w:type="spellStart"/>
      <w:r>
        <w:rPr>
          <w:sz w:val="20"/>
          <w:szCs w:val="20"/>
          <w:rtl/>
        </w:rPr>
        <w:t>ליליינטל</w:t>
      </w:r>
      <w:proofErr w:type="spellEnd"/>
      <w:r>
        <w:rPr>
          <w:sz w:val="20"/>
          <w:szCs w:val="20"/>
          <w:rtl/>
        </w:rPr>
        <w:t xml:space="preserve"> </w:t>
      </w:r>
      <w:proofErr w:type="spellStart"/>
      <w:r>
        <w:rPr>
          <w:sz w:val="20"/>
          <w:szCs w:val="20"/>
          <w:rtl/>
        </w:rPr>
        <w:t>בוולוז׳ין</w:t>
      </w:r>
      <w:proofErr w:type="spellEnd"/>
      <w:r>
        <w:rPr>
          <w:sz w:val="20"/>
          <w:szCs w:val="20"/>
          <w:rtl/>
        </w:rPr>
        <w:t>. הגוף הרבני הוקם באופן רשמי שלושה חודשים קודם לכן, אף שלא התכנס אלא לאחר מכן.</w:t>
      </w:r>
    </w:p>
  </w:footnote>
  <w:footnote w:id="770">
    <w:p w14:paraId="082C0EE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1074.</w:t>
      </w:r>
    </w:p>
  </w:footnote>
  <w:footnote w:id="771">
    <w:p w14:paraId="1D44498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550.</w:t>
      </w:r>
    </w:p>
  </w:footnote>
  <w:footnote w:id="772">
    <w:p w14:paraId="5FC472F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הפסקה </w:t>
      </w:r>
      <w:proofErr w:type="spellStart"/>
      <w:r>
        <w:rPr>
          <w:sz w:val="20"/>
          <w:szCs w:val="20"/>
          <w:rtl/>
        </w:rPr>
        <w:t>השתים־עשרה</w:t>
      </w:r>
      <w:proofErr w:type="spellEnd"/>
      <w:r>
        <w:rPr>
          <w:sz w:val="20"/>
          <w:szCs w:val="20"/>
          <w:rtl/>
        </w:rPr>
        <w:t xml:space="preserve"> בנספח זה.</w:t>
      </w:r>
    </w:p>
  </w:footnote>
  <w:footnote w:id="773">
    <w:p w14:paraId="0E7B41C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תקלח.</w:t>
      </w:r>
    </w:p>
  </w:footnote>
  <w:footnote w:id="774">
    <w:p w14:paraId="299827A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מקורי להטלת החרם הוא הערה 120 במאמרו של </w:t>
      </w:r>
      <w:proofErr w:type="spellStart"/>
      <w:r>
        <w:rPr>
          <w:sz w:val="20"/>
          <w:szCs w:val="20"/>
          <w:rtl/>
        </w:rPr>
        <w:t>אטקס</w:t>
      </w:r>
      <w:proofErr w:type="spellEnd"/>
      <w:r>
        <w:rPr>
          <w:sz w:val="20"/>
          <w:szCs w:val="20"/>
          <w:rtl/>
        </w:rPr>
        <w:t xml:space="preserve"> על “ההשכלה מטעם” </w:t>
      </w:r>
      <w:proofErr w:type="spellStart"/>
      <w:r>
        <w:rPr>
          <w:sz w:val="20"/>
          <w:szCs w:val="20"/>
          <w:rtl/>
        </w:rPr>
        <w:t>ב“ציון</w:t>
      </w:r>
      <w:proofErr w:type="spellEnd"/>
      <w:r>
        <w:rPr>
          <w:sz w:val="20"/>
          <w:szCs w:val="20"/>
          <w:rtl/>
        </w:rPr>
        <w:t xml:space="preserve">”. אלא שהמאמר טועה בהניחו שאיגר שעמד בראש טקס החרם היה ר׳ שלמה איגר, “שנודע כלוחם ברפורמה בגרמניה”. לא ייתכן שהיה זה ר׳ שלמה: הוא נתמנה לרב </w:t>
      </w:r>
      <w:proofErr w:type="spellStart"/>
      <w:r>
        <w:rPr>
          <w:sz w:val="20"/>
          <w:szCs w:val="20"/>
          <w:rtl/>
        </w:rPr>
        <w:t>בפוזנא</w:t>
      </w:r>
      <w:proofErr w:type="spellEnd"/>
      <w:r>
        <w:rPr>
          <w:sz w:val="20"/>
          <w:szCs w:val="20"/>
          <w:rtl/>
        </w:rPr>
        <w:t xml:space="preserve"> במקום אביו שלוש שנים בדיוק לפני כן (י״א בתשרי ת״ר), כאמור </w:t>
      </w:r>
      <w:proofErr w:type="spellStart"/>
      <w:r>
        <w:rPr>
          <w:sz w:val="20"/>
          <w:szCs w:val="20"/>
          <w:rtl/>
        </w:rPr>
        <w:t>ב“מאורן</w:t>
      </w:r>
      <w:proofErr w:type="spellEnd"/>
      <w:r>
        <w:rPr>
          <w:sz w:val="20"/>
          <w:szCs w:val="20"/>
          <w:rtl/>
        </w:rPr>
        <w:t xml:space="preserve"> של ישראל” (הערה 12 לעיל), כרך 2, עמ׳ </w:t>
      </w:r>
      <w:proofErr w:type="spellStart"/>
      <w:r>
        <w:rPr>
          <w:sz w:val="20"/>
          <w:szCs w:val="20"/>
          <w:rtl/>
        </w:rPr>
        <w:t>רסג</w:t>
      </w:r>
      <w:proofErr w:type="spellEnd"/>
      <w:r>
        <w:rPr>
          <w:sz w:val="20"/>
          <w:szCs w:val="20"/>
          <w:rtl/>
        </w:rPr>
        <w:t xml:space="preserve">, ולא היה עושה מעשה כזה בעיר אחרת, רחוקה. ודאי היה זה </w:t>
      </w:r>
      <w:r>
        <w:rPr>
          <w:b/>
          <w:bCs/>
          <w:sz w:val="20"/>
          <w:szCs w:val="20"/>
          <w:rtl/>
        </w:rPr>
        <w:t>ר׳ שמואל</w:t>
      </w:r>
      <w:r>
        <w:rPr>
          <w:sz w:val="20"/>
          <w:szCs w:val="20"/>
          <w:rtl/>
        </w:rPr>
        <w:t xml:space="preserve"> איגר, שנשא אישה ממשפחת </w:t>
      </w:r>
      <w:proofErr w:type="spellStart"/>
      <w:r>
        <w:rPr>
          <w:sz w:val="20"/>
          <w:szCs w:val="20"/>
          <w:rtl/>
        </w:rPr>
        <w:t>וילנקין</w:t>
      </w:r>
      <w:proofErr w:type="spellEnd"/>
      <w:r>
        <w:rPr>
          <w:sz w:val="20"/>
          <w:szCs w:val="20"/>
          <w:rtl/>
        </w:rPr>
        <w:t xml:space="preserve"> </w:t>
      </w:r>
      <w:r>
        <w:rPr>
          <w:b/>
          <w:bCs/>
          <w:sz w:val="20"/>
          <w:szCs w:val="20"/>
          <w:rtl/>
        </w:rPr>
        <w:t>שבמינסק</w:t>
      </w:r>
      <w:r>
        <w:rPr>
          <w:sz w:val="20"/>
          <w:szCs w:val="20"/>
          <w:rtl/>
        </w:rPr>
        <w:t>, כמו בהערה 35 בפרק זה. אף שלא מילא שום תפקיד רבני בעיר, היה מעורב בעניינים הנוגעים לכלל ישראל, ואפשר שעמד בראש טקס החרם.</w:t>
      </w:r>
    </w:p>
    <w:p w14:paraId="4D36AEED" w14:textId="77777777" w:rsidR="00AB3647" w:rsidRDefault="00000000">
      <w:pPr>
        <w:spacing w:after="0" w:before="0"/>
        <w:jc w:val="both"/>
      </w:pPr>
      <w:r>
        <w:rPr>
          <w:sz w:val="20"/>
          <w:szCs w:val="20"/>
          <w:rtl/>
        </w:rPr>
        <w:t xml:space="preserve">ראה “מאורן של ישראל”, כרך 1, עמ׳ שיט, המספר שר׳ שמואל היה “פעיל מאוד </w:t>
      </w:r>
      <w:proofErr w:type="spellStart"/>
      <w:r>
        <w:rPr>
          <w:sz w:val="20"/>
          <w:szCs w:val="20"/>
          <w:rtl/>
        </w:rPr>
        <w:t>בעניני</w:t>
      </w:r>
      <w:proofErr w:type="spellEnd"/>
      <w:r>
        <w:rPr>
          <w:sz w:val="20"/>
          <w:szCs w:val="20"/>
          <w:rtl/>
        </w:rPr>
        <w:t xml:space="preserve"> הציבור”, ומביא מכתב שכתב, ארבע שנים אחרי ביקורו השני של </w:t>
      </w:r>
      <w:proofErr w:type="spellStart"/>
      <w:r>
        <w:rPr>
          <w:sz w:val="20"/>
          <w:szCs w:val="20"/>
          <w:rtl/>
        </w:rPr>
        <w:t>ליליינטל</w:t>
      </w:r>
      <w:proofErr w:type="spellEnd"/>
      <w:r>
        <w:rPr>
          <w:sz w:val="20"/>
          <w:szCs w:val="20"/>
          <w:rtl/>
        </w:rPr>
        <w:t xml:space="preserve"> במינסק, למזכירו האישי של משה </w:t>
      </w:r>
      <w:proofErr w:type="spellStart"/>
      <w:r>
        <w:rPr>
          <w:sz w:val="20"/>
          <w:szCs w:val="20"/>
          <w:rtl/>
        </w:rPr>
        <w:t>מונטיפיורי</w:t>
      </w:r>
      <w:proofErr w:type="spellEnd"/>
      <w:r>
        <w:rPr>
          <w:sz w:val="20"/>
          <w:szCs w:val="20"/>
          <w:rtl/>
        </w:rPr>
        <w:t xml:space="preserve">, ד״ר אליעזר לוי, שפגש שנים רבות קודם לכן בברסלאו – ודאי בענייני ציבור. במכתבו הציג ר׳ שמואל שני אנשים – אחד מהם קרוב אשתו, ר׳ יצחק </w:t>
      </w:r>
      <w:proofErr w:type="spellStart"/>
      <w:r>
        <w:rPr>
          <w:sz w:val="20"/>
          <w:szCs w:val="20"/>
          <w:rtl/>
        </w:rPr>
        <w:t>וילנקין</w:t>
      </w:r>
      <w:proofErr w:type="spellEnd"/>
      <w:r>
        <w:rPr>
          <w:sz w:val="20"/>
          <w:szCs w:val="20"/>
          <w:rtl/>
        </w:rPr>
        <w:t xml:space="preserve"> – </w:t>
      </w:r>
      <w:proofErr w:type="spellStart"/>
      <w:r>
        <w:rPr>
          <w:sz w:val="20"/>
          <w:szCs w:val="20"/>
          <w:rtl/>
        </w:rPr>
        <w:t>כ“אנשים</w:t>
      </w:r>
      <w:proofErr w:type="spellEnd"/>
      <w:r>
        <w:rPr>
          <w:sz w:val="20"/>
          <w:szCs w:val="20"/>
          <w:rtl/>
        </w:rPr>
        <w:t xml:space="preserve"> חכמים, בקיאים מאוד בעומק עניני הציבור... אנשים שהם כלבב (לוי)”. וכתב: “הם חכמים, יראי </w:t>
      </w:r>
      <w:proofErr w:type="spellStart"/>
      <w:r>
        <w:rPr>
          <w:sz w:val="20"/>
          <w:szCs w:val="20"/>
          <w:rtl/>
        </w:rPr>
        <w:t>אלקים</w:t>
      </w:r>
      <w:proofErr w:type="spellEnd"/>
      <w:r>
        <w:rPr>
          <w:sz w:val="20"/>
          <w:szCs w:val="20"/>
          <w:rtl/>
        </w:rPr>
        <w:t xml:space="preserve"> </w:t>
      </w:r>
      <w:proofErr w:type="spellStart"/>
      <w:r>
        <w:rPr>
          <w:sz w:val="20"/>
          <w:szCs w:val="20"/>
          <w:rtl/>
        </w:rPr>
        <w:t>ונבוני</w:t>
      </w:r>
      <w:proofErr w:type="spellEnd"/>
      <w:r>
        <w:rPr>
          <w:sz w:val="20"/>
          <w:szCs w:val="20"/>
          <w:rtl/>
        </w:rPr>
        <w:t xml:space="preserve"> דבר – מן הסוג שאתה חפץ מאוד לדבר עמם, כפי ששמעתי ממך פנים אל פנים.” ר׳ שמואל איגר, שהיה מעורב “בעומק עניני הציבור” כמו ר׳ יצחק </w:t>
      </w:r>
      <w:proofErr w:type="spellStart"/>
      <w:r>
        <w:rPr>
          <w:sz w:val="20"/>
          <w:szCs w:val="20"/>
          <w:rtl/>
        </w:rPr>
        <w:t>וילנקין</w:t>
      </w:r>
      <w:proofErr w:type="spellEnd"/>
      <w:r>
        <w:rPr>
          <w:sz w:val="20"/>
          <w:szCs w:val="20"/>
          <w:rtl/>
        </w:rPr>
        <w:t xml:space="preserve">, הוא ודאי שפעל להחרמת </w:t>
      </w:r>
      <w:proofErr w:type="spellStart"/>
      <w:r>
        <w:rPr>
          <w:sz w:val="20"/>
          <w:szCs w:val="20"/>
          <w:rtl/>
        </w:rPr>
        <w:t>ליליינטל</w:t>
      </w:r>
      <w:proofErr w:type="spellEnd"/>
      <w:r>
        <w:rPr>
          <w:sz w:val="20"/>
          <w:szCs w:val="20"/>
          <w:rtl/>
        </w:rPr>
        <w:t>.</w:t>
      </w:r>
    </w:p>
  </w:footnote>
  <w:footnote w:id="775">
    <w:p w14:paraId="45E191D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תתקס</w:t>
      </w:r>
      <w:proofErr w:type="spellEnd"/>
      <w:r>
        <w:rPr>
          <w:sz w:val="20"/>
          <w:szCs w:val="20"/>
          <w:rtl/>
        </w:rPr>
        <w:t>.</w:t>
      </w:r>
    </w:p>
  </w:footnote>
  <w:footnote w:id="776">
    <w:p w14:paraId="79A4B37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הערה 4 לעיל.</w:t>
      </w:r>
    </w:p>
  </w:footnote>
  <w:footnote w:id="777">
    <w:p w14:paraId="3E864F6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נולד בשנת ת״ר.</w:t>
      </w:r>
    </w:p>
  </w:footnote>
  <w:footnote w:id="778">
    <w:p w14:paraId="419FD9A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187.</w:t>
      </w:r>
    </w:p>
  </w:footnote>
  <w:footnote w:id="779">
    <w:p w14:paraId="2C6EF72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“מקור ברוך”, עמ׳ </w:t>
      </w:r>
      <w:proofErr w:type="spellStart"/>
      <w:r>
        <w:rPr>
          <w:sz w:val="20"/>
          <w:szCs w:val="20"/>
          <w:rtl/>
        </w:rPr>
        <w:t>תתקס</w:t>
      </w:r>
      <w:proofErr w:type="spellEnd"/>
      <w:r>
        <w:rPr>
          <w:sz w:val="20"/>
          <w:szCs w:val="20"/>
          <w:rtl/>
        </w:rPr>
        <w:t>–1920.</w:t>
      </w:r>
    </w:p>
  </w:footnote>
  <w:footnote w:id="780">
    <w:p w14:paraId="380D42B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“מקור ברוך” אינו מדייק כשהוא מנמק “משום </w:t>
      </w:r>
      <w:proofErr w:type="spellStart"/>
      <w:r>
        <w:rPr>
          <w:sz w:val="20"/>
          <w:szCs w:val="20"/>
          <w:rtl/>
        </w:rPr>
        <w:t>שליליינטל</w:t>
      </w:r>
      <w:proofErr w:type="spellEnd"/>
      <w:r>
        <w:rPr>
          <w:sz w:val="20"/>
          <w:szCs w:val="20"/>
          <w:rtl/>
        </w:rPr>
        <w:t xml:space="preserve"> הגיע </w:t>
      </w:r>
      <w:proofErr w:type="spellStart"/>
      <w:r>
        <w:rPr>
          <w:sz w:val="20"/>
          <w:szCs w:val="20"/>
          <w:rtl/>
        </w:rPr>
        <w:t>לוולוז׳ין</w:t>
      </w:r>
      <w:proofErr w:type="spellEnd"/>
      <w:r>
        <w:rPr>
          <w:sz w:val="20"/>
          <w:szCs w:val="20"/>
          <w:rtl/>
        </w:rPr>
        <w:t xml:space="preserve"> כיום אחד לפני יום הכיפורים”, במקום לסמוך על עדות הראייה של אבי המחבר עצמו, שלפיה הגיע </w:t>
      </w:r>
      <w:proofErr w:type="spellStart"/>
      <w:r>
        <w:rPr>
          <w:sz w:val="20"/>
          <w:szCs w:val="20"/>
          <w:rtl/>
        </w:rPr>
        <w:t>ליליינטל</w:t>
      </w:r>
      <w:proofErr w:type="spellEnd"/>
      <w:r>
        <w:rPr>
          <w:sz w:val="20"/>
          <w:szCs w:val="20"/>
          <w:rtl/>
        </w:rPr>
        <w:t xml:space="preserve"> יומיים לפני החג.</w:t>
      </w:r>
    </w:p>
  </w:footnote>
  <w:footnote w:id="781">
    <w:p w14:paraId="6FC4C68F"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proofErr w:type="spellStart"/>
      <w:r>
        <w:rPr>
          <w:sz w:val="20"/>
          <w:szCs w:val="20"/>
          <w:rtl/>
        </w:rPr>
        <w:t>ליליינטל</w:t>
      </w:r>
      <w:proofErr w:type="spellEnd"/>
      <w:r>
        <w:rPr>
          <w:sz w:val="20"/>
          <w:szCs w:val="20"/>
          <w:rtl/>
        </w:rPr>
        <w:t xml:space="preserve"> נולד בשנת תקע״ו, ובביקורו </w:t>
      </w:r>
      <w:proofErr w:type="spellStart"/>
      <w:r>
        <w:rPr>
          <w:sz w:val="20"/>
          <w:szCs w:val="20"/>
          <w:rtl/>
        </w:rPr>
        <w:t>בוולוז׳ין</w:t>
      </w:r>
      <w:proofErr w:type="spellEnd"/>
      <w:r>
        <w:rPr>
          <w:sz w:val="20"/>
          <w:szCs w:val="20"/>
          <w:rtl/>
        </w:rPr>
        <w:t xml:space="preserve">, לפני יום הכיפורים תר״ג, היה בן עשרים ושש; </w:t>
      </w:r>
      <w:proofErr w:type="spellStart"/>
      <w:r>
        <w:rPr>
          <w:sz w:val="20"/>
          <w:szCs w:val="20"/>
          <w:rtl/>
        </w:rPr>
        <w:t>הנצי״ב</w:t>
      </w:r>
      <w:proofErr w:type="spellEnd"/>
      <w:r>
        <w:rPr>
          <w:sz w:val="20"/>
          <w:szCs w:val="20"/>
          <w:rtl/>
        </w:rPr>
        <w:t>, שנולד בשנת תקע״ז, היה צעיר ממנו בשנה בערך.</w:t>
      </w:r>
    </w:p>
  </w:footnote>
  <w:footnote w:id="782">
    <w:p w14:paraId="6B024D9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א׳, משנה ה׳.</w:t>
      </w:r>
    </w:p>
  </w:footnote>
  <w:footnote w:id="783">
    <w:p w14:paraId="52686F0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תתקסא</w:t>
      </w:r>
      <w:proofErr w:type="spellEnd"/>
      <w:r>
        <w:rPr>
          <w:sz w:val="20"/>
          <w:szCs w:val="20"/>
          <w:rtl/>
        </w:rPr>
        <w:t>–1920.</w:t>
      </w:r>
    </w:p>
  </w:footnote>
  <w:footnote w:id="784">
    <w:p w14:paraId="0B7753A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187.</w:t>
      </w:r>
    </w:p>
  </w:footnote>
  <w:footnote w:id="785">
    <w:p w14:paraId="7BD102C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י״ח ע״ב.</w:t>
      </w:r>
    </w:p>
  </w:footnote>
  <w:footnote w:id="786">
    <w:p w14:paraId="1C64C00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אבות פ״א מ״ו.</w:t>
      </w:r>
    </w:p>
  </w:footnote>
  <w:footnote w:id="787">
    <w:p w14:paraId="60285CE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31 ביולי 1992.</w:t>
      </w:r>
    </w:p>
  </w:footnote>
  <w:footnote w:id="788">
    <w:p w14:paraId="0781143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נדפס בארץ ישראל, בלי שנה – עמ׳ קד.</w:t>
      </w:r>
    </w:p>
  </w:footnote>
  <w:footnote w:id="789">
    <w:p w14:paraId="7DF2277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מאת אשר ברגמן (</w:t>
      </w:r>
      <w:proofErr w:type="spellStart"/>
      <w:r>
        <w:rPr>
          <w:sz w:val="20"/>
          <w:szCs w:val="20"/>
          <w:rtl/>
        </w:rPr>
        <w:t>בני־ברק</w:t>
      </w:r>
      <w:proofErr w:type="spellEnd"/>
      <w:r>
        <w:rPr>
          <w:sz w:val="20"/>
          <w:szCs w:val="20"/>
          <w:rtl/>
        </w:rPr>
        <w:t>, תשנ״ט).</w:t>
      </w:r>
    </w:p>
  </w:footnote>
  <w:footnote w:id="790">
    <w:p w14:paraId="4DE1397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ברכות י׳ ע״א.</w:t>
      </w:r>
    </w:p>
  </w:footnote>
  <w:footnote w:id="791">
    <w:p w14:paraId="5465F19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הערה 1 לעיל – </w:t>
      </w:r>
      <w:proofErr w:type="spellStart"/>
      <w:r>
        <w:rPr>
          <w:sz w:val="20"/>
          <w:szCs w:val="20"/>
          <w:rtl/>
        </w:rPr>
        <w:t>ח״ב</w:t>
      </w:r>
      <w:proofErr w:type="spellEnd"/>
      <w:r>
        <w:rPr>
          <w:sz w:val="20"/>
          <w:szCs w:val="20"/>
          <w:rtl/>
        </w:rPr>
        <w:t xml:space="preserve">, עמ׳ </w:t>
      </w:r>
      <w:proofErr w:type="spellStart"/>
      <w:r>
        <w:rPr>
          <w:sz w:val="20"/>
          <w:szCs w:val="20"/>
          <w:rtl/>
        </w:rPr>
        <w:t>רמא</w:t>
      </w:r>
      <w:proofErr w:type="spellEnd"/>
      <w:r>
        <w:rPr>
          <w:sz w:val="20"/>
          <w:szCs w:val="20"/>
          <w:rtl/>
        </w:rPr>
        <w:t xml:space="preserve"> </w:t>
      </w:r>
      <w:proofErr w:type="spellStart"/>
      <w:r>
        <w:rPr>
          <w:sz w:val="20"/>
          <w:szCs w:val="20"/>
          <w:rtl/>
        </w:rPr>
        <w:t>ו־רסג</w:t>
      </w:r>
      <w:proofErr w:type="spellEnd"/>
      <w:r>
        <w:rPr>
          <w:sz w:val="20"/>
          <w:szCs w:val="20"/>
          <w:rtl/>
        </w:rPr>
        <w:t>.</w:t>
      </w:r>
    </w:p>
  </w:footnote>
  <w:footnote w:id="792">
    <w:p w14:paraId="65F19DD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והשווה גם פרק 5, סוף הפסקה השישית בנספח ב.</w:t>
      </w:r>
    </w:p>
  </w:footnote>
  <w:footnote w:id="793">
    <w:p w14:paraId="0140601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בעמ׳ 95–96.</w:t>
      </w:r>
    </w:p>
  </w:footnote>
  <w:footnote w:id="794">
    <w:p w14:paraId="1DB28A2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 בעמ׳ 96.</w:t>
      </w:r>
    </w:p>
  </w:footnote>
  <w:footnote w:id="795">
    <w:p w14:paraId="6569C39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344.</w:t>
      </w:r>
    </w:p>
  </w:footnote>
  <w:footnote w:id="796">
    <w:p w14:paraId="2580842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797">
    <w:p w14:paraId="4E59BE1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4 לעיל – כרך 1, עמ׳ 36.</w:t>
      </w:r>
    </w:p>
  </w:footnote>
  <w:footnote w:id="798">
    <w:p w14:paraId="63DEDCA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2, עמ׳ 132 ו־146.</w:t>
      </w:r>
    </w:p>
  </w:footnote>
  <w:footnote w:id="799">
    <w:p w14:paraId="77C42AD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800">
    <w:p w14:paraId="3BAC661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188.</w:t>
      </w:r>
    </w:p>
  </w:footnote>
  <w:footnote w:id="801">
    <w:p w14:paraId="5FD4DD5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1922.</w:t>
      </w:r>
    </w:p>
  </w:footnote>
  <w:footnote w:id="802">
    <w:p w14:paraId="043D194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1, עמ׳ 99–100.</w:t>
      </w:r>
    </w:p>
  </w:footnote>
  <w:footnote w:id="803">
    <w:p w14:paraId="37002A4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זכריה יא, ז.</w:t>
      </w:r>
    </w:p>
  </w:footnote>
  <w:footnote w:id="804">
    <w:p w14:paraId="1C631CC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משלי </w:t>
      </w:r>
      <w:proofErr w:type="spellStart"/>
      <w:r>
        <w:rPr>
          <w:sz w:val="20"/>
          <w:szCs w:val="20"/>
          <w:rtl/>
        </w:rPr>
        <w:t>כא</w:t>
      </w:r>
      <w:proofErr w:type="spellEnd"/>
      <w:r>
        <w:rPr>
          <w:sz w:val="20"/>
          <w:szCs w:val="20"/>
          <w:rtl/>
        </w:rPr>
        <w:t>, א ו־כה, ג.</w:t>
      </w:r>
    </w:p>
  </w:footnote>
  <w:footnote w:id="805">
    <w:p w14:paraId="21537A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1076–תקלט.</w:t>
      </w:r>
    </w:p>
  </w:footnote>
  <w:footnote w:id="806">
    <w:p w14:paraId="1A99C32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תתקכ</w:t>
      </w:r>
      <w:proofErr w:type="spellEnd"/>
      <w:r>
        <w:rPr>
          <w:sz w:val="20"/>
          <w:szCs w:val="20"/>
          <w:rtl/>
        </w:rPr>
        <w:t>.</w:t>
      </w:r>
    </w:p>
  </w:footnote>
  <w:footnote w:id="807">
    <w:p w14:paraId="17E0F5C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תקלט.</w:t>
      </w:r>
    </w:p>
  </w:footnote>
  <w:footnote w:id="808">
    <w:p w14:paraId="142532B1"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המרחק בין </w:t>
      </w:r>
      <w:proofErr w:type="spellStart"/>
      <w:r>
        <w:rPr>
          <w:sz w:val="20"/>
          <w:szCs w:val="20"/>
          <w:rtl/>
        </w:rPr>
        <w:t>וולוז׳ין</w:t>
      </w:r>
      <w:proofErr w:type="spellEnd"/>
      <w:r>
        <w:rPr>
          <w:sz w:val="20"/>
          <w:szCs w:val="20"/>
          <w:rtl/>
        </w:rPr>
        <w:t xml:space="preserve"> למינסק הוא כשבעים קילומטר בקו אווירי.</w:t>
      </w:r>
    </w:p>
  </w:footnote>
  <w:footnote w:id="809">
    <w:p w14:paraId="2C42A79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המאמר </w:t>
      </w:r>
      <w:proofErr w:type="spellStart"/>
      <w:r>
        <w:rPr>
          <w:sz w:val="20"/>
          <w:szCs w:val="20"/>
          <w:rtl/>
        </w:rPr>
        <w:t>ב“השלח</w:t>
      </w:r>
      <w:proofErr w:type="spellEnd"/>
      <w:r>
        <w:rPr>
          <w:sz w:val="20"/>
          <w:szCs w:val="20"/>
          <w:rtl/>
        </w:rPr>
        <w:t xml:space="preserve">” משנת 1912, עמ׳ 549, על סמך מכתבו של </w:t>
      </w:r>
      <w:proofErr w:type="spellStart"/>
      <w:r>
        <w:rPr>
          <w:sz w:val="20"/>
          <w:szCs w:val="20"/>
          <w:rtl/>
        </w:rPr>
        <w:t>ליליינטל</w:t>
      </w:r>
      <w:proofErr w:type="spellEnd"/>
      <w:r>
        <w:rPr>
          <w:sz w:val="20"/>
          <w:szCs w:val="20"/>
          <w:rtl/>
        </w:rPr>
        <w:t xml:space="preserve"> המובא להלן.</w:t>
      </w:r>
    </w:p>
  </w:footnote>
  <w:footnote w:id="810">
    <w:p w14:paraId="5F49831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המאמר </w:t>
      </w:r>
      <w:proofErr w:type="spellStart"/>
      <w:r>
        <w:rPr>
          <w:sz w:val="20"/>
          <w:szCs w:val="20"/>
          <w:rtl/>
        </w:rPr>
        <w:t>ב“השלח</w:t>
      </w:r>
      <w:proofErr w:type="spellEnd"/>
      <w:r>
        <w:rPr>
          <w:sz w:val="20"/>
          <w:szCs w:val="20"/>
          <w:rtl/>
        </w:rPr>
        <w:t>” משנת 1912, עמ׳ 555.</w:t>
      </w:r>
    </w:p>
  </w:footnote>
  <w:footnote w:id="811">
    <w:p w14:paraId="2237C01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1078–1080.</w:t>
      </w:r>
    </w:p>
  </w:footnote>
  <w:footnote w:id="812">
    <w:p w14:paraId="4FD0C99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באותו זמן נהג ברוסיה הסגנון הישן, הלוח היוליאני. 13 בספטמבר 1842 לסגנון הישן מקביל ל־25 בספטמבר 1842 לסגנון החדש (הלוח הגרגוריאני), והוא כ״א בתשרי תר״ג.</w:t>
      </w:r>
    </w:p>
  </w:footnote>
  <w:footnote w:id="813">
    <w:p w14:paraId="17D23EC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מלכים ב׳ ב, </w:t>
      </w:r>
      <w:proofErr w:type="spellStart"/>
      <w:r>
        <w:rPr>
          <w:sz w:val="20"/>
          <w:szCs w:val="20"/>
          <w:rtl/>
        </w:rPr>
        <w:t>יב</w:t>
      </w:r>
      <w:proofErr w:type="spellEnd"/>
      <w:r>
        <w:rPr>
          <w:sz w:val="20"/>
          <w:szCs w:val="20"/>
          <w:rtl/>
        </w:rPr>
        <w:t>.</w:t>
      </w:r>
    </w:p>
  </w:footnote>
  <w:footnote w:id="814">
    <w:p w14:paraId="77C0515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תהלים קמט, ו.</w:t>
      </w:r>
    </w:p>
  </w:footnote>
  <w:footnote w:id="815">
    <w:p w14:paraId="27FD045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1922.</w:t>
      </w:r>
    </w:p>
  </w:footnote>
  <w:footnote w:id="816">
    <w:p w14:paraId="309B7A8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משחק מילים על שמות יד, ז.</w:t>
      </w:r>
    </w:p>
  </w:footnote>
  <w:footnote w:id="817">
    <w:p w14:paraId="57B97F5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1, עמ׳ 135–143.</w:t>
      </w:r>
    </w:p>
  </w:footnote>
  <w:footnote w:id="818">
    <w:p w14:paraId="0256F9B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138.</w:t>
      </w:r>
    </w:p>
  </w:footnote>
  <w:footnote w:id="819">
    <w:p w14:paraId="5DB66B1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140.</w:t>
      </w:r>
    </w:p>
  </w:footnote>
  <w:footnote w:id="820">
    <w:p w14:paraId="3A3674F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143.</w:t>
      </w:r>
    </w:p>
  </w:footnote>
  <w:footnote w:id="821">
    <w:p w14:paraId="5632405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ישעיה </w:t>
      </w:r>
      <w:proofErr w:type="spellStart"/>
      <w:r>
        <w:rPr>
          <w:sz w:val="20"/>
          <w:szCs w:val="20"/>
          <w:rtl/>
        </w:rPr>
        <w:t>יח</w:t>
      </w:r>
      <w:proofErr w:type="spellEnd"/>
      <w:r>
        <w:rPr>
          <w:sz w:val="20"/>
          <w:szCs w:val="20"/>
          <w:rtl/>
        </w:rPr>
        <w:t>, ז.</w:t>
      </w:r>
    </w:p>
  </w:footnote>
  <w:footnote w:id="822">
    <w:p w14:paraId="60DBE35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פסחים קי״ב ע״א.</w:t>
      </w:r>
    </w:p>
  </w:footnote>
  <w:footnote w:id="823">
    <w:p w14:paraId="6EAD32E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בכרך 2, עמ׳ 107–108.</w:t>
      </w:r>
    </w:p>
  </w:footnote>
  <w:footnote w:id="824">
    <w:p w14:paraId="0585DD6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בתארם את האורתודוקסים כינו המשכילים את מגיני האמונה “</w:t>
      </w:r>
      <w:proofErr w:type="spellStart"/>
      <w:r>
        <w:rPr>
          <w:sz w:val="20"/>
          <w:szCs w:val="20"/>
          <w:rtl/>
        </w:rPr>
        <w:t>קוזקי</w:t>
      </w:r>
      <w:proofErr w:type="spellEnd"/>
      <w:r>
        <w:rPr>
          <w:sz w:val="20"/>
          <w:szCs w:val="20"/>
          <w:rtl/>
        </w:rPr>
        <w:t xml:space="preserve"> ה׳” </w:t>
      </w:r>
      <w:proofErr w:type="spellStart"/>
      <w:r>
        <w:rPr>
          <w:sz w:val="20"/>
          <w:szCs w:val="20"/>
          <w:rtl/>
        </w:rPr>
        <w:t>ו“פרקליטי</w:t>
      </w:r>
      <w:proofErr w:type="spellEnd"/>
      <w:r>
        <w:rPr>
          <w:sz w:val="20"/>
          <w:szCs w:val="20"/>
          <w:rtl/>
        </w:rPr>
        <w:t xml:space="preserve"> השמים”.</w:t>
      </w:r>
    </w:p>
  </w:footnote>
  <w:footnote w:id="825">
    <w:p w14:paraId="7B8A544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יהודה־לייב</w:t>
      </w:r>
      <w:proofErr w:type="spellEnd"/>
      <w:r>
        <w:rPr>
          <w:sz w:val="20"/>
          <w:szCs w:val="20"/>
          <w:rtl/>
        </w:rPr>
        <w:t xml:space="preserve"> גורדון; ראה פרק 1, נספח א.</w:t>
      </w:r>
    </w:p>
  </w:footnote>
  <w:footnote w:id="826">
    <w:p w14:paraId="04CF648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ביוזמת רב </w:t>
      </w:r>
      <w:proofErr w:type="spellStart"/>
      <w:r>
        <w:rPr>
          <w:sz w:val="20"/>
          <w:szCs w:val="20"/>
          <w:rtl/>
        </w:rPr>
        <w:t>ראסיין</w:t>
      </w:r>
      <w:proofErr w:type="spellEnd"/>
      <w:r>
        <w:rPr>
          <w:sz w:val="20"/>
          <w:szCs w:val="20"/>
          <w:rtl/>
        </w:rPr>
        <w:t xml:space="preserve">, ר׳ </w:t>
      </w:r>
      <w:proofErr w:type="spellStart"/>
      <w:r>
        <w:rPr>
          <w:sz w:val="20"/>
          <w:szCs w:val="20"/>
          <w:rtl/>
        </w:rPr>
        <w:t>אלכסנדר־משה</w:t>
      </w:r>
      <w:proofErr w:type="spellEnd"/>
      <w:r>
        <w:rPr>
          <w:sz w:val="20"/>
          <w:szCs w:val="20"/>
          <w:rtl/>
        </w:rPr>
        <w:t xml:space="preserve"> לפידות, ובסיוע ר׳ יעקב הלוי ליפשיץ, נעשה “הלבנון” </w:t>
      </w:r>
      <w:proofErr w:type="spellStart"/>
      <w:r>
        <w:rPr>
          <w:sz w:val="20"/>
          <w:szCs w:val="20"/>
          <w:rtl/>
        </w:rPr>
        <w:t>לבטאונה</w:t>
      </w:r>
      <w:proofErr w:type="spellEnd"/>
      <w:r>
        <w:rPr>
          <w:sz w:val="20"/>
          <w:szCs w:val="20"/>
          <w:rtl/>
        </w:rPr>
        <w:t xml:space="preserve"> של היהדות האורתודוקסית. בשעה שנוסד, כתב עת ספרותי העוסק בנושאים שאינם חידושי תורה היה רעיון מהפכני לגמרי בחוגי הרבנים – ראה שם, עמ׳ 99–102.</w:t>
      </w:r>
    </w:p>
  </w:footnote>
  <w:footnote w:id="827">
    <w:p w14:paraId="234FA4D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עמ׳ 103. חוסר הסובלנות כלפי דעות אחרים מאפיין את היחס השורר עד ימינו בחוגים הפוליטיים והאידיאולוגיים שהולידו יורשיהם הרוחניים של המשכילים. השווה הערת שוליים </w:t>
      </w:r>
      <w:r>
        <w:rPr>
          <w:sz w:val="20"/>
          <w:szCs w:val="20"/>
          <w:rtl/>
        </w:rPr>
        <w:fldChar w:fldCharType="begin" w:dirty="true"/>
      </w:r>
      <w:r>
        <w:rPr>
          <w:sz w:val="20"/>
          <w:szCs w:val="20"/>
          <w:rtl/>
        </w:rPr>
        <w:instrText xml:space="preserve"> NOTEREF pr_f_685 \h </w:instrText>
      </w:r>
      <w:r>
        <w:rPr>
          <w:sz w:val="20"/>
          <w:szCs w:val="20"/>
          <w:rtl/>
        </w:rPr>
      </w:r>
      <w:r>
        <w:rPr>
          <w:sz w:val="20"/>
          <w:szCs w:val="20"/>
          <w:rtl/>
        </w:rPr>
        <w:fldChar w:fldCharType="separate"/>
      </w:r>
      <w:r w:rsidR="007923E9">
        <w:rPr>
          <w:sz w:val="20"/>
          <w:szCs w:val="20"/>
          <w:rtl/>
        </w:rPr>
        <w:t>316</w:t>
      </w:r>
      <w:r>
        <w:rPr>
          <w:sz w:val="20"/>
          <w:szCs w:val="20"/>
          <w:rtl/>
        </w:rPr>
        <w:fldChar w:fldCharType="end"/>
      </w:r>
      <w:r>
        <w:rPr>
          <w:sz w:val="20"/>
          <w:szCs w:val="20"/>
          <w:rtl/>
        </w:rPr>
        <w:t xml:space="preserve"> (עמ׳ </w:t>
      </w:r>
      <w:r>
        <w:rPr>
          <w:sz w:val="20"/>
          <w:szCs w:val="20"/>
          <w:rtl/>
        </w:rPr>
        <w:fldChar w:fldCharType="begin" w:dirty="true"/>
      </w:r>
      <w:r>
        <w:rPr>
          <w:sz w:val="20"/>
          <w:szCs w:val="20"/>
          <w:rtl/>
        </w:rPr>
        <w:instrText xml:space="preserve"> PAGEREF pr_f_685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בכרך זה.</w:t>
      </w:r>
    </w:p>
  </w:footnote>
  <w:footnote w:id="828">
    <w:p w14:paraId="4174CA1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זכה לכיבוד הגדול ביותר: הוא נקרא לתורה כחתן תורה. הוא כותב: “אחר סיום התורה, כשקראו כולם ‘חזק!’, התחזקתי והייתי לאיש ושתיתי עמהם בטוב לב. כשראו שרוקנתי את כלי </w:t>
      </w:r>
      <w:proofErr w:type="spellStart"/>
      <w:r>
        <w:rPr>
          <w:sz w:val="20"/>
          <w:szCs w:val="20"/>
          <w:rtl/>
        </w:rPr>
        <w:t>היי״ש</w:t>
      </w:r>
      <w:proofErr w:type="spellEnd"/>
      <w:r>
        <w:rPr>
          <w:sz w:val="20"/>
          <w:szCs w:val="20"/>
          <w:rtl/>
        </w:rPr>
        <w:t xml:space="preserve"> הגדול שהעמידו לפניי, שמחו מאוד לפניי; הארץ רעשה מקולם כשקראו: ‘אחינו בשרנו אתה’.”</w:t>
      </w:r>
    </w:p>
    <w:p w14:paraId="3879AE58" w14:textId="77777777" w:rsidR="00AB3647" w:rsidRDefault="00000000">
      <w:pPr>
        <w:spacing w:after="0" w:before="0"/>
        <w:jc w:val="both"/>
      </w:pPr>
      <w:r>
        <w:rPr>
          <w:sz w:val="20"/>
          <w:szCs w:val="20"/>
          <w:rtl/>
        </w:rPr>
        <w:t xml:space="preserve">לא יהיה זה מפתיע אם החסידים – שבדרך כלל מעורים בערכי רביהם יותר משהמתנגדים מעורים בערכי רבניהם – ידעו היטב מה חשב האדמו״ר </w:t>
      </w:r>
      <w:proofErr w:type="spellStart"/>
      <w:r>
        <w:rPr>
          <w:sz w:val="20"/>
          <w:szCs w:val="20"/>
          <w:rtl/>
        </w:rPr>
        <w:t>מליובאוויטש</w:t>
      </w:r>
      <w:proofErr w:type="spellEnd"/>
      <w:r>
        <w:rPr>
          <w:sz w:val="20"/>
          <w:szCs w:val="20"/>
          <w:rtl/>
        </w:rPr>
        <w:t xml:space="preserve"> על </w:t>
      </w:r>
      <w:proofErr w:type="spellStart"/>
      <w:r>
        <w:rPr>
          <w:sz w:val="20"/>
          <w:szCs w:val="20"/>
          <w:rtl/>
        </w:rPr>
        <w:t>ליליינטל</w:t>
      </w:r>
      <w:proofErr w:type="spellEnd"/>
      <w:r>
        <w:rPr>
          <w:sz w:val="20"/>
          <w:szCs w:val="20"/>
          <w:rtl/>
        </w:rPr>
        <w:t xml:space="preserve"> ועל שליחותו (כמתואר בסוף הפסקה השישית לעיל), וחותמת האישור שנראה כאילו נתן בו לאחרונה המתנגד ר׳ </w:t>
      </w:r>
      <w:proofErr w:type="spellStart"/>
      <w:r>
        <w:rPr>
          <w:sz w:val="20"/>
          <w:szCs w:val="20"/>
          <w:rtl/>
        </w:rPr>
        <w:t>איצל׳ה</w:t>
      </w:r>
      <w:proofErr w:type="spellEnd"/>
      <w:r>
        <w:rPr>
          <w:sz w:val="20"/>
          <w:szCs w:val="20"/>
          <w:rtl/>
        </w:rPr>
        <w:t xml:space="preserve"> </w:t>
      </w:r>
      <w:proofErr w:type="spellStart"/>
      <w:r>
        <w:rPr>
          <w:sz w:val="20"/>
          <w:szCs w:val="20"/>
          <w:rtl/>
        </w:rPr>
        <w:t>מוולוז׳ין</w:t>
      </w:r>
      <w:proofErr w:type="spellEnd"/>
      <w:r>
        <w:rPr>
          <w:sz w:val="20"/>
          <w:szCs w:val="20"/>
          <w:rtl/>
        </w:rPr>
        <w:t xml:space="preserve"> לא הועילה הרבה בעיניהם. לא היה בכוחם לצאת נגד החברה הדתית הכללית ולפגוע </w:t>
      </w:r>
      <w:proofErr w:type="spellStart"/>
      <w:r>
        <w:rPr>
          <w:sz w:val="20"/>
          <w:szCs w:val="20"/>
          <w:rtl/>
        </w:rPr>
        <w:t>בליליינטל</w:t>
      </w:r>
      <w:proofErr w:type="spellEnd"/>
      <w:r>
        <w:rPr>
          <w:sz w:val="20"/>
          <w:szCs w:val="20"/>
          <w:rtl/>
        </w:rPr>
        <w:t xml:space="preserve"> בגלוי. הם נאלצו לחלוק לו כבוד מופלג, אף שהיה נבזה בעיניהם. אפשר </w:t>
      </w:r>
      <w:proofErr w:type="spellStart"/>
      <w:r>
        <w:rPr>
          <w:sz w:val="20"/>
          <w:szCs w:val="20"/>
          <w:rtl/>
        </w:rPr>
        <w:t>ש“השמחה</w:t>
      </w:r>
      <w:proofErr w:type="spellEnd"/>
      <w:r>
        <w:rPr>
          <w:sz w:val="20"/>
          <w:szCs w:val="20"/>
          <w:rtl/>
        </w:rPr>
        <w:t xml:space="preserve"> הגדולה לפניו” שלהם, אחרי שהצליחו להשקותו יי״ש בדרך “גברית” ביומו האחרון בעירם, הייתה מעין לעג שהשקפתו </w:t>
      </w:r>
      <w:proofErr w:type="spellStart"/>
      <w:r>
        <w:rPr>
          <w:sz w:val="20"/>
          <w:szCs w:val="20"/>
          <w:rtl/>
        </w:rPr>
        <w:t>המערב־אירופית</w:t>
      </w:r>
      <w:proofErr w:type="spellEnd"/>
      <w:r>
        <w:rPr>
          <w:sz w:val="20"/>
          <w:szCs w:val="20"/>
          <w:rtl/>
        </w:rPr>
        <w:t xml:space="preserve"> לא תפסה. הוא לא הבין שהביטוי המקראי שבו בחרו “להרעיד את הארץ” הוא הביטוי ששימש את אחי יוסף כשהחליטו להיפטר ממנו (במכירתו לעבדות במצרים – בראשית </w:t>
      </w:r>
      <w:proofErr w:type="spellStart"/>
      <w:r>
        <w:rPr>
          <w:sz w:val="20"/>
          <w:szCs w:val="20"/>
          <w:rtl/>
        </w:rPr>
        <w:t>לז</w:t>
      </w:r>
      <w:proofErr w:type="spellEnd"/>
      <w:r>
        <w:rPr>
          <w:sz w:val="20"/>
          <w:szCs w:val="20"/>
          <w:rtl/>
        </w:rPr>
        <w:t xml:space="preserve">, </w:t>
      </w:r>
      <w:proofErr w:type="spellStart"/>
      <w:r>
        <w:rPr>
          <w:sz w:val="20"/>
          <w:szCs w:val="20"/>
          <w:rtl/>
        </w:rPr>
        <w:t>כז</w:t>
      </w:r>
      <w:proofErr w:type="spellEnd"/>
      <w:r>
        <w:rPr>
          <w:sz w:val="20"/>
          <w:szCs w:val="20"/>
          <w:rtl/>
        </w:rPr>
        <w:t>), כשם שמינסק נפטרה ממנו סוף סוף באותו יום, יומו השמיני והאחרון בעיר.</w:t>
      </w:r>
    </w:p>
    <w:p w14:paraId="2F224594" w14:textId="77777777" w:rsidR="00AB3647" w:rsidRDefault="00000000">
      <w:pPr>
        <w:spacing w:after="0" w:before="0"/>
        <w:jc w:val="both"/>
      </w:pPr>
      <w:r>
        <w:rPr>
          <w:sz w:val="20"/>
          <w:szCs w:val="20"/>
          <w:rtl/>
        </w:rPr>
        <w:t xml:space="preserve">ומי יודע אם מחלת הקיבה שלקה בה ביומו השלישי במינסק (ראה להלן ובפסקה </w:t>
      </w:r>
      <w:proofErr w:type="spellStart"/>
      <w:r>
        <w:rPr>
          <w:sz w:val="20"/>
          <w:szCs w:val="20"/>
          <w:rtl/>
        </w:rPr>
        <w:t>הארבע־עשרה</w:t>
      </w:r>
      <w:proofErr w:type="spellEnd"/>
      <w:r>
        <w:rPr>
          <w:sz w:val="20"/>
          <w:szCs w:val="20"/>
          <w:rtl/>
        </w:rPr>
        <w:t>), שהייתה חמורה כל כך עד שאחזה בו לפחות עשרה ימים, לא הייתה תוצאה של ניסיון מכוון להרעילו, כשם שאחי יוסף זממו להמיתו לפני שהגיעו לטענה שהוא “אחיהם, בשרם” והחליטו להיפטר ממנו בדרך עדינה יותר? אפשר שקנאי כלשהו חשב שמוות בהרעלה הוא סוף ראוי למי שהוחרם בעירם שמונה ימים קודם לכן – ראה הפסקה השמינית לעיל.</w:t>
      </w:r>
    </w:p>
  </w:footnote>
  <w:footnote w:id="829">
    <w:p w14:paraId="50D40FE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בהערת השוליים הקודמת שוער שמישהו הטיל רעל במשקה ששתה באספה זו.</w:t>
      </w:r>
    </w:p>
  </w:footnote>
  <w:footnote w:id="830">
    <w:p w14:paraId="727352F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שני הימים, החלים ביום חמישי וביום שישי, הם שני התאריכים האפשריים של בואו </w:t>
      </w:r>
      <w:proofErr w:type="spellStart"/>
      <w:r>
        <w:rPr>
          <w:sz w:val="20"/>
          <w:szCs w:val="20"/>
          <w:rtl/>
        </w:rPr>
        <w:t>לגרודנא</w:t>
      </w:r>
      <w:proofErr w:type="spellEnd"/>
      <w:r>
        <w:rPr>
          <w:sz w:val="20"/>
          <w:szCs w:val="20"/>
          <w:rtl/>
        </w:rPr>
        <w:t xml:space="preserve">. אולם בפסקה </w:t>
      </w:r>
      <w:proofErr w:type="spellStart"/>
      <w:r>
        <w:rPr>
          <w:sz w:val="20"/>
          <w:szCs w:val="20"/>
          <w:rtl/>
        </w:rPr>
        <w:t>החמש־עשרה</w:t>
      </w:r>
      <w:proofErr w:type="spellEnd"/>
      <w:r>
        <w:rPr>
          <w:sz w:val="20"/>
          <w:szCs w:val="20"/>
          <w:rtl/>
        </w:rPr>
        <w:t xml:space="preserve"> להלן נוכיח שסיים את המכתב </w:t>
      </w:r>
      <w:r>
        <w:rPr>
          <w:b/>
          <w:bCs/>
          <w:sz w:val="20"/>
          <w:szCs w:val="20"/>
          <w:rtl/>
        </w:rPr>
        <w:t>בשבת קודש</w:t>
      </w:r>
      <w:r>
        <w:rPr>
          <w:sz w:val="20"/>
          <w:szCs w:val="20"/>
          <w:rtl/>
        </w:rPr>
        <w:t xml:space="preserve"> (19 בספטמבר)!</w:t>
      </w:r>
    </w:p>
  </w:footnote>
  <w:footnote w:id="831">
    <w:p w14:paraId="4D43524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95.</w:t>
      </w:r>
    </w:p>
  </w:footnote>
  <w:footnote w:id="832">
    <w:p w14:paraId="2AB7772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73.</w:t>
      </w:r>
    </w:p>
  </w:footnote>
  <w:footnote w:id="833">
    <w:p w14:paraId="5B640B4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92 (מתוך מכתבים אישיים, עמ׳ 20).</w:t>
      </w:r>
    </w:p>
  </w:footnote>
  <w:footnote w:id="834">
    <w:p w14:paraId="2812A93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ליליינטל</w:t>
      </w:r>
      <w:proofErr w:type="spellEnd"/>
      <w:r>
        <w:rPr>
          <w:sz w:val="20"/>
          <w:szCs w:val="20"/>
          <w:rtl/>
        </w:rPr>
        <w:t xml:space="preserve"> הרבה יתר על המידה לרשום ולפרסם ביומנו את רשמיו ממראה הנשים שפגש (השווה, למשל, עמ׳ 274 </w:t>
      </w:r>
      <w:proofErr w:type="spellStart"/>
      <w:r>
        <w:rPr>
          <w:sz w:val="20"/>
          <w:szCs w:val="20"/>
          <w:rtl/>
        </w:rPr>
        <w:t>בפיליפסון</w:t>
      </w:r>
      <w:proofErr w:type="spellEnd"/>
      <w:r>
        <w:rPr>
          <w:sz w:val="20"/>
          <w:szCs w:val="20"/>
          <w:rtl/>
        </w:rPr>
        <w:t xml:space="preserve">). אבל אני חושד שלא הייתה זו עוד חולשת אופי של </w:t>
      </w:r>
      <w:proofErr w:type="spellStart"/>
      <w:r>
        <w:rPr>
          <w:sz w:val="20"/>
          <w:szCs w:val="20"/>
          <w:rtl/>
        </w:rPr>
        <w:t>ליליינטל</w:t>
      </w:r>
      <w:proofErr w:type="spellEnd"/>
      <w:r>
        <w:rPr>
          <w:sz w:val="20"/>
          <w:szCs w:val="20"/>
          <w:rtl/>
        </w:rPr>
        <w:t xml:space="preserve">, אלא תכונה של כל חברת הסלונים הגרמנית. גם רבנים אורתודוקסים גרמנים קדושים, ששימשו כעבור 75 שנה רבנים צבאיים של הצבא הגרמני בפולין במלחמת העולם הראשונה, הואשמו בידי מחבר </w:t>
      </w:r>
      <w:proofErr w:type="spellStart"/>
      <w:r>
        <w:rPr>
          <w:sz w:val="20"/>
          <w:szCs w:val="20"/>
          <w:rtl/>
        </w:rPr>
        <w:t>מביאליסטוק</w:t>
      </w:r>
      <w:proofErr w:type="spellEnd"/>
      <w:r>
        <w:rPr>
          <w:sz w:val="20"/>
          <w:szCs w:val="20"/>
          <w:rtl/>
        </w:rPr>
        <w:t xml:space="preserve"> </w:t>
      </w:r>
      <w:proofErr w:type="spellStart"/>
      <w:r>
        <w:rPr>
          <w:sz w:val="20"/>
          <w:szCs w:val="20"/>
          <w:rtl/>
        </w:rPr>
        <w:t>ש“העדיפו</w:t>
      </w:r>
      <w:proofErr w:type="spellEnd"/>
      <w:r>
        <w:rPr>
          <w:sz w:val="20"/>
          <w:szCs w:val="20"/>
          <w:rtl/>
        </w:rPr>
        <w:t xml:space="preserve"> את חברת הנשים על פני חברת חברי ועד הקהל”. ראה “פנקס </w:t>
      </w:r>
      <w:proofErr w:type="spellStart"/>
      <w:r>
        <w:rPr>
          <w:sz w:val="20"/>
          <w:szCs w:val="20"/>
          <w:rtl/>
        </w:rPr>
        <w:t>ביאליסטאק</w:t>
      </w:r>
      <w:proofErr w:type="spellEnd"/>
      <w:r>
        <w:rPr>
          <w:sz w:val="20"/>
          <w:szCs w:val="20"/>
          <w:rtl/>
        </w:rPr>
        <w:t xml:space="preserve">”, ספר שכתב א.ש. </w:t>
      </w:r>
      <w:proofErr w:type="spellStart"/>
      <w:r>
        <w:rPr>
          <w:sz w:val="20"/>
          <w:szCs w:val="20"/>
          <w:rtl/>
        </w:rPr>
        <w:t>הערשבערג</w:t>
      </w:r>
      <w:proofErr w:type="spellEnd"/>
      <w:r>
        <w:rPr>
          <w:sz w:val="20"/>
          <w:szCs w:val="20"/>
          <w:rtl/>
        </w:rPr>
        <w:t xml:space="preserve"> (נולד בשנת 1860, ונספה בשואה), כרך ב, עמ׳ 197.</w:t>
      </w:r>
    </w:p>
    <w:p w14:paraId="6EF39DAA" w14:textId="77777777" w:rsidR="00AB3647" w:rsidRDefault="00000000">
      <w:pPr>
        <w:spacing w:after="0" w:before="0"/>
        <w:jc w:val="both"/>
      </w:pPr>
      <w:r>
        <w:rPr>
          <w:sz w:val="20"/>
          <w:szCs w:val="20"/>
          <w:rtl/>
        </w:rPr>
        <w:t xml:space="preserve">אזהרה: העורך יודל מארק כותב בהקדמה </w:t>
      </w:r>
      <w:proofErr w:type="spellStart"/>
      <w:r>
        <w:rPr>
          <w:sz w:val="20"/>
          <w:szCs w:val="20"/>
          <w:rtl/>
        </w:rPr>
        <w:t>ל“פנקס</w:t>
      </w:r>
      <w:proofErr w:type="spellEnd"/>
      <w:r>
        <w:rPr>
          <w:sz w:val="20"/>
          <w:szCs w:val="20"/>
          <w:rtl/>
        </w:rPr>
        <w:t xml:space="preserve"> </w:t>
      </w:r>
      <w:proofErr w:type="spellStart"/>
      <w:r>
        <w:rPr>
          <w:sz w:val="20"/>
          <w:szCs w:val="20"/>
          <w:rtl/>
        </w:rPr>
        <w:t>ביאליסטאק</w:t>
      </w:r>
      <w:proofErr w:type="spellEnd"/>
      <w:r>
        <w:rPr>
          <w:sz w:val="20"/>
          <w:szCs w:val="20"/>
          <w:rtl/>
        </w:rPr>
        <w:t xml:space="preserve">” (בתרגום מיידיש): “חיבור זה אינו... נקי מצביעה חד־צדדית וסובייקטיבית בעליל.” </w:t>
      </w:r>
      <w:proofErr w:type="spellStart"/>
      <w:r>
        <w:rPr>
          <w:sz w:val="20"/>
          <w:szCs w:val="20"/>
          <w:rtl/>
        </w:rPr>
        <w:t>הערשבערג</w:t>
      </w:r>
      <w:proofErr w:type="spellEnd"/>
      <w:r>
        <w:rPr>
          <w:sz w:val="20"/>
          <w:szCs w:val="20"/>
          <w:rtl/>
        </w:rPr>
        <w:t>, המאשים, היה בעצמו מן החברים המארגנים של ועד הקהל, כמובא שם, עמ׳ 228 ו־232, והיה ממורמר על שהרבנים הצבאיים לא נתנו דעתם די הצורך לוועד שלו.</w:t>
      </w:r>
    </w:p>
  </w:footnote>
  <w:footnote w:id="835">
    <w:p w14:paraId="12F4836A" w14:textId="77777777" w:rsidR="00AB3647" w:rsidRDefault="00000000">
      <w:pPr>
        <w:spacing w:after="0" w:before="0"/>
        <w:jc w:val="both"/>
      </w:pPr>
      <w:r>
        <w:rPr>
          <w:rStyle w:val="a5"/>
          <w:vertAlign w:val="superscript"/>
          <w:rtl/>
        </w:rPr>
        <w:footnoteRef/>
      </w:r>
      <w:r>
        <w:rPr>
          <w:sz w:val="20"/>
          <w:szCs w:val="20"/>
        </w:rPr>
        <w:t xml:space="preserve"> </w:t>
      </w:r>
      <w:r>
        <w:rPr>
          <w:sz w:val="20"/>
          <w:szCs w:val="20"/>
          <w:rtl/>
        </w:rPr>
        <w:t xml:space="preserve">הערת המתרגם לעניין שנת לידתו של </w:t>
      </w:r>
      <w:proofErr w:type="spellStart"/>
      <w:r>
        <w:rPr>
          <w:sz w:val="20"/>
          <w:szCs w:val="20"/>
          <w:rtl/>
        </w:rPr>
        <w:t>הערשבערג</w:t>
      </w:r>
      <w:proofErr w:type="spellEnd"/>
      <w:r>
        <w:rPr>
          <w:sz w:val="20"/>
          <w:szCs w:val="20"/>
          <w:rtl/>
        </w:rPr>
        <w:t xml:space="preserve">: כך בהקדמה </w:t>
      </w:r>
      <w:proofErr w:type="spellStart"/>
      <w:r>
        <w:rPr>
          <w:sz w:val="20"/>
          <w:szCs w:val="20"/>
          <w:rtl/>
        </w:rPr>
        <w:t>ל“פנקס</w:t>
      </w:r>
      <w:proofErr w:type="spellEnd"/>
      <w:r>
        <w:rPr>
          <w:sz w:val="20"/>
          <w:szCs w:val="20"/>
          <w:rtl/>
        </w:rPr>
        <w:t xml:space="preserve"> </w:t>
      </w:r>
      <w:proofErr w:type="spellStart"/>
      <w:r>
        <w:rPr>
          <w:sz w:val="20"/>
          <w:szCs w:val="20"/>
          <w:rtl/>
        </w:rPr>
        <w:t>ביאליסטאק</w:t>
      </w:r>
      <w:proofErr w:type="spellEnd"/>
      <w:r>
        <w:rPr>
          <w:sz w:val="20"/>
          <w:szCs w:val="20"/>
          <w:rtl/>
        </w:rPr>
        <w:t xml:space="preserve">”; לפי אנציקלופדיה יודאיקה ומקורות אחרים נולד </w:t>
      </w:r>
      <w:proofErr w:type="spellStart"/>
      <w:r>
        <w:rPr>
          <w:sz w:val="20"/>
          <w:szCs w:val="20"/>
          <w:rtl/>
        </w:rPr>
        <w:t>הערשבערג</w:t>
      </w:r>
      <w:proofErr w:type="spellEnd"/>
      <w:r>
        <w:rPr>
          <w:sz w:val="20"/>
          <w:szCs w:val="20"/>
          <w:rtl/>
        </w:rPr>
        <w:t xml:space="preserve"> בכ״ב בטבת תרי״ט (29 בדצמבר 1858).</w:t>
      </w:r>
    </w:p>
  </w:footnote>
  <w:footnote w:id="836">
    <w:p w14:paraId="4962285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אין לומר </w:t>
      </w:r>
      <w:proofErr w:type="spellStart"/>
      <w:r>
        <w:rPr>
          <w:sz w:val="20"/>
          <w:szCs w:val="20"/>
          <w:rtl/>
        </w:rPr>
        <w:t>שליליינטל</w:t>
      </w:r>
      <w:proofErr w:type="spellEnd"/>
      <w:r>
        <w:rPr>
          <w:sz w:val="20"/>
          <w:szCs w:val="20"/>
          <w:rtl/>
        </w:rPr>
        <w:t xml:space="preserve"> התכוון למוצאי שבת של השבוע שלאחר מכן, שהרי לא היה לו שום טעם לשהות במקום אחד שבוע ימים, בפרט אחרי העיכוב הארוך שגרמה לו מחלת קיבתו. אפשר </w:t>
      </w:r>
      <w:proofErr w:type="spellStart"/>
      <w:r>
        <w:rPr>
          <w:sz w:val="20"/>
          <w:szCs w:val="20"/>
          <w:rtl/>
        </w:rPr>
        <w:t>שצינוביץ</w:t>
      </w:r>
      <w:proofErr w:type="spellEnd"/>
      <w:r>
        <w:rPr>
          <w:sz w:val="20"/>
          <w:szCs w:val="20"/>
          <w:rtl/>
        </w:rPr>
        <w:t xml:space="preserve">, “עץ חיים”, עמ׳ 189, מנסה לרמוז לכך כשהוא </w:t>
      </w:r>
      <w:r>
        <w:rPr>
          <w:b/>
          <w:bCs/>
          <w:sz w:val="20"/>
          <w:szCs w:val="20"/>
          <w:rtl/>
        </w:rPr>
        <w:t>מוסיף</w:t>
      </w:r>
      <w:r>
        <w:rPr>
          <w:sz w:val="20"/>
          <w:szCs w:val="20"/>
          <w:rtl/>
        </w:rPr>
        <w:t xml:space="preserve"> את המילה “הבא” אחרי המילים “במוצאי שבת” בהביאו מכתב זה.</w:t>
      </w:r>
    </w:p>
  </w:footnote>
  <w:footnote w:id="837">
    <w:p w14:paraId="55B2593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549.</w:t>
      </w:r>
    </w:p>
  </w:footnote>
  <w:footnote w:id="838">
    <w:p w14:paraId="3616458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עצירות אלה הוזכרו לעיל, בתחילת הפסקה </w:t>
      </w:r>
      <w:proofErr w:type="spellStart"/>
      <w:r>
        <w:rPr>
          <w:sz w:val="20"/>
          <w:szCs w:val="20"/>
          <w:rtl/>
        </w:rPr>
        <w:t>השתים־עשרה</w:t>
      </w:r>
      <w:proofErr w:type="spellEnd"/>
      <w:r>
        <w:rPr>
          <w:sz w:val="20"/>
          <w:szCs w:val="20"/>
          <w:rtl/>
        </w:rPr>
        <w:t xml:space="preserve"> שלנו. ראה גם בפסקה </w:t>
      </w:r>
      <w:proofErr w:type="spellStart"/>
      <w:r>
        <w:rPr>
          <w:sz w:val="20"/>
          <w:szCs w:val="20"/>
          <w:rtl/>
        </w:rPr>
        <w:t>הארבע־עשרה</w:t>
      </w:r>
      <w:proofErr w:type="spellEnd"/>
      <w:r>
        <w:rPr>
          <w:sz w:val="20"/>
          <w:szCs w:val="20"/>
          <w:rtl/>
        </w:rPr>
        <w:t xml:space="preserve"> לעיל: לפני שחלה </w:t>
      </w:r>
      <w:proofErr w:type="spellStart"/>
      <w:r>
        <w:rPr>
          <w:sz w:val="20"/>
          <w:szCs w:val="20"/>
          <w:rtl/>
        </w:rPr>
        <w:t>ליליינטל</w:t>
      </w:r>
      <w:proofErr w:type="spellEnd"/>
      <w:r>
        <w:rPr>
          <w:sz w:val="20"/>
          <w:szCs w:val="20"/>
          <w:rtl/>
        </w:rPr>
        <w:t xml:space="preserve"> בקיבתו תכנן לצאת ממינסק למחרת האספה שלו שם, כלומר ביום חמישי בבוקר (9 בספטמבר) של חול המועד, וציפה להיות </w:t>
      </w:r>
      <w:proofErr w:type="spellStart"/>
      <w:r>
        <w:rPr>
          <w:sz w:val="20"/>
          <w:szCs w:val="20"/>
          <w:rtl/>
        </w:rPr>
        <w:t>בגרודנא</w:t>
      </w:r>
      <w:proofErr w:type="spellEnd"/>
      <w:r>
        <w:rPr>
          <w:sz w:val="20"/>
          <w:szCs w:val="20"/>
          <w:rtl/>
        </w:rPr>
        <w:t xml:space="preserve"> לא יאוחר מבין השמשות של יום שישי (10 בספטמבר) – בסך הכול כ־36 שעות נסיעה. עכשיו, משיצא ממינסק ביום שלישי שלאחר מכן בשעת לילה מאוחרת (“מוצאי יום טוב”, 15 בספטמבר, כמובא בפסקה </w:t>
      </w:r>
      <w:proofErr w:type="spellStart"/>
      <w:r>
        <w:rPr>
          <w:sz w:val="20"/>
          <w:szCs w:val="20"/>
          <w:rtl/>
        </w:rPr>
        <w:t>השלוש־עשרה</w:t>
      </w:r>
      <w:proofErr w:type="spellEnd"/>
      <w:r>
        <w:rPr>
          <w:sz w:val="20"/>
          <w:szCs w:val="20"/>
          <w:rtl/>
        </w:rPr>
        <w:t xml:space="preserve"> לעיל מפסקה 6 של מכתבו), יש להניח שהיה לו די זמן – כולל הזמן לשתי העצירות – להגיע </w:t>
      </w:r>
      <w:proofErr w:type="spellStart"/>
      <w:r>
        <w:rPr>
          <w:sz w:val="20"/>
          <w:szCs w:val="20"/>
          <w:rtl/>
        </w:rPr>
        <w:t>לגרודנא</w:t>
      </w:r>
      <w:proofErr w:type="spellEnd"/>
      <w:r>
        <w:rPr>
          <w:sz w:val="20"/>
          <w:szCs w:val="20"/>
          <w:rtl/>
        </w:rPr>
        <w:t xml:space="preserve"> עד יום חמישי בערב (17 בספטמבר), כעבור כ־46 שעות.</w:t>
      </w:r>
    </w:p>
  </w:footnote>
  <w:footnote w:id="839">
    <w:p w14:paraId="0F758FF4" w14:textId="77777777" w:rsidR="00AB3647" w:rsidRDefault="00000000">
      <w:pPr>
        <w:spacing w:after="0" w:before="0"/>
        <w:jc w:val="both"/>
      </w:pPr>
      <w:r>
        <w:rPr>
          <w:rStyle w:val="a5"/>
          <w:vertAlign w:val="superscript"/>
          <w:rtl/>
        </w:rPr>
        <w:footnoteRef/>
      </w:r>
      <w:r>
        <w:rPr>
          <w:sz w:val="20"/>
          <w:szCs w:val="20"/>
        </w:rPr>
        <w:t xml:space="preserve"> </w:t>
      </w:r>
      <w:r>
        <w:rPr>
          <w:sz w:val="20"/>
          <w:szCs w:val="20"/>
          <w:rtl/>
        </w:rPr>
        <w:t xml:space="preserve">הערת המתרגם לעניין תאריכי הנסיעה ממינסק </w:t>
      </w:r>
      <w:proofErr w:type="spellStart"/>
      <w:r>
        <w:rPr>
          <w:sz w:val="20"/>
          <w:szCs w:val="20"/>
          <w:rtl/>
        </w:rPr>
        <w:t>לגרודנא</w:t>
      </w:r>
      <w:proofErr w:type="spellEnd"/>
      <w:r>
        <w:rPr>
          <w:sz w:val="20"/>
          <w:szCs w:val="20"/>
          <w:rtl/>
        </w:rPr>
        <w:t>: לפי שאר התאריכים בנספח (הושענא רבה – 13 בספטמבר; יום שלישי, מוצאי יום טוב – 15 בספטמבר; מוצאי שבת – 19 בספטמבר), יום חמישי של חול המועד חל ב־10 בספטמבר ויום שישי ב־11 בספטמבר.</w:t>
      </w:r>
    </w:p>
  </w:footnote>
  <w:footnote w:id="840">
    <w:p w14:paraId="2C20438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שיצאה לאור בלייפציג, כאמור לעיל בפסקה החמישית – עמ׳ 10.</w:t>
      </w:r>
    </w:p>
  </w:footnote>
  <w:footnote w:id="841">
    <w:p w14:paraId="6CCC761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548.</w:t>
      </w:r>
    </w:p>
  </w:footnote>
  <w:footnote w:id="842">
    <w:p w14:paraId="7ADBA34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“מגיד אמת” הגזים בתיאור הפגנת החסידות הצבועה של </w:t>
      </w:r>
      <w:proofErr w:type="spellStart"/>
      <w:r>
        <w:rPr>
          <w:sz w:val="20"/>
          <w:szCs w:val="20"/>
          <w:rtl/>
        </w:rPr>
        <w:t>ליליינטל</w:t>
      </w:r>
      <w:proofErr w:type="spellEnd"/>
      <w:r>
        <w:rPr>
          <w:sz w:val="20"/>
          <w:szCs w:val="20"/>
          <w:rtl/>
        </w:rPr>
        <w:t xml:space="preserve"> בווילנה, שהרי בערב יום הכיפורים, כשעושים את מנהגי הכפרות והמלקות, כבר היה </w:t>
      </w:r>
      <w:proofErr w:type="spellStart"/>
      <w:r>
        <w:rPr>
          <w:sz w:val="20"/>
          <w:szCs w:val="20"/>
          <w:rtl/>
        </w:rPr>
        <w:t>בוולוז׳ין</w:t>
      </w:r>
      <w:proofErr w:type="spellEnd"/>
      <w:r>
        <w:rPr>
          <w:sz w:val="20"/>
          <w:szCs w:val="20"/>
          <w:rtl/>
        </w:rPr>
        <w:t xml:space="preserve">. אבל לא יהיה זה מפתיע אם התחזה ליהודי מדקדק במצוות גם </w:t>
      </w:r>
      <w:proofErr w:type="spellStart"/>
      <w:r>
        <w:rPr>
          <w:sz w:val="20"/>
          <w:szCs w:val="20"/>
          <w:rtl/>
        </w:rPr>
        <w:t>בוולוז׳ין</w:t>
      </w:r>
      <w:proofErr w:type="spellEnd"/>
      <w:r>
        <w:rPr>
          <w:sz w:val="20"/>
          <w:szCs w:val="20"/>
          <w:rtl/>
        </w:rPr>
        <w:t>.</w:t>
      </w:r>
    </w:p>
  </w:footnote>
  <w:footnote w:id="843">
    <w:p w14:paraId="5713C0E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הרב אהרן </w:t>
      </w:r>
      <w:proofErr w:type="spellStart"/>
      <w:r>
        <w:rPr>
          <w:rStyle w:val="a5"/>
          <w:sz w:val="20"/>
          <w:szCs w:val="20"/>
          <w:vertAlign w:val="baseline"/>
          <w:rtl/>
        </w:rPr>
        <w:t>סולובייצ׳יק</w:t>
      </w:r>
      <w:proofErr w:type="spellEnd"/>
      <w:r>
        <w:rPr>
          <w:rStyle w:val="a5"/>
          <w:sz w:val="20"/>
          <w:szCs w:val="20"/>
          <w:vertAlign w:val="baseline"/>
          <w:rtl/>
        </w:rPr>
        <w:t xml:space="preserve"> – ראה הערת שוליים </w:t>
      </w:r>
      <w:r>
        <w:rPr>
          <w:rStyle w:val="a5"/>
          <w:sz w:val="20"/>
          <w:szCs w:val="20"/>
          <w:vertAlign w:val="baseline"/>
          <w:rtl/>
        </w:rPr>
        <w:fldChar w:fldCharType="begin" w:dirty="true"/>
      </w:r>
      <w:r>
        <w:rPr>
          <w:rStyle w:val="a5"/>
          <w:sz w:val="20"/>
          <w:szCs w:val="20"/>
          <w:vertAlign w:val="baseline"/>
          <w:rtl/>
        </w:rPr>
        <w:instrText xml:space="preserve"> NOTEREF pr_f_710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341</w:t>
      </w:r>
      <w:r>
        <w:rPr>
          <w:rStyle w:val="a5"/>
          <w:sz w:val="20"/>
          <w:szCs w:val="20"/>
          <w:vertAlign w:val="baseline"/>
          <w:rtl/>
        </w:rPr>
        <w:fldChar w:fldCharType="end"/>
      </w:r>
      <w:r>
        <w:rPr>
          <w:rStyle w:val="a5"/>
          <w:sz w:val="20"/>
          <w:szCs w:val="20"/>
          <w:vertAlign w:val="baseline"/>
          <w:rtl/>
        </w:rPr>
        <w:t xml:space="preserve"> (עמ׳ </w:t>
      </w:r>
      <w:r>
        <w:rPr>
          <w:rStyle w:val="a5"/>
          <w:sz w:val="20"/>
          <w:szCs w:val="20"/>
          <w:vertAlign w:val="baseline"/>
          <w:rtl/>
        </w:rPr>
        <w:fldChar w:fldCharType="begin" w:dirty="true"/>
      </w:r>
      <w:r>
        <w:rPr>
          <w:rStyle w:val="a5"/>
          <w:sz w:val="20"/>
          <w:szCs w:val="20"/>
          <w:vertAlign w:val="baseline"/>
          <w:rtl/>
        </w:rPr>
        <w:instrText xml:space="preserve"> PAGEREF pr_f_710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 – סיים: “תכשיט של ממש היה!”</w:t>
      </w:r>
    </w:p>
  </w:footnote>
  <w:footnote w:id="844">
    <w:p w14:paraId="2BDCE76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כמובא לעיל, בפסקה השמינית, </w:t>
      </w:r>
      <w:proofErr w:type="spellStart"/>
      <w:r>
        <w:rPr>
          <w:sz w:val="20"/>
          <w:szCs w:val="20"/>
          <w:rtl/>
        </w:rPr>
        <w:t>מ“מקור</w:t>
      </w:r>
      <w:proofErr w:type="spellEnd"/>
      <w:r>
        <w:rPr>
          <w:sz w:val="20"/>
          <w:szCs w:val="20"/>
          <w:rtl/>
        </w:rPr>
        <w:t xml:space="preserve"> ברוך”, עמ׳ תקלח.</w:t>
      </w:r>
    </w:p>
  </w:footnote>
  <w:footnote w:id="845">
    <w:p w14:paraId="54A5B00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עמ׳ </w:t>
      </w:r>
      <w:proofErr w:type="spellStart"/>
      <w:r>
        <w:rPr>
          <w:sz w:val="20"/>
          <w:szCs w:val="20"/>
          <w:rtl/>
        </w:rPr>
        <w:t>תתקנט</w:t>
      </w:r>
      <w:proofErr w:type="spellEnd"/>
      <w:r>
        <w:rPr>
          <w:sz w:val="20"/>
          <w:szCs w:val="20"/>
          <w:rtl/>
        </w:rPr>
        <w:t>.</w:t>
      </w:r>
    </w:p>
  </w:footnote>
  <w:footnote w:id="846">
    <w:p w14:paraId="735E1DE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עמ׳ </w:t>
      </w:r>
      <w:proofErr w:type="spellStart"/>
      <w:r>
        <w:rPr>
          <w:sz w:val="20"/>
          <w:szCs w:val="20"/>
          <w:rtl/>
        </w:rPr>
        <w:t>תתקסא</w:t>
      </w:r>
      <w:proofErr w:type="spellEnd"/>
      <w:r>
        <w:rPr>
          <w:sz w:val="20"/>
          <w:szCs w:val="20"/>
          <w:rtl/>
        </w:rPr>
        <w:t>–1922.</w:t>
      </w:r>
    </w:p>
  </w:footnote>
  <w:footnote w:id="847">
    <w:p w14:paraId="7CAE3DA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הקורא לדעת שמה שנכתב כאן על </w:t>
      </w:r>
      <w:proofErr w:type="spellStart"/>
      <w:r>
        <w:rPr>
          <w:sz w:val="20"/>
          <w:szCs w:val="20"/>
          <w:rtl/>
        </w:rPr>
        <w:t>הנצי״ב</w:t>
      </w:r>
      <w:proofErr w:type="spellEnd"/>
      <w:r>
        <w:rPr>
          <w:sz w:val="20"/>
          <w:szCs w:val="20"/>
          <w:rtl/>
        </w:rPr>
        <w:t xml:space="preserve"> מבוסס כולו על “מקור ברוך”, ספר שעל </w:t>
      </w:r>
      <w:r>
        <w:rPr>
          <w:b/>
          <w:bCs/>
          <w:sz w:val="20"/>
          <w:szCs w:val="20"/>
          <w:rtl/>
        </w:rPr>
        <w:t>דיוקו</w:t>
      </w:r>
      <w:r>
        <w:rPr>
          <w:sz w:val="20"/>
          <w:szCs w:val="20"/>
          <w:rtl/>
        </w:rPr>
        <w:t xml:space="preserve"> ערערו, ובמיוחד הרה״ח ר׳ יהושע </w:t>
      </w:r>
      <w:proofErr w:type="spellStart"/>
      <w:r>
        <w:rPr>
          <w:sz w:val="20"/>
          <w:szCs w:val="20"/>
          <w:rtl/>
        </w:rPr>
        <w:t>מונדשיין</w:t>
      </w:r>
      <w:proofErr w:type="spellEnd"/>
      <w:r>
        <w:rPr>
          <w:sz w:val="20"/>
          <w:szCs w:val="20"/>
          <w:rtl/>
        </w:rPr>
        <w:t xml:space="preserve"> </w:t>
      </w:r>
      <w:proofErr w:type="spellStart"/>
      <w:r>
        <w:rPr>
          <w:sz w:val="20"/>
          <w:szCs w:val="20"/>
          <w:rtl/>
        </w:rPr>
        <w:t>ב“מדור</w:t>
      </w:r>
      <w:proofErr w:type="spellEnd"/>
      <w:r>
        <w:rPr>
          <w:sz w:val="20"/>
          <w:szCs w:val="20"/>
          <w:rtl/>
        </w:rPr>
        <w:t xml:space="preserve"> הערות לקובץ יגדיל תורה” (היוצא “מזמן לזמן על ידי חברי הכולל שליד מזכירות האדמו״ר </w:t>
      </w:r>
      <w:proofErr w:type="spellStart"/>
      <w:r>
        <w:rPr>
          <w:sz w:val="20"/>
          <w:szCs w:val="20"/>
          <w:rtl/>
        </w:rPr>
        <w:t>מליובאוויטש</w:t>
      </w:r>
      <w:proofErr w:type="spellEnd"/>
      <w:r>
        <w:rPr>
          <w:sz w:val="20"/>
          <w:szCs w:val="20"/>
          <w:rtl/>
        </w:rPr>
        <w:t xml:space="preserve">”, ברוקלין), בחוברת י״ב, שנה ראשונה, אלול תשל״ז, עמ׳ 393–394. הוא כותב: “תמה אני שעדיין יש מי שמאמין לדבר כלשהו המסופר ב[‘מקור ברוך’].” ומוסיף התנצלות זו: “לא הארכתי [בטעויות ‘מקור ברוך’] אלא כדי להעמיד על האמת את הרבים שעדיין מאמינים לסיפורי הספר.” חסיד חב״ד זה זועם בגלל מה שכתב אותו מחבר, ר׳ ברוך אפשטיין, על אחד מאדמו״רי </w:t>
      </w:r>
      <w:proofErr w:type="spellStart"/>
      <w:r>
        <w:rPr>
          <w:sz w:val="20"/>
          <w:szCs w:val="20"/>
          <w:rtl/>
        </w:rPr>
        <w:t>ליובאוויטש</w:t>
      </w:r>
      <w:proofErr w:type="spellEnd"/>
      <w:r>
        <w:rPr>
          <w:sz w:val="20"/>
          <w:szCs w:val="20"/>
          <w:rtl/>
        </w:rPr>
        <w:t>.</w:t>
      </w:r>
    </w:p>
    <w:p w14:paraId="4380DB02" w14:textId="77777777" w:rsidR="00AB3647" w:rsidRDefault="00000000">
      <w:pPr>
        <w:spacing w:after="0" w:before="0"/>
        <w:jc w:val="both"/>
      </w:pPr>
      <w:r>
        <w:rPr>
          <w:sz w:val="20"/>
          <w:szCs w:val="20"/>
          <w:rtl/>
        </w:rPr>
        <w:t xml:space="preserve">מנחם מ. כשר, בהוספה </w:t>
      </w:r>
      <w:proofErr w:type="spellStart"/>
      <w:r>
        <w:rPr>
          <w:sz w:val="20"/>
          <w:szCs w:val="20"/>
          <w:rtl/>
        </w:rPr>
        <w:t>ל“תורה</w:t>
      </w:r>
      <w:proofErr w:type="spellEnd"/>
      <w:r>
        <w:rPr>
          <w:sz w:val="20"/>
          <w:szCs w:val="20"/>
          <w:rtl/>
        </w:rPr>
        <w:t xml:space="preserve"> שלמה” (ירושלים, תשי״ד), כרך </w:t>
      </w:r>
      <w:proofErr w:type="spellStart"/>
      <w:r>
        <w:rPr>
          <w:sz w:val="20"/>
          <w:szCs w:val="20"/>
          <w:rtl/>
        </w:rPr>
        <w:t>כו</w:t>
      </w:r>
      <w:proofErr w:type="spellEnd"/>
      <w:r>
        <w:rPr>
          <w:sz w:val="20"/>
          <w:szCs w:val="20"/>
          <w:rtl/>
        </w:rPr>
        <w:t xml:space="preserve">, עמ׳ רפה–שא, דן בטעויות ובחירויות שנטל לעצמו ר׳ ברוך אפשטיין </w:t>
      </w:r>
      <w:proofErr w:type="spellStart"/>
      <w:r>
        <w:rPr>
          <w:sz w:val="20"/>
          <w:szCs w:val="20"/>
          <w:rtl/>
        </w:rPr>
        <w:t>ב“תורה</w:t>
      </w:r>
      <w:proofErr w:type="spellEnd"/>
      <w:r>
        <w:rPr>
          <w:sz w:val="20"/>
          <w:szCs w:val="20"/>
          <w:rtl/>
        </w:rPr>
        <w:t xml:space="preserve"> תמימה” שלו, שיצא לאור לפני “מקור ברוך”. את חוסר </w:t>
      </w:r>
      <w:r>
        <w:rPr>
          <w:b/>
          <w:bCs/>
          <w:sz w:val="20"/>
          <w:szCs w:val="20"/>
          <w:rtl/>
        </w:rPr>
        <w:t>המקוריות</w:t>
      </w:r>
      <w:r>
        <w:rPr>
          <w:sz w:val="20"/>
          <w:szCs w:val="20"/>
          <w:rtl/>
        </w:rPr>
        <w:t xml:space="preserve"> של “תורה תמימה” “משבח” מנחם מ. כשר בהערת שוליים בעמ׳ רצח, וזו לשונה: “במשך השנים כתבו הרבה מחברים מאמרים, על התורה תמימה, להראות המקורות של הפירושים </w:t>
      </w:r>
      <w:proofErr w:type="spellStart"/>
      <w:r>
        <w:rPr>
          <w:sz w:val="20"/>
          <w:szCs w:val="20"/>
          <w:rtl/>
        </w:rPr>
        <w:t>והחדושים</w:t>
      </w:r>
      <w:proofErr w:type="spellEnd"/>
      <w:r>
        <w:rPr>
          <w:sz w:val="20"/>
          <w:szCs w:val="20"/>
          <w:rtl/>
        </w:rPr>
        <w:t xml:space="preserve"> שלו... לדעתי החלק הזה </w:t>
      </w:r>
      <w:proofErr w:type="spellStart"/>
      <w:r>
        <w:rPr>
          <w:sz w:val="20"/>
          <w:szCs w:val="20"/>
          <w:rtl/>
        </w:rPr>
        <w:t>שבתו״ת</w:t>
      </w:r>
      <w:proofErr w:type="spellEnd"/>
      <w:r>
        <w:rPr>
          <w:sz w:val="20"/>
          <w:szCs w:val="20"/>
          <w:rtl/>
        </w:rPr>
        <w:t xml:space="preserve"> הוא הטוב ביותר, מפני שבירר מהספרים דברים טובים, וזה הוא תשעים אחוז מהחידושים שיש להם ערך, והחידושים שלא כתובים בספרים צריכים בדיקה.” השווה גם “עיונים” של רבנו (פרק 1, הערה 73) על שמות כד, ג, המביא רעיון מקורי </w:t>
      </w:r>
      <w:proofErr w:type="spellStart"/>
      <w:r>
        <w:rPr>
          <w:sz w:val="20"/>
          <w:szCs w:val="20"/>
          <w:rtl/>
        </w:rPr>
        <w:t>מ“תורה</w:t>
      </w:r>
      <w:proofErr w:type="spellEnd"/>
      <w:r>
        <w:rPr>
          <w:sz w:val="20"/>
          <w:szCs w:val="20"/>
          <w:rtl/>
        </w:rPr>
        <w:t xml:space="preserve"> תמימה” בלי להזכיר את שם הספר – במקומו כתוב “שמעתי אומרים” – ומפריך אותו. אבל למרות הביקורת על </w:t>
      </w:r>
      <w:r>
        <w:rPr>
          <w:b/>
          <w:bCs/>
          <w:sz w:val="20"/>
          <w:szCs w:val="20"/>
          <w:rtl/>
        </w:rPr>
        <w:t>דיוקם</w:t>
      </w:r>
      <w:r>
        <w:rPr>
          <w:sz w:val="20"/>
          <w:szCs w:val="20"/>
          <w:rtl/>
        </w:rPr>
        <w:t xml:space="preserve"> ועל </w:t>
      </w:r>
      <w:r>
        <w:rPr>
          <w:b/>
          <w:bCs/>
          <w:sz w:val="20"/>
          <w:szCs w:val="20"/>
          <w:rtl/>
        </w:rPr>
        <w:t>מקוריותם</w:t>
      </w:r>
      <w:r>
        <w:rPr>
          <w:sz w:val="20"/>
          <w:szCs w:val="20"/>
          <w:rtl/>
        </w:rPr>
        <w:t xml:space="preserve"> של ספרי ר׳ ברוך אפשטיין, נראה שאין סיבה שלא לסמוך לגמרי על “מקור ברוך” בעניינים שאינם תלויים לא בדיוק ולא במקוריות, כפי שעשיתי בנספח זה בעניין הדיווח על דעת </w:t>
      </w:r>
      <w:proofErr w:type="spellStart"/>
      <w:r>
        <w:rPr>
          <w:sz w:val="20"/>
          <w:szCs w:val="20"/>
          <w:rtl/>
        </w:rPr>
        <w:t>הנצי״ב</w:t>
      </w:r>
      <w:proofErr w:type="spellEnd"/>
      <w:r>
        <w:rPr>
          <w:sz w:val="20"/>
          <w:szCs w:val="20"/>
          <w:rtl/>
        </w:rPr>
        <w:t xml:space="preserve"> על </w:t>
      </w:r>
      <w:proofErr w:type="spellStart"/>
      <w:r>
        <w:rPr>
          <w:sz w:val="20"/>
          <w:szCs w:val="20"/>
          <w:rtl/>
        </w:rPr>
        <w:t>ליליינטל</w:t>
      </w:r>
      <w:proofErr w:type="spellEnd"/>
      <w:r>
        <w:rPr>
          <w:sz w:val="20"/>
          <w:szCs w:val="20"/>
          <w:rtl/>
        </w:rPr>
        <w:t>.</w:t>
      </w:r>
    </w:p>
    <w:p w14:paraId="415EA861" w14:textId="77777777" w:rsidR="00AB3647" w:rsidRDefault="00000000">
      <w:pPr>
        <w:spacing w:after="0" w:before="0"/>
        <w:jc w:val="both"/>
      </w:pPr>
      <w:r>
        <w:rPr>
          <w:sz w:val="20"/>
          <w:szCs w:val="20"/>
          <w:rtl/>
        </w:rPr>
        <w:t>ובאשר ל</w:t>
      </w:r>
      <w:r>
        <w:rPr>
          <w:b/>
          <w:bCs/>
          <w:sz w:val="20"/>
          <w:szCs w:val="20"/>
          <w:rtl/>
        </w:rPr>
        <w:t>חירויות</w:t>
      </w:r>
      <w:r>
        <w:rPr>
          <w:sz w:val="20"/>
          <w:szCs w:val="20"/>
          <w:rtl/>
        </w:rPr>
        <w:t xml:space="preserve"> שנטל לעצמו ר׳ ברוך אפשטיין </w:t>
      </w:r>
      <w:proofErr w:type="spellStart"/>
      <w:r>
        <w:rPr>
          <w:sz w:val="20"/>
          <w:szCs w:val="20"/>
          <w:rtl/>
        </w:rPr>
        <w:t>ב“מקור</w:t>
      </w:r>
      <w:proofErr w:type="spellEnd"/>
      <w:r>
        <w:rPr>
          <w:sz w:val="20"/>
          <w:szCs w:val="20"/>
          <w:rtl/>
        </w:rPr>
        <w:t xml:space="preserve"> ברוך” שלו, ראה את הפרק העשרים ושישה שבו, שכותרתו “שגיאות מי יבין?” [להישמר מהן] (תהלים </w:t>
      </w:r>
      <w:proofErr w:type="spellStart"/>
      <w:r>
        <w:rPr>
          <w:sz w:val="20"/>
          <w:szCs w:val="20"/>
          <w:rtl/>
        </w:rPr>
        <w:t>יט</w:t>
      </w:r>
      <w:proofErr w:type="spellEnd"/>
      <w:r>
        <w:rPr>
          <w:sz w:val="20"/>
          <w:szCs w:val="20"/>
          <w:rtl/>
        </w:rPr>
        <w:t xml:space="preserve">, </w:t>
      </w:r>
      <w:proofErr w:type="spellStart"/>
      <w:r>
        <w:rPr>
          <w:sz w:val="20"/>
          <w:szCs w:val="20"/>
          <w:rtl/>
        </w:rPr>
        <w:t>יג</w:t>
      </w:r>
      <w:proofErr w:type="spellEnd"/>
      <w:r>
        <w:rPr>
          <w:sz w:val="20"/>
          <w:szCs w:val="20"/>
          <w:rtl/>
        </w:rPr>
        <w:t xml:space="preserve">), עמ׳ </w:t>
      </w:r>
      <w:proofErr w:type="spellStart"/>
      <w:r>
        <w:rPr>
          <w:sz w:val="20"/>
          <w:szCs w:val="20"/>
          <w:rtl/>
        </w:rPr>
        <w:t>תרצג</w:t>
      </w:r>
      <w:proofErr w:type="spellEnd"/>
      <w:r>
        <w:rPr>
          <w:sz w:val="20"/>
          <w:szCs w:val="20"/>
          <w:rtl/>
        </w:rPr>
        <w:t xml:space="preserve">–1424. שם הוא מונה שמונה תיקונים שהוא מציע בנוסחי ברכות ותפילות. הוא מודה שאביו, רב </w:t>
      </w:r>
      <w:proofErr w:type="spellStart"/>
      <w:r>
        <w:rPr>
          <w:sz w:val="20"/>
          <w:szCs w:val="20"/>
          <w:rtl/>
        </w:rPr>
        <w:t>נובהרדוק</w:t>
      </w:r>
      <w:proofErr w:type="spellEnd"/>
      <w:r>
        <w:rPr>
          <w:sz w:val="20"/>
          <w:szCs w:val="20"/>
          <w:rtl/>
        </w:rPr>
        <w:t xml:space="preserve">, הפוסק המובהק ומחבר הספר ההלכתי הקלאסי “ערוך השולחן”, ר׳ </w:t>
      </w:r>
      <w:proofErr w:type="spellStart"/>
      <w:r>
        <w:rPr>
          <w:sz w:val="20"/>
          <w:szCs w:val="20"/>
          <w:rtl/>
        </w:rPr>
        <w:t>יחיאל־מיכל</w:t>
      </w:r>
      <w:proofErr w:type="spellEnd"/>
      <w:r>
        <w:rPr>
          <w:sz w:val="20"/>
          <w:szCs w:val="20"/>
          <w:rtl/>
        </w:rPr>
        <w:t xml:space="preserve"> אפשטיין, נמנע מלקדם תיקון הלכה למעשה של איזה מן הנוסחים </w:t>
      </w:r>
      <w:proofErr w:type="spellStart"/>
      <w:r>
        <w:rPr>
          <w:sz w:val="20"/>
          <w:szCs w:val="20"/>
          <w:rtl/>
        </w:rPr>
        <w:t>ה“שגויים</w:t>
      </w:r>
      <w:proofErr w:type="spellEnd"/>
      <w:r>
        <w:rPr>
          <w:sz w:val="20"/>
          <w:szCs w:val="20"/>
          <w:rtl/>
        </w:rPr>
        <w:t>” כביכול – אף שהתרשם מהצעותיו המבריקות של בנו. אחת מהצעות “מקור ברוך” [מס׳ 1] מעזה לשנות את חתימת הברכה האמצעית של תפילת העמידה של שלוש הרגלים.</w:t>
      </w:r>
    </w:p>
    <w:p w14:paraId="676E641B" w14:textId="77777777" w:rsidR="00AB3647" w:rsidRDefault="00000000">
      <w:pPr>
        <w:spacing w:after="0" w:before="0"/>
        <w:jc w:val="both"/>
      </w:pPr>
      <w:r>
        <w:rPr>
          <w:sz w:val="20"/>
          <w:szCs w:val="20"/>
          <w:rtl/>
        </w:rPr>
        <w:t xml:space="preserve">אני שמח שתזה אחרת של ר׳ ברוך אפשטיין [מס׳ 5], שם, עמ׳ 1408–1410, בעניין בחירת הפסוקים שבסוף ברכת המזון, הופרכה מכול וכול על ידי ר׳ דוד כהן </w:t>
      </w:r>
      <w:proofErr w:type="spellStart"/>
      <w:r>
        <w:rPr>
          <w:sz w:val="20"/>
          <w:szCs w:val="20"/>
          <w:rtl/>
        </w:rPr>
        <w:t>ב“הגדה</w:t>
      </w:r>
      <w:proofErr w:type="spellEnd"/>
      <w:r>
        <w:rPr>
          <w:sz w:val="20"/>
          <w:szCs w:val="20"/>
          <w:rtl/>
        </w:rPr>
        <w:t xml:space="preserve"> של פסח עם פירוש שמחת </w:t>
      </w:r>
      <w:proofErr w:type="spellStart"/>
      <w:r>
        <w:rPr>
          <w:sz w:val="20"/>
          <w:szCs w:val="20"/>
          <w:rtl/>
        </w:rPr>
        <w:t>יעבץ</w:t>
      </w:r>
      <w:proofErr w:type="spellEnd"/>
      <w:r>
        <w:rPr>
          <w:sz w:val="20"/>
          <w:szCs w:val="20"/>
          <w:rtl/>
        </w:rPr>
        <w:t xml:space="preserve">” (הוצאת מסורה, ברוקלין, </w:t>
      </w:r>
      <w:proofErr w:type="spellStart"/>
      <w:r>
        <w:rPr>
          <w:sz w:val="20"/>
          <w:szCs w:val="20"/>
          <w:rtl/>
        </w:rPr>
        <w:t>תנש״א</w:t>
      </w:r>
      <w:proofErr w:type="spellEnd"/>
      <w:r>
        <w:rPr>
          <w:sz w:val="20"/>
          <w:szCs w:val="20"/>
          <w:rtl/>
        </w:rPr>
        <w:t xml:space="preserve">), עמ׳ </w:t>
      </w:r>
      <w:proofErr w:type="spellStart"/>
      <w:r>
        <w:rPr>
          <w:sz w:val="20"/>
          <w:szCs w:val="20"/>
          <w:rtl/>
        </w:rPr>
        <w:t>קמז</w:t>
      </w:r>
      <w:proofErr w:type="spellEnd"/>
      <w:r>
        <w:rPr>
          <w:sz w:val="20"/>
          <w:szCs w:val="20"/>
          <w:rtl/>
        </w:rPr>
        <w:t>. ואכן, טעותו של “מקור ברוך” בולטת כל כך, שאין זו העזה יתרה לומר שהמלומד המבריק נענש מן השמים על בגידתו במסורת כשהעלה את ההצעות האחרות, המתערבות שלא כדין בהלכה.</w:t>
      </w:r>
    </w:p>
  </w:footnote>
  <w:footnote w:id="848">
    <w:p w14:paraId="11035BF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תתקסא</w:t>
      </w:r>
      <w:proofErr w:type="spellEnd"/>
      <w:r>
        <w:rPr>
          <w:sz w:val="20"/>
          <w:szCs w:val="20"/>
          <w:rtl/>
        </w:rPr>
        <w:t>.</w:t>
      </w:r>
    </w:p>
  </w:footnote>
  <w:footnote w:id="849">
    <w:p w14:paraId="48EBEBB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בעמ׳ 1922.</w:t>
      </w:r>
    </w:p>
  </w:footnote>
  <w:footnote w:id="850">
    <w:p w14:paraId="1DBFD02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555.</w:t>
      </w:r>
    </w:p>
  </w:footnote>
  <w:footnote w:id="851">
    <w:p w14:paraId="62A088B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נספח </w:t>
      </w:r>
      <w:proofErr w:type="spellStart"/>
      <w:r>
        <w:rPr>
          <w:sz w:val="20"/>
          <w:szCs w:val="20"/>
          <w:rtl/>
        </w:rPr>
        <w:t>ל“תוספת</w:t>
      </w:r>
      <w:proofErr w:type="spellEnd"/>
      <w:r>
        <w:rPr>
          <w:sz w:val="20"/>
          <w:szCs w:val="20"/>
          <w:rtl/>
        </w:rPr>
        <w:t xml:space="preserve"> ברכה” שלו (שיצא לאור </w:t>
      </w:r>
      <w:proofErr w:type="spellStart"/>
      <w:r>
        <w:rPr>
          <w:sz w:val="20"/>
          <w:szCs w:val="20"/>
          <w:rtl/>
        </w:rPr>
        <w:t>בפינסק</w:t>
      </w:r>
      <w:proofErr w:type="spellEnd"/>
      <w:r>
        <w:rPr>
          <w:sz w:val="20"/>
          <w:szCs w:val="20"/>
          <w:rtl/>
        </w:rPr>
        <w:t>, 1937) על ספר ויקרא – עמ׳ 284.</w:t>
      </w:r>
    </w:p>
  </w:footnote>
  <w:footnote w:id="852">
    <w:p w14:paraId="43A97839"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ועידת הרבנים הרפורמים בפילדלפיה, שקיבלה החלטה ברוח זו, התכנסה בשנת תר״ל.</w:t>
      </w:r>
    </w:p>
  </w:footnote>
  <w:footnote w:id="853">
    <w:p w14:paraId="5775EED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w:t>
      </w:r>
      <w:proofErr w:type="spellStart"/>
      <w:r>
        <w:rPr>
          <w:sz w:val="20"/>
          <w:szCs w:val="20"/>
          <w:rtl/>
        </w:rPr>
        <w:t>קומנטרי</w:t>
      </w:r>
      <w:proofErr w:type="spellEnd"/>
      <w:r>
        <w:rPr>
          <w:sz w:val="20"/>
          <w:szCs w:val="20"/>
          <w:rtl/>
        </w:rPr>
        <w:t>”, פברואר 1966, עמ׳ 75–78.</w:t>
      </w:r>
    </w:p>
  </w:footnote>
  <w:footnote w:id="854">
    <w:p w14:paraId="6258503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16, עמ׳ 563.</w:t>
      </w:r>
    </w:p>
  </w:footnote>
  <w:footnote w:id="855">
    <w:p w14:paraId="710980CD"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rFonts w:ascii="David" w:eastAsia="David" w:hAnsi="David" w:cs="David"/>
          <w:sz w:val="20"/>
          <w:szCs w:val="20"/>
          <w:rtl/>
        </w:rPr>
        <w:t xml:space="preserve"/>
      </w:r>
      <w:r>
        <w:rPr>
          <w:b/>
          <w:color w:val="000000"/>
          <w:sz w:val="20"/>
          <w:szCs w:val="20"/>
          <w:rtl/>
        </w:rPr>
        <w:t xml:space="preserve">הערת המתרגם: </w:t>
      </w:r>
      <w:r>
        <w:rPr>
          <w:sz w:val="20"/>
          <w:szCs w:val="20"/>
          <w:rtl/>
        </w:rPr>
        <w:t>במקור נוספה בסוגריים השנה העברית תרפ״ד (1924), והיא טעות: הספר נדפס בברלין בשנת 1914, כמופיע בשער הספר (שבו אין שנה עברית).</w:t>
      </w:r>
    </w:p>
  </w:footnote>
  <w:footnote w:id="856">
    <w:p w14:paraId="149F353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כפי שהודגש כמה שורות קודם לכן, </w:t>
      </w:r>
      <w:proofErr w:type="spellStart"/>
      <w:r>
        <w:rPr>
          <w:sz w:val="20"/>
          <w:szCs w:val="20"/>
          <w:rtl/>
        </w:rPr>
        <w:t>הנצי״ב</w:t>
      </w:r>
      <w:proofErr w:type="spellEnd"/>
      <w:r>
        <w:rPr>
          <w:sz w:val="20"/>
          <w:szCs w:val="20"/>
          <w:rtl/>
        </w:rPr>
        <w:t xml:space="preserve"> לא היה בטוח אם הציבור הרחב ידע את מה שהוא עצמו היה בטוח בו כל כך.</w:t>
      </w:r>
    </w:p>
  </w:footnote>
  <w:footnote w:id="857">
    <w:p w14:paraId="3AC9DC8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ההדגשה נוספה כדי לקבוע זמן משוער מוקדם ביותר לדברים שאמר </w:t>
      </w:r>
      <w:proofErr w:type="spellStart"/>
      <w:r>
        <w:rPr>
          <w:sz w:val="20"/>
          <w:szCs w:val="20"/>
          <w:rtl/>
        </w:rPr>
        <w:t>הנצי״ב</w:t>
      </w:r>
      <w:proofErr w:type="spellEnd"/>
      <w:r>
        <w:rPr>
          <w:sz w:val="20"/>
          <w:szCs w:val="20"/>
          <w:rtl/>
        </w:rPr>
        <w:t>, לפי המסופר – כפי שצוין לעיל.</w:t>
      </w:r>
    </w:p>
  </w:footnote>
  <w:footnote w:id="858">
    <w:p w14:paraId="6D1E9E9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יש כאן משחק מילים אף שבמילה השנייה שי״ן ימנית, שכן אצל אותו מחבר “</w:t>
      </w:r>
      <w:proofErr w:type="spellStart"/>
      <w:r>
        <w:rPr>
          <w:sz w:val="20"/>
          <w:szCs w:val="20"/>
          <w:rtl/>
        </w:rPr>
        <w:t>ליטוואק</w:t>
      </w:r>
      <w:proofErr w:type="spellEnd"/>
      <w:r>
        <w:rPr>
          <w:sz w:val="20"/>
          <w:szCs w:val="20"/>
          <w:rtl/>
        </w:rPr>
        <w:t>” אין היא נהגית אחרת מן השי״ן השמאלית שבמילה הראשונה. ראה, למשל, “תוספת ברכה” שלו על איכה א, יד.</w:t>
      </w:r>
    </w:p>
  </w:footnote>
  <w:footnote w:id="859">
    <w:p w14:paraId="4AB77F8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אין זה מובן כלל שמישהו יחשוש שמא ישדלוהו ידידיו לחזור בו מדבר שנשבע לעשותו!</w:t>
      </w:r>
    </w:p>
  </w:footnote>
  <w:footnote w:id="860">
    <w:p w14:paraId="7CA4CC3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הדגשה זו וההדגשות הקודמות מראות עד כמה הטריד את המחבר (או את </w:t>
      </w:r>
      <w:proofErr w:type="spellStart"/>
      <w:r>
        <w:rPr>
          <w:sz w:val="20"/>
          <w:szCs w:val="20"/>
          <w:rtl/>
        </w:rPr>
        <w:t>הנצי״ב</w:t>
      </w:r>
      <w:proofErr w:type="spellEnd"/>
      <w:r>
        <w:rPr>
          <w:sz w:val="20"/>
          <w:szCs w:val="20"/>
          <w:rtl/>
        </w:rPr>
        <w:t xml:space="preserve">) </w:t>
      </w:r>
      <w:proofErr w:type="spellStart"/>
      <w:r>
        <w:rPr>
          <w:sz w:val="20"/>
          <w:szCs w:val="20"/>
          <w:rtl/>
        </w:rPr>
        <w:t>שליליינטל</w:t>
      </w:r>
      <w:proofErr w:type="spellEnd"/>
      <w:r>
        <w:rPr>
          <w:sz w:val="20"/>
          <w:szCs w:val="20"/>
          <w:rtl/>
        </w:rPr>
        <w:t xml:space="preserve"> לא שב לרוסיה לעולם, אף אחרי שעזב את משרתו. נראה שראה סתירה בין ניתוק היחסים הגמור של </w:t>
      </w:r>
      <w:proofErr w:type="spellStart"/>
      <w:r>
        <w:rPr>
          <w:sz w:val="20"/>
          <w:szCs w:val="20"/>
          <w:rtl/>
        </w:rPr>
        <w:t>ליליינטל</w:t>
      </w:r>
      <w:proofErr w:type="spellEnd"/>
      <w:r>
        <w:rPr>
          <w:sz w:val="20"/>
          <w:szCs w:val="20"/>
          <w:rtl/>
        </w:rPr>
        <w:t xml:space="preserve"> ובין קרבתו </w:t>
      </w:r>
      <w:proofErr w:type="spellStart"/>
      <w:r>
        <w:rPr>
          <w:sz w:val="20"/>
          <w:szCs w:val="20"/>
          <w:rtl/>
        </w:rPr>
        <w:t>לר</w:t>
      </w:r>
      <w:proofErr w:type="spellEnd"/>
      <w:r>
        <w:rPr>
          <w:sz w:val="20"/>
          <w:szCs w:val="20"/>
          <w:rtl/>
        </w:rPr>
        <w:t xml:space="preserve">׳ </w:t>
      </w:r>
      <w:proofErr w:type="spellStart"/>
      <w:r>
        <w:rPr>
          <w:sz w:val="20"/>
          <w:szCs w:val="20"/>
          <w:rtl/>
        </w:rPr>
        <w:t>איצל׳ה</w:t>
      </w:r>
      <w:proofErr w:type="spellEnd"/>
      <w:r>
        <w:rPr>
          <w:sz w:val="20"/>
          <w:szCs w:val="20"/>
          <w:rtl/>
        </w:rPr>
        <w:t xml:space="preserve">, “כבן...” – לפי מכתב </w:t>
      </w:r>
      <w:proofErr w:type="spellStart"/>
      <w:r>
        <w:rPr>
          <w:sz w:val="20"/>
          <w:szCs w:val="20"/>
          <w:rtl/>
        </w:rPr>
        <w:t>ליליינטל</w:t>
      </w:r>
      <w:proofErr w:type="spellEnd"/>
      <w:r>
        <w:rPr>
          <w:sz w:val="20"/>
          <w:szCs w:val="20"/>
          <w:rtl/>
        </w:rPr>
        <w:t xml:space="preserve"> לרוזנטל שהובא לעיל בפסקה </w:t>
      </w:r>
      <w:proofErr w:type="spellStart"/>
      <w:r>
        <w:rPr>
          <w:sz w:val="20"/>
          <w:szCs w:val="20"/>
          <w:rtl/>
        </w:rPr>
        <w:t>השתים־עשרה</w:t>
      </w:r>
      <w:proofErr w:type="spellEnd"/>
      <w:r>
        <w:rPr>
          <w:sz w:val="20"/>
          <w:szCs w:val="20"/>
          <w:rtl/>
        </w:rPr>
        <w:t xml:space="preserve">, מכתב </w:t>
      </w:r>
      <w:proofErr w:type="spellStart"/>
      <w:r>
        <w:rPr>
          <w:sz w:val="20"/>
          <w:szCs w:val="20"/>
          <w:rtl/>
        </w:rPr>
        <w:t>שהנצי״ב</w:t>
      </w:r>
      <w:proofErr w:type="spellEnd"/>
      <w:r>
        <w:rPr>
          <w:sz w:val="20"/>
          <w:szCs w:val="20"/>
          <w:rtl/>
        </w:rPr>
        <w:t xml:space="preserve"> האמין בכנותו! אותו מחבר אינו מעלה סיבה מספקת לכך </w:t>
      </w:r>
      <w:proofErr w:type="spellStart"/>
      <w:r>
        <w:rPr>
          <w:sz w:val="20"/>
          <w:szCs w:val="20"/>
          <w:rtl/>
        </w:rPr>
        <w:t>שליליינטל</w:t>
      </w:r>
      <w:proofErr w:type="spellEnd"/>
      <w:r>
        <w:rPr>
          <w:sz w:val="20"/>
          <w:szCs w:val="20"/>
          <w:rtl/>
        </w:rPr>
        <w:t xml:space="preserve"> לא שב, אם באמת היה קרוב כל כך </w:t>
      </w:r>
      <w:proofErr w:type="spellStart"/>
      <w:r>
        <w:rPr>
          <w:sz w:val="20"/>
          <w:szCs w:val="20"/>
          <w:rtl/>
        </w:rPr>
        <w:t>לר</w:t>
      </w:r>
      <w:proofErr w:type="spellEnd"/>
      <w:r>
        <w:rPr>
          <w:sz w:val="20"/>
          <w:szCs w:val="20"/>
          <w:rtl/>
        </w:rPr>
        <w:t xml:space="preserve">׳ </w:t>
      </w:r>
      <w:proofErr w:type="spellStart"/>
      <w:r>
        <w:rPr>
          <w:sz w:val="20"/>
          <w:szCs w:val="20"/>
          <w:rtl/>
        </w:rPr>
        <w:t>איצל׳ה</w:t>
      </w:r>
      <w:proofErr w:type="spellEnd"/>
      <w:r>
        <w:rPr>
          <w:sz w:val="20"/>
          <w:szCs w:val="20"/>
          <w:rtl/>
        </w:rPr>
        <w:t>.</w:t>
      </w:r>
    </w:p>
  </w:footnote>
  <w:footnote w:id="861">
    <w:p w14:paraId="593C2AB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יש כאן סתירה בולטת: אם </w:t>
      </w:r>
      <w:proofErr w:type="spellStart"/>
      <w:r>
        <w:rPr>
          <w:sz w:val="20"/>
          <w:szCs w:val="20"/>
          <w:rtl/>
        </w:rPr>
        <w:t>ליליינטל</w:t>
      </w:r>
      <w:proofErr w:type="spellEnd"/>
      <w:r>
        <w:rPr>
          <w:sz w:val="20"/>
          <w:szCs w:val="20"/>
          <w:rtl/>
        </w:rPr>
        <w:t xml:space="preserve"> ברח בכוונה להודיע ליהודים ולהודיעם בגלוי שלממשלה יש מזימות רעות נגד אמונתם, מדוע לא ידע איש – מלבד </w:t>
      </w:r>
      <w:proofErr w:type="spellStart"/>
      <w:r>
        <w:rPr>
          <w:sz w:val="20"/>
          <w:szCs w:val="20"/>
          <w:rtl/>
        </w:rPr>
        <w:t>הנצי״ב</w:t>
      </w:r>
      <w:proofErr w:type="spellEnd"/>
      <w:r>
        <w:rPr>
          <w:sz w:val="20"/>
          <w:szCs w:val="20"/>
          <w:rtl/>
        </w:rPr>
        <w:t xml:space="preserve"> – את סיבת בריחתו, ומדוע היה צורך להעלות “השערות, חקירות ורעיונות רבים” כל כך רק כדי </w:t>
      </w:r>
      <w:proofErr w:type="spellStart"/>
      <w:r>
        <w:rPr>
          <w:sz w:val="20"/>
          <w:szCs w:val="20"/>
          <w:rtl/>
        </w:rPr>
        <w:t>ש“לא</w:t>
      </w:r>
      <w:proofErr w:type="spellEnd"/>
      <w:r>
        <w:rPr>
          <w:sz w:val="20"/>
          <w:szCs w:val="20"/>
          <w:rtl/>
        </w:rPr>
        <w:t xml:space="preserve"> מצאו דבר הגון כסיבה”, ואחר כך להניח את העניין “כטמון במצולות ים”?</w:t>
      </w:r>
    </w:p>
  </w:footnote>
  <w:footnote w:id="862">
    <w:p w14:paraId="743F46F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מן ההקשר ברור </w:t>
      </w:r>
      <w:proofErr w:type="spellStart"/>
      <w:r>
        <w:rPr>
          <w:sz w:val="20"/>
          <w:szCs w:val="20"/>
          <w:rtl/>
        </w:rPr>
        <w:t>שליליינטל</w:t>
      </w:r>
      <w:proofErr w:type="spellEnd"/>
      <w:r>
        <w:rPr>
          <w:sz w:val="20"/>
          <w:szCs w:val="20"/>
          <w:rtl/>
        </w:rPr>
        <w:t xml:space="preserve"> הוא שהיה כביכול מסור </w:t>
      </w:r>
      <w:proofErr w:type="spellStart"/>
      <w:r>
        <w:rPr>
          <w:sz w:val="20"/>
          <w:szCs w:val="20"/>
          <w:rtl/>
        </w:rPr>
        <w:t>לר</w:t>
      </w:r>
      <w:proofErr w:type="spellEnd"/>
      <w:r>
        <w:rPr>
          <w:sz w:val="20"/>
          <w:szCs w:val="20"/>
          <w:rtl/>
        </w:rPr>
        <w:t xml:space="preserve">׳ </w:t>
      </w:r>
      <w:proofErr w:type="spellStart"/>
      <w:r>
        <w:rPr>
          <w:sz w:val="20"/>
          <w:szCs w:val="20"/>
          <w:rtl/>
        </w:rPr>
        <w:t>איצל׳ה</w:t>
      </w:r>
      <w:proofErr w:type="spellEnd"/>
      <w:r>
        <w:rPr>
          <w:sz w:val="20"/>
          <w:szCs w:val="20"/>
          <w:rtl/>
        </w:rPr>
        <w:t>, ולא להפך.</w:t>
      </w:r>
    </w:p>
  </w:footnote>
  <w:footnote w:id="863">
    <w:p w14:paraId="3A92F43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יבחין הקורא בפסקה </w:t>
      </w:r>
      <w:proofErr w:type="spellStart"/>
      <w:r>
        <w:rPr>
          <w:sz w:val="20"/>
          <w:szCs w:val="20"/>
          <w:rtl/>
        </w:rPr>
        <w:t>השתים־עשרה</w:t>
      </w:r>
      <w:proofErr w:type="spellEnd"/>
      <w:r>
        <w:rPr>
          <w:sz w:val="20"/>
          <w:szCs w:val="20"/>
          <w:rtl/>
        </w:rPr>
        <w:t xml:space="preserve"> לעיל כיצד אפשר להבין את המכתב אחרת.</w:t>
      </w:r>
    </w:p>
  </w:footnote>
  <w:footnote w:id="864">
    <w:p w14:paraId="32B06EC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תתקסב</w:t>
      </w:r>
      <w:proofErr w:type="spellEnd"/>
      <w:r>
        <w:rPr>
          <w:sz w:val="20"/>
          <w:szCs w:val="20"/>
          <w:rtl/>
        </w:rPr>
        <w:t>.</w:t>
      </w:r>
    </w:p>
  </w:footnote>
  <w:footnote w:id="865">
    <w:p w14:paraId="3595842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פיליפסון</w:t>
      </w:r>
      <w:proofErr w:type="spellEnd"/>
      <w:r>
        <w:rPr>
          <w:sz w:val="20"/>
          <w:szCs w:val="20"/>
          <w:rtl/>
        </w:rPr>
        <w:t>, עמ׳ 344–345.</w:t>
      </w:r>
    </w:p>
  </w:footnote>
  <w:footnote w:id="866">
    <w:p w14:paraId="43FAD1A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הפסקה </w:t>
      </w:r>
      <w:proofErr w:type="spellStart"/>
      <w:r>
        <w:rPr>
          <w:sz w:val="20"/>
          <w:szCs w:val="20"/>
          <w:rtl/>
        </w:rPr>
        <w:t>השלוש־עשרה</w:t>
      </w:r>
      <w:proofErr w:type="spellEnd"/>
      <w:r>
        <w:rPr>
          <w:sz w:val="20"/>
          <w:szCs w:val="20"/>
          <w:rtl/>
        </w:rPr>
        <w:t xml:space="preserve"> והפסקה </w:t>
      </w:r>
      <w:proofErr w:type="spellStart"/>
      <w:r>
        <w:rPr>
          <w:sz w:val="20"/>
          <w:szCs w:val="20"/>
          <w:rtl/>
        </w:rPr>
        <w:t>הארבע־עשרה</w:t>
      </w:r>
      <w:proofErr w:type="spellEnd"/>
      <w:r>
        <w:rPr>
          <w:sz w:val="20"/>
          <w:szCs w:val="20"/>
          <w:rtl/>
        </w:rPr>
        <w:t xml:space="preserve"> לעיל, בעניין מתי כתב על דעתו הנלהבת של ר׳ </w:t>
      </w:r>
      <w:proofErr w:type="spellStart"/>
      <w:r>
        <w:rPr>
          <w:sz w:val="20"/>
          <w:szCs w:val="20"/>
          <w:rtl/>
        </w:rPr>
        <w:t>איצל׳ה</w:t>
      </w:r>
      <w:proofErr w:type="spellEnd"/>
      <w:r>
        <w:rPr>
          <w:sz w:val="20"/>
          <w:szCs w:val="20"/>
          <w:rtl/>
        </w:rPr>
        <w:t xml:space="preserve"> עליו – ביום רביעי, היום הראשון של חול המועד, או ביום ראשון שלאחריו, הושענא רבה.</w:t>
      </w:r>
    </w:p>
  </w:footnote>
  <w:footnote w:id="867">
    <w:p w14:paraId="084A1AE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73. האזהרה הובאה לעיל, בפסקה </w:t>
      </w:r>
      <w:proofErr w:type="spellStart"/>
      <w:r>
        <w:rPr>
          <w:sz w:val="20"/>
          <w:szCs w:val="20"/>
          <w:rtl/>
        </w:rPr>
        <w:t>הארבע־עשרה</w:t>
      </w:r>
      <w:proofErr w:type="spellEnd"/>
      <w:r>
        <w:rPr>
          <w:sz w:val="20"/>
          <w:szCs w:val="20"/>
          <w:rtl/>
        </w:rPr>
        <w:t>.</w:t>
      </w:r>
    </w:p>
  </w:footnote>
  <w:footnote w:id="868">
    <w:p w14:paraId="1DF7204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שבת </w:t>
      </w:r>
      <w:proofErr w:type="spellStart"/>
      <w:r>
        <w:rPr>
          <w:sz w:val="20"/>
          <w:szCs w:val="20"/>
          <w:rtl/>
        </w:rPr>
        <w:t>קכט</w:t>
      </w:r>
      <w:proofErr w:type="spellEnd"/>
      <w:r>
        <w:rPr>
          <w:sz w:val="20"/>
          <w:szCs w:val="20"/>
          <w:rtl/>
        </w:rPr>
        <w:t xml:space="preserve"> ע״ב ובכורות ח ע״א. ראה גם פרק 4, הפסקה השנייה של נספח כ, </w:t>
      </w:r>
      <w:proofErr w:type="spellStart"/>
      <w:r>
        <w:rPr>
          <w:sz w:val="20"/>
          <w:szCs w:val="20"/>
          <w:rtl/>
        </w:rPr>
        <w:t>ו“אבי</w:t>
      </w:r>
      <w:proofErr w:type="spellEnd"/>
      <w:r>
        <w:rPr>
          <w:sz w:val="20"/>
          <w:szCs w:val="20"/>
          <w:rtl/>
        </w:rPr>
        <w:t xml:space="preserve"> הישיבות”, עמ׳ 33.</w:t>
      </w:r>
    </w:p>
  </w:footnote>
  <w:footnote w:id="869">
    <w:p w14:paraId="2C9F2B0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101.</w:t>
      </w:r>
    </w:p>
  </w:footnote>
  <w:footnote w:id="870">
    <w:p w14:paraId="7141709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כרך 1, עמ׳ 35–36. הספר, שיצא לאור בשנת תרצ״ג אחרי שנדפס בהמשכים </w:t>
      </w:r>
      <w:proofErr w:type="spellStart"/>
      <w:r>
        <w:rPr>
          <w:sz w:val="20"/>
          <w:szCs w:val="20"/>
          <w:rtl/>
        </w:rPr>
        <w:t>ב“מורנינג</w:t>
      </w:r>
      <w:proofErr w:type="spellEnd"/>
      <w:r>
        <w:rPr>
          <w:sz w:val="20"/>
          <w:szCs w:val="20"/>
          <w:rtl/>
        </w:rPr>
        <w:t xml:space="preserve"> </w:t>
      </w:r>
      <w:proofErr w:type="spellStart"/>
      <w:r>
        <w:rPr>
          <w:sz w:val="20"/>
          <w:szCs w:val="20"/>
          <w:rtl/>
        </w:rPr>
        <w:t>ג׳ורנל</w:t>
      </w:r>
      <w:proofErr w:type="spellEnd"/>
      <w:r>
        <w:rPr>
          <w:sz w:val="20"/>
          <w:szCs w:val="20"/>
          <w:rtl/>
        </w:rPr>
        <w:t xml:space="preserve">”, נכתב בשנות </w:t>
      </w:r>
      <w:proofErr w:type="spellStart"/>
      <w:r>
        <w:rPr>
          <w:sz w:val="20"/>
          <w:szCs w:val="20"/>
          <w:rtl/>
        </w:rPr>
        <w:t>התר״פ</w:t>
      </w:r>
      <w:proofErr w:type="spellEnd"/>
      <w:r>
        <w:rPr>
          <w:sz w:val="20"/>
          <w:szCs w:val="20"/>
          <w:rtl/>
        </w:rPr>
        <w:t>.</w:t>
      </w:r>
    </w:p>
  </w:footnote>
  <w:footnote w:id="871">
    <w:p w14:paraId="7689700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משלי כה, ו.</w:t>
      </w:r>
    </w:p>
  </w:footnote>
  <w:footnote w:id="872">
    <w:p w14:paraId="119AA8B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חגיגה ט ע״ב.</w:t>
      </w:r>
    </w:p>
  </w:footnote>
  <w:footnote w:id="873">
    <w:p w14:paraId="7547199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הדבר רשום </w:t>
      </w:r>
      <w:proofErr w:type="spellStart"/>
      <w:r>
        <w:rPr>
          <w:sz w:val="20"/>
          <w:szCs w:val="20"/>
          <w:rtl/>
        </w:rPr>
        <w:t>ב“מאוצרנו</w:t>
      </w:r>
      <w:proofErr w:type="spellEnd"/>
      <w:r>
        <w:rPr>
          <w:sz w:val="20"/>
          <w:szCs w:val="20"/>
          <w:rtl/>
        </w:rPr>
        <w:t xml:space="preserve"> הישן”, קיבץ ועיבד ב. </w:t>
      </w:r>
      <w:proofErr w:type="spellStart"/>
      <w:r>
        <w:rPr>
          <w:sz w:val="20"/>
          <w:szCs w:val="20"/>
          <w:rtl/>
        </w:rPr>
        <w:t>יאושזון</w:t>
      </w:r>
      <w:proofErr w:type="spellEnd"/>
      <w:r>
        <w:rPr>
          <w:sz w:val="20"/>
          <w:szCs w:val="20"/>
          <w:rtl/>
        </w:rPr>
        <w:t xml:space="preserve"> (ספריית מעריב, 1977), סוף פרשת בשלח.</w:t>
      </w:r>
    </w:p>
  </w:footnote>
  <w:footnote w:id="874">
    <w:p w14:paraId="43ACCC8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191.</w:t>
      </w:r>
    </w:p>
  </w:footnote>
  <w:footnote w:id="875">
    <w:p w14:paraId="572E626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סיפור אגדי נוסף, שבו גבר ר׳ </w:t>
      </w:r>
      <w:proofErr w:type="spellStart"/>
      <w:r>
        <w:rPr>
          <w:sz w:val="20"/>
          <w:szCs w:val="20"/>
          <w:rtl/>
        </w:rPr>
        <w:t>איצל׳ה</w:t>
      </w:r>
      <w:proofErr w:type="spellEnd"/>
      <w:r>
        <w:rPr>
          <w:sz w:val="20"/>
          <w:szCs w:val="20"/>
          <w:rtl/>
        </w:rPr>
        <w:t xml:space="preserve"> על הצאר בוויכוח אם היהודים מיותרים בעולם, רשום </w:t>
      </w:r>
      <w:proofErr w:type="spellStart"/>
      <w:r>
        <w:rPr>
          <w:sz w:val="20"/>
          <w:szCs w:val="20"/>
          <w:rtl/>
        </w:rPr>
        <w:t>ב“עובדות</w:t>
      </w:r>
      <w:proofErr w:type="spellEnd"/>
      <w:r>
        <w:rPr>
          <w:sz w:val="20"/>
          <w:szCs w:val="20"/>
          <w:rtl/>
        </w:rPr>
        <w:t xml:space="preserve"> והנהגות לבית </w:t>
      </w:r>
      <w:proofErr w:type="spellStart"/>
      <w:r>
        <w:rPr>
          <w:sz w:val="20"/>
          <w:szCs w:val="20"/>
          <w:rtl/>
        </w:rPr>
        <w:t>בריסק</w:t>
      </w:r>
      <w:proofErr w:type="spellEnd"/>
      <w:r>
        <w:rPr>
          <w:sz w:val="20"/>
          <w:szCs w:val="20"/>
          <w:rtl/>
        </w:rPr>
        <w:t xml:space="preserve">”, </w:t>
      </w:r>
      <w:proofErr w:type="spellStart"/>
      <w:r>
        <w:rPr>
          <w:sz w:val="20"/>
          <w:szCs w:val="20"/>
          <w:rtl/>
        </w:rPr>
        <w:t>ח״ב</w:t>
      </w:r>
      <w:proofErr w:type="spellEnd"/>
      <w:r>
        <w:rPr>
          <w:sz w:val="20"/>
          <w:szCs w:val="20"/>
          <w:rtl/>
        </w:rPr>
        <w:t xml:space="preserve">, עמ׳ </w:t>
      </w:r>
      <w:proofErr w:type="spellStart"/>
      <w:r>
        <w:rPr>
          <w:sz w:val="20"/>
          <w:szCs w:val="20"/>
          <w:rtl/>
        </w:rPr>
        <w:t>רצט</w:t>
      </w:r>
      <w:proofErr w:type="spellEnd"/>
      <w:r>
        <w:rPr>
          <w:sz w:val="20"/>
          <w:szCs w:val="20"/>
          <w:rtl/>
        </w:rPr>
        <w:t xml:space="preserve">, בשם נין נכדתו של ר׳ </w:t>
      </w:r>
      <w:proofErr w:type="spellStart"/>
      <w:r>
        <w:rPr>
          <w:sz w:val="20"/>
          <w:szCs w:val="20"/>
          <w:rtl/>
        </w:rPr>
        <w:t>איצל׳ה</w:t>
      </w:r>
      <w:proofErr w:type="spellEnd"/>
      <w:r>
        <w:rPr>
          <w:sz w:val="20"/>
          <w:szCs w:val="20"/>
          <w:rtl/>
        </w:rPr>
        <w:t xml:space="preserve">, ר׳ </w:t>
      </w:r>
      <w:proofErr w:type="spellStart"/>
      <w:r>
        <w:rPr>
          <w:sz w:val="20"/>
          <w:szCs w:val="20"/>
          <w:rtl/>
        </w:rPr>
        <w:t>משולם־דוד</w:t>
      </w:r>
      <w:proofErr w:type="spellEnd"/>
      <w:r>
        <w:rPr>
          <w:sz w:val="20"/>
          <w:szCs w:val="20"/>
          <w:rtl/>
        </w:rPr>
        <w:t xml:space="preserve"> </w:t>
      </w:r>
      <w:proofErr w:type="spellStart"/>
      <w:r>
        <w:rPr>
          <w:sz w:val="20"/>
          <w:szCs w:val="20"/>
          <w:rtl/>
        </w:rPr>
        <w:t>סולובייצ׳יק</w:t>
      </w:r>
      <w:proofErr w:type="spellEnd"/>
      <w:r>
        <w:rPr>
          <w:sz w:val="20"/>
          <w:szCs w:val="20"/>
          <w:rtl/>
        </w:rPr>
        <w:t xml:space="preserve">. אם אכן היה דו־שיח כזה, ודאי התקיים בין ר׳ </w:t>
      </w:r>
      <w:proofErr w:type="spellStart"/>
      <w:r>
        <w:rPr>
          <w:sz w:val="20"/>
          <w:szCs w:val="20"/>
          <w:rtl/>
        </w:rPr>
        <w:t>איצל׳ה</w:t>
      </w:r>
      <w:proofErr w:type="spellEnd"/>
      <w:r>
        <w:rPr>
          <w:sz w:val="20"/>
          <w:szCs w:val="20"/>
          <w:rtl/>
        </w:rPr>
        <w:t xml:space="preserve"> ובין אחד השרים, ולא הצאר. ראה גם את הערת שוליים </w:t>
      </w:r>
      <w:r>
        <w:rPr>
          <w:sz w:val="20"/>
          <w:szCs w:val="20"/>
          <w:rtl/>
        </w:rPr>
        <w:fldChar w:fldCharType="begin" w:dirty="true"/>
      </w:r>
      <w:r>
        <w:rPr>
          <w:sz w:val="20"/>
          <w:szCs w:val="20"/>
          <w:rtl/>
        </w:rPr>
        <w:instrText xml:space="preserve"> NOTEREF pr_f_799 \h </w:instrText>
      </w:r>
      <w:r>
        <w:rPr>
          <w:sz w:val="20"/>
          <w:szCs w:val="20"/>
          <w:rtl/>
        </w:rPr>
      </w:r>
      <w:r>
        <w:rPr>
          <w:sz w:val="20"/>
          <w:szCs w:val="20"/>
          <w:rtl/>
        </w:rPr>
        <w:fldChar w:fldCharType="separate"/>
      </w:r>
      <w:r w:rsidR="007923E9">
        <w:rPr>
          <w:sz w:val="20"/>
          <w:szCs w:val="20"/>
          <w:rtl/>
        </w:rPr>
        <w:t>430</w:t>
      </w:r>
      <w:r>
        <w:rPr>
          <w:sz w:val="20"/>
          <w:szCs w:val="20"/>
          <w:rtl/>
        </w:rPr>
        <w:fldChar w:fldCharType="end"/>
      </w:r>
      <w:r>
        <w:rPr>
          <w:sz w:val="20"/>
          <w:szCs w:val="20"/>
          <w:rtl/>
        </w:rPr>
        <w:t xml:space="preserve"> (עמ׳ </w:t>
      </w:r>
      <w:r>
        <w:rPr>
          <w:sz w:val="20"/>
          <w:szCs w:val="20"/>
          <w:rtl/>
        </w:rPr>
        <w:fldChar w:fldCharType="begin" w:dirty="true"/>
      </w:r>
      <w:r>
        <w:rPr>
          <w:sz w:val="20"/>
          <w:szCs w:val="20"/>
          <w:rtl/>
        </w:rPr>
        <w:instrText xml:space="preserve"> PAGEREF pr_f_799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להלן.</w:t>
      </w:r>
    </w:p>
  </w:footnote>
  <w:footnote w:id="876">
    <w:p w14:paraId="2981043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ייתכן שהתעניינות זו נבעה לא מכך שיהודים רבים ישבו בארצו, אלא מזיקתו הכללית ללימודים הקלאסיים. דוגמה לכך: בשנת 1837 הוציא פקודה הפוטרת משירות בצבא הצאר כל יהודי שנעשה איכר או </w:t>
      </w:r>
      <w:r>
        <w:rPr>
          <w:b/>
          <w:bCs/>
          <w:sz w:val="20"/>
          <w:szCs w:val="20"/>
          <w:rtl/>
        </w:rPr>
        <w:t>שלמד את הלשונות הקלאסיות, לטינית ויוונית</w:t>
      </w:r>
      <w:r>
        <w:rPr>
          <w:sz w:val="20"/>
          <w:szCs w:val="20"/>
          <w:rtl/>
        </w:rPr>
        <w:t>.</w:t>
      </w:r>
    </w:p>
  </w:footnote>
  <w:footnote w:id="877">
    <w:p w14:paraId="558ACDA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תתקסה</w:t>
      </w:r>
      <w:proofErr w:type="spellEnd"/>
      <w:r>
        <w:rPr>
          <w:sz w:val="20"/>
          <w:szCs w:val="20"/>
          <w:rtl/>
        </w:rPr>
        <w:t>–1932.</w:t>
      </w:r>
    </w:p>
  </w:footnote>
  <w:footnote w:id="878">
    <w:p w14:paraId="4900513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בבא מציעא מט ע״ב ואילך.</w:t>
      </w:r>
    </w:p>
  </w:footnote>
  <w:footnote w:id="879">
    <w:p w14:paraId="2C37904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חבקוק ג, ד.</w:t>
      </w:r>
    </w:p>
  </w:footnote>
  <w:footnote w:id="880">
    <w:p w14:paraId="6AA5E41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שמואל א׳ </w:t>
      </w:r>
      <w:proofErr w:type="spellStart"/>
      <w:r>
        <w:rPr>
          <w:sz w:val="20"/>
          <w:szCs w:val="20"/>
          <w:rtl/>
        </w:rPr>
        <w:t>יז</w:t>
      </w:r>
      <w:proofErr w:type="spellEnd"/>
      <w:r>
        <w:rPr>
          <w:sz w:val="20"/>
          <w:szCs w:val="20"/>
          <w:rtl/>
        </w:rPr>
        <w:t xml:space="preserve">, ד, </w:t>
      </w:r>
      <w:proofErr w:type="spellStart"/>
      <w:r>
        <w:rPr>
          <w:sz w:val="20"/>
          <w:szCs w:val="20"/>
          <w:rtl/>
        </w:rPr>
        <w:t>ו“דעת</w:t>
      </w:r>
      <w:proofErr w:type="spellEnd"/>
      <w:r>
        <w:rPr>
          <w:sz w:val="20"/>
          <w:szCs w:val="20"/>
          <w:rtl/>
        </w:rPr>
        <w:t xml:space="preserve"> מקרא” (מוסד הרב קוק, ירושלים, תשמ״א) שם, שהביטוי אינו ברור. מחבר הכתובת השתמש כנראה במונח זה במובן “הנציג”.</w:t>
      </w:r>
    </w:p>
  </w:footnote>
  <w:footnote w:id="881">
    <w:p w14:paraId="792BC4A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מכך שנאמר שר׳ </w:t>
      </w:r>
      <w:proofErr w:type="spellStart"/>
      <w:r>
        <w:rPr>
          <w:sz w:val="20"/>
          <w:szCs w:val="20"/>
          <w:rtl/>
        </w:rPr>
        <w:t>איצל׳ה</w:t>
      </w:r>
      <w:proofErr w:type="spellEnd"/>
      <w:r>
        <w:rPr>
          <w:sz w:val="20"/>
          <w:szCs w:val="20"/>
          <w:rtl/>
        </w:rPr>
        <w:t xml:space="preserve"> עמד רק לפני השרים, ולא לפני הצאר עצמו, יש לנו ראיה שהסיפור שהוזכר בהערת שוליים </w:t>
      </w:r>
      <w:r>
        <w:rPr>
          <w:sz w:val="20"/>
          <w:szCs w:val="20"/>
          <w:rtl/>
        </w:rPr>
        <w:fldChar w:fldCharType="begin" w:dirty="true"/>
      </w:r>
      <w:r>
        <w:rPr>
          <w:sz w:val="20"/>
          <w:szCs w:val="20"/>
          <w:rtl/>
        </w:rPr>
        <w:instrText xml:space="preserve"> NOTEREF pr_f_793 \h </w:instrText>
      </w:r>
      <w:r>
        <w:rPr>
          <w:sz w:val="20"/>
          <w:szCs w:val="20"/>
          <w:rtl/>
        </w:rPr>
      </w:r>
      <w:r>
        <w:rPr>
          <w:sz w:val="20"/>
          <w:szCs w:val="20"/>
          <w:rtl/>
        </w:rPr>
        <w:fldChar w:fldCharType="separate"/>
      </w:r>
      <w:r w:rsidR="007923E9">
        <w:rPr>
          <w:sz w:val="20"/>
          <w:szCs w:val="20"/>
          <w:rtl/>
        </w:rPr>
        <w:t>424</w:t>
      </w:r>
      <w:r>
        <w:rPr>
          <w:sz w:val="20"/>
          <w:szCs w:val="20"/>
          <w:rtl/>
        </w:rPr>
        <w:fldChar w:fldCharType="end"/>
      </w:r>
      <w:r>
        <w:rPr>
          <w:sz w:val="20"/>
          <w:szCs w:val="20"/>
          <w:rtl/>
        </w:rPr>
        <w:t xml:space="preserve"> לעיל אגדי. ר׳ </w:t>
      </w:r>
      <w:proofErr w:type="spellStart"/>
      <w:r>
        <w:rPr>
          <w:sz w:val="20"/>
          <w:szCs w:val="20"/>
          <w:rtl/>
        </w:rPr>
        <w:t>איצל׳ה</w:t>
      </w:r>
      <w:proofErr w:type="spellEnd"/>
      <w:r>
        <w:rPr>
          <w:sz w:val="20"/>
          <w:szCs w:val="20"/>
          <w:rtl/>
        </w:rPr>
        <w:t xml:space="preserve"> מעולם לא נתקבל לריאיון אצל הצאר.</w:t>
      </w:r>
    </w:p>
  </w:footnote>
  <w:footnote w:id="882">
    <w:p w14:paraId="1F234DE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השנה אינה כתובה כאן במספרה, אלא </w:t>
      </w:r>
      <w:proofErr w:type="spellStart"/>
      <w:r>
        <w:rPr>
          <w:sz w:val="20"/>
          <w:szCs w:val="20"/>
          <w:rtl/>
        </w:rPr>
        <w:t>בגימטריה</w:t>
      </w:r>
      <w:proofErr w:type="spellEnd"/>
      <w:r>
        <w:rPr>
          <w:sz w:val="20"/>
          <w:szCs w:val="20"/>
          <w:rtl/>
        </w:rPr>
        <w:t xml:space="preserve"> של ראש פסוק בשמואל ב׳ טו, </w:t>
      </w:r>
      <w:proofErr w:type="spellStart"/>
      <w:r>
        <w:rPr>
          <w:sz w:val="20"/>
          <w:szCs w:val="20"/>
          <w:rtl/>
        </w:rPr>
        <w:t>כג</w:t>
      </w:r>
      <w:proofErr w:type="spellEnd"/>
      <w:r>
        <w:rPr>
          <w:sz w:val="20"/>
          <w:szCs w:val="20"/>
          <w:rtl/>
        </w:rPr>
        <w:t xml:space="preserve">: “וכל הארץ בוכים קול גדול”. אני מודה </w:t>
      </w:r>
      <w:proofErr w:type="spellStart"/>
      <w:r>
        <w:rPr>
          <w:sz w:val="20"/>
          <w:szCs w:val="20"/>
          <w:rtl/>
        </w:rPr>
        <w:t>לר</w:t>
      </w:r>
      <w:proofErr w:type="spellEnd"/>
      <w:r>
        <w:rPr>
          <w:sz w:val="20"/>
          <w:szCs w:val="20"/>
          <w:rtl/>
        </w:rPr>
        <w:t xml:space="preserve">׳ יוסף </w:t>
      </w:r>
      <w:proofErr w:type="spellStart"/>
      <w:r>
        <w:rPr>
          <w:sz w:val="20"/>
          <w:szCs w:val="20"/>
          <w:rtl/>
        </w:rPr>
        <w:t>בוקסבוים</w:t>
      </w:r>
      <w:proofErr w:type="spellEnd"/>
      <w:r>
        <w:rPr>
          <w:sz w:val="20"/>
          <w:szCs w:val="20"/>
          <w:rtl/>
        </w:rPr>
        <w:t xml:space="preserve">, ראש “מכון ירושלים”, שהמציא לי את נוסח הכתובת. הרב </w:t>
      </w:r>
      <w:proofErr w:type="spellStart"/>
      <w:r>
        <w:rPr>
          <w:sz w:val="20"/>
          <w:szCs w:val="20"/>
          <w:rtl/>
        </w:rPr>
        <w:t>בוקסבוים</w:t>
      </w:r>
      <w:proofErr w:type="spellEnd"/>
      <w:r>
        <w:rPr>
          <w:sz w:val="20"/>
          <w:szCs w:val="20"/>
          <w:rtl/>
        </w:rPr>
        <w:t xml:space="preserve"> גילה אותה בין כתביו של רב </w:t>
      </w:r>
      <w:proofErr w:type="spellStart"/>
      <w:r>
        <w:rPr>
          <w:sz w:val="20"/>
          <w:szCs w:val="20"/>
          <w:rtl/>
        </w:rPr>
        <w:t>פינסק</w:t>
      </w:r>
      <w:proofErr w:type="spellEnd"/>
      <w:r>
        <w:rPr>
          <w:sz w:val="20"/>
          <w:szCs w:val="20"/>
          <w:rtl/>
        </w:rPr>
        <w:t xml:space="preserve">, ר׳ הירש </w:t>
      </w:r>
      <w:proofErr w:type="spellStart"/>
      <w:r>
        <w:rPr>
          <w:sz w:val="20"/>
          <w:szCs w:val="20"/>
          <w:rtl/>
        </w:rPr>
        <w:t>וולק</w:t>
      </w:r>
      <w:proofErr w:type="spellEnd"/>
      <w:r>
        <w:rPr>
          <w:sz w:val="20"/>
          <w:szCs w:val="20"/>
          <w:rtl/>
        </w:rPr>
        <w:t xml:space="preserve">, ולצדה רשימה שלפיה הועתקה מכתבי היד של חותנו, ר׳ </w:t>
      </w:r>
      <w:proofErr w:type="spellStart"/>
      <w:r>
        <w:rPr>
          <w:sz w:val="20"/>
          <w:szCs w:val="20"/>
          <w:rtl/>
        </w:rPr>
        <w:t>מרדכי־גימפל</w:t>
      </w:r>
      <w:proofErr w:type="spellEnd"/>
      <w:r>
        <w:rPr>
          <w:sz w:val="20"/>
          <w:szCs w:val="20"/>
          <w:rtl/>
        </w:rPr>
        <w:t xml:space="preserve"> יפה, רב </w:t>
      </w:r>
      <w:proofErr w:type="spellStart"/>
      <w:r>
        <w:rPr>
          <w:sz w:val="20"/>
          <w:szCs w:val="20"/>
          <w:rtl/>
        </w:rPr>
        <w:t>רוז׳ינאי</w:t>
      </w:r>
      <w:proofErr w:type="spellEnd"/>
      <w:r>
        <w:rPr>
          <w:sz w:val="20"/>
          <w:szCs w:val="20"/>
          <w:rtl/>
        </w:rPr>
        <w:t xml:space="preserve">, תלמידו של ר׳ </w:t>
      </w:r>
      <w:proofErr w:type="spellStart"/>
      <w:r>
        <w:rPr>
          <w:sz w:val="20"/>
          <w:szCs w:val="20"/>
          <w:rtl/>
        </w:rPr>
        <w:t>איצל׳ה</w:t>
      </w:r>
      <w:proofErr w:type="spellEnd"/>
      <w:r>
        <w:rPr>
          <w:sz w:val="20"/>
          <w:szCs w:val="20"/>
          <w:rtl/>
        </w:rPr>
        <w:t>.</w:t>
      </w:r>
    </w:p>
  </w:footnote>
  <w:footnote w:id="883">
    <w:p w14:paraId="286F47B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א, עמ׳ 101–102.</w:t>
      </w:r>
    </w:p>
  </w:footnote>
  <w:footnote w:id="884">
    <w:p w14:paraId="502014C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הוא שהה שם זמן קצר בילדותו, כשאביו היה רב בעיר זו, יותר מחצי מאה קודם לכן.</w:t>
      </w:r>
    </w:p>
  </w:footnote>
  <w:footnote w:id="885">
    <w:p w14:paraId="79CAA89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הפסקה הקודמת.</w:t>
      </w:r>
    </w:p>
  </w:footnote>
  <w:footnote w:id="886">
    <w:p w14:paraId="6EB31B9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“פון </w:t>
      </w:r>
      <w:proofErr w:type="spellStart"/>
      <w:r>
        <w:rPr>
          <w:sz w:val="20"/>
          <w:szCs w:val="20"/>
          <w:rtl/>
        </w:rPr>
        <w:t>וואלאזין</w:t>
      </w:r>
      <w:proofErr w:type="spellEnd"/>
      <w:r>
        <w:rPr>
          <w:sz w:val="20"/>
          <w:szCs w:val="20"/>
          <w:rtl/>
        </w:rPr>
        <w:t xml:space="preserve"> </w:t>
      </w:r>
      <w:proofErr w:type="spellStart"/>
      <w:r>
        <w:rPr>
          <w:sz w:val="20"/>
          <w:szCs w:val="20"/>
          <w:rtl/>
        </w:rPr>
        <w:t>ביז</w:t>
      </w:r>
      <w:proofErr w:type="spellEnd"/>
      <w:r>
        <w:rPr>
          <w:sz w:val="20"/>
          <w:szCs w:val="20"/>
          <w:rtl/>
        </w:rPr>
        <w:t xml:space="preserve"> ירושלים”, עמ׳ 81, שבו מתאר בנו את “דרכו של </w:t>
      </w:r>
      <w:proofErr w:type="spellStart"/>
      <w:r>
        <w:rPr>
          <w:sz w:val="20"/>
          <w:szCs w:val="20"/>
          <w:rtl/>
        </w:rPr>
        <w:t>הנצי״ב</w:t>
      </w:r>
      <w:proofErr w:type="spellEnd"/>
      <w:r>
        <w:rPr>
          <w:sz w:val="20"/>
          <w:szCs w:val="20"/>
          <w:rtl/>
        </w:rPr>
        <w:t xml:space="preserve"> ביושר בלי שום תככים ותחבולות... שלא פעם לא הבינוה ויחסוה ל(חוסר) כשרון”.</w:t>
      </w:r>
    </w:p>
  </w:footnote>
  <w:footnote w:id="887">
    <w:p w14:paraId="6837906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82.</w:t>
      </w:r>
    </w:p>
  </w:footnote>
  <w:footnote w:id="888">
    <w:p w14:paraId="36AACF8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המחבר מתכוון למלחמותיו בחומסים: בעל נכדתו של חותנו, ר׳ </w:t>
      </w:r>
      <w:proofErr w:type="spellStart"/>
      <w:r>
        <w:rPr>
          <w:sz w:val="20"/>
          <w:szCs w:val="20"/>
          <w:rtl/>
        </w:rPr>
        <w:t xml:space="preserve">יהושע־העשיל</w:t>
      </w:r>
      <w:proofErr w:type="spellEnd"/>
      <w:r>
        <w:rPr>
          <w:sz w:val="20"/>
          <w:szCs w:val="20"/>
          <w:rtl/>
        </w:rPr>
        <w:t xml:space="preserve"> לוין, בתחילת כהונתו של ר׳ </w:t>
      </w:r>
      <w:proofErr w:type="spellStart"/>
      <w:r>
        <w:rPr>
          <w:sz w:val="20"/>
          <w:szCs w:val="20"/>
          <w:rtl/>
        </w:rPr>
        <w:t>נפתלי־צבי־יהודה</w:t>
      </w:r>
      <w:proofErr w:type="spellEnd"/>
      <w:r>
        <w:rPr>
          <w:sz w:val="20"/>
          <w:szCs w:val="20"/>
          <w:rtl/>
        </w:rPr>
        <w:t xml:space="preserve"> ברלין, בשנת תרי״ד (ראה פרק 4, הפסקה השנייה של נספח </w:t>
      </w:r>
      <w:proofErr w:type="spellStart"/>
      <w:r>
        <w:rPr>
          <w:sz w:val="20"/>
          <w:szCs w:val="20"/>
          <w:rtl/>
        </w:rPr>
        <w:t>יג</w:t>
      </w:r>
      <w:proofErr w:type="spellEnd"/>
      <w:r>
        <w:rPr>
          <w:sz w:val="20"/>
          <w:szCs w:val="20"/>
          <w:rtl/>
        </w:rPr>
        <w:t xml:space="preserve">); ר׳ יוסף־דב </w:t>
      </w:r>
      <w:proofErr w:type="spellStart"/>
      <w:r>
        <w:rPr>
          <w:sz w:val="20"/>
          <w:szCs w:val="20"/>
          <w:rtl/>
        </w:rPr>
        <w:t>סולובייצ׳יק</w:t>
      </w:r>
      <w:proofErr w:type="spellEnd"/>
      <w:r>
        <w:rPr>
          <w:sz w:val="20"/>
          <w:szCs w:val="20"/>
          <w:rtl/>
        </w:rPr>
        <w:t xml:space="preserve">, כעבור שלוש שנים, בשנות תרי״ז–תרי״ח (ראה פרק 3, נספח יא); ור׳ </w:t>
      </w:r>
      <w:proofErr w:type="spellStart"/>
      <w:r>
        <w:rPr>
          <w:sz w:val="20"/>
          <w:szCs w:val="20"/>
          <w:rtl/>
        </w:rPr>
        <w:t>חיים־הלל</w:t>
      </w:r>
      <w:proofErr w:type="spellEnd"/>
      <w:r>
        <w:rPr>
          <w:sz w:val="20"/>
          <w:szCs w:val="20"/>
          <w:rtl/>
        </w:rPr>
        <w:t xml:space="preserve"> פריד, נכד חותנו, בסביבות שנת תרכ״ה.</w:t>
      </w:r>
    </w:p>
  </w:footnote>
  <w:footnote w:id="889">
    <w:p w14:paraId="51E926C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78–81.</w:t>
      </w:r>
    </w:p>
  </w:footnote>
  <w:footnote w:id="890">
    <w:p w14:paraId="78821A0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127 (בעמ׳ 80).</w:t>
      </w:r>
    </w:p>
  </w:footnote>
  <w:footnote w:id="891">
    <w:p w14:paraId="322D680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1678–</w:t>
      </w:r>
      <w:proofErr w:type="spellStart"/>
      <w:r>
        <w:rPr>
          <w:sz w:val="20"/>
          <w:szCs w:val="20"/>
          <w:rtl/>
        </w:rPr>
        <w:t>תתמ</w:t>
      </w:r>
      <w:proofErr w:type="spellEnd"/>
      <w:r>
        <w:rPr>
          <w:sz w:val="20"/>
          <w:szCs w:val="20"/>
          <w:rtl/>
        </w:rPr>
        <w:t>.</w:t>
      </w:r>
    </w:p>
  </w:footnote>
  <w:footnote w:id="892">
    <w:p w14:paraId="12FD3E3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1680.</w:t>
      </w:r>
    </w:p>
  </w:footnote>
  <w:footnote w:id="893">
    <w:p w14:paraId="1849BEF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תהלים </w:t>
      </w:r>
      <w:proofErr w:type="spellStart"/>
      <w:r>
        <w:rPr>
          <w:sz w:val="20"/>
          <w:szCs w:val="20"/>
          <w:rtl/>
        </w:rPr>
        <w:t>קיח</w:t>
      </w:r>
      <w:proofErr w:type="spellEnd"/>
      <w:r>
        <w:rPr>
          <w:sz w:val="20"/>
          <w:szCs w:val="20"/>
          <w:rtl/>
        </w:rPr>
        <w:t xml:space="preserve">, </w:t>
      </w:r>
      <w:proofErr w:type="spellStart"/>
      <w:r>
        <w:rPr>
          <w:sz w:val="20"/>
          <w:szCs w:val="20"/>
          <w:rtl/>
        </w:rPr>
        <w:t>כב</w:t>
      </w:r>
      <w:proofErr w:type="spellEnd"/>
      <w:r>
        <w:rPr>
          <w:sz w:val="20"/>
          <w:szCs w:val="20"/>
          <w:rtl/>
        </w:rPr>
        <w:t>.</w:t>
      </w:r>
    </w:p>
  </w:footnote>
  <w:footnote w:id="894">
    <w:p w14:paraId="602FFFE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תתמב</w:t>
      </w:r>
      <w:proofErr w:type="spellEnd"/>
      <w:r>
        <w:rPr>
          <w:sz w:val="20"/>
          <w:szCs w:val="20"/>
          <w:rtl/>
        </w:rPr>
        <w:t>.</w:t>
      </w:r>
    </w:p>
  </w:footnote>
  <w:footnote w:id="895">
    <w:p w14:paraId="2C78B8D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אף </w:t>
      </w:r>
      <w:proofErr w:type="spellStart"/>
      <w:r>
        <w:rPr>
          <w:sz w:val="20"/>
          <w:szCs w:val="20"/>
          <w:rtl/>
        </w:rPr>
        <w:t>ש“כשרונותיו</w:t>
      </w:r>
      <w:proofErr w:type="spellEnd"/>
      <w:r>
        <w:rPr>
          <w:sz w:val="20"/>
          <w:szCs w:val="20"/>
          <w:rtl/>
        </w:rPr>
        <w:t xml:space="preserve"> היו בערך בינוניים, ועל כל פנים לא מצוינים” (“מקור ברוך”, עמ׳ 1678).</w:t>
      </w:r>
    </w:p>
  </w:footnote>
  <w:footnote w:id="896">
    <w:p w14:paraId="2E575F2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“ספר </w:t>
      </w:r>
      <w:proofErr w:type="spellStart"/>
      <w:r>
        <w:rPr>
          <w:sz w:val="20"/>
          <w:szCs w:val="20"/>
          <w:rtl/>
        </w:rPr>
        <w:t>שמוש</w:t>
      </w:r>
      <w:proofErr w:type="spellEnd"/>
      <w:r>
        <w:rPr>
          <w:sz w:val="20"/>
          <w:szCs w:val="20"/>
          <w:rtl/>
        </w:rPr>
        <w:t xml:space="preserve"> חכמים – כתוב ומסודר לדפוס ע״י אשר... ברגמן” (בני ברק, תשס״א), עמ׳ פח–פט, מביא בשם ר׳ אלחנן וסרמן שפעם אחת מעד </w:t>
      </w:r>
      <w:proofErr w:type="spellStart"/>
      <w:r>
        <w:rPr>
          <w:sz w:val="20"/>
          <w:szCs w:val="20"/>
          <w:rtl/>
        </w:rPr>
        <w:t>הנצי״ב</w:t>
      </w:r>
      <w:proofErr w:type="spellEnd"/>
      <w:r>
        <w:rPr>
          <w:sz w:val="20"/>
          <w:szCs w:val="20"/>
          <w:rtl/>
        </w:rPr>
        <w:t xml:space="preserve"> ונפל כשהלך עם ספר תורה בבית המדרש </w:t>
      </w:r>
      <w:proofErr w:type="spellStart"/>
      <w:r>
        <w:rPr>
          <w:sz w:val="20"/>
          <w:szCs w:val="20"/>
          <w:rtl/>
        </w:rPr>
        <w:t>בוולוז׳ין</w:t>
      </w:r>
      <w:proofErr w:type="spellEnd"/>
      <w:r>
        <w:rPr>
          <w:sz w:val="20"/>
          <w:szCs w:val="20"/>
          <w:rtl/>
        </w:rPr>
        <w:t xml:space="preserve">, ור׳ </w:t>
      </w:r>
      <w:proofErr w:type="spellStart"/>
      <w:r>
        <w:rPr>
          <w:sz w:val="20"/>
          <w:szCs w:val="20"/>
          <w:rtl/>
        </w:rPr>
        <w:t>איצל׳ה</w:t>
      </w:r>
      <w:proofErr w:type="spellEnd"/>
      <w:r>
        <w:rPr>
          <w:sz w:val="20"/>
          <w:szCs w:val="20"/>
          <w:rtl/>
        </w:rPr>
        <w:t xml:space="preserve"> צעק שירימו קודם את ר׳ </w:t>
      </w:r>
      <w:proofErr w:type="spellStart"/>
      <w:r>
        <w:rPr>
          <w:sz w:val="20"/>
          <w:szCs w:val="20"/>
          <w:rtl/>
        </w:rPr>
        <w:t>הירש־לייב</w:t>
      </w:r>
      <w:proofErr w:type="spellEnd"/>
      <w:r>
        <w:rPr>
          <w:sz w:val="20"/>
          <w:szCs w:val="20"/>
          <w:rtl/>
        </w:rPr>
        <w:t xml:space="preserve"> (</w:t>
      </w:r>
      <w:proofErr w:type="spellStart"/>
      <w:r>
        <w:rPr>
          <w:sz w:val="20"/>
          <w:szCs w:val="20"/>
          <w:rtl/>
        </w:rPr>
        <w:t>הנצי״ב</w:t>
      </w:r>
      <w:proofErr w:type="spellEnd"/>
      <w:r>
        <w:rPr>
          <w:sz w:val="20"/>
          <w:szCs w:val="20"/>
          <w:rtl/>
        </w:rPr>
        <w:t xml:space="preserve">). ר׳ אלחנן הסביר פסק זה במאמר חז״ל שספר תורה חי חשוב מזה הכתוב על קלף (מכות </w:t>
      </w:r>
      <w:proofErr w:type="spellStart"/>
      <w:r>
        <w:rPr>
          <w:sz w:val="20"/>
          <w:szCs w:val="20"/>
          <w:rtl/>
        </w:rPr>
        <w:t>כב</w:t>
      </w:r>
      <w:proofErr w:type="spellEnd"/>
      <w:r>
        <w:rPr>
          <w:sz w:val="20"/>
          <w:szCs w:val="20"/>
          <w:rtl/>
        </w:rPr>
        <w:t xml:space="preserve"> ע״ב). אם הסברו של ר׳ אלחנן לפסקו של ר׳ </w:t>
      </w:r>
      <w:proofErr w:type="spellStart"/>
      <w:r>
        <w:rPr>
          <w:sz w:val="20"/>
          <w:szCs w:val="20"/>
          <w:rtl/>
        </w:rPr>
        <w:t>איצל׳ה</w:t>
      </w:r>
      <w:proofErr w:type="spellEnd"/>
      <w:r>
        <w:rPr>
          <w:sz w:val="20"/>
          <w:szCs w:val="20"/>
          <w:rtl/>
        </w:rPr>
        <w:t xml:space="preserve"> נכון, ודאי אירע מעשה זה בתקופה הקצרה שבה נשא </w:t>
      </w:r>
      <w:proofErr w:type="spellStart"/>
      <w:r>
        <w:rPr>
          <w:sz w:val="20"/>
          <w:szCs w:val="20"/>
          <w:rtl/>
        </w:rPr>
        <w:t>הנצי״ב</w:t>
      </w:r>
      <w:proofErr w:type="spellEnd"/>
      <w:r>
        <w:rPr>
          <w:sz w:val="20"/>
          <w:szCs w:val="20"/>
          <w:rtl/>
        </w:rPr>
        <w:t xml:space="preserve"> חן בעיני ר׳ </w:t>
      </w:r>
      <w:proofErr w:type="spellStart"/>
      <w:r>
        <w:rPr>
          <w:sz w:val="20"/>
          <w:szCs w:val="20"/>
          <w:rtl/>
        </w:rPr>
        <w:t>איצל׳ה</w:t>
      </w:r>
      <w:proofErr w:type="spellEnd"/>
      <w:r>
        <w:rPr>
          <w:sz w:val="20"/>
          <w:szCs w:val="20"/>
          <w:rtl/>
        </w:rPr>
        <w:t>.</w:t>
      </w:r>
    </w:p>
  </w:footnote>
  <w:footnote w:id="897">
    <w:p w14:paraId="68EB2A1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555.</w:t>
      </w:r>
    </w:p>
  </w:footnote>
  <w:footnote w:id="898">
    <w:p w14:paraId="20BAD86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85.</w:t>
      </w:r>
    </w:p>
  </w:footnote>
  <w:footnote w:id="899">
    <w:p w14:paraId="3B0BA5C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86.</w:t>
      </w:r>
    </w:p>
  </w:footnote>
  <w:footnote w:id="900">
    <w:p w14:paraId="48E49BE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87–88.</w:t>
      </w:r>
    </w:p>
  </w:footnote>
  <w:footnote w:id="901">
    <w:p w14:paraId="053D3B5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85.</w:t>
      </w:r>
    </w:p>
  </w:footnote>
  <w:footnote w:id="902">
    <w:p w14:paraId="191962D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לשונו המדויקת של התזכיר הסודי לקוחה </w:t>
      </w:r>
      <w:proofErr w:type="spellStart"/>
      <w:r>
        <w:rPr>
          <w:sz w:val="20"/>
          <w:szCs w:val="20"/>
          <w:rtl/>
        </w:rPr>
        <w:t>מ“מקור</w:t>
      </w:r>
      <w:proofErr w:type="spellEnd"/>
      <w:r>
        <w:rPr>
          <w:sz w:val="20"/>
          <w:szCs w:val="20"/>
          <w:rtl/>
        </w:rPr>
        <w:t xml:space="preserve"> ברוך”, עמ׳ 1072.</w:t>
      </w:r>
    </w:p>
  </w:footnote>
  <w:footnote w:id="903">
    <w:p w14:paraId="7DF10EA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86.</w:t>
      </w:r>
    </w:p>
  </w:footnote>
  <w:footnote w:id="904">
    <w:p w14:paraId="23CCA40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סטניסלבסקי אינו נוהג </w:t>
      </w:r>
      <w:proofErr w:type="spellStart"/>
      <w:r>
        <w:rPr>
          <w:sz w:val="20"/>
          <w:szCs w:val="20"/>
          <w:rtl/>
        </w:rPr>
        <w:t>בליליינטל</w:t>
      </w:r>
      <w:proofErr w:type="spellEnd"/>
      <w:r>
        <w:rPr>
          <w:sz w:val="20"/>
          <w:szCs w:val="20"/>
          <w:rtl/>
        </w:rPr>
        <w:t xml:space="preserve"> שום מידה של לימוד זכות, כפי שנהג ר׳ </w:t>
      </w:r>
      <w:proofErr w:type="spellStart"/>
      <w:r>
        <w:rPr>
          <w:sz w:val="20"/>
          <w:szCs w:val="20"/>
          <w:rtl/>
        </w:rPr>
        <w:t>נפתלי־צבי־יהודה</w:t>
      </w:r>
      <w:proofErr w:type="spellEnd"/>
      <w:r>
        <w:rPr>
          <w:sz w:val="20"/>
          <w:szCs w:val="20"/>
          <w:rtl/>
        </w:rPr>
        <w:t xml:space="preserve"> ברלין.</w:t>
      </w:r>
    </w:p>
  </w:footnote>
  <w:footnote w:id="905">
    <w:p w14:paraId="7CBDFF7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87–88.</w:t>
      </w:r>
    </w:p>
  </w:footnote>
  <w:footnote w:id="906">
    <w:p w14:paraId="1FFDED9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הוא מובא שם, עמ׳ 90, מתוך “</w:t>
      </w:r>
      <w:proofErr w:type="spellStart"/>
      <w:r>
        <w:rPr>
          <w:sz w:val="20"/>
          <w:szCs w:val="20"/>
          <w:rtl/>
        </w:rPr>
        <w:t>ג׳ואיש</w:t>
      </w:r>
      <w:proofErr w:type="spellEnd"/>
      <w:r>
        <w:rPr>
          <w:sz w:val="20"/>
          <w:szCs w:val="20"/>
          <w:rtl/>
        </w:rPr>
        <w:t xml:space="preserve"> טיימס” משנת 1870.</w:t>
      </w:r>
    </w:p>
  </w:footnote>
  <w:footnote w:id="907">
    <w:p w14:paraId="6B909BC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w:t>
      </w:r>
      <w:proofErr w:type="spellStart"/>
      <w:r>
        <w:rPr>
          <w:sz w:val="20"/>
          <w:szCs w:val="20"/>
          <w:rtl/>
        </w:rPr>
        <w:t>זכרון</w:t>
      </w:r>
      <w:proofErr w:type="spellEnd"/>
      <w:r>
        <w:rPr>
          <w:sz w:val="20"/>
          <w:szCs w:val="20"/>
          <w:rtl/>
        </w:rPr>
        <w:t xml:space="preserve"> יעקב” על גורלה של גזרה זו. בכרך א, עמ׳ 231, נאמר שחומרתה הוקלה בידי הצאר אלכסנדר השני בהשתדלות רבנים ועסקנים יהודים: ליהודים שישבו באזור האסור לפני שנת תרי״ח הותר רשמית להישאר בו. בכרך ג, עמ׳ 203, נאמר שביצוע הגזרה נדחה כמה פעמים, עד שבוטלה לגמרי בידי הצאר ניקולאי השני בשנת תרנ״ה.</w:t>
      </w:r>
    </w:p>
  </w:footnote>
  <w:footnote w:id="908">
    <w:p w14:paraId="25B5575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כמובא בסטניסלבסקי, עמ׳ 89–90 (מתוך </w:t>
      </w:r>
      <w:proofErr w:type="spellStart"/>
      <w:r>
        <w:rPr>
          <w:sz w:val="20"/>
          <w:szCs w:val="20"/>
          <w:rtl/>
        </w:rPr>
        <w:t>פיליפסון</w:t>
      </w:r>
      <w:proofErr w:type="spellEnd"/>
      <w:r>
        <w:rPr>
          <w:sz w:val="20"/>
          <w:szCs w:val="20"/>
          <w:rtl/>
        </w:rPr>
        <w:t>, עמ׳ 155).</w:t>
      </w:r>
    </w:p>
  </w:footnote>
  <w:footnote w:id="909">
    <w:p w14:paraId="38E599F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90.</w:t>
      </w:r>
    </w:p>
  </w:footnote>
  <w:footnote w:id="910">
    <w:p w14:paraId="5B50C3B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סטניסלבסקי, עמ׳ 92, </w:t>
      </w:r>
      <w:proofErr w:type="spellStart"/>
      <w:r>
        <w:rPr>
          <w:sz w:val="20"/>
          <w:szCs w:val="20"/>
          <w:rtl/>
        </w:rPr>
        <w:t>ופיליפסון</w:t>
      </w:r>
      <w:proofErr w:type="spellEnd"/>
      <w:r>
        <w:rPr>
          <w:sz w:val="20"/>
          <w:szCs w:val="20"/>
          <w:rtl/>
        </w:rPr>
        <w:t>, עמ׳ 145.</w:t>
      </w:r>
    </w:p>
  </w:footnote>
  <w:footnote w:id="911">
    <w:p w14:paraId="447130A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סטניסלבסקי, שם, מתוך מכתבים אישיים, עמ׳ 23–24.</w:t>
      </w:r>
    </w:p>
  </w:footnote>
  <w:footnote w:id="912">
    <w:p w14:paraId="4564431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87.</w:t>
      </w:r>
    </w:p>
  </w:footnote>
  <w:footnote w:id="913">
    <w:p w14:paraId="326ED40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בהערה 154.</w:t>
      </w:r>
    </w:p>
  </w:footnote>
  <w:footnote w:id="914">
    <w:p w14:paraId="60C9B28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90–91.</w:t>
      </w:r>
    </w:p>
  </w:footnote>
  <w:footnote w:id="915">
    <w:p w14:paraId="34D249D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בעמ׳ 93.</w:t>
      </w:r>
    </w:p>
  </w:footnote>
  <w:footnote w:id="916">
    <w:p w14:paraId="0267BFC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בהערה 165 מוסר אותו מחבר שראה את רישום משכורתו של </w:t>
      </w:r>
      <w:proofErr w:type="spellStart"/>
      <w:r>
        <w:rPr>
          <w:sz w:val="20"/>
          <w:szCs w:val="20"/>
          <w:rtl/>
        </w:rPr>
        <w:t>ליליינטל</w:t>
      </w:r>
      <w:proofErr w:type="spellEnd"/>
      <w:r>
        <w:rPr>
          <w:sz w:val="20"/>
          <w:szCs w:val="20"/>
          <w:rtl/>
        </w:rPr>
        <w:t xml:space="preserve"> בעמ׳ 106 של "KEY" – ראשי התיבות הרוסיים של “בתי הספר היהודיים הממשלתיים: תיאור התיקים של משרד ההשכלה לשעבר (פטרבורג [כך במקור] 1920)”.</w:t>
      </w:r>
    </w:p>
  </w:footnote>
  <w:footnote w:id="917">
    <w:p w14:paraId="61352D1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עליו ראה עוד פרק 2.1.</w:t>
      </w:r>
    </w:p>
  </w:footnote>
  <w:footnote w:id="918">
    <w:p w14:paraId="5010294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חיבורו הנ״ל, פרק 1, נספח ב – עמ׳ 435.</w:t>
      </w:r>
    </w:p>
  </w:footnote>
  <w:footnote w:id="919">
    <w:p w14:paraId="170D13D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95.</w:t>
      </w:r>
    </w:p>
  </w:footnote>
  <w:footnote w:id="920">
    <w:p w14:paraId="6BBEE0A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מן המשפט האחרון ברור שסטניסלבסקי סבור </w:t>
      </w:r>
      <w:proofErr w:type="spellStart"/>
      <w:r>
        <w:rPr>
          <w:sz w:val="20"/>
          <w:szCs w:val="20"/>
          <w:rtl/>
        </w:rPr>
        <w:t>שליליינטל</w:t>
      </w:r>
      <w:proofErr w:type="spellEnd"/>
      <w:r>
        <w:rPr>
          <w:sz w:val="20"/>
          <w:szCs w:val="20"/>
          <w:rtl/>
        </w:rPr>
        <w:t>, נוסף על שאר תכונותיו הלא נעימות, היה גם רודף כבוד.</w:t>
      </w:r>
    </w:p>
  </w:footnote>
  <w:footnote w:id="921">
    <w:p w14:paraId="14BDD77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הנזכר בתחילת הפסקה הרביעית של נספח זה.</w:t>
      </w:r>
    </w:p>
  </w:footnote>
  <w:footnote w:id="922">
    <w:p w14:paraId="5200A87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את הרשימות האלה רשם ר׳ אשר </w:t>
      </w:r>
      <w:proofErr w:type="spellStart"/>
      <w:r>
        <w:rPr>
          <w:sz w:val="20"/>
          <w:szCs w:val="20"/>
          <w:rtl/>
        </w:rPr>
        <w:t>קצמן</w:t>
      </w:r>
      <w:proofErr w:type="spellEnd"/>
      <w:r>
        <w:rPr>
          <w:sz w:val="20"/>
          <w:szCs w:val="20"/>
          <w:rtl/>
        </w:rPr>
        <w:t xml:space="preserve"> במשך חורפים אחדים ששהה עם אבי בפלורידה: השווה פרק 1, הערה 71.</w:t>
      </w:r>
    </w:p>
  </w:footnote>
  <w:footnote w:id="923">
    <w:p w14:paraId="7E4B665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יום רביעי, 9 במרץ 1966.</w:t>
      </w:r>
    </w:p>
  </w:footnote>
  <w:footnote w:id="924">
    <w:p w14:paraId="2DA32A7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w:t>
      </w:r>
      <w:proofErr w:type="spellStart"/>
      <w:r>
        <w:rPr>
          <w:sz w:val="20"/>
          <w:szCs w:val="20"/>
          <w:rtl/>
        </w:rPr>
        <w:t>יענקל־דוד</w:t>
      </w:r>
      <w:proofErr w:type="spellEnd"/>
      <w:r>
        <w:rPr>
          <w:sz w:val="20"/>
          <w:szCs w:val="20"/>
          <w:rtl/>
        </w:rPr>
        <w:t xml:space="preserve"> </w:t>
      </w:r>
      <w:proofErr w:type="spellStart"/>
      <w:r>
        <w:rPr>
          <w:sz w:val="20"/>
          <w:szCs w:val="20"/>
          <w:rtl/>
        </w:rPr>
        <w:t>ווילובסקי</w:t>
      </w:r>
      <w:proofErr w:type="spellEnd"/>
      <w:r>
        <w:rPr>
          <w:sz w:val="20"/>
          <w:szCs w:val="20"/>
          <w:rtl/>
        </w:rPr>
        <w:t>.</w:t>
      </w:r>
    </w:p>
  </w:footnote>
  <w:footnote w:id="925">
    <w:p w14:paraId="67A217D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3, נספח ט.</w:t>
      </w:r>
    </w:p>
  </w:footnote>
  <w:footnote w:id="926">
    <w:p w14:paraId="5079547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1, הערה 1.</w:t>
      </w:r>
    </w:p>
  </w:footnote>
  <w:footnote w:id="927">
    <w:p w14:paraId="59A95BE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אברהם מאפו (תקס״ח–תרכ״ז). השווה פרק 3, הפסקה השנייה בהערה 57.</w:t>
      </w:r>
    </w:p>
  </w:footnote>
  <w:footnote w:id="928">
    <w:p w14:paraId="51367EA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להלן, בתחילת הפסקה העשרים ושש, שלמרבה הצער לא נמחקה </w:t>
      </w:r>
      <w:r>
        <w:rPr>
          <w:b/>
          <w:bCs/>
          <w:sz w:val="20"/>
          <w:szCs w:val="20"/>
          <w:rtl/>
        </w:rPr>
        <w:t>השפעתם</w:t>
      </w:r>
      <w:r>
        <w:rPr>
          <w:sz w:val="20"/>
          <w:szCs w:val="20"/>
          <w:rtl/>
        </w:rPr>
        <w:t xml:space="preserve"> של מעשי </w:t>
      </w:r>
      <w:proofErr w:type="spellStart"/>
      <w:r>
        <w:rPr>
          <w:sz w:val="20"/>
          <w:szCs w:val="20"/>
          <w:rtl/>
        </w:rPr>
        <w:t>ליליינטל</w:t>
      </w:r>
      <w:proofErr w:type="spellEnd"/>
      <w:r>
        <w:rPr>
          <w:sz w:val="20"/>
          <w:szCs w:val="20"/>
          <w:rtl/>
        </w:rPr>
        <w:t xml:space="preserve"> – כפי שעולה מלשונו (המודגשת) של אבי.</w:t>
      </w:r>
    </w:p>
  </w:footnote>
  <w:footnote w:id="929">
    <w:p w14:paraId="32A4FA0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הערה 77.</w:t>
      </w:r>
    </w:p>
  </w:footnote>
  <w:footnote w:id="930">
    <w:p w14:paraId="7E18849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א, עמ׳ 84, וכרך ב, עמ׳ 132.</w:t>
      </w:r>
    </w:p>
  </w:footnote>
  <w:footnote w:id="931">
    <w:p w14:paraId="0DA412A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במקור המובא ראשון.</w:t>
      </w:r>
    </w:p>
  </w:footnote>
  <w:footnote w:id="932">
    <w:p w14:paraId="6A6BD97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סטניסלבסקי, עמ׳ 93, אומנם מזכיר שהוטחו </w:t>
      </w:r>
      <w:proofErr w:type="spellStart"/>
      <w:r>
        <w:rPr>
          <w:sz w:val="20"/>
          <w:szCs w:val="20"/>
          <w:rtl/>
        </w:rPr>
        <w:t>בליליינטל</w:t>
      </w:r>
      <w:proofErr w:type="spellEnd"/>
      <w:r>
        <w:rPr>
          <w:sz w:val="20"/>
          <w:szCs w:val="20"/>
          <w:rtl/>
        </w:rPr>
        <w:t xml:space="preserve"> האשמות על פעילות בלתי חוקית: “מייסד בית הספר הראשון המבוסס על ההשכלה בווילנה, הירש </w:t>
      </w:r>
      <w:proofErr w:type="spellStart"/>
      <w:r>
        <w:rPr>
          <w:sz w:val="20"/>
          <w:szCs w:val="20"/>
          <w:rtl/>
        </w:rPr>
        <w:t>קליאצ׳קו</w:t>
      </w:r>
      <w:proofErr w:type="spellEnd"/>
      <w:r>
        <w:rPr>
          <w:sz w:val="20"/>
          <w:szCs w:val="20"/>
          <w:rtl/>
        </w:rPr>
        <w:t xml:space="preserve">, הצטרף להלשנה על </w:t>
      </w:r>
      <w:proofErr w:type="spellStart"/>
      <w:r>
        <w:rPr>
          <w:sz w:val="20"/>
          <w:szCs w:val="20"/>
          <w:rtl/>
        </w:rPr>
        <w:t>ליליינטל</w:t>
      </w:r>
      <w:proofErr w:type="spellEnd"/>
      <w:r>
        <w:rPr>
          <w:sz w:val="20"/>
          <w:szCs w:val="20"/>
          <w:rtl/>
        </w:rPr>
        <w:t xml:space="preserve"> ועל ניסן רוזנטל, שהוגשה לממשלה באפריל 1842 והאשימה אותם בפעילות בלתי חוקית”. אבל אין שום קשר בין האשמה זו ובין דברי אבי. ראשית, אין שם שום זכר להדפסת ספרים בשנת 1842. שנית, מה שרמז אליו </w:t>
      </w:r>
      <w:proofErr w:type="spellStart"/>
      <w:r>
        <w:rPr>
          <w:sz w:val="20"/>
          <w:szCs w:val="20"/>
          <w:rtl/>
        </w:rPr>
        <w:t>קליאצ׳קו</w:t>
      </w:r>
      <w:proofErr w:type="spellEnd"/>
      <w:r>
        <w:rPr>
          <w:sz w:val="20"/>
          <w:szCs w:val="20"/>
          <w:rtl/>
        </w:rPr>
        <w:t xml:space="preserve"> אינו יכול להיות קשור ליציאתו של </w:t>
      </w:r>
      <w:proofErr w:type="spellStart"/>
      <w:r>
        <w:rPr>
          <w:sz w:val="20"/>
          <w:szCs w:val="20"/>
          <w:rtl/>
        </w:rPr>
        <w:t>ליליינטל</w:t>
      </w:r>
      <w:proofErr w:type="spellEnd"/>
      <w:r>
        <w:rPr>
          <w:sz w:val="20"/>
          <w:szCs w:val="20"/>
          <w:rtl/>
        </w:rPr>
        <w:t xml:space="preserve"> מרוסיה יותר משלוש שנים אחר כך. שלישית, סטניסלבסקי עצמו, עמ׳ 85, המונה עשר השערות שהועלו לעזיבתו (כאמור לעיל בפסקה העשרים), אינו כולל האשמה זו ביניהן.</w:t>
      </w:r>
    </w:p>
    <w:p w14:paraId="4681C946" w14:textId="77777777" w:rsidR="00AB3647" w:rsidRDefault="00000000">
      <w:pPr>
        <w:spacing w:after="0" w:before="0"/>
        <w:jc w:val="both"/>
      </w:pPr>
      <w:r>
        <w:rPr>
          <w:sz w:val="20"/>
          <w:szCs w:val="20"/>
          <w:rtl/>
        </w:rPr>
        <w:t xml:space="preserve">פניתי אל סטניסלבסקי ושאלתי אותו מה הייתה מהות ההלשנה של </w:t>
      </w:r>
      <w:proofErr w:type="spellStart"/>
      <w:r>
        <w:rPr>
          <w:sz w:val="20"/>
          <w:szCs w:val="20"/>
          <w:rtl/>
        </w:rPr>
        <w:t>קליאצ׳קו</w:t>
      </w:r>
      <w:proofErr w:type="spellEnd"/>
      <w:r>
        <w:rPr>
          <w:sz w:val="20"/>
          <w:szCs w:val="20"/>
          <w:rtl/>
        </w:rPr>
        <w:t>, אבל הוא לא זכר. מקורו, "KEY, עמ׳ 105–106", נמצא ברוסיה ולא היה בהישג ידו באותה עת.</w:t>
      </w:r>
    </w:p>
  </w:footnote>
  <w:footnote w:id="933">
    <w:p w14:paraId="7C135A9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מאת הרב הגאון וכו׳ מרדכי </w:t>
      </w:r>
      <w:proofErr w:type="spellStart"/>
      <w:r>
        <w:rPr>
          <w:sz w:val="20"/>
          <w:szCs w:val="20"/>
          <w:rtl/>
        </w:rPr>
        <w:t>עליאסבערג</w:t>
      </w:r>
      <w:proofErr w:type="spellEnd"/>
      <w:r>
        <w:rPr>
          <w:sz w:val="20"/>
          <w:szCs w:val="20"/>
          <w:rtl/>
        </w:rPr>
        <w:t xml:space="preserve"> (</w:t>
      </w:r>
      <w:proofErr w:type="spellStart"/>
      <w:r>
        <w:rPr>
          <w:sz w:val="20"/>
          <w:szCs w:val="20"/>
          <w:rtl/>
        </w:rPr>
        <w:t>ווארשא</w:t>
      </w:r>
      <w:proofErr w:type="spellEnd"/>
      <w:r>
        <w:rPr>
          <w:sz w:val="20"/>
          <w:szCs w:val="20"/>
          <w:rtl/>
        </w:rPr>
        <w:t xml:space="preserve">, תרנ״ז) – עמ׳ </w:t>
      </w:r>
      <w:proofErr w:type="spellStart"/>
      <w:r>
        <w:rPr>
          <w:sz w:val="20"/>
          <w:szCs w:val="20"/>
          <w:rtl/>
        </w:rPr>
        <w:t>viii</w:t>
      </w:r>
      <w:proofErr w:type="spellEnd"/>
      <w:r>
        <w:rPr>
          <w:sz w:val="20"/>
          <w:szCs w:val="20"/>
          <w:rtl/>
        </w:rPr>
        <w:t>.</w:t>
      </w:r>
    </w:p>
  </w:footnote>
  <w:footnote w:id="934">
    <w:p w14:paraId="0D88579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הפסקה </w:t>
      </w:r>
      <w:proofErr w:type="spellStart"/>
      <w:r>
        <w:rPr>
          <w:sz w:val="20"/>
          <w:szCs w:val="20"/>
          <w:rtl/>
        </w:rPr>
        <w:t>החמש־עשרה</w:t>
      </w:r>
      <w:proofErr w:type="spellEnd"/>
      <w:r>
        <w:rPr>
          <w:sz w:val="20"/>
          <w:szCs w:val="20"/>
          <w:rtl/>
        </w:rPr>
        <w:t xml:space="preserve"> לעיל.</w:t>
      </w:r>
    </w:p>
  </w:footnote>
  <w:footnote w:id="935">
    <w:p w14:paraId="4294D67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מעניין ששניהם היו בני גיל אחד וחברותא </w:t>
      </w:r>
      <w:proofErr w:type="spellStart"/>
      <w:r>
        <w:rPr>
          <w:sz w:val="20"/>
          <w:szCs w:val="20"/>
          <w:rtl/>
        </w:rPr>
        <w:t>בוולוז׳ין</w:t>
      </w:r>
      <w:proofErr w:type="spellEnd"/>
      <w:r>
        <w:rPr>
          <w:sz w:val="20"/>
          <w:szCs w:val="20"/>
          <w:rtl/>
        </w:rPr>
        <w:t xml:space="preserve">, חתנים צעירים בני </w:t>
      </w:r>
      <w:proofErr w:type="spellStart"/>
      <w:r>
        <w:rPr>
          <w:sz w:val="20"/>
          <w:szCs w:val="20"/>
          <w:rtl/>
        </w:rPr>
        <w:t>ארבע־עשרה</w:t>
      </w:r>
      <w:proofErr w:type="spellEnd"/>
      <w:r>
        <w:rPr>
          <w:sz w:val="20"/>
          <w:szCs w:val="20"/>
          <w:rtl/>
        </w:rPr>
        <w:t xml:space="preserve">, בשנת תקצ״א – לפי “שביל הזהב”, עמ׳ </w:t>
      </w:r>
      <w:proofErr w:type="spellStart"/>
      <w:r>
        <w:rPr>
          <w:sz w:val="20"/>
          <w:szCs w:val="20"/>
          <w:rtl/>
        </w:rPr>
        <w:t>vii</w:t>
      </w:r>
      <w:proofErr w:type="spellEnd"/>
      <w:r>
        <w:rPr>
          <w:sz w:val="20"/>
          <w:szCs w:val="20"/>
          <w:rtl/>
        </w:rPr>
        <w:t xml:space="preserve">. אבל כעבור חצי מאה נפרדו דרכיהם, כשנחלקו בחריפות בשאלת שמירת השמיטה הראשונה שעמד לפניה הישוב היהודי המתחדש בארץ ישראל, בשנת תרמ״ט. השווה “הראשון לשושלת </w:t>
      </w:r>
      <w:proofErr w:type="spellStart"/>
      <w:r>
        <w:rPr>
          <w:sz w:val="20"/>
          <w:szCs w:val="20"/>
          <w:rtl/>
        </w:rPr>
        <w:t>בריסק</w:t>
      </w:r>
      <w:proofErr w:type="spellEnd"/>
      <w:r>
        <w:rPr>
          <w:sz w:val="20"/>
          <w:szCs w:val="20"/>
          <w:rtl/>
        </w:rPr>
        <w:t xml:space="preserve">”, עמ׳ 399–400, </w:t>
      </w:r>
      <w:proofErr w:type="spellStart"/>
      <w:r>
        <w:rPr>
          <w:sz w:val="20"/>
          <w:szCs w:val="20"/>
          <w:rtl/>
        </w:rPr>
        <w:t>ו“פון</w:t>
      </w:r>
      <w:proofErr w:type="spellEnd"/>
      <w:r>
        <w:rPr>
          <w:sz w:val="20"/>
          <w:szCs w:val="20"/>
          <w:rtl/>
        </w:rPr>
        <w:t xml:space="preserve"> </w:t>
      </w:r>
      <w:proofErr w:type="spellStart"/>
      <w:r>
        <w:rPr>
          <w:sz w:val="20"/>
          <w:szCs w:val="20"/>
          <w:rtl/>
        </w:rPr>
        <w:t>וואלאזין</w:t>
      </w:r>
      <w:proofErr w:type="spellEnd"/>
      <w:r>
        <w:rPr>
          <w:sz w:val="20"/>
          <w:szCs w:val="20"/>
          <w:rtl/>
        </w:rPr>
        <w:t xml:space="preserve"> </w:t>
      </w:r>
      <w:proofErr w:type="spellStart"/>
      <w:r>
        <w:rPr>
          <w:sz w:val="20"/>
          <w:szCs w:val="20"/>
          <w:rtl/>
        </w:rPr>
        <w:t>ביז</w:t>
      </w:r>
      <w:proofErr w:type="spellEnd"/>
      <w:r>
        <w:rPr>
          <w:sz w:val="20"/>
          <w:szCs w:val="20"/>
          <w:rtl/>
        </w:rPr>
        <w:t xml:space="preserve"> ירושלים”, עמ׳ 135–136.</w:t>
      </w:r>
    </w:p>
  </w:footnote>
  <w:footnote w:id="936">
    <w:p w14:paraId="62F40C7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משלי </w:t>
      </w:r>
      <w:proofErr w:type="spellStart"/>
      <w:r>
        <w:rPr>
          <w:sz w:val="20"/>
          <w:szCs w:val="20"/>
          <w:rtl/>
        </w:rPr>
        <w:t>טז</w:t>
      </w:r>
      <w:proofErr w:type="spellEnd"/>
      <w:r>
        <w:rPr>
          <w:sz w:val="20"/>
          <w:szCs w:val="20"/>
          <w:rtl/>
        </w:rPr>
        <w:t xml:space="preserve">, </w:t>
      </w:r>
      <w:proofErr w:type="spellStart"/>
      <w:r>
        <w:rPr>
          <w:sz w:val="20"/>
          <w:szCs w:val="20"/>
          <w:rtl/>
        </w:rPr>
        <w:t>יח</w:t>
      </w:r>
      <w:proofErr w:type="spellEnd"/>
      <w:r>
        <w:rPr>
          <w:sz w:val="20"/>
          <w:szCs w:val="20"/>
          <w:rtl/>
        </w:rPr>
        <w:t xml:space="preserve">, ושם </w:t>
      </w:r>
      <w:proofErr w:type="spellStart"/>
      <w:r>
        <w:rPr>
          <w:sz w:val="20"/>
          <w:szCs w:val="20"/>
          <w:rtl/>
        </w:rPr>
        <w:t>יח</w:t>
      </w:r>
      <w:proofErr w:type="spellEnd"/>
      <w:r>
        <w:rPr>
          <w:sz w:val="20"/>
          <w:szCs w:val="20"/>
          <w:rtl/>
        </w:rPr>
        <w:t xml:space="preserve">, </w:t>
      </w:r>
      <w:proofErr w:type="spellStart"/>
      <w:r>
        <w:rPr>
          <w:sz w:val="20"/>
          <w:szCs w:val="20"/>
          <w:rtl/>
        </w:rPr>
        <w:t>יב</w:t>
      </w:r>
      <w:proofErr w:type="spellEnd"/>
      <w:r>
        <w:rPr>
          <w:sz w:val="20"/>
          <w:szCs w:val="20"/>
          <w:rtl/>
        </w:rPr>
        <w:t>.</w:t>
      </w:r>
    </w:p>
  </w:footnote>
  <w:footnote w:id="937">
    <w:p w14:paraId="478FE3E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הפסקה השלישית לעיל.</w:t>
      </w:r>
    </w:p>
  </w:footnote>
  <w:footnote w:id="938">
    <w:p w14:paraId="76274CF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בעמ׳ 196–197.</w:t>
      </w:r>
    </w:p>
  </w:footnote>
  <w:footnote w:id="939">
    <w:p w14:paraId="5CBF979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202.</w:t>
      </w:r>
    </w:p>
  </w:footnote>
  <w:footnote w:id="940">
    <w:p w14:paraId="3D272DD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הפירוש על התנ״ך מאת חניכי אסכולת מנדלסון.</w:t>
      </w:r>
    </w:p>
  </w:footnote>
  <w:footnote w:id="941">
    <w:p w14:paraId="2316242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שער א׳, אות נו.</w:t>
      </w:r>
    </w:p>
  </w:footnote>
  <w:footnote w:id="942">
    <w:p w14:paraId="237531C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348.</w:t>
      </w:r>
    </w:p>
  </w:footnote>
  <w:footnote w:id="943">
    <w:p w14:paraId="62044C3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כפי שצוין לעיל מתוך סטניסלבסקי, עמ׳ 73.</w:t>
      </w:r>
    </w:p>
  </w:footnote>
  <w:footnote w:id="944">
    <w:p w14:paraId="59EC52B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בעריכת אליעזר </w:t>
      </w:r>
      <w:proofErr w:type="spellStart"/>
      <w:r>
        <w:rPr>
          <w:sz w:val="20"/>
          <w:szCs w:val="20"/>
          <w:rtl/>
        </w:rPr>
        <w:t>ליאוני</w:t>
      </w:r>
      <w:proofErr w:type="spellEnd"/>
      <w:r>
        <w:rPr>
          <w:sz w:val="20"/>
          <w:szCs w:val="20"/>
          <w:rtl/>
        </w:rPr>
        <w:t xml:space="preserve">, הוצאת </w:t>
      </w:r>
      <w:proofErr w:type="spellStart"/>
      <w:r>
        <w:rPr>
          <w:sz w:val="20"/>
          <w:szCs w:val="20"/>
          <w:rtl/>
        </w:rPr>
        <w:t>האירגונים</w:t>
      </w:r>
      <w:proofErr w:type="spellEnd"/>
      <w:r>
        <w:rPr>
          <w:sz w:val="20"/>
          <w:szCs w:val="20"/>
          <w:rtl/>
        </w:rPr>
        <w:t xml:space="preserve"> של בני </w:t>
      </w:r>
      <w:proofErr w:type="spellStart"/>
      <w:r>
        <w:rPr>
          <w:sz w:val="20"/>
          <w:szCs w:val="20"/>
          <w:rtl/>
        </w:rPr>
        <w:t>וולוזין</w:t>
      </w:r>
      <w:proofErr w:type="spellEnd"/>
      <w:r>
        <w:rPr>
          <w:sz w:val="20"/>
          <w:szCs w:val="20"/>
          <w:rtl/>
        </w:rPr>
        <w:t xml:space="preserve"> במדינת ישראל וארה״ב, תל אביב, 1970.</w:t>
      </w:r>
    </w:p>
  </w:footnote>
  <w:footnote w:id="945">
    <w:p w14:paraId="5A2DF89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129.</w:t>
      </w:r>
    </w:p>
  </w:footnote>
  <w:footnote w:id="946">
    <w:p w14:paraId="30A5B47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גם סוף הערה 59 בפרק זה.</w:t>
      </w:r>
    </w:p>
  </w:footnote>
  <w:footnote w:id="947">
    <w:p w14:paraId="6008C7E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א, עמ׳ 95.</w:t>
      </w:r>
    </w:p>
  </w:footnote>
  <w:footnote w:id="948">
    <w:p w14:paraId="4BEA4CE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47–48 ו־121.</w:t>
      </w:r>
    </w:p>
  </w:footnote>
  <w:footnote w:id="949">
    <w:p w14:paraId="71186F93"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הגבלת מספר התלמידים היהודים בבתי הספר התיכוניים ובאוניברסיטאות ברוסיה הונהגה רק בשנת תרמ״ז.</w:t>
      </w:r>
    </w:p>
  </w:footnote>
  <w:footnote w:id="950">
    <w:p w14:paraId="7695EFA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126.</w:t>
      </w:r>
    </w:p>
  </w:footnote>
  <w:footnote w:id="951">
    <w:p w14:paraId="517D4F5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הם התקיימו רבע מאה, כאמור בפרק 5, הפסקה השנייה של נספח ב.</w:t>
      </w:r>
    </w:p>
  </w:footnote>
  <w:footnote w:id="952">
    <w:p w14:paraId="608AF3D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193–194, מתוך “תולדות ישיבת היהודים </w:t>
      </w:r>
      <w:proofErr w:type="spellStart"/>
      <w:r>
        <w:rPr>
          <w:sz w:val="20"/>
          <w:szCs w:val="20"/>
          <w:rtl/>
        </w:rPr>
        <w:t>בקורלנד</w:t>
      </w:r>
      <w:proofErr w:type="spellEnd"/>
      <w:r>
        <w:rPr>
          <w:sz w:val="20"/>
          <w:szCs w:val="20"/>
          <w:rtl/>
        </w:rPr>
        <w:t>” (</w:t>
      </w:r>
      <w:proofErr w:type="spellStart"/>
      <w:r>
        <w:rPr>
          <w:sz w:val="20"/>
          <w:szCs w:val="20"/>
          <w:rtl/>
        </w:rPr>
        <w:t>פיעטרקוב</w:t>
      </w:r>
      <w:proofErr w:type="spellEnd"/>
      <w:r>
        <w:rPr>
          <w:sz w:val="20"/>
          <w:szCs w:val="20"/>
          <w:rtl/>
        </w:rPr>
        <w:t xml:space="preserve">, תרס״ח) מאת הרב יונה </w:t>
      </w:r>
      <w:proofErr w:type="spellStart"/>
      <w:r>
        <w:rPr>
          <w:sz w:val="20"/>
          <w:szCs w:val="20"/>
          <w:rtl/>
        </w:rPr>
        <w:t>אווצינסקי</w:t>
      </w:r>
      <w:proofErr w:type="spellEnd"/>
      <w:r>
        <w:rPr>
          <w:sz w:val="20"/>
          <w:szCs w:val="20"/>
          <w:rtl/>
        </w:rPr>
        <w:t>.</w:t>
      </w:r>
    </w:p>
  </w:footnote>
  <w:footnote w:id="953">
    <w:p w14:paraId="4DB9841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5, הפסקה השנייה של נספח ב.</w:t>
      </w:r>
    </w:p>
  </w:footnote>
  <w:footnote w:id="954">
    <w:p w14:paraId="610DC31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4 לעיל – עמ׳ 163–164.</w:t>
      </w:r>
    </w:p>
  </w:footnote>
  <w:footnote w:id="955">
    <w:p w14:paraId="68024DE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גם בפרק 5, הפסקה התשיעית של נספח ו, כיצד יותר משישים שנה אחר כך טעה יהודי מצוין בהבנת יחסו של גדול תורה אחר לעושר.</w:t>
      </w:r>
    </w:p>
  </w:footnote>
  <w:footnote w:id="956">
    <w:p w14:paraId="3B737D1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5, סוף הפסקה השנייה של נספח ב: ר׳ ישראל נתן לאנשים שונים טעמים מתחמקים שונים לדחיית ההצעה לכהן בבית המדרש לרבנים, אבל לשר עצמו נמנע מלתת שום טעם, מפני שכל מה שהיה אומר עלול היה להפוך למסירה.</w:t>
      </w:r>
    </w:p>
  </w:footnote>
  <w:footnote w:id="957">
    <w:p w14:paraId="5893DEC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הערת שוליים </w:t>
      </w:r>
      <w:r>
        <w:rPr>
          <w:sz w:val="20"/>
          <w:szCs w:val="20"/>
          <w:rtl/>
        </w:rPr>
        <w:fldChar w:fldCharType="begin" w:dirty="true"/>
      </w:r>
      <w:r>
        <w:rPr>
          <w:sz w:val="20"/>
          <w:szCs w:val="20"/>
          <w:rtl/>
        </w:rPr>
        <w:instrText xml:space="preserve"> NOTEREF fx_ref_560 \h </w:instrText>
      </w:r>
      <w:r>
        <w:rPr>
          <w:sz w:val="20"/>
          <w:szCs w:val="20"/>
          <w:rtl/>
        </w:rPr>
      </w:r>
      <w:r>
        <w:rPr>
          <w:sz w:val="20"/>
          <w:szCs w:val="20"/>
          <w:rtl/>
        </w:rPr>
        <w:fldChar w:fldCharType="separate"/>
      </w:r>
      <w:r w:rsidR="007923E9">
        <w:rPr>
          <w:sz w:val="20"/>
          <w:szCs w:val="20"/>
          <w:rtl/>
        </w:rPr>
        <w:t>321</w:t>
      </w:r>
      <w:r>
        <w:rPr>
          <w:sz w:val="20"/>
          <w:szCs w:val="20"/>
          <w:rtl/>
        </w:rPr>
        <w:fldChar w:fldCharType="end"/>
      </w:r>
      <w:r>
        <w:rPr>
          <w:sz w:val="20"/>
          <w:szCs w:val="20"/>
          <w:rtl/>
        </w:rPr>
        <w:t xml:space="preserve"> המתחילה בעמ׳ </w:t>
      </w:r>
      <w:r>
        <w:rPr>
          <w:sz w:val="20"/>
          <w:szCs w:val="20"/>
          <w:rtl/>
        </w:rPr>
        <w:fldChar w:fldCharType="begin" w:dirty="true"/>
      </w:r>
      <w:r>
        <w:rPr>
          <w:sz w:val="20"/>
          <w:szCs w:val="20"/>
          <w:rtl/>
        </w:rPr>
        <w:instrText xml:space="preserve"> PAGEREF fx_ref_560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בכרך זה שבית המדרש לרבנים נפתח בתחילת תר״ח.</w:t>
      </w:r>
    </w:p>
  </w:footnote>
  <w:footnote w:id="958">
    <w:p w14:paraId="3BD78F2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ג, עמ׳ 148.</w:t>
      </w:r>
    </w:p>
  </w:footnote>
  <w:footnote w:id="959">
    <w:p w14:paraId="579BB0D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חיים </w:t>
      </w:r>
      <w:proofErr w:type="spellStart"/>
      <w:r>
        <w:rPr>
          <w:sz w:val="20"/>
          <w:szCs w:val="20"/>
          <w:rtl/>
        </w:rPr>
        <w:t>מוולוז׳ין</w:t>
      </w:r>
      <w:proofErr w:type="spellEnd"/>
      <w:r>
        <w:rPr>
          <w:sz w:val="20"/>
          <w:szCs w:val="20"/>
          <w:rtl/>
        </w:rPr>
        <w:t xml:space="preserve"> כבר נקרא “הרב” בכל הפלך, וצאצאיו נודעו בשם “בית הרב”. ראה פרק 1, סוף הפסקה הראשונה של נספח ב.</w:t>
      </w:r>
    </w:p>
  </w:footnote>
  <w:footnote w:id="960">
    <w:p w14:paraId="0ADC3AF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הפסקה האחרונה בפרק 1, הערה 66.</w:t>
      </w:r>
    </w:p>
  </w:footnote>
  <w:footnote w:id="961">
    <w:p w14:paraId="3DCEF02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הערה 7.</w:t>
      </w:r>
    </w:p>
  </w:footnote>
  <w:footnote w:id="962">
    <w:p w14:paraId="46E084A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6 בדצמבר 1987.</w:t>
      </w:r>
    </w:p>
  </w:footnote>
  <w:footnote w:id="963">
    <w:p w14:paraId="2E4EBFA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“תולדות תנאים ואמוראים” מאת אהרן </w:t>
      </w:r>
      <w:proofErr w:type="spellStart"/>
      <w:r>
        <w:rPr>
          <w:sz w:val="20"/>
          <w:szCs w:val="20"/>
          <w:rtl/>
        </w:rPr>
        <w:t>היימאן</w:t>
      </w:r>
      <w:proofErr w:type="spellEnd"/>
      <w:r>
        <w:rPr>
          <w:sz w:val="20"/>
          <w:szCs w:val="20"/>
          <w:rtl/>
        </w:rPr>
        <w:t xml:space="preserve"> (הוצאת “קריה נאמנה”, ירושלים, תשכ״ד), עמ׳ 243 ואילך. והשווה גם “סדר הדורות” מאת יחיאל </w:t>
      </w:r>
      <w:proofErr w:type="spellStart"/>
      <w:r>
        <w:rPr>
          <w:sz w:val="20"/>
          <w:szCs w:val="20"/>
          <w:rtl/>
        </w:rPr>
        <w:t>היילפרין</w:t>
      </w:r>
      <w:proofErr w:type="spellEnd"/>
      <w:r>
        <w:rPr>
          <w:sz w:val="20"/>
          <w:szCs w:val="20"/>
          <w:rtl/>
        </w:rPr>
        <w:t xml:space="preserve"> (</w:t>
      </w:r>
      <w:proofErr w:type="spellStart"/>
      <w:r>
        <w:rPr>
          <w:sz w:val="20"/>
          <w:szCs w:val="20"/>
          <w:rtl/>
        </w:rPr>
        <w:t>ווארשא</w:t>
      </w:r>
      <w:proofErr w:type="spellEnd"/>
      <w:r>
        <w:rPr>
          <w:sz w:val="20"/>
          <w:szCs w:val="20"/>
          <w:rtl/>
        </w:rPr>
        <w:t>, תרכ״ב), עמ׳ 166.</w:t>
      </w:r>
    </w:p>
  </w:footnote>
  <w:footnote w:id="964">
    <w:p w14:paraId="1E1A7B1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סנהדרין ק״ב ע״ב ורש״י שם.</w:t>
      </w:r>
    </w:p>
  </w:footnote>
  <w:footnote w:id="965">
    <w:p w14:paraId="78F05DD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1, הערה 1. אחד משומעיו של הרב </w:t>
      </w:r>
      <w:proofErr w:type="spellStart"/>
      <w:r>
        <w:rPr>
          <w:sz w:val="20"/>
          <w:szCs w:val="20"/>
          <w:rtl/>
        </w:rPr>
        <w:t>פוברסקי</w:t>
      </w:r>
      <w:proofErr w:type="spellEnd"/>
      <w:r>
        <w:rPr>
          <w:sz w:val="20"/>
          <w:szCs w:val="20"/>
          <w:rtl/>
        </w:rPr>
        <w:t xml:space="preserve"> סיפר זאת.</w:t>
      </w:r>
    </w:p>
  </w:footnote>
  <w:footnote w:id="966">
    <w:p w14:paraId="384D0E6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והשווה גם הערה 45 בפרק זה.</w:t>
      </w:r>
    </w:p>
  </w:footnote>
  <w:footnote w:id="967">
    <w:p w14:paraId="7F2F0EE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13 במרץ 1988.</w:t>
      </w:r>
    </w:p>
  </w:footnote>
  <w:footnote w:id="968">
    <w:p w14:paraId="4B5B098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הפתיחה, הערה 4.</w:t>
      </w:r>
    </w:p>
  </w:footnote>
  <w:footnote w:id="969">
    <w:p w14:paraId="7E88A18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17 בינואר 1988.</w:t>
      </w:r>
    </w:p>
  </w:footnote>
  <w:footnote w:id="970">
    <w:p w14:paraId="5AAAC2E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בראשית </w:t>
      </w:r>
      <w:proofErr w:type="spellStart"/>
      <w:r>
        <w:rPr>
          <w:sz w:val="20"/>
          <w:szCs w:val="20"/>
          <w:rtl/>
        </w:rPr>
        <w:t>מא</w:t>
      </w:r>
      <w:proofErr w:type="spellEnd"/>
      <w:r>
        <w:rPr>
          <w:sz w:val="20"/>
          <w:szCs w:val="20"/>
          <w:rtl/>
        </w:rPr>
        <w:t>, ט.</w:t>
      </w:r>
    </w:p>
  </w:footnote>
  <w:footnote w:id="971">
    <w:p w14:paraId="64046E7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w:t>
      </w:r>
      <w:proofErr w:type="spellStart"/>
      <w:r>
        <w:rPr>
          <w:sz w:val="20"/>
          <w:szCs w:val="20"/>
          <w:rtl/>
        </w:rPr>
        <w:t>שלמה־אהרן</w:t>
      </w:r>
      <w:proofErr w:type="spellEnd"/>
      <w:r>
        <w:rPr>
          <w:sz w:val="20"/>
          <w:szCs w:val="20"/>
          <w:rtl/>
        </w:rPr>
        <w:t xml:space="preserve"> וינר סיפר לי באותו יום שאבי הפיק תועלת מן הניסיון השלילי הזה, שנים רבות קודם לכן, בשיחה שנשא לפני תלמידיו במתיבתא תורה ודעת בשמחת בית השואבה. כדי להדגיש את חשיבות החזרה על חומר הלימוד אמר: “את חטאי אני מזכיר היום: בנעוריי קראתי ספרות אסורה פעם אחת, ואחר כך פעם שנייה – ורק אז נפל הכול למקומו.”</w:t>
      </w:r>
    </w:p>
  </w:footnote>
  <w:footnote w:id="972">
    <w:p w14:paraId="190D99F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והשווה גם סוף הפסקה השישית בפרק 2.3, שגם יריבו המשכיל של ר׳ אהרן קוטלר היה מבני משפחתו.</w:t>
      </w:r>
    </w:p>
  </w:footnote>
  <w:footnote w:id="973">
    <w:p w14:paraId="39D7E24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נדפס </w:t>
      </w:r>
      <w:proofErr w:type="spellStart"/>
      <w:r>
        <w:rPr>
          <w:sz w:val="20"/>
          <w:szCs w:val="20"/>
          <w:rtl/>
        </w:rPr>
        <w:t>בעיה״ת</w:t>
      </w:r>
      <w:proofErr w:type="spellEnd"/>
      <w:r>
        <w:rPr>
          <w:sz w:val="20"/>
          <w:szCs w:val="20"/>
          <w:rtl/>
        </w:rPr>
        <w:t xml:space="preserve"> (עיר התורה) בני ברק, </w:t>
      </w:r>
      <w:proofErr w:type="spellStart"/>
      <w:r>
        <w:rPr>
          <w:sz w:val="20"/>
          <w:szCs w:val="20"/>
          <w:rtl/>
        </w:rPr>
        <w:t>התשנ״ח</w:t>
      </w:r>
      <w:proofErr w:type="spellEnd"/>
      <w:r>
        <w:rPr>
          <w:sz w:val="20"/>
          <w:szCs w:val="20"/>
          <w:rtl/>
        </w:rPr>
        <w:t xml:space="preserve"> – עמ׳ 415.</w:t>
      </w:r>
    </w:p>
  </w:footnote>
  <w:footnote w:id="974">
    <w:p w14:paraId="2A0FD5C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5, הפסקה השנייה בנספח ב.</w:t>
      </w:r>
    </w:p>
  </w:footnote>
  <w:footnote w:id="975">
    <w:p w14:paraId="071C21ED" w14:textId="77777777" w:rsidR="00AB3647" w:rsidRDefault="00000000">
      <w:pPr>
        <w:spacing w:after="0" w:before="0"/>
        <w:jc w:val="both"/>
      </w:pPr>
      <w:r>
        <w:rPr>
          <w:rStyle w:val="a5"/>
          <w:vertAlign w:val="superscript"/>
          <w:rtl/>
        </w:rPr>
        <w:footnoteRef/>
      </w:r>
      <w:r>
        <w:rPr>
          <w:sz w:val="20"/>
          <w:szCs w:val="20"/>
        </w:rPr>
        <w:t xml:space="preserve"> </w:t>
      </w:r>
      <w:r>
        <w:rPr>
          <w:color w:val="000000"/>
          <w:sz w:val="20"/>
          <w:szCs w:val="20"/>
          <w:rtl/>
        </w:rPr>
      </w:r>
      <w:r>
        <w:rPr>
          <w:color w:val="000000"/>
          <w:sz w:val="20"/>
          <w:szCs w:val="20"/>
          <w:rtl/>
        </w:rPr>
        <w:t xml:space="preserve">הערת המתרגם: </w:t>
      </w:r>
      <w:proofErr w:type="spellStart"/>
      <w:r>
        <w:rPr>
          <w:color w:val="000000"/>
          <w:sz w:val="20"/>
          <w:szCs w:val="20"/>
          <w:rtl/>
        </w:rPr>
        <w:t>אד״ם</w:t>
      </w:r>
      <w:proofErr w:type="spellEnd"/>
      <w:r>
        <w:rPr>
          <w:color w:val="000000"/>
          <w:sz w:val="20"/>
          <w:szCs w:val="20"/>
          <w:rtl/>
        </w:rPr>
        <w:t xml:space="preserve"> הכהן </w:t>
      </w:r>
      <w:proofErr w:type="spellStart"/>
      <w:r>
        <w:rPr>
          <w:color w:val="000000"/>
          <w:sz w:val="20"/>
          <w:szCs w:val="20"/>
          <w:rtl/>
        </w:rPr>
        <w:t>לבנזון</w:t>
      </w:r>
      <w:proofErr w:type="spellEnd"/>
      <w:r>
        <w:rPr>
          <w:color w:val="000000"/>
          <w:sz w:val="20"/>
          <w:szCs w:val="20"/>
          <w:rtl/>
        </w:rPr>
        <w:t xml:space="preserve"> שימש מורה בבית המדרש לרבנים בווילנה וממונה על לימודי היהדות בו. לפי תיאור המעשה כאן, המפגש עם </w:t>
      </w:r>
      <w:proofErr w:type="spellStart"/>
      <w:r>
        <w:rPr>
          <w:color w:val="000000"/>
          <w:sz w:val="20"/>
          <w:szCs w:val="20"/>
          <w:rtl/>
        </w:rPr>
        <w:t>החפץ־חיים</w:t>
      </w:r>
      <w:proofErr w:type="spellEnd"/>
      <w:r>
        <w:rPr>
          <w:color w:val="000000"/>
          <w:sz w:val="20"/>
          <w:szCs w:val="20"/>
          <w:rtl/>
        </w:rPr>
        <w:t xml:space="preserve"> אירע בנעוריו; אם כך, חלפו מאז עד ימי </w:t>
      </w:r>
      <w:proofErr w:type="spellStart"/>
      <w:r>
        <w:rPr>
          <w:color w:val="000000"/>
          <w:sz w:val="20"/>
          <w:szCs w:val="20"/>
          <w:rtl/>
        </w:rPr>
        <w:t>רבינסקי</w:t>
      </w:r>
      <w:proofErr w:type="spellEnd"/>
      <w:r>
        <w:rPr>
          <w:color w:val="000000"/>
          <w:sz w:val="20"/>
          <w:szCs w:val="20"/>
          <w:rtl/>
        </w:rPr>
        <w:t xml:space="preserve"> </w:t>
      </w:r>
      <w:proofErr w:type="spellStart"/>
      <w:r>
        <w:rPr>
          <w:color w:val="000000"/>
          <w:sz w:val="20"/>
          <w:szCs w:val="20"/>
          <w:rtl/>
        </w:rPr>
        <w:t>בראדין</w:t>
      </w:r>
      <w:proofErr w:type="spellEnd"/>
      <w:r>
        <w:rPr>
          <w:color w:val="000000"/>
          <w:sz w:val="20"/>
          <w:szCs w:val="20"/>
          <w:rtl/>
        </w:rPr>
        <w:t xml:space="preserve"> כשבעים שנה, ולא כחמישים.</w:t>
      </w:r>
    </w:p>
  </w:footnote>
  <w:footnote w:id="976">
    <w:p w14:paraId="3C89A21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והשווה גם החפץ חיים (ישר) (הנ״ל, עמ׳ </w:t>
      </w:r>
      <w:r>
        <w:rPr>
          <w:rStyle w:val="a5"/>
          <w:sz w:val="20"/>
          <w:szCs w:val="20"/>
          <w:vertAlign w:val="baseline"/>
          <w:rtl/>
        </w:rPr>
        <w:fldChar w:fldCharType="begin" w:dirty="true"/>
      </w:r>
      <w:r>
        <w:rPr>
          <w:rStyle w:val="a5"/>
          <w:sz w:val="20"/>
          <w:szCs w:val="20"/>
          <w:vertAlign w:val="baseline"/>
          <w:rtl/>
        </w:rPr>
        <w:instrText xml:space="preserve"> PAGEREF pr_f_54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 xml:space="preserve">, הערת שוליים </w:t>
      </w:r>
      <w:r>
        <w:rPr>
          <w:rStyle w:val="a5"/>
          <w:sz w:val="20"/>
          <w:szCs w:val="20"/>
          <w:vertAlign w:val="baseline"/>
          <w:rtl/>
        </w:rPr>
        <w:fldChar w:fldCharType="begin" w:dirty="true"/>
      </w:r>
      <w:r>
        <w:rPr>
          <w:rStyle w:val="a5"/>
          <w:sz w:val="20"/>
          <w:szCs w:val="20"/>
          <w:vertAlign w:val="baseline"/>
          <w:rtl/>
        </w:rPr>
        <w:instrText xml:space="preserve"> NOTEREF pr_f_54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9</w:t>
      </w:r>
      <w:r>
        <w:rPr>
          <w:rStyle w:val="a5"/>
          <w:sz w:val="20"/>
          <w:szCs w:val="20"/>
          <w:vertAlign w:val="baseline"/>
          <w:rtl/>
        </w:rPr>
        <w:fldChar w:fldCharType="end"/>
      </w:r>
      <w:r>
        <w:rPr>
          <w:sz w:val="20"/>
          <w:szCs w:val="20"/>
          <w:rtl/>
        </w:rPr>
        <w:t xml:space="preserve">), עמ׳ 46 ואילך, </w:t>
      </w:r>
      <w:proofErr w:type="spellStart"/>
      <w:r>
        <w:rPr>
          <w:sz w:val="20"/>
          <w:szCs w:val="20"/>
          <w:rtl/>
        </w:rPr>
        <w:t>ו“שמושה</w:t>
      </w:r>
      <w:proofErr w:type="spellEnd"/>
      <w:r>
        <w:rPr>
          <w:sz w:val="20"/>
          <w:szCs w:val="20"/>
          <w:rtl/>
        </w:rPr>
        <w:t xml:space="preserve"> של תורה” (הערה 10 לעיל), עמ׳ </w:t>
      </w:r>
      <w:proofErr w:type="spellStart"/>
      <w:r>
        <w:rPr>
          <w:sz w:val="20"/>
          <w:szCs w:val="20"/>
          <w:rtl/>
        </w:rPr>
        <w:t>קלב</w:t>
      </w:r>
      <w:proofErr w:type="spellEnd"/>
      <w:r>
        <w:rPr>
          <w:sz w:val="20"/>
          <w:szCs w:val="20"/>
          <w:rtl/>
        </w:rPr>
        <w:t>–</w:t>
      </w:r>
      <w:proofErr w:type="spellStart"/>
      <w:r>
        <w:rPr>
          <w:sz w:val="20"/>
          <w:szCs w:val="20"/>
          <w:rtl/>
        </w:rPr>
        <w:t>קלג</w:t>
      </w:r>
      <w:proofErr w:type="spellEnd"/>
      <w:r>
        <w:rPr>
          <w:sz w:val="20"/>
          <w:szCs w:val="20"/>
          <w:rtl/>
        </w:rPr>
        <w:t>.</w:t>
      </w:r>
    </w:p>
  </w:footnote>
  <w:footnote w:id="977">
    <w:p w14:paraId="1EC1E05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מסרה נכדה, </w:t>
      </w:r>
      <w:proofErr w:type="spellStart"/>
      <w:r>
        <w:rPr>
          <w:sz w:val="20"/>
          <w:szCs w:val="20"/>
          <w:rtl/>
        </w:rPr>
        <w:t>עטיל</w:t>
      </w:r>
      <w:proofErr w:type="spellEnd"/>
      <w:r>
        <w:rPr>
          <w:sz w:val="20"/>
          <w:szCs w:val="20"/>
          <w:rtl/>
        </w:rPr>
        <w:t xml:space="preserve"> </w:t>
      </w:r>
      <w:proofErr w:type="spellStart"/>
      <w:r>
        <w:rPr>
          <w:sz w:val="20"/>
          <w:szCs w:val="20"/>
          <w:rtl/>
        </w:rPr>
        <w:t>סולובייצ׳יק</w:t>
      </w:r>
      <w:proofErr w:type="spellEnd"/>
      <w:r>
        <w:rPr>
          <w:sz w:val="20"/>
          <w:szCs w:val="20"/>
          <w:rtl/>
        </w:rPr>
        <w:t>, 9 באוגוסט 1987.</w:t>
      </w:r>
    </w:p>
  </w:footnote>
  <w:footnote w:id="978">
    <w:p w14:paraId="0EC92F0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אחד התלמידים, ר׳ דב גינזברג מתל אביב, ריאיון, 24 באפריל 1987.</w:t>
      </w:r>
    </w:p>
  </w:footnote>
  <w:footnote w:id="979">
    <w:p w14:paraId="571DA77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“מינסק עיר ואם א”, עמ׳ 662.</w:t>
      </w:r>
    </w:p>
  </w:footnote>
  <w:footnote w:id="980">
    <w:p w14:paraId="27AF23A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“קובץ לזכרו (של) רבי יהושע </w:t>
      </w:r>
      <w:proofErr w:type="spellStart"/>
      <w:r>
        <w:rPr>
          <w:sz w:val="20"/>
          <w:szCs w:val="20"/>
          <w:rtl/>
        </w:rPr>
        <w:t>מהוראדנא</w:t>
      </w:r>
      <w:proofErr w:type="spellEnd"/>
      <w:r>
        <w:rPr>
          <w:sz w:val="20"/>
          <w:szCs w:val="20"/>
          <w:rtl/>
        </w:rPr>
        <w:t xml:space="preserve"> זצ״ל” (להלן: “קובץ </w:t>
      </w:r>
      <w:proofErr w:type="spellStart"/>
      <w:r>
        <w:rPr>
          <w:sz w:val="20"/>
          <w:szCs w:val="20"/>
          <w:rtl/>
        </w:rPr>
        <w:t>לרי״ה</w:t>
      </w:r>
      <w:proofErr w:type="spellEnd"/>
      <w:r>
        <w:rPr>
          <w:sz w:val="20"/>
          <w:szCs w:val="20"/>
          <w:rtl/>
        </w:rPr>
        <w:t>”), שהוציאו לאור “בניו וחתניו”, ירושלים, תש״ט.</w:t>
      </w:r>
    </w:p>
  </w:footnote>
  <w:footnote w:id="981">
    <w:p w14:paraId="04F69A5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29 באוקטובר 1991.</w:t>
      </w:r>
    </w:p>
  </w:footnote>
  <w:footnote w:id="982">
    <w:p w14:paraId="038B3CE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והשווה גם “שמושה של תורה” (הערה 10 לעיל), עמ׳ שכה–שכו, שם מסופר שר׳ משה </w:t>
      </w:r>
      <w:proofErr w:type="spellStart"/>
      <w:r>
        <w:rPr>
          <w:sz w:val="20"/>
          <w:szCs w:val="20"/>
          <w:rtl/>
        </w:rPr>
        <w:t>פיינשטיין</w:t>
      </w:r>
      <w:proofErr w:type="spellEnd"/>
      <w:r>
        <w:rPr>
          <w:sz w:val="20"/>
          <w:szCs w:val="20"/>
          <w:rtl/>
        </w:rPr>
        <w:t xml:space="preserve"> שוחרר מן הכלא יחד עם כל אנשי הקהילה ששימש בה, </w:t>
      </w:r>
      <w:proofErr w:type="spellStart"/>
      <w:r>
        <w:rPr>
          <w:sz w:val="20"/>
          <w:szCs w:val="20"/>
          <w:rtl/>
        </w:rPr>
        <w:t>לובאן</w:t>
      </w:r>
      <w:proofErr w:type="spellEnd"/>
      <w:r>
        <w:rPr>
          <w:sz w:val="20"/>
          <w:szCs w:val="20"/>
          <w:rtl/>
        </w:rPr>
        <w:t xml:space="preserve">, משום שחותנו, ר׳ </w:t>
      </w:r>
      <w:proofErr w:type="spellStart"/>
      <w:r>
        <w:rPr>
          <w:sz w:val="20"/>
          <w:szCs w:val="20"/>
          <w:rtl/>
        </w:rPr>
        <w:t>יעקב־משה</w:t>
      </w:r>
      <w:proofErr w:type="spellEnd"/>
      <w:r>
        <w:rPr>
          <w:sz w:val="20"/>
          <w:szCs w:val="20"/>
          <w:rtl/>
        </w:rPr>
        <w:t xml:space="preserve"> </w:t>
      </w:r>
      <w:proofErr w:type="spellStart"/>
      <w:r>
        <w:rPr>
          <w:sz w:val="20"/>
          <w:szCs w:val="20"/>
          <w:rtl/>
        </w:rPr>
        <w:t>קסטנוביץ</w:t>
      </w:r>
      <w:proofErr w:type="spellEnd"/>
      <w:r>
        <w:rPr>
          <w:sz w:val="20"/>
          <w:szCs w:val="20"/>
          <w:rtl/>
        </w:rPr>
        <w:t xml:space="preserve">׳, עשה פעם חסד יוצא דופן עם אחיו של הקומיסר הקומוניסטי שהיה ממונה על </w:t>
      </w:r>
      <w:proofErr w:type="spellStart"/>
      <w:r>
        <w:rPr>
          <w:sz w:val="20"/>
          <w:szCs w:val="20"/>
          <w:rtl/>
        </w:rPr>
        <w:t>ה“חקירה</w:t>
      </w:r>
      <w:proofErr w:type="spellEnd"/>
      <w:r>
        <w:rPr>
          <w:sz w:val="20"/>
          <w:szCs w:val="20"/>
          <w:rtl/>
        </w:rPr>
        <w:t>” נגדם.</w:t>
      </w:r>
    </w:p>
  </w:footnote>
  <w:footnote w:id="983">
    <w:p w14:paraId="0FABCF6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משני ראיונות מ־13 במרץ 1988: עם ר׳ ישראל ברגר (תחילת נספח ב לעיל) ועם ר׳ יצחק </w:t>
      </w:r>
      <w:proofErr w:type="spellStart"/>
      <w:r>
        <w:rPr>
          <w:sz w:val="20"/>
          <w:szCs w:val="20"/>
          <w:rtl/>
        </w:rPr>
        <w:t>קרשטיין</w:t>
      </w:r>
      <w:proofErr w:type="spellEnd"/>
      <w:r>
        <w:rPr>
          <w:sz w:val="20"/>
          <w:szCs w:val="20"/>
          <w:rtl/>
        </w:rPr>
        <w:t xml:space="preserve">, נכדו של ר׳ </w:t>
      </w:r>
      <w:proofErr w:type="spellStart"/>
      <w:r>
        <w:rPr>
          <w:sz w:val="20"/>
          <w:szCs w:val="20"/>
          <w:rtl/>
        </w:rPr>
        <w:t>יהושע׳לה</w:t>
      </w:r>
      <w:proofErr w:type="spellEnd"/>
      <w:r>
        <w:rPr>
          <w:sz w:val="20"/>
          <w:szCs w:val="20"/>
          <w:rtl/>
        </w:rPr>
        <w:t xml:space="preserve">. ר׳ יצחק שמע את אבי מספר את הסיפור המרגש הזה לחתן ולאורחיו בסעודת החתונה של בנו. אני סבור שאבי שמע אותו באחד מביקוריו בארץ ישראל, אצל חברו לישיבת </w:t>
      </w:r>
      <w:proofErr w:type="spellStart"/>
      <w:r>
        <w:rPr>
          <w:sz w:val="20"/>
          <w:szCs w:val="20"/>
          <w:rtl/>
        </w:rPr>
        <w:t>סלבודקה</w:t>
      </w:r>
      <w:proofErr w:type="spellEnd"/>
      <w:r>
        <w:rPr>
          <w:sz w:val="20"/>
          <w:szCs w:val="20"/>
          <w:rtl/>
        </w:rPr>
        <w:t xml:space="preserve"> (השווה סוף פרק זה ופרק 3.2), ר׳ אשר </w:t>
      </w:r>
      <w:proofErr w:type="spellStart"/>
      <w:r>
        <w:rPr>
          <w:sz w:val="20"/>
          <w:szCs w:val="20"/>
          <w:rtl/>
        </w:rPr>
        <w:t>קרשטיין</w:t>
      </w:r>
      <w:proofErr w:type="spellEnd"/>
      <w:r>
        <w:rPr>
          <w:sz w:val="20"/>
          <w:szCs w:val="20"/>
          <w:rtl/>
        </w:rPr>
        <w:t xml:space="preserve"> – חתנו של הרב </w:t>
      </w:r>
      <w:proofErr w:type="spellStart"/>
      <w:r>
        <w:rPr>
          <w:sz w:val="20"/>
          <w:szCs w:val="20"/>
          <w:rtl/>
        </w:rPr>
        <w:t>צימבליסט</w:t>
      </w:r>
      <w:proofErr w:type="spellEnd"/>
      <w:r>
        <w:rPr>
          <w:sz w:val="20"/>
          <w:szCs w:val="20"/>
          <w:rtl/>
        </w:rPr>
        <w:t xml:space="preserve"> ואביו של המרואיין. הרב </w:t>
      </w:r>
      <w:proofErr w:type="spellStart"/>
      <w:r>
        <w:rPr>
          <w:sz w:val="20"/>
          <w:szCs w:val="20"/>
          <w:rtl/>
        </w:rPr>
        <w:t>קרשטיין</w:t>
      </w:r>
      <w:proofErr w:type="spellEnd"/>
      <w:r>
        <w:rPr>
          <w:sz w:val="20"/>
          <w:szCs w:val="20"/>
          <w:rtl/>
        </w:rPr>
        <w:t xml:space="preserve"> ברח ממינסק לארץ ישראל בשנת תרצ״ו, שלוש שנים אחרי חותנו, וכיהן כרב העיר עפולה. הוא נפטר בשנת תשל״ה, ועד אז כבר ביקר אבי בארץ ישראל פעמיים.</w:t>
      </w:r>
    </w:p>
  </w:footnote>
  <w:footnote w:id="984">
    <w:p w14:paraId="4D4023F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הוצאת חי ראי, </w:t>
      </w:r>
      <w:proofErr w:type="spellStart"/>
      <w:r>
        <w:rPr>
          <w:sz w:val="20"/>
          <w:szCs w:val="20"/>
          <w:rtl/>
        </w:rPr>
        <w:t>כפר־הרואה</w:t>
      </w:r>
      <w:proofErr w:type="spellEnd"/>
      <w:r>
        <w:rPr>
          <w:sz w:val="20"/>
          <w:szCs w:val="20"/>
          <w:rtl/>
        </w:rPr>
        <w:t>, תשנ״ב – עמ׳ 18.</w:t>
      </w:r>
    </w:p>
  </w:footnote>
  <w:footnote w:id="985">
    <w:p w14:paraId="30B199F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18.</w:t>
      </w:r>
    </w:p>
  </w:footnote>
  <w:footnote w:id="986">
    <w:p w14:paraId="286D937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דברי הימים א </w:t>
      </w:r>
      <w:proofErr w:type="spellStart"/>
      <w:r>
        <w:rPr>
          <w:sz w:val="20"/>
          <w:szCs w:val="20"/>
          <w:rtl/>
        </w:rPr>
        <w:t>טז</w:t>
      </w:r>
      <w:proofErr w:type="spellEnd"/>
      <w:r>
        <w:rPr>
          <w:sz w:val="20"/>
          <w:szCs w:val="20"/>
          <w:rtl/>
        </w:rPr>
        <w:t xml:space="preserve">, </w:t>
      </w:r>
      <w:proofErr w:type="spellStart"/>
      <w:r>
        <w:rPr>
          <w:sz w:val="20"/>
          <w:szCs w:val="20"/>
          <w:rtl/>
        </w:rPr>
        <w:t>כב</w:t>
      </w:r>
      <w:proofErr w:type="spellEnd"/>
      <w:r>
        <w:rPr>
          <w:sz w:val="20"/>
          <w:szCs w:val="20"/>
          <w:rtl/>
        </w:rPr>
        <w:t>.</w:t>
      </w:r>
    </w:p>
  </w:footnote>
  <w:footnote w:id="987">
    <w:p w14:paraId="0EC02A0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שבת קי״ט ע״ב.</w:t>
      </w:r>
    </w:p>
  </w:footnote>
  <w:footnote w:id="988">
    <w:p w14:paraId="7D1945E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הפסקה האחרונה בסעיף 1 לעיל.</w:t>
      </w:r>
    </w:p>
  </w:footnote>
  <w:footnote w:id="989">
    <w:p w14:paraId="4D9B965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הפסקה הרביעית בסעיף הקודם, והערה 30 לעיל.</w:t>
      </w:r>
    </w:p>
  </w:footnote>
  <w:footnote w:id="990">
    <w:p w14:paraId="64E294B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לפי ישעיה יד, ח.</w:t>
      </w:r>
    </w:p>
  </w:footnote>
  <w:footnote w:id="991">
    <w:p w14:paraId="6371056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יומא כ״ח ע״ב.</w:t>
      </w:r>
    </w:p>
  </w:footnote>
  <w:footnote w:id="992">
    <w:p w14:paraId="01E92C1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יצא לאור בהוצאת “אורייתא”, ירושלים, תשמ״ג – עמ׳ </w:t>
      </w:r>
      <w:proofErr w:type="spellStart"/>
      <w:r>
        <w:rPr>
          <w:sz w:val="20"/>
          <w:szCs w:val="20"/>
          <w:rtl/>
        </w:rPr>
        <w:t>תכא</w:t>
      </w:r>
      <w:proofErr w:type="spellEnd"/>
      <w:r>
        <w:rPr>
          <w:sz w:val="20"/>
          <w:szCs w:val="20"/>
          <w:rtl/>
        </w:rPr>
        <w:t>.</w:t>
      </w:r>
    </w:p>
  </w:footnote>
  <w:footnote w:id="993">
    <w:p w14:paraId="694D48D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בספר “אוסף חידושי תורה ממרן </w:t>
      </w:r>
      <w:proofErr w:type="spellStart"/>
      <w:r>
        <w:rPr>
          <w:sz w:val="20"/>
          <w:szCs w:val="20"/>
          <w:rtl/>
        </w:rPr>
        <w:t>הגר״א</w:t>
      </w:r>
      <w:proofErr w:type="spellEnd"/>
      <w:r>
        <w:rPr>
          <w:sz w:val="20"/>
          <w:szCs w:val="20"/>
          <w:rtl/>
        </w:rPr>
        <w:t xml:space="preserve"> קוטלר” בא גילוי זה בסימן קריאה, כפי שהובא כאן.</w:t>
      </w:r>
    </w:p>
  </w:footnote>
  <w:footnote w:id="994">
    <w:p w14:paraId="54F156A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נרשם </w:t>
      </w:r>
      <w:proofErr w:type="spellStart"/>
      <w:r>
        <w:rPr>
          <w:sz w:val="20"/>
          <w:szCs w:val="20"/>
          <w:rtl/>
        </w:rPr>
        <w:t>ב“אוסף</w:t>
      </w:r>
      <w:proofErr w:type="spellEnd"/>
      <w:r>
        <w:rPr>
          <w:sz w:val="20"/>
          <w:szCs w:val="20"/>
          <w:rtl/>
        </w:rPr>
        <w:t xml:space="preserve"> חידושי תורה ממרן </w:t>
      </w:r>
      <w:proofErr w:type="spellStart"/>
      <w:r>
        <w:rPr>
          <w:sz w:val="20"/>
          <w:szCs w:val="20"/>
          <w:rtl/>
        </w:rPr>
        <w:t>הגר״א</w:t>
      </w:r>
      <w:proofErr w:type="spellEnd"/>
      <w:r>
        <w:rPr>
          <w:sz w:val="20"/>
          <w:szCs w:val="20"/>
          <w:rtl/>
        </w:rPr>
        <w:t xml:space="preserve"> קוטלר”, עמ׳ </w:t>
      </w:r>
      <w:proofErr w:type="spellStart"/>
      <w:r>
        <w:rPr>
          <w:sz w:val="20"/>
          <w:szCs w:val="20"/>
          <w:rtl/>
        </w:rPr>
        <w:t>תלג</w:t>
      </w:r>
      <w:proofErr w:type="spellEnd"/>
      <w:r>
        <w:rPr>
          <w:sz w:val="20"/>
          <w:szCs w:val="20"/>
          <w:rtl/>
        </w:rPr>
        <w:t>, הערה 1.</w:t>
      </w:r>
    </w:p>
  </w:footnote>
  <w:footnote w:id="995">
    <w:p w14:paraId="4996F62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5, סוף הערה 28.</w:t>
      </w:r>
    </w:p>
  </w:footnote>
  <w:footnote w:id="996">
    <w:p w14:paraId="3F6DFEB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ראש פרק 3.</w:t>
      </w:r>
    </w:p>
  </w:footnote>
  <w:footnote w:id="997">
    <w:p w14:paraId="79D0EC4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קבלתו לכנסת בית יצחק כשהיה רק בן </w:t>
      </w:r>
      <w:proofErr w:type="spellStart"/>
      <w:r>
        <w:rPr>
          <w:sz w:val="20"/>
          <w:szCs w:val="20"/>
          <w:rtl/>
        </w:rPr>
        <w:t>שתים־עשרה</w:t>
      </w:r>
      <w:proofErr w:type="spellEnd"/>
      <w:r>
        <w:rPr>
          <w:sz w:val="20"/>
          <w:szCs w:val="20"/>
          <w:rtl/>
        </w:rPr>
        <w:t xml:space="preserve"> ראויה, כמובן, לסימן קריאה לא פחות מהצטרפותו לכנסת ישראל בגיל זה. השווה פרק 3, הערה 138, והערת שוליים </w:t>
      </w:r>
      <w:r>
        <w:rPr>
          <w:sz w:val="20"/>
          <w:szCs w:val="20"/>
          <w:rtl/>
        </w:rPr>
        <w:fldChar w:fldCharType="begin" w:dirty="true"/>
      </w:r>
      <w:r>
        <w:rPr>
          <w:sz w:val="20"/>
          <w:szCs w:val="20"/>
          <w:rtl/>
        </w:rPr>
        <w:instrText xml:space="preserve"> NOTEREF pr_f_1311 \h </w:instrText>
      </w:r>
      <w:r>
        <w:rPr>
          <w:sz w:val="20"/>
          <w:szCs w:val="20"/>
          <w:rtl/>
        </w:rPr>
      </w:r>
      <w:r>
        <w:rPr>
          <w:sz w:val="20"/>
          <w:szCs w:val="20"/>
          <w:rtl/>
        </w:rPr>
        <w:fldChar w:fldCharType="separate"/>
      </w:r>
      <w:r w:rsidR="007923E9">
        <w:rPr>
          <w:sz w:val="20"/>
          <w:szCs w:val="20"/>
          <w:rtl/>
        </w:rPr>
        <w:t>356</w:t>
      </w:r>
      <w:r>
        <w:rPr>
          <w:sz w:val="20"/>
          <w:szCs w:val="20"/>
          <w:rtl/>
        </w:rPr>
        <w:fldChar w:fldCharType="end"/>
      </w:r>
      <w:r>
        <w:rPr>
          <w:sz w:val="20"/>
          <w:szCs w:val="20"/>
          <w:rtl/>
        </w:rPr>
        <w:t xml:space="preserve"> (עמ׳ </w:t>
      </w:r>
      <w:r>
        <w:rPr>
          <w:sz w:val="20"/>
          <w:szCs w:val="20"/>
          <w:rtl/>
        </w:rPr>
        <w:fldChar w:fldCharType="begin" w:dirty="true"/>
      </w:r>
      <w:r>
        <w:rPr>
          <w:sz w:val="20"/>
          <w:szCs w:val="20"/>
          <w:rtl/>
        </w:rPr>
        <w:instrText xml:space="preserve"> PAGEREF pr_f_1311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שם מוצע טעם לכך שצאצאי ר׳ אהרן לא ידעו על שהותו בישיבה זו.</w:t>
      </w:r>
    </w:p>
  </w:footnote>
  <w:footnote w:id="998">
    <w:p w14:paraId="5F050BB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השיחה המוקלטת עם ר׳ מרדכי שפירא (הערה 51 לעיל).</w:t>
      </w:r>
    </w:p>
  </w:footnote>
  <w:footnote w:id="999">
    <w:p w14:paraId="5F9EBCF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זה היה גם השיקול שבגללו הצטרף ר׳ </w:t>
      </w:r>
      <w:proofErr w:type="spellStart"/>
      <w:r>
        <w:rPr>
          <w:sz w:val="20"/>
          <w:szCs w:val="20"/>
          <w:rtl/>
        </w:rPr>
        <w:t>שמואל־לייב</w:t>
      </w:r>
      <w:proofErr w:type="spellEnd"/>
      <w:r>
        <w:rPr>
          <w:sz w:val="20"/>
          <w:szCs w:val="20"/>
          <w:rtl/>
        </w:rPr>
        <w:t xml:space="preserve"> שווי לכנסת בית יצחק, כפי שהוזכר בפרק 3, הפסקה השנייה בנספח לה.</w:t>
      </w:r>
    </w:p>
  </w:footnote>
  <w:footnote w:id="1000">
    <w:p w14:paraId="67C397D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הפסקה </w:t>
      </w:r>
      <w:proofErr w:type="spellStart"/>
      <w:r>
        <w:rPr>
          <w:sz w:val="20"/>
          <w:szCs w:val="20"/>
          <w:rtl/>
        </w:rPr>
        <w:t>הלפני</w:t>
      </w:r>
      <w:proofErr w:type="spellEnd"/>
      <w:r>
        <w:rPr>
          <w:sz w:val="20"/>
          <w:szCs w:val="20"/>
          <w:rtl/>
        </w:rPr>
        <w:t xml:space="preserve"> אחרונה בפרק 4.2, והערה 150 שם.</w:t>
      </w:r>
    </w:p>
  </w:footnote>
  <w:footnote w:id="1001">
    <w:p w14:paraId="55A4B34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הפסקה הרביעית מהסוף בסעיף 2 של פרק זה, שכך אירע גם לאבי כשביקש להצטרף </w:t>
      </w:r>
      <w:proofErr w:type="spellStart"/>
      <w:r>
        <w:rPr>
          <w:sz w:val="20"/>
          <w:szCs w:val="20"/>
          <w:rtl/>
        </w:rPr>
        <w:t>לקלויז</w:t>
      </w:r>
      <w:proofErr w:type="spellEnd"/>
      <w:r>
        <w:rPr>
          <w:sz w:val="20"/>
          <w:szCs w:val="20"/>
          <w:rtl/>
        </w:rPr>
        <w:t xml:space="preserve"> של </w:t>
      </w:r>
      <w:proofErr w:type="spellStart"/>
      <w:r>
        <w:rPr>
          <w:sz w:val="20"/>
          <w:szCs w:val="20"/>
          <w:rtl/>
        </w:rPr>
        <w:t>בלומקה</w:t>
      </w:r>
      <w:proofErr w:type="spellEnd"/>
      <w:r>
        <w:rPr>
          <w:sz w:val="20"/>
          <w:szCs w:val="20"/>
          <w:rtl/>
        </w:rPr>
        <w:t xml:space="preserve"> במינסק.</w:t>
      </w:r>
    </w:p>
  </w:footnote>
  <w:footnote w:id="1002">
    <w:p w14:paraId="2A7D752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גם פרק 5, הפסקה השנייה בנספח ח, כמה בקרירות נתקבל העילוי </w:t>
      </w:r>
      <w:proofErr w:type="spellStart"/>
      <w:r>
        <w:rPr>
          <w:sz w:val="20"/>
          <w:szCs w:val="20"/>
          <w:rtl/>
        </w:rPr>
        <w:t>ממייצ׳ט</w:t>
      </w:r>
      <w:proofErr w:type="spellEnd"/>
      <w:r>
        <w:rPr>
          <w:sz w:val="20"/>
          <w:szCs w:val="20"/>
          <w:rtl/>
        </w:rPr>
        <w:t xml:space="preserve"> כשהגיע </w:t>
      </w:r>
      <w:proofErr w:type="spellStart"/>
      <w:r>
        <w:rPr>
          <w:sz w:val="20"/>
          <w:szCs w:val="20"/>
          <w:rtl/>
        </w:rPr>
        <w:t>לוולוז׳ין</w:t>
      </w:r>
      <w:proofErr w:type="spellEnd"/>
      <w:r>
        <w:rPr>
          <w:sz w:val="20"/>
          <w:szCs w:val="20"/>
          <w:rtl/>
        </w:rPr>
        <w:t xml:space="preserve"> בן </w:t>
      </w:r>
      <w:proofErr w:type="spellStart"/>
      <w:r>
        <w:rPr>
          <w:sz w:val="20"/>
          <w:szCs w:val="20"/>
          <w:rtl/>
        </w:rPr>
        <w:t>שתים־עשרה</w:t>
      </w:r>
      <w:proofErr w:type="spellEnd"/>
      <w:r>
        <w:rPr>
          <w:sz w:val="20"/>
          <w:szCs w:val="20"/>
          <w:rtl/>
        </w:rPr>
        <w:t>.</w:t>
      </w:r>
    </w:p>
  </w:footnote>
  <w:footnote w:id="1003">
    <w:p w14:paraId="2A04C11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באותה שעה עדיין לא החליטו הוריו לעבור למינסק.</w:t>
      </w:r>
    </w:p>
  </w:footnote>
  <w:footnote w:id="1004">
    <w:p w14:paraId="136FB03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פרק 3, סוף הפסקה הראשונה בנספח ח.</w:t>
      </w:r>
    </w:p>
  </w:footnote>
  <w:footnote w:id="1005">
    <w:p w14:paraId="3EC7542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התשיעית בנספח א לעיל – עמ׳ 283.</w:t>
      </w:r>
    </w:p>
  </w:footnote>
  <w:footnote w:id="1006">
    <w:p w14:paraId="7FF3CB1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המשך הסיפור שם, עמ׳ 283, מספר על המנהג שהיה באותה ישיבה גדולה להכריז על חידוש בהקשה על הסטנדר. גם מנהג זה נשמע כדבר שהנהיגה לא כנסת ישראל אלא החדשה משתי הישיבות </w:t>
      </w:r>
      <w:proofErr w:type="spellStart"/>
      <w:r>
        <w:rPr>
          <w:sz w:val="20"/>
          <w:szCs w:val="20"/>
          <w:rtl/>
        </w:rPr>
        <w:t>שבסלבודקה</w:t>
      </w:r>
      <w:proofErr w:type="spellEnd"/>
      <w:r>
        <w:rPr>
          <w:sz w:val="20"/>
          <w:szCs w:val="20"/>
          <w:rtl/>
        </w:rPr>
        <w:t>, כנסת בית יצחק. כך גם ביטול המנהג בגלל מעשיו של תלמיד צעיר אחד, לפני בר המצווה או אחריה, כמסופר שם ומובא בפרק 3, הערה 138: הדבר מתאים יותר לכנסת בית יצחק, שכן בכנסת ישראל היה הסבא פשוט משוחח עם הנער ומעמידו על המותר לו והאסור לו, ולא משנה את סדרי הישיבה כולה (ראה פרק 3, אמצע הערה 91).</w:t>
      </w:r>
    </w:p>
  </w:footnote>
  <w:footnote w:id="1007">
    <w:p w14:paraId="46C2D4F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בריאיון המוקלט עם ר׳ </w:t>
      </w:r>
      <w:proofErr w:type="spellStart"/>
      <w:r>
        <w:rPr>
          <w:rStyle w:val="a5"/>
          <w:sz w:val="20"/>
          <w:szCs w:val="20"/>
          <w:vertAlign w:val="baseline"/>
          <w:rtl/>
        </w:rPr>
        <w:t>יעקב־יצחק</w:t>
      </w:r>
      <w:proofErr w:type="spellEnd"/>
      <w:r>
        <w:rPr>
          <w:rStyle w:val="a5"/>
          <w:sz w:val="20"/>
          <w:szCs w:val="20"/>
          <w:vertAlign w:val="baseline"/>
          <w:rtl/>
        </w:rPr>
        <w:t xml:space="preserve"> </w:t>
      </w:r>
      <w:proofErr w:type="spellStart"/>
      <w:r>
        <w:rPr>
          <w:rStyle w:val="a5"/>
          <w:sz w:val="20"/>
          <w:szCs w:val="20"/>
          <w:vertAlign w:val="baseline"/>
          <w:rtl/>
        </w:rPr>
        <w:t>רודרמן</w:t>
      </w:r>
      <w:proofErr w:type="spellEnd"/>
      <w:r>
        <w:rPr>
          <w:rStyle w:val="a5"/>
          <w:sz w:val="20"/>
          <w:szCs w:val="20"/>
          <w:vertAlign w:val="baseline"/>
          <w:rtl/>
        </w:rPr>
        <w:t xml:space="preserve"> (פרק 1, הערת שוליים </w:t>
      </w:r>
      <w:r>
        <w:rPr>
          <w:rStyle w:val="a5"/>
          <w:sz w:val="20"/>
          <w:szCs w:val="20"/>
          <w:vertAlign w:val="baseline"/>
          <w:rtl/>
        </w:rPr>
        <w:fldChar w:fldCharType="begin" w:dirty="true"/>
      </w:r>
      <w:r>
        <w:rPr>
          <w:rStyle w:val="a5"/>
          <w:sz w:val="20"/>
          <w:szCs w:val="20"/>
          <w:vertAlign w:val="baseline"/>
          <w:rtl/>
        </w:rPr>
        <w:instrText xml:space="preserve"> NOTEREF pr_f_365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307</w:t>
      </w:r>
      <w:r>
        <w:rPr>
          <w:rStyle w:val="a5"/>
          <w:sz w:val="20"/>
          <w:szCs w:val="20"/>
          <w:vertAlign w:val="baseline"/>
          <w:rtl/>
        </w:rPr>
        <w:fldChar w:fldCharType="end"/>
      </w:r>
      <w:r>
        <w:rPr>
          <w:rStyle w:val="a5"/>
          <w:sz w:val="20"/>
          <w:szCs w:val="20"/>
          <w:vertAlign w:val="baseline"/>
          <w:rtl/>
        </w:rPr>
        <w:t xml:space="preserve">, עמ׳ </w:t>
      </w:r>
      <w:r>
        <w:rPr>
          <w:rStyle w:val="a5"/>
          <w:sz w:val="20"/>
          <w:szCs w:val="20"/>
          <w:vertAlign w:val="baseline"/>
          <w:rtl/>
        </w:rPr>
        <w:fldChar w:fldCharType="begin" w:dirty="true"/>
      </w:r>
      <w:r>
        <w:rPr>
          <w:rStyle w:val="a5"/>
          <w:sz w:val="20"/>
          <w:szCs w:val="20"/>
          <w:vertAlign w:val="baseline"/>
          <w:rtl/>
        </w:rPr>
        <w:instrText xml:space="preserve"> PAGEREF pr_f_365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 xml:space="preserve">) אמר הרב </w:t>
      </w:r>
      <w:proofErr w:type="spellStart"/>
      <w:r>
        <w:rPr>
          <w:sz w:val="20"/>
          <w:szCs w:val="20"/>
          <w:rtl/>
        </w:rPr>
        <w:t>רודרמן</w:t>
      </w:r>
      <w:proofErr w:type="spellEnd"/>
      <w:r>
        <w:rPr>
          <w:sz w:val="20"/>
          <w:szCs w:val="20"/>
          <w:rtl/>
        </w:rPr>
        <w:t xml:space="preserve"> שאף על פי שר׳ אהרן היה מחסידי הסבא </w:t>
      </w:r>
      <w:proofErr w:type="spellStart"/>
      <w:r>
        <w:rPr>
          <w:sz w:val="20"/>
          <w:szCs w:val="20"/>
          <w:rtl/>
        </w:rPr>
        <w:t>מסלבודקה</w:t>
      </w:r>
      <w:proofErr w:type="spellEnd"/>
      <w:r>
        <w:rPr>
          <w:sz w:val="20"/>
          <w:szCs w:val="20"/>
          <w:rtl/>
        </w:rPr>
        <w:t xml:space="preserve">, השקפתו לא הייתה כולה השקפת ישיבת </w:t>
      </w:r>
      <w:proofErr w:type="spellStart"/>
      <w:r>
        <w:rPr>
          <w:sz w:val="20"/>
          <w:szCs w:val="20"/>
          <w:rtl/>
        </w:rPr>
        <w:t>סלבודקה</w:t>
      </w:r>
      <w:proofErr w:type="spellEnd"/>
      <w:r>
        <w:rPr>
          <w:sz w:val="20"/>
          <w:szCs w:val="20"/>
          <w:rtl/>
        </w:rPr>
        <w:t xml:space="preserve">, משום </w:t>
      </w:r>
      <w:proofErr w:type="spellStart"/>
      <w:r>
        <w:rPr>
          <w:sz w:val="20"/>
          <w:szCs w:val="20"/>
          <w:rtl/>
        </w:rPr>
        <w:t>ש“הוא</w:t>
      </w:r>
      <w:proofErr w:type="spellEnd"/>
      <w:r>
        <w:rPr>
          <w:sz w:val="20"/>
          <w:szCs w:val="20"/>
          <w:rtl/>
        </w:rPr>
        <w:t xml:space="preserve"> התחנך גם בישיבות אחרות: </w:t>
      </w:r>
      <w:proofErr w:type="spellStart"/>
      <w:r>
        <w:rPr>
          <w:sz w:val="20"/>
          <w:szCs w:val="20"/>
          <w:rtl/>
        </w:rPr>
        <w:t>נובהרדוק</w:t>
      </w:r>
      <w:proofErr w:type="spellEnd"/>
      <w:r>
        <w:rPr>
          <w:sz w:val="20"/>
          <w:szCs w:val="20"/>
          <w:rtl/>
        </w:rPr>
        <w:t xml:space="preserve"> </w:t>
      </w:r>
      <w:proofErr w:type="spellStart"/>
      <w:r>
        <w:rPr>
          <w:sz w:val="20"/>
          <w:szCs w:val="20"/>
          <w:rtl/>
        </w:rPr>
        <w:t>וראדין</w:t>
      </w:r>
      <w:proofErr w:type="spellEnd"/>
      <w:r>
        <w:rPr>
          <w:sz w:val="20"/>
          <w:szCs w:val="20"/>
          <w:rtl/>
        </w:rPr>
        <w:t>”. כוונתו לשנות מלחמת העולם הראשונה, אחרי שכבר נשא אישה. ראה כרך 2.</w:t>
      </w:r>
    </w:p>
  </w:footnote>
  <w:footnote w:id="1008">
    <w:p w14:paraId="3B702C8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ריאיון, 23 באפריל 2000. נכדו זה של הצדיק </w:t>
      </w:r>
      <w:proofErr w:type="spellStart"/>
      <w:r>
        <w:rPr>
          <w:sz w:val="20"/>
          <w:szCs w:val="20"/>
          <w:rtl/>
        </w:rPr>
        <w:t>המינסקאי</w:t>
      </w:r>
      <w:proofErr w:type="spellEnd"/>
      <w:r>
        <w:rPr>
          <w:sz w:val="20"/>
          <w:szCs w:val="20"/>
          <w:rtl/>
        </w:rPr>
        <w:t xml:space="preserve"> ר׳ </w:t>
      </w:r>
      <w:proofErr w:type="spellStart"/>
      <w:r>
        <w:rPr>
          <w:sz w:val="20"/>
          <w:szCs w:val="20"/>
          <w:rtl/>
        </w:rPr>
        <w:t>יהושע׳לה</w:t>
      </w:r>
      <w:proofErr w:type="spellEnd"/>
      <w:r>
        <w:rPr>
          <w:sz w:val="20"/>
          <w:szCs w:val="20"/>
          <w:rtl/>
        </w:rPr>
        <w:t xml:space="preserve"> </w:t>
      </w:r>
      <w:proofErr w:type="spellStart"/>
      <w:r>
        <w:rPr>
          <w:sz w:val="20"/>
          <w:szCs w:val="20"/>
          <w:rtl/>
        </w:rPr>
        <w:t>הורודנער</w:t>
      </w:r>
      <w:proofErr w:type="spellEnd"/>
      <w:r>
        <w:rPr>
          <w:sz w:val="20"/>
          <w:szCs w:val="20"/>
          <w:rtl/>
        </w:rPr>
        <w:t xml:space="preserve"> (נספח ג לעיל) מסר את דברי ר׳ </w:t>
      </w:r>
      <w:proofErr w:type="spellStart"/>
      <w:r>
        <w:rPr>
          <w:sz w:val="20"/>
          <w:szCs w:val="20"/>
          <w:rtl/>
        </w:rPr>
        <w:t>ברוך־בער</w:t>
      </w:r>
      <w:proofErr w:type="spellEnd"/>
      <w:r>
        <w:rPr>
          <w:sz w:val="20"/>
          <w:szCs w:val="20"/>
          <w:rtl/>
        </w:rPr>
        <w:t xml:space="preserve"> בשם ר׳ נח </w:t>
      </w:r>
      <w:proofErr w:type="spellStart"/>
      <w:r>
        <w:rPr>
          <w:sz w:val="20"/>
          <w:szCs w:val="20"/>
          <w:rtl/>
        </w:rPr>
        <w:t>שימונוביץ</w:t>
      </w:r>
      <w:proofErr w:type="spellEnd"/>
      <w:r>
        <w:rPr>
          <w:sz w:val="20"/>
          <w:szCs w:val="20"/>
          <w:rtl/>
        </w:rPr>
        <w:t xml:space="preserve">, ששמע אותם מפיו כשלמד אצלו </w:t>
      </w:r>
      <w:proofErr w:type="spellStart"/>
      <w:r>
        <w:rPr>
          <w:sz w:val="20"/>
          <w:szCs w:val="20"/>
          <w:rtl/>
        </w:rPr>
        <w:t>בקמניץ</w:t>
      </w:r>
      <w:proofErr w:type="spellEnd"/>
      <w:r>
        <w:rPr>
          <w:sz w:val="20"/>
          <w:szCs w:val="20"/>
          <w:rtl/>
        </w:rPr>
        <w:t xml:space="preserve">. ר׳ נח, יליד מינסק, היה בנו של ראש הישיבה האחרון </w:t>
      </w:r>
      <w:proofErr w:type="spellStart"/>
      <w:r>
        <w:rPr>
          <w:sz w:val="20"/>
          <w:szCs w:val="20"/>
          <w:rtl/>
        </w:rPr>
        <w:t>בקלויז</w:t>
      </w:r>
      <w:proofErr w:type="spellEnd"/>
      <w:r>
        <w:rPr>
          <w:sz w:val="20"/>
          <w:szCs w:val="20"/>
          <w:rtl/>
        </w:rPr>
        <w:t xml:space="preserve"> של </w:t>
      </w:r>
      <w:proofErr w:type="spellStart"/>
      <w:r>
        <w:rPr>
          <w:sz w:val="20"/>
          <w:szCs w:val="20"/>
          <w:rtl/>
        </w:rPr>
        <w:t>בלומקה</w:t>
      </w:r>
      <w:proofErr w:type="spellEnd"/>
      <w:r>
        <w:rPr>
          <w:sz w:val="20"/>
          <w:szCs w:val="20"/>
          <w:rtl/>
        </w:rPr>
        <w:t xml:space="preserve"> (ראה הפסקה הרביעית מהסוף בפרק 2.2).</w:t>
      </w:r>
    </w:p>
  </w:footnote>
  <w:footnote w:id="1009">
    <w:p w14:paraId="5969A82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 סוף נספח ה.</w:t>
      </w:r>
    </w:p>
  </w:footnote>
  <w:footnote w:id="1010">
    <w:p w14:paraId="45651AA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 הפסקה השלישית בנספח ו.</w:t>
      </w:r>
    </w:p>
  </w:footnote>
  <w:footnote w:id="1011">
    <w:p w14:paraId="52BCC99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“יתד נאמן”, מוסף ערב </w:t>
      </w:r>
      <w:proofErr w:type="spellStart"/>
      <w:r>
        <w:rPr>
          <w:sz w:val="20"/>
          <w:szCs w:val="20"/>
          <w:rtl/>
        </w:rPr>
        <w:t>שב״ק</w:t>
      </w:r>
      <w:proofErr w:type="spellEnd"/>
      <w:r>
        <w:rPr>
          <w:sz w:val="20"/>
          <w:szCs w:val="20"/>
          <w:rtl/>
        </w:rPr>
        <w:t xml:space="preserve"> פרשת יתרו תשנ״ו, עמ׳ 7.</w:t>
      </w:r>
    </w:p>
  </w:footnote>
  <w:footnote w:id="1012">
    <w:p w14:paraId="2F8DA96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20 בנובמבר 1992.</w:t>
      </w:r>
    </w:p>
  </w:footnote>
  <w:footnote w:id="1013">
    <w:p w14:paraId="68A8933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חנה </w:t>
      </w:r>
      <w:proofErr w:type="spellStart"/>
      <w:r>
        <w:rPr>
          <w:sz w:val="20"/>
          <w:szCs w:val="20"/>
          <w:rtl/>
        </w:rPr>
        <w:t>אוקסנקרוג</w:t>
      </w:r>
      <w:proofErr w:type="spellEnd"/>
      <w:r>
        <w:rPr>
          <w:sz w:val="20"/>
          <w:szCs w:val="20"/>
          <w:rtl/>
        </w:rPr>
        <w:t xml:space="preserve"> (הערה 50 לעיל).</w:t>
      </w:r>
    </w:p>
  </w:footnote>
  <w:footnote w:id="1014">
    <w:p w14:paraId="26243A5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יצא לאור בירושלים, תשנ״ט (להלן: מגד גבעות עולם) – עמ׳ מד.</w:t>
      </w:r>
    </w:p>
  </w:footnote>
  <w:footnote w:id="1015">
    <w:p w14:paraId="56DEC62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“מגד גבעות עולם”, שם, מביא גם מאותו מקור שר׳ </w:t>
      </w:r>
      <w:proofErr w:type="spellStart"/>
      <w:r>
        <w:rPr>
          <w:sz w:val="20"/>
          <w:szCs w:val="20"/>
          <w:rtl/>
        </w:rPr>
        <w:t>חיים־עוזר</w:t>
      </w:r>
      <w:proofErr w:type="spellEnd"/>
      <w:r>
        <w:rPr>
          <w:sz w:val="20"/>
          <w:szCs w:val="20"/>
          <w:rtl/>
        </w:rPr>
        <w:t xml:space="preserve"> </w:t>
      </w:r>
      <w:proofErr w:type="spellStart"/>
      <w:r>
        <w:rPr>
          <w:sz w:val="20"/>
          <w:szCs w:val="20"/>
          <w:rtl/>
        </w:rPr>
        <w:t>גרודזנסקי</w:t>
      </w:r>
      <w:proofErr w:type="spellEnd"/>
      <w:r>
        <w:rPr>
          <w:sz w:val="20"/>
          <w:szCs w:val="20"/>
          <w:rtl/>
        </w:rPr>
        <w:t xml:space="preserve"> כינה את ר׳ אהרן “ר׳ עקיבא איגר צעיר”. ראה גם פרק 4, נספח </w:t>
      </w:r>
      <w:proofErr w:type="spellStart"/>
      <w:r>
        <w:rPr>
          <w:sz w:val="20"/>
          <w:szCs w:val="20"/>
          <w:rtl/>
        </w:rPr>
        <w:t>טז</w:t>
      </w:r>
      <w:proofErr w:type="spellEnd"/>
      <w:r>
        <w:rPr>
          <w:sz w:val="20"/>
          <w:szCs w:val="20"/>
          <w:rtl/>
        </w:rPr>
        <w:t xml:space="preserve">, והערת שוליים </w:t>
      </w:r>
      <w:r>
        <w:rPr>
          <w:sz w:val="20"/>
          <w:szCs w:val="20"/>
          <w:rtl/>
        </w:rPr>
        <w:fldChar w:fldCharType="begin" w:dirty="true"/>
      </w:r>
      <w:r>
        <w:rPr>
          <w:sz w:val="20"/>
          <w:szCs w:val="20"/>
          <w:rtl/>
        </w:rPr>
        <w:instrText xml:space="preserve"> NOTEREF pr_f_2382 \h </w:instrText>
      </w:r>
      <w:r>
        <w:rPr>
          <w:sz w:val="20"/>
          <w:szCs w:val="20"/>
          <w:rtl/>
        </w:rPr>
      </w:r>
      <w:r>
        <w:rPr>
          <w:sz w:val="20"/>
          <w:szCs w:val="20"/>
          <w:rtl/>
        </w:rPr>
        <w:fldChar w:fldCharType="separate"/>
      </w:r>
      <w:r w:rsidR="007923E9">
        <w:rPr>
          <w:sz w:val="20"/>
          <w:szCs w:val="20"/>
          <w:rtl/>
        </w:rPr>
        <w:t>1428</w:t>
      </w:r>
      <w:r>
        <w:rPr>
          <w:sz w:val="20"/>
          <w:szCs w:val="20"/>
          <w:rtl/>
        </w:rPr>
        <w:fldChar w:fldCharType="end"/>
      </w:r>
      <w:r>
        <w:rPr>
          <w:sz w:val="20"/>
          <w:szCs w:val="20"/>
          <w:rtl/>
        </w:rPr>
        <w:t xml:space="preserve"> (עמ׳ </w:t>
      </w:r>
      <w:r>
        <w:rPr>
          <w:sz w:val="20"/>
          <w:szCs w:val="20"/>
          <w:rtl/>
        </w:rPr>
        <w:fldChar w:fldCharType="begin" w:dirty="true"/>
      </w:r>
      <w:r>
        <w:rPr>
          <w:sz w:val="20"/>
          <w:szCs w:val="20"/>
          <w:rtl/>
        </w:rPr>
        <w:instrText xml:space="preserve"> PAGEREF pr_f_2382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להלן.</w:t>
      </w:r>
    </w:p>
  </w:footnote>
  <w:footnote w:id="1016">
    <w:p w14:paraId="3B6519B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גיליון 272, </w:t>
      </w:r>
      <w:proofErr w:type="spellStart"/>
      <w:r>
        <w:rPr>
          <w:sz w:val="20"/>
          <w:szCs w:val="20"/>
          <w:rtl/>
        </w:rPr>
        <w:t>כסלו־טבת</w:t>
      </w:r>
      <w:proofErr w:type="spellEnd"/>
      <w:r>
        <w:rPr>
          <w:sz w:val="20"/>
          <w:szCs w:val="20"/>
          <w:rtl/>
        </w:rPr>
        <w:t xml:space="preserve"> תשמ״ח – עמ׳ 58.</w:t>
      </w:r>
    </w:p>
  </w:footnote>
  <w:footnote w:id="1017">
    <w:p w14:paraId="30976C6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ב לעיל.</w:t>
      </w:r>
    </w:p>
  </w:footnote>
  <w:footnote w:id="1018">
    <w:p w14:paraId="3C2566E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הערה 59.</w:t>
      </w:r>
    </w:p>
  </w:footnote>
  <w:footnote w:id="1019">
    <w:p w14:paraId="01E8B4F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21 בדצמבר 1990.</w:t>
      </w:r>
    </w:p>
  </w:footnote>
  <w:footnote w:id="1020">
    <w:p w14:paraId="5771FD9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20 במרץ 1991.</w:t>
      </w:r>
    </w:p>
  </w:footnote>
  <w:footnote w:id="1021">
    <w:p w14:paraId="4B19FEE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ליון: לה </w:t>
      </w:r>
      <w:proofErr w:type="spellStart"/>
      <w:r>
        <w:rPr>
          <w:sz w:val="20"/>
          <w:szCs w:val="20"/>
          <w:rtl/>
        </w:rPr>
        <w:t>מנופקטור</w:t>
      </w:r>
      <w:proofErr w:type="spellEnd"/>
      <w:r>
        <w:rPr>
          <w:sz w:val="20"/>
          <w:szCs w:val="20"/>
          <w:rtl/>
        </w:rPr>
        <w:t>, 1987 – עמ׳ 65.</w:t>
      </w:r>
    </w:p>
  </w:footnote>
  <w:footnote w:id="1022">
    <w:p w14:paraId="3F555A4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מוסף פ׳ שלח תשנ״ג – עמ׳ 7.</w:t>
      </w:r>
    </w:p>
  </w:footnote>
  <w:footnote w:id="1023">
    <w:p w14:paraId="48755EF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18 ביוני 2000.</w:t>
      </w:r>
    </w:p>
  </w:footnote>
  <w:footnote w:id="1024">
    <w:p w14:paraId="59C9D9C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גם פרק 4, ראש הפסקה השנייה בנספח </w:t>
      </w:r>
      <w:proofErr w:type="spellStart"/>
      <w:r>
        <w:rPr>
          <w:sz w:val="20"/>
          <w:szCs w:val="20"/>
          <w:rtl/>
        </w:rPr>
        <w:t>יח</w:t>
      </w:r>
      <w:proofErr w:type="spellEnd"/>
      <w:r>
        <w:rPr>
          <w:sz w:val="20"/>
          <w:szCs w:val="20"/>
          <w:rtl/>
        </w:rPr>
        <w:t xml:space="preserve">, בעניין ר׳ </w:t>
      </w:r>
      <w:proofErr w:type="spellStart"/>
      <w:r>
        <w:rPr>
          <w:sz w:val="20"/>
          <w:szCs w:val="20"/>
          <w:rtl/>
        </w:rPr>
        <w:t>דוד׳ל</w:t>
      </w:r>
      <w:proofErr w:type="spellEnd"/>
      <w:r>
        <w:rPr>
          <w:sz w:val="20"/>
          <w:szCs w:val="20"/>
          <w:rtl/>
        </w:rPr>
        <w:t xml:space="preserve"> </w:t>
      </w:r>
      <w:proofErr w:type="spellStart"/>
      <w:r>
        <w:rPr>
          <w:sz w:val="20"/>
          <w:szCs w:val="20"/>
          <w:rtl/>
        </w:rPr>
        <w:t>קארלינער</w:t>
      </w:r>
      <w:proofErr w:type="spellEnd"/>
      <w:r>
        <w:rPr>
          <w:sz w:val="20"/>
          <w:szCs w:val="20"/>
          <w:rtl/>
        </w:rPr>
        <w:t xml:space="preserve">. במאמר מצוין שהתפרסם בעמ׳ 8 של “יתד נאמן, מוסף ערב </w:t>
      </w:r>
      <w:proofErr w:type="spellStart"/>
      <w:r>
        <w:rPr>
          <w:sz w:val="20"/>
          <w:szCs w:val="20"/>
          <w:rtl/>
        </w:rPr>
        <w:t>שב״ק</w:t>
      </w:r>
      <w:proofErr w:type="spellEnd"/>
      <w:r>
        <w:rPr>
          <w:sz w:val="20"/>
          <w:szCs w:val="20"/>
          <w:rtl/>
        </w:rPr>
        <w:t xml:space="preserve"> פרשת צו תשנ״א”, מתלבט המחבר, הרב יעקב ב. פרידמן, בבעיה שמעורר שימושו של </w:t>
      </w:r>
      <w:proofErr w:type="spellStart"/>
      <w:r>
        <w:rPr>
          <w:sz w:val="20"/>
          <w:szCs w:val="20"/>
          <w:rtl/>
        </w:rPr>
        <w:t>החזון־איש</w:t>
      </w:r>
      <w:proofErr w:type="spellEnd"/>
      <w:r>
        <w:rPr>
          <w:sz w:val="20"/>
          <w:szCs w:val="20"/>
          <w:rtl/>
        </w:rPr>
        <w:t xml:space="preserve"> בתבנית לשון שטבע </w:t>
      </w:r>
      <w:proofErr w:type="spellStart"/>
      <w:r>
        <w:rPr>
          <w:sz w:val="20"/>
          <w:szCs w:val="20"/>
          <w:rtl/>
        </w:rPr>
        <w:t>חיים־נחמן</w:t>
      </w:r>
      <w:proofErr w:type="spellEnd"/>
      <w:r>
        <w:rPr>
          <w:sz w:val="20"/>
          <w:szCs w:val="20"/>
          <w:rtl/>
        </w:rPr>
        <w:t xml:space="preserve"> ביאליק. המחבר עושה כל מאמץ שלא לרמוז </w:t>
      </w:r>
      <w:proofErr w:type="spellStart"/>
      <w:r>
        <w:rPr>
          <w:sz w:val="20"/>
          <w:szCs w:val="20"/>
          <w:rtl/>
        </w:rPr>
        <w:t>שהחזון־איש</w:t>
      </w:r>
      <w:proofErr w:type="spellEnd"/>
      <w:r>
        <w:rPr>
          <w:sz w:val="20"/>
          <w:szCs w:val="20"/>
          <w:rtl/>
        </w:rPr>
        <w:t xml:space="preserve"> שאל את הביטוי מביאליק </w:t>
      </w:r>
      <w:r>
        <w:rPr>
          <w:b/>
          <w:bCs/>
          <w:sz w:val="20"/>
          <w:szCs w:val="20"/>
          <w:rtl/>
        </w:rPr>
        <w:t>ביודעין</w:t>
      </w:r>
      <w:r>
        <w:rPr>
          <w:sz w:val="20"/>
          <w:szCs w:val="20"/>
          <w:rtl/>
        </w:rPr>
        <w:t xml:space="preserve">. אולם אם לא השתמש </w:t>
      </w:r>
      <w:proofErr w:type="spellStart"/>
      <w:r>
        <w:rPr>
          <w:sz w:val="20"/>
          <w:szCs w:val="20"/>
          <w:rtl/>
        </w:rPr>
        <w:t>החזון־איש</w:t>
      </w:r>
      <w:proofErr w:type="spellEnd"/>
      <w:r>
        <w:rPr>
          <w:sz w:val="20"/>
          <w:szCs w:val="20"/>
          <w:rtl/>
        </w:rPr>
        <w:t xml:space="preserve"> בלשונו של ביאליק בדרך “קליפה זרק ותוכו אכל (חגיגה ט״ו ע״ב)” – והדברים אמורים בהשגת ידיעת </w:t>
      </w:r>
      <w:r>
        <w:rPr>
          <w:b/>
          <w:bCs/>
          <w:sz w:val="20"/>
          <w:szCs w:val="20"/>
          <w:rtl/>
        </w:rPr>
        <w:t>תורה</w:t>
      </w:r>
      <w:r>
        <w:rPr>
          <w:sz w:val="20"/>
          <w:szCs w:val="20"/>
          <w:rtl/>
        </w:rPr>
        <w:t xml:space="preserve"> ממקור פסול – אפשר מאוד שעשה זאת על פי מאמר חז״ל באיכה רבתי ב:יג “בגוים אין תורה, יש </w:t>
      </w:r>
      <w:r>
        <w:rPr>
          <w:b/>
          <w:bCs/>
          <w:sz w:val="20"/>
          <w:szCs w:val="20"/>
          <w:rtl/>
        </w:rPr>
        <w:t>חכמה</w:t>
      </w:r>
      <w:r>
        <w:rPr>
          <w:sz w:val="20"/>
          <w:szCs w:val="20"/>
          <w:rtl/>
        </w:rPr>
        <w:t xml:space="preserve"> בגוים”; ושימוש בלשון אפשר לראותו כעניין של חכמה בלבד.</w:t>
      </w:r>
    </w:p>
    <w:p w14:paraId="2FB4F7F8" w14:textId="77777777" w:rsidR="00AB3647" w:rsidRDefault="00000000">
      <w:pPr>
        <w:spacing w:after="0" w:before="0"/>
        <w:jc w:val="both"/>
      </w:pPr>
      <w:r>
        <w:rPr>
          <w:sz w:val="20"/>
          <w:szCs w:val="20"/>
          <w:rtl/>
        </w:rPr>
        <w:t xml:space="preserve">השווה גם פרק 4, סמוך לסוף הפסקה השלישית בנספח ט: אבי ציין שידיעת העברית של ביאליק, על כל המסתעף ממנה, נשענה בעיקרה על חינוכו הדתי. אם כן, גם תבניות הלשון שלו נשענו על רגישותו לרוח הלשון שעליה גדל. ייתכן </w:t>
      </w:r>
      <w:proofErr w:type="spellStart"/>
      <w:r>
        <w:rPr>
          <w:sz w:val="20"/>
          <w:szCs w:val="20"/>
          <w:rtl/>
        </w:rPr>
        <w:t>שהחזון־איש</w:t>
      </w:r>
      <w:proofErr w:type="spellEnd"/>
      <w:r>
        <w:rPr>
          <w:sz w:val="20"/>
          <w:szCs w:val="20"/>
          <w:rtl/>
        </w:rPr>
        <w:t xml:space="preserve"> היה שותף לאותה תפיסה של הלשון העברית, והגיע </w:t>
      </w:r>
      <w:r>
        <w:rPr>
          <w:b/>
          <w:bCs/>
          <w:sz w:val="20"/>
          <w:szCs w:val="20"/>
          <w:rtl/>
        </w:rPr>
        <w:t>מעצמו</w:t>
      </w:r>
      <w:r>
        <w:rPr>
          <w:sz w:val="20"/>
          <w:szCs w:val="20"/>
          <w:rtl/>
        </w:rPr>
        <w:t xml:space="preserve"> לאותה תבנית לשון כמו ביאליק. צורות הלשון </w:t>
      </w:r>
      <w:proofErr w:type="spellStart"/>
      <w:r>
        <w:rPr>
          <w:sz w:val="20"/>
          <w:szCs w:val="20"/>
          <w:rtl/>
        </w:rPr>
        <w:t>שב“ספר</w:t>
      </w:r>
      <w:proofErr w:type="spellEnd"/>
      <w:r>
        <w:rPr>
          <w:sz w:val="20"/>
          <w:szCs w:val="20"/>
          <w:rtl/>
        </w:rPr>
        <w:t xml:space="preserve"> אמונה ובטחון” של </w:t>
      </w:r>
      <w:proofErr w:type="spellStart"/>
      <w:r>
        <w:rPr>
          <w:sz w:val="20"/>
          <w:szCs w:val="20"/>
          <w:rtl/>
        </w:rPr>
        <w:t>החזון־איש</w:t>
      </w:r>
      <w:proofErr w:type="spellEnd"/>
      <w:r>
        <w:rPr>
          <w:sz w:val="20"/>
          <w:szCs w:val="20"/>
          <w:rtl/>
        </w:rPr>
        <w:t xml:space="preserve"> מעידות ודאי על היכרות עמוקה ודקה עם הלשון – ואגב, משום כך הספר קשה לקריאה לציבור הרחב.</w:t>
      </w:r>
    </w:p>
  </w:footnote>
  <w:footnote w:id="1025">
    <w:p w14:paraId="4C99B9E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5 במרץ 1988.</w:t>
      </w:r>
    </w:p>
  </w:footnote>
  <w:footnote w:id="1026">
    <w:p w14:paraId="407E112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13 במרץ 1988.</w:t>
      </w:r>
    </w:p>
  </w:footnote>
  <w:footnote w:id="1027">
    <w:p w14:paraId="3F6532D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ראש הפסקה השלישית בהערה 85 לעיל.</w:t>
      </w:r>
    </w:p>
  </w:footnote>
  <w:footnote w:id="1028">
    <w:p w14:paraId="285CB0A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הפסקה </w:t>
      </w:r>
      <w:proofErr w:type="spellStart"/>
      <w:r>
        <w:rPr>
          <w:sz w:val="20"/>
          <w:szCs w:val="20"/>
          <w:rtl/>
        </w:rPr>
        <w:t>הלפני</w:t>
      </w:r>
      <w:proofErr w:type="spellEnd"/>
      <w:r>
        <w:rPr>
          <w:sz w:val="20"/>
          <w:szCs w:val="20"/>
          <w:rtl/>
        </w:rPr>
        <w:t xml:space="preserve"> אחרונה בפרק 3.2.</w:t>
      </w:r>
    </w:p>
  </w:footnote>
  <w:footnote w:id="1029">
    <w:p w14:paraId="06F2FB1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ב“ברכת</w:t>
      </w:r>
      <w:proofErr w:type="spellEnd"/>
      <w:r>
        <w:rPr>
          <w:sz w:val="20"/>
          <w:szCs w:val="20"/>
          <w:rtl/>
        </w:rPr>
        <w:t xml:space="preserve"> שמואל, </w:t>
      </w:r>
      <w:proofErr w:type="spellStart"/>
      <w:r>
        <w:rPr>
          <w:sz w:val="20"/>
          <w:szCs w:val="20"/>
          <w:rtl/>
        </w:rPr>
        <w:t>ח״ג</w:t>
      </w:r>
      <w:proofErr w:type="spellEnd"/>
      <w:r>
        <w:rPr>
          <w:sz w:val="20"/>
          <w:szCs w:val="20"/>
          <w:rtl/>
        </w:rPr>
        <w:t>” הוא סי׳ ל״ח של מסכת גיטין.</w:t>
      </w:r>
    </w:p>
  </w:footnote>
  <w:footnote w:id="1030">
    <w:p w14:paraId="3297B98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3, סוף נספח ל.</w:t>
      </w:r>
    </w:p>
  </w:footnote>
  <w:footnote w:id="1031">
    <w:p w14:paraId="01B5933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יצא לאור </w:t>
      </w:r>
      <w:proofErr w:type="spellStart"/>
      <w:r>
        <w:rPr>
          <w:sz w:val="20"/>
          <w:szCs w:val="20"/>
          <w:rtl/>
        </w:rPr>
        <w:t>ב“הוצאת</w:t>
      </w:r>
      <w:proofErr w:type="spellEnd"/>
      <w:r>
        <w:rPr>
          <w:sz w:val="20"/>
          <w:szCs w:val="20"/>
          <w:rtl/>
        </w:rPr>
        <w:t xml:space="preserve"> משאבים, ירושלים”, 1985 (להלן: אדלשטיין) – עמ׳ פ.</w:t>
      </w:r>
    </w:p>
  </w:footnote>
  <w:footnote w:id="1032">
    <w:p w14:paraId="2DDE562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101–102, “הלכות עבדים”.</w:t>
      </w:r>
    </w:p>
  </w:footnote>
  <w:footnote w:id="1033">
    <w:p w14:paraId="459C5C4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פא.</w:t>
      </w:r>
    </w:p>
  </w:footnote>
  <w:footnote w:id="1034">
    <w:p w14:paraId="1A8D0A8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נספח ד לעיל.</w:t>
      </w:r>
    </w:p>
  </w:footnote>
  <w:footnote w:id="1035">
    <w:p w14:paraId="2FD9A4C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23 באוקטובר 1991.</w:t>
      </w:r>
    </w:p>
  </w:footnote>
  <w:footnote w:id="1036">
    <w:p w14:paraId="4B922D1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כך ראה פרק 3, הערה 138.</w:t>
      </w:r>
    </w:p>
  </w:footnote>
  <w:footnote w:id="1037">
    <w:p w14:paraId="41D7E4C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“תנועת המוסר, </w:t>
      </w:r>
      <w:proofErr w:type="spellStart"/>
      <w:r>
        <w:rPr>
          <w:sz w:val="20"/>
          <w:szCs w:val="20"/>
          <w:rtl/>
        </w:rPr>
        <w:t>ח״ג</w:t>
      </w:r>
      <w:proofErr w:type="spellEnd"/>
      <w:r>
        <w:rPr>
          <w:sz w:val="20"/>
          <w:szCs w:val="20"/>
          <w:rtl/>
        </w:rPr>
        <w:t xml:space="preserve">”, מאת הרב דב כץ (הוצאת ספרים אברהם ציוני, תל אביב, בלי שנה), עמ׳ 45, מביא </w:t>
      </w:r>
      <w:proofErr w:type="spellStart"/>
      <w:r>
        <w:rPr>
          <w:sz w:val="20"/>
          <w:szCs w:val="20"/>
          <w:rtl/>
        </w:rPr>
        <w:t>ש“יש</w:t>
      </w:r>
      <w:proofErr w:type="spellEnd"/>
      <w:r>
        <w:rPr>
          <w:sz w:val="20"/>
          <w:szCs w:val="20"/>
          <w:rtl/>
        </w:rPr>
        <w:t xml:space="preserve"> אומרים” כך. כץ מייחס את העדפת הסבא את ר׳ </w:t>
      </w:r>
      <w:proofErr w:type="spellStart"/>
      <w:r>
        <w:rPr>
          <w:sz w:val="20"/>
          <w:szCs w:val="20"/>
          <w:rtl/>
        </w:rPr>
        <w:t>ברוך־בער</w:t>
      </w:r>
      <w:proofErr w:type="spellEnd"/>
      <w:r>
        <w:rPr>
          <w:sz w:val="20"/>
          <w:szCs w:val="20"/>
          <w:rtl/>
        </w:rPr>
        <w:t xml:space="preserve"> לכך שנודע </w:t>
      </w:r>
      <w:proofErr w:type="spellStart"/>
      <w:r>
        <w:rPr>
          <w:sz w:val="20"/>
          <w:szCs w:val="20"/>
          <w:rtl/>
        </w:rPr>
        <w:t>כ“תמים</w:t>
      </w:r>
      <w:proofErr w:type="spellEnd"/>
      <w:r>
        <w:rPr>
          <w:sz w:val="20"/>
          <w:szCs w:val="20"/>
          <w:rtl/>
        </w:rPr>
        <w:t xml:space="preserve"> דרך”, שאינו נותן יד למחלוקות כמו זו שקרעה את ישיבת הסבא שבע שנים קודם לכן. השווה פרק 3, הפסקה השלישית בנספח לג, שהסבא צדק בהערכתו את ר׳ </w:t>
      </w:r>
      <w:proofErr w:type="spellStart"/>
      <w:r>
        <w:rPr>
          <w:sz w:val="20"/>
          <w:szCs w:val="20"/>
          <w:rtl/>
        </w:rPr>
        <w:t>ברוך־בער</w:t>
      </w:r>
      <w:proofErr w:type="spellEnd"/>
      <w:r>
        <w:rPr>
          <w:sz w:val="20"/>
          <w:szCs w:val="20"/>
          <w:rtl/>
        </w:rPr>
        <w:t xml:space="preserve">. עוד אומר כץ שם </w:t>
      </w:r>
      <w:proofErr w:type="spellStart"/>
      <w:r>
        <w:rPr>
          <w:sz w:val="20"/>
          <w:szCs w:val="20"/>
          <w:rtl/>
        </w:rPr>
        <w:t>ש“יש</w:t>
      </w:r>
      <w:proofErr w:type="spellEnd"/>
      <w:r>
        <w:rPr>
          <w:sz w:val="20"/>
          <w:szCs w:val="20"/>
          <w:rtl/>
        </w:rPr>
        <w:t xml:space="preserve"> אומרים שלסבא הייתה (גם) יד נעלמה” במינויו של ר׳ חיים </w:t>
      </w:r>
      <w:proofErr w:type="spellStart"/>
      <w:r>
        <w:rPr>
          <w:sz w:val="20"/>
          <w:szCs w:val="20"/>
          <w:rtl/>
        </w:rPr>
        <w:t>רבינוביץ</w:t>
      </w:r>
      <w:proofErr w:type="spellEnd"/>
      <w:r>
        <w:rPr>
          <w:sz w:val="20"/>
          <w:szCs w:val="20"/>
          <w:rtl/>
        </w:rPr>
        <w:t xml:space="preserve">, קודמו של ר׳ </w:t>
      </w:r>
      <w:proofErr w:type="spellStart"/>
      <w:r>
        <w:rPr>
          <w:sz w:val="20"/>
          <w:szCs w:val="20"/>
          <w:rtl/>
        </w:rPr>
        <w:t>ברוך־בער</w:t>
      </w:r>
      <w:proofErr w:type="spellEnd"/>
      <w:r>
        <w:rPr>
          <w:sz w:val="20"/>
          <w:szCs w:val="20"/>
          <w:rtl/>
        </w:rPr>
        <w:t xml:space="preserve"> בכנסת בית יצחק (ראה הפסקה השלישית מהסוף בפרק 3.1), מאותה סיבה.</w:t>
      </w:r>
    </w:p>
  </w:footnote>
  <w:footnote w:id="1038">
    <w:p w14:paraId="12708CF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הפסקה השלישית מהסוף בפרק 2.3.</w:t>
      </w:r>
    </w:p>
  </w:footnote>
  <w:footnote w:id="1039">
    <w:p w14:paraId="02DBF3E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3.2. מכתב מאת ר׳ חיים </w:t>
      </w:r>
      <w:proofErr w:type="spellStart"/>
      <w:r>
        <w:rPr>
          <w:sz w:val="20"/>
          <w:szCs w:val="20"/>
          <w:rtl/>
        </w:rPr>
        <w:t>גרוזובסקי</w:t>
      </w:r>
      <w:proofErr w:type="spellEnd"/>
      <w:r>
        <w:rPr>
          <w:sz w:val="20"/>
          <w:szCs w:val="20"/>
          <w:rtl/>
        </w:rPr>
        <w:t xml:space="preserve"> מיום י״ג כסלו תשנ״ב.</w:t>
      </w:r>
    </w:p>
  </w:footnote>
  <w:footnote w:id="1040">
    <w:p w14:paraId="4B28FCD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15 באוגוסט 1997.</w:t>
      </w:r>
    </w:p>
  </w:footnote>
  <w:footnote w:id="1041">
    <w:p w14:paraId="7E79DEF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29 באפריל 2000.</w:t>
      </w:r>
    </w:p>
  </w:footnote>
  <w:footnote w:id="1042">
    <w:p w14:paraId="246A8B8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סעיף 2 בפרק זה.</w:t>
      </w:r>
    </w:p>
  </w:footnote>
  <w:footnote w:id="1043">
    <w:p w14:paraId="2678B5D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בני־ברק</w:t>
      </w:r>
      <w:proofErr w:type="spellEnd"/>
      <w:r>
        <w:rPr>
          <w:sz w:val="20"/>
          <w:szCs w:val="20"/>
          <w:rtl/>
        </w:rPr>
        <w:t xml:space="preserve">, הוצאת “נצח”, תשכ״ז – עמ׳ </w:t>
      </w:r>
      <w:proofErr w:type="spellStart"/>
      <w:r>
        <w:rPr>
          <w:sz w:val="20"/>
          <w:szCs w:val="20"/>
          <w:rtl/>
        </w:rPr>
        <w:t>קמד</w:t>
      </w:r>
      <w:proofErr w:type="spellEnd"/>
      <w:r>
        <w:rPr>
          <w:sz w:val="20"/>
          <w:szCs w:val="20"/>
          <w:rtl/>
        </w:rPr>
        <w:t>–נב.</w:t>
      </w:r>
    </w:p>
  </w:footnote>
  <w:footnote w:id="1044">
    <w:p w14:paraId="7FE5624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2, תחילת סעיף 3 וסופו.</w:t>
      </w:r>
    </w:p>
  </w:footnote>
  <w:footnote w:id="1045">
    <w:p w14:paraId="1DF8483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13 בינואר 1999.</w:t>
      </w:r>
    </w:p>
  </w:footnote>
  <w:footnote w:id="1046">
    <w:p w14:paraId="58F61FC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2, נספח ד. ייתכן שגם יעקב זה הלך ללמוד בשול </w:t>
      </w:r>
      <w:proofErr w:type="spellStart"/>
      <w:r>
        <w:rPr>
          <w:sz w:val="20"/>
          <w:szCs w:val="20"/>
          <w:rtl/>
        </w:rPr>
        <w:t>הקצבים</w:t>
      </w:r>
      <w:proofErr w:type="spellEnd"/>
      <w:r>
        <w:rPr>
          <w:sz w:val="20"/>
          <w:szCs w:val="20"/>
          <w:rtl/>
        </w:rPr>
        <w:t xml:space="preserve"> במינסק, כמו ר׳ אהרן, בהפסקה שהייתה חובה על מי שעבר מישיבה אחת </w:t>
      </w:r>
      <w:proofErr w:type="spellStart"/>
      <w:r>
        <w:rPr>
          <w:sz w:val="20"/>
          <w:szCs w:val="20"/>
          <w:rtl/>
        </w:rPr>
        <w:t>בסלבודקה</w:t>
      </w:r>
      <w:proofErr w:type="spellEnd"/>
      <w:r>
        <w:rPr>
          <w:sz w:val="20"/>
          <w:szCs w:val="20"/>
          <w:rtl/>
        </w:rPr>
        <w:t xml:space="preserve"> לחברתה, כאמור בתחילת נספח לה להלן. אבל מסתבר יותר (מן הטעם שצוין לעיל, בסוף הפסקה הראשונה) שקיבל רשות לעבור; ראה הערת השוליים </w:t>
      </w:r>
      <w:r>
        <w:rPr>
          <w:sz w:val="20"/>
          <w:szCs w:val="20"/>
          <w:rtl/>
        </w:rPr>
        <w:fldChar w:fldCharType="begin" w:dirty="true"/>
      </w:r>
      <w:r>
        <w:rPr>
          <w:sz w:val="20"/>
          <w:szCs w:val="20"/>
          <w:rtl/>
        </w:rPr>
        <w:instrText xml:space="preserve"> NOTEREF pr_f_2896 \h </w:instrText>
      </w:r>
      <w:r>
        <w:rPr>
          <w:sz w:val="20"/>
          <w:szCs w:val="20"/>
          <w:rtl/>
        </w:rPr>
      </w:r>
      <w:r>
        <w:rPr>
          <w:sz w:val="20"/>
          <w:szCs w:val="20"/>
          <w:rtl/>
        </w:rPr>
        <w:fldChar w:fldCharType="separate"/>
      </w:r>
      <w:r w:rsidR="007923E9">
        <w:rPr>
          <w:sz w:val="20"/>
          <w:szCs w:val="20"/>
          <w:rtl/>
        </w:rPr>
        <w:t>1944</w:t>
      </w:r>
      <w:r>
        <w:rPr>
          <w:sz w:val="20"/>
          <w:szCs w:val="20"/>
          <w:rtl/>
        </w:rPr>
        <w:fldChar w:fldCharType="end"/>
      </w:r>
      <w:r>
        <w:rPr>
          <w:sz w:val="20"/>
          <w:szCs w:val="20"/>
          <w:rtl/>
        </w:rPr>
        <w:t xml:space="preserve"> (עמ׳ </w:t>
      </w:r>
      <w:r>
        <w:rPr>
          <w:sz w:val="20"/>
          <w:szCs w:val="20"/>
          <w:rtl/>
        </w:rPr>
        <w:fldChar w:fldCharType="begin" w:dirty="true"/>
      </w:r>
      <w:r>
        <w:rPr>
          <w:sz w:val="20"/>
          <w:szCs w:val="20"/>
          <w:rtl/>
        </w:rPr>
        <w:instrText xml:space="preserve"> PAGEREF pr_f_2896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1047">
    <w:p w14:paraId="752E9E1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הנ״ל, פרק 1, הערה 46 – עמ׳ 47–48.</w:t>
      </w:r>
    </w:p>
  </w:footnote>
  <w:footnote w:id="1048">
    <w:p w14:paraId="1873AF0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2, הערה 51.</w:t>
      </w:r>
    </w:p>
  </w:footnote>
  <w:footnote w:id="1049">
    <w:p w14:paraId="290F3F5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1, הערה 81, וכרך 2.</w:t>
      </w:r>
    </w:p>
  </w:footnote>
  <w:footnote w:id="1050">
    <w:p w14:paraId="48FDE09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הנ״ל, פרק 1, הערה 7 – עמ׳ 248.</w:t>
      </w:r>
    </w:p>
  </w:footnote>
  <w:footnote w:id="1051">
    <w:p w14:paraId="4E9E07F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במדבר </w:t>
      </w:r>
      <w:proofErr w:type="spellStart"/>
      <w:r>
        <w:rPr>
          <w:sz w:val="20"/>
          <w:szCs w:val="20"/>
          <w:rtl/>
        </w:rPr>
        <w:t>יב</w:t>
      </w:r>
      <w:proofErr w:type="spellEnd"/>
      <w:r>
        <w:rPr>
          <w:sz w:val="20"/>
          <w:szCs w:val="20"/>
          <w:rtl/>
        </w:rPr>
        <w:t>, ז.</w:t>
      </w:r>
    </w:p>
  </w:footnote>
  <w:footnote w:id="1052">
    <w:p w14:paraId="1FA3E23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תל אביב, תרפ״ו – עמ׳ 132.</w:t>
      </w:r>
    </w:p>
  </w:footnote>
  <w:footnote w:id="1053">
    <w:p w14:paraId="6D2A829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למעשה הם נפגשים בקצה </w:t>
      </w:r>
      <w:proofErr w:type="spellStart"/>
      <w:r>
        <w:rPr>
          <w:sz w:val="20"/>
          <w:szCs w:val="20"/>
          <w:rtl/>
        </w:rPr>
        <w:t>הדרום־מערבי</w:t>
      </w:r>
      <w:proofErr w:type="spellEnd"/>
      <w:r>
        <w:rPr>
          <w:sz w:val="20"/>
          <w:szCs w:val="20"/>
          <w:rtl/>
        </w:rPr>
        <w:t xml:space="preserve"> של קובנה.</w:t>
      </w:r>
    </w:p>
  </w:footnote>
  <w:footnote w:id="1054">
    <w:p w14:paraId="12E0CB8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נספח ח (ותחילת נספח ב) להלן, </w:t>
      </w:r>
      <w:proofErr w:type="spellStart"/>
      <w:r>
        <w:rPr>
          <w:sz w:val="20"/>
          <w:szCs w:val="20"/>
          <w:rtl/>
        </w:rPr>
        <w:t>וידעאל</w:t>
      </w:r>
      <w:proofErr w:type="spellEnd"/>
      <w:r>
        <w:rPr>
          <w:sz w:val="20"/>
          <w:szCs w:val="20"/>
          <w:rtl/>
        </w:rPr>
        <w:t xml:space="preserve"> מלצר, “בדרך עץ החיים” (הנ״ל, פרק 1, הערה 7), עמ׳ 64–66.</w:t>
      </w:r>
    </w:p>
  </w:footnote>
  <w:footnote w:id="1055">
    <w:p w14:paraId="54ED9AE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“תותחי אוגוסט”, מאת ברברה ו. </w:t>
      </w:r>
      <w:proofErr w:type="spellStart"/>
      <w:r>
        <w:rPr>
          <w:sz w:val="20"/>
          <w:szCs w:val="20"/>
          <w:rtl/>
        </w:rPr>
        <w:t>טוכמן</w:t>
      </w:r>
      <w:proofErr w:type="spellEnd"/>
      <w:r>
        <w:rPr>
          <w:sz w:val="20"/>
          <w:szCs w:val="20"/>
          <w:rtl/>
        </w:rPr>
        <w:t xml:space="preserve"> (הוצאת מקמילן, ניו יורק, 1962), עמ׳ 344.</w:t>
      </w:r>
    </w:p>
  </w:footnote>
  <w:footnote w:id="1056">
    <w:p w14:paraId="3A5BFF4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“לתולדות היהודים בקובנה </w:t>
      </w:r>
      <w:proofErr w:type="spellStart"/>
      <w:r>
        <w:rPr>
          <w:sz w:val="20"/>
          <w:szCs w:val="20"/>
          <w:rtl/>
        </w:rPr>
        <w:t>וסלבודקה</w:t>
      </w:r>
      <w:proofErr w:type="spellEnd"/>
      <w:r>
        <w:rPr>
          <w:sz w:val="20"/>
          <w:szCs w:val="20"/>
          <w:rtl/>
        </w:rPr>
        <w:t>”, מאת דוד מתתיהו ליפמן (</w:t>
      </w:r>
      <w:proofErr w:type="spellStart"/>
      <w:r>
        <w:rPr>
          <w:sz w:val="20"/>
          <w:szCs w:val="20"/>
          <w:rtl/>
        </w:rPr>
        <w:t>קיידאן</w:t>
      </w:r>
      <w:proofErr w:type="spellEnd"/>
      <w:r>
        <w:rPr>
          <w:sz w:val="20"/>
          <w:szCs w:val="20"/>
          <w:rtl/>
        </w:rPr>
        <w:t>, 1934) (להלן: ליפמן), עמ׳ 23.</w:t>
      </w:r>
    </w:p>
  </w:footnote>
  <w:footnote w:id="1057">
    <w:p w14:paraId="765D60E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מאמרו של דב </w:t>
      </w:r>
      <w:proofErr w:type="spellStart"/>
      <w:r>
        <w:rPr>
          <w:sz w:val="20"/>
          <w:szCs w:val="20"/>
          <w:rtl/>
        </w:rPr>
        <w:t>ליפץ</w:t>
      </w:r>
      <w:proofErr w:type="spellEnd"/>
      <w:r>
        <w:rPr>
          <w:sz w:val="20"/>
          <w:szCs w:val="20"/>
          <w:rtl/>
        </w:rPr>
        <w:t xml:space="preserve"> בכרך 3 של “יהדות ליטא” (הוצאת איגוד יוצאי ליטא בישראל, תל אביב, </w:t>
      </w:r>
      <w:proofErr w:type="spellStart"/>
      <w:r>
        <w:rPr>
          <w:sz w:val="20"/>
          <w:szCs w:val="20"/>
          <w:rtl/>
        </w:rPr>
        <w:t>תשד״מ</w:t>
      </w:r>
      <w:proofErr w:type="spellEnd"/>
      <w:r>
        <w:rPr>
          <w:sz w:val="20"/>
          <w:szCs w:val="20"/>
          <w:rtl/>
        </w:rPr>
        <w:t>) (להלן: יהדות ליטא).</w:t>
      </w:r>
    </w:p>
  </w:footnote>
  <w:footnote w:id="1058">
    <w:p w14:paraId="775C098F"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הצו להעביר את יהודי קובנה </w:t>
      </w:r>
      <w:proofErr w:type="spellStart"/>
      <w:r>
        <w:rPr>
          <w:sz w:val="20"/>
          <w:szCs w:val="20"/>
          <w:rtl/>
        </w:rPr>
        <w:t>לוויליאמפולה</w:t>
      </w:r>
      <w:proofErr w:type="spellEnd"/>
      <w:r>
        <w:rPr>
          <w:sz w:val="20"/>
          <w:szCs w:val="20"/>
          <w:rtl/>
        </w:rPr>
        <w:t xml:space="preserve"> פורסם ב־10 ביולי 1941, והגטו נסגר, גודר ונותק מן העיר ב־15 באוגוסט 1941 (כ״ב באב תש״א), ולא ב־15 ביולי.</w:t>
      </w:r>
    </w:p>
  </w:footnote>
  <w:footnote w:id="1059">
    <w:p w14:paraId="20E7AC4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“רבותינו שבגולה”, כרך א (הנ״ל, פרק 1, הפסקה הראשונה בנספח ב), עמ׳ 1–8.</w:t>
      </w:r>
    </w:p>
  </w:footnote>
  <w:footnote w:id="1060">
    <w:p w14:paraId="72C83CC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ליפמן, עמ׳ 178–179, 182–183.</w:t>
      </w:r>
    </w:p>
  </w:footnote>
  <w:footnote w:id="1061">
    <w:p w14:paraId="06D1D36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לעיל, בהערת השוליים להערה 8 – הערת שוליים בעמ׳ 179.</w:t>
      </w:r>
    </w:p>
  </w:footnote>
  <w:footnote w:id="1062">
    <w:p w14:paraId="3AA8CAC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“מאורן של ישראל” (הנ״ל, פרק 2, הערה 12), כרך 1, עמ׳ קד.</w:t>
      </w:r>
    </w:p>
  </w:footnote>
  <w:footnote w:id="1063">
    <w:p w14:paraId="7876EC8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הנ״ל, פרק 1, הפסקה הראשונה בנספח ב – עמ׳ 14.</w:t>
      </w:r>
    </w:p>
  </w:footnote>
  <w:footnote w:id="1064">
    <w:p w14:paraId="055D13D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א, עמ׳ 4.</w:t>
      </w:r>
    </w:p>
  </w:footnote>
  <w:footnote w:id="1065">
    <w:p w14:paraId="5ED00C3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5–6.</w:t>
      </w:r>
    </w:p>
  </w:footnote>
  <w:footnote w:id="1066">
    <w:p w14:paraId="6E72127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ב, עמ׳ 371.</w:t>
      </w:r>
    </w:p>
  </w:footnote>
  <w:footnote w:id="1067">
    <w:p w14:paraId="293A5F2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141.</w:t>
      </w:r>
    </w:p>
  </w:footnote>
  <w:footnote w:id="1068">
    <w:p w14:paraId="3F62315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הנ״ל, פרק 1, נספח ו – עמ׳ 40–41.</w:t>
      </w:r>
    </w:p>
  </w:footnote>
  <w:footnote w:id="1069">
    <w:p w14:paraId="350CABD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במדבר ז, ט.</w:t>
      </w:r>
    </w:p>
  </w:footnote>
  <w:footnote w:id="1070">
    <w:p w14:paraId="4228C53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143–144.</w:t>
      </w:r>
    </w:p>
  </w:footnote>
  <w:footnote w:id="1071">
    <w:p w14:paraId="3121FF8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אני משתמש בשמות היהודיים של העיירות לאורך כל הספר.</w:t>
      </w:r>
    </w:p>
  </w:footnote>
  <w:footnote w:id="1072">
    <w:p w14:paraId="0055D61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פרייטאג</w:t>
      </w:r>
      <w:proofErr w:type="spellEnd"/>
      <w:r>
        <w:rPr>
          <w:sz w:val="20"/>
          <w:szCs w:val="20"/>
          <w:rtl/>
        </w:rPr>
        <w:t>, פרשת קדושים, תשמ״ט – עמ׳ 12.</w:t>
      </w:r>
    </w:p>
  </w:footnote>
  <w:footnote w:id="1073">
    <w:p w14:paraId="7803BCB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ב״ב ט״ז ע״א.</w:t>
      </w:r>
    </w:p>
  </w:footnote>
  <w:footnote w:id="1074">
    <w:p w14:paraId="426CDDA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הנ״ל, פרק 1, הערה 7 – עמ׳ 525–526.</w:t>
      </w:r>
    </w:p>
  </w:footnote>
  <w:footnote w:id="1075">
    <w:p w14:paraId="6580380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ליפמן, עמ׳ 225, ועמ׳ 224, הערה 5.</w:t>
      </w:r>
    </w:p>
  </w:footnote>
  <w:footnote w:id="1076">
    <w:p w14:paraId="02F2D8D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הראשון לשושלת </w:t>
      </w:r>
      <w:proofErr w:type="spellStart"/>
      <w:r>
        <w:rPr>
          <w:sz w:val="20"/>
          <w:szCs w:val="20"/>
          <w:rtl/>
        </w:rPr>
        <w:t>בריסק</w:t>
      </w:r>
      <w:proofErr w:type="spellEnd"/>
      <w:r>
        <w:rPr>
          <w:sz w:val="20"/>
          <w:szCs w:val="20"/>
          <w:rtl/>
        </w:rPr>
        <w:t xml:space="preserve"> (הערה 12 לעיל), עמ׳ 51–57.</w:t>
      </w:r>
    </w:p>
  </w:footnote>
  <w:footnote w:id="1077">
    <w:p w14:paraId="39745CB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פרק 1, נספח ו.</w:t>
      </w:r>
    </w:p>
  </w:footnote>
  <w:footnote w:id="1078">
    <w:p w14:paraId="4016627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181.</w:t>
      </w:r>
    </w:p>
  </w:footnote>
  <w:footnote w:id="1079">
    <w:p w14:paraId="35CCCC6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“עמוד אש”, יוסף </w:t>
      </w:r>
      <w:proofErr w:type="spellStart"/>
      <w:r>
        <w:rPr>
          <w:sz w:val="20"/>
          <w:szCs w:val="20"/>
          <w:rtl/>
        </w:rPr>
        <w:t>שיינברגר</w:t>
      </w:r>
      <w:proofErr w:type="spellEnd"/>
      <w:r>
        <w:rPr>
          <w:sz w:val="20"/>
          <w:szCs w:val="20"/>
          <w:rtl/>
        </w:rPr>
        <w:t xml:space="preserve"> (ירושלים) (בלי שנה), עמ׳ </w:t>
      </w:r>
      <w:proofErr w:type="spellStart"/>
      <w:r>
        <w:rPr>
          <w:sz w:val="20"/>
          <w:szCs w:val="20"/>
          <w:rtl/>
        </w:rPr>
        <w:t>מא</w:t>
      </w:r>
      <w:proofErr w:type="spellEnd"/>
      <w:r>
        <w:rPr>
          <w:sz w:val="20"/>
          <w:szCs w:val="20"/>
          <w:rtl/>
        </w:rPr>
        <w:t>–מג.</w:t>
      </w:r>
    </w:p>
  </w:footnote>
  <w:footnote w:id="1080">
    <w:p w14:paraId="0CCB068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 ישעיה שכטר (פרק 1, הערה 56).</w:t>
      </w:r>
    </w:p>
  </w:footnote>
  <w:footnote w:id="1081">
    <w:p w14:paraId="63C5505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מכון ביאליק, תשמ״ח – “הערת המחבר” בהערת שוליים בעמ׳ 203.</w:t>
      </w:r>
    </w:p>
  </w:footnote>
  <w:footnote w:id="1082">
    <w:p w14:paraId="23A7EC6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בשיחת טלפון ב־25 במאי 1992 אמר אברהם תורי שעד היום אינו יכול לסלוח לעצמו על שלא פתח את פיו כשהייתה לו ההזדמנות.</w:t>
      </w:r>
    </w:p>
  </w:footnote>
  <w:footnote w:id="1083">
    <w:p w14:paraId="7C24FA3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5 באוגוסט 1997.</w:t>
      </w:r>
    </w:p>
  </w:footnote>
  <w:footnote w:id="1084">
    <w:p w14:paraId="31A0F9A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מרדכי סיפר שבחודשיו האחרונים של הרב היה עורו מתקלף בלי הרף – כנראה מחמת </w:t>
      </w:r>
      <w:proofErr w:type="spellStart"/>
      <w:r>
        <w:rPr>
          <w:sz w:val="20"/>
          <w:szCs w:val="20"/>
          <w:rtl/>
        </w:rPr>
        <w:t>תת־תזונה</w:t>
      </w:r>
      <w:proofErr w:type="spellEnd"/>
      <w:r>
        <w:rPr>
          <w:sz w:val="20"/>
          <w:szCs w:val="20"/>
          <w:rtl/>
        </w:rPr>
        <w:t xml:space="preserve"> – והוא, הסופר, היה מקלף ממנו את העור המת. הרב העיר בהכרת טובה: “הלוואי שהיה לי בן כמו צוקרמן.”</w:t>
      </w:r>
    </w:p>
  </w:footnote>
  <w:footnote w:id="1085">
    <w:p w14:paraId="079699D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203. ברור שכאשר שאל תורי את הרב במה הוא עוסק בכתיבתו, לא השיב הרב על שאלתו אלא רק אמר דברים, ותורי הוא שהסיק מעצמו שהרב כותב חיבור הלכתי בנושא הקשה של היתר עגונות. ואכן, קריאה מדוקדקת בדיווחו של תורי על הביקור בדירת הרב בגטו מראה בבירור ש</w:t>
      </w:r>
      <w:r>
        <w:rPr>
          <w:b/>
          <w:bCs/>
          <w:sz w:val="20"/>
          <w:szCs w:val="20"/>
          <w:rtl/>
        </w:rPr>
        <w:t>המבקר</w:t>
      </w:r>
      <w:r>
        <w:rPr>
          <w:sz w:val="20"/>
          <w:szCs w:val="20"/>
          <w:rtl/>
        </w:rPr>
        <w:t xml:space="preserve"> הוא שהגיע למסקנה זו. אם הרב נמנע במכוון מלהשיב על שאלת תורי, אין לנו אלא לשער מדוע.</w:t>
      </w:r>
    </w:p>
    <w:p w14:paraId="3798B7F4" w14:textId="77777777" w:rsidR="00AB3647" w:rsidRDefault="00000000">
      <w:pPr>
        <w:spacing w:after="0" w:before="0"/>
        <w:jc w:val="both"/>
      </w:pPr>
      <w:r>
        <w:rPr>
          <w:sz w:val="20"/>
          <w:szCs w:val="20"/>
          <w:rtl/>
        </w:rPr>
        <w:t xml:space="preserve">קשה, אם לא בלתי אפשרי, לרדת לסוף דעתם של יושבי הגטו בכלל, ולהבין את יחסיהם המורכבים עם פקידי היודנרט בפרט (אפילו יודנרט נוח כמו זה שעמד בראש גטו </w:t>
      </w:r>
      <w:proofErr w:type="spellStart"/>
      <w:r>
        <w:rPr>
          <w:sz w:val="20"/>
          <w:szCs w:val="20"/>
          <w:rtl/>
        </w:rPr>
        <w:t>סלבודקה</w:t>
      </w:r>
      <w:proofErr w:type="spellEnd"/>
      <w:r>
        <w:rPr>
          <w:sz w:val="20"/>
          <w:szCs w:val="20"/>
          <w:rtl/>
        </w:rPr>
        <w:t xml:space="preserve">). לכן אין אנו יודעים מה היה בדעתו של ר׳ </w:t>
      </w:r>
      <w:proofErr w:type="spellStart"/>
      <w:r>
        <w:rPr>
          <w:sz w:val="20"/>
          <w:szCs w:val="20"/>
          <w:rtl/>
        </w:rPr>
        <w:t>אברהם־דובער</w:t>
      </w:r>
      <w:proofErr w:type="spellEnd"/>
      <w:r>
        <w:rPr>
          <w:sz w:val="20"/>
          <w:szCs w:val="20"/>
          <w:rtl/>
        </w:rPr>
        <w:t xml:space="preserve"> </w:t>
      </w:r>
      <w:proofErr w:type="spellStart"/>
      <w:r>
        <w:rPr>
          <w:sz w:val="20"/>
          <w:szCs w:val="20"/>
          <w:rtl/>
        </w:rPr>
        <w:t>כהנא־שפירא</w:t>
      </w:r>
      <w:proofErr w:type="spellEnd"/>
      <w:r>
        <w:rPr>
          <w:sz w:val="20"/>
          <w:szCs w:val="20"/>
          <w:rtl/>
        </w:rPr>
        <w:t xml:space="preserve"> כשהסתיר את כתב היד בן 300 העמודים שעל מיטתו. הצעה: הדפים הרבים שראה מזכיר היודנרט היו ספר הזיכרונות שלא הושלם, שהרב החל לעבוד עליו בימי שלום, והוא העדיף שלא לגלות לאורחו שהמלחמה לא שינתה את תוכניותיו להוציא לאור את החיבור.</w:t>
      </w:r>
    </w:p>
  </w:footnote>
  <w:footnote w:id="1086">
    <w:p w14:paraId="78D5E63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הנ״ל, פרק 2, נספח ו – עמ׳ </w:t>
      </w:r>
      <w:proofErr w:type="spellStart"/>
      <w:r>
        <w:rPr>
          <w:sz w:val="20"/>
          <w:szCs w:val="20"/>
          <w:rtl/>
        </w:rPr>
        <w:t>קכט</w:t>
      </w:r>
      <w:proofErr w:type="spellEnd"/>
      <w:r>
        <w:rPr>
          <w:sz w:val="20"/>
          <w:szCs w:val="20"/>
          <w:rtl/>
        </w:rPr>
        <w:t>.</w:t>
      </w:r>
    </w:p>
  </w:footnote>
  <w:footnote w:id="1087">
    <w:p w14:paraId="40EE301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פרק 4, סוף נספח ז.</w:t>
      </w:r>
    </w:p>
  </w:footnote>
  <w:footnote w:id="1088">
    <w:p w14:paraId="0CB6AC5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קלטת של ר׳ בערל וויין על תנועת המוסר, אבי החזיק בדעה זו. ייתכן ששמע אותה מר׳ </w:t>
      </w:r>
      <w:proofErr w:type="spellStart"/>
      <w:r>
        <w:rPr>
          <w:sz w:val="20"/>
          <w:szCs w:val="20"/>
          <w:rtl/>
        </w:rPr>
        <w:t>ברוך־בער</w:t>
      </w:r>
      <w:proofErr w:type="spellEnd"/>
      <w:r>
        <w:rPr>
          <w:sz w:val="20"/>
          <w:szCs w:val="20"/>
          <w:rtl/>
        </w:rPr>
        <w:t xml:space="preserve"> עצמו, או משמו. “</w:t>
      </w:r>
      <w:proofErr w:type="spellStart"/>
      <w:r>
        <w:rPr>
          <w:sz w:val="20"/>
          <w:szCs w:val="20"/>
          <w:rtl/>
        </w:rPr>
        <w:t>שמוש</w:t>
      </w:r>
      <w:proofErr w:type="spellEnd"/>
      <w:r>
        <w:rPr>
          <w:sz w:val="20"/>
          <w:szCs w:val="20"/>
          <w:rtl/>
        </w:rPr>
        <w:t xml:space="preserve"> חכמים” (הנ״ל, פרק 2, הפסקה </w:t>
      </w:r>
      <w:proofErr w:type="spellStart"/>
      <w:r>
        <w:rPr>
          <w:sz w:val="20"/>
          <w:szCs w:val="20"/>
          <w:rtl/>
        </w:rPr>
        <w:t>התשע־עשרה</w:t>
      </w:r>
      <w:proofErr w:type="spellEnd"/>
      <w:r>
        <w:rPr>
          <w:sz w:val="20"/>
          <w:szCs w:val="20"/>
          <w:rtl/>
        </w:rPr>
        <w:t xml:space="preserve"> בנספח א), עמ׳ מט, מביא בשם ר׳ </w:t>
      </w:r>
      <w:proofErr w:type="spellStart"/>
      <w:r>
        <w:rPr>
          <w:sz w:val="20"/>
          <w:szCs w:val="20"/>
          <w:rtl/>
        </w:rPr>
        <w:t>ברוך־בער</w:t>
      </w:r>
      <w:proofErr w:type="spellEnd"/>
      <w:r>
        <w:rPr>
          <w:sz w:val="20"/>
          <w:szCs w:val="20"/>
          <w:rtl/>
        </w:rPr>
        <w:t xml:space="preserve"> </w:t>
      </w:r>
      <w:proofErr w:type="spellStart"/>
      <w:r>
        <w:rPr>
          <w:sz w:val="20"/>
          <w:szCs w:val="20"/>
          <w:rtl/>
        </w:rPr>
        <w:t>ש“מסופר</w:t>
      </w:r>
      <w:proofErr w:type="spellEnd"/>
      <w:r>
        <w:rPr>
          <w:sz w:val="20"/>
          <w:szCs w:val="20"/>
          <w:rtl/>
        </w:rPr>
        <w:t xml:space="preserve"> על ר׳ </w:t>
      </w:r>
      <w:proofErr w:type="spellStart"/>
      <w:r>
        <w:rPr>
          <w:sz w:val="20"/>
          <w:szCs w:val="20"/>
          <w:rtl/>
        </w:rPr>
        <w:t xml:space="preserve">אלינקה רגולר</w:t>
      </w:r>
      <w:proofErr w:type="spellEnd"/>
      <w:r>
        <w:rPr>
          <w:sz w:val="20"/>
          <w:szCs w:val="20"/>
          <w:rtl/>
        </w:rPr>
        <w:t xml:space="preserve"/>
      </w:r>
      <w:proofErr w:type="spellStart"/>
      <w:r>
        <w:rPr>
          <w:sz w:val="20"/>
          <w:szCs w:val="20"/>
          <w:rtl/>
        </w:rPr>
        <w:t xml:space="preserve"/>
      </w:r>
      <w:proofErr w:type="spellEnd"/>
      <w:r>
        <w:rPr>
          <w:sz w:val="20"/>
          <w:szCs w:val="20"/>
          <w:rtl/>
        </w:rPr>
        <w:t xml:space="preserve">” – ראה הערה 10 לעיל – “שאמר שלא הצליח בלימוד התורה </w:t>
      </w:r>
      <w:proofErr w:type="spellStart"/>
      <w:r>
        <w:rPr>
          <w:sz w:val="20"/>
          <w:szCs w:val="20"/>
          <w:rtl/>
        </w:rPr>
        <w:t>בקאליש</w:t>
      </w:r>
      <w:proofErr w:type="spellEnd"/>
      <w:r>
        <w:rPr>
          <w:sz w:val="20"/>
          <w:szCs w:val="20"/>
          <w:rtl/>
        </w:rPr>
        <w:t xml:space="preserve"> כפי שהצליח </w:t>
      </w:r>
      <w:proofErr w:type="spellStart"/>
      <w:r>
        <w:rPr>
          <w:sz w:val="20"/>
          <w:szCs w:val="20"/>
          <w:rtl/>
        </w:rPr>
        <w:t>בסלבודקה</w:t>
      </w:r>
      <w:proofErr w:type="spellEnd"/>
      <w:r>
        <w:rPr>
          <w:sz w:val="20"/>
          <w:szCs w:val="20"/>
          <w:rtl/>
        </w:rPr>
        <w:t>, משום שבראשונה היו כמה כנסיות”.</w:t>
      </w:r>
    </w:p>
  </w:footnote>
  <w:footnote w:id="1089">
    <w:p w14:paraId="56FEF10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אבי ניסח מונח זה באנגלית.</w:t>
      </w:r>
    </w:p>
  </w:footnote>
  <w:footnote w:id="1090">
    <w:p w14:paraId="0D718EC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ב להלן.</w:t>
      </w:r>
    </w:p>
  </w:footnote>
  <w:footnote w:id="1091">
    <w:p w14:paraId="588058F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כץ, “תנועת המוסר”, כרך ב, עמ׳ 303, בפרק 26, המוקדש לרב </w:t>
      </w:r>
      <w:proofErr w:type="spellStart"/>
      <w:r>
        <w:rPr>
          <w:sz w:val="20"/>
          <w:szCs w:val="20"/>
          <w:rtl/>
        </w:rPr>
        <w:t>טנעס</w:t>
      </w:r>
      <w:proofErr w:type="spellEnd"/>
      <w:r>
        <w:rPr>
          <w:sz w:val="20"/>
          <w:szCs w:val="20"/>
          <w:rtl/>
        </w:rPr>
        <w:t xml:space="preserve">. והשווה גם פרק 5, הפסקה הראשונה בנספח ו, על המחלוקת בינו לבין ר׳ חיים </w:t>
      </w:r>
      <w:proofErr w:type="spellStart"/>
      <w:r>
        <w:rPr>
          <w:sz w:val="20"/>
          <w:szCs w:val="20"/>
          <w:rtl/>
        </w:rPr>
        <w:t>סולובייצ׳יק</w:t>
      </w:r>
      <w:proofErr w:type="spellEnd"/>
      <w:r>
        <w:rPr>
          <w:sz w:val="20"/>
          <w:szCs w:val="20"/>
          <w:rtl/>
        </w:rPr>
        <w:t>, שהיה צעיר ממנו בשבע שנים, ופרק 3, סוף נספח כד להלן.</w:t>
      </w:r>
    </w:p>
  </w:footnote>
  <w:footnote w:id="1092">
    <w:p w14:paraId="4EE0E2C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מתוך דברי </w:t>
      </w:r>
      <w:proofErr w:type="spellStart"/>
      <w:r>
        <w:rPr>
          <w:sz w:val="20"/>
          <w:szCs w:val="20"/>
          <w:rtl/>
        </w:rPr>
        <w:t>האגב</w:t>
      </w:r>
      <w:proofErr w:type="spellEnd"/>
      <w:r>
        <w:rPr>
          <w:sz w:val="20"/>
          <w:szCs w:val="20"/>
          <w:rtl/>
        </w:rPr>
        <w:t xml:space="preserve"> שאמר רבנו בשיעור הדף היומי, שהובאו בתחילת הנספח הקודם (עמ׳ </w:t>
      </w:r>
      <w:r>
        <w:rPr>
          <w:sz w:val="20"/>
          <w:szCs w:val="20"/>
          <w:rtl/>
        </w:rPr>
        <w:fldChar w:fldCharType="begin" w:dirty="true"/>
      </w:r>
      <w:r>
        <w:rPr>
          <w:sz w:val="20"/>
          <w:szCs w:val="20"/>
          <w:rtl/>
        </w:rPr>
        <w:instrText xml:space="preserve"> PAGEREF pr_f_1523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הערה </w:t>
      </w:r>
      <w:r>
        <w:rPr>
          <w:sz w:val="20"/>
          <w:szCs w:val="20"/>
          <w:rtl/>
        </w:rPr>
        <w:fldChar w:fldCharType="begin" w:dirty="true"/>
      </w:r>
      <w:r>
        <w:rPr>
          <w:sz w:val="20"/>
          <w:szCs w:val="20"/>
          <w:rtl/>
        </w:rPr>
        <w:instrText xml:space="preserve"> NOTEREF pr_f_1523 \h </w:instrText>
      </w:r>
      <w:r>
        <w:rPr>
          <w:sz w:val="20"/>
          <w:szCs w:val="20"/>
          <w:rtl/>
        </w:rPr>
      </w:r>
      <w:r>
        <w:rPr>
          <w:sz w:val="20"/>
          <w:szCs w:val="20"/>
          <w:rtl/>
        </w:rPr>
        <w:fldChar w:fldCharType="separate"/>
      </w:r>
      <w:r w:rsidR="007923E9">
        <w:rPr>
          <w:sz w:val="20"/>
          <w:szCs w:val="20"/>
          <w:rtl/>
        </w:rPr>
        <w:t>569</w:t>
      </w:r>
      <w:r>
        <w:rPr>
          <w:sz w:val="20"/>
          <w:szCs w:val="20"/>
          <w:rtl/>
        </w:rPr>
        <w:fldChar w:fldCharType="end"/>
      </w:r>
      <w:r>
        <w:rPr>
          <w:sz w:val="20"/>
          <w:szCs w:val="20"/>
          <w:rtl/>
        </w:rPr>
        <w:t>).</w:t>
      </w:r>
    </w:p>
  </w:footnote>
  <w:footnote w:id="1093">
    <w:p w14:paraId="2469B6B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2, הערה 48.</w:t>
      </w:r>
    </w:p>
  </w:footnote>
  <w:footnote w:id="1094">
    <w:p w14:paraId="0693D8C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הפסקה השנייה בנספח ז להלן.</w:t>
      </w:r>
    </w:p>
  </w:footnote>
  <w:footnote w:id="1095">
    <w:p w14:paraId="70EF667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בפרק זה – עמ׳ 29.</w:t>
      </w:r>
    </w:p>
  </w:footnote>
  <w:footnote w:id="1096">
    <w:p w14:paraId="2B3BA55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זיכרון של ר׳ </w:t>
      </w:r>
      <w:proofErr w:type="spellStart"/>
      <w:r>
        <w:rPr>
          <w:sz w:val="20"/>
          <w:szCs w:val="20"/>
          <w:rtl/>
        </w:rPr>
        <w:t>אריה־לייב</w:t>
      </w:r>
      <w:proofErr w:type="spellEnd"/>
      <w:r>
        <w:rPr>
          <w:sz w:val="20"/>
          <w:szCs w:val="20"/>
          <w:rtl/>
        </w:rPr>
        <w:t xml:space="preserve"> </w:t>
      </w:r>
      <w:proofErr w:type="spellStart"/>
      <w:r>
        <w:rPr>
          <w:sz w:val="20"/>
          <w:szCs w:val="20"/>
          <w:rtl/>
        </w:rPr>
        <w:t>פופקו</w:t>
      </w:r>
      <w:proofErr w:type="spellEnd"/>
      <w:r>
        <w:rPr>
          <w:sz w:val="20"/>
          <w:szCs w:val="20"/>
          <w:rtl/>
        </w:rPr>
        <w:t xml:space="preserve"> </w:t>
      </w:r>
      <w:proofErr w:type="spellStart"/>
      <w:r>
        <w:rPr>
          <w:sz w:val="20"/>
          <w:szCs w:val="20"/>
          <w:rtl/>
        </w:rPr>
        <w:t>בכבה״ת</w:t>
      </w:r>
      <w:proofErr w:type="spellEnd"/>
      <w:r>
        <w:rPr>
          <w:sz w:val="20"/>
          <w:szCs w:val="20"/>
          <w:rtl/>
        </w:rPr>
        <w:t>, עמ׳ סט–</w:t>
      </w:r>
      <w:proofErr w:type="spellStart"/>
      <w:r>
        <w:rPr>
          <w:sz w:val="20"/>
          <w:szCs w:val="20"/>
          <w:rtl/>
        </w:rPr>
        <w:t>עא</w:t>
      </w:r>
      <w:proofErr w:type="spellEnd"/>
      <w:r>
        <w:rPr>
          <w:sz w:val="20"/>
          <w:szCs w:val="20"/>
          <w:rtl/>
        </w:rPr>
        <w:t xml:space="preserve"> בחלק השלישי (שכותרתו “דוגמא משיחות אבי זצ״ל”). מקור זה נעלם מעיני כץ, “תנועת המוסר”, כרך ג.</w:t>
      </w:r>
    </w:p>
  </w:footnote>
  <w:footnote w:id="1097">
    <w:p w14:paraId="2A431C6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הביטוי מבוסס על יבמות קד ע״ב.</w:t>
      </w:r>
    </w:p>
  </w:footnote>
  <w:footnote w:id="1098">
    <w:p w14:paraId="6BA46EE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כבה״ת</w:t>
      </w:r>
      <w:proofErr w:type="spellEnd"/>
      <w:r>
        <w:rPr>
          <w:sz w:val="20"/>
          <w:szCs w:val="20"/>
          <w:rtl/>
        </w:rPr>
        <w:t xml:space="preserve"> מביא במדויק כיצד הצדיק </w:t>
      </w:r>
      <w:proofErr w:type="spellStart"/>
      <w:r>
        <w:rPr>
          <w:sz w:val="20"/>
          <w:szCs w:val="20"/>
          <w:rtl/>
        </w:rPr>
        <w:t>החפץ־חיים</w:t>
      </w:r>
      <w:proofErr w:type="spellEnd"/>
      <w:r>
        <w:rPr>
          <w:sz w:val="20"/>
          <w:szCs w:val="20"/>
          <w:rtl/>
        </w:rPr>
        <w:t xml:space="preserve"> התנהגות יוצאת דופן זו.</w:t>
      </w:r>
    </w:p>
  </w:footnote>
  <w:footnote w:id="1099">
    <w:p w14:paraId="1E409B6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א בפרק זה.</w:t>
      </w:r>
    </w:p>
  </w:footnote>
  <w:footnote w:id="1100">
    <w:p w14:paraId="2F97348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סוף נספח ה בפרק זה, שאלתר </w:t>
      </w:r>
      <w:proofErr w:type="spellStart"/>
      <w:r>
        <w:rPr>
          <w:sz w:val="20"/>
          <w:szCs w:val="20"/>
          <w:rtl/>
        </w:rPr>
        <w:t>דרויאנוב</w:t>
      </w:r>
      <w:proofErr w:type="spellEnd"/>
      <w:r>
        <w:rPr>
          <w:sz w:val="20"/>
          <w:szCs w:val="20"/>
          <w:rtl/>
        </w:rPr>
        <w:t xml:space="preserve"> לא הבחין בכך במכתבו </w:t>
      </w:r>
      <w:proofErr w:type="spellStart"/>
      <w:r>
        <w:rPr>
          <w:sz w:val="20"/>
          <w:szCs w:val="20"/>
          <w:rtl/>
        </w:rPr>
        <w:t>ב“תלפיות</w:t>
      </w:r>
      <w:proofErr w:type="spellEnd"/>
      <w:r>
        <w:rPr>
          <w:sz w:val="20"/>
          <w:szCs w:val="20"/>
          <w:rtl/>
        </w:rPr>
        <w:t>”.</w:t>
      </w:r>
    </w:p>
  </w:footnote>
  <w:footnote w:id="1101">
    <w:p w14:paraId="56C81FE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לפי כץ, “תנועת המוסר”, כרך ג, עמ׳ 66.</w:t>
      </w:r>
    </w:p>
  </w:footnote>
  <w:footnote w:id="1102">
    <w:p w14:paraId="567BAA9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בהערה 51 להלן כיניתי את דרך </w:t>
      </w:r>
      <w:proofErr w:type="spellStart"/>
      <w:r>
        <w:rPr>
          <w:sz w:val="20"/>
          <w:szCs w:val="20"/>
          <w:rtl/>
        </w:rPr>
        <w:t>סלבודקה</w:t>
      </w:r>
      <w:proofErr w:type="spellEnd"/>
      <w:r>
        <w:rPr>
          <w:sz w:val="20"/>
          <w:szCs w:val="20"/>
          <w:rtl/>
        </w:rPr>
        <w:t xml:space="preserve"> המוקדמת “גישת </w:t>
      </w:r>
      <w:proofErr w:type="spellStart"/>
      <w:r>
        <w:rPr>
          <w:sz w:val="20"/>
          <w:szCs w:val="20"/>
          <w:rtl/>
        </w:rPr>
        <w:t>בלאזר</w:t>
      </w:r>
      <w:proofErr w:type="spellEnd"/>
      <w:r>
        <w:rPr>
          <w:sz w:val="20"/>
          <w:szCs w:val="20"/>
          <w:rtl/>
        </w:rPr>
        <w:t>”.</w:t>
      </w:r>
    </w:p>
  </w:footnote>
  <w:footnote w:id="1103">
    <w:p w14:paraId="614D4BD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ג בפרק זה – עמ׳ 87–88.</w:t>
      </w:r>
    </w:p>
  </w:footnote>
  <w:footnote w:id="1104">
    <w:p w14:paraId="6D64164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שם, עמ׳ 88, שחתנו של ר׳ </w:t>
      </w:r>
      <w:proofErr w:type="spellStart"/>
      <w:r>
        <w:rPr>
          <w:sz w:val="20"/>
          <w:szCs w:val="20"/>
          <w:rtl/>
        </w:rPr>
        <w:t>יצחק־אלחנן</w:t>
      </w:r>
      <w:proofErr w:type="spellEnd"/>
      <w:r>
        <w:rPr>
          <w:sz w:val="20"/>
          <w:szCs w:val="20"/>
          <w:rtl/>
        </w:rPr>
        <w:t xml:space="preserve"> </w:t>
      </w:r>
      <w:proofErr w:type="spellStart"/>
      <w:r>
        <w:rPr>
          <w:sz w:val="20"/>
          <w:szCs w:val="20"/>
          <w:rtl/>
        </w:rPr>
        <w:t>ספקטור</w:t>
      </w:r>
      <w:proofErr w:type="spellEnd"/>
      <w:r>
        <w:rPr>
          <w:sz w:val="20"/>
          <w:szCs w:val="20"/>
          <w:rtl/>
        </w:rPr>
        <w:t xml:space="preserve">, ר׳ צבי </w:t>
      </w:r>
      <w:proofErr w:type="spellStart"/>
      <w:r>
        <w:rPr>
          <w:sz w:val="20"/>
          <w:szCs w:val="20"/>
          <w:rtl/>
        </w:rPr>
        <w:t>סולצובסקי</w:t>
      </w:r>
      <w:proofErr w:type="spellEnd"/>
      <w:r>
        <w:rPr>
          <w:sz w:val="20"/>
          <w:szCs w:val="20"/>
          <w:rtl/>
        </w:rPr>
        <w:t xml:space="preserve">, אמר לבעל היומן למחרת </w:t>
      </w:r>
      <w:proofErr w:type="spellStart"/>
      <w:r>
        <w:rPr>
          <w:sz w:val="20"/>
          <w:szCs w:val="20"/>
          <w:rtl/>
        </w:rPr>
        <w:t>ש“הבקשה</w:t>
      </w:r>
      <w:proofErr w:type="spellEnd"/>
      <w:r>
        <w:rPr>
          <w:sz w:val="20"/>
          <w:szCs w:val="20"/>
          <w:rtl/>
        </w:rPr>
        <w:t xml:space="preserve"> [הייתה] לשווא”. באותה עת הייתה ישיבת </w:t>
      </w:r>
      <w:proofErr w:type="spellStart"/>
      <w:r>
        <w:rPr>
          <w:sz w:val="20"/>
          <w:szCs w:val="20"/>
          <w:rtl/>
        </w:rPr>
        <w:t>סלבודקה</w:t>
      </w:r>
      <w:proofErr w:type="spellEnd"/>
      <w:r>
        <w:rPr>
          <w:sz w:val="20"/>
          <w:szCs w:val="20"/>
          <w:rtl/>
        </w:rPr>
        <w:t xml:space="preserve"> כבר עצמאית לגמרי מכולל קובנה. השווה גם תחילת נספח ו בפרק זה, שמספר הבחורים וחברי הכולל יחד היה מאתיים בשנת תר״נ, ותחילת נספח יא להלן, שעם מעבר תלמידים רבים </w:t>
      </w:r>
      <w:proofErr w:type="spellStart"/>
      <w:r>
        <w:rPr>
          <w:sz w:val="20"/>
          <w:szCs w:val="20"/>
          <w:rtl/>
        </w:rPr>
        <w:t>מוולוז׳ין</w:t>
      </w:r>
      <w:proofErr w:type="spellEnd"/>
      <w:r>
        <w:rPr>
          <w:sz w:val="20"/>
          <w:szCs w:val="20"/>
          <w:rtl/>
        </w:rPr>
        <w:t xml:space="preserve"> “הגיע המספר לכמה מאות”. נראה שבחורי </w:t>
      </w:r>
      <w:proofErr w:type="spellStart"/>
      <w:r>
        <w:rPr>
          <w:sz w:val="20"/>
          <w:szCs w:val="20"/>
          <w:rtl/>
        </w:rPr>
        <w:t>וולוז׳ין</w:t>
      </w:r>
      <w:proofErr w:type="spellEnd"/>
      <w:r>
        <w:rPr>
          <w:sz w:val="20"/>
          <w:szCs w:val="20"/>
          <w:rtl/>
        </w:rPr>
        <w:t xml:space="preserve"> לא נהרו </w:t>
      </w:r>
      <w:proofErr w:type="spellStart"/>
      <w:r>
        <w:rPr>
          <w:sz w:val="20"/>
          <w:szCs w:val="20"/>
          <w:rtl/>
        </w:rPr>
        <w:t>לסלבודקה</w:t>
      </w:r>
      <w:proofErr w:type="spellEnd"/>
      <w:r>
        <w:rPr>
          <w:sz w:val="20"/>
          <w:szCs w:val="20"/>
          <w:rtl/>
        </w:rPr>
        <w:t xml:space="preserve"> מיד אחרי סגירת ישיבתם.</w:t>
      </w:r>
    </w:p>
  </w:footnote>
  <w:footnote w:id="1105">
    <w:p w14:paraId="33B890F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ו בפרק זה – עמ׳ 113.</w:t>
      </w:r>
    </w:p>
  </w:footnote>
  <w:footnote w:id="1106">
    <w:p w14:paraId="4A9D48E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5, הפסקה השנייה של נספח ב.</w:t>
      </w:r>
    </w:p>
  </w:footnote>
  <w:footnote w:id="1107">
    <w:p w14:paraId="0F02166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ליפמן (שם, הערה 8 לעיל), עמ׳ 228, הערת שוליים 2. הייתה זו מליצה בלבד, שכן המילה “בתים” בפסוקים אלו פירושה למעשה משפחות. ראה גם תהלים קלה, </w:t>
      </w:r>
      <w:proofErr w:type="spellStart"/>
      <w:r>
        <w:rPr>
          <w:sz w:val="20"/>
          <w:szCs w:val="20"/>
          <w:rtl/>
        </w:rPr>
        <w:t>יט</w:t>
      </w:r>
      <w:proofErr w:type="spellEnd"/>
      <w:r>
        <w:rPr>
          <w:sz w:val="20"/>
          <w:szCs w:val="20"/>
          <w:rtl/>
        </w:rPr>
        <w:t xml:space="preserve">–כ, ששם מיוחס בית גם ללויים, נוסף על ישראל ועל אהרן. “הגדול” ממינסק (שם, פרק 1, נספח ו), עמ׳ 30, מייחס מליצה זו לממלא מקומו של ר׳ </w:t>
      </w:r>
      <w:proofErr w:type="spellStart"/>
      <w:r>
        <w:rPr>
          <w:sz w:val="20"/>
          <w:szCs w:val="20"/>
          <w:rtl/>
        </w:rPr>
        <w:t>לייבל׳ה</w:t>
      </w:r>
      <w:proofErr w:type="spellEnd"/>
      <w:r>
        <w:rPr>
          <w:sz w:val="20"/>
          <w:szCs w:val="20"/>
          <w:rtl/>
        </w:rPr>
        <w:t xml:space="preserve">, ר׳ </w:t>
      </w:r>
      <w:proofErr w:type="spellStart"/>
      <w:r>
        <w:rPr>
          <w:sz w:val="20"/>
          <w:szCs w:val="20"/>
          <w:rtl/>
        </w:rPr>
        <w:t>משה־יצחק</w:t>
      </w:r>
      <w:proofErr w:type="spellEnd"/>
      <w:r>
        <w:rPr>
          <w:sz w:val="20"/>
          <w:szCs w:val="20"/>
          <w:rtl/>
        </w:rPr>
        <w:t xml:space="preserve"> אביגדור. השווה גם הערת השוליים שם, שלפיה השיב אחד מתומכי ר׳ ישראל: “רבי, אתה מתנגד לנו בפסוק מן המקרא; גם אנו בקיאים בפסוקים. הלא אומרת התורה הקדושה: ויהי כי יראו </w:t>
      </w:r>
      <w:proofErr w:type="spellStart"/>
      <w:r>
        <w:rPr>
          <w:sz w:val="20"/>
          <w:szCs w:val="20"/>
          <w:rtl/>
        </w:rPr>
        <w:t>המילדות</w:t>
      </w:r>
      <w:proofErr w:type="spellEnd"/>
      <w:r>
        <w:rPr>
          <w:sz w:val="20"/>
          <w:szCs w:val="20"/>
          <w:rtl/>
        </w:rPr>
        <w:t xml:space="preserve"> את </w:t>
      </w:r>
      <w:proofErr w:type="spellStart"/>
      <w:r>
        <w:rPr>
          <w:sz w:val="20"/>
          <w:szCs w:val="20"/>
          <w:rtl/>
        </w:rPr>
        <w:t>הא־להים</w:t>
      </w:r>
      <w:proofErr w:type="spellEnd"/>
      <w:r>
        <w:rPr>
          <w:sz w:val="20"/>
          <w:szCs w:val="20"/>
          <w:rtl/>
        </w:rPr>
        <w:t xml:space="preserve"> ויעש להם בתים” (שמות א, </w:t>
      </w:r>
      <w:proofErr w:type="spellStart"/>
      <w:r>
        <w:rPr>
          <w:sz w:val="20"/>
          <w:szCs w:val="20"/>
          <w:rtl/>
        </w:rPr>
        <w:t>כא</w:t>
      </w:r>
      <w:proofErr w:type="spellEnd"/>
      <w:r>
        <w:rPr>
          <w:sz w:val="20"/>
          <w:szCs w:val="20"/>
          <w:rtl/>
        </w:rPr>
        <w:t>).</w:t>
      </w:r>
    </w:p>
  </w:footnote>
  <w:footnote w:id="1108">
    <w:p w14:paraId="5E22B43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110. אבל ראה תחילת נספח יא בפרק זה, שכץ, “תנועת המוסר”, כרך ג, קובע שלאחר סגירת ישיבת </w:t>
      </w:r>
      <w:proofErr w:type="spellStart"/>
      <w:r>
        <w:rPr>
          <w:sz w:val="20"/>
          <w:szCs w:val="20"/>
          <w:rtl/>
        </w:rPr>
        <w:t>וולוז׳ין</w:t>
      </w:r>
      <w:proofErr w:type="spellEnd"/>
      <w:r>
        <w:rPr>
          <w:sz w:val="20"/>
          <w:szCs w:val="20"/>
          <w:rtl/>
        </w:rPr>
        <w:t xml:space="preserve"> “מספר תלמידי [ישיבת </w:t>
      </w:r>
      <w:proofErr w:type="spellStart"/>
      <w:r>
        <w:rPr>
          <w:sz w:val="20"/>
          <w:szCs w:val="20"/>
          <w:rtl/>
        </w:rPr>
        <w:t>סלבודקה</w:t>
      </w:r>
      <w:proofErr w:type="spellEnd"/>
      <w:r>
        <w:rPr>
          <w:sz w:val="20"/>
          <w:szCs w:val="20"/>
          <w:rtl/>
        </w:rPr>
        <w:t>] הגיע ל</w:t>
      </w:r>
      <w:r>
        <w:rPr>
          <w:b/>
          <w:bCs/>
          <w:sz w:val="20"/>
          <w:szCs w:val="20"/>
          <w:rtl/>
        </w:rPr>
        <w:t>כמה מאות</w:t>
      </w:r>
      <w:r>
        <w:rPr>
          <w:sz w:val="20"/>
          <w:szCs w:val="20"/>
          <w:rtl/>
        </w:rPr>
        <w:t xml:space="preserve">” (ההדגשה שלי). אולי ניסה “למען דעת” להמעיט מעט בהצלחת הישיבה בהנהגת הסבא </w:t>
      </w:r>
      <w:proofErr w:type="spellStart"/>
      <w:r>
        <w:rPr>
          <w:sz w:val="20"/>
          <w:szCs w:val="20"/>
          <w:rtl/>
        </w:rPr>
        <w:t>מסלבודקה</w:t>
      </w:r>
      <w:proofErr w:type="spellEnd"/>
      <w:r>
        <w:rPr>
          <w:sz w:val="20"/>
          <w:szCs w:val="20"/>
          <w:rtl/>
        </w:rPr>
        <w:t>.</w:t>
      </w:r>
    </w:p>
  </w:footnote>
  <w:footnote w:id="1109">
    <w:p w14:paraId="7468049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264.</w:t>
      </w:r>
    </w:p>
  </w:footnote>
  <w:footnote w:id="1110">
    <w:p w14:paraId="5585A6B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41.</w:t>
      </w:r>
    </w:p>
  </w:footnote>
  <w:footnote w:id="1111">
    <w:p w14:paraId="0359B6C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משום מה נחתמו מאמריו תמיד באותיות לועזיות.</w:t>
      </w:r>
    </w:p>
  </w:footnote>
  <w:footnote w:id="1112">
    <w:p w14:paraId="23C623F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גיליון י״ג באדר ב׳ תרנ״ז.</w:t>
      </w:r>
    </w:p>
  </w:footnote>
  <w:footnote w:id="1113">
    <w:p w14:paraId="035ED0F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216.</w:t>
      </w:r>
    </w:p>
  </w:footnote>
  <w:footnote w:id="1114">
    <w:p w14:paraId="67834E7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ב־20 בינואר 1992.</w:t>
      </w:r>
    </w:p>
  </w:footnote>
  <w:footnote w:id="1115">
    <w:p w14:paraId="3366616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כץ, “תנועת המוסר”, כרך ג, עמ׳ 44. השווה גם </w:t>
      </w:r>
      <w:proofErr w:type="spellStart"/>
      <w:r>
        <w:rPr>
          <w:sz w:val="20"/>
          <w:szCs w:val="20"/>
          <w:rtl/>
        </w:rPr>
        <w:t>דבורץ</w:t>
      </w:r>
      <w:proofErr w:type="spellEnd"/>
      <w:r>
        <w:rPr>
          <w:sz w:val="20"/>
          <w:szCs w:val="20"/>
          <w:rtl/>
        </w:rPr>
        <w:t xml:space="preserve">, “הגאון רבי משה מרדכי אפשטיין”, עמ׳ 25: במחלוקת נגד המוסר בתוך ישיבתו החדשה של הסבא, שש שנים אחר כך (ראה נספח כ), ניסו מתנגדי הסבא לגייס </w:t>
      </w:r>
      <w:proofErr w:type="spellStart"/>
      <w:r>
        <w:rPr>
          <w:sz w:val="20"/>
          <w:szCs w:val="20"/>
          <w:rtl/>
        </w:rPr>
        <w:t>לצדם</w:t>
      </w:r>
      <w:proofErr w:type="spellEnd"/>
      <w:r>
        <w:rPr>
          <w:sz w:val="20"/>
          <w:szCs w:val="20"/>
          <w:rtl/>
        </w:rPr>
        <w:t xml:space="preserve"> את ר׳ </w:t>
      </w:r>
      <w:proofErr w:type="spellStart"/>
      <w:r>
        <w:rPr>
          <w:sz w:val="20"/>
          <w:szCs w:val="20"/>
          <w:rtl/>
        </w:rPr>
        <w:t>משה־מרדכי</w:t>
      </w:r>
      <w:proofErr w:type="spellEnd"/>
      <w:r>
        <w:rPr>
          <w:sz w:val="20"/>
          <w:szCs w:val="20"/>
          <w:rtl/>
        </w:rPr>
        <w:t xml:space="preserve">, “שלא היה מעורב בסדרי המוסר בישיבה” – ראה אמצע הפסקה הראשונה של נספח י בפרק זה, בשם ר׳ חיים </w:t>
      </w:r>
      <w:proofErr w:type="spellStart"/>
      <w:r>
        <w:rPr>
          <w:sz w:val="20"/>
          <w:szCs w:val="20"/>
          <w:rtl/>
        </w:rPr>
        <w:t>סרנא</w:t>
      </w:r>
      <w:proofErr w:type="spellEnd"/>
      <w:r>
        <w:rPr>
          <w:sz w:val="20"/>
          <w:szCs w:val="20"/>
          <w:rtl/>
        </w:rPr>
        <w:t>.</w:t>
      </w:r>
    </w:p>
  </w:footnote>
  <w:footnote w:id="1116">
    <w:p w14:paraId="79B2B5E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הוצאה שלישית, ירושלם, תשי״ז – עמ׳ ח–ט.</w:t>
      </w:r>
    </w:p>
  </w:footnote>
  <w:footnote w:id="1117">
    <w:p w14:paraId="57F86B4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פרק 4, הערה 157.</w:t>
      </w:r>
    </w:p>
  </w:footnote>
  <w:footnote w:id="1118">
    <w:p w14:paraId="70395ED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אך ראה סוף הפסקה השנייה של נספח י בפרק זה.</w:t>
      </w:r>
    </w:p>
  </w:footnote>
  <w:footnote w:id="1119">
    <w:p w14:paraId="63F806D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בפרק זה – עמ׳ 251.</w:t>
      </w:r>
    </w:p>
  </w:footnote>
  <w:footnote w:id="1120">
    <w:p w14:paraId="3D2C454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99.</w:t>
      </w:r>
    </w:p>
  </w:footnote>
  <w:footnote w:id="1121">
    <w:p w14:paraId="666B357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החפץ חיים (ישר) (נספח ט בפרק זה), עמ׳ 426–427.</w:t>
      </w:r>
    </w:p>
  </w:footnote>
  <w:footnote w:id="1122">
    <w:p w14:paraId="39F02E8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י בפרק זה – עמ׳ 41.</w:t>
      </w:r>
    </w:p>
  </w:footnote>
  <w:footnote w:id="1123">
    <w:p w14:paraId="4E354E9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אולם קשה להעלות על הדעת שכל עוד עמדה הישיבה בבית המדרש הישן בהנהגת הסבא, כלומר לפני תרנ״ז, נאלצו התלמידים להתפזר בשבתות ובמועדים: הדבר נראה מנוגד לכל רוחה של ישיבת מוסר. אפשר להציע שבעלי הבתים החלו לבוא לישיבה אחרי שנעשתה לכנסת בית יצחק, כשרב העיר, ר׳ משה </w:t>
      </w:r>
      <w:proofErr w:type="spellStart"/>
      <w:r>
        <w:rPr>
          <w:sz w:val="20"/>
          <w:szCs w:val="20"/>
          <w:rtl/>
        </w:rPr>
        <w:t>דנישבסקי</w:t>
      </w:r>
      <w:proofErr w:type="spellEnd"/>
      <w:r>
        <w:rPr>
          <w:sz w:val="20"/>
          <w:szCs w:val="20"/>
          <w:rtl/>
        </w:rPr>
        <w:t>, החל לכהן גם כראש הישיבה (כמבואר להלן). לבסוף השתלטו בעלי הבתים על בית המדרש הישן, והוציאו ממנו את הבחורים בימים שנזקקו לו לחבורות הלימוד שלהם.</w:t>
      </w:r>
    </w:p>
    <w:p w14:paraId="6E144853" w14:textId="77777777" w:rsidR="00AB3647" w:rsidRDefault="00000000">
      <w:pPr>
        <w:spacing w:after="0" w:before="0"/>
        <w:jc w:val="both"/>
      </w:pPr>
      <w:r>
        <w:rPr>
          <w:sz w:val="20"/>
          <w:szCs w:val="20"/>
          <w:rtl/>
        </w:rPr>
        <w:t>ייתכן בהחלט שהרב עצמו הביא רבים מבעלי הבתים שלו לבית המדרש הישן, שבו שהה עתה זמן רב יותר. כמי שלא נמנה עם אנשי המוסר, לא ראה פסול בשילוב בעלי בתים עם בחורי ישיבה, אף עד כדי כך שהתלמידים נדחקו בימים מסוימים בשנה ונאלצו למצוא מקום אחר ללימוד ולתפילה.</w:t>
      </w:r>
    </w:p>
  </w:footnote>
  <w:footnote w:id="1124">
    <w:p w14:paraId="1B2779B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כץ, “תנועת המוסר”, כרך ג, עמ׳ 49.</w:t>
      </w:r>
    </w:p>
  </w:footnote>
  <w:footnote w:id="1125">
    <w:p w14:paraId="547501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נספח ז בפרק זה.</w:t>
      </w:r>
    </w:p>
  </w:footnote>
  <w:footnote w:id="1126">
    <w:p w14:paraId="27D1EDC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ט בפרק זה – עמ׳ </w:t>
      </w:r>
      <w:proofErr w:type="spellStart"/>
      <w:r>
        <w:rPr>
          <w:sz w:val="20"/>
          <w:szCs w:val="20"/>
          <w:rtl/>
        </w:rPr>
        <w:t>כא</w:t>
      </w:r>
      <w:proofErr w:type="spellEnd"/>
      <w:r>
        <w:rPr>
          <w:sz w:val="20"/>
          <w:szCs w:val="20"/>
          <w:rtl/>
        </w:rPr>
        <w:t>–</w:t>
      </w:r>
      <w:proofErr w:type="spellStart"/>
      <w:r>
        <w:rPr>
          <w:sz w:val="20"/>
          <w:szCs w:val="20"/>
          <w:rtl/>
        </w:rPr>
        <w:t>כב</w:t>
      </w:r>
      <w:proofErr w:type="spellEnd"/>
      <w:r>
        <w:rPr>
          <w:sz w:val="20"/>
          <w:szCs w:val="20"/>
          <w:rtl/>
        </w:rPr>
        <w:t xml:space="preserve"> במספור העמודים השני.</w:t>
      </w:r>
    </w:p>
  </w:footnote>
  <w:footnote w:id="1127">
    <w:p w14:paraId="3B9BFE3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כרך 2.</w:t>
      </w:r>
    </w:p>
  </w:footnote>
  <w:footnote w:id="1128">
    <w:p w14:paraId="6A74D87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5, הערות 22–24.</w:t>
      </w:r>
    </w:p>
  </w:footnote>
  <w:footnote w:id="1129">
    <w:p w14:paraId="1FA19F4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תחילת הערה 129 להלן.</w:t>
      </w:r>
    </w:p>
  </w:footnote>
  <w:footnote w:id="1130">
    <w:p w14:paraId="16675F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5, הערה 12.</w:t>
      </w:r>
    </w:p>
  </w:footnote>
  <w:footnote w:id="1131">
    <w:p w14:paraId="16D1FCA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הפסקה השנייה של נספח </w:t>
      </w:r>
      <w:proofErr w:type="spellStart"/>
      <w:r>
        <w:rPr>
          <w:sz w:val="20"/>
          <w:szCs w:val="20"/>
          <w:rtl/>
        </w:rPr>
        <w:t>יח</w:t>
      </w:r>
      <w:proofErr w:type="spellEnd"/>
      <w:r>
        <w:rPr>
          <w:sz w:val="20"/>
          <w:szCs w:val="20"/>
          <w:rtl/>
        </w:rPr>
        <w:t xml:space="preserve"> בפרק זה. “תורת חיים”, עמ׳ </w:t>
      </w:r>
      <w:proofErr w:type="spellStart"/>
      <w:r>
        <w:rPr>
          <w:sz w:val="20"/>
          <w:szCs w:val="20"/>
          <w:rtl/>
        </w:rPr>
        <w:t>כב</w:t>
      </w:r>
      <w:proofErr w:type="spellEnd"/>
      <w:r>
        <w:rPr>
          <w:sz w:val="20"/>
          <w:szCs w:val="20"/>
          <w:rtl/>
        </w:rPr>
        <w:t>, כותב: “</w:t>
      </w:r>
      <w:r>
        <w:rPr>
          <w:b/>
          <w:bCs/>
          <w:sz w:val="20"/>
          <w:szCs w:val="20"/>
          <w:rtl/>
        </w:rPr>
        <w:t>אחרי נישואיו</w:t>
      </w:r>
      <w:r>
        <w:rPr>
          <w:sz w:val="20"/>
          <w:szCs w:val="20"/>
          <w:rtl/>
        </w:rPr>
        <w:t xml:space="preserve"> (ההדגשה שלי), בשנת תרנ״ח, נקרא ר׳ </w:t>
      </w:r>
      <w:proofErr w:type="spellStart"/>
      <w:r>
        <w:rPr>
          <w:sz w:val="20"/>
          <w:szCs w:val="20"/>
          <w:rtl/>
        </w:rPr>
        <w:t>זלמן־סנדר</w:t>
      </w:r>
      <w:proofErr w:type="spellEnd"/>
      <w:r>
        <w:rPr>
          <w:sz w:val="20"/>
          <w:szCs w:val="20"/>
          <w:rtl/>
        </w:rPr>
        <w:t xml:space="preserve"> לעמוד בראש כנסת בית יצחק.” המילים המודגשות אינן מדויקות, שכן ר׳ </w:t>
      </w:r>
      <w:proofErr w:type="spellStart"/>
      <w:r>
        <w:rPr>
          <w:sz w:val="20"/>
          <w:szCs w:val="20"/>
          <w:rtl/>
        </w:rPr>
        <w:t>זלמן־סנדר</w:t>
      </w:r>
      <w:proofErr w:type="spellEnd"/>
      <w:r>
        <w:rPr>
          <w:sz w:val="20"/>
          <w:szCs w:val="20"/>
          <w:rtl/>
        </w:rPr>
        <w:t xml:space="preserve"> נתמנה לרבה של </w:t>
      </w:r>
      <w:proofErr w:type="spellStart"/>
      <w:r>
        <w:rPr>
          <w:sz w:val="20"/>
          <w:szCs w:val="20"/>
          <w:rtl/>
        </w:rPr>
        <w:t>מאלטש</w:t>
      </w:r>
      <w:proofErr w:type="spellEnd"/>
      <w:r>
        <w:rPr>
          <w:sz w:val="20"/>
          <w:szCs w:val="20"/>
          <w:rtl/>
        </w:rPr>
        <w:t xml:space="preserve"> – כאשר, כמובן, כבר היה נשוי – </w:t>
      </w:r>
      <w:proofErr w:type="spellStart"/>
      <w:r>
        <w:rPr>
          <w:sz w:val="20"/>
          <w:szCs w:val="20"/>
          <w:rtl/>
        </w:rPr>
        <w:t>שלוש־עשרה</w:t>
      </w:r>
      <w:proofErr w:type="spellEnd"/>
      <w:r>
        <w:rPr>
          <w:sz w:val="20"/>
          <w:szCs w:val="20"/>
          <w:rtl/>
        </w:rPr>
        <w:t xml:space="preserve"> שנה קודם לכן.</w:t>
      </w:r>
    </w:p>
  </w:footnote>
  <w:footnote w:id="1132">
    <w:p w14:paraId="10D5943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23 במאי 1993.</w:t>
      </w:r>
    </w:p>
  </w:footnote>
  <w:footnote w:id="1133">
    <w:p w14:paraId="6CA2DE4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30.</w:t>
      </w:r>
    </w:p>
  </w:footnote>
  <w:footnote w:id="1134">
    <w:p w14:paraId="3F358E9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63 </w:t>
      </w:r>
      <w:proofErr w:type="spellStart"/>
      <w:r>
        <w:rPr>
          <w:sz w:val="20"/>
          <w:szCs w:val="20"/>
          <w:rtl/>
        </w:rPr>
        <w:t>ב“ספר</w:t>
      </w:r>
      <w:proofErr w:type="spellEnd"/>
      <w:r>
        <w:rPr>
          <w:sz w:val="20"/>
          <w:szCs w:val="20"/>
          <w:rtl/>
        </w:rPr>
        <w:t xml:space="preserve"> יזכור לקהילות </w:t>
      </w:r>
      <w:proofErr w:type="spellStart"/>
      <w:r>
        <w:rPr>
          <w:sz w:val="20"/>
          <w:szCs w:val="20"/>
          <w:rtl/>
        </w:rPr>
        <w:t>קמניץ</w:t>
      </w:r>
      <w:proofErr w:type="spellEnd"/>
      <w:r>
        <w:rPr>
          <w:sz w:val="20"/>
          <w:szCs w:val="20"/>
          <w:rtl/>
        </w:rPr>
        <w:t xml:space="preserve"> </w:t>
      </w:r>
      <w:proofErr w:type="spellStart"/>
      <w:r>
        <w:rPr>
          <w:sz w:val="20"/>
          <w:szCs w:val="20"/>
          <w:rtl/>
        </w:rPr>
        <w:t>דליטא</w:t>
      </w:r>
      <w:proofErr w:type="spellEnd"/>
      <w:r>
        <w:rPr>
          <w:sz w:val="20"/>
          <w:szCs w:val="20"/>
          <w:rtl/>
        </w:rPr>
        <w:t xml:space="preserve">, </w:t>
      </w:r>
      <w:proofErr w:type="spellStart"/>
      <w:r>
        <w:rPr>
          <w:sz w:val="20"/>
          <w:szCs w:val="20"/>
          <w:rtl/>
        </w:rPr>
        <w:t>זסטביה</w:t>
      </w:r>
      <w:proofErr w:type="spellEnd"/>
      <w:r>
        <w:rPr>
          <w:sz w:val="20"/>
          <w:szCs w:val="20"/>
          <w:rtl/>
        </w:rPr>
        <w:t xml:space="preserve"> והקולוניות” (תל אביב, תש״ל), בהוצאת ארגון יוצאי </w:t>
      </w:r>
      <w:proofErr w:type="spellStart"/>
      <w:r>
        <w:rPr>
          <w:sz w:val="20"/>
          <w:szCs w:val="20"/>
          <w:rtl/>
        </w:rPr>
        <w:t>קמניץ</w:t>
      </w:r>
      <w:proofErr w:type="spellEnd"/>
      <w:r>
        <w:rPr>
          <w:sz w:val="20"/>
          <w:szCs w:val="20"/>
          <w:rtl/>
        </w:rPr>
        <w:t xml:space="preserve"> וכו׳ בישראל וארה״ב. הרב אדלשטיין הוא מחבר “ר׳ ברוך בר”.</w:t>
      </w:r>
    </w:p>
  </w:footnote>
  <w:footnote w:id="1135">
    <w:p w14:paraId="04AC70E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גם מאמרו של </w:t>
      </w:r>
      <w:proofErr w:type="spellStart"/>
      <w:r>
        <w:rPr>
          <w:sz w:val="20"/>
          <w:szCs w:val="20"/>
          <w:rtl/>
        </w:rPr>
        <w:t>הירש־לייב</w:t>
      </w:r>
      <w:proofErr w:type="spellEnd"/>
      <w:r>
        <w:rPr>
          <w:sz w:val="20"/>
          <w:szCs w:val="20"/>
          <w:rtl/>
        </w:rPr>
        <w:t xml:space="preserve"> גורדון “על גדות </w:t>
      </w:r>
      <w:proofErr w:type="spellStart"/>
      <w:r>
        <w:rPr>
          <w:sz w:val="20"/>
          <w:szCs w:val="20"/>
          <w:rtl/>
        </w:rPr>
        <w:t>הוויליה</w:t>
      </w:r>
      <w:proofErr w:type="spellEnd"/>
      <w:r>
        <w:rPr>
          <w:sz w:val="20"/>
          <w:szCs w:val="20"/>
          <w:rtl/>
        </w:rPr>
        <w:t xml:space="preserve"> </w:t>
      </w:r>
      <w:proofErr w:type="spellStart"/>
      <w:r>
        <w:rPr>
          <w:sz w:val="20"/>
          <w:szCs w:val="20"/>
          <w:rtl/>
        </w:rPr>
        <w:t>והנימן</w:t>
      </w:r>
      <w:proofErr w:type="spellEnd"/>
      <w:r>
        <w:rPr>
          <w:sz w:val="20"/>
          <w:szCs w:val="20"/>
          <w:rtl/>
        </w:rPr>
        <w:t xml:space="preserve">” </w:t>
      </w:r>
      <w:proofErr w:type="spellStart"/>
      <w:r>
        <w:rPr>
          <w:sz w:val="20"/>
          <w:szCs w:val="20"/>
          <w:rtl/>
        </w:rPr>
        <w:t>ב“הדואר</w:t>
      </w:r>
      <w:proofErr w:type="spellEnd"/>
      <w:r>
        <w:rPr>
          <w:sz w:val="20"/>
          <w:szCs w:val="20"/>
          <w:rtl/>
        </w:rPr>
        <w:t xml:space="preserve">”, עמ׳ 40, טועה ומאחר את בואו של ר׳ </w:t>
      </w:r>
      <w:proofErr w:type="spellStart"/>
      <w:r>
        <w:rPr>
          <w:sz w:val="20"/>
          <w:szCs w:val="20"/>
          <w:rtl/>
        </w:rPr>
        <w:t>ברוך־בער</w:t>
      </w:r>
      <w:proofErr w:type="spellEnd"/>
      <w:r>
        <w:rPr>
          <w:sz w:val="20"/>
          <w:szCs w:val="20"/>
          <w:rtl/>
        </w:rPr>
        <w:t xml:space="preserve"> בשנה.</w:t>
      </w:r>
    </w:p>
  </w:footnote>
  <w:footnote w:id="1136">
    <w:p w14:paraId="6674284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ב בפרק זה – עמ׳ שכח.</w:t>
      </w:r>
    </w:p>
  </w:footnote>
  <w:footnote w:id="1137">
    <w:p w14:paraId="113A2E3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אבל השווה את אזהרתו הארוכה של בעל “שרידי אש” בהערת השוליים שם, עמ׳ </w:t>
      </w:r>
      <w:proofErr w:type="spellStart"/>
      <w:r>
        <w:rPr>
          <w:sz w:val="20"/>
          <w:szCs w:val="20"/>
          <w:rtl/>
        </w:rPr>
        <w:t>שיב</w:t>
      </w:r>
      <w:proofErr w:type="spellEnd"/>
      <w:r>
        <w:rPr>
          <w:sz w:val="20"/>
          <w:szCs w:val="20"/>
          <w:rtl/>
        </w:rPr>
        <w:t xml:space="preserve">, בעניין שיחותיו של הסבא; אפשר שהיא חלה גם על ציטוטים אחרים </w:t>
      </w:r>
      <w:proofErr w:type="spellStart"/>
      <w:r>
        <w:rPr>
          <w:sz w:val="20"/>
          <w:szCs w:val="20"/>
          <w:rtl/>
        </w:rPr>
        <w:t>שב“שרידי</w:t>
      </w:r>
      <w:proofErr w:type="spellEnd"/>
      <w:r>
        <w:rPr>
          <w:sz w:val="20"/>
          <w:szCs w:val="20"/>
          <w:rtl/>
        </w:rPr>
        <w:t xml:space="preserve"> אש”. כך פותחת האזהרה: “גם בלי שאומר זאת, צריך הקורא להבין ששיחות הסבא [שאני מוסר כאן] לא נמסרו על ידי כפי שנאמרו במקורן: כיצד יכולתי לנהוג אחרת? עשרות שנים חלפו מאז [ששמעתין], ואז עוד הייתי צעיר. מטבע הדברים הוספתי וגרעתי...”</w:t>
      </w:r>
    </w:p>
  </w:footnote>
  <w:footnote w:id="1138">
    <w:p w14:paraId="000CE36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“פולמוס המוסר”, הערת שוליים בעמ׳ 30.</w:t>
      </w:r>
    </w:p>
  </w:footnote>
  <w:footnote w:id="1139">
    <w:p w14:paraId="097DC3D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פרק 4, הפסקה הראשונה של נספח ז.</w:t>
      </w:r>
    </w:p>
  </w:footnote>
  <w:footnote w:id="1140">
    <w:p w14:paraId="38CDB5A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ב בפרק זה.</w:t>
      </w:r>
    </w:p>
  </w:footnote>
  <w:footnote w:id="1141">
    <w:p w14:paraId="46BF1D9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12 לעיל.</w:t>
      </w:r>
    </w:p>
  </w:footnote>
  <w:footnote w:id="1142">
    <w:p w14:paraId="2CDFABA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23 במרץ 1993.</w:t>
      </w:r>
    </w:p>
  </w:footnote>
  <w:footnote w:id="1143">
    <w:p w14:paraId="1BCA336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265.</w:t>
      </w:r>
    </w:p>
  </w:footnote>
  <w:footnote w:id="1144">
    <w:p w14:paraId="37223C8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בפרק זה – עמ׳ 264.</w:t>
      </w:r>
    </w:p>
  </w:footnote>
  <w:footnote w:id="1145">
    <w:p w14:paraId="3777C4A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בפרק זה – עמ׳ 331.</w:t>
      </w:r>
    </w:p>
  </w:footnote>
  <w:footnote w:id="1146">
    <w:p w14:paraId="08C11A4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נספח י.</w:t>
      </w:r>
    </w:p>
  </w:footnote>
  <w:footnote w:id="1147">
    <w:p w14:paraId="731B0D0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ה בפרק זה.</w:t>
      </w:r>
    </w:p>
  </w:footnote>
  <w:footnote w:id="1148">
    <w:p w14:paraId="6FCFDEE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תחילת הפסקה השנייה בפרק 5.2.</w:t>
      </w:r>
    </w:p>
  </w:footnote>
  <w:footnote w:id="1149">
    <w:p w14:paraId="14A7D6A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ו בפרק זה – עמ׳ 29.</w:t>
      </w:r>
    </w:p>
  </w:footnote>
  <w:footnote w:id="1150">
    <w:p w14:paraId="05E3AE0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הפסקה השביעית בפרק 4.2.</w:t>
      </w:r>
    </w:p>
  </w:footnote>
  <w:footnote w:id="1151">
    <w:p w14:paraId="0A98DE3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24.</w:t>
      </w:r>
    </w:p>
  </w:footnote>
  <w:footnote w:id="1152">
    <w:p w14:paraId="2591FEB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הפסקה השנייה של נספח כ להלן.</w:t>
      </w:r>
    </w:p>
  </w:footnote>
  <w:footnote w:id="1153">
    <w:p w14:paraId="6CE542F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האחרונים התכנסו סביב מקומו של הסבא בבית המדרש, כמתואר בתחילת פרק 4.2.</w:t>
      </w:r>
    </w:p>
  </w:footnote>
  <w:footnote w:id="1154">
    <w:p w14:paraId="3246D61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לדעתי, כינויי הגנאי הקטנוניים והפוגעניים הללו, שהם היפוכו של מוסר, היו אפשריים בכנסת ישראל רק קודם לתקופת המוסר </w:t>
      </w:r>
      <w:proofErr w:type="spellStart"/>
      <w:r>
        <w:rPr>
          <w:sz w:val="20"/>
          <w:szCs w:val="20"/>
          <w:rtl/>
        </w:rPr>
        <w:t>הסלבודקאי</w:t>
      </w:r>
      <w:proofErr w:type="spellEnd"/>
      <w:r>
        <w:rPr>
          <w:sz w:val="20"/>
          <w:szCs w:val="20"/>
          <w:rtl/>
        </w:rPr>
        <w:t xml:space="preserve"> המיוחד, שהחלה אחרי תרס״ה, כמסופר להלן.</w:t>
      </w:r>
    </w:p>
  </w:footnote>
  <w:footnote w:id="1155">
    <w:p w14:paraId="628F505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גם מכתבו של הלוי המצוטט בפסקה השנייה של נספח </w:t>
      </w:r>
      <w:proofErr w:type="spellStart"/>
      <w:r>
        <w:rPr>
          <w:sz w:val="20"/>
          <w:szCs w:val="20"/>
          <w:rtl/>
        </w:rPr>
        <w:t>יז</w:t>
      </w:r>
      <w:proofErr w:type="spellEnd"/>
      <w:r>
        <w:rPr>
          <w:sz w:val="20"/>
          <w:szCs w:val="20"/>
          <w:rtl/>
        </w:rPr>
        <w:t xml:space="preserve"> בפרק זה.</w:t>
      </w:r>
    </w:p>
  </w:footnote>
  <w:footnote w:id="1156">
    <w:p w14:paraId="2F0B329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נספח ו, ופרק 5, הערה 28.</w:t>
      </w:r>
    </w:p>
  </w:footnote>
  <w:footnote w:id="1157">
    <w:p w14:paraId="5B9FA74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כץ, “תנועת המוסר”, כרך ג, עמ׳ 51–53, </w:t>
      </w:r>
      <w:proofErr w:type="spellStart"/>
      <w:r>
        <w:rPr>
          <w:sz w:val="20"/>
          <w:szCs w:val="20"/>
          <w:rtl/>
        </w:rPr>
        <w:t>ו“פולמוס</w:t>
      </w:r>
      <w:proofErr w:type="spellEnd"/>
      <w:r>
        <w:rPr>
          <w:sz w:val="20"/>
          <w:szCs w:val="20"/>
          <w:rtl/>
        </w:rPr>
        <w:t xml:space="preserve"> המוסר”, עמ׳ 264–268.</w:t>
      </w:r>
    </w:p>
  </w:footnote>
  <w:footnote w:id="1158">
    <w:p w14:paraId="16E187B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דבורץ</w:t>
      </w:r>
      <w:proofErr w:type="spellEnd"/>
      <w:r>
        <w:rPr>
          <w:sz w:val="20"/>
          <w:szCs w:val="20"/>
          <w:rtl/>
        </w:rPr>
        <w:t xml:space="preserve">, “הגאון רבי משה מרדכי אפשטיין”, עמ׳ 34. השווה גם הפסקה השלישית של נספח </w:t>
      </w:r>
      <w:proofErr w:type="spellStart"/>
      <w:r>
        <w:rPr>
          <w:sz w:val="20"/>
          <w:szCs w:val="20"/>
          <w:rtl/>
        </w:rPr>
        <w:t>כו</w:t>
      </w:r>
      <w:proofErr w:type="spellEnd"/>
      <w:r>
        <w:rPr>
          <w:sz w:val="20"/>
          <w:szCs w:val="20"/>
          <w:rtl/>
        </w:rPr>
        <w:t xml:space="preserve"> להלן, שבה מצוטט רבנו כאומר שהספר שנבחר לביזוי היה דווקא “אור ישראל” של ר׳ </w:t>
      </w:r>
      <w:proofErr w:type="spellStart"/>
      <w:r>
        <w:rPr>
          <w:sz w:val="20"/>
          <w:szCs w:val="20"/>
          <w:rtl/>
        </w:rPr>
        <w:t>איצל׳ה</w:t>
      </w:r>
      <w:proofErr w:type="spellEnd"/>
      <w:r>
        <w:rPr>
          <w:sz w:val="20"/>
          <w:szCs w:val="20"/>
          <w:rtl/>
        </w:rPr>
        <w:t xml:space="preserve"> </w:t>
      </w:r>
      <w:proofErr w:type="spellStart"/>
      <w:r>
        <w:rPr>
          <w:sz w:val="20"/>
          <w:szCs w:val="20"/>
          <w:rtl/>
        </w:rPr>
        <w:t>בלאזר</w:t>
      </w:r>
      <w:proofErr w:type="spellEnd"/>
      <w:r>
        <w:rPr>
          <w:sz w:val="20"/>
          <w:szCs w:val="20"/>
          <w:rtl/>
        </w:rPr>
        <w:t>, מפני שהגן על תנועת המוסר.</w:t>
      </w:r>
    </w:p>
  </w:footnote>
  <w:footnote w:id="1159">
    <w:p w14:paraId="65205C6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58.</w:t>
      </w:r>
    </w:p>
  </w:footnote>
  <w:footnote w:id="1160">
    <w:p w14:paraId="2585F55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בריאיון ב־27 במאי 2002, כשכתיבת ספר זה התקרבה לסיומה. על אביו ראה עמ׳ </w:t>
      </w:r>
      <w:r>
        <w:rPr>
          <w:sz w:val="20"/>
          <w:szCs w:val="20"/>
          <w:rtl/>
        </w:rPr>
        <w:fldChar w:fldCharType="begin" w:dirty="true"/>
      </w:r>
      <w:r>
        <w:rPr>
          <w:sz w:val="20"/>
          <w:szCs w:val="20"/>
          <w:rtl/>
        </w:rPr>
        <w:instrText xml:space="preserve"> PAGEREF pr_b_2696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r>
        <w:rPr>
          <w:sz w:val="20"/>
          <w:szCs w:val="20"/>
          <w:rtl/>
        </w:rPr>
        <w:fldChar w:fldCharType="begin" w:dirty="true"/>
      </w:r>
      <w:r>
        <w:rPr>
          <w:sz w:val="20"/>
          <w:szCs w:val="20"/>
          <w:rtl/>
        </w:rPr>
        <w:instrText xml:space="preserve"> PAGEREF pr_b_2700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להלן.</w:t>
      </w:r>
    </w:p>
  </w:footnote>
  <w:footnote w:id="1161">
    <w:p w14:paraId="1F21281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נספח ו.</w:t>
      </w:r>
    </w:p>
  </w:footnote>
  <w:footnote w:id="1162">
    <w:p w14:paraId="560B403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2.</w:t>
      </w:r>
    </w:p>
  </w:footnote>
  <w:footnote w:id="1163">
    <w:p w14:paraId="08AB334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מסופר בספרו של כץ, “תנועת המוסר”, כרך ג, עמ׳ 53.</w:t>
      </w:r>
    </w:p>
  </w:footnote>
  <w:footnote w:id="1164">
    <w:p w14:paraId="2ADA241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הוצאת </w:t>
      </w:r>
      <w:proofErr w:type="spellStart"/>
      <w:r>
        <w:rPr>
          <w:sz w:val="20"/>
          <w:szCs w:val="20"/>
          <w:rtl/>
        </w:rPr>
        <w:t>ביקון</w:t>
      </w:r>
      <w:proofErr w:type="spellEnd"/>
      <w:r>
        <w:rPr>
          <w:sz w:val="20"/>
          <w:szCs w:val="20"/>
          <w:rtl/>
        </w:rPr>
        <w:t>, בוסטון, 1968 – עמ׳ 185.</w:t>
      </w:r>
    </w:p>
  </w:footnote>
  <w:footnote w:id="1165">
    <w:p w14:paraId="0DA6B01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 הערה 33, להסבר מילים אלו.</w:t>
      </w:r>
    </w:p>
  </w:footnote>
  <w:footnote w:id="1166">
    <w:p w14:paraId="4EBF1FC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ואילו בעלי המוסר של </w:t>
      </w:r>
      <w:proofErr w:type="spellStart"/>
      <w:r>
        <w:rPr>
          <w:sz w:val="20"/>
          <w:szCs w:val="20"/>
          <w:rtl/>
        </w:rPr>
        <w:t>נובהרדוק</w:t>
      </w:r>
      <w:proofErr w:type="spellEnd"/>
      <w:r>
        <w:rPr>
          <w:sz w:val="20"/>
          <w:szCs w:val="20"/>
          <w:rtl/>
        </w:rPr>
        <w:t xml:space="preserve"> אומרים: כשאי אפשר לעבור מעל, צריך לעבור מעל. פתגם זה מבטא את אדישותם המוחלטת לדעת הציבור – </w:t>
      </w:r>
      <w:proofErr w:type="spellStart"/>
      <w:r>
        <w:rPr>
          <w:sz w:val="20"/>
          <w:szCs w:val="20"/>
          <w:rtl/>
        </w:rPr>
        <w:t>שבסלבודקה</w:t>
      </w:r>
      <w:proofErr w:type="spellEnd"/>
      <w:r>
        <w:rPr>
          <w:sz w:val="20"/>
          <w:szCs w:val="20"/>
          <w:rtl/>
        </w:rPr>
        <w:t xml:space="preserve"> מקפידים להתחשב בה. (ראה סוף הפסקה הראשונה בהערה 51 לעיל, ופרק 5, נספח א.)</w:t>
      </w:r>
    </w:p>
  </w:footnote>
  <w:footnote w:id="1167">
    <w:p w14:paraId="1531F31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ו בפרק זה – עמ׳ 34–35.</w:t>
      </w:r>
    </w:p>
  </w:footnote>
  <w:footnote w:id="1168">
    <w:p w14:paraId="3846F01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מרדכי </w:t>
      </w:r>
      <w:proofErr w:type="spellStart"/>
      <w:r>
        <w:rPr>
          <w:sz w:val="20"/>
          <w:szCs w:val="20"/>
          <w:rtl/>
        </w:rPr>
        <w:t>קרלינסקי</w:t>
      </w:r>
      <w:proofErr w:type="spellEnd"/>
      <w:r>
        <w:rPr>
          <w:sz w:val="20"/>
          <w:szCs w:val="20"/>
          <w:rtl/>
        </w:rPr>
        <w:t>, ריאיון ב־28 בדצמבר 1986.</w:t>
      </w:r>
    </w:p>
  </w:footnote>
  <w:footnote w:id="1169">
    <w:p w14:paraId="1474F06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ב בפרק זה – עמ׳ </w:t>
      </w:r>
      <w:proofErr w:type="spellStart"/>
      <w:r>
        <w:rPr>
          <w:sz w:val="20"/>
          <w:szCs w:val="20"/>
          <w:rtl/>
        </w:rPr>
        <w:t>שכג</w:t>
      </w:r>
      <w:proofErr w:type="spellEnd"/>
      <w:r>
        <w:rPr>
          <w:sz w:val="20"/>
          <w:szCs w:val="20"/>
          <w:rtl/>
        </w:rPr>
        <w:t>.</w:t>
      </w:r>
    </w:p>
  </w:footnote>
  <w:footnote w:id="1170">
    <w:p w14:paraId="65368D2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שיד.</w:t>
      </w:r>
    </w:p>
  </w:footnote>
  <w:footnote w:id="1171">
    <w:p w14:paraId="78D2222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ב״ק</w:t>
      </w:r>
      <w:proofErr w:type="spellEnd"/>
      <w:r>
        <w:rPr>
          <w:sz w:val="20"/>
          <w:szCs w:val="20"/>
          <w:rtl/>
        </w:rPr>
        <w:t xml:space="preserve"> נ ע״א.</w:t>
      </w:r>
    </w:p>
  </w:footnote>
  <w:footnote w:id="1172">
    <w:p w14:paraId="30751E3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77 להלן.</w:t>
      </w:r>
    </w:p>
  </w:footnote>
  <w:footnote w:id="1173">
    <w:p w14:paraId="1814FB2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שכד.</w:t>
      </w:r>
    </w:p>
  </w:footnote>
  <w:footnote w:id="1174">
    <w:p w14:paraId="77F2B79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4, הערה 127, המספר שכבר </w:t>
      </w:r>
      <w:proofErr w:type="spellStart"/>
      <w:r>
        <w:rPr>
          <w:sz w:val="20"/>
          <w:szCs w:val="20"/>
          <w:rtl/>
        </w:rPr>
        <w:t>בתרס״ו</w:t>
      </w:r>
      <w:proofErr w:type="spellEnd"/>
      <w:r>
        <w:rPr>
          <w:sz w:val="20"/>
          <w:szCs w:val="20"/>
          <w:rtl/>
        </w:rPr>
        <w:t xml:space="preserve"> נתפסה </w:t>
      </w:r>
      <w:proofErr w:type="spellStart"/>
      <w:r>
        <w:rPr>
          <w:sz w:val="20"/>
          <w:szCs w:val="20"/>
          <w:rtl/>
        </w:rPr>
        <w:t>סלבודקה</w:t>
      </w:r>
      <w:proofErr w:type="spellEnd"/>
      <w:r>
        <w:rPr>
          <w:sz w:val="20"/>
          <w:szCs w:val="20"/>
          <w:rtl/>
        </w:rPr>
        <w:t xml:space="preserve"> בעיני תלמידי </w:t>
      </w:r>
      <w:proofErr w:type="spellStart"/>
      <w:r>
        <w:rPr>
          <w:sz w:val="20"/>
          <w:szCs w:val="20"/>
          <w:rtl/>
        </w:rPr>
        <w:t>טלז</w:t>
      </w:r>
      <w:proofErr w:type="spellEnd"/>
      <w:r>
        <w:rPr>
          <w:sz w:val="20"/>
          <w:szCs w:val="20"/>
          <w:rtl/>
        </w:rPr>
        <w:t xml:space="preserve"> כדוגלת </w:t>
      </w:r>
      <w:proofErr w:type="spellStart"/>
      <w:r>
        <w:rPr>
          <w:sz w:val="20"/>
          <w:szCs w:val="20"/>
          <w:rtl/>
        </w:rPr>
        <w:t>ב“חיטוט</w:t>
      </w:r>
      <w:proofErr w:type="spellEnd"/>
      <w:r>
        <w:rPr>
          <w:sz w:val="20"/>
          <w:szCs w:val="20"/>
          <w:rtl/>
        </w:rPr>
        <w:t xml:space="preserve"> ובדיקת נפשות” התלמידים. השווה גם פרק 4, סוף הערה 49, שבו מתאר בוגר </w:t>
      </w:r>
      <w:proofErr w:type="spellStart"/>
      <w:r>
        <w:rPr>
          <w:sz w:val="20"/>
          <w:szCs w:val="20"/>
          <w:rtl/>
        </w:rPr>
        <w:t>סלבודקה</w:t>
      </w:r>
      <w:proofErr w:type="spellEnd"/>
      <w:r>
        <w:rPr>
          <w:sz w:val="20"/>
          <w:szCs w:val="20"/>
          <w:rtl/>
        </w:rPr>
        <w:t xml:space="preserve"> מפורסם את הרב שר כמי שאינו תואם לגמרי את דרכו של הסבא </w:t>
      </w:r>
      <w:proofErr w:type="spellStart"/>
      <w:r>
        <w:rPr>
          <w:sz w:val="20"/>
          <w:szCs w:val="20"/>
          <w:rtl/>
        </w:rPr>
        <w:t>מסלבודקה</w:t>
      </w:r>
      <w:proofErr w:type="spellEnd"/>
      <w:r>
        <w:rPr>
          <w:sz w:val="20"/>
          <w:szCs w:val="20"/>
          <w:rtl/>
        </w:rPr>
        <w:t>.</w:t>
      </w:r>
    </w:p>
  </w:footnote>
  <w:footnote w:id="1175">
    <w:p w14:paraId="357AFCB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הוצאת ראובן מס בע״מ, ירושלים – עמ׳ 118–119.</w:t>
      </w:r>
    </w:p>
  </w:footnote>
  <w:footnote w:id="1176">
    <w:p w14:paraId="4A3CF97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לאמונו של הקב״ה באנושות ראה ספרי דברים, אות </w:t>
      </w:r>
      <w:proofErr w:type="spellStart"/>
      <w:r>
        <w:rPr>
          <w:sz w:val="20"/>
          <w:szCs w:val="20"/>
          <w:rtl/>
        </w:rPr>
        <w:t>שז</w:t>
      </w:r>
      <w:proofErr w:type="spellEnd"/>
      <w:r>
        <w:rPr>
          <w:sz w:val="20"/>
          <w:szCs w:val="20"/>
          <w:rtl/>
        </w:rPr>
        <w:t xml:space="preserve">: “‘א־ל אמונה’: שהאמין בעולמו ובראו”. השווה גם אמצע הפסקה השלישית בנספח יד בפרק זה, בדבר יחסי </w:t>
      </w:r>
      <w:proofErr w:type="spellStart"/>
      <w:r>
        <w:rPr>
          <w:sz w:val="20"/>
          <w:szCs w:val="20"/>
          <w:rtl/>
        </w:rPr>
        <w:t>החזון־איש</w:t>
      </w:r>
      <w:proofErr w:type="spellEnd"/>
      <w:r>
        <w:rPr>
          <w:sz w:val="20"/>
          <w:szCs w:val="20"/>
          <w:rtl/>
        </w:rPr>
        <w:t xml:space="preserve"> עם בעלי המוסר.</w:t>
      </w:r>
    </w:p>
  </w:footnote>
  <w:footnote w:id="1177">
    <w:p w14:paraId="203B9BB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מכון ירושלים, </w:t>
      </w:r>
      <w:proofErr w:type="spellStart"/>
      <w:r>
        <w:rPr>
          <w:sz w:val="20"/>
          <w:szCs w:val="20"/>
          <w:rtl/>
        </w:rPr>
        <w:t>תשד״מ</w:t>
      </w:r>
      <w:proofErr w:type="spellEnd"/>
      <w:r>
        <w:rPr>
          <w:sz w:val="20"/>
          <w:szCs w:val="20"/>
          <w:rtl/>
        </w:rPr>
        <w:t xml:space="preserve"> – עמ׳ לג.</w:t>
      </w:r>
    </w:p>
  </w:footnote>
  <w:footnote w:id="1178">
    <w:p w14:paraId="29D229A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הערה 13.</w:t>
      </w:r>
    </w:p>
  </w:footnote>
  <w:footnote w:id="1179">
    <w:p w14:paraId="7E95BC6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הריאיון המוקלט על הסבא </w:t>
      </w:r>
      <w:proofErr w:type="spellStart"/>
      <w:r>
        <w:rPr>
          <w:sz w:val="20"/>
          <w:szCs w:val="20"/>
          <w:rtl/>
        </w:rPr>
        <w:t>מסלבודקה</w:t>
      </w:r>
      <w:proofErr w:type="spellEnd"/>
      <w:r>
        <w:rPr>
          <w:sz w:val="20"/>
          <w:szCs w:val="20"/>
          <w:rtl/>
        </w:rPr>
        <w:t xml:space="preserve"> – נספח א בפרק זה.</w:t>
      </w:r>
    </w:p>
  </w:footnote>
  <w:footnote w:id="1180">
    <w:p w14:paraId="516953C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77. כץ, מחבר הסדרה, ראיין בעיקר תלמידים מתקופה זו.</w:t>
      </w:r>
    </w:p>
  </w:footnote>
  <w:footnote w:id="1181">
    <w:p w14:paraId="50BF87C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2, הערה 94.</w:t>
      </w:r>
    </w:p>
  </w:footnote>
  <w:footnote w:id="1182">
    <w:p w14:paraId="5EC7D32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 בינואר 1987.</w:t>
      </w:r>
    </w:p>
  </w:footnote>
  <w:footnote w:id="1183">
    <w:p w14:paraId="32FB4E9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י בפרק זה – עמ׳ 42.</w:t>
      </w:r>
    </w:p>
  </w:footnote>
  <w:footnote w:id="1184">
    <w:p w14:paraId="6E01BF4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ה בפרק זה.</w:t>
      </w:r>
    </w:p>
  </w:footnote>
  <w:footnote w:id="1185">
    <w:p w14:paraId="5414063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אבי השתמש במילים </w:t>
      </w:r>
      <w:proofErr w:type="spellStart"/>
      <w:r>
        <w:rPr>
          <w:sz w:val="20"/>
          <w:szCs w:val="20"/>
          <w:rtl/>
        </w:rPr>
        <w:t>היידיות</w:t>
      </w:r>
      <w:proofErr w:type="spellEnd"/>
      <w:r>
        <w:rPr>
          <w:sz w:val="20"/>
          <w:szCs w:val="20"/>
          <w:rtl/>
        </w:rPr>
        <w:t xml:space="preserve"> “האט </w:t>
      </w:r>
      <w:proofErr w:type="spellStart"/>
      <w:r>
        <w:rPr>
          <w:sz w:val="20"/>
          <w:szCs w:val="20"/>
          <w:rtl/>
        </w:rPr>
        <w:t>קאנטראלירט</w:t>
      </w:r>
      <w:proofErr w:type="spellEnd"/>
      <w:r>
        <w:rPr>
          <w:sz w:val="20"/>
          <w:szCs w:val="20"/>
          <w:rtl/>
        </w:rPr>
        <w:t>” [פיקח], שפירושן המילולי הוא “שלט” או “בדק”.</w:t>
      </w:r>
    </w:p>
  </w:footnote>
  <w:footnote w:id="1186">
    <w:p w14:paraId="1F4077A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הערה 1.</w:t>
      </w:r>
    </w:p>
  </w:footnote>
  <w:footnote w:id="1187">
    <w:p w14:paraId="073C0B0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אבי חזר על חילופי הדברים האלה (ובכללם התוספת שבמשפט השני) באוזני ר׳ ישראל </w:t>
      </w:r>
      <w:proofErr w:type="spellStart"/>
      <w:r>
        <w:rPr>
          <w:sz w:val="20"/>
          <w:szCs w:val="20"/>
          <w:rtl/>
        </w:rPr>
        <w:t>בלסקי</w:t>
      </w:r>
      <w:proofErr w:type="spellEnd"/>
      <w:r>
        <w:rPr>
          <w:sz w:val="20"/>
          <w:szCs w:val="20"/>
          <w:rtl/>
        </w:rPr>
        <w:t xml:space="preserve">, שהעלה אותם על הכתב במאמר זיכרון שלא נדפס, ונתן לי העתק ממנו ב־13 במרץ 1988. מאמר הזיכרון לרבנו </w:t>
      </w:r>
      <w:proofErr w:type="spellStart"/>
      <w:r>
        <w:rPr>
          <w:sz w:val="20"/>
          <w:szCs w:val="20"/>
          <w:rtl/>
        </w:rPr>
        <w:t>בג׳ואיש</w:t>
      </w:r>
      <w:proofErr w:type="spellEnd"/>
      <w:r>
        <w:rPr>
          <w:sz w:val="20"/>
          <w:szCs w:val="20"/>
          <w:rtl/>
        </w:rPr>
        <w:t xml:space="preserve"> </w:t>
      </w:r>
      <w:proofErr w:type="spellStart"/>
      <w:r>
        <w:rPr>
          <w:sz w:val="20"/>
          <w:szCs w:val="20"/>
          <w:rtl/>
        </w:rPr>
        <w:t>אובזרבר</w:t>
      </w:r>
      <w:proofErr w:type="spellEnd"/>
      <w:r>
        <w:rPr>
          <w:sz w:val="20"/>
          <w:szCs w:val="20"/>
          <w:rtl/>
        </w:rPr>
        <w:t xml:space="preserve"> (גיליון אייר תשמ״ו) מתאר את חילופי הדברים בין אבי ובין ראשי הקהילה בטורונטו באופן שונה מעט: הם שאלו אם הוא חסיד, והוא השיב: “כן, אבל הרבי שלי היה ‘</w:t>
      </w:r>
      <w:proofErr w:type="spellStart"/>
      <w:r>
        <w:rPr>
          <w:sz w:val="20"/>
          <w:szCs w:val="20"/>
          <w:rtl/>
        </w:rPr>
        <w:t>ליטוואק</w:t>
      </w:r>
      <w:proofErr w:type="spellEnd"/>
      <w:r>
        <w:rPr>
          <w:sz w:val="20"/>
          <w:szCs w:val="20"/>
          <w:rtl/>
        </w:rPr>
        <w:t>’.” יהיה הנוסח המדויק של השיחה אשר יהיה, “</w:t>
      </w:r>
      <w:proofErr w:type="spellStart"/>
      <w:r>
        <w:rPr>
          <w:sz w:val="20"/>
          <w:szCs w:val="20"/>
          <w:rtl/>
        </w:rPr>
        <w:t>ליטוואק</w:t>
      </w:r>
      <w:proofErr w:type="spellEnd"/>
      <w:r>
        <w:rPr>
          <w:sz w:val="20"/>
          <w:szCs w:val="20"/>
          <w:rtl/>
        </w:rPr>
        <w:t>” היה הכינוי שבו כינו אבי ובני שיחו מתנגד.</w:t>
      </w:r>
    </w:p>
  </w:footnote>
  <w:footnote w:id="1188">
    <w:p w14:paraId="2580DE7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ה בפרק זה.</w:t>
      </w:r>
    </w:p>
  </w:footnote>
  <w:footnote w:id="1189">
    <w:p w14:paraId="5BE2846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2, הערה 93.</w:t>
      </w:r>
    </w:p>
  </w:footnote>
  <w:footnote w:id="1190">
    <w:p w14:paraId="1BFDED6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2.</w:t>
      </w:r>
    </w:p>
  </w:footnote>
  <w:footnote w:id="1191">
    <w:p w14:paraId="7788A88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68 לעיל.</w:t>
      </w:r>
    </w:p>
  </w:footnote>
  <w:footnote w:id="1192">
    <w:p w14:paraId="50B5703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ביטוי המבוסס על גיטין נט ע״א.</w:t>
      </w:r>
    </w:p>
  </w:footnote>
  <w:footnote w:id="1193">
    <w:p w14:paraId="5BA005D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2, שבו פרטים נוספים על הרב טרכטנברג.</w:t>
      </w:r>
    </w:p>
  </w:footnote>
  <w:footnote w:id="1194">
    <w:p w14:paraId="250BF01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אני סבור שבמילה הזאת ביקש אבי לומר לה שגם אם פקע עם נישואיה מחדש הקשר שלה לבעלה הראשון, ידידו היקר מאוד של רבנו, היא נשארה במחשבתו בזכות קשריו עם אביה, כפי שכתב בהמשך. בניגוד להנחתו של רבנו, נישואיה מחדש לא ניתקו אותה כליל מבעלה שנספה: לילדה מנישואיה השניים קראה שלמה, על שם בעלה הראשון! הסכמתו של בעלה החדש, ר׳ </w:t>
      </w:r>
      <w:proofErr w:type="spellStart"/>
      <w:r>
        <w:rPr>
          <w:sz w:val="20"/>
          <w:szCs w:val="20"/>
          <w:rtl/>
        </w:rPr>
        <w:t>יוסף־אריה</w:t>
      </w:r>
      <w:proofErr w:type="spellEnd"/>
      <w:r>
        <w:rPr>
          <w:sz w:val="20"/>
          <w:szCs w:val="20"/>
          <w:rtl/>
        </w:rPr>
        <w:t xml:space="preserve"> פולק, לתת לילדו את השם הזה מעידה כאלף עדים על עדינותו; זכיתי להכירו.</w:t>
      </w:r>
    </w:p>
  </w:footnote>
  <w:footnote w:id="1195">
    <w:p w14:paraId="5606F2B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31 ביולי 1994.</w:t>
      </w:r>
    </w:p>
  </w:footnote>
  <w:footnote w:id="1196">
    <w:p w14:paraId="639ACF3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18 בנובמבר 1994.</w:t>
      </w:r>
    </w:p>
  </w:footnote>
  <w:footnote w:id="1197">
    <w:p w14:paraId="450D592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משלחת זו לגיוס כספים נזכרה בעמ׳ </w:t>
      </w:r>
      <w:r>
        <w:rPr>
          <w:sz w:val="20"/>
          <w:szCs w:val="20"/>
          <w:rtl/>
        </w:rPr>
        <w:fldChar w:fldCharType="begin" w:dirty="true"/>
      </w:r>
      <w:r>
        <w:rPr>
          <w:sz w:val="20"/>
          <w:szCs w:val="20"/>
          <w:rtl/>
        </w:rPr>
        <w:instrText xml:space="preserve"> PAGEREF pr_b_1310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להלן; והשווה כרך 2.</w:t>
      </w:r>
    </w:p>
  </w:footnote>
  <w:footnote w:id="1198">
    <w:p w14:paraId="2C22595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 לייזר גולדשמידט, ריאיון, 21 בנובמבר 1991.</w:t>
      </w:r>
    </w:p>
  </w:footnote>
  <w:footnote w:id="1199">
    <w:p w14:paraId="3CCABB4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8 בנובמבר 1994.</w:t>
      </w:r>
    </w:p>
  </w:footnote>
  <w:footnote w:id="1200">
    <w:p w14:paraId="487F1D4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י בפרק זה – עמ׳ 42. הטעם המובא כאן לשמו המוזר של מתים </w:t>
      </w:r>
      <w:proofErr w:type="spellStart"/>
      <w:r>
        <w:rPr>
          <w:sz w:val="20"/>
          <w:szCs w:val="20"/>
          <w:rtl/>
        </w:rPr>
        <w:t>גאס</w:t>
      </w:r>
      <w:proofErr w:type="spellEnd"/>
      <w:r>
        <w:rPr>
          <w:sz w:val="20"/>
          <w:szCs w:val="20"/>
          <w:rtl/>
        </w:rPr>
        <w:t xml:space="preserve"> [רחוב המתים] הוצע שם, עמ׳ 72.</w:t>
      </w:r>
    </w:p>
  </w:footnote>
  <w:footnote w:id="1201">
    <w:p w14:paraId="4F933D7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פרק 4, הערה 96, והשווה כרך 2 בעניין פירושו של רבנו </w:t>
      </w:r>
      <w:proofErr w:type="spellStart"/>
      <w:r>
        <w:rPr>
          <w:sz w:val="20"/>
          <w:szCs w:val="20"/>
          <w:rtl/>
        </w:rPr>
        <w:t>ל“שב</w:t>
      </w:r>
      <w:proofErr w:type="spellEnd"/>
      <w:r>
        <w:rPr>
          <w:sz w:val="20"/>
          <w:szCs w:val="20"/>
          <w:rtl/>
        </w:rPr>
        <w:t xml:space="preserve"> </w:t>
      </w:r>
      <w:proofErr w:type="spellStart"/>
      <w:r>
        <w:rPr>
          <w:sz w:val="20"/>
          <w:szCs w:val="20"/>
          <w:rtl/>
        </w:rPr>
        <w:t>שמעתתא</w:t>
      </w:r>
      <w:proofErr w:type="spellEnd"/>
      <w:r>
        <w:rPr>
          <w:sz w:val="20"/>
          <w:szCs w:val="20"/>
          <w:rtl/>
        </w:rPr>
        <w:t>”.</w:t>
      </w:r>
    </w:p>
  </w:footnote>
  <w:footnote w:id="1202">
    <w:p w14:paraId="5EAA67D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3 באוגוסט 1999.</w:t>
      </w:r>
    </w:p>
  </w:footnote>
  <w:footnote w:id="1203">
    <w:p w14:paraId="4A5F240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מתוך בערל </w:t>
      </w:r>
      <w:proofErr w:type="spellStart"/>
      <w:r>
        <w:rPr>
          <w:sz w:val="20"/>
          <w:szCs w:val="20"/>
          <w:rtl/>
        </w:rPr>
        <w:t>קגן</w:t>
      </w:r>
      <w:proofErr w:type="spellEnd"/>
      <w:r>
        <w:rPr>
          <w:sz w:val="20"/>
          <w:szCs w:val="20"/>
          <w:rtl/>
        </w:rPr>
        <w:t xml:space="preserve"> (הערה 10 לעיל), עמ׳ 386.</w:t>
      </w:r>
    </w:p>
  </w:footnote>
  <w:footnote w:id="1204">
    <w:p w14:paraId="3EF6413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הביטוי לקוח מן התוספת הקבלית לספירת העומר.</w:t>
      </w:r>
    </w:p>
  </w:footnote>
  <w:footnote w:id="1205">
    <w:p w14:paraId="082FB91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ייתכן ששני הסיפורים נכונים. ר׳ </w:t>
      </w:r>
      <w:proofErr w:type="spellStart"/>
      <w:r>
        <w:rPr>
          <w:sz w:val="20"/>
          <w:szCs w:val="20"/>
          <w:rtl/>
        </w:rPr>
        <w:t>אריה־לייב</w:t>
      </w:r>
      <w:proofErr w:type="spellEnd"/>
      <w:r>
        <w:rPr>
          <w:sz w:val="20"/>
          <w:szCs w:val="20"/>
          <w:rtl/>
        </w:rPr>
        <w:t xml:space="preserve"> הכהן בא לבקש הסכמה </w:t>
      </w:r>
      <w:proofErr w:type="spellStart"/>
      <w:r>
        <w:rPr>
          <w:sz w:val="20"/>
          <w:szCs w:val="20"/>
          <w:rtl/>
        </w:rPr>
        <w:t>ל“קצות</w:t>
      </w:r>
      <w:proofErr w:type="spellEnd"/>
      <w:r>
        <w:rPr>
          <w:sz w:val="20"/>
          <w:szCs w:val="20"/>
          <w:rtl/>
        </w:rPr>
        <w:t xml:space="preserve">” שלו, וקיבל אותה לאחר המאורע שתואר תחילה. לאחר מכן התקיים הדיון התורני, ובתחילתו לא התרשם ממנו ר׳ </w:t>
      </w:r>
      <w:proofErr w:type="spellStart"/>
      <w:r>
        <w:rPr>
          <w:sz w:val="20"/>
          <w:szCs w:val="20"/>
          <w:rtl/>
        </w:rPr>
        <w:t>אברהם־אבל׳ה</w:t>
      </w:r>
      <w:proofErr w:type="spellEnd"/>
      <w:r>
        <w:rPr>
          <w:sz w:val="20"/>
          <w:szCs w:val="20"/>
          <w:rtl/>
        </w:rPr>
        <w:t>.</w:t>
      </w:r>
    </w:p>
  </w:footnote>
  <w:footnote w:id="1206">
    <w:p w14:paraId="29DB607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42 לעיל – עמ׳ 16.</w:t>
      </w:r>
    </w:p>
  </w:footnote>
  <w:footnote w:id="1207">
    <w:p w14:paraId="6011BF2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23 באוקטובר 1987.</w:t>
      </w:r>
    </w:p>
  </w:footnote>
  <w:footnote w:id="1208">
    <w:p w14:paraId="23DE2A6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21 בדצמבר 1987.</w:t>
      </w:r>
    </w:p>
  </w:footnote>
  <w:footnote w:id="1209">
    <w:p w14:paraId="1D0DB45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לפי כץ, “תנועת המוסר”, כרך ג, עמ׳ 49. ראה גם סוף הפסקה השנייה בנספח י בפרק זה.</w:t>
      </w:r>
    </w:p>
  </w:footnote>
  <w:footnote w:id="1210">
    <w:p w14:paraId="31CB6DC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הערות 44 ו־42, ותחילת נספח כ בפרק זה.</w:t>
      </w:r>
    </w:p>
  </w:footnote>
  <w:footnote w:id="1211">
    <w:p w14:paraId="643F49C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סוף הפסקה השנייה בנספח י בפרק זה.</w:t>
      </w:r>
    </w:p>
  </w:footnote>
  <w:footnote w:id="1212">
    <w:p w14:paraId="6AFE330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סיפר ר׳ יצחק </w:t>
      </w:r>
      <w:proofErr w:type="spellStart"/>
      <w:r>
        <w:rPr>
          <w:sz w:val="20"/>
          <w:szCs w:val="20"/>
          <w:rtl/>
        </w:rPr>
        <w:t>קנובל</w:t>
      </w:r>
      <w:proofErr w:type="spellEnd"/>
      <w:r>
        <w:rPr>
          <w:sz w:val="20"/>
          <w:szCs w:val="20"/>
          <w:rtl/>
        </w:rPr>
        <w:t xml:space="preserve"> (פרק 1, נספח ג). ראה גם סוף הערה 115 להלן.</w:t>
      </w:r>
    </w:p>
  </w:footnote>
  <w:footnote w:id="1213">
    <w:p w14:paraId="34F793C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הערת השוליים השנייה בנספח </w:t>
      </w:r>
      <w:proofErr w:type="spellStart"/>
      <w:r>
        <w:rPr>
          <w:sz w:val="20"/>
          <w:szCs w:val="20"/>
          <w:rtl/>
        </w:rPr>
        <w:t>יט</w:t>
      </w:r>
      <w:proofErr w:type="spellEnd"/>
      <w:r>
        <w:rPr>
          <w:sz w:val="20"/>
          <w:szCs w:val="20"/>
          <w:rtl/>
        </w:rPr>
        <w:t xml:space="preserve"> בפרק זה.</w:t>
      </w:r>
    </w:p>
  </w:footnote>
  <w:footnote w:id="1214">
    <w:p w14:paraId="18ED91E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היברו </w:t>
      </w:r>
      <w:proofErr w:type="spellStart"/>
      <w:r>
        <w:rPr>
          <w:sz w:val="20"/>
          <w:szCs w:val="20"/>
          <w:rtl/>
        </w:rPr>
        <w:t>פבלישינג</w:t>
      </w:r>
      <w:proofErr w:type="spellEnd"/>
      <w:r>
        <w:rPr>
          <w:sz w:val="20"/>
          <w:szCs w:val="20"/>
          <w:rtl/>
        </w:rPr>
        <w:t xml:space="preserve"> </w:t>
      </w:r>
      <w:proofErr w:type="spellStart"/>
      <w:r>
        <w:rPr>
          <w:sz w:val="20"/>
          <w:szCs w:val="20"/>
          <w:rtl/>
        </w:rPr>
        <w:t>קומפני</w:t>
      </w:r>
      <w:proofErr w:type="spellEnd"/>
      <w:r>
        <w:rPr>
          <w:sz w:val="20"/>
          <w:szCs w:val="20"/>
          <w:rtl/>
        </w:rPr>
        <w:t>, ניו יורק, 1929, עמ׳ 90. כרך זה הוא בעיקרו תרגום של ספרו ביידיש “</w:t>
      </w:r>
      <w:proofErr w:type="spellStart"/>
      <w:r>
        <w:rPr>
          <w:sz w:val="20"/>
          <w:szCs w:val="20"/>
          <w:rtl/>
        </w:rPr>
        <w:t>מאסליאנסקי׳ס</w:t>
      </w:r>
      <w:proofErr w:type="spellEnd"/>
      <w:r>
        <w:rPr>
          <w:sz w:val="20"/>
          <w:szCs w:val="20"/>
          <w:rtl/>
        </w:rPr>
        <w:t xml:space="preserve"> </w:t>
      </w:r>
      <w:proofErr w:type="spellStart"/>
      <w:r>
        <w:rPr>
          <w:sz w:val="20"/>
          <w:szCs w:val="20"/>
          <w:rtl/>
        </w:rPr>
        <w:t>זכרונות</w:t>
      </w:r>
      <w:proofErr w:type="spellEnd"/>
      <w:r>
        <w:rPr>
          <w:sz w:val="20"/>
          <w:szCs w:val="20"/>
          <w:rtl/>
        </w:rPr>
        <w:t xml:space="preserve">” [זיכרונות </w:t>
      </w:r>
      <w:proofErr w:type="spellStart"/>
      <w:r>
        <w:rPr>
          <w:sz w:val="20"/>
          <w:szCs w:val="20"/>
          <w:rtl/>
        </w:rPr>
        <w:t>מסליאנסקי</w:t>
      </w:r>
      <w:proofErr w:type="spellEnd"/>
      <w:r>
        <w:rPr>
          <w:sz w:val="20"/>
          <w:szCs w:val="20"/>
          <w:rtl/>
        </w:rPr>
        <w:t xml:space="preserve">], שיצא בהוצאת </w:t>
      </w:r>
      <w:proofErr w:type="spellStart"/>
      <w:r>
        <w:rPr>
          <w:sz w:val="20"/>
          <w:szCs w:val="20"/>
          <w:rtl/>
        </w:rPr>
        <w:t>טוברג</w:t>
      </w:r>
      <w:proofErr w:type="spellEnd"/>
      <w:r>
        <w:rPr>
          <w:sz w:val="20"/>
          <w:szCs w:val="20"/>
          <w:rtl/>
        </w:rPr>
        <w:t xml:space="preserve"> פרס, ניו יורק, בשנת 1924.</w:t>
      </w:r>
    </w:p>
  </w:footnote>
  <w:footnote w:id="1215">
    <w:p w14:paraId="6D03763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1 לעיל.</w:t>
      </w:r>
    </w:p>
  </w:footnote>
  <w:footnote w:id="1216">
    <w:p w14:paraId="38DA8B9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303.</w:t>
      </w:r>
    </w:p>
  </w:footnote>
  <w:footnote w:id="1217">
    <w:p w14:paraId="3329426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הערה 20.</w:t>
      </w:r>
    </w:p>
  </w:footnote>
  <w:footnote w:id="1218">
    <w:p w14:paraId="50E5EFA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2, הערה 94.</w:t>
      </w:r>
    </w:p>
  </w:footnote>
  <w:footnote w:id="1219">
    <w:p w14:paraId="2028431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ב בפרק זה, עמ׳ 40–44.</w:t>
      </w:r>
    </w:p>
  </w:footnote>
  <w:footnote w:id="1220">
    <w:p w14:paraId="43A1DC1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פרק 5, תחילת נספח ד.</w:t>
      </w:r>
    </w:p>
  </w:footnote>
  <w:footnote w:id="1221">
    <w:p w14:paraId="3385FE7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45.</w:t>
      </w:r>
    </w:p>
  </w:footnote>
  <w:footnote w:id="1222">
    <w:p w14:paraId="367F91A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2, נספח ג.</w:t>
      </w:r>
    </w:p>
  </w:footnote>
  <w:footnote w:id="1223">
    <w:p w14:paraId="570310D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2.</w:t>
      </w:r>
    </w:p>
  </w:footnote>
  <w:footnote w:id="1224">
    <w:p w14:paraId="2BA95D1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ו בפרק זה, עמ׳ קנט.</w:t>
      </w:r>
    </w:p>
  </w:footnote>
  <w:footnote w:id="1225">
    <w:p w14:paraId="1B6557E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27 בנובמבר 1987.</w:t>
      </w:r>
    </w:p>
  </w:footnote>
  <w:footnote w:id="1226">
    <w:p w14:paraId="19E93DB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15 באפריל 1993.</w:t>
      </w:r>
    </w:p>
  </w:footnote>
  <w:footnote w:id="1227">
    <w:p w14:paraId="23F23DD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סוף הערה 68 לעיל.</w:t>
      </w:r>
    </w:p>
  </w:footnote>
  <w:footnote w:id="1228">
    <w:p w14:paraId="1F3A8A0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להלן בסעיף זה.</w:t>
      </w:r>
    </w:p>
  </w:footnote>
  <w:footnote w:id="1229">
    <w:p w14:paraId="23CE78ED" w14:textId="77777777" w:rsidR="00AB3647" w:rsidRDefault="00000000">
      <w:pPr>
        <w:spacing w:after="0" w:before="0"/>
        <w:jc w:val="both"/>
      </w:pPr>
      <w:r>
        <w:rPr>
          <w:rStyle w:val="a5"/>
          <w:sz w:val="20"/>
          <w:szCs w:val="20"/>
          <w:vertAlign w:val="baseline"/>
        </w:rPr>
        <w:footnoteRef/>
      </w:r>
      <w:r>
        <w:rPr>
          <w:sz w:val="20"/>
          <w:szCs w:val="20"/>
          <w:rtl/>
        </w:rPr>
        <w:t xml:space="preserve">. מקרה אחר שבו חשה הנהלת הישיבה אשמה על שהזניחה בחור צעיר אירע כעשר שנים קודם לכן, ונודע לי ב־17 באפריל 2002, כשכתיבת ספר זה התקרבה לסיומה. ר׳ דוד ויסקי סיפר שסבו ר׳ </w:t>
      </w:r>
      <w:proofErr w:type="spellStart"/>
      <w:r>
        <w:rPr>
          <w:sz w:val="20"/>
          <w:szCs w:val="20"/>
          <w:rtl/>
        </w:rPr>
        <w:t>ישראל־זיסל</w:t>
      </w:r>
      <w:proofErr w:type="spellEnd"/>
      <w:r>
        <w:rPr>
          <w:sz w:val="20"/>
          <w:szCs w:val="20"/>
          <w:rtl/>
        </w:rPr>
        <w:t xml:space="preserve"> </w:t>
      </w:r>
      <w:proofErr w:type="spellStart"/>
      <w:r>
        <w:rPr>
          <w:sz w:val="20"/>
          <w:szCs w:val="20"/>
          <w:rtl/>
        </w:rPr>
        <w:t>דבורץ</w:t>
      </w:r>
      <w:proofErr w:type="spellEnd"/>
      <w:r>
        <w:rPr>
          <w:sz w:val="20"/>
          <w:szCs w:val="20"/>
          <w:rtl/>
        </w:rPr>
        <w:t xml:space="preserve">, שבא </w:t>
      </w:r>
      <w:proofErr w:type="spellStart"/>
      <w:r>
        <w:rPr>
          <w:sz w:val="20"/>
          <w:szCs w:val="20"/>
          <w:rtl/>
        </w:rPr>
        <w:t>לסלבודקה</w:t>
      </w:r>
      <w:proofErr w:type="spellEnd"/>
      <w:r>
        <w:rPr>
          <w:sz w:val="20"/>
          <w:szCs w:val="20"/>
          <w:rtl/>
        </w:rPr>
        <w:t xml:space="preserve"> בלי </w:t>
      </w:r>
      <w:proofErr w:type="spellStart"/>
      <w:r>
        <w:rPr>
          <w:sz w:val="20"/>
          <w:szCs w:val="20"/>
          <w:rtl/>
        </w:rPr>
        <w:t>קופיקה</w:t>
      </w:r>
      <w:proofErr w:type="spellEnd"/>
      <w:r>
        <w:rPr>
          <w:sz w:val="20"/>
          <w:szCs w:val="20"/>
          <w:rtl/>
        </w:rPr>
        <w:t xml:space="preserve"> בכיסו (ראה עמ׳ </w:t>
      </w:r>
      <w:r>
        <w:rPr>
          <w:sz w:val="20"/>
          <w:szCs w:val="20"/>
          <w:rtl/>
        </w:rPr>
        <w:fldChar w:fldCharType="begin" w:dirty="true"/>
      </w:r>
      <w:r>
        <w:rPr>
          <w:sz w:val="20"/>
          <w:szCs w:val="20"/>
          <w:rtl/>
        </w:rPr>
        <w:instrText xml:space="preserve"> PAGEREF pr_b_1417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להלן), התקרב </w:t>
      </w:r>
      <w:proofErr w:type="spellStart"/>
      <w:r>
        <w:rPr>
          <w:sz w:val="20"/>
          <w:szCs w:val="20"/>
          <w:rtl/>
        </w:rPr>
        <w:t>לר</w:t>
      </w:r>
      <w:proofErr w:type="spellEnd"/>
      <w:r>
        <w:rPr>
          <w:sz w:val="20"/>
          <w:szCs w:val="20"/>
          <w:rtl/>
        </w:rPr>
        <w:t xml:space="preserve">׳ אברהם </w:t>
      </w:r>
      <w:proofErr w:type="spellStart"/>
      <w:r>
        <w:rPr>
          <w:sz w:val="20"/>
          <w:szCs w:val="20"/>
          <w:rtl/>
        </w:rPr>
        <w:t>ורשבר</w:t>
      </w:r>
      <w:proofErr w:type="spellEnd"/>
      <w:r>
        <w:rPr>
          <w:sz w:val="20"/>
          <w:szCs w:val="20"/>
          <w:rtl/>
        </w:rPr>
        <w:t xml:space="preserve"> (</w:t>
      </w:r>
      <w:proofErr w:type="spellStart"/>
      <w:r>
        <w:rPr>
          <w:sz w:val="20"/>
          <w:szCs w:val="20"/>
          <w:rtl/>
        </w:rPr>
        <w:t>גרודזינסקי</w:t>
      </w:r>
      <w:proofErr w:type="spellEnd"/>
      <w:r>
        <w:rPr>
          <w:sz w:val="20"/>
          <w:szCs w:val="20"/>
          <w:rtl/>
        </w:rPr>
        <w:t xml:space="preserve">) והצליח איכשהו לקבל מזון. אבל לא הייתה לו אכסניה, </w:t>
      </w:r>
      <w:proofErr w:type="spellStart"/>
      <w:r>
        <w:rPr>
          <w:sz w:val="20"/>
          <w:szCs w:val="20"/>
          <w:rtl/>
        </w:rPr>
        <w:t>ו“מיטתו</w:t>
      </w:r>
      <w:proofErr w:type="spellEnd"/>
      <w:r>
        <w:rPr>
          <w:sz w:val="20"/>
          <w:szCs w:val="20"/>
          <w:rtl/>
        </w:rPr>
        <w:t>” הייתה ספסל בבית המדרש.</w:t>
      </w:r>
    </w:p>
    <w:p w14:paraId="4301E707" w14:textId="77777777" w:rsidR="00AB3647" w:rsidRDefault="00000000">
      <w:pPr>
        <w:spacing w:after="0" w:before="0"/>
        <w:jc w:val="both"/>
      </w:pPr>
      <w:r>
        <w:rPr>
          <w:sz w:val="20"/>
          <w:szCs w:val="20"/>
          <w:rtl/>
        </w:rPr>
        <w:t xml:space="preserve">פעם התנהל בישיבה ויכוח נלהב, והנער, שהיה אז זמן קצר אחרי בר המצווה, המשיך לדון בסוגיה בשעת חזרת הש״ץ. אחר כך קרא לו הסבא כדי לנזוף בו, ושאל לשמו ועם אילו תלמידים מבוגרים הוא גר (השווה תחילת הערה 69 לעיל). כשנודע לסבא היכן ישן הנער כל אותה עת, “כל דמו של הסבא </w:t>
      </w:r>
      <w:proofErr w:type="spellStart"/>
      <w:r>
        <w:rPr>
          <w:sz w:val="20"/>
          <w:szCs w:val="20"/>
          <w:rtl/>
        </w:rPr>
        <w:t>מסלבודקה</w:t>
      </w:r>
      <w:proofErr w:type="spellEnd"/>
      <w:r>
        <w:rPr>
          <w:sz w:val="20"/>
          <w:szCs w:val="20"/>
          <w:rtl/>
        </w:rPr>
        <w:t xml:space="preserve"> עלה בפניו מרוב צער”, ומיד העמיד לרשותו את הקצבה הדרושה. ראה גם פרק 4, סוף הערה 20.</w:t>
      </w:r>
    </w:p>
  </w:footnote>
  <w:footnote w:id="1230">
    <w:p w14:paraId="3B08C39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סוף נספח </w:t>
      </w:r>
      <w:proofErr w:type="spellStart"/>
      <w:r>
        <w:rPr>
          <w:sz w:val="20"/>
          <w:szCs w:val="20"/>
          <w:rtl/>
        </w:rPr>
        <w:t>יח</w:t>
      </w:r>
      <w:proofErr w:type="spellEnd"/>
      <w:r>
        <w:rPr>
          <w:sz w:val="20"/>
          <w:szCs w:val="20"/>
          <w:rtl/>
        </w:rPr>
        <w:t xml:space="preserve"> בפרק זה, עמ׳ 71.</w:t>
      </w:r>
    </w:p>
  </w:footnote>
  <w:footnote w:id="1231">
    <w:p w14:paraId="5A44861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17 בנובמבר 1987.</w:t>
      </w:r>
    </w:p>
  </w:footnote>
  <w:footnote w:id="1232">
    <w:p w14:paraId="11D830F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בראשית מט, ח.</w:t>
      </w:r>
    </w:p>
  </w:footnote>
  <w:footnote w:id="1233">
    <w:p>
      <w:pPr>
        <w:spacing w:before="0" w:after="0"/>
      </w:pPr>
      <w:r>
        <w:rPr>
          <w:rStyle w:val="a5"/>
          <w:vertAlign w:val="superscript"/>
          <w:rtl/>
        </w:rPr>
        <w:footnoteRef/>
      </w:r>
      <w:r>
        <w:rPr>
          <w:sz w:val="20"/>
          <w:szCs w:val="20"/>
        </w:rPr>
        <w:t xml:space="preserve"> </w:t>
      </w:r>
      <w:r>
        <w:rPr>
          <w:sz w:val="20"/>
          <w:szCs w:val="20"/>
        </w:rPr>
        <w:t>הערת המתרגם: כך במקור; במקום אחר בספר נכתב כ״ח באב תרנ״ג.</w:t>
      </w:r>
    </w:p>
  </w:footnote>
  <w:footnote w:id="1234">
    <w:p w14:paraId="2DDA3D3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כרך 3, כיצד הצטלבו דרכיהם שלו ושל אבי באופן גורלי באמריקה כעבור למעלה משלושים שנה.</w:t>
      </w:r>
    </w:p>
  </w:footnote>
  <w:footnote w:id="1235">
    <w:p w14:paraId="286AE1D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71 לעיל.</w:t>
      </w:r>
    </w:p>
  </w:footnote>
  <w:footnote w:id="1236">
    <w:p w14:paraId="2765ADF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5.1.</w:t>
      </w:r>
    </w:p>
  </w:footnote>
  <w:footnote w:id="1237">
    <w:p w14:paraId="02CEFE6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24 באוקטובר 1991.</w:t>
      </w:r>
    </w:p>
  </w:footnote>
  <w:footnote w:id="1238">
    <w:p w14:paraId="5A024E9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הערה 68.</w:t>
      </w:r>
    </w:p>
  </w:footnote>
  <w:footnote w:id="1239">
    <w:p w14:paraId="258DF84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סוף הערה 69 לעיל.</w:t>
      </w:r>
    </w:p>
  </w:footnote>
  <w:footnote w:id="1240">
    <w:p w14:paraId="5279E10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w:t>
      </w:r>
      <w:proofErr w:type="spellStart"/>
      <w:r>
        <w:rPr>
          <w:sz w:val="20"/>
          <w:szCs w:val="20"/>
          <w:rtl/>
        </w:rPr>
        <w:t>המעין</w:t>
      </w:r>
      <w:proofErr w:type="spellEnd"/>
      <w:r>
        <w:rPr>
          <w:sz w:val="20"/>
          <w:szCs w:val="20"/>
          <w:rtl/>
        </w:rPr>
        <w:t>”, גיליון תמוז תשנ״ב, עמ׳ 46, שבו מאמר מאת הרב לב המצטט את אבי כמי שנקט עמדה חריפה יותר בשאלה זו.</w:t>
      </w:r>
    </w:p>
  </w:footnote>
  <w:footnote w:id="1241">
    <w:p w14:paraId="28BBB13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סוף הערה 68 לעיל.</w:t>
      </w:r>
    </w:p>
  </w:footnote>
  <w:footnote w:id="1242">
    <w:p w14:paraId="4389C69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26 לעיל.</w:t>
      </w:r>
    </w:p>
  </w:footnote>
  <w:footnote w:id="1243">
    <w:p w14:paraId="1793AF1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בעריכת שמואל ק. </w:t>
      </w:r>
      <w:proofErr w:type="spellStart"/>
      <w:r>
        <w:rPr>
          <w:sz w:val="20"/>
          <w:szCs w:val="20"/>
          <w:rtl/>
        </w:rPr>
        <w:t>מירסקי</w:t>
      </w:r>
      <w:proofErr w:type="spellEnd"/>
      <w:r>
        <w:rPr>
          <w:sz w:val="20"/>
          <w:szCs w:val="20"/>
          <w:rtl/>
        </w:rPr>
        <w:t>, הוצאת עגן, ניו יורק, תשט״ז, עמ׳ 139.</w:t>
      </w:r>
    </w:p>
  </w:footnote>
  <w:footnote w:id="1244">
    <w:p w14:paraId="17B126A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בשחרית, כאשר אי אפשר לומר קדושה לפני תפילת הציבור בשל סמיכת גאולה לתפלה, אין לשליח הציבור ברירה אלא לחזור על תפילת העמידה.</w:t>
      </w:r>
    </w:p>
  </w:footnote>
  <w:footnote w:id="1245">
    <w:p w14:paraId="0225977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במעשיהם טענו שזמן תפילה לחוד וזמן תורה לחוד (עי׳ שבת י׳ ע״א). ועי׳ אור זרוע </w:t>
      </w:r>
      <w:proofErr w:type="spellStart"/>
      <w:r>
        <w:rPr>
          <w:sz w:val="20"/>
          <w:szCs w:val="20"/>
          <w:rtl/>
        </w:rPr>
        <w:t>ח״ב</w:t>
      </w:r>
      <w:proofErr w:type="spellEnd"/>
      <w:r>
        <w:rPr>
          <w:sz w:val="20"/>
          <w:szCs w:val="20"/>
          <w:rtl/>
        </w:rPr>
        <w:t xml:space="preserve"> סי׳ מ״ב (ריש הל׳ שבת, לגבי פסוקי </w:t>
      </w:r>
      <w:proofErr w:type="spellStart"/>
      <w:r>
        <w:rPr>
          <w:sz w:val="20"/>
          <w:szCs w:val="20"/>
          <w:rtl/>
        </w:rPr>
        <w:t>דזמרה</w:t>
      </w:r>
      <w:proofErr w:type="spellEnd"/>
      <w:r>
        <w:rPr>
          <w:sz w:val="20"/>
          <w:szCs w:val="20"/>
          <w:rtl/>
        </w:rPr>
        <w:t xml:space="preserve"> בשבת) שכותב: וגם שמעתי מפי רבי יהודה החסיד זצ״ל שהיה גדול ומובהק לרבים אחד והי׳ גוער בביהכ״נ שהיו מאריכים בברכות, שהיה בדעתו למהר ללימוד, ונענש על ככה באותו עולם, וגם שמעתי וכו׳ כתבתי אני המחבר אלו המעשים כדי שיראה ירא שמים וישים אל לבו ויאמר </w:t>
      </w:r>
      <w:proofErr w:type="spellStart"/>
      <w:r>
        <w:rPr>
          <w:sz w:val="20"/>
          <w:szCs w:val="20"/>
          <w:rtl/>
        </w:rPr>
        <w:t>שבחותיו</w:t>
      </w:r>
      <w:proofErr w:type="spellEnd"/>
      <w:r>
        <w:rPr>
          <w:sz w:val="20"/>
          <w:szCs w:val="20"/>
          <w:rtl/>
        </w:rPr>
        <w:t xml:space="preserve"> של מקום בקול נעים ובכוונה ויזכה לגן עדן עכ״ל.</w:t>
      </w:r>
    </w:p>
  </w:footnote>
  <w:footnote w:id="1246">
    <w:p w14:paraId="773050D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68 לעיל.</w:t>
      </w:r>
    </w:p>
  </w:footnote>
  <w:footnote w:id="1247">
    <w:p w14:paraId="1399890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הפסקה השלישית מסוף סעיף זה.</w:t>
      </w:r>
    </w:p>
  </w:footnote>
  <w:footnote w:id="1248">
    <w:p w14:paraId="042A519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ישראל </w:t>
      </w:r>
      <w:proofErr w:type="spellStart"/>
      <w:r>
        <w:rPr>
          <w:sz w:val="20"/>
          <w:szCs w:val="20"/>
          <w:rtl/>
        </w:rPr>
        <w:t>בלסקי</w:t>
      </w:r>
      <w:proofErr w:type="spellEnd"/>
      <w:r>
        <w:rPr>
          <w:sz w:val="20"/>
          <w:szCs w:val="20"/>
          <w:rtl/>
        </w:rPr>
        <w:t>, ריאיון, 13 במרץ 1988.</w:t>
      </w:r>
    </w:p>
  </w:footnote>
  <w:footnote w:id="1249">
    <w:p w14:paraId="6689FB3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14 לעיל, עמ׳ 65.</w:t>
      </w:r>
    </w:p>
  </w:footnote>
  <w:footnote w:id="1250">
    <w:p w14:paraId="5676EDC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54.</w:t>
      </w:r>
    </w:p>
  </w:footnote>
  <w:footnote w:id="1251">
    <w:p w14:paraId="2B8DD19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תהילים ד, ט.</w:t>
      </w:r>
    </w:p>
  </w:footnote>
  <w:footnote w:id="1252">
    <w:p w14:paraId="7AAECBA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 לייזר גינזברג, ריאיון, 27 בנובמבר 1987.</w:t>
      </w:r>
    </w:p>
  </w:footnote>
  <w:footnote w:id="1253">
    <w:p w14:paraId="1EC77CD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הפסקה השלישית בנספח </w:t>
      </w:r>
      <w:proofErr w:type="spellStart"/>
      <w:r>
        <w:rPr>
          <w:sz w:val="20"/>
          <w:szCs w:val="20"/>
          <w:rtl/>
        </w:rPr>
        <w:t>יח</w:t>
      </w:r>
      <w:proofErr w:type="spellEnd"/>
      <w:r>
        <w:rPr>
          <w:sz w:val="20"/>
          <w:szCs w:val="20"/>
          <w:rtl/>
        </w:rPr>
        <w:t xml:space="preserve"> בפרק זה.</w:t>
      </w:r>
    </w:p>
  </w:footnote>
  <w:footnote w:id="1254">
    <w:p w14:paraId="660C2B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זה היה אמור להיות שלושים ושניים יום לאחר הריאיון.</w:t>
      </w:r>
    </w:p>
  </w:footnote>
  <w:footnote w:id="1255">
    <w:p w14:paraId="7DD1DB41" w14:textId="77777777" w:rsidR="00AB3647" w:rsidRDefault="00000000">
      <w:pPr>
        <w:spacing w:after="0" w:before="0"/>
        <w:jc w:val="both"/>
      </w:pPr>
      <w:r>
        <w:rPr>
          <w:rStyle w:val="a5"/>
          <w:vertAlign w:val="superscript"/>
          <w:rtl/>
        </w:rPr>
        <w:footnoteRef/>
      </w:r>
      <w:r>
        <w:rPr>
          <w:sz w:val="20"/>
          <w:szCs w:val="20"/>
        </w:rPr>
        <w:t xml:space="preserve"> </w:t>
      </w:r>
      <w:r>
        <w:rPr>
          <w:color w:val="000000"/>
          <w:sz w:val="20"/>
          <w:szCs w:val="20"/>
          <w:rtl/>
        </w:rPr>
      </w:r>
      <w:r>
        <w:rPr>
          <w:color w:val="000000"/>
          <w:sz w:val="20"/>
          <w:szCs w:val="20"/>
          <w:rtl/>
        </w:rPr>
        <w:t xml:space="preserve">הערת המתרגם: במקור נכתב י״א בטבת תשל״ח, </w:t>
      </w:r>
      <w:proofErr w:type="spellStart"/>
      <w:r>
        <w:rPr>
          <w:color w:val="000000"/>
          <w:sz w:val="20"/>
          <w:szCs w:val="20"/>
          <w:rtl/>
        </w:rPr>
        <w:t>ולצדו</w:t>
      </w:r>
      <w:proofErr w:type="spellEnd"/>
      <w:r>
        <w:rPr>
          <w:color w:val="000000"/>
          <w:sz w:val="20"/>
          <w:szCs w:val="20"/>
          <w:rtl/>
        </w:rPr>
        <w:t xml:space="preserve"> 21 בדצמבר 1987. י״א בטבת תשל״ח חל ב־21 בדצמבר 1977, ואילו 21 בדצמבר 1987 חל בל׳ בכסלו תשמ״ח. התאריכים שבמקור אינם תואמים; אין בידינו לקבוע איזה מהם נכון.</w:t>
      </w:r>
    </w:p>
  </w:footnote>
  <w:footnote w:id="1256">
    <w:p w14:paraId="7BF8409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ביטוי זה דומה ברעיונו לביטוי השכיח יותר “א </w:t>
      </w:r>
      <w:proofErr w:type="spellStart"/>
      <w:r>
        <w:rPr>
          <w:sz w:val="20"/>
          <w:szCs w:val="20"/>
          <w:rtl/>
        </w:rPr>
        <w:t>שמעק</w:t>
      </w:r>
      <w:proofErr w:type="spellEnd"/>
      <w:r>
        <w:rPr>
          <w:sz w:val="20"/>
          <w:szCs w:val="20"/>
          <w:rtl/>
        </w:rPr>
        <w:t xml:space="preserve"> </w:t>
      </w:r>
      <w:proofErr w:type="spellStart"/>
      <w:r>
        <w:rPr>
          <w:sz w:val="20"/>
          <w:szCs w:val="20"/>
          <w:rtl/>
        </w:rPr>
        <w:t>טאבאק</w:t>
      </w:r>
      <w:proofErr w:type="spellEnd"/>
      <w:r>
        <w:rPr>
          <w:sz w:val="20"/>
          <w:szCs w:val="20"/>
          <w:rtl/>
        </w:rPr>
        <w:t>”, שפירושו המילולי שאיפת טבק הרחה.</w:t>
      </w:r>
    </w:p>
  </w:footnote>
  <w:footnote w:id="1257">
    <w:p w14:paraId="70B9F69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ה בפרק זה.</w:t>
      </w:r>
    </w:p>
  </w:footnote>
  <w:footnote w:id="1258">
    <w:p w14:paraId="2936FE4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רש״י בתחילת פרשת ויצא, סוף פסוק י״א.</w:t>
      </w:r>
    </w:p>
  </w:footnote>
  <w:footnote w:id="1259">
    <w:p w14:paraId="3DC53BB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ועיין שבת פ״ב ע״א אמר לי׳ רב </w:t>
      </w:r>
      <w:proofErr w:type="spellStart"/>
      <w:r>
        <w:rPr>
          <w:sz w:val="20"/>
          <w:szCs w:val="20"/>
          <w:rtl/>
        </w:rPr>
        <w:t>הונא</w:t>
      </w:r>
      <w:proofErr w:type="spellEnd"/>
      <w:r>
        <w:rPr>
          <w:sz w:val="20"/>
          <w:szCs w:val="20"/>
          <w:rtl/>
        </w:rPr>
        <w:t xml:space="preserve"> לרבה ברי’ </w:t>
      </w:r>
      <w:proofErr w:type="spellStart"/>
      <w:r>
        <w:rPr>
          <w:sz w:val="20"/>
          <w:szCs w:val="20"/>
          <w:rtl/>
        </w:rPr>
        <w:t>וכו</w:t>
      </w:r>
      <w:proofErr w:type="spellEnd"/>
      <w:r>
        <w:rPr>
          <w:sz w:val="20"/>
          <w:szCs w:val="20"/>
          <w:rtl/>
        </w:rPr>
        <w:t xml:space="preserve">׳. מתוך דברי </w:t>
      </w:r>
      <w:proofErr w:type="spellStart"/>
      <w:r>
        <w:rPr>
          <w:sz w:val="20"/>
          <w:szCs w:val="20"/>
          <w:rtl/>
        </w:rPr>
        <w:t>האגב</w:t>
      </w:r>
      <w:proofErr w:type="spellEnd"/>
      <w:r>
        <w:rPr>
          <w:sz w:val="20"/>
          <w:szCs w:val="20"/>
          <w:rtl/>
        </w:rPr>
        <w:t xml:space="preserve"> המוקלטים משיעור הדף היומי, המובאים בנספח ה בפרק זה.</w:t>
      </w:r>
    </w:p>
  </w:footnote>
  <w:footnote w:id="1260">
    <w:p w14:paraId="52909A1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1 ביוני 1990.</w:t>
      </w:r>
    </w:p>
  </w:footnote>
  <w:footnote w:id="1261">
    <w:p w14:paraId="10756B6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הפסקה השנייה בנספח </w:t>
      </w:r>
      <w:proofErr w:type="spellStart"/>
      <w:r>
        <w:rPr>
          <w:sz w:val="20"/>
          <w:szCs w:val="20"/>
          <w:rtl/>
        </w:rPr>
        <w:t>יז</w:t>
      </w:r>
      <w:proofErr w:type="spellEnd"/>
      <w:r>
        <w:rPr>
          <w:sz w:val="20"/>
          <w:szCs w:val="20"/>
          <w:rtl/>
        </w:rPr>
        <w:t xml:space="preserve"> בפרק זה.</w:t>
      </w:r>
    </w:p>
  </w:footnote>
  <w:footnote w:id="1262">
    <w:p w14:paraId="03A64DF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ועיין פסחים ג׳ סוף ע״ב.</w:t>
      </w:r>
    </w:p>
  </w:footnote>
  <w:footnote w:id="1263">
    <w:p w14:paraId="1E091C9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פרק 4, הפסקה הראשונה בהערה 20.</w:t>
      </w:r>
    </w:p>
  </w:footnote>
  <w:footnote w:id="1264">
    <w:p w14:paraId="5E9AF1B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ל להלן, ונספח טו והפסקאות השנייה והשלישית בנספח ד בפרק זה.</w:t>
      </w:r>
    </w:p>
  </w:footnote>
  <w:footnote w:id="1265">
    <w:p w14:paraId="79372AE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הוא אכן השתמש במילה “כלב” כשהביא ציטוט, כעולה מסוף נספח לג להלן.</w:t>
      </w:r>
    </w:p>
  </w:footnote>
  <w:footnote w:id="1266">
    <w:p w14:paraId="5474E52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דברים ל, טו.</w:t>
      </w:r>
    </w:p>
  </w:footnote>
  <w:footnote w:id="1267">
    <w:p w14:paraId="2389283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סיפר ר׳ </w:t>
      </w:r>
      <w:proofErr w:type="spellStart"/>
      <w:r>
        <w:rPr>
          <w:sz w:val="20"/>
          <w:szCs w:val="20"/>
          <w:rtl/>
        </w:rPr>
        <w:t>חיים־יצחק</w:t>
      </w:r>
      <w:proofErr w:type="spellEnd"/>
      <w:r>
        <w:rPr>
          <w:sz w:val="20"/>
          <w:szCs w:val="20"/>
          <w:rtl/>
        </w:rPr>
        <w:t xml:space="preserve"> קפלן.</w:t>
      </w:r>
    </w:p>
  </w:footnote>
  <w:footnote w:id="1268">
    <w:p w14:paraId="5FD7E41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9 בדצמבר 1987.</w:t>
      </w:r>
    </w:p>
  </w:footnote>
  <w:footnote w:id="1269">
    <w:p w14:paraId="785770E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גם (עמ׳ </w:t>
      </w:r>
      <w:r>
        <w:rPr>
          <w:rStyle w:val="a5"/>
          <w:sz w:val="20"/>
          <w:szCs w:val="20"/>
          <w:vertAlign w:val="baseline"/>
          <w:rtl/>
        </w:rPr>
        <w:fldChar w:fldCharType="begin" w:dirty="true"/>
      </w:r>
      <w:r>
        <w:rPr>
          <w:rStyle w:val="a5"/>
          <w:sz w:val="20"/>
          <w:szCs w:val="20"/>
          <w:vertAlign w:val="baseline"/>
          <w:rtl/>
        </w:rPr>
        <w:instrText xml:space="preserve"> PAGEREF pr_f_2843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 xml:space="preserve">, הערת שוליים </w:t>
      </w:r>
      <w:r>
        <w:rPr>
          <w:rStyle w:val="a5"/>
          <w:sz w:val="20"/>
          <w:szCs w:val="20"/>
          <w:vertAlign w:val="baseline"/>
          <w:rtl/>
        </w:rPr>
        <w:fldChar w:fldCharType="begin" w:dirty="true"/>
      </w:r>
      <w:r>
        <w:rPr>
          <w:rStyle w:val="a5"/>
          <w:sz w:val="20"/>
          <w:szCs w:val="20"/>
          <w:vertAlign w:val="baseline"/>
          <w:rtl/>
        </w:rPr>
        <w:instrText xml:space="preserve"> NOTEREF pr_f_2843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1890</w:t>
      </w:r>
      <w:r>
        <w:rPr>
          <w:rStyle w:val="a5"/>
          <w:sz w:val="20"/>
          <w:szCs w:val="20"/>
          <w:vertAlign w:val="baseline"/>
          <w:rtl/>
        </w:rPr>
        <w:fldChar w:fldCharType="end"/>
      </w:r>
      <w:r>
        <w:rPr>
          <w:sz w:val="20"/>
          <w:szCs w:val="20"/>
          <w:rtl/>
        </w:rPr>
        <w:t>).</w:t>
      </w:r>
    </w:p>
  </w:footnote>
  <w:footnote w:id="1270">
    <w:p w14:paraId="4D93EAA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הערה 7.</w:t>
      </w:r>
    </w:p>
  </w:footnote>
  <w:footnote w:id="1271">
    <w:p w14:paraId="3E9D9E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גם כרך 2 לסיבה נוספת.</w:t>
      </w:r>
    </w:p>
  </w:footnote>
  <w:footnote w:id="1272">
    <w:p w14:paraId="3FE0DBC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הערה 56.</w:t>
      </w:r>
    </w:p>
  </w:footnote>
  <w:footnote w:id="1273">
    <w:p w14:paraId="305D71C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2, הערה 93.</w:t>
      </w:r>
    </w:p>
  </w:footnote>
  <w:footnote w:id="1274">
    <w:p w14:paraId="0BE300D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כמובא בנספח כה להלן. בנספח ז בפרק זה פגשנו </w:t>
      </w:r>
      <w:proofErr w:type="spellStart"/>
      <w:r>
        <w:rPr>
          <w:sz w:val="20"/>
          <w:szCs w:val="20"/>
          <w:rtl/>
        </w:rPr>
        <w:t>בגרובין</w:t>
      </w:r>
      <w:proofErr w:type="spellEnd"/>
      <w:r>
        <w:rPr>
          <w:sz w:val="20"/>
          <w:szCs w:val="20"/>
          <w:rtl/>
        </w:rPr>
        <w:t xml:space="preserve"> אדם בן עשרים וחמש. השווה גם כץ, “תנועת המוסר”, כרך ב, עמ׳ 239, שלפיו ר׳ לייזר </w:t>
      </w:r>
      <w:proofErr w:type="spellStart"/>
      <w:r>
        <w:rPr>
          <w:sz w:val="20"/>
          <w:szCs w:val="20"/>
          <w:rtl/>
        </w:rPr>
        <w:t>שולביץ</w:t>
      </w:r>
      <w:proofErr w:type="spellEnd"/>
      <w:r>
        <w:rPr>
          <w:sz w:val="20"/>
          <w:szCs w:val="20"/>
          <w:rtl/>
        </w:rPr>
        <w:t xml:space="preserve">, שכבר היה בן שלושים ושתיים לפחות, שהה זמן מה </w:t>
      </w:r>
      <w:proofErr w:type="spellStart"/>
      <w:r>
        <w:rPr>
          <w:sz w:val="20"/>
          <w:szCs w:val="20"/>
          <w:rtl/>
        </w:rPr>
        <w:t>בגרובין</w:t>
      </w:r>
      <w:proofErr w:type="spellEnd"/>
      <w:r>
        <w:rPr>
          <w:sz w:val="20"/>
          <w:szCs w:val="20"/>
          <w:rtl/>
        </w:rPr>
        <w:t xml:space="preserve"> כדי להיות קרוב </w:t>
      </w:r>
      <w:proofErr w:type="spellStart"/>
      <w:r>
        <w:rPr>
          <w:sz w:val="20"/>
          <w:szCs w:val="20"/>
          <w:rtl/>
        </w:rPr>
        <w:t>לר</w:t>
      </w:r>
      <w:proofErr w:type="spellEnd"/>
      <w:r>
        <w:rPr>
          <w:sz w:val="20"/>
          <w:szCs w:val="20"/>
          <w:rtl/>
        </w:rPr>
        <w:t xml:space="preserve">׳ </w:t>
      </w:r>
      <w:proofErr w:type="spellStart"/>
      <w:r>
        <w:rPr>
          <w:sz w:val="20"/>
          <w:szCs w:val="20"/>
          <w:rtl/>
        </w:rPr>
        <w:t>שמחה־זיסל</w:t>
      </w:r>
      <w:proofErr w:type="spellEnd"/>
      <w:r>
        <w:rPr>
          <w:sz w:val="20"/>
          <w:szCs w:val="20"/>
          <w:rtl/>
        </w:rPr>
        <w:t>.</w:t>
      </w:r>
    </w:p>
  </w:footnote>
  <w:footnote w:id="1275">
    <w:p w14:paraId="1EA4034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ריאיון, 11 באוגוסט 1992. הרב </w:t>
      </w:r>
      <w:proofErr w:type="spellStart"/>
      <w:r>
        <w:rPr>
          <w:sz w:val="20"/>
          <w:szCs w:val="20"/>
          <w:rtl/>
        </w:rPr>
        <w:t>קרייזווירט</w:t>
      </w:r>
      <w:proofErr w:type="spellEnd"/>
      <w:r>
        <w:rPr>
          <w:sz w:val="20"/>
          <w:szCs w:val="20"/>
          <w:rtl/>
        </w:rPr>
        <w:t xml:space="preserve"> נשא את נכדת הרב </w:t>
      </w:r>
      <w:proofErr w:type="spellStart"/>
      <w:r>
        <w:rPr>
          <w:sz w:val="20"/>
          <w:szCs w:val="20"/>
          <w:rtl/>
        </w:rPr>
        <w:t xml:space="preserve">הלר</w:t>
      </w:r>
      <w:proofErr w:type="spellEnd"/>
      <w:r>
        <w:rPr>
          <w:sz w:val="20"/>
          <w:szCs w:val="20"/>
          <w:rtl/>
        </w:rPr>
        <w:t xml:space="preserve">, שרה בת ר׳ אברהם </w:t>
      </w:r>
      <w:proofErr w:type="spellStart"/>
      <w:r>
        <w:rPr>
          <w:sz w:val="20"/>
          <w:szCs w:val="20"/>
          <w:rtl/>
        </w:rPr>
        <w:t>גרודזינסקי</w:t>
      </w:r>
      <w:proofErr w:type="spellEnd"/>
      <w:r>
        <w:rPr>
          <w:sz w:val="20"/>
          <w:szCs w:val="20"/>
          <w:rtl/>
        </w:rPr>
        <w:t>.</w:t>
      </w:r>
    </w:p>
  </w:footnote>
  <w:footnote w:id="1276">
    <w:p w14:paraId="151DDBF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הפסקה השלישית בנספח </w:t>
      </w:r>
      <w:proofErr w:type="spellStart"/>
      <w:r>
        <w:rPr>
          <w:sz w:val="20"/>
          <w:szCs w:val="20"/>
          <w:rtl/>
        </w:rPr>
        <w:t>כח</w:t>
      </w:r>
      <w:proofErr w:type="spellEnd"/>
      <w:r>
        <w:rPr>
          <w:sz w:val="20"/>
          <w:szCs w:val="20"/>
          <w:rtl/>
        </w:rPr>
        <w:t xml:space="preserve"> להלן, על מה שאולי היה שריד להשפעת </w:t>
      </w:r>
      <w:proofErr w:type="spellStart"/>
      <w:r>
        <w:rPr>
          <w:sz w:val="20"/>
          <w:szCs w:val="20"/>
          <w:rtl/>
        </w:rPr>
        <w:t>וולוז׳ין</w:t>
      </w:r>
      <w:proofErr w:type="spellEnd"/>
      <w:r>
        <w:rPr>
          <w:sz w:val="20"/>
          <w:szCs w:val="20"/>
          <w:rtl/>
        </w:rPr>
        <w:t xml:space="preserve"> על השקפתו של ר׳ </w:t>
      </w:r>
      <w:proofErr w:type="spellStart"/>
      <w:r>
        <w:rPr>
          <w:sz w:val="20"/>
          <w:szCs w:val="20"/>
          <w:rtl/>
        </w:rPr>
        <w:t xml:space="preserve">בער־הירש</w:t>
      </w:r>
      <w:proofErr w:type="spellEnd"/>
      <w:r>
        <w:rPr>
          <w:sz w:val="20"/>
          <w:szCs w:val="20"/>
          <w:rtl/>
        </w:rPr>
        <w:t>.</w:t>
      </w:r>
    </w:p>
  </w:footnote>
  <w:footnote w:id="1277">
    <w:p w14:paraId="358B3B5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גיליון כ״ד בשבט תרמ״ה, מתוארך “</w:t>
      </w:r>
      <w:proofErr w:type="spellStart"/>
      <w:r>
        <w:rPr>
          <w:sz w:val="20"/>
          <w:szCs w:val="20"/>
          <w:rtl/>
        </w:rPr>
        <w:t>ווארשא</w:t>
      </w:r>
      <w:proofErr w:type="spellEnd"/>
      <w:r>
        <w:rPr>
          <w:sz w:val="20"/>
          <w:szCs w:val="20"/>
          <w:rtl/>
        </w:rPr>
        <w:t>”.</w:t>
      </w:r>
    </w:p>
  </w:footnote>
  <w:footnote w:id="1278">
    <w:p w14:paraId="396F3D9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לפי שיחת הסבא.</w:t>
      </w:r>
    </w:p>
  </w:footnote>
  <w:footnote w:id="1279">
    <w:p w14:paraId="7B9A6EF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הפסקה השנייה בנספח ג.</w:t>
      </w:r>
    </w:p>
  </w:footnote>
  <w:footnote w:id="1280">
    <w:p w14:paraId="6E9F106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בפרק זה, עמ׳ 66.</w:t>
      </w:r>
    </w:p>
  </w:footnote>
  <w:footnote w:id="1281">
    <w:p w14:paraId="67444AC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גיליון י״ב בתשרי תרמ״ב.</w:t>
      </w:r>
    </w:p>
  </w:footnote>
  <w:footnote w:id="1282">
    <w:p w14:paraId="41F4AF2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הערה 104 לעיל.</w:t>
      </w:r>
    </w:p>
  </w:footnote>
  <w:footnote w:id="1283">
    <w:p w14:paraId="62F000E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7, עמ׳ 1449–1451. השווה גם פרק 2, נספח א, ובמיוחד סופו.</w:t>
      </w:r>
    </w:p>
  </w:footnote>
  <w:footnote w:id="1284">
    <w:p w14:paraId="2C5F44F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כמובא בהערה 106 לעיל.</w:t>
      </w:r>
    </w:p>
  </w:footnote>
  <w:footnote w:id="1285">
    <w:p w14:paraId="5DE536D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נדרים פא ע״א. ראה גם פרק 2, הערה 55.</w:t>
      </w:r>
    </w:p>
  </w:footnote>
  <w:footnote w:id="1286">
    <w:p w14:paraId="3D755C5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מן המכתב ברור שהישיבה </w:t>
      </w:r>
      <w:proofErr w:type="spellStart"/>
      <w:r>
        <w:rPr>
          <w:sz w:val="20"/>
          <w:szCs w:val="20"/>
          <w:rtl/>
        </w:rPr>
        <w:t>בשווינציאן</w:t>
      </w:r>
      <w:proofErr w:type="spellEnd"/>
      <w:r>
        <w:rPr>
          <w:sz w:val="20"/>
          <w:szCs w:val="20"/>
          <w:rtl/>
        </w:rPr>
        <w:t xml:space="preserve"> הייתה רק בשלב התכנון </w:t>
      </w:r>
      <w:proofErr w:type="spellStart"/>
      <w:r>
        <w:rPr>
          <w:sz w:val="20"/>
          <w:szCs w:val="20"/>
          <w:rtl/>
        </w:rPr>
        <w:t>בתרמ״ב</w:t>
      </w:r>
      <w:proofErr w:type="spellEnd"/>
      <w:r>
        <w:rPr>
          <w:sz w:val="20"/>
          <w:szCs w:val="20"/>
          <w:rtl/>
        </w:rPr>
        <w:t xml:space="preserve">, והדבר מתאשר </w:t>
      </w:r>
      <w:proofErr w:type="spellStart"/>
      <w:r>
        <w:rPr>
          <w:sz w:val="20"/>
          <w:szCs w:val="20"/>
          <w:rtl/>
        </w:rPr>
        <w:t>ב“זכר</w:t>
      </w:r>
      <w:proofErr w:type="spellEnd"/>
      <w:r>
        <w:rPr>
          <w:sz w:val="20"/>
          <w:szCs w:val="20"/>
          <w:rtl/>
        </w:rPr>
        <w:t xml:space="preserve"> זאת ליעקב” (באמצע נספח יד בפרק זה), עמ׳ 9–10. ר׳ </w:t>
      </w:r>
      <w:proofErr w:type="spellStart"/>
      <w:r>
        <w:rPr>
          <w:sz w:val="20"/>
          <w:szCs w:val="20"/>
          <w:rtl/>
        </w:rPr>
        <w:t>יצחק־יעקב</w:t>
      </w:r>
      <w:proofErr w:type="spellEnd"/>
      <w:r>
        <w:rPr>
          <w:sz w:val="20"/>
          <w:szCs w:val="20"/>
          <w:rtl/>
        </w:rPr>
        <w:t xml:space="preserve"> ריינס עזב את העיר כעבור שנתיים, ולכן מוטעית האמירה שם, עמ׳ 24–25, שהישיבה התקיימה בחסותו ארבע שנים.</w:t>
      </w:r>
    </w:p>
  </w:footnote>
  <w:footnote w:id="1287">
    <w:p w14:paraId="5A63B8E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66.</w:t>
      </w:r>
    </w:p>
  </w:footnote>
  <w:footnote w:id="1288">
    <w:p w14:paraId="3EB9BDE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68.</w:t>
      </w:r>
    </w:p>
  </w:footnote>
  <w:footnote w:id="1289">
    <w:p w14:paraId="76B7190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נספח </w:t>
      </w:r>
      <w:proofErr w:type="spellStart"/>
      <w:r>
        <w:rPr>
          <w:sz w:val="20"/>
          <w:szCs w:val="20"/>
          <w:rtl/>
        </w:rPr>
        <w:t>יז</w:t>
      </w:r>
      <w:proofErr w:type="spellEnd"/>
      <w:r>
        <w:rPr>
          <w:sz w:val="20"/>
          <w:szCs w:val="20"/>
          <w:rtl/>
        </w:rPr>
        <w:t xml:space="preserve"> בפרק זה.</w:t>
      </w:r>
    </w:p>
  </w:footnote>
  <w:footnote w:id="1290">
    <w:p w14:paraId="6948717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250.</w:t>
      </w:r>
    </w:p>
  </w:footnote>
  <w:footnote w:id="1291">
    <w:p w14:paraId="1B35E48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בהקשר זה מתאר המחבר את פגישתו עם ר׳ </w:t>
      </w:r>
      <w:proofErr w:type="spellStart"/>
      <w:r>
        <w:rPr>
          <w:sz w:val="20"/>
          <w:szCs w:val="20"/>
          <w:rtl/>
        </w:rPr>
        <w:t>שמחה־זיסל</w:t>
      </w:r>
      <w:proofErr w:type="spellEnd"/>
      <w:r>
        <w:rPr>
          <w:sz w:val="20"/>
          <w:szCs w:val="20"/>
          <w:rtl/>
        </w:rPr>
        <w:t xml:space="preserve"> במסע התרמה </w:t>
      </w:r>
      <w:proofErr w:type="spellStart"/>
      <w:r>
        <w:rPr>
          <w:sz w:val="20"/>
          <w:szCs w:val="20"/>
          <w:rtl/>
        </w:rPr>
        <w:t>לבויסק</w:t>
      </w:r>
      <w:proofErr w:type="spellEnd"/>
      <w:r>
        <w:rPr>
          <w:sz w:val="20"/>
          <w:szCs w:val="20"/>
          <w:rtl/>
        </w:rPr>
        <w:t xml:space="preserve">. אבל השנה שהוא מציין לפגישה זו, תרל״ו, מוטעית, כפי שצוין בהערת שוליים </w:t>
      </w:r>
      <w:r>
        <w:rPr>
          <w:sz w:val="20"/>
          <w:szCs w:val="20"/>
          <w:rtl/>
        </w:rPr>
        <w:fldChar w:fldCharType="begin" w:dirty="true"/>
      </w:r>
      <w:r>
        <w:rPr>
          <w:sz w:val="20"/>
          <w:szCs w:val="20"/>
          <w:rtl/>
        </w:rPr>
        <w:instrText xml:space="preserve"> NOTEREF pr_f_2408 \h </w:instrText>
      </w:r>
      <w:r>
        <w:rPr>
          <w:sz w:val="20"/>
          <w:szCs w:val="20"/>
          <w:rtl/>
        </w:rPr>
      </w:r>
      <w:r>
        <w:rPr>
          <w:sz w:val="20"/>
          <w:szCs w:val="20"/>
          <w:rtl/>
        </w:rPr>
        <w:fldChar w:fldCharType="separate"/>
      </w:r>
      <w:r w:rsidR="007923E9">
        <w:rPr>
          <w:sz w:val="20"/>
          <w:szCs w:val="20"/>
          <w:rtl/>
        </w:rPr>
        <w:t>1454</w:t>
      </w:r>
      <w:r>
        <w:rPr>
          <w:sz w:val="20"/>
          <w:szCs w:val="20"/>
          <w:rtl/>
        </w:rPr>
        <w:fldChar w:fldCharType="end"/>
      </w:r>
      <w:r>
        <w:rPr>
          <w:sz w:val="20"/>
          <w:szCs w:val="20"/>
          <w:rtl/>
        </w:rPr>
        <w:t xml:space="preserve"> (עמ׳ </w:t>
      </w:r>
      <w:r>
        <w:rPr>
          <w:sz w:val="20"/>
          <w:szCs w:val="20"/>
          <w:rtl/>
        </w:rPr>
        <w:fldChar w:fldCharType="begin" w:dirty="true"/>
      </w:r>
      <w:r>
        <w:rPr>
          <w:sz w:val="20"/>
          <w:szCs w:val="20"/>
          <w:rtl/>
        </w:rPr>
        <w:instrText xml:space="preserve"> PAGEREF pr_f_2408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1292">
    <w:p w14:paraId="7D8D0A5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67.</w:t>
      </w:r>
    </w:p>
  </w:footnote>
  <w:footnote w:id="1293">
    <w:p w14:paraId="26D3DDF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68.</w:t>
      </w:r>
    </w:p>
  </w:footnote>
  <w:footnote w:id="1294">
    <w:p w14:paraId="28F7258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212.</w:t>
      </w:r>
    </w:p>
  </w:footnote>
  <w:footnote w:id="1295">
    <w:p w14:paraId="2C67428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66.</w:t>
      </w:r>
    </w:p>
  </w:footnote>
  <w:footnote w:id="1296">
    <w:p w14:paraId="106FD50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29, הערה 15.</w:t>
      </w:r>
    </w:p>
  </w:footnote>
  <w:footnote w:id="1297">
    <w:p w14:paraId="2D4CA99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28.</w:t>
      </w:r>
    </w:p>
  </w:footnote>
  <w:footnote w:id="1298">
    <w:p w14:paraId="7113C2B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91 לעיל – עמ׳ 144–145.</w:t>
      </w:r>
    </w:p>
  </w:footnote>
  <w:footnote w:id="1299">
    <w:p w14:paraId="1E22397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תאריך מינויו למשגיח ניתן שם בטעות </w:t>
      </w:r>
      <w:proofErr w:type="spellStart"/>
      <w:r>
        <w:rPr>
          <w:sz w:val="20"/>
          <w:szCs w:val="20"/>
          <w:rtl/>
        </w:rPr>
        <w:t>כתר״נ</w:t>
      </w:r>
      <w:proofErr w:type="spellEnd"/>
      <w:r>
        <w:rPr>
          <w:sz w:val="20"/>
          <w:szCs w:val="20"/>
          <w:rtl/>
        </w:rPr>
        <w:t>.</w:t>
      </w:r>
    </w:p>
  </w:footnote>
  <w:footnote w:id="1300">
    <w:p w14:paraId="2203EA5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מהריאיון המוקלט על הסבא </w:t>
      </w:r>
      <w:proofErr w:type="spellStart"/>
      <w:r>
        <w:rPr>
          <w:sz w:val="20"/>
          <w:szCs w:val="20"/>
          <w:rtl/>
        </w:rPr>
        <w:t>מסלבודקה</w:t>
      </w:r>
      <w:proofErr w:type="spellEnd"/>
      <w:r>
        <w:rPr>
          <w:sz w:val="20"/>
          <w:szCs w:val="20"/>
          <w:rtl/>
        </w:rPr>
        <w:t>.</w:t>
      </w:r>
    </w:p>
  </w:footnote>
  <w:footnote w:id="1301">
    <w:p w14:paraId="0B41F07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מדברי </w:t>
      </w:r>
      <w:proofErr w:type="spellStart"/>
      <w:r>
        <w:rPr>
          <w:sz w:val="20"/>
          <w:szCs w:val="20"/>
          <w:rtl/>
        </w:rPr>
        <w:t>האגב</w:t>
      </w:r>
      <w:proofErr w:type="spellEnd"/>
      <w:r>
        <w:rPr>
          <w:sz w:val="20"/>
          <w:szCs w:val="20"/>
          <w:rtl/>
        </w:rPr>
        <w:t xml:space="preserve"> בשיעור הדף היומי שהוזכרו בנספח </w:t>
      </w:r>
      <w:proofErr w:type="spellStart"/>
      <w:r>
        <w:rPr>
          <w:sz w:val="20"/>
          <w:szCs w:val="20"/>
          <w:rtl/>
        </w:rPr>
        <w:t>כג</w:t>
      </w:r>
      <w:proofErr w:type="spellEnd"/>
      <w:r>
        <w:rPr>
          <w:sz w:val="20"/>
          <w:szCs w:val="20"/>
          <w:rtl/>
        </w:rPr>
        <w:t xml:space="preserve"> בפרק זה.</w:t>
      </w:r>
    </w:p>
  </w:footnote>
  <w:footnote w:id="1302">
    <w:p w14:paraId="7BB2A51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כד בפרק זה.</w:t>
      </w:r>
    </w:p>
  </w:footnote>
  <w:footnote w:id="1303">
    <w:p w14:paraId="0F73AB5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אך השווה הפסקה השלישית של נספח </w:t>
      </w:r>
      <w:proofErr w:type="spellStart"/>
      <w:r>
        <w:rPr>
          <w:sz w:val="20"/>
          <w:szCs w:val="20"/>
          <w:rtl/>
        </w:rPr>
        <w:t>כח</w:t>
      </w:r>
      <w:proofErr w:type="spellEnd"/>
      <w:r>
        <w:rPr>
          <w:sz w:val="20"/>
          <w:szCs w:val="20"/>
          <w:rtl/>
        </w:rPr>
        <w:t xml:space="preserve"> להלן, שייתכן שהיה הבדל קל בהשקפה בין השניים.</w:t>
      </w:r>
    </w:p>
  </w:footnote>
  <w:footnote w:id="1304">
    <w:p w14:paraId="637FD4A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אלי׳ שווי דיבר בבר המצווה של בן </w:t>
      </w:r>
      <w:proofErr w:type="spellStart"/>
      <w:r>
        <w:rPr>
          <w:sz w:val="20"/>
          <w:szCs w:val="20"/>
          <w:rtl/>
        </w:rPr>
        <w:t>נינו</w:t>
      </w:r>
      <w:proofErr w:type="spellEnd"/>
      <w:r>
        <w:rPr>
          <w:sz w:val="20"/>
          <w:szCs w:val="20"/>
          <w:rtl/>
        </w:rPr>
        <w:t xml:space="preserve"> של ר׳ </w:t>
      </w:r>
      <w:proofErr w:type="spellStart"/>
      <w:r>
        <w:rPr>
          <w:sz w:val="20"/>
          <w:szCs w:val="20"/>
          <w:rtl/>
        </w:rPr>
        <w:t xml:space="preserve">בער־הירש</w:t>
      </w:r>
      <w:proofErr w:type="spellEnd"/>
      <w:r>
        <w:rPr>
          <w:sz w:val="20"/>
          <w:szCs w:val="20"/>
          <w:rtl/>
        </w:rPr>
        <w:t>, ב־27 בדצמבר 1997. כשנשאל על כך עוד, לא זכר בדיוק היכן שמע את אמירת הסבא, אבל מסורת זו הייתה בהחלט בידו מנעוריו בליטא.</w:t>
      </w:r>
    </w:p>
  </w:footnote>
  <w:footnote w:id="1305">
    <w:p w14:paraId="3A0D2A0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כיצד היה ר׳ ישראל “משלם... טובה תחת רעה” (ראה הערת שוליים </w:t>
      </w:r>
      <w:r>
        <w:rPr>
          <w:sz w:val="20"/>
          <w:szCs w:val="20"/>
          <w:rtl/>
        </w:rPr>
        <w:fldChar w:fldCharType="begin" w:dirty="true"/>
      </w:r>
      <w:r>
        <w:rPr>
          <w:sz w:val="20"/>
          <w:szCs w:val="20"/>
          <w:rtl/>
        </w:rPr>
        <w:instrText xml:space="preserve"> NOTEREF pr_f_2519 \h </w:instrText>
      </w:r>
      <w:r>
        <w:rPr>
          <w:sz w:val="20"/>
          <w:szCs w:val="20"/>
          <w:rtl/>
        </w:rPr>
      </w:r>
      <w:r>
        <w:rPr>
          <w:sz w:val="20"/>
          <w:szCs w:val="20"/>
          <w:rtl/>
        </w:rPr>
        <w:fldChar w:fldCharType="separate"/>
      </w:r>
      <w:r w:rsidR="007923E9">
        <w:rPr>
          <w:sz w:val="20"/>
          <w:szCs w:val="20"/>
          <w:rtl/>
        </w:rPr>
        <w:t>1565</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pr_f_2519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להלן) מדגים הסיפור הבא, מתוך “שערי ציון” – הגיליון שנזכר בהערת שוליים </w:t>
      </w:r>
      <w:r>
        <w:rPr>
          <w:sz w:val="20"/>
          <w:szCs w:val="20"/>
          <w:rtl/>
        </w:rPr>
        <w:fldChar w:fldCharType="begin" w:dirty="true"/>
      </w:r>
      <w:r>
        <w:rPr>
          <w:sz w:val="20"/>
          <w:szCs w:val="20"/>
          <w:rtl/>
        </w:rPr>
        <w:instrText xml:space="preserve"> NOTEREF pr_f_78 \h </w:instrText>
      </w:r>
      <w:r>
        <w:rPr>
          <w:sz w:val="20"/>
          <w:szCs w:val="20"/>
          <w:rtl/>
        </w:rPr>
      </w:r>
      <w:r>
        <w:rPr>
          <w:sz w:val="20"/>
          <w:szCs w:val="20"/>
          <w:rtl/>
        </w:rPr>
        <w:fldChar w:fldCharType="separate"/>
      </w:r>
      <w:r w:rsidR="007923E9">
        <w:rPr>
          <w:sz w:val="20"/>
          <w:szCs w:val="20"/>
          <w:rtl/>
        </w:rPr>
        <w:t>23</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pr_f_78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ר׳ ישראל </w:t>
      </w:r>
      <w:proofErr w:type="spellStart"/>
      <w:r>
        <w:rPr>
          <w:sz w:val="20"/>
          <w:szCs w:val="20"/>
          <w:rtl/>
        </w:rPr>
        <w:t>סלנטר</w:t>
      </w:r>
      <w:proofErr w:type="spellEnd"/>
      <w:r>
        <w:rPr>
          <w:sz w:val="20"/>
          <w:szCs w:val="20"/>
          <w:rtl/>
        </w:rPr>
        <w:t xml:space="preserve">, שלבושו היה פשוט, נסע לווילנה בקרון רכבת שבו הותר העישון. צעיר שישב בקרבתו החל לצעוק שעשנו של הנוסע האחר מפריע לו. ר׳ ישראל התנצל וכיבה את הסיגריה. כעבור זמן מה התפרץ הצעיר בכעס: החלון הפתוח ליד ר׳ ישראל מכניס קור. ר׳ ישראל הסביר שלא הוא פתח אותו, אבל יסגור אותו; וכך עשה. כשהרכבת נכנסה לתחנה, המתין שם הדיין מווילנה, הרב </w:t>
      </w:r>
      <w:proofErr w:type="spellStart"/>
      <w:r>
        <w:rPr>
          <w:sz w:val="20"/>
          <w:szCs w:val="20"/>
          <w:rtl/>
        </w:rPr>
        <w:t xml:space="preserve">גרודננסקי</w:t>
      </w:r>
      <w:proofErr w:type="spellEnd"/>
      <w:r>
        <w:rPr>
          <w:sz w:val="20"/>
          <w:szCs w:val="20"/>
          <w:rtl/>
        </w:rPr>
        <w:t>, לבוא חותנו ר׳ ישראל – והצעיר גילה במי פגע.</w:t>
      </w:r>
    </w:p>
    <w:p w14:paraId="261182CB" w14:textId="77777777" w:rsidR="00AB3647" w:rsidRDefault="00000000">
      <w:pPr>
        <w:spacing w:after="0" w:before="0"/>
        <w:jc w:val="both"/>
      </w:pPr>
      <w:r>
        <w:rPr>
          <w:sz w:val="20"/>
          <w:szCs w:val="20"/>
          <w:rtl/>
        </w:rPr>
        <w:t xml:space="preserve">אחרי לילה של חרטה בא הצעיר לבית </w:t>
      </w:r>
      <w:proofErr w:type="spellStart"/>
      <w:r>
        <w:rPr>
          <w:sz w:val="20"/>
          <w:szCs w:val="20"/>
          <w:rtl/>
        </w:rPr>
        <w:t xml:space="preserve">גרודננסקי</w:t>
      </w:r>
      <w:proofErr w:type="spellEnd"/>
      <w:r>
        <w:rPr>
          <w:sz w:val="20"/>
          <w:szCs w:val="20"/>
          <w:rtl/>
        </w:rPr>
        <w:t xml:space="preserve">, ולתדהמתו קיבל אותו ר׳ ישראל בסבר פנים יפות ושאל אם נח מטורח הדרך. כשפרץ האורח בבכי וביקש מחילה, הבטיח לו ר׳ ישראל שאינו שומר לו טינה, ודיבר אליו דברי מוסר מרגיעים: כיצד אדם עלול לאבד את השליטה בעצמו, וכיצד ירגיל את עצמו שלא להגיע לכך. כשעמד הצעיר לצאת, שאל אותו ר׳ ישראל מה הביאו לעיר. הלה השיב שביקש להיבחן בשחיטה, ור׳ ישראל הציג אותו לפני חתנו כדי להקל עליו לקבל הסמכה. משנכשל במבחן, חיפש ר׳ ישראל שוחט חשוב בווילנה שיכין את הצעיר למבחן חוזר – ולבסוף קיבל הצעיר הסמכה.</w:t>
      </w:r>
    </w:p>
    <w:p w14:paraId="08D36716" w14:textId="77777777" w:rsidR="00AB3647" w:rsidRDefault="00000000">
      <w:pPr>
        <w:spacing w:after="0" w:before="0"/>
        <w:jc w:val="both"/>
      </w:pPr>
      <w:r>
        <w:rPr>
          <w:sz w:val="20"/>
          <w:szCs w:val="20"/>
          <w:rtl/>
        </w:rPr>
        <w:t>לפני שעזב את העיר בא הצעיר לשאול את ר׳ ישראל מדוע טרח כל כך למענו. בעל המוסר הסביר: “כשבאת לבקש מחילה, אמרתי שמחלתי לך. אך שמא נשאר שריד של שנאה בפינה נסתרת בליבי, הייתי צריך להיטיב עימך במיוחד: טבע האדם הוא שבעשיית טובות הוא נעשה ידיד אמת של הנהנה מהן.”</w:t>
      </w:r>
    </w:p>
  </w:footnote>
  <w:footnote w:id="1306">
    <w:p w14:paraId="3126797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עיירה כ־25 קילומטרים ממערב </w:t>
      </w:r>
      <w:proofErr w:type="spellStart"/>
      <w:r>
        <w:rPr>
          <w:sz w:val="20"/>
          <w:szCs w:val="20"/>
          <w:rtl/>
        </w:rPr>
        <w:t>לוולוז׳ין</w:t>
      </w:r>
      <w:proofErr w:type="spellEnd"/>
      <w:r>
        <w:rPr>
          <w:sz w:val="20"/>
          <w:szCs w:val="20"/>
          <w:rtl/>
        </w:rPr>
        <w:t>.</w:t>
      </w:r>
    </w:p>
  </w:footnote>
  <w:footnote w:id="1307">
    <w:p w14:paraId="2C0E356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י בפרק זה – עמ׳ 277.</w:t>
      </w:r>
    </w:p>
  </w:footnote>
  <w:footnote w:id="1308">
    <w:p w14:paraId="43A1B87F"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משלחת הרבנים (ר׳ </w:t>
      </w:r>
      <w:proofErr w:type="spellStart"/>
      <w:r>
        <w:rPr>
          <w:sz w:val="20"/>
          <w:szCs w:val="20"/>
          <w:rtl/>
        </w:rPr>
        <w:t>משה־מרדכי</w:t>
      </w:r>
      <w:proofErr w:type="spellEnd"/>
      <w:r>
        <w:rPr>
          <w:sz w:val="20"/>
          <w:szCs w:val="20"/>
          <w:rtl/>
        </w:rPr>
        <w:t xml:space="preserve"> אפשטיין, ר׳ </w:t>
      </w:r>
      <w:proofErr w:type="spellStart"/>
      <w:r>
        <w:rPr>
          <w:sz w:val="20"/>
          <w:szCs w:val="20"/>
          <w:rtl/>
        </w:rPr>
        <w:t>אברהם־דובער</w:t>
      </w:r>
      <w:proofErr w:type="spellEnd"/>
      <w:r>
        <w:rPr>
          <w:sz w:val="20"/>
          <w:szCs w:val="20"/>
          <w:rtl/>
        </w:rPr>
        <w:t xml:space="preserve"> </w:t>
      </w:r>
      <w:proofErr w:type="spellStart"/>
      <w:r>
        <w:rPr>
          <w:sz w:val="20"/>
          <w:szCs w:val="20"/>
          <w:rtl/>
        </w:rPr>
        <w:t>כהנא־שפירא</w:t>
      </w:r>
      <w:proofErr w:type="spellEnd"/>
      <w:r>
        <w:rPr>
          <w:sz w:val="20"/>
          <w:szCs w:val="20"/>
          <w:rtl/>
        </w:rPr>
        <w:t xml:space="preserve"> ור׳ </w:t>
      </w:r>
      <w:proofErr w:type="spellStart"/>
      <w:r>
        <w:rPr>
          <w:sz w:val="20"/>
          <w:szCs w:val="20"/>
          <w:rtl/>
        </w:rPr>
        <w:t>אברהם־יצחק</w:t>
      </w:r>
      <w:proofErr w:type="spellEnd"/>
      <w:r>
        <w:rPr>
          <w:sz w:val="20"/>
          <w:szCs w:val="20"/>
          <w:rtl/>
        </w:rPr>
        <w:t xml:space="preserve"> קוק) יצאה מאמריקה בחשוון תרפ״ה, ולא </w:t>
      </w:r>
      <w:proofErr w:type="spellStart"/>
      <w:r>
        <w:rPr>
          <w:sz w:val="20"/>
          <w:szCs w:val="20"/>
          <w:rtl/>
        </w:rPr>
        <w:t>בתרפ״ו</w:t>
      </w:r>
      <w:proofErr w:type="spellEnd"/>
      <w:r>
        <w:rPr>
          <w:sz w:val="20"/>
          <w:szCs w:val="20"/>
          <w:rtl/>
        </w:rPr>
        <w:t>.</w:t>
      </w:r>
    </w:p>
  </w:footnote>
  <w:footnote w:id="1309">
    <w:p w14:paraId="3823773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6 בפברואר 1987.</w:t>
      </w:r>
    </w:p>
  </w:footnote>
  <w:footnote w:id="1310">
    <w:p w14:paraId="2E2FC47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הערה 71 לעיל.</w:t>
      </w:r>
    </w:p>
  </w:footnote>
  <w:footnote w:id="1311">
    <w:p w14:paraId="47A30CD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ט בפרק זה – עמ׳ פ במספור העמודים השני.</w:t>
      </w:r>
    </w:p>
  </w:footnote>
  <w:footnote w:id="1312">
    <w:p w14:paraId="553109F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גם “כל כתבי החפץ חיים” (הערה 19 לעיל), עמ׳ 67, על הסדרת עיזבון זה.</w:t>
      </w:r>
    </w:p>
  </w:footnote>
  <w:footnote w:id="1313">
    <w:p w14:paraId="5557615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2, הערה 22.</w:t>
      </w:r>
    </w:p>
  </w:footnote>
  <w:footnote w:id="1314">
    <w:p w14:paraId="143DBA3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גם הערה 124 להלן.</w:t>
      </w:r>
    </w:p>
  </w:footnote>
  <w:footnote w:id="1315">
    <w:p w14:paraId="1F1EB77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4, הפסקה השלישית בנספח ו, לפרטי חינוכו התורני של ר׳ </w:t>
      </w:r>
      <w:proofErr w:type="spellStart"/>
      <w:r>
        <w:rPr>
          <w:sz w:val="20"/>
          <w:szCs w:val="20"/>
          <w:rtl/>
        </w:rPr>
        <w:t>יחיאל־יעקב</w:t>
      </w:r>
      <w:proofErr w:type="spellEnd"/>
      <w:r>
        <w:rPr>
          <w:sz w:val="20"/>
          <w:szCs w:val="20"/>
          <w:rtl/>
        </w:rPr>
        <w:t xml:space="preserve"> ויינברג.</w:t>
      </w:r>
    </w:p>
  </w:footnote>
  <w:footnote w:id="1316">
    <w:p w14:paraId="7871FD8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בפרק זה – עמ׳ 175.</w:t>
      </w:r>
    </w:p>
  </w:footnote>
  <w:footnote w:id="1317">
    <w:p w14:paraId="4817994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ו בפרק זה.</w:t>
      </w:r>
    </w:p>
  </w:footnote>
  <w:footnote w:id="1318">
    <w:p w14:paraId="4C5F267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הערה 96.</w:t>
      </w:r>
    </w:p>
  </w:footnote>
  <w:footnote w:id="1319">
    <w:p w14:paraId="79533A2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סוף נספח ט בפרק זה.</w:t>
      </w:r>
    </w:p>
  </w:footnote>
  <w:footnote w:id="1320">
    <w:p w14:paraId="08EB00B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8 במאי 1987.</w:t>
      </w:r>
    </w:p>
  </w:footnote>
  <w:footnote w:id="1321">
    <w:p w14:paraId="3A86A9B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w:t>
      </w:r>
      <w:proofErr w:type="spellStart"/>
      <w:r>
        <w:rPr>
          <w:sz w:val="20"/>
          <w:szCs w:val="20"/>
          <w:rtl/>
        </w:rPr>
        <w:t>יט</w:t>
      </w:r>
      <w:proofErr w:type="spellEnd"/>
      <w:r>
        <w:rPr>
          <w:sz w:val="20"/>
          <w:szCs w:val="20"/>
          <w:rtl/>
        </w:rPr>
        <w:t xml:space="preserve"> בפרק זה. ראה ברכות ו׳ ע״ב, אמר ר׳ </w:t>
      </w:r>
      <w:proofErr w:type="spellStart"/>
      <w:r>
        <w:rPr>
          <w:sz w:val="20"/>
          <w:szCs w:val="20"/>
          <w:rtl/>
        </w:rPr>
        <w:t>זירא</w:t>
      </w:r>
      <w:proofErr w:type="spellEnd"/>
      <w:r>
        <w:rPr>
          <w:sz w:val="20"/>
          <w:szCs w:val="20"/>
          <w:rtl/>
        </w:rPr>
        <w:t xml:space="preserve">, אגרא </w:t>
      </w:r>
      <w:proofErr w:type="spellStart"/>
      <w:r>
        <w:rPr>
          <w:sz w:val="20"/>
          <w:szCs w:val="20"/>
          <w:rtl/>
        </w:rPr>
        <w:t>דפירקא</w:t>
      </w:r>
      <w:proofErr w:type="spellEnd"/>
      <w:r>
        <w:rPr>
          <w:sz w:val="20"/>
          <w:szCs w:val="20"/>
          <w:rtl/>
        </w:rPr>
        <w:t xml:space="preserve"> </w:t>
      </w:r>
      <w:proofErr w:type="spellStart"/>
      <w:r>
        <w:rPr>
          <w:sz w:val="20"/>
          <w:szCs w:val="20"/>
          <w:rtl/>
        </w:rPr>
        <w:t>ריהטא</w:t>
      </w:r>
      <w:proofErr w:type="spellEnd"/>
      <w:r>
        <w:rPr>
          <w:sz w:val="20"/>
          <w:szCs w:val="20"/>
          <w:rtl/>
        </w:rPr>
        <w:t>.</w:t>
      </w:r>
    </w:p>
  </w:footnote>
  <w:footnote w:id="1322">
    <w:p w14:paraId="5B29D7C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סוף הערה 68 לעיל.</w:t>
      </w:r>
    </w:p>
  </w:footnote>
  <w:footnote w:id="1323">
    <w:p w14:paraId="6F46CDC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ג׳ואיש</w:t>
      </w:r>
      <w:proofErr w:type="spellEnd"/>
      <w:r>
        <w:rPr>
          <w:sz w:val="20"/>
          <w:szCs w:val="20"/>
          <w:rtl/>
        </w:rPr>
        <w:t xml:space="preserve"> </w:t>
      </w:r>
      <w:proofErr w:type="spellStart"/>
      <w:r>
        <w:rPr>
          <w:sz w:val="20"/>
          <w:szCs w:val="20"/>
          <w:rtl/>
        </w:rPr>
        <w:t>אובזרבר</w:t>
      </w:r>
      <w:proofErr w:type="spellEnd"/>
      <w:r>
        <w:rPr>
          <w:sz w:val="20"/>
          <w:szCs w:val="20"/>
          <w:rtl/>
        </w:rPr>
        <w:t xml:space="preserve"> (סיוון תשל״ד).</w:t>
      </w:r>
    </w:p>
  </w:footnote>
  <w:footnote w:id="1324">
    <w:p w14:paraId="0A50E36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יש באותו מאמר כמה </w:t>
      </w:r>
      <w:proofErr w:type="spellStart"/>
      <w:r>
        <w:rPr>
          <w:sz w:val="20"/>
          <w:szCs w:val="20"/>
          <w:rtl/>
        </w:rPr>
        <w:t>אי־דיוקים</w:t>
      </w:r>
      <w:proofErr w:type="spellEnd"/>
      <w:r>
        <w:rPr>
          <w:sz w:val="20"/>
          <w:szCs w:val="20"/>
          <w:rtl/>
        </w:rPr>
        <w:t xml:space="preserve"> בנוגע </w:t>
      </w:r>
      <w:proofErr w:type="spellStart"/>
      <w:r>
        <w:rPr>
          <w:sz w:val="20"/>
          <w:szCs w:val="20"/>
          <w:rtl/>
        </w:rPr>
        <w:t>לר</w:t>
      </w:r>
      <w:proofErr w:type="spellEnd"/>
      <w:r>
        <w:rPr>
          <w:sz w:val="20"/>
          <w:szCs w:val="20"/>
          <w:rtl/>
        </w:rPr>
        <w:t xml:space="preserve">׳ </w:t>
      </w:r>
      <w:proofErr w:type="spellStart"/>
      <w:r>
        <w:rPr>
          <w:sz w:val="20"/>
          <w:szCs w:val="20"/>
          <w:rtl/>
        </w:rPr>
        <w:t>משה־מרדכי</w:t>
      </w:r>
      <w:proofErr w:type="spellEnd"/>
      <w:r>
        <w:rPr>
          <w:sz w:val="20"/>
          <w:szCs w:val="20"/>
          <w:rtl/>
        </w:rPr>
        <w:t xml:space="preserve"> אפשטיין, המתוקנים בספר זה.</w:t>
      </w:r>
    </w:p>
  </w:footnote>
  <w:footnote w:id="1325">
    <w:p w14:paraId="5C316C9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17 בינואר 1988.</w:t>
      </w:r>
    </w:p>
  </w:footnote>
  <w:footnote w:id="1326">
    <w:p w14:paraId="6F1FCC3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ק״י ע״א ורש״י שם ד״ה </w:t>
      </w:r>
      <w:proofErr w:type="spellStart"/>
      <w:r>
        <w:rPr>
          <w:sz w:val="20"/>
          <w:szCs w:val="20"/>
          <w:rtl/>
        </w:rPr>
        <w:t>דאותבן</w:t>
      </w:r>
      <w:proofErr w:type="spellEnd"/>
      <w:r>
        <w:rPr>
          <w:sz w:val="20"/>
          <w:szCs w:val="20"/>
          <w:rtl/>
        </w:rPr>
        <w:t xml:space="preserve"> </w:t>
      </w:r>
      <w:proofErr w:type="spellStart"/>
      <w:r>
        <w:rPr>
          <w:sz w:val="20"/>
          <w:szCs w:val="20"/>
          <w:rtl/>
        </w:rPr>
        <w:t>בפירקא</w:t>
      </w:r>
      <w:proofErr w:type="spellEnd"/>
      <w:r>
        <w:rPr>
          <w:sz w:val="20"/>
          <w:szCs w:val="20"/>
          <w:rtl/>
        </w:rPr>
        <w:t>.</w:t>
      </w:r>
    </w:p>
  </w:footnote>
  <w:footnote w:id="1327">
    <w:p w14:paraId="31E9973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י בפרק זה – עמ׳ 304.</w:t>
      </w:r>
    </w:p>
  </w:footnote>
  <w:footnote w:id="1328">
    <w:p w14:paraId="695B1F5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5, נספח ח.</w:t>
      </w:r>
    </w:p>
  </w:footnote>
  <w:footnote w:id="1329">
    <w:p w14:paraId="67CDA72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השנייה בנספח ז בפרק זה – עמ׳ 11.</w:t>
      </w:r>
    </w:p>
  </w:footnote>
  <w:footnote w:id="1330">
    <w:p w14:paraId="5791F0C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w:t>
      </w:r>
      <w:proofErr w:type="spellStart"/>
      <w:r>
        <w:rPr>
          <w:sz w:val="20"/>
          <w:szCs w:val="20"/>
          <w:rtl/>
        </w:rPr>
        <w:t>יט</w:t>
      </w:r>
      <w:proofErr w:type="spellEnd"/>
      <w:r>
        <w:rPr>
          <w:sz w:val="20"/>
          <w:szCs w:val="20"/>
          <w:rtl/>
        </w:rPr>
        <w:t xml:space="preserve"> בפרק זה.</w:t>
      </w:r>
    </w:p>
  </w:footnote>
  <w:footnote w:id="1331">
    <w:p w14:paraId="14D0222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2.</w:t>
      </w:r>
    </w:p>
  </w:footnote>
  <w:footnote w:id="1332">
    <w:p w14:paraId="0FBAC35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ה בפרק זה. השווה גם הערה 133 להלן.</w:t>
      </w:r>
    </w:p>
  </w:footnote>
  <w:footnote w:id="1333">
    <w:p w14:paraId="0AE437D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1.2.</w:t>
      </w:r>
    </w:p>
  </w:footnote>
  <w:footnote w:id="1334">
    <w:p w14:paraId="703F3A8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16 באוגוסט 1992.</w:t>
      </w:r>
    </w:p>
  </w:footnote>
  <w:footnote w:id="1335">
    <w:p w14:paraId="44B422F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יוצא מן הכלל הוא רבי יעקב ישראל, הנזכר בתוספות (יומא מ״ו ע״ב, כתובות צ״ח ע״ב וחולין קי״ב ע״א), ושני השמות האלה שייכים לדמות מקראית אחת. וכן כתבו שו״ת נודע ביהודה </w:t>
      </w:r>
      <w:proofErr w:type="spellStart"/>
      <w:r>
        <w:rPr>
          <w:sz w:val="20"/>
          <w:szCs w:val="20"/>
          <w:rtl/>
        </w:rPr>
        <w:t>מהדו״ת</w:t>
      </w:r>
      <w:proofErr w:type="spellEnd"/>
      <w:r>
        <w:rPr>
          <w:sz w:val="20"/>
          <w:szCs w:val="20"/>
          <w:rtl/>
        </w:rPr>
        <w:t xml:space="preserve">, </w:t>
      </w:r>
      <w:proofErr w:type="spellStart"/>
      <w:r>
        <w:rPr>
          <w:sz w:val="20"/>
          <w:szCs w:val="20"/>
          <w:rtl/>
        </w:rPr>
        <w:t>או״ח</w:t>
      </w:r>
      <w:proofErr w:type="spellEnd"/>
      <w:r>
        <w:rPr>
          <w:sz w:val="20"/>
          <w:szCs w:val="20"/>
          <w:rtl/>
        </w:rPr>
        <w:t xml:space="preserve"> סי׳ קי״ג, ושו״ת חת״ם סופר </w:t>
      </w:r>
      <w:proofErr w:type="spellStart"/>
      <w:r>
        <w:rPr>
          <w:sz w:val="20"/>
          <w:szCs w:val="20"/>
          <w:rtl/>
        </w:rPr>
        <w:t>אה״ע</w:t>
      </w:r>
      <w:proofErr w:type="spellEnd"/>
      <w:r>
        <w:rPr>
          <w:sz w:val="20"/>
          <w:szCs w:val="20"/>
          <w:rtl/>
        </w:rPr>
        <w:t xml:space="preserve">, סי׳ י״ח. ועיין שו״ת משנה הלכות (מאת מנשה הקטן, מכון משנה הלכות), </w:t>
      </w:r>
      <w:proofErr w:type="spellStart"/>
      <w:r>
        <w:rPr>
          <w:sz w:val="20"/>
          <w:szCs w:val="20"/>
          <w:rtl/>
        </w:rPr>
        <w:t>ח״ה</w:t>
      </w:r>
      <w:proofErr w:type="spellEnd"/>
      <w:r>
        <w:rPr>
          <w:sz w:val="20"/>
          <w:szCs w:val="20"/>
          <w:rtl/>
        </w:rPr>
        <w:t xml:space="preserve">, סי׳ רט״ו (תשמ״ו), </w:t>
      </w:r>
      <w:proofErr w:type="spellStart"/>
      <w:r>
        <w:rPr>
          <w:sz w:val="20"/>
          <w:szCs w:val="20"/>
          <w:rtl/>
        </w:rPr>
        <w:t>וח״ו</w:t>
      </w:r>
      <w:proofErr w:type="spellEnd"/>
      <w:r>
        <w:rPr>
          <w:sz w:val="20"/>
          <w:szCs w:val="20"/>
          <w:rtl/>
        </w:rPr>
        <w:t>, סי׳ רנ״ה (תשמ״ז).</w:t>
      </w:r>
    </w:p>
  </w:footnote>
  <w:footnote w:id="1336">
    <w:p w14:paraId="4DADDE8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2, הערה 91.</w:t>
      </w:r>
    </w:p>
  </w:footnote>
  <w:footnote w:id="1337">
    <w:p w14:paraId="223FC75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בסלבודקה</w:t>
      </w:r>
      <w:proofErr w:type="spellEnd"/>
      <w:r>
        <w:rPr>
          <w:sz w:val="20"/>
          <w:szCs w:val="20"/>
          <w:rtl/>
        </w:rPr>
        <w:t xml:space="preserve"> לא למדו את כל הש״ס דף אחר דף, מתחילתו ועד סופו, כפי שנהגו </w:t>
      </w:r>
      <w:proofErr w:type="spellStart"/>
      <w:r>
        <w:rPr>
          <w:sz w:val="20"/>
          <w:szCs w:val="20"/>
          <w:rtl/>
        </w:rPr>
        <w:t>בוולוז׳ין</w:t>
      </w:r>
      <w:proofErr w:type="spellEnd"/>
      <w:r>
        <w:rPr>
          <w:sz w:val="20"/>
          <w:szCs w:val="20"/>
          <w:rtl/>
        </w:rPr>
        <w:t xml:space="preserve"> עד סגירתה. על תוכנית הלימודים </w:t>
      </w:r>
      <w:proofErr w:type="spellStart"/>
      <w:r>
        <w:rPr>
          <w:sz w:val="20"/>
          <w:szCs w:val="20"/>
          <w:rtl/>
        </w:rPr>
        <w:t>בוולוז׳ין</w:t>
      </w:r>
      <w:proofErr w:type="spellEnd"/>
      <w:r>
        <w:rPr>
          <w:sz w:val="20"/>
          <w:szCs w:val="20"/>
          <w:rtl/>
        </w:rPr>
        <w:t xml:space="preserve"> ראה פרק 4, סוף הפסקה הרביעית בנספח ט.</w:t>
      </w:r>
    </w:p>
  </w:footnote>
  <w:footnote w:id="1338">
    <w:p w14:paraId="03CF926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 בפברואר 1992.</w:t>
      </w:r>
    </w:p>
  </w:footnote>
  <w:footnote w:id="1339">
    <w:p w14:paraId="4D30309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ועיין כתובות </w:t>
      </w:r>
      <w:proofErr w:type="spellStart"/>
      <w:r>
        <w:rPr>
          <w:sz w:val="20"/>
          <w:szCs w:val="20"/>
          <w:rtl/>
        </w:rPr>
        <w:t>יז</w:t>
      </w:r>
      <w:proofErr w:type="spellEnd"/>
      <w:r>
        <w:rPr>
          <w:sz w:val="20"/>
          <w:szCs w:val="20"/>
          <w:rtl/>
        </w:rPr>
        <w:t xml:space="preserve"> ע״א, לא תסמכו לנא לא מן </w:t>
      </w:r>
      <w:proofErr w:type="spellStart"/>
      <w:r>
        <w:rPr>
          <w:sz w:val="20"/>
          <w:szCs w:val="20"/>
          <w:rtl/>
        </w:rPr>
        <w:t>סרמיסין</w:t>
      </w:r>
      <w:proofErr w:type="spellEnd"/>
      <w:r>
        <w:rPr>
          <w:sz w:val="20"/>
          <w:szCs w:val="20"/>
          <w:rtl/>
        </w:rPr>
        <w:t xml:space="preserve"> </w:t>
      </w:r>
      <w:proofErr w:type="spellStart"/>
      <w:r>
        <w:rPr>
          <w:sz w:val="20"/>
          <w:szCs w:val="20"/>
          <w:rtl/>
        </w:rPr>
        <w:t>וכו</w:t>
      </w:r>
      <w:proofErr w:type="spellEnd"/>
      <w:r>
        <w:rPr>
          <w:sz w:val="20"/>
          <w:szCs w:val="20"/>
          <w:rtl/>
        </w:rPr>
        <w:t xml:space="preserve">׳, ובערוך, ערך חמס, בסופו, שמביא פירוש אחר. ראה גם הערת שוליים </w:t>
      </w:r>
      <w:r>
        <w:rPr>
          <w:sz w:val="20"/>
          <w:szCs w:val="20"/>
          <w:rtl/>
        </w:rPr>
        <w:fldChar w:fldCharType="begin" w:dirty="true"/>
      </w:r>
      <w:r>
        <w:rPr>
          <w:sz w:val="20"/>
          <w:szCs w:val="20"/>
          <w:rtl/>
        </w:rPr>
        <w:instrText xml:space="preserve"> NOTEREF pr_f_366 \h </w:instrText>
      </w:r>
      <w:r>
        <w:rPr>
          <w:sz w:val="20"/>
          <w:szCs w:val="20"/>
          <w:rtl/>
        </w:rPr>
      </w:r>
      <w:r>
        <w:rPr>
          <w:sz w:val="20"/>
          <w:szCs w:val="20"/>
          <w:rtl/>
        </w:rPr>
        <w:fldChar w:fldCharType="separate"/>
      </w:r>
      <w:r w:rsidR="007923E9">
        <w:rPr>
          <w:sz w:val="20"/>
          <w:szCs w:val="20"/>
          <w:rtl/>
        </w:rPr>
        <w:t>308</w:t>
      </w:r>
      <w:r>
        <w:rPr>
          <w:sz w:val="20"/>
          <w:szCs w:val="20"/>
          <w:rtl/>
        </w:rPr>
        <w:fldChar w:fldCharType="end"/>
      </w:r>
      <w:r>
        <w:rPr>
          <w:sz w:val="20"/>
          <w:szCs w:val="20"/>
          <w:rtl/>
        </w:rPr>
        <w:t xml:space="preserve">, עמ׳ </w:t>
      </w:r>
      <w:r>
        <w:rPr>
          <w:sz w:val="20"/>
          <w:szCs w:val="20"/>
          <w:rtl/>
        </w:rPr>
        <w:fldChar w:fldCharType="begin" w:dirty="true"/>
      </w:r>
      <w:r>
        <w:rPr>
          <w:sz w:val="20"/>
          <w:szCs w:val="20"/>
          <w:rtl/>
        </w:rPr>
        <w:instrText xml:space="preserve"> PAGEREF pr_f_366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לעיל.</w:t>
      </w:r>
    </w:p>
  </w:footnote>
  <w:footnote w:id="1340">
    <w:p w14:paraId="4CC3F88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שני האמוראים האלה שימשו דוגמה לדיונים בתלמוד; ראה גם פרק 2, הערה 13.</w:t>
      </w:r>
    </w:p>
  </w:footnote>
  <w:footnote w:id="1341">
    <w:p w14:paraId="1522225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w:t>
      </w:r>
      <w:proofErr w:type="spellStart"/>
      <w:r>
        <w:rPr>
          <w:sz w:val="20"/>
          <w:szCs w:val="20"/>
          <w:rtl/>
        </w:rPr>
        <w:t>כז</w:t>
      </w:r>
      <w:proofErr w:type="spellEnd"/>
      <w:r>
        <w:rPr>
          <w:sz w:val="20"/>
          <w:szCs w:val="20"/>
          <w:rtl/>
        </w:rPr>
        <w:t xml:space="preserve"> בפרק זה. הוא נולד במאלט </w:t>
      </w:r>
      <w:proofErr w:type="spellStart"/>
      <w:r>
        <w:rPr>
          <w:sz w:val="20"/>
          <w:szCs w:val="20"/>
          <w:rtl/>
        </w:rPr>
        <w:t>בתרס״ט</w:t>
      </w:r>
      <w:proofErr w:type="spellEnd"/>
      <w:r>
        <w:rPr>
          <w:sz w:val="20"/>
          <w:szCs w:val="20"/>
          <w:rtl/>
        </w:rPr>
        <w:t xml:space="preserve">, והיה תלמיד ישיבת </w:t>
      </w:r>
      <w:proofErr w:type="spellStart"/>
      <w:r>
        <w:rPr>
          <w:sz w:val="20"/>
          <w:szCs w:val="20"/>
          <w:rtl/>
        </w:rPr>
        <w:t>סלבודקה</w:t>
      </w:r>
      <w:proofErr w:type="spellEnd"/>
      <w:r>
        <w:rPr>
          <w:sz w:val="20"/>
          <w:szCs w:val="20"/>
          <w:rtl/>
        </w:rPr>
        <w:t xml:space="preserve"> עד שעלה לארץ ישראל </w:t>
      </w:r>
      <w:proofErr w:type="spellStart"/>
      <w:r>
        <w:rPr>
          <w:sz w:val="20"/>
          <w:szCs w:val="20"/>
          <w:rtl/>
        </w:rPr>
        <w:t>בתרצ״ד</w:t>
      </w:r>
      <w:proofErr w:type="spellEnd"/>
      <w:r>
        <w:rPr>
          <w:sz w:val="20"/>
          <w:szCs w:val="20"/>
          <w:rtl/>
        </w:rPr>
        <w:t>.</w:t>
      </w:r>
    </w:p>
  </w:footnote>
  <w:footnote w:id="1342">
    <w:p w14:paraId="598B5E0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פרק 5, הפסקה הרביעית בנספח ו, על דעתו של ר׳ </w:t>
      </w:r>
      <w:proofErr w:type="spellStart"/>
      <w:r>
        <w:rPr>
          <w:sz w:val="20"/>
          <w:szCs w:val="20"/>
          <w:rtl/>
        </w:rPr>
        <w:t>ראובן׳לה</w:t>
      </w:r>
      <w:proofErr w:type="spellEnd"/>
      <w:r>
        <w:rPr>
          <w:sz w:val="20"/>
          <w:szCs w:val="20"/>
          <w:rtl/>
        </w:rPr>
        <w:t xml:space="preserve"> </w:t>
      </w:r>
      <w:proofErr w:type="spellStart"/>
      <w:r>
        <w:rPr>
          <w:sz w:val="20"/>
          <w:szCs w:val="20"/>
          <w:rtl/>
        </w:rPr>
        <w:t>דנבורגר</w:t>
      </w:r>
      <w:proofErr w:type="spellEnd"/>
      <w:r>
        <w:rPr>
          <w:sz w:val="20"/>
          <w:szCs w:val="20"/>
          <w:rtl/>
        </w:rPr>
        <w:t xml:space="preserve"> בעניין זה.</w:t>
      </w:r>
    </w:p>
  </w:footnote>
  <w:footnote w:id="1343">
    <w:p w14:paraId="52A251B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ויקרא רבה ט, ג.</w:t>
      </w:r>
    </w:p>
  </w:footnote>
  <w:footnote w:id="1344">
    <w:p w14:paraId="38267F6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הכול ידעו שאבי נחלק עם אותו ראש ישיבה דווקא בעניינים הנוגעים ליושר מלא בתוכניות ממשלתיות.</w:t>
      </w:r>
    </w:p>
  </w:footnote>
  <w:footnote w:id="1345">
    <w:p w14:paraId="37F3422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מפי ר׳ יצחק </w:t>
      </w:r>
      <w:proofErr w:type="spellStart"/>
      <w:r>
        <w:rPr>
          <w:sz w:val="20"/>
          <w:szCs w:val="20"/>
          <w:rtl/>
        </w:rPr>
        <w:t>קנובל</w:t>
      </w:r>
      <w:proofErr w:type="spellEnd"/>
      <w:r>
        <w:rPr>
          <w:sz w:val="20"/>
          <w:szCs w:val="20"/>
          <w:rtl/>
        </w:rPr>
        <w:t xml:space="preserve"> (פרק 1, נספח ג).</w:t>
      </w:r>
    </w:p>
  </w:footnote>
  <w:footnote w:id="1346">
    <w:p w14:paraId="0A3EA06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הפסקה השנייה בפרק 1.1 וסוף הערה 13.</w:t>
      </w:r>
    </w:p>
  </w:footnote>
  <w:footnote w:id="1347">
    <w:p w14:paraId="1F9D348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סוף הערה 74 לעיל.</w:t>
      </w:r>
    </w:p>
  </w:footnote>
  <w:footnote w:id="1348">
    <w:p w14:paraId="6CF55BC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למד </w:t>
      </w:r>
      <w:proofErr w:type="spellStart"/>
      <w:r>
        <w:rPr>
          <w:sz w:val="20"/>
          <w:szCs w:val="20"/>
          <w:rtl/>
        </w:rPr>
        <w:t>בסלבודקה</w:t>
      </w:r>
      <w:proofErr w:type="spellEnd"/>
      <w:r>
        <w:rPr>
          <w:sz w:val="20"/>
          <w:szCs w:val="20"/>
          <w:rtl/>
        </w:rPr>
        <w:t xml:space="preserve"> בתקופת רבנו, והיה צעיר ממנו בשנתיים; שם נודע בכינוי מנדל </w:t>
      </w:r>
      <w:proofErr w:type="spellStart"/>
      <w:r>
        <w:rPr>
          <w:sz w:val="20"/>
          <w:szCs w:val="20"/>
          <w:rtl/>
        </w:rPr>
        <w:t>דרוהיצ׳ינר</w:t>
      </w:r>
      <w:proofErr w:type="spellEnd"/>
      <w:r>
        <w:rPr>
          <w:sz w:val="20"/>
          <w:szCs w:val="20"/>
          <w:rtl/>
        </w:rPr>
        <w:t xml:space="preserve">. השווה גם כרך 3, על פגישתם כשאבי הגיע לאמריקה ועל יחסיהם החמים עד פטירת ר׳ מנחם פר </w:t>
      </w:r>
      <w:proofErr w:type="spellStart"/>
      <w:r>
        <w:rPr>
          <w:sz w:val="20"/>
          <w:szCs w:val="20"/>
          <w:rtl/>
        </w:rPr>
        <w:t>בתש״ם</w:t>
      </w:r>
      <w:proofErr w:type="spellEnd"/>
      <w:r>
        <w:rPr>
          <w:sz w:val="20"/>
          <w:szCs w:val="20"/>
          <w:rtl/>
        </w:rPr>
        <w:t>.</w:t>
      </w:r>
    </w:p>
  </w:footnote>
  <w:footnote w:id="1349">
    <w:p w14:paraId="1BCF1D1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ט בפרק זה – עמ׳ 163.</w:t>
      </w:r>
    </w:p>
  </w:footnote>
  <w:footnote w:id="1350">
    <w:p w14:paraId="739AD02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בפרק זה.</w:t>
      </w:r>
    </w:p>
  </w:footnote>
  <w:footnote w:id="1351">
    <w:p w14:paraId="152FF36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2, נספח ו.</w:t>
      </w:r>
    </w:p>
  </w:footnote>
  <w:footnote w:id="1352">
    <w:p w14:paraId="6B99C03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נספחים ד </w:t>
      </w:r>
      <w:proofErr w:type="spellStart"/>
      <w:r>
        <w:rPr>
          <w:sz w:val="20"/>
          <w:szCs w:val="20"/>
          <w:rtl/>
        </w:rPr>
        <w:t>ויז</w:t>
      </w:r>
      <w:proofErr w:type="spellEnd"/>
      <w:r>
        <w:rPr>
          <w:sz w:val="20"/>
          <w:szCs w:val="20"/>
          <w:rtl/>
        </w:rPr>
        <w:t xml:space="preserve"> בפרק זה.</w:t>
      </w:r>
    </w:p>
  </w:footnote>
  <w:footnote w:id="1353">
    <w:p w14:paraId="046FB2E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אם מניין זה מדויק, ודאי נכחו בשיעורו של ר׳ </w:t>
      </w:r>
      <w:proofErr w:type="spellStart"/>
      <w:r>
        <w:rPr>
          <w:sz w:val="20"/>
          <w:szCs w:val="20"/>
          <w:rtl/>
        </w:rPr>
        <w:t>ברוך־בער</w:t>
      </w:r>
      <w:proofErr w:type="spellEnd"/>
      <w:r>
        <w:rPr>
          <w:sz w:val="20"/>
          <w:szCs w:val="20"/>
          <w:rtl/>
        </w:rPr>
        <w:t xml:space="preserve"> גם בעלי בתים רבים מן העיר.</w:t>
      </w:r>
    </w:p>
  </w:footnote>
  <w:footnote w:id="1354">
    <w:p w14:paraId="4C2E44D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ב־31 באוקטובר 1995.</w:t>
      </w:r>
    </w:p>
  </w:footnote>
  <w:footnote w:id="1355">
    <w:p w14:paraId="2614DE6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w:t>
      </w:r>
      <w:proofErr w:type="spellStart"/>
      <w:r>
        <w:rPr>
          <w:sz w:val="20"/>
          <w:szCs w:val="20"/>
          <w:rtl/>
        </w:rPr>
        <w:t>ברוך־בער</w:t>
      </w:r>
      <w:proofErr w:type="spellEnd"/>
      <w:r>
        <w:rPr>
          <w:sz w:val="20"/>
          <w:szCs w:val="20"/>
          <w:rtl/>
        </w:rPr>
        <w:t xml:space="preserve"> לא הזכיר שבן צעיר יותר של הסבא, ר׳ משה </w:t>
      </w:r>
      <w:proofErr w:type="spellStart"/>
      <w:r>
        <w:rPr>
          <w:sz w:val="20"/>
          <w:szCs w:val="20"/>
          <w:rtl/>
        </w:rPr>
        <w:t>פינקל</w:t>
      </w:r>
      <w:proofErr w:type="spellEnd"/>
      <w:r>
        <w:rPr>
          <w:sz w:val="20"/>
          <w:szCs w:val="20"/>
          <w:rtl/>
        </w:rPr>
        <w:t xml:space="preserve">, למד אצלו </w:t>
      </w:r>
      <w:proofErr w:type="spellStart"/>
      <w:r>
        <w:rPr>
          <w:sz w:val="20"/>
          <w:szCs w:val="20"/>
          <w:rtl/>
        </w:rPr>
        <w:t>בהלוסק</w:t>
      </w:r>
      <w:proofErr w:type="spellEnd"/>
      <w:r>
        <w:rPr>
          <w:sz w:val="20"/>
          <w:szCs w:val="20"/>
          <w:rtl/>
        </w:rPr>
        <w:t xml:space="preserve">, כפי שיסופר להלן (ואולי אף השתתף בכמה משיעוריו בכנסת בית יצחק). ר׳ משה, כמו ר׳ </w:t>
      </w:r>
      <w:proofErr w:type="spellStart"/>
      <w:r>
        <w:rPr>
          <w:sz w:val="20"/>
          <w:szCs w:val="20"/>
          <w:rtl/>
        </w:rPr>
        <w:t>לייזר־יודל</w:t>
      </w:r>
      <w:proofErr w:type="spellEnd"/>
      <w:r>
        <w:rPr>
          <w:sz w:val="20"/>
          <w:szCs w:val="20"/>
          <w:rtl/>
        </w:rPr>
        <w:t xml:space="preserve">, נעשה גם הוא תלמיד חכם מפורסם. אפשר לשער שהטעם לכך שלא הזכירו הוא שר׳ משה כבר לא היה בחיים בשעה שדיבר ר׳ </w:t>
      </w:r>
      <w:proofErr w:type="spellStart"/>
      <w:r>
        <w:rPr>
          <w:sz w:val="20"/>
          <w:szCs w:val="20"/>
          <w:rtl/>
        </w:rPr>
        <w:t>ברוך־בער</w:t>
      </w:r>
      <w:proofErr w:type="spellEnd"/>
      <w:r>
        <w:rPr>
          <w:sz w:val="20"/>
          <w:szCs w:val="20"/>
          <w:rtl/>
        </w:rPr>
        <w:t xml:space="preserve"> עם ר׳ שכנא </w:t>
      </w:r>
      <w:proofErr w:type="spellStart"/>
      <w:r>
        <w:rPr>
          <w:sz w:val="20"/>
          <w:szCs w:val="20"/>
          <w:rtl/>
        </w:rPr>
        <w:t>זאהן</w:t>
      </w:r>
      <w:proofErr w:type="spellEnd"/>
      <w:r>
        <w:rPr>
          <w:sz w:val="20"/>
          <w:szCs w:val="20"/>
          <w:rtl/>
        </w:rPr>
        <w:t>.</w:t>
      </w:r>
    </w:p>
  </w:footnote>
  <w:footnote w:id="1356">
    <w:p w14:paraId="09A4E28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בעמ׳ 29 בחוברת “אשא עיני אל ההרים – שביבי נגה מדמותה של הרבנית חנה מרים </w:t>
      </w:r>
      <w:proofErr w:type="spellStart"/>
      <w:r>
        <w:rPr>
          <w:rStyle w:val="a5"/>
          <w:sz w:val="20"/>
          <w:szCs w:val="20"/>
          <w:vertAlign w:val="baseline"/>
          <w:rtl/>
        </w:rPr>
        <w:t>שמואלביץ</w:t>
      </w:r>
      <w:proofErr w:type="spellEnd"/>
      <w:r>
        <w:rPr>
          <w:rStyle w:val="a5"/>
          <w:sz w:val="20"/>
          <w:szCs w:val="20"/>
          <w:vertAlign w:val="baseline"/>
          <w:rtl/>
        </w:rPr>
        <w:t xml:space="preserve">” (ירושלים, חשוון תשנ״ו) מובאים דברי ר׳ </w:t>
      </w:r>
      <w:proofErr w:type="spellStart"/>
      <w:r>
        <w:rPr>
          <w:rStyle w:val="a5"/>
          <w:sz w:val="20"/>
          <w:szCs w:val="20"/>
          <w:vertAlign w:val="baseline"/>
          <w:rtl/>
        </w:rPr>
        <w:t>לייזר־יודל</w:t>
      </w:r>
      <w:proofErr w:type="spellEnd"/>
      <w:r>
        <w:rPr>
          <w:rStyle w:val="a5"/>
          <w:sz w:val="20"/>
          <w:szCs w:val="20"/>
          <w:vertAlign w:val="baseline"/>
          <w:rtl/>
        </w:rPr>
        <w:t xml:space="preserve">: “בדור הקודם הכרנו יחיד אחד מיוחד במידת הענווה – זה היה ר׳ </w:t>
      </w:r>
      <w:proofErr w:type="spellStart"/>
      <w:r>
        <w:rPr>
          <w:rStyle w:val="a5"/>
          <w:sz w:val="20"/>
          <w:szCs w:val="20"/>
          <w:vertAlign w:val="baseline"/>
          <w:rtl/>
        </w:rPr>
        <w:t>ברוך־בער</w:t>
      </w:r>
      <w:proofErr w:type="spellEnd"/>
      <w:r>
        <w:rPr>
          <w:rStyle w:val="a5"/>
          <w:sz w:val="20"/>
          <w:szCs w:val="20"/>
          <w:vertAlign w:val="baseline"/>
          <w:rtl/>
        </w:rPr>
        <w:t>. בדור הזה אני מכיר אחת – בתי [</w:t>
      </w:r>
      <w:proofErr w:type="spellStart"/>
      <w:r>
        <w:rPr>
          <w:rStyle w:val="a5"/>
          <w:sz w:val="20"/>
          <w:szCs w:val="20"/>
          <w:vertAlign w:val="baseline"/>
          <w:rtl/>
        </w:rPr>
        <w:t>חנה־מרים</w:t>
      </w:r>
      <w:proofErr w:type="spellEnd"/>
      <w:r>
        <w:rPr>
          <w:rStyle w:val="a5"/>
          <w:sz w:val="20"/>
          <w:szCs w:val="20"/>
          <w:vertAlign w:val="baseline"/>
          <w:rtl/>
        </w:rPr>
        <w:t xml:space="preserve"> </w:t>
      </w:r>
      <w:proofErr w:type="spellStart"/>
      <w:r>
        <w:rPr>
          <w:rStyle w:val="a5"/>
          <w:sz w:val="20"/>
          <w:szCs w:val="20"/>
          <w:vertAlign w:val="baseline"/>
          <w:rtl/>
        </w:rPr>
        <w:t>שמואלביץ</w:t>
      </w:r>
      <w:proofErr w:type="spellEnd"/>
      <w:r>
        <w:rPr>
          <w:rStyle w:val="a5"/>
          <w:sz w:val="20"/>
          <w:szCs w:val="20"/>
          <w:vertAlign w:val="baseline"/>
          <w:rtl/>
        </w:rPr>
        <w:t>].”</w:t>
      </w:r>
    </w:p>
  </w:footnote>
  <w:footnote w:id="1357">
    <w:p w14:paraId="1592DEA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הפסקה השלישית בנספח </w:t>
      </w:r>
      <w:proofErr w:type="spellStart"/>
      <w:r>
        <w:rPr>
          <w:sz w:val="20"/>
          <w:szCs w:val="20"/>
          <w:rtl/>
        </w:rPr>
        <w:t>יח</w:t>
      </w:r>
      <w:proofErr w:type="spellEnd"/>
      <w:r>
        <w:rPr>
          <w:sz w:val="20"/>
          <w:szCs w:val="20"/>
          <w:rtl/>
        </w:rPr>
        <w:t xml:space="preserve"> בפרק זה.</w:t>
      </w:r>
    </w:p>
  </w:footnote>
  <w:footnote w:id="1358">
    <w:p w14:paraId="3E73D04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הערה 134.</w:t>
      </w:r>
    </w:p>
  </w:footnote>
  <w:footnote w:id="1359">
    <w:p w14:paraId="7C0A356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תלמיד חכם אחד העביר לכותב שורות אלו את דברי הרב שמחה וסרמן על הנהגה זו של ר׳ </w:t>
      </w:r>
      <w:proofErr w:type="spellStart"/>
      <w:r>
        <w:rPr>
          <w:sz w:val="20"/>
          <w:szCs w:val="20"/>
          <w:rtl/>
        </w:rPr>
        <w:t>ברוך־בער</w:t>
      </w:r>
      <w:proofErr w:type="spellEnd"/>
      <w:r>
        <w:rPr>
          <w:sz w:val="20"/>
          <w:szCs w:val="20"/>
          <w:rtl/>
        </w:rPr>
        <w:t xml:space="preserve">: “כך דרכו של תלמיד חכם: שהרי למידים </w:t>
      </w:r>
      <w:proofErr w:type="spellStart"/>
      <w:r>
        <w:rPr>
          <w:sz w:val="20"/>
          <w:szCs w:val="20"/>
          <w:rtl/>
        </w:rPr>
        <w:t>מ‘זהב</w:t>
      </w:r>
      <w:proofErr w:type="spellEnd"/>
      <w:r>
        <w:rPr>
          <w:sz w:val="20"/>
          <w:szCs w:val="20"/>
          <w:rtl/>
        </w:rPr>
        <w:t xml:space="preserve"> טהור מבית ומחוץ תצפנו’ שכתוב אצל הארון שתלמיד חכם צריך להיות תוכו כברו [יומא ע״ב ע״ב], והרי גם הארון נשאר עץ בתוך תוכו – ומזה למידים שגם תלמיד חכם איננו מחויב להיות מלאך.” וזה כמו שר׳ קופל </w:t>
      </w:r>
      <w:proofErr w:type="spellStart"/>
      <w:r>
        <w:rPr>
          <w:sz w:val="20"/>
          <w:szCs w:val="20"/>
          <w:rtl/>
        </w:rPr>
        <w:t>וולפרט</w:t>
      </w:r>
      <w:proofErr w:type="spellEnd"/>
      <w:r>
        <w:rPr>
          <w:sz w:val="20"/>
          <w:szCs w:val="20"/>
          <w:rtl/>
        </w:rPr>
        <w:t xml:space="preserve"> הבין את הדבר. וכמובן, דרגה של “זהב... מבית ומחוץ” היא ג״כ עצומה </w:t>
      </w:r>
      <w:proofErr w:type="spellStart"/>
      <w:r>
        <w:rPr>
          <w:sz w:val="20"/>
          <w:szCs w:val="20"/>
          <w:rtl/>
        </w:rPr>
        <w:t>ודו״ק</w:t>
      </w:r>
      <w:proofErr w:type="spellEnd"/>
      <w:r>
        <w:rPr>
          <w:sz w:val="20"/>
          <w:szCs w:val="20"/>
          <w:rtl/>
        </w:rPr>
        <w:t xml:space="preserve">. ועי׳ פסחים ס״ח ע״ב רב ששת וכו׳ מעיקרא כי עביד </w:t>
      </w:r>
      <w:proofErr w:type="spellStart"/>
      <w:r>
        <w:rPr>
          <w:sz w:val="20"/>
          <w:szCs w:val="20"/>
          <w:rtl/>
        </w:rPr>
        <w:t>איניש</w:t>
      </w:r>
      <w:proofErr w:type="spellEnd"/>
      <w:r>
        <w:rPr>
          <w:sz w:val="20"/>
          <w:szCs w:val="20"/>
          <w:rtl/>
        </w:rPr>
        <w:t xml:space="preserve"> </w:t>
      </w:r>
      <w:proofErr w:type="spellStart"/>
      <w:r>
        <w:rPr>
          <w:sz w:val="20"/>
          <w:szCs w:val="20"/>
          <w:rtl/>
        </w:rPr>
        <w:t>אדעתא</w:t>
      </w:r>
      <w:proofErr w:type="spellEnd"/>
      <w:r>
        <w:rPr>
          <w:sz w:val="20"/>
          <w:szCs w:val="20"/>
          <w:rtl/>
        </w:rPr>
        <w:t xml:space="preserve"> </w:t>
      </w:r>
      <w:proofErr w:type="spellStart"/>
      <w:r>
        <w:rPr>
          <w:sz w:val="20"/>
          <w:szCs w:val="20"/>
          <w:rtl/>
        </w:rPr>
        <w:t>דנפשיה</w:t>
      </w:r>
      <w:proofErr w:type="spellEnd"/>
      <w:r>
        <w:rPr>
          <w:sz w:val="20"/>
          <w:szCs w:val="20"/>
          <w:rtl/>
        </w:rPr>
        <w:t xml:space="preserve"> </w:t>
      </w:r>
      <w:proofErr w:type="spellStart"/>
      <w:r>
        <w:rPr>
          <w:sz w:val="20"/>
          <w:szCs w:val="20"/>
          <w:rtl/>
        </w:rPr>
        <w:t>קא</w:t>
      </w:r>
      <w:proofErr w:type="spellEnd"/>
      <w:r>
        <w:rPr>
          <w:sz w:val="20"/>
          <w:szCs w:val="20"/>
          <w:rtl/>
        </w:rPr>
        <w:t xml:space="preserve"> עביד, וגם עיין בסוף הערת שוליים </w:t>
      </w:r>
      <w:r>
        <w:rPr>
          <w:sz w:val="20"/>
          <w:szCs w:val="20"/>
          <w:rtl/>
        </w:rPr>
        <w:fldChar w:fldCharType="begin" w:dirty="true"/>
      </w:r>
      <w:r>
        <w:rPr>
          <w:sz w:val="20"/>
          <w:szCs w:val="20"/>
          <w:rtl/>
        </w:rPr>
        <w:instrText xml:space="preserve"> NOTEREF pr_f_3220 \h </w:instrText>
      </w:r>
      <w:r>
        <w:rPr>
          <w:sz w:val="20"/>
          <w:szCs w:val="20"/>
          <w:rtl/>
        </w:rPr>
      </w:r>
      <w:r>
        <w:rPr>
          <w:sz w:val="20"/>
          <w:szCs w:val="20"/>
          <w:rtl/>
        </w:rPr>
        <w:fldChar w:fldCharType="separate"/>
      </w:r>
      <w:r w:rsidR="007923E9">
        <w:rPr>
          <w:sz w:val="20"/>
          <w:szCs w:val="20"/>
          <w:rtl/>
        </w:rPr>
        <w:t>297</w:t>
      </w:r>
      <w:r>
        <w:rPr>
          <w:sz w:val="20"/>
          <w:szCs w:val="20"/>
          <w:rtl/>
        </w:rPr>
        <w:fldChar w:fldCharType="end"/>
      </w:r>
      <w:r>
        <w:rPr>
          <w:sz w:val="20"/>
          <w:szCs w:val="20"/>
          <w:rtl/>
        </w:rPr>
        <w:t xml:space="preserve"> שמתחילה בעמ׳ </w:t>
      </w:r>
      <w:r>
        <w:rPr>
          <w:sz w:val="20"/>
          <w:szCs w:val="20"/>
          <w:rtl/>
        </w:rPr>
        <w:fldChar w:fldCharType="begin" w:dirty="true"/>
      </w:r>
      <w:r>
        <w:rPr>
          <w:sz w:val="20"/>
          <w:szCs w:val="20"/>
          <w:rtl/>
        </w:rPr>
        <w:instrText xml:space="preserve"> PAGEREF pr_f_3220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להלן.</w:t>
      </w:r>
    </w:p>
  </w:footnote>
  <w:footnote w:id="1360">
    <w:p w14:paraId="2EB02CD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ו בפרק זה – עמ׳ 40.</w:t>
      </w:r>
    </w:p>
  </w:footnote>
  <w:footnote w:id="1361">
    <w:p w14:paraId="37B57F1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הפסקה השנייה בנספח </w:t>
      </w:r>
      <w:proofErr w:type="spellStart"/>
      <w:r>
        <w:rPr>
          <w:sz w:val="20"/>
          <w:szCs w:val="20"/>
          <w:rtl/>
        </w:rPr>
        <w:t>כב</w:t>
      </w:r>
      <w:proofErr w:type="spellEnd"/>
      <w:r>
        <w:rPr>
          <w:sz w:val="20"/>
          <w:szCs w:val="20"/>
          <w:rtl/>
        </w:rPr>
        <w:t xml:space="preserve"> בפרק זה: תלמידו המובהק של ר׳ </w:t>
      </w:r>
      <w:proofErr w:type="spellStart"/>
      <w:r>
        <w:rPr>
          <w:sz w:val="20"/>
          <w:szCs w:val="20"/>
          <w:rtl/>
        </w:rPr>
        <w:t>ברוך־בער</w:t>
      </w:r>
      <w:proofErr w:type="spellEnd"/>
      <w:r>
        <w:rPr>
          <w:sz w:val="20"/>
          <w:szCs w:val="20"/>
          <w:rtl/>
        </w:rPr>
        <w:t xml:space="preserve">, ר׳ שלמה היימן, שקל לעשות כמותם, אך ר׳ </w:t>
      </w:r>
      <w:proofErr w:type="spellStart"/>
      <w:r>
        <w:rPr>
          <w:sz w:val="20"/>
          <w:szCs w:val="20"/>
          <w:rtl/>
        </w:rPr>
        <w:t>ברוך־בער</w:t>
      </w:r>
      <w:proofErr w:type="spellEnd"/>
      <w:r>
        <w:rPr>
          <w:sz w:val="20"/>
          <w:szCs w:val="20"/>
          <w:rtl/>
        </w:rPr>
        <w:t xml:space="preserve"> הניאו מכך.</w:t>
      </w:r>
    </w:p>
  </w:footnote>
  <w:footnote w:id="1362">
    <w:p w14:paraId="48D94B4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י בפרק זה – עמ׳ 74–75.</w:t>
      </w:r>
    </w:p>
  </w:footnote>
  <w:footnote w:id="1363">
    <w:p w14:paraId="532AC0C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 הערה 134.</w:t>
      </w:r>
    </w:p>
  </w:footnote>
  <w:footnote w:id="1364">
    <w:p w14:paraId="2A32A38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שבת ל׳ ע״ב.</w:t>
      </w:r>
    </w:p>
  </w:footnote>
  <w:footnote w:id="1365">
    <w:p w14:paraId="73B7667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מציג את עצמו כאילו למד בכנסת בית יצחק לפני בואם של </w:t>
      </w:r>
      <w:proofErr w:type="spellStart"/>
      <w:r>
        <w:rPr>
          <w:sz w:val="20"/>
          <w:szCs w:val="20"/>
          <w:rtl/>
        </w:rPr>
        <w:t>ההלוסקאים</w:t>
      </w:r>
      <w:proofErr w:type="spellEnd"/>
      <w:r>
        <w:rPr>
          <w:sz w:val="20"/>
          <w:szCs w:val="20"/>
          <w:rtl/>
        </w:rPr>
        <w:t xml:space="preserve">, אבל למעשה הצטרף לישיבה </w:t>
      </w:r>
      <w:r>
        <w:rPr>
          <w:b/>
          <w:bCs/>
          <w:sz w:val="20"/>
          <w:szCs w:val="20"/>
          <w:rtl/>
        </w:rPr>
        <w:t>שלוש שנים לאחר מכן</w:t>
      </w:r>
      <w:r>
        <w:rPr>
          <w:sz w:val="20"/>
          <w:szCs w:val="20"/>
          <w:rtl/>
        </w:rPr>
        <w:t xml:space="preserve"> (ראה שם, עמ׳ 40), ומן הסתם חזר על מה שסיפרו לו התלמידים הוותיקים על בואם.</w:t>
      </w:r>
    </w:p>
  </w:footnote>
  <w:footnote w:id="1366">
    <w:p w14:paraId="5DE23AC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סוף הפסקה הראשונה בנספח </w:t>
      </w:r>
      <w:proofErr w:type="spellStart"/>
      <w:r>
        <w:rPr>
          <w:sz w:val="20"/>
          <w:szCs w:val="20"/>
          <w:rtl/>
        </w:rPr>
        <w:t>יח</w:t>
      </w:r>
      <w:proofErr w:type="spellEnd"/>
      <w:r>
        <w:rPr>
          <w:sz w:val="20"/>
          <w:szCs w:val="20"/>
          <w:rtl/>
        </w:rPr>
        <w:t xml:space="preserve"> בפרק זה.</w:t>
      </w:r>
    </w:p>
  </w:footnote>
  <w:footnote w:id="1367">
    <w:p w14:paraId="4AF56E1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לא הבנתי את הביטוי עד שנתקלתי במעשה שסיפר אבי </w:t>
      </w:r>
      <w:proofErr w:type="spellStart"/>
      <w:r>
        <w:rPr>
          <w:sz w:val="20"/>
          <w:szCs w:val="20"/>
          <w:rtl/>
        </w:rPr>
        <w:t>לר</w:t>
      </w:r>
      <w:proofErr w:type="spellEnd"/>
      <w:r>
        <w:rPr>
          <w:sz w:val="20"/>
          <w:szCs w:val="20"/>
          <w:rtl/>
        </w:rPr>
        <w:t xml:space="preserve">׳ בערל וויין, כפי שהוא מובא </w:t>
      </w:r>
      <w:proofErr w:type="spellStart"/>
      <w:r>
        <w:rPr>
          <w:sz w:val="20"/>
          <w:szCs w:val="20"/>
          <w:rtl/>
        </w:rPr>
        <w:t>ב“וויין</w:t>
      </w:r>
      <w:proofErr w:type="spellEnd"/>
      <w:r>
        <w:rPr>
          <w:sz w:val="20"/>
          <w:szCs w:val="20"/>
          <w:rtl/>
        </w:rPr>
        <w:t xml:space="preserve"> המשובח” מאת ד״ר ג׳יימס דייוויד וייס (הוצאת שער, 1992), עמ׳ 144: ר׳ </w:t>
      </w:r>
      <w:proofErr w:type="spellStart"/>
      <w:r>
        <w:rPr>
          <w:sz w:val="20"/>
          <w:szCs w:val="20"/>
          <w:rtl/>
        </w:rPr>
        <w:t>חיים־עוזר</w:t>
      </w:r>
      <w:proofErr w:type="spellEnd"/>
      <w:r>
        <w:rPr>
          <w:sz w:val="20"/>
          <w:szCs w:val="20"/>
          <w:rtl/>
        </w:rPr>
        <w:t xml:space="preserve"> </w:t>
      </w:r>
      <w:proofErr w:type="spellStart"/>
      <w:r>
        <w:rPr>
          <w:sz w:val="20"/>
          <w:szCs w:val="20"/>
          <w:rtl/>
        </w:rPr>
        <w:t>גרודזנסקי</w:t>
      </w:r>
      <w:proofErr w:type="spellEnd"/>
      <w:r>
        <w:rPr>
          <w:sz w:val="20"/>
          <w:szCs w:val="20"/>
          <w:rtl/>
        </w:rPr>
        <w:t xml:space="preserve"> גורש בגיל </w:t>
      </w:r>
      <w:proofErr w:type="spellStart"/>
      <w:r>
        <w:rPr>
          <w:sz w:val="20"/>
          <w:szCs w:val="20"/>
          <w:rtl/>
        </w:rPr>
        <w:t>שתים־עשרה</w:t>
      </w:r>
      <w:proofErr w:type="spellEnd"/>
      <w:r>
        <w:rPr>
          <w:sz w:val="20"/>
          <w:szCs w:val="20"/>
          <w:rtl/>
        </w:rPr>
        <w:t xml:space="preserve"> מישיבתו, מפני שהביא עז לכיתה כדי להמחיש שבעל החיים “יודע ללמוד” לא פחות ממלמדו. נראה שבסביבה הכפרית של העיירה שימשה העז המזוקנת משל ליהודי הבור ביותר.</w:t>
      </w:r>
    </w:p>
  </w:footnote>
  <w:footnote w:id="1368">
    <w:p w14:paraId="448DFA2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עא</w:t>
      </w:r>
      <w:proofErr w:type="spellEnd"/>
      <w:r>
        <w:rPr>
          <w:sz w:val="20"/>
          <w:szCs w:val="20"/>
          <w:rtl/>
        </w:rPr>
        <w:t>.</w:t>
      </w:r>
    </w:p>
  </w:footnote>
  <w:footnote w:id="1369">
    <w:p w14:paraId="15C22C5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הערת שוליים </w:t>
      </w:r>
      <w:r>
        <w:rPr>
          <w:sz w:val="20"/>
          <w:szCs w:val="20"/>
          <w:rtl/>
        </w:rPr>
        <w:fldChar w:fldCharType="begin" w:dirty="true"/>
      </w:r>
      <w:r>
        <w:rPr>
          <w:sz w:val="20"/>
          <w:szCs w:val="20"/>
          <w:rtl/>
        </w:rPr>
        <w:instrText xml:space="preserve"> NOTEREF pr_f_2383 \h </w:instrText>
      </w:r>
      <w:r>
        <w:rPr>
          <w:sz w:val="20"/>
          <w:szCs w:val="20"/>
          <w:rtl/>
        </w:rPr>
      </w:r>
      <w:r>
        <w:rPr>
          <w:sz w:val="20"/>
          <w:szCs w:val="20"/>
          <w:rtl/>
        </w:rPr>
        <w:fldChar w:fldCharType="separate"/>
      </w:r>
      <w:r w:rsidR="007923E9">
        <w:rPr>
          <w:sz w:val="20"/>
          <w:szCs w:val="20"/>
          <w:rtl/>
        </w:rPr>
        <w:t>1429</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pr_f_2383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1370">
    <w:p w14:paraId="552BE9B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פרק 1, הערה 32. ר׳ חיים </w:t>
      </w:r>
      <w:proofErr w:type="spellStart"/>
      <w:r>
        <w:rPr>
          <w:sz w:val="20"/>
          <w:szCs w:val="20"/>
          <w:rtl/>
        </w:rPr>
        <w:t>קרייזווירט</w:t>
      </w:r>
      <w:proofErr w:type="spellEnd"/>
      <w:r>
        <w:rPr>
          <w:sz w:val="20"/>
          <w:szCs w:val="20"/>
          <w:rtl/>
        </w:rPr>
        <w:t xml:space="preserve"> אמר כך גם על </w:t>
      </w:r>
      <w:proofErr w:type="spellStart"/>
      <w:r>
        <w:rPr>
          <w:sz w:val="20"/>
          <w:szCs w:val="20"/>
          <w:rtl/>
        </w:rPr>
        <w:t>הרוגצ׳ובר</w:t>
      </w:r>
      <w:proofErr w:type="spellEnd"/>
      <w:r>
        <w:rPr>
          <w:sz w:val="20"/>
          <w:szCs w:val="20"/>
          <w:rtl/>
        </w:rPr>
        <w:t xml:space="preserve"> – “יתד נאמן”, מוסף ערב </w:t>
      </w:r>
      <w:proofErr w:type="spellStart"/>
      <w:r>
        <w:rPr>
          <w:sz w:val="20"/>
          <w:szCs w:val="20"/>
          <w:rtl/>
        </w:rPr>
        <w:t>שב״ק</w:t>
      </w:r>
      <w:proofErr w:type="spellEnd"/>
      <w:r>
        <w:rPr>
          <w:sz w:val="20"/>
          <w:szCs w:val="20"/>
          <w:rtl/>
        </w:rPr>
        <w:t xml:space="preserve"> פרשת משפטים תשס״ב.</w:t>
      </w:r>
    </w:p>
  </w:footnote>
  <w:footnote w:id="1371">
    <w:p w14:paraId="10B1B85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“סיפור ר׳ </w:t>
      </w:r>
      <w:proofErr w:type="spellStart"/>
      <w:r>
        <w:rPr>
          <w:sz w:val="20"/>
          <w:szCs w:val="20"/>
          <w:rtl/>
        </w:rPr>
        <w:t>ברוך־בער</w:t>
      </w:r>
      <w:proofErr w:type="spellEnd"/>
      <w:r>
        <w:rPr>
          <w:sz w:val="20"/>
          <w:szCs w:val="20"/>
          <w:rtl/>
        </w:rPr>
        <w:t xml:space="preserve">” (הפסקה השלישית בנספח </w:t>
      </w:r>
      <w:proofErr w:type="spellStart"/>
      <w:r>
        <w:rPr>
          <w:sz w:val="20"/>
          <w:szCs w:val="20"/>
          <w:rtl/>
        </w:rPr>
        <w:t>יח</w:t>
      </w:r>
      <w:proofErr w:type="spellEnd"/>
      <w:r>
        <w:rPr>
          <w:sz w:val="20"/>
          <w:szCs w:val="20"/>
          <w:rtl/>
        </w:rPr>
        <w:t xml:space="preserve"> בפרק זה), הפרק השני, שכותרתו “רבי לכל החיים”.</w:t>
      </w:r>
    </w:p>
  </w:footnote>
  <w:footnote w:id="1372">
    <w:p w14:paraId="0CFAD26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הפסקה השנייה בהערה 137 להלן.</w:t>
      </w:r>
    </w:p>
  </w:footnote>
  <w:footnote w:id="1373">
    <w:p w14:paraId="0D66949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ב־28 בינואר 1988.</w:t>
      </w:r>
    </w:p>
  </w:footnote>
  <w:footnote w:id="1374">
    <w:p w14:paraId="335FDA5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גם ר׳ יצחק־זאב קרא קריאת שמע בחזרה על מילים כדרך אביו, ואף במידה מרובה יותר.</w:t>
      </w:r>
    </w:p>
  </w:footnote>
  <w:footnote w:id="1375">
    <w:p w14:paraId="7F4757B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הפסקה הראשונה בנספח ח בפרק זה – </w:t>
      </w:r>
      <w:proofErr w:type="spellStart"/>
      <w:r>
        <w:rPr>
          <w:sz w:val="20"/>
          <w:szCs w:val="20"/>
          <w:rtl/>
        </w:rPr>
        <w:t>ח״ב</w:t>
      </w:r>
      <w:proofErr w:type="spellEnd"/>
      <w:r>
        <w:rPr>
          <w:sz w:val="20"/>
          <w:szCs w:val="20"/>
          <w:rtl/>
        </w:rPr>
        <w:t xml:space="preserve">, עמ׳ </w:t>
      </w:r>
      <w:proofErr w:type="spellStart"/>
      <w:r>
        <w:rPr>
          <w:sz w:val="20"/>
          <w:szCs w:val="20"/>
          <w:rtl/>
        </w:rPr>
        <w:t>רצז</w:t>
      </w:r>
      <w:proofErr w:type="spellEnd"/>
      <w:r>
        <w:rPr>
          <w:sz w:val="20"/>
          <w:szCs w:val="20"/>
          <w:rtl/>
        </w:rPr>
        <w:t>.</w:t>
      </w:r>
    </w:p>
  </w:footnote>
  <w:footnote w:id="1376">
    <w:p w14:paraId="6EFD4F8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5, אמצע הפסקה השנייה בנספח ב.</w:t>
      </w:r>
    </w:p>
  </w:footnote>
  <w:footnote w:id="1377">
    <w:p w14:paraId="06E13A6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6 באוגוסט 1993.</w:t>
      </w:r>
    </w:p>
  </w:footnote>
  <w:footnote w:id="1378">
    <w:p w14:paraId="0989353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אפשר להבין דבר מוזר זה כביטוי לכך שר׳ </w:t>
      </w:r>
      <w:proofErr w:type="spellStart"/>
      <w:r>
        <w:rPr>
          <w:sz w:val="20"/>
          <w:szCs w:val="20"/>
          <w:rtl/>
        </w:rPr>
        <w:t>ברוך־בער</w:t>
      </w:r>
      <w:proofErr w:type="spellEnd"/>
      <w:r>
        <w:rPr>
          <w:sz w:val="20"/>
          <w:szCs w:val="20"/>
          <w:rtl/>
        </w:rPr>
        <w:t xml:space="preserve"> לא נפרד לגמרי מדרכו המקורית בהבנת דברים, כפי שנידון בפסקה השנייה בנספח ל בפרק זה. ממעשה שסיפר בנו, ר׳ </w:t>
      </w:r>
      <w:proofErr w:type="spellStart"/>
      <w:r>
        <w:rPr>
          <w:sz w:val="20"/>
          <w:szCs w:val="20"/>
          <w:rtl/>
        </w:rPr>
        <w:t>חיים־שלמה</w:t>
      </w:r>
      <w:proofErr w:type="spellEnd"/>
      <w:r>
        <w:rPr>
          <w:sz w:val="20"/>
          <w:szCs w:val="20"/>
          <w:rtl/>
        </w:rPr>
        <w:t xml:space="preserve"> (כפי שחזר עליו ר׳ אייזיק </w:t>
      </w:r>
      <w:proofErr w:type="spellStart"/>
      <w:r>
        <w:rPr>
          <w:sz w:val="20"/>
          <w:szCs w:val="20"/>
          <w:rtl/>
        </w:rPr>
        <w:t>הנדלר</w:t>
      </w:r>
      <w:proofErr w:type="spellEnd"/>
      <w:r>
        <w:rPr>
          <w:sz w:val="20"/>
          <w:szCs w:val="20"/>
          <w:rtl/>
        </w:rPr>
        <w:t xml:space="preserve"> בריאיון ב־29 באוקטובר 2000), נראה שר׳ </w:t>
      </w:r>
      <w:proofErr w:type="spellStart"/>
      <w:r>
        <w:rPr>
          <w:sz w:val="20"/>
          <w:szCs w:val="20"/>
          <w:rtl/>
        </w:rPr>
        <w:t>ברוך־בער</w:t>
      </w:r>
      <w:proofErr w:type="spellEnd"/>
      <w:r>
        <w:rPr>
          <w:sz w:val="20"/>
          <w:szCs w:val="20"/>
          <w:rtl/>
        </w:rPr>
        <w:t xml:space="preserve"> היה מודע היטב לכך שאין לשלב את שיטתו של תלמיד חכם אחד בשיטת האחר. ר׳ </w:t>
      </w:r>
      <w:proofErr w:type="spellStart"/>
      <w:r>
        <w:rPr>
          <w:sz w:val="20"/>
          <w:szCs w:val="20"/>
          <w:rtl/>
        </w:rPr>
        <w:t>חיים־שלמה</w:t>
      </w:r>
      <w:proofErr w:type="spellEnd"/>
      <w:r>
        <w:rPr>
          <w:sz w:val="20"/>
          <w:szCs w:val="20"/>
          <w:rtl/>
        </w:rPr>
        <w:t xml:space="preserve"> הציע פעם פשט מסוים, ואביו שאלו מניין לקח רעיון זה. כשהשיב: “מתורתו של ר׳ שמעון </w:t>
      </w:r>
      <w:proofErr w:type="spellStart"/>
      <w:r>
        <w:rPr>
          <w:sz w:val="20"/>
          <w:szCs w:val="20"/>
          <w:rtl/>
        </w:rPr>
        <w:t>שקופ</w:t>
      </w:r>
      <w:proofErr w:type="spellEnd"/>
      <w:r>
        <w:rPr>
          <w:sz w:val="20"/>
          <w:szCs w:val="20"/>
          <w:rtl/>
        </w:rPr>
        <w:t xml:space="preserve">”, אמר אביו: “טוב ללמוד בדרך של ר׳ שמעון – אבל אז אי אפשר ללמוד בדרך שלי; אי אפשר לערבב את השתיים.” אבל כתלמיד מסור של ר׳ חיים </w:t>
      </w:r>
      <w:proofErr w:type="spellStart"/>
      <w:r>
        <w:rPr>
          <w:sz w:val="20"/>
          <w:szCs w:val="20"/>
          <w:rtl/>
        </w:rPr>
        <w:t>סולובייצ׳יק</w:t>
      </w:r>
      <w:proofErr w:type="spellEnd"/>
      <w:r>
        <w:rPr>
          <w:sz w:val="20"/>
          <w:szCs w:val="20"/>
          <w:rtl/>
        </w:rPr>
        <w:t xml:space="preserve"> ראה ר׳ </w:t>
      </w:r>
      <w:proofErr w:type="spellStart"/>
      <w:r>
        <w:rPr>
          <w:sz w:val="20"/>
          <w:szCs w:val="20"/>
          <w:rtl/>
        </w:rPr>
        <w:t>ברוך־בער</w:t>
      </w:r>
      <w:proofErr w:type="spellEnd"/>
      <w:r>
        <w:rPr>
          <w:sz w:val="20"/>
          <w:szCs w:val="20"/>
          <w:rtl/>
        </w:rPr>
        <w:t xml:space="preserve"> את עצמו כמי שאימץ לגמרי את דרך לימודו של רבו.</w:t>
      </w:r>
    </w:p>
  </w:footnote>
  <w:footnote w:id="1379">
    <w:p w14:paraId="6FCC401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ח״ב</w:t>
      </w:r>
      <w:proofErr w:type="spellEnd"/>
      <w:r>
        <w:rPr>
          <w:sz w:val="20"/>
          <w:szCs w:val="20"/>
          <w:rtl/>
        </w:rPr>
        <w:t>, עמ׳ ח.</w:t>
      </w:r>
    </w:p>
  </w:footnote>
  <w:footnote w:id="1380">
    <w:p w14:paraId="09C4D2B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הערת שוליים </w:t>
      </w:r>
      <w:r>
        <w:rPr>
          <w:sz w:val="20"/>
          <w:szCs w:val="20"/>
          <w:rtl/>
        </w:rPr>
        <w:fldChar w:fldCharType="begin" w:dirty="true"/>
      </w:r>
      <w:r>
        <w:rPr>
          <w:sz w:val="20"/>
          <w:szCs w:val="20"/>
          <w:rtl/>
        </w:rPr>
        <w:instrText xml:space="preserve"> NOTEREF pr_f_5235 \h </w:instrText>
      </w:r>
      <w:r>
        <w:rPr>
          <w:sz w:val="20"/>
          <w:szCs w:val="20"/>
          <w:rtl/>
        </w:rPr>
      </w:r>
      <w:r>
        <w:rPr>
          <w:sz w:val="20"/>
          <w:szCs w:val="20"/>
          <w:rtl/>
        </w:rPr>
        <w:fldChar w:fldCharType="separate"/>
      </w:r>
      <w:r w:rsidR="007923E9">
        <w:rPr>
          <w:sz w:val="20"/>
          <w:szCs w:val="20"/>
          <w:rtl/>
        </w:rPr>
        <w:t>889</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pr_f_5235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בכרך זה.</w:t>
      </w:r>
    </w:p>
  </w:footnote>
  <w:footnote w:id="1381">
    <w:p w14:paraId="5ED5384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משום מה מיוחס מאמר זה </w:t>
      </w:r>
      <w:proofErr w:type="spellStart"/>
      <w:r>
        <w:rPr>
          <w:sz w:val="20"/>
          <w:szCs w:val="20"/>
          <w:rtl/>
        </w:rPr>
        <w:t>לר</w:t>
      </w:r>
      <w:proofErr w:type="spellEnd"/>
      <w:r>
        <w:rPr>
          <w:sz w:val="20"/>
          <w:szCs w:val="20"/>
          <w:rtl/>
        </w:rPr>
        <w:t xml:space="preserve">׳ ישראל </w:t>
      </w:r>
      <w:proofErr w:type="spellStart"/>
      <w:r>
        <w:rPr>
          <w:sz w:val="20"/>
          <w:szCs w:val="20"/>
          <w:rtl/>
        </w:rPr>
        <w:t>סלנטר</w:t>
      </w:r>
      <w:proofErr w:type="spellEnd"/>
      <w:r>
        <w:rPr>
          <w:sz w:val="20"/>
          <w:szCs w:val="20"/>
          <w:rtl/>
        </w:rPr>
        <w:t xml:space="preserve"> בספרו של כץ, “תנועת המוסר”, כרך א, עמ׳ 309. השווה גם “תורת חיים” (נספח ט בפרק זה), עמ׳ </w:t>
      </w:r>
      <w:proofErr w:type="spellStart"/>
      <w:r>
        <w:rPr>
          <w:sz w:val="20"/>
          <w:szCs w:val="20"/>
          <w:rtl/>
        </w:rPr>
        <w:t>מב</w:t>
      </w:r>
      <w:proofErr w:type="spellEnd"/>
      <w:r>
        <w:rPr>
          <w:sz w:val="20"/>
          <w:szCs w:val="20"/>
          <w:rtl/>
        </w:rPr>
        <w:t xml:space="preserve"> במספור העמודים השני: מסופר שם שר׳ אלחנן וסרמן, בשיחה עם כמה תלמידים בעת ביקור </w:t>
      </w:r>
      <w:proofErr w:type="spellStart"/>
      <w:r>
        <w:rPr>
          <w:sz w:val="20"/>
          <w:szCs w:val="20"/>
          <w:rtl/>
        </w:rPr>
        <w:t>בטלז</w:t>
      </w:r>
      <w:proofErr w:type="spellEnd"/>
      <w:r>
        <w:rPr>
          <w:sz w:val="20"/>
          <w:szCs w:val="20"/>
          <w:rtl/>
        </w:rPr>
        <w:t xml:space="preserve">, סיפר שעלה בדעתו פעם ניתוח זה והציעו </w:t>
      </w:r>
      <w:proofErr w:type="spellStart"/>
      <w:r>
        <w:rPr>
          <w:sz w:val="20"/>
          <w:szCs w:val="20"/>
          <w:rtl/>
        </w:rPr>
        <w:t>לר</w:t>
      </w:r>
      <w:proofErr w:type="spellEnd"/>
      <w:r>
        <w:rPr>
          <w:sz w:val="20"/>
          <w:szCs w:val="20"/>
          <w:rtl/>
        </w:rPr>
        <w:t xml:space="preserve">׳ חיים </w:t>
      </w:r>
      <w:proofErr w:type="spellStart"/>
      <w:r>
        <w:rPr>
          <w:sz w:val="20"/>
          <w:szCs w:val="20"/>
          <w:rtl/>
        </w:rPr>
        <w:t>סולובייצ׳יק</w:t>
      </w:r>
      <w:proofErr w:type="spellEnd"/>
      <w:r>
        <w:rPr>
          <w:sz w:val="20"/>
          <w:szCs w:val="20"/>
          <w:rtl/>
        </w:rPr>
        <w:t xml:space="preserve">, וזה השיב שהוא אמת ושגם אביו, ר׳ יוסף־דב, אמר כך.</w:t>
      </w:r>
    </w:p>
  </w:footnote>
  <w:footnote w:id="1382">
    <w:p w14:paraId="34DE098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ה בפרק זה – הערה 39.</w:t>
      </w:r>
    </w:p>
  </w:footnote>
  <w:footnote w:id="1383">
    <w:p w14:paraId="451FC62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נעתק ונערך וכו׳ ע״י </w:t>
      </w:r>
      <w:proofErr w:type="spellStart"/>
      <w:r>
        <w:rPr>
          <w:sz w:val="20"/>
          <w:szCs w:val="20"/>
          <w:rtl/>
        </w:rPr>
        <w:t>חו״ר</w:t>
      </w:r>
      <w:proofErr w:type="spellEnd"/>
      <w:r>
        <w:rPr>
          <w:sz w:val="20"/>
          <w:szCs w:val="20"/>
          <w:rtl/>
        </w:rPr>
        <w:t xml:space="preserve"> מכון </w:t>
      </w:r>
      <w:proofErr w:type="spellStart"/>
      <w:r>
        <w:rPr>
          <w:sz w:val="20"/>
          <w:szCs w:val="20"/>
          <w:rtl/>
        </w:rPr>
        <w:t>תורני־ספרותי</w:t>
      </w:r>
      <w:proofErr w:type="spellEnd"/>
      <w:r>
        <w:rPr>
          <w:sz w:val="20"/>
          <w:szCs w:val="20"/>
          <w:rtl/>
        </w:rPr>
        <w:t xml:space="preserve"> “אורייתא”, ירושלים, תשנ״ה.</w:t>
      </w:r>
    </w:p>
  </w:footnote>
  <w:footnote w:id="1384">
    <w:p w14:paraId="6F0083C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ט בפרק זה – עמ׳ 86, בשם ר׳ אברהם </w:t>
      </w:r>
      <w:proofErr w:type="spellStart"/>
      <w:r>
        <w:rPr>
          <w:sz w:val="20"/>
          <w:szCs w:val="20"/>
          <w:rtl/>
        </w:rPr>
        <w:t>פינקוס</w:t>
      </w:r>
      <w:proofErr w:type="spellEnd"/>
      <w:r>
        <w:rPr>
          <w:sz w:val="20"/>
          <w:szCs w:val="20"/>
          <w:rtl/>
        </w:rPr>
        <w:t xml:space="preserve"> ור׳ יונה </w:t>
      </w:r>
      <w:proofErr w:type="spellStart"/>
      <w:r>
        <w:rPr>
          <w:sz w:val="20"/>
          <w:szCs w:val="20"/>
          <w:rtl/>
        </w:rPr>
        <w:t>ברומברג</w:t>
      </w:r>
      <w:proofErr w:type="spellEnd"/>
      <w:r>
        <w:rPr>
          <w:sz w:val="20"/>
          <w:szCs w:val="20"/>
          <w:rtl/>
        </w:rPr>
        <w:t>.</w:t>
      </w:r>
    </w:p>
  </w:footnote>
  <w:footnote w:id="1385">
    <w:p w14:paraId="01CD48E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קפט</w:t>
      </w:r>
      <w:proofErr w:type="spellEnd"/>
      <w:r>
        <w:rPr>
          <w:sz w:val="20"/>
          <w:szCs w:val="20"/>
          <w:rtl/>
        </w:rPr>
        <w:t>.</w:t>
      </w:r>
    </w:p>
  </w:footnote>
  <w:footnote w:id="1386">
    <w:p w14:paraId="3B73BD3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2, הערה 78.</w:t>
      </w:r>
    </w:p>
  </w:footnote>
  <w:footnote w:id="1387">
    <w:p w14:paraId="622F7A6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הערה 71.</w:t>
      </w:r>
    </w:p>
  </w:footnote>
  <w:footnote w:id="1388">
    <w:p w14:paraId="5278409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2.</w:t>
      </w:r>
    </w:p>
  </w:footnote>
  <w:footnote w:id="1389">
    <w:p w14:paraId="6A54073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הערה 32.</w:t>
      </w:r>
    </w:p>
  </w:footnote>
  <w:footnote w:id="1390">
    <w:p w14:paraId="34A6126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ב־20 במאי 1994.</w:t>
      </w:r>
    </w:p>
  </w:footnote>
  <w:footnote w:id="1391">
    <w:p w14:paraId="621C436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הערה 135 והפסקה הראשונה בנספח </w:t>
      </w:r>
      <w:proofErr w:type="spellStart"/>
      <w:r>
        <w:rPr>
          <w:sz w:val="20"/>
          <w:szCs w:val="20"/>
          <w:rtl/>
        </w:rPr>
        <w:t>יח</w:t>
      </w:r>
      <w:proofErr w:type="spellEnd"/>
      <w:r>
        <w:rPr>
          <w:sz w:val="20"/>
          <w:szCs w:val="20"/>
          <w:rtl/>
        </w:rPr>
        <w:t xml:space="preserve"> בפרק זה.</w:t>
      </w:r>
    </w:p>
  </w:footnote>
  <w:footnote w:id="1392">
    <w:p w14:paraId="715254F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“סיפור ר׳ </w:t>
      </w:r>
      <w:proofErr w:type="spellStart"/>
      <w:r>
        <w:rPr>
          <w:sz w:val="20"/>
          <w:szCs w:val="20"/>
          <w:rtl/>
        </w:rPr>
        <w:t>ברוך־בער</w:t>
      </w:r>
      <w:proofErr w:type="spellEnd"/>
      <w:r>
        <w:rPr>
          <w:sz w:val="20"/>
          <w:szCs w:val="20"/>
          <w:rtl/>
        </w:rPr>
        <w:t>”, עמ׳ 30.</w:t>
      </w:r>
    </w:p>
  </w:footnote>
  <w:footnote w:id="1393">
    <w:p w14:paraId="7E91F79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ב־28 בינואר 1988.</w:t>
      </w:r>
    </w:p>
  </w:footnote>
  <w:footnote w:id="1394">
    <w:p w14:paraId="40D566A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ט בפרק זה – עמ׳ 232.</w:t>
      </w:r>
    </w:p>
  </w:footnote>
  <w:footnote w:id="1395">
    <w:p w14:paraId="55CFF10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216–217.</w:t>
      </w:r>
    </w:p>
  </w:footnote>
  <w:footnote w:id="1396">
    <w:p w14:paraId="255F7E8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ב־15 במרץ 1988.</w:t>
      </w:r>
    </w:p>
  </w:footnote>
  <w:footnote w:id="1397">
    <w:p w14:paraId="5B84DB3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2, על לימודיהם של אחיי ר׳ בנימין ור׳ שמואל גם הם שם.</w:t>
      </w:r>
    </w:p>
  </w:footnote>
  <w:footnote w:id="1398">
    <w:p w14:paraId="12DB1B0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2, נספח ו.</w:t>
      </w:r>
    </w:p>
  </w:footnote>
  <w:footnote w:id="1399">
    <w:p w14:paraId="7AA8EF6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ב־13 באוגוסט 1995.</w:t>
      </w:r>
    </w:p>
  </w:footnote>
  <w:footnote w:id="1400">
    <w:p w14:paraId="3DF41E2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2, הערה 71: אחרי שיצא </w:t>
      </w:r>
      <w:proofErr w:type="spellStart"/>
      <w:r>
        <w:rPr>
          <w:sz w:val="20"/>
          <w:szCs w:val="20"/>
          <w:rtl/>
        </w:rPr>
        <w:t>מקרינק</w:t>
      </w:r>
      <w:proofErr w:type="spellEnd"/>
      <w:r>
        <w:rPr>
          <w:sz w:val="20"/>
          <w:szCs w:val="20"/>
          <w:rtl/>
        </w:rPr>
        <w:t xml:space="preserve"> שהה ר׳ אהרן במינסק כחודשיים, לפני שהלך </w:t>
      </w:r>
      <w:proofErr w:type="spellStart"/>
      <w:r>
        <w:rPr>
          <w:sz w:val="20"/>
          <w:szCs w:val="20"/>
          <w:rtl/>
        </w:rPr>
        <w:t>לסלבודקה</w:t>
      </w:r>
      <w:proofErr w:type="spellEnd"/>
      <w:r>
        <w:rPr>
          <w:sz w:val="20"/>
          <w:szCs w:val="20"/>
          <w:rtl/>
        </w:rPr>
        <w:t xml:space="preserve">. כך החסיר חלק מזמן החורף בכנסת בית יצחק, ובא ללמוד שם </w:t>
      </w:r>
      <w:proofErr w:type="spellStart"/>
      <w:r>
        <w:rPr>
          <w:sz w:val="20"/>
          <w:szCs w:val="20"/>
          <w:rtl/>
        </w:rPr>
        <w:t>זמן־מה</w:t>
      </w:r>
      <w:proofErr w:type="spellEnd"/>
      <w:r>
        <w:rPr>
          <w:sz w:val="20"/>
          <w:szCs w:val="20"/>
          <w:rtl/>
        </w:rPr>
        <w:t xml:space="preserve"> אחרי תחילת הזמן. כמובן, חלק מן הזמן אבד לו גם כשהועבר בטעות לישיבה הקטנה </w:t>
      </w:r>
      <w:proofErr w:type="spellStart"/>
      <w:r>
        <w:rPr>
          <w:sz w:val="20"/>
          <w:szCs w:val="20"/>
          <w:rtl/>
        </w:rPr>
        <w:t>בסלבודקה</w:t>
      </w:r>
      <w:proofErr w:type="spellEnd"/>
      <w:r>
        <w:rPr>
          <w:sz w:val="20"/>
          <w:szCs w:val="20"/>
          <w:rtl/>
        </w:rPr>
        <w:t>, כמסופר באותה הערה.</w:t>
      </w:r>
    </w:p>
  </w:footnote>
  <w:footnote w:id="1401">
    <w:p w14:paraId="5936783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בכך מוסבר מדוע מעולם לא סיפר ר׳ אהרן לילדיו שלמד שם.</w:t>
      </w:r>
    </w:p>
  </w:footnote>
  <w:footnote w:id="1402">
    <w:p w14:paraId="19ADD37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הפסקה השישית בנספח </w:t>
      </w:r>
      <w:proofErr w:type="spellStart"/>
      <w:r>
        <w:rPr>
          <w:sz w:val="20"/>
          <w:szCs w:val="20"/>
          <w:rtl/>
        </w:rPr>
        <w:t>יח</w:t>
      </w:r>
      <w:proofErr w:type="spellEnd"/>
      <w:r>
        <w:rPr>
          <w:sz w:val="20"/>
          <w:szCs w:val="20"/>
          <w:rtl/>
        </w:rPr>
        <w:t xml:space="preserve"> בפרק זה – עמ׳ 284.</w:t>
      </w:r>
    </w:p>
  </w:footnote>
  <w:footnote w:id="1403">
    <w:p w14:paraId="3C95F94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הפסקה השנייה בנספח ל בפרק זה.</w:t>
      </w:r>
    </w:p>
  </w:footnote>
  <w:footnote w:id="1404">
    <w:p w14:paraId="608A225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2, נספח ד.</w:t>
      </w:r>
    </w:p>
  </w:footnote>
  <w:footnote w:id="1405">
    <w:p w14:paraId="2E53565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קג</w:t>
      </w:r>
      <w:proofErr w:type="spellEnd"/>
      <w:r>
        <w:rPr>
          <w:sz w:val="20"/>
          <w:szCs w:val="20"/>
          <w:rtl/>
        </w:rPr>
        <w:t>–קד.</w:t>
      </w:r>
    </w:p>
  </w:footnote>
  <w:footnote w:id="1406">
    <w:p w14:paraId="4E251EE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4, סוף הערה 150. השווה גם את ההקדמה </w:t>
      </w:r>
      <w:proofErr w:type="spellStart"/>
      <w:r>
        <w:rPr>
          <w:sz w:val="20"/>
          <w:szCs w:val="20"/>
          <w:rtl/>
        </w:rPr>
        <w:t>ל“טל</w:t>
      </w:r>
      <w:proofErr w:type="spellEnd"/>
      <w:r>
        <w:rPr>
          <w:sz w:val="20"/>
          <w:szCs w:val="20"/>
          <w:rtl/>
        </w:rPr>
        <w:t xml:space="preserve"> לישראל – חידושים על מסכתות </w:t>
      </w:r>
      <w:proofErr w:type="spellStart"/>
      <w:r>
        <w:rPr>
          <w:sz w:val="20"/>
          <w:szCs w:val="20"/>
          <w:rtl/>
        </w:rPr>
        <w:t>זבחים־מנחות</w:t>
      </w:r>
      <w:proofErr w:type="spellEnd"/>
      <w:r>
        <w:rPr>
          <w:sz w:val="20"/>
          <w:szCs w:val="20"/>
          <w:rtl/>
        </w:rPr>
        <w:t xml:space="preserve"> וחלק ממס׳ כריתות” (ירושלים, תשנ״א), מאת ישראל וכו׳ גרבר, אחיינו של ר׳ </w:t>
      </w:r>
      <w:proofErr w:type="spellStart"/>
      <w:r>
        <w:rPr>
          <w:sz w:val="20"/>
          <w:szCs w:val="20"/>
          <w:rtl/>
        </w:rPr>
        <w:t>ברוך־בער</w:t>
      </w:r>
      <w:proofErr w:type="spellEnd"/>
      <w:r>
        <w:rPr>
          <w:sz w:val="20"/>
          <w:szCs w:val="20"/>
          <w:rtl/>
        </w:rPr>
        <w:t xml:space="preserve">, הדנה במעשה זה. המחבר כותב שמאז ששמע את המעשה (מפי דודו עצמו) התקשה להבין מדוע ביקר ר׳ חיים את דודו, במקום להתפעל מצדקותו יוצאת הדופן. הרב גרבר מציע הסבר מורכב, שהגיע אליו בעת שהכין את ספרו לדפוס – חמישים שנה אחרי פטירת ר׳ </w:t>
      </w:r>
      <w:proofErr w:type="spellStart"/>
      <w:r>
        <w:rPr>
          <w:sz w:val="20"/>
          <w:szCs w:val="20"/>
          <w:rtl/>
        </w:rPr>
        <w:t>ברוך־בער</w:t>
      </w:r>
      <w:proofErr w:type="spellEnd"/>
      <w:r>
        <w:rPr>
          <w:sz w:val="20"/>
          <w:szCs w:val="20"/>
          <w:rtl/>
        </w:rPr>
        <w:t xml:space="preserve"> – ומבוסס על ההנחה שר׳ חיים ראה בר׳ </w:t>
      </w:r>
      <w:proofErr w:type="spellStart"/>
      <w:r>
        <w:rPr>
          <w:sz w:val="20"/>
          <w:szCs w:val="20"/>
          <w:rtl/>
        </w:rPr>
        <w:t>ברוך־בער</w:t>
      </w:r>
      <w:proofErr w:type="spellEnd"/>
      <w:r>
        <w:rPr>
          <w:sz w:val="20"/>
          <w:szCs w:val="20"/>
          <w:rtl/>
        </w:rPr>
        <w:t xml:space="preserve"> את יורשו הרוחני.</w:t>
      </w:r>
    </w:p>
  </w:footnote>
  <w:footnote w:id="1407">
    <w:p w14:paraId="01204E9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קל.</w:t>
      </w:r>
    </w:p>
  </w:footnote>
  <w:footnote w:id="1408">
    <w:p w14:paraId="4F734D7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גיליון כסלו תש״נ.</w:t>
      </w:r>
    </w:p>
  </w:footnote>
  <w:footnote w:id="1409">
    <w:p w14:paraId="1570D0C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לא בפרק זה – עמ׳ 16.</w:t>
      </w:r>
    </w:p>
  </w:footnote>
  <w:footnote w:id="1410">
    <w:p w14:paraId="2406978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w:t>
      </w:r>
      <w:proofErr w:type="spellStart"/>
      <w:r>
        <w:rPr>
          <w:sz w:val="20"/>
          <w:szCs w:val="20"/>
          <w:rtl/>
        </w:rPr>
        <w:t>טז</w:t>
      </w:r>
      <w:proofErr w:type="spellEnd"/>
      <w:r>
        <w:rPr>
          <w:sz w:val="20"/>
          <w:szCs w:val="20"/>
          <w:rtl/>
        </w:rPr>
        <w:t xml:space="preserve"> בפרק זה – עמ׳ </w:t>
      </w:r>
      <w:proofErr w:type="spellStart"/>
      <w:r>
        <w:rPr>
          <w:sz w:val="20"/>
          <w:szCs w:val="20"/>
          <w:rtl/>
        </w:rPr>
        <w:t>תכט</w:t>
      </w:r>
      <w:proofErr w:type="spellEnd"/>
      <w:r>
        <w:rPr>
          <w:sz w:val="20"/>
          <w:szCs w:val="20"/>
          <w:rtl/>
        </w:rPr>
        <w:t>.</w:t>
      </w:r>
    </w:p>
  </w:footnote>
  <w:footnote w:id="1411">
    <w:p w14:paraId="2BF0983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הוצאת “נצח”, בני ברק, </w:t>
      </w:r>
      <w:proofErr w:type="spellStart"/>
      <w:r>
        <w:rPr>
          <w:sz w:val="20"/>
          <w:szCs w:val="20"/>
          <w:rtl/>
        </w:rPr>
        <w:t>תש״ך</w:t>
      </w:r>
      <w:proofErr w:type="spellEnd"/>
      <w:r>
        <w:rPr>
          <w:sz w:val="20"/>
          <w:szCs w:val="20"/>
          <w:rtl/>
        </w:rPr>
        <w:t xml:space="preserve"> – עמ׳ כד–כה.</w:t>
      </w:r>
    </w:p>
  </w:footnote>
  <w:footnote w:id="1412">
    <w:p w14:paraId="480D802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אשכנזים בחוץ לארץ אומרים תפילה זו במוצאי שבת כבימות החול.</w:t>
      </w:r>
    </w:p>
  </w:footnote>
  <w:footnote w:id="1413">
    <w:p w14:paraId="48FB2FA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ה בפרק זה.</w:t>
      </w:r>
    </w:p>
  </w:footnote>
  <w:footnote w:id="1414">
    <w:p w14:paraId="675F72A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ב־15 באוקטובר 1995.</w:t>
      </w:r>
    </w:p>
  </w:footnote>
  <w:footnote w:id="1415">
    <w:p w14:paraId="53BD725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משלי </w:t>
      </w:r>
      <w:proofErr w:type="spellStart"/>
      <w:r>
        <w:rPr>
          <w:sz w:val="20"/>
          <w:szCs w:val="20"/>
          <w:rtl/>
        </w:rPr>
        <w:t>יג</w:t>
      </w:r>
      <w:proofErr w:type="spellEnd"/>
      <w:r>
        <w:rPr>
          <w:sz w:val="20"/>
          <w:szCs w:val="20"/>
          <w:rtl/>
        </w:rPr>
        <w:t>, כד.</w:t>
      </w:r>
    </w:p>
  </w:footnote>
  <w:footnote w:id="1416">
    <w:p w14:paraId="25D8440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הערה 64.</w:t>
      </w:r>
    </w:p>
  </w:footnote>
  <w:footnote w:id="1417">
    <w:p w14:paraId="74B5B06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ב־8 באוגוסט 1991 סיפר בני ר׳ יוסף שבביקורו של אבי בישראל </w:t>
      </w:r>
      <w:proofErr w:type="spellStart"/>
      <w:r>
        <w:rPr>
          <w:sz w:val="20"/>
          <w:szCs w:val="20"/>
          <w:rtl/>
        </w:rPr>
        <w:t>בתשמ״א</w:t>
      </w:r>
      <w:proofErr w:type="spellEnd"/>
      <w:r>
        <w:rPr>
          <w:sz w:val="20"/>
          <w:szCs w:val="20"/>
          <w:rtl/>
        </w:rPr>
        <w:t xml:space="preserve"> סיפר אבי את המעשה, והוסיף שר׳ </w:t>
      </w:r>
      <w:proofErr w:type="spellStart"/>
      <w:r>
        <w:rPr>
          <w:sz w:val="20"/>
          <w:szCs w:val="20"/>
          <w:rtl/>
        </w:rPr>
        <w:t>ברוך־בער</w:t>
      </w:r>
      <w:proofErr w:type="spellEnd"/>
      <w:r>
        <w:rPr>
          <w:sz w:val="20"/>
          <w:szCs w:val="20"/>
          <w:rtl/>
        </w:rPr>
        <w:t xml:space="preserve"> גם נשק לילד, כנראה כדי להמחיש לו שעל אף חטאו הוא עדיין אהוב. ועוד סיפר שר׳ </w:t>
      </w:r>
      <w:proofErr w:type="spellStart"/>
      <w:r>
        <w:rPr>
          <w:sz w:val="20"/>
          <w:szCs w:val="20"/>
          <w:rtl/>
        </w:rPr>
        <w:t>שמחה־זיסל</w:t>
      </w:r>
      <w:proofErr w:type="spellEnd"/>
      <w:r>
        <w:rPr>
          <w:sz w:val="20"/>
          <w:szCs w:val="20"/>
          <w:rtl/>
        </w:rPr>
        <w:t xml:space="preserve"> </w:t>
      </w:r>
      <w:proofErr w:type="spellStart"/>
      <w:r>
        <w:rPr>
          <w:sz w:val="20"/>
          <w:szCs w:val="20"/>
          <w:rtl/>
        </w:rPr>
        <w:t>ברוידא</w:t>
      </w:r>
      <w:proofErr w:type="spellEnd"/>
      <w:r>
        <w:rPr>
          <w:sz w:val="20"/>
          <w:szCs w:val="20"/>
          <w:rtl/>
        </w:rPr>
        <w:t>, שביקר אז אצל רבנו, העיר שהילד היה ראוי לנשיקה על שהאיר את החדר לכולם – ועי׳ יבמות ע״ח ע״ב.</w:t>
      </w:r>
    </w:p>
  </w:footnote>
  <w:footnote w:id="1418">
    <w:p w14:paraId="793C672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המקור הנזכר בפרק 1, הערה 87.</w:t>
      </w:r>
    </w:p>
  </w:footnote>
  <w:footnote w:id="1419">
    <w:p w14:paraId="1D4E555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ב־8 בפברואר 1998.</w:t>
      </w:r>
    </w:p>
  </w:footnote>
  <w:footnote w:id="1420">
    <w:p w14:paraId="612D463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כרך 3.</w:t>
      </w:r>
    </w:p>
  </w:footnote>
  <w:footnote w:id="1421">
    <w:p w14:paraId="20EBBB1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הדבר נמסר לי בשם ר׳ ישראל </w:t>
      </w:r>
      <w:proofErr w:type="spellStart"/>
      <w:r>
        <w:rPr>
          <w:sz w:val="20"/>
          <w:szCs w:val="20"/>
          <w:rtl/>
        </w:rPr>
        <w:t>שפינר</w:t>
      </w:r>
      <w:proofErr w:type="spellEnd"/>
      <w:r>
        <w:rPr>
          <w:sz w:val="20"/>
          <w:szCs w:val="20"/>
          <w:rtl/>
        </w:rPr>
        <w:t>.</w:t>
      </w:r>
    </w:p>
  </w:footnote>
  <w:footnote w:id="1422">
    <w:p w14:paraId="0E755F0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רשימות שרשם ר׳ </w:t>
      </w:r>
      <w:proofErr w:type="spellStart"/>
      <w:r>
        <w:rPr>
          <w:sz w:val="20"/>
          <w:szCs w:val="20"/>
          <w:rtl/>
        </w:rPr>
        <w:t>אברהם־חיים</w:t>
      </w:r>
      <w:proofErr w:type="spellEnd"/>
      <w:r>
        <w:rPr>
          <w:sz w:val="20"/>
          <w:szCs w:val="20"/>
          <w:rtl/>
        </w:rPr>
        <w:t xml:space="preserve"> </w:t>
      </w:r>
      <w:proofErr w:type="spellStart"/>
      <w:r>
        <w:rPr>
          <w:sz w:val="20"/>
          <w:szCs w:val="20"/>
          <w:rtl/>
        </w:rPr>
        <w:t>פויער</w:t>
      </w:r>
      <w:proofErr w:type="spellEnd"/>
      <w:r>
        <w:rPr>
          <w:sz w:val="20"/>
          <w:szCs w:val="20"/>
          <w:rtl/>
        </w:rPr>
        <w:t xml:space="preserve"> </w:t>
      </w:r>
      <w:proofErr w:type="spellStart"/>
      <w:r>
        <w:rPr>
          <w:sz w:val="20"/>
          <w:szCs w:val="20"/>
          <w:rtl/>
        </w:rPr>
        <w:t>ב“כ״א</w:t>
      </w:r>
      <w:proofErr w:type="spellEnd"/>
      <w:r>
        <w:rPr>
          <w:sz w:val="20"/>
          <w:szCs w:val="20"/>
          <w:rtl/>
        </w:rPr>
        <w:t xml:space="preserve"> בשבט תשל״ט” – ראה פרק 1, הערה 32.</w:t>
      </w:r>
    </w:p>
  </w:footnote>
  <w:footnote w:id="1423">
    <w:p w14:paraId="47CAC10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ב־24 במרץ 1992.</w:t>
      </w:r>
    </w:p>
  </w:footnote>
  <w:footnote w:id="1424">
    <w:p w14:paraId="485BA8D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תחילת פרק 4.2.</w:t>
      </w:r>
    </w:p>
  </w:footnote>
  <w:footnote w:id="1425">
    <w:p w14:paraId="7F6A347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סוף הערה 68 לעיל.</w:t>
      </w:r>
    </w:p>
  </w:footnote>
  <w:footnote w:id="1426">
    <w:p w14:paraId="286CE2E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כד בפרק זה.</w:t>
      </w:r>
    </w:p>
  </w:footnote>
  <w:footnote w:id="1427">
    <w:p w14:paraId="744967A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311.</w:t>
      </w:r>
    </w:p>
  </w:footnote>
  <w:footnote w:id="1428">
    <w:p w14:paraId="3F1A19D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ככל הנראה כוונת כץ היא ‘בתקופות מוקדמות יותר’, כלומר, לפני שהתחיל הסבא להתנגד, כמובא להלן.</w:t>
      </w:r>
    </w:p>
  </w:footnote>
  <w:footnote w:id="1429">
    <w:p w14:paraId="675DC1A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260.</w:t>
      </w:r>
    </w:p>
  </w:footnote>
  <w:footnote w:id="1430">
    <w:p w14:paraId="12DA927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השווה גם </w:t>
      </w:r>
      <w:proofErr w:type="spellStart"/>
      <w:r>
        <w:rPr>
          <w:rStyle w:val="a5"/>
          <w:sz w:val="20"/>
          <w:szCs w:val="20"/>
          <w:vertAlign w:val="baseline"/>
          <w:rtl/>
        </w:rPr>
        <w:t>הערת־שוליים</w:t>
      </w:r>
      <w:proofErr w:type="spellEnd"/>
      <w:r>
        <w:rPr>
          <w:rStyle w:val="a5"/>
          <w:sz w:val="20"/>
          <w:szCs w:val="20"/>
          <w:vertAlign w:val="baseline"/>
          <w:rtl/>
        </w:rPr>
        <w:t xml:space="preserve"> </w:t>
      </w:r>
      <w:r>
        <w:rPr>
          <w:rStyle w:val="a5"/>
          <w:sz w:val="20"/>
          <w:szCs w:val="20"/>
          <w:vertAlign w:val="baseline"/>
          <w:rtl/>
        </w:rPr>
        <w:fldChar w:fldCharType="begin" w:dirty="true"/>
      </w:r>
      <w:r>
        <w:rPr>
          <w:rStyle w:val="a5"/>
          <w:sz w:val="20"/>
          <w:szCs w:val="20"/>
          <w:vertAlign w:val="baseline"/>
          <w:rtl/>
        </w:rPr>
        <w:instrText xml:space="preserve"> NOTEREF pr_f_1234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276</w:t>
      </w:r>
      <w:r>
        <w:rPr>
          <w:rStyle w:val="a5"/>
          <w:sz w:val="20"/>
          <w:szCs w:val="20"/>
          <w:vertAlign w:val="baseline"/>
          <w:rtl/>
        </w:rPr>
        <w:fldChar w:fldCharType="end"/>
      </w:r>
      <w:r>
        <w:rPr>
          <w:rStyle w:val="a5"/>
          <w:sz w:val="20"/>
          <w:szCs w:val="20"/>
          <w:vertAlign w:val="baseline"/>
          <w:rtl/>
        </w:rPr>
        <w:t xml:space="preserve"> בעמ׳ </w:t>
      </w:r>
      <w:r>
        <w:rPr>
          <w:rStyle w:val="a5"/>
          <w:sz w:val="20"/>
          <w:szCs w:val="20"/>
          <w:vertAlign w:val="baseline"/>
          <w:rtl/>
        </w:rPr>
        <w:fldChar w:fldCharType="begin" w:dirty="true"/>
      </w:r>
      <w:r>
        <w:rPr>
          <w:rStyle w:val="a5"/>
          <w:sz w:val="20"/>
          <w:szCs w:val="20"/>
          <w:vertAlign w:val="baseline"/>
          <w:rtl/>
        </w:rPr>
        <w:instrText xml:space="preserve"> PAGEREF pr_f_1234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w:t>
      </w:r>
    </w:p>
  </w:footnote>
  <w:footnote w:id="1431">
    <w:p w14:paraId="66308EB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255–258.</w:t>
      </w:r>
    </w:p>
  </w:footnote>
  <w:footnote w:id="1432">
    <w:p w14:paraId="6FDF7C2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ה בפרק זה.</w:t>
      </w:r>
    </w:p>
  </w:footnote>
  <w:footnote w:id="1433">
    <w:p w14:paraId="6BAC0D6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69 לעיל.</w:t>
      </w:r>
    </w:p>
  </w:footnote>
  <w:footnote w:id="1434">
    <w:p w14:paraId="428A619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בהמשך לסוף </w:t>
      </w:r>
      <w:proofErr w:type="spellStart"/>
      <w:r>
        <w:rPr>
          <w:rStyle w:val="a5"/>
          <w:sz w:val="20"/>
          <w:szCs w:val="20"/>
          <w:vertAlign w:val="baseline"/>
          <w:rtl/>
        </w:rPr>
        <w:t>הערת־שוליים</w:t>
      </w:r>
      <w:proofErr w:type="spellEnd"/>
      <w:r>
        <w:rPr>
          <w:rStyle w:val="a5"/>
          <w:sz w:val="20"/>
          <w:szCs w:val="20"/>
          <w:vertAlign w:val="baseline"/>
          <w:rtl/>
        </w:rPr>
        <w:t xml:space="preserve"> </w:t>
      </w:r>
      <w:r>
        <w:rPr>
          <w:rStyle w:val="a5"/>
          <w:sz w:val="20"/>
          <w:szCs w:val="20"/>
          <w:vertAlign w:val="baseline"/>
          <w:rtl/>
        </w:rPr>
        <w:fldChar w:fldCharType="begin" w:dirty="true"/>
      </w:r>
      <w:r>
        <w:rPr>
          <w:rStyle w:val="a5"/>
          <w:sz w:val="20"/>
          <w:szCs w:val="20"/>
          <w:vertAlign w:val="baseline"/>
          <w:rtl/>
        </w:rPr>
        <w:instrText xml:space="preserve"> NOTEREF pr_f_2115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1161</w:t>
      </w:r>
      <w:r>
        <w:rPr>
          <w:rStyle w:val="a5"/>
          <w:sz w:val="20"/>
          <w:szCs w:val="20"/>
          <w:vertAlign w:val="baseline"/>
          <w:rtl/>
        </w:rPr>
        <w:fldChar w:fldCharType="end"/>
      </w:r>
      <w:r>
        <w:rPr>
          <w:rStyle w:val="a5"/>
          <w:sz w:val="20"/>
          <w:szCs w:val="20"/>
          <w:vertAlign w:val="baseline"/>
          <w:rtl/>
        </w:rPr>
        <w:t xml:space="preserve"> בעמ׳ </w:t>
      </w:r>
      <w:r>
        <w:rPr>
          <w:rStyle w:val="a5"/>
          <w:sz w:val="20"/>
          <w:szCs w:val="20"/>
          <w:vertAlign w:val="baseline"/>
          <w:rtl/>
        </w:rPr>
        <w:fldChar w:fldCharType="begin" w:dirty="true"/>
      </w:r>
      <w:r>
        <w:rPr>
          <w:rStyle w:val="a5"/>
          <w:sz w:val="20"/>
          <w:szCs w:val="20"/>
          <w:vertAlign w:val="baseline"/>
          <w:rtl/>
        </w:rPr>
        <w:instrText xml:space="preserve"> PAGEREF pr_f_2115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 xml:space="preserve"> להלן: ב־18 במאי 2002, כשכתיבת ספר זה התקרבה לסיומה, חזר ר׳ יהושע </w:t>
      </w:r>
      <w:proofErr w:type="spellStart"/>
      <w:r>
        <w:rPr>
          <w:rStyle w:val="a5"/>
          <w:sz w:val="20"/>
          <w:szCs w:val="20"/>
          <w:vertAlign w:val="baseline"/>
          <w:rtl/>
        </w:rPr>
        <w:t>שוואב</w:t>
      </w:r>
      <w:proofErr w:type="spellEnd"/>
      <w:r>
        <w:rPr>
          <w:rStyle w:val="a5"/>
          <w:sz w:val="20"/>
          <w:szCs w:val="20"/>
          <w:vertAlign w:val="baseline"/>
          <w:rtl/>
        </w:rPr>
        <w:t xml:space="preserve"> על מעשה ששמע מאביו ר׳ מרדכי, ולפיו כבר בשלב מוקדם יותר בחיי ר׳ </w:t>
      </w:r>
      <w:proofErr w:type="spellStart"/>
      <w:r>
        <w:rPr>
          <w:rStyle w:val="a5"/>
          <w:sz w:val="20"/>
          <w:szCs w:val="20"/>
          <w:vertAlign w:val="baseline"/>
          <w:rtl/>
        </w:rPr>
        <w:t>ברוך־בער</w:t>
      </w:r>
      <w:proofErr w:type="spellEnd"/>
      <w:r>
        <w:rPr>
          <w:rStyle w:val="a5"/>
          <w:sz w:val="20"/>
          <w:szCs w:val="20"/>
          <w:vertAlign w:val="baseline"/>
          <w:rtl/>
        </w:rPr>
        <w:t xml:space="preserve"> חזה ר׳ חיים שעתיד הוא ללמד תורה</w:t>
      </w:r>
      <w:r>
        <w:rPr>
          <w:sz w:val="20"/>
          <w:szCs w:val="20"/>
          <w:rtl/>
        </w:rPr>
        <w:t>.</w:t>
      </w:r>
    </w:p>
    <w:p w14:paraId="51CF84FF" w14:textId="77777777" w:rsidR="00AB3647" w:rsidRDefault="00000000">
      <w:pPr>
        <w:spacing w:after="0" w:before="0"/>
        <w:jc w:val="both"/>
      </w:pPr>
      <w:r>
        <w:rPr>
          <w:sz w:val="20"/>
          <w:szCs w:val="20"/>
          <w:rtl/>
        </w:rPr>
        <w:t xml:space="preserve">ר׳ מרדכי </w:t>
      </w:r>
      <w:proofErr w:type="spellStart"/>
      <w:r>
        <w:rPr>
          <w:sz w:val="20"/>
          <w:szCs w:val="20"/>
          <w:rtl/>
        </w:rPr>
        <w:t>שוואב</w:t>
      </w:r>
      <w:proofErr w:type="spellEnd"/>
      <w:r>
        <w:rPr>
          <w:sz w:val="20"/>
          <w:szCs w:val="20"/>
          <w:rtl/>
        </w:rPr>
        <w:t xml:space="preserve"> למד </w:t>
      </w:r>
      <w:proofErr w:type="spellStart"/>
      <w:r>
        <w:rPr>
          <w:sz w:val="20"/>
          <w:szCs w:val="20"/>
          <w:rtl/>
        </w:rPr>
        <w:t>בקמניץ</w:t>
      </w:r>
      <w:proofErr w:type="spellEnd"/>
      <w:r>
        <w:rPr>
          <w:sz w:val="20"/>
          <w:szCs w:val="20"/>
          <w:rtl/>
        </w:rPr>
        <w:t xml:space="preserve"> אצל ר׳ </w:t>
      </w:r>
      <w:proofErr w:type="spellStart"/>
      <w:r>
        <w:rPr>
          <w:sz w:val="20"/>
          <w:szCs w:val="20"/>
          <w:rtl/>
        </w:rPr>
        <w:t>ברוך־בער</w:t>
      </w:r>
      <w:proofErr w:type="spellEnd"/>
      <w:r>
        <w:rPr>
          <w:sz w:val="20"/>
          <w:szCs w:val="20"/>
          <w:rtl/>
        </w:rPr>
        <w:t xml:space="preserve"> כשהתחיל לסבול מכאבי ראש – השווה עמ׳ </w:t>
      </w:r>
      <w:r>
        <w:rPr>
          <w:sz w:val="20"/>
          <w:szCs w:val="20"/>
          <w:rtl/>
        </w:rPr>
        <w:fldChar w:fldCharType="begin" w:dirty="true"/>
      </w:r>
      <w:r>
        <w:rPr>
          <w:sz w:val="20"/>
          <w:szCs w:val="20"/>
          <w:rtl/>
        </w:rPr>
        <w:instrText xml:space="preserve"> PAGEREF pr_b_2635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r>
        <w:rPr>
          <w:sz w:val="20"/>
          <w:szCs w:val="20"/>
          <w:rtl/>
        </w:rPr>
        <w:fldChar w:fldCharType="begin" w:dirty="true"/>
      </w:r>
      <w:r>
        <w:rPr>
          <w:sz w:val="20"/>
          <w:szCs w:val="20"/>
          <w:rtl/>
        </w:rPr>
        <w:instrText xml:space="preserve"> PAGEREF pr_b_2636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שגם </w:t>
      </w:r>
      <w:proofErr w:type="spellStart"/>
      <w:r>
        <w:rPr>
          <w:sz w:val="20"/>
          <w:szCs w:val="20"/>
          <w:rtl/>
        </w:rPr>
        <w:t>החפץ־חיים</w:t>
      </w:r>
      <w:proofErr w:type="spellEnd"/>
      <w:r>
        <w:rPr>
          <w:sz w:val="20"/>
          <w:szCs w:val="20"/>
          <w:rtl/>
        </w:rPr>
        <w:t xml:space="preserve"> עבר ייסורים כאלה – עד שחשב שיצטרך להפסיק את לימודו. הוא אף תכנן להצטרף להכשרה דתית בוורשה. אבל רבו עמד על כך שיישאר בישיבה ויירפא. הוא סיפר לו שגם הוא סבל מאותה מחלה כשלמד </w:t>
      </w:r>
      <w:proofErr w:type="spellStart"/>
      <w:r>
        <w:rPr>
          <w:sz w:val="20"/>
          <w:szCs w:val="20"/>
          <w:rtl/>
        </w:rPr>
        <w:t>בוולוז׳ין</w:t>
      </w:r>
      <w:proofErr w:type="spellEnd"/>
      <w:r>
        <w:rPr>
          <w:sz w:val="20"/>
          <w:szCs w:val="20"/>
          <w:rtl/>
        </w:rPr>
        <w:t xml:space="preserve">, ושם אמר לו רבו ר׳ חיים </w:t>
      </w:r>
      <w:proofErr w:type="spellStart"/>
      <w:r>
        <w:rPr>
          <w:sz w:val="20"/>
          <w:szCs w:val="20"/>
          <w:rtl/>
        </w:rPr>
        <w:t>סולובייצ׳יק</w:t>
      </w:r>
      <w:proofErr w:type="spellEnd"/>
      <w:r>
        <w:rPr>
          <w:sz w:val="20"/>
          <w:szCs w:val="20"/>
          <w:rtl/>
        </w:rPr>
        <w:t xml:space="preserve"> שהוא סובל ייסורים אלה מפני שיום אחד יהיה ראש ישיבה, ואולי יהיה לו תלמיד שגם הוא סובל מכאבי ראש; בזכות היכרותו האישית עם המחלה יוכל ר׳ </w:t>
      </w:r>
      <w:proofErr w:type="spellStart"/>
      <w:r>
        <w:rPr>
          <w:sz w:val="20"/>
          <w:szCs w:val="20"/>
          <w:rtl/>
        </w:rPr>
        <w:t>ברוך־בער</w:t>
      </w:r>
      <w:proofErr w:type="spellEnd"/>
      <w:r>
        <w:rPr>
          <w:sz w:val="20"/>
          <w:szCs w:val="20"/>
          <w:rtl/>
        </w:rPr>
        <w:t xml:space="preserve"> להביא את תלמידו לידי החלמה בישיבה שיעמוד בראשה. ר׳ מרדכי יכול היה ללמוד רק שעה אחת ביום, ור׳ </w:t>
      </w:r>
      <w:proofErr w:type="spellStart"/>
      <w:r>
        <w:rPr>
          <w:sz w:val="20"/>
          <w:szCs w:val="20"/>
          <w:rtl/>
        </w:rPr>
        <w:t>ברוך־בער</w:t>
      </w:r>
      <w:proofErr w:type="spellEnd"/>
      <w:r>
        <w:rPr>
          <w:sz w:val="20"/>
          <w:szCs w:val="20"/>
          <w:rtl/>
        </w:rPr>
        <w:t xml:space="preserve"> למד עמו בחברותא.</w:t>
      </w:r>
    </w:p>
    <w:p w14:paraId="212E16FC" w14:textId="77777777" w:rsidR="00AB3647" w:rsidRDefault="00000000">
      <w:pPr>
        <w:spacing w:after="0" w:before="0"/>
        <w:jc w:val="both"/>
      </w:pPr>
      <w:r>
        <w:rPr>
          <w:sz w:val="20"/>
          <w:szCs w:val="20"/>
          <w:rtl/>
        </w:rPr>
        <w:t xml:space="preserve">הדרך שבה נרפא לבסוף הרב </w:t>
      </w:r>
      <w:proofErr w:type="spellStart"/>
      <w:r>
        <w:rPr>
          <w:sz w:val="20"/>
          <w:szCs w:val="20"/>
          <w:rtl/>
        </w:rPr>
        <w:t>שוואב</w:t>
      </w:r>
      <w:proofErr w:type="spellEnd"/>
      <w:r>
        <w:rPr>
          <w:sz w:val="20"/>
          <w:szCs w:val="20"/>
          <w:rtl/>
        </w:rPr>
        <w:t xml:space="preserve"> אינה אלא נס. פרופסור לרפואה מווילנה, שסבל מהתקפי שכחה, נמצא קפוא ביער סמוך לעיירה, ובבית המדרש החם </w:t>
      </w:r>
      <w:proofErr w:type="spellStart"/>
      <w:r>
        <w:rPr>
          <w:sz w:val="20"/>
          <w:szCs w:val="20"/>
          <w:rtl/>
        </w:rPr>
        <w:t>בקמניץ</w:t>
      </w:r>
      <w:proofErr w:type="spellEnd"/>
      <w:r>
        <w:rPr>
          <w:sz w:val="20"/>
          <w:szCs w:val="20"/>
          <w:rtl/>
        </w:rPr>
        <w:t xml:space="preserve"> שב להכרתו וחזר לדעת מי הוא. אז הובאו אל הרופא אסיר התודה כל חולי העיירה, ובהם ר׳ מרדכי, כדי לקבל את עזרתו המקצועית. הרופא רשם כמה טיפות, הרב </w:t>
      </w:r>
      <w:proofErr w:type="spellStart"/>
      <w:r>
        <w:rPr>
          <w:sz w:val="20"/>
          <w:szCs w:val="20"/>
          <w:rtl/>
        </w:rPr>
        <w:t>שוואב</w:t>
      </w:r>
      <w:proofErr w:type="spellEnd"/>
      <w:r>
        <w:rPr>
          <w:sz w:val="20"/>
          <w:szCs w:val="20"/>
          <w:rtl/>
        </w:rPr>
        <w:t xml:space="preserve"> השיג אותן בבית המרקחת המקומי, ונרפא.</w:t>
      </w:r>
    </w:p>
  </w:footnote>
  <w:footnote w:id="1435">
    <w:p w14:paraId="00348E0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2, הערה 93.</w:t>
      </w:r>
    </w:p>
  </w:footnote>
  <w:footnote w:id="1436">
    <w:p w14:paraId="7B3A4DA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21–22 במספור השלישי, המתחיל במאמרו של ר׳ ישראל </w:t>
      </w:r>
      <w:proofErr w:type="spellStart"/>
      <w:r>
        <w:rPr>
          <w:sz w:val="20"/>
          <w:szCs w:val="20"/>
          <w:rtl/>
        </w:rPr>
        <w:t>סלנטר</w:t>
      </w:r>
      <w:proofErr w:type="spellEnd"/>
      <w:r>
        <w:rPr>
          <w:sz w:val="20"/>
          <w:szCs w:val="20"/>
          <w:rtl/>
        </w:rPr>
        <w:t xml:space="preserve"> – ראה (עמ׳ </w:t>
      </w:r>
      <w:r>
        <w:rPr>
          <w:sz w:val="20"/>
          <w:szCs w:val="20"/>
          <w:rtl/>
        </w:rPr>
        <w:fldChar w:fldCharType="begin" w:dirty="true"/>
      </w:r>
      <w:r>
        <w:rPr>
          <w:sz w:val="20"/>
          <w:szCs w:val="20"/>
          <w:rtl/>
        </w:rPr>
        <w:instrText xml:space="preserve"> PAGEREF pr_b_997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(ב).</w:t>
      </w:r>
    </w:p>
  </w:footnote>
  <w:footnote w:id="1437">
    <w:p w14:paraId="06C2041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פרק 1, סוף הפסקה השנייה בנספח ה.</w:t>
      </w:r>
    </w:p>
  </w:footnote>
  <w:footnote w:id="1438">
    <w:p w14:paraId="5C22E6E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ברכות ו ע״א.</w:t>
      </w:r>
    </w:p>
  </w:footnote>
  <w:footnote w:id="1439">
    <w:p w14:paraId="420106E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הערת שוליים בעמ׳ 11.</w:t>
      </w:r>
    </w:p>
  </w:footnote>
  <w:footnote w:id="1440">
    <w:p w14:paraId="3C71D33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לפי “החפץ חיים (ישר)” (פרק 1, הערה 7), עמ׳ 15, הושלם “שמירת הלשון” עד שנת תרל״ה, שש שנים לפני הוצאת “עץ פרי”. עוד על מנהג זה, כפי שהוא נוגע לרבנו, ראה פרק 4, הפסקה השנייה בנספח י.</w:t>
      </w:r>
    </w:p>
  </w:footnote>
  <w:footnote w:id="1441">
    <w:p w14:paraId="75C0808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הנ״ל, פרק 1, הפסקה השנייה בנספח ב – עמ׳ 212, הערה 21.</w:t>
      </w:r>
    </w:p>
  </w:footnote>
  <w:footnote w:id="1442">
    <w:p w14:paraId="75109B6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הנ״ל, פרק 1, הערה 1 – כרך ג, פרק מט (שכותרתו “</w:t>
      </w:r>
      <w:proofErr w:type="spellStart"/>
      <w:r>
        <w:rPr>
          <w:sz w:val="20"/>
          <w:szCs w:val="20"/>
          <w:rtl/>
        </w:rPr>
        <w:t>התיסדות</w:t>
      </w:r>
      <w:proofErr w:type="spellEnd"/>
      <w:r>
        <w:rPr>
          <w:sz w:val="20"/>
          <w:szCs w:val="20"/>
          <w:rtl/>
        </w:rPr>
        <w:t xml:space="preserve"> כולל </w:t>
      </w:r>
      <w:proofErr w:type="spellStart"/>
      <w:r>
        <w:rPr>
          <w:sz w:val="20"/>
          <w:szCs w:val="20"/>
          <w:rtl/>
        </w:rPr>
        <w:t>האברכים־הפרושים</w:t>
      </w:r>
      <w:proofErr w:type="spellEnd"/>
      <w:r>
        <w:rPr>
          <w:sz w:val="20"/>
          <w:szCs w:val="20"/>
          <w:rtl/>
        </w:rPr>
        <w:t xml:space="preserve"> בקובנה”).</w:t>
      </w:r>
    </w:p>
  </w:footnote>
  <w:footnote w:id="1443">
    <w:p w14:paraId="1927AEB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קשה להבין כיצד יכול היה ר׳ יעקב הלוי ליפשיץ, שהיה מקורב </w:t>
      </w:r>
      <w:proofErr w:type="spellStart"/>
      <w:r>
        <w:rPr>
          <w:sz w:val="20"/>
          <w:szCs w:val="20"/>
          <w:rtl/>
        </w:rPr>
        <w:t>לר</w:t>
      </w:r>
      <w:proofErr w:type="spellEnd"/>
      <w:r>
        <w:rPr>
          <w:sz w:val="20"/>
          <w:szCs w:val="20"/>
          <w:rtl/>
        </w:rPr>
        <w:t xml:space="preserve">׳ </w:t>
      </w:r>
      <w:proofErr w:type="spellStart"/>
      <w:r>
        <w:rPr>
          <w:sz w:val="20"/>
          <w:szCs w:val="20"/>
          <w:rtl/>
        </w:rPr>
        <w:t>צבי־הירש</w:t>
      </w:r>
      <w:proofErr w:type="spellEnd"/>
      <w:r>
        <w:rPr>
          <w:sz w:val="20"/>
          <w:szCs w:val="20"/>
          <w:rtl/>
        </w:rPr>
        <w:t xml:space="preserve"> </w:t>
      </w:r>
      <w:proofErr w:type="spellStart"/>
      <w:r>
        <w:rPr>
          <w:sz w:val="20"/>
          <w:szCs w:val="20"/>
          <w:rtl/>
        </w:rPr>
        <w:t>רבינוביץ</w:t>
      </w:r>
      <w:proofErr w:type="spellEnd"/>
      <w:r>
        <w:rPr>
          <w:sz w:val="20"/>
          <w:szCs w:val="20"/>
          <w:rtl/>
        </w:rPr>
        <w:t>, לטעות טעות כזו.</w:t>
      </w:r>
    </w:p>
  </w:footnote>
  <w:footnote w:id="1444">
    <w:p w14:paraId="22658D2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יצא לאור </w:t>
      </w:r>
      <w:proofErr w:type="spellStart"/>
      <w:r>
        <w:rPr>
          <w:sz w:val="20"/>
          <w:szCs w:val="20"/>
          <w:rtl/>
        </w:rPr>
        <w:t xml:space="preserve">בניו יורק</w:t>
      </w:r>
      <w:proofErr w:type="spellEnd"/>
      <w:r>
        <w:rPr>
          <w:sz w:val="20"/>
          <w:szCs w:val="20"/>
          <w:rtl/>
        </w:rPr>
        <w:t>, תש״ז (להלן: החפץ חיים) – הערת שוליים בעמ׳ 159.</w:t>
      </w:r>
    </w:p>
  </w:footnote>
  <w:footnote w:id="1445">
    <w:p w14:paraId="2CE4C44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כך תואר במכתב ששלח ר׳ </w:t>
      </w:r>
      <w:proofErr w:type="spellStart"/>
      <w:r>
        <w:rPr>
          <w:sz w:val="20"/>
          <w:szCs w:val="20"/>
          <w:rtl/>
        </w:rPr>
        <w:t>יצחק־יעקב</w:t>
      </w:r>
      <w:proofErr w:type="spellEnd"/>
      <w:r>
        <w:rPr>
          <w:sz w:val="20"/>
          <w:szCs w:val="20"/>
          <w:rtl/>
        </w:rPr>
        <w:t xml:space="preserve"> ריינס לאחד מידידיו, כפי שהובא </w:t>
      </w:r>
      <w:proofErr w:type="spellStart"/>
      <w:r>
        <w:rPr>
          <w:sz w:val="20"/>
          <w:szCs w:val="20"/>
          <w:rtl/>
        </w:rPr>
        <w:t xml:space="preserve">ב“אכסניות של תורה” (קראקא, תר״ן) (להלן: אכסניות)</w:t>
      </w:r>
      <w:proofErr w:type="spellEnd"/>
      <w:r>
        <w:rPr>
          <w:sz w:val="20"/>
          <w:szCs w:val="20"/>
          <w:rtl/>
        </w:rPr>
        <w:t xml:space="preserve"/>
      </w:r>
      <w:proofErr w:type="spellStart"/>
      <w:r>
        <w:rPr>
          <w:sz w:val="20"/>
          <w:szCs w:val="20"/>
          <w:rtl/>
        </w:rPr>
        <w:t xml:space="preserve"/>
      </w:r>
      <w:proofErr w:type="spellEnd"/>
      <w:r>
        <w:rPr>
          <w:sz w:val="20"/>
          <w:szCs w:val="20"/>
          <w:rtl/>
        </w:rPr>
        <w:t xml:space="preserve"/>
      </w:r>
      <w:proofErr w:type="spellStart"/>
      <w:r>
        <w:rPr>
          <w:sz w:val="20"/>
          <w:szCs w:val="20"/>
          <w:rtl/>
        </w:rPr>
        <w:t xml:space="preserve"/>
      </w:r>
      <w:proofErr w:type="spellEnd"/>
      <w:r>
        <w:rPr>
          <w:sz w:val="20"/>
          <w:szCs w:val="20"/>
          <w:rtl/>
        </w:rPr>
        <w:t xml:space="preserve">, עמ׳ 27.</w:t>
      </w:r>
    </w:p>
  </w:footnote>
  <w:footnote w:id="1446">
    <w:p w14:paraId="5F4A604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אבל השווה את מסורת משפחת </w:t>
      </w:r>
      <w:proofErr w:type="spellStart"/>
      <w:r>
        <w:rPr>
          <w:rStyle w:val="a5"/>
          <w:sz w:val="20"/>
          <w:szCs w:val="20"/>
          <w:vertAlign w:val="baseline"/>
          <w:rtl/>
        </w:rPr>
        <w:t xml:space="preserve">חווס</w:t>
      </w:r>
      <w:proofErr w:type="spellEnd"/>
      <w:r>
        <w:rPr>
          <w:rStyle w:val="a5"/>
          <w:sz w:val="20"/>
          <w:szCs w:val="20"/>
          <w:vertAlign w:val="baseline"/>
          <w:rtl/>
        </w:rPr>
        <w:t xml:space="preserve"> המובאת (עמ׳ </w:t>
      </w:r>
      <w:r>
        <w:rPr>
          <w:rStyle w:val="a5"/>
          <w:sz w:val="20"/>
          <w:szCs w:val="20"/>
          <w:vertAlign w:val="baseline"/>
          <w:rtl/>
        </w:rPr>
        <w:fldChar w:fldCharType="begin" w:dirty="true"/>
      </w:r>
      <w:r>
        <w:rPr>
          <w:rStyle w:val="a5"/>
          <w:sz w:val="20"/>
          <w:szCs w:val="20"/>
          <w:vertAlign w:val="baseline"/>
          <w:rtl/>
        </w:rPr>
        <w:instrText xml:space="preserve"> PAGEREF pr_close_b_1575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 xml:space="preserve">) להלן, על בקיאותו של ר׳ </w:t>
      </w:r>
      <w:proofErr w:type="spellStart"/>
      <w:r>
        <w:rPr>
          <w:sz w:val="20"/>
          <w:szCs w:val="20"/>
          <w:rtl/>
        </w:rPr>
        <w:t>לייזר־יעקב</w:t>
      </w:r>
      <w:proofErr w:type="spellEnd"/>
      <w:r>
        <w:rPr>
          <w:sz w:val="20"/>
          <w:szCs w:val="20"/>
          <w:rtl/>
        </w:rPr>
        <w:t>.</w:t>
      </w:r>
    </w:p>
  </w:footnote>
  <w:footnote w:id="1447">
    <w:p w14:paraId="435BB1F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ריאיון עם ר׳ ישעיה זינגר, נכד נכדו של ר׳ </w:t>
      </w:r>
      <w:proofErr w:type="spellStart"/>
      <w:r>
        <w:rPr>
          <w:sz w:val="20"/>
          <w:szCs w:val="20"/>
          <w:rtl/>
        </w:rPr>
        <w:t>לייזר־יעקב</w:t>
      </w:r>
      <w:proofErr w:type="spellEnd"/>
      <w:r>
        <w:rPr>
          <w:sz w:val="20"/>
          <w:szCs w:val="20"/>
          <w:rtl/>
        </w:rPr>
        <w:t>, 13 ביוני 1997.</w:t>
      </w:r>
    </w:p>
  </w:footnote>
  <w:footnote w:id="1448">
    <w:p w14:paraId="2FC769C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זיכרון </w:t>
      </w:r>
      <w:proofErr w:type="spellStart"/>
      <w:r>
        <w:rPr>
          <w:sz w:val="20"/>
          <w:szCs w:val="20"/>
          <w:rtl/>
        </w:rPr>
        <w:t>דבורץ</w:t>
      </w:r>
      <w:proofErr w:type="spellEnd"/>
      <w:r>
        <w:rPr>
          <w:sz w:val="20"/>
          <w:szCs w:val="20"/>
          <w:rtl/>
        </w:rPr>
        <w:t xml:space="preserve"> (הנ״ל, פרק 2, הערה 93).</w:t>
      </w:r>
    </w:p>
  </w:footnote>
  <w:footnote w:id="1449">
    <w:p w14:paraId="1033079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225.</w:t>
      </w:r>
    </w:p>
  </w:footnote>
  <w:footnote w:id="1450">
    <w:p w14:paraId="10B5DF3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1451">
    <w:p w14:paraId="2C418B9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הנ״ל, פרק 1, הפסקה הראשונה בנספח ב – עמ׳ 16.</w:t>
      </w:r>
    </w:p>
  </w:footnote>
  <w:footnote w:id="1452">
    <w:p w14:paraId="6994D95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הנ״ל, פרק 2, נספח ב – עמ׳ 81 (בשם ר׳ מאיר </w:t>
      </w:r>
      <w:proofErr w:type="spellStart"/>
      <w:r>
        <w:rPr>
          <w:sz w:val="20"/>
          <w:szCs w:val="20"/>
          <w:rtl/>
        </w:rPr>
        <w:t>קרליץ</w:t>
      </w:r>
      <w:proofErr w:type="spellEnd"/>
      <w:r>
        <w:rPr>
          <w:sz w:val="20"/>
          <w:szCs w:val="20"/>
          <w:rtl/>
        </w:rPr>
        <w:t>).</w:t>
      </w:r>
    </w:p>
  </w:footnote>
  <w:footnote w:id="1453">
    <w:p w14:paraId="0E622B3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דיווח זה סותר את דברי ר׳ יצחק </w:t>
      </w:r>
      <w:proofErr w:type="spellStart"/>
      <w:r>
        <w:rPr>
          <w:sz w:val="20"/>
          <w:szCs w:val="20"/>
          <w:rtl/>
        </w:rPr>
        <w:t>הוטנר</w:t>
      </w:r>
      <w:proofErr w:type="spellEnd"/>
      <w:r>
        <w:rPr>
          <w:sz w:val="20"/>
          <w:szCs w:val="20"/>
          <w:rtl/>
        </w:rPr>
        <w:t xml:space="preserve"> המובאים בסוף הפסקה השנייה בנספח </w:t>
      </w:r>
      <w:proofErr w:type="spellStart"/>
      <w:r>
        <w:rPr>
          <w:sz w:val="20"/>
          <w:szCs w:val="20"/>
          <w:rtl/>
        </w:rPr>
        <w:t>כו</w:t>
      </w:r>
      <w:proofErr w:type="spellEnd"/>
      <w:r>
        <w:rPr>
          <w:sz w:val="20"/>
          <w:szCs w:val="20"/>
          <w:rtl/>
        </w:rPr>
        <w:t xml:space="preserve"> להלן, שר׳ ישראל </w:t>
      </w:r>
      <w:r>
        <w:rPr>
          <w:b/>
          <w:bCs/>
          <w:sz w:val="20"/>
          <w:szCs w:val="20"/>
          <w:rtl/>
        </w:rPr>
        <w:t>לא</w:t>
      </w:r>
      <w:r>
        <w:rPr>
          <w:sz w:val="20"/>
          <w:szCs w:val="20"/>
          <w:rtl/>
        </w:rPr>
        <w:t xml:space="preserve"> הסכים להוצאת הספר “חפץ חיים”, ואת הטעם לכך.</w:t>
      </w:r>
    </w:p>
  </w:footnote>
  <w:footnote w:id="1454">
    <w:p w14:paraId="672052D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כץ, “תנועת המוסר”, כרך א, עמ׳ 141, וכרך ב (הנ״ל, פרק 2, הערה 17), עמ׳ 136.</w:t>
      </w:r>
    </w:p>
  </w:footnote>
  <w:footnote w:id="1455">
    <w:p w14:paraId="5E17D47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נולד בערך בשנת ת״ר.</w:t>
      </w:r>
    </w:p>
  </w:footnote>
  <w:footnote w:id="1456">
    <w:p w14:paraId="533F579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כץ, “תנועת המוסר”, כרך א, עמ׳ 195.</w:t>
      </w:r>
    </w:p>
  </w:footnote>
  <w:footnote w:id="1457">
    <w:p w14:paraId="4010EF3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סוף הפסקה השנייה בנספח </w:t>
      </w:r>
      <w:proofErr w:type="spellStart"/>
      <w:r>
        <w:rPr>
          <w:sz w:val="20"/>
          <w:szCs w:val="20"/>
          <w:rtl/>
        </w:rPr>
        <w:t>כג</w:t>
      </w:r>
      <w:proofErr w:type="spellEnd"/>
      <w:r>
        <w:rPr>
          <w:sz w:val="20"/>
          <w:szCs w:val="20"/>
          <w:rtl/>
        </w:rPr>
        <w:t xml:space="preserve"> להלן; “לפרקים” מאת הרב יחיאל יעקב ויינברג (הוצאת “קריה נאמנה”, ירושלים, תשכ״ז), מאמר </w:t>
      </w:r>
      <w:proofErr w:type="spellStart"/>
      <w:r>
        <w:rPr>
          <w:sz w:val="20"/>
          <w:szCs w:val="20"/>
          <w:rtl/>
        </w:rPr>
        <w:t>יב</w:t>
      </w:r>
      <w:proofErr w:type="spellEnd"/>
      <w:r>
        <w:rPr>
          <w:sz w:val="20"/>
          <w:szCs w:val="20"/>
          <w:rtl/>
        </w:rPr>
        <w:t>, “</w:t>
      </w:r>
      <w:proofErr w:type="spellStart"/>
      <w:r>
        <w:rPr>
          <w:sz w:val="20"/>
          <w:szCs w:val="20"/>
          <w:rtl/>
        </w:rPr>
        <w:t>גבורים</w:t>
      </w:r>
      <w:proofErr w:type="spellEnd"/>
      <w:r>
        <w:rPr>
          <w:sz w:val="20"/>
          <w:szCs w:val="20"/>
          <w:rtl/>
        </w:rPr>
        <w:t xml:space="preserve"> בישראל”, שנכתב לזכרו של ר׳ </w:t>
      </w:r>
      <w:proofErr w:type="spellStart"/>
      <w:r>
        <w:rPr>
          <w:sz w:val="20"/>
          <w:szCs w:val="20"/>
          <w:rtl/>
        </w:rPr>
        <w:t>לייזר־יעקב</w:t>
      </w:r>
      <w:proofErr w:type="spellEnd"/>
      <w:r>
        <w:rPr>
          <w:sz w:val="20"/>
          <w:szCs w:val="20"/>
          <w:rtl/>
        </w:rPr>
        <w:t xml:space="preserve"> אחר </w:t>
      </w:r>
      <w:proofErr w:type="spellStart"/>
      <w:r>
        <w:rPr>
          <w:sz w:val="20"/>
          <w:szCs w:val="20"/>
          <w:rtl/>
        </w:rPr>
        <w:t>ש“נפטר</w:t>
      </w:r>
      <w:proofErr w:type="spellEnd"/>
      <w:r>
        <w:rPr>
          <w:sz w:val="20"/>
          <w:szCs w:val="20"/>
          <w:rtl/>
        </w:rPr>
        <w:t xml:space="preserve"> בזמן המלחמה (העולמית הראשונה) בווילנה”; ונספח ג להלן, המביא חלק קטן מן המאמר. בשיחה המוקלטת עם אברכי הכולל של ישיבת רבנו ישראל מאיר הכהן (פרק 2, הערה 106) אמר אבי שהוא “הכיר את ר׳ </w:t>
      </w:r>
      <w:proofErr w:type="spellStart"/>
      <w:r>
        <w:rPr>
          <w:sz w:val="20"/>
          <w:szCs w:val="20"/>
          <w:rtl/>
        </w:rPr>
        <w:t>לייזר־יעקב</w:t>
      </w:r>
      <w:proofErr w:type="spellEnd"/>
      <w:r>
        <w:rPr>
          <w:sz w:val="20"/>
          <w:szCs w:val="20"/>
          <w:rtl/>
        </w:rPr>
        <w:t xml:space="preserve"> </w:t>
      </w:r>
      <w:proofErr w:type="spellStart"/>
      <w:r>
        <w:rPr>
          <w:sz w:val="20"/>
          <w:szCs w:val="20"/>
          <w:rtl/>
        </w:rPr>
        <w:t xml:space="preserve">חווס</w:t>
      </w:r>
      <w:proofErr w:type="spellEnd"/>
      <w:r>
        <w:rPr>
          <w:sz w:val="20"/>
          <w:szCs w:val="20"/>
          <w:rtl/>
        </w:rPr>
        <w:t xml:space="preserve"> אישית”. לפי הריאיון עם ר׳ ישעיה זינגר (ראה הערת השוליים לעיל, על המעשה בר׳ אברהם </w:t>
      </w:r>
      <w:proofErr w:type="spellStart"/>
      <w:r>
        <w:rPr>
          <w:sz w:val="20"/>
          <w:szCs w:val="20"/>
          <w:rtl/>
        </w:rPr>
        <w:t>טרופ</w:t>
      </w:r>
      <w:proofErr w:type="spellEnd"/>
      <w:r>
        <w:rPr>
          <w:sz w:val="20"/>
          <w:szCs w:val="20"/>
          <w:rtl/>
        </w:rPr>
        <w:t xml:space="preserve">), סיפר לו אבי כיצד היה ר׳ </w:t>
      </w:r>
      <w:proofErr w:type="spellStart"/>
      <w:r>
        <w:rPr>
          <w:sz w:val="20"/>
          <w:szCs w:val="20"/>
          <w:rtl/>
        </w:rPr>
        <w:t>לייזר־יעקב</w:t>
      </w:r>
      <w:proofErr w:type="spellEnd"/>
      <w:r>
        <w:rPr>
          <w:sz w:val="20"/>
          <w:szCs w:val="20"/>
          <w:rtl/>
        </w:rPr>
        <w:t xml:space="preserve"> אוסף לחם מאנשי </w:t>
      </w:r>
      <w:proofErr w:type="spellStart"/>
      <w:r>
        <w:rPr>
          <w:sz w:val="20"/>
          <w:szCs w:val="20"/>
          <w:rtl/>
        </w:rPr>
        <w:t>סלבודקה</w:t>
      </w:r>
      <w:proofErr w:type="spellEnd"/>
      <w:r>
        <w:rPr>
          <w:sz w:val="20"/>
          <w:szCs w:val="20"/>
          <w:rtl/>
        </w:rPr>
        <w:t xml:space="preserve"> כדי לחלקו לבחורי הישיבה.</w:t>
      </w:r>
    </w:p>
  </w:footnote>
  <w:footnote w:id="1458">
    <w:p w14:paraId="64B5C7E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כרך 2.</w:t>
      </w:r>
    </w:p>
  </w:footnote>
  <w:footnote w:id="1459">
    <w:p w14:paraId="2CC2C83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להלן: שיחת </w:t>
      </w:r>
      <w:proofErr w:type="spellStart"/>
      <w:r>
        <w:rPr>
          <w:sz w:val="20"/>
          <w:szCs w:val="20"/>
          <w:rtl/>
        </w:rPr>
        <w:t>ליבוביץ</w:t>
      </w:r>
      <w:proofErr w:type="spellEnd"/>
      <w:r>
        <w:rPr>
          <w:sz w:val="20"/>
          <w:szCs w:val="20"/>
          <w:rtl/>
        </w:rPr>
        <w:t>.</w:t>
      </w:r>
    </w:p>
  </w:footnote>
  <w:footnote w:id="1460">
    <w:p w14:paraId="478834B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יצא לאור תרפ״ח–</w:t>
      </w:r>
      <w:proofErr w:type="spellStart"/>
      <w:r>
        <w:rPr>
          <w:sz w:val="20"/>
          <w:szCs w:val="20"/>
          <w:rtl/>
        </w:rPr>
        <w:t>תר״ץ</w:t>
      </w:r>
      <w:proofErr w:type="spellEnd"/>
      <w:r>
        <w:rPr>
          <w:sz w:val="20"/>
          <w:szCs w:val="20"/>
          <w:rtl/>
        </w:rPr>
        <w:t xml:space="preserve"> – עמ׳ </w:t>
      </w:r>
      <w:proofErr w:type="spellStart"/>
      <w:r>
        <w:rPr>
          <w:sz w:val="20"/>
          <w:szCs w:val="20"/>
          <w:rtl/>
        </w:rPr>
        <w:t>כו</w:t>
      </w:r>
      <w:proofErr w:type="spellEnd"/>
      <w:r>
        <w:rPr>
          <w:sz w:val="20"/>
          <w:szCs w:val="20"/>
          <w:rtl/>
        </w:rPr>
        <w:t>.</w:t>
      </w:r>
    </w:p>
  </w:footnote>
  <w:footnote w:id="1461">
    <w:p w14:paraId="4F5AE33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יתר על כן, אני סבור שריבלין החליף בין שני האחים לא רק בזיהוי המארח והמשפיע של לחמן, אלא גם בעמ׳ לח–מ שם. שם הוא מספר על השליחות שבה שלח לחמן את </w:t>
      </w:r>
      <w:proofErr w:type="spellStart"/>
      <w:r>
        <w:rPr>
          <w:sz w:val="20"/>
          <w:szCs w:val="20"/>
          <w:rtl/>
        </w:rPr>
        <w:t xml:space="preserve">חווס</w:t>
      </w:r>
      <w:proofErr w:type="spellEnd"/>
      <w:r>
        <w:rPr>
          <w:sz w:val="20"/>
          <w:szCs w:val="20"/>
          <w:rtl/>
        </w:rPr>
        <w:t xml:space="preserve"> לארץ ישראל לטפל בעניינו של הרב </w:t>
      </w:r>
      <w:proofErr w:type="spellStart"/>
      <w:r>
        <w:rPr>
          <w:sz w:val="20"/>
          <w:szCs w:val="20"/>
          <w:rtl/>
        </w:rPr>
        <w:t>פרומקין</w:t>
      </w:r>
      <w:proofErr w:type="spellEnd"/>
      <w:r>
        <w:rPr>
          <w:sz w:val="20"/>
          <w:szCs w:val="20"/>
          <w:rtl/>
        </w:rPr>
        <w:t xml:space="preserve">, שקנה ללחמן אחוזה במקום שהוא היום פתח תקווה, וניהל אותה שלא לשביעות רצונו של בעליה. ר׳ </w:t>
      </w:r>
      <w:proofErr w:type="spellStart"/>
      <w:r>
        <w:rPr>
          <w:sz w:val="20"/>
          <w:szCs w:val="20"/>
          <w:rtl/>
        </w:rPr>
        <w:t>יוזף־חיים</w:t>
      </w:r>
      <w:proofErr w:type="spellEnd"/>
      <w:r>
        <w:rPr>
          <w:sz w:val="20"/>
          <w:szCs w:val="20"/>
          <w:rtl/>
        </w:rPr>
        <w:t xml:space="preserve"> היה מסוגל לטפל בענייני עסקים, ולא ר׳ </w:t>
      </w:r>
      <w:proofErr w:type="spellStart"/>
      <w:r>
        <w:rPr>
          <w:sz w:val="20"/>
          <w:szCs w:val="20"/>
          <w:rtl/>
        </w:rPr>
        <w:t>לייזר־יעקב</w:t>
      </w:r>
      <w:proofErr w:type="spellEnd"/>
      <w:r>
        <w:rPr>
          <w:sz w:val="20"/>
          <w:szCs w:val="20"/>
          <w:rtl/>
        </w:rPr>
        <w:t xml:space="preserve">, שכל ישותו הייתה מוקדשת להפצת התורה בלבד. למרבה הפלא, כץ, “תנועת המוסר”, כרך א, בהערה בעמ׳ 214, אינו חולק על דיווחו של ריבלין </w:t>
      </w:r>
      <w:proofErr w:type="spellStart"/>
      <w:r>
        <w:rPr>
          <w:sz w:val="20"/>
          <w:szCs w:val="20"/>
          <w:rtl/>
        </w:rPr>
        <w:t>ש“לייזר־יעקב</w:t>
      </w:r>
      <w:proofErr w:type="spellEnd"/>
      <w:r>
        <w:rPr>
          <w:sz w:val="20"/>
          <w:szCs w:val="20"/>
          <w:rtl/>
        </w:rPr>
        <w:t xml:space="preserve">” </w:t>
      </w:r>
      <w:proofErr w:type="spellStart"/>
      <w:r>
        <w:rPr>
          <w:sz w:val="20"/>
          <w:szCs w:val="20"/>
          <w:rtl/>
        </w:rPr>
        <w:t xml:space="preserve">חווס</w:t>
      </w:r>
      <w:proofErr w:type="spellEnd"/>
      <w:r>
        <w:rPr>
          <w:sz w:val="20"/>
          <w:szCs w:val="20"/>
          <w:rtl/>
        </w:rPr>
        <w:t xml:space="preserve"> נסע לארץ ישראל בשליחות לחמן.</w:t>
      </w:r>
    </w:p>
  </w:footnote>
  <w:footnote w:id="1462">
    <w:p w14:paraId="6CCB783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להלן: מא״ד. המאמר התפרסם </w:t>
      </w:r>
      <w:proofErr w:type="spellStart"/>
      <w:r>
        <w:rPr>
          <w:sz w:val="20"/>
          <w:szCs w:val="20"/>
          <w:rtl/>
        </w:rPr>
        <w:t>אחד־עשר</w:t>
      </w:r>
      <w:proofErr w:type="spellEnd"/>
      <w:r>
        <w:rPr>
          <w:sz w:val="20"/>
          <w:szCs w:val="20"/>
          <w:rtl/>
        </w:rPr>
        <w:t xml:space="preserve"> חודשים לפני מותו של הנדבן. ראה גם הערה 108 בפרק זה, על עוד מטענות המאמר.</w:t>
      </w:r>
    </w:p>
  </w:footnote>
  <w:footnote w:id="1463">
    <w:p w14:paraId="54CEC70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במשך כמה שנים נקרא “הד הזמן”, בגלל בעיות צנזורה עם הממשלה הרוסית.</w:t>
      </w:r>
    </w:p>
  </w:footnote>
  <w:footnote w:id="1464">
    <w:p w14:paraId="1BB5CEC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1465">
    <w:p w14:paraId="28CA787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ב“שנות</w:t>
      </w:r>
      <w:proofErr w:type="spellEnd"/>
      <w:r>
        <w:rPr>
          <w:sz w:val="20"/>
          <w:szCs w:val="20"/>
          <w:rtl/>
        </w:rPr>
        <w:t xml:space="preserve"> דור ודור” (הוצאת מסורה, ברוקלין, 1999), עמ׳ קנו–קנז.</w:t>
      </w:r>
    </w:p>
  </w:footnote>
  <w:footnote w:id="1466">
    <w:p w14:paraId="7A7C54B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גם הערת השוליים </w:t>
      </w:r>
      <w:r>
        <w:rPr>
          <w:rStyle w:val="a5"/>
          <w:sz w:val="20"/>
          <w:szCs w:val="20"/>
          <w:vertAlign w:val="baseline"/>
          <w:rtl/>
        </w:rPr>
        <w:fldChar w:fldCharType="begin" w:dirty="true"/>
      </w:r>
      <w:r>
        <w:rPr>
          <w:rStyle w:val="a5"/>
          <w:sz w:val="20"/>
          <w:szCs w:val="20"/>
          <w:vertAlign w:val="baseline"/>
          <w:rtl/>
        </w:rPr>
        <w:instrText xml:space="preserve"> NOTEREF pr_f_1542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588</w:t>
      </w:r>
      <w:r>
        <w:rPr>
          <w:rStyle w:val="a5"/>
          <w:sz w:val="20"/>
          <w:szCs w:val="20"/>
          <w:vertAlign w:val="baseline"/>
          <w:rtl/>
        </w:rPr>
        <w:fldChar w:fldCharType="end"/>
      </w:r>
      <w:r>
        <w:rPr>
          <w:rStyle w:val="a5"/>
          <w:sz w:val="20"/>
          <w:szCs w:val="20"/>
          <w:vertAlign w:val="baseline"/>
          <w:rtl/>
        </w:rPr>
        <w:t xml:space="preserve"> בעמ׳ </w:t>
      </w:r>
      <w:r>
        <w:rPr>
          <w:rStyle w:val="a5"/>
          <w:sz w:val="20"/>
          <w:szCs w:val="20"/>
          <w:vertAlign w:val="baseline"/>
          <w:rtl/>
        </w:rPr>
        <w:fldChar w:fldCharType="begin" w:dirty="true"/>
      </w:r>
      <w:r>
        <w:rPr>
          <w:rStyle w:val="a5"/>
          <w:sz w:val="20"/>
          <w:szCs w:val="20"/>
          <w:vertAlign w:val="baseline"/>
          <w:rtl/>
        </w:rPr>
        <w:instrText xml:space="preserve"> PAGEREF pr_f_1542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 xml:space="preserve"> </w:t>
      </w:r>
      <w:r>
        <w:rPr>
          <w:sz w:val="20"/>
          <w:szCs w:val="20"/>
          <w:rtl/>
        </w:rPr>
        <w:t xml:space="preserve">בכרך זה, ופרק 4, סוף נספח ז, על מקורות אחרים הקושרים את לחמן </w:t>
      </w:r>
      <w:proofErr w:type="spellStart"/>
      <w:r>
        <w:rPr>
          <w:sz w:val="20"/>
          <w:szCs w:val="20"/>
          <w:rtl/>
        </w:rPr>
        <w:t>להמבורג</w:t>
      </w:r>
      <w:proofErr w:type="spellEnd"/>
      <w:r>
        <w:rPr>
          <w:sz w:val="20"/>
          <w:szCs w:val="20"/>
          <w:rtl/>
        </w:rPr>
        <w:t>. מן הראשון שבהם משתמע שלא בא מברלין אלא מעיר במערב גרמניה, והשני (משנת תר״מ – ראה להלן) מזהה בבירור את הנדבן עם העיר המבורג.</w:t>
      </w:r>
    </w:p>
  </w:footnote>
  <w:footnote w:id="1467">
    <w:p w14:paraId="0ECA77A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(הערת השוליים </w:t>
      </w:r>
      <w:r>
        <w:rPr>
          <w:rStyle w:val="a5"/>
          <w:sz w:val="20"/>
          <w:szCs w:val="20"/>
          <w:vertAlign w:val="baseline"/>
          <w:rtl/>
        </w:rPr>
        <w:fldChar w:fldCharType="begin" w:dirty="true"/>
      </w:r>
      <w:r>
        <w:rPr>
          <w:rStyle w:val="a5"/>
          <w:sz w:val="20"/>
          <w:szCs w:val="20"/>
          <w:vertAlign w:val="baseline"/>
          <w:rtl/>
        </w:rPr>
        <w:instrText xml:space="preserve"> NOTEREF pr_f_108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53</w:t>
      </w:r>
      <w:r>
        <w:rPr>
          <w:rStyle w:val="a5"/>
          <w:sz w:val="20"/>
          <w:szCs w:val="20"/>
          <w:vertAlign w:val="baseline"/>
          <w:rtl/>
        </w:rPr>
        <w:fldChar w:fldCharType="end"/>
      </w:r>
      <w:r>
        <w:rPr>
          <w:rStyle w:val="a5"/>
          <w:sz w:val="20"/>
          <w:szCs w:val="20"/>
          <w:vertAlign w:val="baseline"/>
          <w:rtl/>
        </w:rPr>
        <w:t xml:space="preserve"> בעמ׳ </w:t>
      </w:r>
      <w:r>
        <w:rPr>
          <w:rStyle w:val="a5"/>
          <w:sz w:val="20"/>
          <w:szCs w:val="20"/>
          <w:vertAlign w:val="baseline"/>
          <w:rtl/>
        </w:rPr>
        <w:fldChar w:fldCharType="begin" w:dirty="true"/>
      </w:r>
      <w:r>
        <w:rPr>
          <w:rStyle w:val="a5"/>
          <w:sz w:val="20"/>
          <w:szCs w:val="20"/>
          <w:vertAlign w:val="baseline"/>
          <w:rtl/>
        </w:rPr>
        <w:instrText xml:space="preserve"> PAGEREF pr_f_108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 בכרך זה.</w:t>
      </w:r>
    </w:p>
  </w:footnote>
  <w:footnote w:id="1468">
    <w:p w14:paraId="085DEC1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בשנה שלאחריה נקראו בנפרד.</w:t>
      </w:r>
    </w:p>
  </w:footnote>
  <w:footnote w:id="1469">
    <w:p w14:paraId="1637B3D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בראש מערכת “שנות דור ודור” עומד ר׳ משה </w:t>
      </w:r>
      <w:proofErr w:type="spellStart"/>
      <w:r>
        <w:rPr>
          <w:sz w:val="20"/>
          <w:szCs w:val="20"/>
          <w:rtl/>
        </w:rPr>
        <w:t>זעירא</w:t>
      </w:r>
      <w:proofErr w:type="spellEnd"/>
      <w:r>
        <w:rPr>
          <w:sz w:val="20"/>
          <w:szCs w:val="20"/>
          <w:rtl/>
        </w:rPr>
        <w:t>.</w:t>
      </w:r>
    </w:p>
  </w:footnote>
  <w:footnote w:id="1470">
    <w:p w14:paraId="71FBAF8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שיטה זו נהגה בדרך כלל בשנות </w:t>
      </w:r>
      <w:proofErr w:type="spellStart"/>
      <w:r>
        <w:rPr>
          <w:sz w:val="20"/>
          <w:szCs w:val="20"/>
          <w:rtl/>
        </w:rPr>
        <w:t>הת״ר־ל</w:t>
      </w:r>
      <w:proofErr w:type="spellEnd"/>
      <w:r>
        <w:rPr>
          <w:sz w:val="20"/>
          <w:szCs w:val="20"/>
          <w:rtl/>
        </w:rPr>
        <w:t xml:space="preserve">׳ </w:t>
      </w:r>
      <w:proofErr w:type="spellStart"/>
      <w:r>
        <w:rPr>
          <w:sz w:val="20"/>
          <w:szCs w:val="20"/>
          <w:rtl/>
        </w:rPr>
        <w:t>והת״ר־מ</w:t>
      </w:r>
      <w:proofErr w:type="spellEnd"/>
      <w:r>
        <w:rPr>
          <w:sz w:val="20"/>
          <w:szCs w:val="20"/>
          <w:rtl/>
        </w:rPr>
        <w:t xml:space="preserve">׳, על אף הטענה </w:t>
      </w:r>
      <w:proofErr w:type="spellStart"/>
      <w:r>
        <w:rPr>
          <w:sz w:val="20"/>
          <w:szCs w:val="20"/>
          <w:rtl/>
        </w:rPr>
        <w:t>ב“זכרון</w:t>
      </w:r>
      <w:proofErr w:type="spellEnd"/>
      <w:r>
        <w:rPr>
          <w:sz w:val="20"/>
          <w:szCs w:val="20"/>
          <w:rtl/>
        </w:rPr>
        <w:t xml:space="preserve"> יעקב”, המובאת בתחילת הפסקה הבאה, על מה שנהג </w:t>
      </w:r>
      <w:proofErr w:type="spellStart"/>
      <w:r>
        <w:rPr>
          <w:sz w:val="20"/>
          <w:szCs w:val="20"/>
          <w:rtl/>
        </w:rPr>
        <w:t>בזאמוט</w:t>
      </w:r>
      <w:proofErr w:type="spellEnd"/>
      <w:r>
        <w:rPr>
          <w:sz w:val="20"/>
          <w:szCs w:val="20"/>
          <w:rtl/>
        </w:rPr>
        <w:t xml:space="preserve"> בשנות </w:t>
      </w:r>
      <w:proofErr w:type="spellStart"/>
      <w:r>
        <w:rPr>
          <w:sz w:val="20"/>
          <w:szCs w:val="20"/>
          <w:rtl/>
        </w:rPr>
        <w:t>הת״ר־י</w:t>
      </w:r>
      <w:proofErr w:type="spellEnd"/>
      <w:r>
        <w:rPr>
          <w:sz w:val="20"/>
          <w:szCs w:val="20"/>
          <w:rtl/>
        </w:rPr>
        <w:t xml:space="preserve">׳. כך היה המנהג גם כעבור שלושים שנה במינסק, שאליה בא אבי ללמוד בגיל </w:t>
      </w:r>
      <w:proofErr w:type="spellStart"/>
      <w:r>
        <w:rPr>
          <w:sz w:val="20"/>
          <w:szCs w:val="20"/>
          <w:rtl/>
        </w:rPr>
        <w:t>אחת־עשרה</w:t>
      </w:r>
      <w:proofErr w:type="spellEnd"/>
      <w:r>
        <w:rPr>
          <w:sz w:val="20"/>
          <w:szCs w:val="20"/>
          <w:rtl/>
        </w:rPr>
        <w:t xml:space="preserve"> (כמסופר בפסקה שלפני האחרונה בפרק 1.4 ובתחילת פרק 2.3), וכך היה – לעניין הכלכלה – גם בערים שבהן למדו אחיי הגדולים כעבור חמישים שנה (כמסופר בכרך 2). העורך בלבל בין התלמוד תורה של קלם כפי שהיה </w:t>
      </w:r>
      <w:r>
        <w:rPr>
          <w:b/>
          <w:bCs/>
          <w:sz w:val="20"/>
          <w:szCs w:val="20"/>
          <w:rtl/>
        </w:rPr>
        <w:t>לפני</w:t>
      </w:r>
      <w:r>
        <w:rPr>
          <w:sz w:val="20"/>
          <w:szCs w:val="20"/>
          <w:rtl/>
        </w:rPr>
        <w:t xml:space="preserve"> </w:t>
      </w:r>
      <w:proofErr w:type="spellStart"/>
      <w:r>
        <w:rPr>
          <w:sz w:val="20"/>
          <w:szCs w:val="20"/>
          <w:rtl/>
        </w:rPr>
        <w:t>גרובין</w:t>
      </w:r>
      <w:proofErr w:type="spellEnd"/>
      <w:r>
        <w:rPr>
          <w:sz w:val="20"/>
          <w:szCs w:val="20"/>
          <w:rtl/>
        </w:rPr>
        <w:t xml:space="preserve"> (ראה תחילת נספח כה להלן) ובין הצורה שלבש המוסד </w:t>
      </w:r>
      <w:r>
        <w:rPr>
          <w:b/>
          <w:bCs/>
          <w:sz w:val="20"/>
          <w:szCs w:val="20"/>
          <w:rtl/>
        </w:rPr>
        <w:t>אחרי</w:t>
      </w:r>
      <w:r>
        <w:rPr>
          <w:sz w:val="20"/>
          <w:szCs w:val="20"/>
          <w:rtl/>
        </w:rPr>
        <w:t xml:space="preserve"> שחזר משם ר׳ </w:t>
      </w:r>
      <w:proofErr w:type="spellStart"/>
      <w:r>
        <w:rPr>
          <w:sz w:val="20"/>
          <w:szCs w:val="20"/>
          <w:rtl/>
        </w:rPr>
        <w:t>שמחה־זיסל</w:t>
      </w:r>
      <w:proofErr w:type="spellEnd"/>
      <w:r>
        <w:rPr>
          <w:sz w:val="20"/>
          <w:szCs w:val="20"/>
          <w:rtl/>
        </w:rPr>
        <w:t xml:space="preserve"> </w:t>
      </w:r>
      <w:proofErr w:type="spellStart"/>
      <w:r>
        <w:rPr>
          <w:sz w:val="20"/>
          <w:szCs w:val="20"/>
          <w:rtl/>
        </w:rPr>
        <w:t>לקלם</w:t>
      </w:r>
      <w:proofErr w:type="spellEnd"/>
      <w:r>
        <w:rPr>
          <w:sz w:val="20"/>
          <w:szCs w:val="20"/>
          <w:rtl/>
        </w:rPr>
        <w:t>. אף שנשאר בשמו המקורי, “תלמוד תורה”, נהפך בית הספר מישיבה קטנה למוסד ללומדים המצטיינים במוסר, ואז אכן נזקק לתמיכתו הכספית של הציבור הרחב והיה ראוי לה.</w:t>
      </w:r>
    </w:p>
  </w:footnote>
  <w:footnote w:id="1471">
    <w:p w14:paraId="5F8A89A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 הפסקה השנייה בנספח ב.</w:t>
      </w:r>
    </w:p>
  </w:footnote>
  <w:footnote w:id="1472">
    <w:p w14:paraId="60CF351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זו הוכנה למטרות התרמה בידי ישראל </w:t>
      </w:r>
      <w:proofErr w:type="spellStart"/>
      <w:r>
        <w:rPr>
          <w:sz w:val="20"/>
          <w:szCs w:val="20"/>
          <w:rtl/>
        </w:rPr>
        <w:t>זיסל</w:t>
      </w:r>
      <w:proofErr w:type="spellEnd"/>
      <w:r>
        <w:rPr>
          <w:sz w:val="20"/>
          <w:szCs w:val="20"/>
          <w:rtl/>
        </w:rPr>
        <w:t xml:space="preserve"> </w:t>
      </w:r>
      <w:proofErr w:type="spellStart"/>
      <w:r>
        <w:rPr>
          <w:sz w:val="20"/>
          <w:szCs w:val="20"/>
          <w:rtl/>
        </w:rPr>
        <w:t>דבורץ</w:t>
      </w:r>
      <w:proofErr w:type="spellEnd"/>
      <w:r>
        <w:rPr>
          <w:sz w:val="20"/>
          <w:szCs w:val="20"/>
          <w:rtl/>
        </w:rPr>
        <w:t xml:space="preserve"> ונקראה – “כנסת ישראל – על דבר הישיבה הגדולה </w:t>
      </w:r>
      <w:proofErr w:type="spellStart"/>
      <w:r>
        <w:rPr>
          <w:sz w:val="20"/>
          <w:szCs w:val="20"/>
          <w:rtl/>
        </w:rPr>
        <w:t>בסלבודקה</w:t>
      </w:r>
      <w:proofErr w:type="spellEnd"/>
      <w:r>
        <w:rPr>
          <w:sz w:val="20"/>
          <w:szCs w:val="20"/>
          <w:rtl/>
        </w:rPr>
        <w:t>”.</w:t>
      </w:r>
    </w:p>
  </w:footnote>
  <w:footnote w:id="1473">
    <w:p w14:paraId="08357FE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21–27.</w:t>
      </w:r>
    </w:p>
  </w:footnote>
  <w:footnote w:id="1474">
    <w:p w14:paraId="077805F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ב“אכסניות</w:t>
      </w:r>
      <w:proofErr w:type="spellEnd"/>
      <w:r>
        <w:rPr>
          <w:sz w:val="20"/>
          <w:szCs w:val="20"/>
          <w:rtl/>
        </w:rPr>
        <w:t>” הוא מזוהה בטעות בראשי התיבות ש.י. במקום א.י. (אליעזר יעקב).</w:t>
      </w:r>
    </w:p>
  </w:footnote>
  <w:footnote w:id="1475">
    <w:p w14:paraId="228916F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יחזקאל </w:t>
      </w:r>
      <w:proofErr w:type="spellStart"/>
      <w:r>
        <w:rPr>
          <w:sz w:val="20"/>
          <w:szCs w:val="20"/>
          <w:rtl/>
        </w:rPr>
        <w:t>כח</w:t>
      </w:r>
      <w:proofErr w:type="spellEnd"/>
      <w:r>
        <w:rPr>
          <w:sz w:val="20"/>
          <w:szCs w:val="20"/>
          <w:rtl/>
        </w:rPr>
        <w:t xml:space="preserve">, </w:t>
      </w:r>
      <w:proofErr w:type="spellStart"/>
      <w:r>
        <w:rPr>
          <w:sz w:val="20"/>
          <w:szCs w:val="20"/>
          <w:rtl/>
        </w:rPr>
        <w:t>יב</w:t>
      </w:r>
      <w:proofErr w:type="spellEnd"/>
      <w:r>
        <w:rPr>
          <w:sz w:val="20"/>
          <w:szCs w:val="20"/>
          <w:rtl/>
        </w:rPr>
        <w:t>.</w:t>
      </w:r>
    </w:p>
  </w:footnote>
  <w:footnote w:id="1476">
    <w:p w14:paraId="0043CE5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יצא לאור </w:t>
      </w:r>
      <w:proofErr w:type="spellStart"/>
      <w:r>
        <w:rPr>
          <w:sz w:val="20"/>
          <w:szCs w:val="20"/>
          <w:rtl/>
        </w:rPr>
        <w:t>במגנצא</w:t>
      </w:r>
      <w:proofErr w:type="spellEnd"/>
      <w:r>
        <w:rPr>
          <w:sz w:val="20"/>
          <w:szCs w:val="20"/>
          <w:rtl/>
        </w:rPr>
        <w:t xml:space="preserve">, </w:t>
      </w:r>
      <w:proofErr w:type="spellStart"/>
      <w:r>
        <w:rPr>
          <w:sz w:val="20"/>
          <w:szCs w:val="20"/>
          <w:rtl/>
        </w:rPr>
        <w:t>תר״ם</w:t>
      </w:r>
      <w:proofErr w:type="spellEnd"/>
      <w:r>
        <w:rPr>
          <w:sz w:val="20"/>
          <w:szCs w:val="20"/>
          <w:rtl/>
        </w:rPr>
        <w:t xml:space="preserve"> – עמ׳ יד–</w:t>
      </w:r>
      <w:proofErr w:type="spellStart"/>
      <w:r>
        <w:rPr>
          <w:sz w:val="20"/>
          <w:szCs w:val="20"/>
          <w:rtl/>
        </w:rPr>
        <w:t>יז</w:t>
      </w:r>
      <w:proofErr w:type="spellEnd"/>
      <w:r>
        <w:rPr>
          <w:sz w:val="20"/>
          <w:szCs w:val="20"/>
          <w:rtl/>
        </w:rPr>
        <w:t>, בהערה ארוכה (המתחילה בעמ׳ י).</w:t>
      </w:r>
    </w:p>
  </w:footnote>
  <w:footnote w:id="1477">
    <w:p w14:paraId="444F9EB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התאריך שקבע ר׳ משה ריינס לפגישת אביו עם ר׳ </w:t>
      </w:r>
      <w:proofErr w:type="spellStart"/>
      <w:r>
        <w:rPr>
          <w:sz w:val="20"/>
          <w:szCs w:val="20"/>
          <w:rtl/>
        </w:rPr>
        <w:t>אלכסנדר־משה</w:t>
      </w:r>
      <w:proofErr w:type="spellEnd"/>
      <w:r>
        <w:rPr>
          <w:sz w:val="20"/>
          <w:szCs w:val="20"/>
          <w:rtl/>
        </w:rPr>
        <w:t xml:space="preserve"> לפידות, תרל״ב, נכתבה ההקדמה </w:t>
      </w:r>
      <w:proofErr w:type="spellStart"/>
      <w:r>
        <w:rPr>
          <w:sz w:val="20"/>
          <w:szCs w:val="20"/>
          <w:rtl/>
        </w:rPr>
        <w:t>ל“חותם</w:t>
      </w:r>
      <w:proofErr w:type="spellEnd"/>
      <w:r>
        <w:rPr>
          <w:sz w:val="20"/>
          <w:szCs w:val="20"/>
          <w:rtl/>
        </w:rPr>
        <w:t xml:space="preserve"> תכנית” כמעט חמש שנים לפני פרסום הספר. ספר זה מפלס דרך בשיטת לימוד מקורית – ר׳ </w:t>
      </w:r>
      <w:proofErr w:type="spellStart"/>
      <w:r>
        <w:rPr>
          <w:sz w:val="20"/>
          <w:szCs w:val="20"/>
          <w:rtl/>
        </w:rPr>
        <w:t>יצחק־יעקב</w:t>
      </w:r>
      <w:proofErr w:type="spellEnd"/>
      <w:r>
        <w:rPr>
          <w:sz w:val="20"/>
          <w:szCs w:val="20"/>
          <w:rtl/>
        </w:rPr>
        <w:t xml:space="preserve"> ריינס בחר את שם הכרך כדי לבטא זאת – ולכן אין להתפלא על הפער של חמש שנים בין כתיבת ההקדמה לפרסום הספר, אף שקולמוסו של ר׳ </w:t>
      </w:r>
      <w:proofErr w:type="spellStart"/>
      <w:r>
        <w:rPr>
          <w:sz w:val="20"/>
          <w:szCs w:val="20"/>
          <w:rtl/>
        </w:rPr>
        <w:t>יצחק־יעקב</w:t>
      </w:r>
      <w:proofErr w:type="spellEnd"/>
      <w:r>
        <w:rPr>
          <w:sz w:val="20"/>
          <w:szCs w:val="20"/>
          <w:rtl/>
        </w:rPr>
        <w:t xml:space="preserve"> ריינס היה פורה.</w:t>
      </w:r>
    </w:p>
  </w:footnote>
  <w:footnote w:id="1478">
    <w:p w14:paraId="3D87EA4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הערת השוליים הראשונה בנספח ו.</w:t>
      </w:r>
    </w:p>
  </w:footnote>
  <w:footnote w:id="1479">
    <w:p w14:paraId="2232B4C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הוצאת ישיבת רבי יעקב יוסף, ירושלים, 1984.</w:t>
      </w:r>
    </w:p>
  </w:footnote>
  <w:footnote w:id="1480">
    <w:p w14:paraId="0E4EF99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את הפסקה הראשונה בנספח ח להלן.</w:t>
      </w:r>
    </w:p>
  </w:footnote>
  <w:footnote w:id="1481">
    <w:p w14:paraId="06CAA70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טלפוני, 17 בינואר 1988.</w:t>
      </w:r>
    </w:p>
  </w:footnote>
  <w:footnote w:id="1482">
    <w:p w14:paraId="277734E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4, תחילת הערה 63, שר׳ </w:t>
      </w:r>
      <w:proofErr w:type="spellStart"/>
      <w:r>
        <w:rPr>
          <w:sz w:val="20"/>
          <w:szCs w:val="20"/>
          <w:rtl/>
        </w:rPr>
        <w:t>אלכסנדר־משה</w:t>
      </w:r>
      <w:proofErr w:type="spellEnd"/>
      <w:r>
        <w:rPr>
          <w:sz w:val="20"/>
          <w:szCs w:val="20"/>
          <w:rtl/>
        </w:rPr>
        <w:t xml:space="preserve"> לפידות נעשה בלתי כשיר כשאבי, ילד בן כתשע בלבד אז, עדיין גר </w:t>
      </w:r>
      <w:proofErr w:type="spellStart"/>
      <w:r>
        <w:rPr>
          <w:sz w:val="20"/>
          <w:szCs w:val="20"/>
          <w:rtl/>
        </w:rPr>
        <w:t>בדולהינוב</w:t>
      </w:r>
      <w:proofErr w:type="spellEnd"/>
      <w:r>
        <w:rPr>
          <w:sz w:val="20"/>
          <w:szCs w:val="20"/>
          <w:rtl/>
        </w:rPr>
        <w:t xml:space="preserve"> הנידחת.</w:t>
      </w:r>
    </w:p>
  </w:footnote>
  <w:footnote w:id="1483">
    <w:p w14:paraId="2334541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17 בינואר 1988.</w:t>
      </w:r>
    </w:p>
  </w:footnote>
  <w:footnote w:id="1484">
    <w:p w14:paraId="298A9A3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יצא לאור בוורשה, תרע״ג (להלן: לקורות), עמ׳ טו.</w:t>
      </w:r>
    </w:p>
  </w:footnote>
  <w:footnote w:id="1485">
    <w:p w14:paraId="454C3CF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בערל </w:t>
      </w:r>
      <w:proofErr w:type="spellStart"/>
      <w:r>
        <w:rPr>
          <w:sz w:val="20"/>
          <w:szCs w:val="20"/>
          <w:rtl/>
        </w:rPr>
        <w:t>קגן</w:t>
      </w:r>
      <w:proofErr w:type="spellEnd"/>
      <w:r>
        <w:rPr>
          <w:sz w:val="20"/>
          <w:szCs w:val="20"/>
          <w:rtl/>
        </w:rPr>
        <w:t xml:space="preserve"> (הערה 10 לעיל), עמ׳ 540, והמונוגרפיה </w:t>
      </w:r>
      <w:proofErr w:type="spellStart"/>
      <w:r>
        <w:rPr>
          <w:sz w:val="20"/>
          <w:szCs w:val="20"/>
          <w:rtl/>
        </w:rPr>
        <w:t>ב“קשת</w:t>
      </w:r>
      <w:proofErr w:type="spellEnd"/>
      <w:r>
        <w:rPr>
          <w:sz w:val="20"/>
          <w:szCs w:val="20"/>
          <w:rtl/>
        </w:rPr>
        <w:t xml:space="preserve"> </w:t>
      </w:r>
      <w:proofErr w:type="spellStart"/>
      <w:r>
        <w:rPr>
          <w:sz w:val="20"/>
          <w:szCs w:val="20"/>
          <w:rtl/>
        </w:rPr>
        <w:t>גבורים</w:t>
      </w:r>
      <w:proofErr w:type="spellEnd"/>
      <w:r>
        <w:rPr>
          <w:sz w:val="20"/>
          <w:szCs w:val="20"/>
          <w:rtl/>
        </w:rPr>
        <w:t xml:space="preserve">” מאת אהרן </w:t>
      </w:r>
      <w:proofErr w:type="spellStart"/>
      <w:r>
        <w:rPr>
          <w:sz w:val="20"/>
          <w:szCs w:val="20"/>
          <w:rtl/>
        </w:rPr>
        <w:t>בן־ציון</w:t>
      </w:r>
      <w:proofErr w:type="spellEnd"/>
      <w:r>
        <w:rPr>
          <w:sz w:val="20"/>
          <w:szCs w:val="20"/>
          <w:rtl/>
        </w:rPr>
        <w:t xml:space="preserve"> </w:t>
      </w:r>
      <w:proofErr w:type="spellStart"/>
      <w:r>
        <w:rPr>
          <w:sz w:val="20"/>
          <w:szCs w:val="20"/>
          <w:rtl/>
        </w:rPr>
        <w:t>שורין</w:t>
      </w:r>
      <w:proofErr w:type="spellEnd"/>
      <w:r>
        <w:rPr>
          <w:sz w:val="20"/>
          <w:szCs w:val="20"/>
          <w:rtl/>
        </w:rPr>
        <w:t xml:space="preserve"> (מוסד הרב קוק, ירושלים, תשכ״ד), עמ׳ 179–184.</w:t>
      </w:r>
    </w:p>
  </w:footnote>
  <w:footnote w:id="1486">
    <w:p w14:paraId="18CB1CD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15 ביוני 1994.</w:t>
      </w:r>
    </w:p>
  </w:footnote>
  <w:footnote w:id="1487">
    <w:p w14:paraId="431ECA9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29 ביולי 1996.</w:t>
      </w:r>
    </w:p>
  </w:footnote>
  <w:footnote w:id="1488">
    <w:p w14:paraId="0F4EABD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ידוע בראשי התיבות של שמו </w:t>
      </w:r>
      <w:proofErr w:type="spellStart"/>
      <w:r>
        <w:rPr>
          <w:sz w:val="20"/>
          <w:szCs w:val="20"/>
          <w:rtl/>
        </w:rPr>
        <w:t>כ“החיד״א</w:t>
      </w:r>
      <w:proofErr w:type="spellEnd"/>
      <w:r>
        <w:rPr>
          <w:sz w:val="20"/>
          <w:szCs w:val="20"/>
          <w:rtl/>
        </w:rPr>
        <w:t>”, והיה גאון גדול ומחבר של יותר מ־50 ספרים, שנסע לקהילות יהודיות בכל חלקי העולם למען מוסדות ארץ ישראל.</w:t>
      </w:r>
    </w:p>
  </w:footnote>
  <w:footnote w:id="1489">
    <w:p w14:paraId="58233EA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“קשת </w:t>
      </w:r>
      <w:proofErr w:type="spellStart"/>
      <w:r>
        <w:rPr>
          <w:sz w:val="20"/>
          <w:szCs w:val="20"/>
          <w:rtl/>
        </w:rPr>
        <w:t>גבורים</w:t>
      </w:r>
      <w:proofErr w:type="spellEnd"/>
      <w:r>
        <w:rPr>
          <w:sz w:val="20"/>
          <w:szCs w:val="20"/>
          <w:rtl/>
        </w:rPr>
        <w:t xml:space="preserve">”, עמ׳ 184. ר׳ עזריאל קרמר מסר גם שבישיבת </w:t>
      </w:r>
      <w:proofErr w:type="spellStart"/>
      <w:r>
        <w:rPr>
          <w:sz w:val="20"/>
          <w:szCs w:val="20"/>
          <w:rtl/>
        </w:rPr>
        <w:t>סלבודקה</w:t>
      </w:r>
      <w:proofErr w:type="spellEnd"/>
      <w:r>
        <w:rPr>
          <w:sz w:val="20"/>
          <w:szCs w:val="20"/>
          <w:rtl/>
        </w:rPr>
        <w:t xml:space="preserve">, שבה למד בראשית שנות </w:t>
      </w:r>
      <w:proofErr w:type="spellStart"/>
      <w:r>
        <w:rPr>
          <w:sz w:val="20"/>
          <w:szCs w:val="20"/>
          <w:rtl/>
        </w:rPr>
        <w:t>הת״ר־צ</w:t>
      </w:r>
      <w:proofErr w:type="spellEnd"/>
      <w:r>
        <w:rPr>
          <w:sz w:val="20"/>
          <w:szCs w:val="20"/>
          <w:rtl/>
        </w:rPr>
        <w:t xml:space="preserve">׳, למד עמו נכדו של ר׳ משה, </w:t>
      </w:r>
      <w:proofErr w:type="spellStart"/>
      <w:r>
        <w:rPr>
          <w:sz w:val="20"/>
          <w:szCs w:val="20"/>
          <w:rtl/>
        </w:rPr>
        <w:t>חיים־שמשון</w:t>
      </w:r>
      <w:proofErr w:type="spellEnd"/>
      <w:r>
        <w:rPr>
          <w:sz w:val="20"/>
          <w:szCs w:val="20"/>
          <w:rtl/>
        </w:rPr>
        <w:t>. “היה לו ידע תלמודי רחב להפליא [בקיאות] ואמרו עליו שזכה לזיכרונו המופלא של סבו,” אמר ר׳ עזריאל. “רב קובנה העריך אותו מאוד, וזמן קצר לפני מלחמת העולם השנייה ומותו על קידוש השם פרסם את ספרו הוא, ‘ספר אמרי חיים (</w:t>
      </w:r>
      <w:proofErr w:type="spellStart"/>
      <w:r>
        <w:rPr>
          <w:sz w:val="20"/>
          <w:szCs w:val="20"/>
          <w:rtl/>
        </w:rPr>
        <w:t>קיידאן</w:t>
      </w:r>
      <w:proofErr w:type="spellEnd"/>
      <w:r>
        <w:rPr>
          <w:sz w:val="20"/>
          <w:szCs w:val="20"/>
          <w:rtl/>
        </w:rPr>
        <w:t>, תרצ״ט)’.”</w:t>
      </w:r>
    </w:p>
  </w:footnote>
  <w:footnote w:id="1490">
    <w:p w14:paraId="5B278DE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2, הפסקה השישית בנספח א – עמ׳ 286–287.</w:t>
      </w:r>
    </w:p>
  </w:footnote>
  <w:footnote w:id="1491">
    <w:p w14:paraId="177C56E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1, הפסקה הראשונה בנספח ב.</w:t>
      </w:r>
    </w:p>
  </w:footnote>
  <w:footnote w:id="1492">
    <w:p w14:paraId="181D957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השווה פרק 4, סוף הפסקה השמינית בנספח ט.</w:t>
      </w:r>
    </w:p>
  </w:footnote>
  <w:footnote w:id="1493">
    <w:p w14:paraId="41FA96C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נספח </w:t>
      </w:r>
      <w:proofErr w:type="spellStart"/>
      <w:r>
        <w:rPr>
          <w:sz w:val="20"/>
          <w:szCs w:val="20"/>
          <w:rtl/>
        </w:rPr>
        <w:t>יב</w:t>
      </w:r>
      <w:proofErr w:type="spellEnd"/>
      <w:r>
        <w:rPr>
          <w:sz w:val="20"/>
          <w:szCs w:val="20"/>
          <w:rtl/>
        </w:rPr>
        <w:t xml:space="preserve"> להלן.</w:t>
      </w:r>
    </w:p>
  </w:footnote>
  <w:footnote w:id="1494">
    <w:p w14:paraId="4577D0E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מכתב מתאריך י׳ באדר ב׳ תשנ״ב.</w:t>
      </w:r>
    </w:p>
  </w:footnote>
  <w:footnote w:id="1495">
    <w:p w14:paraId="2096CC2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רבנו היה חבר לזמן קצר בכולל קובנה כשזה קיבל תחתיו את כולל </w:t>
      </w:r>
      <w:proofErr w:type="spellStart"/>
      <w:r>
        <w:rPr>
          <w:sz w:val="20"/>
          <w:szCs w:val="20"/>
          <w:rtl/>
        </w:rPr>
        <w:t>סלבודקה</w:t>
      </w:r>
      <w:proofErr w:type="spellEnd"/>
      <w:r>
        <w:rPr>
          <w:sz w:val="20"/>
          <w:szCs w:val="20"/>
          <w:rtl/>
        </w:rPr>
        <w:t xml:space="preserve"> שבו למד קודם לכן, כמסופר בכרך 2 של ספר זה.</w:t>
      </w:r>
    </w:p>
  </w:footnote>
  <w:footnote w:id="1496">
    <w:p w14:paraId="54227C2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14 בינואר 1988.</w:t>
      </w:r>
    </w:p>
  </w:footnote>
  <w:footnote w:id="1497">
    <w:p w14:paraId="4A03019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w:t>
      </w:r>
      <w:proofErr w:type="spellStart"/>
      <w:r>
        <w:rPr>
          <w:sz w:val="20"/>
          <w:szCs w:val="20"/>
          <w:rtl/>
        </w:rPr>
        <w:t>זכרון</w:t>
      </w:r>
      <w:proofErr w:type="spellEnd"/>
      <w:r>
        <w:rPr>
          <w:sz w:val="20"/>
          <w:szCs w:val="20"/>
          <w:rtl/>
        </w:rPr>
        <w:t xml:space="preserve"> יעקב”, כרך ג, עמ׳ 223, אומר שר׳ </w:t>
      </w:r>
      <w:proofErr w:type="spellStart"/>
      <w:r>
        <w:rPr>
          <w:sz w:val="20"/>
          <w:szCs w:val="20"/>
          <w:rtl/>
        </w:rPr>
        <w:t>אלכסנדר־משה</w:t>
      </w:r>
      <w:proofErr w:type="spellEnd"/>
      <w:r>
        <w:rPr>
          <w:sz w:val="20"/>
          <w:szCs w:val="20"/>
          <w:rtl/>
        </w:rPr>
        <w:t xml:space="preserve"> לפידות שלח מכתב </w:t>
      </w:r>
      <w:proofErr w:type="spellStart"/>
      <w:r>
        <w:rPr>
          <w:sz w:val="20"/>
          <w:szCs w:val="20"/>
          <w:rtl/>
        </w:rPr>
        <w:t>לר</w:t>
      </w:r>
      <w:proofErr w:type="spellEnd"/>
      <w:r>
        <w:rPr>
          <w:sz w:val="20"/>
          <w:szCs w:val="20"/>
          <w:rtl/>
        </w:rPr>
        <w:t xml:space="preserve">׳ יעקב הלוי (באמצעות ר׳ </w:t>
      </w:r>
      <w:proofErr w:type="spellStart"/>
      <w:r>
        <w:rPr>
          <w:sz w:val="20"/>
          <w:szCs w:val="20"/>
          <w:rtl/>
        </w:rPr>
        <w:t>לייזר־יעקב</w:t>
      </w:r>
      <w:proofErr w:type="spellEnd"/>
      <w:r>
        <w:rPr>
          <w:sz w:val="20"/>
          <w:szCs w:val="20"/>
          <w:rtl/>
        </w:rPr>
        <w:t xml:space="preserve"> </w:t>
      </w:r>
      <w:proofErr w:type="spellStart"/>
      <w:r>
        <w:rPr>
          <w:sz w:val="20"/>
          <w:szCs w:val="20"/>
          <w:rtl/>
        </w:rPr>
        <w:t xml:space="preserve">חווס</w:t>
      </w:r>
      <w:proofErr w:type="spellEnd"/>
      <w:r>
        <w:rPr>
          <w:sz w:val="20"/>
          <w:szCs w:val="20"/>
          <w:rtl/>
        </w:rPr>
        <w:t xml:space="preserve">) וביקש ממנו לשכנע את ר׳ </w:t>
      </w:r>
      <w:proofErr w:type="spellStart"/>
      <w:r>
        <w:rPr>
          <w:sz w:val="20"/>
          <w:szCs w:val="20"/>
          <w:rtl/>
        </w:rPr>
        <w:t>יצחק־אלחנן</w:t>
      </w:r>
      <w:proofErr w:type="spellEnd"/>
      <w:r>
        <w:rPr>
          <w:sz w:val="20"/>
          <w:szCs w:val="20"/>
          <w:rtl/>
        </w:rPr>
        <w:t xml:space="preserve"> </w:t>
      </w:r>
      <w:proofErr w:type="spellStart"/>
      <w:r>
        <w:rPr>
          <w:sz w:val="20"/>
          <w:szCs w:val="20"/>
          <w:rtl/>
        </w:rPr>
        <w:t>ספקטור</w:t>
      </w:r>
      <w:proofErr w:type="spellEnd"/>
      <w:r>
        <w:rPr>
          <w:sz w:val="20"/>
          <w:szCs w:val="20"/>
          <w:rtl/>
        </w:rPr>
        <w:t xml:space="preserve"> לקבל עליו את המפעל.</w:t>
      </w:r>
    </w:p>
  </w:footnote>
  <w:footnote w:id="1498">
    <w:p w14:paraId="706215D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222, בתחילת הפרק.</w:t>
      </w:r>
    </w:p>
  </w:footnote>
  <w:footnote w:id="1499">
    <w:p w14:paraId="7DECB43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מכתב זה נכתב קודם למכתב הנזכר לעיל, בהערת השוליים המביאה את “</w:t>
      </w:r>
      <w:proofErr w:type="spellStart"/>
      <w:r>
        <w:rPr>
          <w:sz w:val="20"/>
          <w:szCs w:val="20"/>
          <w:rtl/>
        </w:rPr>
        <w:t>זכרון</w:t>
      </w:r>
      <w:proofErr w:type="spellEnd"/>
      <w:r>
        <w:rPr>
          <w:sz w:val="20"/>
          <w:szCs w:val="20"/>
          <w:rtl/>
        </w:rPr>
        <w:t xml:space="preserve"> יעקב”, כרך ג, עמ׳ 223.</w:t>
      </w:r>
    </w:p>
  </w:footnote>
  <w:footnote w:id="1500">
    <w:p w14:paraId="7CCA9D6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יעקב הלוי ליפשיץ כותב, שם, שלימים הודה ר׳ </w:t>
      </w:r>
      <w:proofErr w:type="spellStart"/>
      <w:r>
        <w:rPr>
          <w:sz w:val="20"/>
          <w:szCs w:val="20"/>
          <w:rtl/>
        </w:rPr>
        <w:t>אלכסנדר־משה</w:t>
      </w:r>
      <w:proofErr w:type="spellEnd"/>
      <w:r>
        <w:rPr>
          <w:sz w:val="20"/>
          <w:szCs w:val="20"/>
          <w:rtl/>
        </w:rPr>
        <w:t xml:space="preserve"> לפידות שהערכה זו הייתה נכונה. הוא טוען גם שכשבא </w:t>
      </w:r>
      <w:proofErr w:type="spellStart"/>
      <w:r>
        <w:rPr>
          <w:sz w:val="20"/>
          <w:szCs w:val="20"/>
          <w:rtl/>
        </w:rPr>
        <w:t xml:space="preserve">חווס</w:t>
      </w:r>
      <w:proofErr w:type="spellEnd"/>
      <w:r>
        <w:rPr>
          <w:sz w:val="20"/>
          <w:szCs w:val="20"/>
          <w:rtl/>
        </w:rPr>
        <w:t xml:space="preserve"> לברלין אחר כך “היו לו כל מיני רעיונות ורכב על כרוב של פנטזיות רבות על השגת דברים גדולים באמצעות לחמן”. אחרי שהות של כחודשיים בברלין עם אחיו, “השיל מעליו את האשליות, והם הגיעו להצעה מוחשית שלחמן יתרום אלף רובל לשנה – סכום גדול באותם ימים – לחיזוק התורה”.</w:t>
      </w:r>
    </w:p>
  </w:footnote>
  <w:footnote w:id="1501">
    <w:p w14:paraId="0404BF1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225–226.</w:t>
      </w:r>
    </w:p>
  </w:footnote>
  <w:footnote w:id="1502">
    <w:p w14:paraId="4523FDB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כרך 2: המוציא לאור של “</w:t>
      </w:r>
      <w:proofErr w:type="spellStart"/>
      <w:r>
        <w:rPr>
          <w:sz w:val="20"/>
          <w:szCs w:val="20"/>
          <w:rtl/>
        </w:rPr>
        <w:t>זכרון</w:t>
      </w:r>
      <w:proofErr w:type="spellEnd"/>
      <w:r>
        <w:rPr>
          <w:sz w:val="20"/>
          <w:szCs w:val="20"/>
          <w:rtl/>
        </w:rPr>
        <w:t xml:space="preserve"> יעקב”, ר׳ נוטע ליפשיץ, בנו של ר׳ יעקב הלוי, מנע מרבנו להתמנות לרב </w:t>
      </w:r>
      <w:proofErr w:type="spellStart"/>
      <w:r>
        <w:rPr>
          <w:sz w:val="20"/>
          <w:szCs w:val="20"/>
          <w:rtl/>
        </w:rPr>
        <w:t>בווילקומיר</w:t>
      </w:r>
      <w:proofErr w:type="spellEnd"/>
      <w:r>
        <w:rPr>
          <w:sz w:val="20"/>
          <w:szCs w:val="20"/>
          <w:rtl/>
        </w:rPr>
        <w:t xml:space="preserve"> בשנות </w:t>
      </w:r>
      <w:proofErr w:type="spellStart"/>
      <w:r>
        <w:rPr>
          <w:sz w:val="20"/>
          <w:szCs w:val="20"/>
          <w:rtl/>
        </w:rPr>
        <w:t>הת״ר־צ</w:t>
      </w:r>
      <w:proofErr w:type="spellEnd"/>
      <w:r>
        <w:rPr>
          <w:sz w:val="20"/>
          <w:szCs w:val="20"/>
          <w:rtl/>
        </w:rPr>
        <w:t xml:space="preserve">׳. גם על כך אולי היה אבי אסיר תודה – כשם שהיה אסיר תודה </w:t>
      </w:r>
      <w:proofErr w:type="spellStart"/>
      <w:r>
        <w:rPr>
          <w:sz w:val="20"/>
          <w:szCs w:val="20"/>
          <w:rtl/>
        </w:rPr>
        <w:t>לר</w:t>
      </w:r>
      <w:proofErr w:type="spellEnd"/>
      <w:r>
        <w:rPr>
          <w:sz w:val="20"/>
          <w:szCs w:val="20"/>
          <w:rtl/>
        </w:rPr>
        <w:t xml:space="preserve">׳ </w:t>
      </w:r>
      <w:proofErr w:type="spellStart"/>
      <w:r>
        <w:rPr>
          <w:sz w:val="20"/>
          <w:szCs w:val="20"/>
          <w:rtl/>
        </w:rPr>
        <w:t>אליהו־מאיר</w:t>
      </w:r>
      <w:proofErr w:type="spellEnd"/>
      <w:r>
        <w:rPr>
          <w:sz w:val="20"/>
          <w:szCs w:val="20"/>
          <w:rtl/>
        </w:rPr>
        <w:t xml:space="preserve"> בלוך, שמנע אף הוא את מינויו לרבנות אחרת באותן שנים – שכן דבר זה הביא את רבנו להגר מליטא אל המבטחים של אמריקה זמן קצר לפני פרוץ מלחמת העולם השנייה. אבל על כך היה אבי אסיר תודה לדודו של המתכתב עמי, ר׳ נוטע, ולא לסבו.</w:t>
      </w:r>
    </w:p>
    <w:p w14:paraId="10C95B4E" w14:textId="77777777" w:rsidR="00AB3647" w:rsidRDefault="00000000">
      <w:pPr>
        <w:spacing w:after="0" w:before="0"/>
        <w:jc w:val="both"/>
      </w:pPr>
      <w:r>
        <w:rPr>
          <w:sz w:val="20"/>
          <w:szCs w:val="20"/>
          <w:rtl/>
        </w:rPr>
        <w:t xml:space="preserve">בתקופה מסוימת בזמן לימודיו במתיבתא תורה ודעת היה ר׳ יעקב ליפשיץ הצעיר אורח רצוי בבית הורי חודשים רבים, מתוך תחושת החוב של רבנו. בראיונו טען ר׳ יעקב ליפשיץ עוד שכאשר הסתבך הוא, </w:t>
      </w:r>
      <w:proofErr w:type="spellStart"/>
      <w:r>
        <w:rPr>
          <w:sz w:val="20"/>
          <w:szCs w:val="20"/>
          <w:rtl/>
        </w:rPr>
        <w:t>ה“ליטוואק</w:t>
      </w:r>
      <w:proofErr w:type="spellEnd"/>
      <w:r>
        <w:rPr>
          <w:sz w:val="20"/>
          <w:szCs w:val="20"/>
          <w:rtl/>
        </w:rPr>
        <w:t>”, בעימות חמור עם הנהלת מתיבתא תורה ודעת, שהייתה נוטה לחסידות, עמד אבי לימינו ומנע את גירושו – מתוך אותה הכרת תודה לסבו.</w:t>
      </w:r>
    </w:p>
  </w:footnote>
  <w:footnote w:id="1503">
    <w:p w14:paraId="17C0828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ב, עמ׳ 8.</w:t>
      </w:r>
    </w:p>
  </w:footnote>
  <w:footnote w:id="1504">
    <w:p w14:paraId="4F5D0C1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5, </w:t>
      </w:r>
      <w:proofErr w:type="spellStart"/>
      <w:r>
        <w:rPr>
          <w:sz w:val="20"/>
          <w:szCs w:val="20"/>
          <w:rtl/>
        </w:rPr>
        <w:t>תת־הפסקה</w:t>
      </w:r>
      <w:proofErr w:type="spellEnd"/>
      <w:r>
        <w:rPr>
          <w:sz w:val="20"/>
          <w:szCs w:val="20"/>
          <w:rtl/>
        </w:rPr>
        <w:t xml:space="preserve"> </w:t>
      </w:r>
      <w:proofErr w:type="spellStart"/>
      <w:r>
        <w:rPr>
          <w:sz w:val="20"/>
          <w:szCs w:val="20"/>
          <w:rtl/>
        </w:rPr>
        <w:t>השבע־עשרה</w:t>
      </w:r>
      <w:proofErr w:type="spellEnd"/>
      <w:r>
        <w:rPr>
          <w:sz w:val="20"/>
          <w:szCs w:val="20"/>
          <w:rtl/>
        </w:rPr>
        <w:t xml:space="preserve"> של הפסקה השנייה בנספח ב.</w:t>
      </w:r>
    </w:p>
  </w:footnote>
  <w:footnote w:id="1505">
    <w:p w14:paraId="3FA51F3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אטקס</w:t>
      </w:r>
      <w:proofErr w:type="spellEnd"/>
      <w:r>
        <w:rPr>
          <w:sz w:val="20"/>
          <w:szCs w:val="20"/>
          <w:rtl/>
        </w:rPr>
        <w:t xml:space="preserve">, “ר׳ ישראל </w:t>
      </w:r>
      <w:proofErr w:type="spellStart"/>
      <w:r>
        <w:rPr>
          <w:sz w:val="20"/>
          <w:szCs w:val="20"/>
          <w:rtl/>
        </w:rPr>
        <w:t>סלנטר</w:t>
      </w:r>
      <w:proofErr w:type="spellEnd"/>
      <w:r>
        <w:rPr>
          <w:sz w:val="20"/>
          <w:szCs w:val="20"/>
          <w:rtl/>
        </w:rPr>
        <w:t xml:space="preserve"> וראשיתה של תנועת המוסר”, עמ׳ 228, מטיל ספק בכך שאפשר לייחס את עליית “כבוד התורה” בכל ליטא לרפורמות של ר׳ ישראל בקובנה בלבד. מאחר שר׳ ישראל כיהן </w:t>
      </w:r>
      <w:proofErr w:type="spellStart"/>
      <w:r>
        <w:rPr>
          <w:sz w:val="20"/>
          <w:szCs w:val="20"/>
          <w:rtl/>
        </w:rPr>
        <w:t>בקלויז</w:t>
      </w:r>
      <w:proofErr w:type="spellEnd"/>
      <w:r>
        <w:rPr>
          <w:sz w:val="20"/>
          <w:szCs w:val="20"/>
          <w:rtl/>
        </w:rPr>
        <w:t xml:space="preserve"> </w:t>
      </w:r>
      <w:proofErr w:type="spellStart"/>
      <w:r>
        <w:rPr>
          <w:sz w:val="20"/>
          <w:szCs w:val="20"/>
          <w:rtl/>
        </w:rPr>
        <w:t>נביאזר</w:t>
      </w:r>
      <w:proofErr w:type="spellEnd"/>
      <w:r>
        <w:rPr>
          <w:sz w:val="20"/>
          <w:szCs w:val="20"/>
          <w:rtl/>
        </w:rPr>
        <w:t xml:space="preserve"> רק שש שנים, ודאי מתכוון “</w:t>
      </w:r>
      <w:proofErr w:type="spellStart"/>
      <w:r>
        <w:rPr>
          <w:sz w:val="20"/>
          <w:szCs w:val="20"/>
          <w:rtl/>
        </w:rPr>
        <w:t>זכרון</w:t>
      </w:r>
      <w:proofErr w:type="spellEnd"/>
      <w:r>
        <w:rPr>
          <w:sz w:val="20"/>
          <w:szCs w:val="20"/>
          <w:rtl/>
        </w:rPr>
        <w:t xml:space="preserve"> יעקב” שרפורמות ר׳ ישראל בקובנה היו הזרז לשינוי הגישה בכל ליטא, שהגיע לשיאו בבחירת חתנים בידי העשירים.</w:t>
      </w:r>
    </w:p>
  </w:footnote>
  <w:footnote w:id="1506">
    <w:p w14:paraId="3CABC43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בשיחה מוקלטת בשיקגו שאליה בא </w:t>
      </w:r>
      <w:proofErr w:type="spellStart"/>
      <w:r>
        <w:rPr>
          <w:sz w:val="20"/>
          <w:szCs w:val="20"/>
          <w:rtl/>
        </w:rPr>
        <w:t>בתשמ״א</w:t>
      </w:r>
      <w:proofErr w:type="spellEnd"/>
      <w:r>
        <w:rPr>
          <w:sz w:val="20"/>
          <w:szCs w:val="20"/>
          <w:rtl/>
        </w:rPr>
        <w:t xml:space="preserve"> לקדם הקמת כולל.</w:t>
      </w:r>
    </w:p>
  </w:footnote>
  <w:footnote w:id="1507">
    <w:p w14:paraId="2494660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שם, עמ׳ 222, הערה 4.</w:t>
      </w:r>
    </w:p>
  </w:footnote>
  <w:footnote w:id="1508">
    <w:p w14:paraId="6C19E1E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דבר זה מסר ר׳ </w:t>
      </w:r>
      <w:proofErr w:type="spellStart"/>
      <w:r>
        <w:rPr>
          <w:sz w:val="20"/>
          <w:szCs w:val="20"/>
          <w:rtl/>
        </w:rPr>
        <w:t>חיים־לייזר</w:t>
      </w:r>
      <w:proofErr w:type="spellEnd"/>
      <w:r>
        <w:rPr>
          <w:sz w:val="20"/>
          <w:szCs w:val="20"/>
          <w:rtl/>
        </w:rPr>
        <w:t xml:space="preserve"> סמסון, חברו של רבנו משנותיהם </w:t>
      </w:r>
      <w:proofErr w:type="spellStart"/>
      <w:r>
        <w:rPr>
          <w:sz w:val="20"/>
          <w:szCs w:val="20"/>
          <w:rtl/>
        </w:rPr>
        <w:t>בלומז׳ה</w:t>
      </w:r>
      <w:proofErr w:type="spellEnd"/>
      <w:r>
        <w:rPr>
          <w:sz w:val="20"/>
          <w:szCs w:val="20"/>
          <w:rtl/>
        </w:rPr>
        <w:t xml:space="preserve"> (ראה כרך 2), כפי שרשמה בתו, רחל סמסון </w:t>
      </w:r>
      <w:proofErr w:type="spellStart"/>
      <w:r>
        <w:rPr>
          <w:sz w:val="20"/>
          <w:szCs w:val="20"/>
          <w:rtl/>
        </w:rPr>
        <w:t>רבינוביץ</w:t>
      </w:r>
      <w:proofErr w:type="spellEnd"/>
      <w:r>
        <w:rPr>
          <w:sz w:val="20"/>
          <w:szCs w:val="20"/>
          <w:rtl/>
        </w:rPr>
        <w:t xml:space="preserve">, </w:t>
      </w:r>
      <w:proofErr w:type="spellStart"/>
      <w:r>
        <w:rPr>
          <w:sz w:val="20"/>
          <w:szCs w:val="20"/>
          <w:rtl/>
        </w:rPr>
        <w:t>ב“יובל</w:t>
      </w:r>
      <w:proofErr w:type="spellEnd"/>
      <w:r>
        <w:rPr>
          <w:sz w:val="20"/>
          <w:szCs w:val="20"/>
          <w:rtl/>
        </w:rPr>
        <w:t xml:space="preserve"> של צפייה” (הוצאת </w:t>
      </w:r>
      <w:proofErr w:type="spellStart"/>
      <w:r>
        <w:rPr>
          <w:sz w:val="20"/>
          <w:szCs w:val="20"/>
          <w:rtl/>
        </w:rPr>
        <w:t>פלדהיים</w:t>
      </w:r>
      <w:proofErr w:type="spellEnd"/>
      <w:r>
        <w:rPr>
          <w:sz w:val="20"/>
          <w:szCs w:val="20"/>
          <w:rtl/>
        </w:rPr>
        <w:t>, ירושלים, 1994), עמ׳ 216.</w:t>
      </w:r>
    </w:p>
  </w:footnote>
  <w:footnote w:id="1509">
    <w:p w14:paraId="37FCDEF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“למי אני עמל?” (שם, פרק 1, נספח א), עמ׳ 108, על המספר באותו זמן ועל הגידול המאוחר יותר, כמפורט להלן.</w:t>
      </w:r>
    </w:p>
  </w:footnote>
  <w:footnote w:id="1510">
    <w:p w14:paraId="7B03A26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 xml:space="preserve">יוהנסבורג</w:t>
      </w:r>
      <w:proofErr w:type="spellEnd"/>
      <w:r>
        <w:rPr>
          <w:sz w:val="20"/>
          <w:szCs w:val="20"/>
          <w:rtl/>
        </w:rPr>
        <w:t xml:space="preserve">, נגב </w:t>
      </w:r>
      <w:proofErr w:type="spellStart"/>
      <w:r>
        <w:rPr>
          <w:sz w:val="20"/>
          <w:szCs w:val="20"/>
          <w:rtl/>
        </w:rPr>
        <w:t>אפריקא</w:t>
      </w:r>
      <w:proofErr w:type="spellEnd"/>
      <w:r>
        <w:rPr>
          <w:sz w:val="20"/>
          <w:szCs w:val="20"/>
          <w:rtl/>
        </w:rPr>
        <w:t>, תרצ״ו.</w:t>
      </w:r>
    </w:p>
  </w:footnote>
  <w:footnote w:id="1511">
    <w:p w14:paraId="3EC60A1E"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אלכסנדר השני עלה לכס המלוכה באדר תרט״ו, עם מות אביו; </w:t>
      </w:r>
      <w:proofErr w:type="spellStart"/>
      <w:r>
        <w:rPr>
          <w:sz w:val="20"/>
          <w:szCs w:val="20"/>
          <w:rtl/>
        </w:rPr>
        <w:t>בתרט״ז</w:t>
      </w:r>
      <w:proofErr w:type="spellEnd"/>
      <w:r>
        <w:rPr>
          <w:sz w:val="20"/>
          <w:szCs w:val="20"/>
          <w:rtl/>
        </w:rPr>
        <w:t xml:space="preserve"> נערך רק טקס הכתרתו.</w:t>
      </w:r>
    </w:p>
  </w:footnote>
  <w:footnote w:id="1512">
    <w:p w14:paraId="5579DAA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“קיצור תולדות ישראל בעת החדשה” מאת ד״ר שלמה הורוביץ (כרך א, מהדורה שנייה), הוצאת בית הספר הריאלי העברי בחיפה (תשי״ט), עמ׳ 101–102, לסיכום.</w:t>
      </w:r>
    </w:p>
  </w:footnote>
  <w:footnote w:id="1513">
    <w:p w14:paraId="7532BB3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1, הפסקה השלישית בנספח ו – עמ׳ 558 ו־556.</w:t>
      </w:r>
    </w:p>
  </w:footnote>
  <w:footnote w:id="1514">
    <w:p w14:paraId="3644116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יעלאג</w:t>
      </w:r>
      <w:proofErr w:type="spellEnd"/>
      <w:r>
        <w:rPr>
          <w:sz w:val="20"/>
          <w:szCs w:val="20"/>
          <w:rtl/>
        </w:rPr>
        <w:t xml:space="preserve">: ראה פרק 1, הערה 1, ופרק 2, הפסקה </w:t>
      </w:r>
      <w:proofErr w:type="spellStart"/>
      <w:r>
        <w:rPr>
          <w:sz w:val="20"/>
          <w:szCs w:val="20"/>
          <w:rtl/>
        </w:rPr>
        <w:t>השתים־עשרה</w:t>
      </w:r>
      <w:proofErr w:type="spellEnd"/>
      <w:r>
        <w:rPr>
          <w:sz w:val="20"/>
          <w:szCs w:val="20"/>
          <w:rtl/>
        </w:rPr>
        <w:t xml:space="preserve"> בנספח א. הוא הגיע לפטרבורג </w:t>
      </w:r>
      <w:proofErr w:type="spellStart"/>
      <w:r>
        <w:rPr>
          <w:sz w:val="20"/>
          <w:szCs w:val="20"/>
          <w:rtl/>
        </w:rPr>
        <w:t>בתרל״ב</w:t>
      </w:r>
      <w:proofErr w:type="spellEnd"/>
      <w:r>
        <w:rPr>
          <w:sz w:val="20"/>
          <w:szCs w:val="20"/>
          <w:rtl/>
        </w:rPr>
        <w:t xml:space="preserve">, עשר שנים אחרי ר׳ </w:t>
      </w:r>
      <w:proofErr w:type="spellStart"/>
      <w:r>
        <w:rPr>
          <w:sz w:val="20"/>
          <w:szCs w:val="20"/>
          <w:rtl/>
        </w:rPr>
        <w:t>איצל׳ה</w:t>
      </w:r>
      <w:proofErr w:type="spellEnd"/>
      <w:r>
        <w:rPr>
          <w:sz w:val="20"/>
          <w:szCs w:val="20"/>
          <w:rtl/>
        </w:rPr>
        <w:t>.</w:t>
      </w:r>
    </w:p>
  </w:footnote>
  <w:footnote w:id="1515">
    <w:p w14:paraId="6C5D7F8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בראש הקהילה היהודית של פטרבורג עמד הברון </w:t>
      </w:r>
      <w:proofErr w:type="spellStart"/>
      <w:r>
        <w:rPr>
          <w:sz w:val="20"/>
          <w:szCs w:val="20"/>
          <w:rtl/>
        </w:rPr>
        <w:t>הוראס</w:t>
      </w:r>
      <w:proofErr w:type="spellEnd"/>
      <w:r>
        <w:rPr>
          <w:sz w:val="20"/>
          <w:szCs w:val="20"/>
          <w:rtl/>
        </w:rPr>
        <w:t xml:space="preserve"> </w:t>
      </w:r>
      <w:proofErr w:type="spellStart"/>
      <w:r>
        <w:rPr>
          <w:sz w:val="20"/>
          <w:szCs w:val="20"/>
          <w:rtl/>
        </w:rPr>
        <w:t>גינצבורג</w:t>
      </w:r>
      <w:proofErr w:type="spellEnd"/>
      <w:r>
        <w:rPr>
          <w:sz w:val="20"/>
          <w:szCs w:val="20"/>
          <w:rtl/>
        </w:rPr>
        <w:t xml:space="preserve">, שתמך </w:t>
      </w:r>
      <w:proofErr w:type="spellStart"/>
      <w:r>
        <w:rPr>
          <w:sz w:val="20"/>
          <w:szCs w:val="20"/>
          <w:rtl/>
        </w:rPr>
        <w:t>ביל״ג</w:t>
      </w:r>
      <w:proofErr w:type="spellEnd"/>
      <w:r>
        <w:rPr>
          <w:sz w:val="20"/>
          <w:szCs w:val="20"/>
          <w:rtl/>
        </w:rPr>
        <w:t xml:space="preserve"> כלכלית (ראה “למי אני עמל?”, עמ׳ 142 ו־205; ועוד על משפחת </w:t>
      </w:r>
      <w:proofErr w:type="spellStart"/>
      <w:r>
        <w:rPr>
          <w:sz w:val="20"/>
          <w:szCs w:val="20"/>
          <w:rtl/>
        </w:rPr>
        <w:t>גינצבורג</w:t>
      </w:r>
      <w:proofErr w:type="spellEnd"/>
      <w:r>
        <w:rPr>
          <w:sz w:val="20"/>
          <w:szCs w:val="20"/>
          <w:rtl/>
        </w:rPr>
        <w:t xml:space="preserve"> בפרק 4, הפסקה השנייה בנספח ח).</w:t>
      </w:r>
    </w:p>
  </w:footnote>
  <w:footnote w:id="1516">
    <w:p w14:paraId="59F149D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רבנו התכוון לכך שיהודי פטרבורג השתמשו בשמות רוסיים, ולא בשמות יהודיים מסורתיים שאיותם ההלכתי הנכון כבר נפסק בידי הפוסקים בדורות קודמים. ר׳ </w:t>
      </w:r>
      <w:proofErr w:type="spellStart"/>
      <w:r>
        <w:rPr>
          <w:sz w:val="20"/>
          <w:szCs w:val="20"/>
          <w:rtl/>
        </w:rPr>
        <w:t>איצל׳ה</w:t>
      </w:r>
      <w:proofErr w:type="spellEnd"/>
      <w:r>
        <w:rPr>
          <w:sz w:val="20"/>
          <w:szCs w:val="20"/>
          <w:rtl/>
        </w:rPr>
        <w:t xml:space="preserve"> חשש שהאיות שיקבע לשמות החדשים לא יהיה מדויק. גט שאיות השמות בו אינו מדויק פסול, והאישה המקבלת אותו נשארת אשת איש כדין.</w:t>
      </w:r>
    </w:p>
  </w:footnote>
  <w:footnote w:id="1517">
    <w:p w14:paraId="18AA65C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226.</w:t>
      </w:r>
    </w:p>
  </w:footnote>
  <w:footnote w:id="1518">
    <w:p w14:paraId="5C0FE86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ירושלים, תשל״ד – בנספח למהדורה מאוחרת יותר, ללא תאריך, עמ׳ ת.</w:t>
      </w:r>
    </w:p>
  </w:footnote>
  <w:footnote w:id="1519">
    <w:p w14:paraId="6954629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2, סוף סעיף 2. והשווה גם כץ, “תנועת המוסר”, כרך ב, עמ׳ 421–422, על הסיפור המופלא על הצדיק שקנה את אכסנייתו של ר׳ </w:t>
      </w:r>
      <w:proofErr w:type="spellStart"/>
      <w:r>
        <w:rPr>
          <w:sz w:val="20"/>
          <w:szCs w:val="20"/>
          <w:rtl/>
        </w:rPr>
        <w:t>איצל׳ה</w:t>
      </w:r>
      <w:proofErr w:type="spellEnd"/>
      <w:r>
        <w:rPr>
          <w:sz w:val="20"/>
          <w:szCs w:val="20"/>
          <w:rtl/>
        </w:rPr>
        <w:t xml:space="preserve"> כשעזב את ליטא.</w:t>
      </w:r>
    </w:p>
  </w:footnote>
  <w:footnote w:id="1520">
    <w:p w14:paraId="6557B94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נולד לפי כץ </w:t>
      </w:r>
      <w:proofErr w:type="spellStart"/>
      <w:r>
        <w:rPr>
          <w:sz w:val="20"/>
          <w:szCs w:val="20"/>
          <w:rtl/>
        </w:rPr>
        <w:t>בתקפ״ד</w:t>
      </w:r>
      <w:proofErr w:type="spellEnd"/>
      <w:r>
        <w:rPr>
          <w:sz w:val="20"/>
          <w:szCs w:val="20"/>
          <w:rtl/>
        </w:rPr>
        <w:t xml:space="preserve"> (אך השווה את הפסקה הבאה), ונפטר </w:t>
      </w:r>
      <w:proofErr w:type="spellStart"/>
      <w:r>
        <w:rPr>
          <w:sz w:val="20"/>
          <w:szCs w:val="20"/>
          <w:rtl/>
        </w:rPr>
        <w:t>בתרנ״ח</w:t>
      </w:r>
      <w:proofErr w:type="spellEnd"/>
      <w:r>
        <w:rPr>
          <w:sz w:val="20"/>
          <w:szCs w:val="20"/>
          <w:rtl/>
        </w:rPr>
        <w:t>.</w:t>
      </w:r>
    </w:p>
  </w:footnote>
  <w:footnote w:id="1521">
    <w:p w14:paraId="716D063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סעיף 2, על ר׳ נפתלי אמסטרדם.</w:t>
      </w:r>
    </w:p>
  </w:footnote>
  <w:footnote w:id="1522">
    <w:p w14:paraId="7E93F86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“שרידי אש”, חלק ד׳, מאת הגאון רבי יעקב יחיאל </w:t>
      </w:r>
      <w:proofErr w:type="spellStart"/>
      <w:r>
        <w:rPr>
          <w:sz w:val="20"/>
          <w:szCs w:val="20"/>
          <w:rtl/>
        </w:rPr>
        <w:t>וויינבערג</w:t>
      </w:r>
      <w:proofErr w:type="spellEnd"/>
      <w:r>
        <w:rPr>
          <w:sz w:val="20"/>
          <w:szCs w:val="20"/>
          <w:rtl/>
        </w:rPr>
        <w:t xml:space="preserve"> זצ״ל (הוצאת מוסד הרב קוק, ירושלים, תשכ״ט), עמ׳ </w:t>
      </w:r>
      <w:proofErr w:type="spellStart"/>
      <w:r>
        <w:rPr>
          <w:sz w:val="20"/>
          <w:szCs w:val="20"/>
          <w:rtl/>
        </w:rPr>
        <w:t>רצג</w:t>
      </w:r>
      <w:proofErr w:type="spellEnd"/>
      <w:r>
        <w:rPr>
          <w:sz w:val="20"/>
          <w:szCs w:val="20"/>
          <w:rtl/>
        </w:rPr>
        <w:t>.</w:t>
      </w:r>
    </w:p>
  </w:footnote>
  <w:footnote w:id="1523">
    <w:p w14:paraId="0DAE00B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מתוך “אור ישראל” (</w:t>
      </w:r>
      <w:proofErr w:type="spellStart"/>
      <w:r>
        <w:rPr>
          <w:sz w:val="20"/>
          <w:szCs w:val="20"/>
          <w:rtl/>
        </w:rPr>
        <w:t>וילנא</w:t>
      </w:r>
      <w:proofErr w:type="spellEnd"/>
      <w:r>
        <w:rPr>
          <w:sz w:val="20"/>
          <w:szCs w:val="20"/>
          <w:rtl/>
        </w:rPr>
        <w:t xml:space="preserve">, תר״ס), עמ׳ </w:t>
      </w:r>
      <w:proofErr w:type="spellStart"/>
      <w:r>
        <w:rPr>
          <w:sz w:val="20"/>
          <w:szCs w:val="20"/>
          <w:rtl/>
        </w:rPr>
        <w:t>טז</w:t>
      </w:r>
      <w:proofErr w:type="spellEnd"/>
      <w:r>
        <w:rPr>
          <w:sz w:val="20"/>
          <w:szCs w:val="20"/>
          <w:rtl/>
        </w:rPr>
        <w:t>.</w:t>
      </w:r>
    </w:p>
  </w:footnote>
  <w:footnote w:id="1524">
    <w:p w14:paraId="675DDF8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היה “תלמידו האהוב של ר׳ חיים </w:t>
      </w:r>
      <w:proofErr w:type="spellStart"/>
      <w:r>
        <w:rPr>
          <w:sz w:val="20"/>
          <w:szCs w:val="20"/>
          <w:rtl/>
        </w:rPr>
        <w:t>מוולוז׳ין</w:t>
      </w:r>
      <w:proofErr w:type="spellEnd"/>
      <w:r>
        <w:rPr>
          <w:sz w:val="20"/>
          <w:szCs w:val="20"/>
          <w:rtl/>
        </w:rPr>
        <w:t xml:space="preserve"> מסיבה לא ידועה” – כך העיד תלמיד מובהק אחר, ר׳ יעקב </w:t>
      </w:r>
      <w:proofErr w:type="spellStart"/>
      <w:r>
        <w:rPr>
          <w:sz w:val="20"/>
          <w:szCs w:val="20"/>
          <w:rtl/>
        </w:rPr>
        <w:t>מקרלין</w:t>
      </w:r>
      <w:proofErr w:type="spellEnd"/>
      <w:r>
        <w:rPr>
          <w:sz w:val="20"/>
          <w:szCs w:val="20"/>
          <w:rtl/>
        </w:rPr>
        <w:t xml:space="preserve">, מחבר “משכנות יעקב”, כפי שנרשם </w:t>
      </w:r>
      <w:proofErr w:type="spellStart"/>
      <w:r>
        <w:rPr>
          <w:sz w:val="20"/>
          <w:szCs w:val="20"/>
          <w:rtl/>
        </w:rPr>
        <w:t>ב“הצדיק</w:t>
      </w:r>
      <w:proofErr w:type="spellEnd"/>
      <w:r>
        <w:rPr>
          <w:sz w:val="20"/>
          <w:szCs w:val="20"/>
          <w:rtl/>
        </w:rPr>
        <w:t xml:space="preserve"> ר׳ יוסף </w:t>
      </w:r>
      <w:proofErr w:type="spellStart"/>
      <w:r>
        <w:rPr>
          <w:sz w:val="20"/>
          <w:szCs w:val="20"/>
          <w:rtl/>
        </w:rPr>
        <w:t>זונדל</w:t>
      </w:r>
      <w:proofErr w:type="spellEnd"/>
      <w:r>
        <w:rPr>
          <w:sz w:val="20"/>
          <w:szCs w:val="20"/>
          <w:rtl/>
        </w:rPr>
        <w:t xml:space="preserve"> </w:t>
      </w:r>
      <w:proofErr w:type="spellStart"/>
      <w:r>
        <w:rPr>
          <w:sz w:val="20"/>
          <w:szCs w:val="20"/>
          <w:rtl/>
        </w:rPr>
        <w:t>מסלאנט</w:t>
      </w:r>
      <w:proofErr w:type="spellEnd"/>
      <w:r>
        <w:rPr>
          <w:sz w:val="20"/>
          <w:szCs w:val="20"/>
          <w:rtl/>
        </w:rPr>
        <w:t xml:space="preserve"> ורבותיו” מאת אליעזר ריבלין (ירושלים, תשמ״ג), עמ׳ </w:t>
      </w:r>
      <w:proofErr w:type="spellStart"/>
      <w:r>
        <w:rPr>
          <w:sz w:val="20"/>
          <w:szCs w:val="20"/>
          <w:rtl/>
        </w:rPr>
        <w:t>קכט</w:t>
      </w:r>
      <w:proofErr w:type="spellEnd"/>
      <w:r>
        <w:rPr>
          <w:sz w:val="20"/>
          <w:szCs w:val="20"/>
          <w:rtl/>
        </w:rPr>
        <w:t xml:space="preserve">. ר׳ ישראל הושפע ממנו כשלמד </w:t>
      </w:r>
      <w:proofErr w:type="spellStart"/>
      <w:r>
        <w:rPr>
          <w:sz w:val="20"/>
          <w:szCs w:val="20"/>
          <w:rtl/>
        </w:rPr>
        <w:t>בסלנט</w:t>
      </w:r>
      <w:proofErr w:type="spellEnd"/>
      <w:r>
        <w:rPr>
          <w:sz w:val="20"/>
          <w:szCs w:val="20"/>
          <w:rtl/>
        </w:rPr>
        <w:t xml:space="preserve"> אצל רבה, ר׳ </w:t>
      </w:r>
      <w:proofErr w:type="spellStart"/>
      <w:r>
        <w:rPr>
          <w:sz w:val="20"/>
          <w:szCs w:val="20"/>
          <w:rtl/>
        </w:rPr>
        <w:t>צבי־הירש</w:t>
      </w:r>
      <w:proofErr w:type="spellEnd"/>
      <w:r>
        <w:rPr>
          <w:sz w:val="20"/>
          <w:szCs w:val="20"/>
          <w:rtl/>
        </w:rPr>
        <w:t xml:space="preserve"> </w:t>
      </w:r>
      <w:proofErr w:type="spellStart"/>
      <w:r>
        <w:rPr>
          <w:sz w:val="20"/>
          <w:szCs w:val="20"/>
          <w:rtl/>
        </w:rPr>
        <w:t>ברוידא</w:t>
      </w:r>
      <w:proofErr w:type="spellEnd"/>
      <w:r>
        <w:rPr>
          <w:sz w:val="20"/>
          <w:szCs w:val="20"/>
          <w:rtl/>
        </w:rPr>
        <w:t xml:space="preserve">, שהדריך אותו בתלמוד מגיל 12 – ראה (עמ׳ </w:t>
      </w:r>
      <w:r>
        <w:rPr>
          <w:sz w:val="20"/>
          <w:szCs w:val="20"/>
          <w:rtl/>
        </w:rPr>
        <w:fldChar w:fldCharType="begin" w:dirty="true"/>
      </w:r>
      <w:r>
        <w:rPr>
          <w:sz w:val="20"/>
          <w:szCs w:val="20"/>
          <w:rtl/>
        </w:rPr>
        <w:instrText xml:space="preserve"> PAGEREF pr_b_2476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להלן. באותה עיר נשא ר׳ ישראל אישה בגיל 14, והמשיך ללמוד שם תורה 18 שנים, ואשתו ניהלה עסק ופרנסה את המשפחה. ראה כץ, “תנועת המוסר”, כרך א, עמ׳ 139–142.</w:t>
      </w:r>
    </w:p>
    <w:p w14:paraId="1754BAE6" w14:textId="77777777" w:rsidR="00AB3647" w:rsidRDefault="00000000">
      <w:pPr>
        <w:spacing w:after="0" w:before="0"/>
        <w:jc w:val="both"/>
      </w:pPr>
      <w:r>
        <w:rPr>
          <w:sz w:val="20"/>
          <w:szCs w:val="20"/>
          <w:rtl/>
        </w:rPr>
        <w:t xml:space="preserve">ר׳ </w:t>
      </w:r>
      <w:proofErr w:type="spellStart"/>
      <w:r>
        <w:rPr>
          <w:sz w:val="20"/>
          <w:szCs w:val="20"/>
          <w:rtl/>
        </w:rPr>
        <w:t>צבי־הירש</w:t>
      </w:r>
      <w:proofErr w:type="spellEnd"/>
      <w:r>
        <w:rPr>
          <w:sz w:val="20"/>
          <w:szCs w:val="20"/>
          <w:rtl/>
        </w:rPr>
        <w:t xml:space="preserve"> </w:t>
      </w:r>
      <w:proofErr w:type="spellStart"/>
      <w:r>
        <w:rPr>
          <w:sz w:val="20"/>
          <w:szCs w:val="20"/>
          <w:rtl/>
        </w:rPr>
        <w:t>ברוידא</w:t>
      </w:r>
      <w:proofErr w:type="spellEnd"/>
      <w:r>
        <w:rPr>
          <w:sz w:val="20"/>
          <w:szCs w:val="20"/>
          <w:rtl/>
        </w:rPr>
        <w:t xml:space="preserve"> היה בקשר עם ר׳ עקיבא איגר, והורה לתלמידו ר׳ ישראל, בן ה־14, לשלוח אליו חוברת חידושים; על תגובתו המעניינת של ר׳ עקיבא איגר ראה שם, עמ׳ 140–141. ר׳ חיים </w:t>
      </w:r>
      <w:proofErr w:type="spellStart"/>
      <w:r>
        <w:rPr>
          <w:sz w:val="20"/>
          <w:szCs w:val="20"/>
          <w:rtl/>
        </w:rPr>
        <w:t>סרנא</w:t>
      </w:r>
      <w:proofErr w:type="spellEnd"/>
      <w:r>
        <w:rPr>
          <w:sz w:val="20"/>
          <w:szCs w:val="20"/>
          <w:rtl/>
        </w:rPr>
        <w:t xml:space="preserve"> מסר ב־28 באפריל 2000 ששמע מפי ר׳ יוסף </w:t>
      </w:r>
      <w:proofErr w:type="spellStart"/>
      <w:r>
        <w:rPr>
          <w:sz w:val="20"/>
          <w:szCs w:val="20"/>
          <w:rtl/>
        </w:rPr>
        <w:t>שרשבסקי</w:t>
      </w:r>
      <w:proofErr w:type="spellEnd"/>
      <w:r>
        <w:rPr>
          <w:sz w:val="20"/>
          <w:szCs w:val="20"/>
          <w:rtl/>
        </w:rPr>
        <w:t xml:space="preserve"> – בן תשעים, שבא לארץ ישראל אחרי שכיהן כראש הקהל של סלונים – שמוניטין של ר׳ </w:t>
      </w:r>
      <w:proofErr w:type="spellStart"/>
      <w:r>
        <w:rPr>
          <w:sz w:val="20"/>
          <w:szCs w:val="20"/>
          <w:rtl/>
        </w:rPr>
        <w:t>צבי־הירש</w:t>
      </w:r>
      <w:proofErr w:type="spellEnd"/>
      <w:r>
        <w:rPr>
          <w:sz w:val="20"/>
          <w:szCs w:val="20"/>
          <w:rtl/>
        </w:rPr>
        <w:t xml:space="preserve"> </w:t>
      </w:r>
      <w:proofErr w:type="spellStart"/>
      <w:r>
        <w:rPr>
          <w:sz w:val="20"/>
          <w:szCs w:val="20"/>
          <w:rtl/>
        </w:rPr>
        <w:t>ברוידא</w:t>
      </w:r>
      <w:proofErr w:type="spellEnd"/>
      <w:r>
        <w:rPr>
          <w:sz w:val="20"/>
          <w:szCs w:val="20"/>
          <w:rtl/>
        </w:rPr>
        <w:t xml:space="preserve"> היו כאלה, שתלמידי ישיבת </w:t>
      </w:r>
      <w:proofErr w:type="spellStart"/>
      <w:r>
        <w:rPr>
          <w:sz w:val="20"/>
          <w:szCs w:val="20"/>
          <w:rtl/>
        </w:rPr>
        <w:t>וולוז׳ין</w:t>
      </w:r>
      <w:proofErr w:type="spellEnd"/>
      <w:r>
        <w:rPr>
          <w:sz w:val="20"/>
          <w:szCs w:val="20"/>
          <w:rtl/>
        </w:rPr>
        <w:t xml:space="preserve"> (ור׳ יוסף למד שם) לא היו בטוחים מי גדול יותר בתורה, ר׳ </w:t>
      </w:r>
      <w:proofErr w:type="spellStart"/>
      <w:r>
        <w:rPr>
          <w:sz w:val="20"/>
          <w:szCs w:val="20"/>
          <w:rtl/>
        </w:rPr>
        <w:t>צבי־הירש</w:t>
      </w:r>
      <w:proofErr w:type="spellEnd"/>
      <w:r>
        <w:rPr>
          <w:sz w:val="20"/>
          <w:szCs w:val="20"/>
          <w:rtl/>
        </w:rPr>
        <w:t xml:space="preserve"> </w:t>
      </w:r>
      <w:proofErr w:type="spellStart"/>
      <w:r>
        <w:rPr>
          <w:sz w:val="20"/>
          <w:szCs w:val="20"/>
          <w:rtl/>
        </w:rPr>
        <w:t>ברוידא</w:t>
      </w:r>
      <w:proofErr w:type="spellEnd"/>
      <w:r>
        <w:rPr>
          <w:sz w:val="20"/>
          <w:szCs w:val="20"/>
          <w:rtl/>
        </w:rPr>
        <w:t xml:space="preserve"> או ר׳ עקיבא איגר! כץ, שם, עמ׳ 139, מציין שר׳ עקיבא איגר היה מכנה את ר׳ </w:t>
      </w:r>
      <w:proofErr w:type="spellStart"/>
      <w:r>
        <w:rPr>
          <w:sz w:val="20"/>
          <w:szCs w:val="20"/>
          <w:rtl/>
        </w:rPr>
        <w:t>צבי־הירש</w:t>
      </w:r>
      <w:proofErr w:type="spellEnd"/>
      <w:r>
        <w:rPr>
          <w:sz w:val="20"/>
          <w:szCs w:val="20"/>
          <w:rtl/>
        </w:rPr>
        <w:t xml:space="preserve"> “הרבי הגדול ר׳ הירש”.</w:t>
      </w:r>
    </w:p>
  </w:footnote>
  <w:footnote w:id="1525">
    <w:p w14:paraId="2892CB4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נספח י.</w:t>
      </w:r>
    </w:p>
  </w:footnote>
  <w:footnote w:id="1526">
    <w:p w14:paraId="228CD50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“אור ישראל”, עמ׳ 124: גם ר׳ נפתלי אמסטרדם הבין את האמרה כהוראה. יעקב מארק (שם, פרק 1, הערה 13), עמ׳ 72, מחטיא לגמרי את העניין כשהוא מעביר ליידיש את המילים שצוטטו לעיל </w:t>
      </w:r>
      <w:proofErr w:type="spellStart"/>
      <w:r>
        <w:rPr>
          <w:sz w:val="20"/>
          <w:szCs w:val="20"/>
          <w:rtl/>
        </w:rPr>
        <w:t>מ“אור</w:t>
      </w:r>
      <w:proofErr w:type="spellEnd"/>
      <w:r>
        <w:rPr>
          <w:sz w:val="20"/>
          <w:szCs w:val="20"/>
          <w:rtl/>
        </w:rPr>
        <w:t xml:space="preserve"> ישראל” – “לערן מוסר און </w:t>
      </w:r>
      <w:proofErr w:type="spellStart"/>
      <w:r>
        <w:rPr>
          <w:sz w:val="20"/>
          <w:szCs w:val="20"/>
          <w:rtl/>
        </w:rPr>
        <w:t>זיי</w:t>
      </w:r>
      <w:proofErr w:type="spellEnd"/>
      <w:r>
        <w:rPr>
          <w:sz w:val="20"/>
          <w:szCs w:val="20"/>
          <w:rtl/>
        </w:rPr>
        <w:t xml:space="preserve"> א ירא שמים” (למד מוסר והיה ירא שמים) – כאילו הטיל ר׳ </w:t>
      </w:r>
      <w:proofErr w:type="spellStart"/>
      <w:r>
        <w:rPr>
          <w:sz w:val="20"/>
          <w:szCs w:val="20"/>
          <w:rtl/>
        </w:rPr>
        <w:t>יוסף־זונדל</w:t>
      </w:r>
      <w:proofErr w:type="spellEnd"/>
      <w:r>
        <w:rPr>
          <w:sz w:val="20"/>
          <w:szCs w:val="20"/>
          <w:rtl/>
        </w:rPr>
        <w:t xml:space="preserve"> על ר׳ ישראל הצעיר שתי הוראות נפרדות.</w:t>
      </w:r>
    </w:p>
  </w:footnote>
  <w:footnote w:id="1527">
    <w:p w14:paraId="0FD4776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סעיף 2, על ר׳ נפתלי אמסטרדם.</w:t>
      </w:r>
    </w:p>
  </w:footnote>
  <w:footnote w:id="1528">
    <w:p w14:paraId="64F4B34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כץ, “תנועת המוסר”, כרך ב, עמ׳ 293.</w:t>
      </w:r>
    </w:p>
  </w:footnote>
  <w:footnote w:id="1529">
    <w:p w14:paraId="1A8EB25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כץ, “תנועת המוסר”, כרך ב, עמ׳ 64.</w:t>
      </w:r>
    </w:p>
  </w:footnote>
  <w:footnote w:id="1530">
    <w:p w14:paraId="6F5C7DA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כץ, “תנועת המוסר”, כרך ג (שם, פרק 2, נספח ו), עמ׳ 120.</w:t>
      </w:r>
    </w:p>
  </w:footnote>
  <w:footnote w:id="1531">
    <w:p w14:paraId="4A4C9B6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1, הפסקה השלישית בנספח ד – עמ׳ 9, והשווה את המקורות בהערות השוליים בעמ׳ 18 שם.</w:t>
      </w:r>
    </w:p>
  </w:footnote>
  <w:footnote w:id="1532">
    <w:p w14:paraId="77F17E8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את הפסקה השלישית בנספח יד להלן.</w:t>
      </w:r>
    </w:p>
  </w:footnote>
  <w:footnote w:id="1533">
    <w:p w14:paraId="068FD3E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זה נרשם בעמ׳ 46 של רשימותיו של ר׳ משה גרוסמן (פרק 2, הערה 94) ומתוארך לערב כ״ה באב תשמ״א.</w:t>
      </w:r>
    </w:p>
  </w:footnote>
  <w:footnote w:id="1534">
    <w:p w14:paraId="56C18DF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נמסר </w:t>
      </w:r>
      <w:proofErr w:type="spellStart"/>
      <w:r>
        <w:rPr>
          <w:sz w:val="20"/>
          <w:szCs w:val="20"/>
          <w:rtl/>
        </w:rPr>
        <w:t>ב“הגאון</w:t>
      </w:r>
      <w:proofErr w:type="spellEnd"/>
      <w:r>
        <w:rPr>
          <w:sz w:val="20"/>
          <w:szCs w:val="20"/>
          <w:rtl/>
        </w:rPr>
        <w:t xml:space="preserve"> רבי אליעזר גורדון זצ״ל” מאת הרב זאב אריה </w:t>
      </w:r>
      <w:proofErr w:type="spellStart"/>
      <w:r>
        <w:rPr>
          <w:sz w:val="20"/>
          <w:szCs w:val="20"/>
          <w:rtl/>
        </w:rPr>
        <w:t>רבינר</w:t>
      </w:r>
      <w:proofErr w:type="spellEnd"/>
      <w:r>
        <w:rPr>
          <w:sz w:val="20"/>
          <w:szCs w:val="20"/>
          <w:rtl/>
        </w:rPr>
        <w:t xml:space="preserve"> (תשכ״ח), עמ׳ </w:t>
      </w:r>
      <w:proofErr w:type="spellStart"/>
      <w:r>
        <w:rPr>
          <w:sz w:val="20"/>
          <w:szCs w:val="20"/>
          <w:rtl/>
        </w:rPr>
        <w:t>קיב</w:t>
      </w:r>
      <w:proofErr w:type="spellEnd"/>
      <w:r>
        <w:rPr>
          <w:sz w:val="20"/>
          <w:szCs w:val="20"/>
          <w:rtl/>
        </w:rPr>
        <w:t>.</w:t>
      </w:r>
    </w:p>
  </w:footnote>
  <w:footnote w:id="1535">
    <w:p w14:paraId="5A6F8A3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33.</w:t>
      </w:r>
    </w:p>
  </w:footnote>
  <w:footnote w:id="1536">
    <w:p w14:paraId="0416C2F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לח.</w:t>
      </w:r>
    </w:p>
  </w:footnote>
  <w:footnote w:id="1537">
    <w:p w14:paraId="7841524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לז</w:t>
      </w:r>
      <w:proofErr w:type="spellEnd"/>
      <w:r>
        <w:rPr>
          <w:sz w:val="20"/>
          <w:szCs w:val="20"/>
          <w:rtl/>
        </w:rPr>
        <w:t>.</w:t>
      </w:r>
    </w:p>
  </w:footnote>
  <w:footnote w:id="1538">
    <w:p w14:paraId="7CFEF0A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נספח כה להלן; פרק 4, הפסקה השנייה בנספח יא; ונספח </w:t>
      </w:r>
      <w:proofErr w:type="spellStart"/>
      <w:r>
        <w:rPr>
          <w:sz w:val="20"/>
          <w:szCs w:val="20"/>
          <w:rtl/>
        </w:rPr>
        <w:t>יז</w:t>
      </w:r>
      <w:proofErr w:type="spellEnd"/>
      <w:r>
        <w:rPr>
          <w:sz w:val="20"/>
          <w:szCs w:val="20"/>
          <w:rtl/>
        </w:rPr>
        <w:t xml:space="preserve"> להלן.</w:t>
      </w:r>
    </w:p>
  </w:footnote>
  <w:footnote w:id="1539">
    <w:p w14:paraId="5B63BFD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סי׳ לה, לו, </w:t>
      </w:r>
      <w:proofErr w:type="spellStart"/>
      <w:r>
        <w:rPr>
          <w:sz w:val="20"/>
          <w:szCs w:val="20"/>
          <w:rtl/>
        </w:rPr>
        <w:t>לז</w:t>
      </w:r>
      <w:proofErr w:type="spellEnd"/>
      <w:r>
        <w:rPr>
          <w:sz w:val="20"/>
          <w:szCs w:val="20"/>
          <w:rtl/>
        </w:rPr>
        <w:t>.</w:t>
      </w:r>
    </w:p>
  </w:footnote>
  <w:footnote w:id="1540">
    <w:p w14:paraId="1CC36E5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פרק 2, סוף הערה 93.</w:t>
      </w:r>
    </w:p>
  </w:footnote>
  <w:footnote w:id="1541">
    <w:p w14:paraId="106D44F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מוסד הרב קוק, ירושלים, תשל״א – עמ׳ 271.</w:t>
      </w:r>
    </w:p>
  </w:footnote>
  <w:footnote w:id="1542">
    <w:p w14:paraId="4AFBA28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16 ביוני 1994.</w:t>
      </w:r>
    </w:p>
  </w:footnote>
  <w:footnote w:id="1543">
    <w:p w14:paraId="3296027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“מפעל תורה מציון”, ירושלים, תשל״ה – עמ׳ </w:t>
      </w:r>
      <w:proofErr w:type="spellStart"/>
      <w:r>
        <w:rPr>
          <w:sz w:val="20"/>
          <w:szCs w:val="20"/>
          <w:rtl/>
        </w:rPr>
        <w:t>רלט</w:t>
      </w:r>
      <w:proofErr w:type="spellEnd"/>
      <w:r>
        <w:rPr>
          <w:sz w:val="20"/>
          <w:szCs w:val="20"/>
          <w:rtl/>
        </w:rPr>
        <w:t>–רם.</w:t>
      </w:r>
    </w:p>
  </w:footnote>
  <w:footnote w:id="1544">
    <w:p w14:paraId="3FEA1DC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הצדיק סירב להזמנה וחזה שהגאון עצמו יחזור.</w:t>
      </w:r>
    </w:p>
  </w:footnote>
  <w:footnote w:id="1545">
    <w:p w14:paraId="1385F14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שנא, “השלמות ותיקונים” לעמוד ט״ז, הערה כ.</w:t>
      </w:r>
    </w:p>
  </w:footnote>
  <w:footnote w:id="1546">
    <w:p w14:paraId="1486064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וילנא</w:t>
      </w:r>
      <w:proofErr w:type="spellEnd"/>
      <w:r>
        <w:rPr>
          <w:sz w:val="20"/>
          <w:szCs w:val="20"/>
          <w:rtl/>
        </w:rPr>
        <w:t xml:space="preserve">, תר״ע – אות ה. ראה על ייחודיות חיבורו של ספר זה בנספח א לעיל.</w:t>
      </w:r>
    </w:p>
  </w:footnote>
  <w:footnote w:id="1547">
    <w:p w14:paraId="74AC020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2, הערה 12.</w:t>
      </w:r>
    </w:p>
  </w:footnote>
  <w:footnote w:id="1548">
    <w:p w14:paraId="05D6826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הערה 69, על מי שאבי ראה כגדול בשלושה.</w:t>
      </w:r>
    </w:p>
  </w:footnote>
  <w:footnote w:id="1549">
    <w:p w14:paraId="1155D51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לו להלן.</w:t>
      </w:r>
    </w:p>
  </w:footnote>
  <w:footnote w:id="1550">
    <w:p w14:paraId="24DC3F6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איוב לב, ט.</w:t>
      </w:r>
    </w:p>
  </w:footnote>
  <w:footnote w:id="1551">
    <w:p w14:paraId="307A064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הובא בפתחי תשובה יו״ד סי׳ </w:t>
      </w:r>
      <w:proofErr w:type="spellStart"/>
      <w:r>
        <w:rPr>
          <w:sz w:val="20"/>
          <w:szCs w:val="20"/>
          <w:rtl/>
        </w:rPr>
        <w:t>שד״ם</w:t>
      </w:r>
      <w:proofErr w:type="spellEnd"/>
      <w:r>
        <w:rPr>
          <w:sz w:val="20"/>
          <w:szCs w:val="20"/>
          <w:rtl/>
        </w:rPr>
        <w:t xml:space="preserve"> אות א׳. ראה תחילת פרק 1.1.</w:t>
      </w:r>
    </w:p>
  </w:footnote>
  <w:footnote w:id="1552">
    <w:p w14:paraId="5450794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כץ, “תנועת המוסר”, כרך ב, עמ׳ 258. בהספדו בישיבת </w:t>
      </w:r>
      <w:proofErr w:type="spellStart"/>
      <w:r>
        <w:rPr>
          <w:sz w:val="20"/>
          <w:szCs w:val="20"/>
          <w:rtl/>
        </w:rPr>
        <w:t>פוניבז</w:t>
      </w:r>
      <w:proofErr w:type="spellEnd"/>
      <w:r>
        <w:rPr>
          <w:sz w:val="20"/>
          <w:szCs w:val="20"/>
          <w:rtl/>
        </w:rPr>
        <w:t xml:space="preserve">׳ על הרב </w:t>
      </w:r>
      <w:proofErr w:type="spellStart"/>
      <w:r>
        <w:rPr>
          <w:sz w:val="20"/>
          <w:szCs w:val="20"/>
          <w:rtl/>
        </w:rPr>
        <w:t>מסטיפולה</w:t>
      </w:r>
      <w:proofErr w:type="spellEnd"/>
      <w:r>
        <w:rPr>
          <w:sz w:val="20"/>
          <w:szCs w:val="20"/>
          <w:rtl/>
        </w:rPr>
        <w:t xml:space="preserve"> בכלות ימי השבעה, סיפר הרב ר׳ מנחם מן שך שר׳ </w:t>
      </w:r>
      <w:proofErr w:type="spellStart"/>
      <w:r>
        <w:rPr>
          <w:sz w:val="20"/>
          <w:szCs w:val="20"/>
          <w:rtl/>
        </w:rPr>
        <w:t xml:space="preserve">איצל׳ה</w:t>
      </w:r>
      <w:proofErr w:type="spellEnd"/>
      <w:r>
        <w:rPr>
          <w:sz w:val="20"/>
          <w:szCs w:val="20"/>
          <w:rtl/>
        </w:rPr>
        <w:t xml:space="preserve"> </w:t>
      </w:r>
      <w:proofErr w:type="spellStart"/>
      <w:r>
        <w:rPr>
          <w:sz w:val="20"/>
          <w:szCs w:val="20"/>
          <w:rtl/>
        </w:rPr>
        <w:t>מפוניבז</w:t>
      </w:r>
      <w:proofErr w:type="spellEnd"/>
      <w:r>
        <w:rPr>
          <w:sz w:val="20"/>
          <w:szCs w:val="20"/>
          <w:rtl/>
        </w:rPr>
        <w:t xml:space="preserve">׳ גם הספיד את ר׳ </w:t>
      </w:r>
      <w:proofErr w:type="spellStart"/>
      <w:r>
        <w:rPr>
          <w:sz w:val="20"/>
          <w:szCs w:val="20"/>
          <w:rtl/>
        </w:rPr>
        <w:t xml:space="preserve">איצל׳ה</w:t>
      </w:r>
      <w:proofErr w:type="spellEnd"/>
      <w:r>
        <w:rPr>
          <w:sz w:val="20"/>
          <w:szCs w:val="20"/>
          <w:rtl/>
        </w:rPr>
        <w:t xml:space="preserve"> מפטרבורג נגד צוואתו, באמרו שרב יכול למחול על כבוד תורתו שלמד כבר מפני שתורה דילי’ היא, אבל על התורה שהיה ראוי ללמוד וללמד בעתיד, איננו יכול למחול (לפי קובץ “השקפתנו” [בני ברק, תשמ״ה], עמ׳ קנח). וגם עיין כוכבי אור בסוף ההקדמה מתולדותיו של ר׳ </w:t>
      </w:r>
      <w:proofErr w:type="spellStart"/>
      <w:r>
        <w:rPr>
          <w:sz w:val="20"/>
          <w:szCs w:val="20"/>
          <w:rtl/>
        </w:rPr>
        <w:t xml:space="preserve">איצל׳ה</w:t>
      </w:r>
      <w:proofErr w:type="spellEnd"/>
      <w:r>
        <w:rPr>
          <w:sz w:val="20"/>
          <w:szCs w:val="20"/>
          <w:rtl/>
        </w:rPr>
        <w:t xml:space="preserve">, שר׳ שמואל </w:t>
      </w:r>
      <w:proofErr w:type="spellStart"/>
      <w:r>
        <w:rPr>
          <w:sz w:val="20"/>
          <w:szCs w:val="20"/>
          <w:rtl/>
        </w:rPr>
        <w:t>סלנט</w:t>
      </w:r>
      <w:proofErr w:type="spellEnd"/>
      <w:r>
        <w:rPr>
          <w:sz w:val="20"/>
          <w:szCs w:val="20"/>
          <w:rtl/>
        </w:rPr>
        <w:t xml:space="preserve"> הכריע שלא </w:t>
      </w:r>
      <w:proofErr w:type="spellStart"/>
      <w:r>
        <w:rPr>
          <w:sz w:val="20"/>
          <w:szCs w:val="20"/>
          <w:rtl/>
        </w:rPr>
        <w:t>לספדו</w:t>
      </w:r>
      <w:proofErr w:type="spellEnd"/>
      <w:r>
        <w:rPr>
          <w:sz w:val="20"/>
          <w:szCs w:val="20"/>
          <w:rtl/>
        </w:rPr>
        <w:t xml:space="preserve"> ואעפ״כ הספידו ר׳ חיים ברלין בפניו באמרו שבכי מותר, ואח״כ בא לו הנפטר בחלום והודה לו שלא פירט שבחים עליו. ועיין בספר שמושה של תורה, ע׳ </w:t>
      </w:r>
      <w:proofErr w:type="spellStart"/>
      <w:r>
        <w:rPr>
          <w:sz w:val="20"/>
          <w:szCs w:val="20"/>
          <w:rtl/>
        </w:rPr>
        <w:t>קכא</w:t>
      </w:r>
      <w:proofErr w:type="spellEnd"/>
      <w:r>
        <w:rPr>
          <w:sz w:val="20"/>
          <w:szCs w:val="20"/>
          <w:rtl/>
        </w:rPr>
        <w:t xml:space="preserve">, שמביא בשם ר׳ </w:t>
      </w:r>
      <w:proofErr w:type="spellStart"/>
      <w:r>
        <w:rPr>
          <w:sz w:val="20"/>
          <w:szCs w:val="20"/>
          <w:rtl/>
        </w:rPr>
        <w:t>אלעזר־מנחם־מן</w:t>
      </w:r>
      <w:proofErr w:type="spellEnd"/>
      <w:r>
        <w:rPr>
          <w:sz w:val="20"/>
          <w:szCs w:val="20"/>
          <w:rtl/>
        </w:rPr>
        <w:t xml:space="preserve"> שך שר׳ </w:t>
      </w:r>
      <w:proofErr w:type="spellStart"/>
      <w:r>
        <w:rPr>
          <w:sz w:val="20"/>
          <w:szCs w:val="20"/>
          <w:rtl/>
        </w:rPr>
        <w:t xml:space="preserve">איצל׳ה</w:t>
      </w:r>
      <w:proofErr w:type="spellEnd"/>
      <w:r>
        <w:rPr>
          <w:sz w:val="20"/>
          <w:szCs w:val="20"/>
          <w:rtl/>
        </w:rPr>
        <w:t xml:space="preserve"> </w:t>
      </w:r>
      <w:proofErr w:type="spellStart"/>
      <w:r>
        <w:rPr>
          <w:sz w:val="20"/>
          <w:szCs w:val="20"/>
          <w:rtl/>
        </w:rPr>
        <w:t>מפוניבז</w:t>
      </w:r>
      <w:proofErr w:type="spellEnd"/>
      <w:r>
        <w:rPr>
          <w:sz w:val="20"/>
          <w:szCs w:val="20"/>
          <w:rtl/>
        </w:rPr>
        <w:t xml:space="preserve">׳ השתמש בהיתר שהובא לעיל בשם ר׳ </w:t>
      </w:r>
      <w:proofErr w:type="spellStart"/>
      <w:r>
        <w:rPr>
          <w:sz w:val="20"/>
          <w:szCs w:val="20"/>
          <w:rtl/>
        </w:rPr>
        <w:t>אברהם־יצחק</w:t>
      </w:r>
      <w:proofErr w:type="spellEnd"/>
      <w:r>
        <w:rPr>
          <w:sz w:val="20"/>
          <w:szCs w:val="20"/>
          <w:rtl/>
        </w:rPr>
        <w:t xml:space="preserve"> קוק כדי להספיד את ר׳ </w:t>
      </w:r>
      <w:proofErr w:type="spellStart"/>
      <w:r>
        <w:rPr>
          <w:sz w:val="20"/>
          <w:szCs w:val="20"/>
          <w:rtl/>
        </w:rPr>
        <w:t xml:space="preserve">איצל׳ה</w:t>
      </w:r>
      <w:proofErr w:type="spellEnd"/>
      <w:r>
        <w:rPr>
          <w:sz w:val="20"/>
          <w:szCs w:val="20"/>
          <w:rtl/>
        </w:rPr>
        <w:t xml:space="preserve"> (וזה לא כמו שהעתיקו בקובץ “השקפתנו” הנ״ל).</w:t>
      </w:r>
    </w:p>
  </w:footnote>
  <w:footnote w:id="1553">
    <w:p w14:paraId="2E4AB48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w:t>
      </w:r>
      <w:proofErr w:type="spellStart"/>
      <w:r>
        <w:rPr>
          <w:sz w:val="20"/>
          <w:szCs w:val="20"/>
          <w:rtl/>
        </w:rPr>
        <w:t>ג׳ואיש</w:t>
      </w:r>
      <w:proofErr w:type="spellEnd"/>
      <w:r>
        <w:rPr>
          <w:sz w:val="20"/>
          <w:szCs w:val="20"/>
          <w:rtl/>
        </w:rPr>
        <w:t xml:space="preserve"> </w:t>
      </w:r>
      <w:proofErr w:type="spellStart"/>
      <w:r>
        <w:rPr>
          <w:sz w:val="20"/>
          <w:szCs w:val="20"/>
          <w:rtl/>
        </w:rPr>
        <w:t>אובזרבר</w:t>
      </w:r>
      <w:proofErr w:type="spellEnd"/>
      <w:r>
        <w:rPr>
          <w:sz w:val="20"/>
          <w:szCs w:val="20"/>
          <w:rtl/>
        </w:rPr>
        <w:t>”, ניסן תשנ״ז, עמ׳ 24.</w:t>
      </w:r>
    </w:p>
  </w:footnote>
  <w:footnote w:id="1554">
    <w:p w14:paraId="02FC56F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27.</w:t>
      </w:r>
    </w:p>
  </w:footnote>
  <w:footnote w:id="1555">
    <w:p w14:paraId="25A0225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שם, עמ׳ 30, </w:t>
      </w:r>
      <w:proofErr w:type="spellStart"/>
      <w:r>
        <w:rPr>
          <w:sz w:val="20"/>
          <w:szCs w:val="20"/>
          <w:rtl/>
        </w:rPr>
        <w:t>ואטקס</w:t>
      </w:r>
      <w:proofErr w:type="spellEnd"/>
      <w:r>
        <w:rPr>
          <w:sz w:val="20"/>
          <w:szCs w:val="20"/>
          <w:rtl/>
        </w:rPr>
        <w:t xml:space="preserve">, “ר׳ ישראל </w:t>
      </w:r>
      <w:proofErr w:type="spellStart"/>
      <w:r>
        <w:rPr>
          <w:sz w:val="20"/>
          <w:szCs w:val="20"/>
          <w:rtl/>
        </w:rPr>
        <w:t>סלנטר</w:t>
      </w:r>
      <w:proofErr w:type="spellEnd"/>
      <w:r>
        <w:rPr>
          <w:sz w:val="20"/>
          <w:szCs w:val="20"/>
          <w:rtl/>
        </w:rPr>
        <w:t xml:space="preserve"> וראשיתה של תנועת המוסר”, עמ׳ 206.</w:t>
      </w:r>
    </w:p>
  </w:footnote>
  <w:footnote w:id="1556">
    <w:p w14:paraId="0B52EFD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1557">
    <w:p w14:paraId="07C8532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תיאור של הפגישה הראשונה של הסבא מקלם עם ר׳ ישראל בנסיעת רכבת ללייפציג במאמר מאת פסח מרקוס בשם “מדרש </w:t>
      </w:r>
      <w:proofErr w:type="spellStart"/>
      <w:r>
        <w:rPr>
          <w:sz w:val="20"/>
          <w:szCs w:val="20"/>
          <w:rtl/>
        </w:rPr>
        <w:t>קאוונער</w:t>
      </w:r>
      <w:proofErr w:type="spellEnd"/>
      <w:r>
        <w:rPr>
          <w:sz w:val="20"/>
          <w:szCs w:val="20"/>
          <w:rtl/>
        </w:rPr>
        <w:t xml:space="preserve">” (להלן: מרקוס), </w:t>
      </w:r>
      <w:proofErr w:type="spellStart"/>
      <w:r>
        <w:rPr>
          <w:sz w:val="20"/>
          <w:szCs w:val="20"/>
          <w:rtl/>
        </w:rPr>
        <w:t>ב“ליטע</w:t>
      </w:r>
      <w:proofErr w:type="spellEnd"/>
      <w:r>
        <w:rPr>
          <w:sz w:val="20"/>
          <w:szCs w:val="20"/>
          <w:rtl/>
        </w:rPr>
        <w:t>”, עמ׳ 663–686 – הוא בדוי.</w:t>
      </w:r>
    </w:p>
  </w:footnote>
  <w:footnote w:id="1558">
    <w:p w14:paraId="2B2B4B5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הפסקה הראשונה בנספח א לעיל – עמ׳ </w:t>
      </w:r>
      <w:proofErr w:type="spellStart"/>
      <w:r>
        <w:rPr>
          <w:sz w:val="20"/>
          <w:szCs w:val="20"/>
          <w:rtl/>
        </w:rPr>
        <w:t>רכא</w:t>
      </w:r>
      <w:proofErr w:type="spellEnd"/>
      <w:r>
        <w:rPr>
          <w:sz w:val="20"/>
          <w:szCs w:val="20"/>
          <w:rtl/>
        </w:rPr>
        <w:t>.</w:t>
      </w:r>
    </w:p>
  </w:footnote>
  <w:footnote w:id="1559">
    <w:p w14:paraId="36F66E0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לפי ר׳ ישעיה זינגר (נספח א לעיל).</w:t>
      </w:r>
    </w:p>
  </w:footnote>
  <w:footnote w:id="1560">
    <w:p w14:paraId="26E89E9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רכא</w:t>
      </w:r>
      <w:proofErr w:type="spellEnd"/>
      <w:r>
        <w:rPr>
          <w:sz w:val="20"/>
          <w:szCs w:val="20"/>
          <w:rtl/>
        </w:rPr>
        <w:t>–רכב.</w:t>
      </w:r>
    </w:p>
  </w:footnote>
  <w:footnote w:id="1561">
    <w:p w14:paraId="45191E1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בסוף הערת השוליים </w:t>
      </w:r>
      <w:r>
        <w:rPr>
          <w:rStyle w:val="a5"/>
          <w:sz w:val="20"/>
          <w:szCs w:val="20"/>
          <w:vertAlign w:val="baseline"/>
          <w:rtl/>
        </w:rPr>
        <w:fldChar w:fldCharType="begin" w:dirty="true"/>
      </w:r>
      <w:r>
        <w:rPr>
          <w:rStyle w:val="a5"/>
          <w:sz w:val="20"/>
          <w:szCs w:val="20"/>
          <w:vertAlign w:val="baseline"/>
          <w:rtl/>
        </w:rPr>
        <w:instrText xml:space="preserve"> NOTEREF pr_f_1367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412</w:t>
      </w:r>
      <w:r>
        <w:rPr>
          <w:rStyle w:val="a5"/>
          <w:sz w:val="20"/>
          <w:szCs w:val="20"/>
          <w:vertAlign w:val="baseline"/>
          <w:rtl/>
        </w:rPr>
        <w:fldChar w:fldCharType="end"/>
      </w:r>
      <w:r>
        <w:rPr>
          <w:rStyle w:val="a5"/>
          <w:sz w:val="20"/>
          <w:szCs w:val="20"/>
          <w:vertAlign w:val="baseline"/>
          <w:rtl/>
        </w:rPr>
        <w:t xml:space="preserve"> (עמ׳ </w:t>
      </w:r>
      <w:r>
        <w:rPr>
          <w:rStyle w:val="a5"/>
          <w:sz w:val="20"/>
          <w:szCs w:val="20"/>
          <w:vertAlign w:val="baseline"/>
          <w:rtl/>
        </w:rPr>
        <w:fldChar w:fldCharType="begin" w:dirty="true"/>
      </w:r>
      <w:r>
        <w:rPr>
          <w:rStyle w:val="a5"/>
          <w:sz w:val="20"/>
          <w:szCs w:val="20"/>
          <w:vertAlign w:val="baseline"/>
          <w:rtl/>
        </w:rPr>
        <w:instrText xml:space="preserve"> PAGEREF pr_f_1367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w:t>
      </w:r>
    </w:p>
  </w:footnote>
  <w:footnote w:id="1562">
    <w:p w14:paraId="6FA3146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לעיל – כרך ג, עמ׳ 225.</w:t>
      </w:r>
    </w:p>
  </w:footnote>
  <w:footnote w:id="1563">
    <w:p w14:paraId="5E53271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הערה 95.</w:t>
      </w:r>
    </w:p>
  </w:footnote>
  <w:footnote w:id="1564">
    <w:p w14:paraId="370F452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מיומן </w:t>
      </w:r>
      <w:proofErr w:type="spellStart"/>
      <w:r>
        <w:rPr>
          <w:sz w:val="20"/>
          <w:szCs w:val="20"/>
          <w:rtl/>
        </w:rPr>
        <w:t>האדר״ת</w:t>
      </w:r>
      <w:proofErr w:type="spellEnd"/>
      <w:r>
        <w:rPr>
          <w:sz w:val="20"/>
          <w:szCs w:val="20"/>
          <w:rtl/>
        </w:rPr>
        <w:t xml:space="preserve">, “סדר אליהו” (שם, פרק 1, נספח ו), עמ׳ 89–90, שם מאשים </w:t>
      </w:r>
      <w:proofErr w:type="spellStart"/>
      <w:r>
        <w:rPr>
          <w:sz w:val="20"/>
          <w:szCs w:val="20"/>
          <w:rtl/>
        </w:rPr>
        <w:t>האדר״ת</w:t>
      </w:r>
      <w:proofErr w:type="spellEnd"/>
      <w:r>
        <w:rPr>
          <w:sz w:val="20"/>
          <w:szCs w:val="20"/>
          <w:rtl/>
        </w:rPr>
        <w:t xml:space="preserve"> דווקא את ר׳ </w:t>
      </w:r>
      <w:proofErr w:type="spellStart"/>
      <w:r>
        <w:rPr>
          <w:sz w:val="20"/>
          <w:szCs w:val="20"/>
          <w:rtl/>
        </w:rPr>
        <w:t>לייזר־יעקב</w:t>
      </w:r>
      <w:proofErr w:type="spellEnd"/>
      <w:r>
        <w:rPr>
          <w:sz w:val="20"/>
          <w:szCs w:val="20"/>
          <w:rtl/>
        </w:rPr>
        <w:t xml:space="preserve"> (!) </w:t>
      </w:r>
      <w:proofErr w:type="spellStart"/>
      <w:r>
        <w:rPr>
          <w:sz w:val="20"/>
          <w:szCs w:val="20"/>
          <w:rtl/>
        </w:rPr>
        <w:t>ב“מניעים</w:t>
      </w:r>
      <w:proofErr w:type="spellEnd"/>
      <w:r>
        <w:rPr>
          <w:sz w:val="20"/>
          <w:szCs w:val="20"/>
          <w:rtl/>
        </w:rPr>
        <w:t xml:space="preserve"> שאינם ‘לשם שמים’” משום ששלח בלי רשות מברק בשם </w:t>
      </w:r>
      <w:proofErr w:type="spellStart"/>
      <w:r>
        <w:rPr>
          <w:sz w:val="20"/>
          <w:szCs w:val="20"/>
          <w:rtl/>
        </w:rPr>
        <w:t>האדר״ת</w:t>
      </w:r>
      <w:proofErr w:type="spellEnd"/>
      <w:r>
        <w:rPr>
          <w:sz w:val="20"/>
          <w:szCs w:val="20"/>
          <w:rtl/>
        </w:rPr>
        <w:t xml:space="preserve"> כדי להזמין את יוזם התוכנית, ר׳ לייזר גורדון, להשתתף בפגישה.</w:t>
      </w:r>
    </w:p>
  </w:footnote>
  <w:footnote w:id="1565">
    <w:p w14:paraId="5FDC613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412, הערה 5.</w:t>
      </w:r>
    </w:p>
  </w:footnote>
  <w:footnote w:id="1566">
    <w:p w14:paraId="248ABE2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הרב זינגר, </w:t>
      </w:r>
      <w:proofErr w:type="spellStart"/>
      <w:r>
        <w:rPr>
          <w:sz w:val="20"/>
          <w:szCs w:val="20"/>
          <w:rtl/>
        </w:rPr>
        <w:t>נינו</w:t>
      </w:r>
      <w:proofErr w:type="spellEnd"/>
      <w:r>
        <w:rPr>
          <w:sz w:val="20"/>
          <w:szCs w:val="20"/>
          <w:rtl/>
        </w:rPr>
        <w:t xml:space="preserve"> של ר׳ נפתלי </w:t>
      </w:r>
      <w:proofErr w:type="spellStart"/>
      <w:r>
        <w:rPr>
          <w:sz w:val="20"/>
          <w:szCs w:val="20"/>
          <w:rtl/>
        </w:rPr>
        <w:t>טרופ</w:t>
      </w:r>
      <w:proofErr w:type="spellEnd"/>
      <w:r>
        <w:rPr>
          <w:sz w:val="20"/>
          <w:szCs w:val="20"/>
          <w:rtl/>
        </w:rPr>
        <w:t xml:space="preserve">, נחשב ר׳ </w:t>
      </w:r>
      <w:proofErr w:type="spellStart"/>
      <w:r>
        <w:rPr>
          <w:sz w:val="20"/>
          <w:szCs w:val="20"/>
          <w:rtl/>
        </w:rPr>
        <w:t>לייזר־יעקב</w:t>
      </w:r>
      <w:proofErr w:type="spellEnd"/>
      <w:r>
        <w:rPr>
          <w:sz w:val="20"/>
          <w:szCs w:val="20"/>
          <w:rtl/>
        </w:rPr>
        <w:t xml:space="preserve"> </w:t>
      </w:r>
      <w:proofErr w:type="spellStart"/>
      <w:r>
        <w:rPr>
          <w:sz w:val="20"/>
          <w:szCs w:val="20"/>
          <w:rtl/>
        </w:rPr>
        <w:t xml:space="preserve">חווס</w:t>
      </w:r>
      <w:proofErr w:type="spellEnd"/>
      <w:r>
        <w:rPr>
          <w:sz w:val="20"/>
          <w:szCs w:val="20"/>
          <w:rtl/>
        </w:rPr>
        <w:t xml:space="preserve"> למבצע הוראותיו של ר׳ ישראל </w:t>
      </w:r>
      <w:proofErr w:type="spellStart"/>
      <w:r>
        <w:rPr>
          <w:sz w:val="20"/>
          <w:szCs w:val="20"/>
          <w:rtl/>
        </w:rPr>
        <w:t>סלנטר</w:t>
      </w:r>
      <w:proofErr w:type="spellEnd"/>
      <w:r>
        <w:rPr>
          <w:sz w:val="20"/>
          <w:szCs w:val="20"/>
          <w:rtl/>
        </w:rPr>
        <w:t>: שני המפעלים – החזקת שתדלן בסנט פטרבורג, והפעולה לעורר התערבות ציבורית מחוץ לרוסיה נגד המשטר הצארי האנטישמי – היו חביבים על ר׳ ישראל. ראה כץ, “תנועת המוסר”, כרך א, עמ׳ 201–203.</w:t>
      </w:r>
    </w:p>
  </w:footnote>
  <w:footnote w:id="1567">
    <w:p w14:paraId="79AE582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א לעיל.</w:t>
      </w:r>
    </w:p>
  </w:footnote>
  <w:footnote w:id="1568">
    <w:p w14:paraId="3077C20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גיליון אייר תש״ז של “תבונה” (שם, פרק 2, הערה 20), עמ׳ </w:t>
      </w:r>
      <w:proofErr w:type="spellStart"/>
      <w:r>
        <w:rPr>
          <w:sz w:val="20"/>
          <w:szCs w:val="20"/>
          <w:rtl/>
        </w:rPr>
        <w:t>קז</w:t>
      </w:r>
      <w:proofErr w:type="spellEnd"/>
      <w:r>
        <w:rPr>
          <w:sz w:val="20"/>
          <w:szCs w:val="20"/>
          <w:rtl/>
        </w:rPr>
        <w:t>.</w:t>
      </w:r>
    </w:p>
  </w:footnote>
  <w:footnote w:id="1569">
    <w:p w14:paraId="7D5B70D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412–413.</w:t>
      </w:r>
    </w:p>
  </w:footnote>
  <w:footnote w:id="1570">
    <w:p w14:paraId="3805C4D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פרק 34 בספרו של כץ, “תנועת המוסר”, כרך ב, מוקדש </w:t>
      </w:r>
      <w:proofErr w:type="spellStart"/>
      <w:r>
        <w:rPr>
          <w:sz w:val="20"/>
          <w:szCs w:val="20"/>
          <w:rtl/>
        </w:rPr>
        <w:t>לר</w:t>
      </w:r>
      <w:proofErr w:type="spellEnd"/>
      <w:r>
        <w:rPr>
          <w:sz w:val="20"/>
          <w:szCs w:val="20"/>
          <w:rtl/>
        </w:rPr>
        <w:t xml:space="preserve">׳ </w:t>
      </w:r>
      <w:proofErr w:type="spellStart"/>
      <w:r>
        <w:rPr>
          <w:sz w:val="20"/>
          <w:szCs w:val="20"/>
          <w:rtl/>
        </w:rPr>
        <w:t>הירשל׳ה</w:t>
      </w:r>
      <w:proofErr w:type="spellEnd"/>
      <w:r>
        <w:rPr>
          <w:sz w:val="20"/>
          <w:szCs w:val="20"/>
          <w:rtl/>
        </w:rPr>
        <w:t xml:space="preserve"> </w:t>
      </w:r>
      <w:proofErr w:type="spellStart"/>
      <w:r>
        <w:rPr>
          <w:sz w:val="20"/>
          <w:szCs w:val="20"/>
          <w:rtl/>
        </w:rPr>
        <w:t>לויטן</w:t>
      </w:r>
      <w:proofErr w:type="spellEnd"/>
      <w:r>
        <w:rPr>
          <w:sz w:val="20"/>
          <w:szCs w:val="20"/>
          <w:rtl/>
        </w:rPr>
        <w:t>.</w:t>
      </w:r>
    </w:p>
  </w:footnote>
  <w:footnote w:id="1571">
    <w:p w14:paraId="505C93E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גיליון טבת–שבט–אדר תרפ״ג, שיצא לאור בקובנה.</w:t>
      </w:r>
    </w:p>
  </w:footnote>
  <w:footnote w:id="1572">
    <w:p w14:paraId="0AA359D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לעניין הסבא, ראה בהתאמה: (א) נספח </w:t>
      </w:r>
      <w:proofErr w:type="spellStart"/>
      <w:r>
        <w:rPr>
          <w:sz w:val="20"/>
          <w:szCs w:val="20"/>
          <w:rtl/>
        </w:rPr>
        <w:t>יז</w:t>
      </w:r>
      <w:proofErr w:type="spellEnd"/>
      <w:r>
        <w:rPr>
          <w:sz w:val="20"/>
          <w:szCs w:val="20"/>
          <w:rtl/>
        </w:rPr>
        <w:t xml:space="preserve"> להלן; (ב) פרק 4, נספח ג; (ג) נספח </w:t>
      </w:r>
      <w:proofErr w:type="spellStart"/>
      <w:r>
        <w:rPr>
          <w:sz w:val="20"/>
          <w:szCs w:val="20"/>
          <w:rtl/>
        </w:rPr>
        <w:t>כג</w:t>
      </w:r>
      <w:proofErr w:type="spellEnd"/>
      <w:r>
        <w:rPr>
          <w:sz w:val="20"/>
          <w:szCs w:val="20"/>
          <w:rtl/>
        </w:rPr>
        <w:t xml:space="preserve"> להלן; (ד) נספח ה להלן, ופרק 4, נספח ב.</w:t>
      </w:r>
    </w:p>
  </w:footnote>
  <w:footnote w:id="1573">
    <w:p w14:paraId="37BB55A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נספח </w:t>
      </w:r>
      <w:proofErr w:type="spellStart"/>
      <w:r>
        <w:rPr>
          <w:sz w:val="20"/>
          <w:szCs w:val="20"/>
          <w:rtl/>
        </w:rPr>
        <w:t>כג</w:t>
      </w:r>
      <w:proofErr w:type="spellEnd"/>
      <w:r>
        <w:rPr>
          <w:sz w:val="20"/>
          <w:szCs w:val="20"/>
          <w:rtl/>
        </w:rPr>
        <w:t xml:space="preserve"> להלן.</w:t>
      </w:r>
    </w:p>
  </w:footnote>
  <w:footnote w:id="1574">
    <w:p w14:paraId="28D2478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נאום </w:t>
      </w:r>
      <w:proofErr w:type="spellStart"/>
      <w:r>
        <w:rPr>
          <w:sz w:val="20"/>
          <w:szCs w:val="20"/>
          <w:rtl/>
        </w:rPr>
        <w:t>במונסי</w:t>
      </w:r>
      <w:proofErr w:type="spellEnd"/>
      <w:r>
        <w:rPr>
          <w:sz w:val="20"/>
          <w:szCs w:val="20"/>
          <w:rtl/>
        </w:rPr>
        <w:t xml:space="preserve"> ביום השנה של רבנו </w:t>
      </w:r>
      <w:proofErr w:type="spellStart"/>
      <w:r>
        <w:rPr>
          <w:sz w:val="20"/>
          <w:szCs w:val="20"/>
          <w:rtl/>
        </w:rPr>
        <w:t>בתשנ״ז</w:t>
      </w:r>
      <w:proofErr w:type="spellEnd"/>
      <w:r>
        <w:rPr>
          <w:sz w:val="20"/>
          <w:szCs w:val="20"/>
          <w:rtl/>
        </w:rPr>
        <w:t>.</w:t>
      </w:r>
    </w:p>
  </w:footnote>
  <w:footnote w:id="1575">
    <w:p w14:paraId="260FE28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לעיל.</w:t>
      </w:r>
    </w:p>
  </w:footnote>
  <w:footnote w:id="1576">
    <w:p w14:paraId="4A72745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היא הייתה שרה (השווה הפסקה השנייה בנספח </w:t>
      </w:r>
      <w:proofErr w:type="spellStart"/>
      <w:r>
        <w:rPr>
          <w:sz w:val="20"/>
          <w:szCs w:val="20"/>
          <w:rtl/>
        </w:rPr>
        <w:t>כג</w:t>
      </w:r>
      <w:proofErr w:type="spellEnd"/>
      <w:r>
        <w:rPr>
          <w:sz w:val="20"/>
          <w:szCs w:val="20"/>
          <w:rtl/>
        </w:rPr>
        <w:t xml:space="preserve"> להלן), שנישאה לימים </w:t>
      </w:r>
      <w:proofErr w:type="spellStart"/>
      <w:r>
        <w:rPr>
          <w:sz w:val="20"/>
          <w:szCs w:val="20"/>
          <w:rtl/>
        </w:rPr>
        <w:t>לר</w:t>
      </w:r>
      <w:proofErr w:type="spellEnd"/>
      <w:r>
        <w:rPr>
          <w:sz w:val="20"/>
          <w:szCs w:val="20"/>
          <w:rtl/>
        </w:rPr>
        <w:t xml:space="preserve">׳ </w:t>
      </w:r>
      <w:proofErr w:type="spellStart"/>
      <w:r>
        <w:rPr>
          <w:sz w:val="20"/>
          <w:szCs w:val="20"/>
          <w:rtl/>
        </w:rPr>
        <w:t>שלמה־יהודה־לייב</w:t>
      </w:r>
      <w:proofErr w:type="spellEnd"/>
      <w:r>
        <w:rPr>
          <w:sz w:val="20"/>
          <w:szCs w:val="20"/>
          <w:rtl/>
        </w:rPr>
        <w:t xml:space="preserve"> </w:t>
      </w:r>
      <w:proofErr w:type="spellStart"/>
      <w:r>
        <w:rPr>
          <w:sz w:val="20"/>
          <w:szCs w:val="20"/>
          <w:rtl/>
        </w:rPr>
        <w:t>פלחטינסקי</w:t>
      </w:r>
      <w:proofErr w:type="spellEnd"/>
      <w:r>
        <w:rPr>
          <w:sz w:val="20"/>
          <w:szCs w:val="20"/>
          <w:rtl/>
        </w:rPr>
        <w:t xml:space="preserve">. ר׳ ישראל </w:t>
      </w:r>
      <w:proofErr w:type="spellStart"/>
      <w:r>
        <w:rPr>
          <w:sz w:val="20"/>
          <w:szCs w:val="20"/>
          <w:rtl/>
        </w:rPr>
        <w:t>שורין</w:t>
      </w:r>
      <w:proofErr w:type="spellEnd"/>
      <w:r>
        <w:rPr>
          <w:sz w:val="20"/>
          <w:szCs w:val="20"/>
          <w:rtl/>
        </w:rPr>
        <w:t xml:space="preserve"> מסר ב־19 במרץ 2002 ששמע מר׳ אברהם </w:t>
      </w:r>
      <w:proofErr w:type="spellStart"/>
      <w:r>
        <w:rPr>
          <w:sz w:val="20"/>
          <w:szCs w:val="20"/>
          <w:rtl/>
        </w:rPr>
        <w:t>טרופ</w:t>
      </w:r>
      <w:proofErr w:type="spellEnd"/>
      <w:r>
        <w:rPr>
          <w:sz w:val="20"/>
          <w:szCs w:val="20"/>
          <w:rtl/>
        </w:rPr>
        <w:t xml:space="preserve">, בשם </w:t>
      </w:r>
      <w:proofErr w:type="spellStart"/>
      <w:r>
        <w:rPr>
          <w:sz w:val="20"/>
          <w:szCs w:val="20"/>
          <w:rtl/>
        </w:rPr>
        <w:t>שרה־מרים</w:t>
      </w:r>
      <w:proofErr w:type="spellEnd"/>
      <w:r>
        <w:rPr>
          <w:sz w:val="20"/>
          <w:szCs w:val="20"/>
          <w:rtl/>
        </w:rPr>
        <w:t xml:space="preserve"> </w:t>
      </w:r>
      <w:proofErr w:type="spellStart"/>
      <w:r>
        <w:rPr>
          <w:sz w:val="20"/>
          <w:szCs w:val="20"/>
          <w:rtl/>
        </w:rPr>
        <w:t>גורדון־סורוצקין</w:t>
      </w:r>
      <w:proofErr w:type="spellEnd"/>
      <w:r>
        <w:rPr>
          <w:sz w:val="20"/>
          <w:szCs w:val="20"/>
          <w:rtl/>
        </w:rPr>
        <w:t xml:space="preserve">, בתו השלישית של ר׳ לייזר גורדון </w:t>
      </w:r>
      <w:proofErr w:type="spellStart"/>
      <w:r>
        <w:rPr>
          <w:sz w:val="20"/>
          <w:szCs w:val="20"/>
          <w:rtl/>
        </w:rPr>
        <w:t>מטלז</w:t>
      </w:r>
      <w:proofErr w:type="spellEnd"/>
      <w:r>
        <w:rPr>
          <w:sz w:val="20"/>
          <w:szCs w:val="20"/>
          <w:rtl/>
        </w:rPr>
        <w:t xml:space="preserve">, שהציעו לה להינשא </w:t>
      </w:r>
      <w:proofErr w:type="spellStart"/>
      <w:r>
        <w:rPr>
          <w:sz w:val="20"/>
          <w:szCs w:val="20"/>
          <w:rtl/>
        </w:rPr>
        <w:t>לר</w:t>
      </w:r>
      <w:proofErr w:type="spellEnd"/>
      <w:r>
        <w:rPr>
          <w:sz w:val="20"/>
          <w:szCs w:val="20"/>
          <w:rtl/>
        </w:rPr>
        <w:t>׳ נפתלי, אבל גיסה הגדול, ר׳ “</w:t>
      </w:r>
      <w:proofErr w:type="spellStart"/>
      <w:r>
        <w:rPr>
          <w:sz w:val="20"/>
          <w:szCs w:val="20"/>
          <w:rtl/>
        </w:rPr>
        <w:t>יושע־לייבקע</w:t>
      </w:r>
      <w:proofErr w:type="spellEnd"/>
      <w:r>
        <w:rPr>
          <w:sz w:val="20"/>
          <w:szCs w:val="20"/>
          <w:rtl/>
        </w:rPr>
        <w:t xml:space="preserve">” בלוך, ביטל את השידוך. אחר כך נישאה </w:t>
      </w:r>
      <w:proofErr w:type="spellStart"/>
      <w:r>
        <w:rPr>
          <w:sz w:val="20"/>
          <w:szCs w:val="20"/>
          <w:rtl/>
        </w:rPr>
        <w:t>לר</w:t>
      </w:r>
      <w:proofErr w:type="spellEnd"/>
      <w:r>
        <w:rPr>
          <w:sz w:val="20"/>
          <w:szCs w:val="20"/>
          <w:rtl/>
        </w:rPr>
        <w:t xml:space="preserve">׳ זלמן </w:t>
      </w:r>
      <w:proofErr w:type="spellStart"/>
      <w:r>
        <w:rPr>
          <w:sz w:val="20"/>
          <w:szCs w:val="20"/>
          <w:rtl/>
        </w:rPr>
        <w:t>סורוצקין</w:t>
      </w:r>
      <w:proofErr w:type="spellEnd"/>
      <w:r>
        <w:rPr>
          <w:sz w:val="20"/>
          <w:szCs w:val="20"/>
          <w:rtl/>
        </w:rPr>
        <w:t xml:space="preserve">. (צאצאיה מניחים שנולדה </w:t>
      </w:r>
      <w:proofErr w:type="spellStart"/>
      <w:r>
        <w:rPr>
          <w:sz w:val="20"/>
          <w:szCs w:val="20"/>
          <w:rtl/>
        </w:rPr>
        <w:t>בתרמ״ב</w:t>
      </w:r>
      <w:proofErr w:type="spellEnd"/>
      <w:r>
        <w:rPr>
          <w:sz w:val="20"/>
          <w:szCs w:val="20"/>
          <w:rtl/>
        </w:rPr>
        <w:t xml:space="preserve">, אבל הנחה זו שגויה אפוא בכמה שנים, שהרי ר׳ נפתלי כבר היה נשוי </w:t>
      </w:r>
      <w:proofErr w:type="spellStart"/>
      <w:r>
        <w:rPr>
          <w:sz w:val="20"/>
          <w:szCs w:val="20"/>
          <w:rtl/>
        </w:rPr>
        <w:t>בתרנ״ה</w:t>
      </w:r>
      <w:proofErr w:type="spellEnd"/>
      <w:r>
        <w:rPr>
          <w:sz w:val="20"/>
          <w:szCs w:val="20"/>
          <w:rtl/>
        </w:rPr>
        <w:t>.)</w:t>
      </w:r>
    </w:p>
  </w:footnote>
  <w:footnote w:id="1577">
    <w:p w14:paraId="23E60DE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ו.</w:t>
      </w:r>
    </w:p>
  </w:footnote>
  <w:footnote w:id="1578">
    <w:p w14:paraId="4BAFA6F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הפסקה הראשונה בנספח א לעיל – עמ׳ 202. את הדיווח על הצטיינותו של הרב </w:t>
      </w:r>
      <w:proofErr w:type="spellStart"/>
      <w:r>
        <w:rPr>
          <w:sz w:val="20"/>
          <w:szCs w:val="20"/>
          <w:rtl/>
        </w:rPr>
        <w:t>טרופ</w:t>
      </w:r>
      <w:proofErr w:type="spellEnd"/>
      <w:r>
        <w:rPr>
          <w:sz w:val="20"/>
          <w:szCs w:val="20"/>
          <w:rtl/>
        </w:rPr>
        <w:t xml:space="preserve"> במוסר אישר תלמיד אחר של </w:t>
      </w:r>
      <w:proofErr w:type="spellStart"/>
      <w:r>
        <w:rPr>
          <w:sz w:val="20"/>
          <w:szCs w:val="20"/>
          <w:rtl/>
        </w:rPr>
        <w:t>ראדין</w:t>
      </w:r>
      <w:proofErr w:type="spellEnd"/>
      <w:r>
        <w:rPr>
          <w:sz w:val="20"/>
          <w:szCs w:val="20"/>
          <w:rtl/>
        </w:rPr>
        <w:t xml:space="preserve">, ר׳ יצחק </w:t>
      </w:r>
      <w:proofErr w:type="spellStart"/>
      <w:r>
        <w:rPr>
          <w:sz w:val="20"/>
          <w:szCs w:val="20"/>
          <w:rtl/>
        </w:rPr>
        <w:t>פופקו</w:t>
      </w:r>
      <w:proofErr w:type="spellEnd"/>
      <w:r>
        <w:rPr>
          <w:sz w:val="20"/>
          <w:szCs w:val="20"/>
          <w:rtl/>
        </w:rPr>
        <w:t xml:space="preserve">, כפי ששמע ר׳ ישראל </w:t>
      </w:r>
      <w:proofErr w:type="spellStart"/>
      <w:r>
        <w:rPr>
          <w:sz w:val="20"/>
          <w:szCs w:val="20"/>
          <w:rtl/>
        </w:rPr>
        <w:t>שורין</w:t>
      </w:r>
      <w:proofErr w:type="spellEnd"/>
      <w:r>
        <w:rPr>
          <w:sz w:val="20"/>
          <w:szCs w:val="20"/>
          <w:rtl/>
        </w:rPr>
        <w:t xml:space="preserve">, ומסר לי ב־16 במרץ 2002. ר׳ ישראל </w:t>
      </w:r>
      <w:proofErr w:type="spellStart"/>
      <w:r>
        <w:rPr>
          <w:sz w:val="20"/>
          <w:szCs w:val="20"/>
          <w:rtl/>
        </w:rPr>
        <w:t>שורין</w:t>
      </w:r>
      <w:proofErr w:type="spellEnd"/>
      <w:r>
        <w:rPr>
          <w:sz w:val="20"/>
          <w:szCs w:val="20"/>
          <w:rtl/>
        </w:rPr>
        <w:t xml:space="preserve"> ציין שר׳ נפתלי היה מן הבודדים בין ראשי הישיבה הגדולים שמסרו גם שיחות מוסר מצטיינות. שנות לימודיו אצל ר׳ </w:t>
      </w:r>
      <w:proofErr w:type="spellStart"/>
      <w:r>
        <w:rPr>
          <w:sz w:val="20"/>
          <w:szCs w:val="20"/>
          <w:rtl/>
        </w:rPr>
        <w:t>איצל׳ה</w:t>
      </w:r>
      <w:proofErr w:type="spellEnd"/>
      <w:r>
        <w:rPr>
          <w:sz w:val="20"/>
          <w:szCs w:val="20"/>
          <w:rtl/>
        </w:rPr>
        <w:t xml:space="preserve"> </w:t>
      </w:r>
      <w:proofErr w:type="spellStart"/>
      <w:r>
        <w:rPr>
          <w:sz w:val="20"/>
          <w:szCs w:val="20"/>
          <w:rtl/>
        </w:rPr>
        <w:t>מפוניבז</w:t>
      </w:r>
      <w:proofErr w:type="spellEnd"/>
      <w:r>
        <w:rPr>
          <w:sz w:val="20"/>
          <w:szCs w:val="20"/>
          <w:rtl/>
        </w:rPr>
        <w:t xml:space="preserve">׳ ואצל ר׳ </w:t>
      </w:r>
      <w:proofErr w:type="spellStart"/>
      <w:r>
        <w:rPr>
          <w:sz w:val="20"/>
          <w:szCs w:val="20"/>
          <w:rtl/>
        </w:rPr>
        <w:t>שמחה־זיסל</w:t>
      </w:r>
      <w:proofErr w:type="spellEnd"/>
      <w:r>
        <w:rPr>
          <w:sz w:val="20"/>
          <w:szCs w:val="20"/>
          <w:rtl/>
        </w:rPr>
        <w:t xml:space="preserve"> הכינו אותו לתפקיד כפול זה.</w:t>
      </w:r>
    </w:p>
  </w:footnote>
  <w:footnote w:id="1579">
    <w:p w14:paraId="2CA521F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את השליש האחרון של הפסקה הראשונה בנספח א לעיל.</w:t>
      </w:r>
    </w:p>
  </w:footnote>
  <w:footnote w:id="1580">
    <w:p w14:paraId="5615624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כץ, “תנועת המוסר”, כרך ג, עמ׳ 18. והשווה גם פרק 4, הערה 55, על כך שהסבא </w:t>
      </w:r>
      <w:proofErr w:type="spellStart"/>
      <w:r>
        <w:rPr>
          <w:sz w:val="20"/>
          <w:szCs w:val="20"/>
          <w:rtl/>
        </w:rPr>
        <w:t>מסלבודקה</w:t>
      </w:r>
      <w:proofErr w:type="spellEnd"/>
      <w:r>
        <w:rPr>
          <w:sz w:val="20"/>
          <w:szCs w:val="20"/>
          <w:rtl/>
        </w:rPr>
        <w:t xml:space="preserve"> ראה את היכרותו עם הסבא מקלם כמאושרת ביותר.</w:t>
      </w:r>
    </w:p>
  </w:footnote>
  <w:footnote w:id="1581">
    <w:p w14:paraId="0D679A8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119.</w:t>
      </w:r>
    </w:p>
  </w:footnote>
  <w:footnote w:id="1582">
    <w:p w14:paraId="5A9F0B7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יו״ל בשנת החמישים </w:t>
      </w:r>
      <w:proofErr w:type="spellStart"/>
      <w:r>
        <w:rPr>
          <w:sz w:val="20"/>
          <w:szCs w:val="20"/>
          <w:rtl/>
        </w:rPr>
        <w:t>להוסדה</w:t>
      </w:r>
      <w:proofErr w:type="spellEnd"/>
      <w:r>
        <w:rPr>
          <w:sz w:val="20"/>
          <w:szCs w:val="20"/>
          <w:rtl/>
        </w:rPr>
        <w:t xml:space="preserve"> ע״י ישיבת מקור חיים, עיה״ק </w:t>
      </w:r>
      <w:proofErr w:type="spellStart"/>
      <w:r>
        <w:rPr>
          <w:sz w:val="20"/>
          <w:szCs w:val="20"/>
          <w:rtl/>
        </w:rPr>
        <w:t>ירושת״ו</w:t>
      </w:r>
      <w:proofErr w:type="spellEnd"/>
      <w:r>
        <w:rPr>
          <w:sz w:val="20"/>
          <w:szCs w:val="20"/>
          <w:rtl/>
        </w:rPr>
        <w:t xml:space="preserve"> (ללא תאריך); ישיבת מקור חיים נוסדה בסיוון ת״ש.</w:t>
      </w:r>
    </w:p>
  </w:footnote>
  <w:footnote w:id="1583">
    <w:p w14:paraId="2288EFA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להלן: במשך היובל – עמ׳ </w:t>
      </w:r>
      <w:proofErr w:type="spellStart"/>
      <w:r>
        <w:rPr>
          <w:sz w:val="20"/>
          <w:szCs w:val="20"/>
          <w:rtl/>
        </w:rPr>
        <w:t>תקטו</w:t>
      </w:r>
      <w:proofErr w:type="spellEnd"/>
      <w:r>
        <w:rPr>
          <w:sz w:val="20"/>
          <w:szCs w:val="20"/>
          <w:rtl/>
        </w:rPr>
        <w:t>.</w:t>
      </w:r>
    </w:p>
  </w:footnote>
  <w:footnote w:id="1584">
    <w:p w14:paraId="7A5F0F2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תחילת נספח יא, והערה 39 להלן.</w:t>
      </w:r>
    </w:p>
  </w:footnote>
  <w:footnote w:id="1585">
    <w:p w14:paraId="2BD4D5B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3 בנובמבר 1992.</w:t>
      </w:r>
    </w:p>
  </w:footnote>
  <w:footnote w:id="1586">
    <w:p w14:paraId="1F18584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לעיל.</w:t>
      </w:r>
    </w:p>
  </w:footnote>
  <w:footnote w:id="1587">
    <w:p w14:paraId="040054F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כץ, “תנועת המוסר”, כרך ג, עמ׳ 123.</w:t>
      </w:r>
    </w:p>
  </w:footnote>
  <w:footnote w:id="1588">
    <w:p w14:paraId="1BC9780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2.</w:t>
      </w:r>
    </w:p>
  </w:footnote>
  <w:footnote w:id="1589">
    <w:p w14:paraId="1B0D8F2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הכולל נקרא “תלמוד תורה” משום שהמוסד התפתח מבית ספר לילדים צעירים שניהל ר׳ </w:t>
      </w:r>
      <w:proofErr w:type="spellStart"/>
      <w:r>
        <w:rPr>
          <w:sz w:val="20"/>
          <w:szCs w:val="20"/>
          <w:rtl/>
        </w:rPr>
        <w:t>שמחה־זיסל</w:t>
      </w:r>
      <w:proofErr w:type="spellEnd"/>
      <w:r>
        <w:rPr>
          <w:sz w:val="20"/>
          <w:szCs w:val="20"/>
          <w:rtl/>
        </w:rPr>
        <w:t xml:space="preserve"> חצי מאה לפני הדיון. ראה תחילת נספח כה להלן, והערת שוליים </w:t>
      </w:r>
      <w:r>
        <w:rPr>
          <w:sz w:val="20"/>
          <w:szCs w:val="20"/>
          <w:rtl/>
        </w:rPr>
        <w:fldChar w:fldCharType="begin" w:dirty="true"/>
      </w:r>
      <w:r>
        <w:rPr>
          <w:sz w:val="20"/>
          <w:szCs w:val="20"/>
          <w:rtl/>
        </w:rPr>
        <w:instrText xml:space="preserve"> NOTEREF pr_f_1380 \h </w:instrText>
      </w:r>
      <w:r>
        <w:rPr>
          <w:sz w:val="20"/>
          <w:szCs w:val="20"/>
          <w:rtl/>
        </w:rPr>
      </w:r>
      <w:r>
        <w:rPr>
          <w:sz w:val="20"/>
          <w:szCs w:val="20"/>
          <w:rtl/>
        </w:rPr>
        <w:fldChar w:fldCharType="separate"/>
      </w:r>
      <w:r w:rsidR="007923E9">
        <w:rPr>
          <w:sz w:val="20"/>
          <w:szCs w:val="20"/>
          <w:rtl/>
        </w:rPr>
        <w:t>425</w:t>
      </w:r>
      <w:r>
        <w:rPr>
          <w:sz w:val="20"/>
          <w:szCs w:val="20"/>
          <w:rtl/>
        </w:rPr>
        <w:fldChar w:fldCharType="end"/>
      </w:r>
      <w:r>
        <w:rPr>
          <w:sz w:val="20"/>
          <w:szCs w:val="20"/>
          <w:rtl/>
        </w:rPr>
        <w:t xml:space="preserve"> (עמ׳ </w:t>
      </w:r>
      <w:r>
        <w:rPr>
          <w:sz w:val="20"/>
          <w:szCs w:val="20"/>
          <w:rtl/>
        </w:rPr>
        <w:fldChar w:fldCharType="begin" w:dirty="true"/>
      </w:r>
      <w:r>
        <w:rPr>
          <w:sz w:val="20"/>
          <w:szCs w:val="20"/>
          <w:rtl/>
        </w:rPr>
        <w:instrText xml:space="preserve"> PAGEREF pr_f_1380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1590">
    <w:p w14:paraId="7239043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תלמידי ר׳ </w:t>
      </w:r>
      <w:proofErr w:type="spellStart"/>
      <w:r>
        <w:rPr>
          <w:sz w:val="20"/>
          <w:szCs w:val="20"/>
          <w:rtl/>
        </w:rPr>
        <w:t>שמחה־זיסל</w:t>
      </w:r>
      <w:proofErr w:type="spellEnd"/>
      <w:r>
        <w:rPr>
          <w:sz w:val="20"/>
          <w:szCs w:val="20"/>
          <w:rtl/>
        </w:rPr>
        <w:t xml:space="preserve"> התייחסו לסבא מקלם בכינוי זה, כפי שצוין בפרק 2, סוף הערה 93.</w:t>
      </w:r>
    </w:p>
  </w:footnote>
  <w:footnote w:id="1591">
    <w:p w14:paraId="106364E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119–121.</w:t>
      </w:r>
    </w:p>
  </w:footnote>
  <w:footnote w:id="1592">
    <w:p w14:paraId="5023EC1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הערה 55, שם מצוטט חלק רלוונטי מן המכתב.</w:t>
      </w:r>
    </w:p>
  </w:footnote>
  <w:footnote w:id="1593">
    <w:p w14:paraId="0D24B18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הערת שוליים </w:t>
      </w:r>
      <w:r>
        <w:rPr>
          <w:rStyle w:val="a5"/>
          <w:sz w:val="20"/>
          <w:szCs w:val="20"/>
          <w:vertAlign w:val="baseline"/>
          <w:rtl/>
        </w:rPr>
        <w:fldChar w:fldCharType="begin" w:dirty="true"/>
      </w:r>
      <w:r>
        <w:rPr>
          <w:rStyle w:val="a5"/>
          <w:sz w:val="20"/>
          <w:szCs w:val="20"/>
          <w:vertAlign w:val="baseline"/>
          <w:rtl/>
        </w:rPr>
        <w:instrText xml:space="preserve"> NOTEREF fx_ref_437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511</w:t>
      </w:r>
      <w:r>
        <w:rPr>
          <w:rStyle w:val="a5"/>
          <w:sz w:val="20"/>
          <w:szCs w:val="20"/>
          <w:vertAlign w:val="baseline"/>
          <w:rtl/>
        </w:rPr>
        <w:fldChar w:fldCharType="end"/>
      </w:r>
      <w:r>
        <w:rPr>
          <w:rStyle w:val="a5"/>
          <w:sz w:val="20"/>
          <w:szCs w:val="20"/>
          <w:vertAlign w:val="baseline"/>
          <w:rtl/>
        </w:rPr>
        <w:t xml:space="preserve"> (עמ׳ </w:t>
      </w:r>
      <w:r>
        <w:rPr>
          <w:rStyle w:val="a5"/>
          <w:sz w:val="20"/>
          <w:szCs w:val="20"/>
          <w:vertAlign w:val="baseline"/>
          <w:rtl/>
        </w:rPr>
        <w:fldChar w:fldCharType="begin" w:dirty="true"/>
      </w:r>
      <w:r>
        <w:rPr>
          <w:rStyle w:val="a5"/>
          <w:sz w:val="20"/>
          <w:szCs w:val="20"/>
          <w:vertAlign w:val="baseline"/>
          <w:rtl/>
        </w:rPr>
        <w:instrText xml:space="preserve"> PAGEREF fx_ref_437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w:t>
      </w:r>
    </w:p>
  </w:footnote>
  <w:footnote w:id="1594">
    <w:p w14:paraId="53BA6D7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21 ביוני 1995.</w:t>
      </w:r>
    </w:p>
  </w:footnote>
  <w:footnote w:id="1595">
    <w:p w14:paraId="320652A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היא גילתה זאת כשנאמר לה מה שהסבא מסר </w:t>
      </w:r>
      <w:proofErr w:type="spellStart"/>
      <w:r>
        <w:rPr>
          <w:sz w:val="20"/>
          <w:szCs w:val="20"/>
          <w:rtl/>
        </w:rPr>
        <w:t>לר</w:t>
      </w:r>
      <w:proofErr w:type="spellEnd"/>
      <w:r>
        <w:rPr>
          <w:sz w:val="20"/>
          <w:szCs w:val="20"/>
          <w:rtl/>
        </w:rPr>
        <w:t xml:space="preserve">׳ יוסף </w:t>
      </w:r>
      <w:proofErr w:type="spellStart"/>
      <w:r>
        <w:rPr>
          <w:sz w:val="20"/>
          <w:szCs w:val="20"/>
          <w:rtl/>
        </w:rPr>
        <w:t>דינקלס</w:t>
      </w:r>
      <w:proofErr w:type="spellEnd"/>
      <w:r>
        <w:rPr>
          <w:sz w:val="20"/>
          <w:szCs w:val="20"/>
          <w:rtl/>
        </w:rPr>
        <w:t xml:space="preserve">, אביו החורג של המרואיין. השווה נספח </w:t>
      </w:r>
      <w:proofErr w:type="spellStart"/>
      <w:r>
        <w:rPr>
          <w:sz w:val="20"/>
          <w:szCs w:val="20"/>
          <w:rtl/>
        </w:rPr>
        <w:t>יז</w:t>
      </w:r>
      <w:proofErr w:type="spellEnd"/>
      <w:r>
        <w:rPr>
          <w:sz w:val="20"/>
          <w:szCs w:val="20"/>
          <w:rtl/>
        </w:rPr>
        <w:t xml:space="preserve"> להלן, לפרטים המפתיעים שישפיעו על כל ראייתנו את המחלוקת כולה שבין ר׳ </w:t>
      </w:r>
      <w:proofErr w:type="spellStart"/>
      <w:r>
        <w:rPr>
          <w:sz w:val="20"/>
          <w:szCs w:val="20"/>
          <w:rtl/>
        </w:rPr>
        <w:t>נתן־צבי</w:t>
      </w:r>
      <w:proofErr w:type="spellEnd"/>
      <w:r>
        <w:rPr>
          <w:sz w:val="20"/>
          <w:szCs w:val="20"/>
          <w:rtl/>
        </w:rPr>
        <w:t xml:space="preserve"> </w:t>
      </w:r>
      <w:proofErr w:type="spellStart"/>
      <w:r>
        <w:rPr>
          <w:sz w:val="20"/>
          <w:szCs w:val="20"/>
          <w:rtl/>
        </w:rPr>
        <w:t>לר</w:t>
      </w:r>
      <w:proofErr w:type="spellEnd"/>
      <w:r>
        <w:rPr>
          <w:sz w:val="20"/>
          <w:szCs w:val="20"/>
          <w:rtl/>
        </w:rPr>
        <w:t xml:space="preserve">׳ </w:t>
      </w:r>
      <w:proofErr w:type="spellStart"/>
      <w:r>
        <w:rPr>
          <w:sz w:val="20"/>
          <w:szCs w:val="20"/>
          <w:rtl/>
        </w:rPr>
        <w:t>שמחה־זיסל</w:t>
      </w:r>
      <w:proofErr w:type="spellEnd"/>
      <w:r>
        <w:rPr>
          <w:sz w:val="20"/>
          <w:szCs w:val="20"/>
          <w:rtl/>
        </w:rPr>
        <w:t>.</w:t>
      </w:r>
    </w:p>
  </w:footnote>
  <w:footnote w:id="1596">
    <w:p w14:paraId="379CF9F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235.</w:t>
      </w:r>
    </w:p>
  </w:footnote>
  <w:footnote w:id="1597">
    <w:p w14:paraId="1C2EBF9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לא מצאתי אזכור של עיירה ליטאית כזו במקור אחר.</w:t>
      </w:r>
    </w:p>
  </w:footnote>
  <w:footnote w:id="1598">
    <w:p w14:paraId="4878E08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1599">
    <w:p w14:paraId="604B026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27 באוגוסט 1997.</w:t>
      </w:r>
    </w:p>
  </w:footnote>
  <w:footnote w:id="1600">
    <w:p w14:paraId="38A8BF7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4, נספחים ד </w:t>
      </w:r>
      <w:proofErr w:type="spellStart"/>
      <w:r>
        <w:rPr>
          <w:sz w:val="20"/>
          <w:szCs w:val="20"/>
          <w:rtl/>
        </w:rPr>
        <w:t>וה</w:t>
      </w:r>
      <w:proofErr w:type="spellEnd"/>
      <w:r>
        <w:rPr>
          <w:sz w:val="20"/>
          <w:szCs w:val="20"/>
          <w:rtl/>
        </w:rPr>
        <w:t>.</w:t>
      </w:r>
    </w:p>
  </w:footnote>
  <w:footnote w:id="1601">
    <w:p w14:paraId="3CC687C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הם בידי בנו של כץ, ר׳ יהושע, רב מעלה אדומים.</w:t>
      </w:r>
    </w:p>
  </w:footnote>
  <w:footnote w:id="1602">
    <w:p w14:paraId="2753E30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סנהדרין ע״ג ע״א ועוד.</w:t>
      </w:r>
    </w:p>
  </w:footnote>
  <w:footnote w:id="1603">
    <w:p w14:paraId="5839D93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הריאיון המוקלט על הסבא </w:t>
      </w:r>
      <w:proofErr w:type="spellStart"/>
      <w:r>
        <w:rPr>
          <w:sz w:val="20"/>
          <w:szCs w:val="20"/>
          <w:rtl/>
        </w:rPr>
        <w:t>מסלבודקה</w:t>
      </w:r>
      <w:proofErr w:type="spellEnd"/>
      <w:r>
        <w:rPr>
          <w:sz w:val="20"/>
          <w:szCs w:val="20"/>
          <w:rtl/>
        </w:rPr>
        <w:t>.</w:t>
      </w:r>
    </w:p>
  </w:footnote>
  <w:footnote w:id="1604">
    <w:p w14:paraId="3E4FD48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2.</w:t>
      </w:r>
    </w:p>
  </w:footnote>
  <w:footnote w:id="1605">
    <w:p w14:paraId="1797F61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הערת שוליים </w:t>
      </w:r>
      <w:r>
        <w:rPr>
          <w:rStyle w:val="a5"/>
          <w:sz w:val="20"/>
          <w:szCs w:val="20"/>
          <w:vertAlign w:val="baseline"/>
          <w:rtl/>
        </w:rPr>
        <w:fldChar w:fldCharType="begin" w:dirty="true"/>
      </w:r>
      <w:r>
        <w:rPr>
          <w:rStyle w:val="a5"/>
          <w:sz w:val="20"/>
          <w:szCs w:val="20"/>
          <w:vertAlign w:val="baseline"/>
          <w:rtl/>
        </w:rPr>
        <w:instrText xml:space="preserve"> NOTEREF pr_f_2233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1279</w:t>
      </w:r>
      <w:r>
        <w:rPr>
          <w:rStyle w:val="a5"/>
          <w:sz w:val="20"/>
          <w:szCs w:val="20"/>
          <w:vertAlign w:val="baseline"/>
          <w:rtl/>
        </w:rPr>
        <w:fldChar w:fldCharType="end"/>
      </w:r>
      <w:r>
        <w:rPr>
          <w:rStyle w:val="a5"/>
          <w:sz w:val="20"/>
          <w:szCs w:val="20"/>
          <w:vertAlign w:val="baseline"/>
          <w:rtl/>
        </w:rPr>
        <w:t xml:space="preserve"> (עמ׳ </w:t>
      </w:r>
      <w:r>
        <w:rPr>
          <w:rStyle w:val="a5"/>
          <w:sz w:val="20"/>
          <w:szCs w:val="20"/>
          <w:vertAlign w:val="baseline"/>
          <w:rtl/>
        </w:rPr>
        <w:fldChar w:fldCharType="begin" w:dirty="true"/>
      </w:r>
      <w:r>
        <w:rPr>
          <w:rStyle w:val="a5"/>
          <w:sz w:val="20"/>
          <w:szCs w:val="20"/>
          <w:vertAlign w:val="baseline"/>
          <w:rtl/>
        </w:rPr>
        <w:instrText xml:space="preserve"> PAGEREF pr_f_2233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w:t>
      </w:r>
    </w:p>
  </w:footnote>
  <w:footnote w:id="1606">
    <w:p w14:paraId="3BC87DB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נרשם </w:t>
      </w:r>
      <w:proofErr w:type="spellStart"/>
      <w:r>
        <w:rPr>
          <w:sz w:val="20"/>
          <w:szCs w:val="20"/>
          <w:rtl/>
        </w:rPr>
        <w:t>ב“המוסר</w:t>
      </w:r>
      <w:proofErr w:type="spellEnd"/>
      <w:r>
        <w:rPr>
          <w:sz w:val="20"/>
          <w:szCs w:val="20"/>
          <w:rtl/>
        </w:rPr>
        <w:t xml:space="preserve"> והדעת על התורה” (ירושלים, תשל״ח) פ׳ יתרו, עמ׳ </w:t>
      </w:r>
      <w:proofErr w:type="spellStart"/>
      <w:r>
        <w:rPr>
          <w:sz w:val="20"/>
          <w:szCs w:val="20"/>
          <w:rtl/>
        </w:rPr>
        <w:t>עח</w:t>
      </w:r>
      <w:proofErr w:type="spellEnd"/>
      <w:r>
        <w:rPr>
          <w:sz w:val="20"/>
          <w:szCs w:val="20"/>
          <w:rtl/>
        </w:rPr>
        <w:t>.</w:t>
      </w:r>
    </w:p>
  </w:footnote>
  <w:footnote w:id="1607">
    <w:p w14:paraId="158A9EA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כץ, “תנועת המוסר”, כרך ב, עמ׳ 329, שר׳ לייזר נשאר קרוב </w:t>
      </w:r>
      <w:proofErr w:type="spellStart"/>
      <w:r>
        <w:rPr>
          <w:sz w:val="20"/>
          <w:szCs w:val="20"/>
          <w:rtl/>
        </w:rPr>
        <w:t>לר</w:t>
      </w:r>
      <w:proofErr w:type="spellEnd"/>
      <w:r>
        <w:rPr>
          <w:sz w:val="20"/>
          <w:szCs w:val="20"/>
          <w:rtl/>
        </w:rPr>
        <w:t xml:space="preserve">׳ ישראל בממל שנים רבות, </w:t>
      </w:r>
      <w:proofErr w:type="spellStart"/>
      <w:r>
        <w:rPr>
          <w:sz w:val="20"/>
          <w:szCs w:val="20"/>
          <w:rtl/>
        </w:rPr>
        <w:t>ו“נעשה</w:t>
      </w:r>
      <w:proofErr w:type="spellEnd"/>
      <w:r>
        <w:rPr>
          <w:sz w:val="20"/>
          <w:szCs w:val="20"/>
          <w:rtl/>
        </w:rPr>
        <w:t xml:space="preserve"> שמשו בכל העניינים, עד כדי כך שתלמידיו הנלהבים ביותר של ר׳ ישראל לא התקבלו אצל הרב אלא באמצעות ר׳ לייזר”. הרב </w:t>
      </w:r>
      <w:proofErr w:type="spellStart"/>
      <w:r>
        <w:rPr>
          <w:sz w:val="20"/>
          <w:szCs w:val="20"/>
          <w:rtl/>
        </w:rPr>
        <w:t>שולביץ</w:t>
      </w:r>
      <w:proofErr w:type="spellEnd"/>
      <w:r>
        <w:rPr>
          <w:sz w:val="20"/>
          <w:szCs w:val="20"/>
          <w:rtl/>
        </w:rPr>
        <w:t xml:space="preserve"> היה מבוגר בשנה אחת מהסבא </w:t>
      </w:r>
      <w:proofErr w:type="spellStart"/>
      <w:r>
        <w:rPr>
          <w:sz w:val="20"/>
          <w:szCs w:val="20"/>
          <w:rtl/>
        </w:rPr>
        <w:t>מסלבודקה</w:t>
      </w:r>
      <w:proofErr w:type="spellEnd"/>
      <w:r>
        <w:rPr>
          <w:sz w:val="20"/>
          <w:szCs w:val="20"/>
          <w:rtl/>
        </w:rPr>
        <w:t>.</w:t>
      </w:r>
    </w:p>
  </w:footnote>
  <w:footnote w:id="1608">
    <w:p w14:paraId="01F5651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אולי הבין ר׳ </w:t>
      </w:r>
      <w:proofErr w:type="spellStart"/>
      <w:r>
        <w:rPr>
          <w:sz w:val="20"/>
          <w:szCs w:val="20"/>
          <w:rtl/>
        </w:rPr>
        <w:t>נתן־צבי</w:t>
      </w:r>
      <w:proofErr w:type="spellEnd"/>
      <w:r>
        <w:rPr>
          <w:sz w:val="20"/>
          <w:szCs w:val="20"/>
          <w:rtl/>
        </w:rPr>
        <w:t xml:space="preserve"> את דברי הרב כתשובה לשאלתו, דהיינו: “כיצד יכול אדם להימנע מעבודה עם צעירים – גם כשהוא אינו בטוח בהצלחה – אם דחיית פעולה שקולה לשמד?”</w:t>
      </w:r>
    </w:p>
  </w:footnote>
  <w:footnote w:id="1609">
    <w:p w14:paraId="3E33862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נמסר בידי גיסי, ר׳ הירש </w:t>
      </w:r>
      <w:proofErr w:type="spellStart"/>
      <w:r>
        <w:rPr>
          <w:sz w:val="20"/>
          <w:szCs w:val="20"/>
          <w:rtl/>
        </w:rPr>
        <w:t>דיסקינד</w:t>
      </w:r>
      <w:proofErr w:type="spellEnd"/>
      <w:r>
        <w:rPr>
          <w:sz w:val="20"/>
          <w:szCs w:val="20"/>
          <w:rtl/>
        </w:rPr>
        <w:t xml:space="preserve">. אחד מחניכיו של הרב </w:t>
      </w:r>
      <w:proofErr w:type="spellStart"/>
      <w:r>
        <w:rPr>
          <w:sz w:val="20"/>
          <w:szCs w:val="20"/>
          <w:rtl/>
        </w:rPr>
        <w:t>הוטנר</w:t>
      </w:r>
      <w:proofErr w:type="spellEnd"/>
      <w:r>
        <w:rPr>
          <w:sz w:val="20"/>
          <w:szCs w:val="20"/>
          <w:rtl/>
        </w:rPr>
        <w:t xml:space="preserve"> מסר שהסבא אמר אמירה זו על ר׳ </w:t>
      </w:r>
      <w:proofErr w:type="spellStart"/>
      <w:r>
        <w:rPr>
          <w:sz w:val="20"/>
          <w:szCs w:val="20"/>
          <w:rtl/>
        </w:rPr>
        <w:t>שמחה־זיסל</w:t>
      </w:r>
      <w:proofErr w:type="spellEnd"/>
      <w:r>
        <w:rPr>
          <w:sz w:val="20"/>
          <w:szCs w:val="20"/>
          <w:rtl/>
        </w:rPr>
        <w:t xml:space="preserve">, וזה תואם את ציטוט מרקוס בפסקה הראשונה של נספח ה בפרק זה. גרסה זו מתיישבת עם השקפת הסבא על מה שקנה מר׳ </w:t>
      </w:r>
      <w:proofErr w:type="spellStart"/>
      <w:r>
        <w:rPr>
          <w:sz w:val="20"/>
          <w:szCs w:val="20"/>
          <w:rtl/>
        </w:rPr>
        <w:t>שמחה־זיסל</w:t>
      </w:r>
      <w:proofErr w:type="spellEnd"/>
      <w:r>
        <w:rPr>
          <w:sz w:val="20"/>
          <w:szCs w:val="20"/>
          <w:rtl/>
        </w:rPr>
        <w:t xml:space="preserve"> (כמו בפרק 4, הערה 55); אבל גילויו של ר׳ </w:t>
      </w:r>
      <w:proofErr w:type="spellStart"/>
      <w:r>
        <w:rPr>
          <w:sz w:val="20"/>
          <w:szCs w:val="20"/>
          <w:rtl/>
        </w:rPr>
        <w:t>נתן־צבי</w:t>
      </w:r>
      <w:proofErr w:type="spellEnd"/>
      <w:r>
        <w:rPr>
          <w:sz w:val="20"/>
          <w:szCs w:val="20"/>
          <w:rtl/>
        </w:rPr>
        <w:t xml:space="preserve"> </w:t>
      </w:r>
      <w:proofErr w:type="spellStart"/>
      <w:r>
        <w:rPr>
          <w:sz w:val="20"/>
          <w:szCs w:val="20"/>
          <w:rtl/>
        </w:rPr>
        <w:t>לר</w:t>
      </w:r>
      <w:proofErr w:type="spellEnd"/>
      <w:r>
        <w:rPr>
          <w:sz w:val="20"/>
          <w:szCs w:val="20"/>
          <w:rtl/>
        </w:rPr>
        <w:t xml:space="preserve">׳ אברהם </w:t>
      </w:r>
      <w:proofErr w:type="spellStart"/>
      <w:r>
        <w:rPr>
          <w:sz w:val="20"/>
          <w:szCs w:val="20"/>
          <w:rtl/>
        </w:rPr>
        <w:t>גרודזינסקי</w:t>
      </w:r>
      <w:proofErr w:type="spellEnd"/>
      <w:r>
        <w:rPr>
          <w:sz w:val="20"/>
          <w:szCs w:val="20"/>
          <w:rtl/>
        </w:rPr>
        <w:t xml:space="preserve"> מלמד שגם גרסת </w:t>
      </w:r>
      <w:proofErr w:type="spellStart"/>
      <w:r>
        <w:rPr>
          <w:sz w:val="20"/>
          <w:szCs w:val="20"/>
          <w:rtl/>
        </w:rPr>
        <w:t>דיסקינד</w:t>
      </w:r>
      <w:proofErr w:type="spellEnd"/>
      <w:r>
        <w:rPr>
          <w:sz w:val="20"/>
          <w:szCs w:val="20"/>
          <w:rtl/>
        </w:rPr>
        <w:t xml:space="preserve"> סבירה.</w:t>
      </w:r>
    </w:p>
  </w:footnote>
  <w:footnote w:id="1610">
    <w:p w14:paraId="59ADA65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“מאסף </w:t>
      </w:r>
      <w:proofErr w:type="spellStart"/>
      <w:r>
        <w:rPr>
          <w:sz w:val="20"/>
          <w:szCs w:val="20"/>
          <w:rtl/>
        </w:rPr>
        <w:t>זכרון</w:t>
      </w:r>
      <w:proofErr w:type="spellEnd"/>
      <w:r>
        <w:rPr>
          <w:sz w:val="20"/>
          <w:szCs w:val="20"/>
          <w:rtl/>
        </w:rPr>
        <w:t xml:space="preserve"> לאדמו״ר רבי יחזקאל </w:t>
      </w:r>
      <w:proofErr w:type="spellStart"/>
      <w:r>
        <w:rPr>
          <w:sz w:val="20"/>
          <w:szCs w:val="20"/>
          <w:rtl/>
        </w:rPr>
        <w:t>סרנא</w:t>
      </w:r>
      <w:proofErr w:type="spellEnd"/>
      <w:r>
        <w:rPr>
          <w:sz w:val="20"/>
          <w:szCs w:val="20"/>
          <w:rtl/>
        </w:rPr>
        <w:t xml:space="preserve">” (ירושלים, תשל״א) (להלן: ספר </w:t>
      </w:r>
      <w:proofErr w:type="spellStart"/>
      <w:r>
        <w:rPr>
          <w:sz w:val="20"/>
          <w:szCs w:val="20"/>
          <w:rtl/>
        </w:rPr>
        <w:t>זכרון</w:t>
      </w:r>
      <w:proofErr w:type="spellEnd"/>
      <w:r>
        <w:rPr>
          <w:sz w:val="20"/>
          <w:szCs w:val="20"/>
          <w:rtl/>
        </w:rPr>
        <w:t xml:space="preserve"> </w:t>
      </w:r>
      <w:proofErr w:type="spellStart"/>
      <w:r>
        <w:rPr>
          <w:sz w:val="20"/>
          <w:szCs w:val="20"/>
          <w:rtl/>
        </w:rPr>
        <w:t>סרנא</w:t>
      </w:r>
      <w:proofErr w:type="spellEnd"/>
      <w:r>
        <w:rPr>
          <w:sz w:val="20"/>
          <w:szCs w:val="20"/>
          <w:rtl/>
        </w:rPr>
        <w:t>) – עמ׳ קנט.</w:t>
      </w:r>
    </w:p>
  </w:footnote>
  <w:footnote w:id="1611">
    <w:p w14:paraId="75D315D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בריאיון ב־28 באפריל 2000 אמר ר׳ חיים, בנו של ר׳ </w:t>
      </w:r>
      <w:proofErr w:type="spellStart"/>
      <w:r>
        <w:rPr>
          <w:sz w:val="20"/>
          <w:szCs w:val="20"/>
          <w:rtl/>
        </w:rPr>
        <w:t>חצקל</w:t>
      </w:r>
      <w:proofErr w:type="spellEnd"/>
      <w:r>
        <w:rPr>
          <w:sz w:val="20"/>
          <w:szCs w:val="20"/>
          <w:rtl/>
        </w:rPr>
        <w:t xml:space="preserve">, שאביו היה מציע את מיטת הסבא לשינה בחצות – ואז היה הסבא </w:t>
      </w:r>
      <w:proofErr w:type="spellStart"/>
      <w:r>
        <w:rPr>
          <w:sz w:val="20"/>
          <w:szCs w:val="20"/>
          <w:rtl/>
        </w:rPr>
        <w:t>מסלבודקה</w:t>
      </w:r>
      <w:proofErr w:type="spellEnd"/>
      <w:r>
        <w:rPr>
          <w:sz w:val="20"/>
          <w:szCs w:val="20"/>
          <w:rtl/>
        </w:rPr>
        <w:t xml:space="preserve"> יושב ומשוחח עמו עד שלוש לפנות בוקר. ר׳ חיים מסר זאת בהקשר לטענתו שאביו היה התלמיד הקרוב ביותר של הסבא, ושר׳ </w:t>
      </w:r>
      <w:proofErr w:type="spellStart"/>
      <w:r>
        <w:rPr>
          <w:sz w:val="20"/>
          <w:szCs w:val="20"/>
          <w:rtl/>
        </w:rPr>
        <w:t>נתן־צבי</w:t>
      </w:r>
      <w:proofErr w:type="spellEnd"/>
      <w:r>
        <w:rPr>
          <w:sz w:val="20"/>
          <w:szCs w:val="20"/>
          <w:rtl/>
        </w:rPr>
        <w:t xml:space="preserve"> אמר לאביו שיש לו “תלמיד וחצי, כשהוא (עצמו) הוא האחד”! (המרואיין לא ידע למי התכוון הסבא </w:t>
      </w:r>
      <w:proofErr w:type="spellStart"/>
      <w:r>
        <w:rPr>
          <w:sz w:val="20"/>
          <w:szCs w:val="20"/>
          <w:rtl/>
        </w:rPr>
        <w:t>ב“חצי</w:t>
      </w:r>
      <w:proofErr w:type="spellEnd"/>
      <w:r>
        <w:rPr>
          <w:sz w:val="20"/>
          <w:szCs w:val="20"/>
          <w:rtl/>
        </w:rPr>
        <w:t xml:space="preserve"> תלמיד”.)</w:t>
      </w:r>
    </w:p>
    <w:p w14:paraId="3DFAE3AE" w14:textId="77777777" w:rsidR="00AB3647" w:rsidRDefault="00000000">
      <w:pPr>
        <w:spacing w:after="0" w:before="0"/>
        <w:jc w:val="both"/>
      </w:pPr>
      <w:r>
        <w:rPr>
          <w:sz w:val="20"/>
          <w:szCs w:val="20"/>
          <w:rtl/>
        </w:rPr>
        <w:t xml:space="preserve">אבל ראה כרך 2, שאבי סבר שתלמידו המובהק של הסבא היה ר׳ אברהם </w:t>
      </w:r>
      <w:proofErr w:type="spellStart"/>
      <w:r>
        <w:rPr>
          <w:sz w:val="20"/>
          <w:szCs w:val="20"/>
          <w:rtl/>
        </w:rPr>
        <w:t>גרודזינסקי</w:t>
      </w:r>
      <w:proofErr w:type="spellEnd"/>
      <w:r>
        <w:rPr>
          <w:sz w:val="20"/>
          <w:szCs w:val="20"/>
          <w:rtl/>
        </w:rPr>
        <w:t xml:space="preserve">, ולא ר׳ </w:t>
      </w:r>
      <w:proofErr w:type="spellStart"/>
      <w:r>
        <w:rPr>
          <w:sz w:val="20"/>
          <w:szCs w:val="20"/>
          <w:rtl/>
        </w:rPr>
        <w:t>חצקל</w:t>
      </w:r>
      <w:proofErr w:type="spellEnd"/>
      <w:r>
        <w:rPr>
          <w:sz w:val="20"/>
          <w:szCs w:val="20"/>
          <w:rtl/>
        </w:rPr>
        <w:t xml:space="preserve">. יתר על כן, אבי תיאר את ר׳ אברהם – שנפטר לפני ר׳ </w:t>
      </w:r>
      <w:proofErr w:type="spellStart"/>
      <w:r>
        <w:rPr>
          <w:sz w:val="20"/>
          <w:szCs w:val="20"/>
          <w:rtl/>
        </w:rPr>
        <w:t>חצקל</w:t>
      </w:r>
      <w:proofErr w:type="spellEnd"/>
      <w:r>
        <w:rPr>
          <w:sz w:val="20"/>
          <w:szCs w:val="20"/>
          <w:rtl/>
        </w:rPr>
        <w:t xml:space="preserve"> – </w:t>
      </w:r>
      <w:proofErr w:type="spellStart"/>
      <w:r>
        <w:rPr>
          <w:sz w:val="20"/>
          <w:szCs w:val="20"/>
          <w:rtl/>
        </w:rPr>
        <w:t>כ“אחרון</w:t>
      </w:r>
      <w:proofErr w:type="spellEnd"/>
      <w:r>
        <w:rPr>
          <w:sz w:val="20"/>
          <w:szCs w:val="20"/>
          <w:rtl/>
        </w:rPr>
        <w:t xml:space="preserve"> </w:t>
      </w:r>
      <w:proofErr w:type="spellStart"/>
      <w:r>
        <w:rPr>
          <w:sz w:val="20"/>
          <w:szCs w:val="20"/>
          <w:rtl/>
        </w:rPr>
        <w:t>המוסרניקים</w:t>
      </w:r>
      <w:proofErr w:type="spellEnd"/>
      <w:r>
        <w:rPr>
          <w:sz w:val="20"/>
          <w:szCs w:val="20"/>
          <w:rtl/>
        </w:rPr>
        <w:t xml:space="preserve">”. והשווה גם פרק 5, הפסקה השנייה בנספח ד: הסבא ראה היתר להוליך שולל אדם אם הדבר משפר את חינוכו, וברוח זו אולי אמר הסבא </w:t>
      </w:r>
      <w:proofErr w:type="spellStart"/>
      <w:r>
        <w:rPr>
          <w:sz w:val="20"/>
          <w:szCs w:val="20"/>
          <w:rtl/>
        </w:rPr>
        <w:t>מסלבודקה</w:t>
      </w:r>
      <w:proofErr w:type="spellEnd"/>
      <w:r>
        <w:rPr>
          <w:sz w:val="20"/>
          <w:szCs w:val="20"/>
          <w:rtl/>
        </w:rPr>
        <w:t xml:space="preserve"> </w:t>
      </w:r>
      <w:proofErr w:type="spellStart"/>
      <w:r>
        <w:rPr>
          <w:sz w:val="20"/>
          <w:szCs w:val="20"/>
          <w:rtl/>
        </w:rPr>
        <w:t>לר</w:t>
      </w:r>
      <w:proofErr w:type="spellEnd"/>
      <w:r>
        <w:rPr>
          <w:sz w:val="20"/>
          <w:szCs w:val="20"/>
          <w:rtl/>
        </w:rPr>
        <w:t xml:space="preserve">׳ </w:t>
      </w:r>
      <w:proofErr w:type="spellStart"/>
      <w:r>
        <w:rPr>
          <w:sz w:val="20"/>
          <w:szCs w:val="20"/>
          <w:rtl/>
        </w:rPr>
        <w:t>חצקל</w:t>
      </w:r>
      <w:proofErr w:type="spellEnd"/>
      <w:r>
        <w:rPr>
          <w:sz w:val="20"/>
          <w:szCs w:val="20"/>
          <w:rtl/>
        </w:rPr>
        <w:t xml:space="preserve"> שהוא תלמידו המלא היחיד.</w:t>
      </w:r>
    </w:p>
  </w:footnote>
  <w:footnote w:id="1612">
    <w:p w14:paraId="5CFD51C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300.</w:t>
      </w:r>
    </w:p>
  </w:footnote>
  <w:footnote w:id="1613">
    <w:p w14:paraId="7D36B7F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5, הערה 28.</w:t>
      </w:r>
    </w:p>
  </w:footnote>
  <w:footnote w:id="1614">
    <w:p w14:paraId="373BC6C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בריאיון המוקלט עם ר׳ </w:t>
      </w:r>
      <w:proofErr w:type="spellStart"/>
      <w:r>
        <w:rPr>
          <w:sz w:val="20"/>
          <w:szCs w:val="20"/>
          <w:rtl/>
        </w:rPr>
        <w:t>יעקב־יצחק</w:t>
      </w:r>
      <w:proofErr w:type="spellEnd"/>
      <w:r>
        <w:rPr>
          <w:sz w:val="20"/>
          <w:szCs w:val="20"/>
          <w:rtl/>
        </w:rPr>
        <w:t xml:space="preserve"> </w:t>
      </w:r>
      <w:proofErr w:type="spellStart"/>
      <w:r>
        <w:rPr>
          <w:sz w:val="20"/>
          <w:szCs w:val="20"/>
          <w:rtl/>
        </w:rPr>
        <w:t>רודרמן</w:t>
      </w:r>
      <w:proofErr w:type="spellEnd"/>
      <w:r>
        <w:rPr>
          <w:sz w:val="20"/>
          <w:szCs w:val="20"/>
          <w:rtl/>
        </w:rPr>
        <w:t xml:space="preserve"> (פרק 1, הערת שוליים </w:t>
      </w:r>
      <w:r>
        <w:rPr>
          <w:sz w:val="20"/>
          <w:szCs w:val="20"/>
          <w:rtl/>
        </w:rPr>
        <w:fldChar w:fldCharType="begin" w:dirty="true"/>
      </w:r>
      <w:r>
        <w:rPr>
          <w:sz w:val="20"/>
          <w:szCs w:val="20"/>
          <w:rtl/>
        </w:rPr>
        <w:instrText xml:space="preserve"> NOTEREF pr_f_365 \h </w:instrText>
      </w:r>
      <w:r>
        <w:rPr>
          <w:sz w:val="20"/>
          <w:szCs w:val="20"/>
          <w:rtl/>
        </w:rPr>
      </w:r>
      <w:r>
        <w:rPr>
          <w:sz w:val="20"/>
          <w:szCs w:val="20"/>
          <w:rtl/>
        </w:rPr>
        <w:fldChar w:fldCharType="separate"/>
      </w:r>
      <w:r w:rsidR="007923E9">
        <w:rPr>
          <w:sz w:val="20"/>
          <w:szCs w:val="20"/>
          <w:rtl/>
        </w:rPr>
        <w:t>307</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pr_f_365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אמר ר׳ </w:t>
      </w:r>
      <w:proofErr w:type="spellStart"/>
      <w:r>
        <w:rPr>
          <w:sz w:val="20"/>
          <w:szCs w:val="20"/>
          <w:rtl/>
        </w:rPr>
        <w:t>יעקב־יצחק</w:t>
      </w:r>
      <w:proofErr w:type="spellEnd"/>
      <w:r>
        <w:rPr>
          <w:sz w:val="20"/>
          <w:szCs w:val="20"/>
          <w:rtl/>
        </w:rPr>
        <w:t xml:space="preserve"> שבזמן פגישתו היחידה עם ר׳ ישראל בקובנה קנה הסבא כרטיס לרכבת מקובנה לווילנה, שבה נסע ר׳ ישראל, כדי להיות בחברתו זמן רב יותר. אבל השווה פרק 4, הפסקה השנייה בנספח ח: שם מוצע שמקובנה נסע ר׳ ישראל לממל (דרך קלם ואולי שאוול), וילנה הייתה מחוץ לדרכו.</w:t>
      </w:r>
    </w:p>
    <w:p w14:paraId="0B44E675" w14:textId="77777777" w:rsidR="00AB3647" w:rsidRDefault="00000000">
      <w:pPr>
        <w:spacing w:after="0" w:before="0"/>
        <w:jc w:val="both"/>
      </w:pPr>
      <w:r>
        <w:rPr>
          <w:sz w:val="20"/>
          <w:szCs w:val="20"/>
          <w:rtl/>
        </w:rPr>
        <w:t xml:space="preserve">אולי שמע הסבא שר׳ ישראל נמצא בווילנה בדרכו לקובנה, והחליט לנסוע לווילנה וללוות את הרב לקובנה. ראה כץ, “תנועת המוסר”, כרך א, עמ׳ 237, שר׳ ישראל ביקר במינסק ובווילנה באותו קיץ, וכמסופר בפרק 5, הפסקה השביעית בנספח ב, נסע אחר כך לקובנה. ייתכן שהסבא לא הספיק לדבר עם ר׳ ישראל ברכבת (או חש שר׳ ישראל לא יענה לו עד שיתיידד עמו במקצת), ולא הציג את שאלתו עד שהגיעו לקובנה.</w:t>
      </w:r>
    </w:p>
  </w:footnote>
  <w:footnote w:id="1615">
    <w:p w14:paraId="6D49D22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מתוך דברי אגב שאמר רבנו בשיעור הדף היומי (פרק 2, הערה 66).</w:t>
      </w:r>
    </w:p>
  </w:footnote>
  <w:footnote w:id="1616">
    <w:p w14:paraId="440FC5C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יד.</w:t>
      </w:r>
    </w:p>
  </w:footnote>
  <w:footnote w:id="1617">
    <w:p w14:paraId="2C22881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21.</w:t>
      </w:r>
    </w:p>
  </w:footnote>
  <w:footnote w:id="1618">
    <w:p w14:paraId="43CC4B7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נספח </w:t>
      </w:r>
      <w:proofErr w:type="spellStart"/>
      <w:r>
        <w:rPr>
          <w:sz w:val="20"/>
          <w:szCs w:val="20"/>
          <w:rtl/>
        </w:rPr>
        <w:t>יז</w:t>
      </w:r>
      <w:proofErr w:type="spellEnd"/>
      <w:r>
        <w:rPr>
          <w:sz w:val="20"/>
          <w:szCs w:val="20"/>
          <w:rtl/>
        </w:rPr>
        <w:t xml:space="preserve"> להלן.</w:t>
      </w:r>
    </w:p>
  </w:footnote>
  <w:footnote w:id="1619">
    <w:p w14:paraId="0F784EB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הריאיון המוקלט על הסבא </w:t>
      </w:r>
      <w:proofErr w:type="spellStart"/>
      <w:r>
        <w:rPr>
          <w:sz w:val="20"/>
          <w:szCs w:val="20"/>
          <w:rtl/>
        </w:rPr>
        <w:t>מסלבודקה</w:t>
      </w:r>
      <w:proofErr w:type="spellEnd"/>
      <w:r>
        <w:rPr>
          <w:sz w:val="20"/>
          <w:szCs w:val="20"/>
          <w:rtl/>
        </w:rPr>
        <w:t>.</w:t>
      </w:r>
    </w:p>
  </w:footnote>
  <w:footnote w:id="1620">
    <w:p w14:paraId="1571136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הערה 7.</w:t>
      </w:r>
    </w:p>
  </w:footnote>
  <w:footnote w:id="1621">
    <w:p w14:paraId="2E0159F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667.</w:t>
      </w:r>
    </w:p>
  </w:footnote>
  <w:footnote w:id="1622">
    <w:p w14:paraId="04E5178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יב</w:t>
      </w:r>
      <w:proofErr w:type="spellEnd"/>
      <w:r>
        <w:rPr>
          <w:sz w:val="20"/>
          <w:szCs w:val="20"/>
          <w:rtl/>
        </w:rPr>
        <w:t>.</w:t>
      </w:r>
    </w:p>
  </w:footnote>
  <w:footnote w:id="1623">
    <w:p w14:paraId="63C42B6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24 בנובמבר 1991.</w:t>
      </w:r>
    </w:p>
  </w:footnote>
  <w:footnote w:id="1624">
    <w:p w14:paraId="77C1B8F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היה נשוי לאחותה של חמותה של המרואיינת, </w:t>
      </w:r>
      <w:proofErr w:type="spellStart"/>
      <w:r>
        <w:rPr>
          <w:sz w:val="20"/>
          <w:szCs w:val="20"/>
          <w:rtl/>
        </w:rPr>
        <w:t>זלאטה</w:t>
      </w:r>
      <w:proofErr w:type="spellEnd"/>
      <w:r>
        <w:rPr>
          <w:sz w:val="20"/>
          <w:szCs w:val="20"/>
          <w:rtl/>
        </w:rPr>
        <w:t xml:space="preserve"> לבית אפשטיין.</w:t>
      </w:r>
    </w:p>
  </w:footnote>
  <w:footnote w:id="1625">
    <w:p w14:paraId="5DE22F4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היא נאמרה בישיבת רבנו ישראל מאיר הכהן </w:t>
      </w:r>
      <w:proofErr w:type="spellStart"/>
      <w:r>
        <w:rPr>
          <w:sz w:val="20"/>
          <w:szCs w:val="20"/>
          <w:rtl/>
        </w:rPr>
        <w:t>בפורסט</w:t>
      </w:r>
      <w:proofErr w:type="spellEnd"/>
      <w:r>
        <w:rPr>
          <w:sz w:val="20"/>
          <w:szCs w:val="20"/>
          <w:rtl/>
        </w:rPr>
        <w:t xml:space="preserve"> הילס, ניו יורק.</w:t>
      </w:r>
    </w:p>
  </w:footnote>
  <w:footnote w:id="1626">
    <w:p w14:paraId="493BA1C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הקדמה, עמ׳ </w:t>
      </w:r>
      <w:proofErr w:type="spellStart"/>
      <w:r>
        <w:rPr>
          <w:sz w:val="20"/>
          <w:szCs w:val="20"/>
          <w:rtl/>
        </w:rPr>
        <w:t>xiv</w:t>
      </w:r>
      <w:proofErr w:type="spellEnd"/>
      <w:r>
        <w:rPr>
          <w:sz w:val="20"/>
          <w:szCs w:val="20"/>
          <w:rtl/>
        </w:rPr>
        <w:t xml:space="preserve"> – </w:t>
      </w:r>
      <w:proofErr w:type="spellStart"/>
      <w:r>
        <w:rPr>
          <w:sz w:val="20"/>
          <w:szCs w:val="20"/>
          <w:rtl/>
        </w:rPr>
        <w:t>ח״ב</w:t>
      </w:r>
      <w:proofErr w:type="spellEnd"/>
      <w:r>
        <w:rPr>
          <w:sz w:val="20"/>
          <w:szCs w:val="20"/>
          <w:rtl/>
        </w:rPr>
        <w:t xml:space="preserve">, עמ׳ </w:t>
      </w:r>
      <w:proofErr w:type="spellStart"/>
      <w:r>
        <w:rPr>
          <w:sz w:val="20"/>
          <w:szCs w:val="20"/>
          <w:rtl/>
        </w:rPr>
        <w:t>סו</w:t>
      </w:r>
      <w:proofErr w:type="spellEnd"/>
      <w:r>
        <w:rPr>
          <w:sz w:val="20"/>
          <w:szCs w:val="20"/>
          <w:rtl/>
        </w:rPr>
        <w:t xml:space="preserve">, בשם ר׳ מאיר </w:t>
      </w:r>
      <w:proofErr w:type="spellStart"/>
      <w:r>
        <w:rPr>
          <w:sz w:val="20"/>
          <w:szCs w:val="20"/>
          <w:rtl/>
        </w:rPr>
        <w:t>חודוש</w:t>
      </w:r>
      <w:proofErr w:type="spellEnd"/>
      <w:r>
        <w:rPr>
          <w:sz w:val="20"/>
          <w:szCs w:val="20"/>
          <w:rtl/>
        </w:rPr>
        <w:t>.</w:t>
      </w:r>
    </w:p>
  </w:footnote>
  <w:footnote w:id="1627">
    <w:p w14:paraId="0FB984D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13 במרץ 1988.</w:t>
      </w:r>
    </w:p>
  </w:footnote>
  <w:footnote w:id="1628">
    <w:p w14:paraId="5B290AA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שו״ת חיים שאל, סימן ע״א, אות ו.</w:t>
      </w:r>
    </w:p>
  </w:footnote>
  <w:footnote w:id="1629">
    <w:p w14:paraId="5089D85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פורסם בכתבה קצרה </w:t>
      </w:r>
      <w:proofErr w:type="spellStart"/>
      <w:r>
        <w:rPr>
          <w:sz w:val="20"/>
          <w:szCs w:val="20"/>
          <w:rtl/>
        </w:rPr>
        <w:t>ב“יתד</w:t>
      </w:r>
      <w:proofErr w:type="spellEnd"/>
      <w:r>
        <w:rPr>
          <w:sz w:val="20"/>
          <w:szCs w:val="20"/>
          <w:rtl/>
        </w:rPr>
        <w:t xml:space="preserve"> נאמן” שביקשה עזרה באיתור קברו של ר׳ ישראל </w:t>
      </w:r>
      <w:proofErr w:type="spellStart"/>
      <w:r>
        <w:rPr>
          <w:sz w:val="20"/>
          <w:szCs w:val="20"/>
          <w:rtl/>
        </w:rPr>
        <w:t>בקלינינגרד</w:t>
      </w:r>
      <w:proofErr w:type="spellEnd"/>
      <w:r>
        <w:rPr>
          <w:sz w:val="20"/>
          <w:szCs w:val="20"/>
          <w:rtl/>
        </w:rPr>
        <w:t xml:space="preserve"> של ימינו.</w:t>
      </w:r>
    </w:p>
  </w:footnote>
  <w:footnote w:id="1630">
    <w:p w14:paraId="533D8C9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לא ברור לאיזה גוף מאורגן התכוון הכותב: לחברה קדישא, או לבית הכנסת שבו כיהן ר׳ </w:t>
      </w:r>
      <w:proofErr w:type="spellStart"/>
      <w:r>
        <w:rPr>
          <w:sz w:val="20"/>
          <w:szCs w:val="20"/>
          <w:rtl/>
        </w:rPr>
        <w:t>מאיר־לייבוש</w:t>
      </w:r>
      <w:proofErr w:type="spellEnd"/>
      <w:r>
        <w:rPr>
          <w:sz w:val="20"/>
          <w:szCs w:val="20"/>
          <w:rtl/>
        </w:rPr>
        <w:t xml:space="preserve"> </w:t>
      </w:r>
      <w:proofErr w:type="spellStart"/>
      <w:r>
        <w:rPr>
          <w:sz w:val="20"/>
          <w:szCs w:val="20"/>
          <w:rtl/>
        </w:rPr>
        <w:t>וייזר</w:t>
      </w:r>
      <w:proofErr w:type="spellEnd"/>
      <w:r>
        <w:rPr>
          <w:sz w:val="20"/>
          <w:szCs w:val="20"/>
          <w:rtl/>
        </w:rPr>
        <w:t xml:space="preserve">, </w:t>
      </w:r>
      <w:proofErr w:type="spellStart"/>
      <w:r>
        <w:rPr>
          <w:sz w:val="20"/>
          <w:szCs w:val="20"/>
          <w:rtl/>
        </w:rPr>
        <w:t>המלבי״ם</w:t>
      </w:r>
      <w:proofErr w:type="spellEnd"/>
      <w:r>
        <w:rPr>
          <w:sz w:val="20"/>
          <w:szCs w:val="20"/>
          <w:rtl/>
        </w:rPr>
        <w:t xml:space="preserve">, “בערך ארבע השנים האחרונות של חייו” (יעקב מארק, עמ׳ 151), עד שנפטר בשנת תר״מ, ושר׳ ישראל נקרא לחזקו בחודשי חייו האחרונים – ראה </w:t>
      </w:r>
      <w:proofErr w:type="spellStart"/>
      <w:r>
        <w:rPr>
          <w:sz w:val="20"/>
          <w:szCs w:val="20"/>
          <w:rtl/>
        </w:rPr>
        <w:t>אטקס</w:t>
      </w:r>
      <w:proofErr w:type="spellEnd"/>
      <w:r>
        <w:rPr>
          <w:sz w:val="20"/>
          <w:szCs w:val="20"/>
          <w:rtl/>
        </w:rPr>
        <w:t xml:space="preserve">, “ר׳ ישראל </w:t>
      </w:r>
      <w:proofErr w:type="spellStart"/>
      <w:r>
        <w:rPr>
          <w:sz w:val="20"/>
          <w:szCs w:val="20"/>
          <w:rtl/>
        </w:rPr>
        <w:t>סלנטר</w:t>
      </w:r>
      <w:proofErr w:type="spellEnd"/>
      <w:r>
        <w:rPr>
          <w:sz w:val="20"/>
          <w:szCs w:val="20"/>
          <w:rtl/>
        </w:rPr>
        <w:t xml:space="preserve"> וראשיתה של תנועת המוסר”, עמ׳ 270 והערה 62 שם.</w:t>
      </w:r>
    </w:p>
  </w:footnote>
  <w:footnote w:id="1631">
    <w:p w14:paraId="7B47A13F"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בשנת תרנ״א חל יום ג׳ לסדר פקודי בל׳ באדר א׳. כ״ג באדר א׳ הוא יום ג׳ לסדר </w:t>
      </w:r>
      <w:proofErr w:type="spellStart"/>
      <w:r>
        <w:rPr>
          <w:sz w:val="20"/>
          <w:szCs w:val="20"/>
          <w:rtl/>
        </w:rPr>
        <w:t>ויקהל</w:t>
      </w:r>
      <w:proofErr w:type="spellEnd"/>
      <w:r>
        <w:rPr>
          <w:sz w:val="20"/>
          <w:szCs w:val="20"/>
          <w:rtl/>
        </w:rPr>
        <w:t>.</w:t>
      </w:r>
    </w:p>
  </w:footnote>
  <w:footnote w:id="1632">
    <w:p w14:paraId="0601DBA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מרדכי צוקרמן (ראה הערה 17 לעיל) הציע הצעה נועזת: ר׳ ישראל עזב את ליטא כדי שלא להאפיל על תלמידיו, וכדי לאפשר </w:t>
      </w:r>
      <w:r>
        <w:rPr>
          <w:b/>
          <w:bCs/>
          <w:sz w:val="20"/>
          <w:szCs w:val="20"/>
          <w:rtl/>
        </w:rPr>
        <w:t>להם</w:t>
      </w:r>
      <w:r>
        <w:rPr>
          <w:sz w:val="20"/>
          <w:szCs w:val="20"/>
          <w:rtl/>
        </w:rPr>
        <w:t xml:space="preserve"> להטביע את חותמם על עולם התורה. ועיין רש״י חולין ריש ז׳ ע״א ד״ה מקום הניחו. ר׳ מרדכי צוקרמן היה קרוב מאוד לגיסו של אבי, ר׳ אברהם </w:t>
      </w:r>
      <w:proofErr w:type="spellStart"/>
      <w:r>
        <w:rPr>
          <w:sz w:val="20"/>
          <w:szCs w:val="20"/>
          <w:rtl/>
        </w:rPr>
        <w:t>גרודזינסקי</w:t>
      </w:r>
      <w:proofErr w:type="spellEnd"/>
      <w:r>
        <w:rPr>
          <w:sz w:val="20"/>
          <w:szCs w:val="20"/>
          <w:rtl/>
        </w:rPr>
        <w:t xml:space="preserve">, בגטו </w:t>
      </w:r>
      <w:proofErr w:type="spellStart"/>
      <w:r>
        <w:rPr>
          <w:sz w:val="20"/>
          <w:szCs w:val="20"/>
          <w:rtl/>
        </w:rPr>
        <w:t>סלבודקה</w:t>
      </w:r>
      <w:proofErr w:type="spellEnd"/>
      <w:r>
        <w:rPr>
          <w:sz w:val="20"/>
          <w:szCs w:val="20"/>
          <w:rtl/>
        </w:rPr>
        <w:t>, ובילה עמו שעה בכל יום במשך שלוש שנים.</w:t>
      </w:r>
    </w:p>
    <w:p w14:paraId="105499EB" w14:textId="77777777" w:rsidR="00AB3647" w:rsidRDefault="00000000">
      <w:pPr>
        <w:spacing w:after="0" w:before="0"/>
        <w:jc w:val="both"/>
      </w:pPr>
      <w:r>
        <w:rPr>
          <w:sz w:val="20"/>
          <w:szCs w:val="20"/>
          <w:rtl/>
        </w:rPr>
        <w:t xml:space="preserve">יש לשער שהקשר של ר׳ מרדכי עם ר׳ אברהם – שאבי תיארו כאחרון בעלי המוסר – הוא שהביא אותו לתאר את ר׳ ישראל </w:t>
      </w:r>
      <w:proofErr w:type="spellStart"/>
      <w:r>
        <w:rPr>
          <w:sz w:val="20"/>
          <w:szCs w:val="20"/>
          <w:rtl/>
        </w:rPr>
        <w:t>סלנטר</w:t>
      </w:r>
      <w:proofErr w:type="spellEnd"/>
      <w:r>
        <w:rPr>
          <w:sz w:val="20"/>
          <w:szCs w:val="20"/>
          <w:rtl/>
        </w:rPr>
        <w:t xml:space="preserve"> כמי שמוותר על עצמו למען זולתו במידה שקשה להאמין. השווה גם פרק 5, סוף נספח ב: ר׳ אברהם הרבה מאוד לדבר על ר׳ ישראל. והשווה גם תחילת הפסקה השנייה בנספח </w:t>
      </w:r>
      <w:proofErr w:type="spellStart"/>
      <w:r>
        <w:rPr>
          <w:sz w:val="20"/>
          <w:szCs w:val="20"/>
          <w:rtl/>
        </w:rPr>
        <w:t>כו</w:t>
      </w:r>
      <w:proofErr w:type="spellEnd"/>
      <w:r>
        <w:rPr>
          <w:sz w:val="20"/>
          <w:szCs w:val="20"/>
          <w:rtl/>
        </w:rPr>
        <w:t xml:space="preserve"> להלן, כיצד הגדיר ר׳ ישראל את החסיד האמיתי: מי שמקריב את התקדמותו הרוחנית שלו למען התקדמותו של אחר. מימרה זו של ר׳ ישראל מקרבת את הצעתו של ר׳ מרדכי צוקרמן אל הדעת, אף שאין לה ראיה.</w:t>
      </w:r>
    </w:p>
  </w:footnote>
  <w:footnote w:id="1633">
    <w:p w14:paraId="18A196B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 הפסקה השנייה בנספח ז.</w:t>
      </w:r>
    </w:p>
  </w:footnote>
  <w:footnote w:id="1634">
    <w:p w14:paraId="0A1F321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נספח א לעיל.</w:t>
      </w:r>
    </w:p>
  </w:footnote>
  <w:footnote w:id="1635">
    <w:p w14:paraId="69D04BE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המילה “מקצה”, במובנה הפשוט – כמודגש – אינה יכולה לרמוז לברלין, מקום מגוריו של לחמן, שכן בגרמניה של אותה תקופה שכנה ברלין במרכז הארץ. יש לנו כאן אפוא מקרה נוסף שבו מתואר לחמן כמי שבא מהמבורג, עיר שבקצה המערבי של גרמניה – השווה הפסקה הראשונה בנספח א לעיל, ופרק 4, סוף נספח ז. (אפשר לפרש את המילה “מקצה” גם “מן המרחק”, אם כי פירוש זה אינו רגיל.)</w:t>
      </w:r>
    </w:p>
  </w:footnote>
  <w:footnote w:id="1636">
    <w:p w14:paraId="76FCD0A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ב לעיל – עמ׳ נח–114.</w:t>
      </w:r>
    </w:p>
  </w:footnote>
  <w:footnote w:id="1637">
    <w:p w14:paraId="5BDE956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 בספטמבר 1993.</w:t>
      </w:r>
    </w:p>
  </w:footnote>
  <w:footnote w:id="1638">
    <w:p w14:paraId="0516635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במדבר </w:t>
      </w:r>
      <w:proofErr w:type="spellStart"/>
      <w:r>
        <w:rPr>
          <w:sz w:val="20"/>
          <w:szCs w:val="20"/>
          <w:rtl/>
        </w:rPr>
        <w:t>יב</w:t>
      </w:r>
      <w:proofErr w:type="spellEnd"/>
      <w:r>
        <w:rPr>
          <w:sz w:val="20"/>
          <w:szCs w:val="20"/>
          <w:rtl/>
        </w:rPr>
        <w:t>, ג.</w:t>
      </w:r>
    </w:p>
  </w:footnote>
  <w:footnote w:id="1639">
    <w:p w14:paraId="46EEC38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1, תחילת הפסקה השנייה של נספח ב.</w:t>
      </w:r>
    </w:p>
  </w:footnote>
  <w:footnote w:id="1640">
    <w:p w14:paraId="50D0A6C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כרך 2 לפרטים חשובים בעניין זה.</w:t>
      </w:r>
    </w:p>
  </w:footnote>
  <w:footnote w:id="1641">
    <w:p w14:paraId="6F9A0C3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10 במרץ 1999.</w:t>
      </w:r>
    </w:p>
  </w:footnote>
  <w:footnote w:id="1642">
    <w:p w14:paraId="03D436A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ב־9 בנובמבר 1996 סיפר ר׳ משה </w:t>
      </w:r>
      <w:proofErr w:type="spellStart"/>
      <w:r>
        <w:rPr>
          <w:sz w:val="20"/>
          <w:szCs w:val="20"/>
          <w:rtl/>
        </w:rPr>
        <w:t>דבורץ</w:t>
      </w:r>
      <w:proofErr w:type="spellEnd"/>
      <w:r>
        <w:rPr>
          <w:sz w:val="20"/>
          <w:szCs w:val="20"/>
          <w:rtl/>
        </w:rPr>
        <w:t xml:space="preserve"> ששמע זאת מאבי בפגישה בנתניה.</w:t>
      </w:r>
    </w:p>
  </w:footnote>
  <w:footnote w:id="1643">
    <w:p w14:paraId="7F40C0C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3 בנובמבר 1995.</w:t>
      </w:r>
    </w:p>
  </w:footnote>
  <w:footnote w:id="1644">
    <w:p w14:paraId="7230DA5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12 בינואר 1988.</w:t>
      </w:r>
    </w:p>
  </w:footnote>
  <w:footnote w:id="1645">
    <w:p w14:paraId="573587E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אפשר לתרגם מיידיש את החלק השני של המשפט האחרון של ר׳ אהרן גם כך: הוא תמיד חשב שכשרונו פחות ממה שהיה באמת.</w:t>
      </w:r>
    </w:p>
  </w:footnote>
  <w:footnote w:id="1646">
    <w:p w14:paraId="3BACC28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7 בנובמבר 1987.</w:t>
      </w:r>
    </w:p>
  </w:footnote>
  <w:footnote w:id="1647">
    <w:p w14:paraId="6DB0762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2, הערות 1 ו־11.</w:t>
      </w:r>
    </w:p>
  </w:footnote>
  <w:footnote w:id="1648">
    <w:p w14:paraId="25B2D68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w:t>
      </w:r>
      <w:proofErr w:type="spellStart"/>
      <w:r>
        <w:rPr>
          <w:sz w:val="20"/>
          <w:szCs w:val="20"/>
          <w:rtl/>
        </w:rPr>
        <w:t>שו״ע</w:t>
      </w:r>
      <w:proofErr w:type="spellEnd"/>
      <w:r>
        <w:rPr>
          <w:sz w:val="20"/>
          <w:szCs w:val="20"/>
          <w:rtl/>
        </w:rPr>
        <w:t xml:space="preserve"> יו״ד סי׳ רמ״ב ס״ד.</w:t>
      </w:r>
    </w:p>
  </w:footnote>
  <w:footnote w:id="1649">
    <w:p w14:paraId="58DD7AD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14 בינואר 1988.</w:t>
      </w:r>
    </w:p>
  </w:footnote>
  <w:footnote w:id="1650">
    <w:p w14:paraId="43BF97D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6 לעיל – עמ׳ 131–133.</w:t>
      </w:r>
    </w:p>
  </w:footnote>
  <w:footnote w:id="1651">
    <w:p w14:paraId="2830593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לא נקראו פרושים רק משום שנשותיהם (וילדיהם) לא היו עמם אלא בבתי חותניהם.</w:t>
      </w:r>
    </w:p>
  </w:footnote>
  <w:footnote w:id="1652">
    <w:p w14:paraId="61DA509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132.</w:t>
      </w:r>
    </w:p>
  </w:footnote>
  <w:footnote w:id="1653">
    <w:p w14:paraId="0F53907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6 לעיל.</w:t>
      </w:r>
    </w:p>
  </w:footnote>
  <w:footnote w:id="1654">
    <w:p w14:paraId="13DB1C7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נספח ח להלן, ופרק 4, הערה 8. והשווה גם הפסקה השלישית בנספח יד להלן, על דאגתו של הרב </w:t>
      </w:r>
      <w:proofErr w:type="spellStart"/>
      <w:r>
        <w:rPr>
          <w:sz w:val="20"/>
          <w:szCs w:val="20"/>
          <w:rtl/>
        </w:rPr>
        <w:t>שטרנפלד</w:t>
      </w:r>
      <w:proofErr w:type="spellEnd"/>
      <w:r>
        <w:rPr>
          <w:sz w:val="20"/>
          <w:szCs w:val="20"/>
          <w:rtl/>
        </w:rPr>
        <w:t xml:space="preserve"> לשלום ישיבת </w:t>
      </w:r>
      <w:proofErr w:type="spellStart"/>
      <w:r>
        <w:rPr>
          <w:sz w:val="20"/>
          <w:szCs w:val="20"/>
          <w:rtl/>
        </w:rPr>
        <w:t>וולוז׳ין</w:t>
      </w:r>
      <w:proofErr w:type="spellEnd"/>
      <w:r>
        <w:rPr>
          <w:sz w:val="20"/>
          <w:szCs w:val="20"/>
          <w:rtl/>
        </w:rPr>
        <w:t xml:space="preserve"> שמונה שנים לאחר מכן.</w:t>
      </w:r>
    </w:p>
  </w:footnote>
  <w:footnote w:id="1655">
    <w:p w14:paraId="57E01A9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21–22.</w:t>
      </w:r>
    </w:p>
  </w:footnote>
  <w:footnote w:id="1656">
    <w:p w14:paraId="4B69A58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זה ניכר </w:t>
      </w:r>
      <w:proofErr w:type="spellStart"/>
      <w:r>
        <w:rPr>
          <w:sz w:val="20"/>
          <w:szCs w:val="20"/>
          <w:rtl/>
        </w:rPr>
        <w:t>ב“זכרון</w:t>
      </w:r>
      <w:proofErr w:type="spellEnd"/>
      <w:r>
        <w:rPr>
          <w:sz w:val="20"/>
          <w:szCs w:val="20"/>
          <w:rtl/>
        </w:rPr>
        <w:t xml:space="preserve"> יעקב”, כרך ג, הפסקה האחרונה בעמ׳ 224. והשווה גם שם, עמ׳ 125: המחבר, ר׳ יעקב הלוי ליפשיץ, לא היה נוח לו להיענות לבקשת ר׳ ישראל </w:t>
      </w:r>
      <w:proofErr w:type="spellStart"/>
      <w:r>
        <w:rPr>
          <w:sz w:val="20"/>
          <w:szCs w:val="20"/>
          <w:rtl/>
        </w:rPr>
        <w:t>סלנטר</w:t>
      </w:r>
      <w:proofErr w:type="spellEnd"/>
      <w:r>
        <w:rPr>
          <w:sz w:val="20"/>
          <w:szCs w:val="20"/>
          <w:rtl/>
        </w:rPr>
        <w:t xml:space="preserve"> לבוא לראותו, לאחר שר׳ ישראל נעדר מקובנה </w:t>
      </w:r>
      <w:proofErr w:type="spellStart"/>
      <w:r>
        <w:rPr>
          <w:sz w:val="20"/>
          <w:szCs w:val="20"/>
          <w:rtl/>
        </w:rPr>
        <w:t>שתים־עשרה</w:t>
      </w:r>
      <w:proofErr w:type="spellEnd"/>
      <w:r>
        <w:rPr>
          <w:sz w:val="20"/>
          <w:szCs w:val="20"/>
          <w:rtl/>
        </w:rPr>
        <w:t xml:space="preserve"> שנה, “משום שחשש (ליפשיץ) שקוראים לו בגלל התנגדותו לכך שתלמידי ר׳ ישראל יכניסו את המוסר לכולל בכוח”.</w:t>
      </w:r>
    </w:p>
  </w:footnote>
  <w:footnote w:id="1657">
    <w:p w14:paraId="2F009B4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289–291.</w:t>
      </w:r>
    </w:p>
  </w:footnote>
  <w:footnote w:id="1658">
    <w:p w14:paraId="45523EE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כ״א בשבט תרמ״ה.</w:t>
      </w:r>
    </w:p>
  </w:footnote>
  <w:footnote w:id="1659">
    <w:p w14:paraId="7F43CF4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תפילת “מי שברך” שאחרי קריאת התורה נזכרת כאמצעי להכרזה על הנדבות.</w:t>
      </w:r>
    </w:p>
  </w:footnote>
  <w:footnote w:id="1660">
    <w:p w14:paraId="67749D5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לא ברור מן המשפט הזה אם אלה </w:t>
      </w:r>
      <w:proofErr w:type="spellStart"/>
      <w:r>
        <w:rPr>
          <w:sz w:val="20"/>
          <w:szCs w:val="20"/>
          <w:rtl/>
        </w:rPr>
        <w:t>ש“אוספים</w:t>
      </w:r>
      <w:proofErr w:type="spellEnd"/>
      <w:r>
        <w:rPr>
          <w:sz w:val="20"/>
          <w:szCs w:val="20"/>
          <w:rtl/>
        </w:rPr>
        <w:t xml:space="preserve"> נדבות... לכולל פרושים” היו משולחים מקצועיים או מתנדבים מבין התושבים המקומיים, אבל מהקשר המשפט הבא של הכותב עולה שכוונתו למשולחים מקצועיים.</w:t>
      </w:r>
    </w:p>
  </w:footnote>
  <w:footnote w:id="1661">
    <w:p w14:paraId="7FC4902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3 באפריל 1996.</w:t>
      </w:r>
    </w:p>
  </w:footnote>
  <w:footnote w:id="1662">
    <w:p w14:paraId="32DA426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יצא לאור בברוקלין, </w:t>
      </w:r>
      <w:proofErr w:type="spellStart"/>
      <w:r>
        <w:rPr>
          <w:sz w:val="20"/>
          <w:szCs w:val="20"/>
          <w:rtl/>
        </w:rPr>
        <w:t xml:space="preserve">ניו יורק</w:t>
      </w:r>
      <w:proofErr w:type="spellEnd"/>
      <w:r>
        <w:rPr>
          <w:sz w:val="20"/>
          <w:szCs w:val="20"/>
          <w:rtl/>
        </w:rPr>
        <w:t xml:space="preserve"/>
      </w:r>
      <w:proofErr w:type="spellStart"/>
      <w:r>
        <w:rPr>
          <w:sz w:val="20"/>
          <w:szCs w:val="20"/>
          <w:rtl/>
        </w:rPr>
        <w:t xml:space="preserve"/>
      </w:r>
      <w:proofErr w:type="spellEnd"/>
      <w:r>
        <w:rPr>
          <w:sz w:val="20"/>
          <w:szCs w:val="20"/>
          <w:rtl/>
        </w:rPr>
        <w:t xml:space="preserve">, תשנ״ב – עמ׳ </w:t>
      </w:r>
      <w:proofErr w:type="spellStart"/>
      <w:r>
        <w:rPr>
          <w:sz w:val="20"/>
          <w:szCs w:val="20"/>
          <w:rtl/>
        </w:rPr>
        <w:t>תנח</w:t>
      </w:r>
      <w:proofErr w:type="spellEnd"/>
      <w:r>
        <w:rPr>
          <w:sz w:val="20"/>
          <w:szCs w:val="20"/>
          <w:rtl/>
        </w:rPr>
        <w:t>.</w:t>
      </w:r>
    </w:p>
  </w:footnote>
  <w:footnote w:id="1663">
    <w:p w14:paraId="7A32C33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הוצאת אוניברסיטת </w:t>
      </w:r>
      <w:proofErr w:type="spellStart"/>
      <w:r>
        <w:rPr>
          <w:sz w:val="20"/>
          <w:szCs w:val="20"/>
          <w:rtl/>
        </w:rPr>
        <w:t>בר־אילן</w:t>
      </w:r>
      <w:proofErr w:type="spellEnd"/>
      <w:r>
        <w:rPr>
          <w:sz w:val="20"/>
          <w:szCs w:val="20"/>
          <w:rtl/>
        </w:rPr>
        <w:t>, תשמ״ח – עמ׳ 23.</w:t>
      </w:r>
    </w:p>
  </w:footnote>
  <w:footnote w:id="1664">
    <w:p w14:paraId="0878AFC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נמסר בידי צאצאיו של משולח של ישיבת </w:t>
      </w:r>
      <w:proofErr w:type="spellStart"/>
      <w:r>
        <w:rPr>
          <w:sz w:val="20"/>
          <w:szCs w:val="20"/>
          <w:rtl/>
        </w:rPr>
        <w:t>מיר</w:t>
      </w:r>
      <w:proofErr w:type="spellEnd"/>
      <w:r>
        <w:rPr>
          <w:sz w:val="20"/>
          <w:szCs w:val="20"/>
          <w:rtl/>
        </w:rPr>
        <w:t xml:space="preserve">, ר׳ ישראל </w:t>
      </w:r>
      <w:proofErr w:type="spellStart"/>
      <w:r>
        <w:rPr>
          <w:sz w:val="20"/>
          <w:szCs w:val="20"/>
          <w:rtl/>
        </w:rPr>
        <w:t>הירשוביץ</w:t>
      </w:r>
      <w:proofErr w:type="spellEnd"/>
      <w:r>
        <w:rPr>
          <w:sz w:val="20"/>
          <w:szCs w:val="20"/>
          <w:rtl/>
        </w:rPr>
        <w:t xml:space="preserve">, ונדפס </w:t>
      </w:r>
      <w:proofErr w:type="spellStart"/>
      <w:r>
        <w:rPr>
          <w:sz w:val="20"/>
          <w:szCs w:val="20"/>
          <w:rtl/>
        </w:rPr>
        <w:t>ב“ויעל</w:t>
      </w:r>
      <w:proofErr w:type="spellEnd"/>
      <w:r>
        <w:rPr>
          <w:sz w:val="20"/>
          <w:szCs w:val="20"/>
          <w:rtl/>
        </w:rPr>
        <w:t xml:space="preserve"> אליהו”, ספר זיכרון </w:t>
      </w:r>
      <w:proofErr w:type="spellStart"/>
      <w:r>
        <w:rPr>
          <w:sz w:val="20"/>
          <w:szCs w:val="20"/>
          <w:rtl/>
        </w:rPr>
        <w:t>להבחור</w:t>
      </w:r>
      <w:proofErr w:type="spellEnd"/>
      <w:r>
        <w:rPr>
          <w:sz w:val="20"/>
          <w:szCs w:val="20"/>
          <w:rtl/>
        </w:rPr>
        <w:t xml:space="preserve"> הנעלה חיים אליהו מנחם ג׳י, ז״ל (לונדון, </w:t>
      </w:r>
      <w:proofErr w:type="spellStart"/>
      <w:r>
        <w:rPr>
          <w:sz w:val="20"/>
          <w:szCs w:val="20"/>
          <w:rtl/>
        </w:rPr>
        <w:t>תנש״א</w:t>
      </w:r>
      <w:proofErr w:type="spellEnd"/>
      <w:r>
        <w:rPr>
          <w:sz w:val="20"/>
          <w:szCs w:val="20"/>
          <w:rtl/>
        </w:rPr>
        <w:t xml:space="preserve">), עמ׳ </w:t>
      </w:r>
      <w:proofErr w:type="spellStart"/>
      <w:r>
        <w:rPr>
          <w:sz w:val="20"/>
          <w:szCs w:val="20"/>
          <w:rtl/>
        </w:rPr>
        <w:t>רכג</w:t>
      </w:r>
      <w:proofErr w:type="spellEnd"/>
      <w:r>
        <w:rPr>
          <w:sz w:val="20"/>
          <w:szCs w:val="20"/>
          <w:rtl/>
        </w:rPr>
        <w:t>.</w:t>
      </w:r>
    </w:p>
  </w:footnote>
  <w:footnote w:id="1665">
    <w:p w14:paraId="18FB931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4 ביולי 1997.</w:t>
      </w:r>
    </w:p>
  </w:footnote>
  <w:footnote w:id="1666">
    <w:p w14:paraId="0646F5F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כשנסגרה </w:t>
      </w:r>
      <w:proofErr w:type="spellStart"/>
      <w:r>
        <w:rPr>
          <w:sz w:val="20"/>
          <w:szCs w:val="20"/>
          <w:rtl/>
        </w:rPr>
        <w:t>וולוז׳ין</w:t>
      </w:r>
      <w:proofErr w:type="spellEnd"/>
      <w:r>
        <w:rPr>
          <w:sz w:val="20"/>
          <w:szCs w:val="20"/>
          <w:rtl/>
        </w:rPr>
        <w:t xml:space="preserve"> החליט ר׳ </w:t>
      </w:r>
      <w:proofErr w:type="spellStart"/>
      <w:r>
        <w:rPr>
          <w:sz w:val="20"/>
          <w:szCs w:val="20"/>
          <w:rtl/>
        </w:rPr>
        <w:t>שלום־אליעזר</w:t>
      </w:r>
      <w:proofErr w:type="spellEnd"/>
      <w:r>
        <w:rPr>
          <w:sz w:val="20"/>
          <w:szCs w:val="20"/>
          <w:rtl/>
        </w:rPr>
        <w:t xml:space="preserve"> להישאר בארצות הברית ולפתוח בית כנסת על שם הגאון מווילנה ברחוב </w:t>
      </w:r>
      <w:proofErr w:type="spellStart"/>
      <w:r>
        <w:rPr>
          <w:sz w:val="20"/>
          <w:szCs w:val="20"/>
          <w:rtl/>
        </w:rPr>
        <w:t>קווינסי</w:t>
      </w:r>
      <w:proofErr w:type="spellEnd"/>
      <w:r>
        <w:rPr>
          <w:sz w:val="20"/>
          <w:szCs w:val="20"/>
          <w:rtl/>
        </w:rPr>
        <w:t xml:space="preserve"> בברוקלין.</w:t>
      </w:r>
    </w:p>
  </w:footnote>
  <w:footnote w:id="1667">
    <w:p w14:paraId="6B56839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המילה השנייה בכינוי, “</w:t>
      </w:r>
      <w:proofErr w:type="spellStart"/>
      <w:r>
        <w:rPr>
          <w:sz w:val="20"/>
          <w:szCs w:val="20"/>
          <w:rtl/>
        </w:rPr>
        <w:t>אדרעי</w:t>
      </w:r>
      <w:proofErr w:type="spellEnd"/>
      <w:r>
        <w:rPr>
          <w:sz w:val="20"/>
          <w:szCs w:val="20"/>
          <w:rtl/>
        </w:rPr>
        <w:t xml:space="preserve">”, בירת ממלכת עוג מלך הבשן במקרא (במדבר </w:t>
      </w:r>
      <w:proofErr w:type="spellStart"/>
      <w:r>
        <w:rPr>
          <w:sz w:val="20"/>
          <w:szCs w:val="20"/>
          <w:rtl/>
        </w:rPr>
        <w:t>כא</w:t>
      </w:r>
      <w:proofErr w:type="spellEnd"/>
      <w:r>
        <w:rPr>
          <w:sz w:val="20"/>
          <w:szCs w:val="20"/>
          <w:rtl/>
        </w:rPr>
        <w:t xml:space="preserve">, לג ועוד), מסווה את עיר הולדתו של המחבר, </w:t>
      </w:r>
      <w:proofErr w:type="spellStart"/>
      <w:r>
        <w:rPr>
          <w:sz w:val="20"/>
          <w:szCs w:val="20"/>
          <w:rtl/>
        </w:rPr>
        <w:t>דרויה</w:t>
      </w:r>
      <w:proofErr w:type="spellEnd"/>
      <w:r>
        <w:rPr>
          <w:sz w:val="20"/>
          <w:szCs w:val="20"/>
          <w:rtl/>
        </w:rPr>
        <w:t xml:space="preserve">, סמוך לווילנה.</w:t>
      </w:r>
    </w:p>
  </w:footnote>
  <w:footnote w:id="1668">
    <w:p w14:paraId="7103B5B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נקרא “מאסף ספרותי”, ויצא לאור </w:t>
      </w:r>
      <w:proofErr w:type="spellStart"/>
      <w:r>
        <w:rPr>
          <w:sz w:val="20"/>
          <w:szCs w:val="20"/>
          <w:rtl/>
        </w:rPr>
        <w:t>בברדיטשוב</w:t>
      </w:r>
      <w:proofErr w:type="spellEnd"/>
      <w:r>
        <w:rPr>
          <w:sz w:val="20"/>
          <w:szCs w:val="20"/>
          <w:rtl/>
        </w:rPr>
        <w:t xml:space="preserve"> בשנת תרנ״ה (להלן: “תלפיות [תרנ״ה]”).</w:t>
      </w:r>
    </w:p>
  </w:footnote>
  <w:footnote w:id="1669">
    <w:p w14:paraId="365EF03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הכותב חותם את המשפט בקריאה הצינית “שיטה נפלאה!”.</w:t>
      </w:r>
    </w:p>
  </w:footnote>
  <w:footnote w:id="1670">
    <w:p w14:paraId="73334E5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הערה 20 לעיל.</w:t>
      </w:r>
    </w:p>
  </w:footnote>
  <w:footnote w:id="1671">
    <w:p w14:paraId="12524FC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זה מובא בפרק 5, באמצע הפסקה הראשונה בנספח ו.</w:t>
      </w:r>
    </w:p>
  </w:footnote>
  <w:footnote w:id="1672">
    <w:p w14:paraId="7ACC5BC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בתארו את תלמידי ישיבת </w:t>
      </w:r>
      <w:proofErr w:type="spellStart"/>
      <w:r>
        <w:rPr>
          <w:sz w:val="20"/>
          <w:szCs w:val="20"/>
          <w:rtl/>
        </w:rPr>
        <w:t>וולוז׳ין</w:t>
      </w:r>
      <w:proofErr w:type="spellEnd"/>
      <w:r>
        <w:rPr>
          <w:sz w:val="20"/>
          <w:szCs w:val="20"/>
          <w:rtl/>
        </w:rPr>
        <w:t xml:space="preserve"> הוא אומר: “כותב הטורים האלה נמנה עמהם”. ראה גם פרק 4, הערה 67, וספרו של </w:t>
      </w:r>
      <w:proofErr w:type="spellStart"/>
      <w:r>
        <w:rPr>
          <w:sz w:val="20"/>
          <w:szCs w:val="20"/>
          <w:rtl/>
        </w:rPr>
        <w:t>דרויאנוב</w:t>
      </w:r>
      <w:proofErr w:type="spellEnd"/>
      <w:r>
        <w:rPr>
          <w:sz w:val="20"/>
          <w:szCs w:val="20"/>
          <w:rtl/>
        </w:rPr>
        <w:t xml:space="preserve"> “ספר הבדיחה והחידוד”, כרך ג׳ (דביר, תרצ״ח), עמ׳ 402–403: שם הוא מספר שלמד </w:t>
      </w:r>
      <w:proofErr w:type="spellStart"/>
      <w:r>
        <w:rPr>
          <w:sz w:val="20"/>
          <w:szCs w:val="20"/>
          <w:rtl/>
        </w:rPr>
        <w:t>בוולוז׳ין</w:t>
      </w:r>
      <w:proofErr w:type="spellEnd"/>
      <w:r>
        <w:rPr>
          <w:sz w:val="20"/>
          <w:szCs w:val="20"/>
          <w:rtl/>
        </w:rPr>
        <w:t xml:space="preserve"> בסוף שנות </w:t>
      </w:r>
      <w:proofErr w:type="spellStart"/>
      <w:r>
        <w:rPr>
          <w:sz w:val="20"/>
          <w:szCs w:val="20"/>
          <w:rtl/>
        </w:rPr>
        <w:t>הת״ר־מ</w:t>
      </w:r>
      <w:proofErr w:type="spellEnd"/>
      <w:r>
        <w:rPr>
          <w:sz w:val="20"/>
          <w:szCs w:val="20"/>
          <w:rtl/>
        </w:rPr>
        <w:t>׳, אחיו “22 שנה לפניו”, ואביו עוד 17 שנה קודם לכן, “כ־45 שנה אחרי ייסוד הישיבה”.</w:t>
      </w:r>
    </w:p>
  </w:footnote>
  <w:footnote w:id="1673">
    <w:p w14:paraId="0CEA38F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בערך על </w:t>
      </w:r>
      <w:proofErr w:type="spellStart"/>
      <w:r>
        <w:rPr>
          <w:sz w:val="20"/>
          <w:szCs w:val="20"/>
          <w:rtl/>
        </w:rPr>
        <w:t>דרויאנוב</w:t>
      </w:r>
      <w:proofErr w:type="spellEnd"/>
      <w:r>
        <w:rPr>
          <w:sz w:val="20"/>
          <w:szCs w:val="20"/>
          <w:rtl/>
        </w:rPr>
        <w:t xml:space="preserve"> </w:t>
      </w:r>
      <w:proofErr w:type="spellStart"/>
      <w:r>
        <w:rPr>
          <w:sz w:val="20"/>
          <w:szCs w:val="20"/>
          <w:rtl/>
        </w:rPr>
        <w:t>ב“לכסיקון</w:t>
      </w:r>
      <w:proofErr w:type="spellEnd"/>
      <w:r>
        <w:rPr>
          <w:sz w:val="20"/>
          <w:szCs w:val="20"/>
          <w:rtl/>
        </w:rPr>
        <w:t xml:space="preserve"> הספרות העברית בדורות האחרונים” (ספריית הפועלים, תשכ״ה) של </w:t>
      </w:r>
      <w:proofErr w:type="spellStart"/>
      <w:r>
        <w:rPr>
          <w:sz w:val="20"/>
          <w:szCs w:val="20"/>
          <w:rtl/>
        </w:rPr>
        <w:t>קרסל</w:t>
      </w:r>
      <w:proofErr w:type="spellEnd"/>
      <w:r>
        <w:rPr>
          <w:sz w:val="20"/>
          <w:szCs w:val="20"/>
          <w:rtl/>
        </w:rPr>
        <w:t xml:space="preserve"> אין כל ראיה לכך שביקר אי פעם בקובנה.</w:t>
      </w:r>
    </w:p>
  </w:footnote>
  <w:footnote w:id="1674">
    <w:p w14:paraId="1097200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זיכרונותיו של </w:t>
      </w:r>
      <w:proofErr w:type="spellStart"/>
      <w:r>
        <w:rPr>
          <w:sz w:val="20"/>
          <w:szCs w:val="20"/>
          <w:rtl/>
        </w:rPr>
        <w:t>יהושע־לייב</w:t>
      </w:r>
      <w:proofErr w:type="spellEnd"/>
      <w:r>
        <w:rPr>
          <w:sz w:val="20"/>
          <w:szCs w:val="20"/>
          <w:rtl/>
        </w:rPr>
        <w:t xml:space="preserve"> </w:t>
      </w:r>
      <w:proofErr w:type="spellStart"/>
      <w:r>
        <w:rPr>
          <w:sz w:val="20"/>
          <w:szCs w:val="20"/>
          <w:rtl/>
        </w:rPr>
        <w:t>ראדוס</w:t>
      </w:r>
      <w:proofErr w:type="spellEnd"/>
      <w:r>
        <w:rPr>
          <w:sz w:val="20"/>
          <w:szCs w:val="20"/>
          <w:rtl/>
        </w:rPr>
        <w:t xml:space="preserve"> (נספח ב לעיל), עמ׳ 42 ו־48.</w:t>
      </w:r>
    </w:p>
  </w:footnote>
  <w:footnote w:id="1675">
    <w:p w14:paraId="10B4D2B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מאת הרב דב </w:t>
      </w:r>
      <w:proofErr w:type="spellStart"/>
      <w:r>
        <w:rPr>
          <w:sz w:val="20"/>
          <w:szCs w:val="20"/>
          <w:rtl/>
        </w:rPr>
        <w:t>כ״ץ</w:t>
      </w:r>
      <w:proofErr w:type="spellEnd"/>
      <w:r>
        <w:rPr>
          <w:sz w:val="20"/>
          <w:szCs w:val="20"/>
          <w:rtl/>
        </w:rPr>
        <w:t xml:space="preserve"> (ירושלים, תשל״ב) (להלן: פולמוס המוסר) – עמ׳ 41–50. מספר זה מופיע בעמ׳ 45.</w:t>
      </w:r>
    </w:p>
  </w:footnote>
  <w:footnote w:id="1676">
    <w:p w14:paraId="04054B7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53.</w:t>
      </w:r>
    </w:p>
  </w:footnote>
  <w:footnote w:id="1677">
    <w:p w14:paraId="5A2DE86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הוצאת נצח, תל אביב, </w:t>
      </w:r>
      <w:proofErr w:type="spellStart"/>
      <w:r>
        <w:rPr>
          <w:sz w:val="20"/>
          <w:szCs w:val="20"/>
          <w:rtl/>
        </w:rPr>
        <w:t>התש״ד</w:t>
      </w:r>
      <w:proofErr w:type="spellEnd"/>
      <w:r>
        <w:rPr>
          <w:sz w:val="20"/>
          <w:szCs w:val="20"/>
          <w:rtl/>
        </w:rPr>
        <w:t xml:space="preserve"> – עמ׳ 37.</w:t>
      </w:r>
    </w:p>
  </w:footnote>
  <w:footnote w:id="1678">
    <w:p w14:paraId="2E39AA2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5, הפסקה הרביעית בנספח ו.</w:t>
      </w:r>
    </w:p>
  </w:footnote>
  <w:footnote w:id="1679">
    <w:p w14:paraId="7540B7B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12 לעיל.</w:t>
      </w:r>
    </w:p>
  </w:footnote>
  <w:footnote w:id="1680">
    <w:p w14:paraId="4ED4A76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נדפס שוב </w:t>
      </w:r>
      <w:proofErr w:type="spellStart"/>
      <w:r>
        <w:rPr>
          <w:sz w:val="20"/>
          <w:szCs w:val="20"/>
          <w:rtl/>
        </w:rPr>
        <w:t>ב“הגיון</w:t>
      </w:r>
      <w:proofErr w:type="spellEnd"/>
      <w:r>
        <w:rPr>
          <w:sz w:val="20"/>
          <w:szCs w:val="20"/>
          <w:rtl/>
        </w:rPr>
        <w:t xml:space="preserve"> ישעיה”, “כתבים שחוברו, חודשו ונכתבו בידי הגאון רבי ישעיה... </w:t>
      </w:r>
      <w:proofErr w:type="spellStart"/>
      <w:r>
        <w:rPr>
          <w:sz w:val="20"/>
          <w:szCs w:val="20"/>
          <w:rtl/>
        </w:rPr>
        <w:t>קרלינסקי</w:t>
      </w:r>
      <w:proofErr w:type="spellEnd"/>
      <w:r>
        <w:rPr>
          <w:sz w:val="20"/>
          <w:szCs w:val="20"/>
          <w:rtl/>
        </w:rPr>
        <w:t xml:space="preserve">” (יצא לאור מכתב יד בידי בני המשפחה, ירושלים, תשנ״ט). ראה שם, עמ׳ </w:t>
      </w:r>
      <w:proofErr w:type="spellStart"/>
      <w:r>
        <w:rPr>
          <w:sz w:val="20"/>
          <w:szCs w:val="20"/>
          <w:rtl/>
        </w:rPr>
        <w:t>כב</w:t>
      </w:r>
      <w:proofErr w:type="spellEnd"/>
      <w:r>
        <w:rPr>
          <w:sz w:val="20"/>
          <w:szCs w:val="20"/>
          <w:rtl/>
        </w:rPr>
        <w:t>.</w:t>
      </w:r>
    </w:p>
  </w:footnote>
  <w:footnote w:id="1681">
    <w:p w14:paraId="4F26A54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גם פרטים נוספים על תהליך פתיחתה מחדש של הישיבה בפרק 5, תחילת הפסקה הרביעית בנספח ו.</w:t>
      </w:r>
    </w:p>
  </w:footnote>
  <w:footnote w:id="1682">
    <w:p w14:paraId="189FA1F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החיבור הנזכר בפרק 2, הפסקה השישית בנספח א – עמ׳ 355.</w:t>
      </w:r>
    </w:p>
  </w:footnote>
  <w:footnote w:id="1683">
    <w:p w14:paraId="3F1515F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יצא לאור בידי מרכז זלמן שזר לתולדות ישראל, ירושלים, תשנ״ה (להלן: </w:t>
      </w:r>
      <w:proofErr w:type="spellStart"/>
      <w:r>
        <w:rPr>
          <w:sz w:val="20"/>
          <w:szCs w:val="20"/>
          <w:rtl/>
        </w:rPr>
        <w:t>שטמפפר</w:t>
      </w:r>
      <w:proofErr w:type="spellEnd"/>
      <w:r>
        <w:rPr>
          <w:sz w:val="20"/>
          <w:szCs w:val="20"/>
          <w:rtl/>
        </w:rPr>
        <w:t>) – עמ׳ 217.</w:t>
      </w:r>
    </w:p>
  </w:footnote>
  <w:footnote w:id="1684">
    <w:p w14:paraId="26F75B2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תל אביב תשל״ג – עמ׳ </w:t>
      </w:r>
      <w:proofErr w:type="spellStart"/>
      <w:r>
        <w:rPr>
          <w:sz w:val="20"/>
          <w:szCs w:val="20"/>
          <w:rtl/>
        </w:rPr>
        <w:t>כג</w:t>
      </w:r>
      <w:proofErr w:type="spellEnd"/>
      <w:r>
        <w:rPr>
          <w:sz w:val="20"/>
          <w:szCs w:val="20"/>
          <w:rtl/>
        </w:rPr>
        <w:t>.</w:t>
      </w:r>
    </w:p>
  </w:footnote>
  <w:footnote w:id="1685">
    <w:p w14:paraId="7A718FA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לח, בשם נכדו ר׳ ראובן פיין.</w:t>
      </w:r>
    </w:p>
  </w:footnote>
  <w:footnote w:id="1686">
    <w:p w14:paraId="71A116B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יצא לאור בהוצאת מדרש גבוה לתלמוד “בית זבול”, ירושלים, תשל״א.</w:t>
      </w:r>
    </w:p>
  </w:footnote>
  <w:footnote w:id="1687">
    <w:p w14:paraId="4BF15FE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בתמצית תולדותיו שנרשמה </w:t>
      </w:r>
      <w:proofErr w:type="spellStart"/>
      <w:r>
        <w:rPr>
          <w:sz w:val="20"/>
          <w:szCs w:val="20"/>
          <w:rtl/>
        </w:rPr>
        <w:t>ב“תולדות</w:t>
      </w:r>
      <w:proofErr w:type="spellEnd"/>
      <w:r>
        <w:rPr>
          <w:sz w:val="20"/>
          <w:szCs w:val="20"/>
          <w:rtl/>
        </w:rPr>
        <w:t xml:space="preserve"> אנשי שם”, ניו יורק, תש״י, עמ׳ 110 – וכנראה מסר אותה חתנו, ר׳ </w:t>
      </w:r>
      <w:proofErr w:type="spellStart"/>
      <w:r>
        <w:rPr>
          <w:sz w:val="20"/>
          <w:szCs w:val="20"/>
          <w:rtl/>
        </w:rPr>
        <w:t>יעקב־משה</w:t>
      </w:r>
      <w:proofErr w:type="spellEnd"/>
      <w:r>
        <w:rPr>
          <w:sz w:val="20"/>
          <w:szCs w:val="20"/>
          <w:rtl/>
        </w:rPr>
        <w:t xml:space="preserve"> חרל״פ, כמסופר להלן, עמ׳ </w:t>
      </w:r>
      <w:r>
        <w:rPr>
          <w:sz w:val="20"/>
          <w:szCs w:val="20"/>
          <w:rtl/>
        </w:rPr>
        <w:fldChar w:fldCharType="begin" w:dirty="true"/>
      </w:r>
      <w:r>
        <w:rPr>
          <w:sz w:val="20"/>
          <w:szCs w:val="20"/>
          <w:rtl/>
        </w:rPr>
        <w:instrText xml:space="preserve"> PAGEREF pr_b_1106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 אין נזכר תפקידו </w:t>
      </w:r>
      <w:proofErr w:type="spellStart"/>
      <w:r>
        <w:rPr>
          <w:sz w:val="20"/>
          <w:szCs w:val="20"/>
          <w:rtl/>
        </w:rPr>
        <w:t>בבירז</w:t>
      </w:r>
      <w:proofErr w:type="spellEnd"/>
      <w:r>
        <w:rPr>
          <w:sz w:val="20"/>
          <w:szCs w:val="20"/>
          <w:rtl/>
        </w:rPr>
        <w:t>׳, כנראה מפני שמילא אותו זמן קצר בלבד. “תולדות אנשי שם” (“תולדות אישים מפורסמים”) הוא גרסה אמריקאית, מאחרי מלחמת העולם השנייה, של “</w:t>
      </w:r>
      <w:proofErr w:type="spellStart"/>
      <w:r>
        <w:rPr>
          <w:sz w:val="20"/>
          <w:szCs w:val="20"/>
          <w:rtl/>
        </w:rPr>
        <w:t>אהלי</w:t>
      </w:r>
      <w:proofErr w:type="spellEnd"/>
      <w:r>
        <w:rPr>
          <w:sz w:val="20"/>
          <w:szCs w:val="20"/>
          <w:rtl/>
        </w:rPr>
        <w:t xml:space="preserve"> שם” משנת תרע״ב (ראה פרק 4, הפסקה הרביעית בנספח ט, ובהערת השוליים שם על פרטי הדפסתו של “</w:t>
      </w:r>
      <w:proofErr w:type="spellStart"/>
      <w:r>
        <w:rPr>
          <w:sz w:val="20"/>
          <w:szCs w:val="20"/>
          <w:rtl/>
        </w:rPr>
        <w:t>אהלי</w:t>
      </w:r>
      <w:proofErr w:type="spellEnd"/>
      <w:r>
        <w:rPr>
          <w:sz w:val="20"/>
          <w:szCs w:val="20"/>
          <w:rtl/>
        </w:rPr>
        <w:t xml:space="preserve"> שם”).</w:t>
      </w:r>
    </w:p>
  </w:footnote>
  <w:footnote w:id="1688">
    <w:p w14:paraId="05F89FF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מנוסח מצבתו המובא </w:t>
      </w:r>
      <w:proofErr w:type="spellStart"/>
      <w:r>
        <w:rPr>
          <w:sz w:val="20"/>
          <w:szCs w:val="20"/>
          <w:rtl/>
        </w:rPr>
        <w:t>ב“ארצות</w:t>
      </w:r>
      <w:proofErr w:type="spellEnd"/>
      <w:r>
        <w:rPr>
          <w:sz w:val="20"/>
          <w:szCs w:val="20"/>
          <w:rtl/>
        </w:rPr>
        <w:t xml:space="preserve"> החיים” (החיבור הנזכר בפסקה השלישית בנספח ה), עמ׳ מ, נראה בבירור </w:t>
      </w:r>
      <w:proofErr w:type="spellStart"/>
      <w:r>
        <w:rPr>
          <w:sz w:val="20"/>
          <w:szCs w:val="20"/>
          <w:rtl/>
        </w:rPr>
        <w:t>ש“יוסף</w:t>
      </w:r>
      <w:proofErr w:type="spellEnd"/>
      <w:r>
        <w:rPr>
          <w:sz w:val="20"/>
          <w:szCs w:val="20"/>
          <w:rtl/>
        </w:rPr>
        <w:t xml:space="preserve">” היה שמו הפרטי של הרב הראשי ולא שם משפחתו; שם משפחה אינו מופיע שם כלל. נוסח המצבה פותח בשמונה שורות, ואלה דבריהן: “פה בצר מעון ינוח על משכבו אבינו הצדיק הגאון עד שילה כי יבא / פאר ועטרת ראשנו כתמר [?] עינינו ולבנו / הנודע בשם משמן טוב לשם לתפארת </w:t>
      </w:r>
      <w:proofErr w:type="spellStart"/>
      <w:r>
        <w:rPr>
          <w:sz w:val="20"/>
          <w:szCs w:val="20"/>
          <w:rtl/>
        </w:rPr>
        <w:t>ולתהלות</w:t>
      </w:r>
      <w:proofErr w:type="spellEnd"/>
      <w:r>
        <w:rPr>
          <w:sz w:val="20"/>
          <w:szCs w:val="20"/>
          <w:rtl/>
        </w:rPr>
        <w:t xml:space="preserve"> / יעקב יוסף בן דוב זצ״ל / רב הכולל לאגדת </w:t>
      </w:r>
      <w:proofErr w:type="spellStart"/>
      <w:r>
        <w:rPr>
          <w:sz w:val="20"/>
          <w:szCs w:val="20"/>
          <w:rtl/>
        </w:rPr>
        <w:t>הקהלות</w:t>
      </w:r>
      <w:proofErr w:type="spellEnd"/>
      <w:r>
        <w:rPr>
          <w:sz w:val="20"/>
          <w:szCs w:val="20"/>
          <w:rtl/>
        </w:rPr>
        <w:t xml:space="preserve"> / אשר עלה שמים וירכב על עב בשנות ששים ושתים יום ג׳ כ״ד / תמוז תרס״ב לפ״ק / תנצב״ה”.</w:t>
      </w:r>
    </w:p>
    <w:p w14:paraId="2E1CD2E5" w14:textId="77777777" w:rsidR="00AB3647" w:rsidRDefault="00000000">
      <w:pPr>
        <w:spacing w:after="0" w:before="0"/>
        <w:jc w:val="both"/>
      </w:pPr>
      <w:r>
        <w:rPr>
          <w:sz w:val="20"/>
          <w:szCs w:val="20"/>
          <w:rtl/>
        </w:rPr>
        <w:t xml:space="preserve">אחריהן באה קינה ארוכה בת 176 מילים, שראשי כל שורה שנייה בה יוצרים את האקרוסטיכון “יעקב יוסף בן דוב”. יש להניח שנוסח המצבה אושר, ואולי אף חובר, בידי בנו, אשתו ושתי בנותיו שנותרו אחריו. הם נזכרים בקינה, בסדר זה, ועליהם נאמר שיחד עם הנפטר “הן בגויות החמש נפש אחת קננה, ובהפרדה </w:t>
      </w:r>
      <w:proofErr w:type="spellStart"/>
      <w:r>
        <w:rPr>
          <w:sz w:val="20"/>
          <w:szCs w:val="20"/>
          <w:rtl/>
        </w:rPr>
        <w:t>כהפרד</w:t>
      </w:r>
      <w:proofErr w:type="spellEnd"/>
      <w:r>
        <w:rPr>
          <w:sz w:val="20"/>
          <w:szCs w:val="20"/>
          <w:rtl/>
        </w:rPr>
        <w:t xml:space="preserve"> מאחת מהנה”.</w:t>
      </w:r>
    </w:p>
    <w:p w14:paraId="22D355B6" w14:textId="77777777" w:rsidR="00AB3647" w:rsidRDefault="00000000">
      <w:pPr>
        <w:spacing w:after="0" w:before="0"/>
        <w:jc w:val="both"/>
      </w:pPr>
      <w:r>
        <w:rPr>
          <w:sz w:val="20"/>
          <w:szCs w:val="20"/>
          <w:rtl/>
        </w:rPr>
        <w:t xml:space="preserve">אבל כץ, “תנועת המוסר”, כרך ב, בפרק המוקדש לו (עמ׳ 365–384), מניח </w:t>
      </w:r>
      <w:proofErr w:type="spellStart"/>
      <w:r>
        <w:rPr>
          <w:sz w:val="20"/>
          <w:szCs w:val="20"/>
          <w:rtl/>
        </w:rPr>
        <w:t>ש“יוסף</w:t>
      </w:r>
      <w:proofErr w:type="spellEnd"/>
      <w:r>
        <w:rPr>
          <w:sz w:val="20"/>
          <w:szCs w:val="20"/>
          <w:rtl/>
        </w:rPr>
        <w:t>” – הוא כותב “</w:t>
      </w:r>
      <w:proofErr w:type="spellStart"/>
      <w:r>
        <w:rPr>
          <w:sz w:val="20"/>
          <w:szCs w:val="20"/>
          <w:rtl/>
        </w:rPr>
        <w:t>יוזיף</w:t>
      </w:r>
      <w:proofErr w:type="spellEnd"/>
      <w:r>
        <w:rPr>
          <w:sz w:val="20"/>
          <w:szCs w:val="20"/>
          <w:rtl/>
        </w:rPr>
        <w:t xml:space="preserve">” – היה שם משפחתו. אם כץ צודק, נראה שההסבר היחיד לטעות שעל המצבה הוא זה: משורר כלשהו, שאינו ידוע, חיבר את הקינה הנוגעת ללב מתוך הנחה מוטעית </w:t>
      </w:r>
      <w:proofErr w:type="spellStart"/>
      <w:r>
        <w:rPr>
          <w:sz w:val="20"/>
          <w:szCs w:val="20"/>
          <w:rtl/>
        </w:rPr>
        <w:t>ש“יוסף</w:t>
      </w:r>
      <w:proofErr w:type="spellEnd"/>
      <w:r>
        <w:rPr>
          <w:sz w:val="20"/>
          <w:szCs w:val="20"/>
          <w:rtl/>
        </w:rPr>
        <w:t>” היה שמו הפרטי של הנפטר, ומפני שהשירה הייתה מרגשת כל כך, החליטה המשפחה – ומוזר הדבר – להשאיר את הקינה כמות שהיא ולהתאים אליה את חלקה הראשון של הכתובת (המובא לעיל). כך או כך, בחרתי ללכת אחר נוסח המצבה, ורשמתי “</w:t>
      </w:r>
      <w:proofErr w:type="spellStart"/>
      <w:r>
        <w:rPr>
          <w:sz w:val="20"/>
          <w:szCs w:val="20"/>
          <w:rtl/>
        </w:rPr>
        <w:t>יעקב־יוסף</w:t>
      </w:r>
      <w:proofErr w:type="spellEnd"/>
      <w:r>
        <w:rPr>
          <w:sz w:val="20"/>
          <w:szCs w:val="20"/>
          <w:rtl/>
        </w:rPr>
        <w:t>” כשמו הפרטי.</w:t>
      </w:r>
    </w:p>
  </w:footnote>
  <w:footnote w:id="1689">
    <w:p w14:paraId="208BFBA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אמצע פרק 4.2 והערה 96 שם.</w:t>
      </w:r>
    </w:p>
  </w:footnote>
  <w:footnote w:id="1690">
    <w:p w14:paraId="354171D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 נספח יד.</w:t>
      </w:r>
    </w:p>
  </w:footnote>
  <w:footnote w:id="1691">
    <w:p w14:paraId="2AB9D00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ב“תולדות</w:t>
      </w:r>
      <w:proofErr w:type="spellEnd"/>
      <w:r>
        <w:rPr>
          <w:sz w:val="20"/>
          <w:szCs w:val="20"/>
          <w:rtl/>
        </w:rPr>
        <w:t xml:space="preserve"> אנשי שם” נפלה טעות דפוס: “נפטר בירושלים בכ״ה שבט תר״פ”; צריך היה להיות “כ״ה שבט תש״ה”.</w:t>
      </w:r>
    </w:p>
  </w:footnote>
  <w:footnote w:id="1692">
    <w:p w14:paraId="356D69F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מיום 11 באפריל 2000.</w:t>
      </w:r>
    </w:p>
  </w:footnote>
  <w:footnote w:id="1693">
    <w:p w14:paraId="4187EE8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ישראל </w:t>
      </w:r>
      <w:proofErr w:type="spellStart"/>
      <w:r>
        <w:rPr>
          <w:sz w:val="20"/>
          <w:szCs w:val="20"/>
          <w:rtl/>
        </w:rPr>
        <w:t>הרצג</w:t>
      </w:r>
      <w:proofErr w:type="spellEnd"/>
      <w:r>
        <w:rPr>
          <w:sz w:val="20"/>
          <w:szCs w:val="20"/>
          <w:rtl/>
        </w:rPr>
        <w:t xml:space="preserve"> בשם ההיסטוריון היהודי ד״ר שניאור </w:t>
      </w:r>
      <w:proofErr w:type="spellStart"/>
      <w:r>
        <w:rPr>
          <w:sz w:val="20"/>
          <w:szCs w:val="20"/>
          <w:rtl/>
        </w:rPr>
        <w:t>ליימן</w:t>
      </w:r>
      <w:proofErr w:type="spellEnd"/>
      <w:r>
        <w:rPr>
          <w:sz w:val="20"/>
          <w:szCs w:val="20"/>
          <w:rtl/>
        </w:rPr>
        <w:t>.</w:t>
      </w:r>
    </w:p>
  </w:footnote>
  <w:footnote w:id="1694">
    <w:p w14:paraId="16D6357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החיבור הנזכר בפרק 1, נספח ה – עמ׳ ח.</w:t>
      </w:r>
    </w:p>
  </w:footnote>
  <w:footnote w:id="1695">
    <w:p w14:paraId="32CDE53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יצא לאור בידי ארגון יוצאי </w:t>
      </w:r>
      <w:proofErr w:type="spellStart"/>
      <w:r>
        <w:rPr>
          <w:sz w:val="20"/>
          <w:szCs w:val="20"/>
          <w:rtl/>
        </w:rPr>
        <w:t>ריטובה</w:t>
      </w:r>
      <w:proofErr w:type="spellEnd"/>
      <w:r>
        <w:rPr>
          <w:sz w:val="20"/>
          <w:szCs w:val="20"/>
          <w:rtl/>
        </w:rPr>
        <w:t xml:space="preserve"> בישראל ובתפוצות, ללא תאריך – עמ׳ 71.</w:t>
      </w:r>
    </w:p>
  </w:footnote>
  <w:footnote w:id="1696">
    <w:p w14:paraId="1FDEE6F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49.</w:t>
      </w:r>
    </w:p>
  </w:footnote>
  <w:footnote w:id="1697">
    <w:p w14:paraId="454F5AD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58.</w:t>
      </w:r>
    </w:p>
  </w:footnote>
  <w:footnote w:id="1698">
    <w:p w14:paraId="105D8E8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החיבור הנזכר בפרק 2, הערה 36 – עמ׳ 192.</w:t>
      </w:r>
    </w:p>
  </w:footnote>
  <w:footnote w:id="1699">
    <w:p w14:paraId="70328EE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5, סוף הפסקה הראשונה בנספח ו, לעוד על מידותיו המעודנות של ר׳ </w:t>
      </w:r>
      <w:proofErr w:type="spellStart"/>
      <w:r>
        <w:rPr>
          <w:sz w:val="20"/>
          <w:szCs w:val="20"/>
          <w:rtl/>
        </w:rPr>
        <w:t>אברהם־אהרן</w:t>
      </w:r>
      <w:proofErr w:type="spellEnd"/>
      <w:r>
        <w:rPr>
          <w:sz w:val="20"/>
          <w:szCs w:val="20"/>
          <w:rtl/>
        </w:rPr>
        <w:t xml:space="preserve"> </w:t>
      </w:r>
      <w:proofErr w:type="spellStart"/>
      <w:r>
        <w:rPr>
          <w:sz w:val="20"/>
          <w:szCs w:val="20"/>
          <w:rtl/>
        </w:rPr>
        <w:t>בורשטין</w:t>
      </w:r>
      <w:proofErr w:type="spellEnd"/>
      <w:r>
        <w:rPr>
          <w:sz w:val="20"/>
          <w:szCs w:val="20"/>
          <w:rtl/>
        </w:rPr>
        <w:t xml:space="preserve"> ועל שיעוריו מלאי החיות.</w:t>
      </w:r>
    </w:p>
  </w:footnote>
  <w:footnote w:id="1700">
    <w:p w14:paraId="5EA0883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ה לעיל.</w:t>
      </w:r>
    </w:p>
  </w:footnote>
  <w:footnote w:id="1701">
    <w:p w14:paraId="4F9743A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כץ, “תנועת המוסר”, כרך ג, עמ׳ 31–32, כותב שר׳ </w:t>
      </w:r>
      <w:proofErr w:type="spellStart"/>
      <w:r>
        <w:rPr>
          <w:sz w:val="20"/>
          <w:szCs w:val="20"/>
          <w:rtl/>
        </w:rPr>
        <w:t>אברהם־אהרן</w:t>
      </w:r>
      <w:proofErr w:type="spellEnd"/>
      <w:r>
        <w:rPr>
          <w:sz w:val="20"/>
          <w:szCs w:val="20"/>
          <w:rtl/>
        </w:rPr>
        <w:t xml:space="preserve"> נעשה מגיד שיעור אחרי ר׳ חיים </w:t>
      </w:r>
      <w:proofErr w:type="spellStart"/>
      <w:r>
        <w:rPr>
          <w:sz w:val="20"/>
          <w:szCs w:val="20"/>
          <w:rtl/>
        </w:rPr>
        <w:t>רבינוביץ</w:t>
      </w:r>
      <w:proofErr w:type="spellEnd"/>
      <w:r>
        <w:rPr>
          <w:sz w:val="20"/>
          <w:szCs w:val="20"/>
          <w:rtl/>
        </w:rPr>
        <w:t xml:space="preserve">. אין זה נכון: ר׳ </w:t>
      </w:r>
      <w:proofErr w:type="spellStart"/>
      <w:r>
        <w:rPr>
          <w:sz w:val="20"/>
          <w:szCs w:val="20"/>
          <w:rtl/>
        </w:rPr>
        <w:t>אברהם־אהרן</w:t>
      </w:r>
      <w:proofErr w:type="spellEnd"/>
      <w:r>
        <w:rPr>
          <w:sz w:val="20"/>
          <w:szCs w:val="20"/>
          <w:rtl/>
        </w:rPr>
        <w:t xml:space="preserve"> </w:t>
      </w:r>
      <w:proofErr w:type="spellStart"/>
      <w:r>
        <w:rPr>
          <w:sz w:val="20"/>
          <w:szCs w:val="20"/>
          <w:rtl/>
        </w:rPr>
        <w:t>בורשטין</w:t>
      </w:r>
      <w:proofErr w:type="spellEnd"/>
      <w:r>
        <w:rPr>
          <w:sz w:val="20"/>
          <w:szCs w:val="20"/>
          <w:rtl/>
        </w:rPr>
        <w:t xml:space="preserve"> נתמנה בשנת תרמ״ה, ור׳ חיים </w:t>
      </w:r>
      <w:proofErr w:type="spellStart"/>
      <w:r>
        <w:rPr>
          <w:sz w:val="20"/>
          <w:szCs w:val="20"/>
          <w:rtl/>
        </w:rPr>
        <w:t>רבינוביץ</w:t>
      </w:r>
      <w:proofErr w:type="spellEnd"/>
      <w:r>
        <w:rPr>
          <w:sz w:val="20"/>
          <w:szCs w:val="20"/>
          <w:rtl/>
        </w:rPr>
        <w:t xml:space="preserve"> שנה אחריו. ר׳ חיים </w:t>
      </w:r>
      <w:proofErr w:type="spellStart"/>
      <w:r>
        <w:rPr>
          <w:sz w:val="20"/>
          <w:szCs w:val="20"/>
          <w:rtl/>
        </w:rPr>
        <w:t>רבינוביץ</w:t>
      </w:r>
      <w:proofErr w:type="spellEnd"/>
      <w:r>
        <w:rPr>
          <w:sz w:val="20"/>
          <w:szCs w:val="20"/>
          <w:rtl/>
        </w:rPr>
        <w:t xml:space="preserve"> היה האחרון מחברי כולל קובנה ששימשו מגידי שיעור; אחריו הובא ר׳ </w:t>
      </w:r>
      <w:proofErr w:type="spellStart"/>
      <w:r>
        <w:rPr>
          <w:sz w:val="20"/>
          <w:szCs w:val="20"/>
          <w:rtl/>
        </w:rPr>
        <w:t>איצל׳ה</w:t>
      </w:r>
      <w:proofErr w:type="spellEnd"/>
      <w:r>
        <w:rPr>
          <w:sz w:val="20"/>
          <w:szCs w:val="20"/>
          <w:rtl/>
        </w:rPr>
        <w:t xml:space="preserve"> </w:t>
      </w:r>
      <w:proofErr w:type="spellStart"/>
      <w:r>
        <w:rPr>
          <w:sz w:val="20"/>
          <w:szCs w:val="20"/>
          <w:rtl/>
        </w:rPr>
        <w:t>רבינוביץ</w:t>
      </w:r>
      <w:proofErr w:type="spellEnd"/>
      <w:r>
        <w:rPr>
          <w:sz w:val="20"/>
          <w:szCs w:val="20"/>
          <w:rtl/>
        </w:rPr>
        <w:t xml:space="preserve"> (</w:t>
      </w:r>
      <w:proofErr w:type="spellStart"/>
      <w:r>
        <w:rPr>
          <w:sz w:val="20"/>
          <w:szCs w:val="20"/>
          <w:rtl/>
        </w:rPr>
        <w:t>פוניבז׳ער</w:t>
      </w:r>
      <w:proofErr w:type="spellEnd"/>
      <w:r>
        <w:rPr>
          <w:sz w:val="20"/>
          <w:szCs w:val="20"/>
          <w:rtl/>
        </w:rPr>
        <w:t>) מחוץ לכולל, כמסופר להלן.</w:t>
      </w:r>
    </w:p>
  </w:footnote>
  <w:footnote w:id="1702">
    <w:p w14:paraId="790C5AE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ורשה, </w:t>
      </w:r>
      <w:proofErr w:type="spellStart"/>
      <w:r>
        <w:rPr>
          <w:sz w:val="20"/>
          <w:szCs w:val="20"/>
          <w:rtl/>
        </w:rPr>
        <w:t>התרפ״ז</w:t>
      </w:r>
      <w:proofErr w:type="spellEnd"/>
      <w:r>
        <w:rPr>
          <w:sz w:val="20"/>
          <w:szCs w:val="20"/>
          <w:rtl/>
        </w:rPr>
        <w:t xml:space="preserve"> – עמ׳ ו.</w:t>
      </w:r>
    </w:p>
  </w:footnote>
  <w:footnote w:id="1703">
    <w:p w14:paraId="6A0830F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פרק 5, סוף הפסקה הראשונה בנספח ו.</w:t>
      </w:r>
    </w:p>
  </w:footnote>
  <w:footnote w:id="1704">
    <w:p w14:paraId="574ABCC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193.</w:t>
      </w:r>
    </w:p>
  </w:footnote>
  <w:footnote w:id="1705">
    <w:p w14:paraId="693A259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בעמ׳ ז של הסקירה הביוגרפית.</w:t>
      </w:r>
    </w:p>
  </w:footnote>
  <w:footnote w:id="1706">
    <w:p w14:paraId="76C019B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שנה ו, חוברת א–ב, ניסן, תשי״ג, ניו יורק – עמ׳ 3–35.</w:t>
      </w:r>
    </w:p>
  </w:footnote>
  <w:footnote w:id="1707">
    <w:p w14:paraId="42A887B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5, נספח ח.</w:t>
      </w:r>
    </w:p>
  </w:footnote>
  <w:footnote w:id="1708">
    <w:p w14:paraId="566B03F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2.</w:t>
      </w:r>
    </w:p>
  </w:footnote>
  <w:footnote w:id="1709">
    <w:p w14:paraId="62850DE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הלל </w:t>
      </w:r>
      <w:proofErr w:type="spellStart"/>
      <w:r>
        <w:rPr>
          <w:sz w:val="20"/>
          <w:szCs w:val="20"/>
          <w:rtl/>
        </w:rPr>
        <w:t>זלטופולסקי</w:t>
      </w:r>
      <w:proofErr w:type="spellEnd"/>
      <w:r>
        <w:rPr>
          <w:sz w:val="20"/>
          <w:szCs w:val="20"/>
          <w:rtl/>
        </w:rPr>
        <w:t xml:space="preserve"> כתב </w:t>
      </w:r>
      <w:proofErr w:type="spellStart"/>
      <w:r>
        <w:rPr>
          <w:sz w:val="20"/>
          <w:szCs w:val="20"/>
          <w:rtl/>
        </w:rPr>
        <w:t>ב“המליץ</w:t>
      </w:r>
      <w:proofErr w:type="spellEnd"/>
      <w:r>
        <w:rPr>
          <w:sz w:val="20"/>
          <w:szCs w:val="20"/>
          <w:rtl/>
        </w:rPr>
        <w:t xml:space="preserve">”, בסוף תרנ״ט ובראשית תר״ס, סדרה בת ארבעה מאמרים להגנת הציונות מפני התקפת </w:t>
      </w:r>
      <w:proofErr w:type="spellStart"/>
      <w:r>
        <w:rPr>
          <w:sz w:val="20"/>
          <w:szCs w:val="20"/>
          <w:rtl/>
        </w:rPr>
        <w:t>החפץ־חיים</w:t>
      </w:r>
      <w:proofErr w:type="spellEnd"/>
      <w:r>
        <w:rPr>
          <w:sz w:val="20"/>
          <w:szCs w:val="20"/>
          <w:rtl/>
        </w:rPr>
        <w:t xml:space="preserve">, כנזכר בכל כתבי </w:t>
      </w:r>
      <w:proofErr w:type="spellStart"/>
      <w:r>
        <w:rPr>
          <w:sz w:val="20"/>
          <w:szCs w:val="20"/>
          <w:rtl/>
        </w:rPr>
        <w:t>ח״ח</w:t>
      </w:r>
      <w:proofErr w:type="spellEnd"/>
      <w:r>
        <w:rPr>
          <w:sz w:val="20"/>
          <w:szCs w:val="20"/>
          <w:rtl/>
        </w:rPr>
        <w:t xml:space="preserve"> (נספח א לעיל), עמ׳ 75. השווה גם “תולדות אנשי שם”, עמ׳ 56: </w:t>
      </w:r>
      <w:proofErr w:type="spellStart"/>
      <w:r>
        <w:rPr>
          <w:sz w:val="20"/>
          <w:szCs w:val="20"/>
          <w:rtl/>
        </w:rPr>
        <w:t>זלטופולסקי</w:t>
      </w:r>
      <w:proofErr w:type="spellEnd"/>
      <w:r>
        <w:rPr>
          <w:sz w:val="20"/>
          <w:szCs w:val="20"/>
          <w:rtl/>
        </w:rPr>
        <w:t xml:space="preserve"> הוא ששלח מאונייה במצרי הבוספורוס פתק </w:t>
      </w:r>
      <w:proofErr w:type="spellStart"/>
      <w:r>
        <w:rPr>
          <w:sz w:val="20"/>
          <w:szCs w:val="20"/>
          <w:rtl/>
        </w:rPr>
        <w:t>לר</w:t>
      </w:r>
      <w:proofErr w:type="spellEnd"/>
      <w:r>
        <w:rPr>
          <w:sz w:val="20"/>
          <w:szCs w:val="20"/>
          <w:rtl/>
        </w:rPr>
        <w:t xml:space="preserve">׳ אהרן </w:t>
      </w:r>
      <w:proofErr w:type="spellStart"/>
      <w:r>
        <w:rPr>
          <w:sz w:val="20"/>
          <w:szCs w:val="20"/>
          <w:rtl/>
        </w:rPr>
        <w:t>טייטלבוים</w:t>
      </w:r>
      <w:proofErr w:type="spellEnd"/>
      <w:r>
        <w:rPr>
          <w:sz w:val="20"/>
          <w:szCs w:val="20"/>
          <w:rtl/>
        </w:rPr>
        <w:t xml:space="preserve">, מאנשי ארגון הסיוע המרכזי שלאחר מלחמת העולם הראשונה, ששהה אז באיסטנבול. בפתק נאמר ששבע אוניות שיצאו מאודסה ועליהן יהודים רבים נעצרו בידי השלטונות בבוספורוס, כדי להחזירן לאוקראינה, שבה נטבחו יהודים (“נשלחים אנו </w:t>
      </w:r>
      <w:proofErr w:type="spellStart"/>
      <w:r>
        <w:rPr>
          <w:sz w:val="20"/>
          <w:szCs w:val="20"/>
          <w:rtl/>
        </w:rPr>
        <w:t>ל‘איזהו</w:t>
      </w:r>
      <w:proofErr w:type="spellEnd"/>
      <w:r>
        <w:rPr>
          <w:sz w:val="20"/>
          <w:szCs w:val="20"/>
          <w:rtl/>
        </w:rPr>
        <w:t xml:space="preserve"> מקומן של זבחים’”). הרב </w:t>
      </w:r>
      <w:proofErr w:type="spellStart"/>
      <w:r>
        <w:rPr>
          <w:sz w:val="20"/>
          <w:szCs w:val="20"/>
          <w:rtl/>
        </w:rPr>
        <w:t>טייטלבוים</w:t>
      </w:r>
      <w:proofErr w:type="spellEnd"/>
      <w:r>
        <w:rPr>
          <w:sz w:val="20"/>
          <w:szCs w:val="20"/>
          <w:rtl/>
        </w:rPr>
        <w:t xml:space="preserve"> התערב והציל “מאות יהודים, ובהם אישים חשובים, </w:t>
      </w:r>
      <w:proofErr w:type="spellStart"/>
      <w:r>
        <w:rPr>
          <w:sz w:val="20"/>
          <w:szCs w:val="20"/>
          <w:rtl/>
        </w:rPr>
        <w:t>מסלתה</w:t>
      </w:r>
      <w:proofErr w:type="spellEnd"/>
      <w:r>
        <w:rPr>
          <w:sz w:val="20"/>
          <w:szCs w:val="20"/>
          <w:rtl/>
        </w:rPr>
        <w:t xml:space="preserve"> ומשמנה של יהדות רוסיה, </w:t>
      </w:r>
      <w:proofErr w:type="spellStart"/>
      <w:r>
        <w:rPr>
          <w:sz w:val="20"/>
          <w:szCs w:val="20"/>
          <w:rtl/>
        </w:rPr>
        <w:t>ברודסקי</w:t>
      </w:r>
      <w:proofErr w:type="spellEnd"/>
      <w:r>
        <w:rPr>
          <w:sz w:val="20"/>
          <w:szCs w:val="20"/>
          <w:rtl/>
        </w:rPr>
        <w:t xml:space="preserve"> וויסוצקי”.</w:t>
      </w:r>
    </w:p>
    <w:p w14:paraId="25741118" w14:textId="77777777" w:rsidR="00AB3647" w:rsidRDefault="00000000">
      <w:pPr>
        <w:spacing w:after="0" w:before="0"/>
        <w:jc w:val="both"/>
      </w:pPr>
      <w:r>
        <w:rPr>
          <w:sz w:val="20"/>
          <w:szCs w:val="20"/>
          <w:rtl/>
        </w:rPr>
        <w:t xml:space="preserve">אין אלה תומכי התורה הנודעים ר׳ ישראל </w:t>
      </w:r>
      <w:proofErr w:type="spellStart"/>
      <w:r>
        <w:rPr>
          <w:sz w:val="20"/>
          <w:szCs w:val="20"/>
          <w:rtl/>
        </w:rPr>
        <w:t>ברודסקי</w:t>
      </w:r>
      <w:proofErr w:type="spellEnd"/>
      <w:r>
        <w:rPr>
          <w:sz w:val="20"/>
          <w:szCs w:val="20"/>
          <w:rtl/>
        </w:rPr>
        <w:t xml:space="preserve"> ור׳ </w:t>
      </w:r>
      <w:proofErr w:type="spellStart"/>
      <w:r>
        <w:rPr>
          <w:sz w:val="20"/>
          <w:szCs w:val="20"/>
          <w:rtl/>
        </w:rPr>
        <w:t>קלמן־וולף</w:t>
      </w:r>
      <w:proofErr w:type="spellEnd"/>
      <w:r>
        <w:rPr>
          <w:sz w:val="20"/>
          <w:szCs w:val="20"/>
          <w:rtl/>
        </w:rPr>
        <w:t xml:space="preserve"> ויסוצקי (ראה פרק 5, הפסקה הרביעית בנספח ו, ופרק 4, הערה 74, והשווה גם הפסקה הראשונה בנספח </w:t>
      </w:r>
      <w:proofErr w:type="spellStart"/>
      <w:r>
        <w:rPr>
          <w:sz w:val="20"/>
          <w:szCs w:val="20"/>
          <w:rtl/>
        </w:rPr>
        <w:t>יג</w:t>
      </w:r>
      <w:proofErr w:type="spellEnd"/>
      <w:r>
        <w:rPr>
          <w:sz w:val="20"/>
          <w:szCs w:val="20"/>
          <w:rtl/>
        </w:rPr>
        <w:t xml:space="preserve"> בפרק 4), אלא צאצאיהם: ר׳ ישראל ור׳ </w:t>
      </w:r>
      <w:proofErr w:type="spellStart"/>
      <w:r>
        <w:rPr>
          <w:sz w:val="20"/>
          <w:szCs w:val="20"/>
          <w:rtl/>
        </w:rPr>
        <w:t>קלמן־וולף</w:t>
      </w:r>
      <w:proofErr w:type="spellEnd"/>
      <w:r>
        <w:rPr>
          <w:sz w:val="20"/>
          <w:szCs w:val="20"/>
          <w:rtl/>
        </w:rPr>
        <w:t xml:space="preserve"> נפטרו זמן רב לפני מלחמת העולם הראשונה, בשנת תרמ״ח ובשנת תרס״ג, בהתאמה. השווה גם מאמרו של הרב ניסן וקסמן על ר׳ </w:t>
      </w:r>
      <w:proofErr w:type="spellStart"/>
      <w:r>
        <w:rPr>
          <w:sz w:val="20"/>
          <w:szCs w:val="20"/>
          <w:rtl/>
        </w:rPr>
        <w:t>אליעזר־יהודה</w:t>
      </w:r>
      <w:proofErr w:type="spellEnd"/>
      <w:r>
        <w:rPr>
          <w:sz w:val="20"/>
          <w:szCs w:val="20"/>
          <w:rtl/>
        </w:rPr>
        <w:t xml:space="preserve"> </w:t>
      </w:r>
      <w:proofErr w:type="spellStart"/>
      <w:r>
        <w:rPr>
          <w:sz w:val="20"/>
          <w:szCs w:val="20"/>
          <w:rtl/>
        </w:rPr>
        <w:t>פינקל</w:t>
      </w:r>
      <w:proofErr w:type="spellEnd"/>
      <w:r>
        <w:rPr>
          <w:sz w:val="20"/>
          <w:szCs w:val="20"/>
          <w:rtl/>
        </w:rPr>
        <w:t xml:space="preserve"> (הנזכר בפרק 1, הערה 57), עמ׳ 420: בשנת ת״ש עשתה שושנה </w:t>
      </w:r>
      <w:proofErr w:type="spellStart"/>
      <w:r>
        <w:rPr>
          <w:sz w:val="20"/>
          <w:szCs w:val="20"/>
          <w:rtl/>
        </w:rPr>
        <w:t>זלטופולסקי־פרסיץ</w:t>
      </w:r>
      <w:proofErr w:type="spellEnd"/>
      <w:r>
        <w:rPr>
          <w:sz w:val="20"/>
          <w:szCs w:val="20"/>
          <w:rtl/>
        </w:rPr>
        <w:t xml:space="preserve"> כל שביכולתה, אך ללא הצלחה, להשיג מממשלת המנדט הבריטי רשות להכניס לארץ ישראל את ישיבת </w:t>
      </w:r>
      <w:proofErr w:type="spellStart"/>
      <w:r>
        <w:rPr>
          <w:sz w:val="20"/>
          <w:szCs w:val="20"/>
          <w:rtl/>
        </w:rPr>
        <w:t>מיר</w:t>
      </w:r>
      <w:proofErr w:type="spellEnd"/>
      <w:r>
        <w:rPr>
          <w:sz w:val="20"/>
          <w:szCs w:val="20"/>
          <w:rtl/>
        </w:rPr>
        <w:t>, שנמלטה מפולין הכבושה בידי הגרמנים לליטא, שהייתה אז חופשית.</w:t>
      </w:r>
    </w:p>
  </w:footnote>
  <w:footnote w:id="1710">
    <w:p w14:paraId="70C090F2" w14:textId="77777777" w:rsidR="00AB3647" w:rsidRDefault="00000000">
      <w:pPr>
        <w:spacing w:after="0" w:before="0"/>
        <w:jc w:val="both"/>
      </w:pPr>
      <w:r>
        <w:rPr>
          <w:rStyle w:val="a5"/>
          <w:vertAlign w:val="superscript"/>
          <w:rtl/>
        </w:rPr>
        <w:footnoteRef/>
      </w:r>
      <w:r>
        <w:rPr>
          <w:sz w:val="20"/>
          <w:szCs w:val="20"/>
        </w:rPr>
        <w:t xml:space="preserve"> </w:t>
      </w:r>
      <w:r>
        <w:rPr>
          <w:sz w:val="20"/>
          <w:szCs w:val="20"/>
          <w:rtl/>
        </w:rPr>
        <w:t xml:space="preserve">הערת המתרגם: ר׳ ישראל </w:t>
      </w:r>
      <w:proofErr w:type="spellStart"/>
      <w:r>
        <w:rPr>
          <w:sz w:val="20"/>
          <w:szCs w:val="20"/>
          <w:rtl/>
        </w:rPr>
        <w:t>ברודסקי</w:t>
      </w:r>
      <w:proofErr w:type="spellEnd"/>
      <w:r>
        <w:rPr>
          <w:sz w:val="20"/>
          <w:szCs w:val="20"/>
          <w:rtl/>
        </w:rPr>
        <w:t xml:space="preserve"> נפטר בחשוון תרמ״ט (אוקטובר 1888), ולא </w:t>
      </w:r>
      <w:proofErr w:type="spellStart"/>
      <w:r>
        <w:rPr>
          <w:sz w:val="20"/>
          <w:szCs w:val="20"/>
          <w:rtl/>
        </w:rPr>
        <w:t>בתרמ״ח</w:t>
      </w:r>
      <w:proofErr w:type="spellEnd"/>
      <w:r>
        <w:rPr>
          <w:sz w:val="20"/>
          <w:szCs w:val="20"/>
          <w:rtl/>
        </w:rPr>
        <w:t xml:space="preserve">; ר׳ </w:t>
      </w:r>
      <w:proofErr w:type="spellStart"/>
      <w:r>
        <w:rPr>
          <w:sz w:val="20"/>
          <w:szCs w:val="20"/>
          <w:rtl/>
        </w:rPr>
        <w:t>קלמן־וולף</w:t>
      </w:r>
      <w:proofErr w:type="spellEnd"/>
      <w:r>
        <w:rPr>
          <w:sz w:val="20"/>
          <w:szCs w:val="20"/>
          <w:rtl/>
        </w:rPr>
        <w:t xml:space="preserve"> ויסוצקי נפטר בשנת תרס״ד.</w:t>
      </w:r>
    </w:p>
  </w:footnote>
  <w:footnote w:id="1711">
    <w:p w14:paraId="26857BD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ז.</w:t>
      </w:r>
    </w:p>
  </w:footnote>
  <w:footnote w:id="1712">
    <w:p w14:paraId="69ECBE8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העיר נמצאת בין קייב </w:t>
      </w:r>
      <w:proofErr w:type="spellStart"/>
      <w:r>
        <w:rPr>
          <w:sz w:val="20"/>
          <w:szCs w:val="20"/>
          <w:rtl/>
        </w:rPr>
        <w:t>לקרמנצ׳וג</w:t>
      </w:r>
      <w:proofErr w:type="spellEnd"/>
      <w:r>
        <w:rPr>
          <w:sz w:val="20"/>
          <w:szCs w:val="20"/>
          <w:rtl/>
        </w:rPr>
        <w:t>.</w:t>
      </w:r>
    </w:p>
  </w:footnote>
  <w:footnote w:id="1713">
    <w:p w14:paraId="3A56D9B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לעוד על משפחת </w:t>
      </w:r>
      <w:proofErr w:type="spellStart"/>
      <w:r>
        <w:rPr>
          <w:sz w:val="20"/>
          <w:szCs w:val="20"/>
          <w:rtl/>
        </w:rPr>
        <w:t>פרסיץ</w:t>
      </w:r>
      <w:proofErr w:type="spellEnd"/>
      <w:r>
        <w:rPr>
          <w:sz w:val="20"/>
          <w:szCs w:val="20"/>
          <w:rtl/>
        </w:rPr>
        <w:t xml:space="preserve"> ועל הפרעות באוקראינה, השווה כרך 2.</w:t>
      </w:r>
    </w:p>
  </w:footnote>
  <w:footnote w:id="1714">
    <w:p w14:paraId="30EB786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 לעיל.</w:t>
      </w:r>
    </w:p>
  </w:footnote>
  <w:footnote w:id="1715">
    <w:p w14:paraId="547609D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קמח.</w:t>
      </w:r>
    </w:p>
  </w:footnote>
  <w:footnote w:id="1716">
    <w:p w14:paraId="4F64467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תחילת פרק 2.3.</w:t>
      </w:r>
    </w:p>
  </w:footnote>
  <w:footnote w:id="1717">
    <w:p w14:paraId="54EFF00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בנה נזכר בתחילת פרק 2.3.</w:t>
      </w:r>
    </w:p>
  </w:footnote>
  <w:footnote w:id="1718">
    <w:p w14:paraId="13D87AF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נספח כה להלן, וכץ, “תנועת המוסר”, כרך ב, עמ׳ 67 ו־74. ר׳ </w:t>
      </w:r>
      <w:proofErr w:type="spellStart"/>
      <w:r>
        <w:rPr>
          <w:sz w:val="20"/>
          <w:szCs w:val="20"/>
          <w:rtl/>
        </w:rPr>
        <w:t>שניאור־פייבוש</w:t>
      </w:r>
      <w:proofErr w:type="spellEnd"/>
      <w:r>
        <w:rPr>
          <w:sz w:val="20"/>
          <w:szCs w:val="20"/>
          <w:rtl/>
        </w:rPr>
        <w:t xml:space="preserve"> חתם על כרוז בעד המוסר בזמן מחלוקת המוסר. ראה “פולמוס המוסר”, עמ׳ 145–146.</w:t>
      </w:r>
    </w:p>
  </w:footnote>
  <w:footnote w:id="1719">
    <w:p w14:paraId="72F111B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החיבור הנזכר בפרק 1, נספח ו – עמ׳ 158.</w:t>
      </w:r>
    </w:p>
  </w:footnote>
  <w:footnote w:id="1720">
    <w:p w14:paraId="2541931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1721">
    <w:p w14:paraId="5FB4ABB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159–160.</w:t>
      </w:r>
    </w:p>
  </w:footnote>
  <w:footnote w:id="1722">
    <w:p w14:paraId="312BE3C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לר</w:t>
      </w:r>
      <w:proofErr w:type="spellEnd"/>
      <w:r>
        <w:rPr>
          <w:sz w:val="20"/>
          <w:szCs w:val="20"/>
          <w:rtl/>
        </w:rPr>
        <w:t xml:space="preserve">׳ </w:t>
      </w:r>
      <w:proofErr w:type="spellStart"/>
      <w:r>
        <w:rPr>
          <w:sz w:val="20"/>
          <w:szCs w:val="20"/>
          <w:rtl/>
        </w:rPr>
        <w:t>שניאור־פייבוש</w:t>
      </w:r>
      <w:proofErr w:type="spellEnd"/>
      <w:r>
        <w:rPr>
          <w:sz w:val="20"/>
          <w:szCs w:val="20"/>
          <w:rtl/>
        </w:rPr>
        <w:t xml:space="preserve"> </w:t>
      </w:r>
      <w:proofErr w:type="spellStart"/>
      <w:r>
        <w:rPr>
          <w:sz w:val="20"/>
          <w:szCs w:val="20"/>
          <w:rtl/>
        </w:rPr>
        <w:t>גולוב</w:t>
      </w:r>
      <w:proofErr w:type="spellEnd"/>
      <w:r>
        <w:rPr>
          <w:sz w:val="20"/>
          <w:szCs w:val="20"/>
          <w:rtl/>
        </w:rPr>
        <w:t xml:space="preserve"> </w:t>
      </w:r>
      <w:proofErr w:type="spellStart"/>
      <w:r>
        <w:rPr>
          <w:sz w:val="20"/>
          <w:szCs w:val="20"/>
          <w:rtl/>
        </w:rPr>
        <w:t>ולר</w:t>
      </w:r>
      <w:proofErr w:type="spellEnd"/>
      <w:r>
        <w:rPr>
          <w:sz w:val="20"/>
          <w:szCs w:val="20"/>
          <w:rtl/>
        </w:rPr>
        <w:t xml:space="preserve">׳ שלמה </w:t>
      </w:r>
      <w:proofErr w:type="spellStart"/>
      <w:r>
        <w:rPr>
          <w:sz w:val="20"/>
          <w:szCs w:val="20"/>
          <w:rtl/>
        </w:rPr>
        <w:t>גולובנצ׳יץ</w:t>
      </w:r>
      <w:proofErr w:type="spellEnd"/>
      <w:r>
        <w:rPr>
          <w:sz w:val="20"/>
          <w:szCs w:val="20"/>
          <w:rtl/>
        </w:rPr>
        <w:t xml:space="preserve"> היה אח שלישי, בשם משפחה שלישי: ר׳ </w:t>
      </w:r>
      <w:proofErr w:type="spellStart"/>
      <w:r>
        <w:rPr>
          <w:sz w:val="20"/>
          <w:szCs w:val="20"/>
          <w:rtl/>
        </w:rPr>
        <w:t>יחיאל־מיכל</w:t>
      </w:r>
      <w:proofErr w:type="spellEnd"/>
      <w:r>
        <w:rPr>
          <w:sz w:val="20"/>
          <w:szCs w:val="20"/>
          <w:rtl/>
        </w:rPr>
        <w:t xml:space="preserve"> </w:t>
      </w:r>
      <w:proofErr w:type="spellStart"/>
      <w:r>
        <w:rPr>
          <w:sz w:val="20"/>
          <w:szCs w:val="20"/>
          <w:rtl/>
        </w:rPr>
        <w:t>ברקמן</w:t>
      </w:r>
      <w:proofErr w:type="spellEnd"/>
      <w:r>
        <w:rPr>
          <w:sz w:val="20"/>
          <w:szCs w:val="20"/>
          <w:rtl/>
        </w:rPr>
        <w:t xml:space="preserve">, שנולד בשנת תרכ״ח וכיהן כרבה של </w:t>
      </w:r>
      <w:proofErr w:type="spellStart"/>
      <w:r>
        <w:rPr>
          <w:sz w:val="20"/>
          <w:szCs w:val="20"/>
          <w:rtl/>
        </w:rPr>
        <w:t>אורחוב</w:t>
      </w:r>
      <w:proofErr w:type="spellEnd"/>
      <w:r>
        <w:rPr>
          <w:sz w:val="20"/>
          <w:szCs w:val="20"/>
          <w:rtl/>
        </w:rPr>
        <w:t xml:space="preserve">, כ־250 קילומטרים </w:t>
      </w:r>
      <w:proofErr w:type="spellStart"/>
      <w:r>
        <w:rPr>
          <w:sz w:val="20"/>
          <w:szCs w:val="20"/>
          <w:rtl/>
        </w:rPr>
        <w:t>מדרום־מזרח</w:t>
      </w:r>
      <w:proofErr w:type="spellEnd"/>
      <w:r>
        <w:rPr>
          <w:sz w:val="20"/>
          <w:szCs w:val="20"/>
          <w:rtl/>
        </w:rPr>
        <w:t xml:space="preserve"> </w:t>
      </w:r>
      <w:proofErr w:type="spellStart"/>
      <w:r>
        <w:rPr>
          <w:sz w:val="20"/>
          <w:szCs w:val="20"/>
          <w:rtl/>
        </w:rPr>
        <w:t>לקרמנצ׳וג</w:t>
      </w:r>
      <w:proofErr w:type="spellEnd"/>
      <w:r>
        <w:rPr>
          <w:sz w:val="20"/>
          <w:szCs w:val="20"/>
          <w:rtl/>
        </w:rPr>
        <w:t xml:space="preserve">. אחרי הרב </w:t>
      </w:r>
      <w:proofErr w:type="spellStart"/>
      <w:r>
        <w:rPr>
          <w:sz w:val="20"/>
          <w:szCs w:val="20"/>
          <w:rtl/>
        </w:rPr>
        <w:t>גולוב</w:t>
      </w:r>
      <w:proofErr w:type="spellEnd"/>
      <w:r>
        <w:rPr>
          <w:sz w:val="20"/>
          <w:szCs w:val="20"/>
          <w:rtl/>
        </w:rPr>
        <w:t xml:space="preserve"> כיהן בדרבנה חתנו ר׳ אברהם לוין, תלמיד </w:t>
      </w:r>
      <w:proofErr w:type="spellStart"/>
      <w:r>
        <w:rPr>
          <w:sz w:val="20"/>
          <w:szCs w:val="20"/>
          <w:rtl/>
        </w:rPr>
        <w:t>סלבודקה</w:t>
      </w:r>
      <w:proofErr w:type="spellEnd"/>
      <w:r>
        <w:rPr>
          <w:sz w:val="20"/>
          <w:szCs w:val="20"/>
          <w:rtl/>
        </w:rPr>
        <w:t xml:space="preserve"> שנולד </w:t>
      </w:r>
      <w:proofErr w:type="spellStart"/>
      <w:r>
        <w:rPr>
          <w:sz w:val="20"/>
          <w:szCs w:val="20"/>
          <w:rtl/>
        </w:rPr>
        <w:t>בוורנה</w:t>
      </w:r>
      <w:proofErr w:type="spellEnd"/>
      <w:r>
        <w:rPr>
          <w:sz w:val="20"/>
          <w:szCs w:val="20"/>
          <w:rtl/>
        </w:rPr>
        <w:t xml:space="preserve"> בשנת תרמ״ה. הוא שימש שם עד תרפ״א, ואז עזב את העיר, שהפרעות זעזעו אותה ודלדלו את אוכלוסייתה, ועבר לליטא השלווה כדי להצטרף לכולל </w:t>
      </w:r>
      <w:proofErr w:type="spellStart"/>
      <w:r>
        <w:rPr>
          <w:sz w:val="20"/>
          <w:szCs w:val="20"/>
          <w:rtl/>
        </w:rPr>
        <w:t>סלבודקה</w:t>
      </w:r>
      <w:proofErr w:type="spellEnd"/>
      <w:r>
        <w:rPr>
          <w:sz w:val="20"/>
          <w:szCs w:val="20"/>
          <w:rtl/>
        </w:rPr>
        <w:t xml:space="preserve"> (שבו למד רבנו – ראה כרך 2). בשנת תרפ״ו, השנה שבה עזב גם אבי את הכולל כדי להיות רבה של </w:t>
      </w:r>
      <w:proofErr w:type="spellStart"/>
      <w:r>
        <w:rPr>
          <w:sz w:val="20"/>
          <w:szCs w:val="20"/>
          <w:rtl/>
        </w:rPr>
        <w:t>ציטוביאן</w:t>
      </w:r>
      <w:proofErr w:type="spellEnd"/>
      <w:r>
        <w:rPr>
          <w:sz w:val="20"/>
          <w:szCs w:val="20"/>
          <w:rtl/>
        </w:rPr>
        <w:t xml:space="preserve">, נעשה ר׳ אברהם לוין רבה של </w:t>
      </w:r>
      <w:proofErr w:type="spellStart"/>
      <w:r>
        <w:rPr>
          <w:sz w:val="20"/>
          <w:szCs w:val="20"/>
          <w:rtl/>
        </w:rPr>
        <w:t>פופליאן</w:t>
      </w:r>
      <w:proofErr w:type="spellEnd"/>
      <w:r>
        <w:rPr>
          <w:sz w:val="20"/>
          <w:szCs w:val="20"/>
          <w:rtl/>
        </w:rPr>
        <w:t xml:space="preserve">, סמוך </w:t>
      </w:r>
      <w:proofErr w:type="spellStart"/>
      <w:r>
        <w:rPr>
          <w:sz w:val="20"/>
          <w:szCs w:val="20"/>
          <w:rtl/>
        </w:rPr>
        <w:t>לשאוול</w:t>
      </w:r>
      <w:proofErr w:type="spellEnd"/>
      <w:r>
        <w:rPr>
          <w:sz w:val="20"/>
          <w:szCs w:val="20"/>
          <w:rtl/>
        </w:rPr>
        <w:t>, ושם נהרג על קידוש השם בשואה.</w:t>
      </w:r>
    </w:p>
  </w:footnote>
  <w:footnote w:id="1723">
    <w:p w14:paraId="7BCDCC1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48 בפרק זה.</w:t>
      </w:r>
    </w:p>
  </w:footnote>
  <w:footnote w:id="1724">
    <w:p w14:paraId="211A774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הריאיון המוקלט על הסבא </w:t>
      </w:r>
      <w:proofErr w:type="spellStart"/>
      <w:r>
        <w:rPr>
          <w:sz w:val="20"/>
          <w:szCs w:val="20"/>
          <w:rtl/>
        </w:rPr>
        <w:t>מסלבודקה</w:t>
      </w:r>
      <w:proofErr w:type="spellEnd"/>
      <w:r>
        <w:rPr>
          <w:sz w:val="20"/>
          <w:szCs w:val="20"/>
          <w:rtl/>
        </w:rPr>
        <w:t>.</w:t>
      </w:r>
    </w:p>
  </w:footnote>
  <w:footnote w:id="1725">
    <w:p w14:paraId="0F5F979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ראש הישיבה שעליו המליץ ר׳ יוסף־דב, ר׳ </w:t>
      </w:r>
      <w:proofErr w:type="spellStart"/>
      <w:r>
        <w:rPr>
          <w:sz w:val="20"/>
          <w:szCs w:val="20"/>
          <w:rtl/>
        </w:rPr>
        <w:t>איצל׳ה</w:t>
      </w:r>
      <w:proofErr w:type="spellEnd"/>
      <w:r>
        <w:rPr>
          <w:sz w:val="20"/>
          <w:szCs w:val="20"/>
          <w:rtl/>
        </w:rPr>
        <w:t xml:space="preserve"> </w:t>
      </w:r>
      <w:proofErr w:type="spellStart"/>
      <w:r>
        <w:rPr>
          <w:sz w:val="20"/>
          <w:szCs w:val="20"/>
          <w:rtl/>
        </w:rPr>
        <w:t>רבינוביץ</w:t>
      </w:r>
      <w:proofErr w:type="spellEnd"/>
      <w:r>
        <w:rPr>
          <w:sz w:val="20"/>
          <w:szCs w:val="20"/>
          <w:rtl/>
        </w:rPr>
        <w:t xml:space="preserve">, נחשב למעשה בעיני ר׳ </w:t>
      </w:r>
      <w:proofErr w:type="spellStart"/>
      <w:r>
        <w:rPr>
          <w:sz w:val="20"/>
          <w:szCs w:val="20"/>
          <w:rtl/>
        </w:rPr>
        <w:t>איסר־זלמן</w:t>
      </w:r>
      <w:proofErr w:type="spellEnd"/>
      <w:r>
        <w:rPr>
          <w:sz w:val="20"/>
          <w:szCs w:val="20"/>
          <w:rtl/>
        </w:rPr>
        <w:t xml:space="preserve"> מלצר, תלמידו המובהק של ר׳ חיים </w:t>
      </w:r>
      <w:proofErr w:type="spellStart"/>
      <w:r>
        <w:rPr>
          <w:sz w:val="20"/>
          <w:szCs w:val="20"/>
          <w:rtl/>
        </w:rPr>
        <w:t>סולובייצ׳יק</w:t>
      </w:r>
      <w:proofErr w:type="spellEnd"/>
      <w:r>
        <w:rPr>
          <w:sz w:val="20"/>
          <w:szCs w:val="20"/>
          <w:rtl/>
        </w:rPr>
        <w:t xml:space="preserve">, לעולה בכמה עניינים על רבו, שהיה אז מגיד השיעור הנערץ </w:t>
      </w:r>
      <w:proofErr w:type="spellStart"/>
      <w:r>
        <w:rPr>
          <w:sz w:val="20"/>
          <w:szCs w:val="20"/>
          <w:rtl/>
        </w:rPr>
        <w:t>בוולוז׳ין</w:t>
      </w:r>
      <w:proofErr w:type="spellEnd"/>
      <w:r>
        <w:rPr>
          <w:sz w:val="20"/>
          <w:szCs w:val="20"/>
          <w:rtl/>
        </w:rPr>
        <w:t xml:space="preserve">; ראה דברי ר׳ חיים </w:t>
      </w:r>
      <w:proofErr w:type="spellStart"/>
      <w:r>
        <w:rPr>
          <w:sz w:val="20"/>
          <w:szCs w:val="20"/>
          <w:rtl/>
        </w:rPr>
        <w:t>קרייזווירט</w:t>
      </w:r>
      <w:proofErr w:type="spellEnd"/>
      <w:r>
        <w:rPr>
          <w:sz w:val="20"/>
          <w:szCs w:val="20"/>
          <w:rtl/>
        </w:rPr>
        <w:t xml:space="preserve"> בספרו של </w:t>
      </w:r>
      <w:proofErr w:type="spellStart"/>
      <w:r>
        <w:rPr>
          <w:sz w:val="20"/>
          <w:szCs w:val="20"/>
          <w:rtl/>
        </w:rPr>
        <w:t>ידעאל</w:t>
      </w:r>
      <w:proofErr w:type="spellEnd"/>
      <w:r>
        <w:rPr>
          <w:sz w:val="20"/>
          <w:szCs w:val="20"/>
          <w:rtl/>
        </w:rPr>
        <w:t xml:space="preserve"> מלצר, “בדרך עץ החיים”, המובאים בסוף פסקה זו. ייתכן מאוד שהסבא נסע </w:t>
      </w:r>
      <w:proofErr w:type="spellStart"/>
      <w:r>
        <w:rPr>
          <w:sz w:val="20"/>
          <w:szCs w:val="20"/>
          <w:rtl/>
        </w:rPr>
        <w:t>לבריסק</w:t>
      </w:r>
      <w:proofErr w:type="spellEnd"/>
      <w:r>
        <w:rPr>
          <w:sz w:val="20"/>
          <w:szCs w:val="20"/>
          <w:rtl/>
        </w:rPr>
        <w:t xml:space="preserve"> היישר </w:t>
      </w:r>
      <w:proofErr w:type="spellStart"/>
      <w:r>
        <w:rPr>
          <w:sz w:val="20"/>
          <w:szCs w:val="20"/>
          <w:rtl/>
        </w:rPr>
        <w:t>מראדין</w:t>
      </w:r>
      <w:proofErr w:type="spellEnd"/>
      <w:r>
        <w:rPr>
          <w:sz w:val="20"/>
          <w:szCs w:val="20"/>
          <w:rtl/>
        </w:rPr>
        <w:t>.</w:t>
      </w:r>
    </w:p>
  </w:footnote>
  <w:footnote w:id="1726">
    <w:p w14:paraId="61486FA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נספח ו לעיל.</w:t>
      </w:r>
    </w:p>
  </w:footnote>
  <w:footnote w:id="1727">
    <w:p w14:paraId="32F018A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31 ביולי 2000.</w:t>
      </w:r>
    </w:p>
  </w:footnote>
  <w:footnote w:id="1728">
    <w:p w14:paraId="3FEFC23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הנצי״ב</w:t>
      </w:r>
      <w:proofErr w:type="spellEnd"/>
      <w:r>
        <w:rPr>
          <w:sz w:val="20"/>
          <w:szCs w:val="20"/>
          <w:rtl/>
        </w:rPr>
        <w:t xml:space="preserve"> חוזר על עניין זה בפירושו לבמדבר לה, לד ולדברים לב, ה.</w:t>
      </w:r>
    </w:p>
  </w:footnote>
  <w:footnote w:id="1729">
    <w:p w14:paraId="6BF9E31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שו״ת משיב דבר, ח״א, סי׳ מד, ד״ה “והנה המעריך”, שבו הוא מחיל את טעות הפרושים שבימים ההם על ההווה.</w:t>
      </w:r>
    </w:p>
  </w:footnote>
  <w:footnote w:id="1730">
    <w:p w14:paraId="6C89A48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אין ראיה </w:t>
      </w:r>
      <w:proofErr w:type="spellStart"/>
      <w:r>
        <w:rPr>
          <w:sz w:val="20"/>
          <w:szCs w:val="20"/>
          <w:rtl/>
        </w:rPr>
        <w:t>שהחפץ־חיים</w:t>
      </w:r>
      <w:proofErr w:type="spellEnd"/>
      <w:r>
        <w:rPr>
          <w:sz w:val="20"/>
          <w:szCs w:val="20"/>
          <w:rtl/>
        </w:rPr>
        <w:t xml:space="preserve"> שלח שאלות הלכה להכרעת </w:t>
      </w:r>
      <w:proofErr w:type="spellStart"/>
      <w:r>
        <w:rPr>
          <w:sz w:val="20"/>
          <w:szCs w:val="20"/>
          <w:rtl/>
        </w:rPr>
        <w:t>הנצי״ב</w:t>
      </w:r>
      <w:proofErr w:type="spellEnd"/>
      <w:r>
        <w:rPr>
          <w:sz w:val="20"/>
          <w:szCs w:val="20"/>
          <w:rtl/>
        </w:rPr>
        <w:t xml:space="preserve">. נראה ששתי התשובות </w:t>
      </w:r>
      <w:proofErr w:type="spellStart"/>
      <w:r>
        <w:rPr>
          <w:sz w:val="20"/>
          <w:szCs w:val="20"/>
          <w:rtl/>
        </w:rPr>
        <w:t>בשו״ת</w:t>
      </w:r>
      <w:proofErr w:type="spellEnd"/>
      <w:r>
        <w:rPr>
          <w:sz w:val="20"/>
          <w:szCs w:val="20"/>
          <w:rtl/>
        </w:rPr>
        <w:t xml:space="preserve"> משיב דבר, ח״א, סי׳ ב </w:t>
      </w:r>
      <w:proofErr w:type="spellStart"/>
      <w:r>
        <w:rPr>
          <w:sz w:val="20"/>
          <w:szCs w:val="20"/>
          <w:rtl/>
        </w:rPr>
        <w:t>וג</w:t>
      </w:r>
      <w:proofErr w:type="spellEnd"/>
      <w:r>
        <w:rPr>
          <w:sz w:val="20"/>
          <w:szCs w:val="20"/>
          <w:rtl/>
        </w:rPr>
        <w:t xml:space="preserve">, מן </w:t>
      </w:r>
      <w:proofErr w:type="spellStart"/>
      <w:r>
        <w:rPr>
          <w:sz w:val="20"/>
          <w:szCs w:val="20"/>
          <w:rtl/>
        </w:rPr>
        <w:t>הנצי״ב</w:t>
      </w:r>
      <w:proofErr w:type="spellEnd"/>
      <w:r>
        <w:rPr>
          <w:sz w:val="20"/>
          <w:szCs w:val="20"/>
          <w:rtl/>
        </w:rPr>
        <w:t xml:space="preserve"> </w:t>
      </w:r>
      <w:proofErr w:type="spellStart"/>
      <w:r>
        <w:rPr>
          <w:sz w:val="20"/>
          <w:szCs w:val="20"/>
          <w:rtl/>
        </w:rPr>
        <w:t>לחפץ־חיים</w:t>
      </w:r>
      <w:proofErr w:type="spellEnd"/>
      <w:r>
        <w:rPr>
          <w:sz w:val="20"/>
          <w:szCs w:val="20"/>
          <w:rtl/>
        </w:rPr>
        <w:t xml:space="preserve">, נכתבו ביוזמת </w:t>
      </w:r>
      <w:proofErr w:type="spellStart"/>
      <w:r>
        <w:rPr>
          <w:sz w:val="20"/>
          <w:szCs w:val="20"/>
          <w:rtl/>
        </w:rPr>
        <w:t>הנצי״ב</w:t>
      </w:r>
      <w:proofErr w:type="spellEnd"/>
      <w:r>
        <w:rPr>
          <w:sz w:val="20"/>
          <w:szCs w:val="20"/>
          <w:rtl/>
        </w:rPr>
        <w:t xml:space="preserve"> אחרי שקרא את “משנה ברורה” של </w:t>
      </w:r>
      <w:proofErr w:type="spellStart"/>
      <w:r>
        <w:rPr>
          <w:sz w:val="20"/>
          <w:szCs w:val="20"/>
          <w:rtl/>
        </w:rPr>
        <w:t>החפץ־חיים</w:t>
      </w:r>
      <w:proofErr w:type="spellEnd"/>
      <w:r>
        <w:rPr>
          <w:sz w:val="20"/>
          <w:szCs w:val="20"/>
          <w:rtl/>
        </w:rPr>
        <w:t xml:space="preserve">; </w:t>
      </w:r>
      <w:proofErr w:type="spellStart"/>
      <w:r>
        <w:rPr>
          <w:sz w:val="20"/>
          <w:szCs w:val="20"/>
          <w:rtl/>
        </w:rPr>
        <w:t>החפץ־חיים</w:t>
      </w:r>
      <w:proofErr w:type="spellEnd"/>
      <w:r>
        <w:rPr>
          <w:sz w:val="20"/>
          <w:szCs w:val="20"/>
          <w:rtl/>
        </w:rPr>
        <w:t xml:space="preserve"> השיב אז להשגות </w:t>
      </w:r>
      <w:proofErr w:type="spellStart"/>
      <w:r>
        <w:rPr>
          <w:sz w:val="20"/>
          <w:szCs w:val="20"/>
          <w:rtl/>
        </w:rPr>
        <w:t>הנצי״ב</w:t>
      </w:r>
      <w:proofErr w:type="spellEnd"/>
      <w:r>
        <w:rPr>
          <w:sz w:val="20"/>
          <w:szCs w:val="20"/>
          <w:rtl/>
        </w:rPr>
        <w:t>.</w:t>
      </w:r>
    </w:p>
  </w:footnote>
  <w:footnote w:id="1731">
    <w:p w14:paraId="777A7BE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הערה 8.</w:t>
      </w:r>
    </w:p>
  </w:footnote>
  <w:footnote w:id="1732">
    <w:p w14:paraId="30EF4BA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2, הערה 94.</w:t>
      </w:r>
    </w:p>
  </w:footnote>
  <w:footnote w:id="1733">
    <w:p w14:paraId="6736AC5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החיבור הנזכר בפרק 2, הערה 10 – עמ׳ </w:t>
      </w:r>
      <w:proofErr w:type="spellStart"/>
      <w:r>
        <w:rPr>
          <w:sz w:val="20"/>
          <w:szCs w:val="20"/>
          <w:rtl/>
        </w:rPr>
        <w:t>ריט</w:t>
      </w:r>
      <w:proofErr w:type="spellEnd"/>
      <w:r>
        <w:rPr>
          <w:sz w:val="20"/>
          <w:szCs w:val="20"/>
          <w:rtl/>
        </w:rPr>
        <w:t>–</w:t>
      </w:r>
      <w:proofErr w:type="spellStart"/>
      <w:r>
        <w:rPr>
          <w:sz w:val="20"/>
          <w:szCs w:val="20"/>
          <w:rtl/>
        </w:rPr>
        <w:t>רכ</w:t>
      </w:r>
      <w:proofErr w:type="spellEnd"/>
      <w:r>
        <w:rPr>
          <w:sz w:val="20"/>
          <w:szCs w:val="20"/>
          <w:rtl/>
        </w:rPr>
        <w:t>.</w:t>
      </w:r>
    </w:p>
  </w:footnote>
  <w:footnote w:id="1734">
    <w:p w14:paraId="377F9CC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ב לעיל – עמ׳ 133.</w:t>
      </w:r>
    </w:p>
  </w:footnote>
  <w:footnote w:id="1735">
    <w:p w14:paraId="35ADE66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133–134.</w:t>
      </w:r>
    </w:p>
  </w:footnote>
  <w:footnote w:id="1736">
    <w:p w14:paraId="6B6C665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4, נספח </w:t>
      </w:r>
      <w:proofErr w:type="spellStart"/>
      <w:r>
        <w:rPr>
          <w:sz w:val="20"/>
          <w:szCs w:val="20"/>
          <w:rtl/>
        </w:rPr>
        <w:t>יב</w:t>
      </w:r>
      <w:proofErr w:type="spellEnd"/>
      <w:r>
        <w:rPr>
          <w:sz w:val="20"/>
          <w:szCs w:val="20"/>
          <w:rtl/>
        </w:rPr>
        <w:t>.</w:t>
      </w:r>
    </w:p>
  </w:footnote>
  <w:footnote w:id="1737">
    <w:p w14:paraId="389EF38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מאת “גרשון חנוך </w:t>
      </w:r>
      <w:proofErr w:type="spellStart"/>
      <w:r>
        <w:rPr>
          <w:sz w:val="20"/>
          <w:szCs w:val="20"/>
          <w:rtl/>
        </w:rPr>
        <w:t>מאיזביצא</w:t>
      </w:r>
      <w:proofErr w:type="spellEnd"/>
      <w:r>
        <w:rPr>
          <w:sz w:val="20"/>
          <w:szCs w:val="20"/>
          <w:rtl/>
        </w:rPr>
        <w:t>”, נדפס בניו יורק, תשי״ב – עמ׳ ו.</w:t>
      </w:r>
    </w:p>
  </w:footnote>
  <w:footnote w:id="1738">
    <w:p w14:paraId="44F1F08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במדבר טו, לח.</w:t>
      </w:r>
    </w:p>
  </w:footnote>
  <w:footnote w:id="1739">
    <w:p w14:paraId="10A5BE3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החיבור הנזכר בפרק 1, הפסקה השנייה בנספח ב – ח״א, עמ׳ קנט.</w:t>
      </w:r>
    </w:p>
  </w:footnote>
  <w:footnote w:id="1740">
    <w:p w14:paraId="417E326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הפסקה הראשונה בנספח ז לעיל והערה 31 בפרק זה.</w:t>
      </w:r>
    </w:p>
  </w:footnote>
  <w:footnote w:id="1741">
    <w:p w14:paraId="2160294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סוף נספח ט להלן.</w:t>
      </w:r>
    </w:p>
  </w:footnote>
  <w:footnote w:id="1742">
    <w:p w14:paraId="011D5C4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“הראשון לשושלת </w:t>
      </w:r>
      <w:proofErr w:type="spellStart"/>
      <w:r>
        <w:rPr>
          <w:sz w:val="20"/>
          <w:szCs w:val="20"/>
          <w:rtl/>
        </w:rPr>
        <w:t>בריסק</w:t>
      </w:r>
      <w:proofErr w:type="spellEnd"/>
      <w:r>
        <w:rPr>
          <w:sz w:val="20"/>
          <w:szCs w:val="20"/>
          <w:rtl/>
        </w:rPr>
        <w:t>” (הערה 12 לעיל), עמ׳ 311–314.</w:t>
      </w:r>
    </w:p>
  </w:footnote>
  <w:footnote w:id="1743">
    <w:p w14:paraId="5E6A839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ישראל נפטר שנים אחדות לפני שנודעה גדולתו של ר׳ </w:t>
      </w:r>
      <w:proofErr w:type="spellStart"/>
      <w:r>
        <w:rPr>
          <w:sz w:val="20"/>
          <w:szCs w:val="20"/>
          <w:rtl/>
        </w:rPr>
        <w:t>איצל׳ה</w:t>
      </w:r>
      <w:proofErr w:type="spellEnd"/>
      <w:r>
        <w:rPr>
          <w:sz w:val="20"/>
          <w:szCs w:val="20"/>
          <w:rtl/>
        </w:rPr>
        <w:t>, אך ייחודו של ר׳ חיים כבר היה מוכר.</w:t>
      </w:r>
    </w:p>
  </w:footnote>
  <w:footnote w:id="1744">
    <w:p w14:paraId="3747D3C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הוצאת מסורה, ברוקלין, 1994 (להלן: “ר׳ מנדל”) – עמ׳ 125 ו־140.</w:t>
      </w:r>
    </w:p>
  </w:footnote>
  <w:footnote w:id="1745">
    <w:p w14:paraId="5993A7D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“ר׳ אלחנן” (הוצאת מסורה, ברוקלין, 1982), עמ׳ 30–31.</w:t>
      </w:r>
    </w:p>
  </w:footnote>
  <w:footnote w:id="1746">
    <w:p w14:paraId="109AF8A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הוצאה מיוחדת לכבוד כנס חלוקת </w:t>
      </w:r>
      <w:proofErr w:type="spellStart"/>
      <w:r>
        <w:rPr>
          <w:sz w:val="20"/>
          <w:szCs w:val="20"/>
          <w:rtl/>
        </w:rPr>
        <w:t>המילגות</w:t>
      </w:r>
      <w:proofErr w:type="spellEnd"/>
      <w:r>
        <w:rPr>
          <w:sz w:val="20"/>
          <w:szCs w:val="20"/>
          <w:rtl/>
        </w:rPr>
        <w:t xml:space="preserve"> תשנ״ה; יצא לאור בידי ארגון מרביצי תורה ספרדים באה״ק.</w:t>
      </w:r>
    </w:p>
  </w:footnote>
  <w:footnote w:id="1747">
    <w:p w14:paraId="24425A8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ח״א, עמ׳ </w:t>
      </w:r>
      <w:proofErr w:type="spellStart"/>
      <w:r>
        <w:rPr>
          <w:sz w:val="20"/>
          <w:szCs w:val="20"/>
          <w:rtl/>
        </w:rPr>
        <w:t>קעה</w:t>
      </w:r>
      <w:proofErr w:type="spellEnd"/>
      <w:r>
        <w:rPr>
          <w:sz w:val="20"/>
          <w:szCs w:val="20"/>
          <w:rtl/>
        </w:rPr>
        <w:t>.</w:t>
      </w:r>
    </w:p>
  </w:footnote>
  <w:footnote w:id="1748">
    <w:p w14:paraId="20973BB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בנספח י להלן דנתי במועד המדויק שבו התחיל ר׳ חיים למסור שיעורים </w:t>
      </w:r>
      <w:proofErr w:type="spellStart"/>
      <w:r>
        <w:rPr>
          <w:sz w:val="20"/>
          <w:szCs w:val="20"/>
          <w:rtl/>
        </w:rPr>
        <w:t>בוולוז׳ין</w:t>
      </w:r>
      <w:proofErr w:type="spellEnd"/>
      <w:r>
        <w:rPr>
          <w:sz w:val="20"/>
          <w:szCs w:val="20"/>
          <w:rtl/>
        </w:rPr>
        <w:t>.</w:t>
      </w:r>
    </w:p>
  </w:footnote>
  <w:footnote w:id="1749">
    <w:p w14:paraId="64DBADE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הוצאת </w:t>
      </w:r>
      <w:proofErr w:type="spellStart"/>
      <w:r>
        <w:rPr>
          <w:sz w:val="20"/>
          <w:szCs w:val="20"/>
          <w:rtl/>
        </w:rPr>
        <w:t>פלדהיים</w:t>
      </w:r>
      <w:proofErr w:type="spellEnd"/>
      <w:r>
        <w:rPr>
          <w:sz w:val="20"/>
          <w:szCs w:val="20"/>
          <w:rtl/>
        </w:rPr>
        <w:t>, ירושלים – עמ׳ 115.</w:t>
      </w:r>
    </w:p>
  </w:footnote>
  <w:footnote w:id="1750">
    <w:p w14:paraId="5AAC6F5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לדוגמה קיצונית להבדל בין שיטת ר׳ חיים לשיטה שהייתה מקובלת עד אז, השווה פרק 4, הפסקה הרביעית בנספח ט: שם נאמר </w:t>
      </w:r>
      <w:proofErr w:type="spellStart"/>
      <w:r>
        <w:rPr>
          <w:sz w:val="20"/>
          <w:szCs w:val="20"/>
          <w:rtl/>
        </w:rPr>
        <w:t>שלר</w:t>
      </w:r>
      <w:proofErr w:type="spellEnd"/>
      <w:r>
        <w:rPr>
          <w:sz w:val="20"/>
          <w:szCs w:val="20"/>
          <w:rtl/>
        </w:rPr>
        <w:t xml:space="preserve">׳ יוסף </w:t>
      </w:r>
      <w:proofErr w:type="spellStart"/>
      <w:r>
        <w:rPr>
          <w:sz w:val="20"/>
          <w:szCs w:val="20"/>
          <w:rtl/>
        </w:rPr>
        <w:t>ענגיל</w:t>
      </w:r>
      <w:proofErr w:type="spellEnd"/>
      <w:r>
        <w:rPr>
          <w:sz w:val="20"/>
          <w:szCs w:val="20"/>
          <w:rtl/>
        </w:rPr>
        <w:t xml:space="preserve"> </w:t>
      </w:r>
      <w:proofErr w:type="spellStart"/>
      <w:r>
        <w:rPr>
          <w:sz w:val="20"/>
          <w:szCs w:val="20"/>
          <w:rtl/>
        </w:rPr>
        <w:t>מקרקוב</w:t>
      </w:r>
      <w:proofErr w:type="spellEnd"/>
      <w:r>
        <w:rPr>
          <w:sz w:val="20"/>
          <w:szCs w:val="20"/>
          <w:rtl/>
        </w:rPr>
        <w:t xml:space="preserve">, בן דורו של ר׳ חיים שנפטר </w:t>
      </w:r>
      <w:proofErr w:type="spellStart"/>
      <w:r>
        <w:rPr>
          <w:sz w:val="20"/>
          <w:szCs w:val="20"/>
          <w:rtl/>
        </w:rPr>
        <w:t>חמישה־עשר</w:t>
      </w:r>
      <w:proofErr w:type="spellEnd"/>
      <w:r>
        <w:rPr>
          <w:sz w:val="20"/>
          <w:szCs w:val="20"/>
          <w:rtl/>
        </w:rPr>
        <w:t xml:space="preserve"> חודשים אחריו, היו שמונים פתרונות שונים </w:t>
      </w:r>
      <w:proofErr w:type="spellStart"/>
      <w:r>
        <w:rPr>
          <w:sz w:val="20"/>
          <w:szCs w:val="20"/>
          <w:rtl/>
        </w:rPr>
        <w:t>לקושיה</w:t>
      </w:r>
      <w:proofErr w:type="spellEnd"/>
      <w:r>
        <w:rPr>
          <w:sz w:val="20"/>
          <w:szCs w:val="20"/>
          <w:rtl/>
        </w:rPr>
        <w:t xml:space="preserve"> אחת, ואילו </w:t>
      </w:r>
      <w:proofErr w:type="spellStart"/>
      <w:r>
        <w:rPr>
          <w:sz w:val="20"/>
          <w:szCs w:val="20"/>
          <w:rtl/>
        </w:rPr>
        <w:t>לר</w:t>
      </w:r>
      <w:proofErr w:type="spellEnd"/>
      <w:r>
        <w:rPr>
          <w:sz w:val="20"/>
          <w:szCs w:val="20"/>
          <w:rtl/>
        </w:rPr>
        <w:t xml:space="preserve">׳ חיים </w:t>
      </w:r>
      <w:proofErr w:type="spellStart"/>
      <w:r>
        <w:rPr>
          <w:sz w:val="20"/>
          <w:szCs w:val="20"/>
          <w:rtl/>
        </w:rPr>
        <w:t>סולובייצ׳יק</w:t>
      </w:r>
      <w:proofErr w:type="spellEnd"/>
      <w:r>
        <w:rPr>
          <w:sz w:val="20"/>
          <w:szCs w:val="20"/>
          <w:rtl/>
        </w:rPr>
        <w:t xml:space="preserve"> היה פתרון אחד לשמונים קושיות שונות.</w:t>
      </w:r>
    </w:p>
  </w:footnote>
  <w:footnote w:id="1751">
    <w:p w14:paraId="2438E57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נדפס בירושלם, תש״נ – עמ׳ </w:t>
      </w:r>
      <w:proofErr w:type="spellStart"/>
      <w:r>
        <w:rPr>
          <w:sz w:val="20"/>
          <w:szCs w:val="20"/>
          <w:rtl/>
        </w:rPr>
        <w:t>רלז</w:t>
      </w:r>
      <w:proofErr w:type="spellEnd"/>
      <w:r>
        <w:rPr>
          <w:sz w:val="20"/>
          <w:szCs w:val="20"/>
          <w:rtl/>
        </w:rPr>
        <w:t xml:space="preserve">. ספר זה הוא ליקוט דברים </w:t>
      </w:r>
      <w:proofErr w:type="spellStart"/>
      <w:r>
        <w:rPr>
          <w:sz w:val="20"/>
          <w:szCs w:val="20"/>
          <w:rtl/>
        </w:rPr>
        <w:t>ש“תלמידו</w:t>
      </w:r>
      <w:proofErr w:type="spellEnd"/>
      <w:r>
        <w:rPr>
          <w:sz w:val="20"/>
          <w:szCs w:val="20"/>
          <w:rtl/>
        </w:rPr>
        <w:t xml:space="preserve"> המובהק של </w:t>
      </w:r>
      <w:proofErr w:type="spellStart"/>
      <w:r>
        <w:rPr>
          <w:sz w:val="20"/>
          <w:szCs w:val="20"/>
          <w:rtl/>
        </w:rPr>
        <w:t>החפץ־חיים</w:t>
      </w:r>
      <w:proofErr w:type="spellEnd"/>
      <w:r>
        <w:rPr>
          <w:sz w:val="20"/>
          <w:szCs w:val="20"/>
          <w:rtl/>
        </w:rPr>
        <w:t xml:space="preserve">”, ר׳ </w:t>
      </w:r>
      <w:proofErr w:type="spellStart"/>
      <w:r>
        <w:rPr>
          <w:sz w:val="20"/>
          <w:szCs w:val="20"/>
          <w:rtl/>
        </w:rPr>
        <w:t>שלמה־זלמן</w:t>
      </w:r>
      <w:proofErr w:type="spellEnd"/>
      <w:r>
        <w:rPr>
          <w:sz w:val="20"/>
          <w:szCs w:val="20"/>
          <w:rtl/>
        </w:rPr>
        <w:t xml:space="preserve"> בלוך, “אמר וסיפר על רבותיו הקדושים”, כפי שכתבו “אלה שזכו לשמשו”.</w:t>
      </w:r>
    </w:p>
  </w:footnote>
  <w:footnote w:id="1752">
    <w:p w14:paraId="35C856F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בן </w:t>
      </w:r>
      <w:proofErr w:type="spellStart"/>
      <w:r>
        <w:rPr>
          <w:rStyle w:val="a5"/>
          <w:sz w:val="20"/>
          <w:szCs w:val="20"/>
          <w:vertAlign w:val="baseline"/>
          <w:rtl/>
        </w:rPr>
        <w:t>החפץ־חיים</w:t>
      </w:r>
      <w:proofErr w:type="spellEnd"/>
      <w:r>
        <w:rPr>
          <w:rStyle w:val="a5"/>
          <w:sz w:val="20"/>
          <w:szCs w:val="20"/>
          <w:vertAlign w:val="baseline"/>
          <w:rtl/>
        </w:rPr>
        <w:t xml:space="preserve"> מתארו </w:t>
      </w:r>
      <w:proofErr w:type="spellStart"/>
      <w:r>
        <w:rPr>
          <w:rStyle w:val="a5"/>
          <w:sz w:val="20"/>
          <w:szCs w:val="20"/>
          <w:vertAlign w:val="baseline"/>
          <w:rtl/>
        </w:rPr>
        <w:t>כ“רע</w:t>
      </w:r>
      <w:proofErr w:type="spellEnd"/>
      <w:r>
        <w:rPr>
          <w:rStyle w:val="a5"/>
          <w:sz w:val="20"/>
          <w:szCs w:val="20"/>
          <w:vertAlign w:val="baseline"/>
          <w:rtl/>
        </w:rPr>
        <w:t xml:space="preserve"> וידיד” של אביו, “אדם גדול וצדיק מפורסם” – ראה </w:t>
      </w:r>
      <w:proofErr w:type="spellStart"/>
      <w:r>
        <w:rPr>
          <w:rStyle w:val="a5"/>
          <w:sz w:val="20"/>
          <w:szCs w:val="20"/>
          <w:vertAlign w:val="baseline"/>
          <w:rtl/>
        </w:rPr>
        <w:t>כבה״ת</w:t>
      </w:r>
      <w:proofErr w:type="spellEnd"/>
      <w:r>
        <w:rPr>
          <w:rStyle w:val="a5"/>
          <w:sz w:val="20"/>
          <w:szCs w:val="20"/>
          <w:vertAlign w:val="baseline"/>
          <w:rtl/>
        </w:rPr>
        <w:t>, עמ׳ 64.</w:t>
      </w:r>
    </w:p>
  </w:footnote>
  <w:footnote w:id="1753">
    <w:p w14:paraId="61BDB6F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בקשר להסברו השכלי של ר׳ ישראל: ר׳ דוד </w:t>
      </w:r>
      <w:proofErr w:type="spellStart"/>
      <w:r>
        <w:rPr>
          <w:sz w:val="20"/>
          <w:szCs w:val="20"/>
          <w:rtl/>
        </w:rPr>
        <w:t>זופניק</w:t>
      </w:r>
      <w:proofErr w:type="spellEnd"/>
      <w:r>
        <w:rPr>
          <w:sz w:val="20"/>
          <w:szCs w:val="20"/>
          <w:rtl/>
        </w:rPr>
        <w:t xml:space="preserve"> סיפר ביום 15 ביולי 2001, בשם החברותא שלו בישיבת </w:t>
      </w:r>
      <w:proofErr w:type="spellStart"/>
      <w:r>
        <w:rPr>
          <w:sz w:val="20"/>
          <w:szCs w:val="20"/>
          <w:rtl/>
        </w:rPr>
        <w:t>מיר</w:t>
      </w:r>
      <w:proofErr w:type="spellEnd"/>
      <w:r>
        <w:rPr>
          <w:sz w:val="20"/>
          <w:szCs w:val="20"/>
          <w:rtl/>
        </w:rPr>
        <w:t xml:space="preserve">, שבה למד בשנים תרצ״ד–תרצ״ח, ר׳ ישעיה </w:t>
      </w:r>
      <w:proofErr w:type="spellStart"/>
      <w:r>
        <w:rPr>
          <w:sz w:val="20"/>
          <w:szCs w:val="20"/>
          <w:rtl/>
        </w:rPr>
        <w:t>שימנוביץ</w:t>
      </w:r>
      <w:proofErr w:type="spellEnd"/>
      <w:r>
        <w:rPr>
          <w:sz w:val="20"/>
          <w:szCs w:val="20"/>
          <w:rtl/>
        </w:rPr>
        <w:t xml:space="preserve">, שפעם, בצעירותו של ר׳ חיים </w:t>
      </w:r>
      <w:proofErr w:type="spellStart"/>
      <w:r>
        <w:rPr>
          <w:sz w:val="20"/>
          <w:szCs w:val="20"/>
          <w:rtl/>
        </w:rPr>
        <w:t>סולובייצ׳יק</w:t>
      </w:r>
      <w:proofErr w:type="spellEnd"/>
      <w:r>
        <w:rPr>
          <w:sz w:val="20"/>
          <w:szCs w:val="20"/>
          <w:rtl/>
        </w:rPr>
        <w:t xml:space="preserve">, גער בו אביו שהסטודנטים היהודים באוניברסיטאות הרוסיות שוקדים על לימודיהם יותר משהוא שוקד על לימוד התורה. השיב ר׳ חיים, ביחס ליצר הרע: “אותו אחד שדוחף אותם [ללמוד], הוא המעכב אותי”. (תשובה זו של ר׳ חיים לאביו מיוחסת גם לילד יהונתן </w:t>
      </w:r>
      <w:proofErr w:type="spellStart"/>
      <w:r>
        <w:rPr>
          <w:sz w:val="20"/>
          <w:szCs w:val="20"/>
          <w:rtl/>
        </w:rPr>
        <w:t>אייבשיץ</w:t>
      </w:r>
      <w:proofErr w:type="spellEnd"/>
      <w:r>
        <w:rPr>
          <w:sz w:val="20"/>
          <w:szCs w:val="20"/>
          <w:rtl/>
        </w:rPr>
        <w:t xml:space="preserve">, שהשיב כך </w:t>
      </w:r>
      <w:proofErr w:type="spellStart"/>
      <w:r>
        <w:rPr>
          <w:sz w:val="20"/>
          <w:szCs w:val="20"/>
          <w:rtl/>
        </w:rPr>
        <w:t>לאמו</w:t>
      </w:r>
      <w:proofErr w:type="spellEnd"/>
      <w:r>
        <w:rPr>
          <w:sz w:val="20"/>
          <w:szCs w:val="20"/>
          <w:rtl/>
        </w:rPr>
        <w:t xml:space="preserve"> כשקם מאוחר בבוקר יום ראשון והיא גערה בו: “בשעה מאוחרת זו כבר הלכו האיכרים הגויים כ־32 קילומטרים לכנסייה שלהם”.)</w:t>
      </w:r>
    </w:p>
  </w:footnote>
  <w:footnote w:id="1754">
    <w:p w14:paraId="4621357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 סוף הפסקה השנייה בנספח כ.</w:t>
      </w:r>
    </w:p>
  </w:footnote>
  <w:footnote w:id="1755">
    <w:p w14:paraId="030DDDB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“אור ישראל” (הערת שוליים </w:t>
      </w:r>
      <w:r>
        <w:rPr>
          <w:rStyle w:val="a5"/>
          <w:sz w:val="20"/>
          <w:szCs w:val="20"/>
          <w:vertAlign w:val="baseline"/>
          <w:rtl/>
        </w:rPr>
        <w:fldChar w:fldCharType="begin" w:dirty="true"/>
      </w:r>
      <w:r>
        <w:rPr>
          <w:rStyle w:val="a5"/>
          <w:sz w:val="20"/>
          <w:szCs w:val="20"/>
          <w:vertAlign w:val="baseline"/>
          <w:rtl/>
        </w:rPr>
        <w:instrText xml:space="preserve"> NOTEREF pr_f_1431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477</w:t>
      </w:r>
      <w:r>
        <w:rPr>
          <w:rStyle w:val="a5"/>
          <w:sz w:val="20"/>
          <w:szCs w:val="20"/>
          <w:vertAlign w:val="baseline"/>
          <w:rtl/>
        </w:rPr>
        <w:fldChar w:fldCharType="end"/>
      </w:r>
      <w:r>
        <w:rPr>
          <w:rStyle w:val="a5"/>
          <w:sz w:val="20"/>
          <w:szCs w:val="20"/>
          <w:vertAlign w:val="baseline"/>
          <w:rtl/>
        </w:rPr>
        <w:t xml:space="preserve"> בעמ׳ </w:t>
      </w:r>
      <w:r>
        <w:rPr>
          <w:rStyle w:val="a5"/>
          <w:sz w:val="20"/>
          <w:szCs w:val="20"/>
          <w:vertAlign w:val="baseline"/>
          <w:rtl/>
        </w:rPr>
        <w:fldChar w:fldCharType="begin" w:dirty="true"/>
      </w:r>
      <w:r>
        <w:rPr>
          <w:rStyle w:val="a5"/>
          <w:sz w:val="20"/>
          <w:szCs w:val="20"/>
          <w:vertAlign w:val="baseline"/>
          <w:rtl/>
        </w:rPr>
        <w:instrText xml:space="preserve"> PAGEREF pr_f_1431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 xml:space="preserve">), עמ׳ מ, כפי שצוטט מהקדמתו </w:t>
      </w:r>
      <w:proofErr w:type="spellStart"/>
      <w:r>
        <w:rPr>
          <w:sz w:val="20"/>
          <w:szCs w:val="20"/>
          <w:rtl/>
        </w:rPr>
        <w:t>ל“התבונה</w:t>
      </w:r>
      <w:proofErr w:type="spellEnd"/>
      <w:r>
        <w:rPr>
          <w:sz w:val="20"/>
          <w:szCs w:val="20"/>
          <w:rtl/>
        </w:rPr>
        <w:t xml:space="preserve">”, שבועון תורני שערך, שממנו יצאו לאור </w:t>
      </w:r>
      <w:proofErr w:type="spellStart"/>
      <w:r>
        <w:rPr>
          <w:sz w:val="20"/>
          <w:szCs w:val="20"/>
          <w:rtl/>
        </w:rPr>
        <w:t>שנים־עשר</w:t>
      </w:r>
      <w:proofErr w:type="spellEnd"/>
      <w:r>
        <w:rPr>
          <w:sz w:val="20"/>
          <w:szCs w:val="20"/>
          <w:rtl/>
        </w:rPr>
        <w:t xml:space="preserve"> גיליונות בממל ובקניגסברג בשנים תרכ״א–תרכ״ב.</w:t>
      </w:r>
    </w:p>
  </w:footnote>
  <w:footnote w:id="1756">
    <w:p w14:paraId="460099F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w:t>
      </w:r>
      <w:proofErr w:type="spellStart"/>
      <w:r>
        <w:rPr>
          <w:sz w:val="20"/>
          <w:szCs w:val="20"/>
          <w:rtl/>
        </w:rPr>
        <w:t>אטקס</w:t>
      </w:r>
      <w:proofErr w:type="spellEnd"/>
      <w:r>
        <w:rPr>
          <w:sz w:val="20"/>
          <w:szCs w:val="20"/>
          <w:rtl/>
        </w:rPr>
        <w:t xml:space="preserve">, “ר׳ ישראל </w:t>
      </w:r>
      <w:proofErr w:type="spellStart"/>
      <w:r>
        <w:rPr>
          <w:sz w:val="20"/>
          <w:szCs w:val="20"/>
          <w:rtl/>
        </w:rPr>
        <w:t>סלנטר</w:t>
      </w:r>
      <w:proofErr w:type="spellEnd"/>
      <w:r>
        <w:rPr>
          <w:sz w:val="20"/>
          <w:szCs w:val="20"/>
          <w:rtl/>
        </w:rPr>
        <w:t xml:space="preserve"> וראשיתה של תנועת המוסר” (הערה 19 לעיל), עמ׳ 229–235.</w:t>
      </w:r>
    </w:p>
  </w:footnote>
  <w:footnote w:id="1757">
    <w:p w14:paraId="2020623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החיבור הנזכר בפרק 2, הערה 13 – עמ׳ רמז.</w:t>
      </w:r>
    </w:p>
  </w:footnote>
  <w:footnote w:id="1758">
    <w:p w14:paraId="1563D62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22 לעיל.</w:t>
      </w:r>
    </w:p>
  </w:footnote>
  <w:footnote w:id="1759">
    <w:p w14:paraId="321A922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נמסר מפי בני ר׳ יוסף ביום 26 ביוני 2001.</w:t>
      </w:r>
    </w:p>
  </w:footnote>
  <w:footnote w:id="1760">
    <w:p w14:paraId="40656D5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הדפסתו הראשונה של “ביאור </w:t>
      </w:r>
      <w:proofErr w:type="spellStart"/>
      <w:r>
        <w:rPr>
          <w:sz w:val="20"/>
          <w:szCs w:val="20"/>
          <w:rtl/>
        </w:rPr>
        <w:t>הגר״א</w:t>
      </w:r>
      <w:proofErr w:type="spellEnd"/>
      <w:r>
        <w:rPr>
          <w:sz w:val="20"/>
          <w:szCs w:val="20"/>
          <w:rtl/>
        </w:rPr>
        <w:t xml:space="preserve">” יחד עם השולחן ערוך הייתה </w:t>
      </w:r>
      <w:proofErr w:type="spellStart"/>
      <w:r>
        <w:rPr>
          <w:sz w:val="20"/>
          <w:szCs w:val="20"/>
          <w:rtl/>
        </w:rPr>
        <w:t>בשקלוב</w:t>
      </w:r>
      <w:proofErr w:type="spellEnd"/>
      <w:r>
        <w:rPr>
          <w:sz w:val="20"/>
          <w:szCs w:val="20"/>
          <w:rtl/>
        </w:rPr>
        <w:t xml:space="preserve"> בשנת תקס״ג, אך הספר היה נדיר גם בשנות </w:t>
      </w:r>
      <w:proofErr w:type="spellStart"/>
      <w:r>
        <w:rPr>
          <w:sz w:val="20"/>
          <w:szCs w:val="20"/>
          <w:rtl/>
        </w:rPr>
        <w:t>התר״י</w:t>
      </w:r>
      <w:proofErr w:type="spellEnd"/>
      <w:r>
        <w:rPr>
          <w:sz w:val="20"/>
          <w:szCs w:val="20"/>
          <w:rtl/>
        </w:rPr>
        <w:t xml:space="preserve">, כשמסר ר׳ ישראל שיעורים </w:t>
      </w:r>
      <w:proofErr w:type="spellStart"/>
      <w:r>
        <w:rPr>
          <w:sz w:val="20"/>
          <w:szCs w:val="20"/>
          <w:rtl/>
        </w:rPr>
        <w:t>בקלויז</w:t>
      </w:r>
      <w:proofErr w:type="spellEnd"/>
      <w:r>
        <w:rPr>
          <w:sz w:val="20"/>
          <w:szCs w:val="20"/>
          <w:rtl/>
        </w:rPr>
        <w:t xml:space="preserve"> </w:t>
      </w:r>
      <w:proofErr w:type="spellStart"/>
      <w:r>
        <w:rPr>
          <w:sz w:val="20"/>
          <w:szCs w:val="20"/>
          <w:rtl/>
        </w:rPr>
        <w:t>נביאזר</w:t>
      </w:r>
      <w:proofErr w:type="spellEnd"/>
      <w:r>
        <w:rPr>
          <w:sz w:val="20"/>
          <w:szCs w:val="20"/>
          <w:rtl/>
        </w:rPr>
        <w:t xml:space="preserve"> בקובנה.</w:t>
      </w:r>
    </w:p>
  </w:footnote>
  <w:footnote w:id="1761">
    <w:p w14:paraId="0E20323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4, הפסקה השנייה בנספח י, שבצעירותו ציפה ר׳ ישראל להיות </w:t>
      </w:r>
      <w:proofErr w:type="spellStart"/>
      <w:r>
        <w:rPr>
          <w:sz w:val="20"/>
          <w:szCs w:val="20"/>
          <w:rtl/>
        </w:rPr>
        <w:t>לגר״א</w:t>
      </w:r>
      <w:proofErr w:type="spellEnd"/>
      <w:r>
        <w:rPr>
          <w:sz w:val="20"/>
          <w:szCs w:val="20"/>
          <w:rtl/>
        </w:rPr>
        <w:t xml:space="preserve"> נוסף.</w:t>
      </w:r>
    </w:p>
  </w:footnote>
  <w:footnote w:id="1762">
    <w:p w14:paraId="0432534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6 לעיל – עמ׳ 196.</w:t>
      </w:r>
    </w:p>
  </w:footnote>
  <w:footnote w:id="1763">
    <w:p w14:paraId="19B082B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סוף נספח לב להלן.</w:t>
      </w:r>
    </w:p>
  </w:footnote>
  <w:footnote w:id="1764">
    <w:p w14:paraId="239440E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מיום 20 במרץ 1994.</w:t>
      </w:r>
    </w:p>
  </w:footnote>
  <w:footnote w:id="1765">
    <w:p w14:paraId="098A0F1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w:t>
      </w:r>
      <w:proofErr w:type="spellStart"/>
      <w:r>
        <w:rPr>
          <w:sz w:val="20"/>
          <w:szCs w:val="20"/>
          <w:rtl/>
        </w:rPr>
        <w:t>מרדכי־זאב</w:t>
      </w:r>
      <w:proofErr w:type="spellEnd"/>
      <w:r>
        <w:rPr>
          <w:sz w:val="20"/>
          <w:szCs w:val="20"/>
          <w:rtl/>
        </w:rPr>
        <w:t xml:space="preserve"> היה מקורב </w:t>
      </w:r>
      <w:proofErr w:type="spellStart"/>
      <w:r>
        <w:rPr>
          <w:sz w:val="20"/>
          <w:szCs w:val="20"/>
          <w:rtl/>
        </w:rPr>
        <w:t>לר</w:t>
      </w:r>
      <w:proofErr w:type="spellEnd"/>
      <w:r>
        <w:rPr>
          <w:sz w:val="20"/>
          <w:szCs w:val="20"/>
          <w:rtl/>
        </w:rPr>
        <w:t xml:space="preserve">׳ חיים, מפני שאביו ר׳ </w:t>
      </w:r>
      <w:proofErr w:type="spellStart"/>
      <w:r>
        <w:rPr>
          <w:sz w:val="20"/>
          <w:szCs w:val="20"/>
          <w:rtl/>
        </w:rPr>
        <w:t>ליפא</w:t>
      </w:r>
      <w:proofErr w:type="spellEnd"/>
      <w:r>
        <w:rPr>
          <w:sz w:val="20"/>
          <w:szCs w:val="20"/>
          <w:rtl/>
        </w:rPr>
        <w:t xml:space="preserve"> </w:t>
      </w:r>
      <w:proofErr w:type="spellStart"/>
      <w:r>
        <w:rPr>
          <w:sz w:val="20"/>
          <w:szCs w:val="20"/>
          <w:rtl/>
        </w:rPr>
        <w:t>דז׳יקנסקי</w:t>
      </w:r>
      <w:proofErr w:type="spellEnd"/>
      <w:r>
        <w:rPr>
          <w:sz w:val="20"/>
          <w:szCs w:val="20"/>
          <w:rtl/>
        </w:rPr>
        <w:t xml:space="preserve"> נמנה עם הנהלת ישיבת </w:t>
      </w:r>
      <w:proofErr w:type="spellStart"/>
      <w:r>
        <w:rPr>
          <w:sz w:val="20"/>
          <w:szCs w:val="20"/>
          <w:rtl/>
        </w:rPr>
        <w:t>וולוז׳ין</w:t>
      </w:r>
      <w:proofErr w:type="spellEnd"/>
      <w:r>
        <w:rPr>
          <w:sz w:val="20"/>
          <w:szCs w:val="20"/>
          <w:rtl/>
        </w:rPr>
        <w:t xml:space="preserve"> בזמן שנסגרה.</w:t>
      </w:r>
    </w:p>
  </w:footnote>
  <w:footnote w:id="1766">
    <w:p w14:paraId="1071E24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רכ</w:t>
      </w:r>
      <w:proofErr w:type="spellEnd"/>
      <w:r>
        <w:rPr>
          <w:sz w:val="20"/>
          <w:szCs w:val="20"/>
          <w:rtl/>
        </w:rPr>
        <w:t>.</w:t>
      </w:r>
    </w:p>
  </w:footnote>
  <w:footnote w:id="1767">
    <w:p w14:paraId="7C01F64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18 לעיל – עמ׳ עט.</w:t>
      </w:r>
    </w:p>
  </w:footnote>
  <w:footnote w:id="1768">
    <w:p w14:paraId="725329F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ב לעיל – עמ׳ 44, מתאריך ליל כ״ד באב תשמ״א.</w:t>
      </w:r>
    </w:p>
  </w:footnote>
  <w:footnote w:id="1769">
    <w:p w14:paraId="7B7DA68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הפסקה השלישית בנספח יד להלן.</w:t>
      </w:r>
    </w:p>
  </w:footnote>
  <w:footnote w:id="1770">
    <w:p w14:paraId="1E6B1D2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ר׳ יצחק </w:t>
      </w:r>
      <w:proofErr w:type="spellStart"/>
      <w:r>
        <w:rPr>
          <w:sz w:val="20"/>
          <w:szCs w:val="20"/>
          <w:rtl/>
        </w:rPr>
        <w:t>קנובל</w:t>
      </w:r>
      <w:proofErr w:type="spellEnd"/>
      <w:r>
        <w:rPr>
          <w:sz w:val="20"/>
          <w:szCs w:val="20"/>
          <w:rtl/>
        </w:rPr>
        <w:t xml:space="preserve"> (פרק 1, נספח ג).</w:t>
      </w:r>
    </w:p>
  </w:footnote>
  <w:footnote w:id="1771">
    <w:p w14:paraId="0E4A485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שבת פ״ב </w:t>
      </w:r>
      <w:proofErr w:type="spellStart"/>
      <w:r>
        <w:rPr>
          <w:sz w:val="20"/>
          <w:szCs w:val="20"/>
          <w:rtl/>
        </w:rPr>
        <w:t>ה״ו</w:t>
      </w:r>
      <w:proofErr w:type="spellEnd"/>
      <w:r>
        <w:rPr>
          <w:sz w:val="20"/>
          <w:szCs w:val="20"/>
          <w:rtl/>
        </w:rPr>
        <w:t>.</w:t>
      </w:r>
    </w:p>
  </w:footnote>
  <w:footnote w:id="1772">
    <w:p w14:paraId="52C6366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נראה שר׳ </w:t>
      </w:r>
      <w:proofErr w:type="spellStart"/>
      <w:r>
        <w:rPr>
          <w:sz w:val="20"/>
          <w:szCs w:val="20"/>
          <w:rtl/>
        </w:rPr>
        <w:t>מאיר־שמחה</w:t>
      </w:r>
      <w:proofErr w:type="spellEnd"/>
      <w:r>
        <w:rPr>
          <w:sz w:val="20"/>
          <w:szCs w:val="20"/>
          <w:rtl/>
        </w:rPr>
        <w:t xml:space="preserve"> החיל כאן את הכלל שבמסכת שבת (</w:t>
      </w:r>
      <w:proofErr w:type="spellStart"/>
      <w:r>
        <w:rPr>
          <w:sz w:val="20"/>
          <w:szCs w:val="20"/>
          <w:rtl/>
        </w:rPr>
        <w:t>קכט</w:t>
      </w:r>
      <w:proofErr w:type="spellEnd"/>
      <w:r>
        <w:rPr>
          <w:sz w:val="20"/>
          <w:szCs w:val="20"/>
          <w:rtl/>
        </w:rPr>
        <w:t xml:space="preserve"> ע״ב), כיון </w:t>
      </w:r>
      <w:proofErr w:type="spellStart"/>
      <w:r>
        <w:rPr>
          <w:sz w:val="20"/>
          <w:szCs w:val="20"/>
          <w:rtl/>
        </w:rPr>
        <w:t>דדשו</w:t>
      </w:r>
      <w:proofErr w:type="spellEnd"/>
      <w:r>
        <w:rPr>
          <w:sz w:val="20"/>
          <w:szCs w:val="20"/>
          <w:rtl/>
        </w:rPr>
        <w:t xml:space="preserve"> בה רבים </w:t>
      </w:r>
      <w:proofErr w:type="spellStart"/>
      <w:r>
        <w:rPr>
          <w:sz w:val="20"/>
          <w:szCs w:val="20"/>
          <w:rtl/>
        </w:rPr>
        <w:t>וכו</w:t>
      </w:r>
      <w:proofErr w:type="spellEnd"/>
      <w:r>
        <w:rPr>
          <w:sz w:val="20"/>
          <w:szCs w:val="20"/>
          <w:rtl/>
        </w:rPr>
        <w:t>׳. וגם ע׳ קרבן העדה בירושלמי שם שלדבר מצוה מותר.</w:t>
      </w:r>
    </w:p>
  </w:footnote>
  <w:footnote w:id="1773">
    <w:p w14:paraId="1920FBF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את מקום הירושלמי שהזכיר הסבא מסר לי ר׳ חיים </w:t>
      </w:r>
      <w:proofErr w:type="spellStart"/>
      <w:r>
        <w:rPr>
          <w:sz w:val="20"/>
          <w:szCs w:val="20"/>
          <w:rtl/>
        </w:rPr>
        <w:t xml:space="preserve">קניבסקי</w:t>
      </w:r>
      <w:proofErr w:type="spellEnd"/>
      <w:r>
        <w:rPr>
          <w:sz w:val="20"/>
          <w:szCs w:val="20"/>
          <w:rtl/>
        </w:rPr>
        <w:t xml:space="preserve">, אבל את מקור הירושלמי שציטט ר׳ </w:t>
      </w:r>
      <w:proofErr w:type="spellStart"/>
      <w:r>
        <w:rPr>
          <w:sz w:val="20"/>
          <w:szCs w:val="20"/>
          <w:rtl/>
        </w:rPr>
        <w:t>מאיר־שמחה</w:t>
      </w:r>
      <w:proofErr w:type="spellEnd"/>
      <w:r>
        <w:rPr>
          <w:sz w:val="20"/>
          <w:szCs w:val="20"/>
          <w:rtl/>
        </w:rPr>
        <w:t xml:space="preserve"> הוא לא הכיר. מכיוון שלא ייתכן שר׳ חיים </w:t>
      </w:r>
      <w:proofErr w:type="spellStart"/>
      <w:r>
        <w:rPr>
          <w:sz w:val="20"/>
          <w:szCs w:val="20"/>
          <w:rtl/>
        </w:rPr>
        <w:t xml:space="preserve">קניבסקי</w:t>
      </w:r>
      <w:proofErr w:type="spellEnd"/>
      <w:r>
        <w:rPr>
          <w:sz w:val="20"/>
          <w:szCs w:val="20"/>
          <w:rtl/>
        </w:rPr>
        <w:t xml:space="preserve"> לא יכיר מקור כלשהו בתלמוד הירושלמי, סבור אני שדברי ר׳ </w:t>
      </w:r>
      <w:proofErr w:type="spellStart"/>
      <w:r>
        <w:rPr>
          <w:sz w:val="20"/>
          <w:szCs w:val="20"/>
          <w:rtl/>
        </w:rPr>
        <w:t>מאיר־שמחה</w:t>
      </w:r>
      <w:proofErr w:type="spellEnd"/>
      <w:r>
        <w:rPr>
          <w:sz w:val="20"/>
          <w:szCs w:val="20"/>
          <w:rtl/>
        </w:rPr>
        <w:t xml:space="preserve"> נמסרו שלא בדייקנות – כמסופר להלן.</w:t>
      </w:r>
    </w:p>
  </w:footnote>
  <w:footnote w:id="1774">
    <w:p w14:paraId="216FB6B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1, הערה 32.</w:t>
      </w:r>
    </w:p>
  </w:footnote>
  <w:footnote w:id="1775">
    <w:p w14:paraId="55C2090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רבנו החיל את עצת ר׳ </w:t>
      </w:r>
      <w:proofErr w:type="spellStart"/>
      <w:r>
        <w:rPr>
          <w:sz w:val="20"/>
          <w:szCs w:val="20"/>
          <w:rtl/>
        </w:rPr>
        <w:t>מאיר־שמחה</w:t>
      </w:r>
      <w:proofErr w:type="spellEnd"/>
      <w:r>
        <w:rPr>
          <w:sz w:val="20"/>
          <w:szCs w:val="20"/>
          <w:rtl/>
        </w:rPr>
        <w:t xml:space="preserve"> על תוכניותיו של מרואיין זה למתיבתא במיאמי, ואמר: “בנה עם תלמידים ממיאמי, דבר שטוב למיאמי, ותצליח”. אבי יעץ גם שיהיה במוסד מדור לזקנים, “שמטבע הדברים יש בהם ניצוץ תשובה שאין להם דרך להפנותו: לכן הם שרים, מתרועעים ומבזבזים את זמנם. מצווה גדולה תהיה לעשות להם ישיבה”. הוא ציטט תוספות </w:t>
      </w:r>
      <w:proofErr w:type="spellStart"/>
      <w:r>
        <w:rPr>
          <w:sz w:val="20"/>
          <w:szCs w:val="20"/>
          <w:rtl/>
        </w:rPr>
        <w:t>בבבא</w:t>
      </w:r>
      <w:proofErr w:type="spellEnd"/>
      <w:r>
        <w:rPr>
          <w:sz w:val="20"/>
          <w:szCs w:val="20"/>
          <w:rtl/>
        </w:rPr>
        <w:t xml:space="preserve"> </w:t>
      </w:r>
      <w:proofErr w:type="spellStart"/>
      <w:r>
        <w:rPr>
          <w:sz w:val="20"/>
          <w:szCs w:val="20"/>
          <w:rtl/>
        </w:rPr>
        <w:t>בתרא</w:t>
      </w:r>
      <w:proofErr w:type="spellEnd"/>
      <w:r>
        <w:rPr>
          <w:sz w:val="20"/>
          <w:szCs w:val="20"/>
          <w:rtl/>
        </w:rPr>
        <w:t xml:space="preserve"> </w:t>
      </w:r>
      <w:proofErr w:type="spellStart"/>
      <w:r>
        <w:rPr>
          <w:sz w:val="20"/>
          <w:szCs w:val="20"/>
          <w:rtl/>
        </w:rPr>
        <w:t>כא</w:t>
      </w:r>
      <w:proofErr w:type="spellEnd"/>
      <w:r>
        <w:rPr>
          <w:sz w:val="20"/>
          <w:szCs w:val="20"/>
          <w:rtl/>
        </w:rPr>
        <w:t xml:space="preserve"> ע״א, ד״ה “ולמדתם”, והוסיף: “כשפרנסתו של אדם מצויה לו – מעשר שני במקרה שבתוספות, ופנסיות במקרה של גמלאי מיאמי – אפשר להתקדם בתורה וביראת שמים אם נמצאים בסביבה של קדושה, כגון המתיבתא”.</w:t>
      </w:r>
    </w:p>
  </w:footnote>
  <w:footnote w:id="1776">
    <w:p w14:paraId="0FE0933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92.</w:t>
      </w:r>
    </w:p>
  </w:footnote>
  <w:footnote w:id="1777">
    <w:p w14:paraId="357C06E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2.</w:t>
      </w:r>
    </w:p>
  </w:footnote>
  <w:footnote w:id="1778">
    <w:p w14:paraId="7222DEE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הקורא יתרגש מן </w:t>
      </w:r>
      <w:proofErr w:type="spellStart"/>
      <w:r>
        <w:rPr>
          <w:sz w:val="20"/>
          <w:szCs w:val="20"/>
          <w:rtl/>
        </w:rPr>
        <w:t>ה“שיחה</w:t>
      </w:r>
      <w:proofErr w:type="spellEnd"/>
      <w:r>
        <w:rPr>
          <w:sz w:val="20"/>
          <w:szCs w:val="20"/>
          <w:rtl/>
        </w:rPr>
        <w:t xml:space="preserve">” של הסבא שנדפסה – בצירוף הערת שוליים מתנצלת – </w:t>
      </w:r>
      <w:proofErr w:type="spellStart"/>
      <w:r>
        <w:rPr>
          <w:sz w:val="20"/>
          <w:szCs w:val="20"/>
          <w:rtl/>
        </w:rPr>
        <w:t>ב“שרידי</w:t>
      </w:r>
      <w:proofErr w:type="spellEnd"/>
      <w:r>
        <w:rPr>
          <w:sz w:val="20"/>
          <w:szCs w:val="20"/>
          <w:rtl/>
        </w:rPr>
        <w:t xml:space="preserve"> אש”, עמ׳ </w:t>
      </w:r>
      <w:proofErr w:type="spellStart"/>
      <w:r>
        <w:rPr>
          <w:sz w:val="20"/>
          <w:szCs w:val="20"/>
          <w:rtl/>
        </w:rPr>
        <w:t>שיב</w:t>
      </w:r>
      <w:proofErr w:type="spellEnd"/>
      <w:r>
        <w:rPr>
          <w:sz w:val="20"/>
          <w:szCs w:val="20"/>
          <w:rtl/>
        </w:rPr>
        <w:t xml:space="preserve">–שטו. בראשה באה פסקה זו: “נוהגים היו גדולי ליטא, </w:t>
      </w:r>
      <w:proofErr w:type="spellStart"/>
      <w:r>
        <w:rPr>
          <w:sz w:val="20"/>
          <w:szCs w:val="20"/>
          <w:rtl/>
        </w:rPr>
        <w:t>הגרח״ע</w:t>
      </w:r>
      <w:proofErr w:type="spellEnd"/>
      <w:r>
        <w:rPr>
          <w:sz w:val="20"/>
          <w:szCs w:val="20"/>
          <w:rtl/>
        </w:rPr>
        <w:t xml:space="preserve"> </w:t>
      </w:r>
      <w:proofErr w:type="spellStart"/>
      <w:r>
        <w:rPr>
          <w:sz w:val="20"/>
          <w:szCs w:val="20"/>
          <w:rtl/>
        </w:rPr>
        <w:t>מוילנא</w:t>
      </w:r>
      <w:proofErr w:type="spellEnd"/>
      <w:r>
        <w:rPr>
          <w:sz w:val="20"/>
          <w:szCs w:val="20"/>
          <w:rtl/>
        </w:rPr>
        <w:t xml:space="preserve">, </w:t>
      </w:r>
      <w:proofErr w:type="spellStart"/>
      <w:r>
        <w:rPr>
          <w:sz w:val="20"/>
          <w:szCs w:val="20"/>
          <w:rtl/>
        </w:rPr>
        <w:t>הגר״א</w:t>
      </w:r>
      <w:proofErr w:type="spellEnd"/>
      <w:r>
        <w:rPr>
          <w:sz w:val="20"/>
          <w:szCs w:val="20"/>
          <w:rtl/>
        </w:rPr>
        <w:t xml:space="preserve"> </w:t>
      </w:r>
      <w:proofErr w:type="spellStart"/>
      <w:r>
        <w:rPr>
          <w:sz w:val="20"/>
          <w:szCs w:val="20"/>
          <w:rtl/>
        </w:rPr>
        <w:t>רבינוביץ</w:t>
      </w:r>
      <w:proofErr w:type="spellEnd"/>
      <w:r>
        <w:rPr>
          <w:sz w:val="20"/>
          <w:szCs w:val="20"/>
          <w:rtl/>
        </w:rPr>
        <w:t xml:space="preserve"> ממינסק ואף הסבא </w:t>
      </w:r>
      <w:proofErr w:type="spellStart"/>
      <w:r>
        <w:rPr>
          <w:sz w:val="20"/>
          <w:szCs w:val="20"/>
          <w:rtl/>
        </w:rPr>
        <w:t>מסלבודקה</w:t>
      </w:r>
      <w:proofErr w:type="spellEnd"/>
      <w:r>
        <w:rPr>
          <w:sz w:val="20"/>
          <w:szCs w:val="20"/>
          <w:rtl/>
        </w:rPr>
        <w:t xml:space="preserve"> בתוכם, לבוא בימות הקיץ לעיר הרחצה </w:t>
      </w:r>
      <w:proofErr w:type="spellStart"/>
      <w:r>
        <w:rPr>
          <w:sz w:val="20"/>
          <w:szCs w:val="20"/>
          <w:rtl/>
        </w:rPr>
        <w:t>קראנץ</w:t>
      </w:r>
      <w:proofErr w:type="spellEnd"/>
      <w:r>
        <w:rPr>
          <w:sz w:val="20"/>
          <w:szCs w:val="20"/>
          <w:rtl/>
        </w:rPr>
        <w:t xml:space="preserve"> הסמוכה לקניגסברג בירת פרוסיה המזרחית... פקודת הרופאים גברה על הסבא, ז״ל, להפסיק בעונת הרפואה מעבודת העיון והמחשבה ורק לטייל במנוחה על שפת הים. בטיולים אלו לוינו, אנחנו רבנים צעירים מליטא, את הסבא, כדי להקשיב לשיחות חולין שלו”.</w:t>
      </w:r>
    </w:p>
  </w:footnote>
  <w:footnote w:id="1779">
    <w:p w14:paraId="3ECD58B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חיה־מרים</w:t>
      </w:r>
      <w:proofErr w:type="spellEnd"/>
      <w:r>
        <w:rPr>
          <w:sz w:val="20"/>
          <w:szCs w:val="20"/>
          <w:rtl/>
        </w:rPr>
        <w:t xml:space="preserve"> </w:t>
      </w:r>
      <w:proofErr w:type="spellStart"/>
      <w:r>
        <w:rPr>
          <w:sz w:val="20"/>
          <w:szCs w:val="20"/>
          <w:rtl/>
        </w:rPr>
        <w:t>שולמן</w:t>
      </w:r>
      <w:proofErr w:type="spellEnd"/>
      <w:r>
        <w:rPr>
          <w:sz w:val="20"/>
          <w:szCs w:val="20"/>
          <w:rtl/>
        </w:rPr>
        <w:t xml:space="preserve">, נכדת הסבא, בריאיון מיום 13 בנובמבר 1991, בעניין הסבא; ובעניין ר׳ </w:t>
      </w:r>
      <w:proofErr w:type="spellStart"/>
      <w:r>
        <w:rPr>
          <w:sz w:val="20"/>
          <w:szCs w:val="20"/>
          <w:rtl/>
        </w:rPr>
        <w:t>חיים־עוזר</w:t>
      </w:r>
      <w:proofErr w:type="spellEnd"/>
      <w:r>
        <w:rPr>
          <w:sz w:val="20"/>
          <w:szCs w:val="20"/>
          <w:rtl/>
        </w:rPr>
        <w:t xml:space="preserve">, עמ׳ 26 </w:t>
      </w:r>
      <w:proofErr w:type="spellStart"/>
      <w:r>
        <w:rPr>
          <w:sz w:val="20"/>
          <w:szCs w:val="20"/>
          <w:rtl/>
        </w:rPr>
        <w:t>ב“דאס</w:t>
      </w:r>
      <w:proofErr w:type="spellEnd"/>
      <w:r>
        <w:rPr>
          <w:sz w:val="20"/>
          <w:szCs w:val="20"/>
          <w:rtl/>
        </w:rPr>
        <w:t xml:space="preserve"> אידישע </w:t>
      </w:r>
      <w:proofErr w:type="spellStart"/>
      <w:r>
        <w:rPr>
          <w:sz w:val="20"/>
          <w:szCs w:val="20"/>
          <w:rtl/>
        </w:rPr>
        <w:t>ווארט</w:t>
      </w:r>
      <w:proofErr w:type="spellEnd"/>
      <w:r>
        <w:rPr>
          <w:sz w:val="20"/>
          <w:szCs w:val="20"/>
          <w:rtl/>
        </w:rPr>
        <w:t>”, גיליון אדר ב–ניסן תשמ״ט (מס׳ 282), מאמר מאת אחי שמשון רפאל שכותרתו “</w:t>
      </w:r>
      <w:proofErr w:type="spellStart"/>
      <w:r>
        <w:rPr>
          <w:sz w:val="20"/>
          <w:szCs w:val="20"/>
          <w:rtl/>
        </w:rPr>
        <w:t>תורה־אידען</w:t>
      </w:r>
      <w:proofErr w:type="spellEnd"/>
      <w:r>
        <w:rPr>
          <w:sz w:val="20"/>
          <w:szCs w:val="20"/>
          <w:rtl/>
        </w:rPr>
        <w:t xml:space="preserve"> אין </w:t>
      </w:r>
      <w:proofErr w:type="spellStart"/>
      <w:r>
        <w:rPr>
          <w:sz w:val="20"/>
          <w:szCs w:val="20"/>
          <w:rtl/>
        </w:rPr>
        <w:t>בערלין</w:t>
      </w:r>
      <w:proofErr w:type="spellEnd"/>
      <w:r>
        <w:rPr>
          <w:sz w:val="20"/>
          <w:szCs w:val="20"/>
          <w:rtl/>
        </w:rPr>
        <w:t>”.</w:t>
      </w:r>
    </w:p>
  </w:footnote>
  <w:footnote w:id="1780">
    <w:p w14:paraId="66D0815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5 </w:t>
      </w:r>
      <w:proofErr w:type="spellStart"/>
      <w:r>
        <w:rPr>
          <w:sz w:val="20"/>
          <w:szCs w:val="20"/>
          <w:rtl/>
        </w:rPr>
        <w:t>ב“ר</w:t>
      </w:r>
      <w:proofErr w:type="spellEnd"/>
      <w:r>
        <w:rPr>
          <w:sz w:val="20"/>
          <w:szCs w:val="20"/>
          <w:rtl/>
        </w:rPr>
        <w:t xml:space="preserve">׳ חיים עוזר”, מאת הרב שמעון </w:t>
      </w:r>
      <w:proofErr w:type="spellStart"/>
      <w:r>
        <w:rPr>
          <w:sz w:val="20"/>
          <w:szCs w:val="20"/>
          <w:rtl/>
        </w:rPr>
        <w:t>פינקלמן</w:t>
      </w:r>
      <w:proofErr w:type="spellEnd"/>
      <w:r>
        <w:rPr>
          <w:sz w:val="20"/>
          <w:szCs w:val="20"/>
          <w:rtl/>
        </w:rPr>
        <w:t xml:space="preserve"> (הוצאת </w:t>
      </w:r>
      <w:proofErr w:type="spellStart"/>
      <w:r>
        <w:rPr>
          <w:sz w:val="20"/>
          <w:szCs w:val="20"/>
          <w:rtl/>
        </w:rPr>
        <w:t>ארטסקרול</w:t>
      </w:r>
      <w:proofErr w:type="spellEnd"/>
      <w:r>
        <w:rPr>
          <w:sz w:val="20"/>
          <w:szCs w:val="20"/>
          <w:rtl/>
        </w:rPr>
        <w:t xml:space="preserve"> מסורה, ברוקלין, 1987). נראה שמחבר זה אינו יודע על תלאותיו של ר׳ </w:t>
      </w:r>
      <w:proofErr w:type="spellStart"/>
      <w:r>
        <w:rPr>
          <w:sz w:val="20"/>
          <w:szCs w:val="20"/>
          <w:rtl/>
        </w:rPr>
        <w:t>חיים־עוזר</w:t>
      </w:r>
      <w:proofErr w:type="spellEnd"/>
      <w:r>
        <w:rPr>
          <w:sz w:val="20"/>
          <w:szCs w:val="20"/>
          <w:rtl/>
        </w:rPr>
        <w:t xml:space="preserve"> בפרוץ המלחמה, שנזכרו לעיל. אחרי המהפכה הרוסית שונה שמה של </w:t>
      </w:r>
      <w:proofErr w:type="spellStart"/>
      <w:r>
        <w:rPr>
          <w:sz w:val="20"/>
          <w:szCs w:val="20"/>
          <w:rtl/>
        </w:rPr>
        <w:t>יקטרינוסלב</w:t>
      </w:r>
      <w:proofErr w:type="spellEnd"/>
      <w:r>
        <w:rPr>
          <w:sz w:val="20"/>
          <w:szCs w:val="20"/>
          <w:rtl/>
        </w:rPr>
        <w:t xml:space="preserve"> </w:t>
      </w:r>
      <w:proofErr w:type="spellStart"/>
      <w:r>
        <w:rPr>
          <w:sz w:val="20"/>
          <w:szCs w:val="20"/>
          <w:rtl/>
        </w:rPr>
        <w:t>לדנייפרופטרובסק</w:t>
      </w:r>
      <w:proofErr w:type="spellEnd"/>
      <w:r>
        <w:rPr>
          <w:sz w:val="20"/>
          <w:szCs w:val="20"/>
          <w:rtl/>
        </w:rPr>
        <w:t>.</w:t>
      </w:r>
    </w:p>
  </w:footnote>
  <w:footnote w:id="1781">
    <w:p w14:paraId="67FF279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ב“ספר</w:t>
      </w:r>
      <w:proofErr w:type="spellEnd"/>
      <w:r>
        <w:rPr>
          <w:sz w:val="20"/>
          <w:szCs w:val="20"/>
          <w:rtl/>
        </w:rPr>
        <w:t xml:space="preserve"> רבנו מאיר שמחה כהן זצ״ל” מאת הרב זאב אריה </w:t>
      </w:r>
      <w:proofErr w:type="spellStart"/>
      <w:r>
        <w:rPr>
          <w:sz w:val="20"/>
          <w:szCs w:val="20"/>
          <w:rtl/>
        </w:rPr>
        <w:t>רבינר</w:t>
      </w:r>
      <w:proofErr w:type="spellEnd"/>
      <w:r>
        <w:rPr>
          <w:sz w:val="20"/>
          <w:szCs w:val="20"/>
          <w:rtl/>
        </w:rPr>
        <w:t xml:space="preserve"> (תל אביב, תשכ״ז) מובאים תאריכים סותרים ללידת ר׳ </w:t>
      </w:r>
      <w:proofErr w:type="spellStart"/>
      <w:r>
        <w:rPr>
          <w:sz w:val="20"/>
          <w:szCs w:val="20"/>
          <w:rtl/>
        </w:rPr>
        <w:t>מאיר־שמחה</w:t>
      </w:r>
      <w:proofErr w:type="spellEnd"/>
      <w:r>
        <w:rPr>
          <w:sz w:val="20"/>
          <w:szCs w:val="20"/>
          <w:rtl/>
        </w:rPr>
        <w:t xml:space="preserve"> כהן: תר״י </w:t>
      </w:r>
      <w:proofErr w:type="spellStart"/>
      <w:r>
        <w:rPr>
          <w:sz w:val="20"/>
          <w:szCs w:val="20"/>
          <w:rtl/>
        </w:rPr>
        <w:t>ו“בערך</w:t>
      </w:r>
      <w:proofErr w:type="spellEnd"/>
      <w:r>
        <w:rPr>
          <w:sz w:val="20"/>
          <w:szCs w:val="20"/>
          <w:rtl/>
        </w:rPr>
        <w:t xml:space="preserve"> תר״ה”, בעמ׳ </w:t>
      </w:r>
      <w:proofErr w:type="spellStart"/>
      <w:r>
        <w:rPr>
          <w:sz w:val="20"/>
          <w:szCs w:val="20"/>
          <w:rtl/>
        </w:rPr>
        <w:t>רלב</w:t>
      </w:r>
      <w:proofErr w:type="spellEnd"/>
      <w:r>
        <w:rPr>
          <w:sz w:val="20"/>
          <w:szCs w:val="20"/>
          <w:rtl/>
        </w:rPr>
        <w:t xml:space="preserve"> </w:t>
      </w:r>
      <w:proofErr w:type="spellStart"/>
      <w:r>
        <w:rPr>
          <w:sz w:val="20"/>
          <w:szCs w:val="20"/>
          <w:rtl/>
        </w:rPr>
        <w:t>וכב</w:t>
      </w:r>
      <w:proofErr w:type="spellEnd"/>
      <w:r>
        <w:rPr>
          <w:sz w:val="20"/>
          <w:szCs w:val="20"/>
          <w:rtl/>
        </w:rPr>
        <w:t xml:space="preserve"> בהתאמה. אבל ר׳ אלי׳ שווי אמר לי בריאיון מיום 17 בנובמבר 1987 שאביו אמר בפירוש: “אני נולדתי </w:t>
      </w:r>
      <w:proofErr w:type="spellStart"/>
      <w:r>
        <w:rPr>
          <w:sz w:val="20"/>
          <w:szCs w:val="20"/>
          <w:rtl/>
        </w:rPr>
        <w:t>בתר״נ</w:t>
      </w:r>
      <w:proofErr w:type="spellEnd"/>
      <w:r>
        <w:rPr>
          <w:sz w:val="20"/>
          <w:szCs w:val="20"/>
          <w:rtl/>
        </w:rPr>
        <w:t xml:space="preserve">, ור׳ </w:t>
      </w:r>
      <w:proofErr w:type="spellStart"/>
      <w:r>
        <w:rPr>
          <w:sz w:val="20"/>
          <w:szCs w:val="20"/>
          <w:rtl/>
        </w:rPr>
        <w:t>מאיר־שמחה</w:t>
      </w:r>
      <w:proofErr w:type="spellEnd"/>
      <w:r>
        <w:rPr>
          <w:sz w:val="20"/>
          <w:szCs w:val="20"/>
          <w:rtl/>
        </w:rPr>
        <w:t xml:space="preserve"> נולד </w:t>
      </w:r>
      <w:proofErr w:type="spellStart"/>
      <w:r>
        <w:rPr>
          <w:sz w:val="20"/>
          <w:szCs w:val="20"/>
          <w:rtl/>
        </w:rPr>
        <w:t>בתר״ג</w:t>
      </w:r>
      <w:proofErr w:type="spellEnd"/>
      <w:r>
        <w:rPr>
          <w:sz w:val="20"/>
          <w:szCs w:val="20"/>
          <w:rtl/>
        </w:rPr>
        <w:t>”.</w:t>
      </w:r>
    </w:p>
  </w:footnote>
  <w:footnote w:id="1782">
    <w:p w14:paraId="429FD50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כך נמסר בספרו של </w:t>
      </w:r>
      <w:proofErr w:type="spellStart"/>
      <w:r>
        <w:rPr>
          <w:sz w:val="20"/>
          <w:szCs w:val="20"/>
          <w:rtl/>
        </w:rPr>
        <w:t>רבינר</w:t>
      </w:r>
      <w:proofErr w:type="spellEnd"/>
      <w:r>
        <w:rPr>
          <w:sz w:val="20"/>
          <w:szCs w:val="20"/>
          <w:rtl/>
        </w:rPr>
        <w:t xml:space="preserve">, “הגאון רבי אליעזר גורדון” (נספח ב לעיל), עמ׳ </w:t>
      </w:r>
      <w:proofErr w:type="spellStart"/>
      <w:r>
        <w:rPr>
          <w:sz w:val="20"/>
          <w:szCs w:val="20"/>
          <w:rtl/>
        </w:rPr>
        <w:t>קמב</w:t>
      </w:r>
      <w:proofErr w:type="spellEnd"/>
      <w:r>
        <w:rPr>
          <w:sz w:val="20"/>
          <w:szCs w:val="20"/>
          <w:rtl/>
        </w:rPr>
        <w:t>.</w:t>
      </w:r>
    </w:p>
  </w:footnote>
  <w:footnote w:id="1783">
    <w:p w14:paraId="08BB63D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w:t>
      </w:r>
      <w:proofErr w:type="spellStart"/>
      <w:r>
        <w:rPr>
          <w:sz w:val="20"/>
          <w:szCs w:val="20"/>
          <w:rtl/>
        </w:rPr>
        <w:t>שמוש</w:t>
      </w:r>
      <w:proofErr w:type="spellEnd"/>
      <w:r>
        <w:rPr>
          <w:sz w:val="20"/>
          <w:szCs w:val="20"/>
          <w:rtl/>
        </w:rPr>
        <w:t xml:space="preserve"> חכמים” (הערה 18 לעיל), עמ׳ </w:t>
      </w:r>
      <w:proofErr w:type="spellStart"/>
      <w:r>
        <w:rPr>
          <w:sz w:val="20"/>
          <w:szCs w:val="20"/>
          <w:rtl/>
        </w:rPr>
        <w:t>קצז</w:t>
      </w:r>
      <w:proofErr w:type="spellEnd"/>
      <w:r>
        <w:rPr>
          <w:sz w:val="20"/>
          <w:szCs w:val="20"/>
          <w:rtl/>
        </w:rPr>
        <w:t xml:space="preserve">, אף הוא בשם ר׳ </w:t>
      </w:r>
      <w:proofErr w:type="spellStart"/>
      <w:r>
        <w:rPr>
          <w:sz w:val="20"/>
          <w:szCs w:val="20"/>
          <w:rtl/>
        </w:rPr>
        <w:t>יעקב־יצחק</w:t>
      </w:r>
      <w:proofErr w:type="spellEnd"/>
      <w:r>
        <w:rPr>
          <w:sz w:val="20"/>
          <w:szCs w:val="20"/>
          <w:rtl/>
        </w:rPr>
        <w:t xml:space="preserve"> </w:t>
      </w:r>
      <w:proofErr w:type="spellStart"/>
      <w:r>
        <w:rPr>
          <w:sz w:val="20"/>
          <w:szCs w:val="20"/>
          <w:rtl/>
        </w:rPr>
        <w:t>רודרמן</w:t>
      </w:r>
      <w:proofErr w:type="spellEnd"/>
      <w:r>
        <w:rPr>
          <w:sz w:val="20"/>
          <w:szCs w:val="20"/>
          <w:rtl/>
        </w:rPr>
        <w:t>.</w:t>
      </w:r>
    </w:p>
  </w:footnote>
  <w:footnote w:id="1784">
    <w:p w14:paraId="17F1750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ביום 19 ביולי 2001 סיפר לי ר׳ דניאל לוי שר׳ </w:t>
      </w:r>
      <w:proofErr w:type="spellStart"/>
      <w:r>
        <w:rPr>
          <w:sz w:val="20"/>
          <w:szCs w:val="20"/>
          <w:rtl/>
        </w:rPr>
        <w:t>נתן־צבי</w:t>
      </w:r>
      <w:proofErr w:type="spellEnd"/>
      <w:r>
        <w:rPr>
          <w:sz w:val="20"/>
          <w:szCs w:val="20"/>
          <w:rtl/>
        </w:rPr>
        <w:t xml:space="preserve"> </w:t>
      </w:r>
      <w:proofErr w:type="spellStart"/>
      <w:r>
        <w:rPr>
          <w:sz w:val="20"/>
          <w:szCs w:val="20"/>
          <w:rtl/>
        </w:rPr>
        <w:t>פינקל</w:t>
      </w:r>
      <w:proofErr w:type="spellEnd"/>
      <w:r>
        <w:rPr>
          <w:sz w:val="20"/>
          <w:szCs w:val="20"/>
          <w:rtl/>
        </w:rPr>
        <w:t xml:space="preserve"> אמר על רבנו </w:t>
      </w:r>
      <w:proofErr w:type="spellStart"/>
      <w:r>
        <w:rPr>
          <w:sz w:val="20"/>
          <w:szCs w:val="20"/>
          <w:rtl/>
        </w:rPr>
        <w:t>ש“הוא</w:t>
      </w:r>
      <w:proofErr w:type="spellEnd"/>
      <w:r>
        <w:rPr>
          <w:sz w:val="20"/>
          <w:szCs w:val="20"/>
          <w:rtl/>
        </w:rPr>
        <w:t xml:space="preserve"> יהיה יועצו של הדור הבא”. הרב לוי, שביקש את עצת אבי בעניינים רבים (</w:t>
      </w:r>
      <w:proofErr w:type="spellStart"/>
      <w:r>
        <w:rPr>
          <w:sz w:val="20"/>
          <w:szCs w:val="20"/>
          <w:rtl/>
        </w:rPr>
        <w:t>כשלא</w:t>
      </w:r>
      <w:proofErr w:type="spellEnd"/>
      <w:r>
        <w:rPr>
          <w:sz w:val="20"/>
          <w:szCs w:val="20"/>
          <w:rtl/>
        </w:rPr>
        <w:t xml:space="preserve"> יכול היה להיוועץ ברבו, ר׳ משה </w:t>
      </w:r>
      <w:proofErr w:type="spellStart"/>
      <w:r>
        <w:rPr>
          <w:sz w:val="20"/>
          <w:szCs w:val="20"/>
          <w:rtl/>
        </w:rPr>
        <w:t>פיינשטיין</w:t>
      </w:r>
      <w:proofErr w:type="spellEnd"/>
      <w:r>
        <w:rPr>
          <w:sz w:val="20"/>
          <w:szCs w:val="20"/>
          <w:rtl/>
        </w:rPr>
        <w:t xml:space="preserve">), לא זכר מה מקור ידיעה זו. השווה גם כרך 2 על מה שחזה הסבא על עמיתו של אבי </w:t>
      </w:r>
      <w:proofErr w:type="spellStart"/>
      <w:r>
        <w:rPr>
          <w:sz w:val="20"/>
          <w:szCs w:val="20"/>
          <w:rtl/>
        </w:rPr>
        <w:t>בסלבודקה</w:t>
      </w:r>
      <w:proofErr w:type="spellEnd"/>
      <w:r>
        <w:rPr>
          <w:sz w:val="20"/>
          <w:szCs w:val="20"/>
          <w:rtl/>
        </w:rPr>
        <w:t xml:space="preserve">, ר׳ אברהם </w:t>
      </w:r>
      <w:proofErr w:type="spellStart"/>
      <w:r>
        <w:rPr>
          <w:sz w:val="20"/>
          <w:szCs w:val="20"/>
          <w:rtl/>
        </w:rPr>
        <w:t>קלמנוביץ</w:t>
      </w:r>
      <w:proofErr w:type="spellEnd"/>
      <w:r>
        <w:rPr>
          <w:sz w:val="20"/>
          <w:szCs w:val="20"/>
          <w:rtl/>
        </w:rPr>
        <w:t xml:space="preserve">, והשווה הפסקה השנייה בנספח כ להלן על תחזיותיו לטווח קצר יותר בעניין תלמידי </w:t>
      </w:r>
      <w:proofErr w:type="spellStart"/>
      <w:r>
        <w:rPr>
          <w:sz w:val="20"/>
          <w:szCs w:val="20"/>
          <w:rtl/>
        </w:rPr>
        <w:t>סלבודקה</w:t>
      </w:r>
      <w:proofErr w:type="spellEnd"/>
      <w:r>
        <w:rPr>
          <w:sz w:val="20"/>
          <w:szCs w:val="20"/>
          <w:rtl/>
        </w:rPr>
        <w:t xml:space="preserve"> מתקופה מוקדמת.</w:t>
      </w:r>
    </w:p>
  </w:footnote>
  <w:footnote w:id="1785">
    <w:p w14:paraId="2523BCE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מיום 4 בספטמבר 1996.</w:t>
      </w:r>
    </w:p>
  </w:footnote>
  <w:footnote w:id="1786">
    <w:p w14:paraId="6711B8B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בריאיון מיום 13 באוגוסט 1997 לא זכר ממי שמע את הדברים; הם לא נמסרו לו ישירות מרבו.</w:t>
      </w:r>
    </w:p>
  </w:footnote>
  <w:footnote w:id="1787">
    <w:p w14:paraId="2DE8081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נספח טו להלן.</w:t>
      </w:r>
    </w:p>
  </w:footnote>
  <w:footnote w:id="1788">
    <w:p w14:paraId="398A47D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w:t>
      </w:r>
      <w:proofErr w:type="spellStart"/>
      <w:r>
        <w:rPr>
          <w:sz w:val="20"/>
          <w:szCs w:val="20"/>
          <w:rtl/>
        </w:rPr>
        <w:t>ידעאל</w:t>
      </w:r>
      <w:proofErr w:type="spellEnd"/>
      <w:r>
        <w:rPr>
          <w:sz w:val="20"/>
          <w:szCs w:val="20"/>
          <w:rtl/>
        </w:rPr>
        <w:t xml:space="preserve"> מלצר, “בדרך עץ החיים”, עמ׳ 240.</w:t>
      </w:r>
    </w:p>
  </w:footnote>
  <w:footnote w:id="1789">
    <w:p w14:paraId="08F40BB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פסח </w:t>
      </w:r>
      <w:proofErr w:type="spellStart"/>
      <w:r>
        <w:rPr>
          <w:sz w:val="20"/>
          <w:szCs w:val="20"/>
          <w:rtl/>
        </w:rPr>
        <w:t>פרוסקין</w:t>
      </w:r>
      <w:proofErr w:type="spellEnd"/>
      <w:r>
        <w:rPr>
          <w:sz w:val="20"/>
          <w:szCs w:val="20"/>
          <w:rtl/>
        </w:rPr>
        <w:t xml:space="preserve"> ייסד אז ישיבה </w:t>
      </w:r>
      <w:proofErr w:type="spellStart"/>
      <w:r>
        <w:rPr>
          <w:sz w:val="20"/>
          <w:szCs w:val="20"/>
          <w:rtl/>
        </w:rPr>
        <w:t>בשקלוב</w:t>
      </w:r>
      <w:proofErr w:type="spellEnd"/>
      <w:r>
        <w:rPr>
          <w:sz w:val="20"/>
          <w:szCs w:val="20"/>
          <w:rtl/>
        </w:rPr>
        <w:t xml:space="preserve"> עם בחורים </w:t>
      </w:r>
      <w:proofErr w:type="spellStart"/>
      <w:r>
        <w:rPr>
          <w:sz w:val="20"/>
          <w:szCs w:val="20"/>
          <w:rtl/>
        </w:rPr>
        <w:t>מסלוצק</w:t>
      </w:r>
      <w:proofErr w:type="spellEnd"/>
      <w:r>
        <w:rPr>
          <w:sz w:val="20"/>
          <w:szCs w:val="20"/>
          <w:rtl/>
        </w:rPr>
        <w:t xml:space="preserve">, כפי שמסר ר׳ </w:t>
      </w:r>
      <w:proofErr w:type="spellStart"/>
      <w:r>
        <w:rPr>
          <w:sz w:val="20"/>
          <w:szCs w:val="20"/>
          <w:rtl/>
        </w:rPr>
        <w:t>יוסף־אליהו</w:t>
      </w:r>
      <w:proofErr w:type="spellEnd"/>
      <w:r>
        <w:rPr>
          <w:sz w:val="20"/>
          <w:szCs w:val="20"/>
          <w:rtl/>
        </w:rPr>
        <w:t xml:space="preserve"> </w:t>
      </w:r>
      <w:proofErr w:type="spellStart"/>
      <w:r>
        <w:rPr>
          <w:sz w:val="20"/>
          <w:szCs w:val="20"/>
          <w:rtl/>
        </w:rPr>
        <w:t>הענקין</w:t>
      </w:r>
      <w:proofErr w:type="spellEnd"/>
      <w:r>
        <w:rPr>
          <w:sz w:val="20"/>
          <w:szCs w:val="20"/>
          <w:rtl/>
        </w:rPr>
        <w:t xml:space="preserve">, המצוטט בספרו של </w:t>
      </w:r>
      <w:proofErr w:type="spellStart"/>
      <w:r>
        <w:rPr>
          <w:sz w:val="20"/>
          <w:szCs w:val="20"/>
          <w:rtl/>
        </w:rPr>
        <w:t>ידעאל</w:t>
      </w:r>
      <w:proofErr w:type="spellEnd"/>
      <w:r>
        <w:rPr>
          <w:sz w:val="20"/>
          <w:szCs w:val="20"/>
          <w:rtl/>
        </w:rPr>
        <w:t xml:space="preserve"> מלצר, “בדרך עץ החיים”, עמ׳ 333. כשבא אבי </w:t>
      </w:r>
      <w:proofErr w:type="spellStart"/>
      <w:r>
        <w:rPr>
          <w:sz w:val="20"/>
          <w:szCs w:val="20"/>
          <w:rtl/>
        </w:rPr>
        <w:t>לסלוצק</w:t>
      </w:r>
      <w:proofErr w:type="spellEnd"/>
      <w:r>
        <w:rPr>
          <w:sz w:val="20"/>
          <w:szCs w:val="20"/>
          <w:rtl/>
        </w:rPr>
        <w:t xml:space="preserve"> בשנת תרע״א לשנה וחצי של לימודים שם – ראה כרך 2 – כבר עזב ר׳ פסח, לפי שם, עמ׳ 106.</w:t>
      </w:r>
    </w:p>
  </w:footnote>
  <w:footnote w:id="1790">
    <w:p w14:paraId="1572D6F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פרק 5, הערה 28, המספרת שר׳ חיים הציע לסגור את ישיבת </w:t>
      </w:r>
      <w:proofErr w:type="spellStart"/>
      <w:r>
        <w:rPr>
          <w:sz w:val="20"/>
          <w:szCs w:val="20"/>
          <w:rtl/>
        </w:rPr>
        <w:t>מאלטש</w:t>
      </w:r>
      <w:proofErr w:type="spellEnd"/>
      <w:r>
        <w:rPr>
          <w:sz w:val="20"/>
          <w:szCs w:val="20"/>
          <w:rtl/>
        </w:rPr>
        <w:t xml:space="preserve"> מפני הבחורים שסרו שם מן הדרך, במקום לנסות לשפרם. אך סביר שעד שנודע לו מפי ר׳ </w:t>
      </w:r>
      <w:proofErr w:type="spellStart"/>
      <w:r>
        <w:rPr>
          <w:sz w:val="20"/>
          <w:szCs w:val="20"/>
          <w:rtl/>
        </w:rPr>
        <w:t>זלמן־סנדר</w:t>
      </w:r>
      <w:proofErr w:type="spellEnd"/>
      <w:r>
        <w:rPr>
          <w:sz w:val="20"/>
          <w:szCs w:val="20"/>
          <w:rtl/>
        </w:rPr>
        <w:t xml:space="preserve"> </w:t>
      </w:r>
      <w:proofErr w:type="spellStart"/>
      <w:r>
        <w:rPr>
          <w:sz w:val="20"/>
          <w:szCs w:val="20"/>
          <w:rtl/>
        </w:rPr>
        <w:t>כהנא־שפירא</w:t>
      </w:r>
      <w:proofErr w:type="spellEnd"/>
      <w:r>
        <w:rPr>
          <w:sz w:val="20"/>
          <w:szCs w:val="20"/>
          <w:rtl/>
        </w:rPr>
        <w:t xml:space="preserve"> על הבעיות </w:t>
      </w:r>
      <w:proofErr w:type="spellStart"/>
      <w:r>
        <w:rPr>
          <w:sz w:val="20"/>
          <w:szCs w:val="20"/>
          <w:rtl/>
        </w:rPr>
        <w:t>במאלטש</w:t>
      </w:r>
      <w:proofErr w:type="spellEnd"/>
      <w:r>
        <w:rPr>
          <w:sz w:val="20"/>
          <w:szCs w:val="20"/>
          <w:rtl/>
        </w:rPr>
        <w:t>, כבר לא היה אפשר לתקן את התלמידים.</w:t>
      </w:r>
    </w:p>
  </w:footnote>
  <w:footnote w:id="1791">
    <w:p w14:paraId="71AE310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18 במאי 2002.</w:t>
      </w:r>
    </w:p>
  </w:footnote>
  <w:footnote w:id="1792">
    <w:p w14:paraId="429C9FB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הפסקה השלישית בנספח הבא, והפסקה השנייה בנספח ג לעיל.</w:t>
      </w:r>
    </w:p>
  </w:footnote>
  <w:footnote w:id="1793">
    <w:p w14:paraId="0DA7B07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5 בינואר 1998.</w:t>
      </w:r>
    </w:p>
  </w:footnote>
  <w:footnote w:id="1794">
    <w:p w14:paraId="752939D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ברשימותיו של ר׳ אשר </w:t>
      </w:r>
      <w:proofErr w:type="spellStart"/>
      <w:r>
        <w:rPr>
          <w:sz w:val="20"/>
          <w:szCs w:val="20"/>
          <w:rtl/>
        </w:rPr>
        <w:t>קצמן</w:t>
      </w:r>
      <w:proofErr w:type="spellEnd"/>
      <w:r>
        <w:rPr>
          <w:sz w:val="20"/>
          <w:szCs w:val="20"/>
          <w:rtl/>
        </w:rPr>
        <w:t xml:space="preserve"> משיחותיו עם אבי בפלורידה (הנ״ל, פרק 1, הערה 71) השתמש אבי בביטוי “הוא לא ידע איך ‘להחזיק’ בחור”.</w:t>
      </w:r>
    </w:p>
  </w:footnote>
  <w:footnote w:id="1795">
    <w:p w14:paraId="499CD5E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הוצאת ספרים אברהם ציוני, תל אביב, תשכ״ג – עמ׳ 29–30.</w:t>
      </w:r>
    </w:p>
  </w:footnote>
  <w:footnote w:id="1796">
    <w:p w14:paraId="20C7E9C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4.2.</w:t>
      </w:r>
    </w:p>
  </w:footnote>
  <w:footnote w:id="1797">
    <w:p w14:paraId="306104E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“ספר היובל לכבוד וכו׳ ר׳ שמעון יהודה הכהן </w:t>
      </w:r>
      <w:proofErr w:type="spellStart"/>
      <w:r>
        <w:rPr>
          <w:sz w:val="20"/>
          <w:szCs w:val="20"/>
          <w:rtl/>
        </w:rPr>
        <w:t>שקאפ</w:t>
      </w:r>
      <w:proofErr w:type="spellEnd"/>
      <w:r>
        <w:rPr>
          <w:sz w:val="20"/>
          <w:szCs w:val="20"/>
          <w:rtl/>
        </w:rPr>
        <w:t>” (</w:t>
      </w:r>
      <w:proofErr w:type="spellStart"/>
      <w:r>
        <w:rPr>
          <w:sz w:val="20"/>
          <w:szCs w:val="20"/>
          <w:rtl/>
        </w:rPr>
        <w:t>ווארשא</w:t>
      </w:r>
      <w:proofErr w:type="spellEnd"/>
      <w:r>
        <w:rPr>
          <w:sz w:val="20"/>
          <w:szCs w:val="20"/>
          <w:rtl/>
        </w:rPr>
        <w:t>, תרצ״ו) (להלן: ספר היובל).</w:t>
      </w:r>
    </w:p>
  </w:footnote>
  <w:footnote w:id="1798">
    <w:p w14:paraId="150540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בלי שם מחבר ובלי מקום, חשוון תש״ס – עמ׳ 26.</w:t>
      </w:r>
    </w:p>
  </w:footnote>
  <w:footnote w:id="1799">
    <w:p w14:paraId="0592AA4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לשון זו מורה שר׳ לייזר החשיב את ר׳ חיים כרב טוב כמותו. אבל אני מפקפק בדיוק מסירתו של ר׳ </w:t>
      </w:r>
      <w:proofErr w:type="spellStart"/>
      <w:r>
        <w:rPr>
          <w:sz w:val="20"/>
          <w:szCs w:val="20"/>
          <w:rtl/>
        </w:rPr>
        <w:t>יוסף־שלמה</w:t>
      </w:r>
      <w:proofErr w:type="spellEnd"/>
      <w:r>
        <w:rPr>
          <w:sz w:val="20"/>
          <w:szCs w:val="20"/>
          <w:rtl/>
        </w:rPr>
        <w:t xml:space="preserve"> </w:t>
      </w:r>
      <w:proofErr w:type="spellStart"/>
      <w:r>
        <w:rPr>
          <w:sz w:val="20"/>
          <w:szCs w:val="20"/>
          <w:rtl/>
        </w:rPr>
        <w:t>כהנמן</w:t>
      </w:r>
      <w:proofErr w:type="spellEnd"/>
      <w:r>
        <w:rPr>
          <w:sz w:val="20"/>
          <w:szCs w:val="20"/>
          <w:rtl/>
        </w:rPr>
        <w:t xml:space="preserve">, או בדיוק התיאור </w:t>
      </w:r>
      <w:proofErr w:type="spellStart"/>
      <w:r>
        <w:rPr>
          <w:sz w:val="20"/>
          <w:szCs w:val="20"/>
          <w:rtl/>
        </w:rPr>
        <w:t>ב“תנועת</w:t>
      </w:r>
      <w:proofErr w:type="spellEnd"/>
      <w:r>
        <w:rPr>
          <w:sz w:val="20"/>
          <w:szCs w:val="20"/>
          <w:rtl/>
        </w:rPr>
        <w:t xml:space="preserve"> המוסר” בנקודה זו, שכן </w:t>
      </w:r>
      <w:proofErr w:type="spellStart"/>
      <w:r>
        <w:rPr>
          <w:sz w:val="20"/>
          <w:szCs w:val="20"/>
          <w:rtl/>
        </w:rPr>
        <w:t>לר</w:t>
      </w:r>
      <w:proofErr w:type="spellEnd"/>
      <w:r>
        <w:rPr>
          <w:sz w:val="20"/>
          <w:szCs w:val="20"/>
          <w:rtl/>
        </w:rPr>
        <w:t xml:space="preserve">׳ חיים חסרו “הליכות של רב” לא פחות מלר׳ </w:t>
      </w:r>
      <w:proofErr w:type="spellStart"/>
      <w:r>
        <w:rPr>
          <w:sz w:val="20"/>
          <w:szCs w:val="20"/>
          <w:rtl/>
        </w:rPr>
        <w:t>איצל׳ה</w:t>
      </w:r>
      <w:proofErr w:type="spellEnd"/>
      <w:r>
        <w:rPr>
          <w:sz w:val="20"/>
          <w:szCs w:val="20"/>
          <w:rtl/>
        </w:rPr>
        <w:t xml:space="preserve">, אם לא יותר, כפי שהוכח בפרק 5, בפסקה התשיעית בנספח ו ובנספח י. ר׳ לייזר היה מוכן להתפטר גם מרבנות </w:t>
      </w:r>
      <w:proofErr w:type="spellStart"/>
      <w:r>
        <w:rPr>
          <w:sz w:val="20"/>
          <w:szCs w:val="20"/>
          <w:rtl/>
        </w:rPr>
        <w:t>טלז</w:t>
      </w:r>
      <w:proofErr w:type="spellEnd"/>
      <w:r>
        <w:rPr>
          <w:sz w:val="20"/>
          <w:szCs w:val="20"/>
          <w:rtl/>
        </w:rPr>
        <w:t xml:space="preserve"> לטובת ר׳ חיים מפני שהחשיב אותו לראש ישיבה מצוין כל כך, שהיה כדאי לעיר לוותר על רב ראוי כדי לרכוש אותו לישיבתה.</w:t>
      </w:r>
    </w:p>
    <w:p w14:paraId="669AF7B3" w14:textId="77777777" w:rsidR="00AB3647" w:rsidRDefault="00000000">
      <w:pPr>
        <w:spacing w:after="0" w:before="0"/>
        <w:jc w:val="both"/>
      </w:pPr>
      <w:r>
        <w:rPr>
          <w:sz w:val="20"/>
          <w:szCs w:val="20"/>
          <w:rtl/>
        </w:rPr>
        <w:t xml:space="preserve">הערכה זו מתאשרת בדיווח </w:t>
      </w:r>
      <w:proofErr w:type="spellStart"/>
      <w:r>
        <w:rPr>
          <w:sz w:val="20"/>
          <w:szCs w:val="20"/>
          <w:rtl/>
        </w:rPr>
        <w:t>שב“עובדות</w:t>
      </w:r>
      <w:proofErr w:type="spellEnd"/>
      <w:r>
        <w:rPr>
          <w:sz w:val="20"/>
          <w:szCs w:val="20"/>
          <w:rtl/>
        </w:rPr>
        <w:t xml:space="preserve"> והנהגות לבית </w:t>
      </w:r>
      <w:proofErr w:type="spellStart"/>
      <w:r>
        <w:rPr>
          <w:sz w:val="20"/>
          <w:szCs w:val="20"/>
          <w:rtl/>
        </w:rPr>
        <w:t>בריסק</w:t>
      </w:r>
      <w:proofErr w:type="spellEnd"/>
      <w:r>
        <w:rPr>
          <w:sz w:val="20"/>
          <w:szCs w:val="20"/>
          <w:rtl/>
        </w:rPr>
        <w:t xml:space="preserve">”, ח״א, עמ׳ </w:t>
      </w:r>
      <w:proofErr w:type="spellStart"/>
      <w:r>
        <w:rPr>
          <w:sz w:val="20"/>
          <w:szCs w:val="20"/>
          <w:rtl/>
        </w:rPr>
        <w:t>קכה</w:t>
      </w:r>
      <w:proofErr w:type="spellEnd"/>
      <w:r>
        <w:rPr>
          <w:sz w:val="20"/>
          <w:szCs w:val="20"/>
          <w:rtl/>
        </w:rPr>
        <w:t xml:space="preserve">, בשם ר׳ חיים </w:t>
      </w:r>
      <w:proofErr w:type="spellStart"/>
      <w:r>
        <w:rPr>
          <w:sz w:val="20"/>
          <w:szCs w:val="20"/>
          <w:rtl/>
        </w:rPr>
        <w:t>וולקין</w:t>
      </w:r>
      <w:proofErr w:type="spellEnd"/>
      <w:r>
        <w:rPr>
          <w:sz w:val="20"/>
          <w:szCs w:val="20"/>
          <w:rtl/>
        </w:rPr>
        <w:t xml:space="preserve">: ר׳ חיים </w:t>
      </w:r>
      <w:proofErr w:type="spellStart"/>
      <w:r>
        <w:rPr>
          <w:sz w:val="20"/>
          <w:szCs w:val="20"/>
          <w:rtl/>
        </w:rPr>
        <w:t>סולובייצ׳יק</w:t>
      </w:r>
      <w:proofErr w:type="spellEnd"/>
      <w:r>
        <w:rPr>
          <w:sz w:val="20"/>
          <w:szCs w:val="20"/>
          <w:rtl/>
        </w:rPr>
        <w:t xml:space="preserve"> סיפר שר׳ לייזר אכן הציע לו להיות ראש הישיבה </w:t>
      </w:r>
      <w:proofErr w:type="spellStart"/>
      <w:r>
        <w:rPr>
          <w:sz w:val="20"/>
          <w:szCs w:val="20"/>
          <w:rtl/>
        </w:rPr>
        <w:t>בטלז</w:t>
      </w:r>
      <w:proofErr w:type="spellEnd"/>
      <w:r>
        <w:rPr>
          <w:sz w:val="20"/>
          <w:szCs w:val="20"/>
          <w:rtl/>
        </w:rPr>
        <w:t xml:space="preserve"> מיד כשנעשה ר׳ לייזר גורדון רב העיר – ארבע שנים בלבד אחרי שהתחיל ר׳ חיים לומר שיעורים </w:t>
      </w:r>
      <w:proofErr w:type="spellStart"/>
      <w:r>
        <w:rPr>
          <w:sz w:val="20"/>
          <w:szCs w:val="20"/>
          <w:rtl/>
        </w:rPr>
        <w:t>בוולוז׳ין</w:t>
      </w:r>
      <w:proofErr w:type="spellEnd"/>
      <w:r>
        <w:rPr>
          <w:sz w:val="20"/>
          <w:szCs w:val="20"/>
          <w:rtl/>
        </w:rPr>
        <w:t xml:space="preserve">, </w:t>
      </w:r>
      <w:proofErr w:type="spellStart"/>
      <w:r>
        <w:rPr>
          <w:sz w:val="20"/>
          <w:szCs w:val="20"/>
          <w:rtl/>
        </w:rPr>
        <w:t>כשלא</w:t>
      </w:r>
      <w:proofErr w:type="spellEnd"/>
      <w:r>
        <w:rPr>
          <w:sz w:val="20"/>
          <w:szCs w:val="20"/>
          <w:rtl/>
        </w:rPr>
        <w:t xml:space="preserve"> היה לו שום ניסיון ברבנות. לפי דיווחו של ר׳ חיים </w:t>
      </w:r>
      <w:proofErr w:type="spellStart"/>
      <w:r>
        <w:rPr>
          <w:sz w:val="20"/>
          <w:szCs w:val="20"/>
          <w:rtl/>
        </w:rPr>
        <w:t>וולקין</w:t>
      </w:r>
      <w:proofErr w:type="spellEnd"/>
      <w:r>
        <w:rPr>
          <w:sz w:val="20"/>
          <w:szCs w:val="20"/>
          <w:rtl/>
        </w:rPr>
        <w:t xml:space="preserve"> הציע ר׳ לייזר </w:t>
      </w:r>
      <w:proofErr w:type="spellStart"/>
      <w:r>
        <w:rPr>
          <w:sz w:val="20"/>
          <w:szCs w:val="20"/>
          <w:rtl/>
        </w:rPr>
        <w:t>לר</w:t>
      </w:r>
      <w:proofErr w:type="spellEnd"/>
      <w:r>
        <w:rPr>
          <w:sz w:val="20"/>
          <w:szCs w:val="20"/>
          <w:rtl/>
        </w:rPr>
        <w:t xml:space="preserve">׳ חיים גם את הרבנות, </w:t>
      </w:r>
      <w:r>
        <w:rPr>
          <w:b/>
          <w:bCs/>
          <w:sz w:val="20"/>
          <w:szCs w:val="20"/>
          <w:rtl/>
        </w:rPr>
        <w:t>רק אם יימנע</w:t>
      </w:r>
      <w:r>
        <w:rPr>
          <w:sz w:val="20"/>
          <w:szCs w:val="20"/>
          <w:rtl/>
        </w:rPr>
        <w:t xml:space="preserve"> מלקבל את משרת ההוראה מפני שנוכחותו של ר׳ לייזר גורדון בעיר </w:t>
      </w:r>
      <w:r>
        <w:rPr>
          <w:b/>
          <w:bCs/>
          <w:sz w:val="20"/>
          <w:szCs w:val="20"/>
          <w:rtl/>
        </w:rPr>
        <w:t>תפריע לו</w:t>
      </w:r>
      <w:r>
        <w:rPr>
          <w:sz w:val="20"/>
          <w:szCs w:val="20"/>
          <w:rtl/>
        </w:rPr>
        <w:t xml:space="preserve">. ר׳ לייזר </w:t>
      </w:r>
      <w:r>
        <w:rPr>
          <w:b/>
          <w:bCs/>
          <w:sz w:val="20"/>
          <w:szCs w:val="20"/>
          <w:rtl/>
        </w:rPr>
        <w:t>היה עוזב אז</w:t>
      </w:r>
      <w:r>
        <w:rPr>
          <w:sz w:val="20"/>
          <w:szCs w:val="20"/>
          <w:rtl/>
        </w:rPr>
        <w:t xml:space="preserve"> את העיר ומחפש לו רבנות אחרת.</w:t>
      </w:r>
    </w:p>
  </w:footnote>
  <w:footnote w:id="1800">
    <w:p w14:paraId="621D77A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קצד</w:t>
      </w:r>
      <w:proofErr w:type="spellEnd"/>
      <w:r>
        <w:rPr>
          <w:sz w:val="20"/>
          <w:szCs w:val="20"/>
          <w:rtl/>
        </w:rPr>
        <w:t>.</w:t>
      </w:r>
    </w:p>
  </w:footnote>
  <w:footnote w:id="1801">
    <w:p w14:paraId="1F85060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סו</w:t>
      </w:r>
      <w:proofErr w:type="spellEnd"/>
      <w:r>
        <w:rPr>
          <w:sz w:val="20"/>
          <w:szCs w:val="20"/>
          <w:rtl/>
        </w:rPr>
        <w:t>–</w:t>
      </w:r>
      <w:proofErr w:type="spellStart"/>
      <w:r>
        <w:rPr>
          <w:sz w:val="20"/>
          <w:szCs w:val="20"/>
          <w:rtl/>
        </w:rPr>
        <w:t>סז</w:t>
      </w:r>
      <w:proofErr w:type="spellEnd"/>
      <w:r>
        <w:rPr>
          <w:sz w:val="20"/>
          <w:szCs w:val="20"/>
          <w:rtl/>
        </w:rPr>
        <w:t>.</w:t>
      </w:r>
    </w:p>
  </w:footnote>
  <w:footnote w:id="1802">
    <w:p w14:paraId="4D45471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כד.</w:t>
      </w:r>
    </w:p>
  </w:footnote>
  <w:footnote w:id="1803">
    <w:p w14:paraId="75C5CDB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הפסקה הראשונה בנספח </w:t>
      </w:r>
      <w:proofErr w:type="spellStart"/>
      <w:r>
        <w:rPr>
          <w:sz w:val="20"/>
          <w:szCs w:val="20"/>
          <w:rtl/>
        </w:rPr>
        <w:t>יח</w:t>
      </w:r>
      <w:proofErr w:type="spellEnd"/>
      <w:r>
        <w:rPr>
          <w:sz w:val="20"/>
          <w:szCs w:val="20"/>
          <w:rtl/>
        </w:rPr>
        <w:t>, והערה 135 להלן.</w:t>
      </w:r>
    </w:p>
  </w:footnote>
  <w:footnote w:id="1804">
    <w:p w14:paraId="4071EFC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ח״א, עמ׳ קלה.</w:t>
      </w:r>
    </w:p>
  </w:footnote>
  <w:footnote w:id="1805">
    <w:p w14:paraId="6E094AE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w:t>
      </w:r>
      <w:proofErr w:type="spellStart"/>
      <w:r>
        <w:rPr>
          <w:sz w:val="20"/>
          <w:szCs w:val="20"/>
          <w:rtl/>
        </w:rPr>
        <w:t>מאטל</w:t>
      </w:r>
      <w:proofErr w:type="spellEnd"/>
      <w:r>
        <w:rPr>
          <w:sz w:val="20"/>
          <w:szCs w:val="20"/>
          <w:rtl/>
        </w:rPr>
        <w:t xml:space="preserve"> ברקוביץ (פרק 4, נספח </w:t>
      </w:r>
      <w:proofErr w:type="spellStart"/>
      <w:r>
        <w:rPr>
          <w:sz w:val="20"/>
          <w:szCs w:val="20"/>
          <w:rtl/>
        </w:rPr>
        <w:t>טז</w:t>
      </w:r>
      <w:proofErr w:type="spellEnd"/>
      <w:r>
        <w:rPr>
          <w:sz w:val="20"/>
          <w:szCs w:val="20"/>
          <w:rtl/>
        </w:rPr>
        <w:t xml:space="preserve">) סיפר לעומת זאת שר׳ </w:t>
      </w:r>
      <w:proofErr w:type="spellStart"/>
      <w:r>
        <w:rPr>
          <w:sz w:val="20"/>
          <w:szCs w:val="20"/>
          <w:rtl/>
        </w:rPr>
        <w:t>ברוך־בער</w:t>
      </w:r>
      <w:proofErr w:type="spellEnd"/>
      <w:r>
        <w:rPr>
          <w:sz w:val="20"/>
          <w:szCs w:val="20"/>
          <w:rtl/>
        </w:rPr>
        <w:t xml:space="preserve"> שאל את ר׳ חיים אם ראוי הוא ללמד תלמידים, </w:t>
      </w:r>
      <w:r>
        <w:rPr>
          <w:b/>
          <w:bCs/>
          <w:sz w:val="20"/>
          <w:szCs w:val="20"/>
          <w:rtl/>
        </w:rPr>
        <w:t>אחרי</w:t>
      </w:r>
      <w:r>
        <w:rPr>
          <w:sz w:val="20"/>
          <w:szCs w:val="20"/>
          <w:rtl/>
        </w:rPr>
        <w:t xml:space="preserve"> שכבר התחיל ללמד </w:t>
      </w:r>
      <w:proofErr w:type="spellStart"/>
      <w:r>
        <w:rPr>
          <w:sz w:val="20"/>
          <w:szCs w:val="20"/>
          <w:rtl/>
        </w:rPr>
        <w:t>בהלוסק</w:t>
      </w:r>
      <w:proofErr w:type="spellEnd"/>
      <w:r>
        <w:rPr>
          <w:sz w:val="20"/>
          <w:szCs w:val="20"/>
          <w:rtl/>
        </w:rPr>
        <w:t xml:space="preserve">, ור׳ חיים לא השיב. כעבור כמה חודשים שאל ר׳ </w:t>
      </w:r>
      <w:proofErr w:type="spellStart"/>
      <w:r>
        <w:rPr>
          <w:sz w:val="20"/>
          <w:szCs w:val="20"/>
          <w:rtl/>
        </w:rPr>
        <w:t>ברוך־בער</w:t>
      </w:r>
      <w:proofErr w:type="spellEnd"/>
      <w:r>
        <w:rPr>
          <w:sz w:val="20"/>
          <w:szCs w:val="20"/>
          <w:rtl/>
        </w:rPr>
        <w:t xml:space="preserve"> את רבו שוב אותה שאלה, וקיבל תשובה חיובית. ר׳ חיים הסביר שבינתיים פגש אחד מתלמידיו של ר׳ </w:t>
      </w:r>
      <w:proofErr w:type="spellStart"/>
      <w:r>
        <w:rPr>
          <w:sz w:val="20"/>
          <w:szCs w:val="20"/>
          <w:rtl/>
        </w:rPr>
        <w:t>ברוך־בער</w:t>
      </w:r>
      <w:proofErr w:type="spellEnd"/>
      <w:r>
        <w:rPr>
          <w:sz w:val="20"/>
          <w:szCs w:val="20"/>
          <w:rtl/>
        </w:rPr>
        <w:t xml:space="preserve">, וראה כמה טוב מטפל בו רבו. התלמיד שפגש ר׳ חיים היה ר׳ שלמה </w:t>
      </w:r>
      <w:proofErr w:type="spellStart"/>
      <w:r>
        <w:rPr>
          <w:sz w:val="20"/>
          <w:szCs w:val="20"/>
          <w:rtl/>
        </w:rPr>
        <w:t>פאריטשער</w:t>
      </w:r>
      <w:proofErr w:type="spellEnd"/>
      <w:r>
        <w:rPr>
          <w:sz w:val="20"/>
          <w:szCs w:val="20"/>
          <w:rtl/>
        </w:rPr>
        <w:t xml:space="preserve"> (היימן) – ראה פרק 4, נספח </w:t>
      </w:r>
      <w:proofErr w:type="spellStart"/>
      <w:r>
        <w:rPr>
          <w:sz w:val="20"/>
          <w:szCs w:val="20"/>
          <w:rtl/>
        </w:rPr>
        <w:t>טז</w:t>
      </w:r>
      <w:proofErr w:type="spellEnd"/>
      <w:r>
        <w:rPr>
          <w:sz w:val="20"/>
          <w:szCs w:val="20"/>
          <w:rtl/>
        </w:rPr>
        <w:t>.</w:t>
      </w:r>
    </w:p>
  </w:footnote>
  <w:footnote w:id="1806">
    <w:p w14:paraId="758CAD4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כד–כה.</w:t>
      </w:r>
    </w:p>
  </w:footnote>
  <w:footnote w:id="1807">
    <w:p w14:paraId="30DF8F5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שם, עמ׳ </w:t>
      </w:r>
      <w:proofErr w:type="spellStart"/>
      <w:r>
        <w:rPr>
          <w:sz w:val="20"/>
          <w:szCs w:val="20"/>
          <w:rtl/>
        </w:rPr>
        <w:t>קז</w:t>
      </w:r>
      <w:proofErr w:type="spellEnd"/>
      <w:r>
        <w:rPr>
          <w:sz w:val="20"/>
          <w:szCs w:val="20"/>
          <w:rtl/>
        </w:rPr>
        <w:t>–קח.</w:t>
      </w:r>
    </w:p>
  </w:footnote>
  <w:footnote w:id="1808">
    <w:p w14:paraId="0B8A2E9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מה שנראה כדוגמה לכיבוד אב של ר׳ </w:t>
      </w:r>
      <w:proofErr w:type="spellStart"/>
      <w:r>
        <w:rPr>
          <w:sz w:val="20"/>
          <w:szCs w:val="20"/>
          <w:rtl/>
        </w:rPr>
        <w:t>ברוך־בער</w:t>
      </w:r>
      <w:proofErr w:type="spellEnd"/>
      <w:r>
        <w:rPr>
          <w:sz w:val="20"/>
          <w:szCs w:val="20"/>
          <w:rtl/>
        </w:rPr>
        <w:t xml:space="preserve"> הגיע לידיעתי ב־16 בדצמבר 1995, כשסיפר לי ר׳ אביגדור </w:t>
      </w:r>
      <w:proofErr w:type="spellStart"/>
      <w:r>
        <w:rPr>
          <w:sz w:val="20"/>
          <w:szCs w:val="20"/>
          <w:rtl/>
        </w:rPr>
        <w:t>אפען</w:t>
      </w:r>
      <w:proofErr w:type="spellEnd"/>
      <w:r>
        <w:rPr>
          <w:sz w:val="20"/>
          <w:szCs w:val="20"/>
          <w:rtl/>
        </w:rPr>
        <w:t xml:space="preserve"> </w:t>
      </w:r>
      <w:proofErr w:type="spellStart"/>
      <w:r>
        <w:rPr>
          <w:sz w:val="20"/>
          <w:szCs w:val="20"/>
          <w:rtl/>
        </w:rPr>
        <w:t>שבקמניץ</w:t>
      </w:r>
      <w:proofErr w:type="spellEnd"/>
      <w:r>
        <w:rPr>
          <w:sz w:val="20"/>
          <w:szCs w:val="20"/>
          <w:rtl/>
        </w:rPr>
        <w:t xml:space="preserve"> היה תלמיד ששמו כשם אביו של ראש הישיבה, </w:t>
      </w:r>
      <w:proofErr w:type="spellStart"/>
      <w:r>
        <w:rPr>
          <w:sz w:val="20"/>
          <w:szCs w:val="20"/>
          <w:rtl/>
        </w:rPr>
        <w:t>שמואל־דוד</w:t>
      </w:r>
      <w:proofErr w:type="spellEnd"/>
      <w:r>
        <w:rPr>
          <w:sz w:val="20"/>
          <w:szCs w:val="20"/>
          <w:rtl/>
        </w:rPr>
        <w:t xml:space="preserve"> (</w:t>
      </w:r>
      <w:proofErr w:type="spellStart"/>
      <w:r>
        <w:rPr>
          <w:sz w:val="20"/>
          <w:szCs w:val="20"/>
          <w:rtl/>
        </w:rPr>
        <w:t>ורשבצ׳יק</w:t>
      </w:r>
      <w:proofErr w:type="spellEnd"/>
      <w:r>
        <w:rPr>
          <w:sz w:val="20"/>
          <w:szCs w:val="20"/>
          <w:rtl/>
        </w:rPr>
        <w:t xml:space="preserve">, לימים ראש ישיבה בישיבת רבנו יעקב יוסף בניו יורק). כשרצה ר׳ </w:t>
      </w:r>
      <w:proofErr w:type="spellStart"/>
      <w:r>
        <w:rPr>
          <w:sz w:val="20"/>
          <w:szCs w:val="20"/>
          <w:rtl/>
        </w:rPr>
        <w:t>ברוך־בער</w:t>
      </w:r>
      <w:proofErr w:type="spellEnd"/>
      <w:r>
        <w:rPr>
          <w:sz w:val="20"/>
          <w:szCs w:val="20"/>
          <w:rtl/>
        </w:rPr>
        <w:t xml:space="preserve"> לקרוא לו, לא היה מוציא את שמו מפיו, אלא אומר לשליח: “קרא לי את הבחור הנושא את שם אבי.”</w:t>
      </w:r>
    </w:p>
    <w:p w14:paraId="4F2AC6C6" w14:textId="77777777" w:rsidR="00AB3647" w:rsidRDefault="00000000">
      <w:pPr>
        <w:spacing w:after="0" w:before="0"/>
        <w:jc w:val="both"/>
      </w:pPr>
      <w:r>
        <w:rPr>
          <w:sz w:val="20"/>
          <w:szCs w:val="20"/>
          <w:rtl/>
        </w:rPr>
        <w:t xml:space="preserve">אבל כפי שמצאתי </w:t>
      </w:r>
      <w:proofErr w:type="spellStart"/>
      <w:r>
        <w:rPr>
          <w:sz w:val="20"/>
          <w:szCs w:val="20"/>
          <w:rtl/>
        </w:rPr>
        <w:t>ב“עם</w:t>
      </w:r>
      <w:proofErr w:type="spellEnd"/>
      <w:r>
        <w:rPr>
          <w:sz w:val="20"/>
          <w:szCs w:val="20"/>
          <w:rtl/>
        </w:rPr>
        <w:t xml:space="preserve"> התורה”, </w:t>
      </w:r>
      <w:proofErr w:type="spellStart"/>
      <w:r>
        <w:rPr>
          <w:sz w:val="20"/>
          <w:szCs w:val="20"/>
          <w:rtl/>
        </w:rPr>
        <w:t>מהדורא</w:t>
      </w:r>
      <w:proofErr w:type="spellEnd"/>
      <w:r>
        <w:rPr>
          <w:sz w:val="20"/>
          <w:szCs w:val="20"/>
          <w:rtl/>
        </w:rPr>
        <w:t xml:space="preserve"> ג׳ חוברת ד׳, תשנ״ב (יו״ל ע״י צעירי אגו״י ארה״ב), עמ׳ </w:t>
      </w:r>
      <w:proofErr w:type="spellStart"/>
      <w:r>
        <w:rPr>
          <w:sz w:val="20"/>
          <w:szCs w:val="20"/>
          <w:rtl/>
        </w:rPr>
        <w:t>עח</w:t>
      </w:r>
      <w:proofErr w:type="spellEnd"/>
      <w:r>
        <w:rPr>
          <w:sz w:val="20"/>
          <w:szCs w:val="20"/>
          <w:rtl/>
        </w:rPr>
        <w:t xml:space="preserve">, סבר ר׳ יצחק־זאב </w:t>
      </w:r>
      <w:proofErr w:type="spellStart"/>
      <w:r>
        <w:rPr>
          <w:sz w:val="20"/>
          <w:szCs w:val="20"/>
          <w:rtl/>
        </w:rPr>
        <w:t>סולובייצ׳יק</w:t>
      </w:r>
      <w:proofErr w:type="spellEnd"/>
      <w:r>
        <w:rPr>
          <w:sz w:val="20"/>
          <w:szCs w:val="20"/>
          <w:rtl/>
        </w:rPr>
        <w:t xml:space="preserve"> ששם כפול נחשב “שם פלאי”, אף אם כל אחד מן השמות שכיח. נמצא שר׳ </w:t>
      </w:r>
      <w:proofErr w:type="spellStart"/>
      <w:r>
        <w:rPr>
          <w:sz w:val="20"/>
          <w:szCs w:val="20"/>
          <w:rtl/>
        </w:rPr>
        <w:t>ברוך־בער</w:t>
      </w:r>
      <w:proofErr w:type="spellEnd"/>
      <w:r>
        <w:rPr>
          <w:sz w:val="20"/>
          <w:szCs w:val="20"/>
          <w:rtl/>
        </w:rPr>
        <w:t xml:space="preserve"> לא עשה לפנים משורת הדין </w:t>
      </w:r>
      <w:proofErr w:type="spellStart"/>
      <w:r>
        <w:rPr>
          <w:sz w:val="20"/>
          <w:szCs w:val="20"/>
          <w:rtl/>
        </w:rPr>
        <w:t>כשלא</w:t>
      </w:r>
      <w:proofErr w:type="spellEnd"/>
      <w:r>
        <w:rPr>
          <w:sz w:val="20"/>
          <w:szCs w:val="20"/>
          <w:rtl/>
        </w:rPr>
        <w:t xml:space="preserve"> קרא לאדם בשמו הכפול של אביו. השווה גם “תורת חיים” (הנ״ל, פרק 2, הפסקה התשיעית בנספח א), עמ׳ </w:t>
      </w:r>
      <w:proofErr w:type="spellStart"/>
      <w:r>
        <w:rPr>
          <w:sz w:val="20"/>
          <w:szCs w:val="20"/>
          <w:rtl/>
        </w:rPr>
        <w:t>עו</w:t>
      </w:r>
      <w:proofErr w:type="spellEnd"/>
      <w:r>
        <w:rPr>
          <w:sz w:val="20"/>
          <w:szCs w:val="20"/>
          <w:rtl/>
        </w:rPr>
        <w:t xml:space="preserve">–עז: שם מובא סיפור שנראה בדוי על הדרך המיוחדת שבה “עישן” ר׳ </w:t>
      </w:r>
      <w:proofErr w:type="spellStart"/>
      <w:r>
        <w:rPr>
          <w:sz w:val="20"/>
          <w:szCs w:val="20"/>
          <w:rtl/>
        </w:rPr>
        <w:t>ברוך־בער</w:t>
      </w:r>
      <w:proofErr w:type="spellEnd"/>
      <w:r>
        <w:rPr>
          <w:sz w:val="20"/>
          <w:szCs w:val="20"/>
          <w:rtl/>
        </w:rPr>
        <w:t xml:space="preserve"> סיגריה, בגלל סתירה בין מה שהורה אביו בעניין זה לבין מה שהעיר רבו, ר׳ חיים. מקור המעשה הוא “אישים ושיטות” – ראה תחילת הנספח הבא.</w:t>
      </w:r>
    </w:p>
  </w:footnote>
  <w:footnote w:id="1809">
    <w:p w14:paraId="37188B4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דיווח זה ודיווחו של </w:t>
      </w:r>
      <w:proofErr w:type="spellStart"/>
      <w:r>
        <w:rPr>
          <w:sz w:val="20"/>
          <w:szCs w:val="20"/>
          <w:rtl/>
        </w:rPr>
        <w:t>רבינר</w:t>
      </w:r>
      <w:proofErr w:type="spellEnd"/>
      <w:r>
        <w:rPr>
          <w:sz w:val="20"/>
          <w:szCs w:val="20"/>
          <w:rtl/>
        </w:rPr>
        <w:t>, “הגאון רבי אליעזר גורדון” סותרים את מה שמביא הסופר אברהם ברש בספרו “</w:t>
      </w:r>
      <w:proofErr w:type="spellStart"/>
      <w:r>
        <w:rPr>
          <w:sz w:val="20"/>
          <w:szCs w:val="20"/>
          <w:rtl/>
        </w:rPr>
        <w:t>גוט</w:t>
      </w:r>
      <w:proofErr w:type="spellEnd"/>
      <w:r>
        <w:rPr>
          <w:sz w:val="20"/>
          <w:szCs w:val="20"/>
          <w:rtl/>
        </w:rPr>
        <w:t xml:space="preserve"> </w:t>
      </w:r>
      <w:proofErr w:type="spellStart"/>
      <w:r>
        <w:rPr>
          <w:sz w:val="20"/>
          <w:szCs w:val="20"/>
          <w:rtl/>
        </w:rPr>
        <w:t>וואָך</w:t>
      </w:r>
      <w:proofErr w:type="spellEnd"/>
      <w:r>
        <w:rPr>
          <w:sz w:val="20"/>
          <w:szCs w:val="20"/>
          <w:rtl/>
        </w:rPr>
        <w:t xml:space="preserve">” (הוצאת מסורה, ברוקלין, 1998), עמ׳ 109, בשם ר׳ נחום </w:t>
      </w:r>
      <w:proofErr w:type="spellStart"/>
      <w:r>
        <w:rPr>
          <w:sz w:val="20"/>
          <w:szCs w:val="20"/>
          <w:rtl/>
        </w:rPr>
        <w:t>פרצוביץ</w:t>
      </w:r>
      <w:proofErr w:type="spellEnd"/>
      <w:r>
        <w:rPr>
          <w:sz w:val="20"/>
          <w:szCs w:val="20"/>
          <w:rtl/>
        </w:rPr>
        <w:t xml:space="preserve">: ר׳ </w:t>
      </w:r>
      <w:proofErr w:type="spellStart"/>
      <w:r>
        <w:rPr>
          <w:sz w:val="20"/>
          <w:szCs w:val="20"/>
          <w:rtl/>
        </w:rPr>
        <w:t>ברוך־בער</w:t>
      </w:r>
      <w:proofErr w:type="spellEnd"/>
      <w:r>
        <w:rPr>
          <w:sz w:val="20"/>
          <w:szCs w:val="20"/>
          <w:rtl/>
        </w:rPr>
        <w:t xml:space="preserve"> </w:t>
      </w:r>
      <w:r>
        <w:rPr>
          <w:b/>
          <w:bCs/>
          <w:sz w:val="20"/>
          <w:szCs w:val="20"/>
          <w:rtl/>
        </w:rPr>
        <w:t>נכשל</w:t>
      </w:r>
      <w:r>
        <w:rPr>
          <w:sz w:val="20"/>
          <w:szCs w:val="20"/>
          <w:rtl/>
        </w:rPr>
        <w:t xml:space="preserve"> בניסיונו להתמנות </w:t>
      </w:r>
      <w:proofErr w:type="spellStart"/>
      <w:r>
        <w:rPr>
          <w:sz w:val="20"/>
          <w:szCs w:val="20"/>
          <w:rtl/>
        </w:rPr>
        <w:t>בטלז</w:t>
      </w:r>
      <w:proofErr w:type="spellEnd"/>
      <w:r>
        <w:rPr>
          <w:sz w:val="20"/>
          <w:szCs w:val="20"/>
          <w:rtl/>
        </w:rPr>
        <w:t>, מפני שאמר שיעור שלא עשה רושם. “</w:t>
      </w:r>
      <w:proofErr w:type="spellStart"/>
      <w:r>
        <w:rPr>
          <w:sz w:val="20"/>
          <w:szCs w:val="20"/>
          <w:rtl/>
        </w:rPr>
        <w:t>גוט</w:t>
      </w:r>
      <w:proofErr w:type="spellEnd"/>
      <w:r>
        <w:rPr>
          <w:sz w:val="20"/>
          <w:szCs w:val="20"/>
          <w:rtl/>
        </w:rPr>
        <w:t xml:space="preserve"> </w:t>
      </w:r>
      <w:proofErr w:type="spellStart"/>
      <w:r>
        <w:rPr>
          <w:sz w:val="20"/>
          <w:szCs w:val="20"/>
          <w:rtl/>
        </w:rPr>
        <w:t>וואָך</w:t>
      </w:r>
      <w:proofErr w:type="spellEnd"/>
      <w:r>
        <w:rPr>
          <w:sz w:val="20"/>
          <w:szCs w:val="20"/>
          <w:rtl/>
        </w:rPr>
        <w:t xml:space="preserve">” מוסיף שכשנשאל מדוע הציג דוגמה חלשה כל כך משיעוריו, השיב שאילו בחר באחד משיעוריו המעולים, הייתה הנהלת </w:t>
      </w:r>
      <w:proofErr w:type="spellStart"/>
      <w:r>
        <w:rPr>
          <w:sz w:val="20"/>
          <w:szCs w:val="20"/>
          <w:rtl/>
        </w:rPr>
        <w:t>טלז</w:t>
      </w:r>
      <w:proofErr w:type="spellEnd"/>
      <w:r>
        <w:rPr>
          <w:sz w:val="20"/>
          <w:szCs w:val="20"/>
          <w:rtl/>
        </w:rPr>
        <w:t xml:space="preserve"> עלולה לחשוב שכל שיעוריו טובים כמותו. הוא בחר בכוונה בשיעורו החלש ביותר, כדי שאם יתקבל, כל שיעור שיאמר אחר כך יהיה טוב לפחות כשיעור הדוגמה; הוא לא רצה לזכות במינוי בגניבת דעת. (זו הייתה, כמובן, מידת חסידות מצד ר׳ </w:t>
      </w:r>
      <w:proofErr w:type="spellStart"/>
      <w:r>
        <w:rPr>
          <w:sz w:val="20"/>
          <w:szCs w:val="20"/>
          <w:rtl/>
        </w:rPr>
        <w:t>ברוך־בער</w:t>
      </w:r>
      <w:proofErr w:type="spellEnd"/>
      <w:r>
        <w:rPr>
          <w:sz w:val="20"/>
          <w:szCs w:val="20"/>
          <w:rtl/>
        </w:rPr>
        <w:t xml:space="preserve">, שהרי כל הנהלה מצפה שמועמד יציג אחד משיעוריו הטובים ביותר, ומביאה בחשבון שהשיעורים הרגילים אולי אינם טובים כמותו – ועי׳ </w:t>
      </w:r>
      <w:proofErr w:type="spellStart"/>
      <w:r>
        <w:rPr>
          <w:sz w:val="20"/>
          <w:szCs w:val="20"/>
          <w:rtl/>
        </w:rPr>
        <w:t>שו״ע</w:t>
      </w:r>
      <w:proofErr w:type="spellEnd"/>
      <w:r>
        <w:rPr>
          <w:sz w:val="20"/>
          <w:szCs w:val="20"/>
          <w:rtl/>
        </w:rPr>
        <w:t xml:space="preserve"> </w:t>
      </w:r>
      <w:proofErr w:type="spellStart"/>
      <w:r>
        <w:rPr>
          <w:sz w:val="20"/>
          <w:szCs w:val="20"/>
          <w:rtl/>
        </w:rPr>
        <w:t>חו״מ</w:t>
      </w:r>
      <w:proofErr w:type="spellEnd"/>
      <w:r>
        <w:rPr>
          <w:sz w:val="20"/>
          <w:szCs w:val="20"/>
          <w:rtl/>
        </w:rPr>
        <w:t xml:space="preserve"> סי׳ רכ״ח.)</w:t>
      </w:r>
    </w:p>
  </w:footnote>
  <w:footnote w:id="1810">
    <w:p w14:paraId="43A4B5A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3.1, בפסקה הפותחת “בעשור הראשון לקיומן”, והערה 54 בפרק זה.</w:t>
      </w:r>
    </w:p>
  </w:footnote>
  <w:footnote w:id="1811">
    <w:p w14:paraId="20D8C53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קח–קט.</w:t>
      </w:r>
    </w:p>
  </w:footnote>
  <w:footnote w:id="1812">
    <w:p w14:paraId="3712C61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ועיין ספר מגלה עמוקות </w:t>
      </w:r>
      <w:proofErr w:type="spellStart"/>
      <w:r>
        <w:rPr>
          <w:sz w:val="20"/>
          <w:szCs w:val="20"/>
          <w:rtl/>
        </w:rPr>
        <w:t>מכת״י</w:t>
      </w:r>
      <w:proofErr w:type="spellEnd"/>
      <w:r>
        <w:rPr>
          <w:sz w:val="20"/>
          <w:szCs w:val="20"/>
          <w:rtl/>
        </w:rPr>
        <w:t xml:space="preserve"> (שלום הכהן וייס, בני ברק, תשמ״ב), פרשת קרח דרוש ב׳ אות ר, שכתב וז״ל אם יעשה תשובה הרי הוא בריה חדשה וכקטן שנולד ואינם כלל “אלה האנשים (במדבר </w:t>
      </w:r>
      <w:proofErr w:type="spellStart"/>
      <w:r>
        <w:rPr>
          <w:sz w:val="20"/>
          <w:szCs w:val="20"/>
          <w:rtl/>
        </w:rPr>
        <w:t>טז:ל</w:t>
      </w:r>
      <w:proofErr w:type="spellEnd"/>
      <w:r>
        <w:rPr>
          <w:sz w:val="20"/>
          <w:szCs w:val="20"/>
          <w:rtl/>
        </w:rPr>
        <w:t>)” עכ״ל.</w:t>
      </w:r>
    </w:p>
  </w:footnote>
  <w:footnote w:id="1813">
    <w:p w14:paraId="66473F6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אות ט </w:t>
      </w:r>
      <w:proofErr w:type="spellStart"/>
      <w:r>
        <w:rPr>
          <w:sz w:val="20"/>
          <w:szCs w:val="20"/>
          <w:rtl/>
        </w:rPr>
        <w:t>ב“דוגמא</w:t>
      </w:r>
      <w:proofErr w:type="spellEnd"/>
      <w:r>
        <w:rPr>
          <w:sz w:val="20"/>
          <w:szCs w:val="20"/>
          <w:rtl/>
        </w:rPr>
        <w:t xml:space="preserve"> מדרכי אבי זצ״ל”.</w:t>
      </w:r>
    </w:p>
  </w:footnote>
  <w:footnote w:id="1814">
    <w:p w14:paraId="5657DF0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הראשונה בנספח א לעיל – עמ׳ 439.</w:t>
      </w:r>
    </w:p>
  </w:footnote>
  <w:footnote w:id="1815">
    <w:p w14:paraId="041316F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לא הצלחתי לברר עליו פרטים נוספים.</w:t>
      </w:r>
    </w:p>
  </w:footnote>
  <w:footnote w:id="1816">
    <w:p w14:paraId="6B65916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קכז</w:t>
      </w:r>
      <w:proofErr w:type="spellEnd"/>
      <w:r>
        <w:rPr>
          <w:sz w:val="20"/>
          <w:szCs w:val="20"/>
          <w:rtl/>
        </w:rPr>
        <w:t>.</w:t>
      </w:r>
    </w:p>
  </w:footnote>
  <w:footnote w:id="1817">
    <w:p w14:paraId="3288A7D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קסה</w:t>
      </w:r>
      <w:proofErr w:type="spellEnd"/>
      <w:r>
        <w:rPr>
          <w:sz w:val="20"/>
          <w:szCs w:val="20"/>
          <w:rtl/>
        </w:rPr>
        <w:t>.</w:t>
      </w:r>
    </w:p>
  </w:footnote>
  <w:footnote w:id="1818">
    <w:p w14:paraId="3F9BA13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קסב</w:t>
      </w:r>
      <w:proofErr w:type="spellEnd"/>
      <w:r>
        <w:rPr>
          <w:sz w:val="20"/>
          <w:szCs w:val="20"/>
          <w:rtl/>
        </w:rPr>
        <w:t xml:space="preserve"> ואילך.</w:t>
      </w:r>
    </w:p>
  </w:footnote>
  <w:footnote w:id="1819">
    <w:p w14:paraId="5084D17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קנג</w:t>
      </w:r>
      <w:proofErr w:type="spellEnd"/>
      <w:r>
        <w:rPr>
          <w:sz w:val="20"/>
          <w:szCs w:val="20"/>
          <w:rtl/>
        </w:rPr>
        <w:t>.</w:t>
      </w:r>
    </w:p>
  </w:footnote>
  <w:footnote w:id="1820">
    <w:p w14:paraId="1263855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לעיל – עמ׳ 266–267.</w:t>
      </w:r>
    </w:p>
  </w:footnote>
  <w:footnote w:id="1821">
    <w:p w14:paraId="0EFF114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יט</w:t>
      </w:r>
      <w:proofErr w:type="spellEnd"/>
      <w:r>
        <w:rPr>
          <w:sz w:val="20"/>
          <w:szCs w:val="20"/>
          <w:rtl/>
        </w:rPr>
        <w:t xml:space="preserve"> בחלק 2.</w:t>
      </w:r>
    </w:p>
  </w:footnote>
  <w:footnote w:id="1822">
    <w:p w14:paraId="6A47A7B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ח״א, עמ׳ סט.</w:t>
      </w:r>
    </w:p>
  </w:footnote>
  <w:footnote w:id="1823">
    <w:p w14:paraId="59FAE5A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אבל השווה “מגד גבעות עולם” (הנ״ל, פרק 2, הפסקה הראשונה בנספח ה), עמ׳ </w:t>
      </w:r>
      <w:proofErr w:type="spellStart"/>
      <w:r>
        <w:rPr>
          <w:sz w:val="20"/>
          <w:szCs w:val="20"/>
          <w:rtl/>
        </w:rPr>
        <w:t>נז</w:t>
      </w:r>
      <w:proofErr w:type="spellEnd"/>
      <w:r>
        <w:rPr>
          <w:sz w:val="20"/>
          <w:szCs w:val="20"/>
          <w:rtl/>
        </w:rPr>
        <w:t xml:space="preserve">–נח, מס׳ </w:t>
      </w:r>
      <w:proofErr w:type="spellStart"/>
      <w:r>
        <w:rPr>
          <w:sz w:val="20"/>
          <w:szCs w:val="20"/>
          <w:rtl/>
        </w:rPr>
        <w:t>יב</w:t>
      </w:r>
      <w:proofErr w:type="spellEnd"/>
      <w:r>
        <w:rPr>
          <w:sz w:val="20"/>
          <w:szCs w:val="20"/>
          <w:rtl/>
        </w:rPr>
        <w:t xml:space="preserve">, המביא בשם מי שטען ששמע זאת ישירות מפי ר׳ </w:t>
      </w:r>
      <w:proofErr w:type="spellStart"/>
      <w:r>
        <w:rPr>
          <w:sz w:val="20"/>
          <w:szCs w:val="20"/>
          <w:rtl/>
        </w:rPr>
        <w:t>ברוך־בער</w:t>
      </w:r>
      <w:proofErr w:type="spellEnd"/>
      <w:r>
        <w:rPr>
          <w:sz w:val="20"/>
          <w:szCs w:val="20"/>
          <w:rtl/>
        </w:rPr>
        <w:t xml:space="preserve"> שהמעשה היה עם בנו של </w:t>
      </w:r>
      <w:proofErr w:type="spellStart"/>
      <w:r>
        <w:rPr>
          <w:sz w:val="20"/>
          <w:szCs w:val="20"/>
          <w:rtl/>
        </w:rPr>
        <w:t>החפץ־חיים</w:t>
      </w:r>
      <w:proofErr w:type="spellEnd"/>
      <w:r>
        <w:rPr>
          <w:sz w:val="20"/>
          <w:szCs w:val="20"/>
          <w:rtl/>
        </w:rPr>
        <w:t xml:space="preserve">, ר׳ </w:t>
      </w:r>
      <w:proofErr w:type="spellStart"/>
      <w:r>
        <w:rPr>
          <w:sz w:val="20"/>
          <w:szCs w:val="20"/>
          <w:rtl/>
        </w:rPr>
        <w:t>אריה־לייב</w:t>
      </w:r>
      <w:proofErr w:type="spellEnd"/>
      <w:r>
        <w:rPr>
          <w:sz w:val="20"/>
          <w:szCs w:val="20"/>
          <w:rtl/>
        </w:rPr>
        <w:t xml:space="preserve">, ושהמונח “ישרות” נאמר על לימוד הפשט כראוי. אלא שר׳ </w:t>
      </w:r>
      <w:proofErr w:type="spellStart"/>
      <w:r>
        <w:rPr>
          <w:sz w:val="20"/>
          <w:szCs w:val="20"/>
          <w:rtl/>
        </w:rPr>
        <w:t>אריה־לייב</w:t>
      </w:r>
      <w:proofErr w:type="spellEnd"/>
      <w:r>
        <w:rPr>
          <w:sz w:val="20"/>
          <w:szCs w:val="20"/>
          <w:rtl/>
        </w:rPr>
        <w:t xml:space="preserve"> לא למד </w:t>
      </w:r>
      <w:proofErr w:type="spellStart"/>
      <w:r>
        <w:rPr>
          <w:sz w:val="20"/>
          <w:szCs w:val="20"/>
          <w:rtl/>
        </w:rPr>
        <w:t>בוולוז׳ין</w:t>
      </w:r>
      <w:proofErr w:type="spellEnd"/>
      <w:r>
        <w:rPr>
          <w:sz w:val="20"/>
          <w:szCs w:val="20"/>
          <w:rtl/>
        </w:rPr>
        <w:t xml:space="preserve">, ואין זה סביר שר׳ חיים היה שותף לוויכוחו של ר׳ </w:t>
      </w:r>
      <w:proofErr w:type="spellStart"/>
      <w:r>
        <w:rPr>
          <w:sz w:val="20"/>
          <w:szCs w:val="20"/>
          <w:rtl/>
        </w:rPr>
        <w:t>ברוך־בער</w:t>
      </w:r>
      <w:proofErr w:type="spellEnd"/>
      <w:r>
        <w:rPr>
          <w:sz w:val="20"/>
          <w:szCs w:val="20"/>
          <w:rtl/>
        </w:rPr>
        <w:t xml:space="preserve"> עמו.</w:t>
      </w:r>
    </w:p>
  </w:footnote>
  <w:footnote w:id="1824">
    <w:p w14:paraId="094962B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321.</w:t>
      </w:r>
    </w:p>
  </w:footnote>
  <w:footnote w:id="1825">
    <w:p w14:paraId="5F5D6DB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הפסקה השנייה בהערה 137 בפרק זה.</w:t>
      </w:r>
    </w:p>
  </w:footnote>
  <w:footnote w:id="1826">
    <w:p w14:paraId="1E46A76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סיפר ר׳ </w:t>
      </w:r>
      <w:proofErr w:type="spellStart"/>
      <w:r>
        <w:rPr>
          <w:sz w:val="20"/>
          <w:szCs w:val="20"/>
          <w:rtl/>
        </w:rPr>
        <w:t>חצקל</w:t>
      </w:r>
      <w:proofErr w:type="spellEnd"/>
      <w:r>
        <w:rPr>
          <w:sz w:val="20"/>
          <w:szCs w:val="20"/>
          <w:rtl/>
        </w:rPr>
        <w:t xml:space="preserve"> </w:t>
      </w:r>
      <w:proofErr w:type="spellStart"/>
      <w:r>
        <w:rPr>
          <w:sz w:val="20"/>
          <w:szCs w:val="20"/>
          <w:rtl/>
        </w:rPr>
        <w:t>ברטלר</w:t>
      </w:r>
      <w:proofErr w:type="spellEnd"/>
      <w:r>
        <w:rPr>
          <w:sz w:val="20"/>
          <w:szCs w:val="20"/>
          <w:rtl/>
        </w:rPr>
        <w:t xml:space="preserve"> ב־5 במאי 2000 בשם </w:t>
      </w:r>
      <w:proofErr w:type="spellStart"/>
      <w:r>
        <w:rPr>
          <w:sz w:val="20"/>
          <w:szCs w:val="20"/>
          <w:rtl/>
        </w:rPr>
        <w:t>החזון־איש</w:t>
      </w:r>
      <w:proofErr w:type="spellEnd"/>
      <w:r>
        <w:rPr>
          <w:sz w:val="20"/>
          <w:szCs w:val="20"/>
          <w:rtl/>
        </w:rPr>
        <w:t>.</w:t>
      </w:r>
    </w:p>
  </w:footnote>
  <w:footnote w:id="1827">
    <w:p w14:paraId="1791BEF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לימים היה גיסו של בנו השני של ר׳ חיים, ר׳ משה – ראה פרק 5, נספח ו, לקראת סוף הפסקה הראשונה – ומגיד בווילנה.</w:t>
      </w:r>
    </w:p>
  </w:footnote>
  <w:footnote w:id="1828">
    <w:p w14:paraId="4D56DBD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ריאיון, 24 במאי 1995, כשבא ר׳ </w:t>
      </w:r>
      <w:proofErr w:type="spellStart"/>
      <w:r>
        <w:rPr>
          <w:sz w:val="20"/>
          <w:szCs w:val="20"/>
          <w:rtl/>
        </w:rPr>
        <w:t>משה־אהרן</w:t>
      </w:r>
      <w:proofErr w:type="spellEnd"/>
      <w:r>
        <w:rPr>
          <w:sz w:val="20"/>
          <w:szCs w:val="20"/>
          <w:rtl/>
        </w:rPr>
        <w:t xml:space="preserve"> לנחם את ילדיו של ר׳ משה </w:t>
      </w:r>
      <w:proofErr w:type="spellStart"/>
      <w:r>
        <w:rPr>
          <w:sz w:val="20"/>
          <w:szCs w:val="20"/>
          <w:rtl/>
        </w:rPr>
        <w:t>סולובייצ׳יק</w:t>
      </w:r>
      <w:proofErr w:type="spellEnd"/>
      <w:r>
        <w:rPr>
          <w:sz w:val="20"/>
          <w:szCs w:val="20"/>
          <w:rtl/>
        </w:rPr>
        <w:t xml:space="preserve"> מציריך בימי השבעה. באותה שעה ערערו הילדים על הידיעות בעיתונות </w:t>
      </w:r>
      <w:proofErr w:type="spellStart"/>
      <w:r>
        <w:rPr>
          <w:sz w:val="20"/>
          <w:szCs w:val="20"/>
          <w:rtl/>
        </w:rPr>
        <w:t>שסבא־רבא</w:t>
      </w:r>
      <w:proofErr w:type="spellEnd"/>
      <w:r>
        <w:rPr>
          <w:sz w:val="20"/>
          <w:szCs w:val="20"/>
          <w:rtl/>
        </w:rPr>
        <w:t xml:space="preserve"> שלהם, ר׳ חיים, היה סנדק בברית אביהם </w:t>
      </w:r>
      <w:proofErr w:type="spellStart"/>
      <w:r>
        <w:rPr>
          <w:sz w:val="20"/>
          <w:szCs w:val="20"/>
          <w:rtl/>
        </w:rPr>
        <w:t>בבריסק</w:t>
      </w:r>
      <w:proofErr w:type="spellEnd"/>
      <w:r>
        <w:rPr>
          <w:sz w:val="20"/>
          <w:szCs w:val="20"/>
          <w:rtl/>
        </w:rPr>
        <w:t xml:space="preserve">. לדבריהם, ר׳ משה נולד למעשה במינסק, ביום השני של ראש השנה תרע״ו, ואף שהברית נערכה בנוכחות ר׳ חיים, הסנדק היה בנו של </w:t>
      </w:r>
      <w:proofErr w:type="spellStart"/>
      <w:r>
        <w:rPr>
          <w:sz w:val="20"/>
          <w:szCs w:val="20"/>
          <w:rtl/>
        </w:rPr>
        <w:t>ה“מינסקער</w:t>
      </w:r>
      <w:proofErr w:type="spellEnd"/>
      <w:r>
        <w:rPr>
          <w:sz w:val="20"/>
          <w:szCs w:val="20"/>
          <w:rtl/>
        </w:rPr>
        <w:t xml:space="preserve"> גדול”. סביר יותר שהיה זה חתנו של </w:t>
      </w:r>
      <w:proofErr w:type="spellStart"/>
      <w:r>
        <w:rPr>
          <w:sz w:val="20"/>
          <w:szCs w:val="20"/>
          <w:rtl/>
        </w:rPr>
        <w:t>ה“גדול</w:t>
      </w:r>
      <w:proofErr w:type="spellEnd"/>
      <w:r>
        <w:rPr>
          <w:sz w:val="20"/>
          <w:szCs w:val="20"/>
          <w:rtl/>
        </w:rPr>
        <w:t xml:space="preserve">”, רב מינסק ר׳ לייזר </w:t>
      </w:r>
      <w:proofErr w:type="spellStart"/>
      <w:r>
        <w:rPr>
          <w:sz w:val="20"/>
          <w:szCs w:val="20"/>
          <w:rtl/>
        </w:rPr>
        <w:t>רבינוביץ</w:t>
      </w:r>
      <w:proofErr w:type="spellEnd"/>
      <w:r>
        <w:rPr>
          <w:sz w:val="20"/>
          <w:szCs w:val="20"/>
          <w:rtl/>
        </w:rPr>
        <w:t xml:space="preserve"> (השווה גם פרק 5, אמצע הפסקה החמישית בנספח ו). העיתונות כנראה גם לא ידעה שר׳ חיים נמנע מלשמש סנדק, כדלהלן.</w:t>
      </w:r>
    </w:p>
  </w:footnote>
  <w:footnote w:id="1829">
    <w:p w14:paraId="183BF0F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יעקב מארק, עמ׳ 41: בזכות טוב לבו המופלא “נעשה ר׳ חיים לאגדה בפי ההמונים עוד בחייו”. לשמו נוספה סיומת של קרבה וחיבה, והוא נקרא “ר׳ </w:t>
      </w:r>
      <w:proofErr w:type="spellStart"/>
      <w:r>
        <w:rPr>
          <w:sz w:val="20"/>
          <w:szCs w:val="20"/>
          <w:rtl/>
        </w:rPr>
        <w:t>חיימקה</w:t>
      </w:r>
      <w:proofErr w:type="spellEnd"/>
      <w:r>
        <w:rPr>
          <w:sz w:val="20"/>
          <w:szCs w:val="20"/>
          <w:rtl/>
        </w:rPr>
        <w:t xml:space="preserve">”. כך כינוהו תלמידיו בישיבת </w:t>
      </w:r>
      <w:proofErr w:type="spellStart"/>
      <w:r>
        <w:rPr>
          <w:sz w:val="20"/>
          <w:szCs w:val="20"/>
          <w:rtl/>
        </w:rPr>
        <w:t>וולוז׳ין</w:t>
      </w:r>
      <w:proofErr w:type="spellEnd"/>
      <w:r>
        <w:rPr>
          <w:sz w:val="20"/>
          <w:szCs w:val="20"/>
          <w:rtl/>
        </w:rPr>
        <w:t xml:space="preserve">, כמו בציטוט מזיכרונותיו של </w:t>
      </w:r>
      <w:proofErr w:type="spellStart"/>
      <w:r>
        <w:rPr>
          <w:sz w:val="20"/>
          <w:szCs w:val="20"/>
          <w:rtl/>
        </w:rPr>
        <w:t>יהושע־לייב</w:t>
      </w:r>
      <w:proofErr w:type="spellEnd"/>
      <w:r>
        <w:rPr>
          <w:sz w:val="20"/>
          <w:szCs w:val="20"/>
          <w:rtl/>
        </w:rPr>
        <w:t xml:space="preserve"> </w:t>
      </w:r>
      <w:proofErr w:type="spellStart"/>
      <w:r>
        <w:rPr>
          <w:sz w:val="20"/>
          <w:szCs w:val="20"/>
          <w:rtl/>
        </w:rPr>
        <w:t>ראדוס</w:t>
      </w:r>
      <w:proofErr w:type="spellEnd"/>
      <w:r>
        <w:rPr>
          <w:sz w:val="20"/>
          <w:szCs w:val="20"/>
          <w:rtl/>
        </w:rPr>
        <w:t xml:space="preserve"> שהובא בפרק 4, הפסקה החמישית בנספח ט, וכך כינה אותו היהודי הפשוט והטוב ששירת בצבא הרוסי סמוך </w:t>
      </w:r>
      <w:proofErr w:type="spellStart"/>
      <w:r>
        <w:rPr>
          <w:sz w:val="20"/>
          <w:szCs w:val="20"/>
          <w:rtl/>
        </w:rPr>
        <w:t>לבריסק</w:t>
      </w:r>
      <w:proofErr w:type="spellEnd"/>
      <w:r>
        <w:rPr>
          <w:sz w:val="20"/>
          <w:szCs w:val="20"/>
          <w:rtl/>
        </w:rPr>
        <w:t>, שסיפורו מובא בפרק 5, הפסקה התשיעית בנספח ו.</w:t>
      </w:r>
    </w:p>
  </w:footnote>
  <w:footnote w:id="1830">
    <w:p w14:paraId="4E97055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הוצאת ראשית ירושלים, ירושלים, ה׳תשנ״ד – עמ׳ </w:t>
      </w:r>
      <w:proofErr w:type="spellStart"/>
      <w:r>
        <w:rPr>
          <w:sz w:val="20"/>
          <w:szCs w:val="20"/>
          <w:rtl/>
        </w:rPr>
        <w:t>רמג</w:t>
      </w:r>
      <w:proofErr w:type="spellEnd"/>
      <w:r>
        <w:rPr>
          <w:sz w:val="20"/>
          <w:szCs w:val="20"/>
          <w:rtl/>
        </w:rPr>
        <w:t>.</w:t>
      </w:r>
    </w:p>
  </w:footnote>
  <w:footnote w:id="1831">
    <w:p w14:paraId="12B5F3B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פרק 4, הפסקה הרביעית בנספח ט, ששם צוינו </w:t>
      </w:r>
      <w:proofErr w:type="spellStart"/>
      <w:r>
        <w:rPr>
          <w:sz w:val="20"/>
          <w:szCs w:val="20"/>
          <w:rtl/>
        </w:rPr>
        <w:t>אי־דיוקים</w:t>
      </w:r>
      <w:proofErr w:type="spellEnd"/>
      <w:r>
        <w:rPr>
          <w:sz w:val="20"/>
          <w:szCs w:val="20"/>
          <w:rtl/>
        </w:rPr>
        <w:t xml:space="preserve"> אחרים </w:t>
      </w:r>
      <w:proofErr w:type="spellStart"/>
      <w:r>
        <w:rPr>
          <w:sz w:val="20"/>
          <w:szCs w:val="20"/>
          <w:rtl/>
        </w:rPr>
        <w:t>ב“נפש</w:t>
      </w:r>
      <w:proofErr w:type="spellEnd"/>
      <w:r>
        <w:rPr>
          <w:sz w:val="20"/>
          <w:szCs w:val="20"/>
          <w:rtl/>
        </w:rPr>
        <w:t xml:space="preserve"> הרב” בשמות של אנשים ומקומות.</w:t>
      </w:r>
    </w:p>
  </w:footnote>
  <w:footnote w:id="1832">
    <w:p w14:paraId="6953840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הנ״ל, פרק 1, הערה 42 – עמ׳ 69.</w:t>
      </w:r>
    </w:p>
  </w:footnote>
  <w:footnote w:id="1833">
    <w:p w14:paraId="43FCE47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רמד</w:t>
      </w:r>
      <w:proofErr w:type="spellEnd"/>
      <w:r>
        <w:rPr>
          <w:sz w:val="20"/>
          <w:szCs w:val="20"/>
          <w:rtl/>
        </w:rPr>
        <w:t>.</w:t>
      </w:r>
    </w:p>
  </w:footnote>
  <w:footnote w:id="1834">
    <w:p w14:paraId="57D6C1D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114.</w:t>
      </w:r>
    </w:p>
  </w:footnote>
  <w:footnote w:id="1835">
    <w:p w14:paraId="64D6350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“מורשת </w:t>
      </w:r>
      <w:proofErr w:type="spellStart"/>
      <w:r>
        <w:rPr>
          <w:sz w:val="20"/>
          <w:szCs w:val="20"/>
          <w:rtl/>
        </w:rPr>
        <w:t>סולובייצ׳יק</w:t>
      </w:r>
      <w:proofErr w:type="spellEnd"/>
      <w:r>
        <w:rPr>
          <w:sz w:val="20"/>
          <w:szCs w:val="20"/>
          <w:rtl/>
        </w:rPr>
        <w:t xml:space="preserve">” טועה באומרה: “עברו </w:t>
      </w:r>
      <w:r>
        <w:rPr>
          <w:b/>
          <w:bCs/>
          <w:sz w:val="20"/>
          <w:szCs w:val="20"/>
          <w:rtl/>
        </w:rPr>
        <w:t>תשע שנים</w:t>
      </w:r>
      <w:r>
        <w:rPr>
          <w:sz w:val="20"/>
          <w:szCs w:val="20"/>
          <w:rtl/>
        </w:rPr>
        <w:t xml:space="preserve"> מאז נפטר ר׳ </w:t>
      </w:r>
      <w:proofErr w:type="spellStart"/>
      <w:r>
        <w:rPr>
          <w:sz w:val="20"/>
          <w:szCs w:val="20"/>
          <w:rtl/>
        </w:rPr>
        <w:t xml:space="preserve">יושע־בער</w:t>
      </w:r>
      <w:proofErr w:type="spellEnd"/>
      <w:r>
        <w:rPr>
          <w:sz w:val="20"/>
          <w:szCs w:val="20"/>
          <w:rtl/>
        </w:rPr>
        <w:t xml:space="preserve">.” ר׳ </w:t>
      </w:r>
      <w:proofErr w:type="spellStart"/>
      <w:r>
        <w:rPr>
          <w:sz w:val="20"/>
          <w:szCs w:val="20"/>
          <w:rtl/>
        </w:rPr>
        <w:t xml:space="preserve">יוסף־דב</w:t>
      </w:r>
      <w:proofErr w:type="spellEnd"/>
      <w:r>
        <w:rPr>
          <w:sz w:val="20"/>
          <w:szCs w:val="20"/>
          <w:rtl/>
        </w:rPr>
        <w:t xml:space="preserve"> </w:t>
      </w:r>
      <w:proofErr w:type="spellStart"/>
      <w:r>
        <w:rPr>
          <w:sz w:val="20"/>
          <w:szCs w:val="20"/>
          <w:rtl/>
        </w:rPr>
        <w:t>סולובייצ׳יק</w:t>
      </w:r>
      <w:proofErr w:type="spellEnd"/>
      <w:r>
        <w:rPr>
          <w:sz w:val="20"/>
          <w:szCs w:val="20"/>
          <w:rtl/>
        </w:rPr>
        <w:t xml:space="preserve">, אבי המחברת, נולד </w:t>
      </w:r>
      <w:proofErr w:type="spellStart"/>
      <w:r>
        <w:rPr>
          <w:b/>
          <w:bCs/>
          <w:sz w:val="20"/>
          <w:szCs w:val="20"/>
          <w:rtl/>
        </w:rPr>
        <w:t>אחת־עשרה</w:t>
      </w:r>
      <w:proofErr w:type="spellEnd"/>
      <w:r>
        <w:rPr>
          <w:b/>
          <w:bCs/>
          <w:sz w:val="20"/>
          <w:szCs w:val="20"/>
          <w:rtl/>
        </w:rPr>
        <w:t xml:space="preserve"> שנים</w:t>
      </w:r>
      <w:r>
        <w:rPr>
          <w:sz w:val="20"/>
          <w:szCs w:val="20"/>
          <w:rtl/>
        </w:rPr>
        <w:t xml:space="preserve"> אחרי פטירת זה שנקרא על שמו.</w:t>
      </w:r>
    </w:p>
  </w:footnote>
  <w:footnote w:id="1836">
    <w:p w14:paraId="08BE5AE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פרסום של בית הכנסת “ישורון”: גיליון מ״ז, </w:t>
      </w:r>
      <w:proofErr w:type="spellStart"/>
      <w:r>
        <w:rPr>
          <w:sz w:val="20"/>
          <w:szCs w:val="20"/>
          <w:rtl/>
        </w:rPr>
        <w:t>אב־אלול</w:t>
      </w:r>
      <w:proofErr w:type="spellEnd"/>
      <w:r>
        <w:rPr>
          <w:sz w:val="20"/>
          <w:szCs w:val="20"/>
          <w:rtl/>
        </w:rPr>
        <w:t xml:space="preserve"> תשל״ה.</w:t>
      </w:r>
    </w:p>
  </w:footnote>
  <w:footnote w:id="1837">
    <w:p w14:paraId="09B1998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הערת השוליים </w:t>
      </w:r>
      <w:r>
        <w:rPr>
          <w:rStyle w:val="a5"/>
          <w:sz w:val="20"/>
          <w:szCs w:val="20"/>
          <w:vertAlign w:val="baseline"/>
          <w:rtl/>
        </w:rPr>
        <w:fldChar w:fldCharType="begin" w:dirty="true"/>
      </w:r>
      <w:r>
        <w:rPr>
          <w:rStyle w:val="a5"/>
          <w:sz w:val="20"/>
          <w:szCs w:val="20"/>
          <w:vertAlign w:val="baseline"/>
          <w:rtl/>
        </w:rPr>
        <w:instrText xml:space="preserve"> NOTEREF pr_f_4046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1123</w:t>
      </w:r>
      <w:r>
        <w:rPr>
          <w:rStyle w:val="a5"/>
          <w:sz w:val="20"/>
          <w:szCs w:val="20"/>
          <w:vertAlign w:val="baseline"/>
          <w:rtl/>
        </w:rPr>
        <w:fldChar w:fldCharType="end"/>
      </w:r>
      <w:r>
        <w:rPr>
          <w:rStyle w:val="a5"/>
          <w:sz w:val="20"/>
          <w:szCs w:val="20"/>
          <w:vertAlign w:val="baseline"/>
          <w:rtl/>
        </w:rPr>
        <w:t xml:space="preserve"> (עמ׳ </w:t>
      </w:r>
      <w:r>
        <w:rPr>
          <w:rStyle w:val="a5"/>
          <w:sz w:val="20"/>
          <w:szCs w:val="20"/>
          <w:vertAlign w:val="baseline"/>
          <w:rtl/>
        </w:rPr>
        <w:fldChar w:fldCharType="begin" w:dirty="true"/>
      </w:r>
      <w:r>
        <w:rPr>
          <w:rStyle w:val="a5"/>
          <w:sz w:val="20"/>
          <w:szCs w:val="20"/>
          <w:vertAlign w:val="baseline"/>
          <w:rtl/>
        </w:rPr>
        <w:instrText xml:space="preserve"> PAGEREF pr_f_4046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 xml:space="preserve">), שאפשר שר׳ </w:t>
      </w:r>
      <w:proofErr w:type="spellStart"/>
      <w:r>
        <w:rPr>
          <w:sz w:val="20"/>
          <w:szCs w:val="20"/>
          <w:rtl/>
        </w:rPr>
        <w:t>ברוך־בער</w:t>
      </w:r>
      <w:proofErr w:type="spellEnd"/>
      <w:r>
        <w:rPr>
          <w:sz w:val="20"/>
          <w:szCs w:val="20"/>
          <w:rtl/>
        </w:rPr>
        <w:t xml:space="preserve"> למד להיות דבוק ברבו, ר׳ חיים, מתוך חיקוי תלמיד אחר שהיה דבוק ביותר </w:t>
      </w:r>
      <w:proofErr w:type="spellStart"/>
      <w:r>
        <w:rPr>
          <w:b/>
          <w:bCs/>
          <w:sz w:val="20"/>
          <w:szCs w:val="20"/>
          <w:rtl/>
        </w:rPr>
        <w:t>בנצי״ב</w:t>
      </w:r>
      <w:proofErr w:type="spellEnd"/>
      <w:r>
        <w:rPr>
          <w:sz w:val="20"/>
          <w:szCs w:val="20"/>
          <w:rtl/>
        </w:rPr>
        <w:t>.</w:t>
      </w:r>
    </w:p>
  </w:footnote>
  <w:footnote w:id="1838">
    <w:p w14:paraId="7D5B621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אבל השווה סוף הערה 138 בפרק זה.</w:t>
      </w:r>
    </w:p>
  </w:footnote>
  <w:footnote w:id="1839">
    <w:p w14:paraId="35CF50A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16 ביוני 1996.</w:t>
      </w:r>
    </w:p>
  </w:footnote>
  <w:footnote w:id="1840">
    <w:p w14:paraId="6D56861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רו</w:t>
      </w:r>
      <w:proofErr w:type="spellEnd"/>
      <w:r>
        <w:rPr>
          <w:sz w:val="20"/>
          <w:szCs w:val="20"/>
          <w:rtl/>
        </w:rPr>
        <w:t>.</w:t>
      </w:r>
    </w:p>
  </w:footnote>
  <w:footnote w:id="1841">
    <w:p w14:paraId="2B61FAC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את הציטוט מ“(ילדי ר׳ חיים)” בהקדמה לספרו, המובא בנספח לא להלן.</w:t>
      </w:r>
    </w:p>
  </w:footnote>
  <w:footnote w:id="1842">
    <w:p w14:paraId="68DDFAD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מכתב מר׳ </w:t>
      </w:r>
      <w:proofErr w:type="spellStart"/>
      <w:r>
        <w:rPr>
          <w:sz w:val="20"/>
          <w:szCs w:val="20"/>
          <w:rtl/>
        </w:rPr>
        <w:t>יחיאל־יעקב</w:t>
      </w:r>
      <w:proofErr w:type="spellEnd"/>
      <w:r>
        <w:rPr>
          <w:sz w:val="20"/>
          <w:szCs w:val="20"/>
          <w:rtl/>
        </w:rPr>
        <w:t xml:space="preserve"> ויינברג לד״ר </w:t>
      </w:r>
      <w:proofErr w:type="spellStart"/>
      <w:r>
        <w:rPr>
          <w:sz w:val="20"/>
          <w:szCs w:val="20"/>
          <w:rtl/>
        </w:rPr>
        <w:t>גבריאל־חיים</w:t>
      </w:r>
      <w:proofErr w:type="spellEnd"/>
      <w:r>
        <w:rPr>
          <w:sz w:val="20"/>
          <w:szCs w:val="20"/>
          <w:rtl/>
        </w:rPr>
        <w:t xml:space="preserve"> כהן מיום 28 בנובמבר 1965, המובא בעמ׳ 195 של “בין עולם הישיבות לאורתודוקסיה המודרנית” מאת מרק ב. שפירא (הוצאת ולנטיין מיטשל, </w:t>
      </w:r>
      <w:proofErr w:type="spellStart"/>
      <w:r>
        <w:rPr>
          <w:sz w:val="20"/>
          <w:szCs w:val="20"/>
          <w:rtl/>
        </w:rPr>
        <w:t>פורטלנד</w:t>
      </w:r>
      <w:proofErr w:type="spellEnd"/>
      <w:r>
        <w:rPr>
          <w:sz w:val="20"/>
          <w:szCs w:val="20"/>
          <w:rtl/>
        </w:rPr>
        <w:t>, אורגון, 1999).</w:t>
      </w:r>
    </w:p>
  </w:footnote>
  <w:footnote w:id="1843">
    <w:p w14:paraId="26ED929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הפרטים על ר׳ </w:t>
      </w:r>
      <w:proofErr w:type="spellStart"/>
      <w:r>
        <w:rPr>
          <w:sz w:val="20"/>
          <w:szCs w:val="20"/>
          <w:rtl/>
        </w:rPr>
        <w:t>משה־מרדכי</w:t>
      </w:r>
      <w:proofErr w:type="spellEnd"/>
      <w:r>
        <w:rPr>
          <w:sz w:val="20"/>
          <w:szCs w:val="20"/>
          <w:rtl/>
        </w:rPr>
        <w:t xml:space="preserve"> לקוחים מספרו של </w:t>
      </w:r>
      <w:proofErr w:type="spellStart"/>
      <w:r>
        <w:rPr>
          <w:sz w:val="20"/>
          <w:szCs w:val="20"/>
          <w:rtl/>
        </w:rPr>
        <w:t>דבורץ</w:t>
      </w:r>
      <w:proofErr w:type="spellEnd"/>
      <w:r>
        <w:rPr>
          <w:sz w:val="20"/>
          <w:szCs w:val="20"/>
          <w:rtl/>
        </w:rPr>
        <w:t xml:space="preserve">, “הגאון רבי משה מרדכי אפשטיין” (נספח ו לעיל). הפרטים על ר׳ </w:t>
      </w:r>
      <w:proofErr w:type="spellStart"/>
      <w:r>
        <w:rPr>
          <w:sz w:val="20"/>
          <w:szCs w:val="20"/>
          <w:rtl/>
        </w:rPr>
        <w:t>איסר־זלמן</w:t>
      </w:r>
      <w:proofErr w:type="spellEnd"/>
      <w:r>
        <w:rPr>
          <w:sz w:val="20"/>
          <w:szCs w:val="20"/>
          <w:rtl/>
        </w:rPr>
        <w:t xml:space="preserve"> לקוחים מספרו של </w:t>
      </w:r>
      <w:proofErr w:type="spellStart"/>
      <w:r>
        <w:rPr>
          <w:sz w:val="20"/>
          <w:szCs w:val="20"/>
          <w:rtl/>
        </w:rPr>
        <w:t>ידעאל</w:t>
      </w:r>
      <w:proofErr w:type="spellEnd"/>
      <w:r>
        <w:rPr>
          <w:sz w:val="20"/>
          <w:szCs w:val="20"/>
          <w:rtl/>
        </w:rPr>
        <w:t xml:space="preserve"> מלצר, “בדרך עץ החיים” (הערה 6 לעיל), הביוגרפיה המצוינת שכתב נכדו, ר׳ </w:t>
      </w:r>
      <w:proofErr w:type="spellStart"/>
      <w:r>
        <w:rPr>
          <w:sz w:val="20"/>
          <w:szCs w:val="20"/>
          <w:rtl/>
        </w:rPr>
        <w:t>ידעאל</w:t>
      </w:r>
      <w:proofErr w:type="spellEnd"/>
      <w:r>
        <w:rPr>
          <w:sz w:val="20"/>
          <w:szCs w:val="20"/>
          <w:rtl/>
        </w:rPr>
        <w:t xml:space="preserve"> מלצר.</w:t>
      </w:r>
    </w:p>
  </w:footnote>
  <w:footnote w:id="1844">
    <w:p w14:paraId="031DFF2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הערה 15 לעיל.</w:t>
      </w:r>
    </w:p>
  </w:footnote>
  <w:footnote w:id="1845">
    <w:p w14:paraId="30D15F0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ו לעיל – עמ׳ 87.</w:t>
      </w:r>
    </w:p>
  </w:footnote>
  <w:footnote w:id="1846">
    <w:p w14:paraId="6B3707F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12 לעיל – עמ׳ 312.</w:t>
      </w:r>
    </w:p>
  </w:footnote>
  <w:footnote w:id="1847">
    <w:p w14:paraId="3939E56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הוצאת אברהם ציוני, תל אביב, תשי״ח – עמ׳ 43.</w:t>
      </w:r>
    </w:p>
  </w:footnote>
  <w:footnote w:id="1848">
    <w:p w14:paraId="7D22635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גם פרק 4, הפסקה השלישית בנספח ט, ששם נדון בהרחבה הזמן המדויק של מינויו של ר׳ חיים.</w:t>
      </w:r>
    </w:p>
  </w:footnote>
  <w:footnote w:id="1849">
    <w:p w14:paraId="2B496F3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נזכר בפסקה הראשונה בנספח ח לעיל.</w:t>
      </w:r>
    </w:p>
  </w:footnote>
  <w:footnote w:id="1850">
    <w:p w14:paraId="3B3CB22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1851">
    <w:p w14:paraId="228B50D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ב לעיל.</w:t>
      </w:r>
    </w:p>
  </w:footnote>
  <w:footnote w:id="1852">
    <w:p w14:paraId="55A93DA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83.</w:t>
      </w:r>
    </w:p>
  </w:footnote>
  <w:footnote w:id="1853">
    <w:p w14:paraId="58AFA2B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103 ו־83, והפרק המתחיל בעמ׳ 529, שכותרתו “דברי התעוררות”.</w:t>
      </w:r>
    </w:p>
  </w:footnote>
  <w:footnote w:id="1854">
    <w:p w14:paraId="6502E96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דפוס בלשן, תשי״ז (להלן: לב איברא).</w:t>
      </w:r>
    </w:p>
  </w:footnote>
  <w:footnote w:id="1855">
    <w:p w14:paraId="3BC1E05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הוא נדפס לראשונה בכתב העת הרבני “הפרדס” בשנת תשי״ד.</w:t>
      </w:r>
    </w:p>
  </w:footnote>
  <w:footnote w:id="1856">
    <w:p w14:paraId="17C8A9C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39.</w:t>
      </w:r>
    </w:p>
  </w:footnote>
  <w:footnote w:id="1857">
    <w:p w14:paraId="0826CD6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מוזר הדבר שמאמרו של </w:t>
      </w:r>
      <w:proofErr w:type="spellStart"/>
      <w:r>
        <w:rPr>
          <w:sz w:val="20"/>
          <w:szCs w:val="20"/>
          <w:rtl/>
        </w:rPr>
        <w:t>הירש־לייב</w:t>
      </w:r>
      <w:proofErr w:type="spellEnd"/>
      <w:r>
        <w:rPr>
          <w:sz w:val="20"/>
          <w:szCs w:val="20"/>
          <w:rtl/>
        </w:rPr>
        <w:t xml:space="preserve"> גורדון “על גדות </w:t>
      </w:r>
      <w:proofErr w:type="spellStart"/>
      <w:r>
        <w:rPr>
          <w:sz w:val="20"/>
          <w:szCs w:val="20"/>
          <w:rtl/>
        </w:rPr>
        <w:t>הוויליה</w:t>
      </w:r>
      <w:proofErr w:type="spellEnd"/>
      <w:r>
        <w:rPr>
          <w:sz w:val="20"/>
          <w:szCs w:val="20"/>
          <w:rtl/>
        </w:rPr>
        <w:t xml:space="preserve"> </w:t>
      </w:r>
      <w:proofErr w:type="spellStart"/>
      <w:r>
        <w:rPr>
          <w:sz w:val="20"/>
          <w:szCs w:val="20"/>
          <w:rtl/>
        </w:rPr>
        <w:t>והנימן</w:t>
      </w:r>
      <w:proofErr w:type="spellEnd"/>
      <w:r>
        <w:rPr>
          <w:sz w:val="20"/>
          <w:szCs w:val="20"/>
          <w:rtl/>
        </w:rPr>
        <w:t xml:space="preserve">” </w:t>
      </w:r>
      <w:proofErr w:type="spellStart"/>
      <w:r>
        <w:rPr>
          <w:sz w:val="20"/>
          <w:szCs w:val="20"/>
          <w:rtl/>
        </w:rPr>
        <w:t>ב“הדואר</w:t>
      </w:r>
      <w:proofErr w:type="spellEnd"/>
      <w:r>
        <w:rPr>
          <w:sz w:val="20"/>
          <w:szCs w:val="20"/>
          <w:rtl/>
        </w:rPr>
        <w:t>” (הנ״ל, פרק 2, הערה 93), עמ׳ 89, הולך בעניין זה אחרי כץ בעיניים עצומות, אף שהוא חולק עליו בחריפות בעניינים אחרים ויסודיים יותר.</w:t>
      </w:r>
    </w:p>
  </w:footnote>
  <w:footnote w:id="1858">
    <w:p w14:paraId="53A3B20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ידעאל</w:t>
      </w:r>
      <w:proofErr w:type="spellEnd"/>
      <w:r>
        <w:rPr>
          <w:sz w:val="20"/>
          <w:szCs w:val="20"/>
          <w:rtl/>
        </w:rPr>
        <w:t xml:space="preserve"> מלצר, “בדרך עץ החיים”, עמ׳ 288. ר׳ </w:t>
      </w:r>
      <w:proofErr w:type="spellStart"/>
      <w:r>
        <w:rPr>
          <w:sz w:val="20"/>
          <w:szCs w:val="20"/>
          <w:rtl/>
        </w:rPr>
        <w:t>איסר־זלמן</w:t>
      </w:r>
      <w:proofErr w:type="spellEnd"/>
      <w:r>
        <w:rPr>
          <w:sz w:val="20"/>
          <w:szCs w:val="20"/>
          <w:rtl/>
        </w:rPr>
        <w:t xml:space="preserve">, שדיבר ביידיש, תיקן את עצמו כנראה </w:t>
      </w:r>
      <w:proofErr w:type="spellStart"/>
      <w:r>
        <w:rPr>
          <w:sz w:val="20"/>
          <w:szCs w:val="20"/>
          <w:rtl/>
        </w:rPr>
        <w:t>ל“איך</w:t>
      </w:r>
      <w:proofErr w:type="spellEnd"/>
      <w:r>
        <w:rPr>
          <w:sz w:val="20"/>
          <w:szCs w:val="20"/>
          <w:rtl/>
        </w:rPr>
        <w:t xml:space="preserve"> האב </w:t>
      </w:r>
      <w:proofErr w:type="spellStart"/>
      <w:r>
        <w:rPr>
          <w:sz w:val="20"/>
          <w:szCs w:val="20"/>
          <w:rtl/>
        </w:rPr>
        <w:t>געלערנט</w:t>
      </w:r>
      <w:proofErr w:type="spellEnd"/>
      <w:r>
        <w:rPr>
          <w:sz w:val="20"/>
          <w:szCs w:val="20"/>
          <w:rtl/>
        </w:rPr>
        <w:t xml:space="preserve"> מוסר” – והספר “בדרך עץ החיים”, הכתוב עברית, היה צריך לתרגם: “אני למדתי מוסר”.</w:t>
      </w:r>
    </w:p>
  </w:footnote>
  <w:footnote w:id="1859">
    <w:p w14:paraId="49F191C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30 בנובמבר 1991.</w:t>
      </w:r>
    </w:p>
  </w:footnote>
  <w:footnote w:id="1860">
    <w:p w14:paraId="53736ED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 נספח ט, על עמדתו השלילית של ר׳ חיים כלפי המוסר.</w:t>
      </w:r>
    </w:p>
  </w:footnote>
  <w:footnote w:id="1861">
    <w:p w14:paraId="0E6F1FB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2, נספח ו.</w:t>
      </w:r>
    </w:p>
  </w:footnote>
  <w:footnote w:id="1862">
    <w:p w14:paraId="5821915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חיים </w:t>
      </w:r>
      <w:proofErr w:type="spellStart"/>
      <w:r>
        <w:rPr>
          <w:sz w:val="20"/>
          <w:szCs w:val="20"/>
          <w:rtl/>
        </w:rPr>
        <w:t>סרנא</w:t>
      </w:r>
      <w:proofErr w:type="spellEnd"/>
      <w:r>
        <w:rPr>
          <w:sz w:val="20"/>
          <w:szCs w:val="20"/>
          <w:rtl/>
        </w:rPr>
        <w:t xml:space="preserve"> הוסיף באותה שעה – בלי ההרחבה או ההסבר הנדרשים – שר׳ </w:t>
      </w:r>
      <w:proofErr w:type="spellStart"/>
      <w:r>
        <w:rPr>
          <w:sz w:val="20"/>
          <w:szCs w:val="20"/>
          <w:rtl/>
        </w:rPr>
        <w:t>יחיאל־יעקב</w:t>
      </w:r>
      <w:proofErr w:type="spellEnd"/>
      <w:r>
        <w:rPr>
          <w:sz w:val="20"/>
          <w:szCs w:val="20"/>
          <w:rtl/>
        </w:rPr>
        <w:t xml:space="preserve"> ויינברג הצהיר הצהרה משונה: ר׳ </w:t>
      </w:r>
      <w:proofErr w:type="spellStart"/>
      <w:r>
        <w:rPr>
          <w:sz w:val="20"/>
          <w:szCs w:val="20"/>
          <w:rtl/>
        </w:rPr>
        <w:t>משה־מרדכי</w:t>
      </w:r>
      <w:proofErr w:type="spellEnd"/>
      <w:r>
        <w:rPr>
          <w:sz w:val="20"/>
          <w:szCs w:val="20"/>
          <w:rtl/>
        </w:rPr>
        <w:t xml:space="preserve"> היה גדול בתורה מבעל “דברי חיים”, ר׳ חיים </w:t>
      </w:r>
      <w:proofErr w:type="spellStart"/>
      <w:r>
        <w:rPr>
          <w:sz w:val="20"/>
          <w:szCs w:val="20"/>
          <w:rtl/>
        </w:rPr>
        <w:t>הלברשטם</w:t>
      </w:r>
      <w:proofErr w:type="spellEnd"/>
      <w:r>
        <w:rPr>
          <w:sz w:val="20"/>
          <w:szCs w:val="20"/>
          <w:rtl/>
        </w:rPr>
        <w:t xml:space="preserve"> (שנפטר בשנת תרל״ו, כשהיה ר׳ </w:t>
      </w:r>
      <w:proofErr w:type="spellStart"/>
      <w:r>
        <w:rPr>
          <w:sz w:val="20"/>
          <w:szCs w:val="20"/>
          <w:rtl/>
        </w:rPr>
        <w:t>משה־מרדכי</w:t>
      </w:r>
      <w:proofErr w:type="spellEnd"/>
      <w:r>
        <w:rPr>
          <w:sz w:val="20"/>
          <w:szCs w:val="20"/>
          <w:rtl/>
        </w:rPr>
        <w:t xml:space="preserve"> בן עשר). כפי שעולה בבירור </w:t>
      </w:r>
      <w:proofErr w:type="spellStart"/>
      <w:r>
        <w:rPr>
          <w:sz w:val="20"/>
          <w:szCs w:val="20"/>
          <w:rtl/>
        </w:rPr>
        <w:t>משו״ת</w:t>
      </w:r>
      <w:proofErr w:type="spellEnd"/>
      <w:r>
        <w:rPr>
          <w:sz w:val="20"/>
          <w:szCs w:val="20"/>
          <w:rtl/>
        </w:rPr>
        <w:t xml:space="preserve"> “שרידי אש”, ר׳ </w:t>
      </w:r>
      <w:proofErr w:type="spellStart"/>
      <w:r>
        <w:rPr>
          <w:sz w:val="20"/>
          <w:szCs w:val="20"/>
          <w:rtl/>
        </w:rPr>
        <w:t>יחיאל־יעקב</w:t>
      </w:r>
      <w:proofErr w:type="spellEnd"/>
      <w:r>
        <w:rPr>
          <w:sz w:val="20"/>
          <w:szCs w:val="20"/>
          <w:rtl/>
        </w:rPr>
        <w:t xml:space="preserve"> ויינברג היה בקי בכתביהם ההלכתיים של הרבנים החסידיים בפולין, בגליציה ובהונגריה, כגון שו״ת “דברי חיים”, וכנראה כיוון לחידושיו בענייני מקוואות. ב־28 בספטמבר 2001 אמר ר׳ חיים </w:t>
      </w:r>
      <w:proofErr w:type="spellStart"/>
      <w:r>
        <w:rPr>
          <w:sz w:val="20"/>
          <w:szCs w:val="20"/>
          <w:rtl/>
        </w:rPr>
        <w:t>סרנא</w:t>
      </w:r>
      <w:proofErr w:type="spellEnd"/>
      <w:r>
        <w:rPr>
          <w:sz w:val="20"/>
          <w:szCs w:val="20"/>
          <w:rtl/>
        </w:rPr>
        <w:t xml:space="preserve"> שבגיל עשרים ואחת ידע ר׳ </w:t>
      </w:r>
      <w:proofErr w:type="spellStart"/>
      <w:r>
        <w:rPr>
          <w:sz w:val="20"/>
          <w:szCs w:val="20"/>
          <w:rtl/>
        </w:rPr>
        <w:t>משה־מרדכי</w:t>
      </w:r>
      <w:proofErr w:type="spellEnd"/>
      <w:r>
        <w:rPr>
          <w:sz w:val="20"/>
          <w:szCs w:val="20"/>
          <w:rtl/>
        </w:rPr>
        <w:t xml:space="preserve"> בעל פה, מילה במילה, את כל הש״ס ואת כל השולחן ערוך.</w:t>
      </w:r>
    </w:p>
  </w:footnote>
  <w:footnote w:id="1863">
    <w:p w14:paraId="1AD298B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פרק 4, נספח יד, על דעתו של ר׳ ישראל </w:t>
      </w:r>
      <w:proofErr w:type="spellStart"/>
      <w:r>
        <w:rPr>
          <w:sz w:val="20"/>
          <w:szCs w:val="20"/>
          <w:rtl/>
        </w:rPr>
        <w:t>סלנטר</w:t>
      </w:r>
      <w:proofErr w:type="spellEnd"/>
      <w:r>
        <w:rPr>
          <w:sz w:val="20"/>
          <w:szCs w:val="20"/>
          <w:rtl/>
        </w:rPr>
        <w:t xml:space="preserve"> שר׳ לייזר גורדון אינו צריך מוסר.</w:t>
      </w:r>
    </w:p>
  </w:footnote>
  <w:footnote w:id="1864">
    <w:p w14:paraId="1C398EF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18 לעיל – עמ׳ פה.</w:t>
      </w:r>
    </w:p>
  </w:footnote>
  <w:footnote w:id="1865">
    <w:p w14:paraId="672E04C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חגיגה י׳ ע״א ועוד.</w:t>
      </w:r>
    </w:p>
  </w:footnote>
  <w:footnote w:id="1866">
    <w:p w14:paraId="6B7918F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8 במאי 1994.</w:t>
      </w:r>
    </w:p>
  </w:footnote>
  <w:footnote w:id="1867">
    <w:p w14:paraId="1FC0503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או״ח</w:t>
      </w:r>
      <w:proofErr w:type="spellEnd"/>
      <w:r>
        <w:rPr>
          <w:sz w:val="20"/>
          <w:szCs w:val="20"/>
          <w:rtl/>
        </w:rPr>
        <w:t xml:space="preserve"> סי׳ רצ״ו ס״ו.</w:t>
      </w:r>
    </w:p>
  </w:footnote>
  <w:footnote w:id="1868">
    <w:p w14:paraId="2FD231B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סוף נספח ל להלן.</w:t>
      </w:r>
    </w:p>
  </w:footnote>
  <w:footnote w:id="1869">
    <w:p w14:paraId="2DC9E3E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ידעאל</w:t>
      </w:r>
      <w:proofErr w:type="spellEnd"/>
      <w:r>
        <w:rPr>
          <w:sz w:val="20"/>
          <w:szCs w:val="20"/>
          <w:rtl/>
        </w:rPr>
        <w:t xml:space="preserve"> מלצר, “בדרך עץ החיים”, עמ׳ 84–85.</w:t>
      </w:r>
    </w:p>
  </w:footnote>
  <w:footnote w:id="1870">
    <w:p w14:paraId="3538745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לימים כיהן, בזו אחר זו, ברבנות </w:t>
      </w:r>
      <w:proofErr w:type="spellStart"/>
      <w:r>
        <w:rPr>
          <w:sz w:val="20"/>
          <w:szCs w:val="20"/>
          <w:rtl/>
        </w:rPr>
        <w:t>בייסגולה</w:t>
      </w:r>
      <w:proofErr w:type="spellEnd"/>
      <w:r>
        <w:rPr>
          <w:sz w:val="20"/>
          <w:szCs w:val="20"/>
          <w:rtl/>
        </w:rPr>
        <w:t xml:space="preserve">, </w:t>
      </w:r>
      <w:proofErr w:type="spellStart"/>
      <w:r>
        <w:rPr>
          <w:sz w:val="20"/>
          <w:szCs w:val="20"/>
          <w:rtl/>
        </w:rPr>
        <w:t>סמיאטיץ</w:t>
      </w:r>
      <w:proofErr w:type="spellEnd"/>
      <w:r>
        <w:rPr>
          <w:sz w:val="20"/>
          <w:szCs w:val="20"/>
          <w:rtl/>
        </w:rPr>
        <w:t xml:space="preserve">׳, שדובה, </w:t>
      </w:r>
      <w:proofErr w:type="spellStart"/>
      <w:r>
        <w:rPr>
          <w:sz w:val="20"/>
          <w:szCs w:val="20"/>
          <w:rtl/>
        </w:rPr>
        <w:t>סובאלק</w:t>
      </w:r>
      <w:proofErr w:type="spellEnd"/>
      <w:r>
        <w:rPr>
          <w:sz w:val="20"/>
          <w:szCs w:val="20"/>
          <w:rtl/>
        </w:rPr>
        <w:t xml:space="preserve">, </w:t>
      </w:r>
      <w:proofErr w:type="spellStart"/>
      <w:r>
        <w:rPr>
          <w:sz w:val="20"/>
          <w:szCs w:val="20"/>
          <w:rtl/>
        </w:rPr>
        <w:t>לומז׳ה</w:t>
      </w:r>
      <w:proofErr w:type="spellEnd"/>
      <w:r>
        <w:rPr>
          <w:sz w:val="20"/>
          <w:szCs w:val="20"/>
          <w:rtl/>
        </w:rPr>
        <w:t xml:space="preserve"> ושאוול, העיר השנייה בגודלה בליטא, ושם נהרג על קידוש השם בשנת תש״א, בגיל שבעים וחמש – לשנת לידתו המדויקת ראה הערת שוליים </w:t>
      </w:r>
      <w:r>
        <w:rPr>
          <w:sz w:val="20"/>
          <w:szCs w:val="20"/>
          <w:rtl/>
        </w:rPr>
        <w:fldChar w:fldCharType="begin" w:dirty="true"/>
      </w:r>
      <w:r>
        <w:rPr>
          <w:sz w:val="20"/>
          <w:szCs w:val="20"/>
          <w:rtl/>
        </w:rPr>
        <w:instrText xml:space="preserve"> NOTEREF pr_f_3968 \h </w:instrText>
      </w:r>
      <w:r>
        <w:rPr>
          <w:sz w:val="20"/>
          <w:szCs w:val="20"/>
          <w:rtl/>
        </w:rPr>
      </w:r>
      <w:r>
        <w:rPr>
          <w:sz w:val="20"/>
          <w:szCs w:val="20"/>
          <w:rtl/>
        </w:rPr>
        <w:fldChar w:fldCharType="separate"/>
      </w:r>
      <w:r w:rsidR="007923E9">
        <w:rPr>
          <w:sz w:val="20"/>
          <w:szCs w:val="20"/>
          <w:rtl/>
        </w:rPr>
        <w:t>1045</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pr_f_3968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במבוא “מתולדותיו” </w:t>
      </w:r>
      <w:proofErr w:type="spellStart"/>
      <w:r>
        <w:rPr>
          <w:sz w:val="20"/>
          <w:szCs w:val="20"/>
          <w:rtl/>
        </w:rPr>
        <w:t>ב“לב</w:t>
      </w:r>
      <w:proofErr w:type="spellEnd"/>
      <w:r>
        <w:rPr>
          <w:sz w:val="20"/>
          <w:szCs w:val="20"/>
          <w:rtl/>
        </w:rPr>
        <w:t xml:space="preserve"> אהרן”, קובץ שיחותיו של ר׳ </w:t>
      </w:r>
      <w:proofErr w:type="spellStart"/>
      <w:r>
        <w:rPr>
          <w:sz w:val="20"/>
          <w:szCs w:val="20"/>
          <w:rtl/>
        </w:rPr>
        <w:t>ארצ׳יק</w:t>
      </w:r>
      <w:proofErr w:type="spellEnd"/>
      <w:r>
        <w:rPr>
          <w:sz w:val="20"/>
          <w:szCs w:val="20"/>
          <w:rtl/>
        </w:rPr>
        <w:t xml:space="preserve"> בקשט (הוצאת “נצח”, בני ברק/ירושלים), עמ׳ ח, מסופר שר׳ שמואל </w:t>
      </w:r>
      <w:proofErr w:type="spellStart"/>
      <w:r>
        <w:rPr>
          <w:sz w:val="20"/>
          <w:szCs w:val="20"/>
          <w:rtl/>
        </w:rPr>
        <w:t>גריינמן</w:t>
      </w:r>
      <w:proofErr w:type="spellEnd"/>
      <w:r>
        <w:rPr>
          <w:sz w:val="20"/>
          <w:szCs w:val="20"/>
          <w:rtl/>
        </w:rPr>
        <w:t xml:space="preserve"> שאלו מדוע החליף מקום רבנות לעיתים קרובות כל כך, והשיב (כנראה בדרך הלצה): “לאחר שש שנים במקום ראיתי שכמעט כל בעלי הבתים היו בדיני תורה עם בני עירם, והתוצאה הייתה שחמישים האחוזים שהפסידו בדינם נעשו אויביי”. פרק 7 בספרו של כץ, “תנועת המוסר”, כרך ה, מוקדש </w:t>
      </w:r>
      <w:proofErr w:type="spellStart"/>
      <w:r>
        <w:rPr>
          <w:sz w:val="20"/>
          <w:szCs w:val="20"/>
          <w:rtl/>
        </w:rPr>
        <w:t>לר</w:t>
      </w:r>
      <w:proofErr w:type="spellEnd"/>
      <w:r>
        <w:rPr>
          <w:sz w:val="20"/>
          <w:szCs w:val="20"/>
          <w:rtl/>
        </w:rPr>
        <w:t xml:space="preserve">׳ </w:t>
      </w:r>
      <w:proofErr w:type="spellStart"/>
      <w:r>
        <w:rPr>
          <w:sz w:val="20"/>
          <w:szCs w:val="20"/>
          <w:rtl/>
        </w:rPr>
        <w:t>ארצ׳יק</w:t>
      </w:r>
      <w:proofErr w:type="spellEnd"/>
      <w:r>
        <w:rPr>
          <w:sz w:val="20"/>
          <w:szCs w:val="20"/>
          <w:rtl/>
        </w:rPr>
        <w:t xml:space="preserve"> בקשט.</w:t>
      </w:r>
    </w:p>
  </w:footnote>
  <w:footnote w:id="1871">
    <w:p w14:paraId="51D36D7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125.</w:t>
      </w:r>
    </w:p>
  </w:footnote>
  <w:footnote w:id="1872">
    <w:p w14:paraId="371B5BD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מיום 4 בספטמבר 1996.</w:t>
      </w:r>
    </w:p>
  </w:footnote>
  <w:footnote w:id="1873">
    <w:p w14:paraId="2F9F8A1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ביום 21 ביולי 2001 אמר נכד נכדתו, ר׳ </w:t>
      </w:r>
      <w:proofErr w:type="spellStart"/>
      <w:r>
        <w:rPr>
          <w:sz w:val="20"/>
          <w:szCs w:val="20"/>
          <w:rtl/>
        </w:rPr>
        <w:t>יעקב־אליעזר</w:t>
      </w:r>
      <w:proofErr w:type="spellEnd"/>
      <w:r>
        <w:rPr>
          <w:sz w:val="20"/>
          <w:szCs w:val="20"/>
          <w:rtl/>
        </w:rPr>
        <w:t xml:space="preserve"> שוורצמן, בנאום בציבור, שר׳ </w:t>
      </w:r>
      <w:proofErr w:type="spellStart"/>
      <w:r>
        <w:rPr>
          <w:sz w:val="20"/>
          <w:szCs w:val="20"/>
          <w:rtl/>
        </w:rPr>
        <w:t>פייבל</w:t>
      </w:r>
      <w:proofErr w:type="spellEnd"/>
      <w:r>
        <w:rPr>
          <w:sz w:val="20"/>
          <w:szCs w:val="20"/>
          <w:rtl/>
        </w:rPr>
        <w:t xml:space="preserve"> התפלל גם לפני מותו (מדלקת ריאות, בגיל ארבעים ושלוש) שצאצאיו לא יהיו עשירים. את בקשתו נימק כך: הוא עצמו ידע כיצד לנהוג בעושר, אבל לא היה בטוח שגם צאצאיו יידעו, ומבחינה רוחנית יהיו בטוחים יותר בלי עושר. תפילתו נענתה כשמפעלי העור והפרוות שבבעלותו נשרפו לבסוף. על אדם יוצא דופן זה השווה את הפרק בספרו של </w:t>
      </w:r>
      <w:proofErr w:type="spellStart"/>
      <w:r>
        <w:rPr>
          <w:sz w:val="20"/>
          <w:szCs w:val="20"/>
          <w:rtl/>
        </w:rPr>
        <w:t>ידעאל</w:t>
      </w:r>
      <w:proofErr w:type="spellEnd"/>
      <w:r>
        <w:rPr>
          <w:sz w:val="20"/>
          <w:szCs w:val="20"/>
          <w:rtl/>
        </w:rPr>
        <w:t xml:space="preserve"> מלצר, “בדרך עץ החיים” (עמ׳ 59–81), וכן את סוף נספח זה.</w:t>
      </w:r>
    </w:p>
  </w:footnote>
  <w:footnote w:id="1874">
    <w:p w14:paraId="1680A02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ביום 31 במרץ 1995.</w:t>
      </w:r>
    </w:p>
  </w:footnote>
  <w:footnote w:id="1875">
    <w:p w14:paraId="5F8C697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“רבותינו שבגולה” (הערה 10 לעיל), כרך 1, עמ׳ 159–171.</w:t>
      </w:r>
    </w:p>
  </w:footnote>
  <w:footnote w:id="1876">
    <w:p w14:paraId="28B77CC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פרטים אלה מסר לי ביום 29 בנובמבר 1988 ר׳ יחיאל פר, ששמעם מבני משפחת אשתו – נכדתו של ר׳ אברהם </w:t>
      </w:r>
      <w:proofErr w:type="spellStart"/>
      <w:r>
        <w:rPr>
          <w:sz w:val="20"/>
          <w:szCs w:val="20"/>
          <w:rtl/>
        </w:rPr>
        <w:t>יופן</w:t>
      </w:r>
      <w:proofErr w:type="spellEnd"/>
      <w:r>
        <w:rPr>
          <w:sz w:val="20"/>
          <w:szCs w:val="20"/>
          <w:rtl/>
        </w:rPr>
        <w:t xml:space="preserve"> ונינתו של ר׳ יוזל </w:t>
      </w:r>
      <w:proofErr w:type="spellStart"/>
      <w:r>
        <w:rPr>
          <w:sz w:val="20"/>
          <w:szCs w:val="20"/>
          <w:rtl/>
        </w:rPr>
        <w:t>הורוויץ</w:t>
      </w:r>
      <w:proofErr w:type="spellEnd"/>
      <w:r>
        <w:rPr>
          <w:sz w:val="20"/>
          <w:szCs w:val="20"/>
          <w:rtl/>
        </w:rPr>
        <w:t xml:space="preserve">, מייסד תנועת המוסר </w:t>
      </w:r>
      <w:proofErr w:type="spellStart"/>
      <w:r>
        <w:rPr>
          <w:sz w:val="20"/>
          <w:szCs w:val="20"/>
          <w:rtl/>
        </w:rPr>
        <w:t>הנובהרדוקאית</w:t>
      </w:r>
      <w:proofErr w:type="spellEnd"/>
      <w:r>
        <w:rPr>
          <w:sz w:val="20"/>
          <w:szCs w:val="20"/>
          <w:rtl/>
        </w:rPr>
        <w:t xml:space="preserve">. על רקע אפשרי לגילויים אלה השווה גם תחילת נספח </w:t>
      </w:r>
      <w:proofErr w:type="spellStart"/>
      <w:r>
        <w:rPr>
          <w:sz w:val="20"/>
          <w:szCs w:val="20"/>
          <w:rtl/>
        </w:rPr>
        <w:t>יח</w:t>
      </w:r>
      <w:proofErr w:type="spellEnd"/>
      <w:r>
        <w:rPr>
          <w:sz w:val="20"/>
          <w:szCs w:val="20"/>
          <w:rtl/>
        </w:rPr>
        <w:t xml:space="preserve"> להלן.</w:t>
      </w:r>
    </w:p>
  </w:footnote>
  <w:footnote w:id="1877">
    <w:p w14:paraId="223BE4F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ידעאל</w:t>
      </w:r>
      <w:proofErr w:type="spellEnd"/>
      <w:r>
        <w:rPr>
          <w:sz w:val="20"/>
          <w:szCs w:val="20"/>
          <w:rtl/>
        </w:rPr>
        <w:t xml:space="preserve"> מלצר, “בדרך עץ החיים”, עמ׳ 84–85.</w:t>
      </w:r>
    </w:p>
  </w:footnote>
  <w:footnote w:id="1878">
    <w:p w14:paraId="6ECBDAC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גם הנקודה השנייה של ר׳ </w:t>
      </w:r>
      <w:proofErr w:type="spellStart"/>
      <w:r>
        <w:rPr>
          <w:sz w:val="20"/>
          <w:szCs w:val="20"/>
          <w:rtl/>
        </w:rPr>
        <w:t>אלעזר־מנחם־מן</w:t>
      </w:r>
      <w:proofErr w:type="spellEnd"/>
      <w:r>
        <w:rPr>
          <w:sz w:val="20"/>
          <w:szCs w:val="20"/>
          <w:rtl/>
        </w:rPr>
        <w:t xml:space="preserve"> שך מוטלת בספק כשמדובר בחסידי המוסר.</w:t>
      </w:r>
    </w:p>
  </w:footnote>
  <w:footnote w:id="1879">
    <w:p w14:paraId="1D94F89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בעמ׳ </w:t>
      </w:r>
      <w:proofErr w:type="spellStart"/>
      <w:r>
        <w:rPr>
          <w:sz w:val="20"/>
          <w:szCs w:val="20"/>
          <w:rtl/>
        </w:rPr>
        <w:t>רנב</w:t>
      </w:r>
      <w:proofErr w:type="spellEnd"/>
      <w:r>
        <w:rPr>
          <w:sz w:val="20"/>
          <w:szCs w:val="20"/>
          <w:rtl/>
        </w:rPr>
        <w:t>.</w:t>
      </w:r>
    </w:p>
  </w:footnote>
  <w:footnote w:id="1880">
    <w:p w14:paraId="7711425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5, הפסקה השנייה בנספח ח.</w:t>
      </w:r>
    </w:p>
  </w:footnote>
  <w:footnote w:id="1881">
    <w:p w14:paraId="6C2C12F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סוף הפסקה השנייה בנספח ח בפרק 5, על גמילות החסדים שעשה ר׳ </w:t>
      </w:r>
      <w:proofErr w:type="spellStart"/>
      <w:r>
        <w:rPr>
          <w:sz w:val="20"/>
          <w:szCs w:val="20"/>
          <w:rtl/>
        </w:rPr>
        <w:t>ארצ׳יק</w:t>
      </w:r>
      <w:proofErr w:type="spellEnd"/>
      <w:r>
        <w:rPr>
          <w:sz w:val="20"/>
          <w:szCs w:val="20"/>
          <w:rtl/>
        </w:rPr>
        <w:t xml:space="preserve"> בגופו.</w:t>
      </w:r>
    </w:p>
  </w:footnote>
  <w:footnote w:id="1882">
    <w:p w14:paraId="71E0B9F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הנקודה השנייה אינה נזכרת כלל </w:t>
      </w:r>
      <w:proofErr w:type="spellStart"/>
      <w:r>
        <w:rPr>
          <w:sz w:val="20"/>
          <w:szCs w:val="20"/>
          <w:rtl/>
        </w:rPr>
        <w:t>ב“שמושה</w:t>
      </w:r>
      <w:proofErr w:type="spellEnd"/>
      <w:r>
        <w:rPr>
          <w:sz w:val="20"/>
          <w:szCs w:val="20"/>
          <w:rtl/>
        </w:rPr>
        <w:t xml:space="preserve"> של תורה”.</w:t>
      </w:r>
    </w:p>
  </w:footnote>
  <w:footnote w:id="1883">
    <w:p w14:paraId="554C0F8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מן המבוא “מתולדותיו” </w:t>
      </w:r>
      <w:proofErr w:type="spellStart"/>
      <w:r>
        <w:rPr>
          <w:sz w:val="20"/>
          <w:szCs w:val="20"/>
          <w:rtl/>
        </w:rPr>
        <w:t>ב“לב</w:t>
      </w:r>
      <w:proofErr w:type="spellEnd"/>
      <w:r>
        <w:rPr>
          <w:sz w:val="20"/>
          <w:szCs w:val="20"/>
          <w:rtl/>
        </w:rPr>
        <w:t xml:space="preserve"> אהרן”, עמ׳ י.</w:t>
      </w:r>
    </w:p>
  </w:footnote>
  <w:footnote w:id="1884">
    <w:p w14:paraId="61FC882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ישעיה </w:t>
      </w:r>
      <w:proofErr w:type="spellStart"/>
      <w:r>
        <w:rPr>
          <w:sz w:val="20"/>
          <w:szCs w:val="20"/>
          <w:rtl/>
        </w:rPr>
        <w:t>פורטנוי</w:t>
      </w:r>
      <w:proofErr w:type="spellEnd"/>
      <w:r>
        <w:rPr>
          <w:sz w:val="20"/>
          <w:szCs w:val="20"/>
          <w:rtl/>
        </w:rPr>
        <w:t>, ריאיון מיום 18 במרץ 1991.</w:t>
      </w:r>
    </w:p>
  </w:footnote>
  <w:footnote w:id="1885">
    <w:p w14:paraId="30013A4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עם אותו מרואיין מיום 13 בספטמבר 1997.</w:t>
      </w:r>
    </w:p>
  </w:footnote>
  <w:footnote w:id="1886">
    <w:p w14:paraId="3A24BEE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מאורע זה ודאי אירע כשר׳ </w:t>
      </w:r>
      <w:proofErr w:type="spellStart"/>
      <w:r>
        <w:rPr>
          <w:sz w:val="20"/>
          <w:szCs w:val="20"/>
          <w:rtl/>
        </w:rPr>
        <w:t>משה־מרדכי</w:t>
      </w:r>
      <w:proofErr w:type="spellEnd"/>
      <w:r>
        <w:rPr>
          <w:sz w:val="20"/>
          <w:szCs w:val="20"/>
          <w:rtl/>
        </w:rPr>
        <w:t xml:space="preserve"> כבר היה ראש הישיבה היחיד, כמסופר בסעיף 1 בפרק זה, וכנראה אחרי שאבי הצטרף לישיבה. אם כן, רבנו ראה את המעשה בעצמו.</w:t>
      </w:r>
    </w:p>
  </w:footnote>
  <w:footnote w:id="1887">
    <w:p w14:paraId="2EBBB3D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w:t>
      </w:r>
      <w:proofErr w:type="spellStart"/>
      <w:r>
        <w:rPr>
          <w:sz w:val="20"/>
          <w:szCs w:val="20"/>
          <w:rtl/>
        </w:rPr>
        <w:t>יעקב־יצחק</w:t>
      </w:r>
      <w:proofErr w:type="spellEnd"/>
      <w:r>
        <w:rPr>
          <w:sz w:val="20"/>
          <w:szCs w:val="20"/>
          <w:rtl/>
        </w:rPr>
        <w:t xml:space="preserve"> </w:t>
      </w:r>
      <w:proofErr w:type="spellStart"/>
      <w:r>
        <w:rPr>
          <w:sz w:val="20"/>
          <w:szCs w:val="20"/>
          <w:rtl/>
        </w:rPr>
        <w:t>רודרמן</w:t>
      </w:r>
      <w:proofErr w:type="spellEnd"/>
      <w:r>
        <w:rPr>
          <w:sz w:val="20"/>
          <w:szCs w:val="20"/>
          <w:rtl/>
        </w:rPr>
        <w:t xml:space="preserve"> לא בא לעיר </w:t>
      </w:r>
      <w:proofErr w:type="spellStart"/>
      <w:r>
        <w:rPr>
          <w:sz w:val="20"/>
          <w:szCs w:val="20"/>
          <w:rtl/>
        </w:rPr>
        <w:t>סלבודקה</w:t>
      </w:r>
      <w:proofErr w:type="spellEnd"/>
      <w:r>
        <w:rPr>
          <w:sz w:val="20"/>
          <w:szCs w:val="20"/>
          <w:rtl/>
        </w:rPr>
        <w:t xml:space="preserve"> עד אחרי המלחמה, ובוודאי שמע על מעשה זה מתלמידים שלפני מלחמת העולם הראשונה.</w:t>
      </w:r>
    </w:p>
  </w:footnote>
  <w:footnote w:id="1888">
    <w:p w14:paraId="71EE89A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הפסקה האמצעית בסעיף 2 בפרק זה.</w:t>
      </w:r>
    </w:p>
  </w:footnote>
  <w:footnote w:id="1889">
    <w:p w14:paraId="6724C4D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אפשר, כמובן, שמעשה זה אינו גרסה אחרת של המעשה שסיפר אבי, אלא אירע מאוחר יותר, כשכבר גיבש ר׳ </w:t>
      </w:r>
      <w:proofErr w:type="spellStart"/>
      <w:r>
        <w:rPr>
          <w:sz w:val="20"/>
          <w:szCs w:val="20"/>
          <w:rtl/>
        </w:rPr>
        <w:t>משה־מרדכי</w:t>
      </w:r>
      <w:proofErr w:type="spellEnd"/>
      <w:r>
        <w:rPr>
          <w:sz w:val="20"/>
          <w:szCs w:val="20"/>
          <w:rtl/>
        </w:rPr>
        <w:t xml:space="preserve"> אפשטיין דעות עצמאיות בשאלה מה צריכים בחורי </w:t>
      </w:r>
      <w:proofErr w:type="spellStart"/>
      <w:r>
        <w:rPr>
          <w:sz w:val="20"/>
          <w:szCs w:val="20"/>
          <w:rtl/>
        </w:rPr>
        <w:t>סלבודקה</w:t>
      </w:r>
      <w:proofErr w:type="spellEnd"/>
      <w:r>
        <w:rPr>
          <w:sz w:val="20"/>
          <w:szCs w:val="20"/>
          <w:rtl/>
        </w:rPr>
        <w:t xml:space="preserve"> לעשות ומה לא – אף שעדיין לא חלק על הכרעות הסבא. על השתתפות תלמידי ישיבות מוסר בלוויות השווה הפסקה השנייה בנספח </w:t>
      </w:r>
      <w:proofErr w:type="spellStart"/>
      <w:r>
        <w:rPr>
          <w:sz w:val="20"/>
          <w:szCs w:val="20"/>
          <w:rtl/>
        </w:rPr>
        <w:t>כא</w:t>
      </w:r>
      <w:proofErr w:type="spellEnd"/>
      <w:r>
        <w:rPr>
          <w:sz w:val="20"/>
          <w:szCs w:val="20"/>
          <w:rtl/>
        </w:rPr>
        <w:t xml:space="preserve"> להלן, ועל הדרך שבה ראה ר׳ </w:t>
      </w:r>
      <w:proofErr w:type="spellStart"/>
      <w:r>
        <w:rPr>
          <w:sz w:val="20"/>
          <w:szCs w:val="20"/>
          <w:rtl/>
        </w:rPr>
        <w:t>משה־מרדכי</w:t>
      </w:r>
      <w:proofErr w:type="spellEnd"/>
      <w:r>
        <w:rPr>
          <w:sz w:val="20"/>
          <w:szCs w:val="20"/>
          <w:rtl/>
        </w:rPr>
        <w:t xml:space="preserve"> את עצמו לעומת הסבא – הערה 76 בפרק זה.</w:t>
      </w:r>
    </w:p>
  </w:footnote>
  <w:footnote w:id="1890">
    <w:p w14:paraId="08A0EE1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כרך 2.</w:t>
      </w:r>
    </w:p>
  </w:footnote>
  <w:footnote w:id="1891">
    <w:p w14:paraId="20DA846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הערה 32.</w:t>
      </w:r>
    </w:p>
  </w:footnote>
  <w:footnote w:id="1892">
    <w:p w14:paraId="7A15548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הערה 93.</w:t>
      </w:r>
    </w:p>
  </w:footnote>
  <w:footnote w:id="1893">
    <w:p w14:paraId="1F58B05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ריאיון טלפוני עם ר׳ שבתי רוזנטל, מנהל מכון הרב </w:t>
      </w:r>
      <w:proofErr w:type="spellStart"/>
      <w:r>
        <w:rPr>
          <w:sz w:val="20"/>
          <w:szCs w:val="20"/>
          <w:rtl/>
        </w:rPr>
        <w:t>פראנק</w:t>
      </w:r>
      <w:proofErr w:type="spellEnd"/>
      <w:r>
        <w:rPr>
          <w:sz w:val="20"/>
          <w:szCs w:val="20"/>
          <w:rtl/>
        </w:rPr>
        <w:t>, ביום 14 ביולי 2002, סמוך לסיום כתיבת ספר זה. הרב רוזנטל קיבל ידיעה זו מנכדו של ר׳ יודל.</w:t>
      </w:r>
    </w:p>
  </w:footnote>
  <w:footnote w:id="1894">
    <w:p w14:paraId="28719F4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“שרידי אש”, עמ׳ שכו.</w:t>
      </w:r>
    </w:p>
  </w:footnote>
  <w:footnote w:id="1895">
    <w:p w14:paraId="29F8E81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כץ, “תנועת המוסר”, כרך ג, עמ׳ 32; השווה הערת שוליים </w:t>
      </w:r>
      <w:r>
        <w:rPr>
          <w:rStyle w:val="a5"/>
          <w:sz w:val="20"/>
          <w:szCs w:val="20"/>
          <w:vertAlign w:val="baseline"/>
          <w:rtl/>
        </w:rPr>
        <w:fldChar w:fldCharType="begin" w:dirty="true"/>
      </w:r>
      <w:r>
        <w:rPr>
          <w:rStyle w:val="a5"/>
          <w:sz w:val="20"/>
          <w:szCs w:val="20"/>
          <w:vertAlign w:val="baseline"/>
          <w:rtl/>
        </w:rPr>
        <w:instrText xml:space="preserve"> NOTEREF pr_f_1020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62</w:t>
      </w:r>
      <w:r>
        <w:rPr>
          <w:rStyle w:val="a5"/>
          <w:sz w:val="20"/>
          <w:szCs w:val="20"/>
          <w:vertAlign w:val="baseline"/>
          <w:rtl/>
        </w:rPr>
        <w:fldChar w:fldCharType="end"/>
      </w:r>
      <w:r>
        <w:rPr>
          <w:rStyle w:val="a5"/>
          <w:sz w:val="20"/>
          <w:szCs w:val="20"/>
          <w:vertAlign w:val="baseline"/>
          <w:rtl/>
        </w:rPr>
        <w:t xml:space="preserve"> בעמ׳ </w:t>
      </w:r>
      <w:r>
        <w:rPr>
          <w:rStyle w:val="a5"/>
          <w:sz w:val="20"/>
          <w:szCs w:val="20"/>
          <w:vertAlign w:val="baseline"/>
          <w:rtl/>
        </w:rPr>
        <w:fldChar w:fldCharType="begin" w:dirty="true"/>
      </w:r>
      <w:r>
        <w:rPr>
          <w:rStyle w:val="a5"/>
          <w:sz w:val="20"/>
          <w:szCs w:val="20"/>
          <w:vertAlign w:val="baseline"/>
          <w:rtl/>
        </w:rPr>
        <w:instrText xml:space="preserve"> PAGEREF pr_f_1020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w:t>
      </w:r>
    </w:p>
  </w:footnote>
  <w:footnote w:id="1896">
    <w:p w14:paraId="4CECD77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הערת שוליים שי </w:t>
      </w:r>
      <w:proofErr w:type="spellStart"/>
      <w:r>
        <w:rPr>
          <w:sz w:val="20"/>
          <w:szCs w:val="20"/>
          <w:rtl/>
        </w:rPr>
        <w:t>ב“תורת</w:t>
      </w:r>
      <w:proofErr w:type="spellEnd"/>
      <w:r>
        <w:rPr>
          <w:sz w:val="20"/>
          <w:szCs w:val="20"/>
          <w:rtl/>
        </w:rPr>
        <w:t xml:space="preserve"> חיים”, עמ׳ </w:t>
      </w:r>
      <w:proofErr w:type="spellStart"/>
      <w:r>
        <w:rPr>
          <w:sz w:val="20"/>
          <w:szCs w:val="20"/>
          <w:rtl/>
        </w:rPr>
        <w:t>רא</w:t>
      </w:r>
      <w:proofErr w:type="spellEnd"/>
      <w:r>
        <w:rPr>
          <w:sz w:val="20"/>
          <w:szCs w:val="20"/>
          <w:rtl/>
        </w:rPr>
        <w:t xml:space="preserve">, והערת שוליים </w:t>
      </w:r>
      <w:r>
        <w:rPr>
          <w:sz w:val="20"/>
          <w:szCs w:val="20"/>
          <w:rtl/>
        </w:rPr>
        <w:fldChar w:fldCharType="begin" w:dirty="true"/>
      </w:r>
      <w:r>
        <w:rPr>
          <w:sz w:val="20"/>
          <w:szCs w:val="20"/>
          <w:rtl/>
        </w:rPr>
        <w:instrText xml:space="preserve"> NOTEREF pr_f_2091 \h </w:instrText>
      </w:r>
      <w:r>
        <w:rPr>
          <w:sz w:val="20"/>
          <w:szCs w:val="20"/>
          <w:rtl/>
        </w:rPr>
      </w:r>
      <w:r>
        <w:rPr>
          <w:sz w:val="20"/>
          <w:szCs w:val="20"/>
          <w:rtl/>
        </w:rPr>
        <w:fldChar w:fldCharType="separate"/>
      </w:r>
      <w:r w:rsidR="007923E9">
        <w:rPr>
          <w:sz w:val="20"/>
          <w:szCs w:val="20"/>
          <w:rtl/>
        </w:rPr>
        <w:t>1137</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pr_f_2091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להלן.</w:t>
      </w:r>
    </w:p>
  </w:footnote>
  <w:footnote w:id="1897">
    <w:p w14:paraId="35135FB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נספח ט.</w:t>
      </w:r>
    </w:p>
  </w:footnote>
  <w:footnote w:id="1898">
    <w:p w14:paraId="434B43F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גם סוף הפסקה השנייה של נספח </w:t>
      </w:r>
      <w:proofErr w:type="spellStart"/>
      <w:r>
        <w:rPr>
          <w:sz w:val="20"/>
          <w:szCs w:val="20"/>
          <w:rtl/>
        </w:rPr>
        <w:t>כג</w:t>
      </w:r>
      <w:proofErr w:type="spellEnd"/>
      <w:r>
        <w:rPr>
          <w:sz w:val="20"/>
          <w:szCs w:val="20"/>
          <w:rtl/>
        </w:rPr>
        <w:t xml:space="preserve"> להלן, למקור מפוקפק שלפיו ייתכן שתנועת ההתנגדות למוסר בישיבת </w:t>
      </w:r>
      <w:proofErr w:type="spellStart"/>
      <w:r>
        <w:rPr>
          <w:sz w:val="20"/>
          <w:szCs w:val="20"/>
          <w:rtl/>
        </w:rPr>
        <w:t>סלבודקה</w:t>
      </w:r>
      <w:proofErr w:type="spellEnd"/>
      <w:r>
        <w:rPr>
          <w:sz w:val="20"/>
          <w:szCs w:val="20"/>
          <w:rtl/>
        </w:rPr>
        <w:t xml:space="preserve"> החלה לפרוח לפני תרנ״ג.</w:t>
      </w:r>
    </w:p>
  </w:footnote>
  <w:footnote w:id="1899">
    <w:p w14:paraId="397A86A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מעזבונו</w:t>
      </w:r>
      <w:proofErr w:type="spellEnd"/>
      <w:r>
        <w:rPr>
          <w:sz w:val="20"/>
          <w:szCs w:val="20"/>
          <w:rtl/>
        </w:rPr>
        <w:t xml:space="preserve"> של הרב מ.ש. שפירא, </w:t>
      </w:r>
      <w:proofErr w:type="spellStart"/>
      <w:r>
        <w:rPr>
          <w:sz w:val="20"/>
          <w:szCs w:val="20"/>
          <w:rtl/>
        </w:rPr>
        <w:t>ניו־יורק</w:t>
      </w:r>
      <w:proofErr w:type="spellEnd"/>
      <w:r>
        <w:rPr>
          <w:sz w:val="20"/>
          <w:szCs w:val="20"/>
          <w:rtl/>
        </w:rPr>
        <w:t>, תשכ״ד, הוצאת בני המחבר וכו׳ – עמ׳ 64.</w:t>
      </w:r>
    </w:p>
  </w:footnote>
  <w:footnote w:id="1900">
    <w:p w14:paraId="2C8CE2E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זהו שמשון </w:t>
      </w:r>
      <w:proofErr w:type="spellStart"/>
      <w:r>
        <w:rPr>
          <w:sz w:val="20"/>
          <w:szCs w:val="20"/>
          <w:rtl/>
        </w:rPr>
        <w:t>רוזנבאום</w:t>
      </w:r>
      <w:proofErr w:type="spellEnd"/>
      <w:r>
        <w:rPr>
          <w:sz w:val="20"/>
          <w:szCs w:val="20"/>
          <w:rtl/>
        </w:rPr>
        <w:t xml:space="preserve"> (נולד בשנת תרי״ט), שלימים למד משפטים בווינה ובאודסה, השתקע במינסק והיה ממנהיגי הציונות ברוסיה. לאחר מלחמת העולם הראשונה כיהן כסגן שר החוץ של ליטא וייצג אותה במשא ומתן בוורסאי. בשנת 1925 עבר לארץ ישראל ונעשה בה הקונסול הליטאי. (מתוך “יהדות ליטא”, הערה 9 לעיל, כרך 3, עמ׳ 235.)</w:t>
      </w:r>
    </w:p>
  </w:footnote>
  <w:footnote w:id="1901">
    <w:p w14:paraId="33E8914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329–330.</w:t>
      </w:r>
    </w:p>
  </w:footnote>
  <w:footnote w:id="1902">
    <w:p w14:paraId="7C1A2BD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 משה שמואל ודורו”, עמ׳ 67 וכן 75–76.</w:t>
      </w:r>
    </w:p>
  </w:footnote>
  <w:footnote w:id="1903">
    <w:p w14:paraId="1310587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49–52.</w:t>
      </w:r>
    </w:p>
  </w:footnote>
  <w:footnote w:id="1904">
    <w:p w14:paraId="751E3E7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2, הערה 4, מאת אחיו של ר׳ חיים ברלין – כרך 1, עמ׳ 117.</w:t>
      </w:r>
    </w:p>
  </w:footnote>
  <w:footnote w:id="1905">
    <w:p w14:paraId="244F63C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161.</w:t>
      </w:r>
    </w:p>
  </w:footnote>
  <w:footnote w:id="1906">
    <w:p w14:paraId="14B294C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1, עמ׳ 67.</w:t>
      </w:r>
    </w:p>
  </w:footnote>
  <w:footnote w:id="1907">
    <w:p w14:paraId="2202F3A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112–113.</w:t>
      </w:r>
    </w:p>
  </w:footnote>
  <w:footnote w:id="1908">
    <w:p w14:paraId="6649570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גם שם, עמ׳ 74–75, וכן פרק 16 (עמ׳ 118–123).</w:t>
      </w:r>
    </w:p>
  </w:footnote>
  <w:footnote w:id="1909">
    <w:p w14:paraId="269D9FA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זיכרונותיו של מ. </w:t>
      </w:r>
      <w:proofErr w:type="spellStart"/>
      <w:r>
        <w:rPr>
          <w:sz w:val="20"/>
          <w:szCs w:val="20"/>
          <w:rtl/>
        </w:rPr>
        <w:t>זלוטקין</w:t>
      </w:r>
      <w:proofErr w:type="spellEnd"/>
      <w:r>
        <w:rPr>
          <w:sz w:val="20"/>
          <w:szCs w:val="20"/>
          <w:rtl/>
        </w:rPr>
        <w:t xml:space="preserve"> </w:t>
      </w:r>
      <w:proofErr w:type="spellStart"/>
      <w:r>
        <w:rPr>
          <w:sz w:val="20"/>
          <w:szCs w:val="20"/>
          <w:rtl/>
        </w:rPr>
        <w:t>ב“שביבים</w:t>
      </w:r>
      <w:proofErr w:type="spellEnd"/>
      <w:r>
        <w:rPr>
          <w:sz w:val="20"/>
          <w:szCs w:val="20"/>
          <w:rtl/>
        </w:rPr>
        <w:t xml:space="preserve"> א׳”, עמ׳ 56–64.</w:t>
      </w:r>
    </w:p>
  </w:footnote>
  <w:footnote w:id="1910">
    <w:p w14:paraId="0803D01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השיר פורסם </w:t>
      </w:r>
      <w:proofErr w:type="spellStart"/>
      <w:r>
        <w:rPr>
          <w:sz w:val="20"/>
          <w:szCs w:val="20"/>
          <w:rtl/>
        </w:rPr>
        <w:t>ב“כנסת</w:t>
      </w:r>
      <w:proofErr w:type="spellEnd"/>
      <w:r>
        <w:rPr>
          <w:sz w:val="20"/>
          <w:szCs w:val="20"/>
          <w:rtl/>
        </w:rPr>
        <w:t xml:space="preserve">” (תרצ״ו) (הוצאת דביר, תל אביב), ותואר בו </w:t>
      </w:r>
      <w:proofErr w:type="spellStart"/>
      <w:r>
        <w:rPr>
          <w:sz w:val="20"/>
          <w:szCs w:val="20"/>
          <w:rtl/>
        </w:rPr>
        <w:t>כ“קטע</w:t>
      </w:r>
      <w:proofErr w:type="spellEnd"/>
      <w:r>
        <w:rPr>
          <w:sz w:val="20"/>
          <w:szCs w:val="20"/>
          <w:rtl/>
        </w:rPr>
        <w:t xml:space="preserve"> גנוז מתוך” שירו “המתמיד”.</w:t>
      </w:r>
    </w:p>
  </w:footnote>
  <w:footnote w:id="1911">
    <w:p w14:paraId="1553FD0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15 במרץ 1995.</w:t>
      </w:r>
    </w:p>
  </w:footnote>
  <w:footnote w:id="1912">
    <w:p w14:paraId="521F694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תלמידי הישיבה החילו אז עליהם את הפסוק בבראשית מד, ג במלואו: ‘הבקר אור והאנשים שלחו’.</w:t>
      </w:r>
    </w:p>
  </w:footnote>
  <w:footnote w:id="1913">
    <w:p w14:paraId="1A16EAA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בן דודו של סבו של ר׳ </w:t>
      </w:r>
      <w:proofErr w:type="spellStart"/>
      <w:r>
        <w:rPr>
          <w:sz w:val="20"/>
          <w:szCs w:val="20"/>
          <w:rtl/>
        </w:rPr>
        <w:t>יצחק־יעקב</w:t>
      </w:r>
      <w:proofErr w:type="spellEnd"/>
      <w:r>
        <w:rPr>
          <w:sz w:val="20"/>
          <w:szCs w:val="20"/>
          <w:rtl/>
        </w:rPr>
        <w:t xml:space="preserve"> </w:t>
      </w:r>
      <w:proofErr w:type="spellStart"/>
      <w:r>
        <w:rPr>
          <w:sz w:val="20"/>
          <w:szCs w:val="20"/>
          <w:rtl/>
        </w:rPr>
        <w:t>אבלסון</w:t>
      </w:r>
      <w:proofErr w:type="spellEnd"/>
      <w:r>
        <w:rPr>
          <w:sz w:val="20"/>
          <w:szCs w:val="20"/>
          <w:rtl/>
        </w:rPr>
        <w:t>.</w:t>
      </w:r>
    </w:p>
  </w:footnote>
  <w:footnote w:id="1914">
    <w:p w14:paraId="7C34563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בערל </w:t>
      </w:r>
      <w:proofErr w:type="spellStart"/>
      <w:r>
        <w:rPr>
          <w:sz w:val="20"/>
          <w:szCs w:val="20"/>
          <w:rtl/>
        </w:rPr>
        <w:t>קגן</w:t>
      </w:r>
      <w:proofErr w:type="spellEnd"/>
      <w:r>
        <w:rPr>
          <w:sz w:val="20"/>
          <w:szCs w:val="20"/>
          <w:rtl/>
        </w:rPr>
        <w:t xml:space="preserve"> (הערה 10 לעיל), עמ׳ 244, ששני סופרים עבריים אחרים, </w:t>
      </w:r>
      <w:proofErr w:type="spellStart"/>
      <w:r>
        <w:rPr>
          <w:sz w:val="20"/>
          <w:szCs w:val="20"/>
          <w:rtl/>
        </w:rPr>
        <w:t>רבניצקי</w:t>
      </w:r>
      <w:proofErr w:type="spellEnd"/>
      <w:r>
        <w:rPr>
          <w:sz w:val="20"/>
          <w:szCs w:val="20"/>
          <w:rtl/>
        </w:rPr>
        <w:t xml:space="preserve"> </w:t>
      </w:r>
      <w:proofErr w:type="spellStart"/>
      <w:r>
        <w:rPr>
          <w:sz w:val="20"/>
          <w:szCs w:val="20"/>
          <w:rtl/>
        </w:rPr>
        <w:t>וליליינבלום</w:t>
      </w:r>
      <w:proofErr w:type="spellEnd"/>
      <w:r>
        <w:rPr>
          <w:sz w:val="20"/>
          <w:szCs w:val="20"/>
          <w:rtl/>
        </w:rPr>
        <w:t>, היו מבקרים גם הם תכופות אצל רבה של אודסה.</w:t>
      </w:r>
    </w:p>
  </w:footnote>
  <w:footnote w:id="1915">
    <w:p w14:paraId="7EDD58F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419, והערת שוליים 647 שם.</w:t>
      </w:r>
    </w:p>
  </w:footnote>
  <w:footnote w:id="1916">
    <w:p w14:paraId="0CAC0BC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כי אין לומר בדרך זו ואצ״ל זו: ע׳ אילת השחר </w:t>
      </w:r>
      <w:proofErr w:type="spellStart"/>
      <w:r>
        <w:rPr>
          <w:sz w:val="20"/>
          <w:szCs w:val="20"/>
          <w:rtl/>
        </w:rPr>
        <w:t>להמלבי״ם</w:t>
      </w:r>
      <w:proofErr w:type="spellEnd"/>
      <w:r>
        <w:rPr>
          <w:sz w:val="20"/>
          <w:szCs w:val="20"/>
          <w:rtl/>
        </w:rPr>
        <w:t xml:space="preserve"> אות קצ״ט – ובפרט שבריש דבריו שם הזכיר </w:t>
      </w:r>
      <w:proofErr w:type="spellStart"/>
      <w:r>
        <w:rPr>
          <w:sz w:val="20"/>
          <w:szCs w:val="20"/>
          <w:rtl/>
        </w:rPr>
        <w:t>הנצי״ב</w:t>
      </w:r>
      <w:proofErr w:type="spellEnd"/>
      <w:r>
        <w:rPr>
          <w:sz w:val="20"/>
          <w:szCs w:val="20"/>
          <w:rtl/>
        </w:rPr>
        <w:t xml:space="preserve"> קודם את סגירת הישיבה ולאחר מכאן שנחלה בחולי אשר לא עמד ממנו עיי״ש.</w:t>
      </w:r>
    </w:p>
  </w:footnote>
  <w:footnote w:id="1917">
    <w:p w14:paraId="3F4C7C6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“הראשון לשושלת </w:t>
      </w:r>
      <w:proofErr w:type="spellStart"/>
      <w:r>
        <w:rPr>
          <w:sz w:val="20"/>
          <w:szCs w:val="20"/>
          <w:rtl/>
        </w:rPr>
        <w:t>בריסק</w:t>
      </w:r>
      <w:proofErr w:type="spellEnd"/>
      <w:r>
        <w:rPr>
          <w:sz w:val="20"/>
          <w:szCs w:val="20"/>
          <w:rtl/>
        </w:rPr>
        <w:t xml:space="preserve">”, עמ׳ 418, המתאר את גישתו של אחד מגבאי הישיבה, ר׳ מרדכי </w:t>
      </w:r>
      <w:proofErr w:type="spellStart"/>
      <w:r>
        <w:rPr>
          <w:sz w:val="20"/>
          <w:szCs w:val="20"/>
          <w:rtl/>
        </w:rPr>
        <w:t>סולומונוב</w:t>
      </w:r>
      <w:proofErr w:type="spellEnd"/>
      <w:r>
        <w:rPr>
          <w:sz w:val="20"/>
          <w:szCs w:val="20"/>
          <w:rtl/>
        </w:rPr>
        <w:t>: אל להנהלת הישיבה לסגור אותה; עליה להיענות לצו הממשלה, שלפיו יש לקצץ את שעות לימוד התורה לשלוש, “ובאותו זמן לנצל את כל המאמצים והאמצעים לסכל את הצו, דבר שהיה אפשרי במיוחד ברוסיה הצארית”. הוא אף הבטיח לאסוף לשם כך סכום כסף ניכר. כוונתו הייתה לשחד את הפקידים הנוגעים בדבר.</w:t>
      </w:r>
    </w:p>
  </w:footnote>
  <w:footnote w:id="1918">
    <w:p w14:paraId="744C59B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ה לעיל.</w:t>
      </w:r>
    </w:p>
  </w:footnote>
  <w:footnote w:id="1919">
    <w:p w14:paraId="301AE8C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“פון </w:t>
      </w:r>
      <w:proofErr w:type="spellStart"/>
      <w:r>
        <w:rPr>
          <w:sz w:val="20"/>
          <w:szCs w:val="20"/>
          <w:rtl/>
        </w:rPr>
        <w:t>וואלאזין</w:t>
      </w:r>
      <w:proofErr w:type="spellEnd"/>
      <w:r>
        <w:rPr>
          <w:sz w:val="20"/>
          <w:szCs w:val="20"/>
          <w:rtl/>
        </w:rPr>
        <w:t xml:space="preserve"> </w:t>
      </w:r>
      <w:proofErr w:type="spellStart"/>
      <w:r>
        <w:rPr>
          <w:sz w:val="20"/>
          <w:szCs w:val="20"/>
          <w:rtl/>
        </w:rPr>
        <w:t>ביז</w:t>
      </w:r>
      <w:proofErr w:type="spellEnd"/>
      <w:r>
        <w:rPr>
          <w:sz w:val="20"/>
          <w:szCs w:val="20"/>
          <w:rtl/>
        </w:rPr>
        <w:t xml:space="preserve"> ירושלים”, כרך 1, עמ׳ 148–149 ו־151–153.</w:t>
      </w:r>
    </w:p>
  </w:footnote>
  <w:footnote w:id="1920">
    <w:p w14:paraId="1361A4D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ו לעיל – עמ׳ 321–323.</w:t>
      </w:r>
    </w:p>
  </w:footnote>
  <w:footnote w:id="1921">
    <w:p w14:paraId="23FC9D1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1922">
    <w:p w14:paraId="2D22AFC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4.2, הפסקה החמישית מן הסוף, כיצד נהגה כך ישיבת </w:t>
      </w:r>
      <w:proofErr w:type="spellStart"/>
      <w:r>
        <w:rPr>
          <w:sz w:val="20"/>
          <w:szCs w:val="20"/>
          <w:rtl/>
        </w:rPr>
        <w:t>טלז</w:t>
      </w:r>
      <w:proofErr w:type="spellEnd"/>
      <w:r>
        <w:rPr>
          <w:sz w:val="20"/>
          <w:szCs w:val="20"/>
          <w:rtl/>
        </w:rPr>
        <w:t xml:space="preserve"> </w:t>
      </w:r>
      <w:proofErr w:type="spellStart"/>
      <w:r>
        <w:rPr>
          <w:sz w:val="20"/>
          <w:szCs w:val="20"/>
          <w:rtl/>
        </w:rPr>
        <w:t>שלוש־עשרה</w:t>
      </w:r>
      <w:proofErr w:type="spellEnd"/>
      <w:r>
        <w:rPr>
          <w:sz w:val="20"/>
          <w:szCs w:val="20"/>
          <w:rtl/>
        </w:rPr>
        <w:t xml:space="preserve"> שנה אחר כך: היא סגרה את שעריה לזמן מוגבל, ולאחר מכן פתחה אותם לתלמידים נבחרים.</w:t>
      </w:r>
    </w:p>
  </w:footnote>
  <w:footnote w:id="1923">
    <w:p w14:paraId="26BD4E6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1, עמ׳ 151.</w:t>
      </w:r>
    </w:p>
  </w:footnote>
  <w:footnote w:id="1924">
    <w:p w14:paraId="47750C8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פרקים 11–15 של “הראשון לשושלת </w:t>
      </w:r>
      <w:proofErr w:type="spellStart"/>
      <w:r>
        <w:rPr>
          <w:sz w:val="20"/>
          <w:szCs w:val="20"/>
          <w:rtl/>
        </w:rPr>
        <w:t>בריסק</w:t>
      </w:r>
      <w:proofErr w:type="spellEnd"/>
      <w:r>
        <w:rPr>
          <w:sz w:val="20"/>
          <w:szCs w:val="20"/>
          <w:rtl/>
        </w:rPr>
        <w:t>” מבררים עניין זה באופן יסודי.</w:t>
      </w:r>
    </w:p>
  </w:footnote>
  <w:footnote w:id="1925">
    <w:p w14:paraId="706F35D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יעקב מארק (הפסקה הראשונה של נספח ב לעיל), עמ׳ 57, מספר שר׳ חיים “סירב לשמוע על ההצעות לכהן ברבנות באחת הערים הגדולות הרבות שהוצעו לו, וחיפש [במקום זאת] משרה הולמת של ראש ישיבה במקום שאליו יוכל להעביר לפחות חלק מישיבת </w:t>
      </w:r>
      <w:proofErr w:type="spellStart"/>
      <w:r>
        <w:rPr>
          <w:sz w:val="20"/>
          <w:szCs w:val="20"/>
          <w:rtl/>
        </w:rPr>
        <w:t>וולוז׳ין</w:t>
      </w:r>
      <w:proofErr w:type="spellEnd"/>
      <w:r>
        <w:rPr>
          <w:sz w:val="20"/>
          <w:szCs w:val="20"/>
          <w:rtl/>
        </w:rPr>
        <w:t>”.</w:t>
      </w:r>
    </w:p>
  </w:footnote>
  <w:footnote w:id="1926">
    <w:p w14:paraId="75726B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15 לעיל – עמ׳ 603.</w:t>
      </w:r>
    </w:p>
  </w:footnote>
  <w:footnote w:id="1927">
    <w:p w14:paraId="419D7AF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“כדי שלא להניח הנייר חלק”.</w:t>
      </w:r>
    </w:p>
  </w:footnote>
  <w:footnote w:id="1928">
    <w:p w14:paraId="5182850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נדפס באי </w:t>
      </w:r>
      <w:proofErr w:type="spellStart"/>
      <w:r>
        <w:rPr>
          <w:sz w:val="20"/>
          <w:szCs w:val="20"/>
          <w:rtl/>
        </w:rPr>
        <w:t>ג׳רבה</w:t>
      </w:r>
      <w:proofErr w:type="spellEnd"/>
      <w:r>
        <w:rPr>
          <w:sz w:val="20"/>
          <w:szCs w:val="20"/>
          <w:rtl/>
        </w:rPr>
        <w:t xml:space="preserve"> </w:t>
      </w:r>
      <w:proofErr w:type="spellStart"/>
      <w:r>
        <w:rPr>
          <w:sz w:val="20"/>
          <w:szCs w:val="20"/>
          <w:rtl/>
        </w:rPr>
        <w:t>בתרע״ג</w:t>
      </w:r>
      <w:proofErr w:type="spellEnd"/>
      <w:r>
        <w:rPr>
          <w:sz w:val="20"/>
          <w:szCs w:val="20"/>
          <w:rtl/>
        </w:rPr>
        <w:t>.</w:t>
      </w:r>
    </w:p>
  </w:footnote>
  <w:footnote w:id="1929">
    <w:p w14:paraId="17366C0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4, הפסקה השנייה של נספח </w:t>
      </w:r>
      <w:proofErr w:type="spellStart"/>
      <w:r>
        <w:rPr>
          <w:sz w:val="20"/>
          <w:szCs w:val="20"/>
          <w:rtl/>
        </w:rPr>
        <w:t>יג</w:t>
      </w:r>
      <w:proofErr w:type="spellEnd"/>
      <w:r>
        <w:rPr>
          <w:sz w:val="20"/>
          <w:szCs w:val="20"/>
          <w:rtl/>
        </w:rPr>
        <w:t xml:space="preserve">, </w:t>
      </w:r>
      <w:proofErr w:type="spellStart"/>
      <w:r>
        <w:rPr>
          <w:sz w:val="20"/>
          <w:szCs w:val="20"/>
          <w:rtl/>
        </w:rPr>
        <w:t>שאוסטרהא</w:t>
      </w:r>
      <w:proofErr w:type="spellEnd"/>
      <w:r>
        <w:rPr>
          <w:sz w:val="20"/>
          <w:szCs w:val="20"/>
          <w:rtl/>
        </w:rPr>
        <w:t xml:space="preserve"> כינתה את עצמה עיר התורה מפני שישיבת </w:t>
      </w:r>
      <w:proofErr w:type="spellStart"/>
      <w:r>
        <w:rPr>
          <w:sz w:val="20"/>
          <w:szCs w:val="20"/>
          <w:rtl/>
        </w:rPr>
        <w:t>המהרש״א</w:t>
      </w:r>
      <w:proofErr w:type="spellEnd"/>
      <w:r>
        <w:rPr>
          <w:sz w:val="20"/>
          <w:szCs w:val="20"/>
          <w:rtl/>
        </w:rPr>
        <w:t xml:space="preserve"> שכנה בה מאות שנים קודם לכן. אבל </w:t>
      </w:r>
      <w:proofErr w:type="spellStart"/>
      <w:r>
        <w:rPr>
          <w:sz w:val="20"/>
          <w:szCs w:val="20"/>
          <w:rtl/>
        </w:rPr>
        <w:t>אוסטרהא</w:t>
      </w:r>
      <w:proofErr w:type="spellEnd"/>
      <w:r>
        <w:rPr>
          <w:sz w:val="20"/>
          <w:szCs w:val="20"/>
          <w:rtl/>
        </w:rPr>
        <w:t xml:space="preserve"> הייתה עיר גדולה, שהיו בה תלמידי חכמים רבים בכל הדורות, ותושביה ראו בתורה שבה שריד למרכז התורה המפואר </w:t>
      </w:r>
      <w:proofErr w:type="spellStart"/>
      <w:r>
        <w:rPr>
          <w:sz w:val="20"/>
          <w:szCs w:val="20"/>
          <w:rtl/>
        </w:rPr>
        <w:t>שהמהרש״א</w:t>
      </w:r>
      <w:proofErr w:type="spellEnd"/>
      <w:r>
        <w:rPr>
          <w:sz w:val="20"/>
          <w:szCs w:val="20"/>
          <w:rtl/>
        </w:rPr>
        <w:t xml:space="preserve"> עשה מעירם. לעומת זאת, אחרי סגירת ישיבת </w:t>
      </w:r>
      <w:proofErr w:type="spellStart"/>
      <w:r>
        <w:rPr>
          <w:sz w:val="20"/>
          <w:szCs w:val="20"/>
          <w:rtl/>
        </w:rPr>
        <w:t>וולוז׳ין</w:t>
      </w:r>
      <w:proofErr w:type="spellEnd"/>
      <w:r>
        <w:rPr>
          <w:sz w:val="20"/>
          <w:szCs w:val="20"/>
          <w:rtl/>
        </w:rPr>
        <w:t xml:space="preserve"> לא נותרו בעיירה לומדי תורה מלבד עשרת האברכים שבכולל של </w:t>
      </w:r>
      <w:proofErr w:type="spellStart"/>
      <w:r>
        <w:rPr>
          <w:sz w:val="20"/>
          <w:szCs w:val="20"/>
          <w:rtl/>
        </w:rPr>
        <w:t>ברודסקי</w:t>
      </w:r>
      <w:proofErr w:type="spellEnd"/>
      <w:r>
        <w:rPr>
          <w:sz w:val="20"/>
          <w:szCs w:val="20"/>
          <w:rtl/>
        </w:rPr>
        <w:t xml:space="preserve"> (השווה פרק 5, תחילת הפסקה הרביעית של נספח ו), ולא היה יסוד להמשיך ולטעון למעמד נכבד זה – אלא אם כן התגבשו תוכניות לפתוח את הישיבה מחדש.</w:t>
      </w:r>
    </w:p>
  </w:footnote>
  <w:footnote w:id="1930">
    <w:p w14:paraId="1DDC415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2, הפסקה העשרים וחמש של נספח א – עמ׳ 142.</w:t>
      </w:r>
    </w:p>
  </w:footnote>
  <w:footnote w:id="1931">
    <w:p w14:paraId="25C42BF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כט</w:t>
      </w:r>
      <w:proofErr w:type="spellEnd"/>
      <w:r>
        <w:rPr>
          <w:sz w:val="20"/>
          <w:szCs w:val="20"/>
          <w:rtl/>
        </w:rPr>
        <w:t xml:space="preserve"> ע״א.</w:t>
      </w:r>
    </w:p>
  </w:footnote>
  <w:footnote w:id="1932">
    <w:p w14:paraId="71D71F0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לעיל שאביו כבר השווה את סגירת הישיבה לחורבן ירושלים.</w:t>
      </w:r>
    </w:p>
  </w:footnote>
  <w:footnote w:id="1933">
    <w:p w14:paraId="64CF601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50–51.</w:t>
      </w:r>
    </w:p>
  </w:footnote>
  <w:footnote w:id="1934">
    <w:p w14:paraId="02A6EE1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תחילת נספח </w:t>
      </w:r>
      <w:proofErr w:type="spellStart"/>
      <w:r>
        <w:rPr>
          <w:sz w:val="20"/>
          <w:szCs w:val="20"/>
          <w:rtl/>
        </w:rPr>
        <w:t>יח</w:t>
      </w:r>
      <w:proofErr w:type="spellEnd"/>
      <w:r>
        <w:rPr>
          <w:sz w:val="20"/>
          <w:szCs w:val="20"/>
          <w:rtl/>
        </w:rPr>
        <w:t xml:space="preserve"> להלן.</w:t>
      </w:r>
    </w:p>
  </w:footnote>
  <w:footnote w:id="1935">
    <w:p w14:paraId="59097D2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13 במרץ 1997.</w:t>
      </w:r>
    </w:p>
  </w:footnote>
  <w:footnote w:id="1936">
    <w:p w14:paraId="5C12A72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לעיל, סוף נספח ו, מתי בדיוק נפתחה מחדש.</w:t>
      </w:r>
    </w:p>
  </w:footnote>
  <w:footnote w:id="1937">
    <w:p w14:paraId="52A40C5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אף שר׳ משה היה מצד </w:t>
      </w:r>
      <w:proofErr w:type="spellStart"/>
      <w:r>
        <w:rPr>
          <w:sz w:val="20"/>
          <w:szCs w:val="20"/>
          <w:rtl/>
        </w:rPr>
        <w:t>אמו</w:t>
      </w:r>
      <w:proofErr w:type="spellEnd"/>
      <w:r>
        <w:rPr>
          <w:sz w:val="20"/>
          <w:szCs w:val="20"/>
          <w:rtl/>
        </w:rPr>
        <w:t xml:space="preserve"> גם מצאצאי </w:t>
      </w:r>
      <w:proofErr w:type="spellStart"/>
      <w:r>
        <w:rPr>
          <w:sz w:val="20"/>
          <w:szCs w:val="20"/>
          <w:rtl/>
        </w:rPr>
        <w:t>הנצי״ב</w:t>
      </w:r>
      <w:proofErr w:type="spellEnd"/>
      <w:r>
        <w:rPr>
          <w:sz w:val="20"/>
          <w:szCs w:val="20"/>
          <w:rtl/>
        </w:rPr>
        <w:t xml:space="preserve">, ראו צאצאיו של ר׳ חיים </w:t>
      </w:r>
      <w:proofErr w:type="spellStart"/>
      <w:r>
        <w:rPr>
          <w:sz w:val="20"/>
          <w:szCs w:val="20"/>
          <w:rtl/>
        </w:rPr>
        <w:t>סולובייצ׳יק</w:t>
      </w:r>
      <w:proofErr w:type="spellEnd"/>
      <w:r>
        <w:rPr>
          <w:sz w:val="20"/>
          <w:szCs w:val="20"/>
          <w:rtl/>
        </w:rPr>
        <w:t xml:space="preserve"> את עצמם כבני שושלת אחרת.</w:t>
      </w:r>
    </w:p>
  </w:footnote>
  <w:footnote w:id="1938">
    <w:p w14:paraId="7A7A38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“מורשת </w:t>
      </w:r>
      <w:proofErr w:type="spellStart"/>
      <w:r>
        <w:rPr>
          <w:sz w:val="20"/>
          <w:szCs w:val="20"/>
          <w:rtl/>
        </w:rPr>
        <w:t>סולובייצ׳יק</w:t>
      </w:r>
      <w:proofErr w:type="spellEnd"/>
      <w:r>
        <w:rPr>
          <w:sz w:val="20"/>
          <w:szCs w:val="20"/>
          <w:rtl/>
        </w:rPr>
        <w:t>”, עמ׳ 190.</w:t>
      </w:r>
    </w:p>
  </w:footnote>
  <w:footnote w:id="1939">
    <w:p w14:paraId="3DE0F59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363.</w:t>
      </w:r>
    </w:p>
  </w:footnote>
  <w:footnote w:id="1940">
    <w:p w14:paraId="7A3AB72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2, הערה 49.</w:t>
      </w:r>
    </w:p>
  </w:footnote>
  <w:footnote w:id="1941">
    <w:p w14:paraId="399286A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כ״ה בתשרי תרמ״ד.</w:t>
      </w:r>
    </w:p>
  </w:footnote>
  <w:footnote w:id="1942">
    <w:p w14:paraId="454482D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w:t>
      </w:r>
      <w:proofErr w:type="spellStart"/>
      <w:r>
        <w:rPr>
          <w:sz w:val="20"/>
          <w:szCs w:val="20"/>
          <w:rtl/>
        </w:rPr>
        <w:t>וולוז׳ין</w:t>
      </w:r>
      <w:proofErr w:type="spellEnd"/>
      <w:r>
        <w:rPr>
          <w:sz w:val="20"/>
          <w:szCs w:val="20"/>
          <w:rtl/>
        </w:rPr>
        <w:t xml:space="preserve"> – ספרה של העיר ושל ישיבת עץ חיים”, עמ׳ 215–216.</w:t>
      </w:r>
    </w:p>
  </w:footnote>
  <w:footnote w:id="1943">
    <w:p w14:paraId="705B771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“ספר </w:t>
      </w:r>
      <w:proofErr w:type="spellStart"/>
      <w:r>
        <w:rPr>
          <w:sz w:val="20"/>
          <w:szCs w:val="20"/>
          <w:rtl/>
        </w:rPr>
        <w:t>קוברין</w:t>
      </w:r>
      <w:proofErr w:type="spellEnd"/>
      <w:r>
        <w:rPr>
          <w:sz w:val="20"/>
          <w:szCs w:val="20"/>
          <w:rtl/>
        </w:rPr>
        <w:t xml:space="preserve"> – מגילת חיים וחרבן” (תל אביב, תשי״א) (להלן: “ספר </w:t>
      </w:r>
      <w:proofErr w:type="spellStart"/>
      <w:r>
        <w:rPr>
          <w:sz w:val="20"/>
          <w:szCs w:val="20"/>
          <w:rtl/>
        </w:rPr>
        <w:t>קוברין</w:t>
      </w:r>
      <w:proofErr w:type="spellEnd"/>
      <w:r>
        <w:rPr>
          <w:sz w:val="20"/>
          <w:szCs w:val="20"/>
          <w:rtl/>
        </w:rPr>
        <w:t>”), עמ׳ 42–44.</w:t>
      </w:r>
    </w:p>
  </w:footnote>
  <w:footnote w:id="1944">
    <w:p w14:paraId="7FF3E3F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מזריטש</w:t>
      </w:r>
      <w:proofErr w:type="spellEnd"/>
      <w:r>
        <w:rPr>
          <w:sz w:val="20"/>
          <w:szCs w:val="20"/>
          <w:rtl/>
        </w:rPr>
        <w:t xml:space="preserve"> זו נמצאת </w:t>
      </w:r>
      <w:proofErr w:type="spellStart"/>
      <w:r>
        <w:rPr>
          <w:sz w:val="20"/>
          <w:szCs w:val="20"/>
          <w:rtl/>
        </w:rPr>
        <w:t>בפודוליה</w:t>
      </w:r>
      <w:proofErr w:type="spellEnd"/>
      <w:r>
        <w:rPr>
          <w:sz w:val="20"/>
          <w:szCs w:val="20"/>
          <w:rtl/>
        </w:rPr>
        <w:t xml:space="preserve">, ולא </w:t>
      </w:r>
      <w:proofErr w:type="spellStart"/>
      <w:r>
        <w:rPr>
          <w:sz w:val="20"/>
          <w:szCs w:val="20"/>
          <w:rtl/>
        </w:rPr>
        <w:t>בווהלין</w:t>
      </w:r>
      <w:proofErr w:type="spellEnd"/>
      <w:r>
        <w:rPr>
          <w:sz w:val="20"/>
          <w:szCs w:val="20"/>
          <w:rtl/>
        </w:rPr>
        <w:t xml:space="preserve"> (שבה הנהיג ר׳ </w:t>
      </w:r>
      <w:proofErr w:type="spellStart"/>
      <w:r>
        <w:rPr>
          <w:sz w:val="20"/>
          <w:szCs w:val="20"/>
          <w:rtl/>
        </w:rPr>
        <w:t>דוב־בער</w:t>
      </w:r>
      <w:proofErr w:type="spellEnd"/>
      <w:r>
        <w:rPr>
          <w:sz w:val="20"/>
          <w:szCs w:val="20"/>
          <w:rtl/>
        </w:rPr>
        <w:t xml:space="preserve">, תלמידו הבכיר של </w:t>
      </w:r>
      <w:proofErr w:type="spellStart"/>
      <w:r>
        <w:rPr>
          <w:sz w:val="20"/>
          <w:szCs w:val="20"/>
          <w:rtl/>
        </w:rPr>
        <w:t>הבעש״ט</w:t>
      </w:r>
      <w:proofErr w:type="spellEnd"/>
      <w:r>
        <w:rPr>
          <w:sz w:val="20"/>
          <w:szCs w:val="20"/>
          <w:rtl/>
        </w:rPr>
        <w:t>, את עדתו).</w:t>
      </w:r>
    </w:p>
  </w:footnote>
  <w:footnote w:id="1945">
    <w:p w14:paraId="4A7EB495" w14:textId="77777777" w:rsidR="00AB3647" w:rsidRDefault="00000000">
      <w:pPr>
        <w:spacing w:after="0" w:before="0"/>
        <w:jc w:val="both"/>
      </w:pPr>
      <w:r>
        <w:rPr>
          <w:rStyle w:val="a5"/>
          <w:vertAlign w:val="superscript"/>
          <w:rtl/>
        </w:rPr>
        <w:footnoteRef/>
      </w:r>
      <w:r>
        <w:rPr>
          <w:sz w:val="20"/>
          <w:szCs w:val="20"/>
        </w:rPr>
        <w:t xml:space="preserve"> </w:t>
      </w:r>
      <w:r>
        <w:rPr>
          <w:rStyle w:val="a5"/>
          <w:sz w:val="20"/>
          <w:szCs w:val="20"/>
          <w:vertAlign w:val="baseline"/>
          <w:rtl/>
        </w:rPr>
        <w:t/>
      </w:r>
      <w:r>
        <w:rPr>
          <w:sz w:val="20"/>
          <w:szCs w:val="20"/>
          <w:rtl/>
        </w:rPr>
        <w:t xml:space="preserve"/>
      </w:r>
      <w:r>
        <w:rPr>
          <w:b/>
          <w:sz w:val="20"/>
          <w:szCs w:val="20"/>
          <w:rtl/>
        </w:rPr>
        <w:t xml:space="preserve">הערת המתרגם: </w:t>
      </w:r>
      <w:proofErr w:type="spellStart"/>
      <w:r>
        <w:rPr>
          <w:sz w:val="20"/>
          <w:szCs w:val="20"/>
          <w:rtl/>
        </w:rPr>
        <w:t>מזריטש</w:t>
      </w:r>
      <w:proofErr w:type="spellEnd"/>
      <w:r>
        <w:rPr>
          <w:sz w:val="20"/>
          <w:szCs w:val="20"/>
          <w:rtl/>
        </w:rPr>
        <w:t xml:space="preserve"> זו היא </w:t>
      </w:r>
      <w:proofErr w:type="spellStart"/>
      <w:r>
        <w:rPr>
          <w:sz w:val="20"/>
          <w:szCs w:val="20"/>
          <w:rtl/>
        </w:rPr>
        <w:t>מז׳יז׳ץ</w:t>
      </w:r>
      <w:proofErr w:type="spellEnd"/>
      <w:r>
        <w:rPr>
          <w:sz w:val="20"/>
          <w:szCs w:val="20"/>
          <w:rtl/>
        </w:rPr>
        <w:t xml:space="preserve">׳ </w:t>
      </w:r>
      <w:proofErr w:type="spellStart"/>
      <w:r>
        <w:rPr>
          <w:sz w:val="20"/>
          <w:szCs w:val="20"/>
          <w:rtl/>
        </w:rPr>
        <w:t>פודלסקי</w:t>
      </w:r>
      <w:proofErr w:type="spellEnd"/>
      <w:r>
        <w:rPr>
          <w:sz w:val="20"/>
          <w:szCs w:val="20"/>
          <w:rtl/>
        </w:rPr>
        <w:t xml:space="preserve"> (</w:t>
      </w:r>
      <w:proofErr w:type="spellStart"/>
      <w:r>
        <w:rPr>
          <w:sz w:val="20"/>
          <w:szCs w:val="20"/>
          <w:rtl/>
        </w:rPr>
        <w:t>Międzyrzec</w:t>
      </w:r>
      <w:proofErr w:type="spellEnd"/>
      <w:r>
        <w:rPr>
          <w:sz w:val="20"/>
          <w:szCs w:val="20"/>
          <w:rtl/>
        </w:rPr>
        <w:t xml:space="preserve"> </w:t>
      </w:r>
      <w:proofErr w:type="spellStart"/>
      <w:r>
        <w:rPr>
          <w:sz w:val="20"/>
          <w:szCs w:val="20"/>
          <w:rtl/>
        </w:rPr>
        <w:t>Podlaski</w:t>
      </w:r>
      <w:proofErr w:type="spellEnd"/>
      <w:r>
        <w:rPr>
          <w:sz w:val="20"/>
          <w:szCs w:val="20"/>
          <w:rtl/>
        </w:rPr>
        <w:t xml:space="preserve">), באזור </w:t>
      </w:r>
      <w:proofErr w:type="spellStart"/>
      <w:r>
        <w:rPr>
          <w:sz w:val="20"/>
          <w:szCs w:val="20"/>
          <w:rtl/>
        </w:rPr>
        <w:t>פודלאסיה</w:t>
      </w:r>
      <w:proofErr w:type="spellEnd"/>
      <w:r>
        <w:rPr>
          <w:sz w:val="20"/>
          <w:szCs w:val="20"/>
          <w:rtl/>
        </w:rPr>
        <w:t xml:space="preserve"> שבפולין, כ־20 ק״מ ממערב </w:t>
      </w:r>
      <w:proofErr w:type="spellStart"/>
      <w:r>
        <w:rPr>
          <w:sz w:val="20"/>
          <w:szCs w:val="20"/>
          <w:rtl/>
        </w:rPr>
        <w:t>לביאלה</w:t>
      </w:r>
      <w:proofErr w:type="spellEnd"/>
      <w:r>
        <w:rPr>
          <w:sz w:val="20"/>
          <w:szCs w:val="20"/>
          <w:rtl/>
        </w:rPr>
        <w:t xml:space="preserve"> </w:t>
      </w:r>
      <w:proofErr w:type="spellStart"/>
      <w:r>
        <w:rPr>
          <w:sz w:val="20"/>
          <w:szCs w:val="20"/>
          <w:rtl/>
        </w:rPr>
        <w:t>פודלסקה</w:t>
      </w:r>
      <w:proofErr w:type="spellEnd"/>
      <w:r>
        <w:rPr>
          <w:sz w:val="20"/>
          <w:szCs w:val="20"/>
          <w:rtl/>
        </w:rPr>
        <w:t xml:space="preserve">, ואינה </w:t>
      </w:r>
      <w:proofErr w:type="spellStart"/>
      <w:r>
        <w:rPr>
          <w:sz w:val="20"/>
          <w:szCs w:val="20"/>
          <w:rtl/>
        </w:rPr>
        <w:t>בפודוליה</w:t>
      </w:r>
      <w:proofErr w:type="spellEnd"/>
      <w:r>
        <w:rPr>
          <w:sz w:val="20"/>
          <w:szCs w:val="20"/>
          <w:rtl/>
        </w:rPr>
        <w:t xml:space="preserve"> שבאוקראינה.</w:t>
      </w:r>
    </w:p>
  </w:footnote>
  <w:footnote w:id="1946">
    <w:p w14:paraId="79E2973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אין לבלבלו עם גיסו של ר׳ חיים </w:t>
      </w:r>
      <w:proofErr w:type="spellStart"/>
      <w:r>
        <w:rPr>
          <w:sz w:val="20"/>
          <w:szCs w:val="20"/>
          <w:rtl/>
        </w:rPr>
        <w:t>סולובייצ׳יק</w:t>
      </w:r>
      <w:proofErr w:type="spellEnd"/>
      <w:r>
        <w:rPr>
          <w:sz w:val="20"/>
          <w:szCs w:val="20"/>
          <w:rtl/>
        </w:rPr>
        <w:t xml:space="preserve">, שהיה רק בן שמונה כשנפטר רבה של </w:t>
      </w:r>
      <w:proofErr w:type="spellStart"/>
      <w:r>
        <w:rPr>
          <w:sz w:val="20"/>
          <w:szCs w:val="20"/>
          <w:rtl/>
        </w:rPr>
        <w:t>מזריטש</w:t>
      </w:r>
      <w:proofErr w:type="spellEnd"/>
      <w:r>
        <w:rPr>
          <w:sz w:val="20"/>
          <w:szCs w:val="20"/>
          <w:rtl/>
        </w:rPr>
        <w:t>, בעל אותו השם.</w:t>
      </w:r>
    </w:p>
  </w:footnote>
  <w:footnote w:id="1947">
    <w:p w14:paraId="04CFDFB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426–428.</w:t>
      </w:r>
    </w:p>
  </w:footnote>
  <w:footnote w:id="1948">
    <w:p w14:paraId="35C634F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כך כתב בהסכמתו לספר “רב פעלים” (עשהו ר׳ אברהם בן </w:t>
      </w:r>
      <w:proofErr w:type="spellStart"/>
      <w:r>
        <w:rPr>
          <w:sz w:val="20"/>
          <w:szCs w:val="20"/>
          <w:rtl/>
        </w:rPr>
        <w:t>הגר״א</w:t>
      </w:r>
      <w:proofErr w:type="spellEnd"/>
      <w:r>
        <w:rPr>
          <w:sz w:val="20"/>
          <w:szCs w:val="20"/>
          <w:rtl/>
        </w:rPr>
        <w:t xml:space="preserve">), שנדפס עם הערות ר׳ </w:t>
      </w:r>
      <w:proofErr w:type="spellStart"/>
      <w:r>
        <w:rPr>
          <w:sz w:val="20"/>
          <w:szCs w:val="20"/>
          <w:rtl/>
        </w:rPr>
        <w:t>שמעון־משה</w:t>
      </w:r>
      <w:proofErr w:type="spellEnd"/>
      <w:r>
        <w:rPr>
          <w:sz w:val="20"/>
          <w:szCs w:val="20"/>
          <w:rtl/>
        </w:rPr>
        <w:t xml:space="preserve"> </w:t>
      </w:r>
      <w:proofErr w:type="spellStart"/>
      <w:r>
        <w:rPr>
          <w:sz w:val="20"/>
          <w:szCs w:val="20"/>
          <w:rtl/>
        </w:rPr>
        <w:t>חונס</w:t>
      </w:r>
      <w:proofErr w:type="spellEnd"/>
      <w:r>
        <w:rPr>
          <w:sz w:val="20"/>
          <w:szCs w:val="20"/>
          <w:rtl/>
        </w:rPr>
        <w:t xml:space="preserve">, </w:t>
      </w:r>
      <w:proofErr w:type="spellStart"/>
      <w:r>
        <w:rPr>
          <w:sz w:val="20"/>
          <w:szCs w:val="20"/>
          <w:rtl/>
        </w:rPr>
        <w:t>ווארשא</w:t>
      </w:r>
      <w:proofErr w:type="spellEnd"/>
      <w:r>
        <w:rPr>
          <w:sz w:val="20"/>
          <w:szCs w:val="20"/>
          <w:rtl/>
        </w:rPr>
        <w:t>, תרנ״ד.</w:t>
      </w:r>
    </w:p>
  </w:footnote>
  <w:footnote w:id="1949">
    <w:p w14:paraId="0FE9C3A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נדפס בידי “המרכז </w:t>
      </w:r>
      <w:proofErr w:type="spellStart"/>
      <w:r>
        <w:rPr>
          <w:sz w:val="20"/>
          <w:szCs w:val="20"/>
          <w:rtl/>
        </w:rPr>
        <w:t>המעזריטשאי</w:t>
      </w:r>
      <w:proofErr w:type="spellEnd"/>
      <w:r>
        <w:rPr>
          <w:sz w:val="20"/>
          <w:szCs w:val="20"/>
          <w:rtl/>
        </w:rPr>
        <w:t xml:space="preserve">” בישראל </w:t>
      </w:r>
      <w:proofErr w:type="spellStart"/>
      <w:r>
        <w:rPr>
          <w:sz w:val="20"/>
          <w:szCs w:val="20"/>
          <w:rtl/>
        </w:rPr>
        <w:t>וכו</w:t>
      </w:r>
      <w:proofErr w:type="spellEnd"/>
      <w:r>
        <w:rPr>
          <w:sz w:val="20"/>
          <w:szCs w:val="20"/>
          <w:rtl/>
        </w:rPr>
        <w:t xml:space="preserve">׳, תש״ח, ישראל (להלן: “ספר </w:t>
      </w:r>
      <w:proofErr w:type="spellStart"/>
      <w:r>
        <w:rPr>
          <w:sz w:val="20"/>
          <w:szCs w:val="20"/>
          <w:rtl/>
        </w:rPr>
        <w:t>מזריטש</w:t>
      </w:r>
      <w:proofErr w:type="spellEnd"/>
      <w:r>
        <w:rPr>
          <w:sz w:val="20"/>
          <w:szCs w:val="20"/>
          <w:rtl/>
        </w:rPr>
        <w:t>”) – עמ׳ 439–442 (מצוטט בחלקו בפרק 5, נספח י להלן).</w:t>
      </w:r>
    </w:p>
  </w:footnote>
  <w:footnote w:id="1950">
    <w:p w14:paraId="16032600"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השרפה הגדולה </w:t>
      </w:r>
      <w:proofErr w:type="spellStart"/>
      <w:r>
        <w:rPr>
          <w:sz w:val="20"/>
          <w:szCs w:val="20"/>
          <w:rtl/>
        </w:rPr>
        <w:t>בקוברין</w:t>
      </w:r>
      <w:proofErr w:type="spellEnd"/>
      <w:r>
        <w:rPr>
          <w:sz w:val="20"/>
          <w:szCs w:val="20"/>
          <w:rtl/>
        </w:rPr>
        <w:t xml:space="preserve"> פרצה בכ״ג באייר תרנ״ה, יום אחרי השרפה </w:t>
      </w:r>
      <w:proofErr w:type="spellStart"/>
      <w:r>
        <w:rPr>
          <w:sz w:val="20"/>
          <w:szCs w:val="20"/>
          <w:rtl/>
        </w:rPr>
        <w:t>בבריסק</w:t>
      </w:r>
      <w:proofErr w:type="spellEnd"/>
      <w:r>
        <w:rPr>
          <w:sz w:val="20"/>
          <w:szCs w:val="20"/>
          <w:rtl/>
        </w:rPr>
        <w:t>.</w:t>
      </w:r>
    </w:p>
  </w:footnote>
  <w:footnote w:id="1951">
    <w:p w14:paraId="11D5830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נספח א.</w:t>
      </w:r>
    </w:p>
  </w:footnote>
  <w:footnote w:id="1952">
    <w:p w14:paraId="4711544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 בתמוז תרנ״ה.</w:t>
      </w:r>
    </w:p>
  </w:footnote>
  <w:footnote w:id="1953">
    <w:p w14:paraId="7EDAF75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“הגאון החסיד </w:t>
      </w:r>
      <w:proofErr w:type="spellStart"/>
      <w:r>
        <w:rPr>
          <w:sz w:val="20"/>
          <w:szCs w:val="20"/>
          <w:rtl/>
        </w:rPr>
        <w:t>מווילנא</w:t>
      </w:r>
      <w:proofErr w:type="spellEnd"/>
      <w:r>
        <w:rPr>
          <w:sz w:val="20"/>
          <w:szCs w:val="20"/>
          <w:rtl/>
        </w:rPr>
        <w:t>” (נספח ב לעיל), עמ׳ רעד והערה 69.</w:t>
      </w:r>
    </w:p>
  </w:footnote>
  <w:footnote w:id="1954">
    <w:p w14:paraId="3150A73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לאחר המהפכה הקומוניסטית הוחלף שם העיר </w:t>
      </w:r>
      <w:proofErr w:type="spellStart"/>
      <w:r>
        <w:rPr>
          <w:sz w:val="20"/>
          <w:szCs w:val="20"/>
          <w:rtl/>
        </w:rPr>
        <w:t>לקירובוגרד</w:t>
      </w:r>
      <w:proofErr w:type="spellEnd"/>
      <w:r>
        <w:rPr>
          <w:sz w:val="20"/>
          <w:szCs w:val="20"/>
          <w:rtl/>
        </w:rPr>
        <w:t>, על שם מהפכן רוסי.</w:t>
      </w:r>
    </w:p>
  </w:footnote>
  <w:footnote w:id="1955">
    <w:p w14:paraId="7E2CC41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50.</w:t>
      </w:r>
    </w:p>
  </w:footnote>
  <w:footnote w:id="1956">
    <w:p w14:paraId="166CC7D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44–45.</w:t>
      </w:r>
    </w:p>
  </w:footnote>
  <w:footnote w:id="1957">
    <w:p w14:paraId="25FDF201"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ר׳ יהונתן </w:t>
      </w:r>
      <w:proofErr w:type="spellStart"/>
      <w:r>
        <w:rPr>
          <w:sz w:val="20"/>
          <w:szCs w:val="20"/>
          <w:rtl/>
        </w:rPr>
        <w:t>אליאסברג</w:t>
      </w:r>
      <w:proofErr w:type="spellEnd"/>
      <w:r>
        <w:rPr>
          <w:sz w:val="20"/>
          <w:szCs w:val="20"/>
          <w:rtl/>
        </w:rPr>
        <w:t xml:space="preserve"> נפטר בשנת תרנ״ט.</w:t>
      </w:r>
    </w:p>
  </w:footnote>
  <w:footnote w:id="1958">
    <w:p w14:paraId="663BFA4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הפסקה השלישית של נספח יד להלן.</w:t>
      </w:r>
    </w:p>
  </w:footnote>
  <w:footnote w:id="1959">
    <w:p w14:paraId="376B062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בהתאמה, “פון </w:t>
      </w:r>
      <w:proofErr w:type="spellStart"/>
      <w:r>
        <w:rPr>
          <w:sz w:val="20"/>
          <w:szCs w:val="20"/>
          <w:rtl/>
        </w:rPr>
        <w:t>וואלאזין</w:t>
      </w:r>
      <w:proofErr w:type="spellEnd"/>
      <w:r>
        <w:rPr>
          <w:sz w:val="20"/>
          <w:szCs w:val="20"/>
          <w:rtl/>
        </w:rPr>
        <w:t xml:space="preserve"> </w:t>
      </w:r>
      <w:proofErr w:type="spellStart"/>
      <w:r>
        <w:rPr>
          <w:sz w:val="20"/>
          <w:szCs w:val="20"/>
          <w:rtl/>
        </w:rPr>
        <w:t>ביז</w:t>
      </w:r>
      <w:proofErr w:type="spellEnd"/>
      <w:r>
        <w:rPr>
          <w:sz w:val="20"/>
          <w:szCs w:val="20"/>
          <w:rtl/>
        </w:rPr>
        <w:t xml:space="preserve"> ירושלים”, כרך 1, עמ׳ 120–121, ותיאורו של ר׳ </w:t>
      </w:r>
      <w:proofErr w:type="spellStart"/>
      <w:r>
        <w:rPr>
          <w:sz w:val="20"/>
          <w:szCs w:val="20"/>
          <w:rtl/>
        </w:rPr>
        <w:t>איסר־זלמן</w:t>
      </w:r>
      <w:proofErr w:type="spellEnd"/>
      <w:r>
        <w:rPr>
          <w:sz w:val="20"/>
          <w:szCs w:val="20"/>
          <w:rtl/>
        </w:rPr>
        <w:t xml:space="preserve"> שהובא לעיל.</w:t>
      </w:r>
    </w:p>
  </w:footnote>
  <w:footnote w:id="1960">
    <w:p w14:paraId="1FD7412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לעיל.</w:t>
      </w:r>
    </w:p>
  </w:footnote>
  <w:footnote w:id="1961">
    <w:p w14:paraId="1FEB909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הערת שוליים בעמ׳ 112.</w:t>
      </w:r>
    </w:p>
  </w:footnote>
  <w:footnote w:id="1962">
    <w:p w14:paraId="2B16003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195.</w:t>
      </w:r>
    </w:p>
  </w:footnote>
  <w:footnote w:id="1963">
    <w:p w14:paraId="0613FDC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א לעיל – מאמר </w:t>
      </w:r>
      <w:proofErr w:type="spellStart"/>
      <w:r>
        <w:rPr>
          <w:sz w:val="20"/>
          <w:szCs w:val="20"/>
          <w:rtl/>
        </w:rPr>
        <w:t>טז</w:t>
      </w:r>
      <w:proofErr w:type="spellEnd"/>
      <w:r>
        <w:rPr>
          <w:sz w:val="20"/>
          <w:szCs w:val="20"/>
          <w:rtl/>
        </w:rPr>
        <w:t>, עמ׳ 159–165.</w:t>
      </w:r>
    </w:p>
  </w:footnote>
  <w:footnote w:id="1964">
    <w:p w14:paraId="47FB780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156–165.</w:t>
      </w:r>
    </w:p>
  </w:footnote>
  <w:footnote w:id="1965">
    <w:p w14:paraId="631C40FD"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התאריכים הלועזיים שבמקור אינם תואמים לתאריכים העבריים של שני המכתבים. 25 בפברואר 1909 חל ביום חמישי, ד׳ באדר תרס״ט. ערב שבת פרשת תרומה תרס״ט חל ב־19 בפברואר 1909 (כ״ח בשבט).</w:t>
      </w:r>
    </w:p>
    <w:p w14:paraId="4DF62697" w14:textId="77777777" w:rsidR="00AB3647" w:rsidRDefault="00000000">
      <w:pPr>
        <w:spacing w:after="0" w:before="0"/>
        <w:jc w:val="both"/>
      </w:pPr>
      <w:r>
        <w:rPr>
          <w:b/>
          <w:sz w:val="20"/>
          <w:szCs w:val="20"/>
          <w:rtl/>
        </w:rPr>
        <w:t xml:space="preserve">אשר למכתב השני: </w:t>
      </w:r>
      <w:r>
        <w:rPr>
          <w:sz w:val="20"/>
          <w:szCs w:val="20"/>
          <w:rtl/>
        </w:rPr>
        <w:t>ט׳ באדר תרס״ט חל ב־2 במרץ 1909; ה־16 במרץ 1909 הוא כ״ג באדר.</w:t>
      </w:r>
    </w:p>
  </w:footnote>
  <w:footnote w:id="1966">
    <w:p w14:paraId="1539BD3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בהוצאת “לחושבי שמו”, בני ברק, תשנ״ו (להלן: “קובץ מכתבים”) – עמ׳ ע–</w:t>
      </w:r>
      <w:proofErr w:type="spellStart"/>
      <w:r>
        <w:rPr>
          <w:sz w:val="20"/>
          <w:szCs w:val="20"/>
          <w:rtl/>
        </w:rPr>
        <w:t>עא</w:t>
      </w:r>
      <w:proofErr w:type="spellEnd"/>
      <w:r>
        <w:rPr>
          <w:sz w:val="20"/>
          <w:szCs w:val="20"/>
          <w:rtl/>
        </w:rPr>
        <w:t>.</w:t>
      </w:r>
    </w:p>
  </w:footnote>
  <w:footnote w:id="1967">
    <w:p w14:paraId="06E895C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הפסקה השנייה בנספח הבא.</w:t>
      </w:r>
    </w:p>
  </w:footnote>
  <w:footnote w:id="1968">
    <w:p w14:paraId="23C6FCC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הפסקה הראשונה בנספח </w:t>
      </w:r>
      <w:proofErr w:type="spellStart"/>
      <w:r>
        <w:rPr>
          <w:sz w:val="20"/>
          <w:szCs w:val="20"/>
          <w:rtl/>
        </w:rPr>
        <w:t>טז</w:t>
      </w:r>
      <w:proofErr w:type="spellEnd"/>
      <w:r>
        <w:rPr>
          <w:sz w:val="20"/>
          <w:szCs w:val="20"/>
          <w:rtl/>
        </w:rPr>
        <w:t xml:space="preserve"> להלן, על סלידתם של אנשי המוסר מר׳ יעקב הלוי.</w:t>
      </w:r>
    </w:p>
  </w:footnote>
  <w:footnote w:id="1969">
    <w:p w14:paraId="23DC90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לעיל.</w:t>
      </w:r>
    </w:p>
  </w:footnote>
  <w:footnote w:id="1970">
    <w:p w14:paraId="5FAAC90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נכדו של ר׳ חיים, ר׳ </w:t>
      </w:r>
      <w:proofErr w:type="spellStart"/>
      <w:r>
        <w:rPr>
          <w:sz w:val="20"/>
          <w:szCs w:val="20"/>
          <w:rtl/>
        </w:rPr>
        <w:t xml:space="preserve">יושע־בערל</w:t>
      </w:r>
      <w:proofErr w:type="spellEnd"/>
      <w:r>
        <w:rPr>
          <w:sz w:val="20"/>
          <w:szCs w:val="20"/>
          <w:rtl/>
        </w:rPr>
        <w:t xml:space="preserve"> </w:t>
      </w:r>
      <w:proofErr w:type="spellStart"/>
      <w:r>
        <w:rPr>
          <w:sz w:val="20"/>
          <w:szCs w:val="20"/>
          <w:rtl/>
        </w:rPr>
        <w:t>סולובייצ׳יק</w:t>
      </w:r>
      <w:proofErr w:type="spellEnd"/>
      <w:r>
        <w:rPr>
          <w:sz w:val="20"/>
          <w:szCs w:val="20"/>
          <w:rtl/>
        </w:rPr>
        <w:t>, חזר על הדברים באוזני הנכד האמור של ר׳ יעקב הלוי ליפשיץ.</w:t>
      </w:r>
    </w:p>
  </w:footnote>
  <w:footnote w:id="1971">
    <w:p w14:paraId="35EF0E3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סוף נספח יד להלן.</w:t>
      </w:r>
    </w:p>
  </w:footnote>
  <w:footnote w:id="1972">
    <w:p w14:paraId="2F01842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“ערוך ומסודר” בידי הרב ד״ר אשר רייכל, בהוצאת מוסד הרב קוק, ירושלים, תשל״ב.</w:t>
      </w:r>
    </w:p>
  </w:footnote>
  <w:footnote w:id="1973">
    <w:p w14:paraId="68370DF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מכתב צו – עמ׳ 165–166.</w:t>
      </w:r>
    </w:p>
  </w:footnote>
  <w:footnote w:id="1974">
    <w:p w14:paraId="232012C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5, הערה 78, כיצד העריכו אנשי ר׳ חיים עצמם את חשיבות השתתפותו </w:t>
      </w:r>
      <w:proofErr w:type="spellStart"/>
      <w:r>
        <w:rPr>
          <w:sz w:val="20"/>
          <w:szCs w:val="20"/>
          <w:rtl/>
        </w:rPr>
        <w:t>באסיפות</w:t>
      </w:r>
      <w:proofErr w:type="spellEnd"/>
      <w:r>
        <w:rPr>
          <w:sz w:val="20"/>
          <w:szCs w:val="20"/>
          <w:rtl/>
        </w:rPr>
        <w:t xml:space="preserve"> מעין אלה.</w:t>
      </w:r>
    </w:p>
  </w:footnote>
  <w:footnote w:id="1975">
    <w:p w14:paraId="207E1A4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ג, עמ׳ 132.</w:t>
      </w:r>
    </w:p>
  </w:footnote>
  <w:footnote w:id="1976">
    <w:p w14:paraId="20C35E3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דבר זה מחזק את הטענה שבפרק 4, הפסקה החמישית של נספח ט, שר׳ חיים כנראה קרא את “המליץ”. סביר שביקש לראות במקורם את המאמרים שתקף ר׳ יעקב הלוי ליפשיץ, כדי להעריך ביתר דיוק את תוקף טענותיו.</w:t>
      </w:r>
    </w:p>
  </w:footnote>
  <w:footnote w:id="1977">
    <w:p w14:paraId="0202ACA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ב־5 בפברואר 1997.</w:t>
      </w:r>
    </w:p>
  </w:footnote>
  <w:footnote w:id="1978">
    <w:p w14:paraId="3BA5D3B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יא לעיל.</w:t>
      </w:r>
    </w:p>
  </w:footnote>
  <w:footnote w:id="1979">
    <w:p w14:paraId="63B6E50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2, סוף הפסקה </w:t>
      </w:r>
      <w:proofErr w:type="spellStart"/>
      <w:r>
        <w:rPr>
          <w:sz w:val="20"/>
          <w:szCs w:val="20"/>
          <w:rtl/>
        </w:rPr>
        <w:t>השתים־עשרה</w:t>
      </w:r>
      <w:proofErr w:type="spellEnd"/>
      <w:r>
        <w:rPr>
          <w:sz w:val="20"/>
          <w:szCs w:val="20"/>
          <w:rtl/>
        </w:rPr>
        <w:t xml:space="preserve"> של נספח א.</w:t>
      </w:r>
    </w:p>
  </w:footnote>
  <w:footnote w:id="1980">
    <w:p w14:paraId="7A7DF39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מובא שם, בעמ׳ </w:t>
      </w:r>
      <w:proofErr w:type="spellStart"/>
      <w:r>
        <w:rPr>
          <w:sz w:val="20"/>
          <w:szCs w:val="20"/>
          <w:rtl/>
        </w:rPr>
        <w:t>xxiv</w:t>
      </w:r>
      <w:proofErr w:type="spellEnd"/>
      <w:r>
        <w:rPr>
          <w:sz w:val="20"/>
          <w:szCs w:val="20"/>
          <w:rtl/>
        </w:rPr>
        <w:t>–</w:t>
      </w:r>
      <w:proofErr w:type="spellStart"/>
      <w:r>
        <w:rPr>
          <w:sz w:val="20"/>
          <w:szCs w:val="20"/>
          <w:rtl/>
        </w:rPr>
        <w:t>xxv</w:t>
      </w:r>
      <w:proofErr w:type="spellEnd"/>
      <w:r>
        <w:rPr>
          <w:sz w:val="20"/>
          <w:szCs w:val="20"/>
          <w:rtl/>
        </w:rPr>
        <w:t xml:space="preserve"> של כרך א.</w:t>
      </w:r>
    </w:p>
  </w:footnote>
  <w:footnote w:id="1981">
    <w:p w14:paraId="4CF7002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בפרק הנזכר בכרך ב (וכן בפרק 2 של כרך א).</w:t>
      </w:r>
    </w:p>
  </w:footnote>
  <w:footnote w:id="1982">
    <w:p w14:paraId="3ACEEF8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בפרק שבכרך ב, עמ׳ 50–51.</w:t>
      </w:r>
    </w:p>
  </w:footnote>
  <w:footnote w:id="1983">
    <w:p w14:paraId="2FC8E45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הפסקה השנייה בפרק 2.3, והפסקה העשרים וארבע של נספח א באותו פרק.</w:t>
      </w:r>
    </w:p>
  </w:footnote>
  <w:footnote w:id="1984">
    <w:p w14:paraId="48EBC71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ירמיה </w:t>
      </w:r>
      <w:proofErr w:type="spellStart"/>
      <w:r>
        <w:rPr>
          <w:sz w:val="20"/>
          <w:szCs w:val="20"/>
          <w:rtl/>
        </w:rPr>
        <w:t>יב</w:t>
      </w:r>
      <w:proofErr w:type="spellEnd"/>
      <w:r>
        <w:rPr>
          <w:sz w:val="20"/>
          <w:szCs w:val="20"/>
          <w:rtl/>
        </w:rPr>
        <w:t>, ט.</w:t>
      </w:r>
    </w:p>
  </w:footnote>
  <w:footnote w:id="1985">
    <w:p w14:paraId="184100F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הפסקה השנייה של נספח </w:t>
      </w:r>
      <w:proofErr w:type="spellStart"/>
      <w:r>
        <w:rPr>
          <w:sz w:val="20"/>
          <w:szCs w:val="20"/>
          <w:rtl/>
        </w:rPr>
        <w:t>יט</w:t>
      </w:r>
      <w:proofErr w:type="spellEnd"/>
      <w:r>
        <w:rPr>
          <w:sz w:val="20"/>
          <w:szCs w:val="20"/>
          <w:rtl/>
        </w:rPr>
        <w:t xml:space="preserve"> להלן, ופרק 4, הפסקה השנייה של נספח ח.</w:t>
      </w:r>
    </w:p>
  </w:footnote>
  <w:footnote w:id="1986">
    <w:p w14:paraId="10CECE2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2, סוף הפסקה </w:t>
      </w:r>
      <w:proofErr w:type="spellStart"/>
      <w:r>
        <w:rPr>
          <w:sz w:val="20"/>
          <w:szCs w:val="20"/>
          <w:rtl/>
        </w:rPr>
        <w:t>השתים־עשרה</w:t>
      </w:r>
      <w:proofErr w:type="spellEnd"/>
      <w:r>
        <w:rPr>
          <w:sz w:val="20"/>
          <w:szCs w:val="20"/>
          <w:rtl/>
        </w:rPr>
        <w:t xml:space="preserve"> של נספח א.</w:t>
      </w:r>
    </w:p>
  </w:footnote>
  <w:footnote w:id="1987">
    <w:p w14:paraId="68C6D65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32–40.</w:t>
      </w:r>
    </w:p>
  </w:footnote>
  <w:footnote w:id="1988">
    <w:p w14:paraId="2F1A190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38.</w:t>
      </w:r>
    </w:p>
  </w:footnote>
  <w:footnote w:id="1989">
    <w:p w14:paraId="173F15A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בהוצאת ילקוט, </w:t>
      </w:r>
      <w:proofErr w:type="spellStart"/>
      <w:r>
        <w:rPr>
          <w:sz w:val="20"/>
          <w:szCs w:val="20"/>
          <w:rtl/>
        </w:rPr>
        <w:t>תל־אביב</w:t>
      </w:r>
      <w:proofErr w:type="spellEnd"/>
      <w:r>
        <w:rPr>
          <w:sz w:val="20"/>
          <w:szCs w:val="20"/>
          <w:rtl/>
        </w:rPr>
        <w:t>, תרצ״ו – עמ׳ קב.</w:t>
      </w:r>
    </w:p>
  </w:footnote>
  <w:footnote w:id="1990">
    <w:p w14:paraId="6A2FA2E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2, הערה 26.</w:t>
      </w:r>
    </w:p>
  </w:footnote>
  <w:footnote w:id="1991">
    <w:p w14:paraId="4088767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40.</w:t>
      </w:r>
    </w:p>
  </w:footnote>
  <w:footnote w:id="1992">
    <w:p w14:paraId="4E34ABA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בענייני כספים הייתה עדיין חלק מכולל קובנה, כמפורט לעיל בפסקה החמישית של הפרק והסעיף שלנו, אף שכבר הייתה עצמאית בענייני חינוך באותה שעה.</w:t>
      </w:r>
    </w:p>
  </w:footnote>
  <w:footnote w:id="1993">
    <w:p w14:paraId="55AB423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נראה שהמספר </w:t>
      </w:r>
      <w:proofErr w:type="spellStart"/>
      <w:r>
        <w:rPr>
          <w:sz w:val="20"/>
          <w:szCs w:val="20"/>
          <w:rtl/>
        </w:rPr>
        <w:t>ב“פולמוס</w:t>
      </w:r>
      <w:proofErr w:type="spellEnd"/>
      <w:r>
        <w:rPr>
          <w:sz w:val="20"/>
          <w:szCs w:val="20"/>
          <w:rtl/>
        </w:rPr>
        <w:t xml:space="preserve"> המוסר” מוגזם, שכן בהערה 31 לעיל מובא מחבר בן התקופה, שלפיו היו בישיבת </w:t>
      </w:r>
      <w:proofErr w:type="spellStart"/>
      <w:r>
        <w:rPr>
          <w:sz w:val="20"/>
          <w:szCs w:val="20"/>
          <w:rtl/>
        </w:rPr>
        <w:t>סלבודקה</w:t>
      </w:r>
      <w:proofErr w:type="spellEnd"/>
      <w:r>
        <w:rPr>
          <w:sz w:val="20"/>
          <w:szCs w:val="20"/>
          <w:rtl/>
        </w:rPr>
        <w:t xml:space="preserve"> בשנת תרנ״ג, שלוש שנים אחרי דו״ח רואי החשבון משנת </w:t>
      </w:r>
      <w:proofErr w:type="spellStart"/>
      <w:r>
        <w:rPr>
          <w:sz w:val="20"/>
          <w:szCs w:val="20"/>
          <w:rtl/>
        </w:rPr>
        <w:t>תר״ן</w:t>
      </w:r>
      <w:proofErr w:type="spellEnd"/>
      <w:r>
        <w:rPr>
          <w:sz w:val="20"/>
          <w:szCs w:val="20"/>
          <w:rtl/>
        </w:rPr>
        <w:t>, “למעלה מ”־150 בחורים, ולא “מאות”.</w:t>
      </w:r>
    </w:p>
  </w:footnote>
  <w:footnote w:id="1994">
    <w:p w14:paraId="261862E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סוף הפסקה השלישית של נספח כה להלן, כיצד קיומה הבלתי חוקי עלה לישיבה בכמיליון מארק גרמני שהוריש לה אמיל לחמן.</w:t>
      </w:r>
    </w:p>
  </w:footnote>
  <w:footnote w:id="1995">
    <w:p w14:paraId="1096AB0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1, הערה 32, על המשמעות המקורית והמשמעויות המאוחרות של כינוי זה.</w:t>
      </w:r>
    </w:p>
  </w:footnote>
  <w:footnote w:id="1996">
    <w:p w14:paraId="7F2C227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54–57.</w:t>
      </w:r>
    </w:p>
  </w:footnote>
  <w:footnote w:id="1997">
    <w:p w14:paraId="5B32A01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שמונה מהם נזכרים במקום כלשהו בכרך זה: הרב ליפמן (</w:t>
      </w:r>
      <w:proofErr w:type="spellStart"/>
      <w:r>
        <w:rPr>
          <w:sz w:val="20"/>
          <w:szCs w:val="20"/>
          <w:rtl/>
        </w:rPr>
        <w:t>ליפאל׳ה</w:t>
      </w:r>
      <w:proofErr w:type="spellEnd"/>
      <w:r>
        <w:rPr>
          <w:sz w:val="20"/>
          <w:szCs w:val="20"/>
          <w:rtl/>
        </w:rPr>
        <w:t xml:space="preserve"> </w:t>
      </w:r>
      <w:proofErr w:type="spellStart"/>
      <w:r>
        <w:rPr>
          <w:sz w:val="20"/>
          <w:szCs w:val="20"/>
          <w:rtl/>
        </w:rPr>
        <w:t>בסלבסקי</w:t>
      </w:r>
      <w:proofErr w:type="spellEnd"/>
      <w:r>
        <w:rPr>
          <w:sz w:val="20"/>
          <w:szCs w:val="20"/>
          <w:rtl/>
        </w:rPr>
        <w:t xml:space="preserve">) ממיר, ר׳ חיים ברלין, ר׳ </w:t>
      </w:r>
      <w:proofErr w:type="spellStart"/>
      <w:r>
        <w:rPr>
          <w:sz w:val="20"/>
          <w:szCs w:val="20"/>
          <w:rtl/>
        </w:rPr>
        <w:t>יחיאל־מיכל</w:t>
      </w:r>
      <w:proofErr w:type="spellEnd"/>
      <w:r>
        <w:rPr>
          <w:sz w:val="20"/>
          <w:szCs w:val="20"/>
          <w:rtl/>
        </w:rPr>
        <w:t xml:space="preserve"> אפשטיין </w:t>
      </w:r>
      <w:proofErr w:type="spellStart"/>
      <w:r>
        <w:rPr>
          <w:sz w:val="20"/>
          <w:szCs w:val="20"/>
          <w:rtl/>
        </w:rPr>
        <w:t>מנובהרדוק</w:t>
      </w:r>
      <w:proofErr w:type="spellEnd"/>
      <w:r>
        <w:rPr>
          <w:sz w:val="20"/>
          <w:szCs w:val="20"/>
          <w:rtl/>
        </w:rPr>
        <w:t xml:space="preserve">, ר׳ </w:t>
      </w:r>
      <w:proofErr w:type="spellStart"/>
      <w:r>
        <w:rPr>
          <w:sz w:val="20"/>
          <w:szCs w:val="20"/>
          <w:rtl/>
        </w:rPr>
        <w:t>מאיר־מיכל</w:t>
      </w:r>
      <w:proofErr w:type="spellEnd"/>
      <w:r>
        <w:rPr>
          <w:sz w:val="20"/>
          <w:szCs w:val="20"/>
          <w:rtl/>
        </w:rPr>
        <w:t xml:space="preserve"> (</w:t>
      </w:r>
      <w:proofErr w:type="spellStart"/>
      <w:r>
        <w:rPr>
          <w:sz w:val="20"/>
          <w:szCs w:val="20"/>
          <w:rtl/>
        </w:rPr>
        <w:t>רבינוביץ</w:t>
      </w:r>
      <w:proofErr w:type="spellEnd"/>
      <w:r>
        <w:rPr>
          <w:sz w:val="20"/>
          <w:szCs w:val="20"/>
          <w:rtl/>
        </w:rPr>
        <w:t xml:space="preserve">), ר׳ חיים </w:t>
      </w:r>
      <w:proofErr w:type="spellStart"/>
      <w:r>
        <w:rPr>
          <w:sz w:val="20"/>
          <w:szCs w:val="20"/>
          <w:rtl/>
        </w:rPr>
        <w:t>סולובייצ׳יק</w:t>
      </w:r>
      <w:proofErr w:type="spellEnd"/>
      <w:r>
        <w:rPr>
          <w:sz w:val="20"/>
          <w:szCs w:val="20"/>
          <w:rtl/>
        </w:rPr>
        <w:t xml:space="preserve">, ר׳ חיים ברלין (מווילנה, אחיו של </w:t>
      </w:r>
      <w:proofErr w:type="spellStart"/>
      <w:r>
        <w:rPr>
          <w:sz w:val="20"/>
          <w:szCs w:val="20"/>
          <w:rtl/>
        </w:rPr>
        <w:t>הנצי״ב</w:t>
      </w:r>
      <w:proofErr w:type="spellEnd"/>
      <w:r>
        <w:rPr>
          <w:sz w:val="20"/>
          <w:szCs w:val="20"/>
          <w:rtl/>
        </w:rPr>
        <w:t xml:space="preserve">), ר׳ </w:t>
      </w:r>
      <w:proofErr w:type="spellStart"/>
      <w:r>
        <w:rPr>
          <w:sz w:val="20"/>
          <w:szCs w:val="20"/>
          <w:rtl/>
        </w:rPr>
        <w:t>חיים־עוזר</w:t>
      </w:r>
      <w:proofErr w:type="spellEnd"/>
      <w:r>
        <w:rPr>
          <w:sz w:val="20"/>
          <w:szCs w:val="20"/>
          <w:rtl/>
        </w:rPr>
        <w:t xml:space="preserve"> </w:t>
      </w:r>
      <w:proofErr w:type="spellStart"/>
      <w:r>
        <w:rPr>
          <w:sz w:val="20"/>
          <w:szCs w:val="20"/>
          <w:rtl/>
        </w:rPr>
        <w:t>גרודזנסקי</w:t>
      </w:r>
      <w:proofErr w:type="spellEnd"/>
      <w:r>
        <w:rPr>
          <w:sz w:val="20"/>
          <w:szCs w:val="20"/>
          <w:rtl/>
        </w:rPr>
        <w:t xml:space="preserve"> ור׳ </w:t>
      </w:r>
      <w:proofErr w:type="spellStart"/>
      <w:r>
        <w:rPr>
          <w:sz w:val="20"/>
          <w:szCs w:val="20"/>
          <w:rtl/>
        </w:rPr>
        <w:t>יצחק־אייזיק</w:t>
      </w:r>
      <w:proofErr w:type="spellEnd"/>
      <w:r>
        <w:rPr>
          <w:sz w:val="20"/>
          <w:szCs w:val="20"/>
          <w:rtl/>
        </w:rPr>
        <w:t xml:space="preserve"> </w:t>
      </w:r>
      <w:proofErr w:type="spellStart"/>
      <w:r>
        <w:rPr>
          <w:sz w:val="20"/>
          <w:szCs w:val="20"/>
          <w:rtl/>
        </w:rPr>
        <w:t>הלוי־רבינוביץ</w:t>
      </w:r>
      <w:proofErr w:type="spellEnd"/>
      <w:r>
        <w:rPr>
          <w:sz w:val="20"/>
          <w:szCs w:val="20"/>
          <w:rtl/>
        </w:rPr>
        <w:t xml:space="preserve">. התמיכה בר׳ </w:t>
      </w:r>
      <w:proofErr w:type="spellStart"/>
      <w:r>
        <w:rPr>
          <w:sz w:val="20"/>
          <w:szCs w:val="20"/>
          <w:rtl/>
        </w:rPr>
        <w:t>איצל׳ה</w:t>
      </w:r>
      <w:proofErr w:type="spellEnd"/>
      <w:r>
        <w:rPr>
          <w:sz w:val="20"/>
          <w:szCs w:val="20"/>
          <w:rtl/>
        </w:rPr>
        <w:t xml:space="preserve"> </w:t>
      </w:r>
      <w:proofErr w:type="spellStart"/>
      <w:r>
        <w:rPr>
          <w:sz w:val="20"/>
          <w:szCs w:val="20"/>
          <w:rtl/>
        </w:rPr>
        <w:t>בלאזר</w:t>
      </w:r>
      <w:proofErr w:type="spellEnd"/>
      <w:r>
        <w:rPr>
          <w:sz w:val="20"/>
          <w:szCs w:val="20"/>
          <w:rtl/>
        </w:rPr>
        <w:t xml:space="preserve"> מצד שני בני משפחת ברלין – אחיו ובנו של ראש ישיבת </w:t>
      </w:r>
      <w:proofErr w:type="spellStart"/>
      <w:r>
        <w:rPr>
          <w:sz w:val="20"/>
          <w:szCs w:val="20"/>
          <w:rtl/>
        </w:rPr>
        <w:t>וולוז׳ין</w:t>
      </w:r>
      <w:proofErr w:type="spellEnd"/>
      <w:r>
        <w:rPr>
          <w:sz w:val="20"/>
          <w:szCs w:val="20"/>
          <w:rtl/>
        </w:rPr>
        <w:t xml:space="preserve">, </w:t>
      </w:r>
      <w:proofErr w:type="spellStart"/>
      <w:r>
        <w:rPr>
          <w:sz w:val="20"/>
          <w:szCs w:val="20"/>
          <w:rtl/>
        </w:rPr>
        <w:t>הנצי״ב</w:t>
      </w:r>
      <w:proofErr w:type="spellEnd"/>
      <w:r>
        <w:rPr>
          <w:sz w:val="20"/>
          <w:szCs w:val="20"/>
          <w:rtl/>
        </w:rPr>
        <w:t xml:space="preserve">, המתנגד למוסר – ומצד ר׳ חיים </w:t>
      </w:r>
      <w:proofErr w:type="spellStart"/>
      <w:r>
        <w:rPr>
          <w:sz w:val="20"/>
          <w:szCs w:val="20"/>
          <w:rtl/>
        </w:rPr>
        <w:t>סולובייצ׳יק</w:t>
      </w:r>
      <w:proofErr w:type="spellEnd"/>
      <w:r>
        <w:rPr>
          <w:sz w:val="20"/>
          <w:szCs w:val="20"/>
          <w:rtl/>
        </w:rPr>
        <w:t>, חתנו של אחד ממורי אותו מוסד המתנגד למוסר, בוודאי הותירה רושם ציבורי עז במיוחד.</w:t>
      </w:r>
    </w:p>
  </w:footnote>
  <w:footnote w:id="1998">
    <w:p w14:paraId="40349E8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55.</w:t>
      </w:r>
    </w:p>
  </w:footnote>
  <w:footnote w:id="1999">
    <w:p w14:paraId="3DB334E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הפרטים הביוגרפיים שלהלן לוקטו מתוך יעקב מארק, עמ׳ 195–200; “הראשון לשושלת </w:t>
      </w:r>
      <w:proofErr w:type="spellStart"/>
      <w:r>
        <w:rPr>
          <w:sz w:val="20"/>
          <w:szCs w:val="20"/>
          <w:rtl/>
        </w:rPr>
        <w:t>בריסק</w:t>
      </w:r>
      <w:proofErr w:type="spellEnd"/>
      <w:r>
        <w:rPr>
          <w:sz w:val="20"/>
          <w:szCs w:val="20"/>
          <w:rtl/>
        </w:rPr>
        <w:t xml:space="preserve">” (הערה 12 לעיל), עמ׳ 326, הערה 478; </w:t>
      </w:r>
      <w:proofErr w:type="spellStart"/>
      <w:r>
        <w:rPr>
          <w:sz w:val="20"/>
          <w:szCs w:val="20"/>
          <w:rtl/>
        </w:rPr>
        <w:t>ואטקס</w:t>
      </w:r>
      <w:proofErr w:type="spellEnd"/>
      <w:r>
        <w:rPr>
          <w:sz w:val="20"/>
          <w:szCs w:val="20"/>
          <w:rtl/>
        </w:rPr>
        <w:t xml:space="preserve">, “ר׳ ישראל </w:t>
      </w:r>
      <w:proofErr w:type="spellStart"/>
      <w:r>
        <w:rPr>
          <w:sz w:val="20"/>
          <w:szCs w:val="20"/>
          <w:rtl/>
        </w:rPr>
        <w:t>סלנטר</w:t>
      </w:r>
      <w:proofErr w:type="spellEnd"/>
      <w:r>
        <w:rPr>
          <w:sz w:val="20"/>
          <w:szCs w:val="20"/>
          <w:rtl/>
        </w:rPr>
        <w:t xml:space="preserve"> וראשיתה של תנועת המוסר” (נספח א לעיל), עמ׳ 288 ו־293.</w:t>
      </w:r>
    </w:p>
  </w:footnote>
  <w:footnote w:id="2000">
    <w:p w14:paraId="1F0260A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שז</w:t>
      </w:r>
      <w:proofErr w:type="spellEnd"/>
      <w:r>
        <w:rPr>
          <w:sz w:val="20"/>
          <w:szCs w:val="20"/>
          <w:rtl/>
        </w:rPr>
        <w:t>, הערת שוליים.</w:t>
      </w:r>
    </w:p>
  </w:footnote>
  <w:footnote w:id="2001">
    <w:p w14:paraId="3942F0D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w:t>
      </w:r>
      <w:proofErr w:type="spellStart"/>
      <w:r>
        <w:rPr>
          <w:sz w:val="20"/>
          <w:szCs w:val="20"/>
          <w:rtl/>
        </w:rPr>
        <w:t>ידעאל</w:t>
      </w:r>
      <w:proofErr w:type="spellEnd"/>
      <w:r>
        <w:rPr>
          <w:sz w:val="20"/>
          <w:szCs w:val="20"/>
          <w:rtl/>
        </w:rPr>
        <w:t xml:space="preserve"> מלצר, “בדרך עץ החיים”, עמ׳ 72–73, על “תלמיד חכם יוצא דופן” שהיה בעל עסק לפרוות שעמד לקרוס, ושמתחרהו בעסקים, הצדיק ר׳ </w:t>
      </w:r>
      <w:proofErr w:type="spellStart"/>
      <w:r>
        <w:rPr>
          <w:sz w:val="20"/>
          <w:szCs w:val="20"/>
          <w:rtl/>
        </w:rPr>
        <w:t>שרגא־פייבל</w:t>
      </w:r>
      <w:proofErr w:type="spellEnd"/>
      <w:r>
        <w:rPr>
          <w:sz w:val="20"/>
          <w:szCs w:val="20"/>
          <w:rtl/>
        </w:rPr>
        <w:t xml:space="preserve"> פרנק (ראה נספח י לעיל), העניק לו סכום עצום כדי להצילו מפשיטת רגל. שמו של התלמיד החכם אינו נזכר בספר, אבל מחברו גילה ב־19 במרץ 1995 שהיה זה ר׳ </w:t>
      </w:r>
      <w:proofErr w:type="spellStart"/>
      <w:r>
        <w:rPr>
          <w:sz w:val="20"/>
          <w:szCs w:val="20"/>
          <w:rtl/>
        </w:rPr>
        <w:t>צבי־הירש</w:t>
      </w:r>
      <w:proofErr w:type="spellEnd"/>
      <w:r>
        <w:rPr>
          <w:sz w:val="20"/>
          <w:szCs w:val="20"/>
          <w:rtl/>
        </w:rPr>
        <w:t xml:space="preserve"> </w:t>
      </w:r>
      <w:proofErr w:type="spellStart"/>
      <w:r>
        <w:rPr>
          <w:sz w:val="20"/>
          <w:szCs w:val="20"/>
          <w:rtl/>
        </w:rPr>
        <w:t>רבינוביץ</w:t>
      </w:r>
      <w:proofErr w:type="spellEnd"/>
      <w:r>
        <w:rPr>
          <w:sz w:val="20"/>
          <w:szCs w:val="20"/>
          <w:rtl/>
        </w:rPr>
        <w:t xml:space="preserve">. מן הסתם גברו תפילותיו של ר׳ </w:t>
      </w:r>
      <w:proofErr w:type="spellStart"/>
      <w:r>
        <w:rPr>
          <w:sz w:val="20"/>
          <w:szCs w:val="20"/>
          <w:rtl/>
        </w:rPr>
        <w:t>יצחק־אלחנן</w:t>
      </w:r>
      <w:proofErr w:type="spellEnd"/>
      <w:r>
        <w:rPr>
          <w:sz w:val="20"/>
          <w:szCs w:val="20"/>
          <w:rtl/>
        </w:rPr>
        <w:t xml:space="preserve"> על תמיכתו של ר׳ </w:t>
      </w:r>
      <w:proofErr w:type="spellStart"/>
      <w:r>
        <w:rPr>
          <w:sz w:val="20"/>
          <w:szCs w:val="20"/>
          <w:rtl/>
        </w:rPr>
        <w:t>שרגא־פייבל</w:t>
      </w:r>
      <w:proofErr w:type="spellEnd"/>
      <w:r>
        <w:rPr>
          <w:sz w:val="20"/>
          <w:szCs w:val="20"/>
          <w:rtl/>
        </w:rPr>
        <w:t>.</w:t>
      </w:r>
    </w:p>
  </w:footnote>
  <w:footnote w:id="2002">
    <w:p w14:paraId="581E197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“הראשון לשושלת </w:t>
      </w:r>
      <w:proofErr w:type="spellStart"/>
      <w:r>
        <w:rPr>
          <w:sz w:val="20"/>
          <w:szCs w:val="20"/>
          <w:rtl/>
        </w:rPr>
        <w:t>בריסק</w:t>
      </w:r>
      <w:proofErr w:type="spellEnd"/>
      <w:r>
        <w:rPr>
          <w:sz w:val="20"/>
          <w:szCs w:val="20"/>
          <w:rtl/>
        </w:rPr>
        <w:t xml:space="preserve">”, עמ׳ 323, 374 ו־381, על ר׳ </w:t>
      </w:r>
      <w:proofErr w:type="spellStart"/>
      <w:r>
        <w:rPr>
          <w:sz w:val="20"/>
          <w:szCs w:val="20"/>
          <w:rtl/>
        </w:rPr>
        <w:t>צבי־הירש</w:t>
      </w:r>
      <w:proofErr w:type="spellEnd"/>
      <w:r>
        <w:rPr>
          <w:sz w:val="20"/>
          <w:szCs w:val="20"/>
          <w:rtl/>
        </w:rPr>
        <w:t xml:space="preserve">, ושם, פרקים 39 ו־43 (עמ׳ 322–346 ו־368–390), על הבעיות שעמדו לפני הקהילה האורתודוקסית בכלל, ולאחר מכן לפני ישיבת </w:t>
      </w:r>
      <w:proofErr w:type="spellStart"/>
      <w:r>
        <w:rPr>
          <w:sz w:val="20"/>
          <w:szCs w:val="20"/>
          <w:rtl/>
        </w:rPr>
        <w:t>וולוז׳ין</w:t>
      </w:r>
      <w:proofErr w:type="spellEnd"/>
      <w:r>
        <w:rPr>
          <w:sz w:val="20"/>
          <w:szCs w:val="20"/>
          <w:rtl/>
        </w:rPr>
        <w:t xml:space="preserve"> בפרט.</w:t>
      </w:r>
    </w:p>
  </w:footnote>
  <w:footnote w:id="2003">
    <w:p w14:paraId="15C4786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195–200.</w:t>
      </w:r>
    </w:p>
  </w:footnote>
  <w:footnote w:id="2004">
    <w:p w14:paraId="2D4CA0ED"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rFonts w:ascii="David" w:eastAsia="David" w:hAnsi="David" w:cs="David"/>
          <w:sz w:val="20"/>
          <w:szCs w:val="20"/>
          <w:rtl/>
        </w:rPr>
        <w:t xml:space="preserve"/>
      </w:r>
      <w:r>
        <w:rPr>
          <w:b/>
          <w:color w:val="000000"/>
          <w:sz w:val="20"/>
          <w:szCs w:val="20"/>
          <w:rtl/>
        </w:rPr>
        <w:t xml:space="preserve">הערת המתרגם: </w:t>
      </w:r>
      <w:r>
        <w:rPr>
          <w:sz w:val="20"/>
          <w:szCs w:val="20"/>
          <w:rtl/>
        </w:rPr>
        <w:t xml:space="preserve">שר החינוך של רוסיה בשנים 1866–1880 היה הרוזן דמיטרי </w:t>
      </w:r>
      <w:proofErr w:type="spellStart"/>
      <w:r>
        <w:rPr>
          <w:sz w:val="20"/>
          <w:szCs w:val="20"/>
          <w:rtl/>
        </w:rPr>
        <w:t>אנדרייביץ</w:t>
      </w:r>
      <w:proofErr w:type="spellEnd"/>
      <w:r>
        <w:rPr>
          <w:sz w:val="20"/>
          <w:szCs w:val="20"/>
          <w:rtl/>
        </w:rPr>
        <w:t xml:space="preserve">׳ </w:t>
      </w:r>
      <w:proofErr w:type="spellStart"/>
      <w:r>
        <w:rPr>
          <w:sz w:val="20"/>
          <w:szCs w:val="20"/>
          <w:rtl/>
        </w:rPr>
        <w:t>טולסטוי</w:t>
      </w:r>
      <w:proofErr w:type="spellEnd"/>
      <w:r>
        <w:rPr>
          <w:sz w:val="20"/>
          <w:szCs w:val="20"/>
          <w:rtl/>
        </w:rPr>
        <w:t xml:space="preserve">, שנודע כשמרן מובהק, ולא הסופר לב </w:t>
      </w:r>
      <w:proofErr w:type="spellStart"/>
      <w:r>
        <w:rPr>
          <w:sz w:val="20"/>
          <w:szCs w:val="20"/>
          <w:rtl/>
        </w:rPr>
        <w:t>טולסטוי</w:t>
      </w:r>
      <w:proofErr w:type="spellEnd"/>
      <w:r>
        <w:rPr>
          <w:sz w:val="20"/>
          <w:szCs w:val="20"/>
          <w:rtl/>
        </w:rPr>
        <w:t xml:space="preserve">, שמעולם לא היה שר בממשלה. הוא שכיהן בתפקיד </w:t>
      </w:r>
      <w:proofErr w:type="spellStart"/>
      <w:r>
        <w:rPr>
          <w:sz w:val="20"/>
          <w:szCs w:val="20"/>
          <w:rtl/>
        </w:rPr>
        <w:t>בתרל״ה</w:t>
      </w:r>
      <w:proofErr w:type="spellEnd"/>
      <w:r>
        <w:rPr>
          <w:sz w:val="20"/>
          <w:szCs w:val="20"/>
          <w:rtl/>
        </w:rPr>
        <w:t>, כשנדחה ביצוע הגזירה.</w:t>
      </w:r>
    </w:p>
  </w:footnote>
  <w:footnote w:id="2005">
    <w:p w14:paraId="6FC667D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1.3.</w:t>
      </w:r>
    </w:p>
  </w:footnote>
  <w:footnote w:id="2006">
    <w:p w14:paraId="298A380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195.</w:t>
      </w:r>
    </w:p>
  </w:footnote>
  <w:footnote w:id="2007">
    <w:p w14:paraId="369398A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שי.</w:t>
      </w:r>
    </w:p>
  </w:footnote>
  <w:footnote w:id="2008">
    <w:p w14:paraId="5753A55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בשיעור בנ״ך, ב־26 ביולי 1970.</w:t>
      </w:r>
    </w:p>
  </w:footnote>
  <w:footnote w:id="2009">
    <w:p w14:paraId="3EFAEBA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עיין אנציקלופדיה תלמודית כרך י״ז עמ׳ </w:t>
      </w:r>
      <w:proofErr w:type="spellStart"/>
      <w:r>
        <w:rPr>
          <w:sz w:val="20"/>
          <w:szCs w:val="20"/>
          <w:rtl/>
        </w:rPr>
        <w:t>תמא</w:t>
      </w:r>
      <w:proofErr w:type="spellEnd"/>
      <w:r>
        <w:rPr>
          <w:sz w:val="20"/>
          <w:szCs w:val="20"/>
          <w:rtl/>
        </w:rPr>
        <w:t xml:space="preserve"> על נשא שנייה בהיתר </w:t>
      </w:r>
      <w:proofErr w:type="spellStart"/>
      <w:r>
        <w:rPr>
          <w:sz w:val="20"/>
          <w:szCs w:val="20"/>
          <w:rtl/>
        </w:rPr>
        <w:t>ונתרפאת</w:t>
      </w:r>
      <w:proofErr w:type="spellEnd"/>
      <w:r>
        <w:rPr>
          <w:sz w:val="20"/>
          <w:szCs w:val="20"/>
          <w:rtl/>
        </w:rPr>
        <w:t xml:space="preserve"> הראשונה </w:t>
      </w:r>
      <w:proofErr w:type="spellStart"/>
      <w:r>
        <w:rPr>
          <w:sz w:val="20"/>
          <w:szCs w:val="20"/>
          <w:rtl/>
        </w:rPr>
        <w:t>שבודאי</w:t>
      </w:r>
      <w:proofErr w:type="spellEnd"/>
      <w:r>
        <w:rPr>
          <w:sz w:val="20"/>
          <w:szCs w:val="20"/>
          <w:rtl/>
        </w:rPr>
        <w:t xml:space="preserve"> השנייה מותרת לו, ויש מחלוקת אם יכול לגרש את הראשונה בעל </w:t>
      </w:r>
      <w:proofErr w:type="spellStart"/>
      <w:r>
        <w:rPr>
          <w:sz w:val="20"/>
          <w:szCs w:val="20"/>
          <w:rtl/>
        </w:rPr>
        <w:t>כרחה</w:t>
      </w:r>
      <w:proofErr w:type="spellEnd"/>
      <w:r>
        <w:rPr>
          <w:sz w:val="20"/>
          <w:szCs w:val="20"/>
          <w:rtl/>
        </w:rPr>
        <w:t xml:space="preserve">, ואם אינו יכול לשכנע אותה להתגרש מרצונה, מותר לו למנוע ממנה מזונות עד שתסכים לקבל גט פיטורין – שזה דבר </w:t>
      </w:r>
      <w:proofErr w:type="spellStart"/>
      <w:r>
        <w:rPr>
          <w:sz w:val="20"/>
          <w:szCs w:val="20"/>
          <w:rtl/>
        </w:rPr>
        <w:t>שבודאי</w:t>
      </w:r>
      <w:proofErr w:type="spellEnd"/>
      <w:r>
        <w:rPr>
          <w:sz w:val="20"/>
          <w:szCs w:val="20"/>
          <w:rtl/>
        </w:rPr>
        <w:t xml:space="preserve"> איננו יאות לרב בישראל. ואעפ״י שאביו ר׳ יצחק אלחנן ז״ל פסק שרשאי לגרשה בעל </w:t>
      </w:r>
      <w:proofErr w:type="spellStart"/>
      <w:r>
        <w:rPr>
          <w:sz w:val="20"/>
          <w:szCs w:val="20"/>
          <w:rtl/>
        </w:rPr>
        <w:t>כרחה</w:t>
      </w:r>
      <w:proofErr w:type="spellEnd"/>
      <w:r>
        <w:rPr>
          <w:sz w:val="20"/>
          <w:szCs w:val="20"/>
          <w:rtl/>
        </w:rPr>
        <w:t xml:space="preserve"> </w:t>
      </w:r>
      <w:proofErr w:type="spellStart"/>
      <w:r>
        <w:rPr>
          <w:sz w:val="20"/>
          <w:szCs w:val="20"/>
          <w:rtl/>
        </w:rPr>
        <w:t>כדאיתא</w:t>
      </w:r>
      <w:proofErr w:type="spellEnd"/>
      <w:r>
        <w:rPr>
          <w:sz w:val="20"/>
          <w:szCs w:val="20"/>
          <w:rtl/>
        </w:rPr>
        <w:t xml:space="preserve"> בהערה 738 שם, מ״מ גם זה לא אריך לרב בישראל לעשות. ולזה התכוון ר׳ </w:t>
      </w:r>
      <w:proofErr w:type="spellStart"/>
      <w:r>
        <w:rPr>
          <w:sz w:val="20"/>
          <w:szCs w:val="20"/>
          <w:rtl/>
        </w:rPr>
        <w:t>צבי־הירש</w:t>
      </w:r>
      <w:proofErr w:type="spellEnd"/>
      <w:r>
        <w:rPr>
          <w:sz w:val="20"/>
          <w:szCs w:val="20"/>
          <w:rtl/>
        </w:rPr>
        <w:t xml:space="preserve"> </w:t>
      </w:r>
      <w:proofErr w:type="spellStart"/>
      <w:r>
        <w:rPr>
          <w:sz w:val="20"/>
          <w:szCs w:val="20"/>
          <w:rtl/>
        </w:rPr>
        <w:t>רבינוביץ</w:t>
      </w:r>
      <w:proofErr w:type="spellEnd"/>
      <w:r>
        <w:rPr>
          <w:sz w:val="20"/>
          <w:szCs w:val="20"/>
          <w:rtl/>
        </w:rPr>
        <w:t xml:space="preserve"> כשאמר שאם אחרת </w:t>
      </w:r>
      <w:proofErr w:type="spellStart"/>
      <w:r>
        <w:rPr>
          <w:sz w:val="20"/>
          <w:szCs w:val="20"/>
          <w:rtl/>
        </w:rPr>
        <w:t>יקח</w:t>
      </w:r>
      <w:proofErr w:type="spellEnd"/>
      <w:r>
        <w:rPr>
          <w:sz w:val="20"/>
          <w:szCs w:val="20"/>
          <w:rtl/>
        </w:rPr>
        <w:t xml:space="preserve"> לו יהיה עדיף עבורו שאשתו הראשונה תישאר חולה, כי שמא לא תסכים לקבל גט ממנו כשתבריא.</w:t>
      </w:r>
    </w:p>
  </w:footnote>
  <w:footnote w:id="2010">
    <w:p w14:paraId="3B3002F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רבנו סיפר את זה כשלימד את </w:t>
      </w:r>
      <w:proofErr w:type="spellStart"/>
      <w:r>
        <w:rPr>
          <w:sz w:val="20"/>
          <w:szCs w:val="20"/>
          <w:rtl/>
        </w:rPr>
        <w:t>הרד״ק</w:t>
      </w:r>
      <w:proofErr w:type="spellEnd"/>
      <w:r>
        <w:rPr>
          <w:sz w:val="20"/>
          <w:szCs w:val="20"/>
          <w:rtl/>
        </w:rPr>
        <w:t xml:space="preserve"> ביהושע כ:ו והזכיר את תפילות גולי ערי המקלט על </w:t>
      </w:r>
      <w:proofErr w:type="spellStart"/>
      <w:r>
        <w:rPr>
          <w:sz w:val="20"/>
          <w:szCs w:val="20"/>
          <w:rtl/>
        </w:rPr>
        <w:t>הכהנים</w:t>
      </w:r>
      <w:proofErr w:type="spellEnd"/>
      <w:r>
        <w:rPr>
          <w:sz w:val="20"/>
          <w:szCs w:val="20"/>
          <w:rtl/>
        </w:rPr>
        <w:t xml:space="preserve"> הגדולים שימותו, ואז ישתחררו, במשנה מכות י״א ע״א, וסיים, שכשאנשים מחכים ומתפללים למותו של אדם מסוים, זה עונש נורא בשבילו. ולזה דימה מה שר׳ </w:t>
      </w:r>
      <w:proofErr w:type="spellStart"/>
      <w:r>
        <w:rPr>
          <w:sz w:val="20"/>
          <w:szCs w:val="20"/>
          <w:rtl/>
        </w:rPr>
        <w:t>צבי־הירש</w:t>
      </w:r>
      <w:proofErr w:type="spellEnd"/>
      <w:r>
        <w:rPr>
          <w:sz w:val="20"/>
          <w:szCs w:val="20"/>
          <w:rtl/>
        </w:rPr>
        <w:t xml:space="preserve"> </w:t>
      </w:r>
      <w:proofErr w:type="spellStart"/>
      <w:r>
        <w:rPr>
          <w:sz w:val="20"/>
          <w:szCs w:val="20"/>
          <w:rtl/>
        </w:rPr>
        <w:t>רבינוביץ</w:t>
      </w:r>
      <w:proofErr w:type="spellEnd"/>
      <w:r>
        <w:rPr>
          <w:sz w:val="20"/>
          <w:szCs w:val="20"/>
          <w:rtl/>
        </w:rPr>
        <w:t xml:space="preserve"> לא רצה אפילו להשמיט מישהו מתפילותיו לבריאות חולי עם ישראל.</w:t>
      </w:r>
    </w:p>
  </w:footnote>
  <w:footnote w:id="2011">
    <w:p w14:paraId="3BEFBE7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יצא לאור בהוצאת “עם עולם” בע״מ, </w:t>
      </w:r>
      <w:proofErr w:type="spellStart"/>
      <w:r>
        <w:rPr>
          <w:sz w:val="20"/>
          <w:szCs w:val="20"/>
          <w:rtl/>
        </w:rPr>
        <w:t>תל־אביב</w:t>
      </w:r>
      <w:proofErr w:type="spellEnd"/>
      <w:r>
        <w:rPr>
          <w:sz w:val="20"/>
          <w:szCs w:val="20"/>
          <w:rtl/>
        </w:rPr>
        <w:t xml:space="preserve">, תשכ״ג. כרך 14, עמ׳ 151 (בפרק שכותרתו “תולדות ר״ז </w:t>
      </w:r>
      <w:proofErr w:type="spellStart"/>
      <w:r>
        <w:rPr>
          <w:sz w:val="20"/>
          <w:szCs w:val="20"/>
          <w:rtl/>
        </w:rPr>
        <w:t>יעבץ</w:t>
      </w:r>
      <w:proofErr w:type="spellEnd"/>
      <w:r>
        <w:rPr>
          <w:sz w:val="20"/>
          <w:szCs w:val="20"/>
          <w:rtl/>
        </w:rPr>
        <w:t xml:space="preserve"> ז״ל”, מאת א.ש. </w:t>
      </w:r>
      <w:proofErr w:type="spellStart"/>
      <w:r>
        <w:rPr>
          <w:sz w:val="20"/>
          <w:szCs w:val="20"/>
          <w:rtl/>
        </w:rPr>
        <w:t>הרשברג</w:t>
      </w:r>
      <w:proofErr w:type="spellEnd"/>
      <w:r>
        <w:rPr>
          <w:sz w:val="20"/>
          <w:szCs w:val="20"/>
          <w:rtl/>
        </w:rPr>
        <w:t>).</w:t>
      </w:r>
    </w:p>
  </w:footnote>
  <w:footnote w:id="2012">
    <w:p w14:paraId="776B90AE"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לפי שנת לידתו, תר״ח (ראה תחילת נספח זה), היה ר׳ </w:t>
      </w:r>
      <w:proofErr w:type="spellStart"/>
      <w:r>
        <w:rPr>
          <w:sz w:val="20"/>
          <w:szCs w:val="20"/>
          <w:rtl/>
        </w:rPr>
        <w:t>צבי־הירש</w:t>
      </w:r>
      <w:proofErr w:type="spellEnd"/>
      <w:r>
        <w:rPr>
          <w:sz w:val="20"/>
          <w:szCs w:val="20"/>
          <w:rtl/>
        </w:rPr>
        <w:t xml:space="preserve"> בקיץ תרס״ה כבן חמישים ושבע.</w:t>
      </w:r>
    </w:p>
  </w:footnote>
  <w:footnote w:id="2013">
    <w:p w14:paraId="749A6A2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w:t>
      </w:r>
      <w:proofErr w:type="spellStart"/>
      <w:r>
        <w:rPr>
          <w:sz w:val="20"/>
          <w:szCs w:val="20"/>
          <w:rtl/>
        </w:rPr>
        <w:t>אליהו־דוב</w:t>
      </w:r>
      <w:proofErr w:type="spellEnd"/>
      <w:r>
        <w:rPr>
          <w:sz w:val="20"/>
          <w:szCs w:val="20"/>
          <w:rtl/>
        </w:rPr>
        <w:t xml:space="preserve"> </w:t>
      </w:r>
      <w:proofErr w:type="spellStart"/>
      <w:r>
        <w:rPr>
          <w:sz w:val="20"/>
          <w:szCs w:val="20"/>
          <w:rtl/>
        </w:rPr>
        <w:t>לייזרוביץ</w:t>
      </w:r>
      <w:proofErr w:type="spellEnd"/>
      <w:r>
        <w:rPr>
          <w:sz w:val="20"/>
          <w:szCs w:val="20"/>
          <w:rtl/>
        </w:rPr>
        <w:t xml:space="preserve"> היה תלמיד קרוב מאוד של ר׳ </w:t>
      </w:r>
      <w:proofErr w:type="spellStart"/>
      <w:r>
        <w:rPr>
          <w:sz w:val="20"/>
          <w:szCs w:val="20"/>
          <w:rtl/>
        </w:rPr>
        <w:t>שמחה־זיסל</w:t>
      </w:r>
      <w:proofErr w:type="spellEnd"/>
      <w:r>
        <w:rPr>
          <w:sz w:val="20"/>
          <w:szCs w:val="20"/>
          <w:rtl/>
        </w:rPr>
        <w:t xml:space="preserve"> זיו, וכיהן כמשגיח </w:t>
      </w:r>
      <w:proofErr w:type="spellStart"/>
      <w:r>
        <w:rPr>
          <w:sz w:val="20"/>
          <w:szCs w:val="20"/>
          <w:rtl/>
        </w:rPr>
        <w:t>ב“ישיבת</w:t>
      </w:r>
      <w:proofErr w:type="spellEnd"/>
      <w:r>
        <w:rPr>
          <w:sz w:val="20"/>
          <w:szCs w:val="20"/>
          <w:rtl/>
        </w:rPr>
        <w:t xml:space="preserve"> אור החיים” (“ישיבת ר׳ </w:t>
      </w:r>
      <w:proofErr w:type="spellStart"/>
      <w:r>
        <w:rPr>
          <w:sz w:val="20"/>
          <w:szCs w:val="20"/>
          <w:rtl/>
        </w:rPr>
        <w:t>הירשל׳ה</w:t>
      </w:r>
      <w:proofErr w:type="spellEnd"/>
      <w:r>
        <w:rPr>
          <w:sz w:val="20"/>
          <w:szCs w:val="20"/>
          <w:rtl/>
        </w:rPr>
        <w:t xml:space="preserve">”) בזמן שאבי למד </w:t>
      </w:r>
      <w:proofErr w:type="spellStart"/>
      <w:r>
        <w:rPr>
          <w:sz w:val="20"/>
          <w:szCs w:val="20"/>
          <w:rtl/>
        </w:rPr>
        <w:t>בסלבודקה</w:t>
      </w:r>
      <w:proofErr w:type="spellEnd"/>
      <w:r>
        <w:rPr>
          <w:sz w:val="20"/>
          <w:szCs w:val="20"/>
          <w:rtl/>
        </w:rPr>
        <w:t>, עד שעלה לארץ ישראל בשנת תרפ״ה, בגיל שבעים. פרק 17 בספרו של כץ, “תנועת המוסר”, כרך ה, מוקדש לו.</w:t>
      </w:r>
    </w:p>
  </w:footnote>
  <w:footnote w:id="2014">
    <w:p w14:paraId="62E75F9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98–99.</w:t>
      </w:r>
    </w:p>
  </w:footnote>
  <w:footnote w:id="2015">
    <w:p w14:paraId="614BF73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א לעיל. החיבורים “תנועת המוסר” </w:t>
      </w:r>
      <w:proofErr w:type="spellStart"/>
      <w:r>
        <w:rPr>
          <w:sz w:val="20"/>
          <w:szCs w:val="20"/>
          <w:rtl/>
        </w:rPr>
        <w:t>ו“פולמוס</w:t>
      </w:r>
      <w:proofErr w:type="spellEnd"/>
      <w:r>
        <w:rPr>
          <w:sz w:val="20"/>
          <w:szCs w:val="20"/>
          <w:rtl/>
        </w:rPr>
        <w:t xml:space="preserve"> המוסר” נכתבו בידי אותו מחבר, ר׳ דב כץ.</w:t>
      </w:r>
    </w:p>
  </w:footnote>
  <w:footnote w:id="2016">
    <w:p w14:paraId="3A5778A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251.</w:t>
      </w:r>
    </w:p>
  </w:footnote>
  <w:footnote w:id="2017">
    <w:p w14:paraId="48BD8F8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ג לעיל.</w:t>
      </w:r>
    </w:p>
  </w:footnote>
  <w:footnote w:id="2018">
    <w:p w14:paraId="2B38834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413.</w:t>
      </w:r>
    </w:p>
  </w:footnote>
  <w:footnote w:id="2019">
    <w:p w14:paraId="321185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“יהדות ליטא” כרך 3 (הערה 9 לעיל), עמ׳ 25, ומאמר הספד בגיליון אייר תש״ז של “תבונה” (נספח ג לעיל).</w:t>
      </w:r>
    </w:p>
  </w:footnote>
  <w:footnote w:id="2020">
    <w:p w14:paraId="6545D93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בעמ׳ 297.</w:t>
      </w:r>
    </w:p>
  </w:footnote>
  <w:footnote w:id="2021">
    <w:p w14:paraId="43ABF0F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שער ג׳ אות ג׳.</w:t>
      </w:r>
    </w:p>
  </w:footnote>
  <w:footnote w:id="2022">
    <w:p w14:paraId="364844F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42 בפרק זה – עמ׳ ט.</w:t>
      </w:r>
    </w:p>
  </w:footnote>
  <w:footnote w:id="2023">
    <w:p w14:paraId="0D89AC2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“פולמוס המוסר”, עמ׳ 120.</w:t>
      </w:r>
    </w:p>
  </w:footnote>
  <w:footnote w:id="2024">
    <w:p w14:paraId="759DABB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מפורט בנספח </w:t>
      </w:r>
      <w:proofErr w:type="spellStart"/>
      <w:r>
        <w:rPr>
          <w:sz w:val="20"/>
          <w:szCs w:val="20"/>
          <w:rtl/>
        </w:rPr>
        <w:t>יז</w:t>
      </w:r>
      <w:proofErr w:type="spellEnd"/>
      <w:r>
        <w:rPr>
          <w:sz w:val="20"/>
          <w:szCs w:val="20"/>
          <w:rtl/>
        </w:rPr>
        <w:t xml:space="preserve"> להלן.</w:t>
      </w:r>
    </w:p>
  </w:footnote>
  <w:footnote w:id="2025">
    <w:p w14:paraId="3CD1154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נספח כה להלן, וכץ, “תנועת המוסר”, כרך ב, עמ׳ 66, 82 ו־88. השווה גם את ההקדמה לספר </w:t>
      </w:r>
      <w:proofErr w:type="spellStart"/>
      <w:r>
        <w:rPr>
          <w:sz w:val="20"/>
          <w:szCs w:val="20"/>
          <w:rtl/>
        </w:rPr>
        <w:t>השו״ת</w:t>
      </w:r>
      <w:proofErr w:type="spellEnd"/>
      <w:r>
        <w:rPr>
          <w:sz w:val="20"/>
          <w:szCs w:val="20"/>
          <w:rtl/>
        </w:rPr>
        <w:t xml:space="preserve"> והחידושים של ר׳ </w:t>
      </w:r>
      <w:proofErr w:type="spellStart"/>
      <w:r>
        <w:rPr>
          <w:sz w:val="20"/>
          <w:szCs w:val="20"/>
          <w:rtl/>
        </w:rPr>
        <w:t>הירש־יעקב</w:t>
      </w:r>
      <w:proofErr w:type="spellEnd"/>
      <w:r>
        <w:rPr>
          <w:sz w:val="20"/>
          <w:szCs w:val="20"/>
          <w:rtl/>
        </w:rPr>
        <w:t xml:space="preserve"> </w:t>
      </w:r>
      <w:proofErr w:type="spellStart"/>
      <w:r>
        <w:rPr>
          <w:sz w:val="20"/>
          <w:szCs w:val="20"/>
          <w:rtl/>
        </w:rPr>
        <w:t>אופנהיים</w:t>
      </w:r>
      <w:proofErr w:type="spellEnd"/>
      <w:r>
        <w:rPr>
          <w:sz w:val="20"/>
          <w:szCs w:val="20"/>
          <w:rtl/>
        </w:rPr>
        <w:t xml:space="preserve">, “גאון צבי יעקב” (ריגה, תרפ״ט), שבה מתאר בנו את קדושתו ושקידתו של אביו; והשווה פרק 4, נספח </w:t>
      </w:r>
      <w:proofErr w:type="spellStart"/>
      <w:r>
        <w:rPr>
          <w:sz w:val="20"/>
          <w:szCs w:val="20"/>
          <w:rtl/>
        </w:rPr>
        <w:t>יב</w:t>
      </w:r>
      <w:proofErr w:type="spellEnd"/>
      <w:r>
        <w:rPr>
          <w:sz w:val="20"/>
          <w:szCs w:val="20"/>
          <w:rtl/>
        </w:rPr>
        <w:t xml:space="preserve">, על ביקורתו המרומזת של הסבא על ר׳ </w:t>
      </w:r>
      <w:proofErr w:type="spellStart"/>
      <w:r>
        <w:rPr>
          <w:sz w:val="20"/>
          <w:szCs w:val="20"/>
          <w:rtl/>
        </w:rPr>
        <w:t>הירש־יעקב</w:t>
      </w:r>
      <w:proofErr w:type="spellEnd"/>
      <w:r>
        <w:rPr>
          <w:sz w:val="20"/>
          <w:szCs w:val="20"/>
          <w:rtl/>
        </w:rPr>
        <w:t xml:space="preserve"> </w:t>
      </w:r>
      <w:proofErr w:type="spellStart"/>
      <w:r>
        <w:rPr>
          <w:sz w:val="20"/>
          <w:szCs w:val="20"/>
          <w:rtl/>
        </w:rPr>
        <w:t>אופנהיים</w:t>
      </w:r>
      <w:proofErr w:type="spellEnd"/>
      <w:r>
        <w:rPr>
          <w:sz w:val="20"/>
          <w:szCs w:val="20"/>
          <w:rtl/>
        </w:rPr>
        <w:t>.</w:t>
      </w:r>
    </w:p>
  </w:footnote>
  <w:footnote w:id="2026">
    <w:p w14:paraId="3C2AD6A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“פולמוס המוסר”, עמ׳ 116–119.</w:t>
      </w:r>
    </w:p>
  </w:footnote>
  <w:footnote w:id="2027">
    <w:p w14:paraId="5279C0E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 סוף נספח ז.</w:t>
      </w:r>
    </w:p>
  </w:footnote>
  <w:footnote w:id="2028">
    <w:p w14:paraId="23EA178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מהדורה שנייה מורחבת, המכון להוצאת ספרים ע״ש </w:t>
      </w:r>
      <w:proofErr w:type="spellStart"/>
      <w:r>
        <w:rPr>
          <w:sz w:val="20"/>
          <w:szCs w:val="20"/>
          <w:rtl/>
        </w:rPr>
        <w:t>הרצי״ה</w:t>
      </w:r>
      <w:proofErr w:type="spellEnd"/>
      <w:r>
        <w:rPr>
          <w:sz w:val="20"/>
          <w:szCs w:val="20"/>
          <w:rtl/>
        </w:rPr>
        <w:t xml:space="preserve"> זצ״ל, ירושלים, </w:t>
      </w:r>
      <w:proofErr w:type="spellStart"/>
      <w:r>
        <w:rPr>
          <w:sz w:val="20"/>
          <w:szCs w:val="20"/>
          <w:rtl/>
        </w:rPr>
        <w:t xml:space="preserve">ה׳תש״ן</w:t>
      </w:r>
      <w:proofErr w:type="spellEnd"/>
      <w:r>
        <w:rPr>
          <w:sz w:val="20"/>
          <w:szCs w:val="20"/>
          <w:rtl/>
        </w:rPr>
        <w:t xml:space="preserve"> – עמ׳ </w:t>
      </w:r>
      <w:proofErr w:type="spellStart"/>
      <w:r>
        <w:rPr>
          <w:sz w:val="20"/>
          <w:szCs w:val="20"/>
          <w:rtl/>
        </w:rPr>
        <w:t>תקלב</w:t>
      </w:r>
      <w:proofErr w:type="spellEnd"/>
      <w:r>
        <w:rPr>
          <w:sz w:val="20"/>
          <w:szCs w:val="20"/>
          <w:rtl/>
        </w:rPr>
        <w:t>–</w:t>
      </w:r>
      <w:proofErr w:type="spellStart"/>
      <w:r>
        <w:rPr>
          <w:sz w:val="20"/>
          <w:szCs w:val="20"/>
          <w:rtl/>
        </w:rPr>
        <w:t>תקלג</w:t>
      </w:r>
      <w:proofErr w:type="spellEnd"/>
      <w:r>
        <w:rPr>
          <w:sz w:val="20"/>
          <w:szCs w:val="20"/>
          <w:rtl/>
        </w:rPr>
        <w:t>.</w:t>
      </w:r>
    </w:p>
  </w:footnote>
  <w:footnote w:id="2029">
    <w:p w14:paraId="6695D6C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הערה 8.</w:t>
      </w:r>
    </w:p>
  </w:footnote>
  <w:footnote w:id="2030">
    <w:p w14:paraId="1D5CB13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נספח ו.</w:t>
      </w:r>
    </w:p>
  </w:footnote>
  <w:footnote w:id="2031">
    <w:p w14:paraId="08072B3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תיאור זה של בית מדרש בן זמננו מבוסס על מסכת מגילה כ״ט ע״א.</w:t>
      </w:r>
    </w:p>
  </w:footnote>
  <w:footnote w:id="2032">
    <w:p w14:paraId="1611216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5, הפסקה הרביעית של נספח ו.</w:t>
      </w:r>
    </w:p>
  </w:footnote>
  <w:footnote w:id="2033">
    <w:p w14:paraId="2A3BA9D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סוף נספח כד להלן.</w:t>
      </w:r>
    </w:p>
  </w:footnote>
  <w:footnote w:id="2034">
    <w:p w14:paraId="4DEF57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תחילה שיערתי שנסיעתו של ר׳ </w:t>
      </w:r>
      <w:proofErr w:type="spellStart"/>
      <w:r>
        <w:rPr>
          <w:sz w:val="20"/>
          <w:szCs w:val="20"/>
          <w:rtl/>
        </w:rPr>
        <w:t>איצל׳ה</w:t>
      </w:r>
      <w:proofErr w:type="spellEnd"/>
      <w:r>
        <w:rPr>
          <w:sz w:val="20"/>
          <w:szCs w:val="20"/>
          <w:rtl/>
        </w:rPr>
        <w:t xml:space="preserve"> </w:t>
      </w:r>
      <w:proofErr w:type="spellStart"/>
      <w:r>
        <w:rPr>
          <w:sz w:val="20"/>
          <w:szCs w:val="20"/>
          <w:rtl/>
        </w:rPr>
        <w:t>בלאזר</w:t>
      </w:r>
      <w:proofErr w:type="spellEnd"/>
      <w:r>
        <w:rPr>
          <w:sz w:val="20"/>
          <w:szCs w:val="20"/>
          <w:rtl/>
        </w:rPr>
        <w:t xml:space="preserve"> </w:t>
      </w:r>
      <w:proofErr w:type="spellStart"/>
      <w:r>
        <w:rPr>
          <w:sz w:val="20"/>
          <w:szCs w:val="20"/>
          <w:rtl/>
        </w:rPr>
        <w:t>לוולוז׳ין</w:t>
      </w:r>
      <w:proofErr w:type="spellEnd"/>
      <w:r>
        <w:rPr>
          <w:sz w:val="20"/>
          <w:szCs w:val="20"/>
          <w:rtl/>
        </w:rPr>
        <w:t xml:space="preserve">, הנדונה בהרחבה בפרק 4, נספח ט, ושזמנה אינו ברור (ראה הפסקה השנייה שם), הייתה קשורה לבקשת הכספים הזאת, ושר׳ </w:t>
      </w:r>
      <w:proofErr w:type="spellStart"/>
      <w:r>
        <w:rPr>
          <w:sz w:val="20"/>
          <w:szCs w:val="20"/>
          <w:rtl/>
        </w:rPr>
        <w:t>איצל׳ה</w:t>
      </w:r>
      <w:proofErr w:type="spellEnd"/>
      <w:r>
        <w:rPr>
          <w:sz w:val="20"/>
          <w:szCs w:val="20"/>
          <w:rtl/>
        </w:rPr>
        <w:t xml:space="preserve"> ניסה להכניס את המוסר </w:t>
      </w:r>
      <w:proofErr w:type="spellStart"/>
      <w:r>
        <w:rPr>
          <w:sz w:val="20"/>
          <w:szCs w:val="20"/>
          <w:rtl/>
        </w:rPr>
        <w:t>לוולוז׳ין</w:t>
      </w:r>
      <w:proofErr w:type="spellEnd"/>
      <w:r>
        <w:rPr>
          <w:sz w:val="20"/>
          <w:szCs w:val="20"/>
          <w:rtl/>
        </w:rPr>
        <w:t>, כדי שיוכל לייעץ לנדבן ביושר להיענות לבקשה. אבל הסקתי שם (בפסקה השביעית) שהביקור התרחש כחמש שנים לפני שנכתבו המכתבים האלה.</w:t>
      </w:r>
    </w:p>
  </w:footnote>
  <w:footnote w:id="2035">
    <w:p w14:paraId="7207296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י לעיל.</w:t>
      </w:r>
    </w:p>
  </w:footnote>
  <w:footnote w:id="2036">
    <w:p w14:paraId="17CB885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68.</w:t>
      </w:r>
    </w:p>
  </w:footnote>
  <w:footnote w:id="2037">
    <w:p w14:paraId="763B4A0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הירש־לייב</w:t>
      </w:r>
      <w:proofErr w:type="spellEnd"/>
      <w:r>
        <w:rPr>
          <w:sz w:val="20"/>
          <w:szCs w:val="20"/>
          <w:rtl/>
        </w:rPr>
        <w:t xml:space="preserve"> גורדון, המתנגד למוסר, מגנה בחריפות את כץ ומאשים אותו בסילוף ההיסטוריה – האשמה שכל מי שהכיר את ר׳ דב </w:t>
      </w:r>
      <w:proofErr w:type="spellStart"/>
      <w:r>
        <w:rPr>
          <w:sz w:val="20"/>
          <w:szCs w:val="20"/>
          <w:rtl/>
        </w:rPr>
        <w:t>כ״ץ</w:t>
      </w:r>
      <w:proofErr w:type="spellEnd"/>
      <w:r>
        <w:rPr>
          <w:sz w:val="20"/>
          <w:szCs w:val="20"/>
          <w:rtl/>
        </w:rPr>
        <w:t xml:space="preserve">, מחבר “תנועת המוסר”, ולו היכרות שטחית (כפי שזכיתי), ידחה על הסף. השווה גם סוף נספח לג להלן, על האשמה נמהרת נוספת מעין זו שהעלה </w:t>
      </w:r>
      <w:proofErr w:type="spellStart"/>
      <w:r>
        <w:rPr>
          <w:sz w:val="20"/>
          <w:szCs w:val="20"/>
          <w:rtl/>
        </w:rPr>
        <w:t>הירש־לייב</w:t>
      </w:r>
      <w:proofErr w:type="spellEnd"/>
      <w:r>
        <w:rPr>
          <w:sz w:val="20"/>
          <w:szCs w:val="20"/>
          <w:rtl/>
        </w:rPr>
        <w:t xml:space="preserve"> גורדון.</w:t>
      </w:r>
    </w:p>
  </w:footnote>
  <w:footnote w:id="2038">
    <w:p w14:paraId="5B94AEA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13 באוגוסט 1995.</w:t>
      </w:r>
    </w:p>
  </w:footnote>
  <w:footnote w:id="2039">
    <w:p w14:paraId="71FC7BD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כרך 3.</w:t>
      </w:r>
    </w:p>
  </w:footnote>
  <w:footnote w:id="2040">
    <w:p w14:paraId="7E2855D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שבת קי״ט ע״ב.</w:t>
      </w:r>
    </w:p>
  </w:footnote>
  <w:footnote w:id="2041">
    <w:p w14:paraId="6C7174C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יצאה לאור בירושלם, תרצ״ד.</w:t>
      </w:r>
    </w:p>
  </w:footnote>
  <w:footnote w:id="2042">
    <w:p w14:paraId="5799597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17, והערה 11 שם.</w:t>
      </w:r>
    </w:p>
  </w:footnote>
  <w:footnote w:id="2043">
    <w:p w14:paraId="310946F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18 בספטמבר 1996.</w:t>
      </w:r>
    </w:p>
  </w:footnote>
  <w:footnote w:id="2044">
    <w:p w14:paraId="4BF3BEA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לעיל – עמ׳ ח–ט בחלק האחרון של “שיחות החפץ חיים” שבכרך “מכתבים”.</w:t>
      </w:r>
    </w:p>
  </w:footnote>
  <w:footnote w:id="2045">
    <w:p w14:paraId="60E504F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ריאיון עמו מובא </w:t>
      </w:r>
      <w:proofErr w:type="spellStart"/>
      <w:r>
        <w:rPr>
          <w:sz w:val="20"/>
          <w:szCs w:val="20"/>
          <w:rtl/>
        </w:rPr>
        <w:t>ב“ספר</w:t>
      </w:r>
      <w:proofErr w:type="spellEnd"/>
      <w:r>
        <w:rPr>
          <w:sz w:val="20"/>
          <w:szCs w:val="20"/>
          <w:rtl/>
        </w:rPr>
        <w:t xml:space="preserve"> מאיר עיני ישראל” (נספח א לעיל), עמ׳ 74–75.</w:t>
      </w:r>
    </w:p>
  </w:footnote>
  <w:footnote w:id="2046">
    <w:p w14:paraId="4CFCA02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ח לעיל – עמ׳ קלה.</w:t>
      </w:r>
    </w:p>
  </w:footnote>
  <w:footnote w:id="2047">
    <w:p w14:paraId="1299780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188.</w:t>
      </w:r>
    </w:p>
  </w:footnote>
  <w:footnote w:id="2048">
    <w:p w14:paraId="249F49D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ריאיון, 22 ביוני 1997. משום שכל מעשה של </w:t>
      </w:r>
      <w:proofErr w:type="spellStart"/>
      <w:r>
        <w:rPr>
          <w:sz w:val="20"/>
          <w:szCs w:val="20"/>
          <w:rtl/>
        </w:rPr>
        <w:t>החפץ־חיים</w:t>
      </w:r>
      <w:proofErr w:type="spellEnd"/>
      <w:r>
        <w:rPr>
          <w:sz w:val="20"/>
          <w:szCs w:val="20"/>
          <w:rtl/>
        </w:rPr>
        <w:t xml:space="preserve"> יש בו לימוד, אספר את המעשה בכל הפרטים שמסר המרואיין.</w:t>
      </w:r>
    </w:p>
  </w:footnote>
  <w:footnote w:id="2049">
    <w:p w14:paraId="0DDF882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המרואיין הוסיף שבעל העגלה קיבל את העצה, ולא רק שחדל להשתמש בתער, אלא גם גידל זקן.</w:t>
      </w:r>
    </w:p>
  </w:footnote>
  <w:footnote w:id="2050">
    <w:p w14:paraId="537726F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19–20.</w:t>
      </w:r>
    </w:p>
  </w:footnote>
  <w:footnote w:id="2051">
    <w:p w14:paraId="1D1EDA0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27 ביולי 1996.</w:t>
      </w:r>
    </w:p>
  </w:footnote>
  <w:footnote w:id="2052">
    <w:p w14:paraId="439F018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3, עמ׳ 104.</w:t>
      </w:r>
    </w:p>
  </w:footnote>
  <w:footnote w:id="2053">
    <w:p w14:paraId="460A80B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ר׳ ישראל </w:t>
      </w:r>
      <w:proofErr w:type="spellStart"/>
      <w:r>
        <w:rPr>
          <w:sz w:val="20"/>
          <w:szCs w:val="20"/>
          <w:rtl/>
        </w:rPr>
        <w:t>שורין</w:t>
      </w:r>
      <w:proofErr w:type="spellEnd"/>
      <w:r>
        <w:rPr>
          <w:sz w:val="20"/>
          <w:szCs w:val="20"/>
          <w:rtl/>
        </w:rPr>
        <w:t xml:space="preserve"> הוא גם הניח תפילין כל היום.</w:t>
      </w:r>
    </w:p>
  </w:footnote>
  <w:footnote w:id="2054">
    <w:p w14:paraId="1BF8E32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את הערת שוליים </w:t>
      </w:r>
      <w:r>
        <w:rPr>
          <w:rStyle w:val="a5"/>
          <w:sz w:val="20"/>
          <w:szCs w:val="20"/>
          <w:vertAlign w:val="baseline"/>
          <w:rtl/>
        </w:rPr>
        <w:fldChar w:fldCharType="begin" w:dirty="true"/>
      </w:r>
      <w:r>
        <w:rPr>
          <w:rStyle w:val="a5"/>
          <w:sz w:val="20"/>
          <w:szCs w:val="20"/>
          <w:vertAlign w:val="baseline"/>
          <w:rtl/>
        </w:rPr>
        <w:instrText xml:space="preserve"> NOTEREF pr_f_1778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825</w:t>
      </w:r>
      <w:r>
        <w:rPr>
          <w:rStyle w:val="a5"/>
          <w:sz w:val="20"/>
          <w:szCs w:val="20"/>
          <w:vertAlign w:val="baseline"/>
          <w:rtl/>
        </w:rPr>
        <w:fldChar w:fldCharType="end"/>
      </w:r>
      <w:r>
        <w:rPr>
          <w:rStyle w:val="a5"/>
          <w:sz w:val="20"/>
          <w:szCs w:val="20"/>
          <w:vertAlign w:val="baseline"/>
          <w:rtl/>
        </w:rPr>
        <w:t xml:space="preserve">, עמ׳ </w:t>
      </w:r>
      <w:r>
        <w:rPr>
          <w:rStyle w:val="a5"/>
          <w:sz w:val="20"/>
          <w:szCs w:val="20"/>
          <w:vertAlign w:val="baseline"/>
          <w:rtl/>
        </w:rPr>
        <w:fldChar w:fldCharType="begin" w:dirty="true"/>
      </w:r>
      <w:r>
        <w:rPr>
          <w:rStyle w:val="a5"/>
          <w:sz w:val="20"/>
          <w:szCs w:val="20"/>
          <w:vertAlign w:val="baseline"/>
          <w:rtl/>
        </w:rPr>
        <w:instrText xml:space="preserve"> PAGEREF pr_f_1778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 xml:space="preserve"> על צדיק אחר שהתפלל תפילה כזאת</w:t>
      </w:r>
      <w:r>
        <w:rPr>
          <w:sz w:val="20"/>
          <w:szCs w:val="20"/>
          <w:rtl/>
        </w:rPr>
        <w:t>.</w:t>
      </w:r>
    </w:p>
  </w:footnote>
  <w:footnote w:id="2055">
    <w:p w14:paraId="362FB7A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לתגובתו של ר׳ זליג תרשיש השווה “עובדות והנהגות לבית </w:t>
      </w:r>
      <w:proofErr w:type="spellStart"/>
      <w:r>
        <w:rPr>
          <w:sz w:val="20"/>
          <w:szCs w:val="20"/>
          <w:rtl/>
        </w:rPr>
        <w:t>בריסק</w:t>
      </w:r>
      <w:proofErr w:type="spellEnd"/>
      <w:r>
        <w:rPr>
          <w:sz w:val="20"/>
          <w:szCs w:val="20"/>
          <w:rtl/>
        </w:rPr>
        <w:t xml:space="preserve">” (הפסקה הראשונה של נספח ח לעיל), </w:t>
      </w:r>
      <w:proofErr w:type="spellStart"/>
      <w:r>
        <w:rPr>
          <w:sz w:val="20"/>
          <w:szCs w:val="20"/>
          <w:rtl/>
        </w:rPr>
        <w:t>ח״ב</w:t>
      </w:r>
      <w:proofErr w:type="spellEnd"/>
      <w:r>
        <w:rPr>
          <w:sz w:val="20"/>
          <w:szCs w:val="20"/>
          <w:rtl/>
        </w:rPr>
        <w:t xml:space="preserve">, עמ׳ </w:t>
      </w:r>
      <w:proofErr w:type="spellStart"/>
      <w:r>
        <w:rPr>
          <w:sz w:val="20"/>
          <w:szCs w:val="20"/>
          <w:rtl/>
        </w:rPr>
        <w:t>ריג</w:t>
      </w:r>
      <w:proofErr w:type="spellEnd"/>
      <w:r>
        <w:rPr>
          <w:sz w:val="20"/>
          <w:szCs w:val="20"/>
          <w:rtl/>
        </w:rPr>
        <w:t xml:space="preserve">, המתאר את תגובתו של ר׳ חיים </w:t>
      </w:r>
      <w:proofErr w:type="spellStart"/>
      <w:r>
        <w:rPr>
          <w:sz w:val="20"/>
          <w:szCs w:val="20"/>
          <w:rtl/>
        </w:rPr>
        <w:t>סולובייצ׳יק</w:t>
      </w:r>
      <w:proofErr w:type="spellEnd"/>
      <w:r>
        <w:rPr>
          <w:sz w:val="20"/>
          <w:szCs w:val="20"/>
          <w:rtl/>
        </w:rPr>
        <w:t xml:space="preserve"> על הספד על תיאודור הרצל שנישא בבית כנסת </w:t>
      </w:r>
      <w:proofErr w:type="spellStart"/>
      <w:r>
        <w:rPr>
          <w:sz w:val="20"/>
          <w:szCs w:val="20"/>
          <w:rtl/>
        </w:rPr>
        <w:t>בבריסק</w:t>
      </w:r>
      <w:proofErr w:type="spellEnd"/>
      <w:r>
        <w:rPr>
          <w:sz w:val="20"/>
          <w:szCs w:val="20"/>
          <w:rtl/>
        </w:rPr>
        <w:t xml:space="preserve">. אף שניסה בכל כוחו, לא עלה בידו למנוע את האספה הפומבית. בנו ר׳ יצחק־זאב זכר שמעולם לא ראה את אביו כועס כל כך; הוא חזר ואמר: “אוי, חילול בית הכנסת!”</w:t>
      </w:r>
    </w:p>
  </w:footnote>
  <w:footnote w:id="2056">
    <w:p w14:paraId="5FA60D2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תהלים קד, כד.</w:t>
      </w:r>
    </w:p>
  </w:footnote>
  <w:footnote w:id="2057">
    <w:p w14:paraId="0053C94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“יהדות ליטא”, שם, שב ר׳ זליג ונעשה אוהד לציונות זמן מה אחרי מעשה ריינס. גם ר׳ ישראל </w:t>
      </w:r>
      <w:proofErr w:type="spellStart"/>
      <w:r>
        <w:rPr>
          <w:sz w:val="20"/>
          <w:szCs w:val="20"/>
          <w:rtl/>
        </w:rPr>
        <w:t>שורין</w:t>
      </w:r>
      <w:proofErr w:type="spellEnd"/>
      <w:r>
        <w:rPr>
          <w:sz w:val="20"/>
          <w:szCs w:val="20"/>
          <w:rtl/>
        </w:rPr>
        <w:t xml:space="preserve"> נטה לדעה זו.</w:t>
      </w:r>
    </w:p>
  </w:footnote>
  <w:footnote w:id="2058">
    <w:p w14:paraId="295D1AB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הרב יהודה ליב הכהן פישמן כינה את ר׳ זליג תרשיש “אותו אדם חצוף מן הקהל” כשפרסם בשנת תרצ״ד את תולדותיו הקצרות של ר׳ </w:t>
      </w:r>
      <w:proofErr w:type="spellStart"/>
      <w:r>
        <w:rPr>
          <w:sz w:val="20"/>
          <w:szCs w:val="20"/>
          <w:rtl/>
        </w:rPr>
        <w:t>יצחק־יעקב</w:t>
      </w:r>
      <w:proofErr w:type="spellEnd"/>
      <w:r>
        <w:rPr>
          <w:sz w:val="20"/>
          <w:szCs w:val="20"/>
          <w:rtl/>
        </w:rPr>
        <w:t xml:space="preserve"> ריינס, בזמן שר׳ זליג תרשיש כבר היה מפורסם כצדיק. בכך ראוי היה שיוחל עליו מאמר חז״ל בשבת קי״ט ע״ב, כפי שהחילו אבי על המלעיז על ר׳ </w:t>
      </w:r>
      <w:proofErr w:type="spellStart"/>
      <w:r>
        <w:rPr>
          <w:sz w:val="20"/>
          <w:szCs w:val="20"/>
          <w:rtl/>
        </w:rPr>
        <w:t>יצחק־יעקב</w:t>
      </w:r>
      <w:proofErr w:type="spellEnd"/>
      <w:r>
        <w:rPr>
          <w:sz w:val="20"/>
          <w:szCs w:val="20"/>
          <w:rtl/>
        </w:rPr>
        <w:t xml:space="preserve"> ריינס.</w:t>
      </w:r>
    </w:p>
  </w:footnote>
  <w:footnote w:id="2059">
    <w:p w14:paraId="73D665E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נספח </w:t>
      </w:r>
      <w:proofErr w:type="spellStart"/>
      <w:r>
        <w:rPr>
          <w:sz w:val="20"/>
          <w:szCs w:val="20"/>
          <w:rtl/>
        </w:rPr>
        <w:t>יב</w:t>
      </w:r>
      <w:proofErr w:type="spellEnd"/>
      <w:r>
        <w:rPr>
          <w:sz w:val="20"/>
          <w:szCs w:val="20"/>
          <w:rtl/>
        </w:rPr>
        <w:t xml:space="preserve"> לעיל.</w:t>
      </w:r>
    </w:p>
  </w:footnote>
  <w:footnote w:id="2060">
    <w:p w14:paraId="0310101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דיווחו של הרב </w:t>
      </w:r>
      <w:proofErr w:type="spellStart"/>
      <w:r>
        <w:rPr>
          <w:sz w:val="20"/>
          <w:szCs w:val="20"/>
          <w:rtl/>
        </w:rPr>
        <w:t>פופקו</w:t>
      </w:r>
      <w:proofErr w:type="spellEnd"/>
      <w:r>
        <w:rPr>
          <w:sz w:val="20"/>
          <w:szCs w:val="20"/>
          <w:rtl/>
        </w:rPr>
        <w:t xml:space="preserve">, </w:t>
      </w:r>
      <w:proofErr w:type="spellStart"/>
      <w:r>
        <w:rPr>
          <w:sz w:val="20"/>
          <w:szCs w:val="20"/>
          <w:rtl/>
        </w:rPr>
        <w:t>שהחפץ־חיים</w:t>
      </w:r>
      <w:proofErr w:type="spellEnd"/>
      <w:r>
        <w:rPr>
          <w:sz w:val="20"/>
          <w:szCs w:val="20"/>
          <w:rtl/>
        </w:rPr>
        <w:t xml:space="preserve"> לא היה שותף ליחסו של ר׳ חיים, מתאשר בכך שניסה לשכנע את ר׳ </w:t>
      </w:r>
      <w:proofErr w:type="spellStart"/>
      <w:r>
        <w:rPr>
          <w:sz w:val="20"/>
          <w:szCs w:val="20"/>
          <w:rtl/>
        </w:rPr>
        <w:t>יצחק־יעקב</w:t>
      </w:r>
      <w:proofErr w:type="spellEnd"/>
      <w:r>
        <w:rPr>
          <w:sz w:val="20"/>
          <w:szCs w:val="20"/>
          <w:rtl/>
        </w:rPr>
        <w:t xml:space="preserve"> ריינס לשקול מחדש את נטייתו הציונית. מובן שגם אבי – וכנראה בעלי המוסר בכלל – לא היה שותף להשקפתו החמורה של ר׳ חיים </w:t>
      </w:r>
      <w:proofErr w:type="spellStart"/>
      <w:r>
        <w:rPr>
          <w:sz w:val="20"/>
          <w:szCs w:val="20"/>
          <w:rtl/>
        </w:rPr>
        <w:t>סולובייצ׳יק</w:t>
      </w:r>
      <w:proofErr w:type="spellEnd"/>
      <w:r>
        <w:rPr>
          <w:sz w:val="20"/>
          <w:szCs w:val="20"/>
          <w:rtl/>
        </w:rPr>
        <w:t xml:space="preserve"> על ר׳ </w:t>
      </w:r>
      <w:proofErr w:type="spellStart"/>
      <w:r>
        <w:rPr>
          <w:sz w:val="20"/>
          <w:szCs w:val="20"/>
          <w:rtl/>
        </w:rPr>
        <w:t>יצחק־יעקב</w:t>
      </w:r>
      <w:proofErr w:type="spellEnd"/>
      <w:r>
        <w:rPr>
          <w:sz w:val="20"/>
          <w:szCs w:val="20"/>
          <w:rtl/>
        </w:rPr>
        <w:t xml:space="preserve"> ריינס.</w:t>
      </w:r>
    </w:p>
  </w:footnote>
  <w:footnote w:id="2061">
    <w:p w14:paraId="1A46B6D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גיליון י״א בסיון תרנ״ז.</w:t>
      </w:r>
    </w:p>
  </w:footnote>
  <w:footnote w:id="2062">
    <w:p w14:paraId="25E170E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להלן: התכתבות </w:t>
      </w:r>
      <w:proofErr w:type="spellStart"/>
      <w:r>
        <w:rPr>
          <w:sz w:val="20"/>
          <w:szCs w:val="20"/>
          <w:rtl/>
        </w:rPr>
        <w:t>ברודא</w:t>
      </w:r>
      <w:proofErr w:type="spellEnd"/>
      <w:r>
        <w:rPr>
          <w:sz w:val="20"/>
          <w:szCs w:val="20"/>
          <w:rtl/>
        </w:rPr>
        <w:t>.</w:t>
      </w:r>
    </w:p>
  </w:footnote>
  <w:footnote w:id="2063">
    <w:p w14:paraId="54B56F7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תחילת נספחים ט </w:t>
      </w:r>
      <w:proofErr w:type="spellStart"/>
      <w:r>
        <w:rPr>
          <w:sz w:val="20"/>
          <w:szCs w:val="20"/>
          <w:rtl/>
        </w:rPr>
        <w:t>ו־ז</w:t>
      </w:r>
      <w:proofErr w:type="spellEnd"/>
      <w:r>
        <w:rPr>
          <w:sz w:val="20"/>
          <w:szCs w:val="20"/>
          <w:rtl/>
        </w:rPr>
        <w:t xml:space="preserve"> לעיל.</w:t>
      </w:r>
    </w:p>
  </w:footnote>
  <w:footnote w:id="2064">
    <w:p w14:paraId="4F81F36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“פולמוס המוסר”, עמ׳ 130 ו־135.</w:t>
      </w:r>
    </w:p>
  </w:footnote>
  <w:footnote w:id="2065">
    <w:p w14:paraId="4762D78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כ״ט באב תרנ״ז.</w:t>
      </w:r>
    </w:p>
  </w:footnote>
  <w:footnote w:id="2066">
    <w:p w14:paraId="35F4647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נראה שנופש אז בליטא, שהרי בכתבה אחרת </w:t>
      </w:r>
      <w:proofErr w:type="spellStart"/>
      <w:r>
        <w:rPr>
          <w:sz w:val="20"/>
          <w:szCs w:val="20"/>
          <w:rtl/>
        </w:rPr>
        <w:t>ב“המליץ</w:t>
      </w:r>
      <w:proofErr w:type="spellEnd"/>
      <w:r>
        <w:rPr>
          <w:sz w:val="20"/>
          <w:szCs w:val="20"/>
          <w:rtl/>
        </w:rPr>
        <w:t xml:space="preserve">” שבועיים קודם לכן הוסיף לחתימתו “המתגורר כעת </w:t>
      </w:r>
      <w:proofErr w:type="spellStart"/>
      <w:r>
        <w:rPr>
          <w:sz w:val="20"/>
          <w:szCs w:val="20"/>
          <w:rtl/>
        </w:rPr>
        <w:t>בדרוזגעניק</w:t>
      </w:r>
      <w:proofErr w:type="spellEnd"/>
      <w:r>
        <w:rPr>
          <w:sz w:val="20"/>
          <w:szCs w:val="20"/>
          <w:rtl/>
        </w:rPr>
        <w:t>” [עיירת נופש].</w:t>
      </w:r>
    </w:p>
  </w:footnote>
  <w:footnote w:id="2067">
    <w:p w14:paraId="7BBDEE3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דאגתו כביכול של ר׳ חיים </w:t>
      </w:r>
      <w:proofErr w:type="spellStart"/>
      <w:r>
        <w:rPr>
          <w:sz w:val="20"/>
          <w:szCs w:val="20"/>
          <w:rtl/>
        </w:rPr>
        <w:t>לוולקוביסק</w:t>
      </w:r>
      <w:proofErr w:type="spellEnd"/>
      <w:r>
        <w:rPr>
          <w:sz w:val="20"/>
          <w:szCs w:val="20"/>
          <w:rtl/>
        </w:rPr>
        <w:t xml:space="preserve">, כ־120 קילומטר </w:t>
      </w:r>
      <w:proofErr w:type="spellStart"/>
      <w:r>
        <w:rPr>
          <w:sz w:val="20"/>
          <w:szCs w:val="20"/>
          <w:rtl/>
        </w:rPr>
        <w:t>צפונית־מזרחית</w:t>
      </w:r>
      <w:proofErr w:type="spellEnd"/>
      <w:r>
        <w:rPr>
          <w:sz w:val="20"/>
          <w:szCs w:val="20"/>
          <w:rtl/>
        </w:rPr>
        <w:t xml:space="preserve"> </w:t>
      </w:r>
      <w:proofErr w:type="spellStart"/>
      <w:r>
        <w:rPr>
          <w:sz w:val="20"/>
          <w:szCs w:val="20"/>
          <w:rtl/>
        </w:rPr>
        <w:t>לבריסק</w:t>
      </w:r>
      <w:proofErr w:type="spellEnd"/>
      <w:r>
        <w:rPr>
          <w:sz w:val="20"/>
          <w:szCs w:val="20"/>
          <w:rtl/>
        </w:rPr>
        <w:t xml:space="preserve"> (וכ־300 קילומטר דרומית לקובנה), אולי לא הייתה אלא תואנה: אילו היה המצב בעיר ההיא שונה, היה מוצא סיבה אחרת שלא לחתום. השערה זו מבוססת על כך שר׳ </w:t>
      </w:r>
      <w:proofErr w:type="spellStart"/>
      <w:r>
        <w:rPr>
          <w:sz w:val="20"/>
          <w:szCs w:val="20"/>
          <w:rtl/>
        </w:rPr>
        <w:t>זלמן־סנדר</w:t>
      </w:r>
      <w:proofErr w:type="spellEnd"/>
      <w:r>
        <w:rPr>
          <w:sz w:val="20"/>
          <w:szCs w:val="20"/>
          <w:rtl/>
        </w:rPr>
        <w:t xml:space="preserve"> </w:t>
      </w:r>
      <w:proofErr w:type="spellStart"/>
      <w:r>
        <w:rPr>
          <w:sz w:val="20"/>
          <w:szCs w:val="20"/>
          <w:rtl/>
        </w:rPr>
        <w:t>כהנא־שפירא</w:t>
      </w:r>
      <w:proofErr w:type="spellEnd"/>
      <w:r>
        <w:rPr>
          <w:sz w:val="20"/>
          <w:szCs w:val="20"/>
          <w:rtl/>
        </w:rPr>
        <w:t xml:space="preserve"> יצא בעד הכרוז “למען האמת” התומך במוסר, כמצוין בהערת השוליים </w:t>
      </w:r>
      <w:r>
        <w:rPr>
          <w:sz w:val="20"/>
          <w:szCs w:val="20"/>
          <w:rtl/>
        </w:rPr>
        <w:fldChar w:fldCharType="begin" w:dirty="true"/>
      </w:r>
      <w:r>
        <w:rPr>
          <w:sz w:val="20"/>
          <w:szCs w:val="20"/>
          <w:rtl/>
        </w:rPr>
        <w:instrText xml:space="preserve"> NOTEREF pr_f_4379 \h </w:instrText>
      </w:r>
      <w:r>
        <w:rPr>
          <w:sz w:val="20"/>
          <w:szCs w:val="20"/>
          <w:rtl/>
        </w:rPr>
      </w:r>
      <w:r>
        <w:rPr>
          <w:sz w:val="20"/>
          <w:szCs w:val="20"/>
          <w:rtl/>
        </w:rPr>
        <w:fldChar w:fldCharType="separate"/>
      </w:r>
      <w:r w:rsidR="007923E9">
        <w:rPr>
          <w:sz w:val="20"/>
          <w:szCs w:val="20"/>
          <w:rtl/>
        </w:rPr>
        <w:t>33</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pr_f_4379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קרובו זה של ר׳ חיים, שהיה גם שותפו ללימוד ועמיתו, (ראה פרק 5, הערות 23 ו־24) כנראה לא היה עושה כן בלי הסכמתו.</w:t>
      </w:r>
    </w:p>
  </w:footnote>
  <w:footnote w:id="2068">
    <w:p w14:paraId="40685912" w14:textId="77777777" w:rsidR="00AB3647" w:rsidRDefault="00000000">
      <w:pPr>
        <w:spacing w:after="0" w:before="0"/>
        <w:jc w:val="both"/>
      </w:pPr>
      <w:r>
        <w:rPr>
          <w:rStyle w:val="a5"/>
          <w:vertAlign w:val="superscript"/>
          <w:rtl/>
        </w:rPr>
        <w:footnoteRef/>
      </w:r>
      <w:r>
        <w:rPr>
          <w:sz w:val="20"/>
          <w:szCs w:val="20"/>
        </w:rPr>
        <w:t xml:space="preserve"> </w:t>
      </w:r>
      <w:r>
        <w:rPr>
          <w:sz w:val="20"/>
          <w:szCs w:val="20"/>
          <w:rtl/>
        </w:rPr>
        <w:t xml:space="preserve">הערת המתרגם: המרחק בקו אווירי בין </w:t>
      </w:r>
      <w:proofErr w:type="spellStart"/>
      <w:r>
        <w:rPr>
          <w:sz w:val="20"/>
          <w:szCs w:val="20"/>
          <w:rtl/>
        </w:rPr>
        <w:t>וולקוביסק</w:t>
      </w:r>
      <w:proofErr w:type="spellEnd"/>
      <w:r>
        <w:rPr>
          <w:sz w:val="20"/>
          <w:szCs w:val="20"/>
          <w:rtl/>
        </w:rPr>
        <w:t xml:space="preserve"> לקובנה הוא כמאתיים קילומטר.</w:t>
      </w:r>
    </w:p>
  </w:footnote>
  <w:footnote w:id="2069">
    <w:p w14:paraId="7E2DDE1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מתוך “פאר הדור” ח״א (הערה 1 לעיל), עמ׳ </w:t>
      </w:r>
      <w:proofErr w:type="spellStart"/>
      <w:r>
        <w:rPr>
          <w:sz w:val="20"/>
          <w:szCs w:val="20"/>
          <w:rtl/>
        </w:rPr>
        <w:t>רנג</w:t>
      </w:r>
      <w:proofErr w:type="spellEnd"/>
      <w:r>
        <w:rPr>
          <w:sz w:val="20"/>
          <w:szCs w:val="20"/>
          <w:rtl/>
        </w:rPr>
        <w:t xml:space="preserve">, המצטט מאמר </w:t>
      </w:r>
      <w:proofErr w:type="spellStart"/>
      <w:r>
        <w:rPr>
          <w:sz w:val="20"/>
          <w:szCs w:val="20"/>
          <w:rtl/>
        </w:rPr>
        <w:t>ב“דגלנו</w:t>
      </w:r>
      <w:proofErr w:type="spellEnd"/>
      <w:r>
        <w:rPr>
          <w:sz w:val="20"/>
          <w:szCs w:val="20"/>
          <w:rtl/>
        </w:rPr>
        <w:t xml:space="preserve">” מסיון תשי״ד. השווה גם “פאר הדור” ח״א, עמ׳ </w:t>
      </w:r>
      <w:proofErr w:type="spellStart"/>
      <w:r>
        <w:rPr>
          <w:sz w:val="20"/>
          <w:szCs w:val="20"/>
          <w:rtl/>
        </w:rPr>
        <w:t>רנב</w:t>
      </w:r>
      <w:proofErr w:type="spellEnd"/>
      <w:r>
        <w:rPr>
          <w:sz w:val="20"/>
          <w:szCs w:val="20"/>
          <w:rtl/>
        </w:rPr>
        <w:t xml:space="preserve">, המצטט </w:t>
      </w:r>
      <w:proofErr w:type="spellStart"/>
      <w:r>
        <w:rPr>
          <w:sz w:val="20"/>
          <w:szCs w:val="20"/>
          <w:rtl/>
        </w:rPr>
        <w:t>מ“קובץ</w:t>
      </w:r>
      <w:proofErr w:type="spellEnd"/>
      <w:r>
        <w:rPr>
          <w:sz w:val="20"/>
          <w:szCs w:val="20"/>
          <w:rtl/>
        </w:rPr>
        <w:t xml:space="preserve"> אגרות” ח״א, </w:t>
      </w:r>
      <w:proofErr w:type="spellStart"/>
      <w:r>
        <w:rPr>
          <w:sz w:val="20"/>
          <w:szCs w:val="20"/>
          <w:rtl/>
        </w:rPr>
        <w:t>קנד</w:t>
      </w:r>
      <w:proofErr w:type="spellEnd"/>
      <w:r>
        <w:rPr>
          <w:sz w:val="20"/>
          <w:szCs w:val="20"/>
          <w:rtl/>
        </w:rPr>
        <w:t xml:space="preserve">, מכתב שכתב </w:t>
      </w:r>
      <w:proofErr w:type="spellStart"/>
      <w:r>
        <w:rPr>
          <w:sz w:val="20"/>
          <w:szCs w:val="20"/>
          <w:rtl/>
        </w:rPr>
        <w:t>החזון־איש</w:t>
      </w:r>
      <w:proofErr w:type="spellEnd"/>
      <w:r>
        <w:rPr>
          <w:sz w:val="20"/>
          <w:szCs w:val="20"/>
          <w:rtl/>
        </w:rPr>
        <w:t xml:space="preserve"> בחשון תרצ״ט: “ואני נמצאתי הרבה עם הסבא ז״ל </w:t>
      </w:r>
      <w:proofErr w:type="spellStart"/>
      <w:r>
        <w:rPr>
          <w:sz w:val="20"/>
          <w:szCs w:val="20"/>
          <w:rtl/>
        </w:rPr>
        <w:t>מסלבדקא</w:t>
      </w:r>
      <w:proofErr w:type="spellEnd"/>
      <w:r>
        <w:rPr>
          <w:sz w:val="20"/>
          <w:szCs w:val="20"/>
          <w:rtl/>
        </w:rPr>
        <w:t xml:space="preserve"> ועם הסבא ז״ל [כך במקור] ממיר ועם גדולי </w:t>
      </w:r>
      <w:proofErr w:type="spellStart"/>
      <w:r>
        <w:rPr>
          <w:sz w:val="20"/>
          <w:szCs w:val="20"/>
          <w:rtl/>
        </w:rPr>
        <w:t>תלמידיהון</w:t>
      </w:r>
      <w:proofErr w:type="spellEnd"/>
      <w:r>
        <w:rPr>
          <w:sz w:val="20"/>
          <w:szCs w:val="20"/>
          <w:rtl/>
        </w:rPr>
        <w:t xml:space="preserve"> שיחיו וגם עם גדולי </w:t>
      </w:r>
      <w:proofErr w:type="spellStart"/>
      <w:r>
        <w:rPr>
          <w:sz w:val="20"/>
          <w:szCs w:val="20"/>
          <w:rtl/>
        </w:rPr>
        <w:t>הנורדקאים</w:t>
      </w:r>
      <w:proofErr w:type="spellEnd"/>
      <w:r>
        <w:rPr>
          <w:sz w:val="20"/>
          <w:szCs w:val="20"/>
          <w:rtl/>
        </w:rPr>
        <w:t xml:space="preserve"> ותמיד </w:t>
      </w:r>
      <w:proofErr w:type="spellStart"/>
      <w:r>
        <w:rPr>
          <w:sz w:val="20"/>
          <w:szCs w:val="20"/>
          <w:rtl/>
        </w:rPr>
        <w:t>היתה</w:t>
      </w:r>
      <w:proofErr w:type="spellEnd"/>
      <w:r>
        <w:rPr>
          <w:sz w:val="20"/>
          <w:szCs w:val="20"/>
          <w:rtl/>
        </w:rPr>
        <w:t xml:space="preserve"> שרוי’ בינינו אהבה בלי מצרים והיו מסורים אלי בכל לב, ומעולם לא נמנעתי להזכיר בקורת בחריפות והם התענגו על זה (כי מטבע החכמים להתענג על מיתיבי יותר </w:t>
      </w:r>
      <w:proofErr w:type="spellStart"/>
      <w:r>
        <w:rPr>
          <w:sz w:val="20"/>
          <w:szCs w:val="20"/>
          <w:rtl/>
        </w:rPr>
        <w:t>מתניא</w:t>
      </w:r>
      <w:proofErr w:type="spellEnd"/>
      <w:r>
        <w:rPr>
          <w:sz w:val="20"/>
          <w:szCs w:val="20"/>
          <w:rtl/>
        </w:rPr>
        <w:t xml:space="preserve"> נמי הכי כמו שאמר ר״י </w:t>
      </w:r>
      <w:proofErr w:type="spellStart"/>
      <w:r>
        <w:rPr>
          <w:sz w:val="20"/>
          <w:szCs w:val="20"/>
          <w:rtl/>
        </w:rPr>
        <w:t>בב״מ</w:t>
      </w:r>
      <w:proofErr w:type="spellEnd"/>
      <w:r>
        <w:rPr>
          <w:sz w:val="20"/>
          <w:szCs w:val="20"/>
          <w:rtl/>
        </w:rPr>
        <w:t xml:space="preserve"> [סוף דף פ״ד ע״א]) וגם אני מתענג עליהם, ובפרט על הישיבות הצמודות בתורה ויראה ולא </w:t>
      </w:r>
      <w:proofErr w:type="spellStart"/>
      <w:r>
        <w:rPr>
          <w:sz w:val="20"/>
          <w:szCs w:val="20"/>
          <w:rtl/>
        </w:rPr>
        <w:t>יפרדו</w:t>
      </w:r>
      <w:proofErr w:type="spellEnd"/>
      <w:r>
        <w:rPr>
          <w:sz w:val="20"/>
          <w:szCs w:val="20"/>
          <w:rtl/>
        </w:rPr>
        <w:t>.”</w:t>
      </w:r>
    </w:p>
  </w:footnote>
  <w:footnote w:id="2070">
    <w:p w14:paraId="40AD9D9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הערת השוליים </w:t>
      </w:r>
      <w:r>
        <w:rPr>
          <w:rStyle w:val="a5"/>
          <w:sz w:val="20"/>
          <w:szCs w:val="20"/>
          <w:vertAlign w:val="baseline"/>
          <w:rtl/>
        </w:rPr>
        <w:fldChar w:fldCharType="begin" w:dirty="true"/>
      </w:r>
      <w:r>
        <w:rPr>
          <w:rStyle w:val="a5"/>
          <w:sz w:val="20"/>
          <w:szCs w:val="20"/>
          <w:vertAlign w:val="baseline"/>
          <w:rtl/>
        </w:rPr>
        <w:instrText xml:space="preserve"> NOTEREF pr_f_2233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1279</w:t>
      </w:r>
      <w:r>
        <w:rPr>
          <w:rStyle w:val="a5"/>
          <w:sz w:val="20"/>
          <w:szCs w:val="20"/>
          <w:vertAlign w:val="baseline"/>
          <w:rtl/>
        </w:rPr>
        <w:fldChar w:fldCharType="end"/>
      </w:r>
      <w:r>
        <w:rPr>
          <w:rStyle w:val="a5"/>
          <w:sz w:val="20"/>
          <w:szCs w:val="20"/>
          <w:vertAlign w:val="baseline"/>
          <w:rtl/>
        </w:rPr>
        <w:t xml:space="preserve"> עמ׳ </w:t>
      </w:r>
      <w:r>
        <w:rPr>
          <w:rStyle w:val="a5"/>
          <w:sz w:val="20"/>
          <w:szCs w:val="20"/>
          <w:vertAlign w:val="baseline"/>
          <w:rtl/>
        </w:rPr>
        <w:fldChar w:fldCharType="begin" w:dirty="true"/>
      </w:r>
      <w:r>
        <w:rPr>
          <w:rStyle w:val="a5"/>
          <w:sz w:val="20"/>
          <w:szCs w:val="20"/>
          <w:vertAlign w:val="baseline"/>
          <w:rtl/>
        </w:rPr>
        <w:instrText xml:space="preserve"> PAGEREF pr_f_2233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 xml:space="preserve"> להלן</w:t>
      </w:r>
      <w:r>
        <w:rPr>
          <w:sz w:val="20"/>
          <w:szCs w:val="20"/>
          <w:rtl/>
        </w:rPr>
        <w:t>.</w:t>
      </w:r>
    </w:p>
  </w:footnote>
  <w:footnote w:id="2071">
    <w:p w14:paraId="5F83EBF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5, הפסקה השנייה של נספח ב.</w:t>
      </w:r>
    </w:p>
  </w:footnote>
  <w:footnote w:id="2072">
    <w:p w14:paraId="6301615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הפסקה השנייה של נספח ח לעיל.</w:t>
      </w:r>
    </w:p>
  </w:footnote>
  <w:footnote w:id="2073">
    <w:p w14:paraId="46FF256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למשל, את הגדרתו של ר׳ חיים לתפקידו של רב, המובאת בפרק 5, בסוף הפסקה התשיעית של נספח ו. ראה גם פרק 5, נספח י, ואת הערת השוליים </w:t>
      </w:r>
      <w:r>
        <w:rPr>
          <w:sz w:val="20"/>
          <w:szCs w:val="20"/>
          <w:rtl/>
        </w:rPr>
        <w:fldChar w:fldCharType="begin" w:dirty="true"/>
      </w:r>
      <w:r>
        <w:rPr>
          <w:sz w:val="20"/>
          <w:szCs w:val="20"/>
          <w:rtl/>
        </w:rPr>
        <w:instrText xml:space="preserve"> NOTEREF pr_f_5235 \h </w:instrText>
      </w:r>
      <w:r>
        <w:rPr>
          <w:sz w:val="20"/>
          <w:szCs w:val="20"/>
          <w:rtl/>
        </w:rPr>
      </w:r>
      <w:r>
        <w:rPr>
          <w:sz w:val="20"/>
          <w:szCs w:val="20"/>
          <w:rtl/>
        </w:rPr>
        <w:fldChar w:fldCharType="separate"/>
      </w:r>
      <w:r w:rsidR="007923E9">
        <w:rPr>
          <w:sz w:val="20"/>
          <w:szCs w:val="20"/>
          <w:rtl/>
        </w:rPr>
        <w:t>889</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pr_f_5235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בכרך זה. הסבא </w:t>
      </w:r>
      <w:proofErr w:type="spellStart"/>
      <w:r>
        <w:rPr>
          <w:sz w:val="20"/>
          <w:szCs w:val="20"/>
          <w:rtl/>
        </w:rPr>
        <w:t>מסלבודקה</w:t>
      </w:r>
      <w:proofErr w:type="spellEnd"/>
      <w:r>
        <w:rPr>
          <w:sz w:val="20"/>
          <w:szCs w:val="20"/>
          <w:rtl/>
        </w:rPr>
        <w:t xml:space="preserve"> ראה בר׳ חיים בעל מוסר, על אף חילופי הדברים הידועים בינו לבין ר׳ </w:t>
      </w:r>
      <w:proofErr w:type="spellStart"/>
      <w:r>
        <w:rPr>
          <w:sz w:val="20"/>
          <w:szCs w:val="20"/>
          <w:rtl/>
        </w:rPr>
        <w:t>איצל׳ה</w:t>
      </w:r>
      <w:proofErr w:type="spellEnd"/>
      <w:r>
        <w:rPr>
          <w:sz w:val="20"/>
          <w:szCs w:val="20"/>
          <w:rtl/>
        </w:rPr>
        <w:t xml:space="preserve"> </w:t>
      </w:r>
      <w:proofErr w:type="spellStart"/>
      <w:r>
        <w:rPr>
          <w:sz w:val="20"/>
          <w:szCs w:val="20"/>
          <w:rtl/>
        </w:rPr>
        <w:t>בלאזר</w:t>
      </w:r>
      <w:proofErr w:type="spellEnd"/>
      <w:r>
        <w:rPr>
          <w:sz w:val="20"/>
          <w:szCs w:val="20"/>
          <w:rtl/>
        </w:rPr>
        <w:t xml:space="preserve">, הנדונים בפרק 4, נספח ט (והשווה סוף הפסקה הראשונה של נספח י, ואת הפסקה השנייה של נספח </w:t>
      </w:r>
      <w:proofErr w:type="spellStart"/>
      <w:r>
        <w:rPr>
          <w:sz w:val="20"/>
          <w:szCs w:val="20"/>
          <w:rtl/>
        </w:rPr>
        <w:t>יב</w:t>
      </w:r>
      <w:proofErr w:type="spellEnd"/>
      <w:r>
        <w:rPr>
          <w:sz w:val="20"/>
          <w:szCs w:val="20"/>
          <w:rtl/>
        </w:rPr>
        <w:t xml:space="preserve"> לעיל).</w:t>
      </w:r>
    </w:p>
  </w:footnote>
  <w:footnote w:id="2074">
    <w:p w14:paraId="454BF85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49–50.</w:t>
      </w:r>
    </w:p>
  </w:footnote>
  <w:footnote w:id="2075">
    <w:p w14:paraId="0E8282A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סוף נספח כד להלן. אחת הדרכים שבהן אפשר שהיה ר׳ חיים מעורב היא באישור מעשהו של ר׳ </w:t>
      </w:r>
      <w:proofErr w:type="spellStart"/>
      <w:r>
        <w:rPr>
          <w:sz w:val="20"/>
          <w:szCs w:val="20"/>
          <w:rtl/>
        </w:rPr>
        <w:t>זלמן־סנדר</w:t>
      </w:r>
      <w:proofErr w:type="spellEnd"/>
      <w:r>
        <w:rPr>
          <w:sz w:val="20"/>
          <w:szCs w:val="20"/>
          <w:rtl/>
        </w:rPr>
        <w:t xml:space="preserve"> – ראה הערת שוליים </w:t>
      </w:r>
      <w:r>
        <w:rPr>
          <w:sz w:val="20"/>
          <w:szCs w:val="20"/>
          <w:rtl/>
        </w:rPr>
        <w:fldChar w:fldCharType="begin" w:dirty="true"/>
      </w:r>
      <w:r>
        <w:rPr>
          <w:sz w:val="20"/>
          <w:szCs w:val="20"/>
          <w:rtl/>
        </w:rPr>
        <w:instrText xml:space="preserve"> NOTEREF pr_f_1967 \h </w:instrText>
      </w:r>
      <w:r>
        <w:rPr>
          <w:sz w:val="20"/>
          <w:szCs w:val="20"/>
          <w:rtl/>
        </w:rPr>
      </w:r>
      <w:r>
        <w:rPr>
          <w:sz w:val="20"/>
          <w:szCs w:val="20"/>
          <w:rtl/>
        </w:rPr>
        <w:fldChar w:fldCharType="separate"/>
      </w:r>
      <w:r w:rsidR="007923E9">
        <w:rPr>
          <w:sz w:val="20"/>
          <w:szCs w:val="20"/>
          <w:rtl/>
        </w:rPr>
        <w:t>1013</w:t>
      </w:r>
      <w:r>
        <w:rPr>
          <w:sz w:val="20"/>
          <w:szCs w:val="20"/>
          <w:rtl/>
        </w:rPr>
        <w:fldChar w:fldCharType="end"/>
      </w:r>
      <w:r>
        <w:rPr>
          <w:sz w:val="20"/>
          <w:szCs w:val="20"/>
          <w:rtl/>
        </w:rPr>
        <w:t xml:space="preserve"> על </w:t>
      </w:r>
      <w:proofErr w:type="spellStart"/>
      <w:r>
        <w:rPr>
          <w:sz w:val="20"/>
          <w:szCs w:val="20"/>
          <w:rtl/>
        </w:rPr>
        <w:t>וולקוביסק</w:t>
      </w:r>
      <w:proofErr w:type="spellEnd"/>
      <w:r>
        <w:rPr>
          <w:sz w:val="20"/>
          <w:szCs w:val="20"/>
          <w:rtl/>
        </w:rPr>
        <w:t xml:space="preserve"> בעמ׳ </w:t>
      </w:r>
      <w:r>
        <w:rPr>
          <w:sz w:val="20"/>
          <w:szCs w:val="20"/>
          <w:rtl/>
        </w:rPr>
        <w:fldChar w:fldCharType="begin" w:dirty="true"/>
      </w:r>
      <w:r>
        <w:rPr>
          <w:sz w:val="20"/>
          <w:szCs w:val="20"/>
          <w:rtl/>
        </w:rPr>
        <w:instrText xml:space="preserve"> PAGEREF pr_f_1967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2076">
    <w:p w14:paraId="3FDB668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אנשי המוסר עצמם לא הגיבו בפומבי על ההתקפה עליהם, אבל במכתבים זה לזה הביעו את זעמם בלשון חריפה. השווה “פולמוס המוסר”, עמ׳ 157–158, ושם קטעים משתי שיחות של ר׳ </w:t>
      </w:r>
      <w:proofErr w:type="spellStart"/>
      <w:r>
        <w:rPr>
          <w:sz w:val="20"/>
          <w:szCs w:val="20"/>
          <w:rtl/>
        </w:rPr>
        <w:t>שמחה־זיסל</w:t>
      </w:r>
      <w:proofErr w:type="spellEnd"/>
      <w:r>
        <w:rPr>
          <w:sz w:val="20"/>
          <w:szCs w:val="20"/>
          <w:rtl/>
        </w:rPr>
        <w:t>, וכן את סוף נספח כד להלן.</w:t>
      </w:r>
    </w:p>
  </w:footnote>
  <w:footnote w:id="2077">
    <w:p w14:paraId="5EFA5BA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אחד מתשעה תלמידי חכמים מופלגים שהסכמותיהם הדפיס </w:t>
      </w:r>
      <w:proofErr w:type="spellStart"/>
      <w:r>
        <w:rPr>
          <w:sz w:val="20"/>
          <w:szCs w:val="20"/>
          <w:rtl/>
        </w:rPr>
        <w:t>החפץ־חיים</w:t>
      </w:r>
      <w:proofErr w:type="spellEnd"/>
      <w:r>
        <w:rPr>
          <w:sz w:val="20"/>
          <w:szCs w:val="20"/>
          <w:rtl/>
        </w:rPr>
        <w:t xml:space="preserve"> בספרו “ליקוטי הלכות”, ובהם גם ר׳ יוסל </w:t>
      </w:r>
      <w:proofErr w:type="spellStart"/>
      <w:r>
        <w:rPr>
          <w:sz w:val="20"/>
          <w:szCs w:val="20"/>
          <w:rtl/>
        </w:rPr>
        <w:t>שלופר</w:t>
      </w:r>
      <w:proofErr w:type="spellEnd"/>
      <w:r>
        <w:rPr>
          <w:sz w:val="20"/>
          <w:szCs w:val="20"/>
          <w:rtl/>
        </w:rPr>
        <w:t xml:space="preserve"> מסלונים, ר׳ חיים </w:t>
      </w:r>
      <w:proofErr w:type="spellStart"/>
      <w:r>
        <w:rPr>
          <w:sz w:val="20"/>
          <w:szCs w:val="20"/>
          <w:rtl/>
        </w:rPr>
        <w:t>סולובייצ׳יק</w:t>
      </w:r>
      <w:proofErr w:type="spellEnd"/>
      <w:r>
        <w:rPr>
          <w:sz w:val="20"/>
          <w:szCs w:val="20"/>
          <w:rtl/>
        </w:rPr>
        <w:t xml:space="preserve"> </w:t>
      </w:r>
      <w:proofErr w:type="spellStart"/>
      <w:r>
        <w:rPr>
          <w:sz w:val="20"/>
          <w:szCs w:val="20"/>
          <w:rtl/>
        </w:rPr>
        <w:t>מבריסק</w:t>
      </w:r>
      <w:proofErr w:type="spellEnd"/>
      <w:r>
        <w:rPr>
          <w:sz w:val="20"/>
          <w:szCs w:val="20"/>
          <w:rtl/>
        </w:rPr>
        <w:t xml:space="preserve"> ור׳ </w:t>
      </w:r>
      <w:proofErr w:type="spellStart"/>
      <w:r>
        <w:rPr>
          <w:sz w:val="20"/>
          <w:szCs w:val="20"/>
          <w:rtl/>
        </w:rPr>
        <w:t>בן־ציון</w:t>
      </w:r>
      <w:proofErr w:type="spellEnd"/>
      <w:r>
        <w:rPr>
          <w:sz w:val="20"/>
          <w:szCs w:val="20"/>
          <w:rtl/>
        </w:rPr>
        <w:t xml:space="preserve"> </w:t>
      </w:r>
      <w:proofErr w:type="spellStart"/>
      <w:r>
        <w:rPr>
          <w:sz w:val="20"/>
          <w:szCs w:val="20"/>
          <w:rtl/>
        </w:rPr>
        <w:t>שטרנפלד</w:t>
      </w:r>
      <w:proofErr w:type="spellEnd"/>
      <w:r>
        <w:rPr>
          <w:sz w:val="20"/>
          <w:szCs w:val="20"/>
          <w:rtl/>
        </w:rPr>
        <w:t xml:space="preserve"> </w:t>
      </w:r>
      <w:proofErr w:type="spellStart"/>
      <w:r>
        <w:rPr>
          <w:sz w:val="20"/>
          <w:szCs w:val="20"/>
          <w:rtl/>
        </w:rPr>
        <w:t>מבילסק</w:t>
      </w:r>
      <w:proofErr w:type="spellEnd"/>
      <w:r>
        <w:rPr>
          <w:sz w:val="20"/>
          <w:szCs w:val="20"/>
          <w:rtl/>
        </w:rPr>
        <w:t xml:space="preserve"> (נספח ח לעיל, ופרק 4, הערה 8).</w:t>
      </w:r>
    </w:p>
  </w:footnote>
  <w:footnote w:id="2078">
    <w:p w14:paraId="459A2DF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“פולמוס המוסר”, עמ׳ 144–146.</w:t>
      </w:r>
    </w:p>
  </w:footnote>
  <w:footnote w:id="2079">
    <w:p w14:paraId="46E24DF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המידע שבפסקה השנייה של נספח </w:t>
      </w:r>
      <w:proofErr w:type="spellStart"/>
      <w:r>
        <w:rPr>
          <w:sz w:val="20"/>
          <w:szCs w:val="20"/>
          <w:rtl/>
        </w:rPr>
        <w:t>כג</w:t>
      </w:r>
      <w:proofErr w:type="spellEnd"/>
      <w:r>
        <w:rPr>
          <w:sz w:val="20"/>
          <w:szCs w:val="20"/>
          <w:rtl/>
        </w:rPr>
        <w:t xml:space="preserve"> להלן.</w:t>
      </w:r>
    </w:p>
  </w:footnote>
  <w:footnote w:id="2080">
    <w:p w14:paraId="72D5285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ג לעיל – עמ׳ 87–91, 78 ו־60.</w:t>
      </w:r>
    </w:p>
  </w:footnote>
  <w:footnote w:id="2081">
    <w:p w14:paraId="767A3D6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בעמ׳ 78, שם.</w:t>
      </w:r>
    </w:p>
  </w:footnote>
  <w:footnote w:id="2082">
    <w:p w14:paraId="4A921BC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בעמ׳ 60, שם.</w:t>
      </w:r>
    </w:p>
  </w:footnote>
  <w:footnote w:id="2083">
    <w:p w14:paraId="6240F4F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מומלץ לקורא לעיין </w:t>
      </w:r>
      <w:proofErr w:type="spellStart"/>
      <w:r>
        <w:rPr>
          <w:sz w:val="20"/>
          <w:szCs w:val="20"/>
          <w:rtl/>
        </w:rPr>
        <w:t>ב“סדר</w:t>
      </w:r>
      <w:proofErr w:type="spellEnd"/>
      <w:r>
        <w:rPr>
          <w:sz w:val="20"/>
          <w:szCs w:val="20"/>
          <w:rtl/>
        </w:rPr>
        <w:t xml:space="preserve"> אליהו”, כדי לצייר לעצמו באיזו עניות חי רב גדול באותן שנים. אפילו כיסא פשוט לשבת עליו היה קשה להשיג! התמותה החוזרת ונשנית של ילדים בבית הרב – תשעה </w:t>
      </w:r>
      <w:proofErr w:type="spellStart"/>
      <w:r>
        <w:rPr>
          <w:sz w:val="20"/>
          <w:szCs w:val="20"/>
          <w:rtl/>
        </w:rPr>
        <w:t>משלושה־עשר</w:t>
      </w:r>
      <w:proofErr w:type="spellEnd"/>
      <w:r>
        <w:rPr>
          <w:sz w:val="20"/>
          <w:szCs w:val="20"/>
          <w:rtl/>
        </w:rPr>
        <w:t xml:space="preserve"> ילדיו מתו – עשויה הייתה לנבוע מתנאי התברואה הירודים </w:t>
      </w:r>
      <w:proofErr w:type="spellStart"/>
      <w:r>
        <w:rPr>
          <w:sz w:val="20"/>
          <w:szCs w:val="20"/>
          <w:rtl/>
        </w:rPr>
        <w:t>ומתת־התזונה</w:t>
      </w:r>
      <w:proofErr w:type="spellEnd"/>
      <w:r>
        <w:rPr>
          <w:sz w:val="20"/>
          <w:szCs w:val="20"/>
          <w:rtl/>
        </w:rPr>
        <w:t xml:space="preserve"> ששררו בביתו הדל.</w:t>
      </w:r>
    </w:p>
  </w:footnote>
  <w:footnote w:id="2084">
    <w:p w14:paraId="710286B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w:t>
      </w:r>
      <w:proofErr w:type="spellStart"/>
      <w:r>
        <w:rPr>
          <w:sz w:val="20"/>
          <w:szCs w:val="20"/>
          <w:rtl/>
        </w:rPr>
        <w:t>זכרון</w:t>
      </w:r>
      <w:proofErr w:type="spellEnd"/>
      <w:r>
        <w:rPr>
          <w:sz w:val="20"/>
          <w:szCs w:val="20"/>
          <w:rtl/>
        </w:rPr>
        <w:t xml:space="preserve"> יעקב” (נספח א לעיל), כרך ב, עמ׳ 176.</w:t>
      </w:r>
    </w:p>
  </w:footnote>
  <w:footnote w:id="2085">
    <w:p w14:paraId="08F7E6C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הכוונה הייתה שכהונה כרב בעיר עשירה כריגה תאפשר לו להשיאם.</w:t>
      </w:r>
    </w:p>
  </w:footnote>
  <w:footnote w:id="2086">
    <w:p w14:paraId="295D9D0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כתובות פ״ט משניות ב–ג: אין </w:t>
      </w:r>
      <w:proofErr w:type="spellStart"/>
      <w:r>
        <w:rPr>
          <w:sz w:val="20"/>
          <w:szCs w:val="20"/>
          <w:rtl/>
        </w:rPr>
        <w:t>מרחמין</w:t>
      </w:r>
      <w:proofErr w:type="spellEnd"/>
      <w:r>
        <w:rPr>
          <w:sz w:val="20"/>
          <w:szCs w:val="20"/>
          <w:rtl/>
        </w:rPr>
        <w:t xml:space="preserve"> בדין.</w:t>
      </w:r>
    </w:p>
  </w:footnote>
  <w:footnote w:id="2087">
    <w:p w14:paraId="075E515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לדברי ר׳ זכריה </w:t>
      </w:r>
      <w:proofErr w:type="spellStart"/>
      <w:r>
        <w:rPr>
          <w:sz w:val="20"/>
          <w:szCs w:val="20"/>
          <w:rtl/>
        </w:rPr>
        <w:t>שפרונג</w:t>
      </w:r>
      <w:proofErr w:type="spellEnd"/>
      <w:r>
        <w:rPr>
          <w:sz w:val="20"/>
          <w:szCs w:val="20"/>
          <w:rtl/>
        </w:rPr>
        <w:t xml:space="preserve">, ר׳ </w:t>
      </w:r>
      <w:proofErr w:type="spellStart"/>
      <w:r>
        <w:rPr>
          <w:sz w:val="20"/>
          <w:szCs w:val="20"/>
          <w:rtl/>
        </w:rPr>
        <w:t>אלעזר־מנחם־מן</w:t>
      </w:r>
      <w:proofErr w:type="spellEnd"/>
      <w:r>
        <w:rPr>
          <w:sz w:val="20"/>
          <w:szCs w:val="20"/>
          <w:rtl/>
        </w:rPr>
        <w:t xml:space="preserve"> שך ציטט הכרעה זו של ר׳ </w:t>
      </w:r>
      <w:proofErr w:type="spellStart"/>
      <w:r>
        <w:rPr>
          <w:sz w:val="20"/>
          <w:szCs w:val="20"/>
          <w:rtl/>
        </w:rPr>
        <w:t>יצחק־אלחנן</w:t>
      </w:r>
      <w:proofErr w:type="spellEnd"/>
      <w:r>
        <w:rPr>
          <w:sz w:val="20"/>
          <w:szCs w:val="20"/>
          <w:rtl/>
        </w:rPr>
        <w:t xml:space="preserve"> </w:t>
      </w:r>
      <w:proofErr w:type="spellStart"/>
      <w:r>
        <w:rPr>
          <w:sz w:val="20"/>
          <w:szCs w:val="20"/>
          <w:rtl/>
        </w:rPr>
        <w:t>ספקטור</w:t>
      </w:r>
      <w:proofErr w:type="spellEnd"/>
      <w:r>
        <w:rPr>
          <w:sz w:val="20"/>
          <w:szCs w:val="20"/>
          <w:rtl/>
        </w:rPr>
        <w:t xml:space="preserve"> כאשר בחר את מקבל הפרס השנתי של קרן אברהם הכהן, שניתן לכאורה על הצטיינות בלמדנות.</w:t>
      </w:r>
    </w:p>
  </w:footnote>
  <w:footnote w:id="2088">
    <w:p w14:paraId="48624B3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61.</w:t>
      </w:r>
    </w:p>
  </w:footnote>
  <w:footnote w:id="2089">
    <w:p w14:paraId="7DED79E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בהאשמה זו ייתכן שהתכוון </w:t>
      </w:r>
      <w:proofErr w:type="spellStart"/>
      <w:r>
        <w:rPr>
          <w:sz w:val="20"/>
          <w:szCs w:val="20"/>
          <w:rtl/>
        </w:rPr>
        <w:t>האדר״ת</w:t>
      </w:r>
      <w:proofErr w:type="spellEnd"/>
      <w:r>
        <w:rPr>
          <w:sz w:val="20"/>
          <w:szCs w:val="20"/>
          <w:rtl/>
        </w:rPr>
        <w:t xml:space="preserve"> לכך שכוונת ר׳ </w:t>
      </w:r>
      <w:proofErr w:type="spellStart"/>
      <w:r>
        <w:rPr>
          <w:sz w:val="20"/>
          <w:szCs w:val="20"/>
          <w:rtl/>
        </w:rPr>
        <w:t>יצחק־אלחנן</w:t>
      </w:r>
      <w:proofErr w:type="spellEnd"/>
      <w:r>
        <w:rPr>
          <w:sz w:val="20"/>
          <w:szCs w:val="20"/>
          <w:rtl/>
        </w:rPr>
        <w:t xml:space="preserve"> הייתה לרצות את מזכירו.</w:t>
      </w:r>
    </w:p>
  </w:footnote>
  <w:footnote w:id="2090">
    <w:p w14:paraId="1A6AF18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2, הפסקה העשרים וארבע בנספח א; ופרק 5, סוף הפסקה השנייה בנספח ב.</w:t>
      </w:r>
    </w:p>
  </w:footnote>
  <w:footnote w:id="2091">
    <w:p w14:paraId="13C0BB1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“סדר אליהו”, עמ׳ 89–90.</w:t>
      </w:r>
    </w:p>
  </w:footnote>
  <w:footnote w:id="2092">
    <w:p w14:paraId="63D5015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ב־12 בדצמבר 1997.</w:t>
      </w:r>
    </w:p>
  </w:footnote>
  <w:footnote w:id="2093">
    <w:p w14:paraId="7DA07C9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26 בנובמבר 1897.</w:t>
      </w:r>
    </w:p>
  </w:footnote>
  <w:footnote w:id="2094">
    <w:p w14:paraId="10D8392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הוא התגורר פעם במינסק – ראה תחילת נספח טו להלן.</w:t>
      </w:r>
    </w:p>
  </w:footnote>
  <w:footnote w:id="2095">
    <w:p w14:paraId="5215123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נספח טו להלן.</w:t>
      </w:r>
    </w:p>
  </w:footnote>
  <w:footnote w:id="2096">
    <w:p w14:paraId="0D679BC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“סדר אליהו”, עמ׳ 95.</w:t>
      </w:r>
    </w:p>
  </w:footnote>
  <w:footnote w:id="2097">
    <w:p w14:paraId="5AD0AB3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2, הערה 26.</w:t>
      </w:r>
    </w:p>
  </w:footnote>
  <w:footnote w:id="2098">
    <w:p w14:paraId="1245291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152.</w:t>
      </w:r>
    </w:p>
  </w:footnote>
  <w:footnote w:id="2099">
    <w:p w14:paraId="0246DFA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שם, הערה 224, ועמ׳ 237–238.</w:t>
      </w:r>
    </w:p>
  </w:footnote>
  <w:footnote w:id="2100">
    <w:p w14:paraId="73FDEFC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הוצאת ראובן מס, ירושלים, תשכ״ט, עמ׳ 80.</w:t>
      </w:r>
    </w:p>
  </w:footnote>
  <w:footnote w:id="2101">
    <w:p w14:paraId="6FE4089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ב“עלי</w:t>
      </w:r>
      <w:proofErr w:type="spellEnd"/>
      <w:r>
        <w:rPr>
          <w:sz w:val="20"/>
          <w:szCs w:val="20"/>
          <w:rtl/>
        </w:rPr>
        <w:t xml:space="preserve"> </w:t>
      </w:r>
      <w:proofErr w:type="spellStart"/>
      <w:r>
        <w:rPr>
          <w:sz w:val="20"/>
          <w:szCs w:val="20"/>
          <w:rtl/>
        </w:rPr>
        <w:t>חלדי</w:t>
      </w:r>
      <w:proofErr w:type="spellEnd"/>
      <w:r>
        <w:rPr>
          <w:sz w:val="20"/>
          <w:szCs w:val="20"/>
          <w:rtl/>
        </w:rPr>
        <w:t xml:space="preserve">” נאמר, שם, שר׳ מאיר עדיין היה במינסק בשנת תרנ״א. הדבר סותר את “הראשון לשושלת </w:t>
      </w:r>
      <w:proofErr w:type="spellStart"/>
      <w:r>
        <w:rPr>
          <w:sz w:val="20"/>
          <w:szCs w:val="20"/>
          <w:rtl/>
        </w:rPr>
        <w:t>בריסק</w:t>
      </w:r>
      <w:proofErr w:type="spellEnd"/>
      <w:r>
        <w:rPr>
          <w:sz w:val="20"/>
          <w:szCs w:val="20"/>
          <w:rtl/>
        </w:rPr>
        <w:t xml:space="preserve">”, הערה 224, הטוען שעזב את מינסק בשנת </w:t>
      </w:r>
      <w:proofErr w:type="spellStart"/>
      <w:r>
        <w:rPr>
          <w:sz w:val="20"/>
          <w:szCs w:val="20"/>
          <w:rtl/>
        </w:rPr>
        <w:t>תר״ן</w:t>
      </w:r>
      <w:proofErr w:type="spellEnd"/>
      <w:r>
        <w:rPr>
          <w:sz w:val="20"/>
          <w:szCs w:val="20"/>
          <w:rtl/>
        </w:rPr>
        <w:t xml:space="preserve">. כמה מן הפרטים שלעיל מופיעים </w:t>
      </w:r>
      <w:proofErr w:type="spellStart"/>
      <w:r>
        <w:rPr>
          <w:sz w:val="20"/>
          <w:szCs w:val="20"/>
          <w:rtl/>
        </w:rPr>
        <w:t>ב“פנקס</w:t>
      </w:r>
      <w:proofErr w:type="spellEnd"/>
      <w:r>
        <w:rPr>
          <w:sz w:val="20"/>
          <w:szCs w:val="20"/>
          <w:rtl/>
        </w:rPr>
        <w:t xml:space="preserve"> </w:t>
      </w:r>
      <w:proofErr w:type="spellStart"/>
      <w:r>
        <w:rPr>
          <w:sz w:val="20"/>
          <w:szCs w:val="20"/>
          <w:rtl/>
        </w:rPr>
        <w:t>סלוצק</w:t>
      </w:r>
      <w:proofErr w:type="spellEnd"/>
      <w:r>
        <w:rPr>
          <w:sz w:val="20"/>
          <w:szCs w:val="20"/>
          <w:rtl/>
        </w:rPr>
        <w:t>” (שם, פרק 1, הפסקה השנייה בנספח ד), עמ׳ 38 ו־87.</w:t>
      </w:r>
    </w:p>
  </w:footnote>
  <w:footnote w:id="2102">
    <w:p w14:paraId="1A2AB09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ב־12 ביולי 1991.</w:t>
      </w:r>
    </w:p>
  </w:footnote>
  <w:footnote w:id="2103">
    <w:p w14:paraId="72C691E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כדוגמה הראה לי המרואיין שר׳ </w:t>
      </w:r>
      <w:proofErr w:type="spellStart"/>
      <w:r>
        <w:rPr>
          <w:sz w:val="20"/>
          <w:szCs w:val="20"/>
          <w:rtl/>
        </w:rPr>
        <w:t>יענקל־דוד</w:t>
      </w:r>
      <w:proofErr w:type="spellEnd"/>
      <w:r>
        <w:rPr>
          <w:sz w:val="20"/>
          <w:szCs w:val="20"/>
          <w:rtl/>
        </w:rPr>
        <w:t xml:space="preserve"> מצטט בהקדמה </w:t>
      </w:r>
      <w:proofErr w:type="spellStart"/>
      <w:r>
        <w:rPr>
          <w:sz w:val="20"/>
          <w:szCs w:val="20"/>
          <w:rtl/>
        </w:rPr>
        <w:t>ל“פאת</w:t>
      </w:r>
      <w:proofErr w:type="spellEnd"/>
      <w:r>
        <w:rPr>
          <w:sz w:val="20"/>
          <w:szCs w:val="20"/>
          <w:rtl/>
        </w:rPr>
        <w:t xml:space="preserve"> השולחן” דברי זוהר, שלפיהם היהודים החוטאים יתייצבו לצד הגויים במלחמה האחרונה נגד יהודי ארץ ישראל – מלחמת גוג ומגוג. המרואיין, שנפטר </w:t>
      </w:r>
      <w:proofErr w:type="spellStart"/>
      <w:r>
        <w:rPr>
          <w:sz w:val="20"/>
          <w:szCs w:val="20"/>
          <w:rtl/>
        </w:rPr>
        <w:t>בתשנ״ד</w:t>
      </w:r>
      <w:proofErr w:type="spellEnd"/>
      <w:r>
        <w:rPr>
          <w:sz w:val="20"/>
          <w:szCs w:val="20"/>
          <w:rtl/>
        </w:rPr>
        <w:t xml:space="preserve">, ראה ברעיון שיהודים שאינם דתיים יתייצבו לצד אויבי עמנו קנאות; ייתכן שהיה חושב אחרת אילו האריך ימים עוד כמה שנים. בהקדמת ספרו “שו״ת בית </w:t>
      </w:r>
      <w:proofErr w:type="spellStart"/>
      <w:r>
        <w:rPr>
          <w:sz w:val="20"/>
          <w:szCs w:val="20"/>
          <w:rtl/>
        </w:rPr>
        <w:t>רידב״ז</w:t>
      </w:r>
      <w:proofErr w:type="spellEnd"/>
      <w:r>
        <w:rPr>
          <w:sz w:val="20"/>
          <w:szCs w:val="20"/>
          <w:rtl/>
        </w:rPr>
        <w:t xml:space="preserve">” (ירושלים, תרס״ח) מתאר ר׳ </w:t>
      </w:r>
      <w:proofErr w:type="spellStart"/>
      <w:r>
        <w:rPr>
          <w:sz w:val="20"/>
          <w:szCs w:val="20"/>
          <w:rtl/>
        </w:rPr>
        <w:t>יענקל־דוד</w:t>
      </w:r>
      <w:proofErr w:type="spellEnd"/>
      <w:r>
        <w:rPr>
          <w:sz w:val="20"/>
          <w:szCs w:val="20"/>
          <w:rtl/>
        </w:rPr>
        <w:t xml:space="preserve"> את עצמו כך: “ואני מעודי הייתי בטבעי קנאי גדול, ובעת ראיתי שעמודי היהדות מתרופפת ורוח הקרירות מנשבת </w:t>
      </w:r>
      <w:proofErr w:type="spellStart"/>
      <w:r>
        <w:rPr>
          <w:sz w:val="20"/>
          <w:szCs w:val="20"/>
          <w:rtl/>
        </w:rPr>
        <w:t>באהלי</w:t>
      </w:r>
      <w:proofErr w:type="spellEnd"/>
      <w:r>
        <w:rPr>
          <w:sz w:val="20"/>
          <w:szCs w:val="20"/>
          <w:rtl/>
        </w:rPr>
        <w:t xml:space="preserve"> ישראל לא יכולתי להתאפק ויצאתי ברוח הקנאה בכל כחי ומובן מאליו את גודל הנחת רוח שהי׳ לי בעולמי, אך </w:t>
      </w:r>
      <w:proofErr w:type="spellStart"/>
      <w:r>
        <w:rPr>
          <w:sz w:val="20"/>
          <w:szCs w:val="20"/>
          <w:rtl/>
        </w:rPr>
        <w:t>עכ״ז</w:t>
      </w:r>
      <w:proofErr w:type="spellEnd"/>
      <w:r>
        <w:rPr>
          <w:sz w:val="20"/>
          <w:szCs w:val="20"/>
          <w:rtl/>
        </w:rPr>
        <w:t xml:space="preserve"> לא התאפקתי כי לא אוכל </w:t>
      </w:r>
      <w:proofErr w:type="spellStart"/>
      <w:r>
        <w:rPr>
          <w:sz w:val="20"/>
          <w:szCs w:val="20"/>
          <w:rtl/>
        </w:rPr>
        <w:t>בשו״א</w:t>
      </w:r>
      <w:proofErr w:type="spellEnd"/>
      <w:r>
        <w:rPr>
          <w:sz w:val="20"/>
          <w:szCs w:val="20"/>
          <w:rtl/>
        </w:rPr>
        <w:t xml:space="preserve"> להתאפק ותחתי ארגז”.</w:t>
      </w:r>
    </w:p>
  </w:footnote>
  <w:footnote w:id="2104">
    <w:p w14:paraId="46D882C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הסברה שר׳ </w:t>
      </w:r>
      <w:proofErr w:type="spellStart"/>
      <w:r>
        <w:rPr>
          <w:sz w:val="20"/>
          <w:szCs w:val="20"/>
          <w:rtl/>
        </w:rPr>
        <w:t>יענקל־דוד</w:t>
      </w:r>
      <w:proofErr w:type="spellEnd"/>
      <w:r>
        <w:rPr>
          <w:sz w:val="20"/>
          <w:szCs w:val="20"/>
          <w:rtl/>
        </w:rPr>
        <w:t xml:space="preserve"> פתח ישיבה כדי לצבור יתרון במאבקו עם ר׳ מאיר ניתנת לערעור. כעבור עשר שנים, כשכבר היה בשיקגו, כתב ר׳ </w:t>
      </w:r>
      <w:proofErr w:type="spellStart"/>
      <w:r>
        <w:rPr>
          <w:sz w:val="20"/>
          <w:szCs w:val="20"/>
          <w:rtl/>
        </w:rPr>
        <w:t>יענקל־דוד</w:t>
      </w:r>
      <w:proofErr w:type="spellEnd"/>
      <w:r>
        <w:rPr>
          <w:sz w:val="20"/>
          <w:szCs w:val="20"/>
          <w:rtl/>
        </w:rPr>
        <w:t xml:space="preserve"> הקדמה </w:t>
      </w:r>
      <w:proofErr w:type="spellStart"/>
      <w:r>
        <w:rPr>
          <w:sz w:val="20"/>
          <w:szCs w:val="20"/>
          <w:rtl/>
        </w:rPr>
        <w:t>ל“נימוקי</w:t>
      </w:r>
      <w:proofErr w:type="spellEnd"/>
      <w:r>
        <w:rPr>
          <w:sz w:val="20"/>
          <w:szCs w:val="20"/>
          <w:rtl/>
        </w:rPr>
        <w:t xml:space="preserve"> </w:t>
      </w:r>
      <w:proofErr w:type="spellStart"/>
      <w:r>
        <w:rPr>
          <w:sz w:val="20"/>
          <w:szCs w:val="20"/>
          <w:rtl/>
        </w:rPr>
        <w:t>הרידב״ז</w:t>
      </w:r>
      <w:proofErr w:type="spellEnd"/>
      <w:r>
        <w:rPr>
          <w:sz w:val="20"/>
          <w:szCs w:val="20"/>
          <w:rtl/>
        </w:rPr>
        <w:t xml:space="preserve">” – הנזכר לעיל, בהערת שוליים </w:t>
      </w:r>
      <w:r>
        <w:rPr>
          <w:sz w:val="20"/>
          <w:szCs w:val="20"/>
          <w:rtl/>
        </w:rPr>
        <w:fldChar w:fldCharType="begin" w:dirty="true"/>
      </w:r>
      <w:r>
        <w:rPr>
          <w:sz w:val="20"/>
          <w:szCs w:val="20"/>
          <w:rtl/>
        </w:rPr>
        <w:instrText xml:space="preserve"> NOTEREF pr_f_649 \h </w:instrText>
      </w:r>
      <w:r>
        <w:rPr>
          <w:sz w:val="20"/>
          <w:szCs w:val="20"/>
          <w:rtl/>
        </w:rPr>
      </w:r>
      <w:r>
        <w:rPr>
          <w:sz w:val="20"/>
          <w:szCs w:val="20"/>
          <w:rtl/>
        </w:rPr>
        <w:fldChar w:fldCharType="separate"/>
      </w:r>
      <w:r w:rsidR="007923E9">
        <w:rPr>
          <w:sz w:val="20"/>
          <w:szCs w:val="20"/>
          <w:rtl/>
        </w:rPr>
        <w:t>280</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pr_f_649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 ובה תיאר את מצוקתם של יהודי אמריקה, ודן באריכות בבעיות שמירת השבת, הכשרות, הנישואין והגירושין, ובעיתוני היידיש הלועגים לערכי הדת.</w:t>
      </w:r>
    </w:p>
    <w:p w14:paraId="7B1E75FE" w14:textId="77777777" w:rsidR="00AB3647" w:rsidRDefault="00000000">
      <w:pPr>
        <w:spacing w:after="0" w:before="0"/>
        <w:jc w:val="both"/>
      </w:pPr>
      <w:r>
        <w:rPr>
          <w:sz w:val="20"/>
          <w:szCs w:val="20"/>
          <w:rtl/>
        </w:rPr>
        <w:t xml:space="preserve">אבל את תוכחתו בת תשעת העמודים פותח ר׳ </w:t>
      </w:r>
      <w:proofErr w:type="spellStart"/>
      <w:r>
        <w:rPr>
          <w:sz w:val="20"/>
          <w:szCs w:val="20"/>
          <w:rtl/>
        </w:rPr>
        <w:t>יענקל־דוד</w:t>
      </w:r>
      <w:proofErr w:type="spellEnd"/>
      <w:r>
        <w:rPr>
          <w:sz w:val="20"/>
          <w:szCs w:val="20"/>
          <w:rtl/>
        </w:rPr>
        <w:t xml:space="preserve"> ומסיים בנושא החינוך, וחותם בקריאה: “</w:t>
      </w:r>
      <w:proofErr w:type="spellStart"/>
      <w:r>
        <w:rPr>
          <w:sz w:val="20"/>
          <w:szCs w:val="20"/>
          <w:rtl/>
        </w:rPr>
        <w:t>ובעו״ה</w:t>
      </w:r>
      <w:proofErr w:type="spellEnd"/>
      <w:r>
        <w:rPr>
          <w:sz w:val="20"/>
          <w:szCs w:val="20"/>
          <w:rtl/>
        </w:rPr>
        <w:t xml:space="preserve"> עינינו ראות </w:t>
      </w:r>
      <w:proofErr w:type="spellStart"/>
      <w:r>
        <w:rPr>
          <w:sz w:val="20"/>
          <w:szCs w:val="20"/>
          <w:rtl/>
        </w:rPr>
        <w:t>דהפולנים</w:t>
      </w:r>
      <w:proofErr w:type="spellEnd"/>
      <w:r>
        <w:rPr>
          <w:sz w:val="20"/>
          <w:szCs w:val="20"/>
          <w:rtl/>
        </w:rPr>
        <w:t xml:space="preserve"> [הקתולים] הבאו לארץ הזאת עשו כן ויחדו בתי ספר לבניהם </w:t>
      </w:r>
      <w:proofErr w:type="spellStart"/>
      <w:r>
        <w:rPr>
          <w:sz w:val="20"/>
          <w:szCs w:val="20"/>
          <w:rtl/>
        </w:rPr>
        <w:t>בטשאטשעס</w:t>
      </w:r>
      <w:proofErr w:type="spellEnd"/>
      <w:r>
        <w:rPr>
          <w:sz w:val="20"/>
          <w:szCs w:val="20"/>
          <w:rtl/>
        </w:rPr>
        <w:t xml:space="preserve"> שלהם למען שלא יתקלקלו דתם... אחי ועמי אין אני רואה שום תרופה לשבר בת עמי אם לא בדרך הזה ואליכם בע״ב החרידים לדבר ד׳ ובעלי תורה ולאחי הרבנים הגדולים בתורה וביראת ד׳ אשים דברתי עורו נא משנתכם הקיצו נא מתרדמותיכם והביטו וראו אם יש מכאוב כמכאובינו בכל יום ויום המרחק בינינו לבין אבינו שבשמים הולך וגדול. ואם לא עתה כ״ז שהדור הישן [של המהגרים] חי על האדמה אימתי ח״ו שלא </w:t>
      </w:r>
      <w:proofErr w:type="spellStart"/>
      <w:r>
        <w:rPr>
          <w:sz w:val="20"/>
          <w:szCs w:val="20"/>
          <w:rtl/>
        </w:rPr>
        <w:t>ישאר</w:t>
      </w:r>
      <w:proofErr w:type="spellEnd"/>
      <w:r>
        <w:rPr>
          <w:sz w:val="20"/>
          <w:szCs w:val="20"/>
          <w:rtl/>
        </w:rPr>
        <w:t xml:space="preserve"> יהודי בדור הבא אחרינו, קומו נא עורו נא והגידו צדקתכם לעם נולד ועשו </w:t>
      </w:r>
      <w:proofErr w:type="spellStart"/>
      <w:r>
        <w:rPr>
          <w:sz w:val="20"/>
          <w:szCs w:val="20"/>
          <w:rtl/>
        </w:rPr>
        <w:t>לכה״פ</w:t>
      </w:r>
      <w:proofErr w:type="spellEnd"/>
      <w:r>
        <w:rPr>
          <w:sz w:val="20"/>
          <w:szCs w:val="20"/>
          <w:rtl/>
        </w:rPr>
        <w:t xml:space="preserve"> כמתוקנים שבאומות”.</w:t>
      </w:r>
    </w:p>
    <w:p w14:paraId="5AA17FB7" w14:textId="77777777" w:rsidR="00AB3647" w:rsidRDefault="00000000">
      <w:pPr>
        <w:spacing w:after="0" w:before="0"/>
        <w:jc w:val="both"/>
      </w:pPr>
      <w:r>
        <w:rPr>
          <w:sz w:val="20"/>
          <w:szCs w:val="20"/>
          <w:rtl/>
        </w:rPr>
        <w:t xml:space="preserve">קריאת אזעקה זו, שהקדימה את זמנה, מדגימה היטב את החשיבות העליונה שייחס ר׳ </w:t>
      </w:r>
      <w:proofErr w:type="spellStart"/>
      <w:r>
        <w:rPr>
          <w:sz w:val="20"/>
          <w:szCs w:val="20"/>
          <w:rtl/>
        </w:rPr>
        <w:t>יענקל־דוד</w:t>
      </w:r>
      <w:proofErr w:type="spellEnd"/>
      <w:r>
        <w:rPr>
          <w:sz w:val="20"/>
          <w:szCs w:val="20"/>
          <w:rtl/>
        </w:rPr>
        <w:t xml:space="preserve"> לחינוך תורני, ודי היה בכך כדי להביאו להקים ישיבה בעירו. ראה גם תחילת הפסקה הבאה: ר׳ </w:t>
      </w:r>
      <w:proofErr w:type="spellStart"/>
      <w:r>
        <w:rPr>
          <w:sz w:val="20"/>
          <w:szCs w:val="20"/>
          <w:rtl/>
        </w:rPr>
        <w:t>יענקל־דוד</w:t>
      </w:r>
      <w:proofErr w:type="spellEnd"/>
      <w:r>
        <w:rPr>
          <w:sz w:val="20"/>
          <w:szCs w:val="20"/>
          <w:rtl/>
        </w:rPr>
        <w:t xml:space="preserve"> ניסה להביא את ישיבת </w:t>
      </w:r>
      <w:proofErr w:type="spellStart"/>
      <w:r>
        <w:rPr>
          <w:sz w:val="20"/>
          <w:szCs w:val="20"/>
          <w:rtl/>
        </w:rPr>
        <w:t>סלבודקה</w:t>
      </w:r>
      <w:proofErr w:type="spellEnd"/>
      <w:r>
        <w:rPr>
          <w:sz w:val="20"/>
          <w:szCs w:val="20"/>
          <w:rtl/>
        </w:rPr>
        <w:t xml:space="preserve"> </w:t>
      </w:r>
      <w:proofErr w:type="spellStart"/>
      <w:r>
        <w:rPr>
          <w:sz w:val="20"/>
          <w:szCs w:val="20"/>
          <w:rtl/>
        </w:rPr>
        <w:t>לסלוצק</w:t>
      </w:r>
      <w:proofErr w:type="spellEnd"/>
      <w:r>
        <w:rPr>
          <w:sz w:val="20"/>
          <w:szCs w:val="20"/>
          <w:rtl/>
        </w:rPr>
        <w:t xml:space="preserve"> עוד לפני תרנ״ז. מאחר שר׳ מאיר חזר </w:t>
      </w:r>
      <w:proofErr w:type="spellStart"/>
      <w:r>
        <w:rPr>
          <w:sz w:val="20"/>
          <w:szCs w:val="20"/>
          <w:rtl/>
        </w:rPr>
        <w:t>לסלוצק</w:t>
      </w:r>
      <w:proofErr w:type="spellEnd"/>
      <w:r>
        <w:rPr>
          <w:sz w:val="20"/>
          <w:szCs w:val="20"/>
          <w:rtl/>
        </w:rPr>
        <w:t xml:space="preserve"> </w:t>
      </w:r>
      <w:proofErr w:type="spellStart"/>
      <w:r>
        <w:rPr>
          <w:sz w:val="20"/>
          <w:szCs w:val="20"/>
          <w:rtl/>
        </w:rPr>
        <w:t>בתרנ״ה</w:t>
      </w:r>
      <w:proofErr w:type="spellEnd"/>
      <w:r>
        <w:rPr>
          <w:sz w:val="20"/>
          <w:szCs w:val="20"/>
          <w:rtl/>
        </w:rPr>
        <w:t xml:space="preserve">, סביר שהניסיון המוקדם התרחש לפני שאויביו של הרב </w:t>
      </w:r>
      <w:proofErr w:type="spellStart"/>
      <w:r>
        <w:rPr>
          <w:sz w:val="20"/>
          <w:szCs w:val="20"/>
          <w:rtl/>
        </w:rPr>
        <w:t>ווילובסקי</w:t>
      </w:r>
      <w:proofErr w:type="spellEnd"/>
      <w:r>
        <w:rPr>
          <w:sz w:val="20"/>
          <w:szCs w:val="20"/>
          <w:rtl/>
        </w:rPr>
        <w:t xml:space="preserve"> ארגנו את ההתנגדות לו, ונבע מפעילותו המסורה והנקייה מנגיעות למען החינוך התורני.</w:t>
      </w:r>
    </w:p>
  </w:footnote>
  <w:footnote w:id="2105">
    <w:p w14:paraId="00AD85C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“פולמוס המוסר”, עמ׳ 63–66 ו־74.</w:t>
      </w:r>
    </w:p>
  </w:footnote>
  <w:footnote w:id="2106">
    <w:p w14:paraId="1BF28F5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7.</w:t>
      </w:r>
    </w:p>
  </w:footnote>
  <w:footnote w:id="2107">
    <w:p w14:paraId="4370F6B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“לב איברא” (נספח י לעיל).</w:t>
      </w:r>
    </w:p>
  </w:footnote>
  <w:footnote w:id="2108">
    <w:p w14:paraId="5FB572C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40.</w:t>
      </w:r>
    </w:p>
  </w:footnote>
  <w:footnote w:id="2109">
    <w:p w14:paraId="4F0034F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הפסקה הראשונה בנספח א לעיל, עמ׳ </w:t>
      </w:r>
      <w:proofErr w:type="spellStart"/>
      <w:r>
        <w:rPr>
          <w:sz w:val="20"/>
          <w:szCs w:val="20"/>
          <w:rtl/>
        </w:rPr>
        <w:t>רס</w:t>
      </w:r>
      <w:proofErr w:type="spellEnd"/>
      <w:r>
        <w:rPr>
          <w:sz w:val="20"/>
          <w:szCs w:val="20"/>
          <w:rtl/>
        </w:rPr>
        <w:t>–</w:t>
      </w:r>
      <w:proofErr w:type="spellStart"/>
      <w:r>
        <w:rPr>
          <w:sz w:val="20"/>
          <w:szCs w:val="20"/>
          <w:rtl/>
        </w:rPr>
        <w:t>רסא</w:t>
      </w:r>
      <w:proofErr w:type="spellEnd"/>
      <w:r>
        <w:rPr>
          <w:sz w:val="20"/>
          <w:szCs w:val="20"/>
          <w:rtl/>
        </w:rPr>
        <w:t>.</w:t>
      </w:r>
    </w:p>
  </w:footnote>
  <w:footnote w:id="2110">
    <w:p w14:paraId="55FD0CA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“פולמוס המוסר”, עמ׳ 257, טועה בהניחו שהישיבה החדשה הוקמה בגלל התנגדותם של כמה תלמידים לדרך המוסר בישיבתו של ר׳ </w:t>
      </w:r>
      <w:proofErr w:type="spellStart"/>
      <w:r>
        <w:rPr>
          <w:sz w:val="20"/>
          <w:szCs w:val="20"/>
          <w:rtl/>
        </w:rPr>
        <w:t>איסר־זלמן</w:t>
      </w:r>
      <w:proofErr w:type="spellEnd"/>
      <w:r>
        <w:rPr>
          <w:sz w:val="20"/>
          <w:szCs w:val="20"/>
          <w:rtl/>
        </w:rPr>
        <w:t xml:space="preserve">. בני משפחת </w:t>
      </w:r>
      <w:proofErr w:type="spellStart"/>
      <w:r>
        <w:rPr>
          <w:sz w:val="20"/>
          <w:szCs w:val="20"/>
          <w:rtl/>
        </w:rPr>
        <w:t>פיימר</w:t>
      </w:r>
      <w:proofErr w:type="spellEnd"/>
      <w:r>
        <w:rPr>
          <w:sz w:val="20"/>
          <w:szCs w:val="20"/>
          <w:rtl/>
        </w:rPr>
        <w:t xml:space="preserve"> רק ניצלו את רצונם של כמה תלמידים בלימודים כלליים כדי להקים מוסד משלהם.</w:t>
      </w:r>
    </w:p>
  </w:footnote>
  <w:footnote w:id="2111">
    <w:p w14:paraId="67DB0E2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10 לעיל, ופרק 5, סוף הפסקה השנייה בנספח ב.</w:t>
      </w:r>
    </w:p>
  </w:footnote>
  <w:footnote w:id="2112">
    <w:p w14:paraId="59B9C8F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הפסקה הראשונה בנספח </w:t>
      </w:r>
      <w:proofErr w:type="spellStart"/>
      <w:r>
        <w:rPr>
          <w:sz w:val="20"/>
          <w:szCs w:val="20"/>
          <w:rtl/>
        </w:rPr>
        <w:t>יח</w:t>
      </w:r>
      <w:proofErr w:type="spellEnd"/>
      <w:r>
        <w:rPr>
          <w:sz w:val="20"/>
          <w:szCs w:val="20"/>
          <w:rtl/>
        </w:rPr>
        <w:t xml:space="preserve"> להלן. השווה גם נספח יא לעיל: ר׳ חיים התייצב לימינו של יורש שהדין עמו </w:t>
      </w:r>
      <w:proofErr w:type="spellStart"/>
      <w:r>
        <w:rPr>
          <w:sz w:val="20"/>
          <w:szCs w:val="20"/>
          <w:rtl/>
        </w:rPr>
        <w:t>לכסא</w:t>
      </w:r>
      <w:proofErr w:type="spellEnd"/>
      <w:r>
        <w:rPr>
          <w:sz w:val="20"/>
          <w:szCs w:val="20"/>
          <w:rtl/>
        </w:rPr>
        <w:t xml:space="preserve"> רבנות, כנגד קרובו שלו; ובוודאי היה עומד לצד קרובו אילו היה הדבר מוצדק!</w:t>
      </w:r>
    </w:p>
  </w:footnote>
  <w:footnote w:id="2113">
    <w:p w14:paraId="475EFEA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רש״י, בראשית א, </w:t>
      </w:r>
      <w:proofErr w:type="spellStart"/>
      <w:r>
        <w:rPr>
          <w:sz w:val="20"/>
          <w:szCs w:val="20"/>
          <w:rtl/>
        </w:rPr>
        <w:t>טז</w:t>
      </w:r>
      <w:proofErr w:type="spellEnd"/>
      <w:r>
        <w:rPr>
          <w:sz w:val="20"/>
          <w:szCs w:val="20"/>
          <w:rtl/>
        </w:rPr>
        <w:t>.</w:t>
      </w:r>
    </w:p>
  </w:footnote>
  <w:footnote w:id="2114">
    <w:p w14:paraId="225B0CA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ו לעיל, עמ׳ 10.</w:t>
      </w:r>
    </w:p>
  </w:footnote>
  <w:footnote w:id="2115">
    <w:p w14:paraId="1A00416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נספח א לעיל, ואת עמ׳ </w:t>
      </w:r>
      <w:r>
        <w:rPr>
          <w:sz w:val="20"/>
          <w:szCs w:val="20"/>
          <w:rtl/>
        </w:rPr>
        <w:fldChar w:fldCharType="begin" w:dirty="true"/>
      </w:r>
      <w:r>
        <w:rPr>
          <w:sz w:val="20"/>
          <w:szCs w:val="20"/>
          <w:rtl/>
        </w:rPr>
        <w:instrText xml:space="preserve"> PAGEREF pr_b_1315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להלן.</w:t>
      </w:r>
    </w:p>
  </w:footnote>
  <w:footnote w:id="2116">
    <w:p w14:paraId="16DAAA4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ז׳ בשבט תשל״ו.</w:t>
      </w:r>
    </w:p>
  </w:footnote>
  <w:footnote w:id="2117">
    <w:p w14:paraId="5DC2F15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6 לעיל – עמ׳ 85.</w:t>
      </w:r>
    </w:p>
  </w:footnote>
  <w:footnote w:id="2118">
    <w:p w14:paraId="1AB122A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למרות התחרות של ר׳ </w:t>
      </w:r>
      <w:proofErr w:type="spellStart"/>
      <w:r>
        <w:rPr>
          <w:sz w:val="20"/>
          <w:szCs w:val="20"/>
          <w:rtl/>
        </w:rPr>
        <w:t>איסר־זלמן</w:t>
      </w:r>
      <w:proofErr w:type="spellEnd"/>
      <w:r>
        <w:rPr>
          <w:sz w:val="20"/>
          <w:szCs w:val="20"/>
          <w:rtl/>
        </w:rPr>
        <w:t xml:space="preserve"> עם גיסו, כפי שבאה לידי ביטוי במשפט הראשון שבדברים אלה, צדקותו וטוהר לבו אפשרו לו להעניק בשנת תרס״ג </w:t>
      </w:r>
      <w:proofErr w:type="spellStart"/>
      <w:r>
        <w:rPr>
          <w:sz w:val="20"/>
          <w:szCs w:val="20"/>
          <w:rtl/>
        </w:rPr>
        <w:t>לר</w:t>
      </w:r>
      <w:proofErr w:type="spellEnd"/>
      <w:r>
        <w:rPr>
          <w:sz w:val="20"/>
          <w:szCs w:val="20"/>
          <w:rtl/>
        </w:rPr>
        <w:t xml:space="preserve">׳ </w:t>
      </w:r>
      <w:proofErr w:type="spellStart"/>
      <w:r>
        <w:rPr>
          <w:sz w:val="20"/>
          <w:szCs w:val="20"/>
          <w:rtl/>
        </w:rPr>
        <w:t>יוסף־אליהו</w:t>
      </w:r>
      <w:proofErr w:type="spellEnd"/>
      <w:r>
        <w:rPr>
          <w:sz w:val="20"/>
          <w:szCs w:val="20"/>
          <w:rtl/>
        </w:rPr>
        <w:t xml:space="preserve"> </w:t>
      </w:r>
      <w:proofErr w:type="spellStart"/>
      <w:r>
        <w:rPr>
          <w:sz w:val="20"/>
          <w:szCs w:val="20"/>
          <w:rtl/>
        </w:rPr>
        <w:t>הענקין</w:t>
      </w:r>
      <w:proofErr w:type="spellEnd"/>
      <w:r>
        <w:rPr>
          <w:sz w:val="20"/>
          <w:szCs w:val="20"/>
          <w:rtl/>
        </w:rPr>
        <w:t xml:space="preserve">, תלמידו במשך שש שנים, מתנת פרידה: את הספר שפרסם ר׳ </w:t>
      </w:r>
      <w:proofErr w:type="spellStart"/>
      <w:r>
        <w:rPr>
          <w:sz w:val="20"/>
          <w:szCs w:val="20"/>
          <w:rtl/>
        </w:rPr>
        <w:t>משה־מרדכי</w:t>
      </w:r>
      <w:proofErr w:type="spellEnd"/>
      <w:r>
        <w:rPr>
          <w:sz w:val="20"/>
          <w:szCs w:val="20"/>
          <w:rtl/>
        </w:rPr>
        <w:t xml:space="preserve"> שנתיים קודם לכן, “לבוש מרדכי” על מסכת בבא קמא (</w:t>
      </w:r>
      <w:proofErr w:type="spellStart"/>
      <w:r>
        <w:rPr>
          <w:sz w:val="20"/>
          <w:szCs w:val="20"/>
          <w:rtl/>
        </w:rPr>
        <w:t>ידעאל</w:t>
      </w:r>
      <w:proofErr w:type="spellEnd"/>
      <w:r>
        <w:rPr>
          <w:sz w:val="20"/>
          <w:szCs w:val="20"/>
          <w:rtl/>
        </w:rPr>
        <w:t xml:space="preserve"> מלצר, “בדרך עץ החיים”, עמ׳ 95).</w:t>
      </w:r>
    </w:p>
  </w:footnote>
  <w:footnote w:id="2119">
    <w:p w14:paraId="188BDD5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88.</w:t>
      </w:r>
    </w:p>
  </w:footnote>
  <w:footnote w:id="2120">
    <w:p w14:paraId="48B6A5E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ב־31 באוקטובר 1995.</w:t>
      </w:r>
    </w:p>
  </w:footnote>
  <w:footnote w:id="2121">
    <w:p w14:paraId="22064B5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הפסקה האחרונה בספרו של </w:t>
      </w:r>
      <w:proofErr w:type="spellStart"/>
      <w:r>
        <w:rPr>
          <w:sz w:val="20"/>
          <w:szCs w:val="20"/>
          <w:rtl/>
        </w:rPr>
        <w:t>ידעאל</w:t>
      </w:r>
      <w:proofErr w:type="spellEnd"/>
      <w:r>
        <w:rPr>
          <w:sz w:val="20"/>
          <w:szCs w:val="20"/>
          <w:rtl/>
        </w:rPr>
        <w:t xml:space="preserve"> מלצר, “בדרך עץ החיים”, עמ׳ 112, כיצד תפס ר׳ </w:t>
      </w:r>
      <w:proofErr w:type="spellStart"/>
      <w:r>
        <w:rPr>
          <w:sz w:val="20"/>
          <w:szCs w:val="20"/>
          <w:rtl/>
        </w:rPr>
        <w:t>איסר־זלמן</w:t>
      </w:r>
      <w:proofErr w:type="spellEnd"/>
      <w:r>
        <w:rPr>
          <w:sz w:val="20"/>
          <w:szCs w:val="20"/>
          <w:rtl/>
        </w:rPr>
        <w:t xml:space="preserve"> את ההבדל באופי בינו לבין גיסו, והפסקה הראשונה בעמ׳ 442 שם, על מידת דבקותם של התלמידים בר׳ </w:t>
      </w:r>
      <w:proofErr w:type="spellStart"/>
      <w:r>
        <w:rPr>
          <w:sz w:val="20"/>
          <w:szCs w:val="20"/>
          <w:rtl/>
        </w:rPr>
        <w:t>איסר־זלמן</w:t>
      </w:r>
      <w:proofErr w:type="spellEnd"/>
      <w:r>
        <w:rPr>
          <w:sz w:val="20"/>
          <w:szCs w:val="20"/>
          <w:rtl/>
        </w:rPr>
        <w:t>.</w:t>
      </w:r>
    </w:p>
  </w:footnote>
  <w:footnote w:id="2122">
    <w:p w14:paraId="6685B8C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11.</w:t>
      </w:r>
    </w:p>
  </w:footnote>
  <w:footnote w:id="2123">
    <w:p w14:paraId="330D7DA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“לפרקים” (נספח א לעיל), עמ׳ שט.</w:t>
      </w:r>
    </w:p>
  </w:footnote>
  <w:footnote w:id="2124">
    <w:p w14:paraId="279A830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נספחים ו </w:t>
      </w:r>
      <w:proofErr w:type="spellStart"/>
      <w:r>
        <w:rPr>
          <w:sz w:val="20"/>
          <w:szCs w:val="20"/>
          <w:rtl/>
        </w:rPr>
        <w:t>ו־יב</w:t>
      </w:r>
      <w:proofErr w:type="spellEnd"/>
      <w:r>
        <w:rPr>
          <w:sz w:val="20"/>
          <w:szCs w:val="20"/>
          <w:rtl/>
        </w:rPr>
        <w:t xml:space="preserve"> לעיל.</w:t>
      </w:r>
    </w:p>
  </w:footnote>
  <w:footnote w:id="2125">
    <w:p w14:paraId="6DA26E9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“פולמוס המוסר”, עמ׳ 28.</w:t>
      </w:r>
    </w:p>
  </w:footnote>
  <w:footnote w:id="2126">
    <w:p w14:paraId="0B78E9F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נספח </w:t>
      </w:r>
      <w:proofErr w:type="spellStart"/>
      <w:r>
        <w:rPr>
          <w:sz w:val="20"/>
          <w:szCs w:val="20"/>
          <w:rtl/>
        </w:rPr>
        <w:t>יב</w:t>
      </w:r>
      <w:proofErr w:type="spellEnd"/>
      <w:r>
        <w:rPr>
          <w:sz w:val="20"/>
          <w:szCs w:val="20"/>
          <w:rtl/>
        </w:rPr>
        <w:t xml:space="preserve"> לעיל.</w:t>
      </w:r>
    </w:p>
  </w:footnote>
  <w:footnote w:id="2127">
    <w:p w14:paraId="38B4D6F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לעיל – עמ׳ 224.</w:t>
      </w:r>
    </w:p>
  </w:footnote>
  <w:footnote w:id="2128">
    <w:p w14:paraId="0CA69B1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נספח א לעיל. השווה גם חשדו של אבי המצוטט בנספח </w:t>
      </w:r>
      <w:proofErr w:type="spellStart"/>
      <w:r>
        <w:rPr>
          <w:sz w:val="20"/>
          <w:szCs w:val="20"/>
          <w:rtl/>
        </w:rPr>
        <w:t>יב</w:t>
      </w:r>
      <w:proofErr w:type="spellEnd"/>
      <w:r>
        <w:rPr>
          <w:sz w:val="20"/>
          <w:szCs w:val="20"/>
          <w:rtl/>
        </w:rPr>
        <w:t xml:space="preserve"> לעיל.</w:t>
      </w:r>
    </w:p>
  </w:footnote>
  <w:footnote w:id="2129">
    <w:p w14:paraId="6E989C6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סיפר לי ב־18 בדצמבר 1987, לאחר שהקדים ואמר שרבנו “דיבר על ר׳ יעקב הלוי ליפשיץ פעמים רבות”.</w:t>
      </w:r>
    </w:p>
  </w:footnote>
  <w:footnote w:id="2130">
    <w:p w14:paraId="6FB49CC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לפי פרק 4, הפסקה החמישית של נספח ט.</w:t>
      </w:r>
    </w:p>
  </w:footnote>
  <w:footnote w:id="2131">
    <w:p w14:paraId="7EEEEF8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ועיין </w:t>
      </w:r>
      <w:proofErr w:type="spellStart"/>
      <w:r>
        <w:rPr>
          <w:sz w:val="20"/>
          <w:szCs w:val="20"/>
          <w:rtl/>
        </w:rPr>
        <w:t>שו״ע</w:t>
      </w:r>
      <w:proofErr w:type="spellEnd"/>
      <w:r>
        <w:rPr>
          <w:sz w:val="20"/>
          <w:szCs w:val="20"/>
          <w:rtl/>
        </w:rPr>
        <w:t xml:space="preserve"> יו״ד סימן רמ״ד ס״ז.</w:t>
      </w:r>
    </w:p>
  </w:footnote>
  <w:footnote w:id="2132">
    <w:p w14:paraId="2F6816A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סוף נספח </w:t>
      </w:r>
      <w:proofErr w:type="spellStart"/>
      <w:r>
        <w:rPr>
          <w:sz w:val="20"/>
          <w:szCs w:val="20"/>
          <w:rtl/>
        </w:rPr>
        <w:t>יב</w:t>
      </w:r>
      <w:proofErr w:type="spellEnd"/>
      <w:r>
        <w:rPr>
          <w:sz w:val="20"/>
          <w:szCs w:val="20"/>
          <w:rtl/>
        </w:rPr>
        <w:t xml:space="preserve"> לעיל, והערתו השנונה של רבנו על ר׳ יעקב הלוי ליפשיץ בפרק 4, הפסקה השנייה של נספח ב.</w:t>
      </w:r>
    </w:p>
  </w:footnote>
  <w:footnote w:id="2133">
    <w:p w14:paraId="47394A2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כץ, “תנועת המוסר”, כרך א, עמ׳ 238–241; </w:t>
      </w:r>
      <w:proofErr w:type="spellStart"/>
      <w:r>
        <w:rPr>
          <w:sz w:val="20"/>
          <w:szCs w:val="20"/>
          <w:rtl/>
        </w:rPr>
        <w:t>אטקס</w:t>
      </w:r>
      <w:proofErr w:type="spellEnd"/>
      <w:r>
        <w:rPr>
          <w:sz w:val="20"/>
          <w:szCs w:val="20"/>
          <w:rtl/>
        </w:rPr>
        <w:t xml:space="preserve">, “ר׳ ישראל </w:t>
      </w:r>
      <w:proofErr w:type="spellStart"/>
      <w:r>
        <w:rPr>
          <w:sz w:val="20"/>
          <w:szCs w:val="20"/>
          <w:rtl/>
        </w:rPr>
        <w:t>סלנטר</w:t>
      </w:r>
      <w:proofErr w:type="spellEnd"/>
      <w:r>
        <w:rPr>
          <w:sz w:val="20"/>
          <w:szCs w:val="20"/>
          <w:rtl/>
        </w:rPr>
        <w:t xml:space="preserve"> וראשיתה של תנועת המוסר” (נספח א לעיל), עמ׳ 295–304; ופרק 4, הפסקה השנייה של נספח ח.</w:t>
      </w:r>
    </w:p>
  </w:footnote>
  <w:footnote w:id="2134">
    <w:p w14:paraId="7BDE72F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הפסקה הראשונה של נספח א לעיל. נכדו של ר׳ יעקב הלוי ליפשיץ מתח במכתבו אליי ביקורת על “יחסו המשוחד בעליל של ר׳ דב כץ נגד ר׳ יעקב הלוי ליפשיץ במקרים רבים, שבהם הוא משמיע הערות מזלזלות נגדו ונגד אחיו הגדול, ר׳ יהודה הלוי ליפשיץ, רבה של </w:t>
      </w:r>
      <w:proofErr w:type="spellStart"/>
      <w:r>
        <w:rPr>
          <w:sz w:val="20"/>
          <w:szCs w:val="20"/>
          <w:rtl/>
        </w:rPr>
        <w:t>מערעטש</w:t>
      </w:r>
      <w:proofErr w:type="spellEnd"/>
      <w:r>
        <w:rPr>
          <w:sz w:val="20"/>
          <w:szCs w:val="20"/>
          <w:rtl/>
        </w:rPr>
        <w:t>. מצאתי מקרים רבים של סילופים מסוג זה”, כתב.</w:t>
      </w:r>
    </w:p>
    <w:p w14:paraId="1FED3B6F" w14:textId="77777777" w:rsidR="00AB3647" w:rsidRDefault="00000000">
      <w:pPr>
        <w:spacing w:after="0" w:before="0"/>
        <w:jc w:val="both"/>
      </w:pPr>
      <w:r>
        <w:rPr>
          <w:sz w:val="20"/>
          <w:szCs w:val="20"/>
          <w:rtl/>
        </w:rPr>
        <w:t xml:space="preserve">אבל לא הצלחתי למצוא שום הערות מזלזלות נגד ר׳ יעקב הלוי בחמשת כרכי “תנועת המוסר” של היסטוריון המוסר. </w:t>
      </w:r>
      <w:proofErr w:type="spellStart"/>
      <w:r>
        <w:rPr>
          <w:sz w:val="20"/>
          <w:szCs w:val="20"/>
          <w:rtl/>
        </w:rPr>
        <w:t>ה“סילוף</w:t>
      </w:r>
      <w:proofErr w:type="spellEnd"/>
      <w:r>
        <w:rPr>
          <w:sz w:val="20"/>
          <w:szCs w:val="20"/>
          <w:rtl/>
        </w:rPr>
        <w:t xml:space="preserve">” האפשרי היחיד – אם אפשר לכנותו כך – הוא בכרך הראשון, עמ׳ 202. שם מביע ר׳ דב כץ הערכה </w:t>
      </w:r>
      <w:proofErr w:type="spellStart"/>
      <w:r>
        <w:rPr>
          <w:sz w:val="20"/>
          <w:szCs w:val="20"/>
          <w:rtl/>
        </w:rPr>
        <w:t>לר</w:t>
      </w:r>
      <w:proofErr w:type="spellEnd"/>
      <w:r>
        <w:rPr>
          <w:sz w:val="20"/>
          <w:szCs w:val="20"/>
          <w:rtl/>
        </w:rPr>
        <w:t>׳ יעקב הלוי ליפשיץ (“חיתי לו”) על שחשף אגב אורחא, בספרו “</w:t>
      </w:r>
      <w:proofErr w:type="spellStart"/>
      <w:r>
        <w:rPr>
          <w:sz w:val="20"/>
          <w:szCs w:val="20"/>
          <w:rtl/>
        </w:rPr>
        <w:t>זכרון</w:t>
      </w:r>
      <w:proofErr w:type="spellEnd"/>
      <w:r>
        <w:rPr>
          <w:sz w:val="20"/>
          <w:szCs w:val="20"/>
          <w:rtl/>
        </w:rPr>
        <w:t xml:space="preserve"> יעקב”, טפח מפעילותו [הציבורית הענפה] של ר׳ ישראל </w:t>
      </w:r>
      <w:proofErr w:type="spellStart"/>
      <w:r>
        <w:rPr>
          <w:sz w:val="20"/>
          <w:szCs w:val="20"/>
          <w:rtl/>
        </w:rPr>
        <w:t>סלנטר</w:t>
      </w:r>
      <w:proofErr w:type="spellEnd"/>
      <w:r>
        <w:rPr>
          <w:sz w:val="20"/>
          <w:szCs w:val="20"/>
          <w:rtl/>
        </w:rPr>
        <w:t xml:space="preserve">, ומתאר אותו כמי </w:t>
      </w:r>
      <w:proofErr w:type="spellStart"/>
      <w:r>
        <w:rPr>
          <w:sz w:val="20"/>
          <w:szCs w:val="20"/>
          <w:rtl/>
        </w:rPr>
        <w:t>ש“עסק</w:t>
      </w:r>
      <w:proofErr w:type="spellEnd"/>
      <w:r>
        <w:rPr>
          <w:sz w:val="20"/>
          <w:szCs w:val="20"/>
          <w:rtl/>
        </w:rPr>
        <w:t xml:space="preserve"> אז, במשך זמן מסוים, בענייני ציבור כמזכירו הפרטי של ר׳ </w:t>
      </w:r>
      <w:proofErr w:type="spellStart"/>
      <w:r>
        <w:rPr>
          <w:sz w:val="20"/>
          <w:szCs w:val="20"/>
          <w:rtl/>
        </w:rPr>
        <w:t>יצחק־אלחנן</w:t>
      </w:r>
      <w:proofErr w:type="spellEnd"/>
      <w:r>
        <w:rPr>
          <w:sz w:val="20"/>
          <w:szCs w:val="20"/>
          <w:rtl/>
        </w:rPr>
        <w:t xml:space="preserve"> מקובנה”. בכך הוא מקצר – שלא במתכוון, לדעתי – את משך שירותו הציבורי של ר׳ יעקב הלוי לעומת משכו האמיתי. גם לא מצאתי שום אזכור של ר׳ יהודה הלוי ליפשיץ </w:t>
      </w:r>
      <w:proofErr w:type="spellStart"/>
      <w:r>
        <w:rPr>
          <w:sz w:val="20"/>
          <w:szCs w:val="20"/>
          <w:rtl/>
        </w:rPr>
        <w:t>ב“תנועת</w:t>
      </w:r>
      <w:proofErr w:type="spellEnd"/>
      <w:r>
        <w:rPr>
          <w:sz w:val="20"/>
          <w:szCs w:val="20"/>
          <w:rtl/>
        </w:rPr>
        <w:t xml:space="preserve"> המוסר”.</w:t>
      </w:r>
    </w:p>
    <w:p w14:paraId="6B0DD2BC" w14:textId="77777777" w:rsidR="00AB3647" w:rsidRDefault="00000000">
      <w:pPr>
        <w:spacing w:after="0" w:before="0"/>
        <w:jc w:val="both"/>
      </w:pPr>
      <w:proofErr w:type="spellStart"/>
      <w:r>
        <w:rPr>
          <w:sz w:val="20"/>
          <w:szCs w:val="20"/>
          <w:rtl/>
        </w:rPr>
        <w:t>ב“פולמוס</w:t>
      </w:r>
      <w:proofErr w:type="spellEnd"/>
      <w:r>
        <w:rPr>
          <w:sz w:val="20"/>
          <w:szCs w:val="20"/>
          <w:rtl/>
        </w:rPr>
        <w:t xml:space="preserve"> המוסר” מזכיר ר׳ דב כץ את ר׳ יעקב הלוי שלוש פעמים: פעמיים בציטוטים עליו ומפיו, ופעם בהערת שוליים בעמ׳ 112: “השמועה אומרת ש[האיגרת ‘למען דעת’] חוברה בידי ר׳ יעקב הלוי ליפשיץ הידוע, ששימש מזכירו של ר׳ </w:t>
      </w:r>
      <w:proofErr w:type="spellStart"/>
      <w:r>
        <w:rPr>
          <w:sz w:val="20"/>
          <w:szCs w:val="20"/>
          <w:rtl/>
        </w:rPr>
        <w:t>יצחק־אלחנן</w:t>
      </w:r>
      <w:proofErr w:type="spellEnd"/>
      <w:r>
        <w:rPr>
          <w:sz w:val="20"/>
          <w:szCs w:val="20"/>
          <w:rtl/>
        </w:rPr>
        <w:t xml:space="preserve"> והיה מן הלוחמים העזים ביותר נגד המוסר.” איני רואה שום זלזול או סילוף בציטוט זה. אחיו של ר׳ יעקב הלוי ליפשיץ, ר׳ יהודה, נזכר רק פעם אחת </w:t>
      </w:r>
      <w:proofErr w:type="spellStart"/>
      <w:r>
        <w:rPr>
          <w:sz w:val="20"/>
          <w:szCs w:val="20"/>
          <w:rtl/>
        </w:rPr>
        <w:t>ב“פולמוס</w:t>
      </w:r>
      <w:proofErr w:type="spellEnd"/>
      <w:r>
        <w:rPr>
          <w:sz w:val="20"/>
          <w:szCs w:val="20"/>
          <w:rtl/>
        </w:rPr>
        <w:t xml:space="preserve"> המוסר”, ברשימת תשעת הרבנים שחתמו על הכרוז נגד המוסר. אפשר לראות פגיעה בכבודו של ר׳ יעקב הלוי – אך רק בדוחק – בדרך שבה נרשם שמו במפתח של “פולמוס המוסר”: לא בשמו הפרטי, כדרך הרבנים, אלא בשם משפחתו, כדרך הסופרים (ובהם גם בני דורו יראי שמים כגון ר׳ משה מאיר ישר).</w:t>
      </w:r>
    </w:p>
  </w:footnote>
  <w:footnote w:id="2135">
    <w:p w14:paraId="0C5A661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14 לעיל.</w:t>
      </w:r>
    </w:p>
  </w:footnote>
  <w:footnote w:id="2136">
    <w:p w14:paraId="030B5A8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גיליון ערב פסח תשמ״ט – עמ׳ 12.</w:t>
      </w:r>
    </w:p>
  </w:footnote>
  <w:footnote w:id="2137">
    <w:p w14:paraId="659B815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ב־24 באוקטובר 1991.</w:t>
      </w:r>
    </w:p>
  </w:footnote>
  <w:footnote w:id="2138">
    <w:p w14:paraId="19BCEFB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מיום ה׳ בניסן </w:t>
      </w:r>
      <w:proofErr w:type="spellStart"/>
      <w:r>
        <w:rPr>
          <w:sz w:val="20"/>
          <w:szCs w:val="20"/>
          <w:rtl/>
        </w:rPr>
        <w:t>תרפ</w:t>
      </w:r>
      <w:proofErr w:type="spellEnd"/>
      <w:r>
        <w:rPr>
          <w:sz w:val="20"/>
          <w:szCs w:val="20"/>
          <w:rtl/>
        </w:rPr>
        <w:t xml:space="preserve">[ח] (ההדגשה נוספה; לדיון ראה הערת שוליים </w:t>
      </w:r>
      <w:r>
        <w:rPr>
          <w:sz w:val="20"/>
          <w:szCs w:val="20"/>
          <w:rtl/>
        </w:rPr>
        <w:fldChar w:fldCharType="begin" w:dirty="true"/>
      </w:r>
      <w:r>
        <w:rPr>
          <w:sz w:val="20"/>
          <w:szCs w:val="20"/>
          <w:rtl/>
        </w:rPr>
        <w:instrText xml:space="preserve"> NOTEREF pr_f_2044 \h </w:instrText>
      </w:r>
      <w:r>
        <w:rPr>
          <w:sz w:val="20"/>
          <w:szCs w:val="20"/>
          <w:rtl/>
        </w:rPr>
      </w:r>
      <w:r>
        <w:rPr>
          <w:sz w:val="20"/>
          <w:szCs w:val="20"/>
          <w:rtl/>
        </w:rPr>
        <w:fldChar w:fldCharType="separate"/>
      </w:r>
      <w:r w:rsidR="007923E9">
        <w:rPr>
          <w:sz w:val="20"/>
          <w:szCs w:val="20"/>
          <w:rtl/>
        </w:rPr>
        <w:t>1090</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pr_f_2044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המכתב מועתק בעמ׳ תמה–תמו של “חידושי ושיעורי מרן רבי ברוך בער”, </w:t>
      </w:r>
      <w:proofErr w:type="spellStart"/>
      <w:r>
        <w:rPr>
          <w:sz w:val="20"/>
          <w:szCs w:val="20"/>
          <w:rtl/>
        </w:rPr>
        <w:t>ח״ג</w:t>
      </w:r>
      <w:proofErr w:type="spellEnd"/>
      <w:r>
        <w:rPr>
          <w:sz w:val="20"/>
          <w:szCs w:val="20"/>
          <w:rtl/>
        </w:rPr>
        <w:t xml:space="preserve"> (נדפס בידי “נכדו ברוך בער </w:t>
      </w:r>
      <w:proofErr w:type="spellStart"/>
      <w:r>
        <w:rPr>
          <w:sz w:val="20"/>
          <w:szCs w:val="20"/>
          <w:rtl/>
        </w:rPr>
        <w:t>גראזאווסקי</w:t>
      </w:r>
      <w:proofErr w:type="spellEnd"/>
      <w:r>
        <w:rPr>
          <w:sz w:val="20"/>
          <w:szCs w:val="20"/>
          <w:rtl/>
        </w:rPr>
        <w:t xml:space="preserve">”, </w:t>
      </w:r>
      <w:proofErr w:type="spellStart"/>
      <w:r>
        <w:rPr>
          <w:sz w:val="20"/>
          <w:szCs w:val="20"/>
          <w:rtl/>
        </w:rPr>
        <w:t>לייקוואוד</w:t>
      </w:r>
      <w:proofErr w:type="spellEnd"/>
      <w:r>
        <w:rPr>
          <w:sz w:val="20"/>
          <w:szCs w:val="20"/>
          <w:rtl/>
        </w:rPr>
        <w:t>, תשנ״ד).</w:t>
      </w:r>
    </w:p>
  </w:footnote>
  <w:footnote w:id="2139">
    <w:p w14:paraId="0044666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למרבה הפלא, הספר שנדפס לבסוף הכיל רק את חידושיו של ר׳ חיים </w:t>
      </w:r>
      <w:proofErr w:type="spellStart"/>
      <w:r>
        <w:rPr>
          <w:sz w:val="20"/>
          <w:szCs w:val="20"/>
          <w:rtl/>
        </w:rPr>
        <w:t>סולובייצ׳יק</w:t>
      </w:r>
      <w:proofErr w:type="spellEnd"/>
      <w:r>
        <w:rPr>
          <w:sz w:val="20"/>
          <w:szCs w:val="20"/>
          <w:rtl/>
        </w:rPr>
        <w:t xml:space="preserve"> על הרמב״ם, כפי שיתבאר להלן.</w:t>
      </w:r>
    </w:p>
  </w:footnote>
  <w:footnote w:id="2140">
    <w:p w14:paraId="5B18E54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5, נספח ח.</w:t>
      </w:r>
    </w:p>
  </w:footnote>
  <w:footnote w:id="2141">
    <w:p w14:paraId="6521355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18 לעיל – עמ׳ פ.</w:t>
      </w:r>
    </w:p>
  </w:footnote>
  <w:footnote w:id="2142">
    <w:p w14:paraId="4608B46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2, עמ׳ 150.</w:t>
      </w:r>
    </w:p>
  </w:footnote>
  <w:footnote w:id="2143">
    <w:p w14:paraId="56FCE2A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השנייה של נספח ז לעיל – עמ׳ 11–12.</w:t>
      </w:r>
    </w:p>
  </w:footnote>
  <w:footnote w:id="2144">
    <w:p w14:paraId="3E8FEC5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במאמר ביוגרפי – עמ׳ 15.</w:t>
      </w:r>
    </w:p>
  </w:footnote>
  <w:footnote w:id="2145">
    <w:p w14:paraId="326AD75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בדקתי את היסוד לתוספת האות ח בתאריך תרפ״ח של מכתבו של ר׳ </w:t>
      </w:r>
      <w:proofErr w:type="spellStart"/>
      <w:r>
        <w:rPr>
          <w:sz w:val="20"/>
          <w:szCs w:val="20"/>
          <w:rtl/>
        </w:rPr>
        <w:t>ברוך־בער</w:t>
      </w:r>
      <w:proofErr w:type="spellEnd"/>
      <w:r>
        <w:rPr>
          <w:sz w:val="20"/>
          <w:szCs w:val="20"/>
          <w:rtl/>
        </w:rPr>
        <w:t xml:space="preserve"> הנדפס </w:t>
      </w:r>
      <w:proofErr w:type="spellStart"/>
      <w:r>
        <w:rPr>
          <w:sz w:val="20"/>
          <w:szCs w:val="20"/>
          <w:rtl/>
        </w:rPr>
        <w:t>ב“חידושי</w:t>
      </w:r>
      <w:proofErr w:type="spellEnd"/>
      <w:r>
        <w:rPr>
          <w:sz w:val="20"/>
          <w:szCs w:val="20"/>
          <w:rtl/>
        </w:rPr>
        <w:t xml:space="preserve"> ושיעורי רבי ברוך בער” (כמצוין בהערת שוליים </w:t>
      </w:r>
      <w:r>
        <w:rPr>
          <w:sz w:val="20"/>
          <w:szCs w:val="20"/>
          <w:rtl/>
        </w:rPr>
        <w:fldChar w:fldCharType="begin" w:dirty="true"/>
      </w:r>
      <w:r>
        <w:rPr>
          <w:sz w:val="20"/>
          <w:szCs w:val="20"/>
          <w:rtl/>
        </w:rPr>
        <w:instrText xml:space="preserve"> NOTEREF pr_f_2037 \h </w:instrText>
      </w:r>
      <w:r>
        <w:rPr>
          <w:sz w:val="20"/>
          <w:szCs w:val="20"/>
          <w:rtl/>
        </w:rPr>
      </w:r>
      <w:r>
        <w:rPr>
          <w:sz w:val="20"/>
          <w:szCs w:val="20"/>
          <w:rtl/>
        </w:rPr>
        <w:fldChar w:fldCharType="separate"/>
      </w:r>
      <w:r w:rsidR="007923E9">
        <w:rPr>
          <w:sz w:val="20"/>
          <w:szCs w:val="20"/>
          <w:rtl/>
        </w:rPr>
        <w:t>1083</w:t>
      </w:r>
      <w:r>
        <w:rPr>
          <w:sz w:val="20"/>
          <w:szCs w:val="20"/>
          <w:rtl/>
        </w:rPr>
        <w:fldChar w:fldCharType="end"/>
      </w:r>
      <w:r>
        <w:rPr>
          <w:sz w:val="20"/>
          <w:szCs w:val="20"/>
          <w:rtl/>
        </w:rPr>
        <w:t xml:space="preserve"> לעיל), והסקתי שסביר שהתאריך נכון או קרוב לכך: המכתב נכתב </w:t>
      </w:r>
      <w:proofErr w:type="spellStart"/>
      <w:r>
        <w:rPr>
          <w:sz w:val="20"/>
          <w:szCs w:val="20"/>
          <w:rtl/>
        </w:rPr>
        <w:t>בתרפ״ח</w:t>
      </w:r>
      <w:proofErr w:type="spellEnd"/>
      <w:r>
        <w:rPr>
          <w:sz w:val="20"/>
          <w:szCs w:val="20"/>
          <w:rtl/>
        </w:rPr>
        <w:t xml:space="preserve">, שלושה חודשים וחצי לפני פטירת העילוי </w:t>
      </w:r>
      <w:proofErr w:type="spellStart"/>
      <w:r>
        <w:rPr>
          <w:sz w:val="20"/>
          <w:szCs w:val="20"/>
          <w:rtl/>
        </w:rPr>
        <w:t>ממייצ׳ט</w:t>
      </w:r>
      <w:proofErr w:type="spellEnd"/>
      <w:r>
        <w:rPr>
          <w:sz w:val="20"/>
          <w:szCs w:val="20"/>
          <w:rtl/>
        </w:rPr>
        <w:t xml:space="preserve">, או </w:t>
      </w:r>
      <w:proofErr w:type="spellStart"/>
      <w:r>
        <w:rPr>
          <w:sz w:val="20"/>
          <w:szCs w:val="20"/>
          <w:rtl/>
        </w:rPr>
        <w:t>בתרפ״ז</w:t>
      </w:r>
      <w:proofErr w:type="spellEnd"/>
      <w:r>
        <w:rPr>
          <w:sz w:val="20"/>
          <w:szCs w:val="20"/>
          <w:rtl/>
        </w:rPr>
        <w:t>.</w:t>
      </w:r>
    </w:p>
  </w:footnote>
  <w:footnote w:id="2146">
    <w:p w14:paraId="47D4099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2147">
    <w:p w14:paraId="2C8179D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הראשונה של נספח ח לעיל – ח״א, עמ׳ קלו–</w:t>
      </w:r>
      <w:proofErr w:type="spellStart"/>
      <w:r>
        <w:rPr>
          <w:sz w:val="20"/>
          <w:szCs w:val="20"/>
          <w:rtl/>
        </w:rPr>
        <w:t>קלז</w:t>
      </w:r>
      <w:proofErr w:type="spellEnd"/>
      <w:r>
        <w:rPr>
          <w:sz w:val="20"/>
          <w:szCs w:val="20"/>
          <w:rtl/>
        </w:rPr>
        <w:t>.</w:t>
      </w:r>
    </w:p>
  </w:footnote>
  <w:footnote w:id="2148">
    <w:p w14:paraId="7E2B201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הראשונה של נספח ח לעיל – עמ׳ 89.</w:t>
      </w:r>
    </w:p>
  </w:footnote>
  <w:footnote w:id="2149">
    <w:p w14:paraId="577AF20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מקמילן, טורונטו, 1969 (להלן: “סיפור ישיבה </w:t>
      </w:r>
      <w:proofErr w:type="spellStart"/>
      <w:r>
        <w:rPr>
          <w:sz w:val="20"/>
          <w:szCs w:val="20"/>
          <w:rtl/>
        </w:rPr>
        <w:t>יוניברסיטי</w:t>
      </w:r>
      <w:proofErr w:type="spellEnd"/>
      <w:r>
        <w:rPr>
          <w:sz w:val="20"/>
          <w:szCs w:val="20"/>
          <w:rtl/>
        </w:rPr>
        <w:t>”) – עמ׳ 49–51.</w:t>
      </w:r>
    </w:p>
  </w:footnote>
  <w:footnote w:id="2150">
    <w:p w14:paraId="22A441D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שנת לידתו של הרב </w:t>
      </w:r>
      <w:proofErr w:type="spellStart"/>
      <w:r>
        <w:rPr>
          <w:sz w:val="20"/>
          <w:szCs w:val="20"/>
          <w:rtl/>
        </w:rPr>
        <w:t>מטלין</w:t>
      </w:r>
      <w:proofErr w:type="spellEnd"/>
      <w:r>
        <w:rPr>
          <w:sz w:val="20"/>
          <w:szCs w:val="20"/>
          <w:rtl/>
        </w:rPr>
        <w:t xml:space="preserve"> נרשמה שם, עמ׳ 50, כ־1885. זוהי טעות דפוס, וככל הנראה צריך להיות 1858.</w:t>
      </w:r>
    </w:p>
  </w:footnote>
  <w:footnote w:id="2151">
    <w:p w14:paraId="127E0D7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71 בפרק זה.</w:t>
      </w:r>
    </w:p>
  </w:footnote>
  <w:footnote w:id="2152">
    <w:p w14:paraId="08D7C24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הוצאת JPS, פילדלפיה, תשל״ב – עמ׳ 29–30.</w:t>
      </w:r>
    </w:p>
  </w:footnote>
  <w:footnote w:id="2153">
    <w:p w14:paraId="5845308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שיחת טלפון: 16 בדצמבר 1994.</w:t>
      </w:r>
    </w:p>
  </w:footnote>
  <w:footnote w:id="2154">
    <w:p w14:paraId="7162915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“סיפור ישיבה </w:t>
      </w:r>
      <w:proofErr w:type="spellStart"/>
      <w:r>
        <w:rPr>
          <w:sz w:val="20"/>
          <w:szCs w:val="20"/>
          <w:rtl/>
        </w:rPr>
        <w:t>יוניברסיטי</w:t>
      </w:r>
      <w:proofErr w:type="spellEnd"/>
      <w:r>
        <w:rPr>
          <w:sz w:val="20"/>
          <w:szCs w:val="20"/>
          <w:rtl/>
        </w:rPr>
        <w:t>”, עמ׳ 163.</w:t>
      </w:r>
    </w:p>
  </w:footnote>
  <w:footnote w:id="2155">
    <w:p w14:paraId="6D6F881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מראיונות שערכתי בסתיו 1994 עם בוגרי ישיבת רבנו יצחק אלחנן מתקופתו של הרב ווייל (לפי סדר </w:t>
      </w:r>
      <w:proofErr w:type="spellStart"/>
      <w:r>
        <w:rPr>
          <w:sz w:val="20"/>
          <w:szCs w:val="20"/>
          <w:rtl/>
        </w:rPr>
        <w:t>האלף־בית</w:t>
      </w:r>
      <w:proofErr w:type="spellEnd"/>
      <w:r>
        <w:rPr>
          <w:sz w:val="20"/>
          <w:szCs w:val="20"/>
          <w:rtl/>
        </w:rPr>
        <w:t xml:space="preserve"> הלועזי): ר׳ שמואל </w:t>
      </w:r>
      <w:proofErr w:type="spellStart"/>
      <w:r>
        <w:rPr>
          <w:sz w:val="20"/>
          <w:szCs w:val="20"/>
          <w:rtl/>
        </w:rPr>
        <w:t>הרטשטיין</w:t>
      </w:r>
      <w:proofErr w:type="spellEnd"/>
      <w:r>
        <w:rPr>
          <w:sz w:val="20"/>
          <w:szCs w:val="20"/>
          <w:rtl/>
        </w:rPr>
        <w:t xml:space="preserve">, ר׳ </w:t>
      </w:r>
      <w:proofErr w:type="spellStart"/>
      <w:r>
        <w:rPr>
          <w:sz w:val="20"/>
          <w:szCs w:val="20"/>
          <w:rtl/>
        </w:rPr>
        <w:t>מיכאל־אהרן</w:t>
      </w:r>
      <w:proofErr w:type="spellEnd"/>
      <w:r>
        <w:rPr>
          <w:sz w:val="20"/>
          <w:szCs w:val="20"/>
          <w:rtl/>
        </w:rPr>
        <w:t xml:space="preserve"> קרא, ר׳ </w:t>
      </w:r>
      <w:proofErr w:type="spellStart"/>
      <w:r>
        <w:rPr>
          <w:sz w:val="20"/>
          <w:szCs w:val="20"/>
          <w:rtl/>
        </w:rPr>
        <w:t>בעריש</w:t>
      </w:r>
      <w:proofErr w:type="spellEnd"/>
      <w:r>
        <w:rPr>
          <w:sz w:val="20"/>
          <w:szCs w:val="20"/>
          <w:rtl/>
        </w:rPr>
        <w:t xml:space="preserve"> לנדר, ר׳ עזריאל מילר ור׳ אלימלך שכטר.</w:t>
      </w:r>
    </w:p>
  </w:footnote>
  <w:footnote w:id="2156">
    <w:p w14:paraId="6AC46BA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12 לעיל – עמ׳ 2.</w:t>
      </w:r>
    </w:p>
  </w:footnote>
  <w:footnote w:id="2157">
    <w:p w14:paraId="0C63311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“אבי הישיבות” (הערה 15 לעיל), עמ׳ 224, המביא פרטים נוספים על ר׳ אליקים (כך במקור) ועל תפקיד המשגיח בישיבת </w:t>
      </w:r>
      <w:proofErr w:type="spellStart"/>
      <w:r>
        <w:rPr>
          <w:sz w:val="20"/>
          <w:szCs w:val="20"/>
          <w:rtl/>
        </w:rPr>
        <w:t>וולוז׳ין</w:t>
      </w:r>
      <w:proofErr w:type="spellEnd"/>
      <w:r>
        <w:rPr>
          <w:sz w:val="20"/>
          <w:szCs w:val="20"/>
          <w:rtl/>
        </w:rPr>
        <w:t xml:space="preserve">; ופרק 4, סוף נספח </w:t>
      </w:r>
      <w:proofErr w:type="spellStart"/>
      <w:r>
        <w:rPr>
          <w:sz w:val="20"/>
          <w:szCs w:val="20"/>
          <w:rtl/>
        </w:rPr>
        <w:t>יג</w:t>
      </w:r>
      <w:proofErr w:type="spellEnd"/>
      <w:r>
        <w:rPr>
          <w:sz w:val="20"/>
          <w:szCs w:val="20"/>
          <w:rtl/>
        </w:rPr>
        <w:t xml:space="preserve">. </w:t>
      </w:r>
      <w:proofErr w:type="spellStart"/>
      <w:r>
        <w:rPr>
          <w:sz w:val="20"/>
          <w:szCs w:val="20"/>
          <w:rtl/>
        </w:rPr>
        <w:t>ב“אבי</w:t>
      </w:r>
      <w:proofErr w:type="spellEnd"/>
      <w:r>
        <w:rPr>
          <w:sz w:val="20"/>
          <w:szCs w:val="20"/>
          <w:rtl/>
        </w:rPr>
        <w:t xml:space="preserve"> הישיבות” הוא מכונה ר׳ אליקים </w:t>
      </w:r>
      <w:proofErr w:type="spellStart"/>
      <w:r>
        <w:rPr>
          <w:sz w:val="20"/>
          <w:szCs w:val="20"/>
          <w:rtl/>
        </w:rPr>
        <w:t>אודרצנר</w:t>
      </w:r>
      <w:proofErr w:type="spellEnd"/>
      <w:r>
        <w:rPr>
          <w:sz w:val="20"/>
          <w:szCs w:val="20"/>
          <w:rtl/>
        </w:rPr>
        <w:t>.</w:t>
      </w:r>
    </w:p>
  </w:footnote>
  <w:footnote w:id="2158">
    <w:p w14:paraId="545F6BE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לפרטים נוספים על ר׳ יהודה ווייל יוכל הקורא לעיין בכרך 2, בזיכרונותיו של אחד מתלמידיו בתלמוד התורה </w:t>
      </w:r>
      <w:proofErr w:type="spellStart"/>
      <w:r>
        <w:rPr>
          <w:sz w:val="20"/>
          <w:szCs w:val="20"/>
          <w:rtl/>
        </w:rPr>
        <w:t>בסובאלק</w:t>
      </w:r>
      <w:proofErr w:type="spellEnd"/>
      <w:r>
        <w:rPr>
          <w:sz w:val="20"/>
          <w:szCs w:val="20"/>
          <w:rtl/>
        </w:rPr>
        <w:t xml:space="preserve"> בזמן מלחמת העולם הראשונה, המעניקים הצצה להשקפתו האדוקה על לימוד התורה. אין ספק שהרב ווייל קיווה להחדיר הכרה זו גם בתלמידי ישיבת רבנו יצחק אלחנן, אבל הדבר חרג מתחום אחריותו כמשגיח הממונה על הפיקוח.</w:t>
      </w:r>
    </w:p>
  </w:footnote>
  <w:footnote w:id="2159">
    <w:p w14:paraId="6BBBD60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בערל </w:t>
      </w:r>
      <w:proofErr w:type="spellStart"/>
      <w:r>
        <w:rPr>
          <w:sz w:val="20"/>
          <w:szCs w:val="20"/>
          <w:rtl/>
        </w:rPr>
        <w:t>קגן</w:t>
      </w:r>
      <w:proofErr w:type="spellEnd"/>
      <w:r>
        <w:rPr>
          <w:sz w:val="20"/>
          <w:szCs w:val="20"/>
          <w:rtl/>
        </w:rPr>
        <w:t xml:space="preserve"> (הערה 10 לעיל), עמ׳ 122.</w:t>
      </w:r>
    </w:p>
  </w:footnote>
  <w:footnote w:id="2160">
    <w:p w14:paraId="200FE66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“סיפור ישיבה </w:t>
      </w:r>
      <w:proofErr w:type="spellStart"/>
      <w:r>
        <w:rPr>
          <w:sz w:val="20"/>
          <w:szCs w:val="20"/>
          <w:rtl/>
        </w:rPr>
        <w:t>יוניברסיטי</w:t>
      </w:r>
      <w:proofErr w:type="spellEnd"/>
      <w:r>
        <w:rPr>
          <w:sz w:val="20"/>
          <w:szCs w:val="20"/>
          <w:rtl/>
        </w:rPr>
        <w:t>”, עמ׳ 164.</w:t>
      </w:r>
    </w:p>
  </w:footnote>
  <w:footnote w:id="2161">
    <w:p w14:paraId="1D07A98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היה לו חלק בהצלת רבו, הרבי מגור ר׳ </w:t>
      </w:r>
      <w:proofErr w:type="spellStart"/>
      <w:r>
        <w:rPr>
          <w:sz w:val="20"/>
          <w:szCs w:val="20"/>
          <w:rtl/>
        </w:rPr>
        <w:t>אברהם־מרדכי</w:t>
      </w:r>
      <w:proofErr w:type="spellEnd"/>
      <w:r>
        <w:rPr>
          <w:sz w:val="20"/>
          <w:szCs w:val="20"/>
          <w:rtl/>
        </w:rPr>
        <w:t xml:space="preserve"> אלתר, מידי הנאצים.</w:t>
      </w:r>
    </w:p>
  </w:footnote>
  <w:footnote w:id="2162">
    <w:p w14:paraId="49FEA5C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1, סוף נספח ג, כיצד ניתח ר׳ </w:t>
      </w:r>
      <w:proofErr w:type="spellStart"/>
      <w:r>
        <w:rPr>
          <w:sz w:val="20"/>
          <w:szCs w:val="20"/>
          <w:rtl/>
        </w:rPr>
        <w:t>יעקב־יצחק</w:t>
      </w:r>
      <w:proofErr w:type="spellEnd"/>
      <w:r>
        <w:rPr>
          <w:sz w:val="20"/>
          <w:szCs w:val="20"/>
          <w:rtl/>
        </w:rPr>
        <w:t xml:space="preserve"> </w:t>
      </w:r>
      <w:proofErr w:type="spellStart"/>
      <w:r>
        <w:rPr>
          <w:sz w:val="20"/>
          <w:szCs w:val="20"/>
          <w:rtl/>
        </w:rPr>
        <w:t>רודרמן</w:t>
      </w:r>
      <w:proofErr w:type="spellEnd"/>
      <w:r>
        <w:rPr>
          <w:sz w:val="20"/>
          <w:szCs w:val="20"/>
          <w:rtl/>
        </w:rPr>
        <w:t xml:space="preserve"> את חוויותיו שלו ותהה מה הייתה תגובתו של ר׳ ישראל עליהן.</w:t>
      </w:r>
    </w:p>
  </w:footnote>
  <w:footnote w:id="2163">
    <w:p w14:paraId="4929F2E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א לעיל.</w:t>
      </w:r>
    </w:p>
  </w:footnote>
  <w:footnote w:id="2164">
    <w:p w14:paraId="695818D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שופטים כ.</w:t>
      </w:r>
    </w:p>
  </w:footnote>
  <w:footnote w:id="2165">
    <w:p w14:paraId="73BE3EF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כץ, “תנועת המוסר”, כרך ג, עמ׳ 27.</w:t>
      </w:r>
    </w:p>
  </w:footnote>
  <w:footnote w:id="2166">
    <w:p w14:paraId="6483109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כה להלן.</w:t>
      </w:r>
    </w:p>
  </w:footnote>
  <w:footnote w:id="2167">
    <w:p w14:paraId="131FDF1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לעיל.</w:t>
      </w:r>
    </w:p>
  </w:footnote>
  <w:footnote w:id="2168">
    <w:p w14:paraId="48BE9A0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פרק 4, נספח כ, בדבר נדבנותה של משפחה זו.</w:t>
      </w:r>
    </w:p>
  </w:footnote>
  <w:footnote w:id="2169">
    <w:p w14:paraId="5328A1A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66.</w:t>
      </w:r>
    </w:p>
  </w:footnote>
  <w:footnote w:id="2170">
    <w:p w14:paraId="58CDDDE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או, כלשון שם, עמ׳ 68: “בסביבות תרמ״ו”.</w:t>
      </w:r>
    </w:p>
  </w:footnote>
  <w:footnote w:id="2171">
    <w:p w14:paraId="6CC6D22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כל אחד מהם היה מעורב בפעילותו של חברו לבניין התורה. יש עדות שבתקופה קודמת בא ר׳ </w:t>
      </w:r>
      <w:proofErr w:type="spellStart"/>
      <w:r>
        <w:rPr>
          <w:sz w:val="20"/>
          <w:szCs w:val="20"/>
          <w:rtl/>
        </w:rPr>
        <w:t>שמחה־זיסל</w:t>
      </w:r>
      <w:proofErr w:type="spellEnd"/>
      <w:r>
        <w:rPr>
          <w:sz w:val="20"/>
          <w:szCs w:val="20"/>
          <w:rtl/>
        </w:rPr>
        <w:t xml:space="preserve"> מקלם ושהה “כמה שבועות </w:t>
      </w:r>
      <w:proofErr w:type="spellStart"/>
      <w:r>
        <w:rPr>
          <w:sz w:val="20"/>
          <w:szCs w:val="20"/>
          <w:rtl/>
        </w:rPr>
        <w:t>בסלבודקה</w:t>
      </w:r>
      <w:proofErr w:type="spellEnd"/>
      <w:r>
        <w:rPr>
          <w:sz w:val="20"/>
          <w:szCs w:val="20"/>
          <w:rtl/>
        </w:rPr>
        <w:t xml:space="preserve"> כדי להדריך ולהשפיע” בקיבוץ שהקים הסבא </w:t>
      </w:r>
      <w:proofErr w:type="spellStart"/>
      <w:r>
        <w:rPr>
          <w:sz w:val="20"/>
          <w:szCs w:val="20"/>
          <w:rtl/>
        </w:rPr>
        <w:t>מסלבודקה</w:t>
      </w:r>
      <w:proofErr w:type="spellEnd"/>
      <w:r>
        <w:rPr>
          <w:sz w:val="20"/>
          <w:szCs w:val="20"/>
          <w:rtl/>
        </w:rPr>
        <w:t xml:space="preserve"> בבית מדרש הלוויית המת (כץ, “תנועת המוסר”, כרך ג, עמ׳ 28).</w:t>
      </w:r>
    </w:p>
  </w:footnote>
  <w:footnote w:id="2172">
    <w:p w14:paraId="2278862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211.</w:t>
      </w:r>
    </w:p>
  </w:footnote>
  <w:footnote w:id="2173">
    <w:p w14:paraId="04BF15F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מכתב אחר, המצוטט בספרו של כץ, “תנועת המוסר”, כרך ב, בפסקה האמצעית בעמ׳ 70, עשוי לשמש ראיה דומה. אך השווה גם עמ׳ </w:t>
      </w:r>
      <w:r>
        <w:rPr>
          <w:sz w:val="20"/>
          <w:szCs w:val="20"/>
          <w:rtl/>
        </w:rPr>
        <w:fldChar w:fldCharType="begin" w:dirty="true"/>
      </w:r>
      <w:r>
        <w:rPr>
          <w:sz w:val="20"/>
          <w:szCs w:val="20"/>
          <w:rtl/>
        </w:rPr>
        <w:instrText xml:space="preserve"> PAGEREF pr_b_1519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להלן, שהסבא מקלם אולי חש נקיפות מצפון מסוימות בנוגע למפעלו.</w:t>
      </w:r>
    </w:p>
  </w:footnote>
  <w:footnote w:id="2174">
    <w:p w14:paraId="31BAFE2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כץ, “תנועת המוסר”, כרך ב, עמ׳ 68, 216 ו־85–86. ראה גם מכתב בלי תאריך, שהתפרסם לאחרונה ומובא </w:t>
      </w:r>
      <w:proofErr w:type="spellStart"/>
      <w:r>
        <w:rPr>
          <w:sz w:val="20"/>
          <w:szCs w:val="20"/>
          <w:rtl/>
        </w:rPr>
        <w:t>ב“שנות</w:t>
      </w:r>
      <w:proofErr w:type="spellEnd"/>
      <w:r>
        <w:rPr>
          <w:sz w:val="20"/>
          <w:szCs w:val="20"/>
          <w:rtl/>
        </w:rPr>
        <w:t xml:space="preserve"> דור ודור” (הפסקה הראשונה בנספח א לעיל), עמ׳ קנט–</w:t>
      </w:r>
      <w:proofErr w:type="spellStart"/>
      <w:r>
        <w:rPr>
          <w:sz w:val="20"/>
          <w:szCs w:val="20"/>
          <w:rtl/>
        </w:rPr>
        <w:t>קס</w:t>
      </w:r>
      <w:proofErr w:type="spellEnd"/>
      <w:r>
        <w:rPr>
          <w:sz w:val="20"/>
          <w:szCs w:val="20"/>
          <w:rtl/>
        </w:rPr>
        <w:t xml:space="preserve">, שכתב ר׳ </w:t>
      </w:r>
      <w:proofErr w:type="spellStart"/>
      <w:r>
        <w:rPr>
          <w:sz w:val="20"/>
          <w:szCs w:val="20"/>
          <w:rtl/>
        </w:rPr>
        <w:t>נחום־זאב</w:t>
      </w:r>
      <w:proofErr w:type="spellEnd"/>
      <w:r>
        <w:rPr>
          <w:sz w:val="20"/>
          <w:szCs w:val="20"/>
          <w:rtl/>
        </w:rPr>
        <w:t xml:space="preserve"> זיו, בנו של ר׳ </w:t>
      </w:r>
      <w:proofErr w:type="spellStart"/>
      <w:r>
        <w:rPr>
          <w:sz w:val="20"/>
          <w:szCs w:val="20"/>
          <w:rtl/>
        </w:rPr>
        <w:t>שמחה־זיסל</w:t>
      </w:r>
      <w:proofErr w:type="spellEnd"/>
      <w:r>
        <w:rPr>
          <w:sz w:val="20"/>
          <w:szCs w:val="20"/>
          <w:rtl/>
        </w:rPr>
        <w:t xml:space="preserve">, לאחי אביו ר׳ לייב </w:t>
      </w:r>
      <w:proofErr w:type="spellStart"/>
      <w:r>
        <w:rPr>
          <w:sz w:val="20"/>
          <w:szCs w:val="20"/>
          <w:rtl/>
        </w:rPr>
        <w:t>ברוידא</w:t>
      </w:r>
      <w:proofErr w:type="spellEnd"/>
      <w:r>
        <w:rPr>
          <w:sz w:val="20"/>
          <w:szCs w:val="20"/>
          <w:rtl/>
        </w:rPr>
        <w:t xml:space="preserve">. במכתב הוא מדווח שמצא את ר׳ </w:t>
      </w:r>
      <w:proofErr w:type="spellStart"/>
      <w:r>
        <w:rPr>
          <w:sz w:val="20"/>
          <w:szCs w:val="20"/>
          <w:rtl/>
        </w:rPr>
        <w:t>שמחה־זיסל</w:t>
      </w:r>
      <w:proofErr w:type="spellEnd"/>
      <w:r>
        <w:rPr>
          <w:sz w:val="20"/>
          <w:szCs w:val="20"/>
          <w:rtl/>
        </w:rPr>
        <w:t xml:space="preserve"> בבריאות רופפת, ומציע לו להבריא בריגה בקיץ הקרוב. ר׳ לייב התגורר אז </w:t>
      </w:r>
      <w:proofErr w:type="spellStart"/>
      <w:r>
        <w:rPr>
          <w:sz w:val="20"/>
          <w:szCs w:val="20"/>
          <w:rtl/>
        </w:rPr>
        <w:t>בקלם</w:t>
      </w:r>
      <w:proofErr w:type="spellEnd"/>
      <w:r>
        <w:rPr>
          <w:sz w:val="20"/>
          <w:szCs w:val="20"/>
          <w:rtl/>
        </w:rPr>
        <w:t xml:space="preserve">, ומן ההכרח שהמכתב נכתב </w:t>
      </w:r>
      <w:proofErr w:type="spellStart"/>
      <w:r>
        <w:rPr>
          <w:sz w:val="20"/>
          <w:szCs w:val="20"/>
          <w:rtl/>
        </w:rPr>
        <w:t>בגרובין</w:t>
      </w:r>
      <w:proofErr w:type="spellEnd"/>
      <w:r>
        <w:rPr>
          <w:sz w:val="20"/>
          <w:szCs w:val="20"/>
          <w:rtl/>
        </w:rPr>
        <w:t>, שממנה הייתה נסיעה לריגה באה בחשבון. מן המכתב עולה שהבעיה הבריאותית נעשתה כרונית.</w:t>
      </w:r>
    </w:p>
  </w:footnote>
  <w:footnote w:id="2175">
    <w:p w14:paraId="6DB5BC7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כץ, “תנועת המוסר”, כרך ב, עמ׳ 68.</w:t>
      </w:r>
    </w:p>
  </w:footnote>
  <w:footnote w:id="2176">
    <w:p w14:paraId="700C234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הפסקה השנייה בנספח כה להלן.</w:t>
      </w:r>
    </w:p>
  </w:footnote>
  <w:footnote w:id="2177">
    <w:p w14:paraId="1CB34DC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למקורות השווה כץ, “תנועת המוסר”, כרך ב, שם, והפסקה השנייה בנספח כה להלן.</w:t>
      </w:r>
    </w:p>
  </w:footnote>
  <w:footnote w:id="2178">
    <w:p w14:paraId="25BB175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ד לעיל.</w:t>
      </w:r>
    </w:p>
  </w:footnote>
  <w:footnote w:id="2179">
    <w:p w14:paraId="157C4FB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כרך 2.</w:t>
      </w:r>
    </w:p>
  </w:footnote>
  <w:footnote w:id="2180">
    <w:p w14:paraId="5D0AB56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התועלת החינוכית שהיה אבי מפיק מסיפור סגירת </w:t>
      </w:r>
      <w:proofErr w:type="spellStart"/>
      <w:r>
        <w:rPr>
          <w:sz w:val="20"/>
          <w:szCs w:val="20"/>
          <w:rtl/>
        </w:rPr>
        <w:t>גרובין</w:t>
      </w:r>
      <w:proofErr w:type="spellEnd"/>
      <w:r>
        <w:rPr>
          <w:sz w:val="20"/>
          <w:szCs w:val="20"/>
          <w:rtl/>
        </w:rPr>
        <w:t xml:space="preserve">, בצורה המעוותת שבה הציגו הסבא </w:t>
      </w:r>
      <w:proofErr w:type="spellStart"/>
      <w:r>
        <w:rPr>
          <w:sz w:val="20"/>
          <w:szCs w:val="20"/>
          <w:rtl/>
        </w:rPr>
        <w:t>מסלבודקה</w:t>
      </w:r>
      <w:proofErr w:type="spellEnd"/>
      <w:r>
        <w:rPr>
          <w:sz w:val="20"/>
          <w:szCs w:val="20"/>
          <w:rtl/>
        </w:rPr>
        <w:t xml:space="preserve">, הייתה זו: השילוב של תורה ולימודים כלליים שייצג </w:t>
      </w:r>
      <w:proofErr w:type="spellStart"/>
      <w:r>
        <w:rPr>
          <w:sz w:val="20"/>
          <w:szCs w:val="20"/>
          <w:rtl/>
        </w:rPr>
        <w:t>גרובין</w:t>
      </w:r>
      <w:proofErr w:type="spellEnd"/>
      <w:r>
        <w:rPr>
          <w:sz w:val="20"/>
          <w:szCs w:val="20"/>
          <w:rtl/>
        </w:rPr>
        <w:t xml:space="preserve"> נדחה לבסוף אפילו בידי מייסד בית הספר </w:t>
      </w:r>
      <w:proofErr w:type="spellStart"/>
      <w:r>
        <w:rPr>
          <w:sz w:val="20"/>
          <w:szCs w:val="20"/>
          <w:rtl/>
        </w:rPr>
        <w:t>בגרובין</w:t>
      </w:r>
      <w:proofErr w:type="spellEnd"/>
      <w:r>
        <w:rPr>
          <w:sz w:val="20"/>
          <w:szCs w:val="20"/>
          <w:rtl/>
        </w:rPr>
        <w:t xml:space="preserve"> עצמו. על שילוב זה השווה גם את המסר האחרון שהשאיר </w:t>
      </w:r>
      <w:proofErr w:type="spellStart"/>
      <w:r>
        <w:rPr>
          <w:sz w:val="20"/>
          <w:szCs w:val="20"/>
          <w:rtl/>
        </w:rPr>
        <w:t>הנצי״ב</w:t>
      </w:r>
      <w:proofErr w:type="spellEnd"/>
      <w:r>
        <w:rPr>
          <w:sz w:val="20"/>
          <w:szCs w:val="20"/>
          <w:rtl/>
        </w:rPr>
        <w:t xml:space="preserve"> לבנו ר׳ חיים ברלין, המצוטט בנספח יא לעיל.</w:t>
      </w:r>
    </w:p>
  </w:footnote>
  <w:footnote w:id="2181">
    <w:p w14:paraId="7EDF45A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108 בפרק זה.</w:t>
      </w:r>
    </w:p>
  </w:footnote>
  <w:footnote w:id="2182">
    <w:p w14:paraId="567F175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108 בפרק זה.</w:t>
      </w:r>
    </w:p>
  </w:footnote>
  <w:footnote w:id="2183">
    <w:p w14:paraId="64AE529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אבי ראה בו את בעל המוסר הגדול ביותר בתקופה שלאחר מלחמת העולם השנייה.</w:t>
      </w:r>
    </w:p>
  </w:footnote>
  <w:footnote w:id="2184">
    <w:p w14:paraId="0EA2843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המילה המודגשת מהדהדת את עברו האישי של ר׳ </w:t>
      </w:r>
      <w:proofErr w:type="spellStart"/>
      <w:r>
        <w:rPr>
          <w:sz w:val="20"/>
          <w:szCs w:val="20"/>
          <w:rtl/>
        </w:rPr>
        <w:t>יוסף־שלמה</w:t>
      </w:r>
      <w:proofErr w:type="spellEnd"/>
      <w:r>
        <w:rPr>
          <w:sz w:val="20"/>
          <w:szCs w:val="20"/>
          <w:rtl/>
        </w:rPr>
        <w:t xml:space="preserve"> </w:t>
      </w:r>
      <w:proofErr w:type="spellStart"/>
      <w:r>
        <w:rPr>
          <w:sz w:val="20"/>
          <w:szCs w:val="20"/>
          <w:rtl/>
        </w:rPr>
        <w:t>כהנמן</w:t>
      </w:r>
      <w:proofErr w:type="spellEnd"/>
      <w:r>
        <w:rPr>
          <w:sz w:val="20"/>
          <w:szCs w:val="20"/>
          <w:rtl/>
        </w:rPr>
        <w:t xml:space="preserve"> כמתנגד למוסר – השווה פרק 4, הערה 103. על התנגדותו ללימודים כלליים ראה מאמרו של ד. רבין </w:t>
      </w:r>
      <w:proofErr w:type="spellStart"/>
      <w:r>
        <w:rPr>
          <w:sz w:val="20"/>
          <w:szCs w:val="20"/>
          <w:rtl/>
        </w:rPr>
        <w:t>ב“אנציקלופדיה</w:t>
      </w:r>
      <w:proofErr w:type="spellEnd"/>
      <w:r>
        <w:rPr>
          <w:sz w:val="20"/>
          <w:szCs w:val="20"/>
          <w:rtl/>
        </w:rPr>
        <w:t xml:space="preserve"> של גלויות – </w:t>
      </w:r>
      <w:proofErr w:type="spellStart"/>
      <w:r>
        <w:rPr>
          <w:sz w:val="20"/>
          <w:szCs w:val="20"/>
          <w:rtl/>
        </w:rPr>
        <w:t>גרודנא</w:t>
      </w:r>
      <w:proofErr w:type="spellEnd"/>
      <w:r>
        <w:rPr>
          <w:sz w:val="20"/>
          <w:szCs w:val="20"/>
          <w:rtl/>
        </w:rPr>
        <w:t xml:space="preserve">” (ארגון יוצאי </w:t>
      </w:r>
      <w:proofErr w:type="spellStart"/>
      <w:r>
        <w:rPr>
          <w:sz w:val="20"/>
          <w:szCs w:val="20"/>
          <w:rtl/>
        </w:rPr>
        <w:t>גרודנא</w:t>
      </w:r>
      <w:proofErr w:type="spellEnd"/>
      <w:r>
        <w:rPr>
          <w:sz w:val="20"/>
          <w:szCs w:val="20"/>
          <w:rtl/>
        </w:rPr>
        <w:t xml:space="preserve"> בישראל, 1973), עמ׳ 322, המביא מפי ר׳ </w:t>
      </w:r>
      <w:proofErr w:type="spellStart"/>
      <w:r>
        <w:rPr>
          <w:sz w:val="20"/>
          <w:szCs w:val="20"/>
          <w:rtl/>
        </w:rPr>
        <w:t>אריה־לייב</w:t>
      </w:r>
      <w:proofErr w:type="spellEnd"/>
      <w:r>
        <w:rPr>
          <w:sz w:val="20"/>
          <w:szCs w:val="20"/>
          <w:rtl/>
        </w:rPr>
        <w:t xml:space="preserve"> </w:t>
      </w:r>
      <w:proofErr w:type="spellStart"/>
      <w:r>
        <w:rPr>
          <w:sz w:val="20"/>
          <w:szCs w:val="20"/>
          <w:rtl/>
        </w:rPr>
        <w:t>ולר</w:t>
      </w:r>
      <w:proofErr w:type="spellEnd"/>
      <w:r>
        <w:rPr>
          <w:sz w:val="20"/>
          <w:szCs w:val="20"/>
          <w:rtl/>
        </w:rPr>
        <w:t xml:space="preserve">, תלמיד ישיבת שער התורה </w:t>
      </w:r>
      <w:proofErr w:type="spellStart"/>
      <w:r>
        <w:rPr>
          <w:sz w:val="20"/>
          <w:szCs w:val="20"/>
          <w:rtl/>
        </w:rPr>
        <w:t>בגרודנא</w:t>
      </w:r>
      <w:proofErr w:type="spellEnd"/>
      <w:r>
        <w:rPr>
          <w:sz w:val="20"/>
          <w:szCs w:val="20"/>
          <w:rtl/>
        </w:rPr>
        <w:t xml:space="preserve">: “המשכילים היהודים, שארגנו מטבח לתלמידים הלומדים בישיבה </w:t>
      </w:r>
      <w:proofErr w:type="spellStart"/>
      <w:r>
        <w:rPr>
          <w:sz w:val="20"/>
          <w:szCs w:val="20"/>
          <w:rtl/>
        </w:rPr>
        <w:t>בגרודנא</w:t>
      </w:r>
      <w:proofErr w:type="spellEnd"/>
      <w:r>
        <w:rPr>
          <w:sz w:val="20"/>
          <w:szCs w:val="20"/>
          <w:rtl/>
        </w:rPr>
        <w:t xml:space="preserve">, העלו דרישה להכליל לימודים כלליים בתוכנית הלימודים; </w:t>
      </w:r>
      <w:proofErr w:type="spellStart"/>
      <w:r>
        <w:rPr>
          <w:sz w:val="20"/>
          <w:szCs w:val="20"/>
          <w:rtl/>
        </w:rPr>
        <w:t>משלא</w:t>
      </w:r>
      <w:proofErr w:type="spellEnd"/>
      <w:r>
        <w:rPr>
          <w:sz w:val="20"/>
          <w:szCs w:val="20"/>
          <w:rtl/>
        </w:rPr>
        <w:t xml:space="preserve"> נענו, סגרו המשכילים את המטבח. בעלי הבתים בני העיר שהקימו את הישיבה, והתנגדו ללימודים כלליים, הזעיקו את ר׳ </w:t>
      </w:r>
      <w:proofErr w:type="spellStart"/>
      <w:r>
        <w:rPr>
          <w:sz w:val="20"/>
          <w:szCs w:val="20"/>
          <w:rtl/>
        </w:rPr>
        <w:t>יוסף־שלמה</w:t>
      </w:r>
      <w:proofErr w:type="spellEnd"/>
      <w:r>
        <w:rPr>
          <w:sz w:val="20"/>
          <w:szCs w:val="20"/>
          <w:rtl/>
        </w:rPr>
        <w:t xml:space="preserve"> </w:t>
      </w:r>
      <w:proofErr w:type="spellStart"/>
      <w:r>
        <w:rPr>
          <w:sz w:val="20"/>
          <w:szCs w:val="20"/>
          <w:rtl/>
        </w:rPr>
        <w:t>כהנמן</w:t>
      </w:r>
      <w:proofErr w:type="spellEnd"/>
      <w:r>
        <w:rPr>
          <w:sz w:val="20"/>
          <w:szCs w:val="20"/>
          <w:rtl/>
        </w:rPr>
        <w:t xml:space="preserve">, שהתגורר אז בעיירה סמוכה לווילנה. בהשפעתו חזר הכול לקדמותו – בלי הלימודים הכלליים. בעקבות מקרה זה החליטו בעלי הבתים שיש להביא ראש ישיבה שיעמוד בראשה”.</w:t>
      </w:r>
    </w:p>
    <w:p w14:paraId="0BB69E94" w14:textId="77777777" w:rsidR="00AB3647" w:rsidRDefault="00000000">
      <w:pPr>
        <w:spacing w:after="0" w:before="0"/>
        <w:jc w:val="both"/>
      </w:pPr>
      <w:r>
        <w:rPr>
          <w:sz w:val="20"/>
          <w:szCs w:val="20"/>
          <w:rtl/>
        </w:rPr>
        <w:t xml:space="preserve">ר׳ אלתר </w:t>
      </w:r>
      <w:proofErr w:type="spellStart"/>
      <w:r>
        <w:rPr>
          <w:sz w:val="20"/>
          <w:szCs w:val="20"/>
          <w:rtl/>
        </w:rPr>
        <w:t>שמואלביץ</w:t>
      </w:r>
      <w:proofErr w:type="spellEnd"/>
      <w:r>
        <w:rPr>
          <w:sz w:val="20"/>
          <w:szCs w:val="20"/>
          <w:rtl/>
        </w:rPr>
        <w:t xml:space="preserve">, חתנו של ר׳ יוזל </w:t>
      </w:r>
      <w:proofErr w:type="spellStart"/>
      <w:r>
        <w:rPr>
          <w:sz w:val="20"/>
          <w:szCs w:val="20"/>
          <w:rtl/>
        </w:rPr>
        <w:t>מנובהרדוק</w:t>
      </w:r>
      <w:proofErr w:type="spellEnd"/>
      <w:r>
        <w:rPr>
          <w:sz w:val="20"/>
          <w:szCs w:val="20"/>
          <w:rtl/>
        </w:rPr>
        <w:t xml:space="preserve"> ואביו של ר׳ חיים </w:t>
      </w:r>
      <w:proofErr w:type="spellStart"/>
      <w:r>
        <w:rPr>
          <w:sz w:val="20"/>
          <w:szCs w:val="20"/>
          <w:rtl/>
        </w:rPr>
        <w:t>שמואלביץ</w:t>
      </w:r>
      <w:proofErr w:type="spellEnd"/>
      <w:r>
        <w:rPr>
          <w:sz w:val="20"/>
          <w:szCs w:val="20"/>
          <w:rtl/>
        </w:rPr>
        <w:t xml:space="preserve">, לימים ראש ישיבת </w:t>
      </w:r>
      <w:proofErr w:type="spellStart"/>
      <w:r>
        <w:rPr>
          <w:sz w:val="20"/>
          <w:szCs w:val="20"/>
          <w:rtl/>
        </w:rPr>
        <w:t>מיר</w:t>
      </w:r>
      <w:proofErr w:type="spellEnd"/>
      <w:r>
        <w:rPr>
          <w:sz w:val="20"/>
          <w:szCs w:val="20"/>
          <w:rtl/>
        </w:rPr>
        <w:t xml:space="preserve"> בירושלים, נתמנה אז לראש הישיבה הראשון של ישיבת שער התורה. הדבר אירע בשנים תרע״ו–תרע״ז, כשר׳ </w:t>
      </w:r>
      <w:proofErr w:type="spellStart"/>
      <w:r>
        <w:rPr>
          <w:sz w:val="20"/>
          <w:szCs w:val="20"/>
          <w:rtl/>
        </w:rPr>
        <w:t>יוסף־שלמה</w:t>
      </w:r>
      <w:proofErr w:type="spellEnd"/>
      <w:r>
        <w:rPr>
          <w:sz w:val="20"/>
          <w:szCs w:val="20"/>
          <w:rtl/>
        </w:rPr>
        <w:t xml:space="preserve"> </w:t>
      </w:r>
      <w:proofErr w:type="spellStart"/>
      <w:r>
        <w:rPr>
          <w:sz w:val="20"/>
          <w:szCs w:val="20"/>
          <w:rtl/>
        </w:rPr>
        <w:t>כהנמן</w:t>
      </w:r>
      <w:proofErr w:type="spellEnd"/>
      <w:r>
        <w:rPr>
          <w:sz w:val="20"/>
          <w:szCs w:val="20"/>
          <w:rtl/>
        </w:rPr>
        <w:t xml:space="preserve"> שהה </w:t>
      </w:r>
      <w:proofErr w:type="spellStart"/>
      <w:r>
        <w:rPr>
          <w:sz w:val="20"/>
          <w:szCs w:val="20"/>
          <w:rtl/>
        </w:rPr>
        <w:t>בקולטיניאן</w:t>
      </w:r>
      <w:proofErr w:type="spellEnd"/>
      <w:r>
        <w:rPr>
          <w:sz w:val="20"/>
          <w:szCs w:val="20"/>
          <w:rtl/>
        </w:rPr>
        <w:t xml:space="preserve">, “עיירה סמוכה לווילנה”, כמסופר בפרק 4, הפסקה השנייה בנספח </w:t>
      </w:r>
      <w:proofErr w:type="spellStart"/>
      <w:r>
        <w:rPr>
          <w:sz w:val="20"/>
          <w:szCs w:val="20"/>
          <w:rtl/>
        </w:rPr>
        <w:t>יח</w:t>
      </w:r>
      <w:proofErr w:type="spellEnd"/>
      <w:r>
        <w:rPr>
          <w:sz w:val="20"/>
          <w:szCs w:val="20"/>
          <w:rtl/>
        </w:rPr>
        <w:t>.</w:t>
      </w:r>
    </w:p>
  </w:footnote>
  <w:footnote w:id="2185">
    <w:p w14:paraId="77EE458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פרק 4, הערה 41.</w:t>
      </w:r>
    </w:p>
  </w:footnote>
  <w:footnote w:id="2186">
    <w:p w14:paraId="0AEDCA2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פרק 4, הפסקה השנייה של נספח ב, כיצד נתפסה ישיבת </w:t>
      </w:r>
      <w:proofErr w:type="spellStart"/>
      <w:r>
        <w:rPr>
          <w:sz w:val="20"/>
          <w:szCs w:val="20"/>
          <w:rtl/>
        </w:rPr>
        <w:t>סלבודקה</w:t>
      </w:r>
      <w:proofErr w:type="spellEnd"/>
      <w:r>
        <w:rPr>
          <w:sz w:val="20"/>
          <w:szCs w:val="20"/>
          <w:rtl/>
        </w:rPr>
        <w:t xml:space="preserve"> של הסבא כמתנגדת בתקיפות ללימודי חול כבר עשור קודם לכן.</w:t>
      </w:r>
    </w:p>
  </w:footnote>
  <w:footnote w:id="2187">
    <w:p w14:paraId="5F71BF2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הפסקה השנייה של נספח </w:t>
      </w:r>
      <w:proofErr w:type="spellStart"/>
      <w:r>
        <w:rPr>
          <w:sz w:val="20"/>
          <w:szCs w:val="20"/>
          <w:rtl/>
        </w:rPr>
        <w:t>יב</w:t>
      </w:r>
      <w:proofErr w:type="spellEnd"/>
      <w:r>
        <w:rPr>
          <w:sz w:val="20"/>
          <w:szCs w:val="20"/>
          <w:rtl/>
        </w:rPr>
        <w:t xml:space="preserve"> לעיל – עמ׳ 205, מכתב קנט.</w:t>
      </w:r>
    </w:p>
  </w:footnote>
  <w:footnote w:id="2188">
    <w:p w14:paraId="29BEBB0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הערה 56 בפרק זה, על המצב ברוסיה בשנות </w:t>
      </w:r>
      <w:proofErr w:type="spellStart"/>
      <w:r>
        <w:rPr>
          <w:sz w:val="20"/>
          <w:szCs w:val="20"/>
          <w:rtl/>
        </w:rPr>
        <w:t>הת״ר־ס</w:t>
      </w:r>
      <w:proofErr w:type="spellEnd"/>
      <w:r>
        <w:rPr>
          <w:sz w:val="20"/>
          <w:szCs w:val="20"/>
          <w:rtl/>
        </w:rPr>
        <w:t>׳.</w:t>
      </w:r>
    </w:p>
  </w:footnote>
  <w:footnote w:id="2189">
    <w:p w14:paraId="15197AB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דברים כ, ח. ראה גם עמ׳ </w:t>
      </w:r>
      <w:r>
        <w:rPr>
          <w:sz w:val="20"/>
          <w:szCs w:val="20"/>
          <w:rtl/>
        </w:rPr>
        <w:fldChar w:fldCharType="begin" w:dirty="true"/>
      </w:r>
      <w:r>
        <w:rPr>
          <w:sz w:val="20"/>
          <w:szCs w:val="20"/>
          <w:rtl/>
        </w:rPr>
        <w:instrText xml:space="preserve"> PAGEREF pr_b_2047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r>
        <w:rPr>
          <w:sz w:val="20"/>
          <w:szCs w:val="20"/>
          <w:rtl/>
        </w:rPr>
        <w:fldChar w:fldCharType="begin" w:dirty="true"/>
      </w:r>
      <w:r>
        <w:rPr>
          <w:sz w:val="20"/>
          <w:szCs w:val="20"/>
          <w:rtl/>
        </w:rPr>
        <w:instrText xml:space="preserve"> PAGEREF pr_b_2049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להלן, והערת שוליים </w:t>
      </w:r>
      <w:r>
        <w:rPr>
          <w:sz w:val="20"/>
          <w:szCs w:val="20"/>
          <w:rtl/>
        </w:rPr>
        <w:fldChar w:fldCharType="begin" w:dirty="true"/>
      </w:r>
      <w:r>
        <w:rPr>
          <w:sz w:val="20"/>
          <w:szCs w:val="20"/>
          <w:rtl/>
        </w:rPr>
        <w:instrText xml:space="preserve"> NOTEREF pr_f_3536 \h </w:instrText>
      </w:r>
      <w:r>
        <w:rPr>
          <w:sz w:val="20"/>
          <w:szCs w:val="20"/>
          <w:rtl/>
        </w:rPr>
      </w:r>
      <w:r>
        <w:rPr>
          <w:sz w:val="20"/>
          <w:szCs w:val="20"/>
          <w:rtl/>
        </w:rPr>
        <w:fldChar w:fldCharType="separate"/>
      </w:r>
      <w:r w:rsidR="007923E9">
        <w:rPr>
          <w:sz w:val="20"/>
          <w:szCs w:val="20"/>
          <w:rtl/>
        </w:rPr>
        <w:t>613</w:t>
      </w:r>
      <w:r>
        <w:rPr>
          <w:sz w:val="20"/>
          <w:szCs w:val="20"/>
          <w:rtl/>
        </w:rPr>
        <w:fldChar w:fldCharType="end"/>
      </w:r>
      <w:r>
        <w:rPr>
          <w:sz w:val="20"/>
          <w:szCs w:val="20"/>
          <w:rtl/>
        </w:rPr>
        <w:t xml:space="preserve"> שם.</w:t>
      </w:r>
    </w:p>
  </w:footnote>
  <w:footnote w:id="2190">
    <w:p w14:paraId="0D85BEC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שבת קנב ע״א.</w:t>
      </w:r>
    </w:p>
  </w:footnote>
  <w:footnote w:id="2191">
    <w:p w14:paraId="5EF3F11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משלי ט, </w:t>
      </w:r>
      <w:proofErr w:type="spellStart"/>
      <w:r>
        <w:rPr>
          <w:sz w:val="20"/>
          <w:szCs w:val="20"/>
          <w:rtl/>
        </w:rPr>
        <w:t>יז</w:t>
      </w:r>
      <w:proofErr w:type="spellEnd"/>
      <w:r>
        <w:rPr>
          <w:sz w:val="20"/>
          <w:szCs w:val="20"/>
          <w:rtl/>
        </w:rPr>
        <w:t>.</w:t>
      </w:r>
    </w:p>
  </w:footnote>
  <w:footnote w:id="2192">
    <w:p w14:paraId="4F75E12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נספח יא לעיל. יש להבין גם שבמקרה של </w:t>
      </w:r>
      <w:proofErr w:type="spellStart"/>
      <w:r>
        <w:rPr>
          <w:sz w:val="20"/>
          <w:szCs w:val="20"/>
          <w:rtl/>
        </w:rPr>
        <w:t>וולוז׳ין</w:t>
      </w:r>
      <w:proofErr w:type="spellEnd"/>
      <w:r>
        <w:rPr>
          <w:sz w:val="20"/>
          <w:szCs w:val="20"/>
          <w:rtl/>
        </w:rPr>
        <w:t xml:space="preserve"> ביקשה הממשלה להגביל את לימודי הקודש לשלוש שעות ביום (ראה “הראשון לשושלת </w:t>
      </w:r>
      <w:proofErr w:type="spellStart"/>
      <w:r>
        <w:rPr>
          <w:sz w:val="20"/>
          <w:szCs w:val="20"/>
          <w:rtl/>
        </w:rPr>
        <w:t>בריסק</w:t>
      </w:r>
      <w:proofErr w:type="spellEnd"/>
      <w:r>
        <w:rPr>
          <w:sz w:val="20"/>
          <w:szCs w:val="20"/>
          <w:rtl/>
        </w:rPr>
        <w:t xml:space="preserve">”, הערה 12 לעיל, עמ׳ 417–418). הגבלה זו הייתה משנה מן היסוד את אופיו של המוסד – מישיבה שיש בה לימודי חול </w:t>
      </w:r>
      <w:proofErr w:type="spellStart"/>
      <w:r>
        <w:rPr>
          <w:sz w:val="20"/>
          <w:szCs w:val="20"/>
          <w:rtl/>
        </w:rPr>
        <w:t>לגימנסיה־אוניברסיטה</w:t>
      </w:r>
      <w:proofErr w:type="spellEnd"/>
      <w:r>
        <w:rPr>
          <w:sz w:val="20"/>
          <w:szCs w:val="20"/>
          <w:rtl/>
        </w:rPr>
        <w:t xml:space="preserve"> שיש בה לימודי קודש – ואי אפשר היה לקבלה בשום אופן.</w:t>
      </w:r>
    </w:p>
  </w:footnote>
  <w:footnote w:id="2193">
    <w:p w14:paraId="784BFD3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ירושלם, תרפ״ט – עמ׳ 5.</w:t>
      </w:r>
    </w:p>
  </w:footnote>
  <w:footnote w:id="2194">
    <w:p w14:paraId="163E3BF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סיוון תש״ז – עמ׳ </w:t>
      </w:r>
      <w:proofErr w:type="spellStart"/>
      <w:r>
        <w:rPr>
          <w:sz w:val="20"/>
          <w:szCs w:val="20"/>
          <w:rtl/>
        </w:rPr>
        <w:t>קמג</w:t>
      </w:r>
      <w:proofErr w:type="spellEnd"/>
      <w:r>
        <w:rPr>
          <w:sz w:val="20"/>
          <w:szCs w:val="20"/>
          <w:rtl/>
        </w:rPr>
        <w:t>.</w:t>
      </w:r>
    </w:p>
  </w:footnote>
  <w:footnote w:id="2195">
    <w:p w14:paraId="6C8E43E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“לבוש מרדכי”, שם.</w:t>
      </w:r>
    </w:p>
  </w:footnote>
  <w:footnote w:id="2196">
    <w:p w14:paraId="28D0977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בתחילה נקראה ישיבה זו “ישיבת חפץ חיים”, ואחר כך הוחלף שמה </w:t>
      </w:r>
      <w:proofErr w:type="spellStart"/>
      <w:r>
        <w:rPr>
          <w:sz w:val="20"/>
          <w:szCs w:val="20"/>
          <w:rtl/>
        </w:rPr>
        <w:t>ל“ישיבת</w:t>
      </w:r>
      <w:proofErr w:type="spellEnd"/>
      <w:r>
        <w:rPr>
          <w:sz w:val="20"/>
          <w:szCs w:val="20"/>
          <w:rtl/>
        </w:rPr>
        <w:t xml:space="preserve"> אור החיים”.</w:t>
      </w:r>
    </w:p>
  </w:footnote>
  <w:footnote w:id="2197">
    <w:p w14:paraId="65507FD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כץ, “תנועת המוסר”, כרך ב, עמ׳ 411, וכרך ג, עמ׳ 26–27. סדר הזמנים שלנו לראשית פעילותו של הסבא – בית מדרש הלוויית המת, כולל קובנה, </w:t>
      </w:r>
      <w:proofErr w:type="spellStart"/>
      <w:r>
        <w:rPr>
          <w:sz w:val="20"/>
          <w:szCs w:val="20"/>
          <w:rtl/>
        </w:rPr>
        <w:t>גרובין</w:t>
      </w:r>
      <w:proofErr w:type="spellEnd"/>
      <w:r>
        <w:rPr>
          <w:sz w:val="20"/>
          <w:szCs w:val="20"/>
          <w:rtl/>
        </w:rPr>
        <w:t xml:space="preserve"> וישיבת ר׳ </w:t>
      </w:r>
      <w:proofErr w:type="spellStart"/>
      <w:r>
        <w:rPr>
          <w:sz w:val="20"/>
          <w:szCs w:val="20"/>
          <w:rtl/>
        </w:rPr>
        <w:t>הירשל׳ה</w:t>
      </w:r>
      <w:proofErr w:type="spellEnd"/>
      <w:r>
        <w:rPr>
          <w:sz w:val="20"/>
          <w:szCs w:val="20"/>
          <w:rtl/>
        </w:rPr>
        <w:t xml:space="preserve"> – אינו תואם את ספרו של כץ, כרך ג, פרק 1, עמ׳ 19 ואילך, שסדרו הוא: </w:t>
      </w:r>
      <w:proofErr w:type="spellStart"/>
      <w:r>
        <w:rPr>
          <w:sz w:val="20"/>
          <w:szCs w:val="20"/>
          <w:rtl/>
        </w:rPr>
        <w:t>גרובין</w:t>
      </w:r>
      <w:proofErr w:type="spellEnd"/>
      <w:r>
        <w:rPr>
          <w:sz w:val="20"/>
          <w:szCs w:val="20"/>
          <w:rtl/>
        </w:rPr>
        <w:t xml:space="preserve">, ישיבת ר׳ </w:t>
      </w:r>
      <w:proofErr w:type="spellStart"/>
      <w:r>
        <w:rPr>
          <w:sz w:val="20"/>
          <w:szCs w:val="20"/>
          <w:rtl/>
        </w:rPr>
        <w:t>הירשל׳ה</w:t>
      </w:r>
      <w:proofErr w:type="spellEnd"/>
      <w:r>
        <w:rPr>
          <w:sz w:val="20"/>
          <w:szCs w:val="20"/>
          <w:rtl/>
        </w:rPr>
        <w:t xml:space="preserve">, בית מדרש הלוויית המת, כולל קובנה. כץ שגה בכך בגלל טעותו היסודית בשנת ייסודה של </w:t>
      </w:r>
      <w:proofErr w:type="spellStart"/>
      <w:r>
        <w:rPr>
          <w:sz w:val="20"/>
          <w:szCs w:val="20"/>
          <w:rtl/>
        </w:rPr>
        <w:t>גרובין</w:t>
      </w:r>
      <w:proofErr w:type="spellEnd"/>
      <w:r>
        <w:rPr>
          <w:sz w:val="20"/>
          <w:szCs w:val="20"/>
          <w:rtl/>
        </w:rPr>
        <w:t xml:space="preserve"> – השווה הערת שוליים </w:t>
      </w:r>
      <w:r>
        <w:rPr>
          <w:sz w:val="20"/>
          <w:szCs w:val="20"/>
          <w:rtl/>
        </w:rPr>
        <w:fldChar w:fldCharType="begin" w:dirty="true"/>
      </w:r>
      <w:r>
        <w:rPr>
          <w:sz w:val="20"/>
          <w:szCs w:val="20"/>
          <w:rtl/>
        </w:rPr>
        <w:instrText xml:space="preserve"> NOTEREF pr_f_2408 \h </w:instrText>
      </w:r>
      <w:r>
        <w:rPr>
          <w:sz w:val="20"/>
          <w:szCs w:val="20"/>
          <w:rtl/>
        </w:rPr>
      </w:r>
      <w:r>
        <w:rPr>
          <w:sz w:val="20"/>
          <w:szCs w:val="20"/>
          <w:rtl/>
        </w:rPr>
        <w:fldChar w:fldCharType="separate"/>
      </w:r>
      <w:r w:rsidR="007923E9">
        <w:rPr>
          <w:sz w:val="20"/>
          <w:szCs w:val="20"/>
          <w:rtl/>
        </w:rPr>
        <w:t>1454</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pr_f_2408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להלן.</w:t>
      </w:r>
    </w:p>
  </w:footnote>
  <w:footnote w:id="2198">
    <w:p w14:paraId="5C44FE0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כץ, “תנועת המוסר”, כרך ב, עמ׳ 411. השווה גם תחילת נספח יד לעיל, לפרטים נוספים על הרב </w:t>
      </w:r>
      <w:proofErr w:type="spellStart"/>
      <w:r>
        <w:rPr>
          <w:sz w:val="20"/>
          <w:szCs w:val="20"/>
          <w:rtl/>
        </w:rPr>
        <w:t>לייזרוביץ</w:t>
      </w:r>
      <w:proofErr w:type="spellEnd"/>
      <w:r>
        <w:rPr>
          <w:sz w:val="20"/>
          <w:szCs w:val="20"/>
          <w:rtl/>
        </w:rPr>
        <w:t>.</w:t>
      </w:r>
    </w:p>
  </w:footnote>
  <w:footnote w:id="2199">
    <w:p w14:paraId="5DD1F86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א לעיל.</w:t>
      </w:r>
    </w:p>
  </w:footnote>
  <w:footnote w:id="2200">
    <w:p w14:paraId="5B32970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כץ, “תנועת המוסר”, כרך ג, עמ׳ 29. השווה גם שם, הערת השוליים בעמ׳ 29–30, </w:t>
      </w:r>
      <w:proofErr w:type="spellStart"/>
      <w:r>
        <w:rPr>
          <w:sz w:val="20"/>
          <w:szCs w:val="20"/>
          <w:rtl/>
        </w:rPr>
        <w:t>שתרמ״א</w:t>
      </w:r>
      <w:proofErr w:type="spellEnd"/>
      <w:r>
        <w:rPr>
          <w:sz w:val="20"/>
          <w:szCs w:val="20"/>
          <w:rtl/>
        </w:rPr>
        <w:t xml:space="preserve"> היא שנת ייסודה הנכונה של הישיבה </w:t>
      </w:r>
      <w:proofErr w:type="spellStart"/>
      <w:r>
        <w:rPr>
          <w:sz w:val="20"/>
          <w:szCs w:val="20"/>
          <w:rtl/>
        </w:rPr>
        <w:t>בטלז</w:t>
      </w:r>
      <w:proofErr w:type="spellEnd"/>
      <w:r>
        <w:rPr>
          <w:sz w:val="20"/>
          <w:szCs w:val="20"/>
          <w:rtl/>
        </w:rPr>
        <w:t>, ולא תרל״ז, כפי שטוענים מקצת המקורות; ראה על כך עוד בפרק 4, הפסקה השנייה של נספח ח.</w:t>
      </w:r>
    </w:p>
  </w:footnote>
  <w:footnote w:id="2201">
    <w:p w14:paraId="3ED8AFB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הריאיון המוקלט על הסבא </w:t>
      </w:r>
      <w:proofErr w:type="spellStart"/>
      <w:r>
        <w:rPr>
          <w:sz w:val="20"/>
          <w:szCs w:val="20"/>
          <w:rtl/>
        </w:rPr>
        <w:t>מסלבודקה</w:t>
      </w:r>
      <w:proofErr w:type="spellEnd"/>
      <w:r>
        <w:rPr>
          <w:sz w:val="20"/>
          <w:szCs w:val="20"/>
          <w:rtl/>
        </w:rPr>
        <w:t>.</w:t>
      </w:r>
    </w:p>
  </w:footnote>
  <w:footnote w:id="2202">
    <w:p w14:paraId="19D93CC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חי בשנים תר״ח–תרפ״ה; לימים חותנם של ר׳ אלחנן וסרמן ושל ר׳ </w:t>
      </w:r>
      <w:proofErr w:type="spellStart"/>
      <w:r>
        <w:rPr>
          <w:sz w:val="20"/>
          <w:szCs w:val="20"/>
          <w:rtl/>
        </w:rPr>
        <w:t>חיים־עוזר</w:t>
      </w:r>
      <w:proofErr w:type="spellEnd"/>
      <w:r>
        <w:rPr>
          <w:sz w:val="20"/>
          <w:szCs w:val="20"/>
          <w:rtl/>
        </w:rPr>
        <w:t xml:space="preserve"> </w:t>
      </w:r>
      <w:proofErr w:type="spellStart"/>
      <w:r>
        <w:rPr>
          <w:sz w:val="20"/>
          <w:szCs w:val="20"/>
          <w:rtl/>
        </w:rPr>
        <w:t>גרודזנסקי</w:t>
      </w:r>
      <w:proofErr w:type="spellEnd"/>
      <w:r>
        <w:rPr>
          <w:sz w:val="20"/>
          <w:szCs w:val="20"/>
          <w:rtl/>
        </w:rPr>
        <w:t xml:space="preserve"> בנישואיו השניים.</w:t>
      </w:r>
    </w:p>
  </w:footnote>
  <w:footnote w:id="2203">
    <w:p w14:paraId="3DFE1EA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חי בשנים תרי״ד–תרפ״ו, נזכר בנספח יד לעיל, ולימים היה חותנו של ר׳ </w:t>
      </w:r>
      <w:proofErr w:type="spellStart"/>
      <w:r>
        <w:rPr>
          <w:sz w:val="20"/>
          <w:szCs w:val="20"/>
          <w:rtl/>
        </w:rPr>
        <w:t>משה־בנימין</w:t>
      </w:r>
      <w:proofErr w:type="spellEnd"/>
      <w:r>
        <w:rPr>
          <w:sz w:val="20"/>
          <w:szCs w:val="20"/>
          <w:rtl/>
        </w:rPr>
        <w:t xml:space="preserve"> </w:t>
      </w:r>
      <w:proofErr w:type="spellStart"/>
      <w:r>
        <w:rPr>
          <w:sz w:val="20"/>
          <w:szCs w:val="20"/>
          <w:rtl/>
        </w:rPr>
        <w:t>תומשוב</w:t>
      </w:r>
      <w:proofErr w:type="spellEnd"/>
      <w:r>
        <w:rPr>
          <w:sz w:val="20"/>
          <w:szCs w:val="20"/>
          <w:rtl/>
        </w:rPr>
        <w:t xml:space="preserve"> (תרל״ח–</w:t>
      </w:r>
      <w:proofErr w:type="spellStart"/>
      <w:r>
        <w:rPr>
          <w:sz w:val="20"/>
          <w:szCs w:val="20"/>
          <w:rtl/>
        </w:rPr>
        <w:t>תש״ך</w:t>
      </w:r>
      <w:proofErr w:type="spellEnd"/>
      <w:r>
        <w:rPr>
          <w:sz w:val="20"/>
          <w:szCs w:val="20"/>
          <w:rtl/>
        </w:rPr>
        <w:t xml:space="preserve">), שערך עם ר׳ </w:t>
      </w:r>
      <w:proofErr w:type="spellStart"/>
      <w:r>
        <w:rPr>
          <w:sz w:val="20"/>
          <w:szCs w:val="20"/>
          <w:rtl/>
        </w:rPr>
        <w:t>איסר־זלמן</w:t>
      </w:r>
      <w:proofErr w:type="spellEnd"/>
      <w:r>
        <w:rPr>
          <w:sz w:val="20"/>
          <w:szCs w:val="20"/>
          <w:rtl/>
        </w:rPr>
        <w:t xml:space="preserve"> את כתב העת התורני “יגדיל תורה” </w:t>
      </w:r>
      <w:proofErr w:type="spellStart"/>
      <w:r>
        <w:rPr>
          <w:sz w:val="20"/>
          <w:szCs w:val="20"/>
          <w:rtl/>
        </w:rPr>
        <w:t>בסלוצק</w:t>
      </w:r>
      <w:proofErr w:type="spellEnd"/>
      <w:r>
        <w:rPr>
          <w:sz w:val="20"/>
          <w:szCs w:val="20"/>
          <w:rtl/>
        </w:rPr>
        <w:t>, ואחר כך שימש רב בברוקלין (</w:t>
      </w:r>
      <w:proofErr w:type="spellStart"/>
      <w:r>
        <w:rPr>
          <w:sz w:val="20"/>
          <w:szCs w:val="20"/>
          <w:rtl/>
        </w:rPr>
        <w:t>ידעאל</w:t>
      </w:r>
      <w:proofErr w:type="spellEnd"/>
      <w:r>
        <w:rPr>
          <w:sz w:val="20"/>
          <w:szCs w:val="20"/>
          <w:rtl/>
        </w:rPr>
        <w:t xml:space="preserve"> מלצר, “בדרך עץ החיים”, עמ׳ 120–121, הערה 2).</w:t>
      </w:r>
    </w:p>
  </w:footnote>
  <w:footnote w:id="2204">
    <w:p w14:paraId="58E9A2A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חי בשנים תרי״ז–תרמ״ו.</w:t>
      </w:r>
    </w:p>
  </w:footnote>
  <w:footnote w:id="2205">
    <w:p w14:paraId="161212A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5.2.</w:t>
      </w:r>
    </w:p>
  </w:footnote>
  <w:footnote w:id="2206">
    <w:p w14:paraId="4E6146D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4.2.</w:t>
      </w:r>
    </w:p>
  </w:footnote>
  <w:footnote w:id="2207">
    <w:p w14:paraId="04E6665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4, נספח </w:t>
      </w:r>
      <w:proofErr w:type="spellStart"/>
      <w:r>
        <w:rPr>
          <w:sz w:val="20"/>
          <w:szCs w:val="20"/>
          <w:rtl/>
        </w:rPr>
        <w:t>יב</w:t>
      </w:r>
      <w:proofErr w:type="spellEnd"/>
      <w:r>
        <w:rPr>
          <w:sz w:val="20"/>
          <w:szCs w:val="20"/>
          <w:rtl/>
        </w:rPr>
        <w:t>.</w:t>
      </w:r>
    </w:p>
  </w:footnote>
  <w:footnote w:id="2208">
    <w:p w14:paraId="15F1DE9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נספח ו.</w:t>
      </w:r>
    </w:p>
  </w:footnote>
  <w:footnote w:id="2209">
    <w:p w14:paraId="7AF53AC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היה מבוגר מר׳ מאיר אטלס בשבע שנים, וחיבר את סדרת ספרי הקבלה “לשם שבו ואחלמה” – ראה פרק 4, הפסקה השנייה של נספח ז.</w:t>
      </w:r>
    </w:p>
  </w:footnote>
  <w:footnote w:id="2210">
    <w:p w14:paraId="2CDC715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הציטוט הוא מן המבוא הביוגרפי </w:t>
      </w:r>
      <w:proofErr w:type="spellStart"/>
      <w:r>
        <w:rPr>
          <w:sz w:val="20"/>
          <w:szCs w:val="20"/>
          <w:rtl/>
        </w:rPr>
        <w:t>ל“חלק</w:t>
      </w:r>
      <w:proofErr w:type="spellEnd"/>
      <w:r>
        <w:rPr>
          <w:sz w:val="20"/>
          <w:szCs w:val="20"/>
          <w:rtl/>
        </w:rPr>
        <w:t xml:space="preserve"> הביאורים וחלק הדרושים” של ר׳ שלמה אלישיב (נדפס בירושלים, תרצ״ה), מאת מחותנו של חתנו, ר׳ אריה לוין – להלן: הערות לשם.</w:t>
      </w:r>
    </w:p>
  </w:footnote>
  <w:footnote w:id="2211">
    <w:p w14:paraId="1FF494B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סדר הישיבות ברשימה אינו כרונולוגי, אלא הולך בעקבות כץ, “תנועת המוסר”, כרך ג, עמ׳ 57–64 ו־69–70. מן הרשימה נשמטה </w:t>
      </w:r>
      <w:proofErr w:type="spellStart"/>
      <w:r>
        <w:rPr>
          <w:sz w:val="20"/>
          <w:szCs w:val="20"/>
          <w:rtl/>
        </w:rPr>
        <w:t>פילווישוק</w:t>
      </w:r>
      <w:proofErr w:type="spellEnd"/>
      <w:r>
        <w:rPr>
          <w:sz w:val="20"/>
          <w:szCs w:val="20"/>
          <w:rtl/>
        </w:rPr>
        <w:t xml:space="preserve">. לשם, כפי שכתוב בעמ׳ 22 בספרו של מרק שפירא על ר׳ </w:t>
      </w:r>
      <w:proofErr w:type="spellStart"/>
      <w:r>
        <w:rPr>
          <w:sz w:val="20"/>
          <w:szCs w:val="20"/>
          <w:rtl/>
        </w:rPr>
        <w:t>יחיאל־יעקב</w:t>
      </w:r>
      <w:proofErr w:type="spellEnd"/>
      <w:r>
        <w:rPr>
          <w:sz w:val="20"/>
          <w:szCs w:val="20"/>
          <w:rtl/>
        </w:rPr>
        <w:t xml:space="preserve"> ויינברג (סוף נספח ט לעיל), “שלח הסבא </w:t>
      </w:r>
      <w:proofErr w:type="spellStart"/>
      <w:r>
        <w:rPr>
          <w:sz w:val="20"/>
          <w:szCs w:val="20"/>
          <w:rtl/>
        </w:rPr>
        <w:t>מסלבודקה</w:t>
      </w:r>
      <w:proofErr w:type="spellEnd"/>
      <w:r>
        <w:rPr>
          <w:sz w:val="20"/>
          <w:szCs w:val="20"/>
          <w:rtl/>
        </w:rPr>
        <w:t xml:space="preserve"> קבוצה מתלמידיו המובחרים מישיבתו </w:t>
      </w:r>
      <w:proofErr w:type="spellStart"/>
      <w:r>
        <w:rPr>
          <w:sz w:val="20"/>
          <w:szCs w:val="20"/>
          <w:rtl/>
        </w:rPr>
        <w:t>בתרע״ב</w:t>
      </w:r>
      <w:proofErr w:type="spellEnd"/>
      <w:r>
        <w:rPr>
          <w:sz w:val="20"/>
          <w:szCs w:val="20"/>
          <w:rtl/>
        </w:rPr>
        <w:t xml:space="preserve">, בתקווה שאם [רבה, תלמידו ר׳ </w:t>
      </w:r>
      <w:proofErr w:type="spellStart"/>
      <w:r>
        <w:rPr>
          <w:sz w:val="20"/>
          <w:szCs w:val="20"/>
          <w:rtl/>
        </w:rPr>
        <w:t>יחיאל־יעקב</w:t>
      </w:r>
      <w:proofErr w:type="spellEnd"/>
      <w:r>
        <w:rPr>
          <w:sz w:val="20"/>
          <w:szCs w:val="20"/>
          <w:rtl/>
        </w:rPr>
        <w:t xml:space="preserve">] ויינברג יעסוק בהוראת הבחורים, לא יהיה עוד שקוע בקשיי חייו האישיים”. לפרטי הקשיים האישיים שפקדו את ר׳ </w:t>
      </w:r>
      <w:proofErr w:type="spellStart"/>
      <w:r>
        <w:rPr>
          <w:sz w:val="20"/>
          <w:szCs w:val="20"/>
          <w:rtl/>
        </w:rPr>
        <w:t>יחיאל־יעקב</w:t>
      </w:r>
      <w:proofErr w:type="spellEnd"/>
      <w:r>
        <w:rPr>
          <w:sz w:val="20"/>
          <w:szCs w:val="20"/>
          <w:rtl/>
        </w:rPr>
        <w:t xml:space="preserve"> ויינברג ראה פרק 4, נספח ד. מאחר שהדבר לא הועיל כלל להקל את בעיותיו, ייתכן שהקיבוץ </w:t>
      </w:r>
      <w:proofErr w:type="spellStart"/>
      <w:r>
        <w:rPr>
          <w:sz w:val="20"/>
          <w:szCs w:val="20"/>
          <w:rtl/>
        </w:rPr>
        <w:t>בפילווישוק</w:t>
      </w:r>
      <w:proofErr w:type="spellEnd"/>
      <w:r>
        <w:rPr>
          <w:sz w:val="20"/>
          <w:szCs w:val="20"/>
          <w:rtl/>
        </w:rPr>
        <w:t xml:space="preserve"> לא התקיים זמן רב, ולכן הושמט אצל כץ.</w:t>
      </w:r>
    </w:p>
  </w:footnote>
  <w:footnote w:id="2212">
    <w:p w14:paraId="04FAB56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כץ, “תנועת המוסר”, כרך ג, עמ׳ 44, וכרך ה, עמ׳ 30. קיבלתי תאריך זה כנכון וככזה שאינו סותר את אמירתו </w:t>
      </w:r>
      <w:proofErr w:type="spellStart"/>
      <w:r>
        <w:rPr>
          <w:sz w:val="20"/>
          <w:szCs w:val="20"/>
          <w:rtl/>
        </w:rPr>
        <w:t>הלא־מוגדרת</w:t>
      </w:r>
      <w:proofErr w:type="spellEnd"/>
      <w:r>
        <w:rPr>
          <w:sz w:val="20"/>
          <w:szCs w:val="20"/>
          <w:rtl/>
        </w:rPr>
        <w:t xml:space="preserve"> של אבי, “כנראה תרס״ג”, בריאיון המוקלט על הסבא </w:t>
      </w:r>
      <w:proofErr w:type="spellStart"/>
      <w:r>
        <w:rPr>
          <w:sz w:val="20"/>
          <w:szCs w:val="20"/>
          <w:rtl/>
        </w:rPr>
        <w:t>מסלבודקה</w:t>
      </w:r>
      <w:proofErr w:type="spellEnd"/>
      <w:r>
        <w:rPr>
          <w:sz w:val="20"/>
          <w:szCs w:val="20"/>
          <w:rtl/>
        </w:rPr>
        <w:t>.</w:t>
      </w:r>
    </w:p>
  </w:footnote>
  <w:footnote w:id="2213">
    <w:p w14:paraId="210D363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י לעיל.</w:t>
      </w:r>
    </w:p>
  </w:footnote>
  <w:footnote w:id="2214">
    <w:p w14:paraId="12E585A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2, נספח ו; הערה 135 להלן; והפסקה השנייה של הערה 137. ראה גם </w:t>
      </w:r>
      <w:proofErr w:type="spellStart"/>
      <w:r>
        <w:rPr>
          <w:sz w:val="20"/>
          <w:szCs w:val="20"/>
          <w:rtl/>
        </w:rPr>
        <w:t>ידעאל</w:t>
      </w:r>
      <w:proofErr w:type="spellEnd"/>
      <w:r>
        <w:rPr>
          <w:sz w:val="20"/>
          <w:szCs w:val="20"/>
          <w:rtl/>
        </w:rPr>
        <w:t xml:space="preserve"> מלצר, “בדרך עץ החיים”, עמ׳ 447 ו־450, שר׳ </w:t>
      </w:r>
      <w:proofErr w:type="spellStart"/>
      <w:r>
        <w:rPr>
          <w:sz w:val="20"/>
          <w:szCs w:val="20"/>
          <w:rtl/>
        </w:rPr>
        <w:t>ברוך־בער</w:t>
      </w:r>
      <w:proofErr w:type="spellEnd"/>
      <w:r>
        <w:rPr>
          <w:sz w:val="20"/>
          <w:szCs w:val="20"/>
          <w:rtl/>
        </w:rPr>
        <w:t xml:space="preserve"> החשיב את שכלו של ר׳ </w:t>
      </w:r>
      <w:proofErr w:type="spellStart"/>
      <w:r>
        <w:rPr>
          <w:sz w:val="20"/>
          <w:szCs w:val="20"/>
          <w:rtl/>
        </w:rPr>
        <w:t>איסר־זלמן</w:t>
      </w:r>
      <w:proofErr w:type="spellEnd"/>
      <w:r>
        <w:rPr>
          <w:sz w:val="20"/>
          <w:szCs w:val="20"/>
          <w:rtl/>
        </w:rPr>
        <w:t xml:space="preserve"> לנעלה משלו. ראה גם הערת שוליים </w:t>
      </w:r>
      <w:r>
        <w:rPr>
          <w:sz w:val="20"/>
          <w:szCs w:val="20"/>
          <w:rtl/>
        </w:rPr>
        <w:fldChar w:fldCharType="begin" w:dirty="true"/>
      </w:r>
      <w:r>
        <w:rPr>
          <w:sz w:val="20"/>
          <w:szCs w:val="20"/>
          <w:rtl/>
        </w:rPr>
        <w:instrText xml:space="preserve"> NOTEREF pr_f_2382 \h </w:instrText>
      </w:r>
      <w:r>
        <w:rPr>
          <w:sz w:val="20"/>
          <w:szCs w:val="20"/>
          <w:rtl/>
        </w:rPr>
      </w:r>
      <w:r>
        <w:rPr>
          <w:sz w:val="20"/>
          <w:szCs w:val="20"/>
          <w:rtl/>
        </w:rPr>
        <w:fldChar w:fldCharType="separate"/>
      </w:r>
      <w:r w:rsidR="007923E9">
        <w:rPr>
          <w:sz w:val="20"/>
          <w:szCs w:val="20"/>
          <w:rtl/>
        </w:rPr>
        <w:t>1428</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pr_f_2382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2215">
    <w:p w14:paraId="0A44BE1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רש״י ד״ה אוכל בסנהדרין ק״ז ע״א.</w:t>
      </w:r>
    </w:p>
  </w:footnote>
  <w:footnote w:id="2216">
    <w:p w14:paraId="0A3E611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w:t>
      </w:r>
      <w:proofErr w:type="spellStart"/>
      <w:r>
        <w:rPr>
          <w:sz w:val="20"/>
          <w:szCs w:val="20"/>
          <w:rtl/>
        </w:rPr>
        <w:t>ברוך־בער</w:t>
      </w:r>
      <w:proofErr w:type="spellEnd"/>
      <w:r>
        <w:rPr>
          <w:sz w:val="20"/>
          <w:szCs w:val="20"/>
          <w:rtl/>
        </w:rPr>
        <w:t xml:space="preserve"> סיפר את המעשה כשהצטער על שדיבר אל רבו בחוצפה (לדעתו), וקרא: “כיצד העזתי לומר דבר כזה, </w:t>
      </w:r>
      <w:proofErr w:type="spellStart"/>
      <w:r>
        <w:rPr>
          <w:sz w:val="20"/>
          <w:szCs w:val="20"/>
          <w:rtl/>
        </w:rPr>
        <w:t>כשאפילו</w:t>
      </w:r>
      <w:proofErr w:type="spellEnd"/>
      <w:r>
        <w:rPr>
          <w:sz w:val="20"/>
          <w:szCs w:val="20"/>
          <w:rtl/>
        </w:rPr>
        <w:t xml:space="preserve"> לסבול אצל הרבי הייתה זכות!” את המעשה שמעתי מר׳ יחיאל פר, כפי שנמסר דרך בני משפחת </w:t>
      </w:r>
      <w:proofErr w:type="spellStart"/>
      <w:r>
        <w:rPr>
          <w:sz w:val="20"/>
          <w:szCs w:val="20"/>
          <w:rtl/>
        </w:rPr>
        <w:t>יופן</w:t>
      </w:r>
      <w:proofErr w:type="spellEnd"/>
      <w:r>
        <w:rPr>
          <w:sz w:val="20"/>
          <w:szCs w:val="20"/>
          <w:rtl/>
        </w:rPr>
        <w:t xml:space="preserve"> (השווה הערת שוליים </w:t>
      </w:r>
      <w:r>
        <w:rPr>
          <w:sz w:val="20"/>
          <w:szCs w:val="20"/>
          <w:rtl/>
        </w:rPr>
        <w:fldChar w:fldCharType="begin" w:dirty="true"/>
      </w:r>
      <w:r>
        <w:rPr>
          <w:sz w:val="20"/>
          <w:szCs w:val="20"/>
          <w:rtl/>
        </w:rPr>
        <w:instrText xml:space="preserve"> NOTEREF pr_f_1781 \h </w:instrText>
      </w:r>
      <w:r>
        <w:rPr>
          <w:sz w:val="20"/>
          <w:szCs w:val="20"/>
          <w:rtl/>
        </w:rPr>
      </w:r>
      <w:r>
        <w:rPr>
          <w:sz w:val="20"/>
          <w:szCs w:val="20"/>
          <w:rtl/>
        </w:rPr>
        <w:fldChar w:fldCharType="separate"/>
      </w:r>
      <w:r w:rsidR="007923E9">
        <w:rPr>
          <w:sz w:val="20"/>
          <w:szCs w:val="20"/>
          <w:rtl/>
        </w:rPr>
        <w:t>828</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pr_f_1781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לפי “ר׳ ברוך בר” (הערה 18 לעיל), עמ׳ צג, גר ר׳ אברהם </w:t>
      </w:r>
      <w:proofErr w:type="spellStart"/>
      <w:r>
        <w:rPr>
          <w:sz w:val="20"/>
          <w:szCs w:val="20"/>
          <w:rtl/>
        </w:rPr>
        <w:t>יופן</w:t>
      </w:r>
      <w:proofErr w:type="spellEnd"/>
      <w:r>
        <w:rPr>
          <w:sz w:val="20"/>
          <w:szCs w:val="20"/>
          <w:rtl/>
        </w:rPr>
        <w:t xml:space="preserve"> בכמה משנות מלחמת העולם הראשונה </w:t>
      </w:r>
      <w:proofErr w:type="spellStart"/>
      <w:r>
        <w:rPr>
          <w:sz w:val="20"/>
          <w:szCs w:val="20"/>
          <w:rtl/>
        </w:rPr>
        <w:t>בקרמנצ׳וג</w:t>
      </w:r>
      <w:proofErr w:type="spellEnd"/>
      <w:r>
        <w:rPr>
          <w:sz w:val="20"/>
          <w:szCs w:val="20"/>
          <w:rtl/>
        </w:rPr>
        <w:t xml:space="preserve">, בשכונתו של ר׳ </w:t>
      </w:r>
      <w:proofErr w:type="spellStart"/>
      <w:r>
        <w:rPr>
          <w:sz w:val="20"/>
          <w:szCs w:val="20"/>
          <w:rtl/>
        </w:rPr>
        <w:t>ברוך־בער</w:t>
      </w:r>
      <w:proofErr w:type="spellEnd"/>
      <w:r>
        <w:rPr>
          <w:sz w:val="20"/>
          <w:szCs w:val="20"/>
          <w:rtl/>
        </w:rPr>
        <w:t xml:space="preserve">. ב־6 באוגוסט 1993 סיפר לי ר׳ יעקב </w:t>
      </w:r>
      <w:proofErr w:type="spellStart"/>
      <w:r>
        <w:rPr>
          <w:sz w:val="20"/>
          <w:szCs w:val="20"/>
          <w:rtl/>
        </w:rPr>
        <w:t>יופן</w:t>
      </w:r>
      <w:proofErr w:type="spellEnd"/>
      <w:r>
        <w:rPr>
          <w:sz w:val="20"/>
          <w:szCs w:val="20"/>
          <w:rtl/>
        </w:rPr>
        <w:t xml:space="preserve"> שבמלחמת העולם הראשונה שהה ר׳ </w:t>
      </w:r>
      <w:proofErr w:type="spellStart"/>
      <w:r>
        <w:rPr>
          <w:sz w:val="20"/>
          <w:szCs w:val="20"/>
          <w:rtl/>
        </w:rPr>
        <w:t>ברוך־בער</w:t>
      </w:r>
      <w:proofErr w:type="spellEnd"/>
      <w:r>
        <w:rPr>
          <w:sz w:val="20"/>
          <w:szCs w:val="20"/>
          <w:rtl/>
        </w:rPr>
        <w:t xml:space="preserve"> זמן מה בעיר </w:t>
      </w:r>
      <w:proofErr w:type="spellStart"/>
      <w:r>
        <w:rPr>
          <w:sz w:val="20"/>
          <w:szCs w:val="20"/>
          <w:rtl/>
        </w:rPr>
        <w:t>הומל</w:t>
      </w:r>
      <w:proofErr w:type="spellEnd"/>
      <w:r>
        <w:rPr>
          <w:sz w:val="20"/>
          <w:szCs w:val="20"/>
          <w:rtl/>
        </w:rPr>
        <w:t xml:space="preserve">, עם אביו של המרואיין ועם סבו ר׳ יוזל </w:t>
      </w:r>
      <w:proofErr w:type="spellStart"/>
      <w:r>
        <w:rPr>
          <w:sz w:val="20"/>
          <w:szCs w:val="20"/>
          <w:rtl/>
        </w:rPr>
        <w:t>הורוויץ</w:t>
      </w:r>
      <w:proofErr w:type="spellEnd"/>
      <w:r>
        <w:rPr>
          <w:sz w:val="20"/>
          <w:szCs w:val="20"/>
          <w:rtl/>
        </w:rPr>
        <w:t xml:space="preserve">; אבל ייתכן שפרט זה אינו מדויק. כך או כך, באחד המקומות הללו ודאי מסר ר׳ </w:t>
      </w:r>
      <w:proofErr w:type="spellStart"/>
      <w:r>
        <w:rPr>
          <w:sz w:val="20"/>
          <w:szCs w:val="20"/>
          <w:rtl/>
        </w:rPr>
        <w:t>ברוך־בער</w:t>
      </w:r>
      <w:proofErr w:type="spellEnd"/>
      <w:r>
        <w:rPr>
          <w:sz w:val="20"/>
          <w:szCs w:val="20"/>
          <w:rtl/>
        </w:rPr>
        <w:t xml:space="preserve"> את הפרטים האלה. ראה גם הערת שוליים </w:t>
      </w:r>
      <w:r>
        <w:rPr>
          <w:sz w:val="20"/>
          <w:szCs w:val="20"/>
          <w:rtl/>
        </w:rPr>
        <w:fldChar w:fldCharType="begin" w:dirty="true"/>
      </w:r>
      <w:r>
        <w:rPr>
          <w:sz w:val="20"/>
          <w:szCs w:val="20"/>
          <w:rtl/>
        </w:rPr>
        <w:instrText xml:space="preserve"> NOTEREF pr_f_1344 \h </w:instrText>
      </w:r>
      <w:r>
        <w:rPr>
          <w:sz w:val="20"/>
          <w:szCs w:val="20"/>
          <w:rtl/>
        </w:rPr>
      </w:r>
      <w:r>
        <w:rPr>
          <w:sz w:val="20"/>
          <w:szCs w:val="20"/>
          <w:rtl/>
        </w:rPr>
        <w:fldChar w:fldCharType="separate"/>
      </w:r>
      <w:r w:rsidR="007923E9">
        <w:rPr>
          <w:sz w:val="20"/>
          <w:szCs w:val="20"/>
          <w:rtl/>
        </w:rPr>
        <w:t>389</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pr_f_1344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2217">
    <w:p w14:paraId="161E665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אחד האחרונים שראו אור הוא כרך שיעורים שנאספו מכתבי תלמידים ויצא </w:t>
      </w:r>
      <w:proofErr w:type="spellStart"/>
      <w:r>
        <w:rPr>
          <w:sz w:val="20"/>
          <w:szCs w:val="20"/>
          <w:rtl/>
        </w:rPr>
        <w:t>בתשנ״ד</w:t>
      </w:r>
      <w:proofErr w:type="spellEnd"/>
      <w:r>
        <w:rPr>
          <w:sz w:val="20"/>
          <w:szCs w:val="20"/>
          <w:rtl/>
        </w:rPr>
        <w:t xml:space="preserve"> בשם “חידושי ושיעורי מרן רבי ברוך בער, </w:t>
      </w:r>
      <w:proofErr w:type="spellStart"/>
      <w:r>
        <w:rPr>
          <w:sz w:val="20"/>
          <w:szCs w:val="20"/>
          <w:rtl/>
        </w:rPr>
        <w:t>ח״ג</w:t>
      </w:r>
      <w:proofErr w:type="spellEnd"/>
      <w:r>
        <w:rPr>
          <w:sz w:val="20"/>
          <w:szCs w:val="20"/>
          <w:rtl/>
        </w:rPr>
        <w:t>” (</w:t>
      </w:r>
      <w:proofErr w:type="spellStart"/>
      <w:r>
        <w:rPr>
          <w:sz w:val="20"/>
          <w:szCs w:val="20"/>
          <w:rtl/>
        </w:rPr>
        <w:t>לייקוואוד</w:t>
      </w:r>
      <w:proofErr w:type="spellEnd"/>
      <w:r>
        <w:rPr>
          <w:sz w:val="20"/>
          <w:szCs w:val="20"/>
          <w:rtl/>
        </w:rPr>
        <w:t xml:space="preserve">, תשנ״ד). הוא נזכר לעיל בפסקה השנייה של נספח </w:t>
      </w:r>
      <w:proofErr w:type="spellStart"/>
      <w:r>
        <w:rPr>
          <w:sz w:val="20"/>
          <w:szCs w:val="20"/>
          <w:rtl/>
        </w:rPr>
        <w:t>טז</w:t>
      </w:r>
      <w:proofErr w:type="spellEnd"/>
      <w:r>
        <w:rPr>
          <w:sz w:val="20"/>
          <w:szCs w:val="20"/>
          <w:rtl/>
        </w:rPr>
        <w:t>.</w:t>
      </w:r>
    </w:p>
  </w:footnote>
  <w:footnote w:id="2218">
    <w:p w14:paraId="27484AE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לא.</w:t>
      </w:r>
    </w:p>
  </w:footnote>
  <w:footnote w:id="2219">
    <w:p w14:paraId="1B6D739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זהו משחק מילים על “ריחיים </w:t>
      </w:r>
      <w:proofErr w:type="spellStart"/>
      <w:r>
        <w:rPr>
          <w:sz w:val="20"/>
          <w:szCs w:val="20"/>
          <w:rtl/>
        </w:rPr>
        <w:t>בצוארו</w:t>
      </w:r>
      <w:proofErr w:type="spellEnd"/>
      <w:r>
        <w:rPr>
          <w:sz w:val="20"/>
          <w:szCs w:val="20"/>
          <w:rtl/>
        </w:rPr>
        <w:t xml:space="preserve"> ויעסוק בתורה”, קידושין כ״ט ע״ב.</w:t>
      </w:r>
    </w:p>
  </w:footnote>
  <w:footnote w:id="2220">
    <w:p w14:paraId="50F7C67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זכרון</w:t>
      </w:r>
      <w:proofErr w:type="spellEnd"/>
      <w:r>
        <w:rPr>
          <w:sz w:val="20"/>
          <w:szCs w:val="20"/>
          <w:rtl/>
        </w:rPr>
        <w:t xml:space="preserve"> מאיר, תשנ״ב, עמ׳ </w:t>
      </w:r>
      <w:proofErr w:type="spellStart"/>
      <w:r>
        <w:rPr>
          <w:sz w:val="20"/>
          <w:szCs w:val="20"/>
          <w:rtl/>
        </w:rPr>
        <w:t>קעא</w:t>
      </w:r>
      <w:proofErr w:type="spellEnd"/>
      <w:r>
        <w:rPr>
          <w:sz w:val="20"/>
          <w:szCs w:val="20"/>
          <w:rtl/>
        </w:rPr>
        <w:t>.</w:t>
      </w:r>
    </w:p>
  </w:footnote>
  <w:footnote w:id="2221">
    <w:p w14:paraId="4C84901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הערת שוליים </w:t>
      </w:r>
      <w:r>
        <w:rPr>
          <w:rStyle w:val="a5"/>
          <w:sz w:val="20"/>
          <w:szCs w:val="20"/>
          <w:vertAlign w:val="baseline"/>
          <w:rtl/>
        </w:rPr>
        <w:fldChar w:fldCharType="begin" w:dirty="true"/>
      </w:r>
      <w:r>
        <w:rPr>
          <w:rStyle w:val="a5"/>
          <w:sz w:val="20"/>
          <w:szCs w:val="20"/>
          <w:vertAlign w:val="baseline"/>
          <w:rtl/>
        </w:rPr>
        <w:instrText xml:space="preserve"> NOTEREF pr_f_2383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1429</w:t>
      </w:r>
      <w:r>
        <w:rPr>
          <w:rStyle w:val="a5"/>
          <w:sz w:val="20"/>
          <w:szCs w:val="20"/>
          <w:vertAlign w:val="baseline"/>
          <w:rtl/>
        </w:rPr>
        <w:fldChar w:fldCharType="end"/>
      </w:r>
      <w:r>
        <w:rPr>
          <w:rStyle w:val="a5"/>
          <w:sz w:val="20"/>
          <w:szCs w:val="20"/>
          <w:vertAlign w:val="baseline"/>
          <w:rtl/>
        </w:rPr>
        <w:t xml:space="preserve"> בעמ׳ </w:t>
      </w:r>
      <w:r>
        <w:rPr>
          <w:rStyle w:val="a5"/>
          <w:sz w:val="20"/>
          <w:szCs w:val="20"/>
          <w:vertAlign w:val="baseline"/>
          <w:rtl/>
        </w:rPr>
        <w:fldChar w:fldCharType="begin" w:dirty="true"/>
      </w:r>
      <w:r>
        <w:rPr>
          <w:rStyle w:val="a5"/>
          <w:sz w:val="20"/>
          <w:szCs w:val="20"/>
          <w:vertAlign w:val="baseline"/>
          <w:rtl/>
        </w:rPr>
        <w:instrText xml:space="preserve"> PAGEREF pr_f_2383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w:t>
      </w:r>
    </w:p>
  </w:footnote>
  <w:footnote w:id="2222">
    <w:p w14:paraId="14981D7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סיון תרצ״ה / טבת תרצ״ו, עמ׳ 130.</w:t>
      </w:r>
    </w:p>
  </w:footnote>
  <w:footnote w:id="2223">
    <w:p w14:paraId="2AB0368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131.</w:t>
      </w:r>
    </w:p>
  </w:footnote>
  <w:footnote w:id="2224">
    <w:p w14:paraId="4528A50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סט–ע בחלק ב.</w:t>
      </w:r>
    </w:p>
  </w:footnote>
  <w:footnote w:id="2225">
    <w:p w14:paraId="434F91B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“נפש הרב” (נספח ט לעיל), עמ׳ </w:t>
      </w:r>
      <w:proofErr w:type="spellStart"/>
      <w:r>
        <w:rPr>
          <w:sz w:val="20"/>
          <w:szCs w:val="20"/>
          <w:rtl/>
        </w:rPr>
        <w:t>רא</w:t>
      </w:r>
      <w:proofErr w:type="spellEnd"/>
      <w:r>
        <w:rPr>
          <w:sz w:val="20"/>
          <w:szCs w:val="20"/>
          <w:rtl/>
        </w:rPr>
        <w:t>.</w:t>
      </w:r>
    </w:p>
  </w:footnote>
  <w:footnote w:id="2226">
    <w:p w14:paraId="5E95548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ח לעיל, עמ׳ </w:t>
      </w:r>
      <w:proofErr w:type="spellStart"/>
      <w:r>
        <w:rPr>
          <w:sz w:val="20"/>
          <w:szCs w:val="20"/>
          <w:rtl/>
        </w:rPr>
        <w:t>רנא</w:t>
      </w:r>
      <w:proofErr w:type="spellEnd"/>
      <w:r>
        <w:rPr>
          <w:sz w:val="20"/>
          <w:szCs w:val="20"/>
          <w:rtl/>
        </w:rPr>
        <w:t>.</w:t>
      </w:r>
    </w:p>
  </w:footnote>
  <w:footnote w:id="2227">
    <w:p w14:paraId="21D9548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סוף נספח ט לעיל, שגם ר׳ </w:t>
      </w:r>
      <w:proofErr w:type="spellStart"/>
      <w:r>
        <w:rPr>
          <w:sz w:val="20"/>
          <w:szCs w:val="20"/>
          <w:rtl/>
        </w:rPr>
        <w:t>יחיאל־יעקב</w:t>
      </w:r>
      <w:proofErr w:type="spellEnd"/>
      <w:r>
        <w:rPr>
          <w:sz w:val="20"/>
          <w:szCs w:val="20"/>
          <w:rtl/>
        </w:rPr>
        <w:t xml:space="preserve"> ויינברג מתח ביקורת דומה על פירושיו של ר׳ חיים.</w:t>
      </w:r>
    </w:p>
  </w:footnote>
  <w:footnote w:id="2228">
    <w:p w14:paraId="298BA3F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הפסקה הראשונה של נספח א לעיל.</w:t>
      </w:r>
    </w:p>
  </w:footnote>
  <w:footnote w:id="2229">
    <w:p w14:paraId="6D1D2E8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נספח </w:t>
      </w:r>
      <w:proofErr w:type="spellStart"/>
      <w:r>
        <w:rPr>
          <w:sz w:val="20"/>
          <w:szCs w:val="20"/>
          <w:rtl/>
        </w:rPr>
        <w:t>יב</w:t>
      </w:r>
      <w:proofErr w:type="spellEnd"/>
      <w:r>
        <w:rPr>
          <w:sz w:val="20"/>
          <w:szCs w:val="20"/>
          <w:rtl/>
        </w:rPr>
        <w:t xml:space="preserve"> לעיל.</w:t>
      </w:r>
    </w:p>
  </w:footnote>
  <w:footnote w:id="2230">
    <w:p w14:paraId="138F43B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כשם שרבנו נהג ידידות מיוחדת במרואיין בשל מה שעשה סבו של המרואיין למענו (כמבואר בפסקה הראשונה של נספח א בפרק זה), כך היה ר׳ ראובן </w:t>
      </w:r>
      <w:proofErr w:type="spellStart"/>
      <w:r>
        <w:rPr>
          <w:sz w:val="20"/>
          <w:szCs w:val="20"/>
          <w:rtl/>
        </w:rPr>
        <w:t>גרוזובסקי</w:t>
      </w:r>
      <w:proofErr w:type="spellEnd"/>
      <w:r>
        <w:rPr>
          <w:sz w:val="20"/>
          <w:szCs w:val="20"/>
          <w:rtl/>
        </w:rPr>
        <w:t xml:space="preserve">, חתנו השני של ר׳ </w:t>
      </w:r>
      <w:proofErr w:type="spellStart"/>
      <w:r>
        <w:rPr>
          <w:sz w:val="20"/>
          <w:szCs w:val="20"/>
          <w:rtl/>
        </w:rPr>
        <w:t>ברוך־בער</w:t>
      </w:r>
      <w:proofErr w:type="spellEnd"/>
      <w:r>
        <w:rPr>
          <w:sz w:val="20"/>
          <w:szCs w:val="20"/>
          <w:rtl/>
        </w:rPr>
        <w:t>, קרוב למרואיין בשל מה שעשה סבו של ר׳ יעקב ליפשיץ לטובת חותנו.</w:t>
      </w:r>
    </w:p>
  </w:footnote>
  <w:footnote w:id="2231">
    <w:p w14:paraId="7A26A12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 xml:space="preserve">ניו יורק</w:t>
      </w:r>
      <w:proofErr w:type="spellEnd"/>
      <w:r>
        <w:rPr>
          <w:sz w:val="20"/>
          <w:szCs w:val="20"/>
          <w:rtl/>
        </w:rPr>
        <w:t xml:space="preserve"/>
      </w:r>
      <w:proofErr w:type="spellStart"/>
      <w:r>
        <w:rPr>
          <w:sz w:val="20"/>
          <w:szCs w:val="20"/>
          <w:rtl/>
        </w:rPr>
        <w:t xml:space="preserve"/>
      </w:r>
      <w:proofErr w:type="spellEnd"/>
      <w:r>
        <w:rPr>
          <w:sz w:val="20"/>
          <w:szCs w:val="20"/>
          <w:rtl/>
        </w:rPr>
        <w:t>, תשי״ד.</w:t>
      </w:r>
    </w:p>
  </w:footnote>
  <w:footnote w:id="2232">
    <w:p w14:paraId="3701E3F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ב־23 במרץ 1988.</w:t>
      </w:r>
    </w:p>
  </w:footnote>
  <w:footnote w:id="2233">
    <w:p w14:paraId="5E93193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“סיפור ר׳ </w:t>
      </w:r>
      <w:proofErr w:type="spellStart"/>
      <w:r>
        <w:rPr>
          <w:sz w:val="20"/>
          <w:szCs w:val="20"/>
          <w:rtl/>
        </w:rPr>
        <w:t>ברוך־בער</w:t>
      </w:r>
      <w:proofErr w:type="spellEnd"/>
      <w:r>
        <w:rPr>
          <w:sz w:val="20"/>
          <w:szCs w:val="20"/>
          <w:rtl/>
        </w:rPr>
        <w:t>” (מובא בפרק 1, סוף הערה 93), עמ׳ 52.</w:t>
      </w:r>
    </w:p>
  </w:footnote>
  <w:footnote w:id="2234">
    <w:p w14:paraId="4C3B9D2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י לעיל, עמ׳ 73.</w:t>
      </w:r>
    </w:p>
  </w:footnote>
  <w:footnote w:id="2235">
    <w:p w14:paraId="2608241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הוא חש שגם רבו אהב אותו – השווה כרך 2.</w:t>
      </w:r>
    </w:p>
  </w:footnote>
  <w:footnote w:id="2236">
    <w:p w14:paraId="215DD1D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הכותב מוסיף במאמר מוסגר: “כפי ששכח את מנגינת ההפטרה ביום </w:t>
      </w:r>
      <w:proofErr w:type="spellStart"/>
      <w:r>
        <w:rPr>
          <w:sz w:val="20"/>
          <w:szCs w:val="20"/>
          <w:rtl/>
        </w:rPr>
        <w:t>בר־המצווה</w:t>
      </w:r>
      <w:proofErr w:type="spellEnd"/>
      <w:r>
        <w:rPr>
          <w:sz w:val="20"/>
          <w:szCs w:val="20"/>
          <w:rtl/>
        </w:rPr>
        <w:t xml:space="preserve"> שלי, שחגגתי בנוכחותו [בכנסת בית יצחק].”</w:t>
      </w:r>
    </w:p>
  </w:footnote>
  <w:footnote w:id="2237">
    <w:p w14:paraId="2748CBA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קטו</w:t>
      </w:r>
      <w:proofErr w:type="spellEnd"/>
      <w:r>
        <w:rPr>
          <w:sz w:val="20"/>
          <w:szCs w:val="20"/>
          <w:rtl/>
        </w:rPr>
        <w:t>.</w:t>
      </w:r>
    </w:p>
  </w:footnote>
  <w:footnote w:id="2238">
    <w:p w14:paraId="2EB97A4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ב־16 בדצמבר 1987.</w:t>
      </w:r>
    </w:p>
  </w:footnote>
  <w:footnote w:id="2239">
    <w:p w14:paraId="1C94702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יא לעיל ופרק 4, נספח ט.</w:t>
      </w:r>
    </w:p>
  </w:footnote>
  <w:footnote w:id="2240">
    <w:p w14:paraId="05A0304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המאמר </w:t>
      </w:r>
      <w:proofErr w:type="spellStart"/>
      <w:r>
        <w:rPr>
          <w:sz w:val="20"/>
          <w:szCs w:val="20"/>
          <w:rtl/>
        </w:rPr>
        <w:t>ב“טורי</w:t>
      </w:r>
      <w:proofErr w:type="spellEnd"/>
      <w:r>
        <w:rPr>
          <w:sz w:val="20"/>
          <w:szCs w:val="20"/>
          <w:rtl/>
        </w:rPr>
        <w:t xml:space="preserve"> ישורון” (נספח ט לעיל) מזכיר את הסיפור, אך משמיט את עוקצו כשהוא מספר: “מסופר שמשורר מפורסם שלמד </w:t>
      </w:r>
      <w:proofErr w:type="spellStart"/>
      <w:r>
        <w:rPr>
          <w:sz w:val="20"/>
          <w:szCs w:val="20"/>
          <w:rtl/>
        </w:rPr>
        <w:t>בוולוז׳ין</w:t>
      </w:r>
      <w:proofErr w:type="spellEnd"/>
      <w:r>
        <w:rPr>
          <w:sz w:val="20"/>
          <w:szCs w:val="20"/>
          <w:rtl/>
        </w:rPr>
        <w:t xml:space="preserve"> בזמנו של ר׳ </w:t>
      </w:r>
      <w:proofErr w:type="spellStart"/>
      <w:r>
        <w:rPr>
          <w:sz w:val="20"/>
          <w:szCs w:val="20"/>
          <w:rtl/>
        </w:rPr>
        <w:t>ברוך־בער</w:t>
      </w:r>
      <w:proofErr w:type="spellEnd"/>
      <w:r>
        <w:rPr>
          <w:sz w:val="20"/>
          <w:szCs w:val="20"/>
          <w:rtl/>
        </w:rPr>
        <w:t xml:space="preserve"> ‘ויצא לתרבות רעה’ פגש במקרה את ר׳ </w:t>
      </w:r>
      <w:proofErr w:type="spellStart"/>
      <w:r>
        <w:rPr>
          <w:sz w:val="20"/>
          <w:szCs w:val="20"/>
          <w:rtl/>
        </w:rPr>
        <w:t>ברוך־בער</w:t>
      </w:r>
      <w:proofErr w:type="spellEnd"/>
      <w:r>
        <w:rPr>
          <w:sz w:val="20"/>
          <w:szCs w:val="20"/>
          <w:rtl/>
        </w:rPr>
        <w:t xml:space="preserve"> לאחר שנים רבות וניסה להיכנס עמו לשיחה על הימים שעברו. הדבר לא עלה בידו, ור׳ </w:t>
      </w:r>
      <w:proofErr w:type="spellStart"/>
      <w:r>
        <w:rPr>
          <w:sz w:val="20"/>
          <w:szCs w:val="20"/>
          <w:rtl/>
        </w:rPr>
        <w:t>ברוך־בער</w:t>
      </w:r>
      <w:proofErr w:type="spellEnd"/>
      <w:r>
        <w:rPr>
          <w:sz w:val="20"/>
          <w:szCs w:val="20"/>
          <w:rtl/>
        </w:rPr>
        <w:t xml:space="preserve"> אף סירב להסתכל בו, כדברי הגמרא האוסרת להסתכל בפני אדם רשע [מגילה כ״ח ע״א: אסור להסתכל בצלם דמות אדם רשע].”</w:t>
      </w:r>
    </w:p>
    <w:p w14:paraId="6D69345D" w14:textId="77777777" w:rsidR="00AB3647" w:rsidRDefault="00000000">
      <w:pPr>
        <w:spacing w:after="0" w:before="0"/>
        <w:jc w:val="both"/>
      </w:pPr>
      <w:r>
        <w:rPr>
          <w:sz w:val="20"/>
          <w:szCs w:val="20"/>
          <w:rtl/>
        </w:rPr>
        <w:t xml:space="preserve">המאמר </w:t>
      </w:r>
      <w:proofErr w:type="spellStart"/>
      <w:r>
        <w:rPr>
          <w:sz w:val="20"/>
          <w:szCs w:val="20"/>
          <w:rtl/>
        </w:rPr>
        <w:t>ב“טורי</w:t>
      </w:r>
      <w:proofErr w:type="spellEnd"/>
      <w:r>
        <w:rPr>
          <w:sz w:val="20"/>
          <w:szCs w:val="20"/>
          <w:rtl/>
        </w:rPr>
        <w:t xml:space="preserve"> ישורון” טועה גם כשהוא מדבר על “שיחה” בין ביאליק </w:t>
      </w:r>
      <w:proofErr w:type="spellStart"/>
      <w:r>
        <w:rPr>
          <w:sz w:val="20"/>
          <w:szCs w:val="20"/>
          <w:rtl/>
        </w:rPr>
        <w:t>לר</w:t>
      </w:r>
      <w:proofErr w:type="spellEnd"/>
      <w:r>
        <w:rPr>
          <w:sz w:val="20"/>
          <w:szCs w:val="20"/>
          <w:rtl/>
        </w:rPr>
        <w:t xml:space="preserve">׳ </w:t>
      </w:r>
      <w:proofErr w:type="spellStart"/>
      <w:r>
        <w:rPr>
          <w:sz w:val="20"/>
          <w:szCs w:val="20"/>
          <w:rtl/>
        </w:rPr>
        <w:t>ברוך־בער</w:t>
      </w:r>
      <w:proofErr w:type="spellEnd"/>
      <w:r>
        <w:rPr>
          <w:sz w:val="20"/>
          <w:szCs w:val="20"/>
          <w:rtl/>
        </w:rPr>
        <w:t xml:space="preserve">. הדבר מתברר מסיפור שסיפר לי ר׳ ישראל גרבר, בן אחותו של ר׳ </w:t>
      </w:r>
      <w:proofErr w:type="spellStart"/>
      <w:r>
        <w:rPr>
          <w:sz w:val="20"/>
          <w:szCs w:val="20"/>
          <w:rtl/>
        </w:rPr>
        <w:t>ברוך־בער</w:t>
      </w:r>
      <w:proofErr w:type="spellEnd"/>
      <w:r>
        <w:rPr>
          <w:sz w:val="20"/>
          <w:szCs w:val="20"/>
          <w:rtl/>
        </w:rPr>
        <w:t xml:space="preserve">, ב־24 במאי 2001, כשחזרתי באוזניו על הסיפור שסיפר הרב </w:t>
      </w:r>
      <w:proofErr w:type="spellStart"/>
      <w:r>
        <w:rPr>
          <w:sz w:val="20"/>
          <w:szCs w:val="20"/>
          <w:rtl/>
        </w:rPr>
        <w:t>קרופניה</w:t>
      </w:r>
      <w:proofErr w:type="spellEnd"/>
      <w:r>
        <w:rPr>
          <w:sz w:val="20"/>
          <w:szCs w:val="20"/>
          <w:rtl/>
        </w:rPr>
        <w:t xml:space="preserve">. לדברי הרב גרבר, בסוף חורף תרפ״ד, שש שנים לפני </w:t>
      </w:r>
      <w:proofErr w:type="spellStart"/>
      <w:r>
        <w:rPr>
          <w:sz w:val="20"/>
          <w:szCs w:val="20"/>
          <w:rtl/>
        </w:rPr>
        <w:t>ש“אירח</w:t>
      </w:r>
      <w:proofErr w:type="spellEnd"/>
      <w:r>
        <w:rPr>
          <w:sz w:val="20"/>
          <w:szCs w:val="20"/>
          <w:rtl/>
        </w:rPr>
        <w:t xml:space="preserve">” את ביאליק בביתו, נסע ר׳ </w:t>
      </w:r>
      <w:proofErr w:type="spellStart"/>
      <w:r>
        <w:rPr>
          <w:sz w:val="20"/>
          <w:szCs w:val="20"/>
          <w:rtl/>
        </w:rPr>
        <w:t>ברוך־בער</w:t>
      </w:r>
      <w:proofErr w:type="spellEnd"/>
      <w:r>
        <w:rPr>
          <w:sz w:val="20"/>
          <w:szCs w:val="20"/>
          <w:rtl/>
        </w:rPr>
        <w:t xml:space="preserve"> מווילנה, שבה שכנה אז כנסת בית יצחק, לחתונת אחותו של ר׳ ישראל, הגדולה ממנו בהרבה, עם ר׳ מרדכי </w:t>
      </w:r>
      <w:proofErr w:type="spellStart"/>
      <w:r>
        <w:rPr>
          <w:sz w:val="20"/>
          <w:szCs w:val="20"/>
          <w:rtl/>
        </w:rPr>
        <w:t>רוגוב</w:t>
      </w:r>
      <w:proofErr w:type="spellEnd"/>
      <w:r>
        <w:rPr>
          <w:sz w:val="20"/>
          <w:szCs w:val="20"/>
          <w:rtl/>
        </w:rPr>
        <w:t xml:space="preserve">. החתונה נערכה </w:t>
      </w:r>
      <w:proofErr w:type="spellStart"/>
      <w:r>
        <w:rPr>
          <w:sz w:val="20"/>
          <w:szCs w:val="20"/>
          <w:rtl/>
        </w:rPr>
        <w:t>בהורודוק</w:t>
      </w:r>
      <w:proofErr w:type="spellEnd"/>
      <w:r>
        <w:rPr>
          <w:sz w:val="20"/>
          <w:szCs w:val="20"/>
          <w:rtl/>
        </w:rPr>
        <w:t xml:space="preserve">, שבה כיהן אביהם כרב. תחנת הרכבת הקרובה ביותר לעיירה הייתה </w:t>
      </w:r>
      <w:proofErr w:type="spellStart"/>
      <w:r>
        <w:rPr>
          <w:sz w:val="20"/>
          <w:szCs w:val="20"/>
          <w:rtl/>
        </w:rPr>
        <w:t>מולודצ׳נו</w:t>
      </w:r>
      <w:proofErr w:type="spellEnd"/>
      <w:r>
        <w:rPr>
          <w:sz w:val="20"/>
          <w:szCs w:val="20"/>
          <w:rtl/>
        </w:rPr>
        <w:t>, ומשם יצאו שתי עגלות, אחת לגברים ואחת לנשים, לנסיעה של 21 קילומטר בדרכים לא סלולות, שהשלג הנמס הפך אותן לרפש ובוץ.</w:t>
      </w:r>
    </w:p>
    <w:p w14:paraId="780AB770" w14:textId="77777777" w:rsidR="00AB3647" w:rsidRDefault="00000000">
      <w:pPr>
        <w:spacing w:after="0" w:before="0"/>
        <w:jc w:val="both"/>
      </w:pPr>
      <w:r>
        <w:rPr>
          <w:sz w:val="20"/>
          <w:szCs w:val="20"/>
          <w:rtl/>
        </w:rPr>
        <w:t xml:space="preserve">ר׳ </w:t>
      </w:r>
      <w:proofErr w:type="spellStart"/>
      <w:r>
        <w:rPr>
          <w:sz w:val="20"/>
          <w:szCs w:val="20"/>
          <w:rtl/>
        </w:rPr>
        <w:t>ברוך־בער</w:t>
      </w:r>
      <w:proofErr w:type="spellEnd"/>
      <w:r>
        <w:rPr>
          <w:sz w:val="20"/>
          <w:szCs w:val="20"/>
          <w:rtl/>
        </w:rPr>
        <w:t xml:space="preserve"> התיישב בעגלה ליד אדם זר: </w:t>
      </w:r>
      <w:proofErr w:type="spellStart"/>
      <w:r>
        <w:rPr>
          <w:sz w:val="20"/>
          <w:szCs w:val="20"/>
          <w:rtl/>
        </w:rPr>
        <w:t>מינקוביץ</w:t>
      </w:r>
      <w:proofErr w:type="spellEnd"/>
      <w:r>
        <w:rPr>
          <w:sz w:val="20"/>
          <w:szCs w:val="20"/>
          <w:rtl/>
        </w:rPr>
        <w:t xml:space="preserve">, בוגר ישיבה שסטה מן הדרך ושימש אז מנהל בית הספר </w:t>
      </w:r>
      <w:proofErr w:type="spellStart"/>
      <w:r>
        <w:rPr>
          <w:sz w:val="20"/>
          <w:szCs w:val="20"/>
          <w:rtl/>
        </w:rPr>
        <w:t>הלא־דתי</w:t>
      </w:r>
      <w:proofErr w:type="spellEnd"/>
      <w:r>
        <w:rPr>
          <w:sz w:val="20"/>
          <w:szCs w:val="20"/>
          <w:rtl/>
        </w:rPr>
        <w:t xml:space="preserve"> “תרבות” </w:t>
      </w:r>
      <w:proofErr w:type="spellStart"/>
      <w:r>
        <w:rPr>
          <w:sz w:val="20"/>
          <w:szCs w:val="20"/>
          <w:rtl/>
        </w:rPr>
        <w:t>בהורודוק</w:t>
      </w:r>
      <w:proofErr w:type="spellEnd"/>
      <w:r>
        <w:rPr>
          <w:sz w:val="20"/>
          <w:szCs w:val="20"/>
          <w:rtl/>
        </w:rPr>
        <w:t xml:space="preserve">. בדרך פנה </w:t>
      </w:r>
      <w:proofErr w:type="spellStart"/>
      <w:r>
        <w:rPr>
          <w:sz w:val="20"/>
          <w:szCs w:val="20"/>
          <w:rtl/>
        </w:rPr>
        <w:t>מינקוביץ</w:t>
      </w:r>
      <w:proofErr w:type="spellEnd"/>
      <w:r>
        <w:rPr>
          <w:sz w:val="20"/>
          <w:szCs w:val="20"/>
          <w:rtl/>
        </w:rPr>
        <w:t xml:space="preserve"> אל ר׳ </w:t>
      </w:r>
      <w:proofErr w:type="spellStart"/>
      <w:r>
        <w:rPr>
          <w:sz w:val="20"/>
          <w:szCs w:val="20"/>
          <w:rtl/>
        </w:rPr>
        <w:t>ברוך־בער</w:t>
      </w:r>
      <w:proofErr w:type="spellEnd"/>
      <w:r>
        <w:rPr>
          <w:sz w:val="20"/>
          <w:szCs w:val="20"/>
          <w:rtl/>
        </w:rPr>
        <w:t xml:space="preserve"> ושאל אותו שאלה מתגרה. ר׳ </w:t>
      </w:r>
      <w:proofErr w:type="spellStart"/>
      <w:r>
        <w:rPr>
          <w:sz w:val="20"/>
          <w:szCs w:val="20"/>
          <w:rtl/>
        </w:rPr>
        <w:t>ברוך־בער</w:t>
      </w:r>
      <w:proofErr w:type="spellEnd"/>
      <w:r>
        <w:rPr>
          <w:sz w:val="20"/>
          <w:szCs w:val="20"/>
          <w:rtl/>
        </w:rPr>
        <w:t xml:space="preserve"> ביקש מבעל העגלה לעצור, קפץ מן העגלה והחל לרוץ ולהתרחק בחשכה שלפני עלות השחר. נוסעים אחרים, ובהם </w:t>
      </w:r>
      <w:proofErr w:type="spellStart"/>
      <w:r>
        <w:rPr>
          <w:sz w:val="20"/>
          <w:szCs w:val="20"/>
          <w:rtl/>
        </w:rPr>
        <w:t>מינקוביץ</w:t>
      </w:r>
      <w:proofErr w:type="spellEnd"/>
      <w:r>
        <w:rPr>
          <w:sz w:val="20"/>
          <w:szCs w:val="20"/>
          <w:rtl/>
        </w:rPr>
        <w:t xml:space="preserve">, ראו מה קרה ומיהרו אחריו להחזירו; אבל כשראה את שכנו למושב מתקרב אליו, רץ והתרחק עוד ועוד. רק כשאדם נבון קרא לעברו </w:t>
      </w:r>
      <w:proofErr w:type="spellStart"/>
      <w:r>
        <w:rPr>
          <w:sz w:val="20"/>
          <w:szCs w:val="20"/>
          <w:rtl/>
        </w:rPr>
        <w:t>שמינקוביץ</w:t>
      </w:r>
      <w:proofErr w:type="spellEnd"/>
      <w:r>
        <w:rPr>
          <w:sz w:val="20"/>
          <w:szCs w:val="20"/>
          <w:rtl/>
        </w:rPr>
        <w:t xml:space="preserve"> יעבור לעגלת הנשים, נאות ר׳ </w:t>
      </w:r>
      <w:proofErr w:type="spellStart"/>
      <w:r>
        <w:rPr>
          <w:sz w:val="20"/>
          <w:szCs w:val="20"/>
          <w:rtl/>
        </w:rPr>
        <w:t>ברוך־בער</w:t>
      </w:r>
      <w:proofErr w:type="spellEnd"/>
      <w:r>
        <w:rPr>
          <w:sz w:val="20"/>
          <w:szCs w:val="20"/>
          <w:rtl/>
        </w:rPr>
        <w:t xml:space="preserve"> לשוב למקומו.</w:t>
      </w:r>
    </w:p>
    <w:p w14:paraId="4E2C3401" w14:textId="77777777" w:rsidR="00AB3647" w:rsidRDefault="00000000">
      <w:pPr>
        <w:spacing w:after="0" w:before="0"/>
        <w:jc w:val="both"/>
      </w:pPr>
      <w:r>
        <w:rPr>
          <w:sz w:val="20"/>
          <w:szCs w:val="20"/>
          <w:rtl/>
        </w:rPr>
        <w:t xml:space="preserve">ברור אפוא שכאשר “פגש במקרה” את ביאליק, כדברי המאמר, לא היה ר׳ </w:t>
      </w:r>
      <w:proofErr w:type="spellStart"/>
      <w:r>
        <w:rPr>
          <w:sz w:val="20"/>
          <w:szCs w:val="20"/>
          <w:rtl/>
        </w:rPr>
        <w:t>ברוך־בער</w:t>
      </w:r>
      <w:proofErr w:type="spellEnd"/>
      <w:r>
        <w:rPr>
          <w:sz w:val="20"/>
          <w:szCs w:val="20"/>
          <w:rtl/>
        </w:rPr>
        <w:t xml:space="preserve"> מסתפק בסירוב לשוחח עמו (וכמו כן בסירוב להסתכל בפניו), אלא היה נמלט מיד. סיפורו של הרב גרבר מאשר שלפני פגישתו עם ביאליק ודאי התנה ר׳ </w:t>
      </w:r>
      <w:proofErr w:type="spellStart"/>
      <w:r>
        <w:rPr>
          <w:sz w:val="20"/>
          <w:szCs w:val="20"/>
          <w:rtl/>
        </w:rPr>
        <w:t>ברוך־בער</w:t>
      </w:r>
      <w:proofErr w:type="spellEnd"/>
      <w:r>
        <w:rPr>
          <w:sz w:val="20"/>
          <w:szCs w:val="20"/>
          <w:rtl/>
        </w:rPr>
        <w:t xml:space="preserve"> שאורחו לא יוציא הגה מפיו, כפי שסיפר הרב </w:t>
      </w:r>
      <w:proofErr w:type="spellStart"/>
      <w:r>
        <w:rPr>
          <w:sz w:val="20"/>
          <w:szCs w:val="20"/>
          <w:rtl/>
        </w:rPr>
        <w:t>קרופניה</w:t>
      </w:r>
      <w:proofErr w:type="spellEnd"/>
      <w:r>
        <w:rPr>
          <w:sz w:val="20"/>
          <w:szCs w:val="20"/>
          <w:rtl/>
        </w:rPr>
        <w:t>.</w:t>
      </w:r>
    </w:p>
  </w:footnote>
  <w:footnote w:id="2241">
    <w:p w14:paraId="10D3EEF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ב־19 בנובמבר 1987.</w:t>
      </w:r>
    </w:p>
  </w:footnote>
  <w:footnote w:id="2242">
    <w:p w14:paraId="2D845DF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 ברוך בר” מספר בעמ׳ קיא–</w:t>
      </w:r>
      <w:proofErr w:type="spellStart"/>
      <w:r>
        <w:rPr>
          <w:sz w:val="20"/>
          <w:szCs w:val="20"/>
          <w:rtl/>
        </w:rPr>
        <w:t>קיב</w:t>
      </w:r>
      <w:proofErr w:type="spellEnd"/>
      <w:r>
        <w:rPr>
          <w:sz w:val="20"/>
          <w:szCs w:val="20"/>
          <w:rtl/>
        </w:rPr>
        <w:t xml:space="preserve"> שר׳ </w:t>
      </w:r>
      <w:proofErr w:type="spellStart"/>
      <w:r>
        <w:rPr>
          <w:sz w:val="20"/>
          <w:szCs w:val="20"/>
          <w:rtl/>
        </w:rPr>
        <w:t>ברוך־בער</w:t>
      </w:r>
      <w:proofErr w:type="spellEnd"/>
      <w:r>
        <w:rPr>
          <w:sz w:val="20"/>
          <w:szCs w:val="20"/>
          <w:rtl/>
        </w:rPr>
        <w:t xml:space="preserve"> לא עישן, אלא החזיק בפיו סיגריה לא דולקת, בשל סתירה בין הוראות רבו להוראות אביו – והדברים מתייחסים דווקא לשנים שלאחר המלחמה. ואולם ההסבר המובא שם מתוך “אישים ושיטות” (תחילת נספח י לעיל), עמ׳ 302–303, נראה מתאים באותה מידה גם לתקופה מוקדמת כמו שנות לימודיו של ר׳ </w:t>
      </w:r>
      <w:proofErr w:type="spellStart"/>
      <w:r>
        <w:rPr>
          <w:sz w:val="20"/>
          <w:szCs w:val="20"/>
          <w:rtl/>
        </w:rPr>
        <w:t>ברוך־בער</w:t>
      </w:r>
      <w:proofErr w:type="spellEnd"/>
      <w:r>
        <w:rPr>
          <w:sz w:val="20"/>
          <w:szCs w:val="20"/>
          <w:rtl/>
        </w:rPr>
        <w:t xml:space="preserve"> </w:t>
      </w:r>
      <w:proofErr w:type="spellStart"/>
      <w:r>
        <w:rPr>
          <w:sz w:val="20"/>
          <w:szCs w:val="20"/>
          <w:rtl/>
        </w:rPr>
        <w:t>בוולוז׳ין</w:t>
      </w:r>
      <w:proofErr w:type="spellEnd"/>
      <w:r>
        <w:rPr>
          <w:sz w:val="20"/>
          <w:szCs w:val="20"/>
          <w:rtl/>
        </w:rPr>
        <w:t xml:space="preserve">, ולכן הוא סותר את עדותו של ר׳ קופל </w:t>
      </w:r>
      <w:proofErr w:type="spellStart"/>
      <w:r>
        <w:rPr>
          <w:sz w:val="20"/>
          <w:szCs w:val="20"/>
          <w:rtl/>
        </w:rPr>
        <w:t>וולפרט</w:t>
      </w:r>
      <w:proofErr w:type="spellEnd"/>
      <w:r>
        <w:rPr>
          <w:sz w:val="20"/>
          <w:szCs w:val="20"/>
          <w:rtl/>
        </w:rPr>
        <w:t>.</w:t>
      </w:r>
    </w:p>
  </w:footnote>
  <w:footnote w:id="2243">
    <w:p w14:paraId="4A14ADF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ט לעיל, עמ׳ 233–234.</w:t>
      </w:r>
    </w:p>
  </w:footnote>
  <w:footnote w:id="2244">
    <w:p w14:paraId="16626DD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חישובי, זו רבקה, שאבי זכר כילדה קטנה (שכונתה </w:t>
      </w:r>
      <w:proofErr w:type="spellStart"/>
      <w:r>
        <w:rPr>
          <w:sz w:val="20"/>
          <w:szCs w:val="20"/>
          <w:rtl/>
        </w:rPr>
        <w:t>ריקוול׳ה</w:t>
      </w:r>
      <w:proofErr w:type="spellEnd"/>
      <w:r>
        <w:rPr>
          <w:sz w:val="20"/>
          <w:szCs w:val="20"/>
          <w:rtl/>
        </w:rPr>
        <w:t xml:space="preserve">) מן הזמן שהגיע </w:t>
      </w:r>
      <w:proofErr w:type="spellStart"/>
      <w:r>
        <w:rPr>
          <w:sz w:val="20"/>
          <w:szCs w:val="20"/>
          <w:rtl/>
        </w:rPr>
        <w:t>לסלבודקה</w:t>
      </w:r>
      <w:proofErr w:type="spellEnd"/>
      <w:r>
        <w:rPr>
          <w:sz w:val="20"/>
          <w:szCs w:val="20"/>
          <w:rtl/>
        </w:rPr>
        <w:t>.</w:t>
      </w:r>
    </w:p>
  </w:footnote>
  <w:footnote w:id="2245">
    <w:p w14:paraId="591BAE4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וזה מזכיר מה שר׳ ברוך בר אמר בבדיחות </w:t>
      </w:r>
      <w:proofErr w:type="spellStart"/>
      <w:r>
        <w:rPr>
          <w:sz w:val="20"/>
          <w:szCs w:val="20"/>
          <w:rtl/>
        </w:rPr>
        <w:t>לר</w:t>
      </w:r>
      <w:proofErr w:type="spellEnd"/>
      <w:r>
        <w:rPr>
          <w:sz w:val="20"/>
          <w:szCs w:val="20"/>
          <w:rtl/>
        </w:rPr>
        <w:t xml:space="preserve">׳ חיים עוזר </w:t>
      </w:r>
      <w:proofErr w:type="spellStart"/>
      <w:r>
        <w:rPr>
          <w:sz w:val="20"/>
          <w:szCs w:val="20"/>
          <w:rtl/>
        </w:rPr>
        <w:t>גרודזנסקי</w:t>
      </w:r>
      <w:proofErr w:type="spellEnd"/>
      <w:r>
        <w:rPr>
          <w:sz w:val="20"/>
          <w:szCs w:val="20"/>
          <w:rtl/>
        </w:rPr>
        <w:t xml:space="preserve">, אליבא </w:t>
      </w:r>
      <w:proofErr w:type="spellStart"/>
      <w:r>
        <w:rPr>
          <w:sz w:val="20"/>
          <w:szCs w:val="20"/>
          <w:rtl/>
        </w:rPr>
        <w:t>דחד</w:t>
      </w:r>
      <w:proofErr w:type="spellEnd"/>
      <w:r>
        <w:rPr>
          <w:sz w:val="20"/>
          <w:szCs w:val="20"/>
          <w:rtl/>
        </w:rPr>
        <w:t xml:space="preserve"> ממשפחתו שמסר על כך לי, שהבחורים טועים לדרוש </w:t>
      </w:r>
      <w:proofErr w:type="spellStart"/>
      <w:r>
        <w:rPr>
          <w:sz w:val="20"/>
          <w:szCs w:val="20"/>
          <w:rtl/>
        </w:rPr>
        <w:t>קיחה</w:t>
      </w:r>
      <w:proofErr w:type="spellEnd"/>
      <w:r>
        <w:rPr>
          <w:sz w:val="20"/>
          <w:szCs w:val="20"/>
          <w:rtl/>
        </w:rPr>
        <w:t xml:space="preserve"> </w:t>
      </w:r>
      <w:proofErr w:type="spellStart"/>
      <w:r>
        <w:rPr>
          <w:sz w:val="20"/>
          <w:szCs w:val="20"/>
          <w:rtl/>
        </w:rPr>
        <w:t>קיחה</w:t>
      </w:r>
      <w:proofErr w:type="spellEnd"/>
      <w:r>
        <w:rPr>
          <w:sz w:val="20"/>
          <w:szCs w:val="20"/>
          <w:rtl/>
        </w:rPr>
        <w:t xml:space="preserve"> [כבגמ’ ריש קידושין] גם מן ולקחתם לכם פרי עץ הדר. בעמ׳ קס״ח בפנקס </w:t>
      </w:r>
      <w:proofErr w:type="spellStart"/>
      <w:r>
        <w:rPr>
          <w:sz w:val="20"/>
          <w:szCs w:val="20"/>
          <w:rtl/>
        </w:rPr>
        <w:t>סלוצק</w:t>
      </w:r>
      <w:proofErr w:type="spellEnd"/>
      <w:r>
        <w:rPr>
          <w:sz w:val="20"/>
          <w:szCs w:val="20"/>
          <w:rtl/>
        </w:rPr>
        <w:t xml:space="preserve"> (שהוזכר לעיל </w:t>
      </w:r>
      <w:proofErr w:type="spellStart"/>
      <w:r>
        <w:rPr>
          <w:sz w:val="20"/>
          <w:szCs w:val="20"/>
          <w:rtl/>
        </w:rPr>
        <w:t>בהערת־שוליים</w:t>
      </w:r>
      <w:proofErr w:type="spellEnd"/>
      <w:r>
        <w:rPr>
          <w:sz w:val="20"/>
          <w:szCs w:val="20"/>
          <w:rtl/>
        </w:rPr>
        <w:t xml:space="preserve"> </w:t>
      </w:r>
      <w:r>
        <w:rPr>
          <w:sz w:val="20"/>
          <w:szCs w:val="20"/>
          <w:rtl/>
        </w:rPr>
        <w:fldChar w:fldCharType="begin" w:dirty="true"/>
      </w:r>
      <w:r>
        <w:rPr>
          <w:sz w:val="20"/>
          <w:szCs w:val="20"/>
          <w:rtl/>
        </w:rPr>
        <w:instrText xml:space="preserve"> NOTEREF pr_f_2000 \h </w:instrText>
      </w:r>
      <w:r>
        <w:rPr>
          <w:sz w:val="20"/>
          <w:szCs w:val="20"/>
          <w:rtl/>
        </w:rPr>
      </w:r>
      <w:r>
        <w:rPr>
          <w:sz w:val="20"/>
          <w:szCs w:val="20"/>
          <w:rtl/>
        </w:rPr>
        <w:fldChar w:fldCharType="separate"/>
      </w:r>
      <w:r w:rsidR="007923E9">
        <w:rPr>
          <w:sz w:val="20"/>
          <w:szCs w:val="20"/>
          <w:rtl/>
        </w:rPr>
        <w:t>1046</w:t>
      </w:r>
      <w:r>
        <w:rPr>
          <w:sz w:val="20"/>
          <w:szCs w:val="20"/>
          <w:rtl/>
        </w:rPr>
        <w:fldChar w:fldCharType="end"/>
      </w:r>
      <w:r>
        <w:rPr>
          <w:sz w:val="20"/>
          <w:szCs w:val="20"/>
          <w:rtl/>
        </w:rPr>
        <w:t xml:space="preserve"> על עמוד </w:t>
      </w:r>
      <w:r>
        <w:rPr>
          <w:sz w:val="20"/>
          <w:szCs w:val="20"/>
          <w:rtl/>
        </w:rPr>
        <w:fldChar w:fldCharType="begin" w:dirty="true"/>
      </w:r>
      <w:r>
        <w:rPr>
          <w:sz w:val="20"/>
          <w:szCs w:val="20"/>
          <w:rtl/>
        </w:rPr>
        <w:instrText xml:space="preserve"> PAGEREF pr_f_2000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במאמר “רבה של </w:t>
      </w:r>
      <w:proofErr w:type="spellStart"/>
      <w:r>
        <w:rPr>
          <w:sz w:val="20"/>
          <w:szCs w:val="20"/>
          <w:rtl/>
        </w:rPr>
        <w:t>הלוסק</w:t>
      </w:r>
      <w:proofErr w:type="spellEnd"/>
      <w:r>
        <w:rPr>
          <w:sz w:val="20"/>
          <w:szCs w:val="20"/>
          <w:rtl/>
        </w:rPr>
        <w:t xml:space="preserve">” מאת הרב נ. וכסמן, נמצאת </w:t>
      </w:r>
      <w:proofErr w:type="spellStart"/>
      <w:r>
        <w:rPr>
          <w:sz w:val="20"/>
          <w:szCs w:val="20"/>
          <w:rtl/>
        </w:rPr>
        <w:t>אימרה</w:t>
      </w:r>
      <w:proofErr w:type="spellEnd"/>
      <w:r>
        <w:rPr>
          <w:sz w:val="20"/>
          <w:szCs w:val="20"/>
          <w:rtl/>
        </w:rPr>
        <w:t xml:space="preserve"> זו של ר׳ </w:t>
      </w:r>
      <w:proofErr w:type="spellStart"/>
      <w:r>
        <w:rPr>
          <w:sz w:val="20"/>
          <w:szCs w:val="20"/>
          <w:rtl/>
        </w:rPr>
        <w:t>ברוך־בער</w:t>
      </w:r>
      <w:proofErr w:type="spellEnd"/>
      <w:r>
        <w:rPr>
          <w:sz w:val="20"/>
          <w:szCs w:val="20"/>
          <w:rtl/>
        </w:rPr>
        <w:t xml:space="preserve"> אבל בלי החריפות המושלמת, דהיינו, שאחרי שאחד מתלמידיו נפגש עם בתו “של פלוני” ואח״כ דיווח </w:t>
      </w:r>
      <w:proofErr w:type="spellStart"/>
      <w:r>
        <w:rPr>
          <w:sz w:val="20"/>
          <w:szCs w:val="20"/>
          <w:rtl/>
        </w:rPr>
        <w:t>לר</w:t>
      </w:r>
      <w:proofErr w:type="spellEnd"/>
      <w:r>
        <w:rPr>
          <w:sz w:val="20"/>
          <w:szCs w:val="20"/>
          <w:rtl/>
        </w:rPr>
        <w:t xml:space="preserve">׳ ברוך בער שהשידוך אינו נראה לו מפני שהיא “אינה מהודרת”, אמר לו רבו עד כמה שאני יודע נאמר “הדר” רק לגבי אתרוג ולא לגבי </w:t>
      </w:r>
      <w:proofErr w:type="spellStart"/>
      <w:r>
        <w:rPr>
          <w:sz w:val="20"/>
          <w:szCs w:val="20"/>
          <w:rtl/>
        </w:rPr>
        <w:t>אשה</w:t>
      </w:r>
      <w:proofErr w:type="spellEnd"/>
      <w:r>
        <w:rPr>
          <w:sz w:val="20"/>
          <w:szCs w:val="20"/>
          <w:rtl/>
        </w:rPr>
        <w:t>. (ואולי הסיפור הזה קרה עם בחור שנפגש עם בתו של ר׳ ברוך בר בעצמו.)</w:t>
      </w:r>
    </w:p>
  </w:footnote>
  <w:footnote w:id="2246">
    <w:p w14:paraId="15FA0BA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קופל סירב לגלות מי היה האשם, ורק אמר שלבסוף השתקע באמריקה וכיהן שם ברבנות מכובדת. ייתכן שהמרואיין הפיקח אף כינה את הצעיר בשם פרטי בדוי, “ר׳ </w:t>
      </w:r>
      <w:proofErr w:type="spellStart"/>
      <w:r>
        <w:rPr>
          <w:sz w:val="20"/>
          <w:szCs w:val="20"/>
          <w:rtl/>
        </w:rPr>
        <w:t>איצ׳ה</w:t>
      </w:r>
      <w:proofErr w:type="spellEnd"/>
      <w:r>
        <w:rPr>
          <w:sz w:val="20"/>
          <w:szCs w:val="20"/>
          <w:rtl/>
        </w:rPr>
        <w:t xml:space="preserve">”, כשחזר על הוראתו של ר׳ </w:t>
      </w:r>
      <w:proofErr w:type="spellStart"/>
      <w:r>
        <w:rPr>
          <w:sz w:val="20"/>
          <w:szCs w:val="20"/>
          <w:rtl/>
        </w:rPr>
        <w:t>ברוך־בער</w:t>
      </w:r>
      <w:proofErr w:type="spellEnd"/>
      <w:r>
        <w:rPr>
          <w:sz w:val="20"/>
          <w:szCs w:val="20"/>
          <w:rtl/>
        </w:rPr>
        <w:t xml:space="preserve"> לחתן לעזוב את </w:t>
      </w:r>
      <w:proofErr w:type="spellStart"/>
      <w:r>
        <w:rPr>
          <w:sz w:val="20"/>
          <w:szCs w:val="20"/>
          <w:rtl/>
        </w:rPr>
        <w:t>סלבודקה</w:t>
      </w:r>
      <w:proofErr w:type="spellEnd"/>
      <w:r>
        <w:rPr>
          <w:sz w:val="20"/>
          <w:szCs w:val="20"/>
          <w:rtl/>
        </w:rPr>
        <w:t>, כמובא בסיפור שלעיל.</w:t>
      </w:r>
    </w:p>
  </w:footnote>
  <w:footnote w:id="2247">
    <w:p w14:paraId="349EA79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ריאיון ב־3 באוגוסט 1995. ב־5 באוגוסט 2001 סיפר ר׳ </w:t>
      </w:r>
      <w:proofErr w:type="spellStart"/>
      <w:r>
        <w:rPr>
          <w:sz w:val="20"/>
          <w:szCs w:val="20"/>
          <w:rtl/>
        </w:rPr>
        <w:t>זלמן־נחמיה</w:t>
      </w:r>
      <w:proofErr w:type="spellEnd"/>
      <w:r>
        <w:rPr>
          <w:sz w:val="20"/>
          <w:szCs w:val="20"/>
          <w:rtl/>
        </w:rPr>
        <w:t xml:space="preserve"> גולדברג </w:t>
      </w:r>
      <w:proofErr w:type="spellStart"/>
      <w:r>
        <w:rPr>
          <w:sz w:val="20"/>
          <w:szCs w:val="20"/>
          <w:rtl/>
        </w:rPr>
        <w:t>שאמו</w:t>
      </w:r>
      <w:proofErr w:type="spellEnd"/>
      <w:r>
        <w:rPr>
          <w:sz w:val="20"/>
          <w:szCs w:val="20"/>
          <w:rtl/>
        </w:rPr>
        <w:t xml:space="preserve">, שהייתה אז </w:t>
      </w:r>
      <w:proofErr w:type="spellStart"/>
      <w:r>
        <w:rPr>
          <w:sz w:val="20"/>
          <w:szCs w:val="20"/>
          <w:rtl/>
        </w:rPr>
        <w:t>בקרמנצ׳וג</w:t>
      </w:r>
      <w:proofErr w:type="spellEnd"/>
      <w:r>
        <w:rPr>
          <w:sz w:val="20"/>
          <w:szCs w:val="20"/>
          <w:rtl/>
        </w:rPr>
        <w:t xml:space="preserve">, נכנסה לבית ר׳ </w:t>
      </w:r>
      <w:proofErr w:type="spellStart"/>
      <w:r>
        <w:rPr>
          <w:sz w:val="20"/>
          <w:szCs w:val="20"/>
          <w:rtl/>
        </w:rPr>
        <w:t>ברוך־בער</w:t>
      </w:r>
      <w:proofErr w:type="spellEnd"/>
      <w:r>
        <w:rPr>
          <w:sz w:val="20"/>
          <w:szCs w:val="20"/>
          <w:rtl/>
        </w:rPr>
        <w:t xml:space="preserve"> לספר לבנותיו, שהייתה מיודדת עמן, שזה עתה קיבלה ידיעה מקרוביה </w:t>
      </w:r>
      <w:proofErr w:type="spellStart"/>
      <w:r>
        <w:rPr>
          <w:sz w:val="20"/>
          <w:szCs w:val="20"/>
          <w:rtl/>
        </w:rPr>
        <w:t>בוולוז׳ין</w:t>
      </w:r>
      <w:proofErr w:type="spellEnd"/>
      <w:r>
        <w:rPr>
          <w:sz w:val="20"/>
          <w:szCs w:val="20"/>
          <w:rtl/>
        </w:rPr>
        <w:t xml:space="preserve">: ר׳ שלמה היימן התארס שם לבת דודה, </w:t>
      </w:r>
      <w:proofErr w:type="spellStart"/>
      <w:r>
        <w:rPr>
          <w:sz w:val="20"/>
          <w:szCs w:val="20"/>
          <w:rtl/>
        </w:rPr>
        <w:t>פייגה</w:t>
      </w:r>
      <w:proofErr w:type="spellEnd"/>
      <w:r>
        <w:rPr>
          <w:sz w:val="20"/>
          <w:szCs w:val="20"/>
          <w:rtl/>
        </w:rPr>
        <w:t xml:space="preserve"> רודנסקי. היא ראתה שהידיעה זעזעה את ר׳ </w:t>
      </w:r>
      <w:proofErr w:type="spellStart"/>
      <w:r>
        <w:rPr>
          <w:sz w:val="20"/>
          <w:szCs w:val="20"/>
          <w:rtl/>
        </w:rPr>
        <w:t>ברוך־בער</w:t>
      </w:r>
      <w:proofErr w:type="spellEnd"/>
      <w:r>
        <w:rPr>
          <w:sz w:val="20"/>
          <w:szCs w:val="20"/>
          <w:rtl/>
        </w:rPr>
        <w:t xml:space="preserve">, והתרשמה שהוא רצה בר׳ שלמה לאחת מבנותיו. לפי הרשימות הביוגרפיות בתחילת “חידושי רבי שלמה” (בני ברק, תשל״ג), נישא הרב היימן </w:t>
      </w:r>
      <w:proofErr w:type="spellStart"/>
      <w:r>
        <w:rPr>
          <w:sz w:val="20"/>
          <w:szCs w:val="20"/>
          <w:rtl/>
        </w:rPr>
        <w:t>בתרע״ח</w:t>
      </w:r>
      <w:proofErr w:type="spellEnd"/>
      <w:r>
        <w:rPr>
          <w:sz w:val="20"/>
          <w:szCs w:val="20"/>
          <w:rtl/>
        </w:rPr>
        <w:t xml:space="preserve">, ורבקה </w:t>
      </w:r>
      <w:proofErr w:type="spellStart"/>
      <w:r>
        <w:rPr>
          <w:sz w:val="20"/>
          <w:szCs w:val="20"/>
          <w:rtl/>
        </w:rPr>
        <w:t>ליבוביץ־טורץ</w:t>
      </w:r>
      <w:proofErr w:type="spellEnd"/>
      <w:r>
        <w:rPr>
          <w:sz w:val="20"/>
          <w:szCs w:val="20"/>
          <w:rtl/>
        </w:rPr>
        <w:t xml:space="preserve"> נישאה רק בשנה שלאחר מכן; לפיכך ייתכן שר׳ </w:t>
      </w:r>
      <w:proofErr w:type="spellStart"/>
      <w:r>
        <w:rPr>
          <w:sz w:val="20"/>
          <w:szCs w:val="20"/>
          <w:rtl/>
        </w:rPr>
        <w:t>ברוך־בער</w:t>
      </w:r>
      <w:proofErr w:type="spellEnd"/>
      <w:r>
        <w:rPr>
          <w:sz w:val="20"/>
          <w:szCs w:val="20"/>
          <w:rtl/>
        </w:rPr>
        <w:t xml:space="preserve"> חשב על ר׳ שלמה בשבילה. אבל ייתכן שחשב דווקא על בתו השנייה, שרה, שנישאה (</w:t>
      </w:r>
      <w:proofErr w:type="spellStart"/>
      <w:r>
        <w:rPr>
          <w:sz w:val="20"/>
          <w:szCs w:val="20"/>
          <w:rtl/>
        </w:rPr>
        <w:t>לר</w:t>
      </w:r>
      <w:proofErr w:type="spellEnd"/>
      <w:r>
        <w:rPr>
          <w:sz w:val="20"/>
          <w:szCs w:val="20"/>
          <w:rtl/>
        </w:rPr>
        <w:t xml:space="preserve">׳ ראובן </w:t>
      </w:r>
      <w:proofErr w:type="spellStart"/>
      <w:r>
        <w:rPr>
          <w:sz w:val="20"/>
          <w:szCs w:val="20"/>
          <w:rtl/>
        </w:rPr>
        <w:t>גרוזובסקי</w:t>
      </w:r>
      <w:proofErr w:type="spellEnd"/>
      <w:r>
        <w:rPr>
          <w:sz w:val="20"/>
          <w:szCs w:val="20"/>
          <w:rtl/>
        </w:rPr>
        <w:t>) באותה שנה כאחותה – ראה סוף הפסקה הראשונה של נספח לה להלן.</w:t>
      </w:r>
    </w:p>
  </w:footnote>
  <w:footnote w:id="2248">
    <w:p w14:paraId="458F369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ט לעיל, עמ׳ לג, הערה 1.</w:t>
      </w:r>
    </w:p>
  </w:footnote>
  <w:footnote w:id="2249">
    <w:p w14:paraId="222E6C0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דף מ״ג ע״א.</w:t>
      </w:r>
    </w:p>
  </w:footnote>
  <w:footnote w:id="2250">
    <w:p w14:paraId="69F2A68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פרק 1, הפסקה הראשונה של הערה 64, על האופן שבו ראה אבי את המציאות הנידונה בגמרא בילדותו המוקדמת.</w:t>
      </w:r>
    </w:p>
  </w:footnote>
  <w:footnote w:id="2251">
    <w:p w14:paraId="1CEB510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הערת שוליים </w:t>
      </w:r>
      <w:r>
        <w:rPr>
          <w:rStyle w:val="a5"/>
          <w:sz w:val="20"/>
          <w:szCs w:val="20"/>
          <w:vertAlign w:val="baseline"/>
          <w:rtl/>
        </w:rPr>
        <w:fldChar w:fldCharType="begin" w:dirty="true"/>
      </w:r>
      <w:r>
        <w:rPr>
          <w:rStyle w:val="a5"/>
          <w:sz w:val="20"/>
          <w:szCs w:val="20"/>
          <w:vertAlign w:val="baseline"/>
          <w:rtl/>
        </w:rPr>
        <w:instrText xml:space="preserve"> NOTEREF pr_f_2000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1046</w:t>
      </w:r>
      <w:r>
        <w:rPr>
          <w:rStyle w:val="a5"/>
          <w:sz w:val="20"/>
          <w:szCs w:val="20"/>
          <w:vertAlign w:val="baseline"/>
          <w:rtl/>
        </w:rPr>
        <w:fldChar w:fldCharType="end"/>
      </w:r>
      <w:r>
        <w:rPr>
          <w:rStyle w:val="a5"/>
          <w:sz w:val="20"/>
          <w:szCs w:val="20"/>
          <w:vertAlign w:val="baseline"/>
          <w:rtl/>
        </w:rPr>
        <w:t xml:space="preserve"> בעמ׳ </w:t>
      </w:r>
      <w:r>
        <w:rPr>
          <w:rStyle w:val="a5"/>
          <w:sz w:val="20"/>
          <w:szCs w:val="20"/>
          <w:vertAlign w:val="baseline"/>
          <w:rtl/>
        </w:rPr>
        <w:fldChar w:fldCharType="begin" w:dirty="true"/>
      </w:r>
      <w:r>
        <w:rPr>
          <w:rStyle w:val="a5"/>
          <w:sz w:val="20"/>
          <w:szCs w:val="20"/>
          <w:vertAlign w:val="baseline"/>
          <w:rtl/>
        </w:rPr>
        <w:instrText xml:space="preserve"> PAGEREF pr_f_2000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 עמ׳ 186</w:t>
      </w:r>
      <w:r>
        <w:rPr>
          <w:sz w:val="20"/>
          <w:szCs w:val="20"/>
          <w:rtl/>
        </w:rPr>
        <w:t>.</w:t>
      </w:r>
    </w:p>
  </w:footnote>
  <w:footnote w:id="2252">
    <w:p w14:paraId="0A91288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בישיבות </w:t>
      </w:r>
      <w:proofErr w:type="spellStart"/>
      <w:r>
        <w:rPr>
          <w:sz w:val="20"/>
          <w:szCs w:val="20"/>
          <w:rtl/>
        </w:rPr>
        <w:t>בסלבודקה</w:t>
      </w:r>
      <w:proofErr w:type="spellEnd"/>
      <w:r>
        <w:rPr>
          <w:sz w:val="20"/>
          <w:szCs w:val="20"/>
          <w:rtl/>
        </w:rPr>
        <w:t xml:space="preserve"> היה ידוע כשלמה </w:t>
      </w:r>
      <w:proofErr w:type="spellStart"/>
      <w:r>
        <w:rPr>
          <w:sz w:val="20"/>
          <w:szCs w:val="20"/>
          <w:rtl/>
        </w:rPr>
        <w:t>פאריצ׳ער</w:t>
      </w:r>
      <w:proofErr w:type="spellEnd"/>
      <w:r>
        <w:rPr>
          <w:sz w:val="20"/>
          <w:szCs w:val="20"/>
          <w:rtl/>
        </w:rPr>
        <w:t>, כפי שהוזכר בפסקה הקודמת.</w:t>
      </w:r>
    </w:p>
  </w:footnote>
  <w:footnote w:id="2253">
    <w:p w14:paraId="7DCD985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ב לעיל, עמ׳ 214.</w:t>
      </w:r>
    </w:p>
  </w:footnote>
  <w:footnote w:id="2254">
    <w:p w14:paraId="535A29C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גם עיין נתיבות עולם למהר״ל מפראג, נתיב התורה פ״א, שכתב בד״ה ובמסכת נדה וכו׳ מי שחושב כי עיקר לימוד לאדם בחכמה שישיג בנמצאים ובגלגלים ובמלאכים ולא נתנה מדרגה זאת לתורה </w:t>
      </w:r>
      <w:proofErr w:type="spellStart"/>
      <w:r>
        <w:rPr>
          <w:sz w:val="20"/>
          <w:szCs w:val="20"/>
          <w:rtl/>
        </w:rPr>
        <w:t>לנזיקין</w:t>
      </w:r>
      <w:proofErr w:type="spellEnd"/>
      <w:r>
        <w:rPr>
          <w:sz w:val="20"/>
          <w:szCs w:val="20"/>
          <w:rtl/>
        </w:rPr>
        <w:t xml:space="preserve"> ולטומאה ולטהרה, דבר זה היא מכשלה גדולה מאד.</w:t>
      </w:r>
    </w:p>
  </w:footnote>
  <w:footnote w:id="2255">
    <w:p w14:paraId="4500BD8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3.</w:t>
      </w:r>
    </w:p>
  </w:footnote>
  <w:footnote w:id="2256">
    <w:p w14:paraId="4874043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נספח לד להלן, על אמרה של ר׳ </w:t>
      </w:r>
      <w:proofErr w:type="spellStart"/>
      <w:r>
        <w:rPr>
          <w:sz w:val="20"/>
          <w:szCs w:val="20"/>
          <w:rtl/>
        </w:rPr>
        <w:t>ברוך־בער</w:t>
      </w:r>
      <w:proofErr w:type="spellEnd"/>
      <w:r>
        <w:rPr>
          <w:sz w:val="20"/>
          <w:szCs w:val="20"/>
          <w:rtl/>
        </w:rPr>
        <w:t xml:space="preserve"> בעניין “שור שנגח את הפרה”, שבניגוד לגישה </w:t>
      </w:r>
      <w:proofErr w:type="spellStart"/>
      <w:r>
        <w:rPr>
          <w:sz w:val="20"/>
          <w:szCs w:val="20"/>
          <w:rtl/>
        </w:rPr>
        <w:t>החב״דית</w:t>
      </w:r>
      <w:proofErr w:type="spellEnd"/>
      <w:r>
        <w:rPr>
          <w:sz w:val="20"/>
          <w:szCs w:val="20"/>
          <w:rtl/>
        </w:rPr>
        <w:t xml:space="preserve"> מציבה את לימוד הנושא </w:t>
      </w:r>
      <w:proofErr w:type="spellStart"/>
      <w:r>
        <w:rPr>
          <w:sz w:val="20"/>
          <w:szCs w:val="20"/>
          <w:rtl/>
        </w:rPr>
        <w:t>ה“גשמי</w:t>
      </w:r>
      <w:proofErr w:type="spellEnd"/>
      <w:r>
        <w:rPr>
          <w:sz w:val="20"/>
          <w:szCs w:val="20"/>
          <w:rtl/>
        </w:rPr>
        <w:t>” הזה כפסגת ההישג בתחום ההתקרבות לאלוקות!</w:t>
      </w:r>
    </w:p>
  </w:footnote>
  <w:footnote w:id="2257">
    <w:p w14:paraId="25D37F5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תהלים </w:t>
      </w:r>
      <w:proofErr w:type="spellStart"/>
      <w:r>
        <w:rPr>
          <w:sz w:val="20"/>
          <w:szCs w:val="20"/>
          <w:rtl/>
        </w:rPr>
        <w:t>סג</w:t>
      </w:r>
      <w:proofErr w:type="spellEnd"/>
      <w:r>
        <w:rPr>
          <w:sz w:val="20"/>
          <w:szCs w:val="20"/>
          <w:rtl/>
        </w:rPr>
        <w:t xml:space="preserve">, </w:t>
      </w:r>
      <w:proofErr w:type="spellStart"/>
      <w:r>
        <w:rPr>
          <w:sz w:val="20"/>
          <w:szCs w:val="20"/>
          <w:rtl/>
        </w:rPr>
        <w:t>יב</w:t>
      </w:r>
      <w:proofErr w:type="spellEnd"/>
      <w:r>
        <w:rPr>
          <w:sz w:val="20"/>
          <w:szCs w:val="20"/>
          <w:rtl/>
        </w:rPr>
        <w:t>.</w:t>
      </w:r>
    </w:p>
  </w:footnote>
  <w:footnote w:id="2258">
    <w:p w14:paraId="3DC8E4A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תחילת הפסקה השנייה של נספח </w:t>
      </w:r>
      <w:proofErr w:type="spellStart"/>
      <w:r>
        <w:rPr>
          <w:sz w:val="20"/>
          <w:szCs w:val="20"/>
          <w:rtl/>
        </w:rPr>
        <w:t>כב</w:t>
      </w:r>
      <w:proofErr w:type="spellEnd"/>
      <w:r>
        <w:rPr>
          <w:sz w:val="20"/>
          <w:szCs w:val="20"/>
          <w:rtl/>
        </w:rPr>
        <w:t xml:space="preserve"> להלן.</w:t>
      </w:r>
    </w:p>
  </w:footnote>
  <w:footnote w:id="2259">
    <w:p w14:paraId="5EF8AF6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משנה סוף מס׳ תענית.</w:t>
      </w:r>
    </w:p>
  </w:footnote>
  <w:footnote w:id="2260">
    <w:p w14:paraId="056E39B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הוצאת ספרים </w:t>
      </w:r>
      <w:proofErr w:type="spellStart"/>
      <w:r>
        <w:rPr>
          <w:sz w:val="20"/>
          <w:szCs w:val="20"/>
          <w:rtl/>
        </w:rPr>
        <w:t>פלדהיים</w:t>
      </w:r>
      <w:proofErr w:type="spellEnd"/>
      <w:r>
        <w:rPr>
          <w:sz w:val="20"/>
          <w:szCs w:val="20"/>
          <w:rtl/>
        </w:rPr>
        <w:t>, ירושלים, תשנ״ח, עמ׳ 219–220.</w:t>
      </w:r>
    </w:p>
  </w:footnote>
  <w:footnote w:id="2261">
    <w:p w14:paraId="70A8206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הביוגרפיה של ר׳ מאיר שפירא, “הרב הגדול”, מאת רבי יהושע </w:t>
      </w:r>
      <w:proofErr w:type="spellStart"/>
      <w:r>
        <w:rPr>
          <w:sz w:val="20"/>
          <w:szCs w:val="20"/>
          <w:rtl/>
        </w:rPr>
        <w:t>בוימל</w:t>
      </w:r>
      <w:proofErr w:type="spellEnd"/>
      <w:r>
        <w:rPr>
          <w:sz w:val="20"/>
          <w:szCs w:val="20"/>
          <w:rtl/>
        </w:rPr>
        <w:t xml:space="preserve"> (הוצאת משאבים, ירושלים, </w:t>
      </w:r>
      <w:proofErr w:type="spellStart"/>
      <w:r>
        <w:rPr>
          <w:sz w:val="20"/>
          <w:szCs w:val="20"/>
          <w:rtl/>
        </w:rPr>
        <w:t>תנש״א</w:t>
      </w:r>
      <w:proofErr w:type="spellEnd"/>
      <w:r>
        <w:rPr>
          <w:sz w:val="20"/>
          <w:szCs w:val="20"/>
          <w:rtl/>
        </w:rPr>
        <w:t xml:space="preserve">), עמ׳ 254, ביקר ר׳ מאיר גם </w:t>
      </w:r>
      <w:proofErr w:type="spellStart"/>
      <w:r>
        <w:rPr>
          <w:sz w:val="20"/>
          <w:szCs w:val="20"/>
          <w:rtl/>
        </w:rPr>
        <w:t>בראדין</w:t>
      </w:r>
      <w:proofErr w:type="spellEnd"/>
      <w:r>
        <w:rPr>
          <w:sz w:val="20"/>
          <w:szCs w:val="20"/>
          <w:rtl/>
        </w:rPr>
        <w:t xml:space="preserve">, ושהה שם שמונה ימים בסביבתו של </w:t>
      </w:r>
      <w:proofErr w:type="spellStart"/>
      <w:r>
        <w:rPr>
          <w:sz w:val="20"/>
          <w:szCs w:val="20"/>
          <w:rtl/>
        </w:rPr>
        <w:t>החפץ־חיים</w:t>
      </w:r>
      <w:proofErr w:type="spellEnd"/>
      <w:r>
        <w:rPr>
          <w:sz w:val="20"/>
          <w:szCs w:val="20"/>
          <w:rtl/>
        </w:rPr>
        <w:t xml:space="preserve">, וגם </w:t>
      </w:r>
      <w:proofErr w:type="spellStart"/>
      <w:r>
        <w:rPr>
          <w:sz w:val="20"/>
          <w:szCs w:val="20"/>
          <w:rtl/>
        </w:rPr>
        <w:t>בברנוביץ</w:t>
      </w:r>
      <w:proofErr w:type="spellEnd"/>
      <w:r>
        <w:rPr>
          <w:sz w:val="20"/>
          <w:szCs w:val="20"/>
          <w:rtl/>
        </w:rPr>
        <w:t>׳. ביקורים אלה היו בחורף תרפ״ט, כחצי שנה לפני הנחת אבן הפינה לבניין המפואר של ישיבתו.</w:t>
      </w:r>
    </w:p>
  </w:footnote>
  <w:footnote w:id="2262">
    <w:p w14:paraId="7CEF0459" w14:textId="77777777" w:rsidR="00AB3647" w:rsidRDefault="00000000">
      <w:pPr>
        <w:spacing w:after="0" w:before="0"/>
        <w:jc w:val="both"/>
      </w:pPr>
      <w:r>
        <w:rPr>
          <w:rStyle w:val="a5"/>
          <w:vertAlign w:val="superscript"/>
          <w:rtl/>
        </w:rPr>
        <w:footnoteRef/>
      </w:r>
      <w:r>
        <w:rPr>
          <w:sz w:val="20"/>
          <w:szCs w:val="20"/>
        </w:rPr>
        <w:t xml:space="preserve"> </w:t>
      </w:r>
      <w:r>
        <w:rPr>
          <w:sz w:val="20"/>
          <w:szCs w:val="20"/>
          <w:rtl/>
        </w:rPr>
        <w:t xml:space="preserve">הערת המתרגם: אבן הפינה לבניין ישיבת חכמי לובלין הונחה כבר בל״ג בעומר תרפ״ד, והבניין נחנך בסוף סיון </w:t>
      </w:r>
      <w:proofErr w:type="spellStart"/>
      <w:r>
        <w:rPr>
          <w:sz w:val="20"/>
          <w:szCs w:val="20"/>
          <w:rtl/>
        </w:rPr>
        <w:t>תר״ץ</w:t>
      </w:r>
      <w:proofErr w:type="spellEnd"/>
      <w:r>
        <w:rPr>
          <w:sz w:val="20"/>
          <w:szCs w:val="20"/>
          <w:rtl/>
        </w:rPr>
        <w:t>.</w:t>
      </w:r>
    </w:p>
    <w:p w14:paraId="7886C5BC" w14:textId="77777777" w:rsidR="00AB3647" w:rsidRDefault="00000000">
      <w:pPr>
        <w:spacing w:after="0" w:before="0"/>
        <w:jc w:val="both"/>
      </w:pPr>
      <w:r>
        <w:rPr>
          <w:rStyle w:val="a5"/>
          <w:sz w:val="20"/>
          <w:szCs w:val="20"/>
          <w:vertAlign w:val="baseline"/>
          <w:rtl/>
        </w:rPr>
        <w:t/>
      </w:r>
      <w:r>
        <w:rPr>
          <w:sz w:val="20"/>
          <w:szCs w:val="20"/>
          <w:rtl/>
        </w:rPr>
        <w:t xml:space="preserve"/>
      </w:r>
      <w:r>
        <w:rPr>
          <w:b/>
          <w:sz w:val="20"/>
          <w:szCs w:val="20"/>
          <w:rtl/>
        </w:rPr>
        <w:t xml:space="preserve">הערת המתרגם: </w:t>
      </w:r>
      <w:r>
        <w:rPr>
          <w:sz w:val="20"/>
          <w:szCs w:val="20"/>
          <w:rtl/>
        </w:rPr>
        <w:t xml:space="preserve">שנת תרפ״ט נמשכה מספטמבר 1928 עד ספטמבר 1929, ולכן חורף תרפ״ט הוא 1928–1929. חורף 1929–1930 הוא חורף </w:t>
      </w:r>
      <w:proofErr w:type="spellStart"/>
      <w:r>
        <w:rPr>
          <w:sz w:val="20"/>
          <w:szCs w:val="20"/>
          <w:rtl/>
        </w:rPr>
        <w:t>תר״ץ</w:t>
      </w:r>
      <w:proofErr w:type="spellEnd"/>
      <w:r>
        <w:rPr>
          <w:sz w:val="20"/>
          <w:szCs w:val="20"/>
          <w:rtl/>
        </w:rPr>
        <w:t>.</w:t>
      </w:r>
    </w:p>
  </w:footnote>
  <w:footnote w:id="2263">
    <w:p w14:paraId="655CC3C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לדברי אחי, ר׳ אברהם, ר׳ אלי׳ חזן, מבחירי תלמידי ישיבת </w:t>
      </w:r>
      <w:proofErr w:type="spellStart"/>
      <w:r>
        <w:rPr>
          <w:sz w:val="20"/>
          <w:szCs w:val="20"/>
          <w:rtl/>
        </w:rPr>
        <w:t>מיר</w:t>
      </w:r>
      <w:proofErr w:type="spellEnd"/>
      <w:r>
        <w:rPr>
          <w:sz w:val="20"/>
          <w:szCs w:val="20"/>
          <w:rtl/>
        </w:rPr>
        <w:t>, סיפר לו שהוא היה המתבדח באחת ההזדמנויות.</w:t>
      </w:r>
    </w:p>
  </w:footnote>
  <w:footnote w:id="2264">
    <w:p w14:paraId="32D01E6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31 באוקטובר 2000.</w:t>
      </w:r>
    </w:p>
  </w:footnote>
  <w:footnote w:id="2265">
    <w:p w14:paraId="752A750F"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שופרון (</w:t>
      </w:r>
      <w:proofErr w:type="spellStart"/>
      <w:r>
        <w:rPr>
          <w:sz w:val="20"/>
          <w:szCs w:val="20"/>
          <w:rtl/>
        </w:rPr>
        <w:t>Sopron</w:t>
      </w:r>
      <w:proofErr w:type="spellEnd"/>
      <w:r>
        <w:rPr>
          <w:sz w:val="20"/>
          <w:szCs w:val="20"/>
          <w:rtl/>
        </w:rPr>
        <w:t xml:space="preserve">; בגרמנית </w:t>
      </w:r>
      <w:proofErr w:type="spellStart"/>
      <w:r>
        <w:rPr>
          <w:sz w:val="20"/>
          <w:szCs w:val="20"/>
          <w:rtl/>
        </w:rPr>
        <w:t>Ödenburg</w:t>
      </w:r>
      <w:proofErr w:type="spellEnd"/>
      <w:r>
        <w:rPr>
          <w:sz w:val="20"/>
          <w:szCs w:val="20"/>
          <w:rtl/>
        </w:rPr>
        <w:t>) שוכנת בהונגריה, סמוך לגבול אוסטריה, ולא בצ׳כוסלובקיה.</w:t>
      </w:r>
    </w:p>
  </w:footnote>
  <w:footnote w:id="2266">
    <w:p w14:paraId="78D9AA0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ברוקלין, תשכ״ט, עמ׳ כ.</w:t>
      </w:r>
    </w:p>
  </w:footnote>
  <w:footnote w:id="2267">
    <w:p w14:paraId="515C7F7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אפשר להבין ביטוי משונה זה כיישום משל ‘שור שנגח את הפרה’ של יעקב מארק לעיל, המתייחס לישיבות </w:t>
      </w:r>
      <w:proofErr w:type="spellStart"/>
      <w:r>
        <w:rPr>
          <w:sz w:val="20"/>
          <w:szCs w:val="20"/>
          <w:rtl/>
        </w:rPr>
        <w:t>המתנגדיות</w:t>
      </w:r>
      <w:proofErr w:type="spellEnd"/>
      <w:r>
        <w:rPr>
          <w:sz w:val="20"/>
          <w:szCs w:val="20"/>
          <w:rtl/>
        </w:rPr>
        <w:t>.</w:t>
      </w:r>
    </w:p>
  </w:footnote>
  <w:footnote w:id="2268">
    <w:p w14:paraId="64930FF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הכוונה לחכמי תקופת הגאונים, בערך בשנים </w:t>
      </w:r>
      <w:proofErr w:type="spellStart"/>
      <w:r>
        <w:rPr>
          <w:sz w:val="20"/>
          <w:szCs w:val="20"/>
          <w:rtl/>
        </w:rPr>
        <w:t>ד׳ת</w:t>
      </w:r>
      <w:proofErr w:type="spellEnd"/>
      <w:r>
        <w:rPr>
          <w:sz w:val="20"/>
          <w:szCs w:val="20"/>
          <w:rtl/>
        </w:rPr>
        <w:t>׳–</w:t>
      </w:r>
      <w:proofErr w:type="spellStart"/>
      <w:r>
        <w:rPr>
          <w:sz w:val="20"/>
          <w:szCs w:val="20"/>
          <w:rtl/>
        </w:rPr>
        <w:t>ד׳תש״נ</w:t>
      </w:r>
      <w:proofErr w:type="spellEnd"/>
      <w:r>
        <w:rPr>
          <w:sz w:val="20"/>
          <w:szCs w:val="20"/>
          <w:rtl/>
        </w:rPr>
        <w:t xml:space="preserve"> (640–990).</w:t>
      </w:r>
    </w:p>
  </w:footnote>
  <w:footnote w:id="2269">
    <w:p w14:paraId="78D8236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אך השווה פרק 4, הפסקה השנייה בנספח ב, שם מובאים דברי ר׳ חיים </w:t>
      </w:r>
      <w:proofErr w:type="spellStart"/>
      <w:r>
        <w:rPr>
          <w:sz w:val="20"/>
          <w:szCs w:val="20"/>
          <w:rtl/>
        </w:rPr>
        <w:t>סולובייצ׳יק</w:t>
      </w:r>
      <w:proofErr w:type="spellEnd"/>
      <w:r>
        <w:rPr>
          <w:sz w:val="20"/>
          <w:szCs w:val="20"/>
          <w:rtl/>
        </w:rPr>
        <w:t>, שחשד “ברוב הרבנים הליטאים שיש להם מידה של אהדה להשכלה”.</w:t>
      </w:r>
    </w:p>
  </w:footnote>
  <w:footnote w:id="2270">
    <w:p w14:paraId="16D270B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משנה חגיגה י ע״א.</w:t>
      </w:r>
    </w:p>
  </w:footnote>
  <w:footnote w:id="2271">
    <w:p w14:paraId="223A2D8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משה </w:t>
      </w:r>
      <w:proofErr w:type="spellStart"/>
      <w:r>
        <w:rPr>
          <w:sz w:val="20"/>
          <w:szCs w:val="20"/>
          <w:rtl/>
        </w:rPr>
        <w:t>קופשיץ</w:t>
      </w:r>
      <w:proofErr w:type="spellEnd"/>
      <w:r>
        <w:rPr>
          <w:sz w:val="20"/>
          <w:szCs w:val="20"/>
          <w:rtl/>
        </w:rPr>
        <w:t xml:space="preserve">, שאביו היה אז תלמיד </w:t>
      </w:r>
      <w:proofErr w:type="spellStart"/>
      <w:r>
        <w:rPr>
          <w:sz w:val="20"/>
          <w:szCs w:val="20"/>
          <w:rtl/>
        </w:rPr>
        <w:t>סלבודקה</w:t>
      </w:r>
      <w:proofErr w:type="spellEnd"/>
      <w:r>
        <w:rPr>
          <w:sz w:val="20"/>
          <w:szCs w:val="20"/>
          <w:rtl/>
        </w:rPr>
        <w:t xml:space="preserve"> </w:t>
      </w:r>
      <w:proofErr w:type="spellStart"/>
      <w:r>
        <w:rPr>
          <w:sz w:val="20"/>
          <w:szCs w:val="20"/>
          <w:rtl/>
        </w:rPr>
        <w:t>בקרמנצ׳וג</w:t>
      </w:r>
      <w:proofErr w:type="spellEnd"/>
      <w:r>
        <w:rPr>
          <w:sz w:val="20"/>
          <w:szCs w:val="20"/>
          <w:rtl/>
        </w:rPr>
        <w:t>, סיפר מעשה זה ב־17 בינואר 1998. השווה גם פרק 5, נספח א.</w:t>
      </w:r>
    </w:p>
  </w:footnote>
  <w:footnote w:id="2272">
    <w:p w14:paraId="2CF0D40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את המילים המודגשות יש לקרוא בנימה סרקסטית. סבורים </w:t>
      </w:r>
      <w:proofErr w:type="spellStart"/>
      <w:r>
        <w:rPr>
          <w:sz w:val="20"/>
          <w:szCs w:val="20"/>
          <w:rtl/>
        </w:rPr>
        <w:t>ש‘נרגן</w:t>
      </w:r>
      <w:proofErr w:type="spellEnd"/>
      <w:r>
        <w:rPr>
          <w:sz w:val="20"/>
          <w:szCs w:val="20"/>
          <w:rtl/>
        </w:rPr>
        <w:t xml:space="preserve">’ זה היה ר׳ אהרן קוטלר, שהגיע לאמריקה ברכבת החוצה את סיביר ובהפלגה החוצה את האוקיינוס השקט, כחודש לפני פרסום המאמר השנוי במחלוקת. לפי זיכרונותיי המעורפלים מימי נעוריי, ר׳ אהרן הוא שהוביל את המאבק נגד המאמר בחוגי הישיבות, ובכך קנה לו את לעגם של חסידי </w:t>
      </w:r>
      <w:proofErr w:type="spellStart"/>
      <w:r>
        <w:rPr>
          <w:sz w:val="20"/>
          <w:szCs w:val="20"/>
          <w:rtl/>
        </w:rPr>
        <w:t>ליובאוויטש</w:t>
      </w:r>
      <w:proofErr w:type="spellEnd"/>
      <w:r>
        <w:rPr>
          <w:sz w:val="20"/>
          <w:szCs w:val="20"/>
          <w:rtl/>
        </w:rPr>
        <w:t xml:space="preserve"> עד היום. נמצא שהרב קוטלר מואשם בחוסר עידון וברדידות! יחסו של ר׳ אהרן </w:t>
      </w:r>
      <w:proofErr w:type="spellStart"/>
      <w:r>
        <w:rPr>
          <w:sz w:val="20"/>
          <w:szCs w:val="20"/>
          <w:rtl/>
        </w:rPr>
        <w:t>לליובאוויטש</w:t>
      </w:r>
      <w:proofErr w:type="spellEnd"/>
      <w:r>
        <w:rPr>
          <w:sz w:val="20"/>
          <w:szCs w:val="20"/>
          <w:rtl/>
        </w:rPr>
        <w:t xml:space="preserve"> אכן היה שלילי ביותר: פעיל פוליטי ישראלי אמין סיפר לי בשיחה פרטית שבביקורו הראשון בארצות הברית, בתש״ח, הזהירו הרב קוטלר להישמר </w:t>
      </w:r>
      <w:proofErr w:type="spellStart"/>
      <w:r>
        <w:rPr>
          <w:sz w:val="20"/>
          <w:szCs w:val="20"/>
          <w:rtl/>
        </w:rPr>
        <w:t>מליובאוויטש</w:t>
      </w:r>
      <w:proofErr w:type="spellEnd"/>
      <w:r>
        <w:rPr>
          <w:sz w:val="20"/>
          <w:szCs w:val="20"/>
          <w:rtl/>
        </w:rPr>
        <w:t>, ‘מפני שהם עובדי עבודה זרה’.</w:t>
      </w:r>
    </w:p>
  </w:footnote>
  <w:footnote w:id="2273">
    <w:p w14:paraId="2E03F24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באותו גיליון מופיע דיווח על חגיגת י״ט בכסלו – היום שבו מציינים מדי שנה את שחרורו של ר׳ </w:t>
      </w:r>
      <w:proofErr w:type="spellStart"/>
      <w:r>
        <w:rPr>
          <w:sz w:val="20"/>
          <w:szCs w:val="20"/>
          <w:rtl/>
        </w:rPr>
        <w:t>שניאור־זלמן</w:t>
      </w:r>
      <w:proofErr w:type="spellEnd"/>
      <w:r>
        <w:rPr>
          <w:sz w:val="20"/>
          <w:szCs w:val="20"/>
          <w:rtl/>
        </w:rPr>
        <w:t xml:space="preserve"> </w:t>
      </w:r>
      <w:proofErr w:type="spellStart"/>
      <w:r>
        <w:rPr>
          <w:sz w:val="20"/>
          <w:szCs w:val="20"/>
          <w:rtl/>
        </w:rPr>
        <w:t>מלאדי</w:t>
      </w:r>
      <w:proofErr w:type="spellEnd"/>
      <w:r>
        <w:rPr>
          <w:sz w:val="20"/>
          <w:szCs w:val="20"/>
          <w:rtl/>
        </w:rPr>
        <w:t xml:space="preserve">, מייסד תנועת חב״ד, מן הכלא, ושחסידי </w:t>
      </w:r>
      <w:proofErr w:type="spellStart"/>
      <w:r>
        <w:rPr>
          <w:sz w:val="20"/>
          <w:szCs w:val="20"/>
          <w:rtl/>
        </w:rPr>
        <w:t>ליובאוויטש</w:t>
      </w:r>
      <w:proofErr w:type="spellEnd"/>
      <w:r>
        <w:rPr>
          <w:sz w:val="20"/>
          <w:szCs w:val="20"/>
          <w:rtl/>
        </w:rPr>
        <w:t xml:space="preserve"> מכנים ‘ראש השנה של החסידות’. בחגיגה נשא הרבי דברים ורמז למתנגדי </w:t>
      </w:r>
      <w:proofErr w:type="spellStart"/>
      <w:r>
        <w:rPr>
          <w:sz w:val="20"/>
          <w:szCs w:val="20"/>
          <w:rtl/>
        </w:rPr>
        <w:t>ליובאוויטש</w:t>
      </w:r>
      <w:proofErr w:type="spellEnd"/>
      <w:r>
        <w:rPr>
          <w:sz w:val="20"/>
          <w:szCs w:val="20"/>
          <w:rtl/>
        </w:rPr>
        <w:t xml:space="preserve"> המבקשים להחיות את המחלוקת הישנה; ראה להלן פרטים נוספים על שיחת הרבי, הנראית כמתקפת נגד על ר׳ אהרן קוטלר.</w:t>
      </w:r>
    </w:p>
  </w:footnote>
  <w:footnote w:id="2274">
    <w:p w14:paraId="68727BC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באותו גיליון התפרסם גם מאמר מאת הרב הנכבד ניסן </w:t>
      </w:r>
      <w:proofErr w:type="spellStart"/>
      <w:r>
        <w:rPr>
          <w:sz w:val="20"/>
          <w:szCs w:val="20"/>
          <w:rtl/>
        </w:rPr>
        <w:t>טעלושקין</w:t>
      </w:r>
      <w:proofErr w:type="spellEnd"/>
      <w:r>
        <w:rPr>
          <w:sz w:val="20"/>
          <w:szCs w:val="20"/>
          <w:rtl/>
        </w:rPr>
        <w:t>, ‘</w:t>
      </w:r>
      <w:proofErr w:type="spellStart"/>
      <w:r>
        <w:rPr>
          <w:sz w:val="20"/>
          <w:szCs w:val="20"/>
          <w:rtl/>
        </w:rPr>
        <w:t>דער</w:t>
      </w:r>
      <w:proofErr w:type="spellEnd"/>
      <w:r>
        <w:rPr>
          <w:sz w:val="20"/>
          <w:szCs w:val="20"/>
          <w:rtl/>
        </w:rPr>
        <w:t xml:space="preserve"> </w:t>
      </w:r>
      <w:proofErr w:type="spellStart"/>
      <w:r>
        <w:rPr>
          <w:sz w:val="20"/>
          <w:szCs w:val="20"/>
          <w:rtl/>
        </w:rPr>
        <w:t>שטרייט</w:t>
      </w:r>
      <w:proofErr w:type="spellEnd"/>
      <w:r>
        <w:rPr>
          <w:sz w:val="20"/>
          <w:szCs w:val="20"/>
          <w:rtl/>
        </w:rPr>
        <w:t xml:space="preserve"> פון תורת חסידות חב״ד געגען </w:t>
      </w:r>
      <w:proofErr w:type="spellStart"/>
      <w:r>
        <w:rPr>
          <w:sz w:val="20"/>
          <w:szCs w:val="20"/>
          <w:rtl/>
        </w:rPr>
        <w:t>אויבערפלעכליכקייט</w:t>
      </w:r>
      <w:proofErr w:type="spellEnd"/>
      <w:r>
        <w:rPr>
          <w:sz w:val="20"/>
          <w:szCs w:val="20"/>
          <w:rtl/>
        </w:rPr>
        <w:t xml:space="preserve">’ [מאבקה של תורת חסידות חב״ד בשטחיות], וייתכן שאף הוא נועד להשיב למבקרי מאמרו של סגל, שכן כותרת המאמר הקודם בולטת בכותרתו של </w:t>
      </w:r>
      <w:proofErr w:type="spellStart"/>
      <w:r>
        <w:rPr>
          <w:sz w:val="20"/>
          <w:szCs w:val="20"/>
          <w:rtl/>
        </w:rPr>
        <w:t>טעלושקין</w:t>
      </w:r>
      <w:proofErr w:type="spellEnd"/>
      <w:r>
        <w:rPr>
          <w:sz w:val="20"/>
          <w:szCs w:val="20"/>
          <w:rtl/>
        </w:rPr>
        <w:t xml:space="preserve"> (באות נטויה במקור), אף שהרב </w:t>
      </w:r>
      <w:proofErr w:type="spellStart"/>
      <w:r>
        <w:rPr>
          <w:sz w:val="20"/>
          <w:szCs w:val="20"/>
          <w:rtl/>
        </w:rPr>
        <w:t>טעלושקין</w:t>
      </w:r>
      <w:proofErr w:type="spellEnd"/>
      <w:r>
        <w:rPr>
          <w:sz w:val="20"/>
          <w:szCs w:val="20"/>
          <w:rtl/>
        </w:rPr>
        <w:t xml:space="preserve"> אינו משתמש במילות המפתח של סגל, ‘פנימיות התורה’. הטענה שתורת </w:t>
      </w:r>
      <w:proofErr w:type="spellStart"/>
      <w:r>
        <w:rPr>
          <w:sz w:val="20"/>
          <w:szCs w:val="20"/>
          <w:rtl/>
        </w:rPr>
        <w:t>ליובאוויטש</w:t>
      </w:r>
      <w:proofErr w:type="spellEnd"/>
      <w:r>
        <w:rPr>
          <w:sz w:val="20"/>
          <w:szCs w:val="20"/>
          <w:rtl/>
        </w:rPr>
        <w:t xml:space="preserve"> עמוקה יותר מתורתם של אחרים חוזרת גם על הטענה שבגיליון הקודם, שהחולקים על סגל שטחיים, כמתואר בהערה שלפני הקודמת.</w:t>
      </w:r>
    </w:p>
  </w:footnote>
  <w:footnote w:id="2275">
    <w:p w14:paraId="0B03C0B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דברים אלה והבאים אחריהם סיפר ר׳ ישראל </w:t>
      </w:r>
      <w:proofErr w:type="spellStart"/>
      <w:r>
        <w:rPr>
          <w:sz w:val="20"/>
          <w:szCs w:val="20"/>
          <w:rtl/>
        </w:rPr>
        <w:t>שורין</w:t>
      </w:r>
      <w:proofErr w:type="spellEnd"/>
      <w:r>
        <w:rPr>
          <w:sz w:val="20"/>
          <w:szCs w:val="20"/>
          <w:rtl/>
        </w:rPr>
        <w:t xml:space="preserve"> ב־26 ביולי 1996, כפי ששמע מר׳ </w:t>
      </w:r>
      <w:proofErr w:type="spellStart"/>
      <w:r>
        <w:rPr>
          <w:sz w:val="20"/>
          <w:szCs w:val="20"/>
          <w:rtl/>
        </w:rPr>
        <w:t xml:space="preserve">יוסף־דב</w:t>
      </w:r>
      <w:proofErr w:type="spellEnd"/>
      <w:r>
        <w:rPr>
          <w:sz w:val="20"/>
          <w:szCs w:val="20"/>
          <w:rtl/>
        </w:rPr>
        <w:t xml:space="preserve">. עותק של המאמר האמור לא הצלחתי למצוא. בחיפושיי שוחחתי גם עם אחיו העיתונאי של המרואיין, ר׳ </w:t>
      </w:r>
      <w:proofErr w:type="spellStart"/>
      <w:r>
        <w:rPr>
          <w:sz w:val="20"/>
          <w:szCs w:val="20"/>
          <w:rtl/>
        </w:rPr>
        <w:t>אהרן־בן־ציון</w:t>
      </w:r>
      <w:proofErr w:type="spellEnd"/>
      <w:r>
        <w:rPr>
          <w:sz w:val="20"/>
          <w:szCs w:val="20"/>
          <w:rtl/>
        </w:rPr>
        <w:t xml:space="preserve"> </w:t>
      </w:r>
      <w:proofErr w:type="spellStart"/>
      <w:r>
        <w:rPr>
          <w:sz w:val="20"/>
          <w:szCs w:val="20"/>
          <w:rtl/>
        </w:rPr>
        <w:t>שורין</w:t>
      </w:r>
      <w:proofErr w:type="spellEnd"/>
      <w:r>
        <w:rPr>
          <w:sz w:val="20"/>
          <w:szCs w:val="20"/>
          <w:rtl/>
        </w:rPr>
        <w:t xml:space="preserve"> (ראה פרק 1, הערה 14), ב־20 באוגוסט 1998. הוא ראה את המאמר החמקמק, והיה סבור שהתפרסם בעיתון יידי בבוסטון, וטען שמאמרו של ר׳ </w:t>
      </w:r>
      <w:proofErr w:type="spellStart"/>
      <w:r>
        <w:rPr>
          <w:sz w:val="20"/>
          <w:szCs w:val="20"/>
          <w:rtl/>
        </w:rPr>
        <w:t xml:space="preserve">יוסף־דב</w:t>
      </w:r>
      <w:proofErr w:type="spellEnd"/>
      <w:r>
        <w:rPr>
          <w:sz w:val="20"/>
          <w:szCs w:val="20"/>
          <w:rtl/>
        </w:rPr>
        <w:t xml:space="preserve"> לא שלל לגמרי את מאמר ‘הקריאה והקדושה’! אם כך, לא פנה ר׳ שלמה היימן אל האדם המתאים כדי להשיב למאמר </w:t>
      </w:r>
      <w:proofErr w:type="spellStart"/>
      <w:r>
        <w:rPr>
          <w:sz w:val="20"/>
          <w:szCs w:val="20"/>
          <w:rtl/>
        </w:rPr>
        <w:t>ליובאוויטש</w:t>
      </w:r>
      <w:proofErr w:type="spellEnd"/>
      <w:r>
        <w:rPr>
          <w:sz w:val="20"/>
          <w:szCs w:val="20"/>
          <w:rtl/>
        </w:rPr>
        <w:t xml:space="preserve">; אבל בלי לראות את המאמר אי אפשר לקבוע זאת. (ראה גם את סוף הערת שוליים </w:t>
      </w:r>
      <w:r>
        <w:rPr>
          <w:sz w:val="20"/>
          <w:szCs w:val="20"/>
          <w:rtl/>
        </w:rPr>
        <w:fldChar w:fldCharType="begin" w:dirty="true"/>
      </w:r>
      <w:r>
        <w:rPr>
          <w:sz w:val="20"/>
          <w:szCs w:val="20"/>
          <w:rtl/>
        </w:rPr>
        <w:instrText xml:space="preserve"> NOTEREF pr_f_122 \h </w:instrText>
      </w:r>
      <w:r>
        <w:rPr>
          <w:sz w:val="20"/>
          <w:szCs w:val="20"/>
          <w:rtl/>
        </w:rPr>
      </w:r>
      <w:r>
        <w:rPr>
          <w:sz w:val="20"/>
          <w:szCs w:val="20"/>
          <w:rtl/>
        </w:rPr>
        <w:fldChar w:fldCharType="separate"/>
      </w:r>
      <w:r w:rsidR="007923E9">
        <w:rPr>
          <w:sz w:val="20"/>
          <w:szCs w:val="20"/>
          <w:rtl/>
        </w:rPr>
        <w:t>67</w:t>
      </w:r>
      <w:r>
        <w:rPr>
          <w:sz w:val="20"/>
          <w:szCs w:val="20"/>
          <w:rtl/>
        </w:rPr>
        <w:fldChar w:fldCharType="end"/>
      </w:r>
      <w:r>
        <w:rPr>
          <w:sz w:val="20"/>
          <w:szCs w:val="20"/>
          <w:rtl/>
        </w:rPr>
        <w:t xml:space="preserve">, עמ׳ </w:t>
      </w:r>
      <w:r>
        <w:rPr>
          <w:sz w:val="20"/>
          <w:szCs w:val="20"/>
          <w:rtl/>
        </w:rPr>
        <w:fldChar w:fldCharType="begin" w:dirty="true"/>
      </w:r>
      <w:r>
        <w:rPr>
          <w:sz w:val="20"/>
          <w:szCs w:val="20"/>
          <w:rtl/>
        </w:rPr>
        <w:instrText xml:space="preserve"> PAGEREF pr_f_122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2276">
    <w:p w14:paraId="2A05C9A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פרט זה הוסיף ר׳ </w:t>
      </w:r>
      <w:proofErr w:type="spellStart"/>
      <w:r>
        <w:rPr>
          <w:sz w:val="20"/>
          <w:szCs w:val="20"/>
          <w:rtl/>
        </w:rPr>
        <w:t>מוטיל</w:t>
      </w:r>
      <w:proofErr w:type="spellEnd"/>
      <w:r>
        <w:rPr>
          <w:sz w:val="20"/>
          <w:szCs w:val="20"/>
          <w:rtl/>
        </w:rPr>
        <w:t xml:space="preserve"> ברקוביץ ב־11 בנובמבר 1997 לדיווחו של ר׳ ישראל </w:t>
      </w:r>
      <w:proofErr w:type="spellStart"/>
      <w:r>
        <w:rPr>
          <w:sz w:val="20"/>
          <w:szCs w:val="20"/>
          <w:rtl/>
        </w:rPr>
        <w:t>שורין</w:t>
      </w:r>
      <w:proofErr w:type="spellEnd"/>
      <w:r>
        <w:rPr>
          <w:sz w:val="20"/>
          <w:szCs w:val="20"/>
          <w:rtl/>
        </w:rPr>
        <w:t xml:space="preserve">. הוא שמע אותו מפי ר׳ </w:t>
      </w:r>
      <w:proofErr w:type="spellStart"/>
      <w:r>
        <w:rPr>
          <w:sz w:val="20"/>
          <w:szCs w:val="20"/>
          <w:rtl/>
        </w:rPr>
        <w:t>משה־דובער</w:t>
      </w:r>
      <w:proofErr w:type="spellEnd"/>
      <w:r>
        <w:rPr>
          <w:sz w:val="20"/>
          <w:szCs w:val="20"/>
          <w:rtl/>
        </w:rPr>
        <w:t xml:space="preserve"> </w:t>
      </w:r>
      <w:proofErr w:type="spellStart"/>
      <w:r>
        <w:rPr>
          <w:sz w:val="20"/>
          <w:szCs w:val="20"/>
          <w:rtl/>
        </w:rPr>
        <w:t>ריבקין</w:t>
      </w:r>
      <w:proofErr w:type="spellEnd"/>
      <w:r>
        <w:rPr>
          <w:sz w:val="20"/>
          <w:szCs w:val="20"/>
          <w:rtl/>
        </w:rPr>
        <w:t xml:space="preserve">, חסיד </w:t>
      </w:r>
      <w:proofErr w:type="spellStart"/>
      <w:r>
        <w:rPr>
          <w:sz w:val="20"/>
          <w:szCs w:val="20"/>
          <w:rtl/>
        </w:rPr>
        <w:t>ליובאוויטש</w:t>
      </w:r>
      <w:proofErr w:type="spellEnd"/>
      <w:r>
        <w:rPr>
          <w:sz w:val="20"/>
          <w:szCs w:val="20"/>
          <w:rtl/>
        </w:rPr>
        <w:t xml:space="preserve"> (הנזכר בפרק 1, הערה 42), והלה שמע אותו מן הצד השני לשיחה, ר׳ </w:t>
      </w:r>
      <w:proofErr w:type="spellStart"/>
      <w:r>
        <w:rPr>
          <w:sz w:val="20"/>
          <w:szCs w:val="20"/>
          <w:rtl/>
        </w:rPr>
        <w:t>יוסף־יצחק</w:t>
      </w:r>
      <w:proofErr w:type="spellEnd"/>
      <w:r>
        <w:rPr>
          <w:sz w:val="20"/>
          <w:szCs w:val="20"/>
          <w:rtl/>
        </w:rPr>
        <w:t>.</w:t>
      </w:r>
    </w:p>
  </w:footnote>
  <w:footnote w:id="2277">
    <w:p w14:paraId="3B16184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זו הייתה בוודאי פתיחה הולמת לשיחה שבאה לאחר מכן, שר׳ </w:t>
      </w:r>
      <w:proofErr w:type="spellStart"/>
      <w:r>
        <w:rPr>
          <w:sz w:val="20"/>
          <w:szCs w:val="20"/>
          <w:rtl/>
        </w:rPr>
        <w:t xml:space="preserve">יוסף־דב</w:t>
      </w:r>
      <w:proofErr w:type="spellEnd"/>
      <w:r>
        <w:rPr>
          <w:sz w:val="20"/>
          <w:szCs w:val="20"/>
          <w:rtl/>
        </w:rPr>
        <w:t xml:space="preserve"> סיפר </w:t>
      </w:r>
      <w:proofErr w:type="spellStart"/>
      <w:r>
        <w:rPr>
          <w:sz w:val="20"/>
          <w:szCs w:val="20"/>
          <w:rtl/>
        </w:rPr>
        <w:t>לר</w:t>
      </w:r>
      <w:proofErr w:type="spellEnd"/>
      <w:r>
        <w:rPr>
          <w:sz w:val="20"/>
          <w:szCs w:val="20"/>
          <w:rtl/>
        </w:rPr>
        <w:t xml:space="preserve">׳ ישראל </w:t>
      </w:r>
      <w:proofErr w:type="spellStart"/>
      <w:r>
        <w:rPr>
          <w:sz w:val="20"/>
          <w:szCs w:val="20"/>
          <w:rtl/>
        </w:rPr>
        <w:t>שורין</w:t>
      </w:r>
      <w:proofErr w:type="spellEnd"/>
      <w:r>
        <w:rPr>
          <w:sz w:val="20"/>
          <w:szCs w:val="20"/>
          <w:rtl/>
        </w:rPr>
        <w:t>, המרואיין העיקרי שלי.</w:t>
      </w:r>
    </w:p>
  </w:footnote>
  <w:footnote w:id="2278">
    <w:p w14:paraId="59AF663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ייתכן שר׳ </w:t>
      </w:r>
      <w:proofErr w:type="spellStart"/>
      <w:r>
        <w:rPr>
          <w:sz w:val="20"/>
          <w:szCs w:val="20"/>
          <w:rtl/>
        </w:rPr>
        <w:t>שלום־בער</w:t>
      </w:r>
      <w:proofErr w:type="spellEnd"/>
      <w:r>
        <w:rPr>
          <w:sz w:val="20"/>
          <w:szCs w:val="20"/>
          <w:rtl/>
        </w:rPr>
        <w:t xml:space="preserve"> הופתע למצוא את ר׳ חיים על הספה; אבל לפי המסופר </w:t>
      </w:r>
      <w:proofErr w:type="spellStart"/>
      <w:r>
        <w:rPr>
          <w:sz w:val="20"/>
          <w:szCs w:val="20"/>
          <w:rtl/>
        </w:rPr>
        <w:t>ב‘עובדות</w:t>
      </w:r>
      <w:proofErr w:type="spellEnd"/>
      <w:r>
        <w:rPr>
          <w:sz w:val="20"/>
          <w:szCs w:val="20"/>
          <w:rtl/>
        </w:rPr>
        <w:t xml:space="preserve"> והנהגות לבית </w:t>
      </w:r>
      <w:proofErr w:type="spellStart"/>
      <w:r>
        <w:rPr>
          <w:sz w:val="20"/>
          <w:szCs w:val="20"/>
          <w:rtl/>
        </w:rPr>
        <w:t>בריסק</w:t>
      </w:r>
      <w:proofErr w:type="spellEnd"/>
      <w:r>
        <w:rPr>
          <w:sz w:val="20"/>
          <w:szCs w:val="20"/>
          <w:rtl/>
        </w:rPr>
        <w:t xml:space="preserve">’ (הפסקה הראשונה של נספח ח בפרק זה, </w:t>
      </w:r>
      <w:proofErr w:type="spellStart"/>
      <w:r>
        <w:rPr>
          <w:sz w:val="20"/>
          <w:szCs w:val="20"/>
          <w:rtl/>
        </w:rPr>
        <w:t>ח״ג</w:t>
      </w:r>
      <w:proofErr w:type="spellEnd"/>
      <w:r>
        <w:rPr>
          <w:sz w:val="20"/>
          <w:szCs w:val="20"/>
          <w:rtl/>
        </w:rPr>
        <w:t xml:space="preserve">, עמ׳ רנה) בשם ר׳ יצחק־זאב </w:t>
      </w:r>
      <w:proofErr w:type="spellStart"/>
      <w:r>
        <w:rPr>
          <w:sz w:val="20"/>
          <w:szCs w:val="20"/>
          <w:rtl/>
        </w:rPr>
        <w:t>סולובייצ׳יק</w:t>
      </w:r>
      <w:proofErr w:type="spellEnd"/>
      <w:r>
        <w:rPr>
          <w:sz w:val="20"/>
          <w:szCs w:val="20"/>
          <w:rtl/>
        </w:rPr>
        <w:t xml:space="preserve">, ר׳ חיים ישן ‘רוב הזמן’(!) על ספסל בביתו שלו, משום </w:t>
      </w:r>
      <w:proofErr w:type="spellStart"/>
      <w:r>
        <w:rPr>
          <w:sz w:val="20"/>
          <w:szCs w:val="20"/>
          <w:rtl/>
        </w:rPr>
        <w:t>שה‘אורחים</w:t>
      </w:r>
      <w:proofErr w:type="spellEnd"/>
      <w:r>
        <w:rPr>
          <w:sz w:val="20"/>
          <w:szCs w:val="20"/>
          <w:rtl/>
        </w:rPr>
        <w:t>’ המתוארים בפרק 5, הפסקה החמישית בנספח ו, היו לוקחים לעצמם את מיטתו.</w:t>
      </w:r>
    </w:p>
  </w:footnote>
  <w:footnote w:id="2279">
    <w:p w14:paraId="38F12BD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5, אמצע הפסקה התשיעית בנספח ו: המשרתת בבית ר׳ חיים </w:t>
      </w:r>
      <w:proofErr w:type="spellStart"/>
      <w:r>
        <w:rPr>
          <w:sz w:val="20"/>
          <w:szCs w:val="20"/>
          <w:rtl/>
        </w:rPr>
        <w:t>סולובייצ׳יק</w:t>
      </w:r>
      <w:proofErr w:type="spellEnd"/>
      <w:r>
        <w:rPr>
          <w:sz w:val="20"/>
          <w:szCs w:val="20"/>
          <w:rtl/>
        </w:rPr>
        <w:t xml:space="preserve"> במינסק התעקשה להישאר עם המשפחה כשזו עזבה את עירה. יחסו של ר׳ חיים לעובדי הבית מסביר מדוע.</w:t>
      </w:r>
    </w:p>
  </w:footnote>
  <w:footnote w:id="2280">
    <w:p w14:paraId="172AB09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עמ׳ קמט–קנב בספרו של </w:t>
      </w:r>
      <w:proofErr w:type="spellStart"/>
      <w:r>
        <w:rPr>
          <w:sz w:val="20"/>
          <w:szCs w:val="20"/>
          <w:rtl/>
        </w:rPr>
        <w:t>רבינר</w:t>
      </w:r>
      <w:proofErr w:type="spellEnd"/>
      <w:r>
        <w:rPr>
          <w:sz w:val="20"/>
          <w:szCs w:val="20"/>
          <w:rtl/>
        </w:rPr>
        <w:t>, “רבינו מאיר שמחה הכהן” (נספח ח לעיל).</w:t>
      </w:r>
    </w:p>
  </w:footnote>
  <w:footnote w:id="2281">
    <w:p w14:paraId="5BC6600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w:t>
      </w:r>
      <w:proofErr w:type="spellStart"/>
      <w:r>
        <w:rPr>
          <w:sz w:val="20"/>
          <w:szCs w:val="20"/>
          <w:rtl/>
        </w:rPr>
        <w:t>רבינר</w:t>
      </w:r>
      <w:proofErr w:type="spellEnd"/>
      <w:r>
        <w:rPr>
          <w:sz w:val="20"/>
          <w:szCs w:val="20"/>
          <w:rtl/>
        </w:rPr>
        <w:t>, “רבינו מאיר שמחה הכהן”, עמ׳ קנא.</w:t>
      </w:r>
    </w:p>
  </w:footnote>
  <w:footnote w:id="2282">
    <w:p w14:paraId="645E18E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אזכורו של ר׳ </w:t>
      </w:r>
      <w:proofErr w:type="spellStart"/>
      <w:r>
        <w:rPr>
          <w:sz w:val="20"/>
          <w:szCs w:val="20"/>
          <w:rtl/>
        </w:rPr>
        <w:t>חיים־עוזר</w:t>
      </w:r>
      <w:proofErr w:type="spellEnd"/>
      <w:r>
        <w:rPr>
          <w:sz w:val="20"/>
          <w:szCs w:val="20"/>
          <w:rtl/>
        </w:rPr>
        <w:t xml:space="preserve"> בפי ר׳ </w:t>
      </w:r>
      <w:proofErr w:type="spellStart"/>
      <w:r>
        <w:rPr>
          <w:sz w:val="20"/>
          <w:szCs w:val="20"/>
          <w:rtl/>
        </w:rPr>
        <w:t xml:space="preserve">יוסף־דב</w:t>
      </w:r>
      <w:proofErr w:type="spellEnd"/>
      <w:r>
        <w:rPr>
          <w:sz w:val="20"/>
          <w:szCs w:val="20"/>
          <w:rtl/>
        </w:rPr>
        <w:t xml:space="preserve"> </w:t>
      </w:r>
      <w:proofErr w:type="spellStart"/>
      <w:r>
        <w:rPr>
          <w:sz w:val="20"/>
          <w:szCs w:val="20"/>
          <w:rtl/>
        </w:rPr>
        <w:t>סולובייצ׳יק</w:t>
      </w:r>
      <w:proofErr w:type="spellEnd"/>
      <w:r>
        <w:rPr>
          <w:sz w:val="20"/>
          <w:szCs w:val="20"/>
          <w:rtl/>
        </w:rPr>
        <w:t xml:space="preserve"> מוטל בספק, משום שדיווח עיתונאי בן הזמן, המובא שם, מתעד ‘נאום קצר’ שנשא ר׳ </w:t>
      </w:r>
      <w:proofErr w:type="spellStart"/>
      <w:r>
        <w:rPr>
          <w:sz w:val="20"/>
          <w:szCs w:val="20"/>
          <w:rtl/>
        </w:rPr>
        <w:t>חיים־עוזר</w:t>
      </w:r>
      <w:proofErr w:type="spellEnd"/>
      <w:r>
        <w:rPr>
          <w:sz w:val="20"/>
          <w:szCs w:val="20"/>
          <w:rtl/>
        </w:rPr>
        <w:t xml:space="preserve"> לפני ההצבעה. בנאום אמר שיתמוך ‘בוודאי’ בהחלטה, וכי ‘סבו, ר׳ ישראל </w:t>
      </w:r>
      <w:proofErr w:type="spellStart"/>
      <w:r>
        <w:rPr>
          <w:sz w:val="20"/>
          <w:szCs w:val="20"/>
          <w:rtl/>
        </w:rPr>
        <w:t>סלנטר</w:t>
      </w:r>
      <w:proofErr w:type="spellEnd"/>
      <w:r>
        <w:rPr>
          <w:sz w:val="20"/>
          <w:szCs w:val="20"/>
          <w:rtl/>
        </w:rPr>
        <w:t>, אמר כבר בשעתו שעל הרבנים לדעת את שפת הארץ – ולכן הוא עצמו יודע רוסית’. השווה גם פרק 4, הערה 77: ר׳ ישראל דאג שתלמידיו, שציפה כי יהיו רבנים, ילמדו את שפת המקום.</w:t>
      </w:r>
    </w:p>
    <w:p w14:paraId="08EEFAAB" w14:textId="77777777" w:rsidR="00AB3647" w:rsidRDefault="00000000">
      <w:pPr>
        <w:spacing w:after="0" w:before="0"/>
        <w:jc w:val="both"/>
      </w:pPr>
      <w:r>
        <w:rPr>
          <w:sz w:val="20"/>
          <w:szCs w:val="20"/>
          <w:rtl/>
        </w:rPr>
        <w:t xml:space="preserve">אם דברי ר׳ </w:t>
      </w:r>
      <w:proofErr w:type="spellStart"/>
      <w:r>
        <w:rPr>
          <w:sz w:val="20"/>
          <w:szCs w:val="20"/>
          <w:rtl/>
        </w:rPr>
        <w:t xml:space="preserve">יוסף־דב</w:t>
      </w:r>
      <w:proofErr w:type="spellEnd"/>
      <w:r>
        <w:rPr>
          <w:sz w:val="20"/>
          <w:szCs w:val="20"/>
          <w:rtl/>
        </w:rPr>
        <w:t xml:space="preserve"> מדויקים, על כורחנו שר׳ </w:t>
      </w:r>
      <w:proofErr w:type="spellStart"/>
      <w:r>
        <w:rPr>
          <w:sz w:val="20"/>
          <w:szCs w:val="20"/>
          <w:rtl/>
        </w:rPr>
        <w:t>חיים־עוזר</w:t>
      </w:r>
      <w:proofErr w:type="spellEnd"/>
      <w:r>
        <w:rPr>
          <w:sz w:val="20"/>
          <w:szCs w:val="20"/>
          <w:rtl/>
        </w:rPr>
        <w:t xml:space="preserve"> חזר בו מעמדתו התקיפה לאחר שנודעה לו דעת ר׳ חיים </w:t>
      </w:r>
      <w:proofErr w:type="spellStart"/>
      <w:r>
        <w:rPr>
          <w:sz w:val="20"/>
          <w:szCs w:val="20"/>
          <w:rtl/>
        </w:rPr>
        <w:t>סולובייצ׳יק</w:t>
      </w:r>
      <w:proofErr w:type="spellEnd"/>
      <w:r>
        <w:rPr>
          <w:sz w:val="20"/>
          <w:szCs w:val="20"/>
          <w:rtl/>
        </w:rPr>
        <w:t xml:space="preserve">. ר׳ </w:t>
      </w:r>
      <w:proofErr w:type="spellStart"/>
      <w:r>
        <w:rPr>
          <w:sz w:val="20"/>
          <w:szCs w:val="20"/>
          <w:rtl/>
        </w:rPr>
        <w:t>חיים־עוזר</w:t>
      </w:r>
      <w:proofErr w:type="spellEnd"/>
      <w:r>
        <w:rPr>
          <w:sz w:val="20"/>
          <w:szCs w:val="20"/>
          <w:rtl/>
        </w:rPr>
        <w:t xml:space="preserve"> רחש </w:t>
      </w:r>
      <w:proofErr w:type="spellStart"/>
      <w:r>
        <w:rPr>
          <w:sz w:val="20"/>
          <w:szCs w:val="20"/>
          <w:rtl/>
        </w:rPr>
        <w:t>לר</w:t>
      </w:r>
      <w:proofErr w:type="spellEnd"/>
      <w:r>
        <w:rPr>
          <w:sz w:val="20"/>
          <w:szCs w:val="20"/>
          <w:rtl/>
        </w:rPr>
        <w:t xml:space="preserve">׳ חיים כבוד רב (ראה הפסקה השנייה של נספח </w:t>
      </w:r>
      <w:proofErr w:type="spellStart"/>
      <w:r>
        <w:rPr>
          <w:sz w:val="20"/>
          <w:szCs w:val="20"/>
          <w:rtl/>
        </w:rPr>
        <w:t>טז</w:t>
      </w:r>
      <w:proofErr w:type="spellEnd"/>
      <w:r>
        <w:rPr>
          <w:sz w:val="20"/>
          <w:szCs w:val="20"/>
          <w:rtl/>
        </w:rPr>
        <w:t xml:space="preserve"> בפרק זה), אף שלמד בישיבת </w:t>
      </w:r>
      <w:proofErr w:type="spellStart"/>
      <w:r>
        <w:rPr>
          <w:sz w:val="20"/>
          <w:szCs w:val="20"/>
          <w:rtl/>
        </w:rPr>
        <w:t>וולוז׳ין</w:t>
      </w:r>
      <w:proofErr w:type="spellEnd"/>
      <w:r>
        <w:rPr>
          <w:sz w:val="20"/>
          <w:szCs w:val="20"/>
          <w:rtl/>
        </w:rPr>
        <w:t xml:space="preserve"> שלוש שנים לפני שר׳ חיים הצטרף לצוותה, ורק שנתיים אחרי כן. בחידוש שכתב בסוף תר״מ, בגיל </w:t>
      </w:r>
      <w:proofErr w:type="spellStart"/>
      <w:r>
        <w:rPr>
          <w:sz w:val="20"/>
          <w:szCs w:val="20"/>
          <w:rtl/>
        </w:rPr>
        <w:t>שבע־עשרה</w:t>
      </w:r>
      <w:proofErr w:type="spellEnd"/>
      <w:r>
        <w:rPr>
          <w:sz w:val="20"/>
          <w:szCs w:val="20"/>
          <w:rtl/>
        </w:rPr>
        <w:t>, כינה אותו, אם לא ‘רבי’, הרי ‘אלופי ומיודעי’ (לפי אבות פ״ו משנה ג׳).</w:t>
      </w:r>
    </w:p>
    <w:p w14:paraId="531318EF" w14:textId="77777777" w:rsidR="00AB3647" w:rsidRDefault="00000000">
      <w:pPr>
        <w:spacing w:after="0" w:before="0"/>
        <w:jc w:val="both"/>
      </w:pPr>
      <w:r>
        <w:rPr>
          <w:sz w:val="20"/>
          <w:szCs w:val="20"/>
          <w:rtl/>
        </w:rPr>
        <w:t xml:space="preserve">ר׳ </w:t>
      </w:r>
      <w:proofErr w:type="spellStart"/>
      <w:r>
        <w:rPr>
          <w:sz w:val="20"/>
          <w:szCs w:val="20"/>
          <w:rtl/>
        </w:rPr>
        <w:t>חיים־עוזר</w:t>
      </w:r>
      <w:proofErr w:type="spellEnd"/>
      <w:r>
        <w:rPr>
          <w:sz w:val="20"/>
          <w:szCs w:val="20"/>
          <w:rtl/>
        </w:rPr>
        <w:t xml:space="preserve"> פרסם אחר כך את החידוש הזה מנעוריו </w:t>
      </w:r>
      <w:proofErr w:type="spellStart"/>
      <w:r>
        <w:rPr>
          <w:sz w:val="20"/>
          <w:szCs w:val="20"/>
          <w:rtl/>
        </w:rPr>
        <w:t>בשו״ת</w:t>
      </w:r>
      <w:proofErr w:type="spellEnd"/>
      <w:r>
        <w:rPr>
          <w:sz w:val="20"/>
          <w:szCs w:val="20"/>
          <w:rtl/>
        </w:rPr>
        <w:t xml:space="preserve"> ‘אחיעזר’ [יצא לאור ע״י הרב ישראל </w:t>
      </w:r>
      <w:proofErr w:type="spellStart"/>
      <w:r>
        <w:rPr>
          <w:sz w:val="20"/>
          <w:szCs w:val="20"/>
          <w:rtl/>
        </w:rPr>
        <w:t>פעלדמאן</w:t>
      </w:r>
      <w:proofErr w:type="spellEnd"/>
      <w:r>
        <w:rPr>
          <w:sz w:val="20"/>
          <w:szCs w:val="20"/>
          <w:rtl/>
        </w:rPr>
        <w:t xml:space="preserve">, ברוקלין נ״י], </w:t>
      </w:r>
      <w:proofErr w:type="spellStart"/>
      <w:r>
        <w:rPr>
          <w:sz w:val="20"/>
          <w:szCs w:val="20"/>
          <w:rtl/>
        </w:rPr>
        <w:t>ח״ג</w:t>
      </w:r>
      <w:proofErr w:type="spellEnd"/>
      <w:r>
        <w:rPr>
          <w:sz w:val="20"/>
          <w:szCs w:val="20"/>
          <w:rtl/>
        </w:rPr>
        <w:t xml:space="preserve">, סי׳ פ״א, סוף אות </w:t>
      </w:r>
      <w:proofErr w:type="spellStart"/>
      <w:r>
        <w:rPr>
          <w:sz w:val="20"/>
          <w:szCs w:val="20"/>
          <w:rtl/>
        </w:rPr>
        <w:t>כג</w:t>
      </w:r>
      <w:proofErr w:type="spellEnd"/>
      <w:r>
        <w:rPr>
          <w:sz w:val="20"/>
          <w:szCs w:val="20"/>
          <w:rtl/>
        </w:rPr>
        <w:t xml:space="preserve">. ר׳ </w:t>
      </w:r>
      <w:proofErr w:type="spellStart"/>
      <w:r>
        <w:rPr>
          <w:sz w:val="20"/>
          <w:szCs w:val="20"/>
          <w:rtl/>
        </w:rPr>
        <w:t>חיים־עוזר</w:t>
      </w:r>
      <w:proofErr w:type="spellEnd"/>
      <w:r>
        <w:rPr>
          <w:sz w:val="20"/>
          <w:szCs w:val="20"/>
          <w:rtl/>
        </w:rPr>
        <w:t xml:space="preserve"> </w:t>
      </w:r>
      <w:proofErr w:type="spellStart"/>
      <w:r>
        <w:rPr>
          <w:sz w:val="20"/>
          <w:szCs w:val="20"/>
          <w:rtl/>
        </w:rPr>
        <w:t>גרודזנסקי</w:t>
      </w:r>
      <w:proofErr w:type="spellEnd"/>
      <w:r>
        <w:rPr>
          <w:sz w:val="20"/>
          <w:szCs w:val="20"/>
          <w:rtl/>
        </w:rPr>
        <w:t xml:space="preserve"> בוודאי כתב אותו לפחות כמה חודשים אחרי שר׳ חיים </w:t>
      </w:r>
      <w:proofErr w:type="spellStart"/>
      <w:r>
        <w:rPr>
          <w:sz w:val="20"/>
          <w:szCs w:val="20"/>
          <w:rtl/>
        </w:rPr>
        <w:t>סולובייצ׳יק</w:t>
      </w:r>
      <w:proofErr w:type="spellEnd"/>
      <w:r>
        <w:rPr>
          <w:sz w:val="20"/>
          <w:szCs w:val="20"/>
          <w:rtl/>
        </w:rPr>
        <w:t xml:space="preserve"> שב </w:t>
      </w:r>
      <w:proofErr w:type="spellStart"/>
      <w:r>
        <w:rPr>
          <w:sz w:val="20"/>
          <w:szCs w:val="20"/>
          <w:rtl/>
        </w:rPr>
        <w:t>מבריסק</w:t>
      </w:r>
      <w:proofErr w:type="spellEnd"/>
      <w:r>
        <w:rPr>
          <w:sz w:val="20"/>
          <w:szCs w:val="20"/>
          <w:rtl/>
        </w:rPr>
        <w:t xml:space="preserve"> כדי להתמנות למשנה לראש הישיבה, שכן הוא מכנה אותו ‘הגאון ר׳ חיים </w:t>
      </w:r>
      <w:proofErr w:type="spellStart"/>
      <w:r>
        <w:rPr>
          <w:sz w:val="20"/>
          <w:szCs w:val="20"/>
          <w:rtl/>
        </w:rPr>
        <w:t>מוולוז׳ין</w:t>
      </w:r>
      <w:proofErr w:type="spellEnd"/>
      <w:r>
        <w:rPr>
          <w:sz w:val="20"/>
          <w:szCs w:val="20"/>
          <w:rtl/>
        </w:rPr>
        <w:t>’.</w:t>
      </w:r>
    </w:p>
  </w:footnote>
  <w:footnote w:id="2283">
    <w:p w14:paraId="1EB0661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לעיל, עמ׳ 456–457.</w:t>
      </w:r>
    </w:p>
  </w:footnote>
  <w:footnote w:id="2284">
    <w:p w14:paraId="704A1F7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ר–רה.</w:t>
      </w:r>
    </w:p>
  </w:footnote>
  <w:footnote w:id="2285">
    <w:p w14:paraId="66A68D5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תחילת הערה 33.</w:t>
      </w:r>
    </w:p>
  </w:footnote>
  <w:footnote w:id="2286">
    <w:p w14:paraId="1E88625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בבא </w:t>
      </w:r>
      <w:proofErr w:type="spellStart"/>
      <w:r>
        <w:rPr>
          <w:sz w:val="20"/>
          <w:szCs w:val="20"/>
          <w:rtl/>
        </w:rPr>
        <w:t>בתרא</w:t>
      </w:r>
      <w:proofErr w:type="spellEnd"/>
      <w:r>
        <w:rPr>
          <w:sz w:val="20"/>
          <w:szCs w:val="20"/>
          <w:rtl/>
        </w:rPr>
        <w:t xml:space="preserve"> </w:t>
      </w:r>
      <w:proofErr w:type="spellStart"/>
      <w:r>
        <w:rPr>
          <w:sz w:val="20"/>
          <w:szCs w:val="20"/>
          <w:rtl/>
        </w:rPr>
        <w:t>קס</w:t>
      </w:r>
      <w:proofErr w:type="spellEnd"/>
      <w:r>
        <w:rPr>
          <w:sz w:val="20"/>
          <w:szCs w:val="20"/>
          <w:rtl/>
        </w:rPr>
        <w:t xml:space="preserve"> ע״ב.</w:t>
      </w:r>
    </w:p>
  </w:footnote>
  <w:footnote w:id="2287">
    <w:p w14:paraId="7130D45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קנט.</w:t>
      </w:r>
    </w:p>
  </w:footnote>
  <w:footnote w:id="2288">
    <w:p w14:paraId="794E93F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משלי ז, ד.</w:t>
      </w:r>
    </w:p>
  </w:footnote>
  <w:footnote w:id="2289">
    <w:p w14:paraId="568FA23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454.</w:t>
      </w:r>
    </w:p>
  </w:footnote>
  <w:footnote w:id="2290">
    <w:p w14:paraId="5F4F852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רד.</w:t>
      </w:r>
    </w:p>
  </w:footnote>
  <w:footnote w:id="2291">
    <w:p w14:paraId="08B318B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2292">
    <w:p w14:paraId="59C7A9C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איני יודע על מה ביסס פרופסור זאב לב את ידיעותיו כשכתב במכתב למערכת ‘תורה ומדע’, כרך ג (1991–1992): ‘ר׳ </w:t>
      </w:r>
      <w:proofErr w:type="spellStart"/>
      <w:r>
        <w:rPr>
          <w:sz w:val="20"/>
          <w:szCs w:val="20"/>
          <w:rtl/>
        </w:rPr>
        <w:t>מאיר־שמחה</w:t>
      </w:r>
      <w:proofErr w:type="spellEnd"/>
      <w:r>
        <w:rPr>
          <w:sz w:val="20"/>
          <w:szCs w:val="20"/>
          <w:rtl/>
        </w:rPr>
        <w:t xml:space="preserve"> עזב את הוועידה ושב </w:t>
      </w:r>
      <w:proofErr w:type="spellStart"/>
      <w:r>
        <w:rPr>
          <w:sz w:val="20"/>
          <w:szCs w:val="20"/>
          <w:rtl/>
        </w:rPr>
        <w:t>לדווינסק</w:t>
      </w:r>
      <w:proofErr w:type="spellEnd"/>
      <w:r>
        <w:rPr>
          <w:sz w:val="20"/>
          <w:szCs w:val="20"/>
          <w:rtl/>
        </w:rPr>
        <w:t xml:space="preserve">, ולכן יכול היה </w:t>
      </w:r>
      <w:proofErr w:type="spellStart"/>
      <w:r>
        <w:rPr>
          <w:sz w:val="20"/>
          <w:szCs w:val="20"/>
          <w:rtl/>
        </w:rPr>
        <w:t>החפץ־חיים</w:t>
      </w:r>
      <w:proofErr w:type="spellEnd"/>
      <w:r>
        <w:rPr>
          <w:sz w:val="20"/>
          <w:szCs w:val="20"/>
          <w:rtl/>
        </w:rPr>
        <w:t xml:space="preserve"> לשכנע את הגדולים האחרים להתנגד להנהגת לימודי חול.’ פרופסור לב מסביר את עזיבתו הנטענת של ר׳ </w:t>
      </w:r>
      <w:proofErr w:type="spellStart"/>
      <w:r>
        <w:rPr>
          <w:sz w:val="20"/>
          <w:szCs w:val="20"/>
          <w:rtl/>
        </w:rPr>
        <w:t>מאיר־שמחה</w:t>
      </w:r>
      <w:proofErr w:type="spellEnd"/>
      <w:r>
        <w:rPr>
          <w:sz w:val="20"/>
          <w:szCs w:val="20"/>
          <w:rtl/>
        </w:rPr>
        <w:t xml:space="preserve"> בשילוב אפשרי של נימוקים שנראים מנוגדים: ‘במחאה’ על הופעת </w:t>
      </w:r>
      <w:proofErr w:type="spellStart"/>
      <w:r>
        <w:rPr>
          <w:sz w:val="20"/>
          <w:szCs w:val="20"/>
          <w:rtl/>
        </w:rPr>
        <w:t>החפץ־חיים</w:t>
      </w:r>
      <w:proofErr w:type="spellEnd"/>
      <w:r>
        <w:rPr>
          <w:sz w:val="20"/>
          <w:szCs w:val="20"/>
          <w:rtl/>
        </w:rPr>
        <w:t xml:space="preserve"> שם, </w:t>
      </w:r>
      <w:proofErr w:type="spellStart"/>
      <w:r>
        <w:rPr>
          <w:sz w:val="20"/>
          <w:szCs w:val="20"/>
          <w:rtl/>
        </w:rPr>
        <w:t>ו‘אפשר</w:t>
      </w:r>
      <w:proofErr w:type="spellEnd"/>
      <w:r>
        <w:rPr>
          <w:sz w:val="20"/>
          <w:szCs w:val="20"/>
          <w:rtl/>
        </w:rPr>
        <w:t xml:space="preserve"> שגם כדי שלא לפגוע </w:t>
      </w:r>
      <w:proofErr w:type="spellStart"/>
      <w:r>
        <w:rPr>
          <w:sz w:val="20"/>
          <w:szCs w:val="20"/>
          <w:rtl/>
        </w:rPr>
        <w:t>בחפץ־חיים</w:t>
      </w:r>
      <w:proofErr w:type="spellEnd"/>
      <w:r>
        <w:rPr>
          <w:sz w:val="20"/>
          <w:szCs w:val="20"/>
          <w:rtl/>
        </w:rPr>
        <w:t xml:space="preserve">’. </w:t>
      </w:r>
      <w:proofErr w:type="spellStart"/>
      <w:r>
        <w:rPr>
          <w:sz w:val="20"/>
          <w:szCs w:val="20"/>
          <w:rtl/>
        </w:rPr>
        <w:t>מרבינר</w:t>
      </w:r>
      <w:proofErr w:type="spellEnd"/>
      <w:r>
        <w:rPr>
          <w:sz w:val="20"/>
          <w:szCs w:val="20"/>
          <w:rtl/>
        </w:rPr>
        <w:t xml:space="preserve">, “רבינו מאיר שמחה הכהן”, עמ׳ </w:t>
      </w:r>
      <w:proofErr w:type="spellStart"/>
      <w:r>
        <w:rPr>
          <w:sz w:val="20"/>
          <w:szCs w:val="20"/>
          <w:rtl/>
        </w:rPr>
        <w:t>קצא</w:t>
      </w:r>
      <w:proofErr w:type="spellEnd"/>
      <w:r>
        <w:rPr>
          <w:sz w:val="20"/>
          <w:szCs w:val="20"/>
          <w:rtl/>
        </w:rPr>
        <w:t xml:space="preserve">, המובא להלן, נראה בוודאי שר׳ </w:t>
      </w:r>
      <w:proofErr w:type="spellStart"/>
      <w:r>
        <w:rPr>
          <w:sz w:val="20"/>
          <w:szCs w:val="20"/>
          <w:rtl/>
        </w:rPr>
        <w:t>מאיר־שמחה</w:t>
      </w:r>
      <w:proofErr w:type="spellEnd"/>
      <w:r>
        <w:rPr>
          <w:sz w:val="20"/>
          <w:szCs w:val="20"/>
          <w:rtl/>
        </w:rPr>
        <w:t xml:space="preserve"> נשאר עד תום הוועידה. גרסתו של פרופסור לב לסיבה שבגללה נכשלה ההחלטה שונה, כמובן, מגרסת ר׳ </w:t>
      </w:r>
      <w:proofErr w:type="spellStart"/>
      <w:r>
        <w:rPr>
          <w:sz w:val="20"/>
          <w:szCs w:val="20"/>
          <w:rtl/>
        </w:rPr>
        <w:t>יוסף־יצחק</w:t>
      </w:r>
      <w:proofErr w:type="spellEnd"/>
      <w:r>
        <w:rPr>
          <w:sz w:val="20"/>
          <w:szCs w:val="20"/>
          <w:rtl/>
        </w:rPr>
        <w:t xml:space="preserve"> שניאורסון.</w:t>
      </w:r>
    </w:p>
  </w:footnote>
  <w:footnote w:id="2293">
    <w:p w14:paraId="5BC9F35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רה.</w:t>
      </w:r>
    </w:p>
  </w:footnote>
  <w:footnote w:id="2294">
    <w:p w14:paraId="6D89309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עמדת ר׳ </w:t>
      </w:r>
      <w:proofErr w:type="spellStart"/>
      <w:r>
        <w:rPr>
          <w:sz w:val="20"/>
          <w:szCs w:val="20"/>
          <w:rtl/>
        </w:rPr>
        <w:t>דוד׳ל</w:t>
      </w:r>
      <w:proofErr w:type="spellEnd"/>
      <w:r>
        <w:rPr>
          <w:sz w:val="20"/>
          <w:szCs w:val="20"/>
          <w:rtl/>
        </w:rPr>
        <w:t xml:space="preserve"> במאבק שהתחולל בירושלים </w:t>
      </w:r>
      <w:proofErr w:type="spellStart"/>
      <w:r>
        <w:rPr>
          <w:sz w:val="20"/>
          <w:szCs w:val="20"/>
          <w:rtl/>
        </w:rPr>
        <w:t>שתים־עשרה</w:t>
      </w:r>
      <w:proofErr w:type="spellEnd"/>
      <w:r>
        <w:rPr>
          <w:sz w:val="20"/>
          <w:szCs w:val="20"/>
          <w:rtl/>
        </w:rPr>
        <w:t xml:space="preserve"> שנה קודם לכן על לימוד שפות זרות, כנדון בפרק 4, הפסקה השנייה בנספח </w:t>
      </w:r>
      <w:proofErr w:type="spellStart"/>
      <w:r>
        <w:rPr>
          <w:sz w:val="20"/>
          <w:szCs w:val="20"/>
          <w:rtl/>
        </w:rPr>
        <w:t>יז</w:t>
      </w:r>
      <w:proofErr w:type="spellEnd"/>
      <w:r>
        <w:rPr>
          <w:sz w:val="20"/>
          <w:szCs w:val="20"/>
          <w:rtl/>
        </w:rPr>
        <w:t>.</w:t>
      </w:r>
    </w:p>
  </w:footnote>
  <w:footnote w:id="2295">
    <w:p w14:paraId="4319DE7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w:t>
      </w:r>
      <w:proofErr w:type="spellStart"/>
      <w:r>
        <w:rPr>
          <w:sz w:val="20"/>
          <w:szCs w:val="20"/>
          <w:rtl/>
        </w:rPr>
        <w:t>איצל׳ה</w:t>
      </w:r>
      <w:proofErr w:type="spellEnd"/>
      <w:r>
        <w:rPr>
          <w:sz w:val="20"/>
          <w:szCs w:val="20"/>
          <w:rtl/>
        </w:rPr>
        <w:t xml:space="preserve"> </w:t>
      </w:r>
      <w:proofErr w:type="spellStart"/>
      <w:r>
        <w:rPr>
          <w:sz w:val="20"/>
          <w:szCs w:val="20"/>
          <w:rtl/>
        </w:rPr>
        <w:t>מפוניבז</w:t>
      </w:r>
      <w:proofErr w:type="spellEnd"/>
      <w:r>
        <w:rPr>
          <w:sz w:val="20"/>
          <w:szCs w:val="20"/>
          <w:rtl/>
        </w:rPr>
        <w:t xml:space="preserve">׳, שגם הוא תמך בר׳ </w:t>
      </w:r>
      <w:proofErr w:type="spellStart"/>
      <w:r>
        <w:rPr>
          <w:sz w:val="20"/>
          <w:szCs w:val="20"/>
          <w:rtl/>
        </w:rPr>
        <w:t>מאיר־שמחה</w:t>
      </w:r>
      <w:proofErr w:type="spellEnd"/>
      <w:r>
        <w:rPr>
          <w:sz w:val="20"/>
          <w:szCs w:val="20"/>
          <w:rtl/>
        </w:rPr>
        <w:t xml:space="preserve">, כאמור לעיל, כבר היה מחוץ לעולם הישיבות למעלה </w:t>
      </w:r>
      <w:proofErr w:type="spellStart"/>
      <w:r>
        <w:rPr>
          <w:sz w:val="20"/>
          <w:szCs w:val="20"/>
          <w:rtl/>
        </w:rPr>
        <w:t>מחמש־עשרה</w:t>
      </w:r>
      <w:proofErr w:type="spellEnd"/>
      <w:r>
        <w:rPr>
          <w:sz w:val="20"/>
          <w:szCs w:val="20"/>
          <w:rtl/>
        </w:rPr>
        <w:t xml:space="preserve"> שנה.</w:t>
      </w:r>
    </w:p>
  </w:footnote>
  <w:footnote w:id="2296">
    <w:p w14:paraId="5278F56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רב–</w:t>
      </w:r>
      <w:proofErr w:type="spellStart"/>
      <w:r>
        <w:rPr>
          <w:sz w:val="20"/>
          <w:szCs w:val="20"/>
          <w:rtl/>
        </w:rPr>
        <w:t>רג</w:t>
      </w:r>
      <w:proofErr w:type="spellEnd"/>
      <w:r>
        <w:rPr>
          <w:sz w:val="20"/>
          <w:szCs w:val="20"/>
          <w:rtl/>
        </w:rPr>
        <w:t>.</w:t>
      </w:r>
    </w:p>
  </w:footnote>
  <w:footnote w:id="2297">
    <w:p w14:paraId="056BD07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מלכים א </w:t>
      </w:r>
      <w:proofErr w:type="spellStart"/>
      <w:r>
        <w:rPr>
          <w:sz w:val="20"/>
          <w:szCs w:val="20"/>
          <w:rtl/>
        </w:rPr>
        <w:t>יח</w:t>
      </w:r>
      <w:proofErr w:type="spellEnd"/>
      <w:r>
        <w:rPr>
          <w:sz w:val="20"/>
          <w:szCs w:val="20"/>
          <w:rtl/>
        </w:rPr>
        <w:t xml:space="preserve">, </w:t>
      </w:r>
      <w:proofErr w:type="spellStart"/>
      <w:r>
        <w:rPr>
          <w:sz w:val="20"/>
          <w:szCs w:val="20"/>
          <w:rtl/>
        </w:rPr>
        <w:t>כא</w:t>
      </w:r>
      <w:proofErr w:type="spellEnd"/>
      <w:r>
        <w:rPr>
          <w:sz w:val="20"/>
          <w:szCs w:val="20"/>
          <w:rtl/>
        </w:rPr>
        <w:t>.</w:t>
      </w:r>
    </w:p>
  </w:footnote>
  <w:footnote w:id="2298">
    <w:p w14:paraId="1428D00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פסוק </w:t>
      </w:r>
      <w:proofErr w:type="spellStart"/>
      <w:r>
        <w:rPr>
          <w:sz w:val="20"/>
          <w:szCs w:val="20"/>
          <w:rtl/>
        </w:rPr>
        <w:t>יט</w:t>
      </w:r>
      <w:proofErr w:type="spellEnd"/>
      <w:r>
        <w:rPr>
          <w:sz w:val="20"/>
          <w:szCs w:val="20"/>
          <w:rtl/>
        </w:rPr>
        <w:t>.</w:t>
      </w:r>
    </w:p>
  </w:footnote>
  <w:footnote w:id="2299">
    <w:p w14:paraId="7CC166D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31 באוגוסט 1996.</w:t>
      </w:r>
    </w:p>
  </w:footnote>
  <w:footnote w:id="2300">
    <w:p w14:paraId="22945A0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קצ</w:t>
      </w:r>
      <w:proofErr w:type="spellEnd"/>
      <w:r>
        <w:rPr>
          <w:sz w:val="20"/>
          <w:szCs w:val="20"/>
          <w:rtl/>
        </w:rPr>
        <w:t>.</w:t>
      </w:r>
    </w:p>
  </w:footnote>
  <w:footnote w:id="2301">
    <w:p w14:paraId="304F3A8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למעשה, הוא ראה אור רק כעשור לאחר פטירת ר׳ </w:t>
      </w:r>
      <w:proofErr w:type="spellStart"/>
      <w:r>
        <w:rPr>
          <w:sz w:val="20"/>
          <w:szCs w:val="20"/>
          <w:rtl/>
        </w:rPr>
        <w:t>מאיר־שמחה</w:t>
      </w:r>
      <w:proofErr w:type="spellEnd"/>
      <w:r>
        <w:rPr>
          <w:sz w:val="20"/>
          <w:szCs w:val="20"/>
          <w:rtl/>
        </w:rPr>
        <w:t>.</w:t>
      </w:r>
    </w:p>
  </w:footnote>
  <w:footnote w:id="2302">
    <w:p w14:paraId="6A85216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י לעיל.</w:t>
      </w:r>
    </w:p>
  </w:footnote>
  <w:footnote w:id="2303">
    <w:p w14:paraId="105FA73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רמד</w:t>
      </w:r>
      <w:proofErr w:type="spellEnd"/>
      <w:r>
        <w:rPr>
          <w:sz w:val="20"/>
          <w:szCs w:val="20"/>
          <w:rtl/>
        </w:rPr>
        <w:t>.</w:t>
      </w:r>
    </w:p>
  </w:footnote>
  <w:footnote w:id="2304">
    <w:p w14:paraId="409EBC4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קפט</w:t>
      </w:r>
      <w:proofErr w:type="spellEnd"/>
      <w:r>
        <w:rPr>
          <w:sz w:val="20"/>
          <w:szCs w:val="20"/>
          <w:rtl/>
        </w:rPr>
        <w:t>.</w:t>
      </w:r>
    </w:p>
  </w:footnote>
  <w:footnote w:id="2305">
    <w:p w14:paraId="24AAAF3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ב לעיל, עמ׳ 15, מתאריך הלילה שלפני ו׳ באב תשמ״א.</w:t>
      </w:r>
    </w:p>
  </w:footnote>
  <w:footnote w:id="2306">
    <w:p w14:paraId="4310914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רבינר</w:t>
      </w:r>
      <w:proofErr w:type="spellEnd"/>
      <w:r>
        <w:rPr>
          <w:sz w:val="20"/>
          <w:szCs w:val="20"/>
          <w:rtl/>
        </w:rPr>
        <w:t xml:space="preserve">, “רבינו מאיר שמחה הכהן”, עמ׳ </w:t>
      </w:r>
      <w:proofErr w:type="spellStart"/>
      <w:r>
        <w:rPr>
          <w:sz w:val="20"/>
          <w:szCs w:val="20"/>
          <w:rtl/>
        </w:rPr>
        <w:t>קפט</w:t>
      </w:r>
      <w:proofErr w:type="spellEnd"/>
      <w:r>
        <w:rPr>
          <w:sz w:val="20"/>
          <w:szCs w:val="20"/>
          <w:rtl/>
        </w:rPr>
        <w:t>.</w:t>
      </w:r>
    </w:p>
  </w:footnote>
  <w:footnote w:id="2307">
    <w:p w14:paraId="6DA1D80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קצ</w:t>
      </w:r>
      <w:proofErr w:type="spellEnd"/>
      <w:r>
        <w:rPr>
          <w:sz w:val="20"/>
          <w:szCs w:val="20"/>
          <w:rtl/>
        </w:rPr>
        <w:t>. לפי ‘</w:t>
      </w:r>
      <w:proofErr w:type="spellStart"/>
      <w:r>
        <w:rPr>
          <w:sz w:val="20"/>
          <w:szCs w:val="20"/>
          <w:rtl/>
        </w:rPr>
        <w:t>שמוש</w:t>
      </w:r>
      <w:proofErr w:type="spellEnd"/>
      <w:r>
        <w:rPr>
          <w:sz w:val="20"/>
          <w:szCs w:val="20"/>
          <w:rtl/>
        </w:rPr>
        <w:t xml:space="preserve"> חכמים’ (הערה 18 לעיל), עמ׳ קמט, אמר ר׳ </w:t>
      </w:r>
      <w:proofErr w:type="spellStart"/>
      <w:r>
        <w:rPr>
          <w:sz w:val="20"/>
          <w:szCs w:val="20"/>
          <w:rtl/>
        </w:rPr>
        <w:t>יעקב־יצחק</w:t>
      </w:r>
      <w:proofErr w:type="spellEnd"/>
      <w:r>
        <w:rPr>
          <w:sz w:val="20"/>
          <w:szCs w:val="20"/>
          <w:rtl/>
        </w:rPr>
        <w:t xml:space="preserve"> </w:t>
      </w:r>
      <w:proofErr w:type="spellStart"/>
      <w:r>
        <w:rPr>
          <w:sz w:val="20"/>
          <w:szCs w:val="20"/>
          <w:rtl/>
        </w:rPr>
        <w:t>רודרמן</w:t>
      </w:r>
      <w:proofErr w:type="spellEnd"/>
      <w:r>
        <w:rPr>
          <w:sz w:val="20"/>
          <w:szCs w:val="20"/>
          <w:rtl/>
        </w:rPr>
        <w:t xml:space="preserve"> שבכל שנה היה ר׳ חיים שולח </w:t>
      </w:r>
      <w:proofErr w:type="spellStart"/>
      <w:r>
        <w:rPr>
          <w:sz w:val="20"/>
          <w:szCs w:val="20"/>
          <w:rtl/>
        </w:rPr>
        <w:t>לר</w:t>
      </w:r>
      <w:proofErr w:type="spellEnd"/>
      <w:r>
        <w:rPr>
          <w:sz w:val="20"/>
          <w:szCs w:val="20"/>
          <w:rtl/>
        </w:rPr>
        <w:t xml:space="preserve">׳ </w:t>
      </w:r>
      <w:proofErr w:type="spellStart"/>
      <w:r>
        <w:rPr>
          <w:sz w:val="20"/>
          <w:szCs w:val="20"/>
          <w:rtl/>
        </w:rPr>
        <w:t>מאיר־שמחה</w:t>
      </w:r>
      <w:proofErr w:type="spellEnd"/>
      <w:r>
        <w:rPr>
          <w:sz w:val="20"/>
          <w:szCs w:val="20"/>
          <w:rtl/>
        </w:rPr>
        <w:t xml:space="preserve"> ‘</w:t>
      </w:r>
      <w:proofErr w:type="spellStart"/>
      <w:r>
        <w:rPr>
          <w:sz w:val="20"/>
          <w:szCs w:val="20"/>
          <w:rtl/>
        </w:rPr>
        <w:t>קוויטעל</w:t>
      </w:r>
      <w:proofErr w:type="spellEnd"/>
      <w:r>
        <w:rPr>
          <w:sz w:val="20"/>
          <w:szCs w:val="20"/>
          <w:rtl/>
        </w:rPr>
        <w:t xml:space="preserve">’ – המונח המשמש חסידים </w:t>
      </w:r>
      <w:proofErr w:type="spellStart"/>
      <w:r>
        <w:rPr>
          <w:sz w:val="20"/>
          <w:szCs w:val="20"/>
          <w:rtl/>
        </w:rPr>
        <w:t>ה‘מזכירים</w:t>
      </w:r>
      <w:proofErr w:type="spellEnd"/>
      <w:r>
        <w:rPr>
          <w:sz w:val="20"/>
          <w:szCs w:val="20"/>
          <w:rtl/>
        </w:rPr>
        <w:t xml:space="preserve">’ את עצמם אצל רבותיהם – ובו שמו ושם </w:t>
      </w:r>
      <w:proofErr w:type="spellStart"/>
      <w:r>
        <w:rPr>
          <w:sz w:val="20"/>
          <w:szCs w:val="20"/>
          <w:rtl/>
        </w:rPr>
        <w:t>אמו</w:t>
      </w:r>
      <w:proofErr w:type="spellEnd"/>
      <w:r>
        <w:rPr>
          <w:sz w:val="20"/>
          <w:szCs w:val="20"/>
          <w:rtl/>
        </w:rPr>
        <w:t xml:space="preserve">, חיים בן </w:t>
      </w:r>
      <w:proofErr w:type="spellStart"/>
      <w:r>
        <w:rPr>
          <w:sz w:val="20"/>
          <w:szCs w:val="20"/>
          <w:rtl/>
        </w:rPr>
        <w:t>צירל</w:t>
      </w:r>
      <w:proofErr w:type="spellEnd"/>
      <w:r>
        <w:rPr>
          <w:sz w:val="20"/>
          <w:szCs w:val="20"/>
          <w:rtl/>
        </w:rPr>
        <w:t xml:space="preserve">. ר׳ </w:t>
      </w:r>
      <w:proofErr w:type="spellStart"/>
      <w:r>
        <w:rPr>
          <w:sz w:val="20"/>
          <w:szCs w:val="20"/>
          <w:rtl/>
        </w:rPr>
        <w:t>יעקב־יצחק</w:t>
      </w:r>
      <w:proofErr w:type="spellEnd"/>
      <w:r>
        <w:rPr>
          <w:sz w:val="20"/>
          <w:szCs w:val="20"/>
          <w:rtl/>
        </w:rPr>
        <w:t xml:space="preserve"> העיד שראה בעצמו שישה מכתבים כאלה, שבהם ביקש ר׳ חיים מר׳ </w:t>
      </w:r>
      <w:proofErr w:type="spellStart"/>
      <w:r>
        <w:rPr>
          <w:sz w:val="20"/>
          <w:szCs w:val="20"/>
          <w:rtl/>
        </w:rPr>
        <w:t>מאיר־שמחה</w:t>
      </w:r>
      <w:proofErr w:type="spellEnd"/>
      <w:r>
        <w:rPr>
          <w:sz w:val="20"/>
          <w:szCs w:val="20"/>
          <w:rtl/>
        </w:rPr>
        <w:t xml:space="preserve"> להזכירו בתפילותיו. אבי דייק יותר באיזו תפילה רצה ר׳ חיים שיזכירוהו: רבנו גילה שר׳ חיים (הלוי) ביקש שר׳ </w:t>
      </w:r>
      <w:proofErr w:type="spellStart"/>
      <w:r>
        <w:rPr>
          <w:sz w:val="20"/>
          <w:szCs w:val="20"/>
          <w:rtl/>
        </w:rPr>
        <w:t>מאיר־שמחה</w:t>
      </w:r>
      <w:proofErr w:type="spellEnd"/>
      <w:r>
        <w:rPr>
          <w:sz w:val="20"/>
          <w:szCs w:val="20"/>
          <w:rtl/>
        </w:rPr>
        <w:t xml:space="preserve"> (הכהן) יכוון עליו באמירת ברכת כהנים בחגים.</w:t>
      </w:r>
    </w:p>
  </w:footnote>
  <w:footnote w:id="2308">
    <w:p w14:paraId="74EAA90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קפח.</w:t>
      </w:r>
    </w:p>
  </w:footnote>
  <w:footnote w:id="2309">
    <w:p w14:paraId="6963CC8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קצא</w:t>
      </w:r>
      <w:proofErr w:type="spellEnd"/>
      <w:r>
        <w:rPr>
          <w:sz w:val="20"/>
          <w:szCs w:val="20"/>
          <w:rtl/>
        </w:rPr>
        <w:t>.</w:t>
      </w:r>
    </w:p>
  </w:footnote>
  <w:footnote w:id="2310">
    <w:p w14:paraId="34AB616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אך השווה תחילת נספח לב להלן: בימי לימודיו של רבנו נחשבו ר׳ חיים </w:t>
      </w:r>
      <w:proofErr w:type="spellStart"/>
      <w:r>
        <w:rPr>
          <w:sz w:val="20"/>
          <w:szCs w:val="20"/>
          <w:rtl/>
        </w:rPr>
        <w:t>סולובייצ׳יק</w:t>
      </w:r>
      <w:proofErr w:type="spellEnd"/>
      <w:r>
        <w:rPr>
          <w:sz w:val="20"/>
          <w:szCs w:val="20"/>
          <w:rtl/>
        </w:rPr>
        <w:t xml:space="preserve"> ור׳ </w:t>
      </w:r>
      <w:proofErr w:type="spellStart"/>
      <w:r>
        <w:rPr>
          <w:sz w:val="20"/>
          <w:szCs w:val="20"/>
          <w:rtl/>
        </w:rPr>
        <w:t>דוד׳ל</w:t>
      </w:r>
      <w:proofErr w:type="spellEnd"/>
      <w:r>
        <w:rPr>
          <w:sz w:val="20"/>
          <w:szCs w:val="20"/>
          <w:rtl/>
        </w:rPr>
        <w:t xml:space="preserve"> פרידמן בעלי מדרגה גבוהה יותר בלמדנות מר׳ </w:t>
      </w:r>
      <w:proofErr w:type="spellStart"/>
      <w:r>
        <w:rPr>
          <w:sz w:val="20"/>
          <w:szCs w:val="20"/>
          <w:rtl/>
        </w:rPr>
        <w:t>מאיר־שמחה</w:t>
      </w:r>
      <w:proofErr w:type="spellEnd"/>
      <w:r>
        <w:rPr>
          <w:sz w:val="20"/>
          <w:szCs w:val="20"/>
          <w:rtl/>
        </w:rPr>
        <w:t xml:space="preserve"> כהן. השווה גם ‘שמושה של תורה’, עמ׳ </w:t>
      </w:r>
      <w:proofErr w:type="spellStart"/>
      <w:r>
        <w:rPr>
          <w:sz w:val="20"/>
          <w:szCs w:val="20"/>
          <w:rtl/>
        </w:rPr>
        <w:t>קעה</w:t>
      </w:r>
      <w:proofErr w:type="spellEnd"/>
      <w:r>
        <w:rPr>
          <w:sz w:val="20"/>
          <w:szCs w:val="20"/>
          <w:rtl/>
        </w:rPr>
        <w:t>–</w:t>
      </w:r>
      <w:proofErr w:type="spellStart"/>
      <w:r>
        <w:rPr>
          <w:sz w:val="20"/>
          <w:szCs w:val="20"/>
          <w:rtl/>
        </w:rPr>
        <w:t>קעו</w:t>
      </w:r>
      <w:proofErr w:type="spellEnd"/>
      <w:r>
        <w:rPr>
          <w:sz w:val="20"/>
          <w:szCs w:val="20"/>
          <w:rtl/>
        </w:rPr>
        <w:t xml:space="preserve">, המוסיף לסיפור ביקור </w:t>
      </w:r>
      <w:proofErr w:type="spellStart"/>
      <w:r>
        <w:rPr>
          <w:sz w:val="20"/>
          <w:szCs w:val="20"/>
          <w:rtl/>
        </w:rPr>
        <w:t>הנימוסין</w:t>
      </w:r>
      <w:proofErr w:type="spellEnd"/>
      <w:r>
        <w:rPr>
          <w:sz w:val="20"/>
          <w:szCs w:val="20"/>
          <w:rtl/>
        </w:rPr>
        <w:t xml:space="preserve"> של ר׳ חיים אצל האור שמח, בשם ר׳ יצחק־זאב </w:t>
      </w:r>
      <w:proofErr w:type="spellStart"/>
      <w:r>
        <w:rPr>
          <w:sz w:val="20"/>
          <w:szCs w:val="20"/>
          <w:rtl/>
        </w:rPr>
        <w:t>סולובייצ׳יק</w:t>
      </w:r>
      <w:proofErr w:type="spellEnd"/>
      <w:r>
        <w:rPr>
          <w:sz w:val="20"/>
          <w:szCs w:val="20"/>
          <w:rtl/>
        </w:rPr>
        <w:t xml:space="preserve">, שבמהלך הוועידה נמנע ר׳ חיים מלדבר עם ר׳ </w:t>
      </w:r>
      <w:proofErr w:type="spellStart"/>
      <w:r>
        <w:rPr>
          <w:sz w:val="20"/>
          <w:szCs w:val="20"/>
          <w:rtl/>
        </w:rPr>
        <w:t>מאיר־שמחה</w:t>
      </w:r>
      <w:proofErr w:type="spellEnd"/>
      <w:r>
        <w:rPr>
          <w:sz w:val="20"/>
          <w:szCs w:val="20"/>
          <w:rtl/>
        </w:rPr>
        <w:t xml:space="preserve">, ‘ולעומת זאת בירך לשלום את שאר הנוכחים, כדי להפגין את התנגדותו לדרכו של האור שמח׳. קשה לקבל התנהגות זו, כשם שקשה לקבל את השוואת הרבנים למשרתי הבעל בפי ר׳ חיים, כפי שמסופר </w:t>
      </w:r>
      <w:proofErr w:type="spellStart"/>
      <w:r>
        <w:rPr>
          <w:sz w:val="20"/>
          <w:szCs w:val="20"/>
          <w:rtl/>
        </w:rPr>
        <w:t>ב‘תורת</w:t>
      </w:r>
      <w:proofErr w:type="spellEnd"/>
      <w:r>
        <w:rPr>
          <w:sz w:val="20"/>
          <w:szCs w:val="20"/>
          <w:rtl/>
        </w:rPr>
        <w:t xml:space="preserve"> חיים’ עמ׳ </w:t>
      </w:r>
      <w:r>
        <w:rPr>
          <w:sz w:val="20"/>
          <w:szCs w:val="20"/>
          <w:rtl/>
        </w:rPr>
        <w:fldChar w:fldCharType="begin" w:dirty="true"/>
      </w:r>
      <w:r>
        <w:rPr>
          <w:sz w:val="20"/>
          <w:szCs w:val="20"/>
          <w:rtl/>
        </w:rPr>
        <w:instrText xml:space="preserve"> PAGEREF pr_b_1362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לעיל.</w:t>
      </w:r>
    </w:p>
  </w:footnote>
  <w:footnote w:id="2311">
    <w:p w14:paraId="2DC4123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קצט</w:t>
      </w:r>
      <w:proofErr w:type="spellEnd"/>
      <w:r>
        <w:rPr>
          <w:sz w:val="20"/>
          <w:szCs w:val="20"/>
          <w:rtl/>
        </w:rPr>
        <w:t>.</w:t>
      </w:r>
    </w:p>
  </w:footnote>
  <w:footnote w:id="2312">
    <w:p w14:paraId="55FACBF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הערת שוליים </w:t>
      </w:r>
      <w:r>
        <w:rPr>
          <w:sz w:val="20"/>
          <w:szCs w:val="20"/>
          <w:rtl/>
        </w:rPr>
        <w:fldChar w:fldCharType="begin" w:dirty="true"/>
      </w:r>
      <w:r>
        <w:rPr>
          <w:sz w:val="20"/>
          <w:szCs w:val="20"/>
          <w:rtl/>
        </w:rPr>
        <w:instrText xml:space="preserve"> NOTEREF pr_f_2169 \h </w:instrText>
      </w:r>
      <w:r>
        <w:rPr>
          <w:sz w:val="20"/>
          <w:szCs w:val="20"/>
          <w:rtl/>
        </w:rPr>
      </w:r>
      <w:r>
        <w:rPr>
          <w:sz w:val="20"/>
          <w:szCs w:val="20"/>
          <w:rtl/>
        </w:rPr>
        <w:fldChar w:fldCharType="separate"/>
      </w:r>
      <w:r w:rsidR="007923E9">
        <w:rPr>
          <w:sz w:val="20"/>
          <w:szCs w:val="20"/>
          <w:rtl/>
        </w:rPr>
        <w:t>1215</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pr_f_2169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2313">
    <w:p w14:paraId="116FF80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איני מכיר את הרקע ההיסטורי </w:t>
      </w:r>
      <w:proofErr w:type="spellStart"/>
      <w:r>
        <w:rPr>
          <w:sz w:val="20"/>
          <w:szCs w:val="20"/>
          <w:rtl/>
        </w:rPr>
        <w:t>ל“הסכם</w:t>
      </w:r>
      <w:proofErr w:type="spellEnd"/>
      <w:r>
        <w:rPr>
          <w:sz w:val="20"/>
          <w:szCs w:val="20"/>
          <w:rtl/>
        </w:rPr>
        <w:t xml:space="preserve">”, ואיני יודע איזו אישיות תורנית עמדה אז בראש המתנגדים לשיתוף פעולה עם </w:t>
      </w:r>
      <w:proofErr w:type="spellStart"/>
      <w:r>
        <w:rPr>
          <w:sz w:val="20"/>
          <w:szCs w:val="20"/>
          <w:rtl/>
        </w:rPr>
        <w:t>ליובאוויטש</w:t>
      </w:r>
      <w:proofErr w:type="spellEnd"/>
      <w:r>
        <w:rPr>
          <w:sz w:val="20"/>
          <w:szCs w:val="20"/>
          <w:rtl/>
        </w:rPr>
        <w:t xml:space="preserve">. על </w:t>
      </w:r>
      <w:proofErr w:type="spellStart"/>
      <w:r>
        <w:rPr>
          <w:sz w:val="20"/>
          <w:szCs w:val="20"/>
          <w:rtl/>
        </w:rPr>
        <w:t>ה“הסכם</w:t>
      </w:r>
      <w:proofErr w:type="spellEnd"/>
      <w:r>
        <w:rPr>
          <w:sz w:val="20"/>
          <w:szCs w:val="20"/>
          <w:rtl/>
        </w:rPr>
        <w:t xml:space="preserve">” הנטען שאלתי גם בפגישות עם בנו של ר׳ יצחק־זאב </w:t>
      </w:r>
      <w:proofErr w:type="spellStart"/>
      <w:r>
        <w:rPr>
          <w:sz w:val="20"/>
          <w:szCs w:val="20"/>
          <w:rtl/>
        </w:rPr>
        <w:t>סולובייצ׳יק</w:t>
      </w:r>
      <w:proofErr w:type="spellEnd"/>
      <w:r>
        <w:rPr>
          <w:sz w:val="20"/>
          <w:szCs w:val="20"/>
          <w:rtl/>
        </w:rPr>
        <w:t xml:space="preserve">, ר׳ </w:t>
      </w:r>
      <w:proofErr w:type="spellStart"/>
      <w:r>
        <w:rPr>
          <w:sz w:val="20"/>
          <w:szCs w:val="20"/>
          <w:rtl/>
        </w:rPr>
        <w:t>משולם־דוד</w:t>
      </w:r>
      <w:proofErr w:type="spellEnd"/>
      <w:r>
        <w:rPr>
          <w:sz w:val="20"/>
          <w:szCs w:val="20"/>
          <w:rtl/>
        </w:rPr>
        <w:t xml:space="preserve">, ועם אחיינו של הלה, ר׳ </w:t>
      </w:r>
      <w:proofErr w:type="spellStart"/>
      <w:r>
        <w:rPr>
          <w:sz w:val="20"/>
          <w:szCs w:val="20"/>
          <w:rtl/>
        </w:rPr>
        <w:t>אברהם־יהושע</w:t>
      </w:r>
      <w:proofErr w:type="spellEnd"/>
      <w:r>
        <w:rPr>
          <w:sz w:val="20"/>
          <w:szCs w:val="20"/>
          <w:rtl/>
        </w:rPr>
        <w:t>, ולא היה להם שמץ ידיעה על הסכם כזה או על אמירה כזאת של ר׳ חיים.</w:t>
      </w:r>
    </w:p>
    <w:p w14:paraId="0F8C20CF" w14:textId="77777777" w:rsidR="00AB3647" w:rsidRDefault="00000000">
      <w:pPr>
        <w:spacing w:after="0" w:before="0"/>
        <w:jc w:val="both"/>
      </w:pPr>
      <w:r>
        <w:rPr>
          <w:sz w:val="20"/>
          <w:szCs w:val="20"/>
          <w:rtl/>
        </w:rPr>
        <w:t xml:space="preserve">בספריית </w:t>
      </w:r>
      <w:proofErr w:type="spellStart"/>
      <w:r>
        <w:rPr>
          <w:sz w:val="20"/>
          <w:szCs w:val="20"/>
          <w:rtl/>
        </w:rPr>
        <w:t>ליובאוויטש</w:t>
      </w:r>
      <w:proofErr w:type="spellEnd"/>
      <w:r>
        <w:rPr>
          <w:sz w:val="20"/>
          <w:szCs w:val="20"/>
          <w:rtl/>
        </w:rPr>
        <w:t xml:space="preserve"> בברוקלין מסר לי הספרן הראשי, ר׳ </w:t>
      </w:r>
      <w:proofErr w:type="spellStart"/>
      <w:r>
        <w:rPr>
          <w:sz w:val="20"/>
          <w:szCs w:val="20"/>
          <w:rtl/>
        </w:rPr>
        <w:t>שלום־בער</w:t>
      </w:r>
      <w:proofErr w:type="spellEnd"/>
      <w:r>
        <w:rPr>
          <w:sz w:val="20"/>
          <w:szCs w:val="20"/>
          <w:rtl/>
        </w:rPr>
        <w:t xml:space="preserve"> לוין, שבאותה שנה, תרנ״ז, התעוררה בעיה: הממשלה ניסתה לכפות על מלמדי החדרים בחינות “</w:t>
      </w:r>
      <w:proofErr w:type="spellStart"/>
      <w:r>
        <w:rPr>
          <w:sz w:val="20"/>
          <w:szCs w:val="20"/>
          <w:rtl/>
        </w:rPr>
        <w:t>צענז</w:t>
      </w:r>
      <w:proofErr w:type="spellEnd"/>
      <w:r>
        <w:rPr>
          <w:sz w:val="20"/>
          <w:szCs w:val="20"/>
          <w:rtl/>
        </w:rPr>
        <w:t xml:space="preserve">” (מכסת [ידיעות חול]). עוד הוסיף ששנה קודם לכן התקיימה אספת רבנים בפטרבורג, ור׳ חיים לא השתתף בה, ואילו ר׳ </w:t>
      </w:r>
      <w:proofErr w:type="spellStart"/>
      <w:r>
        <w:rPr>
          <w:sz w:val="20"/>
          <w:szCs w:val="20"/>
          <w:rtl/>
        </w:rPr>
        <w:t>צבי־הירש</w:t>
      </w:r>
      <w:proofErr w:type="spellEnd"/>
      <w:r>
        <w:rPr>
          <w:sz w:val="20"/>
          <w:szCs w:val="20"/>
          <w:rtl/>
        </w:rPr>
        <w:t xml:space="preserve"> </w:t>
      </w:r>
      <w:proofErr w:type="spellStart"/>
      <w:r>
        <w:rPr>
          <w:sz w:val="20"/>
          <w:szCs w:val="20"/>
          <w:rtl/>
        </w:rPr>
        <w:t>רבינוביץ</w:t>
      </w:r>
      <w:proofErr w:type="spellEnd"/>
      <w:r>
        <w:rPr>
          <w:sz w:val="20"/>
          <w:szCs w:val="20"/>
          <w:rtl/>
        </w:rPr>
        <w:t xml:space="preserve"> מקובנה השתתף. אולם לא עלה בידו להביא ראיה לפגישה בין ר׳ חיים לאדמו״ר </w:t>
      </w:r>
      <w:proofErr w:type="spellStart"/>
      <w:r>
        <w:rPr>
          <w:sz w:val="20"/>
          <w:szCs w:val="20"/>
          <w:rtl/>
        </w:rPr>
        <w:t>מליובאוויטש</w:t>
      </w:r>
      <w:proofErr w:type="spellEnd"/>
      <w:r>
        <w:rPr>
          <w:sz w:val="20"/>
          <w:szCs w:val="20"/>
          <w:rtl/>
        </w:rPr>
        <w:t xml:space="preserve"> באותה שנה.</w:t>
      </w:r>
    </w:p>
    <w:p w14:paraId="0DD35202" w14:textId="77777777" w:rsidR="00AB3647" w:rsidRDefault="00000000">
      <w:pPr>
        <w:spacing w:after="0" w:before="0"/>
        <w:jc w:val="both"/>
      </w:pPr>
      <w:r>
        <w:rPr>
          <w:sz w:val="20"/>
          <w:szCs w:val="20"/>
          <w:rtl/>
        </w:rPr>
        <w:t xml:space="preserve">היומן הביוגרפי הקצר של ר׳ </w:t>
      </w:r>
      <w:proofErr w:type="spellStart"/>
      <w:r>
        <w:rPr>
          <w:sz w:val="20"/>
          <w:szCs w:val="20"/>
          <w:rtl/>
        </w:rPr>
        <w:t>שלום־בער</w:t>
      </w:r>
      <w:proofErr w:type="spellEnd"/>
      <w:r>
        <w:rPr>
          <w:sz w:val="20"/>
          <w:szCs w:val="20"/>
          <w:rtl/>
        </w:rPr>
        <w:t xml:space="preserve">, “קונטרס חנוך לנער” (קהת, ברוקלין, תש״ג), אכן מונה נסיעה של האדמו״ר למוסקבה “מאחרי חנוכה עד אחרי פורים”, ומשם “לפטרבורג לשבועיים”. אחת משתי הערים עשויה להיות אותו “מקום מסוים” שלא נתפרש, שאליו התכוון ר׳ </w:t>
      </w:r>
      <w:proofErr w:type="spellStart"/>
      <w:r>
        <w:rPr>
          <w:sz w:val="20"/>
          <w:szCs w:val="20"/>
          <w:rtl/>
        </w:rPr>
        <w:t>יוסף־יצחק</w:t>
      </w:r>
      <w:proofErr w:type="spellEnd"/>
      <w:r>
        <w:rPr>
          <w:sz w:val="20"/>
          <w:szCs w:val="20"/>
          <w:rtl/>
        </w:rPr>
        <w:t xml:space="preserve"> – אבל האם היה שם ר׳ חיים?</w:t>
      </w:r>
    </w:p>
  </w:footnote>
  <w:footnote w:id="2314">
    <w:p w14:paraId="7EFDE20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הפסקה השנייה של נספח </w:t>
      </w:r>
      <w:proofErr w:type="spellStart"/>
      <w:r>
        <w:rPr>
          <w:sz w:val="20"/>
          <w:szCs w:val="20"/>
          <w:rtl/>
        </w:rPr>
        <w:t>יב</w:t>
      </w:r>
      <w:proofErr w:type="spellEnd"/>
      <w:r>
        <w:rPr>
          <w:sz w:val="20"/>
          <w:szCs w:val="20"/>
          <w:rtl/>
        </w:rPr>
        <w:t xml:space="preserve"> בפרק זה.</w:t>
      </w:r>
    </w:p>
  </w:footnote>
  <w:footnote w:id="2315">
    <w:p w14:paraId="6CD5156F"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rFonts w:ascii="David" w:eastAsia="David" w:hAnsi="David" w:cs="David"/>
          <w:sz w:val="20"/>
          <w:szCs w:val="20"/>
          <w:rtl/>
        </w:rPr>
        <w:t xml:space="preserve"/>
      </w:r>
      <w:r>
        <w:rPr>
          <w:b/>
          <w:color w:val="000000"/>
          <w:sz w:val="20"/>
          <w:szCs w:val="20"/>
          <w:rtl/>
        </w:rPr>
        <w:t xml:space="preserve">הערת המתרגם: </w:t>
      </w:r>
      <w:r>
        <w:rPr>
          <w:sz w:val="20"/>
          <w:szCs w:val="20"/>
          <w:rtl/>
        </w:rPr>
        <w:t xml:space="preserve">בין תרנ״ז </w:t>
      </w:r>
      <w:proofErr w:type="spellStart"/>
      <w:r>
        <w:rPr>
          <w:sz w:val="20"/>
          <w:szCs w:val="20"/>
          <w:rtl/>
        </w:rPr>
        <w:t>לתרס״ט</w:t>
      </w:r>
      <w:proofErr w:type="spellEnd"/>
      <w:r>
        <w:rPr>
          <w:sz w:val="20"/>
          <w:szCs w:val="20"/>
          <w:rtl/>
        </w:rPr>
        <w:t xml:space="preserve"> חלפו </w:t>
      </w:r>
      <w:proofErr w:type="spellStart"/>
      <w:r>
        <w:rPr>
          <w:sz w:val="20"/>
          <w:szCs w:val="20"/>
          <w:rtl/>
        </w:rPr>
        <w:t>שתים־עשרה</w:t>
      </w:r>
      <w:proofErr w:type="spellEnd"/>
      <w:r>
        <w:rPr>
          <w:sz w:val="20"/>
          <w:szCs w:val="20"/>
          <w:rtl/>
        </w:rPr>
        <w:t xml:space="preserve"> שנים, ולא שמונה כבמקור.</w:t>
      </w:r>
    </w:p>
  </w:footnote>
  <w:footnote w:id="2316">
    <w:p w14:paraId="45A43CE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הוצאת “אוצר החסידים”, ברוקלין – עמ׳ תכה.</w:t>
      </w:r>
    </w:p>
  </w:footnote>
  <w:footnote w:id="2317">
    <w:p w14:paraId="48C26F2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רלח</w:t>
      </w:r>
      <w:proofErr w:type="spellEnd"/>
      <w:r>
        <w:rPr>
          <w:sz w:val="20"/>
          <w:szCs w:val="20"/>
          <w:rtl/>
        </w:rPr>
        <w:t>.</w:t>
      </w:r>
    </w:p>
  </w:footnote>
  <w:footnote w:id="2318">
    <w:p w14:paraId="662FB65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יק״א</w:t>
      </w:r>
      <w:proofErr w:type="spellEnd"/>
      <w:r>
        <w:rPr>
          <w:sz w:val="20"/>
          <w:szCs w:val="20"/>
          <w:rtl/>
        </w:rPr>
        <w:t xml:space="preserve"> – ראשי תיבות של “החברה להתיישבות יהודית”, שהקים הברון הירש </w:t>
      </w:r>
      <w:proofErr w:type="spellStart"/>
      <w:r>
        <w:rPr>
          <w:sz w:val="20"/>
          <w:szCs w:val="20"/>
          <w:rtl/>
        </w:rPr>
        <w:t>בתרנ״א</w:t>
      </w:r>
      <w:proofErr w:type="spellEnd"/>
      <w:r>
        <w:rPr>
          <w:sz w:val="20"/>
          <w:szCs w:val="20"/>
          <w:rtl/>
        </w:rPr>
        <w:t xml:space="preserve"> לשם יישוב יהודים בחוות ברוסיה ובמקומות אחרים בעולם. לימים הרחיבה את פעילותה להכשרה מקצועית, להקמת אגודות שיתופיות ולסיוע להגירה.</w:t>
      </w:r>
    </w:p>
  </w:footnote>
  <w:footnote w:id="2319">
    <w:p w14:paraId="4F73DD4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אפשר שתוספת זו באה מיוזמתו של ר׳ חיים </w:t>
      </w:r>
      <w:proofErr w:type="spellStart"/>
      <w:r>
        <w:rPr>
          <w:sz w:val="20"/>
          <w:szCs w:val="20"/>
          <w:rtl/>
        </w:rPr>
        <w:t>סולובייצ׳יק</w:t>
      </w:r>
      <w:proofErr w:type="spellEnd"/>
      <w:r>
        <w:rPr>
          <w:sz w:val="20"/>
          <w:szCs w:val="20"/>
          <w:rtl/>
        </w:rPr>
        <w:t>, שהיה רגיש במיוחד לבעיות בריאות ודאג להן, כפי שמסופר בפרק 5, הפסקה השישית של נספח ב.</w:t>
      </w:r>
    </w:p>
  </w:footnote>
  <w:footnote w:id="2320">
    <w:p w14:paraId="2AFD08A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ב“ספר</w:t>
      </w:r>
      <w:proofErr w:type="spellEnd"/>
      <w:r>
        <w:rPr>
          <w:sz w:val="20"/>
          <w:szCs w:val="20"/>
          <w:rtl/>
        </w:rPr>
        <w:t xml:space="preserve"> התולדות”, הביוגרפיה של ר׳ </w:t>
      </w:r>
      <w:proofErr w:type="spellStart"/>
      <w:r>
        <w:rPr>
          <w:sz w:val="20"/>
          <w:szCs w:val="20"/>
          <w:rtl/>
        </w:rPr>
        <w:t>שלום־בער</w:t>
      </w:r>
      <w:proofErr w:type="spellEnd"/>
      <w:r>
        <w:rPr>
          <w:sz w:val="20"/>
          <w:szCs w:val="20"/>
          <w:rtl/>
        </w:rPr>
        <w:t xml:space="preserve"> מאת הרב אברהם חנוך </w:t>
      </w:r>
      <w:proofErr w:type="spellStart"/>
      <w:r>
        <w:rPr>
          <w:sz w:val="20"/>
          <w:szCs w:val="20"/>
          <w:rtl/>
        </w:rPr>
        <w:t>גליצנשטיין</w:t>
      </w:r>
      <w:proofErr w:type="spellEnd"/>
      <w:r>
        <w:rPr>
          <w:sz w:val="20"/>
          <w:szCs w:val="20"/>
          <w:rtl/>
        </w:rPr>
        <w:t xml:space="preserve"> (“אוצר החסידים”, כפר חב״ד), הושמטו המילים “במשך עשרות שנים” (שהודגשו לעיל), מפני שר׳ </w:t>
      </w:r>
      <w:proofErr w:type="spellStart"/>
      <w:r>
        <w:rPr>
          <w:sz w:val="20"/>
          <w:szCs w:val="20"/>
          <w:rtl/>
        </w:rPr>
        <w:t>יוסף־יצחק</w:t>
      </w:r>
      <w:proofErr w:type="spellEnd"/>
      <w:r>
        <w:rPr>
          <w:sz w:val="20"/>
          <w:szCs w:val="20"/>
          <w:rtl/>
        </w:rPr>
        <w:t xml:space="preserve"> השתמש בהן רק כדי למתוח ביקורת על מתנגדי מאמרו של סגל.</w:t>
      </w:r>
    </w:p>
  </w:footnote>
  <w:footnote w:id="2321">
    <w:p w14:paraId="4841749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הערת שוליים </w:t>
      </w:r>
      <w:r>
        <w:rPr>
          <w:sz w:val="20"/>
          <w:szCs w:val="20"/>
          <w:rtl/>
        </w:rPr>
        <w:fldChar w:fldCharType="begin" w:dirty="true"/>
      </w:r>
      <w:r>
        <w:rPr>
          <w:sz w:val="20"/>
          <w:szCs w:val="20"/>
          <w:rtl/>
        </w:rPr>
        <w:instrText xml:space="preserve"> NOTEREF pr_f_2169 \h </w:instrText>
      </w:r>
      <w:r>
        <w:rPr>
          <w:sz w:val="20"/>
          <w:szCs w:val="20"/>
          <w:rtl/>
        </w:rPr>
      </w:r>
      <w:r>
        <w:rPr>
          <w:sz w:val="20"/>
          <w:szCs w:val="20"/>
          <w:rtl/>
        </w:rPr>
        <w:fldChar w:fldCharType="separate"/>
      </w:r>
      <w:r w:rsidR="007923E9">
        <w:rPr>
          <w:sz w:val="20"/>
          <w:szCs w:val="20"/>
          <w:rtl/>
        </w:rPr>
        <w:t>1215</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pr_f_2169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שהוא ר׳ אהרן קוטלר.</w:t>
      </w:r>
    </w:p>
  </w:footnote>
  <w:footnote w:id="2322">
    <w:p w14:paraId="122285B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7 באוקטובר 1996.</w:t>
      </w:r>
    </w:p>
  </w:footnote>
  <w:footnote w:id="2323">
    <w:p w14:paraId="5171AF6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דודו של המרואיין, ר׳ רפאל </w:t>
      </w:r>
      <w:proofErr w:type="spellStart"/>
      <w:r>
        <w:rPr>
          <w:sz w:val="20"/>
          <w:szCs w:val="20"/>
          <w:rtl/>
        </w:rPr>
        <w:t>סולובייצ׳יק</w:t>
      </w:r>
      <w:proofErr w:type="spellEnd"/>
      <w:r>
        <w:rPr>
          <w:sz w:val="20"/>
          <w:szCs w:val="20"/>
          <w:rtl/>
        </w:rPr>
        <w:t>, סיפר אותו פעם לי.</w:t>
      </w:r>
    </w:p>
  </w:footnote>
  <w:footnote w:id="2324">
    <w:p w14:paraId="1162D30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סוף נספח </w:t>
      </w:r>
      <w:proofErr w:type="spellStart"/>
      <w:r>
        <w:rPr>
          <w:sz w:val="20"/>
          <w:szCs w:val="20"/>
          <w:rtl/>
        </w:rPr>
        <w:t>יב</w:t>
      </w:r>
      <w:proofErr w:type="spellEnd"/>
      <w:r>
        <w:rPr>
          <w:sz w:val="20"/>
          <w:szCs w:val="20"/>
          <w:rtl/>
        </w:rPr>
        <w:t xml:space="preserve"> לעיל בעניין זה.</w:t>
      </w:r>
    </w:p>
  </w:footnote>
  <w:footnote w:id="2325">
    <w:p w14:paraId="1747118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ב“תורת</w:t>
      </w:r>
      <w:proofErr w:type="spellEnd"/>
      <w:r>
        <w:rPr>
          <w:sz w:val="20"/>
          <w:szCs w:val="20"/>
          <w:rtl/>
        </w:rPr>
        <w:t xml:space="preserve"> חיים”, עמ׳ </w:t>
      </w:r>
      <w:proofErr w:type="spellStart"/>
      <w:r>
        <w:rPr>
          <w:sz w:val="20"/>
          <w:szCs w:val="20"/>
          <w:rtl/>
        </w:rPr>
        <w:t>קלז</w:t>
      </w:r>
      <w:proofErr w:type="spellEnd"/>
      <w:r>
        <w:rPr>
          <w:sz w:val="20"/>
          <w:szCs w:val="20"/>
          <w:rtl/>
        </w:rPr>
        <w:t xml:space="preserve">, מסופר שר׳ חיים השתמש במשל גם בהזדמנות אחרת, כשאגודת ישראל והמזרחי פרסמו שתיהן מחאה נגד חילול השבת בארץ ישראל. איני בקי במציאות הפוליטית של אותה תקופה, ולכן אני יכול רק לצטט </w:t>
      </w:r>
      <w:proofErr w:type="spellStart"/>
      <w:r>
        <w:rPr>
          <w:sz w:val="20"/>
          <w:szCs w:val="20"/>
          <w:rtl/>
        </w:rPr>
        <w:t>מ“תורת</w:t>
      </w:r>
      <w:proofErr w:type="spellEnd"/>
      <w:r>
        <w:rPr>
          <w:sz w:val="20"/>
          <w:szCs w:val="20"/>
          <w:rtl/>
        </w:rPr>
        <w:t xml:space="preserve"> חיים” שאת המזרחי דימה ר׳ חיים לחתול “מפני שלפעמים הוא רוצה שיהיה חילול שבת בחוגים מסוימים, כדי שיוכל להתנפל עליהם ולהילחם בהם...” אולם ייתכן </w:t>
      </w:r>
      <w:proofErr w:type="spellStart"/>
      <w:r>
        <w:rPr>
          <w:sz w:val="20"/>
          <w:szCs w:val="20"/>
          <w:rtl/>
        </w:rPr>
        <w:t>ש“תורת</w:t>
      </w:r>
      <w:proofErr w:type="spellEnd"/>
      <w:r>
        <w:rPr>
          <w:sz w:val="20"/>
          <w:szCs w:val="20"/>
          <w:rtl/>
        </w:rPr>
        <w:t xml:space="preserve"> חיים” החליף בין שתי המפלגות שלפני מלחמת העולם הראשונה.</w:t>
      </w:r>
    </w:p>
  </w:footnote>
  <w:footnote w:id="2326">
    <w:p w14:paraId="1C79562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15 באוקטובר 1996.</w:t>
      </w:r>
    </w:p>
  </w:footnote>
  <w:footnote w:id="2327">
    <w:p w14:paraId="75EA8FF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אולם “הראשון לשושלת </w:t>
      </w:r>
      <w:proofErr w:type="spellStart"/>
      <w:r>
        <w:rPr>
          <w:sz w:val="20"/>
          <w:szCs w:val="20"/>
          <w:rtl/>
        </w:rPr>
        <w:t>בריסק</w:t>
      </w:r>
      <w:proofErr w:type="spellEnd"/>
      <w:r>
        <w:rPr>
          <w:sz w:val="20"/>
          <w:szCs w:val="20"/>
          <w:rtl/>
        </w:rPr>
        <w:t xml:space="preserve">”, עמ׳ 101, אומר שחותנו של חותנו של ר׳ יוסף־דב היה “מקושר </w:t>
      </w:r>
      <w:proofErr w:type="spellStart"/>
      <w:r>
        <w:rPr>
          <w:sz w:val="20"/>
          <w:szCs w:val="20"/>
          <w:rtl/>
        </w:rPr>
        <w:t>לר</w:t>
      </w:r>
      <w:proofErr w:type="spellEnd"/>
      <w:r>
        <w:rPr>
          <w:sz w:val="20"/>
          <w:szCs w:val="20"/>
          <w:rtl/>
        </w:rPr>
        <w:t xml:space="preserve">׳ מרדכי </w:t>
      </w:r>
      <w:proofErr w:type="spellStart"/>
      <w:r>
        <w:rPr>
          <w:sz w:val="20"/>
          <w:szCs w:val="20"/>
          <w:rtl/>
        </w:rPr>
        <w:t>מלכוביץ</w:t>
      </w:r>
      <w:proofErr w:type="spellEnd"/>
      <w:r>
        <w:rPr>
          <w:sz w:val="20"/>
          <w:szCs w:val="20"/>
          <w:rtl/>
        </w:rPr>
        <w:t xml:space="preserve">׳”. ב־5 בנובמבר 2001 מסר לי ר׳ </w:t>
      </w:r>
      <w:proofErr w:type="spellStart"/>
      <w:r>
        <w:rPr>
          <w:sz w:val="20"/>
          <w:szCs w:val="20"/>
          <w:rtl/>
        </w:rPr>
        <w:t>בעריש</w:t>
      </w:r>
      <w:proofErr w:type="spellEnd"/>
      <w:r>
        <w:rPr>
          <w:sz w:val="20"/>
          <w:szCs w:val="20"/>
          <w:rtl/>
        </w:rPr>
        <w:t xml:space="preserve"> שפירא שחותנו של ר׳ יוסף־דב – </w:t>
      </w:r>
      <w:proofErr w:type="spellStart"/>
      <w:r>
        <w:rPr>
          <w:sz w:val="20"/>
          <w:szCs w:val="20"/>
          <w:rtl/>
        </w:rPr>
        <w:t>ב“הראשון</w:t>
      </w:r>
      <w:proofErr w:type="spellEnd"/>
      <w:r>
        <w:rPr>
          <w:sz w:val="20"/>
          <w:szCs w:val="20"/>
          <w:rtl/>
        </w:rPr>
        <w:t xml:space="preserve"> לשושלת </w:t>
      </w:r>
      <w:proofErr w:type="spellStart"/>
      <w:r>
        <w:rPr>
          <w:sz w:val="20"/>
          <w:szCs w:val="20"/>
          <w:rtl/>
        </w:rPr>
        <w:t>בריסק</w:t>
      </w:r>
      <w:proofErr w:type="spellEnd"/>
      <w:r>
        <w:rPr>
          <w:sz w:val="20"/>
          <w:szCs w:val="20"/>
          <w:rtl/>
        </w:rPr>
        <w:t xml:space="preserve">” הוא מזוהה כר׳ יצחק עפרון </w:t>
      </w:r>
      <w:proofErr w:type="spellStart"/>
      <w:r>
        <w:rPr>
          <w:sz w:val="20"/>
          <w:szCs w:val="20"/>
          <w:rtl/>
        </w:rPr>
        <w:t>מוולוז׳ין</w:t>
      </w:r>
      <w:proofErr w:type="spellEnd"/>
      <w:r>
        <w:rPr>
          <w:sz w:val="20"/>
          <w:szCs w:val="20"/>
          <w:rtl/>
        </w:rPr>
        <w:t xml:space="preserve"> – היה חסיד של האדמו״ר הראשון </w:t>
      </w:r>
      <w:proofErr w:type="spellStart"/>
      <w:r>
        <w:rPr>
          <w:sz w:val="20"/>
          <w:szCs w:val="20"/>
          <w:rtl/>
        </w:rPr>
        <w:t>מקוידנוב</w:t>
      </w:r>
      <w:proofErr w:type="spellEnd"/>
      <w:r>
        <w:rPr>
          <w:sz w:val="20"/>
          <w:szCs w:val="20"/>
          <w:rtl/>
        </w:rPr>
        <w:t xml:space="preserve">, ר׳ </w:t>
      </w:r>
      <w:proofErr w:type="spellStart"/>
      <w:r>
        <w:rPr>
          <w:sz w:val="20"/>
          <w:szCs w:val="20"/>
          <w:rtl/>
        </w:rPr>
        <w:t>שלמה־חיים</w:t>
      </w:r>
      <w:proofErr w:type="spellEnd"/>
      <w:r>
        <w:rPr>
          <w:sz w:val="20"/>
          <w:szCs w:val="20"/>
          <w:rtl/>
        </w:rPr>
        <w:t xml:space="preserve"> </w:t>
      </w:r>
      <w:proofErr w:type="spellStart"/>
      <w:r>
        <w:rPr>
          <w:sz w:val="20"/>
          <w:szCs w:val="20"/>
          <w:rtl/>
        </w:rPr>
        <w:t>פרלוב</w:t>
      </w:r>
      <w:proofErr w:type="spellEnd"/>
      <w:r>
        <w:rPr>
          <w:sz w:val="20"/>
          <w:szCs w:val="20"/>
          <w:rtl/>
        </w:rPr>
        <w:t xml:space="preserve">, נכדו של האדמו״ר </w:t>
      </w:r>
      <w:proofErr w:type="spellStart"/>
      <w:r>
        <w:rPr>
          <w:sz w:val="20"/>
          <w:szCs w:val="20"/>
          <w:rtl/>
        </w:rPr>
        <w:t>מלכוביץ</w:t>
      </w:r>
      <w:proofErr w:type="spellEnd"/>
      <w:r>
        <w:rPr>
          <w:sz w:val="20"/>
          <w:szCs w:val="20"/>
          <w:rtl/>
        </w:rPr>
        <w:t>׳.</w:t>
      </w:r>
    </w:p>
    <w:p w14:paraId="42A13432" w14:textId="77777777" w:rsidR="00AB3647" w:rsidRDefault="00000000">
      <w:pPr>
        <w:spacing w:after="0" w:before="0"/>
        <w:jc w:val="both"/>
      </w:pPr>
      <w:r>
        <w:rPr>
          <w:sz w:val="20"/>
          <w:szCs w:val="20"/>
          <w:rtl/>
        </w:rPr>
        <w:t xml:space="preserve">ר׳ </w:t>
      </w:r>
      <w:proofErr w:type="spellStart"/>
      <w:r>
        <w:rPr>
          <w:sz w:val="20"/>
          <w:szCs w:val="20"/>
          <w:rtl/>
        </w:rPr>
        <w:t>בעריש</w:t>
      </w:r>
      <w:proofErr w:type="spellEnd"/>
      <w:r>
        <w:rPr>
          <w:sz w:val="20"/>
          <w:szCs w:val="20"/>
          <w:rtl/>
        </w:rPr>
        <w:t xml:space="preserve"> סיפר מעשה ששמע מר׳ </w:t>
      </w:r>
      <w:proofErr w:type="spellStart"/>
      <w:r>
        <w:rPr>
          <w:sz w:val="20"/>
          <w:szCs w:val="20"/>
          <w:rtl/>
        </w:rPr>
        <w:t>מנחם־נחום</w:t>
      </w:r>
      <w:proofErr w:type="spellEnd"/>
      <w:r>
        <w:rPr>
          <w:sz w:val="20"/>
          <w:szCs w:val="20"/>
          <w:rtl/>
        </w:rPr>
        <w:t xml:space="preserve"> </w:t>
      </w:r>
      <w:proofErr w:type="spellStart"/>
      <w:r>
        <w:rPr>
          <w:sz w:val="20"/>
          <w:szCs w:val="20"/>
          <w:rtl/>
        </w:rPr>
        <w:t>רבינוביץ</w:t>
      </w:r>
      <w:proofErr w:type="spellEnd"/>
      <w:r>
        <w:rPr>
          <w:sz w:val="20"/>
          <w:szCs w:val="20"/>
          <w:rtl/>
        </w:rPr>
        <w:t xml:space="preserve">, חתנו של ר׳ יוסף </w:t>
      </w:r>
      <w:proofErr w:type="spellStart"/>
      <w:r>
        <w:rPr>
          <w:sz w:val="20"/>
          <w:szCs w:val="20"/>
          <w:rtl/>
        </w:rPr>
        <w:t>פרלוב</w:t>
      </w:r>
      <w:proofErr w:type="spellEnd"/>
      <w:r>
        <w:rPr>
          <w:sz w:val="20"/>
          <w:szCs w:val="20"/>
          <w:rtl/>
        </w:rPr>
        <w:t xml:space="preserve">, האדמו״ר </w:t>
      </w:r>
      <w:proofErr w:type="spellStart"/>
      <w:r>
        <w:rPr>
          <w:sz w:val="20"/>
          <w:szCs w:val="20"/>
          <w:rtl/>
        </w:rPr>
        <w:t>מקוידנוב</w:t>
      </w:r>
      <w:proofErr w:type="spellEnd"/>
      <w:r>
        <w:rPr>
          <w:sz w:val="20"/>
          <w:szCs w:val="20"/>
          <w:rtl/>
        </w:rPr>
        <w:t xml:space="preserve"> שנפטר במינסק בחנוכה תרע״ו (ראה פרק 5, הפסקה השלישית של נספח ב). באותו זמן ביקש ר׳ </w:t>
      </w:r>
      <w:proofErr w:type="spellStart"/>
      <w:r>
        <w:rPr>
          <w:sz w:val="20"/>
          <w:szCs w:val="20"/>
          <w:rtl/>
        </w:rPr>
        <w:t>מנחם־נחום</w:t>
      </w:r>
      <w:proofErr w:type="spellEnd"/>
      <w:r>
        <w:rPr>
          <w:sz w:val="20"/>
          <w:szCs w:val="20"/>
          <w:rtl/>
        </w:rPr>
        <w:t xml:space="preserve">, שנולד </w:t>
      </w:r>
      <w:proofErr w:type="spellStart"/>
      <w:r>
        <w:rPr>
          <w:sz w:val="20"/>
          <w:szCs w:val="20"/>
          <w:rtl/>
        </w:rPr>
        <w:t>בתרמ״ז</w:t>
      </w:r>
      <w:proofErr w:type="spellEnd"/>
      <w:r>
        <w:rPr>
          <w:sz w:val="20"/>
          <w:szCs w:val="20"/>
          <w:rtl/>
        </w:rPr>
        <w:t xml:space="preserve">, לקבל סמיכות מגדולים שגלו לעיר מחמת המלחמה. כשבא אל ר׳ חיים </w:t>
      </w:r>
      <w:proofErr w:type="spellStart"/>
      <w:r>
        <w:rPr>
          <w:sz w:val="20"/>
          <w:szCs w:val="20"/>
          <w:rtl/>
        </w:rPr>
        <w:t>סולובייצ׳יק</w:t>
      </w:r>
      <w:proofErr w:type="spellEnd"/>
      <w:r>
        <w:rPr>
          <w:sz w:val="20"/>
          <w:szCs w:val="20"/>
          <w:rtl/>
        </w:rPr>
        <w:t xml:space="preserve"> ונשאל כיצד קיבל אותו רב מסוים, השיב: “בקרירות, מפני שאני חסיד והוא אינו חסיד.” שאל ר׳ חיים: “אם כן, מדוע באת אליי?” השיב: “מפני שאני רואה גם בך חסיד”, והחל לספר מעשה שנמסר במשפחתו ושאירע בימי ר׳ </w:t>
      </w:r>
      <w:proofErr w:type="spellStart"/>
      <w:r>
        <w:rPr>
          <w:sz w:val="20"/>
          <w:szCs w:val="20"/>
          <w:rtl/>
        </w:rPr>
        <w:t>שלמה־חיים</w:t>
      </w:r>
      <w:proofErr w:type="spellEnd"/>
      <w:r>
        <w:rPr>
          <w:sz w:val="20"/>
          <w:szCs w:val="20"/>
          <w:rtl/>
        </w:rPr>
        <w:t>.</w:t>
      </w:r>
    </w:p>
    <w:p w14:paraId="3D5C309D" w14:textId="77777777" w:rsidR="00AB3647" w:rsidRDefault="00000000">
      <w:pPr>
        <w:spacing w:after="0" w:before="0"/>
        <w:jc w:val="both"/>
      </w:pPr>
      <w:r>
        <w:rPr>
          <w:sz w:val="20"/>
          <w:szCs w:val="20"/>
          <w:rtl/>
        </w:rPr>
        <w:t xml:space="preserve">במסעותיו היה האדמו״ר מתארח בדרך כלל אצל סבו של ר׳ חיים, חותנו של ר׳ יוסף־דב. פעם אחת אמר החסיד שלא יוכל לקבל את האדמו״ר, מפני שיש ילד חולה בבית. השיב האדמו״ר: “אדרבה, קבל אותי עכשיו ותהיה כאברהם אבינו, מופת הכנסת האורחים, ותזכה לאבן הטובה שהייתה תלויה בצווארו של אבינו ושכל הרואה אותה נרפא [בבא </w:t>
      </w:r>
      <w:proofErr w:type="spellStart"/>
      <w:r>
        <w:rPr>
          <w:sz w:val="20"/>
          <w:szCs w:val="20"/>
          <w:rtl/>
        </w:rPr>
        <w:t>בתרא</w:t>
      </w:r>
      <w:proofErr w:type="spellEnd"/>
      <w:r>
        <w:rPr>
          <w:sz w:val="20"/>
          <w:szCs w:val="20"/>
          <w:rtl/>
        </w:rPr>
        <w:t xml:space="preserve"> ט״ז ע״ב].” אז קיבל אותו החסיד בסבר פנים יפות, והילד הבריא. ר׳ </w:t>
      </w:r>
      <w:proofErr w:type="spellStart"/>
      <w:r>
        <w:rPr>
          <w:sz w:val="20"/>
          <w:szCs w:val="20"/>
          <w:rtl/>
        </w:rPr>
        <w:t>מנחם־נחום</w:t>
      </w:r>
      <w:proofErr w:type="spellEnd"/>
      <w:r>
        <w:rPr>
          <w:sz w:val="20"/>
          <w:szCs w:val="20"/>
          <w:rtl/>
        </w:rPr>
        <w:t xml:space="preserve"> סיים: “אתה, ר׳ חיים, היית אותו ילד”, ור׳ חיים השיב: “כן, אמת הדבר!” אחר כך ביקש ר׳ חיים מבנו ר׳ יצחק־זאב לכתוב את הסמיכה, וחתם עליה. היא מתוארכת ט״ו בשבט תרע״ו, ומצולמת במבוא </w:t>
      </w:r>
      <w:proofErr w:type="spellStart"/>
      <w:r>
        <w:rPr>
          <w:sz w:val="20"/>
          <w:szCs w:val="20"/>
          <w:rtl/>
        </w:rPr>
        <w:t>ל“מחשבת</w:t>
      </w:r>
      <w:proofErr w:type="spellEnd"/>
      <w:r>
        <w:rPr>
          <w:sz w:val="20"/>
          <w:szCs w:val="20"/>
          <w:rtl/>
        </w:rPr>
        <w:t xml:space="preserve"> נחום” (מכון שפתי צדיקים, ירושלים, תשמ״ח).</w:t>
      </w:r>
    </w:p>
    <w:p w14:paraId="14C1D7B2" w14:textId="77777777" w:rsidR="00AB3647" w:rsidRDefault="00000000">
      <w:pPr>
        <w:spacing w:after="0" w:before="0"/>
        <w:jc w:val="both"/>
      </w:pPr>
      <w:r>
        <w:rPr>
          <w:sz w:val="20"/>
          <w:szCs w:val="20"/>
          <w:rtl/>
        </w:rPr>
        <w:t xml:space="preserve">כשסיפר ר׳ </w:t>
      </w:r>
      <w:proofErr w:type="spellStart"/>
      <w:r>
        <w:rPr>
          <w:sz w:val="20"/>
          <w:szCs w:val="20"/>
          <w:rtl/>
        </w:rPr>
        <w:t>בעריש</w:t>
      </w:r>
      <w:proofErr w:type="spellEnd"/>
      <w:r>
        <w:rPr>
          <w:sz w:val="20"/>
          <w:szCs w:val="20"/>
          <w:rtl/>
        </w:rPr>
        <w:t xml:space="preserve"> מעשה זה </w:t>
      </w:r>
      <w:proofErr w:type="spellStart"/>
      <w:r>
        <w:rPr>
          <w:sz w:val="20"/>
          <w:szCs w:val="20"/>
          <w:rtl/>
        </w:rPr>
        <w:t>לר</w:t>
      </w:r>
      <w:proofErr w:type="spellEnd"/>
      <w:r>
        <w:rPr>
          <w:sz w:val="20"/>
          <w:szCs w:val="20"/>
          <w:rtl/>
        </w:rPr>
        <w:t xml:space="preserve">׳ </w:t>
      </w:r>
      <w:proofErr w:type="spellStart"/>
      <w:r>
        <w:rPr>
          <w:sz w:val="20"/>
          <w:szCs w:val="20"/>
          <w:rtl/>
        </w:rPr>
        <w:t xml:space="preserve">יוסף־דב</w:t>
      </w:r>
      <w:proofErr w:type="spellEnd"/>
      <w:r>
        <w:rPr>
          <w:sz w:val="20"/>
          <w:szCs w:val="20"/>
          <w:rtl/>
        </w:rPr>
        <w:t xml:space="preserve"> </w:t>
      </w:r>
      <w:proofErr w:type="spellStart"/>
      <w:r>
        <w:rPr>
          <w:sz w:val="20"/>
          <w:szCs w:val="20"/>
          <w:rtl/>
        </w:rPr>
        <w:t>סולובייצ׳יק</w:t>
      </w:r>
      <w:proofErr w:type="spellEnd"/>
      <w:r>
        <w:rPr>
          <w:sz w:val="20"/>
          <w:szCs w:val="20"/>
          <w:rtl/>
        </w:rPr>
        <w:t xml:space="preserve">, סיפר לו הלה כנגדו את המעשה הבא: האדמו״ר של העיירה </w:t>
      </w:r>
      <w:proofErr w:type="spellStart"/>
      <w:r>
        <w:rPr>
          <w:sz w:val="20"/>
          <w:szCs w:val="20"/>
          <w:rtl/>
        </w:rPr>
        <w:t>קוכנוב</w:t>
      </w:r>
      <w:proofErr w:type="spellEnd"/>
      <w:r>
        <w:rPr>
          <w:sz w:val="20"/>
          <w:szCs w:val="20"/>
          <w:rtl/>
        </w:rPr>
        <w:t xml:space="preserve"> נפטר, ותושביה החליטו להיות חסידים של האדמו״ר שימצא להם רמז בתורה. ר׳ </w:t>
      </w:r>
      <w:proofErr w:type="spellStart"/>
      <w:r>
        <w:rPr>
          <w:sz w:val="20"/>
          <w:szCs w:val="20"/>
          <w:rtl/>
        </w:rPr>
        <w:t>שלמה־חיים</w:t>
      </w:r>
      <w:proofErr w:type="spellEnd"/>
      <w:r>
        <w:rPr>
          <w:sz w:val="20"/>
          <w:szCs w:val="20"/>
          <w:rtl/>
        </w:rPr>
        <w:t xml:space="preserve"> בא ואמר שראשי התיבות של בראשית מח, ט, “קחם נא אלי ואברכם”, יוצרים את המילה “</w:t>
      </w:r>
      <w:proofErr w:type="spellStart"/>
      <w:r>
        <w:rPr>
          <w:sz w:val="20"/>
          <w:szCs w:val="20"/>
          <w:rtl/>
        </w:rPr>
        <w:t>קוכנוב</w:t>
      </w:r>
      <w:proofErr w:type="spellEnd"/>
      <w:r>
        <w:rPr>
          <w:sz w:val="20"/>
          <w:szCs w:val="20"/>
          <w:rtl/>
        </w:rPr>
        <w:t xml:space="preserve">”, והם נעשו חסידי </w:t>
      </w:r>
      <w:proofErr w:type="spellStart"/>
      <w:r>
        <w:rPr>
          <w:sz w:val="20"/>
          <w:szCs w:val="20"/>
          <w:rtl/>
        </w:rPr>
        <w:t>קוידנוב</w:t>
      </w:r>
      <w:proofErr w:type="spellEnd"/>
      <w:r>
        <w:rPr>
          <w:sz w:val="20"/>
          <w:szCs w:val="20"/>
          <w:rtl/>
        </w:rPr>
        <w:t>.</w:t>
      </w:r>
    </w:p>
  </w:footnote>
  <w:footnote w:id="2328">
    <w:p w14:paraId="6B7C874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202.</w:t>
      </w:r>
    </w:p>
  </w:footnote>
  <w:footnote w:id="2329">
    <w:p w14:paraId="235E90C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שיתוף הפעולה ההדוק בין ר׳ </w:t>
      </w:r>
      <w:proofErr w:type="spellStart"/>
      <w:r>
        <w:rPr>
          <w:sz w:val="20"/>
          <w:szCs w:val="20"/>
          <w:rtl/>
        </w:rPr>
        <w:t>איצל׳ה</w:t>
      </w:r>
      <w:proofErr w:type="spellEnd"/>
      <w:r>
        <w:rPr>
          <w:sz w:val="20"/>
          <w:szCs w:val="20"/>
          <w:rtl/>
        </w:rPr>
        <w:t xml:space="preserve"> </w:t>
      </w:r>
      <w:proofErr w:type="spellStart"/>
      <w:r>
        <w:rPr>
          <w:sz w:val="20"/>
          <w:szCs w:val="20"/>
          <w:rtl/>
        </w:rPr>
        <w:t>לר</w:t>
      </w:r>
      <w:proofErr w:type="spellEnd"/>
      <w:r>
        <w:rPr>
          <w:sz w:val="20"/>
          <w:szCs w:val="20"/>
          <w:rtl/>
        </w:rPr>
        <w:t xml:space="preserve">׳ </w:t>
      </w:r>
      <w:proofErr w:type="spellStart"/>
      <w:r>
        <w:rPr>
          <w:sz w:val="20"/>
          <w:szCs w:val="20"/>
          <w:rtl/>
        </w:rPr>
        <w:t>מנחם־מנדל</w:t>
      </w:r>
      <w:proofErr w:type="spellEnd"/>
      <w:r>
        <w:rPr>
          <w:sz w:val="20"/>
          <w:szCs w:val="20"/>
          <w:rtl/>
        </w:rPr>
        <w:t xml:space="preserve"> נזכר בפרק 2, הפסקה העשרים וחמש של נספח א.</w:t>
      </w:r>
    </w:p>
  </w:footnote>
  <w:footnote w:id="2330">
    <w:p w14:paraId="7DE5D26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תהלים </w:t>
      </w:r>
      <w:proofErr w:type="spellStart"/>
      <w:r>
        <w:rPr>
          <w:sz w:val="20"/>
          <w:szCs w:val="20"/>
          <w:rtl/>
        </w:rPr>
        <w:t>יט</w:t>
      </w:r>
      <w:proofErr w:type="spellEnd"/>
      <w:r>
        <w:rPr>
          <w:sz w:val="20"/>
          <w:szCs w:val="20"/>
          <w:rtl/>
        </w:rPr>
        <w:t>, ח.</w:t>
      </w:r>
    </w:p>
  </w:footnote>
  <w:footnote w:id="2331">
    <w:p w14:paraId="74C6842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נח.</w:t>
      </w:r>
    </w:p>
  </w:footnote>
  <w:footnote w:id="2332">
    <w:p w14:paraId="7EC89D0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נזכר בפרק 1, הערה 72 – עמ׳ 305–306.</w:t>
      </w:r>
    </w:p>
  </w:footnote>
  <w:footnote w:id="2333">
    <w:p w14:paraId="713C7BF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w:t>
      </w:r>
      <w:proofErr w:type="spellStart"/>
      <w:r>
        <w:rPr>
          <w:sz w:val="20"/>
          <w:szCs w:val="20"/>
          <w:rtl/>
        </w:rPr>
        <w:t>ארחות</w:t>
      </w:r>
      <w:proofErr w:type="spellEnd"/>
      <w:r>
        <w:rPr>
          <w:sz w:val="20"/>
          <w:szCs w:val="20"/>
          <w:rtl/>
        </w:rPr>
        <w:t xml:space="preserve"> חסידיך” טועה כשהוא מציין את שני החכמים הללו כדמויות שר׳ </w:t>
      </w:r>
      <w:proofErr w:type="spellStart"/>
      <w:r>
        <w:rPr>
          <w:sz w:val="20"/>
          <w:szCs w:val="20"/>
          <w:rtl/>
        </w:rPr>
        <w:t xml:space="preserve">יוסף־דב</w:t>
      </w:r>
      <w:proofErr w:type="spellEnd"/>
      <w:r>
        <w:rPr>
          <w:sz w:val="20"/>
          <w:szCs w:val="20"/>
          <w:rtl/>
        </w:rPr>
        <w:t xml:space="preserve"> מצא דמיון בינן לבין ר׳ אהרן. “אש בנשמתו” מאת עמוס בונים (הוצאת </w:t>
      </w:r>
      <w:proofErr w:type="spellStart"/>
      <w:r>
        <w:rPr>
          <w:sz w:val="20"/>
          <w:szCs w:val="20"/>
          <w:rtl/>
        </w:rPr>
        <w:t>פלדהיים</w:t>
      </w:r>
      <w:proofErr w:type="spellEnd"/>
      <w:r>
        <w:rPr>
          <w:sz w:val="20"/>
          <w:szCs w:val="20"/>
          <w:rtl/>
        </w:rPr>
        <w:t xml:space="preserve">, ירושלים / ניו יורק, 1989), עמ׳ 365–373, מצטט את נאומו המלא של ר׳ </w:t>
      </w:r>
      <w:proofErr w:type="spellStart"/>
      <w:r>
        <w:rPr>
          <w:sz w:val="20"/>
          <w:szCs w:val="20"/>
          <w:rtl/>
        </w:rPr>
        <w:t xml:space="preserve">יוסף־דב</w:t>
      </w:r>
      <w:proofErr w:type="spellEnd"/>
      <w:r>
        <w:rPr>
          <w:sz w:val="20"/>
          <w:szCs w:val="20"/>
          <w:rtl/>
        </w:rPr>
        <w:t xml:space="preserve">, שנישא במלון </w:t>
      </w:r>
      <w:proofErr w:type="spellStart"/>
      <w:r>
        <w:rPr>
          <w:sz w:val="20"/>
          <w:szCs w:val="20"/>
          <w:rtl/>
        </w:rPr>
        <w:t>ריברסייד</w:t>
      </w:r>
      <w:proofErr w:type="spellEnd"/>
      <w:r>
        <w:rPr>
          <w:sz w:val="20"/>
          <w:szCs w:val="20"/>
          <w:rtl/>
        </w:rPr>
        <w:t xml:space="preserve"> פלאזה בניו יורק בכ״ז בטבת תשט״ז והוקלט. שני הגדולים שהזכיר היו סבו של הנואם, “ר׳ </w:t>
      </w:r>
      <w:proofErr w:type="spellStart"/>
      <w:r>
        <w:rPr>
          <w:sz w:val="20"/>
          <w:szCs w:val="20"/>
          <w:rtl/>
        </w:rPr>
        <w:t xml:space="preserve">יושע־בער</w:t>
      </w:r>
      <w:proofErr w:type="spellEnd"/>
      <w:r>
        <w:rPr>
          <w:sz w:val="20"/>
          <w:szCs w:val="20"/>
          <w:rtl/>
        </w:rPr>
        <w:t xml:space="preserve"> </w:t>
      </w:r>
      <w:proofErr w:type="spellStart"/>
      <w:r>
        <w:rPr>
          <w:sz w:val="20"/>
          <w:szCs w:val="20"/>
          <w:rtl/>
        </w:rPr>
        <w:t>בריסקער</w:t>
      </w:r>
      <w:proofErr w:type="spellEnd"/>
      <w:r>
        <w:rPr>
          <w:sz w:val="20"/>
          <w:szCs w:val="20"/>
          <w:rtl/>
        </w:rPr>
        <w:t xml:space="preserve">”, </w:t>
      </w:r>
      <w:proofErr w:type="spellStart"/>
      <w:r>
        <w:rPr>
          <w:sz w:val="20"/>
          <w:szCs w:val="20"/>
          <w:rtl/>
        </w:rPr>
        <w:t>והחתם־סופר</w:t>
      </w:r>
      <w:proofErr w:type="spellEnd"/>
      <w:r>
        <w:rPr>
          <w:sz w:val="20"/>
          <w:szCs w:val="20"/>
          <w:rtl/>
        </w:rPr>
        <w:t xml:space="preserve"> – שניהם מן המאה הקודמת, ולא מדור או שניים קודם לכן, כר׳ </w:t>
      </w:r>
      <w:proofErr w:type="spellStart"/>
      <w:r>
        <w:rPr>
          <w:sz w:val="20"/>
          <w:szCs w:val="20"/>
          <w:rtl/>
        </w:rPr>
        <w:t>ברוך־בער</w:t>
      </w:r>
      <w:proofErr w:type="spellEnd"/>
      <w:r>
        <w:rPr>
          <w:sz w:val="20"/>
          <w:szCs w:val="20"/>
          <w:rtl/>
        </w:rPr>
        <w:t xml:space="preserve"> </w:t>
      </w:r>
      <w:proofErr w:type="spellStart"/>
      <w:r>
        <w:rPr>
          <w:sz w:val="20"/>
          <w:szCs w:val="20"/>
          <w:rtl/>
        </w:rPr>
        <w:t>ליבוביץ</w:t>
      </w:r>
      <w:proofErr w:type="spellEnd"/>
      <w:r>
        <w:rPr>
          <w:sz w:val="20"/>
          <w:szCs w:val="20"/>
          <w:rtl/>
        </w:rPr>
        <w:t xml:space="preserve"> ור׳ חיים </w:t>
      </w:r>
      <w:proofErr w:type="spellStart"/>
      <w:r>
        <w:rPr>
          <w:sz w:val="20"/>
          <w:szCs w:val="20"/>
          <w:rtl/>
        </w:rPr>
        <w:t>סולובייצ׳יק</w:t>
      </w:r>
      <w:proofErr w:type="spellEnd"/>
      <w:r>
        <w:rPr>
          <w:sz w:val="20"/>
          <w:szCs w:val="20"/>
          <w:rtl/>
        </w:rPr>
        <w:t>.</w:t>
      </w:r>
    </w:p>
  </w:footnote>
  <w:footnote w:id="2334">
    <w:p w14:paraId="386D9B8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הערת השוליים הקודמת.</w:t>
      </w:r>
    </w:p>
  </w:footnote>
  <w:footnote w:id="2335">
    <w:p w14:paraId="5FF3BB2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הערה 4.</w:t>
      </w:r>
    </w:p>
  </w:footnote>
  <w:footnote w:id="2336">
    <w:p w14:paraId="245F4A0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מפי אחייניתם של השניים הראשונים ובתו של השלישי, </w:t>
      </w:r>
      <w:proofErr w:type="spellStart"/>
      <w:r>
        <w:rPr>
          <w:sz w:val="20"/>
          <w:szCs w:val="20"/>
          <w:rtl/>
        </w:rPr>
        <w:t>חיה־מרים</w:t>
      </w:r>
      <w:proofErr w:type="spellEnd"/>
      <w:r>
        <w:rPr>
          <w:sz w:val="20"/>
          <w:szCs w:val="20"/>
          <w:rtl/>
        </w:rPr>
        <w:t xml:space="preserve"> </w:t>
      </w:r>
      <w:proofErr w:type="spellStart"/>
      <w:r>
        <w:rPr>
          <w:sz w:val="20"/>
          <w:szCs w:val="20"/>
          <w:rtl/>
        </w:rPr>
        <w:t>שולמן</w:t>
      </w:r>
      <w:proofErr w:type="spellEnd"/>
      <w:r>
        <w:rPr>
          <w:sz w:val="20"/>
          <w:szCs w:val="20"/>
          <w:rtl/>
        </w:rPr>
        <w:t>, בריאיון ב־19 בינואר 1987 (ראה פרק 2, הערה 84).</w:t>
      </w:r>
    </w:p>
  </w:footnote>
  <w:footnote w:id="2337">
    <w:p w14:paraId="76A7518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אמר זאת בריאיון מוקלט עם ר׳ </w:t>
      </w:r>
      <w:proofErr w:type="spellStart"/>
      <w:r>
        <w:rPr>
          <w:sz w:val="20"/>
          <w:szCs w:val="20"/>
          <w:rtl/>
        </w:rPr>
        <w:t>ליפא</w:t>
      </w:r>
      <w:proofErr w:type="spellEnd"/>
      <w:r>
        <w:rPr>
          <w:sz w:val="20"/>
          <w:szCs w:val="20"/>
          <w:rtl/>
        </w:rPr>
        <w:t xml:space="preserve"> </w:t>
      </w:r>
      <w:proofErr w:type="spellStart"/>
      <w:r>
        <w:rPr>
          <w:sz w:val="20"/>
          <w:szCs w:val="20"/>
          <w:rtl/>
        </w:rPr>
        <w:t>גלדווערט</w:t>
      </w:r>
      <w:proofErr w:type="spellEnd"/>
      <w:r>
        <w:rPr>
          <w:sz w:val="20"/>
          <w:szCs w:val="20"/>
          <w:rtl/>
        </w:rPr>
        <w:t xml:space="preserve">, ב־14 וב־28 בדצמבר 1981, לצורך מאמר על תנועת המוסר. המאמר ראה אור </w:t>
      </w:r>
      <w:proofErr w:type="spellStart"/>
      <w:r>
        <w:rPr>
          <w:sz w:val="20"/>
          <w:szCs w:val="20"/>
          <w:rtl/>
        </w:rPr>
        <w:t>בג׳ואיש</w:t>
      </w:r>
      <w:proofErr w:type="spellEnd"/>
      <w:r>
        <w:rPr>
          <w:sz w:val="20"/>
          <w:szCs w:val="20"/>
          <w:rtl/>
        </w:rPr>
        <w:t xml:space="preserve"> </w:t>
      </w:r>
      <w:proofErr w:type="spellStart"/>
      <w:r>
        <w:rPr>
          <w:sz w:val="20"/>
          <w:szCs w:val="20"/>
          <w:rtl/>
        </w:rPr>
        <w:t>אובזרבר</w:t>
      </w:r>
      <w:proofErr w:type="spellEnd"/>
      <w:r>
        <w:rPr>
          <w:sz w:val="20"/>
          <w:szCs w:val="20"/>
          <w:rtl/>
        </w:rPr>
        <w:t xml:space="preserve"> במלאת מאה שנה לפטירת ר׳ ישראל </w:t>
      </w:r>
      <w:proofErr w:type="spellStart"/>
      <w:r>
        <w:rPr>
          <w:sz w:val="20"/>
          <w:szCs w:val="20"/>
          <w:rtl/>
        </w:rPr>
        <w:t>סלנטר</w:t>
      </w:r>
      <w:proofErr w:type="spellEnd"/>
      <w:r>
        <w:rPr>
          <w:sz w:val="20"/>
          <w:szCs w:val="20"/>
          <w:rtl/>
        </w:rPr>
        <w:t xml:space="preserve"> (אדר ב׳ תשמ״ד). השווה גם פרק 2, הפסקה השנייה של נספח א, ופרק 4, סוף נספח </w:t>
      </w:r>
      <w:proofErr w:type="spellStart"/>
      <w:r>
        <w:rPr>
          <w:sz w:val="20"/>
          <w:szCs w:val="20"/>
          <w:rtl/>
        </w:rPr>
        <w:t>יג</w:t>
      </w:r>
      <w:proofErr w:type="spellEnd"/>
      <w:r>
        <w:rPr>
          <w:sz w:val="20"/>
          <w:szCs w:val="20"/>
          <w:rtl/>
        </w:rPr>
        <w:t>, על דעת רבנו בעניין דאגתו של ר׳ ישראל לנוכח ההשכלה.</w:t>
      </w:r>
    </w:p>
  </w:footnote>
  <w:footnote w:id="2338">
    <w:p w14:paraId="0BF0366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הפסקה הראשונה של נספח ח לעיל – חלק ב, עמ׳ </w:t>
      </w:r>
      <w:proofErr w:type="spellStart"/>
      <w:r>
        <w:rPr>
          <w:sz w:val="20"/>
          <w:szCs w:val="20"/>
          <w:rtl/>
        </w:rPr>
        <w:t>קעא</w:t>
      </w:r>
      <w:proofErr w:type="spellEnd"/>
      <w:r>
        <w:rPr>
          <w:sz w:val="20"/>
          <w:szCs w:val="20"/>
          <w:rtl/>
        </w:rPr>
        <w:t>.</w:t>
      </w:r>
    </w:p>
  </w:footnote>
  <w:footnote w:id="2339">
    <w:p w14:paraId="1963353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לעיל – עמ׳ 210.</w:t>
      </w:r>
    </w:p>
  </w:footnote>
  <w:footnote w:id="2340">
    <w:p w14:paraId="0DFDD3E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211–212.</w:t>
      </w:r>
    </w:p>
  </w:footnote>
  <w:footnote w:id="2341">
    <w:p w14:paraId="5DB80D7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14 לעיל – עמ׳ 377–378.</w:t>
      </w:r>
    </w:p>
  </w:footnote>
  <w:footnote w:id="2342">
    <w:p w14:paraId="78E9EE1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יצא לאור בשנת תרי״ז. ראה גם סוף נספח </w:t>
      </w:r>
      <w:proofErr w:type="spellStart"/>
      <w:r>
        <w:rPr>
          <w:sz w:val="20"/>
          <w:szCs w:val="20"/>
          <w:rtl/>
        </w:rPr>
        <w:t>יב</w:t>
      </w:r>
      <w:proofErr w:type="spellEnd"/>
      <w:r>
        <w:rPr>
          <w:sz w:val="20"/>
          <w:szCs w:val="20"/>
          <w:rtl/>
        </w:rPr>
        <w:t xml:space="preserve"> לעיל.</w:t>
      </w:r>
    </w:p>
  </w:footnote>
  <w:footnote w:id="2343">
    <w:p w14:paraId="4160C4D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אסף ופירש בן ציון דינור (מוסד ביאליק, ירושלים, תש״ל) – עמ׳ 22, מכתב 10 (והערה 10).</w:t>
      </w:r>
    </w:p>
  </w:footnote>
  <w:footnote w:id="2344">
    <w:p w14:paraId="386C8B7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2345">
    <w:p w14:paraId="372FAE9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לעיל – עמ׳ 158–159.</w:t>
      </w:r>
    </w:p>
  </w:footnote>
  <w:footnote w:id="2346">
    <w:p w14:paraId="3B48FC6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341–342.</w:t>
      </w:r>
    </w:p>
  </w:footnote>
  <w:footnote w:id="2347">
    <w:p w14:paraId="7A08657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כץ, “תנועת המוסר”, כרך א, עמ׳ 228.</w:t>
      </w:r>
    </w:p>
  </w:footnote>
  <w:footnote w:id="2348">
    <w:p w14:paraId="2F2A7DB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הדבר אינו בהקלטת הריאיון על תנועת המוסר, אלא נמסר לי מפי המראיין בעל פה ב־11 בינואר 1988.</w:t>
      </w:r>
    </w:p>
  </w:footnote>
  <w:footnote w:id="2349">
    <w:p w14:paraId="0C24F74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הערה 21.</w:t>
      </w:r>
    </w:p>
  </w:footnote>
  <w:footnote w:id="2350">
    <w:p w14:paraId="012FEC1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337–338.</w:t>
      </w:r>
    </w:p>
  </w:footnote>
  <w:footnote w:id="2351">
    <w:p w14:paraId="2680DAC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14 לעיל – עמ׳ 100–101.</w:t>
      </w:r>
    </w:p>
  </w:footnote>
  <w:footnote w:id="2352">
    <w:p w14:paraId="3856463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2, הערה 96.</w:t>
      </w:r>
    </w:p>
  </w:footnote>
  <w:footnote w:id="2353">
    <w:p w14:paraId="60D047E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נזכר בפרק 1, נספח א – עמ׳ 164.</w:t>
      </w:r>
    </w:p>
  </w:footnote>
  <w:footnote w:id="2354">
    <w:p w14:paraId="3162D5E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ללא ציון מקום, ישראל, 1963.</w:t>
      </w:r>
    </w:p>
  </w:footnote>
  <w:footnote w:id="2355">
    <w:p w14:paraId="37B43A0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גם להלן עוד על התנהגותו האדוקה של הרופא </w:t>
      </w:r>
      <w:proofErr w:type="spellStart"/>
      <w:r>
        <w:rPr>
          <w:sz w:val="20"/>
          <w:szCs w:val="20"/>
          <w:rtl/>
        </w:rPr>
        <w:t>בנובהרדוק</w:t>
      </w:r>
      <w:proofErr w:type="spellEnd"/>
      <w:r>
        <w:rPr>
          <w:sz w:val="20"/>
          <w:szCs w:val="20"/>
          <w:rtl/>
        </w:rPr>
        <w:t xml:space="preserve">, כפי שמסופר </w:t>
      </w:r>
      <w:proofErr w:type="spellStart"/>
      <w:r>
        <w:rPr>
          <w:sz w:val="20"/>
          <w:szCs w:val="20"/>
          <w:rtl/>
        </w:rPr>
        <w:t>ב“ספר</w:t>
      </w:r>
      <w:proofErr w:type="spellEnd"/>
      <w:r>
        <w:rPr>
          <w:sz w:val="20"/>
          <w:szCs w:val="20"/>
          <w:rtl/>
        </w:rPr>
        <w:t xml:space="preserve"> </w:t>
      </w:r>
      <w:proofErr w:type="spellStart"/>
      <w:r>
        <w:rPr>
          <w:sz w:val="20"/>
          <w:szCs w:val="20"/>
          <w:rtl/>
        </w:rPr>
        <w:t>הזכרונות</w:t>
      </w:r>
      <w:proofErr w:type="spellEnd"/>
      <w:r>
        <w:rPr>
          <w:sz w:val="20"/>
          <w:szCs w:val="20"/>
          <w:rtl/>
        </w:rPr>
        <w:t>”.</w:t>
      </w:r>
    </w:p>
  </w:footnote>
  <w:footnote w:id="2356">
    <w:p w14:paraId="18242E1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לשון נקייה לטומאה המוחלטת השורה בבית הקברות לפי ההלכה.</w:t>
      </w:r>
    </w:p>
  </w:footnote>
  <w:footnote w:id="2357">
    <w:p w14:paraId="3F07E2C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שני.</w:t>
      </w:r>
    </w:p>
  </w:footnote>
  <w:footnote w:id="2358">
    <w:p w14:paraId="2C9379E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לפי “</w:t>
      </w:r>
      <w:proofErr w:type="spellStart"/>
      <w:r>
        <w:rPr>
          <w:sz w:val="20"/>
          <w:szCs w:val="20"/>
          <w:rtl/>
        </w:rPr>
        <w:t>זכרון</w:t>
      </w:r>
      <w:proofErr w:type="spellEnd"/>
      <w:r>
        <w:rPr>
          <w:sz w:val="20"/>
          <w:szCs w:val="20"/>
          <w:rtl/>
        </w:rPr>
        <w:t xml:space="preserve"> יעקב” (נספח א לעיל), כרך א, עמ׳ 38, “סופרים יודעי דבר החליטו שאחרי כן החלה ברוסיה תקופה חדשה”. השווה שם, כרך ב, עמ׳ 2–10, לפרטים על השינויים שחלו ברוסיה לאחר מלחמת קרים.</w:t>
      </w:r>
    </w:p>
  </w:footnote>
  <w:footnote w:id="2359">
    <w:p w14:paraId="30B97B8D"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rFonts w:ascii="David" w:eastAsia="David" w:hAnsi="David" w:cs="David"/>
          <w:sz w:val="20"/>
          <w:szCs w:val="20"/>
          <w:rtl/>
        </w:rPr>
        <w:t xml:space="preserve"/>
      </w:r>
      <w:r>
        <w:rPr>
          <w:b/>
          <w:color w:val="000000"/>
          <w:sz w:val="20"/>
          <w:szCs w:val="20"/>
          <w:rtl/>
        </w:rPr>
        <w:t xml:space="preserve">הערת המתרגם: </w:t>
      </w:r>
      <w:r>
        <w:rPr>
          <w:sz w:val="20"/>
          <w:szCs w:val="20"/>
          <w:rtl/>
        </w:rPr>
        <w:t>אוסטריה לא צידדה ברוסיה במלחמת קרים אלא הפעילה עליה לחץ (ראה הערת המתרגם להלן, בנספח זה). גם השם “</w:t>
      </w:r>
      <w:proofErr w:type="spellStart"/>
      <w:r>
        <w:rPr>
          <w:sz w:val="20"/>
          <w:szCs w:val="20"/>
          <w:rtl/>
        </w:rPr>
        <w:t>אוסטרו־הונגריה</w:t>
      </w:r>
      <w:proofErr w:type="spellEnd"/>
      <w:r>
        <w:rPr>
          <w:sz w:val="20"/>
          <w:szCs w:val="20"/>
          <w:rtl/>
        </w:rPr>
        <w:t>” אינו מתאים לתקופה, כי המדינה נקראה כך רק משנת תרכ״ז.</w:t>
      </w:r>
    </w:p>
  </w:footnote>
  <w:footnote w:id="2360">
    <w:p w14:paraId="56C58CC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המחבר אינו מגלה – או לא שמע – לאיזה תחום ביקש האח להיכנס.</w:t>
      </w:r>
    </w:p>
  </w:footnote>
  <w:footnote w:id="2361">
    <w:p w14:paraId="73B60C0C"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אוסטריה לא הייתה בת בריתה של רוסיה במלחמת קרים אלא נותרה </w:t>
      </w:r>
      <w:proofErr w:type="spellStart"/>
      <w:r>
        <w:rPr>
          <w:sz w:val="20"/>
          <w:szCs w:val="20"/>
          <w:rtl/>
        </w:rPr>
        <w:t>נייטרלית</w:t>
      </w:r>
      <w:proofErr w:type="spellEnd"/>
      <w:r>
        <w:rPr>
          <w:sz w:val="20"/>
          <w:szCs w:val="20"/>
          <w:rtl/>
        </w:rPr>
        <w:t xml:space="preserve">, והפעילה עליה לחץ: </w:t>
      </w:r>
      <w:proofErr w:type="spellStart"/>
      <w:r>
        <w:rPr>
          <w:sz w:val="20"/>
          <w:szCs w:val="20"/>
          <w:rtl/>
        </w:rPr>
        <w:t>בתרי״ד</w:t>
      </w:r>
      <w:proofErr w:type="spellEnd"/>
      <w:r>
        <w:rPr>
          <w:sz w:val="20"/>
          <w:szCs w:val="20"/>
          <w:rtl/>
        </w:rPr>
        <w:t xml:space="preserve"> דרשה את נסיגתה מנסיכויות הדנובה, ובכסלו תרט״ו חתמה על ברית עם בריטניה וצרפת.</w:t>
      </w:r>
    </w:p>
  </w:footnote>
  <w:footnote w:id="2362">
    <w:p w14:paraId="29F9283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6 לעיל – עמ׳ 79.</w:t>
      </w:r>
    </w:p>
  </w:footnote>
  <w:footnote w:id="2363">
    <w:p w14:paraId="56878EC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הערת שוליים שם.</w:t>
      </w:r>
    </w:p>
  </w:footnote>
  <w:footnote w:id="2364">
    <w:p w14:paraId="297D643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178.</w:t>
      </w:r>
    </w:p>
  </w:footnote>
  <w:footnote w:id="2365">
    <w:p w14:paraId="4A7AC92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שמע את הסיפור בגרסת “ספר </w:t>
      </w:r>
      <w:proofErr w:type="spellStart"/>
      <w:r>
        <w:rPr>
          <w:sz w:val="20"/>
          <w:szCs w:val="20"/>
          <w:rtl/>
        </w:rPr>
        <w:t>הזכרונות</w:t>
      </w:r>
      <w:proofErr w:type="spellEnd"/>
      <w:r>
        <w:rPr>
          <w:sz w:val="20"/>
          <w:szCs w:val="20"/>
          <w:rtl/>
        </w:rPr>
        <w:t xml:space="preserve">” שהובאה לעיל, דהיינו </w:t>
      </w:r>
      <w:proofErr w:type="spellStart"/>
      <w:r>
        <w:rPr>
          <w:sz w:val="20"/>
          <w:szCs w:val="20"/>
          <w:rtl/>
        </w:rPr>
        <w:t>שה“אח</w:t>
      </w:r>
      <w:proofErr w:type="spellEnd"/>
      <w:r>
        <w:rPr>
          <w:sz w:val="20"/>
          <w:szCs w:val="20"/>
          <w:rtl/>
        </w:rPr>
        <w:t xml:space="preserve">” שהתפקר נשאר בקלקלתו, וגם שמע שהאח היה קשור </w:t>
      </w:r>
      <w:proofErr w:type="spellStart"/>
      <w:r>
        <w:rPr>
          <w:sz w:val="20"/>
          <w:szCs w:val="20"/>
          <w:rtl/>
        </w:rPr>
        <w:t>לר</w:t>
      </w:r>
      <w:proofErr w:type="spellEnd"/>
      <w:r>
        <w:rPr>
          <w:sz w:val="20"/>
          <w:szCs w:val="20"/>
          <w:rtl/>
        </w:rPr>
        <w:t xml:space="preserve">׳ ישראל </w:t>
      </w:r>
      <w:proofErr w:type="spellStart"/>
      <w:r>
        <w:rPr>
          <w:sz w:val="20"/>
          <w:szCs w:val="20"/>
          <w:rtl/>
        </w:rPr>
        <w:t>מסלנט</w:t>
      </w:r>
      <w:proofErr w:type="spellEnd"/>
      <w:r>
        <w:rPr>
          <w:sz w:val="20"/>
          <w:szCs w:val="20"/>
          <w:rtl/>
        </w:rPr>
        <w:t>.</w:t>
      </w:r>
    </w:p>
  </w:footnote>
  <w:footnote w:id="2366">
    <w:p w14:paraId="6384C7D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לפי “</w:t>
      </w:r>
      <w:proofErr w:type="spellStart"/>
      <w:r>
        <w:rPr>
          <w:sz w:val="20"/>
          <w:szCs w:val="20"/>
          <w:rtl/>
        </w:rPr>
        <w:t>ארחות</w:t>
      </w:r>
      <w:proofErr w:type="spellEnd"/>
      <w:r>
        <w:rPr>
          <w:sz w:val="20"/>
          <w:szCs w:val="20"/>
          <w:rtl/>
        </w:rPr>
        <w:t xml:space="preserve"> חסידיך” (הפסקה השישית של נספח </w:t>
      </w:r>
      <w:proofErr w:type="spellStart"/>
      <w:r>
        <w:rPr>
          <w:sz w:val="20"/>
          <w:szCs w:val="20"/>
          <w:rtl/>
        </w:rPr>
        <w:t>יח</w:t>
      </w:r>
      <w:proofErr w:type="spellEnd"/>
      <w:r>
        <w:rPr>
          <w:sz w:val="20"/>
          <w:szCs w:val="20"/>
          <w:rtl/>
        </w:rPr>
        <w:t xml:space="preserve"> לעיל), עמ׳ 268–270, מפי ר׳ שלום </w:t>
      </w:r>
      <w:proofErr w:type="spellStart"/>
      <w:r>
        <w:rPr>
          <w:sz w:val="20"/>
          <w:szCs w:val="20"/>
          <w:rtl/>
        </w:rPr>
        <w:t>שבדרון</w:t>
      </w:r>
      <w:proofErr w:type="spellEnd"/>
      <w:r>
        <w:rPr>
          <w:sz w:val="20"/>
          <w:szCs w:val="20"/>
          <w:rtl/>
        </w:rPr>
        <w:t>.</w:t>
      </w:r>
    </w:p>
  </w:footnote>
  <w:footnote w:id="2367">
    <w:p w14:paraId="77F2A28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שם על הלקח המעניין העולה מן המעשה.</w:t>
      </w:r>
    </w:p>
  </w:footnote>
  <w:footnote w:id="2368">
    <w:p w14:paraId="3251C35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שמואל ב יא, כה.</w:t>
      </w:r>
    </w:p>
  </w:footnote>
  <w:footnote w:id="2369">
    <w:p w14:paraId="05C0111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א לעיל – עמ׳ קיא, אות קיד, במדור שכותרתו “שיחות חפץ חיים” (רשם </w:t>
      </w:r>
      <w:proofErr w:type="spellStart"/>
      <w:r>
        <w:rPr>
          <w:sz w:val="20"/>
          <w:szCs w:val="20"/>
          <w:rtl/>
        </w:rPr>
        <w:t>מענדיל</w:t>
      </w:r>
      <w:proofErr w:type="spellEnd"/>
      <w:r>
        <w:rPr>
          <w:sz w:val="20"/>
          <w:szCs w:val="20"/>
          <w:rtl/>
        </w:rPr>
        <w:t xml:space="preserve"> </w:t>
      </w:r>
      <w:proofErr w:type="spellStart"/>
      <w:r>
        <w:rPr>
          <w:sz w:val="20"/>
          <w:szCs w:val="20"/>
          <w:rtl/>
        </w:rPr>
        <w:t>וואלקעניקער</w:t>
      </w:r>
      <w:proofErr w:type="spellEnd"/>
      <w:r>
        <w:rPr>
          <w:sz w:val="20"/>
          <w:szCs w:val="20"/>
          <w:rtl/>
        </w:rPr>
        <w:t>).</w:t>
      </w:r>
    </w:p>
  </w:footnote>
  <w:footnote w:id="2370">
    <w:p w14:paraId="345B639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התרגום המילולי של מילים אלה הוא ‘לייפות’.</w:t>
      </w:r>
    </w:p>
  </w:footnote>
  <w:footnote w:id="2371">
    <w:p w14:paraId="310843F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הייתה זו </w:t>
      </w:r>
      <w:proofErr w:type="spellStart"/>
      <w:r>
        <w:rPr>
          <w:sz w:val="20"/>
          <w:szCs w:val="20"/>
          <w:rtl/>
        </w:rPr>
        <w:t>נחמה־ליבה</w:t>
      </w:r>
      <w:proofErr w:type="spellEnd"/>
      <w:r>
        <w:rPr>
          <w:sz w:val="20"/>
          <w:szCs w:val="20"/>
          <w:rtl/>
        </w:rPr>
        <w:t xml:space="preserve">, שנישאה </w:t>
      </w:r>
      <w:proofErr w:type="spellStart"/>
      <w:r>
        <w:rPr>
          <w:sz w:val="20"/>
          <w:szCs w:val="20"/>
          <w:rtl/>
        </w:rPr>
        <w:t>לר</w:t>
      </w:r>
      <w:proofErr w:type="spellEnd"/>
      <w:r>
        <w:rPr>
          <w:sz w:val="20"/>
          <w:szCs w:val="20"/>
          <w:rtl/>
        </w:rPr>
        <w:t xml:space="preserve">׳ הירש </w:t>
      </w:r>
      <w:proofErr w:type="spellStart"/>
      <w:r>
        <w:rPr>
          <w:sz w:val="20"/>
          <w:szCs w:val="20"/>
          <w:rtl/>
        </w:rPr>
        <w:t>ברוידא</w:t>
      </w:r>
      <w:proofErr w:type="spellEnd"/>
      <w:r>
        <w:rPr>
          <w:sz w:val="20"/>
          <w:szCs w:val="20"/>
          <w:rtl/>
        </w:rPr>
        <w:t xml:space="preserve">. אבי הכיר אותה מתקופת שהותו בת חצי השנה </w:t>
      </w:r>
      <w:proofErr w:type="spellStart"/>
      <w:r>
        <w:rPr>
          <w:sz w:val="20"/>
          <w:szCs w:val="20"/>
          <w:rtl/>
        </w:rPr>
        <w:t>בקלם</w:t>
      </w:r>
      <w:proofErr w:type="spellEnd"/>
      <w:r>
        <w:rPr>
          <w:sz w:val="20"/>
          <w:szCs w:val="20"/>
          <w:rtl/>
        </w:rPr>
        <w:t>. ראה כרך 2.</w:t>
      </w:r>
    </w:p>
  </w:footnote>
  <w:footnote w:id="2372">
    <w:p w14:paraId="25251A3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נספח </w:t>
      </w:r>
      <w:proofErr w:type="spellStart"/>
      <w:r>
        <w:rPr>
          <w:sz w:val="20"/>
          <w:szCs w:val="20"/>
          <w:rtl/>
        </w:rPr>
        <w:t>כג</w:t>
      </w:r>
      <w:proofErr w:type="spellEnd"/>
      <w:r>
        <w:rPr>
          <w:sz w:val="20"/>
          <w:szCs w:val="20"/>
          <w:rtl/>
        </w:rPr>
        <w:t xml:space="preserve"> להלן.</w:t>
      </w:r>
    </w:p>
  </w:footnote>
  <w:footnote w:id="2373">
    <w:p w14:paraId="1B6BEA5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30–35, 43 ו־46.</w:t>
      </w:r>
    </w:p>
  </w:footnote>
  <w:footnote w:id="2374">
    <w:p w14:paraId="1609686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42–47.</w:t>
      </w:r>
    </w:p>
  </w:footnote>
  <w:footnote w:id="2375">
    <w:p w14:paraId="01F68FE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המילים המצוטטות הן חלק מפסוק אחד בבראשית מט, טו, שהמחבר החיל על מהלך שלם של מאורעות; לפיכך כינה בדרך משל את שלוש המילים המקראיות ‘פרשה’.</w:t>
      </w:r>
    </w:p>
  </w:footnote>
  <w:footnote w:id="2376">
    <w:p w14:paraId="6AFC81D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35.</w:t>
      </w:r>
    </w:p>
  </w:footnote>
  <w:footnote w:id="2377">
    <w:p w14:paraId="740EE46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הערה 56, שאכן היה יכול לצאת מגדרו בכעס.</w:t>
      </w:r>
    </w:p>
  </w:footnote>
  <w:footnote w:id="2378">
    <w:p w14:paraId="7A5D7AE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ב־3 בינואר 1992.</w:t>
      </w:r>
    </w:p>
  </w:footnote>
  <w:footnote w:id="2379">
    <w:p w14:paraId="6F415D1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פרק 4, נספח ו.</w:t>
      </w:r>
    </w:p>
  </w:footnote>
  <w:footnote w:id="2380">
    <w:p w14:paraId="399C2AF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2.</w:t>
      </w:r>
    </w:p>
  </w:footnote>
  <w:footnote w:id="2381">
    <w:p w14:paraId="3729452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5.1.</w:t>
      </w:r>
    </w:p>
  </w:footnote>
  <w:footnote w:id="2382">
    <w:p w14:paraId="454FF4C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53.</w:t>
      </w:r>
    </w:p>
  </w:footnote>
  <w:footnote w:id="2383">
    <w:p w14:paraId="276EC59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הערה 117.</w:t>
      </w:r>
    </w:p>
  </w:footnote>
  <w:footnote w:id="2384">
    <w:p w14:paraId="5FA02F3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5, סוף הערה 53.</w:t>
      </w:r>
    </w:p>
  </w:footnote>
  <w:footnote w:id="2385">
    <w:p w14:paraId="1F41262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ר׳ ישראל </w:t>
      </w:r>
      <w:proofErr w:type="spellStart"/>
      <w:r>
        <w:rPr>
          <w:sz w:val="20"/>
          <w:szCs w:val="20"/>
          <w:rtl/>
        </w:rPr>
        <w:t>שורין</w:t>
      </w:r>
      <w:proofErr w:type="spellEnd"/>
      <w:r>
        <w:rPr>
          <w:sz w:val="20"/>
          <w:szCs w:val="20"/>
          <w:rtl/>
        </w:rPr>
        <w:t>, ריאיון ב־16 ביוני 2000.</w:t>
      </w:r>
    </w:p>
  </w:footnote>
  <w:footnote w:id="2386">
    <w:p w14:paraId="21609A3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32.</w:t>
      </w:r>
    </w:p>
  </w:footnote>
  <w:footnote w:id="2387">
    <w:p w14:paraId="12088B0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מעמ׳ 53 שם (עמ׳ </w:t>
      </w:r>
      <w:r>
        <w:rPr>
          <w:rStyle w:val="a5"/>
          <w:sz w:val="20"/>
          <w:szCs w:val="20"/>
          <w:vertAlign w:val="baseline"/>
          <w:rtl/>
        </w:rPr>
        <w:fldChar w:fldCharType="begin" w:dirty="true"/>
      </w:r>
      <w:r>
        <w:rPr>
          <w:rStyle w:val="a5"/>
          <w:sz w:val="20"/>
          <w:szCs w:val="20"/>
          <w:vertAlign w:val="baseline"/>
          <w:rtl/>
        </w:rPr>
        <w:instrText xml:space="preserve"> PAGEREF pr_f_2276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 xml:space="preserve">, הערת שוליים </w:t>
      </w:r>
      <w:r>
        <w:rPr>
          <w:rStyle w:val="a5"/>
          <w:sz w:val="20"/>
          <w:szCs w:val="20"/>
          <w:vertAlign w:val="baseline"/>
          <w:rtl/>
        </w:rPr>
        <w:fldChar w:fldCharType="begin" w:dirty="true"/>
      </w:r>
      <w:r>
        <w:rPr>
          <w:rStyle w:val="a5"/>
          <w:sz w:val="20"/>
          <w:szCs w:val="20"/>
          <w:vertAlign w:val="baseline"/>
          <w:rtl/>
        </w:rPr>
        <w:instrText xml:space="preserve"> NOTEREF pr_f_2276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1322</w:t>
      </w:r>
      <w:r>
        <w:rPr>
          <w:rStyle w:val="a5"/>
          <w:sz w:val="20"/>
          <w:szCs w:val="20"/>
          <w:vertAlign w:val="baseline"/>
          <w:rtl/>
        </w:rPr>
        <w:fldChar w:fldCharType="end"/>
      </w:r>
      <w:r>
        <w:rPr>
          <w:rStyle w:val="a5"/>
          <w:sz w:val="20"/>
          <w:szCs w:val="20"/>
          <w:vertAlign w:val="baseline"/>
          <w:rtl/>
        </w:rPr>
        <w:t xml:space="preserve"> לעיל</w:t>
      </w:r>
      <w:r>
        <w:rPr>
          <w:sz w:val="20"/>
          <w:szCs w:val="20"/>
          <w:rtl/>
        </w:rPr>
        <w:t>).</w:t>
      </w:r>
    </w:p>
  </w:footnote>
  <w:footnote w:id="2388">
    <w:p w14:paraId="6CCAE9C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ירחון ירושלמי המוקדש </w:t>
      </w:r>
      <w:proofErr w:type="spellStart"/>
      <w:r>
        <w:rPr>
          <w:sz w:val="20"/>
          <w:szCs w:val="20"/>
          <w:rtl/>
        </w:rPr>
        <w:t>ל“חידושי</w:t>
      </w:r>
      <w:proofErr w:type="spellEnd"/>
      <w:r>
        <w:rPr>
          <w:sz w:val="20"/>
          <w:szCs w:val="20"/>
          <w:rtl/>
        </w:rPr>
        <w:t xml:space="preserve"> תורה הלכה ואגדה וספרות תורנית”.</w:t>
      </w:r>
    </w:p>
  </w:footnote>
  <w:footnote w:id="2389">
    <w:p w14:paraId="3F776DC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כט</w:t>
      </w:r>
      <w:proofErr w:type="spellEnd"/>
      <w:r>
        <w:rPr>
          <w:sz w:val="20"/>
          <w:szCs w:val="20"/>
          <w:rtl/>
        </w:rPr>
        <w:t>–ל.</w:t>
      </w:r>
    </w:p>
  </w:footnote>
  <w:footnote w:id="2390">
    <w:p w14:paraId="63BA65B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“אדם ונוף בקיבוץ” (הוצאת הקיבוץ הארצי השומר הצעיר, תשכ״ח), מאת אליהו פורת, אחד משני בניו של הרב </w:t>
      </w:r>
      <w:proofErr w:type="spellStart"/>
      <w:r>
        <w:rPr>
          <w:sz w:val="20"/>
          <w:szCs w:val="20"/>
          <w:rtl/>
        </w:rPr>
        <w:t>יוסלביץ</w:t>
      </w:r>
      <w:proofErr w:type="spellEnd"/>
      <w:r>
        <w:rPr>
          <w:sz w:val="20"/>
          <w:szCs w:val="20"/>
          <w:rtl/>
        </w:rPr>
        <w:t>, עמ׳ 11–20. השווה גם נספח לד להלן: לאחר מלחמת העולם הראשונה “רבים מהרבנים המתנגדים הודיעו בפירוש שהם חוזרים מדעתם”.</w:t>
      </w:r>
    </w:p>
  </w:footnote>
  <w:footnote w:id="2391">
    <w:p w14:paraId="00DC3CA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ז לעיל – עמ׳ לה.</w:t>
      </w:r>
    </w:p>
  </w:footnote>
  <w:footnote w:id="2392">
    <w:p w14:paraId="1C10789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נולד </w:t>
      </w:r>
      <w:proofErr w:type="spellStart"/>
      <w:r>
        <w:rPr>
          <w:sz w:val="20"/>
          <w:szCs w:val="20"/>
          <w:rtl/>
        </w:rPr>
        <w:t>בתרל״א</w:t>
      </w:r>
      <w:proofErr w:type="spellEnd"/>
      <w:r>
        <w:rPr>
          <w:sz w:val="20"/>
          <w:szCs w:val="20"/>
          <w:rtl/>
        </w:rPr>
        <w:t>, והיה מן התלמידים הראשונים של הסבא.</w:t>
      </w:r>
    </w:p>
  </w:footnote>
  <w:footnote w:id="2393">
    <w:p w14:paraId="3EEFE89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לט–מ ולה.</w:t>
      </w:r>
    </w:p>
  </w:footnote>
  <w:footnote w:id="2394">
    <w:p w14:paraId="14BBC29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ב־3 בנובמבר 1996.</w:t>
      </w:r>
    </w:p>
  </w:footnote>
  <w:footnote w:id="2395">
    <w:p w14:paraId="0225CEA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ו לעיל.</w:t>
      </w:r>
    </w:p>
  </w:footnote>
  <w:footnote w:id="2396">
    <w:p w14:paraId="7F760A2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ברכות ח ע״א. השווה גם פרק 4, סוף הערה 20.</w:t>
      </w:r>
    </w:p>
  </w:footnote>
  <w:footnote w:id="2397">
    <w:p w14:paraId="6E6F5A9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הערה 117.</w:t>
      </w:r>
    </w:p>
  </w:footnote>
  <w:footnote w:id="2398">
    <w:p w14:paraId="40F2880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תאריכים אלה מובאים בתולדותיו שבפתח כרך כתביו, “מנחת יוסף”, שהוציא חתנו, הרב דוד ליפשיץ, בירושלים </w:t>
      </w:r>
      <w:proofErr w:type="spellStart"/>
      <w:r>
        <w:rPr>
          <w:sz w:val="20"/>
          <w:szCs w:val="20"/>
          <w:rtl/>
        </w:rPr>
        <w:t>בתשמ״ט</w:t>
      </w:r>
      <w:proofErr w:type="spellEnd"/>
      <w:r>
        <w:rPr>
          <w:sz w:val="20"/>
          <w:szCs w:val="20"/>
          <w:rtl/>
        </w:rPr>
        <w:t>.</w:t>
      </w:r>
    </w:p>
  </w:footnote>
  <w:footnote w:id="2399">
    <w:p w14:paraId="335856A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24.</w:t>
      </w:r>
    </w:p>
  </w:footnote>
  <w:footnote w:id="2400">
    <w:p w14:paraId="5F01C2D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51.</w:t>
      </w:r>
    </w:p>
  </w:footnote>
  <w:footnote w:id="2401">
    <w:p w14:paraId="619BF74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ב־5 בינואר 1992.</w:t>
      </w:r>
    </w:p>
  </w:footnote>
  <w:footnote w:id="2402">
    <w:p w14:paraId="376A952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ג לעיל – גיליון סיוון תש״ז.</w:t>
      </w:r>
    </w:p>
  </w:footnote>
  <w:footnote w:id="2403">
    <w:p w14:paraId="0EE970C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מידע זה מסר לי ר׳ מאיר חדש – הערה 68 בפרק זה.</w:t>
      </w:r>
    </w:p>
  </w:footnote>
  <w:footnote w:id="2404">
    <w:p w14:paraId="2C99750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ריאיון ב־3 בנובמבר 1995. ראה גם הערת שוליים </w:t>
      </w:r>
      <w:r>
        <w:rPr>
          <w:sz w:val="20"/>
          <w:szCs w:val="20"/>
          <w:rtl/>
        </w:rPr>
        <w:fldChar w:fldCharType="begin" w:dirty="true"/>
      </w:r>
      <w:r>
        <w:rPr>
          <w:sz w:val="20"/>
          <w:szCs w:val="20"/>
          <w:rtl/>
        </w:rPr>
        <w:instrText xml:space="preserve"> NOTEREF pr_f_1145 \h </w:instrText>
      </w:r>
      <w:r>
        <w:rPr>
          <w:sz w:val="20"/>
          <w:szCs w:val="20"/>
          <w:rtl/>
        </w:rPr>
      </w:r>
      <w:r>
        <w:rPr>
          <w:sz w:val="20"/>
          <w:szCs w:val="20"/>
          <w:rtl/>
        </w:rPr>
        <w:fldChar w:fldCharType="separate"/>
      </w:r>
      <w:r w:rsidR="007923E9">
        <w:rPr>
          <w:sz w:val="20"/>
          <w:szCs w:val="20"/>
          <w:rtl/>
        </w:rPr>
        <w:t>187</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pr_f_1145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לעיל.</w:t>
      </w:r>
    </w:p>
  </w:footnote>
  <w:footnote w:id="2405">
    <w:p w14:paraId="162BD12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2, הערה 61.</w:t>
      </w:r>
    </w:p>
  </w:footnote>
  <w:footnote w:id="2406">
    <w:p w14:paraId="2A04B5A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4, הערה 106. פרק 16 בספרו של כץ, “תנועת המוסר”, כרך ה, מוקדש </w:t>
      </w:r>
      <w:proofErr w:type="spellStart"/>
      <w:r>
        <w:rPr>
          <w:sz w:val="20"/>
          <w:szCs w:val="20"/>
          <w:rtl/>
        </w:rPr>
        <w:t>לר</w:t>
      </w:r>
      <w:proofErr w:type="spellEnd"/>
      <w:r>
        <w:rPr>
          <w:sz w:val="20"/>
          <w:szCs w:val="20"/>
          <w:rtl/>
        </w:rPr>
        <w:t>׳ אליעזר לופט.</w:t>
      </w:r>
    </w:p>
  </w:footnote>
  <w:footnote w:id="2407">
    <w:p w14:paraId="11BA207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למקרה דומה ראה הערת שוליים </w:t>
      </w:r>
      <w:r>
        <w:rPr>
          <w:sz w:val="20"/>
          <w:szCs w:val="20"/>
          <w:rtl/>
        </w:rPr>
        <w:fldChar w:fldCharType="begin" w:dirty="true"/>
      </w:r>
      <w:r>
        <w:rPr>
          <w:sz w:val="20"/>
          <w:szCs w:val="20"/>
          <w:rtl/>
        </w:rPr>
        <w:instrText xml:space="preserve"> NOTEREF pr_f_5045 \h </w:instrText>
      </w:r>
      <w:r>
        <w:rPr>
          <w:sz w:val="20"/>
          <w:szCs w:val="20"/>
          <w:rtl/>
        </w:rPr>
      </w:r>
      <w:r>
        <w:rPr>
          <w:sz w:val="20"/>
          <w:szCs w:val="20"/>
          <w:rtl/>
        </w:rPr>
        <w:fldChar w:fldCharType="separate"/>
      </w:r>
      <w:r w:rsidR="007923E9">
        <w:rPr>
          <w:sz w:val="20"/>
          <w:szCs w:val="20"/>
          <w:rtl/>
        </w:rPr>
        <w:t>699</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pr_f_5045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בכרך זה.</w:t>
      </w:r>
    </w:p>
  </w:footnote>
  <w:footnote w:id="2408">
    <w:p w14:paraId="2C7B2ED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כרך 2, שבו מתואר כיצד הצטלבו דרכיהם של ר׳ </w:t>
      </w:r>
      <w:proofErr w:type="spellStart"/>
      <w:r>
        <w:rPr>
          <w:sz w:val="20"/>
          <w:szCs w:val="20"/>
          <w:rtl/>
        </w:rPr>
        <w:t>ישראל־זיסל</w:t>
      </w:r>
      <w:proofErr w:type="spellEnd"/>
      <w:r>
        <w:rPr>
          <w:sz w:val="20"/>
          <w:szCs w:val="20"/>
          <w:rtl/>
        </w:rPr>
        <w:t xml:space="preserve"> </w:t>
      </w:r>
      <w:proofErr w:type="spellStart"/>
      <w:r>
        <w:rPr>
          <w:sz w:val="20"/>
          <w:szCs w:val="20"/>
          <w:rtl/>
        </w:rPr>
        <w:t>דבורץ</w:t>
      </w:r>
      <w:proofErr w:type="spellEnd"/>
      <w:r>
        <w:rPr>
          <w:sz w:val="20"/>
          <w:szCs w:val="20"/>
          <w:rtl/>
        </w:rPr>
        <w:t xml:space="preserve"> ואבי פעמיים – במינסק, בדרך חזרה </w:t>
      </w:r>
      <w:proofErr w:type="spellStart"/>
      <w:r>
        <w:rPr>
          <w:sz w:val="20"/>
          <w:szCs w:val="20"/>
          <w:rtl/>
        </w:rPr>
        <w:t>מקרמנצ׳וג</w:t>
      </w:r>
      <w:proofErr w:type="spellEnd"/>
      <w:r>
        <w:rPr>
          <w:sz w:val="20"/>
          <w:szCs w:val="20"/>
          <w:rtl/>
        </w:rPr>
        <w:t xml:space="preserve">, ובעיר </w:t>
      </w:r>
      <w:proofErr w:type="spellStart"/>
      <w:r>
        <w:rPr>
          <w:sz w:val="20"/>
          <w:szCs w:val="20"/>
          <w:rtl/>
        </w:rPr>
        <w:t>יעזנה</w:t>
      </w:r>
      <w:proofErr w:type="spellEnd"/>
      <w:r>
        <w:rPr>
          <w:sz w:val="20"/>
          <w:szCs w:val="20"/>
          <w:rtl/>
        </w:rPr>
        <w:t xml:space="preserve">, שבה היה רבנו מועמד למלא את מקומו של ר׳ </w:t>
      </w:r>
      <w:proofErr w:type="spellStart"/>
      <w:r>
        <w:rPr>
          <w:sz w:val="20"/>
          <w:szCs w:val="20"/>
          <w:rtl/>
        </w:rPr>
        <w:t>ישראל־זיסל</w:t>
      </w:r>
      <w:proofErr w:type="spellEnd"/>
      <w:r>
        <w:rPr>
          <w:sz w:val="20"/>
          <w:szCs w:val="20"/>
          <w:rtl/>
        </w:rPr>
        <w:t xml:space="preserve"> כרב.</w:t>
      </w:r>
    </w:p>
  </w:footnote>
  <w:footnote w:id="2409">
    <w:p w14:paraId="0CC008B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34–36.</w:t>
      </w:r>
    </w:p>
  </w:footnote>
  <w:footnote w:id="2410">
    <w:p w14:paraId="3E1BAAA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56 לעיל.</w:t>
      </w:r>
    </w:p>
  </w:footnote>
  <w:footnote w:id="2411">
    <w:p w14:paraId="466D9AE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49.</w:t>
      </w:r>
    </w:p>
  </w:footnote>
  <w:footnote w:id="2412">
    <w:p w14:paraId="75DCADD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52.</w:t>
      </w:r>
    </w:p>
  </w:footnote>
  <w:footnote w:id="2413">
    <w:p w14:paraId="2E06F39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י לעיל.</w:t>
      </w:r>
    </w:p>
  </w:footnote>
  <w:footnote w:id="2414">
    <w:p w14:paraId="5BBBCEE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54.</w:t>
      </w:r>
    </w:p>
  </w:footnote>
  <w:footnote w:id="2415">
    <w:p w14:paraId="4EFC849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122.</w:t>
      </w:r>
    </w:p>
  </w:footnote>
  <w:footnote w:id="2416">
    <w:p w14:paraId="4876D86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53–54.</w:t>
      </w:r>
    </w:p>
  </w:footnote>
  <w:footnote w:id="2417">
    <w:p w14:paraId="125837C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הפסקה השלישית בנספח הקודם.</w:t>
      </w:r>
    </w:p>
  </w:footnote>
  <w:footnote w:id="2418">
    <w:p w14:paraId="5D601FF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55.</w:t>
      </w:r>
    </w:p>
  </w:footnote>
  <w:footnote w:id="2419">
    <w:p w14:paraId="4BB6FE5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סוף הערה 120 בפרק זה ופרק 4, הערה 96.</w:t>
      </w:r>
    </w:p>
  </w:footnote>
  <w:footnote w:id="2420">
    <w:p w14:paraId="4647ADD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מכתב זה מצוטט בחלקו בפרק 4, הערה 55.</w:t>
      </w:r>
    </w:p>
  </w:footnote>
  <w:footnote w:id="2421">
    <w:p w14:paraId="46E3E17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5, נספח ז.</w:t>
      </w:r>
    </w:p>
  </w:footnote>
  <w:footnote w:id="2422">
    <w:p w14:paraId="2F4DC1C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ז לעיל – עמ׳ </w:t>
      </w:r>
      <w:proofErr w:type="spellStart"/>
      <w:r>
        <w:rPr>
          <w:sz w:val="20"/>
          <w:szCs w:val="20"/>
          <w:rtl/>
        </w:rPr>
        <w:t>קעז</w:t>
      </w:r>
      <w:proofErr w:type="spellEnd"/>
      <w:r>
        <w:rPr>
          <w:sz w:val="20"/>
          <w:szCs w:val="20"/>
          <w:rtl/>
        </w:rPr>
        <w:t>.</w:t>
      </w:r>
    </w:p>
  </w:footnote>
  <w:footnote w:id="2423">
    <w:p w14:paraId="55102C4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רמט</w:t>
      </w:r>
      <w:proofErr w:type="spellEnd"/>
      <w:r>
        <w:rPr>
          <w:sz w:val="20"/>
          <w:szCs w:val="20"/>
          <w:rtl/>
        </w:rPr>
        <w:t>.</w:t>
      </w:r>
    </w:p>
  </w:footnote>
  <w:footnote w:id="2424">
    <w:p w14:paraId="687EE3E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עמ׳ יא </w:t>
      </w:r>
      <w:proofErr w:type="spellStart"/>
      <w:r>
        <w:rPr>
          <w:sz w:val="20"/>
          <w:szCs w:val="20"/>
          <w:rtl/>
        </w:rPr>
        <w:t>ב“קונטרס</w:t>
      </w:r>
      <w:proofErr w:type="spellEnd"/>
      <w:r>
        <w:rPr>
          <w:sz w:val="20"/>
          <w:szCs w:val="20"/>
          <w:rtl/>
        </w:rPr>
        <w:t xml:space="preserve"> האדם ביקר”, שמחברו לא נזכר אך ידוע שהוא ר׳ שלמה </w:t>
      </w:r>
      <w:proofErr w:type="spellStart"/>
      <w:r>
        <w:rPr>
          <w:sz w:val="20"/>
          <w:szCs w:val="20"/>
          <w:rtl/>
        </w:rPr>
        <w:t>וולבה</w:t>
      </w:r>
      <w:proofErr w:type="spellEnd"/>
      <w:r>
        <w:rPr>
          <w:sz w:val="20"/>
          <w:szCs w:val="20"/>
          <w:rtl/>
        </w:rPr>
        <w:t>, שיצא בהוצאת בית המוסר מיסודה של תנועת שוחרי מוסר, ירושלים עיה״ק, תשמ״ג.</w:t>
      </w:r>
    </w:p>
  </w:footnote>
  <w:footnote w:id="2425">
    <w:p w14:paraId="66FACFE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ב־31 באוגוסט 1992.</w:t>
      </w:r>
    </w:p>
  </w:footnote>
  <w:footnote w:id="2426">
    <w:p w14:paraId="3F07358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הפסקה השלישית בנספח יד לעיל.</w:t>
      </w:r>
    </w:p>
  </w:footnote>
  <w:footnote w:id="2427">
    <w:p w14:paraId="129D36A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כששמעתי דברים אלה, </w:t>
      </w:r>
      <w:proofErr w:type="spellStart"/>
      <w:r>
        <w:rPr>
          <w:sz w:val="20"/>
          <w:szCs w:val="20"/>
          <w:rtl/>
        </w:rPr>
        <w:t>העירותי</w:t>
      </w:r>
      <w:proofErr w:type="spellEnd"/>
      <w:r>
        <w:rPr>
          <w:sz w:val="20"/>
          <w:szCs w:val="20"/>
          <w:rtl/>
        </w:rPr>
        <w:t xml:space="preserve"> שהרב דב כץ, בהקדישו מחצית הכרך הרביעי של ספרו “תנועת המוסר” </w:t>
      </w:r>
      <w:proofErr w:type="spellStart"/>
      <w:r>
        <w:rPr>
          <w:sz w:val="20"/>
          <w:szCs w:val="20"/>
          <w:rtl/>
        </w:rPr>
        <w:t>לחפץ־חיים</w:t>
      </w:r>
      <w:proofErr w:type="spellEnd"/>
      <w:r>
        <w:rPr>
          <w:sz w:val="20"/>
          <w:szCs w:val="20"/>
          <w:rtl/>
        </w:rPr>
        <w:t xml:space="preserve">, ניסה “להפוך” בכוח את </w:t>
      </w:r>
      <w:proofErr w:type="spellStart"/>
      <w:r>
        <w:rPr>
          <w:sz w:val="20"/>
          <w:szCs w:val="20"/>
          <w:rtl/>
        </w:rPr>
        <w:t>החפץ־חיים</w:t>
      </w:r>
      <w:proofErr w:type="spellEnd"/>
      <w:r>
        <w:rPr>
          <w:sz w:val="20"/>
          <w:szCs w:val="20"/>
          <w:rtl/>
        </w:rPr>
        <w:t xml:space="preserve"> לבעל מוסר – והמרואיין הסכים. בהוספת שם נכבד זה לרשימת אישי המוסר, האדיר הרב כץ, התומך במוסר, את התנועה לדורות, במתכוון או שלא במתכוון.</w:t>
      </w:r>
    </w:p>
  </w:footnote>
  <w:footnote w:id="2428">
    <w:p w14:paraId="3445E6B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55–56.</w:t>
      </w:r>
    </w:p>
  </w:footnote>
  <w:footnote w:id="2429">
    <w:p w14:paraId="78B058E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29 לעיל.</w:t>
      </w:r>
    </w:p>
  </w:footnote>
  <w:footnote w:id="2430">
    <w:p w14:paraId="204FD47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אבות פ״א מי״א.</w:t>
      </w:r>
    </w:p>
  </w:footnote>
  <w:footnote w:id="2431">
    <w:p w14:paraId="3196896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הפסקה השנייה בנספח י לעיל, בדבר ענייני לוויות בישיבת </w:t>
      </w:r>
      <w:proofErr w:type="spellStart"/>
      <w:r>
        <w:rPr>
          <w:sz w:val="20"/>
          <w:szCs w:val="20"/>
          <w:rtl/>
        </w:rPr>
        <w:t>סלבודקה</w:t>
      </w:r>
      <w:proofErr w:type="spellEnd"/>
      <w:r>
        <w:rPr>
          <w:sz w:val="20"/>
          <w:szCs w:val="20"/>
          <w:rtl/>
        </w:rPr>
        <w:t>.</w:t>
      </w:r>
    </w:p>
  </w:footnote>
  <w:footnote w:id="2432">
    <w:p w14:paraId="7722531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ב־15 באוקטובר 2000.</w:t>
      </w:r>
    </w:p>
  </w:footnote>
  <w:footnote w:id="2433">
    <w:p w14:paraId="7ADB74C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המרואיין לא היה בטוח מתי אירע הדבר: בתקופת כהונתו הראשונה של ר׳ ירוחם כמשגיח בישיבת </w:t>
      </w:r>
      <w:proofErr w:type="spellStart"/>
      <w:r>
        <w:rPr>
          <w:sz w:val="20"/>
          <w:szCs w:val="20"/>
          <w:rtl/>
        </w:rPr>
        <w:t>מיר</w:t>
      </w:r>
      <w:proofErr w:type="spellEnd"/>
      <w:r>
        <w:rPr>
          <w:sz w:val="20"/>
          <w:szCs w:val="20"/>
          <w:rtl/>
        </w:rPr>
        <w:t xml:space="preserve">, לאחר שעזב את </w:t>
      </w:r>
      <w:proofErr w:type="spellStart"/>
      <w:r>
        <w:rPr>
          <w:sz w:val="20"/>
          <w:szCs w:val="20"/>
          <w:rtl/>
        </w:rPr>
        <w:t>ראדין</w:t>
      </w:r>
      <w:proofErr w:type="spellEnd"/>
      <w:r>
        <w:rPr>
          <w:sz w:val="20"/>
          <w:szCs w:val="20"/>
          <w:rtl/>
        </w:rPr>
        <w:t xml:space="preserve"> – כלומר לפני מלחמת העולם הראשונה, כשכיהן ר׳ </w:t>
      </w:r>
      <w:proofErr w:type="spellStart"/>
      <w:r>
        <w:rPr>
          <w:sz w:val="20"/>
          <w:szCs w:val="20"/>
          <w:rtl/>
        </w:rPr>
        <w:t>אליהו־ברוך</w:t>
      </w:r>
      <w:proofErr w:type="spellEnd"/>
      <w:r>
        <w:rPr>
          <w:sz w:val="20"/>
          <w:szCs w:val="20"/>
          <w:rtl/>
        </w:rPr>
        <w:t xml:space="preserve"> קמאי כרבה של </w:t>
      </w:r>
      <w:proofErr w:type="spellStart"/>
      <w:r>
        <w:rPr>
          <w:sz w:val="20"/>
          <w:szCs w:val="20"/>
          <w:rtl/>
        </w:rPr>
        <w:t>מיר</w:t>
      </w:r>
      <w:proofErr w:type="spellEnd"/>
      <w:r>
        <w:rPr>
          <w:sz w:val="20"/>
          <w:szCs w:val="20"/>
          <w:rtl/>
        </w:rPr>
        <w:t xml:space="preserve"> – או בתקופת כהונתו השנייה של המשגיח, שהחלה </w:t>
      </w:r>
      <w:proofErr w:type="spellStart"/>
      <w:r>
        <w:rPr>
          <w:sz w:val="20"/>
          <w:szCs w:val="20"/>
          <w:rtl/>
        </w:rPr>
        <w:t>בתרפ״ג</w:t>
      </w:r>
      <w:proofErr w:type="spellEnd"/>
      <w:r>
        <w:rPr>
          <w:sz w:val="20"/>
          <w:szCs w:val="20"/>
          <w:rtl/>
        </w:rPr>
        <w:t xml:space="preserve"> או </w:t>
      </w:r>
      <w:proofErr w:type="spellStart"/>
      <w:r>
        <w:rPr>
          <w:sz w:val="20"/>
          <w:szCs w:val="20"/>
          <w:rtl/>
        </w:rPr>
        <w:t>בתרפ״ד</w:t>
      </w:r>
      <w:proofErr w:type="spellEnd"/>
      <w:r>
        <w:rPr>
          <w:sz w:val="20"/>
          <w:szCs w:val="20"/>
          <w:rtl/>
        </w:rPr>
        <w:t xml:space="preserve"> (ראה עמ׳ </w:t>
      </w:r>
      <w:r>
        <w:rPr>
          <w:sz w:val="20"/>
          <w:szCs w:val="20"/>
          <w:rtl/>
        </w:rPr>
        <w:fldChar w:fldCharType="begin" w:dirty="true"/>
      </w:r>
      <w:r>
        <w:rPr>
          <w:sz w:val="20"/>
          <w:szCs w:val="20"/>
          <w:rtl/>
        </w:rPr>
        <w:instrText xml:space="preserve"> PAGEREF pr_b_1310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r>
        <w:rPr>
          <w:sz w:val="20"/>
          <w:szCs w:val="20"/>
          <w:rtl/>
        </w:rPr>
        <w:fldChar w:fldCharType="begin" w:dirty="true"/>
      </w:r>
      <w:r>
        <w:rPr>
          <w:sz w:val="20"/>
          <w:szCs w:val="20"/>
          <w:rtl/>
        </w:rPr>
        <w:instrText xml:space="preserve"> PAGEREF pr_b_1311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לעיל), כשכיהן ר׳ </w:t>
      </w:r>
      <w:proofErr w:type="spellStart"/>
      <w:r>
        <w:rPr>
          <w:sz w:val="20"/>
          <w:szCs w:val="20"/>
          <w:rtl/>
        </w:rPr>
        <w:t>אברהם־צבי</w:t>
      </w:r>
      <w:proofErr w:type="spellEnd"/>
      <w:r>
        <w:rPr>
          <w:sz w:val="20"/>
          <w:szCs w:val="20"/>
          <w:rtl/>
        </w:rPr>
        <w:t xml:space="preserve"> קמאי כרב.</w:t>
      </w:r>
    </w:p>
    <w:p w14:paraId="501C9A4A" w14:textId="77777777" w:rsidR="00AB3647" w:rsidRDefault="00000000">
      <w:pPr>
        <w:spacing w:after="0" w:before="0"/>
        <w:jc w:val="both"/>
      </w:pPr>
      <w:r>
        <w:rPr>
          <w:sz w:val="20"/>
          <w:szCs w:val="20"/>
          <w:rtl/>
        </w:rPr>
        <w:t xml:space="preserve">מבין שני הרבנים הנזכרים, ר׳ </w:t>
      </w:r>
      <w:proofErr w:type="spellStart"/>
      <w:r>
        <w:rPr>
          <w:sz w:val="20"/>
          <w:szCs w:val="20"/>
          <w:rtl/>
        </w:rPr>
        <w:t>אליהו־ברוך</w:t>
      </w:r>
      <w:proofErr w:type="spellEnd"/>
      <w:r>
        <w:rPr>
          <w:sz w:val="20"/>
          <w:szCs w:val="20"/>
          <w:rtl/>
        </w:rPr>
        <w:t xml:space="preserve"> היה פחות בקי במנהגי הישיבות. מצד שני, מפתיע שבתקופה שלפני המלחמה, כשמעמדם החברתי של הרבנים היה גבוה ממעמד ראשי הישיבות (השווה פרק 4, הפסקה הראשונה בנספח </w:t>
      </w:r>
      <w:proofErr w:type="spellStart"/>
      <w:r>
        <w:rPr>
          <w:sz w:val="20"/>
          <w:szCs w:val="20"/>
          <w:rtl/>
        </w:rPr>
        <w:t>יב</w:t>
      </w:r>
      <w:proofErr w:type="spellEnd"/>
      <w:r>
        <w:rPr>
          <w:sz w:val="20"/>
          <w:szCs w:val="20"/>
          <w:rtl/>
        </w:rPr>
        <w:t xml:space="preserve">), היו הישיבות עצמאיות דיין ליצור אמות מידה הלכתיות משלהן. כמו כן, ר׳ </w:t>
      </w:r>
      <w:proofErr w:type="spellStart"/>
      <w:r>
        <w:rPr>
          <w:sz w:val="20"/>
          <w:szCs w:val="20"/>
          <w:rtl/>
        </w:rPr>
        <w:t>אברהם־צבי</w:t>
      </w:r>
      <w:proofErr w:type="spellEnd"/>
      <w:r>
        <w:rPr>
          <w:sz w:val="20"/>
          <w:szCs w:val="20"/>
          <w:rtl/>
        </w:rPr>
        <w:t>, שהיה רב צעיר שנתמנה זה מקרוב, היה נוטה יותר לוותר בנקודה הלכתית מפני התעקשותו של ר׳ ירוחם.</w:t>
      </w:r>
    </w:p>
  </w:footnote>
  <w:footnote w:id="2434">
    <w:p w14:paraId="7457DD2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ב־16 באוקטובר 2000.</w:t>
      </w:r>
    </w:p>
  </w:footnote>
  <w:footnote w:id="2435">
    <w:p w14:paraId="69CCEE7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w:t>
      </w:r>
      <w:proofErr w:type="spellStart"/>
      <w:r>
        <w:rPr>
          <w:sz w:val="20"/>
          <w:szCs w:val="20"/>
          <w:rtl/>
        </w:rPr>
        <w:t>או״ח</w:t>
      </w:r>
      <w:proofErr w:type="spellEnd"/>
      <w:r>
        <w:rPr>
          <w:sz w:val="20"/>
          <w:szCs w:val="20"/>
          <w:rtl/>
        </w:rPr>
        <w:t xml:space="preserve"> סי׳ תרנ״ח ס״ב ובמשנה ברורה </w:t>
      </w:r>
      <w:proofErr w:type="spellStart"/>
      <w:r>
        <w:rPr>
          <w:sz w:val="20"/>
          <w:szCs w:val="20"/>
          <w:rtl/>
        </w:rPr>
        <w:t>ס״ק</w:t>
      </w:r>
      <w:proofErr w:type="spellEnd"/>
      <w:r>
        <w:rPr>
          <w:sz w:val="20"/>
          <w:szCs w:val="20"/>
          <w:rtl/>
        </w:rPr>
        <w:t xml:space="preserve"> ח: מבחינה הלכתית צרופה, הפוסקים מחשיבים אכילה לפני קיום מצוות היום לחמורה ביום טוב שני כמו ביום הראשון. אבי התכוון שהרב </w:t>
      </w:r>
      <w:proofErr w:type="spellStart"/>
      <w:r>
        <w:rPr>
          <w:sz w:val="20"/>
          <w:szCs w:val="20"/>
          <w:rtl/>
        </w:rPr>
        <w:t>הענקין</w:t>
      </w:r>
      <w:proofErr w:type="spellEnd"/>
      <w:r>
        <w:rPr>
          <w:sz w:val="20"/>
          <w:szCs w:val="20"/>
          <w:rtl/>
        </w:rPr>
        <w:t xml:space="preserve"> יתנגד פחות.</w:t>
      </w:r>
    </w:p>
  </w:footnote>
  <w:footnote w:id="2436">
    <w:p w14:paraId="75E4893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קנח.</w:t>
      </w:r>
    </w:p>
  </w:footnote>
  <w:footnote w:id="2437">
    <w:p w14:paraId="5B71023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ט לעיל – עמ׳ רז, מאמר מאת </w:t>
      </w:r>
      <w:proofErr w:type="spellStart"/>
      <w:r>
        <w:rPr>
          <w:sz w:val="20"/>
          <w:szCs w:val="20"/>
          <w:rtl/>
        </w:rPr>
        <w:t>א.י.ב</w:t>
      </w:r>
      <w:proofErr w:type="spellEnd"/>
      <w:r>
        <w:rPr>
          <w:sz w:val="20"/>
          <w:szCs w:val="20"/>
          <w:rtl/>
        </w:rPr>
        <w:t xml:space="preserve">. </w:t>
      </w:r>
      <w:proofErr w:type="spellStart"/>
      <w:r>
        <w:rPr>
          <w:sz w:val="20"/>
          <w:szCs w:val="20"/>
          <w:rtl/>
        </w:rPr>
        <w:t>אמטרמן</w:t>
      </w:r>
      <w:proofErr w:type="spellEnd"/>
      <w:r>
        <w:rPr>
          <w:sz w:val="20"/>
          <w:szCs w:val="20"/>
          <w:rtl/>
        </w:rPr>
        <w:t>. השווה גם פרק 5, סוף הפסקה הראשונה בנספח ו.</w:t>
      </w:r>
    </w:p>
  </w:footnote>
  <w:footnote w:id="2438">
    <w:p w14:paraId="196E959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51 לעיל.</w:t>
      </w:r>
    </w:p>
  </w:footnote>
  <w:footnote w:id="2439">
    <w:p w14:paraId="426D1EF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40 לעיל.</w:t>
      </w:r>
    </w:p>
  </w:footnote>
  <w:footnote w:id="2440">
    <w:p w14:paraId="6F48C4A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הפסקה הרביעית בנספח </w:t>
      </w:r>
      <w:proofErr w:type="spellStart"/>
      <w:r>
        <w:rPr>
          <w:sz w:val="20"/>
          <w:szCs w:val="20"/>
          <w:rtl/>
        </w:rPr>
        <w:t>יח</w:t>
      </w:r>
      <w:proofErr w:type="spellEnd"/>
      <w:r>
        <w:rPr>
          <w:sz w:val="20"/>
          <w:szCs w:val="20"/>
          <w:rtl/>
        </w:rPr>
        <w:t xml:space="preserve"> לעיל. ראה גם הערה 79 בפרק זה.</w:t>
      </w:r>
    </w:p>
  </w:footnote>
  <w:footnote w:id="2441">
    <w:p w14:paraId="55AD81A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ב־8 ביוני 1994.</w:t>
      </w:r>
    </w:p>
  </w:footnote>
  <w:footnote w:id="2442">
    <w:p w14:paraId="7C54B47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289.</w:t>
      </w:r>
    </w:p>
  </w:footnote>
  <w:footnote w:id="2443">
    <w:p w14:paraId="589C4BA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ריאיון ב־29 ביולי 1991. הוא אחיינו של ר׳ מרדכי </w:t>
      </w:r>
      <w:proofErr w:type="spellStart"/>
      <w:r>
        <w:rPr>
          <w:sz w:val="20"/>
          <w:szCs w:val="20"/>
          <w:rtl/>
        </w:rPr>
        <w:t>קרלינסקי</w:t>
      </w:r>
      <w:proofErr w:type="spellEnd"/>
      <w:r>
        <w:rPr>
          <w:sz w:val="20"/>
          <w:szCs w:val="20"/>
          <w:rtl/>
        </w:rPr>
        <w:t>, הנזכר בתחילת הפסקה השנייה בנספח זה.</w:t>
      </w:r>
    </w:p>
  </w:footnote>
  <w:footnote w:id="2444">
    <w:p w14:paraId="7F0EA9B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סוף נספח </w:t>
      </w:r>
      <w:proofErr w:type="spellStart"/>
      <w:r>
        <w:rPr>
          <w:sz w:val="20"/>
          <w:szCs w:val="20"/>
          <w:rtl/>
        </w:rPr>
        <w:t>יז</w:t>
      </w:r>
      <w:proofErr w:type="spellEnd"/>
      <w:r>
        <w:rPr>
          <w:sz w:val="20"/>
          <w:szCs w:val="20"/>
          <w:rtl/>
        </w:rPr>
        <w:t xml:space="preserve"> לעיל.</w:t>
      </w:r>
    </w:p>
  </w:footnote>
  <w:footnote w:id="2445">
    <w:p w14:paraId="7091DB3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השלישית בנספח יד לעיל.</w:t>
      </w:r>
    </w:p>
  </w:footnote>
  <w:footnote w:id="2446">
    <w:p w14:paraId="269307F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גם תחילת נספח לו להלן.</w:t>
      </w:r>
    </w:p>
  </w:footnote>
  <w:footnote w:id="2447">
    <w:p w14:paraId="71A5AA3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ח לעיל.</w:t>
      </w:r>
    </w:p>
  </w:footnote>
  <w:footnote w:id="2448">
    <w:p w14:paraId="7B7F896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אליהו סיים: “אבל אני לא שיניתי את שלי.” השווה גם פרק 5, נספח א להלן, וכרך 2 בדבר התעניינותו של אבי במעבר </w:t>
      </w:r>
      <w:proofErr w:type="spellStart"/>
      <w:r>
        <w:rPr>
          <w:sz w:val="20"/>
          <w:szCs w:val="20"/>
          <w:rtl/>
        </w:rPr>
        <w:t>לטלז</w:t>
      </w:r>
      <w:proofErr w:type="spellEnd"/>
      <w:r>
        <w:rPr>
          <w:sz w:val="20"/>
          <w:szCs w:val="20"/>
          <w:rtl/>
        </w:rPr>
        <w:t>.</w:t>
      </w:r>
    </w:p>
  </w:footnote>
  <w:footnote w:id="2449">
    <w:p w14:paraId="66C7C9E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ב־15 בנובמבר 1987.</w:t>
      </w:r>
    </w:p>
  </w:footnote>
  <w:footnote w:id="2450">
    <w:p w14:paraId="199887E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היא הוסיפה: “הם היו כמו אחים. וכשעמדתי לעזוב את ליטא ואמרתי לאבי שארוסי מטיל ספק בקשר הזה, הוציא ממגירתו צרור מכתבים של הרב קפלן, מסרם לי ואמר: ‘הראי אותם </w:t>
      </w:r>
      <w:proofErr w:type="spellStart"/>
      <w:r>
        <w:rPr>
          <w:sz w:val="20"/>
          <w:szCs w:val="20"/>
          <w:rtl/>
        </w:rPr>
        <w:t>לר</w:t>
      </w:r>
      <w:proofErr w:type="spellEnd"/>
      <w:r>
        <w:rPr>
          <w:sz w:val="20"/>
          <w:szCs w:val="20"/>
          <w:rtl/>
        </w:rPr>
        <w:t>׳ שניאור.’” בזכות מעשה זה הוצאו המכתבים מליטא לפני הפלישה הגרמנית, וניצלו לדורות.</w:t>
      </w:r>
    </w:p>
  </w:footnote>
  <w:footnote w:id="2451">
    <w:p w14:paraId="0BA216C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288–289.</w:t>
      </w:r>
    </w:p>
  </w:footnote>
  <w:footnote w:id="2452">
    <w:p w14:paraId="6450F88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שם את פירושו המיוחד של הסבא למאמר חז״ל – ברכות מג, סוף ע״ב – הנראה כמגנה יציבה זו: “המהלך בקומה זקופה וכו׳ כאילו דוחק רגלי השכינה”.</w:t>
      </w:r>
    </w:p>
  </w:footnote>
  <w:footnote w:id="2453">
    <w:p w14:paraId="115A64C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ב־25 בדצמבר 1987.</w:t>
      </w:r>
    </w:p>
  </w:footnote>
  <w:footnote w:id="2454">
    <w:p w14:paraId="53D7E53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כרך 2.</w:t>
      </w:r>
    </w:p>
  </w:footnote>
  <w:footnote w:id="2455">
    <w:p w14:paraId="1C80D25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הפסקה הראשונה בנספח ה לעיל – </w:t>
      </w:r>
      <w:proofErr w:type="spellStart"/>
      <w:r>
        <w:rPr>
          <w:sz w:val="20"/>
          <w:szCs w:val="20"/>
          <w:rtl/>
        </w:rPr>
        <w:t>ח״ב</w:t>
      </w:r>
      <w:proofErr w:type="spellEnd"/>
      <w:r>
        <w:rPr>
          <w:sz w:val="20"/>
          <w:szCs w:val="20"/>
          <w:rtl/>
        </w:rPr>
        <w:t>, עמ׳ קמה.</w:t>
      </w:r>
    </w:p>
  </w:footnote>
  <w:footnote w:id="2456">
    <w:p w14:paraId="1512DE6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ישעיה ו, ג. מאמר חז״ל הוא בבראשית רבה ח, ט, וסיומו: ‘מה עשה הקדוש ב״ה הפיל עליו תרדמה וידעו </w:t>
      </w:r>
      <w:proofErr w:type="spellStart"/>
      <w:r>
        <w:rPr>
          <w:sz w:val="20"/>
          <w:szCs w:val="20"/>
          <w:rtl/>
        </w:rPr>
        <w:t>הכל</w:t>
      </w:r>
      <w:proofErr w:type="spellEnd"/>
      <w:r>
        <w:rPr>
          <w:sz w:val="20"/>
          <w:szCs w:val="20"/>
          <w:rtl/>
        </w:rPr>
        <w:t xml:space="preserve"> שהוא אדם’.</w:t>
      </w:r>
    </w:p>
  </w:footnote>
  <w:footnote w:id="2457">
    <w:p w14:paraId="0FEBCE9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ב לעיל – עמ׳ </w:t>
      </w:r>
      <w:proofErr w:type="spellStart"/>
      <w:r>
        <w:rPr>
          <w:sz w:val="20"/>
          <w:szCs w:val="20"/>
          <w:rtl/>
        </w:rPr>
        <w:t>שכז</w:t>
      </w:r>
      <w:proofErr w:type="spellEnd"/>
      <w:r>
        <w:rPr>
          <w:sz w:val="20"/>
          <w:szCs w:val="20"/>
          <w:rtl/>
        </w:rPr>
        <w:t>.</w:t>
      </w:r>
    </w:p>
  </w:footnote>
  <w:footnote w:id="2458">
    <w:p w14:paraId="6462672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37.</w:t>
      </w:r>
    </w:p>
  </w:footnote>
  <w:footnote w:id="2459">
    <w:p w14:paraId="2E1B2DC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13 בנובמבר 1991.</w:t>
      </w:r>
    </w:p>
  </w:footnote>
  <w:footnote w:id="2460">
    <w:p w14:paraId="63B7645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לעיל.</w:t>
      </w:r>
    </w:p>
  </w:footnote>
  <w:footnote w:id="2461">
    <w:p w14:paraId="0D91108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לעיל.</w:t>
      </w:r>
    </w:p>
  </w:footnote>
  <w:footnote w:id="2462">
    <w:p w14:paraId="1135053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16 באדר א׳ תשמ״ו.</w:t>
      </w:r>
    </w:p>
  </w:footnote>
  <w:footnote w:id="2463">
    <w:p w14:paraId="3A15922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עירובין </w:t>
      </w:r>
      <w:proofErr w:type="spellStart"/>
      <w:r>
        <w:rPr>
          <w:sz w:val="20"/>
          <w:szCs w:val="20"/>
          <w:rtl/>
        </w:rPr>
        <w:t>כב</w:t>
      </w:r>
      <w:proofErr w:type="spellEnd"/>
      <w:r>
        <w:rPr>
          <w:sz w:val="20"/>
          <w:szCs w:val="20"/>
          <w:rtl/>
        </w:rPr>
        <w:t xml:space="preserve"> ע״א.</w:t>
      </w:r>
    </w:p>
  </w:footnote>
  <w:footnote w:id="2464">
    <w:p w14:paraId="6893C79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הפסקה השלישית בנספח </w:t>
      </w:r>
      <w:proofErr w:type="spellStart"/>
      <w:r>
        <w:rPr>
          <w:sz w:val="20"/>
          <w:szCs w:val="20"/>
          <w:rtl/>
        </w:rPr>
        <w:t>יח</w:t>
      </w:r>
      <w:proofErr w:type="spellEnd"/>
      <w:r>
        <w:rPr>
          <w:sz w:val="20"/>
          <w:szCs w:val="20"/>
          <w:rtl/>
        </w:rPr>
        <w:t xml:space="preserve"> לעיל.</w:t>
      </w:r>
    </w:p>
  </w:footnote>
  <w:footnote w:id="2465">
    <w:p w14:paraId="085CD04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24 במאי 1987.</w:t>
      </w:r>
    </w:p>
  </w:footnote>
  <w:footnote w:id="2466">
    <w:p w14:paraId="6BAE5D1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כץ, “תנועת המוסר”, כרך ג, עמ׳ 89, </w:t>
      </w:r>
      <w:proofErr w:type="spellStart"/>
      <w:r>
        <w:rPr>
          <w:sz w:val="20"/>
          <w:szCs w:val="20"/>
          <w:rtl/>
        </w:rPr>
        <w:t>ודבורץ</w:t>
      </w:r>
      <w:proofErr w:type="spellEnd"/>
      <w:r>
        <w:rPr>
          <w:sz w:val="20"/>
          <w:szCs w:val="20"/>
          <w:rtl/>
        </w:rPr>
        <w:t>, “הגאון רבי משה מרדכי אפשטיין” (נספח ו לעיל), עמ׳ 7.</w:t>
      </w:r>
    </w:p>
  </w:footnote>
  <w:footnote w:id="2467">
    <w:p w14:paraId="1B36823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“קשת </w:t>
      </w:r>
      <w:proofErr w:type="spellStart"/>
      <w:r>
        <w:rPr>
          <w:sz w:val="20"/>
          <w:szCs w:val="20"/>
          <w:rtl/>
        </w:rPr>
        <w:t>גבורים</w:t>
      </w:r>
      <w:proofErr w:type="spellEnd"/>
      <w:r>
        <w:rPr>
          <w:sz w:val="20"/>
          <w:szCs w:val="20"/>
          <w:rtl/>
        </w:rPr>
        <w:t xml:space="preserve">” (נספח א לעיל) – </w:t>
      </w:r>
      <w:proofErr w:type="spellStart"/>
      <w:r>
        <w:rPr>
          <w:sz w:val="20"/>
          <w:szCs w:val="20"/>
          <w:rtl/>
        </w:rPr>
        <w:t>ח״ב</w:t>
      </w:r>
      <w:proofErr w:type="spellEnd"/>
      <w:r>
        <w:rPr>
          <w:sz w:val="20"/>
          <w:szCs w:val="20"/>
          <w:rtl/>
        </w:rPr>
        <w:t xml:space="preserve"> (תשנ״ו), עמ׳ 20–21.</w:t>
      </w:r>
    </w:p>
  </w:footnote>
  <w:footnote w:id="2468">
    <w:p w14:paraId="152E54D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נראה שאוצר הניירות הזה הוא הגניזה, ובין אוצרותיה ההיסטוריים הייתה מחברת ובה קבלות ותוכחות מוסר של הסבא בין השנים תרנ״ד </w:t>
      </w:r>
      <w:proofErr w:type="spellStart"/>
      <w:r>
        <w:rPr>
          <w:sz w:val="20"/>
          <w:szCs w:val="20"/>
          <w:rtl/>
        </w:rPr>
        <w:t>לתר״ס</w:t>
      </w:r>
      <w:proofErr w:type="spellEnd"/>
      <w:r>
        <w:rPr>
          <w:sz w:val="20"/>
          <w:szCs w:val="20"/>
          <w:rtl/>
        </w:rPr>
        <w:t>, נושא פרק 17 בספרו של כץ, “תנועת המוסר”, כרך ג. אבי כנראה נמנע במכוון מלהזכיר מחברת זו ברשימת הפריטים שנתגלו: או שסבר שעם שינוי גישתו של הסבא למוסר כבר אין לדברים הללו חשיבות, או שהרגיש שאין לנו לחקור עניינים אישיים כאלה, כאמור בהערה 63 לעיל.</w:t>
      </w:r>
    </w:p>
  </w:footnote>
  <w:footnote w:id="2469">
    <w:p w14:paraId="2D78B1C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259.</w:t>
      </w:r>
    </w:p>
  </w:footnote>
  <w:footnote w:id="2470">
    <w:p w14:paraId="0A49606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ב לעיל – עמ׳ 44; מתוארך לערב שלפני כ״ד באב תשמ״א.</w:t>
      </w:r>
    </w:p>
  </w:footnote>
  <w:footnote w:id="2471">
    <w:p w14:paraId="3C036CD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להלן בעניין הטלית.</w:t>
      </w:r>
    </w:p>
  </w:footnote>
  <w:footnote w:id="2472">
    <w:p w14:paraId="6A723FE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ג לעיל.</w:t>
      </w:r>
    </w:p>
  </w:footnote>
  <w:footnote w:id="2473">
    <w:p w14:paraId="3C0A60A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לפי יומנו “סדר אליהו” (נספח ג לעיל), עמ׳ 86–105, שימש שם בשנים תרנ״ג–תרס״א.</w:t>
      </w:r>
    </w:p>
  </w:footnote>
  <w:footnote w:id="2474">
    <w:p w14:paraId="752BABE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אחרי </w:t>
      </w:r>
      <w:proofErr w:type="spellStart"/>
      <w:r>
        <w:rPr>
          <w:sz w:val="20"/>
          <w:szCs w:val="20"/>
          <w:rtl/>
        </w:rPr>
        <w:t>מיר</w:t>
      </w:r>
      <w:proofErr w:type="spellEnd"/>
      <w:r>
        <w:rPr>
          <w:sz w:val="20"/>
          <w:szCs w:val="20"/>
          <w:rtl/>
        </w:rPr>
        <w:t xml:space="preserve"> הייתה משרתו הרבנית האחרונה בירושלים.</w:t>
      </w:r>
    </w:p>
  </w:footnote>
  <w:footnote w:id="2475">
    <w:p w14:paraId="276FB68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“צפונות – רבעון תורני”, בני ברק, גיליון טבת תשנ״ב, עמ׳ צד.</w:t>
      </w:r>
    </w:p>
  </w:footnote>
  <w:footnote w:id="2476">
    <w:p w14:paraId="03BB516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סוף נספח יד לעיל.</w:t>
      </w:r>
    </w:p>
  </w:footnote>
  <w:footnote w:id="2477">
    <w:p w14:paraId="442EEB3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נולד </w:t>
      </w:r>
      <w:proofErr w:type="spellStart"/>
      <w:r>
        <w:rPr>
          <w:sz w:val="20"/>
          <w:szCs w:val="20"/>
          <w:rtl/>
        </w:rPr>
        <w:t>בתרל״א</w:t>
      </w:r>
      <w:proofErr w:type="spellEnd"/>
      <w:r>
        <w:rPr>
          <w:sz w:val="20"/>
          <w:szCs w:val="20"/>
          <w:rtl/>
        </w:rPr>
        <w:t xml:space="preserve">, ונפטר בלילה שאחרי ראש השנה </w:t>
      </w:r>
      <w:proofErr w:type="spellStart"/>
      <w:r>
        <w:rPr>
          <w:sz w:val="20"/>
          <w:szCs w:val="20"/>
          <w:rtl/>
        </w:rPr>
        <w:t>תר״ץ</w:t>
      </w:r>
      <w:proofErr w:type="spellEnd"/>
      <w:r>
        <w:rPr>
          <w:sz w:val="20"/>
          <w:szCs w:val="20"/>
          <w:rtl/>
        </w:rPr>
        <w:t>.</w:t>
      </w:r>
    </w:p>
  </w:footnote>
  <w:footnote w:id="2478">
    <w:p w14:paraId="5703183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הוצאת אורייתא, תשמ״ט.</w:t>
      </w:r>
    </w:p>
  </w:footnote>
  <w:footnote w:id="2479">
    <w:p w14:paraId="2CC4D16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עד תרנ״ה נשא ר׳ נפתלי את בתו של ר׳ </w:t>
      </w:r>
      <w:proofErr w:type="spellStart"/>
      <w:r>
        <w:rPr>
          <w:sz w:val="20"/>
          <w:szCs w:val="20"/>
          <w:rtl/>
        </w:rPr>
        <w:t>לייזר־יעקב</w:t>
      </w:r>
      <w:proofErr w:type="spellEnd"/>
      <w:r>
        <w:rPr>
          <w:sz w:val="20"/>
          <w:szCs w:val="20"/>
          <w:rtl/>
        </w:rPr>
        <w:t xml:space="preserve"> </w:t>
      </w:r>
      <w:proofErr w:type="spellStart"/>
      <w:r>
        <w:rPr>
          <w:sz w:val="20"/>
          <w:szCs w:val="20"/>
          <w:rtl/>
        </w:rPr>
        <w:t xml:space="preserve">חווס</w:t>
      </w:r>
      <w:proofErr w:type="spellEnd"/>
      <w:r>
        <w:rPr>
          <w:sz w:val="20"/>
          <w:szCs w:val="20"/>
          <w:rtl/>
        </w:rPr>
        <w:t xml:space="preserve"> (השווה נספח א לעיל), שותפו של הסבא בהפצת תורה (השווה נספחים ג </w:t>
      </w:r>
      <w:proofErr w:type="spellStart"/>
      <w:r>
        <w:rPr>
          <w:sz w:val="20"/>
          <w:szCs w:val="20"/>
          <w:rtl/>
        </w:rPr>
        <w:t>ו־ה</w:t>
      </w:r>
      <w:proofErr w:type="spellEnd"/>
      <w:r>
        <w:rPr>
          <w:sz w:val="20"/>
          <w:szCs w:val="20"/>
          <w:rtl/>
        </w:rPr>
        <w:t xml:space="preserve"> לעיל).</w:t>
      </w:r>
    </w:p>
  </w:footnote>
  <w:footnote w:id="2480">
    <w:p w14:paraId="15A1DA3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יא לעיל.</w:t>
      </w:r>
    </w:p>
  </w:footnote>
  <w:footnote w:id="2481">
    <w:p w14:paraId="7D3E727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כץ, “תנועת המוסר”, כרך ג, עמ׳ 217.</w:t>
      </w:r>
    </w:p>
  </w:footnote>
  <w:footnote w:id="2482">
    <w:p w14:paraId="5FB9EEF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סוף הפסקה החמישית בנספח </w:t>
      </w:r>
      <w:proofErr w:type="spellStart"/>
      <w:r>
        <w:rPr>
          <w:sz w:val="20"/>
          <w:szCs w:val="20"/>
          <w:rtl/>
        </w:rPr>
        <w:t>כו</w:t>
      </w:r>
      <w:proofErr w:type="spellEnd"/>
      <w:r>
        <w:rPr>
          <w:sz w:val="20"/>
          <w:szCs w:val="20"/>
          <w:rtl/>
        </w:rPr>
        <w:t xml:space="preserve"> להלן, בדבר מה שאמר רבנו על כהונתו כרב </w:t>
      </w:r>
      <w:proofErr w:type="spellStart"/>
      <w:r>
        <w:rPr>
          <w:sz w:val="20"/>
          <w:szCs w:val="20"/>
          <w:rtl/>
        </w:rPr>
        <w:t>בציטוביאן</w:t>
      </w:r>
      <w:proofErr w:type="spellEnd"/>
      <w:r>
        <w:rPr>
          <w:sz w:val="20"/>
          <w:szCs w:val="20"/>
          <w:rtl/>
        </w:rPr>
        <w:t>.</w:t>
      </w:r>
    </w:p>
  </w:footnote>
  <w:footnote w:id="2483">
    <w:p w14:paraId="7B1121F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114–115, אות יד, בחלק השני של הספר, הנקרא “קונטרס נפש דוד”, שערך משה צבי נריה. חלק זה כולל את “הנהגותיו היומיות ומנהגי החגים של </w:t>
      </w:r>
      <w:proofErr w:type="spellStart"/>
      <w:r>
        <w:rPr>
          <w:sz w:val="20"/>
          <w:szCs w:val="20"/>
          <w:rtl/>
        </w:rPr>
        <w:t>האדר״ת</w:t>
      </w:r>
      <w:proofErr w:type="spellEnd"/>
      <w:r>
        <w:rPr>
          <w:sz w:val="20"/>
          <w:szCs w:val="20"/>
          <w:rtl/>
        </w:rPr>
        <w:t>, שהעלה על הכתב בסוף ימיו”.</w:t>
      </w:r>
    </w:p>
  </w:footnote>
  <w:footnote w:id="2484">
    <w:p w14:paraId="5B50EF5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שם, עמ׳ 120–121, אות לה (ועמ׳ 129, אות א).</w:t>
      </w:r>
    </w:p>
  </w:footnote>
  <w:footnote w:id="2485">
    <w:p w14:paraId="4AFA20E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מהדורה שנייה, “ישיבת כולל אברכים תורת אברהם”, בני ברק, תשל״ח (להלן: תורת אברהם).</w:t>
      </w:r>
    </w:p>
  </w:footnote>
  <w:footnote w:id="2486">
    <w:p w14:paraId="78CC873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יד.</w:t>
      </w:r>
    </w:p>
  </w:footnote>
  <w:footnote w:id="2487">
    <w:p w14:paraId="596C589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אבל השווה אמצע הפסקה השנייה בנספח </w:t>
      </w:r>
      <w:proofErr w:type="spellStart"/>
      <w:r>
        <w:rPr>
          <w:sz w:val="20"/>
          <w:szCs w:val="20"/>
          <w:rtl/>
        </w:rPr>
        <w:t>כז</w:t>
      </w:r>
      <w:proofErr w:type="spellEnd"/>
      <w:r>
        <w:rPr>
          <w:sz w:val="20"/>
          <w:szCs w:val="20"/>
          <w:rtl/>
        </w:rPr>
        <w:t xml:space="preserve"> להלן: פעם אחת בא לארץ ישראל לבדוק שידוך. ואולם אפשר שעשה זאת רק כדי לפייס את חותניו, שרצו שיינשא שנית – ואפשר שניסיונו זה של ר׳ אברהם לא הצליח משום שלבו לא היה שלם עם צעד כזה, מן הטעם שמסר לבתו.</w:t>
      </w:r>
    </w:p>
  </w:footnote>
  <w:footnote w:id="2488">
    <w:p w14:paraId="2C90872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בהקשר להערת שוליים </w:t>
      </w:r>
      <w:r>
        <w:rPr>
          <w:rStyle w:val="a5"/>
          <w:sz w:val="20"/>
          <w:szCs w:val="20"/>
          <w:vertAlign w:val="baseline"/>
          <w:rtl/>
        </w:rPr>
        <w:fldChar w:fldCharType="begin" w:dirty="true"/>
      </w:r>
      <w:r>
        <w:rPr>
          <w:rStyle w:val="a5"/>
          <w:sz w:val="20"/>
          <w:szCs w:val="20"/>
          <w:vertAlign w:val="baseline"/>
          <w:rtl/>
        </w:rPr>
        <w:instrText xml:space="preserve"> NOTEREF pr_f_2113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1159</w:t>
      </w:r>
      <w:r>
        <w:rPr>
          <w:rStyle w:val="a5"/>
          <w:sz w:val="20"/>
          <w:szCs w:val="20"/>
          <w:vertAlign w:val="baseline"/>
          <w:rtl/>
        </w:rPr>
        <w:fldChar w:fldCharType="end"/>
      </w:r>
      <w:r>
        <w:rPr>
          <w:rStyle w:val="a5"/>
          <w:sz w:val="20"/>
          <w:szCs w:val="20"/>
          <w:vertAlign w:val="baseline"/>
          <w:rtl/>
        </w:rPr>
        <w:t xml:space="preserve"> בעמ׳ </w:t>
      </w:r>
      <w:r>
        <w:rPr>
          <w:rStyle w:val="a5"/>
          <w:sz w:val="20"/>
          <w:szCs w:val="20"/>
          <w:vertAlign w:val="baseline"/>
          <w:rtl/>
        </w:rPr>
        <w:fldChar w:fldCharType="begin" w:dirty="true"/>
      </w:r>
      <w:r>
        <w:rPr>
          <w:rStyle w:val="a5"/>
          <w:sz w:val="20"/>
          <w:szCs w:val="20"/>
          <w:vertAlign w:val="baseline"/>
          <w:rtl/>
        </w:rPr>
        <w:instrText xml:space="preserve"> PAGEREF pr_f_2113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 xml:space="preserve">, סיפר לי ר׳ יעקב </w:t>
      </w:r>
      <w:proofErr w:type="spellStart"/>
      <w:r>
        <w:rPr>
          <w:sz w:val="20"/>
          <w:szCs w:val="20"/>
          <w:rtl/>
        </w:rPr>
        <w:t>לויסון</w:t>
      </w:r>
      <w:proofErr w:type="spellEnd"/>
      <w:r>
        <w:rPr>
          <w:sz w:val="20"/>
          <w:szCs w:val="20"/>
          <w:rtl/>
        </w:rPr>
        <w:t xml:space="preserve"> ב־3 ביוני 2002, כשכתיבת ספר זה עמדה להסתיים, שהרב </w:t>
      </w:r>
      <w:proofErr w:type="spellStart"/>
      <w:r>
        <w:rPr>
          <w:sz w:val="20"/>
          <w:szCs w:val="20"/>
          <w:rtl/>
        </w:rPr>
        <w:t>מפוניבז</w:t>
      </w:r>
      <w:proofErr w:type="spellEnd"/>
      <w:r>
        <w:rPr>
          <w:sz w:val="20"/>
          <w:szCs w:val="20"/>
          <w:rtl/>
        </w:rPr>
        <w:t xml:space="preserve">׳, ר׳ </w:t>
      </w:r>
      <w:proofErr w:type="spellStart"/>
      <w:r>
        <w:rPr>
          <w:sz w:val="20"/>
          <w:szCs w:val="20"/>
          <w:rtl/>
        </w:rPr>
        <w:t>יוסף־שלמה</w:t>
      </w:r>
      <w:proofErr w:type="spellEnd"/>
      <w:r>
        <w:rPr>
          <w:sz w:val="20"/>
          <w:szCs w:val="20"/>
          <w:rtl/>
        </w:rPr>
        <w:t xml:space="preserve"> </w:t>
      </w:r>
      <w:proofErr w:type="spellStart"/>
      <w:r>
        <w:rPr>
          <w:sz w:val="20"/>
          <w:szCs w:val="20"/>
          <w:rtl/>
        </w:rPr>
        <w:t>כהנמן</w:t>
      </w:r>
      <w:proofErr w:type="spellEnd"/>
      <w:r>
        <w:rPr>
          <w:sz w:val="20"/>
          <w:szCs w:val="20"/>
          <w:rtl/>
        </w:rPr>
        <w:t xml:space="preserve">, אמר לו בעת פטירתו של ר׳ אהרן קוטלר: “ב־40 השנים האחרונות לא היה ‘עילוי’ בעולם הישיבות כמו ר׳ אהרן, ובארבעים השנים שקדמו להן – כחמיו, ר׳ </w:t>
      </w:r>
      <w:proofErr w:type="spellStart"/>
      <w:r>
        <w:rPr>
          <w:sz w:val="20"/>
          <w:szCs w:val="20"/>
          <w:rtl/>
        </w:rPr>
        <w:t>איסר־זלמן</w:t>
      </w:r>
      <w:proofErr w:type="spellEnd"/>
      <w:r>
        <w:rPr>
          <w:sz w:val="20"/>
          <w:szCs w:val="20"/>
          <w:rtl/>
        </w:rPr>
        <w:t xml:space="preserve"> מלצר.” ראה גם סוף הערת שוליים </w:t>
      </w:r>
      <w:r>
        <w:rPr>
          <w:sz w:val="20"/>
          <w:szCs w:val="20"/>
          <w:rtl/>
        </w:rPr>
        <w:fldChar w:fldCharType="begin" w:dirty="true"/>
      </w:r>
      <w:r>
        <w:rPr>
          <w:sz w:val="20"/>
          <w:szCs w:val="20"/>
          <w:rtl/>
        </w:rPr>
        <w:instrText xml:space="preserve"> NOTEREF pr_f_4647 \h </w:instrText>
      </w:r>
      <w:r>
        <w:rPr>
          <w:sz w:val="20"/>
          <w:szCs w:val="20"/>
          <w:rtl/>
        </w:rPr>
      </w:r>
      <w:r>
        <w:rPr>
          <w:sz w:val="20"/>
          <w:szCs w:val="20"/>
          <w:rtl/>
        </w:rPr>
        <w:fldChar w:fldCharType="separate"/>
      </w:r>
      <w:r w:rsidR="007923E9">
        <w:rPr>
          <w:sz w:val="20"/>
          <w:szCs w:val="20"/>
          <w:rtl/>
        </w:rPr>
        <w:t>301</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pr_f_4647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2489">
    <w:p w14:paraId="3F9ECB2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בהקשר לציטוט שבעמ׳ </w:t>
      </w:r>
      <w:r>
        <w:rPr>
          <w:rStyle w:val="a5"/>
          <w:sz w:val="20"/>
          <w:szCs w:val="20"/>
          <w:vertAlign w:val="baseline"/>
          <w:rtl/>
        </w:rPr>
        <w:fldChar w:fldCharType="begin" w:dirty="true"/>
      </w:r>
      <w:r>
        <w:rPr>
          <w:rStyle w:val="a5"/>
          <w:sz w:val="20"/>
          <w:szCs w:val="20"/>
          <w:vertAlign w:val="baseline"/>
          <w:rtl/>
        </w:rPr>
        <w:instrText xml:space="preserve"> PAGEREF pr_b_1326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 xml:space="preserve">, </w:t>
      </w:r>
      <w:proofErr w:type="spellStart"/>
      <w:r>
        <w:rPr>
          <w:sz w:val="20"/>
          <w:szCs w:val="20"/>
          <w:rtl/>
        </w:rPr>
        <w:t>ה“הבנה</w:t>
      </w:r>
      <w:proofErr w:type="spellEnd"/>
      <w:r>
        <w:rPr>
          <w:sz w:val="20"/>
          <w:szCs w:val="20"/>
          <w:rtl/>
        </w:rPr>
        <w:t xml:space="preserve"> מיוחדת” של ר׳ חיים </w:t>
      </w:r>
      <w:proofErr w:type="spellStart"/>
      <w:r>
        <w:rPr>
          <w:sz w:val="20"/>
          <w:szCs w:val="20"/>
          <w:rtl/>
        </w:rPr>
        <w:t>סולובייצ׳יק</w:t>
      </w:r>
      <w:proofErr w:type="spellEnd"/>
      <w:r>
        <w:rPr>
          <w:sz w:val="20"/>
          <w:szCs w:val="20"/>
          <w:rtl/>
        </w:rPr>
        <w:t xml:space="preserve"> מוגדרת טוב יותר במכתב שפורסם </w:t>
      </w:r>
      <w:proofErr w:type="spellStart"/>
      <w:r>
        <w:rPr>
          <w:sz w:val="20"/>
          <w:szCs w:val="20"/>
          <w:rtl/>
        </w:rPr>
        <w:t>ב“קול</w:t>
      </w:r>
      <w:proofErr w:type="spellEnd"/>
      <w:r>
        <w:rPr>
          <w:sz w:val="20"/>
          <w:szCs w:val="20"/>
          <w:rtl/>
        </w:rPr>
        <w:t xml:space="preserve"> התורה” (גיליון ניסן תשס״ב; ראה הערת שוליים </w:t>
      </w:r>
      <w:r>
        <w:rPr>
          <w:sz w:val="20"/>
          <w:szCs w:val="20"/>
          <w:rtl/>
        </w:rPr>
        <w:fldChar w:fldCharType="begin" w:dirty="true"/>
      </w:r>
      <w:r>
        <w:rPr>
          <w:sz w:val="20"/>
          <w:szCs w:val="20"/>
          <w:rtl/>
        </w:rPr>
        <w:instrText xml:space="preserve"> NOTEREF pr_f_5226 \h </w:instrText>
      </w:r>
      <w:r>
        <w:rPr>
          <w:sz w:val="20"/>
          <w:szCs w:val="20"/>
          <w:rtl/>
        </w:rPr>
      </w:r>
      <w:r>
        <w:rPr>
          <w:sz w:val="20"/>
          <w:szCs w:val="20"/>
          <w:rtl/>
        </w:rPr>
        <w:fldChar w:fldCharType="separate"/>
      </w:r>
      <w:r w:rsidR="007923E9">
        <w:rPr>
          <w:sz w:val="20"/>
          <w:szCs w:val="20"/>
          <w:rtl/>
        </w:rPr>
        <w:t>880</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pr_f_5226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ונכתב 17 חודשים לפני מות ר׳ חיים. בתוך קינה על הידרדרות בריאותו של החכם כותב ר׳ יחזקאל </w:t>
      </w:r>
      <w:proofErr w:type="spellStart"/>
      <w:r>
        <w:rPr>
          <w:sz w:val="20"/>
          <w:szCs w:val="20"/>
          <w:rtl/>
        </w:rPr>
        <w:t>אברמסקי</w:t>
      </w:r>
      <w:proofErr w:type="spellEnd"/>
      <w:r>
        <w:rPr>
          <w:sz w:val="20"/>
          <w:szCs w:val="20"/>
          <w:rtl/>
        </w:rPr>
        <w:t xml:space="preserve"> </w:t>
      </w:r>
      <w:proofErr w:type="spellStart"/>
      <w:r>
        <w:rPr>
          <w:sz w:val="20"/>
          <w:szCs w:val="20"/>
          <w:rtl/>
        </w:rPr>
        <w:t>מסמילוביץ</w:t>
      </w:r>
      <w:proofErr w:type="spellEnd"/>
      <w:r>
        <w:rPr>
          <w:sz w:val="20"/>
          <w:szCs w:val="20"/>
          <w:rtl/>
        </w:rPr>
        <w:t xml:space="preserve">׳ (סמוך למינסק) לחמיו </w:t>
      </w:r>
      <w:proofErr w:type="spellStart"/>
      <w:r>
        <w:rPr>
          <w:sz w:val="20"/>
          <w:szCs w:val="20"/>
          <w:rtl/>
        </w:rPr>
        <w:t>באיהומן</w:t>
      </w:r>
      <w:proofErr w:type="spellEnd"/>
      <w:r>
        <w:rPr>
          <w:sz w:val="20"/>
          <w:szCs w:val="20"/>
          <w:rtl/>
        </w:rPr>
        <w:t xml:space="preserve"> על “הרי חיים” מלפנים: “הסבלן” ר׳ חיים, ר׳ חיים </w:t>
      </w:r>
      <w:proofErr w:type="spellStart"/>
      <w:r>
        <w:rPr>
          <w:sz w:val="20"/>
          <w:szCs w:val="20"/>
          <w:rtl/>
        </w:rPr>
        <w:t>ה“מכון</w:t>
      </w:r>
      <w:proofErr w:type="spellEnd"/>
      <w:r>
        <w:rPr>
          <w:sz w:val="20"/>
          <w:szCs w:val="20"/>
          <w:rtl/>
        </w:rPr>
        <w:t xml:space="preserve">” [כך במקור] “לדברי חבריו” כמעט בכל מקום ([כנראה] בש״ס), וכו׳ </w:t>
      </w:r>
      <w:proofErr w:type="spellStart"/>
      <w:r>
        <w:rPr>
          <w:sz w:val="20"/>
          <w:szCs w:val="20"/>
          <w:rtl/>
        </w:rPr>
        <w:t>וכו</w:t>
      </w:r>
      <w:proofErr w:type="spellEnd"/>
      <w:r>
        <w:rPr>
          <w:sz w:val="20"/>
          <w:szCs w:val="20"/>
          <w:rtl/>
        </w:rPr>
        <w:t xml:space="preserve">׳. ר׳ יחזקאל </w:t>
      </w:r>
      <w:proofErr w:type="spellStart"/>
      <w:r>
        <w:rPr>
          <w:sz w:val="20"/>
          <w:szCs w:val="20"/>
          <w:rtl/>
        </w:rPr>
        <w:t>אברמסקי</w:t>
      </w:r>
      <w:proofErr w:type="spellEnd"/>
      <w:r>
        <w:rPr>
          <w:sz w:val="20"/>
          <w:szCs w:val="20"/>
          <w:rtl/>
        </w:rPr>
        <w:t xml:space="preserve"> מתאר אפוא את התכונות שהפכו את ר׳ חיים למורה מעולה (כאמור בסוף הפסקה השישית בפרק 4, נספח ט): סבלנות, התאמה לבן שיחו – ותכונות נוספות שלא פורטו (“וכו׳ </w:t>
      </w:r>
      <w:proofErr w:type="spellStart"/>
      <w:r>
        <w:rPr>
          <w:sz w:val="20"/>
          <w:szCs w:val="20"/>
          <w:rtl/>
        </w:rPr>
        <w:t>וכו</w:t>
      </w:r>
      <w:proofErr w:type="spellEnd"/>
      <w:r>
        <w:rPr>
          <w:sz w:val="20"/>
          <w:szCs w:val="20"/>
          <w:rtl/>
        </w:rPr>
        <w:t>׳”), שעשו אותו למורה המצוין שהיה.</w:t>
      </w:r>
    </w:p>
    <w:p w14:paraId="49E3552E" w14:textId="77777777" w:rsidR="00AB3647" w:rsidRDefault="00000000">
      <w:pPr>
        <w:spacing w:after="0" w:before="0"/>
        <w:jc w:val="both"/>
      </w:pPr>
      <w:r>
        <w:rPr>
          <w:sz w:val="20"/>
          <w:szCs w:val="20"/>
          <w:rtl/>
        </w:rPr>
        <w:t xml:space="preserve">ר׳ יחזקאל מקונן על מצבו של הגאון, שנגרם בשל שנות הרעב במינסק או בשל מחלת הכבד שלו [השווה עמ׳ </w:t>
      </w:r>
      <w:r>
        <w:rPr>
          <w:sz w:val="20"/>
          <w:szCs w:val="20"/>
          <w:rtl/>
        </w:rPr>
        <w:fldChar w:fldCharType="begin" w:dirty="true"/>
      </w:r>
      <w:r>
        <w:rPr>
          <w:sz w:val="20"/>
          <w:szCs w:val="20"/>
          <w:rtl/>
        </w:rPr>
        <w:instrText xml:space="preserve"> PAGEREF pr_close_b_4564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להלן], וכותב: “אי אפשר לתאר עד כמה עצביו מעורערים בימים אלה – עד כדי כך שחברתו בדברי תורה אינה נעימה לכל החס על כבודו של ר׳ חיים ובריאותו; וכעבור כעסו הוא מתחרט ומודה – ומצטער שהשתנה כל כך לרעה מימים קדמונים ואינו עוד ‘הר’ חיים’ מלפנים”, וכו׳ </w:t>
      </w:r>
      <w:proofErr w:type="spellStart"/>
      <w:r>
        <w:rPr>
          <w:sz w:val="20"/>
          <w:szCs w:val="20"/>
          <w:rtl/>
        </w:rPr>
        <w:t>וכו</w:t>
      </w:r>
      <w:proofErr w:type="spellEnd"/>
      <w:r>
        <w:rPr>
          <w:sz w:val="20"/>
          <w:szCs w:val="20"/>
          <w:rtl/>
        </w:rPr>
        <w:t>׳.</w:t>
      </w:r>
    </w:p>
  </w:footnote>
  <w:footnote w:id="2490">
    <w:p w14:paraId="3147954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הפסקה השנייה בנספח </w:t>
      </w:r>
      <w:proofErr w:type="spellStart"/>
      <w:r>
        <w:rPr>
          <w:sz w:val="20"/>
          <w:szCs w:val="20"/>
          <w:rtl/>
        </w:rPr>
        <w:t>כא</w:t>
      </w:r>
      <w:proofErr w:type="spellEnd"/>
      <w:r>
        <w:rPr>
          <w:sz w:val="20"/>
          <w:szCs w:val="20"/>
          <w:rtl/>
        </w:rPr>
        <w:t xml:space="preserve"> לעיל, ופרק 5, סוף הפסקה הראשונה בנספח ו.</w:t>
      </w:r>
    </w:p>
  </w:footnote>
  <w:footnote w:id="2491">
    <w:p w14:paraId="2236E79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ב־29 באוקטובר 1991.</w:t>
      </w:r>
    </w:p>
  </w:footnote>
  <w:footnote w:id="2492">
    <w:p w14:paraId="2F60409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2.</w:t>
      </w:r>
    </w:p>
  </w:footnote>
  <w:footnote w:id="2493">
    <w:p w14:paraId="1A99959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21 לעיל.</w:t>
      </w:r>
    </w:p>
  </w:footnote>
  <w:footnote w:id="2494">
    <w:p w14:paraId="110C0A4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כץ, “תנועת המוסר”, כרך ב (נספח א לעיל), עמ׳ 305–306.</w:t>
      </w:r>
    </w:p>
  </w:footnote>
  <w:footnote w:id="2495">
    <w:p w14:paraId="15F2685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הערה 93.</w:t>
      </w:r>
    </w:p>
  </w:footnote>
  <w:footnote w:id="2496">
    <w:p w14:paraId="0F9A57D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השלישית בנספח יד לעיל.</w:t>
      </w:r>
    </w:p>
  </w:footnote>
  <w:footnote w:id="2497">
    <w:p w14:paraId="2F293C8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משלי </w:t>
      </w:r>
      <w:proofErr w:type="spellStart"/>
      <w:r>
        <w:rPr>
          <w:sz w:val="20"/>
          <w:szCs w:val="20"/>
          <w:rtl/>
        </w:rPr>
        <w:t>כו</w:t>
      </w:r>
      <w:proofErr w:type="spellEnd"/>
      <w:r>
        <w:rPr>
          <w:sz w:val="20"/>
          <w:szCs w:val="20"/>
          <w:rtl/>
        </w:rPr>
        <w:t>, כה.</w:t>
      </w:r>
    </w:p>
  </w:footnote>
  <w:footnote w:id="2498">
    <w:p w14:paraId="5C0319C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מובא בהערה 51 לעיל.</w:t>
      </w:r>
    </w:p>
  </w:footnote>
  <w:footnote w:id="2499">
    <w:p w14:paraId="7E01876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152–154.</w:t>
      </w:r>
    </w:p>
  </w:footnote>
  <w:footnote w:id="2500">
    <w:p w14:paraId="1BB3F0D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יא לעיל, עמ׳ 164.</w:t>
      </w:r>
    </w:p>
  </w:footnote>
  <w:footnote w:id="2501">
    <w:p w14:paraId="612AC54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תמך ביישוב הישן בארץ ישראל ובמוסדות הקהילה הפורשת שייסד ר׳ </w:t>
      </w:r>
      <w:proofErr w:type="spellStart"/>
      <w:r>
        <w:rPr>
          <w:sz w:val="20"/>
          <w:szCs w:val="20"/>
          <w:rtl/>
        </w:rPr>
        <w:t>שמשון־רפאל</w:t>
      </w:r>
      <w:proofErr w:type="spellEnd"/>
      <w:r>
        <w:rPr>
          <w:sz w:val="20"/>
          <w:szCs w:val="20"/>
          <w:rtl/>
        </w:rPr>
        <w:t xml:space="preserve"> הירש בעירו של רוטשילד.</w:t>
      </w:r>
    </w:p>
  </w:footnote>
  <w:footnote w:id="2502">
    <w:p w14:paraId="40DE89C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יש להוסיף שאף שהמוסד שניהל ר׳ </w:t>
      </w:r>
      <w:proofErr w:type="spellStart"/>
      <w:r>
        <w:rPr>
          <w:sz w:val="20"/>
          <w:szCs w:val="20"/>
          <w:rtl/>
        </w:rPr>
        <w:t>שמחה־זיסל</w:t>
      </w:r>
      <w:proofErr w:type="spellEnd"/>
      <w:r>
        <w:rPr>
          <w:sz w:val="20"/>
          <w:szCs w:val="20"/>
          <w:rtl/>
        </w:rPr>
        <w:t xml:space="preserve"> היה לצעירים, ר׳ </w:t>
      </w:r>
      <w:proofErr w:type="spellStart"/>
      <w:r>
        <w:rPr>
          <w:sz w:val="20"/>
          <w:szCs w:val="20"/>
          <w:rtl/>
        </w:rPr>
        <w:t>שמחה־זיסל</w:t>
      </w:r>
      <w:proofErr w:type="spellEnd"/>
      <w:r>
        <w:rPr>
          <w:sz w:val="20"/>
          <w:szCs w:val="20"/>
          <w:rtl/>
        </w:rPr>
        <w:t xml:space="preserve"> מסר גם שיחות מוסר לאנשים בוגרים שקיבלו אותו כמדריכם. אך תפקיד זה לא היה קשור לתלמוד תורה באותה תקופה.</w:t>
      </w:r>
    </w:p>
  </w:footnote>
  <w:footnote w:id="2503">
    <w:p w14:paraId="3458B3D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“כתבי הסבא” (הפסקה הראשונה בנספח ב לעיל), כרך א, עמ׳ צב–</w:t>
      </w:r>
      <w:proofErr w:type="spellStart"/>
      <w:r>
        <w:rPr>
          <w:sz w:val="20"/>
          <w:szCs w:val="20"/>
          <w:rtl/>
        </w:rPr>
        <w:t>צט</w:t>
      </w:r>
      <w:proofErr w:type="spellEnd"/>
      <w:r>
        <w:rPr>
          <w:sz w:val="20"/>
          <w:szCs w:val="20"/>
          <w:rtl/>
        </w:rPr>
        <w:t xml:space="preserve">: שם מובאות שבע איגרות (מספר </w:t>
      </w:r>
      <w:proofErr w:type="spellStart"/>
      <w:r>
        <w:rPr>
          <w:sz w:val="20"/>
          <w:szCs w:val="20"/>
          <w:rtl/>
        </w:rPr>
        <w:t>נז</w:t>
      </w:r>
      <w:proofErr w:type="spellEnd"/>
      <w:r>
        <w:rPr>
          <w:sz w:val="20"/>
          <w:szCs w:val="20"/>
          <w:rtl/>
        </w:rPr>
        <w:t>–</w:t>
      </w:r>
      <w:proofErr w:type="spellStart"/>
      <w:r>
        <w:rPr>
          <w:sz w:val="20"/>
          <w:szCs w:val="20"/>
          <w:rtl/>
        </w:rPr>
        <w:t>סג</w:t>
      </w:r>
      <w:proofErr w:type="spellEnd"/>
      <w:r>
        <w:rPr>
          <w:sz w:val="20"/>
          <w:szCs w:val="20"/>
          <w:rtl/>
        </w:rPr>
        <w:t>) ששלח הסבא מקלם להורי תלמידיו. בפסקאות הראשונות של שתי האיגרות הראשונות הוא מתאר את תוכניתו כמשולשת: תורה ויראה ודרך ארץ.</w:t>
      </w:r>
    </w:p>
  </w:footnote>
  <w:footnote w:id="2504">
    <w:p w14:paraId="49F743E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1, נספח ו – עמ׳ 1451–1452.</w:t>
      </w:r>
    </w:p>
  </w:footnote>
  <w:footnote w:id="2505">
    <w:p w14:paraId="2DF59D4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29.</w:t>
      </w:r>
    </w:p>
  </w:footnote>
  <w:footnote w:id="2506">
    <w:p w14:paraId="429ED5B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אלימלך </w:t>
      </w:r>
      <w:proofErr w:type="spellStart"/>
      <w:r>
        <w:rPr>
          <w:sz w:val="20"/>
          <w:szCs w:val="20"/>
          <w:rtl/>
        </w:rPr>
        <w:t>דרזנר</w:t>
      </w:r>
      <w:proofErr w:type="spellEnd"/>
      <w:r>
        <w:rPr>
          <w:sz w:val="20"/>
          <w:szCs w:val="20"/>
          <w:rtl/>
        </w:rPr>
        <w:t xml:space="preserve"> סיפר ב־14 ביוני 1996 שר׳ דוב כץ, מחבר “תנועת המוסר”, אמר לו שהסבא מקלם “היה </w:t>
      </w:r>
      <w:proofErr w:type="spellStart"/>
      <w:r>
        <w:rPr>
          <w:sz w:val="20"/>
          <w:szCs w:val="20"/>
          <w:rtl/>
        </w:rPr>
        <w:t>קאנטיאני</w:t>
      </w:r>
      <w:proofErr w:type="spellEnd"/>
      <w:r>
        <w:rPr>
          <w:sz w:val="20"/>
          <w:szCs w:val="20"/>
          <w:rtl/>
        </w:rPr>
        <w:t>”, משום שלמד בנעוריו את כתבי הפילוסוף הגרמני, שמת כעשרים שנה לפני שנולד. ואולם בספרו של כץ, “תנועת המוסר”, כרך ב, עמ׳ 36, כתב: “בהתבוננויותיו בערכי האמונה למד גם ספרי פילוסופיה”, בלי לציין אילו ספרים בדיוק למד הסבא מקלם.</w:t>
      </w:r>
    </w:p>
  </w:footnote>
  <w:footnote w:id="2507">
    <w:p w14:paraId="627A17D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15 ביוני 1994.</w:t>
      </w:r>
    </w:p>
  </w:footnote>
  <w:footnote w:id="2508">
    <w:p w14:paraId="00F2443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בסוף נספח זה.</w:t>
      </w:r>
    </w:p>
  </w:footnote>
  <w:footnote w:id="2509">
    <w:p w14:paraId="692FBE0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ד לעיל.</w:t>
      </w:r>
    </w:p>
  </w:footnote>
  <w:footnote w:id="2510">
    <w:p w14:paraId="679A20C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65.</w:t>
      </w:r>
    </w:p>
  </w:footnote>
  <w:footnote w:id="2511">
    <w:p w14:paraId="1EE78E5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נדפס בדפוס </w:t>
      </w:r>
      <w:proofErr w:type="spellStart"/>
      <w:r>
        <w:rPr>
          <w:sz w:val="20"/>
          <w:szCs w:val="20"/>
          <w:rtl/>
        </w:rPr>
        <w:t>א״מ</w:t>
      </w:r>
      <w:proofErr w:type="spellEnd"/>
      <w:r>
        <w:rPr>
          <w:sz w:val="20"/>
          <w:szCs w:val="20"/>
          <w:rtl/>
        </w:rPr>
        <w:t xml:space="preserve"> </w:t>
      </w:r>
      <w:proofErr w:type="spellStart"/>
      <w:r>
        <w:rPr>
          <w:sz w:val="20"/>
          <w:szCs w:val="20"/>
          <w:rtl/>
        </w:rPr>
        <w:t>לונץ</w:t>
      </w:r>
      <w:proofErr w:type="spellEnd"/>
      <w:r>
        <w:rPr>
          <w:sz w:val="20"/>
          <w:szCs w:val="20"/>
          <w:rtl/>
        </w:rPr>
        <w:t xml:space="preserve">, ירושלים, תרס״ז. זוהי חוברת ובה כמה חידושי תורה משלושה דורות: ר׳ ישראל; אביו, ר׳ </w:t>
      </w:r>
      <w:proofErr w:type="spellStart"/>
      <w:r>
        <w:rPr>
          <w:sz w:val="20"/>
          <w:szCs w:val="20"/>
          <w:rtl/>
        </w:rPr>
        <w:t>זאב־וולף</w:t>
      </w:r>
      <w:proofErr w:type="spellEnd"/>
      <w:r>
        <w:rPr>
          <w:sz w:val="20"/>
          <w:szCs w:val="20"/>
          <w:rtl/>
        </w:rPr>
        <w:t>; ובנו, ר׳ יצחק.</w:t>
      </w:r>
    </w:p>
  </w:footnote>
  <w:footnote w:id="2512">
    <w:p w14:paraId="344C6D9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 ישראל משתמש כאן בראשי תיבות בלתי רגילים, ש״ל, ואני מבין אותם כקיצור של “שברון לב”. הניסוח הסתום בחלקו הראשון של המשפט (שמשמעותו: ‘שמעתי שהיו צרות בתלמוד תורה’) והשימוש בראשי התיבות המוצנעים עשויים לנבוע מן ההאשמה, שכבר נפוצה באותה עת, שהסבא מקלם “מתסיס למהפכה”.</w:t>
      </w:r>
    </w:p>
  </w:footnote>
  <w:footnote w:id="2513">
    <w:p w14:paraId="7315B08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19 לעיל.</w:t>
      </w:r>
    </w:p>
  </w:footnote>
  <w:footnote w:id="2514">
    <w:p w14:paraId="2221B6A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כץ, שם, וכץ, “תנועת המוסר”, כרך ג, עמ׳ 19, מציינים בטעות שהדבר היה “זמן קצר לאחר העלילה (שאירעה) בערך </w:t>
      </w:r>
      <w:proofErr w:type="spellStart"/>
      <w:r>
        <w:rPr>
          <w:sz w:val="20"/>
          <w:szCs w:val="20"/>
          <w:rtl/>
        </w:rPr>
        <w:t>בתרל״ו</w:t>
      </w:r>
      <w:proofErr w:type="spellEnd"/>
      <w:r>
        <w:rPr>
          <w:sz w:val="20"/>
          <w:szCs w:val="20"/>
          <w:rtl/>
        </w:rPr>
        <w:t xml:space="preserve">”. כץ ביסס כנראה את ידיעתו על זיכרון מוטעה של יעקב מארק, עמ׳ 250, שם מתאר מארק פגישה עם ר׳ </w:t>
      </w:r>
      <w:proofErr w:type="spellStart"/>
      <w:r>
        <w:rPr>
          <w:sz w:val="20"/>
          <w:szCs w:val="20"/>
          <w:rtl/>
        </w:rPr>
        <w:t>שמחה־זיסל</w:t>
      </w:r>
      <w:proofErr w:type="spellEnd"/>
      <w:r>
        <w:rPr>
          <w:sz w:val="20"/>
          <w:szCs w:val="20"/>
          <w:rtl/>
        </w:rPr>
        <w:t xml:space="preserve"> </w:t>
      </w:r>
      <w:proofErr w:type="spellStart"/>
      <w:r>
        <w:rPr>
          <w:sz w:val="20"/>
          <w:szCs w:val="20"/>
          <w:rtl/>
        </w:rPr>
        <w:t>בבויסק</w:t>
      </w:r>
      <w:proofErr w:type="spellEnd"/>
      <w:r>
        <w:rPr>
          <w:sz w:val="20"/>
          <w:szCs w:val="20"/>
          <w:rtl/>
        </w:rPr>
        <w:t xml:space="preserve">, כשהיה “במסע התרמה למען </w:t>
      </w:r>
      <w:proofErr w:type="spellStart"/>
      <w:r>
        <w:rPr>
          <w:sz w:val="20"/>
          <w:szCs w:val="20"/>
          <w:rtl/>
        </w:rPr>
        <w:t>גרובין</w:t>
      </w:r>
      <w:proofErr w:type="spellEnd"/>
      <w:r>
        <w:rPr>
          <w:sz w:val="20"/>
          <w:szCs w:val="20"/>
          <w:rtl/>
        </w:rPr>
        <w:t xml:space="preserve"> בשנת 1876”. אבל “הצפירה” (תרמ״ב), המובא בהערה 105 לעיל, מדבר על בית הספר שנפתח לאחרונה, </w:t>
      </w:r>
      <w:proofErr w:type="spellStart"/>
      <w:r>
        <w:rPr>
          <w:sz w:val="20"/>
          <w:szCs w:val="20"/>
          <w:rtl/>
        </w:rPr>
        <w:t>ו“הצפירה</w:t>
      </w:r>
      <w:proofErr w:type="spellEnd"/>
      <w:r>
        <w:rPr>
          <w:sz w:val="20"/>
          <w:szCs w:val="20"/>
          <w:rtl/>
        </w:rPr>
        <w:t>” (תרמ״ה), המובא בהערה 104 לעיל, אומר במפורש שבית הספר בן חמש שנים.</w:t>
      </w:r>
    </w:p>
    <w:p w14:paraId="02692ADE" w14:textId="77777777" w:rsidR="00AB3647" w:rsidRDefault="00000000">
      <w:pPr>
        <w:spacing w:after="0" w:before="0"/>
        <w:jc w:val="both"/>
      </w:pPr>
      <w:r>
        <w:rPr>
          <w:sz w:val="20"/>
          <w:szCs w:val="20"/>
          <w:rtl/>
        </w:rPr>
        <w:t xml:space="preserve">השווה גם עמ׳ ג בהקדמה (מאת בני המחבר) </w:t>
      </w:r>
      <w:proofErr w:type="spellStart"/>
      <w:r>
        <w:rPr>
          <w:sz w:val="20"/>
          <w:szCs w:val="20"/>
          <w:rtl/>
        </w:rPr>
        <w:t>ל“ספר</w:t>
      </w:r>
      <w:proofErr w:type="spellEnd"/>
      <w:r>
        <w:rPr>
          <w:sz w:val="20"/>
          <w:szCs w:val="20"/>
          <w:rtl/>
        </w:rPr>
        <w:t xml:space="preserve"> פקוח נפש” מאת “הגאון וכו׳ אליהו מאיר </w:t>
      </w:r>
      <w:proofErr w:type="spellStart"/>
      <w:r>
        <w:rPr>
          <w:sz w:val="20"/>
          <w:szCs w:val="20"/>
          <w:rtl/>
        </w:rPr>
        <w:t>פייוולזאן</w:t>
      </w:r>
      <w:proofErr w:type="spellEnd"/>
      <w:r>
        <w:rPr>
          <w:sz w:val="20"/>
          <w:szCs w:val="20"/>
          <w:rtl/>
        </w:rPr>
        <w:t xml:space="preserve">” (נדפס </w:t>
      </w:r>
      <w:proofErr w:type="spellStart"/>
      <w:r>
        <w:rPr>
          <w:sz w:val="20"/>
          <w:szCs w:val="20"/>
          <w:rtl/>
        </w:rPr>
        <w:t>בתרצ״ד</w:t>
      </w:r>
      <w:proofErr w:type="spellEnd"/>
      <w:r>
        <w:rPr>
          <w:sz w:val="20"/>
          <w:szCs w:val="20"/>
          <w:rtl/>
        </w:rPr>
        <w:t xml:space="preserve">, ללא מקום דפוס). שם נאמר, בתיאור סדר מוסדות הלימוד של ר׳ </w:t>
      </w:r>
      <w:proofErr w:type="spellStart"/>
      <w:r>
        <w:rPr>
          <w:sz w:val="20"/>
          <w:szCs w:val="20"/>
          <w:rtl/>
        </w:rPr>
        <w:t>אליהו־מאיר</w:t>
      </w:r>
      <w:proofErr w:type="spellEnd"/>
      <w:r>
        <w:rPr>
          <w:sz w:val="20"/>
          <w:szCs w:val="20"/>
          <w:rtl/>
        </w:rPr>
        <w:t xml:space="preserve"> </w:t>
      </w:r>
      <w:proofErr w:type="spellStart"/>
      <w:r>
        <w:rPr>
          <w:sz w:val="20"/>
          <w:szCs w:val="20"/>
          <w:rtl/>
        </w:rPr>
        <w:t>פייבלזון</w:t>
      </w:r>
      <w:proofErr w:type="spellEnd"/>
      <w:r>
        <w:rPr>
          <w:sz w:val="20"/>
          <w:szCs w:val="20"/>
          <w:rtl/>
        </w:rPr>
        <w:t xml:space="preserve"> בילדותו: “[אבא] חזר לבית התלמוד [תורה] </w:t>
      </w:r>
      <w:proofErr w:type="spellStart"/>
      <w:r>
        <w:rPr>
          <w:sz w:val="20"/>
          <w:szCs w:val="20"/>
          <w:rtl/>
        </w:rPr>
        <w:t>בקלם</w:t>
      </w:r>
      <w:proofErr w:type="spellEnd"/>
      <w:r>
        <w:rPr>
          <w:sz w:val="20"/>
          <w:szCs w:val="20"/>
          <w:rtl/>
        </w:rPr>
        <w:t xml:space="preserve"> </w:t>
      </w:r>
      <w:proofErr w:type="spellStart"/>
      <w:r>
        <w:rPr>
          <w:sz w:val="20"/>
          <w:szCs w:val="20"/>
          <w:rtl/>
        </w:rPr>
        <w:t>בתרל״ט</w:t>
      </w:r>
      <w:proofErr w:type="spellEnd"/>
      <w:r>
        <w:rPr>
          <w:sz w:val="20"/>
          <w:szCs w:val="20"/>
          <w:rtl/>
        </w:rPr>
        <w:t xml:space="preserve">, וכאשר הועבר </w:t>
      </w:r>
      <w:proofErr w:type="spellStart"/>
      <w:r>
        <w:rPr>
          <w:sz w:val="20"/>
          <w:szCs w:val="20"/>
          <w:rtl/>
        </w:rPr>
        <w:t>לגרובין</w:t>
      </w:r>
      <w:proofErr w:type="spellEnd"/>
      <w:r>
        <w:rPr>
          <w:sz w:val="20"/>
          <w:szCs w:val="20"/>
          <w:rtl/>
        </w:rPr>
        <w:t xml:space="preserve"> </w:t>
      </w:r>
      <w:proofErr w:type="spellStart"/>
      <w:r>
        <w:rPr>
          <w:sz w:val="20"/>
          <w:szCs w:val="20"/>
          <w:rtl/>
        </w:rPr>
        <w:t>שבקורלנד</w:t>
      </w:r>
      <w:proofErr w:type="spellEnd"/>
      <w:r>
        <w:rPr>
          <w:sz w:val="20"/>
          <w:szCs w:val="20"/>
          <w:rtl/>
        </w:rPr>
        <w:t xml:space="preserve">, נדד גם הוא לשם”. ראה גם להלן (עמ׳ </w:t>
      </w:r>
      <w:r>
        <w:rPr>
          <w:sz w:val="20"/>
          <w:szCs w:val="20"/>
          <w:rtl/>
        </w:rPr>
        <w:fldChar w:fldCharType="begin" w:dirty="true"/>
      </w:r>
      <w:r>
        <w:rPr>
          <w:sz w:val="20"/>
          <w:szCs w:val="20"/>
          <w:rtl/>
        </w:rPr>
        <w:instrText xml:space="preserve"> PAGEREF pr_b_1519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2515">
    <w:p w14:paraId="179E465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200–209.</w:t>
      </w:r>
    </w:p>
  </w:footnote>
  <w:footnote w:id="2516">
    <w:p w14:paraId="2DFD3A3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250.</w:t>
      </w:r>
    </w:p>
  </w:footnote>
  <w:footnote w:id="2517">
    <w:p w14:paraId="66AF532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לעיל.</w:t>
      </w:r>
    </w:p>
  </w:footnote>
  <w:footnote w:id="2518">
    <w:p w14:paraId="6F16E79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206.</w:t>
      </w:r>
    </w:p>
  </w:footnote>
  <w:footnote w:id="2519">
    <w:p w14:paraId="5CBEC06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w:t>
      </w:r>
      <w:proofErr w:type="spellStart"/>
      <w:r>
        <w:rPr>
          <w:sz w:val="20"/>
          <w:szCs w:val="20"/>
          <w:rtl/>
        </w:rPr>
        <w:t>שו״ע</w:t>
      </w:r>
      <w:proofErr w:type="spellEnd"/>
      <w:r>
        <w:rPr>
          <w:sz w:val="20"/>
          <w:szCs w:val="20"/>
          <w:rtl/>
        </w:rPr>
        <w:t xml:space="preserve"> </w:t>
      </w:r>
      <w:proofErr w:type="spellStart"/>
      <w:r>
        <w:rPr>
          <w:sz w:val="20"/>
          <w:szCs w:val="20"/>
          <w:rtl/>
        </w:rPr>
        <w:t>או״ח</w:t>
      </w:r>
      <w:proofErr w:type="spellEnd"/>
      <w:r>
        <w:rPr>
          <w:sz w:val="20"/>
          <w:szCs w:val="20"/>
          <w:rtl/>
        </w:rPr>
        <w:t xml:space="preserve"> סי׳ פ״ט ס״ג.</w:t>
      </w:r>
    </w:p>
  </w:footnote>
  <w:footnote w:id="2520">
    <w:p w14:paraId="1CE80CB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הערה 139.</w:t>
      </w:r>
    </w:p>
  </w:footnote>
  <w:footnote w:id="2521">
    <w:p w14:paraId="0D3C34B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2, הערה 106 – כרך ב, עמ׳ 97–98.</w:t>
      </w:r>
    </w:p>
  </w:footnote>
  <w:footnote w:id="2522">
    <w:p w14:paraId="59BE92A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194.</w:t>
      </w:r>
    </w:p>
  </w:footnote>
  <w:footnote w:id="2523">
    <w:p w14:paraId="7F0D633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209.</w:t>
      </w:r>
    </w:p>
  </w:footnote>
  <w:footnote w:id="2524">
    <w:p w14:paraId="3FA41E8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מאמר זה נזכר בהערה 104 לעיל.</w:t>
      </w:r>
    </w:p>
  </w:footnote>
  <w:footnote w:id="2525">
    <w:p w14:paraId="163504E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לפי כץ, “תנועת המוסר”, כרך ב, עמ׳ 197.</w:t>
      </w:r>
    </w:p>
  </w:footnote>
  <w:footnote w:id="2526">
    <w:p w14:paraId="0B08F6A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לפי “הצפירה”, שם.</w:t>
      </w:r>
    </w:p>
  </w:footnote>
  <w:footnote w:id="2527">
    <w:p w14:paraId="71EBCA2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בכרך א, עמ׳ 111.</w:t>
      </w:r>
    </w:p>
  </w:footnote>
  <w:footnote w:id="2528">
    <w:p w14:paraId="7DB7E1D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95.</w:t>
      </w:r>
    </w:p>
  </w:footnote>
  <w:footnote w:id="2529">
    <w:p w14:paraId="125F9F4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106.</w:t>
      </w:r>
    </w:p>
  </w:footnote>
  <w:footnote w:id="2530">
    <w:p w14:paraId="796EBDE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110.</w:t>
      </w:r>
    </w:p>
  </w:footnote>
  <w:footnote w:id="2531">
    <w:p w14:paraId="2878804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משלי א, ו.</w:t>
      </w:r>
    </w:p>
  </w:footnote>
  <w:footnote w:id="2532">
    <w:p w14:paraId="31DE7F6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ישעיה </w:t>
      </w:r>
      <w:proofErr w:type="spellStart"/>
      <w:r>
        <w:rPr>
          <w:sz w:val="20"/>
          <w:szCs w:val="20"/>
          <w:rtl/>
        </w:rPr>
        <w:t>כט</w:t>
      </w:r>
      <w:proofErr w:type="spellEnd"/>
      <w:r>
        <w:rPr>
          <w:sz w:val="20"/>
          <w:szCs w:val="20"/>
          <w:rtl/>
        </w:rPr>
        <w:t xml:space="preserve">, </w:t>
      </w:r>
      <w:proofErr w:type="spellStart"/>
      <w:r>
        <w:rPr>
          <w:sz w:val="20"/>
          <w:szCs w:val="20"/>
          <w:rtl/>
        </w:rPr>
        <w:t>יג</w:t>
      </w:r>
      <w:proofErr w:type="spellEnd"/>
      <w:r>
        <w:rPr>
          <w:sz w:val="20"/>
          <w:szCs w:val="20"/>
          <w:rtl/>
        </w:rPr>
        <w:t xml:space="preserve">. סדר היום בישיבות התיכוניות בארצות הברית כיום, שבו לימודי התורה מתקיימים בשעות הבוקר ולימודי החול אחר הצהריים, הולך בעקבות הדגם של </w:t>
      </w:r>
      <w:proofErr w:type="spellStart"/>
      <w:r>
        <w:rPr>
          <w:sz w:val="20"/>
          <w:szCs w:val="20"/>
          <w:rtl/>
        </w:rPr>
        <w:t>גרובין</w:t>
      </w:r>
      <w:proofErr w:type="spellEnd"/>
      <w:r>
        <w:rPr>
          <w:sz w:val="20"/>
          <w:szCs w:val="20"/>
          <w:rtl/>
        </w:rPr>
        <w:t>.</w:t>
      </w:r>
    </w:p>
  </w:footnote>
  <w:footnote w:id="2533">
    <w:p w14:paraId="3FCAA18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ב, עמ׳ 107.</w:t>
      </w:r>
    </w:p>
  </w:footnote>
  <w:footnote w:id="2534">
    <w:p w14:paraId="5BA3B5B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א, עמ׳ 94.</w:t>
      </w:r>
    </w:p>
  </w:footnote>
  <w:footnote w:id="2535">
    <w:p w14:paraId="327E5EF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ב, עמ׳ 106.</w:t>
      </w:r>
    </w:p>
  </w:footnote>
  <w:footnote w:id="2536">
    <w:p w14:paraId="350DA90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תחתית עמ׳ 104 ועמ׳ 105.</w:t>
      </w:r>
    </w:p>
  </w:footnote>
  <w:footnote w:id="2537">
    <w:p w14:paraId="681B65E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103.</w:t>
      </w:r>
    </w:p>
  </w:footnote>
  <w:footnote w:id="2538">
    <w:p w14:paraId="7E22789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א, עמ׳ 109.</w:t>
      </w:r>
    </w:p>
  </w:footnote>
  <w:footnote w:id="2539">
    <w:p w14:paraId="0B78E88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ב, עמ׳ 105.</w:t>
      </w:r>
    </w:p>
  </w:footnote>
  <w:footnote w:id="2540">
    <w:p w14:paraId="387CB12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“כתבי הסבא”, שם: איגרות </w:t>
      </w:r>
      <w:proofErr w:type="spellStart"/>
      <w:r>
        <w:rPr>
          <w:sz w:val="20"/>
          <w:szCs w:val="20"/>
          <w:rtl/>
        </w:rPr>
        <w:t>נז</w:t>
      </w:r>
      <w:proofErr w:type="spellEnd"/>
      <w:r>
        <w:rPr>
          <w:sz w:val="20"/>
          <w:szCs w:val="20"/>
          <w:rtl/>
        </w:rPr>
        <w:t xml:space="preserve"> </w:t>
      </w:r>
      <w:proofErr w:type="spellStart"/>
      <w:r>
        <w:rPr>
          <w:sz w:val="20"/>
          <w:szCs w:val="20"/>
          <w:rtl/>
        </w:rPr>
        <w:t>וסא</w:t>
      </w:r>
      <w:proofErr w:type="spellEnd"/>
      <w:r>
        <w:rPr>
          <w:sz w:val="20"/>
          <w:szCs w:val="20"/>
          <w:rtl/>
        </w:rPr>
        <w:t>, ששתיהן מופנות בבירור להורה בעל מוסר, ייתכן שנכתבו לאביו של ישראל אלישיב.</w:t>
      </w:r>
    </w:p>
  </w:footnote>
  <w:footnote w:id="2541">
    <w:p w14:paraId="22A4C43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212–213.</w:t>
      </w:r>
    </w:p>
  </w:footnote>
  <w:footnote w:id="2542">
    <w:p w14:paraId="260746E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איוב לב, ט.</w:t>
      </w:r>
    </w:p>
  </w:footnote>
  <w:footnote w:id="2543">
    <w:p w14:paraId="00388B4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תהלים קיט, </w:t>
      </w:r>
      <w:proofErr w:type="spellStart"/>
      <w:r>
        <w:rPr>
          <w:sz w:val="20"/>
          <w:szCs w:val="20"/>
          <w:rtl/>
        </w:rPr>
        <w:t>קכו</w:t>
      </w:r>
      <w:proofErr w:type="spellEnd"/>
      <w:r>
        <w:rPr>
          <w:sz w:val="20"/>
          <w:szCs w:val="20"/>
          <w:rtl/>
        </w:rPr>
        <w:t xml:space="preserve">. פסוק זה מתפרש בברכות נד ע״א </w:t>
      </w:r>
      <w:proofErr w:type="spellStart"/>
      <w:r>
        <w:rPr>
          <w:sz w:val="20"/>
          <w:szCs w:val="20"/>
          <w:rtl/>
        </w:rPr>
        <w:t>ובגיטין</w:t>
      </w:r>
      <w:proofErr w:type="spellEnd"/>
      <w:r>
        <w:rPr>
          <w:sz w:val="20"/>
          <w:szCs w:val="20"/>
          <w:rtl/>
        </w:rPr>
        <w:t xml:space="preserve"> ס ע״א כהיתר לבטל פרטים מסוימים מן התורה כדי ‘לעשות לה׳’ ולקיים את התורה כולה (השווה רש״י שם, ד״ה עת לעשות לה׳).</w:t>
      </w:r>
    </w:p>
  </w:footnote>
  <w:footnote w:id="2544">
    <w:p w14:paraId="1443D77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“אורחות חיים”, אות </w:t>
      </w:r>
      <w:proofErr w:type="spellStart"/>
      <w:r>
        <w:rPr>
          <w:sz w:val="20"/>
          <w:szCs w:val="20"/>
          <w:rtl/>
        </w:rPr>
        <w:t>נה</w:t>
      </w:r>
      <w:proofErr w:type="spellEnd"/>
      <w:r>
        <w:rPr>
          <w:sz w:val="20"/>
          <w:szCs w:val="20"/>
          <w:rtl/>
        </w:rPr>
        <w:t>.</w:t>
      </w:r>
    </w:p>
  </w:footnote>
  <w:footnote w:id="2545">
    <w:p w14:paraId="09ADE4A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לפי כץ, “תנועת המוסר”, כרך ב, עמ׳ 65.</w:t>
      </w:r>
    </w:p>
  </w:footnote>
  <w:footnote w:id="2546">
    <w:p w14:paraId="6F2A66A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2547">
    <w:p w14:paraId="48B1856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איגרת ס. גם ההדגשה הראשונה בפסקה זו מלמדת שהסבא מקלם ראה את תוכניתו כדרך שהייתה רגילה בזמנים קדומים יותר.</w:t>
      </w:r>
    </w:p>
  </w:footnote>
  <w:footnote w:id="2548">
    <w:p w14:paraId="5D57467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כץ, “תנועת המוסר”, כרך ב, עמ׳ 217, הערה 16.</w:t>
      </w:r>
    </w:p>
  </w:footnote>
  <w:footnote w:id="2549">
    <w:p w14:paraId="7837F83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1446.</w:t>
      </w:r>
    </w:p>
  </w:footnote>
  <w:footnote w:id="2550">
    <w:p w14:paraId="163AF2F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הובא לעיל (עמ׳ </w:t>
      </w:r>
      <w:r>
        <w:rPr>
          <w:rStyle w:val="a5"/>
          <w:sz w:val="20"/>
          <w:szCs w:val="20"/>
          <w:vertAlign w:val="baseline"/>
          <w:rtl/>
        </w:rPr>
        <w:fldChar w:fldCharType="begin" w:dirty="true"/>
      </w:r>
      <w:r>
        <w:rPr>
          <w:rStyle w:val="a5"/>
          <w:sz w:val="20"/>
          <w:szCs w:val="20"/>
          <w:vertAlign w:val="baseline"/>
          <w:rtl/>
        </w:rPr>
        <w:instrText xml:space="preserve"> PAGEREF pr_f_2408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 xml:space="preserve">, הערת שוליים </w:t>
      </w:r>
      <w:r>
        <w:rPr>
          <w:rStyle w:val="a5"/>
          <w:sz w:val="20"/>
          <w:szCs w:val="20"/>
          <w:vertAlign w:val="baseline"/>
          <w:rtl/>
        </w:rPr>
        <w:fldChar w:fldCharType="begin" w:dirty="true"/>
      </w:r>
      <w:r>
        <w:rPr>
          <w:rStyle w:val="a5"/>
          <w:sz w:val="20"/>
          <w:szCs w:val="20"/>
          <w:vertAlign w:val="baseline"/>
          <w:rtl/>
        </w:rPr>
        <w:instrText xml:space="preserve"> NOTEREF pr_f_2408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1454</w:t>
      </w:r>
      <w:r>
        <w:rPr>
          <w:rStyle w:val="a5"/>
          <w:sz w:val="20"/>
          <w:szCs w:val="20"/>
          <w:vertAlign w:val="baseline"/>
          <w:rtl/>
        </w:rPr>
        <w:fldChar w:fldCharType="end"/>
      </w:r>
      <w:r>
        <w:rPr>
          <w:sz w:val="20"/>
          <w:szCs w:val="20"/>
          <w:rtl/>
        </w:rPr>
        <w:t>) – עמ׳ ד, הערה א.</w:t>
      </w:r>
    </w:p>
  </w:footnote>
  <w:footnote w:id="2551">
    <w:p w14:paraId="6E868C4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האמור שם, עמ׳ ג.</w:t>
      </w:r>
    </w:p>
  </w:footnote>
  <w:footnote w:id="2552">
    <w:p w14:paraId="3AC01DE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216–217.</w:t>
      </w:r>
    </w:p>
  </w:footnote>
  <w:footnote w:id="2553">
    <w:p w14:paraId="774874B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רמז לעגל הזהב (על פי שמות לב, כד).</w:t>
      </w:r>
    </w:p>
  </w:footnote>
  <w:footnote w:id="2554">
    <w:p w14:paraId="31B39BF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במדבר </w:t>
      </w:r>
      <w:proofErr w:type="spellStart"/>
      <w:r>
        <w:rPr>
          <w:sz w:val="20"/>
          <w:szCs w:val="20"/>
          <w:rtl/>
        </w:rPr>
        <w:t>יט</w:t>
      </w:r>
      <w:proofErr w:type="spellEnd"/>
      <w:r>
        <w:rPr>
          <w:sz w:val="20"/>
          <w:szCs w:val="20"/>
          <w:rtl/>
        </w:rPr>
        <w:t>.</w:t>
      </w:r>
    </w:p>
  </w:footnote>
  <w:footnote w:id="2555">
    <w:p w14:paraId="5272AE1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פרה פ״ג מ״ט.</w:t>
      </w:r>
    </w:p>
  </w:footnote>
  <w:footnote w:id="2556">
    <w:p w14:paraId="148D890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2557">
    <w:p w14:paraId="14CE1E1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תחילת מסכת יומא.</w:t>
      </w:r>
    </w:p>
  </w:footnote>
  <w:footnote w:id="2558">
    <w:p w14:paraId="4264542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מעניין שהלכות פרה אדומה הנחו את הסבא מקלם כיצד למנוע מהכנסת לימודי החול להפוך את בית ספרו למה שתיאר כעגל הזהב. ראה ברש״י, במדבר </w:t>
      </w:r>
      <w:proofErr w:type="spellStart"/>
      <w:r>
        <w:rPr>
          <w:sz w:val="20"/>
          <w:szCs w:val="20"/>
          <w:rtl/>
        </w:rPr>
        <w:t>יט</w:t>
      </w:r>
      <w:proofErr w:type="spellEnd"/>
      <w:r>
        <w:rPr>
          <w:sz w:val="20"/>
          <w:szCs w:val="20"/>
          <w:rtl/>
        </w:rPr>
        <w:t xml:space="preserve">, </w:t>
      </w:r>
      <w:proofErr w:type="spellStart"/>
      <w:r>
        <w:rPr>
          <w:sz w:val="20"/>
          <w:szCs w:val="20"/>
          <w:rtl/>
        </w:rPr>
        <w:t>כב</w:t>
      </w:r>
      <w:proofErr w:type="spellEnd"/>
      <w:r>
        <w:rPr>
          <w:sz w:val="20"/>
          <w:szCs w:val="20"/>
          <w:rtl/>
        </w:rPr>
        <w:t xml:space="preserve">, את פירושו הדרשני של רבי משה הדרשן, שמטרת הפרה האדומה הייתה לבטל את השפעתו המזיקה של עגל הזהב. ובלשונו הציורית של רש״י: “משל לבן שפחה שטינף פלטין של מלך אמרו </w:t>
      </w:r>
      <w:proofErr w:type="spellStart"/>
      <w:r>
        <w:rPr>
          <w:sz w:val="20"/>
          <w:szCs w:val="20"/>
          <w:rtl/>
        </w:rPr>
        <w:t>תבא</w:t>
      </w:r>
      <w:proofErr w:type="spellEnd"/>
      <w:r>
        <w:rPr>
          <w:sz w:val="20"/>
          <w:szCs w:val="20"/>
          <w:rtl/>
        </w:rPr>
        <w:t xml:space="preserve"> </w:t>
      </w:r>
      <w:proofErr w:type="spellStart"/>
      <w:r>
        <w:rPr>
          <w:sz w:val="20"/>
          <w:szCs w:val="20"/>
          <w:rtl/>
        </w:rPr>
        <w:t>אמו</w:t>
      </w:r>
      <w:proofErr w:type="spellEnd"/>
      <w:r>
        <w:rPr>
          <w:sz w:val="20"/>
          <w:szCs w:val="20"/>
          <w:rtl/>
        </w:rPr>
        <w:t xml:space="preserve"> ותקנח הצואה כך </w:t>
      </w:r>
      <w:proofErr w:type="spellStart"/>
      <w:r>
        <w:rPr>
          <w:sz w:val="20"/>
          <w:szCs w:val="20"/>
          <w:rtl/>
        </w:rPr>
        <w:t>תבא</w:t>
      </w:r>
      <w:proofErr w:type="spellEnd"/>
      <w:r>
        <w:rPr>
          <w:sz w:val="20"/>
          <w:szCs w:val="20"/>
          <w:rtl/>
        </w:rPr>
        <w:t xml:space="preserve"> פרה [האם] ותכפר על העגל [בנה]”.</w:t>
      </w:r>
    </w:p>
  </w:footnote>
  <w:footnote w:id="2559">
    <w:p w14:paraId="1DFE590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הפסקה השנייה בנספח </w:t>
      </w:r>
      <w:proofErr w:type="spellStart"/>
      <w:r>
        <w:rPr>
          <w:sz w:val="20"/>
          <w:szCs w:val="20"/>
          <w:rtl/>
        </w:rPr>
        <w:t>יז</w:t>
      </w:r>
      <w:proofErr w:type="spellEnd"/>
      <w:r>
        <w:rPr>
          <w:sz w:val="20"/>
          <w:szCs w:val="20"/>
          <w:rtl/>
        </w:rPr>
        <w:t xml:space="preserve"> לעיל, על עמדת הסבא </w:t>
      </w:r>
      <w:proofErr w:type="spellStart"/>
      <w:r>
        <w:rPr>
          <w:sz w:val="20"/>
          <w:szCs w:val="20"/>
          <w:rtl/>
        </w:rPr>
        <w:t>מסלבודקה</w:t>
      </w:r>
      <w:proofErr w:type="spellEnd"/>
      <w:r>
        <w:rPr>
          <w:sz w:val="20"/>
          <w:szCs w:val="20"/>
          <w:rtl/>
        </w:rPr>
        <w:t xml:space="preserve"> בעניין זה.</w:t>
      </w:r>
    </w:p>
  </w:footnote>
  <w:footnote w:id="2560">
    <w:p w14:paraId="41AA461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ב לעיל – עמ׳ </w:t>
      </w:r>
      <w:proofErr w:type="spellStart"/>
      <w:r>
        <w:rPr>
          <w:sz w:val="20"/>
          <w:szCs w:val="20"/>
          <w:rtl/>
        </w:rPr>
        <w:t>קצא</w:t>
      </w:r>
      <w:proofErr w:type="spellEnd"/>
      <w:r>
        <w:rPr>
          <w:sz w:val="20"/>
          <w:szCs w:val="20"/>
          <w:rtl/>
        </w:rPr>
        <w:t>. האיגרת מתוארכת ליום שישי, י״ז באלול תרמ״ב, לאחר הקיץ האחרון בחיי ר׳ ישראל, כשחזר מפריז וביקר בקובנה בפעם האחרונה.</w:t>
      </w:r>
    </w:p>
  </w:footnote>
  <w:footnote w:id="2561">
    <w:p w14:paraId="3C4FFDC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16 בעמ׳ 217.</w:t>
      </w:r>
    </w:p>
  </w:footnote>
  <w:footnote w:id="2562">
    <w:p w14:paraId="63C7AD2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קיומה המתמשך של מסורת כזאת מחזק את הדעה שהביע אבי, </w:t>
      </w:r>
      <w:proofErr w:type="spellStart"/>
      <w:r>
        <w:rPr>
          <w:sz w:val="20"/>
          <w:szCs w:val="20"/>
          <w:rtl/>
        </w:rPr>
        <w:t>שגרובין</w:t>
      </w:r>
      <w:proofErr w:type="spellEnd"/>
      <w:r>
        <w:rPr>
          <w:sz w:val="20"/>
          <w:szCs w:val="20"/>
          <w:rtl/>
        </w:rPr>
        <w:t xml:space="preserve"> נסגרה משום שהסבא מקלם החליט שנכשלה בשליחותה החינוכית, כמובא בפסקה השנייה בנספח </w:t>
      </w:r>
      <w:proofErr w:type="spellStart"/>
      <w:r>
        <w:rPr>
          <w:sz w:val="20"/>
          <w:szCs w:val="20"/>
          <w:rtl/>
        </w:rPr>
        <w:t>יז</w:t>
      </w:r>
      <w:proofErr w:type="spellEnd"/>
      <w:r>
        <w:rPr>
          <w:sz w:val="20"/>
          <w:szCs w:val="20"/>
          <w:rtl/>
        </w:rPr>
        <w:t xml:space="preserve"> לעיל; אבל ראה שם שהוכח שדעה זו אינה נכונה. מסורת זו מלמדת שגם אחרי שהרשה ר׳ ישראל לתלמידו לפתוח את בית הספר, עדיין היו לו ספקות אם יוכל להתקיים מבחינה רוחנית; ייתכן שטיפח אותה הסבא </w:t>
      </w:r>
      <w:proofErr w:type="spellStart"/>
      <w:r>
        <w:rPr>
          <w:sz w:val="20"/>
          <w:szCs w:val="20"/>
          <w:rtl/>
        </w:rPr>
        <w:t>מסלבודקה</w:t>
      </w:r>
      <w:proofErr w:type="spellEnd"/>
      <w:r>
        <w:rPr>
          <w:sz w:val="20"/>
          <w:szCs w:val="20"/>
          <w:rtl/>
        </w:rPr>
        <w:t xml:space="preserve">, שביקש לערער את מעמדה של </w:t>
      </w:r>
      <w:proofErr w:type="spellStart"/>
      <w:r>
        <w:rPr>
          <w:sz w:val="20"/>
          <w:szCs w:val="20"/>
          <w:rtl/>
        </w:rPr>
        <w:t>גרובין</w:t>
      </w:r>
      <w:proofErr w:type="spellEnd"/>
      <w:r>
        <w:rPr>
          <w:sz w:val="20"/>
          <w:szCs w:val="20"/>
          <w:rtl/>
        </w:rPr>
        <w:t>.</w:t>
      </w:r>
    </w:p>
  </w:footnote>
  <w:footnote w:id="2563">
    <w:p w14:paraId="7E4BC18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בסוף הערה 69 לעיל.</w:t>
      </w:r>
    </w:p>
  </w:footnote>
  <w:footnote w:id="2564">
    <w:p w14:paraId="3B4B857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הרב לב זכה לתמיכתו הכללית של רבנו בהקמת בית הספר הגבוה לטכנולוגיה. אבל אבי התנה שבניגוד למוסדות מסוג זה בארצות הברית, כגון ישיבת רבנו יצחק אלחנן, בית הספר של הרב לב לא יוכל לכנות את עצמו ישיבה, ואף לא להעניק לתלמידיו דחיית שירות צבאי, כמו שעושות כל הישיבות בישראל. עוד בעניין זה ראה כרך 3.</w:t>
      </w:r>
    </w:p>
  </w:footnote>
  <w:footnote w:id="2565">
    <w:p w14:paraId="5B4C468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21 וסוף נספח כד בפרק זה.</w:t>
      </w:r>
    </w:p>
  </w:footnote>
  <w:footnote w:id="2566">
    <w:p w14:paraId="18398AA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בסוף פסקה זו כיצד תיאורו של ר׳ רפאל הירש, שהודגש, את המצב ברוסיה מהדהד את הערכתו של ר׳ ישראל.</w:t>
      </w:r>
    </w:p>
  </w:footnote>
  <w:footnote w:id="2567">
    <w:p w14:paraId="7288B63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בעמ׳ 27 בגיליון טבת תשכ״ט.</w:t>
      </w:r>
    </w:p>
  </w:footnote>
  <w:footnote w:id="2568">
    <w:p w14:paraId="01C3CA8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איני יכול לקבל את ההנחה של ד״ר </w:t>
      </w:r>
      <w:proofErr w:type="spellStart"/>
      <w:r>
        <w:rPr>
          <w:sz w:val="20"/>
          <w:szCs w:val="20"/>
          <w:rtl/>
        </w:rPr>
        <w:t>ברויאר</w:t>
      </w:r>
      <w:proofErr w:type="spellEnd"/>
      <w:r>
        <w:rPr>
          <w:sz w:val="20"/>
          <w:szCs w:val="20"/>
          <w:rtl/>
        </w:rPr>
        <w:t xml:space="preserve">, שהיו כאן “רמזים עמומים” מכוונים מצד תלמיד המוסר של ר׳ ישראל </w:t>
      </w:r>
      <w:proofErr w:type="spellStart"/>
      <w:r>
        <w:rPr>
          <w:sz w:val="20"/>
          <w:szCs w:val="20"/>
          <w:rtl/>
        </w:rPr>
        <w:t>סלנטר</w:t>
      </w:r>
      <w:proofErr w:type="spellEnd"/>
      <w:r>
        <w:rPr>
          <w:sz w:val="20"/>
          <w:szCs w:val="20"/>
          <w:rtl/>
        </w:rPr>
        <w:t xml:space="preserve">, או “ייפוי” מצד הצדיק ר׳ רפאל הירש. ר׳ </w:t>
      </w:r>
      <w:proofErr w:type="spellStart"/>
      <w:r>
        <w:rPr>
          <w:sz w:val="20"/>
          <w:szCs w:val="20"/>
          <w:rtl/>
        </w:rPr>
        <w:t>אברמצ׳יק</w:t>
      </w:r>
      <w:proofErr w:type="spellEnd"/>
      <w:r>
        <w:rPr>
          <w:sz w:val="20"/>
          <w:szCs w:val="20"/>
          <w:rtl/>
        </w:rPr>
        <w:t xml:space="preserve"> דיבר יידיש ליטאית ור׳ שמשון דיבר גרמנית, ולכן </w:t>
      </w:r>
      <w:proofErr w:type="spellStart"/>
      <w:r>
        <w:rPr>
          <w:sz w:val="20"/>
          <w:szCs w:val="20"/>
          <w:rtl/>
        </w:rPr>
        <w:t>אי־הבנה</w:t>
      </w:r>
      <w:proofErr w:type="spellEnd"/>
      <w:r>
        <w:rPr>
          <w:sz w:val="20"/>
          <w:szCs w:val="20"/>
          <w:rtl/>
        </w:rPr>
        <w:t xml:space="preserve"> יכלה להתעורר בנקל. ראה גם הערת שוליים </w:t>
      </w:r>
      <w:r>
        <w:rPr>
          <w:sz w:val="20"/>
          <w:szCs w:val="20"/>
          <w:rtl/>
        </w:rPr>
        <w:fldChar w:fldCharType="begin" w:dirty="true"/>
      </w:r>
      <w:r>
        <w:rPr>
          <w:sz w:val="20"/>
          <w:szCs w:val="20"/>
          <w:rtl/>
        </w:rPr>
        <w:instrText xml:space="preserve"> NOTEREF pr_f_4659 \h </w:instrText>
      </w:r>
      <w:r>
        <w:rPr>
          <w:sz w:val="20"/>
          <w:szCs w:val="20"/>
          <w:rtl/>
        </w:rPr>
      </w:r>
      <w:r>
        <w:rPr>
          <w:sz w:val="20"/>
          <w:szCs w:val="20"/>
          <w:rtl/>
        </w:rPr>
        <w:fldChar w:fldCharType="separate"/>
      </w:r>
      <w:r w:rsidR="007923E9">
        <w:rPr>
          <w:sz w:val="20"/>
          <w:szCs w:val="20"/>
          <w:rtl/>
        </w:rPr>
        <w:t>313</w:t>
      </w:r>
      <w:r>
        <w:rPr>
          <w:sz w:val="20"/>
          <w:szCs w:val="20"/>
          <w:rtl/>
        </w:rPr>
        <w:fldChar w:fldCharType="end"/>
      </w:r>
      <w:r>
        <w:rPr>
          <w:sz w:val="20"/>
          <w:szCs w:val="20"/>
          <w:rtl/>
        </w:rPr>
        <w:t xml:space="preserve"> (עמ׳ </w:t>
      </w:r>
      <w:r>
        <w:rPr>
          <w:sz w:val="20"/>
          <w:szCs w:val="20"/>
          <w:rtl/>
        </w:rPr>
        <w:fldChar w:fldCharType="begin" w:dirty="true"/>
      </w:r>
      <w:r>
        <w:rPr>
          <w:sz w:val="20"/>
          <w:szCs w:val="20"/>
          <w:rtl/>
        </w:rPr>
        <w:instrText xml:space="preserve"> PAGEREF pr_f_4659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כיצד ייתכן </w:t>
      </w:r>
      <w:proofErr w:type="spellStart"/>
      <w:r>
        <w:rPr>
          <w:sz w:val="20"/>
          <w:szCs w:val="20"/>
          <w:rtl/>
        </w:rPr>
        <w:t>שאי־הבנה</w:t>
      </w:r>
      <w:proofErr w:type="spellEnd"/>
      <w:r>
        <w:rPr>
          <w:sz w:val="20"/>
          <w:szCs w:val="20"/>
          <w:rtl/>
        </w:rPr>
        <w:t xml:space="preserve"> אחרת בין גדולים נבעה מהבדל לשוני.</w:t>
      </w:r>
    </w:p>
  </w:footnote>
  <w:footnote w:id="2569">
    <w:p w14:paraId="4F3E6A4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במכתבו מכ״ד באלול תשנ״ד, שהוזכר לעיל, דחה ד״ר </w:t>
      </w:r>
      <w:proofErr w:type="spellStart"/>
      <w:r>
        <w:rPr>
          <w:sz w:val="20"/>
          <w:szCs w:val="20"/>
          <w:rtl/>
        </w:rPr>
        <w:t>ברויאר</w:t>
      </w:r>
      <w:proofErr w:type="spellEnd"/>
      <w:r>
        <w:rPr>
          <w:sz w:val="20"/>
          <w:szCs w:val="20"/>
          <w:rtl/>
        </w:rPr>
        <w:t xml:space="preserve"> את ההשערה המוצעת כאן, משום שלפי מה שפרסם </w:t>
      </w:r>
      <w:proofErr w:type="spellStart"/>
      <w:r>
        <w:rPr>
          <w:sz w:val="20"/>
          <w:szCs w:val="20"/>
          <w:rtl/>
        </w:rPr>
        <w:t>ב“דער</w:t>
      </w:r>
      <w:proofErr w:type="spellEnd"/>
      <w:r>
        <w:rPr>
          <w:sz w:val="20"/>
          <w:szCs w:val="20"/>
          <w:rtl/>
        </w:rPr>
        <w:t xml:space="preserve"> </w:t>
      </w:r>
      <w:proofErr w:type="spellStart"/>
      <w:r>
        <w:rPr>
          <w:sz w:val="20"/>
          <w:szCs w:val="20"/>
          <w:rtl/>
        </w:rPr>
        <w:t>איזראעליט</w:t>
      </w:r>
      <w:proofErr w:type="spellEnd"/>
      <w:r>
        <w:rPr>
          <w:sz w:val="20"/>
          <w:szCs w:val="20"/>
          <w:rtl/>
        </w:rPr>
        <w:t xml:space="preserve">” חזר הרב מרקוס להמן </w:t>
      </w:r>
      <w:proofErr w:type="spellStart"/>
      <w:r>
        <w:rPr>
          <w:sz w:val="20"/>
          <w:szCs w:val="20"/>
          <w:rtl/>
        </w:rPr>
        <w:t>ממיינץ</w:t>
      </w:r>
      <w:proofErr w:type="spellEnd"/>
      <w:r>
        <w:rPr>
          <w:sz w:val="20"/>
          <w:szCs w:val="20"/>
          <w:rtl/>
        </w:rPr>
        <w:t xml:space="preserve"> – שגם בה ביקר ר׳ </w:t>
      </w:r>
      <w:proofErr w:type="spellStart"/>
      <w:r>
        <w:rPr>
          <w:sz w:val="20"/>
          <w:szCs w:val="20"/>
          <w:rtl/>
        </w:rPr>
        <w:t>אברמצ׳יק</w:t>
      </w:r>
      <w:proofErr w:type="spellEnd"/>
      <w:r>
        <w:rPr>
          <w:sz w:val="20"/>
          <w:szCs w:val="20"/>
          <w:rtl/>
        </w:rPr>
        <w:t xml:space="preserve"> – על תפיסתו של הרב הירש בדבר תוכנית הכולל. אבל ייתכן שהדבר אירע מפני שהרב הירש עצמו כתב את תיאור הכולל לרב להמן באיגרת ההמלצה על הרב שנקר, בלי שר׳ </w:t>
      </w:r>
      <w:proofErr w:type="spellStart"/>
      <w:r>
        <w:rPr>
          <w:sz w:val="20"/>
          <w:szCs w:val="20"/>
          <w:rtl/>
        </w:rPr>
        <w:t>אברמצ׳יק</w:t>
      </w:r>
      <w:proofErr w:type="spellEnd"/>
      <w:r>
        <w:rPr>
          <w:sz w:val="20"/>
          <w:szCs w:val="20"/>
          <w:rtl/>
        </w:rPr>
        <w:t xml:space="preserve"> קרא אותה כלל (ראה בפסקה השנייה בנספח ה לעיל על איגרת המלצה אחרת שנמסרה לבעל מוסר כדי שיביאה).</w:t>
      </w:r>
    </w:p>
  </w:footnote>
  <w:footnote w:id="2570">
    <w:p w14:paraId="287EE9B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א, עמ׳ 113.</w:t>
      </w:r>
    </w:p>
  </w:footnote>
  <w:footnote w:id="2571">
    <w:p w14:paraId="27D9523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250.</w:t>
      </w:r>
    </w:p>
  </w:footnote>
  <w:footnote w:id="2572">
    <w:p w14:paraId="573328E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המאמר האלמוני </w:t>
      </w:r>
      <w:proofErr w:type="spellStart"/>
      <w:r>
        <w:rPr>
          <w:sz w:val="20"/>
          <w:szCs w:val="20"/>
          <w:rtl/>
        </w:rPr>
        <w:t>ב“הזמן</w:t>
      </w:r>
      <w:proofErr w:type="spellEnd"/>
      <w:r>
        <w:rPr>
          <w:sz w:val="20"/>
          <w:szCs w:val="20"/>
          <w:rtl/>
        </w:rPr>
        <w:t>”, נספח א לעיל.</w:t>
      </w:r>
    </w:p>
  </w:footnote>
  <w:footnote w:id="2573">
    <w:p w14:paraId="60B4C62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לעיל – עמ׳ 261–262 ו־305–309.</w:t>
      </w:r>
    </w:p>
  </w:footnote>
  <w:footnote w:id="2574">
    <w:p w14:paraId="12220A9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גם </w:t>
      </w:r>
      <w:proofErr w:type="spellStart"/>
      <w:r>
        <w:rPr>
          <w:sz w:val="20"/>
          <w:szCs w:val="20"/>
          <w:rtl/>
        </w:rPr>
        <w:t>נכדו־חתנו</w:t>
      </w:r>
      <w:proofErr w:type="spellEnd"/>
      <w:r>
        <w:rPr>
          <w:sz w:val="20"/>
          <w:szCs w:val="20"/>
          <w:rtl/>
        </w:rPr>
        <w:t xml:space="preserve"> של ר׳ ישראל, ר׳ </w:t>
      </w:r>
      <w:proofErr w:type="spellStart"/>
      <w:r>
        <w:rPr>
          <w:sz w:val="20"/>
          <w:szCs w:val="20"/>
          <w:rtl/>
        </w:rPr>
        <w:t>חיים־עוזר</w:t>
      </w:r>
      <w:proofErr w:type="spellEnd"/>
      <w:r>
        <w:rPr>
          <w:sz w:val="20"/>
          <w:szCs w:val="20"/>
          <w:rtl/>
        </w:rPr>
        <w:t xml:space="preserve"> </w:t>
      </w:r>
      <w:proofErr w:type="spellStart"/>
      <w:r>
        <w:rPr>
          <w:sz w:val="20"/>
          <w:szCs w:val="20"/>
          <w:rtl/>
        </w:rPr>
        <w:t>גרודזנסקי</w:t>
      </w:r>
      <w:proofErr w:type="spellEnd"/>
      <w:r>
        <w:rPr>
          <w:sz w:val="20"/>
          <w:szCs w:val="20"/>
          <w:rtl/>
        </w:rPr>
        <w:t xml:space="preserve">, הבחין בזמנו בין גרמניה ובין היישוב בארץ ישראל. השווה “קולמוס הלב” (ירושלים, תשנ״ו), עמ׳ קסט, שם מובאת איגרת משנת תשט״ז מאת ר׳ אברהם </w:t>
      </w:r>
      <w:proofErr w:type="spellStart"/>
      <w:r>
        <w:rPr>
          <w:sz w:val="20"/>
          <w:szCs w:val="20"/>
          <w:rtl/>
        </w:rPr>
        <w:t>קלמנוביץ</w:t>
      </w:r>
      <w:proofErr w:type="spellEnd"/>
      <w:r>
        <w:rPr>
          <w:sz w:val="20"/>
          <w:szCs w:val="20"/>
          <w:rtl/>
        </w:rPr>
        <w:t xml:space="preserve"> </w:t>
      </w:r>
      <w:proofErr w:type="spellStart"/>
      <w:r>
        <w:rPr>
          <w:sz w:val="20"/>
          <w:szCs w:val="20"/>
          <w:rtl/>
        </w:rPr>
        <w:t>לר</w:t>
      </w:r>
      <w:proofErr w:type="spellEnd"/>
      <w:r>
        <w:rPr>
          <w:sz w:val="20"/>
          <w:szCs w:val="20"/>
          <w:rtl/>
        </w:rPr>
        <w:t xml:space="preserve">׳ יצחק־זאב </w:t>
      </w:r>
      <w:proofErr w:type="spellStart"/>
      <w:r>
        <w:rPr>
          <w:sz w:val="20"/>
          <w:szCs w:val="20"/>
          <w:rtl/>
        </w:rPr>
        <w:t>סולובייצ׳יק</w:t>
      </w:r>
      <w:proofErr w:type="spellEnd"/>
      <w:r>
        <w:rPr>
          <w:sz w:val="20"/>
          <w:szCs w:val="20"/>
          <w:rtl/>
        </w:rPr>
        <w:t xml:space="preserve"> ולשאר חברי ועד הישיבות בארץ ישראל, ובה הוא מזכיר: “זכרוני </w:t>
      </w:r>
      <w:proofErr w:type="spellStart"/>
      <w:r>
        <w:rPr>
          <w:sz w:val="20"/>
          <w:szCs w:val="20"/>
          <w:rtl/>
        </w:rPr>
        <w:t>שהגרח״ע</w:t>
      </w:r>
      <w:proofErr w:type="spellEnd"/>
      <w:r>
        <w:rPr>
          <w:sz w:val="20"/>
          <w:szCs w:val="20"/>
          <w:rtl/>
        </w:rPr>
        <w:t xml:space="preserve"> זצ״ל מחה בכל תוקף אף בהצדיק ר״מ [בנו של ר׳ עזריאל] </w:t>
      </w:r>
      <w:proofErr w:type="spellStart"/>
      <w:r>
        <w:rPr>
          <w:sz w:val="20"/>
          <w:szCs w:val="20"/>
          <w:rtl/>
        </w:rPr>
        <w:t>הילדסהיימער</w:t>
      </w:r>
      <w:proofErr w:type="spellEnd"/>
      <w:r>
        <w:rPr>
          <w:sz w:val="20"/>
          <w:szCs w:val="20"/>
          <w:rtl/>
        </w:rPr>
        <w:t xml:space="preserve"> ז״ל שלא לעשות סניף הסמינר שלהם בארה״ק לתלמידי אשכנז, ואמר לו שאר״י שאני [מגרמניה]”.</w:t>
      </w:r>
    </w:p>
  </w:footnote>
  <w:footnote w:id="2575">
    <w:p w14:paraId="3EFD804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87.</w:t>
      </w:r>
    </w:p>
  </w:footnote>
  <w:footnote w:id="2576">
    <w:p w14:paraId="1E2EDE7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ב לעיל – עמ׳ רצד.</w:t>
      </w:r>
    </w:p>
  </w:footnote>
  <w:footnote w:id="2577">
    <w:p w14:paraId="0719375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בשיחת </w:t>
      </w:r>
      <w:proofErr w:type="spellStart"/>
      <w:r>
        <w:rPr>
          <w:sz w:val="20"/>
          <w:szCs w:val="20"/>
          <w:rtl/>
        </w:rPr>
        <w:t>ליבוביץ</w:t>
      </w:r>
      <w:proofErr w:type="spellEnd"/>
      <w:r>
        <w:rPr>
          <w:sz w:val="20"/>
          <w:szCs w:val="20"/>
          <w:rtl/>
        </w:rPr>
        <w:t xml:space="preserve"> (נספח א לעיל).</w:t>
      </w:r>
    </w:p>
  </w:footnote>
  <w:footnote w:id="2578">
    <w:p w14:paraId="6D6C388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הוצאת ראובן מס, ירושלים, תשכ״ו – עמ׳ עד.</w:t>
      </w:r>
    </w:p>
  </w:footnote>
  <w:footnote w:id="2579">
    <w:p w14:paraId="6BC26B6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לעיל.</w:t>
      </w:r>
    </w:p>
  </w:footnote>
  <w:footnote w:id="2580">
    <w:p w14:paraId="1C9F947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w:t>
      </w:r>
      <w:proofErr w:type="spellStart"/>
      <w:r>
        <w:rPr>
          <w:sz w:val="20"/>
          <w:szCs w:val="20"/>
          <w:rtl/>
        </w:rPr>
        <w:t>טז</w:t>
      </w:r>
      <w:proofErr w:type="spellEnd"/>
      <w:r>
        <w:rPr>
          <w:sz w:val="20"/>
          <w:szCs w:val="20"/>
          <w:rtl/>
        </w:rPr>
        <w:t xml:space="preserve"> לעיל – עמ׳ </w:t>
      </w:r>
      <w:proofErr w:type="spellStart"/>
      <w:r>
        <w:rPr>
          <w:sz w:val="20"/>
          <w:szCs w:val="20"/>
          <w:rtl/>
        </w:rPr>
        <w:t>תמב</w:t>
      </w:r>
      <w:proofErr w:type="spellEnd"/>
      <w:r>
        <w:rPr>
          <w:sz w:val="20"/>
          <w:szCs w:val="20"/>
          <w:rtl/>
        </w:rPr>
        <w:t>.</w:t>
      </w:r>
    </w:p>
  </w:footnote>
  <w:footnote w:id="2581">
    <w:p w14:paraId="310F02F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ו לעיל – עמ׳ 25–26.</w:t>
      </w:r>
    </w:p>
  </w:footnote>
  <w:footnote w:id="2582">
    <w:p w14:paraId="27F20CA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לעיל.</w:t>
      </w:r>
    </w:p>
  </w:footnote>
  <w:footnote w:id="2583">
    <w:p w14:paraId="0BDD639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נספח א וסוף נספח </w:t>
      </w:r>
      <w:proofErr w:type="spellStart"/>
      <w:r>
        <w:rPr>
          <w:sz w:val="20"/>
          <w:szCs w:val="20"/>
          <w:rtl/>
        </w:rPr>
        <w:t>יב</w:t>
      </w:r>
      <w:proofErr w:type="spellEnd"/>
      <w:r>
        <w:rPr>
          <w:sz w:val="20"/>
          <w:szCs w:val="20"/>
          <w:rtl/>
        </w:rPr>
        <w:t xml:space="preserve"> לעיל, שהמשכילים כבר הפיצו שמועת שווא </w:t>
      </w:r>
      <w:proofErr w:type="spellStart"/>
      <w:r>
        <w:rPr>
          <w:sz w:val="20"/>
          <w:szCs w:val="20"/>
          <w:rtl/>
        </w:rPr>
        <w:t>חמש־עשרה</w:t>
      </w:r>
      <w:proofErr w:type="spellEnd"/>
      <w:r>
        <w:rPr>
          <w:sz w:val="20"/>
          <w:szCs w:val="20"/>
          <w:rtl/>
        </w:rPr>
        <w:t xml:space="preserve"> שנה קודם לכן שפרצה מחלוקת בין לחמן לבין ר׳ </w:t>
      </w:r>
      <w:proofErr w:type="spellStart"/>
      <w:r>
        <w:rPr>
          <w:sz w:val="20"/>
          <w:szCs w:val="20"/>
          <w:rtl/>
        </w:rPr>
        <w:t>איצל׳ה</w:t>
      </w:r>
      <w:proofErr w:type="spellEnd"/>
      <w:r>
        <w:rPr>
          <w:sz w:val="20"/>
          <w:szCs w:val="20"/>
          <w:rtl/>
        </w:rPr>
        <w:t xml:space="preserve"> </w:t>
      </w:r>
      <w:proofErr w:type="spellStart"/>
      <w:r>
        <w:rPr>
          <w:sz w:val="20"/>
          <w:szCs w:val="20"/>
          <w:rtl/>
        </w:rPr>
        <w:t>פטרבורגר</w:t>
      </w:r>
      <w:proofErr w:type="spellEnd"/>
      <w:r>
        <w:rPr>
          <w:sz w:val="20"/>
          <w:szCs w:val="20"/>
          <w:rtl/>
        </w:rPr>
        <w:t>, מנהל כולל קובנה.</w:t>
      </w:r>
    </w:p>
  </w:footnote>
  <w:footnote w:id="2584">
    <w:p w14:paraId="4741DB9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אם השערה זו נכונה, המוסר שהסיק ר׳ </w:t>
      </w:r>
      <w:proofErr w:type="spellStart"/>
      <w:r>
        <w:rPr>
          <w:sz w:val="20"/>
          <w:szCs w:val="20"/>
          <w:rtl/>
        </w:rPr>
        <w:t>ברוך־בער</w:t>
      </w:r>
      <w:proofErr w:type="spellEnd"/>
      <w:r>
        <w:rPr>
          <w:sz w:val="20"/>
          <w:szCs w:val="20"/>
          <w:rtl/>
        </w:rPr>
        <w:t xml:space="preserve"> מדברי רבו – שיש לעמוד “על המשמר כל ימיו כל חייו” – אינו כללי כל כך כפי שקבע ר׳ </w:t>
      </w:r>
      <w:proofErr w:type="spellStart"/>
      <w:r>
        <w:rPr>
          <w:sz w:val="20"/>
          <w:szCs w:val="20"/>
          <w:rtl/>
        </w:rPr>
        <w:t>ברוך־בער</w:t>
      </w:r>
      <w:proofErr w:type="spellEnd"/>
      <w:r>
        <w:rPr>
          <w:sz w:val="20"/>
          <w:szCs w:val="20"/>
          <w:rtl/>
        </w:rPr>
        <w:t xml:space="preserve"> בשיחה לתלמידיו, שהרי ר׳ חיים החיל את העיקרון על מי ש</w:t>
      </w:r>
      <w:r>
        <w:rPr>
          <w:b/>
          <w:bCs/>
          <w:sz w:val="20"/>
          <w:szCs w:val="20"/>
          <w:rtl/>
        </w:rPr>
        <w:t>נסוג</w:t>
      </w:r>
      <w:r>
        <w:rPr>
          <w:sz w:val="20"/>
          <w:szCs w:val="20"/>
          <w:rtl/>
        </w:rPr>
        <w:t xml:space="preserve"> מן המעשים הטובים שעשה.</w:t>
      </w:r>
    </w:p>
  </w:footnote>
  <w:footnote w:id="2585">
    <w:p w14:paraId="4492EE6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כרך 2 בעניין השידוך בין אלכסנדר קרליבך למלכה </w:t>
      </w:r>
      <w:proofErr w:type="spellStart"/>
      <w:r>
        <w:rPr>
          <w:sz w:val="20"/>
          <w:szCs w:val="20"/>
          <w:rtl/>
        </w:rPr>
        <w:t>פרסיץ</w:t>
      </w:r>
      <w:proofErr w:type="spellEnd"/>
      <w:r>
        <w:rPr>
          <w:sz w:val="20"/>
          <w:szCs w:val="20"/>
          <w:rtl/>
        </w:rPr>
        <w:t>.</w:t>
      </w:r>
    </w:p>
  </w:footnote>
  <w:footnote w:id="2586">
    <w:p w14:paraId="53CFB8A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הפסקה הראשונה בנספח ג לעיל. והשווה גם הפסקה השלישית בנספח יד לעיל, שר׳ זליג תרשיש, מחבורת ראשי הישיבות של ר׳ </w:t>
      </w:r>
      <w:proofErr w:type="spellStart"/>
      <w:r>
        <w:rPr>
          <w:sz w:val="20"/>
          <w:szCs w:val="20"/>
          <w:rtl/>
        </w:rPr>
        <w:t>לייזר־יעקב</w:t>
      </w:r>
      <w:proofErr w:type="spellEnd"/>
      <w:r>
        <w:rPr>
          <w:sz w:val="20"/>
          <w:szCs w:val="20"/>
          <w:rtl/>
        </w:rPr>
        <w:t>, התפלל שילדיו יישארו עניים.</w:t>
      </w:r>
    </w:p>
  </w:footnote>
  <w:footnote w:id="2587">
    <w:p w14:paraId="62EAFDE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3 בעמ׳ 35–36.</w:t>
      </w:r>
    </w:p>
  </w:footnote>
  <w:footnote w:id="2588">
    <w:p w14:paraId="6C1CA6E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השנייה בנספח י לעיל.</w:t>
      </w:r>
    </w:p>
  </w:footnote>
  <w:footnote w:id="2589">
    <w:p w14:paraId="223C713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כץ, “תנועת המוסר”, כרך ג, עמ׳ 50–51: כנסת ישראל הייתה רשמית בית כנסת, שהותר ללמוד בו לעשרה אנשים בלבד, ואסור היה לגייס למענו כספים; ועל ביקורי ועדות הממשלה בישיבה: “נקטו באמצעים שלפני כל ביקור של ועדות אלה ימסרו לישיבה הודעה מוקדמת [על ידי שוטרים ששיתפו פעולה], ואז היו התלמידים מתפזרים לבתי הכנסיות שבעיר או מסתגרים בבתים”.</w:t>
      </w:r>
    </w:p>
  </w:footnote>
  <w:footnote w:id="2590">
    <w:p w14:paraId="03CF4D5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פרק 4, הפסקה השנייה בנספח ז, על דעתו של ר׳ </w:t>
      </w:r>
      <w:proofErr w:type="spellStart"/>
      <w:r>
        <w:rPr>
          <w:sz w:val="20"/>
          <w:szCs w:val="20"/>
          <w:rtl/>
        </w:rPr>
        <w:t>אלעזר־מנחם־מן</w:t>
      </w:r>
      <w:proofErr w:type="spellEnd"/>
      <w:r>
        <w:rPr>
          <w:sz w:val="20"/>
          <w:szCs w:val="20"/>
          <w:rtl/>
        </w:rPr>
        <w:t xml:space="preserve"> שך בדבר ר׳ עובדיה לחמן.</w:t>
      </w:r>
    </w:p>
  </w:footnote>
  <w:footnote w:id="2591">
    <w:p w14:paraId="42D651E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2592">
    <w:p w14:paraId="3310E23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בפרק 1.3 שבשנות קיומה של </w:t>
      </w:r>
      <w:proofErr w:type="spellStart"/>
      <w:r>
        <w:rPr>
          <w:sz w:val="20"/>
          <w:szCs w:val="20"/>
          <w:rtl/>
        </w:rPr>
        <w:t>גרובין</w:t>
      </w:r>
      <w:proofErr w:type="spellEnd"/>
      <w:r>
        <w:rPr>
          <w:sz w:val="20"/>
          <w:szCs w:val="20"/>
          <w:rtl/>
        </w:rPr>
        <w:t>, במרץ 1881, התנקשו מהפכנים בצאר אלכסנדר השני.</w:t>
      </w:r>
    </w:p>
  </w:footnote>
  <w:footnote w:id="2593">
    <w:p w14:paraId="29C2FC8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9 במאי 1999.</w:t>
      </w:r>
    </w:p>
  </w:footnote>
  <w:footnote w:id="2594">
    <w:p w14:paraId="385F52E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בפסקה השנייה בנספח </w:t>
      </w:r>
      <w:proofErr w:type="spellStart"/>
      <w:r>
        <w:rPr>
          <w:sz w:val="20"/>
          <w:szCs w:val="20"/>
          <w:rtl/>
        </w:rPr>
        <w:t>כח</w:t>
      </w:r>
      <w:proofErr w:type="spellEnd"/>
      <w:r>
        <w:rPr>
          <w:sz w:val="20"/>
          <w:szCs w:val="20"/>
          <w:rtl/>
        </w:rPr>
        <w:t xml:space="preserve"> להלן.</w:t>
      </w:r>
    </w:p>
  </w:footnote>
  <w:footnote w:id="2595">
    <w:p w14:paraId="3BFC9C7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“קשת </w:t>
      </w:r>
      <w:proofErr w:type="spellStart"/>
      <w:r>
        <w:rPr>
          <w:sz w:val="20"/>
          <w:szCs w:val="20"/>
          <w:rtl/>
        </w:rPr>
        <w:t>גבורים</w:t>
      </w:r>
      <w:proofErr w:type="spellEnd"/>
      <w:r>
        <w:rPr>
          <w:sz w:val="20"/>
          <w:szCs w:val="20"/>
          <w:rtl/>
        </w:rPr>
        <w:t>” (הפסקה הראשונה בנספח א לעיל), עמ׳ 213.</w:t>
      </w:r>
    </w:p>
  </w:footnote>
  <w:footnote w:id="2596">
    <w:p w14:paraId="650C848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106.</w:t>
      </w:r>
    </w:p>
  </w:footnote>
  <w:footnote w:id="2597">
    <w:p w14:paraId="2C4551C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328–329.</w:t>
      </w:r>
    </w:p>
  </w:footnote>
  <w:footnote w:id="2598">
    <w:p w14:paraId="7A5F79F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כך סיפר ר׳ </w:t>
      </w:r>
      <w:proofErr w:type="spellStart"/>
      <w:r>
        <w:rPr>
          <w:sz w:val="20"/>
          <w:szCs w:val="20"/>
          <w:rtl/>
        </w:rPr>
        <w:t>יחיאל־מרדכי</w:t>
      </w:r>
      <w:proofErr w:type="spellEnd"/>
      <w:r>
        <w:rPr>
          <w:sz w:val="20"/>
          <w:szCs w:val="20"/>
          <w:rtl/>
        </w:rPr>
        <w:t xml:space="preserve"> גורדון, חתנו של ר׳ לייזר </w:t>
      </w:r>
      <w:proofErr w:type="spellStart"/>
      <w:r>
        <w:rPr>
          <w:sz w:val="20"/>
          <w:szCs w:val="20"/>
          <w:rtl/>
        </w:rPr>
        <w:t>שולביץ</w:t>
      </w:r>
      <w:proofErr w:type="spellEnd"/>
      <w:r>
        <w:rPr>
          <w:sz w:val="20"/>
          <w:szCs w:val="20"/>
          <w:rtl/>
        </w:rPr>
        <w:t>. השווה גם הערה 102 לעיל.</w:t>
      </w:r>
    </w:p>
  </w:footnote>
  <w:footnote w:id="2599">
    <w:p w14:paraId="3BD5D7E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6 לעיל – עמ׳ 583–584, הערה 58.</w:t>
      </w:r>
    </w:p>
  </w:footnote>
  <w:footnote w:id="2600">
    <w:p w14:paraId="15C9CD7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במקרה היה הוא אחד המספידים את ר׳ </w:t>
      </w:r>
      <w:proofErr w:type="spellStart"/>
      <w:r>
        <w:rPr>
          <w:sz w:val="20"/>
          <w:szCs w:val="20"/>
          <w:rtl/>
        </w:rPr>
        <w:t xml:space="preserve">בער־הירש</w:t>
      </w:r>
      <w:proofErr w:type="spellEnd"/>
      <w:r>
        <w:rPr>
          <w:sz w:val="20"/>
          <w:szCs w:val="20"/>
          <w:rtl/>
        </w:rPr>
        <w:t xml:space="preserve"> כעבור ארבעה עשורים. ראה הפסקה השנייה בנספח </w:t>
      </w:r>
      <w:proofErr w:type="spellStart"/>
      <w:r>
        <w:rPr>
          <w:sz w:val="20"/>
          <w:szCs w:val="20"/>
          <w:rtl/>
        </w:rPr>
        <w:t>כז</w:t>
      </w:r>
      <w:proofErr w:type="spellEnd"/>
      <w:r>
        <w:rPr>
          <w:sz w:val="20"/>
          <w:szCs w:val="20"/>
          <w:rtl/>
        </w:rPr>
        <w:t xml:space="preserve"> להלן.</w:t>
      </w:r>
    </w:p>
  </w:footnote>
  <w:footnote w:id="2601">
    <w:p w14:paraId="79DBCEF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181.</w:t>
      </w:r>
    </w:p>
  </w:footnote>
  <w:footnote w:id="2602">
    <w:p w14:paraId="00A045F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מעשה זה סיפר ר׳ הירש </w:t>
      </w:r>
      <w:proofErr w:type="spellStart"/>
      <w:r>
        <w:rPr>
          <w:sz w:val="20"/>
          <w:szCs w:val="20"/>
          <w:rtl/>
        </w:rPr>
        <w:t>דיסקינד</w:t>
      </w:r>
      <w:proofErr w:type="spellEnd"/>
      <w:r>
        <w:rPr>
          <w:sz w:val="20"/>
          <w:szCs w:val="20"/>
          <w:rtl/>
        </w:rPr>
        <w:t xml:space="preserve"> בשם רבנו ב־16 ביולי 1991. השווה גם סוף הערה 115 בפרק זה, שממנה עולה כי ייתכן שר׳ </w:t>
      </w:r>
      <w:proofErr w:type="spellStart"/>
      <w:r>
        <w:rPr>
          <w:sz w:val="20"/>
          <w:szCs w:val="20"/>
          <w:rtl/>
        </w:rPr>
        <w:t xml:space="preserve">בער־הירש</w:t>
      </w:r>
      <w:proofErr w:type="spellEnd"/>
      <w:r>
        <w:rPr>
          <w:sz w:val="20"/>
          <w:szCs w:val="20"/>
          <w:rtl/>
        </w:rPr>
        <w:t xml:space="preserve"> הגיע לבסוף בעצמו לאותה מדרגה.</w:t>
      </w:r>
    </w:p>
  </w:footnote>
  <w:footnote w:id="2603">
    <w:p w14:paraId="1FA97D1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הערה 71.</w:t>
      </w:r>
    </w:p>
  </w:footnote>
  <w:footnote w:id="2604">
    <w:p w14:paraId="443072B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שבת קכ״ז ע״א.</w:t>
      </w:r>
    </w:p>
  </w:footnote>
  <w:footnote w:id="2605">
    <w:p w14:paraId="11AE6F0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או״ח</w:t>
      </w:r>
      <w:proofErr w:type="spellEnd"/>
      <w:r>
        <w:rPr>
          <w:sz w:val="20"/>
          <w:szCs w:val="20"/>
          <w:rtl/>
        </w:rPr>
        <w:t xml:space="preserve"> סי׳ תר״י.</w:t>
      </w:r>
    </w:p>
  </w:footnote>
  <w:footnote w:id="2606">
    <w:p w14:paraId="6BE7124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כה לעיל – עמ׳ 1449.</w:t>
      </w:r>
    </w:p>
  </w:footnote>
  <w:footnote w:id="2607">
    <w:p w14:paraId="1AB5DFE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מלבד פרשת זכור, ימים נוראים ופורים.</w:t>
      </w:r>
    </w:p>
  </w:footnote>
  <w:footnote w:id="2608">
    <w:p w14:paraId="4E5A6E5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וילנא</w:t>
      </w:r>
      <w:proofErr w:type="spellEnd"/>
      <w:r>
        <w:rPr>
          <w:sz w:val="20"/>
          <w:szCs w:val="20"/>
          <w:rtl/>
        </w:rPr>
        <w:t>, תרל״ה.</w:t>
      </w:r>
    </w:p>
  </w:footnote>
  <w:footnote w:id="2609">
    <w:p w14:paraId="7E48C56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המחבר הוא אברהם אליעזר בר׳ אייזיק </w:t>
      </w:r>
      <w:proofErr w:type="spellStart"/>
      <w:r>
        <w:rPr>
          <w:sz w:val="20"/>
          <w:szCs w:val="20"/>
          <w:rtl/>
        </w:rPr>
        <w:t>הירשאוויץ</w:t>
      </w:r>
      <w:proofErr w:type="spellEnd"/>
      <w:r>
        <w:rPr>
          <w:sz w:val="20"/>
          <w:szCs w:val="20"/>
          <w:rtl/>
        </w:rPr>
        <w:t xml:space="preserve">, המכנה את עצמו בשער “איש </w:t>
      </w:r>
      <w:proofErr w:type="spellStart"/>
      <w:r>
        <w:rPr>
          <w:sz w:val="20"/>
          <w:szCs w:val="20"/>
          <w:rtl/>
        </w:rPr>
        <w:t>קאוונא</w:t>
      </w:r>
      <w:proofErr w:type="spellEnd"/>
      <w:r>
        <w:rPr>
          <w:sz w:val="20"/>
          <w:szCs w:val="20"/>
          <w:rtl/>
        </w:rPr>
        <w:t xml:space="preserve">. (בעת משכנו </w:t>
      </w:r>
      <w:proofErr w:type="spellStart"/>
      <w:r>
        <w:rPr>
          <w:sz w:val="20"/>
          <w:szCs w:val="20"/>
          <w:rtl/>
        </w:rPr>
        <w:t>בפיטטסבורג</w:t>
      </w:r>
      <w:proofErr w:type="spellEnd"/>
      <w:r>
        <w:rPr>
          <w:sz w:val="20"/>
          <w:szCs w:val="20"/>
          <w:rtl/>
        </w:rPr>
        <w:t xml:space="preserve">, פא. באמריקה)”. הרבנים המסכימים הם: ר׳ </w:t>
      </w:r>
      <w:proofErr w:type="spellStart"/>
      <w:r>
        <w:rPr>
          <w:sz w:val="20"/>
          <w:szCs w:val="20"/>
          <w:rtl/>
        </w:rPr>
        <w:t>יצחק־אלחנן</w:t>
      </w:r>
      <w:proofErr w:type="spellEnd"/>
      <w:r>
        <w:rPr>
          <w:sz w:val="20"/>
          <w:szCs w:val="20"/>
          <w:rtl/>
        </w:rPr>
        <w:t xml:space="preserve"> </w:t>
      </w:r>
      <w:proofErr w:type="spellStart"/>
      <w:r>
        <w:rPr>
          <w:sz w:val="20"/>
          <w:szCs w:val="20"/>
          <w:rtl/>
        </w:rPr>
        <w:t>ספקטור</w:t>
      </w:r>
      <w:proofErr w:type="spellEnd"/>
      <w:r>
        <w:rPr>
          <w:sz w:val="20"/>
          <w:szCs w:val="20"/>
          <w:rtl/>
        </w:rPr>
        <w:t xml:space="preserve"> (רב קובנה), ר׳ </w:t>
      </w:r>
      <w:proofErr w:type="spellStart"/>
      <w:r>
        <w:rPr>
          <w:sz w:val="20"/>
          <w:szCs w:val="20"/>
          <w:rtl/>
        </w:rPr>
        <w:t>מאיר־נח</w:t>
      </w:r>
      <w:proofErr w:type="spellEnd"/>
      <w:r>
        <w:rPr>
          <w:sz w:val="20"/>
          <w:szCs w:val="20"/>
          <w:rtl/>
        </w:rPr>
        <w:t xml:space="preserve"> לוין (מגיד בווילנה), ר׳ שלמה הכהן (</w:t>
      </w:r>
      <w:proofErr w:type="spellStart"/>
      <w:r>
        <w:rPr>
          <w:sz w:val="20"/>
          <w:szCs w:val="20"/>
          <w:rtl/>
        </w:rPr>
        <w:t>מ״ץ</w:t>
      </w:r>
      <w:proofErr w:type="spellEnd"/>
      <w:r>
        <w:rPr>
          <w:sz w:val="20"/>
          <w:szCs w:val="20"/>
          <w:rtl/>
        </w:rPr>
        <w:t xml:space="preserve"> בווילנה), ר׳ </w:t>
      </w:r>
      <w:proofErr w:type="spellStart"/>
      <w:r>
        <w:rPr>
          <w:sz w:val="20"/>
          <w:szCs w:val="20"/>
          <w:rtl/>
        </w:rPr>
        <w:t>אלכסנדר־משה</w:t>
      </w:r>
      <w:proofErr w:type="spellEnd"/>
      <w:r>
        <w:rPr>
          <w:sz w:val="20"/>
          <w:szCs w:val="20"/>
          <w:rtl/>
        </w:rPr>
        <w:t xml:space="preserve"> לפידות (רב </w:t>
      </w:r>
      <w:proofErr w:type="spellStart"/>
      <w:r>
        <w:rPr>
          <w:sz w:val="20"/>
          <w:szCs w:val="20"/>
          <w:rtl/>
        </w:rPr>
        <w:t>ראסיין</w:t>
      </w:r>
      <w:proofErr w:type="spellEnd"/>
      <w:r>
        <w:rPr>
          <w:sz w:val="20"/>
          <w:szCs w:val="20"/>
          <w:rtl/>
        </w:rPr>
        <w:t xml:space="preserve">), ר׳ חיים </w:t>
      </w:r>
      <w:proofErr w:type="spellStart"/>
      <w:r>
        <w:rPr>
          <w:sz w:val="20"/>
          <w:szCs w:val="20"/>
          <w:rtl/>
        </w:rPr>
        <w:t>רצקר</w:t>
      </w:r>
      <w:proofErr w:type="spellEnd"/>
      <w:r>
        <w:rPr>
          <w:sz w:val="20"/>
          <w:szCs w:val="20"/>
          <w:rtl/>
        </w:rPr>
        <w:t xml:space="preserve"> (רב </w:t>
      </w:r>
      <w:proofErr w:type="spellStart"/>
      <w:r>
        <w:rPr>
          <w:sz w:val="20"/>
          <w:szCs w:val="20"/>
          <w:rtl/>
        </w:rPr>
        <w:t>יאנובה</w:t>
      </w:r>
      <w:proofErr w:type="spellEnd"/>
      <w:r>
        <w:rPr>
          <w:sz w:val="20"/>
          <w:szCs w:val="20"/>
          <w:rtl/>
        </w:rPr>
        <w:t xml:space="preserve">, “נצר ממשפחה רמה בישראל משפחת </w:t>
      </w:r>
      <w:proofErr w:type="spellStart"/>
      <w:r>
        <w:rPr>
          <w:sz w:val="20"/>
          <w:szCs w:val="20"/>
          <w:rtl/>
        </w:rPr>
        <w:t>הט״ז</w:t>
      </w:r>
      <w:proofErr w:type="spellEnd"/>
      <w:r>
        <w:rPr>
          <w:sz w:val="20"/>
          <w:szCs w:val="20"/>
          <w:rtl/>
        </w:rPr>
        <w:t xml:space="preserve">”) ור׳ </w:t>
      </w:r>
      <w:proofErr w:type="spellStart"/>
      <w:r>
        <w:rPr>
          <w:sz w:val="20"/>
          <w:szCs w:val="20"/>
          <w:rtl/>
        </w:rPr>
        <w:t>הלל־דוד</w:t>
      </w:r>
      <w:proofErr w:type="spellEnd"/>
      <w:r>
        <w:rPr>
          <w:sz w:val="20"/>
          <w:szCs w:val="20"/>
          <w:rtl/>
        </w:rPr>
        <w:t xml:space="preserve"> </w:t>
      </w:r>
      <w:proofErr w:type="spellStart"/>
      <w:r>
        <w:rPr>
          <w:sz w:val="20"/>
          <w:szCs w:val="20"/>
          <w:rtl/>
        </w:rPr>
        <w:t>טריווש</w:t>
      </w:r>
      <w:proofErr w:type="spellEnd"/>
      <w:r>
        <w:rPr>
          <w:sz w:val="20"/>
          <w:szCs w:val="20"/>
          <w:rtl/>
        </w:rPr>
        <w:t xml:space="preserve"> (רב </w:t>
      </w:r>
      <w:proofErr w:type="spellStart"/>
      <w:r>
        <w:rPr>
          <w:sz w:val="20"/>
          <w:szCs w:val="20"/>
          <w:rtl/>
        </w:rPr>
        <w:t>וילקי</w:t>
      </w:r>
      <w:proofErr w:type="spellEnd"/>
      <w:r>
        <w:rPr>
          <w:sz w:val="20"/>
          <w:szCs w:val="20"/>
          <w:rtl/>
        </w:rPr>
        <w:t xml:space="preserve">). לספר גם הסכמות מאת ר׳ צדוק הכהן מפריז, ומאת הסופרים ר׳ קלמן </w:t>
      </w:r>
      <w:proofErr w:type="spellStart"/>
      <w:r>
        <w:rPr>
          <w:sz w:val="20"/>
          <w:szCs w:val="20"/>
          <w:rtl/>
        </w:rPr>
        <w:t>שולמן</w:t>
      </w:r>
      <w:proofErr w:type="spellEnd"/>
      <w:r>
        <w:rPr>
          <w:sz w:val="20"/>
          <w:szCs w:val="20"/>
          <w:rtl/>
        </w:rPr>
        <w:t xml:space="preserve"> מווילנה ור׳ מרדכי </w:t>
      </w:r>
      <w:proofErr w:type="spellStart"/>
      <w:r>
        <w:rPr>
          <w:sz w:val="20"/>
          <w:szCs w:val="20"/>
          <w:rtl/>
        </w:rPr>
        <w:t>וייסמן־חיות</w:t>
      </w:r>
      <w:proofErr w:type="spellEnd"/>
      <w:r>
        <w:rPr>
          <w:sz w:val="20"/>
          <w:szCs w:val="20"/>
          <w:rtl/>
        </w:rPr>
        <w:t xml:space="preserve"> מווינה (שכתב בראשי התיבות של שמו, “</w:t>
      </w:r>
      <w:proofErr w:type="spellStart"/>
      <w:r>
        <w:rPr>
          <w:sz w:val="20"/>
          <w:szCs w:val="20"/>
          <w:rtl/>
        </w:rPr>
        <w:t>מו״ח</w:t>
      </w:r>
      <w:proofErr w:type="spellEnd"/>
      <w:r>
        <w:rPr>
          <w:sz w:val="20"/>
          <w:szCs w:val="20"/>
          <w:rtl/>
        </w:rPr>
        <w:t xml:space="preserve">”). על פי תאריכי ההסכמות מווינה ומפריז נראה שהמחבר קיבל אותן בדרכו לאמריקה. הספר נדפס בווילנה (דפוס ש.פ. </w:t>
      </w:r>
      <w:proofErr w:type="spellStart"/>
      <w:r>
        <w:rPr>
          <w:sz w:val="20"/>
          <w:szCs w:val="20"/>
          <w:rtl/>
        </w:rPr>
        <w:t>גארבער</w:t>
      </w:r>
      <w:proofErr w:type="spellEnd"/>
      <w:r>
        <w:rPr>
          <w:sz w:val="20"/>
          <w:szCs w:val="20"/>
          <w:rtl/>
        </w:rPr>
        <w:t xml:space="preserve">) </w:t>
      </w:r>
      <w:proofErr w:type="spellStart"/>
      <w:r>
        <w:rPr>
          <w:sz w:val="20"/>
          <w:szCs w:val="20"/>
          <w:rtl/>
        </w:rPr>
        <w:t>בתרע״ד</w:t>
      </w:r>
      <w:proofErr w:type="spellEnd"/>
      <w:r>
        <w:rPr>
          <w:sz w:val="20"/>
          <w:szCs w:val="20"/>
          <w:rtl/>
        </w:rPr>
        <w:t>, שני עשורים אחרי שקיבל את ההסכמות.</w:t>
      </w:r>
    </w:p>
  </w:footnote>
  <w:footnote w:id="2610">
    <w:p w14:paraId="48C984D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ה לעיל. הציטוט כאן לקוח מקטע מאמר מאת אחד משני העורכים, </w:t>
      </w:r>
      <w:proofErr w:type="spellStart"/>
      <w:r>
        <w:rPr>
          <w:sz w:val="20"/>
          <w:szCs w:val="20"/>
          <w:rtl/>
        </w:rPr>
        <w:t>דובערוש</w:t>
      </w:r>
      <w:proofErr w:type="spellEnd"/>
      <w:r>
        <w:rPr>
          <w:sz w:val="20"/>
          <w:szCs w:val="20"/>
          <w:rtl/>
        </w:rPr>
        <w:t xml:space="preserve"> </w:t>
      </w:r>
      <w:proofErr w:type="spellStart"/>
      <w:r>
        <w:rPr>
          <w:sz w:val="20"/>
          <w:szCs w:val="20"/>
          <w:rtl/>
        </w:rPr>
        <w:t>ירוחמזאהן</w:t>
      </w:r>
      <w:proofErr w:type="spellEnd"/>
      <w:r>
        <w:rPr>
          <w:sz w:val="20"/>
          <w:szCs w:val="20"/>
          <w:rtl/>
        </w:rPr>
        <w:t xml:space="preserve"> (החותם “</w:t>
      </w:r>
      <w:proofErr w:type="spellStart"/>
      <w:r>
        <w:rPr>
          <w:sz w:val="20"/>
          <w:szCs w:val="20"/>
          <w:rtl/>
        </w:rPr>
        <w:t>בן־ירוחם</w:t>
      </w:r>
      <w:proofErr w:type="spellEnd"/>
      <w:r>
        <w:rPr>
          <w:sz w:val="20"/>
          <w:szCs w:val="20"/>
          <w:rtl/>
        </w:rPr>
        <w:t>”), אות ט, הנקרא “</w:t>
      </w:r>
      <w:proofErr w:type="spellStart"/>
      <w:r>
        <w:rPr>
          <w:sz w:val="20"/>
          <w:szCs w:val="20"/>
          <w:rtl/>
        </w:rPr>
        <w:t>זכרון</w:t>
      </w:r>
      <w:proofErr w:type="spellEnd"/>
      <w:r>
        <w:rPr>
          <w:sz w:val="20"/>
          <w:szCs w:val="20"/>
          <w:rtl/>
        </w:rPr>
        <w:t xml:space="preserve"> להולכים”, בתוך כתבת חדשות כללית שנכתבה בשדה לבן בשנת תרנ״ה.</w:t>
      </w:r>
    </w:p>
  </w:footnote>
  <w:footnote w:id="2611">
    <w:p w14:paraId="75F9FB2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ווארשא</w:t>
      </w:r>
      <w:proofErr w:type="spellEnd"/>
      <w:r>
        <w:rPr>
          <w:sz w:val="20"/>
          <w:szCs w:val="20"/>
          <w:rtl/>
        </w:rPr>
        <w:t>, תרנ״ה.</w:t>
      </w:r>
    </w:p>
  </w:footnote>
  <w:footnote w:id="2612">
    <w:p w14:paraId="1224F93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בהסכמה הנזכרת בעמ׳ </w:t>
      </w:r>
      <w:r>
        <w:rPr>
          <w:rStyle w:val="a5"/>
          <w:sz w:val="20"/>
          <w:szCs w:val="20"/>
          <w:vertAlign w:val="baseline"/>
          <w:rtl/>
        </w:rPr>
        <w:fldChar w:fldCharType="begin" w:dirty="true"/>
      </w:r>
      <w:r>
        <w:rPr>
          <w:rStyle w:val="a5"/>
          <w:sz w:val="20"/>
          <w:szCs w:val="20"/>
          <w:vertAlign w:val="baseline"/>
          <w:rtl/>
        </w:rPr>
        <w:instrText xml:space="preserve"> PAGEREF pr_close_b_2462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 xml:space="preserve"> לעיל מתנצל ר׳ לייב על איחורו במילים: “ואבקש </w:t>
      </w:r>
      <w:proofErr w:type="spellStart"/>
      <w:r>
        <w:rPr>
          <w:rStyle w:val="a5"/>
          <w:sz w:val="20"/>
          <w:szCs w:val="20"/>
          <w:vertAlign w:val="baseline"/>
          <w:rtl/>
        </w:rPr>
        <w:t>מכתר״ה</w:t>
      </w:r>
      <w:proofErr w:type="spellEnd"/>
      <w:r>
        <w:rPr>
          <w:rStyle w:val="a5"/>
          <w:sz w:val="20"/>
          <w:szCs w:val="20"/>
          <w:vertAlign w:val="baseline"/>
          <w:rtl/>
        </w:rPr>
        <w:t xml:space="preserve"> הסליחה נא ע״ד שנתאחר כ״כ מכתבי להשיב </w:t>
      </w:r>
      <w:proofErr w:type="spellStart"/>
      <w:r>
        <w:rPr>
          <w:rStyle w:val="a5"/>
          <w:sz w:val="20"/>
          <w:szCs w:val="20"/>
          <w:vertAlign w:val="baseline"/>
          <w:rtl/>
        </w:rPr>
        <w:t>לכתר״ה</w:t>
      </w:r>
      <w:proofErr w:type="spellEnd"/>
      <w:r>
        <w:rPr>
          <w:rStyle w:val="a5"/>
          <w:sz w:val="20"/>
          <w:szCs w:val="20"/>
          <w:vertAlign w:val="baseline"/>
          <w:rtl/>
        </w:rPr>
        <w:t xml:space="preserve"> </w:t>
      </w:r>
      <w:proofErr w:type="spellStart"/>
      <w:r>
        <w:rPr>
          <w:rStyle w:val="a5"/>
          <w:sz w:val="20"/>
          <w:szCs w:val="20"/>
          <w:vertAlign w:val="baseline"/>
          <w:rtl/>
        </w:rPr>
        <w:t>כו</w:t>
      </w:r>
      <w:proofErr w:type="spellEnd"/>
      <w:r>
        <w:rPr>
          <w:rStyle w:val="a5"/>
          <w:sz w:val="20"/>
          <w:szCs w:val="20"/>
          <w:vertAlign w:val="baseline"/>
          <w:rtl/>
        </w:rPr>
        <w:t>׳</w:t>
      </w:r>
      <w:r>
        <w:rPr>
          <w:sz w:val="20"/>
          <w:szCs w:val="20"/>
          <w:rtl/>
        </w:rPr>
        <w:t xml:space="preserve">, יען מחמת שאני אינני בבריאות </w:t>
      </w:r>
      <w:proofErr w:type="spellStart"/>
      <w:r>
        <w:rPr>
          <w:sz w:val="20"/>
          <w:szCs w:val="20"/>
          <w:rtl/>
        </w:rPr>
        <w:t>ל״ע</w:t>
      </w:r>
      <w:proofErr w:type="spellEnd"/>
      <w:r>
        <w:rPr>
          <w:sz w:val="20"/>
          <w:szCs w:val="20"/>
          <w:rtl/>
        </w:rPr>
        <w:t xml:space="preserve">, ע״כ הוכרחתי להתאחר כ״כ”. ר׳ לייב כתב זאת </w:t>
      </w:r>
      <w:proofErr w:type="spellStart"/>
      <w:r>
        <w:rPr>
          <w:sz w:val="20"/>
          <w:szCs w:val="20"/>
          <w:rtl/>
        </w:rPr>
        <w:t>ב״י״ב</w:t>
      </w:r>
      <w:proofErr w:type="spellEnd"/>
      <w:r>
        <w:rPr>
          <w:sz w:val="20"/>
          <w:szCs w:val="20"/>
          <w:rtl/>
        </w:rPr>
        <w:t xml:space="preserve"> </w:t>
      </w:r>
      <w:proofErr w:type="spellStart"/>
      <w:r>
        <w:rPr>
          <w:sz w:val="20"/>
          <w:szCs w:val="20"/>
          <w:rtl/>
        </w:rPr>
        <w:t>מרחשון</w:t>
      </w:r>
      <w:proofErr w:type="spellEnd"/>
      <w:r>
        <w:rPr>
          <w:sz w:val="20"/>
          <w:szCs w:val="20"/>
          <w:rtl/>
        </w:rPr>
        <w:t xml:space="preserve"> תרנ״ד”.</w:t>
      </w:r>
    </w:p>
  </w:footnote>
  <w:footnote w:id="2613">
    <w:p w14:paraId="2F7951C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5 באוקטובר 1997.</w:t>
      </w:r>
    </w:p>
  </w:footnote>
  <w:footnote w:id="2614">
    <w:p w14:paraId="5C430BD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גם לעיל שאף מחבר “מנהגי ישראל” מכנה אותו בשם חיבה זה.</w:t>
      </w:r>
    </w:p>
  </w:footnote>
  <w:footnote w:id="2615">
    <w:p w14:paraId="132B35E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סנהדרין צ״ה </w:t>
      </w:r>
      <w:proofErr w:type="spellStart"/>
      <w:r>
        <w:rPr>
          <w:sz w:val="20"/>
          <w:szCs w:val="20"/>
          <w:rtl/>
        </w:rPr>
        <w:t>סע״א</w:t>
      </w:r>
      <w:proofErr w:type="spellEnd"/>
      <w:r>
        <w:rPr>
          <w:sz w:val="20"/>
          <w:szCs w:val="20"/>
          <w:rtl/>
        </w:rPr>
        <w:t>.</w:t>
      </w:r>
    </w:p>
  </w:footnote>
  <w:footnote w:id="2616">
    <w:p w14:paraId="7BC02BE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ועיין באר היטב </w:t>
      </w:r>
      <w:proofErr w:type="spellStart"/>
      <w:r>
        <w:rPr>
          <w:sz w:val="20"/>
          <w:szCs w:val="20"/>
          <w:rtl/>
        </w:rPr>
        <w:t>שו״ע</w:t>
      </w:r>
      <w:proofErr w:type="spellEnd"/>
      <w:r>
        <w:rPr>
          <w:sz w:val="20"/>
          <w:szCs w:val="20"/>
          <w:rtl/>
        </w:rPr>
        <w:t xml:space="preserve"> </w:t>
      </w:r>
      <w:proofErr w:type="spellStart"/>
      <w:r>
        <w:rPr>
          <w:sz w:val="20"/>
          <w:szCs w:val="20"/>
          <w:rtl/>
        </w:rPr>
        <w:t>או״ח</w:t>
      </w:r>
      <w:proofErr w:type="spellEnd"/>
      <w:r>
        <w:rPr>
          <w:sz w:val="20"/>
          <w:szCs w:val="20"/>
          <w:rtl/>
        </w:rPr>
        <w:t xml:space="preserve"> סי׳ תר״ב </w:t>
      </w:r>
      <w:proofErr w:type="spellStart"/>
      <w:r>
        <w:rPr>
          <w:sz w:val="20"/>
          <w:szCs w:val="20"/>
          <w:rtl/>
        </w:rPr>
        <w:t>סק״ד</w:t>
      </w:r>
      <w:proofErr w:type="spellEnd"/>
      <w:r>
        <w:rPr>
          <w:sz w:val="20"/>
          <w:szCs w:val="20"/>
          <w:rtl/>
        </w:rPr>
        <w:t>.</w:t>
      </w:r>
    </w:p>
  </w:footnote>
  <w:footnote w:id="2617">
    <w:p w14:paraId="1661D56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ריאיון, 16 במרץ 1995. האגדה השנייה מובאת בסוף נספח זה, עמ׳ </w:t>
      </w:r>
      <w:r>
        <w:rPr>
          <w:sz w:val="20"/>
          <w:szCs w:val="20"/>
          <w:rtl/>
        </w:rPr>
        <w:fldChar w:fldCharType="begin" w:dirty="true"/>
      </w:r>
      <w:r>
        <w:rPr>
          <w:sz w:val="20"/>
          <w:szCs w:val="20"/>
          <w:rtl/>
        </w:rPr>
        <w:instrText xml:space="preserve"> PAGEREF pr_b_1607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2618">
    <w:p w14:paraId="4243993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23 בינואר 1992.</w:t>
      </w:r>
    </w:p>
  </w:footnote>
  <w:footnote w:id="2619">
    <w:p w14:paraId="3659CEE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6 בנובמבר 1996.</w:t>
      </w:r>
    </w:p>
  </w:footnote>
  <w:footnote w:id="2620">
    <w:p w14:paraId="2E63AB1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6 בנובמבר 1996.</w:t>
      </w:r>
    </w:p>
  </w:footnote>
  <w:footnote w:id="2621">
    <w:p w14:paraId="40A87C0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 xml:space="preserve">ניו יורק</w:t>
      </w:r>
      <w:proofErr w:type="spellEnd"/>
      <w:r>
        <w:rPr>
          <w:sz w:val="20"/>
          <w:szCs w:val="20"/>
          <w:rtl/>
        </w:rPr>
        <w:t xml:space="preserve"/>
      </w:r>
      <w:proofErr w:type="spellStart"/>
      <w:r>
        <w:rPr>
          <w:sz w:val="20"/>
          <w:szCs w:val="20"/>
          <w:rtl/>
        </w:rPr>
        <w:t xml:space="preserve"/>
      </w:r>
      <w:proofErr w:type="spellEnd"/>
      <w:r>
        <w:rPr>
          <w:sz w:val="20"/>
          <w:szCs w:val="20"/>
          <w:rtl/>
        </w:rPr>
        <w:t xml:space="preserve">, תשנ״ז – תחילת מאמר </w:t>
      </w:r>
      <w:proofErr w:type="spellStart"/>
      <w:r>
        <w:rPr>
          <w:sz w:val="20"/>
          <w:szCs w:val="20"/>
          <w:rtl/>
        </w:rPr>
        <w:t>יח</w:t>
      </w:r>
      <w:proofErr w:type="spellEnd"/>
      <w:r>
        <w:rPr>
          <w:sz w:val="20"/>
          <w:szCs w:val="20"/>
          <w:rtl/>
        </w:rPr>
        <w:t>.</w:t>
      </w:r>
    </w:p>
  </w:footnote>
  <w:footnote w:id="2622">
    <w:p w14:paraId="1AAA37F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הפסקה החמישית להלן.</w:t>
      </w:r>
    </w:p>
  </w:footnote>
  <w:footnote w:id="2623">
    <w:p w14:paraId="0F31AD0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הערת שוליים </w:t>
      </w:r>
      <w:r>
        <w:rPr>
          <w:rStyle w:val="a5"/>
          <w:sz w:val="20"/>
          <w:szCs w:val="20"/>
          <w:vertAlign w:val="baseline"/>
          <w:rtl/>
        </w:rPr>
        <w:fldChar w:fldCharType="begin" w:dirty="true"/>
      </w:r>
      <w:r>
        <w:rPr>
          <w:rStyle w:val="a5"/>
          <w:sz w:val="20"/>
          <w:szCs w:val="20"/>
          <w:vertAlign w:val="baseline"/>
          <w:rtl/>
        </w:rPr>
        <w:instrText xml:space="preserve"> NOTEREF pr_f_1539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585</w:t>
      </w:r>
      <w:r>
        <w:rPr>
          <w:rStyle w:val="a5"/>
          <w:sz w:val="20"/>
          <w:szCs w:val="20"/>
          <w:vertAlign w:val="baseline"/>
          <w:rtl/>
        </w:rPr>
        <w:fldChar w:fldCharType="end"/>
      </w:r>
      <w:r>
        <w:rPr>
          <w:rStyle w:val="a5"/>
          <w:sz w:val="20"/>
          <w:szCs w:val="20"/>
          <w:vertAlign w:val="baseline"/>
          <w:rtl/>
        </w:rPr>
        <w:t xml:space="preserve"> בעמ׳ </w:t>
      </w:r>
      <w:r>
        <w:rPr>
          <w:rStyle w:val="a5"/>
          <w:sz w:val="20"/>
          <w:szCs w:val="20"/>
          <w:vertAlign w:val="baseline"/>
          <w:rtl/>
        </w:rPr>
        <w:fldChar w:fldCharType="begin" w:dirty="true"/>
      </w:r>
      <w:r>
        <w:rPr>
          <w:rStyle w:val="a5"/>
          <w:sz w:val="20"/>
          <w:szCs w:val="20"/>
          <w:vertAlign w:val="baseline"/>
          <w:rtl/>
        </w:rPr>
        <w:instrText xml:space="preserve"> PAGEREF pr_f_1539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 xml:space="preserve"> בכרך זה, שייתכן כי זו הייתה אמת המידה שלו עצמו</w:t>
      </w:r>
      <w:r>
        <w:rPr>
          <w:sz w:val="20"/>
          <w:szCs w:val="20"/>
          <w:rtl/>
        </w:rPr>
        <w:t>.</w:t>
      </w:r>
    </w:p>
  </w:footnote>
  <w:footnote w:id="2624">
    <w:p w14:paraId="7FC815D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360, הערת שוליים.</w:t>
      </w:r>
    </w:p>
  </w:footnote>
  <w:footnote w:id="2625">
    <w:p w14:paraId="39FB0F0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נט. הנקודה המודגשת עשויה להתייחס למעשה על ר׳ ישראל שנדפס בגיליון הזיכרון של “שערי ציון” במלאות חמישים שנה לפטירת ר׳ ישראל (שם, הערת שוליים </w:t>
      </w:r>
      <w:r>
        <w:rPr>
          <w:sz w:val="20"/>
          <w:szCs w:val="20"/>
          <w:rtl/>
        </w:rPr>
        <w:fldChar w:fldCharType="begin" w:dirty="true"/>
      </w:r>
      <w:r>
        <w:rPr>
          <w:sz w:val="20"/>
          <w:szCs w:val="20"/>
          <w:rtl/>
        </w:rPr>
        <w:instrText xml:space="preserve"> NOTEREF pr_f_78 \h </w:instrText>
      </w:r>
      <w:r>
        <w:rPr>
          <w:sz w:val="20"/>
          <w:szCs w:val="20"/>
          <w:rtl/>
        </w:rPr>
      </w:r>
      <w:r>
        <w:rPr>
          <w:sz w:val="20"/>
          <w:szCs w:val="20"/>
          <w:rtl/>
        </w:rPr>
        <w:fldChar w:fldCharType="separate"/>
      </w:r>
      <w:r w:rsidR="007923E9">
        <w:rPr>
          <w:sz w:val="20"/>
          <w:szCs w:val="20"/>
          <w:rtl/>
        </w:rPr>
        <w:t>23</w:t>
      </w:r>
      <w:r>
        <w:rPr>
          <w:sz w:val="20"/>
          <w:szCs w:val="20"/>
          <w:rtl/>
        </w:rPr>
        <w:fldChar w:fldCharType="end"/>
      </w:r>
      <w:r>
        <w:rPr>
          <w:sz w:val="20"/>
          <w:szCs w:val="20"/>
          <w:rtl/>
        </w:rPr>
        <w:t xml:space="preserve">, עמ׳ </w:t>
      </w:r>
      <w:r>
        <w:rPr>
          <w:sz w:val="20"/>
          <w:szCs w:val="20"/>
          <w:rtl/>
        </w:rPr>
        <w:fldChar w:fldCharType="begin" w:dirty="true"/>
      </w:r>
      <w:r>
        <w:rPr>
          <w:sz w:val="20"/>
          <w:szCs w:val="20"/>
          <w:rtl/>
        </w:rPr>
        <w:instrText xml:space="preserve"> PAGEREF pr_f_78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עמ׳ </w:t>
      </w:r>
      <w:proofErr w:type="spellStart"/>
      <w:r>
        <w:rPr>
          <w:sz w:val="20"/>
          <w:szCs w:val="20"/>
          <w:rtl/>
        </w:rPr>
        <w:t>סא</w:t>
      </w:r>
      <w:proofErr w:type="spellEnd"/>
      <w:r>
        <w:rPr>
          <w:sz w:val="20"/>
          <w:szCs w:val="20"/>
          <w:rtl/>
        </w:rPr>
        <w:t xml:space="preserve">–סב. ראה פרטים בהערת שוליים </w:t>
      </w:r>
      <w:r>
        <w:rPr>
          <w:sz w:val="20"/>
          <w:szCs w:val="20"/>
          <w:rtl/>
        </w:rPr>
        <w:fldChar w:fldCharType="begin" w:dirty="true"/>
      </w:r>
      <w:r>
        <w:rPr>
          <w:sz w:val="20"/>
          <w:szCs w:val="20"/>
          <w:rtl/>
        </w:rPr>
        <w:instrText xml:space="preserve"> NOTEREF pr_f_1219 \h </w:instrText>
      </w:r>
      <w:r>
        <w:rPr>
          <w:sz w:val="20"/>
          <w:szCs w:val="20"/>
          <w:rtl/>
        </w:rPr>
      </w:r>
      <w:r>
        <w:rPr>
          <w:sz w:val="20"/>
          <w:szCs w:val="20"/>
          <w:rtl/>
        </w:rPr>
        <w:fldChar w:fldCharType="separate"/>
      </w:r>
      <w:r w:rsidR="007923E9">
        <w:rPr>
          <w:sz w:val="20"/>
          <w:szCs w:val="20"/>
          <w:rtl/>
        </w:rPr>
        <w:t>261</w:t>
      </w:r>
      <w:r>
        <w:rPr>
          <w:sz w:val="20"/>
          <w:szCs w:val="20"/>
          <w:rtl/>
        </w:rPr>
        <w:fldChar w:fldCharType="end"/>
      </w:r>
      <w:r>
        <w:rPr>
          <w:sz w:val="20"/>
          <w:szCs w:val="20"/>
          <w:rtl/>
        </w:rPr>
        <w:t xml:space="preserve">, עמ׳ </w:t>
      </w:r>
      <w:r>
        <w:rPr>
          <w:sz w:val="20"/>
          <w:szCs w:val="20"/>
          <w:rtl/>
        </w:rPr>
        <w:fldChar w:fldCharType="begin" w:dirty="true"/>
      </w:r>
      <w:r>
        <w:rPr>
          <w:sz w:val="20"/>
          <w:szCs w:val="20"/>
          <w:rtl/>
        </w:rPr>
        <w:instrText xml:space="preserve"> PAGEREF pr_f_1219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לעיל.</w:t>
      </w:r>
    </w:p>
  </w:footnote>
  <w:footnote w:id="2626">
    <w:p w14:paraId="6F7C80A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בשל דחיפות הרגע היה זה ביטוי משובש של “</w:t>
      </w:r>
      <w:proofErr w:type="spellStart"/>
      <w:r>
        <w:rPr>
          <w:sz w:val="20"/>
          <w:szCs w:val="20"/>
          <w:rtl/>
        </w:rPr>
        <w:t>עס</w:t>
      </w:r>
      <w:proofErr w:type="spellEnd"/>
      <w:r>
        <w:rPr>
          <w:sz w:val="20"/>
          <w:szCs w:val="20"/>
          <w:rtl/>
        </w:rPr>
        <w:t xml:space="preserve"> </w:t>
      </w:r>
      <w:proofErr w:type="spellStart"/>
      <w:r>
        <w:rPr>
          <w:sz w:val="20"/>
          <w:szCs w:val="20"/>
          <w:rtl/>
        </w:rPr>
        <w:t>ברענט</w:t>
      </w:r>
      <w:proofErr w:type="spellEnd"/>
      <w:r>
        <w:rPr>
          <w:sz w:val="20"/>
          <w:szCs w:val="20"/>
          <w:rtl/>
        </w:rPr>
        <w:t xml:space="preserve"> </w:t>
      </w:r>
      <w:proofErr w:type="spellStart"/>
      <w:r>
        <w:rPr>
          <w:sz w:val="20"/>
          <w:szCs w:val="20"/>
          <w:rtl/>
        </w:rPr>
        <w:t>דאס</w:t>
      </w:r>
      <w:proofErr w:type="spellEnd"/>
      <w:r>
        <w:rPr>
          <w:sz w:val="20"/>
          <w:szCs w:val="20"/>
          <w:rtl/>
        </w:rPr>
        <w:t xml:space="preserve"> </w:t>
      </w:r>
      <w:proofErr w:type="spellStart"/>
      <w:r>
        <w:rPr>
          <w:sz w:val="20"/>
          <w:szCs w:val="20"/>
          <w:rtl/>
        </w:rPr>
        <w:t>הייזאלע</w:t>
      </w:r>
      <w:proofErr w:type="spellEnd"/>
      <w:r>
        <w:rPr>
          <w:sz w:val="20"/>
          <w:szCs w:val="20"/>
          <w:rtl/>
        </w:rPr>
        <w:t>”.</w:t>
      </w:r>
    </w:p>
  </w:footnote>
  <w:footnote w:id="2627">
    <w:p w14:paraId="1660128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לעיל – עמ׳ ט במספור העמודים השני של “שיחות החפץ חיים”.</w:t>
      </w:r>
    </w:p>
  </w:footnote>
  <w:footnote w:id="2628">
    <w:p w14:paraId="7EB2D3A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כץ, ר׳ ישראל היה מעורב בהחלטתו של </w:t>
      </w:r>
      <w:proofErr w:type="spellStart"/>
      <w:r>
        <w:rPr>
          <w:sz w:val="20"/>
          <w:szCs w:val="20"/>
          <w:rtl/>
        </w:rPr>
        <w:t>החפץ־חיים</w:t>
      </w:r>
      <w:proofErr w:type="spellEnd"/>
      <w:r>
        <w:rPr>
          <w:sz w:val="20"/>
          <w:szCs w:val="20"/>
          <w:rtl/>
        </w:rPr>
        <w:t xml:space="preserve"> לכתוב את הספר. כץ, “תנועת המוסר”, כרך א (נספח א לעיל), עמ׳ 278, רושם </w:t>
      </w:r>
      <w:proofErr w:type="spellStart"/>
      <w:r>
        <w:rPr>
          <w:sz w:val="20"/>
          <w:szCs w:val="20"/>
          <w:rtl/>
        </w:rPr>
        <w:t>ש“כמסופר</w:t>
      </w:r>
      <w:proofErr w:type="spellEnd"/>
      <w:r>
        <w:rPr>
          <w:sz w:val="20"/>
          <w:szCs w:val="20"/>
          <w:rtl/>
        </w:rPr>
        <w:t xml:space="preserve">” התעורר </w:t>
      </w:r>
      <w:proofErr w:type="spellStart"/>
      <w:r>
        <w:rPr>
          <w:sz w:val="20"/>
          <w:szCs w:val="20"/>
          <w:rtl/>
        </w:rPr>
        <w:t>החפץ־חיים</w:t>
      </w:r>
      <w:proofErr w:type="spellEnd"/>
      <w:r>
        <w:rPr>
          <w:sz w:val="20"/>
          <w:szCs w:val="20"/>
          <w:rtl/>
        </w:rPr>
        <w:t xml:space="preserve"> לכתוב את ספר “שמירת הלשון” “על ידי </w:t>
      </w:r>
      <w:proofErr w:type="spellStart"/>
      <w:r>
        <w:rPr>
          <w:sz w:val="20"/>
          <w:szCs w:val="20"/>
          <w:rtl/>
        </w:rPr>
        <w:t>עוררותו</w:t>
      </w:r>
      <w:proofErr w:type="spellEnd"/>
      <w:r>
        <w:rPr>
          <w:sz w:val="20"/>
          <w:szCs w:val="20"/>
          <w:rtl/>
        </w:rPr>
        <w:t xml:space="preserve">” של ר׳ ישראל. לפי הפרטים </w:t>
      </w:r>
      <w:proofErr w:type="spellStart"/>
      <w:r>
        <w:rPr>
          <w:sz w:val="20"/>
          <w:szCs w:val="20"/>
          <w:rtl/>
        </w:rPr>
        <w:t>ב“שמושה</w:t>
      </w:r>
      <w:proofErr w:type="spellEnd"/>
      <w:r>
        <w:rPr>
          <w:sz w:val="20"/>
          <w:szCs w:val="20"/>
          <w:rtl/>
        </w:rPr>
        <w:t xml:space="preserve"> של תורה” (נספח ח לעיל), עמ׳ קנט, התעורר לכך כששמע </w:t>
      </w:r>
      <w:proofErr w:type="spellStart"/>
      <w:r>
        <w:rPr>
          <w:sz w:val="20"/>
          <w:szCs w:val="20"/>
          <w:rtl/>
        </w:rPr>
        <w:t>החפץ־חיים</w:t>
      </w:r>
      <w:proofErr w:type="spellEnd"/>
      <w:r>
        <w:rPr>
          <w:sz w:val="20"/>
          <w:szCs w:val="20"/>
          <w:rtl/>
        </w:rPr>
        <w:t xml:space="preserve"> את ר׳ ישראל “מתלונן באחת משיחותיו, שהלכות חשובות, חמורות ושכיחות כל כך כהלכות לשון הרע לא נכתב עליהן ספר שיבאר מה מותר ומה אסור, מה צריך לומר וכיצד לומר זאת”.</w:t>
      </w:r>
    </w:p>
    <w:p w14:paraId="2D6F7482" w14:textId="77777777" w:rsidR="00AB3647" w:rsidRDefault="00000000">
      <w:pPr>
        <w:spacing w:after="0" w:before="0"/>
        <w:jc w:val="both"/>
      </w:pPr>
      <w:r>
        <w:rPr>
          <w:sz w:val="20"/>
          <w:szCs w:val="20"/>
          <w:rtl/>
        </w:rPr>
        <w:t xml:space="preserve">השווה גם “תורת אברהם” (הפסקה השלישית בנספח </w:t>
      </w:r>
      <w:proofErr w:type="spellStart"/>
      <w:r>
        <w:rPr>
          <w:sz w:val="20"/>
          <w:szCs w:val="20"/>
          <w:rtl/>
        </w:rPr>
        <w:t>כג</w:t>
      </w:r>
      <w:proofErr w:type="spellEnd"/>
      <w:r>
        <w:rPr>
          <w:sz w:val="20"/>
          <w:szCs w:val="20"/>
          <w:rtl/>
        </w:rPr>
        <w:t xml:space="preserve"> לעיל), עמ׳ רכה: “מספרים כי לאחר שנדפס ‘שמירת הלשון’, אמר ר׳ ישראל לתלמידיו: ‘הנה נדפס ספר הלכה מפורט על לשון הרע; חובה באותה מידה להוציא ספרי הלכה על דברים בטלים, שקר, וכל מידה ומידה’”.</w:t>
      </w:r>
    </w:p>
  </w:footnote>
  <w:footnote w:id="2629">
    <w:p w14:paraId="27D55EF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המאמר המוסגר אינו משל הרב </w:t>
      </w:r>
      <w:proofErr w:type="spellStart"/>
      <w:r>
        <w:rPr>
          <w:sz w:val="20"/>
          <w:szCs w:val="20"/>
          <w:rtl/>
        </w:rPr>
        <w:t>קוסובסקי</w:t>
      </w:r>
      <w:proofErr w:type="spellEnd"/>
      <w:r>
        <w:rPr>
          <w:sz w:val="20"/>
          <w:szCs w:val="20"/>
          <w:rtl/>
        </w:rPr>
        <w:t xml:space="preserve"> אלא שלי, על פי הערת שוליים </w:t>
      </w:r>
      <w:r>
        <w:rPr>
          <w:sz w:val="20"/>
          <w:szCs w:val="20"/>
          <w:rtl/>
        </w:rPr>
        <w:fldChar w:fldCharType="begin" w:dirty="true"/>
      </w:r>
      <w:r>
        <w:rPr>
          <w:sz w:val="20"/>
          <w:szCs w:val="20"/>
          <w:rtl/>
        </w:rPr>
        <w:instrText xml:space="preserve"> NOTEREF pr_f_2526 \h </w:instrText>
      </w:r>
      <w:r>
        <w:rPr>
          <w:sz w:val="20"/>
          <w:szCs w:val="20"/>
          <w:rtl/>
        </w:rPr>
      </w:r>
      <w:r>
        <w:rPr>
          <w:sz w:val="20"/>
          <w:szCs w:val="20"/>
          <w:rtl/>
        </w:rPr>
        <w:fldChar w:fldCharType="separate"/>
      </w:r>
      <w:r w:rsidR="007923E9">
        <w:rPr>
          <w:sz w:val="20"/>
          <w:szCs w:val="20"/>
          <w:rtl/>
        </w:rPr>
        <w:t>1572</w:t>
      </w:r>
      <w:r>
        <w:rPr>
          <w:sz w:val="20"/>
          <w:szCs w:val="20"/>
          <w:rtl/>
        </w:rPr>
        <w:fldChar w:fldCharType="end"/>
      </w:r>
      <w:r>
        <w:rPr>
          <w:sz w:val="20"/>
          <w:szCs w:val="20"/>
          <w:rtl/>
        </w:rPr>
        <w:t xml:space="preserve"> להלן.</w:t>
      </w:r>
    </w:p>
  </w:footnote>
  <w:footnote w:id="2630">
    <w:p w14:paraId="3FA9FFD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הדבר לא הפחית מההערכה הרבה שרחש ר׳ ישראל </w:t>
      </w:r>
      <w:proofErr w:type="spellStart"/>
      <w:r>
        <w:rPr>
          <w:sz w:val="20"/>
          <w:szCs w:val="20"/>
          <w:rtl/>
        </w:rPr>
        <w:t>לחפץ־חיים</w:t>
      </w:r>
      <w:proofErr w:type="spellEnd"/>
      <w:r>
        <w:rPr>
          <w:sz w:val="20"/>
          <w:szCs w:val="20"/>
          <w:rtl/>
        </w:rPr>
        <w:t xml:space="preserve">, כפי שצוין בפסקה הראשונה של נספח א לעיל (עמ׳ </w:t>
      </w:r>
      <w:r>
        <w:rPr>
          <w:sz w:val="20"/>
          <w:szCs w:val="20"/>
          <w:rtl/>
        </w:rPr>
        <w:fldChar w:fldCharType="begin" w:dirty="true"/>
      </w:r>
      <w:r>
        <w:rPr>
          <w:sz w:val="20"/>
          <w:szCs w:val="20"/>
          <w:rtl/>
        </w:rPr>
        <w:instrText xml:space="preserve"> PAGEREF pr_b_996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2631">
    <w:p w14:paraId="77C9364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w:t>
      </w:r>
      <w:proofErr w:type="spellStart"/>
      <w:r>
        <w:rPr>
          <w:sz w:val="20"/>
          <w:szCs w:val="20"/>
          <w:rtl/>
        </w:rPr>
        <w:t>יעקב־יצחק</w:t>
      </w:r>
      <w:proofErr w:type="spellEnd"/>
      <w:r>
        <w:rPr>
          <w:sz w:val="20"/>
          <w:szCs w:val="20"/>
          <w:rtl/>
        </w:rPr>
        <w:t xml:space="preserve"> </w:t>
      </w:r>
      <w:proofErr w:type="spellStart"/>
      <w:r>
        <w:rPr>
          <w:sz w:val="20"/>
          <w:szCs w:val="20"/>
          <w:rtl/>
        </w:rPr>
        <w:t>רודרמן</w:t>
      </w:r>
      <w:proofErr w:type="spellEnd"/>
      <w:r>
        <w:rPr>
          <w:sz w:val="20"/>
          <w:szCs w:val="20"/>
          <w:rtl/>
        </w:rPr>
        <w:t xml:space="preserve"> הביא דוגמה נוספת להדרכות כאלה של הסבא </w:t>
      </w:r>
      <w:proofErr w:type="spellStart"/>
      <w:r>
        <w:rPr>
          <w:sz w:val="20"/>
          <w:szCs w:val="20"/>
          <w:rtl/>
        </w:rPr>
        <w:t>מסלבודקה</w:t>
      </w:r>
      <w:proofErr w:type="spellEnd"/>
      <w:r>
        <w:rPr>
          <w:sz w:val="20"/>
          <w:szCs w:val="20"/>
          <w:rtl/>
        </w:rPr>
        <w:t xml:space="preserve">: אם היה שטיח </w:t>
      </w:r>
      <w:proofErr w:type="spellStart"/>
      <w:r>
        <w:rPr>
          <w:sz w:val="20"/>
          <w:szCs w:val="20"/>
          <w:rtl/>
        </w:rPr>
        <w:t>בסטנציה</w:t>
      </w:r>
      <w:proofErr w:type="spellEnd"/>
      <w:r>
        <w:rPr>
          <w:sz w:val="20"/>
          <w:szCs w:val="20"/>
          <w:rtl/>
        </w:rPr>
        <w:t xml:space="preserve"> של תלמיד, היה הסבא אומר לו שלא ליטול ידיים בבוקר ליד מיטתו, משום שהמים עלולים להישפך על שטיחו של בעל הבית. ראה גם "</w:t>
      </w:r>
      <w:proofErr w:type="spellStart"/>
      <w:r>
        <w:rPr>
          <w:sz w:val="20"/>
          <w:szCs w:val="20"/>
          <w:rtl/>
        </w:rPr>
        <w:t>Reb</w:t>
      </w:r>
      <w:proofErr w:type="spellEnd"/>
      <w:r>
        <w:rPr>
          <w:sz w:val="20"/>
          <w:szCs w:val="20"/>
          <w:rtl/>
        </w:rPr>
        <w:t xml:space="preserve"> </w:t>
      </w:r>
      <w:proofErr w:type="spellStart"/>
      <w:r>
        <w:rPr>
          <w:sz w:val="20"/>
          <w:szCs w:val="20"/>
          <w:rtl/>
        </w:rPr>
        <w:t>Yaakov</w:t>
      </w:r>
      <w:proofErr w:type="spellEnd"/>
      <w:r>
        <w:rPr>
          <w:sz w:val="20"/>
          <w:szCs w:val="20"/>
          <w:rtl/>
        </w:rPr>
        <w:t xml:space="preserve">" (הנזכר במבוא), עמ׳ 345, </w:t>
      </w:r>
      <w:proofErr w:type="spellStart"/>
      <w:r>
        <w:rPr>
          <w:sz w:val="20"/>
          <w:szCs w:val="20"/>
          <w:rtl/>
        </w:rPr>
        <w:t>ו“רבי</w:t>
      </w:r>
      <w:proofErr w:type="spellEnd"/>
      <w:r>
        <w:rPr>
          <w:sz w:val="20"/>
          <w:szCs w:val="20"/>
          <w:rtl/>
        </w:rPr>
        <w:t xml:space="preserve"> יעקב” (הנזכר במבוא), עמ׳ 428.</w:t>
      </w:r>
    </w:p>
  </w:footnote>
  <w:footnote w:id="2632">
    <w:p w14:paraId="7D33DA5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“פרח מטה אהרן” מאת אהרן </w:t>
      </w:r>
      <w:proofErr w:type="spellStart"/>
      <w:r>
        <w:rPr>
          <w:sz w:val="20"/>
          <w:szCs w:val="20"/>
          <w:rtl/>
        </w:rPr>
        <w:t>סולובייצ׳יק</w:t>
      </w:r>
      <w:proofErr w:type="spellEnd"/>
      <w:r>
        <w:rPr>
          <w:sz w:val="20"/>
          <w:szCs w:val="20"/>
          <w:rtl/>
        </w:rPr>
        <w:t xml:space="preserve"> (תרגום הוצאה לאור, תשנ״ז), עמ׳ 88 ו־187, לפרטים נוספים על חילופי הדברים בין ר׳ ישראל </w:t>
      </w:r>
      <w:proofErr w:type="spellStart"/>
      <w:r>
        <w:rPr>
          <w:sz w:val="20"/>
          <w:szCs w:val="20"/>
          <w:rtl/>
        </w:rPr>
        <w:t>לחפץ־חיים</w:t>
      </w:r>
      <w:proofErr w:type="spellEnd"/>
      <w:r>
        <w:rPr>
          <w:sz w:val="20"/>
          <w:szCs w:val="20"/>
          <w:rtl/>
        </w:rPr>
        <w:t xml:space="preserve"> (וכיצד ביקש </w:t>
      </w:r>
      <w:proofErr w:type="spellStart"/>
      <w:r>
        <w:rPr>
          <w:sz w:val="20"/>
          <w:szCs w:val="20"/>
          <w:rtl/>
        </w:rPr>
        <w:t>החפץ־חיים</w:t>
      </w:r>
      <w:proofErr w:type="spellEnd"/>
      <w:r>
        <w:rPr>
          <w:sz w:val="20"/>
          <w:szCs w:val="20"/>
          <w:rtl/>
        </w:rPr>
        <w:t xml:space="preserve"> הסכמה מר׳ ישראל), כפי שסיפר ר׳ יצחק </w:t>
      </w:r>
      <w:proofErr w:type="spellStart"/>
      <w:r>
        <w:rPr>
          <w:sz w:val="20"/>
          <w:szCs w:val="20"/>
          <w:rtl/>
        </w:rPr>
        <w:t>הוטנר</w:t>
      </w:r>
      <w:proofErr w:type="spellEnd"/>
      <w:r>
        <w:rPr>
          <w:sz w:val="20"/>
          <w:szCs w:val="20"/>
          <w:rtl/>
        </w:rPr>
        <w:t>.</w:t>
      </w:r>
    </w:p>
  </w:footnote>
  <w:footnote w:id="2633">
    <w:p w14:paraId="494D382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אך ראה “</w:t>
      </w:r>
      <w:proofErr w:type="spellStart"/>
      <w:r>
        <w:rPr>
          <w:sz w:val="20"/>
          <w:szCs w:val="20"/>
          <w:rtl/>
        </w:rPr>
        <w:t>ארחות</w:t>
      </w:r>
      <w:proofErr w:type="spellEnd"/>
      <w:r>
        <w:rPr>
          <w:sz w:val="20"/>
          <w:szCs w:val="20"/>
          <w:rtl/>
        </w:rPr>
        <w:t xml:space="preserve"> חסידיך” (הפסקה השישית בנספח </w:t>
      </w:r>
      <w:proofErr w:type="spellStart"/>
      <w:r>
        <w:rPr>
          <w:sz w:val="20"/>
          <w:szCs w:val="20"/>
          <w:rtl/>
        </w:rPr>
        <w:t>יח</w:t>
      </w:r>
      <w:proofErr w:type="spellEnd"/>
      <w:r>
        <w:rPr>
          <w:sz w:val="20"/>
          <w:szCs w:val="20"/>
          <w:rtl/>
        </w:rPr>
        <w:t xml:space="preserve"> לעיל), עמ׳ 297, המספר בשם ר׳ שלום </w:t>
      </w:r>
      <w:proofErr w:type="spellStart"/>
      <w:r>
        <w:rPr>
          <w:sz w:val="20"/>
          <w:szCs w:val="20"/>
          <w:rtl/>
        </w:rPr>
        <w:t>שבדרון</w:t>
      </w:r>
      <w:proofErr w:type="spellEnd"/>
      <w:r>
        <w:rPr>
          <w:sz w:val="20"/>
          <w:szCs w:val="20"/>
          <w:rtl/>
        </w:rPr>
        <w:t xml:space="preserve"> שר׳ ישראל נתן הסכמה רוויית שבחים כל כך, עד </w:t>
      </w:r>
      <w:proofErr w:type="spellStart"/>
      <w:r>
        <w:rPr>
          <w:sz w:val="20"/>
          <w:szCs w:val="20"/>
          <w:rtl/>
        </w:rPr>
        <w:t>שהחפץ־חיים</w:t>
      </w:r>
      <w:proofErr w:type="spellEnd"/>
      <w:r>
        <w:rPr>
          <w:sz w:val="20"/>
          <w:szCs w:val="20"/>
          <w:rtl/>
        </w:rPr>
        <w:t xml:space="preserve"> החליט שלא לפרסמה. ידיעה זו מפוקפקת לא רק מבחינה עובדתית, כמבואר להלן, אלא גם לנוכח חסכנותו של ר׳ ישראל במילים בכלל, כמובא בספרו של כץ, “תנועת המוסר”, כרך א, עמ׳ 345–347, ובייחוד בהסכמות, כמובא שם, עמ׳ 346.</w:t>
      </w:r>
    </w:p>
  </w:footnote>
  <w:footnote w:id="2634">
    <w:p w14:paraId="3270926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זיכרונותיו של ברוך צוקרמן (הערה 3 לעיל), עמ׳ 85, המביאים אמרה זו בגוף ראשון, כמו כאן – וכך אני מעדיף – ולא כספרו של כץ, “תנועת המוסר”, כרך א (הערה 12 לעיל), עמ׳ 304, המביא אותה בגוף שלישי.</w:t>
      </w:r>
    </w:p>
  </w:footnote>
  <w:footnote w:id="2635">
    <w:p w14:paraId="23AC550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הערת שוליים </w:t>
      </w:r>
      <w:r>
        <w:rPr>
          <w:rStyle w:val="a5"/>
          <w:sz w:val="20"/>
          <w:szCs w:val="20"/>
          <w:vertAlign w:val="baseline"/>
          <w:rtl/>
        </w:rPr>
        <w:fldChar w:fldCharType="begin" w:dirty="true"/>
      </w:r>
      <w:r>
        <w:rPr>
          <w:rStyle w:val="a5"/>
          <w:sz w:val="20"/>
          <w:szCs w:val="20"/>
          <w:vertAlign w:val="baseline"/>
          <w:rtl/>
        </w:rPr>
        <w:instrText xml:space="preserve"> NOTEREF pr_f_2526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1572</w:t>
      </w:r>
      <w:r>
        <w:rPr>
          <w:rStyle w:val="a5"/>
          <w:sz w:val="20"/>
          <w:szCs w:val="20"/>
          <w:vertAlign w:val="baseline"/>
          <w:rtl/>
        </w:rPr>
        <w:fldChar w:fldCharType="end"/>
      </w:r>
      <w:r>
        <w:rPr>
          <w:rStyle w:val="a5"/>
          <w:sz w:val="20"/>
          <w:szCs w:val="20"/>
          <w:vertAlign w:val="baseline"/>
          <w:rtl/>
        </w:rPr>
        <w:t xml:space="preserve"> לעיל – עמ׳ 88.</w:t>
      </w:r>
    </w:p>
  </w:footnote>
  <w:footnote w:id="2636">
    <w:p w14:paraId="2546B37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ויקרא </w:t>
      </w:r>
      <w:proofErr w:type="spellStart"/>
      <w:r>
        <w:rPr>
          <w:sz w:val="20"/>
          <w:szCs w:val="20"/>
          <w:rtl/>
        </w:rPr>
        <w:t>יט</w:t>
      </w:r>
      <w:proofErr w:type="spellEnd"/>
      <w:r>
        <w:rPr>
          <w:sz w:val="20"/>
          <w:szCs w:val="20"/>
          <w:rtl/>
        </w:rPr>
        <w:t>, יד.</w:t>
      </w:r>
    </w:p>
  </w:footnote>
  <w:footnote w:id="2637">
    <w:p w14:paraId="245F2EA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לעיל – עמ׳ 15–16.</w:t>
      </w:r>
    </w:p>
  </w:footnote>
  <w:footnote w:id="2638">
    <w:p w14:paraId="728E6BE6"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בשנת 1873 (תרל״ג) נדפס הספר “חפץ חיים”; “שמירת הלשון” נדפס בשנת 1876 (תרל״ו), כפי שכתב </w:t>
      </w:r>
      <w:proofErr w:type="spellStart"/>
      <w:r>
        <w:rPr>
          <w:sz w:val="20"/>
          <w:szCs w:val="20"/>
          <w:rtl/>
        </w:rPr>
        <w:t>החפץ־חיים</w:t>
      </w:r>
      <w:proofErr w:type="spellEnd"/>
      <w:r>
        <w:rPr>
          <w:sz w:val="20"/>
          <w:szCs w:val="20"/>
          <w:rtl/>
        </w:rPr>
        <w:t xml:space="preserve"> עצמו בצוואתו.</w:t>
      </w:r>
    </w:p>
  </w:footnote>
  <w:footnote w:id="2639">
    <w:p w14:paraId="5CCE5A9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באמצע הערה </w:t>
      </w:r>
      <w:proofErr w:type="spellStart"/>
      <w:r>
        <w:rPr>
          <w:sz w:val="20"/>
          <w:szCs w:val="20"/>
          <w:rtl/>
        </w:rPr>
        <w:t>יג</w:t>
      </w:r>
      <w:proofErr w:type="spellEnd"/>
      <w:r>
        <w:rPr>
          <w:sz w:val="20"/>
          <w:szCs w:val="20"/>
          <w:rtl/>
        </w:rPr>
        <w:t xml:space="preserve">, עמ׳ 32, אות א, במהדורת </w:t>
      </w:r>
      <w:proofErr w:type="spellStart"/>
      <w:r>
        <w:rPr>
          <w:sz w:val="20"/>
          <w:szCs w:val="20"/>
          <w:rtl/>
        </w:rPr>
        <w:t>לוין־אפשטין</w:t>
      </w:r>
      <w:proofErr w:type="spellEnd"/>
      <w:r>
        <w:rPr>
          <w:sz w:val="20"/>
          <w:szCs w:val="20"/>
          <w:rtl/>
        </w:rPr>
        <w:t>, ירושלים, תשכ״ג.</w:t>
      </w:r>
    </w:p>
  </w:footnote>
  <w:footnote w:id="2640">
    <w:p w14:paraId="7375BBB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להלן בעניין זה.</w:t>
      </w:r>
    </w:p>
  </w:footnote>
  <w:footnote w:id="2641">
    <w:p w14:paraId="06AEBD5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שו״ת “משיב דבר”, </w:t>
      </w:r>
      <w:proofErr w:type="spellStart"/>
      <w:r>
        <w:rPr>
          <w:sz w:val="20"/>
          <w:szCs w:val="20"/>
          <w:rtl/>
        </w:rPr>
        <w:t>ח״ב</w:t>
      </w:r>
      <w:proofErr w:type="spellEnd"/>
      <w:r>
        <w:rPr>
          <w:sz w:val="20"/>
          <w:szCs w:val="20"/>
          <w:rtl/>
        </w:rPr>
        <w:t>, סי׳ ק״ד.</w:t>
      </w:r>
    </w:p>
  </w:footnote>
  <w:footnote w:id="2642">
    <w:p w14:paraId="78A34BA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תשובתו הבלתי מתוארכת של </w:t>
      </w:r>
      <w:proofErr w:type="spellStart"/>
      <w:r>
        <w:rPr>
          <w:sz w:val="20"/>
          <w:szCs w:val="20"/>
          <w:rtl/>
        </w:rPr>
        <w:t>הנצי״ב</w:t>
      </w:r>
      <w:proofErr w:type="spellEnd"/>
      <w:r>
        <w:rPr>
          <w:sz w:val="20"/>
          <w:szCs w:val="20"/>
          <w:rtl/>
        </w:rPr>
        <w:t xml:space="preserve"> </w:t>
      </w:r>
      <w:proofErr w:type="spellStart"/>
      <w:r>
        <w:rPr>
          <w:sz w:val="20"/>
          <w:szCs w:val="20"/>
          <w:rtl/>
        </w:rPr>
        <w:t>לר</w:t>
      </w:r>
      <w:proofErr w:type="spellEnd"/>
      <w:r>
        <w:rPr>
          <w:sz w:val="20"/>
          <w:szCs w:val="20"/>
          <w:rtl/>
        </w:rPr>
        <w:t xml:space="preserve">׳ בצלאל הכהן מווילנה פותחת באישור שקיבל את ספרו של ר׳ בצלאל “ראשית בכורים”, שנדפס </w:t>
      </w:r>
      <w:proofErr w:type="spellStart"/>
      <w:r>
        <w:rPr>
          <w:sz w:val="20"/>
          <w:szCs w:val="20"/>
          <w:rtl/>
        </w:rPr>
        <w:t>בתרכ״ט</w:t>
      </w:r>
      <w:proofErr w:type="spellEnd"/>
      <w:r>
        <w:rPr>
          <w:sz w:val="20"/>
          <w:szCs w:val="20"/>
          <w:rtl/>
        </w:rPr>
        <w:t xml:space="preserve">, והתשובה כולה נסבה על הערות לתוכן הספר (וראה הערת שוליים </w:t>
      </w:r>
      <w:r>
        <w:rPr>
          <w:sz w:val="20"/>
          <w:szCs w:val="20"/>
          <w:rtl/>
        </w:rPr>
        <w:fldChar w:fldCharType="begin" w:dirty="true"/>
      </w:r>
      <w:r>
        <w:rPr>
          <w:sz w:val="20"/>
          <w:szCs w:val="20"/>
          <w:rtl/>
        </w:rPr>
        <w:instrText xml:space="preserve"> NOTEREF pr_f_4625 \h </w:instrText>
      </w:r>
      <w:r>
        <w:rPr>
          <w:sz w:val="20"/>
          <w:szCs w:val="20"/>
          <w:rtl/>
        </w:rPr>
      </w:r>
      <w:r>
        <w:rPr>
          <w:sz w:val="20"/>
          <w:szCs w:val="20"/>
          <w:rtl/>
        </w:rPr>
        <w:fldChar w:fldCharType="separate"/>
      </w:r>
      <w:r w:rsidR="007923E9">
        <w:rPr>
          <w:sz w:val="20"/>
          <w:szCs w:val="20"/>
          <w:rtl/>
        </w:rPr>
        <w:t>279</w:t>
      </w:r>
      <w:r>
        <w:rPr>
          <w:sz w:val="20"/>
          <w:szCs w:val="20"/>
          <w:rtl/>
        </w:rPr>
        <w:fldChar w:fldCharType="end"/>
      </w:r>
      <w:r>
        <w:rPr>
          <w:sz w:val="20"/>
          <w:szCs w:val="20"/>
          <w:rtl/>
        </w:rPr>
        <w:t xml:space="preserve"> עמ׳ </w:t>
      </w:r>
      <w:r>
        <w:rPr>
          <w:sz w:val="20"/>
          <w:szCs w:val="20"/>
          <w:rtl/>
        </w:rPr>
        <w:fldChar w:fldCharType="begin" w:dirty="true"/>
      </w:r>
      <w:r>
        <w:rPr>
          <w:sz w:val="20"/>
          <w:szCs w:val="20"/>
          <w:rtl/>
        </w:rPr>
        <w:instrText xml:space="preserve"> PAGEREF pr_f_4625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לכן אפשר לשאול: מדוע הסתמך </w:t>
      </w:r>
      <w:proofErr w:type="spellStart"/>
      <w:r>
        <w:rPr>
          <w:sz w:val="20"/>
          <w:szCs w:val="20"/>
          <w:rtl/>
        </w:rPr>
        <w:t>הנצי״ב</w:t>
      </w:r>
      <w:proofErr w:type="spellEnd"/>
      <w:r>
        <w:rPr>
          <w:sz w:val="20"/>
          <w:szCs w:val="20"/>
          <w:rtl/>
        </w:rPr>
        <w:t xml:space="preserve">, בסיפור הניסיונות שלא צלחו להנהיג נשיאת כפיים בימות החול, על מקור שהוא עצמו הודה שאינו בטוח בו (“כמדומה”), ולא ציטט את המקור המהימן </w:t>
      </w:r>
      <w:proofErr w:type="spellStart"/>
      <w:r>
        <w:rPr>
          <w:sz w:val="20"/>
          <w:szCs w:val="20"/>
          <w:rtl/>
        </w:rPr>
        <w:t>שב“עליות</w:t>
      </w:r>
      <w:proofErr w:type="spellEnd"/>
      <w:r>
        <w:rPr>
          <w:sz w:val="20"/>
          <w:szCs w:val="20"/>
          <w:rtl/>
        </w:rPr>
        <w:t xml:space="preserve"> אליהו”, שנדפס </w:t>
      </w:r>
      <w:proofErr w:type="spellStart"/>
      <w:r>
        <w:rPr>
          <w:sz w:val="20"/>
          <w:szCs w:val="20"/>
          <w:rtl/>
        </w:rPr>
        <w:t>שלוש־עשרה</w:t>
      </w:r>
      <w:proofErr w:type="spellEnd"/>
      <w:r>
        <w:rPr>
          <w:sz w:val="20"/>
          <w:szCs w:val="20"/>
          <w:rtl/>
        </w:rPr>
        <w:t xml:space="preserve"> שנה קודם לכן – ויש להניח שוודאי ראהו?</w:t>
      </w:r>
    </w:p>
    <w:p w14:paraId="2B9A790C" w14:textId="77777777" w:rsidR="00AB3647" w:rsidRDefault="00000000">
      <w:pPr>
        <w:spacing w:after="0" w:before="0"/>
        <w:jc w:val="both"/>
      </w:pPr>
      <w:r>
        <w:rPr>
          <w:sz w:val="20"/>
          <w:szCs w:val="20"/>
          <w:rtl/>
        </w:rPr>
        <w:t xml:space="preserve">למי שבקי בהיסטוריה התשובה ברורה: הייתה מחלוקת קשה בין </w:t>
      </w:r>
      <w:proofErr w:type="spellStart"/>
      <w:r>
        <w:rPr>
          <w:sz w:val="20"/>
          <w:szCs w:val="20"/>
          <w:rtl/>
        </w:rPr>
        <w:t>הנצי״ב</w:t>
      </w:r>
      <w:proofErr w:type="spellEnd"/>
      <w:r>
        <w:rPr>
          <w:sz w:val="20"/>
          <w:szCs w:val="20"/>
          <w:rtl/>
        </w:rPr>
        <w:t xml:space="preserve"> לבין ר׳ </w:t>
      </w:r>
      <w:proofErr w:type="spellStart"/>
      <w:r>
        <w:rPr>
          <w:sz w:val="20"/>
          <w:szCs w:val="20"/>
          <w:rtl/>
        </w:rPr>
        <w:t>יהושע־העשיל</w:t>
      </w:r>
      <w:proofErr w:type="spellEnd"/>
      <w:r>
        <w:rPr>
          <w:sz w:val="20"/>
          <w:szCs w:val="20"/>
          <w:rtl/>
        </w:rPr>
        <w:t xml:space="preserve"> לוין, בעל אחייניתו, בשאלה מי יהיה ראש ישיבת </w:t>
      </w:r>
      <w:proofErr w:type="spellStart"/>
      <w:r>
        <w:rPr>
          <w:sz w:val="20"/>
          <w:szCs w:val="20"/>
          <w:rtl/>
        </w:rPr>
        <w:t>וולוז׳ין</w:t>
      </w:r>
      <w:proofErr w:type="spellEnd"/>
      <w:r>
        <w:rPr>
          <w:sz w:val="20"/>
          <w:szCs w:val="20"/>
          <w:rtl/>
        </w:rPr>
        <w:t xml:space="preserve"> – השווה פרק 4, הפסקה השנייה בנספח </w:t>
      </w:r>
      <w:proofErr w:type="spellStart"/>
      <w:r>
        <w:rPr>
          <w:sz w:val="20"/>
          <w:szCs w:val="20"/>
          <w:rtl/>
        </w:rPr>
        <w:t>יג</w:t>
      </w:r>
      <w:proofErr w:type="spellEnd"/>
      <w:r>
        <w:rPr>
          <w:sz w:val="20"/>
          <w:szCs w:val="20"/>
          <w:rtl/>
        </w:rPr>
        <w:t xml:space="preserve">. ר׳ </w:t>
      </w:r>
      <w:proofErr w:type="spellStart"/>
      <w:r>
        <w:rPr>
          <w:sz w:val="20"/>
          <w:szCs w:val="20"/>
          <w:rtl/>
        </w:rPr>
        <w:t>יהושע־העשיל</w:t>
      </w:r>
      <w:proofErr w:type="spellEnd"/>
      <w:r>
        <w:rPr>
          <w:sz w:val="20"/>
          <w:szCs w:val="20"/>
          <w:rtl/>
        </w:rPr>
        <w:t xml:space="preserve"> לוין חיבר את “עליות אליהו” אחרי שוויתר על המאבק ועזב את </w:t>
      </w:r>
      <w:proofErr w:type="spellStart"/>
      <w:r>
        <w:rPr>
          <w:sz w:val="20"/>
          <w:szCs w:val="20"/>
          <w:rtl/>
        </w:rPr>
        <w:t>וולוז׳ין</w:t>
      </w:r>
      <w:proofErr w:type="spellEnd"/>
      <w:r>
        <w:rPr>
          <w:sz w:val="20"/>
          <w:szCs w:val="20"/>
          <w:rtl/>
        </w:rPr>
        <w:t xml:space="preserve"> מובס לווילנה. בעקבות הסכסוך נמנע </w:t>
      </w:r>
      <w:proofErr w:type="spellStart"/>
      <w:r>
        <w:rPr>
          <w:sz w:val="20"/>
          <w:szCs w:val="20"/>
          <w:rtl/>
        </w:rPr>
        <w:t>הנצי״ב</w:t>
      </w:r>
      <w:proofErr w:type="spellEnd"/>
      <w:r>
        <w:rPr>
          <w:sz w:val="20"/>
          <w:szCs w:val="20"/>
          <w:rtl/>
        </w:rPr>
        <w:t xml:space="preserve"> מלהסתמך על חיבורו של יריבו המובהק, ואולי אף מלקרוא בו.</w:t>
      </w:r>
    </w:p>
  </w:footnote>
  <w:footnote w:id="2643">
    <w:p w14:paraId="6022958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ה לעיל.</w:t>
      </w:r>
    </w:p>
  </w:footnote>
  <w:footnote w:id="2644">
    <w:p w14:paraId="29CE4F0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הערת שוליים </w:t>
      </w:r>
      <w:r>
        <w:rPr>
          <w:rStyle w:val="a5"/>
          <w:sz w:val="20"/>
          <w:szCs w:val="20"/>
          <w:vertAlign w:val="baseline"/>
          <w:rtl/>
        </w:rPr>
        <w:fldChar w:fldCharType="begin" w:dirty="true"/>
      </w:r>
      <w:r>
        <w:rPr>
          <w:rStyle w:val="a5"/>
          <w:sz w:val="20"/>
          <w:szCs w:val="20"/>
          <w:vertAlign w:val="baseline"/>
          <w:rtl/>
        </w:rPr>
        <w:instrText xml:space="preserve"> NOTEREF pr_f_4327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1404</w:t>
      </w:r>
      <w:r>
        <w:rPr>
          <w:rStyle w:val="a5"/>
          <w:sz w:val="20"/>
          <w:szCs w:val="20"/>
          <w:vertAlign w:val="baseline"/>
          <w:rtl/>
        </w:rPr>
        <w:fldChar w:fldCharType="end"/>
      </w:r>
      <w:r>
        <w:rPr>
          <w:rStyle w:val="a5"/>
          <w:sz w:val="20"/>
          <w:szCs w:val="20"/>
          <w:vertAlign w:val="baseline"/>
          <w:rtl/>
        </w:rPr>
        <w:t xml:space="preserve"> עמ׳ </w:t>
      </w:r>
      <w:r>
        <w:rPr>
          <w:rStyle w:val="a5"/>
          <w:sz w:val="20"/>
          <w:szCs w:val="20"/>
          <w:vertAlign w:val="baseline"/>
          <w:rtl/>
        </w:rPr>
        <w:fldChar w:fldCharType="begin" w:dirty="true"/>
      </w:r>
      <w:r>
        <w:rPr>
          <w:rStyle w:val="a5"/>
          <w:sz w:val="20"/>
          <w:szCs w:val="20"/>
          <w:vertAlign w:val="baseline"/>
          <w:rtl/>
        </w:rPr>
        <w:instrText xml:space="preserve"> PAGEREF pr_f_4327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 xml:space="preserve">, כיצד יוחסה </w:t>
      </w:r>
      <w:proofErr w:type="spellStart"/>
      <w:r>
        <w:rPr>
          <w:rStyle w:val="a5"/>
          <w:sz w:val="20"/>
          <w:szCs w:val="20"/>
          <w:vertAlign w:val="baseline"/>
          <w:rtl/>
        </w:rPr>
        <w:t>לר</w:t>
      </w:r>
      <w:proofErr w:type="spellEnd"/>
      <w:r>
        <w:rPr>
          <w:rStyle w:val="a5"/>
          <w:sz w:val="20"/>
          <w:szCs w:val="20"/>
          <w:vertAlign w:val="baseline"/>
          <w:rtl/>
        </w:rPr>
        <w:t xml:space="preserve">׳ חיים </w:t>
      </w:r>
      <w:proofErr w:type="spellStart"/>
      <w:r>
        <w:rPr>
          <w:rStyle w:val="a5"/>
          <w:sz w:val="20"/>
          <w:szCs w:val="20"/>
          <w:vertAlign w:val="baseline"/>
          <w:rtl/>
        </w:rPr>
        <w:t>מוולוז׳ין</w:t>
      </w:r>
      <w:proofErr w:type="spellEnd"/>
      <w:r>
        <w:rPr>
          <w:rStyle w:val="a5"/>
          <w:sz w:val="20"/>
          <w:szCs w:val="20"/>
          <w:vertAlign w:val="baseline"/>
          <w:rtl/>
        </w:rPr>
        <w:t xml:space="preserve"> פסיקה הלכתית המבוססת על סודות כאלה</w:t>
      </w:r>
      <w:r>
        <w:rPr>
          <w:sz w:val="20"/>
          <w:szCs w:val="20"/>
          <w:rtl/>
        </w:rPr>
        <w:t>.</w:t>
      </w:r>
    </w:p>
  </w:footnote>
  <w:footnote w:id="2645">
    <w:p w14:paraId="6ABA9F3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26 בדצמבר 1996.</w:t>
      </w:r>
    </w:p>
  </w:footnote>
  <w:footnote w:id="2646">
    <w:p w14:paraId="147B4C3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אבי התכוון ככל הנראה למאורע </w:t>
      </w:r>
      <w:proofErr w:type="spellStart"/>
      <w:r>
        <w:rPr>
          <w:sz w:val="20"/>
          <w:szCs w:val="20"/>
          <w:rtl/>
        </w:rPr>
        <w:t>בסלבודקה</w:t>
      </w:r>
      <w:proofErr w:type="spellEnd"/>
      <w:r>
        <w:rPr>
          <w:sz w:val="20"/>
          <w:szCs w:val="20"/>
          <w:rtl/>
        </w:rPr>
        <w:t xml:space="preserve"> שנדון בהערה 56 לעיל.</w:t>
      </w:r>
    </w:p>
  </w:footnote>
  <w:footnote w:id="2647">
    <w:p w14:paraId="5926984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מסתבר </w:t>
      </w:r>
      <w:proofErr w:type="spellStart"/>
      <w:r>
        <w:rPr>
          <w:sz w:val="20"/>
          <w:szCs w:val="20"/>
          <w:rtl/>
        </w:rPr>
        <w:t>שהחתם־סופר</w:t>
      </w:r>
      <w:proofErr w:type="spellEnd"/>
      <w:r>
        <w:rPr>
          <w:sz w:val="20"/>
          <w:szCs w:val="20"/>
          <w:rtl/>
        </w:rPr>
        <w:t xml:space="preserve"> עצמו אף לא היה מנסה לשנות מנהג מקובל, כמו שעשה ר׳ חיים </w:t>
      </w:r>
      <w:proofErr w:type="spellStart"/>
      <w:r>
        <w:rPr>
          <w:sz w:val="20"/>
          <w:szCs w:val="20"/>
          <w:rtl/>
        </w:rPr>
        <w:t>מוולוז׳ין</w:t>
      </w:r>
      <w:proofErr w:type="spellEnd"/>
      <w:r>
        <w:rPr>
          <w:sz w:val="20"/>
          <w:szCs w:val="20"/>
          <w:rtl/>
        </w:rPr>
        <w:t xml:space="preserve">. ובשאלה המסוימת של ברכת כהנים בימות החול, </w:t>
      </w:r>
      <w:proofErr w:type="spellStart"/>
      <w:r>
        <w:rPr>
          <w:sz w:val="20"/>
          <w:szCs w:val="20"/>
          <w:rtl/>
        </w:rPr>
        <w:t>החתם־סופר</w:t>
      </w:r>
      <w:proofErr w:type="spellEnd"/>
      <w:r>
        <w:rPr>
          <w:sz w:val="20"/>
          <w:szCs w:val="20"/>
          <w:rtl/>
        </w:rPr>
        <w:t xml:space="preserve"> נותן טעם הלכתי לכך שאין נושאים בהם כפיים; ראה תשובותיו </w:t>
      </w:r>
      <w:proofErr w:type="spellStart"/>
      <w:r>
        <w:rPr>
          <w:sz w:val="20"/>
          <w:szCs w:val="20"/>
          <w:rtl/>
        </w:rPr>
        <w:t>או״ח</w:t>
      </w:r>
      <w:proofErr w:type="spellEnd"/>
      <w:r>
        <w:rPr>
          <w:sz w:val="20"/>
          <w:szCs w:val="20"/>
          <w:rtl/>
        </w:rPr>
        <w:t xml:space="preserve"> סוף סי׳ כ״ג.</w:t>
      </w:r>
    </w:p>
  </w:footnote>
  <w:footnote w:id="2648">
    <w:p w14:paraId="38AD3A5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הפסקה השלישית בהערה </w:t>
      </w:r>
      <w:proofErr w:type="spellStart"/>
      <w:r>
        <w:rPr>
          <w:sz w:val="20"/>
          <w:szCs w:val="20"/>
          <w:rtl/>
        </w:rPr>
        <w:t>יג</w:t>
      </w:r>
      <w:proofErr w:type="spellEnd"/>
      <w:r>
        <w:rPr>
          <w:sz w:val="20"/>
          <w:szCs w:val="20"/>
          <w:rtl/>
        </w:rPr>
        <w:t>, עמ׳ 31.</w:t>
      </w:r>
    </w:p>
  </w:footnote>
  <w:footnote w:id="2649">
    <w:p w14:paraId="68A3947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שלא יטעה הקורא: אבי התכוון לסבים ולסבתות תלמידי חכמים ובקיאים. בדורנו ייתכן שעקבותיהם של אבות כאלה כבר כוסו בחולות הזמן ואבדו, ורק מעשי הקודמים בכללם יכולים לקבוע את אמת המידה הראויה.</w:t>
      </w:r>
    </w:p>
  </w:footnote>
  <w:footnote w:id="2650">
    <w:p w14:paraId="66844F6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דברים יד, א ויבמות י״ג ע״ב. “הגאון החסיד </w:t>
      </w:r>
      <w:proofErr w:type="spellStart"/>
      <w:r>
        <w:rPr>
          <w:sz w:val="20"/>
          <w:szCs w:val="20"/>
          <w:rtl/>
        </w:rPr>
        <w:t>מוילנא</w:t>
      </w:r>
      <w:proofErr w:type="spellEnd"/>
      <w:r>
        <w:rPr>
          <w:sz w:val="20"/>
          <w:szCs w:val="20"/>
          <w:rtl/>
        </w:rPr>
        <w:t xml:space="preserve">” (נספח ב לעיל), עמ׳ קו, בסוף הפסקה השנייה של הערה 61, טועה כשהוא מייחס </w:t>
      </w:r>
      <w:proofErr w:type="spellStart"/>
      <w:r>
        <w:rPr>
          <w:sz w:val="20"/>
          <w:szCs w:val="20"/>
          <w:rtl/>
        </w:rPr>
        <w:t>לר</w:t>
      </w:r>
      <w:proofErr w:type="spellEnd"/>
      <w:r>
        <w:rPr>
          <w:sz w:val="20"/>
          <w:szCs w:val="20"/>
          <w:rtl/>
        </w:rPr>
        <w:t xml:space="preserve">׳ עקיבא איגר את החלת “לא תתגודדו” על דחיית השינוי בקריאת התורה. מי שהעלה טעם זה הוא בן שיחו של ר׳ עקיבא איגר, ר׳ </w:t>
      </w:r>
      <w:proofErr w:type="spellStart"/>
      <w:r>
        <w:rPr>
          <w:sz w:val="20"/>
          <w:szCs w:val="20"/>
          <w:rtl/>
        </w:rPr>
        <w:t>זכריה־מנדל</w:t>
      </w:r>
      <w:proofErr w:type="spellEnd"/>
      <w:r>
        <w:rPr>
          <w:sz w:val="20"/>
          <w:szCs w:val="20"/>
          <w:rtl/>
        </w:rPr>
        <w:t xml:space="preserve">, רב </w:t>
      </w:r>
      <w:proofErr w:type="spellStart"/>
      <w:r>
        <w:rPr>
          <w:sz w:val="20"/>
          <w:szCs w:val="20"/>
          <w:rtl/>
        </w:rPr>
        <w:t>לסלא</w:t>
      </w:r>
      <w:proofErr w:type="spellEnd"/>
      <w:r>
        <w:rPr>
          <w:sz w:val="20"/>
          <w:szCs w:val="20"/>
          <w:rtl/>
        </w:rPr>
        <w:t xml:space="preserve"> (ברסלאו) בפרוסיה, ורבו של ר׳ </w:t>
      </w:r>
      <w:proofErr w:type="spellStart"/>
      <w:r>
        <w:rPr>
          <w:sz w:val="20"/>
          <w:szCs w:val="20"/>
          <w:rtl/>
        </w:rPr>
        <w:t>יעקב־צבי</w:t>
      </w:r>
      <w:proofErr w:type="spellEnd"/>
      <w:r>
        <w:rPr>
          <w:sz w:val="20"/>
          <w:szCs w:val="20"/>
          <w:rtl/>
        </w:rPr>
        <w:t xml:space="preserve"> </w:t>
      </w:r>
      <w:proofErr w:type="spellStart"/>
      <w:r>
        <w:rPr>
          <w:sz w:val="20"/>
          <w:szCs w:val="20"/>
          <w:rtl/>
        </w:rPr>
        <w:t>מקלנבורג</w:t>
      </w:r>
      <w:proofErr w:type="spellEnd"/>
      <w:r>
        <w:rPr>
          <w:sz w:val="20"/>
          <w:szCs w:val="20"/>
          <w:rtl/>
        </w:rPr>
        <w:t xml:space="preserve"> מקניגסברג.</w:t>
      </w:r>
    </w:p>
    <w:p w14:paraId="7CE82EDC" w14:textId="77777777" w:rsidR="00AB3647" w:rsidRDefault="00000000">
      <w:pPr>
        <w:spacing w:after="0" w:before="0"/>
        <w:jc w:val="both"/>
      </w:pPr>
      <w:r>
        <w:rPr>
          <w:sz w:val="20"/>
          <w:szCs w:val="20"/>
          <w:rtl/>
        </w:rPr>
        <w:t xml:space="preserve">“הגאון החסיד </w:t>
      </w:r>
      <w:proofErr w:type="spellStart"/>
      <w:r>
        <w:rPr>
          <w:sz w:val="20"/>
          <w:szCs w:val="20"/>
          <w:rtl/>
        </w:rPr>
        <w:t>מוילנא</w:t>
      </w:r>
      <w:proofErr w:type="spellEnd"/>
      <w:r>
        <w:rPr>
          <w:sz w:val="20"/>
          <w:szCs w:val="20"/>
          <w:rtl/>
        </w:rPr>
        <w:t xml:space="preserve">”, שם, בפסקה הרביעית, מביא גם מקורות מהימנים שלפיהם אמר ר׳ </w:t>
      </w:r>
      <w:proofErr w:type="spellStart"/>
      <w:r>
        <w:rPr>
          <w:sz w:val="20"/>
          <w:szCs w:val="20"/>
          <w:rtl/>
        </w:rPr>
        <w:t>איסר־זלמן</w:t>
      </w:r>
      <w:proofErr w:type="spellEnd"/>
      <w:r>
        <w:rPr>
          <w:sz w:val="20"/>
          <w:szCs w:val="20"/>
          <w:rtl/>
        </w:rPr>
        <w:t xml:space="preserve"> מלצר – שעמל בשקידה </w:t>
      </w:r>
      <w:proofErr w:type="spellStart"/>
      <w:r>
        <w:rPr>
          <w:sz w:val="20"/>
          <w:szCs w:val="20"/>
          <w:rtl/>
        </w:rPr>
        <w:t>בתרפ״ח</w:t>
      </w:r>
      <w:proofErr w:type="spellEnd"/>
      <w:r>
        <w:rPr>
          <w:sz w:val="20"/>
          <w:szCs w:val="20"/>
          <w:rtl/>
        </w:rPr>
        <w:t xml:space="preserve">–תרפ״ט להכין לדפוס את חידושי הרמב״ן על הש״ס עם הערות תיקון – “שאילו היה </w:t>
      </w:r>
      <w:proofErr w:type="spellStart"/>
      <w:r>
        <w:rPr>
          <w:sz w:val="20"/>
          <w:szCs w:val="20"/>
          <w:rtl/>
        </w:rPr>
        <w:t>הגר״א</w:t>
      </w:r>
      <w:proofErr w:type="spellEnd"/>
      <w:r>
        <w:rPr>
          <w:sz w:val="20"/>
          <w:szCs w:val="20"/>
          <w:rtl/>
        </w:rPr>
        <w:t xml:space="preserve"> רואה דברי הרמב״ן, מי יודע אם היה אומר מה שאמר, לשינוי סדר הקריאה </w:t>
      </w:r>
      <w:proofErr w:type="spellStart"/>
      <w:r>
        <w:rPr>
          <w:sz w:val="20"/>
          <w:szCs w:val="20"/>
          <w:rtl/>
        </w:rPr>
        <w:t>בר״ח</w:t>
      </w:r>
      <w:proofErr w:type="spellEnd"/>
      <w:r>
        <w:rPr>
          <w:sz w:val="20"/>
          <w:szCs w:val="20"/>
          <w:rtl/>
        </w:rPr>
        <w:t>”. דברי הרמב״ן הם בסוף חידושיו למגילה כ״א ע״ב [בשאלה כיצד לקרוא בתורה בראש חודש], “שאין ליגע במה שהונהג ע״פ הגאונים” [למרות הקשיים במנהג המקובל].</w:t>
      </w:r>
    </w:p>
  </w:footnote>
  <w:footnote w:id="2651">
    <w:p w14:paraId="725AB07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יעקב כרמל העירני על ההקדמה לביאורי הגאון מווילנה על שולחן ערוך אורח חיים, שבה כותבים בניו שבעיר שקלוב “</w:t>
      </w:r>
      <w:proofErr w:type="spellStart"/>
      <w:r>
        <w:rPr>
          <w:sz w:val="20"/>
          <w:szCs w:val="20"/>
          <w:rtl/>
        </w:rPr>
        <w:t>קימו</w:t>
      </w:r>
      <w:proofErr w:type="spellEnd"/>
      <w:r>
        <w:rPr>
          <w:sz w:val="20"/>
          <w:szCs w:val="20"/>
          <w:rtl/>
        </w:rPr>
        <w:t xml:space="preserve"> וקיבלו עליהם הרבה מהנהגותיו בדרכי הלימוד ונתיבות המצוות כתיקונן”.</w:t>
      </w:r>
    </w:p>
  </w:footnote>
  <w:footnote w:id="2652">
    <w:p w14:paraId="1C2FEF7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הערה 11 לעיל.</w:t>
      </w:r>
    </w:p>
  </w:footnote>
  <w:footnote w:id="2653">
    <w:p w14:paraId="7601766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4, נספח </w:t>
      </w:r>
      <w:proofErr w:type="spellStart"/>
      <w:r>
        <w:rPr>
          <w:sz w:val="20"/>
          <w:szCs w:val="20"/>
          <w:rtl/>
        </w:rPr>
        <w:t>טז</w:t>
      </w:r>
      <w:proofErr w:type="spellEnd"/>
      <w:r>
        <w:rPr>
          <w:sz w:val="20"/>
          <w:szCs w:val="20"/>
          <w:rtl/>
        </w:rPr>
        <w:t>.</w:t>
      </w:r>
    </w:p>
  </w:footnote>
  <w:footnote w:id="2654">
    <w:p w14:paraId="31290C2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כרך 2.</w:t>
      </w:r>
    </w:p>
  </w:footnote>
  <w:footnote w:id="2655">
    <w:p w14:paraId="0EC475B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ח לעיל – עמ׳ 44.</w:t>
      </w:r>
    </w:p>
  </w:footnote>
  <w:footnote w:id="2656">
    <w:p w14:paraId="21E4816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“מאיר עיני ישראל”, עמ׳ 140, שם טוען ר׳ קלמן פרבר, תלמיד ישיבת </w:t>
      </w:r>
      <w:proofErr w:type="spellStart"/>
      <w:r>
        <w:rPr>
          <w:sz w:val="20"/>
          <w:szCs w:val="20"/>
          <w:rtl/>
        </w:rPr>
        <w:t>ראדין</w:t>
      </w:r>
      <w:proofErr w:type="spellEnd"/>
      <w:r>
        <w:rPr>
          <w:sz w:val="20"/>
          <w:szCs w:val="20"/>
          <w:rtl/>
        </w:rPr>
        <w:t xml:space="preserve">: “אביו של </w:t>
      </w:r>
      <w:proofErr w:type="spellStart"/>
      <w:r>
        <w:rPr>
          <w:sz w:val="20"/>
          <w:szCs w:val="20"/>
          <w:rtl/>
        </w:rPr>
        <w:t>החפץ־חיים</w:t>
      </w:r>
      <w:proofErr w:type="spellEnd"/>
      <w:r>
        <w:rPr>
          <w:sz w:val="20"/>
          <w:szCs w:val="20"/>
          <w:rtl/>
        </w:rPr>
        <w:t xml:space="preserve"> ורבו </w:t>
      </w:r>
      <w:proofErr w:type="spellStart"/>
      <w:r>
        <w:rPr>
          <w:sz w:val="20"/>
          <w:szCs w:val="20"/>
          <w:rtl/>
        </w:rPr>
        <w:t>ב‘קלויז</w:t>
      </w:r>
      <w:proofErr w:type="spellEnd"/>
      <w:r>
        <w:rPr>
          <w:sz w:val="20"/>
          <w:szCs w:val="20"/>
          <w:rtl/>
        </w:rPr>
        <w:t xml:space="preserve"> הפרנס’ [בווילנה] היו תלמידים של ר׳ חיים </w:t>
      </w:r>
      <w:proofErr w:type="spellStart"/>
      <w:r>
        <w:rPr>
          <w:sz w:val="20"/>
          <w:szCs w:val="20"/>
          <w:rtl/>
        </w:rPr>
        <w:t>מוולוז׳ין</w:t>
      </w:r>
      <w:proofErr w:type="spellEnd"/>
      <w:r>
        <w:rPr>
          <w:sz w:val="20"/>
          <w:szCs w:val="20"/>
          <w:rtl/>
        </w:rPr>
        <w:t xml:space="preserve">”. השווה גם שם, עמ׳ 282, שם מספר תלמיד אחר, ר׳ שלום גלאי: “כשדיבר על אביו ביום היארצייט שלו, שמחת תורה, אמר </w:t>
      </w:r>
      <w:proofErr w:type="spellStart"/>
      <w:r>
        <w:rPr>
          <w:sz w:val="20"/>
          <w:szCs w:val="20"/>
          <w:rtl/>
        </w:rPr>
        <w:t>החפץ־חיים</w:t>
      </w:r>
      <w:proofErr w:type="spellEnd"/>
      <w:r>
        <w:rPr>
          <w:sz w:val="20"/>
          <w:szCs w:val="20"/>
          <w:rtl/>
        </w:rPr>
        <w:t xml:space="preserve"> כי היו לו כוח לימוד ותפיסה בתלמוד כמו למפרש </w:t>
      </w:r>
      <w:proofErr w:type="spellStart"/>
      <w:r>
        <w:rPr>
          <w:sz w:val="20"/>
          <w:szCs w:val="20"/>
          <w:rtl/>
        </w:rPr>
        <w:t>מהר״ם</w:t>
      </w:r>
      <w:proofErr w:type="spellEnd"/>
      <w:r>
        <w:rPr>
          <w:sz w:val="20"/>
          <w:szCs w:val="20"/>
          <w:rtl/>
        </w:rPr>
        <w:t xml:space="preserve"> </w:t>
      </w:r>
      <w:proofErr w:type="spellStart"/>
      <w:r>
        <w:rPr>
          <w:sz w:val="20"/>
          <w:szCs w:val="20"/>
          <w:rtl/>
        </w:rPr>
        <w:t>שיף</w:t>
      </w:r>
      <w:proofErr w:type="spellEnd"/>
      <w:r>
        <w:rPr>
          <w:sz w:val="20"/>
          <w:szCs w:val="20"/>
          <w:rtl/>
        </w:rPr>
        <w:t xml:space="preserve">”. </w:t>
      </w:r>
      <w:proofErr w:type="spellStart"/>
      <w:r>
        <w:rPr>
          <w:sz w:val="20"/>
          <w:szCs w:val="20"/>
          <w:rtl/>
        </w:rPr>
        <w:t>קלויז</w:t>
      </w:r>
      <w:proofErr w:type="spellEnd"/>
      <w:r>
        <w:rPr>
          <w:sz w:val="20"/>
          <w:szCs w:val="20"/>
          <w:rtl/>
        </w:rPr>
        <w:t xml:space="preserve"> זה בווילנה נקרא על שם ר׳ נחמן פרנס – ראה “</w:t>
      </w:r>
      <w:proofErr w:type="spellStart"/>
      <w:r>
        <w:rPr>
          <w:sz w:val="20"/>
          <w:szCs w:val="20"/>
          <w:rtl/>
        </w:rPr>
        <w:t>זכרון</w:t>
      </w:r>
      <w:proofErr w:type="spellEnd"/>
      <w:r>
        <w:rPr>
          <w:sz w:val="20"/>
          <w:szCs w:val="20"/>
          <w:rtl/>
        </w:rPr>
        <w:t xml:space="preserve"> יעקב” (נספח א לעיל), כרך ב, עמ׳ 31, שם הוא מכונה “הרב הגאון הצדיק, הגביר המרומם, החכם הכולל, </w:t>
      </w:r>
      <w:proofErr w:type="spellStart"/>
      <w:r>
        <w:rPr>
          <w:sz w:val="20"/>
          <w:szCs w:val="20"/>
          <w:rtl/>
        </w:rPr>
        <w:t>מדברנא</w:t>
      </w:r>
      <w:proofErr w:type="spellEnd"/>
      <w:r>
        <w:rPr>
          <w:sz w:val="20"/>
          <w:szCs w:val="20"/>
          <w:rtl/>
        </w:rPr>
        <w:t xml:space="preserve"> </w:t>
      </w:r>
      <w:proofErr w:type="spellStart"/>
      <w:r>
        <w:rPr>
          <w:sz w:val="20"/>
          <w:szCs w:val="20"/>
          <w:rtl/>
        </w:rPr>
        <w:t>דאומתא</w:t>
      </w:r>
      <w:proofErr w:type="spellEnd"/>
      <w:r>
        <w:rPr>
          <w:sz w:val="20"/>
          <w:szCs w:val="20"/>
          <w:rtl/>
        </w:rPr>
        <w:t xml:space="preserve">”. שם ניסה </w:t>
      </w:r>
      <w:proofErr w:type="spellStart"/>
      <w:r>
        <w:rPr>
          <w:sz w:val="20"/>
          <w:szCs w:val="20"/>
          <w:rtl/>
        </w:rPr>
        <w:t>לבנזון</w:t>
      </w:r>
      <w:proofErr w:type="spellEnd"/>
      <w:r>
        <w:rPr>
          <w:sz w:val="20"/>
          <w:szCs w:val="20"/>
          <w:rtl/>
        </w:rPr>
        <w:t xml:space="preserve"> למשוך את </w:t>
      </w:r>
      <w:proofErr w:type="spellStart"/>
      <w:r>
        <w:rPr>
          <w:sz w:val="20"/>
          <w:szCs w:val="20"/>
          <w:rtl/>
        </w:rPr>
        <w:t>ישראל־מאיר</w:t>
      </w:r>
      <w:proofErr w:type="spellEnd"/>
      <w:r>
        <w:rPr>
          <w:sz w:val="20"/>
          <w:szCs w:val="20"/>
          <w:rtl/>
        </w:rPr>
        <w:t xml:space="preserve"> כגן הצעיר – ראה פרק 2, סוף נספח ב.</w:t>
      </w:r>
    </w:p>
  </w:footnote>
  <w:footnote w:id="2657">
    <w:p w14:paraId="56457F1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“רבי שמואל, </w:t>
      </w:r>
      <w:proofErr w:type="spellStart"/>
      <w:r>
        <w:rPr>
          <w:sz w:val="20"/>
          <w:szCs w:val="20"/>
          <w:rtl/>
        </w:rPr>
        <w:t>אפונ״ג</w:t>
      </w:r>
      <w:proofErr w:type="spellEnd"/>
      <w:r>
        <w:rPr>
          <w:sz w:val="20"/>
          <w:szCs w:val="20"/>
          <w:rtl/>
        </w:rPr>
        <w:t xml:space="preserve"> (אלוף פרנס ונגיד) </w:t>
      </w:r>
      <w:proofErr w:type="spellStart"/>
      <w:r>
        <w:rPr>
          <w:sz w:val="20"/>
          <w:szCs w:val="20"/>
          <w:rtl/>
        </w:rPr>
        <w:t>מדולהינוב</w:t>
      </w:r>
      <w:proofErr w:type="spellEnd"/>
      <w:r>
        <w:rPr>
          <w:sz w:val="20"/>
          <w:szCs w:val="20"/>
          <w:rtl/>
        </w:rPr>
        <w:t xml:space="preserve"> כעת </w:t>
      </w:r>
      <w:proofErr w:type="spellStart"/>
      <w:r>
        <w:rPr>
          <w:sz w:val="20"/>
          <w:szCs w:val="20"/>
          <w:rtl/>
        </w:rPr>
        <w:t>ראב״ד</w:t>
      </w:r>
      <w:proofErr w:type="spellEnd"/>
      <w:r>
        <w:rPr>
          <w:sz w:val="20"/>
          <w:szCs w:val="20"/>
          <w:rtl/>
        </w:rPr>
        <w:t xml:space="preserve"> </w:t>
      </w:r>
      <w:proofErr w:type="spellStart"/>
      <w:r>
        <w:rPr>
          <w:sz w:val="20"/>
          <w:szCs w:val="20"/>
          <w:rtl/>
        </w:rPr>
        <w:t>איליע</w:t>
      </w:r>
      <w:proofErr w:type="spellEnd"/>
      <w:r>
        <w:rPr>
          <w:sz w:val="20"/>
          <w:szCs w:val="20"/>
          <w:rtl/>
        </w:rPr>
        <w:t xml:space="preserve">”, כפי שמתואר בשער ספרו על מסכת ברכות, שנדפס בווילנה </w:t>
      </w:r>
      <w:proofErr w:type="spellStart"/>
      <w:r>
        <w:rPr>
          <w:sz w:val="20"/>
          <w:szCs w:val="20"/>
          <w:rtl/>
        </w:rPr>
        <w:t>בתר״ב</w:t>
      </w:r>
      <w:proofErr w:type="spellEnd"/>
      <w:r>
        <w:rPr>
          <w:sz w:val="20"/>
          <w:szCs w:val="20"/>
          <w:rtl/>
        </w:rPr>
        <w:t>.</w:t>
      </w:r>
    </w:p>
  </w:footnote>
  <w:footnote w:id="2658">
    <w:p w14:paraId="432AAA4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בספר מוסר שערך “בשנת התבודדותו בחברון בשנת תרי״א”.</w:t>
      </w:r>
    </w:p>
  </w:footnote>
  <w:footnote w:id="2659">
    <w:p w14:paraId="56D2E30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זהו ליקוט הנהגותיו של ר׳ חיים </w:t>
      </w:r>
      <w:proofErr w:type="spellStart"/>
      <w:r>
        <w:rPr>
          <w:sz w:val="20"/>
          <w:szCs w:val="20"/>
          <w:rtl/>
        </w:rPr>
        <w:t>מוולוז׳ין</w:t>
      </w:r>
      <w:proofErr w:type="spellEnd"/>
      <w:r>
        <w:rPr>
          <w:sz w:val="20"/>
          <w:szCs w:val="20"/>
          <w:rtl/>
        </w:rPr>
        <w:t>, שליקט תלמידו אשר הכהן בשנת תקע״ט.</w:t>
      </w:r>
    </w:p>
  </w:footnote>
  <w:footnote w:id="2660">
    <w:p w14:paraId="735C1B5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“מכלול המאמרים והפתגמים” מאת הרב משה סבר (מוסד הרב קוק, ירושלים, תשכ״א), עמ׳ 466–467, לרשימת מקורות ארוכה.</w:t>
      </w:r>
    </w:p>
  </w:footnote>
  <w:footnote w:id="2661">
    <w:p w14:paraId="3016CF39"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חלקו הראשון של “משנה ברורה” יצא לאור כבר בשנות </w:t>
      </w:r>
      <w:proofErr w:type="spellStart"/>
      <w:r>
        <w:rPr>
          <w:sz w:val="20"/>
          <w:szCs w:val="20"/>
          <w:rtl/>
        </w:rPr>
        <w:t>התר״מ</w:t>
      </w:r>
      <w:proofErr w:type="spellEnd"/>
      <w:r>
        <w:rPr>
          <w:sz w:val="20"/>
          <w:szCs w:val="20"/>
          <w:rtl/>
        </w:rPr>
        <w:t xml:space="preserve">. ואף לפי השנה הנזכרת כאן – הגאון נפטר </w:t>
      </w:r>
      <w:proofErr w:type="spellStart"/>
      <w:r>
        <w:rPr>
          <w:sz w:val="20"/>
          <w:szCs w:val="20"/>
          <w:rtl/>
        </w:rPr>
        <w:t>בתקנ״ח</w:t>
      </w:r>
      <w:proofErr w:type="spellEnd"/>
      <w:r>
        <w:rPr>
          <w:sz w:val="20"/>
          <w:szCs w:val="20"/>
          <w:rtl/>
        </w:rPr>
        <w:t xml:space="preserve">, ובין תקנ״ח </w:t>
      </w:r>
      <w:proofErr w:type="spellStart"/>
      <w:r>
        <w:rPr>
          <w:sz w:val="20"/>
          <w:szCs w:val="20"/>
          <w:rtl/>
        </w:rPr>
        <w:t>לתרנ״ב</w:t>
      </w:r>
      <w:proofErr w:type="spellEnd"/>
      <w:r>
        <w:rPr>
          <w:sz w:val="20"/>
          <w:szCs w:val="20"/>
          <w:rtl/>
        </w:rPr>
        <w:t xml:space="preserve"> עברו תשעים וארבע שנים.</w:t>
      </w:r>
    </w:p>
  </w:footnote>
  <w:footnote w:id="2662">
    <w:p w14:paraId="2F92DC3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סי׳ רס״א, </w:t>
      </w:r>
      <w:proofErr w:type="spellStart"/>
      <w:r>
        <w:rPr>
          <w:sz w:val="20"/>
          <w:szCs w:val="20"/>
          <w:rtl/>
        </w:rPr>
        <w:t>ס״ק</w:t>
      </w:r>
      <w:proofErr w:type="spellEnd"/>
      <w:r>
        <w:rPr>
          <w:sz w:val="20"/>
          <w:szCs w:val="20"/>
          <w:rtl/>
        </w:rPr>
        <w:t xml:space="preserve"> כ״ג. “הזמנים בהלכה”, מאת חיים פ. </w:t>
      </w:r>
      <w:proofErr w:type="spellStart"/>
      <w:r>
        <w:rPr>
          <w:sz w:val="20"/>
          <w:szCs w:val="20"/>
          <w:rtl/>
        </w:rPr>
        <w:t>בניש</w:t>
      </w:r>
      <w:proofErr w:type="spellEnd"/>
      <w:r>
        <w:rPr>
          <w:sz w:val="20"/>
          <w:szCs w:val="20"/>
          <w:rtl/>
        </w:rPr>
        <w:t xml:space="preserve"> (מכון “כתר תורה” </w:t>
      </w:r>
      <w:proofErr w:type="spellStart"/>
      <w:r>
        <w:rPr>
          <w:sz w:val="20"/>
          <w:szCs w:val="20"/>
          <w:rtl/>
        </w:rPr>
        <w:t>ראדומסק</w:t>
      </w:r>
      <w:proofErr w:type="spellEnd"/>
      <w:r>
        <w:rPr>
          <w:sz w:val="20"/>
          <w:szCs w:val="20"/>
          <w:rtl/>
        </w:rPr>
        <w:t xml:space="preserve">, בני ברק, תשנ״ו), עמ׳ </w:t>
      </w:r>
      <w:proofErr w:type="spellStart"/>
      <w:r>
        <w:rPr>
          <w:sz w:val="20"/>
          <w:szCs w:val="20"/>
          <w:rtl/>
        </w:rPr>
        <w:t>תמ</w:t>
      </w:r>
      <w:proofErr w:type="spellEnd"/>
      <w:r>
        <w:rPr>
          <w:sz w:val="20"/>
          <w:szCs w:val="20"/>
          <w:rtl/>
        </w:rPr>
        <w:t xml:space="preserve">, הערה 9, מחפש טעם לכך שחומרת הגאון – אם אכן התקבלה לבסוף – התקבלה על הכלל רק “כמאה – מאה וחמישים שנה מאוחר יותר”. הוא מבקש לייחס את המעבר מן המנהג הישן למנהגו של הגאון מווילנה לטעמים חברתיים, כגון התרכזות האוכלוסייה היהודית ברוסיה בערים, וזמינותם של מכשירים מכניים לקביעת הזמן [שעונים] במקום הסימן הטבעי לבוא הלילה, החשכה. השווה גם שם, עמ׳ </w:t>
      </w:r>
      <w:proofErr w:type="spellStart"/>
      <w:r>
        <w:rPr>
          <w:sz w:val="20"/>
          <w:szCs w:val="20"/>
          <w:rtl/>
        </w:rPr>
        <w:t>תמ</w:t>
      </w:r>
      <w:proofErr w:type="spellEnd"/>
      <w:r>
        <w:rPr>
          <w:sz w:val="20"/>
          <w:szCs w:val="20"/>
          <w:rtl/>
        </w:rPr>
        <w:t xml:space="preserve"> ואילך והערה 1, על מקומו של המנהג הקבוע בכל קהילה בפסקי הפוסקים שישבו בה.</w:t>
      </w:r>
    </w:p>
  </w:footnote>
  <w:footnote w:id="2663">
    <w:p w14:paraId="76187BB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שו״ת “פרי יצחק” </w:t>
      </w:r>
      <w:proofErr w:type="spellStart"/>
      <w:r>
        <w:rPr>
          <w:sz w:val="20"/>
          <w:szCs w:val="20"/>
          <w:rtl/>
        </w:rPr>
        <w:t>לר</w:t>
      </w:r>
      <w:proofErr w:type="spellEnd"/>
      <w:r>
        <w:rPr>
          <w:sz w:val="20"/>
          <w:szCs w:val="20"/>
          <w:rtl/>
        </w:rPr>
        <w:t xml:space="preserve">׳ </w:t>
      </w:r>
      <w:proofErr w:type="spellStart"/>
      <w:r>
        <w:rPr>
          <w:sz w:val="20"/>
          <w:szCs w:val="20"/>
          <w:rtl/>
        </w:rPr>
        <w:t>איצל׳ה</w:t>
      </w:r>
      <w:proofErr w:type="spellEnd"/>
      <w:r>
        <w:rPr>
          <w:sz w:val="20"/>
          <w:szCs w:val="20"/>
          <w:rtl/>
        </w:rPr>
        <w:t xml:space="preserve"> </w:t>
      </w:r>
      <w:proofErr w:type="spellStart"/>
      <w:r>
        <w:rPr>
          <w:sz w:val="20"/>
          <w:szCs w:val="20"/>
          <w:rtl/>
        </w:rPr>
        <w:t>בלאזר</w:t>
      </w:r>
      <w:proofErr w:type="spellEnd"/>
      <w:r>
        <w:rPr>
          <w:sz w:val="20"/>
          <w:szCs w:val="20"/>
          <w:rtl/>
        </w:rPr>
        <w:t xml:space="preserve">, סי׳ ז, שנדפס </w:t>
      </w:r>
      <w:proofErr w:type="spellStart"/>
      <w:r>
        <w:rPr>
          <w:sz w:val="20"/>
          <w:szCs w:val="20"/>
          <w:rtl/>
        </w:rPr>
        <w:t>בתרמ״א</w:t>
      </w:r>
      <w:proofErr w:type="spellEnd"/>
      <w:r>
        <w:rPr>
          <w:sz w:val="20"/>
          <w:szCs w:val="20"/>
          <w:rtl/>
        </w:rPr>
        <w:t xml:space="preserve">, מיישב את “מנהג העולם </w:t>
      </w:r>
      <w:proofErr w:type="spellStart"/>
      <w:r>
        <w:rPr>
          <w:sz w:val="20"/>
          <w:szCs w:val="20"/>
          <w:rtl/>
        </w:rPr>
        <w:t>שנוהגין</w:t>
      </w:r>
      <w:proofErr w:type="spellEnd"/>
      <w:r>
        <w:rPr>
          <w:sz w:val="20"/>
          <w:szCs w:val="20"/>
          <w:rtl/>
        </w:rPr>
        <w:t xml:space="preserve"> ע״פ </w:t>
      </w:r>
      <w:proofErr w:type="spellStart"/>
      <w:r>
        <w:rPr>
          <w:sz w:val="20"/>
          <w:szCs w:val="20"/>
          <w:rtl/>
        </w:rPr>
        <w:t>השו״ע</w:t>
      </w:r>
      <w:proofErr w:type="spellEnd"/>
      <w:r>
        <w:rPr>
          <w:sz w:val="20"/>
          <w:szCs w:val="20"/>
          <w:rtl/>
        </w:rPr>
        <w:t xml:space="preserve"> להדליק גם אחר תחילת השקיעה מעט”. אין הוא מזכיר במפורש שזה היה המנהג הכללי גם בווילנה, כמו שאמר אבי. ראה גם “הזמנים בהלכה”, עמ׳ </w:t>
      </w:r>
      <w:proofErr w:type="spellStart"/>
      <w:r>
        <w:rPr>
          <w:sz w:val="20"/>
          <w:szCs w:val="20"/>
          <w:rtl/>
        </w:rPr>
        <w:t>תנב</w:t>
      </w:r>
      <w:proofErr w:type="spellEnd"/>
      <w:r>
        <w:rPr>
          <w:sz w:val="20"/>
          <w:szCs w:val="20"/>
          <w:rtl/>
        </w:rPr>
        <w:t xml:space="preserve">, הערה 46, המביא תשובה שנתגלתה לאחרונה, שכתב </w:t>
      </w:r>
      <w:proofErr w:type="spellStart"/>
      <w:r>
        <w:rPr>
          <w:sz w:val="20"/>
          <w:szCs w:val="20"/>
          <w:rtl/>
        </w:rPr>
        <w:t>לר</w:t>
      </w:r>
      <w:proofErr w:type="spellEnd"/>
      <w:r>
        <w:rPr>
          <w:sz w:val="20"/>
          <w:szCs w:val="20"/>
          <w:rtl/>
        </w:rPr>
        <w:t xml:space="preserve">׳ </w:t>
      </w:r>
      <w:proofErr w:type="spellStart"/>
      <w:r>
        <w:rPr>
          <w:sz w:val="20"/>
          <w:szCs w:val="20"/>
          <w:rtl/>
        </w:rPr>
        <w:t>איצל׳ה</w:t>
      </w:r>
      <w:proofErr w:type="spellEnd"/>
      <w:r>
        <w:rPr>
          <w:sz w:val="20"/>
          <w:szCs w:val="20"/>
          <w:rtl/>
        </w:rPr>
        <w:t xml:space="preserve"> אחד מבני דורו, ובה נאמר על המדליקים נרות בערב שבת אחר השקיעה: “אין זאת מנהג רק שיש עצלנים ונפסדים, ולא ברצון חכמים הם עושים”. לא ברור מתי נכתבה תשובה זו; השנה המצוינת </w:t>
      </w:r>
      <w:proofErr w:type="spellStart"/>
      <w:r>
        <w:rPr>
          <w:sz w:val="20"/>
          <w:szCs w:val="20"/>
          <w:rtl/>
        </w:rPr>
        <w:t>ב“הזמנים</w:t>
      </w:r>
      <w:proofErr w:type="spellEnd"/>
      <w:r>
        <w:rPr>
          <w:sz w:val="20"/>
          <w:szCs w:val="20"/>
          <w:rtl/>
        </w:rPr>
        <w:t xml:space="preserve"> בהלכה”, תר״ג, היא בוודאי טעות דפוס, שהרי ר׳ </w:t>
      </w:r>
      <w:proofErr w:type="spellStart"/>
      <w:r>
        <w:rPr>
          <w:sz w:val="20"/>
          <w:szCs w:val="20"/>
          <w:rtl/>
        </w:rPr>
        <w:t>איצל׳ה</w:t>
      </w:r>
      <w:proofErr w:type="spellEnd"/>
      <w:r>
        <w:rPr>
          <w:sz w:val="20"/>
          <w:szCs w:val="20"/>
          <w:rtl/>
        </w:rPr>
        <w:t xml:space="preserve"> נולד רק שש שנים קודם לכן, </w:t>
      </w:r>
      <w:proofErr w:type="spellStart"/>
      <w:r>
        <w:rPr>
          <w:sz w:val="20"/>
          <w:szCs w:val="20"/>
          <w:rtl/>
        </w:rPr>
        <w:t>בתקצ״ז</w:t>
      </w:r>
      <w:proofErr w:type="spellEnd"/>
      <w:r>
        <w:rPr>
          <w:sz w:val="20"/>
          <w:szCs w:val="20"/>
          <w:rtl/>
        </w:rPr>
        <w:t>.</w:t>
      </w:r>
    </w:p>
  </w:footnote>
  <w:footnote w:id="2664">
    <w:p w14:paraId="346E707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ט לעיל.</w:t>
      </w:r>
    </w:p>
  </w:footnote>
  <w:footnote w:id="2665">
    <w:p w14:paraId="0BDC35F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המרואיין לא זכר את שמו של מי שהזכיר רבנו.</w:t>
      </w:r>
    </w:p>
  </w:footnote>
  <w:footnote w:id="2666">
    <w:p w14:paraId="1A0FA7F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סעיף </w:t>
      </w:r>
      <w:proofErr w:type="spellStart"/>
      <w:r>
        <w:rPr>
          <w:sz w:val="20"/>
          <w:szCs w:val="20"/>
          <w:rtl/>
        </w:rPr>
        <w:t>קכא</w:t>
      </w:r>
      <w:proofErr w:type="spellEnd"/>
      <w:r>
        <w:rPr>
          <w:sz w:val="20"/>
          <w:szCs w:val="20"/>
          <w:rtl/>
        </w:rPr>
        <w:t>.</w:t>
      </w:r>
    </w:p>
  </w:footnote>
  <w:footnote w:id="2667">
    <w:p w14:paraId="65AC6B8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26 בינואר 1997.</w:t>
      </w:r>
    </w:p>
  </w:footnote>
  <w:footnote w:id="2668">
    <w:p w14:paraId="22A5F2F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מס׳ 22.</w:t>
      </w:r>
    </w:p>
  </w:footnote>
  <w:footnote w:id="2669">
    <w:p w14:paraId="5367785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בהיותו אזרח גרמני נעצר ר׳ פרץ באנגליה עם פרוץ מלחמת העולם השנייה, ונכלא במחנה מעצר בקנדה. כששוחרר </w:t>
      </w:r>
      <w:proofErr w:type="spellStart"/>
      <w:r>
        <w:rPr>
          <w:sz w:val="20"/>
          <w:szCs w:val="20"/>
          <w:rtl/>
        </w:rPr>
        <w:t>בתש״ב</w:t>
      </w:r>
      <w:proofErr w:type="spellEnd"/>
      <w:r>
        <w:rPr>
          <w:sz w:val="20"/>
          <w:szCs w:val="20"/>
          <w:rtl/>
        </w:rPr>
        <w:t>, היה לבן בית בביתנו בטורונטו. ראה כרך 3.</w:t>
      </w:r>
    </w:p>
  </w:footnote>
  <w:footnote w:id="2670">
    <w:p w14:paraId="437FECA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בסוף “תוספת מעשה רב”, שנדפס בירושלים, </w:t>
      </w:r>
      <w:proofErr w:type="spellStart"/>
      <w:r>
        <w:rPr>
          <w:sz w:val="20"/>
          <w:szCs w:val="20"/>
          <w:rtl/>
        </w:rPr>
        <w:t>ששו״ן</w:t>
      </w:r>
      <w:proofErr w:type="spellEnd"/>
      <w:r>
        <w:rPr>
          <w:sz w:val="20"/>
          <w:szCs w:val="20"/>
          <w:rtl/>
        </w:rPr>
        <w:t xml:space="preserve"> (תרנ״ו).</w:t>
      </w:r>
    </w:p>
  </w:footnote>
  <w:footnote w:id="2671">
    <w:p w14:paraId="1DA5CC9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רלח</w:t>
      </w:r>
      <w:proofErr w:type="spellEnd"/>
      <w:r>
        <w:rPr>
          <w:sz w:val="20"/>
          <w:szCs w:val="20"/>
          <w:rtl/>
        </w:rPr>
        <w:t>.</w:t>
      </w:r>
    </w:p>
  </w:footnote>
  <w:footnote w:id="2672">
    <w:p w14:paraId="7CA63F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עמ׳ </w:t>
      </w:r>
      <w:proofErr w:type="spellStart"/>
      <w:r>
        <w:rPr>
          <w:sz w:val="20"/>
          <w:szCs w:val="20"/>
          <w:rtl/>
        </w:rPr>
        <w:t>רמ</w:t>
      </w:r>
      <w:proofErr w:type="spellEnd"/>
      <w:r>
        <w:rPr>
          <w:sz w:val="20"/>
          <w:szCs w:val="20"/>
          <w:rtl/>
        </w:rPr>
        <w:t>.</w:t>
      </w:r>
    </w:p>
  </w:footnote>
  <w:footnote w:id="2673">
    <w:p w14:paraId="10E9925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מסר תלמידו ר׳ מייסי גורדון, בריאיון ב־30 ביוני 1993.</w:t>
      </w:r>
    </w:p>
  </w:footnote>
  <w:footnote w:id="2674">
    <w:p w14:paraId="6BA0779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איכה א, </w:t>
      </w:r>
      <w:proofErr w:type="spellStart"/>
      <w:r>
        <w:rPr>
          <w:sz w:val="20"/>
          <w:szCs w:val="20"/>
          <w:rtl/>
        </w:rPr>
        <w:t>יג</w:t>
      </w:r>
      <w:proofErr w:type="spellEnd"/>
      <w:r>
        <w:rPr>
          <w:sz w:val="20"/>
          <w:szCs w:val="20"/>
          <w:rtl/>
        </w:rPr>
        <w:t>.</w:t>
      </w:r>
    </w:p>
  </w:footnote>
  <w:footnote w:id="2675">
    <w:p w14:paraId="0619919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2676">
    <w:p w14:paraId="1DF3E3E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2677">
    <w:p w14:paraId="307B647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אורח חיים סי׳ </w:t>
      </w:r>
      <w:proofErr w:type="spellStart"/>
      <w:r>
        <w:rPr>
          <w:sz w:val="20"/>
          <w:szCs w:val="20"/>
          <w:rtl/>
        </w:rPr>
        <w:t>קכח</w:t>
      </w:r>
      <w:proofErr w:type="spellEnd"/>
      <w:r>
        <w:rPr>
          <w:sz w:val="20"/>
          <w:szCs w:val="20"/>
          <w:rtl/>
        </w:rPr>
        <w:t xml:space="preserve"> סע’ סד – ראה פרק 2, הערה 4, בדבר מחברו של כרך זה.</w:t>
      </w:r>
    </w:p>
  </w:footnote>
  <w:footnote w:id="2678">
    <w:p w14:paraId="08CA2EF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נוקט את המונח שבו השתמש </w:t>
      </w:r>
      <w:proofErr w:type="spellStart"/>
      <w:r>
        <w:rPr>
          <w:sz w:val="20"/>
          <w:szCs w:val="20"/>
          <w:rtl/>
        </w:rPr>
        <w:t>ה“מגן</w:t>
      </w:r>
      <w:proofErr w:type="spellEnd"/>
      <w:r>
        <w:rPr>
          <w:sz w:val="20"/>
          <w:szCs w:val="20"/>
          <w:rtl/>
        </w:rPr>
        <w:t xml:space="preserve"> אברהם” בתיאור מנהג זה – “גרוע”.</w:t>
      </w:r>
    </w:p>
  </w:footnote>
  <w:footnote w:id="2679">
    <w:p w14:paraId="4F790F6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“הגאון החסיד </w:t>
      </w:r>
      <w:proofErr w:type="spellStart"/>
      <w:r>
        <w:rPr>
          <w:sz w:val="20"/>
          <w:szCs w:val="20"/>
          <w:rtl/>
        </w:rPr>
        <w:t>מווילנא</w:t>
      </w:r>
      <w:proofErr w:type="spellEnd"/>
      <w:r>
        <w:rPr>
          <w:sz w:val="20"/>
          <w:szCs w:val="20"/>
          <w:rtl/>
        </w:rPr>
        <w:t>”, עמ׳ נח–</w:t>
      </w:r>
      <w:proofErr w:type="spellStart"/>
      <w:r>
        <w:rPr>
          <w:sz w:val="20"/>
          <w:szCs w:val="20"/>
          <w:rtl/>
        </w:rPr>
        <w:t>סא</w:t>
      </w:r>
      <w:proofErr w:type="spellEnd"/>
      <w:r>
        <w:rPr>
          <w:sz w:val="20"/>
          <w:szCs w:val="20"/>
          <w:rtl/>
        </w:rPr>
        <w:t xml:space="preserve">. מסופר שם גם שכמה מהם התחצפו כלפי הגאון עצמו, וכי הגאון “הביע את תמיכתו הבלתי מסויגת בראשי הקהילה [הקהל]”. השקפת “הגאון החסיד </w:t>
      </w:r>
      <w:proofErr w:type="spellStart"/>
      <w:r>
        <w:rPr>
          <w:sz w:val="20"/>
          <w:szCs w:val="20"/>
          <w:rtl/>
        </w:rPr>
        <w:t>מווילנא</w:t>
      </w:r>
      <w:proofErr w:type="spellEnd"/>
      <w:r>
        <w:rPr>
          <w:sz w:val="20"/>
          <w:szCs w:val="20"/>
          <w:rtl/>
        </w:rPr>
        <w:t xml:space="preserve">” בעניין זה נסמכת על כתבי ד״ר ישראל </w:t>
      </w:r>
      <w:proofErr w:type="spellStart"/>
      <w:r>
        <w:rPr>
          <w:sz w:val="20"/>
          <w:szCs w:val="20"/>
          <w:rtl/>
        </w:rPr>
        <w:t>קלויזנר</w:t>
      </w:r>
      <w:proofErr w:type="spellEnd"/>
      <w:r>
        <w:rPr>
          <w:sz w:val="20"/>
          <w:szCs w:val="20"/>
          <w:rtl/>
        </w:rPr>
        <w:t xml:space="preserve"> </w:t>
      </w:r>
      <w:proofErr w:type="spellStart"/>
      <w:r>
        <w:rPr>
          <w:sz w:val="20"/>
          <w:szCs w:val="20"/>
          <w:rtl/>
        </w:rPr>
        <w:t>ב“וילנא</w:t>
      </w:r>
      <w:proofErr w:type="spellEnd"/>
      <w:r>
        <w:rPr>
          <w:sz w:val="20"/>
          <w:szCs w:val="20"/>
          <w:rtl/>
        </w:rPr>
        <w:t xml:space="preserve"> בתקופת הגאון” (ירושלים, תש״ב).</w:t>
      </w:r>
    </w:p>
    <w:p w14:paraId="7251A3EF" w14:textId="77777777" w:rsidR="00AB3647" w:rsidRDefault="00000000">
      <w:pPr>
        <w:spacing w:after="0" w:before="0"/>
        <w:jc w:val="both"/>
      </w:pPr>
      <w:r>
        <w:rPr>
          <w:sz w:val="20"/>
          <w:szCs w:val="20"/>
          <w:rtl/>
        </w:rPr>
        <w:t>ואולם לפי מאמרים שכותרתם “</w:t>
      </w:r>
      <w:proofErr w:type="spellStart"/>
      <w:r>
        <w:rPr>
          <w:sz w:val="20"/>
          <w:szCs w:val="20"/>
          <w:rtl/>
        </w:rPr>
        <w:t>פאלקסטימליכע</w:t>
      </w:r>
      <w:proofErr w:type="spellEnd"/>
      <w:r>
        <w:rPr>
          <w:sz w:val="20"/>
          <w:szCs w:val="20"/>
          <w:rtl/>
        </w:rPr>
        <w:t xml:space="preserve"> אגדות [כך במקור] </w:t>
      </w:r>
      <w:proofErr w:type="spellStart"/>
      <w:r>
        <w:rPr>
          <w:sz w:val="20"/>
          <w:szCs w:val="20"/>
          <w:rtl/>
        </w:rPr>
        <w:t>וועגען</w:t>
      </w:r>
      <w:proofErr w:type="spellEnd"/>
      <w:r>
        <w:rPr>
          <w:sz w:val="20"/>
          <w:szCs w:val="20"/>
          <w:rtl/>
        </w:rPr>
        <w:t xml:space="preserve"> </w:t>
      </w:r>
      <w:proofErr w:type="spellStart"/>
      <w:r>
        <w:rPr>
          <w:sz w:val="20"/>
          <w:szCs w:val="20"/>
          <w:rtl/>
        </w:rPr>
        <w:t>ווילנער</w:t>
      </w:r>
      <w:proofErr w:type="spellEnd"/>
      <w:r>
        <w:rPr>
          <w:sz w:val="20"/>
          <w:szCs w:val="20"/>
          <w:rtl/>
        </w:rPr>
        <w:t xml:space="preserve"> גאון זצ״ל” [אגדות עם על הגאון מווילנה זצ״ל], מאת </w:t>
      </w:r>
      <w:proofErr w:type="spellStart"/>
      <w:r>
        <w:rPr>
          <w:sz w:val="20"/>
          <w:szCs w:val="20"/>
          <w:rtl/>
        </w:rPr>
        <w:t>חייקל</w:t>
      </w:r>
      <w:proofErr w:type="spellEnd"/>
      <w:r>
        <w:rPr>
          <w:sz w:val="20"/>
          <w:szCs w:val="20"/>
          <w:rtl/>
        </w:rPr>
        <w:t xml:space="preserve"> </w:t>
      </w:r>
      <w:proofErr w:type="spellStart"/>
      <w:r>
        <w:rPr>
          <w:sz w:val="20"/>
          <w:szCs w:val="20"/>
          <w:rtl/>
        </w:rPr>
        <w:t>לונסקי</w:t>
      </w:r>
      <w:proofErr w:type="spellEnd"/>
      <w:r>
        <w:rPr>
          <w:sz w:val="20"/>
          <w:szCs w:val="20"/>
          <w:rtl/>
        </w:rPr>
        <w:t xml:space="preserve">, בשבועון הוילנאי “</w:t>
      </w:r>
      <w:proofErr w:type="spellStart"/>
      <w:r>
        <w:rPr>
          <w:sz w:val="20"/>
          <w:szCs w:val="20"/>
          <w:rtl/>
        </w:rPr>
        <w:t>דאס</w:t>
      </w:r>
      <w:proofErr w:type="spellEnd"/>
      <w:r>
        <w:rPr>
          <w:sz w:val="20"/>
          <w:szCs w:val="20"/>
          <w:rtl/>
        </w:rPr>
        <w:t xml:space="preserve"> </w:t>
      </w:r>
      <w:proofErr w:type="spellStart"/>
      <w:r>
        <w:rPr>
          <w:sz w:val="20"/>
          <w:szCs w:val="20"/>
          <w:rtl/>
        </w:rPr>
        <w:t>ווארט</w:t>
      </w:r>
      <w:proofErr w:type="spellEnd"/>
      <w:r>
        <w:rPr>
          <w:sz w:val="20"/>
          <w:szCs w:val="20"/>
          <w:rtl/>
        </w:rPr>
        <w:t xml:space="preserve">” בשנים תרצ״ו–תרצ״ז – שנדפסו מחדש </w:t>
      </w:r>
      <w:proofErr w:type="spellStart"/>
      <w:r>
        <w:rPr>
          <w:sz w:val="20"/>
          <w:szCs w:val="20"/>
          <w:rtl/>
        </w:rPr>
        <w:t>ב“דאס</w:t>
      </w:r>
      <w:proofErr w:type="spellEnd"/>
      <w:r>
        <w:rPr>
          <w:sz w:val="20"/>
          <w:szCs w:val="20"/>
          <w:rtl/>
        </w:rPr>
        <w:t xml:space="preserve"> אידישע </w:t>
      </w:r>
      <w:proofErr w:type="spellStart"/>
      <w:r>
        <w:rPr>
          <w:sz w:val="20"/>
          <w:szCs w:val="20"/>
          <w:rtl/>
        </w:rPr>
        <w:t>ווארט</w:t>
      </w:r>
      <w:proofErr w:type="spellEnd"/>
      <w:r>
        <w:rPr>
          <w:sz w:val="20"/>
          <w:szCs w:val="20"/>
          <w:rtl/>
        </w:rPr>
        <w:t xml:space="preserve">”, גיליונות חשוון–כסלו תשנ״ז וטבת–שבט תשנ״ח (מס׳ 341–342) – הגאון לא נקט צד במחלוקת. תומכיו הפשוטים של הרב פירשו בטעות את שתיקתו כתמיכה בקהל. למעשה תמך הגאון ברב, אך סבר שהמחלוקת כבר הרחיקה לכת מכדי שמחאתו נגד הקהל תועיל (ראה שם, מס׳ 342, עמ׳ 40). ההכרעה במי תמך הגאון אינה נוגעת </w:t>
      </w:r>
      <w:proofErr w:type="spellStart"/>
      <w:r>
        <w:rPr>
          <w:sz w:val="20"/>
          <w:szCs w:val="20"/>
          <w:rtl/>
        </w:rPr>
        <w:t>לנספחנו</w:t>
      </w:r>
      <w:proofErr w:type="spellEnd"/>
      <w:r>
        <w:rPr>
          <w:sz w:val="20"/>
          <w:szCs w:val="20"/>
          <w:rtl/>
        </w:rPr>
        <w:t>: גם אם טעו המלשינים ביחס לגאון, לא הייתה לו סיבה שלא לחשוש שיתמידו בטעותם וימשיכו לרדוף אותו אם יוסיף להתעקש על שינוי המנהג הרווח.</w:t>
      </w:r>
    </w:p>
  </w:footnote>
  <w:footnote w:id="2680">
    <w:p w14:paraId="410AF1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צוין לעיל [</w:t>
      </w:r>
      <w:proofErr w:type="spellStart"/>
      <w:r>
        <w:rPr>
          <w:sz w:val="20"/>
          <w:szCs w:val="20"/>
          <w:rtl/>
        </w:rPr>
        <w:t>ל“רשומות</w:t>
      </w:r>
      <w:proofErr w:type="spellEnd"/>
      <w:r>
        <w:rPr>
          <w:sz w:val="20"/>
          <w:szCs w:val="20"/>
          <w:rtl/>
        </w:rPr>
        <w:t xml:space="preserve"> א”], הערה 4 בפתיחה – מס׳ 38.</w:t>
      </w:r>
    </w:p>
  </w:footnote>
  <w:footnote w:id="2681">
    <w:p w14:paraId="5BEA0C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אגדה על ספר שנפל מארון ספרים בחג המולד מסופרת בחוברת מאת אברהם </w:t>
      </w:r>
      <w:proofErr w:type="spellStart"/>
      <w:r>
        <w:rPr>
          <w:sz w:val="20"/>
          <w:szCs w:val="20"/>
          <w:rtl/>
        </w:rPr>
        <w:t>משי־זהב</w:t>
      </w:r>
      <w:proofErr w:type="spellEnd"/>
      <w:r>
        <w:rPr>
          <w:sz w:val="20"/>
          <w:szCs w:val="20"/>
          <w:rtl/>
        </w:rPr>
        <w:t xml:space="preserve">, “תולדות </w:t>
      </w:r>
      <w:proofErr w:type="spellStart"/>
      <w:r>
        <w:rPr>
          <w:sz w:val="20"/>
          <w:szCs w:val="20"/>
          <w:rtl/>
        </w:rPr>
        <w:t>המהרש״א</w:t>
      </w:r>
      <w:proofErr w:type="spellEnd"/>
      <w:r>
        <w:rPr>
          <w:sz w:val="20"/>
          <w:szCs w:val="20"/>
          <w:rtl/>
        </w:rPr>
        <w:t xml:space="preserve">” (ירושלים, תשל״ג), עמ׳ לב–לג. גם האות שראה </w:t>
      </w:r>
      <w:proofErr w:type="spellStart"/>
      <w:r>
        <w:rPr>
          <w:sz w:val="20"/>
          <w:szCs w:val="20"/>
          <w:rtl/>
        </w:rPr>
        <w:t>המהרש״א</w:t>
      </w:r>
      <w:proofErr w:type="spellEnd"/>
      <w:r>
        <w:rPr>
          <w:sz w:val="20"/>
          <w:szCs w:val="20"/>
          <w:rtl/>
        </w:rPr>
        <w:t xml:space="preserve"> (מורנו הרב שמואל </w:t>
      </w:r>
      <w:proofErr w:type="spellStart"/>
      <w:r>
        <w:rPr>
          <w:sz w:val="20"/>
          <w:szCs w:val="20"/>
          <w:rtl/>
        </w:rPr>
        <w:t>איידלס</w:t>
      </w:r>
      <w:proofErr w:type="spellEnd"/>
      <w:r>
        <w:rPr>
          <w:sz w:val="20"/>
          <w:szCs w:val="20"/>
          <w:rtl/>
        </w:rPr>
        <w:t xml:space="preserve">, רב וראש ישיבה בחלם, לובלין, </w:t>
      </w:r>
      <w:proofErr w:type="spellStart"/>
      <w:r>
        <w:rPr>
          <w:sz w:val="20"/>
          <w:szCs w:val="20"/>
          <w:rtl/>
        </w:rPr>
        <w:t>טיקטין</w:t>
      </w:r>
      <w:proofErr w:type="spellEnd"/>
      <w:r>
        <w:rPr>
          <w:sz w:val="20"/>
          <w:szCs w:val="20"/>
          <w:rtl/>
        </w:rPr>
        <w:t xml:space="preserve"> </w:t>
      </w:r>
      <w:proofErr w:type="spellStart"/>
      <w:r>
        <w:rPr>
          <w:sz w:val="20"/>
          <w:szCs w:val="20"/>
          <w:rtl/>
        </w:rPr>
        <w:t>ואוסטרהא</w:t>
      </w:r>
      <w:proofErr w:type="spellEnd"/>
      <w:r>
        <w:rPr>
          <w:sz w:val="20"/>
          <w:szCs w:val="20"/>
          <w:rtl/>
        </w:rPr>
        <w:t>; שט״ו–שצ״ב) בנפילת הספר היה שעליו לפתוח את הספר ולעיין בו.</w:t>
      </w:r>
    </w:p>
    <w:p w14:paraId="3CF8EB96" w14:textId="77777777" w:rsidR="00AB3647" w:rsidRDefault="00000000">
      <w:pPr>
        <w:spacing w:after="0" w:before="0"/>
        <w:jc w:val="both"/>
      </w:pPr>
      <w:r>
        <w:rPr>
          <w:sz w:val="20"/>
          <w:szCs w:val="20"/>
          <w:rtl/>
        </w:rPr>
        <w:t xml:space="preserve">בחוברת מסופר </w:t>
      </w:r>
      <w:proofErr w:type="spellStart"/>
      <w:r>
        <w:rPr>
          <w:sz w:val="20"/>
          <w:szCs w:val="20"/>
          <w:rtl/>
        </w:rPr>
        <w:t>שהמהרש״א</w:t>
      </w:r>
      <w:proofErr w:type="spellEnd"/>
      <w:r>
        <w:rPr>
          <w:sz w:val="20"/>
          <w:szCs w:val="20"/>
          <w:rtl/>
        </w:rPr>
        <w:t xml:space="preserve"> למד תורה בכל לילה, חוץ מליל חג המולד, שבו עסק בחישוב הכנסתו השנתית כדי להפריש מעשר כראוי. אחד משונאיו החליט להלשין למשטרה שמעשהו זה בליל חג המולד מבטא זלזול בדת הנוצרית, ותכנן פשיטה משטרתית על בית </w:t>
      </w:r>
      <w:proofErr w:type="spellStart"/>
      <w:r>
        <w:rPr>
          <w:sz w:val="20"/>
          <w:szCs w:val="20"/>
          <w:rtl/>
        </w:rPr>
        <w:t>המהרש״א</w:t>
      </w:r>
      <w:proofErr w:type="spellEnd"/>
      <w:r>
        <w:rPr>
          <w:sz w:val="20"/>
          <w:szCs w:val="20"/>
          <w:rtl/>
        </w:rPr>
        <w:t xml:space="preserve"> באותו לילה, כדי לתפוס אותו בלי ספר קודש בידו. כשהספר נפל שוב ושוב מארונו של </w:t>
      </w:r>
      <w:proofErr w:type="spellStart"/>
      <w:r>
        <w:rPr>
          <w:sz w:val="20"/>
          <w:szCs w:val="20"/>
          <w:rtl/>
        </w:rPr>
        <w:t>המהרש״א</w:t>
      </w:r>
      <w:proofErr w:type="spellEnd"/>
      <w:r>
        <w:rPr>
          <w:sz w:val="20"/>
          <w:szCs w:val="20"/>
          <w:rtl/>
        </w:rPr>
        <w:t xml:space="preserve"> באותו לילה, החליט שמורים לו מן השמים לקרוא בו. אך התחיל לעיין בו, פרצו השוטרים לחדרו ומצאוהו לומד תורה כמנהגו בכל לילה, ומזימתו הרעה של המלשין סוכלה.</w:t>
      </w:r>
    </w:p>
  </w:footnote>
  <w:footnote w:id="2682">
    <w:p w14:paraId="3472A34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הוצאת ספרים אשכול, ירושלים, תשי״ז – עמ׳ תק, אות כ.</w:t>
      </w:r>
    </w:p>
  </w:footnote>
  <w:footnote w:id="2683">
    <w:p w14:paraId="2CEF713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ללא מקום ושנת דפוס.</w:t>
      </w:r>
    </w:p>
  </w:footnote>
  <w:footnote w:id="2684">
    <w:p w14:paraId="78D7970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נדפס ע״י שלמה סופר, שנת “ועל עבדיו יתנחם” (תש״ח), ניו יורק – כתבי רבנו משה סופר, מכתב ב.</w:t>
      </w:r>
    </w:p>
  </w:footnote>
  <w:footnote w:id="2685">
    <w:p w14:paraId="01C918D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אות </w:t>
      </w:r>
      <w:proofErr w:type="spellStart"/>
      <w:r>
        <w:rPr>
          <w:sz w:val="20"/>
          <w:szCs w:val="20"/>
          <w:rtl/>
        </w:rPr>
        <w:t>יט</w:t>
      </w:r>
      <w:proofErr w:type="spellEnd"/>
      <w:r>
        <w:rPr>
          <w:sz w:val="20"/>
          <w:szCs w:val="20"/>
          <w:rtl/>
        </w:rPr>
        <w:t>.</w:t>
      </w:r>
    </w:p>
  </w:footnote>
  <w:footnote w:id="2686">
    <w:p w14:paraId="1ACBE14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ב־15 באפריל 1998.</w:t>
      </w:r>
    </w:p>
  </w:footnote>
  <w:footnote w:id="2687">
    <w:p w14:paraId="1A8E387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צוין לעיל, פרק 1, הפסקה הראשונה בנספח ב – עמ׳ </w:t>
      </w:r>
      <w:proofErr w:type="spellStart"/>
      <w:r>
        <w:rPr>
          <w:sz w:val="20"/>
          <w:szCs w:val="20"/>
          <w:rtl/>
        </w:rPr>
        <w:t>תתצד</w:t>
      </w:r>
      <w:proofErr w:type="spellEnd"/>
      <w:r>
        <w:rPr>
          <w:sz w:val="20"/>
          <w:szCs w:val="20"/>
          <w:rtl/>
        </w:rPr>
        <w:t>–1786.</w:t>
      </w:r>
    </w:p>
  </w:footnote>
  <w:footnote w:id="2688">
    <w:p w14:paraId="5D18E54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המנהג שלא להפסיק את לימוד התורה בכל שעות היממה נהג גם בכמה עיירות בליטא, כמובא בנספח טו לעיל. השווה גם “הרב” (צוין לעיל, פרק 2, הפסקה השנייה בנספח א), כרך א, עמ׳ 165, המספר שגם בשבת בשעה מאוחרת אחר הצהריים – זמן שבו שולחן ערוך אורח חיים סוף סי׳ </w:t>
      </w:r>
      <w:proofErr w:type="spellStart"/>
      <w:r>
        <w:rPr>
          <w:sz w:val="20"/>
          <w:szCs w:val="20"/>
          <w:rtl/>
        </w:rPr>
        <w:t>רצב</w:t>
      </w:r>
      <w:proofErr w:type="spellEnd"/>
      <w:r>
        <w:rPr>
          <w:sz w:val="20"/>
          <w:szCs w:val="20"/>
          <w:rtl/>
        </w:rPr>
        <w:t xml:space="preserve"> אוסר “לקבוע מדרש”, ותלמידי </w:t>
      </w:r>
      <w:proofErr w:type="spellStart"/>
      <w:r>
        <w:rPr>
          <w:sz w:val="20"/>
          <w:szCs w:val="20"/>
          <w:rtl/>
        </w:rPr>
        <w:t>וולוז׳ין</w:t>
      </w:r>
      <w:proofErr w:type="spellEnd"/>
      <w:r>
        <w:rPr>
          <w:sz w:val="20"/>
          <w:szCs w:val="20"/>
          <w:rtl/>
        </w:rPr>
        <w:t xml:space="preserve"> בחרו בדרך כלל לעיין “בנושאים קלים יותר [כגון פרשת השבוע או פרקי אבות]” – “יועד תלמיד אחד להמשיך בלימוד </w:t>
      </w:r>
      <w:proofErr w:type="spellStart"/>
      <w:r>
        <w:rPr>
          <w:sz w:val="20"/>
          <w:szCs w:val="20"/>
          <w:rtl/>
        </w:rPr>
        <w:t>הישיבתי</w:t>
      </w:r>
      <w:proofErr w:type="spellEnd"/>
      <w:r>
        <w:rPr>
          <w:sz w:val="20"/>
          <w:szCs w:val="20"/>
          <w:rtl/>
        </w:rPr>
        <w:t xml:space="preserve"> העמוק יותר” באותה שעה. “אפילו במוצאי יום הכיפורים, כשכל הישיבה הלכה לאכול, נשאר </w:t>
      </w:r>
      <w:proofErr w:type="spellStart"/>
      <w:r>
        <w:rPr>
          <w:sz w:val="20"/>
          <w:szCs w:val="20"/>
          <w:rtl/>
        </w:rPr>
        <w:t>הנצי״ב</w:t>
      </w:r>
      <w:proofErr w:type="spellEnd"/>
      <w:r>
        <w:rPr>
          <w:sz w:val="20"/>
          <w:szCs w:val="20"/>
          <w:rtl/>
        </w:rPr>
        <w:t xml:space="preserve"> בבית המדרש ולמד. רק לאחר שהתלמידים הראשונים סיימו את סעודתם וחזרו ללימודם בבית המדרש, הלך </w:t>
      </w:r>
      <w:proofErr w:type="spellStart"/>
      <w:r>
        <w:rPr>
          <w:sz w:val="20"/>
          <w:szCs w:val="20"/>
          <w:rtl/>
        </w:rPr>
        <w:t>הנצי״ב</w:t>
      </w:r>
      <w:proofErr w:type="spellEnd"/>
      <w:r>
        <w:rPr>
          <w:sz w:val="20"/>
          <w:szCs w:val="20"/>
          <w:rtl/>
        </w:rPr>
        <w:t xml:space="preserve"> לביתו לשבור את הצום”.</w:t>
      </w:r>
    </w:p>
    <w:p w14:paraId="1F20A98A" w14:textId="77777777" w:rsidR="00AB3647" w:rsidRDefault="00000000">
      <w:pPr>
        <w:spacing w:after="0" w:before="0"/>
        <w:jc w:val="both"/>
      </w:pPr>
      <w:r>
        <w:rPr>
          <w:sz w:val="20"/>
          <w:szCs w:val="20"/>
          <w:rtl/>
        </w:rPr>
        <w:t>המנהג מבוסס על דברי “נפש החיים”, שער ד פרק כה, שאילו לא הייתה תורה נלמדת בכל רגע במקום כלשהו על פני כדור הארץ, היה העולם חדל להתקיים.</w:t>
      </w:r>
    </w:p>
  </w:footnote>
  <w:footnote w:id="2689">
    <w:p w14:paraId="4314D75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באמצע הערה </w:t>
      </w:r>
      <w:proofErr w:type="spellStart"/>
      <w:r>
        <w:rPr>
          <w:sz w:val="20"/>
          <w:szCs w:val="20"/>
          <w:rtl/>
        </w:rPr>
        <w:t>יג</w:t>
      </w:r>
      <w:proofErr w:type="spellEnd"/>
      <w:r>
        <w:rPr>
          <w:sz w:val="20"/>
          <w:szCs w:val="20"/>
          <w:rtl/>
        </w:rPr>
        <w:t>, עמ׳ 32–33.</w:t>
      </w:r>
    </w:p>
  </w:footnote>
  <w:footnote w:id="2690">
    <w:p w14:paraId="1195238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סוכה דף נא.</w:t>
      </w:r>
    </w:p>
  </w:footnote>
  <w:footnote w:id="2691">
    <w:p w14:paraId="217FE6F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ב־24 בספטמבר 1994.</w:t>
      </w:r>
    </w:p>
  </w:footnote>
  <w:footnote w:id="2692">
    <w:p w14:paraId="42CCD9D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צוין לעיל, פרק 1, הערה 73 – ויקרא </w:t>
      </w:r>
      <w:proofErr w:type="spellStart"/>
      <w:r>
        <w:rPr>
          <w:sz w:val="20"/>
          <w:szCs w:val="20"/>
          <w:rtl/>
        </w:rPr>
        <w:t>כג</w:t>
      </w:r>
      <w:proofErr w:type="spellEnd"/>
      <w:r>
        <w:rPr>
          <w:sz w:val="20"/>
          <w:szCs w:val="20"/>
          <w:rtl/>
        </w:rPr>
        <w:t>, כד.</w:t>
      </w:r>
    </w:p>
  </w:footnote>
  <w:footnote w:id="2693">
    <w:p w14:paraId="47CED35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הראשונה בנספח א לעיל – הערת שוליים בעמ׳ 996.</w:t>
      </w:r>
    </w:p>
  </w:footnote>
  <w:footnote w:id="2694">
    <w:p w14:paraId="648EAB9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הטקסט היידי משתמש בראשי התיבות </w:t>
      </w:r>
      <w:proofErr w:type="spellStart"/>
      <w:r>
        <w:rPr>
          <w:sz w:val="20"/>
          <w:szCs w:val="20"/>
          <w:rtl/>
        </w:rPr>
        <w:t>שבפע״ב</w:t>
      </w:r>
      <w:proofErr w:type="spellEnd"/>
      <w:r>
        <w:rPr>
          <w:sz w:val="20"/>
          <w:szCs w:val="20"/>
          <w:rtl/>
        </w:rPr>
        <w:t>, שיש לראות בהם קיצור של ‘שבפעם ב׳’, כמודגש, וכפי שמתברר מן ההדגשה הבאה.</w:t>
      </w:r>
    </w:p>
  </w:footnote>
  <w:footnote w:id="2695">
    <w:p w14:paraId="50588FE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זהו ציטוט ביטוי בדברים ל, </w:t>
      </w:r>
      <w:proofErr w:type="spellStart"/>
      <w:r>
        <w:rPr>
          <w:sz w:val="20"/>
          <w:szCs w:val="20"/>
          <w:rtl/>
        </w:rPr>
        <w:t>יב</w:t>
      </w:r>
      <w:proofErr w:type="spellEnd"/>
      <w:r>
        <w:rPr>
          <w:sz w:val="20"/>
          <w:szCs w:val="20"/>
          <w:rtl/>
        </w:rPr>
        <w:t xml:space="preserve">, המתבאר </w:t>
      </w:r>
      <w:proofErr w:type="spellStart"/>
      <w:r>
        <w:rPr>
          <w:sz w:val="20"/>
          <w:szCs w:val="20"/>
          <w:rtl/>
        </w:rPr>
        <w:t>בבבא</w:t>
      </w:r>
      <w:proofErr w:type="spellEnd"/>
      <w:r>
        <w:rPr>
          <w:sz w:val="20"/>
          <w:szCs w:val="20"/>
          <w:rtl/>
        </w:rPr>
        <w:t xml:space="preserve"> מציעא נט ע״ב כמלמד שלאחר שניתנה התורה בסיני אין אותות משמים מכריעים את ההלכה.</w:t>
      </w:r>
    </w:p>
  </w:footnote>
  <w:footnote w:id="2696">
    <w:p w14:paraId="70963E0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נספח ב לעיל.</w:t>
      </w:r>
    </w:p>
  </w:footnote>
  <w:footnote w:id="2697">
    <w:p w14:paraId="4ED7797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מצוטט בפרק 1, הפסקה השלישית בנספח ד, מתוך “כתבי הסבא”.</w:t>
      </w:r>
    </w:p>
  </w:footnote>
  <w:footnote w:id="2698">
    <w:p w14:paraId="3B5B0D0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אני סבור שרבנו אמר שר׳ ישראל הסכים עם הגאון שתיקוני מנהגים מותרים בהחלט, רק מפני שאבי מעולם לא ראה את “כתבי הסבא”: הספר נדפס לראשונה שש שנים לאחר פטירת רבנו.</w:t>
      </w:r>
    </w:p>
  </w:footnote>
  <w:footnote w:id="2699">
    <w:p w14:paraId="2F0F1CE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ועיין סנהדרין קד ע״ב, באה אש מן השמים וליחכה אש בספסליהם ולא השגיחו עליה.</w:t>
      </w:r>
    </w:p>
  </w:footnote>
  <w:footnote w:id="2700">
    <w:p w14:paraId="71D5C56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הערת שוליים </w:t>
      </w:r>
      <w:r>
        <w:rPr>
          <w:sz w:val="20"/>
          <w:szCs w:val="20"/>
          <w:rtl/>
        </w:rPr>
        <w:fldChar w:fldCharType="begin" w:dirty="true"/>
      </w:r>
      <w:r>
        <w:rPr>
          <w:sz w:val="20"/>
          <w:szCs w:val="20"/>
          <w:rtl/>
        </w:rPr>
        <w:instrText xml:space="preserve"> NOTEREF pr_f_2519 \h </w:instrText>
      </w:r>
      <w:r>
        <w:rPr>
          <w:sz w:val="20"/>
          <w:szCs w:val="20"/>
          <w:rtl/>
        </w:rPr>
      </w:r>
      <w:r>
        <w:rPr>
          <w:sz w:val="20"/>
          <w:szCs w:val="20"/>
          <w:rtl/>
        </w:rPr>
        <w:fldChar w:fldCharType="separate"/>
      </w:r>
      <w:r w:rsidR="007923E9">
        <w:rPr>
          <w:sz w:val="20"/>
          <w:szCs w:val="20"/>
          <w:rtl/>
        </w:rPr>
        <w:t>1565</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pr_f_2519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 עמ׳ ב.</w:t>
      </w:r>
    </w:p>
  </w:footnote>
  <w:footnote w:id="2701">
    <w:p w14:paraId="3103E72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הטעם לכך נידון בנספח כה לעיל.</w:t>
      </w:r>
    </w:p>
  </w:footnote>
  <w:footnote w:id="2702">
    <w:p w14:paraId="7DC8777F"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בין תרכ״ו </w:t>
      </w:r>
      <w:proofErr w:type="spellStart"/>
      <w:r>
        <w:rPr>
          <w:sz w:val="20"/>
          <w:szCs w:val="20"/>
          <w:rtl/>
        </w:rPr>
        <w:t>לתרל״ה</w:t>
      </w:r>
      <w:proofErr w:type="spellEnd"/>
      <w:r>
        <w:rPr>
          <w:sz w:val="20"/>
          <w:szCs w:val="20"/>
          <w:rtl/>
        </w:rPr>
        <w:t xml:space="preserve"> חלפו תשע שנים ולא </w:t>
      </w:r>
      <w:proofErr w:type="spellStart"/>
      <w:r>
        <w:rPr>
          <w:sz w:val="20"/>
          <w:szCs w:val="20"/>
          <w:rtl/>
        </w:rPr>
        <w:t>אחת־עשרה</w:t>
      </w:r>
      <w:proofErr w:type="spellEnd"/>
      <w:r>
        <w:rPr>
          <w:sz w:val="20"/>
          <w:szCs w:val="20"/>
          <w:rtl/>
        </w:rPr>
        <w:t xml:space="preserve">; </w:t>
      </w:r>
      <w:proofErr w:type="spellStart"/>
      <w:r>
        <w:rPr>
          <w:sz w:val="20"/>
          <w:szCs w:val="20"/>
          <w:rtl/>
        </w:rPr>
        <w:t>אחת־עשרה</w:t>
      </w:r>
      <w:proofErr w:type="spellEnd"/>
      <w:r>
        <w:rPr>
          <w:sz w:val="20"/>
          <w:szCs w:val="20"/>
          <w:rtl/>
        </w:rPr>
        <w:t xml:space="preserve"> שנים אחרי 1866 הן 1877 (תרל״ז). אחד המספרים שגוי, ואין בידינו לקבוע איזה.</w:t>
      </w:r>
    </w:p>
  </w:footnote>
  <w:footnote w:id="2703">
    <w:p w14:paraId="0E9D2E4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נכדתם, שהוזכרה בפסקה הראשונה לעיל, אישרה ב־5 באוקטובר 1997 שסבתה, שאותה זכרה מן הקיצים שבילתה </w:t>
      </w:r>
      <w:proofErr w:type="spellStart"/>
      <w:r>
        <w:rPr>
          <w:sz w:val="20"/>
          <w:szCs w:val="20"/>
          <w:rtl/>
        </w:rPr>
        <w:t>בציטוביאן</w:t>
      </w:r>
      <w:proofErr w:type="spellEnd"/>
      <w:r>
        <w:rPr>
          <w:sz w:val="20"/>
          <w:szCs w:val="20"/>
          <w:rtl/>
        </w:rPr>
        <w:t>, הייתה צעירה בהרבה מסבה.</w:t>
      </w:r>
    </w:p>
  </w:footnote>
  <w:footnote w:id="2704">
    <w:p w14:paraId="3F0576C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 הפסקה השנייה בנספח ח.</w:t>
      </w:r>
    </w:p>
  </w:footnote>
  <w:footnote w:id="2705">
    <w:p w14:paraId="4FAA2BA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כץ, “תנועת המוסר”, כרך א, עמ׳ 237–238 ו־240–241.</w:t>
      </w:r>
    </w:p>
  </w:footnote>
  <w:footnote w:id="2706">
    <w:p w14:paraId="4E594F1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השווה גם פרק 5, הפסקה השביעית בנספח ב, שבדרכו לקניגסברג עצר בממל – </w:t>
      </w:r>
      <w:proofErr w:type="spellStart"/>
      <w:r>
        <w:rPr>
          <w:rStyle w:val="a5"/>
          <w:sz w:val="20"/>
          <w:szCs w:val="20"/>
          <w:vertAlign w:val="baseline"/>
          <w:rtl/>
        </w:rPr>
        <w:t>ל“ימים</w:t>
      </w:r>
      <w:proofErr w:type="spellEnd"/>
      <w:r>
        <w:rPr>
          <w:rStyle w:val="a5"/>
          <w:sz w:val="20"/>
          <w:szCs w:val="20"/>
          <w:vertAlign w:val="baseline"/>
          <w:rtl/>
        </w:rPr>
        <w:t xml:space="preserve"> הנוראים”, על פי כץ, “תנועת המוסר”, כרך א, עמ׳ 240 (אך למעשה גם לאלול, על פי “</w:t>
      </w:r>
      <w:proofErr w:type="spellStart"/>
      <w:r>
        <w:rPr>
          <w:rStyle w:val="a5"/>
          <w:sz w:val="20"/>
          <w:szCs w:val="20"/>
          <w:vertAlign w:val="baseline"/>
          <w:rtl/>
        </w:rPr>
        <w:t>זכרון</w:t>
      </w:r>
      <w:proofErr w:type="spellEnd"/>
      <w:r>
        <w:rPr>
          <w:rStyle w:val="a5"/>
          <w:sz w:val="20"/>
          <w:szCs w:val="20"/>
          <w:vertAlign w:val="baseline"/>
          <w:rtl/>
        </w:rPr>
        <w:t xml:space="preserve"> יעקב”, כרך ג, עמ׳ 127). לפי הכותרת שבראש מכתבו המובא שם, עמ׳ 131, כבר הגיע לקניגסברג בערב שבת פרשת נח (13 באוקטובר 1882), ומסלול נסיעתו של </w:t>
      </w:r>
      <w:proofErr w:type="spellStart"/>
      <w:r>
        <w:rPr>
          <w:rStyle w:val="a5"/>
          <w:sz w:val="20"/>
          <w:szCs w:val="20"/>
          <w:vertAlign w:val="baseline"/>
          <w:rtl/>
        </w:rPr>
        <w:t>סלנטר</w:t>
      </w:r>
      <w:proofErr w:type="spellEnd"/>
      <w:r>
        <w:rPr>
          <w:rStyle w:val="a5"/>
          <w:sz w:val="20"/>
          <w:szCs w:val="20"/>
          <w:vertAlign w:val="baseline"/>
          <w:rtl/>
        </w:rPr>
        <w:t xml:space="preserve"> היה קובנה–קלם–ממל–קניגסברג. ראה גם “</w:t>
      </w:r>
      <w:proofErr w:type="spellStart"/>
      <w:r>
        <w:rPr>
          <w:rStyle w:val="a5"/>
          <w:sz w:val="20"/>
          <w:szCs w:val="20"/>
          <w:vertAlign w:val="baseline"/>
          <w:rtl/>
        </w:rPr>
        <w:t>זכרון</w:t>
      </w:r>
      <w:proofErr w:type="spellEnd"/>
      <w:r>
        <w:rPr>
          <w:rStyle w:val="a5"/>
          <w:sz w:val="20"/>
          <w:szCs w:val="20"/>
          <w:vertAlign w:val="baseline"/>
          <w:rtl/>
        </w:rPr>
        <w:t xml:space="preserve"> יעקב”, שם, עמ׳ 125, שבין תר״ל </w:t>
      </w:r>
      <w:proofErr w:type="spellStart"/>
      <w:r>
        <w:rPr>
          <w:rStyle w:val="a5"/>
          <w:sz w:val="20"/>
          <w:szCs w:val="20"/>
          <w:vertAlign w:val="baseline"/>
          <w:rtl/>
        </w:rPr>
        <w:t>לתרמ״ב</w:t>
      </w:r>
      <w:proofErr w:type="spellEnd"/>
      <w:r>
        <w:rPr>
          <w:rStyle w:val="a5"/>
          <w:sz w:val="20"/>
          <w:szCs w:val="20"/>
          <w:vertAlign w:val="baseline"/>
          <w:rtl/>
        </w:rPr>
        <w:t xml:space="preserve"> עבר בקובנה פעם אחת בלבד ושהה בה ימים אחדים.</w:t>
      </w:r>
    </w:p>
  </w:footnote>
  <w:footnote w:id="2707">
    <w:p w14:paraId="533C837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הפסקה השלישית בנספח </w:t>
      </w:r>
      <w:proofErr w:type="spellStart"/>
      <w:r>
        <w:rPr>
          <w:sz w:val="20"/>
          <w:szCs w:val="20"/>
          <w:rtl/>
        </w:rPr>
        <w:t>יח</w:t>
      </w:r>
      <w:proofErr w:type="spellEnd"/>
      <w:r>
        <w:rPr>
          <w:sz w:val="20"/>
          <w:szCs w:val="20"/>
          <w:rtl/>
        </w:rPr>
        <w:t xml:space="preserve"> לעיל.</w:t>
      </w:r>
    </w:p>
  </w:footnote>
  <w:footnote w:id="2708">
    <w:p w14:paraId="538B6E9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ברכות סב ע״א.</w:t>
      </w:r>
    </w:p>
  </w:footnote>
  <w:footnote w:id="2709">
    <w:p w14:paraId="271DE62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ה.</w:t>
      </w:r>
    </w:p>
  </w:footnote>
  <w:footnote w:id="2710">
    <w:p w14:paraId="41133D7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בבא </w:t>
      </w:r>
      <w:proofErr w:type="spellStart"/>
      <w:r>
        <w:rPr>
          <w:sz w:val="20"/>
          <w:szCs w:val="20"/>
          <w:rtl/>
        </w:rPr>
        <w:t>בתרא</w:t>
      </w:r>
      <w:proofErr w:type="spellEnd"/>
      <w:r>
        <w:rPr>
          <w:sz w:val="20"/>
          <w:szCs w:val="20"/>
          <w:rtl/>
        </w:rPr>
        <w:t xml:space="preserve"> </w:t>
      </w:r>
      <w:proofErr w:type="spellStart"/>
      <w:r>
        <w:rPr>
          <w:sz w:val="20"/>
          <w:szCs w:val="20"/>
          <w:rtl/>
        </w:rPr>
        <w:t>קסה</w:t>
      </w:r>
      <w:proofErr w:type="spellEnd"/>
      <w:r>
        <w:rPr>
          <w:sz w:val="20"/>
          <w:szCs w:val="20"/>
          <w:rtl/>
        </w:rPr>
        <w:t xml:space="preserve"> ע״א. השווה גם כץ, “תנועת המוסר”, כרך א, עמ׳ 389, שר׳ ישראל היה יוצא מחדר שבו הושאר כסף ללא השגחה.</w:t>
      </w:r>
    </w:p>
  </w:footnote>
  <w:footnote w:id="2711">
    <w:p w14:paraId="1A29A2C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ב־21 בפברואר 1988.</w:t>
      </w:r>
    </w:p>
  </w:footnote>
  <w:footnote w:id="2712">
    <w:p w14:paraId="4A57382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לו, אות ה.</w:t>
      </w:r>
    </w:p>
  </w:footnote>
  <w:footnote w:id="2713">
    <w:p w14:paraId="0F1264C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ועיין מועד קטן ו ע״א, אמר </w:t>
      </w:r>
      <w:proofErr w:type="spellStart"/>
      <w:r>
        <w:rPr>
          <w:sz w:val="20"/>
          <w:szCs w:val="20"/>
          <w:rtl/>
        </w:rPr>
        <w:t>אביי</w:t>
      </w:r>
      <w:proofErr w:type="spellEnd"/>
      <w:r>
        <w:rPr>
          <w:sz w:val="20"/>
          <w:szCs w:val="20"/>
          <w:rtl/>
        </w:rPr>
        <w:t xml:space="preserve"> שמע מינה האי צורבא </w:t>
      </w:r>
      <w:proofErr w:type="spellStart"/>
      <w:r>
        <w:rPr>
          <w:sz w:val="20"/>
          <w:szCs w:val="20"/>
          <w:rtl/>
        </w:rPr>
        <w:t>מרבנן</w:t>
      </w:r>
      <w:proofErr w:type="spellEnd"/>
      <w:r>
        <w:rPr>
          <w:sz w:val="20"/>
          <w:szCs w:val="20"/>
          <w:rtl/>
        </w:rPr>
        <w:t xml:space="preserve"> </w:t>
      </w:r>
      <w:proofErr w:type="spellStart"/>
      <w:r>
        <w:rPr>
          <w:sz w:val="20"/>
          <w:szCs w:val="20"/>
          <w:rtl/>
        </w:rPr>
        <w:t>וכו</w:t>
      </w:r>
      <w:proofErr w:type="spellEnd"/>
      <w:r>
        <w:rPr>
          <w:sz w:val="20"/>
          <w:szCs w:val="20"/>
          <w:rtl/>
        </w:rPr>
        <w:t>׳.</w:t>
      </w:r>
    </w:p>
  </w:footnote>
  <w:footnote w:id="2714">
    <w:p w14:paraId="4FAFC3C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ב־24 בדצמבר 1996.</w:t>
      </w:r>
    </w:p>
  </w:footnote>
  <w:footnote w:id="2715">
    <w:p w14:paraId="24F6CC0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הוצאת הישיבה הקדושה “אור אלחנן”, לוס אנג׳לס, תשל״ח – הערת שוליים 57 בעמ׳ </w:t>
      </w:r>
      <w:proofErr w:type="spellStart"/>
      <w:r>
        <w:rPr>
          <w:sz w:val="20"/>
          <w:szCs w:val="20"/>
          <w:rtl/>
        </w:rPr>
        <w:t>עג</w:t>
      </w:r>
      <w:proofErr w:type="spellEnd"/>
      <w:r>
        <w:rPr>
          <w:sz w:val="20"/>
          <w:szCs w:val="20"/>
          <w:rtl/>
        </w:rPr>
        <w:t>.</w:t>
      </w:r>
    </w:p>
  </w:footnote>
  <w:footnote w:id="2716">
    <w:p w14:paraId="2AFE633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ב־7 בינואר 1988.</w:t>
      </w:r>
    </w:p>
  </w:footnote>
  <w:footnote w:id="2717">
    <w:p w14:paraId="7C30142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ראשי תיבות של מורנו הרב [יהודה־]</w:t>
      </w:r>
      <w:proofErr w:type="spellStart"/>
      <w:r>
        <w:rPr>
          <w:sz w:val="20"/>
          <w:szCs w:val="20"/>
          <w:rtl/>
        </w:rPr>
        <w:t>ליווא</w:t>
      </w:r>
      <w:proofErr w:type="spellEnd"/>
      <w:r>
        <w:rPr>
          <w:sz w:val="20"/>
          <w:szCs w:val="20"/>
          <w:rtl/>
        </w:rPr>
        <w:t>, רב פראג.</w:t>
      </w:r>
    </w:p>
  </w:footnote>
  <w:footnote w:id="2718">
    <w:p w14:paraId="5B83308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י לעיל.</w:t>
      </w:r>
    </w:p>
  </w:footnote>
  <w:footnote w:id="2719">
    <w:p w14:paraId="52EA9D9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עמ׳ </w:t>
      </w:r>
      <w:proofErr w:type="spellStart"/>
      <w:r>
        <w:rPr>
          <w:sz w:val="20"/>
          <w:szCs w:val="20"/>
          <w:rtl/>
        </w:rPr>
        <w:t>עה</w:t>
      </w:r>
      <w:proofErr w:type="spellEnd"/>
      <w:r>
        <w:rPr>
          <w:sz w:val="20"/>
          <w:szCs w:val="20"/>
          <w:rtl/>
        </w:rPr>
        <w:t>–עז.</w:t>
      </w:r>
    </w:p>
  </w:footnote>
  <w:footnote w:id="2720">
    <w:p w14:paraId="0DAB7F5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שם, עמ׳ </w:t>
      </w:r>
      <w:proofErr w:type="spellStart"/>
      <w:r>
        <w:rPr>
          <w:rStyle w:val="a5"/>
          <w:sz w:val="20"/>
          <w:szCs w:val="20"/>
          <w:vertAlign w:val="baseline"/>
          <w:rtl/>
        </w:rPr>
        <w:t>עג</w:t>
      </w:r>
      <w:proofErr w:type="spellEnd"/>
      <w:r>
        <w:rPr>
          <w:rStyle w:val="a5"/>
          <w:sz w:val="20"/>
          <w:szCs w:val="20"/>
          <w:vertAlign w:val="baseline"/>
          <w:rtl/>
        </w:rPr>
        <w:t>–עד.</w:t>
      </w:r>
    </w:p>
  </w:footnote>
  <w:footnote w:id="2721">
    <w:p w14:paraId="074036B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תהלים קב, </w:t>
      </w:r>
      <w:proofErr w:type="spellStart"/>
      <w:r>
        <w:rPr>
          <w:sz w:val="20"/>
          <w:szCs w:val="20"/>
          <w:rtl/>
        </w:rPr>
        <w:t>יט</w:t>
      </w:r>
      <w:proofErr w:type="spellEnd"/>
      <w:r>
        <w:rPr>
          <w:sz w:val="20"/>
          <w:szCs w:val="20"/>
          <w:rtl/>
        </w:rPr>
        <w:t>.</w:t>
      </w:r>
    </w:p>
  </w:footnote>
  <w:footnote w:id="2722">
    <w:p w14:paraId="4580FB9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מיום ו׳ בשבט תשנ״ז.</w:t>
      </w:r>
    </w:p>
  </w:footnote>
  <w:footnote w:id="2723">
    <w:p w14:paraId="00402D7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צוין לעיל, נספח ח.</w:t>
      </w:r>
    </w:p>
  </w:footnote>
  <w:footnote w:id="2724">
    <w:p w14:paraId="391CF9C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 שמחה לא היה מעורב ישירות במהדורה העברית, מלבד כתיבת דברי תודה בפתיחה למחבר, “שאסף את הזיכרונות מתלמידים וממושפעים של אביו”.</w:t>
      </w:r>
    </w:p>
  </w:footnote>
  <w:footnote w:id="2725">
    <w:p w14:paraId="27A664E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עריכה מסוג זה נעשתה בהוצאת “</w:t>
      </w:r>
      <w:proofErr w:type="spellStart"/>
      <w:r>
        <w:rPr>
          <w:sz w:val="20"/>
          <w:szCs w:val="20"/>
          <w:rtl/>
        </w:rPr>
        <w:t>צאינה</w:t>
      </w:r>
      <w:proofErr w:type="spellEnd"/>
      <w:r>
        <w:rPr>
          <w:sz w:val="20"/>
          <w:szCs w:val="20"/>
          <w:rtl/>
        </w:rPr>
        <w:t xml:space="preserve"> וראינה”, כאמור בפרק 1, הפסקה השנייה בנספח ה. השמטה נוספת שהורה עליה ר׳ שמחה בספר האנגלי “ר׳ אלחנן” היא הדיווח </w:t>
      </w:r>
      <w:proofErr w:type="spellStart"/>
      <w:r>
        <w:rPr>
          <w:sz w:val="20"/>
          <w:szCs w:val="20"/>
          <w:rtl/>
        </w:rPr>
        <w:t>ב“אור</w:t>
      </w:r>
      <w:proofErr w:type="spellEnd"/>
      <w:r>
        <w:rPr>
          <w:sz w:val="20"/>
          <w:szCs w:val="20"/>
          <w:rtl/>
        </w:rPr>
        <w:t xml:space="preserve"> אלחנן”, חלק ב, עמ׳ ע, על התנהגותו של ר׳ אלחנן בהלוויית </w:t>
      </w:r>
      <w:proofErr w:type="spellStart"/>
      <w:r>
        <w:rPr>
          <w:sz w:val="20"/>
          <w:szCs w:val="20"/>
          <w:rtl/>
        </w:rPr>
        <w:t>החפץ־חיים</w:t>
      </w:r>
      <w:proofErr w:type="spellEnd"/>
      <w:r>
        <w:rPr>
          <w:sz w:val="20"/>
          <w:szCs w:val="20"/>
          <w:rtl/>
        </w:rPr>
        <w:t xml:space="preserve">, שכביכול “עדי ראיה מוסרים” </w:t>
      </w:r>
      <w:proofErr w:type="spellStart"/>
      <w:r>
        <w:rPr>
          <w:sz w:val="20"/>
          <w:szCs w:val="20"/>
          <w:rtl/>
        </w:rPr>
        <w:t>ו“מפי</w:t>
      </w:r>
      <w:proofErr w:type="spellEnd"/>
      <w:r>
        <w:rPr>
          <w:sz w:val="20"/>
          <w:szCs w:val="20"/>
          <w:rtl/>
        </w:rPr>
        <w:t xml:space="preserve"> אחד התלמידים המלווים...” – שהרי אביו כלל לא היה שם! ר׳ אלחנן היה באנגליה בעת פטירת רבו. ראה גם להלן השקפה נוספת על כוונתו של ר׳ אלחנן בסיפור מעשה הדיבוק – לא בהכרח כפי ששיער הרב </w:t>
      </w:r>
      <w:proofErr w:type="spellStart"/>
      <w:r>
        <w:rPr>
          <w:sz w:val="20"/>
          <w:szCs w:val="20"/>
          <w:rtl/>
        </w:rPr>
        <w:t>סורסקי</w:t>
      </w:r>
      <w:proofErr w:type="spellEnd"/>
      <w:r>
        <w:rPr>
          <w:sz w:val="20"/>
          <w:szCs w:val="20"/>
          <w:rtl/>
        </w:rPr>
        <w:t>, “לחזק את האמונה בה׳ ובמידות שבהן הוא מנהיג את העולם”.</w:t>
      </w:r>
    </w:p>
  </w:footnote>
  <w:footnote w:id="2726">
    <w:p w14:paraId="357A3A4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גרשון </w:t>
      </w:r>
      <w:proofErr w:type="spellStart"/>
      <w:r>
        <w:rPr>
          <w:sz w:val="20"/>
          <w:szCs w:val="20"/>
          <w:rtl/>
        </w:rPr>
        <w:t>וינקלר</w:t>
      </w:r>
      <w:proofErr w:type="spellEnd"/>
      <w:r>
        <w:rPr>
          <w:sz w:val="20"/>
          <w:szCs w:val="20"/>
          <w:rtl/>
        </w:rPr>
        <w:t xml:space="preserve"> (הוצאת יודאיקה, ניו יורק, 1981).</w:t>
      </w:r>
    </w:p>
  </w:footnote>
  <w:footnote w:id="2727">
    <w:p w14:paraId="2D1A846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מלשונו של הרב </w:t>
      </w:r>
      <w:proofErr w:type="spellStart"/>
      <w:r>
        <w:rPr>
          <w:sz w:val="20"/>
          <w:szCs w:val="20"/>
          <w:rtl/>
        </w:rPr>
        <w:t>ברפמן</w:t>
      </w:r>
      <w:proofErr w:type="spellEnd"/>
      <w:r>
        <w:rPr>
          <w:sz w:val="20"/>
          <w:szCs w:val="20"/>
          <w:rtl/>
        </w:rPr>
        <w:t xml:space="preserve"> עולה שאבי התנגד לפרסום כל סוגי </w:t>
      </w:r>
      <w:proofErr w:type="spellStart"/>
      <w:r>
        <w:rPr>
          <w:sz w:val="20"/>
          <w:szCs w:val="20"/>
          <w:rtl/>
        </w:rPr>
        <w:t>ה“עניינים</w:t>
      </w:r>
      <w:proofErr w:type="spellEnd"/>
      <w:r>
        <w:rPr>
          <w:sz w:val="20"/>
          <w:szCs w:val="20"/>
          <w:rtl/>
        </w:rPr>
        <w:t xml:space="preserve"> המיסטיים”.</w:t>
      </w:r>
    </w:p>
  </w:footnote>
  <w:footnote w:id="2728">
    <w:p w14:paraId="6D55DEE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239–264.</w:t>
      </w:r>
    </w:p>
  </w:footnote>
  <w:footnote w:id="2729">
    <w:p w14:paraId="1255E17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ד לעיל.</w:t>
      </w:r>
    </w:p>
  </w:footnote>
  <w:footnote w:id="2730">
    <w:p w14:paraId="03B79B6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חיה־מרים</w:t>
      </w:r>
      <w:proofErr w:type="spellEnd"/>
      <w:r>
        <w:rPr>
          <w:sz w:val="20"/>
          <w:szCs w:val="20"/>
          <w:rtl/>
        </w:rPr>
        <w:t xml:space="preserve"> </w:t>
      </w:r>
      <w:proofErr w:type="spellStart"/>
      <w:r>
        <w:rPr>
          <w:sz w:val="20"/>
          <w:szCs w:val="20"/>
          <w:rtl/>
        </w:rPr>
        <w:t>שולמן</w:t>
      </w:r>
      <w:proofErr w:type="spellEnd"/>
      <w:r>
        <w:rPr>
          <w:sz w:val="20"/>
          <w:szCs w:val="20"/>
          <w:rtl/>
        </w:rPr>
        <w:t xml:space="preserve"> הייתה </w:t>
      </w:r>
      <w:proofErr w:type="spellStart"/>
      <w:r>
        <w:rPr>
          <w:sz w:val="20"/>
          <w:szCs w:val="20"/>
          <w:rtl/>
        </w:rPr>
        <w:t>בסלבודקה</w:t>
      </w:r>
      <w:proofErr w:type="spellEnd"/>
      <w:r>
        <w:rPr>
          <w:sz w:val="20"/>
          <w:szCs w:val="20"/>
          <w:rtl/>
        </w:rPr>
        <w:t xml:space="preserve"> כשהתקיימה השיחה המתוארת. את שנות השואה עברה במחבוא בליטא.</w:t>
      </w:r>
    </w:p>
  </w:footnote>
  <w:footnote w:id="2731">
    <w:p w14:paraId="35D26E7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w:t>
      </w:r>
      <w:proofErr w:type="spellStart"/>
      <w:r>
        <w:rPr>
          <w:sz w:val="20"/>
          <w:szCs w:val="20"/>
          <w:rtl/>
        </w:rPr>
        <w:t>יט</w:t>
      </w:r>
      <w:proofErr w:type="spellEnd"/>
      <w:r>
        <w:rPr>
          <w:sz w:val="20"/>
          <w:szCs w:val="20"/>
          <w:rtl/>
        </w:rPr>
        <w:t xml:space="preserve"> לעיל.</w:t>
      </w:r>
    </w:p>
  </w:footnote>
  <w:footnote w:id="2732">
    <w:p w14:paraId="64E51BE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אין זו רק מטפורה לקדושה: היא גם קושרת את הישיבה למאמר בשיר השירים רבה ב, ד, שהקב״ה נשבע לכותל המערבי שלא ייחרב לעולם.</w:t>
      </w:r>
    </w:p>
  </w:footnote>
  <w:footnote w:id="2733">
    <w:p w14:paraId="446C681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אמנם ע׳ בדברים רבה א:יז ובחידושי </w:t>
      </w:r>
      <w:proofErr w:type="spellStart"/>
      <w:r>
        <w:rPr>
          <w:sz w:val="20"/>
          <w:szCs w:val="20"/>
          <w:rtl/>
        </w:rPr>
        <w:t>הרד״ל</w:t>
      </w:r>
      <w:proofErr w:type="spellEnd"/>
      <w:r>
        <w:rPr>
          <w:sz w:val="20"/>
          <w:szCs w:val="20"/>
          <w:rtl/>
        </w:rPr>
        <w:t xml:space="preserve"> שם אות מ״ב וגם ע׳ בביאור </w:t>
      </w:r>
      <w:proofErr w:type="spellStart"/>
      <w:r>
        <w:rPr>
          <w:sz w:val="20"/>
          <w:szCs w:val="20"/>
          <w:rtl/>
        </w:rPr>
        <w:t>הרד״ל</w:t>
      </w:r>
      <w:proofErr w:type="spellEnd"/>
      <w:r>
        <w:rPr>
          <w:sz w:val="20"/>
          <w:szCs w:val="20"/>
          <w:rtl/>
        </w:rPr>
        <w:t xml:space="preserve"> בפרקי רבי אליעזר פרק י׳ אות ז׳ בשם אחיו.</w:t>
      </w:r>
    </w:p>
  </w:footnote>
  <w:footnote w:id="2734">
    <w:p w14:paraId="0DE2789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אם הקורא בן זמננו חולק על ניתוח זה, ומייחס את פרוץ המלחמות בזמנים האחרונים ללחצים כלכליים וכיוצא בהם, הרי זה משום שאינו חי תחת השלטון האוטוקרטי ששרר ברוב אירופה לפני מלחמת העולם הראשונה. באייר תשנ״ט נתקלתי </w:t>
      </w:r>
      <w:proofErr w:type="spellStart"/>
      <w:r>
        <w:rPr>
          <w:sz w:val="20"/>
          <w:szCs w:val="20"/>
          <w:rtl/>
        </w:rPr>
        <w:t>ב“אינטרנשיונל</w:t>
      </w:r>
      <w:proofErr w:type="spellEnd"/>
      <w:r>
        <w:rPr>
          <w:sz w:val="20"/>
          <w:szCs w:val="20"/>
          <w:rtl/>
        </w:rPr>
        <w:t xml:space="preserve"> </w:t>
      </w:r>
      <w:proofErr w:type="spellStart"/>
      <w:r>
        <w:rPr>
          <w:sz w:val="20"/>
          <w:szCs w:val="20"/>
          <w:rtl/>
        </w:rPr>
        <w:t>הראלד</w:t>
      </w:r>
      <w:proofErr w:type="spellEnd"/>
      <w:r>
        <w:rPr>
          <w:sz w:val="20"/>
          <w:szCs w:val="20"/>
          <w:rtl/>
        </w:rPr>
        <w:t xml:space="preserve"> </w:t>
      </w:r>
      <w:proofErr w:type="spellStart"/>
      <w:r>
        <w:rPr>
          <w:sz w:val="20"/>
          <w:szCs w:val="20"/>
          <w:rtl/>
        </w:rPr>
        <w:t>טריביון</w:t>
      </w:r>
      <w:proofErr w:type="spellEnd"/>
      <w:r>
        <w:rPr>
          <w:sz w:val="20"/>
          <w:szCs w:val="20"/>
          <w:rtl/>
        </w:rPr>
        <w:t>” בציטוט בן מאה שנה ממאמר מערכת בעיתון “</w:t>
      </w:r>
      <w:proofErr w:type="spellStart"/>
      <w:r>
        <w:rPr>
          <w:sz w:val="20"/>
          <w:szCs w:val="20"/>
          <w:rtl/>
        </w:rPr>
        <w:t>בערזן</w:t>
      </w:r>
      <w:proofErr w:type="spellEnd"/>
      <w:r>
        <w:rPr>
          <w:sz w:val="20"/>
          <w:szCs w:val="20"/>
          <w:rtl/>
        </w:rPr>
        <w:t xml:space="preserve"> </w:t>
      </w:r>
      <w:proofErr w:type="spellStart"/>
      <w:r>
        <w:rPr>
          <w:sz w:val="20"/>
          <w:szCs w:val="20"/>
          <w:rtl/>
        </w:rPr>
        <w:t>קוריר</w:t>
      </w:r>
      <w:proofErr w:type="spellEnd"/>
      <w:r>
        <w:rPr>
          <w:sz w:val="20"/>
          <w:szCs w:val="20"/>
          <w:rtl/>
        </w:rPr>
        <w:t>”: “מלחמות ילכו ויהיו נדירות יותר ויותר, משום שכעת כבר אין בידי ממשלות להכריז מלחמה בשל מחלוקות קבינט גרידא. כיום אפשר להכריז מלחמה רק בשל שאלות שיש בהן עניין לכלל האומה. העובדה היא שמלחמות הולכות ונעשות נדירות יותר ויותר”.</w:t>
      </w:r>
    </w:p>
    <w:p w14:paraId="4439668A" w14:textId="77777777" w:rsidR="00AB3647" w:rsidRDefault="00000000">
      <w:pPr>
        <w:spacing w:after="0" w:before="0"/>
        <w:jc w:val="both"/>
      </w:pPr>
      <w:r>
        <w:rPr>
          <w:sz w:val="20"/>
          <w:szCs w:val="20"/>
          <w:rtl/>
        </w:rPr>
        <w:t xml:space="preserve">בדיעבד אנו יודעים עד כמה מגוחך המשפט האחרון. כמו כן, גם פרוץ מלחמת העולם הראשונה לא נבע אלא </w:t>
      </w:r>
      <w:proofErr w:type="spellStart"/>
      <w:r>
        <w:rPr>
          <w:sz w:val="20"/>
          <w:szCs w:val="20"/>
          <w:rtl/>
        </w:rPr>
        <w:t>מ“מחלוקות</w:t>
      </w:r>
      <w:proofErr w:type="spellEnd"/>
      <w:r>
        <w:rPr>
          <w:sz w:val="20"/>
          <w:szCs w:val="20"/>
          <w:rtl/>
        </w:rPr>
        <w:t xml:space="preserve"> קבינט”, או ליתר דיוק </w:t>
      </w:r>
      <w:proofErr w:type="spellStart"/>
      <w:r>
        <w:rPr>
          <w:sz w:val="20"/>
          <w:szCs w:val="20"/>
          <w:rtl/>
        </w:rPr>
        <w:t>מ“חמת</w:t>
      </w:r>
      <w:proofErr w:type="spellEnd"/>
      <w:r>
        <w:rPr>
          <w:sz w:val="20"/>
          <w:szCs w:val="20"/>
          <w:rtl/>
        </w:rPr>
        <w:t xml:space="preserve"> זעמם של שוטים”, כלשונה של בתו של הסבא.</w:t>
      </w:r>
    </w:p>
  </w:footnote>
  <w:footnote w:id="2735">
    <w:p w14:paraId="691F979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מ־30 בנובמבר 1996.</w:t>
      </w:r>
    </w:p>
  </w:footnote>
  <w:footnote w:id="2736">
    <w:p w14:paraId="7C08804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קובנה הייתה העיר הגדולה ביותר; וילנה כבר לא הייתה חלק מליטא, לאחר שנכבשה בידי פולין בכ״ז בתשרי תרפ״א.</w:t>
      </w:r>
    </w:p>
  </w:footnote>
  <w:footnote w:id="2737">
    <w:p w14:paraId="6D2E3BF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הערה 100 לעיל.</w:t>
      </w:r>
    </w:p>
  </w:footnote>
  <w:footnote w:id="2738">
    <w:p w14:paraId="21BF960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ריאיון מ־15 באוקטובר 1998; וכפי שדווח גם בריאיון עם ר׳ מרדכי </w:t>
      </w:r>
      <w:proofErr w:type="spellStart"/>
      <w:r>
        <w:rPr>
          <w:sz w:val="20"/>
          <w:szCs w:val="20"/>
          <w:rtl/>
        </w:rPr>
        <w:t>ב“יתד</w:t>
      </w:r>
      <w:proofErr w:type="spellEnd"/>
      <w:r>
        <w:rPr>
          <w:sz w:val="20"/>
          <w:szCs w:val="20"/>
          <w:rtl/>
        </w:rPr>
        <w:t xml:space="preserve"> נאמן” בקיץ שקדם לו.</w:t>
      </w:r>
    </w:p>
  </w:footnote>
  <w:footnote w:id="2739">
    <w:p w14:paraId="4DEA500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הפסקה השנייה בנספח י לעיל.</w:t>
      </w:r>
    </w:p>
  </w:footnote>
  <w:footnote w:id="2740">
    <w:p w14:paraId="310DB23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כרך 2.</w:t>
      </w:r>
    </w:p>
  </w:footnote>
  <w:footnote w:id="2741">
    <w:p w14:paraId="757B3B0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אין זו ראיה מכרעת, מפני שהנוסח לא נלקח מכתב ידו של אבי – כפי שנלקח יתר הכרך (אלא אם צוין אחרת) – אלא “מפי השמועה”.</w:t>
      </w:r>
    </w:p>
  </w:footnote>
  <w:footnote w:id="2742">
    <w:p w14:paraId="139555B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“דיבוק”, עמ׳ 239.</w:t>
      </w:r>
    </w:p>
  </w:footnote>
  <w:footnote w:id="2743">
    <w:p w14:paraId="630607D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239 ו־264.</w:t>
      </w:r>
    </w:p>
  </w:footnote>
  <w:footnote w:id="2744">
    <w:p w14:paraId="7967FC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239.</w:t>
      </w:r>
    </w:p>
  </w:footnote>
  <w:footnote w:id="2745">
    <w:p w14:paraId="25593C2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“החפץ חיים (ישר)”, עמ׳ 791.</w:t>
      </w:r>
    </w:p>
  </w:footnote>
  <w:footnote w:id="2746">
    <w:p w14:paraId="6B667B1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“דיבוק”, עמ׳ 264.</w:t>
      </w:r>
    </w:p>
  </w:footnote>
  <w:footnote w:id="2747">
    <w:p w14:paraId="558DEF8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שם, עמ׳ 263.</w:t>
      </w:r>
    </w:p>
  </w:footnote>
  <w:footnote w:id="2748">
    <w:p w14:paraId="412B391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אולם לדברי אחד מבני משפחתו של ר׳ מנדל, </w:t>
      </w:r>
      <w:proofErr w:type="spellStart"/>
      <w:r>
        <w:rPr>
          <w:sz w:val="20"/>
          <w:szCs w:val="20"/>
          <w:rtl/>
        </w:rPr>
        <w:t>החפץ־חיים</w:t>
      </w:r>
      <w:proofErr w:type="spellEnd"/>
      <w:r>
        <w:rPr>
          <w:sz w:val="20"/>
          <w:szCs w:val="20"/>
          <w:rtl/>
        </w:rPr>
        <w:t xml:space="preserve"> לא התעלם סתם משאלתו, אלא השיב לו: “יש לנו מסורת שמאז ימיו של ר׳ חיים </w:t>
      </w:r>
      <w:proofErr w:type="spellStart"/>
      <w:r>
        <w:rPr>
          <w:sz w:val="20"/>
          <w:szCs w:val="20"/>
          <w:rtl/>
        </w:rPr>
        <w:t>מוולוז׳ין</w:t>
      </w:r>
      <w:proofErr w:type="spellEnd"/>
      <w:r>
        <w:rPr>
          <w:sz w:val="20"/>
          <w:szCs w:val="20"/>
          <w:rtl/>
        </w:rPr>
        <w:t xml:space="preserve"> לא דווח על שום מקרה של דיבוק”. על אחרים שהכחישו את סיפור הדיבוק ראה להלן, וכן בפסקה השביעית, שבה נאמר שגם </w:t>
      </w:r>
      <w:proofErr w:type="spellStart"/>
      <w:r>
        <w:rPr>
          <w:sz w:val="20"/>
          <w:szCs w:val="20"/>
          <w:rtl/>
        </w:rPr>
        <w:t>לר</w:t>
      </w:r>
      <w:proofErr w:type="spellEnd"/>
      <w:r>
        <w:rPr>
          <w:sz w:val="20"/>
          <w:szCs w:val="20"/>
          <w:rtl/>
        </w:rPr>
        <w:t xml:space="preserve">׳ יצחק־זאב הייתה אותה מסורת מר׳ חיים </w:t>
      </w:r>
      <w:proofErr w:type="spellStart"/>
      <w:r>
        <w:rPr>
          <w:sz w:val="20"/>
          <w:szCs w:val="20"/>
          <w:rtl/>
        </w:rPr>
        <w:t>מוולוז׳ין</w:t>
      </w:r>
      <w:proofErr w:type="spellEnd"/>
      <w:r>
        <w:rPr>
          <w:sz w:val="20"/>
          <w:szCs w:val="20"/>
          <w:rtl/>
        </w:rPr>
        <w:t xml:space="preserve"> שהייתה </w:t>
      </w:r>
      <w:proofErr w:type="spellStart"/>
      <w:r>
        <w:rPr>
          <w:sz w:val="20"/>
          <w:szCs w:val="20"/>
          <w:rtl/>
        </w:rPr>
        <w:t>לחפץ־חיים</w:t>
      </w:r>
      <w:proofErr w:type="spellEnd"/>
      <w:r>
        <w:rPr>
          <w:sz w:val="20"/>
          <w:szCs w:val="20"/>
          <w:rtl/>
        </w:rPr>
        <w:t>.</w:t>
      </w:r>
    </w:p>
  </w:footnote>
  <w:footnote w:id="2749">
    <w:p w14:paraId="323A8E9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פרץ </w:t>
      </w:r>
      <w:proofErr w:type="spellStart"/>
      <w:r>
        <w:rPr>
          <w:sz w:val="20"/>
          <w:szCs w:val="20"/>
          <w:rtl/>
        </w:rPr>
        <w:t>פוזן</w:t>
      </w:r>
      <w:proofErr w:type="spellEnd"/>
      <w:r>
        <w:rPr>
          <w:sz w:val="20"/>
          <w:szCs w:val="20"/>
          <w:rtl/>
        </w:rPr>
        <w:t xml:space="preserve"> אמר לי ב־7 ביוני 1997 בשם ר׳ יצחק </w:t>
      </w:r>
      <w:proofErr w:type="spellStart"/>
      <w:r>
        <w:rPr>
          <w:sz w:val="20"/>
          <w:szCs w:val="20"/>
          <w:rtl/>
        </w:rPr>
        <w:t>פופקו</w:t>
      </w:r>
      <w:proofErr w:type="spellEnd"/>
      <w:r>
        <w:rPr>
          <w:sz w:val="20"/>
          <w:szCs w:val="20"/>
          <w:rtl/>
        </w:rPr>
        <w:t xml:space="preserve">, שכשלמד </w:t>
      </w:r>
      <w:proofErr w:type="spellStart"/>
      <w:r>
        <w:rPr>
          <w:sz w:val="20"/>
          <w:szCs w:val="20"/>
          <w:rtl/>
        </w:rPr>
        <w:t>בראדין</w:t>
      </w:r>
      <w:proofErr w:type="spellEnd"/>
      <w:r>
        <w:rPr>
          <w:sz w:val="20"/>
          <w:szCs w:val="20"/>
          <w:rtl/>
        </w:rPr>
        <w:t xml:space="preserve"> הגישו לו ויסקי לקידוש, ואחר כך, כשהיה מבושם, דחק בו ר׳ מנדל זקס לשאול את </w:t>
      </w:r>
      <w:proofErr w:type="spellStart"/>
      <w:r>
        <w:rPr>
          <w:sz w:val="20"/>
          <w:szCs w:val="20"/>
          <w:rtl/>
        </w:rPr>
        <w:t>החפץ־חיים</w:t>
      </w:r>
      <w:proofErr w:type="spellEnd"/>
      <w:r>
        <w:rPr>
          <w:sz w:val="20"/>
          <w:szCs w:val="20"/>
          <w:rtl/>
        </w:rPr>
        <w:t xml:space="preserve"> על הדיבוק. התשובה שקיבל הייתה: “אין אנו עוסקים בעניינים כאלה”. סביר שמאורע זה התרחש לפני שר׳ מנדל עצמו שאל את </w:t>
      </w:r>
      <w:proofErr w:type="spellStart"/>
      <w:r>
        <w:rPr>
          <w:sz w:val="20"/>
          <w:szCs w:val="20"/>
          <w:rtl/>
        </w:rPr>
        <w:t>החפץ־חיים</w:t>
      </w:r>
      <w:proofErr w:type="spellEnd"/>
      <w:r>
        <w:rPr>
          <w:sz w:val="20"/>
          <w:szCs w:val="20"/>
          <w:rtl/>
        </w:rPr>
        <w:t xml:space="preserve"> ולא קיבל תשובה (או קיבל את התשובה המובאת בהערת השוליים הקודמת).</w:t>
      </w:r>
    </w:p>
  </w:footnote>
  <w:footnote w:id="2750">
    <w:p w14:paraId="0B7CD8C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מ־10 באפריל 1999.</w:t>
      </w:r>
    </w:p>
  </w:footnote>
  <w:footnote w:id="2751">
    <w:p w14:paraId="4F95EED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ב“ר</w:t>
      </w:r>
      <w:proofErr w:type="spellEnd"/>
      <w:r>
        <w:rPr>
          <w:sz w:val="20"/>
          <w:szCs w:val="20"/>
          <w:rtl/>
        </w:rPr>
        <w:t xml:space="preserve">׳ מנדל </w:t>
      </w:r>
      <w:proofErr w:type="spellStart"/>
      <w:r>
        <w:rPr>
          <w:sz w:val="20"/>
          <w:szCs w:val="20"/>
          <w:rtl/>
        </w:rPr>
        <w:t>וחכמתו</w:t>
      </w:r>
      <w:proofErr w:type="spellEnd"/>
      <w:r>
        <w:rPr>
          <w:sz w:val="20"/>
          <w:szCs w:val="20"/>
          <w:rtl/>
        </w:rPr>
        <w:t>” (נספח ח לעיל), עמ׳ 220, מסופר שר׳ מנדל קפלן, תלמידו של הרב וסרמן, הסביר מדוע חדל ר׳ אלחנן לספר את הסיפור: “ר׳ אלחנן הבין עד כמה הקב״ה מסתיר את נוכחותו בעולם [הסתר פנים] בתקופה שקדמה למלחמת העולם השנייה, וסבר שאין זה ראוי להעלות באותה שעה סיפור הממחיש בבירור כה רב את תפקידו הישיר של הקב״ה בעולם”.</w:t>
      </w:r>
    </w:p>
    <w:p w14:paraId="45F78032" w14:textId="77777777" w:rsidR="00AB3647" w:rsidRDefault="00000000">
      <w:pPr>
        <w:spacing w:after="0" w:before="0"/>
        <w:jc w:val="both"/>
      </w:pPr>
      <w:r>
        <w:rPr>
          <w:sz w:val="20"/>
          <w:szCs w:val="20"/>
          <w:rtl/>
        </w:rPr>
        <w:t xml:space="preserve">אם התכוון ר׳ מנדל קפלן להסתרת נוכחותו של הקב״ה ביחס לאנשים </w:t>
      </w:r>
      <w:proofErr w:type="spellStart"/>
      <w:r>
        <w:rPr>
          <w:sz w:val="20"/>
          <w:szCs w:val="20"/>
          <w:rtl/>
        </w:rPr>
        <w:t>ש“אין</w:t>
      </w:r>
      <w:proofErr w:type="spellEnd"/>
      <w:r>
        <w:rPr>
          <w:sz w:val="20"/>
          <w:szCs w:val="20"/>
          <w:rtl/>
        </w:rPr>
        <w:t xml:space="preserve"> להם אמונה שלמה בסיפורים מסוג זה” אפילו בחברת בני הישיבות – כמו שאף ר׳ אלחנן חשד שיש כאלה בין ידידיה של משפחת פרידמן כשסיפר את הסיפור בביתם בממל – יש ממש בהסברו להפסקתו של ר׳ אלחנן. אבל אם לכך התכוון ר׳ מנדל, נראה שהוא הטיל על הקב״ה את האחריות לנסיגתם של בני אדם באמונה.</w:t>
      </w:r>
    </w:p>
  </w:footnote>
  <w:footnote w:id="2752">
    <w:p w14:paraId="42FDE7D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הכוונה לצאצאים אחרים מלבד אותו בן משפחה של ר׳ מנדל זקס שצוטט (בעילום שם) בהערת שוליים </w:t>
      </w:r>
      <w:r>
        <w:rPr>
          <w:sz w:val="20"/>
          <w:szCs w:val="20"/>
          <w:rtl/>
        </w:rPr>
        <w:fldChar w:fldCharType="begin" w:dirty="true"/>
      </w:r>
      <w:r>
        <w:rPr>
          <w:sz w:val="20"/>
          <w:szCs w:val="20"/>
          <w:rtl/>
        </w:rPr>
        <w:instrText xml:space="preserve"> NOTEREF pr_f_2638 \h </w:instrText>
      </w:r>
      <w:r>
        <w:rPr>
          <w:sz w:val="20"/>
          <w:szCs w:val="20"/>
          <w:rtl/>
        </w:rPr>
      </w:r>
      <w:r>
        <w:rPr>
          <w:sz w:val="20"/>
          <w:szCs w:val="20"/>
          <w:rtl/>
        </w:rPr>
        <w:fldChar w:fldCharType="separate"/>
      </w:r>
      <w:r w:rsidR="007923E9">
        <w:rPr>
          <w:sz w:val="20"/>
          <w:szCs w:val="20"/>
          <w:rtl/>
        </w:rPr>
        <w:t>1685</w:t>
      </w:r>
      <w:r>
        <w:rPr>
          <w:sz w:val="20"/>
          <w:szCs w:val="20"/>
          <w:rtl/>
        </w:rPr>
        <w:fldChar w:fldCharType="end"/>
      </w:r>
      <w:r>
        <w:rPr>
          <w:sz w:val="20"/>
          <w:szCs w:val="20"/>
          <w:rtl/>
        </w:rPr>
        <w:t xml:space="preserve"> לעיל.</w:t>
      </w:r>
    </w:p>
  </w:footnote>
  <w:footnote w:id="2753">
    <w:p w14:paraId="21B2F4C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בתו של ר׳ הירש נשואה לבנו של המרואיין.</w:t>
      </w:r>
    </w:p>
  </w:footnote>
  <w:footnote w:id="2754">
    <w:p w14:paraId="6964299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מ־31 באוקטובר 1994.</w:t>
      </w:r>
    </w:p>
  </w:footnote>
  <w:footnote w:id="2755">
    <w:p w14:paraId="429C566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מ־26 בדצמבר 1996.</w:t>
      </w:r>
    </w:p>
  </w:footnote>
  <w:footnote w:id="2756">
    <w:p w14:paraId="02AB916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א לעיל – כרך א, חלק 1, עמ׳ </w:t>
      </w:r>
      <w:proofErr w:type="spellStart"/>
      <w:r>
        <w:rPr>
          <w:sz w:val="20"/>
          <w:szCs w:val="20"/>
          <w:rtl/>
        </w:rPr>
        <w:t>רסב</w:t>
      </w:r>
      <w:proofErr w:type="spellEnd"/>
      <w:r>
        <w:rPr>
          <w:sz w:val="20"/>
          <w:szCs w:val="20"/>
          <w:rtl/>
        </w:rPr>
        <w:t>–</w:t>
      </w:r>
      <w:proofErr w:type="spellStart"/>
      <w:r>
        <w:rPr>
          <w:sz w:val="20"/>
          <w:szCs w:val="20"/>
          <w:rtl/>
        </w:rPr>
        <w:t>רסז</w:t>
      </w:r>
      <w:proofErr w:type="spellEnd"/>
      <w:r>
        <w:rPr>
          <w:sz w:val="20"/>
          <w:szCs w:val="20"/>
          <w:rtl/>
        </w:rPr>
        <w:t>.</w:t>
      </w:r>
    </w:p>
  </w:footnote>
  <w:footnote w:id="2757">
    <w:p w14:paraId="0AF4CF3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עמ׳ </w:t>
      </w:r>
      <w:proofErr w:type="spellStart"/>
      <w:r>
        <w:rPr>
          <w:sz w:val="20"/>
          <w:szCs w:val="20"/>
          <w:rtl/>
        </w:rPr>
        <w:t>רסה</w:t>
      </w:r>
      <w:proofErr w:type="spellEnd"/>
      <w:r>
        <w:rPr>
          <w:sz w:val="20"/>
          <w:szCs w:val="20"/>
          <w:rtl/>
        </w:rPr>
        <w:t>.</w:t>
      </w:r>
    </w:p>
  </w:footnote>
  <w:footnote w:id="2758">
    <w:p w14:paraId="6CBD50E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המחבר ניסה כנראה לתרגם לעברית, שפת מאמרו, את הביטוי היידי </w:t>
      </w:r>
      <w:proofErr w:type="spellStart"/>
      <w:r>
        <w:rPr>
          <w:sz w:val="20"/>
          <w:szCs w:val="20"/>
          <w:rtl/>
        </w:rPr>
        <w:t>קלעטערן</w:t>
      </w:r>
      <w:proofErr w:type="spellEnd"/>
      <w:r>
        <w:rPr>
          <w:sz w:val="20"/>
          <w:szCs w:val="20"/>
          <w:rtl/>
        </w:rPr>
        <w:t xml:space="preserve"> </w:t>
      </w:r>
      <w:proofErr w:type="spellStart"/>
      <w:r>
        <w:rPr>
          <w:sz w:val="20"/>
          <w:szCs w:val="20"/>
          <w:rtl/>
        </w:rPr>
        <w:t>אויף</w:t>
      </w:r>
      <w:proofErr w:type="spellEnd"/>
      <w:r>
        <w:rPr>
          <w:sz w:val="20"/>
          <w:szCs w:val="20"/>
          <w:rtl/>
        </w:rPr>
        <w:t xml:space="preserve"> </w:t>
      </w:r>
      <w:proofErr w:type="spellStart"/>
      <w:r>
        <w:rPr>
          <w:sz w:val="20"/>
          <w:szCs w:val="20"/>
          <w:rtl/>
        </w:rPr>
        <w:t>לייטערס</w:t>
      </w:r>
      <w:proofErr w:type="spellEnd"/>
      <w:r>
        <w:rPr>
          <w:sz w:val="20"/>
          <w:szCs w:val="20"/>
          <w:rtl/>
        </w:rPr>
        <w:t xml:space="preserve">, שברוח הלשון האנגלית קרוב יותר </w:t>
      </w:r>
      <w:proofErr w:type="spellStart"/>
      <w:r>
        <w:rPr>
          <w:sz w:val="20"/>
          <w:szCs w:val="20"/>
          <w:rtl/>
        </w:rPr>
        <w:t>ל“להושיט</w:t>
      </w:r>
      <w:proofErr w:type="spellEnd"/>
      <w:r>
        <w:rPr>
          <w:sz w:val="20"/>
          <w:szCs w:val="20"/>
          <w:rtl/>
        </w:rPr>
        <w:t xml:space="preserve"> יד אל מה שאין להשיגו”.</w:t>
      </w:r>
    </w:p>
  </w:footnote>
  <w:footnote w:id="2759">
    <w:p w14:paraId="35D6D24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ב־9 בינואר 1997.</w:t>
      </w:r>
    </w:p>
  </w:footnote>
  <w:footnote w:id="2760">
    <w:p w14:paraId="0D4CF8D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“דיבוק”, עמ׳ 253–254.</w:t>
      </w:r>
    </w:p>
  </w:footnote>
  <w:footnote w:id="2761">
    <w:p w14:paraId="5CF2C87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מאחר שדעה זו תאמה בדיוק את דעתו של “מחר הלוי”, התפתיתי לזהות את “מחר הלוי” עם ר׳ ירוחם </w:t>
      </w:r>
      <w:proofErr w:type="spellStart"/>
      <w:r>
        <w:rPr>
          <w:sz w:val="20"/>
          <w:szCs w:val="20"/>
          <w:rtl/>
        </w:rPr>
        <w:t>ליבוביץ</w:t>
      </w:r>
      <w:proofErr w:type="spellEnd"/>
      <w:r>
        <w:rPr>
          <w:sz w:val="20"/>
          <w:szCs w:val="20"/>
          <w:rtl/>
        </w:rPr>
        <w:t xml:space="preserve"> עצמו, שלכאורה השתמש בהיפוך סדר האותיות של שמו (ירוחם הלוי) ככינוי עט. ודאי היה קרוב </w:t>
      </w:r>
      <w:proofErr w:type="spellStart"/>
      <w:r>
        <w:rPr>
          <w:sz w:val="20"/>
          <w:szCs w:val="20"/>
          <w:rtl/>
        </w:rPr>
        <w:t>לחפץ־חיים</w:t>
      </w:r>
      <w:proofErr w:type="spellEnd"/>
      <w:r>
        <w:rPr>
          <w:sz w:val="20"/>
          <w:szCs w:val="20"/>
          <w:rtl/>
        </w:rPr>
        <w:t xml:space="preserve"> כשלמד בכולל קודשים שלו, ואחר כך מונה למשגיח בישיבת </w:t>
      </w:r>
      <w:proofErr w:type="spellStart"/>
      <w:r>
        <w:rPr>
          <w:sz w:val="20"/>
          <w:szCs w:val="20"/>
          <w:rtl/>
        </w:rPr>
        <w:t>ראדין</w:t>
      </w:r>
      <w:proofErr w:type="spellEnd"/>
      <w:r>
        <w:rPr>
          <w:sz w:val="20"/>
          <w:szCs w:val="20"/>
          <w:rtl/>
        </w:rPr>
        <w:t xml:space="preserve"> בשנים תרס״ו–תרס״ט. אך כשקראתי שוב את המאמר ראיתי שיש בו סימנים רבים מדי הסותרים השערה זו.</w:t>
      </w:r>
    </w:p>
  </w:footnote>
  <w:footnote w:id="2762">
    <w:p w14:paraId="690142D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253 ו־256–257.</w:t>
      </w:r>
    </w:p>
  </w:footnote>
  <w:footnote w:id="2763">
    <w:p w14:paraId="706E022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לפיכך, הדיווח שם, עמ׳ 256–257, על ריאיון הרב </w:t>
      </w:r>
      <w:proofErr w:type="spellStart"/>
      <w:r>
        <w:rPr>
          <w:sz w:val="20"/>
          <w:szCs w:val="20"/>
          <w:rtl/>
        </w:rPr>
        <w:t>קצמן</w:t>
      </w:r>
      <w:proofErr w:type="spellEnd"/>
      <w:r>
        <w:rPr>
          <w:sz w:val="20"/>
          <w:szCs w:val="20"/>
          <w:rtl/>
        </w:rPr>
        <w:t xml:space="preserve"> עם ר׳ </w:t>
      </w:r>
      <w:proofErr w:type="spellStart"/>
      <w:r>
        <w:rPr>
          <w:sz w:val="20"/>
          <w:szCs w:val="20"/>
          <w:rtl/>
        </w:rPr>
        <w:t>יוסף־שלמה</w:t>
      </w:r>
      <w:proofErr w:type="spellEnd"/>
      <w:r>
        <w:rPr>
          <w:sz w:val="20"/>
          <w:szCs w:val="20"/>
          <w:rtl/>
        </w:rPr>
        <w:t xml:space="preserve"> </w:t>
      </w:r>
      <w:proofErr w:type="spellStart"/>
      <w:r>
        <w:rPr>
          <w:sz w:val="20"/>
          <w:szCs w:val="20"/>
          <w:rtl/>
        </w:rPr>
        <w:t>כהנמן</w:t>
      </w:r>
      <w:proofErr w:type="spellEnd"/>
      <w:r>
        <w:rPr>
          <w:sz w:val="20"/>
          <w:szCs w:val="20"/>
          <w:rtl/>
        </w:rPr>
        <w:t xml:space="preserve"> “בשנת תשכ״ט בבני ברק”, מדויק רק בשאלות ששאל המראיין הצעיר את רבו; ואילו מה שהשיב לכאורה </w:t>
      </w:r>
      <w:proofErr w:type="spellStart"/>
      <w:r>
        <w:rPr>
          <w:sz w:val="20"/>
          <w:szCs w:val="20"/>
          <w:rtl/>
        </w:rPr>
        <w:t>החפץ־חיים</w:t>
      </w:r>
      <w:proofErr w:type="spellEnd"/>
      <w:r>
        <w:rPr>
          <w:sz w:val="20"/>
          <w:szCs w:val="20"/>
          <w:rtl/>
        </w:rPr>
        <w:t xml:space="preserve"> הוא מה שהמראיין (או מחבר “דיבוק”) רצה לשמוע. (ראה גם הערה </w:t>
      </w:r>
      <w:r>
        <w:rPr>
          <w:sz w:val="20"/>
          <w:szCs w:val="20"/>
          <w:rtl/>
        </w:rPr>
        <w:fldChar w:fldCharType="begin" w:dirty="true"/>
      </w:r>
      <w:r>
        <w:rPr>
          <w:sz w:val="20"/>
          <w:szCs w:val="20"/>
          <w:rtl/>
        </w:rPr>
        <w:instrText xml:space="preserve"> NOTEREF pr_f_2615 \h </w:instrText>
      </w:r>
      <w:r>
        <w:rPr>
          <w:sz w:val="20"/>
          <w:szCs w:val="20"/>
          <w:rtl/>
        </w:rPr>
      </w:r>
      <w:r>
        <w:rPr>
          <w:sz w:val="20"/>
          <w:szCs w:val="20"/>
          <w:rtl/>
        </w:rPr>
        <w:fldChar w:fldCharType="separate"/>
      </w:r>
      <w:r w:rsidR="007923E9">
        <w:rPr>
          <w:sz w:val="20"/>
          <w:szCs w:val="20"/>
          <w:rtl/>
        </w:rPr>
        <w:t>1662</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pr_f_2615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על דיווח של “עד ראייה” שפוברק.) ר׳ יעקב </w:t>
      </w:r>
      <w:proofErr w:type="spellStart"/>
      <w:r>
        <w:rPr>
          <w:sz w:val="20"/>
          <w:szCs w:val="20"/>
          <w:rtl/>
        </w:rPr>
        <w:t>לויסון</w:t>
      </w:r>
      <w:proofErr w:type="spellEnd"/>
      <w:r>
        <w:rPr>
          <w:sz w:val="20"/>
          <w:szCs w:val="20"/>
          <w:rtl/>
        </w:rPr>
        <w:t xml:space="preserve"> חזר על דברי רב </w:t>
      </w:r>
      <w:proofErr w:type="spellStart"/>
      <w:r>
        <w:rPr>
          <w:sz w:val="20"/>
          <w:szCs w:val="20"/>
          <w:rtl/>
        </w:rPr>
        <w:t>פוניבז</w:t>
      </w:r>
      <w:proofErr w:type="spellEnd"/>
      <w:r>
        <w:rPr>
          <w:sz w:val="20"/>
          <w:szCs w:val="20"/>
          <w:rtl/>
        </w:rPr>
        <w:t xml:space="preserve">׳ באוזני ר׳ </w:t>
      </w:r>
      <w:proofErr w:type="spellStart"/>
      <w:r>
        <w:rPr>
          <w:sz w:val="20"/>
          <w:szCs w:val="20"/>
          <w:rtl/>
        </w:rPr>
        <w:t>שלמה־זלמן</w:t>
      </w:r>
      <w:proofErr w:type="spellEnd"/>
      <w:r>
        <w:rPr>
          <w:sz w:val="20"/>
          <w:szCs w:val="20"/>
          <w:rtl/>
        </w:rPr>
        <w:t xml:space="preserve"> </w:t>
      </w:r>
      <w:proofErr w:type="spellStart"/>
      <w:r>
        <w:rPr>
          <w:sz w:val="20"/>
          <w:szCs w:val="20"/>
          <w:rtl/>
        </w:rPr>
        <w:t>הבלין</w:t>
      </w:r>
      <w:proofErr w:type="spellEnd"/>
      <w:r>
        <w:rPr>
          <w:sz w:val="20"/>
          <w:szCs w:val="20"/>
          <w:rtl/>
        </w:rPr>
        <w:t xml:space="preserve"> ב־9 ביולי 2001 בלונדון, ושני ימים אחר כך, למרבה המזל, פגשתי את ר׳ </w:t>
      </w:r>
      <w:proofErr w:type="spellStart"/>
      <w:r>
        <w:rPr>
          <w:sz w:val="20"/>
          <w:szCs w:val="20"/>
          <w:rtl/>
        </w:rPr>
        <w:t>שלמה־זלמן</w:t>
      </w:r>
      <w:proofErr w:type="spellEnd"/>
      <w:r>
        <w:rPr>
          <w:sz w:val="20"/>
          <w:szCs w:val="20"/>
          <w:rtl/>
        </w:rPr>
        <w:t xml:space="preserve"> בפראג ושמעתי את הדיווח המלא כפי שנרשם כאן.</w:t>
      </w:r>
    </w:p>
  </w:footnote>
  <w:footnote w:id="2764">
    <w:p w14:paraId="4754858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כאן מתגלה עיקרון יסוד בתורתם של גדולי ליטא: “מוטב שאמונתם של רבים תהיה פגומה מאשר שאפילו מעטים ייפגעו”. השווה את ההערה </w:t>
      </w:r>
      <w:r>
        <w:rPr>
          <w:sz w:val="20"/>
          <w:szCs w:val="20"/>
          <w:rtl/>
        </w:rPr>
        <w:fldChar w:fldCharType="begin" w:dirty="true"/>
      </w:r>
      <w:r>
        <w:rPr>
          <w:sz w:val="20"/>
          <w:szCs w:val="20"/>
          <w:rtl/>
        </w:rPr>
        <w:instrText xml:space="preserve"> NOTEREF pr_f_2687 \h </w:instrText>
      </w:r>
      <w:r>
        <w:rPr>
          <w:sz w:val="20"/>
          <w:szCs w:val="20"/>
          <w:rtl/>
        </w:rPr>
      </w:r>
      <w:r>
        <w:rPr>
          <w:sz w:val="20"/>
          <w:szCs w:val="20"/>
          <w:rtl/>
        </w:rPr>
        <w:fldChar w:fldCharType="separate"/>
      </w:r>
      <w:r w:rsidR="007923E9">
        <w:rPr>
          <w:sz w:val="20"/>
          <w:szCs w:val="20"/>
          <w:rtl/>
        </w:rPr>
        <w:t>1734</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pr_f_2687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ליישום נוסף של עיקרון זה. את הכרתו של ר׳ אלחנן שהוא מתמודד עם דיבוק ייחס ר׳ </w:t>
      </w:r>
      <w:proofErr w:type="spellStart"/>
      <w:r>
        <w:rPr>
          <w:sz w:val="20"/>
          <w:szCs w:val="20"/>
          <w:rtl/>
        </w:rPr>
        <w:t>יוסף־שלמה</w:t>
      </w:r>
      <w:proofErr w:type="spellEnd"/>
      <w:r>
        <w:rPr>
          <w:sz w:val="20"/>
          <w:szCs w:val="20"/>
          <w:rtl/>
        </w:rPr>
        <w:t xml:space="preserve"> </w:t>
      </w:r>
      <w:proofErr w:type="spellStart"/>
      <w:r>
        <w:rPr>
          <w:sz w:val="20"/>
          <w:szCs w:val="20"/>
          <w:rtl/>
        </w:rPr>
        <w:t>כהנמן</w:t>
      </w:r>
      <w:proofErr w:type="spellEnd"/>
      <w:r>
        <w:rPr>
          <w:sz w:val="20"/>
          <w:szCs w:val="20"/>
          <w:rtl/>
        </w:rPr>
        <w:t xml:space="preserve"> לתמימות.</w:t>
      </w:r>
    </w:p>
  </w:footnote>
  <w:footnote w:id="2765">
    <w:p w14:paraId="1093684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24 בנובמבר 1996.</w:t>
      </w:r>
    </w:p>
  </w:footnote>
  <w:footnote w:id="2766">
    <w:p w14:paraId="02145CA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כמובא שם, עמ׳ 249.</w:t>
      </w:r>
    </w:p>
  </w:footnote>
  <w:footnote w:id="2767">
    <w:p w14:paraId="6232A1D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200.</w:t>
      </w:r>
    </w:p>
  </w:footnote>
  <w:footnote w:id="2768">
    <w:p w14:paraId="4B76CF8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311.</w:t>
      </w:r>
    </w:p>
  </w:footnote>
  <w:footnote w:id="2769">
    <w:p w14:paraId="28036D0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מ־25 בנובמבר 1994.</w:t>
      </w:r>
    </w:p>
  </w:footnote>
  <w:footnote w:id="2770">
    <w:p w14:paraId="267A148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הרב </w:t>
      </w:r>
      <w:proofErr w:type="spellStart"/>
      <w:r>
        <w:rPr>
          <w:sz w:val="20"/>
          <w:szCs w:val="20"/>
          <w:rtl/>
        </w:rPr>
        <w:t>גרוסנס</w:t>
      </w:r>
      <w:proofErr w:type="spellEnd"/>
      <w:r>
        <w:rPr>
          <w:sz w:val="20"/>
          <w:szCs w:val="20"/>
          <w:rtl/>
        </w:rPr>
        <w:t xml:space="preserve">, שעבר לישיבת </w:t>
      </w:r>
      <w:proofErr w:type="spellStart"/>
      <w:r>
        <w:rPr>
          <w:sz w:val="20"/>
          <w:szCs w:val="20"/>
          <w:rtl/>
        </w:rPr>
        <w:t>קמניץ</w:t>
      </w:r>
      <w:proofErr w:type="spellEnd"/>
      <w:r>
        <w:rPr>
          <w:sz w:val="20"/>
          <w:szCs w:val="20"/>
          <w:rtl/>
        </w:rPr>
        <w:t xml:space="preserve"> בגיל </w:t>
      </w:r>
      <w:proofErr w:type="spellStart"/>
      <w:r>
        <w:rPr>
          <w:sz w:val="20"/>
          <w:szCs w:val="20"/>
          <w:rtl/>
        </w:rPr>
        <w:t>שמונה־עשרה</w:t>
      </w:r>
      <w:proofErr w:type="spellEnd"/>
      <w:r>
        <w:rPr>
          <w:sz w:val="20"/>
          <w:szCs w:val="20"/>
          <w:rtl/>
        </w:rPr>
        <w:t xml:space="preserve">, אהב לדלות סיפורים מגדולי התורה. השווה מאמר מאת הרב א. חפץ </w:t>
      </w:r>
      <w:proofErr w:type="spellStart"/>
      <w:r>
        <w:rPr>
          <w:sz w:val="20"/>
          <w:szCs w:val="20"/>
          <w:rtl/>
        </w:rPr>
        <w:t>ב“יתד</w:t>
      </w:r>
      <w:proofErr w:type="spellEnd"/>
      <w:r>
        <w:rPr>
          <w:sz w:val="20"/>
          <w:szCs w:val="20"/>
          <w:rtl/>
        </w:rPr>
        <w:t xml:space="preserve"> נאמן”, מוסף ערב </w:t>
      </w:r>
      <w:proofErr w:type="spellStart"/>
      <w:r>
        <w:rPr>
          <w:sz w:val="20"/>
          <w:szCs w:val="20"/>
          <w:rtl/>
        </w:rPr>
        <w:t>שב״ק</w:t>
      </w:r>
      <w:proofErr w:type="spellEnd"/>
      <w:r>
        <w:rPr>
          <w:sz w:val="20"/>
          <w:szCs w:val="20"/>
          <w:rtl/>
        </w:rPr>
        <w:t xml:space="preserve"> פרשת תולדות תשנ״ז, המספר (בשם </w:t>
      </w:r>
      <w:proofErr w:type="spellStart"/>
      <w:r>
        <w:rPr>
          <w:sz w:val="20"/>
          <w:szCs w:val="20"/>
          <w:rtl/>
        </w:rPr>
        <w:t>הגר״ש</w:t>
      </w:r>
      <w:proofErr w:type="spellEnd"/>
      <w:r>
        <w:rPr>
          <w:sz w:val="20"/>
          <w:szCs w:val="20"/>
          <w:rtl/>
        </w:rPr>
        <w:t xml:space="preserve"> </w:t>
      </w:r>
      <w:proofErr w:type="spellStart"/>
      <w:r>
        <w:rPr>
          <w:sz w:val="20"/>
          <w:szCs w:val="20"/>
          <w:rtl/>
        </w:rPr>
        <w:t>שבדרון</w:t>
      </w:r>
      <w:proofErr w:type="spellEnd"/>
      <w:r>
        <w:rPr>
          <w:sz w:val="20"/>
          <w:szCs w:val="20"/>
          <w:rtl/>
        </w:rPr>
        <w:t xml:space="preserve">) סיפור שסיפר ר׳ לייב: כיצד התחבא מתחת למיטה בביתו של ר׳ </w:t>
      </w:r>
      <w:proofErr w:type="spellStart"/>
      <w:r>
        <w:rPr>
          <w:sz w:val="20"/>
          <w:szCs w:val="20"/>
          <w:rtl/>
        </w:rPr>
        <w:t>ברוך־בער</w:t>
      </w:r>
      <w:proofErr w:type="spellEnd"/>
      <w:r>
        <w:rPr>
          <w:sz w:val="20"/>
          <w:szCs w:val="20"/>
          <w:rtl/>
        </w:rPr>
        <w:t xml:space="preserve"> </w:t>
      </w:r>
      <w:proofErr w:type="spellStart"/>
      <w:r>
        <w:rPr>
          <w:sz w:val="20"/>
          <w:szCs w:val="20"/>
          <w:rtl/>
        </w:rPr>
        <w:t>ליבוביץ</w:t>
      </w:r>
      <w:proofErr w:type="spellEnd"/>
      <w:r>
        <w:rPr>
          <w:sz w:val="20"/>
          <w:szCs w:val="20"/>
          <w:rtl/>
        </w:rPr>
        <w:t xml:space="preserve"> כדי לשמוע שיחה בין ראש ישיבתו ובין תלמיד מובהק של </w:t>
      </w:r>
      <w:proofErr w:type="spellStart"/>
      <w:r>
        <w:rPr>
          <w:sz w:val="20"/>
          <w:szCs w:val="20"/>
          <w:rtl/>
        </w:rPr>
        <w:t>החפץ־חיים</w:t>
      </w:r>
      <w:proofErr w:type="spellEnd"/>
      <w:r>
        <w:rPr>
          <w:sz w:val="20"/>
          <w:szCs w:val="20"/>
          <w:rtl/>
        </w:rPr>
        <w:t xml:space="preserve">. תעוזתו השתלמה, ושמע שני סיפורים מדהימים, שנרשמו שם. ר׳ יעקב כרמל סיפר (19 באוקטובר 2000) שר׳ לייב אמר לו שלמעשה שמע באותה שעה שלושים סיפורים, ורשם אותם במחברת, שהשאיל לאדם שלא החזיר אותה מעולם. הוא זכר רק את שני הסיפורים שנרשמו </w:t>
      </w:r>
      <w:proofErr w:type="spellStart"/>
      <w:r>
        <w:rPr>
          <w:sz w:val="20"/>
          <w:szCs w:val="20"/>
          <w:rtl/>
        </w:rPr>
        <w:t>ב“יתד</w:t>
      </w:r>
      <w:proofErr w:type="spellEnd"/>
      <w:r>
        <w:rPr>
          <w:sz w:val="20"/>
          <w:szCs w:val="20"/>
          <w:rtl/>
        </w:rPr>
        <w:t xml:space="preserve"> נאמן”.</w:t>
      </w:r>
    </w:p>
  </w:footnote>
  <w:footnote w:id="2771">
    <w:p w14:paraId="34729CB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שמות ז, </w:t>
      </w:r>
      <w:proofErr w:type="spellStart"/>
      <w:r>
        <w:rPr>
          <w:sz w:val="20"/>
          <w:szCs w:val="20"/>
          <w:rtl/>
        </w:rPr>
        <w:t>כב</w:t>
      </w:r>
      <w:proofErr w:type="spellEnd"/>
      <w:r>
        <w:rPr>
          <w:sz w:val="20"/>
          <w:szCs w:val="20"/>
          <w:rtl/>
        </w:rPr>
        <w:t>.</w:t>
      </w:r>
    </w:p>
  </w:footnote>
  <w:footnote w:id="2772">
    <w:p w14:paraId="2BF212B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סוף הערת שוליים </w:t>
      </w:r>
      <w:r>
        <w:rPr>
          <w:sz w:val="20"/>
          <w:szCs w:val="20"/>
          <w:rtl/>
        </w:rPr>
        <w:fldChar w:fldCharType="begin" w:dirty="true"/>
      </w:r>
      <w:r>
        <w:rPr>
          <w:sz w:val="20"/>
          <w:szCs w:val="20"/>
          <w:rtl/>
        </w:rPr>
        <w:instrText xml:space="preserve"> NOTEREF pr_f_192 \h </w:instrText>
      </w:r>
      <w:r>
        <w:rPr>
          <w:sz w:val="20"/>
          <w:szCs w:val="20"/>
          <w:rtl/>
        </w:rPr>
      </w:r>
      <w:r>
        <w:rPr>
          <w:sz w:val="20"/>
          <w:szCs w:val="20"/>
          <w:rtl/>
        </w:rPr>
        <w:fldChar w:fldCharType="separate"/>
      </w:r>
      <w:r w:rsidR="007923E9">
        <w:rPr>
          <w:sz w:val="20"/>
          <w:szCs w:val="20"/>
          <w:rtl/>
        </w:rPr>
        <w:t>136</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pr_f_192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 על אתר.</w:t>
      </w:r>
    </w:p>
  </w:footnote>
  <w:footnote w:id="2773">
    <w:p w14:paraId="00C5876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2774">
    <w:p w14:paraId="34E70F8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גם את זה לעומת זה עשה </w:t>
      </w:r>
      <w:proofErr w:type="spellStart"/>
      <w:r>
        <w:rPr>
          <w:sz w:val="20"/>
          <w:szCs w:val="20"/>
          <w:rtl/>
        </w:rPr>
        <w:t>הא־להים</w:t>
      </w:r>
      <w:proofErr w:type="spellEnd"/>
      <w:r>
        <w:rPr>
          <w:sz w:val="20"/>
          <w:szCs w:val="20"/>
          <w:rtl/>
        </w:rPr>
        <w:t xml:space="preserve"> (קהלת ז:יד).</w:t>
      </w:r>
    </w:p>
  </w:footnote>
  <w:footnote w:id="2775">
    <w:p w14:paraId="1F4B2A2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15 לעיל – עמ׳ 235.</w:t>
      </w:r>
    </w:p>
  </w:footnote>
  <w:footnote w:id="2776">
    <w:p w14:paraId="219CC81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זה בדיוק מה שמסר בן משפחתו של ר׳ מנדל זקס בשם </w:t>
      </w:r>
      <w:proofErr w:type="spellStart"/>
      <w:r>
        <w:rPr>
          <w:sz w:val="20"/>
          <w:szCs w:val="20"/>
          <w:rtl/>
        </w:rPr>
        <w:t>החפץ־חיים</w:t>
      </w:r>
      <w:proofErr w:type="spellEnd"/>
      <w:r>
        <w:rPr>
          <w:sz w:val="20"/>
          <w:szCs w:val="20"/>
          <w:rtl/>
        </w:rPr>
        <w:t xml:space="preserve"> – ראה הערת שוליים </w:t>
      </w:r>
      <w:r>
        <w:rPr>
          <w:sz w:val="20"/>
          <w:szCs w:val="20"/>
          <w:rtl/>
        </w:rPr>
        <w:fldChar w:fldCharType="begin" w:dirty="true"/>
      </w:r>
      <w:r>
        <w:rPr>
          <w:sz w:val="20"/>
          <w:szCs w:val="20"/>
          <w:rtl/>
        </w:rPr>
        <w:instrText xml:space="preserve"> NOTEREF pr_f_2638 \h </w:instrText>
      </w:r>
      <w:r>
        <w:rPr>
          <w:sz w:val="20"/>
          <w:szCs w:val="20"/>
          <w:rtl/>
        </w:rPr>
      </w:r>
      <w:r>
        <w:rPr>
          <w:sz w:val="20"/>
          <w:szCs w:val="20"/>
          <w:rtl/>
        </w:rPr>
        <w:fldChar w:fldCharType="separate"/>
      </w:r>
      <w:r w:rsidR="007923E9">
        <w:rPr>
          <w:sz w:val="20"/>
          <w:szCs w:val="20"/>
          <w:rtl/>
        </w:rPr>
        <w:t>1685</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pr_f_2638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2777">
    <w:p w14:paraId="16B3DE4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עפ״י דברים </w:t>
      </w:r>
      <w:proofErr w:type="spellStart"/>
      <w:r>
        <w:rPr>
          <w:sz w:val="20"/>
          <w:szCs w:val="20"/>
          <w:rtl/>
        </w:rPr>
        <w:t>לא:יז,יח</w:t>
      </w:r>
      <w:proofErr w:type="spellEnd"/>
      <w:r>
        <w:rPr>
          <w:sz w:val="20"/>
          <w:szCs w:val="20"/>
          <w:rtl/>
        </w:rPr>
        <w:t>.</w:t>
      </w:r>
    </w:p>
  </w:footnote>
  <w:footnote w:id="2778">
    <w:p w14:paraId="0D62039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“שמושה של תורה” (נספח ח לעיל), עמ׳ קמה, מתייחס כנראה לאותה אמירה של ר׳ יצחק־זאב – בתוספת מעניינת – כשהוא מצטט את ר׳ </w:t>
      </w:r>
      <w:proofErr w:type="spellStart"/>
      <w:r>
        <w:rPr>
          <w:sz w:val="20"/>
          <w:szCs w:val="20"/>
          <w:rtl/>
        </w:rPr>
        <w:t>אלעזר־מנחם־מן</w:t>
      </w:r>
      <w:proofErr w:type="spellEnd"/>
      <w:r>
        <w:rPr>
          <w:sz w:val="20"/>
          <w:szCs w:val="20"/>
          <w:rtl/>
        </w:rPr>
        <w:t xml:space="preserve"> שך: “יש לנו מסורת מר׳ חיים </w:t>
      </w:r>
      <w:proofErr w:type="spellStart"/>
      <w:r>
        <w:rPr>
          <w:sz w:val="20"/>
          <w:szCs w:val="20"/>
          <w:rtl/>
        </w:rPr>
        <w:t>מוולוז׳ין</w:t>
      </w:r>
      <w:proofErr w:type="spellEnd"/>
      <w:r>
        <w:rPr>
          <w:sz w:val="20"/>
          <w:szCs w:val="20"/>
          <w:rtl/>
        </w:rPr>
        <w:t xml:space="preserve"> שיבואו ימים שבהם עוד ‘יתגעגעו’ אנשים לראות דיבוק, מפני שגם דיבוק הוא סוג מסוים של ‘גילוי’, והסתר הפנים יהיה כה קשה עד שלא יהיו ראויים אפילו לראות דיבוק”. מעניין שאבי ראה בדיבוקים “טומאה”, ואילו אחרים ראו בהם גילוי של “פני ה׳”. (אפשר לראות בהם טומאה על פי דברי הרמב״ם </w:t>
      </w:r>
      <w:proofErr w:type="spellStart"/>
      <w:r>
        <w:rPr>
          <w:sz w:val="20"/>
          <w:szCs w:val="20"/>
          <w:rtl/>
        </w:rPr>
        <w:t>ב“פירוש</w:t>
      </w:r>
      <w:proofErr w:type="spellEnd"/>
      <w:r>
        <w:rPr>
          <w:sz w:val="20"/>
          <w:szCs w:val="20"/>
          <w:rtl/>
        </w:rPr>
        <w:t xml:space="preserve"> המשניות”, המובאים בהערת שוליים </w:t>
      </w:r>
      <w:r>
        <w:rPr>
          <w:sz w:val="20"/>
          <w:szCs w:val="20"/>
          <w:rtl/>
        </w:rPr>
        <w:fldChar w:fldCharType="begin" w:dirty="true"/>
      </w:r>
      <w:r>
        <w:rPr>
          <w:sz w:val="20"/>
          <w:szCs w:val="20"/>
          <w:rtl/>
        </w:rPr>
        <w:instrText xml:space="preserve"> NOTEREF pr_f_2676 \h </w:instrText>
      </w:r>
      <w:r>
        <w:rPr>
          <w:sz w:val="20"/>
          <w:szCs w:val="20"/>
          <w:rtl/>
        </w:rPr>
      </w:r>
      <w:r>
        <w:rPr>
          <w:sz w:val="20"/>
          <w:szCs w:val="20"/>
          <w:rtl/>
        </w:rPr>
        <w:fldChar w:fldCharType="separate"/>
      </w:r>
      <w:r w:rsidR="007923E9">
        <w:rPr>
          <w:sz w:val="20"/>
          <w:szCs w:val="20"/>
          <w:rtl/>
        </w:rPr>
        <w:t>1723</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pr_f_2676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2779">
    <w:p w14:paraId="042FD0B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גיליון אדר א תשנ״ה.</w:t>
      </w:r>
    </w:p>
  </w:footnote>
  <w:footnote w:id="2780">
    <w:p w14:paraId="3966E86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אעתיק יותר מן הדרוש לענייננו, כדי להראות אגב כך כיצד </w:t>
      </w:r>
      <w:proofErr w:type="spellStart"/>
      <w:r>
        <w:rPr>
          <w:sz w:val="20"/>
          <w:szCs w:val="20"/>
          <w:rtl/>
        </w:rPr>
        <w:t>אי־דיוקים</w:t>
      </w:r>
      <w:proofErr w:type="spellEnd"/>
      <w:r>
        <w:rPr>
          <w:sz w:val="20"/>
          <w:szCs w:val="20"/>
          <w:rtl/>
        </w:rPr>
        <w:t xml:space="preserve"> עלולים להשתרבב לכתיבה מגמתית.</w:t>
      </w:r>
    </w:p>
  </w:footnote>
  <w:footnote w:id="2781">
    <w:p w14:paraId="3BEF0A3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פסחים ק״י ע״ב.</w:t>
      </w:r>
    </w:p>
  </w:footnote>
  <w:footnote w:id="2782">
    <w:p w14:paraId="5C6841D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הרבי </w:t>
      </w:r>
      <w:proofErr w:type="spellStart"/>
      <w:r>
        <w:rPr>
          <w:sz w:val="20"/>
          <w:szCs w:val="20"/>
          <w:rtl/>
        </w:rPr>
        <w:t>מאמשינוב</w:t>
      </w:r>
      <w:proofErr w:type="spellEnd"/>
      <w:r>
        <w:rPr>
          <w:sz w:val="20"/>
          <w:szCs w:val="20"/>
          <w:rtl/>
        </w:rPr>
        <w:t xml:space="preserve"> עודד את ההורים לעזוב את פולין, ואילו הרבי מגור התנגד.</w:t>
      </w:r>
    </w:p>
  </w:footnote>
  <w:footnote w:id="2783">
    <w:p w14:paraId="26B1B43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9 בינואר 1997.</w:t>
      </w:r>
    </w:p>
  </w:footnote>
  <w:footnote w:id="2784">
    <w:p w14:paraId="0A5C3C5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ברכות ל״ב ע״ב, חסידים הראשונים היו שוהים שעה אחת אחר התפלה [לפני שיצאו לעסקיהם], וראה פרק 4, הערה 162, על הדרך שבה הכין הסבא </w:t>
      </w:r>
      <w:proofErr w:type="spellStart"/>
      <w:r>
        <w:rPr>
          <w:sz w:val="20"/>
          <w:szCs w:val="20"/>
          <w:rtl/>
        </w:rPr>
        <w:t>מסלבודקה</w:t>
      </w:r>
      <w:proofErr w:type="spellEnd"/>
      <w:r>
        <w:rPr>
          <w:sz w:val="20"/>
          <w:szCs w:val="20"/>
          <w:rtl/>
        </w:rPr>
        <w:t xml:space="preserve"> את התלמידים היוצאים מישיבת </w:t>
      </w:r>
      <w:proofErr w:type="spellStart"/>
      <w:r>
        <w:rPr>
          <w:sz w:val="20"/>
          <w:szCs w:val="20"/>
          <w:rtl/>
        </w:rPr>
        <w:t>סלבודקה</w:t>
      </w:r>
      <w:proofErr w:type="spellEnd"/>
      <w:r>
        <w:rPr>
          <w:sz w:val="20"/>
          <w:szCs w:val="20"/>
          <w:rtl/>
        </w:rPr>
        <w:t xml:space="preserve"> לביקורים בביתם.</w:t>
      </w:r>
    </w:p>
  </w:footnote>
  <w:footnote w:id="2785">
    <w:p w14:paraId="0F828CB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ח״ג</w:t>
      </w:r>
      <w:proofErr w:type="spellEnd"/>
      <w:r>
        <w:rPr>
          <w:sz w:val="20"/>
          <w:szCs w:val="20"/>
          <w:rtl/>
        </w:rPr>
        <w:t>, פרק כ״ט.</w:t>
      </w:r>
    </w:p>
  </w:footnote>
  <w:footnote w:id="2786">
    <w:p w14:paraId="1E5D6FD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פירוש המשניות </w:t>
      </w:r>
      <w:proofErr w:type="spellStart"/>
      <w:r>
        <w:rPr>
          <w:sz w:val="20"/>
          <w:szCs w:val="20"/>
          <w:rtl/>
        </w:rPr>
        <w:t>להרמב״ם</w:t>
      </w:r>
      <w:proofErr w:type="spellEnd"/>
      <w:r>
        <w:rPr>
          <w:sz w:val="20"/>
          <w:szCs w:val="20"/>
          <w:rtl/>
        </w:rPr>
        <w:t xml:space="preserve">, חגיגה ריש פ״ב, שהפעולה התקינה של השכל נקראת “כבוד קונו”; והשווה ספר החינוך מצ׳ </w:t>
      </w:r>
      <w:proofErr w:type="spellStart"/>
      <w:r>
        <w:rPr>
          <w:sz w:val="20"/>
          <w:szCs w:val="20"/>
          <w:rtl/>
        </w:rPr>
        <w:t>ר״ן</w:t>
      </w:r>
      <w:proofErr w:type="spellEnd"/>
      <w:r>
        <w:rPr>
          <w:sz w:val="20"/>
          <w:szCs w:val="20"/>
          <w:rtl/>
        </w:rPr>
        <w:t>, שקבלת דבר בלתי הגיוני כאפשרי – שלא בדרך של התערבות אלוקית מסוימת שנאמרה בנבואה – מביאה לכפירה במציאות הבורא.</w:t>
      </w:r>
    </w:p>
  </w:footnote>
  <w:footnote w:id="2787">
    <w:p w14:paraId="01998F9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אני מביא דוגמה זו מפני שכבר הייתי באמצע שנות העשרים לחיי כששמעתי דבר כזה לראשונה, ליד שולחן הסדר שלא בבית הוריי.</w:t>
      </w:r>
    </w:p>
    <w:p w14:paraId="7B272617" w14:textId="77777777" w:rsidR="00AB3647" w:rsidRDefault="00000000">
      <w:pPr>
        <w:spacing w:after="0" w:before="0"/>
        <w:jc w:val="both"/>
      </w:pPr>
      <w:r>
        <w:rPr>
          <w:sz w:val="20"/>
          <w:szCs w:val="20"/>
          <w:rtl/>
        </w:rPr>
        <w:t xml:space="preserve">השקפת אבא זצ״ל על דברים שמחוץ לדרך הטבע באה לידי ביטוי בדרך שהסביר מה שחז״ל רואים קריעת ים סוף כדבר “קשה” להקב״ה, כביכול, והוא מפני שכללי הטבע הינם חכמה ותבונה, </w:t>
      </w:r>
      <w:proofErr w:type="spellStart"/>
      <w:r>
        <w:rPr>
          <w:sz w:val="20"/>
          <w:szCs w:val="20"/>
          <w:rtl/>
        </w:rPr>
        <w:t>כמש״כ</w:t>
      </w:r>
      <w:proofErr w:type="spellEnd"/>
      <w:r>
        <w:rPr>
          <w:sz w:val="20"/>
          <w:szCs w:val="20"/>
          <w:rtl/>
        </w:rPr>
        <w:t xml:space="preserve"> “ה׳ בחכמה יסד ארץ כונן שמים בתבונה (משלי ג:יט)”, וכל תופעה שהיא כנגד הטבע היא </w:t>
      </w:r>
      <w:proofErr w:type="spellStart"/>
      <w:r>
        <w:rPr>
          <w:sz w:val="20"/>
          <w:szCs w:val="20"/>
          <w:rtl/>
        </w:rPr>
        <w:t>טפשות</w:t>
      </w:r>
      <w:proofErr w:type="spellEnd"/>
      <w:r>
        <w:rPr>
          <w:sz w:val="20"/>
          <w:szCs w:val="20"/>
          <w:rtl/>
        </w:rPr>
        <w:t xml:space="preserve">, דהיינו הפך החכמה, ואת הקושי שבמעשה נסים הדגים ע״י משל מההווי של ימי נעוריו, והוא שאם מבקשים מאדם לבקע עגלה של עצים בחצרו הוא </w:t>
      </w:r>
      <w:proofErr w:type="spellStart"/>
      <w:r>
        <w:rPr>
          <w:sz w:val="20"/>
          <w:szCs w:val="20"/>
          <w:rtl/>
        </w:rPr>
        <w:t>יקח</w:t>
      </w:r>
      <w:proofErr w:type="spellEnd"/>
      <w:r>
        <w:rPr>
          <w:sz w:val="20"/>
          <w:szCs w:val="20"/>
          <w:rtl/>
        </w:rPr>
        <w:t xml:space="preserve"> בשביל המלאכה רובל אחד אבל אם יבקשו ממנו שיעשה את הביקוע באמצע הרחוב הוא ידרוש לכך חמשה רובלים מפני שכל עובר אורח יסתכל עליו כעל מטורף מדעתו, וקשה לו להיראות שכזה.</w:t>
      </w:r>
    </w:p>
  </w:footnote>
  <w:footnote w:id="2788">
    <w:p w14:paraId="27ED391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ה לעיל.</w:t>
      </w:r>
    </w:p>
  </w:footnote>
  <w:footnote w:id="2789">
    <w:p w14:paraId="52B3182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 יעקב כרמל הציע טעם אחר לכך שסיכויי תפילותיו להיענות יהיו פחותים, על פי דברי האמוראים כל המאריך בתפלתו ומעיין בה סוף בא לידי כאב לב (ברכות ל״ב ע״ב, ורש״י ותוספות שם).</w:t>
      </w:r>
    </w:p>
  </w:footnote>
  <w:footnote w:id="2790">
    <w:p w14:paraId="3BB2FF0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272–273.</w:t>
      </w:r>
    </w:p>
  </w:footnote>
  <w:footnote w:id="2791">
    <w:p w14:paraId="5CEEFF2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או״ח</w:t>
      </w:r>
      <w:proofErr w:type="spellEnd"/>
      <w:r>
        <w:rPr>
          <w:sz w:val="20"/>
          <w:szCs w:val="20"/>
          <w:rtl/>
        </w:rPr>
        <w:t xml:space="preserve"> סי׳ תקפ״ג ס״ב.</w:t>
      </w:r>
    </w:p>
  </w:footnote>
  <w:footnote w:id="2792">
    <w:p w14:paraId="57BFFAF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ב לעיל – עמ׳ </w:t>
      </w:r>
      <w:proofErr w:type="spellStart"/>
      <w:r>
        <w:rPr>
          <w:sz w:val="20"/>
          <w:szCs w:val="20"/>
          <w:rtl/>
        </w:rPr>
        <w:t>רסט</w:t>
      </w:r>
      <w:proofErr w:type="spellEnd"/>
      <w:r>
        <w:rPr>
          <w:sz w:val="20"/>
          <w:szCs w:val="20"/>
          <w:rtl/>
        </w:rPr>
        <w:t>.</w:t>
      </w:r>
    </w:p>
  </w:footnote>
  <w:footnote w:id="2793">
    <w:p w14:paraId="7B0C00F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שם, עמ׳ </w:t>
      </w:r>
      <w:proofErr w:type="spellStart"/>
      <w:r>
        <w:rPr>
          <w:sz w:val="20"/>
          <w:szCs w:val="20"/>
          <w:rtl/>
        </w:rPr>
        <w:t>קעד</w:t>
      </w:r>
      <w:proofErr w:type="spellEnd"/>
      <w:r>
        <w:rPr>
          <w:sz w:val="20"/>
          <w:szCs w:val="20"/>
          <w:rtl/>
        </w:rPr>
        <w:t>.</w:t>
      </w:r>
    </w:p>
  </w:footnote>
  <w:footnote w:id="2794">
    <w:p w14:paraId="168CF94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פרק 4, הערה 158, על טעמו של ר׳ נפתלי אמסטרדם שלא לנהוג לפי פסקו המקל של </w:t>
      </w:r>
      <w:proofErr w:type="spellStart"/>
      <w:r>
        <w:rPr>
          <w:sz w:val="20"/>
          <w:szCs w:val="20"/>
          <w:rtl/>
        </w:rPr>
        <w:t>הרמ״א</w:t>
      </w:r>
      <w:proofErr w:type="spellEnd"/>
      <w:r>
        <w:rPr>
          <w:sz w:val="20"/>
          <w:szCs w:val="20"/>
          <w:rtl/>
        </w:rPr>
        <w:t>.</w:t>
      </w:r>
    </w:p>
  </w:footnote>
  <w:footnote w:id="2795">
    <w:p w14:paraId="394365C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ספר זה נדפס </w:t>
      </w:r>
      <w:proofErr w:type="spellStart"/>
      <w:r>
        <w:rPr>
          <w:sz w:val="20"/>
          <w:szCs w:val="20"/>
          <w:rtl/>
        </w:rPr>
        <w:t>בלמברג</w:t>
      </w:r>
      <w:proofErr w:type="spellEnd"/>
      <w:r>
        <w:rPr>
          <w:sz w:val="20"/>
          <w:szCs w:val="20"/>
          <w:rtl/>
        </w:rPr>
        <w:t xml:space="preserve"> </w:t>
      </w:r>
      <w:proofErr w:type="spellStart"/>
      <w:r>
        <w:rPr>
          <w:sz w:val="20"/>
          <w:szCs w:val="20"/>
          <w:rtl/>
        </w:rPr>
        <w:t>בתקמ״ח</w:t>
      </w:r>
      <w:proofErr w:type="spellEnd"/>
      <w:r>
        <w:rPr>
          <w:sz w:val="20"/>
          <w:szCs w:val="20"/>
          <w:rtl/>
        </w:rPr>
        <w:t xml:space="preserve">. המחבר הבלתי נלאה ר׳ </w:t>
      </w:r>
      <w:proofErr w:type="spellStart"/>
      <w:r>
        <w:rPr>
          <w:sz w:val="20"/>
          <w:szCs w:val="20"/>
          <w:rtl/>
        </w:rPr>
        <w:t>אריה־לייב</w:t>
      </w:r>
      <w:proofErr w:type="spellEnd"/>
      <w:r>
        <w:rPr>
          <w:sz w:val="20"/>
          <w:szCs w:val="20"/>
          <w:rtl/>
        </w:rPr>
        <w:t xml:space="preserve"> </w:t>
      </w:r>
      <w:proofErr w:type="spellStart"/>
      <w:r>
        <w:rPr>
          <w:sz w:val="20"/>
          <w:szCs w:val="20"/>
          <w:rtl/>
        </w:rPr>
        <w:t>צינץ</w:t>
      </w:r>
      <w:proofErr w:type="spellEnd"/>
      <w:r>
        <w:rPr>
          <w:sz w:val="20"/>
          <w:szCs w:val="20"/>
          <w:rtl/>
        </w:rPr>
        <w:t xml:space="preserve"> </w:t>
      </w:r>
      <w:proofErr w:type="spellStart"/>
      <w:r>
        <w:rPr>
          <w:sz w:val="20"/>
          <w:szCs w:val="20"/>
          <w:rtl/>
        </w:rPr>
        <w:t>מפלוצק</w:t>
      </w:r>
      <w:proofErr w:type="spellEnd"/>
      <w:r>
        <w:rPr>
          <w:sz w:val="20"/>
          <w:szCs w:val="20"/>
          <w:rtl/>
        </w:rPr>
        <w:t xml:space="preserve">, שנולד תשע שנים אחרי ר׳ אלימלך (ונפטר </w:t>
      </w:r>
      <w:proofErr w:type="spellStart"/>
      <w:r>
        <w:rPr>
          <w:sz w:val="20"/>
          <w:szCs w:val="20"/>
          <w:rtl/>
        </w:rPr>
        <w:t>בתקצ״ג</w:t>
      </w:r>
      <w:proofErr w:type="spellEnd"/>
      <w:r>
        <w:rPr>
          <w:sz w:val="20"/>
          <w:szCs w:val="20"/>
          <w:rtl/>
        </w:rPr>
        <w:t>), עודד את הפצת תורתו בהבטחה שיליץ טוב למעלה בעד כל מי שידפיס אחד מספריו הרבים, ואף הורה לחקוק את התחייבותו על מצבתו. אבל ודאי שהאמונה בעניין “נועם אלימלך” לא נולדה אצל מחברו, שהרי הספר לא נדפס אלא כשנה אחרי פטירתו.</w:t>
      </w:r>
    </w:p>
    <w:p w14:paraId="69A3F5A7" w14:textId="77777777" w:rsidR="00AB3647" w:rsidRDefault="00000000">
      <w:pPr>
        <w:spacing w:after="0" w:before="0"/>
        <w:jc w:val="both"/>
      </w:pPr>
      <w:r>
        <w:rPr>
          <w:sz w:val="20"/>
          <w:szCs w:val="20"/>
          <w:rtl/>
        </w:rPr>
        <w:t xml:space="preserve">ראה גם “מקור ברוך”, עמ׳ </w:t>
      </w:r>
      <w:proofErr w:type="spellStart"/>
      <w:r>
        <w:rPr>
          <w:sz w:val="20"/>
          <w:szCs w:val="20"/>
          <w:rtl/>
        </w:rPr>
        <w:t>תרט</w:t>
      </w:r>
      <w:proofErr w:type="spellEnd"/>
      <w:r>
        <w:rPr>
          <w:sz w:val="20"/>
          <w:szCs w:val="20"/>
          <w:rtl/>
        </w:rPr>
        <w:t xml:space="preserve">, שר׳ </w:t>
      </w:r>
      <w:proofErr w:type="spellStart"/>
      <w:r>
        <w:rPr>
          <w:sz w:val="20"/>
          <w:szCs w:val="20"/>
          <w:rtl/>
        </w:rPr>
        <w:t>אריה־לייב</w:t>
      </w:r>
      <w:proofErr w:type="spellEnd"/>
      <w:r>
        <w:rPr>
          <w:sz w:val="20"/>
          <w:szCs w:val="20"/>
          <w:rtl/>
        </w:rPr>
        <w:t xml:space="preserve">, </w:t>
      </w:r>
      <w:proofErr w:type="spellStart"/>
      <w:r>
        <w:rPr>
          <w:sz w:val="20"/>
          <w:szCs w:val="20"/>
          <w:rtl/>
        </w:rPr>
        <w:t>ה“זיידע</w:t>
      </w:r>
      <w:proofErr w:type="spellEnd"/>
      <w:r>
        <w:rPr>
          <w:sz w:val="20"/>
          <w:szCs w:val="20"/>
          <w:rtl/>
        </w:rPr>
        <w:t xml:space="preserve">” משפולה, בן דורו של ר׳ אלימלך </w:t>
      </w:r>
      <w:proofErr w:type="spellStart"/>
      <w:r>
        <w:rPr>
          <w:sz w:val="20"/>
          <w:szCs w:val="20"/>
          <w:rtl/>
        </w:rPr>
        <w:t>מליז׳נסק</w:t>
      </w:r>
      <w:proofErr w:type="spellEnd"/>
      <w:r>
        <w:rPr>
          <w:sz w:val="20"/>
          <w:szCs w:val="20"/>
          <w:rtl/>
        </w:rPr>
        <w:t xml:space="preserve">, היה מניח את הספר “תולדות יעקב יוסף” מתחת לראשו של כל חולה כדי להביא לרפואתו. ספר זה חיבר רבו של </w:t>
      </w:r>
      <w:proofErr w:type="spellStart"/>
      <w:r>
        <w:rPr>
          <w:sz w:val="20"/>
          <w:szCs w:val="20"/>
          <w:rtl/>
        </w:rPr>
        <w:t>הזיידע</w:t>
      </w:r>
      <w:proofErr w:type="spellEnd"/>
      <w:r>
        <w:rPr>
          <w:sz w:val="20"/>
          <w:szCs w:val="20"/>
          <w:rtl/>
        </w:rPr>
        <w:t xml:space="preserve"> משפולה, ר׳ </w:t>
      </w:r>
      <w:proofErr w:type="spellStart"/>
      <w:r>
        <w:rPr>
          <w:sz w:val="20"/>
          <w:szCs w:val="20"/>
          <w:rtl/>
        </w:rPr>
        <w:t>יעקב־יוסף</w:t>
      </w:r>
      <w:proofErr w:type="spellEnd"/>
      <w:r>
        <w:rPr>
          <w:sz w:val="20"/>
          <w:szCs w:val="20"/>
          <w:rtl/>
        </w:rPr>
        <w:t xml:space="preserve"> </w:t>
      </w:r>
      <w:proofErr w:type="spellStart"/>
      <w:r>
        <w:rPr>
          <w:sz w:val="20"/>
          <w:szCs w:val="20"/>
          <w:rtl/>
        </w:rPr>
        <w:t>מפולנאה</w:t>
      </w:r>
      <w:proofErr w:type="spellEnd"/>
      <w:r>
        <w:rPr>
          <w:sz w:val="20"/>
          <w:szCs w:val="20"/>
          <w:rtl/>
        </w:rPr>
        <w:t xml:space="preserve">, תלמיד </w:t>
      </w:r>
      <w:proofErr w:type="spellStart"/>
      <w:r>
        <w:rPr>
          <w:sz w:val="20"/>
          <w:szCs w:val="20"/>
          <w:rtl/>
        </w:rPr>
        <w:t>הבעש״ט</w:t>
      </w:r>
      <w:proofErr w:type="spellEnd"/>
      <w:r>
        <w:rPr>
          <w:sz w:val="20"/>
          <w:szCs w:val="20"/>
          <w:rtl/>
        </w:rPr>
        <w:t xml:space="preserve">. </w:t>
      </w:r>
      <w:proofErr w:type="spellStart"/>
      <w:r>
        <w:rPr>
          <w:sz w:val="20"/>
          <w:szCs w:val="20"/>
          <w:rtl/>
        </w:rPr>
        <w:t>בשו״ת</w:t>
      </w:r>
      <w:proofErr w:type="spellEnd"/>
      <w:r>
        <w:rPr>
          <w:sz w:val="20"/>
          <w:szCs w:val="20"/>
          <w:rtl/>
        </w:rPr>
        <w:t xml:space="preserve"> שבט הלוי (מאת שמואל הלוי </w:t>
      </w:r>
      <w:proofErr w:type="spellStart"/>
      <w:r>
        <w:rPr>
          <w:sz w:val="20"/>
          <w:szCs w:val="20"/>
          <w:rtl/>
        </w:rPr>
        <w:t>ואזנר</w:t>
      </w:r>
      <w:proofErr w:type="spellEnd"/>
      <w:r>
        <w:rPr>
          <w:sz w:val="20"/>
          <w:szCs w:val="20"/>
          <w:rtl/>
        </w:rPr>
        <w:t xml:space="preserve">) [בני ברק, תשמ״ו], ח״ו, סי׳ </w:t>
      </w:r>
      <w:proofErr w:type="spellStart"/>
      <w:r>
        <w:rPr>
          <w:sz w:val="20"/>
          <w:szCs w:val="20"/>
          <w:rtl/>
        </w:rPr>
        <w:t>קסב</w:t>
      </w:r>
      <w:proofErr w:type="spellEnd"/>
      <w:r>
        <w:rPr>
          <w:sz w:val="20"/>
          <w:szCs w:val="20"/>
          <w:rtl/>
        </w:rPr>
        <w:t xml:space="preserve">, מוזכר שיש קבלה מאת הרב יוסף נפתלי </w:t>
      </w:r>
      <w:proofErr w:type="spellStart"/>
      <w:r>
        <w:rPr>
          <w:sz w:val="20"/>
          <w:szCs w:val="20"/>
          <w:rtl/>
        </w:rPr>
        <w:t>שטערן</w:t>
      </w:r>
      <w:proofErr w:type="spellEnd"/>
      <w:r>
        <w:rPr>
          <w:sz w:val="20"/>
          <w:szCs w:val="20"/>
          <w:rtl/>
        </w:rPr>
        <w:t xml:space="preserve"> להשתמש בסגולה כזאת בדפים של חידושי חתם סופר.</w:t>
      </w:r>
    </w:p>
  </w:footnote>
  <w:footnote w:id="2796">
    <w:p w14:paraId="5214059F" w14:textId="77777777" w:rsidR="00AB3647" w:rsidRDefault="00000000">
      <w:pPr>
        <w:spacing w:after="0" w:before="0"/>
        <w:jc w:val="both"/>
      </w:pPr>
      <w:r>
        <w:rPr>
          <w:rStyle w:val="a5"/>
          <w:vertAlign w:val="superscript"/>
          <w:rtl/>
        </w:rPr>
        <w:footnoteRef/>
      </w:r>
      <w:r>
        <w:rPr>
          <w:sz w:val="20"/>
          <w:szCs w:val="20"/>
        </w:rPr>
        <w:t xml:space="preserve"> </w:t>
      </w:r>
      <w:r>
        <w:rPr>
          <w:sz w:val="20"/>
          <w:szCs w:val="20"/>
          <w:rtl/>
        </w:rPr>
        <w:t xml:space="preserve">הערת המתרגם: ר׳ אלימלך </w:t>
      </w:r>
      <w:proofErr w:type="spellStart"/>
      <w:r>
        <w:rPr>
          <w:sz w:val="20"/>
          <w:szCs w:val="20"/>
          <w:rtl/>
        </w:rPr>
        <w:t>מליז׳נסק</w:t>
      </w:r>
      <w:proofErr w:type="spellEnd"/>
      <w:r>
        <w:rPr>
          <w:sz w:val="20"/>
          <w:szCs w:val="20"/>
          <w:rtl/>
        </w:rPr>
        <w:t xml:space="preserve"> נולד בשנת תע״ז, ור׳ </w:t>
      </w:r>
      <w:proofErr w:type="spellStart"/>
      <w:r>
        <w:rPr>
          <w:sz w:val="20"/>
          <w:szCs w:val="20"/>
          <w:rtl/>
        </w:rPr>
        <w:t>אריה־לייב</w:t>
      </w:r>
      <w:proofErr w:type="spellEnd"/>
      <w:r>
        <w:rPr>
          <w:sz w:val="20"/>
          <w:szCs w:val="20"/>
          <w:rtl/>
        </w:rPr>
        <w:t xml:space="preserve"> </w:t>
      </w:r>
      <w:proofErr w:type="spellStart"/>
      <w:r>
        <w:rPr>
          <w:sz w:val="20"/>
          <w:szCs w:val="20"/>
          <w:rtl/>
        </w:rPr>
        <w:t>צינץ</w:t>
      </w:r>
      <w:proofErr w:type="spellEnd"/>
      <w:r>
        <w:rPr>
          <w:sz w:val="20"/>
          <w:szCs w:val="20"/>
          <w:rtl/>
        </w:rPr>
        <w:t xml:space="preserve"> נולד יותר מחמישים שנה אחריו.</w:t>
      </w:r>
    </w:p>
  </w:footnote>
  <w:footnote w:id="2797">
    <w:p w14:paraId="65288B9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גיליון י׳ באב תשל״ו.</w:t>
      </w:r>
    </w:p>
  </w:footnote>
  <w:footnote w:id="2798">
    <w:p w14:paraId="5F7EF53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הרב וונדר שלח גם מכתב ובו תמצית גילויו לעורך העיתון “המודיע”, אך על פי עצת תלמיד חכם נודע ערך העיתון את המכתב כך שלא יטיל דופי </w:t>
      </w:r>
      <w:proofErr w:type="spellStart"/>
      <w:r>
        <w:rPr>
          <w:sz w:val="20"/>
          <w:szCs w:val="20"/>
          <w:rtl/>
        </w:rPr>
        <w:t>ב“מסורת</w:t>
      </w:r>
      <w:proofErr w:type="spellEnd"/>
      <w:r>
        <w:rPr>
          <w:sz w:val="20"/>
          <w:szCs w:val="20"/>
          <w:rtl/>
        </w:rPr>
        <w:t xml:space="preserve">”. אין זאת שאותו תלמיד חכם התיר לעשות דברים מסוכנים כדי להגיע לעמוקה, אבל הוא לא רצה לפסול לגמרי את רעיון הנסיעה לשם, ואמר: “יהיה כך; אם הם מאמינים בכך, אל נרפה את ידיהם”. נראה לי שהוא חמל על האומללים המוצאים נחמה באמונותיהם הטפלות – ראה את ההערה </w:t>
      </w:r>
      <w:r>
        <w:rPr>
          <w:sz w:val="20"/>
          <w:szCs w:val="20"/>
          <w:rtl/>
        </w:rPr>
        <w:fldChar w:fldCharType="begin" w:dirty="true"/>
      </w:r>
      <w:r>
        <w:rPr>
          <w:sz w:val="20"/>
          <w:szCs w:val="20"/>
          <w:rtl/>
        </w:rPr>
        <w:instrText xml:space="preserve"> NOTEREF pr_f_2654 \h </w:instrText>
      </w:r>
      <w:r>
        <w:rPr>
          <w:sz w:val="20"/>
          <w:szCs w:val="20"/>
          <w:rtl/>
        </w:rPr>
      </w:r>
      <w:r>
        <w:rPr>
          <w:sz w:val="20"/>
          <w:szCs w:val="20"/>
          <w:rtl/>
        </w:rPr>
        <w:fldChar w:fldCharType="separate"/>
      </w:r>
      <w:r w:rsidR="007923E9">
        <w:rPr>
          <w:sz w:val="20"/>
          <w:szCs w:val="20"/>
          <w:rtl/>
        </w:rPr>
        <w:t>1701</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pr_f_2654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לפי הסברה, תלמיד חכם זה הוא ר׳ </w:t>
      </w:r>
      <w:proofErr w:type="spellStart"/>
      <w:r>
        <w:rPr>
          <w:sz w:val="20"/>
          <w:szCs w:val="20"/>
          <w:rtl/>
        </w:rPr>
        <w:t>שלמה־זלמן</w:t>
      </w:r>
      <w:proofErr w:type="spellEnd"/>
      <w:r>
        <w:rPr>
          <w:sz w:val="20"/>
          <w:szCs w:val="20"/>
          <w:rtl/>
        </w:rPr>
        <w:t xml:space="preserve"> </w:t>
      </w:r>
      <w:proofErr w:type="spellStart"/>
      <w:r>
        <w:rPr>
          <w:sz w:val="20"/>
          <w:szCs w:val="20"/>
          <w:rtl/>
        </w:rPr>
        <w:t>אוירבך</w:t>
      </w:r>
      <w:proofErr w:type="spellEnd"/>
      <w:r>
        <w:rPr>
          <w:sz w:val="20"/>
          <w:szCs w:val="20"/>
          <w:rtl/>
        </w:rPr>
        <w:t>.</w:t>
      </w:r>
    </w:p>
  </w:footnote>
  <w:footnote w:id="2799">
    <w:p w14:paraId="249334E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ב־5 בדצמבר 1990.</w:t>
      </w:r>
    </w:p>
  </w:footnote>
  <w:footnote w:id="2800">
    <w:p w14:paraId="3E6037B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60 לעיל.</w:t>
      </w:r>
    </w:p>
  </w:footnote>
  <w:footnote w:id="2801">
    <w:p w14:paraId="0C452B4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השנייה בהערה 68 לעיל.</w:t>
      </w:r>
    </w:p>
  </w:footnote>
  <w:footnote w:id="2802">
    <w:p w14:paraId="5499786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ב־30 בדצמבר 1986.</w:t>
      </w:r>
    </w:p>
  </w:footnote>
  <w:footnote w:id="2803">
    <w:p w14:paraId="1EAC600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לייזר גולדשמידט תיאר לי ב־12 באוגוסט 1994 כיצד ר׳ </w:t>
      </w:r>
      <w:proofErr w:type="spellStart"/>
      <w:r>
        <w:rPr>
          <w:sz w:val="20"/>
          <w:szCs w:val="20"/>
          <w:rtl/>
        </w:rPr>
        <w:t xml:space="preserve">בער־הירש</w:t>
      </w:r>
      <w:proofErr w:type="spellEnd"/>
      <w:r>
        <w:rPr>
          <w:sz w:val="20"/>
          <w:szCs w:val="20"/>
          <w:rtl/>
        </w:rPr>
        <w:t xml:space="preserve"> מוכיח תלמיד – תיאור שכנראה אינו אלא אגדה: ר׳ </w:t>
      </w:r>
      <w:proofErr w:type="spellStart"/>
      <w:r>
        <w:rPr>
          <w:sz w:val="20"/>
          <w:szCs w:val="20"/>
          <w:rtl/>
        </w:rPr>
        <w:t xml:space="preserve">בער־הירש</w:t>
      </w:r>
      <w:proofErr w:type="spellEnd"/>
      <w:r>
        <w:rPr>
          <w:sz w:val="20"/>
          <w:szCs w:val="20"/>
          <w:rtl/>
        </w:rPr>
        <w:t xml:space="preserve"> ממלמל את ביקורתו באוזני התלמיד בעיניים עצומות, ואם הלה מחליט להסתלק באמצע התוכחה החרישית, ר׳ </w:t>
      </w:r>
      <w:proofErr w:type="spellStart"/>
      <w:r>
        <w:rPr>
          <w:sz w:val="20"/>
          <w:szCs w:val="20"/>
          <w:rtl/>
        </w:rPr>
        <w:t xml:space="preserve">בער־הירש</w:t>
      </w:r>
      <w:proofErr w:type="spellEnd"/>
      <w:r>
        <w:rPr>
          <w:sz w:val="20"/>
          <w:szCs w:val="20"/>
          <w:rtl/>
        </w:rPr>
        <w:t xml:space="preserve"> ממשיך לדבר ואינו מבחין בכך.</w:t>
      </w:r>
    </w:p>
  </w:footnote>
  <w:footnote w:id="2804">
    <w:p w14:paraId="55EBF1B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הפסקה השלישית בנספח </w:t>
      </w:r>
      <w:proofErr w:type="spellStart"/>
      <w:r>
        <w:rPr>
          <w:sz w:val="20"/>
          <w:szCs w:val="20"/>
          <w:rtl/>
        </w:rPr>
        <w:t>יח</w:t>
      </w:r>
      <w:proofErr w:type="spellEnd"/>
      <w:r>
        <w:rPr>
          <w:sz w:val="20"/>
          <w:szCs w:val="20"/>
          <w:rtl/>
        </w:rPr>
        <w:t xml:space="preserve"> לעיל.</w:t>
      </w:r>
    </w:p>
  </w:footnote>
  <w:footnote w:id="2805">
    <w:p w14:paraId="57A59E4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כץ, “תנועת המוסר”, כרך ג, עמ׳ 34, הוא אכן קיים ועדים “בשנים הראשונות” של ישיבת </w:t>
      </w:r>
      <w:proofErr w:type="spellStart"/>
      <w:r>
        <w:rPr>
          <w:sz w:val="20"/>
          <w:szCs w:val="20"/>
          <w:rtl/>
        </w:rPr>
        <w:t>סלבודקה</w:t>
      </w:r>
      <w:proofErr w:type="spellEnd"/>
      <w:r>
        <w:rPr>
          <w:sz w:val="20"/>
          <w:szCs w:val="20"/>
          <w:rtl/>
        </w:rPr>
        <w:t xml:space="preserve"> המקורית, כשהיה בשנות השלושים לחייו.</w:t>
      </w:r>
    </w:p>
  </w:footnote>
  <w:footnote w:id="2806">
    <w:p w14:paraId="07B6C41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w:t>
      </w:r>
      <w:proofErr w:type="spellStart"/>
      <w:r>
        <w:rPr>
          <w:sz w:val="20"/>
          <w:szCs w:val="20"/>
          <w:rtl/>
        </w:rPr>
        <w:t>כב</w:t>
      </w:r>
      <w:proofErr w:type="spellEnd"/>
      <w:r>
        <w:rPr>
          <w:sz w:val="20"/>
          <w:szCs w:val="20"/>
          <w:rtl/>
        </w:rPr>
        <w:t xml:space="preserve"> לעיל.</w:t>
      </w:r>
    </w:p>
  </w:footnote>
  <w:footnote w:id="2807">
    <w:p w14:paraId="098E8C1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4, סוף הערה 53.</w:t>
      </w:r>
    </w:p>
  </w:footnote>
  <w:footnote w:id="2808">
    <w:p w14:paraId="3CA0217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34.</w:t>
      </w:r>
    </w:p>
  </w:footnote>
  <w:footnote w:id="2809">
    <w:p w14:paraId="6631DD4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ירושלים, תשנ״ז – עמ׳ 17.</w:t>
      </w:r>
    </w:p>
  </w:footnote>
  <w:footnote w:id="2810">
    <w:p w14:paraId="2201D17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סוף הערה 68 לעיל.</w:t>
      </w:r>
    </w:p>
  </w:footnote>
  <w:footnote w:id="2811">
    <w:p w14:paraId="3ACDADA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הערה 103.</w:t>
      </w:r>
    </w:p>
  </w:footnote>
  <w:footnote w:id="2812">
    <w:p w14:paraId="7F8CB1D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סביר שפגישתו של ר׳ </w:t>
      </w:r>
      <w:proofErr w:type="spellStart"/>
      <w:r>
        <w:rPr>
          <w:sz w:val="20"/>
          <w:szCs w:val="20"/>
          <w:rtl/>
        </w:rPr>
        <w:t xml:space="preserve">בער־הירש</w:t>
      </w:r>
      <w:proofErr w:type="spellEnd"/>
      <w:r>
        <w:rPr>
          <w:sz w:val="20"/>
          <w:szCs w:val="20"/>
          <w:rtl/>
        </w:rPr>
        <w:t xml:space="preserve"> עם ר׳ </w:t>
      </w:r>
      <w:proofErr w:type="spellStart"/>
      <w:r>
        <w:rPr>
          <w:sz w:val="20"/>
          <w:szCs w:val="20"/>
          <w:rtl/>
        </w:rPr>
        <w:t>דוד׳ל</w:t>
      </w:r>
      <w:proofErr w:type="spellEnd"/>
      <w:r>
        <w:rPr>
          <w:sz w:val="20"/>
          <w:szCs w:val="20"/>
          <w:rtl/>
        </w:rPr>
        <w:t xml:space="preserve"> </w:t>
      </w:r>
      <w:proofErr w:type="spellStart"/>
      <w:r>
        <w:rPr>
          <w:sz w:val="20"/>
          <w:szCs w:val="20"/>
          <w:rtl/>
        </w:rPr>
        <w:t>קארלינער</w:t>
      </w:r>
      <w:proofErr w:type="spellEnd"/>
      <w:r>
        <w:rPr>
          <w:sz w:val="20"/>
          <w:szCs w:val="20"/>
          <w:rtl/>
        </w:rPr>
        <w:t xml:space="preserve"> </w:t>
      </w:r>
      <w:proofErr w:type="spellStart"/>
      <w:r>
        <w:rPr>
          <w:sz w:val="20"/>
          <w:szCs w:val="20"/>
          <w:rtl/>
        </w:rPr>
        <w:t>בפינסק־קרלין</w:t>
      </w:r>
      <w:proofErr w:type="spellEnd"/>
      <w:r>
        <w:rPr>
          <w:sz w:val="20"/>
          <w:szCs w:val="20"/>
          <w:rtl/>
        </w:rPr>
        <w:t xml:space="preserve"> – השווה הפסקה השלישית בנספח </w:t>
      </w:r>
      <w:proofErr w:type="spellStart"/>
      <w:r>
        <w:rPr>
          <w:sz w:val="20"/>
          <w:szCs w:val="20"/>
          <w:rtl/>
        </w:rPr>
        <w:t>כו</w:t>
      </w:r>
      <w:proofErr w:type="spellEnd"/>
      <w:r>
        <w:rPr>
          <w:sz w:val="20"/>
          <w:szCs w:val="20"/>
          <w:rtl/>
        </w:rPr>
        <w:t xml:space="preserve"> לעיל – אירעה באחת מנסיעותיו לגיוס כספים.</w:t>
      </w:r>
    </w:p>
  </w:footnote>
  <w:footnote w:id="2813">
    <w:p w14:paraId="538E955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 זליג סטאר, תלמיד הישיבה בתקופה שלפני מלחמת העולם הראשונה, סיפר זאת בריאיון ב־27 בינואר 1987.</w:t>
      </w:r>
    </w:p>
  </w:footnote>
  <w:footnote w:id="2814">
    <w:p w14:paraId="2002F79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תחילת הערה 76 לעיל.</w:t>
      </w:r>
    </w:p>
  </w:footnote>
  <w:footnote w:id="2815">
    <w:p w14:paraId="2CE1AB1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סוף פסקה זו.</w:t>
      </w:r>
    </w:p>
  </w:footnote>
  <w:footnote w:id="2816">
    <w:p w14:paraId="686E14A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לדברי ר׳ בנימין, אחי, בריאיון ב־19 באוקטובר 1991.</w:t>
      </w:r>
    </w:p>
  </w:footnote>
  <w:footnote w:id="2817">
    <w:p w14:paraId="621C4A4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ב־3 ביולי 1994 סיפרה רבקה </w:t>
      </w:r>
      <w:proofErr w:type="spellStart"/>
      <w:r>
        <w:rPr>
          <w:sz w:val="20"/>
          <w:szCs w:val="20"/>
          <w:rtl/>
        </w:rPr>
        <w:t>וולבה</w:t>
      </w:r>
      <w:proofErr w:type="spellEnd"/>
      <w:r>
        <w:rPr>
          <w:sz w:val="20"/>
          <w:szCs w:val="20"/>
          <w:rtl/>
        </w:rPr>
        <w:t xml:space="preserve"> לי שהיא זוכרת כיצד אביה, ר׳ אברהם </w:t>
      </w:r>
      <w:proofErr w:type="spellStart"/>
      <w:r>
        <w:rPr>
          <w:sz w:val="20"/>
          <w:szCs w:val="20"/>
          <w:rtl/>
        </w:rPr>
        <w:t>גרודזינסקי</w:t>
      </w:r>
      <w:proofErr w:type="spellEnd"/>
      <w:r>
        <w:rPr>
          <w:sz w:val="20"/>
          <w:szCs w:val="20"/>
          <w:rtl/>
        </w:rPr>
        <w:t xml:space="preserve">, מנהל הישיבה בשנות </w:t>
      </w:r>
      <w:proofErr w:type="spellStart"/>
      <w:r>
        <w:rPr>
          <w:sz w:val="20"/>
          <w:szCs w:val="20"/>
          <w:rtl/>
        </w:rPr>
        <w:t>הת״ר־צ</w:t>
      </w:r>
      <w:proofErr w:type="spellEnd"/>
      <w:r>
        <w:rPr>
          <w:sz w:val="20"/>
          <w:szCs w:val="20"/>
          <w:rtl/>
        </w:rPr>
        <w:t>׳, היה משלם מדי פעם סכומים זעומים לבעלי החנויות.</w:t>
      </w:r>
    </w:p>
  </w:footnote>
  <w:footnote w:id="2818">
    <w:p w14:paraId="725B45C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שרה </w:t>
      </w:r>
      <w:proofErr w:type="spellStart"/>
      <w:r>
        <w:rPr>
          <w:sz w:val="20"/>
          <w:szCs w:val="20"/>
          <w:rtl/>
        </w:rPr>
        <w:t>קרייזווירט</w:t>
      </w:r>
      <w:proofErr w:type="spellEnd"/>
      <w:r>
        <w:rPr>
          <w:sz w:val="20"/>
          <w:szCs w:val="20"/>
          <w:rtl/>
        </w:rPr>
        <w:t xml:space="preserve">, נכדתו, בריאיון ב־16 בנובמבר 1987. אך ראה בסוף פסקה זו, שמלבד בעלי החנויות היו נושים נוספים שרצו שר׳ </w:t>
      </w:r>
      <w:proofErr w:type="spellStart"/>
      <w:r>
        <w:rPr>
          <w:sz w:val="20"/>
          <w:szCs w:val="20"/>
          <w:rtl/>
        </w:rPr>
        <w:t xml:space="preserve">בער־הירש</w:t>
      </w:r>
      <w:proofErr w:type="spellEnd"/>
      <w:r>
        <w:rPr>
          <w:sz w:val="20"/>
          <w:szCs w:val="20"/>
          <w:rtl/>
        </w:rPr>
        <w:t xml:space="preserve">, הערב שלהם, יישאר </w:t>
      </w:r>
      <w:proofErr w:type="spellStart"/>
      <w:r>
        <w:rPr>
          <w:sz w:val="20"/>
          <w:szCs w:val="20"/>
          <w:rtl/>
        </w:rPr>
        <w:t>בסלבודקה</w:t>
      </w:r>
      <w:proofErr w:type="spellEnd"/>
      <w:r>
        <w:rPr>
          <w:sz w:val="20"/>
          <w:szCs w:val="20"/>
          <w:rtl/>
        </w:rPr>
        <w:t>.</w:t>
      </w:r>
    </w:p>
  </w:footnote>
  <w:footnote w:id="2819">
    <w:p w14:paraId="32920E3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אביגדור מילר, שלמד אז </w:t>
      </w:r>
      <w:proofErr w:type="spellStart"/>
      <w:r>
        <w:rPr>
          <w:sz w:val="20"/>
          <w:szCs w:val="20"/>
          <w:rtl/>
        </w:rPr>
        <w:t>בסלבודקה</w:t>
      </w:r>
      <w:proofErr w:type="spellEnd"/>
      <w:r>
        <w:rPr>
          <w:sz w:val="20"/>
          <w:szCs w:val="20"/>
          <w:rtl/>
        </w:rPr>
        <w:t>, בריאיון ב־24 באוקטובר 1991.</w:t>
      </w:r>
    </w:p>
  </w:footnote>
  <w:footnote w:id="2820">
    <w:p w14:paraId="2838ED5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2.</w:t>
      </w:r>
    </w:p>
  </w:footnote>
  <w:footnote w:id="2821">
    <w:p w14:paraId="2AF5D86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ב־15 בינואר 1997.</w:t>
      </w:r>
    </w:p>
  </w:footnote>
  <w:footnote w:id="2822">
    <w:p w14:paraId="347BD14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ריאיון ב־3 ביולי 1994. הדברים אושרו בידי ר׳ פרץ </w:t>
      </w:r>
      <w:proofErr w:type="spellStart"/>
      <w:r>
        <w:rPr>
          <w:sz w:val="20"/>
          <w:szCs w:val="20"/>
          <w:rtl/>
        </w:rPr>
        <w:t>פוזן</w:t>
      </w:r>
      <w:proofErr w:type="spellEnd"/>
      <w:r>
        <w:rPr>
          <w:sz w:val="20"/>
          <w:szCs w:val="20"/>
          <w:rtl/>
        </w:rPr>
        <w:t xml:space="preserve"> (השווה כרך 3), בריאיון ב־2 בנובמבר 1997, ששמע זאת מרבנו.</w:t>
      </w:r>
    </w:p>
  </w:footnote>
  <w:footnote w:id="2823">
    <w:p w14:paraId="0D18F6F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בנספח הבא.</w:t>
      </w:r>
    </w:p>
  </w:footnote>
  <w:footnote w:id="2824">
    <w:p w14:paraId="11C7884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כך הם רשומים </w:t>
      </w:r>
      <w:proofErr w:type="spellStart"/>
      <w:r>
        <w:rPr>
          <w:sz w:val="20"/>
          <w:szCs w:val="20"/>
          <w:rtl/>
        </w:rPr>
        <w:t>ב“קול</w:t>
      </w:r>
      <w:proofErr w:type="spellEnd"/>
      <w:r>
        <w:rPr>
          <w:sz w:val="20"/>
          <w:szCs w:val="20"/>
          <w:rtl/>
        </w:rPr>
        <w:t xml:space="preserve"> ישראל”, שבועון אגודת ישראל, ח׳ באלול תרצ״ה.</w:t>
      </w:r>
    </w:p>
  </w:footnote>
  <w:footnote w:id="2825">
    <w:p w14:paraId="2EC49D4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2, הערה 93, ובפרקנו נספח י והפסקאות השלישית והרביעית בנספח כ.</w:t>
      </w:r>
    </w:p>
  </w:footnote>
  <w:footnote w:id="2826">
    <w:p w14:paraId="47D2AC8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ב־24 בדצמבר 1986.</w:t>
      </w:r>
    </w:p>
  </w:footnote>
  <w:footnote w:id="2827">
    <w:p w14:paraId="7832451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דמיון בין ר׳ </w:t>
      </w:r>
      <w:proofErr w:type="spellStart"/>
      <w:r>
        <w:rPr>
          <w:sz w:val="20"/>
          <w:szCs w:val="20"/>
          <w:rtl/>
        </w:rPr>
        <w:t xml:space="preserve">בער־הירש</w:t>
      </w:r>
      <w:proofErr w:type="spellEnd"/>
      <w:r>
        <w:rPr>
          <w:sz w:val="20"/>
          <w:szCs w:val="20"/>
          <w:rtl/>
        </w:rPr>
        <w:t xml:space="preserve"> </w:t>
      </w:r>
      <w:proofErr w:type="spellStart"/>
      <w:r>
        <w:rPr>
          <w:sz w:val="20"/>
          <w:szCs w:val="20"/>
          <w:rtl/>
        </w:rPr>
        <w:t>לחפץ־חיים</w:t>
      </w:r>
      <w:proofErr w:type="spellEnd"/>
      <w:r>
        <w:rPr>
          <w:sz w:val="20"/>
          <w:szCs w:val="20"/>
          <w:rtl/>
        </w:rPr>
        <w:t xml:space="preserve"> יצוין בפסקה הבאה – ובכך נעשית השוואת המרואיין ליותר ממשל בלבד.</w:t>
      </w:r>
    </w:p>
  </w:footnote>
  <w:footnote w:id="2828">
    <w:p w14:paraId="3B9128B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פתח תקווה, תשמ״ג – עמ׳ 22.</w:t>
      </w:r>
    </w:p>
  </w:footnote>
  <w:footnote w:id="2829">
    <w:p w14:paraId="4AD4F37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ב־24 באפריל 1987.</w:t>
      </w:r>
    </w:p>
  </w:footnote>
  <w:footnote w:id="2830">
    <w:p w14:paraId="668BF78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68 לעיל.</w:t>
      </w:r>
    </w:p>
  </w:footnote>
  <w:footnote w:id="2831">
    <w:p w14:paraId="22A4398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שש שנים לאחר הריאיון הראשון, ב־14 בפברואר 1993.</w:t>
      </w:r>
    </w:p>
  </w:footnote>
  <w:footnote w:id="2832">
    <w:p w14:paraId="113FEC6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באירועים מיוחדים ניהלו שם את התפילה חזן ומקהלה.</w:t>
      </w:r>
    </w:p>
  </w:footnote>
  <w:footnote w:id="2833">
    <w:p w14:paraId="5C5DD92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סוף הפסקה השנייה בנספח י לעיל.</w:t>
      </w:r>
    </w:p>
  </w:footnote>
  <w:footnote w:id="2834">
    <w:p w14:paraId="176098E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ב־29 ביוני 1994.</w:t>
      </w:r>
    </w:p>
  </w:footnote>
  <w:footnote w:id="2835">
    <w:p w14:paraId="6FD72A7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כרך 2.</w:t>
      </w:r>
    </w:p>
  </w:footnote>
  <w:footnote w:id="2836">
    <w:p w14:paraId="2C85E35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3.</w:t>
      </w:r>
    </w:p>
  </w:footnote>
  <w:footnote w:id="2837">
    <w:p w14:paraId="276E4F1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ב־24 באוקטובר 1991.</w:t>
      </w:r>
    </w:p>
  </w:footnote>
  <w:footnote w:id="2838">
    <w:p w14:paraId="4DDD668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ועיין משלי ו, ל.</w:t>
      </w:r>
    </w:p>
  </w:footnote>
  <w:footnote w:id="2839">
    <w:p w14:paraId="41B2E07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ב־13 בינואר 1988.</w:t>
      </w:r>
    </w:p>
  </w:footnote>
  <w:footnote w:id="2840">
    <w:p w14:paraId="065B3C5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גיליון תמוז–אלול תרצ״ד, שהוקדש </w:t>
      </w:r>
      <w:proofErr w:type="spellStart"/>
      <w:r>
        <w:rPr>
          <w:sz w:val="20"/>
          <w:szCs w:val="20"/>
          <w:rtl/>
        </w:rPr>
        <w:t>לחפץ־חיים</w:t>
      </w:r>
      <w:proofErr w:type="spellEnd"/>
      <w:r>
        <w:rPr>
          <w:sz w:val="20"/>
          <w:szCs w:val="20"/>
          <w:rtl/>
        </w:rPr>
        <w:t xml:space="preserve"> במלאות שנה לפטירתו.</w:t>
      </w:r>
    </w:p>
  </w:footnote>
  <w:footnote w:id="2841">
    <w:p w14:paraId="75274F3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בעמ׳ מ.</w:t>
      </w:r>
    </w:p>
  </w:footnote>
  <w:footnote w:id="2842">
    <w:p w14:paraId="0015E65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w:t>
      </w:r>
      <w:proofErr w:type="spellStart"/>
      <w:r>
        <w:rPr>
          <w:sz w:val="20"/>
          <w:szCs w:val="20"/>
          <w:rtl/>
        </w:rPr>
        <w:t>יט</w:t>
      </w:r>
      <w:proofErr w:type="spellEnd"/>
      <w:r>
        <w:rPr>
          <w:sz w:val="20"/>
          <w:szCs w:val="20"/>
          <w:rtl/>
        </w:rPr>
        <w:t xml:space="preserve"> לעיל – עמ׳ 506.</w:t>
      </w:r>
    </w:p>
  </w:footnote>
  <w:footnote w:id="2843">
    <w:p w14:paraId="6333566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כד לעיל.</w:t>
      </w:r>
    </w:p>
  </w:footnote>
  <w:footnote w:id="2844">
    <w:p w14:paraId="438768D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“מגן אברהם”.</w:t>
      </w:r>
    </w:p>
  </w:footnote>
  <w:footnote w:id="2845">
    <w:p w14:paraId="3CCEE8E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1, הערה 32.</w:t>
      </w:r>
    </w:p>
  </w:footnote>
  <w:footnote w:id="2846">
    <w:p w14:paraId="68C916F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י לעיל.</w:t>
      </w:r>
    </w:p>
  </w:footnote>
  <w:footnote w:id="2847">
    <w:p w14:paraId="05820A8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ב־14 בנובמבר 1987.</w:t>
      </w:r>
    </w:p>
  </w:footnote>
  <w:footnote w:id="2848">
    <w:p w14:paraId="68DA6A8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תחילת הפסקה השנייה בנספח הקודם.</w:t>
      </w:r>
    </w:p>
  </w:footnote>
  <w:footnote w:id="2849">
    <w:p w14:paraId="1E35B18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תואר זה שימש גם את הסופר מ. </w:t>
      </w:r>
      <w:proofErr w:type="spellStart"/>
      <w:r>
        <w:rPr>
          <w:sz w:val="20"/>
          <w:szCs w:val="20"/>
          <w:rtl/>
        </w:rPr>
        <w:t>גרץ</w:t>
      </w:r>
      <w:proofErr w:type="spellEnd"/>
      <w:r>
        <w:rPr>
          <w:sz w:val="20"/>
          <w:szCs w:val="20"/>
          <w:rtl/>
        </w:rPr>
        <w:t>, המצוטט בפסקה השלישית להלן.</w:t>
      </w:r>
    </w:p>
  </w:footnote>
  <w:footnote w:id="2850">
    <w:p w14:paraId="0CE97FB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ב־27 באוגוסט 1998.</w:t>
      </w:r>
    </w:p>
  </w:footnote>
  <w:footnote w:id="2851">
    <w:p w14:paraId="74D61F6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נכח כשמסר ר׳ ישראל </w:t>
      </w:r>
      <w:proofErr w:type="spellStart"/>
      <w:r>
        <w:rPr>
          <w:sz w:val="20"/>
          <w:szCs w:val="20"/>
          <w:rtl/>
        </w:rPr>
        <w:t>שורין</w:t>
      </w:r>
      <w:proofErr w:type="spellEnd"/>
      <w:r>
        <w:rPr>
          <w:sz w:val="20"/>
          <w:szCs w:val="20"/>
          <w:rtl/>
        </w:rPr>
        <w:t xml:space="preserve"> את דבריו.</w:t>
      </w:r>
    </w:p>
  </w:footnote>
  <w:footnote w:id="2852">
    <w:p w14:paraId="557F463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ב־12 בנובמבר 1987.</w:t>
      </w:r>
    </w:p>
  </w:footnote>
  <w:footnote w:id="2853">
    <w:p w14:paraId="0EB4EA9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פרק 4, הערה 86, שם מסופר שהסבא ראה ברבנו עצמו “מופת למוסר” בשנותיו הראשונות.</w:t>
      </w:r>
    </w:p>
  </w:footnote>
  <w:footnote w:id="2854">
    <w:p w14:paraId="4D97A6E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ראיתי שמביאים את פירושו של </w:t>
      </w:r>
      <w:proofErr w:type="spellStart"/>
      <w:r>
        <w:rPr>
          <w:sz w:val="20"/>
          <w:szCs w:val="20"/>
          <w:rtl/>
        </w:rPr>
        <w:t>הגר״א</w:t>
      </w:r>
      <w:proofErr w:type="spellEnd"/>
      <w:r>
        <w:rPr>
          <w:sz w:val="20"/>
          <w:szCs w:val="20"/>
          <w:rtl/>
        </w:rPr>
        <w:t xml:space="preserve"> בגמרא שבת דף קי״ד ע״א, אמר רבי יוחנן איזהו ת״ח (וכו׳) זה המקפיד על חלוקו להופכו, עפ״י מה שאמרו (שם בסוף דף קי״ג ע״א) רבי יוחנן קרי למאניה </w:t>
      </w:r>
      <w:proofErr w:type="spellStart"/>
      <w:r>
        <w:rPr>
          <w:sz w:val="20"/>
          <w:szCs w:val="20"/>
          <w:rtl/>
        </w:rPr>
        <w:t>מכבדותיה</w:t>
      </w:r>
      <w:proofErr w:type="spellEnd"/>
      <w:r>
        <w:rPr>
          <w:sz w:val="20"/>
          <w:szCs w:val="20"/>
          <w:rtl/>
        </w:rPr>
        <w:t xml:space="preserve">, </w:t>
      </w:r>
      <w:proofErr w:type="spellStart"/>
      <w:r>
        <w:rPr>
          <w:sz w:val="20"/>
          <w:szCs w:val="20"/>
          <w:rtl/>
        </w:rPr>
        <w:t>שהמדות</w:t>
      </w:r>
      <w:proofErr w:type="spellEnd"/>
      <w:r>
        <w:rPr>
          <w:sz w:val="20"/>
          <w:szCs w:val="20"/>
          <w:rtl/>
        </w:rPr>
        <w:t xml:space="preserve"> הם לבושי הנפש, ומדת ת״ח היא “שיודע איך להפך מידותיו ולהטות אל קצה ההפך (מהן), כמו מכעס אל החמלה </w:t>
      </w:r>
      <w:proofErr w:type="spellStart"/>
      <w:r>
        <w:rPr>
          <w:sz w:val="20"/>
          <w:szCs w:val="20"/>
          <w:rtl/>
        </w:rPr>
        <w:t>ומהגאוה</w:t>
      </w:r>
      <w:proofErr w:type="spellEnd"/>
      <w:r>
        <w:rPr>
          <w:sz w:val="20"/>
          <w:szCs w:val="20"/>
          <w:rtl/>
        </w:rPr>
        <w:t xml:space="preserve"> הרמה אל תכלית השפלות”. (פי׳ </w:t>
      </w:r>
      <w:proofErr w:type="spellStart"/>
      <w:r>
        <w:rPr>
          <w:sz w:val="20"/>
          <w:szCs w:val="20"/>
          <w:rtl/>
        </w:rPr>
        <w:t>הגר״א</w:t>
      </w:r>
      <w:proofErr w:type="spellEnd"/>
      <w:r>
        <w:rPr>
          <w:sz w:val="20"/>
          <w:szCs w:val="20"/>
          <w:rtl/>
        </w:rPr>
        <w:t xml:space="preserve"> הוא הפוך </w:t>
      </w:r>
      <w:proofErr w:type="spellStart"/>
      <w:r>
        <w:rPr>
          <w:sz w:val="20"/>
          <w:szCs w:val="20"/>
          <w:rtl/>
        </w:rPr>
        <w:t>מפירש״י</w:t>
      </w:r>
      <w:proofErr w:type="spellEnd"/>
      <w:r>
        <w:rPr>
          <w:sz w:val="20"/>
          <w:szCs w:val="20"/>
          <w:rtl/>
        </w:rPr>
        <w:t xml:space="preserve"> בפשוטו של </w:t>
      </w:r>
      <w:proofErr w:type="spellStart"/>
      <w:r>
        <w:rPr>
          <w:sz w:val="20"/>
          <w:szCs w:val="20"/>
          <w:rtl/>
        </w:rPr>
        <w:t>המימרא</w:t>
      </w:r>
      <w:proofErr w:type="spellEnd"/>
      <w:r>
        <w:rPr>
          <w:sz w:val="20"/>
          <w:szCs w:val="20"/>
          <w:rtl/>
        </w:rPr>
        <w:t xml:space="preserve">: דהיינו, </w:t>
      </w:r>
      <w:proofErr w:type="spellStart"/>
      <w:r>
        <w:rPr>
          <w:sz w:val="20"/>
          <w:szCs w:val="20"/>
          <w:rtl/>
        </w:rPr>
        <w:t>שת״ח</w:t>
      </w:r>
      <w:proofErr w:type="spellEnd"/>
      <w:r>
        <w:rPr>
          <w:sz w:val="20"/>
          <w:szCs w:val="20"/>
          <w:rtl/>
        </w:rPr>
        <w:t xml:space="preserve"> מקפיד על חלוק הפוך להחזירו לצידו הנכון.)</w:t>
      </w:r>
    </w:p>
  </w:footnote>
  <w:footnote w:id="2855">
    <w:p w14:paraId="4DEB9B4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ב־4 באוגוסט 1996. הוא למד בישיבה שש שנים, עד תרצ״ז.</w:t>
      </w:r>
    </w:p>
  </w:footnote>
  <w:footnote w:id="2856">
    <w:p w14:paraId="62B1C49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שבת </w:t>
      </w:r>
      <w:proofErr w:type="spellStart"/>
      <w:r>
        <w:rPr>
          <w:sz w:val="20"/>
          <w:szCs w:val="20"/>
          <w:rtl/>
        </w:rPr>
        <w:t>נה</w:t>
      </w:r>
      <w:proofErr w:type="spellEnd"/>
      <w:r>
        <w:rPr>
          <w:sz w:val="20"/>
          <w:szCs w:val="20"/>
          <w:rtl/>
        </w:rPr>
        <w:t xml:space="preserve"> ע״ב, שם נמנים ארבעה אישים מן המקרא שמיתתם מתבארת כך.</w:t>
      </w:r>
    </w:p>
  </w:footnote>
  <w:footnote w:id="2857">
    <w:p w14:paraId="58CEE89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56 לעיל.</w:t>
      </w:r>
    </w:p>
  </w:footnote>
  <w:footnote w:id="2858">
    <w:p w14:paraId="14BD8A4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גיליון 4 בנובמבר 1935.</w:t>
      </w:r>
    </w:p>
  </w:footnote>
  <w:footnote w:id="2859">
    <w:p w14:paraId="466E79B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סוף סעיף 1 בפרק זה.</w:t>
      </w:r>
    </w:p>
  </w:footnote>
  <w:footnote w:id="2860">
    <w:p w14:paraId="17405CF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ועיין עירובין </w:t>
      </w:r>
      <w:proofErr w:type="spellStart"/>
      <w:r>
        <w:rPr>
          <w:sz w:val="20"/>
          <w:szCs w:val="20"/>
          <w:rtl/>
        </w:rPr>
        <w:t>מא</w:t>
      </w:r>
      <w:proofErr w:type="spellEnd"/>
      <w:r>
        <w:rPr>
          <w:sz w:val="20"/>
          <w:szCs w:val="20"/>
          <w:rtl/>
        </w:rPr>
        <w:t xml:space="preserve"> ע״ב: “ת״ר ג׳ דברים </w:t>
      </w:r>
      <w:proofErr w:type="spellStart"/>
      <w:r>
        <w:rPr>
          <w:sz w:val="20"/>
          <w:szCs w:val="20"/>
          <w:rtl/>
        </w:rPr>
        <w:t>מעבירין</w:t>
      </w:r>
      <w:proofErr w:type="spellEnd"/>
      <w:r>
        <w:rPr>
          <w:sz w:val="20"/>
          <w:szCs w:val="20"/>
          <w:rtl/>
        </w:rPr>
        <w:t xml:space="preserve"> את האדם וכו׳ ועל דעת קונו וכו׳ ודקדוקי עניות”.</w:t>
      </w:r>
    </w:p>
  </w:footnote>
  <w:footnote w:id="2861">
    <w:p w14:paraId="1B3B306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w:t>
      </w:r>
      <w:proofErr w:type="spellStart"/>
      <w:r>
        <w:rPr>
          <w:sz w:val="20"/>
          <w:szCs w:val="20"/>
          <w:rtl/>
        </w:rPr>
        <w:t xml:space="preserve">בער־הירש</w:t>
      </w:r>
      <w:proofErr w:type="spellEnd"/>
      <w:r>
        <w:rPr>
          <w:sz w:val="20"/>
          <w:szCs w:val="20"/>
          <w:rtl/>
        </w:rPr>
        <w:t xml:space="preserve"> ודאי ביקש וקיבל את הסכמת הסבא </w:t>
      </w:r>
      <w:proofErr w:type="spellStart"/>
      <w:r>
        <w:rPr>
          <w:sz w:val="20"/>
          <w:szCs w:val="20"/>
          <w:rtl/>
        </w:rPr>
        <w:t>מסלבודקה</w:t>
      </w:r>
      <w:proofErr w:type="spellEnd"/>
      <w:r>
        <w:rPr>
          <w:sz w:val="20"/>
          <w:szCs w:val="20"/>
          <w:rtl/>
        </w:rPr>
        <w:t xml:space="preserve"> לפני ששלח את בנו, אף שהסבא ראה בחינוך שניתן </w:t>
      </w:r>
      <w:proofErr w:type="spellStart"/>
      <w:r>
        <w:rPr>
          <w:sz w:val="20"/>
          <w:szCs w:val="20"/>
          <w:rtl/>
        </w:rPr>
        <w:t>בנובהרדוק</w:t>
      </w:r>
      <w:proofErr w:type="spellEnd"/>
      <w:r>
        <w:rPr>
          <w:sz w:val="20"/>
          <w:szCs w:val="20"/>
          <w:rtl/>
        </w:rPr>
        <w:t xml:space="preserve"> חינוך לקוי ביותר (ראה הערה 51 לעיל). ההסבר להסכמת הסבא לצעד זה הוא שלדעתו התרחק </w:t>
      </w:r>
      <w:proofErr w:type="spellStart"/>
      <w:r>
        <w:rPr>
          <w:sz w:val="20"/>
          <w:szCs w:val="20"/>
          <w:rtl/>
        </w:rPr>
        <w:t>אברהם־מאיר</w:t>
      </w:r>
      <w:proofErr w:type="spellEnd"/>
      <w:r>
        <w:rPr>
          <w:sz w:val="20"/>
          <w:szCs w:val="20"/>
          <w:rtl/>
        </w:rPr>
        <w:t xml:space="preserve"> מכדי שאפשר יהיה לחנכו בדרך הרגילה, והוא חש שהתקווה היחידה להשיבו למוטב היא בגישה </w:t>
      </w:r>
      <w:proofErr w:type="spellStart"/>
      <w:r>
        <w:rPr>
          <w:sz w:val="20"/>
          <w:szCs w:val="20"/>
          <w:rtl/>
        </w:rPr>
        <w:t>הנובהרדוקאית</w:t>
      </w:r>
      <w:proofErr w:type="spellEnd"/>
      <w:r>
        <w:rPr>
          <w:sz w:val="20"/>
          <w:szCs w:val="20"/>
          <w:rtl/>
        </w:rPr>
        <w:t xml:space="preserve"> הקיצונית. אך גם היא לא הועילה.</w:t>
      </w:r>
    </w:p>
  </w:footnote>
  <w:footnote w:id="2862">
    <w:p w14:paraId="48BC632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הפרק האחרון בספרו של כץ, “תנועת המוסר”, כרך ה (נספח ט לעיל), ושם, עמ׳ 350–351.</w:t>
      </w:r>
    </w:p>
  </w:footnote>
  <w:footnote w:id="2863">
    <w:p w14:paraId="7E351F3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מ־7 באוגוסט 1991.</w:t>
      </w:r>
    </w:p>
  </w:footnote>
  <w:footnote w:id="2864">
    <w:p w14:paraId="56FC775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המכתב מחליף בטעות את סדר הישיבות שבהן למד, ומעמיד את </w:t>
      </w:r>
      <w:proofErr w:type="spellStart"/>
      <w:r>
        <w:rPr>
          <w:sz w:val="20"/>
          <w:szCs w:val="20"/>
          <w:rtl/>
        </w:rPr>
        <w:t>נובהרדוק</w:t>
      </w:r>
      <w:proofErr w:type="spellEnd"/>
      <w:r>
        <w:rPr>
          <w:sz w:val="20"/>
          <w:szCs w:val="20"/>
          <w:rtl/>
        </w:rPr>
        <w:t xml:space="preserve"> לפני </w:t>
      </w:r>
      <w:proofErr w:type="spellStart"/>
      <w:r>
        <w:rPr>
          <w:sz w:val="20"/>
          <w:szCs w:val="20"/>
          <w:rtl/>
        </w:rPr>
        <w:t>סלבודקה</w:t>
      </w:r>
      <w:proofErr w:type="spellEnd"/>
      <w:r>
        <w:rPr>
          <w:sz w:val="20"/>
          <w:szCs w:val="20"/>
          <w:rtl/>
        </w:rPr>
        <w:t>.</w:t>
      </w:r>
    </w:p>
  </w:footnote>
  <w:footnote w:id="2865">
    <w:p w14:paraId="2E7A70E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ב־21 ביוני 2000.</w:t>
      </w:r>
    </w:p>
  </w:footnote>
  <w:footnote w:id="2866">
    <w:p w14:paraId="2A4A789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יוג׳ין </w:t>
      </w:r>
      <w:proofErr w:type="spellStart"/>
      <w:r>
        <w:rPr>
          <w:sz w:val="20"/>
          <w:szCs w:val="20"/>
          <w:rtl/>
        </w:rPr>
        <w:t>העלר</w:t>
      </w:r>
      <w:proofErr w:type="spellEnd"/>
      <w:r>
        <w:rPr>
          <w:sz w:val="20"/>
          <w:szCs w:val="20"/>
          <w:rtl/>
        </w:rPr>
        <w:t xml:space="preserve"> מסר שאביו התכוון מלכתחילה להגר לדרום אפריקה, אך כספו אזל באנגליה והוא נאלץ לנסוע לאמריקה במקום זאת.</w:t>
      </w:r>
    </w:p>
  </w:footnote>
  <w:footnote w:id="2867">
    <w:p w14:paraId="0601A39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הבן המוזכר, יוג׳ין, ואשתו, ריבה, הם גם עמודי התווך של בתי הספר היהודיים המשלבים לימודי קודש וחול במדינתם, והיו התורמים הגדולים ביותר לבניית בניין בית הספר החדש שם </w:t>
      </w:r>
      <w:proofErr w:type="spellStart"/>
      <w:r>
        <w:rPr>
          <w:sz w:val="20"/>
          <w:szCs w:val="20"/>
          <w:rtl/>
        </w:rPr>
        <w:t>בתשנ״ב</w:t>
      </w:r>
      <w:proofErr w:type="spellEnd"/>
      <w:r>
        <w:rPr>
          <w:sz w:val="20"/>
          <w:szCs w:val="20"/>
          <w:rtl/>
        </w:rPr>
        <w:t>.</w:t>
      </w:r>
    </w:p>
  </w:footnote>
  <w:footnote w:id="2868">
    <w:p w14:paraId="07EE4E3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יש בעיה בתאריך שעל הגלויה. לפי פשוטו – היום הראשון בשבוע של פרשת ויקרא – חל התאריך לפני פורים, ב־3 באדר ב׳ תרצ״ח. אבל מתוכן הגלויה ברור שנכתבה לפחות שלושה שבועות אחר כך. רחוק מן הדעת שהכותבת התבלבלה בקריאת התורה וציינה את החומש “ויקרא” כולו, ולא את פרשת השבוע המסוימת, תזריע או מצורע, שאז יחול יום כתיבתה ב־24 באדר ב׳ (27 במרס) או ב־2 בניסן (3 באפריל).</w:t>
      </w:r>
    </w:p>
    <w:p w14:paraId="5C3B9D2C" w14:textId="77777777" w:rsidR="00AB3647" w:rsidRDefault="00000000">
      <w:pPr>
        <w:spacing w:after="0" w:before="0"/>
        <w:jc w:val="both"/>
      </w:pPr>
      <w:r>
        <w:rPr>
          <w:sz w:val="20"/>
          <w:szCs w:val="20"/>
          <w:rtl/>
        </w:rPr>
        <w:t>אפשר לשער, לעומת זאת, שהאישה העדינה הסוותה בכוונה את שם הפרשה: אם “(</w:t>
      </w:r>
      <w:proofErr w:type="spellStart"/>
      <w:r>
        <w:rPr>
          <w:sz w:val="20"/>
          <w:szCs w:val="20"/>
          <w:rtl/>
        </w:rPr>
        <w:t>אשה</w:t>
      </w:r>
      <w:proofErr w:type="spellEnd"/>
      <w:r>
        <w:rPr>
          <w:sz w:val="20"/>
          <w:szCs w:val="20"/>
          <w:rtl/>
        </w:rPr>
        <w:t xml:space="preserve"> כי) תזריע”, כדי להימנע ממשמעות גסה (ראה פירוש רש״י שם), ואם “מצורע”, אדם שפל – ראה הערה 100 לעיל על האופן שבו שמרו אנשי </w:t>
      </w:r>
      <w:proofErr w:type="spellStart"/>
      <w:r>
        <w:rPr>
          <w:sz w:val="20"/>
          <w:szCs w:val="20"/>
          <w:rtl/>
        </w:rPr>
        <w:t>סלבודקה</w:t>
      </w:r>
      <w:proofErr w:type="spellEnd"/>
      <w:r>
        <w:rPr>
          <w:sz w:val="20"/>
          <w:szCs w:val="20"/>
          <w:rtl/>
        </w:rPr>
        <w:t xml:space="preserve"> ותלמידיה על טוהר לשונם. שינוי זה ודאי היה מקובל בין אנשים מעודנים, שהרי כולם הבינו לאיזה תאריך הכוונה – ואילו אנו איננו יכולים לדעת לאיזה משני ימי ראשון התכוונה </w:t>
      </w:r>
      <w:proofErr w:type="spellStart"/>
      <w:r>
        <w:rPr>
          <w:sz w:val="20"/>
          <w:szCs w:val="20"/>
          <w:rtl/>
        </w:rPr>
        <w:t>פייגה־אסתר</w:t>
      </w:r>
      <w:proofErr w:type="spellEnd"/>
      <w:r>
        <w:rPr>
          <w:sz w:val="20"/>
          <w:szCs w:val="20"/>
          <w:rtl/>
        </w:rPr>
        <w:t xml:space="preserve"> </w:t>
      </w:r>
      <w:proofErr w:type="spellStart"/>
      <w:r>
        <w:rPr>
          <w:sz w:val="20"/>
          <w:szCs w:val="20"/>
          <w:rtl/>
        </w:rPr>
        <w:t xml:space="preserve">הלר</w:t>
      </w:r>
      <w:proofErr w:type="spellEnd"/>
      <w:r>
        <w:rPr>
          <w:sz w:val="20"/>
          <w:szCs w:val="20"/>
          <w:rtl/>
        </w:rPr>
        <w:t>.</w:t>
      </w:r>
    </w:p>
  </w:footnote>
  <w:footnote w:id="2869">
    <w:p w14:paraId="7609913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התרגום המילולי של מילותיה ביידיש, א </w:t>
      </w:r>
      <w:proofErr w:type="spellStart"/>
      <w:r>
        <w:rPr>
          <w:sz w:val="20"/>
          <w:szCs w:val="20"/>
          <w:rtl/>
        </w:rPr>
        <w:t>מינרליכען</w:t>
      </w:r>
      <w:proofErr w:type="spellEnd"/>
      <w:r>
        <w:rPr>
          <w:sz w:val="20"/>
          <w:szCs w:val="20"/>
          <w:rtl/>
        </w:rPr>
        <w:t xml:space="preserve"> </w:t>
      </w:r>
      <w:proofErr w:type="spellStart"/>
      <w:r>
        <w:rPr>
          <w:sz w:val="20"/>
          <w:szCs w:val="20"/>
          <w:rtl/>
        </w:rPr>
        <w:t>גערוס</w:t>
      </w:r>
      <w:proofErr w:type="spellEnd"/>
      <w:r>
        <w:rPr>
          <w:sz w:val="20"/>
          <w:szCs w:val="20"/>
          <w:rtl/>
        </w:rPr>
        <w:t>, הוא “דרישת שלום בעל פה”, אך מובן שכוונתה הייתה כפי שתורגם כאן.</w:t>
      </w:r>
    </w:p>
  </w:footnote>
  <w:footnote w:id="2870">
    <w:p w14:paraId="68153BA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2 בינואר 1999.</w:t>
      </w:r>
    </w:p>
  </w:footnote>
  <w:footnote w:id="2871">
    <w:p w14:paraId="119E70E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מכאן שאני הוא בן דוד מדרגה שלישית של ר׳ </w:t>
      </w:r>
      <w:proofErr w:type="spellStart"/>
      <w:r>
        <w:rPr>
          <w:sz w:val="20"/>
          <w:szCs w:val="20"/>
          <w:rtl/>
        </w:rPr>
        <w:t>אליהו־יהודה</w:t>
      </w:r>
      <w:proofErr w:type="spellEnd"/>
      <w:r>
        <w:rPr>
          <w:sz w:val="20"/>
          <w:szCs w:val="20"/>
          <w:rtl/>
        </w:rPr>
        <w:t xml:space="preserve"> שוחט.</w:t>
      </w:r>
    </w:p>
  </w:footnote>
  <w:footnote w:id="2872">
    <w:p w14:paraId="065F063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הפסקה השנייה בנספח </w:t>
      </w:r>
      <w:proofErr w:type="spellStart"/>
      <w:r>
        <w:rPr>
          <w:sz w:val="20"/>
          <w:szCs w:val="20"/>
          <w:rtl/>
        </w:rPr>
        <w:t>יט</w:t>
      </w:r>
      <w:proofErr w:type="spellEnd"/>
      <w:r>
        <w:rPr>
          <w:sz w:val="20"/>
          <w:szCs w:val="20"/>
          <w:rtl/>
        </w:rPr>
        <w:t xml:space="preserve"> לעיל.</w:t>
      </w:r>
    </w:p>
  </w:footnote>
  <w:footnote w:id="2873">
    <w:p w14:paraId="3B7C1393"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פרשת כי תבוא נקראה </w:t>
      </w:r>
      <w:proofErr w:type="spellStart"/>
      <w:r>
        <w:rPr>
          <w:sz w:val="20"/>
          <w:szCs w:val="20"/>
          <w:rtl/>
        </w:rPr>
        <w:t>בתרצ״ב</w:t>
      </w:r>
      <w:proofErr w:type="spellEnd"/>
      <w:r>
        <w:rPr>
          <w:sz w:val="20"/>
          <w:szCs w:val="20"/>
          <w:rtl/>
        </w:rPr>
        <w:t xml:space="preserve"> בשבת ט״ז באלול, ולכן ערב שבת שלפניה היה ט״ו באלול; י״ד באלול חל ביום חמישי.</w:t>
      </w:r>
    </w:p>
  </w:footnote>
  <w:footnote w:id="2874">
    <w:p w14:paraId="067E6F2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ממשפט זה ברור שר׳ </w:t>
      </w:r>
      <w:proofErr w:type="spellStart"/>
      <w:r>
        <w:rPr>
          <w:sz w:val="20"/>
          <w:szCs w:val="20"/>
          <w:rtl/>
        </w:rPr>
        <w:t xml:space="preserve">בער־הירש</w:t>
      </w:r>
      <w:proofErr w:type="spellEnd"/>
      <w:r>
        <w:rPr>
          <w:sz w:val="20"/>
          <w:szCs w:val="20"/>
          <w:rtl/>
        </w:rPr>
        <w:t xml:space="preserve"> ידע על הרמה המוסרית הגבוהה של בנו, כמתואר באגרת בנו של </w:t>
      </w:r>
      <w:proofErr w:type="spellStart"/>
      <w:r>
        <w:rPr>
          <w:sz w:val="20"/>
          <w:szCs w:val="20"/>
          <w:rtl/>
        </w:rPr>
        <w:t>אברהם־מאיר</w:t>
      </w:r>
      <w:proofErr w:type="spellEnd"/>
      <w:r>
        <w:rPr>
          <w:sz w:val="20"/>
          <w:szCs w:val="20"/>
          <w:rtl/>
        </w:rPr>
        <w:t xml:space="preserve"> המצוטטת בסוף הפסקה הקודמת.</w:t>
      </w:r>
    </w:p>
  </w:footnote>
  <w:footnote w:id="2875">
    <w:p w14:paraId="2207BC6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ייתכן שהמשפט האחרון נכתב בהשראת מה שהתרחש אז בליטא, כמתואר </w:t>
      </w:r>
      <w:proofErr w:type="spellStart"/>
      <w:r>
        <w:rPr>
          <w:sz w:val="20"/>
          <w:szCs w:val="20"/>
          <w:rtl/>
        </w:rPr>
        <w:t>ב“יהדות</w:t>
      </w:r>
      <w:proofErr w:type="spellEnd"/>
      <w:r>
        <w:rPr>
          <w:sz w:val="20"/>
          <w:szCs w:val="20"/>
          <w:rtl/>
        </w:rPr>
        <w:t xml:space="preserve"> ליטא” (הערה 9 לעיל), כרך 2, עמ׳ 24, המסכם את מצב יהודי ליטא בשנים 1930–1934 במילים: “תהליך דחיקת היהודים מעמדותיהם הכלכליות... קיבל צורות הרבה יותר בולטות וחריפות. ארגון הסוחרים, התעשיינים </w:t>
      </w:r>
      <w:proofErr w:type="spellStart"/>
      <w:r>
        <w:rPr>
          <w:sz w:val="20"/>
          <w:szCs w:val="20"/>
          <w:rtl/>
        </w:rPr>
        <w:t>ובעלי־מלאכה</w:t>
      </w:r>
      <w:proofErr w:type="spellEnd"/>
      <w:r>
        <w:rPr>
          <w:sz w:val="20"/>
          <w:szCs w:val="20"/>
          <w:rtl/>
        </w:rPr>
        <w:t xml:space="preserve"> הליטאים בשם ‘</w:t>
      </w:r>
      <w:proofErr w:type="spellStart"/>
      <w:r>
        <w:rPr>
          <w:sz w:val="20"/>
          <w:szCs w:val="20"/>
          <w:rtl/>
        </w:rPr>
        <w:t>ווארסלאס</w:t>
      </w:r>
      <w:proofErr w:type="spellEnd"/>
      <w:r>
        <w:rPr>
          <w:sz w:val="20"/>
          <w:szCs w:val="20"/>
          <w:rtl/>
        </w:rPr>
        <w:t>’ (</w:t>
      </w:r>
      <w:proofErr w:type="spellStart"/>
      <w:r>
        <w:rPr>
          <w:sz w:val="20"/>
          <w:szCs w:val="20"/>
          <w:rtl/>
        </w:rPr>
        <w:t>משלח־יד</w:t>
      </w:r>
      <w:proofErr w:type="spellEnd"/>
      <w:r>
        <w:rPr>
          <w:sz w:val="20"/>
          <w:szCs w:val="20"/>
          <w:rtl/>
        </w:rPr>
        <w:t xml:space="preserve">), קיבל באופן גלוי אופי אנטישמי תוקפני. בהשפעת הרוחות הרעות, שהגיעו לליטא מפולין הלאומנית וגרמניה הנאצית, גברו והלכו המגמות </w:t>
      </w:r>
      <w:proofErr w:type="spellStart"/>
      <w:r>
        <w:rPr>
          <w:sz w:val="20"/>
          <w:szCs w:val="20"/>
          <w:rtl/>
        </w:rPr>
        <w:t>הלאומיות־הפאשיסטיות</w:t>
      </w:r>
      <w:proofErr w:type="spellEnd"/>
      <w:r>
        <w:rPr>
          <w:sz w:val="20"/>
          <w:szCs w:val="20"/>
          <w:rtl/>
        </w:rPr>
        <w:t xml:space="preserve"> והאנטישמיות בקרב הציבור הליטאי, בעיקר בחוגי הנוער”. ראה כרכים 2 ו־3.</w:t>
      </w:r>
    </w:p>
  </w:footnote>
  <w:footnote w:id="2876">
    <w:p w14:paraId="599330D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ריאיון, 19 באוקטובר 1991.</w:t>
      </w:r>
    </w:p>
  </w:footnote>
  <w:footnote w:id="2877">
    <w:p w14:paraId="7EC514C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5, תחילת נספח ב.</w:t>
      </w:r>
    </w:p>
  </w:footnote>
  <w:footnote w:id="2878">
    <w:p w14:paraId="69BACF0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ריאיון, 12 ביוני 1999.</w:t>
      </w:r>
    </w:p>
  </w:footnote>
  <w:footnote w:id="2879">
    <w:p w14:paraId="3EA4934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ביצה ט״ז ע״ב.</w:t>
      </w:r>
    </w:p>
  </w:footnote>
  <w:footnote w:id="2880">
    <w:p w14:paraId="4AB23DC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12 לעיל – עמ׳ 321, הערה 466.</w:t>
      </w:r>
    </w:p>
  </w:footnote>
  <w:footnote w:id="2881">
    <w:p w14:paraId="32F86C8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ריאיון, 22 ביולי 1994.</w:t>
      </w:r>
    </w:p>
  </w:footnote>
  <w:footnote w:id="2882">
    <w:p w14:paraId="7F687F8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דב כהן, שבא מסיאטל להצטרף לישיבת חברון </w:t>
      </w:r>
      <w:proofErr w:type="spellStart"/>
      <w:r>
        <w:rPr>
          <w:sz w:val="20"/>
          <w:szCs w:val="20"/>
          <w:rtl/>
        </w:rPr>
        <w:t>בתרפ״ו</w:t>
      </w:r>
      <w:proofErr w:type="spellEnd"/>
      <w:r>
        <w:rPr>
          <w:sz w:val="20"/>
          <w:szCs w:val="20"/>
          <w:rtl/>
        </w:rPr>
        <w:t xml:space="preserve">, בריאיון ב־23 ביולי 2000. המרואיין לא למד בליטא, שבה פעל הרב </w:t>
      </w:r>
      <w:proofErr w:type="spellStart"/>
      <w:r>
        <w:rPr>
          <w:sz w:val="20"/>
          <w:szCs w:val="20"/>
          <w:rtl/>
        </w:rPr>
        <w:t xml:space="preserve">הלר</w:t>
      </w:r>
      <w:proofErr w:type="spellEnd"/>
      <w:r>
        <w:rPr>
          <w:sz w:val="20"/>
          <w:szCs w:val="20"/>
          <w:rtl/>
        </w:rPr>
        <w:t xml:space="preserve">, אבל המסורת כיצד הכריז ר׳ </w:t>
      </w:r>
      <w:proofErr w:type="spellStart"/>
      <w:r>
        <w:rPr>
          <w:sz w:val="20"/>
          <w:szCs w:val="20"/>
          <w:rtl/>
        </w:rPr>
        <w:t xml:space="preserve">בער־הירש</w:t>
      </w:r>
      <w:proofErr w:type="spellEnd"/>
      <w:r>
        <w:rPr>
          <w:sz w:val="20"/>
          <w:szCs w:val="20"/>
          <w:rtl/>
        </w:rPr>
        <w:t xml:space="preserve"> על סדר המוסר נמסרה מפי תלמידי </w:t>
      </w:r>
      <w:proofErr w:type="spellStart"/>
      <w:r>
        <w:rPr>
          <w:sz w:val="20"/>
          <w:szCs w:val="20"/>
          <w:rtl/>
        </w:rPr>
        <w:t>סלבודקה</w:t>
      </w:r>
      <w:proofErr w:type="spellEnd"/>
      <w:r>
        <w:rPr>
          <w:sz w:val="20"/>
          <w:szCs w:val="20"/>
          <w:rtl/>
        </w:rPr>
        <w:t xml:space="preserve"> שהקימו את סניף ישיבתם בארץ ישראל שנתיים קודם לכן.</w:t>
      </w:r>
    </w:p>
  </w:footnote>
  <w:footnote w:id="2883">
    <w:p w14:paraId="66F28F3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הערה 103 לעיל.</w:t>
      </w:r>
    </w:p>
  </w:footnote>
  <w:footnote w:id="2884">
    <w:p w14:paraId="026C9A4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לפיכך נראה שתיאורם של ר׳ </w:t>
      </w:r>
      <w:proofErr w:type="spellStart"/>
      <w:r>
        <w:rPr>
          <w:sz w:val="20"/>
          <w:szCs w:val="20"/>
          <w:rtl/>
        </w:rPr>
        <w:t xml:space="preserve">בער־הירש</w:t>
      </w:r>
      <w:proofErr w:type="spellEnd"/>
      <w:r>
        <w:rPr>
          <w:sz w:val="20"/>
          <w:szCs w:val="20"/>
          <w:rtl/>
        </w:rPr>
        <w:t xml:space="preserve"> ור׳ </w:t>
      </w:r>
      <w:proofErr w:type="spellStart"/>
      <w:r>
        <w:rPr>
          <w:sz w:val="20"/>
          <w:szCs w:val="20"/>
          <w:rtl/>
        </w:rPr>
        <w:t>נתן־צבי</w:t>
      </w:r>
      <w:proofErr w:type="spellEnd"/>
      <w:r>
        <w:rPr>
          <w:sz w:val="20"/>
          <w:szCs w:val="20"/>
          <w:rtl/>
        </w:rPr>
        <w:t xml:space="preserve"> בפי הרב גרז כבעלי “נשמה אחת” – ראה הפסקה השנייה בהערה 115 לעיל – מופרז מעט.</w:t>
      </w:r>
    </w:p>
  </w:footnote>
  <w:footnote w:id="2885">
    <w:p w14:paraId="1B676E3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אגרת זו נכתבה כנראה בראשית תרצ״ג, כשמשפחת </w:t>
      </w:r>
      <w:proofErr w:type="spellStart"/>
      <w:r>
        <w:rPr>
          <w:sz w:val="20"/>
          <w:szCs w:val="20"/>
          <w:rtl/>
        </w:rPr>
        <w:t xml:space="preserve">הלר</w:t>
      </w:r>
      <w:proofErr w:type="spellEnd"/>
      <w:r>
        <w:rPr>
          <w:sz w:val="20"/>
          <w:szCs w:val="20"/>
          <w:rtl/>
        </w:rPr>
        <w:t xml:space="preserve"> כבר תכננה ככל הנראה את יציאתה מליטא. בבקשתו מבן דודו שיודיע לו על הפרשת מעשר מן הנדוניה לטובת הישיבה, ייתכן שר׳ </w:t>
      </w:r>
      <w:proofErr w:type="spellStart"/>
      <w:r>
        <w:rPr>
          <w:sz w:val="20"/>
          <w:szCs w:val="20"/>
          <w:rtl/>
        </w:rPr>
        <w:t xml:space="preserve">בער־הירש</w:t>
      </w:r>
      <w:proofErr w:type="spellEnd"/>
      <w:r>
        <w:rPr>
          <w:sz w:val="20"/>
          <w:szCs w:val="20"/>
          <w:rtl/>
        </w:rPr>
        <w:t xml:space="preserve"> התכוון להסדיר שתרומתו של ר׳ יעקב תשמש לפירעון חלק מחובות הישיבה שהרב </w:t>
      </w:r>
      <w:proofErr w:type="spellStart"/>
      <w:r>
        <w:rPr>
          <w:sz w:val="20"/>
          <w:szCs w:val="20"/>
          <w:rtl/>
        </w:rPr>
        <w:t xml:space="preserve">הלר</w:t>
      </w:r>
      <w:proofErr w:type="spellEnd"/>
      <w:r>
        <w:rPr>
          <w:sz w:val="20"/>
          <w:szCs w:val="20"/>
          <w:rtl/>
        </w:rPr>
        <w:t xml:space="preserve"> נטל על עצמו ושיישארו בלתי משולמים כשיעלה לארץ ישראל. ראה הפסקה הקודמת.</w:t>
      </w:r>
    </w:p>
  </w:footnote>
  <w:footnote w:id="2886">
    <w:p w14:paraId="69FBCDF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כתובות ס״ו ע״ב.</w:t>
      </w:r>
    </w:p>
  </w:footnote>
  <w:footnote w:id="2887">
    <w:p w14:paraId="7C1A082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רש״י שם.</w:t>
      </w:r>
    </w:p>
  </w:footnote>
  <w:footnote w:id="2888">
    <w:p w14:paraId="0DB77E3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נרשם בהערת שוליים בספרו של כץ, “תנועת המוסר”, כרך ג, עמ׳ 291.</w:t>
      </w:r>
    </w:p>
  </w:footnote>
  <w:footnote w:id="2889">
    <w:p w14:paraId="5371A06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2, הערה 106.</w:t>
      </w:r>
    </w:p>
  </w:footnote>
  <w:footnote w:id="2890">
    <w:p w14:paraId="49227D0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נספח א לעיל – עמ׳ רע.</w:t>
      </w:r>
    </w:p>
  </w:footnote>
  <w:footnote w:id="2891">
    <w:p w14:paraId="4B22926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י לעיל.</w:t>
      </w:r>
    </w:p>
  </w:footnote>
  <w:footnote w:id="2892">
    <w:p w14:paraId="0857BA7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כלשון הפסוק השני שבשמע: דברים ו, ה, ועוד.</w:t>
      </w:r>
    </w:p>
  </w:footnote>
  <w:footnote w:id="2893">
    <w:p w14:paraId="28980A9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סיפר ר׳ דוד אפן (ששמע זאת מחותנו ר׳ לייב בקשט), בריאיון, 18 בדצמבר 1998.</w:t>
      </w:r>
    </w:p>
  </w:footnote>
  <w:footnote w:id="2894">
    <w:p w14:paraId="6BDA392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היסוד הוא במשנה, סוטה ח ע״ב, והלשון נמצא בהרבה מקומות בש״ס.</w:t>
      </w:r>
    </w:p>
  </w:footnote>
  <w:footnote w:id="2895">
    <w:p w14:paraId="2DCED31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היא נדפסה בספר זיכרון </w:t>
      </w:r>
      <w:proofErr w:type="spellStart"/>
      <w:r>
        <w:rPr>
          <w:sz w:val="20"/>
          <w:szCs w:val="20"/>
          <w:rtl/>
        </w:rPr>
        <w:t>סרנא</w:t>
      </w:r>
      <w:proofErr w:type="spellEnd"/>
      <w:r>
        <w:rPr>
          <w:sz w:val="20"/>
          <w:szCs w:val="20"/>
          <w:rtl/>
        </w:rPr>
        <w:t xml:space="preserve"> (הפסקה השלישית בנספח ד לעיל), עמ׳ תרד.</w:t>
      </w:r>
    </w:p>
  </w:footnote>
  <w:footnote w:id="2896">
    <w:p w14:paraId="728548C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ריאיון, 28 באפריל 2000.</w:t>
      </w:r>
    </w:p>
  </w:footnote>
  <w:footnote w:id="2897">
    <w:p w14:paraId="7E45432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הפסקה הראשונה בנספח </w:t>
      </w:r>
      <w:proofErr w:type="spellStart"/>
      <w:r>
        <w:rPr>
          <w:sz w:val="20"/>
          <w:szCs w:val="20"/>
          <w:rtl/>
        </w:rPr>
        <w:t>יט</w:t>
      </w:r>
      <w:proofErr w:type="spellEnd"/>
      <w:r>
        <w:rPr>
          <w:sz w:val="20"/>
          <w:szCs w:val="20"/>
          <w:rtl/>
        </w:rPr>
        <w:t xml:space="preserve"> לעיל.</w:t>
      </w:r>
    </w:p>
  </w:footnote>
  <w:footnote w:id="2898">
    <w:p w14:paraId="422DC84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ריאיון, 6 בינואר 1992.</w:t>
      </w:r>
    </w:p>
  </w:footnote>
  <w:footnote w:id="2899">
    <w:p w14:paraId="7168D33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הפסקה השישית בנספח </w:t>
      </w:r>
      <w:proofErr w:type="spellStart"/>
      <w:r>
        <w:rPr>
          <w:sz w:val="20"/>
          <w:szCs w:val="20"/>
          <w:rtl/>
        </w:rPr>
        <w:t>יח</w:t>
      </w:r>
      <w:proofErr w:type="spellEnd"/>
      <w:r>
        <w:rPr>
          <w:sz w:val="20"/>
          <w:szCs w:val="20"/>
          <w:rtl/>
        </w:rPr>
        <w:t xml:space="preserve"> לעיל – עמ׳ 277.</w:t>
      </w:r>
    </w:p>
  </w:footnote>
  <w:footnote w:id="2900">
    <w:p w14:paraId="5D7B97C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סוף הפסקה הראשונה בנספח </w:t>
      </w:r>
      <w:proofErr w:type="spellStart"/>
      <w:r>
        <w:rPr>
          <w:sz w:val="20"/>
          <w:szCs w:val="20"/>
          <w:rtl/>
        </w:rPr>
        <w:t>יח</w:t>
      </w:r>
      <w:proofErr w:type="spellEnd"/>
      <w:r>
        <w:rPr>
          <w:sz w:val="20"/>
          <w:szCs w:val="20"/>
          <w:rtl/>
        </w:rPr>
        <w:t xml:space="preserve"> לעיל.</w:t>
      </w:r>
    </w:p>
  </w:footnote>
  <w:footnote w:id="2901">
    <w:p w14:paraId="697AB37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מכון מאיר, תשנ״ב – עמ׳ </w:t>
      </w:r>
      <w:proofErr w:type="spellStart"/>
      <w:r>
        <w:rPr>
          <w:rStyle w:val="a5"/>
          <w:sz w:val="20"/>
          <w:szCs w:val="20"/>
          <w:vertAlign w:val="baseline"/>
          <w:rtl/>
        </w:rPr>
        <w:t>קעה</w:t>
      </w:r>
      <w:proofErr w:type="spellEnd"/>
      <w:r>
        <w:rPr>
          <w:rStyle w:val="a5"/>
          <w:sz w:val="20"/>
          <w:szCs w:val="20"/>
          <w:vertAlign w:val="baseline"/>
          <w:rtl/>
        </w:rPr>
        <w:t>.</w:t>
      </w:r>
    </w:p>
  </w:footnote>
  <w:footnote w:id="2902">
    <w:p w14:paraId="2344A87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פרט זה מופיע </w:t>
      </w:r>
      <w:proofErr w:type="spellStart"/>
      <w:r>
        <w:rPr>
          <w:sz w:val="20"/>
          <w:szCs w:val="20"/>
          <w:rtl/>
        </w:rPr>
        <w:t>ב“מורי</w:t>
      </w:r>
      <w:proofErr w:type="spellEnd"/>
      <w:r>
        <w:rPr>
          <w:sz w:val="20"/>
          <w:szCs w:val="20"/>
          <w:rtl/>
        </w:rPr>
        <w:t xml:space="preserve"> האומה”, כרך ה, מאת הרב ישראל </w:t>
      </w:r>
      <w:proofErr w:type="spellStart"/>
      <w:r>
        <w:rPr>
          <w:sz w:val="20"/>
          <w:szCs w:val="20"/>
          <w:rtl/>
        </w:rPr>
        <w:t>שורין</w:t>
      </w:r>
      <w:proofErr w:type="spellEnd"/>
      <w:r>
        <w:rPr>
          <w:sz w:val="20"/>
          <w:szCs w:val="20"/>
          <w:rtl/>
        </w:rPr>
        <w:t xml:space="preserve"> (ללא מקום ושנת הוצאה), עמ׳ 165.</w:t>
      </w:r>
    </w:p>
  </w:footnote>
  <w:footnote w:id="2903">
    <w:p w14:paraId="1BFF9FD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w:t>
      </w:r>
      <w:proofErr w:type="spellStart"/>
      <w:r>
        <w:rPr>
          <w:sz w:val="20"/>
          <w:szCs w:val="20"/>
          <w:rtl/>
        </w:rPr>
        <w:t>חיים־עוזר</w:t>
      </w:r>
      <w:proofErr w:type="spellEnd"/>
      <w:r>
        <w:rPr>
          <w:sz w:val="20"/>
          <w:szCs w:val="20"/>
          <w:rtl/>
        </w:rPr>
        <w:t xml:space="preserve"> </w:t>
      </w:r>
      <w:proofErr w:type="spellStart"/>
      <w:r>
        <w:rPr>
          <w:sz w:val="20"/>
          <w:szCs w:val="20"/>
          <w:rtl/>
        </w:rPr>
        <w:t>סמיאטיצקי</w:t>
      </w:r>
      <w:proofErr w:type="spellEnd"/>
      <w:r>
        <w:rPr>
          <w:sz w:val="20"/>
          <w:szCs w:val="20"/>
          <w:rtl/>
        </w:rPr>
        <w:t>, כפי ששמע מר׳ לייב בקשט. ריאיון, 11 בינואר 1996.</w:t>
      </w:r>
    </w:p>
  </w:footnote>
  <w:footnote w:id="2904">
    <w:p w14:paraId="38A3E74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נספח טו לעיל – עמ׳ 44.</w:t>
      </w:r>
    </w:p>
  </w:footnote>
  <w:footnote w:id="2905">
    <w:p w14:paraId="02ED59E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120 לעיל.</w:t>
      </w:r>
    </w:p>
  </w:footnote>
  <w:footnote w:id="2906">
    <w:p w14:paraId="669EC01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הרב </w:t>
      </w:r>
      <w:proofErr w:type="spellStart"/>
      <w:r>
        <w:rPr>
          <w:sz w:val="20"/>
          <w:szCs w:val="20"/>
          <w:rtl/>
        </w:rPr>
        <w:t>פורטנוי</w:t>
      </w:r>
      <w:proofErr w:type="spellEnd"/>
      <w:r>
        <w:rPr>
          <w:sz w:val="20"/>
          <w:szCs w:val="20"/>
          <w:rtl/>
        </w:rPr>
        <w:t xml:space="preserve"> סיפר על המעשה בריאיון ב־13 בספטמבר 1997.</w:t>
      </w:r>
    </w:p>
  </w:footnote>
  <w:footnote w:id="2907">
    <w:p w14:paraId="733C360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עיין עירובין </w:t>
      </w:r>
      <w:proofErr w:type="spellStart"/>
      <w:r>
        <w:rPr>
          <w:sz w:val="20"/>
          <w:szCs w:val="20"/>
          <w:rtl/>
        </w:rPr>
        <w:t>יג</w:t>
      </w:r>
      <w:proofErr w:type="spellEnd"/>
      <w:r>
        <w:rPr>
          <w:sz w:val="20"/>
          <w:szCs w:val="20"/>
          <w:rtl/>
        </w:rPr>
        <w:t xml:space="preserve"> ע״ב, האי </w:t>
      </w:r>
      <w:proofErr w:type="spellStart"/>
      <w:r>
        <w:rPr>
          <w:sz w:val="20"/>
          <w:szCs w:val="20"/>
          <w:rtl/>
        </w:rPr>
        <w:t>דמחדדנא</w:t>
      </w:r>
      <w:proofErr w:type="spellEnd"/>
      <w:r>
        <w:rPr>
          <w:sz w:val="20"/>
          <w:szCs w:val="20"/>
          <w:rtl/>
        </w:rPr>
        <w:t xml:space="preserve"> </w:t>
      </w:r>
      <w:proofErr w:type="spellStart"/>
      <w:r>
        <w:rPr>
          <w:sz w:val="20"/>
          <w:szCs w:val="20"/>
          <w:rtl/>
        </w:rPr>
        <w:t>וכו</w:t>
      </w:r>
      <w:proofErr w:type="spellEnd"/>
      <w:r>
        <w:rPr>
          <w:sz w:val="20"/>
          <w:szCs w:val="20"/>
          <w:rtl/>
        </w:rPr>
        <w:t>׳.</w:t>
      </w:r>
    </w:p>
  </w:footnote>
  <w:footnote w:id="2908">
    <w:p w14:paraId="67F0BAA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עיין עירובין </w:t>
      </w:r>
      <w:proofErr w:type="spellStart"/>
      <w:r>
        <w:rPr>
          <w:sz w:val="20"/>
          <w:szCs w:val="20"/>
          <w:rtl/>
        </w:rPr>
        <w:t>יג</w:t>
      </w:r>
      <w:proofErr w:type="spellEnd"/>
      <w:r>
        <w:rPr>
          <w:sz w:val="20"/>
          <w:szCs w:val="20"/>
          <w:rtl/>
        </w:rPr>
        <w:t xml:space="preserve"> ע״ב, האי </w:t>
      </w:r>
      <w:proofErr w:type="spellStart"/>
      <w:r>
        <w:rPr>
          <w:sz w:val="20"/>
          <w:szCs w:val="20"/>
          <w:rtl/>
        </w:rPr>
        <w:t>דמחדדנא</w:t>
      </w:r>
      <w:proofErr w:type="spellEnd"/>
      <w:r>
        <w:rPr>
          <w:sz w:val="20"/>
          <w:szCs w:val="20"/>
          <w:rtl/>
        </w:rPr>
        <w:t xml:space="preserve"> </w:t>
      </w:r>
      <w:proofErr w:type="spellStart"/>
      <w:r>
        <w:rPr>
          <w:sz w:val="20"/>
          <w:szCs w:val="20"/>
          <w:rtl/>
        </w:rPr>
        <w:t>וכו</w:t>
      </w:r>
      <w:proofErr w:type="spellEnd"/>
      <w:r>
        <w:rPr>
          <w:sz w:val="20"/>
          <w:szCs w:val="20"/>
          <w:rtl/>
        </w:rPr>
        <w:t>׳.</w:t>
      </w:r>
    </w:p>
  </w:footnote>
  <w:footnote w:id="2909">
    <w:p w14:paraId="1936517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נמסר בריאיון עם ר׳ יצחק פרמן, 17 בנובמבר 1987.</w:t>
      </w:r>
    </w:p>
  </w:footnote>
  <w:footnote w:id="2910">
    <w:p w14:paraId="53E1360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הפסקה הראשונה בנספח </w:t>
      </w:r>
      <w:proofErr w:type="spellStart"/>
      <w:r>
        <w:rPr>
          <w:sz w:val="20"/>
          <w:szCs w:val="20"/>
          <w:rtl/>
        </w:rPr>
        <w:t>יח</w:t>
      </w:r>
      <w:proofErr w:type="spellEnd"/>
      <w:r>
        <w:rPr>
          <w:sz w:val="20"/>
          <w:szCs w:val="20"/>
          <w:rtl/>
        </w:rPr>
        <w:t>, הערה 135 והפסקה השנייה בהערה 137 בפרק זה.</w:t>
      </w:r>
    </w:p>
  </w:footnote>
  <w:footnote w:id="2911">
    <w:p w14:paraId="01E2699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הערה 18 לעיל – עמ׳ </w:t>
      </w:r>
      <w:proofErr w:type="spellStart"/>
      <w:r>
        <w:rPr>
          <w:sz w:val="20"/>
          <w:szCs w:val="20"/>
          <w:rtl/>
        </w:rPr>
        <w:t>יז</w:t>
      </w:r>
      <w:proofErr w:type="spellEnd"/>
      <w:r>
        <w:rPr>
          <w:sz w:val="20"/>
          <w:szCs w:val="20"/>
          <w:rtl/>
        </w:rPr>
        <w:t>–</w:t>
      </w:r>
      <w:proofErr w:type="spellStart"/>
      <w:r>
        <w:rPr>
          <w:sz w:val="20"/>
          <w:szCs w:val="20"/>
          <w:rtl/>
        </w:rPr>
        <w:t>יח</w:t>
      </w:r>
      <w:proofErr w:type="spellEnd"/>
      <w:r>
        <w:rPr>
          <w:sz w:val="20"/>
          <w:szCs w:val="20"/>
          <w:rtl/>
        </w:rPr>
        <w:t>.</w:t>
      </w:r>
    </w:p>
  </w:footnote>
  <w:footnote w:id="2912">
    <w:p w14:paraId="65F8639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ב־13 באפריל 1998.</w:t>
      </w:r>
    </w:p>
  </w:footnote>
  <w:footnote w:id="2913">
    <w:p w14:paraId="0510C2F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חתנו ר׳ דוד אפן – ראה נספח </w:t>
      </w:r>
      <w:proofErr w:type="spellStart"/>
      <w:r>
        <w:rPr>
          <w:sz w:val="20"/>
          <w:szCs w:val="20"/>
          <w:rtl/>
        </w:rPr>
        <w:t>כט</w:t>
      </w:r>
      <w:proofErr w:type="spellEnd"/>
      <w:r>
        <w:rPr>
          <w:sz w:val="20"/>
          <w:szCs w:val="20"/>
          <w:rtl/>
        </w:rPr>
        <w:t xml:space="preserve"> לעיל.</w:t>
      </w:r>
    </w:p>
  </w:footnote>
  <w:footnote w:id="2914">
    <w:p w14:paraId="6F144FE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יט</w:t>
      </w:r>
      <w:proofErr w:type="spellEnd"/>
      <w:r>
        <w:rPr>
          <w:sz w:val="20"/>
          <w:szCs w:val="20"/>
          <w:rtl/>
        </w:rPr>
        <w:t>.</w:t>
      </w:r>
    </w:p>
  </w:footnote>
  <w:footnote w:id="2915">
    <w:p w14:paraId="794B1AE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שם, עמ׳ </w:t>
      </w:r>
      <w:proofErr w:type="spellStart"/>
      <w:r>
        <w:rPr>
          <w:sz w:val="20"/>
          <w:szCs w:val="20"/>
          <w:rtl/>
        </w:rPr>
        <w:t>כו</w:t>
      </w:r>
      <w:proofErr w:type="spellEnd"/>
      <w:r>
        <w:rPr>
          <w:sz w:val="20"/>
          <w:szCs w:val="20"/>
          <w:rtl/>
        </w:rPr>
        <w:t>.</w:t>
      </w:r>
    </w:p>
  </w:footnote>
  <w:footnote w:id="2916">
    <w:p w14:paraId="5153E7A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יד.</w:t>
      </w:r>
    </w:p>
  </w:footnote>
  <w:footnote w:id="2917">
    <w:p w14:paraId="1AEB0CD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ט לעיל – עמ׳ נב במספור העמודים השני.</w:t>
      </w:r>
    </w:p>
  </w:footnote>
  <w:footnote w:id="2918">
    <w:p w14:paraId="46589B2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כמוזכר בסוף הפסקה הראשונה בנספח </w:t>
      </w:r>
      <w:proofErr w:type="spellStart"/>
      <w:r>
        <w:rPr>
          <w:sz w:val="20"/>
          <w:szCs w:val="20"/>
          <w:rtl/>
        </w:rPr>
        <w:t>יח</w:t>
      </w:r>
      <w:proofErr w:type="spellEnd"/>
      <w:r>
        <w:rPr>
          <w:sz w:val="20"/>
          <w:szCs w:val="20"/>
          <w:rtl/>
        </w:rPr>
        <w:t xml:space="preserve"> לעיל.</w:t>
      </w:r>
    </w:p>
  </w:footnote>
  <w:footnote w:id="2919">
    <w:p w14:paraId="5044009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הדבר מבואר בספרו של </w:t>
      </w:r>
      <w:proofErr w:type="spellStart"/>
      <w:r>
        <w:rPr>
          <w:sz w:val="20"/>
          <w:szCs w:val="20"/>
          <w:rtl/>
        </w:rPr>
        <w:t>ידעאל</w:t>
      </w:r>
      <w:proofErr w:type="spellEnd"/>
      <w:r>
        <w:rPr>
          <w:sz w:val="20"/>
          <w:szCs w:val="20"/>
          <w:rtl/>
        </w:rPr>
        <w:t xml:space="preserve"> מלצר, “בדרך עץ החיים” (הערה 6 לעיל), בראש עמ׳ 186.</w:t>
      </w:r>
    </w:p>
  </w:footnote>
  <w:footnote w:id="2920">
    <w:p w14:paraId="5BD7F5F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ל לעיל.</w:t>
      </w:r>
    </w:p>
  </w:footnote>
  <w:footnote w:id="2921">
    <w:p w14:paraId="07035B9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ב־13 בנובמבר 1991.</w:t>
      </w:r>
    </w:p>
  </w:footnote>
  <w:footnote w:id="2922">
    <w:p w14:paraId="26DDBA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3.</w:t>
      </w:r>
    </w:p>
  </w:footnote>
  <w:footnote w:id="2923">
    <w:p w14:paraId="23530EA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יא לעיל – עמ׳ 210.</w:t>
      </w:r>
    </w:p>
  </w:footnote>
  <w:footnote w:id="2924">
    <w:p w14:paraId="4465020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פרק 5, הפסקה התשיעית בנספח ו, שבה מובאים דברי יעקב מארק (עמ׳ 42) ודברי בנו של ר׳ חיים, ר׳ יצחק־זאב.</w:t>
      </w:r>
    </w:p>
  </w:footnote>
  <w:footnote w:id="2925">
    <w:p w14:paraId="720B30E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להלן מה ייתכן שהיה הדבר.</w:t>
      </w:r>
    </w:p>
  </w:footnote>
  <w:footnote w:id="2926">
    <w:p w14:paraId="325F61B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“המועדים בהלכה”, מאת שלמה יוסף </w:t>
      </w:r>
      <w:proofErr w:type="spellStart"/>
      <w:r>
        <w:rPr>
          <w:sz w:val="20"/>
          <w:szCs w:val="20"/>
          <w:rtl/>
        </w:rPr>
        <w:t>זוין</w:t>
      </w:r>
      <w:proofErr w:type="spellEnd"/>
      <w:r>
        <w:rPr>
          <w:sz w:val="20"/>
          <w:szCs w:val="20"/>
          <w:rtl/>
        </w:rPr>
        <w:t xml:space="preserve"> (הוצאת ספרים אברהם ציוני, תל אביב, תשכ״ג), עמ׳ קנח; ומכתב מאת ר׳ יחזקאל </w:t>
      </w:r>
      <w:proofErr w:type="spellStart"/>
      <w:r>
        <w:rPr>
          <w:sz w:val="20"/>
          <w:szCs w:val="20"/>
          <w:rtl/>
        </w:rPr>
        <w:t>אברמסקי</w:t>
      </w:r>
      <w:proofErr w:type="spellEnd"/>
      <w:r>
        <w:rPr>
          <w:sz w:val="20"/>
          <w:szCs w:val="20"/>
          <w:rtl/>
        </w:rPr>
        <w:t xml:space="preserve"> המובא בחלק “הערות והשגות” שבכתב העת התורני “יגדיל תורה” (הנזכר לעיל בנספח </w:t>
      </w:r>
      <w:proofErr w:type="spellStart"/>
      <w:r>
        <w:rPr>
          <w:sz w:val="20"/>
          <w:szCs w:val="20"/>
          <w:rtl/>
        </w:rPr>
        <w:t>יז</w:t>
      </w:r>
      <w:proofErr w:type="spellEnd"/>
      <w:r>
        <w:rPr>
          <w:sz w:val="20"/>
          <w:szCs w:val="20"/>
          <w:rtl/>
        </w:rPr>
        <w:t xml:space="preserve">), שנה שנייה, קונטרס </w:t>
      </w:r>
      <w:proofErr w:type="spellStart"/>
      <w:r>
        <w:rPr>
          <w:sz w:val="20"/>
          <w:szCs w:val="20"/>
          <w:rtl/>
        </w:rPr>
        <w:t>יג</w:t>
      </w:r>
      <w:proofErr w:type="spellEnd"/>
      <w:r>
        <w:rPr>
          <w:sz w:val="20"/>
          <w:szCs w:val="20"/>
          <w:rtl/>
        </w:rPr>
        <w:t xml:space="preserve">. הקונטרס יצא בחיי ר׳ חיים, כשלוש שנים אחרי שהעלה ר׳ מנדל שוק את </w:t>
      </w:r>
      <w:proofErr w:type="spellStart"/>
      <w:r>
        <w:rPr>
          <w:sz w:val="20"/>
          <w:szCs w:val="20"/>
          <w:rtl/>
        </w:rPr>
        <w:t>הוורט</w:t>
      </w:r>
      <w:proofErr w:type="spellEnd"/>
      <w:r>
        <w:rPr>
          <w:sz w:val="20"/>
          <w:szCs w:val="20"/>
          <w:rtl/>
        </w:rPr>
        <w:t xml:space="preserve"> הזה בנסיעה ברכבת – לפי החישוב בפרק 2, הערה 106, של תקופת לימודיו של הרב </w:t>
      </w:r>
      <w:proofErr w:type="spellStart"/>
      <w:r>
        <w:rPr>
          <w:sz w:val="20"/>
          <w:szCs w:val="20"/>
          <w:rtl/>
        </w:rPr>
        <w:t>גרוזובסקי</w:t>
      </w:r>
      <w:proofErr w:type="spellEnd"/>
      <w:r>
        <w:rPr>
          <w:sz w:val="20"/>
          <w:szCs w:val="20"/>
          <w:rtl/>
        </w:rPr>
        <w:t xml:space="preserve"> </w:t>
      </w:r>
      <w:proofErr w:type="spellStart"/>
      <w:r>
        <w:rPr>
          <w:sz w:val="20"/>
          <w:szCs w:val="20"/>
          <w:rtl/>
        </w:rPr>
        <w:t>במיר</w:t>
      </w:r>
      <w:proofErr w:type="spellEnd"/>
      <w:r>
        <w:rPr>
          <w:sz w:val="20"/>
          <w:szCs w:val="20"/>
          <w:rtl/>
        </w:rPr>
        <w:t>.</w:t>
      </w:r>
    </w:p>
    <w:p w14:paraId="103456AA" w14:textId="77777777" w:rsidR="00AB3647" w:rsidRDefault="00000000">
      <w:pPr>
        <w:spacing w:after="0" w:before="0"/>
        <w:jc w:val="both"/>
      </w:pPr>
      <w:r>
        <w:rPr>
          <w:sz w:val="20"/>
          <w:szCs w:val="20"/>
          <w:rtl/>
        </w:rPr>
        <w:t xml:space="preserve">יש להניח שר׳ חיים עצמו ראה לבסוף את מכתבו של ר׳ יחזקאל </w:t>
      </w:r>
      <w:proofErr w:type="spellStart"/>
      <w:r>
        <w:rPr>
          <w:sz w:val="20"/>
          <w:szCs w:val="20"/>
          <w:rtl/>
        </w:rPr>
        <w:t>אברמסקי</w:t>
      </w:r>
      <w:proofErr w:type="spellEnd"/>
      <w:r>
        <w:rPr>
          <w:sz w:val="20"/>
          <w:szCs w:val="20"/>
          <w:rtl/>
        </w:rPr>
        <w:t xml:space="preserve"> </w:t>
      </w:r>
      <w:proofErr w:type="spellStart"/>
      <w:r>
        <w:rPr>
          <w:sz w:val="20"/>
          <w:szCs w:val="20"/>
          <w:rtl/>
        </w:rPr>
        <w:t>ב“יגדיל</w:t>
      </w:r>
      <w:proofErr w:type="spellEnd"/>
      <w:r>
        <w:rPr>
          <w:sz w:val="20"/>
          <w:szCs w:val="20"/>
          <w:rtl/>
        </w:rPr>
        <w:t xml:space="preserve"> תורה”, שכן בעמ׳ 83 של “פנקס </w:t>
      </w:r>
      <w:proofErr w:type="spellStart"/>
      <w:r>
        <w:rPr>
          <w:sz w:val="20"/>
          <w:szCs w:val="20"/>
          <w:rtl/>
        </w:rPr>
        <w:t>סלוצק</w:t>
      </w:r>
      <w:proofErr w:type="spellEnd"/>
      <w:r>
        <w:rPr>
          <w:sz w:val="20"/>
          <w:szCs w:val="20"/>
          <w:rtl/>
        </w:rPr>
        <w:t xml:space="preserve">” (נספח טו לעיל) כותב הרב ניסן וקסמן, במאמר שכותרתו “אכסניה של תורה”: “כששהה הגאון ר׳ </w:t>
      </w:r>
      <w:proofErr w:type="spellStart"/>
      <w:r>
        <w:rPr>
          <w:sz w:val="20"/>
          <w:szCs w:val="20"/>
          <w:rtl/>
        </w:rPr>
        <w:t>ברוך־בר</w:t>
      </w:r>
      <w:proofErr w:type="spellEnd"/>
      <w:r>
        <w:rPr>
          <w:sz w:val="20"/>
          <w:szCs w:val="20"/>
          <w:rtl/>
        </w:rPr>
        <w:t xml:space="preserve"> בשנת תרפ״ט באמריקה וביקר בביתו של הרב </w:t>
      </w:r>
      <w:proofErr w:type="spellStart"/>
      <w:r>
        <w:rPr>
          <w:sz w:val="20"/>
          <w:szCs w:val="20"/>
          <w:rtl/>
        </w:rPr>
        <w:t>טומשוב</w:t>
      </w:r>
      <w:proofErr w:type="spellEnd"/>
      <w:r>
        <w:rPr>
          <w:sz w:val="20"/>
          <w:szCs w:val="20"/>
          <w:rtl/>
        </w:rPr>
        <w:t xml:space="preserve"> נתקל מבטו במאסף ‘יגדיל תורה’, שעמד מכורך בחדר הספרים שלו, פתחו ועיין בו בהערצה ובחיבה. אחרי כן פנה אל הרב ט. ואמר: היודע כבודו למה אני מסתכל בו, מפני שגם רבי – הגאון ר׳ חיים </w:t>
      </w:r>
      <w:proofErr w:type="spellStart"/>
      <w:r>
        <w:rPr>
          <w:sz w:val="20"/>
          <w:szCs w:val="20"/>
          <w:rtl/>
        </w:rPr>
        <w:t xml:space="preserve">סולובייצ׳יק</w:t>
      </w:r>
      <w:proofErr w:type="spellEnd"/>
      <w:r>
        <w:rPr>
          <w:sz w:val="20"/>
          <w:szCs w:val="20"/>
          <w:rtl/>
        </w:rPr>
        <w:t xml:space="preserve"> – היה מעיין בו ומחבבו.”</w:t>
      </w:r>
    </w:p>
  </w:footnote>
  <w:footnote w:id="2927">
    <w:p w14:paraId="42ED7F8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את ראשית מאמרו של הרב מנחם </w:t>
      </w:r>
      <w:proofErr w:type="spellStart"/>
      <w:r>
        <w:rPr>
          <w:sz w:val="20"/>
          <w:szCs w:val="20"/>
          <w:rtl/>
        </w:rPr>
        <w:t>מענדל</w:t>
      </w:r>
      <w:proofErr w:type="spellEnd"/>
      <w:r>
        <w:rPr>
          <w:sz w:val="20"/>
          <w:szCs w:val="20"/>
          <w:rtl/>
        </w:rPr>
        <w:t xml:space="preserve"> שוק, “אכילה או טעימה קודם תקיעת שופר”, </w:t>
      </w:r>
      <w:proofErr w:type="spellStart"/>
      <w:r>
        <w:rPr>
          <w:sz w:val="20"/>
          <w:szCs w:val="20"/>
          <w:rtl/>
        </w:rPr>
        <w:t>ב“מוריה</w:t>
      </w:r>
      <w:proofErr w:type="spellEnd"/>
      <w:r>
        <w:rPr>
          <w:sz w:val="20"/>
          <w:szCs w:val="20"/>
          <w:rtl/>
        </w:rPr>
        <w:t xml:space="preserve">” (אלול תש״ל / תשרי תשל״א; יוצא לאור על ידי תנועה להפצת תורה, ירושלים), עמ׳ נח. שם מזכיר ר׳ מנדל שוק פרטים אחדים מהנהגתו של ר׳ </w:t>
      </w:r>
      <w:proofErr w:type="spellStart"/>
      <w:r>
        <w:rPr>
          <w:sz w:val="20"/>
          <w:szCs w:val="20"/>
          <w:rtl/>
        </w:rPr>
        <w:t>איצל׳ה</w:t>
      </w:r>
      <w:proofErr w:type="spellEnd"/>
      <w:r>
        <w:rPr>
          <w:sz w:val="20"/>
          <w:szCs w:val="20"/>
          <w:rtl/>
        </w:rPr>
        <w:t xml:space="preserve"> </w:t>
      </w:r>
      <w:proofErr w:type="spellStart"/>
      <w:r>
        <w:rPr>
          <w:sz w:val="20"/>
          <w:szCs w:val="20"/>
          <w:rtl/>
        </w:rPr>
        <w:t>בלאזר</w:t>
      </w:r>
      <w:proofErr w:type="spellEnd"/>
      <w:r>
        <w:rPr>
          <w:sz w:val="20"/>
          <w:szCs w:val="20"/>
          <w:rtl/>
        </w:rPr>
        <w:t xml:space="preserve"> </w:t>
      </w:r>
      <w:proofErr w:type="spellStart"/>
      <w:r>
        <w:rPr>
          <w:sz w:val="20"/>
          <w:szCs w:val="20"/>
          <w:rtl/>
        </w:rPr>
        <w:t>בסלבודקה</w:t>
      </w:r>
      <w:proofErr w:type="spellEnd"/>
      <w:r>
        <w:rPr>
          <w:sz w:val="20"/>
          <w:szCs w:val="20"/>
          <w:rtl/>
        </w:rPr>
        <w:t>, שזכר מילדותו שם.</w:t>
      </w:r>
    </w:p>
  </w:footnote>
  <w:footnote w:id="2928">
    <w:p w14:paraId="2C42AB6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בלי מקום ושנת דפוס.</w:t>
      </w:r>
    </w:p>
  </w:footnote>
  <w:footnote w:id="2929">
    <w:p w14:paraId="14B7235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9 באוגוסט 1936.</w:t>
      </w:r>
    </w:p>
  </w:footnote>
  <w:footnote w:id="2930">
    <w:p w14:paraId="50D41AB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ב־22 בינואר 1998.</w:t>
      </w:r>
    </w:p>
  </w:footnote>
  <w:footnote w:id="2931">
    <w:p w14:paraId="7411FBA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נראה שהרב </w:t>
      </w:r>
      <w:proofErr w:type="spellStart"/>
      <w:r>
        <w:rPr>
          <w:sz w:val="20"/>
          <w:szCs w:val="20"/>
          <w:rtl/>
        </w:rPr>
        <w:t>סילבר</w:t>
      </w:r>
      <w:proofErr w:type="spellEnd"/>
      <w:r>
        <w:rPr>
          <w:sz w:val="20"/>
          <w:szCs w:val="20"/>
          <w:rtl/>
        </w:rPr>
        <w:t xml:space="preserve"> שמע זאת מן העילוי </w:t>
      </w:r>
      <w:proofErr w:type="spellStart"/>
      <w:r>
        <w:rPr>
          <w:sz w:val="20"/>
          <w:szCs w:val="20"/>
          <w:rtl/>
        </w:rPr>
        <w:t>ממייצ׳ט</w:t>
      </w:r>
      <w:proofErr w:type="spellEnd"/>
      <w:r>
        <w:rPr>
          <w:sz w:val="20"/>
          <w:szCs w:val="20"/>
          <w:rtl/>
        </w:rPr>
        <w:t xml:space="preserve"> כשלמדו יחד אצל ר׳ </w:t>
      </w:r>
      <w:proofErr w:type="spellStart"/>
      <w:r>
        <w:rPr>
          <w:sz w:val="20"/>
          <w:szCs w:val="20"/>
          <w:rtl/>
        </w:rPr>
        <w:t>חיים־עוזר</w:t>
      </w:r>
      <w:proofErr w:type="spellEnd"/>
      <w:r>
        <w:rPr>
          <w:sz w:val="20"/>
          <w:szCs w:val="20"/>
          <w:rtl/>
        </w:rPr>
        <w:t xml:space="preserve"> </w:t>
      </w:r>
      <w:proofErr w:type="spellStart"/>
      <w:r>
        <w:rPr>
          <w:sz w:val="20"/>
          <w:szCs w:val="20"/>
          <w:rtl/>
        </w:rPr>
        <w:t>גרודזנסקי</w:t>
      </w:r>
      <w:proofErr w:type="spellEnd"/>
      <w:r>
        <w:rPr>
          <w:sz w:val="20"/>
          <w:szCs w:val="20"/>
          <w:rtl/>
        </w:rPr>
        <w:t xml:space="preserve"> – ראה “תקופת </w:t>
      </w:r>
      <w:proofErr w:type="spellStart"/>
      <w:r>
        <w:rPr>
          <w:sz w:val="20"/>
          <w:szCs w:val="20"/>
          <w:rtl/>
        </w:rPr>
        <w:t>סילבר</w:t>
      </w:r>
      <w:proofErr w:type="spellEnd"/>
      <w:r>
        <w:rPr>
          <w:sz w:val="20"/>
          <w:szCs w:val="20"/>
          <w:rtl/>
        </w:rPr>
        <w:t xml:space="preserve">” מאת אהרן </w:t>
      </w:r>
      <w:proofErr w:type="spellStart"/>
      <w:r>
        <w:rPr>
          <w:sz w:val="20"/>
          <w:szCs w:val="20"/>
          <w:rtl/>
        </w:rPr>
        <w:t>רקפת־רוטקוף</w:t>
      </w:r>
      <w:proofErr w:type="spellEnd"/>
      <w:r>
        <w:rPr>
          <w:sz w:val="20"/>
          <w:szCs w:val="20"/>
          <w:rtl/>
        </w:rPr>
        <w:t xml:space="preserve"> (הוצאת ישיבה </w:t>
      </w:r>
      <w:proofErr w:type="spellStart"/>
      <w:r>
        <w:rPr>
          <w:sz w:val="20"/>
          <w:szCs w:val="20"/>
          <w:rtl/>
        </w:rPr>
        <w:t>יוניברסיטי</w:t>
      </w:r>
      <w:proofErr w:type="spellEnd"/>
      <w:r>
        <w:rPr>
          <w:sz w:val="20"/>
          <w:szCs w:val="20"/>
          <w:rtl/>
        </w:rPr>
        <w:t xml:space="preserve"> והוצאת </w:t>
      </w:r>
      <w:proofErr w:type="spellStart"/>
      <w:r>
        <w:rPr>
          <w:sz w:val="20"/>
          <w:szCs w:val="20"/>
          <w:rtl/>
        </w:rPr>
        <w:t>פלדהיים</w:t>
      </w:r>
      <w:proofErr w:type="spellEnd"/>
      <w:r>
        <w:rPr>
          <w:sz w:val="20"/>
          <w:szCs w:val="20"/>
          <w:rtl/>
        </w:rPr>
        <w:t xml:space="preserve">, ירושלים / ניו יורק, תשמ״א), עמ׳ 50. אבל </w:t>
      </w:r>
      <w:proofErr w:type="spellStart"/>
      <w:r>
        <w:rPr>
          <w:sz w:val="20"/>
          <w:szCs w:val="20"/>
          <w:rtl/>
        </w:rPr>
        <w:t>רקפת־רוטקוף</w:t>
      </w:r>
      <w:proofErr w:type="spellEnd"/>
      <w:r>
        <w:rPr>
          <w:sz w:val="20"/>
          <w:szCs w:val="20"/>
          <w:rtl/>
        </w:rPr>
        <w:t xml:space="preserve"> טועה כשהוא מספר שהרב </w:t>
      </w:r>
      <w:proofErr w:type="spellStart"/>
      <w:r>
        <w:rPr>
          <w:sz w:val="20"/>
          <w:szCs w:val="20"/>
          <w:rtl/>
        </w:rPr>
        <w:t>סילבר</w:t>
      </w:r>
      <w:proofErr w:type="spellEnd"/>
      <w:r>
        <w:rPr>
          <w:sz w:val="20"/>
          <w:szCs w:val="20"/>
          <w:rtl/>
        </w:rPr>
        <w:t xml:space="preserve"> עזב את הכולל של ר׳ </w:t>
      </w:r>
      <w:proofErr w:type="spellStart"/>
      <w:r>
        <w:rPr>
          <w:sz w:val="20"/>
          <w:szCs w:val="20"/>
          <w:rtl/>
        </w:rPr>
        <w:t>חיים־עוזר</w:t>
      </w:r>
      <w:proofErr w:type="spellEnd"/>
      <w:r>
        <w:rPr>
          <w:sz w:val="20"/>
          <w:szCs w:val="20"/>
          <w:rtl/>
        </w:rPr>
        <w:t xml:space="preserve"> </w:t>
      </w:r>
      <w:proofErr w:type="spellStart"/>
      <w:r>
        <w:rPr>
          <w:sz w:val="20"/>
          <w:szCs w:val="20"/>
          <w:rtl/>
        </w:rPr>
        <w:t>לבריסק</w:t>
      </w:r>
      <w:proofErr w:type="spellEnd"/>
      <w:r>
        <w:rPr>
          <w:sz w:val="20"/>
          <w:szCs w:val="20"/>
          <w:rtl/>
        </w:rPr>
        <w:t xml:space="preserve">, מצויד במכתב המלצה מר׳ </w:t>
      </w:r>
      <w:proofErr w:type="spellStart"/>
      <w:r>
        <w:rPr>
          <w:sz w:val="20"/>
          <w:szCs w:val="20"/>
          <w:rtl/>
        </w:rPr>
        <w:t>חיים־עוזר</w:t>
      </w:r>
      <w:proofErr w:type="spellEnd"/>
      <w:r>
        <w:rPr>
          <w:sz w:val="20"/>
          <w:szCs w:val="20"/>
          <w:rtl/>
        </w:rPr>
        <w:t xml:space="preserve"> </w:t>
      </w:r>
      <w:proofErr w:type="spellStart"/>
      <w:r>
        <w:rPr>
          <w:sz w:val="20"/>
          <w:szCs w:val="20"/>
          <w:rtl/>
        </w:rPr>
        <w:t>גרודזנסקי</w:t>
      </w:r>
      <w:proofErr w:type="spellEnd"/>
      <w:r>
        <w:rPr>
          <w:sz w:val="20"/>
          <w:szCs w:val="20"/>
          <w:rtl/>
        </w:rPr>
        <w:t xml:space="preserve">, “יחד עם חברו הקרוב ביותר, שלמה </w:t>
      </w:r>
      <w:proofErr w:type="spellStart"/>
      <w:r>
        <w:rPr>
          <w:sz w:val="20"/>
          <w:szCs w:val="20"/>
          <w:rtl/>
        </w:rPr>
        <w:t>פוליצ׳ק</w:t>
      </w:r>
      <w:proofErr w:type="spellEnd"/>
      <w:r>
        <w:rPr>
          <w:sz w:val="20"/>
          <w:szCs w:val="20"/>
          <w:rtl/>
        </w:rPr>
        <w:t xml:space="preserve">”. ר׳ שלמה </w:t>
      </w:r>
      <w:proofErr w:type="spellStart"/>
      <w:r>
        <w:rPr>
          <w:sz w:val="20"/>
          <w:szCs w:val="20"/>
          <w:rtl/>
        </w:rPr>
        <w:t>פוליצ׳ק</w:t>
      </w:r>
      <w:proofErr w:type="spellEnd"/>
      <w:r>
        <w:rPr>
          <w:sz w:val="20"/>
          <w:szCs w:val="20"/>
          <w:rtl/>
        </w:rPr>
        <w:t xml:space="preserve"> עזב את </w:t>
      </w:r>
      <w:proofErr w:type="spellStart"/>
      <w:r>
        <w:rPr>
          <w:sz w:val="20"/>
          <w:szCs w:val="20"/>
          <w:rtl/>
        </w:rPr>
        <w:t>בריסק</w:t>
      </w:r>
      <w:proofErr w:type="spellEnd"/>
      <w:r>
        <w:rPr>
          <w:sz w:val="20"/>
          <w:szCs w:val="20"/>
          <w:rtl/>
        </w:rPr>
        <w:t xml:space="preserve"> </w:t>
      </w:r>
      <w:proofErr w:type="spellStart"/>
      <w:r>
        <w:rPr>
          <w:sz w:val="20"/>
          <w:szCs w:val="20"/>
          <w:rtl/>
        </w:rPr>
        <w:t>בתרנ״ו</w:t>
      </w:r>
      <w:proofErr w:type="spellEnd"/>
      <w:r>
        <w:rPr>
          <w:sz w:val="20"/>
          <w:szCs w:val="20"/>
          <w:rtl/>
        </w:rPr>
        <w:t xml:space="preserve">, לפני שהצטרף לכולל של ר׳ </w:t>
      </w:r>
      <w:proofErr w:type="spellStart"/>
      <w:r>
        <w:rPr>
          <w:sz w:val="20"/>
          <w:szCs w:val="20"/>
          <w:rtl/>
        </w:rPr>
        <w:t>חיים־עוזר</w:t>
      </w:r>
      <w:proofErr w:type="spellEnd"/>
      <w:r>
        <w:rPr>
          <w:sz w:val="20"/>
          <w:szCs w:val="20"/>
          <w:rtl/>
        </w:rPr>
        <w:t xml:space="preserve">, כשהרב </w:t>
      </w:r>
      <w:proofErr w:type="spellStart"/>
      <w:r>
        <w:rPr>
          <w:sz w:val="20"/>
          <w:szCs w:val="20"/>
          <w:rtl/>
        </w:rPr>
        <w:t>סילבר</w:t>
      </w:r>
      <w:proofErr w:type="spellEnd"/>
      <w:r>
        <w:rPr>
          <w:sz w:val="20"/>
          <w:szCs w:val="20"/>
          <w:rtl/>
        </w:rPr>
        <w:t xml:space="preserve"> היה בן </w:t>
      </w:r>
      <w:proofErr w:type="spellStart"/>
      <w:r>
        <w:rPr>
          <w:sz w:val="20"/>
          <w:szCs w:val="20"/>
          <w:rtl/>
        </w:rPr>
        <w:t>חמש־עשרה</w:t>
      </w:r>
      <w:proofErr w:type="spellEnd"/>
      <w:r>
        <w:rPr>
          <w:sz w:val="20"/>
          <w:szCs w:val="20"/>
          <w:rtl/>
        </w:rPr>
        <w:t xml:space="preserve"> בלבד! הרב </w:t>
      </w:r>
      <w:proofErr w:type="spellStart"/>
      <w:r>
        <w:rPr>
          <w:sz w:val="20"/>
          <w:szCs w:val="20"/>
          <w:rtl/>
        </w:rPr>
        <w:t>סילבר</w:t>
      </w:r>
      <w:proofErr w:type="spellEnd"/>
      <w:r>
        <w:rPr>
          <w:sz w:val="20"/>
          <w:szCs w:val="20"/>
          <w:rtl/>
        </w:rPr>
        <w:t xml:space="preserve"> נסע מן הכולל של ר׳ </w:t>
      </w:r>
      <w:proofErr w:type="spellStart"/>
      <w:r>
        <w:rPr>
          <w:sz w:val="20"/>
          <w:szCs w:val="20"/>
          <w:rtl/>
        </w:rPr>
        <w:t>חיים־עוזר</w:t>
      </w:r>
      <w:proofErr w:type="spellEnd"/>
      <w:r>
        <w:rPr>
          <w:sz w:val="20"/>
          <w:szCs w:val="20"/>
          <w:rtl/>
        </w:rPr>
        <w:t xml:space="preserve"> אל ר׳ חיים </w:t>
      </w:r>
      <w:proofErr w:type="spellStart"/>
      <w:r>
        <w:rPr>
          <w:sz w:val="20"/>
          <w:szCs w:val="20"/>
          <w:rtl/>
        </w:rPr>
        <w:t>סולובייצ׳יק</w:t>
      </w:r>
      <w:proofErr w:type="spellEnd"/>
      <w:r>
        <w:rPr>
          <w:sz w:val="20"/>
          <w:szCs w:val="20"/>
          <w:rtl/>
        </w:rPr>
        <w:t xml:space="preserve"> לבדו, </w:t>
      </w:r>
      <w:proofErr w:type="spellStart"/>
      <w:r>
        <w:rPr>
          <w:sz w:val="20"/>
          <w:szCs w:val="20"/>
          <w:rtl/>
        </w:rPr>
        <w:t>בתר״ס</w:t>
      </w:r>
      <w:proofErr w:type="spellEnd"/>
      <w:r>
        <w:rPr>
          <w:sz w:val="20"/>
          <w:szCs w:val="20"/>
          <w:rtl/>
        </w:rPr>
        <w:t>, על פי האמור שם, עמ׳ 49, או מאוחר יותר.</w:t>
      </w:r>
    </w:p>
  </w:footnote>
  <w:footnote w:id="2932">
    <w:p w14:paraId="70F11F3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ב־9 באוגוסט 1992.</w:t>
      </w:r>
    </w:p>
  </w:footnote>
  <w:footnote w:id="2933">
    <w:p w14:paraId="6D46AB0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2, נספח ו, שר׳ ראובן היה מאזין נלהב לשיעוריו של ר׳ </w:t>
      </w:r>
      <w:proofErr w:type="spellStart"/>
      <w:r>
        <w:rPr>
          <w:sz w:val="20"/>
          <w:szCs w:val="20"/>
          <w:rtl/>
        </w:rPr>
        <w:t>ברוך־בער</w:t>
      </w:r>
      <w:proofErr w:type="spellEnd"/>
      <w:r>
        <w:rPr>
          <w:sz w:val="20"/>
          <w:szCs w:val="20"/>
          <w:rtl/>
        </w:rPr>
        <w:t xml:space="preserve"> בכנסת בית יצחק </w:t>
      </w:r>
      <w:proofErr w:type="spellStart"/>
      <w:r>
        <w:rPr>
          <w:sz w:val="20"/>
          <w:szCs w:val="20"/>
          <w:rtl/>
        </w:rPr>
        <w:t>בסלבודקה</w:t>
      </w:r>
      <w:proofErr w:type="spellEnd"/>
      <w:r>
        <w:rPr>
          <w:sz w:val="20"/>
          <w:szCs w:val="20"/>
          <w:rtl/>
        </w:rPr>
        <w:t xml:space="preserve">, בעודו תלמיד בישיבת </w:t>
      </w:r>
      <w:proofErr w:type="spellStart"/>
      <w:r>
        <w:rPr>
          <w:sz w:val="20"/>
          <w:szCs w:val="20"/>
          <w:rtl/>
        </w:rPr>
        <w:t>סלבודקה</w:t>
      </w:r>
      <w:proofErr w:type="spellEnd"/>
      <w:r>
        <w:rPr>
          <w:sz w:val="20"/>
          <w:szCs w:val="20"/>
          <w:rtl/>
        </w:rPr>
        <w:t xml:space="preserve"> האחרת, כנסת ישראל.</w:t>
      </w:r>
    </w:p>
  </w:footnote>
  <w:footnote w:id="2934">
    <w:p w14:paraId="4B1C6B6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הרעיון הפשוט שמסר ר׳ מנדל שוק </w:t>
      </w:r>
      <w:proofErr w:type="spellStart"/>
      <w:r>
        <w:rPr>
          <w:sz w:val="20"/>
          <w:szCs w:val="20"/>
          <w:rtl/>
        </w:rPr>
        <w:t>לר</w:t>
      </w:r>
      <w:proofErr w:type="spellEnd"/>
      <w:r>
        <w:rPr>
          <w:sz w:val="20"/>
          <w:szCs w:val="20"/>
          <w:rtl/>
        </w:rPr>
        <w:t xml:space="preserve">׳ </w:t>
      </w:r>
      <w:proofErr w:type="spellStart"/>
      <w:r>
        <w:rPr>
          <w:sz w:val="20"/>
          <w:szCs w:val="20"/>
          <w:rtl/>
        </w:rPr>
        <w:t>ברוך־בער</w:t>
      </w:r>
      <w:proofErr w:type="spellEnd"/>
      <w:r>
        <w:rPr>
          <w:sz w:val="20"/>
          <w:szCs w:val="20"/>
          <w:rtl/>
        </w:rPr>
        <w:t xml:space="preserve"> לא יכול היה הלה להחיל את ההסבר הזה, ונשאר בתמיהתו מדוע התנער ממנו ר׳ חיים.</w:t>
      </w:r>
    </w:p>
  </w:footnote>
  <w:footnote w:id="2935">
    <w:p w14:paraId="1C52623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יצא לאור בידי ידידיה הלוי פרנקל, ירושלים – עמ׳ 16.</w:t>
      </w:r>
    </w:p>
  </w:footnote>
  <w:footnote w:id="2936">
    <w:p w14:paraId="1F8E5F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18 לעיל – עמ׳ פא.</w:t>
      </w:r>
    </w:p>
  </w:footnote>
  <w:footnote w:id="2937">
    <w:p w14:paraId="33FD049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ב־25 במרס 1996.</w:t>
      </w:r>
    </w:p>
  </w:footnote>
  <w:footnote w:id="2938">
    <w:p w14:paraId="0CA5467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דיווחה אחייניתו של ר׳ ראובן, דבורה אפשטיין – השווה פרק 2, הערה 86.</w:t>
      </w:r>
    </w:p>
  </w:footnote>
  <w:footnote w:id="2939">
    <w:p w14:paraId="3B8DB6A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w:t>
      </w:r>
      <w:proofErr w:type="spellStart"/>
      <w:r>
        <w:rPr>
          <w:sz w:val="20"/>
          <w:szCs w:val="20"/>
          <w:rtl/>
        </w:rPr>
        <w:t>יט</w:t>
      </w:r>
      <w:proofErr w:type="spellEnd"/>
      <w:r>
        <w:rPr>
          <w:sz w:val="20"/>
          <w:szCs w:val="20"/>
          <w:rtl/>
        </w:rPr>
        <w:t xml:space="preserve"> לעיל.</w:t>
      </w:r>
    </w:p>
  </w:footnote>
  <w:footnote w:id="2940">
    <w:p w14:paraId="46A5C41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פרק 5, הפסקה השנייה בנספח ב (עמ׳ </w:t>
      </w:r>
      <w:r>
        <w:rPr>
          <w:rStyle w:val="a5"/>
          <w:sz w:val="20"/>
          <w:szCs w:val="20"/>
          <w:vertAlign w:val="baseline"/>
          <w:rtl/>
        </w:rPr>
        <w:fldChar w:fldCharType="begin" w:dirty="true"/>
      </w:r>
      <w:r>
        <w:rPr>
          <w:rStyle w:val="a5"/>
          <w:sz w:val="20"/>
          <w:szCs w:val="20"/>
          <w:vertAlign w:val="baseline"/>
          <w:rtl/>
        </w:rPr>
        <w:instrText xml:space="preserve"> PAGEREF pr_b_2644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w:t>
      </w:r>
    </w:p>
  </w:footnote>
  <w:footnote w:id="2941">
    <w:p w14:paraId="75951C9F"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“שחלק מכבודו </w:t>
      </w:r>
      <w:proofErr w:type="spellStart"/>
      <w:r>
        <w:rPr>
          <w:sz w:val="20"/>
          <w:szCs w:val="20"/>
          <w:rtl/>
        </w:rPr>
        <w:t>ליראיו</w:t>
      </w:r>
      <w:proofErr w:type="spellEnd"/>
      <w:r>
        <w:rPr>
          <w:sz w:val="20"/>
          <w:szCs w:val="20"/>
          <w:rtl/>
        </w:rPr>
        <w:t xml:space="preserve">” הוא נוסח הברכה על מלכי ישראל (ברכות נח ע״א). על חכמי ישראל מברכים “שחלק </w:t>
      </w:r>
      <w:proofErr w:type="spellStart"/>
      <w:r>
        <w:rPr>
          <w:sz w:val="20"/>
          <w:szCs w:val="20"/>
          <w:rtl/>
        </w:rPr>
        <w:t>מחכמתו</w:t>
      </w:r>
      <w:proofErr w:type="spellEnd"/>
      <w:r>
        <w:rPr>
          <w:sz w:val="20"/>
          <w:szCs w:val="20"/>
          <w:rtl/>
        </w:rPr>
        <w:t xml:space="preserve"> </w:t>
      </w:r>
      <w:proofErr w:type="spellStart"/>
      <w:r>
        <w:rPr>
          <w:sz w:val="20"/>
          <w:szCs w:val="20"/>
          <w:rtl/>
        </w:rPr>
        <w:t>ליראיו</w:t>
      </w:r>
      <w:proofErr w:type="spellEnd"/>
      <w:r>
        <w:rPr>
          <w:sz w:val="20"/>
          <w:szCs w:val="20"/>
          <w:rtl/>
        </w:rPr>
        <w:t xml:space="preserve">”, וכך מובאת ברכתו של ר׳ </w:t>
      </w:r>
      <w:proofErr w:type="spellStart"/>
      <w:r>
        <w:rPr>
          <w:sz w:val="20"/>
          <w:szCs w:val="20"/>
          <w:rtl/>
        </w:rPr>
        <w:t>ברוך־בער</w:t>
      </w:r>
      <w:proofErr w:type="spellEnd"/>
      <w:r>
        <w:rPr>
          <w:sz w:val="20"/>
          <w:szCs w:val="20"/>
          <w:rtl/>
        </w:rPr>
        <w:t xml:space="preserve"> להלן, בתיאור ביקורו של ר׳ </w:t>
      </w:r>
      <w:proofErr w:type="spellStart"/>
      <w:r>
        <w:rPr>
          <w:sz w:val="20"/>
          <w:szCs w:val="20"/>
          <w:rtl/>
        </w:rPr>
        <w:t>דוד׳ל</w:t>
      </w:r>
      <w:proofErr w:type="spellEnd"/>
      <w:r>
        <w:rPr>
          <w:sz w:val="20"/>
          <w:szCs w:val="20"/>
          <w:rtl/>
        </w:rPr>
        <w:t xml:space="preserve"> בקובנה.</w:t>
      </w:r>
    </w:p>
  </w:footnote>
  <w:footnote w:id="2942">
    <w:p w14:paraId="60609DD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 הפסקה השלישית מסוף סעיף 2 והערה 140 שם.</w:t>
      </w:r>
    </w:p>
  </w:footnote>
  <w:footnote w:id="2943">
    <w:p w14:paraId="3778DCF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ב־5 במרץ 1998.</w:t>
      </w:r>
    </w:p>
  </w:footnote>
  <w:footnote w:id="2944">
    <w:p w14:paraId="32C11B9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אין בכך סתירה למה שסיפרה לי ב־19 במאי 2001 נכדת הסבא, מרים גולדשמידט. היא גרה </w:t>
      </w:r>
      <w:proofErr w:type="spellStart"/>
      <w:r>
        <w:rPr>
          <w:sz w:val="20"/>
          <w:szCs w:val="20"/>
          <w:rtl/>
        </w:rPr>
        <w:t>בדווינסק</w:t>
      </w:r>
      <w:proofErr w:type="spellEnd"/>
      <w:r>
        <w:rPr>
          <w:sz w:val="20"/>
          <w:szCs w:val="20"/>
          <w:rtl/>
        </w:rPr>
        <w:t xml:space="preserve">, שבה היה אביה רב, בשנותיו האחרונות של </w:t>
      </w:r>
      <w:proofErr w:type="spellStart"/>
      <w:r>
        <w:rPr>
          <w:sz w:val="20"/>
          <w:szCs w:val="20"/>
          <w:rtl/>
        </w:rPr>
        <w:t>הרוגצ׳ובר</w:t>
      </w:r>
      <w:proofErr w:type="spellEnd"/>
      <w:r>
        <w:rPr>
          <w:sz w:val="20"/>
          <w:szCs w:val="20"/>
          <w:rtl/>
        </w:rPr>
        <w:t xml:space="preserve">, וזכרה שנודע בעיר </w:t>
      </w:r>
      <w:proofErr w:type="spellStart"/>
      <w:r>
        <w:rPr>
          <w:sz w:val="20"/>
          <w:szCs w:val="20"/>
          <w:rtl/>
        </w:rPr>
        <w:t>כ“חכם</w:t>
      </w:r>
      <w:proofErr w:type="spellEnd"/>
      <w:r>
        <w:rPr>
          <w:sz w:val="20"/>
          <w:szCs w:val="20"/>
          <w:rtl/>
        </w:rPr>
        <w:t xml:space="preserve"> ולץ”. כוונתה הייתה לערמומיותו, ולא להבנתו הצלולה במחשבות בני אדם. היא סיפרה שפעם התדיינה אישה יהודייה עם כמה גויים לפני </w:t>
      </w:r>
      <w:proofErr w:type="spellStart"/>
      <w:r>
        <w:rPr>
          <w:sz w:val="20"/>
          <w:szCs w:val="20"/>
          <w:rtl/>
        </w:rPr>
        <w:t>הרוגצ׳ובר</w:t>
      </w:r>
      <w:proofErr w:type="spellEnd"/>
      <w:r>
        <w:rPr>
          <w:sz w:val="20"/>
          <w:szCs w:val="20"/>
          <w:rtl/>
        </w:rPr>
        <w:t xml:space="preserve">, והוא הבין שהאישה משקרת ומנסה לרמות את יריביה. בעוד בעלי הדין משוחחים עמו ברוסית, אמר לה ביידיש: “את סבורה כגמרא </w:t>
      </w:r>
      <w:proofErr w:type="spellStart"/>
      <w:r>
        <w:rPr>
          <w:sz w:val="20"/>
          <w:szCs w:val="20"/>
          <w:rtl/>
        </w:rPr>
        <w:t>ש‘גזל</w:t>
      </w:r>
      <w:proofErr w:type="spellEnd"/>
      <w:r>
        <w:rPr>
          <w:sz w:val="20"/>
          <w:szCs w:val="20"/>
          <w:rtl/>
        </w:rPr>
        <w:t xml:space="preserve"> עכו״ם מותר’?” היא סברה </w:t>
      </w:r>
      <w:proofErr w:type="spellStart"/>
      <w:r>
        <w:rPr>
          <w:sz w:val="20"/>
          <w:szCs w:val="20"/>
          <w:rtl/>
        </w:rPr>
        <w:t>שהרוגצ׳ובר</w:t>
      </w:r>
      <w:proofErr w:type="spellEnd"/>
      <w:r>
        <w:rPr>
          <w:sz w:val="20"/>
          <w:szCs w:val="20"/>
          <w:rtl/>
        </w:rPr>
        <w:t xml:space="preserve"> יפסוק לטובתה בשל אותה גמרא, והשיבה בחיוב. אז אמר: “ובכן, ההלכה היא </w:t>
      </w:r>
      <w:proofErr w:type="spellStart"/>
      <w:r>
        <w:rPr>
          <w:sz w:val="20"/>
          <w:szCs w:val="20"/>
          <w:rtl/>
        </w:rPr>
        <w:t>ש‘גזל</w:t>
      </w:r>
      <w:proofErr w:type="spellEnd"/>
      <w:r>
        <w:rPr>
          <w:sz w:val="20"/>
          <w:szCs w:val="20"/>
          <w:rtl/>
        </w:rPr>
        <w:t xml:space="preserve"> עכו״ם אסור’”, וסיים ברוסית: “שלמי להם!”</w:t>
      </w:r>
    </w:p>
  </w:footnote>
  <w:footnote w:id="2945">
    <w:p w14:paraId="354C240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“שמושה של תורה” (נספח ח לעיל), ראש עמ׳ </w:t>
      </w:r>
      <w:proofErr w:type="spellStart"/>
      <w:r>
        <w:rPr>
          <w:sz w:val="20"/>
          <w:szCs w:val="20"/>
          <w:rtl/>
        </w:rPr>
        <w:t>רכח</w:t>
      </w:r>
      <w:proofErr w:type="spellEnd"/>
      <w:r>
        <w:rPr>
          <w:sz w:val="20"/>
          <w:szCs w:val="20"/>
          <w:rtl/>
        </w:rPr>
        <w:t xml:space="preserve">, ואת המעשה המופלא שסיפר ר׳ חיים </w:t>
      </w:r>
      <w:proofErr w:type="spellStart"/>
      <w:r>
        <w:rPr>
          <w:sz w:val="20"/>
          <w:szCs w:val="20"/>
          <w:rtl/>
        </w:rPr>
        <w:t>קרייזווירט</w:t>
      </w:r>
      <w:proofErr w:type="spellEnd"/>
      <w:r>
        <w:rPr>
          <w:sz w:val="20"/>
          <w:szCs w:val="20"/>
          <w:rtl/>
        </w:rPr>
        <w:t xml:space="preserve">, המובא </w:t>
      </w:r>
      <w:proofErr w:type="spellStart"/>
      <w:r>
        <w:rPr>
          <w:sz w:val="20"/>
          <w:szCs w:val="20"/>
          <w:rtl/>
        </w:rPr>
        <w:t>ב“תורת</w:t>
      </w:r>
      <w:proofErr w:type="spellEnd"/>
      <w:r>
        <w:rPr>
          <w:sz w:val="20"/>
          <w:szCs w:val="20"/>
          <w:rtl/>
        </w:rPr>
        <w:t xml:space="preserve"> חיים” (נספח ט לעיל) בהערת השוליים בעמ׳ פה שבעימוד השני: הלקח שלמד ר׳ </w:t>
      </w:r>
      <w:proofErr w:type="spellStart"/>
      <w:r>
        <w:rPr>
          <w:sz w:val="20"/>
          <w:szCs w:val="20"/>
          <w:rtl/>
        </w:rPr>
        <w:t>חיים־עוזר</w:t>
      </w:r>
      <w:proofErr w:type="spellEnd"/>
      <w:r>
        <w:rPr>
          <w:sz w:val="20"/>
          <w:szCs w:val="20"/>
          <w:rtl/>
        </w:rPr>
        <w:t xml:space="preserve"> מר׳ </w:t>
      </w:r>
      <w:proofErr w:type="spellStart"/>
      <w:r>
        <w:rPr>
          <w:sz w:val="20"/>
          <w:szCs w:val="20"/>
          <w:rtl/>
        </w:rPr>
        <w:t>אליהו־חיים</w:t>
      </w:r>
      <w:proofErr w:type="spellEnd"/>
      <w:r>
        <w:rPr>
          <w:sz w:val="20"/>
          <w:szCs w:val="20"/>
          <w:rtl/>
        </w:rPr>
        <w:t xml:space="preserve"> </w:t>
      </w:r>
      <w:proofErr w:type="spellStart"/>
      <w:r>
        <w:rPr>
          <w:sz w:val="20"/>
          <w:szCs w:val="20"/>
          <w:rtl/>
        </w:rPr>
        <w:t>מייזל</w:t>
      </w:r>
      <w:proofErr w:type="spellEnd"/>
      <w:r>
        <w:rPr>
          <w:sz w:val="20"/>
          <w:szCs w:val="20"/>
          <w:rtl/>
        </w:rPr>
        <w:t xml:space="preserve">, כשבא אליו לקבל הסכמה לספר שתכנן להוציא לאור. את עיקר המעשה סיפר גם ר׳ </w:t>
      </w:r>
      <w:proofErr w:type="spellStart"/>
      <w:r>
        <w:rPr>
          <w:sz w:val="20"/>
          <w:szCs w:val="20"/>
          <w:rtl/>
        </w:rPr>
        <w:t>חזקיה־יוסף</w:t>
      </w:r>
      <w:proofErr w:type="spellEnd"/>
      <w:r>
        <w:rPr>
          <w:sz w:val="20"/>
          <w:szCs w:val="20"/>
          <w:rtl/>
        </w:rPr>
        <w:t xml:space="preserve"> מישקובסקי </w:t>
      </w:r>
      <w:proofErr w:type="spellStart"/>
      <w:r>
        <w:rPr>
          <w:sz w:val="20"/>
          <w:szCs w:val="20"/>
          <w:rtl/>
        </w:rPr>
        <w:t>לר</w:t>
      </w:r>
      <w:proofErr w:type="spellEnd"/>
      <w:r>
        <w:rPr>
          <w:sz w:val="20"/>
          <w:szCs w:val="20"/>
          <w:rtl/>
        </w:rPr>
        <w:t xml:space="preserve">׳ משה </w:t>
      </w:r>
      <w:proofErr w:type="spellStart"/>
      <w:r>
        <w:rPr>
          <w:sz w:val="20"/>
          <w:szCs w:val="20"/>
          <w:rtl/>
        </w:rPr>
        <w:t>שטרנבוך</w:t>
      </w:r>
      <w:proofErr w:type="spellEnd"/>
      <w:r>
        <w:rPr>
          <w:sz w:val="20"/>
          <w:szCs w:val="20"/>
          <w:rtl/>
        </w:rPr>
        <w:t xml:space="preserve">, כפי ששמע מר׳ </w:t>
      </w:r>
      <w:proofErr w:type="spellStart"/>
      <w:r>
        <w:rPr>
          <w:sz w:val="20"/>
          <w:szCs w:val="20"/>
          <w:rtl/>
        </w:rPr>
        <w:t>חיים־עוזר</w:t>
      </w:r>
      <w:proofErr w:type="spellEnd"/>
      <w:r>
        <w:rPr>
          <w:sz w:val="20"/>
          <w:szCs w:val="20"/>
          <w:rtl/>
        </w:rPr>
        <w:t xml:space="preserve"> </w:t>
      </w:r>
      <w:proofErr w:type="spellStart"/>
      <w:r>
        <w:rPr>
          <w:sz w:val="20"/>
          <w:szCs w:val="20"/>
          <w:rtl/>
        </w:rPr>
        <w:t>גרודזנסקי</w:t>
      </w:r>
      <w:proofErr w:type="spellEnd"/>
      <w:r>
        <w:rPr>
          <w:sz w:val="20"/>
          <w:szCs w:val="20"/>
          <w:rtl/>
        </w:rPr>
        <w:t xml:space="preserve">, ור׳ משה </w:t>
      </w:r>
      <w:proofErr w:type="spellStart"/>
      <w:r>
        <w:rPr>
          <w:sz w:val="20"/>
          <w:szCs w:val="20"/>
          <w:rtl/>
        </w:rPr>
        <w:t>שטרנבוך</w:t>
      </w:r>
      <w:proofErr w:type="spellEnd"/>
      <w:r>
        <w:rPr>
          <w:sz w:val="20"/>
          <w:szCs w:val="20"/>
          <w:rtl/>
        </w:rPr>
        <w:t xml:space="preserve"> רשם אותו בפירושו “טעם ודעת” (ללא מקום ושנת דפוס) על בראשית ה, א. הכרך הראשון של שו״ת וחידושי ר׳ </w:t>
      </w:r>
      <w:proofErr w:type="spellStart"/>
      <w:r>
        <w:rPr>
          <w:sz w:val="20"/>
          <w:szCs w:val="20"/>
          <w:rtl/>
        </w:rPr>
        <w:t>חיים־עוזר</w:t>
      </w:r>
      <w:proofErr w:type="spellEnd"/>
      <w:r>
        <w:rPr>
          <w:sz w:val="20"/>
          <w:szCs w:val="20"/>
          <w:rtl/>
        </w:rPr>
        <w:t xml:space="preserve">, “אחיעזר”, נדפס רק </w:t>
      </w:r>
      <w:proofErr w:type="spellStart"/>
      <w:r>
        <w:rPr>
          <w:sz w:val="20"/>
          <w:szCs w:val="20"/>
          <w:rtl/>
        </w:rPr>
        <w:t>בתרפ״ב</w:t>
      </w:r>
      <w:proofErr w:type="spellEnd"/>
      <w:r>
        <w:rPr>
          <w:sz w:val="20"/>
          <w:szCs w:val="20"/>
          <w:rtl/>
        </w:rPr>
        <w:t xml:space="preserve">, עשר שנים אחרי פטירת הרב </w:t>
      </w:r>
      <w:proofErr w:type="spellStart"/>
      <w:r>
        <w:rPr>
          <w:sz w:val="20"/>
          <w:szCs w:val="20"/>
          <w:rtl/>
        </w:rPr>
        <w:t>מייזל</w:t>
      </w:r>
      <w:proofErr w:type="spellEnd"/>
      <w:r>
        <w:rPr>
          <w:sz w:val="20"/>
          <w:szCs w:val="20"/>
          <w:rtl/>
        </w:rPr>
        <w:t>.</w:t>
      </w:r>
    </w:p>
    <w:p w14:paraId="450E2463" w14:textId="77777777" w:rsidR="00AB3647" w:rsidRDefault="00000000">
      <w:pPr>
        <w:spacing w:after="0" w:before="0"/>
        <w:jc w:val="both"/>
      </w:pPr>
      <w:r>
        <w:rPr>
          <w:sz w:val="20"/>
          <w:szCs w:val="20"/>
          <w:rtl/>
        </w:rPr>
        <w:t xml:space="preserve">הנקודה במקורות אלה היא מסקנתו של ר׳ </w:t>
      </w:r>
      <w:proofErr w:type="spellStart"/>
      <w:r>
        <w:rPr>
          <w:sz w:val="20"/>
          <w:szCs w:val="20"/>
          <w:rtl/>
        </w:rPr>
        <w:t>חיים־עוזר</w:t>
      </w:r>
      <w:proofErr w:type="spellEnd"/>
      <w:r>
        <w:rPr>
          <w:sz w:val="20"/>
          <w:szCs w:val="20"/>
          <w:rtl/>
        </w:rPr>
        <w:t xml:space="preserve"> </w:t>
      </w:r>
      <w:proofErr w:type="spellStart"/>
      <w:r>
        <w:rPr>
          <w:sz w:val="20"/>
          <w:szCs w:val="20"/>
          <w:rtl/>
        </w:rPr>
        <w:t>גרודזנסקי</w:t>
      </w:r>
      <w:proofErr w:type="spellEnd"/>
      <w:r>
        <w:rPr>
          <w:sz w:val="20"/>
          <w:szCs w:val="20"/>
          <w:rtl/>
        </w:rPr>
        <w:t xml:space="preserve"> בשנותיו האחרונות, שעזרה לאלמנה, לאישה נזקקת או ליתום חשובה יותר מכתיבת ספר חידושי תורה. בתקופה מוקדמת יותר – למשל בשעת דין התורה המתואר, כלומר לפני מלחמת העולם הראשונה, כשר׳ </w:t>
      </w:r>
      <w:proofErr w:type="spellStart"/>
      <w:r>
        <w:rPr>
          <w:sz w:val="20"/>
          <w:szCs w:val="20"/>
          <w:rtl/>
        </w:rPr>
        <w:t>דוד׳ל</w:t>
      </w:r>
      <w:proofErr w:type="spellEnd"/>
      <w:r>
        <w:rPr>
          <w:sz w:val="20"/>
          <w:szCs w:val="20"/>
          <w:rtl/>
        </w:rPr>
        <w:t xml:space="preserve"> פרידמן היה עדיין בחיים – עדיין לא השתכנע ר׳ </w:t>
      </w:r>
      <w:proofErr w:type="spellStart"/>
      <w:r>
        <w:rPr>
          <w:sz w:val="20"/>
          <w:szCs w:val="20"/>
          <w:rtl/>
        </w:rPr>
        <w:t>חיים־עוזר</w:t>
      </w:r>
      <w:proofErr w:type="spellEnd"/>
      <w:r>
        <w:rPr>
          <w:sz w:val="20"/>
          <w:szCs w:val="20"/>
          <w:rtl/>
        </w:rPr>
        <w:t xml:space="preserve"> שהרב </w:t>
      </w:r>
      <w:proofErr w:type="spellStart"/>
      <w:r>
        <w:rPr>
          <w:sz w:val="20"/>
          <w:szCs w:val="20"/>
          <w:rtl/>
        </w:rPr>
        <w:t>מייזל</w:t>
      </w:r>
      <w:proofErr w:type="spellEnd"/>
      <w:r>
        <w:rPr>
          <w:sz w:val="20"/>
          <w:szCs w:val="20"/>
          <w:rtl/>
        </w:rPr>
        <w:t xml:space="preserve"> צודק כשייחס לעזרה לנזקקים חשיבות רבה יותר מאשר לעידוד הלמדנות, אבל כבר היה עסוק מאוד בפעילות צדקה.</w:t>
      </w:r>
    </w:p>
  </w:footnote>
  <w:footnote w:id="2946">
    <w:p w14:paraId="4A96C4A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ב־27 באוקטובר 2000.</w:t>
      </w:r>
    </w:p>
  </w:footnote>
  <w:footnote w:id="2947">
    <w:p w14:paraId="1502261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אף </w:t>
      </w:r>
      <w:proofErr w:type="spellStart"/>
      <w:r>
        <w:rPr>
          <w:sz w:val="20"/>
          <w:szCs w:val="20"/>
          <w:rtl/>
        </w:rPr>
        <w:t>ש“אור</w:t>
      </w:r>
      <w:proofErr w:type="spellEnd"/>
      <w:r>
        <w:rPr>
          <w:sz w:val="20"/>
          <w:szCs w:val="20"/>
          <w:rtl/>
        </w:rPr>
        <w:t xml:space="preserve"> שמח” יצא לאור זמן רב לפני “צפנת פענח”, היה כתב היד של </w:t>
      </w:r>
      <w:proofErr w:type="spellStart"/>
      <w:r>
        <w:rPr>
          <w:sz w:val="20"/>
          <w:szCs w:val="20"/>
          <w:rtl/>
        </w:rPr>
        <w:t>הרוגצ׳ובר</w:t>
      </w:r>
      <w:proofErr w:type="spellEnd"/>
      <w:r>
        <w:rPr>
          <w:sz w:val="20"/>
          <w:szCs w:val="20"/>
          <w:rtl/>
        </w:rPr>
        <w:t xml:space="preserve"> מוכן כבר בזמן המוקדם.</w:t>
      </w:r>
    </w:p>
  </w:footnote>
  <w:footnote w:id="2948">
    <w:p w14:paraId="0E7BEC6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ב־3 ביולי 1999.</w:t>
      </w:r>
    </w:p>
  </w:footnote>
  <w:footnote w:id="2949">
    <w:p w14:paraId="432970D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למד אצל בנו של ר׳ יצחק־זאב, ר׳ </w:t>
      </w:r>
      <w:proofErr w:type="spellStart"/>
      <w:r>
        <w:rPr>
          <w:sz w:val="20"/>
          <w:szCs w:val="20"/>
          <w:rtl/>
        </w:rPr>
        <w:t xml:space="preserve">יושע־בערל</w:t>
      </w:r>
      <w:proofErr w:type="spellEnd"/>
      <w:r>
        <w:rPr>
          <w:sz w:val="20"/>
          <w:szCs w:val="20"/>
          <w:rtl/>
        </w:rPr>
        <w:t xml:space="preserve"> </w:t>
      </w:r>
      <w:proofErr w:type="spellStart"/>
      <w:r>
        <w:rPr>
          <w:sz w:val="20"/>
          <w:szCs w:val="20"/>
          <w:rtl/>
        </w:rPr>
        <w:t>סולובייצ׳יק</w:t>
      </w:r>
      <w:proofErr w:type="spellEnd"/>
      <w:r>
        <w:rPr>
          <w:sz w:val="20"/>
          <w:szCs w:val="20"/>
          <w:rtl/>
        </w:rPr>
        <w:t>, וכנראה שמע זאת מפיו.</w:t>
      </w:r>
    </w:p>
  </w:footnote>
  <w:footnote w:id="2950">
    <w:p w14:paraId="27DB4CF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ראוי לקורא לעיין להלן ולראות כיצד התבטא רבנו על מעשה של זריקת כיסאות.</w:t>
      </w:r>
    </w:p>
  </w:footnote>
  <w:footnote w:id="2951">
    <w:p w14:paraId="232362B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ב־26 בספטמבר 1998.</w:t>
      </w:r>
    </w:p>
  </w:footnote>
  <w:footnote w:id="2952">
    <w:p w14:paraId="1F8DC91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נראה שאת השאלה שאל ר׳ </w:t>
      </w:r>
      <w:proofErr w:type="spellStart"/>
      <w:r>
        <w:rPr>
          <w:sz w:val="20"/>
          <w:szCs w:val="20"/>
          <w:rtl/>
        </w:rPr>
        <w:t>פייבל</w:t>
      </w:r>
      <w:proofErr w:type="spellEnd"/>
      <w:r>
        <w:rPr>
          <w:sz w:val="20"/>
          <w:szCs w:val="20"/>
          <w:rtl/>
        </w:rPr>
        <w:t xml:space="preserve"> </w:t>
      </w:r>
      <w:proofErr w:type="spellStart"/>
      <w:r>
        <w:rPr>
          <w:sz w:val="20"/>
          <w:szCs w:val="20"/>
          <w:rtl/>
        </w:rPr>
        <w:t>מנדלוביץ</w:t>
      </w:r>
      <w:proofErr w:type="spellEnd"/>
      <w:r>
        <w:rPr>
          <w:sz w:val="20"/>
          <w:szCs w:val="20"/>
          <w:rtl/>
        </w:rPr>
        <w:t xml:space="preserve"> מתורה ודעת בברוקלין. ראה “שלוחא </w:t>
      </w:r>
      <w:proofErr w:type="spellStart"/>
      <w:r>
        <w:rPr>
          <w:sz w:val="20"/>
          <w:szCs w:val="20"/>
          <w:rtl/>
        </w:rPr>
        <w:t>דרחמנא</w:t>
      </w:r>
      <w:proofErr w:type="spellEnd"/>
      <w:r>
        <w:rPr>
          <w:sz w:val="20"/>
          <w:szCs w:val="20"/>
          <w:rtl/>
        </w:rPr>
        <w:t xml:space="preserve">” מאת אהרן </w:t>
      </w:r>
      <w:proofErr w:type="spellStart"/>
      <w:r>
        <w:rPr>
          <w:sz w:val="20"/>
          <w:szCs w:val="20"/>
          <w:rtl/>
        </w:rPr>
        <w:t>סורסקי</w:t>
      </w:r>
      <w:proofErr w:type="spellEnd"/>
      <w:r>
        <w:rPr>
          <w:sz w:val="20"/>
          <w:szCs w:val="20"/>
          <w:rtl/>
        </w:rPr>
        <w:t xml:space="preserve"> (</w:t>
      </w:r>
      <w:proofErr w:type="spellStart"/>
      <w:r>
        <w:rPr>
          <w:sz w:val="20"/>
          <w:szCs w:val="20"/>
          <w:rtl/>
        </w:rPr>
        <w:t>פלדהיים</w:t>
      </w:r>
      <w:proofErr w:type="spellEnd"/>
      <w:r>
        <w:rPr>
          <w:sz w:val="20"/>
          <w:szCs w:val="20"/>
          <w:rtl/>
        </w:rPr>
        <w:t xml:space="preserve">, ירושלים / ניו יורק), עמ׳ 173: ר׳ </w:t>
      </w:r>
      <w:proofErr w:type="spellStart"/>
      <w:r>
        <w:rPr>
          <w:sz w:val="20"/>
          <w:szCs w:val="20"/>
          <w:rtl/>
        </w:rPr>
        <w:t>פייבל</w:t>
      </w:r>
      <w:proofErr w:type="spellEnd"/>
      <w:r>
        <w:rPr>
          <w:sz w:val="20"/>
          <w:szCs w:val="20"/>
          <w:rtl/>
        </w:rPr>
        <w:t xml:space="preserve"> שלח שאלה זו </w:t>
      </w:r>
      <w:proofErr w:type="spellStart"/>
      <w:r>
        <w:rPr>
          <w:sz w:val="20"/>
          <w:szCs w:val="20"/>
          <w:rtl/>
        </w:rPr>
        <w:t>לרוגצ׳ובר</w:t>
      </w:r>
      <w:proofErr w:type="spellEnd"/>
      <w:r>
        <w:rPr>
          <w:sz w:val="20"/>
          <w:szCs w:val="20"/>
          <w:rtl/>
        </w:rPr>
        <w:t xml:space="preserve"> ולגדולים נוספים. אבל מחברו טועה כשהוא אומר שם שהשאלה נשלחה “תיכף בתחילת יסוד </w:t>
      </w:r>
      <w:proofErr w:type="spellStart"/>
      <w:r>
        <w:rPr>
          <w:sz w:val="20"/>
          <w:szCs w:val="20"/>
          <w:rtl/>
        </w:rPr>
        <w:t>ה‘מתיבתא</w:t>
      </w:r>
      <w:proofErr w:type="spellEnd"/>
      <w:r>
        <w:rPr>
          <w:sz w:val="20"/>
          <w:szCs w:val="20"/>
          <w:rtl/>
        </w:rPr>
        <w:t xml:space="preserve">’”, שהיה לפי “שלוחא </w:t>
      </w:r>
      <w:proofErr w:type="spellStart"/>
      <w:r>
        <w:rPr>
          <w:sz w:val="20"/>
          <w:szCs w:val="20"/>
          <w:rtl/>
        </w:rPr>
        <w:t>דרחמנא</w:t>
      </w:r>
      <w:proofErr w:type="spellEnd"/>
      <w:r>
        <w:rPr>
          <w:sz w:val="20"/>
          <w:szCs w:val="20"/>
          <w:rtl/>
        </w:rPr>
        <w:t>”, עמ׳ 110, בתחילת תרפ״ז. היא נשלחה כמעט שמונה שנים לאחר מכן, זמן קצר לפני מסעם של הרבנים האמורים לאירופה.</w:t>
      </w:r>
    </w:p>
  </w:footnote>
  <w:footnote w:id="2953">
    <w:p w14:paraId="1D673D7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ב־5 בפברואר 2001 הוסיף המרואיין שכשיצא עם חברו מבית הקיץ של </w:t>
      </w:r>
      <w:proofErr w:type="spellStart"/>
      <w:r>
        <w:rPr>
          <w:sz w:val="20"/>
          <w:szCs w:val="20"/>
          <w:rtl/>
        </w:rPr>
        <w:t>הרוגצ׳ובר</w:t>
      </w:r>
      <w:proofErr w:type="spellEnd"/>
      <w:r>
        <w:rPr>
          <w:sz w:val="20"/>
          <w:szCs w:val="20"/>
          <w:rtl/>
        </w:rPr>
        <w:t xml:space="preserve">, שאל אותם הגאון – שנודע בזלזולו ברבנים אחרים (ראה הערת שוליים </w:t>
      </w:r>
      <w:r>
        <w:rPr>
          <w:sz w:val="20"/>
          <w:szCs w:val="20"/>
          <w:rtl/>
        </w:rPr>
        <w:fldChar w:fldCharType="begin" w:dirty="true"/>
      </w:r>
      <w:r>
        <w:rPr>
          <w:sz w:val="20"/>
          <w:szCs w:val="20"/>
          <w:rtl/>
        </w:rPr>
        <w:instrText xml:space="preserve"> NOTEREF pr_f_3220 \h </w:instrText>
      </w:r>
      <w:r>
        <w:rPr>
          <w:sz w:val="20"/>
          <w:szCs w:val="20"/>
          <w:rtl/>
        </w:rPr>
      </w:r>
      <w:r>
        <w:rPr>
          <w:sz w:val="20"/>
          <w:szCs w:val="20"/>
          <w:rtl/>
        </w:rPr>
        <w:fldChar w:fldCharType="separate"/>
      </w:r>
      <w:r w:rsidR="007923E9">
        <w:rPr>
          <w:sz w:val="20"/>
          <w:szCs w:val="20"/>
          <w:rtl/>
        </w:rPr>
        <w:t>297</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pr_f_3220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והערת שוליים </w:t>
      </w:r>
      <w:r>
        <w:rPr>
          <w:sz w:val="20"/>
          <w:szCs w:val="20"/>
          <w:rtl/>
        </w:rPr>
        <w:fldChar w:fldCharType="begin" w:dirty="true"/>
      </w:r>
      <w:r>
        <w:rPr>
          <w:sz w:val="20"/>
          <w:szCs w:val="20"/>
          <w:rtl/>
        </w:rPr>
        <w:instrText xml:space="preserve"> NOTEREF pr_f_2864 \h </w:instrText>
      </w:r>
      <w:r>
        <w:rPr>
          <w:sz w:val="20"/>
          <w:szCs w:val="20"/>
          <w:rtl/>
        </w:rPr>
      </w:r>
      <w:r>
        <w:rPr>
          <w:sz w:val="20"/>
          <w:szCs w:val="20"/>
          <w:rtl/>
        </w:rPr>
        <w:fldChar w:fldCharType="separate"/>
      </w:r>
      <w:r w:rsidR="007923E9">
        <w:rPr>
          <w:sz w:val="20"/>
          <w:szCs w:val="20"/>
          <w:rtl/>
        </w:rPr>
        <w:t>1911</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pr_f_2864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 לאן פניהם מועדות. כשהשיבו שאחרי שהייה קצרה באירופה ימשיכו לארץ ישראל, אמר: “למה לנסוע לשם? אין שם מי שיודע ללמוד.”</w:t>
      </w:r>
    </w:p>
  </w:footnote>
  <w:footnote w:id="2954">
    <w:p w14:paraId="1CAD98C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עח</w:t>
      </w:r>
      <w:proofErr w:type="spellEnd"/>
      <w:r>
        <w:rPr>
          <w:sz w:val="20"/>
          <w:szCs w:val="20"/>
          <w:rtl/>
        </w:rPr>
        <w:t>.</w:t>
      </w:r>
    </w:p>
  </w:footnote>
  <w:footnote w:id="2955">
    <w:p w14:paraId="4ACA097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ב־8 במרץ 1992.</w:t>
      </w:r>
    </w:p>
  </w:footnote>
  <w:footnote w:id="2956">
    <w:p w14:paraId="43DAF76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סוף הערה זו, שהרב </w:t>
      </w:r>
      <w:proofErr w:type="spellStart"/>
      <w:r>
        <w:rPr>
          <w:sz w:val="20"/>
          <w:szCs w:val="20"/>
          <w:rtl/>
        </w:rPr>
        <w:t>רוזין</w:t>
      </w:r>
      <w:proofErr w:type="spellEnd"/>
      <w:r>
        <w:rPr>
          <w:sz w:val="20"/>
          <w:szCs w:val="20"/>
          <w:rtl/>
        </w:rPr>
        <w:t xml:space="preserve"> היה ביקורתי הרבה יותר כלפי ר׳ יוסף־דב.</w:t>
      </w:r>
    </w:p>
  </w:footnote>
  <w:footnote w:id="2957">
    <w:p w14:paraId="4251C89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ההדגשה שלי, כדי להצביע על ההבדל בין האופן שבו סיפר אבי את המעשה לבין האופן שבו סיפרוהו אחרים; ראה </w:t>
      </w:r>
      <w:proofErr w:type="spellStart"/>
      <w:r>
        <w:rPr>
          <w:sz w:val="20"/>
          <w:szCs w:val="20"/>
          <w:rtl/>
        </w:rPr>
        <w:t>הערת־שוליים</w:t>
      </w:r>
      <w:proofErr w:type="spellEnd"/>
      <w:r>
        <w:rPr>
          <w:sz w:val="20"/>
          <w:szCs w:val="20"/>
          <w:rtl/>
        </w:rPr>
        <w:t xml:space="preserve"> </w:t>
      </w:r>
      <w:r>
        <w:rPr>
          <w:sz w:val="20"/>
          <w:szCs w:val="20"/>
          <w:rtl/>
        </w:rPr>
        <w:fldChar w:fldCharType="begin" w:dirty="true"/>
      </w:r>
      <w:r>
        <w:rPr>
          <w:sz w:val="20"/>
          <w:szCs w:val="20"/>
          <w:rtl/>
        </w:rPr>
        <w:instrText xml:space="preserve"> NOTEREF pr_f_2837 \h </w:instrText>
      </w:r>
      <w:r>
        <w:rPr>
          <w:sz w:val="20"/>
          <w:szCs w:val="20"/>
          <w:rtl/>
        </w:rPr>
      </w:r>
      <w:r>
        <w:rPr>
          <w:sz w:val="20"/>
          <w:szCs w:val="20"/>
          <w:rtl/>
        </w:rPr>
        <w:fldChar w:fldCharType="separate"/>
      </w:r>
      <w:r w:rsidR="007923E9">
        <w:rPr>
          <w:sz w:val="20"/>
          <w:szCs w:val="20"/>
          <w:rtl/>
        </w:rPr>
        <w:t>1884</w:t>
      </w:r>
      <w:r>
        <w:rPr>
          <w:sz w:val="20"/>
          <w:szCs w:val="20"/>
          <w:rtl/>
        </w:rPr>
        <w:fldChar w:fldCharType="end"/>
      </w:r>
      <w:r>
        <w:rPr>
          <w:sz w:val="20"/>
          <w:szCs w:val="20"/>
          <w:rtl/>
        </w:rPr>
        <w:t xml:space="preserve"> לעיל. השווה גם הערה 100 לעיל, על כך שתלמידי </w:t>
      </w:r>
      <w:proofErr w:type="spellStart"/>
      <w:r>
        <w:rPr>
          <w:sz w:val="20"/>
          <w:szCs w:val="20"/>
          <w:rtl/>
        </w:rPr>
        <w:t>סלבודקה</w:t>
      </w:r>
      <w:proofErr w:type="spellEnd"/>
      <w:r>
        <w:rPr>
          <w:sz w:val="20"/>
          <w:szCs w:val="20"/>
          <w:rtl/>
        </w:rPr>
        <w:t xml:space="preserve"> למדו “איך לדבר”, ועל זהירותו של אבי בדיבורו.</w:t>
      </w:r>
    </w:p>
  </w:footnote>
  <w:footnote w:id="2958">
    <w:p w14:paraId="568A109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ב־6 בפברואר 2001 סיפר ר׳ חיים </w:t>
      </w:r>
      <w:proofErr w:type="spellStart"/>
      <w:r>
        <w:rPr>
          <w:sz w:val="20"/>
          <w:szCs w:val="20"/>
          <w:rtl/>
        </w:rPr>
        <w:t>פסמן</w:t>
      </w:r>
      <w:proofErr w:type="spellEnd"/>
      <w:r>
        <w:rPr>
          <w:sz w:val="20"/>
          <w:szCs w:val="20"/>
          <w:rtl/>
        </w:rPr>
        <w:t xml:space="preserve"> </w:t>
      </w:r>
      <w:proofErr w:type="spellStart"/>
      <w:r>
        <w:rPr>
          <w:sz w:val="20"/>
          <w:szCs w:val="20"/>
          <w:rtl/>
        </w:rPr>
        <w:t>שבהיותו</w:t>
      </w:r>
      <w:proofErr w:type="spellEnd"/>
      <w:r>
        <w:rPr>
          <w:sz w:val="20"/>
          <w:szCs w:val="20"/>
          <w:rtl/>
        </w:rPr>
        <w:t xml:space="preserve"> תלמיד בבית התלמוד בברוקלין שמע מר׳ חיים ויסוקר שר׳ חיים </w:t>
      </w:r>
      <w:proofErr w:type="spellStart"/>
      <w:r>
        <w:rPr>
          <w:sz w:val="20"/>
          <w:szCs w:val="20"/>
          <w:rtl/>
        </w:rPr>
        <w:t>סולובייצ׳יק</w:t>
      </w:r>
      <w:proofErr w:type="spellEnd"/>
      <w:r>
        <w:rPr>
          <w:sz w:val="20"/>
          <w:szCs w:val="20"/>
          <w:rtl/>
        </w:rPr>
        <w:t xml:space="preserve"> שאל פעם את </w:t>
      </w:r>
      <w:proofErr w:type="spellStart"/>
      <w:r>
        <w:rPr>
          <w:sz w:val="20"/>
          <w:szCs w:val="20"/>
          <w:rtl/>
        </w:rPr>
        <w:t>הרוגצ׳ובר</w:t>
      </w:r>
      <w:proofErr w:type="spellEnd"/>
      <w:r>
        <w:rPr>
          <w:sz w:val="20"/>
          <w:szCs w:val="20"/>
          <w:rtl/>
        </w:rPr>
        <w:t xml:space="preserve"> שאלה, והלה ניסה לבנות תשובה בקישור למקורות תלמודיים שונים. אבל ר׳ חיים הוכיח בבירור שאף אחד מן המקורות אינו נוגע לשאלתו. כשהרים </w:t>
      </w:r>
      <w:proofErr w:type="spellStart"/>
      <w:r>
        <w:rPr>
          <w:sz w:val="20"/>
          <w:szCs w:val="20"/>
          <w:rtl/>
        </w:rPr>
        <w:t>הרוגצ׳ובר</w:t>
      </w:r>
      <w:proofErr w:type="spellEnd"/>
      <w:r>
        <w:rPr>
          <w:sz w:val="20"/>
          <w:szCs w:val="20"/>
          <w:rtl/>
        </w:rPr>
        <w:t xml:space="preserve"> לבסוף ידיים, הראה לו ר׳ חיים שהמקור מפורש בתוספות מסוים במסכת גיטין. כשהסכים </w:t>
      </w:r>
      <w:proofErr w:type="spellStart"/>
      <w:r>
        <w:rPr>
          <w:sz w:val="20"/>
          <w:szCs w:val="20"/>
          <w:rtl/>
        </w:rPr>
        <w:t>הרוגצ׳ובר</w:t>
      </w:r>
      <w:proofErr w:type="spellEnd"/>
      <w:r>
        <w:rPr>
          <w:sz w:val="20"/>
          <w:szCs w:val="20"/>
          <w:rtl/>
        </w:rPr>
        <w:t xml:space="preserve">, ביקש ממנו ר׳ חיים ברוח טובה שני דברים: “מעתה אל תדבר נגד אבי; ומעתה קרא לי לא ‘ר׳ חיים החריף’, אלא ‘ר׳ חיים הבקי’.”</w:t>
      </w:r>
    </w:p>
  </w:footnote>
  <w:footnote w:id="2959">
    <w:p w14:paraId="09AB5DB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ב־16 בנובמבר 1998.</w:t>
      </w:r>
    </w:p>
  </w:footnote>
  <w:footnote w:id="2960">
    <w:p w14:paraId="0E377F7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טו לעיל – עמ׳ 81.</w:t>
      </w:r>
    </w:p>
  </w:footnote>
  <w:footnote w:id="2961">
    <w:p w14:paraId="0222ACD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1, הפסקה השנייה בנספח ד.</w:t>
      </w:r>
    </w:p>
  </w:footnote>
  <w:footnote w:id="2962">
    <w:p w14:paraId="074E549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נספח ט לעיל – עמ׳ </w:t>
      </w:r>
      <w:proofErr w:type="spellStart"/>
      <w:r>
        <w:rPr>
          <w:sz w:val="20"/>
          <w:szCs w:val="20"/>
          <w:rtl/>
        </w:rPr>
        <w:t>רלח</w:t>
      </w:r>
      <w:proofErr w:type="spellEnd"/>
      <w:r>
        <w:rPr>
          <w:sz w:val="20"/>
          <w:szCs w:val="20"/>
          <w:rtl/>
        </w:rPr>
        <w:t>.</w:t>
      </w:r>
    </w:p>
  </w:footnote>
  <w:footnote w:id="2963">
    <w:p w14:paraId="630F97B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סוף הפסקה הראשונה בנספח ח לעיל.</w:t>
      </w:r>
    </w:p>
  </w:footnote>
  <w:footnote w:id="2964">
    <w:p w14:paraId="683D4D0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12 לעיל – עמ׳ 153.</w:t>
      </w:r>
    </w:p>
  </w:footnote>
  <w:footnote w:id="2965">
    <w:p w14:paraId="12C0B72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79 לעיל – עמ׳ 54.</w:t>
      </w:r>
    </w:p>
  </w:footnote>
  <w:footnote w:id="2966">
    <w:p w14:paraId="063EE9B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האמרה מבוססת על מה שמובא </w:t>
      </w:r>
      <w:proofErr w:type="spellStart"/>
      <w:r>
        <w:rPr>
          <w:sz w:val="20"/>
          <w:szCs w:val="20"/>
          <w:rtl/>
        </w:rPr>
        <w:t>ב“שפתי</w:t>
      </w:r>
      <w:proofErr w:type="spellEnd"/>
      <w:r>
        <w:rPr>
          <w:sz w:val="20"/>
          <w:szCs w:val="20"/>
          <w:rtl/>
        </w:rPr>
        <w:t xml:space="preserve"> חכמים” על רש״י (בראשית </w:t>
      </w:r>
      <w:proofErr w:type="spellStart"/>
      <w:r>
        <w:rPr>
          <w:sz w:val="20"/>
          <w:szCs w:val="20"/>
          <w:rtl/>
        </w:rPr>
        <w:t>מז:לא</w:t>
      </w:r>
      <w:proofErr w:type="spellEnd"/>
      <w:r>
        <w:rPr>
          <w:sz w:val="20"/>
          <w:szCs w:val="20"/>
          <w:rtl/>
        </w:rPr>
        <w:t>) שיש חודש בשנה שהשועל הוא מלך על החיות במקום האריה.</w:t>
      </w:r>
    </w:p>
  </w:footnote>
  <w:footnote w:id="2967">
    <w:p w14:paraId="36992B8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הערה 225.</w:t>
      </w:r>
    </w:p>
  </w:footnote>
  <w:footnote w:id="2968">
    <w:p w14:paraId="2D27EBA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“הרב” (הפסקה השלישית בנספח </w:t>
      </w:r>
      <w:proofErr w:type="spellStart"/>
      <w:r>
        <w:rPr>
          <w:sz w:val="20"/>
          <w:szCs w:val="20"/>
          <w:rtl/>
        </w:rPr>
        <w:t>כו</w:t>
      </w:r>
      <w:proofErr w:type="spellEnd"/>
      <w:r>
        <w:rPr>
          <w:sz w:val="20"/>
          <w:szCs w:val="20"/>
          <w:rtl/>
        </w:rPr>
        <w:t xml:space="preserve"> לעיל), כרך 1, עמ׳ 175, ממעיט שלא בצדק ממעלתו של ר׳ </w:t>
      </w:r>
      <w:proofErr w:type="spellStart"/>
      <w:r>
        <w:rPr>
          <w:sz w:val="20"/>
          <w:szCs w:val="20"/>
          <w:rtl/>
        </w:rPr>
        <w:t>מנדל׳ה</w:t>
      </w:r>
      <w:proofErr w:type="spellEnd"/>
      <w:r>
        <w:rPr>
          <w:sz w:val="20"/>
          <w:szCs w:val="20"/>
          <w:rtl/>
        </w:rPr>
        <w:t xml:space="preserve"> בתארו אותו </w:t>
      </w:r>
      <w:proofErr w:type="spellStart"/>
      <w:r>
        <w:rPr>
          <w:sz w:val="20"/>
          <w:szCs w:val="20"/>
          <w:rtl/>
        </w:rPr>
        <w:t>כ“מלמד</w:t>
      </w:r>
      <w:proofErr w:type="spellEnd"/>
      <w:r>
        <w:rPr>
          <w:sz w:val="20"/>
          <w:szCs w:val="20"/>
          <w:rtl/>
        </w:rPr>
        <w:t xml:space="preserve">” </w:t>
      </w:r>
      <w:proofErr w:type="spellStart"/>
      <w:r>
        <w:rPr>
          <w:sz w:val="20"/>
          <w:szCs w:val="20"/>
          <w:rtl/>
        </w:rPr>
        <w:t>בסלוצק</w:t>
      </w:r>
      <w:proofErr w:type="spellEnd"/>
      <w:r>
        <w:rPr>
          <w:sz w:val="20"/>
          <w:szCs w:val="20"/>
          <w:rtl/>
        </w:rPr>
        <w:t>.</w:t>
      </w:r>
    </w:p>
  </w:footnote>
  <w:footnote w:id="2969">
    <w:p w14:paraId="6F87568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ב־19 בנובמבר 2000.</w:t>
      </w:r>
    </w:p>
  </w:footnote>
  <w:footnote w:id="2970">
    <w:p w14:paraId="361061F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הרב סגל, שנולד בערך </w:t>
      </w:r>
      <w:proofErr w:type="spellStart"/>
      <w:r>
        <w:rPr>
          <w:sz w:val="20"/>
          <w:szCs w:val="20"/>
          <w:rtl/>
        </w:rPr>
        <w:t>בתרמ״ח</w:t>
      </w:r>
      <w:proofErr w:type="spellEnd"/>
      <w:r>
        <w:rPr>
          <w:sz w:val="20"/>
          <w:szCs w:val="20"/>
          <w:rtl/>
        </w:rPr>
        <w:t xml:space="preserve">, למד אצל ר׳ </w:t>
      </w:r>
      <w:proofErr w:type="spellStart"/>
      <w:r>
        <w:rPr>
          <w:sz w:val="20"/>
          <w:szCs w:val="20"/>
          <w:rtl/>
        </w:rPr>
        <w:t>ברוך־בער</w:t>
      </w:r>
      <w:proofErr w:type="spellEnd"/>
      <w:r>
        <w:rPr>
          <w:sz w:val="20"/>
          <w:szCs w:val="20"/>
          <w:rtl/>
        </w:rPr>
        <w:t xml:space="preserve">, ר׳ </w:t>
      </w:r>
      <w:proofErr w:type="spellStart"/>
      <w:r>
        <w:rPr>
          <w:sz w:val="20"/>
          <w:szCs w:val="20"/>
          <w:rtl/>
        </w:rPr>
        <w:t>זלמן־סנדר</w:t>
      </w:r>
      <w:proofErr w:type="spellEnd"/>
      <w:r>
        <w:rPr>
          <w:sz w:val="20"/>
          <w:szCs w:val="20"/>
          <w:rtl/>
        </w:rPr>
        <w:t xml:space="preserve"> </w:t>
      </w:r>
      <w:proofErr w:type="spellStart"/>
      <w:r>
        <w:rPr>
          <w:sz w:val="20"/>
          <w:szCs w:val="20"/>
          <w:rtl/>
        </w:rPr>
        <w:t>כהנא־שפירא</w:t>
      </w:r>
      <w:proofErr w:type="spellEnd"/>
      <w:r>
        <w:rPr>
          <w:sz w:val="20"/>
          <w:szCs w:val="20"/>
          <w:rtl/>
        </w:rPr>
        <w:t xml:space="preserve"> ור׳ </w:t>
      </w:r>
      <w:proofErr w:type="spellStart"/>
      <w:r>
        <w:rPr>
          <w:sz w:val="20"/>
          <w:szCs w:val="20"/>
          <w:rtl/>
        </w:rPr>
        <w:t>אליהו־ברוך</w:t>
      </w:r>
      <w:proofErr w:type="spellEnd"/>
      <w:r>
        <w:rPr>
          <w:sz w:val="20"/>
          <w:szCs w:val="20"/>
          <w:rtl/>
        </w:rPr>
        <w:t xml:space="preserve"> קמאי. הוא עזב את אירופה לארץ ישראל לפני מלחמת העולם הראשונה, משום שר׳ </w:t>
      </w:r>
      <w:proofErr w:type="spellStart"/>
      <w:r>
        <w:rPr>
          <w:sz w:val="20"/>
          <w:szCs w:val="20"/>
          <w:rtl/>
        </w:rPr>
        <w:t>מאיר־שמחה</w:t>
      </w:r>
      <w:proofErr w:type="spellEnd"/>
      <w:r>
        <w:rPr>
          <w:sz w:val="20"/>
          <w:szCs w:val="20"/>
          <w:rtl/>
        </w:rPr>
        <w:t xml:space="preserve"> הורה לבחורים המקורבים אליו לעזוב. ר׳ </w:t>
      </w:r>
      <w:proofErr w:type="spellStart"/>
      <w:r>
        <w:rPr>
          <w:sz w:val="20"/>
          <w:szCs w:val="20"/>
          <w:rtl/>
        </w:rPr>
        <w:t>מאיר־שמחה</w:t>
      </w:r>
      <w:proofErr w:type="spellEnd"/>
      <w:r>
        <w:rPr>
          <w:sz w:val="20"/>
          <w:szCs w:val="20"/>
          <w:rtl/>
        </w:rPr>
        <w:t xml:space="preserve"> היה נוסע בקיץ לאוסטריה, לרחוץ במרחצאות המרפא </w:t>
      </w:r>
      <w:proofErr w:type="spellStart"/>
      <w:r>
        <w:rPr>
          <w:sz w:val="20"/>
          <w:szCs w:val="20"/>
          <w:rtl/>
        </w:rPr>
        <w:t>בקרלסבד</w:t>
      </w:r>
      <w:proofErr w:type="spellEnd"/>
      <w:r>
        <w:rPr>
          <w:sz w:val="20"/>
          <w:szCs w:val="20"/>
          <w:rtl/>
        </w:rPr>
        <w:t xml:space="preserve">. ר׳ שפטיה סיפר שהימים שלפני יציאתו </w:t>
      </w:r>
      <w:proofErr w:type="spellStart"/>
      <w:r>
        <w:rPr>
          <w:sz w:val="20"/>
          <w:szCs w:val="20"/>
          <w:rtl/>
        </w:rPr>
        <w:t>מדווינסק</w:t>
      </w:r>
      <w:proofErr w:type="spellEnd"/>
      <w:r>
        <w:rPr>
          <w:sz w:val="20"/>
          <w:szCs w:val="20"/>
          <w:rtl/>
        </w:rPr>
        <w:t xml:space="preserve"> </w:t>
      </w:r>
      <w:proofErr w:type="spellStart"/>
      <w:r>
        <w:rPr>
          <w:sz w:val="20"/>
          <w:szCs w:val="20"/>
          <w:rtl/>
        </w:rPr>
        <w:t>לקרלסבד</w:t>
      </w:r>
      <w:proofErr w:type="spellEnd"/>
      <w:r>
        <w:rPr>
          <w:sz w:val="20"/>
          <w:szCs w:val="20"/>
          <w:rtl/>
        </w:rPr>
        <w:t xml:space="preserve"> נחשבו בעיני האור שמח </w:t>
      </w:r>
      <w:proofErr w:type="spellStart"/>
      <w:r>
        <w:rPr>
          <w:sz w:val="20"/>
          <w:szCs w:val="20"/>
          <w:rtl/>
        </w:rPr>
        <w:t>ל“ימים</w:t>
      </w:r>
      <w:proofErr w:type="spellEnd"/>
      <w:r>
        <w:rPr>
          <w:sz w:val="20"/>
          <w:szCs w:val="20"/>
          <w:rtl/>
        </w:rPr>
        <w:t xml:space="preserve"> השחורים” בחייו, כי אז היו בעלי הבתים מביאים לו כסף למרחצאות, והוא תיעב קבלת מתנות, אפילו לתכלית נעלה כזאת. (ראה גם פרק 4, הפסקה הראשונה בנספח כ: ר׳ יצחק־זאב </w:t>
      </w:r>
      <w:proofErr w:type="spellStart"/>
      <w:r>
        <w:rPr>
          <w:sz w:val="20"/>
          <w:szCs w:val="20"/>
          <w:rtl/>
        </w:rPr>
        <w:t>סולובייצ׳יק</w:t>
      </w:r>
      <w:proofErr w:type="spellEnd"/>
      <w:r>
        <w:rPr>
          <w:sz w:val="20"/>
          <w:szCs w:val="20"/>
          <w:rtl/>
        </w:rPr>
        <w:t xml:space="preserve"> סירב לקבל מתנה שהייתה נחוצה לבריאותו.)</w:t>
      </w:r>
    </w:p>
    <w:p w14:paraId="2D8B65F3" w14:textId="77777777" w:rsidR="00AB3647" w:rsidRDefault="00000000">
      <w:pPr>
        <w:spacing w:after="0" w:before="0"/>
        <w:jc w:val="both"/>
      </w:pPr>
      <w:r>
        <w:rPr>
          <w:sz w:val="20"/>
          <w:szCs w:val="20"/>
          <w:rtl/>
        </w:rPr>
        <w:t xml:space="preserve">כשהגיעה לפרנץ יוזף, קיסר </w:t>
      </w:r>
      <w:proofErr w:type="spellStart"/>
      <w:r>
        <w:rPr>
          <w:sz w:val="20"/>
          <w:szCs w:val="20"/>
          <w:rtl/>
        </w:rPr>
        <w:t>אוסטרו־הונגריה</w:t>
      </w:r>
      <w:proofErr w:type="spellEnd"/>
      <w:r>
        <w:rPr>
          <w:sz w:val="20"/>
          <w:szCs w:val="20"/>
          <w:rtl/>
        </w:rPr>
        <w:t xml:space="preserve">, הידיעה </w:t>
      </w:r>
      <w:proofErr w:type="spellStart"/>
      <w:r>
        <w:rPr>
          <w:sz w:val="20"/>
          <w:szCs w:val="20"/>
          <w:rtl/>
        </w:rPr>
        <w:t>ש“הרב</w:t>
      </w:r>
      <w:proofErr w:type="spellEnd"/>
      <w:r>
        <w:rPr>
          <w:sz w:val="20"/>
          <w:szCs w:val="20"/>
          <w:rtl/>
        </w:rPr>
        <w:t xml:space="preserve"> היהודי החכם ביותר” נמצא בעיר, ביקש השליט, אוהב היהודים, להביא אליו את האור שמח, והם שוחחו ארוכות. כשחזר ר׳ </w:t>
      </w:r>
      <w:proofErr w:type="spellStart"/>
      <w:r>
        <w:rPr>
          <w:sz w:val="20"/>
          <w:szCs w:val="20"/>
          <w:rtl/>
        </w:rPr>
        <w:t>מאיר־שמחה</w:t>
      </w:r>
      <w:proofErr w:type="spellEnd"/>
      <w:r>
        <w:rPr>
          <w:sz w:val="20"/>
          <w:szCs w:val="20"/>
          <w:rtl/>
        </w:rPr>
        <w:t xml:space="preserve"> </w:t>
      </w:r>
      <w:proofErr w:type="spellStart"/>
      <w:r>
        <w:rPr>
          <w:sz w:val="20"/>
          <w:szCs w:val="20"/>
          <w:rtl/>
        </w:rPr>
        <w:t>לדווינסק</w:t>
      </w:r>
      <w:proofErr w:type="spellEnd"/>
      <w:r>
        <w:rPr>
          <w:sz w:val="20"/>
          <w:szCs w:val="20"/>
          <w:rtl/>
        </w:rPr>
        <w:t xml:space="preserve"> אמר לתלמידים: “</w:t>
      </w:r>
      <w:proofErr w:type="spellStart"/>
      <w:r>
        <w:rPr>
          <w:sz w:val="20"/>
          <w:szCs w:val="20"/>
          <w:rtl/>
        </w:rPr>
        <w:t>קינדערלאך</w:t>
      </w:r>
      <w:proofErr w:type="spellEnd"/>
      <w:r>
        <w:rPr>
          <w:sz w:val="20"/>
          <w:szCs w:val="20"/>
          <w:rtl/>
        </w:rPr>
        <w:t xml:space="preserve">, עלינו להיפרד. עליי להישאר בעירי, אבל אני אומר לכם שתהיה מלחמה, לא לשבועות אלא לשנים; אירופה תהפוך לשדה קרב. עזבו את אירופה עכשיו, לפני שתפרוץ המלחמה.” ר׳ שפטיה זכר את הבכי שפרץ כשאמר להם ר׳ </w:t>
      </w:r>
      <w:proofErr w:type="spellStart"/>
      <w:r>
        <w:rPr>
          <w:sz w:val="20"/>
          <w:szCs w:val="20"/>
          <w:rtl/>
        </w:rPr>
        <w:t>מאיר־שמחה</w:t>
      </w:r>
      <w:proofErr w:type="spellEnd"/>
      <w:r>
        <w:rPr>
          <w:sz w:val="20"/>
          <w:szCs w:val="20"/>
          <w:rtl/>
        </w:rPr>
        <w:t xml:space="preserve"> דברים אלה. השווה גם עמ׳ </w:t>
      </w:r>
      <w:r>
        <w:rPr>
          <w:sz w:val="20"/>
          <w:szCs w:val="20"/>
          <w:rtl/>
        </w:rPr>
        <w:fldChar w:fldCharType="begin" w:dirty="true"/>
      </w:r>
      <w:r>
        <w:rPr>
          <w:sz w:val="20"/>
          <w:szCs w:val="20"/>
          <w:rtl/>
        </w:rPr>
        <w:instrText xml:space="preserve"> PAGEREF pr_b_1585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לעיל.</w:t>
      </w:r>
    </w:p>
  </w:footnote>
  <w:footnote w:id="2971">
    <w:p w14:paraId="57D2E29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הערת שוליים </w:t>
      </w:r>
      <w:r>
        <w:rPr>
          <w:sz w:val="20"/>
          <w:szCs w:val="20"/>
          <w:rtl/>
        </w:rPr>
        <w:fldChar w:fldCharType="begin" w:dirty="true"/>
      </w:r>
      <w:r>
        <w:rPr>
          <w:sz w:val="20"/>
          <w:szCs w:val="20"/>
          <w:rtl/>
        </w:rPr>
        <w:instrText xml:space="preserve"> NOTEREF pr_f_4475 \h </w:instrText>
      </w:r>
      <w:r>
        <w:rPr>
          <w:sz w:val="20"/>
          <w:szCs w:val="20"/>
          <w:rtl/>
        </w:rPr>
      </w:r>
      <w:r>
        <w:rPr>
          <w:sz w:val="20"/>
          <w:szCs w:val="20"/>
          <w:rtl/>
        </w:rPr>
        <w:fldChar w:fldCharType="separate"/>
      </w:r>
      <w:r w:rsidR="007923E9">
        <w:rPr>
          <w:sz w:val="20"/>
          <w:szCs w:val="20"/>
          <w:rtl/>
        </w:rPr>
        <w:t>129</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pr_f_4475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2972">
    <w:p w14:paraId="504C518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לא ידעתי בתחילה מתי שב </w:t>
      </w:r>
      <w:proofErr w:type="spellStart"/>
      <w:r>
        <w:rPr>
          <w:sz w:val="20"/>
          <w:szCs w:val="20"/>
          <w:rtl/>
        </w:rPr>
        <w:t>מסליאנסקי</w:t>
      </w:r>
      <w:proofErr w:type="spellEnd"/>
      <w:r>
        <w:rPr>
          <w:sz w:val="20"/>
          <w:szCs w:val="20"/>
          <w:rtl/>
        </w:rPr>
        <w:t xml:space="preserve"> לבקר באירופה אחרי שעזב אותה </w:t>
      </w:r>
      <w:proofErr w:type="spellStart"/>
      <w:r>
        <w:rPr>
          <w:sz w:val="20"/>
          <w:szCs w:val="20"/>
          <w:rtl/>
        </w:rPr>
        <w:t>בתרנ״ה</w:t>
      </w:r>
      <w:proofErr w:type="spellEnd"/>
      <w:r>
        <w:rPr>
          <w:sz w:val="20"/>
          <w:szCs w:val="20"/>
          <w:rtl/>
        </w:rPr>
        <w:t xml:space="preserve">, כאמור בהערה 79 לעיל. אם ביקורו היה קשור למשלחת בת עשרים וחמישה חברים ששלח הג׳וינט לדווח על מצב יהדות אירופה אחרי המלחמה, הרי שהיה </w:t>
      </w:r>
      <w:proofErr w:type="spellStart"/>
      <w:r>
        <w:rPr>
          <w:sz w:val="20"/>
          <w:szCs w:val="20"/>
          <w:rtl/>
        </w:rPr>
        <w:t>בתר״פ</w:t>
      </w:r>
      <w:proofErr w:type="spellEnd"/>
      <w:r>
        <w:rPr>
          <w:sz w:val="20"/>
          <w:szCs w:val="20"/>
          <w:rtl/>
        </w:rPr>
        <w:t xml:space="preserve">. באותה עת לא היה </w:t>
      </w:r>
      <w:proofErr w:type="spellStart"/>
      <w:r>
        <w:rPr>
          <w:sz w:val="20"/>
          <w:szCs w:val="20"/>
          <w:rtl/>
        </w:rPr>
        <w:t>הרוגצ׳ובר</w:t>
      </w:r>
      <w:proofErr w:type="spellEnd"/>
      <w:r>
        <w:rPr>
          <w:sz w:val="20"/>
          <w:szCs w:val="20"/>
          <w:rtl/>
        </w:rPr>
        <w:t xml:space="preserve"> </w:t>
      </w:r>
      <w:proofErr w:type="spellStart"/>
      <w:r>
        <w:rPr>
          <w:sz w:val="20"/>
          <w:szCs w:val="20"/>
          <w:rtl/>
        </w:rPr>
        <w:t>בדווינסק</w:t>
      </w:r>
      <w:proofErr w:type="spellEnd"/>
      <w:r>
        <w:rPr>
          <w:sz w:val="20"/>
          <w:szCs w:val="20"/>
          <w:rtl/>
        </w:rPr>
        <w:t xml:space="preserve"> אלא בפטרבורג, שבה שהה “כעשר שנים” מאמצע המלחמה ואילך, לפי “אישים ושיטות” (נספח י לעיל), עמ׳ 91. אבל לאחר חקירה נוספת הגעתי למסקנה שר׳ שפטיה (או חתנו) טעה כשמסר </w:t>
      </w:r>
      <w:proofErr w:type="spellStart"/>
      <w:r>
        <w:rPr>
          <w:sz w:val="20"/>
          <w:szCs w:val="20"/>
          <w:rtl/>
        </w:rPr>
        <w:t>שמסליאנסקי</w:t>
      </w:r>
      <w:proofErr w:type="spellEnd"/>
      <w:r>
        <w:rPr>
          <w:sz w:val="20"/>
          <w:szCs w:val="20"/>
          <w:rtl/>
        </w:rPr>
        <w:t xml:space="preserve"> הזכיר ביקור במזרח אירופה אחרי המלחמה. אין ראיה שביקר אי פעם במזרח אירופה אחרי שגורש ממנה בפקודת הז׳נדרמריה הרוסית </w:t>
      </w:r>
      <w:proofErr w:type="spellStart"/>
      <w:r>
        <w:rPr>
          <w:sz w:val="20"/>
          <w:szCs w:val="20"/>
          <w:rtl/>
        </w:rPr>
        <w:t>בתרנ״ד</w:t>
      </w:r>
      <w:proofErr w:type="spellEnd"/>
      <w:r>
        <w:rPr>
          <w:sz w:val="20"/>
          <w:szCs w:val="20"/>
          <w:rtl/>
        </w:rPr>
        <w:t xml:space="preserve">. הוא ביקר במערב אירופה </w:t>
      </w:r>
      <w:proofErr w:type="spellStart"/>
      <w:r>
        <w:rPr>
          <w:sz w:val="20"/>
          <w:szCs w:val="20"/>
          <w:rtl/>
        </w:rPr>
        <w:t>בתרס״ח</w:t>
      </w:r>
      <w:proofErr w:type="spellEnd"/>
      <w:r>
        <w:rPr>
          <w:sz w:val="20"/>
          <w:szCs w:val="20"/>
          <w:rtl/>
        </w:rPr>
        <w:t xml:space="preserve">, לניתוח במיתרי קולו, ועבר במערב אירופה </w:t>
      </w:r>
      <w:proofErr w:type="spellStart"/>
      <w:r>
        <w:rPr>
          <w:sz w:val="20"/>
          <w:szCs w:val="20"/>
          <w:rtl/>
        </w:rPr>
        <w:t>בתרפ״א</w:t>
      </w:r>
      <w:proofErr w:type="spellEnd"/>
      <w:r>
        <w:rPr>
          <w:sz w:val="20"/>
          <w:szCs w:val="20"/>
          <w:rtl/>
        </w:rPr>
        <w:t xml:space="preserve">, בדרכו לביקור של אביב וקיץ בארץ ישראל. גם בעת שגורש מרוסיה שהה במערב אירופה, ובכלל זה באנגליה; בעת ביקור </w:t>
      </w:r>
      <w:proofErr w:type="spellStart"/>
      <w:r>
        <w:rPr>
          <w:sz w:val="20"/>
          <w:szCs w:val="20"/>
          <w:rtl/>
        </w:rPr>
        <w:t>בשאוול</w:t>
      </w:r>
      <w:proofErr w:type="spellEnd"/>
      <w:r>
        <w:rPr>
          <w:sz w:val="20"/>
          <w:szCs w:val="20"/>
          <w:rtl/>
        </w:rPr>
        <w:t xml:space="preserve"> החרימו את כתבי ידו וציוו עליו לעזוב את רוסיה בתוך חודש.</w:t>
      </w:r>
    </w:p>
    <w:p w14:paraId="1ADFFC70" w14:textId="77777777" w:rsidR="00AB3647" w:rsidRDefault="00000000">
      <w:pPr>
        <w:spacing w:after="0" w:before="0"/>
        <w:jc w:val="both"/>
      </w:pPr>
      <w:r>
        <w:rPr>
          <w:sz w:val="20"/>
          <w:szCs w:val="20"/>
          <w:rtl/>
        </w:rPr>
        <w:t xml:space="preserve">למעשה, לפי עמ׳ 101 בזיכרונותיו של </w:t>
      </w:r>
      <w:proofErr w:type="spellStart"/>
      <w:r>
        <w:rPr>
          <w:sz w:val="20"/>
          <w:szCs w:val="20"/>
          <w:rtl/>
        </w:rPr>
        <w:t>צבי־הירש</w:t>
      </w:r>
      <w:proofErr w:type="spellEnd"/>
      <w:r>
        <w:rPr>
          <w:sz w:val="20"/>
          <w:szCs w:val="20"/>
          <w:rtl/>
        </w:rPr>
        <w:t xml:space="preserve"> </w:t>
      </w:r>
      <w:proofErr w:type="spellStart"/>
      <w:r>
        <w:rPr>
          <w:sz w:val="20"/>
          <w:szCs w:val="20"/>
          <w:rtl/>
        </w:rPr>
        <w:t>מסליאנסקי</w:t>
      </w:r>
      <w:proofErr w:type="spellEnd"/>
      <w:r>
        <w:rPr>
          <w:sz w:val="20"/>
          <w:szCs w:val="20"/>
          <w:rtl/>
        </w:rPr>
        <w:t xml:space="preserve"> באנגלית (1929), כשביקר את הגאון </w:t>
      </w:r>
      <w:proofErr w:type="spellStart"/>
      <w:r>
        <w:rPr>
          <w:sz w:val="20"/>
          <w:szCs w:val="20"/>
          <w:rtl/>
        </w:rPr>
        <w:t>הרוגצ׳ובר</w:t>
      </w:r>
      <w:proofErr w:type="spellEnd"/>
      <w:r>
        <w:rPr>
          <w:sz w:val="20"/>
          <w:szCs w:val="20"/>
          <w:rtl/>
        </w:rPr>
        <w:t xml:space="preserve"> </w:t>
      </w:r>
      <w:proofErr w:type="spellStart"/>
      <w:r>
        <w:rPr>
          <w:sz w:val="20"/>
          <w:szCs w:val="20"/>
          <w:rtl/>
        </w:rPr>
        <w:t>בדווינסק</w:t>
      </w:r>
      <w:proofErr w:type="spellEnd"/>
      <w:r>
        <w:rPr>
          <w:sz w:val="20"/>
          <w:szCs w:val="20"/>
          <w:rtl/>
        </w:rPr>
        <w:t xml:space="preserve"> </w:t>
      </w:r>
      <w:proofErr w:type="spellStart"/>
      <w:r>
        <w:rPr>
          <w:sz w:val="20"/>
          <w:szCs w:val="20"/>
          <w:rtl/>
        </w:rPr>
        <w:t>בתרנ״ג</w:t>
      </w:r>
      <w:proofErr w:type="spellEnd"/>
      <w:r>
        <w:rPr>
          <w:sz w:val="20"/>
          <w:szCs w:val="20"/>
          <w:rtl/>
        </w:rPr>
        <w:t xml:space="preserve">–תרנ״ד, ידע שזהו מכרו הוותיק </w:t>
      </w:r>
      <w:proofErr w:type="spellStart"/>
      <w:r>
        <w:rPr>
          <w:sz w:val="20"/>
          <w:szCs w:val="20"/>
          <w:rtl/>
        </w:rPr>
        <w:t>מסלוצק</w:t>
      </w:r>
      <w:proofErr w:type="spellEnd"/>
      <w:r>
        <w:rPr>
          <w:sz w:val="20"/>
          <w:szCs w:val="20"/>
          <w:rtl/>
        </w:rPr>
        <w:t xml:space="preserve">. הוא מתאר שם ביקור מאכזב מאוד אצל ר׳ יוסף </w:t>
      </w:r>
      <w:proofErr w:type="spellStart"/>
      <w:r>
        <w:rPr>
          <w:sz w:val="20"/>
          <w:szCs w:val="20"/>
          <w:rtl/>
        </w:rPr>
        <w:t>רוזין</w:t>
      </w:r>
      <w:proofErr w:type="spellEnd"/>
      <w:r>
        <w:rPr>
          <w:sz w:val="20"/>
          <w:szCs w:val="20"/>
          <w:rtl/>
        </w:rPr>
        <w:t xml:space="preserve">, שבו התווכחו על “קיומן של מושבות [יהודיות] בארץ ישראל” ועל אתרוגי </w:t>
      </w:r>
      <w:proofErr w:type="spellStart"/>
      <w:r>
        <w:rPr>
          <w:sz w:val="20"/>
          <w:szCs w:val="20"/>
          <w:rtl/>
        </w:rPr>
        <w:t>קורפו</w:t>
      </w:r>
      <w:proofErr w:type="spellEnd"/>
      <w:r>
        <w:rPr>
          <w:sz w:val="20"/>
          <w:szCs w:val="20"/>
          <w:rtl/>
        </w:rPr>
        <w:t xml:space="preserve">. בזיכרונותיו של </w:t>
      </w:r>
      <w:proofErr w:type="spellStart"/>
      <w:r>
        <w:rPr>
          <w:sz w:val="20"/>
          <w:szCs w:val="20"/>
          <w:rtl/>
        </w:rPr>
        <w:t>צבי־הירש</w:t>
      </w:r>
      <w:proofErr w:type="spellEnd"/>
      <w:r>
        <w:rPr>
          <w:sz w:val="20"/>
          <w:szCs w:val="20"/>
          <w:rtl/>
        </w:rPr>
        <w:t xml:space="preserve"> </w:t>
      </w:r>
      <w:proofErr w:type="spellStart"/>
      <w:r>
        <w:rPr>
          <w:sz w:val="20"/>
          <w:szCs w:val="20"/>
          <w:rtl/>
        </w:rPr>
        <w:t>מסליאנסקי</w:t>
      </w:r>
      <w:proofErr w:type="spellEnd"/>
      <w:r>
        <w:rPr>
          <w:sz w:val="20"/>
          <w:szCs w:val="20"/>
          <w:rtl/>
        </w:rPr>
        <w:t xml:space="preserve"> ביידיש (1924), עמ׳ 108 (ראה פרק 3, הערה 79), הציג את </w:t>
      </w:r>
      <w:proofErr w:type="spellStart"/>
      <w:r>
        <w:rPr>
          <w:sz w:val="20"/>
          <w:szCs w:val="20"/>
          <w:rtl/>
        </w:rPr>
        <w:t>הרוגצ׳ובר</w:t>
      </w:r>
      <w:proofErr w:type="spellEnd"/>
      <w:r>
        <w:rPr>
          <w:sz w:val="20"/>
          <w:szCs w:val="20"/>
          <w:rtl/>
        </w:rPr>
        <w:t xml:space="preserve"> באור שלילי כל כך, עד שעורך התרגום האנגלי של זיכרונות </w:t>
      </w:r>
      <w:proofErr w:type="spellStart"/>
      <w:r>
        <w:rPr>
          <w:sz w:val="20"/>
          <w:szCs w:val="20"/>
          <w:rtl/>
        </w:rPr>
        <w:t>מסליאנסקי</w:t>
      </w:r>
      <w:proofErr w:type="spellEnd"/>
      <w:r>
        <w:rPr>
          <w:sz w:val="20"/>
          <w:szCs w:val="20"/>
          <w:rtl/>
        </w:rPr>
        <w:t xml:space="preserve"> החליט להשמיט כמה שורות דוחות מן המקור.</w:t>
      </w:r>
    </w:p>
  </w:footnote>
  <w:footnote w:id="2973">
    <w:p w14:paraId="1DE4131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w:t>
      </w:r>
      <w:proofErr w:type="spellStart"/>
      <w:r>
        <w:rPr>
          <w:rStyle w:val="a5"/>
          <w:sz w:val="20"/>
          <w:szCs w:val="20"/>
          <w:vertAlign w:val="baseline"/>
          <w:rtl/>
        </w:rPr>
        <w:t>הערת־שוליים</w:t>
      </w:r>
      <w:proofErr w:type="spellEnd"/>
      <w:r>
        <w:rPr>
          <w:rStyle w:val="a5"/>
          <w:sz w:val="20"/>
          <w:szCs w:val="20"/>
          <w:vertAlign w:val="baseline"/>
          <w:rtl/>
        </w:rPr>
        <w:t xml:space="preserve"> </w:t>
      </w:r>
      <w:r>
        <w:rPr>
          <w:rStyle w:val="a5"/>
          <w:sz w:val="20"/>
          <w:szCs w:val="20"/>
          <w:vertAlign w:val="baseline"/>
          <w:rtl/>
        </w:rPr>
        <w:fldChar w:fldCharType="begin" w:dirty="true"/>
      </w:r>
      <w:r>
        <w:rPr>
          <w:rStyle w:val="a5"/>
          <w:sz w:val="20"/>
          <w:szCs w:val="20"/>
          <w:vertAlign w:val="baseline"/>
          <w:rtl/>
        </w:rPr>
        <w:instrText xml:space="preserve"> NOTEREF pr_f_2863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1910</w:t>
      </w:r>
      <w:r>
        <w:rPr>
          <w:rStyle w:val="a5"/>
          <w:sz w:val="20"/>
          <w:szCs w:val="20"/>
          <w:vertAlign w:val="baseline"/>
          <w:rtl/>
        </w:rPr>
        <w:fldChar w:fldCharType="end"/>
      </w:r>
      <w:r>
        <w:rPr>
          <w:rStyle w:val="a5"/>
          <w:sz w:val="20"/>
          <w:szCs w:val="20"/>
          <w:vertAlign w:val="baseline"/>
          <w:rtl/>
        </w:rPr>
        <w:t xml:space="preserve"> להלן.</w:t>
      </w:r>
    </w:p>
  </w:footnote>
  <w:footnote w:id="2974">
    <w:p w14:paraId="51BDB20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ב־8 במרץ 2001.</w:t>
      </w:r>
    </w:p>
  </w:footnote>
  <w:footnote w:id="2975">
    <w:p w14:paraId="75645BE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מן הסתם סיפר זאת ר׳ </w:t>
      </w:r>
      <w:proofErr w:type="spellStart"/>
      <w:r>
        <w:rPr>
          <w:sz w:val="20"/>
          <w:szCs w:val="20"/>
          <w:rtl/>
        </w:rPr>
        <w:t>צבי־הירש</w:t>
      </w:r>
      <w:proofErr w:type="spellEnd"/>
      <w:r>
        <w:rPr>
          <w:sz w:val="20"/>
          <w:szCs w:val="20"/>
          <w:rtl/>
        </w:rPr>
        <w:t xml:space="preserve"> </w:t>
      </w:r>
      <w:proofErr w:type="spellStart"/>
      <w:r>
        <w:rPr>
          <w:sz w:val="20"/>
          <w:szCs w:val="20"/>
          <w:rtl/>
        </w:rPr>
        <w:t>מסליאנסקי</w:t>
      </w:r>
      <w:proofErr w:type="spellEnd"/>
      <w:r>
        <w:rPr>
          <w:sz w:val="20"/>
          <w:szCs w:val="20"/>
          <w:rtl/>
        </w:rPr>
        <w:t xml:space="preserve"> </w:t>
      </w:r>
      <w:proofErr w:type="spellStart"/>
      <w:r>
        <w:rPr>
          <w:sz w:val="20"/>
          <w:szCs w:val="20"/>
          <w:rtl/>
        </w:rPr>
        <w:t>לר</w:t>
      </w:r>
      <w:proofErr w:type="spellEnd"/>
      <w:r>
        <w:rPr>
          <w:sz w:val="20"/>
          <w:szCs w:val="20"/>
          <w:rtl/>
        </w:rPr>
        <w:t xml:space="preserve">׳ ראובן כץ במשך שלוש שנות שהותו של האחרון בארצות הברית כרב </w:t>
      </w:r>
      <w:proofErr w:type="spellStart"/>
      <w:r>
        <w:rPr>
          <w:sz w:val="20"/>
          <w:szCs w:val="20"/>
          <w:rtl/>
        </w:rPr>
        <w:t>בייון</w:t>
      </w:r>
      <w:proofErr w:type="spellEnd"/>
      <w:r>
        <w:rPr>
          <w:sz w:val="20"/>
          <w:szCs w:val="20"/>
          <w:rtl/>
        </w:rPr>
        <w:t>, ניו ג׳רזי (תרפ״ט–תרצ״ב).</w:t>
      </w:r>
    </w:p>
  </w:footnote>
  <w:footnote w:id="2976">
    <w:p w14:paraId="2625F20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הדבר אינו מדויק, שהרי אם הפגישה התקיימה אחרי מלחמת העולם הראשונה, חלפו לפחות חמישים וחמש שנה! אבל ראה </w:t>
      </w:r>
      <w:proofErr w:type="spellStart"/>
      <w:r>
        <w:rPr>
          <w:sz w:val="20"/>
          <w:szCs w:val="20"/>
          <w:rtl/>
        </w:rPr>
        <w:t>הערת־שוליים</w:t>
      </w:r>
      <w:proofErr w:type="spellEnd"/>
      <w:r>
        <w:rPr>
          <w:sz w:val="20"/>
          <w:szCs w:val="20"/>
          <w:rtl/>
        </w:rPr>
        <w:t xml:space="preserve"> </w:t>
      </w:r>
      <w:r>
        <w:rPr>
          <w:sz w:val="20"/>
          <w:szCs w:val="20"/>
          <w:rtl/>
        </w:rPr>
        <w:fldChar w:fldCharType="begin" w:dirty="true"/>
      </w:r>
      <w:r>
        <w:rPr>
          <w:sz w:val="20"/>
          <w:szCs w:val="20"/>
          <w:rtl/>
        </w:rPr>
        <w:instrText xml:space="preserve"> NOTEREF pr_f_2859 \h </w:instrText>
      </w:r>
      <w:r>
        <w:rPr>
          <w:sz w:val="20"/>
          <w:szCs w:val="20"/>
          <w:rtl/>
        </w:rPr>
      </w:r>
      <w:r>
        <w:rPr>
          <w:sz w:val="20"/>
          <w:szCs w:val="20"/>
          <w:rtl/>
        </w:rPr>
        <w:fldChar w:fldCharType="separate"/>
      </w:r>
      <w:r w:rsidR="007923E9">
        <w:rPr>
          <w:sz w:val="20"/>
          <w:szCs w:val="20"/>
          <w:rtl/>
        </w:rPr>
        <w:t>1906</w:t>
      </w:r>
      <w:r>
        <w:rPr>
          <w:sz w:val="20"/>
          <w:szCs w:val="20"/>
          <w:rtl/>
        </w:rPr>
        <w:fldChar w:fldCharType="end"/>
      </w:r>
      <w:r>
        <w:rPr>
          <w:sz w:val="20"/>
          <w:szCs w:val="20"/>
          <w:rtl/>
        </w:rPr>
        <w:t xml:space="preserve"> לעיל: </w:t>
      </w:r>
      <w:proofErr w:type="spellStart"/>
      <w:r>
        <w:rPr>
          <w:sz w:val="20"/>
          <w:szCs w:val="20"/>
          <w:rtl/>
        </w:rPr>
        <w:t>מסליאנסקי</w:t>
      </w:r>
      <w:proofErr w:type="spellEnd"/>
      <w:r>
        <w:rPr>
          <w:sz w:val="20"/>
          <w:szCs w:val="20"/>
          <w:rtl/>
        </w:rPr>
        <w:t xml:space="preserve"> פגש את </w:t>
      </w:r>
      <w:proofErr w:type="spellStart"/>
      <w:r>
        <w:rPr>
          <w:sz w:val="20"/>
          <w:szCs w:val="20"/>
          <w:rtl/>
        </w:rPr>
        <w:t>הרוגצ׳ובר</w:t>
      </w:r>
      <w:proofErr w:type="spellEnd"/>
      <w:r>
        <w:rPr>
          <w:sz w:val="20"/>
          <w:szCs w:val="20"/>
          <w:rtl/>
        </w:rPr>
        <w:t xml:space="preserve"> בשנים תרנ״ג–תרנ״ד, ולכן הפער מצטמצם לעשרים ושמונה שנה. מעניין </w:t>
      </w:r>
      <w:proofErr w:type="spellStart"/>
      <w:r>
        <w:rPr>
          <w:sz w:val="20"/>
          <w:szCs w:val="20"/>
          <w:rtl/>
        </w:rPr>
        <w:t>שמסליאנסקי</w:t>
      </w:r>
      <w:proofErr w:type="spellEnd"/>
      <w:r>
        <w:rPr>
          <w:sz w:val="20"/>
          <w:szCs w:val="20"/>
          <w:rtl/>
        </w:rPr>
        <w:t xml:space="preserve"> אינו מזכיר בזיכרונותיו את מפגן הזיכרון הזה של </w:t>
      </w:r>
      <w:proofErr w:type="spellStart"/>
      <w:r>
        <w:rPr>
          <w:sz w:val="20"/>
          <w:szCs w:val="20"/>
          <w:rtl/>
        </w:rPr>
        <w:t>הרוגצ׳ובר</w:t>
      </w:r>
      <w:proofErr w:type="spellEnd"/>
      <w:r>
        <w:rPr>
          <w:sz w:val="20"/>
          <w:szCs w:val="20"/>
          <w:rtl/>
        </w:rPr>
        <w:t xml:space="preserve"> – אולי מפני שנמנע מלשבח את הגאון שהתנצח עמו, כמובא בסוף </w:t>
      </w:r>
      <w:proofErr w:type="spellStart"/>
      <w:r>
        <w:rPr>
          <w:sz w:val="20"/>
          <w:szCs w:val="20"/>
          <w:rtl/>
        </w:rPr>
        <w:t>הערת־שוליים</w:t>
      </w:r>
      <w:proofErr w:type="spellEnd"/>
      <w:r>
        <w:rPr>
          <w:sz w:val="20"/>
          <w:szCs w:val="20"/>
          <w:rtl/>
        </w:rPr>
        <w:t xml:space="preserve"> </w:t>
      </w:r>
      <w:r>
        <w:rPr>
          <w:sz w:val="20"/>
          <w:szCs w:val="20"/>
          <w:rtl/>
        </w:rPr>
        <w:fldChar w:fldCharType="begin" w:dirty="true"/>
      </w:r>
      <w:r>
        <w:rPr>
          <w:sz w:val="20"/>
          <w:szCs w:val="20"/>
          <w:rtl/>
        </w:rPr>
        <w:instrText xml:space="preserve"> NOTEREF pr_f_2859 \h </w:instrText>
      </w:r>
      <w:r>
        <w:rPr>
          <w:sz w:val="20"/>
          <w:szCs w:val="20"/>
          <w:rtl/>
        </w:rPr>
      </w:r>
      <w:r>
        <w:rPr>
          <w:sz w:val="20"/>
          <w:szCs w:val="20"/>
          <w:rtl/>
        </w:rPr>
        <w:fldChar w:fldCharType="separate"/>
      </w:r>
      <w:r w:rsidR="007923E9">
        <w:rPr>
          <w:sz w:val="20"/>
          <w:szCs w:val="20"/>
          <w:rtl/>
        </w:rPr>
        <w:t>1906</w:t>
      </w:r>
      <w:r>
        <w:rPr>
          <w:sz w:val="20"/>
          <w:szCs w:val="20"/>
          <w:rtl/>
        </w:rPr>
        <w:fldChar w:fldCharType="end"/>
      </w:r>
      <w:r>
        <w:rPr>
          <w:sz w:val="20"/>
          <w:szCs w:val="20"/>
          <w:rtl/>
        </w:rPr>
        <w:t xml:space="preserve"> לעיל. אבל הוא מספר כמה התרשם מר׳ חיים </w:t>
      </w:r>
      <w:proofErr w:type="spellStart"/>
      <w:r>
        <w:rPr>
          <w:sz w:val="20"/>
          <w:szCs w:val="20"/>
          <w:rtl/>
        </w:rPr>
        <w:t>סולובייצ׳יק</w:t>
      </w:r>
      <w:proofErr w:type="spellEnd"/>
      <w:r>
        <w:rPr>
          <w:sz w:val="20"/>
          <w:szCs w:val="20"/>
          <w:rtl/>
        </w:rPr>
        <w:t xml:space="preserve">, שאותו ביקר </w:t>
      </w:r>
      <w:proofErr w:type="spellStart"/>
      <w:r>
        <w:rPr>
          <w:sz w:val="20"/>
          <w:szCs w:val="20"/>
          <w:rtl/>
        </w:rPr>
        <w:t>בבריסק</w:t>
      </w:r>
      <w:proofErr w:type="spellEnd"/>
      <w:r>
        <w:rPr>
          <w:sz w:val="20"/>
          <w:szCs w:val="20"/>
          <w:rtl/>
        </w:rPr>
        <w:t xml:space="preserve"> לפני שהמשיך </w:t>
      </w:r>
      <w:proofErr w:type="spellStart"/>
      <w:r>
        <w:rPr>
          <w:sz w:val="20"/>
          <w:szCs w:val="20"/>
          <w:rtl/>
        </w:rPr>
        <w:t>לדווינסק</w:t>
      </w:r>
      <w:proofErr w:type="spellEnd"/>
      <w:r>
        <w:rPr>
          <w:sz w:val="20"/>
          <w:szCs w:val="20"/>
          <w:rtl/>
        </w:rPr>
        <w:t xml:space="preserve">, ושזיהה אותו “לאחר שלושים וחמש שנה”, כמסופר בזיכרונותיו של </w:t>
      </w:r>
      <w:proofErr w:type="spellStart"/>
      <w:r>
        <w:rPr>
          <w:sz w:val="20"/>
          <w:szCs w:val="20"/>
          <w:rtl/>
        </w:rPr>
        <w:t>צבי־הירש</w:t>
      </w:r>
      <w:proofErr w:type="spellEnd"/>
      <w:r>
        <w:rPr>
          <w:sz w:val="20"/>
          <w:szCs w:val="20"/>
          <w:rtl/>
        </w:rPr>
        <w:t xml:space="preserve"> </w:t>
      </w:r>
      <w:proofErr w:type="spellStart"/>
      <w:r>
        <w:rPr>
          <w:sz w:val="20"/>
          <w:szCs w:val="20"/>
          <w:rtl/>
        </w:rPr>
        <w:t>מסליאנסקי</w:t>
      </w:r>
      <w:proofErr w:type="spellEnd"/>
      <w:r>
        <w:rPr>
          <w:sz w:val="20"/>
          <w:szCs w:val="20"/>
          <w:rtl/>
        </w:rPr>
        <w:t xml:space="preserve"> ביידיש (1924), עמ׳ 103. גם זה אינו מדויק, ובזיכרונותיו באנגלית (1929), עמ׳ 97, תוקן </w:t>
      </w:r>
      <w:proofErr w:type="spellStart"/>
      <w:r>
        <w:rPr>
          <w:sz w:val="20"/>
          <w:szCs w:val="20"/>
          <w:rtl/>
        </w:rPr>
        <w:t>ל“לאחר</w:t>
      </w:r>
      <w:proofErr w:type="spellEnd"/>
      <w:r>
        <w:rPr>
          <w:sz w:val="20"/>
          <w:szCs w:val="20"/>
          <w:rtl/>
        </w:rPr>
        <w:t xml:space="preserve"> עשרים וחמש שנה”. מספר השנים המדויק שבהן לא ראו </w:t>
      </w:r>
      <w:proofErr w:type="spellStart"/>
      <w:r>
        <w:rPr>
          <w:sz w:val="20"/>
          <w:szCs w:val="20"/>
          <w:rtl/>
        </w:rPr>
        <w:t>מסליאנסקי</w:t>
      </w:r>
      <w:proofErr w:type="spellEnd"/>
      <w:r>
        <w:rPr>
          <w:sz w:val="20"/>
          <w:szCs w:val="20"/>
          <w:rtl/>
        </w:rPr>
        <w:t xml:space="preserve"> ור׳ חיים זה את זה היה עשרים ושבע.</w:t>
      </w:r>
    </w:p>
  </w:footnote>
  <w:footnote w:id="2977">
    <w:p w14:paraId="18C2B30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הביטוי היידי הבוטה שבו השתמש הרב </w:t>
      </w:r>
      <w:proofErr w:type="spellStart"/>
      <w:r>
        <w:rPr>
          <w:sz w:val="20"/>
          <w:szCs w:val="20"/>
          <w:rtl/>
        </w:rPr>
        <w:t>רוזין</w:t>
      </w:r>
      <w:proofErr w:type="spellEnd"/>
      <w:r>
        <w:rPr>
          <w:sz w:val="20"/>
          <w:szCs w:val="20"/>
          <w:rtl/>
        </w:rPr>
        <w:t xml:space="preserve"> בשתי המילים האחרונות היה “א מכה”. אולי יש רמז למה שהוסיף </w:t>
      </w:r>
      <w:proofErr w:type="spellStart"/>
      <w:r>
        <w:rPr>
          <w:sz w:val="20"/>
          <w:szCs w:val="20"/>
          <w:rtl/>
        </w:rPr>
        <w:t>מסליאנסקי</w:t>
      </w:r>
      <w:proofErr w:type="spellEnd"/>
      <w:r>
        <w:rPr>
          <w:sz w:val="20"/>
          <w:szCs w:val="20"/>
          <w:rtl/>
        </w:rPr>
        <w:t xml:space="preserve"> באוזני ר׳ ראובן כץ בזיכרונותיו של </w:t>
      </w:r>
      <w:proofErr w:type="spellStart"/>
      <w:r>
        <w:rPr>
          <w:sz w:val="20"/>
          <w:szCs w:val="20"/>
          <w:rtl/>
        </w:rPr>
        <w:t>צבי־הירש</w:t>
      </w:r>
      <w:proofErr w:type="spellEnd"/>
      <w:r>
        <w:rPr>
          <w:sz w:val="20"/>
          <w:szCs w:val="20"/>
          <w:rtl/>
        </w:rPr>
        <w:t xml:space="preserve"> </w:t>
      </w:r>
      <w:proofErr w:type="spellStart"/>
      <w:r>
        <w:rPr>
          <w:sz w:val="20"/>
          <w:szCs w:val="20"/>
          <w:rtl/>
        </w:rPr>
        <w:t>מסליאנסקי</w:t>
      </w:r>
      <w:proofErr w:type="spellEnd"/>
      <w:r>
        <w:rPr>
          <w:sz w:val="20"/>
          <w:szCs w:val="20"/>
          <w:rtl/>
        </w:rPr>
        <w:t xml:space="preserve"> באנגלית (1929), עמ׳ 101: “יחד עם כוח זיכרונו של </w:t>
      </w:r>
      <w:proofErr w:type="spellStart"/>
      <w:r>
        <w:rPr>
          <w:sz w:val="20"/>
          <w:szCs w:val="20"/>
          <w:rtl/>
        </w:rPr>
        <w:t>הרוגצ׳ובר</w:t>
      </w:r>
      <w:proofErr w:type="spellEnd"/>
      <w:r>
        <w:rPr>
          <w:sz w:val="20"/>
          <w:szCs w:val="20"/>
          <w:rtl/>
        </w:rPr>
        <w:t xml:space="preserve"> התעצמה בו התכונה של שלילת כל גדולי הרבנים, ובכללם רבו, ר׳ </w:t>
      </w:r>
      <w:proofErr w:type="spellStart"/>
      <w:r>
        <w:rPr>
          <w:sz w:val="20"/>
          <w:szCs w:val="20"/>
          <w:rtl/>
        </w:rPr>
        <w:t xml:space="preserve">יושע־בער</w:t>
      </w:r>
      <w:proofErr w:type="spellEnd"/>
      <w:r>
        <w:rPr>
          <w:sz w:val="20"/>
          <w:szCs w:val="20"/>
          <w:rtl/>
        </w:rPr>
        <w:t xml:space="preserve"> </w:t>
      </w:r>
      <w:proofErr w:type="spellStart"/>
      <w:r>
        <w:rPr>
          <w:sz w:val="20"/>
          <w:szCs w:val="20"/>
          <w:rtl/>
        </w:rPr>
        <w:t>סולובייצ׳יק</w:t>
      </w:r>
      <w:proofErr w:type="spellEnd"/>
      <w:r>
        <w:rPr>
          <w:sz w:val="20"/>
          <w:szCs w:val="20"/>
          <w:rtl/>
        </w:rPr>
        <w:t xml:space="preserve">.” השווה גם שו״ת “שרידי אש”, ח״א (הועד להוצאת כתבי הגאון הרב יחיאל יעקב וינברג זצ״ל, ירושלים, תשנ״ט), עמ׳ שנו, שבו כותב ר׳ </w:t>
      </w:r>
      <w:proofErr w:type="spellStart"/>
      <w:r>
        <w:rPr>
          <w:sz w:val="20"/>
          <w:szCs w:val="20"/>
          <w:rtl/>
        </w:rPr>
        <w:t>יחיאל־יעקב</w:t>
      </w:r>
      <w:proofErr w:type="spellEnd"/>
      <w:r>
        <w:rPr>
          <w:sz w:val="20"/>
          <w:szCs w:val="20"/>
          <w:rtl/>
        </w:rPr>
        <w:t xml:space="preserve"> ויינברג: “ואם הוא לעצמו כל גדולי הדור בעיניו כקליפת השום, אין אנו יכולים לפסוק כדעת יחיד”; “כקליפת השום” הוא ביטוי תלמודי בבכורות נ״ח ע״א. השווה “בין עולם הישיבות לאורתודוקסיה המודרנית” (</w:t>
      </w:r>
      <w:proofErr w:type="spellStart"/>
      <w:r>
        <w:rPr>
          <w:sz w:val="20"/>
          <w:szCs w:val="20"/>
          <w:rtl/>
        </w:rPr>
        <w:t>הערת־שוליים</w:t>
      </w:r>
      <w:proofErr w:type="spellEnd"/>
      <w:r>
        <w:rPr>
          <w:sz w:val="20"/>
          <w:szCs w:val="20"/>
          <w:rtl/>
        </w:rPr>
        <w:t xml:space="preserve"> </w:t>
      </w:r>
      <w:r>
        <w:rPr>
          <w:sz w:val="20"/>
          <w:szCs w:val="20"/>
          <w:rtl/>
        </w:rPr>
        <w:fldChar w:fldCharType="begin" w:dirty="true"/>
      </w:r>
      <w:r>
        <w:rPr>
          <w:sz w:val="20"/>
          <w:szCs w:val="20"/>
          <w:rtl/>
        </w:rPr>
        <w:instrText xml:space="preserve"> NOTEREF pr_f_1747 \h </w:instrText>
      </w:r>
      <w:r>
        <w:rPr>
          <w:sz w:val="20"/>
          <w:szCs w:val="20"/>
          <w:rtl/>
        </w:rPr>
      </w:r>
      <w:r>
        <w:rPr>
          <w:sz w:val="20"/>
          <w:szCs w:val="20"/>
          <w:rtl/>
        </w:rPr>
        <w:fldChar w:fldCharType="separate"/>
      </w:r>
      <w:r w:rsidR="007923E9">
        <w:rPr>
          <w:sz w:val="20"/>
          <w:szCs w:val="20"/>
          <w:rtl/>
        </w:rPr>
        <w:t>794</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pr_f_1747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ערך המפתח “</w:t>
      </w:r>
      <w:proofErr w:type="spellStart"/>
      <w:r>
        <w:rPr>
          <w:sz w:val="20"/>
          <w:szCs w:val="20"/>
          <w:rtl/>
        </w:rPr>
        <w:t>רוזין</w:t>
      </w:r>
      <w:proofErr w:type="spellEnd"/>
      <w:r>
        <w:rPr>
          <w:sz w:val="20"/>
          <w:szCs w:val="20"/>
          <w:rtl/>
        </w:rPr>
        <w:t xml:space="preserve">, יוסף”, על הקשר בין ר׳ </w:t>
      </w:r>
      <w:proofErr w:type="spellStart"/>
      <w:r>
        <w:rPr>
          <w:sz w:val="20"/>
          <w:szCs w:val="20"/>
          <w:rtl/>
        </w:rPr>
        <w:t>יחיאל־יעקב</w:t>
      </w:r>
      <w:proofErr w:type="spellEnd"/>
      <w:r>
        <w:rPr>
          <w:sz w:val="20"/>
          <w:szCs w:val="20"/>
          <w:rtl/>
        </w:rPr>
        <w:t xml:space="preserve"> ויינברג לגאון </w:t>
      </w:r>
      <w:proofErr w:type="spellStart"/>
      <w:r>
        <w:rPr>
          <w:sz w:val="20"/>
          <w:szCs w:val="20"/>
          <w:rtl/>
        </w:rPr>
        <w:t>הרוגצ׳ובר</w:t>
      </w:r>
      <w:proofErr w:type="spellEnd"/>
      <w:r>
        <w:rPr>
          <w:sz w:val="20"/>
          <w:szCs w:val="20"/>
          <w:rtl/>
        </w:rPr>
        <w:t>.</w:t>
      </w:r>
    </w:p>
  </w:footnote>
  <w:footnote w:id="2978">
    <w:p w14:paraId="005A43F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92.</w:t>
      </w:r>
    </w:p>
  </w:footnote>
  <w:footnote w:id="2979">
    <w:p w14:paraId="21EE5EA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הפסקה השלישית בנספח </w:t>
      </w:r>
      <w:proofErr w:type="spellStart"/>
      <w:r>
        <w:rPr>
          <w:sz w:val="20"/>
          <w:szCs w:val="20"/>
          <w:rtl/>
        </w:rPr>
        <w:t>יח</w:t>
      </w:r>
      <w:proofErr w:type="spellEnd"/>
      <w:r>
        <w:rPr>
          <w:sz w:val="20"/>
          <w:szCs w:val="20"/>
          <w:rtl/>
        </w:rPr>
        <w:t xml:space="preserve"> לעיל.</w:t>
      </w:r>
    </w:p>
  </w:footnote>
  <w:footnote w:id="2980">
    <w:p w14:paraId="50B30E0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נספח </w:t>
      </w:r>
      <w:proofErr w:type="spellStart"/>
      <w:r>
        <w:rPr>
          <w:sz w:val="20"/>
          <w:szCs w:val="20"/>
          <w:rtl/>
        </w:rPr>
        <w:t>כג</w:t>
      </w:r>
      <w:proofErr w:type="spellEnd"/>
      <w:r>
        <w:rPr>
          <w:sz w:val="20"/>
          <w:szCs w:val="20"/>
          <w:rtl/>
        </w:rPr>
        <w:t xml:space="preserve"> לעיל.</w:t>
      </w:r>
    </w:p>
  </w:footnote>
  <w:footnote w:id="2981">
    <w:p w14:paraId="002E227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השווה נספח ה לעיל.</w:t>
      </w:r>
    </w:p>
  </w:footnote>
  <w:footnote w:id="2982">
    <w:p w14:paraId="04EC4B9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2.</w:t>
      </w:r>
    </w:p>
  </w:footnote>
  <w:footnote w:id="2983">
    <w:p w14:paraId="781C304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כינוי זה משלים את התואר “משגיח”, ששימש בישיבות שלא דגלו במוסר לממונה על בדיקת נוכחות התלמידים ועל התנהגותם הכללית. השווה גם פרק 2, הערה 93. במאמרים </w:t>
      </w:r>
      <w:proofErr w:type="spellStart"/>
      <w:r>
        <w:rPr>
          <w:sz w:val="20"/>
          <w:szCs w:val="20"/>
          <w:rtl/>
        </w:rPr>
        <w:t>ב“העבר</w:t>
      </w:r>
      <w:proofErr w:type="spellEnd"/>
      <w:r>
        <w:rPr>
          <w:sz w:val="20"/>
          <w:szCs w:val="20"/>
          <w:rtl/>
        </w:rPr>
        <w:t xml:space="preserve">” (נספח כה לעיל) המתארים את בית הספר </w:t>
      </w:r>
      <w:proofErr w:type="spellStart"/>
      <w:r>
        <w:rPr>
          <w:sz w:val="20"/>
          <w:szCs w:val="20"/>
          <w:rtl/>
        </w:rPr>
        <w:t>בגרובין</w:t>
      </w:r>
      <w:proofErr w:type="spellEnd"/>
      <w:r>
        <w:rPr>
          <w:sz w:val="20"/>
          <w:szCs w:val="20"/>
          <w:rtl/>
        </w:rPr>
        <w:t xml:space="preserve"> כרבע מאה קודם לכן – כרך א, עמ׳ 112 ו־115, וכרך ב, עמ׳ 89–90 – משמש המונח “מחזק” לתלמיד מצטיין בכיתה, שתפקידו היה להטיף לחבריו או לכמה כיתות יחד. הכינוי “מחזק” הלם במיוחד את הסבא (בפי אנשים מבחוץ, שלא יכלו להעריך את כוחו העליון בתוך הישיבה), משום שכלפי חוץ הציג את עצמו לא כבעל תפקיד בישיבה אלא כחברם של התלמידים, כמובא בסוף הפסקה הראשונה בנספח ה לעיל ובתחילת הערה 1 בפרק 4.</w:t>
      </w:r>
    </w:p>
  </w:footnote>
  <w:footnote w:id="2984">
    <w:p w14:paraId="6C74EEE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בספר הזיכרון לסבא </w:t>
      </w:r>
      <w:proofErr w:type="spellStart"/>
      <w:r>
        <w:rPr>
          <w:sz w:val="20"/>
          <w:szCs w:val="20"/>
          <w:rtl/>
        </w:rPr>
        <w:t>מסלבודקה</w:t>
      </w:r>
      <w:proofErr w:type="spellEnd"/>
      <w:r>
        <w:rPr>
          <w:sz w:val="20"/>
          <w:szCs w:val="20"/>
          <w:rtl/>
        </w:rPr>
        <w:t xml:space="preserve"> שערך ר׳ </w:t>
      </w:r>
      <w:proofErr w:type="spellStart"/>
      <w:r>
        <w:rPr>
          <w:sz w:val="20"/>
          <w:szCs w:val="20"/>
          <w:rtl/>
        </w:rPr>
        <w:t>ישראל־זיסל</w:t>
      </w:r>
      <w:proofErr w:type="spellEnd"/>
      <w:r>
        <w:rPr>
          <w:sz w:val="20"/>
          <w:szCs w:val="20"/>
          <w:rtl/>
        </w:rPr>
        <w:t xml:space="preserve"> </w:t>
      </w:r>
      <w:proofErr w:type="spellStart"/>
      <w:r>
        <w:rPr>
          <w:sz w:val="20"/>
          <w:szCs w:val="20"/>
          <w:rtl/>
        </w:rPr>
        <w:t>דבורץ</w:t>
      </w:r>
      <w:proofErr w:type="spellEnd"/>
      <w:r>
        <w:rPr>
          <w:sz w:val="20"/>
          <w:szCs w:val="20"/>
          <w:rtl/>
        </w:rPr>
        <w:t xml:space="preserve"> (המקור הנזכר בפרק 2, הערה 93), עמ׳ </w:t>
      </w:r>
      <w:proofErr w:type="spellStart"/>
      <w:r>
        <w:rPr>
          <w:sz w:val="20"/>
          <w:szCs w:val="20"/>
          <w:rtl/>
        </w:rPr>
        <w:t>יג</w:t>
      </w:r>
      <w:proofErr w:type="spellEnd"/>
      <w:r>
        <w:rPr>
          <w:sz w:val="20"/>
          <w:szCs w:val="20"/>
          <w:rtl/>
        </w:rPr>
        <w:t xml:space="preserve">, כותב העורך: “ואופייני הוא מאד: שבעירה הקטנה </w:t>
      </w:r>
      <w:proofErr w:type="spellStart"/>
      <w:r>
        <w:rPr>
          <w:sz w:val="20"/>
          <w:szCs w:val="20"/>
          <w:rtl/>
        </w:rPr>
        <w:t>סלובודקה</w:t>
      </w:r>
      <w:proofErr w:type="spellEnd"/>
      <w:r>
        <w:rPr>
          <w:sz w:val="20"/>
          <w:szCs w:val="20"/>
          <w:rtl/>
        </w:rPr>
        <w:t xml:space="preserve"> מעטים הם האנשים היודעים כי האיש הזה דר בשכונתם... עד כה הגיעה מדת הסתרתו של אדמו״ר זצוק״ל”.</w:t>
      </w:r>
    </w:p>
  </w:footnote>
  <w:footnote w:id="2985">
    <w:p w14:paraId="5CFD857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 ע״א.</w:t>
      </w:r>
    </w:p>
  </w:footnote>
  <w:footnote w:id="2986">
    <w:p w14:paraId="04F5B14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מלכים א ג, </w:t>
      </w:r>
      <w:proofErr w:type="spellStart"/>
      <w:r>
        <w:rPr>
          <w:sz w:val="20"/>
          <w:szCs w:val="20"/>
          <w:rtl/>
        </w:rPr>
        <w:t>יב</w:t>
      </w:r>
      <w:proofErr w:type="spellEnd"/>
      <w:r>
        <w:rPr>
          <w:sz w:val="20"/>
          <w:szCs w:val="20"/>
          <w:rtl/>
        </w:rPr>
        <w:t xml:space="preserve">, ובמדבר </w:t>
      </w:r>
      <w:proofErr w:type="spellStart"/>
      <w:r>
        <w:rPr>
          <w:sz w:val="20"/>
          <w:szCs w:val="20"/>
          <w:rtl/>
        </w:rPr>
        <w:t>יב</w:t>
      </w:r>
      <w:proofErr w:type="spellEnd"/>
      <w:r>
        <w:rPr>
          <w:sz w:val="20"/>
          <w:szCs w:val="20"/>
          <w:rtl/>
        </w:rPr>
        <w:t>, ג.</w:t>
      </w:r>
    </w:p>
  </w:footnote>
  <w:footnote w:id="2987">
    <w:p w14:paraId="609D8C4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הערה 67.</w:t>
      </w:r>
    </w:p>
  </w:footnote>
  <w:footnote w:id="2988">
    <w:p w14:paraId="171AC00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י לעיל.</w:t>
      </w:r>
    </w:p>
  </w:footnote>
  <w:footnote w:id="2989">
    <w:p w14:paraId="7845B6A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88.</w:t>
      </w:r>
    </w:p>
  </w:footnote>
  <w:footnote w:id="2990">
    <w:p w14:paraId="257C933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בישיבת ר׳ </w:t>
      </w:r>
      <w:proofErr w:type="spellStart"/>
      <w:r>
        <w:rPr>
          <w:sz w:val="20"/>
          <w:szCs w:val="20"/>
          <w:rtl/>
        </w:rPr>
        <w:t>הירשל׳ה</w:t>
      </w:r>
      <w:proofErr w:type="spellEnd"/>
      <w:r>
        <w:rPr>
          <w:sz w:val="20"/>
          <w:szCs w:val="20"/>
          <w:rtl/>
        </w:rPr>
        <w:t xml:space="preserve"> למדו התלמידים מוסר שעה בכל ערב, כפי שנאמר שם, עמ׳ 58.</w:t>
      </w:r>
    </w:p>
  </w:footnote>
  <w:footnote w:id="2991">
    <w:p w14:paraId="37284C2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108.</w:t>
      </w:r>
    </w:p>
  </w:footnote>
  <w:footnote w:id="2992">
    <w:p w14:paraId="1FFEE76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כץ, “תנועת המוסר”, כרך ג, עמ׳ 45.</w:t>
      </w:r>
    </w:p>
  </w:footnote>
  <w:footnote w:id="2993">
    <w:p w14:paraId="10FF8BA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דולינסקי</w:t>
      </w:r>
      <w:proofErr w:type="spellEnd"/>
      <w:r>
        <w:rPr>
          <w:sz w:val="20"/>
          <w:szCs w:val="20"/>
          <w:rtl/>
        </w:rPr>
        <w:t>; השווה נספח לו להלן.</w:t>
      </w:r>
    </w:p>
  </w:footnote>
  <w:footnote w:id="2994">
    <w:p w14:paraId="369DFCA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19 לעיל.</w:t>
      </w:r>
    </w:p>
  </w:footnote>
  <w:footnote w:id="2995">
    <w:p w14:paraId="65F1A0B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כך אמר אבי בלשון נקייה במקום ‘הרבי הורה שלא ללמוד מוסר’.</w:t>
      </w:r>
    </w:p>
  </w:footnote>
  <w:footnote w:id="2996">
    <w:p w14:paraId="01AEE8A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3.</w:t>
      </w:r>
    </w:p>
  </w:footnote>
  <w:footnote w:id="2997">
    <w:p w14:paraId="2E20A25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19 לעיל.</w:t>
      </w:r>
    </w:p>
  </w:footnote>
  <w:footnote w:id="2998">
    <w:p w14:paraId="3500C29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27 לעיל – עמ׳ 62.</w:t>
      </w:r>
    </w:p>
  </w:footnote>
  <w:footnote w:id="2999">
    <w:p w14:paraId="7936FE2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79 לעיל.</w:t>
      </w:r>
    </w:p>
  </w:footnote>
  <w:footnote w:id="3000">
    <w:p w14:paraId="4DC1782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נא.</w:t>
      </w:r>
    </w:p>
  </w:footnote>
  <w:footnote w:id="3001">
    <w:p w14:paraId="122A995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18 לעיל – עמ׳ רכו.</w:t>
      </w:r>
    </w:p>
  </w:footnote>
  <w:footnote w:id="3002">
    <w:p w14:paraId="0748F15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פו.</w:t>
      </w:r>
    </w:p>
  </w:footnote>
  <w:footnote w:id="3003">
    <w:p w14:paraId="145FC84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כך סיפר ר׳ יצחק </w:t>
      </w:r>
      <w:proofErr w:type="spellStart"/>
      <w:r>
        <w:rPr>
          <w:sz w:val="20"/>
          <w:szCs w:val="20"/>
          <w:rtl/>
        </w:rPr>
        <w:t>ביניק</w:t>
      </w:r>
      <w:proofErr w:type="spellEnd"/>
      <w:r>
        <w:rPr>
          <w:sz w:val="20"/>
          <w:szCs w:val="20"/>
          <w:rtl/>
        </w:rPr>
        <w:t xml:space="preserve">; השווה סוף הפסקה החמישית בנספח </w:t>
      </w:r>
      <w:proofErr w:type="spellStart"/>
      <w:r>
        <w:rPr>
          <w:sz w:val="20"/>
          <w:szCs w:val="20"/>
          <w:rtl/>
        </w:rPr>
        <w:t>כו</w:t>
      </w:r>
      <w:proofErr w:type="spellEnd"/>
      <w:r>
        <w:rPr>
          <w:sz w:val="20"/>
          <w:szCs w:val="20"/>
          <w:rtl/>
        </w:rPr>
        <w:t xml:space="preserve"> לעיל.</w:t>
      </w:r>
    </w:p>
  </w:footnote>
  <w:footnote w:id="3004">
    <w:p w14:paraId="39927F8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“פולמוס המוסר” (תחילת נספח ו), עמ׳ 281–283, המציין </w:t>
      </w:r>
      <w:proofErr w:type="spellStart"/>
      <w:r>
        <w:rPr>
          <w:sz w:val="20"/>
          <w:szCs w:val="20"/>
          <w:rtl/>
        </w:rPr>
        <w:t>ש“רבים</w:t>
      </w:r>
      <w:proofErr w:type="spellEnd"/>
      <w:r>
        <w:rPr>
          <w:sz w:val="20"/>
          <w:szCs w:val="20"/>
          <w:rtl/>
        </w:rPr>
        <w:t xml:space="preserve"> מהרבנים המתנגדים הודיעו בפירוש שהם חוזרים מדעתם”. בעמ׳ 282 מצטט “פולמוס המוסר” את </w:t>
      </w:r>
      <w:proofErr w:type="spellStart"/>
      <w:r>
        <w:rPr>
          <w:sz w:val="20"/>
          <w:szCs w:val="20"/>
          <w:rtl/>
        </w:rPr>
        <w:t>החפץ־חיים</w:t>
      </w:r>
      <w:proofErr w:type="spellEnd"/>
      <w:r>
        <w:rPr>
          <w:sz w:val="20"/>
          <w:szCs w:val="20"/>
          <w:rtl/>
        </w:rPr>
        <w:t xml:space="preserve"> מתוך פרסום </w:t>
      </w:r>
      <w:proofErr w:type="spellStart"/>
      <w:r>
        <w:rPr>
          <w:sz w:val="20"/>
          <w:szCs w:val="20"/>
          <w:rtl/>
        </w:rPr>
        <w:t>מתרפ״ח</w:t>
      </w:r>
      <w:proofErr w:type="spellEnd"/>
      <w:r>
        <w:rPr>
          <w:sz w:val="20"/>
          <w:szCs w:val="20"/>
          <w:rtl/>
        </w:rPr>
        <w:t xml:space="preserve">: “דיברתי עם גדולים שהתנגדו לפנים ללימוד המוסר בישיבות, ועתה הודו </w:t>
      </w:r>
      <w:proofErr w:type="spellStart"/>
      <w:r>
        <w:rPr>
          <w:sz w:val="20"/>
          <w:szCs w:val="20"/>
          <w:rtl/>
        </w:rPr>
        <w:t>הכל</w:t>
      </w:r>
      <w:proofErr w:type="spellEnd"/>
      <w:r>
        <w:rPr>
          <w:sz w:val="20"/>
          <w:szCs w:val="20"/>
          <w:rtl/>
        </w:rPr>
        <w:t xml:space="preserve"> (ההדגשה במקור) כי כהיום נחוץ מאד לימוד המוסר, ובלא לימוד המוסר אין אנו בטוחים שתתקיים תורת ה׳ ויראתו בידינו”. ודאי היה ר׳ </w:t>
      </w:r>
      <w:proofErr w:type="spellStart"/>
      <w:r>
        <w:rPr>
          <w:sz w:val="20"/>
          <w:szCs w:val="20"/>
          <w:rtl/>
        </w:rPr>
        <w:t>ברוך־בער</w:t>
      </w:r>
      <w:proofErr w:type="spellEnd"/>
      <w:r>
        <w:rPr>
          <w:sz w:val="20"/>
          <w:szCs w:val="20"/>
          <w:rtl/>
        </w:rPr>
        <w:t xml:space="preserve"> אחד מן הגדולים </w:t>
      </w:r>
      <w:proofErr w:type="spellStart"/>
      <w:r>
        <w:rPr>
          <w:sz w:val="20"/>
          <w:szCs w:val="20"/>
          <w:rtl/>
        </w:rPr>
        <w:t>שהחפץ־חיים</w:t>
      </w:r>
      <w:proofErr w:type="spellEnd"/>
      <w:r>
        <w:rPr>
          <w:sz w:val="20"/>
          <w:szCs w:val="20"/>
          <w:rtl/>
        </w:rPr>
        <w:t xml:space="preserve"> דיבר עמם. השווה גם הפסקה השנייה בנספח כ לעיל.</w:t>
      </w:r>
    </w:p>
  </w:footnote>
  <w:footnote w:id="3005">
    <w:p w14:paraId="4432C83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הערה 32 לעיל – עמ׳ </w:t>
      </w:r>
      <w:proofErr w:type="spellStart"/>
      <w:r>
        <w:rPr>
          <w:sz w:val="20"/>
          <w:szCs w:val="20"/>
          <w:rtl/>
        </w:rPr>
        <w:t>כב</w:t>
      </w:r>
      <w:proofErr w:type="spellEnd"/>
      <w:r>
        <w:rPr>
          <w:sz w:val="20"/>
          <w:szCs w:val="20"/>
          <w:rtl/>
        </w:rPr>
        <w:t xml:space="preserve"> במספור העמודים השני.</w:t>
      </w:r>
    </w:p>
  </w:footnote>
  <w:footnote w:id="3006">
    <w:p w14:paraId="6B38AB7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אף זאת בשם ר׳ זאב </w:t>
      </w:r>
      <w:proofErr w:type="spellStart"/>
      <w:r>
        <w:rPr>
          <w:sz w:val="20"/>
          <w:szCs w:val="20"/>
          <w:rtl/>
        </w:rPr>
        <w:t>איידלמן</w:t>
      </w:r>
      <w:proofErr w:type="spellEnd"/>
      <w:r>
        <w:rPr>
          <w:sz w:val="20"/>
          <w:szCs w:val="20"/>
          <w:rtl/>
        </w:rPr>
        <w:t xml:space="preserve">. הוא למד אצל ר׳ </w:t>
      </w:r>
      <w:proofErr w:type="spellStart"/>
      <w:r>
        <w:rPr>
          <w:sz w:val="20"/>
          <w:szCs w:val="20"/>
          <w:rtl/>
        </w:rPr>
        <w:t>ברוך־בער</w:t>
      </w:r>
      <w:proofErr w:type="spellEnd"/>
      <w:r>
        <w:rPr>
          <w:sz w:val="20"/>
          <w:szCs w:val="20"/>
          <w:rtl/>
        </w:rPr>
        <w:t xml:space="preserve"> בתקופה מאוחרת מזו שבה אירע המעשה שתיאר, ומן הסתם הכירו מפי השמועה.</w:t>
      </w:r>
    </w:p>
  </w:footnote>
  <w:footnote w:id="3007">
    <w:p w14:paraId="7816F63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כשכתיבת ספר זה התקרבה לסיומה, נודע לי שבחיפושיו אחר דרכו בחיים אף השתעשע ר׳ אייזיק הצעיר ברעיון ללמוד באוניברסיטה. בהקדמה </w:t>
      </w:r>
      <w:proofErr w:type="spellStart"/>
      <w:r>
        <w:rPr>
          <w:sz w:val="20"/>
          <w:szCs w:val="20"/>
          <w:rtl/>
        </w:rPr>
        <w:t>ל“תורת</w:t>
      </w:r>
      <w:proofErr w:type="spellEnd"/>
      <w:r>
        <w:rPr>
          <w:sz w:val="20"/>
          <w:szCs w:val="20"/>
          <w:rtl/>
        </w:rPr>
        <w:t xml:space="preserve"> יחיאל” (הוצאת הועד להוצאת ספרי הגאון רבי עקיבא יוסף זצ״ל, ירושלם [תשל״א]), “לתולדות רבינו המחבר” (עמ׳ </w:t>
      </w:r>
      <w:proofErr w:type="spellStart"/>
      <w:r>
        <w:rPr>
          <w:sz w:val="20"/>
          <w:szCs w:val="20"/>
          <w:rtl/>
        </w:rPr>
        <w:t>יח</w:t>
      </w:r>
      <w:proofErr w:type="spellEnd"/>
      <w:r>
        <w:rPr>
          <w:sz w:val="20"/>
          <w:szCs w:val="20"/>
          <w:rtl/>
        </w:rPr>
        <w:t xml:space="preserve">, הערה </w:t>
      </w:r>
      <w:proofErr w:type="spellStart"/>
      <w:r>
        <w:rPr>
          <w:sz w:val="20"/>
          <w:szCs w:val="20"/>
          <w:rtl/>
        </w:rPr>
        <w:t>כא</w:t>
      </w:r>
      <w:proofErr w:type="spellEnd"/>
      <w:r>
        <w:rPr>
          <w:sz w:val="20"/>
          <w:szCs w:val="20"/>
          <w:rtl/>
        </w:rPr>
        <w:t>), מסופר שר׳ אייזיק “הי׳ מספר ואומר, ‘</w:t>
      </w:r>
      <w:proofErr w:type="spellStart"/>
      <w:r>
        <w:rPr>
          <w:sz w:val="20"/>
          <w:szCs w:val="20"/>
          <w:rtl/>
        </w:rPr>
        <w:t>ה“לב</w:t>
      </w:r>
      <w:proofErr w:type="spellEnd"/>
      <w:r>
        <w:rPr>
          <w:sz w:val="20"/>
          <w:szCs w:val="20"/>
          <w:rtl/>
        </w:rPr>
        <w:t xml:space="preserve"> העברי” [מאת ר׳ </w:t>
      </w:r>
      <w:proofErr w:type="spellStart"/>
      <w:r>
        <w:rPr>
          <w:sz w:val="20"/>
          <w:szCs w:val="20"/>
          <w:rtl/>
        </w:rPr>
        <w:t>עקיבא־יוסף</w:t>
      </w:r>
      <w:proofErr w:type="spellEnd"/>
      <w:r>
        <w:rPr>
          <w:sz w:val="20"/>
          <w:szCs w:val="20"/>
          <w:rtl/>
        </w:rPr>
        <w:t xml:space="preserve"> שלזינגר] הציל אותי’”. מסופר שם שכבר “נסע מהישיבה אל אחת האוניברסיטאות ברוסיה”, ובדרך ראה את הספר, “והציץ בתוכו לבו נמשך אחרי דבריו הקדושים, ומיד החליט לנסוע חזרה לישיבה”.</w:t>
      </w:r>
    </w:p>
  </w:footnote>
  <w:footnote w:id="3008">
    <w:p w14:paraId="23F114F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הפסקה האמצעית בהערה 24 לעיל – עמ׳ </w:t>
      </w:r>
      <w:proofErr w:type="spellStart"/>
      <w:r>
        <w:rPr>
          <w:sz w:val="20"/>
          <w:szCs w:val="20"/>
          <w:rtl/>
        </w:rPr>
        <w:t>תקכד</w:t>
      </w:r>
      <w:proofErr w:type="spellEnd"/>
      <w:r>
        <w:rPr>
          <w:sz w:val="20"/>
          <w:szCs w:val="20"/>
          <w:rtl/>
        </w:rPr>
        <w:t>.</w:t>
      </w:r>
    </w:p>
  </w:footnote>
  <w:footnote w:id="3009">
    <w:p w14:paraId="72BE385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הפסקה השלישית בנספח </w:t>
      </w:r>
      <w:proofErr w:type="spellStart"/>
      <w:r>
        <w:rPr>
          <w:sz w:val="20"/>
          <w:szCs w:val="20"/>
          <w:rtl/>
        </w:rPr>
        <w:t>יח</w:t>
      </w:r>
      <w:proofErr w:type="spellEnd"/>
      <w:r>
        <w:rPr>
          <w:sz w:val="20"/>
          <w:szCs w:val="20"/>
          <w:rtl/>
        </w:rPr>
        <w:t xml:space="preserve"> לעיל.</w:t>
      </w:r>
    </w:p>
  </w:footnote>
  <w:footnote w:id="3010">
    <w:p w14:paraId="0684886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או אם ניתנה רשות לעבור במישרין – כפי שקרה, מן הסתם, עם </w:t>
      </w:r>
      <w:proofErr w:type="spellStart"/>
      <w:r>
        <w:rPr>
          <w:sz w:val="20"/>
          <w:szCs w:val="20"/>
          <w:rtl/>
        </w:rPr>
        <w:t>ה“בחור</w:t>
      </w:r>
      <w:proofErr w:type="spellEnd"/>
      <w:r>
        <w:rPr>
          <w:sz w:val="20"/>
          <w:szCs w:val="20"/>
          <w:rtl/>
        </w:rPr>
        <w:t xml:space="preserve"> הפשוט” הנזכר בהערה 1 לעיל. כפי שסיפר ר׳ יעקב הירשמן, מראשי הכולל בטורונטו (ריאיון ב־7 בנובמבר 1987), גילה לו רבנו דבר זה כשייעץ לו שמוסדו ינהג באותו אופן כלפי כוללים אחרים בעיר.</w:t>
      </w:r>
    </w:p>
    <w:p w14:paraId="2571716C" w14:textId="77777777" w:rsidR="00AB3647" w:rsidRDefault="00000000">
      <w:pPr>
        <w:spacing w:after="0" w:before="0"/>
        <w:jc w:val="both"/>
      </w:pPr>
      <w:r>
        <w:rPr>
          <w:sz w:val="20"/>
          <w:szCs w:val="20"/>
          <w:rtl/>
        </w:rPr>
        <w:t xml:space="preserve">תמהתי על דברי הרב הירשמן בשם אבי, שר׳ ראובן </w:t>
      </w:r>
      <w:proofErr w:type="spellStart"/>
      <w:r>
        <w:rPr>
          <w:sz w:val="20"/>
          <w:szCs w:val="20"/>
          <w:rtl/>
        </w:rPr>
        <w:t>גרוזובסקי</w:t>
      </w:r>
      <w:proofErr w:type="spellEnd"/>
      <w:r>
        <w:rPr>
          <w:sz w:val="20"/>
          <w:szCs w:val="20"/>
          <w:rtl/>
        </w:rPr>
        <w:t xml:space="preserve"> ור׳ אהרן קוטלר תכננו לעבור מכנסת ישראל לכנסת בית יצחק, ומחמת דרישה זו עזבו שניהם את </w:t>
      </w:r>
      <w:proofErr w:type="spellStart"/>
      <w:r>
        <w:rPr>
          <w:sz w:val="20"/>
          <w:szCs w:val="20"/>
          <w:rtl/>
        </w:rPr>
        <w:t>סלבודקה</w:t>
      </w:r>
      <w:proofErr w:type="spellEnd"/>
      <w:r>
        <w:rPr>
          <w:sz w:val="20"/>
          <w:szCs w:val="20"/>
          <w:rtl/>
        </w:rPr>
        <w:t xml:space="preserve"> ונסעו </w:t>
      </w:r>
      <w:proofErr w:type="spellStart"/>
      <w:r>
        <w:rPr>
          <w:sz w:val="20"/>
          <w:szCs w:val="20"/>
          <w:rtl/>
        </w:rPr>
        <w:t>לקרלין</w:t>
      </w:r>
      <w:proofErr w:type="spellEnd"/>
      <w:r>
        <w:rPr>
          <w:sz w:val="20"/>
          <w:szCs w:val="20"/>
          <w:rtl/>
        </w:rPr>
        <w:t xml:space="preserve"> ללמוד אצל ר׳ </w:t>
      </w:r>
      <w:proofErr w:type="spellStart"/>
      <w:r>
        <w:rPr>
          <w:sz w:val="20"/>
          <w:szCs w:val="20"/>
          <w:rtl/>
        </w:rPr>
        <w:t>דוד׳ל</w:t>
      </w:r>
      <w:proofErr w:type="spellEnd"/>
      <w:r>
        <w:rPr>
          <w:sz w:val="20"/>
          <w:szCs w:val="20"/>
          <w:rtl/>
        </w:rPr>
        <w:t xml:space="preserve"> </w:t>
      </w:r>
      <w:proofErr w:type="spellStart"/>
      <w:r>
        <w:rPr>
          <w:sz w:val="20"/>
          <w:szCs w:val="20"/>
          <w:rtl/>
        </w:rPr>
        <w:t>קארלינער</w:t>
      </w:r>
      <w:proofErr w:type="spellEnd"/>
      <w:r>
        <w:rPr>
          <w:sz w:val="20"/>
          <w:szCs w:val="20"/>
          <w:rtl/>
        </w:rPr>
        <w:t xml:space="preserve"> (פרידמן; השווה הפסקה השלישית בנספח יד לעיל ופרק 4, סעיף 2), ושאחרי ההפסקה השלים ר׳ ראובן את המעבר, ואילו ר׳ אהרן החליט לחזור לישיבתו הקודמת. בבירור אצל בנו של ר׳ ראובן, ר׳ חיים </w:t>
      </w:r>
      <w:proofErr w:type="spellStart"/>
      <w:r>
        <w:rPr>
          <w:sz w:val="20"/>
          <w:szCs w:val="20"/>
          <w:rtl/>
        </w:rPr>
        <w:t>גרוזובסקי</w:t>
      </w:r>
      <w:proofErr w:type="spellEnd"/>
      <w:r>
        <w:rPr>
          <w:sz w:val="20"/>
          <w:szCs w:val="20"/>
          <w:rtl/>
        </w:rPr>
        <w:t xml:space="preserve">, ואצל נכדו של ר׳ אהרן, ר׳ </w:t>
      </w:r>
      <w:proofErr w:type="spellStart"/>
      <w:r>
        <w:rPr>
          <w:sz w:val="20"/>
          <w:szCs w:val="20"/>
          <w:rtl/>
        </w:rPr>
        <w:t>יעקב־אליעזר</w:t>
      </w:r>
      <w:proofErr w:type="spellEnd"/>
      <w:r>
        <w:rPr>
          <w:sz w:val="20"/>
          <w:szCs w:val="20"/>
          <w:rtl/>
        </w:rPr>
        <w:t xml:space="preserve"> שוורצמן, התברר שאיש מהם לא שמע שאביו או סבו הדגול למד אצל ר׳ </w:t>
      </w:r>
      <w:proofErr w:type="spellStart"/>
      <w:r>
        <w:rPr>
          <w:sz w:val="20"/>
          <w:szCs w:val="20"/>
          <w:rtl/>
        </w:rPr>
        <w:t>דוד׳ל</w:t>
      </w:r>
      <w:proofErr w:type="spellEnd"/>
      <w:r>
        <w:rPr>
          <w:sz w:val="20"/>
          <w:szCs w:val="20"/>
          <w:rtl/>
        </w:rPr>
        <w:t xml:space="preserve">. כשנמסר הדבר לרב הירשמן במכתב בספטמבר 1991, לא זו בלבד שאישר ששמע זאת מרבנו, אלא אף סיפר שאבי אמר שגם הוא למד אצל החכם </w:t>
      </w:r>
      <w:proofErr w:type="spellStart"/>
      <w:r>
        <w:rPr>
          <w:sz w:val="20"/>
          <w:szCs w:val="20"/>
          <w:rtl/>
        </w:rPr>
        <w:t>מקרלין</w:t>
      </w:r>
      <w:proofErr w:type="spellEnd"/>
      <w:r>
        <w:rPr>
          <w:sz w:val="20"/>
          <w:szCs w:val="20"/>
          <w:rtl/>
        </w:rPr>
        <w:t xml:space="preserve"> – דבר שגם בני משפחתנו אינם יודעים עליו. הרב הירשמן כתב גם שר׳ אהרן עבר לכנסת בית יצחק לחצי שנה ואחר כך חזר לכנסת ישראל.</w:t>
      </w:r>
    </w:p>
    <w:p w14:paraId="0C18F0D6" w14:textId="77777777" w:rsidR="00AB3647" w:rsidRDefault="00000000">
      <w:pPr>
        <w:spacing w:after="0" w:before="0"/>
        <w:jc w:val="both"/>
      </w:pPr>
      <w:r>
        <w:rPr>
          <w:sz w:val="20"/>
          <w:szCs w:val="20"/>
          <w:rtl/>
        </w:rPr>
        <w:t xml:space="preserve">באשר לאבי, אמת שאמר “איך האב עם </w:t>
      </w:r>
      <w:proofErr w:type="spellStart"/>
      <w:r>
        <w:rPr>
          <w:sz w:val="20"/>
          <w:szCs w:val="20"/>
          <w:rtl/>
        </w:rPr>
        <w:t>גוט</w:t>
      </w:r>
      <w:proofErr w:type="spellEnd"/>
      <w:r>
        <w:rPr>
          <w:sz w:val="20"/>
          <w:szCs w:val="20"/>
          <w:rtl/>
        </w:rPr>
        <w:t xml:space="preserve"> </w:t>
      </w:r>
      <w:proofErr w:type="spellStart"/>
      <w:r>
        <w:rPr>
          <w:sz w:val="20"/>
          <w:szCs w:val="20"/>
          <w:rtl/>
        </w:rPr>
        <w:t>געקענט</w:t>
      </w:r>
      <w:proofErr w:type="spellEnd"/>
      <w:r>
        <w:rPr>
          <w:sz w:val="20"/>
          <w:szCs w:val="20"/>
          <w:rtl/>
        </w:rPr>
        <w:t xml:space="preserve"> [הכרתי היטב את ר׳ </w:t>
      </w:r>
      <w:proofErr w:type="spellStart"/>
      <w:r>
        <w:rPr>
          <w:sz w:val="20"/>
          <w:szCs w:val="20"/>
          <w:rtl/>
        </w:rPr>
        <w:t>דוד׳ל</w:t>
      </w:r>
      <w:proofErr w:type="spellEnd"/>
      <w:r>
        <w:rPr>
          <w:sz w:val="20"/>
          <w:szCs w:val="20"/>
          <w:rtl/>
        </w:rPr>
        <w:t xml:space="preserve">]” (כמסופר בתחילת נספח </w:t>
      </w:r>
      <w:proofErr w:type="spellStart"/>
      <w:r>
        <w:rPr>
          <w:sz w:val="20"/>
          <w:szCs w:val="20"/>
          <w:rtl/>
        </w:rPr>
        <w:t>יז</w:t>
      </w:r>
      <w:proofErr w:type="spellEnd"/>
      <w:r>
        <w:rPr>
          <w:sz w:val="20"/>
          <w:szCs w:val="20"/>
          <w:rtl/>
        </w:rPr>
        <w:t xml:space="preserve"> בפרק 4) – ואולי התכוון רק, בלשון צינית, לשיחה הכואבת שהייתה לחותנו עם הגאון, כמסופר בפסקה השלישית בנספח </w:t>
      </w:r>
      <w:proofErr w:type="spellStart"/>
      <w:r>
        <w:rPr>
          <w:sz w:val="20"/>
          <w:szCs w:val="20"/>
          <w:rtl/>
        </w:rPr>
        <w:t>כו</w:t>
      </w:r>
      <w:proofErr w:type="spellEnd"/>
      <w:r>
        <w:rPr>
          <w:sz w:val="20"/>
          <w:szCs w:val="20"/>
          <w:rtl/>
        </w:rPr>
        <w:t xml:space="preserve"> לעיל. אבל איש מלבד מרואיין זה לא אמר שרבנו אכן למד אצלו. גם לא מצאתי שום ראיה שהיו </w:t>
      </w:r>
      <w:proofErr w:type="spellStart"/>
      <w:r>
        <w:rPr>
          <w:sz w:val="20"/>
          <w:szCs w:val="20"/>
          <w:rtl/>
        </w:rPr>
        <w:t>לר</w:t>
      </w:r>
      <w:proofErr w:type="spellEnd"/>
      <w:r>
        <w:rPr>
          <w:sz w:val="20"/>
          <w:szCs w:val="20"/>
          <w:rtl/>
        </w:rPr>
        <w:t xml:space="preserve">׳ </w:t>
      </w:r>
      <w:proofErr w:type="spellStart"/>
      <w:r>
        <w:rPr>
          <w:sz w:val="20"/>
          <w:szCs w:val="20"/>
          <w:rtl/>
        </w:rPr>
        <w:t>דוד׳ל</w:t>
      </w:r>
      <w:proofErr w:type="spellEnd"/>
      <w:r>
        <w:rPr>
          <w:sz w:val="20"/>
          <w:szCs w:val="20"/>
          <w:rtl/>
        </w:rPr>
        <w:t xml:space="preserve"> תלמידים בכלל – לא רק בזמן המעשה הנטען, כשכבר היה בן יותר משמונים, אלא אף קודם לכן (השווה פרק 5, הערה 85).</w:t>
      </w:r>
    </w:p>
    <w:p w14:paraId="33DC08DA" w14:textId="77777777" w:rsidR="00AB3647" w:rsidRDefault="00000000">
      <w:pPr>
        <w:spacing w:after="0" w:before="0"/>
        <w:jc w:val="both"/>
      </w:pPr>
      <w:r>
        <w:rPr>
          <w:sz w:val="20"/>
          <w:szCs w:val="20"/>
          <w:rtl/>
        </w:rPr>
        <w:t xml:space="preserve">נראה שר׳ </w:t>
      </w:r>
      <w:proofErr w:type="spellStart"/>
      <w:r>
        <w:rPr>
          <w:sz w:val="20"/>
          <w:szCs w:val="20"/>
          <w:rtl/>
        </w:rPr>
        <w:t>דוד׳ל</w:t>
      </w:r>
      <w:proofErr w:type="spellEnd"/>
      <w:r>
        <w:rPr>
          <w:sz w:val="20"/>
          <w:szCs w:val="20"/>
          <w:rtl/>
        </w:rPr>
        <w:t xml:space="preserve"> סבר שהוא מקיים את חובת “ללמד” בכתיבת ספרים שקיווה להוציא לאור. ראה מכתבו מלפני פסח תרס״ט לגיסו בירושלים, ר׳ </w:t>
      </w:r>
      <w:proofErr w:type="spellStart"/>
      <w:r>
        <w:rPr>
          <w:sz w:val="20"/>
          <w:szCs w:val="20"/>
          <w:rtl/>
        </w:rPr>
        <w:t>יחיאל־מיכל</w:t>
      </w:r>
      <w:proofErr w:type="spellEnd"/>
      <w:r>
        <w:rPr>
          <w:sz w:val="20"/>
          <w:szCs w:val="20"/>
          <w:rtl/>
        </w:rPr>
        <w:t xml:space="preserve"> פינס, המובא </w:t>
      </w:r>
      <w:proofErr w:type="spellStart"/>
      <w:r>
        <w:rPr>
          <w:sz w:val="20"/>
          <w:szCs w:val="20"/>
          <w:rtl/>
        </w:rPr>
        <w:t>ב“שנות</w:t>
      </w:r>
      <w:proofErr w:type="spellEnd"/>
      <w:r>
        <w:rPr>
          <w:sz w:val="20"/>
          <w:szCs w:val="20"/>
          <w:rtl/>
        </w:rPr>
        <w:t xml:space="preserve"> דור ודור” (הפסקה הראשונה בנספח א לעיל), עמ׳ ש–שא. במכתב הביע רצון עז לעלות לארץ ישראל באותו קיץ, ונשא תפילה שהקב״ה יסייע בידו להדפיס את כל ספריו ולהפיצם בעם ישראל. השווה גם את הערת העורכים שם, שלפיה סיפר נכד כי בכל תפילת </w:t>
      </w:r>
      <w:proofErr w:type="spellStart"/>
      <w:r>
        <w:rPr>
          <w:sz w:val="20"/>
          <w:szCs w:val="20"/>
          <w:rtl/>
        </w:rPr>
        <w:t>שמונה־עשרה</w:t>
      </w:r>
      <w:proofErr w:type="spellEnd"/>
      <w:r>
        <w:rPr>
          <w:sz w:val="20"/>
          <w:szCs w:val="20"/>
          <w:rtl/>
        </w:rPr>
        <w:t xml:space="preserve"> היה ר׳ </w:t>
      </w:r>
      <w:proofErr w:type="spellStart"/>
      <w:r>
        <w:rPr>
          <w:sz w:val="20"/>
          <w:szCs w:val="20"/>
          <w:rtl/>
        </w:rPr>
        <w:t>דוד׳ל</w:t>
      </w:r>
      <w:proofErr w:type="spellEnd"/>
      <w:r>
        <w:rPr>
          <w:sz w:val="20"/>
          <w:szCs w:val="20"/>
          <w:rtl/>
        </w:rPr>
        <w:t xml:space="preserve"> מתפלל “לזכות להוציא לאור את כתביו”. למרבה הצער, הספר היחיד שזכה להוציא לאור אחרי מכתבו </w:t>
      </w:r>
      <w:proofErr w:type="spellStart"/>
      <w:r>
        <w:rPr>
          <w:sz w:val="20"/>
          <w:szCs w:val="20"/>
          <w:rtl/>
        </w:rPr>
        <w:t>לר</w:t>
      </w:r>
      <w:proofErr w:type="spellEnd"/>
      <w:r>
        <w:rPr>
          <w:sz w:val="20"/>
          <w:szCs w:val="20"/>
          <w:rtl/>
        </w:rPr>
        <w:t xml:space="preserve">׳ </w:t>
      </w:r>
      <w:proofErr w:type="spellStart"/>
      <w:r>
        <w:rPr>
          <w:sz w:val="20"/>
          <w:szCs w:val="20"/>
          <w:rtl/>
        </w:rPr>
        <w:t>יחיאל־מיכל</w:t>
      </w:r>
      <w:proofErr w:type="spellEnd"/>
      <w:r>
        <w:rPr>
          <w:sz w:val="20"/>
          <w:szCs w:val="20"/>
          <w:rtl/>
        </w:rPr>
        <w:t xml:space="preserve"> פינס היה “שאילת דוד”, ספר תשובות שראה אור ארבע שנים לאחר מכן, </w:t>
      </w:r>
      <w:proofErr w:type="spellStart"/>
      <w:r>
        <w:rPr>
          <w:sz w:val="20"/>
          <w:szCs w:val="20"/>
          <w:rtl/>
        </w:rPr>
        <w:t>בתרע״ג</w:t>
      </w:r>
      <w:proofErr w:type="spellEnd"/>
      <w:r>
        <w:rPr>
          <w:sz w:val="20"/>
          <w:szCs w:val="20"/>
          <w:rtl/>
        </w:rPr>
        <w:t>, שנתיים לפני פטירתו. יתר כתביו אבדו במלחמת העולם הראשונה.</w:t>
      </w:r>
    </w:p>
    <w:p w14:paraId="1B4C5523" w14:textId="77777777" w:rsidR="00AB3647" w:rsidRDefault="00000000">
      <w:pPr>
        <w:spacing w:after="0" w:before="0"/>
        <w:jc w:val="both"/>
      </w:pPr>
      <w:r>
        <w:rPr>
          <w:sz w:val="20"/>
          <w:szCs w:val="20"/>
          <w:rtl/>
        </w:rPr>
        <w:t xml:space="preserve">ר׳ משה רוזן, מחבר סדרת “נזר הקודש” על סדר קדשים ומסכתות נוספות (וראש הישיבה הראשון של מתיבתא תורה ודעת, </w:t>
      </w:r>
      <w:proofErr w:type="spellStart"/>
      <w:r>
        <w:rPr>
          <w:sz w:val="20"/>
          <w:szCs w:val="20"/>
          <w:rtl/>
        </w:rPr>
        <w:t>בתרפ״ו</w:t>
      </w:r>
      <w:proofErr w:type="spellEnd"/>
      <w:r>
        <w:rPr>
          <w:sz w:val="20"/>
          <w:szCs w:val="20"/>
          <w:rtl/>
        </w:rPr>
        <w:t xml:space="preserve">), נימק כך גם את דרכו שלו, כשייעץ לרבנו שלא לקבל את משרת ההוראה שהוצעה לו בתורה ודעת, אלא ללמד תורה באמצעות פרסומים, כפי שעשה הוא עצמו. כך סיפר אחי ר׳ בנימין, ונכדו של הרב רוזן, ר׳ הלל </w:t>
      </w:r>
      <w:proofErr w:type="spellStart"/>
      <w:r>
        <w:rPr>
          <w:sz w:val="20"/>
          <w:szCs w:val="20"/>
          <w:rtl/>
        </w:rPr>
        <w:t>ליטווק</w:t>
      </w:r>
      <w:proofErr w:type="spellEnd"/>
      <w:r>
        <w:rPr>
          <w:sz w:val="20"/>
          <w:szCs w:val="20"/>
          <w:rtl/>
        </w:rPr>
        <w:t>, אישר זאת במכתב שחותמת הדואר עליו נושאת את התאריך 8 בדצמבר 1998.</w:t>
      </w:r>
    </w:p>
    <w:p w14:paraId="5A6ACD32" w14:textId="77777777" w:rsidR="00AB3647" w:rsidRDefault="00000000">
      <w:pPr>
        <w:spacing w:after="0" w:before="0"/>
        <w:jc w:val="both"/>
      </w:pPr>
      <w:r>
        <w:rPr>
          <w:sz w:val="20"/>
          <w:szCs w:val="20"/>
          <w:rtl/>
        </w:rPr>
        <w:t xml:space="preserve">טענתו של הרב הירשמן שר׳ ראובן עבר לכנסת בית יצחק בעודו </w:t>
      </w:r>
      <w:proofErr w:type="spellStart"/>
      <w:r>
        <w:rPr>
          <w:sz w:val="20"/>
          <w:szCs w:val="20"/>
          <w:rtl/>
        </w:rPr>
        <w:t>בסלבודקה</w:t>
      </w:r>
      <w:proofErr w:type="spellEnd"/>
      <w:r>
        <w:rPr>
          <w:sz w:val="20"/>
          <w:szCs w:val="20"/>
          <w:rtl/>
        </w:rPr>
        <w:t xml:space="preserve"> (וממילא שר׳ </w:t>
      </w:r>
      <w:proofErr w:type="spellStart"/>
      <w:r>
        <w:rPr>
          <w:sz w:val="20"/>
          <w:szCs w:val="20"/>
          <w:rtl/>
        </w:rPr>
        <w:t>ברוך־בער</w:t>
      </w:r>
      <w:proofErr w:type="spellEnd"/>
      <w:r>
        <w:rPr>
          <w:sz w:val="20"/>
          <w:szCs w:val="20"/>
          <w:rtl/>
        </w:rPr>
        <w:t xml:space="preserve"> הכירו היטב לפני הגלות </w:t>
      </w:r>
      <w:proofErr w:type="spellStart"/>
      <w:r>
        <w:rPr>
          <w:sz w:val="20"/>
          <w:szCs w:val="20"/>
          <w:rtl/>
        </w:rPr>
        <w:t>בקרמנצ׳וג</w:t>
      </w:r>
      <w:proofErr w:type="spellEnd"/>
      <w:r>
        <w:rPr>
          <w:sz w:val="20"/>
          <w:szCs w:val="20"/>
          <w:rtl/>
        </w:rPr>
        <w:t xml:space="preserve">) אינה מתיישבת עם סיפורה מכלי ראשון של </w:t>
      </w:r>
      <w:proofErr w:type="spellStart"/>
      <w:r>
        <w:rPr>
          <w:sz w:val="20"/>
          <w:szCs w:val="20"/>
          <w:rtl/>
        </w:rPr>
        <w:t>חיה־מרים</w:t>
      </w:r>
      <w:proofErr w:type="spellEnd"/>
      <w:r>
        <w:rPr>
          <w:sz w:val="20"/>
          <w:szCs w:val="20"/>
          <w:rtl/>
        </w:rPr>
        <w:t xml:space="preserve"> </w:t>
      </w:r>
      <w:proofErr w:type="spellStart"/>
      <w:r>
        <w:rPr>
          <w:sz w:val="20"/>
          <w:szCs w:val="20"/>
          <w:rtl/>
        </w:rPr>
        <w:t>שולמן</w:t>
      </w:r>
      <w:proofErr w:type="spellEnd"/>
      <w:r>
        <w:rPr>
          <w:sz w:val="20"/>
          <w:szCs w:val="20"/>
          <w:rtl/>
        </w:rPr>
        <w:t xml:space="preserve"> שבנספח הקודם. הדרך היחידה ליישב את הקושי בדברי המרואיין היא שהייתה </w:t>
      </w:r>
      <w:proofErr w:type="spellStart"/>
      <w:r>
        <w:rPr>
          <w:sz w:val="20"/>
          <w:szCs w:val="20"/>
          <w:rtl/>
        </w:rPr>
        <w:t>אי־הבנה</w:t>
      </w:r>
      <w:proofErr w:type="spellEnd"/>
      <w:r>
        <w:rPr>
          <w:sz w:val="20"/>
          <w:szCs w:val="20"/>
          <w:rtl/>
        </w:rPr>
        <w:t xml:space="preserve"> בינו לבין רבנו. אבי תיאר מצב היפותטי: אילו ר׳ ראובן, ר׳ אהרן והוא עצמו, שלושת הידידים ממינסק, היו רוצים לעבור לכנסת בית יצחק, היו צריכים ללכת </w:t>
      </w:r>
      <w:proofErr w:type="spellStart"/>
      <w:r>
        <w:rPr>
          <w:sz w:val="20"/>
          <w:szCs w:val="20"/>
          <w:rtl/>
        </w:rPr>
        <w:t>לזמן־מה</w:t>
      </w:r>
      <w:proofErr w:type="spellEnd"/>
      <w:r>
        <w:rPr>
          <w:sz w:val="20"/>
          <w:szCs w:val="20"/>
          <w:rtl/>
        </w:rPr>
        <w:t xml:space="preserve">, למשל, </w:t>
      </w:r>
      <w:proofErr w:type="spellStart"/>
      <w:r>
        <w:rPr>
          <w:sz w:val="20"/>
          <w:szCs w:val="20"/>
          <w:rtl/>
        </w:rPr>
        <w:t>לר</w:t>
      </w:r>
      <w:proofErr w:type="spellEnd"/>
      <w:r>
        <w:rPr>
          <w:sz w:val="20"/>
          <w:szCs w:val="20"/>
          <w:rtl/>
        </w:rPr>
        <w:t xml:space="preserve">׳ </w:t>
      </w:r>
      <w:proofErr w:type="spellStart"/>
      <w:r>
        <w:rPr>
          <w:sz w:val="20"/>
          <w:szCs w:val="20"/>
          <w:rtl/>
        </w:rPr>
        <w:t>דוד׳ל</w:t>
      </w:r>
      <w:proofErr w:type="spellEnd"/>
      <w:r>
        <w:rPr>
          <w:sz w:val="20"/>
          <w:szCs w:val="20"/>
          <w:rtl/>
        </w:rPr>
        <w:t>.</w:t>
      </w:r>
    </w:p>
    <w:p w14:paraId="4E4EDAD1" w14:textId="77777777" w:rsidR="00AB3647" w:rsidRDefault="00000000">
      <w:pPr>
        <w:spacing w:after="0" w:before="0"/>
        <w:jc w:val="both"/>
      </w:pPr>
      <w:r>
        <w:rPr>
          <w:sz w:val="20"/>
          <w:szCs w:val="20"/>
          <w:rtl/>
        </w:rPr>
        <w:t xml:space="preserve">גם יתר הסיפור, שר׳ ראובן ור׳ אהרן למדו אצל ר׳ </w:t>
      </w:r>
      <w:proofErr w:type="spellStart"/>
      <w:r>
        <w:rPr>
          <w:sz w:val="20"/>
          <w:szCs w:val="20"/>
          <w:rtl/>
        </w:rPr>
        <w:t>ברוך־בער</w:t>
      </w:r>
      <w:proofErr w:type="spellEnd"/>
      <w:r>
        <w:rPr>
          <w:sz w:val="20"/>
          <w:szCs w:val="20"/>
          <w:rtl/>
        </w:rPr>
        <w:t xml:space="preserve">, נבע </w:t>
      </w:r>
      <w:proofErr w:type="spellStart"/>
      <w:r>
        <w:rPr>
          <w:sz w:val="20"/>
          <w:szCs w:val="20"/>
          <w:rtl/>
        </w:rPr>
        <w:t>מאי־הבנה</w:t>
      </w:r>
      <w:proofErr w:type="spellEnd"/>
      <w:r>
        <w:rPr>
          <w:sz w:val="20"/>
          <w:szCs w:val="20"/>
          <w:rtl/>
        </w:rPr>
        <w:t xml:space="preserve">. מאחר שתיאר את המעבר מכנסת ישראל לכנסת בית יצחק כדבר שהוא ושני ידידיו עשויים היו לעשות, הזכיר אבי בדרך אגב שבפועל נעשה ר׳ ראובן תלמידו לכל דבר של ר׳ </w:t>
      </w:r>
      <w:proofErr w:type="spellStart"/>
      <w:r>
        <w:rPr>
          <w:sz w:val="20"/>
          <w:szCs w:val="20"/>
          <w:rtl/>
        </w:rPr>
        <w:t>ברוך־בער</w:t>
      </w:r>
      <w:proofErr w:type="spellEnd"/>
      <w:r>
        <w:rPr>
          <w:sz w:val="20"/>
          <w:szCs w:val="20"/>
          <w:rtl/>
        </w:rPr>
        <w:t xml:space="preserve"> (אחרי שנעשה חתנו </w:t>
      </w:r>
      <w:proofErr w:type="spellStart"/>
      <w:r>
        <w:rPr>
          <w:sz w:val="20"/>
          <w:szCs w:val="20"/>
          <w:rtl/>
        </w:rPr>
        <w:t>בקרמנצ׳וג</w:t>
      </w:r>
      <w:proofErr w:type="spellEnd"/>
      <w:r>
        <w:rPr>
          <w:sz w:val="20"/>
          <w:szCs w:val="20"/>
          <w:rtl/>
        </w:rPr>
        <w:t xml:space="preserve"> </w:t>
      </w:r>
      <w:proofErr w:type="spellStart"/>
      <w:r>
        <w:rPr>
          <w:sz w:val="20"/>
          <w:szCs w:val="20"/>
          <w:rtl/>
        </w:rPr>
        <w:t>בתרע״ט</w:t>
      </w:r>
      <w:proofErr w:type="spellEnd"/>
      <w:r>
        <w:rPr>
          <w:sz w:val="20"/>
          <w:szCs w:val="20"/>
          <w:rtl/>
        </w:rPr>
        <w:t xml:space="preserve">), ואילו ר׳ אהרן למד אצל ר׳ </w:t>
      </w:r>
      <w:proofErr w:type="spellStart"/>
      <w:r>
        <w:rPr>
          <w:sz w:val="20"/>
          <w:szCs w:val="20"/>
          <w:rtl/>
        </w:rPr>
        <w:t>ברוך־בער</w:t>
      </w:r>
      <w:proofErr w:type="spellEnd"/>
      <w:r>
        <w:rPr>
          <w:sz w:val="20"/>
          <w:szCs w:val="20"/>
          <w:rtl/>
        </w:rPr>
        <w:t xml:space="preserve"> חצי שנה (לפני שהצטרף לכנסת ישראל, כמתואר בפרק 2.3, פסקה 5, ובנספח ד). במקרה למד ר׳ אהרן בכנסת בית יצחק זמן אחד, שהוא פרק הזמן שנדרש בדרך כלל למעבר מישיבת </w:t>
      </w:r>
      <w:proofErr w:type="spellStart"/>
      <w:r>
        <w:rPr>
          <w:sz w:val="20"/>
          <w:szCs w:val="20"/>
          <w:rtl/>
        </w:rPr>
        <w:t>סלבודקה</w:t>
      </w:r>
      <w:proofErr w:type="spellEnd"/>
      <w:r>
        <w:rPr>
          <w:sz w:val="20"/>
          <w:szCs w:val="20"/>
          <w:rtl/>
        </w:rPr>
        <w:t xml:space="preserve"> אחת לחברתה (אף שגם פרקי זמן קצרים יותר הספיקו, כמתואר בפסקה הבאה בנספח זה).</w:t>
      </w:r>
    </w:p>
  </w:footnote>
  <w:footnote w:id="3011">
    <w:p w14:paraId="422D741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ח לעיל.</w:t>
      </w:r>
    </w:p>
  </w:footnote>
  <w:footnote w:id="3012">
    <w:p w14:paraId="64CB935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ח לעיל.</w:t>
      </w:r>
    </w:p>
  </w:footnote>
  <w:footnote w:id="3013">
    <w:p w14:paraId="70E0232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הערה 63, להסבר טעותו של ר׳ לייב, הנראית מובנת מאליה.</w:t>
      </w:r>
    </w:p>
  </w:footnote>
  <w:footnote w:id="3014">
    <w:p w14:paraId="61B28CD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לג לעיל.</w:t>
      </w:r>
    </w:p>
  </w:footnote>
  <w:footnote w:id="3015">
    <w:p w14:paraId="19D26BD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ב לעיל – עמ׳ 40–41.</w:t>
      </w:r>
    </w:p>
  </w:footnote>
  <w:footnote w:id="3016">
    <w:p w14:paraId="387F555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איני יודע איזו ישיבה הייתה זו.</w:t>
      </w:r>
    </w:p>
  </w:footnote>
  <w:footnote w:id="3017">
    <w:p w14:paraId="07F8F23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פרק 5, נספח ד.</w:t>
      </w:r>
    </w:p>
  </w:footnote>
  <w:footnote w:id="3018">
    <w:p w14:paraId="747045F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הערות 56 ו־57 והפסקה השלישית בנספח </w:t>
      </w:r>
      <w:proofErr w:type="spellStart"/>
      <w:r>
        <w:rPr>
          <w:sz w:val="20"/>
          <w:szCs w:val="20"/>
          <w:rtl/>
        </w:rPr>
        <w:t>כח</w:t>
      </w:r>
      <w:proofErr w:type="spellEnd"/>
      <w:r>
        <w:rPr>
          <w:sz w:val="20"/>
          <w:szCs w:val="20"/>
          <w:rtl/>
        </w:rPr>
        <w:t xml:space="preserve"> לעיל.</w:t>
      </w:r>
    </w:p>
  </w:footnote>
  <w:footnote w:id="3019">
    <w:p w14:paraId="12394B2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בדומה לכך, ר׳ אהרן קוטלר לא היה צריך לעשות הפסקה אצל ר׳ </w:t>
      </w:r>
      <w:proofErr w:type="spellStart"/>
      <w:r>
        <w:rPr>
          <w:sz w:val="20"/>
          <w:szCs w:val="20"/>
          <w:rtl/>
        </w:rPr>
        <w:t>דוד׳ל</w:t>
      </w:r>
      <w:proofErr w:type="spellEnd"/>
      <w:r>
        <w:rPr>
          <w:sz w:val="20"/>
          <w:szCs w:val="20"/>
          <w:rtl/>
        </w:rPr>
        <w:t xml:space="preserve"> פרידמן </w:t>
      </w:r>
      <w:proofErr w:type="spellStart"/>
      <w:r>
        <w:rPr>
          <w:sz w:val="20"/>
          <w:szCs w:val="20"/>
          <w:rtl/>
        </w:rPr>
        <w:t>בקרלין</w:t>
      </w:r>
      <w:proofErr w:type="spellEnd"/>
      <w:r>
        <w:rPr>
          <w:sz w:val="20"/>
          <w:szCs w:val="20"/>
          <w:rtl/>
        </w:rPr>
        <w:t xml:space="preserve"> כהכנה למעבר המתוכנן, כביכול, לכנסת בית יצחק (ראה הערת שוליים </w:t>
      </w:r>
      <w:r>
        <w:rPr>
          <w:sz w:val="20"/>
          <w:szCs w:val="20"/>
          <w:rtl/>
        </w:rPr>
        <w:fldChar w:fldCharType="begin" w:dirty="true"/>
      </w:r>
      <w:r>
        <w:rPr>
          <w:sz w:val="20"/>
          <w:szCs w:val="20"/>
          <w:rtl/>
        </w:rPr>
        <w:instrText xml:space="preserve"> NOTEREF pr_f_2896 \h </w:instrText>
      </w:r>
      <w:r>
        <w:rPr>
          <w:sz w:val="20"/>
          <w:szCs w:val="20"/>
          <w:rtl/>
        </w:rPr>
      </w:r>
      <w:r>
        <w:rPr>
          <w:sz w:val="20"/>
          <w:szCs w:val="20"/>
          <w:rtl/>
        </w:rPr>
        <w:fldChar w:fldCharType="separate"/>
      </w:r>
      <w:r w:rsidR="007923E9">
        <w:rPr>
          <w:sz w:val="20"/>
          <w:szCs w:val="20"/>
          <w:rtl/>
        </w:rPr>
        <w:t>1944</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pr_f_2896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שהרי ר׳ אהרן כבר למד בה לפני שבא לכנסת ישראל, כפי שנתבאר בפרק 2, נספח ד.</w:t>
      </w:r>
    </w:p>
  </w:footnote>
  <w:footnote w:id="3020">
    <w:p w14:paraId="3B0608F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חיים </w:t>
      </w:r>
      <w:proofErr w:type="spellStart"/>
      <w:r>
        <w:rPr>
          <w:sz w:val="20"/>
          <w:szCs w:val="20"/>
          <w:rtl/>
        </w:rPr>
        <w:t>גרוזובסקי</w:t>
      </w:r>
      <w:proofErr w:type="spellEnd"/>
      <w:r>
        <w:rPr>
          <w:sz w:val="20"/>
          <w:szCs w:val="20"/>
          <w:rtl/>
        </w:rPr>
        <w:t xml:space="preserve"> בשם </w:t>
      </w:r>
      <w:proofErr w:type="spellStart"/>
      <w:r>
        <w:rPr>
          <w:sz w:val="20"/>
          <w:szCs w:val="20"/>
          <w:rtl/>
        </w:rPr>
        <w:t>אמו</w:t>
      </w:r>
      <w:proofErr w:type="spellEnd"/>
      <w:r>
        <w:rPr>
          <w:sz w:val="20"/>
          <w:szCs w:val="20"/>
          <w:rtl/>
        </w:rPr>
        <w:t>.</w:t>
      </w:r>
    </w:p>
  </w:footnote>
  <w:footnote w:id="3021">
    <w:p w14:paraId="7191C83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 אלי׳ שווי בשם אביו.</w:t>
      </w:r>
    </w:p>
  </w:footnote>
  <w:footnote w:id="3022">
    <w:p w14:paraId="00BB98F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כץ, “תנועת המוסר”, כרך ג, עמ׳ 40.</w:t>
      </w:r>
    </w:p>
  </w:footnote>
  <w:footnote w:id="3023">
    <w:p w14:paraId="37E7F64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בעת הזאת נשכרו קצבים תקיפים כדי לסלק בכוח את הגבאים המתנגדים למוסר – ראה נספח </w:t>
      </w:r>
      <w:proofErr w:type="spellStart"/>
      <w:r>
        <w:rPr>
          <w:sz w:val="20"/>
          <w:szCs w:val="20"/>
          <w:rtl/>
        </w:rPr>
        <w:t>כב</w:t>
      </w:r>
      <w:proofErr w:type="spellEnd"/>
      <w:r>
        <w:rPr>
          <w:sz w:val="20"/>
          <w:szCs w:val="20"/>
          <w:rtl/>
        </w:rPr>
        <w:t xml:space="preserve"> לעיל.</w:t>
      </w:r>
    </w:p>
  </w:footnote>
  <w:footnote w:id="3024">
    <w:p w14:paraId="58DEC9C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64–65.</w:t>
      </w:r>
    </w:p>
  </w:footnote>
  <w:footnote w:id="3025">
    <w:p w14:paraId="75EF6BA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2.</w:t>
      </w:r>
    </w:p>
  </w:footnote>
  <w:footnote w:id="3026">
    <w:p w14:paraId="7D028EE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ט לעיל – עמ׳ 130–150.</w:t>
      </w:r>
    </w:p>
  </w:footnote>
  <w:footnote w:id="3027">
    <w:p w14:paraId="663149F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הפסקה השלישית בנספח </w:t>
      </w:r>
      <w:proofErr w:type="spellStart"/>
      <w:r>
        <w:rPr>
          <w:sz w:val="20"/>
          <w:szCs w:val="20"/>
          <w:rtl/>
        </w:rPr>
        <w:t>יח</w:t>
      </w:r>
      <w:proofErr w:type="spellEnd"/>
      <w:r>
        <w:rPr>
          <w:sz w:val="20"/>
          <w:szCs w:val="20"/>
          <w:rtl/>
        </w:rPr>
        <w:t xml:space="preserve"> לעיל.</w:t>
      </w:r>
    </w:p>
  </w:footnote>
  <w:footnote w:id="3028">
    <w:p w14:paraId="0BF0B54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כ.</w:t>
      </w:r>
    </w:p>
  </w:footnote>
  <w:footnote w:id="3029">
    <w:p w14:paraId="2C66042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ועיין אבן עזרא שמות </w:t>
      </w:r>
      <w:proofErr w:type="spellStart"/>
      <w:r>
        <w:rPr>
          <w:sz w:val="20"/>
          <w:szCs w:val="20"/>
          <w:rtl/>
        </w:rPr>
        <w:t>יח:כא</w:t>
      </w:r>
      <w:proofErr w:type="spellEnd"/>
      <w:r>
        <w:rPr>
          <w:sz w:val="20"/>
          <w:szCs w:val="20"/>
          <w:rtl/>
        </w:rPr>
        <w:t xml:space="preserve"> שכ׳ כי לא ייתכן להיות ירא שמים כראוי רק מי שהוא חכם.</w:t>
      </w:r>
    </w:p>
  </w:footnote>
  <w:footnote w:id="3030">
    <w:p w14:paraId="60BA5D4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מוסף ערב </w:t>
      </w:r>
      <w:proofErr w:type="spellStart"/>
      <w:r>
        <w:rPr>
          <w:sz w:val="20"/>
          <w:szCs w:val="20"/>
          <w:rtl/>
        </w:rPr>
        <w:t>שב״ק</w:t>
      </w:r>
      <w:proofErr w:type="spellEnd"/>
      <w:r>
        <w:rPr>
          <w:sz w:val="20"/>
          <w:szCs w:val="20"/>
          <w:rtl/>
        </w:rPr>
        <w:t xml:space="preserve"> פרשת מצורע תשנ״ה.</w:t>
      </w:r>
    </w:p>
  </w:footnote>
  <w:footnote w:id="3031">
    <w:p w14:paraId="689A4CF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ב־17 במרץ 1988.</w:t>
      </w:r>
    </w:p>
  </w:footnote>
  <w:footnote w:id="3032">
    <w:p w14:paraId="028721C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267.</w:t>
      </w:r>
    </w:p>
  </w:footnote>
  <w:footnote w:id="3033">
    <w:p w14:paraId="1526BF4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לאמרתו של הרב </w:t>
      </w:r>
      <w:proofErr w:type="spellStart"/>
      <w:r>
        <w:rPr>
          <w:sz w:val="20"/>
          <w:szCs w:val="20"/>
          <w:rtl/>
        </w:rPr>
        <w:t>משינאווא</w:t>
      </w:r>
      <w:proofErr w:type="spellEnd"/>
      <w:r>
        <w:rPr>
          <w:sz w:val="20"/>
          <w:szCs w:val="20"/>
          <w:rtl/>
        </w:rPr>
        <w:t xml:space="preserve"> הוסיף בנו, הרב </w:t>
      </w:r>
      <w:proofErr w:type="spellStart"/>
      <w:r>
        <w:rPr>
          <w:sz w:val="20"/>
          <w:szCs w:val="20"/>
          <w:rtl/>
        </w:rPr>
        <w:t>מסטרופקוב</w:t>
      </w:r>
      <w:proofErr w:type="spellEnd"/>
      <w:r>
        <w:rPr>
          <w:sz w:val="20"/>
          <w:szCs w:val="20"/>
          <w:rtl/>
        </w:rPr>
        <w:t xml:space="preserve">, ר׳ </w:t>
      </w:r>
      <w:proofErr w:type="spellStart"/>
      <w:r>
        <w:rPr>
          <w:sz w:val="20"/>
          <w:szCs w:val="20"/>
          <w:rtl/>
        </w:rPr>
        <w:t>אברהם־שלום</w:t>
      </w:r>
      <w:proofErr w:type="spellEnd"/>
      <w:r>
        <w:rPr>
          <w:sz w:val="20"/>
          <w:szCs w:val="20"/>
          <w:rtl/>
        </w:rPr>
        <w:t xml:space="preserve"> </w:t>
      </w:r>
      <w:proofErr w:type="spellStart"/>
      <w:r>
        <w:rPr>
          <w:sz w:val="20"/>
          <w:szCs w:val="20"/>
          <w:rtl/>
        </w:rPr>
        <w:t>הלברשטם</w:t>
      </w:r>
      <w:proofErr w:type="spellEnd"/>
      <w:r>
        <w:rPr>
          <w:sz w:val="20"/>
          <w:szCs w:val="20"/>
          <w:rtl/>
        </w:rPr>
        <w:t xml:space="preserve">, את הפסוק באיכה ג:כו כסימן זיכרון המונה את שלוש הדרישות, בסדרו של הרב </w:t>
      </w:r>
      <w:proofErr w:type="spellStart"/>
      <w:r>
        <w:rPr>
          <w:sz w:val="20"/>
          <w:szCs w:val="20"/>
          <w:rtl/>
        </w:rPr>
        <w:t>משינאווא</w:t>
      </w:r>
      <w:proofErr w:type="spellEnd"/>
      <w:r>
        <w:rPr>
          <w:sz w:val="20"/>
          <w:szCs w:val="20"/>
          <w:rtl/>
        </w:rPr>
        <w:t>: “טוב ויחיל ודומם” – טוב: טוּב; ויחיל: יראה (מן השמים); ודומם: שתיקה, הסייג לחכמה, כמאמר אבות פ״ג מי״ג: “סייג לחכמה שתיקה”.</w:t>
      </w:r>
    </w:p>
  </w:footnote>
  <w:footnote w:id="3034">
    <w:p w14:paraId="0A8502A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2.</w:t>
      </w:r>
    </w:p>
  </w:footnote>
  <w:footnote w:id="3035">
    <w:p w14:paraId="2BC394D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גיליון טבת תשנ״ב.</w:t>
      </w:r>
    </w:p>
  </w:footnote>
  <w:footnote w:id="3036">
    <w:p w14:paraId="0930C8B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בעמ׳ 21–22.</w:t>
      </w:r>
    </w:p>
  </w:footnote>
  <w:footnote w:id="3037">
    <w:p w14:paraId="2F91674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א לעיל – עמ׳ 22 בחלק הנקרא “שיחות חפץ חיים”.</w:t>
      </w:r>
    </w:p>
  </w:footnote>
  <w:footnote w:id="3038">
    <w:p w14:paraId="783300B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לא השתייך לאסכולת המוסר; ראה הפסקה השנייה בנספח </w:t>
      </w:r>
      <w:proofErr w:type="spellStart"/>
      <w:r>
        <w:rPr>
          <w:sz w:val="20"/>
          <w:szCs w:val="20"/>
          <w:rtl/>
        </w:rPr>
        <w:t>כא</w:t>
      </w:r>
      <w:proofErr w:type="spellEnd"/>
      <w:r>
        <w:rPr>
          <w:sz w:val="20"/>
          <w:szCs w:val="20"/>
          <w:rtl/>
        </w:rPr>
        <w:t xml:space="preserve"> לעיל.</w:t>
      </w:r>
    </w:p>
  </w:footnote>
  <w:footnote w:id="3039">
    <w:p w14:paraId="57AFD0C9" w14:textId="77777777" w:rsidR="00AB3647" w:rsidRDefault="00000000">
      <w:pPr>
        <w:spacing w:after="0" w:before="0"/>
        <w:jc w:val="both"/>
      </w:pPr>
      <w:r>
        <w:rPr>
          <w:sz w:val="20"/>
          <w:szCs w:val="20"/>
          <w:rtl/>
        </w:rPr>
        <w:footnoteRef/>
      </w:r>
      <w:r>
        <w:rPr>
          <w:sz w:val="20"/>
          <w:szCs w:val="20"/>
          <w:rtl/>
        </w:rPr>
        <w:t>. פרק 3, נספח א – עמ׳ מח, במאמר מאת יעקב משה לסין.</w:t>
      </w:r>
    </w:p>
  </w:footnote>
  <w:footnote w:id="3040">
    <w:p w14:paraId="0EE99A8C" w14:textId="77777777" w:rsidR="00AB3647" w:rsidRDefault="00000000">
      <w:pPr>
        <w:spacing w:after="0" w:before="0"/>
        <w:jc w:val="both"/>
      </w:pPr>
      <w:r>
        <w:rPr>
          <w:sz w:val="20"/>
          <w:szCs w:val="20"/>
          <w:rtl/>
        </w:rPr>
        <w:footnoteRef/>
      </w:r>
      <w:r>
        <w:rPr>
          <w:sz w:val="20"/>
          <w:szCs w:val="20"/>
          <w:rtl/>
        </w:rPr>
        <w:t>. השווה פרק 3, נספח ה, והערה 38 להלן; וכן תחילת סעיף 2 בפרק זה והערה 57 שם.</w:t>
      </w:r>
    </w:p>
  </w:footnote>
  <w:footnote w:id="3041">
    <w:p w14:paraId="32DA9313" w14:textId="77777777" w:rsidR="00AB3647" w:rsidRDefault="00000000">
      <w:pPr>
        <w:spacing w:after="0" w:before="0"/>
        <w:jc w:val="both"/>
      </w:pPr>
      <w:r>
        <w:rPr>
          <w:sz w:val="20"/>
          <w:szCs w:val="20"/>
          <w:rtl/>
        </w:rPr>
        <w:footnoteRef/>
      </w:r>
      <w:r>
        <w:rPr>
          <w:sz w:val="20"/>
          <w:szCs w:val="20"/>
          <w:rtl/>
        </w:rPr>
        <w:t xml:space="preserve">. עמ׳ </w:t>
      </w:r>
      <w:proofErr w:type="spellStart"/>
      <w:r>
        <w:rPr>
          <w:sz w:val="20"/>
          <w:szCs w:val="20"/>
          <w:rtl/>
        </w:rPr>
        <w:t>יג</w:t>
      </w:r>
      <w:proofErr w:type="spellEnd"/>
      <w:r>
        <w:rPr>
          <w:sz w:val="20"/>
          <w:szCs w:val="20"/>
          <w:rtl/>
        </w:rPr>
        <w:t>.</w:t>
      </w:r>
    </w:p>
  </w:footnote>
  <w:footnote w:id="3042">
    <w:p w14:paraId="06490BCF" w14:textId="77777777" w:rsidR="00AB3647" w:rsidRDefault="00000000">
      <w:pPr>
        <w:spacing w:after="0" w:before="0"/>
        <w:jc w:val="both"/>
      </w:pPr>
      <w:r>
        <w:rPr>
          <w:sz w:val="20"/>
          <w:szCs w:val="20"/>
          <w:rtl/>
        </w:rPr>
        <w:footnoteRef/>
      </w:r>
      <w:r>
        <w:rPr>
          <w:sz w:val="20"/>
          <w:szCs w:val="20"/>
          <w:rtl/>
        </w:rPr>
        <w:t xml:space="preserve">. שם, עמ׳ </w:t>
      </w:r>
      <w:proofErr w:type="spellStart"/>
      <w:r>
        <w:rPr>
          <w:sz w:val="20"/>
          <w:szCs w:val="20"/>
          <w:rtl/>
        </w:rPr>
        <w:t>יט</w:t>
      </w:r>
      <w:proofErr w:type="spellEnd"/>
      <w:r>
        <w:rPr>
          <w:sz w:val="20"/>
          <w:szCs w:val="20"/>
          <w:rtl/>
        </w:rPr>
        <w:t>.</w:t>
      </w:r>
    </w:p>
  </w:footnote>
  <w:footnote w:id="3043">
    <w:p w14:paraId="3B56B7C0" w14:textId="77777777" w:rsidR="00AB3647" w:rsidRDefault="00000000">
      <w:pPr>
        <w:spacing w:after="0" w:before="0"/>
        <w:jc w:val="both"/>
      </w:pPr>
      <w:r>
        <w:rPr>
          <w:sz w:val="20"/>
          <w:szCs w:val="20"/>
          <w:rtl/>
        </w:rPr>
        <w:footnoteRef/>
      </w:r>
      <w:r>
        <w:rPr>
          <w:sz w:val="20"/>
          <w:szCs w:val="20"/>
          <w:rtl/>
        </w:rPr>
        <w:t>. משלי יא, ב.</w:t>
      </w:r>
    </w:p>
  </w:footnote>
  <w:footnote w:id="3044">
    <w:p w14:paraId="08D41965" w14:textId="77777777" w:rsidR="00AB3647" w:rsidRDefault="00000000">
      <w:pPr>
        <w:spacing w:after="0" w:before="0"/>
        <w:jc w:val="both"/>
      </w:pPr>
      <w:r>
        <w:rPr>
          <w:sz w:val="20"/>
          <w:szCs w:val="20"/>
          <w:rtl/>
        </w:rPr>
        <w:footnoteRef/>
      </w:r>
      <w:r>
        <w:rPr>
          <w:sz w:val="20"/>
          <w:szCs w:val="20"/>
          <w:rtl/>
        </w:rPr>
        <w:t>. השווה גם תחילת נספח י להלן.</w:t>
      </w:r>
    </w:p>
  </w:footnote>
  <w:footnote w:id="3045">
    <w:p w14:paraId="4BDEE699" w14:textId="77777777" w:rsidR="00AB3647" w:rsidRDefault="00000000">
      <w:pPr>
        <w:spacing w:after="0" w:before="0"/>
        <w:jc w:val="both"/>
      </w:pPr>
      <w:r>
        <w:rPr>
          <w:sz w:val="20"/>
          <w:szCs w:val="20"/>
          <w:rtl/>
        </w:rPr>
        <w:footnoteRef/>
      </w:r>
      <w:r>
        <w:rPr>
          <w:sz w:val="20"/>
          <w:szCs w:val="20"/>
          <w:rtl/>
        </w:rPr>
        <w:t>. הוצאת כרם, ניו יורק, תשט״ז – עמ׳ 4.</w:t>
      </w:r>
    </w:p>
  </w:footnote>
  <w:footnote w:id="3046">
    <w:p w14:paraId="41414A2F"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rFonts w:ascii="David" w:eastAsia="David" w:hAnsi="David" w:cs="David"/>
          <w:sz w:val="20"/>
          <w:szCs w:val="20"/>
          <w:rtl/>
        </w:rPr>
        <w:t xml:space="preserve"/>
      </w:r>
      <w:r>
        <w:rPr>
          <w:b/>
          <w:color w:val="000000"/>
          <w:sz w:val="20"/>
          <w:szCs w:val="20"/>
          <w:rtl/>
        </w:rPr>
        <w:t xml:space="preserve">הערת המתרגם: </w:t>
      </w:r>
      <w:r>
        <w:rPr>
          <w:sz w:val="20"/>
          <w:szCs w:val="20"/>
          <w:rtl/>
        </w:rPr>
        <w:t xml:space="preserve">השיר מובא כאן בתרגום חוזר מן התרגום האנגלי שבמקור; נוסחו העברי </w:t>
      </w:r>
      <w:proofErr w:type="spellStart"/>
      <w:r>
        <w:rPr>
          <w:sz w:val="20"/>
          <w:szCs w:val="20"/>
          <w:rtl/>
        </w:rPr>
        <w:t>שב“הדת</w:t>
      </w:r>
      <w:proofErr w:type="spellEnd"/>
      <w:r>
        <w:rPr>
          <w:sz w:val="20"/>
          <w:szCs w:val="20"/>
          <w:rtl/>
        </w:rPr>
        <w:t xml:space="preserve"> והחיים” לא היה בידי.</w:t>
      </w:r>
    </w:p>
  </w:footnote>
  <w:footnote w:id="3047">
    <w:p w14:paraId="00C7B54F" w14:textId="77777777" w:rsidR="00AB3647" w:rsidRDefault="00000000">
      <w:pPr>
        <w:spacing w:after="0" w:before="0"/>
        <w:jc w:val="both"/>
      </w:pPr>
      <w:r>
        <w:rPr>
          <w:sz w:val="20"/>
          <w:szCs w:val="20"/>
          <w:rtl/>
        </w:rPr>
        <w:footnoteRef/>
      </w:r>
      <w:r>
        <w:rPr>
          <w:sz w:val="20"/>
          <w:szCs w:val="20"/>
          <w:rtl/>
        </w:rPr>
        <w:t xml:space="preserve">. נתן צבי </w:t>
      </w:r>
      <w:proofErr w:type="spellStart"/>
      <w:r>
        <w:rPr>
          <w:sz w:val="20"/>
          <w:szCs w:val="20"/>
          <w:rtl/>
        </w:rPr>
        <w:t>פינקל</w:t>
      </w:r>
      <w:proofErr w:type="spellEnd"/>
      <w:r>
        <w:rPr>
          <w:sz w:val="20"/>
          <w:szCs w:val="20"/>
          <w:rtl/>
        </w:rPr>
        <w:t>.</w:t>
      </w:r>
    </w:p>
  </w:footnote>
  <w:footnote w:id="3048">
    <w:p w14:paraId="08834F13" w14:textId="77777777" w:rsidR="00AB3647" w:rsidRDefault="00000000">
      <w:pPr>
        <w:spacing w:after="0" w:before="0"/>
        <w:jc w:val="both"/>
      </w:pPr>
      <w:r>
        <w:rPr>
          <w:sz w:val="20"/>
          <w:szCs w:val="20"/>
          <w:rtl/>
        </w:rPr>
        <w:footnoteRef/>
      </w:r>
      <w:r>
        <w:rPr>
          <w:sz w:val="20"/>
          <w:szCs w:val="20"/>
          <w:rtl/>
        </w:rPr>
        <w:t>. ייתכן שהה״א היא ראשי התיבות של הירש.</w:t>
      </w:r>
    </w:p>
  </w:footnote>
  <w:footnote w:id="3049">
    <w:p w14:paraId="307D484C" w14:textId="77777777" w:rsidR="00AB3647" w:rsidRDefault="00000000">
      <w:pPr>
        <w:spacing w:after="0" w:before="0"/>
        <w:jc w:val="both"/>
      </w:pPr>
      <w:r>
        <w:rPr>
          <w:sz w:val="20"/>
          <w:szCs w:val="20"/>
          <w:rtl/>
        </w:rPr>
        <w:footnoteRef/>
      </w:r>
      <w:r>
        <w:rPr>
          <w:sz w:val="20"/>
          <w:szCs w:val="20"/>
          <w:rtl/>
        </w:rPr>
        <w:t>. זו המשמעות אם קוראים הַצָּפוּן; הקריאה הַצּוֹפֶן, שמשמעותה קוד, אינה נכונה, מפני שמילה זו נטבעה לאחר ימי הסבא.</w:t>
      </w:r>
    </w:p>
  </w:footnote>
  <w:footnote w:id="3050">
    <w:p w14:paraId="514B5A05" w14:textId="77777777" w:rsidR="00AB3647" w:rsidRDefault="00000000">
      <w:pPr>
        <w:spacing w:after="0" w:before="0"/>
        <w:jc w:val="both"/>
      </w:pPr>
      <w:r>
        <w:rPr>
          <w:sz w:val="20"/>
          <w:szCs w:val="20"/>
          <w:rtl/>
        </w:rPr>
        <w:footnoteRef/>
      </w:r>
      <w:r>
        <w:rPr>
          <w:sz w:val="20"/>
          <w:szCs w:val="20"/>
          <w:rtl/>
        </w:rPr>
        <w:t>. השווה כרך 2.</w:t>
      </w:r>
    </w:p>
  </w:footnote>
  <w:footnote w:id="3051">
    <w:p w14:paraId="52C9622C" w14:textId="77777777" w:rsidR="00AB3647" w:rsidRDefault="00000000">
      <w:pPr>
        <w:spacing w:after="0" w:before="0"/>
        <w:jc w:val="both"/>
      </w:pPr>
      <w:r>
        <w:rPr>
          <w:sz w:val="20"/>
          <w:szCs w:val="20"/>
          <w:rtl/>
        </w:rPr>
        <w:footnoteRef/>
      </w:r>
      <w:r>
        <w:rPr>
          <w:sz w:val="20"/>
          <w:szCs w:val="20"/>
          <w:rtl/>
        </w:rPr>
        <w:t>. פרק 2, הערה 93.</w:t>
      </w:r>
    </w:p>
  </w:footnote>
  <w:footnote w:id="3052">
    <w:p w14:paraId="12C806CE" w14:textId="77777777" w:rsidR="00AB3647" w:rsidRDefault="00000000">
      <w:pPr>
        <w:spacing w:after="0" w:before="0"/>
        <w:jc w:val="both"/>
      </w:pPr>
      <w:r>
        <w:rPr>
          <w:sz w:val="20"/>
          <w:szCs w:val="20"/>
          <w:rtl/>
        </w:rPr>
        <w:footnoteRef/>
      </w:r>
      <w:r>
        <w:rPr>
          <w:sz w:val="20"/>
          <w:szCs w:val="20"/>
          <w:rtl/>
        </w:rPr>
        <w:t>. עמ׳ לה, במאמר מאת דב כץ.</w:t>
      </w:r>
    </w:p>
  </w:footnote>
  <w:footnote w:id="3053">
    <w:p w14:paraId="1EB9D7FE" w14:textId="77777777" w:rsidR="00AB3647" w:rsidRDefault="00000000">
      <w:pPr>
        <w:spacing w:after="0" w:before="0"/>
        <w:jc w:val="both"/>
      </w:pPr>
      <w:r>
        <w:rPr>
          <w:sz w:val="20"/>
          <w:szCs w:val="20"/>
          <w:rtl/>
        </w:rPr>
        <w:footnoteRef/>
      </w:r>
      <w:r>
        <w:rPr>
          <w:sz w:val="20"/>
          <w:szCs w:val="20"/>
          <w:rtl/>
        </w:rPr>
        <w:t>. המקור הנזכר בפרק 2, נספח ו – עמ׳ 117.</w:t>
      </w:r>
    </w:p>
  </w:footnote>
  <w:footnote w:id="3054">
    <w:p w14:paraId="5A9FE5DE" w14:textId="77777777" w:rsidR="00AB3647" w:rsidRDefault="00000000">
      <w:pPr>
        <w:spacing w:after="0" w:before="0"/>
        <w:jc w:val="both"/>
      </w:pPr>
      <w:r>
        <w:rPr>
          <w:sz w:val="20"/>
          <w:szCs w:val="20"/>
          <w:rtl/>
        </w:rPr>
        <w:footnoteRef/>
      </w:r>
      <w:r>
        <w:rPr>
          <w:sz w:val="20"/>
          <w:szCs w:val="20"/>
          <w:rtl/>
        </w:rPr>
        <w:t>. השווה כץ, “תנועת המוסר”, כרך ג, פרק 17: מובאות מפנקסו הפרטי.</w:t>
      </w:r>
    </w:p>
  </w:footnote>
  <w:footnote w:id="3055">
    <w:p w14:paraId="43425123" w14:textId="77777777" w:rsidR="00AB3647" w:rsidRDefault="00000000">
      <w:pPr>
        <w:spacing w:after="0" w:before="0"/>
        <w:jc w:val="both"/>
      </w:pPr>
      <w:r>
        <w:rPr>
          <w:sz w:val="20"/>
          <w:szCs w:val="20"/>
          <w:rtl/>
        </w:rPr>
        <w:footnoteRef/>
      </w:r>
      <w:r>
        <w:rPr>
          <w:sz w:val="20"/>
          <w:szCs w:val="20"/>
          <w:rtl/>
        </w:rPr>
        <w:t>. השווה שם, וכן תצלום המכתב שם, עמ׳ 117, בשורה שלפני חתימתו.</w:t>
      </w:r>
    </w:p>
  </w:footnote>
  <w:footnote w:id="3056">
    <w:p w14:paraId="622F7D3C" w14:textId="77777777" w:rsidR="00AB3647" w:rsidRDefault="00000000">
      <w:pPr>
        <w:spacing w:after="0" w:before="0"/>
        <w:jc w:val="both"/>
      </w:pPr>
      <w:r>
        <w:rPr>
          <w:sz w:val="20"/>
          <w:szCs w:val="20"/>
          <w:rtl/>
        </w:rPr>
        <w:footnoteRef/>
      </w:r>
      <w:r>
        <w:rPr>
          <w:sz w:val="20"/>
          <w:szCs w:val="20"/>
          <w:rtl/>
        </w:rPr>
        <w:t xml:space="preserve">. כך מתוארך מכתבו לאבי, וכך גם שער החוברת “עץ פרי” (פרק 3, נספח א). במקרה האחרון, במקום לכתוב את השנה במפורש, תרמ״א, בחר הסבא לשנות לשון פסוק בתהלים </w:t>
      </w:r>
      <w:proofErr w:type="spellStart"/>
      <w:r>
        <w:rPr>
          <w:sz w:val="20"/>
          <w:szCs w:val="20"/>
          <w:rtl/>
        </w:rPr>
        <w:t>קג</w:t>
      </w:r>
      <w:proofErr w:type="spellEnd"/>
      <w:r>
        <w:rPr>
          <w:sz w:val="20"/>
          <w:szCs w:val="20"/>
          <w:rtl/>
        </w:rPr>
        <w:t xml:space="preserve">, </w:t>
      </w:r>
      <w:proofErr w:type="spellStart"/>
      <w:r>
        <w:rPr>
          <w:sz w:val="20"/>
          <w:szCs w:val="20"/>
          <w:rtl/>
        </w:rPr>
        <w:t>יג</w:t>
      </w:r>
      <w:proofErr w:type="spellEnd"/>
      <w:r>
        <w:rPr>
          <w:sz w:val="20"/>
          <w:szCs w:val="20"/>
          <w:rtl/>
        </w:rPr>
        <w:t xml:space="preserve">: הוסיף מילה בת שתי אותיות בראשו והכניס אות במילה האחרונה, כדי להגיע לגימטרייה הדרושה: “כי רחם ה׳ על </w:t>
      </w:r>
      <w:proofErr w:type="spellStart"/>
      <w:r>
        <w:rPr>
          <w:sz w:val="20"/>
          <w:szCs w:val="20"/>
          <w:rtl/>
        </w:rPr>
        <w:t>יריאיו</w:t>
      </w:r>
      <w:proofErr w:type="spellEnd"/>
      <w:r>
        <w:rPr>
          <w:sz w:val="20"/>
          <w:szCs w:val="20"/>
          <w:rtl/>
        </w:rPr>
        <w:t>” (כששם ה׳ נכתב במלואו).</w:t>
      </w:r>
    </w:p>
  </w:footnote>
  <w:footnote w:id="3057">
    <w:p w14:paraId="52E4589D" w14:textId="77777777" w:rsidR="00AB3647" w:rsidRDefault="00000000">
      <w:pPr>
        <w:spacing w:after="0" w:before="0"/>
        <w:jc w:val="both"/>
      </w:pPr>
      <w:r>
        <w:rPr>
          <w:sz w:val="20"/>
          <w:szCs w:val="20"/>
          <w:rtl/>
        </w:rPr>
        <w:footnoteRef/>
      </w:r>
      <w:r>
        <w:rPr>
          <w:sz w:val="20"/>
          <w:szCs w:val="20"/>
          <w:rtl/>
        </w:rPr>
        <w:t>. השווה סוף הפסקה השנייה בפרק 3, הערה 16.</w:t>
      </w:r>
    </w:p>
  </w:footnote>
  <w:footnote w:id="3058">
    <w:p w14:paraId="1D285581" w14:textId="77777777" w:rsidR="00AB3647" w:rsidRDefault="00000000">
      <w:pPr>
        <w:spacing w:after="0" w:before="0"/>
        <w:jc w:val="both"/>
      </w:pPr>
      <w:r>
        <w:rPr>
          <w:sz w:val="20"/>
          <w:szCs w:val="20"/>
          <w:rtl/>
        </w:rPr>
        <w:footnoteRef/>
      </w:r>
      <w:r>
        <w:rPr>
          <w:sz w:val="20"/>
          <w:szCs w:val="20"/>
          <w:rtl/>
        </w:rPr>
        <w:t xml:space="preserve">. ראה יומא ד ע״ב: “מנין לאומר דבר </w:t>
      </w:r>
      <w:proofErr w:type="spellStart"/>
      <w:r>
        <w:rPr>
          <w:sz w:val="20"/>
          <w:szCs w:val="20"/>
          <w:rtl/>
        </w:rPr>
        <w:t>לחבירו</w:t>
      </w:r>
      <w:proofErr w:type="spellEnd"/>
      <w:r>
        <w:rPr>
          <w:sz w:val="20"/>
          <w:szCs w:val="20"/>
          <w:rtl/>
        </w:rPr>
        <w:t xml:space="preserve">” </w:t>
      </w:r>
      <w:proofErr w:type="spellStart"/>
      <w:r>
        <w:rPr>
          <w:sz w:val="20"/>
          <w:szCs w:val="20"/>
          <w:rtl/>
        </w:rPr>
        <w:t>וכו</w:t>
      </w:r>
      <w:proofErr w:type="spellEnd"/>
      <w:r>
        <w:rPr>
          <w:sz w:val="20"/>
          <w:szCs w:val="20"/>
          <w:rtl/>
        </w:rPr>
        <w:t>׳.</w:t>
      </w:r>
    </w:p>
  </w:footnote>
  <w:footnote w:id="3059">
    <w:p w14:paraId="2F6500DE" w14:textId="77777777" w:rsidR="00AB3647" w:rsidRDefault="00000000">
      <w:pPr>
        <w:spacing w:after="0" w:before="0"/>
        <w:jc w:val="both"/>
      </w:pPr>
      <w:r>
        <w:rPr>
          <w:sz w:val="20"/>
          <w:szCs w:val="20"/>
          <w:rtl/>
        </w:rPr>
        <w:footnoteRef/>
      </w:r>
      <w:r>
        <w:rPr>
          <w:sz w:val="20"/>
          <w:szCs w:val="20"/>
          <w:rtl/>
        </w:rPr>
        <w:t>. השווה פרק 3, הפסקה השנייה של נספח ה.</w:t>
      </w:r>
    </w:p>
  </w:footnote>
  <w:footnote w:id="3060">
    <w:p w14:paraId="50DF17AB" w14:textId="77777777" w:rsidR="00AB3647" w:rsidRDefault="00000000">
      <w:pPr>
        <w:spacing w:after="0" w:before="0"/>
        <w:jc w:val="both"/>
      </w:pPr>
      <w:r>
        <w:rPr>
          <w:sz w:val="20"/>
          <w:szCs w:val="20"/>
          <w:rtl/>
        </w:rPr>
        <w:footnoteRef/>
      </w:r>
      <w:r>
        <w:rPr>
          <w:sz w:val="20"/>
          <w:szCs w:val="20"/>
          <w:rtl/>
        </w:rPr>
        <w:t>. עמ׳ 213.</w:t>
      </w:r>
    </w:p>
  </w:footnote>
  <w:footnote w:id="3061">
    <w:p w14:paraId="199BDEDA" w14:textId="77777777" w:rsidR="00AB3647" w:rsidRDefault="00000000">
      <w:pPr>
        <w:spacing w:after="0" w:before="0"/>
        <w:jc w:val="both"/>
      </w:pPr>
      <w:r>
        <w:rPr>
          <w:sz w:val="20"/>
          <w:szCs w:val="20"/>
          <w:rtl/>
        </w:rPr>
        <w:footnoteRef/>
      </w:r>
      <w:r>
        <w:rPr>
          <w:sz w:val="20"/>
          <w:szCs w:val="20"/>
          <w:rtl/>
        </w:rPr>
        <w:t>. ריאיון מיום 13 בנובמבר 1987.</w:t>
      </w:r>
    </w:p>
  </w:footnote>
  <w:footnote w:id="3062">
    <w:p w14:paraId="0BC121F9" w14:textId="77777777" w:rsidR="00AB3647" w:rsidRDefault="00000000">
      <w:pPr>
        <w:spacing w:after="0" w:before="0"/>
        <w:jc w:val="both"/>
      </w:pPr>
      <w:r>
        <w:rPr>
          <w:sz w:val="20"/>
          <w:szCs w:val="20"/>
          <w:rtl/>
        </w:rPr>
        <w:footnoteRef/>
      </w:r>
      <w:r>
        <w:rPr>
          <w:sz w:val="20"/>
          <w:szCs w:val="20"/>
          <w:rtl/>
        </w:rPr>
        <w:t xml:space="preserve">. להמשך דברי הרב ברקוביץ על מאורע זה השווה הפסקה השנייה של נספח א בפרק זה. דבריו של ר׳ </w:t>
      </w:r>
      <w:proofErr w:type="spellStart"/>
      <w:r>
        <w:rPr>
          <w:sz w:val="20"/>
          <w:szCs w:val="20"/>
          <w:rtl/>
        </w:rPr>
        <w:t>יוסף־שלמה</w:t>
      </w:r>
      <w:proofErr w:type="spellEnd"/>
      <w:r>
        <w:rPr>
          <w:sz w:val="20"/>
          <w:szCs w:val="20"/>
          <w:rtl/>
        </w:rPr>
        <w:t xml:space="preserve"> ספסל, שאביו, העילוי </w:t>
      </w:r>
      <w:proofErr w:type="spellStart"/>
      <w:r>
        <w:rPr>
          <w:sz w:val="20"/>
          <w:szCs w:val="20"/>
          <w:rtl/>
        </w:rPr>
        <w:t>מווישקי</w:t>
      </w:r>
      <w:proofErr w:type="spellEnd"/>
      <w:r>
        <w:rPr>
          <w:sz w:val="20"/>
          <w:szCs w:val="20"/>
          <w:rtl/>
        </w:rPr>
        <w:t xml:space="preserve">, היה בא לכנסת ישראל כדי “לדבר בלימוד” עם הסבא, מתבארים בעמ׳ </w:t>
      </w:r>
      <w:r>
        <w:rPr>
          <w:sz w:val="20"/>
          <w:szCs w:val="20"/>
          <w:rtl/>
        </w:rPr>
        <w:fldChar w:fldCharType="begin" w:dirty="true"/>
      </w:r>
      <w:r>
        <w:rPr>
          <w:sz w:val="20"/>
          <w:szCs w:val="20"/>
          <w:rtl/>
        </w:rPr>
        <w:instrText xml:space="preserve"> PAGEREF pr_b_857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3063">
    <w:p w14:paraId="0B40F998" w14:textId="77777777" w:rsidR="00AB3647" w:rsidRDefault="00000000">
      <w:pPr>
        <w:spacing w:after="0" w:before="0"/>
        <w:jc w:val="both"/>
      </w:pPr>
      <w:r>
        <w:rPr>
          <w:sz w:val="20"/>
          <w:szCs w:val="20"/>
          <w:rtl/>
        </w:rPr>
        <w:footnoteRef/>
      </w:r>
      <w:r>
        <w:rPr>
          <w:sz w:val="20"/>
          <w:szCs w:val="20"/>
          <w:rtl/>
        </w:rPr>
        <w:t>. עמ׳ 209.</w:t>
      </w:r>
    </w:p>
  </w:footnote>
  <w:footnote w:id="3064">
    <w:p w14:paraId="56B3EF2B" w14:textId="77777777" w:rsidR="00AB3647" w:rsidRDefault="00000000">
      <w:pPr>
        <w:spacing w:after="0" w:before="0"/>
        <w:jc w:val="both"/>
      </w:pPr>
      <w:r>
        <w:rPr>
          <w:sz w:val="20"/>
          <w:szCs w:val="20"/>
          <w:rtl/>
        </w:rPr>
        <w:footnoteRef/>
      </w:r>
      <w:r>
        <w:rPr>
          <w:sz w:val="20"/>
          <w:szCs w:val="20"/>
          <w:rtl/>
        </w:rPr>
        <w:t xml:space="preserve">. השווה פרק 3, נספח </w:t>
      </w:r>
      <w:proofErr w:type="spellStart"/>
      <w:r>
        <w:rPr>
          <w:sz w:val="20"/>
          <w:szCs w:val="20"/>
          <w:rtl/>
        </w:rPr>
        <w:t>כג</w:t>
      </w:r>
      <w:proofErr w:type="spellEnd"/>
      <w:r>
        <w:rPr>
          <w:sz w:val="20"/>
          <w:szCs w:val="20"/>
          <w:rtl/>
        </w:rPr>
        <w:t xml:space="preserve">, ובהמשך סעיף זה, לתיאור </w:t>
      </w:r>
      <w:proofErr w:type="spellStart"/>
      <w:r>
        <w:rPr>
          <w:sz w:val="20"/>
          <w:szCs w:val="20"/>
          <w:rtl/>
        </w:rPr>
        <w:t>ה“דירה</w:t>
      </w:r>
      <w:proofErr w:type="spellEnd"/>
      <w:r>
        <w:rPr>
          <w:sz w:val="20"/>
          <w:szCs w:val="20"/>
          <w:rtl/>
        </w:rPr>
        <w:t>” שאליה עברה.</w:t>
      </w:r>
    </w:p>
  </w:footnote>
  <w:footnote w:id="3065">
    <w:p w14:paraId="4FEB323E" w14:textId="77777777" w:rsidR="00AB3647" w:rsidRDefault="00000000">
      <w:pPr>
        <w:spacing w:after="0" w:before="0"/>
        <w:jc w:val="both"/>
      </w:pPr>
      <w:r>
        <w:rPr>
          <w:sz w:val="20"/>
          <w:szCs w:val="20"/>
          <w:rtl/>
        </w:rPr>
        <w:footnoteRef/>
      </w:r>
      <w:r>
        <w:rPr>
          <w:sz w:val="20"/>
          <w:szCs w:val="20"/>
          <w:rtl/>
        </w:rPr>
        <w:t>. השווה פרק 3, הערה 95.</w:t>
      </w:r>
    </w:p>
  </w:footnote>
  <w:footnote w:id="3066">
    <w:p w14:paraId="0CF34467" w14:textId="77777777" w:rsidR="00AB3647" w:rsidRDefault="00000000">
      <w:pPr>
        <w:spacing w:after="0" w:before="0"/>
        <w:jc w:val="both"/>
      </w:pPr>
      <w:r>
        <w:rPr>
          <w:sz w:val="20"/>
          <w:szCs w:val="20"/>
          <w:rtl/>
        </w:rPr>
        <w:footnoteRef/>
      </w:r>
      <w:r>
        <w:rPr>
          <w:sz w:val="20"/>
          <w:szCs w:val="20"/>
          <w:rtl/>
        </w:rPr>
        <w:t>. עמ׳ 210–211.</w:t>
      </w:r>
    </w:p>
  </w:footnote>
  <w:footnote w:id="3067">
    <w:p w14:paraId="6B93C8A8" w14:textId="77777777" w:rsidR="00AB3647" w:rsidRDefault="00000000">
      <w:pPr>
        <w:spacing w:after="0" w:before="0"/>
        <w:jc w:val="both"/>
      </w:pPr>
      <w:r>
        <w:rPr>
          <w:sz w:val="20"/>
          <w:szCs w:val="20"/>
          <w:rtl/>
        </w:rPr>
        <w:footnoteRef/>
      </w:r>
      <w:r>
        <w:rPr>
          <w:sz w:val="20"/>
          <w:szCs w:val="20"/>
          <w:rtl/>
        </w:rPr>
        <w:t>. פסחים, סימן י.</w:t>
      </w:r>
    </w:p>
  </w:footnote>
  <w:footnote w:id="3068">
    <w:p w14:paraId="1F85B970" w14:textId="77777777" w:rsidR="00AB3647" w:rsidRDefault="00000000">
      <w:pPr>
        <w:spacing w:after="0" w:before="0"/>
        <w:jc w:val="both"/>
      </w:pPr>
      <w:r>
        <w:rPr>
          <w:sz w:val="20"/>
          <w:szCs w:val="20"/>
          <w:rtl/>
        </w:rPr>
        <w:footnoteRef/>
      </w:r>
      <w:r>
        <w:rPr>
          <w:sz w:val="20"/>
          <w:szCs w:val="20"/>
          <w:rtl/>
        </w:rPr>
        <w:t>. פרק 3, סוף נספח ה.</w:t>
      </w:r>
    </w:p>
  </w:footnote>
  <w:footnote w:id="3069">
    <w:p w14:paraId="6827C072" w14:textId="77777777" w:rsidR="00AB3647" w:rsidRDefault="00000000">
      <w:pPr>
        <w:spacing w:after="0" w:before="0"/>
        <w:jc w:val="both"/>
      </w:pPr>
      <w:r>
        <w:rPr>
          <w:sz w:val="20"/>
          <w:szCs w:val="20"/>
          <w:rtl/>
        </w:rPr>
        <w:footnoteRef/>
      </w:r>
      <w:r>
        <w:rPr>
          <w:sz w:val="20"/>
          <w:szCs w:val="20"/>
          <w:rtl/>
        </w:rPr>
        <w:t xml:space="preserve">. אורח חיים סימן </w:t>
      </w:r>
      <w:proofErr w:type="spellStart"/>
      <w:r>
        <w:rPr>
          <w:sz w:val="20"/>
          <w:szCs w:val="20"/>
          <w:rtl/>
        </w:rPr>
        <w:t>רנ</w:t>
      </w:r>
      <w:proofErr w:type="spellEnd"/>
      <w:r>
        <w:rPr>
          <w:sz w:val="20"/>
          <w:szCs w:val="20"/>
          <w:rtl/>
        </w:rPr>
        <w:t xml:space="preserve"> בהגה.</w:t>
      </w:r>
    </w:p>
  </w:footnote>
  <w:footnote w:id="3070">
    <w:p w14:paraId="580ECF8C" w14:textId="77777777" w:rsidR="00AB3647" w:rsidRDefault="00000000">
      <w:pPr>
        <w:spacing w:after="0" w:before="0"/>
        <w:jc w:val="both"/>
      </w:pPr>
      <w:r>
        <w:rPr>
          <w:sz w:val="20"/>
          <w:szCs w:val="20"/>
          <w:rtl/>
        </w:rPr>
        <w:footnoteRef/>
      </w:r>
      <w:r>
        <w:rPr>
          <w:sz w:val="20"/>
          <w:szCs w:val="20"/>
          <w:rtl/>
        </w:rPr>
        <w:t>. במאמר מאת יעקב משה לסין, עמ׳ מח.</w:t>
      </w:r>
    </w:p>
  </w:footnote>
  <w:footnote w:id="3071">
    <w:p w14:paraId="4B3D0A8C" w14:textId="77777777" w:rsidR="00AB3647" w:rsidRDefault="00000000">
      <w:pPr>
        <w:spacing w:after="0" w:before="0"/>
        <w:jc w:val="both"/>
      </w:pPr>
      <w:r>
        <w:rPr>
          <w:sz w:val="20"/>
          <w:szCs w:val="20"/>
          <w:rtl/>
        </w:rPr>
        <w:footnoteRef/>
      </w:r>
      <w:r>
        <w:rPr>
          <w:sz w:val="20"/>
          <w:szCs w:val="20"/>
          <w:rtl/>
        </w:rPr>
        <w:t>. פרק 1, הערה 7.</w:t>
      </w:r>
    </w:p>
  </w:footnote>
  <w:footnote w:id="3072">
    <w:p w14:paraId="7FCA6AC8" w14:textId="77777777" w:rsidR="00AB3647" w:rsidRDefault="00000000">
      <w:pPr>
        <w:spacing w:after="0" w:before="0"/>
        <w:jc w:val="both"/>
      </w:pPr>
      <w:r>
        <w:rPr>
          <w:sz w:val="20"/>
          <w:szCs w:val="20"/>
          <w:rtl/>
        </w:rPr>
        <w:footnoteRef/>
      </w:r>
      <w:r>
        <w:rPr>
          <w:sz w:val="20"/>
          <w:szCs w:val="20"/>
          <w:rtl/>
        </w:rPr>
        <w:t>. שם.</w:t>
      </w:r>
    </w:p>
  </w:footnote>
  <w:footnote w:id="3073">
    <w:p w14:paraId="136F7744" w14:textId="77777777" w:rsidR="00AB3647" w:rsidRDefault="00000000">
      <w:pPr>
        <w:spacing w:after="0" w:before="0"/>
        <w:jc w:val="both"/>
      </w:pPr>
      <w:r>
        <w:rPr>
          <w:sz w:val="20"/>
          <w:szCs w:val="20"/>
          <w:rtl/>
        </w:rPr>
        <w:footnoteRef/>
      </w:r>
      <w:r>
        <w:rPr>
          <w:sz w:val="20"/>
          <w:szCs w:val="20"/>
          <w:rtl/>
        </w:rPr>
        <w:t>. השווה פרק 3, נספח ל.</w:t>
      </w:r>
    </w:p>
  </w:footnote>
  <w:footnote w:id="3074">
    <w:p w14:paraId="363F21E1" w14:textId="77777777" w:rsidR="00AB3647" w:rsidRDefault="00000000">
      <w:pPr>
        <w:spacing w:after="0" w:before="0"/>
        <w:jc w:val="both"/>
      </w:pPr>
      <w:r>
        <w:rPr>
          <w:sz w:val="20"/>
          <w:szCs w:val="20"/>
          <w:rtl/>
        </w:rPr>
        <w:footnoteRef/>
      </w:r>
      <w:r>
        <w:rPr>
          <w:sz w:val="20"/>
          <w:szCs w:val="20"/>
          <w:rtl/>
        </w:rPr>
        <w:t>. פרק 21.</w:t>
      </w:r>
    </w:p>
  </w:footnote>
  <w:footnote w:id="3075">
    <w:p w14:paraId="2F0374BA" w14:textId="77777777" w:rsidR="00AB3647" w:rsidRDefault="00000000">
      <w:pPr>
        <w:spacing w:after="0" w:before="0"/>
        <w:jc w:val="both"/>
      </w:pPr>
      <w:r>
        <w:rPr>
          <w:sz w:val="20"/>
          <w:szCs w:val="20"/>
          <w:rtl/>
        </w:rPr>
        <w:footnoteRef/>
      </w:r>
      <w:r>
        <w:rPr>
          <w:sz w:val="20"/>
          <w:szCs w:val="20"/>
          <w:rtl/>
        </w:rPr>
        <w:t>. המקור הנזכר בפרק 1, נספח ב – עמ׳ 68.</w:t>
      </w:r>
    </w:p>
  </w:footnote>
  <w:footnote w:id="3076">
    <w:p w14:paraId="32A1E20E" w14:textId="77777777" w:rsidR="00AB3647" w:rsidRDefault="00000000">
      <w:pPr>
        <w:spacing w:after="0" w:before="0"/>
        <w:jc w:val="both"/>
      </w:pPr>
      <w:r>
        <w:rPr>
          <w:sz w:val="20"/>
          <w:szCs w:val="20"/>
          <w:rtl/>
        </w:rPr>
        <w:footnoteRef/>
      </w:r>
      <w:r>
        <w:rPr>
          <w:sz w:val="20"/>
          <w:szCs w:val="20"/>
          <w:rtl/>
        </w:rPr>
        <w:t xml:space="preserve">. השווה גם הערת השוליים </w:t>
      </w:r>
      <w:r>
        <w:rPr>
          <w:sz w:val="20"/>
          <w:szCs w:val="20"/>
          <w:rtl/>
        </w:rPr>
        <w:fldChar w:fldCharType="begin" w:dirty="true"/>
      </w:r>
      <w:r>
        <w:rPr>
          <w:sz w:val="20"/>
          <w:szCs w:val="20"/>
          <w:rtl/>
        </w:rPr>
        <w:instrText xml:space="preserve"> NOTEREF pr_f_2522 \h </w:instrText>
      </w:r>
      <w:r>
        <w:rPr>
          <w:sz w:val="20"/>
          <w:szCs w:val="20"/>
          <w:rtl/>
        </w:rPr>
      </w:r>
      <w:r>
        <w:rPr>
          <w:sz w:val="20"/>
          <w:szCs w:val="20"/>
          <w:rtl/>
        </w:rPr>
        <w:fldChar w:fldCharType="separate"/>
      </w:r>
      <w:r w:rsidR="007923E9">
        <w:rPr>
          <w:sz w:val="20"/>
          <w:szCs w:val="20"/>
          <w:rtl/>
        </w:rPr>
        <w:t>1568</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pr_f_2522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המביאה </w:t>
      </w:r>
      <w:proofErr w:type="spellStart"/>
      <w:r>
        <w:rPr>
          <w:sz w:val="20"/>
          <w:szCs w:val="20"/>
          <w:rtl/>
        </w:rPr>
        <w:t>מ“תורת</w:t>
      </w:r>
      <w:proofErr w:type="spellEnd"/>
      <w:r>
        <w:rPr>
          <w:sz w:val="20"/>
          <w:szCs w:val="20"/>
          <w:rtl/>
        </w:rPr>
        <w:t xml:space="preserve"> אברהם” (הפסקה הרביעית בנספח א בפרק זה), עמ׳ רכה.</w:t>
      </w:r>
    </w:p>
  </w:footnote>
  <w:footnote w:id="3077">
    <w:p w14:paraId="076A0ECD" w14:textId="77777777" w:rsidR="00AB3647" w:rsidRDefault="00000000">
      <w:pPr>
        <w:spacing w:after="0" w:before="0"/>
        <w:jc w:val="both"/>
      </w:pPr>
      <w:r>
        <w:rPr>
          <w:sz w:val="20"/>
          <w:szCs w:val="20"/>
          <w:rtl/>
        </w:rPr>
        <w:footnoteRef/>
      </w:r>
      <w:r>
        <w:rPr>
          <w:sz w:val="20"/>
          <w:szCs w:val="20"/>
          <w:rtl/>
        </w:rPr>
        <w:t>. כץ, “תנועת המוסר”, כרך ג, עמ׳ 213.</w:t>
      </w:r>
    </w:p>
  </w:footnote>
  <w:footnote w:id="3078">
    <w:p w14:paraId="0AC68E8A" w14:textId="77777777" w:rsidR="00AB3647" w:rsidRDefault="00000000">
      <w:pPr>
        <w:spacing w:after="0" w:before="0"/>
        <w:jc w:val="both"/>
      </w:pPr>
      <w:r>
        <w:rPr>
          <w:sz w:val="20"/>
          <w:szCs w:val="20"/>
          <w:rtl/>
        </w:rPr>
        <w:footnoteRef/>
      </w:r>
      <w:r>
        <w:rPr>
          <w:sz w:val="20"/>
          <w:szCs w:val="20"/>
          <w:rtl/>
        </w:rPr>
        <w:t>. השווה פרק 3, נספח כה, והפסקה השנייה של נספח ב להלן.</w:t>
      </w:r>
    </w:p>
  </w:footnote>
  <w:footnote w:id="3079">
    <w:p w14:paraId="7E570338" w14:textId="77777777" w:rsidR="00AB3647" w:rsidRDefault="00000000">
      <w:pPr>
        <w:spacing w:after="0" w:before="0"/>
        <w:jc w:val="both"/>
      </w:pPr>
      <w:r>
        <w:rPr>
          <w:sz w:val="20"/>
          <w:szCs w:val="20"/>
          <w:rtl/>
        </w:rPr>
        <w:footnoteRef/>
      </w:r>
      <w:r>
        <w:rPr>
          <w:sz w:val="20"/>
          <w:szCs w:val="20"/>
          <w:rtl/>
        </w:rPr>
        <w:t>. עמ׳ 213, 33.</w:t>
      </w:r>
    </w:p>
  </w:footnote>
  <w:footnote w:id="3080">
    <w:p w14:paraId="6B23794C" w14:textId="77777777" w:rsidR="00AB3647" w:rsidRDefault="00000000">
      <w:pPr>
        <w:spacing w:after="0" w:before="0"/>
        <w:jc w:val="both"/>
      </w:pPr>
      <w:r>
        <w:rPr>
          <w:sz w:val="20"/>
          <w:szCs w:val="20"/>
          <w:rtl/>
        </w:rPr>
        <w:footnoteRef/>
      </w:r>
      <w:r>
        <w:rPr>
          <w:sz w:val="20"/>
          <w:szCs w:val="20"/>
          <w:rtl/>
        </w:rPr>
        <w:t xml:space="preserve">. ראה הערה 1 לעיל, שבה הביע את הערצתו לסבא </w:t>
      </w:r>
      <w:proofErr w:type="spellStart"/>
      <w:r>
        <w:rPr>
          <w:sz w:val="20"/>
          <w:szCs w:val="20"/>
          <w:rtl/>
        </w:rPr>
        <w:t>מסלבודקה</w:t>
      </w:r>
      <w:proofErr w:type="spellEnd"/>
      <w:r>
        <w:rPr>
          <w:sz w:val="20"/>
          <w:szCs w:val="20"/>
          <w:rtl/>
        </w:rPr>
        <w:t>.</w:t>
      </w:r>
    </w:p>
  </w:footnote>
  <w:footnote w:id="3081">
    <w:p w14:paraId="4AF13F7C" w14:textId="77777777" w:rsidR="00AB3647" w:rsidRDefault="00000000">
      <w:pPr>
        <w:spacing w:after="0" w:before="0"/>
        <w:jc w:val="both"/>
      </w:pPr>
      <w:r>
        <w:rPr>
          <w:sz w:val="20"/>
          <w:szCs w:val="20"/>
          <w:rtl/>
        </w:rPr>
        <w:footnoteRef/>
      </w:r>
      <w:r>
        <w:rPr>
          <w:sz w:val="20"/>
          <w:szCs w:val="20"/>
          <w:rtl/>
        </w:rPr>
        <w:t xml:space="preserve">. עמ׳ </w:t>
      </w:r>
      <w:proofErr w:type="spellStart"/>
      <w:r>
        <w:rPr>
          <w:sz w:val="20"/>
          <w:szCs w:val="20"/>
          <w:rtl/>
        </w:rPr>
        <w:t>נג</w:t>
      </w:r>
      <w:proofErr w:type="spellEnd"/>
      <w:r>
        <w:rPr>
          <w:sz w:val="20"/>
          <w:szCs w:val="20"/>
          <w:rtl/>
        </w:rPr>
        <w:t>.</w:t>
      </w:r>
    </w:p>
  </w:footnote>
  <w:footnote w:id="3082">
    <w:p w14:paraId="241D6106" w14:textId="77777777" w:rsidR="00AB3647" w:rsidRDefault="00000000">
      <w:pPr>
        <w:spacing w:after="0" w:before="0"/>
        <w:jc w:val="both"/>
      </w:pPr>
      <w:r>
        <w:rPr>
          <w:sz w:val="20"/>
          <w:szCs w:val="20"/>
          <w:rtl/>
        </w:rPr>
        <w:footnoteRef/>
      </w:r>
      <w:r>
        <w:rPr>
          <w:sz w:val="20"/>
          <w:szCs w:val="20"/>
          <w:rtl/>
        </w:rPr>
        <w:t>. השווה פרק 3, הערה 118.</w:t>
      </w:r>
    </w:p>
  </w:footnote>
  <w:footnote w:id="3083">
    <w:p w14:paraId="161FE904" w14:textId="77777777" w:rsidR="00AB3647" w:rsidRDefault="00000000">
      <w:pPr>
        <w:spacing w:after="0" w:before="0"/>
        <w:jc w:val="both"/>
      </w:pPr>
      <w:r>
        <w:rPr>
          <w:sz w:val="20"/>
          <w:szCs w:val="20"/>
          <w:rtl/>
        </w:rPr>
        <w:footnoteRef/>
      </w:r>
      <w:r>
        <w:rPr>
          <w:sz w:val="20"/>
          <w:szCs w:val="20"/>
          <w:rtl/>
        </w:rPr>
        <w:t>. פרק 3, סוף נספח ה.</w:t>
      </w:r>
    </w:p>
  </w:footnote>
  <w:footnote w:id="3084">
    <w:p w14:paraId="613AFD04" w14:textId="77777777" w:rsidR="00AB3647" w:rsidRDefault="00000000">
      <w:pPr>
        <w:spacing w:after="0" w:before="0"/>
        <w:jc w:val="both"/>
      </w:pPr>
      <w:r>
        <w:rPr>
          <w:sz w:val="20"/>
          <w:szCs w:val="20"/>
          <w:rtl/>
        </w:rPr>
        <w:footnoteRef/>
      </w:r>
      <w:r>
        <w:rPr>
          <w:sz w:val="20"/>
          <w:szCs w:val="20"/>
          <w:rtl/>
        </w:rPr>
        <w:t>. השווה כרך 2.</w:t>
      </w:r>
    </w:p>
  </w:footnote>
  <w:footnote w:id="3085">
    <w:p w14:paraId="2F0975FE" w14:textId="77777777" w:rsidR="00AB3647" w:rsidRDefault="00000000">
      <w:pPr>
        <w:spacing w:after="0" w:before="0"/>
        <w:jc w:val="both"/>
      </w:pPr>
      <w:r>
        <w:rPr>
          <w:sz w:val="20"/>
          <w:szCs w:val="20"/>
          <w:rtl/>
        </w:rPr>
        <w:footnoteRef/>
      </w:r>
      <w:r>
        <w:rPr>
          <w:sz w:val="20"/>
          <w:szCs w:val="20"/>
          <w:rtl/>
        </w:rPr>
        <w:t>. ראה פרק 3, הפסקה השלישית של נספח ה.</w:t>
      </w:r>
    </w:p>
  </w:footnote>
  <w:footnote w:id="3086">
    <w:p w14:paraId="19006E90" w14:textId="77777777" w:rsidR="00AB3647" w:rsidRDefault="00000000">
      <w:pPr>
        <w:spacing w:after="0" w:before="0"/>
        <w:jc w:val="both"/>
      </w:pPr>
      <w:r>
        <w:rPr>
          <w:sz w:val="20"/>
          <w:szCs w:val="20"/>
          <w:rtl/>
        </w:rPr>
        <w:footnoteRef/>
      </w:r>
      <w:r>
        <w:rPr>
          <w:sz w:val="20"/>
          <w:szCs w:val="20"/>
          <w:rtl/>
        </w:rPr>
        <w:t xml:space="preserve">. ראה הערת השוליים </w:t>
      </w:r>
      <w:r>
        <w:rPr>
          <w:sz w:val="20"/>
          <w:szCs w:val="20"/>
          <w:rtl/>
        </w:rPr>
        <w:fldChar w:fldCharType="begin" w:dirty="true"/>
      </w:r>
      <w:r>
        <w:rPr>
          <w:sz w:val="20"/>
          <w:szCs w:val="20"/>
          <w:rtl/>
        </w:rPr>
        <w:instrText xml:space="preserve"> NOTEREF pr_f_1976 \h </w:instrText>
      </w:r>
      <w:r>
        <w:rPr>
          <w:sz w:val="20"/>
          <w:szCs w:val="20"/>
          <w:rtl/>
        </w:rPr>
      </w:r>
      <w:r>
        <w:rPr>
          <w:sz w:val="20"/>
          <w:szCs w:val="20"/>
          <w:rtl/>
        </w:rPr>
        <w:fldChar w:fldCharType="separate"/>
      </w:r>
      <w:r w:rsidR="007923E9">
        <w:rPr>
          <w:sz w:val="20"/>
          <w:szCs w:val="20"/>
          <w:rtl/>
        </w:rPr>
        <w:t>1022</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pr_f_1976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בכרך זה.</w:t>
      </w:r>
    </w:p>
  </w:footnote>
  <w:footnote w:id="3087">
    <w:p w14:paraId="409E4342" w14:textId="77777777" w:rsidR="00AB3647" w:rsidRDefault="00000000">
      <w:pPr>
        <w:spacing w:after="0" w:before="0"/>
        <w:jc w:val="both"/>
      </w:pPr>
      <w:r>
        <w:rPr>
          <w:sz w:val="20"/>
          <w:szCs w:val="20"/>
          <w:rtl/>
        </w:rPr>
        <w:footnoteRef/>
      </w:r>
      <w:r>
        <w:rPr>
          <w:sz w:val="20"/>
          <w:szCs w:val="20"/>
          <w:rtl/>
        </w:rPr>
        <w:t xml:space="preserve">. דברים אלו נכתבו לפי מסורת ירושלמית, ופרט אחד בה מוטל בספק: </w:t>
      </w:r>
      <w:proofErr w:type="spellStart"/>
      <w:r>
        <w:rPr>
          <w:sz w:val="20"/>
          <w:szCs w:val="20"/>
          <w:rtl/>
        </w:rPr>
        <w:t>שהחפץ־חיים</w:t>
      </w:r>
      <w:proofErr w:type="spellEnd"/>
      <w:r>
        <w:rPr>
          <w:sz w:val="20"/>
          <w:szCs w:val="20"/>
          <w:rtl/>
        </w:rPr>
        <w:t xml:space="preserve"> שקל לבחור בר׳ </w:t>
      </w:r>
      <w:proofErr w:type="spellStart"/>
      <w:r>
        <w:rPr>
          <w:sz w:val="20"/>
          <w:szCs w:val="20"/>
          <w:rtl/>
        </w:rPr>
        <w:t>חיים־לייב</w:t>
      </w:r>
      <w:proofErr w:type="spellEnd"/>
      <w:r>
        <w:rPr>
          <w:sz w:val="20"/>
          <w:szCs w:val="20"/>
          <w:rtl/>
        </w:rPr>
        <w:t xml:space="preserve"> </w:t>
      </w:r>
      <w:proofErr w:type="spellStart"/>
      <w:r>
        <w:rPr>
          <w:sz w:val="20"/>
          <w:szCs w:val="20"/>
          <w:rtl/>
        </w:rPr>
        <w:t>סטוויסקר</w:t>
      </w:r>
      <w:proofErr w:type="spellEnd"/>
      <w:r>
        <w:rPr>
          <w:sz w:val="20"/>
          <w:szCs w:val="20"/>
          <w:rtl/>
        </w:rPr>
        <w:t xml:space="preserve"> לרבו. לפי החישובים השונים של גיל </w:t>
      </w:r>
      <w:proofErr w:type="spellStart"/>
      <w:r>
        <w:rPr>
          <w:sz w:val="20"/>
          <w:szCs w:val="20"/>
          <w:rtl/>
        </w:rPr>
        <w:t>החפץ־חיים</w:t>
      </w:r>
      <w:proofErr w:type="spellEnd"/>
      <w:r>
        <w:rPr>
          <w:sz w:val="20"/>
          <w:szCs w:val="20"/>
          <w:rtl/>
        </w:rPr>
        <w:t xml:space="preserve">, הנידונים בפרק 5, הפסקה השנייה של נספח ב, היה ר׳ </w:t>
      </w:r>
      <w:proofErr w:type="spellStart"/>
      <w:r>
        <w:rPr>
          <w:sz w:val="20"/>
          <w:szCs w:val="20"/>
          <w:rtl/>
        </w:rPr>
        <w:t>חיים־לייב</w:t>
      </w:r>
      <w:proofErr w:type="spellEnd"/>
      <w:r>
        <w:rPr>
          <w:sz w:val="20"/>
          <w:szCs w:val="20"/>
          <w:rtl/>
        </w:rPr>
        <w:t xml:space="preserve"> בן גילו – מבוגר ממנו בשלוש שנים, כמסתבר ביותר, או צעיר ממנו בשבע שנים.</w:t>
      </w:r>
    </w:p>
  </w:footnote>
  <w:footnote w:id="3088">
    <w:p w14:paraId="1287169E" w14:textId="77777777" w:rsidR="00AB3647" w:rsidRDefault="00000000">
      <w:pPr>
        <w:spacing w:after="0" w:before="0"/>
        <w:jc w:val="both"/>
      </w:pPr>
      <w:r>
        <w:rPr>
          <w:sz w:val="20"/>
          <w:szCs w:val="20"/>
          <w:rtl/>
        </w:rPr>
        <w:footnoteRef/>
      </w:r>
      <w:r>
        <w:rPr>
          <w:sz w:val="20"/>
          <w:szCs w:val="20"/>
          <w:rtl/>
        </w:rPr>
        <w:t xml:space="preserve">. באות נב של “דוגמא מדרכי אבי זצ״ל”, </w:t>
      </w:r>
      <w:proofErr w:type="spellStart"/>
      <w:r>
        <w:rPr>
          <w:sz w:val="20"/>
          <w:szCs w:val="20"/>
          <w:rtl/>
        </w:rPr>
        <w:t>ב“בבית</w:t>
      </w:r>
      <w:proofErr w:type="spellEnd"/>
      <w:r>
        <w:rPr>
          <w:sz w:val="20"/>
          <w:szCs w:val="20"/>
          <w:rtl/>
        </w:rPr>
        <w:t xml:space="preserve"> החפץ חיים” (המקור הנזכר בפרק 1, נספח ב), חלק א.</w:t>
      </w:r>
    </w:p>
  </w:footnote>
  <w:footnote w:id="3089">
    <w:p w14:paraId="637B647E" w14:textId="77777777" w:rsidR="00AB3647" w:rsidRDefault="00000000">
      <w:pPr>
        <w:spacing w:after="0" w:before="0"/>
        <w:jc w:val="both"/>
      </w:pPr>
      <w:r>
        <w:rPr>
          <w:sz w:val="20"/>
          <w:szCs w:val="20"/>
          <w:rtl/>
        </w:rPr>
        <w:footnoteRef/>
      </w:r>
      <w:r>
        <w:rPr>
          <w:sz w:val="20"/>
          <w:szCs w:val="20"/>
          <w:rtl/>
        </w:rPr>
        <w:t>. עמ׳ נד.</w:t>
      </w:r>
    </w:p>
  </w:footnote>
  <w:footnote w:id="3090">
    <w:p w14:paraId="0FCB1F5A" w14:textId="77777777" w:rsidR="00AB3647" w:rsidRDefault="00000000">
      <w:pPr>
        <w:spacing w:after="0" w:before="0"/>
        <w:jc w:val="both"/>
      </w:pPr>
      <w:r>
        <w:rPr>
          <w:sz w:val="20"/>
          <w:szCs w:val="20"/>
          <w:rtl/>
        </w:rPr>
        <w:footnoteRef/>
      </w:r>
      <w:r>
        <w:rPr>
          <w:sz w:val="20"/>
          <w:szCs w:val="20"/>
          <w:rtl/>
        </w:rPr>
        <w:t>. המקור הנזכר בפרק 1, נספח ה – המחצית התחתונה של עמ׳ קנח.</w:t>
      </w:r>
    </w:p>
  </w:footnote>
  <w:footnote w:id="3091">
    <w:p w14:paraId="7E7E708C" w14:textId="77777777" w:rsidR="00AB3647" w:rsidRDefault="00000000">
      <w:pPr>
        <w:spacing w:after="0" w:before="0"/>
        <w:jc w:val="both"/>
      </w:pPr>
      <w:r>
        <w:rPr>
          <w:sz w:val="20"/>
          <w:szCs w:val="20"/>
          <w:rtl/>
        </w:rPr>
        <w:footnoteRef/>
      </w:r>
      <w:r>
        <w:rPr>
          <w:sz w:val="20"/>
          <w:szCs w:val="20"/>
          <w:rtl/>
        </w:rPr>
        <w:t>. עמ׳ 311.</w:t>
      </w:r>
    </w:p>
  </w:footnote>
  <w:footnote w:id="3092">
    <w:p w14:paraId="53B0952F" w14:textId="77777777" w:rsidR="00AB3647" w:rsidRDefault="00000000">
      <w:pPr>
        <w:spacing w:after="0" w:before="0"/>
        <w:jc w:val="both"/>
      </w:pPr>
      <w:r>
        <w:rPr>
          <w:sz w:val="20"/>
          <w:szCs w:val="20"/>
          <w:rtl/>
        </w:rPr>
        <w:footnoteRef/>
      </w:r>
      <w:r>
        <w:rPr>
          <w:sz w:val="20"/>
          <w:szCs w:val="20"/>
          <w:rtl/>
        </w:rPr>
        <w:t>. השווה פרק 3, הערה 51, ותחילת הערה 4 לעיל.</w:t>
      </w:r>
    </w:p>
  </w:footnote>
  <w:footnote w:id="3093">
    <w:p w14:paraId="3857FC53" w14:textId="77777777" w:rsidR="00AB3647" w:rsidRDefault="00000000">
      <w:pPr>
        <w:spacing w:after="0" w:before="0"/>
        <w:jc w:val="both"/>
      </w:pPr>
      <w:r>
        <w:rPr>
          <w:sz w:val="20"/>
          <w:szCs w:val="20"/>
          <w:rtl/>
        </w:rPr>
        <w:footnoteRef/>
      </w:r>
      <w:r>
        <w:rPr>
          <w:sz w:val="20"/>
          <w:szCs w:val="20"/>
          <w:rtl/>
        </w:rPr>
        <w:t>. עמ׳ 214.</w:t>
      </w:r>
    </w:p>
  </w:footnote>
  <w:footnote w:id="3094">
    <w:p w14:paraId="2277C43C" w14:textId="77777777" w:rsidR="00AB3647" w:rsidRDefault="00000000">
      <w:pPr>
        <w:spacing w:after="0" w:before="0"/>
        <w:jc w:val="both"/>
      </w:pPr>
      <w:r>
        <w:rPr>
          <w:sz w:val="20"/>
          <w:szCs w:val="20"/>
          <w:rtl/>
        </w:rPr>
        <w:footnoteRef/>
      </w:r>
      <w:r>
        <w:rPr>
          <w:sz w:val="20"/>
          <w:szCs w:val="20"/>
          <w:rtl/>
        </w:rPr>
        <w:t>. שם.</w:t>
      </w:r>
    </w:p>
  </w:footnote>
  <w:footnote w:id="3095">
    <w:p w14:paraId="67B00198" w14:textId="77777777" w:rsidR="00AB3647" w:rsidRDefault="00000000">
      <w:pPr>
        <w:spacing w:after="0" w:before="0"/>
        <w:jc w:val="both"/>
      </w:pPr>
      <w:r>
        <w:rPr>
          <w:sz w:val="20"/>
          <w:szCs w:val="20"/>
          <w:rtl/>
        </w:rPr>
        <w:footnoteRef/>
      </w:r>
      <w:r>
        <w:rPr>
          <w:sz w:val="20"/>
          <w:szCs w:val="20"/>
          <w:rtl/>
        </w:rPr>
        <w:t>. המקור הנזכר בפרק 2, הערה 93 – עמ׳ 72.</w:t>
      </w:r>
    </w:p>
  </w:footnote>
  <w:footnote w:id="3096">
    <w:p w14:paraId="663A0F37" w14:textId="77777777" w:rsidR="00AB3647" w:rsidRDefault="00000000">
      <w:pPr>
        <w:spacing w:after="0" w:before="0"/>
        <w:jc w:val="both"/>
      </w:pPr>
      <w:r>
        <w:rPr>
          <w:sz w:val="20"/>
          <w:szCs w:val="20"/>
          <w:rtl/>
        </w:rPr>
        <w:footnoteRef/>
      </w:r>
      <w:r>
        <w:rPr>
          <w:sz w:val="20"/>
          <w:szCs w:val="20"/>
          <w:rtl/>
        </w:rPr>
        <w:t>. עמ׳ 311.</w:t>
      </w:r>
    </w:p>
  </w:footnote>
  <w:footnote w:id="3097">
    <w:p w14:paraId="5C669981" w14:textId="77777777" w:rsidR="00AB3647" w:rsidRDefault="00000000">
      <w:pPr>
        <w:spacing w:after="0" w:before="0"/>
        <w:jc w:val="both"/>
      </w:pPr>
      <w:r>
        <w:rPr>
          <w:sz w:val="20"/>
          <w:szCs w:val="20"/>
          <w:rtl/>
        </w:rPr>
        <w:footnoteRef/>
      </w:r>
      <w:r>
        <w:rPr>
          <w:sz w:val="20"/>
          <w:szCs w:val="20"/>
          <w:rtl/>
        </w:rPr>
        <w:t>. השווה פרק 3, הערה 146.</w:t>
      </w:r>
    </w:p>
  </w:footnote>
  <w:footnote w:id="3098">
    <w:p w14:paraId="671BD29C" w14:textId="77777777" w:rsidR="00AB3647" w:rsidRDefault="00000000">
      <w:pPr>
        <w:spacing w:after="0" w:before="0"/>
        <w:jc w:val="both"/>
      </w:pPr>
      <w:r>
        <w:rPr>
          <w:sz w:val="20"/>
          <w:szCs w:val="20"/>
          <w:rtl/>
        </w:rPr>
        <w:footnoteRef/>
      </w:r>
      <w:r>
        <w:rPr>
          <w:sz w:val="20"/>
          <w:szCs w:val="20"/>
          <w:rtl/>
        </w:rPr>
        <w:t>. גם בשיחה המוקלטת במלאות חמישים שנה לפטירת הסבא (פרק 3, סוף נספח ה) אמר אבי שהשיחות נמשכו שעה.</w:t>
      </w:r>
    </w:p>
  </w:footnote>
  <w:footnote w:id="3099">
    <w:p w14:paraId="316BA854" w14:textId="77777777" w:rsidR="00AB3647" w:rsidRDefault="00000000">
      <w:pPr>
        <w:spacing w:after="0" w:before="0"/>
        <w:jc w:val="both"/>
      </w:pPr>
      <w:r>
        <w:rPr>
          <w:sz w:val="20"/>
          <w:szCs w:val="20"/>
          <w:rtl/>
        </w:rPr>
        <w:footnoteRef/>
      </w:r>
      <w:r>
        <w:rPr>
          <w:sz w:val="20"/>
          <w:szCs w:val="20"/>
          <w:rtl/>
        </w:rPr>
        <w:t>. הפסקה הרביעית בנספח א בפרק זה – עמ׳ 452.</w:t>
      </w:r>
    </w:p>
  </w:footnote>
  <w:footnote w:id="3100">
    <w:p w14:paraId="0A256973" w14:textId="77777777" w:rsidR="00AB3647" w:rsidRDefault="00000000">
      <w:pPr>
        <w:spacing w:after="0" w:before="0"/>
        <w:jc w:val="both"/>
      </w:pPr>
      <w:r>
        <w:rPr>
          <w:sz w:val="20"/>
          <w:szCs w:val="20"/>
          <w:rtl/>
        </w:rPr>
        <w:footnoteRef/>
      </w:r>
      <w:r>
        <w:rPr>
          <w:sz w:val="20"/>
          <w:szCs w:val="20"/>
          <w:rtl/>
        </w:rPr>
        <w:t>. עמ׳ רכו.</w:t>
      </w:r>
    </w:p>
  </w:footnote>
  <w:footnote w:id="3101">
    <w:p w14:paraId="584B0677" w14:textId="77777777" w:rsidR="00AB3647" w:rsidRDefault="00000000">
      <w:pPr>
        <w:spacing w:after="0" w:before="0"/>
        <w:jc w:val="both"/>
      </w:pPr>
      <w:r>
        <w:rPr>
          <w:sz w:val="20"/>
          <w:szCs w:val="20"/>
          <w:rtl/>
        </w:rPr>
        <w:footnoteRef/>
      </w:r>
      <w:r>
        <w:rPr>
          <w:sz w:val="20"/>
          <w:szCs w:val="20"/>
          <w:rtl/>
        </w:rPr>
        <w:t xml:space="preserve">. מסתבר </w:t>
      </w:r>
      <w:proofErr w:type="spellStart"/>
      <w:r>
        <w:rPr>
          <w:sz w:val="20"/>
          <w:szCs w:val="20"/>
          <w:rtl/>
        </w:rPr>
        <w:t>ש“תורת</w:t>
      </w:r>
      <w:proofErr w:type="spellEnd"/>
      <w:r>
        <w:rPr>
          <w:sz w:val="20"/>
          <w:szCs w:val="20"/>
          <w:rtl/>
        </w:rPr>
        <w:t xml:space="preserve"> אברהם” מתכוון לדרך מסירת הדברים.</w:t>
      </w:r>
    </w:p>
  </w:footnote>
  <w:footnote w:id="3102">
    <w:p w14:paraId="5143EB15" w14:textId="77777777" w:rsidR="00AB3647" w:rsidRDefault="00000000">
      <w:pPr>
        <w:spacing w:after="0" w:before="0"/>
        <w:jc w:val="both"/>
      </w:pPr>
      <w:r>
        <w:rPr>
          <w:sz w:val="20"/>
          <w:szCs w:val="20"/>
          <w:rtl/>
        </w:rPr>
        <w:footnoteRef/>
      </w:r>
      <w:r>
        <w:rPr>
          <w:sz w:val="20"/>
          <w:szCs w:val="20"/>
          <w:rtl/>
        </w:rPr>
        <w:t xml:space="preserve">. פרק 3, נספחים ד </w:t>
      </w:r>
      <w:proofErr w:type="spellStart"/>
      <w:r>
        <w:rPr>
          <w:sz w:val="20"/>
          <w:szCs w:val="20"/>
          <w:rtl/>
        </w:rPr>
        <w:t>ויז</w:t>
      </w:r>
      <w:proofErr w:type="spellEnd"/>
      <w:r>
        <w:rPr>
          <w:sz w:val="20"/>
          <w:szCs w:val="20"/>
          <w:rtl/>
        </w:rPr>
        <w:t>.</w:t>
      </w:r>
    </w:p>
  </w:footnote>
  <w:footnote w:id="3103">
    <w:p w14:paraId="359E5507" w14:textId="77777777" w:rsidR="00AB3647" w:rsidRDefault="00000000">
      <w:pPr>
        <w:spacing w:after="0" w:before="0"/>
        <w:jc w:val="both"/>
      </w:pPr>
      <w:r>
        <w:rPr>
          <w:sz w:val="20"/>
          <w:szCs w:val="20"/>
          <w:rtl/>
        </w:rPr>
        <w:footnoteRef/>
      </w:r>
      <w:r>
        <w:rPr>
          <w:sz w:val="20"/>
          <w:szCs w:val="20"/>
          <w:rtl/>
        </w:rPr>
        <w:t xml:space="preserve">. ר׳ </w:t>
      </w:r>
      <w:proofErr w:type="spellStart"/>
      <w:r>
        <w:rPr>
          <w:sz w:val="20"/>
          <w:szCs w:val="20"/>
          <w:rtl/>
        </w:rPr>
        <w:t>איצל׳ה</w:t>
      </w:r>
      <w:proofErr w:type="spellEnd"/>
      <w:r>
        <w:rPr>
          <w:sz w:val="20"/>
          <w:szCs w:val="20"/>
          <w:rtl/>
        </w:rPr>
        <w:t xml:space="preserve"> נדד לשם לאחר שיהודי ליטא הוגלו במלחמת העולם הראשונה. ראה כרך 2.</w:t>
      </w:r>
    </w:p>
  </w:footnote>
  <w:footnote w:id="3104">
    <w:p w14:paraId="1630C390" w14:textId="77777777" w:rsidR="00AB3647" w:rsidRDefault="00000000">
      <w:pPr>
        <w:spacing w:after="0" w:before="0"/>
        <w:jc w:val="both"/>
      </w:pPr>
      <w:r>
        <w:rPr>
          <w:sz w:val="20"/>
          <w:szCs w:val="20"/>
          <w:rtl/>
        </w:rPr>
        <w:footnoteRef/>
      </w:r>
      <w:r>
        <w:rPr>
          <w:sz w:val="20"/>
          <w:szCs w:val="20"/>
          <w:rtl/>
        </w:rPr>
        <w:t>. המקור הנזכר בפרולוג, הערה 4 – עמ׳ 377, חלק ז, מס׳ 377.</w:t>
      </w:r>
    </w:p>
  </w:footnote>
  <w:footnote w:id="3105">
    <w:p w14:paraId="67CB32DE" w14:textId="77777777" w:rsidR="00AB3647" w:rsidRDefault="00000000">
      <w:pPr>
        <w:spacing w:after="0" w:before="0"/>
        <w:jc w:val="both"/>
      </w:pPr>
      <w:r>
        <w:rPr>
          <w:sz w:val="20"/>
          <w:szCs w:val="20"/>
          <w:rtl/>
        </w:rPr>
        <w:footnoteRef/>
      </w:r>
      <w:r>
        <w:rPr>
          <w:sz w:val="20"/>
          <w:szCs w:val="20"/>
          <w:rtl/>
        </w:rPr>
        <w:t xml:space="preserve">. המקור הנזכר בפרק 3, הפסקה השלישית של נספח </w:t>
      </w:r>
      <w:proofErr w:type="spellStart"/>
      <w:r>
        <w:rPr>
          <w:sz w:val="20"/>
          <w:szCs w:val="20"/>
          <w:rtl/>
        </w:rPr>
        <w:t>כו</w:t>
      </w:r>
      <w:proofErr w:type="spellEnd"/>
      <w:r>
        <w:rPr>
          <w:sz w:val="20"/>
          <w:szCs w:val="20"/>
          <w:rtl/>
        </w:rPr>
        <w:t xml:space="preserve"> – אות </w:t>
      </w:r>
      <w:proofErr w:type="spellStart"/>
      <w:r>
        <w:rPr>
          <w:sz w:val="20"/>
          <w:szCs w:val="20"/>
          <w:rtl/>
        </w:rPr>
        <w:t>תיד</w:t>
      </w:r>
      <w:proofErr w:type="spellEnd"/>
      <w:r>
        <w:rPr>
          <w:sz w:val="20"/>
          <w:szCs w:val="20"/>
          <w:rtl/>
        </w:rPr>
        <w:t>; עיין שם ובהערת השוליים על אתר.</w:t>
      </w:r>
    </w:p>
  </w:footnote>
  <w:footnote w:id="3106">
    <w:p w14:paraId="796B5A64" w14:textId="77777777" w:rsidR="00AB3647" w:rsidRDefault="00000000">
      <w:pPr>
        <w:spacing w:after="0" w:before="0"/>
        <w:jc w:val="both"/>
      </w:pPr>
      <w:r>
        <w:rPr>
          <w:sz w:val="20"/>
          <w:szCs w:val="20"/>
          <w:rtl/>
        </w:rPr>
        <w:footnoteRef/>
      </w:r>
      <w:r>
        <w:rPr>
          <w:sz w:val="20"/>
          <w:szCs w:val="20"/>
          <w:rtl/>
        </w:rPr>
        <w:t xml:space="preserve">. אחי ר׳ אברהם אמר לי ב־8 במרץ 1988 שראה לאחרונה בספר, ששמו נשמט מזיכרונו, שההסתכלות בציפורניים מביאה לענווה, והדבר נקשר באופן כלשהו </w:t>
      </w:r>
      <w:proofErr w:type="spellStart"/>
      <w:r>
        <w:rPr>
          <w:sz w:val="20"/>
          <w:szCs w:val="20"/>
          <w:rtl/>
        </w:rPr>
        <w:t>ל“מאין</w:t>
      </w:r>
      <w:proofErr w:type="spellEnd"/>
      <w:r>
        <w:rPr>
          <w:sz w:val="20"/>
          <w:szCs w:val="20"/>
          <w:rtl/>
        </w:rPr>
        <w:t xml:space="preserve"> באת” (אבות פ״ג מ״א). אבל מסתבר שהוא קשור דווקא </w:t>
      </w:r>
      <w:proofErr w:type="spellStart"/>
      <w:r>
        <w:rPr>
          <w:sz w:val="20"/>
          <w:szCs w:val="20"/>
          <w:rtl/>
        </w:rPr>
        <w:t>ל“אתה</w:t>
      </w:r>
      <w:proofErr w:type="spellEnd"/>
      <w:r>
        <w:rPr>
          <w:sz w:val="20"/>
          <w:szCs w:val="20"/>
          <w:rtl/>
        </w:rPr>
        <w:t xml:space="preserve"> הולך... למקום עפר” (שם), שהרי כמו שני הרגשות האחרים שנזכרו – כובד ראש והשפלה – גם הוא מזכיר את החטא הראשון ואת עונשו: “ואל עפר תשוב” (בראשית ג, </w:t>
      </w:r>
      <w:proofErr w:type="spellStart"/>
      <w:r>
        <w:rPr>
          <w:sz w:val="20"/>
          <w:szCs w:val="20"/>
          <w:rtl/>
        </w:rPr>
        <w:t>יט</w:t>
      </w:r>
      <w:proofErr w:type="spellEnd"/>
      <w:r>
        <w:rPr>
          <w:sz w:val="20"/>
          <w:szCs w:val="20"/>
          <w:rtl/>
        </w:rPr>
        <w:t>).</w:t>
      </w:r>
    </w:p>
  </w:footnote>
  <w:footnote w:id="3107">
    <w:p w14:paraId="2677B62D" w14:textId="77777777" w:rsidR="00AB3647" w:rsidRDefault="00000000">
      <w:pPr>
        <w:spacing w:after="0" w:before="0"/>
        <w:jc w:val="both"/>
      </w:pPr>
      <w:r>
        <w:rPr>
          <w:sz w:val="20"/>
          <w:szCs w:val="20"/>
          <w:rtl/>
        </w:rPr>
        <w:footnoteRef/>
      </w:r>
      <w:r>
        <w:rPr>
          <w:sz w:val="20"/>
          <w:szCs w:val="20"/>
          <w:rtl/>
        </w:rPr>
        <w:t xml:space="preserve">. “בעקבות היראה” (הערה 9 לעיל), עמ׳ </w:t>
      </w:r>
      <w:proofErr w:type="spellStart"/>
      <w:r>
        <w:rPr>
          <w:sz w:val="20"/>
          <w:szCs w:val="20"/>
          <w:rtl/>
        </w:rPr>
        <w:t>קס</w:t>
      </w:r>
      <w:proofErr w:type="spellEnd"/>
      <w:r>
        <w:rPr>
          <w:sz w:val="20"/>
          <w:szCs w:val="20"/>
          <w:rtl/>
        </w:rPr>
        <w:t>.</w:t>
      </w:r>
    </w:p>
  </w:footnote>
  <w:footnote w:id="3108">
    <w:p w14:paraId="59949BF6" w14:textId="77777777" w:rsidR="00AB3647" w:rsidRDefault="00000000">
      <w:pPr>
        <w:spacing w:after="0" w:before="0"/>
        <w:jc w:val="both"/>
      </w:pPr>
      <w:r>
        <w:rPr>
          <w:sz w:val="20"/>
          <w:szCs w:val="20"/>
          <w:rtl/>
        </w:rPr>
        <w:footnoteRef/>
      </w:r>
      <w:r>
        <w:rPr>
          <w:sz w:val="20"/>
          <w:szCs w:val="20"/>
          <w:rtl/>
        </w:rPr>
        <w:t xml:space="preserve">. הערה 1 לעיל – עמ׳ מ, במאמר מאת דן בן יעקב, ועמ׳ נד, במאמר מאת אלעזר ראובן </w:t>
      </w:r>
      <w:proofErr w:type="spellStart"/>
      <w:r>
        <w:rPr>
          <w:sz w:val="20"/>
          <w:szCs w:val="20"/>
          <w:rtl/>
        </w:rPr>
        <w:t>מושקין</w:t>
      </w:r>
      <w:proofErr w:type="spellEnd"/>
      <w:r>
        <w:rPr>
          <w:sz w:val="20"/>
          <w:szCs w:val="20"/>
          <w:rtl/>
        </w:rPr>
        <w:t>.</w:t>
      </w:r>
    </w:p>
  </w:footnote>
  <w:footnote w:id="3109">
    <w:p w14:paraId="35300E60" w14:textId="77777777" w:rsidR="00AB3647" w:rsidRDefault="00000000">
      <w:pPr>
        <w:spacing w:after="0" w:before="0"/>
        <w:jc w:val="both"/>
      </w:pPr>
      <w:r>
        <w:rPr>
          <w:sz w:val="20"/>
          <w:szCs w:val="20"/>
          <w:rtl/>
        </w:rPr>
        <w:footnoteRef/>
      </w:r>
      <w:r>
        <w:rPr>
          <w:sz w:val="20"/>
          <w:szCs w:val="20"/>
          <w:rtl/>
        </w:rPr>
        <w:t xml:space="preserve">. עמ׳ </w:t>
      </w:r>
      <w:proofErr w:type="spellStart"/>
      <w:r>
        <w:rPr>
          <w:sz w:val="20"/>
          <w:szCs w:val="20"/>
          <w:rtl/>
        </w:rPr>
        <w:t>יב</w:t>
      </w:r>
      <w:proofErr w:type="spellEnd"/>
      <w:r>
        <w:rPr>
          <w:sz w:val="20"/>
          <w:szCs w:val="20"/>
          <w:rtl/>
        </w:rPr>
        <w:t>.</w:t>
      </w:r>
    </w:p>
  </w:footnote>
  <w:footnote w:id="3110">
    <w:p w14:paraId="0FA442D5" w14:textId="77777777" w:rsidR="00AB3647" w:rsidRDefault="00000000">
      <w:pPr>
        <w:spacing w:after="0" w:before="0"/>
        <w:jc w:val="both"/>
      </w:pPr>
      <w:r>
        <w:rPr>
          <w:sz w:val="20"/>
          <w:szCs w:val="20"/>
          <w:rtl/>
        </w:rPr>
        <w:footnoteRef/>
      </w:r>
      <w:r>
        <w:rPr>
          <w:sz w:val="20"/>
          <w:szCs w:val="20"/>
          <w:rtl/>
        </w:rPr>
        <w:t xml:space="preserve">. פרק 3, הפסקה השלישית של נספח </w:t>
      </w:r>
      <w:proofErr w:type="spellStart"/>
      <w:r>
        <w:rPr>
          <w:sz w:val="20"/>
          <w:szCs w:val="20"/>
          <w:rtl/>
        </w:rPr>
        <w:t>יח</w:t>
      </w:r>
      <w:proofErr w:type="spellEnd"/>
      <w:r>
        <w:rPr>
          <w:sz w:val="20"/>
          <w:szCs w:val="20"/>
          <w:rtl/>
        </w:rPr>
        <w:t>.</w:t>
      </w:r>
    </w:p>
  </w:footnote>
  <w:footnote w:id="3111">
    <w:p w14:paraId="2BA4A392" w14:textId="77777777" w:rsidR="00AB3647" w:rsidRDefault="00000000">
      <w:pPr>
        <w:spacing w:after="0" w:before="0"/>
        <w:jc w:val="both"/>
      </w:pPr>
      <w:r>
        <w:rPr>
          <w:sz w:val="20"/>
          <w:szCs w:val="20"/>
          <w:rtl/>
        </w:rPr>
        <w:footnoteRef/>
      </w:r>
      <w:r>
        <w:rPr>
          <w:sz w:val="20"/>
          <w:szCs w:val="20"/>
          <w:rtl/>
        </w:rPr>
        <w:t>. השווה פרק 3, הערה 68.</w:t>
      </w:r>
    </w:p>
  </w:footnote>
  <w:footnote w:id="3112">
    <w:p w14:paraId="6623E8BC" w14:textId="77777777" w:rsidR="00AB3647" w:rsidRDefault="00000000">
      <w:pPr>
        <w:spacing w:after="0" w:before="0"/>
        <w:jc w:val="both"/>
      </w:pPr>
      <w:r>
        <w:rPr>
          <w:sz w:val="20"/>
          <w:szCs w:val="20"/>
          <w:rtl/>
        </w:rPr>
        <w:footnoteRef/>
      </w:r>
      <w:r>
        <w:rPr>
          <w:sz w:val="20"/>
          <w:szCs w:val="20"/>
          <w:rtl/>
        </w:rPr>
        <w:t>. הערה 5 לעיל.</w:t>
      </w:r>
    </w:p>
  </w:footnote>
  <w:footnote w:id="3113">
    <w:p w14:paraId="0AA46631" w14:textId="77777777" w:rsidR="00AB3647" w:rsidRDefault="00000000">
      <w:pPr>
        <w:spacing w:after="0" w:before="0"/>
        <w:jc w:val="both"/>
      </w:pPr>
      <w:r>
        <w:rPr>
          <w:sz w:val="20"/>
          <w:szCs w:val="20"/>
          <w:rtl/>
        </w:rPr>
        <w:footnoteRef/>
      </w:r>
      <w:r>
        <w:rPr>
          <w:sz w:val="20"/>
          <w:szCs w:val="20"/>
          <w:rtl/>
        </w:rPr>
        <w:t>. עמ׳ 291.</w:t>
      </w:r>
    </w:p>
  </w:footnote>
  <w:footnote w:id="3114">
    <w:p w14:paraId="5FF11CDF" w14:textId="77777777" w:rsidR="00AB3647" w:rsidRDefault="00000000">
      <w:pPr>
        <w:spacing w:after="0" w:before="0"/>
        <w:jc w:val="both"/>
      </w:pPr>
      <w:r>
        <w:rPr>
          <w:sz w:val="20"/>
          <w:szCs w:val="20"/>
          <w:rtl/>
        </w:rPr>
        <w:footnoteRef/>
      </w:r>
      <w:r>
        <w:rPr>
          <w:sz w:val="20"/>
          <w:szCs w:val="20"/>
          <w:rtl/>
        </w:rPr>
        <w:t>. הפסקה הראשונה בנספח א בפרק זה – עמ׳ 19, ערב ז׳ באב תשמ״א.</w:t>
      </w:r>
    </w:p>
  </w:footnote>
  <w:footnote w:id="3115">
    <w:p w14:paraId="3FED8442" w14:textId="77777777" w:rsidR="00AB3647" w:rsidRDefault="00000000">
      <w:pPr>
        <w:spacing w:after="0" w:before="0"/>
        <w:jc w:val="both"/>
      </w:pPr>
      <w:r>
        <w:rPr>
          <w:sz w:val="20"/>
          <w:szCs w:val="20"/>
          <w:rtl/>
        </w:rPr>
        <w:footnoteRef/>
      </w:r>
      <w:r>
        <w:rPr>
          <w:sz w:val="20"/>
          <w:szCs w:val="20"/>
          <w:rtl/>
        </w:rPr>
        <w:t>. השווה גם פרק 3, הערה 100, ופרק 5, הפסקה השנייה של נספח ז.</w:t>
      </w:r>
    </w:p>
  </w:footnote>
  <w:footnote w:id="3116">
    <w:p w14:paraId="15F7AB60" w14:textId="77777777" w:rsidR="00AB3647" w:rsidRDefault="00000000">
      <w:pPr>
        <w:spacing w:after="0" w:before="0"/>
        <w:jc w:val="both"/>
      </w:pPr>
      <w:r>
        <w:rPr>
          <w:sz w:val="20"/>
          <w:szCs w:val="20"/>
          <w:rtl/>
        </w:rPr>
        <w:footnoteRef/>
      </w:r>
      <w:r>
        <w:rPr>
          <w:sz w:val="20"/>
          <w:szCs w:val="20"/>
          <w:rtl/>
        </w:rPr>
        <w:t>. ירושלים, תשנ״ז; להלן: “פרקי חיים [ויינברג]” – עמ׳ 6.</w:t>
      </w:r>
    </w:p>
  </w:footnote>
  <w:footnote w:id="3117">
    <w:p w14:paraId="59763BB8" w14:textId="77777777" w:rsidR="00AB3647" w:rsidRDefault="00000000">
      <w:pPr>
        <w:spacing w:after="0" w:before="0"/>
        <w:jc w:val="both"/>
      </w:pPr>
      <w:r>
        <w:rPr>
          <w:sz w:val="20"/>
          <w:szCs w:val="20"/>
          <w:rtl/>
        </w:rPr>
        <w:footnoteRef/>
      </w:r>
      <w:r>
        <w:rPr>
          <w:sz w:val="20"/>
          <w:szCs w:val="20"/>
          <w:rtl/>
        </w:rPr>
        <w:t>. ריאיון מיום 14 בספטמבר 1991.</w:t>
      </w:r>
    </w:p>
  </w:footnote>
  <w:footnote w:id="3118">
    <w:p w14:paraId="27DDE460" w14:textId="77777777" w:rsidR="00AB3647" w:rsidRDefault="00000000">
      <w:pPr>
        <w:spacing w:after="0" w:before="0"/>
        <w:jc w:val="both"/>
      </w:pPr>
      <w:r>
        <w:rPr>
          <w:sz w:val="20"/>
          <w:szCs w:val="20"/>
          <w:rtl/>
        </w:rPr>
        <w:footnoteRef/>
      </w:r>
      <w:r>
        <w:rPr>
          <w:sz w:val="20"/>
          <w:szCs w:val="20"/>
          <w:rtl/>
        </w:rPr>
        <w:t>. המקור הנזכר בפרק 3, נספח ב – עמ׳ שכו.</w:t>
      </w:r>
    </w:p>
  </w:footnote>
  <w:footnote w:id="3119">
    <w:p w14:paraId="068F0B40" w14:textId="77777777" w:rsidR="00AB3647" w:rsidRDefault="00000000">
      <w:pPr>
        <w:spacing w:after="0" w:before="0"/>
        <w:jc w:val="both"/>
      </w:pPr>
      <w:r>
        <w:rPr>
          <w:sz w:val="20"/>
          <w:szCs w:val="20"/>
          <w:rtl/>
        </w:rPr>
        <w:footnoteRef/>
      </w:r>
      <w:r>
        <w:rPr>
          <w:sz w:val="20"/>
          <w:szCs w:val="20"/>
          <w:rtl/>
        </w:rPr>
        <w:t xml:space="preserve">. השווה עמ׳ </w:t>
      </w:r>
      <w:r>
        <w:rPr>
          <w:sz w:val="20"/>
          <w:szCs w:val="20"/>
          <w:rtl/>
        </w:rPr>
        <w:fldChar w:fldCharType="begin" w:dirty="true"/>
      </w:r>
      <w:r>
        <w:rPr>
          <w:sz w:val="20"/>
          <w:szCs w:val="20"/>
          <w:rtl/>
        </w:rPr>
        <w:instrText xml:space="preserve"> PAGEREF pr_b_1158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3120">
    <w:p w14:paraId="38AF3798" w14:textId="77777777" w:rsidR="00AB3647" w:rsidRDefault="00000000">
      <w:pPr>
        <w:spacing w:after="0" w:before="0"/>
        <w:jc w:val="both"/>
      </w:pPr>
      <w:r>
        <w:rPr>
          <w:sz w:val="20"/>
          <w:szCs w:val="20"/>
          <w:rtl/>
        </w:rPr>
        <w:footnoteRef/>
      </w:r>
      <w:r>
        <w:rPr>
          <w:sz w:val="20"/>
          <w:szCs w:val="20"/>
          <w:rtl/>
        </w:rPr>
        <w:t xml:space="preserve">. המקור הנזכר בפרק 1, הפסקה השלישית של נספח ד – כרך ב, עמ׳ </w:t>
      </w:r>
      <w:proofErr w:type="spellStart"/>
      <w:r>
        <w:rPr>
          <w:sz w:val="20"/>
          <w:szCs w:val="20"/>
          <w:rtl/>
        </w:rPr>
        <w:t>תשצא</w:t>
      </w:r>
      <w:proofErr w:type="spellEnd"/>
      <w:r>
        <w:rPr>
          <w:sz w:val="20"/>
          <w:szCs w:val="20"/>
          <w:rtl/>
        </w:rPr>
        <w:t xml:space="preserve">, אות </w:t>
      </w:r>
      <w:proofErr w:type="spellStart"/>
      <w:r>
        <w:rPr>
          <w:sz w:val="20"/>
          <w:szCs w:val="20"/>
          <w:rtl/>
        </w:rPr>
        <w:t>לז</w:t>
      </w:r>
      <w:proofErr w:type="spellEnd"/>
      <w:r>
        <w:rPr>
          <w:sz w:val="20"/>
          <w:szCs w:val="20"/>
          <w:rtl/>
        </w:rPr>
        <w:t>.</w:t>
      </w:r>
    </w:p>
  </w:footnote>
  <w:footnote w:id="3121">
    <w:p w14:paraId="34F4958A" w14:textId="77777777" w:rsidR="00AB3647" w:rsidRDefault="00000000">
      <w:pPr>
        <w:spacing w:after="0" w:before="0"/>
        <w:jc w:val="both"/>
      </w:pPr>
      <w:r>
        <w:rPr>
          <w:sz w:val="20"/>
          <w:szCs w:val="20"/>
          <w:rtl/>
        </w:rPr>
        <w:footnoteRef/>
      </w:r>
      <w:r>
        <w:rPr>
          <w:sz w:val="20"/>
          <w:szCs w:val="20"/>
          <w:rtl/>
        </w:rPr>
        <w:t>. השווה כרך 2.</w:t>
      </w:r>
    </w:p>
  </w:footnote>
  <w:footnote w:id="3122">
    <w:p w14:paraId="2619A860" w14:textId="77777777" w:rsidR="00AB3647" w:rsidRDefault="00000000">
      <w:pPr>
        <w:spacing w:after="0" w:before="0"/>
        <w:jc w:val="both"/>
      </w:pPr>
      <w:r>
        <w:rPr>
          <w:sz w:val="20"/>
          <w:szCs w:val="20"/>
          <w:rtl/>
        </w:rPr>
        <w:footnoteRef/>
      </w:r>
      <w:r>
        <w:rPr>
          <w:sz w:val="20"/>
          <w:szCs w:val="20"/>
          <w:rtl/>
        </w:rPr>
        <w:t xml:space="preserve">. מקור מהימן סיפר שר׳ אהרן כתב לארוסתו מכתב שאביה, ר׳ </w:t>
      </w:r>
      <w:proofErr w:type="spellStart"/>
      <w:r>
        <w:rPr>
          <w:sz w:val="20"/>
          <w:szCs w:val="20"/>
          <w:rtl/>
        </w:rPr>
        <w:t>איסר־זלמן</w:t>
      </w:r>
      <w:proofErr w:type="spellEnd"/>
      <w:r>
        <w:rPr>
          <w:sz w:val="20"/>
          <w:szCs w:val="20"/>
          <w:rtl/>
        </w:rPr>
        <w:t xml:space="preserve"> מלצר, לא ראה בעין יפה. כשהראו אותו לסבא, השיב: “לא אמרתי לכם שהוא צדיק; אמרתי שיש לו תכונות אחרות. אבל הוא עוד יהיה כל כך פרום שכולם יסבלו ממנו.” על </w:t>
      </w:r>
      <w:proofErr w:type="spellStart"/>
      <w:r>
        <w:rPr>
          <w:sz w:val="20"/>
          <w:szCs w:val="20"/>
          <w:rtl/>
        </w:rPr>
        <w:t>חזון</w:t>
      </w:r>
      <w:proofErr w:type="spellEnd"/>
      <w:r>
        <w:rPr>
          <w:sz w:val="20"/>
          <w:szCs w:val="20"/>
          <w:rtl/>
        </w:rPr>
        <w:t xml:space="preserve"> הסבא ראה פרק 3, סוף הפסקה השנייה של נספח כ; ועל קנאותו החרדית המאוחרת של ר׳ אהרן – פרק 2, הפסקה השנייה בהערה 85, והערת שוליים </w:t>
      </w:r>
      <w:r>
        <w:rPr>
          <w:sz w:val="20"/>
          <w:szCs w:val="20"/>
          <w:rtl/>
        </w:rPr>
        <w:fldChar w:fldCharType="begin" w:dirty="true"/>
      </w:r>
      <w:r>
        <w:rPr>
          <w:sz w:val="20"/>
          <w:szCs w:val="20"/>
          <w:rtl/>
        </w:rPr>
        <w:instrText xml:space="preserve"> NOTEREF pr_f_221 \h </w:instrText>
      </w:r>
      <w:r>
        <w:rPr>
          <w:sz w:val="20"/>
          <w:szCs w:val="20"/>
          <w:rtl/>
        </w:rPr>
      </w:r>
      <w:r>
        <w:rPr>
          <w:sz w:val="20"/>
          <w:szCs w:val="20"/>
          <w:rtl/>
        </w:rPr>
        <w:fldChar w:fldCharType="separate"/>
      </w:r>
      <w:r w:rsidR="007923E9">
        <w:rPr>
          <w:sz w:val="20"/>
          <w:szCs w:val="20"/>
          <w:rtl/>
        </w:rPr>
        <w:t>164</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pr_f_221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3123">
    <w:p w14:paraId="415D2B2A" w14:textId="77777777" w:rsidR="00AB3647" w:rsidRDefault="00000000">
      <w:pPr>
        <w:spacing w:after="0" w:before="0"/>
        <w:jc w:val="both"/>
      </w:pPr>
      <w:r>
        <w:rPr>
          <w:sz w:val="20"/>
          <w:szCs w:val="20"/>
          <w:rtl/>
        </w:rPr>
        <w:footnoteRef/>
      </w:r>
      <w:r>
        <w:rPr>
          <w:sz w:val="20"/>
          <w:szCs w:val="20"/>
          <w:rtl/>
        </w:rPr>
        <w:t>. מוסף ערב שבת, א׳ באדר תשמ״ח, עמ׳ 6.</w:t>
      </w:r>
    </w:p>
  </w:footnote>
  <w:footnote w:id="3124">
    <w:p w14:paraId="2E4DBE41" w14:textId="77777777" w:rsidR="00AB3647" w:rsidRDefault="00000000">
      <w:pPr>
        <w:spacing w:after="0" w:before="0"/>
        <w:jc w:val="both"/>
      </w:pPr>
      <w:r>
        <w:rPr>
          <w:sz w:val="20"/>
          <w:szCs w:val="20"/>
          <w:rtl/>
        </w:rPr>
        <w:footnoteRef/>
      </w:r>
      <w:r>
        <w:rPr>
          <w:sz w:val="20"/>
          <w:szCs w:val="20"/>
          <w:rtl/>
        </w:rPr>
        <w:t>. השווה פרק 3, הפסקאות השלישית והרביעית של נספח כ.</w:t>
      </w:r>
    </w:p>
  </w:footnote>
  <w:footnote w:id="3125">
    <w:p w14:paraId="77888ED7" w14:textId="77777777" w:rsidR="00AB3647" w:rsidRDefault="00000000">
      <w:pPr>
        <w:spacing w:after="0" w:before="0"/>
        <w:jc w:val="both"/>
      </w:pPr>
      <w:r>
        <w:rPr>
          <w:sz w:val="20"/>
          <w:szCs w:val="20"/>
          <w:rtl/>
        </w:rPr>
        <w:footnoteRef/>
      </w:r>
      <w:r>
        <w:rPr>
          <w:sz w:val="20"/>
          <w:szCs w:val="20"/>
          <w:rtl/>
        </w:rPr>
        <w:t xml:space="preserve">. ראה ראש השנה </w:t>
      </w:r>
      <w:proofErr w:type="spellStart"/>
      <w:r>
        <w:rPr>
          <w:sz w:val="20"/>
          <w:szCs w:val="20"/>
          <w:rtl/>
        </w:rPr>
        <w:t>טז</w:t>
      </w:r>
      <w:proofErr w:type="spellEnd"/>
      <w:r>
        <w:rPr>
          <w:sz w:val="20"/>
          <w:szCs w:val="20"/>
          <w:rtl/>
        </w:rPr>
        <w:t xml:space="preserve"> ע״ב: “ואמר רבי יצחק ארבעה דברים </w:t>
      </w:r>
      <w:proofErr w:type="spellStart"/>
      <w:r>
        <w:rPr>
          <w:sz w:val="20"/>
          <w:szCs w:val="20"/>
          <w:rtl/>
        </w:rPr>
        <w:t>מקרעין</w:t>
      </w:r>
      <w:proofErr w:type="spellEnd"/>
      <w:r>
        <w:rPr>
          <w:sz w:val="20"/>
          <w:szCs w:val="20"/>
          <w:rtl/>
        </w:rPr>
        <w:t xml:space="preserve"> גזר דינו של אדם” </w:t>
      </w:r>
      <w:proofErr w:type="spellStart"/>
      <w:r>
        <w:rPr>
          <w:sz w:val="20"/>
          <w:szCs w:val="20"/>
          <w:rtl/>
        </w:rPr>
        <w:t>וכו</w:t>
      </w:r>
      <w:proofErr w:type="spellEnd"/>
      <w:r>
        <w:rPr>
          <w:sz w:val="20"/>
          <w:szCs w:val="20"/>
          <w:rtl/>
        </w:rPr>
        <w:t>׳, “שינוי השם”.</w:t>
      </w:r>
    </w:p>
  </w:footnote>
  <w:footnote w:id="3126">
    <w:p w14:paraId="4CDCB608" w14:textId="77777777" w:rsidR="00AB3647" w:rsidRDefault="00000000">
      <w:pPr>
        <w:spacing w:after="0" w:before="0"/>
        <w:jc w:val="both"/>
      </w:pPr>
      <w:r>
        <w:rPr>
          <w:sz w:val="20"/>
          <w:szCs w:val="20"/>
          <w:rtl/>
        </w:rPr>
        <w:footnoteRef/>
      </w:r>
      <w:r>
        <w:rPr>
          <w:sz w:val="20"/>
          <w:szCs w:val="20"/>
          <w:rtl/>
        </w:rPr>
        <w:t xml:space="preserve">. ועיין ברכות ו ע״ב: “מאי כי זה כל האדם” </w:t>
      </w:r>
      <w:proofErr w:type="spellStart"/>
      <w:r>
        <w:rPr>
          <w:sz w:val="20"/>
          <w:szCs w:val="20"/>
          <w:rtl/>
        </w:rPr>
        <w:t>וכו</w:t>
      </w:r>
      <w:proofErr w:type="spellEnd"/>
      <w:r>
        <w:rPr>
          <w:sz w:val="20"/>
          <w:szCs w:val="20"/>
          <w:rtl/>
        </w:rPr>
        <w:t>׳, “כל העולם כולו לא נברא אלא לצוות לזה”.</w:t>
      </w:r>
    </w:p>
  </w:footnote>
  <w:footnote w:id="3127">
    <w:p w14:paraId="4A402859" w14:textId="77777777" w:rsidR="00AB3647" w:rsidRDefault="00000000">
      <w:pPr>
        <w:spacing w:after="0" w:before="0"/>
        <w:jc w:val="both"/>
      </w:pPr>
      <w:r>
        <w:rPr>
          <w:sz w:val="20"/>
          <w:szCs w:val="20"/>
          <w:rtl/>
        </w:rPr>
        <w:footnoteRef/>
      </w:r>
      <w:r>
        <w:rPr>
          <w:sz w:val="20"/>
          <w:szCs w:val="20"/>
          <w:rtl/>
        </w:rPr>
        <w:t>. עמ׳ 35.</w:t>
      </w:r>
    </w:p>
  </w:footnote>
  <w:footnote w:id="3128">
    <w:p w14:paraId="1A58B733" w14:textId="77777777" w:rsidR="00AB3647" w:rsidRDefault="00000000">
      <w:pPr>
        <w:spacing w:after="0" w:before="0"/>
        <w:jc w:val="both"/>
      </w:pPr>
      <w:r>
        <w:rPr>
          <w:sz w:val="20"/>
          <w:szCs w:val="20"/>
          <w:rtl/>
        </w:rPr>
        <w:footnoteRef/>
      </w:r>
      <w:r>
        <w:rPr>
          <w:sz w:val="20"/>
          <w:szCs w:val="20"/>
          <w:rtl/>
        </w:rPr>
        <w:t>. הדברים חלים רק על דרך המוסר המיוחדת של הסבא – השווה פרק 3, הערה 51.</w:t>
      </w:r>
    </w:p>
  </w:footnote>
  <w:footnote w:id="3129">
    <w:p w14:paraId="5878E356" w14:textId="77777777" w:rsidR="00AB3647" w:rsidRDefault="00000000">
      <w:pPr>
        <w:spacing w:after="0" w:before="0"/>
        <w:jc w:val="both"/>
      </w:pPr>
      <w:r>
        <w:rPr>
          <w:sz w:val="20"/>
          <w:szCs w:val="20"/>
          <w:rtl/>
        </w:rPr>
        <w:footnoteRef/>
      </w:r>
      <w:r>
        <w:rPr>
          <w:sz w:val="20"/>
          <w:szCs w:val="20"/>
          <w:rtl/>
        </w:rPr>
        <w:t>. עמ׳ לה, במאמר מאת דב כץ.</w:t>
      </w:r>
    </w:p>
  </w:footnote>
  <w:footnote w:id="3130">
    <w:p w14:paraId="30B642D8" w14:textId="77777777" w:rsidR="00AB3647" w:rsidRDefault="00000000">
      <w:pPr>
        <w:spacing w:after="0" w:before="0"/>
        <w:jc w:val="both"/>
      </w:pPr>
      <w:r>
        <w:rPr>
          <w:sz w:val="20"/>
          <w:szCs w:val="20"/>
          <w:rtl/>
        </w:rPr>
        <w:footnoteRef/>
      </w:r>
      <w:r>
        <w:rPr>
          <w:sz w:val="20"/>
          <w:szCs w:val="20"/>
          <w:rtl/>
        </w:rPr>
        <w:t>. פרק 3, הערה 115.</w:t>
      </w:r>
    </w:p>
  </w:footnote>
  <w:footnote w:id="3131">
    <w:p w14:paraId="5B2F21D2" w14:textId="77777777" w:rsidR="00AB3647" w:rsidRDefault="00000000">
      <w:pPr>
        <w:spacing w:after="0" w:before="0"/>
        <w:jc w:val="both"/>
      </w:pPr>
      <w:r>
        <w:rPr>
          <w:sz w:val="20"/>
          <w:szCs w:val="20"/>
          <w:rtl/>
        </w:rPr>
        <w:footnoteRef/>
      </w:r>
      <w:r>
        <w:rPr>
          <w:sz w:val="20"/>
          <w:szCs w:val="20"/>
          <w:rtl/>
        </w:rPr>
        <w:t>. עמ׳ 307.</w:t>
      </w:r>
    </w:p>
  </w:footnote>
  <w:footnote w:id="3132">
    <w:p w14:paraId="3A316ED3" w14:textId="77777777" w:rsidR="00AB3647" w:rsidRDefault="00000000">
      <w:pPr>
        <w:spacing w:after="0" w:before="0"/>
        <w:jc w:val="both"/>
      </w:pPr>
      <w:r>
        <w:rPr>
          <w:sz w:val="20"/>
          <w:szCs w:val="20"/>
          <w:rtl/>
        </w:rPr>
        <w:footnoteRef/>
      </w:r>
      <w:r>
        <w:rPr>
          <w:sz w:val="20"/>
          <w:szCs w:val="20"/>
          <w:rtl/>
        </w:rPr>
        <w:t xml:space="preserve">. עמ׳ </w:t>
      </w:r>
      <w:proofErr w:type="spellStart"/>
      <w:r>
        <w:rPr>
          <w:sz w:val="20"/>
          <w:szCs w:val="20"/>
          <w:rtl/>
        </w:rPr>
        <w:t>נג</w:t>
      </w:r>
      <w:proofErr w:type="spellEnd"/>
      <w:r>
        <w:rPr>
          <w:sz w:val="20"/>
          <w:szCs w:val="20"/>
          <w:rtl/>
        </w:rPr>
        <w:t xml:space="preserve">, במאמר מאת אלעזר ראובן </w:t>
      </w:r>
      <w:proofErr w:type="spellStart"/>
      <w:r>
        <w:rPr>
          <w:sz w:val="20"/>
          <w:szCs w:val="20"/>
          <w:rtl/>
        </w:rPr>
        <w:t>מושקין</w:t>
      </w:r>
      <w:proofErr w:type="spellEnd"/>
      <w:r>
        <w:rPr>
          <w:sz w:val="20"/>
          <w:szCs w:val="20"/>
          <w:rtl/>
        </w:rPr>
        <w:t>, ועמ׳ מח, במאמר מאת יעקב משה לסין.</w:t>
      </w:r>
    </w:p>
  </w:footnote>
  <w:footnote w:id="3133">
    <w:p w14:paraId="15755FF5" w14:textId="77777777" w:rsidR="00AB3647" w:rsidRDefault="00000000">
      <w:pPr>
        <w:spacing w:after="0" w:before="0"/>
        <w:jc w:val="both"/>
      </w:pPr>
      <w:r>
        <w:rPr>
          <w:sz w:val="20"/>
          <w:szCs w:val="20"/>
          <w:rtl/>
        </w:rPr>
        <w:footnoteRef/>
      </w:r>
      <w:r>
        <w:rPr>
          <w:sz w:val="20"/>
          <w:szCs w:val="20"/>
          <w:rtl/>
        </w:rPr>
        <w:t>. במובאה הראשונה.</w:t>
      </w:r>
    </w:p>
  </w:footnote>
  <w:footnote w:id="3134">
    <w:p w14:paraId="52EF0289" w14:textId="77777777" w:rsidR="00AB3647" w:rsidRDefault="00000000">
      <w:pPr>
        <w:spacing w:after="0" w:before="0"/>
        <w:jc w:val="both"/>
      </w:pPr>
      <w:r>
        <w:rPr>
          <w:sz w:val="20"/>
          <w:szCs w:val="20"/>
          <w:rtl/>
        </w:rPr>
        <w:footnoteRef/>
      </w:r>
      <w:r>
        <w:rPr>
          <w:sz w:val="20"/>
          <w:szCs w:val="20"/>
          <w:rtl/>
        </w:rPr>
        <w:t>. עמ׳ 70.</w:t>
      </w:r>
    </w:p>
  </w:footnote>
  <w:footnote w:id="3135">
    <w:p w14:paraId="36411504" w14:textId="77777777" w:rsidR="00AB3647" w:rsidRDefault="00000000">
      <w:pPr>
        <w:spacing w:after="0" w:before="0"/>
        <w:jc w:val="both"/>
      </w:pPr>
      <w:r>
        <w:rPr>
          <w:sz w:val="20"/>
          <w:szCs w:val="20"/>
          <w:rtl/>
        </w:rPr>
        <w:footnoteRef/>
      </w:r>
      <w:r>
        <w:rPr>
          <w:sz w:val="20"/>
          <w:szCs w:val="20"/>
          <w:rtl/>
        </w:rPr>
        <w:t>. השווה פרק 3, הפסקה השנייה בהערה 115.</w:t>
      </w:r>
    </w:p>
  </w:footnote>
  <w:footnote w:id="3136">
    <w:p w14:paraId="79D00CB9" w14:textId="77777777" w:rsidR="00AB3647" w:rsidRDefault="00000000">
      <w:pPr>
        <w:spacing w:after="0" w:before="0"/>
        <w:jc w:val="both"/>
      </w:pPr>
      <w:r>
        <w:rPr>
          <w:sz w:val="20"/>
          <w:szCs w:val="20"/>
          <w:rtl/>
        </w:rPr>
        <w:footnoteRef/>
      </w:r>
      <w:r>
        <w:rPr>
          <w:sz w:val="20"/>
          <w:szCs w:val="20"/>
          <w:rtl/>
        </w:rPr>
        <w:t>. כץ, “תנועת המוסר”, כרך ג, עמ׳ 50.</w:t>
      </w:r>
    </w:p>
  </w:footnote>
  <w:footnote w:id="3137">
    <w:p w14:paraId="3D84FFFB" w14:textId="77777777" w:rsidR="00AB3647" w:rsidRDefault="00000000">
      <w:pPr>
        <w:spacing w:after="0" w:before="0"/>
        <w:jc w:val="both"/>
      </w:pPr>
      <w:r>
        <w:rPr>
          <w:sz w:val="20"/>
          <w:szCs w:val="20"/>
          <w:rtl/>
        </w:rPr>
        <w:footnoteRef/>
      </w:r>
      <w:r>
        <w:rPr>
          <w:sz w:val="20"/>
          <w:szCs w:val="20"/>
          <w:rtl/>
        </w:rPr>
        <w:t xml:space="preserve">. פרק 3, נספח </w:t>
      </w:r>
      <w:proofErr w:type="spellStart"/>
      <w:r>
        <w:rPr>
          <w:sz w:val="20"/>
          <w:szCs w:val="20"/>
          <w:rtl/>
        </w:rPr>
        <w:t>כג</w:t>
      </w:r>
      <w:proofErr w:type="spellEnd"/>
      <w:r>
        <w:rPr>
          <w:sz w:val="20"/>
          <w:szCs w:val="20"/>
          <w:rtl/>
        </w:rPr>
        <w:t>.</w:t>
      </w:r>
    </w:p>
  </w:footnote>
  <w:footnote w:id="3138">
    <w:p w14:paraId="325D13E1" w14:textId="77777777" w:rsidR="00AB3647" w:rsidRDefault="00000000">
      <w:pPr>
        <w:spacing w:after="0" w:before="0"/>
        <w:jc w:val="both"/>
      </w:pPr>
      <w:r>
        <w:rPr>
          <w:sz w:val="20"/>
          <w:szCs w:val="20"/>
          <w:rtl/>
        </w:rPr>
        <w:footnoteRef/>
      </w:r>
      <w:r>
        <w:rPr>
          <w:sz w:val="20"/>
          <w:szCs w:val="20"/>
          <w:rtl/>
        </w:rPr>
        <w:t>. שם.</w:t>
      </w:r>
    </w:p>
  </w:footnote>
  <w:footnote w:id="3139">
    <w:p w14:paraId="37D07475" w14:textId="77777777" w:rsidR="00AB3647" w:rsidRDefault="00000000">
      <w:pPr>
        <w:spacing w:after="0" w:before="0"/>
        <w:jc w:val="both"/>
      </w:pPr>
      <w:r>
        <w:rPr>
          <w:sz w:val="20"/>
          <w:szCs w:val="20"/>
          <w:rtl/>
        </w:rPr>
        <w:footnoteRef/>
      </w:r>
      <w:r>
        <w:rPr>
          <w:sz w:val="20"/>
          <w:szCs w:val="20"/>
          <w:rtl/>
        </w:rPr>
        <w:t xml:space="preserve">. פרק 3, נספח </w:t>
      </w:r>
      <w:proofErr w:type="spellStart"/>
      <w:r>
        <w:rPr>
          <w:sz w:val="20"/>
          <w:szCs w:val="20"/>
          <w:rtl/>
        </w:rPr>
        <w:t>כג</w:t>
      </w:r>
      <w:proofErr w:type="spellEnd"/>
      <w:r>
        <w:rPr>
          <w:sz w:val="20"/>
          <w:szCs w:val="20"/>
          <w:rtl/>
        </w:rPr>
        <w:t>.</w:t>
      </w:r>
    </w:p>
  </w:footnote>
  <w:footnote w:id="3140">
    <w:p w14:paraId="53107E8D" w14:textId="77777777" w:rsidR="00AB3647" w:rsidRDefault="00000000">
      <w:pPr>
        <w:spacing w:after="0" w:before="0"/>
        <w:jc w:val="both"/>
      </w:pPr>
      <w:r>
        <w:rPr>
          <w:sz w:val="20"/>
          <w:szCs w:val="20"/>
          <w:rtl/>
        </w:rPr>
        <w:footnoteRef/>
      </w:r>
      <w:r>
        <w:rPr>
          <w:sz w:val="20"/>
          <w:szCs w:val="20"/>
          <w:rtl/>
        </w:rPr>
        <w:t>. השווה פרק 3, נספח א.</w:t>
      </w:r>
    </w:p>
  </w:footnote>
  <w:footnote w:id="3141">
    <w:p w14:paraId="3AD3BD17" w14:textId="77777777" w:rsidR="00AB3647" w:rsidRDefault="00000000">
      <w:pPr>
        <w:spacing w:after="0" w:before="0"/>
        <w:jc w:val="both"/>
      </w:pPr>
      <w:r>
        <w:rPr>
          <w:sz w:val="20"/>
          <w:szCs w:val="20"/>
          <w:rtl/>
        </w:rPr>
        <w:footnoteRef/>
      </w:r>
      <w:r>
        <w:rPr>
          <w:sz w:val="20"/>
          <w:szCs w:val="20"/>
          <w:rtl/>
        </w:rPr>
        <w:t>. עמ׳ 215 ו־218.</w:t>
      </w:r>
    </w:p>
  </w:footnote>
  <w:footnote w:id="3142">
    <w:p w14:paraId="6809FB56" w14:textId="77777777" w:rsidR="00AB3647" w:rsidRDefault="00000000">
      <w:pPr>
        <w:spacing w:after="0" w:before="0"/>
        <w:jc w:val="both"/>
      </w:pPr>
      <w:r>
        <w:rPr>
          <w:sz w:val="20"/>
          <w:szCs w:val="20"/>
          <w:rtl/>
        </w:rPr>
        <w:footnoteRef/>
      </w:r>
      <w:r>
        <w:rPr>
          <w:sz w:val="20"/>
          <w:szCs w:val="20"/>
          <w:rtl/>
        </w:rPr>
        <w:t>. ראיונות מיום 19 בינואר 1987 ומיום 13 בנובמבר 1991.</w:t>
      </w:r>
    </w:p>
  </w:footnote>
  <w:footnote w:id="3143">
    <w:p w14:paraId="61FC063B" w14:textId="77777777" w:rsidR="00AB3647" w:rsidRDefault="00000000">
      <w:pPr>
        <w:spacing w:after="0" w:before="0"/>
        <w:jc w:val="both"/>
      </w:pPr>
      <w:r>
        <w:rPr>
          <w:sz w:val="20"/>
          <w:szCs w:val="20"/>
          <w:rtl/>
        </w:rPr>
        <w:footnoteRef/>
      </w:r>
      <w:r>
        <w:rPr>
          <w:sz w:val="20"/>
          <w:szCs w:val="20"/>
          <w:rtl/>
        </w:rPr>
        <w:t>. ריאיון מיום 24 במאי 1987.</w:t>
      </w:r>
    </w:p>
  </w:footnote>
  <w:footnote w:id="3144">
    <w:p w14:paraId="1C87E62B" w14:textId="77777777" w:rsidR="00AB3647" w:rsidRDefault="00000000">
      <w:pPr>
        <w:spacing w:after="0" w:before="0"/>
        <w:jc w:val="both"/>
      </w:pPr>
      <w:r>
        <w:rPr>
          <w:sz w:val="20"/>
          <w:szCs w:val="20"/>
          <w:rtl/>
        </w:rPr>
        <w:footnoteRef/>
      </w:r>
      <w:r>
        <w:rPr>
          <w:sz w:val="20"/>
          <w:szCs w:val="20"/>
          <w:rtl/>
        </w:rPr>
        <w:t>. ריאיון מיום 2 באוגוסט 1991.</w:t>
      </w:r>
    </w:p>
  </w:footnote>
  <w:footnote w:id="3145">
    <w:p w14:paraId="2495C635" w14:textId="77777777" w:rsidR="00AB3647" w:rsidRDefault="00000000">
      <w:pPr>
        <w:spacing w:after="0" w:before="0"/>
        <w:jc w:val="both"/>
      </w:pPr>
      <w:r>
        <w:rPr>
          <w:sz w:val="20"/>
          <w:szCs w:val="20"/>
          <w:rtl/>
        </w:rPr>
        <w:footnoteRef/>
      </w:r>
      <w:r>
        <w:rPr>
          <w:sz w:val="20"/>
          <w:szCs w:val="20"/>
          <w:rtl/>
        </w:rPr>
        <w:t xml:space="preserve">. היא גדלה </w:t>
      </w:r>
      <w:proofErr w:type="spellStart"/>
      <w:r>
        <w:rPr>
          <w:sz w:val="20"/>
          <w:szCs w:val="20"/>
          <w:rtl/>
        </w:rPr>
        <w:t>במיר</w:t>
      </w:r>
      <w:proofErr w:type="spellEnd"/>
      <w:r>
        <w:rPr>
          <w:sz w:val="20"/>
          <w:szCs w:val="20"/>
          <w:rtl/>
        </w:rPr>
        <w:t xml:space="preserve">, אך זכרה את הדירה מביקורה </w:t>
      </w:r>
      <w:proofErr w:type="spellStart"/>
      <w:r>
        <w:rPr>
          <w:sz w:val="20"/>
          <w:szCs w:val="20"/>
          <w:rtl/>
        </w:rPr>
        <w:t>בסלבודקה</w:t>
      </w:r>
      <w:proofErr w:type="spellEnd"/>
      <w:r>
        <w:rPr>
          <w:sz w:val="20"/>
          <w:szCs w:val="20"/>
          <w:rtl/>
        </w:rPr>
        <w:t xml:space="preserve"> במשך שבועות אחדים כשהייתה בת שבע.</w:t>
      </w:r>
    </w:p>
  </w:footnote>
  <w:footnote w:id="3146">
    <w:p w14:paraId="20E196C7" w14:textId="77777777" w:rsidR="00AB3647" w:rsidRDefault="00000000">
      <w:pPr>
        <w:spacing w:after="0" w:before="0"/>
        <w:jc w:val="both"/>
      </w:pPr>
      <w:r>
        <w:rPr>
          <w:sz w:val="20"/>
          <w:szCs w:val="20"/>
          <w:rtl/>
        </w:rPr>
        <w:footnoteRef/>
      </w:r>
      <w:r>
        <w:rPr>
          <w:sz w:val="20"/>
          <w:szCs w:val="20"/>
          <w:rtl/>
        </w:rPr>
        <w:t>. ריאיון מיום 21 באוגוסט 1991.</w:t>
      </w:r>
    </w:p>
  </w:footnote>
  <w:footnote w:id="3147">
    <w:p w14:paraId="09621AA0" w14:textId="77777777" w:rsidR="00AB3647" w:rsidRDefault="00000000">
      <w:pPr>
        <w:spacing w:after="0" w:before="0"/>
        <w:jc w:val="both"/>
      </w:pPr>
      <w:r>
        <w:rPr>
          <w:sz w:val="20"/>
          <w:szCs w:val="20"/>
          <w:rtl/>
        </w:rPr>
        <w:footnoteRef/>
      </w:r>
      <w:r>
        <w:rPr>
          <w:sz w:val="20"/>
          <w:szCs w:val="20"/>
          <w:rtl/>
        </w:rPr>
        <w:t>. השווה גם פרק 3, הפסקה השנייה בהערה 95.</w:t>
      </w:r>
    </w:p>
  </w:footnote>
  <w:footnote w:id="3148">
    <w:p w14:paraId="13A426CC" w14:textId="77777777" w:rsidR="00AB3647" w:rsidRDefault="00000000">
      <w:pPr>
        <w:spacing w:after="0" w:before="0"/>
        <w:jc w:val="both"/>
      </w:pPr>
      <w:r>
        <w:rPr>
          <w:sz w:val="20"/>
          <w:szCs w:val="20"/>
          <w:rtl/>
        </w:rPr>
        <w:footnoteRef/>
      </w:r>
      <w:r>
        <w:rPr>
          <w:sz w:val="20"/>
          <w:szCs w:val="20"/>
          <w:rtl/>
        </w:rPr>
        <w:t>. ראה הערה 30 להלן.</w:t>
      </w:r>
    </w:p>
  </w:footnote>
  <w:footnote w:id="3149">
    <w:p w14:paraId="1B711C34" w14:textId="77777777" w:rsidR="00AB3647" w:rsidRDefault="00000000">
      <w:pPr>
        <w:spacing w:after="0" w:before="0"/>
        <w:jc w:val="both"/>
      </w:pPr>
      <w:r>
        <w:rPr>
          <w:sz w:val="20"/>
          <w:szCs w:val="20"/>
          <w:rtl/>
        </w:rPr>
        <w:footnoteRef/>
      </w:r>
      <w:r>
        <w:rPr>
          <w:sz w:val="20"/>
          <w:szCs w:val="20"/>
          <w:rtl/>
        </w:rPr>
        <w:t>. ראה ההערה הקודמת.</w:t>
      </w:r>
    </w:p>
  </w:footnote>
  <w:footnote w:id="3150">
    <w:p w14:paraId="5D53C44A" w14:textId="77777777" w:rsidR="00AB3647" w:rsidRDefault="00000000">
      <w:pPr>
        <w:spacing w:after="0" w:before="0"/>
        <w:jc w:val="both"/>
      </w:pPr>
      <w:r>
        <w:rPr>
          <w:sz w:val="20"/>
          <w:szCs w:val="20"/>
          <w:rtl/>
        </w:rPr>
        <w:footnoteRef/>
      </w:r>
      <w:r>
        <w:rPr>
          <w:sz w:val="20"/>
          <w:szCs w:val="20"/>
          <w:rtl/>
        </w:rPr>
        <w:t>. ריאיון מיום 13 בנובמבר 1991.</w:t>
      </w:r>
    </w:p>
  </w:footnote>
  <w:footnote w:id="3151">
    <w:p w14:paraId="719E3D12" w14:textId="77777777" w:rsidR="00AB3647" w:rsidRDefault="00000000">
      <w:pPr>
        <w:spacing w:after="0" w:before="0"/>
        <w:jc w:val="both"/>
      </w:pPr>
      <w:r>
        <w:rPr>
          <w:sz w:val="20"/>
          <w:szCs w:val="20"/>
          <w:rtl/>
        </w:rPr>
        <w:footnoteRef/>
      </w:r>
      <w:r>
        <w:rPr>
          <w:sz w:val="20"/>
          <w:szCs w:val="20"/>
          <w:rtl/>
        </w:rPr>
        <w:t xml:space="preserve">. פרק 3, נספח </w:t>
      </w:r>
      <w:proofErr w:type="spellStart"/>
      <w:r>
        <w:rPr>
          <w:sz w:val="20"/>
          <w:szCs w:val="20"/>
          <w:rtl/>
        </w:rPr>
        <w:t>יט</w:t>
      </w:r>
      <w:proofErr w:type="spellEnd"/>
      <w:r>
        <w:rPr>
          <w:sz w:val="20"/>
          <w:szCs w:val="20"/>
          <w:rtl/>
        </w:rPr>
        <w:t>.</w:t>
      </w:r>
    </w:p>
  </w:footnote>
  <w:footnote w:id="3152">
    <w:p w14:paraId="5E99D4D9" w14:textId="77777777" w:rsidR="00AB3647" w:rsidRDefault="00000000">
      <w:pPr>
        <w:spacing w:after="0" w:before="0"/>
        <w:jc w:val="both"/>
      </w:pPr>
      <w:r>
        <w:rPr>
          <w:sz w:val="20"/>
          <w:szCs w:val="20"/>
          <w:rtl/>
        </w:rPr>
        <w:footnoteRef/>
      </w:r>
      <w:r>
        <w:rPr>
          <w:sz w:val="20"/>
          <w:szCs w:val="20"/>
          <w:rtl/>
        </w:rPr>
        <w:t xml:space="preserve">. פרק 3, נספח </w:t>
      </w:r>
      <w:proofErr w:type="spellStart"/>
      <w:r>
        <w:rPr>
          <w:sz w:val="20"/>
          <w:szCs w:val="20"/>
          <w:rtl/>
        </w:rPr>
        <w:t>כג</w:t>
      </w:r>
      <w:proofErr w:type="spellEnd"/>
      <w:r>
        <w:rPr>
          <w:sz w:val="20"/>
          <w:szCs w:val="20"/>
          <w:rtl/>
        </w:rPr>
        <w:t>.</w:t>
      </w:r>
    </w:p>
  </w:footnote>
  <w:footnote w:id="3153">
    <w:p w14:paraId="4E8765AB" w14:textId="77777777" w:rsidR="00AB3647" w:rsidRDefault="00000000">
      <w:pPr>
        <w:spacing w:after="0" w:before="0"/>
        <w:jc w:val="both"/>
      </w:pPr>
      <w:r>
        <w:rPr>
          <w:sz w:val="20"/>
          <w:szCs w:val="20"/>
          <w:rtl/>
        </w:rPr>
        <w:footnoteRef/>
      </w:r>
      <w:r>
        <w:rPr>
          <w:sz w:val="20"/>
          <w:szCs w:val="20"/>
          <w:rtl/>
        </w:rPr>
        <w:t xml:space="preserve">. שמות </w:t>
      </w:r>
      <w:proofErr w:type="spellStart"/>
      <w:r>
        <w:rPr>
          <w:sz w:val="20"/>
          <w:szCs w:val="20"/>
          <w:rtl/>
        </w:rPr>
        <w:t>יב</w:t>
      </w:r>
      <w:proofErr w:type="spellEnd"/>
      <w:r>
        <w:rPr>
          <w:sz w:val="20"/>
          <w:szCs w:val="20"/>
          <w:rtl/>
        </w:rPr>
        <w:t xml:space="preserve">, </w:t>
      </w:r>
      <w:proofErr w:type="spellStart"/>
      <w:r>
        <w:rPr>
          <w:sz w:val="20"/>
          <w:szCs w:val="20"/>
          <w:rtl/>
        </w:rPr>
        <w:t>לז</w:t>
      </w:r>
      <w:proofErr w:type="spellEnd"/>
      <w:r>
        <w:rPr>
          <w:sz w:val="20"/>
          <w:szCs w:val="20"/>
          <w:rtl/>
        </w:rPr>
        <w:t xml:space="preserve"> </w:t>
      </w:r>
      <w:proofErr w:type="spellStart"/>
      <w:r>
        <w:rPr>
          <w:sz w:val="20"/>
          <w:szCs w:val="20"/>
          <w:rtl/>
        </w:rPr>
        <w:t>ויט</w:t>
      </w:r>
      <w:proofErr w:type="spellEnd"/>
      <w:r>
        <w:rPr>
          <w:sz w:val="20"/>
          <w:szCs w:val="20"/>
          <w:rtl/>
        </w:rPr>
        <w:t xml:space="preserve">, יא; ועיין כתובות </w:t>
      </w:r>
      <w:proofErr w:type="spellStart"/>
      <w:r>
        <w:rPr>
          <w:sz w:val="20"/>
          <w:szCs w:val="20"/>
          <w:rtl/>
        </w:rPr>
        <w:t>יז</w:t>
      </w:r>
      <w:proofErr w:type="spellEnd"/>
      <w:r>
        <w:rPr>
          <w:sz w:val="20"/>
          <w:szCs w:val="20"/>
          <w:rtl/>
        </w:rPr>
        <w:t xml:space="preserve"> סוף ע״א.</w:t>
      </w:r>
    </w:p>
  </w:footnote>
  <w:footnote w:id="3154">
    <w:p w14:paraId="3B542CFC" w14:textId="77777777" w:rsidR="00AB3647" w:rsidRDefault="00000000">
      <w:pPr>
        <w:spacing w:after="0" w:before="0"/>
        <w:jc w:val="both"/>
      </w:pPr>
      <w:r>
        <w:rPr>
          <w:sz w:val="20"/>
          <w:szCs w:val="20"/>
          <w:rtl/>
        </w:rPr>
        <w:footnoteRef/>
      </w:r>
      <w:r>
        <w:rPr>
          <w:sz w:val="20"/>
          <w:szCs w:val="20"/>
          <w:rtl/>
        </w:rPr>
        <w:t xml:space="preserve">. המקור הנזכר בפרק 3, הפסקה השנייה של נספח ד – עמ׳ </w:t>
      </w:r>
      <w:proofErr w:type="spellStart"/>
      <w:r>
        <w:rPr>
          <w:sz w:val="20"/>
          <w:szCs w:val="20"/>
          <w:rtl/>
        </w:rPr>
        <w:t>תקכד</w:t>
      </w:r>
      <w:proofErr w:type="spellEnd"/>
      <w:r>
        <w:rPr>
          <w:sz w:val="20"/>
          <w:szCs w:val="20"/>
          <w:rtl/>
        </w:rPr>
        <w:t>.</w:t>
      </w:r>
    </w:p>
  </w:footnote>
  <w:footnote w:id="3155">
    <w:p w14:paraId="274E8D8D" w14:textId="77777777" w:rsidR="00AB3647" w:rsidRDefault="00000000">
      <w:pPr>
        <w:spacing w:after="0" w:before="0"/>
        <w:jc w:val="both"/>
      </w:pPr>
      <w:r>
        <w:rPr>
          <w:sz w:val="20"/>
          <w:szCs w:val="20"/>
          <w:rtl/>
        </w:rPr>
        <w:footnoteRef/>
      </w:r>
      <w:r>
        <w:rPr>
          <w:sz w:val="20"/>
          <w:szCs w:val="20"/>
          <w:rtl/>
        </w:rPr>
        <w:t xml:space="preserve">. פרק 3, נספח </w:t>
      </w:r>
      <w:proofErr w:type="spellStart"/>
      <w:r>
        <w:rPr>
          <w:sz w:val="20"/>
          <w:szCs w:val="20"/>
          <w:rtl/>
        </w:rPr>
        <w:t>כג</w:t>
      </w:r>
      <w:proofErr w:type="spellEnd"/>
      <w:r>
        <w:rPr>
          <w:sz w:val="20"/>
          <w:szCs w:val="20"/>
          <w:rtl/>
        </w:rPr>
        <w:t>.</w:t>
      </w:r>
    </w:p>
  </w:footnote>
  <w:footnote w:id="3156">
    <w:p w14:paraId="0B991113" w14:textId="77777777" w:rsidR="00AB3647" w:rsidRDefault="00000000">
      <w:pPr>
        <w:spacing w:after="0" w:before="0"/>
        <w:jc w:val="both"/>
      </w:pPr>
      <w:r>
        <w:rPr>
          <w:sz w:val="20"/>
          <w:szCs w:val="20"/>
          <w:rtl/>
        </w:rPr>
        <w:footnoteRef/>
      </w:r>
      <w:r>
        <w:rPr>
          <w:sz w:val="20"/>
          <w:szCs w:val="20"/>
          <w:rtl/>
        </w:rPr>
        <w:t>. פרק 3, נספח ה.</w:t>
      </w:r>
    </w:p>
  </w:footnote>
  <w:footnote w:id="3157">
    <w:p w14:paraId="0A30B7E2" w14:textId="77777777" w:rsidR="00AB3647" w:rsidRDefault="00000000">
      <w:pPr>
        <w:spacing w:after="0" w:before="0"/>
        <w:jc w:val="both"/>
      </w:pPr>
      <w:r>
        <w:rPr>
          <w:sz w:val="20"/>
          <w:szCs w:val="20"/>
          <w:rtl/>
        </w:rPr>
        <w:footnoteRef/>
      </w:r>
      <w:r>
        <w:rPr>
          <w:sz w:val="20"/>
          <w:szCs w:val="20"/>
          <w:rtl/>
        </w:rPr>
        <w:t>. מן העברית “בעל הבית”; בלשון יידיש משמש הביטוי לאדם מן השורה.</w:t>
      </w:r>
    </w:p>
  </w:footnote>
  <w:footnote w:id="3158">
    <w:p w14:paraId="0A0B1280" w14:textId="77777777" w:rsidR="00AB3647" w:rsidRDefault="00000000">
      <w:pPr>
        <w:spacing w:after="0" w:before="0"/>
        <w:jc w:val="both"/>
      </w:pPr>
      <w:r>
        <w:rPr>
          <w:sz w:val="20"/>
          <w:szCs w:val="20"/>
          <w:rtl/>
        </w:rPr>
        <w:footnoteRef/>
      </w:r>
      <w:r>
        <w:rPr>
          <w:sz w:val="20"/>
          <w:szCs w:val="20"/>
          <w:rtl/>
        </w:rPr>
        <w:t xml:space="preserve">. השווה גם פרק 3, הפסקה החמישית של נספח </w:t>
      </w:r>
      <w:proofErr w:type="spellStart"/>
      <w:r>
        <w:rPr>
          <w:sz w:val="20"/>
          <w:szCs w:val="20"/>
          <w:rtl/>
        </w:rPr>
        <w:t>יח</w:t>
      </w:r>
      <w:proofErr w:type="spellEnd"/>
      <w:r>
        <w:rPr>
          <w:sz w:val="20"/>
          <w:szCs w:val="20"/>
          <w:rtl/>
        </w:rPr>
        <w:t xml:space="preserve">, שבה נמסר שגם ר׳ </w:t>
      </w:r>
      <w:proofErr w:type="spellStart"/>
      <w:r>
        <w:rPr>
          <w:sz w:val="20"/>
          <w:szCs w:val="20"/>
          <w:rtl/>
        </w:rPr>
        <w:t>מאיר־שמחה</w:t>
      </w:r>
      <w:proofErr w:type="spellEnd"/>
      <w:r>
        <w:rPr>
          <w:sz w:val="20"/>
          <w:szCs w:val="20"/>
          <w:rtl/>
        </w:rPr>
        <w:t xml:space="preserve"> כהן אמר זאת על </w:t>
      </w:r>
      <w:proofErr w:type="spellStart"/>
      <w:r>
        <w:rPr>
          <w:sz w:val="20"/>
          <w:szCs w:val="20"/>
          <w:rtl/>
        </w:rPr>
        <w:t>החפץ־חיים</w:t>
      </w:r>
      <w:proofErr w:type="spellEnd"/>
      <w:r>
        <w:rPr>
          <w:sz w:val="20"/>
          <w:szCs w:val="20"/>
          <w:rtl/>
        </w:rPr>
        <w:t xml:space="preserve"> – בפניו.</w:t>
      </w:r>
    </w:p>
  </w:footnote>
  <w:footnote w:id="3159">
    <w:p w14:paraId="65D17138" w14:textId="77777777" w:rsidR="00AB3647" w:rsidRDefault="00000000">
      <w:pPr>
        <w:spacing w:after="0" w:before="0"/>
        <w:jc w:val="both"/>
      </w:pPr>
      <w:r>
        <w:rPr>
          <w:sz w:val="20"/>
          <w:szCs w:val="20"/>
          <w:rtl/>
        </w:rPr>
        <w:footnoteRef/>
      </w:r>
      <w:r>
        <w:rPr>
          <w:sz w:val="20"/>
          <w:szCs w:val="20"/>
          <w:rtl/>
        </w:rPr>
        <w:t>. כאן במשמעות העברית המילולית האחרת: בעלים.</w:t>
      </w:r>
    </w:p>
  </w:footnote>
  <w:footnote w:id="3160">
    <w:p w14:paraId="2EF15E71" w14:textId="77777777" w:rsidR="00AB3647" w:rsidRDefault="00000000">
      <w:pPr>
        <w:spacing w:after="0" w:before="0"/>
        <w:jc w:val="both"/>
      </w:pPr>
      <w:r>
        <w:rPr>
          <w:sz w:val="20"/>
          <w:szCs w:val="20"/>
          <w:rtl/>
        </w:rPr>
        <w:footnoteRef/>
      </w:r>
      <w:r>
        <w:rPr>
          <w:sz w:val="20"/>
          <w:szCs w:val="20"/>
          <w:rtl/>
        </w:rPr>
        <w:t xml:space="preserve">. המעשה מובא </w:t>
      </w:r>
      <w:proofErr w:type="spellStart"/>
      <w:r>
        <w:rPr>
          <w:sz w:val="20"/>
          <w:szCs w:val="20"/>
          <w:rtl/>
        </w:rPr>
        <w:t>ב“פאר</w:t>
      </w:r>
      <w:proofErr w:type="spellEnd"/>
      <w:r>
        <w:rPr>
          <w:sz w:val="20"/>
          <w:szCs w:val="20"/>
          <w:rtl/>
        </w:rPr>
        <w:t xml:space="preserve"> הדור”, חלק א, עמ׳ </w:t>
      </w:r>
      <w:proofErr w:type="spellStart"/>
      <w:r>
        <w:rPr>
          <w:sz w:val="20"/>
          <w:szCs w:val="20"/>
          <w:rtl/>
        </w:rPr>
        <w:t>רמב</w:t>
      </w:r>
      <w:proofErr w:type="spellEnd"/>
      <w:r>
        <w:rPr>
          <w:sz w:val="20"/>
          <w:szCs w:val="20"/>
          <w:rtl/>
        </w:rPr>
        <w:t xml:space="preserve">, אבל בלי לציין את שמו של בן שיחו של </w:t>
      </w:r>
      <w:proofErr w:type="spellStart"/>
      <w:r>
        <w:rPr>
          <w:sz w:val="20"/>
          <w:szCs w:val="20"/>
          <w:rtl/>
        </w:rPr>
        <w:t>החזון־איש</w:t>
      </w:r>
      <w:proofErr w:type="spellEnd"/>
      <w:r>
        <w:rPr>
          <w:sz w:val="20"/>
          <w:szCs w:val="20"/>
          <w:rtl/>
        </w:rPr>
        <w:t>.</w:t>
      </w:r>
    </w:p>
  </w:footnote>
  <w:footnote w:id="3161">
    <w:p w14:paraId="7CC0DA82" w14:textId="77777777" w:rsidR="00AB3647" w:rsidRDefault="00000000">
      <w:pPr>
        <w:spacing w:after="0" w:before="0"/>
        <w:jc w:val="both"/>
      </w:pPr>
      <w:r>
        <w:rPr>
          <w:sz w:val="20"/>
          <w:szCs w:val="20"/>
          <w:rtl/>
        </w:rPr>
        <w:footnoteRef/>
      </w:r>
      <w:r>
        <w:rPr>
          <w:sz w:val="20"/>
          <w:szCs w:val="20"/>
          <w:rtl/>
        </w:rPr>
        <w:t xml:space="preserve">. השווה פרק 3, הערה 56, </w:t>
      </w:r>
      <w:proofErr w:type="spellStart"/>
      <w:r>
        <w:rPr>
          <w:sz w:val="20"/>
          <w:szCs w:val="20"/>
          <w:rtl/>
        </w:rPr>
        <w:t>ו“מסורת</w:t>
      </w:r>
      <w:proofErr w:type="spellEnd"/>
      <w:r>
        <w:rPr>
          <w:sz w:val="20"/>
          <w:szCs w:val="20"/>
          <w:rtl/>
        </w:rPr>
        <w:t xml:space="preserve"> הזהב” (המקור הנזכר שם), עמ׳ 180.</w:t>
      </w:r>
    </w:p>
  </w:footnote>
  <w:footnote w:id="3162">
    <w:p w14:paraId="0D8B95AE" w14:textId="77777777" w:rsidR="00AB3647" w:rsidRDefault="00000000">
      <w:pPr>
        <w:spacing w:after="0" w:before="0"/>
        <w:jc w:val="both"/>
      </w:pPr>
      <w:r>
        <w:rPr>
          <w:sz w:val="20"/>
          <w:szCs w:val="20"/>
          <w:rtl/>
        </w:rPr>
        <w:footnoteRef/>
      </w:r>
      <w:r>
        <w:rPr>
          <w:sz w:val="20"/>
          <w:szCs w:val="20"/>
          <w:rtl/>
        </w:rPr>
        <w:t>. המקור הנזכר בפרק 3, נספח ב.</w:t>
      </w:r>
    </w:p>
  </w:footnote>
  <w:footnote w:id="3163">
    <w:p w14:paraId="3EF9EFC8" w14:textId="77777777" w:rsidR="00AB3647" w:rsidRDefault="00000000">
      <w:pPr>
        <w:spacing w:after="0" w:before="0"/>
        <w:jc w:val="both"/>
      </w:pPr>
      <w:r>
        <w:rPr>
          <w:sz w:val="20"/>
          <w:szCs w:val="20"/>
          <w:rtl/>
        </w:rPr>
        <w:footnoteRef/>
      </w:r>
      <w:r>
        <w:rPr>
          <w:sz w:val="20"/>
          <w:szCs w:val="20"/>
          <w:rtl/>
        </w:rPr>
        <w:t>. שם, עמ׳ 43.</w:t>
      </w:r>
    </w:p>
  </w:footnote>
  <w:footnote w:id="3164">
    <w:p w14:paraId="15708EA5" w14:textId="77777777" w:rsidR="00AB3647" w:rsidRDefault="00000000">
      <w:pPr>
        <w:spacing w:after="0" w:before="0"/>
        <w:jc w:val="both"/>
      </w:pPr>
      <w:r>
        <w:rPr>
          <w:sz w:val="20"/>
          <w:szCs w:val="20"/>
          <w:rtl/>
        </w:rPr>
        <w:footnoteRef/>
      </w:r>
      <w:r>
        <w:rPr>
          <w:sz w:val="20"/>
          <w:szCs w:val="20"/>
          <w:rtl/>
        </w:rPr>
        <w:t>. ריאיון מיום 20 באוקטובר 1987.</w:t>
      </w:r>
    </w:p>
  </w:footnote>
  <w:footnote w:id="3165">
    <w:p w14:paraId="1A1D1241" w14:textId="77777777" w:rsidR="00AB3647" w:rsidRDefault="00000000">
      <w:pPr>
        <w:spacing w:after="0" w:before="0"/>
        <w:jc w:val="both"/>
      </w:pPr>
      <w:r>
        <w:rPr>
          <w:sz w:val="20"/>
          <w:szCs w:val="20"/>
          <w:rtl/>
        </w:rPr>
        <w:footnoteRef/>
      </w:r>
      <w:r>
        <w:rPr>
          <w:sz w:val="20"/>
          <w:szCs w:val="20"/>
          <w:rtl/>
        </w:rPr>
        <w:t>. הפסקה הראשונה בנספח א בפרק זה – עמ׳ 18, ערב ז׳ באב תשמ״א.</w:t>
      </w:r>
    </w:p>
  </w:footnote>
  <w:footnote w:id="3166">
    <w:p w14:paraId="685217EF" w14:textId="77777777" w:rsidR="00AB3647" w:rsidRDefault="00000000">
      <w:pPr>
        <w:spacing w:after="0" w:before="0"/>
        <w:jc w:val="both"/>
      </w:pPr>
      <w:r>
        <w:rPr>
          <w:sz w:val="20"/>
          <w:szCs w:val="20"/>
          <w:rtl/>
        </w:rPr>
        <w:footnoteRef/>
      </w:r>
      <w:r>
        <w:rPr>
          <w:sz w:val="20"/>
          <w:szCs w:val="20"/>
          <w:rtl/>
        </w:rPr>
        <w:t>. עמ׳ 282.</w:t>
      </w:r>
    </w:p>
  </w:footnote>
  <w:footnote w:id="3167">
    <w:p w14:paraId="306D213D" w14:textId="77777777" w:rsidR="00AB3647" w:rsidRDefault="00000000">
      <w:pPr>
        <w:spacing w:after="0" w:before="0"/>
        <w:jc w:val="both"/>
      </w:pPr>
      <w:r>
        <w:rPr>
          <w:sz w:val="20"/>
          <w:szCs w:val="20"/>
          <w:rtl/>
        </w:rPr>
        <w:footnoteRef/>
      </w:r>
      <w:r>
        <w:rPr>
          <w:sz w:val="20"/>
          <w:szCs w:val="20"/>
          <w:rtl/>
        </w:rPr>
        <w:t xml:space="preserve">. עמ׳ </w:t>
      </w:r>
      <w:proofErr w:type="spellStart"/>
      <w:r>
        <w:rPr>
          <w:sz w:val="20"/>
          <w:szCs w:val="20"/>
          <w:rtl/>
        </w:rPr>
        <w:t>מב</w:t>
      </w:r>
      <w:proofErr w:type="spellEnd"/>
      <w:r>
        <w:rPr>
          <w:sz w:val="20"/>
          <w:szCs w:val="20"/>
          <w:rtl/>
        </w:rPr>
        <w:t>, במאמר מאת דן בן יעקב.</w:t>
      </w:r>
    </w:p>
  </w:footnote>
  <w:footnote w:id="3168">
    <w:p w14:paraId="65A0ECD6" w14:textId="77777777" w:rsidR="00AB3647" w:rsidRDefault="00000000">
      <w:pPr>
        <w:spacing w:after="0" w:before="0"/>
        <w:jc w:val="both"/>
      </w:pPr>
      <w:r>
        <w:rPr>
          <w:sz w:val="20"/>
          <w:szCs w:val="20"/>
          <w:rtl/>
        </w:rPr>
        <w:footnoteRef/>
      </w:r>
      <w:r>
        <w:rPr>
          <w:sz w:val="20"/>
          <w:szCs w:val="20"/>
          <w:rtl/>
        </w:rPr>
        <w:t>. המקור הנזכר בפרק 3, הערה 91 – עמ׳ 135.</w:t>
      </w:r>
    </w:p>
  </w:footnote>
  <w:footnote w:id="3169">
    <w:p w14:paraId="69AAB91D" w14:textId="77777777" w:rsidR="00AB3647" w:rsidRDefault="00000000">
      <w:pPr>
        <w:spacing w:after="0" w:before="0"/>
        <w:jc w:val="both"/>
      </w:pPr>
      <w:r>
        <w:rPr>
          <w:sz w:val="20"/>
          <w:szCs w:val="20"/>
          <w:rtl/>
        </w:rPr>
        <w:footnoteRef/>
      </w:r>
      <w:r>
        <w:rPr>
          <w:sz w:val="20"/>
          <w:szCs w:val="20"/>
          <w:rtl/>
        </w:rPr>
        <w:t>. השווה פרק 3, הפסקה השנייה של נספח כ.</w:t>
      </w:r>
    </w:p>
  </w:footnote>
  <w:footnote w:id="3170">
    <w:p w14:paraId="558C728A" w14:textId="77777777" w:rsidR="00AB3647" w:rsidRDefault="00000000">
      <w:pPr>
        <w:spacing w:after="0" w:before="0"/>
        <w:jc w:val="both"/>
      </w:pPr>
      <w:r>
        <w:rPr>
          <w:sz w:val="20"/>
          <w:szCs w:val="20"/>
          <w:rtl/>
        </w:rPr>
        <w:footnoteRef/>
      </w:r>
      <w:r>
        <w:rPr>
          <w:sz w:val="20"/>
          <w:szCs w:val="20"/>
          <w:rtl/>
        </w:rPr>
        <w:t>. פרק 3, סוף הפסקה השלישית של נספח כ.</w:t>
      </w:r>
    </w:p>
  </w:footnote>
  <w:footnote w:id="3171">
    <w:p w14:paraId="0812EC48" w14:textId="77777777" w:rsidR="00AB3647" w:rsidRDefault="00000000">
      <w:pPr>
        <w:spacing w:after="0" w:before="0"/>
        <w:jc w:val="both"/>
      </w:pPr>
      <w:r>
        <w:rPr>
          <w:sz w:val="20"/>
          <w:szCs w:val="20"/>
          <w:rtl/>
        </w:rPr>
        <w:footnoteRef/>
      </w:r>
      <w:r>
        <w:rPr>
          <w:sz w:val="20"/>
          <w:szCs w:val="20"/>
          <w:rtl/>
        </w:rPr>
        <w:t>. השווה פרק 3, סוף הפסקה הרביעית של נספח כ.</w:t>
      </w:r>
    </w:p>
  </w:footnote>
  <w:footnote w:id="3172">
    <w:p w14:paraId="58FF38F5" w14:textId="77777777" w:rsidR="00AB3647" w:rsidRDefault="00000000">
      <w:pPr>
        <w:spacing w:after="0" w:before="0"/>
        <w:jc w:val="both"/>
      </w:pPr>
      <w:r>
        <w:rPr>
          <w:sz w:val="20"/>
          <w:szCs w:val="20"/>
          <w:rtl/>
        </w:rPr>
        <w:footnoteRef/>
      </w:r>
      <w:r>
        <w:rPr>
          <w:sz w:val="20"/>
          <w:szCs w:val="20"/>
          <w:rtl/>
        </w:rPr>
        <w:t>. עמ׳ 247.</w:t>
      </w:r>
    </w:p>
  </w:footnote>
  <w:footnote w:id="3173">
    <w:p w14:paraId="5238EEB0" w14:textId="77777777" w:rsidR="00AB3647" w:rsidRDefault="00000000">
      <w:pPr>
        <w:spacing w:after="0" w:before="0"/>
        <w:jc w:val="both"/>
      </w:pPr>
      <w:r>
        <w:rPr>
          <w:sz w:val="20"/>
          <w:szCs w:val="20"/>
          <w:rtl/>
        </w:rPr>
        <w:footnoteRef/>
      </w:r>
      <w:r>
        <w:rPr>
          <w:sz w:val="20"/>
          <w:szCs w:val="20"/>
          <w:rtl/>
        </w:rPr>
        <w:t xml:space="preserve">. פרק 1, הערת השוליים </w:t>
      </w:r>
      <w:r>
        <w:rPr>
          <w:sz w:val="20"/>
          <w:szCs w:val="20"/>
          <w:rtl/>
        </w:rPr>
        <w:fldChar w:fldCharType="begin" w:dirty="true"/>
      </w:r>
      <w:r>
        <w:rPr>
          <w:sz w:val="20"/>
          <w:szCs w:val="20"/>
          <w:rtl/>
        </w:rPr>
        <w:instrText xml:space="preserve"> NOTEREF pr_f_365 \h </w:instrText>
      </w:r>
      <w:r>
        <w:rPr>
          <w:sz w:val="20"/>
          <w:szCs w:val="20"/>
          <w:rtl/>
        </w:rPr>
      </w:r>
      <w:r>
        <w:rPr>
          <w:sz w:val="20"/>
          <w:szCs w:val="20"/>
          <w:rtl/>
        </w:rPr>
        <w:fldChar w:fldCharType="separate"/>
      </w:r>
      <w:r w:rsidR="007923E9">
        <w:rPr>
          <w:sz w:val="20"/>
          <w:szCs w:val="20"/>
          <w:rtl/>
        </w:rPr>
        <w:t>307</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pr_f_365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3174">
    <w:p w14:paraId="6D29AE0D" w14:textId="77777777" w:rsidR="00AB3647" w:rsidRDefault="00000000">
      <w:pPr>
        <w:spacing w:after="0" w:before="0"/>
        <w:jc w:val="both"/>
      </w:pPr>
      <w:r>
        <w:rPr>
          <w:sz w:val="20"/>
          <w:szCs w:val="20"/>
          <w:rtl/>
        </w:rPr>
        <w:footnoteRef/>
      </w:r>
      <w:r>
        <w:rPr>
          <w:sz w:val="20"/>
          <w:szCs w:val="20"/>
          <w:rtl/>
        </w:rPr>
        <w:t>. ראה הערה 18 לעיל למקרה קיצוני מסוג זה.</w:t>
      </w:r>
    </w:p>
  </w:footnote>
  <w:footnote w:id="3175">
    <w:p w14:paraId="730719F0" w14:textId="77777777" w:rsidR="00AB3647" w:rsidRDefault="00000000">
      <w:pPr>
        <w:spacing w:after="0" w:before="0"/>
        <w:jc w:val="both"/>
      </w:pPr>
      <w:r>
        <w:rPr>
          <w:sz w:val="20"/>
          <w:szCs w:val="20"/>
          <w:rtl/>
        </w:rPr>
        <w:footnoteRef/>
      </w:r>
      <w:r>
        <w:rPr>
          <w:sz w:val="20"/>
          <w:szCs w:val="20"/>
          <w:rtl/>
        </w:rPr>
        <w:t>. עמ׳ 300–301.</w:t>
      </w:r>
    </w:p>
  </w:footnote>
  <w:footnote w:id="3176">
    <w:p w14:paraId="727AF7B5" w14:textId="77777777" w:rsidR="00AB3647" w:rsidRDefault="00000000">
      <w:pPr>
        <w:spacing w:after="0" w:before="0"/>
        <w:jc w:val="both"/>
      </w:pPr>
      <w:r>
        <w:rPr>
          <w:sz w:val="20"/>
          <w:szCs w:val="20"/>
          <w:rtl/>
        </w:rPr>
        <w:footnoteRef/>
      </w:r>
      <w:r>
        <w:rPr>
          <w:sz w:val="20"/>
          <w:szCs w:val="20"/>
          <w:rtl/>
        </w:rPr>
        <w:t>. פרק 3, הפסקה השנייה של נספח כ.</w:t>
      </w:r>
    </w:p>
  </w:footnote>
  <w:footnote w:id="3177">
    <w:p w14:paraId="727DCDC4" w14:textId="77777777" w:rsidR="00AB3647" w:rsidRDefault="00000000">
      <w:pPr>
        <w:spacing w:after="0" w:before="0"/>
        <w:jc w:val="both"/>
      </w:pPr>
      <w:r>
        <w:rPr>
          <w:sz w:val="20"/>
          <w:szCs w:val="20"/>
          <w:rtl/>
        </w:rPr>
        <w:footnoteRef/>
      </w:r>
      <w:r>
        <w:rPr>
          <w:sz w:val="20"/>
          <w:szCs w:val="20"/>
          <w:rtl/>
        </w:rPr>
        <w:t xml:space="preserve">. עמ׳ </w:t>
      </w:r>
      <w:proofErr w:type="spellStart"/>
      <w:r>
        <w:rPr>
          <w:sz w:val="20"/>
          <w:szCs w:val="20"/>
          <w:rtl/>
        </w:rPr>
        <w:t>שכז</w:t>
      </w:r>
      <w:proofErr w:type="spellEnd"/>
      <w:r>
        <w:rPr>
          <w:sz w:val="20"/>
          <w:szCs w:val="20"/>
          <w:rtl/>
        </w:rPr>
        <w:t>.</w:t>
      </w:r>
    </w:p>
  </w:footnote>
  <w:footnote w:id="3178">
    <w:p w14:paraId="5F4BD183" w14:textId="77777777" w:rsidR="00AB3647" w:rsidRDefault="00000000">
      <w:pPr>
        <w:spacing w:after="0" w:before="0"/>
        <w:jc w:val="both"/>
      </w:pPr>
      <w:r>
        <w:rPr>
          <w:sz w:val="20"/>
          <w:szCs w:val="20"/>
          <w:rtl/>
        </w:rPr>
        <w:footnoteRef/>
      </w:r>
      <w:r>
        <w:rPr>
          <w:sz w:val="20"/>
          <w:szCs w:val="20"/>
          <w:rtl/>
        </w:rPr>
        <w:t>. פרק 1, הערה 32.</w:t>
      </w:r>
    </w:p>
  </w:footnote>
  <w:footnote w:id="3179">
    <w:p w14:paraId="7AB16B6C" w14:textId="77777777" w:rsidR="00AB3647" w:rsidRDefault="00000000">
      <w:pPr>
        <w:spacing w:after="0" w:before="0"/>
        <w:jc w:val="both"/>
      </w:pPr>
      <w:r>
        <w:rPr>
          <w:sz w:val="20"/>
          <w:szCs w:val="20"/>
          <w:rtl/>
        </w:rPr>
        <w:footnoteRef/>
      </w:r>
      <w:r>
        <w:rPr>
          <w:sz w:val="20"/>
          <w:szCs w:val="20"/>
          <w:rtl/>
        </w:rPr>
        <w:t xml:space="preserve">. ראה “קונטרס האדם ביקר” (המקור הנזכר בפרק 3, הפסקה השנייה של נספח </w:t>
      </w:r>
      <w:proofErr w:type="spellStart"/>
      <w:r>
        <w:rPr>
          <w:sz w:val="20"/>
          <w:szCs w:val="20"/>
          <w:rtl/>
        </w:rPr>
        <w:t>כא</w:t>
      </w:r>
      <w:proofErr w:type="spellEnd"/>
      <w:r>
        <w:rPr>
          <w:sz w:val="20"/>
          <w:szCs w:val="20"/>
          <w:rtl/>
        </w:rPr>
        <w:t xml:space="preserve">), עמ׳ יא–טו, לסקירת תחנות דרכו של ר׳ ירוחם. הלכתי בעקבות “קונטרס האדם ביקר” בקביעת זמן חזרתו </w:t>
      </w:r>
      <w:proofErr w:type="spellStart"/>
      <w:r>
        <w:rPr>
          <w:sz w:val="20"/>
          <w:szCs w:val="20"/>
          <w:rtl/>
        </w:rPr>
        <w:t>למיר</w:t>
      </w:r>
      <w:proofErr w:type="spellEnd"/>
      <w:r>
        <w:rPr>
          <w:sz w:val="20"/>
          <w:szCs w:val="20"/>
          <w:rtl/>
        </w:rPr>
        <w:t xml:space="preserve"> </w:t>
      </w:r>
      <w:proofErr w:type="spellStart"/>
      <w:r>
        <w:rPr>
          <w:sz w:val="20"/>
          <w:szCs w:val="20"/>
          <w:rtl/>
        </w:rPr>
        <w:t>בתרפ״ג</w:t>
      </w:r>
      <w:proofErr w:type="spellEnd"/>
      <w:r>
        <w:rPr>
          <w:sz w:val="20"/>
          <w:szCs w:val="20"/>
          <w:rtl/>
        </w:rPr>
        <w:t xml:space="preserve">, אבל לפי המאורעות המתוארים בפרק 3, הפסקה השנייה של נספח </w:t>
      </w:r>
      <w:proofErr w:type="spellStart"/>
      <w:r>
        <w:rPr>
          <w:sz w:val="20"/>
          <w:szCs w:val="20"/>
          <w:rtl/>
        </w:rPr>
        <w:t>יז</w:t>
      </w:r>
      <w:proofErr w:type="spellEnd"/>
      <w:r>
        <w:rPr>
          <w:sz w:val="20"/>
          <w:szCs w:val="20"/>
          <w:rtl/>
        </w:rPr>
        <w:t xml:space="preserve">, נראה שר׳ ירוחם עוד שימש בישיבת </w:t>
      </w:r>
      <w:proofErr w:type="spellStart"/>
      <w:r>
        <w:rPr>
          <w:sz w:val="20"/>
          <w:szCs w:val="20"/>
          <w:rtl/>
        </w:rPr>
        <w:t>פוניבז</w:t>
      </w:r>
      <w:proofErr w:type="spellEnd"/>
      <w:r>
        <w:rPr>
          <w:sz w:val="20"/>
          <w:szCs w:val="20"/>
          <w:rtl/>
        </w:rPr>
        <w:t xml:space="preserve">׳ </w:t>
      </w:r>
      <w:proofErr w:type="spellStart"/>
      <w:r>
        <w:rPr>
          <w:sz w:val="20"/>
          <w:szCs w:val="20"/>
          <w:rtl/>
        </w:rPr>
        <w:t>בתרפ״ד</w:t>
      </w:r>
      <w:proofErr w:type="spellEnd"/>
      <w:r>
        <w:rPr>
          <w:sz w:val="20"/>
          <w:szCs w:val="20"/>
          <w:rtl/>
        </w:rPr>
        <w:t>; אולם ייתכן שרק ביקר אז בליטא.</w:t>
      </w:r>
    </w:p>
  </w:footnote>
  <w:footnote w:id="3180">
    <w:p w14:paraId="03731077" w14:textId="77777777" w:rsidR="00AB3647" w:rsidRDefault="00000000">
      <w:pPr>
        <w:spacing w:after="0" w:before="0"/>
        <w:jc w:val="both"/>
      </w:pPr>
      <w:r>
        <w:rPr>
          <w:sz w:val="20"/>
          <w:szCs w:val="20"/>
          <w:rtl/>
        </w:rPr>
        <w:footnoteRef/>
      </w:r>
      <w:r>
        <w:rPr>
          <w:sz w:val="20"/>
          <w:szCs w:val="20"/>
          <w:rtl/>
        </w:rPr>
        <w:t xml:space="preserve">. ריאיון </w:t>
      </w:r>
      <w:proofErr w:type="spellStart"/>
      <w:r>
        <w:rPr>
          <w:sz w:val="20"/>
          <w:szCs w:val="20"/>
          <w:rtl/>
        </w:rPr>
        <w:t>ב“יתד</w:t>
      </w:r>
      <w:proofErr w:type="spellEnd"/>
      <w:r>
        <w:rPr>
          <w:sz w:val="20"/>
          <w:szCs w:val="20"/>
          <w:rtl/>
        </w:rPr>
        <w:t xml:space="preserve"> נאמן”, מוסף ערב </w:t>
      </w:r>
      <w:proofErr w:type="spellStart"/>
      <w:r>
        <w:rPr>
          <w:sz w:val="20"/>
          <w:szCs w:val="20"/>
          <w:rtl/>
        </w:rPr>
        <w:t>שב״ק</w:t>
      </w:r>
      <w:proofErr w:type="spellEnd"/>
      <w:r>
        <w:rPr>
          <w:sz w:val="20"/>
          <w:szCs w:val="20"/>
          <w:rtl/>
        </w:rPr>
        <w:t xml:space="preserve"> פרשת ואתחנן תשמ״ט.</w:t>
      </w:r>
    </w:p>
  </w:footnote>
  <w:footnote w:id="3181">
    <w:p w14:paraId="704B4D04" w14:textId="77777777" w:rsidR="00AB3647" w:rsidRDefault="00000000">
      <w:pPr>
        <w:spacing w:after="0" w:before="0"/>
        <w:jc w:val="both"/>
      </w:pPr>
      <w:r>
        <w:rPr>
          <w:sz w:val="20"/>
          <w:szCs w:val="20"/>
          <w:rtl/>
        </w:rPr>
        <w:footnoteRef/>
      </w:r>
      <w:r>
        <w:rPr>
          <w:sz w:val="20"/>
          <w:szCs w:val="20"/>
          <w:rtl/>
        </w:rPr>
        <w:t xml:space="preserve">. ריאיון מיום 16 בנובמבר 1987. ראה גם הערת השוליים האחרונה בעמ׳ </w:t>
      </w:r>
      <w:r>
        <w:rPr>
          <w:sz w:val="20"/>
          <w:szCs w:val="20"/>
          <w:rtl/>
        </w:rPr>
        <w:fldChar w:fldCharType="begin" w:dirty="true"/>
      </w:r>
      <w:r>
        <w:rPr>
          <w:sz w:val="20"/>
          <w:szCs w:val="20"/>
          <w:rtl/>
        </w:rPr>
        <w:instrText xml:space="preserve"> PAGEREF pr_b_2886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3182">
    <w:p w14:paraId="13D67D9B" w14:textId="77777777" w:rsidR="00AB3647" w:rsidRDefault="00000000">
      <w:pPr>
        <w:spacing w:after="0" w:before="0"/>
        <w:jc w:val="both"/>
      </w:pPr>
      <w:r>
        <w:rPr>
          <w:sz w:val="20"/>
          <w:szCs w:val="20"/>
          <w:rtl/>
        </w:rPr>
        <w:footnoteRef/>
      </w:r>
      <w:r>
        <w:rPr>
          <w:sz w:val="20"/>
          <w:szCs w:val="20"/>
          <w:rtl/>
        </w:rPr>
        <w:t>. “קונטרס האדם ביקר”, עמ׳ ח.</w:t>
      </w:r>
    </w:p>
  </w:footnote>
  <w:footnote w:id="3183">
    <w:p w14:paraId="269D4D32" w14:textId="77777777" w:rsidR="00AB3647" w:rsidRDefault="00000000">
      <w:pPr>
        <w:spacing w:after="0" w:before="0"/>
        <w:jc w:val="both"/>
      </w:pPr>
      <w:r>
        <w:rPr>
          <w:sz w:val="20"/>
          <w:szCs w:val="20"/>
          <w:rtl/>
        </w:rPr>
        <w:footnoteRef/>
      </w:r>
      <w:r>
        <w:rPr>
          <w:sz w:val="20"/>
          <w:szCs w:val="20"/>
          <w:rtl/>
        </w:rPr>
        <w:t>. השווה פרק 3, הערה 31.</w:t>
      </w:r>
    </w:p>
  </w:footnote>
  <w:footnote w:id="3184">
    <w:p w14:paraId="7BA73F3E" w14:textId="77777777" w:rsidR="00AB3647" w:rsidRDefault="00000000">
      <w:pPr>
        <w:spacing w:after="0" w:before="0"/>
        <w:jc w:val="both"/>
      </w:pPr>
      <w:r>
        <w:rPr>
          <w:sz w:val="20"/>
          <w:szCs w:val="20"/>
          <w:rtl/>
        </w:rPr>
        <w:footnoteRef/>
      </w:r>
      <w:r>
        <w:rPr>
          <w:sz w:val="20"/>
          <w:szCs w:val="20"/>
          <w:rtl/>
        </w:rPr>
        <w:t>. כץ, “תנועת המוסר”, כרך ג, שם; השווה גם הערה 6 שם.</w:t>
      </w:r>
    </w:p>
  </w:footnote>
  <w:footnote w:id="3185">
    <w:p w14:paraId="5A3223AF" w14:textId="77777777" w:rsidR="00AB3647" w:rsidRDefault="00000000">
      <w:pPr>
        <w:spacing w:after="0" w:before="0"/>
        <w:jc w:val="both"/>
      </w:pPr>
      <w:r>
        <w:rPr>
          <w:sz w:val="20"/>
          <w:szCs w:val="20"/>
          <w:rtl/>
        </w:rPr>
        <w:footnoteRef/>
      </w:r>
      <w:r>
        <w:rPr>
          <w:sz w:val="20"/>
          <w:szCs w:val="20"/>
          <w:rtl/>
        </w:rPr>
        <w:t>. ריאיון מיום 10 ביוני 1993.</w:t>
      </w:r>
    </w:p>
  </w:footnote>
  <w:footnote w:id="3186">
    <w:p w14:paraId="508FDBA5" w14:textId="77777777" w:rsidR="00AB3647" w:rsidRDefault="00000000">
      <w:pPr>
        <w:spacing w:after="0" w:before="0"/>
        <w:jc w:val="both"/>
      </w:pPr>
      <w:r>
        <w:rPr>
          <w:sz w:val="20"/>
          <w:szCs w:val="20"/>
          <w:rtl/>
        </w:rPr>
        <w:footnoteRef/>
      </w:r>
      <w:r>
        <w:rPr>
          <w:sz w:val="20"/>
          <w:szCs w:val="20"/>
          <w:rtl/>
        </w:rPr>
        <w:t>. השווה סוף הפסקה השישית בפרק 2.3, וכן פרק 2, הערה 106.</w:t>
      </w:r>
    </w:p>
  </w:footnote>
  <w:footnote w:id="3187">
    <w:p w14:paraId="39EA386F" w14:textId="77777777" w:rsidR="00AB3647" w:rsidRDefault="00000000">
      <w:pPr>
        <w:spacing w:after="0" w:before="0"/>
        <w:jc w:val="both"/>
      </w:pPr>
      <w:r>
        <w:rPr>
          <w:sz w:val="20"/>
          <w:szCs w:val="20"/>
          <w:rtl/>
        </w:rPr>
        <w:footnoteRef/>
      </w:r>
      <w:r>
        <w:rPr>
          <w:sz w:val="20"/>
          <w:szCs w:val="20"/>
          <w:rtl/>
        </w:rPr>
        <w:t>. עמ׳ 288.</w:t>
      </w:r>
    </w:p>
  </w:footnote>
  <w:footnote w:id="3188">
    <w:p w14:paraId="6983DEF3" w14:textId="77777777" w:rsidR="00AB3647" w:rsidRDefault="00000000">
      <w:pPr>
        <w:spacing w:after="0" w:before="0"/>
        <w:jc w:val="both"/>
      </w:pPr>
      <w:r>
        <w:rPr>
          <w:sz w:val="20"/>
          <w:szCs w:val="20"/>
          <w:rtl/>
        </w:rPr>
        <w:footnoteRef/>
      </w:r>
      <w:r>
        <w:rPr>
          <w:sz w:val="20"/>
          <w:szCs w:val="20"/>
          <w:rtl/>
        </w:rPr>
        <w:t>. ביום 16 במרס 1986.</w:t>
      </w:r>
    </w:p>
  </w:footnote>
  <w:footnote w:id="3189">
    <w:p w14:paraId="030D0E50" w14:textId="77777777" w:rsidR="00AB3647" w:rsidRDefault="00000000">
      <w:pPr>
        <w:spacing w:after="0" w:before="0"/>
        <w:jc w:val="both"/>
      </w:pPr>
      <w:r>
        <w:rPr>
          <w:sz w:val="20"/>
          <w:szCs w:val="20"/>
          <w:rtl/>
        </w:rPr>
        <w:footnoteRef/>
      </w:r>
      <w:r>
        <w:rPr>
          <w:sz w:val="20"/>
          <w:szCs w:val="20"/>
          <w:rtl/>
        </w:rPr>
        <w:t>. פרק 1, הערה 32.</w:t>
      </w:r>
    </w:p>
  </w:footnote>
  <w:footnote w:id="3190">
    <w:p w14:paraId="26EAB41C" w14:textId="77777777" w:rsidR="00AB3647" w:rsidRDefault="00000000">
      <w:pPr>
        <w:spacing w:after="0" w:before="0"/>
        <w:jc w:val="both"/>
      </w:pPr>
      <w:r>
        <w:rPr>
          <w:sz w:val="20"/>
          <w:szCs w:val="20"/>
          <w:rtl/>
        </w:rPr>
        <w:footnoteRef/>
      </w:r>
      <w:r>
        <w:rPr>
          <w:sz w:val="20"/>
          <w:szCs w:val="20"/>
          <w:rtl/>
        </w:rPr>
        <w:t xml:space="preserve">. </w:t>
      </w:r>
      <w:proofErr w:type="spellStart"/>
      <w:r>
        <w:rPr>
          <w:sz w:val="20"/>
          <w:szCs w:val="20"/>
          <w:rtl/>
        </w:rPr>
        <w:t>בפ״ד</w:t>
      </w:r>
      <w:proofErr w:type="spellEnd"/>
      <w:r>
        <w:rPr>
          <w:sz w:val="20"/>
          <w:szCs w:val="20"/>
          <w:rtl/>
        </w:rPr>
        <w:t xml:space="preserve"> </w:t>
      </w:r>
      <w:proofErr w:type="spellStart"/>
      <w:r>
        <w:rPr>
          <w:sz w:val="20"/>
          <w:szCs w:val="20"/>
          <w:rtl/>
        </w:rPr>
        <w:t>ה״ד</w:t>
      </w:r>
      <w:proofErr w:type="spellEnd"/>
      <w:r>
        <w:rPr>
          <w:sz w:val="20"/>
          <w:szCs w:val="20"/>
          <w:rtl/>
        </w:rPr>
        <w:t xml:space="preserve"> של הלכות תשובה מונה הרמב״ם מעשה זה בין עשרים וארבעה הדברים </w:t>
      </w:r>
      <w:proofErr w:type="spellStart"/>
      <w:r>
        <w:rPr>
          <w:sz w:val="20"/>
          <w:szCs w:val="20"/>
          <w:rtl/>
        </w:rPr>
        <w:t>ש“מעכבין</w:t>
      </w:r>
      <w:proofErr w:type="spellEnd"/>
      <w:r>
        <w:rPr>
          <w:sz w:val="20"/>
          <w:szCs w:val="20"/>
          <w:rtl/>
        </w:rPr>
        <w:t xml:space="preserve"> את התשובה”.</w:t>
      </w:r>
    </w:p>
  </w:footnote>
  <w:footnote w:id="3191">
    <w:p w14:paraId="150C4DA0" w14:textId="77777777" w:rsidR="00AB3647" w:rsidRDefault="00000000">
      <w:pPr>
        <w:spacing w:after="0" w:before="0"/>
        <w:jc w:val="both"/>
      </w:pPr>
      <w:r>
        <w:rPr>
          <w:sz w:val="20"/>
          <w:szCs w:val="20"/>
          <w:rtl/>
        </w:rPr>
        <w:footnoteRef/>
      </w:r>
      <w:r>
        <w:rPr>
          <w:sz w:val="20"/>
          <w:szCs w:val="20"/>
          <w:rtl/>
        </w:rPr>
        <w:t>. השווה כץ, “תנועת המוסר”, כרך ג, עמ׳ 283, לגרסה שונה במקצת, כנראה בלתי נכונה, של סיפור זה.</w:t>
      </w:r>
    </w:p>
  </w:footnote>
  <w:footnote w:id="3192">
    <w:p w14:paraId="140AA721" w14:textId="77777777" w:rsidR="00AB3647" w:rsidRDefault="00000000">
      <w:pPr>
        <w:spacing w:after="0" w:before="0"/>
        <w:jc w:val="both"/>
      </w:pPr>
      <w:r>
        <w:rPr>
          <w:sz w:val="20"/>
          <w:szCs w:val="20"/>
          <w:rtl/>
        </w:rPr>
        <w:footnoteRef/>
      </w:r>
      <w:r>
        <w:rPr>
          <w:sz w:val="20"/>
          <w:szCs w:val="20"/>
          <w:rtl/>
        </w:rPr>
        <w:t>. עמ׳ 306.</w:t>
      </w:r>
    </w:p>
  </w:footnote>
  <w:footnote w:id="3193">
    <w:p w14:paraId="77BA52B5" w14:textId="77777777" w:rsidR="00AB3647" w:rsidRDefault="00000000">
      <w:pPr>
        <w:spacing w:after="0" w:before="0"/>
        <w:jc w:val="both"/>
      </w:pPr>
      <w:r>
        <w:rPr>
          <w:sz w:val="20"/>
          <w:szCs w:val="20"/>
          <w:rtl/>
        </w:rPr>
        <w:footnoteRef/>
      </w:r>
      <w:r>
        <w:rPr>
          <w:sz w:val="20"/>
          <w:szCs w:val="20"/>
          <w:rtl/>
        </w:rPr>
        <w:t>. עמ׳ 237.</w:t>
      </w:r>
    </w:p>
  </w:footnote>
  <w:footnote w:id="3194">
    <w:p w14:paraId="4203F306" w14:textId="77777777" w:rsidR="00AB3647" w:rsidRDefault="00000000">
      <w:pPr>
        <w:spacing w:after="0" w:before="0"/>
        <w:jc w:val="both"/>
      </w:pPr>
      <w:r>
        <w:rPr>
          <w:sz w:val="20"/>
          <w:szCs w:val="20"/>
          <w:rtl/>
        </w:rPr>
        <w:footnoteRef/>
      </w:r>
      <w:r>
        <w:rPr>
          <w:sz w:val="20"/>
          <w:szCs w:val="20"/>
          <w:rtl/>
        </w:rPr>
        <w:t>. כששב מבשלו הקבוע, שנעדר יום אחד, והביא לו קערת דייסה חמה מתובלת בחמאה טרייה – כדי להתעלות על מחליפו – טעם הסבא וצעק: “אתה מנסה להרעיל אותי?! אני טועם כאן ‘מתכבד בקלון חברו’ מעורב בה.”</w:t>
      </w:r>
    </w:p>
  </w:footnote>
  <w:footnote w:id="3195">
    <w:p w14:paraId="2C8EFE07" w14:textId="77777777" w:rsidR="00AB3647" w:rsidRDefault="00000000">
      <w:pPr>
        <w:spacing w:after="0" w:before="0"/>
        <w:jc w:val="both"/>
      </w:pPr>
      <w:r>
        <w:rPr>
          <w:sz w:val="20"/>
          <w:szCs w:val="20"/>
          <w:rtl/>
        </w:rPr>
        <w:footnoteRef/>
      </w:r>
      <w:r>
        <w:rPr>
          <w:sz w:val="20"/>
          <w:szCs w:val="20"/>
          <w:rtl/>
        </w:rPr>
        <w:t>. ריאיון מיום 8 ביוני 1994.</w:t>
      </w:r>
    </w:p>
  </w:footnote>
  <w:footnote w:id="3196">
    <w:p w14:paraId="04B42C03" w14:textId="77777777" w:rsidR="00AB3647" w:rsidRDefault="00000000">
      <w:pPr>
        <w:spacing w:after="0" w:before="0"/>
        <w:jc w:val="both"/>
      </w:pPr>
      <w:r>
        <w:rPr>
          <w:sz w:val="20"/>
          <w:szCs w:val="20"/>
          <w:rtl/>
        </w:rPr>
        <w:footnoteRef/>
      </w:r>
      <w:r>
        <w:rPr>
          <w:sz w:val="20"/>
          <w:szCs w:val="20"/>
          <w:rtl/>
        </w:rPr>
        <w:t xml:space="preserve">. השווה רש״י שם, והשגות </w:t>
      </w:r>
      <w:proofErr w:type="spellStart"/>
      <w:r>
        <w:rPr>
          <w:sz w:val="20"/>
          <w:szCs w:val="20"/>
          <w:rtl/>
        </w:rPr>
        <w:t>הראב״ד</w:t>
      </w:r>
      <w:proofErr w:type="spellEnd"/>
      <w:r>
        <w:rPr>
          <w:sz w:val="20"/>
          <w:szCs w:val="20"/>
          <w:rtl/>
        </w:rPr>
        <w:t xml:space="preserve"> בסוף הלכות תשובה. השווה גם ירושלמי ברכות פ״ה ה״א, על ריש לקיש שהיה יוצא מחוץ לתחום שבת מתוך </w:t>
      </w:r>
      <w:proofErr w:type="spellStart"/>
      <w:r>
        <w:rPr>
          <w:sz w:val="20"/>
          <w:szCs w:val="20"/>
          <w:rtl/>
        </w:rPr>
        <w:t>שקיעותו</w:t>
      </w:r>
      <w:proofErr w:type="spellEnd"/>
      <w:r>
        <w:rPr>
          <w:sz w:val="20"/>
          <w:szCs w:val="20"/>
          <w:rtl/>
        </w:rPr>
        <w:t xml:space="preserve"> בלימודיו: “מנהגו </w:t>
      </w:r>
      <w:proofErr w:type="spellStart"/>
      <w:r>
        <w:rPr>
          <w:sz w:val="20"/>
          <w:szCs w:val="20"/>
          <w:rtl/>
        </w:rPr>
        <w:t>באורייתא</w:t>
      </w:r>
      <w:proofErr w:type="spellEnd"/>
      <w:r>
        <w:rPr>
          <w:sz w:val="20"/>
          <w:szCs w:val="20"/>
          <w:rtl/>
        </w:rPr>
        <w:t xml:space="preserve"> סגין </w:t>
      </w:r>
      <w:proofErr w:type="spellStart"/>
      <w:r>
        <w:rPr>
          <w:sz w:val="20"/>
          <w:szCs w:val="20"/>
          <w:rtl/>
        </w:rPr>
        <w:t>הוה</w:t>
      </w:r>
      <w:proofErr w:type="spellEnd"/>
      <w:r>
        <w:rPr>
          <w:sz w:val="20"/>
          <w:szCs w:val="20"/>
          <w:rtl/>
        </w:rPr>
        <w:t xml:space="preserve"> נפיק ליה לבר </w:t>
      </w:r>
      <w:proofErr w:type="spellStart"/>
      <w:r>
        <w:rPr>
          <w:sz w:val="20"/>
          <w:szCs w:val="20"/>
          <w:rtl/>
        </w:rPr>
        <w:t>מתחומא</w:t>
      </w:r>
      <w:proofErr w:type="spellEnd"/>
      <w:r>
        <w:rPr>
          <w:sz w:val="20"/>
          <w:szCs w:val="20"/>
          <w:rtl/>
        </w:rPr>
        <w:t xml:space="preserve"> </w:t>
      </w:r>
      <w:proofErr w:type="spellStart"/>
      <w:r>
        <w:rPr>
          <w:sz w:val="20"/>
          <w:szCs w:val="20"/>
          <w:rtl/>
        </w:rPr>
        <w:t>דשבתא</w:t>
      </w:r>
      <w:proofErr w:type="spellEnd"/>
      <w:r>
        <w:rPr>
          <w:sz w:val="20"/>
          <w:szCs w:val="20"/>
          <w:rtl/>
        </w:rPr>
        <w:t xml:space="preserve"> והוא לא ידע, לקיים מה שנאמר באהבתה תשגה תמיד”.</w:t>
      </w:r>
    </w:p>
  </w:footnote>
  <w:footnote w:id="3197">
    <w:p w14:paraId="0F091DEC" w14:textId="77777777" w:rsidR="00AB3647" w:rsidRDefault="00000000">
      <w:pPr>
        <w:spacing w:after="0" w:before="0"/>
        <w:jc w:val="both"/>
      </w:pPr>
      <w:r>
        <w:rPr>
          <w:sz w:val="20"/>
          <w:szCs w:val="20"/>
          <w:rtl/>
        </w:rPr>
        <w:footnoteRef/>
      </w:r>
      <w:r>
        <w:rPr>
          <w:sz w:val="20"/>
          <w:szCs w:val="20"/>
          <w:rtl/>
        </w:rPr>
        <w:t xml:space="preserve">. המקור הנזכר בפרק 3, נספח ב – עמ׳ </w:t>
      </w:r>
      <w:proofErr w:type="spellStart"/>
      <w:r>
        <w:rPr>
          <w:sz w:val="20"/>
          <w:szCs w:val="20"/>
          <w:rtl/>
        </w:rPr>
        <w:t>צז</w:t>
      </w:r>
      <w:proofErr w:type="spellEnd"/>
      <w:r>
        <w:rPr>
          <w:sz w:val="20"/>
          <w:szCs w:val="20"/>
          <w:rtl/>
        </w:rPr>
        <w:t>.</w:t>
      </w:r>
    </w:p>
  </w:footnote>
  <w:footnote w:id="3198">
    <w:p w14:paraId="6BCDAE5D" w14:textId="77777777" w:rsidR="00AB3647" w:rsidRDefault="00000000">
      <w:pPr>
        <w:spacing w:after="0" w:before="0"/>
        <w:jc w:val="both"/>
      </w:pPr>
      <w:r>
        <w:rPr>
          <w:sz w:val="20"/>
          <w:szCs w:val="20"/>
          <w:rtl/>
        </w:rPr>
        <w:footnoteRef/>
      </w:r>
      <w:r>
        <w:rPr>
          <w:sz w:val="20"/>
          <w:szCs w:val="20"/>
          <w:rtl/>
        </w:rPr>
        <w:t>. הפסקה הראשונה של נספח ח.</w:t>
      </w:r>
    </w:p>
  </w:footnote>
  <w:footnote w:id="3199">
    <w:p w14:paraId="4CA71880" w14:textId="77777777" w:rsidR="00AB3647" w:rsidRDefault="00000000">
      <w:pPr>
        <w:spacing w:after="0" w:before="0"/>
        <w:jc w:val="both"/>
      </w:pPr>
      <w:r>
        <w:rPr>
          <w:sz w:val="20"/>
          <w:szCs w:val="20"/>
          <w:rtl/>
        </w:rPr>
        <w:footnoteRef/>
      </w:r>
      <w:r>
        <w:rPr>
          <w:sz w:val="20"/>
          <w:szCs w:val="20"/>
          <w:rtl/>
        </w:rPr>
        <w:t>. הערה 1 לעיל – עמ׳ מ–</w:t>
      </w:r>
      <w:proofErr w:type="spellStart"/>
      <w:r>
        <w:rPr>
          <w:sz w:val="20"/>
          <w:szCs w:val="20"/>
          <w:rtl/>
        </w:rPr>
        <w:t>מא</w:t>
      </w:r>
      <w:proofErr w:type="spellEnd"/>
      <w:r>
        <w:rPr>
          <w:sz w:val="20"/>
          <w:szCs w:val="20"/>
          <w:rtl/>
        </w:rPr>
        <w:t>, במאמר מאת דן בן יעקב.</w:t>
      </w:r>
    </w:p>
  </w:footnote>
  <w:footnote w:id="3200">
    <w:p w14:paraId="4163C3F0" w14:textId="77777777" w:rsidR="00AB3647" w:rsidRDefault="00000000">
      <w:pPr>
        <w:spacing w:after="0" w:before="0"/>
        <w:jc w:val="both"/>
      </w:pPr>
      <w:r>
        <w:rPr>
          <w:sz w:val="20"/>
          <w:szCs w:val="20"/>
          <w:rtl/>
        </w:rPr>
        <w:footnoteRef/>
      </w:r>
      <w:r>
        <w:rPr>
          <w:sz w:val="20"/>
          <w:szCs w:val="20"/>
          <w:rtl/>
        </w:rPr>
        <w:t>. עמ׳ 279 ו־282.</w:t>
      </w:r>
    </w:p>
  </w:footnote>
  <w:footnote w:id="3201">
    <w:p w14:paraId="2B609512" w14:textId="77777777" w:rsidR="00AB3647" w:rsidRDefault="00000000">
      <w:pPr>
        <w:spacing w:after="0" w:before="0"/>
        <w:jc w:val="both"/>
      </w:pPr>
      <w:r>
        <w:rPr>
          <w:sz w:val="20"/>
          <w:szCs w:val="20"/>
          <w:rtl/>
        </w:rPr>
        <w:footnoteRef/>
      </w:r>
      <w:r>
        <w:rPr>
          <w:sz w:val="20"/>
          <w:szCs w:val="20"/>
          <w:rtl/>
        </w:rPr>
        <w:t xml:space="preserve">. המקור הנזכר בפרק 2, הפסקה התשיעית של נספח א – עמ׳ </w:t>
      </w:r>
      <w:proofErr w:type="spellStart"/>
      <w:r>
        <w:rPr>
          <w:sz w:val="20"/>
          <w:szCs w:val="20"/>
          <w:rtl/>
        </w:rPr>
        <w:t>קג</w:t>
      </w:r>
      <w:proofErr w:type="spellEnd"/>
      <w:r>
        <w:rPr>
          <w:sz w:val="20"/>
          <w:szCs w:val="20"/>
          <w:rtl/>
        </w:rPr>
        <w:t>.</w:t>
      </w:r>
    </w:p>
  </w:footnote>
  <w:footnote w:id="3202">
    <w:p w14:paraId="3343A6EF" w14:textId="77777777" w:rsidR="00AB3647" w:rsidRDefault="00000000">
      <w:pPr>
        <w:spacing w:after="0" w:before="0"/>
        <w:jc w:val="both"/>
      </w:pPr>
      <w:r>
        <w:rPr>
          <w:sz w:val="20"/>
          <w:szCs w:val="20"/>
          <w:rtl/>
        </w:rPr>
        <w:footnoteRef/>
      </w:r>
      <w:r>
        <w:rPr>
          <w:sz w:val="20"/>
          <w:szCs w:val="20"/>
          <w:rtl/>
        </w:rPr>
        <w:t xml:space="preserve">. פרק 1, הערת השוליים </w:t>
      </w:r>
      <w:r>
        <w:rPr>
          <w:sz w:val="20"/>
          <w:szCs w:val="20"/>
          <w:rtl/>
        </w:rPr>
        <w:fldChar w:fldCharType="begin" w:dirty="true"/>
      </w:r>
      <w:r>
        <w:rPr>
          <w:sz w:val="20"/>
          <w:szCs w:val="20"/>
          <w:rtl/>
        </w:rPr>
        <w:instrText xml:space="preserve"> NOTEREF pr_f_365 \h </w:instrText>
      </w:r>
      <w:r>
        <w:rPr>
          <w:sz w:val="20"/>
          <w:szCs w:val="20"/>
          <w:rtl/>
        </w:rPr>
      </w:r>
      <w:r>
        <w:rPr>
          <w:sz w:val="20"/>
          <w:szCs w:val="20"/>
          <w:rtl/>
        </w:rPr>
        <w:fldChar w:fldCharType="separate"/>
      </w:r>
      <w:r w:rsidR="007923E9">
        <w:rPr>
          <w:sz w:val="20"/>
          <w:szCs w:val="20"/>
          <w:rtl/>
        </w:rPr>
        <w:t>307</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pr_f_365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3203">
    <w:p w14:paraId="4567FF08" w14:textId="77777777" w:rsidR="00AB3647" w:rsidRDefault="00000000">
      <w:pPr>
        <w:spacing w:after="0" w:before="0"/>
        <w:jc w:val="both"/>
      </w:pPr>
      <w:r>
        <w:rPr>
          <w:sz w:val="20"/>
          <w:szCs w:val="20"/>
          <w:rtl/>
        </w:rPr>
        <w:footnoteRef/>
      </w:r>
      <w:r>
        <w:rPr>
          <w:sz w:val="20"/>
          <w:szCs w:val="20"/>
          <w:rtl/>
        </w:rPr>
        <w:t xml:space="preserve">. מאת </w:t>
      </w:r>
      <w:proofErr w:type="spellStart"/>
      <w:r>
        <w:rPr>
          <w:sz w:val="20"/>
          <w:szCs w:val="20"/>
          <w:rtl/>
        </w:rPr>
        <w:t>מנחם־מנדל</w:t>
      </w:r>
      <w:proofErr w:type="spellEnd"/>
      <w:r>
        <w:rPr>
          <w:sz w:val="20"/>
          <w:szCs w:val="20"/>
          <w:rtl/>
        </w:rPr>
        <w:t xml:space="preserve"> לפין </w:t>
      </w:r>
      <w:proofErr w:type="spellStart"/>
      <w:r>
        <w:rPr>
          <w:sz w:val="20"/>
          <w:szCs w:val="20"/>
          <w:rtl/>
        </w:rPr>
        <w:t>מסטנוב</w:t>
      </w:r>
      <w:proofErr w:type="spellEnd"/>
      <w:r>
        <w:rPr>
          <w:sz w:val="20"/>
          <w:szCs w:val="20"/>
          <w:rtl/>
        </w:rPr>
        <w:t>. ראה “פולמוס” (המקור הנזכר בפרק 3, נספח ג), עמ׳ 135–146, וכן “בית אהרן וישראל”, גיליון שבט–אדר תשנ״ד, עמ׳ קטר.</w:t>
      </w:r>
    </w:p>
  </w:footnote>
  <w:footnote w:id="3204">
    <w:p w14:paraId="41AFB870" w14:textId="77777777" w:rsidR="00AB3647" w:rsidRDefault="00000000">
      <w:pPr>
        <w:spacing w:after="0" w:before="0"/>
        <w:jc w:val="both"/>
      </w:pPr>
      <w:r>
        <w:rPr>
          <w:sz w:val="20"/>
          <w:szCs w:val="20"/>
          <w:rtl/>
        </w:rPr>
        <w:footnoteRef/>
      </w:r>
      <w:r>
        <w:rPr>
          <w:sz w:val="20"/>
          <w:szCs w:val="20"/>
          <w:rtl/>
        </w:rPr>
        <w:t>. ראה גם פרק 3, הערה 63.</w:t>
      </w:r>
    </w:p>
  </w:footnote>
  <w:footnote w:id="3205">
    <w:p w14:paraId="0D43750F" w14:textId="77777777" w:rsidR="00AB3647" w:rsidRDefault="00000000">
      <w:pPr>
        <w:spacing w:after="0" w:before="0"/>
        <w:jc w:val="both"/>
      </w:pPr>
      <w:r>
        <w:rPr>
          <w:sz w:val="20"/>
          <w:szCs w:val="20"/>
          <w:rtl/>
        </w:rPr>
        <w:footnoteRef/>
      </w:r>
      <w:r>
        <w:rPr>
          <w:sz w:val="20"/>
          <w:szCs w:val="20"/>
          <w:rtl/>
        </w:rPr>
        <w:t xml:space="preserve">. עמ׳ לד, במאמר מאת דב כץ, ועמ׳ מג–מד, במאמר מאת ש. י. </w:t>
      </w:r>
      <w:proofErr w:type="spellStart"/>
      <w:r>
        <w:rPr>
          <w:sz w:val="20"/>
          <w:szCs w:val="20"/>
          <w:rtl/>
        </w:rPr>
        <w:t>ברוידא</w:t>
      </w:r>
      <w:proofErr w:type="spellEnd"/>
      <w:r>
        <w:rPr>
          <w:sz w:val="20"/>
          <w:szCs w:val="20"/>
          <w:rtl/>
        </w:rPr>
        <w:t>.</w:t>
      </w:r>
    </w:p>
  </w:footnote>
  <w:footnote w:id="3206">
    <w:p w14:paraId="6FEE8827" w14:textId="77777777" w:rsidR="00AB3647" w:rsidRDefault="00000000">
      <w:pPr>
        <w:spacing w:after="0" w:before="0"/>
        <w:jc w:val="both"/>
      </w:pPr>
      <w:r>
        <w:rPr>
          <w:sz w:val="20"/>
          <w:szCs w:val="20"/>
          <w:rtl/>
        </w:rPr>
        <w:footnoteRef/>
      </w:r>
      <w:r>
        <w:rPr>
          <w:sz w:val="20"/>
          <w:szCs w:val="20"/>
          <w:rtl/>
        </w:rPr>
        <w:t>. המקור הנזכר בפרק 3, נספח ז – עמ׳ כד.</w:t>
      </w:r>
    </w:p>
  </w:footnote>
  <w:footnote w:id="3207">
    <w:p w14:paraId="2CEA39DA" w14:textId="77777777" w:rsidR="00AB3647" w:rsidRDefault="00000000">
      <w:pPr>
        <w:spacing w:after="0" w:before="0"/>
        <w:jc w:val="both"/>
      </w:pPr>
      <w:r>
        <w:rPr>
          <w:sz w:val="20"/>
          <w:szCs w:val="20"/>
          <w:rtl/>
        </w:rPr>
        <w:footnoteRef/>
      </w:r>
      <w:r>
        <w:rPr>
          <w:sz w:val="20"/>
          <w:szCs w:val="20"/>
          <w:rtl/>
        </w:rPr>
        <w:t>. עמ׳ לג, במאמר מאת דב כץ.</w:t>
      </w:r>
    </w:p>
  </w:footnote>
  <w:footnote w:id="3208">
    <w:p w14:paraId="30BA3970" w14:textId="77777777" w:rsidR="00AB3647" w:rsidRDefault="00000000">
      <w:pPr>
        <w:spacing w:after="0" w:before="0"/>
        <w:jc w:val="both"/>
      </w:pPr>
      <w:r>
        <w:rPr>
          <w:sz w:val="20"/>
          <w:szCs w:val="20"/>
          <w:rtl/>
        </w:rPr>
        <w:footnoteRef/>
      </w:r>
      <w:r>
        <w:rPr>
          <w:sz w:val="20"/>
          <w:szCs w:val="20"/>
          <w:rtl/>
        </w:rPr>
        <w:t>. המקור הנזכר בפרק 1, נספח א – עמ׳ 530.</w:t>
      </w:r>
    </w:p>
  </w:footnote>
  <w:footnote w:id="3209">
    <w:p w14:paraId="733A3DF9" w14:textId="77777777" w:rsidR="00AB3647" w:rsidRDefault="00000000">
      <w:pPr>
        <w:spacing w:after="0" w:before="0"/>
        <w:jc w:val="both"/>
      </w:pPr>
      <w:r>
        <w:rPr>
          <w:sz w:val="20"/>
          <w:szCs w:val="20"/>
          <w:rtl/>
        </w:rPr>
        <w:footnoteRef/>
      </w:r>
      <w:r>
        <w:rPr>
          <w:sz w:val="20"/>
          <w:szCs w:val="20"/>
          <w:rtl/>
        </w:rPr>
        <w:t>. תל אביב, גיליון ד׳ באדר תרצ״ט.</w:t>
      </w:r>
    </w:p>
  </w:footnote>
  <w:footnote w:id="3210">
    <w:p w14:paraId="1C6873D1" w14:textId="77777777" w:rsidR="00AB3647" w:rsidRDefault="00000000">
      <w:pPr>
        <w:spacing w:after="0" w:before="0"/>
        <w:jc w:val="both"/>
      </w:pPr>
      <w:r>
        <w:rPr>
          <w:sz w:val="20"/>
          <w:szCs w:val="20"/>
          <w:rtl/>
        </w:rPr>
        <w:footnoteRef/>
      </w:r>
      <w:r>
        <w:rPr>
          <w:sz w:val="20"/>
          <w:szCs w:val="20"/>
          <w:rtl/>
        </w:rPr>
        <w:t xml:space="preserve">. המאמר מובא כלשונו בספרו של כץ, “תנועת המוסר”, כרך ג, עמ׳ 295–297. הפרטים הביוגרפיים על ר׳ </w:t>
      </w:r>
      <w:proofErr w:type="spellStart"/>
      <w:r>
        <w:rPr>
          <w:sz w:val="20"/>
          <w:szCs w:val="20"/>
          <w:rtl/>
        </w:rPr>
        <w:t>ישראל־שלמה</w:t>
      </w:r>
      <w:proofErr w:type="spellEnd"/>
      <w:r>
        <w:rPr>
          <w:sz w:val="20"/>
          <w:szCs w:val="20"/>
          <w:rtl/>
        </w:rPr>
        <w:t xml:space="preserve"> גורדון לקוחים </w:t>
      </w:r>
      <w:proofErr w:type="spellStart"/>
      <w:r>
        <w:rPr>
          <w:sz w:val="20"/>
          <w:szCs w:val="20"/>
          <w:rtl/>
        </w:rPr>
        <w:t>מ“מינסק</w:t>
      </w:r>
      <w:proofErr w:type="spellEnd"/>
      <w:r>
        <w:rPr>
          <w:sz w:val="20"/>
          <w:szCs w:val="20"/>
          <w:rtl/>
        </w:rPr>
        <w:t xml:space="preserve"> עיר ואם” א, עמ׳ 647. השווה גם כרך 2.</w:t>
      </w:r>
    </w:p>
  </w:footnote>
  <w:footnote w:id="3211">
    <w:p w14:paraId="6E2FE43A" w14:textId="77777777" w:rsidR="00AB3647" w:rsidRDefault="00000000">
      <w:pPr>
        <w:spacing w:after="0" w:before="0"/>
        <w:jc w:val="both"/>
      </w:pPr>
      <w:r>
        <w:rPr>
          <w:sz w:val="20"/>
          <w:szCs w:val="20"/>
          <w:rtl/>
        </w:rPr>
        <w:footnoteRef/>
      </w:r>
      <w:r>
        <w:rPr>
          <w:sz w:val="20"/>
          <w:szCs w:val="20"/>
          <w:rtl/>
        </w:rPr>
        <w:t xml:space="preserve">. ראה כץ, “תנועת המוסר”, כרך ג, עמ׳ 244. השווה גם “ראש גולת אריאל”, כרך א, מאת אהרן </w:t>
      </w:r>
      <w:proofErr w:type="spellStart"/>
      <w:r>
        <w:rPr>
          <w:sz w:val="20"/>
          <w:szCs w:val="20"/>
          <w:rtl/>
        </w:rPr>
        <w:t>סורסקי</w:t>
      </w:r>
      <w:proofErr w:type="spellEnd"/>
      <w:r>
        <w:rPr>
          <w:sz w:val="20"/>
          <w:szCs w:val="20"/>
          <w:rtl/>
        </w:rPr>
        <w:t xml:space="preserve"> </w:t>
      </w:r>
      <w:proofErr w:type="spellStart"/>
      <w:r>
        <w:rPr>
          <w:sz w:val="20"/>
          <w:szCs w:val="20"/>
          <w:rtl/>
        </w:rPr>
        <w:t>ואברהם־מרדכי</w:t>
      </w:r>
      <w:proofErr w:type="spellEnd"/>
      <w:r>
        <w:rPr>
          <w:sz w:val="20"/>
          <w:szCs w:val="20"/>
          <w:rtl/>
        </w:rPr>
        <w:t xml:space="preserve"> סגל (מכון “עמודי אור”, ירושלים, תש״נ), עמ׳ </w:t>
      </w:r>
      <w:proofErr w:type="spellStart"/>
      <w:r>
        <w:rPr>
          <w:sz w:val="20"/>
          <w:szCs w:val="20"/>
          <w:rtl/>
        </w:rPr>
        <w:t>תנב</w:t>
      </w:r>
      <w:proofErr w:type="spellEnd"/>
      <w:r>
        <w:rPr>
          <w:sz w:val="20"/>
          <w:szCs w:val="20"/>
          <w:rtl/>
        </w:rPr>
        <w:t xml:space="preserve">, המספר כך גם על ר׳ </w:t>
      </w:r>
      <w:proofErr w:type="spellStart"/>
      <w:r>
        <w:rPr>
          <w:sz w:val="20"/>
          <w:szCs w:val="20"/>
          <w:rtl/>
        </w:rPr>
        <w:t>אברהם־מרדכי</w:t>
      </w:r>
      <w:proofErr w:type="spellEnd"/>
      <w:r>
        <w:rPr>
          <w:sz w:val="20"/>
          <w:szCs w:val="20"/>
          <w:rtl/>
        </w:rPr>
        <w:t xml:space="preserve"> אלתר, האדמו״ר מגור, ומוסיף שאמר – כדרך משחקי הלשון בגור – “וכי נמצא מי שלשונו נקיה... [ומדוע אפוא לבדוק אותה]”, ברמז לניקיון מלשון הרע וכדומה.</w:t>
      </w:r>
    </w:p>
  </w:footnote>
  <w:footnote w:id="3212">
    <w:p w14:paraId="3E5373F7" w14:textId="77777777" w:rsidR="00AB3647" w:rsidRDefault="00000000">
      <w:pPr>
        <w:spacing w:after="0" w:before="0"/>
        <w:jc w:val="both"/>
      </w:pPr>
      <w:r>
        <w:rPr>
          <w:sz w:val="20"/>
          <w:szCs w:val="20"/>
          <w:rtl/>
        </w:rPr>
        <w:footnoteRef/>
      </w:r>
      <w:r>
        <w:rPr>
          <w:sz w:val="20"/>
          <w:szCs w:val="20"/>
          <w:rtl/>
        </w:rPr>
        <w:t xml:space="preserve">. המקור הנזכר בפרק 1, סוף נספח ה – עמ׳ </w:t>
      </w:r>
      <w:proofErr w:type="spellStart"/>
      <w:r>
        <w:rPr>
          <w:sz w:val="20"/>
          <w:szCs w:val="20"/>
          <w:rtl/>
        </w:rPr>
        <w:t>רלא</w:t>
      </w:r>
      <w:proofErr w:type="spellEnd"/>
      <w:r>
        <w:rPr>
          <w:sz w:val="20"/>
          <w:szCs w:val="20"/>
          <w:rtl/>
        </w:rPr>
        <w:t>.</w:t>
      </w:r>
    </w:p>
  </w:footnote>
  <w:footnote w:id="3213">
    <w:p w14:paraId="22949DFA" w14:textId="77777777" w:rsidR="00AB3647" w:rsidRDefault="00000000">
      <w:pPr>
        <w:spacing w:after="0" w:before="0"/>
        <w:jc w:val="both"/>
      </w:pPr>
      <w:r>
        <w:rPr>
          <w:sz w:val="20"/>
          <w:szCs w:val="20"/>
          <w:rtl/>
        </w:rPr>
        <w:footnoteRef/>
      </w:r>
      <w:r>
        <w:rPr>
          <w:sz w:val="20"/>
          <w:szCs w:val="20"/>
          <w:rtl/>
        </w:rPr>
        <w:t xml:space="preserve">. השווה הערה 1 בפרק זה, שבה נזכר מכתב לאבי שלא היה ידוע למחברים הנזכרים לעיל. בידיי מצוי גם העתק של מכתב אחר שלא היה ידוע להם, שסיפק ר׳ פרץ </w:t>
      </w:r>
      <w:proofErr w:type="spellStart"/>
      <w:r>
        <w:rPr>
          <w:sz w:val="20"/>
          <w:szCs w:val="20"/>
          <w:rtl/>
        </w:rPr>
        <w:t>פוזן</w:t>
      </w:r>
      <w:proofErr w:type="spellEnd"/>
      <w:r>
        <w:rPr>
          <w:sz w:val="20"/>
          <w:szCs w:val="20"/>
          <w:rtl/>
        </w:rPr>
        <w:t xml:space="preserve"> (ראה כרך 3), בנו של הנמען.</w:t>
      </w:r>
    </w:p>
  </w:footnote>
  <w:footnote w:id="3214">
    <w:p w14:paraId="3A7D5218" w14:textId="77777777" w:rsidR="00AB3647" w:rsidRDefault="00000000">
      <w:pPr>
        <w:spacing w:after="0" w:before="0"/>
        <w:jc w:val="both"/>
      </w:pPr>
      <w:r>
        <w:rPr>
          <w:sz w:val="20"/>
          <w:szCs w:val="20"/>
          <w:rtl/>
        </w:rPr>
        <w:footnoteRef/>
      </w:r>
      <w:r>
        <w:rPr>
          <w:sz w:val="20"/>
          <w:szCs w:val="20"/>
          <w:rtl/>
        </w:rPr>
        <w:t>. עמ׳ 120.</w:t>
      </w:r>
    </w:p>
  </w:footnote>
  <w:footnote w:id="3215">
    <w:p w14:paraId="74C32720" w14:textId="77777777" w:rsidR="00AB3647" w:rsidRDefault="00000000">
      <w:pPr>
        <w:spacing w:after="0" w:before="0"/>
        <w:jc w:val="both"/>
      </w:pPr>
      <w:r>
        <w:rPr>
          <w:sz w:val="20"/>
          <w:szCs w:val="20"/>
          <w:rtl/>
        </w:rPr>
        <w:footnoteRef/>
      </w:r>
      <w:r>
        <w:rPr>
          <w:sz w:val="20"/>
          <w:szCs w:val="20"/>
          <w:rtl/>
        </w:rPr>
        <w:t>. ראה אבות, פרק ו.</w:t>
      </w:r>
    </w:p>
  </w:footnote>
  <w:footnote w:id="3216">
    <w:p w14:paraId="7DC0F09B" w14:textId="77777777" w:rsidR="00AB3647" w:rsidRDefault="00000000">
      <w:pPr>
        <w:spacing w:after="0" w:before="0"/>
        <w:jc w:val="both"/>
      </w:pPr>
      <w:r>
        <w:rPr>
          <w:sz w:val="20"/>
          <w:szCs w:val="20"/>
          <w:rtl/>
        </w:rPr>
        <w:footnoteRef/>
      </w:r>
      <w:r>
        <w:rPr>
          <w:sz w:val="20"/>
          <w:szCs w:val="20"/>
          <w:rtl/>
        </w:rPr>
        <w:t>. השווה פרק 3, נספח ד.</w:t>
      </w:r>
    </w:p>
  </w:footnote>
  <w:footnote w:id="3217">
    <w:p w14:paraId="6DDB5F6B" w14:textId="77777777" w:rsidR="00AB3647" w:rsidRDefault="00000000">
      <w:pPr>
        <w:spacing w:after="0" w:before="0"/>
        <w:jc w:val="both"/>
      </w:pPr>
      <w:r>
        <w:rPr>
          <w:sz w:val="20"/>
          <w:szCs w:val="20"/>
          <w:rtl/>
        </w:rPr>
        <w:footnoteRef/>
      </w:r>
      <w:r>
        <w:rPr>
          <w:sz w:val="20"/>
          <w:szCs w:val="20"/>
          <w:rtl/>
        </w:rPr>
        <w:t>. ריאיון, 20 במרץ 1988.</w:t>
      </w:r>
    </w:p>
  </w:footnote>
  <w:footnote w:id="3218">
    <w:p w14:paraId="13E8887B" w14:textId="77777777" w:rsidR="00AB3647" w:rsidRDefault="00000000">
      <w:pPr>
        <w:spacing w:after="0" w:before="0"/>
        <w:jc w:val="both"/>
      </w:pPr>
      <w:r>
        <w:rPr>
          <w:sz w:val="20"/>
          <w:szCs w:val="20"/>
          <w:rtl/>
        </w:rPr>
        <w:footnoteRef/>
      </w:r>
      <w:r>
        <w:rPr>
          <w:sz w:val="20"/>
          <w:szCs w:val="20"/>
          <w:rtl/>
        </w:rPr>
        <w:t xml:space="preserve">. ר׳ </w:t>
      </w:r>
      <w:proofErr w:type="spellStart"/>
      <w:r>
        <w:rPr>
          <w:sz w:val="20"/>
          <w:szCs w:val="20"/>
          <w:rtl/>
        </w:rPr>
        <w:t>יוסף־דוד</w:t>
      </w:r>
      <w:proofErr w:type="spellEnd"/>
      <w:r>
        <w:rPr>
          <w:sz w:val="20"/>
          <w:szCs w:val="20"/>
          <w:rtl/>
        </w:rPr>
        <w:t xml:space="preserve"> אפשטיין ציין שהגילוי הפתיע אותו כל כך, עד שזכר בבירור את הזמן והמקום שבהם שמע אותו: הוא ואבי נסעו יחד באוטובוס בשדרות </w:t>
      </w:r>
      <w:proofErr w:type="spellStart"/>
      <w:r>
        <w:rPr>
          <w:sz w:val="20"/>
          <w:szCs w:val="20"/>
          <w:rtl/>
        </w:rPr>
        <w:t>נוסטרנד</w:t>
      </w:r>
      <w:proofErr w:type="spellEnd"/>
      <w:r>
        <w:rPr>
          <w:sz w:val="20"/>
          <w:szCs w:val="20"/>
          <w:rtl/>
        </w:rPr>
        <w:t xml:space="preserve">, בדרכם </w:t>
      </w:r>
      <w:proofErr w:type="spellStart"/>
      <w:r>
        <w:rPr>
          <w:sz w:val="20"/>
          <w:szCs w:val="20"/>
          <w:rtl/>
        </w:rPr>
        <w:t>לוויליאמסבורג</w:t>
      </w:r>
      <w:proofErr w:type="spellEnd"/>
      <w:r>
        <w:rPr>
          <w:sz w:val="20"/>
          <w:szCs w:val="20"/>
          <w:rtl/>
        </w:rPr>
        <w:t xml:space="preserve"> שבברוקלין.</w:t>
      </w:r>
    </w:p>
  </w:footnote>
  <w:footnote w:id="3219">
    <w:p w14:paraId="5AC88CDB" w14:textId="77777777" w:rsidR="00AB3647" w:rsidRDefault="00000000">
      <w:pPr>
        <w:spacing w:after="0" w:before="0"/>
        <w:jc w:val="both"/>
      </w:pPr>
      <w:r>
        <w:rPr>
          <w:sz w:val="20"/>
          <w:szCs w:val="20"/>
          <w:rtl/>
        </w:rPr>
        <w:footnoteRef/>
      </w:r>
      <w:r>
        <w:rPr>
          <w:sz w:val="20"/>
          <w:szCs w:val="20"/>
          <w:rtl/>
        </w:rPr>
        <w:t>. ריאיון, 24 באוקטובר 1991.</w:t>
      </w:r>
    </w:p>
  </w:footnote>
  <w:footnote w:id="3220">
    <w:p w14:paraId="5AD093E9" w14:textId="77777777" w:rsidR="00AB3647" w:rsidRDefault="00000000">
      <w:pPr>
        <w:spacing w:after="0" w:before="0"/>
        <w:jc w:val="both"/>
      </w:pPr>
      <w:r>
        <w:rPr>
          <w:sz w:val="20"/>
          <w:szCs w:val="20"/>
          <w:rtl/>
        </w:rPr>
        <w:footnoteRef/>
      </w:r>
      <w:r>
        <w:rPr>
          <w:sz w:val="20"/>
          <w:szCs w:val="20"/>
          <w:rtl/>
        </w:rPr>
        <w:t>. ריאיון, 31 בדצמבר 1991; והשווה פרק 2, הערה 85.</w:t>
      </w:r>
    </w:p>
  </w:footnote>
  <w:footnote w:id="3221">
    <w:p w14:paraId="0EC73022" w14:textId="77777777" w:rsidR="00AB3647" w:rsidRDefault="00000000">
      <w:pPr>
        <w:spacing w:after="0" w:before="0"/>
        <w:jc w:val="both"/>
      </w:pPr>
      <w:r>
        <w:rPr>
          <w:sz w:val="20"/>
          <w:szCs w:val="20"/>
          <w:rtl/>
        </w:rPr>
        <w:footnoteRef/>
      </w:r>
      <w:r>
        <w:rPr>
          <w:sz w:val="20"/>
          <w:szCs w:val="20"/>
          <w:rtl/>
        </w:rPr>
        <w:t xml:space="preserve">. המקור הנזכר בפרק 2, הערה 10 – עמ׳ </w:t>
      </w:r>
      <w:proofErr w:type="spellStart"/>
      <w:r>
        <w:rPr>
          <w:sz w:val="20"/>
          <w:szCs w:val="20"/>
          <w:rtl/>
        </w:rPr>
        <w:t>קצד</w:t>
      </w:r>
      <w:proofErr w:type="spellEnd"/>
      <w:r>
        <w:rPr>
          <w:sz w:val="20"/>
          <w:szCs w:val="20"/>
          <w:rtl/>
        </w:rPr>
        <w:t>.</w:t>
      </w:r>
    </w:p>
  </w:footnote>
  <w:footnote w:id="3222">
    <w:p w14:paraId="0A8E3DB4" w14:textId="77777777" w:rsidR="00AB3647" w:rsidRDefault="00000000">
      <w:pPr>
        <w:spacing w:after="0" w:before="0"/>
        <w:jc w:val="both"/>
      </w:pPr>
      <w:r>
        <w:rPr>
          <w:sz w:val="20"/>
          <w:szCs w:val="20"/>
          <w:rtl/>
        </w:rPr>
        <w:footnoteRef/>
      </w:r>
      <w:r>
        <w:rPr>
          <w:sz w:val="20"/>
          <w:szCs w:val="20"/>
          <w:rtl/>
        </w:rPr>
        <w:t>. ראה אבות ד, טו.</w:t>
      </w:r>
    </w:p>
  </w:footnote>
  <w:footnote w:id="3223">
    <w:p w14:paraId="0DE1E275" w14:textId="77777777" w:rsidR="00AB3647" w:rsidRDefault="00000000">
      <w:pPr>
        <w:spacing w:after="0" w:before="0"/>
        <w:jc w:val="both"/>
      </w:pPr>
      <w:r>
        <w:rPr>
          <w:sz w:val="20"/>
          <w:szCs w:val="20"/>
          <w:rtl/>
        </w:rPr>
        <w:footnoteRef/>
      </w:r>
      <w:r>
        <w:rPr>
          <w:sz w:val="20"/>
          <w:szCs w:val="20"/>
          <w:rtl/>
        </w:rPr>
        <w:t xml:space="preserve">. גיליון ח׳ באדר תשט״ז. המאמר פורסם “בקשר עם הכינוס השנתי של הסתדרות תלמידי ישיבת </w:t>
      </w:r>
      <w:proofErr w:type="spellStart"/>
      <w:r>
        <w:rPr>
          <w:sz w:val="20"/>
          <w:szCs w:val="20"/>
          <w:rtl/>
        </w:rPr>
        <w:t>סלבודקה</w:t>
      </w:r>
      <w:proofErr w:type="spellEnd"/>
      <w:r>
        <w:rPr>
          <w:sz w:val="20"/>
          <w:szCs w:val="20"/>
          <w:rtl/>
        </w:rPr>
        <w:t xml:space="preserve"> בארצות הברית”.</w:t>
      </w:r>
    </w:p>
  </w:footnote>
  <w:footnote w:id="3224">
    <w:p w14:paraId="2DB96198" w14:textId="77777777" w:rsidR="00AB3647" w:rsidRDefault="00000000">
      <w:pPr>
        <w:spacing w:after="0" w:before="0"/>
        <w:jc w:val="both"/>
      </w:pPr>
      <w:r>
        <w:rPr>
          <w:sz w:val="20"/>
          <w:szCs w:val="20"/>
          <w:rtl/>
        </w:rPr>
        <w:footnoteRef/>
      </w:r>
      <w:r>
        <w:rPr>
          <w:sz w:val="20"/>
          <w:szCs w:val="20"/>
          <w:rtl/>
        </w:rPr>
        <w:t>. השווה גם פרק 3, הערה 55.</w:t>
      </w:r>
    </w:p>
  </w:footnote>
  <w:footnote w:id="3225">
    <w:p w14:paraId="3BE1DBCF" w14:textId="77777777" w:rsidR="00AB3647" w:rsidRDefault="00000000">
      <w:pPr>
        <w:spacing w:after="0" w:before="0"/>
        <w:jc w:val="both"/>
      </w:pPr>
      <w:r>
        <w:rPr>
          <w:sz w:val="20"/>
          <w:szCs w:val="20"/>
          <w:rtl/>
        </w:rPr>
        <w:footnoteRef/>
      </w:r>
      <w:r>
        <w:rPr>
          <w:sz w:val="20"/>
          <w:szCs w:val="20"/>
          <w:rtl/>
        </w:rPr>
        <w:t>. הערה 1 לעיל.</w:t>
      </w:r>
    </w:p>
  </w:footnote>
  <w:footnote w:id="3226">
    <w:p w14:paraId="62BA7B00" w14:textId="77777777" w:rsidR="00AB3647" w:rsidRDefault="00000000">
      <w:pPr>
        <w:spacing w:after="0" w:before="0"/>
        <w:jc w:val="both"/>
      </w:pPr>
      <w:r>
        <w:rPr>
          <w:sz w:val="20"/>
          <w:szCs w:val="20"/>
          <w:rtl/>
        </w:rPr>
        <w:footnoteRef/>
      </w:r>
      <w:r>
        <w:rPr>
          <w:sz w:val="20"/>
          <w:szCs w:val="20"/>
          <w:rtl/>
        </w:rPr>
        <w:t>. הוא הביע חשש שקוראים יתקשו להאמין לסיפורים.</w:t>
      </w:r>
    </w:p>
  </w:footnote>
  <w:footnote w:id="3227">
    <w:p w14:paraId="270D90EF" w14:textId="77777777" w:rsidR="00AB3647" w:rsidRDefault="00000000">
      <w:pPr>
        <w:spacing w:after="0" w:before="0"/>
        <w:jc w:val="both"/>
      </w:pPr>
      <w:r>
        <w:rPr>
          <w:sz w:val="20"/>
          <w:szCs w:val="20"/>
          <w:rtl/>
        </w:rPr>
        <w:footnoteRef/>
      </w:r>
      <w:r>
        <w:rPr>
          <w:sz w:val="20"/>
          <w:szCs w:val="20"/>
          <w:rtl/>
        </w:rPr>
        <w:t>. השווה כרך 2.</w:t>
      </w:r>
    </w:p>
  </w:footnote>
  <w:footnote w:id="3228">
    <w:p w14:paraId="4E7DE3CF" w14:textId="77777777" w:rsidR="00AB3647" w:rsidRDefault="00000000">
      <w:pPr>
        <w:spacing w:after="0" w:before="0"/>
        <w:jc w:val="both"/>
      </w:pPr>
      <w:r>
        <w:rPr>
          <w:sz w:val="20"/>
          <w:szCs w:val="20"/>
          <w:rtl/>
        </w:rPr>
        <w:footnoteRef/>
      </w:r>
      <w:r>
        <w:rPr>
          <w:sz w:val="20"/>
          <w:szCs w:val="20"/>
          <w:rtl/>
        </w:rPr>
        <w:t>. פרק 1, נספח ג.</w:t>
      </w:r>
    </w:p>
  </w:footnote>
  <w:footnote w:id="3229">
    <w:p w14:paraId="4E9964E0" w14:textId="77777777" w:rsidR="00AB3647" w:rsidRDefault="00000000">
      <w:pPr>
        <w:spacing w:after="0" w:before="0"/>
        <w:jc w:val="both"/>
      </w:pPr>
      <w:r>
        <w:rPr>
          <w:sz w:val="20"/>
          <w:szCs w:val="20"/>
          <w:rtl/>
        </w:rPr>
        <w:footnoteRef/>
      </w:r>
      <w:r>
        <w:rPr>
          <w:sz w:val="20"/>
          <w:szCs w:val="20"/>
          <w:rtl/>
        </w:rPr>
        <w:t>. ברכה זו נאמרת רק מחוץ לארץ ישראל.</w:t>
      </w:r>
    </w:p>
  </w:footnote>
  <w:footnote w:id="3230">
    <w:p w14:paraId="6DBFB5B2" w14:textId="77777777" w:rsidR="00AB3647" w:rsidRDefault="00000000">
      <w:pPr>
        <w:spacing w:after="0" w:before="0"/>
        <w:jc w:val="both"/>
      </w:pPr>
      <w:r>
        <w:rPr>
          <w:sz w:val="20"/>
          <w:szCs w:val="20"/>
          <w:rtl/>
        </w:rPr>
        <w:footnoteRef/>
      </w:r>
      <w:r>
        <w:rPr>
          <w:sz w:val="20"/>
          <w:szCs w:val="20"/>
          <w:rtl/>
        </w:rPr>
        <w:t>. ריאיון, 10 ביוני 1993.</w:t>
      </w:r>
    </w:p>
  </w:footnote>
  <w:footnote w:id="3231">
    <w:p w14:paraId="6EAA6313" w14:textId="77777777" w:rsidR="00AB3647" w:rsidRDefault="00000000">
      <w:pPr>
        <w:spacing w:after="0" w:before="0"/>
        <w:jc w:val="both"/>
      </w:pPr>
      <w:r>
        <w:rPr>
          <w:sz w:val="20"/>
          <w:szCs w:val="20"/>
          <w:rtl/>
        </w:rPr>
        <w:footnoteRef/>
      </w:r>
      <w:r>
        <w:rPr>
          <w:sz w:val="20"/>
          <w:szCs w:val="20"/>
          <w:rtl/>
        </w:rPr>
        <w:t>. ראה פרק 1, הערה 75.</w:t>
      </w:r>
    </w:p>
  </w:footnote>
  <w:footnote w:id="3232">
    <w:p w14:paraId="19A7C205" w14:textId="77777777" w:rsidR="00AB3647" w:rsidRDefault="00000000">
      <w:pPr>
        <w:spacing w:after="0" w:before="0"/>
        <w:jc w:val="both"/>
      </w:pPr>
      <w:r>
        <w:rPr>
          <w:sz w:val="20"/>
          <w:szCs w:val="20"/>
          <w:rtl/>
        </w:rPr>
        <w:footnoteRef/>
      </w:r>
      <w:r>
        <w:rPr>
          <w:sz w:val="20"/>
          <w:szCs w:val="20"/>
          <w:rtl/>
        </w:rPr>
        <w:t>. השווה פרק 1, הערה 8.</w:t>
      </w:r>
    </w:p>
  </w:footnote>
  <w:footnote w:id="3233">
    <w:p w14:paraId="53CB05DE" w14:textId="77777777" w:rsidR="00AB3647" w:rsidRDefault="00000000">
      <w:pPr>
        <w:spacing w:after="0" w:before="0"/>
        <w:jc w:val="both"/>
      </w:pPr>
      <w:r>
        <w:rPr>
          <w:sz w:val="20"/>
          <w:szCs w:val="20"/>
          <w:rtl/>
        </w:rPr>
        <w:footnoteRef/>
      </w:r>
      <w:r>
        <w:rPr>
          <w:sz w:val="20"/>
          <w:szCs w:val="20"/>
          <w:rtl/>
        </w:rPr>
        <w:t>. ריאיון, 25 באפריל 1995.</w:t>
      </w:r>
    </w:p>
  </w:footnote>
  <w:footnote w:id="3234">
    <w:p w14:paraId="2EACFD80" w14:textId="77777777" w:rsidR="00AB3647" w:rsidRDefault="00000000">
      <w:pPr>
        <w:spacing w:after="0" w:before="0"/>
        <w:jc w:val="both"/>
      </w:pPr>
      <w:r>
        <w:rPr>
          <w:sz w:val="20"/>
          <w:szCs w:val="20"/>
          <w:rtl/>
        </w:rPr>
        <w:footnoteRef/>
      </w:r>
      <w:r>
        <w:rPr>
          <w:sz w:val="20"/>
          <w:szCs w:val="20"/>
          <w:rtl/>
        </w:rPr>
        <w:t>. השווה הפסקה שלפני האחרונה בסעיף 2 של פרק 3.</w:t>
      </w:r>
    </w:p>
  </w:footnote>
  <w:footnote w:id="3235">
    <w:p w14:paraId="3D85E7E6" w14:textId="77777777" w:rsidR="00AB3647" w:rsidRDefault="00000000">
      <w:pPr>
        <w:spacing w:after="0" w:before="0"/>
        <w:jc w:val="both"/>
      </w:pPr>
      <w:r>
        <w:rPr>
          <w:sz w:val="20"/>
          <w:szCs w:val="20"/>
          <w:rtl/>
        </w:rPr>
        <w:footnoteRef/>
      </w:r>
      <w:r>
        <w:rPr>
          <w:sz w:val="20"/>
          <w:szCs w:val="20"/>
          <w:rtl/>
        </w:rPr>
        <w:t>. השווה רמב״ם, הלכות תשובה ג, ד.</w:t>
      </w:r>
    </w:p>
  </w:footnote>
  <w:footnote w:id="3236">
    <w:p w14:paraId="551E3892" w14:textId="77777777" w:rsidR="00AB3647" w:rsidRDefault="00000000">
      <w:pPr>
        <w:spacing w:after="0" w:before="0"/>
        <w:jc w:val="both"/>
      </w:pPr>
      <w:r>
        <w:rPr>
          <w:sz w:val="20"/>
          <w:szCs w:val="20"/>
          <w:rtl/>
        </w:rPr>
        <w:footnoteRef/>
      </w:r>
      <w:r>
        <w:rPr>
          <w:sz w:val="20"/>
          <w:szCs w:val="20"/>
          <w:rtl/>
        </w:rPr>
        <w:t>. השווה הפסקה השלישית מן הסוף בסעיף 1 של פרק 3 והערה 51 שם.</w:t>
      </w:r>
    </w:p>
  </w:footnote>
  <w:footnote w:id="3237">
    <w:p w14:paraId="036D26F6" w14:textId="77777777" w:rsidR="00AB3647" w:rsidRDefault="00000000">
      <w:pPr>
        <w:spacing w:after="0" w:before="0"/>
        <w:jc w:val="both"/>
      </w:pPr>
      <w:r>
        <w:rPr>
          <w:sz w:val="20"/>
          <w:szCs w:val="20"/>
          <w:rtl/>
        </w:rPr>
        <w:footnoteRef/>
      </w:r>
      <w:r>
        <w:rPr>
          <w:sz w:val="20"/>
          <w:szCs w:val="20"/>
          <w:rtl/>
        </w:rPr>
        <w:t>. השווה פרק 3, נספח ג.</w:t>
      </w:r>
    </w:p>
  </w:footnote>
  <w:footnote w:id="3238">
    <w:p w14:paraId="0D7C70C1" w14:textId="77777777" w:rsidR="00AB3647" w:rsidRDefault="00000000">
      <w:pPr>
        <w:spacing w:after="0" w:before="0"/>
        <w:jc w:val="both"/>
      </w:pPr>
      <w:r>
        <w:rPr>
          <w:sz w:val="20"/>
          <w:szCs w:val="20"/>
          <w:rtl/>
        </w:rPr>
        <w:footnoteRef/>
      </w:r>
      <w:r>
        <w:rPr>
          <w:sz w:val="20"/>
          <w:szCs w:val="20"/>
          <w:rtl/>
        </w:rPr>
        <w:t>. ריאיון, 7 בדצמבר 1991.</w:t>
      </w:r>
    </w:p>
  </w:footnote>
  <w:footnote w:id="3239">
    <w:p w14:paraId="79FE573A" w14:textId="77777777" w:rsidR="00AB3647" w:rsidRDefault="00000000">
      <w:pPr>
        <w:spacing w:after="0" w:before="0"/>
        <w:jc w:val="both"/>
      </w:pPr>
      <w:r>
        <w:rPr>
          <w:sz w:val="20"/>
          <w:szCs w:val="20"/>
          <w:rtl/>
        </w:rPr>
        <w:footnoteRef/>
      </w:r>
      <w:r>
        <w:rPr>
          <w:sz w:val="20"/>
          <w:szCs w:val="20"/>
          <w:rtl/>
        </w:rPr>
        <w:t>. ריאיון, 16 באוקטובר 1992.</w:t>
      </w:r>
    </w:p>
  </w:footnote>
  <w:footnote w:id="3240">
    <w:p w14:paraId="2D655856" w14:textId="77777777" w:rsidR="00AB3647" w:rsidRDefault="00000000">
      <w:pPr>
        <w:spacing w:after="0" w:before="0"/>
        <w:jc w:val="both"/>
      </w:pPr>
      <w:r>
        <w:rPr>
          <w:sz w:val="20"/>
          <w:szCs w:val="20"/>
          <w:rtl/>
        </w:rPr>
        <w:footnoteRef/>
      </w:r>
      <w:r>
        <w:rPr>
          <w:sz w:val="20"/>
          <w:szCs w:val="20"/>
          <w:rtl/>
        </w:rPr>
        <w:t>. פרק 1, נספח ג.</w:t>
      </w:r>
    </w:p>
  </w:footnote>
  <w:footnote w:id="3241">
    <w:p w14:paraId="23FAB648" w14:textId="77777777" w:rsidR="00AB3647" w:rsidRDefault="00000000">
      <w:pPr>
        <w:spacing w:after="0" w:before="0"/>
        <w:jc w:val="both"/>
      </w:pPr>
      <w:r>
        <w:rPr>
          <w:sz w:val="20"/>
          <w:szCs w:val="20"/>
          <w:rtl/>
        </w:rPr>
        <w:footnoteRef/>
      </w:r>
      <w:r>
        <w:rPr>
          <w:sz w:val="20"/>
          <w:szCs w:val="20"/>
          <w:rtl/>
        </w:rPr>
        <w:t>. ריאיון, 20 בנובמבר 1987.</w:t>
      </w:r>
    </w:p>
  </w:footnote>
  <w:footnote w:id="3242">
    <w:p w14:paraId="642FB63B" w14:textId="77777777" w:rsidR="00AB3647" w:rsidRDefault="00000000">
      <w:pPr>
        <w:spacing w:after="0" w:before="0"/>
        <w:jc w:val="both"/>
      </w:pPr>
      <w:r>
        <w:rPr>
          <w:sz w:val="20"/>
          <w:szCs w:val="20"/>
          <w:rtl/>
        </w:rPr>
        <w:footnoteRef/>
      </w:r>
      <w:r>
        <w:rPr>
          <w:sz w:val="20"/>
          <w:szCs w:val="20"/>
          <w:rtl/>
        </w:rPr>
        <w:t xml:space="preserve">. הערה 14 לעיל – עמ׳ 352, אות </w:t>
      </w:r>
      <w:proofErr w:type="spellStart"/>
      <w:r>
        <w:rPr>
          <w:sz w:val="20"/>
          <w:szCs w:val="20"/>
          <w:rtl/>
        </w:rPr>
        <w:t>יט</w:t>
      </w:r>
      <w:proofErr w:type="spellEnd"/>
      <w:r>
        <w:rPr>
          <w:sz w:val="20"/>
          <w:szCs w:val="20"/>
          <w:rtl/>
        </w:rPr>
        <w:t>.</w:t>
      </w:r>
    </w:p>
  </w:footnote>
  <w:footnote w:id="3243">
    <w:p w14:paraId="156ED99E" w14:textId="77777777" w:rsidR="00AB3647" w:rsidRDefault="00000000">
      <w:pPr>
        <w:spacing w:after="0" w:before="0"/>
        <w:jc w:val="both"/>
      </w:pPr>
      <w:r>
        <w:rPr>
          <w:sz w:val="20"/>
          <w:szCs w:val="20"/>
          <w:rtl/>
        </w:rPr>
        <w:footnoteRef/>
      </w:r>
      <w:r>
        <w:rPr>
          <w:sz w:val="20"/>
          <w:szCs w:val="20"/>
          <w:rtl/>
        </w:rPr>
        <w:t xml:space="preserve">. </w:t>
      </w:r>
      <w:proofErr w:type="spellStart"/>
      <w:r>
        <w:rPr>
          <w:sz w:val="20"/>
          <w:szCs w:val="20"/>
          <w:rtl/>
        </w:rPr>
        <w:t>דרויאנוב</w:t>
      </w:r>
      <w:proofErr w:type="spellEnd"/>
      <w:r>
        <w:rPr>
          <w:sz w:val="20"/>
          <w:szCs w:val="20"/>
          <w:rtl/>
        </w:rPr>
        <w:t xml:space="preserve"> למד שם שנתיים, החל </w:t>
      </w:r>
      <w:proofErr w:type="spellStart"/>
      <w:r>
        <w:rPr>
          <w:sz w:val="20"/>
          <w:szCs w:val="20"/>
          <w:rtl/>
        </w:rPr>
        <w:t>בתרמ״ז</w:t>
      </w:r>
      <w:proofErr w:type="spellEnd"/>
      <w:r>
        <w:rPr>
          <w:sz w:val="20"/>
          <w:szCs w:val="20"/>
          <w:rtl/>
        </w:rPr>
        <w:t>.</w:t>
      </w:r>
    </w:p>
  </w:footnote>
  <w:footnote w:id="3244">
    <w:p w14:paraId="589F3041" w14:textId="77777777" w:rsidR="00AB3647" w:rsidRDefault="00000000">
      <w:pPr>
        <w:spacing w:after="0" w:before="0"/>
        <w:jc w:val="both"/>
      </w:pPr>
      <w:r>
        <w:rPr>
          <w:sz w:val="20"/>
          <w:szCs w:val="20"/>
          <w:rtl/>
        </w:rPr>
        <w:footnoteRef/>
      </w:r>
      <w:r>
        <w:rPr>
          <w:sz w:val="20"/>
          <w:szCs w:val="20"/>
          <w:rtl/>
        </w:rPr>
        <w:t>. באותה עת היה בן שבעים.</w:t>
      </w:r>
    </w:p>
  </w:footnote>
  <w:footnote w:id="3245">
    <w:p w14:paraId="6E0B0DBE" w14:textId="77777777" w:rsidR="00AB3647" w:rsidRDefault="00000000">
      <w:pPr>
        <w:spacing w:after="0" w:before="0"/>
        <w:jc w:val="both"/>
      </w:pPr>
      <w:r>
        <w:rPr>
          <w:sz w:val="20"/>
          <w:szCs w:val="20"/>
          <w:rtl/>
        </w:rPr>
        <w:footnoteRef/>
      </w:r>
      <w:r>
        <w:rPr>
          <w:sz w:val="20"/>
          <w:szCs w:val="20"/>
          <w:rtl/>
        </w:rPr>
        <w:t>. הערה 1 לעיל – עמ׳ 290.</w:t>
      </w:r>
    </w:p>
  </w:footnote>
  <w:footnote w:id="3246">
    <w:p w14:paraId="391B33F3" w14:textId="77777777" w:rsidR="00AB3647" w:rsidRDefault="00000000">
      <w:pPr>
        <w:spacing w:after="0" w:before="0"/>
        <w:jc w:val="both"/>
      </w:pPr>
      <w:r>
        <w:rPr>
          <w:sz w:val="20"/>
          <w:szCs w:val="20"/>
          <w:rtl/>
        </w:rPr>
        <w:footnoteRef/>
      </w:r>
      <w:r>
        <w:rPr>
          <w:sz w:val="20"/>
          <w:szCs w:val="20"/>
          <w:rtl/>
        </w:rPr>
        <w:t>. עמ׳ 290–291.</w:t>
      </w:r>
    </w:p>
  </w:footnote>
  <w:footnote w:id="3247">
    <w:p w14:paraId="63A4C9EA" w14:textId="77777777" w:rsidR="00AB3647" w:rsidRDefault="00000000">
      <w:pPr>
        <w:spacing w:after="0" w:before="0"/>
        <w:jc w:val="both"/>
      </w:pPr>
      <w:r>
        <w:rPr>
          <w:sz w:val="20"/>
          <w:szCs w:val="20"/>
          <w:rtl/>
        </w:rPr>
        <w:footnoteRef/>
      </w:r>
      <w:r>
        <w:rPr>
          <w:sz w:val="20"/>
          <w:szCs w:val="20"/>
          <w:rtl/>
        </w:rPr>
        <w:t>. פרק 1, הערה 77.</w:t>
      </w:r>
    </w:p>
  </w:footnote>
  <w:footnote w:id="3248">
    <w:p w14:paraId="43E311A4" w14:textId="77777777" w:rsidR="00AB3647" w:rsidRDefault="00000000">
      <w:pPr>
        <w:spacing w:after="0" w:before="0"/>
        <w:jc w:val="both"/>
      </w:pPr>
      <w:r>
        <w:rPr>
          <w:sz w:val="20"/>
          <w:szCs w:val="20"/>
          <w:rtl/>
        </w:rPr>
        <w:footnoteRef/>
      </w:r>
      <w:r>
        <w:rPr>
          <w:sz w:val="20"/>
          <w:szCs w:val="20"/>
          <w:rtl/>
        </w:rPr>
        <w:t>. הפסקה השנייה של נספח ב להלן – עמ׳ 276.</w:t>
      </w:r>
    </w:p>
  </w:footnote>
  <w:footnote w:id="3249">
    <w:p w14:paraId="79288F2D" w14:textId="77777777" w:rsidR="00AB3647" w:rsidRDefault="00000000">
      <w:pPr>
        <w:spacing w:after="0" w:before="0"/>
        <w:jc w:val="both"/>
      </w:pPr>
      <w:r>
        <w:rPr>
          <w:sz w:val="20"/>
          <w:szCs w:val="20"/>
          <w:rtl/>
        </w:rPr>
        <w:footnoteRef/>
      </w:r>
      <w:r>
        <w:rPr>
          <w:sz w:val="20"/>
          <w:szCs w:val="20"/>
          <w:rtl/>
        </w:rPr>
        <w:t>. הערה 7 לעיל – עמ׳ 171.</w:t>
      </w:r>
    </w:p>
  </w:footnote>
  <w:footnote w:id="3250">
    <w:p w14:paraId="24099FF2" w14:textId="77777777" w:rsidR="00AB3647" w:rsidRDefault="00000000">
      <w:pPr>
        <w:spacing w:after="0" w:before="0"/>
        <w:jc w:val="both"/>
      </w:pPr>
      <w:r>
        <w:rPr>
          <w:sz w:val="20"/>
          <w:szCs w:val="20"/>
          <w:rtl/>
        </w:rPr>
        <w:footnoteRef/>
      </w:r>
      <w:r>
        <w:rPr>
          <w:sz w:val="20"/>
          <w:szCs w:val="20"/>
          <w:rtl/>
        </w:rPr>
        <w:t>. השווה הפסקה הראשונה של פרק 3, נספח ח.</w:t>
      </w:r>
    </w:p>
  </w:footnote>
  <w:footnote w:id="3251">
    <w:p w14:paraId="2049BE4A" w14:textId="77777777" w:rsidR="00AB3647" w:rsidRDefault="00000000">
      <w:pPr>
        <w:spacing w:after="0" w:before="0"/>
        <w:jc w:val="both"/>
      </w:pPr>
      <w:r>
        <w:rPr>
          <w:sz w:val="20"/>
          <w:szCs w:val="20"/>
          <w:rtl/>
        </w:rPr>
        <w:footnoteRef/>
      </w:r>
      <w:r>
        <w:rPr>
          <w:sz w:val="20"/>
          <w:szCs w:val="20"/>
          <w:rtl/>
        </w:rPr>
        <w:t xml:space="preserve">. ר׳ ישראל החל ללמד </w:t>
      </w:r>
      <w:proofErr w:type="spellStart"/>
      <w:r>
        <w:rPr>
          <w:sz w:val="20"/>
          <w:szCs w:val="20"/>
          <w:rtl/>
        </w:rPr>
        <w:t>בזארעטשע</w:t>
      </w:r>
      <w:proofErr w:type="spellEnd"/>
      <w:r>
        <w:rPr>
          <w:sz w:val="20"/>
          <w:szCs w:val="20"/>
          <w:rtl/>
        </w:rPr>
        <w:t xml:space="preserve"> בסביבות תר״ב, לפי כץ, “תנועת המוסר”, כרך א, עמ׳ 149.</w:t>
      </w:r>
    </w:p>
  </w:footnote>
  <w:footnote w:id="3252">
    <w:p w14:paraId="4815D946" w14:textId="77777777" w:rsidR="00AB3647" w:rsidRDefault="00000000">
      <w:pPr>
        <w:spacing w:after="0" w:before="0"/>
        <w:jc w:val="both"/>
      </w:pPr>
      <w:r>
        <w:rPr>
          <w:sz w:val="20"/>
          <w:szCs w:val="20"/>
          <w:rtl/>
        </w:rPr>
        <w:footnoteRef/>
      </w:r>
      <w:r>
        <w:rPr>
          <w:sz w:val="20"/>
          <w:szCs w:val="20"/>
          <w:rtl/>
        </w:rPr>
        <w:t>. עמ׳ 274.</w:t>
      </w:r>
    </w:p>
  </w:footnote>
  <w:footnote w:id="3253">
    <w:p w14:paraId="093D3BB5" w14:textId="77777777" w:rsidR="00AB3647" w:rsidRDefault="00000000">
      <w:pPr>
        <w:spacing w:after="0" w:before="0"/>
        <w:jc w:val="both"/>
      </w:pPr>
      <w:r>
        <w:rPr>
          <w:sz w:val="20"/>
          <w:szCs w:val="20"/>
          <w:rtl/>
        </w:rPr>
        <w:footnoteRef/>
      </w:r>
      <w:r>
        <w:rPr>
          <w:sz w:val="20"/>
          <w:szCs w:val="20"/>
          <w:rtl/>
        </w:rPr>
        <w:t>. הערה 1 לעיל.</w:t>
      </w:r>
    </w:p>
  </w:footnote>
  <w:footnote w:id="3254">
    <w:p w14:paraId="0D284A1A" w14:textId="77777777" w:rsidR="00AB3647" w:rsidRDefault="00000000">
      <w:pPr>
        <w:spacing w:after="0" w:before="0"/>
        <w:jc w:val="both"/>
      </w:pPr>
      <w:r>
        <w:rPr>
          <w:sz w:val="20"/>
          <w:szCs w:val="20"/>
          <w:rtl/>
        </w:rPr>
        <w:footnoteRef/>
      </w:r>
      <w:r>
        <w:rPr>
          <w:sz w:val="20"/>
          <w:szCs w:val="20"/>
          <w:rtl/>
        </w:rPr>
        <w:t xml:space="preserve">. כץ, “תנועת המוסר”, כרך ב, עמ׳ 284, טועה באומרו כי “עבר לארץ ישראל </w:t>
      </w:r>
      <w:proofErr w:type="spellStart"/>
      <w:r>
        <w:rPr>
          <w:sz w:val="20"/>
          <w:szCs w:val="20"/>
          <w:rtl/>
        </w:rPr>
        <w:t>בתרס״ו</w:t>
      </w:r>
      <w:proofErr w:type="spellEnd"/>
      <w:r>
        <w:rPr>
          <w:sz w:val="20"/>
          <w:szCs w:val="20"/>
          <w:rtl/>
        </w:rPr>
        <w:t xml:space="preserve"> לאחר שנפטרה אשתו”, וכך גם בערל </w:t>
      </w:r>
      <w:proofErr w:type="spellStart"/>
      <w:r>
        <w:rPr>
          <w:sz w:val="20"/>
          <w:szCs w:val="20"/>
          <w:rtl/>
        </w:rPr>
        <w:t>קגן</w:t>
      </w:r>
      <w:proofErr w:type="spellEnd"/>
      <w:r>
        <w:rPr>
          <w:sz w:val="20"/>
          <w:szCs w:val="20"/>
          <w:rtl/>
        </w:rPr>
        <w:t xml:space="preserve"> (המקור הנזכר בפרק 1, הפסקה הראשונה של נספח ב), עמ׳ 22, המקדים את המועד עוד יותר, לשנת 1902.</w:t>
      </w:r>
    </w:p>
  </w:footnote>
  <w:footnote w:id="3255">
    <w:p w14:paraId="5DAF7586" w14:textId="77777777" w:rsidR="00AB3647" w:rsidRDefault="00000000">
      <w:pPr>
        <w:spacing w:after="0" w:before="0"/>
        <w:jc w:val="both"/>
      </w:pPr>
      <w:r>
        <w:rPr>
          <w:sz w:val="20"/>
          <w:szCs w:val="20"/>
          <w:rtl/>
        </w:rPr>
        <w:footnoteRef/>
      </w:r>
      <w:r>
        <w:rPr>
          <w:sz w:val="20"/>
          <w:szCs w:val="20"/>
          <w:rtl/>
        </w:rPr>
        <w:t>. עמ׳ 276.</w:t>
      </w:r>
    </w:p>
  </w:footnote>
  <w:footnote w:id="3256">
    <w:p w14:paraId="2F3C8AB8" w14:textId="77777777" w:rsidR="00AB3647" w:rsidRDefault="00000000">
      <w:pPr>
        <w:spacing w:after="0" w:before="0"/>
        <w:jc w:val="both"/>
      </w:pPr>
      <w:r>
        <w:rPr>
          <w:sz w:val="20"/>
          <w:szCs w:val="20"/>
          <w:rtl/>
        </w:rPr>
        <w:footnoteRef/>
      </w:r>
      <w:r>
        <w:rPr>
          <w:sz w:val="20"/>
          <w:szCs w:val="20"/>
          <w:rtl/>
        </w:rPr>
        <w:t xml:space="preserve">. הערה 20 לעיל – כרך 2, עמ׳ </w:t>
      </w:r>
      <w:proofErr w:type="spellStart"/>
      <w:r>
        <w:rPr>
          <w:sz w:val="20"/>
          <w:szCs w:val="20"/>
          <w:rtl/>
        </w:rPr>
        <w:t>תשפ</w:t>
      </w:r>
      <w:proofErr w:type="spellEnd"/>
      <w:r>
        <w:rPr>
          <w:sz w:val="20"/>
          <w:szCs w:val="20"/>
          <w:rtl/>
        </w:rPr>
        <w:t>, אות ז.</w:t>
      </w:r>
    </w:p>
  </w:footnote>
  <w:footnote w:id="3257">
    <w:p w14:paraId="40A2840B" w14:textId="77777777" w:rsidR="00AB3647" w:rsidRDefault="00000000">
      <w:pPr>
        <w:spacing w:after="0" w:before="0"/>
        <w:jc w:val="both"/>
      </w:pPr>
      <w:r>
        <w:rPr>
          <w:sz w:val="20"/>
          <w:szCs w:val="20"/>
          <w:rtl/>
        </w:rPr>
        <w:footnoteRef/>
      </w:r>
      <w:r>
        <w:rPr>
          <w:sz w:val="20"/>
          <w:szCs w:val="20"/>
          <w:rtl/>
        </w:rPr>
        <w:t>. עמ׳ 286.</w:t>
      </w:r>
    </w:p>
  </w:footnote>
  <w:footnote w:id="3258">
    <w:p w14:paraId="35B0739C" w14:textId="77777777" w:rsidR="00AB3647" w:rsidRDefault="00000000">
      <w:pPr>
        <w:spacing w:after="0" w:before="0"/>
        <w:jc w:val="both"/>
      </w:pPr>
      <w:r>
        <w:rPr>
          <w:sz w:val="20"/>
          <w:szCs w:val="20"/>
          <w:rtl/>
        </w:rPr>
        <w:footnoteRef/>
      </w:r>
      <w:r>
        <w:rPr>
          <w:sz w:val="20"/>
          <w:szCs w:val="20"/>
          <w:rtl/>
        </w:rPr>
        <w:t>. ריאיון, 21 במרץ 1995.</w:t>
      </w:r>
    </w:p>
  </w:footnote>
  <w:footnote w:id="3259">
    <w:p w14:paraId="4D500ACD" w14:textId="77777777" w:rsidR="00AB3647" w:rsidRDefault="00000000">
      <w:pPr>
        <w:spacing w:after="0" w:before="0"/>
        <w:jc w:val="both"/>
      </w:pPr>
      <w:r>
        <w:rPr>
          <w:sz w:val="20"/>
          <w:szCs w:val="20"/>
          <w:rtl/>
        </w:rPr>
        <w:footnoteRef/>
      </w:r>
      <w:r>
        <w:rPr>
          <w:sz w:val="20"/>
          <w:szCs w:val="20"/>
          <w:rtl/>
        </w:rPr>
        <w:t>. עמ׳ 276.</w:t>
      </w:r>
    </w:p>
  </w:footnote>
  <w:footnote w:id="3260">
    <w:p w14:paraId="12BB403A" w14:textId="77777777" w:rsidR="00AB3647" w:rsidRDefault="00000000">
      <w:pPr>
        <w:spacing w:after="0" w:before="0"/>
        <w:jc w:val="both"/>
      </w:pPr>
      <w:r>
        <w:rPr>
          <w:sz w:val="20"/>
          <w:szCs w:val="20"/>
          <w:rtl/>
        </w:rPr>
        <w:footnoteRef/>
      </w:r>
      <w:r>
        <w:rPr>
          <w:sz w:val="20"/>
          <w:szCs w:val="20"/>
          <w:rtl/>
        </w:rPr>
        <w:t xml:space="preserve">. עיין שופטים </w:t>
      </w:r>
      <w:proofErr w:type="spellStart"/>
      <w:r>
        <w:rPr>
          <w:sz w:val="20"/>
          <w:szCs w:val="20"/>
          <w:rtl/>
        </w:rPr>
        <w:t>יג</w:t>
      </w:r>
      <w:proofErr w:type="spellEnd"/>
      <w:r>
        <w:rPr>
          <w:sz w:val="20"/>
          <w:szCs w:val="20"/>
          <w:rtl/>
        </w:rPr>
        <w:t>, כה.</w:t>
      </w:r>
    </w:p>
  </w:footnote>
  <w:footnote w:id="3261">
    <w:p w14:paraId="349BBE2C" w14:textId="77777777" w:rsidR="00AB3647" w:rsidRDefault="00000000">
      <w:pPr>
        <w:spacing w:after="0" w:before="0"/>
        <w:jc w:val="both"/>
      </w:pPr>
      <w:r>
        <w:rPr>
          <w:sz w:val="20"/>
          <w:szCs w:val="20"/>
          <w:rtl/>
        </w:rPr>
        <w:footnoteRef/>
      </w:r>
      <w:r>
        <w:rPr>
          <w:sz w:val="20"/>
          <w:szCs w:val="20"/>
          <w:rtl/>
        </w:rPr>
        <w:t>. עמ׳ 171.</w:t>
      </w:r>
    </w:p>
  </w:footnote>
  <w:footnote w:id="3262">
    <w:p w14:paraId="55DB744D" w14:textId="77777777" w:rsidR="00AB3647" w:rsidRDefault="00000000">
      <w:pPr>
        <w:spacing w:after="0" w:before="0"/>
        <w:jc w:val="both"/>
      </w:pPr>
      <w:r>
        <w:rPr>
          <w:sz w:val="20"/>
          <w:szCs w:val="20"/>
          <w:rtl/>
        </w:rPr>
        <w:footnoteRef/>
      </w:r>
      <w:r>
        <w:rPr>
          <w:sz w:val="20"/>
          <w:szCs w:val="20"/>
          <w:rtl/>
        </w:rPr>
        <w:t>. השווה פרק 3, הפסקה השנייה של נספח ב.</w:t>
      </w:r>
    </w:p>
  </w:footnote>
  <w:footnote w:id="3263">
    <w:p w14:paraId="5F099167" w14:textId="77777777" w:rsidR="00AB3647" w:rsidRDefault="00000000">
      <w:pPr>
        <w:spacing w:after="0" w:before="0"/>
        <w:jc w:val="both"/>
      </w:pPr>
      <w:r>
        <w:rPr>
          <w:sz w:val="20"/>
          <w:szCs w:val="20"/>
          <w:rtl/>
        </w:rPr>
        <w:footnoteRef/>
      </w:r>
      <w:r>
        <w:rPr>
          <w:sz w:val="20"/>
          <w:szCs w:val="20"/>
          <w:rtl/>
        </w:rPr>
        <w:t>. כץ, “תנועת המוסר”, כרך ב, עמ׳ 220.</w:t>
      </w:r>
    </w:p>
  </w:footnote>
  <w:footnote w:id="3264">
    <w:p w14:paraId="0D1BF7AF" w14:textId="77777777" w:rsidR="00AB3647" w:rsidRDefault="00000000">
      <w:pPr>
        <w:spacing w:after="0" w:before="0"/>
        <w:jc w:val="both"/>
      </w:pPr>
      <w:r>
        <w:rPr>
          <w:sz w:val="20"/>
          <w:szCs w:val="20"/>
          <w:rtl/>
        </w:rPr>
        <w:footnoteRef/>
      </w:r>
      <w:r>
        <w:rPr>
          <w:sz w:val="20"/>
          <w:szCs w:val="20"/>
          <w:rtl/>
        </w:rPr>
        <w:t>. השווה הערה 69 לעיל.</w:t>
      </w:r>
    </w:p>
  </w:footnote>
  <w:footnote w:id="3265">
    <w:p w14:paraId="04F9B132" w14:textId="77777777" w:rsidR="00AB3647" w:rsidRDefault="00000000">
      <w:pPr>
        <w:spacing w:after="0" w:before="0"/>
        <w:jc w:val="both"/>
      </w:pPr>
      <w:r>
        <w:rPr>
          <w:sz w:val="20"/>
          <w:szCs w:val="20"/>
          <w:rtl/>
        </w:rPr>
        <w:footnoteRef/>
      </w:r>
      <w:r>
        <w:rPr>
          <w:sz w:val="20"/>
          <w:szCs w:val="20"/>
          <w:rtl/>
        </w:rPr>
        <w:t>. עמ׳ 220.</w:t>
      </w:r>
    </w:p>
  </w:footnote>
  <w:footnote w:id="3266">
    <w:p w14:paraId="7A0F7C9D" w14:textId="77777777" w:rsidR="00AB3647" w:rsidRDefault="00000000">
      <w:pPr>
        <w:spacing w:after="0" w:before="0"/>
        <w:jc w:val="both"/>
      </w:pPr>
      <w:r>
        <w:rPr>
          <w:sz w:val="20"/>
          <w:szCs w:val="20"/>
          <w:rtl/>
        </w:rPr>
        <w:footnoteRef/>
      </w:r>
      <w:r>
        <w:rPr>
          <w:sz w:val="20"/>
          <w:szCs w:val="20"/>
          <w:rtl/>
        </w:rPr>
        <w:t>. המקור הנזכר בפרק 3, נספח ב – עמ׳ רט.</w:t>
      </w:r>
    </w:p>
  </w:footnote>
  <w:footnote w:id="3267">
    <w:p w14:paraId="3F2C8EBE" w14:textId="77777777" w:rsidR="00AB3647" w:rsidRDefault="00000000">
      <w:pPr>
        <w:spacing w:after="0" w:before="0"/>
        <w:jc w:val="both"/>
      </w:pPr>
      <w:r>
        <w:rPr>
          <w:sz w:val="20"/>
          <w:szCs w:val="20"/>
          <w:rtl/>
        </w:rPr>
        <w:footnoteRef/>
      </w:r>
      <w:r>
        <w:rPr>
          <w:sz w:val="20"/>
          <w:szCs w:val="20"/>
          <w:rtl/>
        </w:rPr>
        <w:t>. עמ׳ 277, 279 ו־281–282.</w:t>
      </w:r>
    </w:p>
  </w:footnote>
  <w:footnote w:id="3268">
    <w:p w14:paraId="2B6CE4AB" w14:textId="77777777" w:rsidR="00AB3647" w:rsidRDefault="00000000">
      <w:pPr>
        <w:spacing w:after="0" w:before="0"/>
        <w:jc w:val="both"/>
      </w:pPr>
      <w:r>
        <w:rPr>
          <w:sz w:val="20"/>
          <w:szCs w:val="20"/>
          <w:rtl/>
        </w:rPr>
        <w:footnoteRef/>
      </w:r>
      <w:r>
        <w:rPr>
          <w:sz w:val="20"/>
          <w:szCs w:val="20"/>
          <w:rtl/>
        </w:rPr>
        <w:t xml:space="preserve">. הערה 20 לעיל – כרך 2, עמ׳ </w:t>
      </w:r>
      <w:proofErr w:type="spellStart"/>
      <w:r>
        <w:rPr>
          <w:sz w:val="20"/>
          <w:szCs w:val="20"/>
          <w:rtl/>
        </w:rPr>
        <w:t>תשצד</w:t>
      </w:r>
      <w:proofErr w:type="spellEnd"/>
      <w:r>
        <w:rPr>
          <w:sz w:val="20"/>
          <w:szCs w:val="20"/>
          <w:rtl/>
        </w:rPr>
        <w:t>–</w:t>
      </w:r>
      <w:proofErr w:type="spellStart"/>
      <w:r>
        <w:rPr>
          <w:sz w:val="20"/>
          <w:szCs w:val="20"/>
          <w:rtl/>
        </w:rPr>
        <w:t>תשצה</w:t>
      </w:r>
      <w:proofErr w:type="spellEnd"/>
      <w:r>
        <w:rPr>
          <w:sz w:val="20"/>
          <w:szCs w:val="20"/>
          <w:rtl/>
        </w:rPr>
        <w:t>, אות מט.</w:t>
      </w:r>
    </w:p>
  </w:footnote>
  <w:footnote w:id="3269">
    <w:p w14:paraId="0B8D3F34" w14:textId="77777777" w:rsidR="00AB3647" w:rsidRDefault="00000000">
      <w:pPr>
        <w:spacing w:after="0" w:before="0"/>
        <w:jc w:val="both"/>
      </w:pPr>
      <w:r>
        <w:rPr>
          <w:sz w:val="20"/>
          <w:szCs w:val="20"/>
          <w:rtl/>
        </w:rPr>
        <w:footnoteRef/>
      </w:r>
      <w:r>
        <w:rPr>
          <w:sz w:val="20"/>
          <w:szCs w:val="20"/>
          <w:rtl/>
        </w:rPr>
        <w:t>. “כתבי הסבא” ראה אור למעלה מארבעים שנה אחרי סדרת “תנועת המוסר”.</w:t>
      </w:r>
    </w:p>
  </w:footnote>
  <w:footnote w:id="3270">
    <w:p w14:paraId="44BE6184" w14:textId="77777777" w:rsidR="00AB3647" w:rsidRDefault="00000000">
      <w:pPr>
        <w:spacing w:after="0" w:before="0"/>
        <w:jc w:val="both"/>
      </w:pPr>
      <w:r>
        <w:rPr>
          <w:sz w:val="20"/>
          <w:szCs w:val="20"/>
          <w:rtl/>
        </w:rPr>
        <w:footnoteRef/>
      </w:r>
      <w:r>
        <w:rPr>
          <w:sz w:val="20"/>
          <w:szCs w:val="20"/>
          <w:rtl/>
        </w:rPr>
        <w:t>. עמ׳ 21.</w:t>
      </w:r>
    </w:p>
  </w:footnote>
  <w:footnote w:id="3271">
    <w:p w14:paraId="34E03976"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לעיל נאמר שכולל קובנה נחנך בשנת תרל״ז. ר׳ נפתלי, שנולד </w:t>
      </w:r>
      <w:proofErr w:type="spellStart"/>
      <w:r>
        <w:rPr>
          <w:sz w:val="20"/>
          <w:szCs w:val="20"/>
          <w:rtl/>
        </w:rPr>
        <w:t>בתקצ״ב</w:t>
      </w:r>
      <w:proofErr w:type="spellEnd"/>
      <w:r>
        <w:rPr>
          <w:sz w:val="20"/>
          <w:szCs w:val="20"/>
          <w:rtl/>
        </w:rPr>
        <w:t>, היה בן ארבעים וחמש בשנה ההיא; לפי השנה שנזכרה כאן היה בן ארבעים ושבע.</w:t>
      </w:r>
    </w:p>
  </w:footnote>
  <w:footnote w:id="3272">
    <w:p w14:paraId="56AFE490" w14:textId="77777777" w:rsidR="00AB3647" w:rsidRDefault="00000000">
      <w:pPr>
        <w:spacing w:after="0" w:before="0"/>
        <w:jc w:val="both"/>
      </w:pPr>
      <w:r>
        <w:rPr>
          <w:sz w:val="20"/>
          <w:szCs w:val="20"/>
          <w:rtl/>
        </w:rPr>
        <w:footnoteRef/>
      </w:r>
      <w:r>
        <w:rPr>
          <w:sz w:val="20"/>
          <w:szCs w:val="20"/>
          <w:rtl/>
        </w:rPr>
        <w:t xml:space="preserve">. ראה פרק 3, הערה 20. בהנחה שר׳ נפתלי היה חבר בכולל, הטענה </w:t>
      </w:r>
      <w:proofErr w:type="spellStart"/>
      <w:r>
        <w:rPr>
          <w:sz w:val="20"/>
          <w:szCs w:val="20"/>
          <w:rtl/>
        </w:rPr>
        <w:t>ב“כתבי</w:t>
      </w:r>
      <w:proofErr w:type="spellEnd"/>
      <w:r>
        <w:rPr>
          <w:sz w:val="20"/>
          <w:szCs w:val="20"/>
          <w:rtl/>
        </w:rPr>
        <w:t xml:space="preserve"> הסבא”, שם, שר׳ נפתלי אמסטרדם כיהן </w:t>
      </w:r>
      <w:proofErr w:type="spellStart"/>
      <w:r>
        <w:rPr>
          <w:sz w:val="20"/>
          <w:szCs w:val="20"/>
          <w:rtl/>
        </w:rPr>
        <w:t>באלקסוט</w:t>
      </w:r>
      <w:proofErr w:type="spellEnd"/>
      <w:r>
        <w:rPr>
          <w:sz w:val="20"/>
          <w:szCs w:val="20"/>
          <w:rtl/>
        </w:rPr>
        <w:t xml:space="preserve"> שמונה שנים, אינה יכולה להיות נכונה מבחינה כרונולוגית. אף שאין לפקפק במהימנות המוסר, ייתכן שר׳ גרשון בלבל בין תקופתו </w:t>
      </w:r>
      <w:proofErr w:type="spellStart"/>
      <w:r>
        <w:rPr>
          <w:sz w:val="20"/>
          <w:szCs w:val="20"/>
          <w:rtl/>
        </w:rPr>
        <w:t>באלקסוט</w:t>
      </w:r>
      <w:proofErr w:type="spellEnd"/>
      <w:r>
        <w:rPr>
          <w:sz w:val="20"/>
          <w:szCs w:val="20"/>
          <w:rtl/>
        </w:rPr>
        <w:t xml:space="preserve"> לבין משך כהונתו בהלסינקי, שהיה שמונה שנים בדיוק.</w:t>
      </w:r>
    </w:p>
  </w:footnote>
  <w:footnote w:id="3273">
    <w:p w14:paraId="10F04D2E" w14:textId="77777777" w:rsidR="00AB3647" w:rsidRDefault="00000000">
      <w:pPr>
        <w:spacing w:after="0" w:before="0"/>
        <w:jc w:val="both"/>
      </w:pPr>
      <w:r>
        <w:rPr>
          <w:sz w:val="20"/>
          <w:szCs w:val="20"/>
          <w:rtl/>
        </w:rPr>
        <w:footnoteRef/>
      </w:r>
      <w:r>
        <w:rPr>
          <w:sz w:val="20"/>
          <w:szCs w:val="20"/>
          <w:rtl/>
        </w:rPr>
        <w:t>. עמ׳ 279.</w:t>
      </w:r>
    </w:p>
  </w:footnote>
  <w:footnote w:id="3274">
    <w:p w14:paraId="6DCDA6D7" w14:textId="77777777" w:rsidR="00AB3647" w:rsidRDefault="00000000">
      <w:pPr>
        <w:spacing w:after="0" w:before="0"/>
        <w:jc w:val="both"/>
      </w:pPr>
      <w:r>
        <w:rPr>
          <w:sz w:val="20"/>
          <w:szCs w:val="20"/>
          <w:rtl/>
        </w:rPr>
        <w:footnoteRef/>
      </w:r>
      <w:r>
        <w:rPr>
          <w:sz w:val="20"/>
          <w:szCs w:val="20"/>
          <w:rtl/>
        </w:rPr>
        <w:t>. הערה 1 לעיל.</w:t>
      </w:r>
    </w:p>
  </w:footnote>
  <w:footnote w:id="3275">
    <w:p w14:paraId="05866ABD" w14:textId="77777777" w:rsidR="00AB3647" w:rsidRDefault="00000000">
      <w:pPr>
        <w:spacing w:after="0" w:before="0"/>
        <w:jc w:val="both"/>
      </w:pPr>
      <w:r>
        <w:rPr>
          <w:sz w:val="20"/>
          <w:szCs w:val="20"/>
          <w:rtl/>
        </w:rPr>
        <w:footnoteRef/>
      </w:r>
      <w:r>
        <w:rPr>
          <w:sz w:val="20"/>
          <w:szCs w:val="20"/>
          <w:rtl/>
        </w:rPr>
        <w:t xml:space="preserve">. שיחת </w:t>
      </w:r>
      <w:proofErr w:type="spellStart"/>
      <w:r>
        <w:rPr>
          <w:sz w:val="20"/>
          <w:szCs w:val="20"/>
          <w:rtl/>
        </w:rPr>
        <w:t>ליבוביץ</w:t>
      </w:r>
      <w:proofErr w:type="spellEnd"/>
      <w:r>
        <w:rPr>
          <w:sz w:val="20"/>
          <w:szCs w:val="20"/>
          <w:rtl/>
        </w:rPr>
        <w:t xml:space="preserve"> (פרק 3, נספח א).</w:t>
      </w:r>
    </w:p>
  </w:footnote>
  <w:footnote w:id="3276">
    <w:p w14:paraId="10B9860B" w14:textId="77777777" w:rsidR="00AB3647" w:rsidRDefault="00000000">
      <w:pPr>
        <w:spacing w:after="0" w:before="0"/>
        <w:jc w:val="both"/>
      </w:pPr>
      <w:r>
        <w:rPr>
          <w:sz w:val="20"/>
          <w:szCs w:val="20"/>
          <w:rtl/>
        </w:rPr>
        <w:footnoteRef/>
      </w:r>
      <w:r>
        <w:rPr>
          <w:sz w:val="20"/>
          <w:szCs w:val="20"/>
          <w:rtl/>
        </w:rPr>
        <w:t>. כץ, “תנועת המוסר”, כרך ב, עמ׳ 284.</w:t>
      </w:r>
    </w:p>
  </w:footnote>
  <w:footnote w:id="3277">
    <w:p w14:paraId="3857FC02" w14:textId="77777777" w:rsidR="00AB3647" w:rsidRDefault="00000000">
      <w:pPr>
        <w:spacing w:after="0" w:before="0"/>
        <w:jc w:val="both"/>
      </w:pPr>
      <w:r>
        <w:rPr>
          <w:sz w:val="20"/>
          <w:szCs w:val="20"/>
          <w:rtl/>
        </w:rPr>
        <w:footnoteRef/>
      </w:r>
      <w:r>
        <w:rPr>
          <w:sz w:val="20"/>
          <w:szCs w:val="20"/>
          <w:rtl/>
        </w:rPr>
        <w:t>. עמ׳ 276.</w:t>
      </w:r>
    </w:p>
  </w:footnote>
  <w:footnote w:id="3278">
    <w:p w14:paraId="226BB26B" w14:textId="77777777" w:rsidR="00AB3647" w:rsidRDefault="00000000">
      <w:pPr>
        <w:spacing w:after="0" w:before="0"/>
        <w:jc w:val="both"/>
      </w:pPr>
      <w:r>
        <w:rPr>
          <w:sz w:val="20"/>
          <w:szCs w:val="20"/>
          <w:rtl/>
        </w:rPr>
        <w:footnoteRef/>
      </w:r>
      <w:r>
        <w:rPr>
          <w:sz w:val="20"/>
          <w:szCs w:val="20"/>
          <w:rtl/>
        </w:rPr>
        <w:t>. ראה גם הערה 74 לעיל.</w:t>
      </w:r>
    </w:p>
  </w:footnote>
  <w:footnote w:id="3279">
    <w:p w14:paraId="18A8769C" w14:textId="77777777" w:rsidR="00AB3647" w:rsidRDefault="00000000">
      <w:pPr>
        <w:spacing w:after="0" w:before="0"/>
        <w:jc w:val="both"/>
      </w:pPr>
      <w:r>
        <w:rPr>
          <w:sz w:val="20"/>
          <w:szCs w:val="20"/>
          <w:rtl/>
        </w:rPr>
        <w:footnoteRef/>
      </w:r>
      <w:r>
        <w:rPr>
          <w:sz w:val="20"/>
          <w:szCs w:val="20"/>
          <w:rtl/>
        </w:rPr>
        <w:t>. שם, עמ׳ 291.</w:t>
      </w:r>
    </w:p>
  </w:footnote>
  <w:footnote w:id="3280">
    <w:p w14:paraId="11DAF9F1" w14:textId="77777777" w:rsidR="00AB3647" w:rsidRDefault="00000000">
      <w:pPr>
        <w:spacing w:after="0" w:before="0"/>
        <w:jc w:val="both"/>
      </w:pPr>
      <w:r>
        <w:rPr>
          <w:sz w:val="20"/>
          <w:szCs w:val="20"/>
          <w:rtl/>
        </w:rPr>
        <w:footnoteRef/>
      </w:r>
      <w:r>
        <w:rPr>
          <w:sz w:val="20"/>
          <w:szCs w:val="20"/>
          <w:rtl/>
        </w:rPr>
        <w:t>. כץ, “תנועת המוסר”, כרך א, עמ׳ 226.</w:t>
      </w:r>
    </w:p>
  </w:footnote>
  <w:footnote w:id="3281">
    <w:p w14:paraId="18B36008" w14:textId="77777777" w:rsidR="00AB3647" w:rsidRDefault="00000000">
      <w:pPr>
        <w:spacing w:after="0" w:before="0"/>
        <w:jc w:val="both"/>
      </w:pPr>
      <w:r>
        <w:rPr>
          <w:sz w:val="20"/>
          <w:szCs w:val="20"/>
          <w:rtl/>
        </w:rPr>
        <w:footnoteRef/>
      </w:r>
      <w:r>
        <w:rPr>
          <w:sz w:val="20"/>
          <w:szCs w:val="20"/>
          <w:rtl/>
        </w:rPr>
        <w:t>. עמ׳ 294.</w:t>
      </w:r>
    </w:p>
  </w:footnote>
  <w:footnote w:id="3282">
    <w:p w14:paraId="3477BF57" w14:textId="77777777" w:rsidR="00AB3647" w:rsidRDefault="00000000">
      <w:pPr>
        <w:spacing w:after="0" w:before="0"/>
        <w:jc w:val="both"/>
      </w:pPr>
      <w:r>
        <w:rPr>
          <w:sz w:val="20"/>
          <w:szCs w:val="20"/>
          <w:rtl/>
        </w:rPr>
        <w:footnoteRef/>
      </w:r>
      <w:r>
        <w:rPr>
          <w:sz w:val="20"/>
          <w:szCs w:val="20"/>
          <w:rtl/>
        </w:rPr>
        <w:t>. שם, עמ׳ 295.</w:t>
      </w:r>
    </w:p>
  </w:footnote>
  <w:footnote w:id="3283">
    <w:p w14:paraId="70F43B6D" w14:textId="77777777" w:rsidR="00AB3647" w:rsidRDefault="00000000">
      <w:pPr>
        <w:spacing w:after="0" w:before="0"/>
        <w:jc w:val="both"/>
      </w:pPr>
      <w:r>
        <w:rPr>
          <w:sz w:val="20"/>
          <w:szCs w:val="20"/>
          <w:rtl/>
        </w:rPr>
        <w:footnoteRef/>
      </w:r>
      <w:r>
        <w:rPr>
          <w:sz w:val="20"/>
          <w:szCs w:val="20"/>
          <w:rtl/>
        </w:rPr>
        <w:t>. שם, עמ׳ 291.</w:t>
      </w:r>
    </w:p>
  </w:footnote>
  <w:footnote w:id="3284">
    <w:p w14:paraId="6498C818" w14:textId="77777777" w:rsidR="00AB3647" w:rsidRDefault="00000000">
      <w:pPr>
        <w:spacing w:after="0" w:before="0"/>
        <w:jc w:val="both"/>
      </w:pPr>
      <w:r>
        <w:rPr>
          <w:sz w:val="20"/>
          <w:szCs w:val="20"/>
          <w:rtl/>
        </w:rPr>
        <w:footnoteRef/>
      </w:r>
      <w:r>
        <w:rPr>
          <w:sz w:val="20"/>
          <w:szCs w:val="20"/>
          <w:rtl/>
        </w:rPr>
        <w:t>. שם, עמ׳ 293.</w:t>
      </w:r>
    </w:p>
  </w:footnote>
  <w:footnote w:id="3285">
    <w:p w14:paraId="54413887" w14:textId="77777777" w:rsidR="00AB3647" w:rsidRDefault="00000000">
      <w:pPr>
        <w:spacing w:after="0" w:before="0"/>
        <w:jc w:val="both"/>
      </w:pPr>
      <w:r>
        <w:rPr>
          <w:sz w:val="20"/>
          <w:szCs w:val="20"/>
          <w:rtl/>
        </w:rPr>
        <w:footnoteRef/>
      </w:r>
      <w:r>
        <w:rPr>
          <w:sz w:val="20"/>
          <w:szCs w:val="20"/>
          <w:rtl/>
        </w:rPr>
        <w:t xml:space="preserve">. שם, עמ׳ 294, כפי שסיפר ר׳ </w:t>
      </w:r>
      <w:proofErr w:type="spellStart"/>
      <w:r>
        <w:rPr>
          <w:sz w:val="20"/>
          <w:szCs w:val="20"/>
          <w:rtl/>
        </w:rPr>
        <w:t>יעקב־משה</w:t>
      </w:r>
      <w:proofErr w:type="spellEnd"/>
      <w:r>
        <w:rPr>
          <w:sz w:val="20"/>
          <w:szCs w:val="20"/>
          <w:rtl/>
        </w:rPr>
        <w:t xml:space="preserve"> חרל״פ. ראה גם את סוף שתי ההערות הקודמות ואת נספח י להלן, והשווה לסוף הפסקה הראשונה בפרק 3, נספח ב, על </w:t>
      </w:r>
      <w:proofErr w:type="spellStart"/>
      <w:r>
        <w:rPr>
          <w:sz w:val="20"/>
          <w:szCs w:val="20"/>
          <w:rtl/>
        </w:rPr>
        <w:t>אי־קיום</w:t>
      </w:r>
      <w:proofErr w:type="spellEnd"/>
      <w:r>
        <w:rPr>
          <w:sz w:val="20"/>
          <w:szCs w:val="20"/>
          <w:rtl/>
        </w:rPr>
        <w:t xml:space="preserve"> צוואתו האחרונה של ר׳ </w:t>
      </w:r>
      <w:proofErr w:type="spellStart"/>
      <w:r>
        <w:rPr>
          <w:sz w:val="20"/>
          <w:szCs w:val="20"/>
          <w:rtl/>
        </w:rPr>
        <w:t>איצל׳ה</w:t>
      </w:r>
      <w:proofErr w:type="spellEnd"/>
      <w:r>
        <w:rPr>
          <w:sz w:val="20"/>
          <w:szCs w:val="20"/>
          <w:rtl/>
        </w:rPr>
        <w:t xml:space="preserve"> במותו.</w:t>
      </w:r>
    </w:p>
  </w:footnote>
  <w:footnote w:id="3286">
    <w:p w14:paraId="65227DE4" w14:textId="77777777" w:rsidR="00AB3647" w:rsidRDefault="00000000">
      <w:pPr>
        <w:spacing w:after="0" w:before="0"/>
        <w:jc w:val="both"/>
      </w:pPr>
      <w:r>
        <w:rPr>
          <w:sz w:val="20"/>
          <w:szCs w:val="20"/>
          <w:rtl/>
        </w:rPr>
        <w:footnoteRef/>
      </w:r>
      <w:r>
        <w:rPr>
          <w:sz w:val="20"/>
          <w:szCs w:val="20"/>
          <w:rtl/>
        </w:rPr>
        <w:t>. פרק 3, נספח ה.</w:t>
      </w:r>
    </w:p>
  </w:footnote>
  <w:footnote w:id="3287">
    <w:p w14:paraId="77446E6A" w14:textId="77777777" w:rsidR="00AB3647" w:rsidRDefault="00000000">
      <w:pPr>
        <w:spacing w:after="0" w:before="0"/>
        <w:jc w:val="both"/>
      </w:pPr>
      <w:r>
        <w:rPr>
          <w:sz w:val="20"/>
          <w:szCs w:val="20"/>
          <w:rtl/>
        </w:rPr>
        <w:footnoteRef/>
      </w:r>
      <w:r>
        <w:rPr>
          <w:sz w:val="20"/>
          <w:szCs w:val="20"/>
          <w:rtl/>
        </w:rPr>
        <w:t>. כץ, “תנועת המוסר”, כרך ב, עמ׳ 298.</w:t>
      </w:r>
    </w:p>
  </w:footnote>
  <w:footnote w:id="3288">
    <w:p w14:paraId="174CC981" w14:textId="77777777" w:rsidR="00AB3647" w:rsidRDefault="00000000">
      <w:pPr>
        <w:spacing w:after="0" w:before="0"/>
        <w:jc w:val="both"/>
      </w:pPr>
      <w:r>
        <w:rPr>
          <w:sz w:val="20"/>
          <w:szCs w:val="20"/>
          <w:rtl/>
        </w:rPr>
        <w:footnoteRef/>
      </w:r>
      <w:r>
        <w:rPr>
          <w:sz w:val="20"/>
          <w:szCs w:val="20"/>
          <w:rtl/>
        </w:rPr>
        <w:t>. נספח ד להלן.</w:t>
      </w:r>
    </w:p>
  </w:footnote>
  <w:footnote w:id="3289">
    <w:p w14:paraId="77DB0A0A" w14:textId="77777777" w:rsidR="00AB3647" w:rsidRDefault="00000000">
      <w:pPr>
        <w:spacing w:after="0" w:before="0"/>
        <w:jc w:val="both"/>
      </w:pPr>
      <w:r>
        <w:rPr>
          <w:sz w:val="20"/>
          <w:szCs w:val="20"/>
          <w:rtl/>
        </w:rPr>
        <w:footnoteRef/>
      </w:r>
      <w:r>
        <w:rPr>
          <w:sz w:val="20"/>
          <w:szCs w:val="20"/>
          <w:rtl/>
        </w:rPr>
        <w:t xml:space="preserve">. עמ׳ 282, אחרי הטענה השנויה במחלוקת המצוטטת בהערת שוליים </w:t>
      </w:r>
      <w:r>
        <w:rPr>
          <w:sz w:val="20"/>
          <w:szCs w:val="20"/>
          <w:rtl/>
        </w:rPr>
        <w:fldChar w:fldCharType="begin" w:dirty="true"/>
      </w:r>
      <w:r>
        <w:rPr>
          <w:sz w:val="20"/>
          <w:szCs w:val="20"/>
          <w:rtl/>
        </w:rPr>
        <w:instrText xml:space="preserve"> NOTEREF pr_f_3176 \h </w:instrText>
      </w:r>
      <w:r>
        <w:rPr>
          <w:sz w:val="20"/>
          <w:szCs w:val="20"/>
          <w:rtl/>
        </w:rPr>
      </w:r>
      <w:r>
        <w:rPr>
          <w:sz w:val="20"/>
          <w:szCs w:val="20"/>
          <w:rtl/>
        </w:rPr>
        <w:fldChar w:fldCharType="separate"/>
      </w:r>
      <w:r w:rsidR="007923E9">
        <w:rPr>
          <w:sz w:val="20"/>
          <w:szCs w:val="20"/>
          <w:rtl/>
        </w:rPr>
        <w:t>253</w:t>
      </w:r>
      <w:r>
        <w:rPr>
          <w:sz w:val="20"/>
          <w:szCs w:val="20"/>
          <w:rtl/>
        </w:rPr>
        <w:fldChar w:fldCharType="end"/>
      </w:r>
      <w:r>
        <w:rPr>
          <w:sz w:val="20"/>
          <w:szCs w:val="20"/>
          <w:rtl/>
        </w:rPr>
        <w:t xml:space="preserve"> להלן.</w:t>
      </w:r>
    </w:p>
  </w:footnote>
  <w:footnote w:id="3290">
    <w:p w14:paraId="291D19F8" w14:textId="77777777" w:rsidR="00AB3647" w:rsidRDefault="00000000">
      <w:pPr>
        <w:spacing w:after="0" w:before="0"/>
        <w:jc w:val="both"/>
      </w:pPr>
      <w:r>
        <w:rPr>
          <w:sz w:val="20"/>
          <w:szCs w:val="20"/>
          <w:rtl/>
        </w:rPr>
        <w:footnoteRef/>
      </w:r>
      <w:r>
        <w:rPr>
          <w:sz w:val="20"/>
          <w:szCs w:val="20"/>
          <w:rtl/>
        </w:rPr>
        <w:t>. ראה את הערת השוליים שאחרי הבאה.</w:t>
      </w:r>
    </w:p>
  </w:footnote>
  <w:footnote w:id="3291">
    <w:p w14:paraId="5C7A0E24" w14:textId="77777777" w:rsidR="00AB3647" w:rsidRDefault="00000000">
      <w:pPr>
        <w:spacing w:after="0" w:before="0"/>
        <w:jc w:val="both"/>
      </w:pPr>
      <w:r>
        <w:rPr>
          <w:sz w:val="20"/>
          <w:szCs w:val="20"/>
          <w:rtl/>
        </w:rPr>
        <w:footnoteRef/>
      </w:r>
      <w:r>
        <w:rPr>
          <w:sz w:val="20"/>
          <w:szCs w:val="20"/>
          <w:rtl/>
        </w:rPr>
        <w:t>. השווה גם להערה 147 להלן.</w:t>
      </w:r>
    </w:p>
  </w:footnote>
  <w:footnote w:id="3292">
    <w:p w14:paraId="517D6D1E" w14:textId="77777777" w:rsidR="00AB3647" w:rsidRDefault="00000000">
      <w:pPr>
        <w:spacing w:after="0" w:before="0"/>
        <w:jc w:val="both"/>
      </w:pPr>
      <w:r>
        <w:rPr>
          <w:sz w:val="20"/>
          <w:szCs w:val="20"/>
          <w:rtl/>
        </w:rPr>
        <w:footnoteRef/>
      </w:r>
      <w:r>
        <w:rPr>
          <w:sz w:val="20"/>
          <w:szCs w:val="20"/>
          <w:rtl/>
        </w:rPr>
        <w:t xml:space="preserve">. השווה להערה 70 לעיל. האמירה </w:t>
      </w:r>
      <w:proofErr w:type="spellStart"/>
      <w:r>
        <w:rPr>
          <w:sz w:val="20"/>
          <w:szCs w:val="20"/>
          <w:rtl/>
        </w:rPr>
        <w:t>ב“שרידי</w:t>
      </w:r>
      <w:proofErr w:type="spellEnd"/>
      <w:r>
        <w:rPr>
          <w:sz w:val="20"/>
          <w:szCs w:val="20"/>
          <w:rtl/>
        </w:rPr>
        <w:t xml:space="preserve"> אש” (הערה 20 לעיל), עמ׳ רפה, שר׳ נפתלי קיבל תלמידים בפורים ובשמחת תורה, אולי הייתה נכונה רק בתקופה שבה שהה המחבר, ר׳ </w:t>
      </w:r>
      <w:proofErr w:type="spellStart"/>
      <w:r>
        <w:rPr>
          <w:sz w:val="20"/>
          <w:szCs w:val="20"/>
          <w:rtl/>
        </w:rPr>
        <w:t>יחיאל־יעקב</w:t>
      </w:r>
      <w:proofErr w:type="spellEnd"/>
      <w:r>
        <w:rPr>
          <w:sz w:val="20"/>
          <w:szCs w:val="20"/>
          <w:rtl/>
        </w:rPr>
        <w:t xml:space="preserve"> ויינברג, </w:t>
      </w:r>
      <w:proofErr w:type="spellStart"/>
      <w:r>
        <w:rPr>
          <w:sz w:val="20"/>
          <w:szCs w:val="20"/>
          <w:rtl/>
        </w:rPr>
        <w:t>בסלבודקה</w:t>
      </w:r>
      <w:proofErr w:type="spellEnd"/>
      <w:r>
        <w:rPr>
          <w:sz w:val="20"/>
          <w:szCs w:val="20"/>
          <w:rtl/>
        </w:rPr>
        <w:t xml:space="preserve">, שהסתיימה אחרי פסח תרס״ה, שנה לפני בוא אבי (ראה הפסקה השלישית של נספח ו להלן). אחר כך, בשנה האחרונה לפני יציאת ר׳ נפתלי לארץ ישראל, הוחלף יום הסוכות שבו קיבל את בחורי הישיבה, מסיבות שאינן ידועות, משמחת תורה להושענא רבה. אבל מפתיע שכץ משתמש במונח “מנהג קבוע” כשהוא מציין את הושענא רבה כיום שבו קיבל ר׳ נפתלי את התלמידים, אם הדבר התרחש רק בשנתיים תרס״ו </w:t>
      </w:r>
      <w:proofErr w:type="spellStart"/>
      <w:r>
        <w:rPr>
          <w:sz w:val="20"/>
          <w:szCs w:val="20"/>
          <w:rtl/>
        </w:rPr>
        <w:t>ותרס״ז</w:t>
      </w:r>
      <w:proofErr w:type="spellEnd"/>
      <w:r>
        <w:rPr>
          <w:sz w:val="20"/>
          <w:szCs w:val="20"/>
          <w:rtl/>
        </w:rPr>
        <w:t>.</w:t>
      </w:r>
    </w:p>
  </w:footnote>
  <w:footnote w:id="3293">
    <w:p w14:paraId="53D00345" w14:textId="77777777" w:rsidR="00AB3647" w:rsidRDefault="00000000">
      <w:pPr>
        <w:spacing w:after="0" w:before="0"/>
        <w:jc w:val="both"/>
      </w:pPr>
      <w:r>
        <w:rPr>
          <w:sz w:val="20"/>
          <w:szCs w:val="20"/>
          <w:rtl/>
        </w:rPr>
        <w:footnoteRef/>
      </w:r>
      <w:r>
        <w:rPr>
          <w:sz w:val="20"/>
          <w:szCs w:val="20"/>
          <w:rtl/>
        </w:rPr>
        <w:t xml:space="preserve">. “שרידי אש”, עמ׳ רצח. הטענה בספרו של כץ, “תנועת המוסר”, כרך ב, עמ׳ 282, </w:t>
      </w:r>
      <w:proofErr w:type="spellStart"/>
      <w:r>
        <w:rPr>
          <w:sz w:val="20"/>
          <w:szCs w:val="20"/>
          <w:rtl/>
        </w:rPr>
        <w:t>ש“ביתו</w:t>
      </w:r>
      <w:proofErr w:type="spellEnd"/>
      <w:r>
        <w:rPr>
          <w:sz w:val="20"/>
          <w:szCs w:val="20"/>
          <w:rtl/>
        </w:rPr>
        <w:t xml:space="preserve"> של ר׳ נפתלי היה למרכז לאנשי הכולל ולאנשי הישיבה מקובנה </w:t>
      </w:r>
      <w:proofErr w:type="spellStart"/>
      <w:r>
        <w:rPr>
          <w:sz w:val="20"/>
          <w:szCs w:val="20"/>
          <w:rtl/>
        </w:rPr>
        <w:t>ומסלבודקה</w:t>
      </w:r>
      <w:proofErr w:type="spellEnd"/>
      <w:r>
        <w:rPr>
          <w:sz w:val="20"/>
          <w:szCs w:val="20"/>
          <w:rtl/>
        </w:rPr>
        <w:t>, לשמוע את שיחתו ולשוחח עמו בדברי תורה ומוסר”, נראית מוגזמת.</w:t>
      </w:r>
    </w:p>
  </w:footnote>
  <w:footnote w:id="3294">
    <w:p w14:paraId="6E1A5311" w14:textId="77777777" w:rsidR="00AB3647" w:rsidRDefault="00000000">
      <w:pPr>
        <w:spacing w:after="0" w:before="0"/>
        <w:jc w:val="both"/>
      </w:pPr>
      <w:r>
        <w:rPr>
          <w:sz w:val="20"/>
          <w:szCs w:val="20"/>
          <w:rtl/>
        </w:rPr>
        <w:footnoteRef/>
      </w:r>
      <w:r>
        <w:rPr>
          <w:sz w:val="20"/>
          <w:szCs w:val="20"/>
          <w:rtl/>
        </w:rPr>
        <w:t>. עמ׳ רצח.</w:t>
      </w:r>
    </w:p>
  </w:footnote>
  <w:footnote w:id="3295">
    <w:p w14:paraId="02F1ADB0" w14:textId="77777777" w:rsidR="00AB3647" w:rsidRDefault="00000000">
      <w:pPr>
        <w:spacing w:after="0" w:before="0"/>
        <w:jc w:val="both"/>
      </w:pPr>
      <w:r>
        <w:rPr>
          <w:sz w:val="20"/>
          <w:szCs w:val="20"/>
          <w:rtl/>
        </w:rPr>
        <w:footnoteRef/>
      </w:r>
      <w:r>
        <w:rPr>
          <w:sz w:val="20"/>
          <w:szCs w:val="20"/>
          <w:rtl/>
        </w:rPr>
        <w:t>. ריאיון מ־11 בינואר 1988.</w:t>
      </w:r>
    </w:p>
  </w:footnote>
  <w:footnote w:id="3296">
    <w:p w14:paraId="0CA0EBD1" w14:textId="77777777" w:rsidR="00AB3647" w:rsidRDefault="00000000">
      <w:pPr>
        <w:spacing w:after="0" w:before="0"/>
        <w:jc w:val="both"/>
      </w:pPr>
      <w:r>
        <w:rPr>
          <w:sz w:val="20"/>
          <w:szCs w:val="20"/>
          <w:rtl/>
        </w:rPr>
        <w:footnoteRef/>
      </w:r>
      <w:r>
        <w:rPr>
          <w:sz w:val="20"/>
          <w:szCs w:val="20"/>
          <w:rtl/>
        </w:rPr>
        <w:t xml:space="preserve">. השווה לפרק 3, נספח </w:t>
      </w:r>
      <w:proofErr w:type="spellStart"/>
      <w:r>
        <w:rPr>
          <w:sz w:val="20"/>
          <w:szCs w:val="20"/>
          <w:rtl/>
        </w:rPr>
        <w:t>יט</w:t>
      </w:r>
      <w:proofErr w:type="spellEnd"/>
      <w:r>
        <w:rPr>
          <w:sz w:val="20"/>
          <w:szCs w:val="20"/>
          <w:rtl/>
        </w:rPr>
        <w:t>.</w:t>
      </w:r>
    </w:p>
  </w:footnote>
  <w:footnote w:id="3297">
    <w:p w14:paraId="14837138" w14:textId="77777777" w:rsidR="00AB3647" w:rsidRDefault="00000000">
      <w:pPr>
        <w:spacing w:after="0" w:before="0"/>
        <w:jc w:val="both"/>
      </w:pPr>
      <w:r>
        <w:rPr>
          <w:sz w:val="20"/>
          <w:szCs w:val="20"/>
          <w:rtl/>
        </w:rPr>
        <w:footnoteRef/>
      </w:r>
      <w:r>
        <w:rPr>
          <w:sz w:val="20"/>
          <w:szCs w:val="20"/>
          <w:rtl/>
        </w:rPr>
        <w:t>. נספח ט להלן, מדור נתיבות אור, עמ׳ 122.</w:t>
      </w:r>
    </w:p>
  </w:footnote>
  <w:footnote w:id="3298">
    <w:p w14:paraId="119B35F9" w14:textId="77777777" w:rsidR="00AB3647" w:rsidRDefault="00000000">
      <w:pPr>
        <w:spacing w:after="0" w:before="0"/>
        <w:jc w:val="both"/>
      </w:pPr>
      <w:r>
        <w:rPr>
          <w:sz w:val="20"/>
          <w:szCs w:val="20"/>
          <w:rtl/>
        </w:rPr>
        <w:footnoteRef/>
      </w:r>
      <w:r>
        <w:rPr>
          <w:sz w:val="20"/>
          <w:szCs w:val="20"/>
          <w:rtl/>
        </w:rPr>
        <w:t>. עמ׳ 111.</w:t>
      </w:r>
    </w:p>
  </w:footnote>
  <w:footnote w:id="3299">
    <w:p w14:paraId="0A724460" w14:textId="77777777" w:rsidR="00AB3647" w:rsidRDefault="00000000">
      <w:pPr>
        <w:spacing w:after="0" w:before="0"/>
        <w:jc w:val="both"/>
      </w:pPr>
      <w:r>
        <w:rPr>
          <w:sz w:val="20"/>
          <w:szCs w:val="20"/>
          <w:rtl/>
        </w:rPr>
        <w:footnoteRef/>
      </w:r>
      <w:r>
        <w:rPr>
          <w:sz w:val="20"/>
          <w:szCs w:val="20"/>
          <w:rtl/>
        </w:rPr>
        <w:t>. השווה גם להקדמה ולמבוא של ספר זה.</w:t>
      </w:r>
    </w:p>
  </w:footnote>
  <w:footnote w:id="3300">
    <w:p w14:paraId="5CB5C777" w14:textId="77777777" w:rsidR="00AB3647" w:rsidRDefault="00000000">
      <w:pPr>
        <w:spacing w:after="0" w:before="0"/>
        <w:jc w:val="both"/>
      </w:pPr>
      <w:r>
        <w:rPr>
          <w:sz w:val="20"/>
          <w:szCs w:val="20"/>
          <w:rtl/>
        </w:rPr>
        <w:footnoteRef/>
      </w:r>
      <w:r>
        <w:rPr>
          <w:sz w:val="20"/>
          <w:szCs w:val="20"/>
          <w:rtl/>
        </w:rPr>
        <w:t>. ראה הערה 79 לעיל.</w:t>
      </w:r>
    </w:p>
  </w:footnote>
  <w:footnote w:id="3301">
    <w:p w14:paraId="44B20559" w14:textId="77777777" w:rsidR="00AB3647" w:rsidRDefault="00000000">
      <w:pPr>
        <w:spacing w:after="0" w:before="0"/>
        <w:jc w:val="both"/>
      </w:pPr>
      <w:r>
        <w:rPr>
          <w:sz w:val="20"/>
          <w:szCs w:val="20"/>
          <w:rtl/>
        </w:rPr>
        <w:footnoteRef/>
      </w:r>
      <w:r>
        <w:rPr>
          <w:sz w:val="20"/>
          <w:szCs w:val="20"/>
          <w:rtl/>
        </w:rPr>
        <w:t>. פרק 1, הערה 71.</w:t>
      </w:r>
    </w:p>
  </w:footnote>
  <w:footnote w:id="3302">
    <w:p w14:paraId="7C83F2B5" w14:textId="77777777" w:rsidR="00AB3647" w:rsidRDefault="00000000">
      <w:pPr>
        <w:spacing w:after="0" w:before="0"/>
        <w:jc w:val="both"/>
      </w:pPr>
      <w:r>
        <w:rPr>
          <w:sz w:val="20"/>
          <w:szCs w:val="20"/>
          <w:rtl/>
        </w:rPr>
        <w:footnoteRef/>
      </w:r>
      <w:r>
        <w:rPr>
          <w:sz w:val="20"/>
          <w:szCs w:val="20"/>
          <w:rtl/>
        </w:rPr>
        <w:t>. פרק 1, הערה 71.</w:t>
      </w:r>
    </w:p>
  </w:footnote>
  <w:footnote w:id="3303">
    <w:p w14:paraId="6D02FF9D" w14:textId="77777777" w:rsidR="00AB3647" w:rsidRDefault="00000000">
      <w:pPr>
        <w:spacing w:after="0" w:before="0"/>
        <w:jc w:val="both"/>
      </w:pPr>
      <w:r>
        <w:rPr>
          <w:sz w:val="20"/>
          <w:szCs w:val="20"/>
          <w:rtl/>
        </w:rPr>
        <w:footnoteRef/>
      </w:r>
      <w:r>
        <w:rPr>
          <w:sz w:val="20"/>
          <w:szCs w:val="20"/>
          <w:rtl/>
        </w:rPr>
        <w:t xml:space="preserve">. אבי כינה את הסיפור “מעשה חי [א </w:t>
      </w:r>
      <w:proofErr w:type="spellStart"/>
      <w:r>
        <w:rPr>
          <w:sz w:val="20"/>
          <w:szCs w:val="20"/>
          <w:rtl/>
        </w:rPr>
        <w:t>לעבעדיגע</w:t>
      </w:r>
      <w:proofErr w:type="spellEnd"/>
      <w:r>
        <w:rPr>
          <w:sz w:val="20"/>
          <w:szCs w:val="20"/>
          <w:rtl/>
        </w:rPr>
        <w:t xml:space="preserve"> מעשה] ששמע מפי מייסדי תנועת המוסר ועליהם”. נראה שהתכוון שהסיפור מדגים את הנהגת גדולי המוסר, ולכן יש בו לקח גם להווה.</w:t>
      </w:r>
    </w:p>
  </w:footnote>
  <w:footnote w:id="3304">
    <w:p w14:paraId="27151F99" w14:textId="77777777" w:rsidR="00AB3647" w:rsidRDefault="00000000">
      <w:pPr>
        <w:spacing w:after="0" w:before="0"/>
        <w:jc w:val="both"/>
      </w:pPr>
      <w:r>
        <w:rPr>
          <w:sz w:val="20"/>
          <w:szCs w:val="20"/>
          <w:rtl/>
        </w:rPr>
        <w:footnoteRef/>
      </w:r>
      <w:r>
        <w:rPr>
          <w:sz w:val="20"/>
          <w:szCs w:val="20"/>
          <w:rtl/>
        </w:rPr>
        <w:t xml:space="preserve">. השווה </w:t>
      </w:r>
      <w:proofErr w:type="spellStart"/>
      <w:r>
        <w:rPr>
          <w:sz w:val="20"/>
          <w:szCs w:val="20"/>
          <w:rtl/>
        </w:rPr>
        <w:t>לשו״ע</w:t>
      </w:r>
      <w:proofErr w:type="spellEnd"/>
      <w:r>
        <w:rPr>
          <w:sz w:val="20"/>
          <w:szCs w:val="20"/>
          <w:rtl/>
        </w:rPr>
        <w:t xml:space="preserve"> </w:t>
      </w:r>
      <w:proofErr w:type="spellStart"/>
      <w:r>
        <w:rPr>
          <w:sz w:val="20"/>
          <w:szCs w:val="20"/>
          <w:rtl/>
        </w:rPr>
        <w:t>או״ח</w:t>
      </w:r>
      <w:proofErr w:type="spellEnd"/>
      <w:r>
        <w:rPr>
          <w:sz w:val="20"/>
          <w:szCs w:val="20"/>
          <w:rtl/>
        </w:rPr>
        <w:t>, ריש סימן ס״ו.</w:t>
      </w:r>
    </w:p>
  </w:footnote>
  <w:footnote w:id="3305">
    <w:p w14:paraId="706A0A45" w14:textId="77777777" w:rsidR="00AB3647" w:rsidRDefault="00000000">
      <w:pPr>
        <w:spacing w:after="0" w:before="0"/>
        <w:jc w:val="both"/>
      </w:pPr>
      <w:r>
        <w:rPr>
          <w:sz w:val="20"/>
          <w:szCs w:val="20"/>
          <w:rtl/>
        </w:rPr>
        <w:footnoteRef/>
      </w:r>
      <w:r>
        <w:rPr>
          <w:sz w:val="20"/>
          <w:szCs w:val="20"/>
          <w:rtl/>
        </w:rPr>
        <w:t>. ריאיון מ־9 בנובמבר 1999.</w:t>
      </w:r>
    </w:p>
  </w:footnote>
  <w:footnote w:id="3306">
    <w:p w14:paraId="2F18E32B" w14:textId="77777777" w:rsidR="00AB3647" w:rsidRDefault="00000000">
      <w:pPr>
        <w:spacing w:after="0" w:before="0"/>
        <w:jc w:val="both"/>
      </w:pPr>
      <w:r>
        <w:rPr>
          <w:sz w:val="20"/>
          <w:szCs w:val="20"/>
          <w:rtl/>
        </w:rPr>
        <w:footnoteRef/>
      </w:r>
      <w:r>
        <w:rPr>
          <w:sz w:val="20"/>
          <w:szCs w:val="20"/>
          <w:rtl/>
        </w:rPr>
        <w:t>. שניים מקרא ואחד תרגום (</w:t>
      </w:r>
      <w:proofErr w:type="spellStart"/>
      <w:r>
        <w:rPr>
          <w:sz w:val="20"/>
          <w:szCs w:val="20"/>
          <w:rtl/>
        </w:rPr>
        <w:t>שו״ע</w:t>
      </w:r>
      <w:proofErr w:type="spellEnd"/>
      <w:r>
        <w:rPr>
          <w:sz w:val="20"/>
          <w:szCs w:val="20"/>
          <w:rtl/>
        </w:rPr>
        <w:t xml:space="preserve"> אורח חיים סימן רפ״ה).</w:t>
      </w:r>
    </w:p>
  </w:footnote>
  <w:footnote w:id="3307">
    <w:p w14:paraId="68CFA3E3" w14:textId="77777777" w:rsidR="00AB3647" w:rsidRDefault="00000000">
      <w:pPr>
        <w:spacing w:after="0" w:before="0"/>
        <w:jc w:val="both"/>
      </w:pPr>
      <w:r>
        <w:rPr>
          <w:sz w:val="20"/>
          <w:szCs w:val="20"/>
          <w:rtl/>
        </w:rPr>
        <w:footnoteRef/>
      </w:r>
      <w:r>
        <w:rPr>
          <w:sz w:val="20"/>
          <w:szCs w:val="20"/>
          <w:rtl/>
        </w:rPr>
        <w:t xml:space="preserve">. ע׳ מ״ב שם </w:t>
      </w:r>
      <w:proofErr w:type="spellStart"/>
      <w:r>
        <w:rPr>
          <w:sz w:val="20"/>
          <w:szCs w:val="20"/>
          <w:rtl/>
        </w:rPr>
        <w:t>ססק״ו</w:t>
      </w:r>
      <w:proofErr w:type="spellEnd"/>
      <w:r>
        <w:rPr>
          <w:sz w:val="20"/>
          <w:szCs w:val="20"/>
          <w:rtl/>
        </w:rPr>
        <w:t>.</w:t>
      </w:r>
    </w:p>
  </w:footnote>
  <w:footnote w:id="3308">
    <w:p w14:paraId="00CF2F4F" w14:textId="77777777" w:rsidR="00AB3647" w:rsidRDefault="00000000">
      <w:pPr>
        <w:spacing w:after="0" w:before="0"/>
        <w:jc w:val="both"/>
      </w:pPr>
      <w:r>
        <w:rPr>
          <w:sz w:val="20"/>
          <w:szCs w:val="20"/>
          <w:rtl/>
        </w:rPr>
        <w:footnoteRef/>
      </w:r>
      <w:r>
        <w:rPr>
          <w:sz w:val="20"/>
          <w:szCs w:val="20"/>
          <w:rtl/>
        </w:rPr>
        <w:t xml:space="preserve">. ומה שכ׳ שם בשער הציון </w:t>
      </w:r>
      <w:proofErr w:type="spellStart"/>
      <w:r>
        <w:rPr>
          <w:sz w:val="20"/>
          <w:szCs w:val="20"/>
          <w:rtl/>
        </w:rPr>
        <w:t>ס״ק</w:t>
      </w:r>
      <w:proofErr w:type="spellEnd"/>
      <w:r>
        <w:rPr>
          <w:sz w:val="20"/>
          <w:szCs w:val="20"/>
          <w:rtl/>
        </w:rPr>
        <w:t xml:space="preserve"> י״א שיש איסור גמור להפסיק באמצע </w:t>
      </w:r>
      <w:proofErr w:type="spellStart"/>
      <w:r>
        <w:rPr>
          <w:sz w:val="20"/>
          <w:szCs w:val="20"/>
          <w:rtl/>
        </w:rPr>
        <w:t>עניינא</w:t>
      </w:r>
      <w:proofErr w:type="spellEnd"/>
      <w:r>
        <w:rPr>
          <w:sz w:val="20"/>
          <w:szCs w:val="20"/>
          <w:rtl/>
        </w:rPr>
        <w:t xml:space="preserve"> אינו שייך לכאן כי המפסיק להשיב לשאלת אמא איננו עוסק </w:t>
      </w:r>
      <w:proofErr w:type="spellStart"/>
      <w:r>
        <w:rPr>
          <w:sz w:val="20"/>
          <w:szCs w:val="20"/>
          <w:rtl/>
        </w:rPr>
        <w:t>ב“דברי</w:t>
      </w:r>
      <w:proofErr w:type="spellEnd"/>
      <w:r>
        <w:rPr>
          <w:sz w:val="20"/>
          <w:szCs w:val="20"/>
          <w:rtl/>
        </w:rPr>
        <w:t xml:space="preserve"> שיחה” בעלמא.</w:t>
      </w:r>
    </w:p>
  </w:footnote>
  <w:footnote w:id="3309">
    <w:p w14:paraId="27569622" w14:textId="77777777" w:rsidR="00AB3647" w:rsidRDefault="00000000">
      <w:pPr>
        <w:spacing w:after="0" w:before="0"/>
        <w:jc w:val="both"/>
      </w:pPr>
      <w:r>
        <w:rPr>
          <w:sz w:val="20"/>
          <w:szCs w:val="20"/>
          <w:rtl/>
        </w:rPr>
        <w:footnoteRef/>
      </w:r>
      <w:r>
        <w:rPr>
          <w:sz w:val="20"/>
          <w:szCs w:val="20"/>
          <w:rtl/>
        </w:rPr>
        <w:t xml:space="preserve">. כנראה הוסיף נקודה זו מפני שבכל זאת לא הפסיק ר׳ נפתלי את שתיקתו, למרות הערת רבו. אגב, אבי סיים את הסיפור </w:t>
      </w:r>
      <w:proofErr w:type="spellStart"/>
      <w:r>
        <w:rPr>
          <w:sz w:val="20"/>
          <w:szCs w:val="20"/>
          <w:rtl/>
        </w:rPr>
        <w:t>לר</w:t>
      </w:r>
      <w:proofErr w:type="spellEnd"/>
      <w:r>
        <w:rPr>
          <w:sz w:val="20"/>
          <w:szCs w:val="20"/>
          <w:rtl/>
        </w:rPr>
        <w:t>׳ שלמה בדברי ר׳ ישראל, ולא סיפר לו שר׳ נפתלי המשיך לשתוק!</w:t>
      </w:r>
    </w:p>
  </w:footnote>
  <w:footnote w:id="3310">
    <w:p w14:paraId="3FCA652D" w14:textId="77777777" w:rsidR="00AB3647" w:rsidRDefault="00000000">
      <w:pPr>
        <w:spacing w:after="0" w:before="0"/>
        <w:jc w:val="both"/>
      </w:pPr>
      <w:r>
        <w:rPr>
          <w:sz w:val="20"/>
          <w:szCs w:val="20"/>
          <w:rtl/>
        </w:rPr>
        <w:footnoteRef/>
      </w:r>
      <w:r>
        <w:rPr>
          <w:sz w:val="20"/>
          <w:szCs w:val="20"/>
          <w:rtl/>
        </w:rPr>
        <w:t xml:space="preserve">. ר׳ מתתיהו </w:t>
      </w:r>
      <w:proofErr w:type="spellStart"/>
      <w:r>
        <w:rPr>
          <w:sz w:val="20"/>
          <w:szCs w:val="20"/>
          <w:rtl/>
        </w:rPr>
        <w:t>גרינבלט</w:t>
      </w:r>
      <w:proofErr w:type="spellEnd"/>
      <w:r>
        <w:rPr>
          <w:sz w:val="20"/>
          <w:szCs w:val="20"/>
          <w:rtl/>
        </w:rPr>
        <w:t>, שרואיין ב־23 באפריל 2001.</w:t>
      </w:r>
    </w:p>
  </w:footnote>
  <w:footnote w:id="3311">
    <w:p w14:paraId="529857FC" w14:textId="77777777" w:rsidR="00AB3647" w:rsidRDefault="00000000">
      <w:pPr>
        <w:spacing w:after="0" w:before="0"/>
        <w:jc w:val="both"/>
      </w:pPr>
      <w:r>
        <w:rPr>
          <w:sz w:val="20"/>
          <w:szCs w:val="20"/>
          <w:rtl/>
        </w:rPr>
        <w:footnoteRef/>
      </w:r>
      <w:r>
        <w:rPr>
          <w:sz w:val="20"/>
          <w:szCs w:val="20"/>
          <w:rtl/>
        </w:rPr>
        <w:t xml:space="preserve">. פסחים פ״ו ע״ב. השווה </w:t>
      </w:r>
      <w:proofErr w:type="spellStart"/>
      <w:r>
        <w:rPr>
          <w:sz w:val="20"/>
          <w:szCs w:val="20"/>
          <w:rtl/>
        </w:rPr>
        <w:t>ל“הגאון</w:t>
      </w:r>
      <w:proofErr w:type="spellEnd"/>
      <w:r>
        <w:rPr>
          <w:sz w:val="20"/>
          <w:szCs w:val="20"/>
          <w:rtl/>
        </w:rPr>
        <w:t xml:space="preserve"> החסיד </w:t>
      </w:r>
      <w:proofErr w:type="spellStart"/>
      <w:r>
        <w:rPr>
          <w:sz w:val="20"/>
          <w:szCs w:val="20"/>
          <w:rtl/>
        </w:rPr>
        <w:t>מוילנא</w:t>
      </w:r>
      <w:proofErr w:type="spellEnd"/>
      <w:r>
        <w:rPr>
          <w:sz w:val="20"/>
          <w:szCs w:val="20"/>
          <w:rtl/>
        </w:rPr>
        <w:t>” (נספח ט להלן), עמ׳ מג–מד, על מידת החיוב שבהוראה זו.</w:t>
      </w:r>
    </w:p>
  </w:footnote>
  <w:footnote w:id="3312">
    <w:p w14:paraId="39743E9B" w14:textId="77777777" w:rsidR="00AB3647" w:rsidRDefault="00000000">
      <w:pPr>
        <w:spacing w:after="0" w:before="0"/>
        <w:jc w:val="both"/>
      </w:pPr>
      <w:r>
        <w:rPr>
          <w:sz w:val="20"/>
          <w:szCs w:val="20"/>
          <w:rtl/>
        </w:rPr>
        <w:footnoteRef/>
      </w:r>
      <w:r>
        <w:rPr>
          <w:sz w:val="20"/>
          <w:szCs w:val="20"/>
          <w:rtl/>
        </w:rPr>
        <w:t>. השווה לפרק 1, הערה 7.</w:t>
      </w:r>
    </w:p>
  </w:footnote>
  <w:footnote w:id="3313">
    <w:p w14:paraId="3B9294E7" w14:textId="77777777" w:rsidR="00AB3647" w:rsidRDefault="00000000">
      <w:pPr>
        <w:spacing w:after="0" w:before="0"/>
        <w:jc w:val="both"/>
      </w:pPr>
      <w:r>
        <w:rPr>
          <w:sz w:val="20"/>
          <w:szCs w:val="20"/>
          <w:rtl/>
        </w:rPr>
        <w:footnoteRef/>
      </w:r>
      <w:r>
        <w:rPr>
          <w:sz w:val="20"/>
          <w:szCs w:val="20"/>
          <w:rtl/>
        </w:rPr>
        <w:t xml:space="preserve">. כתובות נ״ב ע״ב </w:t>
      </w:r>
      <w:proofErr w:type="spellStart"/>
      <w:r>
        <w:rPr>
          <w:sz w:val="20"/>
          <w:szCs w:val="20"/>
          <w:rtl/>
        </w:rPr>
        <w:t>ופ״ו</w:t>
      </w:r>
      <w:proofErr w:type="spellEnd"/>
      <w:r>
        <w:rPr>
          <w:sz w:val="20"/>
          <w:szCs w:val="20"/>
          <w:rtl/>
        </w:rPr>
        <w:t xml:space="preserve"> ע״א ועוד.</w:t>
      </w:r>
    </w:p>
  </w:footnote>
  <w:footnote w:id="3314">
    <w:p w14:paraId="01673E89" w14:textId="77777777" w:rsidR="00AB3647" w:rsidRDefault="00000000">
      <w:pPr>
        <w:spacing w:after="0" w:before="0"/>
        <w:jc w:val="both"/>
      </w:pPr>
      <w:r>
        <w:rPr>
          <w:sz w:val="20"/>
          <w:szCs w:val="20"/>
          <w:rtl/>
        </w:rPr>
        <w:footnoteRef/>
      </w:r>
      <w:r>
        <w:rPr>
          <w:sz w:val="20"/>
          <w:szCs w:val="20"/>
          <w:rtl/>
        </w:rPr>
        <w:t xml:space="preserve">. אולם ראה פרק 3, הפסקה הראשונה של נספח </w:t>
      </w:r>
      <w:proofErr w:type="spellStart"/>
      <w:r>
        <w:rPr>
          <w:sz w:val="20"/>
          <w:szCs w:val="20"/>
          <w:rtl/>
        </w:rPr>
        <w:t>כח</w:t>
      </w:r>
      <w:proofErr w:type="spellEnd"/>
      <w:r>
        <w:rPr>
          <w:sz w:val="20"/>
          <w:szCs w:val="20"/>
          <w:rtl/>
        </w:rPr>
        <w:t>: אבי לא ראה את עצמו כך בשנותיו המאוחרות.</w:t>
      </w:r>
    </w:p>
  </w:footnote>
  <w:footnote w:id="3315">
    <w:p w14:paraId="70D6AE5C" w14:textId="77777777" w:rsidR="00AB3647" w:rsidRDefault="00000000">
      <w:pPr>
        <w:spacing w:after="0" w:before="0"/>
        <w:jc w:val="both"/>
      </w:pPr>
      <w:r>
        <w:rPr>
          <w:sz w:val="20"/>
          <w:szCs w:val="20"/>
          <w:rtl/>
        </w:rPr>
        <w:footnoteRef/>
      </w:r>
      <w:r>
        <w:rPr>
          <w:sz w:val="20"/>
          <w:szCs w:val="20"/>
          <w:rtl/>
        </w:rPr>
        <w:t>. פרק 1, הערה 68.</w:t>
      </w:r>
    </w:p>
  </w:footnote>
  <w:footnote w:id="3316">
    <w:p w14:paraId="76EC0026" w14:textId="77777777" w:rsidR="00AB3647" w:rsidRDefault="00000000">
      <w:pPr>
        <w:spacing w:after="0" w:before="0"/>
        <w:jc w:val="both"/>
      </w:pPr>
      <w:r>
        <w:rPr>
          <w:sz w:val="20"/>
          <w:szCs w:val="20"/>
          <w:rtl/>
        </w:rPr>
        <w:footnoteRef/>
      </w:r>
      <w:r>
        <w:rPr>
          <w:sz w:val="20"/>
          <w:szCs w:val="20"/>
          <w:rtl/>
        </w:rPr>
        <w:t xml:space="preserve">. ר׳ אהרן </w:t>
      </w:r>
      <w:proofErr w:type="spellStart"/>
      <w:r>
        <w:rPr>
          <w:sz w:val="20"/>
          <w:szCs w:val="20"/>
          <w:rtl/>
        </w:rPr>
        <w:t>גולובנצ׳יץ</w:t>
      </w:r>
      <w:proofErr w:type="spellEnd"/>
      <w:r>
        <w:rPr>
          <w:sz w:val="20"/>
          <w:szCs w:val="20"/>
          <w:rtl/>
        </w:rPr>
        <w:t xml:space="preserve"> (פרק 2, הערה 103).</w:t>
      </w:r>
    </w:p>
  </w:footnote>
  <w:footnote w:id="3317">
    <w:p w14:paraId="56CE996E" w14:textId="77777777" w:rsidR="00AB3647" w:rsidRDefault="00000000">
      <w:pPr>
        <w:spacing w:after="0" w:before="0"/>
        <w:jc w:val="both"/>
      </w:pPr>
      <w:r>
        <w:rPr>
          <w:sz w:val="20"/>
          <w:szCs w:val="20"/>
          <w:rtl/>
        </w:rPr>
        <w:footnoteRef/>
      </w:r>
      <w:r>
        <w:rPr>
          <w:sz w:val="20"/>
          <w:szCs w:val="20"/>
          <w:rtl/>
        </w:rPr>
        <w:t>. הערה 11 לעיל, עמ׳ 42.</w:t>
      </w:r>
    </w:p>
  </w:footnote>
  <w:footnote w:id="3318">
    <w:p w14:paraId="4EE0F2E4" w14:textId="77777777" w:rsidR="00AB3647" w:rsidRDefault="00000000">
      <w:pPr>
        <w:spacing w:after="0" w:before="0"/>
        <w:jc w:val="both"/>
      </w:pPr>
      <w:r>
        <w:rPr>
          <w:sz w:val="20"/>
          <w:szCs w:val="20"/>
          <w:rtl/>
        </w:rPr>
        <w:footnoteRef/>
      </w:r>
      <w:r>
        <w:rPr>
          <w:sz w:val="20"/>
          <w:szCs w:val="20"/>
          <w:rtl/>
        </w:rPr>
        <w:t xml:space="preserve">. הערה 48 לעיל, עמ׳ </w:t>
      </w:r>
      <w:proofErr w:type="spellStart"/>
      <w:r>
        <w:rPr>
          <w:sz w:val="20"/>
          <w:szCs w:val="20"/>
          <w:rtl/>
        </w:rPr>
        <w:t>יח</w:t>
      </w:r>
      <w:proofErr w:type="spellEnd"/>
      <w:r>
        <w:rPr>
          <w:sz w:val="20"/>
          <w:szCs w:val="20"/>
          <w:rtl/>
        </w:rPr>
        <w:t xml:space="preserve"> </w:t>
      </w:r>
      <w:proofErr w:type="spellStart"/>
      <w:r>
        <w:rPr>
          <w:sz w:val="20"/>
          <w:szCs w:val="20"/>
          <w:rtl/>
        </w:rPr>
        <w:t>ויט</w:t>
      </w:r>
      <w:proofErr w:type="spellEnd"/>
      <w:r>
        <w:rPr>
          <w:sz w:val="20"/>
          <w:szCs w:val="20"/>
          <w:rtl/>
        </w:rPr>
        <w:t>.</w:t>
      </w:r>
    </w:p>
  </w:footnote>
  <w:footnote w:id="3319">
    <w:p w14:paraId="26D2FE2E" w14:textId="77777777" w:rsidR="00AB3647" w:rsidRDefault="00000000">
      <w:pPr>
        <w:spacing w:after="0" w:before="0"/>
        <w:jc w:val="both"/>
      </w:pPr>
      <w:r>
        <w:rPr>
          <w:sz w:val="20"/>
          <w:szCs w:val="20"/>
          <w:rtl/>
        </w:rPr>
        <w:footnoteRef/>
      </w:r>
      <w:r>
        <w:rPr>
          <w:sz w:val="20"/>
          <w:szCs w:val="20"/>
          <w:rtl/>
        </w:rPr>
        <w:t>. ראה את סוף נספח ה ואת תחילת נספח ו להלן.</w:t>
      </w:r>
    </w:p>
  </w:footnote>
  <w:footnote w:id="3320">
    <w:p w14:paraId="076DED07" w14:textId="77777777" w:rsidR="00AB3647" w:rsidRDefault="00000000">
      <w:pPr>
        <w:spacing w:after="0" w:before="0"/>
        <w:jc w:val="both"/>
      </w:pPr>
      <w:r>
        <w:rPr>
          <w:sz w:val="20"/>
          <w:szCs w:val="20"/>
          <w:rtl/>
        </w:rPr>
        <w:footnoteRef/>
      </w:r>
      <w:r>
        <w:rPr>
          <w:sz w:val="20"/>
          <w:szCs w:val="20"/>
          <w:rtl/>
        </w:rPr>
        <w:t>. המאמר המסיים של יובל המאה (נספח ח להלן), עמ׳ 265.</w:t>
      </w:r>
    </w:p>
  </w:footnote>
  <w:footnote w:id="3321">
    <w:p w14:paraId="1F2ACF81" w14:textId="77777777" w:rsidR="00AB3647" w:rsidRDefault="00000000">
      <w:pPr>
        <w:spacing w:after="0" w:before="0"/>
        <w:jc w:val="both"/>
      </w:pPr>
      <w:r>
        <w:rPr>
          <w:sz w:val="20"/>
          <w:szCs w:val="20"/>
          <w:rtl/>
        </w:rPr>
        <w:footnoteRef/>
      </w:r>
      <w:r>
        <w:rPr>
          <w:sz w:val="20"/>
          <w:szCs w:val="20"/>
          <w:rtl/>
        </w:rPr>
        <w:t>. ריאיון מ־27 בנובמבר 1998.</w:t>
      </w:r>
    </w:p>
  </w:footnote>
  <w:footnote w:id="3322">
    <w:p w14:paraId="486756EA" w14:textId="77777777" w:rsidR="00AB3647" w:rsidRDefault="00000000">
      <w:pPr>
        <w:spacing w:after="0" w:before="0"/>
        <w:jc w:val="both"/>
      </w:pPr>
      <w:r>
        <w:rPr>
          <w:sz w:val="20"/>
          <w:szCs w:val="20"/>
          <w:rtl/>
        </w:rPr>
        <w:footnoteRef/>
      </w:r>
      <w:r>
        <w:rPr>
          <w:sz w:val="20"/>
          <w:szCs w:val="20"/>
          <w:rtl/>
        </w:rPr>
        <w:t>. ראה הערה 102 להלן.</w:t>
      </w:r>
    </w:p>
  </w:footnote>
  <w:footnote w:id="3323">
    <w:p w14:paraId="3F7E1AB0" w14:textId="77777777" w:rsidR="00AB3647" w:rsidRDefault="00000000">
      <w:pPr>
        <w:spacing w:after="0" w:before="0"/>
        <w:jc w:val="both"/>
      </w:pPr>
      <w:r>
        <w:rPr>
          <w:sz w:val="20"/>
          <w:szCs w:val="20"/>
          <w:rtl/>
        </w:rPr>
        <w:footnoteRef/>
      </w:r>
      <w:r>
        <w:rPr>
          <w:sz w:val="20"/>
          <w:szCs w:val="20"/>
          <w:rtl/>
        </w:rPr>
        <w:t>. “תורת חיים” (הערה 49 לעיל), עמ׳ פז במספור העמודים השני, מביא את עיקר הסיפור, אבל מטשטש את מטרת הופעתו של ר׳ לייזר גורדון בחתונה. הוא מספר את הסיפור הבלתי סביר הזה: “כשנשאל מה הביאו לבוא, אמר ר׳ לייזר גורדון שהתקשה בעניין תלמודי מסוים וסבר שבמעמד נכבד כזה של רבנים גדולים תיפתר בעייתו.”</w:t>
      </w:r>
    </w:p>
    <w:p w14:paraId="63D296F2" w14:textId="77777777" w:rsidR="00AB3647" w:rsidRDefault="00000000">
      <w:pPr>
        <w:spacing w:after="0" w:before="0"/>
        <w:jc w:val="both"/>
      </w:pPr>
      <w:r>
        <w:rPr>
          <w:sz w:val="20"/>
          <w:szCs w:val="20"/>
          <w:rtl/>
        </w:rPr>
        <w:t xml:space="preserve">לפי גרסת </w:t>
      </w:r>
      <w:proofErr w:type="spellStart"/>
      <w:r>
        <w:rPr>
          <w:sz w:val="20"/>
          <w:szCs w:val="20"/>
          <w:rtl/>
        </w:rPr>
        <w:t>וולקין</w:t>
      </w:r>
      <w:proofErr w:type="spellEnd"/>
      <w:r>
        <w:rPr>
          <w:sz w:val="20"/>
          <w:szCs w:val="20"/>
          <w:rtl/>
        </w:rPr>
        <w:t xml:space="preserve">, ייתכן שר׳ חיים העניק </w:t>
      </w:r>
      <w:proofErr w:type="spellStart"/>
      <w:r>
        <w:rPr>
          <w:sz w:val="20"/>
          <w:szCs w:val="20"/>
          <w:rtl/>
        </w:rPr>
        <w:t>לר</w:t>
      </w:r>
      <w:proofErr w:type="spellEnd"/>
      <w:r>
        <w:rPr>
          <w:sz w:val="20"/>
          <w:szCs w:val="20"/>
          <w:rtl/>
        </w:rPr>
        <w:t xml:space="preserve">׳ לייזר את הכבוד כפיצוי על כך שהוא, ר׳ חיים, סיכל את מטרת ביקורו. “תורת חיים” קושר את הכבוד לגילוי “אהבת התורה” של ר׳ לייזר, שנסע </w:t>
      </w:r>
      <w:proofErr w:type="spellStart"/>
      <w:r>
        <w:rPr>
          <w:sz w:val="20"/>
          <w:szCs w:val="20"/>
          <w:rtl/>
        </w:rPr>
        <w:t>מטלז</w:t>
      </w:r>
      <w:proofErr w:type="spellEnd"/>
      <w:r>
        <w:rPr>
          <w:sz w:val="20"/>
          <w:szCs w:val="20"/>
          <w:rtl/>
        </w:rPr>
        <w:t xml:space="preserve"> </w:t>
      </w:r>
      <w:proofErr w:type="spellStart"/>
      <w:r>
        <w:rPr>
          <w:sz w:val="20"/>
          <w:szCs w:val="20"/>
          <w:rtl/>
        </w:rPr>
        <w:t>לפרוז׳ני</w:t>
      </w:r>
      <w:proofErr w:type="spellEnd"/>
      <w:r>
        <w:rPr>
          <w:sz w:val="20"/>
          <w:szCs w:val="20"/>
          <w:rtl/>
        </w:rPr>
        <w:t xml:space="preserve"> כדי למצוא תשובה לשאלה תורנית. אבל כאמור, גרסת “תורת חיים” אינה מתקבלת לגמרי על הדעת: אילו הייתה </w:t>
      </w:r>
      <w:proofErr w:type="spellStart"/>
      <w:r>
        <w:rPr>
          <w:sz w:val="20"/>
          <w:szCs w:val="20"/>
          <w:rtl/>
        </w:rPr>
        <w:t>לר</w:t>
      </w:r>
      <w:proofErr w:type="spellEnd"/>
      <w:r>
        <w:rPr>
          <w:sz w:val="20"/>
          <w:szCs w:val="20"/>
          <w:rtl/>
        </w:rPr>
        <w:t xml:space="preserve">׳ לייזר גורדון שאלה תלמודית, הוא, שהיה עסוק מאוד, היה מעדיף לכתוב את שאלתו למספר המצומצם של חכמים שאפשר שהחשיב לגדולים ממנו, במקום להזניח את חובותיו כלפי תלמידיו ועירו ואת מעורבותו בענייני הציבור (ראה הערה 102 להלן) ולצאת למסע ממושך, של יותר מארבע מאות קילומטר, </w:t>
      </w:r>
      <w:proofErr w:type="spellStart"/>
      <w:r>
        <w:rPr>
          <w:sz w:val="20"/>
          <w:szCs w:val="20"/>
          <w:rtl/>
        </w:rPr>
        <w:t>לפרוז׳ני</w:t>
      </w:r>
      <w:proofErr w:type="spellEnd"/>
      <w:r>
        <w:rPr>
          <w:sz w:val="20"/>
          <w:szCs w:val="20"/>
          <w:rtl/>
        </w:rPr>
        <w:t>.</w:t>
      </w:r>
    </w:p>
  </w:footnote>
  <w:footnote w:id="3324">
    <w:p w14:paraId="20F5A6EB" w14:textId="77777777" w:rsidR="00AB3647" w:rsidRDefault="00000000">
      <w:pPr>
        <w:spacing w:after="0" w:before="0"/>
        <w:jc w:val="both"/>
      </w:pPr>
      <w:r>
        <w:rPr>
          <w:sz w:val="20"/>
          <w:szCs w:val="20"/>
          <w:rtl/>
        </w:rPr>
        <w:footnoteRef/>
      </w:r>
      <w:r>
        <w:rPr>
          <w:sz w:val="20"/>
          <w:szCs w:val="20"/>
          <w:rtl/>
        </w:rPr>
        <w:t>. ראה את סוף הפסקה השנייה בנספח יא להלן.</w:t>
      </w:r>
    </w:p>
  </w:footnote>
  <w:footnote w:id="3325">
    <w:p w14:paraId="0B115985" w14:textId="77777777" w:rsidR="00AB3647" w:rsidRDefault="00000000">
      <w:pPr>
        <w:spacing w:after="0" w:before="0"/>
        <w:jc w:val="both"/>
      </w:pPr>
      <w:r>
        <w:rPr>
          <w:sz w:val="20"/>
          <w:szCs w:val="20"/>
          <w:rtl/>
        </w:rPr>
        <w:footnoteRef/>
      </w:r>
      <w:r>
        <w:rPr>
          <w:sz w:val="20"/>
          <w:szCs w:val="20"/>
          <w:rtl/>
        </w:rPr>
        <w:t>. עמ׳ נ–נא.</w:t>
      </w:r>
    </w:p>
  </w:footnote>
  <w:footnote w:id="3326">
    <w:p w14:paraId="33A3F61E" w14:textId="77777777" w:rsidR="00AB3647" w:rsidRDefault="00000000">
      <w:pPr>
        <w:spacing w:after="0" w:before="0"/>
        <w:jc w:val="both"/>
      </w:pPr>
      <w:r>
        <w:rPr>
          <w:sz w:val="20"/>
          <w:szCs w:val="20"/>
          <w:rtl/>
        </w:rPr>
        <w:footnoteRef/>
      </w:r>
      <w:r>
        <w:rPr>
          <w:sz w:val="20"/>
          <w:szCs w:val="20"/>
          <w:rtl/>
        </w:rPr>
        <w:t>. הפסקה השנייה של נספח ב להלן, עמ׳ 431.</w:t>
      </w:r>
    </w:p>
  </w:footnote>
  <w:footnote w:id="3327">
    <w:p w14:paraId="3425BC95" w14:textId="77777777" w:rsidR="00AB3647" w:rsidRDefault="00000000">
      <w:pPr>
        <w:spacing w:after="0" w:before="0"/>
        <w:jc w:val="both"/>
      </w:pPr>
      <w:r>
        <w:rPr>
          <w:sz w:val="20"/>
          <w:szCs w:val="20"/>
          <w:rtl/>
        </w:rPr>
        <w:footnoteRef/>
      </w:r>
      <w:r>
        <w:rPr>
          <w:sz w:val="20"/>
          <w:szCs w:val="20"/>
          <w:rtl/>
        </w:rPr>
        <w:t xml:space="preserve">. לפי ר׳ </w:t>
      </w:r>
      <w:proofErr w:type="spellStart"/>
      <w:r>
        <w:rPr>
          <w:sz w:val="20"/>
          <w:szCs w:val="20"/>
          <w:rtl/>
        </w:rPr>
        <w:t>ישראל־יצחק</w:t>
      </w:r>
      <w:proofErr w:type="spellEnd"/>
      <w:r>
        <w:rPr>
          <w:sz w:val="20"/>
          <w:szCs w:val="20"/>
          <w:rtl/>
        </w:rPr>
        <w:t xml:space="preserve"> </w:t>
      </w:r>
      <w:proofErr w:type="spellStart"/>
      <w:r>
        <w:rPr>
          <w:sz w:val="20"/>
          <w:szCs w:val="20"/>
          <w:rtl/>
        </w:rPr>
        <w:t>קלמנוביץ</w:t>
      </w:r>
      <w:proofErr w:type="spellEnd"/>
      <w:r>
        <w:rPr>
          <w:sz w:val="20"/>
          <w:szCs w:val="20"/>
          <w:rtl/>
        </w:rPr>
        <w:t xml:space="preserve">, שרואיין ב־16 במרץ 1993, התלמיד הזה היה אביו, ר׳ אברהם </w:t>
      </w:r>
      <w:proofErr w:type="spellStart"/>
      <w:r>
        <w:rPr>
          <w:sz w:val="20"/>
          <w:szCs w:val="20"/>
          <w:rtl/>
        </w:rPr>
        <w:t>קלמנוביץ</w:t>
      </w:r>
      <w:proofErr w:type="spellEnd"/>
      <w:r>
        <w:rPr>
          <w:sz w:val="20"/>
          <w:szCs w:val="20"/>
          <w:rtl/>
        </w:rPr>
        <w:t xml:space="preserve"> (השווה כרך 2), ודבריו המדויקים של ר׳ לייזר גורדון היו: “כשהתלמיד הזה דן עמי בשיעורי, אני כמו אלכוהוליסט...”</w:t>
      </w:r>
    </w:p>
  </w:footnote>
  <w:footnote w:id="3328">
    <w:p w14:paraId="26C0783F" w14:textId="77777777" w:rsidR="00AB3647" w:rsidRDefault="00000000">
      <w:pPr>
        <w:spacing w:after="0" w:before="0"/>
        <w:jc w:val="both"/>
      </w:pPr>
      <w:r>
        <w:rPr>
          <w:sz w:val="20"/>
          <w:szCs w:val="20"/>
          <w:rtl/>
        </w:rPr>
        <w:footnoteRef/>
      </w:r>
      <w:r>
        <w:rPr>
          <w:sz w:val="20"/>
          <w:szCs w:val="20"/>
          <w:rtl/>
        </w:rPr>
        <w:t>. ריאיון מ־25 ביוני 1999.</w:t>
      </w:r>
    </w:p>
  </w:footnote>
  <w:footnote w:id="3329">
    <w:p w14:paraId="40D1D3BE" w14:textId="77777777" w:rsidR="00AB3647" w:rsidRDefault="00000000">
      <w:pPr>
        <w:spacing w:after="0" w:before="0"/>
        <w:jc w:val="both"/>
      </w:pPr>
      <w:r>
        <w:rPr>
          <w:sz w:val="20"/>
          <w:szCs w:val="20"/>
          <w:rtl/>
        </w:rPr>
        <w:footnoteRef/>
      </w:r>
      <w:r>
        <w:rPr>
          <w:sz w:val="20"/>
          <w:szCs w:val="20"/>
          <w:rtl/>
        </w:rPr>
        <w:t>. הביוגרפיה שבפתח “ליקוטי תשובות ר׳ אליעזר וחידושיו”.</w:t>
      </w:r>
    </w:p>
  </w:footnote>
  <w:footnote w:id="3330">
    <w:p w14:paraId="4CB4E51B" w14:textId="77777777" w:rsidR="00AB3647" w:rsidRDefault="00000000">
      <w:pPr>
        <w:spacing w:after="0" w:before="0"/>
        <w:jc w:val="both"/>
      </w:pPr>
      <w:r>
        <w:rPr>
          <w:sz w:val="20"/>
          <w:szCs w:val="20"/>
          <w:rtl/>
        </w:rPr>
        <w:footnoteRef/>
      </w:r>
      <w:r>
        <w:rPr>
          <w:sz w:val="20"/>
          <w:szCs w:val="20"/>
          <w:rtl/>
        </w:rPr>
        <w:t>. השווה לספרו של כץ, “תנועת המוסר”, כרך ב, עמ׳ 197.</w:t>
      </w:r>
    </w:p>
  </w:footnote>
  <w:footnote w:id="3331">
    <w:p w14:paraId="52C628C8" w14:textId="77777777" w:rsidR="00AB3647" w:rsidRDefault="00000000">
      <w:pPr>
        <w:spacing w:after="0" w:before="0"/>
        <w:jc w:val="both"/>
      </w:pPr>
      <w:r>
        <w:rPr>
          <w:sz w:val="20"/>
          <w:szCs w:val="20"/>
          <w:rtl/>
        </w:rPr>
        <w:footnoteRef/>
      </w:r>
      <w:r>
        <w:rPr>
          <w:sz w:val="20"/>
          <w:szCs w:val="20"/>
          <w:rtl/>
        </w:rPr>
        <w:t xml:space="preserve">. השווה לפסקה השנייה של נספח ח להלן: הוא מסר גם בישיבתו שלו שלושה שיעורים בשבוע. מכיוון שתלמוד התורה של ר׳ </w:t>
      </w:r>
      <w:proofErr w:type="spellStart"/>
      <w:r>
        <w:rPr>
          <w:sz w:val="20"/>
          <w:szCs w:val="20"/>
          <w:rtl/>
        </w:rPr>
        <w:t>שמחה־זיסל</w:t>
      </w:r>
      <w:proofErr w:type="spellEnd"/>
      <w:r>
        <w:rPr>
          <w:sz w:val="20"/>
          <w:szCs w:val="20"/>
          <w:rtl/>
        </w:rPr>
        <w:t xml:space="preserve"> זיו הציע גם לימודי חול, היה צורך בעיר בישיבה נוספת, רגילה, המוקדשת לתורה בלבד. ראה פרק 3, הפסקה הראשונה של נספח כה: תלמוד התורה נאלץ לעזוב את קלם ולעבור </w:t>
      </w:r>
      <w:proofErr w:type="spellStart"/>
      <w:r>
        <w:rPr>
          <w:sz w:val="20"/>
          <w:szCs w:val="20"/>
          <w:rtl/>
        </w:rPr>
        <w:t>לגרובין</w:t>
      </w:r>
      <w:proofErr w:type="spellEnd"/>
      <w:r>
        <w:rPr>
          <w:sz w:val="20"/>
          <w:szCs w:val="20"/>
          <w:rtl/>
        </w:rPr>
        <w:t xml:space="preserve"> בגלל אופיו הבלתי רגיל.</w:t>
      </w:r>
    </w:p>
  </w:footnote>
  <w:footnote w:id="3332">
    <w:p w14:paraId="171750AF" w14:textId="77777777" w:rsidR="00AB3647" w:rsidRDefault="00000000">
      <w:pPr>
        <w:spacing w:after="0" w:before="0"/>
        <w:jc w:val="both"/>
      </w:pPr>
      <w:r>
        <w:rPr>
          <w:sz w:val="20"/>
          <w:szCs w:val="20"/>
          <w:rtl/>
        </w:rPr>
        <w:footnoteRef/>
      </w:r>
      <w:r>
        <w:rPr>
          <w:sz w:val="20"/>
          <w:szCs w:val="20"/>
          <w:rtl/>
        </w:rPr>
        <w:t>. השווה לסעיף 1 בפרק 3 ולספרו של כץ, “תנועת המוסר”, כרך ג, עמ׳ 31.</w:t>
      </w:r>
    </w:p>
  </w:footnote>
  <w:footnote w:id="3333">
    <w:p w14:paraId="747EFCBF" w14:textId="77777777" w:rsidR="00AB3647" w:rsidRDefault="00000000">
      <w:pPr>
        <w:spacing w:after="0" w:before="0"/>
        <w:jc w:val="both"/>
      </w:pPr>
      <w:r>
        <w:rPr>
          <w:sz w:val="20"/>
          <w:szCs w:val="20"/>
          <w:rtl/>
        </w:rPr>
        <w:footnoteRef/>
      </w:r>
      <w:r>
        <w:rPr>
          <w:sz w:val="20"/>
          <w:szCs w:val="20"/>
          <w:rtl/>
        </w:rPr>
        <w:t>. המקור הנזכר, פרק 3, נספח ט.</w:t>
      </w:r>
    </w:p>
  </w:footnote>
  <w:footnote w:id="3334">
    <w:p w14:paraId="46B32DE9" w14:textId="77777777" w:rsidR="00AB3647" w:rsidRDefault="00000000">
      <w:pPr>
        <w:spacing w:after="0" w:before="0"/>
        <w:jc w:val="both"/>
      </w:pPr>
      <w:r>
        <w:rPr>
          <w:sz w:val="20"/>
          <w:szCs w:val="20"/>
          <w:rtl/>
        </w:rPr>
        <w:footnoteRef/>
      </w:r>
      <w:r>
        <w:rPr>
          <w:sz w:val="20"/>
          <w:szCs w:val="20"/>
          <w:rtl/>
        </w:rPr>
        <w:t>. כץ, “תנועת המוסר”, כרך ב, עמ׳ 428–429.</w:t>
      </w:r>
    </w:p>
  </w:footnote>
  <w:footnote w:id="3335">
    <w:p w14:paraId="62F52DAB" w14:textId="77777777" w:rsidR="00AB3647" w:rsidRDefault="00000000">
      <w:pPr>
        <w:spacing w:after="0" w:before="0"/>
        <w:jc w:val="both"/>
      </w:pPr>
      <w:r>
        <w:rPr>
          <w:sz w:val="20"/>
          <w:szCs w:val="20"/>
          <w:rtl/>
        </w:rPr>
        <w:footnoteRef/>
      </w:r>
      <w:r>
        <w:rPr>
          <w:sz w:val="20"/>
          <w:szCs w:val="20"/>
          <w:rtl/>
        </w:rPr>
        <w:t>. הפסקה השנייה של נספח ח להלן – עמ׳ 31.</w:t>
      </w:r>
    </w:p>
  </w:footnote>
  <w:footnote w:id="3336">
    <w:p w14:paraId="72E5D3C8" w14:textId="77777777" w:rsidR="00AB3647" w:rsidRDefault="00000000">
      <w:pPr>
        <w:spacing w:after="0" w:before="0"/>
        <w:jc w:val="both"/>
      </w:pPr>
      <w:r>
        <w:rPr>
          <w:sz w:val="20"/>
          <w:szCs w:val="20"/>
          <w:rtl/>
        </w:rPr>
        <w:footnoteRef/>
      </w:r>
      <w:r>
        <w:rPr>
          <w:sz w:val="20"/>
          <w:szCs w:val="20"/>
          <w:rtl/>
        </w:rPr>
        <w:t>. המקור הנזכר, פרק 1, הערה 11 – עמ׳ סד.</w:t>
      </w:r>
    </w:p>
  </w:footnote>
  <w:footnote w:id="3337">
    <w:p w14:paraId="75FA979D" w14:textId="77777777" w:rsidR="00AB3647" w:rsidRDefault="00000000">
      <w:pPr>
        <w:spacing w:after="0" w:before="0"/>
        <w:jc w:val="both"/>
      </w:pPr>
      <w:r>
        <w:rPr>
          <w:sz w:val="20"/>
          <w:szCs w:val="20"/>
          <w:rtl/>
        </w:rPr>
        <w:footnoteRef/>
      </w:r>
      <w:r>
        <w:rPr>
          <w:sz w:val="20"/>
          <w:szCs w:val="20"/>
          <w:rtl/>
        </w:rPr>
        <w:t xml:space="preserve">. גם הגאון </w:t>
      </w:r>
      <w:proofErr w:type="spellStart"/>
      <w:r>
        <w:rPr>
          <w:sz w:val="20"/>
          <w:szCs w:val="20"/>
          <w:rtl/>
        </w:rPr>
        <w:t>הרוגצ׳ובי</w:t>
      </w:r>
      <w:proofErr w:type="spellEnd"/>
      <w:r>
        <w:rPr>
          <w:sz w:val="20"/>
          <w:szCs w:val="20"/>
          <w:rtl/>
        </w:rPr>
        <w:t xml:space="preserve"> התנצל פעם ואמר שיודע פסוק מסוים מתוך הגמרא. ומעשה שהיה כך היה: הגאון כתב למאן דהו למה יש הבדל בין אונס ומוציא שם רע שבאחד כתוב “לא יוכל לשלחה” ובאחר כתוב “לא יוכל שלחה”, והוא מפני שבאונס אם </w:t>
      </w:r>
      <w:proofErr w:type="spellStart"/>
      <w:r>
        <w:rPr>
          <w:sz w:val="20"/>
          <w:szCs w:val="20"/>
          <w:rtl/>
        </w:rPr>
        <w:t>ישא</w:t>
      </w:r>
      <w:proofErr w:type="spellEnd"/>
      <w:r>
        <w:rPr>
          <w:sz w:val="20"/>
          <w:szCs w:val="20"/>
          <w:rtl/>
        </w:rPr>
        <w:t xml:space="preserve"> את אחות </w:t>
      </w:r>
      <w:proofErr w:type="spellStart"/>
      <w:r>
        <w:rPr>
          <w:sz w:val="20"/>
          <w:szCs w:val="20"/>
          <w:rtl/>
        </w:rPr>
        <w:t>אנוסתו</w:t>
      </w:r>
      <w:proofErr w:type="spellEnd"/>
      <w:r>
        <w:rPr>
          <w:sz w:val="20"/>
          <w:szCs w:val="20"/>
          <w:rtl/>
        </w:rPr>
        <w:t xml:space="preserve"> טרם יקיים את “ולו תהיה לאשה” ג״כ יעבור על איסור הלאו, </w:t>
      </w:r>
      <w:proofErr w:type="spellStart"/>
      <w:r>
        <w:rPr>
          <w:sz w:val="20"/>
          <w:szCs w:val="20"/>
          <w:rtl/>
        </w:rPr>
        <w:t>משא״כ</w:t>
      </w:r>
      <w:proofErr w:type="spellEnd"/>
      <w:r>
        <w:rPr>
          <w:sz w:val="20"/>
          <w:szCs w:val="20"/>
          <w:rtl/>
        </w:rPr>
        <w:t xml:space="preserve"> במוציא שם רע שהיא כבר אשתו לא </w:t>
      </w:r>
      <w:proofErr w:type="spellStart"/>
      <w:r>
        <w:rPr>
          <w:sz w:val="20"/>
          <w:szCs w:val="20"/>
          <w:rtl/>
        </w:rPr>
        <w:t>יצוייר</w:t>
      </w:r>
      <w:proofErr w:type="spellEnd"/>
      <w:r>
        <w:rPr>
          <w:sz w:val="20"/>
          <w:szCs w:val="20"/>
          <w:rtl/>
        </w:rPr>
        <w:t xml:space="preserve"> אופן כזה. ולכן כתוב אצל אונס המלה לשלחה, בתוספת למ״ד, לרבות את החידוש הזה. כשהגיעו הדברים לידי הרב שלמה יוסף </w:t>
      </w:r>
      <w:proofErr w:type="spellStart"/>
      <w:r>
        <w:rPr>
          <w:sz w:val="20"/>
          <w:szCs w:val="20"/>
          <w:rtl/>
        </w:rPr>
        <w:t>זוין</w:t>
      </w:r>
      <w:proofErr w:type="spellEnd"/>
      <w:r>
        <w:rPr>
          <w:sz w:val="20"/>
          <w:szCs w:val="20"/>
          <w:rtl/>
        </w:rPr>
        <w:t xml:space="preserve"> (שהוסמך על ידי </w:t>
      </w:r>
      <w:proofErr w:type="spellStart"/>
      <w:r>
        <w:rPr>
          <w:sz w:val="20"/>
          <w:szCs w:val="20"/>
          <w:rtl/>
        </w:rPr>
        <w:t>הרוגצ׳ובי</w:t>
      </w:r>
      <w:proofErr w:type="spellEnd"/>
      <w:r>
        <w:rPr>
          <w:sz w:val="20"/>
          <w:szCs w:val="20"/>
          <w:rtl/>
        </w:rPr>
        <w:t xml:space="preserve">) שלח לו מכתב כי “מצא בספר קטן ישן נושן, וחומש שמו” שכתוב להיפך, דהיינו שהאות למ״ד הנה בפסוק שבמוציא שם רע לא שבאונס. והוסיף כי סובר שמשום שהגאון רגיל לבטל דברי האחרונים נענש לבוא לכלל טעות בפסוק בתורה. הגאון ענה לו: “והוא רחום יכפר עוון וא״א ללמוד בלי </w:t>
      </w:r>
      <w:proofErr w:type="spellStart"/>
      <w:r>
        <w:rPr>
          <w:sz w:val="20"/>
          <w:szCs w:val="20"/>
          <w:rtl/>
        </w:rPr>
        <w:t>טעותים</w:t>
      </w:r>
      <w:proofErr w:type="spellEnd"/>
      <w:r>
        <w:rPr>
          <w:sz w:val="20"/>
          <w:szCs w:val="20"/>
          <w:rtl/>
        </w:rPr>
        <w:t xml:space="preserve"> והקב״ה יצילנו משגיאות, </w:t>
      </w:r>
      <w:proofErr w:type="spellStart"/>
      <w:r>
        <w:rPr>
          <w:sz w:val="20"/>
          <w:szCs w:val="20"/>
          <w:rtl/>
        </w:rPr>
        <w:t>ובמח״כ</w:t>
      </w:r>
      <w:proofErr w:type="spellEnd"/>
      <w:r>
        <w:rPr>
          <w:sz w:val="20"/>
          <w:szCs w:val="20"/>
          <w:rtl/>
        </w:rPr>
        <w:t xml:space="preserve"> אף הרמב״ם טעה בפסוק זה”, והמשיך להתפלפל בדברי הרמב״ם פ״א מהל׳ נערה בתולה (ועי׳ ספר החינוך ריש מצוה תקנ״ח והמנחת חינוך על אתר), והסיק “ולמה טעיתי? בגלל </w:t>
      </w:r>
      <w:proofErr w:type="spellStart"/>
      <w:r>
        <w:rPr>
          <w:sz w:val="20"/>
          <w:szCs w:val="20"/>
          <w:rtl/>
        </w:rPr>
        <w:t>גירסת</w:t>
      </w:r>
      <w:proofErr w:type="spellEnd"/>
      <w:r>
        <w:rPr>
          <w:sz w:val="20"/>
          <w:szCs w:val="20"/>
          <w:rtl/>
        </w:rPr>
        <w:t xml:space="preserve"> </w:t>
      </w:r>
      <w:proofErr w:type="spellStart"/>
      <w:r>
        <w:rPr>
          <w:sz w:val="20"/>
          <w:szCs w:val="20"/>
          <w:rtl/>
        </w:rPr>
        <w:t>הגמ</w:t>
      </w:r>
      <w:proofErr w:type="spellEnd"/>
      <w:r>
        <w:rPr>
          <w:sz w:val="20"/>
          <w:szCs w:val="20"/>
          <w:rtl/>
        </w:rPr>
        <w:t xml:space="preserve">’ גיטין דף צ׳ ע״א שם הובא הפסוק באונס עם למ״ד”. הסיפור נמסר למחבר בכ״ב באלול תשנ״ה ע״י נכדו של בעל המעשה, הרב נחום </w:t>
      </w:r>
      <w:proofErr w:type="spellStart"/>
      <w:r>
        <w:rPr>
          <w:sz w:val="20"/>
          <w:szCs w:val="20"/>
          <w:rtl/>
        </w:rPr>
        <w:t>זוין</w:t>
      </w:r>
      <w:proofErr w:type="spellEnd"/>
      <w:r>
        <w:rPr>
          <w:sz w:val="20"/>
          <w:szCs w:val="20"/>
          <w:rtl/>
        </w:rPr>
        <w:t xml:space="preserve">. הטעות של </w:t>
      </w:r>
      <w:proofErr w:type="spellStart"/>
      <w:r>
        <w:rPr>
          <w:sz w:val="20"/>
          <w:szCs w:val="20"/>
          <w:rtl/>
        </w:rPr>
        <w:t>הרוגצ׳ובי</w:t>
      </w:r>
      <w:proofErr w:type="spellEnd"/>
      <w:r>
        <w:rPr>
          <w:sz w:val="20"/>
          <w:szCs w:val="20"/>
          <w:rtl/>
        </w:rPr>
        <w:t xml:space="preserve"> הודפסה בקונטרס בירור הלכות בש״ס עמ׳ ד׳ ע״ב והושג עליה </w:t>
      </w:r>
      <w:proofErr w:type="spellStart"/>
      <w:r>
        <w:rPr>
          <w:sz w:val="20"/>
          <w:szCs w:val="20"/>
          <w:rtl/>
        </w:rPr>
        <w:t>בשו״ת</w:t>
      </w:r>
      <w:proofErr w:type="spellEnd"/>
      <w:r>
        <w:rPr>
          <w:sz w:val="20"/>
          <w:szCs w:val="20"/>
          <w:rtl/>
        </w:rPr>
        <w:t xml:space="preserve"> צפנת פענח (</w:t>
      </w:r>
      <w:proofErr w:type="spellStart"/>
      <w:r>
        <w:rPr>
          <w:sz w:val="20"/>
          <w:szCs w:val="20"/>
          <w:rtl/>
        </w:rPr>
        <w:t>וורשא</w:t>
      </w:r>
      <w:proofErr w:type="spellEnd"/>
      <w:r>
        <w:rPr>
          <w:sz w:val="20"/>
          <w:szCs w:val="20"/>
          <w:rtl/>
        </w:rPr>
        <w:t xml:space="preserve">, ונדפס מחדש </w:t>
      </w:r>
      <w:proofErr w:type="spellStart"/>
      <w:r>
        <w:rPr>
          <w:sz w:val="20"/>
          <w:szCs w:val="20"/>
          <w:rtl/>
        </w:rPr>
        <w:t>בניו־יורק</w:t>
      </w:r>
      <w:proofErr w:type="spellEnd"/>
      <w:r>
        <w:rPr>
          <w:sz w:val="20"/>
          <w:szCs w:val="20"/>
          <w:rtl/>
        </w:rPr>
        <w:t xml:space="preserve">, תשי״ד), סימן רי״ג, </w:t>
      </w:r>
      <w:proofErr w:type="spellStart"/>
      <w:r>
        <w:rPr>
          <w:sz w:val="20"/>
          <w:szCs w:val="20"/>
          <w:rtl/>
        </w:rPr>
        <w:t>ועיי״ש</w:t>
      </w:r>
      <w:proofErr w:type="spellEnd"/>
      <w:r>
        <w:rPr>
          <w:sz w:val="20"/>
          <w:szCs w:val="20"/>
          <w:rtl/>
        </w:rPr>
        <w:t xml:space="preserve"> איך התנצל </w:t>
      </w:r>
      <w:proofErr w:type="spellStart"/>
      <w:r>
        <w:rPr>
          <w:sz w:val="20"/>
          <w:szCs w:val="20"/>
          <w:rtl/>
        </w:rPr>
        <w:t>הרוגצ׳ובר</w:t>
      </w:r>
      <w:proofErr w:type="spellEnd"/>
      <w:r>
        <w:rPr>
          <w:sz w:val="20"/>
          <w:szCs w:val="20"/>
          <w:rtl/>
        </w:rPr>
        <w:t xml:space="preserve">. (הובא בספר משמר הלוי </w:t>
      </w:r>
      <w:proofErr w:type="spellStart"/>
      <w:r>
        <w:rPr>
          <w:sz w:val="20"/>
          <w:szCs w:val="20"/>
          <w:rtl/>
        </w:rPr>
        <w:t>לרמ״מ</w:t>
      </w:r>
      <w:proofErr w:type="spellEnd"/>
      <w:r>
        <w:rPr>
          <w:sz w:val="20"/>
          <w:szCs w:val="20"/>
          <w:rtl/>
        </w:rPr>
        <w:t xml:space="preserve"> </w:t>
      </w:r>
      <w:proofErr w:type="spellStart"/>
      <w:r>
        <w:rPr>
          <w:sz w:val="20"/>
          <w:szCs w:val="20"/>
          <w:rtl/>
        </w:rPr>
        <w:t>שולזינגר</w:t>
      </w:r>
      <w:proofErr w:type="spellEnd"/>
      <w:r>
        <w:rPr>
          <w:sz w:val="20"/>
          <w:szCs w:val="20"/>
          <w:rtl/>
        </w:rPr>
        <w:t>, עמ׳ ס.)</w:t>
      </w:r>
    </w:p>
    <w:p w14:paraId="29975AE5" w14:textId="77777777" w:rsidR="00AB3647" w:rsidRDefault="00000000">
      <w:pPr>
        <w:spacing w:after="0" w:before="0"/>
        <w:jc w:val="both"/>
      </w:pPr>
      <w:r>
        <w:rPr>
          <w:sz w:val="20"/>
          <w:szCs w:val="20"/>
          <w:rtl/>
        </w:rPr>
        <w:t xml:space="preserve">ובני הרב יוסף העירני על עוד תופעה של “אגב חורפיה לא עיין בה (עירובין צ׳ ע״א)” אצל גדול קדמון המהר״ל מפראג שהסביר בספרו דרך חיים (פרקי אבות ה׳ מי״ט) למה באברהם אבינו כתוב “ושני נעריו עמו” ובבלעם כתוב “ושני נעריו אתו”, והיפך הפסוקים, ומהמגיד </w:t>
      </w:r>
      <w:proofErr w:type="spellStart"/>
      <w:r>
        <w:rPr>
          <w:sz w:val="20"/>
          <w:szCs w:val="20"/>
          <w:rtl/>
        </w:rPr>
        <w:t>מקוזניץ</w:t>
      </w:r>
      <w:proofErr w:type="spellEnd"/>
      <w:r>
        <w:rPr>
          <w:sz w:val="20"/>
          <w:szCs w:val="20"/>
          <w:rtl/>
        </w:rPr>
        <w:t xml:space="preserve"> כתוב (כפי שהובא בסוף ספרו של המהר״ל באר הגולה) “שאין זה אלא שגגת המעתיקים והמדפיסים אשר הבינו דברי הספר על פשוטו, אמנם המחבר </w:t>
      </w:r>
      <w:proofErr w:type="spellStart"/>
      <w:r>
        <w:rPr>
          <w:sz w:val="20"/>
          <w:szCs w:val="20"/>
          <w:rtl/>
        </w:rPr>
        <w:t>הק</w:t>
      </w:r>
      <w:proofErr w:type="spellEnd"/>
      <w:r>
        <w:rPr>
          <w:sz w:val="20"/>
          <w:szCs w:val="20"/>
          <w:rtl/>
        </w:rPr>
        <w:t xml:space="preserve">׳ די רוח </w:t>
      </w:r>
      <w:proofErr w:type="spellStart"/>
      <w:r>
        <w:rPr>
          <w:sz w:val="20"/>
          <w:szCs w:val="20"/>
          <w:rtl/>
        </w:rPr>
        <w:t>א־להין</w:t>
      </w:r>
      <w:proofErr w:type="spellEnd"/>
      <w:r>
        <w:rPr>
          <w:sz w:val="20"/>
          <w:szCs w:val="20"/>
          <w:rtl/>
        </w:rPr>
        <w:t xml:space="preserve"> </w:t>
      </w:r>
      <w:proofErr w:type="spellStart"/>
      <w:r>
        <w:rPr>
          <w:sz w:val="20"/>
          <w:szCs w:val="20"/>
          <w:rtl/>
        </w:rPr>
        <w:t>קדישין</w:t>
      </w:r>
      <w:proofErr w:type="spellEnd"/>
      <w:r>
        <w:rPr>
          <w:sz w:val="20"/>
          <w:szCs w:val="20"/>
          <w:rtl/>
        </w:rPr>
        <w:t xml:space="preserve"> ביה מאד עמקו מחשבותיו”. אבל גם בחידושי אגדות היפך הפסוקים, וגם עיין בלשונו של המהר״ל בחידושי אגדות חולין צ״א ע״א, ואף שמעתי שר׳ מנחם מנדל מורגנשטרן, האדמו״ר </w:t>
      </w:r>
      <w:proofErr w:type="spellStart"/>
      <w:r>
        <w:rPr>
          <w:sz w:val="20"/>
          <w:szCs w:val="20"/>
          <w:rtl/>
        </w:rPr>
        <w:t>מקוצק</w:t>
      </w:r>
      <w:proofErr w:type="spellEnd"/>
      <w:r>
        <w:rPr>
          <w:sz w:val="20"/>
          <w:szCs w:val="20"/>
          <w:rtl/>
        </w:rPr>
        <w:t>, אמר שמן השמים נכשל המהר״ל בטעות זו כדי שנדע שהיה בשר ודם ולא מלאך.</w:t>
      </w:r>
    </w:p>
  </w:footnote>
  <w:footnote w:id="3338">
    <w:p w14:paraId="2E86DC95" w14:textId="77777777" w:rsidR="00AB3647" w:rsidRDefault="00000000">
      <w:pPr>
        <w:spacing w:after="0" w:before="0"/>
        <w:jc w:val="both"/>
      </w:pPr>
      <w:r>
        <w:rPr>
          <w:sz w:val="20"/>
          <w:szCs w:val="20"/>
          <w:rtl/>
        </w:rPr>
        <w:footnoteRef/>
      </w:r>
      <w:r>
        <w:rPr>
          <w:sz w:val="20"/>
          <w:szCs w:val="20"/>
          <w:rtl/>
        </w:rPr>
        <w:t>. עמ׳ 23.</w:t>
      </w:r>
    </w:p>
  </w:footnote>
  <w:footnote w:id="3339">
    <w:p w14:paraId="06C90E5C" w14:textId="77777777" w:rsidR="00AB3647" w:rsidRDefault="00000000">
      <w:pPr>
        <w:spacing w:after="0" w:before="0"/>
        <w:jc w:val="both"/>
      </w:pPr>
      <w:r>
        <w:rPr>
          <w:sz w:val="20"/>
          <w:szCs w:val="20"/>
          <w:rtl/>
        </w:rPr>
        <w:footnoteRef/>
      </w:r>
      <w:r>
        <w:rPr>
          <w:sz w:val="20"/>
          <w:szCs w:val="20"/>
          <w:rtl/>
        </w:rPr>
        <w:t>. עמ׳ 198.</w:t>
      </w:r>
    </w:p>
  </w:footnote>
  <w:footnote w:id="3340">
    <w:p w14:paraId="6A3884CF" w14:textId="77777777" w:rsidR="00AB3647" w:rsidRDefault="00000000">
      <w:pPr>
        <w:spacing w:after="0" w:before="0"/>
        <w:jc w:val="both"/>
      </w:pPr>
      <w:r>
        <w:rPr>
          <w:sz w:val="20"/>
          <w:szCs w:val="20"/>
          <w:rtl/>
        </w:rPr>
        <w:footnoteRef/>
      </w:r>
      <w:r>
        <w:rPr>
          <w:sz w:val="20"/>
          <w:szCs w:val="20"/>
          <w:rtl/>
        </w:rPr>
        <w:t>. פרק 1, נספח ו.</w:t>
      </w:r>
    </w:p>
  </w:footnote>
  <w:footnote w:id="3341">
    <w:p w14:paraId="154BEB8B" w14:textId="77777777" w:rsidR="00AB3647" w:rsidRDefault="00000000">
      <w:pPr>
        <w:spacing w:after="0" w:before="0"/>
        <w:jc w:val="both"/>
      </w:pPr>
      <w:r>
        <w:rPr>
          <w:sz w:val="20"/>
          <w:szCs w:val="20"/>
          <w:rtl/>
        </w:rPr>
        <w:footnoteRef/>
      </w:r>
      <w:r>
        <w:rPr>
          <w:sz w:val="20"/>
          <w:szCs w:val="20"/>
          <w:rtl/>
        </w:rPr>
        <w:t>. עמ׳ מו.</w:t>
      </w:r>
    </w:p>
  </w:footnote>
  <w:footnote w:id="3342">
    <w:p w14:paraId="1C97EE05" w14:textId="77777777" w:rsidR="00AB3647" w:rsidRDefault="00000000">
      <w:pPr>
        <w:spacing w:after="0" w:before="0"/>
        <w:jc w:val="both"/>
      </w:pPr>
      <w:r>
        <w:rPr>
          <w:sz w:val="20"/>
          <w:szCs w:val="20"/>
          <w:rtl/>
        </w:rPr>
        <w:footnoteRef/>
      </w:r>
      <w:r>
        <w:rPr>
          <w:sz w:val="20"/>
          <w:szCs w:val="20"/>
          <w:rtl/>
        </w:rPr>
        <w:t>. המקור הנזכר, פרק 3, נספח ט – עמ׳ 75.</w:t>
      </w:r>
    </w:p>
  </w:footnote>
  <w:footnote w:id="3343">
    <w:p w14:paraId="0B92E3FA" w14:textId="77777777" w:rsidR="00AB3647" w:rsidRDefault="00000000">
      <w:pPr>
        <w:spacing w:after="0" w:before="0"/>
        <w:jc w:val="both"/>
      </w:pPr>
      <w:r>
        <w:rPr>
          <w:sz w:val="20"/>
          <w:szCs w:val="20"/>
          <w:rtl/>
        </w:rPr>
        <w:footnoteRef/>
      </w:r>
      <w:r>
        <w:rPr>
          <w:sz w:val="20"/>
          <w:szCs w:val="20"/>
          <w:rtl/>
        </w:rPr>
        <w:t xml:space="preserve">. לפי פנקס “הגדול” (המקור הנזכר, פרק 1, נספח ו), עמ׳ 176, ביקר </w:t>
      </w:r>
      <w:proofErr w:type="spellStart"/>
      <w:r>
        <w:rPr>
          <w:sz w:val="20"/>
          <w:szCs w:val="20"/>
          <w:rtl/>
        </w:rPr>
        <w:t>ה“גדול</w:t>
      </w:r>
      <w:proofErr w:type="spellEnd"/>
      <w:r>
        <w:rPr>
          <w:sz w:val="20"/>
          <w:szCs w:val="20"/>
          <w:rtl/>
        </w:rPr>
        <w:t xml:space="preserve">” בעיר </w:t>
      </w:r>
      <w:proofErr w:type="spellStart"/>
      <w:r>
        <w:rPr>
          <w:sz w:val="20"/>
          <w:szCs w:val="20"/>
          <w:rtl/>
        </w:rPr>
        <w:t>בתרנ״ג</w:t>
      </w:r>
      <w:proofErr w:type="spellEnd"/>
      <w:r>
        <w:rPr>
          <w:sz w:val="20"/>
          <w:szCs w:val="20"/>
          <w:rtl/>
        </w:rPr>
        <w:t xml:space="preserve">. אבל ראה את העתק מכתב ההסכמה לישיבת </w:t>
      </w:r>
      <w:proofErr w:type="spellStart"/>
      <w:r>
        <w:rPr>
          <w:sz w:val="20"/>
          <w:szCs w:val="20"/>
          <w:rtl/>
        </w:rPr>
        <w:t>טלז</w:t>
      </w:r>
      <w:proofErr w:type="spellEnd"/>
      <w:r>
        <w:rPr>
          <w:sz w:val="20"/>
          <w:szCs w:val="20"/>
          <w:rtl/>
        </w:rPr>
        <w:t xml:space="preserve"> </w:t>
      </w:r>
      <w:proofErr w:type="spellStart"/>
      <w:r>
        <w:rPr>
          <w:sz w:val="20"/>
          <w:szCs w:val="20"/>
          <w:rtl/>
        </w:rPr>
        <w:t>ב“שנות</w:t>
      </w:r>
      <w:proofErr w:type="spellEnd"/>
      <w:r>
        <w:rPr>
          <w:sz w:val="20"/>
          <w:szCs w:val="20"/>
          <w:rtl/>
        </w:rPr>
        <w:t xml:space="preserve"> דור ודור” שיצא לאור לאחרונה (סוף נספח ז להלן), עמ׳ </w:t>
      </w:r>
      <w:proofErr w:type="spellStart"/>
      <w:r>
        <w:rPr>
          <w:sz w:val="20"/>
          <w:szCs w:val="20"/>
          <w:rtl/>
        </w:rPr>
        <w:t>רלו</w:t>
      </w:r>
      <w:proofErr w:type="spellEnd"/>
      <w:r>
        <w:rPr>
          <w:sz w:val="20"/>
          <w:szCs w:val="20"/>
          <w:rtl/>
        </w:rPr>
        <w:t xml:space="preserve">: </w:t>
      </w:r>
      <w:proofErr w:type="spellStart"/>
      <w:r>
        <w:rPr>
          <w:sz w:val="20"/>
          <w:szCs w:val="20"/>
          <w:rtl/>
        </w:rPr>
        <w:t>ה“גדול</w:t>
      </w:r>
      <w:proofErr w:type="spellEnd"/>
      <w:r>
        <w:rPr>
          <w:sz w:val="20"/>
          <w:szCs w:val="20"/>
          <w:rtl/>
        </w:rPr>
        <w:t xml:space="preserve">” כתב אותו בעת ביקור </w:t>
      </w:r>
      <w:proofErr w:type="spellStart"/>
      <w:r>
        <w:rPr>
          <w:sz w:val="20"/>
          <w:szCs w:val="20"/>
          <w:rtl/>
        </w:rPr>
        <w:t>בטלז</w:t>
      </w:r>
      <w:proofErr w:type="spellEnd"/>
      <w:r>
        <w:rPr>
          <w:sz w:val="20"/>
          <w:szCs w:val="20"/>
          <w:rtl/>
        </w:rPr>
        <w:t xml:space="preserve"> שנתיים קודם לכן, בי״ג בשבט תרמ״ט. כבר היו אז 250 תלמידים בישיבה.</w:t>
      </w:r>
    </w:p>
  </w:footnote>
  <w:footnote w:id="3344">
    <w:p w14:paraId="1D409D1A" w14:textId="77777777" w:rsidR="00AB3647" w:rsidRDefault="00000000">
      <w:pPr>
        <w:spacing w:after="0" w:before="0"/>
        <w:jc w:val="both"/>
      </w:pPr>
      <w:r>
        <w:rPr>
          <w:rStyle w:val="a5"/>
          <w:vertAlign w:val="superscript"/>
          <w:rtl/>
        </w:rPr>
        <w:footnoteRef/>
      </w:r>
      <w:r>
        <w:rPr>
          <w:sz w:val="20"/>
          <w:szCs w:val="20"/>
        </w:rPr>
        <w:t xml:space="preserve"> </w:t>
      </w:r>
      <w:r>
        <w:rPr>
          <w:sz w:val="20"/>
          <w:szCs w:val="20"/>
          <w:rtl/>
        </w:rPr>
        <w:t xml:space="preserve">הערת המתרגם: בין שבט תרמ״ט </w:t>
      </w:r>
      <w:proofErr w:type="spellStart"/>
      <w:r>
        <w:rPr>
          <w:sz w:val="20"/>
          <w:szCs w:val="20"/>
          <w:rtl/>
        </w:rPr>
        <w:t>לתרנ״ג</w:t>
      </w:r>
      <w:proofErr w:type="spellEnd"/>
      <w:r>
        <w:rPr>
          <w:sz w:val="20"/>
          <w:szCs w:val="20"/>
          <w:rtl/>
        </w:rPr>
        <w:t xml:space="preserve"> עברו כארבע שנים, ולא שתיים.</w:t>
      </w:r>
    </w:p>
  </w:footnote>
  <w:footnote w:id="3345">
    <w:p w14:paraId="52D7B986" w14:textId="77777777" w:rsidR="00AB3647" w:rsidRDefault="00000000">
      <w:pPr>
        <w:spacing w:after="0" w:before="0"/>
        <w:jc w:val="both"/>
      </w:pPr>
      <w:r>
        <w:rPr>
          <w:sz w:val="20"/>
          <w:szCs w:val="20"/>
          <w:rtl/>
        </w:rPr>
        <w:footnoteRef/>
      </w:r>
      <w:r>
        <w:rPr>
          <w:sz w:val="20"/>
          <w:szCs w:val="20"/>
          <w:rtl/>
        </w:rPr>
        <w:t xml:space="preserve">. עמ׳ </w:t>
      </w:r>
      <w:proofErr w:type="spellStart"/>
      <w:r>
        <w:rPr>
          <w:sz w:val="20"/>
          <w:szCs w:val="20"/>
          <w:rtl/>
        </w:rPr>
        <w:t>נז</w:t>
      </w:r>
      <w:proofErr w:type="spellEnd"/>
      <w:r>
        <w:rPr>
          <w:sz w:val="20"/>
          <w:szCs w:val="20"/>
          <w:rtl/>
        </w:rPr>
        <w:t xml:space="preserve"> – בשם ר׳ אפרים </w:t>
      </w:r>
      <w:proofErr w:type="spellStart"/>
      <w:r>
        <w:rPr>
          <w:sz w:val="20"/>
          <w:szCs w:val="20"/>
          <w:rtl/>
        </w:rPr>
        <w:t>בורודיאנסקי</w:t>
      </w:r>
      <w:proofErr w:type="spellEnd"/>
      <w:r>
        <w:rPr>
          <w:sz w:val="20"/>
          <w:szCs w:val="20"/>
          <w:rtl/>
        </w:rPr>
        <w:t>.</w:t>
      </w:r>
    </w:p>
  </w:footnote>
  <w:footnote w:id="3346">
    <w:p w14:paraId="38F523AB" w14:textId="77777777" w:rsidR="00AB3647" w:rsidRDefault="00000000">
      <w:pPr>
        <w:spacing w:after="0" w:before="0"/>
        <w:jc w:val="both"/>
      </w:pPr>
      <w:r>
        <w:rPr>
          <w:sz w:val="20"/>
          <w:szCs w:val="20"/>
          <w:rtl/>
        </w:rPr>
        <w:footnoteRef/>
      </w:r>
      <w:r>
        <w:rPr>
          <w:sz w:val="20"/>
          <w:szCs w:val="20"/>
          <w:rtl/>
        </w:rPr>
        <w:t>. פרק 3, הערה 42 – עמ׳ 6.</w:t>
      </w:r>
    </w:p>
  </w:footnote>
  <w:footnote w:id="3347">
    <w:p w14:paraId="2F6636BB" w14:textId="77777777" w:rsidR="00AB3647" w:rsidRDefault="00000000">
      <w:pPr>
        <w:spacing w:after="0" w:before="0"/>
        <w:jc w:val="both"/>
      </w:pPr>
      <w:r>
        <w:rPr>
          <w:sz w:val="20"/>
          <w:szCs w:val="20"/>
          <w:rtl/>
        </w:rPr>
        <w:footnoteRef/>
      </w:r>
      <w:r>
        <w:rPr>
          <w:sz w:val="20"/>
          <w:szCs w:val="20"/>
          <w:rtl/>
        </w:rPr>
        <w:t>. ו׳ ע״ב.</w:t>
      </w:r>
    </w:p>
  </w:footnote>
  <w:footnote w:id="3348">
    <w:p w14:paraId="7F4E7514" w14:textId="77777777" w:rsidR="00AB3647" w:rsidRDefault="00000000">
      <w:pPr>
        <w:spacing w:after="0" w:before="0"/>
        <w:jc w:val="both"/>
      </w:pPr>
      <w:r>
        <w:rPr>
          <w:sz w:val="20"/>
          <w:szCs w:val="20"/>
          <w:rtl/>
        </w:rPr>
        <w:footnoteRef/>
      </w:r>
      <w:r>
        <w:rPr>
          <w:sz w:val="20"/>
          <w:szCs w:val="20"/>
          <w:rtl/>
        </w:rPr>
        <w:t xml:space="preserve">. על פי ויקרא </w:t>
      </w:r>
      <w:proofErr w:type="spellStart"/>
      <w:r>
        <w:rPr>
          <w:sz w:val="20"/>
          <w:szCs w:val="20"/>
          <w:rtl/>
        </w:rPr>
        <w:t>טז:ב,ג</w:t>
      </w:r>
      <w:proofErr w:type="spellEnd"/>
      <w:r>
        <w:rPr>
          <w:sz w:val="20"/>
          <w:szCs w:val="20"/>
          <w:rtl/>
        </w:rPr>
        <w:t>.</w:t>
      </w:r>
    </w:p>
  </w:footnote>
  <w:footnote w:id="3349">
    <w:p w14:paraId="7FEE759A" w14:textId="77777777" w:rsidR="00AB3647" w:rsidRDefault="00000000">
      <w:pPr>
        <w:spacing w:after="0" w:before="0"/>
        <w:jc w:val="both"/>
      </w:pPr>
      <w:r>
        <w:rPr>
          <w:sz w:val="20"/>
          <w:szCs w:val="20"/>
          <w:rtl/>
        </w:rPr>
        <w:footnoteRef/>
      </w:r>
      <w:r>
        <w:rPr>
          <w:sz w:val="20"/>
          <w:szCs w:val="20"/>
          <w:rtl/>
        </w:rPr>
        <w:t xml:space="preserve">. מרשימות ר׳ </w:t>
      </w:r>
      <w:proofErr w:type="spellStart"/>
      <w:r>
        <w:rPr>
          <w:sz w:val="20"/>
          <w:szCs w:val="20"/>
          <w:rtl/>
        </w:rPr>
        <w:t>אברהם־חיים</w:t>
      </w:r>
      <w:proofErr w:type="spellEnd"/>
      <w:r>
        <w:rPr>
          <w:sz w:val="20"/>
          <w:szCs w:val="20"/>
          <w:rtl/>
        </w:rPr>
        <w:t xml:space="preserve"> </w:t>
      </w:r>
      <w:proofErr w:type="spellStart"/>
      <w:r>
        <w:rPr>
          <w:sz w:val="20"/>
          <w:szCs w:val="20"/>
          <w:rtl/>
        </w:rPr>
        <w:t>פויער</w:t>
      </w:r>
      <w:proofErr w:type="spellEnd"/>
      <w:r>
        <w:rPr>
          <w:sz w:val="20"/>
          <w:szCs w:val="20"/>
          <w:rtl/>
        </w:rPr>
        <w:t xml:space="preserve"> – ראה פרק 1, הערה 32.</w:t>
      </w:r>
    </w:p>
  </w:footnote>
  <w:footnote w:id="3350">
    <w:p w14:paraId="7A22802A" w14:textId="77777777" w:rsidR="00AB3647" w:rsidRDefault="00000000">
      <w:pPr>
        <w:spacing w:after="0" w:before="0"/>
        <w:jc w:val="both"/>
      </w:pPr>
      <w:r>
        <w:rPr>
          <w:sz w:val="20"/>
          <w:szCs w:val="20"/>
          <w:rtl/>
        </w:rPr>
        <w:footnoteRef/>
      </w:r>
      <w:r>
        <w:rPr>
          <w:sz w:val="20"/>
          <w:szCs w:val="20"/>
          <w:rtl/>
        </w:rPr>
        <w:t xml:space="preserve">. כפי שצוטט בספרו של </w:t>
      </w:r>
      <w:proofErr w:type="spellStart"/>
      <w:r>
        <w:rPr>
          <w:sz w:val="20"/>
          <w:szCs w:val="20"/>
          <w:rtl/>
        </w:rPr>
        <w:t>רבינר</w:t>
      </w:r>
      <w:proofErr w:type="spellEnd"/>
      <w:r>
        <w:rPr>
          <w:sz w:val="20"/>
          <w:szCs w:val="20"/>
          <w:rtl/>
        </w:rPr>
        <w:t xml:space="preserve">, “הגאון רבי אליעזר גורדון”, עמ׳ </w:t>
      </w:r>
      <w:proofErr w:type="spellStart"/>
      <w:r>
        <w:rPr>
          <w:sz w:val="20"/>
          <w:szCs w:val="20"/>
          <w:rtl/>
        </w:rPr>
        <w:t>רטו</w:t>
      </w:r>
      <w:proofErr w:type="spellEnd"/>
      <w:r>
        <w:rPr>
          <w:sz w:val="20"/>
          <w:szCs w:val="20"/>
          <w:rtl/>
        </w:rPr>
        <w:t>.</w:t>
      </w:r>
    </w:p>
  </w:footnote>
  <w:footnote w:id="3351">
    <w:p w14:paraId="189BC8C4" w14:textId="77777777" w:rsidR="00AB3647" w:rsidRDefault="00000000">
      <w:pPr>
        <w:spacing w:after="0" w:before="0"/>
        <w:jc w:val="both"/>
      </w:pPr>
      <w:r>
        <w:rPr>
          <w:sz w:val="20"/>
          <w:szCs w:val="20"/>
          <w:rtl/>
        </w:rPr>
        <w:footnoteRef/>
      </w:r>
      <w:r>
        <w:rPr>
          <w:sz w:val="20"/>
          <w:szCs w:val="20"/>
          <w:rtl/>
        </w:rPr>
        <w:t>. מצוטט שם, עמ׳ כ.</w:t>
      </w:r>
    </w:p>
  </w:footnote>
  <w:footnote w:id="3352">
    <w:p w14:paraId="2B71C445" w14:textId="77777777" w:rsidR="00AB3647" w:rsidRDefault="00000000">
      <w:pPr>
        <w:spacing w:after="0" w:before="0"/>
        <w:jc w:val="both"/>
      </w:pPr>
      <w:r>
        <w:rPr>
          <w:sz w:val="20"/>
          <w:szCs w:val="20"/>
          <w:rtl/>
        </w:rPr>
        <w:footnoteRef/>
      </w:r>
      <w:r>
        <w:rPr>
          <w:sz w:val="20"/>
          <w:szCs w:val="20"/>
          <w:rtl/>
        </w:rPr>
        <w:t>. לפי הביוגרפיה שבפתח “ליקוטי תשובות ר׳ אליעזר וחידושיו”.</w:t>
      </w:r>
    </w:p>
  </w:footnote>
  <w:footnote w:id="3353">
    <w:p w14:paraId="46836654" w14:textId="77777777" w:rsidR="00AB3647" w:rsidRDefault="00000000">
      <w:pPr>
        <w:spacing w:after="0" w:before="0"/>
        <w:jc w:val="both"/>
      </w:pPr>
      <w:r>
        <w:rPr>
          <w:sz w:val="20"/>
          <w:szCs w:val="20"/>
          <w:rtl/>
        </w:rPr>
        <w:footnoteRef/>
      </w:r>
      <w:r>
        <w:rPr>
          <w:sz w:val="20"/>
          <w:szCs w:val="20"/>
          <w:rtl/>
        </w:rPr>
        <w:t>. השווה לסוף הערה 92 לעיל.</w:t>
      </w:r>
    </w:p>
  </w:footnote>
  <w:footnote w:id="3354">
    <w:p w14:paraId="39F9877F" w14:textId="77777777" w:rsidR="00AB3647" w:rsidRDefault="00000000">
      <w:pPr>
        <w:spacing w:after="0" w:before="0"/>
        <w:jc w:val="both"/>
      </w:pPr>
      <w:r>
        <w:rPr>
          <w:sz w:val="20"/>
          <w:szCs w:val="20"/>
          <w:rtl/>
        </w:rPr>
        <w:footnoteRef/>
      </w:r>
      <w:r>
        <w:rPr>
          <w:sz w:val="20"/>
          <w:szCs w:val="20"/>
          <w:rtl/>
        </w:rPr>
        <w:t>. עמ׳ 23.</w:t>
      </w:r>
    </w:p>
  </w:footnote>
  <w:footnote w:id="3355">
    <w:p w14:paraId="34CFEAF4" w14:textId="77777777" w:rsidR="00AB3647" w:rsidRDefault="00000000">
      <w:pPr>
        <w:spacing w:after="0" w:before="0"/>
        <w:jc w:val="both"/>
      </w:pPr>
      <w:r>
        <w:rPr>
          <w:sz w:val="20"/>
          <w:szCs w:val="20"/>
          <w:rtl/>
        </w:rPr>
        <w:footnoteRef/>
      </w:r>
      <w:r>
        <w:rPr>
          <w:sz w:val="20"/>
          <w:szCs w:val="20"/>
          <w:rtl/>
        </w:rPr>
        <w:t xml:space="preserve">. על פי פרשיות שמע, דברים ו:ז, </w:t>
      </w:r>
      <w:proofErr w:type="spellStart"/>
      <w:r>
        <w:rPr>
          <w:sz w:val="20"/>
          <w:szCs w:val="20"/>
          <w:rtl/>
        </w:rPr>
        <w:t>יא:יט</w:t>
      </w:r>
      <w:proofErr w:type="spellEnd"/>
      <w:r>
        <w:rPr>
          <w:sz w:val="20"/>
          <w:szCs w:val="20"/>
          <w:rtl/>
        </w:rPr>
        <w:t xml:space="preserve"> – המצוות למעשה ללמוד תורה בכל המקומות והזמנים האלה.</w:t>
      </w:r>
    </w:p>
  </w:footnote>
  <w:footnote w:id="3356">
    <w:p w14:paraId="277567FC" w14:textId="77777777" w:rsidR="00AB3647" w:rsidRDefault="00000000">
      <w:pPr>
        <w:spacing w:after="0" w:before="0"/>
        <w:jc w:val="both"/>
      </w:pPr>
      <w:r>
        <w:rPr>
          <w:sz w:val="20"/>
          <w:szCs w:val="20"/>
          <w:rtl/>
        </w:rPr>
        <w:footnoteRef/>
      </w:r>
      <w:r>
        <w:rPr>
          <w:sz w:val="20"/>
          <w:szCs w:val="20"/>
          <w:rtl/>
        </w:rPr>
        <w:t xml:space="preserve">. השווה גם לפרק 5, סוף הפסקה הראשונה של נספח ב, שם מובאים דברי “תורת אברהם” (נספח א להלן) שלפיהם לכנסת ישראל הייתה בדיוק אותה השפעה על העיר </w:t>
      </w:r>
      <w:proofErr w:type="spellStart"/>
      <w:r>
        <w:rPr>
          <w:sz w:val="20"/>
          <w:szCs w:val="20"/>
          <w:rtl/>
        </w:rPr>
        <w:t>סלבודקה</w:t>
      </w:r>
      <w:proofErr w:type="spellEnd"/>
      <w:r>
        <w:rPr>
          <w:sz w:val="20"/>
          <w:szCs w:val="20"/>
          <w:rtl/>
        </w:rPr>
        <w:t>.</w:t>
      </w:r>
    </w:p>
  </w:footnote>
  <w:footnote w:id="3357">
    <w:p w14:paraId="5E23041D" w14:textId="77777777" w:rsidR="00AB3647" w:rsidRDefault="00000000">
      <w:pPr>
        <w:spacing w:after="0" w:before="0"/>
        <w:jc w:val="both"/>
      </w:pPr>
      <w:r>
        <w:rPr>
          <w:sz w:val="20"/>
          <w:szCs w:val="20"/>
          <w:rtl/>
        </w:rPr>
        <w:footnoteRef/>
      </w:r>
      <w:r>
        <w:rPr>
          <w:sz w:val="20"/>
          <w:szCs w:val="20"/>
          <w:rtl/>
        </w:rPr>
        <w:t xml:space="preserve">. ירושלים, תש״א (להלן: </w:t>
      </w:r>
      <w:proofErr w:type="spellStart"/>
      <w:r>
        <w:rPr>
          <w:sz w:val="20"/>
          <w:szCs w:val="20"/>
          <w:rtl/>
        </w:rPr>
        <w:t>ורהפטיג</w:t>
      </w:r>
      <w:proofErr w:type="spellEnd"/>
      <w:r>
        <w:rPr>
          <w:sz w:val="20"/>
          <w:szCs w:val="20"/>
          <w:rtl/>
        </w:rPr>
        <w:t>).</w:t>
      </w:r>
    </w:p>
  </w:footnote>
  <w:footnote w:id="3358">
    <w:p w14:paraId="0061B703" w14:textId="77777777" w:rsidR="00AB3647" w:rsidRDefault="00000000">
      <w:pPr>
        <w:spacing w:after="0" w:before="0"/>
        <w:jc w:val="both"/>
      </w:pPr>
      <w:r>
        <w:rPr>
          <w:sz w:val="20"/>
          <w:szCs w:val="20"/>
          <w:rtl/>
        </w:rPr>
        <w:footnoteRef/>
      </w:r>
      <w:r>
        <w:rPr>
          <w:sz w:val="20"/>
          <w:szCs w:val="20"/>
          <w:rtl/>
        </w:rPr>
        <w:t>. השווה להערות 106 ו־111 להלן.</w:t>
      </w:r>
    </w:p>
  </w:footnote>
  <w:footnote w:id="3359">
    <w:p w14:paraId="3FB6A5D6" w14:textId="77777777" w:rsidR="00AB3647" w:rsidRDefault="00000000">
      <w:pPr>
        <w:spacing w:after="0" w:before="0"/>
        <w:jc w:val="both"/>
      </w:pPr>
      <w:r>
        <w:rPr>
          <w:sz w:val="20"/>
          <w:szCs w:val="20"/>
          <w:rtl/>
        </w:rPr>
        <w:footnoteRef/>
      </w:r>
      <w:r>
        <w:rPr>
          <w:sz w:val="20"/>
          <w:szCs w:val="20"/>
          <w:rtl/>
        </w:rPr>
        <w:t xml:space="preserve">. השווה </w:t>
      </w:r>
      <w:proofErr w:type="spellStart"/>
      <w:r>
        <w:rPr>
          <w:sz w:val="20"/>
          <w:szCs w:val="20"/>
          <w:rtl/>
        </w:rPr>
        <w:t>לשו״ע</w:t>
      </w:r>
      <w:proofErr w:type="spellEnd"/>
      <w:r>
        <w:rPr>
          <w:sz w:val="20"/>
          <w:szCs w:val="20"/>
          <w:rtl/>
        </w:rPr>
        <w:t xml:space="preserve"> </w:t>
      </w:r>
      <w:proofErr w:type="spellStart"/>
      <w:r>
        <w:rPr>
          <w:sz w:val="20"/>
          <w:szCs w:val="20"/>
          <w:rtl/>
        </w:rPr>
        <w:t>או״ח</w:t>
      </w:r>
      <w:proofErr w:type="spellEnd"/>
      <w:r>
        <w:rPr>
          <w:sz w:val="20"/>
          <w:szCs w:val="20"/>
          <w:rtl/>
        </w:rPr>
        <w:t xml:space="preserve"> סי׳ קכ״ד ס״ד ובמ״ב </w:t>
      </w:r>
      <w:proofErr w:type="spellStart"/>
      <w:r>
        <w:rPr>
          <w:sz w:val="20"/>
          <w:szCs w:val="20"/>
          <w:rtl/>
        </w:rPr>
        <w:t>ס״ק</w:t>
      </w:r>
      <w:proofErr w:type="spellEnd"/>
      <w:r>
        <w:rPr>
          <w:sz w:val="20"/>
          <w:szCs w:val="20"/>
          <w:rtl/>
        </w:rPr>
        <w:t xml:space="preserve"> י״ז, וסי׳ קמ״ו ס״ב.</w:t>
      </w:r>
    </w:p>
  </w:footnote>
  <w:footnote w:id="3360">
    <w:p w14:paraId="5D04E1FA" w14:textId="77777777" w:rsidR="00AB3647" w:rsidRDefault="00000000">
      <w:pPr>
        <w:spacing w:after="0" w:before="0"/>
        <w:jc w:val="both"/>
      </w:pPr>
      <w:r>
        <w:rPr>
          <w:sz w:val="20"/>
          <w:szCs w:val="20"/>
          <w:rtl/>
        </w:rPr>
        <w:footnoteRef/>
      </w:r>
      <w:r>
        <w:rPr>
          <w:sz w:val="20"/>
          <w:szCs w:val="20"/>
          <w:rtl/>
        </w:rPr>
        <w:t xml:space="preserve">. עמ׳ </w:t>
      </w:r>
      <w:proofErr w:type="spellStart"/>
      <w:r>
        <w:rPr>
          <w:sz w:val="20"/>
          <w:szCs w:val="20"/>
          <w:rtl/>
        </w:rPr>
        <w:t>מז</w:t>
      </w:r>
      <w:proofErr w:type="spellEnd"/>
      <w:r>
        <w:rPr>
          <w:sz w:val="20"/>
          <w:szCs w:val="20"/>
          <w:rtl/>
        </w:rPr>
        <w:t>.</w:t>
      </w:r>
    </w:p>
  </w:footnote>
  <w:footnote w:id="3361">
    <w:p w14:paraId="1F5E16E1" w14:textId="77777777" w:rsidR="00AB3647" w:rsidRDefault="00000000">
      <w:pPr>
        <w:spacing w:after="0" w:before="0"/>
        <w:jc w:val="both"/>
      </w:pPr>
      <w:r>
        <w:rPr>
          <w:sz w:val="20"/>
          <w:szCs w:val="20"/>
          <w:rtl/>
        </w:rPr>
        <w:footnoteRef/>
      </w:r>
      <w:r>
        <w:rPr>
          <w:sz w:val="20"/>
          <w:szCs w:val="20"/>
          <w:rtl/>
        </w:rPr>
        <w:t xml:space="preserve">. בשם ר׳ אפרים </w:t>
      </w:r>
      <w:proofErr w:type="spellStart"/>
      <w:r>
        <w:rPr>
          <w:sz w:val="20"/>
          <w:szCs w:val="20"/>
          <w:rtl/>
        </w:rPr>
        <w:t>בורודיאנסקי</w:t>
      </w:r>
      <w:proofErr w:type="spellEnd"/>
      <w:r>
        <w:rPr>
          <w:sz w:val="20"/>
          <w:szCs w:val="20"/>
          <w:rtl/>
        </w:rPr>
        <w:t>.</w:t>
      </w:r>
    </w:p>
  </w:footnote>
  <w:footnote w:id="3362">
    <w:p w14:paraId="77A06E28" w14:textId="77777777" w:rsidR="00AB3647" w:rsidRDefault="00000000">
      <w:pPr>
        <w:spacing w:after="0" w:before="0"/>
        <w:jc w:val="both"/>
      </w:pPr>
      <w:r>
        <w:rPr>
          <w:sz w:val="20"/>
          <w:szCs w:val="20"/>
          <w:rtl/>
        </w:rPr>
        <w:footnoteRef/>
      </w:r>
      <w:r>
        <w:rPr>
          <w:sz w:val="20"/>
          <w:szCs w:val="20"/>
          <w:rtl/>
        </w:rPr>
        <w:t>. ראה פרק 5, הפסקה השנייה של נספח ח, על עזיבתו הפתאומית משם.</w:t>
      </w:r>
    </w:p>
  </w:footnote>
  <w:footnote w:id="3363">
    <w:p w14:paraId="60AEEC1D" w14:textId="77777777" w:rsidR="00AB3647" w:rsidRDefault="00000000">
      <w:pPr>
        <w:spacing w:after="0" w:before="0"/>
        <w:jc w:val="both"/>
      </w:pPr>
      <w:r>
        <w:rPr>
          <w:sz w:val="20"/>
          <w:szCs w:val="20"/>
          <w:rtl/>
        </w:rPr>
        <w:footnoteRef/>
      </w:r>
      <w:r>
        <w:rPr>
          <w:sz w:val="20"/>
          <w:szCs w:val="20"/>
          <w:rtl/>
        </w:rPr>
        <w:t>. עמ׳ 22.</w:t>
      </w:r>
    </w:p>
  </w:footnote>
  <w:footnote w:id="3364">
    <w:p w14:paraId="31A510D8" w14:textId="77777777" w:rsidR="00AB3647" w:rsidRDefault="00000000">
      <w:pPr>
        <w:spacing w:after="0" w:before="0"/>
        <w:jc w:val="both"/>
      </w:pPr>
      <w:r>
        <w:rPr>
          <w:sz w:val="20"/>
          <w:szCs w:val="20"/>
          <w:rtl/>
        </w:rPr>
        <w:footnoteRef/>
      </w:r>
      <w:r>
        <w:rPr>
          <w:sz w:val="20"/>
          <w:szCs w:val="20"/>
          <w:rtl/>
        </w:rPr>
        <w:t xml:space="preserve">. סיפור מעניין בו רואים איך שר׳ אליעזר גורדון פיתח את החריפות אצל תלמידיו ישנו בספר </w:t>
      </w:r>
      <w:proofErr w:type="spellStart"/>
      <w:r>
        <w:rPr>
          <w:sz w:val="20"/>
          <w:szCs w:val="20"/>
          <w:rtl/>
        </w:rPr>
        <w:t>ארחת</w:t>
      </w:r>
      <w:proofErr w:type="spellEnd"/>
      <w:r>
        <w:rPr>
          <w:sz w:val="20"/>
          <w:szCs w:val="20"/>
          <w:rtl/>
        </w:rPr>
        <w:t xml:space="preserve"> חסידיך (הוזכר לעיל בפרק ראשון הערה עב), עמ׳ קן: אחד מתלמידיו בא אליו לבקש כסף כדי לשחד את הפקיד שהיה צריך להכריע אם יגייסו אותו לצבא, ור׳ אליעזר אמר לו, “וכי סתם אתן לך? תאמר איזו </w:t>
      </w:r>
      <w:proofErr w:type="spellStart"/>
      <w:r>
        <w:rPr>
          <w:sz w:val="20"/>
          <w:szCs w:val="20"/>
          <w:rtl/>
        </w:rPr>
        <w:t>סברא</w:t>
      </w:r>
      <w:proofErr w:type="spellEnd"/>
      <w:r>
        <w:rPr>
          <w:sz w:val="20"/>
          <w:szCs w:val="20"/>
          <w:rtl/>
        </w:rPr>
        <w:t xml:space="preserve"> </w:t>
      </w:r>
      <w:proofErr w:type="spellStart"/>
      <w:r>
        <w:rPr>
          <w:sz w:val="20"/>
          <w:szCs w:val="20"/>
          <w:rtl/>
        </w:rPr>
        <w:t>המכרחת</w:t>
      </w:r>
      <w:proofErr w:type="spellEnd"/>
      <w:r>
        <w:rPr>
          <w:sz w:val="20"/>
          <w:szCs w:val="20"/>
          <w:rtl/>
        </w:rPr>
        <w:t xml:space="preserve"> וראיה המחייבת אותי ליתן לך.” התלמיד ענה, “הנה הדין הוא </w:t>
      </w:r>
      <w:proofErr w:type="spellStart"/>
      <w:r>
        <w:rPr>
          <w:sz w:val="20"/>
          <w:szCs w:val="20"/>
          <w:rtl/>
        </w:rPr>
        <w:t>שמצוה</w:t>
      </w:r>
      <w:proofErr w:type="spellEnd"/>
      <w:r>
        <w:rPr>
          <w:sz w:val="20"/>
          <w:szCs w:val="20"/>
          <w:rtl/>
        </w:rPr>
        <w:t xml:space="preserve"> לקיים דברי המת, והרי אמרו חז״ל עני חשוב כמת, וא״כ מצוה על הרב למלא משאלתי.” והרב דחה דבריו באומרו, “אוי, אוי, אינך מדבר </w:t>
      </w:r>
      <w:proofErr w:type="spellStart"/>
      <w:r>
        <w:rPr>
          <w:sz w:val="20"/>
          <w:szCs w:val="20"/>
          <w:rtl/>
        </w:rPr>
        <w:t>לענין</w:t>
      </w:r>
      <w:proofErr w:type="spellEnd"/>
      <w:r>
        <w:rPr>
          <w:sz w:val="20"/>
          <w:szCs w:val="20"/>
          <w:rtl/>
        </w:rPr>
        <w:t xml:space="preserve">, הרי ההלכה </w:t>
      </w:r>
      <w:proofErr w:type="spellStart"/>
      <w:r>
        <w:rPr>
          <w:sz w:val="20"/>
          <w:szCs w:val="20"/>
          <w:rtl/>
        </w:rPr>
        <w:t>שמצוה</w:t>
      </w:r>
      <w:proofErr w:type="spellEnd"/>
      <w:r>
        <w:rPr>
          <w:sz w:val="20"/>
          <w:szCs w:val="20"/>
          <w:rtl/>
        </w:rPr>
        <w:t xml:space="preserve"> לקיים דברי המת הוא במי </w:t>
      </w:r>
      <w:proofErr w:type="spellStart"/>
      <w:r>
        <w:rPr>
          <w:sz w:val="20"/>
          <w:szCs w:val="20"/>
          <w:rtl/>
        </w:rPr>
        <w:t>שצוה</w:t>
      </w:r>
      <w:proofErr w:type="spellEnd"/>
      <w:r>
        <w:rPr>
          <w:sz w:val="20"/>
          <w:szCs w:val="20"/>
          <w:rtl/>
        </w:rPr>
        <w:t xml:space="preserve"> מחיים על לאחר מיתתו ולא </w:t>
      </w:r>
      <w:proofErr w:type="spellStart"/>
      <w:r>
        <w:rPr>
          <w:sz w:val="20"/>
          <w:szCs w:val="20"/>
          <w:rtl/>
        </w:rPr>
        <w:t>במצוה</w:t>
      </w:r>
      <w:proofErr w:type="spellEnd"/>
      <w:r>
        <w:rPr>
          <w:sz w:val="20"/>
          <w:szCs w:val="20"/>
          <w:rtl/>
        </w:rPr>
        <w:t xml:space="preserve"> אחרי מיתתו, וכאן הרי כשביקשת את העזרה כבר היית העני החשוב כמת.”</w:t>
      </w:r>
    </w:p>
  </w:footnote>
  <w:footnote w:id="3365">
    <w:p w14:paraId="2483EF0F" w14:textId="77777777" w:rsidR="00AB3647" w:rsidRDefault="00000000">
      <w:pPr>
        <w:spacing w:after="0" w:before="0"/>
        <w:jc w:val="both"/>
      </w:pPr>
      <w:r>
        <w:rPr>
          <w:sz w:val="20"/>
          <w:szCs w:val="20"/>
          <w:rtl/>
        </w:rPr>
        <w:footnoteRef/>
      </w:r>
      <w:r>
        <w:rPr>
          <w:sz w:val="20"/>
          <w:szCs w:val="20"/>
          <w:rtl/>
        </w:rPr>
        <w:t>. הפסקה השנייה של נספח ח להלן – עמ׳ 28.</w:t>
      </w:r>
    </w:p>
  </w:footnote>
  <w:footnote w:id="3366">
    <w:p w14:paraId="7476DBF3" w14:textId="77777777" w:rsidR="00AB3647" w:rsidRDefault="00000000">
      <w:pPr>
        <w:spacing w:after="0" w:before="0"/>
        <w:jc w:val="both"/>
      </w:pPr>
      <w:r>
        <w:rPr>
          <w:sz w:val="20"/>
          <w:szCs w:val="20"/>
          <w:rtl/>
        </w:rPr>
        <w:footnoteRef/>
      </w:r>
      <w:r>
        <w:rPr>
          <w:sz w:val="20"/>
          <w:szCs w:val="20"/>
          <w:rtl/>
        </w:rPr>
        <w:t xml:space="preserve">. יעקב מארק, שיצא לאור </w:t>
      </w:r>
      <w:proofErr w:type="spellStart"/>
      <w:r>
        <w:rPr>
          <w:sz w:val="20"/>
          <w:szCs w:val="20"/>
          <w:rtl/>
        </w:rPr>
        <w:t>בתרפ״ז</w:t>
      </w:r>
      <w:proofErr w:type="spellEnd"/>
      <w:r>
        <w:rPr>
          <w:sz w:val="20"/>
          <w:szCs w:val="20"/>
          <w:rtl/>
        </w:rPr>
        <w:t xml:space="preserve">, מורכב ממאמרים נפרדים שהופיעו </w:t>
      </w:r>
      <w:proofErr w:type="spellStart"/>
      <w:r>
        <w:rPr>
          <w:sz w:val="20"/>
          <w:szCs w:val="20"/>
          <w:rtl/>
        </w:rPr>
        <w:t>זמן־מה</w:t>
      </w:r>
      <w:proofErr w:type="spellEnd"/>
      <w:r>
        <w:rPr>
          <w:sz w:val="20"/>
          <w:szCs w:val="20"/>
          <w:rtl/>
        </w:rPr>
        <w:t xml:space="preserve"> קודם לכן בעיתון היידי “</w:t>
      </w:r>
      <w:proofErr w:type="spellStart"/>
      <w:r>
        <w:rPr>
          <w:sz w:val="20"/>
          <w:szCs w:val="20"/>
          <w:rtl/>
        </w:rPr>
        <w:t>טאגעבלאט</w:t>
      </w:r>
      <w:proofErr w:type="spellEnd"/>
      <w:r>
        <w:rPr>
          <w:sz w:val="20"/>
          <w:szCs w:val="20"/>
          <w:rtl/>
        </w:rPr>
        <w:t xml:space="preserve">” בוורשה. לפיכך “הדור האחרון” מכוון לשנות </w:t>
      </w:r>
      <w:proofErr w:type="spellStart"/>
      <w:r>
        <w:rPr>
          <w:sz w:val="20"/>
          <w:szCs w:val="20"/>
          <w:rtl/>
        </w:rPr>
        <w:t>הת״ר־נ</w:t>
      </w:r>
      <w:proofErr w:type="spellEnd"/>
      <w:r>
        <w:rPr>
          <w:sz w:val="20"/>
          <w:szCs w:val="20"/>
          <w:rtl/>
        </w:rPr>
        <w:t>׳.</w:t>
      </w:r>
    </w:p>
  </w:footnote>
  <w:footnote w:id="3367">
    <w:p w14:paraId="0EE100C0" w14:textId="77777777" w:rsidR="00AB3647" w:rsidRDefault="00000000">
      <w:pPr>
        <w:spacing w:after="0" w:before="0"/>
        <w:jc w:val="both"/>
      </w:pPr>
      <w:r>
        <w:rPr>
          <w:sz w:val="20"/>
          <w:szCs w:val="20"/>
          <w:rtl/>
        </w:rPr>
        <w:footnoteRef/>
      </w:r>
      <w:r>
        <w:rPr>
          <w:sz w:val="20"/>
          <w:szCs w:val="20"/>
          <w:rtl/>
        </w:rPr>
        <w:t>. עמ׳ 28–29.</w:t>
      </w:r>
    </w:p>
  </w:footnote>
  <w:footnote w:id="3368">
    <w:p w14:paraId="68E688CF" w14:textId="77777777" w:rsidR="00AB3647" w:rsidRDefault="00000000">
      <w:pPr>
        <w:spacing w:after="0" w:before="0"/>
        <w:jc w:val="both"/>
      </w:pPr>
      <w:r>
        <w:rPr>
          <w:sz w:val="20"/>
          <w:szCs w:val="20"/>
          <w:rtl/>
        </w:rPr>
        <w:footnoteRef/>
      </w:r>
      <w:r>
        <w:rPr>
          <w:sz w:val="20"/>
          <w:szCs w:val="20"/>
          <w:rtl/>
        </w:rPr>
        <w:t xml:space="preserve">. השווה לספרו של </w:t>
      </w:r>
      <w:proofErr w:type="spellStart"/>
      <w:r>
        <w:rPr>
          <w:sz w:val="20"/>
          <w:szCs w:val="20"/>
          <w:rtl/>
        </w:rPr>
        <w:t>רבינר</w:t>
      </w:r>
      <w:proofErr w:type="spellEnd"/>
      <w:r>
        <w:rPr>
          <w:sz w:val="20"/>
          <w:szCs w:val="20"/>
          <w:rtl/>
        </w:rPr>
        <w:t xml:space="preserve">, “הגאון רבי אליעזר גורדון”, עמ׳ טו </w:t>
      </w:r>
      <w:proofErr w:type="spellStart"/>
      <w:r>
        <w:rPr>
          <w:sz w:val="20"/>
          <w:szCs w:val="20"/>
          <w:rtl/>
        </w:rPr>
        <w:t>וקעה</w:t>
      </w:r>
      <w:proofErr w:type="spellEnd"/>
      <w:r>
        <w:rPr>
          <w:sz w:val="20"/>
          <w:szCs w:val="20"/>
          <w:rtl/>
        </w:rPr>
        <w:t>.</w:t>
      </w:r>
    </w:p>
  </w:footnote>
  <w:footnote w:id="3369">
    <w:p w14:paraId="6F1B5CD7" w14:textId="77777777" w:rsidR="00AB3647" w:rsidRDefault="00000000">
      <w:pPr>
        <w:spacing w:after="0" w:before="0"/>
        <w:jc w:val="both"/>
      </w:pPr>
      <w:r>
        <w:rPr>
          <w:sz w:val="20"/>
          <w:szCs w:val="20"/>
          <w:rtl/>
        </w:rPr>
        <w:footnoteRef/>
      </w:r>
      <w:r>
        <w:rPr>
          <w:sz w:val="20"/>
          <w:szCs w:val="20"/>
          <w:rtl/>
        </w:rPr>
        <w:t>. עמ׳ 28, אחרי הציטוט הראשון שבהערה הקודמת.</w:t>
      </w:r>
    </w:p>
  </w:footnote>
  <w:footnote w:id="3370">
    <w:p w14:paraId="07C596AD" w14:textId="77777777" w:rsidR="00AB3647" w:rsidRDefault="00000000">
      <w:pPr>
        <w:spacing w:after="0" w:before="0"/>
        <w:jc w:val="both"/>
      </w:pPr>
      <w:r>
        <w:rPr>
          <w:sz w:val="20"/>
          <w:szCs w:val="20"/>
          <w:rtl/>
        </w:rPr>
        <w:footnoteRef/>
      </w:r>
      <w:r>
        <w:rPr>
          <w:sz w:val="20"/>
          <w:szCs w:val="20"/>
          <w:rtl/>
        </w:rPr>
        <w:t xml:space="preserve">. הרשימה נלקטה מספרו של </w:t>
      </w:r>
      <w:proofErr w:type="spellStart"/>
      <w:r>
        <w:rPr>
          <w:sz w:val="20"/>
          <w:szCs w:val="20"/>
          <w:rtl/>
        </w:rPr>
        <w:t>רבינר</w:t>
      </w:r>
      <w:proofErr w:type="spellEnd"/>
      <w:r>
        <w:rPr>
          <w:sz w:val="20"/>
          <w:szCs w:val="20"/>
          <w:rtl/>
        </w:rPr>
        <w:t xml:space="preserve">, “הגאון רבי אליעזר גורדון”, עמ׳ רז, קלח, קלט, </w:t>
      </w:r>
      <w:proofErr w:type="spellStart"/>
      <w:r>
        <w:rPr>
          <w:sz w:val="20"/>
          <w:szCs w:val="20"/>
          <w:rtl/>
        </w:rPr>
        <w:t>כב</w:t>
      </w:r>
      <w:proofErr w:type="spellEnd"/>
      <w:r>
        <w:rPr>
          <w:sz w:val="20"/>
          <w:szCs w:val="20"/>
          <w:rtl/>
        </w:rPr>
        <w:t xml:space="preserve"> </w:t>
      </w:r>
      <w:proofErr w:type="spellStart"/>
      <w:r>
        <w:rPr>
          <w:sz w:val="20"/>
          <w:szCs w:val="20"/>
          <w:rtl/>
        </w:rPr>
        <w:t>ורו</w:t>
      </w:r>
      <w:proofErr w:type="spellEnd"/>
      <w:r>
        <w:rPr>
          <w:sz w:val="20"/>
          <w:szCs w:val="20"/>
          <w:rtl/>
        </w:rPr>
        <w:t xml:space="preserve"> (בסופו), בהתאמה, לתקופה שעד סוף שנות </w:t>
      </w:r>
      <w:proofErr w:type="spellStart"/>
      <w:r>
        <w:rPr>
          <w:sz w:val="20"/>
          <w:szCs w:val="20"/>
          <w:rtl/>
        </w:rPr>
        <w:t>הת״ר־נ</w:t>
      </w:r>
      <w:proofErr w:type="spellEnd"/>
      <w:r>
        <w:rPr>
          <w:sz w:val="20"/>
          <w:szCs w:val="20"/>
          <w:rtl/>
        </w:rPr>
        <w:t>׳, ונוספו לה מקורות מסייעים לעשור האחרון של חייו.</w:t>
      </w:r>
    </w:p>
  </w:footnote>
  <w:footnote w:id="3371">
    <w:p w14:paraId="423213FC" w14:textId="77777777" w:rsidR="00AB3647" w:rsidRDefault="00000000">
      <w:pPr>
        <w:spacing w:after="0" w:before="0"/>
        <w:jc w:val="both"/>
      </w:pPr>
      <w:r>
        <w:rPr>
          <w:sz w:val="20"/>
          <w:szCs w:val="20"/>
          <w:rtl/>
        </w:rPr>
        <w:footnoteRef/>
      </w:r>
      <w:r>
        <w:rPr>
          <w:sz w:val="20"/>
          <w:szCs w:val="20"/>
          <w:rtl/>
        </w:rPr>
        <w:t>. השווה לפרק 3, נספח א.</w:t>
      </w:r>
    </w:p>
  </w:footnote>
  <w:footnote w:id="3372">
    <w:p w14:paraId="163579AD" w14:textId="77777777" w:rsidR="00AB3647" w:rsidRDefault="00000000">
      <w:pPr>
        <w:spacing w:after="0" w:before="0"/>
        <w:jc w:val="both"/>
      </w:pPr>
      <w:r>
        <w:rPr>
          <w:sz w:val="20"/>
          <w:szCs w:val="20"/>
          <w:rtl/>
        </w:rPr>
        <w:footnoteRef/>
      </w:r>
      <w:r>
        <w:rPr>
          <w:sz w:val="20"/>
          <w:szCs w:val="20"/>
          <w:rtl/>
        </w:rPr>
        <w:t xml:space="preserve">. הביוגרפיה שבפתח “ליקוטי תשובות ר׳ אליעזר וחידושיו” (הערת שוליים </w:t>
      </w:r>
      <w:r>
        <w:rPr>
          <w:sz w:val="20"/>
          <w:szCs w:val="20"/>
          <w:rtl/>
        </w:rPr>
        <w:fldChar w:fldCharType="begin" w:dirty="true"/>
      </w:r>
      <w:r>
        <w:rPr>
          <w:sz w:val="20"/>
          <w:szCs w:val="20"/>
          <w:rtl/>
        </w:rPr>
        <w:instrText xml:space="preserve"> NOTEREF pr_f_4047 \h </w:instrText>
      </w:r>
      <w:r>
        <w:rPr>
          <w:sz w:val="20"/>
          <w:szCs w:val="20"/>
          <w:rtl/>
        </w:rPr>
      </w:r>
      <w:r>
        <w:rPr>
          <w:sz w:val="20"/>
          <w:szCs w:val="20"/>
          <w:rtl/>
        </w:rPr>
        <w:fldChar w:fldCharType="separate"/>
      </w:r>
      <w:r w:rsidR="007923E9">
        <w:rPr>
          <w:sz w:val="20"/>
          <w:szCs w:val="20"/>
          <w:rtl/>
        </w:rPr>
        <w:t>1124</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pr_f_4047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והשווה לפרק 2, הפסקה </w:t>
      </w:r>
      <w:proofErr w:type="spellStart"/>
      <w:r>
        <w:rPr>
          <w:sz w:val="20"/>
          <w:szCs w:val="20"/>
          <w:rtl/>
        </w:rPr>
        <w:t>השתים־עשרה</w:t>
      </w:r>
      <w:proofErr w:type="spellEnd"/>
      <w:r>
        <w:rPr>
          <w:sz w:val="20"/>
          <w:szCs w:val="20"/>
          <w:rtl/>
        </w:rPr>
        <w:t xml:space="preserve"> של נספח א.</w:t>
      </w:r>
    </w:p>
  </w:footnote>
  <w:footnote w:id="3373">
    <w:p w14:paraId="1C898E22" w14:textId="77777777" w:rsidR="00AB3647" w:rsidRDefault="00000000">
      <w:pPr>
        <w:spacing w:after="0" w:before="0"/>
        <w:jc w:val="both"/>
      </w:pPr>
      <w:r>
        <w:rPr>
          <w:sz w:val="20"/>
          <w:szCs w:val="20"/>
          <w:rtl/>
        </w:rPr>
        <w:footnoteRef/>
      </w:r>
      <w:r>
        <w:rPr>
          <w:sz w:val="20"/>
          <w:szCs w:val="20"/>
          <w:rtl/>
        </w:rPr>
        <w:t>. ראה “</w:t>
      </w:r>
      <w:proofErr w:type="spellStart"/>
      <w:r>
        <w:rPr>
          <w:sz w:val="20"/>
          <w:szCs w:val="20"/>
          <w:rtl/>
        </w:rPr>
        <w:t>זכרון</w:t>
      </w:r>
      <w:proofErr w:type="spellEnd"/>
      <w:r>
        <w:rPr>
          <w:sz w:val="20"/>
          <w:szCs w:val="20"/>
          <w:rtl/>
        </w:rPr>
        <w:t xml:space="preserve"> יעקב” (הפסקה השנייה של נספח ח להלן), כרך 2, עמ׳ 132–140.</w:t>
      </w:r>
    </w:p>
  </w:footnote>
  <w:footnote w:id="3374">
    <w:p w14:paraId="641E6F3D" w14:textId="77777777" w:rsidR="00AB3647" w:rsidRDefault="00000000">
      <w:pPr>
        <w:spacing w:after="0" w:before="0"/>
        <w:jc w:val="both"/>
      </w:pPr>
      <w:r>
        <w:rPr>
          <w:sz w:val="20"/>
          <w:szCs w:val="20"/>
          <w:rtl/>
        </w:rPr>
        <w:footnoteRef/>
      </w:r>
      <w:r>
        <w:rPr>
          <w:sz w:val="20"/>
          <w:szCs w:val="20"/>
          <w:rtl/>
        </w:rPr>
        <w:t xml:space="preserve">. השווה לפרק 3, נספח ג, על מעורבות ר׳ לייזר גורדון בפעילות הנוגעת לצורך ציבורי זה </w:t>
      </w:r>
      <w:proofErr w:type="spellStart"/>
      <w:r>
        <w:rPr>
          <w:sz w:val="20"/>
          <w:szCs w:val="20"/>
          <w:rtl/>
        </w:rPr>
        <w:t>בתרמ״ו</w:t>
      </w:r>
      <w:proofErr w:type="spellEnd"/>
      <w:r>
        <w:rPr>
          <w:sz w:val="20"/>
          <w:szCs w:val="20"/>
          <w:rtl/>
        </w:rPr>
        <w:t>.</w:t>
      </w:r>
    </w:p>
  </w:footnote>
  <w:footnote w:id="3375">
    <w:p w14:paraId="7E9E5C89" w14:textId="77777777" w:rsidR="00AB3647" w:rsidRDefault="00000000">
      <w:pPr>
        <w:spacing w:after="0" w:before="0"/>
        <w:jc w:val="both"/>
      </w:pPr>
      <w:r>
        <w:rPr>
          <w:sz w:val="20"/>
          <w:szCs w:val="20"/>
          <w:rtl/>
        </w:rPr>
        <w:footnoteRef/>
      </w:r>
      <w:r>
        <w:rPr>
          <w:sz w:val="20"/>
          <w:szCs w:val="20"/>
          <w:rtl/>
        </w:rPr>
        <w:t>. פרק 1, נספח ו.</w:t>
      </w:r>
    </w:p>
  </w:footnote>
  <w:footnote w:id="3376">
    <w:p w14:paraId="1C50EAC2" w14:textId="77777777" w:rsidR="00AB3647" w:rsidRDefault="00000000">
      <w:pPr>
        <w:spacing w:after="0" w:before="0"/>
        <w:jc w:val="both"/>
      </w:pPr>
      <w:r>
        <w:rPr>
          <w:sz w:val="20"/>
          <w:szCs w:val="20"/>
          <w:rtl/>
        </w:rPr>
        <w:footnoteRef/>
      </w:r>
      <w:r>
        <w:rPr>
          <w:sz w:val="20"/>
          <w:szCs w:val="20"/>
          <w:rtl/>
        </w:rPr>
        <w:t>. השווה להערה 91 לעיל, על נסיעותיו של ר׳ לייזר למרחקים כדי לעניין רבנים אחרים בהשתתפות בפעילות זו.</w:t>
      </w:r>
    </w:p>
  </w:footnote>
  <w:footnote w:id="3377">
    <w:p w14:paraId="674AD909" w14:textId="77777777" w:rsidR="00AB3647" w:rsidRDefault="00000000">
      <w:pPr>
        <w:spacing w:after="0" w:before="0"/>
        <w:jc w:val="both"/>
      </w:pPr>
      <w:r>
        <w:rPr>
          <w:sz w:val="20"/>
          <w:szCs w:val="20"/>
          <w:rtl/>
        </w:rPr>
        <w:footnoteRef/>
      </w:r>
      <w:r>
        <w:rPr>
          <w:sz w:val="20"/>
          <w:szCs w:val="20"/>
          <w:rtl/>
        </w:rPr>
        <w:t>. השווה לכרך 2.</w:t>
      </w:r>
    </w:p>
  </w:footnote>
  <w:footnote w:id="3378">
    <w:p w14:paraId="3D750FD4" w14:textId="77777777" w:rsidR="00AB3647" w:rsidRDefault="00000000">
      <w:pPr>
        <w:spacing w:after="0" w:before="0"/>
        <w:jc w:val="both"/>
      </w:pPr>
      <w:r>
        <w:rPr>
          <w:sz w:val="20"/>
          <w:szCs w:val="20"/>
          <w:rtl/>
        </w:rPr>
        <w:footnoteRef/>
      </w:r>
      <w:r>
        <w:rPr>
          <w:sz w:val="20"/>
          <w:szCs w:val="20"/>
          <w:rtl/>
        </w:rPr>
        <w:t xml:space="preserve">. השווה </w:t>
      </w:r>
      <w:proofErr w:type="spellStart"/>
      <w:r>
        <w:rPr>
          <w:sz w:val="20"/>
          <w:szCs w:val="20"/>
          <w:rtl/>
        </w:rPr>
        <w:t>ל“המאבק</w:t>
      </w:r>
      <w:proofErr w:type="spellEnd"/>
      <w:r>
        <w:rPr>
          <w:sz w:val="20"/>
          <w:szCs w:val="20"/>
          <w:rtl/>
        </w:rPr>
        <w:t xml:space="preserve"> וההדר” (אגודת ישראל באמריקה, 1982), עמ׳ 16–18.</w:t>
      </w:r>
    </w:p>
  </w:footnote>
  <w:footnote w:id="3379">
    <w:p w14:paraId="4EECFE86" w14:textId="77777777" w:rsidR="00AB3647" w:rsidRDefault="00000000">
      <w:pPr>
        <w:spacing w:after="0" w:before="0"/>
        <w:jc w:val="both"/>
      </w:pPr>
      <w:r>
        <w:rPr>
          <w:sz w:val="20"/>
          <w:szCs w:val="20"/>
          <w:rtl/>
        </w:rPr>
        <w:footnoteRef/>
      </w:r>
      <w:r>
        <w:rPr>
          <w:sz w:val="20"/>
          <w:szCs w:val="20"/>
          <w:rtl/>
        </w:rPr>
        <w:t>. הפסקה הרביעית של נספח ט להלן – סעיף ה.</w:t>
      </w:r>
    </w:p>
  </w:footnote>
  <w:footnote w:id="3380">
    <w:p w14:paraId="74ED3198" w14:textId="77777777" w:rsidR="00AB3647" w:rsidRDefault="00000000">
      <w:pPr>
        <w:spacing w:after="0" w:before="0"/>
        <w:jc w:val="both"/>
      </w:pPr>
      <w:r>
        <w:rPr>
          <w:sz w:val="20"/>
          <w:szCs w:val="20"/>
          <w:rtl/>
        </w:rPr>
        <w:footnoteRef/>
      </w:r>
      <w:r>
        <w:rPr>
          <w:sz w:val="20"/>
          <w:szCs w:val="20"/>
          <w:rtl/>
        </w:rPr>
        <w:t>. בתחילת סעיף ו.</w:t>
      </w:r>
    </w:p>
  </w:footnote>
  <w:footnote w:id="3381">
    <w:p w14:paraId="4A948908" w14:textId="77777777" w:rsidR="00AB3647" w:rsidRDefault="00000000">
      <w:pPr>
        <w:spacing w:after="0" w:before="0"/>
        <w:jc w:val="both"/>
      </w:pPr>
      <w:r>
        <w:rPr>
          <w:sz w:val="20"/>
          <w:szCs w:val="20"/>
          <w:rtl/>
        </w:rPr>
        <w:footnoteRef/>
      </w:r>
      <w:r>
        <w:rPr>
          <w:sz w:val="20"/>
          <w:szCs w:val="20"/>
          <w:rtl/>
        </w:rPr>
        <w:t xml:space="preserve">. השווה שם, שגם ר׳ </w:t>
      </w:r>
      <w:proofErr w:type="spellStart"/>
      <w:r>
        <w:rPr>
          <w:sz w:val="20"/>
          <w:szCs w:val="20"/>
          <w:rtl/>
        </w:rPr>
        <w:t>אברהם־דובער</w:t>
      </w:r>
      <w:proofErr w:type="spellEnd"/>
      <w:r>
        <w:rPr>
          <w:sz w:val="20"/>
          <w:szCs w:val="20"/>
          <w:rtl/>
        </w:rPr>
        <w:t xml:space="preserve"> </w:t>
      </w:r>
      <w:proofErr w:type="spellStart"/>
      <w:r>
        <w:rPr>
          <w:sz w:val="20"/>
          <w:szCs w:val="20"/>
          <w:rtl/>
        </w:rPr>
        <w:t>כהנא־שפירא</w:t>
      </w:r>
      <w:proofErr w:type="spellEnd"/>
      <w:r>
        <w:rPr>
          <w:sz w:val="20"/>
          <w:szCs w:val="20"/>
          <w:rtl/>
        </w:rPr>
        <w:t xml:space="preserve"> עודד את המחבר מאוד.</w:t>
      </w:r>
    </w:p>
  </w:footnote>
  <w:footnote w:id="3382">
    <w:p w14:paraId="3F59D8A4" w14:textId="77777777" w:rsidR="00AB3647" w:rsidRDefault="00000000">
      <w:pPr>
        <w:spacing w:after="0" w:before="0"/>
        <w:jc w:val="both"/>
      </w:pPr>
      <w:r>
        <w:rPr>
          <w:sz w:val="20"/>
          <w:szCs w:val="20"/>
          <w:rtl/>
        </w:rPr>
        <w:footnoteRef/>
      </w:r>
      <w:r>
        <w:rPr>
          <w:sz w:val="20"/>
          <w:szCs w:val="20"/>
          <w:rtl/>
        </w:rPr>
        <w:t xml:space="preserve">. חיבורו הושלם, לפי השורה האחרונה בספר, “ועש״ק </w:t>
      </w:r>
      <w:proofErr w:type="spellStart"/>
      <w:r>
        <w:rPr>
          <w:sz w:val="20"/>
          <w:szCs w:val="20"/>
          <w:rtl/>
        </w:rPr>
        <w:t>חזון</w:t>
      </w:r>
      <w:proofErr w:type="spellEnd"/>
      <w:r>
        <w:rPr>
          <w:sz w:val="20"/>
          <w:szCs w:val="20"/>
          <w:rtl/>
        </w:rPr>
        <w:t xml:space="preserve"> ה׳ מנ״א תרע״ג ביער </w:t>
      </w:r>
      <w:proofErr w:type="spellStart"/>
      <w:r>
        <w:rPr>
          <w:sz w:val="20"/>
          <w:szCs w:val="20"/>
          <w:rtl/>
        </w:rPr>
        <w:t>ציטעוויאן</w:t>
      </w:r>
      <w:proofErr w:type="spellEnd"/>
      <w:r>
        <w:rPr>
          <w:sz w:val="20"/>
          <w:szCs w:val="20"/>
          <w:rtl/>
        </w:rPr>
        <w:t xml:space="preserve">” (ה׳ באב תרע״ג, יום שישי, ערב שבת </w:t>
      </w:r>
      <w:proofErr w:type="spellStart"/>
      <w:r>
        <w:rPr>
          <w:sz w:val="20"/>
          <w:szCs w:val="20"/>
          <w:rtl/>
        </w:rPr>
        <w:t>חזון</w:t>
      </w:r>
      <w:proofErr w:type="spellEnd"/>
      <w:r>
        <w:rPr>
          <w:sz w:val="20"/>
          <w:szCs w:val="20"/>
          <w:rtl/>
        </w:rPr>
        <w:t xml:space="preserve">, ביער </w:t>
      </w:r>
      <w:proofErr w:type="spellStart"/>
      <w:r>
        <w:rPr>
          <w:sz w:val="20"/>
          <w:szCs w:val="20"/>
          <w:rtl/>
        </w:rPr>
        <w:t>ציטוביאן</w:t>
      </w:r>
      <w:proofErr w:type="spellEnd"/>
      <w:r>
        <w:rPr>
          <w:sz w:val="20"/>
          <w:szCs w:val="20"/>
          <w:rtl/>
        </w:rPr>
        <w:t xml:space="preserve">, שבו שהה המחבר לנופש), והוא יצא לאור </w:t>
      </w:r>
      <w:proofErr w:type="spellStart"/>
      <w:r>
        <w:rPr>
          <w:sz w:val="20"/>
          <w:szCs w:val="20"/>
          <w:rtl/>
        </w:rPr>
        <w:t>ב“ווארשא</w:t>
      </w:r>
      <w:proofErr w:type="spellEnd"/>
      <w:r>
        <w:rPr>
          <w:sz w:val="20"/>
          <w:szCs w:val="20"/>
          <w:rtl/>
        </w:rPr>
        <w:t>, תרע״ד”.</w:t>
      </w:r>
    </w:p>
  </w:footnote>
  <w:footnote w:id="3383">
    <w:p w14:paraId="74D8D228" w14:textId="77777777" w:rsidR="00AB3647" w:rsidRDefault="00000000">
      <w:pPr>
        <w:spacing w:after="0" w:before="0"/>
        <w:jc w:val="both"/>
      </w:pPr>
      <w:r>
        <w:rPr>
          <w:sz w:val="20"/>
          <w:szCs w:val="20"/>
          <w:rtl/>
        </w:rPr>
        <w:footnoteRef/>
      </w:r>
      <w:r>
        <w:rPr>
          <w:sz w:val="20"/>
          <w:szCs w:val="20"/>
          <w:rtl/>
        </w:rPr>
        <w:t xml:space="preserve">. בהערת שוליים בעמ׳ </w:t>
      </w:r>
      <w:proofErr w:type="spellStart"/>
      <w:r>
        <w:rPr>
          <w:sz w:val="20"/>
          <w:szCs w:val="20"/>
          <w:rtl/>
        </w:rPr>
        <w:t>קלד</w:t>
      </w:r>
      <w:proofErr w:type="spellEnd"/>
      <w:r>
        <w:rPr>
          <w:sz w:val="20"/>
          <w:szCs w:val="20"/>
          <w:rtl/>
        </w:rPr>
        <w:t>.</w:t>
      </w:r>
    </w:p>
  </w:footnote>
  <w:footnote w:id="3384">
    <w:p w14:paraId="3D034CC8" w14:textId="77777777" w:rsidR="00AB3647" w:rsidRDefault="00000000">
      <w:pPr>
        <w:spacing w:after="0" w:before="0"/>
        <w:jc w:val="both"/>
      </w:pPr>
      <w:r>
        <w:rPr>
          <w:sz w:val="20"/>
          <w:szCs w:val="20"/>
          <w:rtl/>
        </w:rPr>
        <w:footnoteRef/>
      </w:r>
      <w:r>
        <w:rPr>
          <w:sz w:val="20"/>
          <w:szCs w:val="20"/>
          <w:rtl/>
        </w:rPr>
        <w:t>. ראה נספח יא להלן.</w:t>
      </w:r>
    </w:p>
  </w:footnote>
  <w:footnote w:id="3385">
    <w:p w14:paraId="42A55F0F" w14:textId="77777777" w:rsidR="00AB3647" w:rsidRDefault="00000000">
      <w:pPr>
        <w:spacing w:after="0" w:before="0"/>
        <w:jc w:val="both"/>
      </w:pPr>
      <w:r>
        <w:rPr>
          <w:sz w:val="20"/>
          <w:szCs w:val="20"/>
          <w:rtl/>
        </w:rPr>
        <w:footnoteRef/>
      </w:r>
      <w:r>
        <w:rPr>
          <w:sz w:val="20"/>
          <w:szCs w:val="20"/>
          <w:rtl/>
        </w:rPr>
        <w:t>. הערה 95 לעיל – עמ׳ 27.</w:t>
      </w:r>
    </w:p>
  </w:footnote>
  <w:footnote w:id="3386">
    <w:p w14:paraId="5D3CAA73" w14:textId="77777777" w:rsidR="00AB3647" w:rsidRDefault="00000000">
      <w:pPr>
        <w:spacing w:after="0" w:before="0"/>
        <w:jc w:val="both"/>
      </w:pPr>
      <w:r>
        <w:rPr>
          <w:sz w:val="20"/>
          <w:szCs w:val="20"/>
          <w:rtl/>
        </w:rPr>
        <w:footnoteRef/>
      </w:r>
      <w:r>
        <w:rPr>
          <w:sz w:val="20"/>
          <w:szCs w:val="20"/>
          <w:rtl/>
        </w:rPr>
        <w:t>. הפסקה השנייה של נספח ב להלן – עמ׳ 435.</w:t>
      </w:r>
    </w:p>
  </w:footnote>
  <w:footnote w:id="3387">
    <w:p w14:paraId="7B63DC1C" w14:textId="77777777" w:rsidR="00AB3647" w:rsidRDefault="00000000">
      <w:pPr>
        <w:spacing w:after="0" w:before="0"/>
        <w:jc w:val="both"/>
      </w:pPr>
      <w:r>
        <w:rPr>
          <w:sz w:val="20"/>
          <w:szCs w:val="20"/>
          <w:rtl/>
        </w:rPr>
        <w:footnoteRef/>
      </w:r>
      <w:r>
        <w:rPr>
          <w:sz w:val="20"/>
          <w:szCs w:val="20"/>
          <w:rtl/>
        </w:rPr>
        <w:t>. עמ׳ 32.</w:t>
      </w:r>
    </w:p>
  </w:footnote>
  <w:footnote w:id="3388">
    <w:p w14:paraId="41001250" w14:textId="77777777" w:rsidR="00AB3647" w:rsidRDefault="00000000">
      <w:pPr>
        <w:spacing w:after="0" w:before="0"/>
        <w:jc w:val="both"/>
      </w:pPr>
      <w:r>
        <w:rPr>
          <w:sz w:val="20"/>
          <w:szCs w:val="20"/>
          <w:rtl/>
        </w:rPr>
        <w:footnoteRef/>
      </w:r>
      <w:r>
        <w:rPr>
          <w:sz w:val="20"/>
          <w:szCs w:val="20"/>
          <w:rtl/>
        </w:rPr>
        <w:t>. עמ׳ 26.</w:t>
      </w:r>
    </w:p>
  </w:footnote>
  <w:footnote w:id="3389">
    <w:p w14:paraId="3ACB4F85" w14:textId="77777777" w:rsidR="00AB3647" w:rsidRDefault="00000000">
      <w:pPr>
        <w:spacing w:after="0" w:before="0"/>
        <w:jc w:val="both"/>
      </w:pPr>
      <w:r>
        <w:rPr>
          <w:sz w:val="20"/>
          <w:szCs w:val="20"/>
          <w:rtl/>
        </w:rPr>
        <w:footnoteRef/>
      </w:r>
      <w:r>
        <w:rPr>
          <w:sz w:val="20"/>
          <w:szCs w:val="20"/>
          <w:rtl/>
        </w:rPr>
        <w:t xml:space="preserve">. עמ׳ </w:t>
      </w:r>
      <w:proofErr w:type="spellStart"/>
      <w:r>
        <w:rPr>
          <w:sz w:val="20"/>
          <w:szCs w:val="20"/>
          <w:rtl/>
        </w:rPr>
        <w:t>עה</w:t>
      </w:r>
      <w:proofErr w:type="spellEnd"/>
      <w:r>
        <w:rPr>
          <w:sz w:val="20"/>
          <w:szCs w:val="20"/>
          <w:rtl/>
        </w:rPr>
        <w:t>.</w:t>
      </w:r>
    </w:p>
  </w:footnote>
  <w:footnote w:id="3390">
    <w:p w14:paraId="24B66D98" w14:textId="77777777" w:rsidR="00AB3647" w:rsidRDefault="00000000">
      <w:pPr>
        <w:spacing w:after="0" w:before="0"/>
        <w:jc w:val="both"/>
      </w:pPr>
      <w:r>
        <w:rPr>
          <w:sz w:val="20"/>
          <w:szCs w:val="20"/>
          <w:rtl/>
        </w:rPr>
        <w:footnoteRef/>
      </w:r>
      <w:r>
        <w:rPr>
          <w:sz w:val="20"/>
          <w:szCs w:val="20"/>
          <w:rtl/>
        </w:rPr>
        <w:t>. הוא נקרא כך מפני שהחיילים היהודים, שכונו יוָנִים, הושבעו שם לצבא הרוסי.</w:t>
      </w:r>
    </w:p>
  </w:footnote>
  <w:footnote w:id="3391">
    <w:p w14:paraId="0597369D" w14:textId="77777777" w:rsidR="00AB3647" w:rsidRDefault="00000000">
      <w:pPr>
        <w:spacing w:after="0" w:before="0"/>
        <w:jc w:val="both"/>
      </w:pPr>
      <w:r>
        <w:rPr>
          <w:sz w:val="20"/>
          <w:szCs w:val="20"/>
          <w:rtl/>
        </w:rPr>
        <w:footnoteRef/>
      </w:r>
      <w:r>
        <w:rPr>
          <w:sz w:val="20"/>
          <w:szCs w:val="20"/>
          <w:rtl/>
        </w:rPr>
        <w:t xml:space="preserve">. השווה גם להלן, לציטוט </w:t>
      </w:r>
      <w:proofErr w:type="spellStart"/>
      <w:r>
        <w:rPr>
          <w:sz w:val="20"/>
          <w:szCs w:val="20"/>
          <w:rtl/>
        </w:rPr>
        <w:t xml:space="preserve">מוורהפטיג</w:t>
      </w:r>
      <w:proofErr w:type="spellEnd"/>
      <w:r>
        <w:rPr>
          <w:sz w:val="20"/>
          <w:szCs w:val="20"/>
          <w:rtl/>
        </w:rPr>
        <w:t xml:space="preserve"> בתחילת הערה 110 ולציטוט מאסף בסוף הפסקה הראשונה של הערה 127.</w:t>
      </w:r>
    </w:p>
  </w:footnote>
  <w:footnote w:id="3392">
    <w:p w14:paraId="1516E913" w14:textId="77777777" w:rsidR="00AB3647" w:rsidRDefault="00000000">
      <w:pPr>
        <w:spacing w:after="0" w:before="0"/>
        <w:jc w:val="both"/>
      </w:pPr>
      <w:r>
        <w:rPr>
          <w:sz w:val="20"/>
          <w:szCs w:val="20"/>
          <w:rtl/>
        </w:rPr>
        <w:footnoteRef/>
      </w:r>
      <w:r>
        <w:rPr>
          <w:sz w:val="20"/>
          <w:szCs w:val="20"/>
          <w:rtl/>
        </w:rPr>
        <w:t>. ריאיון מ־4 במרץ 1994.</w:t>
      </w:r>
    </w:p>
  </w:footnote>
  <w:footnote w:id="3393">
    <w:p w14:paraId="2AF82EAF" w14:textId="77777777" w:rsidR="00AB3647" w:rsidRDefault="00000000">
      <w:pPr>
        <w:spacing w:after="0" w:before="0"/>
        <w:jc w:val="both"/>
      </w:pPr>
      <w:r>
        <w:rPr>
          <w:sz w:val="20"/>
          <w:szCs w:val="20"/>
          <w:rtl/>
        </w:rPr>
        <w:footnoteRef/>
      </w:r>
      <w:r>
        <w:rPr>
          <w:sz w:val="20"/>
          <w:szCs w:val="20"/>
          <w:rtl/>
        </w:rPr>
        <w:t xml:space="preserve">. הסבא השתמש באותו ניסוח, ובדור הקודם גם ר׳ יוסף־דב </w:t>
      </w:r>
      <w:proofErr w:type="spellStart"/>
      <w:r>
        <w:rPr>
          <w:sz w:val="20"/>
          <w:szCs w:val="20"/>
          <w:rtl/>
        </w:rPr>
        <w:t>סולובייצ׳יק</w:t>
      </w:r>
      <w:proofErr w:type="spellEnd"/>
      <w:r>
        <w:rPr>
          <w:sz w:val="20"/>
          <w:szCs w:val="20"/>
          <w:rtl/>
        </w:rPr>
        <w:t xml:space="preserve"> – ראה, בהתאמה, פרק 5, סוף הפסקה הראשונה של נספח ד, וסוף הפסקה השנייה של נספח ו (והערת שוליים </w:t>
      </w:r>
      <w:r>
        <w:rPr>
          <w:sz w:val="20"/>
          <w:szCs w:val="20"/>
          <w:rtl/>
        </w:rPr>
        <w:fldChar w:fldCharType="begin" w:dirty="true"/>
      </w:r>
      <w:r>
        <w:rPr>
          <w:sz w:val="20"/>
          <w:szCs w:val="20"/>
          <w:rtl/>
        </w:rPr>
        <w:instrText xml:space="preserve"> NOTEREF pr_f_4953 \h </w:instrText>
      </w:r>
      <w:r>
        <w:rPr>
          <w:sz w:val="20"/>
          <w:szCs w:val="20"/>
          <w:rtl/>
        </w:rPr>
      </w:r>
      <w:r>
        <w:rPr>
          <w:sz w:val="20"/>
          <w:szCs w:val="20"/>
          <w:rtl/>
        </w:rPr>
        <w:fldChar w:fldCharType="separate"/>
      </w:r>
      <w:r w:rsidR="007923E9">
        <w:rPr>
          <w:sz w:val="20"/>
          <w:szCs w:val="20"/>
          <w:rtl/>
        </w:rPr>
        <w:t>607</w:t>
      </w:r>
      <w:r>
        <w:rPr>
          <w:sz w:val="20"/>
          <w:szCs w:val="20"/>
          <w:rtl/>
        </w:rPr>
        <w:fldChar w:fldCharType="end"/>
      </w:r>
      <w:r>
        <w:rPr>
          <w:sz w:val="20"/>
          <w:szCs w:val="20"/>
          <w:rtl/>
        </w:rPr>
        <w:t xml:space="preserve"> שם).</w:t>
      </w:r>
    </w:p>
  </w:footnote>
  <w:footnote w:id="3394">
    <w:p w14:paraId="0E23AC92" w14:textId="77777777" w:rsidR="00AB3647" w:rsidRDefault="00000000">
      <w:pPr>
        <w:spacing w:after="0" w:before="0"/>
        <w:jc w:val="both"/>
      </w:pPr>
      <w:r>
        <w:rPr>
          <w:sz w:val="20"/>
          <w:szCs w:val="20"/>
          <w:rtl/>
        </w:rPr>
        <w:footnoteRef/>
      </w:r>
      <w:r>
        <w:rPr>
          <w:sz w:val="20"/>
          <w:szCs w:val="20"/>
          <w:rtl/>
        </w:rPr>
        <w:t>. עמ׳ 31.</w:t>
      </w:r>
    </w:p>
  </w:footnote>
  <w:footnote w:id="3395">
    <w:p w14:paraId="09A00AF9" w14:textId="77777777" w:rsidR="00AB3647" w:rsidRDefault="00000000">
      <w:pPr>
        <w:spacing w:after="0" w:before="0"/>
        <w:jc w:val="both"/>
      </w:pPr>
      <w:r>
        <w:rPr>
          <w:sz w:val="20"/>
          <w:szCs w:val="20"/>
          <w:rtl/>
        </w:rPr>
        <w:footnoteRef/>
      </w:r>
      <w:r>
        <w:rPr>
          <w:sz w:val="20"/>
          <w:szCs w:val="20"/>
          <w:rtl/>
        </w:rPr>
        <w:t xml:space="preserve">. כץ, “תנועת המוסר”, כרך ה, עמ׳ 24 ו־346; השווה גם לפרק 3, הפסקה השנייה של נספח </w:t>
      </w:r>
      <w:proofErr w:type="spellStart"/>
      <w:r>
        <w:rPr>
          <w:sz w:val="20"/>
          <w:szCs w:val="20"/>
          <w:rtl/>
        </w:rPr>
        <w:t>כח</w:t>
      </w:r>
      <w:proofErr w:type="spellEnd"/>
      <w:r>
        <w:rPr>
          <w:sz w:val="20"/>
          <w:szCs w:val="20"/>
          <w:rtl/>
        </w:rPr>
        <w:t>.</w:t>
      </w:r>
    </w:p>
  </w:footnote>
  <w:footnote w:id="3396">
    <w:p w14:paraId="5BD1B332" w14:textId="77777777" w:rsidR="00AB3647" w:rsidRDefault="00000000">
      <w:pPr>
        <w:spacing w:after="0" w:before="0"/>
        <w:jc w:val="both"/>
      </w:pPr>
      <w:r>
        <w:rPr>
          <w:sz w:val="20"/>
          <w:szCs w:val="20"/>
          <w:rtl/>
        </w:rPr>
        <w:footnoteRef/>
      </w:r>
      <w:r>
        <w:rPr>
          <w:sz w:val="20"/>
          <w:szCs w:val="20"/>
          <w:rtl/>
        </w:rPr>
        <w:t>. השווה להערה 110 להלן ולספרו של כץ, “תנועת המוסר”, כרך ה, עמ׳ 24–25, 29, 196 ו־199–202.</w:t>
      </w:r>
    </w:p>
  </w:footnote>
  <w:footnote w:id="3397">
    <w:p w14:paraId="16D45C9C" w14:textId="77777777" w:rsidR="00AB3647" w:rsidRDefault="00000000">
      <w:pPr>
        <w:spacing w:after="0" w:before="0"/>
        <w:jc w:val="both"/>
      </w:pPr>
      <w:r>
        <w:rPr>
          <w:sz w:val="20"/>
          <w:szCs w:val="20"/>
          <w:rtl/>
        </w:rPr>
        <w:footnoteRef/>
      </w:r>
      <w:r>
        <w:rPr>
          <w:sz w:val="20"/>
          <w:szCs w:val="20"/>
          <w:rtl/>
        </w:rPr>
        <w:t>. שם, עמ׳ 29 ו־270.</w:t>
      </w:r>
    </w:p>
  </w:footnote>
  <w:footnote w:id="3398">
    <w:p w14:paraId="6BF17F2C" w14:textId="77777777" w:rsidR="00AB3647" w:rsidRDefault="00000000">
      <w:pPr>
        <w:spacing w:after="0" w:before="0"/>
        <w:jc w:val="both"/>
      </w:pPr>
      <w:r>
        <w:rPr>
          <w:sz w:val="20"/>
          <w:szCs w:val="20"/>
          <w:rtl/>
        </w:rPr>
        <w:footnoteRef/>
      </w:r>
      <w:r>
        <w:rPr>
          <w:sz w:val="20"/>
          <w:szCs w:val="20"/>
          <w:rtl/>
        </w:rPr>
        <w:t>. שם, עמ׳ 31–32.</w:t>
      </w:r>
    </w:p>
  </w:footnote>
  <w:footnote w:id="3399">
    <w:p w14:paraId="2AA8A529" w14:textId="77777777" w:rsidR="00AB3647" w:rsidRDefault="00000000">
      <w:pPr>
        <w:spacing w:after="0" w:before="0"/>
        <w:jc w:val="both"/>
      </w:pPr>
      <w:r>
        <w:rPr>
          <w:sz w:val="20"/>
          <w:szCs w:val="20"/>
          <w:rtl/>
        </w:rPr>
        <w:footnoteRef/>
      </w:r>
      <w:r>
        <w:rPr>
          <w:sz w:val="20"/>
          <w:szCs w:val="20"/>
          <w:rtl/>
        </w:rPr>
        <w:t>. שם, עמ׳ 33.</w:t>
      </w:r>
    </w:p>
  </w:footnote>
  <w:footnote w:id="3400">
    <w:p w14:paraId="22D4D835" w14:textId="77777777" w:rsidR="00AB3647" w:rsidRDefault="00000000">
      <w:pPr>
        <w:spacing w:after="0" w:before="0"/>
        <w:jc w:val="both"/>
      </w:pPr>
      <w:r>
        <w:rPr>
          <w:sz w:val="20"/>
          <w:szCs w:val="20"/>
          <w:rtl/>
        </w:rPr>
        <w:footnoteRef/>
      </w:r>
      <w:r>
        <w:rPr>
          <w:sz w:val="20"/>
          <w:szCs w:val="20"/>
          <w:rtl/>
        </w:rPr>
        <w:t xml:space="preserve">. לפי </w:t>
      </w:r>
      <w:proofErr w:type="spellStart"/>
      <w:r>
        <w:rPr>
          <w:sz w:val="20"/>
          <w:szCs w:val="20"/>
          <w:rtl/>
        </w:rPr>
        <w:t>רבינר</w:t>
      </w:r>
      <w:proofErr w:type="spellEnd"/>
      <w:r>
        <w:rPr>
          <w:sz w:val="20"/>
          <w:szCs w:val="20"/>
          <w:rtl/>
        </w:rPr>
        <w:t xml:space="preserve">, “הגאון רבי אליעזר גורדון”, עמ׳ </w:t>
      </w:r>
      <w:proofErr w:type="spellStart"/>
      <w:r>
        <w:rPr>
          <w:sz w:val="20"/>
          <w:szCs w:val="20"/>
          <w:rtl/>
        </w:rPr>
        <w:t>סז</w:t>
      </w:r>
      <w:proofErr w:type="spellEnd"/>
      <w:r>
        <w:rPr>
          <w:sz w:val="20"/>
          <w:szCs w:val="20"/>
          <w:rtl/>
        </w:rPr>
        <w:t xml:space="preserve">, קצב </w:t>
      </w:r>
      <w:proofErr w:type="spellStart"/>
      <w:r>
        <w:rPr>
          <w:sz w:val="20"/>
          <w:szCs w:val="20"/>
          <w:rtl/>
        </w:rPr>
        <w:t>ורטז</w:t>
      </w:r>
      <w:proofErr w:type="spellEnd"/>
      <w:r>
        <w:rPr>
          <w:sz w:val="20"/>
          <w:szCs w:val="20"/>
          <w:rtl/>
        </w:rPr>
        <w:t>.</w:t>
      </w:r>
    </w:p>
  </w:footnote>
  <w:footnote w:id="3401">
    <w:p w14:paraId="5A773993" w14:textId="77777777" w:rsidR="00AB3647" w:rsidRDefault="00000000">
      <w:pPr>
        <w:spacing w:after="0" w:before="0"/>
        <w:jc w:val="both"/>
      </w:pPr>
      <w:r>
        <w:rPr>
          <w:sz w:val="20"/>
          <w:szCs w:val="20"/>
          <w:rtl/>
        </w:rPr>
        <w:footnoteRef/>
      </w:r>
      <w:r>
        <w:rPr>
          <w:sz w:val="20"/>
          <w:szCs w:val="20"/>
          <w:rtl/>
        </w:rPr>
        <w:t>. יצא לאור במוסד הרב קוק (ירושלים, תשמ״ה) – עמ׳ 231–234.</w:t>
      </w:r>
    </w:p>
  </w:footnote>
  <w:footnote w:id="3402">
    <w:p w14:paraId="2AE8B1D1" w14:textId="77777777" w:rsidR="00AB3647" w:rsidRDefault="00000000">
      <w:pPr>
        <w:spacing w:after="0" w:before="0"/>
        <w:jc w:val="both"/>
      </w:pPr>
      <w:r>
        <w:rPr>
          <w:sz w:val="20"/>
          <w:szCs w:val="20"/>
          <w:rtl/>
        </w:rPr>
        <w:footnoteRef/>
      </w:r>
      <w:r>
        <w:rPr>
          <w:sz w:val="20"/>
          <w:szCs w:val="20"/>
          <w:rtl/>
        </w:rPr>
        <w:t xml:space="preserve">. השווה להערה 95 לעיל ולפרק 3, תחילת הפסקה השנייה של נספח </w:t>
      </w:r>
      <w:proofErr w:type="spellStart"/>
      <w:r>
        <w:rPr>
          <w:sz w:val="20"/>
          <w:szCs w:val="20"/>
          <w:rtl/>
        </w:rPr>
        <w:t>יז</w:t>
      </w:r>
      <w:proofErr w:type="spellEnd"/>
      <w:r>
        <w:rPr>
          <w:sz w:val="20"/>
          <w:szCs w:val="20"/>
          <w:rtl/>
        </w:rPr>
        <w:t>.</w:t>
      </w:r>
    </w:p>
  </w:footnote>
  <w:footnote w:id="3403">
    <w:p w14:paraId="3BFA6A9B" w14:textId="77777777" w:rsidR="00AB3647" w:rsidRDefault="00000000">
      <w:pPr>
        <w:spacing w:after="0" w:before="0"/>
        <w:jc w:val="both"/>
      </w:pPr>
      <w:r>
        <w:rPr>
          <w:sz w:val="20"/>
          <w:szCs w:val="20"/>
          <w:rtl/>
        </w:rPr>
        <w:footnoteRef/>
      </w:r>
      <w:r>
        <w:rPr>
          <w:sz w:val="20"/>
          <w:szCs w:val="20"/>
          <w:rtl/>
        </w:rPr>
        <w:t>. כץ, “תנועת המוסר”, כרך ה, עמ׳ 18–21.</w:t>
      </w:r>
    </w:p>
  </w:footnote>
  <w:footnote w:id="3404">
    <w:p w14:paraId="10D88152" w14:textId="77777777" w:rsidR="00AB3647" w:rsidRDefault="00000000">
      <w:pPr>
        <w:spacing w:after="0" w:before="0"/>
        <w:jc w:val="both"/>
      </w:pPr>
      <w:r>
        <w:rPr>
          <w:sz w:val="20"/>
          <w:szCs w:val="20"/>
          <w:rtl/>
        </w:rPr>
        <w:footnoteRef/>
      </w:r>
      <w:r>
        <w:rPr>
          <w:sz w:val="20"/>
          <w:szCs w:val="20"/>
          <w:rtl/>
        </w:rPr>
        <w:t>. שם, עמ׳ 21.</w:t>
      </w:r>
    </w:p>
  </w:footnote>
  <w:footnote w:id="3405">
    <w:p w14:paraId="5CE5E56D" w14:textId="77777777" w:rsidR="00AB3647" w:rsidRDefault="00000000">
      <w:pPr>
        <w:spacing w:after="0" w:before="0"/>
        <w:jc w:val="both"/>
      </w:pPr>
      <w:r>
        <w:rPr>
          <w:sz w:val="20"/>
          <w:szCs w:val="20"/>
          <w:rtl/>
        </w:rPr>
        <w:footnoteRef/>
      </w:r>
      <w:r>
        <w:rPr>
          <w:sz w:val="20"/>
          <w:szCs w:val="20"/>
          <w:rtl/>
        </w:rPr>
        <w:t xml:space="preserve">. בריאיון המוקלט על הסבא </w:t>
      </w:r>
      <w:proofErr w:type="spellStart"/>
      <w:r>
        <w:rPr>
          <w:sz w:val="20"/>
          <w:szCs w:val="20"/>
          <w:rtl/>
        </w:rPr>
        <w:t>מסלבודקה</w:t>
      </w:r>
      <w:proofErr w:type="spellEnd"/>
      <w:r>
        <w:rPr>
          <w:sz w:val="20"/>
          <w:szCs w:val="20"/>
          <w:rtl/>
        </w:rPr>
        <w:t xml:space="preserve"> (הערה 1 לעיל).</w:t>
      </w:r>
    </w:p>
  </w:footnote>
  <w:footnote w:id="3406">
    <w:p w14:paraId="7A9F811A" w14:textId="77777777" w:rsidR="00AB3647" w:rsidRDefault="00000000">
      <w:pPr>
        <w:spacing w:after="0" w:before="0"/>
        <w:jc w:val="both"/>
      </w:pPr>
      <w:r>
        <w:rPr>
          <w:sz w:val="20"/>
          <w:szCs w:val="20"/>
          <w:rtl/>
        </w:rPr>
        <w:footnoteRef/>
      </w:r>
      <w:r>
        <w:rPr>
          <w:sz w:val="20"/>
          <w:szCs w:val="20"/>
          <w:rtl/>
        </w:rPr>
        <w:t>. השווה לנספח יד להלן.</w:t>
      </w:r>
    </w:p>
  </w:footnote>
  <w:footnote w:id="3407">
    <w:p w14:paraId="5428C1F9" w14:textId="77777777" w:rsidR="00AB3647" w:rsidRDefault="00000000">
      <w:pPr>
        <w:spacing w:after="0" w:before="0"/>
        <w:jc w:val="both"/>
      </w:pPr>
      <w:r>
        <w:rPr>
          <w:sz w:val="20"/>
          <w:szCs w:val="20"/>
          <w:rtl/>
        </w:rPr>
        <w:footnoteRef/>
      </w:r>
      <w:r>
        <w:rPr>
          <w:sz w:val="20"/>
          <w:szCs w:val="20"/>
          <w:rtl/>
        </w:rPr>
        <w:t>. ריאיון מ־3 בספטמבר 1995.</w:t>
      </w:r>
    </w:p>
  </w:footnote>
  <w:footnote w:id="3408">
    <w:p w14:paraId="3AA64D4A" w14:textId="77777777" w:rsidR="00AB3647" w:rsidRDefault="00000000">
      <w:pPr>
        <w:spacing w:after="0" w:before="0"/>
        <w:jc w:val="both"/>
      </w:pPr>
      <w:r>
        <w:rPr>
          <w:sz w:val="20"/>
          <w:szCs w:val="20"/>
          <w:rtl/>
        </w:rPr>
        <w:footnoteRef/>
      </w:r>
      <w:r>
        <w:rPr>
          <w:sz w:val="20"/>
          <w:szCs w:val="20"/>
          <w:rtl/>
        </w:rPr>
        <w:t>. השווה לספרו של כץ, “תנועת המוסר”, כרך ה, עמ׳ 25.</w:t>
      </w:r>
    </w:p>
  </w:footnote>
  <w:footnote w:id="3409">
    <w:p w14:paraId="18EFF5F0" w14:textId="77777777" w:rsidR="00AB3647" w:rsidRDefault="00000000">
      <w:pPr>
        <w:spacing w:after="0" w:before="0"/>
        <w:jc w:val="both"/>
      </w:pPr>
      <w:r>
        <w:rPr>
          <w:sz w:val="20"/>
          <w:szCs w:val="20"/>
          <w:rtl/>
        </w:rPr>
        <w:footnoteRef/>
      </w:r>
      <w:r>
        <w:rPr>
          <w:sz w:val="20"/>
          <w:szCs w:val="20"/>
          <w:rtl/>
        </w:rPr>
        <w:t>. הערה 99 לעיל.</w:t>
      </w:r>
    </w:p>
  </w:footnote>
  <w:footnote w:id="3410">
    <w:p w14:paraId="48BABACC" w14:textId="77777777" w:rsidR="00AB3647" w:rsidRDefault="00000000">
      <w:pPr>
        <w:spacing w:after="0" w:before="0"/>
        <w:jc w:val="both"/>
      </w:pPr>
      <w:r>
        <w:rPr>
          <w:sz w:val="20"/>
          <w:szCs w:val="20"/>
          <w:rtl/>
        </w:rPr>
        <w:footnoteRef/>
      </w:r>
      <w:r>
        <w:rPr>
          <w:sz w:val="20"/>
          <w:szCs w:val="20"/>
          <w:rtl/>
        </w:rPr>
        <w:t>. שם, עמ׳ 199–201.</w:t>
      </w:r>
    </w:p>
  </w:footnote>
  <w:footnote w:id="3411">
    <w:p w14:paraId="3E9D104E" w14:textId="77777777" w:rsidR="00AB3647" w:rsidRDefault="00000000">
      <w:pPr>
        <w:spacing w:after="0" w:before="0"/>
        <w:jc w:val="both"/>
      </w:pPr>
      <w:r>
        <w:rPr>
          <w:sz w:val="20"/>
          <w:szCs w:val="20"/>
          <w:rtl/>
        </w:rPr>
        <w:footnoteRef/>
      </w:r>
      <w:r>
        <w:rPr>
          <w:sz w:val="20"/>
          <w:szCs w:val="20"/>
          <w:rtl/>
        </w:rPr>
        <w:t>. יעקב מארק, עמ׳ 31.</w:t>
      </w:r>
    </w:p>
  </w:footnote>
  <w:footnote w:id="3412">
    <w:p w14:paraId="2A876544" w14:textId="77777777" w:rsidR="00AB3647" w:rsidRDefault="00000000">
      <w:pPr>
        <w:spacing w:after="0" w:before="0"/>
        <w:jc w:val="both"/>
      </w:pPr>
      <w:r>
        <w:rPr>
          <w:sz w:val="20"/>
          <w:szCs w:val="20"/>
          <w:rtl/>
        </w:rPr>
        <w:footnoteRef/>
      </w:r>
      <w:r>
        <w:rPr>
          <w:sz w:val="20"/>
          <w:szCs w:val="20"/>
          <w:rtl/>
        </w:rPr>
        <w:t>. כץ, “תנועת המוסר”, כרך ה, עמ׳ 25.</w:t>
      </w:r>
    </w:p>
  </w:footnote>
  <w:footnote w:id="3413">
    <w:p w14:paraId="2744AEE2" w14:textId="77777777" w:rsidR="00AB3647" w:rsidRDefault="00000000">
      <w:pPr>
        <w:spacing w:after="0" w:before="0"/>
        <w:jc w:val="both"/>
      </w:pPr>
      <w:r>
        <w:rPr>
          <w:sz w:val="20"/>
          <w:szCs w:val="20"/>
          <w:rtl/>
        </w:rPr>
        <w:footnoteRef/>
      </w:r>
      <w:r>
        <w:rPr>
          <w:sz w:val="20"/>
          <w:szCs w:val="20"/>
          <w:rtl/>
        </w:rPr>
        <w:t>. המקור הנזכר, פרק 1, הערה 46 – עמ׳ 70–72.</w:t>
      </w:r>
    </w:p>
  </w:footnote>
  <w:footnote w:id="3414">
    <w:p w14:paraId="10F5CB07" w14:textId="77777777" w:rsidR="00AB3647" w:rsidRDefault="00000000">
      <w:pPr>
        <w:spacing w:after="0" w:before="0"/>
        <w:jc w:val="both"/>
      </w:pPr>
      <w:r>
        <w:rPr>
          <w:sz w:val="20"/>
          <w:szCs w:val="20"/>
          <w:rtl/>
        </w:rPr>
        <w:footnoteRef/>
      </w:r>
      <w:r>
        <w:rPr>
          <w:sz w:val="20"/>
          <w:szCs w:val="20"/>
          <w:rtl/>
        </w:rPr>
        <w:t xml:space="preserve">. נדפס </w:t>
      </w:r>
      <w:proofErr w:type="spellStart"/>
      <w:r>
        <w:rPr>
          <w:sz w:val="20"/>
          <w:szCs w:val="20"/>
          <w:rtl/>
        </w:rPr>
        <w:t>ב“העבר</w:t>
      </w:r>
      <w:proofErr w:type="spellEnd"/>
      <w:r>
        <w:rPr>
          <w:sz w:val="20"/>
          <w:szCs w:val="20"/>
          <w:rtl/>
        </w:rPr>
        <w:t>” (תל אביב), חוברת כ (שבט תשי״ד) (להלן: אסף) – עמ׳ 38.</w:t>
      </w:r>
    </w:p>
  </w:footnote>
  <w:footnote w:id="3415">
    <w:p w14:paraId="407A847D" w14:textId="77777777" w:rsidR="00AB3647" w:rsidRDefault="00000000">
      <w:pPr>
        <w:spacing w:after="0" w:before="0"/>
        <w:jc w:val="both"/>
      </w:pPr>
      <w:r>
        <w:rPr>
          <w:sz w:val="20"/>
          <w:szCs w:val="20"/>
          <w:rtl/>
        </w:rPr>
        <w:footnoteRef/>
      </w:r>
      <w:r>
        <w:rPr>
          <w:sz w:val="20"/>
          <w:szCs w:val="20"/>
          <w:rtl/>
        </w:rPr>
        <w:t>. ראה סוף נספח יד להלן.</w:t>
      </w:r>
    </w:p>
  </w:footnote>
  <w:footnote w:id="3416">
    <w:p w14:paraId="37398B0C" w14:textId="77777777" w:rsidR="00AB3647" w:rsidRDefault="00000000">
      <w:pPr>
        <w:spacing w:after="0" w:before="0"/>
        <w:jc w:val="both"/>
      </w:pPr>
      <w:r>
        <w:rPr>
          <w:sz w:val="20"/>
          <w:szCs w:val="20"/>
          <w:rtl/>
        </w:rPr>
        <w:footnoteRef/>
      </w:r>
      <w:r>
        <w:rPr>
          <w:sz w:val="20"/>
          <w:szCs w:val="20"/>
          <w:rtl/>
        </w:rPr>
        <w:t>. וגם חלונות – ראה להלן.</w:t>
      </w:r>
    </w:p>
  </w:footnote>
  <w:footnote w:id="3417">
    <w:p w14:paraId="35982AD2" w14:textId="77777777" w:rsidR="00AB3647" w:rsidRDefault="00000000">
      <w:pPr>
        <w:spacing w:after="0" w:before="0"/>
        <w:jc w:val="both"/>
      </w:pPr>
      <w:r>
        <w:rPr>
          <w:sz w:val="20"/>
          <w:szCs w:val="20"/>
          <w:rtl/>
        </w:rPr>
        <w:footnoteRef/>
      </w:r>
      <w:r>
        <w:rPr>
          <w:sz w:val="20"/>
          <w:szCs w:val="20"/>
          <w:rtl/>
        </w:rPr>
        <w:t>. תל אביב, תש״ה.</w:t>
      </w:r>
    </w:p>
  </w:footnote>
  <w:footnote w:id="3418">
    <w:p w14:paraId="29AF7D80" w14:textId="77777777" w:rsidR="00AB3647" w:rsidRDefault="00000000">
      <w:pPr>
        <w:spacing w:after="0" w:before="0"/>
        <w:jc w:val="both"/>
      </w:pPr>
      <w:r>
        <w:rPr>
          <w:sz w:val="20"/>
          <w:szCs w:val="20"/>
          <w:rtl/>
        </w:rPr>
        <w:footnoteRef/>
      </w:r>
      <w:r>
        <w:rPr>
          <w:sz w:val="20"/>
          <w:szCs w:val="20"/>
          <w:rtl/>
        </w:rPr>
        <w:t>. עמ׳ קצב–</w:t>
      </w:r>
      <w:proofErr w:type="spellStart"/>
      <w:r>
        <w:rPr>
          <w:sz w:val="20"/>
          <w:szCs w:val="20"/>
          <w:rtl/>
        </w:rPr>
        <w:t>קצג</w:t>
      </w:r>
      <w:proofErr w:type="spellEnd"/>
      <w:r>
        <w:rPr>
          <w:sz w:val="20"/>
          <w:szCs w:val="20"/>
          <w:rtl/>
        </w:rPr>
        <w:t>.</w:t>
      </w:r>
    </w:p>
  </w:footnote>
  <w:footnote w:id="3419">
    <w:p w14:paraId="4C6E6EB7" w14:textId="77777777" w:rsidR="00AB3647" w:rsidRDefault="00000000">
      <w:pPr>
        <w:spacing w:after="0" w:before="0"/>
        <w:jc w:val="both"/>
      </w:pPr>
      <w:r>
        <w:rPr>
          <w:sz w:val="20"/>
          <w:szCs w:val="20"/>
          <w:rtl/>
        </w:rPr>
        <w:footnoteRef/>
      </w:r>
      <w:r>
        <w:rPr>
          <w:sz w:val="20"/>
          <w:szCs w:val="20"/>
          <w:rtl/>
        </w:rPr>
        <w:t>. בעמ׳ 42.</w:t>
      </w:r>
    </w:p>
  </w:footnote>
  <w:footnote w:id="3420">
    <w:p w14:paraId="439A4CCE" w14:textId="77777777" w:rsidR="00AB3647" w:rsidRDefault="00000000">
      <w:pPr>
        <w:spacing w:after="0" w:before="0"/>
        <w:jc w:val="both"/>
      </w:pPr>
      <w:r>
        <w:rPr>
          <w:sz w:val="20"/>
          <w:szCs w:val="20"/>
          <w:rtl/>
        </w:rPr>
        <w:footnoteRef/>
      </w:r>
      <w:r>
        <w:rPr>
          <w:sz w:val="20"/>
          <w:szCs w:val="20"/>
          <w:rtl/>
        </w:rPr>
        <w:t xml:space="preserve">. למידע נוסף על משפחת </w:t>
      </w:r>
      <w:proofErr w:type="spellStart"/>
      <w:r>
        <w:rPr>
          <w:sz w:val="20"/>
          <w:szCs w:val="20"/>
          <w:rtl/>
        </w:rPr>
        <w:t>פרסיץ</w:t>
      </w:r>
      <w:proofErr w:type="spellEnd"/>
      <w:r>
        <w:rPr>
          <w:sz w:val="20"/>
          <w:szCs w:val="20"/>
          <w:rtl/>
        </w:rPr>
        <w:t xml:space="preserve"> השווה לפרק 3, נספח ז, ולכרך 2.</w:t>
      </w:r>
    </w:p>
  </w:footnote>
  <w:footnote w:id="3421">
    <w:p w14:paraId="11814B03" w14:textId="77777777" w:rsidR="00AB3647" w:rsidRDefault="00000000">
      <w:pPr>
        <w:spacing w:after="0" w:before="0"/>
        <w:jc w:val="both"/>
      </w:pPr>
      <w:r>
        <w:rPr>
          <w:sz w:val="20"/>
          <w:szCs w:val="20"/>
          <w:rtl/>
        </w:rPr>
        <w:footnoteRef/>
      </w:r>
      <w:r>
        <w:rPr>
          <w:sz w:val="20"/>
          <w:szCs w:val="20"/>
          <w:rtl/>
        </w:rPr>
        <w:t>. עמ׳ 35–36.</w:t>
      </w:r>
    </w:p>
  </w:footnote>
  <w:footnote w:id="3422">
    <w:p w14:paraId="28277334" w14:textId="77777777" w:rsidR="00AB3647" w:rsidRDefault="00000000">
      <w:pPr>
        <w:spacing w:after="0" w:before="0"/>
        <w:jc w:val="both"/>
      </w:pPr>
      <w:r>
        <w:rPr>
          <w:sz w:val="20"/>
          <w:szCs w:val="20"/>
          <w:rtl/>
        </w:rPr>
        <w:footnoteRef/>
      </w:r>
      <w:r>
        <w:rPr>
          <w:sz w:val="20"/>
          <w:szCs w:val="20"/>
          <w:rtl/>
        </w:rPr>
        <w:t>. ראה ברכות י״ז ע״א.</w:t>
      </w:r>
    </w:p>
  </w:footnote>
  <w:footnote w:id="3423">
    <w:p w14:paraId="0C7B65D0" w14:textId="77777777" w:rsidR="00AB3647" w:rsidRDefault="00000000">
      <w:pPr>
        <w:spacing w:after="0" w:before="0"/>
        <w:jc w:val="both"/>
      </w:pPr>
      <w:r>
        <w:rPr>
          <w:sz w:val="20"/>
          <w:szCs w:val="20"/>
          <w:rtl/>
        </w:rPr>
        <w:footnoteRef/>
      </w:r>
      <w:r>
        <w:rPr>
          <w:sz w:val="20"/>
          <w:szCs w:val="20"/>
          <w:rtl/>
        </w:rPr>
        <w:t>. עמ׳ 40.</w:t>
      </w:r>
    </w:p>
  </w:footnote>
  <w:footnote w:id="3424">
    <w:p w14:paraId="74FDA0D2" w14:textId="77777777" w:rsidR="00AB3647" w:rsidRDefault="00000000">
      <w:pPr>
        <w:spacing w:after="0" w:before="0"/>
        <w:jc w:val="both"/>
      </w:pPr>
      <w:r>
        <w:rPr>
          <w:sz w:val="20"/>
          <w:szCs w:val="20"/>
          <w:rtl/>
        </w:rPr>
        <w:footnoteRef/>
      </w:r>
      <w:r>
        <w:rPr>
          <w:sz w:val="20"/>
          <w:szCs w:val="20"/>
          <w:rtl/>
        </w:rPr>
        <w:t>. כץ, “תנועת המוסר”, כרך ה, עמ׳ 201–202.</w:t>
      </w:r>
    </w:p>
  </w:footnote>
  <w:footnote w:id="3425">
    <w:p w14:paraId="410F8456" w14:textId="77777777" w:rsidR="00AB3647" w:rsidRDefault="00000000">
      <w:pPr>
        <w:spacing w:after="0" w:before="0"/>
        <w:jc w:val="both"/>
      </w:pPr>
      <w:r>
        <w:rPr>
          <w:sz w:val="20"/>
          <w:szCs w:val="20"/>
          <w:rtl/>
        </w:rPr>
        <w:footnoteRef/>
      </w:r>
      <w:r>
        <w:rPr>
          <w:sz w:val="20"/>
          <w:szCs w:val="20"/>
          <w:rtl/>
        </w:rPr>
        <w:t>. עמ׳ 191–265.</w:t>
      </w:r>
    </w:p>
  </w:footnote>
  <w:footnote w:id="3426">
    <w:p w14:paraId="0B54AE63" w14:textId="77777777" w:rsidR="00AB3647" w:rsidRDefault="00000000">
      <w:pPr>
        <w:spacing w:after="0" w:before="0"/>
        <w:jc w:val="both"/>
      </w:pPr>
      <w:r>
        <w:rPr>
          <w:sz w:val="20"/>
          <w:szCs w:val="20"/>
          <w:rtl/>
        </w:rPr>
        <w:footnoteRef/>
      </w:r>
      <w:r>
        <w:rPr>
          <w:sz w:val="20"/>
          <w:szCs w:val="20"/>
          <w:rtl/>
        </w:rPr>
        <w:t>. ריאיון מ־15 באפריל 1993.</w:t>
      </w:r>
    </w:p>
  </w:footnote>
  <w:footnote w:id="3427">
    <w:p w14:paraId="4AB2C8F5" w14:textId="77777777" w:rsidR="00AB3647" w:rsidRDefault="00000000">
      <w:pPr>
        <w:spacing w:after="0" w:before="0"/>
        <w:jc w:val="both"/>
      </w:pPr>
      <w:r>
        <w:rPr>
          <w:sz w:val="20"/>
          <w:szCs w:val="20"/>
          <w:rtl/>
        </w:rPr>
        <w:footnoteRef/>
      </w:r>
      <w:r>
        <w:rPr>
          <w:sz w:val="20"/>
          <w:szCs w:val="20"/>
          <w:rtl/>
        </w:rPr>
        <w:t>. עמ׳ 214–215.</w:t>
      </w:r>
    </w:p>
  </w:footnote>
  <w:footnote w:id="3428">
    <w:p w14:paraId="47D4334C" w14:textId="77777777" w:rsidR="00AB3647" w:rsidRDefault="00000000">
      <w:pPr>
        <w:spacing w:after="0" w:before="0"/>
        <w:jc w:val="both"/>
      </w:pPr>
      <w:r>
        <w:rPr>
          <w:sz w:val="20"/>
          <w:szCs w:val="20"/>
          <w:rtl/>
        </w:rPr>
        <w:footnoteRef/>
      </w:r>
      <w:r>
        <w:rPr>
          <w:sz w:val="20"/>
          <w:szCs w:val="20"/>
          <w:rtl/>
        </w:rPr>
        <w:t>. עמ׳ 35. ספר זה, מאת שמעון קושניר (הוצאת ספרית השדה, תשכ״ב), הוא ביוגרפיה של אברהם הרצפלד – מהפכן סוציאליסטי ברוסיה, ולימים מנהיג פועלים בארץ ישראל וממייסדי ההסתדרות. שמו של הספר הוא משחק מילים על שם משפחתו היידי של הרצפלד.</w:t>
      </w:r>
    </w:p>
  </w:footnote>
  <w:footnote w:id="3429">
    <w:p w14:paraId="32C0D1B6" w14:textId="77777777" w:rsidR="00AB3647" w:rsidRDefault="00000000">
      <w:pPr>
        <w:spacing w:after="0" w:before="0"/>
        <w:jc w:val="both"/>
      </w:pPr>
      <w:r>
        <w:rPr>
          <w:sz w:val="20"/>
          <w:szCs w:val="20"/>
          <w:rtl/>
        </w:rPr>
        <w:footnoteRef/>
      </w:r>
      <w:r>
        <w:rPr>
          <w:sz w:val="20"/>
          <w:szCs w:val="20"/>
          <w:rtl/>
        </w:rPr>
        <w:t>. אסף, עמ׳ 41.</w:t>
      </w:r>
    </w:p>
  </w:footnote>
  <w:footnote w:id="3430">
    <w:p w14:paraId="2A3A0A8F" w14:textId="77777777" w:rsidR="00AB3647" w:rsidRDefault="00000000">
      <w:pPr>
        <w:spacing w:after="0" w:before="0"/>
        <w:jc w:val="both"/>
      </w:pPr>
      <w:r>
        <w:rPr>
          <w:sz w:val="20"/>
          <w:szCs w:val="20"/>
          <w:rtl/>
        </w:rPr>
        <w:footnoteRef/>
      </w:r>
      <w:r>
        <w:rPr>
          <w:sz w:val="20"/>
          <w:szCs w:val="20"/>
          <w:rtl/>
        </w:rPr>
        <w:t xml:space="preserve">. כץ, “תנועת המוסר”, כרך ה, עמ׳ 27–28. השווה גם לפסקה השנייה של נספח יד להלן, על חזרתו </w:t>
      </w:r>
      <w:proofErr w:type="spellStart"/>
      <w:r>
        <w:rPr>
          <w:sz w:val="20"/>
          <w:szCs w:val="20"/>
          <w:rtl/>
        </w:rPr>
        <w:t>לטלז</w:t>
      </w:r>
      <w:proofErr w:type="spellEnd"/>
      <w:r>
        <w:rPr>
          <w:sz w:val="20"/>
          <w:szCs w:val="20"/>
          <w:rtl/>
        </w:rPr>
        <w:t xml:space="preserve"> כרבה.</w:t>
      </w:r>
    </w:p>
  </w:footnote>
  <w:footnote w:id="3431">
    <w:p w14:paraId="0FB3E8D1" w14:textId="77777777" w:rsidR="00AB3647" w:rsidRDefault="00000000">
      <w:pPr>
        <w:spacing w:after="0" w:before="0"/>
        <w:jc w:val="both"/>
      </w:pPr>
      <w:r>
        <w:rPr>
          <w:sz w:val="20"/>
          <w:szCs w:val="20"/>
          <w:rtl/>
        </w:rPr>
        <w:footnoteRef/>
      </w:r>
      <w:r>
        <w:rPr>
          <w:sz w:val="20"/>
          <w:szCs w:val="20"/>
          <w:rtl/>
        </w:rPr>
        <w:t>. השווה לספרו של כץ, “תנועת המוסר”, כרך ה, עמ׳ 29.</w:t>
      </w:r>
    </w:p>
  </w:footnote>
  <w:footnote w:id="3432">
    <w:p w14:paraId="03F75DBD" w14:textId="77777777" w:rsidR="00AB3647" w:rsidRDefault="00000000">
      <w:pPr>
        <w:spacing w:after="0" w:before="0"/>
        <w:jc w:val="both"/>
      </w:pPr>
      <w:r>
        <w:rPr>
          <w:sz w:val="20"/>
          <w:szCs w:val="20"/>
          <w:rtl/>
        </w:rPr>
        <w:footnoteRef/>
      </w:r>
      <w:r>
        <w:rPr>
          <w:sz w:val="20"/>
          <w:szCs w:val="20"/>
          <w:rtl/>
        </w:rPr>
        <w:t>. השווה שם ולעמ׳ 202.</w:t>
      </w:r>
    </w:p>
  </w:footnote>
  <w:footnote w:id="3433">
    <w:p w14:paraId="43D3DDE6" w14:textId="77777777" w:rsidR="00AB3647" w:rsidRDefault="00000000">
      <w:pPr>
        <w:spacing w:after="0" w:before="0"/>
        <w:jc w:val="both"/>
      </w:pPr>
      <w:r>
        <w:rPr>
          <w:sz w:val="20"/>
          <w:szCs w:val="20"/>
          <w:rtl/>
        </w:rPr>
        <w:footnoteRef/>
      </w:r>
      <w:r>
        <w:rPr>
          <w:sz w:val="20"/>
          <w:szCs w:val="20"/>
          <w:rtl/>
        </w:rPr>
        <w:t xml:space="preserve">. עמ׳ 134–147 של “העבר”, חוברת י״ב (אייר תשכ״ה) (להלן: </w:t>
      </w:r>
      <w:proofErr w:type="spellStart"/>
      <w:r>
        <w:rPr>
          <w:sz w:val="20"/>
          <w:szCs w:val="20"/>
          <w:rtl/>
        </w:rPr>
        <w:t>שולמן</w:t>
      </w:r>
      <w:proofErr w:type="spellEnd"/>
      <w:r>
        <w:rPr>
          <w:sz w:val="20"/>
          <w:szCs w:val="20"/>
          <w:rtl/>
        </w:rPr>
        <w:t>).</w:t>
      </w:r>
    </w:p>
  </w:footnote>
  <w:footnote w:id="3434">
    <w:p w14:paraId="31F489E9" w14:textId="77777777" w:rsidR="00AB3647" w:rsidRDefault="00000000">
      <w:pPr>
        <w:spacing w:after="0" w:before="0"/>
        <w:jc w:val="both"/>
      </w:pPr>
      <w:r>
        <w:rPr>
          <w:sz w:val="20"/>
          <w:szCs w:val="20"/>
          <w:rtl/>
        </w:rPr>
        <w:footnoteRef/>
      </w:r>
      <w:r>
        <w:rPr>
          <w:sz w:val="20"/>
          <w:szCs w:val="20"/>
          <w:rtl/>
        </w:rPr>
        <w:t>. עמ׳ 137.</w:t>
      </w:r>
    </w:p>
  </w:footnote>
  <w:footnote w:id="3435">
    <w:p w14:paraId="0D5B82D1" w14:textId="77777777" w:rsidR="00AB3647" w:rsidRDefault="00000000">
      <w:pPr>
        <w:spacing w:after="0" w:before="0"/>
        <w:jc w:val="both"/>
      </w:pPr>
      <w:r>
        <w:rPr>
          <w:sz w:val="20"/>
          <w:szCs w:val="20"/>
          <w:rtl/>
        </w:rPr>
        <w:footnoteRef/>
      </w:r>
      <w:r>
        <w:rPr>
          <w:sz w:val="20"/>
          <w:szCs w:val="20"/>
          <w:rtl/>
        </w:rPr>
        <w:t xml:space="preserve">. לא ברור לאילו ישיבות </w:t>
      </w:r>
      <w:proofErr w:type="spellStart"/>
      <w:r>
        <w:rPr>
          <w:sz w:val="20"/>
          <w:szCs w:val="20"/>
          <w:rtl/>
        </w:rPr>
        <w:t>בסלבודקה</w:t>
      </w:r>
      <w:proofErr w:type="spellEnd"/>
      <w:r>
        <w:rPr>
          <w:sz w:val="20"/>
          <w:szCs w:val="20"/>
          <w:rtl/>
        </w:rPr>
        <w:t xml:space="preserve">, מלבד כנסת בית יצחק, יכול היה המחבר להתכוון. ישיבתו של ר׳ </w:t>
      </w:r>
      <w:proofErr w:type="spellStart"/>
      <w:r>
        <w:rPr>
          <w:sz w:val="20"/>
          <w:szCs w:val="20"/>
          <w:rtl/>
        </w:rPr>
        <w:t>הירשל׳ה</w:t>
      </w:r>
      <w:proofErr w:type="spellEnd"/>
      <w:r>
        <w:rPr>
          <w:sz w:val="20"/>
          <w:szCs w:val="20"/>
          <w:rtl/>
        </w:rPr>
        <w:t xml:space="preserve"> הייתה של תלמידים צעירים מכדי שיושפעו, וכולל קובנה – של תלמידים נשואים שכבר כיוונו את חייהם לרבנות.</w:t>
      </w:r>
    </w:p>
  </w:footnote>
  <w:footnote w:id="3436">
    <w:p w14:paraId="0AB6573B" w14:textId="77777777" w:rsidR="00AB3647" w:rsidRDefault="00000000">
      <w:pPr>
        <w:spacing w:after="0" w:before="0"/>
        <w:jc w:val="both"/>
      </w:pPr>
      <w:r>
        <w:rPr>
          <w:sz w:val="20"/>
          <w:szCs w:val="20"/>
          <w:rtl/>
        </w:rPr>
        <w:footnoteRef/>
      </w:r>
      <w:r>
        <w:rPr>
          <w:sz w:val="20"/>
          <w:szCs w:val="20"/>
          <w:rtl/>
        </w:rPr>
        <w:t>. ראה הערה 121 להלן.</w:t>
      </w:r>
    </w:p>
  </w:footnote>
  <w:footnote w:id="3437">
    <w:p w14:paraId="103D3AF8" w14:textId="77777777" w:rsidR="00AB3647" w:rsidRDefault="00000000">
      <w:pPr>
        <w:spacing w:after="0" w:before="0"/>
        <w:jc w:val="both"/>
      </w:pPr>
      <w:r>
        <w:rPr>
          <w:sz w:val="20"/>
          <w:szCs w:val="20"/>
          <w:rtl/>
        </w:rPr>
        <w:footnoteRef/>
      </w:r>
      <w:r>
        <w:rPr>
          <w:sz w:val="20"/>
          <w:szCs w:val="20"/>
          <w:rtl/>
        </w:rPr>
        <w:t>. עמ׳ 31–32 ו־289.</w:t>
      </w:r>
    </w:p>
  </w:footnote>
  <w:footnote w:id="3438">
    <w:p w14:paraId="180BE8FB" w14:textId="77777777" w:rsidR="00AB3647" w:rsidRDefault="00000000">
      <w:pPr>
        <w:spacing w:after="0" w:before="0"/>
        <w:jc w:val="both"/>
      </w:pPr>
      <w:r>
        <w:rPr>
          <w:sz w:val="20"/>
          <w:szCs w:val="20"/>
          <w:rtl/>
        </w:rPr>
        <w:footnoteRef/>
      </w:r>
      <w:r>
        <w:rPr>
          <w:sz w:val="20"/>
          <w:szCs w:val="20"/>
          <w:rtl/>
        </w:rPr>
        <w:t>. הערה 110 לעיל – עמ׳ 40.</w:t>
      </w:r>
    </w:p>
  </w:footnote>
  <w:footnote w:id="3439">
    <w:p w14:paraId="1BF59118" w14:textId="77777777" w:rsidR="00AB3647" w:rsidRDefault="00000000">
      <w:pPr>
        <w:spacing w:after="0" w:before="0"/>
        <w:jc w:val="both"/>
      </w:pPr>
      <w:r>
        <w:rPr>
          <w:sz w:val="20"/>
          <w:szCs w:val="20"/>
          <w:rtl/>
        </w:rPr>
        <w:footnoteRef/>
      </w:r>
      <w:r>
        <w:rPr>
          <w:sz w:val="20"/>
          <w:szCs w:val="20"/>
          <w:rtl/>
        </w:rPr>
        <w:t>. השווה לספרו של כץ, “תנועת המוסר”, כרך ג, עמ׳ 63 והערה 254, ולפסקאות השנייה והשלישית של פרק 3, נספח כ.</w:t>
      </w:r>
    </w:p>
  </w:footnote>
  <w:footnote w:id="3440">
    <w:p w14:paraId="36CC0A21" w14:textId="77777777" w:rsidR="00AB3647" w:rsidRDefault="00000000">
      <w:pPr>
        <w:spacing w:after="0" w:before="0"/>
        <w:jc w:val="both"/>
      </w:pPr>
      <w:r>
        <w:rPr>
          <w:sz w:val="20"/>
          <w:szCs w:val="20"/>
          <w:rtl/>
        </w:rPr>
        <w:footnoteRef/>
      </w:r>
      <w:r>
        <w:rPr>
          <w:sz w:val="20"/>
          <w:szCs w:val="20"/>
          <w:rtl/>
        </w:rPr>
        <w:t>. השווה לכרך 2.</w:t>
      </w:r>
    </w:p>
  </w:footnote>
  <w:footnote w:id="3441">
    <w:p w14:paraId="4CAD679C" w14:textId="77777777" w:rsidR="00AB3647" w:rsidRDefault="00000000">
      <w:pPr>
        <w:spacing w:after="0" w:before="0"/>
        <w:jc w:val="both"/>
      </w:pPr>
      <w:r>
        <w:rPr>
          <w:sz w:val="20"/>
          <w:szCs w:val="20"/>
          <w:rtl/>
        </w:rPr>
        <w:footnoteRef/>
      </w:r>
      <w:r>
        <w:rPr>
          <w:sz w:val="20"/>
          <w:szCs w:val="20"/>
          <w:rtl/>
        </w:rPr>
        <w:t>. השווה לפרק 5.</w:t>
      </w:r>
    </w:p>
  </w:footnote>
  <w:footnote w:id="3442">
    <w:p w14:paraId="336C9A6C" w14:textId="77777777" w:rsidR="00AB3647" w:rsidRDefault="00000000">
      <w:pPr>
        <w:spacing w:after="0" w:before="0"/>
        <w:jc w:val="both"/>
      </w:pPr>
      <w:r>
        <w:rPr>
          <w:sz w:val="20"/>
          <w:szCs w:val="20"/>
          <w:rtl/>
        </w:rPr>
        <w:footnoteRef/>
      </w:r>
      <w:r>
        <w:rPr>
          <w:sz w:val="20"/>
          <w:szCs w:val="20"/>
          <w:rtl/>
        </w:rPr>
        <w:t>. נספח א להלן – עמ׳ יא.</w:t>
      </w:r>
    </w:p>
  </w:footnote>
  <w:footnote w:id="3443">
    <w:p w14:paraId="686CF766" w14:textId="77777777" w:rsidR="00AB3647" w:rsidRDefault="00000000">
      <w:pPr>
        <w:spacing w:after="0" w:before="0"/>
        <w:jc w:val="both"/>
      </w:pPr>
      <w:r>
        <w:rPr>
          <w:sz w:val="20"/>
          <w:szCs w:val="20"/>
          <w:rtl/>
        </w:rPr>
        <w:footnoteRef/>
      </w:r>
      <w:r>
        <w:rPr>
          <w:sz w:val="20"/>
          <w:szCs w:val="20"/>
          <w:rtl/>
        </w:rPr>
        <w:t xml:space="preserve">. השווה לפרק 3, הפסקאות השנייה והשלישית של נספח כ. השווה גם לפסקה השלישית בפרק הבא, על סיווגו הכללי של ר׳ שלמה </w:t>
      </w:r>
      <w:proofErr w:type="spellStart"/>
      <w:r>
        <w:rPr>
          <w:sz w:val="20"/>
          <w:szCs w:val="20"/>
          <w:rtl/>
        </w:rPr>
        <w:t>גבורין</w:t>
      </w:r>
      <w:proofErr w:type="spellEnd"/>
      <w:r>
        <w:rPr>
          <w:sz w:val="20"/>
          <w:szCs w:val="20"/>
          <w:rtl/>
        </w:rPr>
        <w:t xml:space="preserve"> בישיבה – שלא באמצעות זיקתו לסבא.</w:t>
      </w:r>
    </w:p>
  </w:footnote>
  <w:footnote w:id="3444">
    <w:p w14:paraId="375BFFE9" w14:textId="77777777" w:rsidR="00AB3647" w:rsidRDefault="00000000">
      <w:pPr>
        <w:spacing w:after="0" w:before="0"/>
        <w:jc w:val="both"/>
      </w:pPr>
      <w:r>
        <w:rPr>
          <w:sz w:val="20"/>
          <w:szCs w:val="20"/>
          <w:rtl/>
        </w:rPr>
        <w:footnoteRef/>
      </w:r>
      <w:r>
        <w:rPr>
          <w:sz w:val="20"/>
          <w:szCs w:val="20"/>
          <w:rtl/>
        </w:rPr>
        <w:t>. ריאיון מ־18 בנובמבר 1987.</w:t>
      </w:r>
    </w:p>
  </w:footnote>
  <w:footnote w:id="3445">
    <w:p w14:paraId="5F757126" w14:textId="77777777" w:rsidR="00AB3647" w:rsidRDefault="00000000">
      <w:pPr>
        <w:spacing w:after="0" w:before="0"/>
        <w:jc w:val="both"/>
      </w:pPr>
      <w:r>
        <w:rPr>
          <w:sz w:val="20"/>
          <w:szCs w:val="20"/>
          <w:rtl/>
        </w:rPr>
        <w:footnoteRef/>
      </w:r>
      <w:r>
        <w:rPr>
          <w:sz w:val="20"/>
          <w:szCs w:val="20"/>
          <w:rtl/>
        </w:rPr>
        <w:t>. נספח י להלן – עמ׳ 50.</w:t>
      </w:r>
    </w:p>
  </w:footnote>
  <w:footnote w:id="3446">
    <w:p w14:paraId="3782A109" w14:textId="77777777" w:rsidR="00AB3647" w:rsidRDefault="00000000">
      <w:pPr>
        <w:spacing w:after="0" w:before="0"/>
        <w:jc w:val="both"/>
      </w:pPr>
      <w:r>
        <w:rPr>
          <w:sz w:val="20"/>
          <w:szCs w:val="20"/>
          <w:rtl/>
        </w:rPr>
        <w:footnoteRef/>
      </w:r>
      <w:r>
        <w:rPr>
          <w:sz w:val="20"/>
          <w:szCs w:val="20"/>
          <w:rtl/>
        </w:rPr>
        <w:t>. עמ׳ 291.</w:t>
      </w:r>
    </w:p>
  </w:footnote>
  <w:footnote w:id="3447">
    <w:p w14:paraId="2968B521" w14:textId="77777777" w:rsidR="00AB3647" w:rsidRDefault="00000000">
      <w:pPr>
        <w:spacing w:after="0" w:before="0"/>
        <w:jc w:val="both"/>
      </w:pPr>
      <w:r>
        <w:rPr>
          <w:sz w:val="20"/>
          <w:szCs w:val="20"/>
          <w:rtl/>
        </w:rPr>
        <w:footnoteRef/>
      </w:r>
      <w:r>
        <w:rPr>
          <w:sz w:val="20"/>
          <w:szCs w:val="20"/>
          <w:rtl/>
        </w:rPr>
        <w:t xml:space="preserve">. </w:t>
      </w:r>
      <w:proofErr w:type="spellStart"/>
      <w:r>
        <w:rPr>
          <w:sz w:val="20"/>
          <w:szCs w:val="20"/>
          <w:rtl/>
        </w:rPr>
        <w:t>עט:א</w:t>
      </w:r>
      <w:proofErr w:type="spellEnd"/>
      <w:r>
        <w:rPr>
          <w:sz w:val="20"/>
          <w:szCs w:val="20"/>
          <w:rtl/>
        </w:rPr>
        <w:t>.</w:t>
      </w:r>
    </w:p>
  </w:footnote>
  <w:footnote w:id="3448">
    <w:p w14:paraId="30F98B2E" w14:textId="77777777" w:rsidR="00AB3647" w:rsidRDefault="00000000">
      <w:pPr>
        <w:spacing w:after="0" w:before="0"/>
        <w:jc w:val="both"/>
      </w:pPr>
      <w:r>
        <w:rPr>
          <w:sz w:val="20"/>
          <w:szCs w:val="20"/>
          <w:rtl/>
        </w:rPr>
        <w:footnoteRef/>
      </w:r>
      <w:r>
        <w:rPr>
          <w:sz w:val="20"/>
          <w:szCs w:val="20"/>
          <w:rtl/>
        </w:rPr>
        <w:t>. ריאיון מ־16 ביוני 1992.</w:t>
      </w:r>
    </w:p>
  </w:footnote>
  <w:footnote w:id="3449">
    <w:p w14:paraId="705D3588" w14:textId="77777777" w:rsidR="00AB3647" w:rsidRDefault="00000000">
      <w:pPr>
        <w:spacing w:after="0" w:before="0"/>
        <w:jc w:val="both"/>
      </w:pPr>
      <w:r>
        <w:rPr>
          <w:sz w:val="20"/>
          <w:szCs w:val="20"/>
          <w:rtl/>
        </w:rPr>
        <w:footnoteRef/>
      </w:r>
      <w:r>
        <w:rPr>
          <w:sz w:val="20"/>
          <w:szCs w:val="20"/>
          <w:rtl/>
        </w:rPr>
        <w:t>. הערה 113 לעיל – עמ׳ 34–35.</w:t>
      </w:r>
    </w:p>
  </w:footnote>
  <w:footnote w:id="3450">
    <w:p w14:paraId="42DB89BC" w14:textId="77777777" w:rsidR="00AB3647" w:rsidRDefault="00000000">
      <w:pPr>
        <w:spacing w:after="0" w:before="0"/>
        <w:jc w:val="both"/>
      </w:pPr>
      <w:r>
        <w:rPr>
          <w:sz w:val="20"/>
          <w:szCs w:val="20"/>
          <w:rtl/>
        </w:rPr>
        <w:footnoteRef/>
      </w:r>
      <w:r>
        <w:rPr>
          <w:sz w:val="20"/>
          <w:szCs w:val="20"/>
          <w:rtl/>
        </w:rPr>
        <w:t>. השווה להערה 103 לעיל ולסוף הערה 127 להלן.</w:t>
      </w:r>
    </w:p>
  </w:footnote>
  <w:footnote w:id="3451">
    <w:p w14:paraId="7B3FB75A" w14:textId="77777777" w:rsidR="00AB3647" w:rsidRDefault="00000000">
      <w:pPr>
        <w:spacing w:after="0" w:before="0"/>
        <w:jc w:val="both"/>
      </w:pPr>
      <w:r>
        <w:rPr>
          <w:sz w:val="20"/>
          <w:szCs w:val="20"/>
          <w:rtl/>
        </w:rPr>
        <w:footnoteRef/>
      </w:r>
      <w:r>
        <w:rPr>
          <w:sz w:val="20"/>
          <w:szCs w:val="20"/>
          <w:rtl/>
        </w:rPr>
        <w:t>. עמ׳ 65.</w:t>
      </w:r>
    </w:p>
  </w:footnote>
  <w:footnote w:id="3452">
    <w:p w14:paraId="5669F187" w14:textId="77777777" w:rsidR="00AB3647" w:rsidRDefault="00000000">
      <w:pPr>
        <w:spacing w:after="0" w:before="0"/>
        <w:jc w:val="both"/>
      </w:pPr>
      <w:r>
        <w:rPr>
          <w:sz w:val="20"/>
          <w:szCs w:val="20"/>
          <w:rtl/>
        </w:rPr>
        <w:footnoteRef/>
      </w:r>
      <w:r>
        <w:rPr>
          <w:sz w:val="20"/>
          <w:szCs w:val="20"/>
          <w:rtl/>
        </w:rPr>
        <w:t xml:space="preserve">. השווה לסוף הפסקה הראשונה של פרק 3, נספח </w:t>
      </w:r>
      <w:proofErr w:type="spellStart"/>
      <w:r>
        <w:rPr>
          <w:sz w:val="20"/>
          <w:szCs w:val="20"/>
          <w:rtl/>
        </w:rPr>
        <w:t>כא</w:t>
      </w:r>
      <w:proofErr w:type="spellEnd"/>
      <w:r>
        <w:rPr>
          <w:sz w:val="20"/>
          <w:szCs w:val="20"/>
          <w:rtl/>
        </w:rPr>
        <w:t>.</w:t>
      </w:r>
    </w:p>
  </w:footnote>
  <w:footnote w:id="3453">
    <w:p w14:paraId="3963AF5F" w14:textId="77777777" w:rsidR="00AB3647" w:rsidRDefault="00000000">
      <w:pPr>
        <w:spacing w:after="0" w:before="0"/>
        <w:jc w:val="both"/>
      </w:pPr>
      <w:r>
        <w:rPr>
          <w:sz w:val="20"/>
          <w:szCs w:val="20"/>
          <w:rtl/>
        </w:rPr>
        <w:footnoteRef/>
      </w:r>
      <w:r>
        <w:rPr>
          <w:sz w:val="20"/>
          <w:szCs w:val="20"/>
          <w:rtl/>
        </w:rPr>
        <w:t>. על פי תענית ד׳ ע״א.</w:t>
      </w:r>
    </w:p>
  </w:footnote>
  <w:footnote w:id="3454">
    <w:p w14:paraId="404B957F" w14:textId="77777777" w:rsidR="00AB3647" w:rsidRDefault="00000000">
      <w:pPr>
        <w:spacing w:after="0" w:before="0"/>
        <w:jc w:val="both"/>
      </w:pPr>
      <w:r>
        <w:rPr>
          <w:sz w:val="20"/>
          <w:szCs w:val="20"/>
          <w:rtl/>
        </w:rPr>
        <w:footnoteRef/>
      </w:r>
      <w:r>
        <w:rPr>
          <w:sz w:val="20"/>
          <w:szCs w:val="20"/>
          <w:rtl/>
        </w:rPr>
        <w:t>. על פי ישעיה ו:ד, עיי״ש.</w:t>
      </w:r>
    </w:p>
  </w:footnote>
  <w:footnote w:id="3455">
    <w:p w14:paraId="2EB2F5A4" w14:textId="77777777" w:rsidR="00AB3647" w:rsidRDefault="00000000">
      <w:pPr>
        <w:spacing w:after="0" w:before="0"/>
        <w:jc w:val="both"/>
      </w:pPr>
      <w:r>
        <w:rPr>
          <w:sz w:val="20"/>
          <w:szCs w:val="20"/>
          <w:rtl/>
        </w:rPr>
        <w:footnoteRef/>
      </w:r>
      <w:r>
        <w:rPr>
          <w:sz w:val="20"/>
          <w:szCs w:val="20"/>
          <w:rtl/>
        </w:rPr>
        <w:t xml:space="preserve">. הערה 48 לעיל – עמ׳ </w:t>
      </w:r>
      <w:proofErr w:type="spellStart"/>
      <w:r>
        <w:rPr>
          <w:sz w:val="20"/>
          <w:szCs w:val="20"/>
          <w:rtl/>
        </w:rPr>
        <w:t>נה</w:t>
      </w:r>
      <w:proofErr w:type="spellEnd"/>
      <w:r>
        <w:rPr>
          <w:sz w:val="20"/>
          <w:szCs w:val="20"/>
          <w:rtl/>
        </w:rPr>
        <w:t>.</w:t>
      </w:r>
    </w:p>
  </w:footnote>
  <w:footnote w:id="3456">
    <w:p w14:paraId="22865984" w14:textId="77777777" w:rsidR="00AB3647" w:rsidRDefault="00000000">
      <w:pPr>
        <w:spacing w:after="0" w:before="0"/>
        <w:jc w:val="both"/>
      </w:pPr>
      <w:r>
        <w:rPr>
          <w:sz w:val="20"/>
          <w:szCs w:val="20"/>
          <w:rtl/>
        </w:rPr>
        <w:footnoteRef/>
      </w:r>
      <w:r>
        <w:rPr>
          <w:sz w:val="20"/>
          <w:szCs w:val="20"/>
          <w:rtl/>
        </w:rPr>
        <w:t xml:space="preserve">. על פי בראשית </w:t>
      </w:r>
      <w:proofErr w:type="spellStart"/>
      <w:r>
        <w:rPr>
          <w:sz w:val="20"/>
          <w:szCs w:val="20"/>
          <w:rtl/>
        </w:rPr>
        <w:t>כז:מו</w:t>
      </w:r>
      <w:proofErr w:type="spellEnd"/>
      <w:r>
        <w:rPr>
          <w:sz w:val="20"/>
          <w:szCs w:val="20"/>
          <w:rtl/>
        </w:rPr>
        <w:t>.</w:t>
      </w:r>
    </w:p>
  </w:footnote>
  <w:footnote w:id="3457">
    <w:p w14:paraId="1724D4A1" w14:textId="77777777" w:rsidR="00AB3647" w:rsidRDefault="00000000">
      <w:pPr>
        <w:spacing w:after="0" w:before="0"/>
        <w:jc w:val="both"/>
      </w:pPr>
      <w:r>
        <w:rPr>
          <w:sz w:val="20"/>
          <w:szCs w:val="20"/>
          <w:rtl/>
        </w:rPr>
        <w:footnoteRef/>
      </w:r>
      <w:r>
        <w:rPr>
          <w:sz w:val="20"/>
          <w:szCs w:val="20"/>
          <w:rtl/>
        </w:rPr>
        <w:t>. עמ׳ 32–33 ו־328.</w:t>
      </w:r>
    </w:p>
  </w:footnote>
  <w:footnote w:id="3458">
    <w:p w14:paraId="7AFDD663" w14:textId="77777777" w:rsidR="00AB3647" w:rsidRDefault="00000000">
      <w:pPr>
        <w:spacing w:after="0" w:before="0"/>
        <w:jc w:val="both"/>
      </w:pPr>
      <w:r>
        <w:rPr>
          <w:sz w:val="20"/>
          <w:szCs w:val="20"/>
          <w:rtl/>
        </w:rPr>
        <w:footnoteRef/>
      </w:r>
      <w:r>
        <w:rPr>
          <w:sz w:val="20"/>
          <w:szCs w:val="20"/>
          <w:rtl/>
        </w:rPr>
        <w:t>. הערה 110 לעיל – עמ׳ 41.</w:t>
      </w:r>
    </w:p>
  </w:footnote>
  <w:footnote w:id="3459">
    <w:p w14:paraId="7716931D" w14:textId="77777777" w:rsidR="00AB3647" w:rsidRDefault="00000000">
      <w:pPr>
        <w:spacing w:after="0" w:before="0"/>
        <w:jc w:val="both"/>
      </w:pPr>
      <w:r>
        <w:rPr>
          <w:sz w:val="20"/>
          <w:szCs w:val="20"/>
          <w:rtl/>
        </w:rPr>
        <w:footnoteRef/>
      </w:r>
      <w:r>
        <w:rPr>
          <w:sz w:val="20"/>
          <w:szCs w:val="20"/>
          <w:rtl/>
        </w:rPr>
        <w:t>. הערה 115 לעיל – עמ׳ 135.</w:t>
      </w:r>
    </w:p>
  </w:footnote>
  <w:footnote w:id="3460">
    <w:p w14:paraId="3816C92E" w14:textId="77777777" w:rsidR="00AB3647" w:rsidRDefault="00000000">
      <w:pPr>
        <w:spacing w:after="0" w:before="0"/>
        <w:jc w:val="both"/>
      </w:pPr>
      <w:r>
        <w:rPr>
          <w:sz w:val="20"/>
          <w:szCs w:val="20"/>
          <w:rtl/>
        </w:rPr>
        <w:footnoteRef/>
      </w:r>
      <w:r>
        <w:rPr>
          <w:sz w:val="20"/>
          <w:szCs w:val="20"/>
          <w:rtl/>
        </w:rPr>
        <w:t>. שם, עמ׳ 138–139.</w:t>
      </w:r>
    </w:p>
  </w:footnote>
  <w:footnote w:id="3461">
    <w:p w14:paraId="5D30B71C" w14:textId="77777777" w:rsidR="00AB3647" w:rsidRDefault="00000000">
      <w:pPr>
        <w:spacing w:after="0" w:before="0"/>
        <w:jc w:val="both"/>
      </w:pPr>
      <w:r>
        <w:rPr>
          <w:sz w:val="20"/>
          <w:szCs w:val="20"/>
          <w:rtl/>
        </w:rPr>
        <w:footnoteRef/>
      </w:r>
      <w:r>
        <w:rPr>
          <w:sz w:val="20"/>
          <w:szCs w:val="20"/>
          <w:rtl/>
        </w:rPr>
        <w:t>. עמ׳ 137–139.</w:t>
      </w:r>
    </w:p>
  </w:footnote>
  <w:footnote w:id="3462">
    <w:p w14:paraId="30ED9F5D" w14:textId="77777777" w:rsidR="00AB3647" w:rsidRDefault="00000000">
      <w:pPr>
        <w:spacing w:after="0" w:before="0"/>
        <w:jc w:val="both"/>
      </w:pPr>
      <w:r>
        <w:rPr>
          <w:sz w:val="20"/>
          <w:szCs w:val="20"/>
          <w:rtl/>
        </w:rPr>
        <w:footnoteRef/>
      </w:r>
      <w:r>
        <w:rPr>
          <w:sz w:val="20"/>
          <w:szCs w:val="20"/>
          <w:rtl/>
        </w:rPr>
        <w:t xml:space="preserve">. </w:t>
      </w:r>
      <w:proofErr w:type="spellStart"/>
      <w:r>
        <w:rPr>
          <w:sz w:val="20"/>
          <w:szCs w:val="20"/>
          <w:rtl/>
        </w:rPr>
        <w:t>שולמן</w:t>
      </w:r>
      <w:proofErr w:type="spellEnd"/>
      <w:r>
        <w:rPr>
          <w:sz w:val="20"/>
          <w:szCs w:val="20"/>
          <w:rtl/>
        </w:rPr>
        <w:t xml:space="preserve"> מערבב כאן את דימוייו.</w:t>
      </w:r>
    </w:p>
  </w:footnote>
  <w:footnote w:id="3463">
    <w:p w14:paraId="270785BC" w14:textId="77777777" w:rsidR="00AB3647" w:rsidRDefault="00000000">
      <w:pPr>
        <w:spacing w:after="0" w:before="0"/>
        <w:jc w:val="both"/>
      </w:pPr>
      <w:r>
        <w:rPr>
          <w:sz w:val="20"/>
          <w:szCs w:val="20"/>
          <w:rtl/>
        </w:rPr>
        <w:footnoteRef/>
      </w:r>
      <w:r>
        <w:rPr>
          <w:sz w:val="20"/>
          <w:szCs w:val="20"/>
          <w:rtl/>
        </w:rPr>
        <w:t>. עמ׳ 42.</w:t>
      </w:r>
    </w:p>
  </w:footnote>
  <w:footnote w:id="3464">
    <w:p w14:paraId="66A233B1" w14:textId="77777777" w:rsidR="00AB3647" w:rsidRDefault="00000000">
      <w:pPr>
        <w:spacing w:after="0" w:before="0"/>
        <w:jc w:val="both"/>
      </w:pPr>
      <w:r>
        <w:rPr>
          <w:sz w:val="20"/>
          <w:szCs w:val="20"/>
          <w:rtl/>
        </w:rPr>
        <w:footnoteRef/>
      </w:r>
      <w:r>
        <w:rPr>
          <w:sz w:val="20"/>
          <w:szCs w:val="20"/>
          <w:rtl/>
        </w:rPr>
        <w:t>. השווה להערה 113 לעיל.</w:t>
      </w:r>
    </w:p>
  </w:footnote>
  <w:footnote w:id="3465">
    <w:p w14:paraId="77A6088E" w14:textId="77777777" w:rsidR="00AB3647" w:rsidRDefault="00000000">
      <w:pPr>
        <w:spacing w:after="0" w:before="0"/>
        <w:jc w:val="both"/>
      </w:pPr>
      <w:r>
        <w:rPr>
          <w:sz w:val="20"/>
          <w:szCs w:val="20"/>
          <w:rtl/>
        </w:rPr>
        <w:footnoteRef/>
      </w:r>
      <w:r>
        <w:rPr>
          <w:sz w:val="20"/>
          <w:szCs w:val="20"/>
          <w:rtl/>
        </w:rPr>
        <w:t>. עמ׳ 135.</w:t>
      </w:r>
    </w:p>
  </w:footnote>
  <w:footnote w:id="3466">
    <w:p w14:paraId="37A32812" w14:textId="77777777" w:rsidR="00AB3647" w:rsidRDefault="00000000">
      <w:pPr>
        <w:spacing w:after="0" w:before="0"/>
        <w:jc w:val="both"/>
      </w:pPr>
      <w:r>
        <w:rPr>
          <w:sz w:val="20"/>
          <w:szCs w:val="20"/>
          <w:rtl/>
        </w:rPr>
        <w:footnoteRef/>
      </w:r>
      <w:r>
        <w:rPr>
          <w:sz w:val="20"/>
          <w:szCs w:val="20"/>
          <w:rtl/>
        </w:rPr>
        <w:t>. ראה פסחים מ״ט ע״ב והפסקה השנייה של נספח ח להלן, שבה מובא מאמר חז״ל במלואו.</w:t>
      </w:r>
    </w:p>
  </w:footnote>
  <w:footnote w:id="3467">
    <w:p w14:paraId="09451761" w14:textId="77777777" w:rsidR="00AB3647" w:rsidRDefault="00000000">
      <w:pPr>
        <w:spacing w:after="0" w:before="0"/>
        <w:jc w:val="both"/>
      </w:pPr>
      <w:r>
        <w:rPr>
          <w:sz w:val="20"/>
          <w:szCs w:val="20"/>
          <w:rtl/>
        </w:rPr>
        <w:footnoteRef/>
      </w:r>
      <w:r>
        <w:rPr>
          <w:sz w:val="20"/>
          <w:szCs w:val="20"/>
          <w:rtl/>
        </w:rPr>
        <w:t>. שם, עמ׳ 141.</w:t>
      </w:r>
    </w:p>
  </w:footnote>
  <w:footnote w:id="3468">
    <w:p w14:paraId="3A9E99BD" w14:textId="77777777" w:rsidR="00AB3647" w:rsidRDefault="00000000">
      <w:pPr>
        <w:spacing w:after="0" w:before="0"/>
        <w:jc w:val="both"/>
      </w:pPr>
      <w:r>
        <w:rPr>
          <w:sz w:val="20"/>
          <w:szCs w:val="20"/>
          <w:rtl/>
        </w:rPr>
        <w:footnoteRef/>
      </w:r>
      <w:r>
        <w:rPr>
          <w:sz w:val="20"/>
          <w:szCs w:val="20"/>
          <w:rtl/>
        </w:rPr>
        <w:t xml:space="preserve">. השווה להערה 103 לעיל: ר׳ </w:t>
      </w:r>
      <w:proofErr w:type="spellStart"/>
      <w:r>
        <w:rPr>
          <w:sz w:val="20"/>
          <w:szCs w:val="20"/>
          <w:rtl/>
        </w:rPr>
        <w:t>יוסף־שלמה</w:t>
      </w:r>
      <w:proofErr w:type="spellEnd"/>
      <w:r>
        <w:rPr>
          <w:sz w:val="20"/>
          <w:szCs w:val="20"/>
          <w:rtl/>
        </w:rPr>
        <w:t xml:space="preserve"> </w:t>
      </w:r>
      <w:proofErr w:type="spellStart"/>
      <w:r>
        <w:rPr>
          <w:sz w:val="20"/>
          <w:szCs w:val="20"/>
          <w:rtl/>
        </w:rPr>
        <w:t>כהנמן</w:t>
      </w:r>
      <w:proofErr w:type="spellEnd"/>
      <w:r>
        <w:rPr>
          <w:sz w:val="20"/>
          <w:szCs w:val="20"/>
          <w:rtl/>
        </w:rPr>
        <w:t xml:space="preserve"> היה אחד מאלה.</w:t>
      </w:r>
    </w:p>
  </w:footnote>
  <w:footnote w:id="3469">
    <w:p w14:paraId="717CB5A8" w14:textId="77777777" w:rsidR="00AB3647" w:rsidRDefault="00000000">
      <w:pPr>
        <w:spacing w:after="0" w:before="0"/>
        <w:jc w:val="both"/>
      </w:pPr>
      <w:r>
        <w:rPr>
          <w:sz w:val="20"/>
          <w:szCs w:val="20"/>
          <w:rtl/>
        </w:rPr>
        <w:footnoteRef/>
      </w:r>
      <w:r>
        <w:rPr>
          <w:sz w:val="20"/>
          <w:szCs w:val="20"/>
          <w:rtl/>
        </w:rPr>
        <w:t>. עמ׳ 138.</w:t>
      </w:r>
    </w:p>
  </w:footnote>
  <w:footnote w:id="3470">
    <w:p w14:paraId="5851F19B" w14:textId="77777777" w:rsidR="00AB3647" w:rsidRDefault="00000000">
      <w:pPr>
        <w:spacing w:after="0" w:before="0"/>
        <w:jc w:val="both"/>
      </w:pPr>
      <w:r>
        <w:rPr>
          <w:sz w:val="20"/>
          <w:szCs w:val="20"/>
          <w:rtl/>
        </w:rPr>
        <w:footnoteRef/>
      </w:r>
      <w:r>
        <w:rPr>
          <w:sz w:val="20"/>
          <w:szCs w:val="20"/>
          <w:rtl/>
        </w:rPr>
        <w:t>. השווה הערה 84 לעיל.</w:t>
      </w:r>
    </w:p>
  </w:footnote>
  <w:footnote w:id="3471">
    <w:p w14:paraId="5AAE9FA6" w14:textId="77777777" w:rsidR="00AB3647" w:rsidRDefault="00000000">
      <w:pPr>
        <w:spacing w:after="0" w:before="0"/>
        <w:jc w:val="both"/>
      </w:pPr>
      <w:r>
        <w:rPr>
          <w:sz w:val="20"/>
          <w:szCs w:val="20"/>
          <w:rtl/>
        </w:rPr>
        <w:footnoteRef/>
      </w:r>
      <w:r>
        <w:rPr>
          <w:sz w:val="20"/>
          <w:szCs w:val="20"/>
          <w:rtl/>
        </w:rPr>
        <w:t>. שם.</w:t>
      </w:r>
    </w:p>
  </w:footnote>
  <w:footnote w:id="3472">
    <w:p w14:paraId="782F830F" w14:textId="77777777" w:rsidR="00AB3647" w:rsidRDefault="00000000">
      <w:pPr>
        <w:spacing w:after="0" w:before="0"/>
        <w:jc w:val="both"/>
      </w:pPr>
      <w:r>
        <w:rPr>
          <w:sz w:val="20"/>
          <w:szCs w:val="20"/>
          <w:rtl/>
        </w:rPr>
        <w:footnoteRef/>
      </w:r>
      <w:r>
        <w:rPr>
          <w:sz w:val="20"/>
          <w:szCs w:val="20"/>
          <w:rtl/>
        </w:rPr>
        <w:t xml:space="preserve">. הרב </w:t>
      </w:r>
      <w:proofErr w:type="spellStart"/>
      <w:r>
        <w:rPr>
          <w:sz w:val="20"/>
          <w:szCs w:val="20"/>
          <w:rtl/>
        </w:rPr>
        <w:t>פויער</w:t>
      </w:r>
      <w:proofErr w:type="spellEnd"/>
      <w:r>
        <w:rPr>
          <w:sz w:val="20"/>
          <w:szCs w:val="20"/>
          <w:rtl/>
        </w:rPr>
        <w:t xml:space="preserve"> (פרק 1, הערה 32). המרואיין לא הבין כהלכה את דברי אבי באותה שעה, שהוא “לא למד </w:t>
      </w:r>
      <w:proofErr w:type="spellStart"/>
      <w:r>
        <w:rPr>
          <w:sz w:val="20"/>
          <w:szCs w:val="20"/>
          <w:rtl/>
        </w:rPr>
        <w:t>בטלז</w:t>
      </w:r>
      <w:proofErr w:type="spellEnd"/>
      <w:r>
        <w:rPr>
          <w:sz w:val="20"/>
          <w:szCs w:val="20"/>
          <w:rtl/>
        </w:rPr>
        <w:t xml:space="preserve">, אלא שמע את השיעור כשהזדמן לעבור שם”: אבי לא התכוון שהוא עבר </w:t>
      </w:r>
      <w:proofErr w:type="spellStart"/>
      <w:r>
        <w:rPr>
          <w:sz w:val="20"/>
          <w:szCs w:val="20"/>
          <w:rtl/>
        </w:rPr>
        <w:t>בטלז</w:t>
      </w:r>
      <w:proofErr w:type="spellEnd"/>
      <w:r>
        <w:rPr>
          <w:sz w:val="20"/>
          <w:szCs w:val="20"/>
          <w:rtl/>
        </w:rPr>
        <w:t xml:space="preserve">, אלא שר׳ לייזר עבר בקובנה. לרבנו לא היה מה לעשות </w:t>
      </w:r>
      <w:proofErr w:type="spellStart"/>
      <w:r>
        <w:rPr>
          <w:sz w:val="20"/>
          <w:szCs w:val="20"/>
          <w:rtl/>
        </w:rPr>
        <w:t>בטלז</w:t>
      </w:r>
      <w:proofErr w:type="spellEnd"/>
      <w:r>
        <w:rPr>
          <w:sz w:val="20"/>
          <w:szCs w:val="20"/>
          <w:rtl/>
        </w:rPr>
        <w:t xml:space="preserve"> (השווה הערה 86 לעיל), ואילו ר׳ לייזר ודאי ביקר בקובנה, כדברי ר׳ קופל </w:t>
      </w:r>
      <w:proofErr w:type="spellStart"/>
      <w:r>
        <w:rPr>
          <w:sz w:val="20"/>
          <w:szCs w:val="20"/>
          <w:rtl/>
        </w:rPr>
        <w:t>וולפרט</w:t>
      </w:r>
      <w:proofErr w:type="spellEnd"/>
      <w:r>
        <w:rPr>
          <w:sz w:val="20"/>
          <w:szCs w:val="20"/>
          <w:rtl/>
        </w:rPr>
        <w:t xml:space="preserve"> בראש נספח יא להלן. בפסקה האמצעית של סעיף זה השתמשתי בביטוי של אבי, “עבר שם”, כדי לתאר את עיסוקו של ר׳ לייזר בקובנה באותה שעה, בחורף תרס״ז. את מטרת נסיעתו, הנזכרת בראש נספח יא להלן, ייחסתי להקמת ארגון “כנסת ישראל” (הנזכר בהערה 102 לעיל), שאירעה בתקופה זו.</w:t>
      </w:r>
    </w:p>
  </w:footnote>
  <w:footnote w:id="3473">
    <w:p w14:paraId="51C3DBE5" w14:textId="77777777" w:rsidR="00AB3647" w:rsidRDefault="00000000">
      <w:pPr>
        <w:spacing w:after="0" w:before="0"/>
        <w:jc w:val="both"/>
      </w:pPr>
      <w:r>
        <w:rPr>
          <w:sz w:val="20"/>
          <w:szCs w:val="20"/>
          <w:rtl/>
        </w:rPr>
        <w:footnoteRef/>
      </w:r>
      <w:r>
        <w:rPr>
          <w:sz w:val="20"/>
          <w:szCs w:val="20"/>
          <w:rtl/>
        </w:rPr>
        <w:t>. השווה הערה 91 לעיל.</w:t>
      </w:r>
    </w:p>
  </w:footnote>
  <w:footnote w:id="3474">
    <w:p w14:paraId="61D7CD5C" w14:textId="77777777" w:rsidR="00AB3647" w:rsidRDefault="00000000">
      <w:pPr>
        <w:spacing w:after="0" w:before="0"/>
        <w:jc w:val="both"/>
      </w:pPr>
      <w:r>
        <w:rPr>
          <w:sz w:val="20"/>
          <w:szCs w:val="20"/>
          <w:rtl/>
        </w:rPr>
        <w:footnoteRef/>
      </w:r>
      <w:r>
        <w:rPr>
          <w:sz w:val="20"/>
          <w:szCs w:val="20"/>
          <w:rtl/>
        </w:rPr>
        <w:t>. הערה 110 לעיל – עמ׳ 72.</w:t>
      </w:r>
    </w:p>
  </w:footnote>
  <w:footnote w:id="3475">
    <w:p w14:paraId="2EEE3537" w14:textId="77777777" w:rsidR="00AB3647" w:rsidRDefault="00000000">
      <w:pPr>
        <w:spacing w:after="0" w:before="0"/>
        <w:jc w:val="both"/>
      </w:pPr>
      <w:r>
        <w:rPr>
          <w:sz w:val="20"/>
          <w:szCs w:val="20"/>
          <w:rtl/>
        </w:rPr>
        <w:footnoteRef/>
      </w:r>
      <w:r>
        <w:rPr>
          <w:sz w:val="20"/>
          <w:szCs w:val="20"/>
          <w:rtl/>
        </w:rPr>
        <w:t>. עמ׳ 44.</w:t>
      </w:r>
    </w:p>
  </w:footnote>
  <w:footnote w:id="3476">
    <w:p w14:paraId="037C3CF3" w14:textId="77777777" w:rsidR="00AB3647" w:rsidRDefault="00000000">
      <w:pPr>
        <w:spacing w:after="0" w:before="0"/>
        <w:jc w:val="both"/>
      </w:pPr>
      <w:r>
        <w:rPr>
          <w:sz w:val="20"/>
          <w:szCs w:val="20"/>
          <w:rtl/>
        </w:rPr>
        <w:footnoteRef/>
      </w:r>
      <w:r>
        <w:rPr>
          <w:sz w:val="20"/>
          <w:szCs w:val="20"/>
          <w:rtl/>
        </w:rPr>
        <w:t>. השווה הערה 121 לעיל.</w:t>
      </w:r>
    </w:p>
  </w:footnote>
  <w:footnote w:id="3477">
    <w:p w14:paraId="503AF212" w14:textId="77777777" w:rsidR="00AB3647" w:rsidRDefault="00000000">
      <w:pPr>
        <w:spacing w:after="0" w:before="0"/>
        <w:jc w:val="both"/>
      </w:pPr>
      <w:r>
        <w:rPr>
          <w:sz w:val="20"/>
          <w:szCs w:val="20"/>
          <w:rtl/>
        </w:rPr>
        <w:footnoteRef/>
      </w:r>
      <w:r>
        <w:rPr>
          <w:sz w:val="20"/>
          <w:szCs w:val="20"/>
          <w:rtl/>
        </w:rPr>
        <w:t xml:space="preserve">. עמ׳ 138–139. מחבר זה היה עוין </w:t>
      </w:r>
      <w:proofErr w:type="spellStart"/>
      <w:r>
        <w:rPr>
          <w:sz w:val="20"/>
          <w:szCs w:val="20"/>
          <w:rtl/>
        </w:rPr>
        <w:t>ל“מוסרניקים</w:t>
      </w:r>
      <w:proofErr w:type="spellEnd"/>
      <w:r>
        <w:rPr>
          <w:sz w:val="20"/>
          <w:szCs w:val="20"/>
          <w:rtl/>
        </w:rPr>
        <w:t>”; ראה הערה 121 לעיל.</w:t>
      </w:r>
    </w:p>
  </w:footnote>
  <w:footnote w:id="3478">
    <w:p w14:paraId="0065746F" w14:textId="77777777" w:rsidR="00AB3647" w:rsidRDefault="00000000">
      <w:pPr>
        <w:spacing w:after="0" w:before="0"/>
        <w:jc w:val="both"/>
      </w:pPr>
      <w:r>
        <w:rPr>
          <w:sz w:val="20"/>
          <w:szCs w:val="20"/>
          <w:rtl/>
        </w:rPr>
        <w:footnoteRef/>
      </w:r>
      <w:r>
        <w:rPr>
          <w:sz w:val="20"/>
          <w:szCs w:val="20"/>
          <w:rtl/>
        </w:rPr>
        <w:t xml:space="preserve">. השווה פרק 3, הערה 63, על דעת ר׳ אייזיק שר </w:t>
      </w:r>
      <w:proofErr w:type="spellStart"/>
      <w:r>
        <w:rPr>
          <w:sz w:val="20"/>
          <w:szCs w:val="20"/>
          <w:rtl/>
        </w:rPr>
        <w:t>והחזון־איש</w:t>
      </w:r>
      <w:proofErr w:type="spellEnd"/>
      <w:r>
        <w:rPr>
          <w:sz w:val="20"/>
          <w:szCs w:val="20"/>
          <w:rtl/>
        </w:rPr>
        <w:t xml:space="preserve"> בעניין צד זה של המוסר.</w:t>
      </w:r>
    </w:p>
  </w:footnote>
  <w:footnote w:id="3479">
    <w:p w14:paraId="4F307C46" w14:textId="77777777" w:rsidR="00AB3647" w:rsidRDefault="00000000">
      <w:pPr>
        <w:spacing w:after="0" w:before="0"/>
        <w:jc w:val="both"/>
      </w:pPr>
      <w:r>
        <w:rPr>
          <w:sz w:val="20"/>
          <w:szCs w:val="20"/>
          <w:rtl/>
        </w:rPr>
        <w:footnoteRef/>
      </w:r>
      <w:r>
        <w:rPr>
          <w:sz w:val="20"/>
          <w:szCs w:val="20"/>
          <w:rtl/>
        </w:rPr>
        <w:t xml:space="preserve">. “הדיוטים ופראים” </w:t>
      </w:r>
      <w:proofErr w:type="spellStart"/>
      <w:r>
        <w:rPr>
          <w:sz w:val="20"/>
          <w:szCs w:val="20"/>
          <w:rtl/>
        </w:rPr>
        <w:t>בשולמן</w:t>
      </w:r>
      <w:proofErr w:type="spellEnd"/>
      <w:r>
        <w:rPr>
          <w:sz w:val="20"/>
          <w:szCs w:val="20"/>
          <w:rtl/>
        </w:rPr>
        <w:t xml:space="preserve"> העברי; ביידיש שבה דיברו היה זה כנראה “</w:t>
      </w:r>
      <w:proofErr w:type="spellStart"/>
      <w:r>
        <w:rPr>
          <w:sz w:val="20"/>
          <w:szCs w:val="20"/>
          <w:rtl/>
        </w:rPr>
        <w:t>ווילדע</w:t>
      </w:r>
      <w:proofErr w:type="spellEnd"/>
      <w:r>
        <w:rPr>
          <w:sz w:val="20"/>
          <w:szCs w:val="20"/>
          <w:rtl/>
        </w:rPr>
        <w:t xml:space="preserve"> </w:t>
      </w:r>
      <w:proofErr w:type="spellStart"/>
      <w:r>
        <w:rPr>
          <w:sz w:val="20"/>
          <w:szCs w:val="20"/>
          <w:rtl/>
        </w:rPr>
        <w:t>פראסטאקעס</w:t>
      </w:r>
      <w:proofErr w:type="spellEnd"/>
      <w:r>
        <w:rPr>
          <w:sz w:val="20"/>
          <w:szCs w:val="20"/>
          <w:rtl/>
        </w:rPr>
        <w:t xml:space="preserve"> [פראי אדם גסים]”.</w:t>
      </w:r>
    </w:p>
  </w:footnote>
  <w:footnote w:id="3480">
    <w:p w14:paraId="121C5AE2" w14:textId="77777777" w:rsidR="00AB3647" w:rsidRDefault="00000000">
      <w:pPr>
        <w:spacing w:after="0" w:before="0"/>
        <w:jc w:val="both"/>
      </w:pPr>
      <w:r>
        <w:rPr>
          <w:sz w:val="20"/>
          <w:szCs w:val="20"/>
          <w:rtl/>
        </w:rPr>
        <w:footnoteRef/>
      </w:r>
      <w:r>
        <w:rPr>
          <w:sz w:val="20"/>
          <w:szCs w:val="20"/>
          <w:rtl/>
        </w:rPr>
        <w:t xml:space="preserve">. “פרחחים גסים” </w:t>
      </w:r>
      <w:proofErr w:type="spellStart"/>
      <w:r>
        <w:rPr>
          <w:sz w:val="20"/>
          <w:szCs w:val="20"/>
          <w:rtl/>
        </w:rPr>
        <w:t>בשולמן</w:t>
      </w:r>
      <w:proofErr w:type="spellEnd"/>
      <w:r>
        <w:rPr>
          <w:sz w:val="20"/>
          <w:szCs w:val="20"/>
          <w:rtl/>
        </w:rPr>
        <w:t>; ביידיש “</w:t>
      </w:r>
      <w:proofErr w:type="spellStart"/>
      <w:r>
        <w:rPr>
          <w:sz w:val="20"/>
          <w:szCs w:val="20"/>
          <w:rtl/>
        </w:rPr>
        <w:t>גראבע</w:t>
      </w:r>
      <w:proofErr w:type="spellEnd"/>
      <w:r>
        <w:rPr>
          <w:sz w:val="20"/>
          <w:szCs w:val="20"/>
          <w:rtl/>
        </w:rPr>
        <w:t xml:space="preserve"> </w:t>
      </w:r>
      <w:proofErr w:type="spellStart"/>
      <w:r>
        <w:rPr>
          <w:sz w:val="20"/>
          <w:szCs w:val="20"/>
          <w:rtl/>
        </w:rPr>
        <w:t>יונגען</w:t>
      </w:r>
      <w:proofErr w:type="spellEnd"/>
      <w:r>
        <w:rPr>
          <w:sz w:val="20"/>
          <w:szCs w:val="20"/>
          <w:rtl/>
        </w:rPr>
        <w:t xml:space="preserve"> [בחורים גסים]”.</w:t>
      </w:r>
    </w:p>
  </w:footnote>
  <w:footnote w:id="3481">
    <w:p w14:paraId="64D73C9B" w14:textId="77777777" w:rsidR="00AB3647" w:rsidRDefault="00000000">
      <w:pPr>
        <w:spacing w:after="0" w:before="0"/>
        <w:jc w:val="both"/>
      </w:pPr>
      <w:r>
        <w:rPr>
          <w:sz w:val="20"/>
          <w:szCs w:val="20"/>
          <w:rtl/>
        </w:rPr>
        <w:footnoteRef/>
      </w:r>
      <w:r>
        <w:rPr>
          <w:sz w:val="20"/>
          <w:szCs w:val="20"/>
          <w:rtl/>
        </w:rPr>
        <w:t xml:space="preserve">. נראה שאיום זה לא יצא לפועל; לפי הציטוט </w:t>
      </w:r>
      <w:proofErr w:type="spellStart"/>
      <w:r>
        <w:rPr>
          <w:sz w:val="20"/>
          <w:szCs w:val="20"/>
          <w:rtl/>
        </w:rPr>
        <w:t>משולמן</w:t>
      </w:r>
      <w:proofErr w:type="spellEnd"/>
      <w:r>
        <w:rPr>
          <w:sz w:val="20"/>
          <w:szCs w:val="20"/>
          <w:rtl/>
        </w:rPr>
        <w:t xml:space="preserve"> המובא בעמ׳ </w:t>
      </w:r>
      <w:r>
        <w:rPr>
          <w:sz w:val="20"/>
          <w:szCs w:val="20"/>
          <w:rtl/>
        </w:rPr>
        <w:fldChar w:fldCharType="begin" w:dirty="true"/>
      </w:r>
      <w:r>
        <w:rPr>
          <w:sz w:val="20"/>
          <w:szCs w:val="20"/>
          <w:rtl/>
        </w:rPr>
        <w:instrText xml:space="preserve"> PAGEREF pr_b_2399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להלן, “הבחורים הגדולים... שוחדו... בהבטחות לעתיד”, שלא יכלו לעמוד בפניהן.</w:t>
      </w:r>
    </w:p>
  </w:footnote>
  <w:footnote w:id="3482">
    <w:p w14:paraId="303D0277" w14:textId="77777777" w:rsidR="00AB3647" w:rsidRDefault="00000000">
      <w:pPr>
        <w:spacing w:after="0" w:before="0"/>
        <w:jc w:val="both"/>
      </w:pPr>
      <w:r>
        <w:rPr>
          <w:sz w:val="20"/>
          <w:szCs w:val="20"/>
          <w:rtl/>
        </w:rPr>
        <w:footnoteRef/>
      </w:r>
      <w:r>
        <w:rPr>
          <w:sz w:val="20"/>
          <w:szCs w:val="20"/>
          <w:rtl/>
        </w:rPr>
        <w:t>. עמ׳ 42.</w:t>
      </w:r>
    </w:p>
  </w:footnote>
  <w:footnote w:id="3483">
    <w:p w14:paraId="2F94683F" w14:textId="77777777" w:rsidR="00AB3647" w:rsidRDefault="00000000">
      <w:pPr>
        <w:spacing w:after="0" w:before="0"/>
        <w:jc w:val="both"/>
      </w:pPr>
      <w:r>
        <w:rPr>
          <w:sz w:val="20"/>
          <w:szCs w:val="20"/>
          <w:rtl/>
        </w:rPr>
        <w:footnoteRef/>
      </w:r>
      <w:r>
        <w:rPr>
          <w:sz w:val="20"/>
          <w:szCs w:val="20"/>
          <w:rtl/>
        </w:rPr>
        <w:t>. השווה נספח ד להלן.</w:t>
      </w:r>
    </w:p>
  </w:footnote>
  <w:footnote w:id="3484">
    <w:p w14:paraId="6B700AA2" w14:textId="77777777" w:rsidR="00AB3647" w:rsidRDefault="00000000">
      <w:pPr>
        <w:spacing w:after="0" w:before="0"/>
        <w:jc w:val="both"/>
      </w:pPr>
      <w:r>
        <w:rPr>
          <w:sz w:val="20"/>
          <w:szCs w:val="20"/>
          <w:rtl/>
        </w:rPr>
        <w:footnoteRef/>
      </w:r>
      <w:r>
        <w:rPr>
          <w:sz w:val="20"/>
          <w:szCs w:val="20"/>
          <w:rtl/>
        </w:rPr>
        <w:t xml:space="preserve">. נראה שהתכוון לכך שלבחורי </w:t>
      </w:r>
      <w:proofErr w:type="spellStart"/>
      <w:r>
        <w:rPr>
          <w:sz w:val="20"/>
          <w:szCs w:val="20"/>
          <w:rtl/>
        </w:rPr>
        <w:t>סלבודקה</w:t>
      </w:r>
      <w:proofErr w:type="spellEnd"/>
      <w:r>
        <w:rPr>
          <w:sz w:val="20"/>
          <w:szCs w:val="20"/>
          <w:rtl/>
        </w:rPr>
        <w:t xml:space="preserve"> לא היה קול של ממש בקביעת מדיניות הישיבה, מפני שהיו נתונים לגמרי להשפעת הסבא </w:t>
      </w:r>
      <w:proofErr w:type="spellStart"/>
      <w:r>
        <w:rPr>
          <w:sz w:val="20"/>
          <w:szCs w:val="20"/>
          <w:rtl/>
        </w:rPr>
        <w:t>מסלבודקה</w:t>
      </w:r>
      <w:proofErr w:type="spellEnd"/>
      <w:r>
        <w:rPr>
          <w:sz w:val="20"/>
          <w:szCs w:val="20"/>
          <w:rtl/>
        </w:rPr>
        <w:t>.</w:t>
      </w:r>
    </w:p>
  </w:footnote>
  <w:footnote w:id="3485">
    <w:p w14:paraId="4454C936" w14:textId="77777777" w:rsidR="00AB3647" w:rsidRDefault="00000000">
      <w:pPr>
        <w:spacing w:after="0" w:before="0"/>
        <w:jc w:val="both"/>
      </w:pPr>
      <w:r>
        <w:rPr>
          <w:sz w:val="20"/>
          <w:szCs w:val="20"/>
          <w:rtl/>
        </w:rPr>
        <w:footnoteRef/>
      </w:r>
      <w:r>
        <w:rPr>
          <w:sz w:val="20"/>
          <w:szCs w:val="20"/>
          <w:rtl/>
        </w:rPr>
        <w:t>. השווה גם הערה 103 לעיל.</w:t>
      </w:r>
    </w:p>
  </w:footnote>
  <w:footnote w:id="3486">
    <w:p w14:paraId="03B7E6E0" w14:textId="77777777" w:rsidR="00AB3647" w:rsidRDefault="00000000">
      <w:pPr>
        <w:spacing w:after="0" w:before="0"/>
        <w:jc w:val="both"/>
      </w:pPr>
      <w:r>
        <w:rPr>
          <w:sz w:val="20"/>
          <w:szCs w:val="20"/>
          <w:rtl/>
        </w:rPr>
        <w:footnoteRef/>
      </w:r>
      <w:r>
        <w:rPr>
          <w:sz w:val="20"/>
          <w:szCs w:val="20"/>
          <w:rtl/>
        </w:rPr>
        <w:t>. נספח ח להלן – עמ׳ 272.</w:t>
      </w:r>
    </w:p>
  </w:footnote>
  <w:footnote w:id="3487">
    <w:p w14:paraId="4120D313" w14:textId="77777777" w:rsidR="00AB3647" w:rsidRDefault="00000000">
      <w:pPr>
        <w:spacing w:after="0" w:before="0"/>
        <w:jc w:val="both"/>
      </w:pPr>
      <w:r>
        <w:rPr>
          <w:sz w:val="20"/>
          <w:szCs w:val="20"/>
          <w:rtl/>
        </w:rPr>
        <w:footnoteRef/>
      </w:r>
      <w:r>
        <w:rPr>
          <w:sz w:val="20"/>
          <w:szCs w:val="20"/>
          <w:rtl/>
        </w:rPr>
        <w:t xml:space="preserve">. השווה פרק 3, נספח </w:t>
      </w:r>
      <w:proofErr w:type="spellStart"/>
      <w:r>
        <w:rPr>
          <w:sz w:val="20"/>
          <w:szCs w:val="20"/>
          <w:rtl/>
        </w:rPr>
        <w:t>יז</w:t>
      </w:r>
      <w:proofErr w:type="spellEnd"/>
      <w:r>
        <w:rPr>
          <w:sz w:val="20"/>
          <w:szCs w:val="20"/>
          <w:rtl/>
        </w:rPr>
        <w:t>.</w:t>
      </w:r>
    </w:p>
  </w:footnote>
  <w:footnote w:id="3488">
    <w:p w14:paraId="234E667B" w14:textId="77777777" w:rsidR="00AB3647" w:rsidRDefault="00000000">
      <w:pPr>
        <w:spacing w:after="0" w:before="0"/>
        <w:jc w:val="both"/>
      </w:pPr>
      <w:r>
        <w:rPr>
          <w:sz w:val="20"/>
          <w:szCs w:val="20"/>
          <w:rtl/>
        </w:rPr>
        <w:footnoteRef/>
      </w:r>
      <w:r>
        <w:rPr>
          <w:sz w:val="20"/>
          <w:szCs w:val="20"/>
          <w:rtl/>
        </w:rPr>
        <w:t>. השווה הערה 106 לעיל.</w:t>
      </w:r>
    </w:p>
  </w:footnote>
  <w:footnote w:id="3489">
    <w:p w14:paraId="11BE49B7" w14:textId="77777777" w:rsidR="00AB3647" w:rsidRDefault="00000000">
      <w:pPr>
        <w:spacing w:after="0" w:before="0"/>
        <w:jc w:val="both"/>
      </w:pPr>
      <w:r>
        <w:rPr>
          <w:sz w:val="20"/>
          <w:szCs w:val="20"/>
          <w:rtl/>
        </w:rPr>
        <w:footnoteRef/>
      </w:r>
      <w:r>
        <w:rPr>
          <w:sz w:val="20"/>
          <w:szCs w:val="20"/>
          <w:rtl/>
        </w:rPr>
        <w:t>. נספח ט להלן – כרך א, עמ׳ 193.</w:t>
      </w:r>
    </w:p>
  </w:footnote>
  <w:footnote w:id="3490">
    <w:p w14:paraId="4C1E9A77" w14:textId="77777777" w:rsidR="00AB3647" w:rsidRDefault="00000000">
      <w:pPr>
        <w:spacing w:after="0" w:before="0"/>
        <w:jc w:val="both"/>
      </w:pPr>
      <w:r>
        <w:rPr>
          <w:sz w:val="20"/>
          <w:szCs w:val="20"/>
          <w:rtl/>
        </w:rPr>
        <w:footnoteRef/>
      </w:r>
      <w:r>
        <w:rPr>
          <w:sz w:val="20"/>
          <w:szCs w:val="20"/>
          <w:rtl/>
        </w:rPr>
        <w:t>. הסיבה המשוערת לכך שאין מייחסים אף אחת משלוש התכונות הללו לגויים מבוגרים היא דברי התלמוד (קידושין לג ע״א), המחייבים לנהוג כבוד בגוי זקן – לפי דעה אחת שם, באותה הקפדה שבה מכבדים תלמיד חכם מישראל – מפני שניסיון החיים החכים אותו והקנה לו מידה של דתיות וכבוד לבריות.</w:t>
      </w:r>
    </w:p>
  </w:footnote>
  <w:footnote w:id="3491">
    <w:p w14:paraId="4D18AEC8" w14:textId="77777777" w:rsidR="00AB3647" w:rsidRDefault="00000000">
      <w:pPr>
        <w:spacing w:after="0" w:before="0"/>
        <w:jc w:val="both"/>
      </w:pPr>
      <w:r>
        <w:rPr>
          <w:sz w:val="20"/>
          <w:szCs w:val="20"/>
          <w:rtl/>
        </w:rPr>
        <w:footnoteRef/>
      </w:r>
      <w:r>
        <w:rPr>
          <w:sz w:val="20"/>
          <w:szCs w:val="20"/>
          <w:rtl/>
        </w:rPr>
        <w:t>. הפסקה השנייה של נספח ב להלן – עמ׳ 431.</w:t>
      </w:r>
    </w:p>
  </w:footnote>
  <w:footnote w:id="3492">
    <w:p w14:paraId="46F6098B" w14:textId="77777777" w:rsidR="00AB3647" w:rsidRDefault="00000000">
      <w:pPr>
        <w:spacing w:after="0" w:before="0"/>
        <w:jc w:val="both"/>
      </w:pPr>
      <w:r>
        <w:rPr>
          <w:sz w:val="20"/>
          <w:szCs w:val="20"/>
          <w:rtl/>
        </w:rPr>
        <w:footnoteRef/>
      </w:r>
      <w:r>
        <w:rPr>
          <w:sz w:val="20"/>
          <w:szCs w:val="20"/>
          <w:rtl/>
        </w:rPr>
        <w:t xml:space="preserve">. ראה הפסקה השנייה בהערה 119 לעיל, על התפשטותה לישיבת </w:t>
      </w:r>
      <w:proofErr w:type="spellStart"/>
      <w:r>
        <w:rPr>
          <w:sz w:val="20"/>
          <w:szCs w:val="20"/>
          <w:rtl/>
        </w:rPr>
        <w:t>טלז</w:t>
      </w:r>
      <w:proofErr w:type="spellEnd"/>
      <w:r>
        <w:rPr>
          <w:sz w:val="20"/>
          <w:szCs w:val="20"/>
          <w:rtl/>
        </w:rPr>
        <w:t xml:space="preserve"> ואחר כך </w:t>
      </w:r>
      <w:proofErr w:type="spellStart"/>
      <w:r>
        <w:rPr>
          <w:sz w:val="20"/>
          <w:szCs w:val="20"/>
          <w:rtl/>
        </w:rPr>
        <w:t>לסלבודקה</w:t>
      </w:r>
      <w:proofErr w:type="spellEnd"/>
      <w:r>
        <w:rPr>
          <w:sz w:val="20"/>
          <w:szCs w:val="20"/>
          <w:rtl/>
        </w:rPr>
        <w:t>.</w:t>
      </w:r>
    </w:p>
  </w:footnote>
  <w:footnote w:id="3493">
    <w:p w14:paraId="67D8FFFF" w14:textId="77777777" w:rsidR="00AB3647" w:rsidRDefault="00000000">
      <w:pPr>
        <w:spacing w:after="0" w:before="0"/>
        <w:jc w:val="both"/>
      </w:pPr>
      <w:r>
        <w:rPr>
          <w:sz w:val="20"/>
          <w:szCs w:val="20"/>
          <w:rtl/>
        </w:rPr>
        <w:footnoteRef/>
      </w:r>
      <w:r>
        <w:rPr>
          <w:sz w:val="20"/>
          <w:szCs w:val="20"/>
          <w:rtl/>
        </w:rPr>
        <w:t xml:space="preserve">. זוהי ביוגרפיה של ר׳ </w:t>
      </w:r>
      <w:proofErr w:type="spellStart"/>
      <w:r>
        <w:rPr>
          <w:sz w:val="20"/>
          <w:szCs w:val="20"/>
          <w:rtl/>
        </w:rPr>
        <w:t>צבי־פסח</w:t>
      </w:r>
      <w:proofErr w:type="spellEnd"/>
      <w:r>
        <w:rPr>
          <w:sz w:val="20"/>
          <w:szCs w:val="20"/>
          <w:rtl/>
        </w:rPr>
        <w:t xml:space="preserve"> פרנק, המצורפת </w:t>
      </w:r>
      <w:proofErr w:type="spellStart"/>
      <w:r>
        <w:rPr>
          <w:sz w:val="20"/>
          <w:szCs w:val="20"/>
          <w:rtl/>
        </w:rPr>
        <w:t>ל“הצבי</w:t>
      </w:r>
      <w:proofErr w:type="spellEnd"/>
      <w:r>
        <w:rPr>
          <w:sz w:val="20"/>
          <w:szCs w:val="20"/>
          <w:rtl/>
        </w:rPr>
        <w:t xml:space="preserve"> ישראל” (מכון הרב פרנק, ירושלם, תשל״א) – עמ׳ ט.</w:t>
      </w:r>
    </w:p>
  </w:footnote>
  <w:footnote w:id="3494">
    <w:p w14:paraId="0AE1C610" w14:textId="77777777" w:rsidR="00AB3647" w:rsidRDefault="00000000">
      <w:pPr>
        <w:spacing w:after="0" w:before="0"/>
        <w:jc w:val="both"/>
      </w:pPr>
      <w:r>
        <w:rPr>
          <w:sz w:val="20"/>
          <w:szCs w:val="20"/>
          <w:rtl/>
        </w:rPr>
        <w:footnoteRef/>
      </w:r>
      <w:r>
        <w:rPr>
          <w:sz w:val="20"/>
          <w:szCs w:val="20"/>
          <w:rtl/>
        </w:rPr>
        <w:t>. השווה גם הערה 127 לעיל.</w:t>
      </w:r>
    </w:p>
  </w:footnote>
  <w:footnote w:id="3495">
    <w:p w14:paraId="127800EC" w14:textId="77777777" w:rsidR="00AB3647" w:rsidRDefault="00000000">
      <w:pPr>
        <w:spacing w:after="0" w:before="0"/>
        <w:jc w:val="both"/>
      </w:pPr>
      <w:r>
        <w:rPr>
          <w:sz w:val="20"/>
          <w:szCs w:val="20"/>
          <w:rtl/>
        </w:rPr>
        <w:footnoteRef/>
      </w:r>
      <w:r>
        <w:rPr>
          <w:sz w:val="20"/>
          <w:szCs w:val="20"/>
          <w:rtl/>
        </w:rPr>
        <w:t>. ריאיון מ־25 בספטמבר 1992.</w:t>
      </w:r>
    </w:p>
  </w:footnote>
  <w:footnote w:id="3496">
    <w:p w14:paraId="20C81E8D" w14:textId="77777777" w:rsidR="00AB3647" w:rsidRDefault="00000000">
      <w:pPr>
        <w:spacing w:after="0" w:before="0"/>
        <w:jc w:val="both"/>
      </w:pPr>
      <w:r>
        <w:rPr>
          <w:sz w:val="20"/>
          <w:szCs w:val="20"/>
          <w:rtl/>
        </w:rPr>
        <w:footnoteRef/>
      </w:r>
      <w:r>
        <w:rPr>
          <w:sz w:val="20"/>
          <w:szCs w:val="20"/>
          <w:rtl/>
        </w:rPr>
        <w:t>. סיפר צאצא של הרב שניידר.</w:t>
      </w:r>
    </w:p>
  </w:footnote>
  <w:footnote w:id="3497">
    <w:p w14:paraId="3848BF45" w14:textId="77777777" w:rsidR="00AB3647" w:rsidRDefault="00000000">
      <w:pPr>
        <w:spacing w:after="0" w:before="0"/>
        <w:jc w:val="both"/>
      </w:pPr>
      <w:r>
        <w:rPr>
          <w:sz w:val="20"/>
          <w:szCs w:val="20"/>
          <w:rtl/>
        </w:rPr>
        <w:footnoteRef/>
      </w:r>
      <w:r>
        <w:rPr>
          <w:sz w:val="20"/>
          <w:szCs w:val="20"/>
          <w:rtl/>
        </w:rPr>
        <w:t>. ריאיון מ־10 ביוני 1999.</w:t>
      </w:r>
    </w:p>
  </w:footnote>
  <w:footnote w:id="3498">
    <w:p w14:paraId="59DE8ECF" w14:textId="77777777" w:rsidR="00AB3647" w:rsidRDefault="00000000">
      <w:pPr>
        <w:spacing w:after="0" w:before="0"/>
        <w:jc w:val="both"/>
      </w:pPr>
      <w:r>
        <w:rPr>
          <w:sz w:val="20"/>
          <w:szCs w:val="20"/>
          <w:rtl/>
        </w:rPr>
        <w:footnoteRef/>
      </w:r>
      <w:r>
        <w:rPr>
          <w:sz w:val="20"/>
          <w:szCs w:val="20"/>
          <w:rtl/>
        </w:rPr>
        <w:t xml:space="preserve">. סי׳ קמו, המובא </w:t>
      </w:r>
      <w:proofErr w:type="spellStart"/>
      <w:r>
        <w:rPr>
          <w:sz w:val="20"/>
          <w:szCs w:val="20"/>
          <w:rtl/>
        </w:rPr>
        <w:t>בסמ״ע</w:t>
      </w:r>
      <w:proofErr w:type="spellEnd"/>
      <w:r>
        <w:rPr>
          <w:sz w:val="20"/>
          <w:szCs w:val="20"/>
          <w:rtl/>
        </w:rPr>
        <w:t xml:space="preserve">, חושן משפט, סימן ג, </w:t>
      </w:r>
      <w:proofErr w:type="spellStart"/>
      <w:r>
        <w:rPr>
          <w:sz w:val="20"/>
          <w:szCs w:val="20"/>
          <w:rtl/>
        </w:rPr>
        <w:t>ס״ק</w:t>
      </w:r>
      <w:proofErr w:type="spellEnd"/>
      <w:r>
        <w:rPr>
          <w:sz w:val="20"/>
          <w:szCs w:val="20"/>
          <w:rtl/>
        </w:rPr>
        <w:t xml:space="preserve"> </w:t>
      </w:r>
      <w:proofErr w:type="spellStart"/>
      <w:r>
        <w:rPr>
          <w:sz w:val="20"/>
          <w:szCs w:val="20"/>
          <w:rtl/>
        </w:rPr>
        <w:t>יג</w:t>
      </w:r>
      <w:proofErr w:type="spellEnd"/>
      <w:r>
        <w:rPr>
          <w:sz w:val="20"/>
          <w:szCs w:val="20"/>
          <w:rtl/>
        </w:rPr>
        <w:t>.</w:t>
      </w:r>
    </w:p>
  </w:footnote>
  <w:footnote w:id="3499">
    <w:p w14:paraId="4A1985BF" w14:textId="77777777" w:rsidR="00AB3647" w:rsidRDefault="00000000">
      <w:pPr>
        <w:spacing w:after="0" w:before="0"/>
        <w:jc w:val="both"/>
      </w:pPr>
      <w:r>
        <w:rPr>
          <w:sz w:val="20"/>
          <w:szCs w:val="20"/>
          <w:rtl/>
        </w:rPr>
        <w:footnoteRef/>
      </w:r>
      <w:r>
        <w:rPr>
          <w:sz w:val="20"/>
          <w:szCs w:val="20"/>
          <w:rtl/>
        </w:rPr>
        <w:t xml:space="preserve">. הביטוי הרווח לרעיון זה, “דעת </w:t>
      </w:r>
      <w:proofErr w:type="spellStart"/>
      <w:r>
        <w:rPr>
          <w:sz w:val="20"/>
          <w:szCs w:val="20"/>
          <w:rtl/>
        </w:rPr>
        <w:t>בעלי־בתים</w:t>
      </w:r>
      <w:proofErr w:type="spellEnd"/>
      <w:r>
        <w:rPr>
          <w:sz w:val="20"/>
          <w:szCs w:val="20"/>
          <w:rtl/>
        </w:rPr>
        <w:t xml:space="preserve"> הפך דעת תורה”, נראה כציטוט שאינו מדויק.</w:t>
      </w:r>
    </w:p>
  </w:footnote>
  <w:footnote w:id="3500">
    <w:p w14:paraId="502CD577" w14:textId="77777777" w:rsidR="00AB3647" w:rsidRDefault="00000000">
      <w:pPr>
        <w:spacing w:after="0" w:before="0"/>
        <w:jc w:val="both"/>
      </w:pPr>
      <w:r>
        <w:rPr>
          <w:sz w:val="20"/>
          <w:szCs w:val="20"/>
          <w:rtl/>
        </w:rPr>
        <w:footnoteRef/>
      </w:r>
      <w:r>
        <w:rPr>
          <w:sz w:val="20"/>
          <w:szCs w:val="20"/>
          <w:rtl/>
        </w:rPr>
        <w:t>. ריאיון מ־19 בינואר 1996.</w:t>
      </w:r>
    </w:p>
  </w:footnote>
  <w:footnote w:id="3501">
    <w:p w14:paraId="63061157" w14:textId="77777777" w:rsidR="00AB3647" w:rsidRDefault="00000000">
      <w:pPr>
        <w:spacing w:after="0" w:before="0"/>
        <w:jc w:val="both"/>
      </w:pPr>
      <w:r>
        <w:rPr>
          <w:sz w:val="20"/>
          <w:szCs w:val="20"/>
          <w:rtl/>
        </w:rPr>
        <w:footnoteRef/>
      </w:r>
      <w:r>
        <w:rPr>
          <w:sz w:val="20"/>
          <w:szCs w:val="20"/>
          <w:rtl/>
        </w:rPr>
        <w:t xml:space="preserve">. מצאתי ראיה שלא היה זה סיפור </w:t>
      </w:r>
      <w:proofErr w:type="spellStart"/>
      <w:r>
        <w:rPr>
          <w:sz w:val="20"/>
          <w:szCs w:val="20"/>
          <w:rtl/>
        </w:rPr>
        <w:t>בלתי־מבוסס</w:t>
      </w:r>
      <w:proofErr w:type="spellEnd"/>
      <w:r>
        <w:rPr>
          <w:sz w:val="20"/>
          <w:szCs w:val="20"/>
          <w:rtl/>
        </w:rPr>
        <w:t xml:space="preserve">. </w:t>
      </w:r>
      <w:proofErr w:type="spellStart"/>
      <w:r>
        <w:rPr>
          <w:sz w:val="20"/>
          <w:szCs w:val="20"/>
          <w:rtl/>
        </w:rPr>
        <w:t>ב“דברי</w:t>
      </w:r>
      <w:proofErr w:type="spellEnd"/>
      <w:r>
        <w:rPr>
          <w:sz w:val="20"/>
          <w:szCs w:val="20"/>
          <w:rtl/>
        </w:rPr>
        <w:t xml:space="preserve"> ישראל” (לובלין, תרס״א), בחלק הנקרא “כללי דאורייתא”, עמ׳ טו, נאמר: “מה </w:t>
      </w:r>
      <w:proofErr w:type="spellStart"/>
      <w:r>
        <w:rPr>
          <w:sz w:val="20"/>
          <w:szCs w:val="20"/>
          <w:rtl/>
        </w:rPr>
        <w:t>דאמרי</w:t>
      </w:r>
      <w:proofErr w:type="spellEnd"/>
      <w:r>
        <w:rPr>
          <w:sz w:val="20"/>
          <w:szCs w:val="20"/>
          <w:rtl/>
        </w:rPr>
        <w:t xml:space="preserve"> </w:t>
      </w:r>
      <w:proofErr w:type="spellStart"/>
      <w:r>
        <w:rPr>
          <w:sz w:val="20"/>
          <w:szCs w:val="20"/>
          <w:rtl/>
        </w:rPr>
        <w:t>אינשי</w:t>
      </w:r>
      <w:proofErr w:type="spellEnd"/>
      <w:r>
        <w:rPr>
          <w:sz w:val="20"/>
          <w:szCs w:val="20"/>
          <w:rtl/>
        </w:rPr>
        <w:t xml:space="preserve"> כשאדם אינו יודע עצה איך יעשה </w:t>
      </w:r>
      <w:proofErr w:type="spellStart"/>
      <w:r>
        <w:rPr>
          <w:sz w:val="20"/>
          <w:szCs w:val="20"/>
          <w:rtl/>
        </w:rPr>
        <w:t>ישאול</w:t>
      </w:r>
      <w:proofErr w:type="spellEnd"/>
      <w:r>
        <w:rPr>
          <w:sz w:val="20"/>
          <w:szCs w:val="20"/>
          <w:rtl/>
        </w:rPr>
        <w:t xml:space="preserve"> דעת בעל הבית וכפי שיאמר </w:t>
      </w:r>
      <w:proofErr w:type="spellStart"/>
      <w:r>
        <w:rPr>
          <w:sz w:val="20"/>
          <w:szCs w:val="20"/>
          <w:rtl/>
        </w:rPr>
        <w:t>הבעה״ב</w:t>
      </w:r>
      <w:proofErr w:type="spellEnd"/>
      <w:r>
        <w:rPr>
          <w:sz w:val="20"/>
          <w:szCs w:val="20"/>
          <w:rtl/>
        </w:rPr>
        <w:t xml:space="preserve"> יעשה בהיפך. אמר </w:t>
      </w:r>
      <w:proofErr w:type="spellStart"/>
      <w:r>
        <w:rPr>
          <w:sz w:val="20"/>
          <w:szCs w:val="20"/>
          <w:rtl/>
        </w:rPr>
        <w:t>אא״ז</w:t>
      </w:r>
      <w:proofErr w:type="spellEnd"/>
      <w:r>
        <w:rPr>
          <w:sz w:val="20"/>
          <w:szCs w:val="20"/>
          <w:rtl/>
        </w:rPr>
        <w:t xml:space="preserve"> [של ר׳ ישראל </w:t>
      </w:r>
      <w:proofErr w:type="spellStart"/>
      <w:r>
        <w:rPr>
          <w:sz w:val="20"/>
          <w:szCs w:val="20"/>
          <w:rtl/>
        </w:rPr>
        <w:t>ממודז׳יץ</w:t>
      </w:r>
      <w:proofErr w:type="spellEnd"/>
      <w:r>
        <w:rPr>
          <w:sz w:val="20"/>
          <w:szCs w:val="20"/>
          <w:rtl/>
        </w:rPr>
        <w:t xml:space="preserve">] [ר׳ יחזקאל </w:t>
      </w:r>
      <w:proofErr w:type="spellStart"/>
      <w:r>
        <w:rPr>
          <w:sz w:val="20"/>
          <w:szCs w:val="20"/>
          <w:rtl/>
        </w:rPr>
        <w:t>מקוזמיר</w:t>
      </w:r>
      <w:proofErr w:type="spellEnd"/>
      <w:r>
        <w:rPr>
          <w:sz w:val="20"/>
          <w:szCs w:val="20"/>
          <w:rtl/>
        </w:rPr>
        <w:t xml:space="preserve">] זצוק״ל הרי היא משנה מפורשת. (וז״ל המשנה בקידושין ס״ד ע״ב, המקדש את בתו סתם אין הבוגרת בכלל ע״כ והנה אם נשאל בעל הבית בר דעת בוודאי יאמר בהפך, אדרבה את הבוגרת </w:t>
      </w:r>
      <w:proofErr w:type="spellStart"/>
      <w:r>
        <w:rPr>
          <w:sz w:val="20"/>
          <w:szCs w:val="20"/>
          <w:rtl/>
        </w:rPr>
        <w:t>דוקא</w:t>
      </w:r>
      <w:proofErr w:type="spellEnd"/>
      <w:r>
        <w:rPr>
          <w:sz w:val="20"/>
          <w:szCs w:val="20"/>
          <w:rtl/>
        </w:rPr>
        <w:t xml:space="preserve"> קידש כמובן, הרי שכפי דעת בעה״ב נהפוך הוא.)” ועיין </w:t>
      </w:r>
      <w:proofErr w:type="spellStart"/>
      <w:r>
        <w:rPr>
          <w:sz w:val="20"/>
          <w:szCs w:val="20"/>
          <w:rtl/>
        </w:rPr>
        <w:t>בחידו״ת</w:t>
      </w:r>
      <w:proofErr w:type="spellEnd"/>
      <w:r>
        <w:rPr>
          <w:sz w:val="20"/>
          <w:szCs w:val="20"/>
          <w:rtl/>
        </w:rPr>
        <w:t xml:space="preserve"> של בעל דברי ישראל פ׳ בא שפי׳ בדרך צחות את דברי </w:t>
      </w:r>
      <w:proofErr w:type="spellStart"/>
      <w:r>
        <w:rPr>
          <w:sz w:val="20"/>
          <w:szCs w:val="20"/>
          <w:rtl/>
        </w:rPr>
        <w:t>מרע״ה</w:t>
      </w:r>
      <w:proofErr w:type="spellEnd"/>
      <w:r>
        <w:rPr>
          <w:sz w:val="20"/>
          <w:szCs w:val="20"/>
          <w:rtl/>
        </w:rPr>
        <w:t xml:space="preserve"> אחרי שפרעה אמר “רק צאנכם </w:t>
      </w:r>
      <w:proofErr w:type="spellStart"/>
      <w:r>
        <w:rPr>
          <w:sz w:val="20"/>
          <w:szCs w:val="20"/>
          <w:rtl/>
        </w:rPr>
        <w:t>ובקרכם</w:t>
      </w:r>
      <w:proofErr w:type="spellEnd"/>
      <w:r>
        <w:rPr>
          <w:sz w:val="20"/>
          <w:szCs w:val="20"/>
          <w:rtl/>
        </w:rPr>
        <w:t xml:space="preserve"> יוצג” ומשה אמר בהיפך מקצה לקצה “גם אתה </w:t>
      </w:r>
      <w:proofErr w:type="spellStart"/>
      <w:r>
        <w:rPr>
          <w:sz w:val="20"/>
          <w:szCs w:val="20"/>
          <w:rtl/>
        </w:rPr>
        <w:t>תתן</w:t>
      </w:r>
      <w:proofErr w:type="spellEnd"/>
      <w:r>
        <w:rPr>
          <w:sz w:val="20"/>
          <w:szCs w:val="20"/>
          <w:rtl/>
        </w:rPr>
        <w:t xml:space="preserve"> </w:t>
      </w:r>
      <w:proofErr w:type="spellStart"/>
      <w:r>
        <w:rPr>
          <w:sz w:val="20"/>
          <w:szCs w:val="20"/>
          <w:rtl/>
        </w:rPr>
        <w:t>וכו</w:t>
      </w:r>
      <w:proofErr w:type="spellEnd"/>
      <w:r>
        <w:rPr>
          <w:sz w:val="20"/>
          <w:szCs w:val="20"/>
          <w:rtl/>
        </w:rPr>
        <w:t xml:space="preserve">׳”, כי ידוע שהתורה היא עצה </w:t>
      </w:r>
      <w:proofErr w:type="spellStart"/>
      <w:r>
        <w:rPr>
          <w:sz w:val="20"/>
          <w:szCs w:val="20"/>
          <w:rtl/>
        </w:rPr>
        <w:t>ותושיה</w:t>
      </w:r>
      <w:proofErr w:type="spellEnd"/>
      <w:r>
        <w:rPr>
          <w:sz w:val="20"/>
          <w:szCs w:val="20"/>
          <w:rtl/>
        </w:rPr>
        <w:t xml:space="preserve">, אמנם בגלות מצרים היה עדיין קודם מתן תורה וגם הדעת </w:t>
      </w:r>
      <w:proofErr w:type="spellStart"/>
      <w:r>
        <w:rPr>
          <w:sz w:val="20"/>
          <w:szCs w:val="20"/>
          <w:rtl/>
        </w:rPr>
        <w:t>היתה</w:t>
      </w:r>
      <w:proofErr w:type="spellEnd"/>
      <w:r>
        <w:rPr>
          <w:sz w:val="20"/>
          <w:szCs w:val="20"/>
          <w:rtl/>
        </w:rPr>
        <w:t xml:space="preserve"> בגלות כידוע, ולא ידעו עצה איך לעשות, רק זאת ידעו שכפי אשר יאמר להם פרעה ומצרים, יעשו הם </w:t>
      </w:r>
      <w:proofErr w:type="spellStart"/>
      <w:r>
        <w:rPr>
          <w:sz w:val="20"/>
          <w:szCs w:val="20"/>
          <w:rtl/>
        </w:rPr>
        <w:t>הכל</w:t>
      </w:r>
      <w:proofErr w:type="spellEnd"/>
      <w:r>
        <w:rPr>
          <w:sz w:val="20"/>
          <w:szCs w:val="20"/>
          <w:rtl/>
        </w:rPr>
        <w:t xml:space="preserve"> בהיפך, וזהו כשאמר פרעה “רק צאנכם </w:t>
      </w:r>
      <w:proofErr w:type="spellStart"/>
      <w:r>
        <w:rPr>
          <w:sz w:val="20"/>
          <w:szCs w:val="20"/>
          <w:rtl/>
        </w:rPr>
        <w:t>ובקרכם</w:t>
      </w:r>
      <w:proofErr w:type="spellEnd"/>
      <w:r>
        <w:rPr>
          <w:sz w:val="20"/>
          <w:szCs w:val="20"/>
          <w:rtl/>
        </w:rPr>
        <w:t xml:space="preserve"> יוצג” השיב משה בהיפך מקצה לקצה “גם אתה </w:t>
      </w:r>
      <w:proofErr w:type="spellStart"/>
      <w:r>
        <w:rPr>
          <w:sz w:val="20"/>
          <w:szCs w:val="20"/>
          <w:rtl/>
        </w:rPr>
        <w:t>תתן</w:t>
      </w:r>
      <w:proofErr w:type="spellEnd"/>
      <w:r>
        <w:rPr>
          <w:sz w:val="20"/>
          <w:szCs w:val="20"/>
          <w:rtl/>
        </w:rPr>
        <w:t xml:space="preserve"> וגם מקננו ילך כי ממנו ניקח לעבוד” פי׳ כי מזה שאתה אומר לעשות כך </w:t>
      </w:r>
      <w:proofErr w:type="spellStart"/>
      <w:r>
        <w:rPr>
          <w:sz w:val="20"/>
          <w:szCs w:val="20"/>
          <w:rtl/>
        </w:rPr>
        <w:t>נקח</w:t>
      </w:r>
      <w:proofErr w:type="spellEnd"/>
      <w:r>
        <w:rPr>
          <w:sz w:val="20"/>
          <w:szCs w:val="20"/>
          <w:rtl/>
        </w:rPr>
        <w:t xml:space="preserve"> עצה לעבוד ולעשות בהיפך, </w:t>
      </w:r>
      <w:proofErr w:type="spellStart"/>
      <w:r>
        <w:rPr>
          <w:sz w:val="20"/>
          <w:szCs w:val="20"/>
          <w:rtl/>
        </w:rPr>
        <w:t>וז״ש</w:t>
      </w:r>
      <w:proofErr w:type="spellEnd"/>
      <w:r>
        <w:rPr>
          <w:sz w:val="20"/>
          <w:szCs w:val="20"/>
          <w:rtl/>
        </w:rPr>
        <w:t xml:space="preserve"> “ואנחנו לא נדע מה נעבד עד בואנו שמה” פירושו ואנחנו לא נדע עצה מה לעבד ולעשות עד בואנו שמה, (היינו, למתן תורה, </w:t>
      </w:r>
      <w:proofErr w:type="spellStart"/>
      <w:r>
        <w:rPr>
          <w:sz w:val="20"/>
          <w:szCs w:val="20"/>
          <w:rtl/>
        </w:rPr>
        <w:t>ולעת־עתה</w:t>
      </w:r>
      <w:proofErr w:type="spellEnd"/>
      <w:r>
        <w:rPr>
          <w:sz w:val="20"/>
          <w:szCs w:val="20"/>
          <w:rtl/>
        </w:rPr>
        <w:t xml:space="preserve"> עצה זו ידענו שכל מה שאתה אומר, לעשות בהיפך מִקָצֶה לְקָצֶה).</w:t>
      </w:r>
    </w:p>
  </w:footnote>
  <w:footnote w:id="3502">
    <w:p w14:paraId="7AD43202" w14:textId="77777777" w:rsidR="00AB3647" w:rsidRDefault="00000000">
      <w:pPr>
        <w:spacing w:after="0" w:before="0"/>
        <w:jc w:val="both"/>
      </w:pPr>
      <w:r>
        <w:rPr>
          <w:sz w:val="20"/>
          <w:szCs w:val="20"/>
          <w:rtl/>
        </w:rPr>
        <w:footnoteRef/>
      </w:r>
      <w:r>
        <w:rPr>
          <w:sz w:val="20"/>
          <w:szCs w:val="20"/>
          <w:rtl/>
        </w:rPr>
        <w:t xml:space="preserve">. הפסקה השנייה של נספח ב להלן – </w:t>
      </w:r>
      <w:proofErr w:type="spellStart"/>
      <w:r>
        <w:rPr>
          <w:sz w:val="20"/>
          <w:szCs w:val="20"/>
          <w:rtl/>
        </w:rPr>
        <w:t>ח״ב</w:t>
      </w:r>
      <w:proofErr w:type="spellEnd"/>
      <w:r>
        <w:rPr>
          <w:sz w:val="20"/>
          <w:szCs w:val="20"/>
          <w:rtl/>
        </w:rPr>
        <w:t xml:space="preserve">, עמ׳ </w:t>
      </w:r>
      <w:proofErr w:type="spellStart"/>
      <w:r>
        <w:rPr>
          <w:sz w:val="20"/>
          <w:szCs w:val="20"/>
          <w:rtl/>
        </w:rPr>
        <w:t>קעב</w:t>
      </w:r>
      <w:proofErr w:type="spellEnd"/>
      <w:r>
        <w:rPr>
          <w:sz w:val="20"/>
          <w:szCs w:val="20"/>
          <w:rtl/>
        </w:rPr>
        <w:t>.</w:t>
      </w:r>
    </w:p>
  </w:footnote>
  <w:footnote w:id="3503">
    <w:p w14:paraId="398F7D26" w14:textId="77777777" w:rsidR="00AB3647" w:rsidRDefault="00000000">
      <w:pPr>
        <w:spacing w:after="0" w:before="0"/>
        <w:jc w:val="both"/>
      </w:pPr>
      <w:r>
        <w:rPr>
          <w:sz w:val="20"/>
          <w:szCs w:val="20"/>
          <w:rtl/>
        </w:rPr>
        <w:footnoteRef/>
      </w:r>
      <w:r>
        <w:rPr>
          <w:sz w:val="20"/>
          <w:szCs w:val="20"/>
          <w:rtl/>
        </w:rPr>
        <w:t xml:space="preserve">. שם, פרק 3, נספח ח – עמ׳ </w:t>
      </w:r>
      <w:proofErr w:type="spellStart"/>
      <w:r>
        <w:rPr>
          <w:sz w:val="20"/>
          <w:szCs w:val="20"/>
          <w:rtl/>
        </w:rPr>
        <w:t>קסז</w:t>
      </w:r>
      <w:proofErr w:type="spellEnd"/>
      <w:r>
        <w:rPr>
          <w:sz w:val="20"/>
          <w:szCs w:val="20"/>
          <w:rtl/>
        </w:rPr>
        <w:t>.</w:t>
      </w:r>
    </w:p>
  </w:footnote>
  <w:footnote w:id="3504">
    <w:p w14:paraId="50C0EF8C" w14:textId="77777777" w:rsidR="00AB3647" w:rsidRDefault="00000000">
      <w:pPr>
        <w:spacing w:after="0" w:before="0"/>
        <w:jc w:val="both"/>
      </w:pPr>
      <w:r>
        <w:rPr>
          <w:sz w:val="20"/>
          <w:szCs w:val="20"/>
          <w:rtl/>
        </w:rPr>
        <w:footnoteRef/>
      </w:r>
      <w:r>
        <w:rPr>
          <w:sz w:val="20"/>
          <w:szCs w:val="20"/>
          <w:rtl/>
        </w:rPr>
        <w:t>. ריאיון מ־12 באפריל 2000.</w:t>
      </w:r>
    </w:p>
  </w:footnote>
  <w:footnote w:id="3505">
    <w:p w14:paraId="14B2B869" w14:textId="77777777" w:rsidR="00AB3647" w:rsidRDefault="00000000">
      <w:pPr>
        <w:spacing w:after="0" w:before="0"/>
        <w:jc w:val="both"/>
      </w:pPr>
      <w:r>
        <w:rPr>
          <w:sz w:val="20"/>
          <w:szCs w:val="20"/>
          <w:rtl/>
        </w:rPr>
        <w:footnoteRef/>
      </w:r>
      <w:r>
        <w:rPr>
          <w:sz w:val="20"/>
          <w:szCs w:val="20"/>
          <w:rtl/>
        </w:rPr>
        <w:t>. 6 באפריל 1986.</w:t>
      </w:r>
    </w:p>
  </w:footnote>
  <w:footnote w:id="3506">
    <w:p w14:paraId="275952DD" w14:textId="77777777" w:rsidR="00AB3647" w:rsidRDefault="00000000">
      <w:pPr>
        <w:spacing w:after="0" w:before="0"/>
        <w:jc w:val="both"/>
      </w:pPr>
      <w:r>
        <w:rPr>
          <w:sz w:val="20"/>
          <w:szCs w:val="20"/>
          <w:rtl/>
        </w:rPr>
        <w:footnoteRef/>
      </w:r>
      <w:r>
        <w:rPr>
          <w:sz w:val="20"/>
          <w:szCs w:val="20"/>
          <w:rtl/>
        </w:rPr>
        <w:t>. ראה גם פרק 2, הפסקה האחרונה בהערה 85.</w:t>
      </w:r>
    </w:p>
  </w:footnote>
  <w:footnote w:id="3507">
    <w:p w14:paraId="28CC9D09" w14:textId="77777777" w:rsidR="00AB3647" w:rsidRDefault="00000000">
      <w:pPr>
        <w:spacing w:after="0" w:before="0"/>
        <w:jc w:val="both"/>
      </w:pPr>
      <w:r>
        <w:rPr>
          <w:sz w:val="20"/>
          <w:szCs w:val="20"/>
          <w:rtl/>
        </w:rPr>
        <w:footnoteRef/>
      </w:r>
      <w:r>
        <w:rPr>
          <w:sz w:val="20"/>
          <w:szCs w:val="20"/>
          <w:rtl/>
        </w:rPr>
        <w:t xml:space="preserve">. הערה 48 לעיל – עמ׳ </w:t>
      </w:r>
      <w:proofErr w:type="spellStart"/>
      <w:r>
        <w:rPr>
          <w:sz w:val="20"/>
          <w:szCs w:val="20"/>
          <w:rtl/>
        </w:rPr>
        <w:t>כא</w:t>
      </w:r>
      <w:proofErr w:type="spellEnd"/>
      <w:r>
        <w:rPr>
          <w:sz w:val="20"/>
          <w:szCs w:val="20"/>
          <w:rtl/>
        </w:rPr>
        <w:t>.</w:t>
      </w:r>
    </w:p>
  </w:footnote>
  <w:footnote w:id="3508">
    <w:p w14:paraId="4CB13750" w14:textId="77777777" w:rsidR="00AB3647" w:rsidRDefault="00000000">
      <w:pPr>
        <w:spacing w:after="0" w:before="0"/>
        <w:jc w:val="both"/>
      </w:pPr>
      <w:r>
        <w:rPr>
          <w:sz w:val="20"/>
          <w:szCs w:val="20"/>
          <w:rtl/>
        </w:rPr>
        <w:footnoteRef/>
      </w:r>
      <w:r>
        <w:rPr>
          <w:sz w:val="20"/>
          <w:szCs w:val="20"/>
          <w:rtl/>
        </w:rPr>
        <w:t>. נדפס בירושלם, תשנ״ז – עמ׳ ה.</w:t>
      </w:r>
    </w:p>
  </w:footnote>
  <w:footnote w:id="3509">
    <w:p w14:paraId="45A3D81F" w14:textId="77777777" w:rsidR="00AB3647" w:rsidRDefault="00000000">
      <w:pPr>
        <w:spacing w:after="0" w:before="0"/>
        <w:jc w:val="both"/>
      </w:pPr>
      <w:r>
        <w:rPr>
          <w:sz w:val="20"/>
          <w:szCs w:val="20"/>
          <w:rtl/>
        </w:rPr>
        <w:footnoteRef/>
      </w:r>
      <w:r>
        <w:rPr>
          <w:sz w:val="20"/>
          <w:szCs w:val="20"/>
          <w:rtl/>
        </w:rPr>
        <w:t>. נספח ט להלן – כרך א, עמ׳ 54.</w:t>
      </w:r>
    </w:p>
  </w:footnote>
  <w:footnote w:id="3510">
    <w:p w14:paraId="39A6F1DB" w14:textId="77777777" w:rsidR="00AB3647" w:rsidRDefault="00000000">
      <w:pPr>
        <w:spacing w:after="0" w:before="0"/>
        <w:jc w:val="both"/>
      </w:pPr>
      <w:r>
        <w:rPr>
          <w:sz w:val="20"/>
          <w:szCs w:val="20"/>
          <w:rtl/>
        </w:rPr>
        <w:footnoteRef/>
      </w:r>
      <w:r>
        <w:rPr>
          <w:sz w:val="20"/>
          <w:szCs w:val="20"/>
          <w:rtl/>
        </w:rPr>
        <w:t>. קידושין ל ע״ב.</w:t>
      </w:r>
    </w:p>
  </w:footnote>
  <w:footnote w:id="3511">
    <w:p w14:paraId="54993B2B" w14:textId="77777777" w:rsidR="00AB3647" w:rsidRDefault="00000000">
      <w:pPr>
        <w:spacing w:after="0" w:before="0"/>
        <w:jc w:val="both"/>
      </w:pPr>
      <w:r>
        <w:rPr>
          <w:sz w:val="20"/>
          <w:szCs w:val="20"/>
          <w:rtl/>
        </w:rPr>
        <w:footnoteRef/>
      </w:r>
      <w:r>
        <w:rPr>
          <w:sz w:val="20"/>
          <w:szCs w:val="20"/>
          <w:rtl/>
        </w:rPr>
        <w:t xml:space="preserve">. במדבר </w:t>
      </w:r>
      <w:proofErr w:type="spellStart"/>
      <w:r>
        <w:rPr>
          <w:sz w:val="20"/>
          <w:szCs w:val="20"/>
          <w:rtl/>
        </w:rPr>
        <w:t>כא</w:t>
      </w:r>
      <w:proofErr w:type="spellEnd"/>
      <w:r>
        <w:rPr>
          <w:sz w:val="20"/>
          <w:szCs w:val="20"/>
          <w:rtl/>
        </w:rPr>
        <w:t xml:space="preserve">, יד. ראה פרק 5, סוף הפסקה הראשונה של נספח ב, שבו מובאים דברי ר׳ ישראל </w:t>
      </w:r>
      <w:proofErr w:type="spellStart"/>
      <w:r>
        <w:rPr>
          <w:sz w:val="20"/>
          <w:szCs w:val="20"/>
          <w:rtl/>
        </w:rPr>
        <w:t>סלנטר</w:t>
      </w:r>
      <w:proofErr w:type="spellEnd"/>
      <w:r>
        <w:rPr>
          <w:sz w:val="20"/>
          <w:szCs w:val="20"/>
          <w:rtl/>
        </w:rPr>
        <w:t xml:space="preserve"> בעניין לימוד תורה מסוג זה.</w:t>
      </w:r>
    </w:p>
  </w:footnote>
  <w:footnote w:id="3512">
    <w:p w14:paraId="157FCDF2" w14:textId="77777777" w:rsidR="00AB3647" w:rsidRDefault="00000000">
      <w:pPr>
        <w:spacing w:after="0" w:before="0"/>
        <w:jc w:val="both"/>
      </w:pPr>
      <w:r>
        <w:rPr>
          <w:sz w:val="20"/>
          <w:szCs w:val="20"/>
          <w:rtl/>
        </w:rPr>
        <w:footnoteRef/>
      </w:r>
      <w:r>
        <w:rPr>
          <w:sz w:val="20"/>
          <w:szCs w:val="20"/>
          <w:rtl/>
        </w:rPr>
        <w:t>. ריאיון מ־17 באוקטובר 1999.</w:t>
      </w:r>
    </w:p>
  </w:footnote>
  <w:footnote w:id="3513">
    <w:p w14:paraId="630C70EA" w14:textId="77777777" w:rsidR="00AB3647" w:rsidRDefault="00000000">
      <w:pPr>
        <w:spacing w:after="0" w:before="0"/>
        <w:jc w:val="both"/>
      </w:pPr>
      <w:r>
        <w:rPr>
          <w:sz w:val="20"/>
          <w:szCs w:val="20"/>
          <w:rtl/>
        </w:rPr>
        <w:footnoteRef/>
      </w:r>
      <w:r>
        <w:rPr>
          <w:sz w:val="20"/>
          <w:szCs w:val="20"/>
          <w:rtl/>
        </w:rPr>
        <w:t xml:space="preserve">. השווה נספח </w:t>
      </w:r>
      <w:proofErr w:type="spellStart"/>
      <w:r>
        <w:rPr>
          <w:sz w:val="20"/>
          <w:szCs w:val="20"/>
          <w:rtl/>
        </w:rPr>
        <w:t>טז</w:t>
      </w:r>
      <w:proofErr w:type="spellEnd"/>
      <w:r>
        <w:rPr>
          <w:sz w:val="20"/>
          <w:szCs w:val="20"/>
          <w:rtl/>
        </w:rPr>
        <w:t xml:space="preserve"> להלן.</w:t>
      </w:r>
    </w:p>
  </w:footnote>
  <w:footnote w:id="3514">
    <w:p w14:paraId="6F549D18" w14:textId="77777777" w:rsidR="00AB3647" w:rsidRDefault="00000000">
      <w:pPr>
        <w:spacing w:after="0" w:before="0"/>
        <w:jc w:val="both"/>
      </w:pPr>
      <w:r>
        <w:rPr>
          <w:sz w:val="20"/>
          <w:szCs w:val="20"/>
          <w:rtl/>
        </w:rPr>
        <w:footnoteRef/>
      </w:r>
      <w:r>
        <w:rPr>
          <w:sz w:val="20"/>
          <w:szCs w:val="20"/>
          <w:rtl/>
        </w:rPr>
        <w:t>. הערה 11 לעיל – עמ׳ 42.</w:t>
      </w:r>
    </w:p>
  </w:footnote>
  <w:footnote w:id="3515">
    <w:p w14:paraId="1C1B84A0" w14:textId="77777777" w:rsidR="00AB3647" w:rsidRDefault="00000000">
      <w:pPr>
        <w:spacing w:after="0" w:before="0"/>
        <w:jc w:val="both"/>
      </w:pPr>
      <w:r>
        <w:rPr>
          <w:sz w:val="20"/>
          <w:szCs w:val="20"/>
          <w:rtl/>
        </w:rPr>
        <w:footnoteRef/>
      </w:r>
      <w:r>
        <w:rPr>
          <w:sz w:val="20"/>
          <w:szCs w:val="20"/>
          <w:rtl/>
        </w:rPr>
        <w:t xml:space="preserve">. הערת שוליים </w:t>
      </w:r>
      <w:r>
        <w:rPr>
          <w:sz w:val="20"/>
          <w:szCs w:val="20"/>
          <w:rtl/>
        </w:rPr>
        <w:fldChar w:fldCharType="begin" w:dirty="true"/>
      </w:r>
      <w:r>
        <w:rPr>
          <w:sz w:val="20"/>
          <w:szCs w:val="20"/>
          <w:rtl/>
        </w:rPr>
        <w:instrText xml:space="preserve"> NOTEREF pr_f_3396 \h </w:instrText>
      </w:r>
      <w:r>
        <w:rPr>
          <w:sz w:val="20"/>
          <w:szCs w:val="20"/>
          <w:rtl/>
        </w:rPr>
      </w:r>
      <w:r>
        <w:rPr>
          <w:sz w:val="20"/>
          <w:szCs w:val="20"/>
          <w:rtl/>
        </w:rPr>
        <w:fldChar w:fldCharType="separate"/>
      </w:r>
      <w:r w:rsidR="007923E9">
        <w:rPr>
          <w:sz w:val="20"/>
          <w:szCs w:val="20"/>
          <w:rtl/>
        </w:rPr>
        <w:t>473</w:t>
      </w:r>
      <w:r>
        <w:rPr>
          <w:sz w:val="20"/>
          <w:szCs w:val="20"/>
          <w:rtl/>
        </w:rPr>
        <w:fldChar w:fldCharType="end"/>
      </w:r>
      <w:r>
        <w:rPr>
          <w:sz w:val="20"/>
          <w:szCs w:val="20"/>
          <w:rtl/>
        </w:rPr>
        <w:t xml:space="preserve"> – שם.</w:t>
      </w:r>
    </w:p>
  </w:footnote>
  <w:footnote w:id="3516">
    <w:p w14:paraId="66BBBEF8" w14:textId="77777777" w:rsidR="00AB3647" w:rsidRDefault="00000000">
      <w:pPr>
        <w:spacing w:after="0" w:before="0"/>
        <w:jc w:val="both"/>
      </w:pPr>
      <w:r>
        <w:rPr>
          <w:sz w:val="20"/>
          <w:szCs w:val="20"/>
          <w:rtl/>
        </w:rPr>
        <w:footnoteRef/>
      </w:r>
      <w:r>
        <w:rPr>
          <w:sz w:val="20"/>
          <w:szCs w:val="20"/>
          <w:rtl/>
        </w:rPr>
        <w:t xml:space="preserve">. פרק 3, הפסקה השלישית של נספח </w:t>
      </w:r>
      <w:proofErr w:type="spellStart"/>
      <w:r>
        <w:rPr>
          <w:sz w:val="20"/>
          <w:szCs w:val="20"/>
          <w:rtl/>
        </w:rPr>
        <w:t>יח</w:t>
      </w:r>
      <w:proofErr w:type="spellEnd"/>
      <w:r>
        <w:rPr>
          <w:sz w:val="20"/>
          <w:szCs w:val="20"/>
          <w:rtl/>
        </w:rPr>
        <w:t>.</w:t>
      </w:r>
    </w:p>
  </w:footnote>
  <w:footnote w:id="3517">
    <w:p w14:paraId="4B9A2FEC" w14:textId="77777777" w:rsidR="00AB3647" w:rsidRDefault="00000000">
      <w:pPr>
        <w:spacing w:after="0" w:before="0"/>
        <w:jc w:val="both"/>
      </w:pPr>
      <w:r>
        <w:rPr>
          <w:sz w:val="20"/>
          <w:szCs w:val="20"/>
          <w:rtl/>
        </w:rPr>
        <w:footnoteRef/>
      </w:r>
      <w:r>
        <w:rPr>
          <w:sz w:val="20"/>
          <w:szCs w:val="20"/>
          <w:rtl/>
        </w:rPr>
        <w:t>. פרק 2, הערה 106.</w:t>
      </w:r>
    </w:p>
  </w:footnote>
  <w:footnote w:id="3518">
    <w:p w14:paraId="752D45ED" w14:textId="77777777" w:rsidR="00AB3647" w:rsidRDefault="00000000">
      <w:pPr>
        <w:spacing w:after="0" w:before="0"/>
        <w:jc w:val="both"/>
      </w:pPr>
      <w:r>
        <w:rPr>
          <w:sz w:val="20"/>
          <w:szCs w:val="20"/>
          <w:rtl/>
        </w:rPr>
        <w:footnoteRef/>
      </w:r>
      <w:r>
        <w:rPr>
          <w:sz w:val="20"/>
          <w:szCs w:val="20"/>
          <w:rtl/>
        </w:rPr>
        <w:t>. שם, פרק 3, הערה 9 – כרך 2, עמ׳ 326.</w:t>
      </w:r>
    </w:p>
  </w:footnote>
  <w:footnote w:id="3519">
    <w:p w14:paraId="64E08317" w14:textId="77777777" w:rsidR="00AB3647" w:rsidRDefault="00000000">
      <w:pPr>
        <w:spacing w:after="0" w:before="0"/>
        <w:jc w:val="both"/>
      </w:pPr>
      <w:r>
        <w:rPr>
          <w:sz w:val="20"/>
          <w:szCs w:val="20"/>
          <w:rtl/>
        </w:rPr>
        <w:footnoteRef/>
      </w:r>
      <w:r>
        <w:rPr>
          <w:sz w:val="20"/>
          <w:szCs w:val="20"/>
          <w:rtl/>
        </w:rPr>
        <w:t>. הפסקה השנייה של נספח ז להלן – עמ׳ 207–208.</w:t>
      </w:r>
    </w:p>
  </w:footnote>
  <w:footnote w:id="3520">
    <w:p w14:paraId="1411FC13" w14:textId="77777777" w:rsidR="00AB3647" w:rsidRDefault="00000000">
      <w:pPr>
        <w:spacing w:after="0" w:before="0"/>
        <w:jc w:val="both"/>
      </w:pPr>
      <w:r>
        <w:rPr>
          <w:sz w:val="20"/>
          <w:szCs w:val="20"/>
          <w:rtl/>
        </w:rPr>
        <w:footnoteRef/>
      </w:r>
      <w:r>
        <w:rPr>
          <w:sz w:val="20"/>
          <w:szCs w:val="20"/>
          <w:rtl/>
        </w:rPr>
        <w:t>. השווה פרק 3, הפסקה השלישית של נספח יד.</w:t>
      </w:r>
    </w:p>
  </w:footnote>
  <w:footnote w:id="3521">
    <w:p w14:paraId="11001BE7" w14:textId="77777777" w:rsidR="00AB3647" w:rsidRDefault="00000000">
      <w:pPr>
        <w:spacing w:after="0" w:before="0"/>
        <w:jc w:val="both"/>
      </w:pPr>
      <w:r>
        <w:rPr>
          <w:sz w:val="20"/>
          <w:szCs w:val="20"/>
          <w:rtl/>
        </w:rPr>
        <w:footnoteRef/>
      </w:r>
      <w:r>
        <w:rPr>
          <w:sz w:val="20"/>
          <w:szCs w:val="20"/>
          <w:rtl/>
        </w:rPr>
        <w:t>. השווה “פולמוס” (שם, הפסקה הראשונה של נספח ט להלן), עמ׳ 129.</w:t>
      </w:r>
    </w:p>
  </w:footnote>
  <w:footnote w:id="3522">
    <w:p w14:paraId="4C3B2CD5" w14:textId="77777777" w:rsidR="00AB3647" w:rsidRDefault="00000000">
      <w:pPr>
        <w:spacing w:after="0" w:before="0"/>
        <w:jc w:val="both"/>
      </w:pPr>
      <w:r>
        <w:rPr>
          <w:sz w:val="20"/>
          <w:szCs w:val="20"/>
          <w:rtl/>
        </w:rPr>
        <w:footnoteRef/>
      </w:r>
      <w:r>
        <w:rPr>
          <w:sz w:val="20"/>
          <w:szCs w:val="20"/>
          <w:rtl/>
        </w:rPr>
        <w:t>. “העבר”, כרך א, עמ׳ 108.</w:t>
      </w:r>
    </w:p>
  </w:footnote>
  <w:footnote w:id="3523">
    <w:p w14:paraId="1533BEE6" w14:textId="77777777" w:rsidR="00AB3647" w:rsidRDefault="00000000">
      <w:pPr>
        <w:spacing w:after="0" w:before="0"/>
        <w:jc w:val="both"/>
      </w:pPr>
      <w:r>
        <w:rPr>
          <w:sz w:val="20"/>
          <w:szCs w:val="20"/>
          <w:rtl/>
        </w:rPr>
        <w:footnoteRef/>
      </w:r>
      <w:r>
        <w:rPr>
          <w:sz w:val="20"/>
          <w:szCs w:val="20"/>
          <w:rtl/>
        </w:rPr>
        <w:t>. העניין נידון בהרחבה בפרק 3, נספח כה.</w:t>
      </w:r>
    </w:p>
  </w:footnote>
  <w:footnote w:id="3524">
    <w:p w14:paraId="7D2F3705" w14:textId="77777777" w:rsidR="00AB3647" w:rsidRDefault="00000000">
      <w:pPr>
        <w:spacing w:after="0" w:before="0"/>
        <w:jc w:val="both"/>
      </w:pPr>
      <w:r>
        <w:rPr>
          <w:sz w:val="20"/>
          <w:szCs w:val="20"/>
          <w:rtl/>
        </w:rPr>
        <w:footnoteRef/>
      </w:r>
      <w:r>
        <w:rPr>
          <w:sz w:val="20"/>
          <w:szCs w:val="20"/>
          <w:rtl/>
        </w:rPr>
        <w:t>. שם, פרק 2, הערה 36 – עמ׳ 172.</w:t>
      </w:r>
    </w:p>
  </w:footnote>
  <w:footnote w:id="3525">
    <w:p w14:paraId="175EC73C" w14:textId="77777777" w:rsidR="00AB3647" w:rsidRDefault="00000000">
      <w:pPr>
        <w:spacing w:after="0" w:before="0"/>
        <w:jc w:val="both"/>
      </w:pPr>
      <w:r>
        <w:rPr>
          <w:sz w:val="20"/>
          <w:szCs w:val="20"/>
          <w:rtl/>
        </w:rPr>
        <w:footnoteRef/>
      </w:r>
      <w:r>
        <w:rPr>
          <w:sz w:val="20"/>
          <w:szCs w:val="20"/>
          <w:rtl/>
        </w:rPr>
        <w:t>. השווה גם “שמושה של תורה”, עמ׳ קפה (מצוטט בפרק 5, הערה 85).</w:t>
      </w:r>
    </w:p>
  </w:footnote>
  <w:footnote w:id="3526">
    <w:p w14:paraId="2A0E0B8F" w14:textId="77777777" w:rsidR="00AB3647" w:rsidRDefault="00000000">
      <w:pPr>
        <w:spacing w:after="0" w:before="0"/>
        <w:jc w:val="both"/>
      </w:pPr>
      <w:r>
        <w:rPr>
          <w:sz w:val="20"/>
          <w:szCs w:val="20"/>
          <w:rtl/>
        </w:rPr>
        <w:footnoteRef/>
      </w:r>
      <w:r>
        <w:rPr>
          <w:sz w:val="20"/>
          <w:szCs w:val="20"/>
          <w:rtl/>
        </w:rPr>
        <w:t>. נספח א להלן – עמ׳ 28, מתאריך אור לי״ד באב תשמ״א.</w:t>
      </w:r>
    </w:p>
  </w:footnote>
  <w:footnote w:id="3527">
    <w:p w14:paraId="77DE40B7" w14:textId="77777777" w:rsidR="00AB3647" w:rsidRDefault="00000000">
      <w:pPr>
        <w:spacing w:after="0" w:before="0"/>
        <w:jc w:val="both"/>
      </w:pPr>
      <w:r>
        <w:rPr>
          <w:sz w:val="20"/>
          <w:szCs w:val="20"/>
          <w:rtl/>
        </w:rPr>
        <w:footnoteRef/>
      </w:r>
      <w:r>
        <w:rPr>
          <w:sz w:val="20"/>
          <w:szCs w:val="20"/>
          <w:rtl/>
        </w:rPr>
        <w:t xml:space="preserve">. סיפר זאת ר׳ חיים </w:t>
      </w:r>
      <w:proofErr w:type="spellStart"/>
      <w:r>
        <w:rPr>
          <w:sz w:val="20"/>
          <w:szCs w:val="20"/>
          <w:rtl/>
        </w:rPr>
        <w:t>סרנא</w:t>
      </w:r>
      <w:proofErr w:type="spellEnd"/>
      <w:r>
        <w:rPr>
          <w:sz w:val="20"/>
          <w:szCs w:val="20"/>
          <w:rtl/>
        </w:rPr>
        <w:t xml:space="preserve"> (פרק 3, נספח ד).</w:t>
      </w:r>
    </w:p>
  </w:footnote>
  <w:footnote w:id="3528">
    <w:p w14:paraId="2465AF88" w14:textId="77777777" w:rsidR="00AB3647" w:rsidRDefault="00000000">
      <w:pPr>
        <w:spacing w:after="0" w:before="0"/>
        <w:jc w:val="both"/>
      </w:pPr>
      <w:r>
        <w:rPr>
          <w:sz w:val="20"/>
          <w:szCs w:val="20"/>
          <w:rtl/>
        </w:rPr>
        <w:footnoteRef/>
      </w:r>
      <w:r>
        <w:rPr>
          <w:sz w:val="20"/>
          <w:szCs w:val="20"/>
          <w:rtl/>
        </w:rPr>
        <w:t>. השווה הערה 139 לעיל.</w:t>
      </w:r>
    </w:p>
  </w:footnote>
  <w:footnote w:id="3529">
    <w:p w14:paraId="6C0BC267" w14:textId="77777777" w:rsidR="00AB3647" w:rsidRDefault="00000000">
      <w:pPr>
        <w:spacing w:after="0" w:before="0"/>
        <w:jc w:val="both"/>
      </w:pPr>
      <w:r>
        <w:rPr>
          <w:sz w:val="20"/>
          <w:szCs w:val="20"/>
          <w:rtl/>
        </w:rPr>
        <w:footnoteRef/>
      </w:r>
      <w:r>
        <w:rPr>
          <w:sz w:val="20"/>
          <w:szCs w:val="20"/>
          <w:rtl/>
        </w:rPr>
        <w:t>. על פי סנהדרין ק ע״ב, ורש״י שם.</w:t>
      </w:r>
    </w:p>
  </w:footnote>
  <w:footnote w:id="3530">
    <w:p w14:paraId="1A2DECFF" w14:textId="77777777" w:rsidR="00AB3647" w:rsidRDefault="00000000">
      <w:pPr>
        <w:spacing w:after="0" w:before="0"/>
        <w:jc w:val="both"/>
      </w:pPr>
      <w:r>
        <w:rPr>
          <w:sz w:val="20"/>
          <w:szCs w:val="20"/>
          <w:rtl/>
        </w:rPr>
        <w:footnoteRef/>
      </w:r>
      <w:r>
        <w:rPr>
          <w:sz w:val="20"/>
          <w:szCs w:val="20"/>
          <w:rtl/>
        </w:rPr>
        <w:t>. עמ׳ 172.</w:t>
      </w:r>
    </w:p>
  </w:footnote>
  <w:footnote w:id="3531">
    <w:p w14:paraId="6EE9A49D" w14:textId="77777777" w:rsidR="00AB3647" w:rsidRDefault="00000000">
      <w:pPr>
        <w:spacing w:after="0" w:before="0"/>
        <w:jc w:val="both"/>
      </w:pPr>
      <w:r>
        <w:rPr>
          <w:sz w:val="20"/>
          <w:szCs w:val="20"/>
          <w:rtl/>
        </w:rPr>
        <w:footnoteRef/>
      </w:r>
      <w:r>
        <w:rPr>
          <w:sz w:val="20"/>
          <w:szCs w:val="20"/>
          <w:rtl/>
        </w:rPr>
        <w:t>. השווה הערה 139 לעיל.</w:t>
      </w:r>
    </w:p>
  </w:footnote>
  <w:footnote w:id="3532">
    <w:p w14:paraId="145CFACC" w14:textId="77777777" w:rsidR="00AB3647" w:rsidRDefault="00000000">
      <w:pPr>
        <w:spacing w:after="0" w:before="0"/>
        <w:jc w:val="both"/>
      </w:pPr>
      <w:r>
        <w:rPr>
          <w:sz w:val="20"/>
          <w:szCs w:val="20"/>
          <w:rtl/>
        </w:rPr>
        <w:footnoteRef/>
      </w:r>
      <w:r>
        <w:rPr>
          <w:sz w:val="20"/>
          <w:szCs w:val="20"/>
          <w:rtl/>
        </w:rPr>
        <w:t xml:space="preserve">. השווה תחילת נספח </w:t>
      </w:r>
      <w:proofErr w:type="spellStart"/>
      <w:r>
        <w:rPr>
          <w:sz w:val="20"/>
          <w:szCs w:val="20"/>
          <w:rtl/>
        </w:rPr>
        <w:t>יז</w:t>
      </w:r>
      <w:proofErr w:type="spellEnd"/>
      <w:r>
        <w:rPr>
          <w:sz w:val="20"/>
          <w:szCs w:val="20"/>
          <w:rtl/>
        </w:rPr>
        <w:t xml:space="preserve"> להלן.</w:t>
      </w:r>
    </w:p>
  </w:footnote>
  <w:footnote w:id="3533">
    <w:p w14:paraId="4E0E1CFB" w14:textId="77777777" w:rsidR="00AB3647" w:rsidRDefault="00000000">
      <w:pPr>
        <w:spacing w:after="0" w:before="0"/>
        <w:jc w:val="both"/>
      </w:pPr>
      <w:r>
        <w:rPr>
          <w:sz w:val="20"/>
          <w:szCs w:val="20"/>
          <w:rtl/>
        </w:rPr>
        <w:footnoteRef/>
      </w:r>
      <w:r>
        <w:rPr>
          <w:sz w:val="20"/>
          <w:szCs w:val="20"/>
          <w:rtl/>
        </w:rPr>
        <w:t>. ריאיון מ־5 בדצמבר 1991.</w:t>
      </w:r>
    </w:p>
  </w:footnote>
  <w:footnote w:id="3534">
    <w:p w14:paraId="0E7A9DDB" w14:textId="77777777" w:rsidR="00AB3647" w:rsidRDefault="00000000">
      <w:pPr>
        <w:spacing w:after="0" w:before="0"/>
        <w:jc w:val="both"/>
      </w:pPr>
      <w:r>
        <w:rPr>
          <w:sz w:val="20"/>
          <w:szCs w:val="20"/>
          <w:rtl/>
        </w:rPr>
        <w:footnoteRef/>
      </w:r>
      <w:r>
        <w:rPr>
          <w:sz w:val="20"/>
          <w:szCs w:val="20"/>
          <w:rtl/>
        </w:rPr>
        <w:t>. השווה כרך 2.</w:t>
      </w:r>
    </w:p>
  </w:footnote>
  <w:footnote w:id="3535">
    <w:p w14:paraId="110697C7" w14:textId="77777777" w:rsidR="00AB3647" w:rsidRDefault="00000000">
      <w:pPr>
        <w:spacing w:after="0" w:before="0"/>
        <w:jc w:val="both"/>
      </w:pPr>
      <w:r>
        <w:rPr>
          <w:sz w:val="20"/>
          <w:szCs w:val="20"/>
          <w:rtl/>
        </w:rPr>
        <w:footnoteRef/>
      </w:r>
      <w:r>
        <w:rPr>
          <w:sz w:val="20"/>
          <w:szCs w:val="20"/>
          <w:rtl/>
        </w:rPr>
        <w:t>. השווה גם פרק 3, נספח לב.</w:t>
      </w:r>
    </w:p>
  </w:footnote>
  <w:footnote w:id="3536">
    <w:p w14:paraId="44F97021" w14:textId="77777777" w:rsidR="00AB3647" w:rsidRDefault="00000000">
      <w:pPr>
        <w:spacing w:after="0" w:before="0"/>
        <w:jc w:val="both"/>
      </w:pPr>
      <w:r>
        <w:rPr>
          <w:sz w:val="20"/>
          <w:szCs w:val="20"/>
          <w:rtl/>
        </w:rPr>
        <w:footnoteRef/>
      </w:r>
      <w:r>
        <w:rPr>
          <w:sz w:val="20"/>
          <w:szCs w:val="20"/>
          <w:rtl/>
        </w:rPr>
        <w:t>. דף ל ע״ב.</w:t>
      </w:r>
    </w:p>
  </w:footnote>
  <w:footnote w:id="3537">
    <w:p w14:paraId="304F7CBA" w14:textId="77777777" w:rsidR="00AB3647" w:rsidRDefault="00000000">
      <w:pPr>
        <w:spacing w:after="0" w:before="0"/>
        <w:jc w:val="both"/>
      </w:pPr>
      <w:r>
        <w:rPr>
          <w:sz w:val="20"/>
          <w:szCs w:val="20"/>
          <w:rtl/>
        </w:rPr>
        <w:footnoteRef/>
      </w:r>
      <w:r>
        <w:rPr>
          <w:sz w:val="20"/>
          <w:szCs w:val="20"/>
          <w:rtl/>
        </w:rPr>
        <w:t>. ריאיון מ־1 בנובמבר 1987.</w:t>
      </w:r>
    </w:p>
  </w:footnote>
  <w:footnote w:id="3538">
    <w:p w14:paraId="7470C422" w14:textId="77777777" w:rsidR="00AB3647" w:rsidRDefault="00000000">
      <w:pPr>
        <w:spacing w:after="0" w:before="0"/>
        <w:jc w:val="both"/>
      </w:pPr>
      <w:r>
        <w:rPr>
          <w:sz w:val="20"/>
          <w:szCs w:val="20"/>
          <w:rtl/>
        </w:rPr>
        <w:footnoteRef/>
      </w:r>
      <w:r>
        <w:rPr>
          <w:sz w:val="20"/>
          <w:szCs w:val="20"/>
          <w:rtl/>
        </w:rPr>
        <w:t>. הערה 139 לעיל.</w:t>
      </w:r>
    </w:p>
  </w:footnote>
  <w:footnote w:id="3539">
    <w:p w14:paraId="25214104" w14:textId="77777777" w:rsidR="00AB3647" w:rsidRDefault="00000000">
      <w:pPr>
        <w:spacing w:after="0" w:before="0"/>
        <w:jc w:val="both"/>
      </w:pPr>
      <w:r>
        <w:rPr>
          <w:sz w:val="20"/>
          <w:szCs w:val="20"/>
          <w:rtl/>
        </w:rPr>
        <w:footnoteRef/>
      </w:r>
      <w:r>
        <w:rPr>
          <w:sz w:val="20"/>
          <w:szCs w:val="20"/>
          <w:rtl/>
        </w:rPr>
        <w:t xml:space="preserve">. הפסקה השמינית של נספח ט להלן – עמ׳ </w:t>
      </w:r>
      <w:proofErr w:type="spellStart"/>
      <w:r>
        <w:rPr>
          <w:sz w:val="20"/>
          <w:szCs w:val="20"/>
          <w:rtl/>
        </w:rPr>
        <w:t>רפב</w:t>
      </w:r>
      <w:proofErr w:type="spellEnd"/>
      <w:r>
        <w:rPr>
          <w:sz w:val="20"/>
          <w:szCs w:val="20"/>
          <w:rtl/>
        </w:rPr>
        <w:t>, הערה 41.</w:t>
      </w:r>
    </w:p>
  </w:footnote>
  <w:footnote w:id="3540">
    <w:p w14:paraId="07C80941" w14:textId="77777777" w:rsidR="00AB3647" w:rsidRDefault="00000000">
      <w:pPr>
        <w:spacing w:after="0" w:before="0"/>
        <w:jc w:val="both"/>
      </w:pPr>
      <w:r>
        <w:rPr>
          <w:sz w:val="20"/>
          <w:szCs w:val="20"/>
          <w:rtl/>
        </w:rPr>
        <w:footnoteRef/>
      </w:r>
      <w:r>
        <w:rPr>
          <w:sz w:val="20"/>
          <w:szCs w:val="20"/>
          <w:rtl/>
        </w:rPr>
        <w:t xml:space="preserve">. שם, עמ׳ </w:t>
      </w:r>
      <w:proofErr w:type="spellStart"/>
      <w:r>
        <w:rPr>
          <w:sz w:val="20"/>
          <w:szCs w:val="20"/>
          <w:rtl/>
        </w:rPr>
        <w:t>מא</w:t>
      </w:r>
      <w:proofErr w:type="spellEnd"/>
      <w:r>
        <w:rPr>
          <w:sz w:val="20"/>
          <w:szCs w:val="20"/>
          <w:rtl/>
        </w:rPr>
        <w:t>.</w:t>
      </w:r>
    </w:p>
  </w:footnote>
  <w:footnote w:id="3541">
    <w:p w14:paraId="2017AB14" w14:textId="77777777" w:rsidR="00AB3647" w:rsidRDefault="00000000">
      <w:pPr>
        <w:spacing w:after="0" w:before="0"/>
        <w:jc w:val="both"/>
      </w:pPr>
      <w:r>
        <w:rPr>
          <w:sz w:val="20"/>
          <w:szCs w:val="20"/>
          <w:rtl/>
        </w:rPr>
        <w:footnoteRef/>
      </w:r>
      <w:r>
        <w:rPr>
          <w:sz w:val="20"/>
          <w:szCs w:val="20"/>
          <w:rtl/>
        </w:rPr>
        <w:t xml:space="preserve">. נראה שהיה חלש מכדי להשתתף בפועל בדיוני האספה. השווה פרק 3, הפסקה החמישית של נספח </w:t>
      </w:r>
      <w:proofErr w:type="spellStart"/>
      <w:r>
        <w:rPr>
          <w:sz w:val="20"/>
          <w:szCs w:val="20"/>
          <w:rtl/>
        </w:rPr>
        <w:t>יח</w:t>
      </w:r>
      <w:proofErr w:type="spellEnd"/>
      <w:r>
        <w:rPr>
          <w:sz w:val="20"/>
          <w:szCs w:val="20"/>
          <w:rtl/>
        </w:rPr>
        <w:t>, שם מובאים דברי “תורת חיים” שהוא תמך בהצעה שהועלתה באספה, במכתב ששלח.</w:t>
      </w:r>
    </w:p>
  </w:footnote>
  <w:footnote w:id="3542">
    <w:p w14:paraId="470AD50A" w14:textId="77777777" w:rsidR="00AB3647" w:rsidRDefault="00000000">
      <w:pPr>
        <w:spacing w:after="0" w:before="0"/>
        <w:jc w:val="both"/>
      </w:pPr>
      <w:r>
        <w:rPr>
          <w:sz w:val="20"/>
          <w:szCs w:val="20"/>
          <w:rtl/>
        </w:rPr>
        <w:footnoteRef/>
      </w:r>
      <w:r>
        <w:rPr>
          <w:sz w:val="20"/>
          <w:szCs w:val="20"/>
          <w:rtl/>
        </w:rPr>
        <w:t xml:space="preserve">. דברי הימים א </w:t>
      </w:r>
      <w:proofErr w:type="spellStart"/>
      <w:r>
        <w:rPr>
          <w:sz w:val="20"/>
          <w:szCs w:val="20"/>
          <w:rtl/>
        </w:rPr>
        <w:t>טז</w:t>
      </w:r>
      <w:proofErr w:type="spellEnd"/>
      <w:r>
        <w:rPr>
          <w:sz w:val="20"/>
          <w:szCs w:val="20"/>
          <w:rtl/>
        </w:rPr>
        <w:t xml:space="preserve">, </w:t>
      </w:r>
      <w:proofErr w:type="spellStart"/>
      <w:r>
        <w:rPr>
          <w:sz w:val="20"/>
          <w:szCs w:val="20"/>
          <w:rtl/>
        </w:rPr>
        <w:t>כב</w:t>
      </w:r>
      <w:proofErr w:type="spellEnd"/>
      <w:r>
        <w:rPr>
          <w:sz w:val="20"/>
          <w:szCs w:val="20"/>
          <w:rtl/>
        </w:rPr>
        <w:t>.</w:t>
      </w:r>
    </w:p>
  </w:footnote>
  <w:footnote w:id="3543">
    <w:p w14:paraId="059BB202" w14:textId="77777777" w:rsidR="00AB3647" w:rsidRDefault="00000000">
      <w:pPr>
        <w:spacing w:after="0" w:before="0"/>
        <w:jc w:val="both"/>
      </w:pPr>
      <w:r>
        <w:rPr>
          <w:sz w:val="20"/>
          <w:szCs w:val="20"/>
          <w:rtl/>
        </w:rPr>
        <w:footnoteRef/>
      </w:r>
      <w:r>
        <w:rPr>
          <w:sz w:val="20"/>
          <w:szCs w:val="20"/>
          <w:rtl/>
        </w:rPr>
        <w:t>. שבת קיט ע״ב. ראה גם פרק 2, נספח ג.</w:t>
      </w:r>
    </w:p>
  </w:footnote>
  <w:footnote w:id="3544">
    <w:p w14:paraId="4108B43E" w14:textId="77777777" w:rsidR="00AB3647" w:rsidRDefault="00000000">
      <w:pPr>
        <w:spacing w:after="0" w:before="0"/>
        <w:jc w:val="both"/>
      </w:pPr>
      <w:r>
        <w:rPr>
          <w:sz w:val="20"/>
          <w:szCs w:val="20"/>
          <w:rtl/>
        </w:rPr>
        <w:footnoteRef/>
      </w:r>
      <w:r>
        <w:rPr>
          <w:sz w:val="20"/>
          <w:szCs w:val="20"/>
          <w:rtl/>
        </w:rPr>
        <w:t xml:space="preserve">. </w:t>
      </w:r>
      <w:proofErr w:type="spellStart"/>
      <w:r>
        <w:rPr>
          <w:sz w:val="20"/>
          <w:szCs w:val="20"/>
          <w:rtl/>
        </w:rPr>
        <w:t>צינוביץ</w:t>
      </w:r>
      <w:proofErr w:type="spellEnd"/>
      <w:r>
        <w:rPr>
          <w:sz w:val="20"/>
          <w:szCs w:val="20"/>
          <w:rtl/>
        </w:rPr>
        <w:t>, “אישים וקהילות” (הערה 139 לעיל), עמ׳ 172 ו־174.</w:t>
      </w:r>
    </w:p>
  </w:footnote>
  <w:footnote w:id="3545">
    <w:p w14:paraId="05F78D3D" w14:textId="77777777" w:rsidR="00AB3647" w:rsidRDefault="00000000">
      <w:pPr>
        <w:spacing w:after="0" w:before="0"/>
        <w:jc w:val="both"/>
      </w:pPr>
      <w:r>
        <w:rPr>
          <w:sz w:val="20"/>
          <w:szCs w:val="20"/>
          <w:rtl/>
        </w:rPr>
        <w:footnoteRef/>
      </w:r>
      <w:r>
        <w:rPr>
          <w:sz w:val="20"/>
          <w:szCs w:val="20"/>
          <w:rtl/>
        </w:rPr>
        <w:t>. שם, עמ׳ 173.</w:t>
      </w:r>
    </w:p>
  </w:footnote>
  <w:footnote w:id="3546">
    <w:p w14:paraId="04F2010E" w14:textId="77777777" w:rsidR="00AB3647" w:rsidRDefault="00000000">
      <w:pPr>
        <w:spacing w:after="0" w:before="0"/>
        <w:jc w:val="both"/>
      </w:pPr>
      <w:r>
        <w:rPr>
          <w:sz w:val="20"/>
          <w:szCs w:val="20"/>
          <w:rtl/>
        </w:rPr>
        <w:footnoteRef/>
      </w:r>
      <w:r>
        <w:rPr>
          <w:sz w:val="20"/>
          <w:szCs w:val="20"/>
          <w:rtl/>
        </w:rPr>
        <w:t>. ראה גם פרק 5, הערה 44, על אחרים ששינו גם הם את דעתם.</w:t>
      </w:r>
    </w:p>
  </w:footnote>
  <w:footnote w:id="3547">
    <w:p w14:paraId="531F29C9" w14:textId="77777777" w:rsidR="00AB3647" w:rsidRDefault="00000000">
      <w:pPr>
        <w:spacing w:after="0" w:before="0"/>
        <w:jc w:val="both"/>
      </w:pPr>
      <w:r>
        <w:rPr>
          <w:sz w:val="20"/>
          <w:szCs w:val="20"/>
          <w:rtl/>
        </w:rPr>
        <w:footnoteRef/>
      </w:r>
      <w:r>
        <w:rPr>
          <w:sz w:val="20"/>
          <w:szCs w:val="20"/>
          <w:rtl/>
        </w:rPr>
        <w:t xml:space="preserve">. מובא </w:t>
      </w:r>
      <w:proofErr w:type="spellStart"/>
      <w:r>
        <w:rPr>
          <w:sz w:val="20"/>
          <w:szCs w:val="20"/>
          <w:rtl/>
        </w:rPr>
        <w:t>ב“יתד</w:t>
      </w:r>
      <w:proofErr w:type="spellEnd"/>
      <w:r>
        <w:rPr>
          <w:sz w:val="20"/>
          <w:szCs w:val="20"/>
          <w:rtl/>
        </w:rPr>
        <w:t xml:space="preserve"> נאמן” – ראה הפסקה השנייה של נספח </w:t>
      </w:r>
      <w:proofErr w:type="spellStart"/>
      <w:r>
        <w:rPr>
          <w:sz w:val="20"/>
          <w:szCs w:val="20"/>
          <w:rtl/>
        </w:rPr>
        <w:t>יז</w:t>
      </w:r>
      <w:proofErr w:type="spellEnd"/>
      <w:r>
        <w:rPr>
          <w:sz w:val="20"/>
          <w:szCs w:val="20"/>
          <w:rtl/>
        </w:rPr>
        <w:t xml:space="preserve"> להלן.</w:t>
      </w:r>
    </w:p>
  </w:footnote>
  <w:footnote w:id="3548">
    <w:p w14:paraId="6D92EA98" w14:textId="77777777" w:rsidR="00AB3647" w:rsidRDefault="00000000">
      <w:pPr>
        <w:spacing w:after="0" w:before="0"/>
        <w:jc w:val="both"/>
      </w:pPr>
      <w:r>
        <w:rPr>
          <w:sz w:val="20"/>
          <w:szCs w:val="20"/>
          <w:rtl/>
        </w:rPr>
        <w:footnoteRef/>
      </w:r>
      <w:r>
        <w:rPr>
          <w:sz w:val="20"/>
          <w:szCs w:val="20"/>
          <w:rtl/>
        </w:rPr>
        <w:t>. נספח ד להלן.</w:t>
      </w:r>
    </w:p>
  </w:footnote>
  <w:footnote w:id="3549">
    <w:p w14:paraId="383EBC9C" w14:textId="77777777" w:rsidR="00AB3647" w:rsidRDefault="00000000">
      <w:pPr>
        <w:spacing w:after="0" w:before="0"/>
        <w:jc w:val="both"/>
      </w:pPr>
      <w:r>
        <w:rPr>
          <w:sz w:val="20"/>
          <w:szCs w:val="20"/>
          <w:rtl/>
        </w:rPr>
        <w:footnoteRef/>
      </w:r>
      <w:r>
        <w:rPr>
          <w:sz w:val="20"/>
          <w:szCs w:val="20"/>
          <w:rtl/>
        </w:rPr>
        <w:t>. השווה הערה 79 לעיל.</w:t>
      </w:r>
    </w:p>
  </w:footnote>
  <w:footnote w:id="3550">
    <w:p w14:paraId="59D67C05" w14:textId="77777777" w:rsidR="00AB3647" w:rsidRDefault="00000000">
      <w:pPr>
        <w:spacing w:after="0" w:before="0"/>
        <w:jc w:val="both"/>
      </w:pPr>
      <w:r>
        <w:rPr>
          <w:sz w:val="20"/>
          <w:szCs w:val="20"/>
          <w:rtl/>
        </w:rPr>
        <w:footnoteRef/>
      </w:r>
      <w:r>
        <w:rPr>
          <w:sz w:val="20"/>
          <w:szCs w:val="20"/>
          <w:rtl/>
        </w:rPr>
        <w:t xml:space="preserve">. כמצוין שם בהערת שוליים </w:t>
      </w:r>
      <w:r>
        <w:rPr>
          <w:sz w:val="20"/>
          <w:szCs w:val="20"/>
          <w:rtl/>
        </w:rPr>
        <w:fldChar w:fldCharType="begin" w:dirty="true"/>
      </w:r>
      <w:r>
        <w:rPr>
          <w:sz w:val="20"/>
          <w:szCs w:val="20"/>
          <w:rtl/>
        </w:rPr>
        <w:instrText xml:space="preserve"> NOTEREF pr_f_3919 \h </w:instrText>
      </w:r>
      <w:r>
        <w:rPr>
          <w:sz w:val="20"/>
          <w:szCs w:val="20"/>
          <w:rtl/>
        </w:rPr>
      </w:r>
      <w:r>
        <w:rPr>
          <w:sz w:val="20"/>
          <w:szCs w:val="20"/>
          <w:rtl/>
        </w:rPr>
        <w:fldChar w:fldCharType="separate"/>
      </w:r>
      <w:r w:rsidR="007923E9">
        <w:rPr>
          <w:sz w:val="20"/>
          <w:szCs w:val="20"/>
          <w:rtl/>
        </w:rPr>
        <w:t>996</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pr_f_3919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3551">
    <w:p w14:paraId="1460B35F" w14:textId="77777777" w:rsidR="00AB3647" w:rsidRDefault="00000000">
      <w:pPr>
        <w:spacing w:after="0" w:before="0"/>
        <w:jc w:val="both"/>
      </w:pPr>
      <w:r>
        <w:rPr>
          <w:sz w:val="20"/>
          <w:szCs w:val="20"/>
          <w:rtl/>
        </w:rPr>
        <w:footnoteRef/>
      </w:r>
      <w:r>
        <w:rPr>
          <w:sz w:val="20"/>
          <w:szCs w:val="20"/>
          <w:rtl/>
        </w:rPr>
        <w:t>. ריאיון מ־15 ביוני 1992.</w:t>
      </w:r>
    </w:p>
  </w:footnote>
  <w:footnote w:id="3552">
    <w:p w14:paraId="5CCDF809" w14:textId="77777777" w:rsidR="00AB3647" w:rsidRDefault="00000000">
      <w:pPr>
        <w:spacing w:after="0" w:before="0"/>
        <w:jc w:val="both"/>
      </w:pPr>
      <w:r>
        <w:rPr>
          <w:sz w:val="20"/>
          <w:szCs w:val="20"/>
          <w:rtl/>
        </w:rPr>
        <w:footnoteRef/>
      </w:r>
      <w:r>
        <w:rPr>
          <w:sz w:val="20"/>
          <w:szCs w:val="20"/>
          <w:rtl/>
        </w:rPr>
        <w:t xml:space="preserve">. השווה פרק 3, הפסקה השלישית של נספח </w:t>
      </w:r>
      <w:proofErr w:type="spellStart"/>
      <w:r>
        <w:rPr>
          <w:sz w:val="20"/>
          <w:szCs w:val="20"/>
          <w:rtl/>
        </w:rPr>
        <w:t>יח</w:t>
      </w:r>
      <w:proofErr w:type="spellEnd"/>
      <w:r>
        <w:rPr>
          <w:sz w:val="20"/>
          <w:szCs w:val="20"/>
          <w:rtl/>
        </w:rPr>
        <w:t>.</w:t>
      </w:r>
    </w:p>
  </w:footnote>
  <w:footnote w:id="3553">
    <w:p w14:paraId="64B157C5" w14:textId="77777777" w:rsidR="00AB3647" w:rsidRDefault="00000000">
      <w:pPr>
        <w:spacing w:after="0" w:before="0"/>
        <w:jc w:val="both"/>
      </w:pPr>
      <w:r>
        <w:rPr>
          <w:sz w:val="20"/>
          <w:szCs w:val="20"/>
          <w:rtl/>
        </w:rPr>
        <w:footnoteRef/>
      </w:r>
      <w:r>
        <w:rPr>
          <w:sz w:val="20"/>
          <w:szCs w:val="20"/>
          <w:rtl/>
        </w:rPr>
        <w:t>. הערה 11 לעיל – עמ׳ 41.</w:t>
      </w:r>
    </w:p>
  </w:footnote>
  <w:footnote w:id="3554">
    <w:p w14:paraId="02810CFE" w14:textId="77777777" w:rsidR="00AB3647" w:rsidRDefault="00000000">
      <w:pPr>
        <w:spacing w:after="0" w:before="0"/>
        <w:jc w:val="both"/>
      </w:pPr>
      <w:r>
        <w:rPr>
          <w:sz w:val="20"/>
          <w:szCs w:val="20"/>
          <w:rtl/>
        </w:rPr>
        <w:footnoteRef/>
      </w:r>
      <w:r>
        <w:rPr>
          <w:sz w:val="20"/>
          <w:szCs w:val="20"/>
          <w:rtl/>
        </w:rPr>
        <w:t>. הערה 1 לעיל – עמ׳ 44.</w:t>
      </w:r>
    </w:p>
  </w:footnote>
  <w:footnote w:id="3555">
    <w:p w14:paraId="2BDC1962" w14:textId="77777777" w:rsidR="00AB3647" w:rsidRDefault="00000000">
      <w:pPr>
        <w:spacing w:after="0" w:before="0"/>
        <w:jc w:val="both"/>
      </w:pPr>
      <w:r>
        <w:rPr>
          <w:sz w:val="20"/>
          <w:szCs w:val="20"/>
          <w:rtl/>
        </w:rPr>
        <w:footnoteRef/>
      </w:r>
      <w:r>
        <w:rPr>
          <w:sz w:val="20"/>
          <w:szCs w:val="20"/>
          <w:rtl/>
        </w:rPr>
        <w:t>. שם, עמ׳ 55.</w:t>
      </w:r>
    </w:p>
  </w:footnote>
  <w:footnote w:id="3556">
    <w:p w14:paraId="35C6856B" w14:textId="77777777" w:rsidR="00AB3647" w:rsidRDefault="00000000">
      <w:pPr>
        <w:spacing w:after="0" w:before="0"/>
        <w:jc w:val="both"/>
      </w:pPr>
      <w:r>
        <w:rPr>
          <w:sz w:val="20"/>
          <w:szCs w:val="20"/>
          <w:rtl/>
        </w:rPr>
        <w:footnoteRef/>
      </w:r>
      <w:r>
        <w:rPr>
          <w:sz w:val="20"/>
          <w:szCs w:val="20"/>
          <w:rtl/>
        </w:rPr>
        <w:t>. ראה פרק 3, נספח כד.</w:t>
      </w:r>
    </w:p>
  </w:footnote>
  <w:footnote w:id="3557">
    <w:p w14:paraId="1BF928EC" w14:textId="77777777" w:rsidR="00AB3647" w:rsidRDefault="00000000">
      <w:pPr>
        <w:spacing w:after="0" w:before="0"/>
        <w:jc w:val="both"/>
      </w:pPr>
      <w:r>
        <w:rPr>
          <w:sz w:val="20"/>
          <w:szCs w:val="20"/>
          <w:rtl/>
        </w:rPr>
        <w:footnoteRef/>
      </w:r>
      <w:r>
        <w:rPr>
          <w:sz w:val="20"/>
          <w:szCs w:val="20"/>
          <w:rtl/>
        </w:rPr>
        <w:t>. ראה פרק 3, הפסקה האחרונה של נספח טו.</w:t>
      </w:r>
    </w:p>
  </w:footnote>
  <w:footnote w:id="3558">
    <w:p w14:paraId="40A3B16A" w14:textId="77777777" w:rsidR="00AB3647" w:rsidRDefault="00000000">
      <w:pPr>
        <w:spacing w:after="0" w:before="0"/>
        <w:jc w:val="both"/>
      </w:pPr>
      <w:r>
        <w:rPr>
          <w:sz w:val="20"/>
          <w:szCs w:val="20"/>
          <w:rtl/>
        </w:rPr>
        <w:footnoteRef/>
      </w:r>
      <w:r>
        <w:rPr>
          <w:sz w:val="20"/>
          <w:szCs w:val="20"/>
          <w:rtl/>
        </w:rPr>
        <w:t>. ריאיון מ־5 במרץ 1997.</w:t>
      </w:r>
    </w:p>
  </w:footnote>
  <w:footnote w:id="3559">
    <w:p w14:paraId="62D9F484" w14:textId="77777777" w:rsidR="00AB3647" w:rsidRDefault="00000000">
      <w:pPr>
        <w:spacing w:after="0" w:before="0"/>
        <w:jc w:val="both"/>
      </w:pPr>
      <w:r>
        <w:rPr>
          <w:sz w:val="20"/>
          <w:szCs w:val="20"/>
          <w:rtl/>
        </w:rPr>
        <w:footnoteRef/>
      </w:r>
      <w:r>
        <w:rPr>
          <w:sz w:val="20"/>
          <w:szCs w:val="20"/>
          <w:rtl/>
        </w:rPr>
        <w:t>. בשיחה מוקלטת.</w:t>
      </w:r>
    </w:p>
  </w:footnote>
  <w:footnote w:id="3560">
    <w:p w14:paraId="5E8650F4" w14:textId="77777777" w:rsidR="00AB3647" w:rsidRDefault="00000000">
      <w:pPr>
        <w:spacing w:after="0" w:before="0"/>
        <w:jc w:val="both"/>
      </w:pPr>
      <w:r>
        <w:rPr>
          <w:sz w:val="20"/>
          <w:szCs w:val="20"/>
          <w:rtl/>
        </w:rPr>
        <w:footnoteRef/>
      </w:r>
      <w:r>
        <w:rPr>
          <w:sz w:val="20"/>
          <w:szCs w:val="20"/>
          <w:rtl/>
        </w:rPr>
        <w:t xml:space="preserve">. מסתבר שהתכוון ‘אפילו קדשים’, מפני שתלמידי חכמים בקיאים בדרך כלל בסדר זה פחות מאשר בנשים </w:t>
      </w:r>
      <w:proofErr w:type="spellStart"/>
      <w:r>
        <w:rPr>
          <w:sz w:val="20"/>
          <w:szCs w:val="20"/>
          <w:rtl/>
        </w:rPr>
        <w:t>ובנזיקין</w:t>
      </w:r>
      <w:proofErr w:type="spellEnd"/>
      <w:r>
        <w:rPr>
          <w:sz w:val="20"/>
          <w:szCs w:val="20"/>
          <w:rtl/>
        </w:rPr>
        <w:t>.</w:t>
      </w:r>
    </w:p>
  </w:footnote>
  <w:footnote w:id="3561">
    <w:p w14:paraId="61DC9B26" w14:textId="77777777" w:rsidR="00AB3647" w:rsidRDefault="00000000">
      <w:pPr>
        <w:spacing w:after="0" w:before="0"/>
        <w:jc w:val="both"/>
      </w:pPr>
      <w:r>
        <w:rPr>
          <w:sz w:val="20"/>
          <w:szCs w:val="20"/>
          <w:rtl/>
        </w:rPr>
        <w:footnoteRef/>
      </w:r>
      <w:r>
        <w:rPr>
          <w:sz w:val="20"/>
          <w:szCs w:val="20"/>
          <w:rtl/>
        </w:rPr>
        <w:t xml:space="preserve">. הפסקה החמישית של נספח ט להלן – עמ׳ </w:t>
      </w:r>
      <w:proofErr w:type="spellStart"/>
      <w:r>
        <w:rPr>
          <w:sz w:val="20"/>
          <w:szCs w:val="20"/>
          <w:rtl/>
        </w:rPr>
        <w:t>קג</w:t>
      </w:r>
      <w:proofErr w:type="spellEnd"/>
      <w:r>
        <w:rPr>
          <w:sz w:val="20"/>
          <w:szCs w:val="20"/>
          <w:rtl/>
        </w:rPr>
        <w:t>–קד.</w:t>
      </w:r>
    </w:p>
  </w:footnote>
  <w:footnote w:id="3562">
    <w:p w14:paraId="6738D9F8" w14:textId="77777777" w:rsidR="00AB3647" w:rsidRDefault="00000000">
      <w:pPr>
        <w:spacing w:after="0" w:before="0"/>
        <w:jc w:val="both"/>
      </w:pPr>
      <w:r>
        <w:rPr>
          <w:sz w:val="20"/>
          <w:szCs w:val="20"/>
          <w:rtl/>
        </w:rPr>
        <w:footnoteRef/>
      </w:r>
      <w:r>
        <w:rPr>
          <w:sz w:val="20"/>
          <w:szCs w:val="20"/>
          <w:rtl/>
        </w:rPr>
        <w:t>. הערה בעמ׳ קד. השווה גם פרק 3, סוף הערה 138.</w:t>
      </w:r>
    </w:p>
  </w:footnote>
  <w:footnote w:id="3563">
    <w:p w14:paraId="0B0EDEC8" w14:textId="77777777" w:rsidR="00AB3647" w:rsidRDefault="00000000">
      <w:pPr>
        <w:spacing w:after="0" w:before="0"/>
        <w:jc w:val="both"/>
      </w:pPr>
      <w:r>
        <w:rPr>
          <w:sz w:val="20"/>
          <w:szCs w:val="20"/>
          <w:rtl/>
        </w:rPr>
        <w:footnoteRef/>
      </w:r>
      <w:r>
        <w:rPr>
          <w:sz w:val="20"/>
          <w:szCs w:val="20"/>
          <w:rtl/>
        </w:rPr>
        <w:t xml:space="preserve">. השווה הערת שוליים </w:t>
      </w:r>
      <w:r>
        <w:rPr>
          <w:sz w:val="20"/>
          <w:szCs w:val="20"/>
          <w:rtl/>
        </w:rPr>
        <w:fldChar w:fldCharType="begin" w:dirty="true"/>
      </w:r>
      <w:r>
        <w:rPr>
          <w:sz w:val="20"/>
          <w:szCs w:val="20"/>
          <w:rtl/>
        </w:rPr>
        <w:instrText xml:space="preserve"> NOTEREF pr_f_1316 \h </w:instrText>
      </w:r>
      <w:r>
        <w:rPr>
          <w:sz w:val="20"/>
          <w:szCs w:val="20"/>
          <w:rtl/>
        </w:rPr>
      </w:r>
      <w:r>
        <w:rPr>
          <w:sz w:val="20"/>
          <w:szCs w:val="20"/>
          <w:rtl/>
        </w:rPr>
        <w:fldChar w:fldCharType="separate"/>
      </w:r>
      <w:r w:rsidR="007923E9">
        <w:rPr>
          <w:sz w:val="20"/>
          <w:szCs w:val="20"/>
          <w:rtl/>
        </w:rPr>
        <w:t>361</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pr_f_1316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לעיל.</w:t>
      </w:r>
    </w:p>
  </w:footnote>
  <w:footnote w:id="3564">
    <w:p w14:paraId="54855068" w14:textId="77777777" w:rsidR="00AB3647" w:rsidRDefault="00000000">
      <w:pPr>
        <w:spacing w:after="0" w:before="0"/>
        <w:jc w:val="both"/>
      </w:pPr>
      <w:r>
        <w:rPr>
          <w:sz w:val="20"/>
          <w:szCs w:val="20"/>
          <w:rtl/>
        </w:rPr>
        <w:footnoteRef/>
      </w:r>
      <w:r>
        <w:rPr>
          <w:sz w:val="20"/>
          <w:szCs w:val="20"/>
          <w:rtl/>
        </w:rPr>
        <w:t xml:space="preserve">. השווה פרק 3, סוף הפסקה השלישית של נספח </w:t>
      </w:r>
      <w:proofErr w:type="spellStart"/>
      <w:r>
        <w:rPr>
          <w:sz w:val="20"/>
          <w:szCs w:val="20"/>
          <w:rtl/>
        </w:rPr>
        <w:t>יח</w:t>
      </w:r>
      <w:proofErr w:type="spellEnd"/>
      <w:r>
        <w:rPr>
          <w:sz w:val="20"/>
          <w:szCs w:val="20"/>
          <w:rtl/>
        </w:rPr>
        <w:t>.</w:t>
      </w:r>
    </w:p>
  </w:footnote>
  <w:footnote w:id="3565">
    <w:p w14:paraId="196A9700" w14:textId="77777777" w:rsidR="00AB3647" w:rsidRDefault="00000000">
      <w:pPr>
        <w:spacing w:after="0" w:before="0"/>
        <w:jc w:val="both"/>
      </w:pPr>
      <w:r>
        <w:rPr>
          <w:sz w:val="20"/>
          <w:szCs w:val="20"/>
          <w:rtl/>
        </w:rPr>
        <w:footnoteRef/>
      </w:r>
      <w:r>
        <w:rPr>
          <w:sz w:val="20"/>
          <w:szCs w:val="20"/>
          <w:rtl/>
        </w:rPr>
        <w:t>. עמ׳ 73.</w:t>
      </w:r>
    </w:p>
  </w:footnote>
  <w:footnote w:id="3566">
    <w:p w14:paraId="292FA016" w14:textId="77777777" w:rsidR="00AB3647" w:rsidRDefault="00000000">
      <w:pPr>
        <w:spacing w:after="0" w:before="0"/>
        <w:jc w:val="both"/>
      </w:pPr>
      <w:r>
        <w:rPr>
          <w:sz w:val="20"/>
          <w:szCs w:val="20"/>
          <w:rtl/>
        </w:rPr>
        <w:footnoteRef/>
      </w:r>
      <w:r>
        <w:rPr>
          <w:sz w:val="20"/>
          <w:szCs w:val="20"/>
          <w:rtl/>
        </w:rPr>
        <w:t>. הוא היה מבוגר בהרבה ממחבר המאמר, ולמד בישיבה בתקופה מוקדמת יותר.</w:t>
      </w:r>
    </w:p>
  </w:footnote>
  <w:footnote w:id="3567">
    <w:p w14:paraId="231D319A" w14:textId="77777777" w:rsidR="00AB3647" w:rsidRDefault="00000000">
      <w:pPr>
        <w:spacing w:after="0" w:before="0"/>
        <w:jc w:val="both"/>
      </w:pPr>
      <w:r>
        <w:rPr>
          <w:sz w:val="20"/>
          <w:szCs w:val="20"/>
          <w:rtl/>
        </w:rPr>
        <w:footnoteRef/>
      </w:r>
      <w:r>
        <w:rPr>
          <w:sz w:val="20"/>
          <w:szCs w:val="20"/>
          <w:rtl/>
        </w:rPr>
        <w:t>. ראה הפסקה השלישית מן הסוף בפרק 3.1.</w:t>
      </w:r>
    </w:p>
  </w:footnote>
  <w:footnote w:id="3568">
    <w:p w14:paraId="3204B0F8" w14:textId="77777777" w:rsidR="00AB3647" w:rsidRDefault="00000000">
      <w:pPr>
        <w:spacing w:after="0" w:before="0"/>
        <w:jc w:val="both"/>
      </w:pPr>
      <w:r>
        <w:rPr>
          <w:sz w:val="20"/>
          <w:szCs w:val="20"/>
          <w:rtl/>
        </w:rPr>
        <w:footnoteRef/>
      </w:r>
      <w:r>
        <w:rPr>
          <w:sz w:val="20"/>
          <w:szCs w:val="20"/>
          <w:rtl/>
        </w:rPr>
        <w:t>. הגיליון מי״ד באדר ב תרע״ו.</w:t>
      </w:r>
    </w:p>
  </w:footnote>
  <w:footnote w:id="3569">
    <w:p w14:paraId="7905F3A1" w14:textId="77777777" w:rsidR="00AB3647" w:rsidRDefault="00000000">
      <w:pPr>
        <w:spacing w:after="0" w:before="0"/>
        <w:jc w:val="both"/>
      </w:pPr>
      <w:r>
        <w:rPr>
          <w:sz w:val="20"/>
          <w:szCs w:val="20"/>
          <w:rtl/>
        </w:rPr>
        <w:footnoteRef/>
      </w:r>
      <w:r>
        <w:rPr>
          <w:sz w:val="20"/>
          <w:szCs w:val="20"/>
          <w:rtl/>
        </w:rPr>
        <w:t xml:space="preserve">. ראה נספח </w:t>
      </w:r>
      <w:proofErr w:type="spellStart"/>
      <w:r>
        <w:rPr>
          <w:sz w:val="20"/>
          <w:szCs w:val="20"/>
          <w:rtl/>
        </w:rPr>
        <w:t>יט</w:t>
      </w:r>
      <w:proofErr w:type="spellEnd"/>
      <w:r>
        <w:rPr>
          <w:sz w:val="20"/>
          <w:szCs w:val="20"/>
          <w:rtl/>
        </w:rPr>
        <w:t xml:space="preserve"> להלן.</w:t>
      </w:r>
    </w:p>
  </w:footnote>
  <w:footnote w:id="3570">
    <w:p w14:paraId="74606A03" w14:textId="77777777" w:rsidR="00AB3647" w:rsidRDefault="00000000">
      <w:pPr>
        <w:spacing w:after="0" w:before="0"/>
        <w:jc w:val="both"/>
      </w:pPr>
      <w:r>
        <w:rPr>
          <w:sz w:val="20"/>
          <w:szCs w:val="20"/>
          <w:rtl/>
        </w:rPr>
        <w:footnoteRef/>
      </w:r>
      <w:r>
        <w:rPr>
          <w:sz w:val="20"/>
          <w:szCs w:val="20"/>
          <w:rtl/>
        </w:rPr>
        <w:t>. מוסד הרב קוק, ירושלים, תש״ח – עמ׳ 117–130.</w:t>
      </w:r>
    </w:p>
  </w:footnote>
  <w:footnote w:id="3571">
    <w:p w14:paraId="31CFDF1D" w14:textId="77777777" w:rsidR="00AB3647" w:rsidRDefault="00000000">
      <w:pPr>
        <w:spacing w:after="0" w:before="0"/>
        <w:jc w:val="both"/>
      </w:pPr>
      <w:r>
        <w:rPr>
          <w:sz w:val="20"/>
          <w:szCs w:val="20"/>
          <w:rtl/>
        </w:rPr>
        <w:footnoteRef/>
      </w:r>
      <w:r>
        <w:rPr>
          <w:sz w:val="20"/>
          <w:szCs w:val="20"/>
          <w:rtl/>
        </w:rPr>
        <w:t>. נספח ח להלן.</w:t>
      </w:r>
    </w:p>
  </w:footnote>
  <w:footnote w:id="3572">
    <w:p w14:paraId="0EAF3647" w14:textId="77777777" w:rsidR="00AB3647" w:rsidRDefault="00000000">
      <w:pPr>
        <w:spacing w:after="0" w:before="0"/>
        <w:jc w:val="both"/>
      </w:pPr>
      <w:r>
        <w:rPr>
          <w:sz w:val="20"/>
          <w:szCs w:val="20"/>
          <w:rtl/>
        </w:rPr>
        <w:footnoteRef/>
      </w:r>
      <w:r>
        <w:rPr>
          <w:sz w:val="20"/>
          <w:szCs w:val="20"/>
          <w:rtl/>
        </w:rPr>
        <w:t>. שם, כרך ג, עמ׳ 153.</w:t>
      </w:r>
    </w:p>
  </w:footnote>
  <w:footnote w:id="3573">
    <w:p w14:paraId="72C1F3FE" w14:textId="77777777" w:rsidR="00AB3647" w:rsidRDefault="00000000">
      <w:pPr>
        <w:spacing w:after="0" w:before="0"/>
        <w:jc w:val="both"/>
      </w:pPr>
      <w:r>
        <w:rPr>
          <w:sz w:val="20"/>
          <w:szCs w:val="20"/>
          <w:rtl/>
        </w:rPr>
        <w:footnoteRef/>
      </w:r>
      <w:r>
        <w:rPr>
          <w:sz w:val="20"/>
          <w:szCs w:val="20"/>
          <w:rtl/>
        </w:rPr>
        <w:t>. קידושין ז ע״א.</w:t>
      </w:r>
    </w:p>
  </w:footnote>
  <w:footnote w:id="3574">
    <w:p w14:paraId="15BA4BF1" w14:textId="77777777" w:rsidR="00AB3647" w:rsidRDefault="00000000">
      <w:pPr>
        <w:spacing w:after="0" w:before="0"/>
        <w:jc w:val="both"/>
      </w:pPr>
      <w:r>
        <w:rPr>
          <w:sz w:val="20"/>
          <w:szCs w:val="20"/>
          <w:rtl/>
        </w:rPr>
        <w:footnoteRef/>
      </w:r>
      <w:r>
        <w:rPr>
          <w:sz w:val="20"/>
          <w:szCs w:val="20"/>
          <w:rtl/>
        </w:rPr>
        <w:t xml:space="preserve">. </w:t>
      </w:r>
      <w:proofErr w:type="spellStart"/>
      <w:r>
        <w:rPr>
          <w:sz w:val="20"/>
          <w:szCs w:val="20"/>
          <w:rtl/>
        </w:rPr>
        <w:t>אה״ע</w:t>
      </w:r>
      <w:proofErr w:type="spellEnd"/>
      <w:r>
        <w:rPr>
          <w:sz w:val="20"/>
          <w:szCs w:val="20"/>
          <w:rtl/>
        </w:rPr>
        <w:t xml:space="preserve"> </w:t>
      </w:r>
      <w:proofErr w:type="spellStart"/>
      <w:r>
        <w:rPr>
          <w:sz w:val="20"/>
          <w:szCs w:val="20"/>
          <w:rtl/>
        </w:rPr>
        <w:t>סס״י</w:t>
      </w:r>
      <w:proofErr w:type="spellEnd"/>
      <w:r>
        <w:rPr>
          <w:sz w:val="20"/>
          <w:szCs w:val="20"/>
          <w:rtl/>
        </w:rPr>
        <w:t xml:space="preserve"> כ״ז.</w:t>
      </w:r>
    </w:p>
  </w:footnote>
  <w:footnote w:id="3575">
    <w:p w14:paraId="270008FC" w14:textId="77777777" w:rsidR="00AB3647" w:rsidRDefault="00000000">
      <w:pPr>
        <w:spacing w:after="0" w:before="0"/>
        <w:jc w:val="both"/>
      </w:pPr>
      <w:r>
        <w:rPr>
          <w:sz w:val="20"/>
          <w:szCs w:val="20"/>
          <w:rtl/>
        </w:rPr>
        <w:footnoteRef/>
      </w:r>
      <w:r>
        <w:rPr>
          <w:sz w:val="20"/>
          <w:szCs w:val="20"/>
          <w:rtl/>
        </w:rPr>
        <w:t>. השווה פרק 3, סוף הפסקה השנייה של נספח טו.</w:t>
      </w:r>
    </w:p>
  </w:footnote>
  <w:footnote w:id="3576">
    <w:p w14:paraId="47657A5F" w14:textId="77777777" w:rsidR="00AB3647" w:rsidRDefault="00000000">
      <w:pPr>
        <w:spacing w:after="0" w:before="0"/>
        <w:jc w:val="both"/>
      </w:pPr>
      <w:r>
        <w:rPr>
          <w:sz w:val="20"/>
          <w:szCs w:val="20"/>
          <w:rtl/>
        </w:rPr>
        <w:footnoteRef/>
      </w:r>
      <w:r>
        <w:rPr>
          <w:sz w:val="20"/>
          <w:szCs w:val="20"/>
          <w:rtl/>
        </w:rPr>
        <w:t>. הפסקה השנייה של נספח ב להלן – עמ׳ 282–283.</w:t>
      </w:r>
    </w:p>
  </w:footnote>
  <w:footnote w:id="3577">
    <w:p w14:paraId="1B146BA6" w14:textId="77777777" w:rsidR="00AB3647" w:rsidRDefault="00000000">
      <w:pPr>
        <w:spacing w:after="0" w:before="0"/>
        <w:jc w:val="both"/>
      </w:pPr>
      <w:r>
        <w:rPr>
          <w:sz w:val="20"/>
          <w:szCs w:val="20"/>
          <w:rtl/>
        </w:rPr>
        <w:footnoteRef/>
      </w:r>
      <w:r>
        <w:rPr>
          <w:sz w:val="20"/>
          <w:szCs w:val="20"/>
          <w:rtl/>
        </w:rPr>
        <w:t xml:space="preserve">. </w:t>
      </w:r>
      <w:proofErr w:type="spellStart"/>
      <w:r>
        <w:rPr>
          <w:sz w:val="20"/>
          <w:szCs w:val="20"/>
          <w:rtl/>
        </w:rPr>
        <w:t>שו״ע</w:t>
      </w:r>
      <w:proofErr w:type="spellEnd"/>
      <w:r>
        <w:rPr>
          <w:sz w:val="20"/>
          <w:szCs w:val="20"/>
          <w:rtl/>
        </w:rPr>
        <w:t xml:space="preserve"> </w:t>
      </w:r>
      <w:proofErr w:type="spellStart"/>
      <w:r>
        <w:rPr>
          <w:sz w:val="20"/>
          <w:szCs w:val="20"/>
          <w:rtl/>
        </w:rPr>
        <w:t>או״ח</w:t>
      </w:r>
      <w:proofErr w:type="spellEnd"/>
      <w:r>
        <w:rPr>
          <w:sz w:val="20"/>
          <w:szCs w:val="20"/>
          <w:rtl/>
        </w:rPr>
        <w:t xml:space="preserve"> סי׳ תרצ״ה, ס״ב בהגה.</w:t>
      </w:r>
    </w:p>
  </w:footnote>
  <w:footnote w:id="3578">
    <w:p w14:paraId="797290AC" w14:textId="77777777" w:rsidR="00AB3647" w:rsidRDefault="00000000">
      <w:pPr>
        <w:spacing w:after="0" w:before="0"/>
        <w:jc w:val="both"/>
      </w:pPr>
      <w:r>
        <w:rPr>
          <w:sz w:val="20"/>
          <w:szCs w:val="20"/>
          <w:rtl/>
        </w:rPr>
        <w:footnoteRef/>
      </w:r>
      <w:r>
        <w:rPr>
          <w:sz w:val="20"/>
          <w:szCs w:val="20"/>
          <w:rtl/>
        </w:rPr>
        <w:t>. מגילה ז ע״ב.</w:t>
      </w:r>
    </w:p>
  </w:footnote>
  <w:footnote w:id="3579">
    <w:p w14:paraId="3B2520BA" w14:textId="77777777" w:rsidR="00AB3647" w:rsidRDefault="00000000">
      <w:pPr>
        <w:spacing w:after="0" w:before="0"/>
        <w:jc w:val="both"/>
      </w:pPr>
      <w:r>
        <w:rPr>
          <w:sz w:val="20"/>
          <w:szCs w:val="20"/>
          <w:rtl/>
        </w:rPr>
        <w:footnoteRef/>
      </w:r>
      <w:r>
        <w:rPr>
          <w:sz w:val="20"/>
          <w:szCs w:val="20"/>
          <w:rtl/>
        </w:rPr>
        <w:t xml:space="preserve">. כמובא במשנה ברורה </w:t>
      </w:r>
      <w:proofErr w:type="spellStart"/>
      <w:r>
        <w:rPr>
          <w:sz w:val="20"/>
          <w:szCs w:val="20"/>
          <w:rtl/>
        </w:rPr>
        <w:t>ס״ק</w:t>
      </w:r>
      <w:proofErr w:type="spellEnd"/>
      <w:r>
        <w:rPr>
          <w:sz w:val="20"/>
          <w:szCs w:val="20"/>
          <w:rtl/>
        </w:rPr>
        <w:t xml:space="preserve"> ה.</w:t>
      </w:r>
    </w:p>
  </w:footnote>
  <w:footnote w:id="3580">
    <w:p w14:paraId="1A655E5B" w14:textId="77777777" w:rsidR="00AB3647" w:rsidRDefault="00000000">
      <w:pPr>
        <w:spacing w:after="0" w:before="0"/>
        <w:jc w:val="both"/>
      </w:pPr>
      <w:r>
        <w:rPr>
          <w:sz w:val="20"/>
          <w:szCs w:val="20"/>
          <w:rtl/>
        </w:rPr>
        <w:footnoteRef/>
      </w:r>
      <w:r>
        <w:rPr>
          <w:sz w:val="20"/>
          <w:szCs w:val="20"/>
          <w:rtl/>
        </w:rPr>
        <w:t>. עמ׳ 236–237.</w:t>
      </w:r>
    </w:p>
  </w:footnote>
  <w:footnote w:id="3581">
    <w:p w14:paraId="3DE19A48" w14:textId="77777777" w:rsidR="00AB3647" w:rsidRDefault="00000000">
      <w:pPr>
        <w:spacing w:after="0" w:before="0"/>
        <w:jc w:val="both"/>
      </w:pPr>
      <w:r>
        <w:rPr>
          <w:sz w:val="20"/>
          <w:szCs w:val="20"/>
          <w:rtl/>
        </w:rPr>
        <w:footnoteRef/>
      </w:r>
      <w:r>
        <w:rPr>
          <w:sz w:val="20"/>
          <w:szCs w:val="20"/>
          <w:rtl/>
        </w:rPr>
        <w:t>. השווה עירובין ס״ה ע״א. השווה גם “שפת אמת על הש״ס”, מגילה ז ע״ב, שפוסק כן אך אינו קושר את הפטור לפטור ממצוות אחרות.</w:t>
      </w:r>
    </w:p>
  </w:footnote>
  <w:footnote w:id="3582">
    <w:p w14:paraId="12E8921A" w14:textId="77777777" w:rsidR="00AB3647" w:rsidRDefault="00000000">
      <w:pPr>
        <w:spacing w:after="0" w:before="0"/>
        <w:jc w:val="both"/>
      </w:pPr>
      <w:r>
        <w:rPr>
          <w:sz w:val="20"/>
          <w:szCs w:val="20"/>
          <w:rtl/>
        </w:rPr>
        <w:footnoteRef/>
      </w:r>
      <w:r>
        <w:rPr>
          <w:sz w:val="20"/>
          <w:szCs w:val="20"/>
          <w:rtl/>
        </w:rPr>
        <w:t>. שם.</w:t>
      </w:r>
    </w:p>
  </w:footnote>
  <w:footnote w:id="3583">
    <w:p w14:paraId="7F39B008" w14:textId="77777777" w:rsidR="00AB3647" w:rsidRDefault="00000000">
      <w:pPr>
        <w:spacing w:after="0" w:before="0"/>
        <w:jc w:val="both"/>
      </w:pPr>
      <w:r>
        <w:rPr>
          <w:sz w:val="20"/>
          <w:szCs w:val="20"/>
          <w:rtl/>
        </w:rPr>
        <w:footnoteRef/>
      </w:r>
      <w:r>
        <w:rPr>
          <w:sz w:val="20"/>
          <w:szCs w:val="20"/>
          <w:rtl/>
        </w:rPr>
        <w:t xml:space="preserve">. השווה סוף הפסקה הראשונה של נספח י להלן, על האופן שבו הבין ר׳ </w:t>
      </w:r>
      <w:proofErr w:type="spellStart"/>
      <w:r>
        <w:rPr>
          <w:sz w:val="20"/>
          <w:szCs w:val="20"/>
          <w:rtl/>
        </w:rPr>
        <w:t>יחיאל־יעקב</w:t>
      </w:r>
      <w:proofErr w:type="spellEnd"/>
      <w:r>
        <w:rPr>
          <w:sz w:val="20"/>
          <w:szCs w:val="20"/>
          <w:rtl/>
        </w:rPr>
        <w:t xml:space="preserve"> ויינברג את חזרתו המיידית של ר׳ נפתלי לצלילות מלאה עם רדת הלילה.</w:t>
      </w:r>
    </w:p>
  </w:footnote>
  <w:footnote w:id="3584">
    <w:p w14:paraId="632312C6" w14:textId="77777777" w:rsidR="00AB3647" w:rsidRDefault="00000000">
      <w:pPr>
        <w:spacing w:after="0" w:before="0"/>
        <w:jc w:val="both"/>
      </w:pPr>
      <w:r>
        <w:rPr>
          <w:sz w:val="20"/>
          <w:szCs w:val="20"/>
          <w:rtl/>
        </w:rPr>
        <w:footnoteRef/>
      </w:r>
      <w:r>
        <w:rPr>
          <w:sz w:val="20"/>
          <w:szCs w:val="20"/>
          <w:rtl/>
        </w:rPr>
        <w:t>. הפסקה השלישית של נספח ט להלן – עמ׳ 27.</w:t>
      </w:r>
    </w:p>
  </w:footnote>
  <w:footnote w:id="3585">
    <w:p w14:paraId="5394171C" w14:textId="77777777" w:rsidR="00AB3647" w:rsidRDefault="00000000">
      <w:pPr>
        <w:spacing w:after="0" w:before="0"/>
        <w:jc w:val="both"/>
      </w:pPr>
      <w:r>
        <w:rPr>
          <w:sz w:val="20"/>
          <w:szCs w:val="20"/>
          <w:rtl/>
        </w:rPr>
        <w:footnoteRef/>
      </w:r>
      <w:r>
        <w:rPr>
          <w:sz w:val="20"/>
          <w:szCs w:val="20"/>
          <w:rtl/>
        </w:rPr>
        <w:t xml:space="preserve">. השווה נספח ט להלן, ופרק 3, הפסקה </w:t>
      </w:r>
      <w:proofErr w:type="spellStart"/>
      <w:r>
        <w:rPr>
          <w:sz w:val="20"/>
          <w:szCs w:val="20"/>
          <w:rtl/>
        </w:rPr>
        <w:t>הלפני־אחרונה</w:t>
      </w:r>
      <w:proofErr w:type="spellEnd"/>
      <w:r>
        <w:rPr>
          <w:sz w:val="20"/>
          <w:szCs w:val="20"/>
          <w:rtl/>
        </w:rPr>
        <w:t xml:space="preserve"> של נספח יד.</w:t>
      </w:r>
    </w:p>
  </w:footnote>
  <w:footnote w:id="3586">
    <w:p w14:paraId="73477D90" w14:textId="77777777" w:rsidR="00AB3647" w:rsidRDefault="00000000">
      <w:pPr>
        <w:spacing w:after="0" w:before="0"/>
        <w:jc w:val="both"/>
      </w:pPr>
      <w:r>
        <w:rPr>
          <w:sz w:val="20"/>
          <w:szCs w:val="20"/>
          <w:rtl/>
        </w:rPr>
        <w:footnoteRef/>
      </w:r>
      <w:r>
        <w:rPr>
          <w:sz w:val="20"/>
          <w:szCs w:val="20"/>
          <w:rtl/>
        </w:rPr>
        <w:t xml:space="preserve">. הוצאת בית המוסר ע״ש ר׳ ח.מ. להמן, ירושלים, תשמ״ו – עמ׳ </w:t>
      </w:r>
      <w:proofErr w:type="spellStart"/>
      <w:r>
        <w:rPr>
          <w:sz w:val="20"/>
          <w:szCs w:val="20"/>
          <w:rtl/>
        </w:rPr>
        <w:t>תסח</w:t>
      </w:r>
      <w:proofErr w:type="spellEnd"/>
      <w:r>
        <w:rPr>
          <w:sz w:val="20"/>
          <w:szCs w:val="20"/>
          <w:rtl/>
        </w:rPr>
        <w:t xml:space="preserve">. המחבר האלמוני הוא ר׳ שלמה </w:t>
      </w:r>
      <w:proofErr w:type="spellStart"/>
      <w:r>
        <w:rPr>
          <w:sz w:val="20"/>
          <w:szCs w:val="20"/>
          <w:rtl/>
        </w:rPr>
        <w:t>וולבה</w:t>
      </w:r>
      <w:proofErr w:type="spellEnd"/>
      <w:r>
        <w:rPr>
          <w:sz w:val="20"/>
          <w:szCs w:val="20"/>
          <w:rtl/>
        </w:rPr>
        <w:t xml:space="preserve">. ראה הערת שוליים </w:t>
      </w:r>
      <w:r>
        <w:rPr>
          <w:sz w:val="20"/>
          <w:szCs w:val="20"/>
          <w:rtl/>
        </w:rPr>
        <w:fldChar w:fldCharType="begin" w:dirty="true"/>
      </w:r>
      <w:r>
        <w:rPr>
          <w:sz w:val="20"/>
          <w:szCs w:val="20"/>
          <w:rtl/>
        </w:rPr>
        <w:instrText xml:space="preserve"> NOTEREF pr_f_2318 \h </w:instrText>
      </w:r>
      <w:r>
        <w:rPr>
          <w:sz w:val="20"/>
          <w:szCs w:val="20"/>
          <w:rtl/>
        </w:rPr>
      </w:r>
      <w:r>
        <w:rPr>
          <w:sz w:val="20"/>
          <w:szCs w:val="20"/>
          <w:rtl/>
        </w:rPr>
        <w:fldChar w:fldCharType="separate"/>
      </w:r>
      <w:r w:rsidR="007923E9">
        <w:rPr>
          <w:sz w:val="20"/>
          <w:szCs w:val="20"/>
          <w:rtl/>
        </w:rPr>
        <w:t>1364</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pr_f_2318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על חיבור אלמוני נוסף של אותו מחבר.</w:t>
      </w:r>
    </w:p>
  </w:footnote>
  <w:footnote w:id="3587">
    <w:p w14:paraId="18A8E8D6" w14:textId="77777777" w:rsidR="00AB3647" w:rsidRDefault="00000000">
      <w:pPr>
        <w:spacing w:after="0" w:before="0"/>
        <w:jc w:val="both"/>
      </w:pPr>
      <w:r>
        <w:rPr>
          <w:sz w:val="20"/>
          <w:szCs w:val="20"/>
          <w:rtl/>
        </w:rPr>
        <w:footnoteRef/>
      </w:r>
      <w:r>
        <w:rPr>
          <w:sz w:val="20"/>
          <w:szCs w:val="20"/>
          <w:rtl/>
        </w:rPr>
        <w:t>. נספח ד להלן.</w:t>
      </w:r>
    </w:p>
  </w:footnote>
  <w:footnote w:id="3588">
    <w:p w14:paraId="22F92665" w14:textId="77777777" w:rsidR="00AB3647" w:rsidRDefault="00000000">
      <w:pPr>
        <w:spacing w:after="0" w:before="0"/>
        <w:jc w:val="both"/>
      </w:pPr>
      <w:r>
        <w:rPr>
          <w:sz w:val="20"/>
          <w:szCs w:val="20"/>
          <w:rtl/>
        </w:rPr>
        <w:footnoteRef/>
      </w:r>
      <w:r>
        <w:rPr>
          <w:sz w:val="20"/>
          <w:szCs w:val="20"/>
          <w:rtl/>
        </w:rPr>
        <w:t>. ראה פרק 3, נספח ב.</w:t>
      </w:r>
    </w:p>
  </w:footnote>
  <w:footnote w:id="3589">
    <w:p w14:paraId="4B42C390" w14:textId="77777777" w:rsidR="00AB3647" w:rsidRDefault="00000000">
      <w:pPr>
        <w:spacing w:after="0" w:before="0"/>
        <w:jc w:val="both"/>
      </w:pPr>
      <w:r>
        <w:rPr>
          <w:sz w:val="20"/>
          <w:szCs w:val="20"/>
          <w:rtl/>
        </w:rPr>
        <w:footnoteRef/>
      </w:r>
      <w:r>
        <w:rPr>
          <w:sz w:val="20"/>
          <w:szCs w:val="20"/>
          <w:rtl/>
        </w:rPr>
        <w:t xml:space="preserve">. נספח י להלן – עמ׳ </w:t>
      </w:r>
      <w:proofErr w:type="spellStart"/>
      <w:r>
        <w:rPr>
          <w:sz w:val="20"/>
          <w:szCs w:val="20"/>
          <w:rtl/>
        </w:rPr>
        <w:t>נה</w:t>
      </w:r>
      <w:proofErr w:type="spellEnd"/>
      <w:r>
        <w:rPr>
          <w:sz w:val="20"/>
          <w:szCs w:val="20"/>
          <w:rtl/>
        </w:rPr>
        <w:t>.</w:t>
      </w:r>
    </w:p>
  </w:footnote>
  <w:footnote w:id="3590">
    <w:p w14:paraId="5B55411B" w14:textId="77777777" w:rsidR="00AB3647" w:rsidRDefault="00000000">
      <w:pPr>
        <w:spacing w:after="0" w:before="0"/>
        <w:jc w:val="both"/>
      </w:pPr>
      <w:r>
        <w:rPr>
          <w:sz w:val="20"/>
          <w:szCs w:val="20"/>
          <w:rtl/>
        </w:rPr>
        <w:footnoteRef/>
      </w:r>
      <w:r>
        <w:rPr>
          <w:sz w:val="20"/>
          <w:szCs w:val="20"/>
          <w:rtl/>
        </w:rPr>
        <w:t xml:space="preserve">. אבל ע׳ בספר דעת תורה </w:t>
      </w:r>
      <w:proofErr w:type="spellStart"/>
      <w:r>
        <w:rPr>
          <w:sz w:val="20"/>
          <w:szCs w:val="20"/>
          <w:rtl/>
        </w:rPr>
        <w:t>לר</w:t>
      </w:r>
      <w:proofErr w:type="spellEnd"/>
      <w:r>
        <w:rPr>
          <w:sz w:val="20"/>
          <w:szCs w:val="20"/>
          <w:rtl/>
        </w:rPr>
        <w:t xml:space="preserve">׳ ירוחם </w:t>
      </w:r>
      <w:proofErr w:type="spellStart"/>
      <w:r>
        <w:rPr>
          <w:sz w:val="20"/>
          <w:szCs w:val="20"/>
          <w:rtl/>
        </w:rPr>
        <w:t>ליבוביץ</w:t>
      </w:r>
      <w:proofErr w:type="spellEnd"/>
      <w:r>
        <w:rPr>
          <w:sz w:val="20"/>
          <w:szCs w:val="20"/>
          <w:rtl/>
        </w:rPr>
        <w:t xml:space="preserve">, משגיח ישיבת </w:t>
      </w:r>
      <w:proofErr w:type="spellStart"/>
      <w:r>
        <w:rPr>
          <w:sz w:val="20"/>
          <w:szCs w:val="20"/>
          <w:rtl/>
        </w:rPr>
        <w:t>מיר</w:t>
      </w:r>
      <w:proofErr w:type="spellEnd"/>
      <w:r>
        <w:rPr>
          <w:sz w:val="20"/>
          <w:szCs w:val="20"/>
          <w:rtl/>
        </w:rPr>
        <w:t>, שכותב (</w:t>
      </w:r>
      <w:proofErr w:type="spellStart"/>
      <w:r>
        <w:rPr>
          <w:sz w:val="20"/>
          <w:szCs w:val="20"/>
          <w:rtl/>
        </w:rPr>
        <w:t>בפ</w:t>
      </w:r>
      <w:proofErr w:type="spellEnd"/>
      <w:r>
        <w:rPr>
          <w:sz w:val="20"/>
          <w:szCs w:val="20"/>
          <w:rtl/>
        </w:rPr>
        <w:t xml:space="preserve">׳ וישב) ששאל מאדם צדיק וגדול מאד ביום שמחת תורה (שגם אז היו שותים משקאות חריפים בליטא) מדוע אינו מתבשם במעט יי״ש, והלה ענה: אני מכיר את עצמי היטב ויודע חולשותיי, ואני מפחד </w:t>
      </w:r>
      <w:proofErr w:type="spellStart"/>
      <w:r>
        <w:rPr>
          <w:sz w:val="20"/>
          <w:szCs w:val="20"/>
          <w:rtl/>
        </w:rPr>
        <w:t>להתגלף</w:t>
      </w:r>
      <w:proofErr w:type="spellEnd"/>
      <w:r>
        <w:rPr>
          <w:sz w:val="20"/>
          <w:szCs w:val="20"/>
          <w:rtl/>
        </w:rPr>
        <w:t xml:space="preserve"> אף מעט. (ובקשר לזה עיין של״ה שער האותיות דף פ״ד: שכ׳ אשרי מי שלא היה שיכור מימיו.) ויש לנחש שר׳ ירוחם שאל את השאלה לרבו, ר׳ שמחה </w:t>
      </w:r>
      <w:proofErr w:type="spellStart"/>
      <w:r>
        <w:rPr>
          <w:sz w:val="20"/>
          <w:szCs w:val="20"/>
          <w:rtl/>
        </w:rPr>
        <w:t>זיסל</w:t>
      </w:r>
      <w:proofErr w:type="spellEnd"/>
      <w:r>
        <w:rPr>
          <w:sz w:val="20"/>
          <w:szCs w:val="20"/>
          <w:rtl/>
        </w:rPr>
        <w:t xml:space="preserve"> זיו; ואכן, לפי זה, מסתמא גם בפורים לא התבשם. אומנם, ייתכן שאף שבעצמו לא קיים את הדין כפשוטו, הורה ר׳ שמחה </w:t>
      </w:r>
      <w:proofErr w:type="spellStart"/>
      <w:r>
        <w:rPr>
          <w:sz w:val="20"/>
          <w:szCs w:val="20"/>
          <w:rtl/>
        </w:rPr>
        <w:t>זיסל</w:t>
      </w:r>
      <w:proofErr w:type="spellEnd"/>
      <w:r>
        <w:rPr>
          <w:sz w:val="20"/>
          <w:szCs w:val="20"/>
          <w:rtl/>
        </w:rPr>
        <w:t xml:space="preserve"> לתלמידיו, אותם שאינם “מפחדים”, להשתכר ממש, ולכן נהגו ככה </w:t>
      </w:r>
      <w:proofErr w:type="spellStart"/>
      <w:r>
        <w:rPr>
          <w:sz w:val="20"/>
          <w:szCs w:val="20"/>
          <w:rtl/>
        </w:rPr>
        <w:t>ב“תלמוד</w:t>
      </w:r>
      <w:proofErr w:type="spellEnd"/>
      <w:r>
        <w:rPr>
          <w:sz w:val="20"/>
          <w:szCs w:val="20"/>
          <w:rtl/>
        </w:rPr>
        <w:t xml:space="preserve"> תורה” אף עשרות שנים אחרי פטירת מייסדה.</w:t>
      </w:r>
    </w:p>
  </w:footnote>
  <w:footnote w:id="3591">
    <w:p w14:paraId="70AF81D2" w14:textId="77777777" w:rsidR="00AB3647" w:rsidRDefault="00000000">
      <w:pPr>
        <w:spacing w:after="0" w:before="0"/>
        <w:jc w:val="both"/>
      </w:pPr>
      <w:r>
        <w:rPr>
          <w:sz w:val="20"/>
          <w:szCs w:val="20"/>
          <w:rtl/>
        </w:rPr>
        <w:footnoteRef/>
      </w:r>
      <w:r>
        <w:rPr>
          <w:sz w:val="20"/>
          <w:szCs w:val="20"/>
          <w:rtl/>
        </w:rPr>
        <w:t>. השווה נספח י להלן.</w:t>
      </w:r>
    </w:p>
  </w:footnote>
  <w:footnote w:id="3592">
    <w:p w14:paraId="18144D67" w14:textId="77777777" w:rsidR="00AB3647" w:rsidRDefault="00000000">
      <w:pPr>
        <w:spacing w:after="0" w:before="0"/>
        <w:jc w:val="both"/>
      </w:pPr>
      <w:r>
        <w:rPr>
          <w:sz w:val="20"/>
          <w:szCs w:val="20"/>
          <w:rtl/>
        </w:rPr>
        <w:footnoteRef/>
      </w:r>
      <w:r>
        <w:rPr>
          <w:sz w:val="20"/>
          <w:szCs w:val="20"/>
          <w:rtl/>
        </w:rPr>
        <w:t xml:space="preserve">. מאמר מאת בנימין </w:t>
      </w:r>
      <w:proofErr w:type="spellStart"/>
      <w:r>
        <w:rPr>
          <w:sz w:val="20"/>
          <w:szCs w:val="20"/>
          <w:rtl/>
        </w:rPr>
        <w:t>נהוראי</w:t>
      </w:r>
      <w:proofErr w:type="spellEnd"/>
      <w:r>
        <w:rPr>
          <w:sz w:val="20"/>
          <w:szCs w:val="20"/>
          <w:rtl/>
        </w:rPr>
        <w:t xml:space="preserve">, עמ׳ 13 </w:t>
      </w:r>
      <w:proofErr w:type="spellStart"/>
      <w:r>
        <w:rPr>
          <w:sz w:val="20"/>
          <w:szCs w:val="20"/>
          <w:rtl/>
        </w:rPr>
        <w:t>ב“יתד</w:t>
      </w:r>
      <w:proofErr w:type="spellEnd"/>
      <w:r>
        <w:rPr>
          <w:sz w:val="20"/>
          <w:szCs w:val="20"/>
          <w:rtl/>
        </w:rPr>
        <w:t xml:space="preserve"> נאמן”, מוסף ערב </w:t>
      </w:r>
      <w:proofErr w:type="spellStart"/>
      <w:r>
        <w:rPr>
          <w:sz w:val="20"/>
          <w:szCs w:val="20"/>
          <w:rtl/>
        </w:rPr>
        <w:t>שב״ק</w:t>
      </w:r>
      <w:proofErr w:type="spellEnd"/>
      <w:r>
        <w:rPr>
          <w:sz w:val="20"/>
          <w:szCs w:val="20"/>
          <w:rtl/>
        </w:rPr>
        <w:t xml:space="preserve"> פרשת משפטים תשנ״ג.</w:t>
      </w:r>
    </w:p>
  </w:footnote>
  <w:footnote w:id="3593">
    <w:p w14:paraId="5DEA227C" w14:textId="77777777" w:rsidR="00AB3647" w:rsidRDefault="00000000">
      <w:pPr>
        <w:spacing w:after="0" w:before="0"/>
        <w:jc w:val="both"/>
      </w:pPr>
      <w:r>
        <w:rPr>
          <w:sz w:val="20"/>
          <w:szCs w:val="20"/>
          <w:rtl/>
        </w:rPr>
        <w:footnoteRef/>
      </w:r>
      <w:r>
        <w:rPr>
          <w:sz w:val="20"/>
          <w:szCs w:val="20"/>
          <w:rtl/>
        </w:rPr>
        <w:t>. השווה פרק 2, הערה 106.</w:t>
      </w:r>
    </w:p>
  </w:footnote>
  <w:footnote w:id="3594">
    <w:p w14:paraId="7A39E67B" w14:textId="77777777" w:rsidR="00AB3647" w:rsidRDefault="00000000">
      <w:pPr>
        <w:spacing w:after="0" w:before="0"/>
        <w:jc w:val="both"/>
      </w:pPr>
      <w:r>
        <w:rPr>
          <w:sz w:val="20"/>
          <w:szCs w:val="20"/>
          <w:rtl/>
        </w:rPr>
        <w:footnoteRef/>
      </w:r>
      <w:r>
        <w:rPr>
          <w:sz w:val="20"/>
          <w:szCs w:val="20"/>
          <w:rtl/>
        </w:rPr>
        <w:t>. הפסקה השנייה של נספח ט להלן – עמ׳ 318–319.</w:t>
      </w:r>
    </w:p>
  </w:footnote>
  <w:footnote w:id="3595">
    <w:p w14:paraId="1A4BEB0E" w14:textId="77777777" w:rsidR="00AB3647" w:rsidRDefault="00000000">
      <w:pPr>
        <w:spacing w:after="0" w:before="0"/>
        <w:jc w:val="both"/>
      </w:pPr>
      <w:r>
        <w:rPr>
          <w:sz w:val="20"/>
          <w:szCs w:val="20"/>
          <w:rtl/>
        </w:rPr>
        <w:footnoteRef/>
      </w:r>
      <w:r>
        <w:rPr>
          <w:sz w:val="20"/>
          <w:szCs w:val="20"/>
          <w:rtl/>
        </w:rPr>
        <w:t>. הגיליון מי״ז באב תרמ״ג.</w:t>
      </w:r>
    </w:p>
  </w:footnote>
  <w:footnote w:id="3596">
    <w:p w14:paraId="6D8540FD" w14:textId="77777777" w:rsidR="00AB3647" w:rsidRDefault="00000000">
      <w:pPr>
        <w:spacing w:after="0" w:before="0"/>
        <w:jc w:val="both"/>
      </w:pPr>
      <w:r>
        <w:rPr>
          <w:sz w:val="20"/>
          <w:szCs w:val="20"/>
          <w:rtl/>
        </w:rPr>
        <w:footnoteRef/>
      </w:r>
      <w:r>
        <w:rPr>
          <w:sz w:val="20"/>
          <w:szCs w:val="20"/>
          <w:rtl/>
        </w:rPr>
        <w:t>. פרק 3, סוף הערה 68.</w:t>
      </w:r>
    </w:p>
  </w:footnote>
  <w:footnote w:id="3597">
    <w:p w14:paraId="2C1B2000" w14:textId="77777777" w:rsidR="00AB3647" w:rsidRDefault="00000000">
      <w:pPr>
        <w:spacing w:after="0" w:before="0"/>
        <w:jc w:val="both"/>
      </w:pPr>
      <w:r>
        <w:rPr>
          <w:sz w:val="20"/>
          <w:szCs w:val="20"/>
          <w:rtl/>
        </w:rPr>
        <w:footnoteRef/>
      </w:r>
      <w:r>
        <w:rPr>
          <w:sz w:val="20"/>
          <w:szCs w:val="20"/>
          <w:rtl/>
        </w:rPr>
        <w:t>. הדודה דבורה, בפגישתי האישית עמה במינסק (פרק 1, הערה 8).</w:t>
      </w:r>
    </w:p>
  </w:footnote>
  <w:footnote w:id="3598">
    <w:p w14:paraId="27A75DAB" w14:textId="77777777" w:rsidR="00AB3647" w:rsidRDefault="00000000">
      <w:pPr>
        <w:spacing w:after="0" w:before="0"/>
        <w:jc w:val="both"/>
      </w:pPr>
      <w:r>
        <w:rPr>
          <w:sz w:val="20"/>
          <w:szCs w:val="20"/>
          <w:rtl/>
        </w:rPr>
        <w:footnoteRef/>
      </w:r>
      <w:r>
        <w:rPr>
          <w:sz w:val="20"/>
          <w:szCs w:val="20"/>
          <w:rtl/>
        </w:rPr>
        <w:t>. ריאיון מ־13 בדצמבר 1987.</w:t>
      </w:r>
    </w:p>
  </w:footnote>
  <w:footnote w:id="3599">
    <w:p w14:paraId="5AC12F67" w14:textId="77777777" w:rsidR="00AB3647" w:rsidRDefault="00000000">
      <w:pPr>
        <w:spacing w:after="0" w:before="0"/>
        <w:jc w:val="both"/>
      </w:pPr>
      <w:r>
        <w:rPr>
          <w:sz w:val="20"/>
          <w:szCs w:val="20"/>
          <w:rtl/>
        </w:rPr>
        <w:footnoteRef/>
      </w:r>
      <w:r>
        <w:rPr>
          <w:sz w:val="20"/>
          <w:szCs w:val="20"/>
          <w:rtl/>
        </w:rPr>
        <w:t>. השווה כרך 3.</w:t>
      </w:r>
    </w:p>
  </w:footnote>
  <w:footnote w:id="3600">
    <w:p w14:paraId="40446ACB" w14:textId="77777777" w:rsidR="00AB3647" w:rsidRDefault="00000000">
      <w:pPr>
        <w:spacing w:after="0" w:before="0"/>
        <w:jc w:val="both"/>
      </w:pPr>
      <w:r>
        <w:rPr>
          <w:sz w:val="20"/>
          <w:szCs w:val="20"/>
          <w:rtl/>
        </w:rPr>
        <w:footnoteRef/>
      </w:r>
      <w:r>
        <w:rPr>
          <w:sz w:val="20"/>
          <w:szCs w:val="20"/>
          <w:rtl/>
        </w:rPr>
        <w:t xml:space="preserve">. השווה כתובות לד ע״ב, </w:t>
      </w:r>
      <w:proofErr w:type="spellStart"/>
      <w:r>
        <w:rPr>
          <w:sz w:val="20"/>
          <w:szCs w:val="20"/>
          <w:rtl/>
        </w:rPr>
        <w:t>תוד״ה</w:t>
      </w:r>
      <w:proofErr w:type="spellEnd"/>
      <w:r>
        <w:rPr>
          <w:sz w:val="20"/>
          <w:szCs w:val="20"/>
          <w:rtl/>
        </w:rPr>
        <w:t xml:space="preserve"> אבל </w:t>
      </w:r>
      <w:proofErr w:type="spellStart"/>
      <w:r>
        <w:rPr>
          <w:sz w:val="20"/>
          <w:szCs w:val="20"/>
          <w:rtl/>
        </w:rPr>
        <w:t>ארישא</w:t>
      </w:r>
      <w:proofErr w:type="spellEnd"/>
      <w:r>
        <w:rPr>
          <w:sz w:val="20"/>
          <w:szCs w:val="20"/>
          <w:rtl/>
        </w:rPr>
        <w:t>.</w:t>
      </w:r>
    </w:p>
  </w:footnote>
  <w:footnote w:id="3601">
    <w:p w14:paraId="1BC1C890" w14:textId="77777777" w:rsidR="00AB3647" w:rsidRDefault="00000000">
      <w:pPr>
        <w:spacing w:after="0" w:before="0"/>
        <w:jc w:val="both"/>
      </w:pPr>
      <w:r>
        <w:rPr>
          <w:sz w:val="20"/>
          <w:szCs w:val="20"/>
          <w:rtl/>
        </w:rPr>
        <w:footnoteRef/>
      </w:r>
      <w:r>
        <w:rPr>
          <w:sz w:val="20"/>
          <w:szCs w:val="20"/>
          <w:rtl/>
        </w:rPr>
        <w:t>. נראה שראה בפתק רק חפץ בעל ערך רגשי, ולא הבין שהוא פריט אספנות השווה כסף – שהספרייה זכאית לו.</w:t>
      </w:r>
    </w:p>
  </w:footnote>
  <w:footnote w:id="3602">
    <w:p w14:paraId="7437F57B" w14:textId="77777777" w:rsidR="00AB3647" w:rsidRDefault="00000000">
      <w:pPr>
        <w:spacing w:after="0" w:before="0"/>
        <w:jc w:val="both"/>
      </w:pPr>
      <w:r>
        <w:rPr>
          <w:sz w:val="20"/>
          <w:szCs w:val="20"/>
          <w:rtl/>
        </w:rPr>
        <w:footnoteRef/>
      </w:r>
      <w:r>
        <w:rPr>
          <w:sz w:val="20"/>
          <w:szCs w:val="20"/>
          <w:rtl/>
        </w:rPr>
        <w:t xml:space="preserve">. בביקורו האחרון של אבי בארץ ישראל, </w:t>
      </w:r>
      <w:proofErr w:type="spellStart"/>
      <w:r>
        <w:rPr>
          <w:sz w:val="20"/>
          <w:szCs w:val="20"/>
          <w:rtl/>
        </w:rPr>
        <w:t>בתשמ״ב</w:t>
      </w:r>
      <w:proofErr w:type="spellEnd"/>
      <w:r>
        <w:rPr>
          <w:sz w:val="20"/>
          <w:szCs w:val="20"/>
          <w:rtl/>
        </w:rPr>
        <w:t>. ראה פרק 2, הערה 96.</w:t>
      </w:r>
    </w:p>
  </w:footnote>
  <w:footnote w:id="3603">
    <w:p w14:paraId="21D1603A" w14:textId="77777777" w:rsidR="00AB3647" w:rsidRDefault="00000000">
      <w:pPr>
        <w:spacing w:after="0" w:before="0"/>
        <w:jc w:val="both"/>
      </w:pPr>
      <w:r>
        <w:rPr>
          <w:sz w:val="20"/>
          <w:szCs w:val="20"/>
          <w:rtl/>
        </w:rPr>
        <w:footnoteRef/>
      </w:r>
      <w:r>
        <w:rPr>
          <w:sz w:val="20"/>
          <w:szCs w:val="20"/>
          <w:rtl/>
        </w:rPr>
        <w:t>. הערה 7 לעיל – עמ׳ 353.</w:t>
      </w:r>
    </w:p>
  </w:footnote>
  <w:footnote w:id="3604">
    <w:p w14:paraId="78656450" w14:textId="77777777" w:rsidR="00AB3647" w:rsidRDefault="00000000">
      <w:pPr>
        <w:spacing w:after="0" w:before="0"/>
        <w:jc w:val="both"/>
      </w:pPr>
      <w:r>
        <w:rPr>
          <w:sz w:val="20"/>
          <w:szCs w:val="20"/>
          <w:rtl/>
        </w:rPr>
        <w:footnoteRef/>
      </w:r>
      <w:r>
        <w:rPr>
          <w:sz w:val="20"/>
          <w:szCs w:val="20"/>
          <w:rtl/>
        </w:rPr>
        <w:t xml:space="preserve">. שם, פרק 3, הפסקה השנייה של נספח </w:t>
      </w:r>
      <w:proofErr w:type="spellStart"/>
      <w:r>
        <w:rPr>
          <w:sz w:val="20"/>
          <w:szCs w:val="20"/>
          <w:rtl/>
        </w:rPr>
        <w:t>כו</w:t>
      </w:r>
      <w:proofErr w:type="spellEnd"/>
      <w:r>
        <w:rPr>
          <w:sz w:val="20"/>
          <w:szCs w:val="20"/>
          <w:rtl/>
        </w:rPr>
        <w:t xml:space="preserve"> – עמ׳ 114.</w:t>
      </w:r>
    </w:p>
  </w:footnote>
  <w:footnote w:id="3605">
    <w:p w14:paraId="64C649B2" w14:textId="77777777" w:rsidR="00AB3647" w:rsidRDefault="00000000">
      <w:pPr>
        <w:spacing w:after="0" w:before="0"/>
        <w:jc w:val="both"/>
      </w:pPr>
      <w:r>
        <w:rPr>
          <w:sz w:val="20"/>
          <w:szCs w:val="20"/>
          <w:rtl/>
        </w:rPr>
        <w:footnoteRef/>
      </w:r>
      <w:r>
        <w:rPr>
          <w:sz w:val="20"/>
          <w:szCs w:val="20"/>
          <w:rtl/>
        </w:rPr>
        <w:t>. השווה גם פרק 5, הפסקה השביעית של נספח ב.</w:t>
      </w:r>
    </w:p>
  </w:footnote>
  <w:footnote w:id="3606">
    <w:p w14:paraId="26061C97" w14:textId="77777777" w:rsidR="00AB3647" w:rsidRDefault="00000000">
      <w:pPr>
        <w:spacing w:after="0" w:before="0"/>
        <w:jc w:val="both"/>
      </w:pPr>
      <w:r>
        <w:rPr>
          <w:sz w:val="20"/>
          <w:szCs w:val="20"/>
          <w:rtl/>
        </w:rPr>
        <w:footnoteRef/>
      </w:r>
      <w:r>
        <w:rPr>
          <w:sz w:val="20"/>
          <w:szCs w:val="20"/>
          <w:rtl/>
        </w:rPr>
        <w:t>. פרק 3, נספח ל.</w:t>
      </w:r>
    </w:p>
  </w:footnote>
  <w:footnote w:id="3607">
    <w:p w14:paraId="5383880C" w14:textId="77777777" w:rsidR="00AB3647" w:rsidRDefault="00000000">
      <w:pPr>
        <w:spacing w:after="0" w:before="0"/>
        <w:jc w:val="both"/>
      </w:pPr>
      <w:r>
        <w:rPr>
          <w:sz w:val="20"/>
          <w:szCs w:val="20"/>
          <w:rtl/>
        </w:rPr>
        <w:footnoteRef/>
      </w:r>
      <w:r>
        <w:rPr>
          <w:sz w:val="20"/>
          <w:szCs w:val="20"/>
          <w:rtl/>
        </w:rPr>
        <w:t>. פרק 2, הערה 94 – עמ׳ 7, תחילת אב תשמ״א.</w:t>
      </w:r>
    </w:p>
  </w:footnote>
  <w:footnote w:id="3608">
    <w:p w14:paraId="7807213A" w14:textId="77777777" w:rsidR="00AB3647" w:rsidRDefault="00000000">
      <w:pPr>
        <w:spacing w:after="0" w:before="0"/>
        <w:jc w:val="both"/>
      </w:pPr>
      <w:r>
        <w:rPr>
          <w:sz w:val="20"/>
          <w:szCs w:val="20"/>
          <w:rtl/>
        </w:rPr>
        <w:footnoteRef/>
      </w:r>
      <w:r>
        <w:rPr>
          <w:sz w:val="20"/>
          <w:szCs w:val="20"/>
          <w:rtl/>
        </w:rPr>
        <w:t>. השווה פרק 3, נספח ז, והפסקה השלישית של נספח יד.</w:t>
      </w:r>
    </w:p>
  </w:footnote>
  <w:footnote w:id="3609">
    <w:p w14:paraId="4492AB5A" w14:textId="77777777" w:rsidR="00AB3647" w:rsidRDefault="00000000">
      <w:pPr>
        <w:spacing w:after="0" w:before="0"/>
        <w:jc w:val="both"/>
      </w:pPr>
      <w:r>
        <w:rPr>
          <w:sz w:val="20"/>
          <w:szCs w:val="20"/>
          <w:rtl/>
        </w:rPr>
        <w:footnoteRef/>
      </w:r>
      <w:r>
        <w:rPr>
          <w:sz w:val="20"/>
          <w:szCs w:val="20"/>
          <w:rtl/>
        </w:rPr>
        <w:t xml:space="preserve">. עמ׳ </w:t>
      </w:r>
      <w:proofErr w:type="spellStart"/>
      <w:r>
        <w:rPr>
          <w:sz w:val="20"/>
          <w:szCs w:val="20"/>
          <w:rtl/>
        </w:rPr>
        <w:t>יג</w:t>
      </w:r>
      <w:proofErr w:type="spellEnd"/>
      <w:r>
        <w:rPr>
          <w:sz w:val="20"/>
          <w:szCs w:val="20"/>
          <w:rtl/>
        </w:rPr>
        <w:t>.</w:t>
      </w:r>
    </w:p>
  </w:footnote>
  <w:footnote w:id="3610">
    <w:p w14:paraId="49C46A25" w14:textId="77777777" w:rsidR="00AB3647" w:rsidRDefault="00000000">
      <w:pPr>
        <w:spacing w:after="0" w:before="0"/>
        <w:jc w:val="both"/>
      </w:pPr>
      <w:r>
        <w:rPr>
          <w:sz w:val="20"/>
          <w:szCs w:val="20"/>
          <w:rtl/>
        </w:rPr>
        <w:footnoteRef/>
      </w:r>
      <w:r>
        <w:rPr>
          <w:sz w:val="20"/>
          <w:szCs w:val="20"/>
          <w:rtl/>
        </w:rPr>
        <w:t>. עמ׳ 212.</w:t>
      </w:r>
    </w:p>
  </w:footnote>
  <w:footnote w:id="3611">
    <w:p w14:paraId="0F28EE1A" w14:textId="77777777" w:rsidR="00AB3647" w:rsidRDefault="00000000">
      <w:pPr>
        <w:spacing w:after="0" w:before="0"/>
        <w:jc w:val="both"/>
      </w:pPr>
      <w:r>
        <w:rPr>
          <w:sz w:val="20"/>
          <w:szCs w:val="20"/>
          <w:rtl/>
        </w:rPr>
        <w:footnoteRef/>
      </w:r>
      <w:r>
        <w:rPr>
          <w:sz w:val="20"/>
          <w:szCs w:val="20"/>
          <w:rtl/>
        </w:rPr>
        <w:t>. שם, עמ׳ 268.</w:t>
      </w:r>
    </w:p>
  </w:footnote>
  <w:footnote w:id="3612">
    <w:p w14:paraId="30431B10" w14:textId="77777777" w:rsidR="00AB3647" w:rsidRDefault="00000000">
      <w:pPr>
        <w:spacing w:after="0" w:before="0"/>
        <w:jc w:val="both"/>
      </w:pPr>
      <w:r>
        <w:rPr>
          <w:sz w:val="20"/>
          <w:szCs w:val="20"/>
          <w:rtl/>
        </w:rPr>
        <w:footnoteRef/>
      </w:r>
      <w:r>
        <w:rPr>
          <w:sz w:val="20"/>
          <w:szCs w:val="20"/>
          <w:rtl/>
        </w:rPr>
        <w:t xml:space="preserve">. עמ׳ </w:t>
      </w:r>
      <w:proofErr w:type="spellStart"/>
      <w:r>
        <w:rPr>
          <w:sz w:val="20"/>
          <w:szCs w:val="20"/>
          <w:rtl/>
        </w:rPr>
        <w:t>יג</w:t>
      </w:r>
      <w:proofErr w:type="spellEnd"/>
      <w:r>
        <w:rPr>
          <w:sz w:val="20"/>
          <w:szCs w:val="20"/>
          <w:rtl/>
        </w:rPr>
        <w:t>.</w:t>
      </w:r>
    </w:p>
  </w:footnote>
  <w:footnote w:id="3613">
    <w:p w14:paraId="1971F075" w14:textId="77777777" w:rsidR="00AB3647" w:rsidRDefault="00000000">
      <w:pPr>
        <w:spacing w:after="0" w:before="0"/>
        <w:jc w:val="both"/>
      </w:pPr>
      <w:r>
        <w:rPr>
          <w:sz w:val="20"/>
          <w:szCs w:val="20"/>
          <w:rtl/>
        </w:rPr>
        <w:footnoteRef/>
      </w:r>
      <w:r>
        <w:rPr>
          <w:sz w:val="20"/>
          <w:szCs w:val="20"/>
          <w:rtl/>
        </w:rPr>
        <w:t xml:space="preserve">. נראה שהכוונה לראש הישיבה, ר׳ </w:t>
      </w:r>
      <w:proofErr w:type="spellStart"/>
      <w:r>
        <w:rPr>
          <w:sz w:val="20"/>
          <w:szCs w:val="20"/>
          <w:rtl/>
        </w:rPr>
        <w:t>משה־מרדכי</w:t>
      </w:r>
      <w:proofErr w:type="spellEnd"/>
      <w:r>
        <w:rPr>
          <w:sz w:val="20"/>
          <w:szCs w:val="20"/>
          <w:rtl/>
        </w:rPr>
        <w:t xml:space="preserve"> אפשטיין.</w:t>
      </w:r>
    </w:p>
  </w:footnote>
  <w:footnote w:id="3614">
    <w:p w14:paraId="43228275" w14:textId="77777777" w:rsidR="00AB3647" w:rsidRDefault="00000000">
      <w:pPr>
        <w:spacing w:after="0" w:before="0"/>
        <w:jc w:val="both"/>
      </w:pPr>
      <w:r>
        <w:rPr>
          <w:sz w:val="20"/>
          <w:szCs w:val="20"/>
          <w:rtl/>
        </w:rPr>
        <w:footnoteRef/>
      </w:r>
      <w:r>
        <w:rPr>
          <w:sz w:val="20"/>
          <w:szCs w:val="20"/>
          <w:rtl/>
        </w:rPr>
        <w:t>. פרק 1, הערה 59.</w:t>
      </w:r>
    </w:p>
  </w:footnote>
  <w:footnote w:id="3615">
    <w:p w14:paraId="1DF3A70F" w14:textId="77777777" w:rsidR="00AB3647" w:rsidRDefault="00000000">
      <w:pPr>
        <w:spacing w:after="0" w:before="0"/>
        <w:jc w:val="both"/>
      </w:pPr>
      <w:r>
        <w:rPr>
          <w:sz w:val="20"/>
          <w:szCs w:val="20"/>
          <w:rtl/>
        </w:rPr>
        <w:footnoteRef/>
      </w:r>
      <w:r>
        <w:rPr>
          <w:sz w:val="20"/>
          <w:szCs w:val="20"/>
          <w:rtl/>
        </w:rPr>
        <w:t>. השווה פרק 3, הערה 102.</w:t>
      </w:r>
    </w:p>
  </w:footnote>
  <w:footnote w:id="3616">
    <w:p w14:paraId="275CBB26" w14:textId="77777777" w:rsidR="00AB3647" w:rsidRDefault="00000000">
      <w:pPr>
        <w:spacing w:after="0" w:before="0"/>
        <w:jc w:val="both"/>
      </w:pPr>
      <w:r>
        <w:rPr>
          <w:sz w:val="20"/>
          <w:szCs w:val="20"/>
          <w:rtl/>
        </w:rPr>
        <w:footnoteRef/>
      </w:r>
      <w:r>
        <w:rPr>
          <w:sz w:val="20"/>
          <w:szCs w:val="20"/>
          <w:rtl/>
        </w:rPr>
        <w:t>. פרק 3, נספח א.</w:t>
      </w:r>
    </w:p>
  </w:footnote>
  <w:footnote w:id="3617">
    <w:p w14:paraId="2B846C55" w14:textId="77777777" w:rsidR="00AB3647" w:rsidRDefault="00000000">
      <w:pPr>
        <w:spacing w:after="0" w:before="0"/>
        <w:jc w:val="both"/>
      </w:pPr>
      <w:r>
        <w:rPr>
          <w:sz w:val="20"/>
          <w:szCs w:val="20"/>
          <w:rtl/>
        </w:rPr>
        <w:footnoteRef/>
      </w:r>
      <w:r>
        <w:rPr>
          <w:sz w:val="20"/>
          <w:szCs w:val="20"/>
          <w:rtl/>
        </w:rPr>
        <w:t>. פסחים דף מט.</w:t>
      </w:r>
    </w:p>
  </w:footnote>
  <w:footnote w:id="3618">
    <w:p w14:paraId="123CD651" w14:textId="77777777" w:rsidR="00AB3647" w:rsidRDefault="00000000">
      <w:pPr>
        <w:spacing w:after="0" w:before="0"/>
        <w:jc w:val="both"/>
      </w:pPr>
      <w:r>
        <w:rPr>
          <w:sz w:val="20"/>
          <w:szCs w:val="20"/>
          <w:rtl/>
        </w:rPr>
        <w:footnoteRef/>
      </w:r>
      <w:r>
        <w:rPr>
          <w:sz w:val="20"/>
          <w:szCs w:val="20"/>
          <w:rtl/>
        </w:rPr>
        <w:t>. ריאיון מיום 6 בספטמבר 1991.</w:t>
      </w:r>
    </w:p>
  </w:footnote>
  <w:footnote w:id="3619">
    <w:p w14:paraId="42F6A84F" w14:textId="77777777" w:rsidR="00AB3647" w:rsidRDefault="00000000">
      <w:pPr>
        <w:spacing w:after="0" w:before="0"/>
        <w:jc w:val="both"/>
      </w:pPr>
      <w:r>
        <w:rPr>
          <w:sz w:val="20"/>
          <w:szCs w:val="20"/>
          <w:rtl/>
        </w:rPr>
        <w:footnoteRef/>
      </w:r>
      <w:r>
        <w:rPr>
          <w:sz w:val="20"/>
          <w:szCs w:val="20"/>
          <w:rtl/>
        </w:rPr>
        <w:t>. השווה הערה 9 לעיל.</w:t>
      </w:r>
    </w:p>
  </w:footnote>
  <w:footnote w:id="3620">
    <w:p w14:paraId="0BA3B219" w14:textId="77777777" w:rsidR="00AB3647" w:rsidRDefault="00000000">
      <w:pPr>
        <w:spacing w:after="0" w:before="0"/>
        <w:jc w:val="both"/>
      </w:pPr>
      <w:r>
        <w:rPr>
          <w:sz w:val="20"/>
          <w:szCs w:val="20"/>
          <w:rtl/>
        </w:rPr>
        <w:footnoteRef/>
      </w:r>
      <w:r>
        <w:rPr>
          <w:sz w:val="20"/>
          <w:szCs w:val="20"/>
          <w:rtl/>
        </w:rPr>
        <w:t>. השווה פרק 5, הערה 20 להלן, וכרך 2.</w:t>
      </w:r>
    </w:p>
  </w:footnote>
  <w:footnote w:id="3621">
    <w:p w14:paraId="21F422EE" w14:textId="77777777" w:rsidR="00AB3647" w:rsidRDefault="00000000">
      <w:pPr>
        <w:spacing w:after="0" w:before="0"/>
        <w:jc w:val="both"/>
      </w:pPr>
      <w:r>
        <w:rPr>
          <w:sz w:val="20"/>
          <w:szCs w:val="20"/>
          <w:rtl/>
        </w:rPr>
        <w:footnoteRef/>
      </w:r>
      <w:r>
        <w:rPr>
          <w:sz w:val="20"/>
          <w:szCs w:val="20"/>
          <w:rtl/>
        </w:rPr>
        <w:t>. ריאיון מיום 2 בפברואר 1992.</w:t>
      </w:r>
    </w:p>
  </w:footnote>
  <w:footnote w:id="3622">
    <w:p w14:paraId="2DECC0A1" w14:textId="77777777" w:rsidR="00AB3647" w:rsidRDefault="00000000">
      <w:pPr>
        <w:spacing w:after="0" w:before="0"/>
        <w:jc w:val="both"/>
      </w:pPr>
      <w:r>
        <w:rPr>
          <w:sz w:val="20"/>
          <w:szCs w:val="20"/>
          <w:rtl/>
        </w:rPr>
        <w:footnoteRef/>
      </w:r>
      <w:r>
        <w:rPr>
          <w:sz w:val="20"/>
          <w:szCs w:val="20"/>
          <w:rtl/>
        </w:rPr>
        <w:t>. ביטוי יידי שמשמעותו: אין הוא יודע על מה הוא מדבר. אפשר שהוא מבוסס על סנהדרין ע ע״ב: “</w:t>
      </w:r>
      <w:proofErr w:type="spellStart"/>
      <w:r>
        <w:rPr>
          <w:sz w:val="20"/>
          <w:szCs w:val="20"/>
          <w:rtl/>
        </w:rPr>
        <w:t>חטה</w:t>
      </w:r>
      <w:proofErr w:type="spellEnd"/>
      <w:r>
        <w:rPr>
          <w:sz w:val="20"/>
          <w:szCs w:val="20"/>
          <w:rtl/>
        </w:rPr>
        <w:t xml:space="preserve"> הי׳” </w:t>
      </w:r>
      <w:proofErr w:type="spellStart"/>
      <w:r>
        <w:rPr>
          <w:sz w:val="20"/>
          <w:szCs w:val="20"/>
          <w:rtl/>
        </w:rPr>
        <w:t>ופירש״י</w:t>
      </w:r>
      <w:proofErr w:type="spellEnd"/>
      <w:r>
        <w:rPr>
          <w:sz w:val="20"/>
          <w:szCs w:val="20"/>
          <w:rtl/>
        </w:rPr>
        <w:t xml:space="preserve">; וסוכה </w:t>
      </w:r>
      <w:proofErr w:type="spellStart"/>
      <w:r>
        <w:rPr>
          <w:sz w:val="20"/>
          <w:szCs w:val="20"/>
          <w:rtl/>
        </w:rPr>
        <w:t>מב</w:t>
      </w:r>
      <w:proofErr w:type="spellEnd"/>
      <w:r>
        <w:rPr>
          <w:sz w:val="20"/>
          <w:szCs w:val="20"/>
          <w:rtl/>
        </w:rPr>
        <w:t xml:space="preserve"> ע״ב: “כזית דגן” וכו׳ ויוסיף דעת.</w:t>
      </w:r>
    </w:p>
  </w:footnote>
  <w:footnote w:id="3623">
    <w:p w14:paraId="6EA6B4DB" w14:textId="77777777" w:rsidR="00AB3647" w:rsidRDefault="00000000">
      <w:pPr>
        <w:spacing w:after="0" w:before="0"/>
        <w:jc w:val="both"/>
      </w:pPr>
      <w:r>
        <w:rPr>
          <w:sz w:val="20"/>
          <w:szCs w:val="20"/>
          <w:rtl/>
        </w:rPr>
        <w:footnoteRef/>
      </w:r>
      <w:r>
        <w:rPr>
          <w:sz w:val="20"/>
          <w:szCs w:val="20"/>
          <w:rtl/>
        </w:rPr>
        <w:t xml:space="preserve">. המקור הנזכר, הקדמה, עמ׳ </w:t>
      </w:r>
      <w:proofErr w:type="spellStart"/>
      <w:r>
        <w:rPr>
          <w:sz w:val="20"/>
          <w:szCs w:val="20"/>
          <w:rtl/>
        </w:rPr>
        <w:t>xiv</w:t>
      </w:r>
      <w:proofErr w:type="spellEnd"/>
      <w:r>
        <w:rPr>
          <w:sz w:val="20"/>
          <w:szCs w:val="20"/>
          <w:rtl/>
        </w:rPr>
        <w:t xml:space="preserve"> – עמ׳ רנה.</w:t>
      </w:r>
    </w:p>
  </w:footnote>
  <w:footnote w:id="3624">
    <w:p w14:paraId="0C7523A2" w14:textId="77777777" w:rsidR="00AB3647" w:rsidRDefault="00000000">
      <w:pPr>
        <w:spacing w:after="0" w:before="0"/>
        <w:jc w:val="both"/>
      </w:pPr>
      <w:r>
        <w:rPr>
          <w:sz w:val="20"/>
          <w:szCs w:val="20"/>
          <w:rtl/>
        </w:rPr>
        <w:footnoteRef/>
      </w:r>
      <w:r>
        <w:rPr>
          <w:sz w:val="20"/>
          <w:szCs w:val="20"/>
          <w:rtl/>
        </w:rPr>
        <w:t xml:space="preserve">. כפי שנדפס בעמ׳ 454 של “תורת אברהם” (המקור הנזכר בפרק 3, סוף נספח </w:t>
      </w:r>
      <w:proofErr w:type="spellStart"/>
      <w:r>
        <w:rPr>
          <w:sz w:val="20"/>
          <w:szCs w:val="20"/>
          <w:rtl/>
        </w:rPr>
        <w:t>כג</w:t>
      </w:r>
      <w:proofErr w:type="spellEnd"/>
      <w:r>
        <w:rPr>
          <w:sz w:val="20"/>
          <w:szCs w:val="20"/>
          <w:rtl/>
        </w:rPr>
        <w:t>).</w:t>
      </w:r>
    </w:p>
  </w:footnote>
  <w:footnote w:id="3625">
    <w:p w14:paraId="04E4AAE3" w14:textId="77777777" w:rsidR="00AB3647" w:rsidRDefault="00000000">
      <w:pPr>
        <w:spacing w:after="0" w:before="0"/>
        <w:jc w:val="both"/>
      </w:pPr>
      <w:r>
        <w:rPr>
          <w:sz w:val="20"/>
          <w:szCs w:val="20"/>
          <w:rtl/>
        </w:rPr>
        <w:footnoteRef/>
      </w:r>
      <w:r>
        <w:rPr>
          <w:sz w:val="20"/>
          <w:szCs w:val="20"/>
          <w:rtl/>
        </w:rPr>
        <w:t>. שם.</w:t>
      </w:r>
    </w:p>
  </w:footnote>
  <w:footnote w:id="3626">
    <w:p w14:paraId="537C804F" w14:textId="77777777" w:rsidR="00AB3647" w:rsidRDefault="00000000">
      <w:pPr>
        <w:spacing w:after="0" w:before="0"/>
        <w:jc w:val="both"/>
      </w:pPr>
      <w:r>
        <w:rPr>
          <w:sz w:val="20"/>
          <w:szCs w:val="20"/>
          <w:rtl/>
        </w:rPr>
        <w:footnoteRef/>
      </w:r>
      <w:r>
        <w:rPr>
          <w:sz w:val="20"/>
          <w:szCs w:val="20"/>
          <w:rtl/>
        </w:rPr>
        <w:t>. עמ׳ 238.</w:t>
      </w:r>
    </w:p>
  </w:footnote>
  <w:footnote w:id="3627">
    <w:p w14:paraId="6A53393A" w14:textId="77777777" w:rsidR="00AB3647" w:rsidRDefault="00000000">
      <w:pPr>
        <w:spacing w:after="0" w:before="0"/>
        <w:jc w:val="both"/>
      </w:pPr>
      <w:r>
        <w:rPr>
          <w:sz w:val="20"/>
          <w:szCs w:val="20"/>
          <w:rtl/>
        </w:rPr>
        <w:footnoteRef/>
      </w:r>
      <w:r>
        <w:rPr>
          <w:sz w:val="20"/>
          <w:szCs w:val="20"/>
          <w:rtl/>
        </w:rPr>
        <w:t>. פרק 1, הערה 56.</w:t>
      </w:r>
    </w:p>
  </w:footnote>
  <w:footnote w:id="3628">
    <w:p w14:paraId="15C760CE" w14:textId="77777777" w:rsidR="00AB3647" w:rsidRDefault="00000000">
      <w:pPr>
        <w:spacing w:after="0" w:before="0"/>
        <w:jc w:val="both"/>
      </w:pPr>
      <w:r>
        <w:rPr>
          <w:sz w:val="20"/>
          <w:szCs w:val="20"/>
          <w:rtl/>
        </w:rPr>
        <w:footnoteRef/>
      </w:r>
      <w:r>
        <w:rPr>
          <w:sz w:val="20"/>
          <w:szCs w:val="20"/>
          <w:rtl/>
        </w:rPr>
        <w:t>. השווה הפסקה השישית בפרק 3.2.</w:t>
      </w:r>
    </w:p>
  </w:footnote>
  <w:footnote w:id="3629">
    <w:p w14:paraId="1CD9868B" w14:textId="77777777" w:rsidR="00AB3647" w:rsidRDefault="00000000">
      <w:pPr>
        <w:spacing w:after="0" w:before="0"/>
        <w:jc w:val="both"/>
      </w:pPr>
      <w:r>
        <w:rPr>
          <w:sz w:val="20"/>
          <w:szCs w:val="20"/>
          <w:rtl/>
        </w:rPr>
        <w:footnoteRef/>
      </w:r>
      <w:r>
        <w:rPr>
          <w:sz w:val="20"/>
          <w:szCs w:val="20"/>
          <w:rtl/>
        </w:rPr>
        <w:t>. פרק 3, הערה 124.</w:t>
      </w:r>
    </w:p>
  </w:footnote>
  <w:footnote w:id="3630">
    <w:p w14:paraId="600B55D1" w14:textId="77777777" w:rsidR="00AB3647" w:rsidRDefault="00000000">
      <w:pPr>
        <w:spacing w:after="0" w:before="0"/>
        <w:jc w:val="both"/>
      </w:pPr>
      <w:r>
        <w:rPr>
          <w:sz w:val="20"/>
          <w:szCs w:val="20"/>
          <w:rtl/>
        </w:rPr>
        <w:footnoteRef/>
      </w:r>
      <w:r>
        <w:rPr>
          <w:sz w:val="20"/>
          <w:szCs w:val="20"/>
          <w:rtl/>
        </w:rPr>
        <w:t>. ועיין אורח חיים סימן סח בהגה.</w:t>
      </w:r>
    </w:p>
  </w:footnote>
  <w:footnote w:id="3631">
    <w:p w14:paraId="2DE80C2B" w14:textId="77777777" w:rsidR="00AB3647" w:rsidRDefault="00000000">
      <w:pPr>
        <w:spacing w:after="0" w:before="0"/>
        <w:jc w:val="both"/>
      </w:pPr>
      <w:r>
        <w:rPr>
          <w:sz w:val="20"/>
          <w:szCs w:val="20"/>
          <w:rtl/>
        </w:rPr>
        <w:footnoteRef/>
      </w:r>
      <w:r>
        <w:rPr>
          <w:sz w:val="20"/>
          <w:szCs w:val="20"/>
          <w:rtl/>
        </w:rPr>
        <w:t>. פרולוג, הערה 4.</w:t>
      </w:r>
    </w:p>
  </w:footnote>
  <w:footnote w:id="3632">
    <w:p w14:paraId="3A278DE9" w14:textId="77777777" w:rsidR="00AB3647" w:rsidRDefault="00000000">
      <w:pPr>
        <w:spacing w:after="0" w:before="0"/>
        <w:jc w:val="both"/>
      </w:pPr>
      <w:r>
        <w:rPr>
          <w:sz w:val="20"/>
          <w:szCs w:val="20"/>
          <w:rtl/>
        </w:rPr>
        <w:footnoteRef/>
      </w:r>
      <w:r>
        <w:rPr>
          <w:sz w:val="20"/>
          <w:szCs w:val="20"/>
          <w:rtl/>
        </w:rPr>
        <w:t>. קידושין לד ע״א.</w:t>
      </w:r>
    </w:p>
  </w:footnote>
  <w:footnote w:id="3633">
    <w:p w14:paraId="1A7BF7A4" w14:textId="77777777" w:rsidR="00AB3647" w:rsidRDefault="00000000">
      <w:pPr>
        <w:spacing w:after="0" w:before="0"/>
        <w:jc w:val="both"/>
      </w:pPr>
      <w:r>
        <w:rPr>
          <w:sz w:val="20"/>
          <w:szCs w:val="20"/>
          <w:rtl/>
        </w:rPr>
        <w:footnoteRef/>
      </w:r>
      <w:r>
        <w:rPr>
          <w:sz w:val="20"/>
          <w:szCs w:val="20"/>
          <w:rtl/>
        </w:rPr>
        <w:t xml:space="preserve">. דברים יא, </w:t>
      </w:r>
      <w:proofErr w:type="spellStart"/>
      <w:r>
        <w:rPr>
          <w:sz w:val="20"/>
          <w:szCs w:val="20"/>
          <w:rtl/>
        </w:rPr>
        <w:t>כא</w:t>
      </w:r>
      <w:proofErr w:type="spellEnd"/>
      <w:r>
        <w:rPr>
          <w:sz w:val="20"/>
          <w:szCs w:val="20"/>
          <w:rtl/>
        </w:rPr>
        <w:t>.</w:t>
      </w:r>
    </w:p>
  </w:footnote>
  <w:footnote w:id="3634">
    <w:p w14:paraId="20D819CF" w14:textId="77777777" w:rsidR="00AB3647" w:rsidRDefault="00000000">
      <w:pPr>
        <w:spacing w:after="0" w:before="0"/>
        <w:jc w:val="both"/>
      </w:pPr>
      <w:r>
        <w:rPr>
          <w:sz w:val="20"/>
          <w:szCs w:val="20"/>
          <w:rtl/>
        </w:rPr>
        <w:footnoteRef/>
      </w:r>
      <w:r>
        <w:rPr>
          <w:sz w:val="20"/>
          <w:szCs w:val="20"/>
          <w:rtl/>
        </w:rPr>
        <w:t>. פרק 1, הערה 93.</w:t>
      </w:r>
    </w:p>
  </w:footnote>
  <w:footnote w:id="3635">
    <w:p w14:paraId="1D62DBC4" w14:textId="77777777" w:rsidR="00AB3647" w:rsidRDefault="00000000">
      <w:pPr>
        <w:spacing w:after="0" w:before="0"/>
        <w:jc w:val="both"/>
      </w:pPr>
      <w:r>
        <w:rPr>
          <w:sz w:val="20"/>
          <w:szCs w:val="20"/>
          <w:rtl/>
        </w:rPr>
        <w:footnoteRef/>
      </w:r>
      <w:r>
        <w:rPr>
          <w:sz w:val="20"/>
          <w:szCs w:val="20"/>
          <w:rtl/>
        </w:rPr>
        <w:t xml:space="preserve">. יש הוכחה שאין עליה עוררין לתקפות הנוסח האמור בחלקו האחרון של המשפט, ולאו דווקא “אל </w:t>
      </w:r>
      <w:proofErr w:type="spellStart"/>
      <w:r>
        <w:rPr>
          <w:sz w:val="20"/>
          <w:szCs w:val="20"/>
          <w:rtl/>
        </w:rPr>
        <w:t>אל</w:t>
      </w:r>
      <w:proofErr w:type="spellEnd"/>
      <w:r>
        <w:rPr>
          <w:sz w:val="20"/>
          <w:szCs w:val="20"/>
          <w:rtl/>
        </w:rPr>
        <w:t xml:space="preserve"> לא יושיע”, הנדפס בסידורים רבים שהוגהו ומופיע במקורו העיקרי של הביטוי, ישעיה מה, כ. בתצלום עמודים מתוך “מחזור מן המאה </w:t>
      </w:r>
      <w:proofErr w:type="spellStart"/>
      <w:r>
        <w:rPr>
          <w:sz w:val="20"/>
          <w:szCs w:val="20"/>
          <w:rtl/>
        </w:rPr>
        <w:t>השלוש־עשרה</w:t>
      </w:r>
      <w:proofErr w:type="spellEnd"/>
      <w:r>
        <w:rPr>
          <w:sz w:val="20"/>
          <w:szCs w:val="20"/>
          <w:rtl/>
        </w:rPr>
        <w:t xml:space="preserve"> (או </w:t>
      </w:r>
      <w:proofErr w:type="spellStart"/>
      <w:r>
        <w:rPr>
          <w:sz w:val="20"/>
          <w:szCs w:val="20"/>
          <w:rtl/>
        </w:rPr>
        <w:t>הארבע־עשרה</w:t>
      </w:r>
      <w:proofErr w:type="spellEnd"/>
      <w:r>
        <w:rPr>
          <w:sz w:val="20"/>
          <w:szCs w:val="20"/>
          <w:rtl/>
        </w:rPr>
        <w:t xml:space="preserve">)”, שנדפס </w:t>
      </w:r>
      <w:proofErr w:type="spellStart"/>
      <w:r>
        <w:rPr>
          <w:sz w:val="20"/>
          <w:szCs w:val="20"/>
          <w:rtl/>
        </w:rPr>
        <w:t>ב“דאס</w:t>
      </w:r>
      <w:proofErr w:type="spellEnd"/>
      <w:r>
        <w:rPr>
          <w:sz w:val="20"/>
          <w:szCs w:val="20"/>
          <w:rtl/>
        </w:rPr>
        <w:t xml:space="preserve"> אידישע </w:t>
      </w:r>
      <w:proofErr w:type="spellStart"/>
      <w:r>
        <w:rPr>
          <w:sz w:val="20"/>
          <w:szCs w:val="20"/>
          <w:rtl/>
        </w:rPr>
        <w:t>ווארט</w:t>
      </w:r>
      <w:proofErr w:type="spellEnd"/>
      <w:r>
        <w:rPr>
          <w:sz w:val="20"/>
          <w:szCs w:val="20"/>
          <w:rtl/>
        </w:rPr>
        <w:t>”, גיליון תשרי תשנ״ב (מס׳ 299), עמ׳ 20, אפשר לקרוא בבירור: “לאל”.</w:t>
      </w:r>
    </w:p>
  </w:footnote>
  <w:footnote w:id="3636">
    <w:p w14:paraId="74959F34" w14:textId="77777777" w:rsidR="00AB3647" w:rsidRDefault="00000000">
      <w:pPr>
        <w:spacing w:after="0" w:before="0"/>
        <w:jc w:val="both"/>
      </w:pPr>
      <w:r>
        <w:rPr>
          <w:sz w:val="20"/>
          <w:szCs w:val="20"/>
          <w:rtl/>
        </w:rPr>
        <w:footnoteRef/>
      </w:r>
      <w:r>
        <w:rPr>
          <w:sz w:val="20"/>
          <w:szCs w:val="20"/>
          <w:rtl/>
        </w:rPr>
        <w:t>. ויש לומר שמאותו טעם שרים באותן קהילות גם את הנוסח המקובל בהוצאת הספר תורה (שלפני “</w:t>
      </w:r>
      <w:proofErr w:type="spellStart"/>
      <w:r>
        <w:rPr>
          <w:sz w:val="20"/>
          <w:szCs w:val="20"/>
          <w:rtl/>
        </w:rPr>
        <w:t>בריך</w:t>
      </w:r>
      <w:proofErr w:type="spellEnd"/>
      <w:r>
        <w:rPr>
          <w:sz w:val="20"/>
          <w:szCs w:val="20"/>
          <w:rtl/>
        </w:rPr>
        <w:t xml:space="preserve"> שמיה”), משום שאחרי הפסוק “ויהי בנסוע” וכו׳ – שזה שייך ממש </w:t>
      </w:r>
      <w:proofErr w:type="spellStart"/>
      <w:r>
        <w:rPr>
          <w:sz w:val="20"/>
          <w:szCs w:val="20"/>
          <w:rtl/>
        </w:rPr>
        <w:t>לענין</w:t>
      </w:r>
      <w:proofErr w:type="spellEnd"/>
      <w:r>
        <w:rPr>
          <w:sz w:val="20"/>
          <w:szCs w:val="20"/>
          <w:rtl/>
        </w:rPr>
        <w:t xml:space="preserve"> של הוצאת </w:t>
      </w:r>
      <w:proofErr w:type="spellStart"/>
      <w:r>
        <w:rPr>
          <w:sz w:val="20"/>
          <w:szCs w:val="20"/>
          <w:rtl/>
        </w:rPr>
        <w:t>הס״ת</w:t>
      </w:r>
      <w:proofErr w:type="spellEnd"/>
      <w:r>
        <w:rPr>
          <w:sz w:val="20"/>
          <w:szCs w:val="20"/>
          <w:rtl/>
        </w:rPr>
        <w:t xml:space="preserve"> – היו מכריזים את הפסוק בישעיה ב, ג: “והלכו עמים רבים” וכו׳ “כי מציון תצא תורה” וכו׳ (או העדיפו את הפסוק במיכה ד, ב, כי שם “בית </w:t>
      </w:r>
      <w:proofErr w:type="spellStart"/>
      <w:r>
        <w:rPr>
          <w:sz w:val="20"/>
          <w:szCs w:val="20"/>
          <w:rtl/>
        </w:rPr>
        <w:t>א־להי</w:t>
      </w:r>
      <w:proofErr w:type="spellEnd"/>
      <w:r>
        <w:rPr>
          <w:sz w:val="20"/>
          <w:szCs w:val="20"/>
          <w:rtl/>
        </w:rPr>
        <w:t xml:space="preserve"> יעקב” נפרד </w:t>
      </w:r>
      <w:proofErr w:type="spellStart"/>
      <w:r>
        <w:rPr>
          <w:sz w:val="20"/>
          <w:szCs w:val="20"/>
          <w:rtl/>
        </w:rPr>
        <w:t>מ“הר</w:t>
      </w:r>
      <w:proofErr w:type="spellEnd"/>
      <w:r>
        <w:rPr>
          <w:sz w:val="20"/>
          <w:szCs w:val="20"/>
          <w:rtl/>
        </w:rPr>
        <w:t xml:space="preserve"> [הבית]” על ידי </w:t>
      </w:r>
      <w:proofErr w:type="spellStart"/>
      <w:r>
        <w:rPr>
          <w:sz w:val="20"/>
          <w:szCs w:val="20"/>
          <w:rtl/>
        </w:rPr>
        <w:t>וא״ו</w:t>
      </w:r>
      <w:proofErr w:type="spellEnd"/>
      <w:r>
        <w:rPr>
          <w:sz w:val="20"/>
          <w:szCs w:val="20"/>
          <w:rtl/>
        </w:rPr>
        <w:t xml:space="preserve"> – ושם כתוב “גוים” במקום “עמים”), והתקינו להכריז פסוק זה כדי שאלו שיצאו מביהכ״נ בחזרת הש״ץ יחזרו לשמוע קריאת התורה, </w:t>
      </w:r>
      <w:proofErr w:type="spellStart"/>
      <w:r>
        <w:rPr>
          <w:sz w:val="20"/>
          <w:szCs w:val="20"/>
          <w:rtl/>
        </w:rPr>
        <w:t>כמש״כ</w:t>
      </w:r>
      <w:proofErr w:type="spellEnd"/>
      <w:r>
        <w:rPr>
          <w:sz w:val="20"/>
          <w:szCs w:val="20"/>
          <w:rtl/>
        </w:rPr>
        <w:t xml:space="preserve"> שם בפסוק: “לכו” וכו׳ “אל בית </w:t>
      </w:r>
      <w:proofErr w:type="spellStart"/>
      <w:r>
        <w:rPr>
          <w:sz w:val="20"/>
          <w:szCs w:val="20"/>
          <w:rtl/>
        </w:rPr>
        <w:t>א־להי</w:t>
      </w:r>
      <w:proofErr w:type="spellEnd"/>
      <w:r>
        <w:rPr>
          <w:sz w:val="20"/>
          <w:szCs w:val="20"/>
          <w:rtl/>
        </w:rPr>
        <w:t xml:space="preserve"> יעקב” וכו׳ “ויורנו מדרכיו”. ועיין </w:t>
      </w:r>
      <w:proofErr w:type="spellStart"/>
      <w:r>
        <w:rPr>
          <w:sz w:val="20"/>
          <w:szCs w:val="20"/>
          <w:rtl/>
        </w:rPr>
        <w:t>במהרי״ל</w:t>
      </w:r>
      <w:proofErr w:type="spellEnd"/>
      <w:r>
        <w:rPr>
          <w:sz w:val="20"/>
          <w:szCs w:val="20"/>
          <w:rtl/>
        </w:rPr>
        <w:t xml:space="preserve"> (סב ע״ב בדפוסים), שהיו מכניסים את העם “לראות הוצאת </w:t>
      </w:r>
      <w:proofErr w:type="spellStart"/>
      <w:r>
        <w:rPr>
          <w:sz w:val="20"/>
          <w:szCs w:val="20"/>
          <w:rtl/>
        </w:rPr>
        <w:t>הס״ת</w:t>
      </w:r>
      <w:proofErr w:type="spellEnd"/>
      <w:r>
        <w:rPr>
          <w:sz w:val="20"/>
          <w:szCs w:val="20"/>
          <w:rtl/>
        </w:rPr>
        <w:t xml:space="preserve"> גם אם בשאר כל התפילה הולכים בחצר בית הכנסת”, עיי״ש. אבל כיון שעיקר הפסוק מדבר על קבלת התורה על ידי גוים, השמיטו בדפוסים את ראש הפסוק – כמו שהשמיטו בתפילת “עלינו” את הקטע שעלול לפגוע ברגשות </w:t>
      </w:r>
      <w:proofErr w:type="spellStart"/>
      <w:r>
        <w:rPr>
          <w:sz w:val="20"/>
          <w:szCs w:val="20"/>
          <w:rtl/>
        </w:rPr>
        <w:t>הגוים</w:t>
      </w:r>
      <w:proofErr w:type="spellEnd"/>
      <w:r>
        <w:rPr>
          <w:sz w:val="20"/>
          <w:szCs w:val="20"/>
          <w:rtl/>
        </w:rPr>
        <w:t xml:space="preserve"> – והשאירו סיפא </w:t>
      </w:r>
      <w:proofErr w:type="spellStart"/>
      <w:r>
        <w:rPr>
          <w:sz w:val="20"/>
          <w:szCs w:val="20"/>
          <w:rtl/>
        </w:rPr>
        <w:t>דקרא</w:t>
      </w:r>
      <w:proofErr w:type="spellEnd"/>
      <w:r>
        <w:rPr>
          <w:sz w:val="20"/>
          <w:szCs w:val="20"/>
          <w:rtl/>
        </w:rPr>
        <w:t xml:space="preserve"> שאחרי האתנחתא, שבעצם אין לו שום שייכות להוצאת הספר. וגם שרים את זה בקהילות אלו כדי להדגיש שמשמיטים את החלק הראשון של הפסוק.</w:t>
      </w:r>
    </w:p>
  </w:footnote>
  <w:footnote w:id="3637">
    <w:p w14:paraId="2B098627" w14:textId="77777777" w:rsidR="00AB3647" w:rsidRDefault="00000000">
      <w:pPr>
        <w:spacing w:after="0" w:before="0"/>
        <w:jc w:val="both"/>
      </w:pPr>
      <w:r>
        <w:rPr>
          <w:sz w:val="20"/>
          <w:szCs w:val="20"/>
          <w:rtl/>
        </w:rPr>
        <w:footnoteRef/>
      </w:r>
      <w:r>
        <w:rPr>
          <w:sz w:val="20"/>
          <w:szCs w:val="20"/>
          <w:rtl/>
        </w:rPr>
        <w:t>. המקור הנזכר בפרק 3, נספח לא.</w:t>
      </w:r>
    </w:p>
  </w:footnote>
  <w:footnote w:id="3638">
    <w:p w14:paraId="276C4E2D" w14:textId="77777777" w:rsidR="00AB3647" w:rsidRDefault="00000000">
      <w:pPr>
        <w:spacing w:after="0" w:before="0"/>
        <w:jc w:val="both"/>
      </w:pPr>
      <w:r>
        <w:rPr>
          <w:sz w:val="20"/>
          <w:szCs w:val="20"/>
          <w:rtl/>
        </w:rPr>
        <w:footnoteRef/>
      </w:r>
      <w:r>
        <w:rPr>
          <w:sz w:val="20"/>
          <w:szCs w:val="20"/>
          <w:rtl/>
        </w:rPr>
        <w:t xml:space="preserve">. ביטוי זה, שמשמעותו בורים, מבוסס על שבת </w:t>
      </w:r>
      <w:proofErr w:type="spellStart"/>
      <w:r>
        <w:rPr>
          <w:sz w:val="20"/>
          <w:szCs w:val="20"/>
          <w:rtl/>
        </w:rPr>
        <w:t>צה</w:t>
      </w:r>
      <w:proofErr w:type="spellEnd"/>
      <w:r>
        <w:rPr>
          <w:sz w:val="20"/>
          <w:szCs w:val="20"/>
          <w:rtl/>
        </w:rPr>
        <w:t xml:space="preserve"> ע״א, ועיין שם ברש״י.</w:t>
      </w:r>
    </w:p>
  </w:footnote>
  <w:footnote w:id="3639">
    <w:p w14:paraId="00FFDD2F" w14:textId="77777777" w:rsidR="00AB3647" w:rsidRDefault="00000000">
      <w:pPr>
        <w:spacing w:after="0" w:before="0"/>
        <w:jc w:val="both"/>
      </w:pPr>
      <w:r>
        <w:rPr>
          <w:sz w:val="20"/>
          <w:szCs w:val="20"/>
          <w:rtl/>
        </w:rPr>
        <w:footnoteRef/>
      </w:r>
      <w:r>
        <w:rPr>
          <w:sz w:val="20"/>
          <w:szCs w:val="20"/>
          <w:rtl/>
        </w:rPr>
        <w:t>. השווה פרק 3, הפסקה השלישית של נספח ד.</w:t>
      </w:r>
    </w:p>
  </w:footnote>
  <w:footnote w:id="3640">
    <w:p w14:paraId="72D4F677" w14:textId="77777777" w:rsidR="00AB3647" w:rsidRDefault="00000000">
      <w:pPr>
        <w:spacing w:after="0" w:before="0"/>
        <w:jc w:val="both"/>
      </w:pPr>
      <w:r>
        <w:rPr>
          <w:sz w:val="20"/>
          <w:szCs w:val="20"/>
          <w:rtl/>
        </w:rPr>
        <w:footnoteRef/>
      </w:r>
      <w:r>
        <w:rPr>
          <w:sz w:val="20"/>
          <w:szCs w:val="20"/>
          <w:rtl/>
        </w:rPr>
        <w:t>. פרק 3, סוף נספח ה.</w:t>
      </w:r>
    </w:p>
  </w:footnote>
  <w:footnote w:id="3641">
    <w:p w14:paraId="6F001B61" w14:textId="77777777" w:rsidR="00AB3647" w:rsidRDefault="00000000">
      <w:pPr>
        <w:spacing w:after="0" w:before="0"/>
        <w:jc w:val="both"/>
      </w:pPr>
      <w:r>
        <w:rPr>
          <w:sz w:val="20"/>
          <w:szCs w:val="20"/>
          <w:rtl/>
        </w:rPr>
        <w:footnoteRef/>
      </w:r>
      <w:r>
        <w:rPr>
          <w:sz w:val="20"/>
          <w:szCs w:val="20"/>
          <w:rtl/>
        </w:rPr>
        <w:t xml:space="preserve">. השווה כרך 3. על חיקוי הסבא בידי תלמידיו ראוי להביא את מה שאמר אבי פעם, לאחר שביקר בישיבת חברון ושמע שיחה מפי המשגיח שלה, ר׳ מאיר חדש, כפי שנמסרו הדברים </w:t>
      </w:r>
      <w:proofErr w:type="spellStart"/>
      <w:r>
        <w:rPr>
          <w:sz w:val="20"/>
          <w:szCs w:val="20"/>
          <w:rtl/>
        </w:rPr>
        <w:t>ב“המאיר</w:t>
      </w:r>
      <w:proofErr w:type="spellEnd"/>
      <w:r>
        <w:rPr>
          <w:sz w:val="20"/>
          <w:szCs w:val="20"/>
          <w:rtl/>
        </w:rPr>
        <w:t xml:space="preserve"> – ספר </w:t>
      </w:r>
      <w:proofErr w:type="spellStart"/>
      <w:r>
        <w:rPr>
          <w:sz w:val="20"/>
          <w:szCs w:val="20"/>
          <w:rtl/>
        </w:rPr>
        <w:t>זכרון</w:t>
      </w:r>
      <w:proofErr w:type="spellEnd"/>
      <w:r>
        <w:rPr>
          <w:sz w:val="20"/>
          <w:szCs w:val="20"/>
          <w:rtl/>
        </w:rPr>
        <w:t xml:space="preserve">” (הפסקה השלישית בנספח הקודם), חלק ב, עמ׳ קנה: “חשבתי שר׳ מאיר ממשיך את דרכו ואת חייו כמו </w:t>
      </w:r>
      <w:proofErr w:type="spellStart"/>
      <w:r>
        <w:rPr>
          <w:sz w:val="20"/>
          <w:szCs w:val="20"/>
          <w:rtl/>
        </w:rPr>
        <w:t>ש‘הסבא</w:t>
      </w:r>
      <w:proofErr w:type="spellEnd"/>
      <w:r>
        <w:rPr>
          <w:sz w:val="20"/>
          <w:szCs w:val="20"/>
          <w:rtl/>
        </w:rPr>
        <w:t xml:space="preserve">’ חינך אותו. כעת אני רואה שכל מהותו, כל </w:t>
      </w:r>
      <w:proofErr w:type="spellStart"/>
      <w:r>
        <w:rPr>
          <w:sz w:val="20"/>
          <w:szCs w:val="20"/>
          <w:rtl/>
        </w:rPr>
        <w:t>יישותו</w:t>
      </w:r>
      <w:proofErr w:type="spellEnd"/>
      <w:r>
        <w:rPr>
          <w:sz w:val="20"/>
          <w:szCs w:val="20"/>
          <w:rtl/>
        </w:rPr>
        <w:t xml:space="preserve"> וצורת דיבורו, היא של ‘הסבא’. אם לא הייתי רואה אותו [שזהו ר׳ מאיר], הייתי חושב </w:t>
      </w:r>
      <w:proofErr w:type="spellStart"/>
      <w:r>
        <w:rPr>
          <w:sz w:val="20"/>
          <w:szCs w:val="20"/>
          <w:rtl/>
        </w:rPr>
        <w:t>ש‘הסבא</w:t>
      </w:r>
      <w:proofErr w:type="spellEnd"/>
      <w:r>
        <w:rPr>
          <w:sz w:val="20"/>
          <w:szCs w:val="20"/>
          <w:rtl/>
        </w:rPr>
        <w:t>’ מדבר בפנינו”.</w:t>
      </w:r>
    </w:p>
  </w:footnote>
  <w:footnote w:id="3642">
    <w:p w14:paraId="7227500C" w14:textId="77777777" w:rsidR="00AB3647" w:rsidRDefault="00000000">
      <w:pPr>
        <w:spacing w:after="0" w:before="0"/>
        <w:jc w:val="both"/>
      </w:pPr>
      <w:r>
        <w:rPr>
          <w:sz w:val="20"/>
          <w:szCs w:val="20"/>
          <w:rtl/>
        </w:rPr>
        <w:footnoteRef/>
      </w:r>
      <w:r>
        <w:rPr>
          <w:sz w:val="20"/>
          <w:szCs w:val="20"/>
          <w:rtl/>
        </w:rPr>
        <w:t>. השווה כרך 2.</w:t>
      </w:r>
    </w:p>
  </w:footnote>
  <w:footnote w:id="3643">
    <w:p w14:paraId="6936C748" w14:textId="77777777" w:rsidR="00AB3647" w:rsidRDefault="00000000">
      <w:pPr>
        <w:spacing w:after="0" w:before="0"/>
        <w:jc w:val="both"/>
      </w:pPr>
      <w:r>
        <w:rPr>
          <w:sz w:val="20"/>
          <w:szCs w:val="20"/>
          <w:rtl/>
        </w:rPr>
        <w:footnoteRef/>
      </w:r>
      <w:r>
        <w:rPr>
          <w:sz w:val="20"/>
          <w:szCs w:val="20"/>
          <w:rtl/>
        </w:rPr>
        <w:t>. השווה פרק 1, הערה 32.</w:t>
      </w:r>
    </w:p>
  </w:footnote>
  <w:footnote w:id="3644">
    <w:p w14:paraId="7587F6C9" w14:textId="77777777" w:rsidR="00AB3647" w:rsidRDefault="00000000">
      <w:pPr>
        <w:spacing w:after="0" w:before="0"/>
        <w:jc w:val="both"/>
      </w:pPr>
      <w:r>
        <w:rPr>
          <w:sz w:val="20"/>
          <w:szCs w:val="20"/>
          <w:rtl/>
        </w:rPr>
        <w:footnoteRef/>
      </w:r>
      <w:r>
        <w:rPr>
          <w:sz w:val="20"/>
          <w:szCs w:val="20"/>
          <w:rtl/>
        </w:rPr>
        <w:t>. ריאיון מיום 27 באוקטובר 1998.</w:t>
      </w:r>
    </w:p>
  </w:footnote>
  <w:footnote w:id="3645">
    <w:p w14:paraId="7C1370DB" w14:textId="77777777" w:rsidR="00AB3647" w:rsidRDefault="00000000">
      <w:pPr>
        <w:spacing w:after="0" w:before="0"/>
        <w:jc w:val="both"/>
      </w:pPr>
      <w:r>
        <w:rPr>
          <w:sz w:val="20"/>
          <w:szCs w:val="20"/>
          <w:rtl/>
        </w:rPr>
        <w:footnoteRef/>
      </w:r>
      <w:r>
        <w:rPr>
          <w:sz w:val="20"/>
          <w:szCs w:val="20"/>
          <w:rtl/>
        </w:rPr>
        <w:t xml:space="preserve">. הנהגה זו תוארה בידי ר׳ שלמה </w:t>
      </w:r>
      <w:proofErr w:type="spellStart"/>
      <w:r>
        <w:rPr>
          <w:sz w:val="20"/>
          <w:szCs w:val="20"/>
          <w:rtl/>
        </w:rPr>
        <w:t>גיסינגר</w:t>
      </w:r>
      <w:proofErr w:type="spellEnd"/>
      <w:r>
        <w:rPr>
          <w:sz w:val="20"/>
          <w:szCs w:val="20"/>
          <w:rtl/>
        </w:rPr>
        <w:t xml:space="preserve"> – ריאיון מיום 5 בנובמבר 1997. הרב </w:t>
      </w:r>
      <w:proofErr w:type="spellStart"/>
      <w:r>
        <w:rPr>
          <w:sz w:val="20"/>
          <w:szCs w:val="20"/>
          <w:rtl/>
        </w:rPr>
        <w:t>גיסינגר</w:t>
      </w:r>
      <w:proofErr w:type="spellEnd"/>
      <w:r>
        <w:rPr>
          <w:sz w:val="20"/>
          <w:szCs w:val="20"/>
          <w:rtl/>
        </w:rPr>
        <w:t xml:space="preserve"> הבין את הדבר כפנייה למאזינים לרכז את מחשבתם במה שאבי עומד לומר.</w:t>
      </w:r>
    </w:p>
  </w:footnote>
  <w:footnote w:id="3646">
    <w:p w14:paraId="10DD7ADF" w14:textId="77777777" w:rsidR="00AB3647" w:rsidRDefault="00000000">
      <w:pPr>
        <w:spacing w:after="0" w:before="0"/>
        <w:jc w:val="both"/>
      </w:pPr>
      <w:r>
        <w:rPr>
          <w:sz w:val="20"/>
          <w:szCs w:val="20"/>
          <w:rtl/>
        </w:rPr>
        <w:footnoteRef/>
      </w:r>
      <w:r>
        <w:rPr>
          <w:sz w:val="20"/>
          <w:szCs w:val="20"/>
          <w:rtl/>
        </w:rPr>
        <w:t xml:space="preserve">. השווה פרק 3, נספח </w:t>
      </w:r>
      <w:proofErr w:type="spellStart"/>
      <w:r>
        <w:rPr>
          <w:sz w:val="20"/>
          <w:szCs w:val="20"/>
          <w:rtl/>
        </w:rPr>
        <w:t>יג</w:t>
      </w:r>
      <w:proofErr w:type="spellEnd"/>
      <w:r>
        <w:rPr>
          <w:sz w:val="20"/>
          <w:szCs w:val="20"/>
          <w:rtl/>
        </w:rPr>
        <w:t xml:space="preserve">. </w:t>
      </w:r>
      <w:proofErr w:type="spellStart"/>
      <w:r>
        <w:rPr>
          <w:sz w:val="20"/>
          <w:szCs w:val="20"/>
          <w:rtl/>
        </w:rPr>
        <w:t>ב“דאס</w:t>
      </w:r>
      <w:proofErr w:type="spellEnd"/>
      <w:r>
        <w:rPr>
          <w:sz w:val="20"/>
          <w:szCs w:val="20"/>
          <w:rtl/>
        </w:rPr>
        <w:t xml:space="preserve"> אידישע </w:t>
      </w:r>
      <w:proofErr w:type="spellStart"/>
      <w:r>
        <w:rPr>
          <w:sz w:val="20"/>
          <w:szCs w:val="20"/>
          <w:rtl/>
        </w:rPr>
        <w:t>ווארט</w:t>
      </w:r>
      <w:proofErr w:type="spellEnd"/>
      <w:r>
        <w:rPr>
          <w:sz w:val="20"/>
          <w:szCs w:val="20"/>
          <w:rtl/>
        </w:rPr>
        <w:t xml:space="preserve">”, גיליון טבת תשנ״א (מס׳ 294), עמ׳ 44, מתגלה </w:t>
      </w:r>
      <w:proofErr w:type="spellStart"/>
      <w:r>
        <w:rPr>
          <w:sz w:val="20"/>
          <w:szCs w:val="20"/>
          <w:rtl/>
        </w:rPr>
        <w:t>שבתרע״א</w:t>
      </w:r>
      <w:proofErr w:type="spellEnd"/>
      <w:r>
        <w:rPr>
          <w:sz w:val="20"/>
          <w:szCs w:val="20"/>
          <w:rtl/>
        </w:rPr>
        <w:t xml:space="preserve">, שנתיים לפני המאורעות המתוארים כאן, נסע ר׳ </w:t>
      </w:r>
      <w:proofErr w:type="spellStart"/>
      <w:r>
        <w:rPr>
          <w:sz w:val="20"/>
          <w:szCs w:val="20"/>
          <w:rtl/>
        </w:rPr>
        <w:t>חצקל</w:t>
      </w:r>
      <w:proofErr w:type="spellEnd"/>
      <w:r>
        <w:rPr>
          <w:sz w:val="20"/>
          <w:szCs w:val="20"/>
          <w:rtl/>
        </w:rPr>
        <w:t xml:space="preserve"> </w:t>
      </w:r>
      <w:proofErr w:type="spellStart"/>
      <w:r>
        <w:rPr>
          <w:sz w:val="20"/>
          <w:szCs w:val="20"/>
          <w:rtl/>
        </w:rPr>
        <w:t>ליבשיץ</w:t>
      </w:r>
      <w:proofErr w:type="spellEnd"/>
      <w:r>
        <w:rPr>
          <w:sz w:val="20"/>
          <w:szCs w:val="20"/>
          <w:rtl/>
        </w:rPr>
        <w:t xml:space="preserve"> ללונדון, ושם הוצעה לו כהונת הרב הראשי של אנגליה.</w:t>
      </w:r>
    </w:p>
  </w:footnote>
  <w:footnote w:id="3647">
    <w:p w14:paraId="1BBF737D" w14:textId="77777777" w:rsidR="00AB3647" w:rsidRDefault="00000000">
      <w:pPr>
        <w:spacing w:after="0" w:before="0"/>
        <w:jc w:val="both"/>
      </w:pPr>
      <w:r>
        <w:rPr>
          <w:sz w:val="20"/>
          <w:szCs w:val="20"/>
          <w:rtl/>
        </w:rPr>
        <w:footnoteRef/>
      </w:r>
      <w:r>
        <w:rPr>
          <w:sz w:val="20"/>
          <w:szCs w:val="20"/>
          <w:rtl/>
        </w:rPr>
        <w:t>. השווה הפסקה האחרונה בנספח זה, שממנה עולה שההחלטה לדחותו לא נתקבלה עד הרגע האחרון של שהותו בקובנה.</w:t>
      </w:r>
    </w:p>
  </w:footnote>
  <w:footnote w:id="3648">
    <w:p w14:paraId="1ABE37E9" w14:textId="77777777" w:rsidR="00AB3647" w:rsidRDefault="00000000">
      <w:pPr>
        <w:spacing w:after="0" w:before="0"/>
        <w:jc w:val="both"/>
      </w:pPr>
      <w:r>
        <w:rPr>
          <w:sz w:val="20"/>
          <w:szCs w:val="20"/>
          <w:rtl/>
        </w:rPr>
        <w:footnoteRef/>
      </w:r>
      <w:r>
        <w:rPr>
          <w:sz w:val="20"/>
          <w:szCs w:val="20"/>
          <w:rtl/>
        </w:rPr>
        <w:t xml:space="preserve">. עוד הוא כותב שיש לכנות את עירו “ירושלים </w:t>
      </w:r>
      <w:proofErr w:type="spellStart"/>
      <w:r>
        <w:rPr>
          <w:sz w:val="20"/>
          <w:szCs w:val="20"/>
          <w:rtl/>
        </w:rPr>
        <w:t>דזאמוט</w:t>
      </w:r>
      <w:proofErr w:type="spellEnd"/>
      <w:r>
        <w:rPr>
          <w:sz w:val="20"/>
          <w:szCs w:val="20"/>
          <w:rtl/>
        </w:rPr>
        <w:t xml:space="preserve">”, כשם שווילנה מכונה “ירושלים </w:t>
      </w:r>
      <w:proofErr w:type="spellStart"/>
      <w:r>
        <w:rPr>
          <w:sz w:val="20"/>
          <w:szCs w:val="20"/>
          <w:rtl/>
        </w:rPr>
        <w:t>דליטא</w:t>
      </w:r>
      <w:proofErr w:type="spellEnd"/>
      <w:r>
        <w:rPr>
          <w:sz w:val="20"/>
          <w:szCs w:val="20"/>
          <w:rtl/>
        </w:rPr>
        <w:t>”.</w:t>
      </w:r>
    </w:p>
  </w:footnote>
  <w:footnote w:id="3649">
    <w:p w14:paraId="0E73B3A6" w14:textId="77777777" w:rsidR="00AB3647" w:rsidRDefault="00000000">
      <w:pPr>
        <w:spacing w:after="0" w:before="0"/>
        <w:jc w:val="both"/>
      </w:pPr>
      <w:r>
        <w:rPr>
          <w:sz w:val="20"/>
          <w:szCs w:val="20"/>
          <w:rtl/>
        </w:rPr>
        <w:footnoteRef/>
      </w:r>
      <w:r>
        <w:rPr>
          <w:sz w:val="20"/>
          <w:szCs w:val="20"/>
          <w:rtl/>
        </w:rPr>
        <w:t>. המקור הנזכר בפרק 3, הערה 19 – עמ׳ לב.</w:t>
      </w:r>
    </w:p>
  </w:footnote>
  <w:footnote w:id="3650">
    <w:p w14:paraId="07BF9E28" w14:textId="77777777" w:rsidR="00AB3647" w:rsidRDefault="00000000">
      <w:pPr>
        <w:spacing w:after="0" w:before="0"/>
        <w:jc w:val="both"/>
      </w:pPr>
      <w:r>
        <w:rPr>
          <w:sz w:val="20"/>
          <w:szCs w:val="20"/>
          <w:rtl/>
        </w:rPr>
        <w:footnoteRef/>
      </w:r>
      <w:r>
        <w:rPr>
          <w:sz w:val="20"/>
          <w:szCs w:val="20"/>
          <w:rtl/>
        </w:rPr>
        <w:t>. קהלת ט, ו, ועיין הוריות דף יד.</w:t>
      </w:r>
    </w:p>
  </w:footnote>
  <w:footnote w:id="3651">
    <w:p w14:paraId="5D231682" w14:textId="77777777" w:rsidR="00AB3647" w:rsidRDefault="00000000">
      <w:pPr>
        <w:spacing w:after="0" w:before="0"/>
        <w:jc w:val="both"/>
      </w:pPr>
      <w:r>
        <w:rPr>
          <w:sz w:val="20"/>
          <w:szCs w:val="20"/>
          <w:rtl/>
        </w:rPr>
        <w:footnoteRef/>
      </w:r>
      <w:r>
        <w:rPr>
          <w:sz w:val="20"/>
          <w:szCs w:val="20"/>
          <w:rtl/>
        </w:rPr>
        <w:t xml:space="preserve">. השווה פרק 3, הפסקה השנייה של נספח </w:t>
      </w:r>
      <w:proofErr w:type="spellStart"/>
      <w:r>
        <w:rPr>
          <w:sz w:val="20"/>
          <w:szCs w:val="20"/>
          <w:rtl/>
        </w:rPr>
        <w:t>יז</w:t>
      </w:r>
      <w:proofErr w:type="spellEnd"/>
      <w:r>
        <w:rPr>
          <w:sz w:val="20"/>
          <w:szCs w:val="20"/>
          <w:rtl/>
        </w:rPr>
        <w:t>, על התנגדות הסבא ללימודי חול ארבעים שנה קודם לכן.</w:t>
      </w:r>
    </w:p>
  </w:footnote>
  <w:footnote w:id="3652">
    <w:p w14:paraId="262358FD" w14:textId="77777777" w:rsidR="00AB3647" w:rsidRDefault="00000000">
      <w:pPr>
        <w:spacing w:after="0" w:before="0"/>
        <w:jc w:val="both"/>
      </w:pPr>
      <w:r>
        <w:rPr>
          <w:sz w:val="20"/>
          <w:szCs w:val="20"/>
          <w:rtl/>
        </w:rPr>
        <w:footnoteRef/>
      </w:r>
      <w:r>
        <w:rPr>
          <w:sz w:val="20"/>
          <w:szCs w:val="20"/>
          <w:rtl/>
        </w:rPr>
        <w:t>. מלשונו של אבי נראה שמעבר להתנגדות ללימודי חול כשלעצמם, גם קבלת תעודה הייתה דבר שראו בעין רעה; ראה פרק 2, הערה 84.</w:t>
      </w:r>
    </w:p>
  </w:footnote>
  <w:footnote w:id="3653">
    <w:p w14:paraId="35199AA2" w14:textId="77777777" w:rsidR="00AB3647" w:rsidRDefault="00000000">
      <w:pPr>
        <w:spacing w:after="0" w:before="0"/>
        <w:jc w:val="both"/>
      </w:pPr>
      <w:r>
        <w:rPr>
          <w:sz w:val="20"/>
          <w:szCs w:val="20"/>
          <w:rtl/>
        </w:rPr>
        <w:footnoteRef/>
      </w:r>
      <w:r>
        <w:rPr>
          <w:sz w:val="20"/>
          <w:szCs w:val="20"/>
          <w:rtl/>
        </w:rPr>
        <w:t xml:space="preserve">. הגדרת הסבא הובאה שלא כראוי במאמר הזיכרון </w:t>
      </w:r>
      <w:proofErr w:type="spellStart"/>
      <w:r>
        <w:rPr>
          <w:sz w:val="20"/>
          <w:szCs w:val="20"/>
          <w:rtl/>
        </w:rPr>
        <w:t>ב“ג׳ואיש</w:t>
      </w:r>
      <w:proofErr w:type="spellEnd"/>
      <w:r>
        <w:rPr>
          <w:sz w:val="20"/>
          <w:szCs w:val="20"/>
          <w:rtl/>
        </w:rPr>
        <w:t xml:space="preserve"> </w:t>
      </w:r>
      <w:proofErr w:type="spellStart"/>
      <w:r>
        <w:rPr>
          <w:sz w:val="20"/>
          <w:szCs w:val="20"/>
          <w:rtl/>
        </w:rPr>
        <w:t>אובזרבר</w:t>
      </w:r>
      <w:proofErr w:type="spellEnd"/>
      <w:r>
        <w:rPr>
          <w:sz w:val="20"/>
          <w:szCs w:val="20"/>
          <w:rtl/>
        </w:rPr>
        <w:t>” (המקור הנזכר בפרולוג, הערה 1), ותוקנה במכתב למערכת בגיליון מאוחר יותר.</w:t>
      </w:r>
    </w:p>
  </w:footnote>
  <w:footnote w:id="3654">
    <w:p w14:paraId="324DFF96" w14:textId="77777777" w:rsidR="00AB3647" w:rsidRDefault="00000000">
      <w:pPr>
        <w:spacing w:after="0" w:before="0"/>
        <w:jc w:val="both"/>
      </w:pPr>
      <w:r>
        <w:rPr>
          <w:sz w:val="20"/>
          <w:szCs w:val="20"/>
          <w:rtl/>
        </w:rPr>
        <w:footnoteRef/>
      </w:r>
      <w:r>
        <w:rPr>
          <w:sz w:val="20"/>
          <w:szCs w:val="20"/>
          <w:rtl/>
        </w:rPr>
        <w:t xml:space="preserve">. ראה כרך 2. השווה גם מכתבו של ר׳ </w:t>
      </w:r>
      <w:proofErr w:type="spellStart"/>
      <w:r>
        <w:rPr>
          <w:sz w:val="20"/>
          <w:szCs w:val="20"/>
          <w:rtl/>
        </w:rPr>
        <w:t>יצחק־אייזיק</w:t>
      </w:r>
      <w:proofErr w:type="spellEnd"/>
      <w:r>
        <w:rPr>
          <w:sz w:val="20"/>
          <w:szCs w:val="20"/>
          <w:rtl/>
        </w:rPr>
        <w:t xml:space="preserve"> הלוי </w:t>
      </w:r>
      <w:proofErr w:type="spellStart"/>
      <w:r>
        <w:rPr>
          <w:sz w:val="20"/>
          <w:szCs w:val="20"/>
          <w:rtl/>
        </w:rPr>
        <w:t>מתרע״ג</w:t>
      </w:r>
      <w:proofErr w:type="spellEnd"/>
      <w:r>
        <w:rPr>
          <w:sz w:val="20"/>
          <w:szCs w:val="20"/>
          <w:rtl/>
        </w:rPr>
        <w:t xml:space="preserve">, המובא בעמ׳ </w:t>
      </w:r>
      <w:r>
        <w:rPr>
          <w:sz w:val="20"/>
          <w:szCs w:val="20"/>
          <w:rtl/>
        </w:rPr>
        <w:fldChar w:fldCharType="begin" w:dirty="true"/>
      </w:r>
      <w:r>
        <w:rPr>
          <w:sz w:val="20"/>
          <w:szCs w:val="20"/>
          <w:rtl/>
        </w:rPr>
        <w:instrText xml:space="preserve"> PAGEREF pr_b_1311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שלפיו כבר התקבלה ההשכלה בכל החוגים; רבה של קובנה שיקף באישיותו את השקפת דורו.</w:t>
      </w:r>
    </w:p>
  </w:footnote>
  <w:footnote w:id="3655">
    <w:p w14:paraId="7552E2F3" w14:textId="77777777" w:rsidR="00AB3647" w:rsidRDefault="00000000">
      <w:pPr>
        <w:spacing w:after="0" w:before="0"/>
        <w:jc w:val="both"/>
      </w:pPr>
      <w:r>
        <w:rPr>
          <w:sz w:val="20"/>
          <w:szCs w:val="20"/>
          <w:rtl/>
        </w:rPr>
        <w:footnoteRef/>
      </w:r>
      <w:r>
        <w:rPr>
          <w:sz w:val="20"/>
          <w:szCs w:val="20"/>
          <w:rtl/>
        </w:rPr>
        <w:t xml:space="preserve">. המקור הנזכר בפרק 1, הפסקה השנייה של נספח ב – חלק ב, עמ׳ </w:t>
      </w:r>
      <w:proofErr w:type="spellStart"/>
      <w:r>
        <w:rPr>
          <w:sz w:val="20"/>
          <w:szCs w:val="20"/>
          <w:rtl/>
        </w:rPr>
        <w:t>קצ</w:t>
      </w:r>
      <w:proofErr w:type="spellEnd"/>
      <w:r>
        <w:rPr>
          <w:sz w:val="20"/>
          <w:szCs w:val="20"/>
          <w:rtl/>
        </w:rPr>
        <w:t>.</w:t>
      </w:r>
    </w:p>
  </w:footnote>
  <w:footnote w:id="3656">
    <w:p w14:paraId="07D96CBB" w14:textId="77777777" w:rsidR="00AB3647" w:rsidRDefault="00000000">
      <w:pPr>
        <w:spacing w:after="0" w:before="0"/>
        <w:jc w:val="both"/>
      </w:pPr>
      <w:r>
        <w:rPr>
          <w:sz w:val="20"/>
          <w:szCs w:val="20"/>
          <w:rtl/>
        </w:rPr>
        <w:footnoteRef/>
      </w:r>
      <w:r>
        <w:rPr>
          <w:sz w:val="20"/>
          <w:szCs w:val="20"/>
          <w:rtl/>
        </w:rPr>
        <w:t xml:space="preserve">. אפשר שר׳ חיים הגיע למסקנה זו בעקבות ניסיונו באספת הרבנים בפטרבורג </w:t>
      </w:r>
      <w:proofErr w:type="spellStart"/>
      <w:r>
        <w:rPr>
          <w:sz w:val="20"/>
          <w:szCs w:val="20"/>
          <w:rtl/>
        </w:rPr>
        <w:t>בתר״ע</w:t>
      </w:r>
      <w:proofErr w:type="spellEnd"/>
      <w:r>
        <w:rPr>
          <w:sz w:val="20"/>
          <w:szCs w:val="20"/>
          <w:rtl/>
        </w:rPr>
        <w:t xml:space="preserve">; ראה פרק 3, הפסקה החמישית של נספח </w:t>
      </w:r>
      <w:proofErr w:type="spellStart"/>
      <w:r>
        <w:rPr>
          <w:sz w:val="20"/>
          <w:szCs w:val="20"/>
          <w:rtl/>
        </w:rPr>
        <w:t>יח</w:t>
      </w:r>
      <w:proofErr w:type="spellEnd"/>
      <w:r>
        <w:rPr>
          <w:sz w:val="20"/>
          <w:szCs w:val="20"/>
          <w:rtl/>
        </w:rPr>
        <w:t>.</w:t>
      </w:r>
    </w:p>
  </w:footnote>
  <w:footnote w:id="3657">
    <w:p w14:paraId="3B2CFD81" w14:textId="77777777" w:rsidR="00AB3647" w:rsidRDefault="00000000">
      <w:pPr>
        <w:spacing w:after="0" w:before="0"/>
        <w:jc w:val="both"/>
      </w:pPr>
      <w:r>
        <w:rPr>
          <w:sz w:val="20"/>
          <w:szCs w:val="20"/>
          <w:rtl/>
        </w:rPr>
        <w:footnoteRef/>
      </w:r>
      <w:r>
        <w:rPr>
          <w:sz w:val="20"/>
          <w:szCs w:val="20"/>
          <w:rtl/>
        </w:rPr>
        <w:t xml:space="preserve">. ריאיון מיום 11 באוקטובר 2001. מקורות אלו מובאים גם </w:t>
      </w:r>
      <w:proofErr w:type="spellStart"/>
      <w:r>
        <w:rPr>
          <w:sz w:val="20"/>
          <w:szCs w:val="20"/>
          <w:rtl/>
        </w:rPr>
        <w:t>ב“נפש</w:t>
      </w:r>
      <w:proofErr w:type="spellEnd"/>
      <w:r>
        <w:rPr>
          <w:sz w:val="20"/>
          <w:szCs w:val="20"/>
          <w:rtl/>
        </w:rPr>
        <w:t xml:space="preserve"> הרב” (המקור הנזכר בעמ׳ </w:t>
      </w:r>
      <w:r>
        <w:rPr>
          <w:sz w:val="20"/>
          <w:szCs w:val="20"/>
          <w:rtl/>
        </w:rPr>
        <w:fldChar w:fldCharType="begin" w:dirty="true"/>
      </w:r>
      <w:r>
        <w:rPr>
          <w:sz w:val="20"/>
          <w:szCs w:val="20"/>
          <w:rtl/>
        </w:rPr>
        <w:instrText xml:space="preserve"> PAGEREF pr_f_122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הערת שוליים </w:t>
      </w:r>
      <w:r>
        <w:rPr>
          <w:sz w:val="20"/>
          <w:szCs w:val="20"/>
          <w:rtl/>
        </w:rPr>
        <w:fldChar w:fldCharType="begin" w:dirty="true"/>
      </w:r>
      <w:r>
        <w:rPr>
          <w:sz w:val="20"/>
          <w:szCs w:val="20"/>
          <w:rtl/>
        </w:rPr>
        <w:instrText xml:space="preserve"> NOTEREF pr_f_122 \h </w:instrText>
      </w:r>
      <w:r>
        <w:rPr>
          <w:sz w:val="20"/>
          <w:szCs w:val="20"/>
          <w:rtl/>
        </w:rPr>
      </w:r>
      <w:r>
        <w:rPr>
          <w:sz w:val="20"/>
          <w:szCs w:val="20"/>
          <w:rtl/>
        </w:rPr>
        <w:fldChar w:fldCharType="separate"/>
      </w:r>
      <w:r w:rsidR="007923E9">
        <w:rPr>
          <w:sz w:val="20"/>
          <w:szCs w:val="20"/>
          <w:rtl/>
        </w:rPr>
        <w:t>67</w:t>
      </w:r>
      <w:r>
        <w:rPr>
          <w:sz w:val="20"/>
          <w:szCs w:val="20"/>
          <w:rtl/>
        </w:rPr>
        <w:fldChar w:fldCharType="end"/>
      </w:r>
      <w:r>
        <w:rPr>
          <w:sz w:val="20"/>
          <w:szCs w:val="20"/>
          <w:rtl/>
        </w:rPr>
        <w:t xml:space="preserve">), עמ׳ </w:t>
      </w:r>
      <w:proofErr w:type="spellStart"/>
      <w:r>
        <w:rPr>
          <w:sz w:val="20"/>
          <w:szCs w:val="20"/>
          <w:rtl/>
        </w:rPr>
        <w:t>קעח</w:t>
      </w:r>
      <w:proofErr w:type="spellEnd"/>
      <w:r>
        <w:rPr>
          <w:sz w:val="20"/>
          <w:szCs w:val="20"/>
          <w:rtl/>
        </w:rPr>
        <w:t>.</w:t>
      </w:r>
    </w:p>
  </w:footnote>
  <w:footnote w:id="3658">
    <w:p w14:paraId="480600D9" w14:textId="77777777" w:rsidR="00AB3647" w:rsidRDefault="00000000">
      <w:pPr>
        <w:spacing w:after="0" w:before="0"/>
        <w:jc w:val="both"/>
      </w:pPr>
      <w:r>
        <w:rPr>
          <w:sz w:val="20"/>
          <w:szCs w:val="20"/>
          <w:rtl/>
        </w:rPr>
        <w:footnoteRef/>
      </w:r>
      <w:r>
        <w:rPr>
          <w:sz w:val="20"/>
          <w:szCs w:val="20"/>
          <w:rtl/>
        </w:rPr>
        <w:t xml:space="preserve">. השווה “הראשון לשושלת </w:t>
      </w:r>
      <w:proofErr w:type="spellStart"/>
      <w:r>
        <w:rPr>
          <w:sz w:val="20"/>
          <w:szCs w:val="20"/>
          <w:rtl/>
        </w:rPr>
        <w:t>בריסק</w:t>
      </w:r>
      <w:proofErr w:type="spellEnd"/>
      <w:r>
        <w:rPr>
          <w:sz w:val="20"/>
          <w:szCs w:val="20"/>
          <w:rtl/>
        </w:rPr>
        <w:t>” (המקור הנזכר בפרק 1, הפסקה השנייה בהערה 96), עמ׳ 37–70.</w:t>
      </w:r>
    </w:p>
  </w:footnote>
  <w:footnote w:id="3659">
    <w:p w14:paraId="295B6D82" w14:textId="77777777" w:rsidR="00AB3647" w:rsidRDefault="00000000">
      <w:pPr>
        <w:spacing w:after="0" w:before="0"/>
        <w:jc w:val="both"/>
      </w:pPr>
      <w:r>
        <w:rPr>
          <w:sz w:val="20"/>
          <w:szCs w:val="20"/>
          <w:rtl/>
        </w:rPr>
        <w:footnoteRef/>
      </w:r>
      <w:r>
        <w:rPr>
          <w:sz w:val="20"/>
          <w:szCs w:val="20"/>
          <w:rtl/>
        </w:rPr>
        <w:t xml:space="preserve">. הדבר מודגש בפרק 5, הפסקה הראשונה של נספח ו, ביחס </w:t>
      </w:r>
      <w:proofErr w:type="spellStart"/>
      <w:r>
        <w:rPr>
          <w:sz w:val="20"/>
          <w:szCs w:val="20"/>
          <w:rtl/>
        </w:rPr>
        <w:t>לראסיין</w:t>
      </w:r>
      <w:proofErr w:type="spellEnd"/>
      <w:r>
        <w:rPr>
          <w:sz w:val="20"/>
          <w:szCs w:val="20"/>
          <w:rtl/>
        </w:rPr>
        <w:t xml:space="preserve"> </w:t>
      </w:r>
      <w:proofErr w:type="spellStart"/>
      <w:r>
        <w:rPr>
          <w:sz w:val="20"/>
          <w:szCs w:val="20"/>
          <w:rtl/>
        </w:rPr>
        <w:t>ולקמניץ</w:t>
      </w:r>
      <w:proofErr w:type="spellEnd"/>
      <w:r>
        <w:rPr>
          <w:sz w:val="20"/>
          <w:szCs w:val="20"/>
          <w:rtl/>
        </w:rPr>
        <w:t xml:space="preserve"> – הראשונה בלב ליטא, </w:t>
      </w:r>
      <w:proofErr w:type="spellStart"/>
      <w:r>
        <w:rPr>
          <w:sz w:val="20"/>
          <w:szCs w:val="20"/>
          <w:rtl/>
        </w:rPr>
        <w:t>בזאמוט</w:t>
      </w:r>
      <w:proofErr w:type="spellEnd"/>
      <w:r>
        <w:rPr>
          <w:sz w:val="20"/>
          <w:szCs w:val="20"/>
          <w:rtl/>
        </w:rPr>
        <w:t xml:space="preserve">, והשנייה בפולין. אין זה מתקבל על הדעת לייחס את רצונו של ר׳ חיים לעזוב את </w:t>
      </w:r>
      <w:proofErr w:type="spellStart"/>
      <w:r>
        <w:rPr>
          <w:sz w:val="20"/>
          <w:szCs w:val="20"/>
          <w:rtl/>
        </w:rPr>
        <w:t>בריסק</w:t>
      </w:r>
      <w:proofErr w:type="spellEnd"/>
      <w:r>
        <w:rPr>
          <w:sz w:val="20"/>
          <w:szCs w:val="20"/>
          <w:rtl/>
        </w:rPr>
        <w:t xml:space="preserve"> לכך שתושביה תמכו בציונות, שממנה הסתייג (ראה פרק 5, סוף נספח ח ואמצע הפסקה הראשונה של נספח ו; פרק 4, תחילת הפסקה השישית של נספח ט; והערת השוליים </w:t>
      </w:r>
      <w:r>
        <w:rPr>
          <w:sz w:val="20"/>
          <w:szCs w:val="20"/>
          <w:rtl/>
        </w:rPr>
        <w:fldChar w:fldCharType="begin" w:dirty="true"/>
      </w:r>
      <w:r>
        <w:rPr>
          <w:sz w:val="20"/>
          <w:szCs w:val="20"/>
          <w:rtl/>
        </w:rPr>
        <w:instrText xml:space="preserve"> NOTEREF pr_f_1955 \h </w:instrText>
      </w:r>
      <w:r>
        <w:rPr>
          <w:sz w:val="20"/>
          <w:szCs w:val="20"/>
          <w:rtl/>
        </w:rPr>
      </w:r>
      <w:r>
        <w:rPr>
          <w:sz w:val="20"/>
          <w:szCs w:val="20"/>
          <w:rtl/>
        </w:rPr>
        <w:fldChar w:fldCharType="separate"/>
      </w:r>
      <w:r w:rsidR="007923E9">
        <w:rPr>
          <w:sz w:val="20"/>
          <w:szCs w:val="20"/>
          <w:rtl/>
        </w:rPr>
        <w:t>1001</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pr_f_1955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מפני שקובנה לא הייתה ציונית פחות.</w:t>
      </w:r>
    </w:p>
  </w:footnote>
  <w:footnote w:id="3660">
    <w:p w14:paraId="3384E48D" w14:textId="77777777" w:rsidR="00AB3647" w:rsidRDefault="00000000">
      <w:pPr>
        <w:spacing w:after="0" w:before="0"/>
        <w:jc w:val="both"/>
      </w:pPr>
      <w:r>
        <w:rPr>
          <w:sz w:val="20"/>
          <w:szCs w:val="20"/>
          <w:rtl/>
        </w:rPr>
        <w:footnoteRef/>
      </w:r>
      <w:r>
        <w:rPr>
          <w:sz w:val="20"/>
          <w:szCs w:val="20"/>
          <w:rtl/>
        </w:rPr>
        <w:t xml:space="preserve">. השווה פרק 3, נספח כה, ותחילת הפסקה השנייה של נספח </w:t>
      </w:r>
      <w:proofErr w:type="spellStart"/>
      <w:r>
        <w:rPr>
          <w:sz w:val="20"/>
          <w:szCs w:val="20"/>
          <w:rtl/>
        </w:rPr>
        <w:t>יז</w:t>
      </w:r>
      <w:proofErr w:type="spellEnd"/>
      <w:r>
        <w:rPr>
          <w:sz w:val="20"/>
          <w:szCs w:val="20"/>
          <w:rtl/>
        </w:rPr>
        <w:t xml:space="preserve">. ברור שבספרו של כץ, “תנועת המוסר”, כרך ב (המקור הנזכר בפרק 2, הערה 17), בהערה 7 בעמ׳ 196, חסר המידע שר׳ </w:t>
      </w:r>
      <w:proofErr w:type="spellStart"/>
      <w:r>
        <w:rPr>
          <w:sz w:val="20"/>
          <w:szCs w:val="20"/>
          <w:rtl/>
        </w:rPr>
        <w:t>חצקל</w:t>
      </w:r>
      <w:proofErr w:type="spellEnd"/>
      <w:r>
        <w:rPr>
          <w:sz w:val="20"/>
          <w:szCs w:val="20"/>
          <w:rtl/>
        </w:rPr>
        <w:t xml:space="preserve"> למד </w:t>
      </w:r>
      <w:proofErr w:type="spellStart"/>
      <w:r>
        <w:rPr>
          <w:sz w:val="20"/>
          <w:szCs w:val="20"/>
          <w:rtl/>
        </w:rPr>
        <w:t>בגרובין</w:t>
      </w:r>
      <w:proofErr w:type="spellEnd"/>
      <w:r>
        <w:rPr>
          <w:sz w:val="20"/>
          <w:szCs w:val="20"/>
          <w:rtl/>
        </w:rPr>
        <w:t>.</w:t>
      </w:r>
    </w:p>
  </w:footnote>
  <w:footnote w:id="3661">
    <w:p w14:paraId="0C40C447" w14:textId="77777777" w:rsidR="00AB3647" w:rsidRDefault="00000000">
      <w:pPr>
        <w:spacing w:after="0" w:before="0"/>
        <w:jc w:val="both"/>
      </w:pPr>
      <w:r>
        <w:rPr>
          <w:sz w:val="20"/>
          <w:szCs w:val="20"/>
          <w:rtl/>
        </w:rPr>
        <w:footnoteRef/>
      </w:r>
      <w:r>
        <w:rPr>
          <w:sz w:val="20"/>
          <w:szCs w:val="20"/>
          <w:rtl/>
        </w:rPr>
        <w:t>. עמ׳ 234.</w:t>
      </w:r>
    </w:p>
  </w:footnote>
  <w:footnote w:id="3662">
    <w:p w14:paraId="2BB67D1C" w14:textId="77777777" w:rsidR="00AB3647" w:rsidRDefault="00000000">
      <w:pPr>
        <w:spacing w:after="0" w:before="0"/>
        <w:jc w:val="both"/>
      </w:pPr>
      <w:r>
        <w:rPr>
          <w:sz w:val="20"/>
          <w:szCs w:val="20"/>
          <w:rtl/>
        </w:rPr>
        <w:footnoteRef/>
      </w:r>
      <w:r>
        <w:rPr>
          <w:sz w:val="20"/>
          <w:szCs w:val="20"/>
          <w:rtl/>
        </w:rPr>
        <w:t>. בנקודה זו חזר אבי על פרטי פולמוס המוסר, שנמסרו בפסקה השלישית מן הסוף בפרק 3.1 ובהערות השוליים שלה.</w:t>
      </w:r>
    </w:p>
  </w:footnote>
  <w:footnote w:id="3663">
    <w:p w14:paraId="12EA602F" w14:textId="77777777" w:rsidR="00AB3647" w:rsidRDefault="00000000">
      <w:pPr>
        <w:spacing w:after="0" w:before="0"/>
        <w:jc w:val="both"/>
      </w:pPr>
      <w:r>
        <w:rPr>
          <w:sz w:val="20"/>
          <w:szCs w:val="20"/>
          <w:rtl/>
        </w:rPr>
        <w:footnoteRef/>
      </w:r>
      <w:r>
        <w:rPr>
          <w:sz w:val="20"/>
          <w:szCs w:val="20"/>
          <w:rtl/>
        </w:rPr>
        <w:t>. ריאיון מיום 10 באוקטובר 1991.</w:t>
      </w:r>
    </w:p>
  </w:footnote>
  <w:footnote w:id="3664">
    <w:p w14:paraId="4478A9B7" w14:textId="77777777" w:rsidR="00AB3647" w:rsidRDefault="00000000">
      <w:pPr>
        <w:spacing w:after="0" w:before="0"/>
        <w:jc w:val="both"/>
      </w:pPr>
      <w:r>
        <w:rPr>
          <w:sz w:val="20"/>
          <w:szCs w:val="20"/>
          <w:rtl/>
        </w:rPr>
        <w:footnoteRef/>
      </w:r>
      <w:r>
        <w:rPr>
          <w:sz w:val="20"/>
          <w:szCs w:val="20"/>
          <w:rtl/>
        </w:rPr>
        <w:t>. המקור הנזכר בפרק 1, הערה 57 – עמ׳ 422.</w:t>
      </w:r>
    </w:p>
  </w:footnote>
  <w:footnote w:id="3665">
    <w:p w14:paraId="6413A5A0" w14:textId="77777777" w:rsidR="00AB3647" w:rsidRDefault="00000000">
      <w:pPr>
        <w:spacing w:after="0" w:before="0"/>
        <w:jc w:val="both"/>
      </w:pPr>
      <w:r>
        <w:rPr>
          <w:sz w:val="20"/>
          <w:szCs w:val="20"/>
          <w:rtl/>
        </w:rPr>
        <w:footnoteRef/>
      </w:r>
      <w:r>
        <w:rPr>
          <w:sz w:val="20"/>
          <w:szCs w:val="20"/>
          <w:rtl/>
        </w:rPr>
        <w:t>. המקור הנזכר בפרק 3, נספח יא – עמ׳ 160–161.</w:t>
      </w:r>
    </w:p>
  </w:footnote>
  <w:footnote w:id="3666">
    <w:p w14:paraId="60C5C44A" w14:textId="77777777" w:rsidR="00AB3647" w:rsidRDefault="00000000">
      <w:pPr>
        <w:spacing w:after="0" w:before="0"/>
        <w:jc w:val="both"/>
      </w:pPr>
      <w:r>
        <w:rPr>
          <w:sz w:val="20"/>
          <w:szCs w:val="20"/>
          <w:rtl/>
        </w:rPr>
        <w:footnoteRef/>
      </w:r>
      <w:r>
        <w:rPr>
          <w:sz w:val="20"/>
          <w:szCs w:val="20"/>
          <w:rtl/>
        </w:rPr>
        <w:t xml:space="preserve">. השווה פרק 3, נספח </w:t>
      </w:r>
      <w:proofErr w:type="spellStart"/>
      <w:r>
        <w:rPr>
          <w:sz w:val="20"/>
          <w:szCs w:val="20"/>
          <w:rtl/>
        </w:rPr>
        <w:t>יג</w:t>
      </w:r>
      <w:proofErr w:type="spellEnd"/>
      <w:r>
        <w:rPr>
          <w:sz w:val="20"/>
          <w:szCs w:val="20"/>
          <w:rtl/>
        </w:rPr>
        <w:t>.</w:t>
      </w:r>
    </w:p>
  </w:footnote>
  <w:footnote w:id="3667">
    <w:p w14:paraId="1E082A92" w14:textId="77777777" w:rsidR="00AB3647" w:rsidRDefault="00000000">
      <w:pPr>
        <w:spacing w:after="0" w:before="0"/>
        <w:jc w:val="both"/>
      </w:pPr>
      <w:r>
        <w:rPr>
          <w:sz w:val="20"/>
          <w:szCs w:val="20"/>
          <w:rtl/>
        </w:rPr>
        <w:footnoteRef/>
      </w:r>
      <w:r>
        <w:rPr>
          <w:sz w:val="20"/>
          <w:szCs w:val="20"/>
          <w:rtl/>
        </w:rPr>
        <w:t>. ריאיון מיום 14 בינואר 1988.</w:t>
      </w:r>
    </w:p>
  </w:footnote>
  <w:footnote w:id="3668">
    <w:p w14:paraId="3A55D4CB" w14:textId="77777777" w:rsidR="00AB3647" w:rsidRDefault="00000000">
      <w:pPr>
        <w:spacing w:after="0" w:before="0"/>
        <w:jc w:val="both"/>
      </w:pPr>
      <w:r>
        <w:rPr>
          <w:sz w:val="20"/>
          <w:szCs w:val="20"/>
          <w:rtl/>
        </w:rPr>
        <w:footnoteRef/>
      </w:r>
      <w:r>
        <w:rPr>
          <w:sz w:val="20"/>
          <w:szCs w:val="20"/>
          <w:rtl/>
        </w:rPr>
        <w:t>. המקור הנזכר בפרק 3, נספח א – עמ׳ שיד–שטו.</w:t>
      </w:r>
    </w:p>
  </w:footnote>
  <w:footnote w:id="3669">
    <w:p w14:paraId="09D13A9A" w14:textId="77777777" w:rsidR="00AB3647" w:rsidRDefault="00000000">
      <w:pPr>
        <w:spacing w:after="0" w:before="0"/>
        <w:jc w:val="both"/>
      </w:pPr>
      <w:r>
        <w:rPr>
          <w:sz w:val="20"/>
          <w:szCs w:val="20"/>
          <w:rtl/>
        </w:rPr>
        <w:footnoteRef/>
      </w:r>
      <w:r>
        <w:rPr>
          <w:sz w:val="20"/>
          <w:szCs w:val="20"/>
          <w:rtl/>
        </w:rPr>
        <w:t xml:space="preserve">. דברים אלו מסר ר׳ ישראל </w:t>
      </w:r>
      <w:proofErr w:type="spellStart"/>
      <w:r>
        <w:rPr>
          <w:sz w:val="20"/>
          <w:szCs w:val="20"/>
          <w:rtl/>
        </w:rPr>
        <w:t>שורין</w:t>
      </w:r>
      <w:proofErr w:type="spellEnd"/>
      <w:r>
        <w:rPr>
          <w:sz w:val="20"/>
          <w:szCs w:val="20"/>
          <w:rtl/>
        </w:rPr>
        <w:t>, בריאיון מיום 25 בספטמבר 1998.</w:t>
      </w:r>
    </w:p>
  </w:footnote>
  <w:footnote w:id="3670">
    <w:p w14:paraId="3AC1EB08" w14:textId="77777777" w:rsidR="00AB3647" w:rsidRDefault="00000000">
      <w:pPr>
        <w:spacing w:after="0" w:before="0"/>
        <w:jc w:val="both"/>
      </w:pPr>
      <w:r>
        <w:rPr>
          <w:sz w:val="20"/>
          <w:szCs w:val="20"/>
          <w:rtl/>
        </w:rPr>
        <w:footnoteRef/>
      </w:r>
      <w:r>
        <w:rPr>
          <w:sz w:val="20"/>
          <w:szCs w:val="20"/>
          <w:rtl/>
        </w:rPr>
        <w:t xml:space="preserve">. הוצאת ארגון עולי </w:t>
      </w:r>
      <w:proofErr w:type="spellStart"/>
      <w:r>
        <w:rPr>
          <w:sz w:val="20"/>
          <w:szCs w:val="20"/>
          <w:rtl/>
        </w:rPr>
        <w:t>לומזה</w:t>
      </w:r>
      <w:proofErr w:type="spellEnd"/>
      <w:r>
        <w:rPr>
          <w:sz w:val="20"/>
          <w:szCs w:val="20"/>
          <w:rtl/>
        </w:rPr>
        <w:t xml:space="preserve"> בישראל, תשי״ג – עמ׳ 115.</w:t>
      </w:r>
    </w:p>
  </w:footnote>
  <w:footnote w:id="3671">
    <w:p w14:paraId="3C625784" w14:textId="77777777" w:rsidR="00AB3647" w:rsidRDefault="00000000">
      <w:pPr>
        <w:spacing w:after="0" w:before="0"/>
        <w:jc w:val="both"/>
      </w:pPr>
      <w:r>
        <w:rPr>
          <w:sz w:val="20"/>
          <w:szCs w:val="20"/>
          <w:rtl/>
        </w:rPr>
        <w:footnoteRef/>
      </w:r>
      <w:r>
        <w:rPr>
          <w:sz w:val="20"/>
          <w:szCs w:val="20"/>
          <w:rtl/>
        </w:rPr>
        <w:t>. גיליון ה׳ באייר תשכ״א.</w:t>
      </w:r>
    </w:p>
  </w:footnote>
  <w:footnote w:id="3672">
    <w:p w14:paraId="23C432FB" w14:textId="77777777" w:rsidR="00AB3647" w:rsidRDefault="00000000">
      <w:pPr>
        <w:spacing w:after="0" w:before="0"/>
        <w:jc w:val="both"/>
      </w:pPr>
      <w:r>
        <w:rPr>
          <w:sz w:val="20"/>
          <w:szCs w:val="20"/>
          <w:rtl/>
        </w:rPr>
        <w:footnoteRef/>
      </w:r>
      <w:r>
        <w:rPr>
          <w:sz w:val="20"/>
          <w:szCs w:val="20"/>
          <w:rtl/>
        </w:rPr>
        <w:t>. משלי ג, ד.</w:t>
      </w:r>
    </w:p>
  </w:footnote>
  <w:footnote w:id="3673">
    <w:p w14:paraId="38E47A5C" w14:textId="77777777" w:rsidR="00AB3647" w:rsidRDefault="00000000">
      <w:pPr>
        <w:spacing w:after="0" w:before="0"/>
        <w:jc w:val="both"/>
      </w:pPr>
      <w:r>
        <w:rPr>
          <w:sz w:val="20"/>
          <w:szCs w:val="20"/>
          <w:rtl/>
        </w:rPr>
        <w:footnoteRef/>
      </w:r>
      <w:r>
        <w:rPr>
          <w:sz w:val="20"/>
          <w:szCs w:val="20"/>
          <w:rtl/>
        </w:rPr>
        <w:t>. השווה כרך 2.</w:t>
      </w:r>
    </w:p>
  </w:footnote>
  <w:footnote w:id="3674">
    <w:p w14:paraId="3036F796" w14:textId="77777777" w:rsidR="00AB3647" w:rsidRDefault="00000000">
      <w:pPr>
        <w:spacing w:after="0" w:before="0"/>
        <w:jc w:val="both"/>
      </w:pPr>
      <w:r>
        <w:rPr>
          <w:sz w:val="20"/>
          <w:szCs w:val="20"/>
          <w:rtl/>
        </w:rPr>
        <w:footnoteRef/>
      </w:r>
      <w:r>
        <w:rPr>
          <w:sz w:val="20"/>
          <w:szCs w:val="20"/>
          <w:rtl/>
        </w:rPr>
        <w:t>. ראה גם הערה 33 לעיל.</w:t>
      </w:r>
    </w:p>
  </w:footnote>
  <w:footnote w:id="3675">
    <w:p w14:paraId="47C4F901" w14:textId="77777777" w:rsidR="00AB3647" w:rsidRDefault="00000000">
      <w:pPr>
        <w:spacing w:after="0" w:before="0"/>
        <w:jc w:val="both"/>
      </w:pPr>
      <w:r>
        <w:rPr>
          <w:sz w:val="20"/>
          <w:szCs w:val="20"/>
          <w:rtl/>
        </w:rPr>
        <w:footnoteRef/>
      </w:r>
      <w:r>
        <w:rPr>
          <w:sz w:val="20"/>
          <w:szCs w:val="20"/>
          <w:rtl/>
        </w:rPr>
        <w:t xml:space="preserve">. ראה כרך 2 לפרטי המעשה, שאליו רומזים בעמ׳ </w:t>
      </w:r>
      <w:r>
        <w:rPr>
          <w:sz w:val="20"/>
          <w:szCs w:val="20"/>
          <w:rtl/>
        </w:rPr>
        <w:fldChar w:fldCharType="begin" w:dirty="true"/>
      </w:r>
      <w:r>
        <w:rPr>
          <w:sz w:val="20"/>
          <w:szCs w:val="20"/>
          <w:rtl/>
        </w:rPr>
        <w:instrText xml:space="preserve"> PAGEREF pr_b_2455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3676">
    <w:p w14:paraId="6A916816" w14:textId="77777777" w:rsidR="00AB3647" w:rsidRDefault="00000000">
      <w:pPr>
        <w:spacing w:after="0" w:before="0"/>
        <w:jc w:val="both"/>
      </w:pPr>
      <w:r>
        <w:rPr>
          <w:sz w:val="20"/>
          <w:szCs w:val="20"/>
          <w:rtl/>
        </w:rPr>
        <w:footnoteRef/>
      </w:r>
      <w:r>
        <w:rPr>
          <w:sz w:val="20"/>
          <w:szCs w:val="20"/>
          <w:rtl/>
        </w:rPr>
        <w:t>. לפי ר׳ מרדכי שיין (פרק 2, נספח ב).</w:t>
      </w:r>
    </w:p>
  </w:footnote>
  <w:footnote w:id="3677">
    <w:p w14:paraId="67531431" w14:textId="77777777" w:rsidR="00AB3647" w:rsidRDefault="00000000">
      <w:pPr>
        <w:spacing w:after="0" w:before="0"/>
        <w:jc w:val="both"/>
      </w:pPr>
      <w:r>
        <w:rPr>
          <w:sz w:val="20"/>
          <w:szCs w:val="20"/>
          <w:rtl/>
        </w:rPr>
        <w:footnoteRef/>
      </w:r>
      <w:r>
        <w:rPr>
          <w:sz w:val="20"/>
          <w:szCs w:val="20"/>
          <w:rtl/>
        </w:rPr>
        <w:t>. עמ׳ 216.</w:t>
      </w:r>
    </w:p>
  </w:footnote>
  <w:footnote w:id="3678">
    <w:p w14:paraId="793A93D5" w14:textId="77777777" w:rsidR="00AB3647" w:rsidRDefault="00000000">
      <w:pPr>
        <w:spacing w:after="0" w:before="0"/>
        <w:jc w:val="both"/>
      </w:pPr>
      <w:r>
        <w:rPr>
          <w:sz w:val="20"/>
          <w:szCs w:val="20"/>
          <w:rtl/>
        </w:rPr>
        <w:footnoteRef/>
      </w:r>
      <w:r>
        <w:rPr>
          <w:sz w:val="20"/>
          <w:szCs w:val="20"/>
          <w:rtl/>
        </w:rPr>
        <w:t>. הערה 7 לעיל – עמ׳ 324.</w:t>
      </w:r>
    </w:p>
  </w:footnote>
  <w:footnote w:id="3679">
    <w:p w14:paraId="57465221" w14:textId="77777777" w:rsidR="00AB3647" w:rsidRDefault="00000000">
      <w:pPr>
        <w:spacing w:after="0" w:before="0"/>
        <w:jc w:val="both"/>
      </w:pPr>
      <w:r>
        <w:rPr>
          <w:sz w:val="20"/>
          <w:szCs w:val="20"/>
          <w:rtl/>
        </w:rPr>
        <w:footnoteRef/>
      </w:r>
      <w:r>
        <w:rPr>
          <w:sz w:val="20"/>
          <w:szCs w:val="20"/>
          <w:rtl/>
        </w:rPr>
        <w:t>. ריאיון מיום 6 במרץ 1992.</w:t>
      </w:r>
    </w:p>
  </w:footnote>
  <w:footnote w:id="3680">
    <w:p w14:paraId="3FC9B0A7" w14:textId="77777777" w:rsidR="00AB3647" w:rsidRDefault="00000000">
      <w:pPr>
        <w:spacing w:after="0" w:before="0"/>
        <w:jc w:val="both"/>
      </w:pPr>
      <w:r>
        <w:rPr>
          <w:sz w:val="20"/>
          <w:szCs w:val="20"/>
          <w:rtl/>
        </w:rPr>
        <w:footnoteRef/>
      </w:r>
      <w:r>
        <w:rPr>
          <w:sz w:val="20"/>
          <w:szCs w:val="20"/>
          <w:rtl/>
        </w:rPr>
        <w:t>. ראה פרק 3, סוף הערה 115, כיצד השפיע חשש זה של הסבא על פעולותיו בארץ ישראל.</w:t>
      </w:r>
    </w:p>
  </w:footnote>
  <w:footnote w:id="3681">
    <w:p w14:paraId="378AC964" w14:textId="77777777" w:rsidR="00AB3647" w:rsidRDefault="00000000">
      <w:pPr>
        <w:spacing w:after="0" w:before="0"/>
        <w:jc w:val="both"/>
      </w:pPr>
      <w:r>
        <w:rPr>
          <w:sz w:val="20"/>
          <w:szCs w:val="20"/>
          <w:rtl/>
        </w:rPr>
        <w:footnoteRef/>
      </w:r>
      <w:r>
        <w:rPr>
          <w:sz w:val="20"/>
          <w:szCs w:val="20"/>
          <w:rtl/>
        </w:rPr>
        <w:t>. השווה פרק 3, נספח א.</w:t>
      </w:r>
    </w:p>
  </w:footnote>
  <w:footnote w:id="3682">
    <w:p w14:paraId="625CC92F" w14:textId="77777777" w:rsidR="00AB3647" w:rsidRDefault="00000000">
      <w:pPr>
        <w:spacing w:after="0" w:before="0"/>
        <w:jc w:val="both"/>
      </w:pPr>
      <w:r>
        <w:rPr>
          <w:sz w:val="20"/>
          <w:szCs w:val="20"/>
          <w:rtl/>
        </w:rPr>
        <w:footnoteRef/>
      </w:r>
      <w:r>
        <w:rPr>
          <w:sz w:val="20"/>
          <w:szCs w:val="20"/>
          <w:rtl/>
        </w:rPr>
        <w:t>. עמ׳ 259.</w:t>
      </w:r>
    </w:p>
  </w:footnote>
  <w:footnote w:id="3683">
    <w:p w14:paraId="1C9EF155" w14:textId="77777777" w:rsidR="00AB3647" w:rsidRDefault="00000000">
      <w:pPr>
        <w:spacing w:after="0" w:before="0"/>
        <w:jc w:val="both"/>
      </w:pPr>
      <w:r>
        <w:rPr>
          <w:sz w:val="20"/>
          <w:szCs w:val="20"/>
          <w:rtl/>
        </w:rPr>
        <w:footnoteRef/>
      </w:r>
      <w:r>
        <w:rPr>
          <w:sz w:val="20"/>
          <w:szCs w:val="20"/>
          <w:rtl/>
        </w:rPr>
        <w:t>. עמ׳ 217.</w:t>
      </w:r>
    </w:p>
  </w:footnote>
  <w:footnote w:id="3684">
    <w:p w14:paraId="189D1AE1" w14:textId="77777777" w:rsidR="00AB3647" w:rsidRDefault="00000000">
      <w:pPr>
        <w:spacing w:after="0" w:before="0"/>
        <w:jc w:val="both"/>
      </w:pPr>
      <w:r>
        <w:rPr>
          <w:sz w:val="20"/>
          <w:szCs w:val="20"/>
          <w:rtl/>
        </w:rPr>
        <w:footnoteRef/>
      </w:r>
      <w:r>
        <w:rPr>
          <w:sz w:val="20"/>
          <w:szCs w:val="20"/>
          <w:rtl/>
        </w:rPr>
        <w:t xml:space="preserve">. כץ אומר שהמחאה הושמעה “בזמן שעלתה המחשבה למנות בה </w:t>
      </w:r>
      <w:proofErr w:type="spellStart"/>
      <w:r>
        <w:rPr>
          <w:sz w:val="20"/>
          <w:szCs w:val="20"/>
          <w:rtl/>
        </w:rPr>
        <w:t>כר״מים</w:t>
      </w:r>
      <w:proofErr w:type="spellEnd"/>
      <w:r>
        <w:rPr>
          <w:sz w:val="20"/>
          <w:szCs w:val="20"/>
          <w:rtl/>
        </w:rPr>
        <w:t xml:space="preserve"> את חתנו ובנו”. מינויו הראשון של הרב שר היה </w:t>
      </w:r>
      <w:proofErr w:type="spellStart"/>
      <w:r>
        <w:rPr>
          <w:sz w:val="20"/>
          <w:szCs w:val="20"/>
          <w:rtl/>
        </w:rPr>
        <w:t>בתרס״ו</w:t>
      </w:r>
      <w:proofErr w:type="spellEnd"/>
      <w:r>
        <w:rPr>
          <w:sz w:val="20"/>
          <w:szCs w:val="20"/>
          <w:rtl/>
        </w:rPr>
        <w:t xml:space="preserve">, לפי הפסקה האחרונה בפרק 3.2, ובאותה עת שהה ר׳ </w:t>
      </w:r>
      <w:proofErr w:type="spellStart"/>
      <w:r>
        <w:rPr>
          <w:sz w:val="20"/>
          <w:szCs w:val="20"/>
          <w:rtl/>
        </w:rPr>
        <w:t>יחיאל־יעקב</w:t>
      </w:r>
      <w:proofErr w:type="spellEnd"/>
      <w:r>
        <w:rPr>
          <w:sz w:val="20"/>
          <w:szCs w:val="20"/>
          <w:rtl/>
        </w:rPr>
        <w:t xml:space="preserve"> ויינברג מחוץ </w:t>
      </w:r>
      <w:proofErr w:type="spellStart"/>
      <w:r>
        <w:rPr>
          <w:sz w:val="20"/>
          <w:szCs w:val="20"/>
          <w:rtl/>
        </w:rPr>
        <w:t>לסלבודקה</w:t>
      </w:r>
      <w:proofErr w:type="spellEnd"/>
      <w:r>
        <w:rPr>
          <w:sz w:val="20"/>
          <w:szCs w:val="20"/>
          <w:rtl/>
        </w:rPr>
        <w:t xml:space="preserve">, </w:t>
      </w:r>
      <w:proofErr w:type="spellStart"/>
      <w:r>
        <w:rPr>
          <w:sz w:val="20"/>
          <w:szCs w:val="20"/>
          <w:rtl/>
        </w:rPr>
        <w:t>במיר</w:t>
      </w:r>
      <w:proofErr w:type="spellEnd"/>
      <w:r>
        <w:rPr>
          <w:sz w:val="20"/>
          <w:szCs w:val="20"/>
          <w:rtl/>
        </w:rPr>
        <w:t xml:space="preserve">. קידומו של ר׳ אייזיק לר״מ היה </w:t>
      </w:r>
      <w:proofErr w:type="spellStart"/>
      <w:r>
        <w:rPr>
          <w:sz w:val="20"/>
          <w:szCs w:val="20"/>
          <w:rtl/>
        </w:rPr>
        <w:t>בתרע״ב</w:t>
      </w:r>
      <w:proofErr w:type="spellEnd"/>
      <w:r>
        <w:rPr>
          <w:sz w:val="20"/>
          <w:szCs w:val="20"/>
          <w:rtl/>
        </w:rPr>
        <w:t xml:space="preserve">, ומינויו של ר׳ משה לר״מ היה </w:t>
      </w:r>
      <w:proofErr w:type="spellStart"/>
      <w:r>
        <w:rPr>
          <w:sz w:val="20"/>
          <w:szCs w:val="20"/>
          <w:rtl/>
        </w:rPr>
        <w:t>בתרע״ג</w:t>
      </w:r>
      <w:proofErr w:type="spellEnd"/>
      <w:r>
        <w:rPr>
          <w:sz w:val="20"/>
          <w:szCs w:val="20"/>
          <w:rtl/>
        </w:rPr>
        <w:t xml:space="preserve">, לפי ספר הזיכרון לסבא </w:t>
      </w:r>
      <w:proofErr w:type="spellStart"/>
      <w:r>
        <w:rPr>
          <w:sz w:val="20"/>
          <w:szCs w:val="20"/>
          <w:rtl/>
        </w:rPr>
        <w:t>מסלבודקה</w:t>
      </w:r>
      <w:proofErr w:type="spellEnd"/>
      <w:r>
        <w:rPr>
          <w:sz w:val="20"/>
          <w:szCs w:val="20"/>
          <w:rtl/>
        </w:rPr>
        <w:t xml:space="preserve"> שערך ר׳ </w:t>
      </w:r>
      <w:proofErr w:type="spellStart"/>
      <w:r>
        <w:rPr>
          <w:sz w:val="20"/>
          <w:szCs w:val="20"/>
          <w:rtl/>
        </w:rPr>
        <w:t>ישראל־זיסל</w:t>
      </w:r>
      <w:proofErr w:type="spellEnd"/>
      <w:r>
        <w:rPr>
          <w:sz w:val="20"/>
          <w:szCs w:val="20"/>
          <w:rtl/>
        </w:rPr>
        <w:t xml:space="preserve"> </w:t>
      </w:r>
      <w:proofErr w:type="spellStart"/>
      <w:r>
        <w:rPr>
          <w:sz w:val="20"/>
          <w:szCs w:val="20"/>
          <w:rtl/>
        </w:rPr>
        <w:t>דבורץ</w:t>
      </w:r>
      <w:proofErr w:type="spellEnd"/>
      <w:r>
        <w:rPr>
          <w:sz w:val="20"/>
          <w:szCs w:val="20"/>
          <w:rtl/>
        </w:rPr>
        <w:t xml:space="preserve">, עמ׳ </w:t>
      </w:r>
      <w:proofErr w:type="spellStart"/>
      <w:r>
        <w:rPr>
          <w:sz w:val="20"/>
          <w:szCs w:val="20"/>
          <w:rtl/>
        </w:rPr>
        <w:t>יט</w:t>
      </w:r>
      <w:proofErr w:type="spellEnd"/>
      <w:r>
        <w:rPr>
          <w:sz w:val="20"/>
          <w:szCs w:val="20"/>
          <w:rtl/>
        </w:rPr>
        <w:t>.</w:t>
      </w:r>
    </w:p>
    <w:p w14:paraId="5E1CEAC6" w14:textId="77777777" w:rsidR="00AB3647" w:rsidRDefault="00000000">
      <w:pPr>
        <w:spacing w:after="0" w:before="0"/>
        <w:jc w:val="both"/>
      </w:pPr>
      <w:r>
        <w:rPr>
          <w:sz w:val="20"/>
          <w:szCs w:val="20"/>
          <w:rtl/>
        </w:rPr>
        <w:t xml:space="preserve">ייתכן שר׳ </w:t>
      </w:r>
      <w:proofErr w:type="spellStart"/>
      <w:r>
        <w:rPr>
          <w:sz w:val="20"/>
          <w:szCs w:val="20"/>
          <w:rtl/>
        </w:rPr>
        <w:t>יחיאל־יעקב</w:t>
      </w:r>
      <w:proofErr w:type="spellEnd"/>
      <w:r>
        <w:rPr>
          <w:sz w:val="20"/>
          <w:szCs w:val="20"/>
          <w:rtl/>
        </w:rPr>
        <w:t xml:space="preserve"> ויינברג השמיע את מחאתו כשהובא </w:t>
      </w:r>
      <w:proofErr w:type="spellStart"/>
      <w:r>
        <w:rPr>
          <w:sz w:val="20"/>
          <w:szCs w:val="20"/>
          <w:rtl/>
        </w:rPr>
        <w:t>לסלבודקה</w:t>
      </w:r>
      <w:proofErr w:type="spellEnd"/>
      <w:r>
        <w:rPr>
          <w:sz w:val="20"/>
          <w:szCs w:val="20"/>
          <w:rtl/>
        </w:rPr>
        <w:t xml:space="preserve">, כבר בהיותו רבה של </w:t>
      </w:r>
      <w:proofErr w:type="spellStart"/>
      <w:r>
        <w:rPr>
          <w:sz w:val="20"/>
          <w:szCs w:val="20"/>
          <w:rtl/>
        </w:rPr>
        <w:t>פילווישוק</w:t>
      </w:r>
      <w:proofErr w:type="spellEnd"/>
      <w:r>
        <w:rPr>
          <w:sz w:val="20"/>
          <w:szCs w:val="20"/>
          <w:rtl/>
        </w:rPr>
        <w:t xml:space="preserve">, כדי להצטרף לסבא בביקור </w:t>
      </w:r>
      <w:proofErr w:type="spellStart"/>
      <w:r>
        <w:rPr>
          <w:sz w:val="20"/>
          <w:szCs w:val="20"/>
          <w:rtl/>
        </w:rPr>
        <w:t>בקלם</w:t>
      </w:r>
      <w:proofErr w:type="spellEnd"/>
      <w:r>
        <w:rPr>
          <w:sz w:val="20"/>
          <w:szCs w:val="20"/>
          <w:rtl/>
        </w:rPr>
        <w:t xml:space="preserve"> </w:t>
      </w:r>
      <w:proofErr w:type="spellStart"/>
      <w:r>
        <w:rPr>
          <w:sz w:val="20"/>
          <w:szCs w:val="20"/>
          <w:rtl/>
        </w:rPr>
        <w:t>בתרע״ב</w:t>
      </w:r>
      <w:proofErr w:type="spellEnd"/>
      <w:r>
        <w:rPr>
          <w:sz w:val="20"/>
          <w:szCs w:val="20"/>
          <w:rtl/>
        </w:rPr>
        <w:t xml:space="preserve">, להציע שידוך </w:t>
      </w:r>
      <w:proofErr w:type="spellStart"/>
      <w:r>
        <w:rPr>
          <w:sz w:val="20"/>
          <w:szCs w:val="20"/>
          <w:rtl/>
        </w:rPr>
        <w:t>לר</w:t>
      </w:r>
      <w:proofErr w:type="spellEnd"/>
      <w:r>
        <w:rPr>
          <w:sz w:val="20"/>
          <w:szCs w:val="20"/>
          <w:rtl/>
        </w:rPr>
        <w:t xml:space="preserve">׳ משה </w:t>
      </w:r>
      <w:proofErr w:type="spellStart"/>
      <w:r>
        <w:rPr>
          <w:sz w:val="20"/>
          <w:szCs w:val="20"/>
          <w:rtl/>
        </w:rPr>
        <w:t>פינקל</w:t>
      </w:r>
      <w:proofErr w:type="spellEnd"/>
      <w:r>
        <w:rPr>
          <w:sz w:val="20"/>
          <w:szCs w:val="20"/>
          <w:rtl/>
        </w:rPr>
        <w:t xml:space="preserve"> (ראה פרק 3, הפסקה השנייה בנספח ד). אפשר שהסבא סיפר אז </w:t>
      </w:r>
      <w:proofErr w:type="spellStart"/>
      <w:r>
        <w:rPr>
          <w:sz w:val="20"/>
          <w:szCs w:val="20"/>
          <w:rtl/>
        </w:rPr>
        <w:t>לר</w:t>
      </w:r>
      <w:proofErr w:type="spellEnd"/>
      <w:r>
        <w:rPr>
          <w:sz w:val="20"/>
          <w:szCs w:val="20"/>
          <w:rtl/>
        </w:rPr>
        <w:t xml:space="preserve">׳ </w:t>
      </w:r>
      <w:proofErr w:type="spellStart"/>
      <w:r>
        <w:rPr>
          <w:sz w:val="20"/>
          <w:szCs w:val="20"/>
          <w:rtl/>
        </w:rPr>
        <w:t>יחיאל־יעקב</w:t>
      </w:r>
      <w:proofErr w:type="spellEnd"/>
      <w:r>
        <w:rPr>
          <w:sz w:val="20"/>
          <w:szCs w:val="20"/>
          <w:rtl/>
        </w:rPr>
        <w:t xml:space="preserve"> על תוכניותיו </w:t>
      </w:r>
      <w:proofErr w:type="spellStart"/>
      <w:r>
        <w:rPr>
          <w:sz w:val="20"/>
          <w:szCs w:val="20"/>
          <w:rtl/>
        </w:rPr>
        <w:t>לר</w:t>
      </w:r>
      <w:proofErr w:type="spellEnd"/>
      <w:r>
        <w:rPr>
          <w:sz w:val="20"/>
          <w:szCs w:val="20"/>
          <w:rtl/>
        </w:rPr>
        <w:t>׳ משה, כדי שיוכל למסור את המידע למשפחת הכלה המיועדת. ראה גם להלן: הדיון בעניין החל כשהסבא הזכיר את מינוי הקרובים בהנהלת התלמוד תורה של קלם.</w:t>
      </w:r>
    </w:p>
  </w:footnote>
  <w:footnote w:id="3685">
    <w:p w14:paraId="1667A13F" w14:textId="77777777" w:rsidR="00AB3647" w:rsidRDefault="00000000">
      <w:pPr>
        <w:spacing w:after="0" w:before="0"/>
        <w:jc w:val="both"/>
      </w:pPr>
      <w:r>
        <w:rPr>
          <w:sz w:val="20"/>
          <w:szCs w:val="20"/>
          <w:rtl/>
        </w:rPr>
        <w:footnoteRef/>
      </w:r>
      <w:r>
        <w:rPr>
          <w:sz w:val="20"/>
          <w:szCs w:val="20"/>
          <w:rtl/>
        </w:rPr>
        <w:t xml:space="preserve">. ראה פרק 3, הפסקה השנייה של נספח ד: מקורי למכתבים הללו הוא ר׳ </w:t>
      </w:r>
      <w:proofErr w:type="spellStart"/>
      <w:r>
        <w:rPr>
          <w:sz w:val="20"/>
          <w:szCs w:val="20"/>
          <w:rtl/>
        </w:rPr>
        <w:t>שמואל־חיים</w:t>
      </w:r>
      <w:proofErr w:type="spellEnd"/>
      <w:r>
        <w:rPr>
          <w:sz w:val="20"/>
          <w:szCs w:val="20"/>
          <w:rtl/>
        </w:rPr>
        <w:t xml:space="preserve"> דומב.</w:t>
      </w:r>
    </w:p>
  </w:footnote>
  <w:footnote w:id="3686">
    <w:p w14:paraId="20A1B645" w14:textId="77777777" w:rsidR="00AB3647" w:rsidRDefault="00000000">
      <w:pPr>
        <w:spacing w:after="0" w:before="0"/>
        <w:jc w:val="both"/>
      </w:pPr>
      <w:r>
        <w:rPr>
          <w:sz w:val="20"/>
          <w:szCs w:val="20"/>
          <w:rtl/>
        </w:rPr>
        <w:footnoteRef/>
      </w:r>
      <w:r>
        <w:rPr>
          <w:sz w:val="20"/>
          <w:szCs w:val="20"/>
          <w:rtl/>
        </w:rPr>
        <w:t xml:space="preserve">. לפי כץ, שם, שאל המוחה את הסבא “למה נהג כך, ולא כדרך שנהגו רבי המוסר האחרים הגדולים ר׳ ישראל </w:t>
      </w:r>
      <w:proofErr w:type="spellStart"/>
      <w:r>
        <w:rPr>
          <w:sz w:val="20"/>
          <w:szCs w:val="20"/>
          <w:rtl/>
        </w:rPr>
        <w:t>ורש״ז</w:t>
      </w:r>
      <w:proofErr w:type="spellEnd"/>
      <w:r>
        <w:rPr>
          <w:sz w:val="20"/>
          <w:szCs w:val="20"/>
          <w:rtl/>
        </w:rPr>
        <w:t xml:space="preserve">”, שלא בחרו קרובים למינויים. הזכרת הסבא מקלם אינה במקומה, שהרי הוא אכן מסר את הנהגת התלמוד תורה של קלם לקרוביו. למעשה, לפי מכתבו של ר׳ </w:t>
      </w:r>
      <w:proofErr w:type="spellStart"/>
      <w:r>
        <w:rPr>
          <w:sz w:val="20"/>
          <w:szCs w:val="20"/>
          <w:rtl/>
        </w:rPr>
        <w:t>יחיאל־יעקב</w:t>
      </w:r>
      <w:proofErr w:type="spellEnd"/>
      <w:r>
        <w:rPr>
          <w:sz w:val="20"/>
          <w:szCs w:val="20"/>
          <w:rtl/>
        </w:rPr>
        <w:t xml:space="preserve"> ויינברג, אזכור מינוי הקרובים </w:t>
      </w:r>
      <w:proofErr w:type="spellStart"/>
      <w:r>
        <w:rPr>
          <w:sz w:val="20"/>
          <w:szCs w:val="20"/>
          <w:rtl/>
        </w:rPr>
        <w:t>בקלם</w:t>
      </w:r>
      <w:proofErr w:type="spellEnd"/>
      <w:r>
        <w:rPr>
          <w:sz w:val="20"/>
          <w:szCs w:val="20"/>
          <w:rtl/>
        </w:rPr>
        <w:t xml:space="preserve"> בפי הסבא הוא שהביא את ר׳ </w:t>
      </w:r>
      <w:proofErr w:type="spellStart"/>
      <w:r>
        <w:rPr>
          <w:sz w:val="20"/>
          <w:szCs w:val="20"/>
          <w:rtl/>
        </w:rPr>
        <w:t>יחיאל־יעקב</w:t>
      </w:r>
      <w:proofErr w:type="spellEnd"/>
      <w:r>
        <w:rPr>
          <w:sz w:val="20"/>
          <w:szCs w:val="20"/>
          <w:rtl/>
        </w:rPr>
        <w:t xml:space="preserve"> למתוח ביקורת על הסבא </w:t>
      </w:r>
      <w:proofErr w:type="spellStart"/>
      <w:r>
        <w:rPr>
          <w:sz w:val="20"/>
          <w:szCs w:val="20"/>
          <w:rtl/>
        </w:rPr>
        <w:t>מסלבודקה</w:t>
      </w:r>
      <w:proofErr w:type="spellEnd"/>
      <w:r>
        <w:rPr>
          <w:sz w:val="20"/>
          <w:szCs w:val="20"/>
          <w:rtl/>
        </w:rPr>
        <w:t>!</w:t>
      </w:r>
    </w:p>
  </w:footnote>
  <w:footnote w:id="3687">
    <w:p w14:paraId="76DA3A5F" w14:textId="77777777" w:rsidR="00AB3647" w:rsidRDefault="00000000">
      <w:pPr>
        <w:spacing w:after="0" w:before="0"/>
        <w:jc w:val="both"/>
      </w:pPr>
      <w:r>
        <w:rPr>
          <w:sz w:val="20"/>
          <w:szCs w:val="20"/>
          <w:rtl/>
        </w:rPr>
        <w:footnoteRef/>
      </w:r>
      <w:r>
        <w:rPr>
          <w:sz w:val="20"/>
          <w:szCs w:val="20"/>
          <w:rtl/>
        </w:rPr>
        <w:t xml:space="preserve">. ספר הזיכרון לסבא </w:t>
      </w:r>
      <w:proofErr w:type="spellStart"/>
      <w:r>
        <w:rPr>
          <w:sz w:val="20"/>
          <w:szCs w:val="20"/>
          <w:rtl/>
        </w:rPr>
        <w:t>מסלבודקה</w:t>
      </w:r>
      <w:proofErr w:type="spellEnd"/>
      <w:r>
        <w:rPr>
          <w:sz w:val="20"/>
          <w:szCs w:val="20"/>
          <w:rtl/>
        </w:rPr>
        <w:t xml:space="preserve"> שערך ר׳ </w:t>
      </w:r>
      <w:proofErr w:type="spellStart"/>
      <w:r>
        <w:rPr>
          <w:sz w:val="20"/>
          <w:szCs w:val="20"/>
          <w:rtl/>
        </w:rPr>
        <w:t>ישראל־זיסל</w:t>
      </w:r>
      <w:proofErr w:type="spellEnd"/>
      <w:r>
        <w:rPr>
          <w:sz w:val="20"/>
          <w:szCs w:val="20"/>
          <w:rtl/>
        </w:rPr>
        <w:t xml:space="preserve"> </w:t>
      </w:r>
      <w:proofErr w:type="spellStart"/>
      <w:r>
        <w:rPr>
          <w:sz w:val="20"/>
          <w:szCs w:val="20"/>
          <w:rtl/>
        </w:rPr>
        <w:t>דבורץ</w:t>
      </w:r>
      <w:proofErr w:type="spellEnd"/>
      <w:r>
        <w:rPr>
          <w:sz w:val="20"/>
          <w:szCs w:val="20"/>
          <w:rtl/>
        </w:rPr>
        <w:t xml:space="preserve">, עמ׳ </w:t>
      </w:r>
      <w:proofErr w:type="spellStart"/>
      <w:r>
        <w:rPr>
          <w:sz w:val="20"/>
          <w:szCs w:val="20"/>
          <w:rtl/>
        </w:rPr>
        <w:t>יט</w:t>
      </w:r>
      <w:proofErr w:type="spellEnd"/>
      <w:r>
        <w:rPr>
          <w:sz w:val="20"/>
          <w:szCs w:val="20"/>
          <w:rtl/>
        </w:rPr>
        <w:t>–כ.</w:t>
      </w:r>
    </w:p>
  </w:footnote>
  <w:footnote w:id="3688">
    <w:p w14:paraId="2CFE4F64" w14:textId="77777777" w:rsidR="00AB3647" w:rsidRDefault="00000000">
      <w:pPr>
        <w:spacing w:after="0" w:before="0"/>
        <w:jc w:val="both"/>
      </w:pPr>
      <w:r>
        <w:rPr>
          <w:sz w:val="20"/>
          <w:szCs w:val="20"/>
          <w:rtl/>
        </w:rPr>
        <w:footnoteRef/>
      </w:r>
      <w:r>
        <w:rPr>
          <w:sz w:val="20"/>
          <w:szCs w:val="20"/>
          <w:rtl/>
        </w:rPr>
        <w:t>. השווה פרק 3, הערה 63.</w:t>
      </w:r>
    </w:p>
  </w:footnote>
  <w:footnote w:id="3689">
    <w:p w14:paraId="333872FD" w14:textId="77777777" w:rsidR="00AB3647" w:rsidRDefault="00000000">
      <w:pPr>
        <w:spacing w:after="0" w:before="0"/>
        <w:jc w:val="both"/>
      </w:pPr>
      <w:r>
        <w:rPr>
          <w:sz w:val="20"/>
          <w:szCs w:val="20"/>
          <w:rtl/>
        </w:rPr>
        <w:footnoteRef/>
      </w:r>
      <w:r>
        <w:rPr>
          <w:sz w:val="20"/>
          <w:szCs w:val="20"/>
          <w:rtl/>
        </w:rPr>
        <w:t>. פרק 3, נספח ד.</w:t>
      </w:r>
    </w:p>
  </w:footnote>
  <w:footnote w:id="3690">
    <w:p w14:paraId="17A02E94" w14:textId="77777777" w:rsidR="00AB3647" w:rsidRDefault="00000000">
      <w:pPr>
        <w:spacing w:after="0" w:before="0"/>
        <w:jc w:val="both"/>
      </w:pPr>
      <w:r>
        <w:rPr>
          <w:sz w:val="20"/>
          <w:szCs w:val="20"/>
          <w:rtl/>
        </w:rPr>
        <w:footnoteRef/>
      </w:r>
      <w:r>
        <w:rPr>
          <w:sz w:val="20"/>
          <w:szCs w:val="20"/>
          <w:rtl/>
        </w:rPr>
        <w:t xml:space="preserve">. הרבנית </w:t>
      </w:r>
      <w:proofErr w:type="spellStart"/>
      <w:r>
        <w:rPr>
          <w:sz w:val="20"/>
          <w:szCs w:val="20"/>
          <w:rtl/>
        </w:rPr>
        <w:t>שולמן</w:t>
      </w:r>
      <w:proofErr w:type="spellEnd"/>
      <w:r>
        <w:rPr>
          <w:sz w:val="20"/>
          <w:szCs w:val="20"/>
          <w:rtl/>
        </w:rPr>
        <w:t xml:space="preserve"> הוסיפה: “כעבור עשרים שנה” – יש כאן הגזמה קלה, שכן הסבא חי עוד </w:t>
      </w:r>
      <w:proofErr w:type="spellStart"/>
      <w:r>
        <w:rPr>
          <w:sz w:val="20"/>
          <w:szCs w:val="20"/>
          <w:rtl/>
        </w:rPr>
        <w:t>חמש־עשרה</w:t>
      </w:r>
      <w:proofErr w:type="spellEnd"/>
      <w:r>
        <w:rPr>
          <w:sz w:val="20"/>
          <w:szCs w:val="20"/>
          <w:rtl/>
        </w:rPr>
        <w:t xml:space="preserve"> שנה בלבד – “הודה הסבא </w:t>
      </w:r>
      <w:proofErr w:type="spellStart"/>
      <w:r>
        <w:rPr>
          <w:sz w:val="20"/>
          <w:szCs w:val="20"/>
          <w:rtl/>
        </w:rPr>
        <w:t>ש‘לפעמים</w:t>
      </w:r>
      <w:proofErr w:type="spellEnd"/>
      <w:r>
        <w:rPr>
          <w:sz w:val="20"/>
          <w:szCs w:val="20"/>
          <w:rtl/>
        </w:rPr>
        <w:t xml:space="preserve"> ילדים קטנים [</w:t>
      </w:r>
      <w:proofErr w:type="spellStart"/>
      <w:r>
        <w:rPr>
          <w:sz w:val="20"/>
          <w:szCs w:val="20"/>
          <w:rtl/>
        </w:rPr>
        <w:t>קליינע</w:t>
      </w:r>
      <w:proofErr w:type="spellEnd"/>
      <w:r>
        <w:rPr>
          <w:sz w:val="20"/>
          <w:szCs w:val="20"/>
          <w:rtl/>
        </w:rPr>
        <w:t xml:space="preserve"> </w:t>
      </w:r>
      <w:proofErr w:type="spellStart"/>
      <w:r>
        <w:rPr>
          <w:sz w:val="20"/>
          <w:szCs w:val="20"/>
          <w:rtl/>
        </w:rPr>
        <w:t>קינדער</w:t>
      </w:r>
      <w:proofErr w:type="spellEnd"/>
      <w:r>
        <w:rPr>
          <w:sz w:val="20"/>
          <w:szCs w:val="20"/>
          <w:rtl/>
        </w:rPr>
        <w:t>] רואים דברים טוב יותר מאנשים מבוגרים [</w:t>
      </w:r>
      <w:proofErr w:type="spellStart"/>
      <w:r>
        <w:rPr>
          <w:sz w:val="20"/>
          <w:szCs w:val="20"/>
          <w:rtl/>
        </w:rPr>
        <w:t>עלטערע</w:t>
      </w:r>
      <w:proofErr w:type="spellEnd"/>
      <w:r>
        <w:rPr>
          <w:sz w:val="20"/>
          <w:szCs w:val="20"/>
          <w:rtl/>
        </w:rPr>
        <w:t xml:space="preserve"> </w:t>
      </w:r>
      <w:proofErr w:type="spellStart"/>
      <w:r>
        <w:rPr>
          <w:sz w:val="20"/>
          <w:szCs w:val="20"/>
          <w:rtl/>
        </w:rPr>
        <w:t>אידען</w:t>
      </w:r>
      <w:proofErr w:type="spellEnd"/>
      <w:r>
        <w:rPr>
          <w:sz w:val="20"/>
          <w:szCs w:val="20"/>
          <w:rtl/>
        </w:rPr>
        <w:t xml:space="preserve">]’, ושבנו אכן צדיק גדול יותר מתלמידו”. ראה יבמות </w:t>
      </w:r>
      <w:proofErr w:type="spellStart"/>
      <w:r>
        <w:rPr>
          <w:sz w:val="20"/>
          <w:szCs w:val="20"/>
          <w:rtl/>
        </w:rPr>
        <w:t>סג</w:t>
      </w:r>
      <w:proofErr w:type="spellEnd"/>
      <w:r>
        <w:rPr>
          <w:sz w:val="20"/>
          <w:szCs w:val="20"/>
          <w:rtl/>
        </w:rPr>
        <w:t xml:space="preserve"> סוף ע״א, “</w:t>
      </w:r>
      <w:proofErr w:type="spellStart"/>
      <w:r>
        <w:rPr>
          <w:sz w:val="20"/>
          <w:szCs w:val="20"/>
          <w:rtl/>
        </w:rPr>
        <w:t>דאמרי</w:t>
      </w:r>
      <w:proofErr w:type="spellEnd"/>
      <w:r>
        <w:rPr>
          <w:sz w:val="20"/>
          <w:szCs w:val="20"/>
          <w:rtl/>
        </w:rPr>
        <w:t xml:space="preserve"> </w:t>
      </w:r>
      <w:proofErr w:type="spellStart"/>
      <w:r>
        <w:rPr>
          <w:sz w:val="20"/>
          <w:szCs w:val="20"/>
          <w:rtl/>
        </w:rPr>
        <w:t>אינשי</w:t>
      </w:r>
      <w:proofErr w:type="spellEnd"/>
      <w:r>
        <w:rPr>
          <w:sz w:val="20"/>
          <w:szCs w:val="20"/>
          <w:rtl/>
        </w:rPr>
        <w:t xml:space="preserve">” וגו’, ועיין שם ברש״י ד״ה “טעמא </w:t>
      </w:r>
      <w:proofErr w:type="spellStart"/>
      <w:r>
        <w:rPr>
          <w:sz w:val="20"/>
          <w:szCs w:val="20"/>
          <w:rtl/>
        </w:rPr>
        <w:t>מלפך</w:t>
      </w:r>
      <w:proofErr w:type="spellEnd"/>
      <w:r>
        <w:rPr>
          <w:sz w:val="20"/>
          <w:szCs w:val="20"/>
          <w:rtl/>
        </w:rPr>
        <w:t>”.</w:t>
      </w:r>
    </w:p>
  </w:footnote>
  <w:footnote w:id="3691">
    <w:p w14:paraId="77278EFF" w14:textId="77777777" w:rsidR="00AB3647" w:rsidRDefault="00000000">
      <w:pPr>
        <w:spacing w:after="0" w:before="0"/>
        <w:jc w:val="both"/>
      </w:pPr>
      <w:r>
        <w:rPr>
          <w:sz w:val="20"/>
          <w:szCs w:val="20"/>
          <w:rtl/>
        </w:rPr>
        <w:footnoteRef/>
      </w:r>
      <w:r>
        <w:rPr>
          <w:sz w:val="20"/>
          <w:szCs w:val="20"/>
          <w:rtl/>
        </w:rPr>
        <w:t>. הוצאת רשת ארצית להאדרת התודעה היהודית, ירושלים; פרשת ואתחנן תשנ״ג.</w:t>
      </w:r>
    </w:p>
  </w:footnote>
  <w:footnote w:id="3692">
    <w:p w14:paraId="43A5C56C" w14:textId="77777777" w:rsidR="00AB3647" w:rsidRDefault="00000000">
      <w:pPr>
        <w:spacing w:after="0" w:before="0"/>
        <w:jc w:val="both"/>
      </w:pPr>
      <w:r>
        <w:rPr>
          <w:sz w:val="20"/>
          <w:szCs w:val="20"/>
          <w:rtl/>
        </w:rPr>
        <w:footnoteRef/>
      </w:r>
      <w:r>
        <w:rPr>
          <w:sz w:val="20"/>
          <w:szCs w:val="20"/>
          <w:rtl/>
        </w:rPr>
        <w:t xml:space="preserve">. ספר הזיכרון לסבא </w:t>
      </w:r>
      <w:proofErr w:type="spellStart"/>
      <w:r>
        <w:rPr>
          <w:sz w:val="20"/>
          <w:szCs w:val="20"/>
          <w:rtl/>
        </w:rPr>
        <w:t>מסלבודקה</w:t>
      </w:r>
      <w:proofErr w:type="spellEnd"/>
      <w:r>
        <w:rPr>
          <w:sz w:val="20"/>
          <w:szCs w:val="20"/>
          <w:rtl/>
        </w:rPr>
        <w:t xml:space="preserve"> שערך ר׳ </w:t>
      </w:r>
      <w:proofErr w:type="spellStart"/>
      <w:r>
        <w:rPr>
          <w:sz w:val="20"/>
          <w:szCs w:val="20"/>
          <w:rtl/>
        </w:rPr>
        <w:t>ישראל־זיסל</w:t>
      </w:r>
      <w:proofErr w:type="spellEnd"/>
      <w:r>
        <w:rPr>
          <w:sz w:val="20"/>
          <w:szCs w:val="20"/>
          <w:rtl/>
        </w:rPr>
        <w:t xml:space="preserve"> </w:t>
      </w:r>
      <w:proofErr w:type="spellStart"/>
      <w:r>
        <w:rPr>
          <w:sz w:val="20"/>
          <w:szCs w:val="20"/>
          <w:rtl/>
        </w:rPr>
        <w:t>דבורץ</w:t>
      </w:r>
      <w:proofErr w:type="spellEnd"/>
      <w:r>
        <w:rPr>
          <w:sz w:val="20"/>
          <w:szCs w:val="20"/>
          <w:rtl/>
        </w:rPr>
        <w:t xml:space="preserve">, עמ׳ </w:t>
      </w:r>
      <w:proofErr w:type="spellStart"/>
      <w:r>
        <w:rPr>
          <w:sz w:val="20"/>
          <w:szCs w:val="20"/>
          <w:rtl/>
        </w:rPr>
        <w:t>מב</w:t>
      </w:r>
      <w:proofErr w:type="spellEnd"/>
      <w:r>
        <w:rPr>
          <w:sz w:val="20"/>
          <w:szCs w:val="20"/>
          <w:rtl/>
        </w:rPr>
        <w:t>, במאמר מאת דן בן יעקב.</w:t>
      </w:r>
    </w:p>
  </w:footnote>
  <w:footnote w:id="3693">
    <w:p w14:paraId="49939295" w14:textId="77777777" w:rsidR="00AB3647" w:rsidRDefault="00000000">
      <w:pPr>
        <w:spacing w:after="0" w:before="0"/>
        <w:jc w:val="both"/>
      </w:pPr>
      <w:r>
        <w:rPr>
          <w:sz w:val="20"/>
          <w:szCs w:val="20"/>
          <w:rtl/>
        </w:rPr>
        <w:footnoteRef/>
      </w:r>
      <w:r>
        <w:rPr>
          <w:sz w:val="20"/>
          <w:szCs w:val="20"/>
          <w:rtl/>
        </w:rPr>
        <w:t>. עמ׳ 211.</w:t>
      </w:r>
    </w:p>
  </w:footnote>
  <w:footnote w:id="3694">
    <w:p w14:paraId="3D6B2982" w14:textId="77777777" w:rsidR="00AB3647" w:rsidRDefault="00000000">
      <w:pPr>
        <w:spacing w:after="0" w:before="0"/>
        <w:jc w:val="both"/>
      </w:pPr>
      <w:r>
        <w:rPr>
          <w:sz w:val="20"/>
          <w:szCs w:val="20"/>
          <w:rtl/>
        </w:rPr>
        <w:footnoteRef/>
      </w:r>
      <w:r>
        <w:rPr>
          <w:sz w:val="20"/>
          <w:szCs w:val="20"/>
          <w:rtl/>
        </w:rPr>
        <w:t>. הערה 20 לעיל – עמ׳ שכד.</w:t>
      </w:r>
    </w:p>
  </w:footnote>
  <w:footnote w:id="3695">
    <w:p w14:paraId="53242FBA" w14:textId="77777777" w:rsidR="00AB3647" w:rsidRDefault="00000000">
      <w:pPr>
        <w:spacing w:after="0" w:before="0"/>
        <w:jc w:val="both"/>
      </w:pPr>
      <w:r>
        <w:rPr>
          <w:sz w:val="20"/>
          <w:szCs w:val="20"/>
          <w:rtl/>
        </w:rPr>
        <w:footnoteRef/>
      </w:r>
      <w:r>
        <w:rPr>
          <w:sz w:val="20"/>
          <w:szCs w:val="20"/>
          <w:rtl/>
        </w:rPr>
        <w:t>. אבל השווה גם סוף הערה 127 לעיל.</w:t>
      </w:r>
    </w:p>
  </w:footnote>
  <w:footnote w:id="3696">
    <w:p w14:paraId="2E47C1B2" w14:textId="77777777" w:rsidR="00AB3647" w:rsidRDefault="00000000">
      <w:pPr>
        <w:spacing w:after="0" w:before="0"/>
        <w:jc w:val="both"/>
      </w:pPr>
      <w:r>
        <w:rPr>
          <w:sz w:val="20"/>
          <w:szCs w:val="20"/>
          <w:rtl/>
        </w:rPr>
        <w:footnoteRef/>
      </w:r>
      <w:r>
        <w:rPr>
          <w:sz w:val="20"/>
          <w:szCs w:val="20"/>
          <w:rtl/>
        </w:rPr>
        <w:t xml:space="preserve">. הציטוט מתוך “הדואר”, גיליון י״ד בשבט תשכ״ו, עמ׳ 235, במאמר הספד מאת ה. ל. גורדון שכותרתו “אחרי </w:t>
      </w:r>
      <w:proofErr w:type="spellStart"/>
      <w:r>
        <w:rPr>
          <w:sz w:val="20"/>
          <w:szCs w:val="20"/>
          <w:rtl/>
        </w:rPr>
        <w:t>מטתו</w:t>
      </w:r>
      <w:proofErr w:type="spellEnd"/>
      <w:r>
        <w:rPr>
          <w:sz w:val="20"/>
          <w:szCs w:val="20"/>
          <w:rtl/>
        </w:rPr>
        <w:t xml:space="preserve"> של הרב יחיאל יעקב וינברג ז״ל”.</w:t>
      </w:r>
    </w:p>
  </w:footnote>
  <w:footnote w:id="3697">
    <w:p w14:paraId="11DE9C50" w14:textId="77777777" w:rsidR="00AB3647" w:rsidRDefault="00000000">
      <w:pPr>
        <w:spacing w:after="0" w:before="0"/>
        <w:jc w:val="both"/>
      </w:pPr>
      <w:r>
        <w:rPr>
          <w:sz w:val="20"/>
          <w:szCs w:val="20"/>
          <w:rtl/>
        </w:rPr>
        <w:footnoteRef/>
      </w:r>
      <w:r>
        <w:rPr>
          <w:sz w:val="20"/>
          <w:szCs w:val="20"/>
          <w:rtl/>
        </w:rPr>
        <w:t xml:space="preserve">. גיליון י״ב באדר תשכ״ו, עמ׳ 284. הכותב הוא צבי </w:t>
      </w:r>
      <w:proofErr w:type="spellStart"/>
      <w:r>
        <w:rPr>
          <w:sz w:val="20"/>
          <w:szCs w:val="20"/>
          <w:rtl/>
        </w:rPr>
        <w:t>מתיפון</w:t>
      </w:r>
      <w:proofErr w:type="spellEnd"/>
      <w:r>
        <w:rPr>
          <w:sz w:val="20"/>
          <w:szCs w:val="20"/>
          <w:rtl/>
        </w:rPr>
        <w:t xml:space="preserve"> וכותרת המאמר “הטרגדיה של אדם גדול”.</w:t>
      </w:r>
    </w:p>
  </w:footnote>
  <w:footnote w:id="3698">
    <w:p w14:paraId="241F69F4" w14:textId="77777777" w:rsidR="00AB3647" w:rsidRDefault="00000000">
      <w:pPr>
        <w:spacing w:after="0" w:before="0"/>
        <w:jc w:val="both"/>
      </w:pPr>
      <w:r>
        <w:rPr>
          <w:sz w:val="20"/>
          <w:szCs w:val="20"/>
          <w:rtl/>
        </w:rPr>
        <w:footnoteRef/>
      </w:r>
      <w:r>
        <w:rPr>
          <w:sz w:val="20"/>
          <w:szCs w:val="20"/>
          <w:rtl/>
        </w:rPr>
        <w:t>. ריאיון מיום 21 במרס 1991.</w:t>
      </w:r>
    </w:p>
  </w:footnote>
  <w:footnote w:id="3699">
    <w:p w14:paraId="643074A7" w14:textId="77777777" w:rsidR="00AB3647" w:rsidRDefault="00000000">
      <w:pPr>
        <w:spacing w:after="0" w:before="0"/>
        <w:jc w:val="both"/>
      </w:pPr>
      <w:r>
        <w:rPr>
          <w:sz w:val="20"/>
          <w:szCs w:val="20"/>
          <w:rtl/>
        </w:rPr>
        <w:footnoteRef/>
      </w:r>
      <w:r>
        <w:rPr>
          <w:sz w:val="20"/>
          <w:szCs w:val="20"/>
          <w:rtl/>
        </w:rPr>
        <w:t xml:space="preserve">. מובא </w:t>
      </w:r>
      <w:proofErr w:type="spellStart"/>
      <w:r>
        <w:rPr>
          <w:sz w:val="20"/>
          <w:szCs w:val="20"/>
          <w:rtl/>
        </w:rPr>
        <w:t>בתוספתא</w:t>
      </w:r>
      <w:proofErr w:type="spellEnd"/>
      <w:r>
        <w:rPr>
          <w:sz w:val="20"/>
          <w:szCs w:val="20"/>
          <w:rtl/>
        </w:rPr>
        <w:t xml:space="preserve"> ברכות פרק ו, </w:t>
      </w:r>
      <w:proofErr w:type="spellStart"/>
      <w:r>
        <w:rPr>
          <w:sz w:val="20"/>
          <w:szCs w:val="20"/>
          <w:rtl/>
        </w:rPr>
        <w:t>כג</w:t>
      </w:r>
      <w:proofErr w:type="spellEnd"/>
      <w:r>
        <w:rPr>
          <w:sz w:val="20"/>
          <w:szCs w:val="20"/>
          <w:rtl/>
        </w:rPr>
        <w:t>; ועיין שם.</w:t>
      </w:r>
    </w:p>
  </w:footnote>
  <w:footnote w:id="3700">
    <w:p w14:paraId="31F821A8" w14:textId="77777777" w:rsidR="00AB3647" w:rsidRDefault="00000000">
      <w:pPr>
        <w:spacing w:after="0" w:before="0"/>
        <w:jc w:val="both"/>
      </w:pPr>
      <w:r>
        <w:rPr>
          <w:sz w:val="20"/>
          <w:szCs w:val="20"/>
          <w:rtl/>
        </w:rPr>
        <w:footnoteRef/>
      </w:r>
      <w:r>
        <w:rPr>
          <w:sz w:val="20"/>
          <w:szCs w:val="20"/>
          <w:rtl/>
        </w:rPr>
        <w:t xml:space="preserve">. בכתב העת “תורה ומדע”, כרך שביעי, 1997 (ישיבה </w:t>
      </w:r>
      <w:proofErr w:type="spellStart"/>
      <w:r>
        <w:rPr>
          <w:sz w:val="20"/>
          <w:szCs w:val="20"/>
          <w:rtl/>
        </w:rPr>
        <w:t>יוניברסיטי</w:t>
      </w:r>
      <w:proofErr w:type="spellEnd"/>
      <w:r>
        <w:rPr>
          <w:sz w:val="20"/>
          <w:szCs w:val="20"/>
          <w:rtl/>
        </w:rPr>
        <w:t xml:space="preserve">), עמ׳ 111, במאמר שכותרתו “חכמים וידידים: הרב יחיאל יעקב ויינברג ופרופסור שמואל אטלס”. הכותב, מרק ב. שפירא, מתרגם מכתבים מאת ר׳ </w:t>
      </w:r>
      <w:proofErr w:type="spellStart"/>
      <w:r>
        <w:rPr>
          <w:sz w:val="20"/>
          <w:szCs w:val="20"/>
          <w:rtl/>
        </w:rPr>
        <w:t>יחיאל־יעקב</w:t>
      </w:r>
      <w:proofErr w:type="spellEnd"/>
      <w:r>
        <w:rPr>
          <w:sz w:val="20"/>
          <w:szCs w:val="20"/>
          <w:rtl/>
        </w:rPr>
        <w:t xml:space="preserve"> ויינברג.</w:t>
      </w:r>
    </w:p>
  </w:footnote>
  <w:footnote w:id="3701">
    <w:p w14:paraId="172FEE98" w14:textId="77777777" w:rsidR="00AB3647" w:rsidRDefault="00000000">
      <w:pPr>
        <w:spacing w:after="0" w:before="0"/>
        <w:jc w:val="both"/>
      </w:pPr>
      <w:r>
        <w:rPr>
          <w:sz w:val="20"/>
          <w:szCs w:val="20"/>
          <w:rtl/>
        </w:rPr>
        <w:footnoteRef/>
      </w:r>
      <w:r>
        <w:rPr>
          <w:sz w:val="20"/>
          <w:szCs w:val="20"/>
          <w:rtl/>
        </w:rPr>
        <w:t>. ריאיון מיום 28 באוגוסט 1997.</w:t>
      </w:r>
    </w:p>
  </w:footnote>
  <w:footnote w:id="3702">
    <w:p w14:paraId="24E0F86A" w14:textId="77777777" w:rsidR="00AB3647" w:rsidRDefault="00000000">
      <w:pPr>
        <w:spacing w:after="0" w:before="0"/>
        <w:jc w:val="both"/>
      </w:pPr>
      <w:r>
        <w:rPr>
          <w:sz w:val="20"/>
          <w:szCs w:val="20"/>
          <w:rtl/>
        </w:rPr>
        <w:footnoteRef/>
      </w:r>
      <w:r>
        <w:rPr>
          <w:sz w:val="20"/>
          <w:szCs w:val="20"/>
          <w:rtl/>
        </w:rPr>
        <w:t>. נספח ג לעיל.</w:t>
      </w:r>
    </w:p>
  </w:footnote>
  <w:footnote w:id="3703">
    <w:p w14:paraId="65A6C103" w14:textId="77777777" w:rsidR="00AB3647" w:rsidRDefault="00000000">
      <w:pPr>
        <w:spacing w:after="0" w:before="0"/>
        <w:jc w:val="both"/>
      </w:pPr>
      <w:r>
        <w:rPr>
          <w:sz w:val="20"/>
          <w:szCs w:val="20"/>
          <w:rtl/>
        </w:rPr>
        <w:footnoteRef/>
      </w:r>
      <w:r>
        <w:rPr>
          <w:sz w:val="20"/>
          <w:szCs w:val="20"/>
          <w:rtl/>
        </w:rPr>
        <w:t>. הוצאת מסורה בשיתוף אגודת ישראל באמריקה, ברוקלין, 1980 – עמ׳ 102.</w:t>
      </w:r>
    </w:p>
  </w:footnote>
  <w:footnote w:id="3704">
    <w:p w14:paraId="49478D5F" w14:textId="77777777" w:rsidR="00AB3647" w:rsidRDefault="00000000">
      <w:pPr>
        <w:spacing w:after="0" w:before="0"/>
        <w:jc w:val="both"/>
      </w:pPr>
      <w:r>
        <w:rPr>
          <w:sz w:val="20"/>
          <w:szCs w:val="20"/>
          <w:rtl/>
        </w:rPr>
        <w:footnoteRef/>
      </w:r>
      <w:r>
        <w:rPr>
          <w:sz w:val="20"/>
          <w:szCs w:val="20"/>
          <w:rtl/>
        </w:rPr>
        <w:t>. השווה כרך 3, על כך שאבי לימד זכות על ניצולי שואה שנהגו שלא כראוי מבחינה דתית.</w:t>
      </w:r>
    </w:p>
  </w:footnote>
  <w:footnote w:id="3705">
    <w:p w14:paraId="590743F6" w14:textId="77777777" w:rsidR="00AB3647" w:rsidRDefault="00000000">
      <w:pPr>
        <w:spacing w:after="0" w:before="0"/>
        <w:jc w:val="both"/>
      </w:pPr>
      <w:r>
        <w:rPr>
          <w:sz w:val="20"/>
          <w:szCs w:val="20"/>
          <w:rtl/>
        </w:rPr>
        <w:footnoteRef/>
      </w:r>
      <w:r>
        <w:rPr>
          <w:sz w:val="20"/>
          <w:szCs w:val="20"/>
          <w:rtl/>
        </w:rPr>
        <w:t>. עמ׳ 118.</w:t>
      </w:r>
    </w:p>
  </w:footnote>
  <w:footnote w:id="3706">
    <w:p w14:paraId="06C71507" w14:textId="77777777" w:rsidR="00AB3647" w:rsidRDefault="00000000">
      <w:pPr>
        <w:spacing w:after="0" w:before="0"/>
        <w:jc w:val="both"/>
      </w:pPr>
      <w:r>
        <w:rPr>
          <w:sz w:val="20"/>
          <w:szCs w:val="20"/>
          <w:rtl/>
        </w:rPr>
        <w:footnoteRef/>
      </w:r>
      <w:r>
        <w:rPr>
          <w:sz w:val="20"/>
          <w:szCs w:val="20"/>
          <w:rtl/>
        </w:rPr>
        <w:t>. עמ׳ 112 ו־115.</w:t>
      </w:r>
    </w:p>
  </w:footnote>
  <w:footnote w:id="3707">
    <w:p w14:paraId="1E7E6D29" w14:textId="77777777" w:rsidR="00AB3647" w:rsidRDefault="00000000">
      <w:pPr>
        <w:spacing w:after="0" w:before="0"/>
        <w:jc w:val="both"/>
      </w:pPr>
      <w:r>
        <w:rPr>
          <w:sz w:val="20"/>
          <w:szCs w:val="20"/>
          <w:rtl/>
        </w:rPr>
        <w:footnoteRef/>
      </w:r>
      <w:r>
        <w:rPr>
          <w:sz w:val="20"/>
          <w:szCs w:val="20"/>
          <w:rtl/>
        </w:rPr>
        <w:t xml:space="preserve">. השווה גם “פניני רבנו </w:t>
      </w:r>
      <w:proofErr w:type="spellStart"/>
      <w:r>
        <w:rPr>
          <w:sz w:val="20"/>
          <w:szCs w:val="20"/>
          <w:rtl/>
        </w:rPr>
        <w:t>הגרי״ז</w:t>
      </w:r>
      <w:proofErr w:type="spellEnd"/>
      <w:r>
        <w:rPr>
          <w:sz w:val="20"/>
          <w:szCs w:val="20"/>
          <w:rtl/>
        </w:rPr>
        <w:t xml:space="preserve">” מאת משה מרדכי הלוי </w:t>
      </w:r>
      <w:proofErr w:type="spellStart"/>
      <w:r>
        <w:rPr>
          <w:sz w:val="20"/>
          <w:szCs w:val="20"/>
          <w:rtl/>
        </w:rPr>
        <w:t>שולזינגר</w:t>
      </w:r>
      <w:proofErr w:type="spellEnd"/>
      <w:r>
        <w:rPr>
          <w:sz w:val="20"/>
          <w:szCs w:val="20"/>
          <w:rtl/>
        </w:rPr>
        <w:t xml:space="preserve"> (</w:t>
      </w:r>
      <w:proofErr w:type="spellStart"/>
      <w:r>
        <w:rPr>
          <w:sz w:val="20"/>
          <w:szCs w:val="20"/>
          <w:rtl/>
        </w:rPr>
        <w:t>זכרון</w:t>
      </w:r>
      <w:proofErr w:type="spellEnd"/>
      <w:r>
        <w:rPr>
          <w:sz w:val="20"/>
          <w:szCs w:val="20"/>
          <w:rtl/>
        </w:rPr>
        <w:t xml:space="preserve"> מאיר, תשנ״ב), עמ׳ </w:t>
      </w:r>
      <w:proofErr w:type="spellStart"/>
      <w:r>
        <w:rPr>
          <w:sz w:val="20"/>
          <w:szCs w:val="20"/>
          <w:rtl/>
        </w:rPr>
        <w:t>קז</w:t>
      </w:r>
      <w:proofErr w:type="spellEnd"/>
      <w:r>
        <w:rPr>
          <w:sz w:val="20"/>
          <w:szCs w:val="20"/>
          <w:rtl/>
        </w:rPr>
        <w:t xml:space="preserve">: ניצול שואה אמר שאינו יכול לשאת את מראה הגויים המתהלכים בשלווה וביישוב הדעת, כאילו לא אירע דבר; ור׳ יצחק־זאב </w:t>
      </w:r>
      <w:proofErr w:type="spellStart"/>
      <w:r>
        <w:rPr>
          <w:sz w:val="20"/>
          <w:szCs w:val="20"/>
          <w:rtl/>
        </w:rPr>
        <w:t>סולובייצ׳יק</w:t>
      </w:r>
      <w:proofErr w:type="spellEnd"/>
      <w:r>
        <w:rPr>
          <w:sz w:val="20"/>
          <w:szCs w:val="20"/>
          <w:rtl/>
        </w:rPr>
        <w:t xml:space="preserve"> השיב: “איני רואה כלום”, וקרא את לשון השגת </w:t>
      </w:r>
      <w:proofErr w:type="spellStart"/>
      <w:r>
        <w:rPr>
          <w:sz w:val="20"/>
          <w:szCs w:val="20"/>
          <w:rtl/>
        </w:rPr>
        <w:t>הראב״ד</w:t>
      </w:r>
      <w:proofErr w:type="spellEnd"/>
      <w:r>
        <w:rPr>
          <w:sz w:val="20"/>
          <w:szCs w:val="20"/>
          <w:rtl/>
        </w:rPr>
        <w:t xml:space="preserve"> </w:t>
      </w:r>
      <w:proofErr w:type="spellStart"/>
      <w:r>
        <w:rPr>
          <w:sz w:val="20"/>
          <w:szCs w:val="20"/>
          <w:rtl/>
        </w:rPr>
        <w:t>בפ״ב</w:t>
      </w:r>
      <w:proofErr w:type="spellEnd"/>
      <w:r>
        <w:rPr>
          <w:sz w:val="20"/>
          <w:szCs w:val="20"/>
          <w:rtl/>
        </w:rPr>
        <w:t xml:space="preserve"> מהל׳ אבות הטומאה </w:t>
      </w:r>
      <w:proofErr w:type="spellStart"/>
      <w:r>
        <w:rPr>
          <w:sz w:val="20"/>
          <w:szCs w:val="20"/>
          <w:rtl/>
        </w:rPr>
        <w:t>ה״י</w:t>
      </w:r>
      <w:proofErr w:type="spellEnd"/>
      <w:r>
        <w:rPr>
          <w:sz w:val="20"/>
          <w:szCs w:val="20"/>
          <w:rtl/>
        </w:rPr>
        <w:t>, ועיין שם.</w:t>
      </w:r>
    </w:p>
  </w:footnote>
  <w:footnote w:id="3708">
    <w:p w14:paraId="732E7989" w14:textId="77777777" w:rsidR="00AB3647" w:rsidRDefault="00000000">
      <w:pPr>
        <w:spacing w:after="0" w:before="0"/>
        <w:jc w:val="both"/>
      </w:pPr>
      <w:r>
        <w:rPr>
          <w:sz w:val="20"/>
          <w:szCs w:val="20"/>
          <w:rtl/>
        </w:rPr>
        <w:footnoteRef/>
      </w:r>
      <w:r>
        <w:rPr>
          <w:sz w:val="20"/>
          <w:szCs w:val="20"/>
          <w:rtl/>
        </w:rPr>
        <w:t>. ראה הערה 20 בפרק זה.</w:t>
      </w:r>
    </w:p>
  </w:footnote>
  <w:footnote w:id="3709">
    <w:p w14:paraId="58F96D16" w14:textId="77777777" w:rsidR="00AB3647" w:rsidRDefault="00000000">
      <w:pPr>
        <w:spacing w:after="0" w:before="0"/>
        <w:jc w:val="both"/>
      </w:pPr>
      <w:r>
        <w:rPr>
          <w:sz w:val="20"/>
          <w:szCs w:val="20"/>
          <w:rtl/>
        </w:rPr>
        <w:footnoteRef/>
      </w:r>
      <w:r>
        <w:rPr>
          <w:sz w:val="20"/>
          <w:szCs w:val="20"/>
          <w:rtl/>
        </w:rPr>
        <w:t xml:space="preserve">. ראה פרק 3, תחילת נספח </w:t>
      </w:r>
      <w:proofErr w:type="spellStart"/>
      <w:r>
        <w:rPr>
          <w:sz w:val="20"/>
          <w:szCs w:val="20"/>
          <w:rtl/>
        </w:rPr>
        <w:t>כג</w:t>
      </w:r>
      <w:proofErr w:type="spellEnd"/>
      <w:r>
        <w:rPr>
          <w:sz w:val="20"/>
          <w:szCs w:val="20"/>
          <w:rtl/>
        </w:rPr>
        <w:t>.</w:t>
      </w:r>
    </w:p>
  </w:footnote>
  <w:footnote w:id="3710">
    <w:p w14:paraId="73DAC99E" w14:textId="77777777" w:rsidR="00AB3647" w:rsidRDefault="00000000">
      <w:pPr>
        <w:spacing w:after="0" w:before="0"/>
        <w:jc w:val="both"/>
      </w:pPr>
      <w:r>
        <w:rPr>
          <w:sz w:val="20"/>
          <w:szCs w:val="20"/>
          <w:rtl/>
        </w:rPr>
        <w:footnoteRef/>
      </w:r>
      <w:r>
        <w:rPr>
          <w:sz w:val="20"/>
          <w:szCs w:val="20"/>
          <w:rtl/>
        </w:rPr>
        <w:t>. עמ׳ 109, מכתב מיום 20 בספטמבר 1948.</w:t>
      </w:r>
    </w:p>
  </w:footnote>
  <w:footnote w:id="3711">
    <w:p w14:paraId="2B75B06E" w14:textId="77777777" w:rsidR="00AB3647" w:rsidRDefault="00000000">
      <w:pPr>
        <w:spacing w:after="0" w:before="0"/>
        <w:jc w:val="both"/>
      </w:pPr>
      <w:r>
        <w:rPr>
          <w:sz w:val="20"/>
          <w:szCs w:val="20"/>
          <w:rtl/>
        </w:rPr>
        <w:footnoteRef/>
      </w:r>
      <w:r>
        <w:rPr>
          <w:sz w:val="20"/>
          <w:szCs w:val="20"/>
          <w:rtl/>
        </w:rPr>
        <w:t>. שם.</w:t>
      </w:r>
    </w:p>
  </w:footnote>
  <w:footnote w:id="3712">
    <w:p w14:paraId="5CFE3384" w14:textId="77777777" w:rsidR="00AB3647" w:rsidRDefault="00000000">
      <w:pPr>
        <w:spacing w:after="0" w:before="0"/>
        <w:jc w:val="both"/>
      </w:pPr>
      <w:r>
        <w:rPr>
          <w:sz w:val="20"/>
          <w:szCs w:val="20"/>
          <w:rtl/>
        </w:rPr>
        <w:footnoteRef/>
      </w:r>
      <w:r>
        <w:rPr>
          <w:sz w:val="20"/>
          <w:szCs w:val="20"/>
          <w:rtl/>
        </w:rPr>
        <w:t>. שם.</w:t>
      </w:r>
    </w:p>
  </w:footnote>
  <w:footnote w:id="3713">
    <w:p w14:paraId="1F0B3AB4" w14:textId="77777777" w:rsidR="00AB3647" w:rsidRDefault="00000000">
      <w:pPr>
        <w:spacing w:after="0" w:before="0"/>
        <w:jc w:val="both"/>
      </w:pPr>
      <w:r>
        <w:rPr>
          <w:sz w:val="20"/>
          <w:szCs w:val="20"/>
          <w:rtl/>
        </w:rPr>
        <w:footnoteRef/>
      </w:r>
      <w:r>
        <w:rPr>
          <w:sz w:val="20"/>
          <w:szCs w:val="20"/>
          <w:rtl/>
        </w:rPr>
        <w:t>. עמ׳ 112, מכתב מיום 19 בספטמבר 1957.</w:t>
      </w:r>
    </w:p>
  </w:footnote>
  <w:footnote w:id="3714">
    <w:p w14:paraId="0CD7C683" w14:textId="77777777" w:rsidR="00AB3647" w:rsidRDefault="00000000">
      <w:pPr>
        <w:spacing w:after="0" w:before="0"/>
        <w:jc w:val="both"/>
      </w:pPr>
      <w:r>
        <w:rPr>
          <w:sz w:val="20"/>
          <w:szCs w:val="20"/>
          <w:rtl/>
        </w:rPr>
        <w:footnoteRef/>
      </w:r>
      <w:r>
        <w:rPr>
          <w:sz w:val="20"/>
          <w:szCs w:val="20"/>
          <w:rtl/>
        </w:rPr>
        <w:t>. עמ׳ 113–114, מכתב מיום 24 בפברואר 1960.</w:t>
      </w:r>
    </w:p>
  </w:footnote>
  <w:footnote w:id="3715">
    <w:p w14:paraId="4CE74F21" w14:textId="77777777" w:rsidR="00AB3647" w:rsidRDefault="00000000">
      <w:pPr>
        <w:spacing w:after="0" w:before="0"/>
        <w:jc w:val="both"/>
      </w:pPr>
      <w:r>
        <w:rPr>
          <w:sz w:val="20"/>
          <w:szCs w:val="20"/>
          <w:rtl/>
        </w:rPr>
        <w:footnoteRef/>
      </w:r>
      <w:r>
        <w:rPr>
          <w:sz w:val="20"/>
          <w:szCs w:val="20"/>
          <w:rtl/>
        </w:rPr>
        <w:t xml:space="preserve">. את תרגום המילה המודגשת תיקנתי, מפני ששפירא תרגם אותה בטעות. הוא פירש את המילה “צירוף” של ר׳ </w:t>
      </w:r>
      <w:proofErr w:type="spellStart"/>
      <w:r>
        <w:rPr>
          <w:sz w:val="20"/>
          <w:szCs w:val="20"/>
          <w:rtl/>
        </w:rPr>
        <w:t>יחיאל־יעקב</w:t>
      </w:r>
      <w:proofErr w:type="spellEnd"/>
      <w:r>
        <w:rPr>
          <w:sz w:val="20"/>
          <w:szCs w:val="20"/>
          <w:rtl/>
        </w:rPr>
        <w:t xml:space="preserve"> ויינברג במשמעות שילוב, והחמיץ את הרמז שהתכוון אליו הכותב: דברי האמורא רב (בבראשית רבה מד, א, ועוד) “לא ניתנו מצוות לישראל אלא לצרף בהן את הבריות”, שבהם צירוף משמעו זיכוך. וע׳ רמב״ן על פרשת שילוח הקן, </w:t>
      </w:r>
      <w:proofErr w:type="spellStart"/>
      <w:r>
        <w:rPr>
          <w:sz w:val="20"/>
          <w:szCs w:val="20"/>
          <w:rtl/>
        </w:rPr>
        <w:t>וב“נתינה</w:t>
      </w:r>
      <w:proofErr w:type="spellEnd"/>
      <w:r>
        <w:rPr>
          <w:sz w:val="20"/>
          <w:szCs w:val="20"/>
          <w:rtl/>
        </w:rPr>
        <w:t xml:space="preserve"> לגר”, בראשית לו, לט. (</w:t>
      </w:r>
      <w:proofErr w:type="spellStart"/>
      <w:r>
        <w:rPr>
          <w:sz w:val="20"/>
          <w:szCs w:val="20"/>
          <w:rtl/>
        </w:rPr>
        <w:t>ומ״ש</w:t>
      </w:r>
      <w:proofErr w:type="spellEnd"/>
      <w:r>
        <w:rPr>
          <w:sz w:val="20"/>
          <w:szCs w:val="20"/>
          <w:rtl/>
        </w:rPr>
        <w:t xml:space="preserve"> בנפש החיים שער ב׳ פ״ד הוא ע״ד ח״ן).</w:t>
      </w:r>
    </w:p>
  </w:footnote>
  <w:footnote w:id="3716">
    <w:p w14:paraId="60D38006" w14:textId="77777777" w:rsidR="00AB3647" w:rsidRDefault="00000000">
      <w:pPr>
        <w:spacing w:after="0" w:before="0"/>
        <w:jc w:val="both"/>
      </w:pPr>
      <w:r>
        <w:rPr>
          <w:sz w:val="20"/>
          <w:szCs w:val="20"/>
          <w:rtl/>
        </w:rPr>
        <w:footnoteRef/>
      </w:r>
      <w:r>
        <w:rPr>
          <w:sz w:val="20"/>
          <w:szCs w:val="20"/>
          <w:rtl/>
        </w:rPr>
        <w:t>. עמ׳ 114, מכתב מיום 2 במרס 1961.</w:t>
      </w:r>
    </w:p>
  </w:footnote>
  <w:footnote w:id="3717">
    <w:p w14:paraId="2CE35A9F" w14:textId="77777777" w:rsidR="00AB3647" w:rsidRDefault="00000000">
      <w:pPr>
        <w:spacing w:after="0" w:before="0"/>
        <w:jc w:val="both"/>
      </w:pPr>
      <w:r>
        <w:rPr>
          <w:sz w:val="20"/>
          <w:szCs w:val="20"/>
          <w:rtl/>
        </w:rPr>
        <w:footnoteRef/>
      </w:r>
      <w:r>
        <w:rPr>
          <w:sz w:val="20"/>
          <w:szCs w:val="20"/>
          <w:rtl/>
        </w:rPr>
        <w:t xml:space="preserve">. ראה נספח </w:t>
      </w:r>
      <w:proofErr w:type="spellStart"/>
      <w:r>
        <w:rPr>
          <w:sz w:val="20"/>
          <w:szCs w:val="20"/>
          <w:rtl/>
        </w:rPr>
        <w:t>יב</w:t>
      </w:r>
      <w:proofErr w:type="spellEnd"/>
      <w:r>
        <w:rPr>
          <w:sz w:val="20"/>
          <w:szCs w:val="20"/>
          <w:rtl/>
        </w:rPr>
        <w:t xml:space="preserve"> להלן.</w:t>
      </w:r>
    </w:p>
  </w:footnote>
  <w:footnote w:id="3718">
    <w:p w14:paraId="29184394" w14:textId="77777777" w:rsidR="00AB3647" w:rsidRDefault="00000000">
      <w:pPr>
        <w:spacing w:after="0" w:before="0"/>
        <w:jc w:val="both"/>
      </w:pPr>
      <w:r>
        <w:rPr>
          <w:sz w:val="20"/>
          <w:szCs w:val="20"/>
          <w:rtl/>
        </w:rPr>
        <w:footnoteRef/>
      </w:r>
      <w:r>
        <w:rPr>
          <w:sz w:val="20"/>
          <w:szCs w:val="20"/>
          <w:rtl/>
        </w:rPr>
        <w:t>. ראה פרק 5, סוף הפסקה הראשונה בנספח ד.</w:t>
      </w:r>
    </w:p>
  </w:footnote>
  <w:footnote w:id="3719">
    <w:p w14:paraId="22E558FD" w14:textId="77777777" w:rsidR="00AB3647" w:rsidRDefault="00000000">
      <w:pPr>
        <w:spacing w:after="0" w:before="0"/>
        <w:jc w:val="both"/>
      </w:pPr>
      <w:r>
        <w:rPr>
          <w:sz w:val="20"/>
          <w:szCs w:val="20"/>
          <w:rtl/>
        </w:rPr>
        <w:footnoteRef/>
      </w:r>
      <w:r>
        <w:rPr>
          <w:sz w:val="20"/>
          <w:szCs w:val="20"/>
          <w:rtl/>
        </w:rPr>
        <w:t xml:space="preserve">. זהו שמה של החוברת הקטנה של </w:t>
      </w:r>
      <w:proofErr w:type="spellStart"/>
      <w:r>
        <w:rPr>
          <w:sz w:val="20"/>
          <w:szCs w:val="20"/>
          <w:rtl/>
        </w:rPr>
        <w:t>החזון־איש</w:t>
      </w:r>
      <w:proofErr w:type="spellEnd"/>
      <w:r>
        <w:rPr>
          <w:sz w:val="20"/>
          <w:szCs w:val="20"/>
          <w:rtl/>
        </w:rPr>
        <w:t>, שבה ביאר את השקפתו הדתית.</w:t>
      </w:r>
    </w:p>
  </w:footnote>
  <w:footnote w:id="3720">
    <w:p w14:paraId="53939BAE" w14:textId="77777777" w:rsidR="00AB3647" w:rsidRDefault="00000000">
      <w:pPr>
        <w:spacing w:after="0" w:before="0"/>
        <w:jc w:val="both"/>
      </w:pPr>
      <w:r>
        <w:rPr>
          <w:sz w:val="20"/>
          <w:szCs w:val="20"/>
          <w:rtl/>
        </w:rPr>
        <w:footnoteRef/>
      </w:r>
      <w:r>
        <w:rPr>
          <w:sz w:val="20"/>
          <w:szCs w:val="20"/>
          <w:rtl/>
        </w:rPr>
        <w:t>. פרק 3, הערה 145.</w:t>
      </w:r>
    </w:p>
  </w:footnote>
  <w:footnote w:id="3721">
    <w:p w14:paraId="60C83DC6" w14:textId="77777777" w:rsidR="00AB3647" w:rsidRDefault="00000000">
      <w:pPr>
        <w:spacing w:after="0" w:before="0"/>
        <w:jc w:val="both"/>
      </w:pPr>
      <w:r>
        <w:rPr>
          <w:sz w:val="20"/>
          <w:szCs w:val="20"/>
          <w:rtl/>
        </w:rPr>
        <w:footnoteRef/>
      </w:r>
      <w:r>
        <w:rPr>
          <w:sz w:val="20"/>
          <w:szCs w:val="20"/>
          <w:rtl/>
        </w:rPr>
        <w:t>. ריאיון מיום 12 באוקטובר 1997.</w:t>
      </w:r>
    </w:p>
  </w:footnote>
  <w:footnote w:id="3722">
    <w:p w14:paraId="7CF6AD6B" w14:textId="77777777" w:rsidR="00AB3647" w:rsidRDefault="00000000">
      <w:pPr>
        <w:spacing w:after="0" w:before="0"/>
        <w:jc w:val="both"/>
      </w:pPr>
      <w:r>
        <w:rPr>
          <w:sz w:val="20"/>
          <w:szCs w:val="20"/>
          <w:rtl/>
        </w:rPr>
        <w:footnoteRef/>
      </w:r>
      <w:r>
        <w:rPr>
          <w:sz w:val="20"/>
          <w:szCs w:val="20"/>
          <w:rtl/>
        </w:rPr>
        <w:t xml:space="preserve">. באותה הזדמנות העביר הרב דומב קושיא שהייתה מפורסמת בישיבת </w:t>
      </w:r>
      <w:proofErr w:type="spellStart"/>
      <w:r>
        <w:rPr>
          <w:sz w:val="20"/>
          <w:szCs w:val="20"/>
          <w:rtl/>
        </w:rPr>
        <w:t>סלבודקה</w:t>
      </w:r>
      <w:proofErr w:type="spellEnd"/>
      <w:r>
        <w:rPr>
          <w:sz w:val="20"/>
          <w:szCs w:val="20"/>
          <w:rtl/>
        </w:rPr>
        <w:t xml:space="preserve"> בשמו של הרב ויינברג 20 שנה אחרי שעזב את הישיבה, והיא על </w:t>
      </w:r>
      <w:proofErr w:type="spellStart"/>
      <w:r>
        <w:rPr>
          <w:sz w:val="20"/>
          <w:szCs w:val="20"/>
          <w:rtl/>
        </w:rPr>
        <w:t>תוס</w:t>
      </w:r>
      <w:proofErr w:type="spellEnd"/>
      <w:r>
        <w:rPr>
          <w:sz w:val="20"/>
          <w:szCs w:val="20"/>
          <w:rtl/>
        </w:rPr>
        <w:t xml:space="preserve">’ </w:t>
      </w:r>
      <w:proofErr w:type="spellStart"/>
      <w:r>
        <w:rPr>
          <w:sz w:val="20"/>
          <w:szCs w:val="20"/>
          <w:rtl/>
        </w:rPr>
        <w:t>ב״מ</w:t>
      </w:r>
      <w:proofErr w:type="spellEnd"/>
      <w:r>
        <w:rPr>
          <w:sz w:val="20"/>
          <w:szCs w:val="20"/>
          <w:rtl/>
        </w:rPr>
        <w:t xml:space="preserve"> קי״ד ע״ב שכתבו שההיתר של אליהו להתמודד על הילד המת הוא משום פיקוח נפש שהיה ברור לו שיחייהו עיי״ש, והקשה הלוא למת מצוה מותר לכהן להיטמא בלי פיקוח נפשות, ואיך ייתכן שכדי לשים מת בקבר מותר לכהן להיטמא, ולהפקיע ממנו את המיתה יהיה אסור, ע״כ. ואומר אני </w:t>
      </w:r>
      <w:proofErr w:type="spellStart"/>
      <w:r>
        <w:rPr>
          <w:sz w:val="20"/>
          <w:szCs w:val="20"/>
          <w:rtl/>
        </w:rPr>
        <w:t>שקושיא</w:t>
      </w:r>
      <w:proofErr w:type="spellEnd"/>
      <w:r>
        <w:rPr>
          <w:sz w:val="20"/>
          <w:szCs w:val="20"/>
          <w:rtl/>
        </w:rPr>
        <w:t xml:space="preserve"> זאת בנויה </w:t>
      </w:r>
      <w:proofErr w:type="spellStart"/>
      <w:r>
        <w:rPr>
          <w:sz w:val="20"/>
          <w:szCs w:val="20"/>
          <w:rtl/>
        </w:rPr>
        <w:t>בדוקא</w:t>
      </w:r>
      <w:proofErr w:type="spellEnd"/>
      <w:r>
        <w:rPr>
          <w:sz w:val="20"/>
          <w:szCs w:val="20"/>
          <w:rtl/>
        </w:rPr>
        <w:t xml:space="preserve"> על גישה מוסרית. השווה גם את הסתייגותו של ר׳ </w:t>
      </w:r>
      <w:proofErr w:type="spellStart"/>
      <w:r>
        <w:rPr>
          <w:sz w:val="20"/>
          <w:szCs w:val="20"/>
          <w:rtl/>
        </w:rPr>
        <w:t>יחיאל־יעקב</w:t>
      </w:r>
      <w:proofErr w:type="spellEnd"/>
      <w:r>
        <w:rPr>
          <w:sz w:val="20"/>
          <w:szCs w:val="20"/>
          <w:rtl/>
        </w:rPr>
        <w:t xml:space="preserve"> ויינברג בהערת השוליים הפותחת את שיחות הסבא </w:t>
      </w:r>
      <w:proofErr w:type="spellStart"/>
      <w:r>
        <w:rPr>
          <w:sz w:val="20"/>
          <w:szCs w:val="20"/>
          <w:rtl/>
        </w:rPr>
        <w:t>ב“שרידי</w:t>
      </w:r>
      <w:proofErr w:type="spellEnd"/>
      <w:r>
        <w:rPr>
          <w:sz w:val="20"/>
          <w:szCs w:val="20"/>
          <w:rtl/>
        </w:rPr>
        <w:t xml:space="preserve"> אש”, עמ׳ </w:t>
      </w:r>
      <w:proofErr w:type="spellStart"/>
      <w:r>
        <w:rPr>
          <w:sz w:val="20"/>
          <w:szCs w:val="20"/>
          <w:rtl/>
        </w:rPr>
        <w:t>שיב</w:t>
      </w:r>
      <w:proofErr w:type="spellEnd"/>
      <w:r>
        <w:rPr>
          <w:sz w:val="20"/>
          <w:szCs w:val="20"/>
          <w:rtl/>
        </w:rPr>
        <w:t xml:space="preserve">, המובאת בהערת שוליים </w:t>
      </w:r>
      <w:r>
        <w:rPr>
          <w:sz w:val="20"/>
          <w:szCs w:val="20"/>
          <w:rtl/>
        </w:rPr>
        <w:fldChar w:fldCharType="begin" w:dirty="true"/>
      </w:r>
      <w:r>
        <w:rPr>
          <w:sz w:val="20"/>
          <w:szCs w:val="20"/>
          <w:rtl/>
        </w:rPr>
        <w:instrText xml:space="preserve"> NOTEREF pr_f_1053 \h </w:instrText>
      </w:r>
      <w:r>
        <w:rPr>
          <w:sz w:val="20"/>
          <w:szCs w:val="20"/>
          <w:rtl/>
        </w:rPr>
      </w:r>
      <w:r>
        <w:rPr>
          <w:sz w:val="20"/>
          <w:szCs w:val="20"/>
          <w:rtl/>
        </w:rPr>
        <w:fldChar w:fldCharType="separate"/>
      </w:r>
      <w:r w:rsidR="007923E9">
        <w:rPr>
          <w:sz w:val="20"/>
          <w:szCs w:val="20"/>
          <w:rtl/>
        </w:rPr>
        <w:t>95</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pr_f_1053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3723">
    <w:p w14:paraId="1E67CF92" w14:textId="77777777" w:rsidR="00AB3647" w:rsidRDefault="00000000">
      <w:pPr>
        <w:spacing w:after="0" w:before="0"/>
        <w:jc w:val="both"/>
      </w:pPr>
      <w:r>
        <w:rPr>
          <w:sz w:val="20"/>
          <w:szCs w:val="20"/>
          <w:rtl/>
        </w:rPr>
        <w:footnoteRef/>
      </w:r>
      <w:r>
        <w:rPr>
          <w:sz w:val="20"/>
          <w:szCs w:val="20"/>
          <w:rtl/>
        </w:rPr>
        <w:t>. ראה סוף נספח ה להלן.</w:t>
      </w:r>
    </w:p>
  </w:footnote>
  <w:footnote w:id="3724">
    <w:p w14:paraId="0F92C485" w14:textId="77777777" w:rsidR="00AB3647" w:rsidRDefault="00000000">
      <w:pPr>
        <w:spacing w:after="0" w:before="0"/>
        <w:jc w:val="both"/>
      </w:pPr>
      <w:r>
        <w:rPr>
          <w:sz w:val="20"/>
          <w:szCs w:val="20"/>
          <w:rtl/>
        </w:rPr>
        <w:footnoteRef/>
      </w:r>
      <w:r>
        <w:rPr>
          <w:sz w:val="20"/>
          <w:szCs w:val="20"/>
          <w:rtl/>
        </w:rPr>
        <w:t>. ראה מכתבים מתאריכים 25 במרס 1947 ו־7 במרס 1956, המכתב מיום 15 בנובמבר 1965 שצוטט לעיל, והמכתב שאין עליו תאריך בסוף האוסף.</w:t>
      </w:r>
    </w:p>
  </w:footnote>
  <w:footnote w:id="3725">
    <w:p w14:paraId="0C89E9CD" w14:textId="77777777" w:rsidR="00AB3647" w:rsidRDefault="00000000">
      <w:pPr>
        <w:spacing w:after="0" w:before="0"/>
        <w:jc w:val="both"/>
      </w:pPr>
      <w:r>
        <w:rPr>
          <w:sz w:val="20"/>
          <w:szCs w:val="20"/>
          <w:rtl/>
        </w:rPr>
        <w:footnoteRef/>
      </w:r>
      <w:r>
        <w:rPr>
          <w:sz w:val="20"/>
          <w:szCs w:val="20"/>
          <w:rtl/>
        </w:rPr>
        <w:t>. “</w:t>
      </w:r>
      <w:proofErr w:type="spellStart"/>
      <w:r>
        <w:rPr>
          <w:sz w:val="20"/>
          <w:szCs w:val="20"/>
          <w:rtl/>
        </w:rPr>
        <w:t>דאס</w:t>
      </w:r>
      <w:proofErr w:type="spellEnd"/>
      <w:r>
        <w:rPr>
          <w:sz w:val="20"/>
          <w:szCs w:val="20"/>
          <w:rtl/>
        </w:rPr>
        <w:t xml:space="preserve"> אידישע </w:t>
      </w:r>
      <w:proofErr w:type="spellStart"/>
      <w:r>
        <w:rPr>
          <w:sz w:val="20"/>
          <w:szCs w:val="20"/>
          <w:rtl/>
        </w:rPr>
        <w:t>ווארט</w:t>
      </w:r>
      <w:proofErr w:type="spellEnd"/>
      <w:r>
        <w:rPr>
          <w:sz w:val="20"/>
          <w:szCs w:val="20"/>
          <w:rtl/>
        </w:rPr>
        <w:t>”, גיליון חשוון–כסלו תשנ״א (מס׳ 293), עמ׳ 31.</w:t>
      </w:r>
    </w:p>
  </w:footnote>
  <w:footnote w:id="3726">
    <w:p w14:paraId="21DB1BE4" w14:textId="77777777" w:rsidR="00AB3647" w:rsidRDefault="00000000">
      <w:pPr>
        <w:spacing w:after="0" w:before="0"/>
        <w:jc w:val="both"/>
      </w:pPr>
      <w:r>
        <w:rPr>
          <w:sz w:val="20"/>
          <w:szCs w:val="20"/>
          <w:rtl/>
        </w:rPr>
        <w:footnoteRef/>
      </w:r>
      <w:r>
        <w:rPr>
          <w:sz w:val="20"/>
          <w:szCs w:val="20"/>
          <w:rtl/>
        </w:rPr>
        <w:t>. עמ׳ 302.</w:t>
      </w:r>
    </w:p>
  </w:footnote>
  <w:footnote w:id="3727">
    <w:p w14:paraId="6DC9B911" w14:textId="77777777" w:rsidR="00AB3647" w:rsidRDefault="00000000">
      <w:pPr>
        <w:spacing w:after="0" w:before="0"/>
        <w:jc w:val="both"/>
      </w:pPr>
      <w:r>
        <w:rPr>
          <w:sz w:val="20"/>
          <w:szCs w:val="20"/>
          <w:rtl/>
        </w:rPr>
        <w:footnoteRef/>
      </w:r>
      <w:r>
        <w:rPr>
          <w:sz w:val="20"/>
          <w:szCs w:val="20"/>
          <w:rtl/>
        </w:rPr>
        <w:t xml:space="preserve">. השווה מגילה </w:t>
      </w:r>
      <w:proofErr w:type="spellStart"/>
      <w:r>
        <w:rPr>
          <w:sz w:val="20"/>
          <w:szCs w:val="20"/>
          <w:rtl/>
        </w:rPr>
        <w:t>כח</w:t>
      </w:r>
      <w:proofErr w:type="spellEnd"/>
      <w:r>
        <w:rPr>
          <w:sz w:val="20"/>
          <w:szCs w:val="20"/>
          <w:rtl/>
        </w:rPr>
        <w:t xml:space="preserve"> ע״א.</w:t>
      </w:r>
    </w:p>
  </w:footnote>
  <w:footnote w:id="3728">
    <w:p w14:paraId="6ECDA6B3" w14:textId="77777777" w:rsidR="00AB3647" w:rsidRDefault="00000000">
      <w:pPr>
        <w:spacing w:after="0" w:before="0"/>
        <w:jc w:val="both"/>
      </w:pPr>
      <w:r>
        <w:rPr>
          <w:sz w:val="20"/>
          <w:szCs w:val="20"/>
          <w:rtl/>
        </w:rPr>
        <w:footnoteRef/>
      </w:r>
      <w:r>
        <w:rPr>
          <w:sz w:val="20"/>
          <w:szCs w:val="20"/>
          <w:rtl/>
        </w:rPr>
        <w:t>. עמ׳ 300.</w:t>
      </w:r>
    </w:p>
  </w:footnote>
  <w:footnote w:id="3729">
    <w:p w14:paraId="62812606" w14:textId="77777777" w:rsidR="00AB3647" w:rsidRDefault="00000000">
      <w:pPr>
        <w:spacing w:after="0" w:before="0"/>
        <w:jc w:val="both"/>
      </w:pPr>
      <w:r>
        <w:rPr>
          <w:sz w:val="20"/>
          <w:szCs w:val="20"/>
          <w:rtl/>
        </w:rPr>
        <w:footnoteRef/>
      </w:r>
      <w:r>
        <w:rPr>
          <w:sz w:val="20"/>
          <w:szCs w:val="20"/>
          <w:rtl/>
        </w:rPr>
        <w:t xml:space="preserve">. ראה סוטה </w:t>
      </w:r>
      <w:proofErr w:type="spellStart"/>
      <w:r>
        <w:rPr>
          <w:sz w:val="20"/>
          <w:szCs w:val="20"/>
          <w:rtl/>
        </w:rPr>
        <w:t>מז</w:t>
      </w:r>
      <w:proofErr w:type="spellEnd"/>
      <w:r>
        <w:rPr>
          <w:sz w:val="20"/>
          <w:szCs w:val="20"/>
          <w:rtl/>
        </w:rPr>
        <w:t xml:space="preserve"> ע״א.</w:t>
      </w:r>
    </w:p>
  </w:footnote>
  <w:footnote w:id="3730">
    <w:p w14:paraId="0F9C9DE8" w14:textId="77777777" w:rsidR="00AB3647" w:rsidRDefault="00000000">
      <w:pPr>
        <w:spacing w:after="0" w:before="0"/>
        <w:jc w:val="both"/>
      </w:pPr>
      <w:r>
        <w:rPr>
          <w:sz w:val="20"/>
          <w:szCs w:val="20"/>
          <w:rtl/>
        </w:rPr>
        <w:footnoteRef/>
      </w:r>
      <w:r>
        <w:rPr>
          <w:sz w:val="20"/>
          <w:szCs w:val="20"/>
          <w:rtl/>
        </w:rPr>
        <w:t>. ריאיון מיום 13 במרס 1988.</w:t>
      </w:r>
    </w:p>
  </w:footnote>
  <w:footnote w:id="3731">
    <w:p w14:paraId="06628C13" w14:textId="77777777" w:rsidR="00AB3647" w:rsidRDefault="00000000">
      <w:pPr>
        <w:spacing w:after="0" w:before="0"/>
        <w:jc w:val="both"/>
      </w:pPr>
      <w:r>
        <w:rPr>
          <w:sz w:val="20"/>
          <w:szCs w:val="20"/>
          <w:rtl/>
        </w:rPr>
        <w:footnoteRef/>
      </w:r>
      <w:r>
        <w:rPr>
          <w:sz w:val="20"/>
          <w:szCs w:val="20"/>
          <w:rtl/>
        </w:rPr>
        <w:t>. עמ׳ 309.</w:t>
      </w:r>
    </w:p>
  </w:footnote>
  <w:footnote w:id="3732">
    <w:p w14:paraId="0DA470A0" w14:textId="77777777" w:rsidR="00AB3647" w:rsidRDefault="00000000">
      <w:pPr>
        <w:spacing w:after="0" w:before="0"/>
        <w:jc w:val="both"/>
      </w:pPr>
      <w:r>
        <w:rPr>
          <w:sz w:val="20"/>
          <w:szCs w:val="20"/>
          <w:rtl/>
        </w:rPr>
        <w:footnoteRef/>
      </w:r>
      <w:r>
        <w:rPr>
          <w:sz w:val="20"/>
          <w:szCs w:val="20"/>
          <w:rtl/>
        </w:rPr>
        <w:t xml:space="preserve">. ריאיון מיום 5 במאי 1995. ראה נספח ד לעיל, על קרבתו </w:t>
      </w:r>
      <w:proofErr w:type="spellStart"/>
      <w:r>
        <w:rPr>
          <w:sz w:val="20"/>
          <w:szCs w:val="20"/>
          <w:rtl/>
        </w:rPr>
        <w:t>לר</w:t>
      </w:r>
      <w:proofErr w:type="spellEnd"/>
      <w:r>
        <w:rPr>
          <w:sz w:val="20"/>
          <w:szCs w:val="20"/>
          <w:rtl/>
        </w:rPr>
        <w:t xml:space="preserve">׳ </w:t>
      </w:r>
      <w:proofErr w:type="spellStart"/>
      <w:r>
        <w:rPr>
          <w:sz w:val="20"/>
          <w:szCs w:val="20"/>
          <w:rtl/>
        </w:rPr>
        <w:t>יחיאל־יעקב</w:t>
      </w:r>
      <w:proofErr w:type="spellEnd"/>
      <w:r>
        <w:rPr>
          <w:sz w:val="20"/>
          <w:szCs w:val="20"/>
          <w:rtl/>
        </w:rPr>
        <w:t xml:space="preserve"> ויינברג.</w:t>
      </w:r>
    </w:p>
  </w:footnote>
  <w:footnote w:id="3733">
    <w:p w14:paraId="788154AE" w14:textId="77777777" w:rsidR="00AB3647" w:rsidRDefault="00000000">
      <w:pPr>
        <w:spacing w:after="0" w:before="0"/>
        <w:jc w:val="both"/>
      </w:pPr>
      <w:r>
        <w:rPr>
          <w:sz w:val="20"/>
          <w:szCs w:val="20"/>
          <w:rtl/>
        </w:rPr>
        <w:footnoteRef/>
      </w:r>
      <w:r>
        <w:rPr>
          <w:sz w:val="20"/>
          <w:szCs w:val="20"/>
          <w:rtl/>
        </w:rPr>
        <w:t>. הערה 33 לעיל – עמ׳ 50–53.</w:t>
      </w:r>
    </w:p>
  </w:footnote>
  <w:footnote w:id="3734">
    <w:p w14:paraId="149A9E03" w14:textId="77777777" w:rsidR="00AB3647" w:rsidRDefault="00000000">
      <w:pPr>
        <w:spacing w:after="0" w:before="0"/>
        <w:jc w:val="both"/>
      </w:pPr>
      <w:r>
        <w:rPr>
          <w:sz w:val="20"/>
          <w:szCs w:val="20"/>
          <w:rtl/>
        </w:rPr>
        <w:footnoteRef/>
      </w:r>
      <w:r>
        <w:rPr>
          <w:sz w:val="20"/>
          <w:szCs w:val="20"/>
          <w:rtl/>
        </w:rPr>
        <w:t>. ראה נספח ד לעיל, כולו.</w:t>
      </w:r>
    </w:p>
  </w:footnote>
  <w:footnote w:id="3735">
    <w:p w14:paraId="0AAC83E1" w14:textId="77777777" w:rsidR="00AB3647" w:rsidRDefault="00000000">
      <w:pPr>
        <w:spacing w:after="0" w:before="0"/>
        <w:jc w:val="both"/>
      </w:pPr>
      <w:r>
        <w:rPr>
          <w:sz w:val="20"/>
          <w:szCs w:val="20"/>
          <w:rtl/>
        </w:rPr>
        <w:footnoteRef/>
      </w:r>
      <w:r>
        <w:rPr>
          <w:sz w:val="20"/>
          <w:szCs w:val="20"/>
          <w:rtl/>
        </w:rPr>
        <w:t>. ריאיון מיום 28 באוגוסט 1997.</w:t>
      </w:r>
    </w:p>
  </w:footnote>
  <w:footnote w:id="3736">
    <w:p w14:paraId="174BF75A" w14:textId="77777777" w:rsidR="00AB3647" w:rsidRDefault="00000000">
      <w:pPr>
        <w:spacing w:after="0" w:before="0"/>
        <w:jc w:val="both"/>
      </w:pPr>
      <w:r>
        <w:rPr>
          <w:sz w:val="20"/>
          <w:szCs w:val="20"/>
          <w:rtl/>
        </w:rPr>
        <w:footnoteRef/>
      </w:r>
      <w:r>
        <w:rPr>
          <w:sz w:val="20"/>
          <w:szCs w:val="20"/>
          <w:rtl/>
        </w:rPr>
        <w:t xml:space="preserve">. אמירה זו אינה מדויקת לגמרי: הוא עזב את אשתו ואת ארצו כשפרצה מלחמת העולם, ולפי המאמר “הטרגדיה של אדם גדול” </w:t>
      </w:r>
      <w:proofErr w:type="spellStart"/>
      <w:r>
        <w:rPr>
          <w:sz w:val="20"/>
          <w:szCs w:val="20"/>
          <w:rtl/>
        </w:rPr>
        <w:t>ב“הדואר</w:t>
      </w:r>
      <w:proofErr w:type="spellEnd"/>
      <w:r>
        <w:rPr>
          <w:sz w:val="20"/>
          <w:szCs w:val="20"/>
          <w:rtl/>
        </w:rPr>
        <w:t xml:space="preserve">” (נספח ד לעיל) נתן את הגט רק </w:t>
      </w:r>
      <w:proofErr w:type="spellStart"/>
      <w:r>
        <w:rPr>
          <w:sz w:val="20"/>
          <w:szCs w:val="20"/>
          <w:rtl/>
        </w:rPr>
        <w:t>בתרפ״ב</w:t>
      </w:r>
      <w:proofErr w:type="spellEnd"/>
      <w:r>
        <w:rPr>
          <w:sz w:val="20"/>
          <w:szCs w:val="20"/>
          <w:rtl/>
        </w:rPr>
        <w:t xml:space="preserve">. הוא רצה להתגרש זמן קצר מאוד לאחר הנישואים, והעיכוב בן </w:t>
      </w:r>
      <w:proofErr w:type="spellStart"/>
      <w:r>
        <w:rPr>
          <w:sz w:val="20"/>
          <w:szCs w:val="20"/>
          <w:rtl/>
        </w:rPr>
        <w:t>שש־עשרה</w:t>
      </w:r>
      <w:proofErr w:type="spellEnd"/>
      <w:r>
        <w:rPr>
          <w:sz w:val="20"/>
          <w:szCs w:val="20"/>
          <w:rtl/>
        </w:rPr>
        <w:t xml:space="preserve"> השנים נבע מהתנגדות הוריו ואם אשתו לצעד הבלתי מקובל. היה על ר׳ חיים </w:t>
      </w:r>
      <w:proofErr w:type="spellStart"/>
      <w:r>
        <w:rPr>
          <w:sz w:val="20"/>
          <w:szCs w:val="20"/>
          <w:rtl/>
        </w:rPr>
        <w:t>סרנא</w:t>
      </w:r>
      <w:proofErr w:type="spellEnd"/>
      <w:r>
        <w:rPr>
          <w:sz w:val="20"/>
          <w:szCs w:val="20"/>
          <w:rtl/>
        </w:rPr>
        <w:t xml:space="preserve"> לנסח את דבריו אחרת: “הוא נאלץ לעזוב את ליטא בגלל הפרידה [שהייתה עתידה להוביל לגירושים]”. ראה גם קידושין נ ע״א, ברש״י ד״ה לא ניחא ליה.</w:t>
      </w:r>
    </w:p>
  </w:footnote>
  <w:footnote w:id="3737">
    <w:p w14:paraId="585CFC67" w14:textId="77777777" w:rsidR="00AB3647" w:rsidRDefault="00000000">
      <w:pPr>
        <w:spacing w:after="0" w:before="0"/>
        <w:jc w:val="both"/>
      </w:pPr>
      <w:r>
        <w:rPr>
          <w:sz w:val="20"/>
          <w:szCs w:val="20"/>
          <w:rtl/>
        </w:rPr>
        <w:footnoteRef/>
      </w:r>
      <w:r>
        <w:rPr>
          <w:sz w:val="20"/>
          <w:szCs w:val="20"/>
          <w:rtl/>
        </w:rPr>
        <w:t>. סוף נספח ד לעיל.</w:t>
      </w:r>
    </w:p>
  </w:footnote>
  <w:footnote w:id="3738">
    <w:p w14:paraId="024BEAEA" w14:textId="77777777" w:rsidR="00AB3647" w:rsidRDefault="00000000">
      <w:pPr>
        <w:spacing w:after="0" w:before="0"/>
        <w:jc w:val="both"/>
      </w:pPr>
      <w:r>
        <w:rPr>
          <w:sz w:val="20"/>
          <w:szCs w:val="20"/>
          <w:rtl/>
        </w:rPr>
        <w:footnoteRef/>
      </w:r>
      <w:r>
        <w:rPr>
          <w:sz w:val="20"/>
          <w:szCs w:val="20"/>
          <w:rtl/>
        </w:rPr>
        <w:t>. הערה 20 לעיל – עמ׳ 5.</w:t>
      </w:r>
    </w:p>
  </w:footnote>
  <w:footnote w:id="3739">
    <w:p w14:paraId="357FD146" w14:textId="77777777" w:rsidR="00AB3647" w:rsidRDefault="00000000">
      <w:pPr>
        <w:spacing w:after="0" w:before="0"/>
        <w:jc w:val="both"/>
      </w:pPr>
      <w:r>
        <w:rPr>
          <w:sz w:val="20"/>
          <w:szCs w:val="20"/>
          <w:rtl/>
        </w:rPr>
        <w:footnoteRef/>
      </w:r>
      <w:r>
        <w:rPr>
          <w:sz w:val="20"/>
          <w:szCs w:val="20"/>
          <w:rtl/>
        </w:rPr>
        <w:t xml:space="preserve">. סוף הפסקה הראשונה של נספח </w:t>
      </w:r>
      <w:proofErr w:type="spellStart"/>
      <w:r>
        <w:rPr>
          <w:sz w:val="20"/>
          <w:szCs w:val="20"/>
          <w:rtl/>
        </w:rPr>
        <w:t>כח</w:t>
      </w:r>
      <w:proofErr w:type="spellEnd"/>
      <w:r>
        <w:rPr>
          <w:sz w:val="20"/>
          <w:szCs w:val="20"/>
          <w:rtl/>
        </w:rPr>
        <w:t xml:space="preserve"> בפרק 3.</w:t>
      </w:r>
    </w:p>
  </w:footnote>
  <w:footnote w:id="3740">
    <w:p w14:paraId="038C421A" w14:textId="77777777" w:rsidR="00AB3647" w:rsidRDefault="00000000">
      <w:pPr>
        <w:spacing w:after="0" w:before="0"/>
        <w:jc w:val="both"/>
      </w:pPr>
      <w:r>
        <w:rPr>
          <w:sz w:val="20"/>
          <w:szCs w:val="20"/>
          <w:rtl/>
        </w:rPr>
        <w:footnoteRef/>
      </w:r>
      <w:r>
        <w:rPr>
          <w:sz w:val="20"/>
          <w:szCs w:val="20"/>
          <w:rtl/>
        </w:rPr>
        <w:t xml:space="preserve">. סוטה </w:t>
      </w:r>
      <w:proofErr w:type="spellStart"/>
      <w:r>
        <w:rPr>
          <w:sz w:val="20"/>
          <w:szCs w:val="20"/>
          <w:rtl/>
        </w:rPr>
        <w:t>מז</w:t>
      </w:r>
      <w:proofErr w:type="spellEnd"/>
      <w:r>
        <w:rPr>
          <w:sz w:val="20"/>
          <w:szCs w:val="20"/>
          <w:rtl/>
        </w:rPr>
        <w:t xml:space="preserve"> ע״א.</w:t>
      </w:r>
    </w:p>
  </w:footnote>
  <w:footnote w:id="3741">
    <w:p w14:paraId="36D0977E" w14:textId="77777777" w:rsidR="00AB3647" w:rsidRDefault="00000000">
      <w:pPr>
        <w:spacing w:after="0" w:before="0"/>
        <w:jc w:val="both"/>
      </w:pPr>
      <w:r>
        <w:rPr>
          <w:sz w:val="20"/>
          <w:szCs w:val="20"/>
          <w:rtl/>
        </w:rPr>
        <w:footnoteRef/>
      </w:r>
      <w:r>
        <w:rPr>
          <w:sz w:val="20"/>
          <w:szCs w:val="20"/>
          <w:rtl/>
        </w:rPr>
        <w:t xml:space="preserve">. הערה 3 לעיל, עמ׳ </w:t>
      </w:r>
      <w:proofErr w:type="spellStart"/>
      <w:r>
        <w:rPr>
          <w:sz w:val="20"/>
          <w:szCs w:val="20"/>
          <w:rtl/>
        </w:rPr>
        <w:t>יט</w:t>
      </w:r>
      <w:proofErr w:type="spellEnd"/>
      <w:r>
        <w:rPr>
          <w:sz w:val="20"/>
          <w:szCs w:val="20"/>
          <w:rtl/>
        </w:rPr>
        <w:t>; מתוארך ליל ז׳ באב תשמ״א.</w:t>
      </w:r>
    </w:p>
  </w:footnote>
  <w:footnote w:id="3742">
    <w:p w14:paraId="7B509184" w14:textId="77777777" w:rsidR="00AB3647" w:rsidRDefault="00000000">
      <w:pPr>
        <w:spacing w:after="0" w:before="0"/>
        <w:jc w:val="both"/>
      </w:pPr>
      <w:r>
        <w:rPr>
          <w:sz w:val="20"/>
          <w:szCs w:val="20"/>
          <w:rtl/>
        </w:rPr>
        <w:footnoteRef/>
      </w:r>
      <w:r>
        <w:rPr>
          <w:sz w:val="20"/>
          <w:szCs w:val="20"/>
          <w:rtl/>
        </w:rPr>
        <w:t>. ראה כרך 2.</w:t>
      </w:r>
    </w:p>
  </w:footnote>
  <w:footnote w:id="3743">
    <w:p w14:paraId="5CEB5F80" w14:textId="77777777" w:rsidR="00AB3647" w:rsidRDefault="00000000">
      <w:pPr>
        <w:spacing w:after="0" w:before="0"/>
        <w:jc w:val="both"/>
      </w:pPr>
      <w:r>
        <w:rPr>
          <w:sz w:val="20"/>
          <w:szCs w:val="20"/>
          <w:rtl/>
        </w:rPr>
        <w:footnoteRef/>
      </w:r>
      <w:r>
        <w:rPr>
          <w:sz w:val="20"/>
          <w:szCs w:val="20"/>
          <w:rtl/>
        </w:rPr>
        <w:t>. עמ׳ 293.</w:t>
      </w:r>
    </w:p>
  </w:footnote>
  <w:footnote w:id="3744">
    <w:p w14:paraId="4CBB96BA" w14:textId="77777777" w:rsidR="00AB3647" w:rsidRDefault="00000000">
      <w:pPr>
        <w:spacing w:after="0" w:before="0"/>
        <w:jc w:val="both"/>
      </w:pPr>
      <w:r>
        <w:rPr>
          <w:sz w:val="20"/>
          <w:szCs w:val="20"/>
          <w:rtl/>
        </w:rPr>
        <w:footnoteRef/>
      </w:r>
      <w:r>
        <w:rPr>
          <w:sz w:val="20"/>
          <w:szCs w:val="20"/>
          <w:rtl/>
        </w:rPr>
        <w:t>. עמ׳ 294.</w:t>
      </w:r>
    </w:p>
  </w:footnote>
  <w:footnote w:id="3745">
    <w:p w14:paraId="5392469E" w14:textId="77777777" w:rsidR="00AB3647" w:rsidRDefault="00000000">
      <w:pPr>
        <w:spacing w:after="0" w:before="0"/>
        <w:jc w:val="both"/>
      </w:pPr>
      <w:r>
        <w:rPr>
          <w:sz w:val="20"/>
          <w:szCs w:val="20"/>
          <w:rtl/>
        </w:rPr>
        <w:footnoteRef/>
      </w:r>
      <w:r>
        <w:rPr>
          <w:sz w:val="20"/>
          <w:szCs w:val="20"/>
          <w:rtl/>
        </w:rPr>
        <w:t xml:space="preserve">. השווה פרק 3, נספח </w:t>
      </w:r>
      <w:proofErr w:type="spellStart"/>
      <w:r>
        <w:rPr>
          <w:sz w:val="20"/>
          <w:szCs w:val="20"/>
          <w:rtl/>
        </w:rPr>
        <w:t>יט</w:t>
      </w:r>
      <w:proofErr w:type="spellEnd"/>
      <w:r>
        <w:rPr>
          <w:sz w:val="20"/>
          <w:szCs w:val="20"/>
          <w:rtl/>
        </w:rPr>
        <w:t>.</w:t>
      </w:r>
    </w:p>
  </w:footnote>
  <w:footnote w:id="3746">
    <w:p w14:paraId="2DAC0E91" w14:textId="77777777" w:rsidR="00AB3647" w:rsidRDefault="00000000">
      <w:pPr>
        <w:spacing w:after="0" w:before="0"/>
        <w:jc w:val="both"/>
      </w:pPr>
      <w:r>
        <w:rPr>
          <w:sz w:val="20"/>
          <w:szCs w:val="20"/>
          <w:rtl/>
        </w:rPr>
        <w:footnoteRef/>
      </w:r>
      <w:r>
        <w:rPr>
          <w:sz w:val="20"/>
          <w:szCs w:val="20"/>
          <w:rtl/>
        </w:rPr>
        <w:t xml:space="preserve">. השווה פרק 3, הפסקה השנייה של נספח </w:t>
      </w:r>
      <w:proofErr w:type="spellStart"/>
      <w:r>
        <w:rPr>
          <w:sz w:val="20"/>
          <w:szCs w:val="20"/>
          <w:rtl/>
        </w:rPr>
        <w:t>יט</w:t>
      </w:r>
      <w:proofErr w:type="spellEnd"/>
      <w:r>
        <w:rPr>
          <w:sz w:val="20"/>
          <w:szCs w:val="20"/>
          <w:rtl/>
        </w:rPr>
        <w:t>.</w:t>
      </w:r>
    </w:p>
  </w:footnote>
  <w:footnote w:id="3747">
    <w:p w14:paraId="3CB78B1F" w14:textId="77777777" w:rsidR="00AB3647" w:rsidRDefault="00000000">
      <w:pPr>
        <w:spacing w:after="0" w:before="0"/>
        <w:jc w:val="both"/>
      </w:pPr>
      <w:r>
        <w:rPr>
          <w:sz w:val="20"/>
          <w:szCs w:val="20"/>
          <w:rtl/>
        </w:rPr>
        <w:footnoteRef/>
      </w:r>
      <w:r>
        <w:rPr>
          <w:sz w:val="20"/>
          <w:szCs w:val="20"/>
          <w:rtl/>
        </w:rPr>
        <w:t>. נספח ג לעיל.</w:t>
      </w:r>
    </w:p>
  </w:footnote>
  <w:footnote w:id="3748">
    <w:p w14:paraId="6860F1CF" w14:textId="77777777" w:rsidR="00AB3647" w:rsidRDefault="00000000">
      <w:pPr>
        <w:spacing w:after="0" w:before="0"/>
        <w:jc w:val="both"/>
      </w:pPr>
      <w:r>
        <w:rPr>
          <w:sz w:val="20"/>
          <w:szCs w:val="20"/>
          <w:rtl/>
        </w:rPr>
        <w:footnoteRef/>
      </w:r>
      <w:r>
        <w:rPr>
          <w:sz w:val="20"/>
          <w:szCs w:val="20"/>
          <w:rtl/>
        </w:rPr>
        <w:t xml:space="preserve">. עמ׳ </w:t>
      </w:r>
      <w:proofErr w:type="spellStart"/>
      <w:r>
        <w:rPr>
          <w:sz w:val="20"/>
          <w:szCs w:val="20"/>
          <w:rtl/>
        </w:rPr>
        <w:t>יח</w:t>
      </w:r>
      <w:proofErr w:type="spellEnd"/>
      <w:r>
        <w:rPr>
          <w:sz w:val="20"/>
          <w:szCs w:val="20"/>
          <w:rtl/>
        </w:rPr>
        <w:t xml:space="preserve">, מתוארך כמצוין בהערת שוליים </w:t>
      </w:r>
      <w:r>
        <w:rPr>
          <w:sz w:val="20"/>
          <w:szCs w:val="20"/>
          <w:rtl/>
        </w:rPr>
        <w:fldChar w:fldCharType="begin" w:dirty="true"/>
      </w:r>
      <w:r>
        <w:rPr>
          <w:sz w:val="20"/>
          <w:szCs w:val="20"/>
          <w:rtl/>
        </w:rPr>
        <w:instrText xml:space="preserve"> NOTEREF pr_f_3623 \h </w:instrText>
      </w:r>
      <w:r>
        <w:rPr>
          <w:sz w:val="20"/>
          <w:szCs w:val="20"/>
          <w:rtl/>
        </w:rPr>
      </w:r>
      <w:r>
        <w:rPr>
          <w:sz w:val="20"/>
          <w:szCs w:val="20"/>
          <w:rtl/>
        </w:rPr>
        <w:fldChar w:fldCharType="separate"/>
      </w:r>
      <w:r w:rsidR="007923E9">
        <w:rPr>
          <w:sz w:val="20"/>
          <w:szCs w:val="20"/>
          <w:rtl/>
        </w:rPr>
        <w:t>700</w:t>
      </w:r>
      <w:r>
        <w:rPr>
          <w:sz w:val="20"/>
          <w:szCs w:val="20"/>
          <w:rtl/>
        </w:rPr>
        <w:fldChar w:fldCharType="end"/>
      </w:r>
      <w:r>
        <w:rPr>
          <w:sz w:val="20"/>
          <w:szCs w:val="20"/>
          <w:rtl/>
        </w:rPr>
        <w:t xml:space="preserve"> לעיל, בעמ׳ </w:t>
      </w:r>
      <w:r>
        <w:rPr>
          <w:sz w:val="20"/>
          <w:szCs w:val="20"/>
          <w:rtl/>
        </w:rPr>
        <w:fldChar w:fldCharType="begin" w:dirty="true"/>
      </w:r>
      <w:r>
        <w:rPr>
          <w:sz w:val="20"/>
          <w:szCs w:val="20"/>
          <w:rtl/>
        </w:rPr>
        <w:instrText xml:space="preserve"> PAGEREF pr_f_3623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3749">
    <w:p w14:paraId="6A299253" w14:textId="77777777" w:rsidR="00AB3647" w:rsidRDefault="00000000">
      <w:pPr>
        <w:spacing w:after="0" w:before="0"/>
        <w:jc w:val="both"/>
      </w:pPr>
      <w:r>
        <w:rPr>
          <w:sz w:val="20"/>
          <w:szCs w:val="20"/>
          <w:rtl/>
        </w:rPr>
        <w:footnoteRef/>
      </w:r>
      <w:r>
        <w:rPr>
          <w:sz w:val="20"/>
          <w:szCs w:val="20"/>
          <w:rtl/>
        </w:rPr>
        <w:t>. עמ׳ 292.</w:t>
      </w:r>
    </w:p>
  </w:footnote>
  <w:footnote w:id="3750">
    <w:p w14:paraId="57DF6B38" w14:textId="77777777" w:rsidR="00AB3647" w:rsidRDefault="00000000">
      <w:pPr>
        <w:spacing w:after="0" w:before="0"/>
        <w:jc w:val="both"/>
      </w:pPr>
      <w:r>
        <w:rPr>
          <w:sz w:val="20"/>
          <w:szCs w:val="20"/>
          <w:rtl/>
        </w:rPr>
        <w:footnoteRef/>
      </w:r>
      <w:r>
        <w:rPr>
          <w:sz w:val="20"/>
          <w:szCs w:val="20"/>
          <w:rtl/>
        </w:rPr>
        <w:t>. ריאיון מיום 19 בדצמבר 1987.</w:t>
      </w:r>
    </w:p>
  </w:footnote>
  <w:footnote w:id="3751">
    <w:p w14:paraId="312120DB" w14:textId="77777777" w:rsidR="00AB3647" w:rsidRDefault="00000000">
      <w:pPr>
        <w:spacing w:after="0" w:before="0"/>
        <w:jc w:val="both"/>
      </w:pPr>
      <w:r>
        <w:rPr>
          <w:sz w:val="20"/>
          <w:szCs w:val="20"/>
          <w:rtl/>
        </w:rPr>
        <w:footnoteRef/>
      </w:r>
      <w:r>
        <w:rPr>
          <w:sz w:val="20"/>
          <w:szCs w:val="20"/>
          <w:rtl/>
        </w:rPr>
        <w:t>. פרק 2, נספח ד.</w:t>
      </w:r>
    </w:p>
  </w:footnote>
  <w:footnote w:id="3752">
    <w:p w14:paraId="5EF63F68" w14:textId="77777777" w:rsidR="00AB3647" w:rsidRDefault="00000000">
      <w:pPr>
        <w:spacing w:after="0" w:before="0"/>
        <w:jc w:val="both"/>
      </w:pPr>
      <w:r>
        <w:rPr>
          <w:sz w:val="20"/>
          <w:szCs w:val="20"/>
          <w:rtl/>
        </w:rPr>
        <w:footnoteRef/>
      </w:r>
      <w:r>
        <w:rPr>
          <w:sz w:val="20"/>
          <w:szCs w:val="20"/>
          <w:rtl/>
        </w:rPr>
        <w:t xml:space="preserve">. השווה פרק 1, הערה 69, ופרק 3, הפסקה החמישית של נספח </w:t>
      </w:r>
      <w:proofErr w:type="spellStart"/>
      <w:r>
        <w:rPr>
          <w:sz w:val="20"/>
          <w:szCs w:val="20"/>
          <w:rtl/>
        </w:rPr>
        <w:t>יח</w:t>
      </w:r>
      <w:proofErr w:type="spellEnd"/>
      <w:r>
        <w:rPr>
          <w:sz w:val="20"/>
          <w:szCs w:val="20"/>
          <w:rtl/>
        </w:rPr>
        <w:t>.</w:t>
      </w:r>
    </w:p>
  </w:footnote>
  <w:footnote w:id="3753">
    <w:p w14:paraId="27EB6E6C" w14:textId="77777777" w:rsidR="00AB3647" w:rsidRDefault="00000000">
      <w:pPr>
        <w:spacing w:after="0" w:before="0"/>
        <w:jc w:val="both"/>
      </w:pPr>
      <w:r>
        <w:rPr>
          <w:sz w:val="20"/>
          <w:szCs w:val="20"/>
          <w:rtl/>
        </w:rPr>
        <w:footnoteRef/>
      </w:r>
      <w:r>
        <w:rPr>
          <w:sz w:val="20"/>
          <w:szCs w:val="20"/>
          <w:rtl/>
        </w:rPr>
        <w:t>. ראה להלן.</w:t>
      </w:r>
    </w:p>
  </w:footnote>
  <w:footnote w:id="3754">
    <w:p w14:paraId="0DF7DF75" w14:textId="77777777" w:rsidR="00AB3647" w:rsidRDefault="00000000">
      <w:pPr>
        <w:spacing w:after="0" w:before="0"/>
        <w:jc w:val="both"/>
      </w:pPr>
      <w:r>
        <w:rPr>
          <w:sz w:val="20"/>
          <w:szCs w:val="20"/>
          <w:rtl/>
        </w:rPr>
        <w:footnoteRef/>
      </w:r>
      <w:r>
        <w:rPr>
          <w:sz w:val="20"/>
          <w:szCs w:val="20"/>
          <w:rtl/>
        </w:rPr>
        <w:t xml:space="preserve">. נספח ד לעיל. גם המאמר “הטרגדיה של אדם גדול” </w:t>
      </w:r>
      <w:proofErr w:type="spellStart"/>
      <w:r>
        <w:rPr>
          <w:sz w:val="20"/>
          <w:szCs w:val="20"/>
          <w:rtl/>
        </w:rPr>
        <w:t>ב“הדואר</w:t>
      </w:r>
      <w:proofErr w:type="spellEnd"/>
      <w:r>
        <w:rPr>
          <w:sz w:val="20"/>
          <w:szCs w:val="20"/>
          <w:rtl/>
        </w:rPr>
        <w:t xml:space="preserve">”, הנזכר שם, סייע בבניית רצף השנים המעצבות של ר׳ </w:t>
      </w:r>
      <w:proofErr w:type="spellStart"/>
      <w:r>
        <w:rPr>
          <w:sz w:val="20"/>
          <w:szCs w:val="20"/>
          <w:rtl/>
        </w:rPr>
        <w:t>יחיאל־יעקב</w:t>
      </w:r>
      <w:proofErr w:type="spellEnd"/>
      <w:r>
        <w:rPr>
          <w:sz w:val="20"/>
          <w:szCs w:val="20"/>
          <w:rtl/>
        </w:rPr>
        <w:t xml:space="preserve"> ויינברג, כמפורט להלן.</w:t>
      </w:r>
    </w:p>
  </w:footnote>
  <w:footnote w:id="3755">
    <w:p w14:paraId="79444426" w14:textId="77777777" w:rsidR="00AB3647" w:rsidRDefault="00000000">
      <w:pPr>
        <w:spacing w:after="0" w:before="0"/>
        <w:jc w:val="both"/>
      </w:pPr>
      <w:r>
        <w:rPr>
          <w:sz w:val="20"/>
          <w:szCs w:val="20"/>
          <w:rtl/>
        </w:rPr>
        <w:footnoteRef/>
      </w:r>
      <w:r>
        <w:rPr>
          <w:sz w:val="20"/>
          <w:szCs w:val="20"/>
          <w:rtl/>
        </w:rPr>
        <w:t xml:space="preserve">. לנוכח מקורות סותרים על שנת לידתו של ר׳ </w:t>
      </w:r>
      <w:proofErr w:type="spellStart"/>
      <w:r>
        <w:rPr>
          <w:sz w:val="20"/>
          <w:szCs w:val="20"/>
          <w:rtl/>
        </w:rPr>
        <w:t>יחיאל־יעקב</w:t>
      </w:r>
      <w:proofErr w:type="spellEnd"/>
      <w:r>
        <w:rPr>
          <w:sz w:val="20"/>
          <w:szCs w:val="20"/>
          <w:rtl/>
        </w:rPr>
        <w:t xml:space="preserve"> ויינברג, הסקתי שנולד בתחילת תרמ״ה, כשעדיין הייתה השנה 1884. הוא הגיע </w:t>
      </w:r>
      <w:proofErr w:type="spellStart"/>
      <w:r>
        <w:rPr>
          <w:sz w:val="20"/>
          <w:szCs w:val="20"/>
          <w:rtl/>
        </w:rPr>
        <w:t>לסלבודקה</w:t>
      </w:r>
      <w:proofErr w:type="spellEnd"/>
      <w:r>
        <w:rPr>
          <w:sz w:val="20"/>
          <w:szCs w:val="20"/>
          <w:rtl/>
        </w:rPr>
        <w:t xml:space="preserve"> בסוף תרס״א, כמעט בן </w:t>
      </w:r>
      <w:proofErr w:type="spellStart"/>
      <w:r>
        <w:rPr>
          <w:sz w:val="20"/>
          <w:szCs w:val="20"/>
          <w:rtl/>
        </w:rPr>
        <w:t>שבע־עשרה</w:t>
      </w:r>
      <w:proofErr w:type="spellEnd"/>
      <w:r>
        <w:rPr>
          <w:sz w:val="20"/>
          <w:szCs w:val="20"/>
          <w:rtl/>
        </w:rPr>
        <w:t xml:space="preserve">. מחבר המאמר “הטרגדיה של אדם גדול” כותב שבחורף תרס״ב שהה ר׳ </w:t>
      </w:r>
      <w:proofErr w:type="spellStart"/>
      <w:r>
        <w:rPr>
          <w:sz w:val="20"/>
          <w:szCs w:val="20"/>
          <w:rtl/>
        </w:rPr>
        <w:t>יחיאל־יעקב</w:t>
      </w:r>
      <w:proofErr w:type="spellEnd"/>
      <w:r>
        <w:rPr>
          <w:sz w:val="20"/>
          <w:szCs w:val="20"/>
          <w:rtl/>
        </w:rPr>
        <w:t xml:space="preserve"> בעיירת מולדתם, </w:t>
      </w:r>
      <w:proofErr w:type="spellStart"/>
      <w:r>
        <w:rPr>
          <w:sz w:val="20"/>
          <w:szCs w:val="20"/>
          <w:rtl/>
        </w:rPr>
        <w:t>צ׳כנובצה</w:t>
      </w:r>
      <w:proofErr w:type="spellEnd"/>
      <w:r>
        <w:rPr>
          <w:sz w:val="20"/>
          <w:szCs w:val="20"/>
          <w:rtl/>
        </w:rPr>
        <w:t xml:space="preserve">; כלומר, זמן קצר יחסית לאחר בואו </w:t>
      </w:r>
      <w:proofErr w:type="spellStart"/>
      <w:r>
        <w:rPr>
          <w:sz w:val="20"/>
          <w:szCs w:val="20"/>
          <w:rtl/>
        </w:rPr>
        <w:t>לסלבודקה</w:t>
      </w:r>
      <w:proofErr w:type="spellEnd"/>
      <w:r>
        <w:rPr>
          <w:sz w:val="20"/>
          <w:szCs w:val="20"/>
          <w:rtl/>
        </w:rPr>
        <w:t xml:space="preserve"> כבר נטל חופשה של כמה חודשים. עוד מגלה המאמר שבאותו חורף התוודע ר׳ </w:t>
      </w:r>
      <w:proofErr w:type="spellStart"/>
      <w:r>
        <w:rPr>
          <w:sz w:val="20"/>
          <w:szCs w:val="20"/>
          <w:rtl/>
        </w:rPr>
        <w:t>יחיאל־יעקב</w:t>
      </w:r>
      <w:proofErr w:type="spellEnd"/>
      <w:r>
        <w:rPr>
          <w:sz w:val="20"/>
          <w:szCs w:val="20"/>
          <w:rtl/>
        </w:rPr>
        <w:t xml:space="preserve"> לספרות העברית החדשה.</w:t>
      </w:r>
    </w:p>
  </w:footnote>
  <w:footnote w:id="3756">
    <w:p w14:paraId="4AF74BEE" w14:textId="77777777" w:rsidR="00AB3647" w:rsidRDefault="00000000">
      <w:pPr>
        <w:spacing w:after="0" w:before="0"/>
        <w:jc w:val="both"/>
      </w:pPr>
      <w:r>
        <w:rPr>
          <w:sz w:val="20"/>
          <w:szCs w:val="20"/>
          <w:rtl/>
        </w:rPr>
        <w:footnoteRef/>
      </w:r>
      <w:r>
        <w:rPr>
          <w:sz w:val="20"/>
          <w:szCs w:val="20"/>
          <w:rtl/>
        </w:rPr>
        <w:t xml:space="preserve">. לפי “פרקי חיים [ויינברג]”, עמ׳ 1, למד ר׳ </w:t>
      </w:r>
      <w:proofErr w:type="spellStart"/>
      <w:r>
        <w:rPr>
          <w:sz w:val="20"/>
          <w:szCs w:val="20"/>
          <w:rtl/>
        </w:rPr>
        <w:t>יחיאל־יעקב</w:t>
      </w:r>
      <w:proofErr w:type="spellEnd"/>
      <w:r>
        <w:rPr>
          <w:sz w:val="20"/>
          <w:szCs w:val="20"/>
          <w:rtl/>
        </w:rPr>
        <w:t xml:space="preserve"> ויינברג זמן קצר </w:t>
      </w:r>
      <w:proofErr w:type="spellStart"/>
      <w:r>
        <w:rPr>
          <w:sz w:val="20"/>
          <w:szCs w:val="20"/>
          <w:rtl/>
        </w:rPr>
        <w:t>במיר</w:t>
      </w:r>
      <w:proofErr w:type="spellEnd"/>
      <w:r>
        <w:rPr>
          <w:sz w:val="20"/>
          <w:szCs w:val="20"/>
          <w:rtl/>
        </w:rPr>
        <w:t xml:space="preserve"> גם לפני בואו </w:t>
      </w:r>
      <w:proofErr w:type="spellStart"/>
      <w:r>
        <w:rPr>
          <w:sz w:val="20"/>
          <w:szCs w:val="20"/>
          <w:rtl/>
        </w:rPr>
        <w:t>לסלבודקה</w:t>
      </w:r>
      <w:proofErr w:type="spellEnd"/>
      <w:r>
        <w:rPr>
          <w:sz w:val="20"/>
          <w:szCs w:val="20"/>
          <w:rtl/>
        </w:rPr>
        <w:t xml:space="preserve">, </w:t>
      </w:r>
      <w:proofErr w:type="spellStart"/>
      <w:r>
        <w:rPr>
          <w:sz w:val="20"/>
          <w:szCs w:val="20"/>
          <w:rtl/>
        </w:rPr>
        <w:t>בתר״ס</w:t>
      </w:r>
      <w:proofErr w:type="spellEnd"/>
      <w:r>
        <w:rPr>
          <w:sz w:val="20"/>
          <w:szCs w:val="20"/>
          <w:rtl/>
        </w:rPr>
        <w:t xml:space="preserve">. כשהובא ר׳ </w:t>
      </w:r>
      <w:proofErr w:type="spellStart"/>
      <w:r>
        <w:rPr>
          <w:sz w:val="20"/>
          <w:szCs w:val="20"/>
          <w:rtl/>
        </w:rPr>
        <w:t>אליהו־ברוך</w:t>
      </w:r>
      <w:proofErr w:type="spellEnd"/>
      <w:r>
        <w:rPr>
          <w:sz w:val="20"/>
          <w:szCs w:val="20"/>
          <w:rtl/>
        </w:rPr>
        <w:t xml:space="preserve"> קמאי מרבנות </w:t>
      </w:r>
      <w:proofErr w:type="spellStart"/>
      <w:r>
        <w:rPr>
          <w:sz w:val="20"/>
          <w:szCs w:val="20"/>
          <w:rtl/>
        </w:rPr>
        <w:t>צ׳כנובצה</w:t>
      </w:r>
      <w:proofErr w:type="spellEnd"/>
      <w:r>
        <w:rPr>
          <w:sz w:val="20"/>
          <w:szCs w:val="20"/>
          <w:rtl/>
        </w:rPr>
        <w:t xml:space="preserve"> לשמש רב וראש ישיבה </w:t>
      </w:r>
      <w:proofErr w:type="spellStart"/>
      <w:r>
        <w:rPr>
          <w:sz w:val="20"/>
          <w:szCs w:val="20"/>
          <w:rtl/>
        </w:rPr>
        <w:t>במיר</w:t>
      </w:r>
      <w:proofErr w:type="spellEnd"/>
      <w:r>
        <w:rPr>
          <w:sz w:val="20"/>
          <w:szCs w:val="20"/>
          <w:rtl/>
        </w:rPr>
        <w:t xml:space="preserve">, הביא עמו את העילוי </w:t>
      </w:r>
      <w:proofErr w:type="spellStart"/>
      <w:r>
        <w:rPr>
          <w:sz w:val="20"/>
          <w:szCs w:val="20"/>
          <w:rtl/>
        </w:rPr>
        <w:t>מצ׳כנובצה</w:t>
      </w:r>
      <w:proofErr w:type="spellEnd"/>
      <w:r>
        <w:rPr>
          <w:sz w:val="20"/>
          <w:szCs w:val="20"/>
          <w:rtl/>
        </w:rPr>
        <w:t xml:space="preserve">, בן </w:t>
      </w:r>
      <w:proofErr w:type="spellStart"/>
      <w:r>
        <w:rPr>
          <w:sz w:val="20"/>
          <w:szCs w:val="20"/>
          <w:rtl/>
        </w:rPr>
        <w:t>החמש־עשרה</w:t>
      </w:r>
      <w:proofErr w:type="spellEnd"/>
      <w:r>
        <w:rPr>
          <w:sz w:val="20"/>
          <w:szCs w:val="20"/>
          <w:rtl/>
        </w:rPr>
        <w:t xml:space="preserve">. מאמר ההספד של </w:t>
      </w:r>
      <w:proofErr w:type="spellStart"/>
      <w:r>
        <w:rPr>
          <w:sz w:val="20"/>
          <w:szCs w:val="20"/>
          <w:rtl/>
        </w:rPr>
        <w:t>ה״ל</w:t>
      </w:r>
      <w:proofErr w:type="spellEnd"/>
      <w:r>
        <w:rPr>
          <w:sz w:val="20"/>
          <w:szCs w:val="20"/>
          <w:rtl/>
        </w:rPr>
        <w:t xml:space="preserve"> גורדון </w:t>
      </w:r>
      <w:proofErr w:type="spellStart"/>
      <w:r>
        <w:rPr>
          <w:sz w:val="20"/>
          <w:szCs w:val="20"/>
          <w:rtl/>
        </w:rPr>
        <w:t>ב“הדואר</w:t>
      </w:r>
      <w:proofErr w:type="spellEnd"/>
      <w:r>
        <w:rPr>
          <w:sz w:val="20"/>
          <w:szCs w:val="20"/>
          <w:rtl/>
        </w:rPr>
        <w:t xml:space="preserve">” מביא בשם ר׳ </w:t>
      </w:r>
      <w:proofErr w:type="spellStart"/>
      <w:r>
        <w:rPr>
          <w:sz w:val="20"/>
          <w:szCs w:val="20"/>
          <w:rtl/>
        </w:rPr>
        <w:t>יחיאל־יעקב</w:t>
      </w:r>
      <w:proofErr w:type="spellEnd"/>
      <w:r>
        <w:rPr>
          <w:sz w:val="20"/>
          <w:szCs w:val="20"/>
          <w:rtl/>
        </w:rPr>
        <w:t xml:space="preserve"> שהסבא “התחנן [אליו] להצטרף לבנו ולסייע לו בחיבור חידושי תורה”; לכן ייתכן מאוד שר׳ </w:t>
      </w:r>
      <w:proofErr w:type="spellStart"/>
      <w:r>
        <w:rPr>
          <w:sz w:val="20"/>
          <w:szCs w:val="20"/>
          <w:rtl/>
        </w:rPr>
        <w:t>אליהו־ברוך</w:t>
      </w:r>
      <w:proofErr w:type="spellEnd"/>
      <w:r>
        <w:rPr>
          <w:sz w:val="20"/>
          <w:szCs w:val="20"/>
          <w:rtl/>
        </w:rPr>
        <w:t xml:space="preserve"> הוא שהציע </w:t>
      </w:r>
      <w:proofErr w:type="spellStart"/>
      <w:r>
        <w:rPr>
          <w:sz w:val="20"/>
          <w:szCs w:val="20"/>
          <w:rtl/>
        </w:rPr>
        <w:t>לר</w:t>
      </w:r>
      <w:proofErr w:type="spellEnd"/>
      <w:r>
        <w:rPr>
          <w:sz w:val="20"/>
          <w:szCs w:val="20"/>
          <w:rtl/>
        </w:rPr>
        <w:t xml:space="preserve">׳ </w:t>
      </w:r>
      <w:proofErr w:type="spellStart"/>
      <w:r>
        <w:rPr>
          <w:sz w:val="20"/>
          <w:szCs w:val="20"/>
          <w:rtl/>
        </w:rPr>
        <w:t>נתן־צבי</w:t>
      </w:r>
      <w:proofErr w:type="spellEnd"/>
      <w:r>
        <w:rPr>
          <w:sz w:val="20"/>
          <w:szCs w:val="20"/>
          <w:rtl/>
        </w:rPr>
        <w:t xml:space="preserve"> לשלוח את ר׳ </w:t>
      </w:r>
      <w:proofErr w:type="spellStart"/>
      <w:r>
        <w:rPr>
          <w:sz w:val="20"/>
          <w:szCs w:val="20"/>
          <w:rtl/>
        </w:rPr>
        <w:t>יחיאל־יעקב</w:t>
      </w:r>
      <w:proofErr w:type="spellEnd"/>
      <w:r>
        <w:rPr>
          <w:sz w:val="20"/>
          <w:szCs w:val="20"/>
          <w:rtl/>
        </w:rPr>
        <w:t xml:space="preserve"> </w:t>
      </w:r>
      <w:proofErr w:type="spellStart"/>
      <w:r>
        <w:rPr>
          <w:sz w:val="20"/>
          <w:szCs w:val="20"/>
          <w:rtl/>
        </w:rPr>
        <w:t>למיר</w:t>
      </w:r>
      <w:proofErr w:type="spellEnd"/>
      <w:r>
        <w:rPr>
          <w:sz w:val="20"/>
          <w:szCs w:val="20"/>
          <w:rtl/>
        </w:rPr>
        <w:t xml:space="preserve">, ללמוד שם לשם כך עם חתנו ר׳ </w:t>
      </w:r>
      <w:proofErr w:type="spellStart"/>
      <w:r>
        <w:rPr>
          <w:sz w:val="20"/>
          <w:szCs w:val="20"/>
          <w:rtl/>
        </w:rPr>
        <w:t>לייזר־יודל</w:t>
      </w:r>
      <w:proofErr w:type="spellEnd"/>
      <w:r>
        <w:rPr>
          <w:sz w:val="20"/>
          <w:szCs w:val="20"/>
          <w:rtl/>
        </w:rPr>
        <w:t xml:space="preserve"> </w:t>
      </w:r>
      <w:proofErr w:type="spellStart"/>
      <w:r>
        <w:rPr>
          <w:sz w:val="20"/>
          <w:szCs w:val="20"/>
          <w:rtl/>
        </w:rPr>
        <w:t>פינקל</w:t>
      </w:r>
      <w:proofErr w:type="spellEnd"/>
      <w:r>
        <w:rPr>
          <w:sz w:val="20"/>
          <w:szCs w:val="20"/>
          <w:rtl/>
        </w:rPr>
        <w:t xml:space="preserve">. המאמר “הטרגדיה של אדם גדול” </w:t>
      </w:r>
      <w:proofErr w:type="spellStart"/>
      <w:r>
        <w:rPr>
          <w:sz w:val="20"/>
          <w:szCs w:val="20"/>
          <w:rtl/>
        </w:rPr>
        <w:t>ב“הדואר</w:t>
      </w:r>
      <w:proofErr w:type="spellEnd"/>
      <w:r>
        <w:rPr>
          <w:sz w:val="20"/>
          <w:szCs w:val="20"/>
          <w:rtl/>
        </w:rPr>
        <w:t xml:space="preserve">” טועה בשנתיים כשהוא כותב שר׳ </w:t>
      </w:r>
      <w:proofErr w:type="spellStart"/>
      <w:r>
        <w:rPr>
          <w:sz w:val="20"/>
          <w:szCs w:val="20"/>
          <w:rtl/>
        </w:rPr>
        <w:t>יחיאל־יעקב</w:t>
      </w:r>
      <w:proofErr w:type="spellEnd"/>
      <w:r>
        <w:rPr>
          <w:sz w:val="20"/>
          <w:szCs w:val="20"/>
          <w:rtl/>
        </w:rPr>
        <w:t xml:space="preserve"> יצא </w:t>
      </w:r>
      <w:proofErr w:type="spellStart"/>
      <w:r>
        <w:rPr>
          <w:sz w:val="20"/>
          <w:szCs w:val="20"/>
          <w:rtl/>
        </w:rPr>
        <w:t>למיר</w:t>
      </w:r>
      <w:proofErr w:type="spellEnd"/>
      <w:r>
        <w:rPr>
          <w:sz w:val="20"/>
          <w:szCs w:val="20"/>
          <w:rtl/>
        </w:rPr>
        <w:t xml:space="preserve"> “לאחר פסח תרס״ג”. הטעות ודאי אינה אלא טעות דפוס, שהרי ר׳ </w:t>
      </w:r>
      <w:proofErr w:type="spellStart"/>
      <w:r>
        <w:rPr>
          <w:sz w:val="20"/>
          <w:szCs w:val="20"/>
          <w:rtl/>
        </w:rPr>
        <w:t>יחיאל־יעקב</w:t>
      </w:r>
      <w:proofErr w:type="spellEnd"/>
      <w:r>
        <w:rPr>
          <w:sz w:val="20"/>
          <w:szCs w:val="20"/>
          <w:rtl/>
        </w:rPr>
        <w:t xml:space="preserve"> ויינברג לקח עמו את מחבר המאמר </w:t>
      </w:r>
      <w:proofErr w:type="spellStart"/>
      <w:r>
        <w:rPr>
          <w:sz w:val="20"/>
          <w:szCs w:val="20"/>
          <w:rtl/>
        </w:rPr>
        <w:t>מסלבודקה</w:t>
      </w:r>
      <w:proofErr w:type="spellEnd"/>
      <w:r>
        <w:rPr>
          <w:sz w:val="20"/>
          <w:szCs w:val="20"/>
          <w:rtl/>
        </w:rPr>
        <w:t xml:space="preserve"> </w:t>
      </w:r>
      <w:proofErr w:type="spellStart"/>
      <w:r>
        <w:rPr>
          <w:sz w:val="20"/>
          <w:szCs w:val="20"/>
          <w:rtl/>
        </w:rPr>
        <w:t>למיר</w:t>
      </w:r>
      <w:proofErr w:type="spellEnd"/>
      <w:r>
        <w:rPr>
          <w:sz w:val="20"/>
          <w:szCs w:val="20"/>
          <w:rtl/>
        </w:rPr>
        <w:t>, כמובא להלן, ובוודאי ידע באיזו שנה אירע המעבר.</w:t>
      </w:r>
    </w:p>
  </w:footnote>
  <w:footnote w:id="3757">
    <w:p w14:paraId="0C28D97B" w14:textId="77777777" w:rsidR="00AB3647" w:rsidRDefault="00000000">
      <w:pPr>
        <w:spacing w:after="0" w:before="0"/>
        <w:jc w:val="both"/>
      </w:pPr>
      <w:r>
        <w:rPr>
          <w:sz w:val="20"/>
          <w:szCs w:val="20"/>
          <w:rtl/>
        </w:rPr>
        <w:footnoteRef/>
      </w:r>
      <w:r>
        <w:rPr>
          <w:sz w:val="20"/>
          <w:szCs w:val="20"/>
          <w:rtl/>
        </w:rPr>
        <w:t xml:space="preserve">. לפי המידע שהובא מהמאמר “הטרגדיה של אדם גדול” </w:t>
      </w:r>
      <w:proofErr w:type="spellStart"/>
      <w:r>
        <w:rPr>
          <w:sz w:val="20"/>
          <w:szCs w:val="20"/>
          <w:rtl/>
        </w:rPr>
        <w:t>ב“הדואר</w:t>
      </w:r>
      <w:proofErr w:type="spellEnd"/>
      <w:r>
        <w:rPr>
          <w:sz w:val="20"/>
          <w:szCs w:val="20"/>
          <w:rtl/>
        </w:rPr>
        <w:t xml:space="preserve">” על שהות ר׳ </w:t>
      </w:r>
      <w:proofErr w:type="spellStart"/>
      <w:r>
        <w:rPr>
          <w:sz w:val="20"/>
          <w:szCs w:val="20"/>
          <w:rtl/>
        </w:rPr>
        <w:t>יחיאל־יעקב</w:t>
      </w:r>
      <w:proofErr w:type="spellEnd"/>
      <w:r>
        <w:rPr>
          <w:sz w:val="20"/>
          <w:szCs w:val="20"/>
          <w:rtl/>
        </w:rPr>
        <w:t xml:space="preserve"> ויינברג בחורף תרס״ב, לא היה מתחיל בלימוד הרוסית עד פסח תרס״ג, כשכבר היה באמצע שנתו </w:t>
      </w:r>
      <w:proofErr w:type="spellStart"/>
      <w:r>
        <w:rPr>
          <w:sz w:val="20"/>
          <w:szCs w:val="20"/>
          <w:rtl/>
        </w:rPr>
        <w:t>התשע־עשרה</w:t>
      </w:r>
      <w:proofErr w:type="spellEnd"/>
      <w:r>
        <w:rPr>
          <w:sz w:val="20"/>
          <w:szCs w:val="20"/>
          <w:rtl/>
        </w:rPr>
        <w:t xml:space="preserve"> – כלומר, לאחר שנת לימוד רצופה </w:t>
      </w:r>
      <w:proofErr w:type="spellStart"/>
      <w:r>
        <w:rPr>
          <w:sz w:val="20"/>
          <w:szCs w:val="20"/>
          <w:rtl/>
        </w:rPr>
        <w:t>בסלבודקה</w:t>
      </w:r>
      <w:proofErr w:type="spellEnd"/>
      <w:r>
        <w:rPr>
          <w:sz w:val="20"/>
          <w:szCs w:val="20"/>
          <w:rtl/>
        </w:rPr>
        <w:t>.</w:t>
      </w:r>
    </w:p>
  </w:footnote>
  <w:footnote w:id="3758">
    <w:p w14:paraId="162C0C5E" w14:textId="77777777" w:rsidR="00AB3647" w:rsidRDefault="00000000">
      <w:pPr>
        <w:spacing w:after="0" w:before="0"/>
        <w:jc w:val="both"/>
      </w:pPr>
      <w:r>
        <w:rPr>
          <w:sz w:val="20"/>
          <w:szCs w:val="20"/>
          <w:rtl/>
        </w:rPr>
        <w:footnoteRef/>
      </w:r>
      <w:r>
        <w:rPr>
          <w:sz w:val="20"/>
          <w:szCs w:val="20"/>
          <w:rtl/>
        </w:rPr>
        <w:t>. ריאיון מיום 14 ביולי 1999.</w:t>
      </w:r>
    </w:p>
  </w:footnote>
  <w:footnote w:id="3759">
    <w:p w14:paraId="32E32CF8" w14:textId="77777777" w:rsidR="00AB3647" w:rsidRDefault="00000000">
      <w:pPr>
        <w:spacing w:after="0" w:before="0"/>
        <w:jc w:val="both"/>
      </w:pPr>
      <w:r>
        <w:rPr>
          <w:sz w:val="20"/>
          <w:szCs w:val="20"/>
          <w:rtl/>
        </w:rPr>
        <w:footnoteRef/>
      </w:r>
      <w:r>
        <w:rPr>
          <w:sz w:val="20"/>
          <w:szCs w:val="20"/>
          <w:rtl/>
        </w:rPr>
        <w:t xml:space="preserve">. עמ׳ 4 ו־5, מתוך שיחה מוקלטת ומכתב של ר׳ </w:t>
      </w:r>
      <w:proofErr w:type="spellStart"/>
      <w:r>
        <w:rPr>
          <w:sz w:val="20"/>
          <w:szCs w:val="20"/>
          <w:rtl/>
        </w:rPr>
        <w:t>יחיאל־יעקב</w:t>
      </w:r>
      <w:proofErr w:type="spellEnd"/>
      <w:r>
        <w:rPr>
          <w:sz w:val="20"/>
          <w:szCs w:val="20"/>
          <w:rtl/>
        </w:rPr>
        <w:t xml:space="preserve"> ויינברג, בהתאמה.</w:t>
      </w:r>
    </w:p>
  </w:footnote>
  <w:footnote w:id="3760">
    <w:p w14:paraId="5040F01F" w14:textId="77777777" w:rsidR="00AB3647" w:rsidRDefault="00000000">
      <w:pPr>
        <w:spacing w:after="0" w:before="0"/>
        <w:jc w:val="both"/>
      </w:pPr>
      <w:r>
        <w:rPr>
          <w:sz w:val="20"/>
          <w:szCs w:val="20"/>
          <w:rtl/>
        </w:rPr>
        <w:footnoteRef/>
      </w:r>
      <w:r>
        <w:rPr>
          <w:sz w:val="20"/>
          <w:szCs w:val="20"/>
          <w:rtl/>
        </w:rPr>
        <w:t xml:space="preserve">. לפי מאמר ההספד של </w:t>
      </w:r>
      <w:proofErr w:type="spellStart"/>
      <w:r>
        <w:rPr>
          <w:sz w:val="20"/>
          <w:szCs w:val="20"/>
          <w:rtl/>
        </w:rPr>
        <w:t>ה״ל</w:t>
      </w:r>
      <w:proofErr w:type="spellEnd"/>
      <w:r>
        <w:rPr>
          <w:sz w:val="20"/>
          <w:szCs w:val="20"/>
          <w:rtl/>
        </w:rPr>
        <w:t xml:space="preserve"> גורדון </w:t>
      </w:r>
      <w:proofErr w:type="spellStart"/>
      <w:r>
        <w:rPr>
          <w:sz w:val="20"/>
          <w:szCs w:val="20"/>
          <w:rtl/>
        </w:rPr>
        <w:t>ב“הדואר</w:t>
      </w:r>
      <w:proofErr w:type="spellEnd"/>
      <w:r>
        <w:rPr>
          <w:sz w:val="20"/>
          <w:szCs w:val="20"/>
          <w:rtl/>
        </w:rPr>
        <w:t xml:space="preserve">”, לפני שבא </w:t>
      </w:r>
      <w:proofErr w:type="spellStart"/>
      <w:r>
        <w:rPr>
          <w:sz w:val="20"/>
          <w:szCs w:val="20"/>
          <w:rtl/>
        </w:rPr>
        <w:t>לסלבודקה</w:t>
      </w:r>
      <w:proofErr w:type="spellEnd"/>
      <w:r>
        <w:rPr>
          <w:sz w:val="20"/>
          <w:szCs w:val="20"/>
          <w:rtl/>
        </w:rPr>
        <w:t xml:space="preserve"> למד באותה עיר כשנה בקיבוץ בבית המדרש שייסד ר׳ </w:t>
      </w:r>
      <w:proofErr w:type="spellStart"/>
      <w:r>
        <w:rPr>
          <w:sz w:val="20"/>
          <w:szCs w:val="20"/>
          <w:rtl/>
        </w:rPr>
        <w:t>נחומק׳ה</w:t>
      </w:r>
      <w:proofErr w:type="spellEnd"/>
      <w:r>
        <w:rPr>
          <w:sz w:val="20"/>
          <w:szCs w:val="20"/>
          <w:rtl/>
        </w:rPr>
        <w:t xml:space="preserve"> קפלן. הוא גם לימד מדי יום בבית המדרש של בעלי העגלות </w:t>
      </w:r>
      <w:proofErr w:type="spellStart"/>
      <w:r>
        <w:rPr>
          <w:sz w:val="20"/>
          <w:szCs w:val="20"/>
          <w:rtl/>
        </w:rPr>
        <w:t>בגרודנא</w:t>
      </w:r>
      <w:proofErr w:type="spellEnd"/>
      <w:r>
        <w:rPr>
          <w:sz w:val="20"/>
          <w:szCs w:val="20"/>
          <w:rtl/>
        </w:rPr>
        <w:t xml:space="preserve"> ונשא שם דרשה בשבתות, אף שהיה בן </w:t>
      </w:r>
      <w:proofErr w:type="spellStart"/>
      <w:r>
        <w:rPr>
          <w:sz w:val="20"/>
          <w:szCs w:val="20"/>
          <w:rtl/>
        </w:rPr>
        <w:t>שש־עשרה</w:t>
      </w:r>
      <w:proofErr w:type="spellEnd"/>
      <w:r>
        <w:rPr>
          <w:sz w:val="20"/>
          <w:szCs w:val="20"/>
          <w:rtl/>
        </w:rPr>
        <w:t xml:space="preserve"> בלבד.</w:t>
      </w:r>
    </w:p>
  </w:footnote>
  <w:footnote w:id="3761">
    <w:p w14:paraId="6648C0C8" w14:textId="77777777" w:rsidR="00AB3647" w:rsidRDefault="00000000">
      <w:pPr>
        <w:spacing w:after="0" w:before="0"/>
        <w:jc w:val="both"/>
      </w:pPr>
      <w:r>
        <w:rPr>
          <w:sz w:val="20"/>
          <w:szCs w:val="20"/>
          <w:rtl/>
        </w:rPr>
        <w:footnoteRef/>
      </w:r>
      <w:r>
        <w:rPr>
          <w:sz w:val="20"/>
          <w:szCs w:val="20"/>
          <w:rtl/>
        </w:rPr>
        <w:t xml:space="preserve">. ראה הפסקה השלישית בפרק 3.2, וכן פרק 4, הערה 96, שספר יסוד זה היה חביב בישיבת </w:t>
      </w:r>
      <w:proofErr w:type="spellStart"/>
      <w:r>
        <w:rPr>
          <w:sz w:val="20"/>
          <w:szCs w:val="20"/>
          <w:rtl/>
        </w:rPr>
        <w:t>סלבודקה</w:t>
      </w:r>
      <w:proofErr w:type="spellEnd"/>
      <w:r>
        <w:rPr>
          <w:sz w:val="20"/>
          <w:szCs w:val="20"/>
          <w:rtl/>
        </w:rPr>
        <w:t>.</w:t>
      </w:r>
    </w:p>
  </w:footnote>
  <w:footnote w:id="3762">
    <w:p w14:paraId="1018AB99" w14:textId="77777777" w:rsidR="00AB3647" w:rsidRDefault="00000000">
      <w:pPr>
        <w:spacing w:after="0" w:before="0"/>
        <w:jc w:val="both"/>
      </w:pPr>
      <w:r>
        <w:rPr>
          <w:sz w:val="20"/>
          <w:szCs w:val="20"/>
          <w:rtl/>
        </w:rPr>
        <w:footnoteRef/>
      </w:r>
      <w:r>
        <w:rPr>
          <w:sz w:val="20"/>
          <w:szCs w:val="20"/>
          <w:rtl/>
        </w:rPr>
        <w:t xml:space="preserve">. אין ספק שגודלו הרגיל של הספר שהיה מונח לפני ר׳ </w:t>
      </w:r>
      <w:proofErr w:type="spellStart"/>
      <w:r>
        <w:rPr>
          <w:sz w:val="20"/>
          <w:szCs w:val="20"/>
          <w:rtl/>
        </w:rPr>
        <w:t>יחיאל־יעקב</w:t>
      </w:r>
      <w:proofErr w:type="spellEnd"/>
      <w:r>
        <w:rPr>
          <w:sz w:val="20"/>
          <w:szCs w:val="20"/>
          <w:rtl/>
        </w:rPr>
        <w:t xml:space="preserve"> לא הניח מקום לטעות ולחשבו לכרך הגדול של הקצות. כשהעלה הסבא את האפשרות שתלמידו לומד קצות, התבטא בדרך רטורית.</w:t>
      </w:r>
    </w:p>
  </w:footnote>
  <w:footnote w:id="3763">
    <w:p w14:paraId="1D7BD87D" w14:textId="77777777" w:rsidR="00AB3647" w:rsidRDefault="00000000">
      <w:pPr>
        <w:spacing w:after="0" w:before="0"/>
        <w:jc w:val="both"/>
      </w:pPr>
      <w:r>
        <w:rPr>
          <w:sz w:val="20"/>
          <w:szCs w:val="20"/>
          <w:rtl/>
        </w:rPr>
        <w:footnoteRef/>
      </w:r>
      <w:r>
        <w:rPr>
          <w:sz w:val="20"/>
          <w:szCs w:val="20"/>
          <w:rtl/>
        </w:rPr>
        <w:t xml:space="preserve">. השווה עמ׳ ז–ח במאמר הביוגרפי על ר׳ נפתלי שבפתח “חידושי </w:t>
      </w:r>
      <w:proofErr w:type="spellStart"/>
      <w:r>
        <w:rPr>
          <w:sz w:val="20"/>
          <w:szCs w:val="20"/>
          <w:rtl/>
        </w:rPr>
        <w:t>הגרנ״ט</w:t>
      </w:r>
      <w:proofErr w:type="spellEnd"/>
      <w:r>
        <w:rPr>
          <w:sz w:val="20"/>
          <w:szCs w:val="20"/>
          <w:rtl/>
        </w:rPr>
        <w:t xml:space="preserve"> השלם” (המקור הנזכר בפרק 3, הפסקה השנייה של נספח </w:t>
      </w:r>
      <w:proofErr w:type="spellStart"/>
      <w:r>
        <w:rPr>
          <w:sz w:val="20"/>
          <w:szCs w:val="20"/>
          <w:rtl/>
        </w:rPr>
        <w:t>כג</w:t>
      </w:r>
      <w:proofErr w:type="spellEnd"/>
      <w:r>
        <w:rPr>
          <w:sz w:val="20"/>
          <w:szCs w:val="20"/>
          <w:rtl/>
        </w:rPr>
        <w:t xml:space="preserve">); וראה פרק 3, הפסקה השנייה של נספח </w:t>
      </w:r>
      <w:proofErr w:type="spellStart"/>
      <w:r>
        <w:rPr>
          <w:sz w:val="20"/>
          <w:szCs w:val="20"/>
          <w:rtl/>
        </w:rPr>
        <w:t>יז</w:t>
      </w:r>
      <w:proofErr w:type="spellEnd"/>
      <w:r>
        <w:rPr>
          <w:sz w:val="20"/>
          <w:szCs w:val="20"/>
          <w:rtl/>
        </w:rPr>
        <w:t>, להרחבה על ישיבת אור החיים ומייסדה, והפסקה השנייה של נספח ג, להרחבה על ר׳ נפתלי.</w:t>
      </w:r>
    </w:p>
  </w:footnote>
  <w:footnote w:id="3764">
    <w:p w14:paraId="332CE6F6" w14:textId="77777777" w:rsidR="00AB3647" w:rsidRDefault="00000000">
      <w:pPr>
        <w:spacing w:after="0" w:before="0"/>
        <w:jc w:val="both"/>
      </w:pPr>
      <w:r>
        <w:rPr>
          <w:sz w:val="20"/>
          <w:szCs w:val="20"/>
          <w:rtl/>
        </w:rPr>
        <w:footnoteRef/>
      </w:r>
      <w:r>
        <w:rPr>
          <w:sz w:val="20"/>
          <w:szCs w:val="20"/>
          <w:rtl/>
        </w:rPr>
        <w:t xml:space="preserve">. מכתבי ר׳ </w:t>
      </w:r>
      <w:proofErr w:type="spellStart"/>
      <w:r>
        <w:rPr>
          <w:sz w:val="20"/>
          <w:szCs w:val="20"/>
          <w:rtl/>
        </w:rPr>
        <w:t>יחיאל־יעקב</w:t>
      </w:r>
      <w:proofErr w:type="spellEnd"/>
      <w:r>
        <w:rPr>
          <w:sz w:val="20"/>
          <w:szCs w:val="20"/>
          <w:rtl/>
        </w:rPr>
        <w:t xml:space="preserve"> ויינברג שפרסם מרק שפירא (נספח ד לעיל), מיום 24 בפברואר 1960.</w:t>
      </w:r>
    </w:p>
  </w:footnote>
  <w:footnote w:id="3765">
    <w:p w14:paraId="5CA54402" w14:textId="77777777" w:rsidR="00AB3647" w:rsidRDefault="00000000">
      <w:pPr>
        <w:spacing w:after="0" w:before="0"/>
        <w:jc w:val="both"/>
      </w:pPr>
      <w:r>
        <w:rPr>
          <w:sz w:val="20"/>
          <w:szCs w:val="20"/>
          <w:rtl/>
        </w:rPr>
        <w:footnoteRef/>
      </w:r>
      <w:r>
        <w:rPr>
          <w:sz w:val="20"/>
          <w:szCs w:val="20"/>
          <w:rtl/>
        </w:rPr>
        <w:t xml:space="preserve">. ראה את הערת הרב </w:t>
      </w:r>
      <w:proofErr w:type="spellStart"/>
      <w:r>
        <w:rPr>
          <w:sz w:val="20"/>
          <w:szCs w:val="20"/>
          <w:rtl/>
        </w:rPr>
        <w:t>דינובסקי</w:t>
      </w:r>
      <w:proofErr w:type="spellEnd"/>
      <w:r>
        <w:rPr>
          <w:sz w:val="20"/>
          <w:szCs w:val="20"/>
          <w:rtl/>
        </w:rPr>
        <w:t xml:space="preserve"> על לימוד רוסית, המובאת בפרק 5, הערה 45.</w:t>
      </w:r>
    </w:p>
  </w:footnote>
  <w:footnote w:id="3766">
    <w:p w14:paraId="4B2ED5FF" w14:textId="77777777" w:rsidR="00AB3647" w:rsidRDefault="00000000">
      <w:pPr>
        <w:spacing w:after="0" w:before="0"/>
        <w:jc w:val="both"/>
      </w:pPr>
      <w:r>
        <w:rPr>
          <w:sz w:val="20"/>
          <w:szCs w:val="20"/>
          <w:rtl/>
        </w:rPr>
        <w:footnoteRef/>
      </w:r>
      <w:r>
        <w:rPr>
          <w:sz w:val="20"/>
          <w:szCs w:val="20"/>
          <w:rtl/>
        </w:rPr>
        <w:t>. השווה כרך 2.</w:t>
      </w:r>
    </w:p>
  </w:footnote>
  <w:footnote w:id="3767">
    <w:p w14:paraId="5ED4663C" w14:textId="77777777" w:rsidR="00AB3647" w:rsidRDefault="00000000">
      <w:pPr>
        <w:spacing w:after="0" w:before="0"/>
        <w:jc w:val="both"/>
      </w:pPr>
      <w:r>
        <w:rPr>
          <w:sz w:val="20"/>
          <w:szCs w:val="20"/>
          <w:rtl/>
        </w:rPr>
        <w:footnoteRef/>
      </w:r>
      <w:r>
        <w:rPr>
          <w:sz w:val="20"/>
          <w:szCs w:val="20"/>
          <w:rtl/>
        </w:rPr>
        <w:t>. תהלים קט, כד.</w:t>
      </w:r>
    </w:p>
  </w:footnote>
  <w:footnote w:id="3768">
    <w:p w14:paraId="1562FA65" w14:textId="77777777" w:rsidR="00AB3647" w:rsidRDefault="00000000">
      <w:pPr>
        <w:spacing w:after="0" w:before="0"/>
        <w:jc w:val="both"/>
      </w:pPr>
      <w:r>
        <w:rPr>
          <w:sz w:val="20"/>
          <w:szCs w:val="20"/>
          <w:rtl/>
        </w:rPr>
        <w:footnoteRef/>
      </w:r>
      <w:r>
        <w:rPr>
          <w:sz w:val="20"/>
          <w:szCs w:val="20"/>
          <w:rtl/>
        </w:rPr>
        <w:t>. הפסקה השלישית של נספח ב לעיל – עמ׳ 423.</w:t>
      </w:r>
    </w:p>
  </w:footnote>
  <w:footnote w:id="3769">
    <w:p w14:paraId="112CAC11" w14:textId="77777777" w:rsidR="00AB3647" w:rsidRDefault="00000000">
      <w:pPr>
        <w:spacing w:after="0" w:before="0"/>
        <w:jc w:val="both"/>
      </w:pPr>
      <w:r>
        <w:rPr>
          <w:sz w:val="20"/>
          <w:szCs w:val="20"/>
          <w:rtl/>
        </w:rPr>
        <w:footnoteRef/>
      </w:r>
      <w:r>
        <w:rPr>
          <w:sz w:val="20"/>
          <w:szCs w:val="20"/>
          <w:rtl/>
        </w:rPr>
        <w:t>. מתואר שם.</w:t>
      </w:r>
    </w:p>
  </w:footnote>
  <w:footnote w:id="3770">
    <w:p w14:paraId="79D1C491" w14:textId="77777777" w:rsidR="00AB3647" w:rsidRDefault="00000000">
      <w:pPr>
        <w:spacing w:after="0" w:before="0"/>
        <w:jc w:val="both"/>
      </w:pPr>
      <w:r>
        <w:rPr>
          <w:sz w:val="20"/>
          <w:szCs w:val="20"/>
          <w:rtl/>
        </w:rPr>
        <w:footnoteRef/>
      </w:r>
      <w:r>
        <w:rPr>
          <w:sz w:val="20"/>
          <w:szCs w:val="20"/>
          <w:rtl/>
        </w:rPr>
        <w:t>. עמ׳ 315.</w:t>
      </w:r>
    </w:p>
  </w:footnote>
  <w:footnote w:id="3771">
    <w:p w14:paraId="7F6ED7F2" w14:textId="77777777" w:rsidR="00AB3647" w:rsidRDefault="00000000">
      <w:pPr>
        <w:spacing w:after="0" w:before="0"/>
        <w:jc w:val="both"/>
      </w:pPr>
      <w:r>
        <w:rPr>
          <w:sz w:val="20"/>
          <w:szCs w:val="20"/>
          <w:rtl/>
        </w:rPr>
        <w:footnoteRef/>
      </w:r>
      <w:r>
        <w:rPr>
          <w:sz w:val="20"/>
          <w:szCs w:val="20"/>
          <w:rtl/>
        </w:rPr>
        <w:t>. ריאיון מיום 7 בדצמבר 1987.</w:t>
      </w:r>
    </w:p>
  </w:footnote>
  <w:footnote w:id="3772">
    <w:p w14:paraId="5A5F670F" w14:textId="77777777" w:rsidR="00AB3647" w:rsidRDefault="00000000">
      <w:pPr>
        <w:spacing w:after="0" w:before="0"/>
        <w:jc w:val="both"/>
      </w:pPr>
      <w:r>
        <w:rPr>
          <w:sz w:val="20"/>
          <w:szCs w:val="20"/>
          <w:rtl/>
        </w:rPr>
        <w:footnoteRef/>
      </w:r>
      <w:r>
        <w:rPr>
          <w:sz w:val="20"/>
          <w:szCs w:val="20"/>
          <w:rtl/>
        </w:rPr>
        <w:t xml:space="preserve">. עמ׳ מג–מד, במאמר מאת ש. י. </w:t>
      </w:r>
      <w:proofErr w:type="spellStart"/>
      <w:r>
        <w:rPr>
          <w:sz w:val="20"/>
          <w:szCs w:val="20"/>
          <w:rtl/>
        </w:rPr>
        <w:t>ברוידא</w:t>
      </w:r>
      <w:proofErr w:type="spellEnd"/>
      <w:r>
        <w:rPr>
          <w:sz w:val="20"/>
          <w:szCs w:val="20"/>
          <w:rtl/>
        </w:rPr>
        <w:t>.</w:t>
      </w:r>
    </w:p>
  </w:footnote>
  <w:footnote w:id="3773">
    <w:p w14:paraId="190185F0" w14:textId="77777777" w:rsidR="00AB3647" w:rsidRDefault="00000000">
      <w:pPr>
        <w:spacing w:after="0" w:before="0"/>
        <w:jc w:val="both"/>
      </w:pPr>
      <w:r>
        <w:rPr>
          <w:sz w:val="20"/>
          <w:szCs w:val="20"/>
          <w:rtl/>
        </w:rPr>
        <w:footnoteRef/>
      </w:r>
      <w:r>
        <w:rPr>
          <w:sz w:val="20"/>
          <w:szCs w:val="20"/>
          <w:rtl/>
        </w:rPr>
        <w:t>. הערה 3 לעיל – עמ׳ 430.</w:t>
      </w:r>
    </w:p>
  </w:footnote>
  <w:footnote w:id="3774">
    <w:p w14:paraId="6A7C19B5" w14:textId="77777777" w:rsidR="00AB3647" w:rsidRDefault="00000000">
      <w:pPr>
        <w:spacing w:after="0" w:before="0"/>
        <w:jc w:val="both"/>
      </w:pPr>
      <w:r>
        <w:rPr>
          <w:sz w:val="20"/>
          <w:szCs w:val="20"/>
          <w:rtl/>
        </w:rPr>
        <w:footnoteRef/>
      </w:r>
      <w:r>
        <w:rPr>
          <w:sz w:val="20"/>
          <w:szCs w:val="20"/>
          <w:rtl/>
        </w:rPr>
        <w:t>. עמ׳ 308–309.</w:t>
      </w:r>
    </w:p>
  </w:footnote>
  <w:footnote w:id="3775">
    <w:p w14:paraId="35F32692" w14:textId="77777777" w:rsidR="00AB3647" w:rsidRDefault="00000000">
      <w:pPr>
        <w:spacing w:after="0" w:before="0"/>
        <w:jc w:val="both"/>
      </w:pPr>
      <w:r>
        <w:rPr>
          <w:sz w:val="20"/>
          <w:szCs w:val="20"/>
          <w:rtl/>
        </w:rPr>
        <w:footnoteRef/>
      </w:r>
      <w:r>
        <w:rPr>
          <w:sz w:val="20"/>
          <w:szCs w:val="20"/>
          <w:rtl/>
        </w:rPr>
        <w:t>. שם.</w:t>
      </w:r>
    </w:p>
  </w:footnote>
  <w:footnote w:id="3776">
    <w:p w14:paraId="4C1B8582" w14:textId="77777777" w:rsidR="00AB3647" w:rsidRDefault="00000000">
      <w:pPr>
        <w:spacing w:after="0" w:before="0"/>
        <w:jc w:val="both"/>
      </w:pPr>
      <w:r>
        <w:rPr>
          <w:sz w:val="20"/>
          <w:szCs w:val="20"/>
          <w:rtl/>
        </w:rPr>
        <w:footnoteRef/>
      </w:r>
      <w:r>
        <w:rPr>
          <w:sz w:val="20"/>
          <w:szCs w:val="20"/>
          <w:rtl/>
        </w:rPr>
        <w:t>. המקור הנזכר בפרק 2, נספח ב – עמ׳ 316.</w:t>
      </w:r>
    </w:p>
  </w:footnote>
  <w:footnote w:id="3777">
    <w:p w14:paraId="56DD973B" w14:textId="77777777" w:rsidR="00AB3647" w:rsidRDefault="00000000">
      <w:pPr>
        <w:spacing w:after="0" w:before="0"/>
        <w:jc w:val="both"/>
      </w:pPr>
      <w:r>
        <w:rPr>
          <w:sz w:val="20"/>
          <w:szCs w:val="20"/>
          <w:rtl/>
        </w:rPr>
        <w:footnoteRef/>
      </w:r>
      <w:r>
        <w:rPr>
          <w:sz w:val="20"/>
          <w:szCs w:val="20"/>
          <w:rtl/>
        </w:rPr>
        <w:t xml:space="preserve">. כפי שנתבאר בפרק 3, הערה 51, השפיעו על תלמידי </w:t>
      </w:r>
      <w:proofErr w:type="spellStart"/>
      <w:r>
        <w:rPr>
          <w:sz w:val="20"/>
          <w:szCs w:val="20"/>
          <w:rtl/>
        </w:rPr>
        <w:t>סלבודקה</w:t>
      </w:r>
      <w:proofErr w:type="spellEnd"/>
      <w:r>
        <w:rPr>
          <w:sz w:val="20"/>
          <w:szCs w:val="20"/>
          <w:rtl/>
        </w:rPr>
        <w:t xml:space="preserve"> שלא לראות בעין טובה את גיבור המוסר הזה, ר׳ יוזל.</w:t>
      </w:r>
    </w:p>
  </w:footnote>
  <w:footnote w:id="3778">
    <w:p w14:paraId="0DFF8575" w14:textId="77777777" w:rsidR="00AB3647" w:rsidRDefault="00000000">
      <w:pPr>
        <w:spacing w:after="0" w:before="0"/>
        <w:jc w:val="both"/>
      </w:pPr>
      <w:r>
        <w:rPr>
          <w:sz w:val="20"/>
          <w:szCs w:val="20"/>
          <w:rtl/>
        </w:rPr>
        <w:footnoteRef/>
      </w:r>
      <w:r>
        <w:rPr>
          <w:sz w:val="20"/>
          <w:szCs w:val="20"/>
          <w:rtl/>
        </w:rPr>
        <w:t xml:space="preserve">. </w:t>
      </w:r>
      <w:proofErr w:type="spellStart"/>
      <w:r>
        <w:rPr>
          <w:sz w:val="20"/>
          <w:szCs w:val="20"/>
          <w:rtl/>
        </w:rPr>
        <w:t>החפץ־חיים</w:t>
      </w:r>
      <w:proofErr w:type="spellEnd"/>
      <w:r>
        <w:rPr>
          <w:sz w:val="20"/>
          <w:szCs w:val="20"/>
          <w:rtl/>
        </w:rPr>
        <w:t xml:space="preserve"> השתמש בדימוי משונה. אי אפשר לומר שניבא את אושוויץ והאשים את המשכילים באסון היהודי, מפני שיהודים יראים ואוהבי מוסר לא פחות ממשכילים נעשו לאותה “ערמת אפר”. מוכרח שהתכוון למלאכי ג, כ–</w:t>
      </w:r>
      <w:proofErr w:type="spellStart"/>
      <w:r>
        <w:rPr>
          <w:sz w:val="20"/>
          <w:szCs w:val="20"/>
          <w:rtl/>
        </w:rPr>
        <w:t>כא</w:t>
      </w:r>
      <w:proofErr w:type="spellEnd"/>
      <w:r>
        <w:rPr>
          <w:sz w:val="20"/>
          <w:szCs w:val="20"/>
          <w:rtl/>
        </w:rPr>
        <w:t>, שבו עומדים “יראי שמי” כנגד הרשעים, שיהיו “אפר תחת כפות רגליכם”.</w:t>
      </w:r>
    </w:p>
  </w:footnote>
  <w:footnote w:id="3779">
    <w:p w14:paraId="1EAF96DF" w14:textId="77777777" w:rsidR="00AB3647" w:rsidRDefault="00000000">
      <w:pPr>
        <w:spacing w:after="0" w:before="0"/>
        <w:jc w:val="both"/>
      </w:pPr>
      <w:r>
        <w:rPr>
          <w:sz w:val="20"/>
          <w:szCs w:val="20"/>
          <w:rtl/>
        </w:rPr>
        <w:footnoteRef/>
      </w:r>
      <w:r>
        <w:rPr>
          <w:sz w:val="20"/>
          <w:szCs w:val="20"/>
          <w:rtl/>
        </w:rPr>
        <w:t xml:space="preserve">. “לימודי מוסרי התורה מאת וכו׳ מרן ירוחם הלוי </w:t>
      </w:r>
      <w:proofErr w:type="spellStart"/>
      <w:r>
        <w:rPr>
          <w:sz w:val="20"/>
          <w:szCs w:val="20"/>
          <w:rtl/>
        </w:rPr>
        <w:t>ליוואוויץ</w:t>
      </w:r>
      <w:proofErr w:type="spellEnd"/>
      <w:r>
        <w:rPr>
          <w:sz w:val="20"/>
          <w:szCs w:val="20"/>
          <w:rtl/>
        </w:rPr>
        <w:t xml:space="preserve">” – כרך א, עמ׳ </w:t>
      </w:r>
      <w:proofErr w:type="spellStart"/>
      <w:r>
        <w:rPr>
          <w:sz w:val="20"/>
          <w:szCs w:val="20"/>
          <w:rtl/>
        </w:rPr>
        <w:t>רנא</w:t>
      </w:r>
      <w:proofErr w:type="spellEnd"/>
      <w:r>
        <w:rPr>
          <w:sz w:val="20"/>
          <w:szCs w:val="20"/>
          <w:rtl/>
        </w:rPr>
        <w:t>–</w:t>
      </w:r>
      <w:proofErr w:type="spellStart"/>
      <w:r>
        <w:rPr>
          <w:sz w:val="20"/>
          <w:szCs w:val="20"/>
          <w:rtl/>
        </w:rPr>
        <w:t>רנב</w:t>
      </w:r>
      <w:proofErr w:type="spellEnd"/>
      <w:r>
        <w:rPr>
          <w:sz w:val="20"/>
          <w:szCs w:val="20"/>
          <w:rtl/>
        </w:rPr>
        <w:t>.</w:t>
      </w:r>
    </w:p>
  </w:footnote>
  <w:footnote w:id="3780">
    <w:p w14:paraId="513BB9C9" w14:textId="77777777" w:rsidR="00AB3647" w:rsidRDefault="00000000">
      <w:pPr>
        <w:spacing w:after="0" w:before="0"/>
        <w:jc w:val="both"/>
      </w:pPr>
      <w:r>
        <w:rPr>
          <w:sz w:val="20"/>
          <w:szCs w:val="20"/>
          <w:rtl/>
        </w:rPr>
        <w:footnoteRef/>
      </w:r>
      <w:r>
        <w:rPr>
          <w:sz w:val="20"/>
          <w:szCs w:val="20"/>
          <w:rtl/>
        </w:rPr>
        <w:t>. השווה סוף הערה 41 לעיל.</w:t>
      </w:r>
    </w:p>
  </w:footnote>
  <w:footnote w:id="3781">
    <w:p w14:paraId="7B532683" w14:textId="77777777" w:rsidR="00AB3647" w:rsidRDefault="00000000">
      <w:pPr>
        <w:spacing w:after="0" w:before="0"/>
        <w:jc w:val="both"/>
      </w:pPr>
      <w:r>
        <w:rPr>
          <w:sz w:val="20"/>
          <w:szCs w:val="20"/>
          <w:rtl/>
        </w:rPr>
        <w:footnoteRef/>
      </w:r>
      <w:r>
        <w:rPr>
          <w:sz w:val="20"/>
          <w:szCs w:val="20"/>
          <w:rtl/>
        </w:rPr>
        <w:t>. עמ׳ טו.</w:t>
      </w:r>
    </w:p>
  </w:footnote>
  <w:footnote w:id="3782">
    <w:p w14:paraId="3FF96F45" w14:textId="77777777" w:rsidR="00AB3647" w:rsidRDefault="00000000">
      <w:pPr>
        <w:spacing w:after="0" w:before="0"/>
        <w:jc w:val="both"/>
      </w:pPr>
      <w:r>
        <w:rPr>
          <w:sz w:val="20"/>
          <w:szCs w:val="20"/>
          <w:rtl/>
        </w:rPr>
        <w:footnoteRef/>
      </w:r>
      <w:r>
        <w:rPr>
          <w:sz w:val="20"/>
          <w:szCs w:val="20"/>
          <w:rtl/>
        </w:rPr>
        <w:t>. הרב קוטלר אמר זאת באירוסי נכד הסבא בירושלים בט״ז בשבט תשכ״ב, ור׳ הלל זקס חזר על הדברים במעמד ציבורי לכבוד נכדו של ר׳ אהרן, ר׳ מלכיאל קוטלר.</w:t>
      </w:r>
    </w:p>
  </w:footnote>
  <w:footnote w:id="3783">
    <w:p w14:paraId="5F2E7152" w14:textId="77777777" w:rsidR="00AB3647" w:rsidRDefault="00000000">
      <w:pPr>
        <w:spacing w:after="0" w:before="0"/>
        <w:jc w:val="both"/>
      </w:pPr>
      <w:r>
        <w:rPr>
          <w:sz w:val="20"/>
          <w:szCs w:val="20"/>
          <w:rtl/>
        </w:rPr>
        <w:footnoteRef/>
      </w:r>
      <w:r>
        <w:rPr>
          <w:sz w:val="20"/>
          <w:szCs w:val="20"/>
          <w:rtl/>
        </w:rPr>
        <w:t xml:space="preserve">. הריאיון המוקלט על הסבא </w:t>
      </w:r>
      <w:proofErr w:type="spellStart"/>
      <w:r>
        <w:rPr>
          <w:sz w:val="20"/>
          <w:szCs w:val="20"/>
          <w:rtl/>
        </w:rPr>
        <w:t>מסלבודקה</w:t>
      </w:r>
      <w:proofErr w:type="spellEnd"/>
      <w:r>
        <w:rPr>
          <w:sz w:val="20"/>
          <w:szCs w:val="20"/>
          <w:rtl/>
        </w:rPr>
        <w:t xml:space="preserve"> – הערה 1 לעיל.</w:t>
      </w:r>
    </w:p>
  </w:footnote>
  <w:footnote w:id="3784">
    <w:p w14:paraId="13BE4D07" w14:textId="77777777" w:rsidR="00AB3647" w:rsidRDefault="00000000">
      <w:pPr>
        <w:spacing w:after="0" w:before="0"/>
        <w:jc w:val="both"/>
      </w:pPr>
      <w:r>
        <w:rPr>
          <w:sz w:val="20"/>
          <w:szCs w:val="20"/>
          <w:rtl/>
        </w:rPr>
        <w:footnoteRef/>
      </w:r>
      <w:r>
        <w:rPr>
          <w:sz w:val="20"/>
          <w:szCs w:val="20"/>
          <w:rtl/>
        </w:rPr>
        <w:t xml:space="preserve">. ריאיון מיום 21 בפברואר 1999. הרב ברים שימש ראש ישיבה בניו </w:t>
      </w:r>
      <w:proofErr w:type="spellStart"/>
      <w:r>
        <w:rPr>
          <w:sz w:val="20"/>
          <w:szCs w:val="20"/>
          <w:rtl/>
        </w:rPr>
        <w:t>סקוור</w:t>
      </w:r>
      <w:proofErr w:type="spellEnd"/>
      <w:r>
        <w:rPr>
          <w:sz w:val="20"/>
          <w:szCs w:val="20"/>
          <w:rtl/>
        </w:rPr>
        <w:t xml:space="preserve"> חמש שנים, תשל״ז–תשמ״ב. ניו </w:t>
      </w:r>
      <w:proofErr w:type="spellStart"/>
      <w:r>
        <w:rPr>
          <w:sz w:val="20"/>
          <w:szCs w:val="20"/>
          <w:rtl/>
        </w:rPr>
        <w:t>סקוור</w:t>
      </w:r>
      <w:proofErr w:type="spellEnd"/>
      <w:r>
        <w:rPr>
          <w:sz w:val="20"/>
          <w:szCs w:val="20"/>
          <w:rtl/>
        </w:rPr>
        <w:t xml:space="preserve"> היא עיירה סמוכה </w:t>
      </w:r>
      <w:proofErr w:type="spellStart"/>
      <w:r>
        <w:rPr>
          <w:sz w:val="20"/>
          <w:szCs w:val="20"/>
          <w:rtl/>
        </w:rPr>
        <w:t>למונסי</w:t>
      </w:r>
      <w:proofErr w:type="spellEnd"/>
      <w:r>
        <w:rPr>
          <w:sz w:val="20"/>
          <w:szCs w:val="20"/>
          <w:rtl/>
        </w:rPr>
        <w:t xml:space="preserve">, שבה התגורר אבי </w:t>
      </w:r>
      <w:proofErr w:type="spellStart"/>
      <w:r>
        <w:rPr>
          <w:sz w:val="20"/>
          <w:szCs w:val="20"/>
          <w:rtl/>
        </w:rPr>
        <w:t>בתשע־עשרה</w:t>
      </w:r>
      <w:proofErr w:type="spellEnd"/>
      <w:r>
        <w:rPr>
          <w:sz w:val="20"/>
          <w:szCs w:val="20"/>
          <w:rtl/>
        </w:rPr>
        <w:t xml:space="preserve"> שנותיו האחרונות.</w:t>
      </w:r>
    </w:p>
  </w:footnote>
  <w:footnote w:id="3785">
    <w:p w14:paraId="069DD126" w14:textId="77777777" w:rsidR="00AB3647" w:rsidRDefault="00000000">
      <w:pPr>
        <w:spacing w:after="0" w:before="0"/>
        <w:jc w:val="both"/>
      </w:pPr>
      <w:r>
        <w:rPr>
          <w:sz w:val="20"/>
          <w:szCs w:val="20"/>
          <w:rtl/>
        </w:rPr>
        <w:footnoteRef/>
      </w:r>
      <w:r>
        <w:rPr>
          <w:sz w:val="20"/>
          <w:szCs w:val="20"/>
          <w:rtl/>
        </w:rPr>
        <w:t>. השווה פרק 2, הערה 85.</w:t>
      </w:r>
    </w:p>
  </w:footnote>
  <w:footnote w:id="3786">
    <w:p w14:paraId="6F6D5CD8" w14:textId="77777777" w:rsidR="00AB3647" w:rsidRDefault="00000000">
      <w:pPr>
        <w:spacing w:after="0" w:before="0"/>
        <w:jc w:val="both"/>
      </w:pPr>
      <w:r>
        <w:rPr>
          <w:sz w:val="20"/>
          <w:szCs w:val="20"/>
          <w:rtl/>
        </w:rPr>
        <w:footnoteRef/>
      </w:r>
      <w:r>
        <w:rPr>
          <w:sz w:val="20"/>
          <w:szCs w:val="20"/>
          <w:rtl/>
        </w:rPr>
        <w:t>. בשיחה איתי בכ״ח בטבת תשמ״ז.</w:t>
      </w:r>
    </w:p>
  </w:footnote>
  <w:footnote w:id="3787">
    <w:p w14:paraId="518FB398" w14:textId="77777777" w:rsidR="00AB3647" w:rsidRDefault="00000000">
      <w:pPr>
        <w:spacing w:after="0" w:before="0"/>
        <w:jc w:val="both"/>
      </w:pPr>
      <w:r>
        <w:rPr>
          <w:sz w:val="20"/>
          <w:szCs w:val="20"/>
          <w:rtl/>
        </w:rPr>
        <w:footnoteRef/>
      </w:r>
      <w:r>
        <w:rPr>
          <w:sz w:val="20"/>
          <w:szCs w:val="20"/>
          <w:rtl/>
        </w:rPr>
        <w:t xml:space="preserve">. לפרטים נוספים על מפעל צדקה זה, השווה עמ׳ 494–495 </w:t>
      </w:r>
      <w:proofErr w:type="spellStart"/>
      <w:r>
        <w:rPr>
          <w:sz w:val="20"/>
          <w:szCs w:val="20"/>
          <w:rtl/>
        </w:rPr>
        <w:t>ב“בני</w:t>
      </w:r>
      <w:proofErr w:type="spellEnd"/>
      <w:r>
        <w:rPr>
          <w:sz w:val="20"/>
          <w:szCs w:val="20"/>
          <w:rtl/>
        </w:rPr>
        <w:t xml:space="preserve"> רייכמן” מאת אנתוני </w:t>
      </w:r>
      <w:proofErr w:type="spellStart"/>
      <w:r>
        <w:rPr>
          <w:sz w:val="20"/>
          <w:szCs w:val="20"/>
          <w:rtl/>
        </w:rPr>
        <w:t>ביאנקו</w:t>
      </w:r>
      <w:proofErr w:type="spellEnd"/>
      <w:r>
        <w:rPr>
          <w:sz w:val="20"/>
          <w:szCs w:val="20"/>
          <w:rtl/>
        </w:rPr>
        <w:t xml:space="preserve"> (</w:t>
      </w:r>
      <w:proofErr w:type="spellStart"/>
      <w:r>
        <w:rPr>
          <w:sz w:val="20"/>
          <w:szCs w:val="20"/>
          <w:rtl/>
        </w:rPr>
        <w:t>רנדום</w:t>
      </w:r>
      <w:proofErr w:type="spellEnd"/>
      <w:r>
        <w:rPr>
          <w:sz w:val="20"/>
          <w:szCs w:val="20"/>
          <w:rtl/>
        </w:rPr>
        <w:t xml:space="preserve"> האוס, ניו יורק, 1997).</w:t>
      </w:r>
    </w:p>
  </w:footnote>
  <w:footnote w:id="3788">
    <w:p w14:paraId="10E9A211" w14:textId="77777777" w:rsidR="00AB3647" w:rsidRDefault="00000000">
      <w:pPr>
        <w:spacing w:after="0" w:before="0"/>
        <w:jc w:val="both"/>
      </w:pPr>
      <w:r>
        <w:rPr>
          <w:sz w:val="20"/>
          <w:szCs w:val="20"/>
          <w:rtl/>
        </w:rPr>
        <w:footnoteRef/>
      </w:r>
      <w:r>
        <w:rPr>
          <w:sz w:val="20"/>
          <w:szCs w:val="20"/>
          <w:rtl/>
        </w:rPr>
        <w:t>. השווה פרק 3, נספח א.</w:t>
      </w:r>
    </w:p>
  </w:footnote>
  <w:footnote w:id="3789">
    <w:p w14:paraId="6DFB2377" w14:textId="77777777" w:rsidR="00AB3647" w:rsidRDefault="00000000">
      <w:pPr>
        <w:spacing w:after="0" w:before="0"/>
        <w:jc w:val="both"/>
      </w:pPr>
      <w:r>
        <w:rPr>
          <w:sz w:val="20"/>
          <w:szCs w:val="20"/>
          <w:rtl/>
        </w:rPr>
        <w:footnoteRef/>
      </w:r>
      <w:r>
        <w:rPr>
          <w:sz w:val="20"/>
          <w:szCs w:val="20"/>
          <w:rtl/>
        </w:rPr>
        <w:t xml:space="preserve">. ראוי לשקול אם דעת ר׳ </w:t>
      </w:r>
      <w:proofErr w:type="spellStart"/>
      <w:r>
        <w:rPr>
          <w:sz w:val="20"/>
          <w:szCs w:val="20"/>
          <w:rtl/>
        </w:rPr>
        <w:t>אלעזר־מנחם־מן</w:t>
      </w:r>
      <w:proofErr w:type="spellEnd"/>
      <w:r>
        <w:rPr>
          <w:sz w:val="20"/>
          <w:szCs w:val="20"/>
          <w:rtl/>
        </w:rPr>
        <w:t xml:space="preserve"> שך על לחמן סותרת את דעת ר׳ חיים </w:t>
      </w:r>
      <w:proofErr w:type="spellStart"/>
      <w:r>
        <w:rPr>
          <w:sz w:val="20"/>
          <w:szCs w:val="20"/>
          <w:rtl/>
        </w:rPr>
        <w:t>סולובייצ׳יק</w:t>
      </w:r>
      <w:proofErr w:type="spellEnd"/>
      <w:r>
        <w:rPr>
          <w:sz w:val="20"/>
          <w:szCs w:val="20"/>
          <w:rtl/>
        </w:rPr>
        <w:t>, המובאת בשמו בפרק 3, אמצע הפסקה השלישית של נספח כה.</w:t>
      </w:r>
    </w:p>
  </w:footnote>
  <w:footnote w:id="3790">
    <w:p w14:paraId="568C7C66" w14:textId="77777777" w:rsidR="00AB3647" w:rsidRDefault="00000000">
      <w:pPr>
        <w:spacing w:after="0" w:before="0"/>
        <w:jc w:val="both"/>
      </w:pPr>
      <w:r>
        <w:rPr>
          <w:sz w:val="20"/>
          <w:szCs w:val="20"/>
          <w:rtl/>
        </w:rPr>
        <w:footnoteRef/>
      </w:r>
      <w:r>
        <w:rPr>
          <w:sz w:val="20"/>
          <w:szCs w:val="20"/>
          <w:rtl/>
        </w:rPr>
        <w:t>. פול רייכמן עצמו המעיט בחלקו בהבטחת “קיום כל התורה” כשאמר, לפי “בני רייכמן”, עמ׳ 496: “אכן עזרנו מאוד במצבים רבים... אבל במבט כולל איני מאמין שהשפעתנו הייתה כה גדולה: קשה להעריך את השפעת השקעתנו במטרה שיש לה תומכים כה רבים”.</w:t>
      </w:r>
    </w:p>
  </w:footnote>
  <w:footnote w:id="3791">
    <w:p w14:paraId="668D2BBF" w14:textId="77777777" w:rsidR="00AB3647" w:rsidRDefault="00000000">
      <w:pPr>
        <w:spacing w:after="0" w:before="0"/>
        <w:jc w:val="both"/>
      </w:pPr>
      <w:r>
        <w:rPr>
          <w:sz w:val="20"/>
          <w:szCs w:val="20"/>
          <w:rtl/>
        </w:rPr>
        <w:footnoteRef/>
      </w:r>
      <w:r>
        <w:rPr>
          <w:sz w:val="20"/>
          <w:szCs w:val="20"/>
          <w:rtl/>
        </w:rPr>
        <w:t xml:space="preserve">. הצטערתי אחר כך שלא שאלתי את ר׳ </w:t>
      </w:r>
      <w:proofErr w:type="spellStart"/>
      <w:r>
        <w:rPr>
          <w:sz w:val="20"/>
          <w:szCs w:val="20"/>
          <w:rtl/>
        </w:rPr>
        <w:t>אלעזר־מנחם־מן</w:t>
      </w:r>
      <w:proofErr w:type="spellEnd"/>
      <w:r>
        <w:rPr>
          <w:sz w:val="20"/>
          <w:szCs w:val="20"/>
          <w:rtl/>
        </w:rPr>
        <w:t xml:space="preserve"> שך מה היה המקור המדויק.</w:t>
      </w:r>
    </w:p>
  </w:footnote>
  <w:footnote w:id="3792">
    <w:p w14:paraId="50D41E4B" w14:textId="77777777" w:rsidR="00AB3647" w:rsidRDefault="00000000">
      <w:pPr>
        <w:spacing w:after="0" w:before="0"/>
        <w:jc w:val="both"/>
      </w:pPr>
      <w:r>
        <w:rPr>
          <w:sz w:val="20"/>
          <w:szCs w:val="20"/>
          <w:rtl/>
        </w:rPr>
        <w:footnoteRef/>
      </w:r>
      <w:r>
        <w:rPr>
          <w:sz w:val="20"/>
          <w:szCs w:val="20"/>
          <w:rtl/>
        </w:rPr>
        <w:t>. ריאיון מיום 1 בינואר 1987.</w:t>
      </w:r>
    </w:p>
  </w:footnote>
  <w:footnote w:id="3793">
    <w:p w14:paraId="749B1044" w14:textId="77777777" w:rsidR="00AB3647" w:rsidRDefault="00000000">
      <w:pPr>
        <w:spacing w:after="0" w:before="0"/>
        <w:jc w:val="both"/>
      </w:pPr>
      <w:r>
        <w:rPr>
          <w:sz w:val="20"/>
          <w:szCs w:val="20"/>
          <w:rtl/>
        </w:rPr>
        <w:footnoteRef/>
      </w:r>
      <w:r>
        <w:rPr>
          <w:sz w:val="20"/>
          <w:szCs w:val="20"/>
          <w:rtl/>
        </w:rPr>
        <w:t>. ריאיון מיום 30 ביולי 1995.</w:t>
      </w:r>
    </w:p>
  </w:footnote>
  <w:footnote w:id="3794">
    <w:p w14:paraId="7BCBE58E" w14:textId="77777777" w:rsidR="00AB3647" w:rsidRDefault="00000000">
      <w:pPr>
        <w:spacing w:after="0" w:before="0"/>
        <w:jc w:val="both"/>
      </w:pPr>
      <w:r>
        <w:rPr>
          <w:sz w:val="20"/>
          <w:szCs w:val="20"/>
          <w:rtl/>
        </w:rPr>
        <w:footnoteRef/>
      </w:r>
      <w:r>
        <w:rPr>
          <w:sz w:val="20"/>
          <w:szCs w:val="20"/>
          <w:rtl/>
        </w:rPr>
        <w:t>. השווה פרק 2, הערה 80, על דעת אבי שמחלוקות בהשקפה אינן צריכות להשפיע על יחסים בין בני אדם.</w:t>
      </w:r>
    </w:p>
  </w:footnote>
  <w:footnote w:id="3795">
    <w:p w14:paraId="5832654E" w14:textId="77777777" w:rsidR="00AB3647" w:rsidRDefault="00000000">
      <w:pPr>
        <w:spacing w:after="0" w:before="0"/>
        <w:jc w:val="both"/>
      </w:pPr>
      <w:r>
        <w:rPr>
          <w:sz w:val="20"/>
          <w:szCs w:val="20"/>
          <w:rtl/>
        </w:rPr>
        <w:footnoteRef/>
      </w:r>
      <w:r>
        <w:rPr>
          <w:sz w:val="20"/>
          <w:szCs w:val="20"/>
          <w:rtl/>
        </w:rPr>
        <w:t>. המקור הנזכר בפרק 2, הערה 20.</w:t>
      </w:r>
    </w:p>
  </w:footnote>
  <w:footnote w:id="3796">
    <w:p w14:paraId="206550C2" w14:textId="77777777" w:rsidR="00AB3647" w:rsidRDefault="00000000">
      <w:pPr>
        <w:spacing w:after="0" w:before="0"/>
        <w:jc w:val="both"/>
      </w:pPr>
      <w:r>
        <w:rPr>
          <w:sz w:val="20"/>
          <w:szCs w:val="20"/>
          <w:rtl/>
        </w:rPr>
        <w:footnoteRef/>
      </w:r>
      <w:r>
        <w:rPr>
          <w:sz w:val="20"/>
          <w:szCs w:val="20"/>
          <w:rtl/>
        </w:rPr>
        <w:t>. המקור הנזכר בפרק 3, נספח א.</w:t>
      </w:r>
    </w:p>
  </w:footnote>
  <w:footnote w:id="3797">
    <w:p w14:paraId="69D7D9C5" w14:textId="77777777" w:rsidR="00AB3647" w:rsidRDefault="00000000">
      <w:pPr>
        <w:spacing w:after="0" w:before="0"/>
        <w:jc w:val="both"/>
      </w:pPr>
      <w:r>
        <w:rPr>
          <w:sz w:val="20"/>
          <w:szCs w:val="20"/>
          <w:rtl/>
        </w:rPr>
        <w:footnoteRef/>
      </w:r>
      <w:r>
        <w:rPr>
          <w:sz w:val="20"/>
          <w:szCs w:val="20"/>
          <w:rtl/>
        </w:rPr>
        <w:t xml:space="preserve">. כותרתו “הערות ומילואים לקורות ספרי רבנו </w:t>
      </w:r>
      <w:proofErr w:type="spellStart"/>
      <w:r>
        <w:rPr>
          <w:sz w:val="20"/>
          <w:szCs w:val="20"/>
          <w:rtl/>
        </w:rPr>
        <w:t>הגר״א</w:t>
      </w:r>
      <w:proofErr w:type="spellEnd"/>
      <w:r>
        <w:rPr>
          <w:sz w:val="20"/>
          <w:szCs w:val="20"/>
          <w:rtl/>
        </w:rPr>
        <w:t xml:space="preserve"> ז״ל”, והוא נדפס </w:t>
      </w:r>
      <w:proofErr w:type="spellStart"/>
      <w:r>
        <w:rPr>
          <w:sz w:val="20"/>
          <w:szCs w:val="20"/>
          <w:rtl/>
        </w:rPr>
        <w:t>ב“תלפיות</w:t>
      </w:r>
      <w:proofErr w:type="spellEnd"/>
      <w:r>
        <w:rPr>
          <w:sz w:val="20"/>
          <w:szCs w:val="20"/>
          <w:rtl/>
        </w:rPr>
        <w:t xml:space="preserve">”, שמוציאה לאור ישיבה </w:t>
      </w:r>
      <w:proofErr w:type="spellStart"/>
      <w:r>
        <w:rPr>
          <w:sz w:val="20"/>
          <w:szCs w:val="20"/>
          <w:rtl/>
        </w:rPr>
        <w:t>יוניברסיטי</w:t>
      </w:r>
      <w:proofErr w:type="spellEnd"/>
      <w:r>
        <w:rPr>
          <w:sz w:val="20"/>
          <w:szCs w:val="20"/>
          <w:rtl/>
        </w:rPr>
        <w:t xml:space="preserve"> בניו יורק, תשי״א – עמ׳ 358–359. ר׳ </w:t>
      </w:r>
      <w:proofErr w:type="spellStart"/>
      <w:r>
        <w:rPr>
          <w:sz w:val="20"/>
          <w:szCs w:val="20"/>
          <w:rtl/>
        </w:rPr>
        <w:t>צבי־הירש</w:t>
      </w:r>
      <w:proofErr w:type="spellEnd"/>
      <w:r>
        <w:rPr>
          <w:sz w:val="20"/>
          <w:szCs w:val="20"/>
          <w:rtl/>
        </w:rPr>
        <w:t xml:space="preserve"> פרבר נולד </w:t>
      </w:r>
      <w:proofErr w:type="spellStart"/>
      <w:r>
        <w:rPr>
          <w:sz w:val="20"/>
          <w:szCs w:val="20"/>
          <w:rtl/>
        </w:rPr>
        <w:t>בתרמ״ג</w:t>
      </w:r>
      <w:proofErr w:type="spellEnd"/>
      <w:r>
        <w:rPr>
          <w:sz w:val="20"/>
          <w:szCs w:val="20"/>
          <w:rtl/>
        </w:rPr>
        <w:t xml:space="preserve"> ועבר לאנגליה </w:t>
      </w:r>
      <w:proofErr w:type="spellStart"/>
      <w:r>
        <w:rPr>
          <w:sz w:val="20"/>
          <w:szCs w:val="20"/>
          <w:rtl/>
        </w:rPr>
        <w:t>בתרע״א</w:t>
      </w:r>
      <w:proofErr w:type="spellEnd"/>
      <w:r>
        <w:rPr>
          <w:sz w:val="20"/>
          <w:szCs w:val="20"/>
          <w:rtl/>
        </w:rPr>
        <w:t>–תרע״ב, לפי “יחל” (המקור הנזכר בפרק 3, הערה 9), כרך ג, עמ׳ 79.</w:t>
      </w:r>
    </w:p>
  </w:footnote>
  <w:footnote w:id="3798">
    <w:p w14:paraId="18CA5CB8" w14:textId="77777777" w:rsidR="00AB3647" w:rsidRDefault="00000000">
      <w:pPr>
        <w:spacing w:after="0" w:before="0"/>
        <w:jc w:val="both"/>
      </w:pPr>
      <w:r>
        <w:rPr>
          <w:sz w:val="20"/>
          <w:szCs w:val="20"/>
          <w:rtl/>
        </w:rPr>
        <w:footnoteRef/>
      </w:r>
      <w:r>
        <w:rPr>
          <w:sz w:val="20"/>
          <w:szCs w:val="20"/>
          <w:rtl/>
        </w:rPr>
        <w:t xml:space="preserve">. מכתבו של ר׳ </w:t>
      </w:r>
      <w:proofErr w:type="spellStart"/>
      <w:r>
        <w:rPr>
          <w:sz w:val="20"/>
          <w:szCs w:val="20"/>
          <w:rtl/>
        </w:rPr>
        <w:t>צבי־הירש</w:t>
      </w:r>
      <w:proofErr w:type="spellEnd"/>
      <w:r>
        <w:rPr>
          <w:sz w:val="20"/>
          <w:szCs w:val="20"/>
          <w:rtl/>
        </w:rPr>
        <w:t xml:space="preserve"> פרבר נדפס עם הערות בכותרת “דרכו והנהגתו של בעל </w:t>
      </w:r>
      <w:proofErr w:type="spellStart"/>
      <w:r>
        <w:rPr>
          <w:sz w:val="20"/>
          <w:szCs w:val="20"/>
          <w:rtl/>
        </w:rPr>
        <w:t>ה‘לשם</w:t>
      </w:r>
      <w:proofErr w:type="spellEnd"/>
      <w:r>
        <w:rPr>
          <w:sz w:val="20"/>
          <w:szCs w:val="20"/>
          <w:rtl/>
        </w:rPr>
        <w:t xml:space="preserve"> שבו ואחלמה’”, </w:t>
      </w:r>
      <w:proofErr w:type="spellStart"/>
      <w:r>
        <w:rPr>
          <w:sz w:val="20"/>
          <w:szCs w:val="20"/>
          <w:rtl/>
        </w:rPr>
        <w:t>ב“ישורון</w:t>
      </w:r>
      <w:proofErr w:type="spellEnd"/>
      <w:r>
        <w:rPr>
          <w:sz w:val="20"/>
          <w:szCs w:val="20"/>
          <w:rtl/>
        </w:rPr>
        <w:t xml:space="preserve">”, גיליון ניסן תשנ״ט (יו״ל על ידי מכון “ישורון”, ניו יורק–ירושלים), עמ׳ </w:t>
      </w:r>
      <w:proofErr w:type="spellStart"/>
      <w:r>
        <w:rPr>
          <w:sz w:val="20"/>
          <w:szCs w:val="20"/>
          <w:rtl/>
        </w:rPr>
        <w:t>תרסא</w:t>
      </w:r>
      <w:proofErr w:type="spellEnd"/>
      <w:r>
        <w:rPr>
          <w:sz w:val="20"/>
          <w:szCs w:val="20"/>
          <w:rtl/>
        </w:rPr>
        <w:t>–</w:t>
      </w:r>
      <w:proofErr w:type="spellStart"/>
      <w:r>
        <w:rPr>
          <w:sz w:val="20"/>
          <w:szCs w:val="20"/>
          <w:rtl/>
        </w:rPr>
        <w:t>תרסה</w:t>
      </w:r>
      <w:proofErr w:type="spellEnd"/>
      <w:r>
        <w:rPr>
          <w:sz w:val="20"/>
          <w:szCs w:val="20"/>
          <w:rtl/>
        </w:rPr>
        <w:t>. ראה אות ד שם.</w:t>
      </w:r>
    </w:p>
  </w:footnote>
  <w:footnote w:id="3799">
    <w:p w14:paraId="2653C5E1" w14:textId="77777777" w:rsidR="00AB3647" w:rsidRDefault="00000000">
      <w:pPr>
        <w:spacing w:after="0" w:before="0"/>
        <w:jc w:val="both"/>
      </w:pPr>
      <w:r>
        <w:rPr>
          <w:sz w:val="20"/>
          <w:szCs w:val="20"/>
          <w:rtl/>
        </w:rPr>
        <w:footnoteRef/>
      </w:r>
      <w:r>
        <w:rPr>
          <w:sz w:val="20"/>
          <w:szCs w:val="20"/>
          <w:rtl/>
        </w:rPr>
        <w:t xml:space="preserve">. מאמרו של ר׳ </w:t>
      </w:r>
      <w:proofErr w:type="spellStart"/>
      <w:r>
        <w:rPr>
          <w:sz w:val="20"/>
          <w:szCs w:val="20"/>
          <w:rtl/>
        </w:rPr>
        <w:t>צבי־הירש</w:t>
      </w:r>
      <w:proofErr w:type="spellEnd"/>
      <w:r>
        <w:rPr>
          <w:sz w:val="20"/>
          <w:szCs w:val="20"/>
          <w:rtl/>
        </w:rPr>
        <w:t xml:space="preserve"> פרבר </w:t>
      </w:r>
      <w:proofErr w:type="spellStart"/>
      <w:r>
        <w:rPr>
          <w:sz w:val="20"/>
          <w:szCs w:val="20"/>
          <w:rtl/>
        </w:rPr>
        <w:t>ב“תלפיות</w:t>
      </w:r>
      <w:proofErr w:type="spellEnd"/>
      <w:r>
        <w:rPr>
          <w:sz w:val="20"/>
          <w:szCs w:val="20"/>
          <w:rtl/>
        </w:rPr>
        <w:t xml:space="preserve">”, עמ׳ 359. הוא מתאר את עצמו אז </w:t>
      </w:r>
      <w:proofErr w:type="spellStart"/>
      <w:r>
        <w:rPr>
          <w:sz w:val="20"/>
          <w:szCs w:val="20"/>
          <w:rtl/>
        </w:rPr>
        <w:t>כ“נרתע</w:t>
      </w:r>
      <w:proofErr w:type="spellEnd"/>
      <w:r>
        <w:rPr>
          <w:sz w:val="20"/>
          <w:szCs w:val="20"/>
          <w:rtl/>
        </w:rPr>
        <w:t xml:space="preserve"> מהדרת פניו הזוהרות של מארחו, כשישב עטוף בטלית ותפילין, דבוק בתורתו”.</w:t>
      </w:r>
    </w:p>
  </w:footnote>
  <w:footnote w:id="3800">
    <w:p w14:paraId="76DB03B4" w14:textId="77777777" w:rsidR="00AB3647" w:rsidRDefault="00000000">
      <w:pPr>
        <w:spacing w:after="0" w:before="0"/>
        <w:jc w:val="both"/>
      </w:pPr>
      <w:r>
        <w:rPr>
          <w:sz w:val="20"/>
          <w:szCs w:val="20"/>
          <w:rtl/>
        </w:rPr>
        <w:footnoteRef/>
      </w:r>
      <w:r>
        <w:rPr>
          <w:sz w:val="20"/>
          <w:szCs w:val="20"/>
          <w:rtl/>
        </w:rPr>
        <w:t xml:space="preserve">. ראה מכתבו של ר׳ </w:t>
      </w:r>
      <w:proofErr w:type="spellStart"/>
      <w:r>
        <w:rPr>
          <w:sz w:val="20"/>
          <w:szCs w:val="20"/>
          <w:rtl/>
        </w:rPr>
        <w:t>צבי־הירש</w:t>
      </w:r>
      <w:proofErr w:type="spellEnd"/>
      <w:r>
        <w:rPr>
          <w:sz w:val="20"/>
          <w:szCs w:val="20"/>
          <w:rtl/>
        </w:rPr>
        <w:t xml:space="preserve"> פרבר </w:t>
      </w:r>
      <w:proofErr w:type="spellStart"/>
      <w:r>
        <w:rPr>
          <w:sz w:val="20"/>
          <w:szCs w:val="20"/>
          <w:rtl/>
        </w:rPr>
        <w:t>ב“ישורון</w:t>
      </w:r>
      <w:proofErr w:type="spellEnd"/>
      <w:r>
        <w:rPr>
          <w:sz w:val="20"/>
          <w:szCs w:val="20"/>
          <w:rtl/>
        </w:rPr>
        <w:t>”, אות ו.</w:t>
      </w:r>
    </w:p>
  </w:footnote>
  <w:footnote w:id="3801">
    <w:p w14:paraId="4B2A0EB8" w14:textId="77777777" w:rsidR="00AB3647" w:rsidRDefault="00000000">
      <w:pPr>
        <w:spacing w:after="0" w:before="0"/>
        <w:jc w:val="both"/>
      </w:pPr>
      <w:r>
        <w:rPr>
          <w:sz w:val="20"/>
          <w:szCs w:val="20"/>
          <w:rtl/>
        </w:rPr>
        <w:footnoteRef/>
      </w:r>
      <w:r>
        <w:rPr>
          <w:sz w:val="20"/>
          <w:szCs w:val="20"/>
          <w:rtl/>
        </w:rPr>
        <w:t xml:space="preserve">. שם, אות ד, ובמאמרו של ר׳ </w:t>
      </w:r>
      <w:proofErr w:type="spellStart"/>
      <w:r>
        <w:rPr>
          <w:sz w:val="20"/>
          <w:szCs w:val="20"/>
          <w:rtl/>
        </w:rPr>
        <w:t>צבי־הירש</w:t>
      </w:r>
      <w:proofErr w:type="spellEnd"/>
      <w:r>
        <w:rPr>
          <w:sz w:val="20"/>
          <w:szCs w:val="20"/>
          <w:rtl/>
        </w:rPr>
        <w:t xml:space="preserve"> פרבר </w:t>
      </w:r>
      <w:proofErr w:type="spellStart"/>
      <w:r>
        <w:rPr>
          <w:sz w:val="20"/>
          <w:szCs w:val="20"/>
          <w:rtl/>
        </w:rPr>
        <w:t>ב“תלפיות</w:t>
      </w:r>
      <w:proofErr w:type="spellEnd"/>
      <w:r>
        <w:rPr>
          <w:sz w:val="20"/>
          <w:szCs w:val="20"/>
          <w:rtl/>
        </w:rPr>
        <w:t>”.</w:t>
      </w:r>
    </w:p>
  </w:footnote>
  <w:footnote w:id="3802">
    <w:p w14:paraId="27838C47" w14:textId="77777777" w:rsidR="00AB3647" w:rsidRDefault="00000000">
      <w:pPr>
        <w:spacing w:after="0" w:before="0"/>
        <w:jc w:val="both"/>
      </w:pPr>
      <w:r>
        <w:rPr>
          <w:sz w:val="20"/>
          <w:szCs w:val="20"/>
          <w:rtl/>
        </w:rPr>
        <w:footnoteRef/>
      </w:r>
      <w:r>
        <w:rPr>
          <w:sz w:val="20"/>
          <w:szCs w:val="20"/>
          <w:rtl/>
        </w:rPr>
        <w:t>. ראה פרק 3, הפסקה הראשונה של נספח א.</w:t>
      </w:r>
    </w:p>
  </w:footnote>
  <w:footnote w:id="3803">
    <w:p w14:paraId="7CA934B0" w14:textId="77777777" w:rsidR="00AB3647" w:rsidRDefault="00000000">
      <w:pPr>
        <w:spacing w:after="0" w:before="0"/>
        <w:jc w:val="both"/>
      </w:pPr>
      <w:r>
        <w:rPr>
          <w:sz w:val="20"/>
          <w:szCs w:val="20"/>
          <w:rtl/>
        </w:rPr>
        <w:footnoteRef/>
      </w:r>
      <w:r>
        <w:rPr>
          <w:sz w:val="20"/>
          <w:szCs w:val="20"/>
          <w:rtl/>
        </w:rPr>
        <w:t xml:space="preserve">. “חבר מאמרים”, חלק ב (ברוקלין, תשכ״ט), עמ׳ </w:t>
      </w:r>
      <w:proofErr w:type="spellStart"/>
      <w:r>
        <w:rPr>
          <w:sz w:val="20"/>
          <w:szCs w:val="20"/>
          <w:rtl/>
        </w:rPr>
        <w:t>קעד</w:t>
      </w:r>
      <w:proofErr w:type="spellEnd"/>
      <w:r>
        <w:rPr>
          <w:sz w:val="20"/>
          <w:szCs w:val="20"/>
          <w:rtl/>
        </w:rPr>
        <w:t>.</w:t>
      </w:r>
    </w:p>
  </w:footnote>
  <w:footnote w:id="3804">
    <w:p w14:paraId="02574D49" w14:textId="77777777" w:rsidR="00AB3647" w:rsidRDefault="00000000">
      <w:pPr>
        <w:spacing w:after="0" w:before="0"/>
        <w:jc w:val="both"/>
      </w:pPr>
      <w:r>
        <w:rPr>
          <w:sz w:val="20"/>
          <w:szCs w:val="20"/>
          <w:rtl/>
        </w:rPr>
        <w:footnoteRef/>
      </w:r>
      <w:r>
        <w:rPr>
          <w:sz w:val="20"/>
          <w:szCs w:val="20"/>
          <w:rtl/>
        </w:rPr>
        <w:t>. השאלה אם השניים אכן נפגשו נידונה עוד בפסקה השנייה של נספח ח להלן.</w:t>
      </w:r>
    </w:p>
  </w:footnote>
  <w:footnote w:id="3805">
    <w:p w14:paraId="6A3C9B0B" w14:textId="77777777" w:rsidR="00AB3647" w:rsidRDefault="00000000">
      <w:pPr>
        <w:spacing w:after="0" w:before="0"/>
        <w:jc w:val="both"/>
      </w:pPr>
      <w:r>
        <w:rPr>
          <w:sz w:val="20"/>
          <w:szCs w:val="20"/>
          <w:rtl/>
        </w:rPr>
        <w:footnoteRef/>
      </w:r>
      <w:r>
        <w:rPr>
          <w:sz w:val="20"/>
          <w:szCs w:val="20"/>
          <w:rtl/>
        </w:rPr>
        <w:t xml:space="preserve">. את שואלו של ר׳ ישראל מכנה “חבר מאמרים” “ר׳ </w:t>
      </w:r>
      <w:proofErr w:type="spellStart"/>
      <w:r>
        <w:rPr>
          <w:sz w:val="20"/>
          <w:szCs w:val="20"/>
          <w:rtl/>
        </w:rPr>
        <w:t>שלומל׳ה</w:t>
      </w:r>
      <w:proofErr w:type="spellEnd"/>
      <w:r>
        <w:rPr>
          <w:sz w:val="20"/>
          <w:szCs w:val="20"/>
          <w:rtl/>
        </w:rPr>
        <w:t xml:space="preserve"> פיין, שהיה בקי </w:t>
      </w:r>
      <w:proofErr w:type="spellStart"/>
      <w:r>
        <w:rPr>
          <w:sz w:val="20"/>
          <w:szCs w:val="20"/>
          <w:rtl/>
        </w:rPr>
        <w:t>בחכמת</w:t>
      </w:r>
      <w:proofErr w:type="spellEnd"/>
      <w:r>
        <w:rPr>
          <w:sz w:val="20"/>
          <w:szCs w:val="20"/>
          <w:rtl/>
        </w:rPr>
        <w:t xml:space="preserve"> הקבלה כבר בשנות צעירותו”. זהו ר׳ שלמה אלישיב, שלימים חיבר את סדרת ספרי הקבלה “לשם”, ושמו היה כפול: פיין–</w:t>
      </w:r>
      <w:proofErr w:type="spellStart"/>
      <w:r>
        <w:rPr>
          <w:sz w:val="20"/>
          <w:szCs w:val="20"/>
          <w:rtl/>
        </w:rPr>
        <w:t>אלישוב</w:t>
      </w:r>
      <w:proofErr w:type="spellEnd"/>
      <w:r>
        <w:rPr>
          <w:sz w:val="20"/>
          <w:szCs w:val="20"/>
          <w:rtl/>
        </w:rPr>
        <w:t xml:space="preserve">. בשם הכפול כינהו ר׳ יוסף לייב בלוך כשתיאר את ביקורו אצל הצדיק, שהיה מבוגר ממנו </w:t>
      </w:r>
      <w:proofErr w:type="spellStart"/>
      <w:r>
        <w:rPr>
          <w:sz w:val="20"/>
          <w:szCs w:val="20"/>
          <w:rtl/>
        </w:rPr>
        <w:t>בתשע־עשרה</w:t>
      </w:r>
      <w:proofErr w:type="spellEnd"/>
      <w:r>
        <w:rPr>
          <w:sz w:val="20"/>
          <w:szCs w:val="20"/>
          <w:rtl/>
        </w:rPr>
        <w:t xml:space="preserve"> שנים, באחת משיחותיו שרשמו בניו ופרסמו </w:t>
      </w:r>
      <w:proofErr w:type="spellStart"/>
      <w:r>
        <w:rPr>
          <w:sz w:val="20"/>
          <w:szCs w:val="20"/>
          <w:rtl/>
        </w:rPr>
        <w:t>ב“שיעורי</w:t>
      </w:r>
      <w:proofErr w:type="spellEnd"/>
      <w:r>
        <w:rPr>
          <w:sz w:val="20"/>
          <w:szCs w:val="20"/>
          <w:rtl/>
        </w:rPr>
        <w:t xml:space="preserve"> דעת”, חלק ראשון (ירושלים, תשמ״ט), עמ׳ </w:t>
      </w:r>
      <w:proofErr w:type="spellStart"/>
      <w:r>
        <w:rPr>
          <w:sz w:val="20"/>
          <w:szCs w:val="20"/>
          <w:rtl/>
        </w:rPr>
        <w:t>קסג</w:t>
      </w:r>
      <w:proofErr w:type="spellEnd"/>
      <w:r>
        <w:rPr>
          <w:sz w:val="20"/>
          <w:szCs w:val="20"/>
          <w:rtl/>
        </w:rPr>
        <w:t xml:space="preserve">. פיין היה שם משפחתו של חותנו של הרב </w:t>
      </w:r>
      <w:proofErr w:type="spellStart"/>
      <w:r>
        <w:rPr>
          <w:sz w:val="20"/>
          <w:szCs w:val="20"/>
          <w:rtl/>
        </w:rPr>
        <w:t>אלישוב</w:t>
      </w:r>
      <w:proofErr w:type="spellEnd"/>
      <w:r>
        <w:rPr>
          <w:sz w:val="20"/>
          <w:szCs w:val="20"/>
          <w:rtl/>
        </w:rPr>
        <w:t xml:space="preserve">, שתמך בו, לפי “ארי במסתרים” – תולדות ר׳ שלמה אלישיב ליום הזיכרון החמישים, מאת שריה </w:t>
      </w:r>
      <w:proofErr w:type="spellStart"/>
      <w:r>
        <w:rPr>
          <w:sz w:val="20"/>
          <w:szCs w:val="20"/>
          <w:rtl/>
        </w:rPr>
        <w:t>דבליצקי</w:t>
      </w:r>
      <w:proofErr w:type="spellEnd"/>
      <w:r>
        <w:rPr>
          <w:sz w:val="20"/>
          <w:szCs w:val="20"/>
          <w:rtl/>
        </w:rPr>
        <w:t xml:space="preserve"> (בני ברק, תשל״ו). </w:t>
      </w:r>
      <w:proofErr w:type="spellStart"/>
      <w:r>
        <w:rPr>
          <w:sz w:val="20"/>
          <w:szCs w:val="20"/>
          <w:rtl/>
        </w:rPr>
        <w:t>אלישוב</w:t>
      </w:r>
      <w:proofErr w:type="spellEnd"/>
      <w:r>
        <w:rPr>
          <w:sz w:val="20"/>
          <w:szCs w:val="20"/>
          <w:rtl/>
        </w:rPr>
        <w:t xml:space="preserve"> </w:t>
      </w:r>
      <w:proofErr w:type="spellStart"/>
      <w:r>
        <w:rPr>
          <w:sz w:val="20"/>
          <w:szCs w:val="20"/>
          <w:rtl/>
        </w:rPr>
        <w:t>ואלישב</w:t>
      </w:r>
      <w:proofErr w:type="spellEnd"/>
      <w:r>
        <w:rPr>
          <w:sz w:val="20"/>
          <w:szCs w:val="20"/>
          <w:rtl/>
        </w:rPr>
        <w:t xml:space="preserve"> (בפרק 4, הערה 139) הם שמות משפחה </w:t>
      </w:r>
      <w:proofErr w:type="spellStart"/>
      <w:r>
        <w:rPr>
          <w:sz w:val="20"/>
          <w:szCs w:val="20"/>
          <w:rtl/>
        </w:rPr>
        <w:t>יהודיים־רוסיים</w:t>
      </w:r>
      <w:proofErr w:type="spellEnd"/>
      <w:r>
        <w:rPr>
          <w:sz w:val="20"/>
          <w:szCs w:val="20"/>
          <w:rtl/>
        </w:rPr>
        <w:t>, ור׳ שלמה עִברת את שמו לשם המקראי אלישיב.</w:t>
      </w:r>
    </w:p>
    <w:p w14:paraId="3214F7AD" w14:textId="77777777" w:rsidR="00AB3647" w:rsidRDefault="00000000">
      <w:pPr>
        <w:spacing w:after="0" w:before="0"/>
        <w:jc w:val="both"/>
      </w:pPr>
      <w:r>
        <w:rPr>
          <w:sz w:val="20"/>
          <w:szCs w:val="20"/>
          <w:rtl/>
        </w:rPr>
        <w:t xml:space="preserve">העובדה שר׳ </w:t>
      </w:r>
      <w:proofErr w:type="spellStart"/>
      <w:r>
        <w:rPr>
          <w:sz w:val="20"/>
          <w:szCs w:val="20"/>
          <w:rtl/>
        </w:rPr>
        <w:t>שלומל׳ה</w:t>
      </w:r>
      <w:proofErr w:type="spellEnd"/>
      <w:r>
        <w:rPr>
          <w:sz w:val="20"/>
          <w:szCs w:val="20"/>
          <w:rtl/>
        </w:rPr>
        <w:t xml:space="preserve"> פיין ור׳ שלמה אלישיב היו אותו אדם נעלמה מעיני המחברים עמנואל </w:t>
      </w:r>
      <w:proofErr w:type="spellStart"/>
      <w:r>
        <w:rPr>
          <w:sz w:val="20"/>
          <w:szCs w:val="20"/>
          <w:rtl/>
        </w:rPr>
        <w:t>אטקס</w:t>
      </w:r>
      <w:proofErr w:type="spellEnd"/>
      <w:r>
        <w:rPr>
          <w:sz w:val="20"/>
          <w:szCs w:val="20"/>
          <w:rtl/>
        </w:rPr>
        <w:t xml:space="preserve">, בספרו “ר׳ ישראל </w:t>
      </w:r>
      <w:proofErr w:type="spellStart"/>
      <w:r>
        <w:rPr>
          <w:sz w:val="20"/>
          <w:szCs w:val="20"/>
          <w:rtl/>
        </w:rPr>
        <w:t>סלנטר</w:t>
      </w:r>
      <w:proofErr w:type="spellEnd"/>
      <w:r>
        <w:rPr>
          <w:sz w:val="20"/>
          <w:szCs w:val="20"/>
          <w:rtl/>
        </w:rPr>
        <w:t xml:space="preserve"> וראשיתה של תנועת המוסר” (המקור הנזכר בפרק 2, הפסקה השישית של נספח א), והלל גולדברג, בספרו “ישראל </w:t>
      </w:r>
      <w:proofErr w:type="spellStart"/>
      <w:r>
        <w:rPr>
          <w:sz w:val="20"/>
          <w:szCs w:val="20"/>
          <w:rtl/>
        </w:rPr>
        <w:t>סלנטר</w:t>
      </w:r>
      <w:proofErr w:type="spellEnd"/>
      <w:r>
        <w:rPr>
          <w:sz w:val="20"/>
          <w:szCs w:val="20"/>
          <w:rtl/>
        </w:rPr>
        <w:t xml:space="preserve">: טקסט, מבנה, רעיון” (הוצאת כתב, ניו יורק, 1982), שכתבו על עמדת ר׳ ישראל </w:t>
      </w:r>
      <w:proofErr w:type="spellStart"/>
      <w:r>
        <w:rPr>
          <w:sz w:val="20"/>
          <w:szCs w:val="20"/>
          <w:rtl/>
        </w:rPr>
        <w:t>סלנטר</w:t>
      </w:r>
      <w:proofErr w:type="spellEnd"/>
      <w:r>
        <w:rPr>
          <w:sz w:val="20"/>
          <w:szCs w:val="20"/>
          <w:rtl/>
        </w:rPr>
        <w:t xml:space="preserve"> כלפי לימוד קבלה. הם לא הבינו שר׳ שלמה אלישיב נקרא לפעמים פיין בלבד – אפילו לאחר פטירתו, כשנמסרה השיחה שבה כינהו ר׳ ירוחם </w:t>
      </w:r>
      <w:proofErr w:type="spellStart"/>
      <w:r>
        <w:rPr>
          <w:sz w:val="20"/>
          <w:szCs w:val="20"/>
          <w:rtl/>
        </w:rPr>
        <w:t>ליבוביץ</w:t>
      </w:r>
      <w:proofErr w:type="spellEnd"/>
      <w:r>
        <w:rPr>
          <w:sz w:val="20"/>
          <w:szCs w:val="20"/>
          <w:rtl/>
        </w:rPr>
        <w:t xml:space="preserve"> כך.</w:t>
      </w:r>
    </w:p>
  </w:footnote>
  <w:footnote w:id="3806">
    <w:p w14:paraId="696E69EF" w14:textId="77777777" w:rsidR="00AB3647" w:rsidRDefault="00000000">
      <w:pPr>
        <w:spacing w:after="0" w:before="0"/>
        <w:jc w:val="both"/>
      </w:pPr>
      <w:r>
        <w:rPr>
          <w:sz w:val="20"/>
          <w:szCs w:val="20"/>
          <w:rtl/>
        </w:rPr>
        <w:footnoteRef/>
      </w:r>
      <w:r>
        <w:rPr>
          <w:sz w:val="20"/>
          <w:szCs w:val="20"/>
          <w:rtl/>
        </w:rPr>
        <w:t xml:space="preserve">. ראה אות ב במכתבו של ר׳ </w:t>
      </w:r>
      <w:proofErr w:type="spellStart"/>
      <w:r>
        <w:rPr>
          <w:sz w:val="20"/>
          <w:szCs w:val="20"/>
          <w:rtl/>
        </w:rPr>
        <w:t>צבי־הירש</w:t>
      </w:r>
      <w:proofErr w:type="spellEnd"/>
      <w:r>
        <w:rPr>
          <w:sz w:val="20"/>
          <w:szCs w:val="20"/>
          <w:rtl/>
        </w:rPr>
        <w:t xml:space="preserve"> פרבר </w:t>
      </w:r>
      <w:proofErr w:type="spellStart"/>
      <w:r>
        <w:rPr>
          <w:sz w:val="20"/>
          <w:szCs w:val="20"/>
          <w:rtl/>
        </w:rPr>
        <w:t>ב“ישורון</w:t>
      </w:r>
      <w:proofErr w:type="spellEnd"/>
      <w:r>
        <w:rPr>
          <w:sz w:val="20"/>
          <w:szCs w:val="20"/>
          <w:rtl/>
        </w:rPr>
        <w:t>”.</w:t>
      </w:r>
    </w:p>
  </w:footnote>
  <w:footnote w:id="3807">
    <w:p w14:paraId="4BE2D79B" w14:textId="77777777" w:rsidR="00AB3647" w:rsidRDefault="00000000">
      <w:pPr>
        <w:spacing w:after="0" w:before="0"/>
        <w:jc w:val="both"/>
      </w:pPr>
      <w:r>
        <w:rPr>
          <w:sz w:val="20"/>
          <w:szCs w:val="20"/>
          <w:rtl/>
        </w:rPr>
        <w:footnoteRef/>
      </w:r>
      <w:r>
        <w:rPr>
          <w:sz w:val="20"/>
          <w:szCs w:val="20"/>
          <w:rtl/>
        </w:rPr>
        <w:t xml:space="preserve">. השווה גם עמ׳ </w:t>
      </w:r>
      <w:r>
        <w:rPr>
          <w:sz w:val="20"/>
          <w:szCs w:val="20"/>
          <w:rtl/>
        </w:rPr>
        <w:fldChar w:fldCharType="begin" w:dirty="true"/>
      </w:r>
      <w:r>
        <w:rPr>
          <w:sz w:val="20"/>
          <w:szCs w:val="20"/>
          <w:rtl/>
        </w:rPr>
        <w:instrText xml:space="preserve"> PAGEREF pr_f_4670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בכרך זה, בהערת שוליים </w:t>
      </w:r>
      <w:r>
        <w:rPr>
          <w:sz w:val="20"/>
          <w:szCs w:val="20"/>
          <w:rtl/>
        </w:rPr>
        <w:fldChar w:fldCharType="begin" w:dirty="true"/>
      </w:r>
      <w:r>
        <w:rPr>
          <w:sz w:val="20"/>
          <w:szCs w:val="20"/>
          <w:rtl/>
        </w:rPr>
        <w:instrText xml:space="preserve"> NOTEREF pr_f_4670 \h </w:instrText>
      </w:r>
      <w:r>
        <w:rPr>
          <w:sz w:val="20"/>
          <w:szCs w:val="20"/>
          <w:rtl/>
        </w:rPr>
      </w:r>
      <w:r>
        <w:rPr>
          <w:sz w:val="20"/>
          <w:szCs w:val="20"/>
          <w:rtl/>
        </w:rPr>
        <w:fldChar w:fldCharType="separate"/>
      </w:r>
      <w:r w:rsidR="007923E9">
        <w:rPr>
          <w:sz w:val="20"/>
          <w:szCs w:val="20"/>
          <w:rtl/>
        </w:rPr>
        <w:t>324</w:t>
      </w:r>
      <w:r>
        <w:rPr>
          <w:sz w:val="20"/>
          <w:szCs w:val="20"/>
          <w:rtl/>
        </w:rPr>
        <w:fldChar w:fldCharType="end"/>
      </w:r>
      <w:r>
        <w:rPr>
          <w:sz w:val="20"/>
          <w:szCs w:val="20"/>
          <w:rtl/>
        </w:rPr>
        <w:t xml:space="preserve">, על חולשת ר׳ </w:t>
      </w:r>
      <w:proofErr w:type="spellStart"/>
      <w:r>
        <w:rPr>
          <w:sz w:val="20"/>
          <w:szCs w:val="20"/>
          <w:rtl/>
        </w:rPr>
        <w:t>צבי־הירש</w:t>
      </w:r>
      <w:proofErr w:type="spellEnd"/>
      <w:r>
        <w:rPr>
          <w:sz w:val="20"/>
          <w:szCs w:val="20"/>
          <w:rtl/>
        </w:rPr>
        <w:t xml:space="preserve"> פרבר בענייני כרונולוגיה.</w:t>
      </w:r>
    </w:p>
  </w:footnote>
  <w:footnote w:id="3808">
    <w:p w14:paraId="587630B8" w14:textId="77777777" w:rsidR="00AB3647" w:rsidRDefault="00000000">
      <w:pPr>
        <w:spacing w:after="0" w:before="0"/>
        <w:jc w:val="both"/>
      </w:pPr>
      <w:r>
        <w:rPr>
          <w:sz w:val="20"/>
          <w:szCs w:val="20"/>
          <w:rtl/>
        </w:rPr>
        <w:footnoteRef/>
      </w:r>
      <w:r>
        <w:rPr>
          <w:sz w:val="20"/>
          <w:szCs w:val="20"/>
          <w:rtl/>
        </w:rPr>
        <w:t xml:space="preserve">. </w:t>
      </w:r>
      <w:proofErr w:type="spellStart"/>
      <w:r>
        <w:rPr>
          <w:sz w:val="20"/>
          <w:szCs w:val="20"/>
          <w:rtl/>
        </w:rPr>
        <w:t>פיעטרקוב</w:t>
      </w:r>
      <w:proofErr w:type="spellEnd"/>
      <w:r>
        <w:rPr>
          <w:sz w:val="20"/>
          <w:szCs w:val="20"/>
          <w:rtl/>
        </w:rPr>
        <w:t>, תרע״ב.</w:t>
      </w:r>
    </w:p>
  </w:footnote>
  <w:footnote w:id="3809">
    <w:p w14:paraId="4937F3C3"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ר׳ שלמה אלישיב, בעל הלשם, נפטר בירושלים בכ״ז באדר תרפ״ו, ולא </w:t>
      </w:r>
      <w:proofErr w:type="spellStart"/>
      <w:r>
        <w:rPr>
          <w:sz w:val="20"/>
          <w:szCs w:val="20"/>
          <w:rtl/>
        </w:rPr>
        <w:t>בתרפ״ח</w:t>
      </w:r>
      <w:proofErr w:type="spellEnd"/>
      <w:r>
        <w:rPr>
          <w:sz w:val="20"/>
          <w:szCs w:val="20"/>
          <w:rtl/>
        </w:rPr>
        <w:t>.</w:t>
      </w:r>
    </w:p>
  </w:footnote>
  <w:footnote w:id="3810">
    <w:p w14:paraId="028F4F6B" w14:textId="77777777" w:rsidR="00AB3647" w:rsidRDefault="00000000">
      <w:pPr>
        <w:spacing w:after="0" w:before="0"/>
        <w:jc w:val="both"/>
      </w:pPr>
      <w:r>
        <w:rPr>
          <w:sz w:val="20"/>
          <w:szCs w:val="20"/>
          <w:rtl/>
        </w:rPr>
        <w:footnoteRef/>
      </w:r>
      <w:r>
        <w:rPr>
          <w:sz w:val="20"/>
          <w:szCs w:val="20"/>
          <w:rtl/>
        </w:rPr>
        <w:t xml:space="preserve">. בשער “חלק הביאורים וחלקי הדרושים”. כרך זה נזכר בפרק 3, הפסקה השנייה של נספח </w:t>
      </w:r>
      <w:proofErr w:type="spellStart"/>
      <w:r>
        <w:rPr>
          <w:sz w:val="20"/>
          <w:szCs w:val="20"/>
          <w:rtl/>
        </w:rPr>
        <w:t>יז</w:t>
      </w:r>
      <w:proofErr w:type="spellEnd"/>
      <w:r>
        <w:rPr>
          <w:sz w:val="20"/>
          <w:szCs w:val="20"/>
          <w:rtl/>
        </w:rPr>
        <w:t>.</w:t>
      </w:r>
    </w:p>
  </w:footnote>
  <w:footnote w:id="3811">
    <w:p w14:paraId="4EE66B9A" w14:textId="77777777" w:rsidR="00AB3647" w:rsidRDefault="00000000">
      <w:pPr>
        <w:spacing w:after="0" w:before="0"/>
        <w:jc w:val="both"/>
      </w:pPr>
      <w:r>
        <w:rPr>
          <w:sz w:val="20"/>
          <w:szCs w:val="20"/>
          <w:rtl/>
        </w:rPr>
        <w:footnoteRef/>
      </w:r>
      <w:r>
        <w:rPr>
          <w:sz w:val="20"/>
          <w:szCs w:val="20"/>
          <w:rtl/>
        </w:rPr>
        <w:t xml:space="preserve">. כך נרמז שם משפחתו, אלישיב (או, ביתר דיוק, </w:t>
      </w:r>
      <w:proofErr w:type="spellStart"/>
      <w:r>
        <w:rPr>
          <w:sz w:val="20"/>
          <w:szCs w:val="20"/>
          <w:rtl/>
        </w:rPr>
        <w:t>אלישוב</w:t>
      </w:r>
      <w:proofErr w:type="spellEnd"/>
      <w:r>
        <w:rPr>
          <w:sz w:val="20"/>
          <w:szCs w:val="20"/>
          <w:rtl/>
        </w:rPr>
        <w:t xml:space="preserve">, כאמור בהערת שוליים </w:t>
      </w:r>
      <w:r>
        <w:rPr>
          <w:sz w:val="20"/>
          <w:szCs w:val="20"/>
          <w:rtl/>
        </w:rPr>
        <w:fldChar w:fldCharType="begin" w:dirty="true"/>
      </w:r>
      <w:r>
        <w:rPr>
          <w:sz w:val="20"/>
          <w:szCs w:val="20"/>
          <w:rtl/>
        </w:rPr>
        <w:instrText xml:space="preserve"> NOTEREF pr_f_3687 \h </w:instrText>
      </w:r>
      <w:r>
        <w:rPr>
          <w:sz w:val="20"/>
          <w:szCs w:val="20"/>
          <w:rtl/>
        </w:rPr>
      </w:r>
      <w:r>
        <w:rPr>
          <w:sz w:val="20"/>
          <w:szCs w:val="20"/>
          <w:rtl/>
        </w:rPr>
        <w:fldChar w:fldCharType="separate"/>
      </w:r>
      <w:r w:rsidR="007923E9">
        <w:rPr>
          <w:sz w:val="20"/>
          <w:szCs w:val="20"/>
          <w:rtl/>
        </w:rPr>
        <w:t>764</w:t>
      </w:r>
      <w:r>
        <w:rPr>
          <w:sz w:val="20"/>
          <w:szCs w:val="20"/>
          <w:rtl/>
        </w:rPr>
        <w:fldChar w:fldCharType="end"/>
      </w:r>
      <w:r>
        <w:rPr>
          <w:sz w:val="20"/>
          <w:szCs w:val="20"/>
          <w:rtl/>
        </w:rPr>
        <w:t xml:space="preserve"> לעיל, בעמ׳ </w:t>
      </w:r>
      <w:r>
        <w:rPr>
          <w:sz w:val="20"/>
          <w:szCs w:val="20"/>
          <w:rtl/>
        </w:rPr>
        <w:fldChar w:fldCharType="begin" w:dirty="true"/>
      </w:r>
      <w:r>
        <w:rPr>
          <w:sz w:val="20"/>
          <w:szCs w:val="20"/>
          <w:rtl/>
        </w:rPr>
        <w:instrText xml:space="preserve"> PAGEREF pr_f_3687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יחד עם שמו הפרטי – אף שר׳ משה אלישיב ציין בפניי ביום 9 בפברואר 2000 </w:t>
      </w:r>
      <w:proofErr w:type="spellStart"/>
      <w:r>
        <w:rPr>
          <w:sz w:val="20"/>
          <w:szCs w:val="20"/>
          <w:rtl/>
        </w:rPr>
        <w:t>ש“סבא־רבא</w:t>
      </w:r>
      <w:proofErr w:type="spellEnd"/>
      <w:r>
        <w:rPr>
          <w:sz w:val="20"/>
          <w:szCs w:val="20"/>
          <w:rtl/>
        </w:rPr>
        <w:t xml:space="preserve"> שלו, מחבר סדרת הלשם, מעולם לא הזכיר את שם משפחתו באף אחד מספריו”. הוא שינה את שם משפחתו </w:t>
      </w:r>
      <w:proofErr w:type="spellStart"/>
      <w:r>
        <w:rPr>
          <w:sz w:val="20"/>
          <w:szCs w:val="20"/>
          <w:rtl/>
        </w:rPr>
        <w:t>מאלישוב</w:t>
      </w:r>
      <w:proofErr w:type="spellEnd"/>
      <w:r>
        <w:rPr>
          <w:sz w:val="20"/>
          <w:szCs w:val="20"/>
          <w:rtl/>
        </w:rPr>
        <w:t xml:space="preserve"> הרגיל לאלישיב בעל המשמעות – ישיב האל – כפי שצוין בהערת שוליים </w:t>
      </w:r>
      <w:r>
        <w:rPr>
          <w:sz w:val="20"/>
          <w:szCs w:val="20"/>
          <w:rtl/>
        </w:rPr>
        <w:fldChar w:fldCharType="begin" w:dirty="true"/>
      </w:r>
      <w:r>
        <w:rPr>
          <w:sz w:val="20"/>
          <w:szCs w:val="20"/>
          <w:rtl/>
        </w:rPr>
        <w:instrText xml:space="preserve"> NOTEREF pr_f_3687 \h </w:instrText>
      </w:r>
      <w:r>
        <w:rPr>
          <w:sz w:val="20"/>
          <w:szCs w:val="20"/>
          <w:rtl/>
        </w:rPr>
      </w:r>
      <w:r>
        <w:rPr>
          <w:sz w:val="20"/>
          <w:szCs w:val="20"/>
          <w:rtl/>
        </w:rPr>
        <w:fldChar w:fldCharType="separate"/>
      </w:r>
      <w:r w:rsidR="007923E9">
        <w:rPr>
          <w:sz w:val="20"/>
          <w:szCs w:val="20"/>
          <w:rtl/>
        </w:rPr>
        <w:t>764</w:t>
      </w:r>
      <w:r>
        <w:rPr>
          <w:sz w:val="20"/>
          <w:szCs w:val="20"/>
          <w:rtl/>
        </w:rPr>
        <w:fldChar w:fldCharType="end"/>
      </w:r>
      <w:r>
        <w:rPr>
          <w:sz w:val="20"/>
          <w:szCs w:val="20"/>
          <w:rtl/>
        </w:rPr>
        <w:t>, ולכן מסתבר מאוד שירמוז גם לשם משפחתו החדש.</w:t>
      </w:r>
    </w:p>
    <w:p w14:paraId="78BAC178" w14:textId="77777777" w:rsidR="00AB3647" w:rsidRDefault="00000000">
      <w:pPr>
        <w:spacing w:after="0" w:before="0"/>
        <w:jc w:val="both"/>
      </w:pPr>
      <w:r>
        <w:rPr>
          <w:sz w:val="20"/>
          <w:szCs w:val="20"/>
          <w:rtl/>
        </w:rPr>
        <w:t xml:space="preserve">אני מתקשה לקבל את הפירוש </w:t>
      </w:r>
      <w:proofErr w:type="spellStart"/>
      <w:r>
        <w:rPr>
          <w:sz w:val="20"/>
          <w:szCs w:val="20"/>
          <w:rtl/>
        </w:rPr>
        <w:t>ל“כי</w:t>
      </w:r>
      <w:proofErr w:type="spellEnd"/>
      <w:r>
        <w:rPr>
          <w:sz w:val="20"/>
          <w:szCs w:val="20"/>
          <w:rtl/>
        </w:rPr>
        <w:t xml:space="preserve"> שמי בקרבו” שנמסר לי בשם אביו של ר׳ משה, ר׳ </w:t>
      </w:r>
      <w:proofErr w:type="spellStart"/>
      <w:r>
        <w:rPr>
          <w:sz w:val="20"/>
          <w:szCs w:val="20"/>
          <w:rtl/>
        </w:rPr>
        <w:t>יוסף־שלום</w:t>
      </w:r>
      <w:proofErr w:type="spellEnd"/>
      <w:r>
        <w:rPr>
          <w:sz w:val="20"/>
          <w:szCs w:val="20"/>
          <w:rtl/>
        </w:rPr>
        <w:t xml:space="preserve"> אלישיב: שהאותיות השניות בשלוש המילים שבשם החיבור, שי״ן בי״ת חי״ת, הן ראשי התיבות של שלמה בר׳ חיים. פירוש זה נראה דחוק, מפני שהמחבר יכול היה לקרוא לספרו “שבח”, או צורה אחרת של המילה, באותה תוצאה ובפחות עקיפין. יתר על כן, “אחלמה” מופיעה תמיד – בחומש כבשם הספר – עם </w:t>
      </w:r>
      <w:proofErr w:type="spellStart"/>
      <w:r>
        <w:rPr>
          <w:sz w:val="20"/>
          <w:szCs w:val="20"/>
          <w:rtl/>
        </w:rPr>
        <w:t>וא״ו</w:t>
      </w:r>
      <w:proofErr w:type="spellEnd"/>
      <w:r>
        <w:rPr>
          <w:sz w:val="20"/>
          <w:szCs w:val="20"/>
          <w:rtl/>
        </w:rPr>
        <w:t xml:space="preserve"> החיבור, כך שהחי״ת הנדרשת היא האות השלישית במילה ולא השנייה. לפירושו של ר׳ </w:t>
      </w:r>
      <w:proofErr w:type="spellStart"/>
      <w:r>
        <w:rPr>
          <w:sz w:val="20"/>
          <w:szCs w:val="20"/>
          <w:rtl/>
        </w:rPr>
        <w:t>יוסף־שלום</w:t>
      </w:r>
      <w:proofErr w:type="spellEnd"/>
      <w:r>
        <w:rPr>
          <w:sz w:val="20"/>
          <w:szCs w:val="20"/>
          <w:rtl/>
        </w:rPr>
        <w:t xml:space="preserve"> יש יסוד בסידור השערים של “חלק הביאורים וחלקי הדרושים”, שנדפסו לאחר פטירת המחבר, ושל “ספר הכללים חלק א”, שנדפס בחיי סבו (ירושלים, תרפ״ד): כוכביות הוצבו מעל אותיות שב״ח. אף על פי כן ההסתייגויות האמורות עומדות בעינן, ומסתבר שצורת אותיות שב״ח הייתה רק רמז משני, ולא מה שהתכוון אליו המחבר בכותבו “כי שמי בקרבו”.</w:t>
      </w:r>
    </w:p>
  </w:footnote>
  <w:footnote w:id="3812">
    <w:p w14:paraId="2F9D1739" w14:textId="77777777" w:rsidR="00AB3647" w:rsidRDefault="00000000">
      <w:pPr>
        <w:spacing w:after="0" w:before="0"/>
        <w:jc w:val="both"/>
      </w:pPr>
      <w:r>
        <w:rPr>
          <w:sz w:val="20"/>
          <w:szCs w:val="20"/>
          <w:rtl/>
        </w:rPr>
        <w:footnoteRef/>
      </w:r>
      <w:r>
        <w:rPr>
          <w:sz w:val="20"/>
          <w:szCs w:val="20"/>
          <w:rtl/>
        </w:rPr>
        <w:t>. ראה פרק 3, הערה 39.</w:t>
      </w:r>
    </w:p>
  </w:footnote>
  <w:footnote w:id="3813">
    <w:p w14:paraId="3890BEA6" w14:textId="77777777" w:rsidR="00AB3647" w:rsidRDefault="00000000">
      <w:pPr>
        <w:spacing w:after="0" w:before="0"/>
        <w:jc w:val="both"/>
      </w:pPr>
      <w:r>
        <w:rPr>
          <w:sz w:val="20"/>
          <w:szCs w:val="20"/>
          <w:rtl/>
        </w:rPr>
        <w:footnoteRef/>
      </w:r>
      <w:r>
        <w:rPr>
          <w:sz w:val="20"/>
          <w:szCs w:val="20"/>
          <w:rtl/>
        </w:rPr>
        <w:t>. גיליון כ״ז באב תרנ״ז.</w:t>
      </w:r>
    </w:p>
  </w:footnote>
  <w:footnote w:id="3814">
    <w:p w14:paraId="23EEB116" w14:textId="77777777" w:rsidR="00AB3647" w:rsidRDefault="00000000">
      <w:pPr>
        <w:spacing w:after="0" w:before="0"/>
        <w:jc w:val="both"/>
      </w:pPr>
      <w:r>
        <w:rPr>
          <w:sz w:val="20"/>
          <w:szCs w:val="20"/>
          <w:rtl/>
        </w:rPr>
        <w:footnoteRef/>
      </w:r>
      <w:r>
        <w:rPr>
          <w:sz w:val="20"/>
          <w:szCs w:val="20"/>
          <w:rtl/>
        </w:rPr>
        <w:t xml:space="preserve">. המקור הנזכר בפרק 3, הערה 6 (פורסם </w:t>
      </w:r>
      <w:proofErr w:type="spellStart"/>
      <w:r>
        <w:rPr>
          <w:sz w:val="20"/>
          <w:szCs w:val="20"/>
          <w:rtl/>
        </w:rPr>
        <w:t>בתרפ״ו</w:t>
      </w:r>
      <w:proofErr w:type="spellEnd"/>
      <w:r>
        <w:rPr>
          <w:sz w:val="20"/>
          <w:szCs w:val="20"/>
          <w:rtl/>
        </w:rPr>
        <w:t>) – עמ׳ 82.</w:t>
      </w:r>
    </w:p>
  </w:footnote>
  <w:footnote w:id="3815">
    <w:p w14:paraId="170C571C" w14:textId="77777777" w:rsidR="00AB3647" w:rsidRDefault="00000000">
      <w:pPr>
        <w:spacing w:after="0" w:before="0"/>
        <w:jc w:val="both"/>
      </w:pPr>
      <w:r>
        <w:rPr>
          <w:sz w:val="20"/>
          <w:szCs w:val="20"/>
          <w:rtl/>
        </w:rPr>
        <w:footnoteRef/>
      </w:r>
      <w:r>
        <w:rPr>
          <w:sz w:val="20"/>
          <w:szCs w:val="20"/>
          <w:rtl/>
        </w:rPr>
        <w:t xml:space="preserve">. נדפס </w:t>
      </w:r>
      <w:proofErr w:type="spellStart"/>
      <w:r>
        <w:rPr>
          <w:sz w:val="20"/>
          <w:szCs w:val="20"/>
          <w:rtl/>
        </w:rPr>
        <w:t>בפיעטרקוב</w:t>
      </w:r>
      <w:proofErr w:type="spellEnd"/>
      <w:r>
        <w:rPr>
          <w:sz w:val="20"/>
          <w:szCs w:val="20"/>
          <w:rtl/>
        </w:rPr>
        <w:t xml:space="preserve"> </w:t>
      </w:r>
      <w:proofErr w:type="spellStart"/>
      <w:r>
        <w:rPr>
          <w:sz w:val="20"/>
          <w:szCs w:val="20"/>
          <w:rtl/>
        </w:rPr>
        <w:t>בתרס״ט</w:t>
      </w:r>
      <w:proofErr w:type="spellEnd"/>
      <w:r>
        <w:rPr>
          <w:sz w:val="20"/>
          <w:szCs w:val="20"/>
          <w:rtl/>
        </w:rPr>
        <w:t>, כמה שנים לאחר ביקור ר׳ עובדיה לחמן בליטא.</w:t>
      </w:r>
    </w:p>
  </w:footnote>
  <w:footnote w:id="3816">
    <w:p w14:paraId="4F7696E7" w14:textId="77777777" w:rsidR="00AB3647" w:rsidRDefault="00000000">
      <w:pPr>
        <w:spacing w:after="0" w:before="0"/>
        <w:jc w:val="both"/>
      </w:pPr>
      <w:r>
        <w:rPr>
          <w:sz w:val="20"/>
          <w:szCs w:val="20"/>
          <w:rtl/>
        </w:rPr>
        <w:footnoteRef/>
      </w:r>
      <w:r>
        <w:rPr>
          <w:sz w:val="20"/>
          <w:szCs w:val="20"/>
          <w:rtl/>
        </w:rPr>
        <w:t>. וילנה, תרמ״ו – בעמוד ההקדמה V.</w:t>
      </w:r>
    </w:p>
  </w:footnote>
  <w:footnote w:id="3817">
    <w:p w14:paraId="1387EB92" w14:textId="77777777" w:rsidR="00AB3647" w:rsidRDefault="00000000">
      <w:pPr>
        <w:spacing w:after="0" w:before="0"/>
        <w:jc w:val="both"/>
      </w:pPr>
      <w:r>
        <w:rPr>
          <w:sz w:val="20"/>
          <w:szCs w:val="20"/>
          <w:rtl/>
        </w:rPr>
        <w:footnoteRef/>
      </w:r>
      <w:r>
        <w:rPr>
          <w:sz w:val="20"/>
          <w:szCs w:val="20"/>
          <w:rtl/>
        </w:rPr>
        <w:t xml:space="preserve">. המקור הנזכר בהערת שוליים </w:t>
      </w:r>
      <w:r>
        <w:rPr>
          <w:sz w:val="20"/>
          <w:szCs w:val="20"/>
          <w:rtl/>
        </w:rPr>
        <w:fldChar w:fldCharType="begin" w:dirty="true"/>
      </w:r>
      <w:r>
        <w:rPr>
          <w:sz w:val="20"/>
          <w:szCs w:val="20"/>
          <w:rtl/>
        </w:rPr>
        <w:instrText xml:space="preserve"> NOTEREF pr_f_1375 \h </w:instrText>
      </w:r>
      <w:r>
        <w:rPr>
          <w:sz w:val="20"/>
          <w:szCs w:val="20"/>
          <w:rtl/>
        </w:rPr>
      </w:r>
      <w:r>
        <w:rPr>
          <w:sz w:val="20"/>
          <w:szCs w:val="20"/>
          <w:rtl/>
        </w:rPr>
        <w:fldChar w:fldCharType="separate"/>
      </w:r>
      <w:r w:rsidR="007923E9">
        <w:rPr>
          <w:sz w:val="20"/>
          <w:szCs w:val="20"/>
          <w:rtl/>
        </w:rPr>
        <w:t>420</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pr_f_1375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3818">
    <w:p w14:paraId="6064F6BC" w14:textId="77777777" w:rsidR="00AB3647" w:rsidRDefault="00000000">
      <w:pPr>
        <w:spacing w:after="0" w:before="0"/>
        <w:jc w:val="both"/>
      </w:pPr>
      <w:r>
        <w:rPr>
          <w:sz w:val="20"/>
          <w:szCs w:val="20"/>
          <w:rtl/>
        </w:rPr>
        <w:footnoteRef/>
      </w:r>
      <w:r>
        <w:rPr>
          <w:sz w:val="20"/>
          <w:szCs w:val="20"/>
          <w:rtl/>
        </w:rPr>
        <w:t xml:space="preserve">. השווה גם הערת שוליים </w:t>
      </w:r>
      <w:r>
        <w:rPr>
          <w:sz w:val="20"/>
          <w:szCs w:val="20"/>
          <w:rtl/>
        </w:rPr>
        <w:fldChar w:fldCharType="begin" w:dirty="true"/>
      </w:r>
      <w:r>
        <w:rPr>
          <w:sz w:val="20"/>
          <w:szCs w:val="20"/>
          <w:rtl/>
        </w:rPr>
        <w:instrText xml:space="preserve"> NOTEREF pr_f_1542 \h </w:instrText>
      </w:r>
      <w:r>
        <w:rPr>
          <w:sz w:val="20"/>
          <w:szCs w:val="20"/>
          <w:rtl/>
        </w:rPr>
      </w:r>
      <w:r>
        <w:rPr>
          <w:sz w:val="20"/>
          <w:szCs w:val="20"/>
          <w:rtl/>
        </w:rPr>
        <w:fldChar w:fldCharType="separate"/>
      </w:r>
      <w:r w:rsidR="007923E9">
        <w:rPr>
          <w:sz w:val="20"/>
          <w:szCs w:val="20"/>
          <w:rtl/>
        </w:rPr>
        <w:t>588</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pr_f_1542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3819">
    <w:p w14:paraId="1C5A7B11" w14:textId="77777777" w:rsidR="00AB3647" w:rsidRDefault="00000000">
      <w:pPr>
        <w:spacing w:after="0" w:before="0"/>
        <w:jc w:val="both"/>
      </w:pPr>
      <w:r>
        <w:rPr>
          <w:sz w:val="20"/>
          <w:szCs w:val="20"/>
          <w:rtl/>
        </w:rPr>
        <w:footnoteRef/>
      </w:r>
      <w:r>
        <w:rPr>
          <w:sz w:val="20"/>
          <w:szCs w:val="20"/>
          <w:rtl/>
        </w:rPr>
        <w:t xml:space="preserve">. השווה “חבר מאמרים”, חלק א, מאמר </w:t>
      </w:r>
      <w:proofErr w:type="spellStart"/>
      <w:r>
        <w:rPr>
          <w:sz w:val="20"/>
          <w:szCs w:val="20"/>
          <w:rtl/>
        </w:rPr>
        <w:t>יח</w:t>
      </w:r>
      <w:proofErr w:type="spellEnd"/>
      <w:r>
        <w:rPr>
          <w:sz w:val="20"/>
          <w:szCs w:val="20"/>
          <w:rtl/>
        </w:rPr>
        <w:t xml:space="preserve">, לבירורו המבריק של ר׳ ירוחם </w:t>
      </w:r>
      <w:proofErr w:type="spellStart"/>
      <w:r>
        <w:rPr>
          <w:sz w:val="20"/>
          <w:szCs w:val="20"/>
          <w:rtl/>
        </w:rPr>
        <w:t>ליבוביץ</w:t>
      </w:r>
      <w:proofErr w:type="spellEnd"/>
      <w:r>
        <w:rPr>
          <w:sz w:val="20"/>
          <w:szCs w:val="20"/>
          <w:rtl/>
        </w:rPr>
        <w:t xml:space="preserve"> במקורות התלמודיים להקרבה עצמית כזאת.</w:t>
      </w:r>
    </w:p>
  </w:footnote>
  <w:footnote w:id="3820">
    <w:p w14:paraId="562FFCD0" w14:textId="77777777" w:rsidR="00AB3647" w:rsidRDefault="00000000">
      <w:pPr>
        <w:spacing w:after="0" w:before="0"/>
        <w:jc w:val="both"/>
      </w:pPr>
      <w:r>
        <w:rPr>
          <w:sz w:val="20"/>
          <w:szCs w:val="20"/>
          <w:rtl/>
        </w:rPr>
        <w:footnoteRef/>
      </w:r>
      <w:r>
        <w:rPr>
          <w:sz w:val="20"/>
          <w:szCs w:val="20"/>
          <w:rtl/>
        </w:rPr>
        <w:t>. הערה 48 לעיל – עמ׳ נו.</w:t>
      </w:r>
    </w:p>
  </w:footnote>
  <w:footnote w:id="3821">
    <w:p w14:paraId="0A0295E7" w14:textId="77777777" w:rsidR="00AB3647" w:rsidRDefault="00000000">
      <w:pPr>
        <w:spacing w:after="0" w:before="0"/>
        <w:jc w:val="both"/>
      </w:pPr>
      <w:r>
        <w:rPr>
          <w:sz w:val="20"/>
          <w:szCs w:val="20"/>
          <w:rtl/>
        </w:rPr>
        <w:footnoteRef/>
      </w:r>
      <w:r>
        <w:rPr>
          <w:sz w:val="20"/>
          <w:szCs w:val="20"/>
          <w:rtl/>
        </w:rPr>
        <w:t>. השווה הפסקאות החמישית עד השמינית והלאה של סעיף 2 בפרק זה.</w:t>
      </w:r>
    </w:p>
  </w:footnote>
  <w:footnote w:id="3822">
    <w:p w14:paraId="203D6655" w14:textId="77777777" w:rsidR="00AB3647" w:rsidRDefault="00000000">
      <w:pPr>
        <w:spacing w:after="0" w:before="0"/>
        <w:jc w:val="both"/>
      </w:pPr>
      <w:r>
        <w:rPr>
          <w:sz w:val="20"/>
          <w:szCs w:val="20"/>
          <w:rtl/>
        </w:rPr>
        <w:footnoteRef/>
      </w:r>
      <w:r>
        <w:rPr>
          <w:sz w:val="20"/>
          <w:szCs w:val="20"/>
          <w:rtl/>
        </w:rPr>
        <w:t>. ראה הפסקה השנייה של נספח יא להלן.</w:t>
      </w:r>
    </w:p>
  </w:footnote>
  <w:footnote w:id="3823">
    <w:p w14:paraId="6E8B932F" w14:textId="77777777" w:rsidR="00AB3647" w:rsidRDefault="00000000">
      <w:pPr>
        <w:spacing w:after="0" w:before="0"/>
        <w:jc w:val="both"/>
      </w:pPr>
      <w:r>
        <w:rPr>
          <w:sz w:val="20"/>
          <w:szCs w:val="20"/>
          <w:rtl/>
        </w:rPr>
        <w:footnoteRef/>
      </w:r>
      <w:r>
        <w:rPr>
          <w:sz w:val="20"/>
          <w:szCs w:val="20"/>
          <w:rtl/>
        </w:rPr>
        <w:t xml:space="preserve">. השווה פרק 3, נספח ט: שם מתברר שהתשובה לשאלה זו חיובית, והדבר מתחזק מן הדרך שבה הבין ר׳ </w:t>
      </w:r>
      <w:proofErr w:type="spellStart"/>
      <w:r>
        <w:rPr>
          <w:sz w:val="20"/>
          <w:szCs w:val="20"/>
          <w:rtl/>
        </w:rPr>
        <w:t>מאיר־שמחה</w:t>
      </w:r>
      <w:proofErr w:type="spellEnd"/>
      <w:r>
        <w:rPr>
          <w:sz w:val="20"/>
          <w:szCs w:val="20"/>
          <w:rtl/>
        </w:rPr>
        <w:t xml:space="preserve"> את תפקידו של ר׳ לייזר גורדון בישיבה. השווה גם “מאיר עיני ישראל” (נספח ז לעיל), עמ׳ 248, המספר שר׳ ירוחם </w:t>
      </w:r>
      <w:proofErr w:type="spellStart"/>
      <w:r>
        <w:rPr>
          <w:sz w:val="20"/>
          <w:szCs w:val="20"/>
          <w:rtl/>
        </w:rPr>
        <w:t>ליבוביץ</w:t>
      </w:r>
      <w:proofErr w:type="spellEnd"/>
      <w:r>
        <w:rPr>
          <w:sz w:val="20"/>
          <w:szCs w:val="20"/>
          <w:rtl/>
        </w:rPr>
        <w:t xml:space="preserve">, ששימש אז משגיח בישיבת </w:t>
      </w:r>
      <w:proofErr w:type="spellStart"/>
      <w:r>
        <w:rPr>
          <w:sz w:val="20"/>
          <w:szCs w:val="20"/>
          <w:rtl/>
        </w:rPr>
        <w:t>ראדין</w:t>
      </w:r>
      <w:proofErr w:type="spellEnd"/>
      <w:r>
        <w:rPr>
          <w:sz w:val="20"/>
          <w:szCs w:val="20"/>
          <w:rtl/>
        </w:rPr>
        <w:t xml:space="preserve">, התנגד להסכמת </w:t>
      </w:r>
      <w:proofErr w:type="spellStart"/>
      <w:r>
        <w:rPr>
          <w:sz w:val="20"/>
          <w:szCs w:val="20"/>
          <w:rtl/>
        </w:rPr>
        <w:t>החפץ־חיים</w:t>
      </w:r>
      <w:proofErr w:type="spellEnd"/>
      <w:r>
        <w:rPr>
          <w:sz w:val="20"/>
          <w:szCs w:val="20"/>
          <w:rtl/>
        </w:rPr>
        <w:t xml:space="preserve"> לשלוח אחדים מתלמידי </w:t>
      </w:r>
      <w:proofErr w:type="spellStart"/>
      <w:r>
        <w:rPr>
          <w:sz w:val="20"/>
          <w:szCs w:val="20"/>
          <w:rtl/>
        </w:rPr>
        <w:t>ראדין</w:t>
      </w:r>
      <w:proofErr w:type="spellEnd"/>
      <w:r>
        <w:rPr>
          <w:sz w:val="20"/>
          <w:szCs w:val="20"/>
          <w:rtl/>
        </w:rPr>
        <w:t xml:space="preserve"> לסייע </w:t>
      </w:r>
      <w:proofErr w:type="spellStart"/>
      <w:r>
        <w:rPr>
          <w:sz w:val="20"/>
          <w:szCs w:val="20"/>
          <w:rtl/>
        </w:rPr>
        <w:t>ל“תלמיד</w:t>
      </w:r>
      <w:proofErr w:type="spellEnd"/>
      <w:r>
        <w:rPr>
          <w:sz w:val="20"/>
          <w:szCs w:val="20"/>
          <w:rtl/>
        </w:rPr>
        <w:t xml:space="preserve"> חכם ידוע” לפתוח ישיבה משלו. כששאל ר׳ ירוחם: “כיצד נוכל להעביר לישיבה אחרת את הבחורים שגידלנו והעמדנו על רמה גבוהה?” השיב </w:t>
      </w:r>
      <w:proofErr w:type="spellStart"/>
      <w:r>
        <w:rPr>
          <w:sz w:val="20"/>
          <w:szCs w:val="20"/>
          <w:rtl/>
        </w:rPr>
        <w:t>החפץ־חיים</w:t>
      </w:r>
      <w:proofErr w:type="spellEnd"/>
      <w:r>
        <w:rPr>
          <w:sz w:val="20"/>
          <w:szCs w:val="20"/>
          <w:rtl/>
        </w:rPr>
        <w:t xml:space="preserve">: “מה ההבדל – הישיבה שלי, הישיבה שלך? העיקר הוא כבוד שמים, ומה עניין ‘שלי׳ </w:t>
      </w:r>
      <w:proofErr w:type="spellStart"/>
      <w:r>
        <w:rPr>
          <w:sz w:val="20"/>
          <w:szCs w:val="20"/>
          <w:rtl/>
        </w:rPr>
        <w:t>ו‘שלך</w:t>
      </w:r>
      <w:proofErr w:type="spellEnd"/>
      <w:r>
        <w:rPr>
          <w:sz w:val="20"/>
          <w:szCs w:val="20"/>
          <w:rtl/>
        </w:rPr>
        <w:t>׳ לכאן?!”</w:t>
      </w:r>
    </w:p>
    <w:p w14:paraId="7B9A56C6" w14:textId="77777777" w:rsidR="00AB3647" w:rsidRDefault="00000000">
      <w:pPr>
        <w:spacing w:after="0" w:before="0"/>
        <w:jc w:val="both"/>
      </w:pPr>
      <w:r>
        <w:rPr>
          <w:sz w:val="20"/>
          <w:szCs w:val="20"/>
          <w:rtl/>
        </w:rPr>
        <w:t xml:space="preserve">ב־26 בפברואר 2001 הביא ר׳ שלמה לורנץ לידיעתי שגם </w:t>
      </w:r>
      <w:proofErr w:type="spellStart"/>
      <w:r>
        <w:rPr>
          <w:sz w:val="20"/>
          <w:szCs w:val="20"/>
          <w:rtl/>
        </w:rPr>
        <w:t>לר</w:t>
      </w:r>
      <w:proofErr w:type="spellEnd"/>
      <w:r>
        <w:rPr>
          <w:sz w:val="20"/>
          <w:szCs w:val="20"/>
          <w:rtl/>
        </w:rPr>
        <w:t xml:space="preserve">׳ אהרן קוטלר הייתה גישה דומה כלפי מוסדו, בית מדרש גבוה </w:t>
      </w:r>
      <w:proofErr w:type="spellStart"/>
      <w:r>
        <w:rPr>
          <w:sz w:val="20"/>
          <w:szCs w:val="20"/>
          <w:rtl/>
        </w:rPr>
        <w:t>בלייקווד</w:t>
      </w:r>
      <w:proofErr w:type="spellEnd"/>
      <w:r>
        <w:rPr>
          <w:sz w:val="20"/>
          <w:szCs w:val="20"/>
          <w:rtl/>
        </w:rPr>
        <w:t xml:space="preserve">. ר׳ שלמה העלה זיכרונות מביקורו בן כמה חודשים בארצות הברית באמצע שנות </w:t>
      </w:r>
      <w:proofErr w:type="spellStart"/>
      <w:r>
        <w:rPr>
          <w:sz w:val="20"/>
          <w:szCs w:val="20"/>
          <w:rtl/>
        </w:rPr>
        <w:t>התש״י</w:t>
      </w:r>
      <w:proofErr w:type="spellEnd"/>
      <w:r>
        <w:rPr>
          <w:sz w:val="20"/>
          <w:szCs w:val="20"/>
          <w:rtl/>
        </w:rPr>
        <w:t xml:space="preserve">, כשנהג לבלות את ערביו בביקורים אצל יהודים עשירים, כדי לבקש את תמיכתם </w:t>
      </w:r>
      <w:proofErr w:type="spellStart"/>
      <w:r>
        <w:rPr>
          <w:sz w:val="20"/>
          <w:szCs w:val="20"/>
          <w:rtl/>
        </w:rPr>
        <w:t>ב“חינוך</w:t>
      </w:r>
      <w:proofErr w:type="spellEnd"/>
      <w:r>
        <w:rPr>
          <w:sz w:val="20"/>
          <w:szCs w:val="20"/>
          <w:rtl/>
        </w:rPr>
        <w:t xml:space="preserve"> עצמאי”, שנוסד זמן קצר קודם לכן.</w:t>
      </w:r>
    </w:p>
    <w:p w14:paraId="6AFFEEED" w14:textId="77777777" w:rsidR="00AB3647" w:rsidRDefault="00000000">
      <w:pPr>
        <w:spacing w:after="0" w:before="0"/>
        <w:jc w:val="both"/>
      </w:pPr>
      <w:r>
        <w:rPr>
          <w:sz w:val="20"/>
          <w:szCs w:val="20"/>
          <w:rtl/>
        </w:rPr>
        <w:t xml:space="preserve">“ליוויתי בסבבים הללו את ר׳ משה </w:t>
      </w:r>
      <w:proofErr w:type="spellStart"/>
      <w:r>
        <w:rPr>
          <w:sz w:val="20"/>
          <w:szCs w:val="20"/>
          <w:rtl/>
        </w:rPr>
        <w:t>פיינשטיין</w:t>
      </w:r>
      <w:proofErr w:type="spellEnd"/>
      <w:r>
        <w:rPr>
          <w:sz w:val="20"/>
          <w:szCs w:val="20"/>
          <w:rtl/>
        </w:rPr>
        <w:t xml:space="preserve">, את אביך ואת ר׳ אהרן קוטלר, ולעיתים קרובות גם את האדמו״ר </w:t>
      </w:r>
      <w:proofErr w:type="spellStart"/>
      <w:r>
        <w:rPr>
          <w:sz w:val="20"/>
          <w:szCs w:val="20"/>
          <w:rtl/>
        </w:rPr>
        <w:t>מקופיטשניץ</w:t>
      </w:r>
      <w:proofErr w:type="spellEnd"/>
      <w:r>
        <w:rPr>
          <w:sz w:val="20"/>
          <w:szCs w:val="20"/>
          <w:rtl/>
        </w:rPr>
        <w:t xml:space="preserve"> ר׳ </w:t>
      </w:r>
      <w:proofErr w:type="spellStart"/>
      <w:r>
        <w:rPr>
          <w:sz w:val="20"/>
          <w:szCs w:val="20"/>
          <w:rtl/>
        </w:rPr>
        <w:t>אברהם־יהושע</w:t>
      </w:r>
      <w:proofErr w:type="spellEnd"/>
      <w:r>
        <w:rPr>
          <w:sz w:val="20"/>
          <w:szCs w:val="20"/>
          <w:rtl/>
        </w:rPr>
        <w:t xml:space="preserve"> </w:t>
      </w:r>
      <w:proofErr w:type="spellStart"/>
      <w:r>
        <w:rPr>
          <w:sz w:val="20"/>
          <w:szCs w:val="20"/>
          <w:rtl/>
        </w:rPr>
        <w:t>העשיל</w:t>
      </w:r>
      <w:proofErr w:type="spellEnd"/>
      <w:r>
        <w:rPr>
          <w:sz w:val="20"/>
          <w:szCs w:val="20"/>
          <w:rtl/>
        </w:rPr>
        <w:t xml:space="preserve">, ולפעמים גם את האדמו״ר </w:t>
      </w:r>
      <w:proofErr w:type="spellStart"/>
      <w:r>
        <w:rPr>
          <w:sz w:val="20"/>
          <w:szCs w:val="20"/>
          <w:rtl/>
        </w:rPr>
        <w:t>מנובומינסק</w:t>
      </w:r>
      <w:proofErr w:type="spellEnd"/>
      <w:r>
        <w:rPr>
          <w:sz w:val="20"/>
          <w:szCs w:val="20"/>
          <w:rtl/>
        </w:rPr>
        <w:t xml:space="preserve"> ר׳ </w:t>
      </w:r>
      <w:proofErr w:type="spellStart"/>
      <w:r>
        <w:rPr>
          <w:sz w:val="20"/>
          <w:szCs w:val="20"/>
          <w:rtl/>
        </w:rPr>
        <w:t>נחום־מרדכי</w:t>
      </w:r>
      <w:proofErr w:type="spellEnd"/>
      <w:r>
        <w:rPr>
          <w:sz w:val="20"/>
          <w:szCs w:val="20"/>
          <w:rtl/>
        </w:rPr>
        <w:t xml:space="preserve"> </w:t>
      </w:r>
      <w:proofErr w:type="spellStart"/>
      <w:r>
        <w:rPr>
          <w:sz w:val="20"/>
          <w:szCs w:val="20"/>
          <w:rtl/>
        </w:rPr>
        <w:t>פרלוב</w:t>
      </w:r>
      <w:proofErr w:type="spellEnd"/>
      <w:r>
        <w:rPr>
          <w:sz w:val="20"/>
          <w:szCs w:val="20"/>
          <w:rtl/>
        </w:rPr>
        <w:t xml:space="preserve">”, אמר. “זו הייתה תקופה שבה היהודים האמריקאים העשירים השתייכו כולם לדור הקודם, שלפני המלחמה, שלא העריך במיוחד את גדולי התורה שבאו לבקש את עזרתם – ולא הייתה לנו הצלחה רבה. ר׳ אהרן השקיע כל כך הרבה מאמצים בחינוך עצמאי, עד שמנהלי בית מדרש גבוה העירו לו שישיבתו שלו נפגעת מכך. הוא השיב: ‘אתם צודקים שאני מפסיד את התמיכה הנחוצה לבית מדרש גבוה, אבל נראה לי שחשוב יותר לקיים את חינוך עצמאי מאשר את ישיבת </w:t>
      </w:r>
      <w:proofErr w:type="spellStart"/>
      <w:r>
        <w:rPr>
          <w:sz w:val="20"/>
          <w:szCs w:val="20"/>
          <w:rtl/>
        </w:rPr>
        <w:t>לייקווד</w:t>
      </w:r>
      <w:proofErr w:type="spellEnd"/>
      <w:r>
        <w:rPr>
          <w:sz w:val="20"/>
          <w:szCs w:val="20"/>
          <w:rtl/>
        </w:rPr>
        <w:t>’”. בהתחשב בתפיסתו של ר׳ אהרן בדבר תפקידו הייחודי של בית מדרש גבוה – ללמד “כיצד ללמוד”, כמתואר בפרק 3, בפסקה השנייה של נספח ה – דבריו מפתיעים במיוחד.</w:t>
      </w:r>
    </w:p>
    <w:p w14:paraId="777DE3D2" w14:textId="77777777" w:rsidR="00AB3647" w:rsidRDefault="00000000">
      <w:pPr>
        <w:spacing w:after="0" w:before="0"/>
        <w:jc w:val="both"/>
      </w:pPr>
      <w:r>
        <w:rPr>
          <w:sz w:val="20"/>
          <w:szCs w:val="20"/>
          <w:rtl/>
        </w:rPr>
        <w:t xml:space="preserve">ר׳ שלמה לורנץ סיפר גם שהרבנית </w:t>
      </w:r>
      <w:proofErr w:type="spellStart"/>
      <w:r>
        <w:rPr>
          <w:sz w:val="20"/>
          <w:szCs w:val="20"/>
          <w:rtl/>
        </w:rPr>
        <w:t>פיינשטיין</w:t>
      </w:r>
      <w:proofErr w:type="spellEnd"/>
      <w:r>
        <w:rPr>
          <w:sz w:val="20"/>
          <w:szCs w:val="20"/>
          <w:rtl/>
        </w:rPr>
        <w:t xml:space="preserve">, שהקפידה לשמור על בריאות בעלה, הורתה לו להחזיר את ר׳ משה הביתה עד השעה תשע, כדי שתוכל להגיש לו את ארוחת הערב בזמן; בפועל, ר׳ משה היה מגיע הביתה בדרך כלל </w:t>
      </w:r>
      <w:proofErr w:type="spellStart"/>
      <w:r>
        <w:rPr>
          <w:sz w:val="20"/>
          <w:szCs w:val="20"/>
          <w:rtl/>
        </w:rPr>
        <w:t>באחת־עשרה</w:t>
      </w:r>
      <w:proofErr w:type="spellEnd"/>
      <w:r>
        <w:rPr>
          <w:sz w:val="20"/>
          <w:szCs w:val="20"/>
          <w:rtl/>
        </w:rPr>
        <w:t xml:space="preserve"> בלילה או מאוחר יותר.</w:t>
      </w:r>
    </w:p>
    <w:p w14:paraId="3399D485" w14:textId="77777777" w:rsidR="00AB3647" w:rsidRDefault="00000000">
      <w:pPr>
        <w:spacing w:after="0" w:before="0"/>
        <w:jc w:val="both"/>
      </w:pPr>
      <w:r>
        <w:rPr>
          <w:sz w:val="20"/>
          <w:szCs w:val="20"/>
          <w:rtl/>
        </w:rPr>
        <w:t xml:space="preserve">עוד סיפר ר׳ שלמה לורנץ את המעשה הבא, כדי להמחיש עד כמה לא הכירו בגדולי התורה באותה תקופה. יום אחד הביא את ארבעת הגדולים הראשונים שהוזכרו לעיל למשרדו של איש עסקים בולט, ואמר לפקידת הקבלה שהרבנים </w:t>
      </w:r>
      <w:proofErr w:type="spellStart"/>
      <w:r>
        <w:rPr>
          <w:sz w:val="20"/>
          <w:szCs w:val="20"/>
          <w:rtl/>
        </w:rPr>
        <w:t>פיינשטיין</w:t>
      </w:r>
      <w:proofErr w:type="spellEnd"/>
      <w:r>
        <w:rPr>
          <w:sz w:val="20"/>
          <w:szCs w:val="20"/>
          <w:rtl/>
        </w:rPr>
        <w:t xml:space="preserve">, </w:t>
      </w:r>
      <w:proofErr w:type="spellStart"/>
      <w:r>
        <w:rPr>
          <w:sz w:val="20"/>
          <w:szCs w:val="20"/>
          <w:rtl/>
        </w:rPr>
        <w:t>העשיל</w:t>
      </w:r>
      <w:proofErr w:type="spellEnd"/>
      <w:r>
        <w:rPr>
          <w:sz w:val="20"/>
          <w:szCs w:val="20"/>
          <w:rtl/>
        </w:rPr>
        <w:t xml:space="preserve">, </w:t>
      </w:r>
      <w:proofErr w:type="spellStart"/>
      <w:r>
        <w:rPr>
          <w:sz w:val="20"/>
          <w:szCs w:val="20"/>
          <w:rtl/>
        </w:rPr>
        <w:t>קמינצקי</w:t>
      </w:r>
      <w:proofErr w:type="spellEnd"/>
      <w:r>
        <w:rPr>
          <w:sz w:val="20"/>
          <w:szCs w:val="20"/>
          <w:rtl/>
        </w:rPr>
        <w:t xml:space="preserve"> וקוטלר מבקשים לפגוש את מעסיקה. היא נכנסה למשרד הפנימי, חזרה אל הקבוצה הנכבדה במבט מושפל ומסרה – בשקר גלוי – שמעסיקה אינו נמצא. הרבנים הנבוכים הביטו זה בזה, ולא נותר להם אלא ללכת.</w:t>
      </w:r>
    </w:p>
    <w:p w14:paraId="2F7AB514" w14:textId="77777777" w:rsidR="00AB3647" w:rsidRDefault="00000000">
      <w:pPr>
        <w:spacing w:after="0" w:before="0"/>
        <w:jc w:val="both"/>
      </w:pPr>
      <w:r>
        <w:rPr>
          <w:sz w:val="20"/>
          <w:szCs w:val="20"/>
          <w:rtl/>
        </w:rPr>
        <w:t xml:space="preserve">אבל ר׳ שלמה נשאר עוד רגע והגיש לפקידה את כרטיס הביקור שלו, ועליו נכתב: “חבר הכנסת של מדינת ישראל”. היא מיהרה לשוב אל המשרד הפנימי, ואיש העסקים יצא מיד – והזדעזע למשמע דברי התוכחה החריפים ביותר שיצאו מפי המבקר: “אין כל שיעור </w:t>
      </w:r>
      <w:proofErr w:type="spellStart"/>
      <w:r>
        <w:rPr>
          <w:sz w:val="20"/>
          <w:szCs w:val="20"/>
          <w:rtl/>
        </w:rPr>
        <w:t>לגיהנם</w:t>
      </w:r>
      <w:proofErr w:type="spellEnd"/>
      <w:r>
        <w:rPr>
          <w:sz w:val="20"/>
          <w:szCs w:val="20"/>
          <w:rtl/>
        </w:rPr>
        <w:t xml:space="preserve"> שתסבול: גדולי התורה שבעולם באו למשרדך וסירבת לקבלם, ובמקום זאת אתה חולק כבוד לפוליטיקאי צעיר וחסר ערך שכמותי!” האיש הנכלם הבין מיד איזו שטות עשה, וקרא בבהלה ובמבוכה: “מה אני יכול לעשות עכשיו?” השיב ר׳ שלמה: “נסה להשיג אותם לפני שיגיעו למעלית; ואם כבר החמצת אותם, רוץ לרחוב ומצא אותם”. האיש זינק ממשרדו, השיג את הרבנים כשעמדו להיכנס למעלית, והפציר בהם לשוב למשרדו. מטבע הדברים תרם לחינוך עצמאי סכום גדול בהרבה מזה שהמשלחת קיוותה מלכתחילה לקבל ממנו.</w:t>
      </w:r>
    </w:p>
  </w:footnote>
  <w:footnote w:id="3824">
    <w:p w14:paraId="1181940A" w14:textId="77777777" w:rsidR="00AB3647" w:rsidRDefault="00000000">
      <w:pPr>
        <w:spacing w:after="0" w:before="0"/>
        <w:jc w:val="both"/>
      </w:pPr>
      <w:r>
        <w:rPr>
          <w:sz w:val="20"/>
          <w:szCs w:val="20"/>
          <w:rtl/>
        </w:rPr>
        <w:footnoteRef/>
      </w:r>
      <w:r>
        <w:rPr>
          <w:sz w:val="20"/>
          <w:szCs w:val="20"/>
          <w:rtl/>
        </w:rPr>
        <w:t xml:space="preserve">. הרב דב כץ שרטט קווים לתולדותיו בסוף “מגילת רות עם פירוש נחלת יוסף”, חיבורו המשובח של ר׳ </w:t>
      </w:r>
      <w:proofErr w:type="spellStart"/>
      <w:r>
        <w:rPr>
          <w:sz w:val="20"/>
          <w:szCs w:val="20"/>
          <w:rtl/>
        </w:rPr>
        <w:t>יוסף־זאב</w:t>
      </w:r>
      <w:proofErr w:type="spellEnd"/>
      <w:r>
        <w:rPr>
          <w:sz w:val="20"/>
          <w:szCs w:val="20"/>
          <w:rtl/>
        </w:rPr>
        <w:t xml:space="preserve"> </w:t>
      </w:r>
      <w:proofErr w:type="spellStart"/>
      <w:r>
        <w:rPr>
          <w:sz w:val="20"/>
          <w:szCs w:val="20"/>
          <w:rtl/>
        </w:rPr>
        <w:t>ליפוביץ</w:t>
      </w:r>
      <w:proofErr w:type="spellEnd"/>
      <w:r>
        <w:rPr>
          <w:sz w:val="20"/>
          <w:szCs w:val="20"/>
          <w:rtl/>
        </w:rPr>
        <w:t xml:space="preserve"> (“דפוס ועריכה חדשים”, ללא מקום ושנת דפוס).</w:t>
      </w:r>
    </w:p>
  </w:footnote>
  <w:footnote w:id="3825">
    <w:p w14:paraId="3318F9F5" w14:textId="77777777" w:rsidR="00AB3647" w:rsidRDefault="00000000">
      <w:pPr>
        <w:spacing w:after="0" w:before="0"/>
        <w:jc w:val="both"/>
      </w:pPr>
      <w:r>
        <w:rPr>
          <w:sz w:val="20"/>
          <w:szCs w:val="20"/>
          <w:rtl/>
        </w:rPr>
        <w:footnoteRef/>
      </w:r>
      <w:r>
        <w:rPr>
          <w:sz w:val="20"/>
          <w:szCs w:val="20"/>
          <w:rtl/>
        </w:rPr>
        <w:t>. המקור הנזכר בפרק 1, הערה 1 – כרך 3, עמ׳ 128.</w:t>
      </w:r>
    </w:p>
  </w:footnote>
  <w:footnote w:id="3826">
    <w:p w14:paraId="6039F9ED" w14:textId="77777777" w:rsidR="00AB3647" w:rsidRDefault="00000000">
      <w:pPr>
        <w:spacing w:after="0" w:before="0"/>
        <w:jc w:val="both"/>
      </w:pPr>
      <w:r>
        <w:rPr>
          <w:sz w:val="20"/>
          <w:szCs w:val="20"/>
          <w:rtl/>
        </w:rPr>
        <w:footnoteRef/>
      </w:r>
      <w:r>
        <w:rPr>
          <w:sz w:val="20"/>
          <w:szCs w:val="20"/>
          <w:rtl/>
        </w:rPr>
        <w:t>. שם, עמ׳ 125–133.</w:t>
      </w:r>
    </w:p>
  </w:footnote>
  <w:footnote w:id="3827">
    <w:p w14:paraId="2B35F5B4" w14:textId="77777777" w:rsidR="00AB3647" w:rsidRDefault="00000000">
      <w:pPr>
        <w:spacing w:after="0" w:before="0"/>
        <w:jc w:val="both"/>
      </w:pPr>
      <w:r>
        <w:rPr>
          <w:sz w:val="20"/>
          <w:szCs w:val="20"/>
          <w:rtl/>
        </w:rPr>
        <w:footnoteRef/>
      </w:r>
      <w:r>
        <w:rPr>
          <w:sz w:val="20"/>
          <w:szCs w:val="20"/>
          <w:rtl/>
        </w:rPr>
        <w:t>. עמ׳ 128.</w:t>
      </w:r>
    </w:p>
  </w:footnote>
  <w:footnote w:id="3828">
    <w:p w14:paraId="501FD6DA" w14:textId="77777777" w:rsidR="00AB3647" w:rsidRDefault="00000000">
      <w:pPr>
        <w:spacing w:after="0" w:before="0"/>
        <w:jc w:val="both"/>
      </w:pPr>
      <w:r>
        <w:rPr>
          <w:sz w:val="20"/>
          <w:szCs w:val="20"/>
          <w:rtl/>
        </w:rPr>
        <w:footnoteRef/>
      </w:r>
      <w:r>
        <w:rPr>
          <w:sz w:val="20"/>
          <w:szCs w:val="20"/>
          <w:rtl/>
        </w:rPr>
        <w:t xml:space="preserve">. ראה הפסקה השנייה בנספח ז לעיל; השווה גם </w:t>
      </w:r>
      <w:proofErr w:type="spellStart"/>
      <w:r>
        <w:rPr>
          <w:sz w:val="20"/>
          <w:szCs w:val="20"/>
          <w:rtl/>
        </w:rPr>
        <w:t>אטקס</w:t>
      </w:r>
      <w:proofErr w:type="spellEnd"/>
      <w:r>
        <w:rPr>
          <w:sz w:val="20"/>
          <w:szCs w:val="20"/>
          <w:rtl/>
        </w:rPr>
        <w:t xml:space="preserve">, “ר׳ ישראל </w:t>
      </w:r>
      <w:proofErr w:type="spellStart"/>
      <w:r>
        <w:rPr>
          <w:sz w:val="20"/>
          <w:szCs w:val="20"/>
          <w:rtl/>
        </w:rPr>
        <w:t>סלנטר</w:t>
      </w:r>
      <w:proofErr w:type="spellEnd"/>
      <w:r>
        <w:rPr>
          <w:sz w:val="20"/>
          <w:szCs w:val="20"/>
          <w:rtl/>
        </w:rPr>
        <w:t xml:space="preserve"> וראשיתה של תנועת המוסר” (שם), עמ׳ 256–258, שלפיו התגורר ר׳ ישראל בממל </w:t>
      </w:r>
      <w:proofErr w:type="spellStart"/>
      <w:r>
        <w:rPr>
          <w:sz w:val="20"/>
          <w:szCs w:val="20"/>
          <w:rtl/>
        </w:rPr>
        <w:t>תשע־עשרה</w:t>
      </w:r>
      <w:proofErr w:type="spellEnd"/>
      <w:r>
        <w:rPr>
          <w:sz w:val="20"/>
          <w:szCs w:val="20"/>
          <w:rtl/>
        </w:rPr>
        <w:t xml:space="preserve"> שנה – התקופה הארוכה ביותר שבילה במקום אחד בחייו.</w:t>
      </w:r>
    </w:p>
  </w:footnote>
  <w:footnote w:id="3829">
    <w:p w14:paraId="70824894" w14:textId="77777777" w:rsidR="00AB3647" w:rsidRDefault="00000000">
      <w:pPr>
        <w:spacing w:after="0" w:before="0"/>
        <w:jc w:val="both"/>
      </w:pPr>
      <w:r>
        <w:rPr>
          <w:sz w:val="20"/>
          <w:szCs w:val="20"/>
          <w:rtl/>
        </w:rPr>
        <w:footnoteRef/>
      </w:r>
      <w:r>
        <w:rPr>
          <w:sz w:val="20"/>
          <w:szCs w:val="20"/>
          <w:rtl/>
        </w:rPr>
        <w:t xml:space="preserve">. טעות דומה מופיעה </w:t>
      </w:r>
      <w:proofErr w:type="spellStart"/>
      <w:r>
        <w:rPr>
          <w:sz w:val="20"/>
          <w:szCs w:val="20"/>
          <w:rtl/>
        </w:rPr>
        <w:t>ב“תולדות</w:t>
      </w:r>
      <w:proofErr w:type="spellEnd"/>
      <w:r>
        <w:rPr>
          <w:sz w:val="20"/>
          <w:szCs w:val="20"/>
          <w:rtl/>
        </w:rPr>
        <w:t xml:space="preserve"> אנשי שם” (המקור הנזכר בפרק 3, סוף נספח ז), עמ׳ 48, בתולדותיו הקצרות של ר׳ </w:t>
      </w:r>
      <w:proofErr w:type="spellStart"/>
      <w:r>
        <w:rPr>
          <w:sz w:val="20"/>
          <w:szCs w:val="20"/>
          <w:rtl/>
        </w:rPr>
        <w:t>משה־שמעון</w:t>
      </w:r>
      <w:proofErr w:type="spellEnd"/>
      <w:r>
        <w:rPr>
          <w:sz w:val="20"/>
          <w:szCs w:val="20"/>
          <w:rtl/>
        </w:rPr>
        <w:t xml:space="preserve"> </w:t>
      </w:r>
      <w:proofErr w:type="spellStart"/>
      <w:r>
        <w:rPr>
          <w:sz w:val="20"/>
          <w:szCs w:val="20"/>
          <w:rtl/>
        </w:rPr>
        <w:t>זיוויץ</w:t>
      </w:r>
      <w:proofErr w:type="spellEnd"/>
      <w:r>
        <w:rPr>
          <w:sz w:val="20"/>
          <w:szCs w:val="20"/>
          <w:rtl/>
        </w:rPr>
        <w:t xml:space="preserve">, יליד </w:t>
      </w:r>
      <w:proofErr w:type="spellStart"/>
      <w:r>
        <w:rPr>
          <w:sz w:val="20"/>
          <w:szCs w:val="20"/>
          <w:rtl/>
        </w:rPr>
        <w:t>ציטוביאן</w:t>
      </w:r>
      <w:proofErr w:type="spellEnd"/>
      <w:r>
        <w:rPr>
          <w:sz w:val="20"/>
          <w:szCs w:val="20"/>
          <w:rtl/>
        </w:rPr>
        <w:t xml:space="preserve">: נאמר שם שלמד אצל ר׳ לייזר גורדון </w:t>
      </w:r>
      <w:proofErr w:type="spellStart"/>
      <w:r>
        <w:rPr>
          <w:sz w:val="20"/>
          <w:szCs w:val="20"/>
          <w:rtl/>
        </w:rPr>
        <w:t>בטלז</w:t>
      </w:r>
      <w:proofErr w:type="spellEnd"/>
      <w:r>
        <w:rPr>
          <w:sz w:val="20"/>
          <w:szCs w:val="20"/>
          <w:rtl/>
        </w:rPr>
        <w:t xml:space="preserve">, ואילו למעשה למד אצלו כשר׳ לייזר היה עדיין </w:t>
      </w:r>
      <w:proofErr w:type="spellStart"/>
      <w:r>
        <w:rPr>
          <w:sz w:val="20"/>
          <w:szCs w:val="20"/>
          <w:rtl/>
        </w:rPr>
        <w:t>בקלם</w:t>
      </w:r>
      <w:proofErr w:type="spellEnd"/>
      <w:r>
        <w:rPr>
          <w:sz w:val="20"/>
          <w:szCs w:val="20"/>
          <w:rtl/>
        </w:rPr>
        <w:t xml:space="preserve">. ר׳ </w:t>
      </w:r>
      <w:proofErr w:type="spellStart"/>
      <w:r>
        <w:rPr>
          <w:sz w:val="20"/>
          <w:szCs w:val="20"/>
          <w:rtl/>
        </w:rPr>
        <w:t>משה־שמעון</w:t>
      </w:r>
      <w:proofErr w:type="spellEnd"/>
      <w:r>
        <w:rPr>
          <w:sz w:val="20"/>
          <w:szCs w:val="20"/>
          <w:rtl/>
        </w:rPr>
        <w:t xml:space="preserve"> </w:t>
      </w:r>
      <w:proofErr w:type="spellStart"/>
      <w:r>
        <w:rPr>
          <w:sz w:val="20"/>
          <w:szCs w:val="20"/>
          <w:rtl/>
        </w:rPr>
        <w:t>זיוויץ</w:t>
      </w:r>
      <w:proofErr w:type="spellEnd"/>
      <w:r>
        <w:rPr>
          <w:sz w:val="20"/>
          <w:szCs w:val="20"/>
          <w:rtl/>
        </w:rPr>
        <w:t xml:space="preserve"> שימש רבה של </w:t>
      </w:r>
      <w:proofErr w:type="spellStart"/>
      <w:r>
        <w:rPr>
          <w:sz w:val="20"/>
          <w:szCs w:val="20"/>
          <w:rtl/>
        </w:rPr>
        <w:t>פיקלן</w:t>
      </w:r>
      <w:proofErr w:type="spellEnd"/>
      <w:r>
        <w:rPr>
          <w:sz w:val="20"/>
          <w:szCs w:val="20"/>
          <w:rtl/>
        </w:rPr>
        <w:t xml:space="preserve">, כ־50 קילומטר מצפון </w:t>
      </w:r>
      <w:proofErr w:type="spellStart"/>
      <w:r>
        <w:rPr>
          <w:sz w:val="20"/>
          <w:szCs w:val="20"/>
          <w:rtl/>
        </w:rPr>
        <w:t>לטלז</w:t>
      </w:r>
      <w:proofErr w:type="spellEnd"/>
      <w:r>
        <w:rPr>
          <w:sz w:val="20"/>
          <w:szCs w:val="20"/>
          <w:rtl/>
        </w:rPr>
        <w:t xml:space="preserve">, עד שהיגר לארצות הברית </w:t>
      </w:r>
      <w:proofErr w:type="spellStart"/>
      <w:r>
        <w:rPr>
          <w:sz w:val="20"/>
          <w:szCs w:val="20"/>
          <w:rtl/>
        </w:rPr>
        <w:t>בתרמ״ו</w:t>
      </w:r>
      <w:proofErr w:type="spellEnd"/>
      <w:r>
        <w:rPr>
          <w:sz w:val="20"/>
          <w:szCs w:val="20"/>
          <w:rtl/>
        </w:rPr>
        <w:t xml:space="preserve">, בשליחותו של ר׳ </w:t>
      </w:r>
      <w:proofErr w:type="spellStart"/>
      <w:r>
        <w:rPr>
          <w:sz w:val="20"/>
          <w:szCs w:val="20"/>
          <w:rtl/>
        </w:rPr>
        <w:t>יצחק־אלחנן</w:t>
      </w:r>
      <w:proofErr w:type="spellEnd"/>
      <w:r>
        <w:rPr>
          <w:sz w:val="20"/>
          <w:szCs w:val="20"/>
          <w:rtl/>
        </w:rPr>
        <w:t>. בכל חמישים שנות חייו באמריקה היה רבה של פיטסבורג, פרט לשנתיים הראשונות, שבהן כיהן כרב בבולטימור.</w:t>
      </w:r>
    </w:p>
  </w:footnote>
  <w:footnote w:id="3830">
    <w:p w14:paraId="5127385F" w14:textId="77777777" w:rsidR="00AB3647" w:rsidRDefault="00000000">
      <w:pPr>
        <w:spacing w:after="0" w:before="0"/>
        <w:jc w:val="both"/>
      </w:pPr>
      <w:r>
        <w:rPr>
          <w:sz w:val="20"/>
          <w:szCs w:val="20"/>
          <w:rtl/>
        </w:rPr>
        <w:footnoteRef/>
      </w:r>
      <w:r>
        <w:rPr>
          <w:sz w:val="20"/>
          <w:szCs w:val="20"/>
          <w:rtl/>
        </w:rPr>
        <w:t xml:space="preserve">. המקור הנזכר בפרק 3, הפסקה השנייה של נספח </w:t>
      </w:r>
      <w:proofErr w:type="spellStart"/>
      <w:r>
        <w:rPr>
          <w:sz w:val="20"/>
          <w:szCs w:val="20"/>
          <w:rtl/>
        </w:rPr>
        <w:t>יז</w:t>
      </w:r>
      <w:proofErr w:type="spellEnd"/>
      <w:r>
        <w:rPr>
          <w:sz w:val="20"/>
          <w:szCs w:val="20"/>
          <w:rtl/>
        </w:rPr>
        <w:t xml:space="preserve"> – עמ׳ 264. אף שהספר “יובל המאה” יצא לאור בידי ישיבת </w:t>
      </w:r>
      <w:proofErr w:type="spellStart"/>
      <w:r>
        <w:rPr>
          <w:sz w:val="20"/>
          <w:szCs w:val="20"/>
          <w:rtl/>
        </w:rPr>
        <w:t>טלז</w:t>
      </w:r>
      <w:proofErr w:type="spellEnd"/>
      <w:r>
        <w:rPr>
          <w:sz w:val="20"/>
          <w:szCs w:val="20"/>
          <w:rtl/>
        </w:rPr>
        <w:t xml:space="preserve"> </w:t>
      </w:r>
      <w:proofErr w:type="spellStart"/>
      <w:r>
        <w:rPr>
          <w:sz w:val="20"/>
          <w:szCs w:val="20"/>
          <w:rtl/>
        </w:rPr>
        <w:t>בקליבלנד</w:t>
      </w:r>
      <w:proofErr w:type="spellEnd"/>
      <w:r>
        <w:rPr>
          <w:sz w:val="20"/>
          <w:szCs w:val="20"/>
          <w:rtl/>
        </w:rPr>
        <w:t xml:space="preserve">, אין הוא טוען שר׳ לייזר גורדון ייסד את ישיבת </w:t>
      </w:r>
      <w:proofErr w:type="spellStart"/>
      <w:r>
        <w:rPr>
          <w:sz w:val="20"/>
          <w:szCs w:val="20"/>
          <w:rtl/>
        </w:rPr>
        <w:t>טלז</w:t>
      </w:r>
      <w:proofErr w:type="spellEnd"/>
      <w:r>
        <w:rPr>
          <w:sz w:val="20"/>
          <w:szCs w:val="20"/>
          <w:rtl/>
        </w:rPr>
        <w:t xml:space="preserve">, כפי שטוענת הכתובת שהציבו יהודי לונדון על מצבתו (ראה סוף נספח יא להלן). “יובל המאה” קובע שם נכונה: “בשנת תרמ״א, משנתקבל ר׳ אליעזר גורדון ז״ל לרבה של </w:t>
      </w:r>
      <w:proofErr w:type="spellStart"/>
      <w:r>
        <w:rPr>
          <w:sz w:val="20"/>
          <w:szCs w:val="20"/>
          <w:rtl/>
        </w:rPr>
        <w:t>טלז</w:t>
      </w:r>
      <w:proofErr w:type="spellEnd"/>
      <w:r>
        <w:rPr>
          <w:sz w:val="20"/>
          <w:szCs w:val="20"/>
          <w:rtl/>
        </w:rPr>
        <w:t>, אנו מונים את ימי פריחתה ושגשוגה של הישיבה”.</w:t>
      </w:r>
    </w:p>
  </w:footnote>
  <w:footnote w:id="3831">
    <w:p w14:paraId="68AA6FD9" w14:textId="77777777" w:rsidR="00AB3647" w:rsidRDefault="00000000">
      <w:pPr>
        <w:spacing w:after="0" w:before="0"/>
        <w:jc w:val="both"/>
      </w:pPr>
      <w:r>
        <w:rPr>
          <w:sz w:val="20"/>
          <w:szCs w:val="20"/>
          <w:rtl/>
        </w:rPr>
        <w:footnoteRef/>
      </w:r>
      <w:r>
        <w:rPr>
          <w:sz w:val="20"/>
          <w:szCs w:val="20"/>
          <w:rtl/>
        </w:rPr>
        <w:t xml:space="preserve">. ראה פרק 2, הערה 106, בעניין השיחה עם אברכי הכולל; וראה נספח </w:t>
      </w:r>
      <w:proofErr w:type="spellStart"/>
      <w:r>
        <w:rPr>
          <w:sz w:val="20"/>
          <w:szCs w:val="20"/>
          <w:rtl/>
        </w:rPr>
        <w:t>יב</w:t>
      </w:r>
      <w:proofErr w:type="spellEnd"/>
      <w:r>
        <w:rPr>
          <w:sz w:val="20"/>
          <w:szCs w:val="20"/>
          <w:rtl/>
        </w:rPr>
        <w:t xml:space="preserve"> בפרק זה.</w:t>
      </w:r>
    </w:p>
  </w:footnote>
  <w:footnote w:id="3832">
    <w:p w14:paraId="6D91C1C7" w14:textId="77777777" w:rsidR="00AB3647" w:rsidRDefault="00000000">
      <w:pPr>
        <w:spacing w:after="0" w:before="0"/>
        <w:jc w:val="both"/>
      </w:pPr>
      <w:r>
        <w:rPr>
          <w:sz w:val="20"/>
          <w:szCs w:val="20"/>
          <w:rtl/>
        </w:rPr>
        <w:footnoteRef/>
      </w:r>
      <w:r>
        <w:rPr>
          <w:sz w:val="20"/>
          <w:szCs w:val="20"/>
          <w:rtl/>
        </w:rPr>
        <w:t>. עמ׳ 29 והערה 17 שם.</w:t>
      </w:r>
    </w:p>
  </w:footnote>
  <w:footnote w:id="3833">
    <w:p w14:paraId="0BC3E95B" w14:textId="77777777" w:rsidR="00AB3647" w:rsidRDefault="00000000">
      <w:pPr>
        <w:spacing w:after="0" w:before="0"/>
        <w:jc w:val="both"/>
      </w:pPr>
      <w:r>
        <w:rPr>
          <w:sz w:val="20"/>
          <w:szCs w:val="20"/>
          <w:rtl/>
        </w:rPr>
        <w:footnoteRef/>
      </w:r>
      <w:r>
        <w:rPr>
          <w:sz w:val="20"/>
          <w:szCs w:val="20"/>
          <w:rtl/>
        </w:rPr>
        <w:t xml:space="preserve">. הדבר חוזר בהקדמת “ספר פקוח נפש” </w:t>
      </w:r>
      <w:proofErr w:type="spellStart"/>
      <w:r>
        <w:rPr>
          <w:sz w:val="20"/>
          <w:szCs w:val="20"/>
          <w:rtl/>
        </w:rPr>
        <w:t>לר</w:t>
      </w:r>
      <w:proofErr w:type="spellEnd"/>
      <w:r>
        <w:rPr>
          <w:sz w:val="20"/>
          <w:szCs w:val="20"/>
          <w:rtl/>
        </w:rPr>
        <w:t xml:space="preserve">׳ </w:t>
      </w:r>
      <w:proofErr w:type="spellStart"/>
      <w:r>
        <w:rPr>
          <w:sz w:val="20"/>
          <w:szCs w:val="20"/>
          <w:rtl/>
        </w:rPr>
        <w:t>אליהו־מאיר</w:t>
      </w:r>
      <w:proofErr w:type="spellEnd"/>
      <w:r>
        <w:rPr>
          <w:sz w:val="20"/>
          <w:szCs w:val="20"/>
          <w:rtl/>
        </w:rPr>
        <w:t xml:space="preserve"> </w:t>
      </w:r>
      <w:proofErr w:type="spellStart"/>
      <w:r>
        <w:rPr>
          <w:sz w:val="20"/>
          <w:szCs w:val="20"/>
          <w:rtl/>
        </w:rPr>
        <w:t>פייבלזון</w:t>
      </w:r>
      <w:proofErr w:type="spellEnd"/>
      <w:r>
        <w:rPr>
          <w:sz w:val="20"/>
          <w:szCs w:val="20"/>
          <w:rtl/>
        </w:rPr>
        <w:t xml:space="preserve"> (המקור הנזכר בפרק 3, הפסקה הראשונה של נספח כה), עמ׳ ג, שכץ אינו מצטט.</w:t>
      </w:r>
    </w:p>
  </w:footnote>
  <w:footnote w:id="3834">
    <w:p w14:paraId="75DBF77C" w14:textId="77777777" w:rsidR="00AB3647" w:rsidRDefault="00000000">
      <w:pPr>
        <w:spacing w:after="0" w:before="0"/>
        <w:jc w:val="both"/>
      </w:pPr>
      <w:r>
        <w:rPr>
          <w:sz w:val="20"/>
          <w:szCs w:val="20"/>
          <w:rtl/>
        </w:rPr>
        <w:footnoteRef/>
      </w:r>
      <w:r>
        <w:rPr>
          <w:sz w:val="20"/>
          <w:szCs w:val="20"/>
          <w:rtl/>
        </w:rPr>
        <w:t xml:space="preserve">. תמוה </w:t>
      </w:r>
      <w:proofErr w:type="spellStart"/>
      <w:r>
        <w:rPr>
          <w:sz w:val="20"/>
          <w:szCs w:val="20"/>
          <w:rtl/>
        </w:rPr>
        <w:t>ש“יובל</w:t>
      </w:r>
      <w:proofErr w:type="spellEnd"/>
      <w:r>
        <w:rPr>
          <w:sz w:val="20"/>
          <w:szCs w:val="20"/>
          <w:rtl/>
        </w:rPr>
        <w:t xml:space="preserve"> המאה” מקדים את ייסוד הישיבה של “שלושת האברכים” בשנתיים אף לעומת השנה שטענו לה “אנשי ישיבת </w:t>
      </w:r>
      <w:proofErr w:type="spellStart"/>
      <w:r>
        <w:rPr>
          <w:sz w:val="20"/>
          <w:szCs w:val="20"/>
          <w:rtl/>
        </w:rPr>
        <w:t>טלז</w:t>
      </w:r>
      <w:proofErr w:type="spellEnd"/>
      <w:r>
        <w:rPr>
          <w:sz w:val="20"/>
          <w:szCs w:val="20"/>
          <w:rtl/>
        </w:rPr>
        <w:t>”, שאותה הפריך כץ – ובסך הכול בשש שנים לפני ייסודה בפועל.</w:t>
      </w:r>
    </w:p>
  </w:footnote>
  <w:footnote w:id="3835">
    <w:p w14:paraId="12B24F6E" w14:textId="77777777" w:rsidR="00AB3647" w:rsidRDefault="00000000">
      <w:pPr>
        <w:spacing w:after="0" w:before="0"/>
        <w:jc w:val="both"/>
      </w:pPr>
      <w:r>
        <w:rPr>
          <w:sz w:val="20"/>
          <w:szCs w:val="20"/>
          <w:rtl/>
        </w:rPr>
        <w:footnoteRef/>
      </w:r>
      <w:r>
        <w:rPr>
          <w:sz w:val="20"/>
          <w:szCs w:val="20"/>
          <w:rtl/>
        </w:rPr>
        <w:t xml:space="preserve">. לעניין מינויו של ר׳ לייזר, “יובל המאה” סותר את עצמו בעמ׳ 265, שם נאמר (ובצדק) שכיהן </w:t>
      </w:r>
      <w:proofErr w:type="spellStart"/>
      <w:r>
        <w:rPr>
          <w:sz w:val="20"/>
          <w:szCs w:val="20"/>
          <w:rtl/>
        </w:rPr>
        <w:t>בקלם</w:t>
      </w:r>
      <w:proofErr w:type="spellEnd"/>
      <w:r>
        <w:rPr>
          <w:sz w:val="20"/>
          <w:szCs w:val="20"/>
          <w:rtl/>
        </w:rPr>
        <w:t xml:space="preserve"> עשר שנים לאחר שנתמנה שם </w:t>
      </w:r>
      <w:proofErr w:type="spellStart"/>
      <w:r>
        <w:rPr>
          <w:sz w:val="20"/>
          <w:szCs w:val="20"/>
          <w:rtl/>
        </w:rPr>
        <w:t>בתרל״ד</w:t>
      </w:r>
      <w:proofErr w:type="spellEnd"/>
      <w:r>
        <w:rPr>
          <w:sz w:val="20"/>
          <w:szCs w:val="20"/>
          <w:rtl/>
        </w:rPr>
        <w:t>.</w:t>
      </w:r>
    </w:p>
  </w:footnote>
  <w:footnote w:id="3836">
    <w:p w14:paraId="0BCE4254"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“אור ליום ב׳ מקץ תרמ״ג” הוא ליל כ״ג בכסלו, ולא כ״ד בכסלו.</w:t>
      </w:r>
    </w:p>
  </w:footnote>
  <w:footnote w:id="3837">
    <w:p w14:paraId="5D9DDA58" w14:textId="77777777" w:rsidR="00AB3647" w:rsidRDefault="00000000">
      <w:pPr>
        <w:spacing w:after="0" w:before="0"/>
        <w:jc w:val="both"/>
      </w:pPr>
      <w:r>
        <w:rPr>
          <w:sz w:val="20"/>
          <w:szCs w:val="20"/>
          <w:rtl/>
        </w:rPr>
        <w:footnoteRef/>
      </w:r>
      <w:r>
        <w:rPr>
          <w:sz w:val="20"/>
          <w:szCs w:val="20"/>
          <w:rtl/>
        </w:rPr>
        <w:t>. שם, עמ׳ 131.</w:t>
      </w:r>
    </w:p>
  </w:footnote>
  <w:footnote w:id="3838">
    <w:p w14:paraId="014851E5" w14:textId="77777777" w:rsidR="00AB3647" w:rsidRDefault="00000000">
      <w:pPr>
        <w:spacing w:after="0" w:before="0"/>
        <w:jc w:val="both"/>
      </w:pPr>
      <w:r>
        <w:rPr>
          <w:sz w:val="20"/>
          <w:szCs w:val="20"/>
          <w:rtl/>
        </w:rPr>
        <w:footnoteRef/>
      </w:r>
      <w:r>
        <w:rPr>
          <w:sz w:val="20"/>
          <w:szCs w:val="20"/>
          <w:rtl/>
        </w:rPr>
        <w:t>. שם, עמ׳ 125.</w:t>
      </w:r>
    </w:p>
  </w:footnote>
  <w:footnote w:id="3839">
    <w:p w14:paraId="4E7A6049" w14:textId="77777777" w:rsidR="00AB3647" w:rsidRDefault="00000000">
      <w:pPr>
        <w:spacing w:after="0" w:before="0"/>
        <w:jc w:val="both"/>
      </w:pPr>
      <w:r>
        <w:rPr>
          <w:sz w:val="20"/>
          <w:szCs w:val="20"/>
          <w:rtl/>
        </w:rPr>
        <w:footnoteRef/>
      </w:r>
      <w:r>
        <w:rPr>
          <w:sz w:val="20"/>
          <w:szCs w:val="20"/>
          <w:rtl/>
        </w:rPr>
        <w:t xml:space="preserve">. יש להוסיף שייתכן שר׳ ישראל בא לקובנה לא מממל אלא ממינסק (ראה פרק 5, הפסקה השביעית של נספח ב); ואם כך, מכיוון שבנסיעה ממינסק </w:t>
      </w:r>
      <w:proofErr w:type="spellStart"/>
      <w:r>
        <w:rPr>
          <w:sz w:val="20"/>
          <w:szCs w:val="20"/>
          <w:rtl/>
        </w:rPr>
        <w:t>לקלם</w:t>
      </w:r>
      <w:proofErr w:type="spellEnd"/>
      <w:r>
        <w:rPr>
          <w:sz w:val="20"/>
          <w:szCs w:val="20"/>
          <w:rtl/>
        </w:rPr>
        <w:t xml:space="preserve"> מגיעים תחילה לקובנה, מסעו </w:t>
      </w:r>
      <w:proofErr w:type="spellStart"/>
      <w:r>
        <w:rPr>
          <w:sz w:val="20"/>
          <w:szCs w:val="20"/>
          <w:rtl/>
        </w:rPr>
        <w:t>לקלם</w:t>
      </w:r>
      <w:proofErr w:type="spellEnd"/>
      <w:r>
        <w:rPr>
          <w:sz w:val="20"/>
          <w:szCs w:val="20"/>
          <w:rtl/>
        </w:rPr>
        <w:t xml:space="preserve"> לפני שהגיע לקובנה לא היה סטייה קלה מן הדרך, כאמור לעיל, אלא נסיעה מיוחדת שנועדה לסייע לתלמידו לשעבר להרשים את הברון הצעיר והעשיר במעלתה של הישיבה.</w:t>
      </w:r>
    </w:p>
  </w:footnote>
  <w:footnote w:id="3840">
    <w:p w14:paraId="47CCB3CB" w14:textId="77777777" w:rsidR="00AB3647" w:rsidRDefault="00000000">
      <w:pPr>
        <w:spacing w:after="0" w:before="0"/>
        <w:jc w:val="both"/>
      </w:pPr>
      <w:r>
        <w:rPr>
          <w:sz w:val="20"/>
          <w:szCs w:val="20"/>
          <w:rtl/>
        </w:rPr>
        <w:footnoteRef/>
      </w:r>
      <w:r>
        <w:rPr>
          <w:sz w:val="20"/>
          <w:szCs w:val="20"/>
          <w:rtl/>
        </w:rPr>
        <w:t xml:space="preserve">. אפשר שבאותו זמן מסר ר׳ ישראל בעל פה </w:t>
      </w:r>
      <w:proofErr w:type="spellStart"/>
      <w:r>
        <w:rPr>
          <w:sz w:val="20"/>
          <w:szCs w:val="20"/>
          <w:rtl/>
        </w:rPr>
        <w:t>לר</w:t>
      </w:r>
      <w:proofErr w:type="spellEnd"/>
      <w:r>
        <w:rPr>
          <w:sz w:val="20"/>
          <w:szCs w:val="20"/>
          <w:rtl/>
        </w:rPr>
        <w:t xml:space="preserve">׳ </w:t>
      </w:r>
      <w:proofErr w:type="spellStart"/>
      <w:r>
        <w:rPr>
          <w:sz w:val="20"/>
          <w:szCs w:val="20"/>
          <w:rtl/>
        </w:rPr>
        <w:t>שמחה־זיסל</w:t>
      </w:r>
      <w:proofErr w:type="spellEnd"/>
      <w:r>
        <w:rPr>
          <w:sz w:val="20"/>
          <w:szCs w:val="20"/>
          <w:rtl/>
        </w:rPr>
        <w:t xml:space="preserve"> זיו גם הנחיות כיצד לנהל את בית הספר שתכנן </w:t>
      </w:r>
      <w:proofErr w:type="spellStart"/>
      <w:r>
        <w:rPr>
          <w:sz w:val="20"/>
          <w:szCs w:val="20"/>
          <w:rtl/>
        </w:rPr>
        <w:t>בגרובין</w:t>
      </w:r>
      <w:proofErr w:type="spellEnd"/>
      <w:r>
        <w:rPr>
          <w:sz w:val="20"/>
          <w:szCs w:val="20"/>
          <w:rtl/>
        </w:rPr>
        <w:t xml:space="preserve">. ראה המכתב שהובא מספרו של כץ, “תנועת המוסר”, כרך ב, עמ׳ 216–217, בפרק 3, נספח כה, ובו כתב ר׳ </w:t>
      </w:r>
      <w:proofErr w:type="spellStart"/>
      <w:r>
        <w:rPr>
          <w:sz w:val="20"/>
          <w:szCs w:val="20"/>
          <w:rtl/>
        </w:rPr>
        <w:t>שמחה־זיסל</w:t>
      </w:r>
      <w:proofErr w:type="spellEnd"/>
      <w:r>
        <w:rPr>
          <w:sz w:val="20"/>
          <w:szCs w:val="20"/>
          <w:rtl/>
        </w:rPr>
        <w:t xml:space="preserve"> זיו שרבו “אמר לי בפירוש...”. הנחיות אלה הן שאילצו אותו לבסוף לסגור את בית הספר </w:t>
      </w:r>
      <w:proofErr w:type="spellStart"/>
      <w:r>
        <w:rPr>
          <w:sz w:val="20"/>
          <w:szCs w:val="20"/>
          <w:rtl/>
        </w:rPr>
        <w:t>בגרובין</w:t>
      </w:r>
      <w:proofErr w:type="spellEnd"/>
      <w:r>
        <w:rPr>
          <w:sz w:val="20"/>
          <w:szCs w:val="20"/>
          <w:rtl/>
        </w:rPr>
        <w:t xml:space="preserve">, לאחר פטירת ר׳ ישראל, מפני שלא היה בכוחו עוד לעמוד בהן – כפי שהוצע בפרק 3, הפסקה השנייה של נספח </w:t>
      </w:r>
      <w:proofErr w:type="spellStart"/>
      <w:r>
        <w:rPr>
          <w:sz w:val="20"/>
          <w:szCs w:val="20"/>
          <w:rtl/>
        </w:rPr>
        <w:t>יז</w:t>
      </w:r>
      <w:proofErr w:type="spellEnd"/>
      <w:r>
        <w:rPr>
          <w:sz w:val="20"/>
          <w:szCs w:val="20"/>
          <w:rtl/>
        </w:rPr>
        <w:t>.</w:t>
      </w:r>
    </w:p>
  </w:footnote>
  <w:footnote w:id="3841">
    <w:p w14:paraId="131A5355" w14:textId="77777777" w:rsidR="00AB3647" w:rsidRDefault="00000000">
      <w:pPr>
        <w:spacing w:after="0" w:before="0"/>
        <w:jc w:val="both"/>
      </w:pPr>
      <w:r>
        <w:rPr>
          <w:sz w:val="20"/>
          <w:szCs w:val="20"/>
          <w:rtl/>
        </w:rPr>
        <w:footnoteRef/>
      </w:r>
      <w:r>
        <w:rPr>
          <w:sz w:val="20"/>
          <w:szCs w:val="20"/>
          <w:rtl/>
        </w:rPr>
        <w:t>. נספח ז לעיל – עמ׳ 358.</w:t>
      </w:r>
    </w:p>
  </w:footnote>
  <w:footnote w:id="3842">
    <w:p w14:paraId="73FB9C86" w14:textId="77777777" w:rsidR="00AB3647" w:rsidRDefault="00000000">
      <w:pPr>
        <w:spacing w:after="0" w:before="0"/>
        <w:jc w:val="both"/>
      </w:pPr>
      <w:r>
        <w:rPr>
          <w:sz w:val="20"/>
          <w:szCs w:val="20"/>
          <w:rtl/>
        </w:rPr>
        <w:footnoteRef/>
      </w:r>
      <w:r>
        <w:rPr>
          <w:sz w:val="20"/>
          <w:szCs w:val="20"/>
          <w:rtl/>
        </w:rPr>
        <w:t>. ריאיון, 3 באוגוסט 1999.</w:t>
      </w:r>
    </w:p>
  </w:footnote>
  <w:footnote w:id="3843">
    <w:p w14:paraId="16B0A6CF" w14:textId="77777777" w:rsidR="00AB3647" w:rsidRDefault="00000000">
      <w:pPr>
        <w:spacing w:after="0" w:before="0"/>
        <w:jc w:val="both"/>
      </w:pPr>
      <w:r>
        <w:rPr>
          <w:sz w:val="20"/>
          <w:szCs w:val="20"/>
          <w:rtl/>
        </w:rPr>
        <w:footnoteRef/>
      </w:r>
      <w:r>
        <w:rPr>
          <w:sz w:val="20"/>
          <w:szCs w:val="20"/>
          <w:rtl/>
        </w:rPr>
        <w:t xml:space="preserve">. נראה שזו גרסה ששונתה מעט מן הדברים שמסר ר׳ אריה לוין בשם </w:t>
      </w:r>
      <w:proofErr w:type="spellStart"/>
      <w:r>
        <w:rPr>
          <w:sz w:val="20"/>
          <w:szCs w:val="20"/>
          <w:rtl/>
        </w:rPr>
        <w:t>החפץ־חיים</w:t>
      </w:r>
      <w:proofErr w:type="spellEnd"/>
      <w:r>
        <w:rPr>
          <w:sz w:val="20"/>
          <w:szCs w:val="20"/>
          <w:rtl/>
        </w:rPr>
        <w:t xml:space="preserve"> </w:t>
      </w:r>
      <w:proofErr w:type="spellStart"/>
      <w:r>
        <w:rPr>
          <w:sz w:val="20"/>
          <w:szCs w:val="20"/>
          <w:rtl/>
        </w:rPr>
        <w:t>ב“הערות</w:t>
      </w:r>
      <w:proofErr w:type="spellEnd"/>
      <w:r>
        <w:rPr>
          <w:sz w:val="20"/>
          <w:szCs w:val="20"/>
          <w:rtl/>
        </w:rPr>
        <w:t xml:space="preserve"> הלשם” שלו (הפסקה השנייה של נספח ז לעיל).</w:t>
      </w:r>
    </w:p>
  </w:footnote>
  <w:footnote w:id="3844">
    <w:p w14:paraId="11FC1CDB" w14:textId="77777777" w:rsidR="00AB3647" w:rsidRDefault="00000000">
      <w:pPr>
        <w:spacing w:after="0" w:before="0"/>
        <w:jc w:val="both"/>
      </w:pPr>
      <w:r>
        <w:rPr>
          <w:sz w:val="20"/>
          <w:szCs w:val="20"/>
          <w:rtl/>
        </w:rPr>
        <w:footnoteRef/>
      </w:r>
      <w:r>
        <w:rPr>
          <w:sz w:val="20"/>
          <w:szCs w:val="20"/>
          <w:rtl/>
        </w:rPr>
        <w:t>. ראה הפסקה השנייה של נספח ז לעיל.</w:t>
      </w:r>
    </w:p>
  </w:footnote>
  <w:footnote w:id="3845">
    <w:p w14:paraId="0FEBC63E" w14:textId="77777777" w:rsidR="00AB3647" w:rsidRDefault="00000000">
      <w:pPr>
        <w:spacing w:after="0" w:before="0"/>
        <w:jc w:val="both"/>
      </w:pPr>
      <w:r>
        <w:rPr>
          <w:sz w:val="20"/>
          <w:szCs w:val="20"/>
          <w:rtl/>
        </w:rPr>
        <w:footnoteRef/>
      </w:r>
      <w:r>
        <w:rPr>
          <w:sz w:val="20"/>
          <w:szCs w:val="20"/>
          <w:rtl/>
        </w:rPr>
        <w:t xml:space="preserve">. </w:t>
      </w:r>
      <w:proofErr w:type="spellStart"/>
      <w:r>
        <w:rPr>
          <w:sz w:val="20"/>
          <w:szCs w:val="20"/>
          <w:rtl/>
        </w:rPr>
        <w:t>ב“הערות</w:t>
      </w:r>
      <w:proofErr w:type="spellEnd"/>
      <w:r>
        <w:rPr>
          <w:sz w:val="20"/>
          <w:szCs w:val="20"/>
          <w:rtl/>
        </w:rPr>
        <w:t xml:space="preserve"> הלשם”.</w:t>
      </w:r>
    </w:p>
  </w:footnote>
  <w:footnote w:id="3846">
    <w:p w14:paraId="6320F357" w14:textId="77777777" w:rsidR="00AB3647" w:rsidRDefault="00000000">
      <w:pPr>
        <w:spacing w:after="0" w:before="0"/>
        <w:jc w:val="both"/>
      </w:pPr>
      <w:r>
        <w:rPr>
          <w:sz w:val="20"/>
          <w:szCs w:val="20"/>
          <w:rtl/>
        </w:rPr>
        <w:footnoteRef/>
      </w:r>
      <w:r>
        <w:rPr>
          <w:sz w:val="20"/>
          <w:szCs w:val="20"/>
          <w:rtl/>
        </w:rPr>
        <w:t>. עמ׳ 456–460 בספרו של כץ, “תנועת המוסר”, כרך ב, מוקדשים לו.</w:t>
      </w:r>
    </w:p>
  </w:footnote>
  <w:footnote w:id="3847">
    <w:p w14:paraId="02244101" w14:textId="77777777" w:rsidR="00AB3647" w:rsidRDefault="00000000">
      <w:pPr>
        <w:spacing w:after="0" w:before="0"/>
        <w:jc w:val="both"/>
      </w:pPr>
      <w:r>
        <w:rPr>
          <w:sz w:val="20"/>
          <w:szCs w:val="20"/>
          <w:rtl/>
        </w:rPr>
        <w:footnoteRef/>
      </w:r>
      <w:r>
        <w:rPr>
          <w:sz w:val="20"/>
          <w:szCs w:val="20"/>
          <w:rtl/>
        </w:rPr>
        <w:t xml:space="preserve">. ראה “שמואל בדורו”, ביוגרפיה של ר׳ שמואל </w:t>
      </w:r>
      <w:proofErr w:type="spellStart"/>
      <w:r>
        <w:rPr>
          <w:sz w:val="20"/>
          <w:szCs w:val="20"/>
          <w:rtl/>
        </w:rPr>
        <w:t>סלנט</w:t>
      </w:r>
      <w:proofErr w:type="spellEnd"/>
      <w:r>
        <w:rPr>
          <w:sz w:val="20"/>
          <w:szCs w:val="20"/>
          <w:rtl/>
        </w:rPr>
        <w:t xml:space="preserve"> (רבה של ירושלים, תר״א–תרס״ט), “כתבו וערכו יעקב רימון ויוסף </w:t>
      </w:r>
      <w:proofErr w:type="spellStart"/>
      <w:r>
        <w:rPr>
          <w:sz w:val="20"/>
          <w:szCs w:val="20"/>
          <w:rtl/>
        </w:rPr>
        <w:t>זונדל</w:t>
      </w:r>
      <w:proofErr w:type="spellEnd"/>
      <w:r>
        <w:rPr>
          <w:sz w:val="20"/>
          <w:szCs w:val="20"/>
          <w:rtl/>
        </w:rPr>
        <w:t xml:space="preserve"> וסרמן” (הוצאת “מסלול”, תל אביב, תשכ״א), עמ׳ ט: בשנותיו המוקדמות של ר׳ ישראל, כשלמד </w:t>
      </w:r>
      <w:proofErr w:type="spellStart"/>
      <w:r>
        <w:rPr>
          <w:sz w:val="20"/>
          <w:szCs w:val="20"/>
          <w:rtl/>
        </w:rPr>
        <w:t>בסלנט</w:t>
      </w:r>
      <w:proofErr w:type="spellEnd"/>
      <w:r>
        <w:rPr>
          <w:sz w:val="20"/>
          <w:szCs w:val="20"/>
          <w:rtl/>
        </w:rPr>
        <w:t xml:space="preserve"> אצל ר׳ </w:t>
      </w:r>
      <w:proofErr w:type="spellStart"/>
      <w:r>
        <w:rPr>
          <w:sz w:val="20"/>
          <w:szCs w:val="20"/>
          <w:rtl/>
        </w:rPr>
        <w:t>צבי־הירש</w:t>
      </w:r>
      <w:proofErr w:type="spellEnd"/>
      <w:r>
        <w:rPr>
          <w:sz w:val="20"/>
          <w:szCs w:val="20"/>
          <w:rtl/>
        </w:rPr>
        <w:t xml:space="preserve"> </w:t>
      </w:r>
      <w:proofErr w:type="spellStart"/>
      <w:r>
        <w:rPr>
          <w:sz w:val="20"/>
          <w:szCs w:val="20"/>
          <w:rtl/>
        </w:rPr>
        <w:t>ברוידא</w:t>
      </w:r>
      <w:proofErr w:type="spellEnd"/>
      <w:r>
        <w:rPr>
          <w:sz w:val="20"/>
          <w:szCs w:val="20"/>
          <w:rtl/>
        </w:rPr>
        <w:t xml:space="preserve"> יחד עם ר׳ שמואל, שהיה צעיר ממנו בחמש שנים, החליטו שני החברים שלא ללמוד קבלה.</w:t>
      </w:r>
    </w:p>
  </w:footnote>
  <w:footnote w:id="3848">
    <w:p w14:paraId="43DE6229" w14:textId="77777777" w:rsidR="00AB3647" w:rsidRDefault="00000000">
      <w:pPr>
        <w:spacing w:after="0" w:before="0"/>
        <w:jc w:val="both"/>
      </w:pPr>
      <w:r>
        <w:rPr>
          <w:sz w:val="20"/>
          <w:szCs w:val="20"/>
          <w:rtl/>
        </w:rPr>
        <w:footnoteRef/>
      </w:r>
      <w:r>
        <w:rPr>
          <w:sz w:val="20"/>
          <w:szCs w:val="20"/>
          <w:rtl/>
        </w:rPr>
        <w:t xml:space="preserve">. עמ׳ </w:t>
      </w:r>
      <w:proofErr w:type="spellStart"/>
      <w:r>
        <w:rPr>
          <w:sz w:val="20"/>
          <w:szCs w:val="20"/>
          <w:rtl/>
        </w:rPr>
        <w:t>לז</w:t>
      </w:r>
      <w:proofErr w:type="spellEnd"/>
      <w:r>
        <w:rPr>
          <w:sz w:val="20"/>
          <w:szCs w:val="20"/>
          <w:rtl/>
        </w:rPr>
        <w:t>–לח.</w:t>
      </w:r>
    </w:p>
  </w:footnote>
  <w:footnote w:id="3849">
    <w:p w14:paraId="45688B79" w14:textId="77777777" w:rsidR="00AB3647" w:rsidRDefault="00000000">
      <w:pPr>
        <w:spacing w:after="0" w:before="0"/>
        <w:jc w:val="both"/>
      </w:pPr>
      <w:r>
        <w:rPr>
          <w:sz w:val="20"/>
          <w:szCs w:val="20"/>
          <w:rtl/>
        </w:rPr>
        <w:footnoteRef/>
      </w:r>
      <w:r>
        <w:rPr>
          <w:sz w:val="20"/>
          <w:szCs w:val="20"/>
          <w:rtl/>
        </w:rPr>
        <w:t xml:space="preserve">. השווה גם הערה 92 לעיל: הוא מסר שיעורים בתלמוד התורה של ר׳ </w:t>
      </w:r>
      <w:proofErr w:type="spellStart"/>
      <w:r>
        <w:rPr>
          <w:sz w:val="20"/>
          <w:szCs w:val="20"/>
          <w:rtl/>
        </w:rPr>
        <w:t>שמחה־זיסל</w:t>
      </w:r>
      <w:proofErr w:type="spellEnd"/>
      <w:r>
        <w:rPr>
          <w:sz w:val="20"/>
          <w:szCs w:val="20"/>
          <w:rtl/>
        </w:rPr>
        <w:t xml:space="preserve"> בעיר (לפני שעבר </w:t>
      </w:r>
      <w:proofErr w:type="spellStart"/>
      <w:r>
        <w:rPr>
          <w:sz w:val="20"/>
          <w:szCs w:val="20"/>
          <w:rtl/>
        </w:rPr>
        <w:t>לגרובין</w:t>
      </w:r>
      <w:proofErr w:type="spellEnd"/>
      <w:r>
        <w:rPr>
          <w:sz w:val="20"/>
          <w:szCs w:val="20"/>
          <w:rtl/>
        </w:rPr>
        <w:t>).</w:t>
      </w:r>
    </w:p>
  </w:footnote>
  <w:footnote w:id="3850">
    <w:p w14:paraId="56BB83DC" w14:textId="77777777" w:rsidR="00AB3647" w:rsidRDefault="00000000">
      <w:pPr>
        <w:spacing w:after="0" w:before="0"/>
        <w:jc w:val="both"/>
      </w:pPr>
      <w:r>
        <w:rPr>
          <w:sz w:val="20"/>
          <w:szCs w:val="20"/>
          <w:rtl/>
        </w:rPr>
        <w:footnoteRef/>
      </w:r>
      <w:r>
        <w:rPr>
          <w:sz w:val="20"/>
          <w:szCs w:val="20"/>
          <w:rtl/>
        </w:rPr>
        <w:t>. המקור הנזכר בפרק 1, הערה 13 – עמ׳ 289–298.</w:t>
      </w:r>
    </w:p>
  </w:footnote>
  <w:footnote w:id="3851">
    <w:p w14:paraId="72BE8621" w14:textId="77777777" w:rsidR="00AB3647" w:rsidRDefault="00000000">
      <w:pPr>
        <w:spacing w:after="0" w:before="0"/>
        <w:jc w:val="both"/>
      </w:pPr>
      <w:r>
        <w:rPr>
          <w:sz w:val="20"/>
          <w:szCs w:val="20"/>
          <w:rtl/>
        </w:rPr>
        <w:footnoteRef/>
      </w:r>
      <w:r>
        <w:rPr>
          <w:sz w:val="20"/>
          <w:szCs w:val="20"/>
          <w:rtl/>
        </w:rPr>
        <w:t xml:space="preserve">. ראה פרק 3, הפסקה השנייה של נספח </w:t>
      </w:r>
      <w:proofErr w:type="spellStart"/>
      <w:r>
        <w:rPr>
          <w:sz w:val="20"/>
          <w:szCs w:val="20"/>
          <w:rtl/>
        </w:rPr>
        <w:t>יט</w:t>
      </w:r>
      <w:proofErr w:type="spellEnd"/>
      <w:r>
        <w:rPr>
          <w:sz w:val="20"/>
          <w:szCs w:val="20"/>
          <w:rtl/>
        </w:rPr>
        <w:t>.</w:t>
      </w:r>
    </w:p>
  </w:footnote>
  <w:footnote w:id="3852">
    <w:p w14:paraId="122C9FD2" w14:textId="77777777" w:rsidR="00AB3647" w:rsidRDefault="00000000">
      <w:pPr>
        <w:spacing w:after="0" w:before="0"/>
        <w:jc w:val="both"/>
      </w:pPr>
      <w:r>
        <w:rPr>
          <w:sz w:val="20"/>
          <w:szCs w:val="20"/>
          <w:rtl/>
        </w:rPr>
        <w:footnoteRef/>
      </w:r>
      <w:r>
        <w:rPr>
          <w:sz w:val="20"/>
          <w:szCs w:val="20"/>
          <w:rtl/>
        </w:rPr>
        <w:t>. כרך 2, עמ׳ 5.</w:t>
      </w:r>
    </w:p>
  </w:footnote>
  <w:footnote w:id="3853">
    <w:p w14:paraId="54FBEA45" w14:textId="77777777" w:rsidR="00AB3647" w:rsidRDefault="00000000">
      <w:pPr>
        <w:spacing w:after="0" w:before="0"/>
        <w:jc w:val="both"/>
      </w:pPr>
      <w:r>
        <w:rPr>
          <w:sz w:val="20"/>
          <w:szCs w:val="20"/>
          <w:rtl/>
        </w:rPr>
        <w:footnoteRef/>
      </w:r>
      <w:r>
        <w:rPr>
          <w:sz w:val="20"/>
          <w:szCs w:val="20"/>
          <w:rtl/>
        </w:rPr>
        <w:t xml:space="preserve">. עמ׳ </w:t>
      </w:r>
      <w:proofErr w:type="spellStart"/>
      <w:r>
        <w:rPr>
          <w:sz w:val="20"/>
          <w:szCs w:val="20"/>
          <w:rtl/>
        </w:rPr>
        <w:t>נז</w:t>
      </w:r>
      <w:proofErr w:type="spellEnd"/>
      <w:r>
        <w:rPr>
          <w:sz w:val="20"/>
          <w:szCs w:val="20"/>
          <w:rtl/>
        </w:rPr>
        <w:t>.</w:t>
      </w:r>
    </w:p>
  </w:footnote>
  <w:footnote w:id="3854">
    <w:p w14:paraId="5F572EA2" w14:textId="77777777" w:rsidR="00AB3647" w:rsidRDefault="00000000">
      <w:pPr>
        <w:spacing w:after="0" w:before="0"/>
        <w:jc w:val="both"/>
      </w:pPr>
      <w:r>
        <w:rPr>
          <w:sz w:val="20"/>
          <w:szCs w:val="20"/>
          <w:rtl/>
        </w:rPr>
        <w:footnoteRef/>
      </w:r>
      <w:r>
        <w:rPr>
          <w:sz w:val="20"/>
          <w:szCs w:val="20"/>
          <w:rtl/>
        </w:rPr>
        <w:t>. כרך 1, עמ׳ 177.</w:t>
      </w:r>
    </w:p>
  </w:footnote>
  <w:footnote w:id="3855">
    <w:p w14:paraId="2EA4E753" w14:textId="77777777" w:rsidR="00AB3647" w:rsidRDefault="00000000">
      <w:pPr>
        <w:spacing w:after="0" w:before="0"/>
        <w:jc w:val="both"/>
      </w:pPr>
      <w:r>
        <w:rPr>
          <w:sz w:val="20"/>
          <w:szCs w:val="20"/>
          <w:rtl/>
        </w:rPr>
        <w:footnoteRef/>
      </w:r>
      <w:r>
        <w:rPr>
          <w:sz w:val="20"/>
          <w:szCs w:val="20"/>
          <w:rtl/>
        </w:rPr>
        <w:t xml:space="preserve">. השווה פרק 5, הפסקה השנייה של נספח ב, לפרטים נוספים על עזיבתו של ר׳ ישראל את וילנה </w:t>
      </w:r>
      <w:proofErr w:type="spellStart"/>
      <w:r>
        <w:rPr>
          <w:sz w:val="20"/>
          <w:szCs w:val="20"/>
          <w:rtl/>
        </w:rPr>
        <w:t>בתר״ט</w:t>
      </w:r>
      <w:proofErr w:type="spellEnd"/>
      <w:r>
        <w:rPr>
          <w:sz w:val="20"/>
          <w:szCs w:val="20"/>
          <w:rtl/>
        </w:rPr>
        <w:t xml:space="preserve"> ועל הקשר בינה לבין ההצעה שקיבל למשרה זו.</w:t>
      </w:r>
    </w:p>
  </w:footnote>
  <w:footnote w:id="3856">
    <w:p w14:paraId="074B3944" w14:textId="77777777" w:rsidR="00AB3647" w:rsidRDefault="00000000">
      <w:pPr>
        <w:spacing w:after="0" w:before="0"/>
        <w:jc w:val="both"/>
      </w:pPr>
      <w:r>
        <w:rPr>
          <w:sz w:val="20"/>
          <w:szCs w:val="20"/>
          <w:rtl/>
        </w:rPr>
        <w:footnoteRef/>
      </w:r>
      <w:r>
        <w:rPr>
          <w:sz w:val="20"/>
          <w:szCs w:val="20"/>
          <w:rtl/>
        </w:rPr>
        <w:t xml:space="preserve">. להגדרה אחרת של ר׳ ישראל </w:t>
      </w:r>
      <w:proofErr w:type="spellStart"/>
      <w:r>
        <w:rPr>
          <w:sz w:val="20"/>
          <w:szCs w:val="20"/>
          <w:rtl/>
        </w:rPr>
        <w:t>סלנטר</w:t>
      </w:r>
      <w:proofErr w:type="spellEnd"/>
      <w:r>
        <w:rPr>
          <w:sz w:val="20"/>
          <w:szCs w:val="20"/>
          <w:rtl/>
        </w:rPr>
        <w:t xml:space="preserve"> למה שהישיבה מייצגת, ראה פרק 3, הפסקה השלישית של נספח ד.</w:t>
      </w:r>
    </w:p>
  </w:footnote>
  <w:footnote w:id="3857">
    <w:p w14:paraId="6BE09E92" w14:textId="77777777" w:rsidR="00AB3647" w:rsidRDefault="00000000">
      <w:pPr>
        <w:spacing w:after="0" w:before="0"/>
        <w:jc w:val="both"/>
      </w:pPr>
      <w:r>
        <w:rPr>
          <w:sz w:val="20"/>
          <w:szCs w:val="20"/>
          <w:rtl/>
        </w:rPr>
        <w:footnoteRef/>
      </w:r>
      <w:r>
        <w:rPr>
          <w:sz w:val="20"/>
          <w:szCs w:val="20"/>
          <w:rtl/>
        </w:rPr>
        <w:t xml:space="preserve">. כנראה בזכות הרקע הליטאי הזה סיגל לעצמו את הכבוד שרוחשים </w:t>
      </w:r>
      <w:proofErr w:type="spellStart"/>
      <w:r>
        <w:rPr>
          <w:sz w:val="20"/>
          <w:szCs w:val="20"/>
          <w:rtl/>
        </w:rPr>
        <w:t>בזאמוט</w:t>
      </w:r>
      <w:proofErr w:type="spellEnd"/>
      <w:r>
        <w:rPr>
          <w:sz w:val="20"/>
          <w:szCs w:val="20"/>
          <w:rtl/>
        </w:rPr>
        <w:t xml:space="preserve"> לגדולי תורה, ותמך תמיכה מוסרית </w:t>
      </w:r>
      <w:proofErr w:type="spellStart"/>
      <w:r>
        <w:rPr>
          <w:sz w:val="20"/>
          <w:szCs w:val="20"/>
          <w:rtl/>
        </w:rPr>
        <w:t>במלבי״ם</w:t>
      </w:r>
      <w:proofErr w:type="spellEnd"/>
      <w:r>
        <w:rPr>
          <w:sz w:val="20"/>
          <w:szCs w:val="20"/>
          <w:rtl/>
        </w:rPr>
        <w:t xml:space="preserve"> כשנדד לפריז לאחר שגורש מרבנות בוקרשט. השווה פרק 5, הפסקה השנייה של נספח ב, </w:t>
      </w:r>
      <w:proofErr w:type="spellStart"/>
      <w:r>
        <w:rPr>
          <w:sz w:val="20"/>
          <w:szCs w:val="20"/>
          <w:rtl/>
        </w:rPr>
        <w:t>ו“המלבי״ם</w:t>
      </w:r>
      <w:proofErr w:type="spellEnd"/>
      <w:r>
        <w:rPr>
          <w:sz w:val="20"/>
          <w:szCs w:val="20"/>
          <w:rtl/>
        </w:rPr>
        <w:t xml:space="preserve">” (המקור הנזכר בהערה </w:t>
      </w:r>
      <w:r>
        <w:rPr>
          <w:sz w:val="20"/>
          <w:szCs w:val="20"/>
          <w:rtl/>
        </w:rPr>
        <w:fldChar w:fldCharType="begin" w:dirty="true"/>
      </w:r>
      <w:r>
        <w:rPr>
          <w:sz w:val="20"/>
          <w:szCs w:val="20"/>
          <w:rtl/>
        </w:rPr>
        <w:instrText xml:space="preserve"> NOTEREF pr_f_4659 \h </w:instrText>
      </w:r>
      <w:r>
        <w:rPr>
          <w:sz w:val="20"/>
          <w:szCs w:val="20"/>
          <w:rtl/>
        </w:rPr>
      </w:r>
      <w:r>
        <w:rPr>
          <w:sz w:val="20"/>
          <w:szCs w:val="20"/>
          <w:rtl/>
        </w:rPr>
        <w:fldChar w:fldCharType="separate"/>
      </w:r>
      <w:r w:rsidR="007923E9">
        <w:rPr>
          <w:sz w:val="20"/>
          <w:szCs w:val="20"/>
          <w:rtl/>
        </w:rPr>
        <w:t>313</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pr_f_4659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עמ׳ 43–67 ו־70.</w:t>
      </w:r>
    </w:p>
  </w:footnote>
  <w:footnote w:id="3858">
    <w:p w14:paraId="23304213" w14:textId="77777777" w:rsidR="00AB3647" w:rsidRDefault="00000000">
      <w:pPr>
        <w:spacing w:after="0" w:before="0"/>
        <w:jc w:val="both"/>
      </w:pPr>
      <w:r>
        <w:rPr>
          <w:sz w:val="20"/>
          <w:szCs w:val="20"/>
          <w:rtl/>
        </w:rPr>
        <w:footnoteRef/>
      </w:r>
      <w:r>
        <w:rPr>
          <w:sz w:val="20"/>
          <w:szCs w:val="20"/>
          <w:rtl/>
        </w:rPr>
        <w:t xml:space="preserve">. המקור הנזכר בפרק 3, הפסקה השנייה של נספח </w:t>
      </w:r>
      <w:proofErr w:type="spellStart"/>
      <w:r>
        <w:rPr>
          <w:sz w:val="20"/>
          <w:szCs w:val="20"/>
          <w:rtl/>
        </w:rPr>
        <w:t>יט</w:t>
      </w:r>
      <w:proofErr w:type="spellEnd"/>
      <w:r>
        <w:rPr>
          <w:sz w:val="20"/>
          <w:szCs w:val="20"/>
          <w:rtl/>
        </w:rPr>
        <w:t xml:space="preserve"> – עמ׳ 232.</w:t>
      </w:r>
    </w:p>
  </w:footnote>
  <w:footnote w:id="3859">
    <w:p w14:paraId="0D639046" w14:textId="77777777" w:rsidR="00AB3647" w:rsidRDefault="00000000">
      <w:pPr>
        <w:spacing w:after="0" w:before="0"/>
        <w:jc w:val="both"/>
      </w:pPr>
      <w:r>
        <w:rPr>
          <w:sz w:val="20"/>
          <w:szCs w:val="20"/>
          <w:rtl/>
        </w:rPr>
        <w:footnoteRef/>
      </w:r>
      <w:r>
        <w:rPr>
          <w:sz w:val="20"/>
          <w:szCs w:val="20"/>
          <w:rtl/>
        </w:rPr>
        <w:t>. עמ׳ 129.</w:t>
      </w:r>
    </w:p>
  </w:footnote>
  <w:footnote w:id="3860">
    <w:p w14:paraId="3FA277D7" w14:textId="77777777" w:rsidR="00AB3647" w:rsidRDefault="00000000">
      <w:pPr>
        <w:spacing w:after="0" w:before="0"/>
        <w:jc w:val="both"/>
      </w:pPr>
      <w:r>
        <w:rPr>
          <w:sz w:val="20"/>
          <w:szCs w:val="20"/>
          <w:rtl/>
        </w:rPr>
        <w:footnoteRef/>
      </w:r>
      <w:r>
        <w:rPr>
          <w:sz w:val="20"/>
          <w:szCs w:val="20"/>
          <w:rtl/>
        </w:rPr>
        <w:t>. עמ׳ 4.</w:t>
      </w:r>
    </w:p>
  </w:footnote>
  <w:footnote w:id="3861">
    <w:p w14:paraId="56DC459A" w14:textId="77777777" w:rsidR="00AB3647" w:rsidRDefault="00000000">
      <w:pPr>
        <w:spacing w:after="0" w:before="0"/>
        <w:jc w:val="both"/>
      </w:pPr>
      <w:r>
        <w:rPr>
          <w:sz w:val="20"/>
          <w:szCs w:val="20"/>
          <w:rtl/>
        </w:rPr>
        <w:footnoteRef/>
      </w:r>
      <w:r>
        <w:rPr>
          <w:sz w:val="20"/>
          <w:szCs w:val="20"/>
          <w:rtl/>
        </w:rPr>
        <w:t xml:space="preserve">. עמ׳ </w:t>
      </w:r>
      <w:proofErr w:type="spellStart"/>
      <w:r>
        <w:rPr>
          <w:sz w:val="20"/>
          <w:szCs w:val="20"/>
          <w:rtl/>
        </w:rPr>
        <w:t>טז</w:t>
      </w:r>
      <w:proofErr w:type="spellEnd"/>
      <w:r>
        <w:rPr>
          <w:sz w:val="20"/>
          <w:szCs w:val="20"/>
          <w:rtl/>
        </w:rPr>
        <w:t>.</w:t>
      </w:r>
    </w:p>
  </w:footnote>
  <w:footnote w:id="3862">
    <w:p w14:paraId="5B66FE42" w14:textId="77777777" w:rsidR="00AB3647" w:rsidRDefault="00000000">
      <w:pPr>
        <w:spacing w:after="0" w:before="0"/>
        <w:jc w:val="both"/>
      </w:pPr>
      <w:r>
        <w:rPr>
          <w:sz w:val="20"/>
          <w:szCs w:val="20"/>
          <w:rtl/>
        </w:rPr>
        <w:footnoteRef/>
      </w:r>
      <w:r>
        <w:rPr>
          <w:sz w:val="20"/>
          <w:szCs w:val="20"/>
          <w:rtl/>
        </w:rPr>
        <w:t>. ראה פרק 3, הערה 10, על גאון ואיש קדוש יוצא דופן זה.</w:t>
      </w:r>
    </w:p>
  </w:footnote>
  <w:footnote w:id="3863">
    <w:p w14:paraId="19351799" w14:textId="77777777" w:rsidR="00AB3647" w:rsidRDefault="00000000">
      <w:pPr>
        <w:spacing w:after="0" w:before="0"/>
        <w:jc w:val="both"/>
      </w:pPr>
      <w:r>
        <w:rPr>
          <w:sz w:val="20"/>
          <w:szCs w:val="20"/>
          <w:rtl/>
        </w:rPr>
        <w:footnoteRef/>
      </w:r>
      <w:r>
        <w:rPr>
          <w:sz w:val="20"/>
          <w:szCs w:val="20"/>
          <w:rtl/>
        </w:rPr>
        <w:t>. מט ע״ב.</w:t>
      </w:r>
    </w:p>
  </w:footnote>
  <w:footnote w:id="3864">
    <w:p w14:paraId="24D71875" w14:textId="77777777" w:rsidR="00AB3647" w:rsidRDefault="00000000">
      <w:pPr>
        <w:spacing w:after="0" w:before="0"/>
        <w:jc w:val="both"/>
      </w:pPr>
      <w:r>
        <w:rPr>
          <w:sz w:val="20"/>
          <w:szCs w:val="20"/>
          <w:rtl/>
        </w:rPr>
        <w:footnoteRef/>
      </w:r>
      <w:r>
        <w:rPr>
          <w:sz w:val="20"/>
          <w:szCs w:val="20"/>
          <w:rtl/>
        </w:rPr>
        <w:t>. עמ׳ 14–15 – מכתב מס׳ 8 (מתוארך לשנת לידתו של הברון דוד).</w:t>
      </w:r>
    </w:p>
  </w:footnote>
  <w:footnote w:id="3865">
    <w:p w14:paraId="6AD20C1B" w14:textId="77777777" w:rsidR="00AB3647" w:rsidRDefault="00000000">
      <w:pPr>
        <w:spacing w:after="0" w:before="0"/>
        <w:jc w:val="both"/>
      </w:pPr>
      <w:r>
        <w:rPr>
          <w:sz w:val="20"/>
          <w:szCs w:val="20"/>
          <w:rtl/>
        </w:rPr>
        <w:footnoteRef/>
      </w:r>
      <w:r>
        <w:rPr>
          <w:sz w:val="20"/>
          <w:szCs w:val="20"/>
          <w:rtl/>
        </w:rPr>
        <w:t>. עמ׳ 15.</w:t>
      </w:r>
    </w:p>
  </w:footnote>
  <w:footnote w:id="3866">
    <w:p w14:paraId="17274C37" w14:textId="77777777" w:rsidR="00AB3647" w:rsidRDefault="00000000">
      <w:pPr>
        <w:spacing w:after="0" w:before="0"/>
        <w:jc w:val="both"/>
      </w:pPr>
      <w:r>
        <w:rPr>
          <w:sz w:val="20"/>
          <w:szCs w:val="20"/>
          <w:rtl/>
        </w:rPr>
        <w:footnoteRef/>
      </w:r>
      <w:r>
        <w:rPr>
          <w:sz w:val="20"/>
          <w:szCs w:val="20"/>
          <w:rtl/>
        </w:rPr>
        <w:t>. עמ׳ 23–24 – מכתב מס׳ 12.</w:t>
      </w:r>
    </w:p>
  </w:footnote>
  <w:footnote w:id="3867">
    <w:p w14:paraId="59A39CBE" w14:textId="77777777" w:rsidR="00AB3647" w:rsidRDefault="00000000">
      <w:pPr>
        <w:spacing w:after="0" w:before="0"/>
        <w:jc w:val="both"/>
      </w:pPr>
      <w:r>
        <w:rPr>
          <w:sz w:val="20"/>
          <w:szCs w:val="20"/>
          <w:rtl/>
        </w:rPr>
        <w:footnoteRef/>
      </w:r>
      <w:r>
        <w:rPr>
          <w:sz w:val="20"/>
          <w:szCs w:val="20"/>
          <w:rtl/>
        </w:rPr>
        <w:t>. עמ׳ 19.</w:t>
      </w:r>
    </w:p>
  </w:footnote>
  <w:footnote w:id="3868">
    <w:p w14:paraId="74C0F8CA" w14:textId="77777777" w:rsidR="00AB3647" w:rsidRDefault="00000000">
      <w:pPr>
        <w:spacing w:after="0" w:before="0"/>
        <w:jc w:val="both"/>
      </w:pPr>
      <w:r>
        <w:rPr>
          <w:sz w:val="20"/>
          <w:szCs w:val="20"/>
          <w:rtl/>
        </w:rPr>
        <w:footnoteRef/>
      </w:r>
      <w:r>
        <w:rPr>
          <w:sz w:val="20"/>
          <w:szCs w:val="20"/>
          <w:rtl/>
        </w:rPr>
        <w:t>. מכתב מס׳ 8, ובמס׳ 8b, עמ׳ 16–17.</w:t>
      </w:r>
    </w:p>
  </w:footnote>
  <w:footnote w:id="3869">
    <w:p w14:paraId="2A15606F" w14:textId="77777777" w:rsidR="00AB3647" w:rsidRDefault="00000000">
      <w:pPr>
        <w:spacing w:after="0" w:before="0"/>
        <w:jc w:val="both"/>
      </w:pPr>
      <w:r>
        <w:rPr>
          <w:sz w:val="20"/>
          <w:szCs w:val="20"/>
          <w:rtl/>
        </w:rPr>
        <w:footnoteRef/>
      </w:r>
      <w:r>
        <w:rPr>
          <w:sz w:val="20"/>
          <w:szCs w:val="20"/>
          <w:rtl/>
        </w:rPr>
        <w:t xml:space="preserve">. שם, עמ׳ 133. שני הברונים, האב </w:t>
      </w:r>
      <w:proofErr w:type="spellStart"/>
      <w:r>
        <w:rPr>
          <w:sz w:val="20"/>
          <w:szCs w:val="20"/>
          <w:rtl/>
        </w:rPr>
        <w:t>הוראס</w:t>
      </w:r>
      <w:proofErr w:type="spellEnd"/>
      <w:r>
        <w:rPr>
          <w:sz w:val="20"/>
          <w:szCs w:val="20"/>
          <w:rtl/>
        </w:rPr>
        <w:t xml:space="preserve"> והבן דוד, קידמו את התוכנית; אף על פי כן, את </w:t>
      </w:r>
      <w:proofErr w:type="spellStart"/>
      <w:r>
        <w:rPr>
          <w:sz w:val="20"/>
          <w:szCs w:val="20"/>
          <w:rtl/>
        </w:rPr>
        <w:t>ה“טינא</w:t>
      </w:r>
      <w:proofErr w:type="spellEnd"/>
      <w:r>
        <w:rPr>
          <w:sz w:val="20"/>
          <w:szCs w:val="20"/>
          <w:rtl/>
        </w:rPr>
        <w:t xml:space="preserve">... על החרדים” שמייחס המחבר לאחד הברונים ראוי להבין כתכונה המתאימה יותר לאב מאשר לבן, שכן אופיו האדוק של הבן וצייתנותו לרבנים, כפי שיתוארו להלן, לא היו מתיישבים עם איבה ממושכת כלפי מנהיגיה הרוחניים של היהדות.</w:t>
      </w:r>
    </w:p>
  </w:footnote>
  <w:footnote w:id="3870">
    <w:p w14:paraId="11215054" w14:textId="77777777" w:rsidR="00AB3647" w:rsidRDefault="00000000">
      <w:pPr>
        <w:spacing w:after="0" w:before="0"/>
        <w:jc w:val="both"/>
      </w:pPr>
      <w:r>
        <w:rPr>
          <w:sz w:val="20"/>
          <w:szCs w:val="20"/>
          <w:rtl/>
        </w:rPr>
        <w:footnoteRef/>
      </w:r>
      <w:r>
        <w:rPr>
          <w:sz w:val="20"/>
          <w:szCs w:val="20"/>
          <w:rtl/>
        </w:rPr>
        <w:t>. שם, עמ׳ 187–188.</w:t>
      </w:r>
    </w:p>
  </w:footnote>
  <w:footnote w:id="3871">
    <w:p w14:paraId="46135D5D" w14:textId="77777777" w:rsidR="00AB3647" w:rsidRDefault="00000000">
      <w:pPr>
        <w:spacing w:after="0" w:before="0"/>
        <w:jc w:val="both"/>
      </w:pPr>
      <w:r>
        <w:rPr>
          <w:sz w:val="20"/>
          <w:szCs w:val="20"/>
          <w:rtl/>
        </w:rPr>
        <w:footnoteRef/>
      </w:r>
      <w:r>
        <w:rPr>
          <w:sz w:val="20"/>
          <w:szCs w:val="20"/>
          <w:rtl/>
        </w:rPr>
        <w:t xml:space="preserve">. המקור הנזכר בפרק 3, סוף נספח </w:t>
      </w:r>
      <w:proofErr w:type="spellStart"/>
      <w:r>
        <w:rPr>
          <w:sz w:val="20"/>
          <w:szCs w:val="20"/>
          <w:rtl/>
        </w:rPr>
        <w:t>יב</w:t>
      </w:r>
      <w:proofErr w:type="spellEnd"/>
      <w:r>
        <w:rPr>
          <w:sz w:val="20"/>
          <w:szCs w:val="20"/>
          <w:rtl/>
        </w:rPr>
        <w:t xml:space="preserve">. השווה עמ׳ </w:t>
      </w:r>
      <w:proofErr w:type="spellStart"/>
      <w:r>
        <w:rPr>
          <w:sz w:val="20"/>
          <w:szCs w:val="20"/>
          <w:rtl/>
        </w:rPr>
        <w:t>קכ</w:t>
      </w:r>
      <w:proofErr w:type="spellEnd"/>
      <w:r>
        <w:rPr>
          <w:sz w:val="20"/>
          <w:szCs w:val="20"/>
          <w:rtl/>
        </w:rPr>
        <w:t>–</w:t>
      </w:r>
      <w:proofErr w:type="spellStart"/>
      <w:r>
        <w:rPr>
          <w:sz w:val="20"/>
          <w:szCs w:val="20"/>
          <w:rtl/>
        </w:rPr>
        <w:t>קכו</w:t>
      </w:r>
      <w:proofErr w:type="spellEnd"/>
      <w:r>
        <w:rPr>
          <w:sz w:val="20"/>
          <w:szCs w:val="20"/>
          <w:rtl/>
        </w:rPr>
        <w:t xml:space="preserve"> בכרך הרביעי, בפרק בעל הכותרת המסקרנת “מנין שהרצל הניח תפילין?”.</w:t>
      </w:r>
    </w:p>
  </w:footnote>
  <w:footnote w:id="3872">
    <w:p w14:paraId="58619469"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עיר המרפא </w:t>
      </w:r>
      <w:proofErr w:type="spellStart"/>
      <w:r>
        <w:rPr>
          <w:sz w:val="20"/>
          <w:szCs w:val="20"/>
          <w:rtl/>
        </w:rPr>
        <w:t>קיסינגן</w:t>
      </w:r>
      <w:proofErr w:type="spellEnd"/>
      <w:r>
        <w:rPr>
          <w:sz w:val="20"/>
          <w:szCs w:val="20"/>
          <w:rtl/>
        </w:rPr>
        <w:t xml:space="preserve"> (באד </w:t>
      </w:r>
      <w:proofErr w:type="spellStart"/>
      <w:r>
        <w:rPr>
          <w:sz w:val="20"/>
          <w:szCs w:val="20"/>
          <w:rtl/>
        </w:rPr>
        <w:t>קיסינגן</w:t>
      </w:r>
      <w:proofErr w:type="spellEnd"/>
      <w:r>
        <w:rPr>
          <w:sz w:val="20"/>
          <w:szCs w:val="20"/>
          <w:rtl/>
        </w:rPr>
        <w:t>) שוכנת בבוואריה, ולא בפרוסיה.</w:t>
      </w:r>
    </w:p>
  </w:footnote>
  <w:footnote w:id="3873">
    <w:p w14:paraId="6FF1911F" w14:textId="77777777" w:rsidR="00AB3647" w:rsidRDefault="00000000">
      <w:pPr>
        <w:spacing w:after="0" w:before="0"/>
        <w:jc w:val="both"/>
      </w:pPr>
      <w:r>
        <w:rPr>
          <w:sz w:val="20"/>
          <w:szCs w:val="20"/>
          <w:rtl/>
        </w:rPr>
        <w:footnoteRef/>
      </w:r>
      <w:r>
        <w:rPr>
          <w:sz w:val="20"/>
          <w:szCs w:val="20"/>
          <w:rtl/>
        </w:rPr>
        <w:t>. לפי מחבר הזיכרונות, פעם התלווה אליו לשם ר׳ נטע, בנו של ר׳ יעקב הלוי ליפשיץ, שלימים הוציא לאור את “</w:t>
      </w:r>
      <w:proofErr w:type="spellStart"/>
      <w:r>
        <w:rPr>
          <w:sz w:val="20"/>
          <w:szCs w:val="20"/>
          <w:rtl/>
        </w:rPr>
        <w:t>זכרון</w:t>
      </w:r>
      <w:proofErr w:type="spellEnd"/>
      <w:r>
        <w:rPr>
          <w:sz w:val="20"/>
          <w:szCs w:val="20"/>
          <w:rtl/>
        </w:rPr>
        <w:t xml:space="preserve"> יעקב” של אביו.</w:t>
      </w:r>
    </w:p>
    <w:p w14:paraId="21595863" w14:textId="77777777" w:rsidR="00AB3647" w:rsidRDefault="00000000">
      <w:pPr>
        <w:spacing w:after="0" w:before="0"/>
        <w:jc w:val="both"/>
      </w:pPr>
      <w:r>
        <w:rPr>
          <w:sz w:val="20"/>
          <w:szCs w:val="20"/>
          <w:rtl/>
        </w:rPr>
        <w:t xml:space="preserve">אבי סיפר פעם שכאשר היה ר׳ לייזר גורדון במוסקבה, אמר לו המיליונר הגדול ר׳ </w:t>
      </w:r>
      <w:proofErr w:type="spellStart"/>
      <w:r>
        <w:rPr>
          <w:sz w:val="20"/>
          <w:szCs w:val="20"/>
          <w:rtl/>
        </w:rPr>
        <w:t>קלמן־וולף</w:t>
      </w:r>
      <w:proofErr w:type="spellEnd"/>
      <w:r>
        <w:rPr>
          <w:sz w:val="20"/>
          <w:szCs w:val="20"/>
          <w:rtl/>
        </w:rPr>
        <w:t xml:space="preserve"> ויסוצקי, שבאותו זמן “בהשפעת המשכילים כבר נתחמץ ביחס להשקפה האורתודוקסית על דברי חז״ל”: “אבל המשכילים צודקים! למשל, חז״ל אומרים שנשות ישראל במצרים ילדו שישה ילדים בבת אחת. כיצד הם אומרים דבר בלתי מתקבל על הדעת כזה בלא מקור מן המקרא?” ר׳ לייזר השיב לו מיד תשובה מבריקה ומשכנעת: “אם תחשב כמה זכרים מישראל יצאו ממצרים בטווח גיל של שבעה עשורים, מתינוקות בני יומם ועד בני שבעים – כפי שמשה רבנו מלמדנו בתהלים (צ, י), שבעים שנה היה אורך חיי אדם בזמנו – תמצא את המספר על ידי הכפלת מספר הזכרים בטווח ארבעת העשורים שבין גיל עשרים לשישים, המפורש בחומש (במדבר א, מו), 603,550, בשבעה רבעים. התוצאה היא 1,056,212. וכמה מבני ישראל היו בכורים זכרים? שוב, התורה – לא חז״ל – נותנת את המספר המדויק (במדבר ג, מג): 22,273. נמצא בכור אחד לכל 47 זכרים. אם נניח שאישה ממוצעת ילדה שמונה פעמים, בהכרח ילדה שישה תינוקות בכל לידה. אם כן, אם לומדים חומש כראוי, יודעים שחז״ל לא המציאו דבר מעצמם!”</w:t>
      </w:r>
    </w:p>
    <w:p w14:paraId="7BA086D5" w14:textId="77777777" w:rsidR="00AB3647" w:rsidRDefault="00000000">
      <w:pPr>
        <w:spacing w:after="0" w:before="0"/>
        <w:jc w:val="both"/>
      </w:pPr>
      <w:r>
        <w:rPr>
          <w:sz w:val="20"/>
          <w:szCs w:val="20"/>
          <w:rtl/>
        </w:rPr>
        <w:t xml:space="preserve">ראה גם הפסקה הראשונה של נספח </w:t>
      </w:r>
      <w:proofErr w:type="spellStart"/>
      <w:r>
        <w:rPr>
          <w:sz w:val="20"/>
          <w:szCs w:val="20"/>
          <w:rtl/>
        </w:rPr>
        <w:t>יג</w:t>
      </w:r>
      <w:proofErr w:type="spellEnd"/>
      <w:r>
        <w:rPr>
          <w:sz w:val="20"/>
          <w:szCs w:val="20"/>
          <w:rtl/>
        </w:rPr>
        <w:t xml:space="preserve"> להלן, לפרטים נוספים על יראת השמים של ר׳ </w:t>
      </w:r>
      <w:proofErr w:type="spellStart"/>
      <w:r>
        <w:rPr>
          <w:sz w:val="20"/>
          <w:szCs w:val="20"/>
          <w:rtl/>
        </w:rPr>
        <w:t>קלמן־וולף</w:t>
      </w:r>
      <w:proofErr w:type="spellEnd"/>
      <w:r>
        <w:rPr>
          <w:sz w:val="20"/>
          <w:szCs w:val="20"/>
          <w:rtl/>
        </w:rPr>
        <w:t xml:space="preserve"> ועל הידרדרותו הדתית, שעליה דיבר אבי.</w:t>
      </w:r>
    </w:p>
  </w:footnote>
  <w:footnote w:id="3874">
    <w:p w14:paraId="328763E0" w14:textId="77777777" w:rsidR="00AB3647" w:rsidRDefault="00000000">
      <w:pPr>
        <w:spacing w:after="0" w:before="0"/>
        <w:jc w:val="both"/>
      </w:pPr>
      <w:r>
        <w:rPr>
          <w:sz w:val="20"/>
          <w:szCs w:val="20"/>
          <w:rtl/>
        </w:rPr>
        <w:footnoteRef/>
      </w:r>
      <w:r>
        <w:rPr>
          <w:sz w:val="20"/>
          <w:szCs w:val="20"/>
          <w:rtl/>
        </w:rPr>
        <w:t>. השווה גם הפסקה השלישית של נספח יא להלן, על מסע ההתרמה הגורלי של ר׳ לייזר ללונדון.</w:t>
      </w:r>
    </w:p>
  </w:footnote>
  <w:footnote w:id="3875">
    <w:p w14:paraId="5ADBD94D" w14:textId="77777777" w:rsidR="00AB3647" w:rsidRDefault="00000000">
      <w:pPr>
        <w:spacing w:after="0" w:before="0"/>
        <w:jc w:val="both"/>
      </w:pPr>
      <w:r>
        <w:rPr>
          <w:sz w:val="20"/>
          <w:szCs w:val="20"/>
          <w:rtl/>
        </w:rPr>
        <w:footnoteRef/>
      </w:r>
      <w:r>
        <w:rPr>
          <w:sz w:val="20"/>
          <w:szCs w:val="20"/>
          <w:rtl/>
        </w:rPr>
        <w:t xml:space="preserve">. הפסקה השנייה של נספח ב לעיל – </w:t>
      </w:r>
      <w:proofErr w:type="spellStart"/>
      <w:r>
        <w:rPr>
          <w:sz w:val="20"/>
          <w:szCs w:val="20"/>
          <w:rtl/>
        </w:rPr>
        <w:t>ח״ב</w:t>
      </w:r>
      <w:proofErr w:type="spellEnd"/>
      <w:r>
        <w:rPr>
          <w:sz w:val="20"/>
          <w:szCs w:val="20"/>
          <w:rtl/>
        </w:rPr>
        <w:t>, עמ׳ קלה.</w:t>
      </w:r>
    </w:p>
  </w:footnote>
  <w:footnote w:id="3876">
    <w:p w14:paraId="3F2C384A" w14:textId="77777777" w:rsidR="00AB3647" w:rsidRDefault="00000000">
      <w:pPr>
        <w:spacing w:after="0" w:before="0"/>
        <w:jc w:val="both"/>
      </w:pPr>
      <w:r>
        <w:rPr>
          <w:sz w:val="20"/>
          <w:szCs w:val="20"/>
          <w:rtl/>
        </w:rPr>
        <w:footnoteRef/>
      </w:r>
      <w:r>
        <w:rPr>
          <w:sz w:val="20"/>
          <w:szCs w:val="20"/>
          <w:rtl/>
        </w:rPr>
        <w:t>. עמ׳ 295, 296 ו־293–294.</w:t>
      </w:r>
    </w:p>
  </w:footnote>
  <w:footnote w:id="3877">
    <w:p w14:paraId="1E783624" w14:textId="77777777" w:rsidR="00AB3647" w:rsidRDefault="00000000">
      <w:pPr>
        <w:spacing w:after="0" w:before="0"/>
        <w:jc w:val="both"/>
      </w:pPr>
      <w:r>
        <w:rPr>
          <w:sz w:val="20"/>
          <w:szCs w:val="20"/>
          <w:rtl/>
        </w:rPr>
        <w:footnoteRef/>
      </w:r>
      <w:r>
        <w:rPr>
          <w:sz w:val="20"/>
          <w:szCs w:val="20"/>
          <w:rtl/>
        </w:rPr>
        <w:t>. הסתייגות: אני מצטט ומתרגם את המונחים העבריים שבהם השתמש יעקב מארק, ולא הייתי מחילם מיוזמתי על חוקר לימודי חול, אף שמדובר, כמובן, בלימודים הנוגעים ליהדות.</w:t>
      </w:r>
    </w:p>
  </w:footnote>
  <w:footnote w:id="3878">
    <w:p w14:paraId="04C1D2F5" w14:textId="77777777" w:rsidR="00AB3647" w:rsidRDefault="00000000">
      <w:pPr>
        <w:spacing w:after="0" w:before="0"/>
        <w:jc w:val="both"/>
      </w:pPr>
      <w:r>
        <w:rPr>
          <w:sz w:val="20"/>
          <w:szCs w:val="20"/>
          <w:rtl/>
        </w:rPr>
        <w:footnoteRef/>
      </w:r>
      <w:r>
        <w:rPr>
          <w:sz w:val="20"/>
          <w:szCs w:val="20"/>
          <w:rtl/>
        </w:rPr>
        <w:t>. ראה כרך 2 ופרק 3, הפסקה השנייה של נספח ז.</w:t>
      </w:r>
    </w:p>
  </w:footnote>
  <w:footnote w:id="3879">
    <w:p w14:paraId="1AC6A63F" w14:textId="77777777" w:rsidR="00AB3647" w:rsidRDefault="00000000">
      <w:pPr>
        <w:spacing w:after="0" w:before="0"/>
        <w:jc w:val="both"/>
      </w:pPr>
      <w:r>
        <w:rPr>
          <w:sz w:val="20"/>
          <w:szCs w:val="20"/>
          <w:rtl/>
        </w:rPr>
        <w:footnoteRef/>
      </w:r>
      <w:r>
        <w:rPr>
          <w:sz w:val="20"/>
          <w:szCs w:val="20"/>
          <w:rtl/>
        </w:rPr>
        <w:t xml:space="preserve">. פרק 3, נספח </w:t>
      </w:r>
      <w:proofErr w:type="spellStart"/>
      <w:r>
        <w:rPr>
          <w:sz w:val="20"/>
          <w:szCs w:val="20"/>
          <w:rtl/>
        </w:rPr>
        <w:t>כח</w:t>
      </w:r>
      <w:proofErr w:type="spellEnd"/>
      <w:r>
        <w:rPr>
          <w:sz w:val="20"/>
          <w:szCs w:val="20"/>
          <w:rtl/>
        </w:rPr>
        <w:t>.</w:t>
      </w:r>
    </w:p>
  </w:footnote>
  <w:footnote w:id="3880">
    <w:p w14:paraId="51E47CED" w14:textId="77777777" w:rsidR="00AB3647" w:rsidRDefault="00000000">
      <w:pPr>
        <w:spacing w:after="0" w:before="0"/>
        <w:jc w:val="both"/>
      </w:pPr>
      <w:r>
        <w:rPr>
          <w:sz w:val="20"/>
          <w:szCs w:val="20"/>
          <w:rtl/>
        </w:rPr>
        <w:footnoteRef/>
      </w:r>
      <w:r>
        <w:rPr>
          <w:sz w:val="20"/>
          <w:szCs w:val="20"/>
          <w:rtl/>
        </w:rPr>
        <w:t>. גם כץ, “תנועת המוסר”, כרך ב (המקור הנזכר בפרק 2, הערה 17), עמ׳ 87, מזכיר את המעשה הזה.</w:t>
      </w:r>
    </w:p>
  </w:footnote>
  <w:footnote w:id="3881">
    <w:p w14:paraId="45997939" w14:textId="77777777" w:rsidR="00AB3647" w:rsidRDefault="00000000">
      <w:pPr>
        <w:spacing w:after="0" w:before="0"/>
        <w:jc w:val="both"/>
      </w:pPr>
      <w:r>
        <w:rPr>
          <w:sz w:val="20"/>
          <w:szCs w:val="20"/>
          <w:rtl/>
        </w:rPr>
        <w:footnoteRef/>
      </w:r>
      <w:r>
        <w:rPr>
          <w:sz w:val="20"/>
          <w:szCs w:val="20"/>
          <w:rtl/>
        </w:rPr>
        <w:t>. השווה כץ, “תנועת המוסר”, כרך ג, עמ׳ 230–233.</w:t>
      </w:r>
    </w:p>
  </w:footnote>
  <w:footnote w:id="3882">
    <w:p w14:paraId="2BCC537A" w14:textId="77777777" w:rsidR="00AB3647" w:rsidRDefault="00000000">
      <w:pPr>
        <w:spacing w:after="0" w:before="0"/>
        <w:jc w:val="both"/>
      </w:pPr>
      <w:r>
        <w:rPr>
          <w:sz w:val="20"/>
          <w:szCs w:val="20"/>
          <w:rtl/>
        </w:rPr>
        <w:footnoteRef/>
      </w:r>
      <w:r>
        <w:rPr>
          <w:sz w:val="20"/>
          <w:szCs w:val="20"/>
          <w:rtl/>
        </w:rPr>
        <w:t xml:space="preserve">. השווה תחילת הפסקה השנייה של פרק 3, נספח </w:t>
      </w:r>
      <w:proofErr w:type="spellStart"/>
      <w:r>
        <w:rPr>
          <w:sz w:val="20"/>
          <w:szCs w:val="20"/>
          <w:rtl/>
        </w:rPr>
        <w:t>יז</w:t>
      </w:r>
      <w:proofErr w:type="spellEnd"/>
      <w:r>
        <w:rPr>
          <w:sz w:val="20"/>
          <w:szCs w:val="20"/>
          <w:rtl/>
        </w:rPr>
        <w:t xml:space="preserve">: זה היה תפקידו הראשון. הפשיטה קשורה בהתנגדות בחוגי התורה </w:t>
      </w:r>
      <w:proofErr w:type="spellStart"/>
      <w:r>
        <w:rPr>
          <w:sz w:val="20"/>
          <w:szCs w:val="20"/>
          <w:rtl/>
        </w:rPr>
        <w:t>ל“שיטות</w:t>
      </w:r>
      <w:proofErr w:type="spellEnd"/>
      <w:r>
        <w:rPr>
          <w:sz w:val="20"/>
          <w:szCs w:val="20"/>
          <w:rtl/>
        </w:rPr>
        <w:t xml:space="preserve"> החדישות” של התלמוד תורה, כפי שנדון בעמ׳ </w:t>
      </w:r>
      <w:r>
        <w:rPr>
          <w:sz w:val="20"/>
          <w:szCs w:val="20"/>
          <w:rtl/>
        </w:rPr>
        <w:fldChar w:fldCharType="begin" w:dirty="true"/>
      </w:r>
      <w:r>
        <w:rPr>
          <w:sz w:val="20"/>
          <w:szCs w:val="20"/>
          <w:rtl/>
        </w:rPr>
        <w:instrText xml:space="preserve"> PAGEREF pr_b_1509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לעיל.</w:t>
      </w:r>
    </w:p>
  </w:footnote>
  <w:footnote w:id="3883">
    <w:p w14:paraId="58AB4C01" w14:textId="77777777" w:rsidR="00AB3647" w:rsidRDefault="00000000">
      <w:pPr>
        <w:spacing w:after="0" w:before="0"/>
        <w:jc w:val="both"/>
      </w:pPr>
      <w:r>
        <w:rPr>
          <w:sz w:val="20"/>
          <w:szCs w:val="20"/>
          <w:rtl/>
        </w:rPr>
        <w:footnoteRef/>
      </w:r>
      <w:r>
        <w:rPr>
          <w:sz w:val="20"/>
          <w:szCs w:val="20"/>
          <w:rtl/>
        </w:rPr>
        <w:t>. השווה פרק 2, הערה 93.</w:t>
      </w:r>
    </w:p>
  </w:footnote>
  <w:footnote w:id="3884">
    <w:p w14:paraId="3E8FB6A7" w14:textId="77777777" w:rsidR="00AB3647" w:rsidRDefault="00000000">
      <w:pPr>
        <w:spacing w:after="0" w:before="0"/>
        <w:jc w:val="both"/>
      </w:pPr>
      <w:r>
        <w:rPr>
          <w:sz w:val="20"/>
          <w:szCs w:val="20"/>
          <w:rtl/>
        </w:rPr>
        <w:footnoteRef/>
      </w:r>
      <w:r>
        <w:rPr>
          <w:sz w:val="20"/>
          <w:szCs w:val="20"/>
          <w:rtl/>
        </w:rPr>
        <w:t>. שם, עמ׳ 233.</w:t>
      </w:r>
    </w:p>
  </w:footnote>
  <w:footnote w:id="3885">
    <w:p w14:paraId="2A5EFAE9" w14:textId="77777777" w:rsidR="00AB3647" w:rsidRDefault="00000000">
      <w:pPr>
        <w:spacing w:after="0" w:before="0"/>
        <w:jc w:val="both"/>
      </w:pPr>
      <w:r>
        <w:rPr>
          <w:sz w:val="20"/>
          <w:szCs w:val="20"/>
          <w:rtl/>
        </w:rPr>
        <w:footnoteRef/>
      </w:r>
      <w:r>
        <w:rPr>
          <w:sz w:val="20"/>
          <w:szCs w:val="20"/>
          <w:rtl/>
        </w:rPr>
        <w:t>. ט ע״ב. ראה כץ, “תנועת המוסר”, כרך ג, עמ׳ 232.</w:t>
      </w:r>
    </w:p>
  </w:footnote>
  <w:footnote w:id="3886">
    <w:p w14:paraId="18CC991C" w14:textId="77777777" w:rsidR="00AB3647" w:rsidRDefault="00000000">
      <w:pPr>
        <w:spacing w:after="0" w:before="0"/>
        <w:jc w:val="both"/>
      </w:pPr>
      <w:r>
        <w:rPr>
          <w:sz w:val="20"/>
          <w:szCs w:val="20"/>
          <w:rtl/>
        </w:rPr>
        <w:footnoteRef/>
      </w:r>
      <w:r>
        <w:rPr>
          <w:sz w:val="20"/>
          <w:szCs w:val="20"/>
          <w:rtl/>
        </w:rPr>
        <w:t xml:space="preserve">. מאמר מאת בנימין </w:t>
      </w:r>
      <w:proofErr w:type="spellStart"/>
      <w:r>
        <w:rPr>
          <w:sz w:val="20"/>
          <w:szCs w:val="20"/>
          <w:rtl/>
        </w:rPr>
        <w:t>נהוראי</w:t>
      </w:r>
      <w:proofErr w:type="spellEnd"/>
      <w:r>
        <w:rPr>
          <w:sz w:val="20"/>
          <w:szCs w:val="20"/>
          <w:rtl/>
        </w:rPr>
        <w:t xml:space="preserve"> </w:t>
      </w:r>
      <w:proofErr w:type="spellStart"/>
      <w:r>
        <w:rPr>
          <w:sz w:val="20"/>
          <w:szCs w:val="20"/>
          <w:rtl/>
        </w:rPr>
        <w:t>ב“יתד</w:t>
      </w:r>
      <w:proofErr w:type="spellEnd"/>
      <w:r>
        <w:rPr>
          <w:sz w:val="20"/>
          <w:szCs w:val="20"/>
          <w:rtl/>
        </w:rPr>
        <w:t xml:space="preserve"> נאמן”, מוסף ערב </w:t>
      </w:r>
      <w:proofErr w:type="spellStart"/>
      <w:r>
        <w:rPr>
          <w:sz w:val="20"/>
          <w:szCs w:val="20"/>
          <w:rtl/>
        </w:rPr>
        <w:t>שב״ק</w:t>
      </w:r>
      <w:proofErr w:type="spellEnd"/>
      <w:r>
        <w:rPr>
          <w:sz w:val="20"/>
          <w:szCs w:val="20"/>
          <w:rtl/>
        </w:rPr>
        <w:t xml:space="preserve"> פרשת משפטים תשנ״ב.</w:t>
      </w:r>
    </w:p>
    <w:p w14:paraId="7C1A8030" w14:textId="77777777" w:rsidR="00AB3647" w:rsidRDefault="00000000">
      <w:pPr>
        <w:spacing w:after="0" w:before="0"/>
        <w:jc w:val="both"/>
      </w:pPr>
      <w:r>
        <w:rPr>
          <w:sz w:val="20"/>
          <w:szCs w:val="20"/>
          <w:rtl/>
        </w:rPr>
        <w:t xml:space="preserve">בזה </w:t>
      </w:r>
      <w:proofErr w:type="spellStart"/>
      <w:r>
        <w:rPr>
          <w:sz w:val="20"/>
          <w:szCs w:val="20"/>
          <w:rtl/>
        </w:rPr>
        <w:t>הענין</w:t>
      </w:r>
      <w:proofErr w:type="spellEnd"/>
      <w:r>
        <w:rPr>
          <w:sz w:val="20"/>
          <w:szCs w:val="20"/>
          <w:rtl/>
        </w:rPr>
        <w:t xml:space="preserve"> איך אדם מטעה את עצמו כדאי לעיין בדברים הנוראים בספר מאיר עיני ישראל, עמוד שסה, בשם ר׳ יהודה </w:t>
      </w:r>
      <w:proofErr w:type="spellStart"/>
      <w:r>
        <w:rPr>
          <w:sz w:val="20"/>
          <w:szCs w:val="20"/>
          <w:rtl/>
        </w:rPr>
        <w:t>שולמן</w:t>
      </w:r>
      <w:proofErr w:type="spellEnd"/>
      <w:r>
        <w:rPr>
          <w:sz w:val="20"/>
          <w:szCs w:val="20"/>
          <w:rtl/>
        </w:rPr>
        <w:t xml:space="preserve">: </w:t>
      </w:r>
      <w:proofErr w:type="spellStart"/>
      <w:r>
        <w:rPr>
          <w:sz w:val="20"/>
          <w:szCs w:val="20"/>
          <w:rtl/>
        </w:rPr>
        <w:t>החפץ־חיים</w:t>
      </w:r>
      <w:proofErr w:type="spellEnd"/>
      <w:r>
        <w:rPr>
          <w:sz w:val="20"/>
          <w:szCs w:val="20"/>
          <w:rtl/>
        </w:rPr>
        <w:t xml:space="preserve"> שאל פעם, “יש לכאורה תמיהה גדולה היאך להבין את </w:t>
      </w:r>
      <w:proofErr w:type="spellStart"/>
      <w:r>
        <w:rPr>
          <w:sz w:val="20"/>
          <w:szCs w:val="20"/>
          <w:rtl/>
        </w:rPr>
        <w:t>הויכוח</w:t>
      </w:r>
      <w:proofErr w:type="spellEnd"/>
      <w:r>
        <w:rPr>
          <w:sz w:val="20"/>
          <w:szCs w:val="20"/>
          <w:rtl/>
        </w:rPr>
        <w:t xml:space="preserve"> שהתנהל בין הקב״ה לשרה אמנו האם היא צחקה או לא צחקה: ה׳ אומר שכן צחקה והיא מכחשת”. וביאר </w:t>
      </w:r>
      <w:proofErr w:type="spellStart"/>
      <w:r>
        <w:rPr>
          <w:sz w:val="20"/>
          <w:szCs w:val="20"/>
          <w:rtl/>
        </w:rPr>
        <w:t>הח״ח</w:t>
      </w:r>
      <w:proofErr w:type="spellEnd"/>
      <w:r>
        <w:rPr>
          <w:sz w:val="20"/>
          <w:szCs w:val="20"/>
          <w:rtl/>
        </w:rPr>
        <w:t xml:space="preserve">: “הלואי שאנחנו היינו מאמינים בביאת המשיח כמו ששרה אמנו אכן האמינה בהבטחה שיולד לה בן, אולם הקב״ה שהוא בלבד הבוחן כליות ולב הבחין </w:t>
      </w:r>
      <w:proofErr w:type="spellStart"/>
      <w:r>
        <w:rPr>
          <w:sz w:val="20"/>
          <w:szCs w:val="20"/>
          <w:rtl/>
        </w:rPr>
        <w:t>בעובדא</w:t>
      </w:r>
      <w:proofErr w:type="spellEnd"/>
      <w:r>
        <w:rPr>
          <w:sz w:val="20"/>
          <w:szCs w:val="20"/>
          <w:rtl/>
        </w:rPr>
        <w:t xml:space="preserve"> הזאת של ‘ותצחק שרה בקרבה’ שבתוככי כליותיה ולבה היא כן צחקה, אבל בחיצוניות הדברים ודאי שהאמינה בכך בלי פקפוק.”</w:t>
      </w:r>
    </w:p>
  </w:footnote>
  <w:footnote w:id="3887">
    <w:p w14:paraId="1FB4BA69" w14:textId="77777777" w:rsidR="00AB3647" w:rsidRDefault="00000000">
      <w:pPr>
        <w:spacing w:after="0" w:before="0"/>
        <w:jc w:val="both"/>
      </w:pPr>
      <w:r>
        <w:rPr>
          <w:sz w:val="20"/>
          <w:szCs w:val="20"/>
          <w:rtl/>
        </w:rPr>
        <w:footnoteRef/>
      </w:r>
      <w:r>
        <w:rPr>
          <w:sz w:val="20"/>
          <w:szCs w:val="20"/>
          <w:rtl/>
        </w:rPr>
        <w:t>. עמ׳ 228–231 ו־234.</w:t>
      </w:r>
    </w:p>
  </w:footnote>
  <w:footnote w:id="3888">
    <w:p w14:paraId="7360031E" w14:textId="77777777" w:rsidR="00AB3647" w:rsidRDefault="00000000">
      <w:pPr>
        <w:spacing w:after="0" w:before="0"/>
        <w:jc w:val="both"/>
      </w:pPr>
      <w:r>
        <w:rPr>
          <w:sz w:val="20"/>
          <w:szCs w:val="20"/>
          <w:rtl/>
        </w:rPr>
        <w:footnoteRef/>
      </w:r>
      <w:r>
        <w:rPr>
          <w:sz w:val="20"/>
          <w:szCs w:val="20"/>
          <w:rtl/>
        </w:rPr>
        <w:t xml:space="preserve">. הערה 20 לעיל, עמ׳ </w:t>
      </w:r>
      <w:proofErr w:type="spellStart"/>
      <w:r>
        <w:rPr>
          <w:sz w:val="20"/>
          <w:szCs w:val="20"/>
          <w:rtl/>
        </w:rPr>
        <w:t>שז</w:t>
      </w:r>
      <w:proofErr w:type="spellEnd"/>
      <w:r>
        <w:rPr>
          <w:sz w:val="20"/>
          <w:szCs w:val="20"/>
          <w:rtl/>
        </w:rPr>
        <w:t>.</w:t>
      </w:r>
    </w:p>
  </w:footnote>
  <w:footnote w:id="3889">
    <w:p w14:paraId="45647FD9" w14:textId="77777777" w:rsidR="00AB3647" w:rsidRDefault="00000000">
      <w:pPr>
        <w:spacing w:after="0" w:before="0"/>
        <w:jc w:val="both"/>
      </w:pPr>
      <w:r>
        <w:rPr>
          <w:sz w:val="20"/>
          <w:szCs w:val="20"/>
          <w:rtl/>
        </w:rPr>
        <w:footnoteRef/>
      </w:r>
      <w:r>
        <w:rPr>
          <w:sz w:val="20"/>
          <w:szCs w:val="20"/>
          <w:rtl/>
        </w:rPr>
        <w:t xml:space="preserve">. שם, עמ׳ </w:t>
      </w:r>
      <w:proofErr w:type="spellStart"/>
      <w:r>
        <w:rPr>
          <w:sz w:val="20"/>
          <w:szCs w:val="20"/>
          <w:rtl/>
        </w:rPr>
        <w:t>רצז</w:t>
      </w:r>
      <w:proofErr w:type="spellEnd"/>
      <w:r>
        <w:rPr>
          <w:sz w:val="20"/>
          <w:szCs w:val="20"/>
          <w:rtl/>
        </w:rPr>
        <w:t>.</w:t>
      </w:r>
    </w:p>
  </w:footnote>
  <w:footnote w:id="3890">
    <w:p w14:paraId="3B897BAD" w14:textId="77777777" w:rsidR="00AB3647" w:rsidRDefault="00000000">
      <w:pPr>
        <w:spacing w:after="0" w:before="0"/>
        <w:jc w:val="both"/>
      </w:pPr>
      <w:r>
        <w:rPr>
          <w:sz w:val="20"/>
          <w:szCs w:val="20"/>
          <w:rtl/>
        </w:rPr>
        <w:footnoteRef/>
      </w:r>
      <w:r>
        <w:rPr>
          <w:sz w:val="20"/>
          <w:szCs w:val="20"/>
          <w:rtl/>
        </w:rPr>
        <w:t xml:space="preserve">. פרק 3, נספח </w:t>
      </w:r>
      <w:proofErr w:type="spellStart"/>
      <w:r>
        <w:rPr>
          <w:sz w:val="20"/>
          <w:szCs w:val="20"/>
          <w:rtl/>
        </w:rPr>
        <w:t>יב</w:t>
      </w:r>
      <w:proofErr w:type="spellEnd"/>
      <w:r>
        <w:rPr>
          <w:sz w:val="20"/>
          <w:szCs w:val="20"/>
          <w:rtl/>
        </w:rPr>
        <w:t>.</w:t>
      </w:r>
    </w:p>
  </w:footnote>
  <w:footnote w:id="3891">
    <w:p w14:paraId="245A7F81" w14:textId="77777777" w:rsidR="00AB3647" w:rsidRDefault="00000000">
      <w:pPr>
        <w:spacing w:after="0" w:before="0"/>
        <w:jc w:val="both"/>
      </w:pPr>
      <w:r>
        <w:rPr>
          <w:sz w:val="20"/>
          <w:szCs w:val="20"/>
          <w:rtl/>
        </w:rPr>
        <w:footnoteRef/>
      </w:r>
      <w:r>
        <w:rPr>
          <w:sz w:val="20"/>
          <w:szCs w:val="20"/>
          <w:rtl/>
        </w:rPr>
        <w:t>. המקור הנזכר בפרק 3, נספח ב.</w:t>
      </w:r>
    </w:p>
  </w:footnote>
  <w:footnote w:id="3892">
    <w:p w14:paraId="3EDA41AB" w14:textId="77777777" w:rsidR="00AB3647" w:rsidRDefault="00000000">
      <w:pPr>
        <w:spacing w:after="0" w:before="0"/>
        <w:jc w:val="both"/>
      </w:pPr>
      <w:r>
        <w:rPr>
          <w:sz w:val="20"/>
          <w:szCs w:val="20"/>
          <w:rtl/>
        </w:rPr>
        <w:footnoteRef/>
      </w:r>
      <w:r>
        <w:rPr>
          <w:sz w:val="20"/>
          <w:szCs w:val="20"/>
          <w:rtl/>
        </w:rPr>
        <w:t xml:space="preserve">. מספרו של כץ, “תנועת המוסר”, כרך ב, עמ׳ 252 והערה 24 שם. נראה שמקור זה נעלם מעיני </w:t>
      </w:r>
      <w:proofErr w:type="spellStart"/>
      <w:r>
        <w:rPr>
          <w:sz w:val="20"/>
          <w:szCs w:val="20"/>
          <w:rtl/>
        </w:rPr>
        <w:t>אטקס</w:t>
      </w:r>
      <w:proofErr w:type="spellEnd"/>
      <w:r>
        <w:rPr>
          <w:sz w:val="20"/>
          <w:szCs w:val="20"/>
          <w:rtl/>
        </w:rPr>
        <w:t xml:space="preserve">, “ר׳ ישראל </w:t>
      </w:r>
      <w:proofErr w:type="spellStart"/>
      <w:r>
        <w:rPr>
          <w:sz w:val="20"/>
          <w:szCs w:val="20"/>
          <w:rtl/>
        </w:rPr>
        <w:t>סלנטר</w:t>
      </w:r>
      <w:proofErr w:type="spellEnd"/>
      <w:r>
        <w:rPr>
          <w:sz w:val="20"/>
          <w:szCs w:val="20"/>
          <w:rtl/>
        </w:rPr>
        <w:t xml:space="preserve"> וראשיתה של תנועת המוסר”, הפסקה השנייה בנספח ז לעיל, עמ׳ 79, הערה 9.</w:t>
      </w:r>
    </w:p>
  </w:footnote>
  <w:footnote w:id="3893">
    <w:p w14:paraId="561613BD" w14:textId="77777777" w:rsidR="00AB3647" w:rsidRDefault="00000000">
      <w:pPr>
        <w:spacing w:after="0" w:before="0"/>
        <w:jc w:val="both"/>
      </w:pPr>
      <w:r>
        <w:rPr>
          <w:sz w:val="20"/>
          <w:szCs w:val="20"/>
          <w:rtl/>
        </w:rPr>
        <w:footnoteRef/>
      </w:r>
      <w:r>
        <w:rPr>
          <w:sz w:val="20"/>
          <w:szCs w:val="20"/>
          <w:rtl/>
        </w:rPr>
        <w:t xml:space="preserve">. ראה כץ, “תנועת המוסר”, כרך ב, עמ׳ 245–246: ר׳ יוסף־דב </w:t>
      </w:r>
      <w:proofErr w:type="spellStart"/>
      <w:r>
        <w:rPr>
          <w:sz w:val="20"/>
          <w:szCs w:val="20"/>
          <w:rtl/>
        </w:rPr>
        <w:t>סולובייצ׳יק</w:t>
      </w:r>
      <w:proofErr w:type="spellEnd"/>
      <w:r>
        <w:rPr>
          <w:sz w:val="20"/>
          <w:szCs w:val="20"/>
          <w:rtl/>
        </w:rPr>
        <w:t xml:space="preserve"> השתומם על ענוותנותו של ר׳ </w:t>
      </w:r>
      <w:proofErr w:type="spellStart"/>
      <w:r>
        <w:rPr>
          <w:sz w:val="20"/>
          <w:szCs w:val="20"/>
          <w:rtl/>
        </w:rPr>
        <w:t>איצל׳ה</w:t>
      </w:r>
      <w:proofErr w:type="spellEnd"/>
      <w:r>
        <w:rPr>
          <w:sz w:val="20"/>
          <w:szCs w:val="20"/>
          <w:rtl/>
        </w:rPr>
        <w:t xml:space="preserve"> בהסתירו את ידיעותיו המופלגות מרבנים אחרים.</w:t>
      </w:r>
    </w:p>
  </w:footnote>
  <w:footnote w:id="3894">
    <w:p w14:paraId="2800129A" w14:textId="77777777" w:rsidR="00AB3647" w:rsidRDefault="00000000">
      <w:pPr>
        <w:spacing w:after="0" w:before="0"/>
        <w:jc w:val="both"/>
      </w:pPr>
      <w:r>
        <w:rPr>
          <w:sz w:val="20"/>
          <w:szCs w:val="20"/>
          <w:rtl/>
        </w:rPr>
        <w:footnoteRef/>
      </w:r>
      <w:r>
        <w:rPr>
          <w:sz w:val="20"/>
          <w:szCs w:val="20"/>
          <w:rtl/>
        </w:rPr>
        <w:t>. ראה סוף הפסקה השביעית להלן.</w:t>
      </w:r>
    </w:p>
  </w:footnote>
  <w:footnote w:id="3895">
    <w:p w14:paraId="25D668BA" w14:textId="77777777" w:rsidR="00AB3647" w:rsidRDefault="00000000">
      <w:pPr>
        <w:spacing w:after="0" w:before="0"/>
        <w:jc w:val="both"/>
      </w:pPr>
      <w:r>
        <w:rPr>
          <w:sz w:val="20"/>
          <w:szCs w:val="20"/>
          <w:rtl/>
        </w:rPr>
        <w:footnoteRef/>
      </w:r>
      <w:r>
        <w:rPr>
          <w:sz w:val="20"/>
          <w:szCs w:val="20"/>
          <w:rtl/>
        </w:rPr>
        <w:t>. פרק 3, נספח יא, עמ׳ 63–64.</w:t>
      </w:r>
    </w:p>
  </w:footnote>
  <w:footnote w:id="3896">
    <w:p w14:paraId="2D7C65B0" w14:textId="77777777" w:rsidR="00AB3647" w:rsidRDefault="00000000">
      <w:pPr>
        <w:spacing w:after="0" w:before="0"/>
        <w:jc w:val="both"/>
      </w:pPr>
      <w:r>
        <w:rPr>
          <w:sz w:val="20"/>
          <w:szCs w:val="20"/>
          <w:rtl/>
        </w:rPr>
        <w:footnoteRef/>
      </w:r>
      <w:r>
        <w:rPr>
          <w:sz w:val="20"/>
          <w:szCs w:val="20"/>
          <w:rtl/>
        </w:rPr>
        <w:t xml:space="preserve">. שנה א, חוברת ג–ד, עמ׳ 697–698. כץ, “תנועת המוסר”, כרך ב, עמ׳ 230–231, “פולמוס”, סוף הערה 49 לעיל, עמ׳ 292, </w:t>
      </w:r>
      <w:proofErr w:type="spellStart"/>
      <w:r>
        <w:rPr>
          <w:sz w:val="20"/>
          <w:szCs w:val="20"/>
          <w:rtl/>
        </w:rPr>
        <w:t>ו“שרידי</w:t>
      </w:r>
      <w:proofErr w:type="spellEnd"/>
      <w:r>
        <w:rPr>
          <w:sz w:val="20"/>
          <w:szCs w:val="20"/>
          <w:rtl/>
        </w:rPr>
        <w:t xml:space="preserve"> אש”, עמ׳ שט, מצטטים מקור זה.</w:t>
      </w:r>
    </w:p>
  </w:footnote>
  <w:footnote w:id="3897">
    <w:p w14:paraId="1855DAAB" w14:textId="77777777" w:rsidR="00AB3647" w:rsidRDefault="00000000">
      <w:pPr>
        <w:spacing w:after="0" w:before="0"/>
        <w:jc w:val="both"/>
      </w:pPr>
      <w:r>
        <w:rPr>
          <w:sz w:val="20"/>
          <w:szCs w:val="20"/>
          <w:rtl/>
        </w:rPr>
        <w:footnoteRef/>
      </w:r>
      <w:r>
        <w:rPr>
          <w:sz w:val="20"/>
          <w:szCs w:val="20"/>
          <w:rtl/>
        </w:rPr>
        <w:t>. ברכות ה׳ ע״א.</w:t>
      </w:r>
    </w:p>
  </w:footnote>
  <w:footnote w:id="3898">
    <w:p w14:paraId="30B2A1C5" w14:textId="77777777" w:rsidR="00AB3647" w:rsidRDefault="00000000">
      <w:pPr>
        <w:spacing w:after="0" w:before="0"/>
        <w:jc w:val="both"/>
      </w:pPr>
      <w:r>
        <w:rPr>
          <w:sz w:val="20"/>
          <w:szCs w:val="20"/>
          <w:rtl/>
        </w:rPr>
        <w:footnoteRef/>
      </w:r>
      <w:r>
        <w:rPr>
          <w:sz w:val="20"/>
          <w:szCs w:val="20"/>
          <w:rtl/>
        </w:rPr>
        <w:t xml:space="preserve">. ראה “אבי הישיבות” (המקור הנזכר בפרק 1, הערה 7), עמ׳ 212, המביא את דברי ר׳ </w:t>
      </w:r>
      <w:proofErr w:type="spellStart"/>
      <w:r>
        <w:rPr>
          <w:sz w:val="20"/>
          <w:szCs w:val="20"/>
          <w:rtl/>
        </w:rPr>
        <w:t>שמחה־זיסל</w:t>
      </w:r>
      <w:proofErr w:type="spellEnd"/>
      <w:r>
        <w:rPr>
          <w:sz w:val="20"/>
          <w:szCs w:val="20"/>
          <w:rtl/>
        </w:rPr>
        <w:t xml:space="preserve"> באחת ההזדמנויות: “וזהו מה </w:t>
      </w:r>
      <w:proofErr w:type="spellStart"/>
      <w:r>
        <w:rPr>
          <w:sz w:val="20"/>
          <w:szCs w:val="20"/>
          <w:rtl/>
        </w:rPr>
        <w:t>שאומרין</w:t>
      </w:r>
      <w:proofErr w:type="spellEnd"/>
      <w:r>
        <w:rPr>
          <w:sz w:val="20"/>
          <w:szCs w:val="20"/>
          <w:rtl/>
        </w:rPr>
        <w:t xml:space="preserve"> משם הגאון ר״ח </w:t>
      </w:r>
      <w:proofErr w:type="spellStart"/>
      <w:r>
        <w:rPr>
          <w:sz w:val="20"/>
          <w:szCs w:val="20"/>
          <w:rtl/>
        </w:rPr>
        <w:t>וואלאזינער</w:t>
      </w:r>
      <w:proofErr w:type="spellEnd"/>
      <w:r>
        <w:rPr>
          <w:sz w:val="20"/>
          <w:szCs w:val="20"/>
          <w:rtl/>
        </w:rPr>
        <w:t xml:space="preserve"> ז״ל: מוסר ה״ה כפרה אדומה [במדבר </w:t>
      </w:r>
      <w:proofErr w:type="spellStart"/>
      <w:r>
        <w:rPr>
          <w:sz w:val="20"/>
          <w:szCs w:val="20"/>
          <w:rtl/>
        </w:rPr>
        <w:t>יט</w:t>
      </w:r>
      <w:proofErr w:type="spellEnd"/>
      <w:r>
        <w:rPr>
          <w:sz w:val="20"/>
          <w:szCs w:val="20"/>
          <w:rtl/>
        </w:rPr>
        <w:t xml:space="preserve">], מטהר טמאין וכו׳ – מצדיק הבלתי צדיק, ומרשיע הצדיק”. ר׳ </w:t>
      </w:r>
      <w:proofErr w:type="spellStart"/>
      <w:r>
        <w:rPr>
          <w:sz w:val="20"/>
          <w:szCs w:val="20"/>
          <w:rtl/>
        </w:rPr>
        <w:t>שמחה־זיסל</w:t>
      </w:r>
      <w:proofErr w:type="spellEnd"/>
      <w:r>
        <w:rPr>
          <w:sz w:val="20"/>
          <w:szCs w:val="20"/>
          <w:rtl/>
        </w:rPr>
        <w:t xml:space="preserve"> זיו המשיך וצמצם את ביקורתו של ר׳ חיים </w:t>
      </w:r>
      <w:proofErr w:type="spellStart"/>
      <w:r>
        <w:rPr>
          <w:sz w:val="20"/>
          <w:szCs w:val="20"/>
          <w:rtl/>
        </w:rPr>
        <w:t>מוולוז׳ין</w:t>
      </w:r>
      <w:proofErr w:type="spellEnd"/>
      <w:r>
        <w:rPr>
          <w:sz w:val="20"/>
          <w:szCs w:val="20"/>
          <w:rtl/>
        </w:rPr>
        <w:t xml:space="preserve"> לחסידים בני זמנו, שהרבו בלימוד מוסר יותר מן המידה.</w:t>
      </w:r>
    </w:p>
    <w:p w14:paraId="4FF4DFA0" w14:textId="77777777" w:rsidR="00AB3647" w:rsidRDefault="00000000">
      <w:pPr>
        <w:spacing w:after="0" w:before="0"/>
        <w:jc w:val="both"/>
      </w:pPr>
      <w:r>
        <w:rPr>
          <w:sz w:val="20"/>
          <w:szCs w:val="20"/>
          <w:rtl/>
        </w:rPr>
        <w:t xml:space="preserve">בתחילה הטריד אותי שר׳ חיים </w:t>
      </w:r>
      <w:proofErr w:type="spellStart"/>
      <w:r>
        <w:rPr>
          <w:sz w:val="20"/>
          <w:szCs w:val="20"/>
          <w:rtl/>
        </w:rPr>
        <w:t>סולובייצ׳יק</w:t>
      </w:r>
      <w:proofErr w:type="spellEnd"/>
      <w:r>
        <w:rPr>
          <w:sz w:val="20"/>
          <w:szCs w:val="20"/>
          <w:rtl/>
        </w:rPr>
        <w:t xml:space="preserve"> השתמש במשל שמן הקיק, כשיכול היה להשתמש בדימוי העדין יותר של ר׳ חיים </w:t>
      </w:r>
      <w:proofErr w:type="spellStart"/>
      <w:r>
        <w:rPr>
          <w:sz w:val="20"/>
          <w:szCs w:val="20"/>
          <w:rtl/>
        </w:rPr>
        <w:t>מוולוז׳ין</w:t>
      </w:r>
      <w:proofErr w:type="spellEnd"/>
      <w:r>
        <w:rPr>
          <w:sz w:val="20"/>
          <w:szCs w:val="20"/>
          <w:rtl/>
        </w:rPr>
        <w:t xml:space="preserve">, מאבותיו. אחר כך מצאתי שגם </w:t>
      </w:r>
      <w:proofErr w:type="spellStart"/>
      <w:r>
        <w:rPr>
          <w:sz w:val="20"/>
          <w:szCs w:val="20"/>
          <w:rtl/>
        </w:rPr>
        <w:t>ספורנו</w:t>
      </w:r>
      <w:proofErr w:type="spellEnd"/>
      <w:r>
        <w:rPr>
          <w:sz w:val="20"/>
          <w:szCs w:val="20"/>
          <w:rtl/>
        </w:rPr>
        <w:t xml:space="preserve">, בראש פרשת חוקת, משווה את הפרה האדומה לתרופה משלשלת, “שתועיל לחולה ותזיק לבריא”; נמצא שמשלו של ר׳ חיים </w:t>
      </w:r>
      <w:proofErr w:type="spellStart"/>
      <w:r>
        <w:rPr>
          <w:sz w:val="20"/>
          <w:szCs w:val="20"/>
          <w:rtl/>
        </w:rPr>
        <w:t>סולובייצ׳יק</w:t>
      </w:r>
      <w:proofErr w:type="spellEnd"/>
      <w:r>
        <w:rPr>
          <w:sz w:val="20"/>
          <w:szCs w:val="20"/>
          <w:rtl/>
        </w:rPr>
        <w:t xml:space="preserve"> אינו אלא, בעיקרו, חזרה על משלו של ר׳ חיים </w:t>
      </w:r>
      <w:proofErr w:type="spellStart"/>
      <w:r>
        <w:rPr>
          <w:sz w:val="20"/>
          <w:szCs w:val="20"/>
          <w:rtl/>
        </w:rPr>
        <w:t>מוולוז׳ין</w:t>
      </w:r>
      <w:proofErr w:type="spellEnd"/>
      <w:r>
        <w:rPr>
          <w:sz w:val="20"/>
          <w:szCs w:val="20"/>
          <w:rtl/>
        </w:rPr>
        <w:t xml:space="preserve">. </w:t>
      </w:r>
      <w:proofErr w:type="spellStart"/>
      <w:r>
        <w:rPr>
          <w:sz w:val="20"/>
          <w:szCs w:val="20"/>
          <w:rtl/>
        </w:rPr>
        <w:t>ב“תורת</w:t>
      </w:r>
      <w:proofErr w:type="spellEnd"/>
      <w:r>
        <w:rPr>
          <w:sz w:val="20"/>
          <w:szCs w:val="20"/>
          <w:rtl/>
        </w:rPr>
        <w:t xml:space="preserve"> חיים” (הערה 49 לעיל), עמ׳ </w:t>
      </w:r>
      <w:proofErr w:type="spellStart"/>
      <w:r>
        <w:rPr>
          <w:sz w:val="20"/>
          <w:szCs w:val="20"/>
          <w:rtl/>
        </w:rPr>
        <w:t>רכג</w:t>
      </w:r>
      <w:proofErr w:type="spellEnd"/>
      <w:r>
        <w:rPr>
          <w:sz w:val="20"/>
          <w:szCs w:val="20"/>
          <w:rtl/>
        </w:rPr>
        <w:t xml:space="preserve">, מובא שר׳ חיים </w:t>
      </w:r>
      <w:proofErr w:type="spellStart"/>
      <w:r>
        <w:rPr>
          <w:sz w:val="20"/>
          <w:szCs w:val="20"/>
          <w:rtl/>
        </w:rPr>
        <w:t>סולובייצ׳יק</w:t>
      </w:r>
      <w:proofErr w:type="spellEnd"/>
      <w:r>
        <w:rPr>
          <w:sz w:val="20"/>
          <w:szCs w:val="20"/>
          <w:rtl/>
        </w:rPr>
        <w:t xml:space="preserve"> השתמש בפרה האדומה גם לגבי שאלה אחרת שעמדה על הפרק בזמנו: הוא השווה אותה לציונות, המטהרת יהודים שאיבדו את הקשר עם היהדות ומטמאת את האחרים.</w:t>
      </w:r>
    </w:p>
  </w:footnote>
  <w:footnote w:id="3899">
    <w:p w14:paraId="0033EDE5" w14:textId="77777777" w:rsidR="00AB3647" w:rsidRDefault="00000000">
      <w:pPr>
        <w:spacing w:after="0" w:before="0"/>
        <w:jc w:val="both"/>
      </w:pPr>
      <w:r>
        <w:rPr>
          <w:rStyle w:val="a5"/>
          <w:vertAlign w:val="superscript"/>
          <w:rtl/>
        </w:rPr>
        <w:footnoteRef/>
      </w:r>
      <w:r>
        <w:rPr>
          <w:sz w:val="20"/>
          <w:szCs w:val="20"/>
        </w:rPr>
        <w:t xml:space="preserve"> </w:t>
      </w:r>
      <w:r>
        <w:rPr>
          <w:sz w:val="20"/>
          <w:szCs w:val="20"/>
          <w:rtl/>
        </w:rPr>
        <w:t xml:space="preserve">הערת המתרגם: דברי ר׳ </w:t>
      </w:r>
      <w:proofErr w:type="spellStart"/>
      <w:r>
        <w:rPr>
          <w:sz w:val="20"/>
          <w:szCs w:val="20"/>
          <w:rtl/>
        </w:rPr>
        <w:t>שמחה־זיסל</w:t>
      </w:r>
      <w:proofErr w:type="spellEnd"/>
      <w:r>
        <w:rPr>
          <w:sz w:val="20"/>
          <w:szCs w:val="20"/>
          <w:rtl/>
        </w:rPr>
        <w:t xml:space="preserve"> הובאו כלשונם </w:t>
      </w:r>
      <w:proofErr w:type="spellStart"/>
      <w:r>
        <w:rPr>
          <w:sz w:val="20"/>
          <w:szCs w:val="20"/>
          <w:rtl/>
        </w:rPr>
        <w:t>מ“חכמה</w:t>
      </w:r>
      <w:proofErr w:type="spellEnd"/>
      <w:r>
        <w:rPr>
          <w:sz w:val="20"/>
          <w:szCs w:val="20"/>
          <w:rtl/>
        </w:rPr>
        <w:t xml:space="preserve"> ומוסר”, </w:t>
      </w:r>
      <w:proofErr w:type="spellStart"/>
      <w:r>
        <w:rPr>
          <w:sz w:val="20"/>
          <w:szCs w:val="20"/>
          <w:rtl/>
        </w:rPr>
        <w:t>ח״ב</w:t>
      </w:r>
      <w:proofErr w:type="spellEnd"/>
      <w:r>
        <w:rPr>
          <w:sz w:val="20"/>
          <w:szCs w:val="20"/>
          <w:rtl/>
        </w:rPr>
        <w:t xml:space="preserve"> (תשי״ז), עמ׳ </w:t>
      </w:r>
      <w:proofErr w:type="spellStart"/>
      <w:r>
        <w:rPr>
          <w:sz w:val="20"/>
          <w:szCs w:val="20"/>
          <w:rtl/>
        </w:rPr>
        <w:t>פב</w:t>
      </w:r>
      <w:proofErr w:type="spellEnd"/>
      <w:r>
        <w:rPr>
          <w:sz w:val="20"/>
          <w:szCs w:val="20"/>
          <w:rtl/>
        </w:rPr>
        <w:t xml:space="preserve">, סי׳ ב״ד; </w:t>
      </w:r>
      <w:proofErr w:type="spellStart"/>
      <w:r>
        <w:rPr>
          <w:sz w:val="20"/>
          <w:szCs w:val="20"/>
          <w:rtl/>
        </w:rPr>
        <w:t>ב“אבי</w:t>
      </w:r>
      <w:proofErr w:type="spellEnd"/>
      <w:r>
        <w:rPr>
          <w:sz w:val="20"/>
          <w:szCs w:val="20"/>
          <w:rtl/>
        </w:rPr>
        <w:t xml:space="preserve"> הישיבות” שבידינו (תשע״ד), עמ׳ 212, לא נמצאו.</w:t>
      </w:r>
    </w:p>
  </w:footnote>
  <w:footnote w:id="3900">
    <w:p w14:paraId="633A2BD4" w14:textId="77777777" w:rsidR="00AB3647" w:rsidRDefault="00000000">
      <w:pPr>
        <w:spacing w:after="0" w:before="0"/>
        <w:jc w:val="both"/>
      </w:pPr>
      <w:r>
        <w:rPr>
          <w:sz w:val="20"/>
          <w:szCs w:val="20"/>
          <w:rtl/>
        </w:rPr>
        <w:footnoteRef/>
      </w:r>
      <w:r>
        <w:rPr>
          <w:sz w:val="20"/>
          <w:szCs w:val="20"/>
          <w:rtl/>
        </w:rPr>
        <w:t>. עמ׳ שט.</w:t>
      </w:r>
    </w:p>
  </w:footnote>
  <w:footnote w:id="3901">
    <w:p w14:paraId="49B0425A" w14:textId="77777777" w:rsidR="00AB3647" w:rsidRDefault="00000000">
      <w:pPr>
        <w:spacing w:after="0" w:before="0"/>
        <w:jc w:val="both"/>
      </w:pPr>
      <w:r>
        <w:rPr>
          <w:sz w:val="20"/>
          <w:szCs w:val="20"/>
          <w:rtl/>
        </w:rPr>
        <w:footnoteRef/>
      </w:r>
      <w:r>
        <w:rPr>
          <w:sz w:val="20"/>
          <w:szCs w:val="20"/>
          <w:rtl/>
        </w:rPr>
        <w:t xml:space="preserve">. ראה שם פרטים מעניינים נוספים על דבריו של ר׳ </w:t>
      </w:r>
      <w:proofErr w:type="spellStart"/>
      <w:r>
        <w:rPr>
          <w:sz w:val="20"/>
          <w:szCs w:val="20"/>
          <w:rtl/>
        </w:rPr>
        <w:t>איצל׳ה</w:t>
      </w:r>
      <w:proofErr w:type="spellEnd"/>
      <w:r>
        <w:rPr>
          <w:sz w:val="20"/>
          <w:szCs w:val="20"/>
          <w:rtl/>
        </w:rPr>
        <w:t xml:space="preserve"> על הוויכוח </w:t>
      </w:r>
      <w:proofErr w:type="spellStart"/>
      <w:r>
        <w:rPr>
          <w:sz w:val="20"/>
          <w:szCs w:val="20"/>
          <w:rtl/>
        </w:rPr>
        <w:t>בוולוז׳ין</w:t>
      </w:r>
      <w:proofErr w:type="spellEnd"/>
      <w:r>
        <w:rPr>
          <w:sz w:val="20"/>
          <w:szCs w:val="20"/>
          <w:rtl/>
        </w:rPr>
        <w:t xml:space="preserve">, ועל טיעוניו המשכנעים נגד עמדת ר׳ חיים. נראה שר׳ </w:t>
      </w:r>
      <w:proofErr w:type="spellStart"/>
      <w:r>
        <w:rPr>
          <w:sz w:val="20"/>
          <w:szCs w:val="20"/>
          <w:rtl/>
        </w:rPr>
        <w:t>איצל׳ה</w:t>
      </w:r>
      <w:proofErr w:type="spellEnd"/>
      <w:r>
        <w:rPr>
          <w:sz w:val="20"/>
          <w:szCs w:val="20"/>
          <w:rtl/>
        </w:rPr>
        <w:t xml:space="preserve"> העלה טיעונים אלה לא בשעת הפגישה </w:t>
      </w:r>
      <w:proofErr w:type="spellStart"/>
      <w:r>
        <w:rPr>
          <w:sz w:val="20"/>
          <w:szCs w:val="20"/>
          <w:rtl/>
        </w:rPr>
        <w:t>בוולוז׳ין</w:t>
      </w:r>
      <w:proofErr w:type="spellEnd"/>
      <w:r>
        <w:rPr>
          <w:sz w:val="20"/>
          <w:szCs w:val="20"/>
          <w:rtl/>
        </w:rPr>
        <w:t>, אלא זמן מה אחריה.</w:t>
      </w:r>
    </w:p>
  </w:footnote>
  <w:footnote w:id="3902">
    <w:p w14:paraId="09EE52DC" w14:textId="77777777" w:rsidR="00AB3647" w:rsidRDefault="00000000">
      <w:pPr>
        <w:spacing w:after="0" w:before="0"/>
        <w:jc w:val="both"/>
      </w:pPr>
      <w:r>
        <w:rPr>
          <w:sz w:val="20"/>
          <w:szCs w:val="20"/>
          <w:rtl/>
        </w:rPr>
        <w:footnoteRef/>
      </w:r>
      <w:r>
        <w:rPr>
          <w:sz w:val="20"/>
          <w:szCs w:val="20"/>
          <w:rtl/>
        </w:rPr>
        <w:t>. י״א באדר א׳ תרנ״ז.</w:t>
      </w:r>
    </w:p>
  </w:footnote>
  <w:footnote w:id="3903">
    <w:p w14:paraId="16ED856F" w14:textId="77777777" w:rsidR="00AB3647" w:rsidRDefault="00000000">
      <w:pPr>
        <w:spacing w:after="0" w:before="0"/>
        <w:jc w:val="both"/>
      </w:pPr>
      <w:r>
        <w:rPr>
          <w:sz w:val="20"/>
          <w:szCs w:val="20"/>
          <w:rtl/>
        </w:rPr>
        <w:footnoteRef/>
      </w:r>
      <w:r>
        <w:rPr>
          <w:sz w:val="20"/>
          <w:szCs w:val="20"/>
          <w:rtl/>
        </w:rPr>
        <w:t>. ראה הפסקה השנייה בנספח ז לעיל, על האופן שבו בדה מחבר זה סיפורים.</w:t>
      </w:r>
    </w:p>
  </w:footnote>
  <w:footnote w:id="3904">
    <w:p w14:paraId="3124C00D" w14:textId="77777777" w:rsidR="00AB3647" w:rsidRDefault="00000000">
      <w:pPr>
        <w:spacing w:after="0" w:before="0"/>
        <w:jc w:val="both"/>
      </w:pPr>
      <w:r>
        <w:rPr>
          <w:sz w:val="20"/>
          <w:szCs w:val="20"/>
          <w:rtl/>
        </w:rPr>
        <w:footnoteRef/>
      </w:r>
      <w:r>
        <w:rPr>
          <w:sz w:val="20"/>
          <w:szCs w:val="20"/>
          <w:rtl/>
        </w:rPr>
        <w:t>. המקור הנזכר בפרק 1, הערה 42, עמ׳ 109–110.</w:t>
      </w:r>
    </w:p>
  </w:footnote>
  <w:footnote w:id="3905">
    <w:p w14:paraId="69E88C8F" w14:textId="77777777" w:rsidR="00AB3647" w:rsidRDefault="00000000">
      <w:pPr>
        <w:spacing w:after="0" w:before="0"/>
        <w:jc w:val="both"/>
      </w:pPr>
      <w:r>
        <w:rPr>
          <w:sz w:val="20"/>
          <w:szCs w:val="20"/>
          <w:rtl/>
        </w:rPr>
        <w:footnoteRef/>
      </w:r>
      <w:r>
        <w:rPr>
          <w:sz w:val="20"/>
          <w:szCs w:val="20"/>
          <w:rtl/>
        </w:rPr>
        <w:t>. ריאיון, 27 ביולי 1992.</w:t>
      </w:r>
    </w:p>
  </w:footnote>
  <w:footnote w:id="3906">
    <w:p w14:paraId="196541FD" w14:textId="77777777" w:rsidR="00AB3647" w:rsidRDefault="00000000">
      <w:pPr>
        <w:spacing w:after="0" w:before="0"/>
        <w:jc w:val="both"/>
      </w:pPr>
      <w:r>
        <w:rPr>
          <w:sz w:val="20"/>
          <w:szCs w:val="20"/>
          <w:rtl/>
        </w:rPr>
        <w:footnoteRef/>
      </w:r>
      <w:r>
        <w:rPr>
          <w:sz w:val="20"/>
          <w:szCs w:val="20"/>
          <w:rtl/>
        </w:rPr>
        <w:t>. ראה פרק 3, נספח יא.</w:t>
      </w:r>
    </w:p>
  </w:footnote>
  <w:footnote w:id="3907">
    <w:p w14:paraId="5CA139EF" w14:textId="77777777" w:rsidR="00AB3647" w:rsidRDefault="00000000">
      <w:pPr>
        <w:spacing w:after="0" w:before="0"/>
        <w:jc w:val="both"/>
      </w:pPr>
      <w:r>
        <w:rPr>
          <w:sz w:val="20"/>
          <w:szCs w:val="20"/>
          <w:rtl/>
        </w:rPr>
        <w:footnoteRef/>
      </w:r>
      <w:r>
        <w:rPr>
          <w:sz w:val="20"/>
          <w:szCs w:val="20"/>
          <w:rtl/>
        </w:rPr>
        <w:t xml:space="preserve">. ראה “פולמוס”, עמ׳ 290–291: ר׳ </w:t>
      </w:r>
      <w:proofErr w:type="spellStart"/>
      <w:r>
        <w:rPr>
          <w:sz w:val="20"/>
          <w:szCs w:val="20"/>
          <w:rtl/>
        </w:rPr>
        <w:t>מאיר־שמחה</w:t>
      </w:r>
      <w:proofErr w:type="spellEnd"/>
      <w:r>
        <w:rPr>
          <w:sz w:val="20"/>
          <w:szCs w:val="20"/>
          <w:rtl/>
        </w:rPr>
        <w:t xml:space="preserve"> כהן </w:t>
      </w:r>
      <w:proofErr w:type="spellStart"/>
      <w:r>
        <w:rPr>
          <w:sz w:val="20"/>
          <w:szCs w:val="20"/>
          <w:rtl/>
        </w:rPr>
        <w:t>מדווינסק</w:t>
      </w:r>
      <w:proofErr w:type="spellEnd"/>
      <w:r>
        <w:rPr>
          <w:sz w:val="20"/>
          <w:szCs w:val="20"/>
          <w:rtl/>
        </w:rPr>
        <w:t xml:space="preserve"> השמיע טיעון זה לפני ר׳ </w:t>
      </w:r>
      <w:proofErr w:type="spellStart"/>
      <w:r>
        <w:rPr>
          <w:sz w:val="20"/>
          <w:szCs w:val="20"/>
          <w:rtl/>
        </w:rPr>
        <w:t>שמחה־זיסל</w:t>
      </w:r>
      <w:proofErr w:type="spellEnd"/>
      <w:r>
        <w:rPr>
          <w:sz w:val="20"/>
          <w:szCs w:val="20"/>
          <w:rtl/>
        </w:rPr>
        <w:t xml:space="preserve"> זיו.</w:t>
      </w:r>
    </w:p>
  </w:footnote>
  <w:footnote w:id="3908">
    <w:p w14:paraId="30387A6A" w14:textId="77777777" w:rsidR="00AB3647" w:rsidRDefault="00000000">
      <w:pPr>
        <w:spacing w:after="0" w:before="0"/>
        <w:jc w:val="both"/>
      </w:pPr>
      <w:r>
        <w:rPr>
          <w:sz w:val="20"/>
          <w:szCs w:val="20"/>
          <w:rtl/>
        </w:rPr>
        <w:footnoteRef/>
      </w:r>
      <w:r>
        <w:rPr>
          <w:sz w:val="20"/>
          <w:szCs w:val="20"/>
          <w:rtl/>
        </w:rPr>
        <w:t>. ל׳ ע״ב.</w:t>
      </w:r>
    </w:p>
  </w:footnote>
  <w:footnote w:id="3909">
    <w:p w14:paraId="01BD0044" w14:textId="77777777" w:rsidR="00AB3647" w:rsidRDefault="00000000">
      <w:pPr>
        <w:spacing w:after="0" w:before="0"/>
        <w:jc w:val="both"/>
      </w:pPr>
      <w:r>
        <w:rPr>
          <w:sz w:val="20"/>
          <w:szCs w:val="20"/>
          <w:rtl/>
        </w:rPr>
        <w:footnoteRef/>
      </w:r>
      <w:r>
        <w:rPr>
          <w:sz w:val="20"/>
          <w:szCs w:val="20"/>
          <w:rtl/>
        </w:rPr>
        <w:t>. מובא בפרק 2, הערה 66.</w:t>
      </w:r>
    </w:p>
  </w:footnote>
  <w:footnote w:id="3910">
    <w:p w14:paraId="4ABFD651" w14:textId="77777777" w:rsidR="00AB3647" w:rsidRDefault="00000000">
      <w:pPr>
        <w:spacing w:after="0" w:before="0"/>
        <w:jc w:val="both"/>
      </w:pPr>
      <w:r>
        <w:rPr>
          <w:sz w:val="20"/>
          <w:szCs w:val="20"/>
          <w:rtl/>
        </w:rPr>
        <w:footnoteRef/>
      </w:r>
      <w:r>
        <w:rPr>
          <w:sz w:val="20"/>
          <w:szCs w:val="20"/>
          <w:rtl/>
        </w:rPr>
        <w:t>. ריאיון, 7 ביוני 1997; וראה כרך 3.</w:t>
      </w:r>
    </w:p>
  </w:footnote>
  <w:footnote w:id="3911">
    <w:p w14:paraId="3C8DC250" w14:textId="77777777" w:rsidR="00AB3647" w:rsidRDefault="00000000">
      <w:pPr>
        <w:spacing w:after="0" w:before="0"/>
        <w:jc w:val="both"/>
      </w:pPr>
      <w:r>
        <w:rPr>
          <w:sz w:val="20"/>
          <w:szCs w:val="20"/>
          <w:rtl/>
        </w:rPr>
        <w:footnoteRef/>
      </w:r>
      <w:r>
        <w:rPr>
          <w:sz w:val="20"/>
          <w:szCs w:val="20"/>
          <w:rtl/>
        </w:rPr>
        <w:t>. ראה נידה י״ז ע״ב.</w:t>
      </w:r>
    </w:p>
  </w:footnote>
  <w:footnote w:id="3912">
    <w:p w14:paraId="25643C39" w14:textId="77777777" w:rsidR="00AB3647" w:rsidRDefault="00000000">
      <w:pPr>
        <w:spacing w:after="0" w:before="0"/>
        <w:jc w:val="both"/>
      </w:pPr>
      <w:r>
        <w:rPr>
          <w:sz w:val="20"/>
          <w:szCs w:val="20"/>
          <w:rtl/>
        </w:rPr>
        <w:footnoteRef/>
      </w:r>
      <w:r>
        <w:rPr>
          <w:sz w:val="20"/>
          <w:szCs w:val="20"/>
          <w:rtl/>
        </w:rPr>
        <w:t xml:space="preserve">. ראה פרק 3, נספח יא, על מידת התנגדותו של </w:t>
      </w:r>
      <w:proofErr w:type="spellStart"/>
      <w:r>
        <w:rPr>
          <w:sz w:val="20"/>
          <w:szCs w:val="20"/>
          <w:rtl/>
        </w:rPr>
        <w:t>הנצי״ב</w:t>
      </w:r>
      <w:proofErr w:type="spellEnd"/>
      <w:r>
        <w:rPr>
          <w:sz w:val="20"/>
          <w:szCs w:val="20"/>
          <w:rtl/>
        </w:rPr>
        <w:t xml:space="preserve"> למוסר.</w:t>
      </w:r>
    </w:p>
  </w:footnote>
  <w:footnote w:id="3913">
    <w:p w14:paraId="11672349" w14:textId="77777777" w:rsidR="00AB3647" w:rsidRDefault="00000000">
      <w:pPr>
        <w:spacing w:after="0" w:before="0"/>
        <w:jc w:val="both"/>
      </w:pPr>
      <w:r>
        <w:rPr>
          <w:sz w:val="20"/>
          <w:szCs w:val="20"/>
          <w:rtl/>
        </w:rPr>
        <w:footnoteRef/>
      </w:r>
      <w:r>
        <w:rPr>
          <w:sz w:val="20"/>
          <w:szCs w:val="20"/>
          <w:rtl/>
        </w:rPr>
        <w:t xml:space="preserve">. עמ׳ </w:t>
      </w:r>
      <w:proofErr w:type="spellStart"/>
      <w:r>
        <w:rPr>
          <w:sz w:val="20"/>
          <w:szCs w:val="20"/>
          <w:rtl/>
        </w:rPr>
        <w:t>קסו</w:t>
      </w:r>
      <w:proofErr w:type="spellEnd"/>
      <w:r>
        <w:rPr>
          <w:sz w:val="20"/>
          <w:szCs w:val="20"/>
          <w:rtl/>
        </w:rPr>
        <w:t>.</w:t>
      </w:r>
    </w:p>
  </w:footnote>
  <w:footnote w:id="3914">
    <w:p w14:paraId="3CC1736C" w14:textId="77777777" w:rsidR="00AB3647" w:rsidRDefault="00000000">
      <w:pPr>
        <w:spacing w:after="0" w:before="0"/>
        <w:jc w:val="both"/>
      </w:pPr>
      <w:r>
        <w:rPr>
          <w:sz w:val="20"/>
          <w:szCs w:val="20"/>
          <w:rtl/>
        </w:rPr>
        <w:footnoteRef/>
      </w:r>
      <w:r>
        <w:rPr>
          <w:sz w:val="20"/>
          <w:szCs w:val="20"/>
          <w:rtl/>
        </w:rPr>
        <w:t xml:space="preserve">. ראה “אבי הישיבות”, עמ׳ 154, לנסיבות שבהן אמר ר׳ חיים </w:t>
      </w:r>
      <w:proofErr w:type="spellStart"/>
      <w:r>
        <w:rPr>
          <w:sz w:val="20"/>
          <w:szCs w:val="20"/>
          <w:rtl/>
        </w:rPr>
        <w:t>מוולוז׳ין</w:t>
      </w:r>
      <w:proofErr w:type="spellEnd"/>
      <w:r>
        <w:rPr>
          <w:sz w:val="20"/>
          <w:szCs w:val="20"/>
          <w:rtl/>
        </w:rPr>
        <w:t xml:space="preserve"> את הדברים.</w:t>
      </w:r>
    </w:p>
  </w:footnote>
  <w:footnote w:id="3915">
    <w:p w14:paraId="6475D025" w14:textId="77777777" w:rsidR="00AB3647" w:rsidRDefault="00000000">
      <w:pPr>
        <w:spacing w:after="0" w:before="0"/>
        <w:jc w:val="both"/>
      </w:pPr>
      <w:r>
        <w:rPr>
          <w:sz w:val="20"/>
          <w:szCs w:val="20"/>
          <w:rtl/>
        </w:rPr>
        <w:footnoteRef/>
      </w:r>
      <w:r>
        <w:rPr>
          <w:sz w:val="20"/>
          <w:szCs w:val="20"/>
          <w:rtl/>
        </w:rPr>
        <w:t>. עמ׳ 230.</w:t>
      </w:r>
    </w:p>
  </w:footnote>
  <w:footnote w:id="3916">
    <w:p w14:paraId="16BF1A73" w14:textId="77777777" w:rsidR="00AB3647" w:rsidRDefault="00000000">
      <w:pPr>
        <w:spacing w:after="0" w:before="0"/>
        <w:jc w:val="both"/>
      </w:pPr>
      <w:r>
        <w:rPr>
          <w:sz w:val="20"/>
          <w:szCs w:val="20"/>
          <w:rtl/>
        </w:rPr>
        <w:footnoteRef/>
      </w:r>
      <w:r>
        <w:rPr>
          <w:sz w:val="20"/>
          <w:szCs w:val="20"/>
          <w:rtl/>
        </w:rPr>
        <w:t>. עמ׳ 292.</w:t>
      </w:r>
    </w:p>
  </w:footnote>
  <w:footnote w:id="3917">
    <w:p w14:paraId="3C665CAF" w14:textId="77777777" w:rsidR="00AB3647" w:rsidRDefault="00000000">
      <w:pPr>
        <w:spacing w:after="0" w:before="0"/>
        <w:jc w:val="both"/>
      </w:pPr>
      <w:r>
        <w:rPr>
          <w:sz w:val="20"/>
          <w:szCs w:val="20"/>
          <w:rtl/>
        </w:rPr>
        <w:footnoteRef/>
      </w:r>
      <w:r>
        <w:rPr>
          <w:sz w:val="20"/>
          <w:szCs w:val="20"/>
          <w:rtl/>
        </w:rPr>
        <w:t xml:space="preserve">. טענה זו אינה נכונה בלי קשר למועד הביקור, שכן ר׳ חיים </w:t>
      </w:r>
      <w:proofErr w:type="spellStart"/>
      <w:r>
        <w:rPr>
          <w:sz w:val="20"/>
          <w:szCs w:val="20"/>
          <w:rtl/>
        </w:rPr>
        <w:t>סולובייצ׳יק</w:t>
      </w:r>
      <w:proofErr w:type="spellEnd"/>
      <w:r>
        <w:rPr>
          <w:sz w:val="20"/>
          <w:szCs w:val="20"/>
          <w:rtl/>
        </w:rPr>
        <w:t xml:space="preserve"> מעולם לא היה ראש ישיבת </w:t>
      </w:r>
      <w:proofErr w:type="spellStart"/>
      <w:r>
        <w:rPr>
          <w:sz w:val="20"/>
          <w:szCs w:val="20"/>
          <w:rtl/>
        </w:rPr>
        <w:t>וולוז׳ין</w:t>
      </w:r>
      <w:proofErr w:type="spellEnd"/>
      <w:r>
        <w:rPr>
          <w:sz w:val="20"/>
          <w:szCs w:val="20"/>
          <w:rtl/>
        </w:rPr>
        <w:t>, אלא רק המשנה לראש הישיבה.</w:t>
      </w:r>
    </w:p>
  </w:footnote>
  <w:footnote w:id="3918">
    <w:p w14:paraId="3DFE742D" w14:textId="77777777" w:rsidR="00AB3647" w:rsidRDefault="00000000">
      <w:pPr>
        <w:spacing w:after="0" w:before="0"/>
        <w:jc w:val="both"/>
      </w:pPr>
      <w:r>
        <w:rPr>
          <w:sz w:val="20"/>
          <w:szCs w:val="20"/>
          <w:rtl/>
        </w:rPr>
        <w:footnoteRef/>
      </w:r>
      <w:r>
        <w:rPr>
          <w:sz w:val="20"/>
          <w:szCs w:val="20"/>
          <w:rtl/>
        </w:rPr>
        <w:t>. הוצאת האחים לוין אפשטיין ושותפם, תל אביב, תרצ״ב, עמ׳ 31.</w:t>
      </w:r>
    </w:p>
  </w:footnote>
  <w:footnote w:id="3919">
    <w:p w14:paraId="65BBAA94" w14:textId="77777777" w:rsidR="00AB3647" w:rsidRDefault="00000000">
      <w:pPr>
        <w:spacing w:after="0" w:before="0"/>
        <w:jc w:val="both"/>
      </w:pPr>
      <w:r>
        <w:rPr>
          <w:sz w:val="20"/>
          <w:szCs w:val="20"/>
          <w:rtl/>
        </w:rPr>
        <w:footnoteRef/>
      </w:r>
      <w:r>
        <w:rPr>
          <w:sz w:val="20"/>
          <w:szCs w:val="20"/>
          <w:rtl/>
        </w:rPr>
        <w:t xml:space="preserve">. ראה פרק 3, הערה 33. במאמר “יובל נשכח” בגיליונות אב–אלול תרס״ג של “הצפירה” כותב זלמן אפשטיין – שלמד </w:t>
      </w:r>
      <w:proofErr w:type="spellStart"/>
      <w:r>
        <w:rPr>
          <w:sz w:val="20"/>
          <w:szCs w:val="20"/>
          <w:rtl/>
        </w:rPr>
        <w:t>בוולוז׳ין</w:t>
      </w:r>
      <w:proofErr w:type="spellEnd"/>
      <w:r>
        <w:rPr>
          <w:sz w:val="20"/>
          <w:szCs w:val="20"/>
          <w:rtl/>
        </w:rPr>
        <w:t xml:space="preserve"> שנתיים או שלוש לפני </w:t>
      </w:r>
      <w:proofErr w:type="spellStart"/>
      <w:r>
        <w:rPr>
          <w:sz w:val="20"/>
          <w:szCs w:val="20"/>
          <w:rtl/>
        </w:rPr>
        <w:t>לוין־אפשטיין</w:t>
      </w:r>
      <w:proofErr w:type="spellEnd"/>
      <w:r>
        <w:rPr>
          <w:sz w:val="20"/>
          <w:szCs w:val="20"/>
          <w:rtl/>
        </w:rPr>
        <w:t xml:space="preserve">, זמן לא רב אחרי נישואי ר׳ חיים </w:t>
      </w:r>
      <w:proofErr w:type="spellStart"/>
      <w:r>
        <w:rPr>
          <w:sz w:val="20"/>
          <w:szCs w:val="20"/>
          <w:rtl/>
        </w:rPr>
        <w:t>בתרל״ג</w:t>
      </w:r>
      <w:proofErr w:type="spellEnd"/>
      <w:r>
        <w:rPr>
          <w:sz w:val="20"/>
          <w:szCs w:val="20"/>
          <w:rtl/>
        </w:rPr>
        <w:t xml:space="preserve"> – שבימיו “נמצאו בישיבה יחידים שקראו את ‘השחר’ בסוד גדול, אך הישיבה בכללותה, רוב ציבור תלמידיה, נשארה מחוץ להשפעתו”. נראה שחדירתה הממשית של ההשכלה לישיבת </w:t>
      </w:r>
      <w:proofErr w:type="spellStart"/>
      <w:r>
        <w:rPr>
          <w:sz w:val="20"/>
          <w:szCs w:val="20"/>
          <w:rtl/>
        </w:rPr>
        <w:t>וולוז׳ין</w:t>
      </w:r>
      <w:proofErr w:type="spellEnd"/>
      <w:r>
        <w:rPr>
          <w:sz w:val="20"/>
          <w:szCs w:val="20"/>
          <w:rtl/>
        </w:rPr>
        <w:t xml:space="preserve"> לא התחילה לפני אמצע אותו עשור.</w:t>
      </w:r>
    </w:p>
    <w:p w14:paraId="6B8BCD80" w14:textId="77777777" w:rsidR="00AB3647" w:rsidRDefault="00000000">
      <w:pPr>
        <w:spacing w:after="0" w:before="0"/>
        <w:jc w:val="both"/>
      </w:pPr>
      <w:r>
        <w:rPr>
          <w:sz w:val="20"/>
          <w:szCs w:val="20"/>
          <w:rtl/>
        </w:rPr>
        <w:t xml:space="preserve">ואולם יש לשלול את האפשרות שהמפגש בין ר׳ </w:t>
      </w:r>
      <w:proofErr w:type="spellStart"/>
      <w:r>
        <w:rPr>
          <w:sz w:val="20"/>
          <w:szCs w:val="20"/>
          <w:rtl/>
        </w:rPr>
        <w:t>איצל׳ה</w:t>
      </w:r>
      <w:proofErr w:type="spellEnd"/>
      <w:r>
        <w:rPr>
          <w:sz w:val="20"/>
          <w:szCs w:val="20"/>
          <w:rtl/>
        </w:rPr>
        <w:t xml:space="preserve"> </w:t>
      </w:r>
      <w:proofErr w:type="spellStart"/>
      <w:r>
        <w:rPr>
          <w:sz w:val="20"/>
          <w:szCs w:val="20"/>
          <w:rtl/>
        </w:rPr>
        <w:t>לר</w:t>
      </w:r>
      <w:proofErr w:type="spellEnd"/>
      <w:r>
        <w:rPr>
          <w:sz w:val="20"/>
          <w:szCs w:val="20"/>
          <w:rtl/>
        </w:rPr>
        <w:t xml:space="preserve">׳ חיים – שבו גם הציע ר׳ </w:t>
      </w:r>
      <w:proofErr w:type="spellStart"/>
      <w:r>
        <w:rPr>
          <w:sz w:val="20"/>
          <w:szCs w:val="20"/>
          <w:rtl/>
        </w:rPr>
        <w:t>איצל׳ה</w:t>
      </w:r>
      <w:proofErr w:type="spellEnd"/>
      <w:r>
        <w:rPr>
          <w:sz w:val="20"/>
          <w:szCs w:val="20"/>
          <w:rtl/>
        </w:rPr>
        <w:t xml:space="preserve"> להיות משגיח הישיבה, כפי שסיפר ר׳ </w:t>
      </w:r>
      <w:proofErr w:type="spellStart"/>
      <w:r>
        <w:rPr>
          <w:sz w:val="20"/>
          <w:szCs w:val="20"/>
          <w:rtl/>
        </w:rPr>
        <w:t>זלמן־נחמיה</w:t>
      </w:r>
      <w:proofErr w:type="spellEnd"/>
      <w:r>
        <w:rPr>
          <w:sz w:val="20"/>
          <w:szCs w:val="20"/>
          <w:rtl/>
        </w:rPr>
        <w:t xml:space="preserve"> גולדברג – התקיים לפני המחצית השנייה של העשור, משלושה טעמים. ראשית, אין זה מתקבל על הדעת שהרעיון להחליף את כהונתו החשובה של ר׳ </w:t>
      </w:r>
      <w:proofErr w:type="spellStart"/>
      <w:r>
        <w:rPr>
          <w:sz w:val="20"/>
          <w:szCs w:val="20"/>
          <w:rtl/>
        </w:rPr>
        <w:t>איצל׳ה</w:t>
      </w:r>
      <w:proofErr w:type="spellEnd"/>
      <w:r>
        <w:rPr>
          <w:sz w:val="20"/>
          <w:szCs w:val="20"/>
          <w:rtl/>
        </w:rPr>
        <w:t xml:space="preserve"> באותה עת, רבה של בירת רוסיה, בתפקיד משגיח ישיבה, שהיה אז חסר חשיבות, עלה בדעתו שנים רבות כל כך לפני תרל״ח, כשבחר בדרך המכובדת יותר – לפרוש מן השירות הציבורי כליל (כנדון בפרק 3, הפסקה הראשונה בנספח ב). שנית, אין להעלות על הדעת שר׳ חיים </w:t>
      </w:r>
      <w:proofErr w:type="spellStart"/>
      <w:r>
        <w:rPr>
          <w:sz w:val="20"/>
          <w:szCs w:val="20"/>
          <w:rtl/>
        </w:rPr>
        <w:t>סולובייצ׳יק</w:t>
      </w:r>
      <w:proofErr w:type="spellEnd"/>
      <w:r>
        <w:rPr>
          <w:sz w:val="20"/>
          <w:szCs w:val="20"/>
          <w:rtl/>
        </w:rPr>
        <w:t>, שבאמצע העשור היה רק בראשית שנות העשרים לחייו, היה מתווכח במונחים כאלה עם רבה המפורסם של פטרבורג. שלישית, אחרי שנתיים, או לכל היותר שלוש שנים, של “</w:t>
      </w:r>
      <w:proofErr w:type="spellStart"/>
      <w:r>
        <w:rPr>
          <w:sz w:val="20"/>
          <w:szCs w:val="20"/>
          <w:rtl/>
        </w:rPr>
        <w:t>קעסט</w:t>
      </w:r>
      <w:proofErr w:type="spellEnd"/>
      <w:r>
        <w:rPr>
          <w:sz w:val="20"/>
          <w:szCs w:val="20"/>
          <w:rtl/>
        </w:rPr>
        <w:t xml:space="preserve">” </w:t>
      </w:r>
      <w:proofErr w:type="spellStart"/>
      <w:r>
        <w:rPr>
          <w:sz w:val="20"/>
          <w:szCs w:val="20"/>
          <w:rtl/>
        </w:rPr>
        <w:t>בוולוז׳ין</w:t>
      </w:r>
      <w:proofErr w:type="spellEnd"/>
      <w:r>
        <w:rPr>
          <w:sz w:val="20"/>
          <w:szCs w:val="20"/>
          <w:rtl/>
        </w:rPr>
        <w:t xml:space="preserve">, היה ר׳ חיים משאיר עניין כזה של מדיניות הישיבה לגמרי לראש הישיבה, </w:t>
      </w:r>
      <w:proofErr w:type="spellStart"/>
      <w:r>
        <w:rPr>
          <w:sz w:val="20"/>
          <w:szCs w:val="20"/>
          <w:rtl/>
        </w:rPr>
        <w:t>הנצי״ב</w:t>
      </w:r>
      <w:proofErr w:type="spellEnd"/>
      <w:r>
        <w:rPr>
          <w:sz w:val="20"/>
          <w:szCs w:val="20"/>
          <w:rtl/>
        </w:rPr>
        <w:t>, סב אשתו.</w:t>
      </w:r>
    </w:p>
  </w:footnote>
  <w:footnote w:id="3920">
    <w:p w14:paraId="6D578A41" w14:textId="77777777" w:rsidR="00AB3647" w:rsidRDefault="00000000">
      <w:pPr>
        <w:spacing w:after="0" w:before="0"/>
        <w:jc w:val="both"/>
      </w:pPr>
      <w:r>
        <w:rPr>
          <w:sz w:val="20"/>
          <w:szCs w:val="20"/>
          <w:rtl/>
        </w:rPr>
        <w:footnoteRef/>
      </w:r>
      <w:r>
        <w:rPr>
          <w:sz w:val="20"/>
          <w:szCs w:val="20"/>
          <w:rtl/>
        </w:rPr>
        <w:t>. המקור הנזכר בפרק 2, הפסקה השישית של נספח א, עמ׳ 320–321.</w:t>
      </w:r>
    </w:p>
  </w:footnote>
  <w:footnote w:id="3921">
    <w:p w14:paraId="525FC909" w14:textId="77777777" w:rsidR="00AB3647" w:rsidRDefault="00000000">
      <w:pPr>
        <w:spacing w:after="0" w:before="0"/>
        <w:jc w:val="both"/>
      </w:pPr>
      <w:r>
        <w:rPr>
          <w:sz w:val="20"/>
          <w:szCs w:val="20"/>
          <w:rtl/>
        </w:rPr>
        <w:footnoteRef/>
      </w:r>
      <w:r>
        <w:rPr>
          <w:sz w:val="20"/>
          <w:szCs w:val="20"/>
          <w:rtl/>
        </w:rPr>
        <w:t xml:space="preserve">. חתימה בהשמטת אות עשויה להיראות מוזרה לקורא בן זמננו, אבל מצאתי אישיות מפורסמת נוספת, שנפטרה חודש לפני </w:t>
      </w:r>
      <w:proofErr w:type="spellStart"/>
      <w:r>
        <w:rPr>
          <w:sz w:val="20"/>
          <w:szCs w:val="20"/>
          <w:rtl/>
        </w:rPr>
        <w:t>הנצי״ב</w:t>
      </w:r>
      <w:proofErr w:type="spellEnd"/>
      <w:r>
        <w:rPr>
          <w:sz w:val="20"/>
          <w:szCs w:val="20"/>
          <w:rtl/>
        </w:rPr>
        <w:t xml:space="preserve">, שהשמיטה אות בחתימתה: ר׳ </w:t>
      </w:r>
      <w:proofErr w:type="spellStart"/>
      <w:r>
        <w:rPr>
          <w:sz w:val="20"/>
          <w:szCs w:val="20"/>
          <w:rtl/>
        </w:rPr>
        <w:t>יהושע׳לה</w:t>
      </w:r>
      <w:proofErr w:type="spellEnd"/>
      <w:r>
        <w:rPr>
          <w:sz w:val="20"/>
          <w:szCs w:val="20"/>
          <w:rtl/>
        </w:rPr>
        <w:t xml:space="preserve"> </w:t>
      </w:r>
      <w:proofErr w:type="spellStart"/>
      <w:r>
        <w:rPr>
          <w:sz w:val="20"/>
          <w:szCs w:val="20"/>
          <w:rtl/>
        </w:rPr>
        <w:t>טרונק</w:t>
      </w:r>
      <w:proofErr w:type="spellEnd"/>
      <w:r>
        <w:rPr>
          <w:sz w:val="20"/>
          <w:szCs w:val="20"/>
          <w:rtl/>
        </w:rPr>
        <w:t xml:space="preserve">, רבה של </w:t>
      </w:r>
      <w:proofErr w:type="spellStart"/>
      <w:r>
        <w:rPr>
          <w:sz w:val="20"/>
          <w:szCs w:val="20"/>
          <w:rtl/>
        </w:rPr>
        <w:t>קוטנא</w:t>
      </w:r>
      <w:proofErr w:type="spellEnd"/>
      <w:r>
        <w:rPr>
          <w:sz w:val="20"/>
          <w:szCs w:val="20"/>
          <w:rtl/>
        </w:rPr>
        <w:t xml:space="preserve">. שלושת שמותיו היו </w:t>
      </w:r>
      <w:proofErr w:type="spellStart"/>
      <w:r>
        <w:rPr>
          <w:sz w:val="20"/>
          <w:szCs w:val="20"/>
          <w:rtl/>
        </w:rPr>
        <w:t>ישראל־אליהו־יהושע</w:t>
      </w:r>
      <w:proofErr w:type="spellEnd"/>
      <w:r>
        <w:rPr>
          <w:sz w:val="20"/>
          <w:szCs w:val="20"/>
          <w:rtl/>
        </w:rPr>
        <w:t>, והוא חתם את הראשון ואת השלישי במשיכת קולמוס אחת, “</w:t>
      </w:r>
      <w:proofErr w:type="spellStart"/>
      <w:r>
        <w:rPr>
          <w:sz w:val="20"/>
          <w:szCs w:val="20"/>
          <w:rtl/>
        </w:rPr>
        <w:t>ישראליהושע</w:t>
      </w:r>
      <w:proofErr w:type="spellEnd"/>
      <w:r>
        <w:rPr>
          <w:sz w:val="20"/>
          <w:szCs w:val="20"/>
          <w:rtl/>
        </w:rPr>
        <w:t>”, וכך כלל בצירוף את כל אותיות השם האמצעי.</w:t>
      </w:r>
    </w:p>
  </w:footnote>
  <w:footnote w:id="3922">
    <w:p w14:paraId="3FB04DFD" w14:textId="77777777" w:rsidR="00AB3647" w:rsidRDefault="00000000">
      <w:pPr>
        <w:spacing w:after="0" w:before="0"/>
        <w:jc w:val="both"/>
      </w:pPr>
      <w:r>
        <w:rPr>
          <w:sz w:val="20"/>
          <w:szCs w:val="20"/>
          <w:rtl/>
        </w:rPr>
        <w:footnoteRef/>
      </w:r>
      <w:r>
        <w:rPr>
          <w:sz w:val="20"/>
          <w:szCs w:val="20"/>
          <w:rtl/>
        </w:rPr>
        <w:t>. אך ראה להלן הסבר אחר לכעס התלמידים, לפי “ר׳ משה שמואל ודורו”.</w:t>
      </w:r>
    </w:p>
  </w:footnote>
  <w:footnote w:id="3923">
    <w:p w14:paraId="69ACB614" w14:textId="77777777" w:rsidR="00AB3647" w:rsidRDefault="00000000">
      <w:pPr>
        <w:spacing w:after="0" w:before="0"/>
        <w:jc w:val="both"/>
      </w:pPr>
      <w:r>
        <w:rPr>
          <w:sz w:val="20"/>
          <w:szCs w:val="20"/>
          <w:rtl/>
        </w:rPr>
        <w:footnoteRef/>
      </w:r>
      <w:r>
        <w:rPr>
          <w:sz w:val="20"/>
          <w:szCs w:val="20"/>
          <w:rtl/>
        </w:rPr>
        <w:t>. ראה “הראשון”, הפסקה השנייה בנספח ב לעיל, עמ׳ 311–312.</w:t>
      </w:r>
    </w:p>
  </w:footnote>
  <w:footnote w:id="3924">
    <w:p w14:paraId="21D20EEF" w14:textId="77777777" w:rsidR="00AB3647" w:rsidRDefault="00000000">
      <w:pPr>
        <w:spacing w:after="0" w:before="0"/>
        <w:jc w:val="both"/>
      </w:pPr>
      <w:r>
        <w:rPr>
          <w:sz w:val="20"/>
          <w:szCs w:val="20"/>
          <w:rtl/>
        </w:rPr>
        <w:footnoteRef/>
      </w:r>
      <w:r>
        <w:rPr>
          <w:sz w:val="20"/>
          <w:szCs w:val="20"/>
          <w:rtl/>
        </w:rPr>
        <w:t>. ריאיון, 15 בינואר 1997.</w:t>
      </w:r>
    </w:p>
  </w:footnote>
  <w:footnote w:id="3925">
    <w:p w14:paraId="1293AF5C" w14:textId="77777777" w:rsidR="00AB3647" w:rsidRDefault="00000000">
      <w:pPr>
        <w:spacing w:after="0" w:before="0"/>
        <w:jc w:val="both"/>
      </w:pPr>
      <w:r>
        <w:rPr>
          <w:sz w:val="20"/>
          <w:szCs w:val="20"/>
          <w:rtl/>
        </w:rPr>
        <w:footnoteRef/>
      </w:r>
      <w:r>
        <w:rPr>
          <w:sz w:val="20"/>
          <w:szCs w:val="20"/>
          <w:rtl/>
        </w:rPr>
        <w:t>. ראה כרך 2.</w:t>
      </w:r>
    </w:p>
  </w:footnote>
  <w:footnote w:id="3926">
    <w:p w14:paraId="46BB094E" w14:textId="77777777" w:rsidR="00AB3647" w:rsidRDefault="00000000">
      <w:pPr>
        <w:spacing w:after="0" w:before="0"/>
        <w:jc w:val="both"/>
      </w:pPr>
      <w:r>
        <w:rPr>
          <w:sz w:val="20"/>
          <w:szCs w:val="20"/>
          <w:rtl/>
        </w:rPr>
        <w:footnoteRef/>
      </w:r>
      <w:r>
        <w:rPr>
          <w:sz w:val="20"/>
          <w:szCs w:val="20"/>
          <w:rtl/>
        </w:rPr>
        <w:t>. המקור הנזכר בפרק 3, נספח טו, עמ׳ 45.</w:t>
      </w:r>
    </w:p>
  </w:footnote>
  <w:footnote w:id="3927">
    <w:p w14:paraId="1060C79C" w14:textId="77777777" w:rsidR="00AB3647" w:rsidRDefault="00000000">
      <w:pPr>
        <w:spacing w:after="0" w:before="0"/>
        <w:jc w:val="both"/>
      </w:pPr>
      <w:r>
        <w:rPr>
          <w:sz w:val="20"/>
          <w:szCs w:val="20"/>
          <w:rtl/>
        </w:rPr>
        <w:footnoteRef/>
      </w:r>
      <w:r>
        <w:rPr>
          <w:sz w:val="20"/>
          <w:szCs w:val="20"/>
          <w:rtl/>
        </w:rPr>
        <w:t>. ריאיון, 7 באוגוסט 1992.</w:t>
      </w:r>
    </w:p>
  </w:footnote>
  <w:footnote w:id="3928">
    <w:p w14:paraId="6BD67014" w14:textId="77777777" w:rsidR="00AB3647" w:rsidRDefault="00000000">
      <w:pPr>
        <w:spacing w:after="0" w:before="0"/>
        <w:jc w:val="both"/>
      </w:pPr>
      <w:r>
        <w:rPr>
          <w:sz w:val="20"/>
          <w:szCs w:val="20"/>
          <w:rtl/>
        </w:rPr>
        <w:footnoteRef/>
      </w:r>
      <w:r>
        <w:rPr>
          <w:sz w:val="20"/>
          <w:szCs w:val="20"/>
          <w:rtl/>
        </w:rPr>
        <w:t xml:space="preserve">. הוא חיבר את הספרים הקלאסיים “תורה הכתובה והמסורה” </w:t>
      </w:r>
      <w:proofErr w:type="spellStart"/>
      <w:r>
        <w:rPr>
          <w:sz w:val="20"/>
          <w:szCs w:val="20"/>
          <w:rtl/>
        </w:rPr>
        <w:t>ו“תולדות</w:t>
      </w:r>
      <w:proofErr w:type="spellEnd"/>
      <w:r>
        <w:rPr>
          <w:sz w:val="20"/>
          <w:szCs w:val="20"/>
          <w:rtl/>
        </w:rPr>
        <w:t xml:space="preserve"> תנאים ואמוראים”.</w:t>
      </w:r>
    </w:p>
  </w:footnote>
  <w:footnote w:id="3929">
    <w:p w14:paraId="1C96A940" w14:textId="77777777" w:rsidR="00AB3647" w:rsidRDefault="00000000">
      <w:pPr>
        <w:spacing w:after="0" w:before="0"/>
        <w:jc w:val="both"/>
      </w:pPr>
      <w:r>
        <w:rPr>
          <w:sz w:val="20"/>
          <w:szCs w:val="20"/>
          <w:rtl/>
        </w:rPr>
        <w:footnoteRef/>
      </w:r>
      <w:r>
        <w:rPr>
          <w:sz w:val="20"/>
          <w:szCs w:val="20"/>
          <w:rtl/>
        </w:rPr>
        <w:t xml:space="preserve">. ראה את הפרק על המשמעת בבתי הספר ובצבא ברוסיה </w:t>
      </w:r>
      <w:proofErr w:type="spellStart"/>
      <w:r>
        <w:rPr>
          <w:sz w:val="20"/>
          <w:szCs w:val="20"/>
          <w:rtl/>
        </w:rPr>
        <w:t>ב“זכרון</w:t>
      </w:r>
      <w:proofErr w:type="spellEnd"/>
      <w:r>
        <w:rPr>
          <w:sz w:val="20"/>
          <w:szCs w:val="20"/>
          <w:rtl/>
        </w:rPr>
        <w:t xml:space="preserve"> יעקב” (הפסקה השנייה בנספח ח לעיל), כרך א, עמ׳ 103–105. מתוארות שם הצלפות תכופות בבתי הספר, ובצבא אף יותר: קצינים בכירים היו מכים את בעלי הדרגות הנמוכות מהם, ואפילו נסיכים ממשפחת המלוכה ספגו עונשים כאלה. ראה גם “ספר חסידים”, אות </w:t>
      </w:r>
      <w:proofErr w:type="spellStart"/>
      <w:r>
        <w:rPr>
          <w:sz w:val="20"/>
          <w:szCs w:val="20"/>
          <w:rtl/>
        </w:rPr>
        <w:t>תתשא</w:t>
      </w:r>
      <w:proofErr w:type="spellEnd"/>
      <w:r>
        <w:rPr>
          <w:sz w:val="20"/>
          <w:szCs w:val="20"/>
          <w:rtl/>
        </w:rPr>
        <w:t>: “כמו שמנהג הנכרים כן מנהגי היהודים ברוב המקומות”; וכן מכות ח׳ ע״ב: “הרב הרודה את תלמידו”.</w:t>
      </w:r>
    </w:p>
  </w:footnote>
  <w:footnote w:id="3930">
    <w:p w14:paraId="5AE7CB00" w14:textId="77777777" w:rsidR="00AB3647" w:rsidRDefault="00000000">
      <w:pPr>
        <w:spacing w:after="0" w:before="0"/>
        <w:jc w:val="both"/>
      </w:pPr>
      <w:r>
        <w:rPr>
          <w:sz w:val="20"/>
          <w:szCs w:val="20"/>
          <w:rtl/>
        </w:rPr>
        <w:footnoteRef/>
      </w:r>
      <w:r>
        <w:rPr>
          <w:sz w:val="20"/>
          <w:szCs w:val="20"/>
          <w:rtl/>
        </w:rPr>
        <w:t>. עמ׳ 30.</w:t>
      </w:r>
    </w:p>
  </w:footnote>
  <w:footnote w:id="3931">
    <w:p w14:paraId="0963952C" w14:textId="77777777" w:rsidR="00AB3647" w:rsidRDefault="00000000">
      <w:pPr>
        <w:spacing w:after="0" w:before="0"/>
        <w:jc w:val="both"/>
      </w:pPr>
      <w:r>
        <w:rPr>
          <w:sz w:val="20"/>
          <w:szCs w:val="20"/>
          <w:rtl/>
        </w:rPr>
        <w:footnoteRef/>
      </w:r>
      <w:r>
        <w:rPr>
          <w:sz w:val="20"/>
          <w:szCs w:val="20"/>
          <w:rtl/>
        </w:rPr>
        <w:t>. עמ׳ 59 ו־60.</w:t>
      </w:r>
    </w:p>
  </w:footnote>
  <w:footnote w:id="3932">
    <w:p w14:paraId="4C5E681D" w14:textId="77777777" w:rsidR="00AB3647" w:rsidRDefault="00000000">
      <w:pPr>
        <w:spacing w:after="0" w:before="0"/>
        <w:jc w:val="both"/>
      </w:pPr>
      <w:r>
        <w:rPr>
          <w:sz w:val="20"/>
          <w:szCs w:val="20"/>
          <w:rtl/>
        </w:rPr>
        <w:footnoteRef/>
      </w:r>
      <w:r>
        <w:rPr>
          <w:sz w:val="20"/>
          <w:szCs w:val="20"/>
          <w:rtl/>
        </w:rPr>
        <w:t>. הערה 33 לעיל, עמ׳ 74–75.</w:t>
      </w:r>
    </w:p>
  </w:footnote>
  <w:footnote w:id="3933">
    <w:p w14:paraId="5CCD040A" w14:textId="77777777" w:rsidR="00AB3647" w:rsidRDefault="00000000">
      <w:pPr>
        <w:spacing w:after="0" w:before="0"/>
        <w:jc w:val="both"/>
      </w:pPr>
      <w:r>
        <w:rPr>
          <w:sz w:val="20"/>
          <w:szCs w:val="20"/>
          <w:rtl/>
        </w:rPr>
        <w:footnoteRef/>
      </w:r>
      <w:r>
        <w:rPr>
          <w:sz w:val="20"/>
          <w:szCs w:val="20"/>
          <w:rtl/>
        </w:rPr>
        <w:t xml:space="preserve">. להלן: “מאמר </w:t>
      </w:r>
      <w:proofErr w:type="spellStart"/>
      <w:r>
        <w:rPr>
          <w:sz w:val="20"/>
          <w:szCs w:val="20"/>
          <w:rtl/>
        </w:rPr>
        <w:t>ציטרון</w:t>
      </w:r>
      <w:proofErr w:type="spellEnd"/>
      <w:r>
        <w:rPr>
          <w:sz w:val="20"/>
          <w:szCs w:val="20"/>
          <w:rtl/>
        </w:rPr>
        <w:t>”.</w:t>
      </w:r>
    </w:p>
  </w:footnote>
  <w:footnote w:id="3934">
    <w:p w14:paraId="4020D5DD" w14:textId="77777777" w:rsidR="00AB3647" w:rsidRDefault="00000000">
      <w:pPr>
        <w:spacing w:after="0" w:before="0"/>
        <w:jc w:val="both"/>
      </w:pPr>
      <w:r>
        <w:rPr>
          <w:sz w:val="20"/>
          <w:szCs w:val="20"/>
          <w:rtl/>
        </w:rPr>
        <w:footnoteRef/>
      </w:r>
      <w:r>
        <w:rPr>
          <w:sz w:val="20"/>
          <w:szCs w:val="20"/>
          <w:rtl/>
        </w:rPr>
        <w:t>. בעמ׳ 59.</w:t>
      </w:r>
    </w:p>
  </w:footnote>
  <w:footnote w:id="3935">
    <w:p w14:paraId="46B95E25" w14:textId="77777777" w:rsidR="00AB3647" w:rsidRDefault="00000000">
      <w:pPr>
        <w:spacing w:after="0" w:before="0"/>
        <w:jc w:val="both"/>
      </w:pPr>
      <w:r>
        <w:rPr>
          <w:sz w:val="20"/>
          <w:szCs w:val="20"/>
          <w:rtl/>
        </w:rPr>
        <w:footnoteRef/>
      </w:r>
      <w:r>
        <w:rPr>
          <w:sz w:val="20"/>
          <w:szCs w:val="20"/>
          <w:rtl/>
        </w:rPr>
        <w:t>. בעמ׳ 60.</w:t>
      </w:r>
    </w:p>
  </w:footnote>
  <w:footnote w:id="3936">
    <w:p w14:paraId="505D89A2" w14:textId="77777777" w:rsidR="00AB3647" w:rsidRDefault="00000000">
      <w:pPr>
        <w:spacing w:after="0" w:before="0"/>
        <w:jc w:val="both"/>
      </w:pPr>
      <w:r>
        <w:rPr>
          <w:sz w:val="20"/>
          <w:szCs w:val="20"/>
          <w:rtl/>
        </w:rPr>
        <w:footnoteRef/>
      </w:r>
      <w:r>
        <w:rPr>
          <w:sz w:val="20"/>
          <w:szCs w:val="20"/>
          <w:rtl/>
        </w:rPr>
        <w:t xml:space="preserve">. “ר׳ משה שמואל ודורו” אינו מבהיר כאן לאיזו משתי פעולות התספורת התנגד </w:t>
      </w:r>
      <w:proofErr w:type="spellStart"/>
      <w:r>
        <w:rPr>
          <w:sz w:val="20"/>
          <w:szCs w:val="20"/>
          <w:rtl/>
        </w:rPr>
        <w:t>הנצי״ב</w:t>
      </w:r>
      <w:proofErr w:type="spellEnd"/>
      <w:r>
        <w:rPr>
          <w:sz w:val="20"/>
          <w:szCs w:val="20"/>
          <w:rtl/>
        </w:rPr>
        <w:t xml:space="preserve">. מקורו העיקרי, כפי שהוא עצמו מציין, הוא מאמר </w:t>
      </w:r>
      <w:proofErr w:type="spellStart"/>
      <w:r>
        <w:rPr>
          <w:sz w:val="20"/>
          <w:szCs w:val="20"/>
          <w:rtl/>
        </w:rPr>
        <w:t>ב“הצפירה</w:t>
      </w:r>
      <w:proofErr w:type="spellEnd"/>
      <w:r>
        <w:rPr>
          <w:sz w:val="20"/>
          <w:szCs w:val="20"/>
          <w:rtl/>
        </w:rPr>
        <w:t xml:space="preserve">” מא׳ בסיוון תרע״ו מאת מ׳ </w:t>
      </w:r>
      <w:proofErr w:type="spellStart"/>
      <w:r>
        <w:rPr>
          <w:sz w:val="20"/>
          <w:szCs w:val="20"/>
          <w:rtl/>
        </w:rPr>
        <w:t>אייזנשטאדט</w:t>
      </w:r>
      <w:proofErr w:type="spellEnd"/>
      <w:r>
        <w:rPr>
          <w:sz w:val="20"/>
          <w:szCs w:val="20"/>
          <w:rtl/>
        </w:rPr>
        <w:t xml:space="preserve">, שלמד </w:t>
      </w:r>
      <w:proofErr w:type="spellStart"/>
      <w:r>
        <w:rPr>
          <w:sz w:val="20"/>
          <w:szCs w:val="20"/>
          <w:rtl/>
        </w:rPr>
        <w:t>בוולוז׳ין</w:t>
      </w:r>
      <w:proofErr w:type="spellEnd"/>
      <w:r>
        <w:rPr>
          <w:sz w:val="20"/>
          <w:szCs w:val="20"/>
          <w:rtl/>
        </w:rPr>
        <w:t xml:space="preserve"> שלושה עשורים קודם לכן. המאמר מבהיר כבר בפתיחתו שמה שעורר את כעס </w:t>
      </w:r>
      <w:proofErr w:type="spellStart"/>
      <w:r>
        <w:rPr>
          <w:sz w:val="20"/>
          <w:szCs w:val="20"/>
          <w:rtl/>
        </w:rPr>
        <w:t>הנצי״ב</w:t>
      </w:r>
      <w:proofErr w:type="spellEnd"/>
      <w:r>
        <w:rPr>
          <w:sz w:val="20"/>
          <w:szCs w:val="20"/>
          <w:rtl/>
        </w:rPr>
        <w:t xml:space="preserve"> הוא “השחתה” של הפאות (ראה ויקרא </w:t>
      </w:r>
      <w:proofErr w:type="spellStart"/>
      <w:r>
        <w:rPr>
          <w:sz w:val="20"/>
          <w:szCs w:val="20"/>
          <w:rtl/>
        </w:rPr>
        <w:t>יט</w:t>
      </w:r>
      <w:proofErr w:type="spellEnd"/>
      <w:r>
        <w:rPr>
          <w:sz w:val="20"/>
          <w:szCs w:val="20"/>
          <w:rtl/>
        </w:rPr>
        <w:t xml:space="preserve">, </w:t>
      </w:r>
      <w:proofErr w:type="spellStart"/>
      <w:r>
        <w:rPr>
          <w:sz w:val="20"/>
          <w:szCs w:val="20"/>
          <w:rtl/>
        </w:rPr>
        <w:t>כז</w:t>
      </w:r>
      <w:proofErr w:type="spellEnd"/>
      <w:r>
        <w:rPr>
          <w:sz w:val="20"/>
          <w:szCs w:val="20"/>
          <w:rtl/>
        </w:rPr>
        <w:t>).</w:t>
      </w:r>
    </w:p>
  </w:footnote>
  <w:footnote w:id="3937">
    <w:p w14:paraId="2F75DDAD" w14:textId="77777777" w:rsidR="00AB3647" w:rsidRDefault="00000000">
      <w:pPr>
        <w:spacing w:after="0" w:before="0"/>
        <w:jc w:val="both"/>
      </w:pPr>
      <w:r>
        <w:rPr>
          <w:sz w:val="20"/>
          <w:szCs w:val="20"/>
          <w:rtl/>
        </w:rPr>
        <w:footnoteRef/>
      </w:r>
      <w:r>
        <w:rPr>
          <w:sz w:val="20"/>
          <w:szCs w:val="20"/>
          <w:rtl/>
        </w:rPr>
        <w:t xml:space="preserve">. </w:t>
      </w:r>
      <w:proofErr w:type="spellStart"/>
      <w:r>
        <w:rPr>
          <w:sz w:val="20"/>
          <w:szCs w:val="20"/>
          <w:rtl/>
        </w:rPr>
        <w:t>ל“ר</w:t>
      </w:r>
      <w:proofErr w:type="spellEnd"/>
      <w:r>
        <w:rPr>
          <w:sz w:val="20"/>
          <w:szCs w:val="20"/>
          <w:rtl/>
        </w:rPr>
        <w:t xml:space="preserve">׳ משה שמואל ודורו” ודאי היו גם מקורות לסיפור מלבד מאמר “הצפירה”, שכן עיר מוצאו של התלמיד שנענש אינה נזכרת בו, ופרטי התנצלותו הפומבית המאוחרת של </w:t>
      </w:r>
      <w:proofErr w:type="spellStart"/>
      <w:r>
        <w:rPr>
          <w:sz w:val="20"/>
          <w:szCs w:val="20"/>
          <w:rtl/>
        </w:rPr>
        <w:t>הנצי״ב</w:t>
      </w:r>
      <w:proofErr w:type="spellEnd"/>
      <w:r>
        <w:rPr>
          <w:sz w:val="20"/>
          <w:szCs w:val="20"/>
          <w:rtl/>
        </w:rPr>
        <w:t xml:space="preserve"> אינם זהים במאמר ובספר.</w:t>
      </w:r>
    </w:p>
  </w:footnote>
  <w:footnote w:id="3938">
    <w:p w14:paraId="57C5F6CF" w14:textId="77777777" w:rsidR="00AB3647" w:rsidRDefault="00000000">
      <w:pPr>
        <w:spacing w:after="0" w:before="0"/>
        <w:jc w:val="both"/>
      </w:pPr>
      <w:r>
        <w:rPr>
          <w:sz w:val="20"/>
          <w:szCs w:val="20"/>
          <w:rtl/>
        </w:rPr>
        <w:footnoteRef/>
      </w:r>
      <w:r>
        <w:rPr>
          <w:sz w:val="20"/>
          <w:szCs w:val="20"/>
          <w:rtl/>
        </w:rPr>
        <w:t>. ראה פרק 3, הערה 93.</w:t>
      </w:r>
    </w:p>
  </w:footnote>
  <w:footnote w:id="3939">
    <w:p w14:paraId="609A4F8B" w14:textId="77777777" w:rsidR="00AB3647" w:rsidRDefault="00000000">
      <w:pPr>
        <w:spacing w:after="0" w:before="0"/>
        <w:jc w:val="both"/>
      </w:pPr>
      <w:r>
        <w:rPr>
          <w:sz w:val="20"/>
          <w:szCs w:val="20"/>
          <w:rtl/>
        </w:rPr>
        <w:footnoteRef/>
      </w:r>
      <w:r>
        <w:rPr>
          <w:sz w:val="20"/>
          <w:szCs w:val="20"/>
          <w:rtl/>
        </w:rPr>
        <w:t xml:space="preserve">. אמירה זו נראית שגויה לפי המידע המובא כאן: כפי שמוכיח הכינוי המיוחד שניתן לתלמיד שקיבל סטירה, כמובא להלן, התופעה התרחשה בוודאי יותר מפעם אחת בשלושים ותשע שנות כהונתו של </w:t>
      </w:r>
      <w:proofErr w:type="spellStart"/>
      <w:r>
        <w:rPr>
          <w:sz w:val="20"/>
          <w:szCs w:val="20"/>
          <w:rtl/>
        </w:rPr>
        <w:t>הנצי״ב</w:t>
      </w:r>
      <w:proofErr w:type="spellEnd"/>
      <w:r>
        <w:rPr>
          <w:sz w:val="20"/>
          <w:szCs w:val="20"/>
          <w:rtl/>
        </w:rPr>
        <w:t xml:space="preserve"> כראש הישיבה.</w:t>
      </w:r>
    </w:p>
  </w:footnote>
  <w:footnote w:id="3940">
    <w:p w14:paraId="1AEA7A5D" w14:textId="77777777" w:rsidR="00AB3647" w:rsidRDefault="00000000">
      <w:pPr>
        <w:spacing w:after="0" w:before="0"/>
        <w:jc w:val="both"/>
      </w:pPr>
      <w:r>
        <w:rPr>
          <w:sz w:val="20"/>
          <w:szCs w:val="20"/>
          <w:rtl/>
        </w:rPr>
        <w:footnoteRef/>
      </w:r>
      <w:r>
        <w:rPr>
          <w:sz w:val="20"/>
          <w:szCs w:val="20"/>
          <w:rtl/>
        </w:rPr>
        <w:t>. לא הצלחתי לברר פרטים נוספים על סופר זה.</w:t>
      </w:r>
    </w:p>
  </w:footnote>
  <w:footnote w:id="3941">
    <w:p w14:paraId="306506B8" w14:textId="77777777" w:rsidR="00AB3647" w:rsidRDefault="00000000">
      <w:pPr>
        <w:spacing w:after="0" w:before="0"/>
        <w:jc w:val="both"/>
      </w:pPr>
      <w:r>
        <w:rPr>
          <w:sz w:val="20"/>
          <w:szCs w:val="20"/>
          <w:rtl/>
        </w:rPr>
        <w:footnoteRef/>
      </w:r>
      <w:r>
        <w:rPr>
          <w:sz w:val="20"/>
          <w:szCs w:val="20"/>
          <w:rtl/>
        </w:rPr>
        <w:t>. על פי שבת ל׳ ע״א.</w:t>
      </w:r>
    </w:p>
  </w:footnote>
  <w:footnote w:id="3942">
    <w:p w14:paraId="2EBF9EE1" w14:textId="77777777" w:rsidR="00AB3647" w:rsidRDefault="00000000">
      <w:pPr>
        <w:spacing w:after="0" w:before="0"/>
        <w:jc w:val="both"/>
      </w:pPr>
      <w:r>
        <w:rPr>
          <w:sz w:val="20"/>
          <w:szCs w:val="20"/>
          <w:rtl/>
        </w:rPr>
        <w:footnoteRef/>
      </w:r>
      <w:r>
        <w:rPr>
          <w:sz w:val="20"/>
          <w:szCs w:val="20"/>
          <w:rtl/>
        </w:rPr>
        <w:t xml:space="preserve">. ראה להלן: זיכרונותיו של </w:t>
      </w:r>
      <w:proofErr w:type="spellStart"/>
      <w:r>
        <w:rPr>
          <w:sz w:val="20"/>
          <w:szCs w:val="20"/>
          <w:rtl/>
        </w:rPr>
        <w:t>יהושע־לייב</w:t>
      </w:r>
      <w:proofErr w:type="spellEnd"/>
      <w:r>
        <w:rPr>
          <w:sz w:val="20"/>
          <w:szCs w:val="20"/>
          <w:rtl/>
        </w:rPr>
        <w:t xml:space="preserve"> </w:t>
      </w:r>
      <w:proofErr w:type="spellStart"/>
      <w:r>
        <w:rPr>
          <w:sz w:val="20"/>
          <w:szCs w:val="20"/>
          <w:rtl/>
        </w:rPr>
        <w:t>ראדוס</w:t>
      </w:r>
      <w:proofErr w:type="spellEnd"/>
      <w:r>
        <w:rPr>
          <w:sz w:val="20"/>
          <w:szCs w:val="20"/>
          <w:rtl/>
        </w:rPr>
        <w:t xml:space="preserve">, בתיאור ההבדלים בין </w:t>
      </w:r>
      <w:proofErr w:type="spellStart"/>
      <w:r>
        <w:rPr>
          <w:sz w:val="20"/>
          <w:szCs w:val="20"/>
          <w:rtl/>
        </w:rPr>
        <w:t>הנצי״ב</w:t>
      </w:r>
      <w:proofErr w:type="spellEnd"/>
      <w:r>
        <w:rPr>
          <w:sz w:val="20"/>
          <w:szCs w:val="20"/>
          <w:rtl/>
        </w:rPr>
        <w:t xml:space="preserve"> לבין ר׳ חיים </w:t>
      </w:r>
      <w:proofErr w:type="spellStart"/>
      <w:r>
        <w:rPr>
          <w:sz w:val="20"/>
          <w:szCs w:val="20"/>
          <w:rtl/>
        </w:rPr>
        <w:t>סולובייצ׳יק</w:t>
      </w:r>
      <w:proofErr w:type="spellEnd"/>
      <w:r>
        <w:rPr>
          <w:sz w:val="20"/>
          <w:szCs w:val="20"/>
          <w:rtl/>
        </w:rPr>
        <w:t>, מתארים את הראשון כחסר רחמים.</w:t>
      </w:r>
    </w:p>
  </w:footnote>
  <w:footnote w:id="3943">
    <w:p w14:paraId="083EF602" w14:textId="77777777" w:rsidR="00AB3647" w:rsidRDefault="00000000">
      <w:pPr>
        <w:spacing w:after="0" w:before="0"/>
        <w:jc w:val="both"/>
      </w:pPr>
      <w:r>
        <w:rPr>
          <w:sz w:val="20"/>
          <w:szCs w:val="20"/>
          <w:rtl/>
        </w:rPr>
        <w:footnoteRef/>
      </w:r>
      <w:r>
        <w:rPr>
          <w:sz w:val="20"/>
          <w:szCs w:val="20"/>
          <w:rtl/>
        </w:rPr>
        <w:t xml:space="preserve">. ראה סוף נספח </w:t>
      </w:r>
      <w:proofErr w:type="spellStart"/>
      <w:r>
        <w:rPr>
          <w:sz w:val="20"/>
          <w:szCs w:val="20"/>
          <w:rtl/>
        </w:rPr>
        <w:t>יג</w:t>
      </w:r>
      <w:proofErr w:type="spellEnd"/>
      <w:r>
        <w:rPr>
          <w:sz w:val="20"/>
          <w:szCs w:val="20"/>
          <w:rtl/>
        </w:rPr>
        <w:t xml:space="preserve"> להלן.</w:t>
      </w:r>
    </w:p>
  </w:footnote>
  <w:footnote w:id="3944">
    <w:p w14:paraId="72705D27" w14:textId="77777777" w:rsidR="00AB3647" w:rsidRDefault="00000000">
      <w:pPr>
        <w:spacing w:after="0" w:before="0"/>
        <w:jc w:val="both"/>
      </w:pPr>
      <w:r>
        <w:rPr>
          <w:sz w:val="20"/>
          <w:szCs w:val="20"/>
          <w:rtl/>
        </w:rPr>
        <w:footnoteRef/>
      </w:r>
      <w:r>
        <w:rPr>
          <w:sz w:val="20"/>
          <w:szCs w:val="20"/>
          <w:rtl/>
        </w:rPr>
        <w:t xml:space="preserve">. להלן: בר </w:t>
      </w:r>
      <w:proofErr w:type="spellStart"/>
      <w:r>
        <w:rPr>
          <w:sz w:val="20"/>
          <w:szCs w:val="20"/>
          <w:rtl/>
        </w:rPr>
        <w:t>בי־רב</w:t>
      </w:r>
      <w:proofErr w:type="spellEnd"/>
      <w:r>
        <w:rPr>
          <w:sz w:val="20"/>
          <w:szCs w:val="20"/>
          <w:rtl/>
        </w:rPr>
        <w:t>.</w:t>
      </w:r>
    </w:p>
  </w:footnote>
  <w:footnote w:id="3945">
    <w:p w14:paraId="5BB2845F" w14:textId="77777777" w:rsidR="00AB3647" w:rsidRDefault="00000000">
      <w:pPr>
        <w:spacing w:after="0" w:before="0"/>
        <w:jc w:val="both"/>
      </w:pPr>
      <w:r>
        <w:rPr>
          <w:sz w:val="20"/>
          <w:szCs w:val="20"/>
          <w:rtl/>
        </w:rPr>
        <w:footnoteRef/>
      </w:r>
      <w:r>
        <w:rPr>
          <w:sz w:val="20"/>
          <w:szCs w:val="20"/>
          <w:rtl/>
        </w:rPr>
        <w:t>. גיליון ח׳ בניסן תרמ״ה.</w:t>
      </w:r>
    </w:p>
  </w:footnote>
  <w:footnote w:id="3946">
    <w:p w14:paraId="6A8D1D3B" w14:textId="77777777" w:rsidR="00AB3647" w:rsidRDefault="00000000">
      <w:pPr>
        <w:spacing w:after="0" w:before="0"/>
        <w:jc w:val="both"/>
      </w:pPr>
      <w:r>
        <w:rPr>
          <w:sz w:val="20"/>
          <w:szCs w:val="20"/>
          <w:rtl/>
        </w:rPr>
        <w:footnoteRef/>
      </w:r>
      <w:r>
        <w:rPr>
          <w:sz w:val="20"/>
          <w:szCs w:val="20"/>
          <w:rtl/>
        </w:rPr>
        <w:t xml:space="preserve">. “בעלי </w:t>
      </w:r>
      <w:proofErr w:type="spellStart"/>
      <w:r>
        <w:rPr>
          <w:sz w:val="20"/>
          <w:szCs w:val="20"/>
          <w:rtl/>
        </w:rPr>
        <w:t>אגרופין</w:t>
      </w:r>
      <w:proofErr w:type="spellEnd"/>
      <w:r>
        <w:rPr>
          <w:sz w:val="20"/>
          <w:szCs w:val="20"/>
          <w:rtl/>
        </w:rPr>
        <w:t xml:space="preserve"> של בית דוד”; ראה קידושין, סוף ע״ו ע״ב.</w:t>
      </w:r>
    </w:p>
  </w:footnote>
  <w:footnote w:id="3947">
    <w:p w14:paraId="42A74FC7" w14:textId="77777777" w:rsidR="00AB3647" w:rsidRDefault="00000000">
      <w:pPr>
        <w:spacing w:after="0" w:before="0"/>
        <w:jc w:val="both"/>
      </w:pPr>
      <w:r>
        <w:rPr>
          <w:sz w:val="20"/>
          <w:szCs w:val="20"/>
          <w:rtl/>
        </w:rPr>
        <w:footnoteRef/>
      </w:r>
      <w:r>
        <w:rPr>
          <w:sz w:val="20"/>
          <w:szCs w:val="20"/>
          <w:rtl/>
        </w:rPr>
        <w:t>. הכותב מכנה את “בית הרב”, ראה פרק 3, הערה 11, במונחי המלכות היהודית – כנראה בלשון סאטירית.</w:t>
      </w:r>
    </w:p>
  </w:footnote>
  <w:footnote w:id="3948">
    <w:p w14:paraId="27AC5BFD" w14:textId="77777777" w:rsidR="00AB3647" w:rsidRDefault="00000000">
      <w:pPr>
        <w:spacing w:after="0" w:before="0"/>
        <w:jc w:val="both"/>
      </w:pPr>
      <w:r>
        <w:rPr>
          <w:sz w:val="20"/>
          <w:szCs w:val="20"/>
          <w:rtl/>
        </w:rPr>
        <w:footnoteRef/>
      </w:r>
      <w:r>
        <w:rPr>
          <w:sz w:val="20"/>
          <w:szCs w:val="20"/>
          <w:rtl/>
        </w:rPr>
        <w:t xml:space="preserve">. הוצאת עם הספר, תל אביב, </w:t>
      </w:r>
      <w:proofErr w:type="spellStart"/>
      <w:r>
        <w:rPr>
          <w:sz w:val="20"/>
          <w:szCs w:val="20"/>
          <w:rtl/>
        </w:rPr>
        <w:t>תש״ך</w:t>
      </w:r>
      <w:proofErr w:type="spellEnd"/>
      <w:r>
        <w:rPr>
          <w:sz w:val="20"/>
          <w:szCs w:val="20"/>
          <w:rtl/>
        </w:rPr>
        <w:t>, עמ׳ 193.</w:t>
      </w:r>
    </w:p>
  </w:footnote>
  <w:footnote w:id="3949">
    <w:p w14:paraId="1A51B275" w14:textId="77777777" w:rsidR="00AB3647" w:rsidRDefault="00000000">
      <w:pPr>
        <w:spacing w:after="0" w:before="0"/>
        <w:jc w:val="both"/>
      </w:pPr>
      <w:r>
        <w:rPr>
          <w:sz w:val="20"/>
          <w:szCs w:val="20"/>
          <w:rtl/>
        </w:rPr>
        <w:footnoteRef/>
      </w:r>
      <w:r>
        <w:rPr>
          <w:sz w:val="20"/>
          <w:szCs w:val="20"/>
          <w:rtl/>
        </w:rPr>
        <w:t xml:space="preserve">. האספה מתוארת בהרחבה </w:t>
      </w:r>
      <w:proofErr w:type="spellStart"/>
      <w:r>
        <w:rPr>
          <w:sz w:val="20"/>
          <w:szCs w:val="20"/>
          <w:rtl/>
        </w:rPr>
        <w:t>ב“הראשון</w:t>
      </w:r>
      <w:proofErr w:type="spellEnd"/>
      <w:r>
        <w:rPr>
          <w:sz w:val="20"/>
          <w:szCs w:val="20"/>
          <w:rtl/>
        </w:rPr>
        <w:t>”, עמ׳ 381–390.</w:t>
      </w:r>
    </w:p>
  </w:footnote>
  <w:footnote w:id="3950">
    <w:p w14:paraId="4B37F929" w14:textId="77777777" w:rsidR="00AB3647" w:rsidRDefault="00000000">
      <w:pPr>
        <w:spacing w:after="0" w:before="0"/>
        <w:jc w:val="both"/>
      </w:pPr>
      <w:r>
        <w:rPr>
          <w:sz w:val="20"/>
          <w:szCs w:val="20"/>
          <w:rtl/>
        </w:rPr>
        <w:footnoteRef/>
      </w:r>
      <w:r>
        <w:rPr>
          <w:sz w:val="20"/>
          <w:szCs w:val="20"/>
          <w:rtl/>
        </w:rPr>
        <w:t xml:space="preserve">. שמונה שנים קודם לכן הבטיח </w:t>
      </w:r>
      <w:proofErr w:type="spellStart"/>
      <w:r>
        <w:rPr>
          <w:sz w:val="20"/>
          <w:szCs w:val="20"/>
          <w:rtl/>
        </w:rPr>
        <w:t>הנצי״ב</w:t>
      </w:r>
      <w:proofErr w:type="spellEnd"/>
      <w:r>
        <w:rPr>
          <w:sz w:val="20"/>
          <w:szCs w:val="20"/>
          <w:rtl/>
        </w:rPr>
        <w:t xml:space="preserve"> לשלטונות רוסיה לעשות זאת.</w:t>
      </w:r>
    </w:p>
  </w:footnote>
  <w:footnote w:id="3951">
    <w:p w14:paraId="3D5E7EC0" w14:textId="77777777" w:rsidR="00AB3647" w:rsidRDefault="00000000">
      <w:pPr>
        <w:spacing w:after="0" w:before="0"/>
        <w:jc w:val="both"/>
      </w:pPr>
      <w:r>
        <w:rPr>
          <w:sz w:val="20"/>
          <w:szCs w:val="20"/>
          <w:rtl/>
        </w:rPr>
        <w:footnoteRef/>
      </w:r>
      <w:r>
        <w:rPr>
          <w:sz w:val="20"/>
          <w:szCs w:val="20"/>
          <w:rtl/>
        </w:rPr>
        <w:t>. דביר, תל אביב, תרצ״ה, עמ׳ 233.</w:t>
      </w:r>
    </w:p>
  </w:footnote>
  <w:footnote w:id="3952">
    <w:p w14:paraId="6D3151F5" w14:textId="77777777" w:rsidR="00AB3647" w:rsidRDefault="00000000">
      <w:pPr>
        <w:spacing w:after="0" w:before="0"/>
        <w:jc w:val="both"/>
      </w:pPr>
      <w:r>
        <w:rPr>
          <w:sz w:val="20"/>
          <w:szCs w:val="20"/>
          <w:rtl/>
        </w:rPr>
        <w:footnoteRef/>
      </w:r>
      <w:r>
        <w:rPr>
          <w:sz w:val="20"/>
          <w:szCs w:val="20"/>
          <w:rtl/>
        </w:rPr>
        <w:t xml:space="preserve">. בעריכת פ׳ לחובר, הוצאת דביר, תל אביב; להלן “אגרות חיים נחמן ביאליק”, עמ׳ </w:t>
      </w:r>
      <w:proofErr w:type="spellStart"/>
      <w:r>
        <w:rPr>
          <w:sz w:val="20"/>
          <w:szCs w:val="20"/>
          <w:rtl/>
        </w:rPr>
        <w:t>קסח</w:t>
      </w:r>
      <w:proofErr w:type="spellEnd"/>
      <w:r>
        <w:rPr>
          <w:sz w:val="20"/>
          <w:szCs w:val="20"/>
          <w:rtl/>
        </w:rPr>
        <w:t>.</w:t>
      </w:r>
    </w:p>
  </w:footnote>
  <w:footnote w:id="3953">
    <w:p w14:paraId="1822056A" w14:textId="77777777" w:rsidR="00AB3647" w:rsidRDefault="00000000">
      <w:pPr>
        <w:spacing w:after="0" w:before="0"/>
        <w:jc w:val="both"/>
      </w:pPr>
      <w:r>
        <w:rPr>
          <w:sz w:val="20"/>
          <w:szCs w:val="20"/>
          <w:rtl/>
        </w:rPr>
        <w:footnoteRef/>
      </w:r>
      <w:r>
        <w:rPr>
          <w:sz w:val="20"/>
          <w:szCs w:val="20"/>
          <w:rtl/>
        </w:rPr>
        <w:t>. תוכנית האגודה האחות, בני משה, מתוארת בעמ׳ 190–192 של “</w:t>
      </w:r>
      <w:proofErr w:type="spellStart"/>
      <w:r>
        <w:rPr>
          <w:sz w:val="20"/>
          <w:szCs w:val="20"/>
          <w:rtl/>
        </w:rPr>
        <w:t>זכרונות</w:t>
      </w:r>
      <w:proofErr w:type="spellEnd"/>
      <w:r>
        <w:rPr>
          <w:sz w:val="20"/>
          <w:szCs w:val="20"/>
          <w:rtl/>
        </w:rPr>
        <w:t xml:space="preserve">”, סוף נספח ז לעיל, ומטרתה </w:t>
      </w:r>
      <w:proofErr w:type="spellStart"/>
      <w:r>
        <w:rPr>
          <w:sz w:val="20"/>
          <w:szCs w:val="20"/>
          <w:rtl/>
        </w:rPr>
        <w:t>האנטי־תורנית</w:t>
      </w:r>
      <w:proofErr w:type="spellEnd"/>
      <w:r>
        <w:rPr>
          <w:sz w:val="20"/>
          <w:szCs w:val="20"/>
          <w:rtl/>
        </w:rPr>
        <w:t xml:space="preserve"> נדונה בכל כתבי </w:t>
      </w:r>
      <w:proofErr w:type="spellStart"/>
      <w:r>
        <w:rPr>
          <w:sz w:val="20"/>
          <w:szCs w:val="20"/>
          <w:rtl/>
        </w:rPr>
        <w:t>ח״ח</w:t>
      </w:r>
      <w:proofErr w:type="spellEnd"/>
      <w:r>
        <w:rPr>
          <w:sz w:val="20"/>
          <w:szCs w:val="20"/>
          <w:rtl/>
        </w:rPr>
        <w:t>, הערה 8 לעיל, עמ׳ 79.</w:t>
      </w:r>
    </w:p>
  </w:footnote>
  <w:footnote w:id="3954">
    <w:p w14:paraId="6C366C14" w14:textId="77777777" w:rsidR="00AB3647" w:rsidRDefault="00000000">
      <w:pPr>
        <w:spacing w:after="0" w:before="0"/>
        <w:jc w:val="both"/>
      </w:pPr>
      <w:r>
        <w:rPr>
          <w:sz w:val="20"/>
          <w:szCs w:val="20"/>
          <w:rtl/>
        </w:rPr>
        <w:footnoteRef/>
      </w:r>
      <w:r>
        <w:rPr>
          <w:sz w:val="20"/>
          <w:szCs w:val="20"/>
          <w:rtl/>
        </w:rPr>
        <w:t>. המקור הנזכר בפרק 2, הערה 4, כרך א, עמ׳ 114.</w:t>
      </w:r>
    </w:p>
  </w:footnote>
  <w:footnote w:id="3955">
    <w:p w14:paraId="7EDD1A6C" w14:textId="77777777" w:rsidR="00AB3647" w:rsidRDefault="00000000">
      <w:pPr>
        <w:spacing w:after="0" w:before="0"/>
        <w:jc w:val="both"/>
      </w:pPr>
      <w:r>
        <w:rPr>
          <w:sz w:val="20"/>
          <w:szCs w:val="20"/>
          <w:rtl/>
        </w:rPr>
        <w:footnoteRef/>
      </w:r>
      <w:r>
        <w:rPr>
          <w:sz w:val="20"/>
          <w:szCs w:val="20"/>
          <w:rtl/>
        </w:rPr>
        <w:t xml:space="preserve">. ראה דניאל </w:t>
      </w:r>
      <w:proofErr w:type="spellStart"/>
      <w:r>
        <w:rPr>
          <w:sz w:val="20"/>
          <w:szCs w:val="20"/>
          <w:rtl/>
        </w:rPr>
        <w:t>יא:לב</w:t>
      </w:r>
      <w:proofErr w:type="spellEnd"/>
      <w:r>
        <w:rPr>
          <w:sz w:val="20"/>
          <w:szCs w:val="20"/>
          <w:rtl/>
        </w:rPr>
        <w:t>.</w:t>
      </w:r>
    </w:p>
  </w:footnote>
  <w:footnote w:id="3956">
    <w:p w14:paraId="034B9574" w14:textId="77777777" w:rsidR="00AB3647" w:rsidRDefault="00000000">
      <w:pPr>
        <w:spacing w:after="0" w:before="0"/>
        <w:jc w:val="both"/>
      </w:pPr>
      <w:r>
        <w:rPr>
          <w:sz w:val="20"/>
          <w:szCs w:val="20"/>
          <w:rtl/>
        </w:rPr>
        <w:footnoteRef/>
      </w:r>
      <w:r>
        <w:rPr>
          <w:sz w:val="20"/>
          <w:szCs w:val="20"/>
          <w:rtl/>
        </w:rPr>
        <w:t>. עמ׳ 116.</w:t>
      </w:r>
    </w:p>
  </w:footnote>
  <w:footnote w:id="3957">
    <w:p w14:paraId="05B12C21" w14:textId="77777777" w:rsidR="00AB3647" w:rsidRDefault="00000000">
      <w:pPr>
        <w:spacing w:after="0" w:before="0"/>
        <w:jc w:val="both"/>
      </w:pPr>
      <w:r>
        <w:rPr>
          <w:sz w:val="20"/>
          <w:szCs w:val="20"/>
          <w:rtl/>
        </w:rPr>
        <w:footnoteRef/>
      </w:r>
      <w:r>
        <w:rPr>
          <w:sz w:val="20"/>
          <w:szCs w:val="20"/>
          <w:rtl/>
        </w:rPr>
        <w:t>. עמ׳ 75.</w:t>
      </w:r>
    </w:p>
  </w:footnote>
  <w:footnote w:id="3958">
    <w:p w14:paraId="78F6AF2D" w14:textId="77777777" w:rsidR="00AB3647" w:rsidRDefault="00000000">
      <w:pPr>
        <w:spacing w:after="0" w:before="0"/>
        <w:jc w:val="both"/>
      </w:pPr>
      <w:r>
        <w:rPr>
          <w:sz w:val="20"/>
          <w:szCs w:val="20"/>
          <w:rtl/>
        </w:rPr>
        <w:footnoteRef/>
      </w:r>
      <w:r>
        <w:rPr>
          <w:sz w:val="20"/>
          <w:szCs w:val="20"/>
          <w:rtl/>
        </w:rPr>
        <w:t xml:space="preserve">. “שרידי אש”, עמ׳ שלט, מדבר על “ישיבות שסגרו דלתותיהן בפני שיטת המוסר </w:t>
      </w:r>
      <w:proofErr w:type="spellStart"/>
      <w:r>
        <w:rPr>
          <w:sz w:val="20"/>
          <w:szCs w:val="20"/>
          <w:rtl/>
        </w:rPr>
        <w:t>נדלדלו</w:t>
      </w:r>
      <w:proofErr w:type="spellEnd"/>
      <w:r>
        <w:rPr>
          <w:sz w:val="20"/>
          <w:szCs w:val="20"/>
          <w:rtl/>
        </w:rPr>
        <w:t xml:space="preserve"> ולבסוף נחרבו כמה מהן באשמת אחדים מתלמידיהן, שבעטו בתורה וירדו במוסריות והגיעו עד לידי הלשנה על ישיבותיהן בפני הרשות”. ואולם המשפט הבא, שבסוגריים – “דבר זה ידוע לבקיאים בתולדות הישיבות שלפני השואה ואין צורך בפירוט הדברים” – מרמז </w:t>
      </w:r>
      <w:proofErr w:type="spellStart"/>
      <w:r>
        <w:rPr>
          <w:sz w:val="20"/>
          <w:szCs w:val="20"/>
          <w:rtl/>
        </w:rPr>
        <w:t>ש“שרידי</w:t>
      </w:r>
      <w:proofErr w:type="spellEnd"/>
      <w:r>
        <w:rPr>
          <w:sz w:val="20"/>
          <w:szCs w:val="20"/>
          <w:rtl/>
        </w:rPr>
        <w:t xml:space="preserve"> אש” אינו מתייחס </w:t>
      </w:r>
      <w:proofErr w:type="spellStart"/>
      <w:r>
        <w:rPr>
          <w:sz w:val="20"/>
          <w:szCs w:val="20"/>
          <w:rtl/>
        </w:rPr>
        <w:t>לוולוז׳ין</w:t>
      </w:r>
      <w:proofErr w:type="spellEnd"/>
      <w:r>
        <w:rPr>
          <w:sz w:val="20"/>
          <w:szCs w:val="20"/>
          <w:rtl/>
        </w:rPr>
        <w:t xml:space="preserve"> של תרנ״ב ולרוסיה הצארית, אלא לתקופה שאחרי מלחמת העולם הראשונה ולשלטון הקומוניסטי.</w:t>
      </w:r>
    </w:p>
  </w:footnote>
  <w:footnote w:id="3959">
    <w:p w14:paraId="2AAB433B" w14:textId="77777777" w:rsidR="00AB3647" w:rsidRDefault="00000000">
      <w:pPr>
        <w:spacing w:after="0" w:before="0"/>
        <w:jc w:val="both"/>
      </w:pPr>
      <w:r>
        <w:rPr>
          <w:sz w:val="20"/>
          <w:szCs w:val="20"/>
          <w:rtl/>
        </w:rPr>
        <w:footnoteRef/>
      </w:r>
      <w:r>
        <w:rPr>
          <w:sz w:val="20"/>
          <w:szCs w:val="20"/>
          <w:rtl/>
        </w:rPr>
        <w:t>. המקור הנזכר בפרק 3, נספח א, עמ׳ 21.</w:t>
      </w:r>
    </w:p>
  </w:footnote>
  <w:footnote w:id="3960">
    <w:p w14:paraId="073EFCBD" w14:textId="77777777" w:rsidR="00AB3647" w:rsidRDefault="00000000">
      <w:pPr>
        <w:spacing w:after="0" w:before="0"/>
        <w:jc w:val="both"/>
      </w:pPr>
      <w:r>
        <w:rPr>
          <w:sz w:val="20"/>
          <w:szCs w:val="20"/>
          <w:rtl/>
        </w:rPr>
        <w:footnoteRef/>
      </w:r>
      <w:r>
        <w:rPr>
          <w:sz w:val="20"/>
          <w:szCs w:val="20"/>
          <w:rtl/>
        </w:rPr>
        <w:t>. על פי פסחים, סוף ל״ב ע״ב.</w:t>
      </w:r>
    </w:p>
  </w:footnote>
  <w:footnote w:id="3961">
    <w:p w14:paraId="16728B05" w14:textId="77777777" w:rsidR="00AB3647" w:rsidRDefault="00000000">
      <w:pPr>
        <w:spacing w:after="0" w:before="0"/>
        <w:jc w:val="both"/>
      </w:pPr>
      <w:r>
        <w:rPr>
          <w:sz w:val="20"/>
          <w:szCs w:val="20"/>
          <w:rtl/>
        </w:rPr>
        <w:footnoteRef/>
      </w:r>
      <w:r>
        <w:rPr>
          <w:sz w:val="20"/>
          <w:szCs w:val="20"/>
          <w:rtl/>
        </w:rPr>
        <w:t>. עמ׳ 293.</w:t>
      </w:r>
    </w:p>
  </w:footnote>
  <w:footnote w:id="3962">
    <w:p w14:paraId="434C06AC" w14:textId="77777777" w:rsidR="00AB3647" w:rsidRDefault="00000000">
      <w:pPr>
        <w:spacing w:after="0" w:before="0"/>
        <w:jc w:val="both"/>
      </w:pPr>
      <w:r>
        <w:rPr>
          <w:sz w:val="20"/>
          <w:szCs w:val="20"/>
          <w:rtl/>
        </w:rPr>
        <w:footnoteRef/>
      </w:r>
      <w:r>
        <w:rPr>
          <w:sz w:val="20"/>
          <w:szCs w:val="20"/>
          <w:rtl/>
        </w:rPr>
        <w:t xml:space="preserve">. שמעתי שר׳ אליהו </w:t>
      </w:r>
      <w:proofErr w:type="spellStart"/>
      <w:r>
        <w:rPr>
          <w:sz w:val="20"/>
          <w:szCs w:val="20"/>
          <w:rtl/>
        </w:rPr>
        <w:t>לופיאן</w:t>
      </w:r>
      <w:proofErr w:type="spellEnd"/>
      <w:r>
        <w:rPr>
          <w:sz w:val="20"/>
          <w:szCs w:val="20"/>
          <w:rtl/>
        </w:rPr>
        <w:t xml:space="preserve"> העיר פעם </w:t>
      </w:r>
      <w:proofErr w:type="spellStart"/>
      <w:r>
        <w:rPr>
          <w:sz w:val="20"/>
          <w:szCs w:val="20"/>
          <w:rtl/>
        </w:rPr>
        <w:t>לר</w:t>
      </w:r>
      <w:proofErr w:type="spellEnd"/>
      <w:r>
        <w:rPr>
          <w:sz w:val="20"/>
          <w:szCs w:val="20"/>
          <w:rtl/>
        </w:rPr>
        <w:t xml:space="preserve">׳ יצחק־זאב </w:t>
      </w:r>
      <w:proofErr w:type="spellStart"/>
      <w:r>
        <w:rPr>
          <w:sz w:val="20"/>
          <w:szCs w:val="20"/>
          <w:rtl/>
        </w:rPr>
        <w:t>סולובייצ׳יק</w:t>
      </w:r>
      <w:proofErr w:type="spellEnd"/>
      <w:r>
        <w:rPr>
          <w:sz w:val="20"/>
          <w:szCs w:val="20"/>
          <w:rtl/>
        </w:rPr>
        <w:t xml:space="preserve"> שכמה מחידושי אביו, שנדפסו </w:t>
      </w:r>
      <w:proofErr w:type="spellStart"/>
      <w:r>
        <w:rPr>
          <w:sz w:val="20"/>
          <w:szCs w:val="20"/>
          <w:rtl/>
        </w:rPr>
        <w:t>ב“חידושי</w:t>
      </w:r>
      <w:proofErr w:type="spellEnd"/>
      <w:r>
        <w:rPr>
          <w:sz w:val="20"/>
          <w:szCs w:val="20"/>
          <w:rtl/>
        </w:rPr>
        <w:t xml:space="preserve"> רבנו חיים הלוי”, אינם ניתנים להבנה (ראה גם פרק 3, הפסקה השנייה בנספח </w:t>
      </w:r>
      <w:proofErr w:type="spellStart"/>
      <w:r>
        <w:rPr>
          <w:sz w:val="20"/>
          <w:szCs w:val="20"/>
          <w:rtl/>
        </w:rPr>
        <w:t>טז</w:t>
      </w:r>
      <w:proofErr w:type="spellEnd"/>
      <w:r>
        <w:rPr>
          <w:sz w:val="20"/>
          <w:szCs w:val="20"/>
          <w:rtl/>
        </w:rPr>
        <w:t xml:space="preserve">, המצטטת את מאמרו של ניסן וקסמן </w:t>
      </w:r>
      <w:proofErr w:type="spellStart"/>
      <w:r>
        <w:rPr>
          <w:sz w:val="20"/>
          <w:szCs w:val="20"/>
          <w:rtl/>
        </w:rPr>
        <w:t>ב“תלפיות</w:t>
      </w:r>
      <w:proofErr w:type="spellEnd"/>
      <w:r>
        <w:rPr>
          <w:sz w:val="20"/>
          <w:szCs w:val="20"/>
          <w:rtl/>
        </w:rPr>
        <w:t xml:space="preserve">” על קבלת הספר בציבור עם צאתו לאור). “אם כן, מדוע הכין אותם אביך לדפוס?” שאל ר׳ אלי׳ </w:t>
      </w:r>
      <w:proofErr w:type="spellStart"/>
      <w:r>
        <w:rPr>
          <w:sz w:val="20"/>
          <w:szCs w:val="20"/>
          <w:rtl/>
        </w:rPr>
        <w:t>לופיאן</w:t>
      </w:r>
      <w:proofErr w:type="spellEnd"/>
      <w:r>
        <w:rPr>
          <w:sz w:val="20"/>
          <w:szCs w:val="20"/>
          <w:rtl/>
        </w:rPr>
        <w:t xml:space="preserve">. ר׳ יצחק־זאב השיב שר׳ אלי׳ </w:t>
      </w:r>
      <w:proofErr w:type="spellStart"/>
      <w:r>
        <w:rPr>
          <w:sz w:val="20"/>
          <w:szCs w:val="20"/>
          <w:rtl/>
        </w:rPr>
        <w:t>לופיאן</w:t>
      </w:r>
      <w:proofErr w:type="spellEnd"/>
      <w:r>
        <w:rPr>
          <w:sz w:val="20"/>
          <w:szCs w:val="20"/>
          <w:rtl/>
        </w:rPr>
        <w:t xml:space="preserve"> צודק: לא היה צריך להדפיסם, ור׳ חיים לא העריך נכונה את הדור כשחשב שאנשים מסוגלים לתפוס את רעיונותיו. ר׳ אלי׳ </w:t>
      </w:r>
      <w:proofErr w:type="spellStart"/>
      <w:r>
        <w:rPr>
          <w:sz w:val="20"/>
          <w:szCs w:val="20"/>
          <w:rtl/>
        </w:rPr>
        <w:t>לופיאן</w:t>
      </w:r>
      <w:proofErr w:type="spellEnd"/>
      <w:r>
        <w:rPr>
          <w:sz w:val="20"/>
          <w:szCs w:val="20"/>
          <w:rtl/>
        </w:rPr>
        <w:t xml:space="preserve"> השיב: “אם כך, אולי גם לא העריך נכונה את הדור באשר לצורכה של ישיבת </w:t>
      </w:r>
      <w:proofErr w:type="spellStart"/>
      <w:r>
        <w:rPr>
          <w:sz w:val="20"/>
          <w:szCs w:val="20"/>
          <w:rtl/>
        </w:rPr>
        <w:t>וולוז׳ין</w:t>
      </w:r>
      <w:proofErr w:type="spellEnd"/>
      <w:r>
        <w:rPr>
          <w:sz w:val="20"/>
          <w:szCs w:val="20"/>
          <w:rtl/>
        </w:rPr>
        <w:t xml:space="preserve"> במוסר”.</w:t>
      </w:r>
    </w:p>
    <w:p w14:paraId="56A8D5BE" w14:textId="77777777" w:rsidR="00AB3647" w:rsidRDefault="00000000">
      <w:pPr>
        <w:spacing w:after="0" w:before="0"/>
        <w:jc w:val="both"/>
      </w:pPr>
      <w:r>
        <w:rPr>
          <w:sz w:val="20"/>
          <w:szCs w:val="20"/>
          <w:rtl/>
        </w:rPr>
        <w:t xml:space="preserve">לא הבאתי אפשרות זו בגוף ההערות והנספחים אלא בהערת שוליים בלבד, משום שקשה לקבל את הסיפור כאמיתי, ובייחוד את הערכתו של ר׳ יצחק־זאב את ר׳ חיים. אבל ראה גם פרק 5, הערת השוליים בסוף נספח ח.</w:t>
      </w:r>
    </w:p>
  </w:footnote>
  <w:footnote w:id="3963">
    <w:p w14:paraId="261CAB06" w14:textId="77777777" w:rsidR="00AB3647" w:rsidRDefault="00000000">
      <w:pPr>
        <w:spacing w:after="0" w:before="0"/>
        <w:jc w:val="both"/>
      </w:pPr>
      <w:r>
        <w:rPr>
          <w:sz w:val="20"/>
          <w:szCs w:val="20"/>
          <w:rtl/>
        </w:rPr>
        <w:footnoteRef/>
      </w:r>
      <w:r>
        <w:rPr>
          <w:sz w:val="20"/>
          <w:szCs w:val="20"/>
          <w:rtl/>
        </w:rPr>
        <w:t xml:space="preserve">. עמ׳ </w:t>
      </w:r>
      <w:proofErr w:type="spellStart"/>
      <w:r>
        <w:rPr>
          <w:sz w:val="20"/>
          <w:szCs w:val="20"/>
          <w:rtl/>
        </w:rPr>
        <w:t>קסה</w:t>
      </w:r>
      <w:proofErr w:type="spellEnd"/>
      <w:r>
        <w:rPr>
          <w:sz w:val="20"/>
          <w:szCs w:val="20"/>
          <w:rtl/>
        </w:rPr>
        <w:t>–</w:t>
      </w:r>
      <w:proofErr w:type="spellStart"/>
      <w:r>
        <w:rPr>
          <w:sz w:val="20"/>
          <w:szCs w:val="20"/>
          <w:rtl/>
        </w:rPr>
        <w:t>קסז</w:t>
      </w:r>
      <w:proofErr w:type="spellEnd"/>
      <w:r>
        <w:rPr>
          <w:sz w:val="20"/>
          <w:szCs w:val="20"/>
          <w:rtl/>
        </w:rPr>
        <w:t>.</w:t>
      </w:r>
    </w:p>
  </w:footnote>
  <w:footnote w:id="3964">
    <w:p w14:paraId="34D9C638" w14:textId="77777777" w:rsidR="00AB3647" w:rsidRDefault="00000000">
      <w:pPr>
        <w:spacing w:after="0" w:before="0"/>
        <w:jc w:val="both"/>
      </w:pPr>
      <w:r>
        <w:rPr>
          <w:sz w:val="20"/>
          <w:szCs w:val="20"/>
          <w:rtl/>
        </w:rPr>
        <w:footnoteRef/>
      </w:r>
      <w:r>
        <w:rPr>
          <w:sz w:val="20"/>
          <w:szCs w:val="20"/>
          <w:rtl/>
        </w:rPr>
        <w:t>. הדבר עולה גם מטיוטת מכתב זה, שנמצאה בניירות ביאליק שש שנים אחרי מותו ונדפסה בידי מוסד ביאליק במלאת עשר שנים לפטירתו, בשם “פרקי חיים”. ראה “אגרות חיים נחמן ביאליק”, עמ׳ נט.</w:t>
      </w:r>
    </w:p>
  </w:footnote>
  <w:footnote w:id="3965">
    <w:p w14:paraId="21961F4C" w14:textId="77777777" w:rsidR="00AB3647" w:rsidRDefault="00000000">
      <w:pPr>
        <w:spacing w:after="0" w:before="0"/>
        <w:jc w:val="both"/>
      </w:pPr>
      <w:r>
        <w:rPr>
          <w:sz w:val="20"/>
          <w:szCs w:val="20"/>
          <w:rtl/>
        </w:rPr>
        <w:footnoteRef/>
      </w:r>
      <w:r>
        <w:rPr>
          <w:sz w:val="20"/>
          <w:szCs w:val="20"/>
          <w:rtl/>
        </w:rPr>
        <w:t>. ראה להלן שתלמידים כאלה היו מעטים.</w:t>
      </w:r>
    </w:p>
  </w:footnote>
  <w:footnote w:id="3966">
    <w:p w14:paraId="173B6EFE" w14:textId="77777777" w:rsidR="00AB3647" w:rsidRDefault="00000000">
      <w:pPr>
        <w:spacing w:after="0" w:before="0"/>
        <w:jc w:val="both"/>
      </w:pPr>
      <w:r>
        <w:rPr>
          <w:sz w:val="20"/>
          <w:szCs w:val="20"/>
          <w:rtl/>
        </w:rPr>
        <w:footnoteRef/>
      </w:r>
      <w:r>
        <w:rPr>
          <w:sz w:val="20"/>
          <w:szCs w:val="20"/>
          <w:rtl/>
        </w:rPr>
        <w:t>. בטיוטת “פרקי חיים” כתב בלשון שאינה עממית: “ליטאים”.</w:t>
      </w:r>
    </w:p>
  </w:footnote>
  <w:footnote w:id="3967">
    <w:p w14:paraId="5E1DCB95" w14:textId="77777777" w:rsidR="00AB3647" w:rsidRDefault="00000000">
      <w:pPr>
        <w:spacing w:after="0" w:before="0"/>
        <w:jc w:val="both"/>
      </w:pPr>
      <w:r>
        <w:rPr>
          <w:sz w:val="20"/>
          <w:szCs w:val="20"/>
          <w:rtl/>
        </w:rPr>
        <w:footnoteRef/>
      </w:r>
      <w:r>
        <w:rPr>
          <w:sz w:val="20"/>
          <w:szCs w:val="20"/>
          <w:rtl/>
        </w:rPr>
        <w:t xml:space="preserve">. זיכרונותיו של בן דורו של ביאליק, מ׳ </w:t>
      </w:r>
      <w:proofErr w:type="spellStart"/>
      <w:r>
        <w:rPr>
          <w:sz w:val="20"/>
          <w:szCs w:val="20"/>
          <w:rtl/>
        </w:rPr>
        <w:t>זלאטקין</w:t>
      </w:r>
      <w:proofErr w:type="spellEnd"/>
      <w:r>
        <w:rPr>
          <w:sz w:val="20"/>
          <w:szCs w:val="20"/>
          <w:rtl/>
        </w:rPr>
        <w:t xml:space="preserve">, שהם בדרך כלל מדויקים – במאמר “ישיבת </w:t>
      </w:r>
      <w:proofErr w:type="spellStart"/>
      <w:r>
        <w:rPr>
          <w:sz w:val="20"/>
          <w:szCs w:val="20"/>
          <w:rtl/>
        </w:rPr>
        <w:t>וולוז׳ין</w:t>
      </w:r>
      <w:proofErr w:type="spellEnd"/>
      <w:r>
        <w:rPr>
          <w:sz w:val="20"/>
          <w:szCs w:val="20"/>
          <w:rtl/>
        </w:rPr>
        <w:t xml:space="preserve"> בתקופת ביאליק” </w:t>
      </w:r>
      <w:proofErr w:type="spellStart"/>
      <w:r>
        <w:rPr>
          <w:sz w:val="20"/>
          <w:szCs w:val="20"/>
          <w:rtl/>
        </w:rPr>
        <w:t>ב“שביבים</w:t>
      </w:r>
      <w:proofErr w:type="spellEnd"/>
      <w:r>
        <w:rPr>
          <w:sz w:val="20"/>
          <w:szCs w:val="20"/>
          <w:rtl/>
        </w:rPr>
        <w:t xml:space="preserve"> א׳” – מספרים שר׳ חיים </w:t>
      </w:r>
      <w:proofErr w:type="spellStart"/>
      <w:r>
        <w:rPr>
          <w:sz w:val="20"/>
          <w:szCs w:val="20"/>
          <w:rtl/>
        </w:rPr>
        <w:t>סולובייצ׳יק</w:t>
      </w:r>
      <w:proofErr w:type="spellEnd"/>
      <w:r>
        <w:rPr>
          <w:sz w:val="20"/>
          <w:szCs w:val="20"/>
          <w:rtl/>
        </w:rPr>
        <w:t xml:space="preserve"> בחן אותו. ואולם במכתב ביאליק עצמו כתוב “ובעמדי </w:t>
      </w:r>
      <w:proofErr w:type="spellStart"/>
      <w:r>
        <w:rPr>
          <w:sz w:val="20"/>
          <w:szCs w:val="20"/>
          <w:rtl/>
        </w:rPr>
        <w:t>לנסיון</w:t>
      </w:r>
      <w:proofErr w:type="spellEnd"/>
      <w:r>
        <w:rPr>
          <w:sz w:val="20"/>
          <w:szCs w:val="20"/>
          <w:rtl/>
        </w:rPr>
        <w:t xml:space="preserve"> לפני ראש הישיבה”, ואין שום סימן שמישהו אחר מלבד </w:t>
      </w:r>
      <w:proofErr w:type="spellStart"/>
      <w:r>
        <w:rPr>
          <w:sz w:val="20"/>
          <w:szCs w:val="20"/>
          <w:rtl/>
        </w:rPr>
        <w:t>הנצי״ב</w:t>
      </w:r>
      <w:proofErr w:type="spellEnd"/>
      <w:r>
        <w:rPr>
          <w:sz w:val="20"/>
          <w:szCs w:val="20"/>
          <w:rtl/>
        </w:rPr>
        <w:t xml:space="preserve">, ראש הישיבה, בחן אותו. ראה גם “ביאליק חייו ויצירותיו” מאת פ׳ לחובר (מוסד ביאליק, תל אביב, תש״י), עמ׳ 65, המביא מקורות שלפיהם דחה ביאליק את שיטת לימודו של ר׳ חיים </w:t>
      </w:r>
      <w:proofErr w:type="spellStart"/>
      <w:r>
        <w:rPr>
          <w:sz w:val="20"/>
          <w:szCs w:val="20"/>
          <w:rtl/>
        </w:rPr>
        <w:t>סולובייצ׳יק</w:t>
      </w:r>
      <w:proofErr w:type="spellEnd"/>
      <w:r>
        <w:rPr>
          <w:sz w:val="20"/>
          <w:szCs w:val="20"/>
          <w:rtl/>
        </w:rPr>
        <w:t xml:space="preserve">, לפחות בזמן שהותו </w:t>
      </w:r>
      <w:proofErr w:type="spellStart"/>
      <w:r>
        <w:rPr>
          <w:sz w:val="20"/>
          <w:szCs w:val="20"/>
          <w:rtl/>
        </w:rPr>
        <w:t>בוולוז׳ין</w:t>
      </w:r>
      <w:proofErr w:type="spellEnd"/>
      <w:r>
        <w:rPr>
          <w:sz w:val="20"/>
          <w:szCs w:val="20"/>
          <w:rtl/>
        </w:rPr>
        <w:t xml:space="preserve">. ואם נניח שהרגשות שהביע בנאום הפומבי הנזכר לעיל, בחגיגת יום ההולדת השישים של </w:t>
      </w:r>
      <w:proofErr w:type="spellStart"/>
      <w:r>
        <w:rPr>
          <w:sz w:val="20"/>
          <w:szCs w:val="20"/>
          <w:rtl/>
        </w:rPr>
        <w:t>א״מ</w:t>
      </w:r>
      <w:proofErr w:type="spellEnd"/>
      <w:r>
        <w:rPr>
          <w:sz w:val="20"/>
          <w:szCs w:val="20"/>
          <w:rtl/>
        </w:rPr>
        <w:t xml:space="preserve"> ברכיהו, היו כנים, הרי שהחל להעריך את גישת ר׳ חיים אחרי שעזב את </w:t>
      </w:r>
      <w:proofErr w:type="spellStart"/>
      <w:r>
        <w:rPr>
          <w:sz w:val="20"/>
          <w:szCs w:val="20"/>
          <w:rtl/>
        </w:rPr>
        <w:t>וולוז׳ין</w:t>
      </w:r>
      <w:proofErr w:type="spellEnd"/>
      <w:r>
        <w:rPr>
          <w:sz w:val="20"/>
          <w:szCs w:val="20"/>
          <w:rtl/>
        </w:rPr>
        <w:t>.</w:t>
      </w:r>
    </w:p>
    <w:p w14:paraId="3817EDA5" w14:textId="77777777" w:rsidR="00AB3647" w:rsidRDefault="00000000">
      <w:pPr>
        <w:spacing w:after="0" w:before="0"/>
        <w:jc w:val="both"/>
      </w:pPr>
      <w:r>
        <w:rPr>
          <w:sz w:val="20"/>
          <w:szCs w:val="20"/>
          <w:rtl/>
        </w:rPr>
        <w:t xml:space="preserve">ועוד: ר׳ חיים – שבעיניו “פשט” פירושו הבנה (ראה עמ׳ </w:t>
      </w:r>
      <w:r>
        <w:rPr>
          <w:sz w:val="20"/>
          <w:szCs w:val="20"/>
          <w:rtl/>
        </w:rPr>
        <w:fldChar w:fldCharType="begin" w:dirty="true"/>
      </w:r>
      <w:r>
        <w:rPr>
          <w:sz w:val="20"/>
          <w:szCs w:val="20"/>
          <w:rtl/>
        </w:rPr>
        <w:instrText xml:space="preserve"> PAGEREF pr_f_4984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והערת שוליים </w:t>
      </w:r>
      <w:r>
        <w:rPr>
          <w:sz w:val="20"/>
          <w:szCs w:val="20"/>
          <w:rtl/>
        </w:rPr>
        <w:fldChar w:fldCharType="begin" w:dirty="true"/>
      </w:r>
      <w:r>
        <w:rPr>
          <w:sz w:val="20"/>
          <w:szCs w:val="20"/>
          <w:rtl/>
        </w:rPr>
        <w:instrText xml:space="preserve"> NOTEREF pr_f_4984 \h </w:instrText>
      </w:r>
      <w:r>
        <w:rPr>
          <w:sz w:val="20"/>
          <w:szCs w:val="20"/>
          <w:rtl/>
        </w:rPr>
      </w:r>
      <w:r>
        <w:rPr>
          <w:sz w:val="20"/>
          <w:szCs w:val="20"/>
          <w:rtl/>
        </w:rPr>
        <w:fldChar w:fldCharType="separate"/>
      </w:r>
      <w:r w:rsidR="007923E9">
        <w:rPr>
          <w:sz w:val="20"/>
          <w:szCs w:val="20"/>
          <w:rtl/>
        </w:rPr>
        <w:t>638</w:t>
      </w:r>
      <w:r>
        <w:rPr>
          <w:sz w:val="20"/>
          <w:szCs w:val="20"/>
          <w:rtl/>
        </w:rPr>
        <w:fldChar w:fldCharType="end"/>
      </w:r>
      <w:r>
        <w:rPr>
          <w:sz w:val="20"/>
          <w:szCs w:val="20"/>
          <w:rtl/>
        </w:rPr>
        <w:t xml:space="preserve"> שם) – כנראה לא היה נותן לביאליק את המחמאה “יודע גמרא” שקיבל מבוחנו, אילו ידע רק לחזור על הגמרא והתוספות בעל פה; ואילו </w:t>
      </w:r>
      <w:proofErr w:type="spellStart"/>
      <w:r>
        <w:rPr>
          <w:sz w:val="20"/>
          <w:szCs w:val="20"/>
          <w:rtl/>
        </w:rPr>
        <w:t>הנצי״ב</w:t>
      </w:r>
      <w:proofErr w:type="spellEnd"/>
      <w:r>
        <w:rPr>
          <w:sz w:val="20"/>
          <w:szCs w:val="20"/>
          <w:rtl/>
        </w:rPr>
        <w:t xml:space="preserve"> עשוי היה לעשות כן.</w:t>
      </w:r>
    </w:p>
  </w:footnote>
  <w:footnote w:id="3968">
    <w:p w14:paraId="0904969B" w14:textId="77777777" w:rsidR="00AB3647" w:rsidRDefault="00000000">
      <w:pPr>
        <w:spacing w:after="0" w:before="0"/>
        <w:jc w:val="both"/>
      </w:pPr>
      <w:r>
        <w:rPr>
          <w:sz w:val="20"/>
          <w:szCs w:val="20"/>
          <w:rtl/>
        </w:rPr>
        <w:footnoteRef/>
      </w:r>
      <w:r>
        <w:rPr>
          <w:sz w:val="20"/>
          <w:szCs w:val="20"/>
          <w:rtl/>
        </w:rPr>
        <w:t xml:space="preserve">. לפי “פרקי חיים” שלו, שם, התלהב ביאליק מלימודיו התורניים עד שחש </w:t>
      </w:r>
      <w:proofErr w:type="spellStart"/>
      <w:r>
        <w:rPr>
          <w:sz w:val="20"/>
          <w:szCs w:val="20"/>
          <w:rtl/>
        </w:rPr>
        <w:t>ש“כתר</w:t>
      </w:r>
      <w:proofErr w:type="spellEnd"/>
      <w:r>
        <w:rPr>
          <w:sz w:val="20"/>
          <w:szCs w:val="20"/>
          <w:rtl/>
        </w:rPr>
        <w:t xml:space="preserve"> הרבנות שב לנצנץ באוויר לפניו”.</w:t>
      </w:r>
    </w:p>
  </w:footnote>
  <w:footnote w:id="3969">
    <w:p w14:paraId="10126C9D" w14:textId="77777777" w:rsidR="00AB3647" w:rsidRDefault="00000000">
      <w:pPr>
        <w:spacing w:after="0" w:before="0"/>
        <w:jc w:val="both"/>
      </w:pPr>
      <w:r>
        <w:rPr>
          <w:sz w:val="20"/>
          <w:szCs w:val="20"/>
          <w:rtl/>
        </w:rPr>
        <w:footnoteRef/>
      </w:r>
      <w:r>
        <w:rPr>
          <w:sz w:val="20"/>
          <w:szCs w:val="20"/>
          <w:rtl/>
        </w:rPr>
        <w:t xml:space="preserve">. נדפס </w:t>
      </w:r>
      <w:proofErr w:type="spellStart"/>
      <w:r>
        <w:rPr>
          <w:sz w:val="20"/>
          <w:szCs w:val="20"/>
          <w:rtl/>
        </w:rPr>
        <w:t>ב“כנסת</w:t>
      </w:r>
      <w:proofErr w:type="spellEnd"/>
      <w:r>
        <w:rPr>
          <w:sz w:val="20"/>
          <w:szCs w:val="20"/>
          <w:rtl/>
        </w:rPr>
        <w:t xml:space="preserve"> – דברי סופרים לזכר ח״נ ביאליק”, ספר שני, הוצאת דביר, תל אביב.</w:t>
      </w:r>
    </w:p>
  </w:footnote>
  <w:footnote w:id="3970">
    <w:p w14:paraId="2DDD6E45" w14:textId="77777777" w:rsidR="00AB3647" w:rsidRDefault="00000000">
      <w:pPr>
        <w:spacing w:after="0" w:before="0"/>
        <w:jc w:val="both"/>
      </w:pPr>
      <w:r>
        <w:rPr>
          <w:sz w:val="20"/>
          <w:szCs w:val="20"/>
          <w:rtl/>
        </w:rPr>
        <w:footnoteRef/>
      </w:r>
      <w:r>
        <w:rPr>
          <w:sz w:val="20"/>
          <w:szCs w:val="20"/>
          <w:rtl/>
        </w:rPr>
        <w:t>. על פי ראש ספר קהלת.</w:t>
      </w:r>
    </w:p>
  </w:footnote>
  <w:footnote w:id="3971">
    <w:p w14:paraId="22DC1F7D" w14:textId="77777777" w:rsidR="00AB3647" w:rsidRDefault="00000000">
      <w:pPr>
        <w:spacing w:after="0" w:before="0"/>
        <w:jc w:val="both"/>
      </w:pPr>
      <w:r>
        <w:rPr>
          <w:sz w:val="20"/>
          <w:szCs w:val="20"/>
          <w:rtl/>
        </w:rPr>
        <w:footnoteRef/>
      </w:r>
      <w:r>
        <w:rPr>
          <w:sz w:val="20"/>
          <w:szCs w:val="20"/>
          <w:rtl/>
        </w:rPr>
        <w:t>. “אגרות חיים נחמן ביאליק”, עמ׳ ג–ט.</w:t>
      </w:r>
    </w:p>
  </w:footnote>
  <w:footnote w:id="3972">
    <w:p w14:paraId="71B0D0C1" w14:textId="77777777" w:rsidR="00AB3647" w:rsidRDefault="00000000">
      <w:pPr>
        <w:spacing w:after="0" w:before="0"/>
        <w:jc w:val="both"/>
      </w:pPr>
      <w:r>
        <w:rPr>
          <w:sz w:val="20"/>
          <w:szCs w:val="20"/>
          <w:rtl/>
        </w:rPr>
        <w:footnoteRef/>
      </w:r>
      <w:r>
        <w:rPr>
          <w:sz w:val="20"/>
          <w:szCs w:val="20"/>
          <w:rtl/>
        </w:rPr>
        <w:t>. בראשית ב:יז. הוא משתמש במינוח המשכילים, שבו “דעת” פירושה השכלה ואינה משמשת אצלם לעולם לחוכמת התורה.</w:t>
      </w:r>
    </w:p>
  </w:footnote>
  <w:footnote w:id="3973">
    <w:p w14:paraId="27456DDB" w14:textId="77777777" w:rsidR="00AB3647" w:rsidRDefault="00000000">
      <w:pPr>
        <w:spacing w:after="0" w:before="0"/>
        <w:jc w:val="both"/>
      </w:pPr>
      <w:r>
        <w:rPr>
          <w:sz w:val="20"/>
          <w:szCs w:val="20"/>
          <w:rtl/>
        </w:rPr>
        <w:footnoteRef/>
      </w:r>
      <w:r>
        <w:rPr>
          <w:sz w:val="20"/>
          <w:szCs w:val="20"/>
          <w:rtl/>
        </w:rPr>
        <w:t>. “אגרות חיים נחמן ביאליק”, עמ׳ יא.</w:t>
      </w:r>
    </w:p>
  </w:footnote>
  <w:footnote w:id="3974">
    <w:p w14:paraId="2D943A35" w14:textId="77777777" w:rsidR="00AB3647" w:rsidRDefault="00000000">
      <w:pPr>
        <w:spacing w:after="0" w:before="0"/>
        <w:jc w:val="both"/>
      </w:pPr>
      <w:r>
        <w:rPr>
          <w:sz w:val="20"/>
          <w:szCs w:val="20"/>
          <w:rtl/>
        </w:rPr>
        <w:footnoteRef/>
      </w:r>
      <w:r>
        <w:rPr>
          <w:sz w:val="20"/>
          <w:szCs w:val="20"/>
          <w:rtl/>
        </w:rPr>
        <w:t xml:space="preserve">. כאן </w:t>
      </w:r>
      <w:proofErr w:type="spellStart"/>
      <w:r>
        <w:rPr>
          <w:sz w:val="20"/>
          <w:szCs w:val="20"/>
          <w:rtl/>
        </w:rPr>
        <w:t>מפרפרז</w:t>
      </w:r>
      <w:proofErr w:type="spellEnd"/>
      <w:r>
        <w:rPr>
          <w:sz w:val="20"/>
          <w:szCs w:val="20"/>
          <w:rtl/>
        </w:rPr>
        <w:t xml:space="preserve"> ביאליק את הנוסח שלא תוקן של “ביאור </w:t>
      </w:r>
      <w:proofErr w:type="spellStart"/>
      <w:r>
        <w:rPr>
          <w:sz w:val="20"/>
          <w:szCs w:val="20"/>
          <w:rtl/>
        </w:rPr>
        <w:t>הגר״א</w:t>
      </w:r>
      <w:proofErr w:type="spellEnd"/>
      <w:r>
        <w:rPr>
          <w:sz w:val="20"/>
          <w:szCs w:val="20"/>
          <w:rtl/>
        </w:rPr>
        <w:t xml:space="preserve">”, יורה דעה סימן קע״ט, </w:t>
      </w:r>
      <w:proofErr w:type="spellStart"/>
      <w:r>
        <w:rPr>
          <w:sz w:val="20"/>
          <w:szCs w:val="20"/>
          <w:rtl/>
        </w:rPr>
        <w:t>ס״ק</w:t>
      </w:r>
      <w:proofErr w:type="spellEnd"/>
      <w:r>
        <w:rPr>
          <w:sz w:val="20"/>
          <w:szCs w:val="20"/>
          <w:rtl/>
        </w:rPr>
        <w:t xml:space="preserve"> י״ג, ביחס לפילוסופיה.</w:t>
      </w:r>
    </w:p>
  </w:footnote>
  <w:footnote w:id="3975">
    <w:p w14:paraId="2A89E051" w14:textId="77777777" w:rsidR="00AB3647" w:rsidRDefault="00000000">
      <w:pPr>
        <w:spacing w:after="0" w:before="0"/>
        <w:jc w:val="both"/>
      </w:pPr>
      <w:r>
        <w:rPr>
          <w:sz w:val="20"/>
          <w:szCs w:val="20"/>
          <w:rtl/>
        </w:rPr>
        <w:footnoteRef/>
      </w:r>
      <w:r>
        <w:rPr>
          <w:sz w:val="20"/>
          <w:szCs w:val="20"/>
          <w:rtl/>
        </w:rPr>
        <w:t xml:space="preserve">. מאחר </w:t>
      </w:r>
      <w:proofErr w:type="spellStart"/>
      <w:r>
        <w:rPr>
          <w:sz w:val="20"/>
          <w:szCs w:val="20"/>
          <w:rtl/>
        </w:rPr>
        <w:t>ש“השכלה</w:t>
      </w:r>
      <w:proofErr w:type="spellEnd"/>
      <w:r>
        <w:rPr>
          <w:sz w:val="20"/>
          <w:szCs w:val="20"/>
          <w:rtl/>
        </w:rPr>
        <w:t xml:space="preserve">” היא שם עצם בנקבה בעברית, ביאליק מתאר אותה </w:t>
      </w:r>
      <w:proofErr w:type="spellStart"/>
      <w:r>
        <w:rPr>
          <w:sz w:val="20"/>
          <w:szCs w:val="20"/>
          <w:rtl/>
        </w:rPr>
        <w:t>כ“בת</w:t>
      </w:r>
      <w:proofErr w:type="spellEnd"/>
      <w:r>
        <w:rPr>
          <w:sz w:val="20"/>
          <w:szCs w:val="20"/>
          <w:rtl/>
        </w:rPr>
        <w:t>”.</w:t>
      </w:r>
    </w:p>
  </w:footnote>
  <w:footnote w:id="3976">
    <w:p w14:paraId="066F4DD5" w14:textId="77777777" w:rsidR="00AB3647" w:rsidRDefault="00000000">
      <w:pPr>
        <w:spacing w:after="0" w:before="0"/>
        <w:jc w:val="both"/>
      </w:pPr>
      <w:r>
        <w:rPr>
          <w:sz w:val="20"/>
          <w:szCs w:val="20"/>
          <w:rtl/>
        </w:rPr>
        <w:footnoteRef/>
      </w:r>
      <w:r>
        <w:rPr>
          <w:sz w:val="20"/>
          <w:szCs w:val="20"/>
          <w:rtl/>
        </w:rPr>
        <w:t>. “אגרות חיים נחמן ביאליק”, עמ׳ ט–י.</w:t>
      </w:r>
    </w:p>
  </w:footnote>
  <w:footnote w:id="3977">
    <w:p w14:paraId="7709A603" w14:textId="77777777" w:rsidR="00AB3647" w:rsidRDefault="00000000">
      <w:pPr>
        <w:spacing w:after="0" w:before="0"/>
        <w:jc w:val="both"/>
      </w:pPr>
      <w:r>
        <w:rPr>
          <w:sz w:val="20"/>
          <w:szCs w:val="20"/>
          <w:rtl/>
        </w:rPr>
        <w:footnoteRef/>
      </w:r>
      <w:r>
        <w:rPr>
          <w:sz w:val="20"/>
          <w:szCs w:val="20"/>
          <w:rtl/>
        </w:rPr>
        <w:t>. שם, עמ׳ יא–</w:t>
      </w:r>
      <w:proofErr w:type="spellStart"/>
      <w:r>
        <w:rPr>
          <w:sz w:val="20"/>
          <w:szCs w:val="20"/>
          <w:rtl/>
        </w:rPr>
        <w:t>כא</w:t>
      </w:r>
      <w:proofErr w:type="spellEnd"/>
      <w:r>
        <w:rPr>
          <w:sz w:val="20"/>
          <w:szCs w:val="20"/>
          <w:rtl/>
        </w:rPr>
        <w:t>.</w:t>
      </w:r>
    </w:p>
  </w:footnote>
  <w:footnote w:id="3978">
    <w:p w14:paraId="4832C5CA" w14:textId="77777777" w:rsidR="00AB3647" w:rsidRDefault="00000000">
      <w:pPr>
        <w:spacing w:after="0" w:before="0"/>
        <w:jc w:val="both"/>
      </w:pPr>
      <w:r>
        <w:rPr>
          <w:sz w:val="20"/>
          <w:szCs w:val="20"/>
          <w:rtl/>
        </w:rPr>
        <w:footnoteRef/>
      </w:r>
      <w:r>
        <w:rPr>
          <w:sz w:val="20"/>
          <w:szCs w:val="20"/>
          <w:rtl/>
        </w:rPr>
        <w:t xml:space="preserve">. שם, עמ׳ </w:t>
      </w:r>
      <w:proofErr w:type="spellStart"/>
      <w:r>
        <w:rPr>
          <w:sz w:val="20"/>
          <w:szCs w:val="20"/>
          <w:rtl/>
        </w:rPr>
        <w:t>כב</w:t>
      </w:r>
      <w:proofErr w:type="spellEnd"/>
      <w:r>
        <w:rPr>
          <w:sz w:val="20"/>
          <w:szCs w:val="20"/>
          <w:rtl/>
        </w:rPr>
        <w:t>.</w:t>
      </w:r>
    </w:p>
  </w:footnote>
  <w:footnote w:id="3979">
    <w:p w14:paraId="5EDAA43B" w14:textId="77777777" w:rsidR="00AB3647" w:rsidRDefault="00000000">
      <w:pPr>
        <w:spacing w:after="0" w:before="0"/>
        <w:jc w:val="both"/>
      </w:pPr>
      <w:r>
        <w:rPr>
          <w:sz w:val="20"/>
          <w:szCs w:val="20"/>
          <w:rtl/>
        </w:rPr>
        <w:footnoteRef/>
      </w:r>
      <w:r>
        <w:rPr>
          <w:sz w:val="20"/>
          <w:szCs w:val="20"/>
          <w:rtl/>
        </w:rPr>
        <w:t>. על פי דברים ו:כד.</w:t>
      </w:r>
    </w:p>
  </w:footnote>
  <w:footnote w:id="3980">
    <w:p w14:paraId="04DB6113" w14:textId="77777777" w:rsidR="00AB3647" w:rsidRDefault="00000000">
      <w:pPr>
        <w:spacing w:after="0" w:before="0"/>
        <w:jc w:val="both"/>
      </w:pPr>
      <w:r>
        <w:rPr>
          <w:sz w:val="20"/>
          <w:szCs w:val="20"/>
          <w:rtl/>
        </w:rPr>
        <w:footnoteRef/>
      </w:r>
      <w:r>
        <w:rPr>
          <w:sz w:val="20"/>
          <w:szCs w:val="20"/>
          <w:rtl/>
        </w:rPr>
        <w:t>. על פי איכה א:י.</w:t>
      </w:r>
    </w:p>
  </w:footnote>
  <w:footnote w:id="3981">
    <w:p w14:paraId="6F27D01E" w14:textId="77777777" w:rsidR="00AB3647" w:rsidRDefault="00000000">
      <w:pPr>
        <w:spacing w:after="0" w:before="0"/>
        <w:jc w:val="both"/>
      </w:pPr>
      <w:r>
        <w:rPr>
          <w:sz w:val="20"/>
          <w:szCs w:val="20"/>
          <w:rtl/>
        </w:rPr>
        <w:footnoteRef/>
      </w:r>
      <w:r>
        <w:rPr>
          <w:sz w:val="20"/>
          <w:szCs w:val="20"/>
          <w:rtl/>
        </w:rPr>
        <w:t xml:space="preserve">. שם, עמ׳ </w:t>
      </w:r>
      <w:proofErr w:type="spellStart"/>
      <w:r>
        <w:rPr>
          <w:sz w:val="20"/>
          <w:szCs w:val="20"/>
          <w:rtl/>
        </w:rPr>
        <w:t>כג</w:t>
      </w:r>
      <w:proofErr w:type="spellEnd"/>
      <w:r>
        <w:rPr>
          <w:sz w:val="20"/>
          <w:szCs w:val="20"/>
          <w:rtl/>
        </w:rPr>
        <w:t>–כד.</w:t>
      </w:r>
    </w:p>
  </w:footnote>
  <w:footnote w:id="3982">
    <w:p w14:paraId="65681445" w14:textId="77777777" w:rsidR="00AB3647" w:rsidRDefault="00000000">
      <w:pPr>
        <w:spacing w:after="0" w:before="0"/>
        <w:jc w:val="both"/>
      </w:pPr>
      <w:r>
        <w:rPr>
          <w:sz w:val="20"/>
          <w:szCs w:val="20"/>
          <w:rtl/>
        </w:rPr>
        <w:footnoteRef/>
      </w:r>
      <w:r>
        <w:rPr>
          <w:sz w:val="20"/>
          <w:szCs w:val="20"/>
          <w:rtl/>
        </w:rPr>
        <w:t xml:space="preserve">. הערת שוליים </w:t>
      </w:r>
      <w:r>
        <w:rPr>
          <w:sz w:val="20"/>
          <w:szCs w:val="20"/>
          <w:rtl/>
        </w:rPr>
        <w:fldChar w:fldCharType="begin" w:dirty="true"/>
      </w:r>
      <w:r>
        <w:rPr>
          <w:sz w:val="20"/>
          <w:szCs w:val="20"/>
          <w:rtl/>
        </w:rPr>
        <w:instrText xml:space="preserve"> NOTEREF pr_f_3845 \h </w:instrText>
      </w:r>
      <w:r>
        <w:rPr>
          <w:sz w:val="20"/>
          <w:szCs w:val="20"/>
          <w:rtl/>
        </w:rPr>
      </w:r>
      <w:r>
        <w:rPr>
          <w:sz w:val="20"/>
          <w:szCs w:val="20"/>
          <w:rtl/>
        </w:rPr>
        <w:fldChar w:fldCharType="separate"/>
      </w:r>
      <w:r w:rsidR="007923E9">
        <w:rPr>
          <w:sz w:val="20"/>
          <w:szCs w:val="20"/>
          <w:rtl/>
        </w:rPr>
        <w:t>922</w:t>
      </w:r>
      <w:r>
        <w:rPr>
          <w:sz w:val="20"/>
          <w:szCs w:val="20"/>
          <w:rtl/>
        </w:rPr>
        <w:fldChar w:fldCharType="end"/>
      </w:r>
      <w:r>
        <w:rPr>
          <w:sz w:val="20"/>
          <w:szCs w:val="20"/>
          <w:rtl/>
        </w:rPr>
        <w:t xml:space="preserve"> לעיל, עמ׳ 59 ו־62.</w:t>
      </w:r>
    </w:p>
  </w:footnote>
  <w:footnote w:id="3983">
    <w:p w14:paraId="64DE8131" w14:textId="77777777" w:rsidR="00AB3647" w:rsidRDefault="00000000">
      <w:pPr>
        <w:spacing w:after="0" w:before="0"/>
        <w:jc w:val="both"/>
      </w:pPr>
      <w:r>
        <w:rPr>
          <w:sz w:val="20"/>
          <w:szCs w:val="20"/>
          <w:rtl/>
        </w:rPr>
        <w:footnoteRef/>
      </w:r>
      <w:r>
        <w:rPr>
          <w:sz w:val="20"/>
          <w:szCs w:val="20"/>
          <w:rtl/>
        </w:rPr>
        <w:t xml:space="preserve">. “אגרות חיים נחמן ביאליק”, עמ׳ </w:t>
      </w:r>
      <w:proofErr w:type="spellStart"/>
      <w:r>
        <w:rPr>
          <w:sz w:val="20"/>
          <w:szCs w:val="20"/>
          <w:rtl/>
        </w:rPr>
        <w:t>קסז</w:t>
      </w:r>
      <w:proofErr w:type="spellEnd"/>
      <w:r>
        <w:rPr>
          <w:sz w:val="20"/>
          <w:szCs w:val="20"/>
          <w:rtl/>
        </w:rPr>
        <w:t>.</w:t>
      </w:r>
    </w:p>
  </w:footnote>
  <w:footnote w:id="3984">
    <w:p w14:paraId="470F24BE" w14:textId="77777777" w:rsidR="00AB3647" w:rsidRDefault="00000000">
      <w:pPr>
        <w:spacing w:after="0" w:before="0"/>
        <w:jc w:val="both"/>
      </w:pPr>
      <w:r>
        <w:rPr>
          <w:sz w:val="20"/>
          <w:szCs w:val="20"/>
          <w:rtl/>
        </w:rPr>
        <w:footnoteRef/>
      </w:r>
      <w:r>
        <w:rPr>
          <w:sz w:val="20"/>
          <w:szCs w:val="20"/>
          <w:rtl/>
        </w:rPr>
        <w:t>. ועיין רמב״ם, הלכות עבודה זרה, פרק ב, הלכה ה, ומסכת עבודה זרה י״ז ע״א.</w:t>
      </w:r>
    </w:p>
  </w:footnote>
  <w:footnote w:id="3985">
    <w:p w14:paraId="2B01751A" w14:textId="77777777" w:rsidR="00AB3647" w:rsidRDefault="00000000">
      <w:pPr>
        <w:spacing w:after="0" w:before="0"/>
        <w:jc w:val="both"/>
      </w:pPr>
      <w:r>
        <w:rPr>
          <w:sz w:val="20"/>
          <w:szCs w:val="20"/>
          <w:rtl/>
        </w:rPr>
        <w:footnoteRef/>
      </w:r>
      <w:r>
        <w:rPr>
          <w:sz w:val="20"/>
          <w:szCs w:val="20"/>
          <w:rtl/>
        </w:rPr>
        <w:t xml:space="preserve">. ראה הערת שוליים </w:t>
      </w:r>
      <w:r>
        <w:rPr>
          <w:sz w:val="20"/>
          <w:szCs w:val="20"/>
          <w:rtl/>
        </w:rPr>
        <w:fldChar w:fldCharType="begin" w:dirty="true"/>
      </w:r>
      <w:r>
        <w:rPr>
          <w:sz w:val="20"/>
          <w:szCs w:val="20"/>
          <w:rtl/>
        </w:rPr>
        <w:instrText xml:space="preserve"> NOTEREF pr_f_3868 \h </w:instrText>
      </w:r>
      <w:r>
        <w:rPr>
          <w:sz w:val="20"/>
          <w:szCs w:val="20"/>
          <w:rtl/>
        </w:rPr>
      </w:r>
      <w:r>
        <w:rPr>
          <w:sz w:val="20"/>
          <w:szCs w:val="20"/>
          <w:rtl/>
        </w:rPr>
        <w:fldChar w:fldCharType="separate"/>
      </w:r>
      <w:r w:rsidR="007923E9">
        <w:rPr>
          <w:sz w:val="20"/>
          <w:szCs w:val="20"/>
          <w:rtl/>
        </w:rPr>
        <w:t>945</w:t>
      </w:r>
      <w:r>
        <w:rPr>
          <w:sz w:val="20"/>
          <w:szCs w:val="20"/>
          <w:rtl/>
        </w:rPr>
        <w:fldChar w:fldCharType="end"/>
      </w:r>
      <w:r>
        <w:rPr>
          <w:sz w:val="20"/>
          <w:szCs w:val="20"/>
          <w:rtl/>
        </w:rPr>
        <w:t xml:space="preserve"> להלן: ר׳ </w:t>
      </w:r>
      <w:proofErr w:type="spellStart"/>
      <w:r>
        <w:rPr>
          <w:sz w:val="20"/>
          <w:szCs w:val="20"/>
          <w:rtl/>
        </w:rPr>
        <w:t>יעקב־משה</w:t>
      </w:r>
      <w:proofErr w:type="spellEnd"/>
      <w:r>
        <w:rPr>
          <w:sz w:val="20"/>
          <w:szCs w:val="20"/>
          <w:rtl/>
        </w:rPr>
        <w:t xml:space="preserve"> חרל״פ תיאר את נפש ביאליק </w:t>
      </w:r>
      <w:proofErr w:type="spellStart"/>
      <w:r>
        <w:rPr>
          <w:sz w:val="20"/>
          <w:szCs w:val="20"/>
          <w:rtl/>
        </w:rPr>
        <w:t>כ“נשמה</w:t>
      </w:r>
      <w:proofErr w:type="spellEnd"/>
      <w:r>
        <w:rPr>
          <w:sz w:val="20"/>
          <w:szCs w:val="20"/>
          <w:rtl/>
        </w:rPr>
        <w:t xml:space="preserve"> יהודית גדולה”.</w:t>
      </w:r>
    </w:p>
  </w:footnote>
  <w:footnote w:id="3986">
    <w:p w14:paraId="71F62562" w14:textId="77777777" w:rsidR="00AB3647" w:rsidRDefault="00000000">
      <w:pPr>
        <w:spacing w:after="0" w:before="0"/>
        <w:jc w:val="both"/>
      </w:pPr>
      <w:r>
        <w:rPr>
          <w:sz w:val="20"/>
          <w:szCs w:val="20"/>
          <w:rtl/>
        </w:rPr>
        <w:footnoteRef/>
      </w:r>
      <w:r>
        <w:rPr>
          <w:sz w:val="20"/>
          <w:szCs w:val="20"/>
          <w:rtl/>
        </w:rPr>
        <w:t xml:space="preserve">. עמ׳ </w:t>
      </w:r>
      <w:proofErr w:type="spellStart"/>
      <w:r>
        <w:rPr>
          <w:sz w:val="20"/>
          <w:szCs w:val="20"/>
          <w:rtl/>
        </w:rPr>
        <w:t>קצ</w:t>
      </w:r>
      <w:proofErr w:type="spellEnd"/>
      <w:r>
        <w:rPr>
          <w:sz w:val="20"/>
          <w:szCs w:val="20"/>
          <w:rtl/>
        </w:rPr>
        <w:t>.</w:t>
      </w:r>
    </w:p>
  </w:footnote>
  <w:footnote w:id="3987">
    <w:p w14:paraId="0B05109F" w14:textId="77777777" w:rsidR="00AB3647" w:rsidRDefault="00000000">
      <w:pPr>
        <w:spacing w:after="0" w:before="0"/>
        <w:jc w:val="both"/>
      </w:pPr>
      <w:r>
        <w:rPr>
          <w:sz w:val="20"/>
          <w:szCs w:val="20"/>
          <w:rtl/>
        </w:rPr>
        <w:footnoteRef/>
      </w:r>
      <w:r>
        <w:rPr>
          <w:sz w:val="20"/>
          <w:szCs w:val="20"/>
          <w:rtl/>
        </w:rPr>
        <w:t xml:space="preserve">. נראה שההערכה הרבה שרחש לשכלו של ר׳ חיים </w:t>
      </w:r>
      <w:proofErr w:type="spellStart"/>
      <w:r>
        <w:rPr>
          <w:sz w:val="20"/>
          <w:szCs w:val="20"/>
          <w:rtl/>
        </w:rPr>
        <w:t>סולובייצ׳יק</w:t>
      </w:r>
      <w:proofErr w:type="spellEnd"/>
      <w:r>
        <w:rPr>
          <w:sz w:val="20"/>
          <w:szCs w:val="20"/>
          <w:rtl/>
        </w:rPr>
        <w:t xml:space="preserve">, כפי שהובאה לעיל מן הנאום לכבוד </w:t>
      </w:r>
      <w:proofErr w:type="spellStart"/>
      <w:r>
        <w:rPr>
          <w:sz w:val="20"/>
          <w:szCs w:val="20"/>
          <w:rtl/>
        </w:rPr>
        <w:t>א״מ</w:t>
      </w:r>
      <w:proofErr w:type="spellEnd"/>
      <w:r>
        <w:rPr>
          <w:sz w:val="20"/>
          <w:szCs w:val="20"/>
          <w:rtl/>
        </w:rPr>
        <w:t xml:space="preserve"> ברכיהו, עשויה הייתה להספיק כדי שביאליק ייתן את הבטחתו באותה עת. אבל אין זה סביר שהייתה מחייבת אותו לקיים את ההבטחה לאורך כל דרכו. את זה יש לייחס לכבוד שרחש בפועל לישיבות – רגש שנולד מתוך חווייתו האישית הטובה בישיבת </w:t>
      </w:r>
      <w:proofErr w:type="spellStart"/>
      <w:r>
        <w:rPr>
          <w:sz w:val="20"/>
          <w:szCs w:val="20"/>
          <w:rtl/>
        </w:rPr>
        <w:t>וולוז׳ין</w:t>
      </w:r>
      <w:proofErr w:type="spellEnd"/>
      <w:r>
        <w:rPr>
          <w:sz w:val="20"/>
          <w:szCs w:val="20"/>
          <w:rtl/>
        </w:rPr>
        <w:t>.</w:t>
      </w:r>
    </w:p>
  </w:footnote>
  <w:footnote w:id="3988">
    <w:p w14:paraId="5C5B6C84" w14:textId="77777777" w:rsidR="00AB3647" w:rsidRDefault="00000000">
      <w:pPr>
        <w:spacing w:after="0" w:before="0"/>
        <w:jc w:val="both"/>
      </w:pPr>
      <w:r>
        <w:rPr>
          <w:sz w:val="20"/>
          <w:szCs w:val="20"/>
          <w:rtl/>
        </w:rPr>
        <w:footnoteRef/>
      </w:r>
      <w:r>
        <w:rPr>
          <w:sz w:val="20"/>
          <w:szCs w:val="20"/>
          <w:rtl/>
        </w:rPr>
        <w:t xml:space="preserve">. מאת משה צבי נריה, הוצאת חי ראי, כפר </w:t>
      </w:r>
      <w:proofErr w:type="spellStart"/>
      <w:r>
        <w:rPr>
          <w:sz w:val="20"/>
          <w:szCs w:val="20"/>
          <w:rtl/>
        </w:rPr>
        <w:t>הרא״ה</w:t>
      </w:r>
      <w:proofErr w:type="spellEnd"/>
      <w:r>
        <w:rPr>
          <w:sz w:val="20"/>
          <w:szCs w:val="20"/>
          <w:rtl/>
        </w:rPr>
        <w:t xml:space="preserve">, תשנ״ב, כרך ב, עמ׳ 294. אני מודה </w:t>
      </w:r>
      <w:proofErr w:type="spellStart"/>
      <w:r>
        <w:rPr>
          <w:sz w:val="20"/>
          <w:szCs w:val="20"/>
          <w:rtl/>
        </w:rPr>
        <w:t>לר</w:t>
      </w:r>
      <w:proofErr w:type="spellEnd"/>
      <w:r>
        <w:rPr>
          <w:sz w:val="20"/>
          <w:szCs w:val="20"/>
          <w:rtl/>
        </w:rPr>
        <w:t xml:space="preserve">׳ יוסף </w:t>
      </w:r>
      <w:proofErr w:type="spellStart"/>
      <w:r>
        <w:rPr>
          <w:sz w:val="20"/>
          <w:szCs w:val="20"/>
          <w:rtl/>
        </w:rPr>
        <w:t>טולידאנו</w:t>
      </w:r>
      <w:proofErr w:type="spellEnd"/>
      <w:r>
        <w:rPr>
          <w:sz w:val="20"/>
          <w:szCs w:val="20"/>
          <w:rtl/>
        </w:rPr>
        <w:t>, רבה של גבעת זאב, על מקור זה.</w:t>
      </w:r>
    </w:p>
  </w:footnote>
  <w:footnote w:id="3989">
    <w:p w14:paraId="3A5EEC1B" w14:textId="77777777" w:rsidR="00AB3647" w:rsidRDefault="00000000">
      <w:pPr>
        <w:spacing w:after="0" w:before="0"/>
        <w:jc w:val="both"/>
      </w:pPr>
      <w:r>
        <w:rPr>
          <w:sz w:val="20"/>
          <w:szCs w:val="20"/>
          <w:rtl/>
        </w:rPr>
        <w:footnoteRef/>
      </w:r>
      <w:r>
        <w:rPr>
          <w:sz w:val="20"/>
          <w:szCs w:val="20"/>
          <w:rtl/>
        </w:rPr>
        <w:t>. ועיין שולחן ערוך יורה דעה סימן ב, על ההבדלים בין שני מיני המומרים.</w:t>
      </w:r>
    </w:p>
  </w:footnote>
  <w:footnote w:id="3990">
    <w:p w14:paraId="66948DB7" w14:textId="77777777" w:rsidR="00AB3647" w:rsidRDefault="00000000">
      <w:pPr>
        <w:spacing w:after="0" w:before="0"/>
        <w:jc w:val="both"/>
      </w:pPr>
      <w:r>
        <w:rPr>
          <w:sz w:val="20"/>
          <w:szCs w:val="20"/>
          <w:rtl/>
        </w:rPr>
        <w:footnoteRef/>
      </w:r>
      <w:r>
        <w:rPr>
          <w:sz w:val="20"/>
          <w:szCs w:val="20"/>
          <w:rtl/>
        </w:rPr>
        <w:t xml:space="preserve">. פרופסור ריבלין סיים: “ר׳ </w:t>
      </w:r>
      <w:proofErr w:type="spellStart"/>
      <w:r>
        <w:rPr>
          <w:sz w:val="20"/>
          <w:szCs w:val="20"/>
          <w:rtl/>
        </w:rPr>
        <w:t>יעקב־משה</w:t>
      </w:r>
      <w:proofErr w:type="spellEnd"/>
      <w:r>
        <w:rPr>
          <w:sz w:val="20"/>
          <w:szCs w:val="20"/>
          <w:rtl/>
        </w:rPr>
        <w:t xml:space="preserve"> חרל״פ הביט בי לרגע בעיניו החודרות – נדמה כאילו ריחף בעולמות העליונים – ואמר: ‘מה הפלא? האם תוכל לשער כמה נלחם השטן ללכוד ברשתו נשמה יהודית גדולה כל כך כנשמת ביאליק?!’”</w:t>
      </w:r>
    </w:p>
    <w:p w14:paraId="6C0D9160" w14:textId="77777777" w:rsidR="00AB3647" w:rsidRDefault="00000000">
      <w:pPr>
        <w:spacing w:after="0" w:before="0"/>
        <w:jc w:val="both"/>
      </w:pPr>
      <w:r>
        <w:rPr>
          <w:sz w:val="20"/>
          <w:szCs w:val="20"/>
          <w:rtl/>
        </w:rPr>
        <w:t xml:space="preserve">ראויה לציון עוד אמירה של </w:t>
      </w:r>
      <w:proofErr w:type="spellStart"/>
      <w:r>
        <w:rPr>
          <w:sz w:val="20"/>
          <w:szCs w:val="20"/>
          <w:rtl/>
        </w:rPr>
        <w:t>חיים־נחמן</w:t>
      </w:r>
      <w:proofErr w:type="spellEnd"/>
      <w:r>
        <w:rPr>
          <w:sz w:val="20"/>
          <w:szCs w:val="20"/>
          <w:rtl/>
        </w:rPr>
        <w:t xml:space="preserve"> ביאליק. בערב יום הכיפורים קיבל את “אורות התשובה” של ר׳ </w:t>
      </w:r>
      <w:proofErr w:type="spellStart"/>
      <w:r>
        <w:rPr>
          <w:sz w:val="20"/>
          <w:szCs w:val="20"/>
          <w:rtl/>
        </w:rPr>
        <w:t>אברהם־יצחק</w:t>
      </w:r>
      <w:proofErr w:type="spellEnd"/>
      <w:r>
        <w:rPr>
          <w:sz w:val="20"/>
          <w:szCs w:val="20"/>
          <w:rtl/>
        </w:rPr>
        <w:t xml:space="preserve"> קוק, ובמכתב תודה לבנו של המחבר, ר׳ </w:t>
      </w:r>
      <w:proofErr w:type="spellStart"/>
      <w:r>
        <w:rPr>
          <w:sz w:val="20"/>
          <w:szCs w:val="20"/>
          <w:rtl/>
        </w:rPr>
        <w:t>צבי־יהודה</w:t>
      </w:r>
      <w:proofErr w:type="spellEnd"/>
      <w:r>
        <w:rPr>
          <w:sz w:val="20"/>
          <w:szCs w:val="20"/>
          <w:rtl/>
        </w:rPr>
        <w:t xml:space="preserve">, כתב: “את ‘אורות התשובה’ המשכתי עלי ביום התשובה ואטהר מעט. אכן יש בדברי המחברת הקטנה הזאת כדי ארבעים סאה </w:t>
      </w:r>
      <w:proofErr w:type="spellStart"/>
      <w:r>
        <w:rPr>
          <w:sz w:val="20"/>
          <w:szCs w:val="20"/>
          <w:rtl/>
        </w:rPr>
        <w:t>לטהרת</w:t>
      </w:r>
      <w:proofErr w:type="spellEnd"/>
      <w:r>
        <w:rPr>
          <w:sz w:val="20"/>
          <w:szCs w:val="20"/>
          <w:rtl/>
        </w:rPr>
        <w:t xml:space="preserve"> הגוף והנפש יחד, ודבריה באו לא רק כמים טהורים בקרבי, כי אם גם כשמן הקדש בעצמותי.” (הביטויים האחרונים מבוססים על תהלים קט, </w:t>
      </w:r>
      <w:proofErr w:type="spellStart"/>
      <w:r>
        <w:rPr>
          <w:sz w:val="20"/>
          <w:szCs w:val="20"/>
          <w:rtl/>
        </w:rPr>
        <w:t>יח</w:t>
      </w:r>
      <w:proofErr w:type="spellEnd"/>
      <w:r>
        <w:rPr>
          <w:sz w:val="20"/>
          <w:szCs w:val="20"/>
          <w:rtl/>
        </w:rPr>
        <w:t xml:space="preserve">.) גם מקור זה – “אגרות חיים נחמן ביאליק”, כרך ד, עמ׳ </w:t>
      </w:r>
      <w:proofErr w:type="spellStart"/>
      <w:r>
        <w:rPr>
          <w:sz w:val="20"/>
          <w:szCs w:val="20"/>
          <w:rtl/>
        </w:rPr>
        <w:t>יב</w:t>
      </w:r>
      <w:proofErr w:type="spellEnd"/>
      <w:r>
        <w:rPr>
          <w:sz w:val="20"/>
          <w:szCs w:val="20"/>
          <w:rtl/>
        </w:rPr>
        <w:t xml:space="preserve">, מכתב מב׳ בחשוון תרפ״ח – מסר לי ר׳ יוסף </w:t>
      </w:r>
      <w:proofErr w:type="spellStart"/>
      <w:r>
        <w:rPr>
          <w:sz w:val="20"/>
          <w:szCs w:val="20"/>
          <w:rtl/>
        </w:rPr>
        <w:t>טולידאנו</w:t>
      </w:r>
      <w:proofErr w:type="spellEnd"/>
      <w:r>
        <w:rPr>
          <w:sz w:val="20"/>
          <w:szCs w:val="20"/>
          <w:rtl/>
        </w:rPr>
        <w:t xml:space="preserve">; ראה הערת שוליים </w:t>
      </w:r>
      <w:r>
        <w:rPr>
          <w:sz w:val="20"/>
          <w:szCs w:val="20"/>
          <w:rtl/>
        </w:rPr>
        <w:fldChar w:fldCharType="begin" w:dirty="true"/>
      </w:r>
      <w:r>
        <w:rPr>
          <w:sz w:val="20"/>
          <w:szCs w:val="20"/>
          <w:rtl/>
        </w:rPr>
        <w:instrText xml:space="preserve"> NOTEREF pr_f_3866 \h </w:instrText>
      </w:r>
      <w:r>
        <w:rPr>
          <w:sz w:val="20"/>
          <w:szCs w:val="20"/>
          <w:rtl/>
        </w:rPr>
      </w:r>
      <w:r>
        <w:rPr>
          <w:sz w:val="20"/>
          <w:szCs w:val="20"/>
          <w:rtl/>
        </w:rPr>
        <w:fldChar w:fldCharType="separate"/>
      </w:r>
      <w:r w:rsidR="007923E9">
        <w:rPr>
          <w:sz w:val="20"/>
          <w:szCs w:val="20"/>
          <w:rtl/>
        </w:rPr>
        <w:t>943</w:t>
      </w:r>
      <w:r>
        <w:rPr>
          <w:sz w:val="20"/>
          <w:szCs w:val="20"/>
          <w:rtl/>
        </w:rPr>
        <w:fldChar w:fldCharType="end"/>
      </w:r>
      <w:r>
        <w:rPr>
          <w:sz w:val="20"/>
          <w:szCs w:val="20"/>
          <w:rtl/>
        </w:rPr>
        <w:t xml:space="preserve"> לעיל.</w:t>
      </w:r>
    </w:p>
  </w:footnote>
  <w:footnote w:id="3991">
    <w:p w14:paraId="5F8EFF4B" w14:textId="77777777" w:rsidR="00AB3647" w:rsidRDefault="00000000">
      <w:pPr>
        <w:spacing w:after="0" w:before="0"/>
        <w:jc w:val="both"/>
      </w:pPr>
      <w:r>
        <w:rPr>
          <w:sz w:val="20"/>
          <w:szCs w:val="20"/>
          <w:rtl/>
        </w:rPr>
        <w:footnoteRef/>
      </w:r>
      <w:r>
        <w:rPr>
          <w:sz w:val="20"/>
          <w:szCs w:val="20"/>
          <w:rtl/>
        </w:rPr>
        <w:t xml:space="preserve">. “ספר אליהו” (המקור הנזכר בפרק 1, נספח ו), עמ׳ 22 ו־24, </w:t>
      </w:r>
      <w:proofErr w:type="spellStart"/>
      <w:r>
        <w:rPr>
          <w:sz w:val="20"/>
          <w:szCs w:val="20"/>
          <w:rtl/>
        </w:rPr>
        <w:t>ו“החפץ</w:t>
      </w:r>
      <w:proofErr w:type="spellEnd"/>
      <w:r>
        <w:rPr>
          <w:sz w:val="20"/>
          <w:szCs w:val="20"/>
          <w:rtl/>
        </w:rPr>
        <w:t xml:space="preserve"> חיים (ישר)” (המקור הנזכר בפרק 1, הערה 7), עמ׳ 23 – העוסקים, בהתאמה, בנישואין שנערכו </w:t>
      </w:r>
      <w:proofErr w:type="spellStart"/>
      <w:r>
        <w:rPr>
          <w:sz w:val="20"/>
          <w:szCs w:val="20"/>
          <w:rtl/>
        </w:rPr>
        <w:t>שלוש־עשרה</w:t>
      </w:r>
      <w:proofErr w:type="spellEnd"/>
      <w:r>
        <w:rPr>
          <w:sz w:val="20"/>
          <w:szCs w:val="20"/>
          <w:rtl/>
        </w:rPr>
        <w:t xml:space="preserve"> שנים לפני נישואי ר׳ חיים ושבע שנים אחריהם – נותנים שש שנים כהקצבה הרגילה של “</w:t>
      </w:r>
      <w:proofErr w:type="spellStart"/>
      <w:r>
        <w:rPr>
          <w:sz w:val="20"/>
          <w:szCs w:val="20"/>
          <w:rtl/>
        </w:rPr>
        <w:t>קעסט</w:t>
      </w:r>
      <w:proofErr w:type="spellEnd"/>
      <w:r>
        <w:rPr>
          <w:sz w:val="20"/>
          <w:szCs w:val="20"/>
          <w:rtl/>
        </w:rPr>
        <w:t xml:space="preserve">”. מפתיע </w:t>
      </w:r>
      <w:proofErr w:type="spellStart"/>
      <w:r>
        <w:rPr>
          <w:sz w:val="20"/>
          <w:szCs w:val="20"/>
          <w:rtl/>
        </w:rPr>
        <w:t>ש“הראשון</w:t>
      </w:r>
      <w:proofErr w:type="spellEnd"/>
      <w:r>
        <w:rPr>
          <w:sz w:val="20"/>
          <w:szCs w:val="20"/>
          <w:rtl/>
        </w:rPr>
        <w:t xml:space="preserve">”, עמ׳ 311, מקציב </w:t>
      </w:r>
      <w:proofErr w:type="spellStart"/>
      <w:r>
        <w:rPr>
          <w:sz w:val="20"/>
          <w:szCs w:val="20"/>
          <w:rtl/>
        </w:rPr>
        <w:t>לר</w:t>
      </w:r>
      <w:proofErr w:type="spellEnd"/>
      <w:r>
        <w:rPr>
          <w:sz w:val="20"/>
          <w:szCs w:val="20"/>
          <w:rtl/>
        </w:rPr>
        <w:t>׳ חיים חמש שנים בלבד – בלי אסמכתה, ואחרי שכבר נאמר בו בעמ׳ 87 שאביו של ר׳ חיים קיבל בשעתו שש שנות “</w:t>
      </w:r>
      <w:proofErr w:type="spellStart"/>
      <w:r>
        <w:rPr>
          <w:sz w:val="20"/>
          <w:szCs w:val="20"/>
          <w:rtl/>
        </w:rPr>
        <w:t>קעסט</w:t>
      </w:r>
      <w:proofErr w:type="spellEnd"/>
      <w:r>
        <w:rPr>
          <w:sz w:val="20"/>
          <w:szCs w:val="20"/>
          <w:rtl/>
        </w:rPr>
        <w:t xml:space="preserve">”. הוא מוסיף </w:t>
      </w:r>
      <w:proofErr w:type="spellStart"/>
      <w:r>
        <w:rPr>
          <w:sz w:val="20"/>
          <w:szCs w:val="20"/>
          <w:rtl/>
        </w:rPr>
        <w:t>ש“מפני</w:t>
      </w:r>
      <w:proofErr w:type="spellEnd"/>
      <w:r>
        <w:rPr>
          <w:sz w:val="20"/>
          <w:szCs w:val="20"/>
          <w:rtl/>
        </w:rPr>
        <w:t xml:space="preserve"> שלא הייתה ברירה” האריך ר׳ חיים את תקופת </w:t>
      </w:r>
      <w:proofErr w:type="spellStart"/>
      <w:r>
        <w:rPr>
          <w:sz w:val="20"/>
          <w:szCs w:val="20"/>
          <w:rtl/>
        </w:rPr>
        <w:t>ה“קעסט</w:t>
      </w:r>
      <w:proofErr w:type="spellEnd"/>
      <w:r>
        <w:rPr>
          <w:sz w:val="20"/>
          <w:szCs w:val="20"/>
          <w:rtl/>
        </w:rPr>
        <w:t xml:space="preserve">” בשנה שישית, מעבר למוסכם. הדבר כביכול “הקשה על חותנו”, </w:t>
      </w:r>
      <w:proofErr w:type="spellStart"/>
      <w:r>
        <w:rPr>
          <w:sz w:val="20"/>
          <w:szCs w:val="20"/>
          <w:rtl/>
        </w:rPr>
        <w:t>ו“היה</w:t>
      </w:r>
      <w:proofErr w:type="spellEnd"/>
      <w:r>
        <w:rPr>
          <w:sz w:val="20"/>
          <w:szCs w:val="20"/>
          <w:rtl/>
        </w:rPr>
        <w:t xml:space="preserve"> דבר שר׳ חיים ראה כעוול זועק הקרוב לגזל, והצטער עליו מאוד”.</w:t>
      </w:r>
    </w:p>
    <w:p w14:paraId="0BE4BDFC" w14:textId="77777777" w:rsidR="00AB3647" w:rsidRDefault="00000000">
      <w:pPr>
        <w:spacing w:after="0" w:before="0"/>
        <w:jc w:val="both"/>
      </w:pPr>
      <w:r>
        <w:rPr>
          <w:sz w:val="20"/>
          <w:szCs w:val="20"/>
          <w:rtl/>
        </w:rPr>
        <w:t xml:space="preserve">תיאורו של “הראשון” אינו מתקבל על הדעת כשמדובר בר׳ חיים. הוא לעולם לא היה כופה את עצמו על חותנו מעבר לתקופת </w:t>
      </w:r>
      <w:proofErr w:type="spellStart"/>
      <w:r>
        <w:rPr>
          <w:sz w:val="20"/>
          <w:szCs w:val="20"/>
          <w:rtl/>
        </w:rPr>
        <w:t>ה“קעסט</w:t>
      </w:r>
      <w:proofErr w:type="spellEnd"/>
      <w:r>
        <w:rPr>
          <w:sz w:val="20"/>
          <w:szCs w:val="20"/>
          <w:rtl/>
        </w:rPr>
        <w:t xml:space="preserve">” המוסכמת – לא רק בשל עדינותו האישית וזהירותו שלא לעבור על “לא תרדה בו בפרך” (ויקרא כה, מג), שרבנו יונה </w:t>
      </w:r>
      <w:proofErr w:type="spellStart"/>
      <w:r>
        <w:rPr>
          <w:sz w:val="20"/>
          <w:szCs w:val="20"/>
          <w:rtl/>
        </w:rPr>
        <w:t>ב“שערי</w:t>
      </w:r>
      <w:proofErr w:type="spellEnd"/>
      <w:r>
        <w:rPr>
          <w:sz w:val="20"/>
          <w:szCs w:val="20"/>
          <w:rtl/>
        </w:rPr>
        <w:t xml:space="preserve"> תשובה”, שער שלישי, אות ס, מפרש שהוא כולל בקשה מאדם לעשות דבר, “קטנה או גדולה”, מתוך פחד או בושה – אלא דווקא משום שמעשה כזה היה “קרוב לגזל”. ראה גם פרק 5, נספח ט, כיצד ר׳ חיים רעב ממש, ואולי אף סיכן את חייו, במינסק, ולא העלה על דעתו אפילו שמץ של גזל. וכמו בנו ר׳ יצחק־זאב, גם ר׳ חיים היה סולד לחלוטין מקבלת מתנה מכל אדם; ראה הפסקה הראשונה בנספח כ להלן. המסקנה: אם נשאר ר׳ חיים </w:t>
      </w:r>
      <w:proofErr w:type="spellStart"/>
      <w:r>
        <w:rPr>
          <w:sz w:val="20"/>
          <w:szCs w:val="20"/>
          <w:rtl/>
        </w:rPr>
        <w:t>ב“קעסט</w:t>
      </w:r>
      <w:proofErr w:type="spellEnd"/>
      <w:r>
        <w:rPr>
          <w:sz w:val="20"/>
          <w:szCs w:val="20"/>
          <w:rtl/>
        </w:rPr>
        <w:t>” שנה שישית – וכך אכן היה – הרי זה רק משום שהסכם הנישואין המקורי קצב לו שש שנות “</w:t>
      </w:r>
      <w:proofErr w:type="spellStart"/>
      <w:r>
        <w:rPr>
          <w:sz w:val="20"/>
          <w:szCs w:val="20"/>
          <w:rtl/>
        </w:rPr>
        <w:t>קעסט</w:t>
      </w:r>
      <w:proofErr w:type="spellEnd"/>
      <w:r>
        <w:rPr>
          <w:sz w:val="20"/>
          <w:szCs w:val="20"/>
          <w:rtl/>
        </w:rPr>
        <w:t>”, ולא חמש.</w:t>
      </w:r>
    </w:p>
  </w:footnote>
  <w:footnote w:id="3992">
    <w:p w14:paraId="615928F0" w14:textId="77777777" w:rsidR="00AB3647" w:rsidRDefault="00000000">
      <w:pPr>
        <w:spacing w:after="0" w:before="0"/>
        <w:jc w:val="both"/>
      </w:pPr>
      <w:r>
        <w:rPr>
          <w:sz w:val="20"/>
          <w:szCs w:val="20"/>
          <w:rtl/>
        </w:rPr>
        <w:footnoteRef/>
      </w:r>
      <w:r>
        <w:rPr>
          <w:sz w:val="20"/>
          <w:szCs w:val="20"/>
          <w:rtl/>
        </w:rPr>
        <w:t>. ריאיון מ־31 באוגוסט 1992.</w:t>
      </w:r>
    </w:p>
  </w:footnote>
  <w:footnote w:id="3993">
    <w:p w14:paraId="34846876" w14:textId="77777777" w:rsidR="00AB3647" w:rsidRDefault="00000000">
      <w:pPr>
        <w:spacing w:after="0" w:before="0"/>
        <w:jc w:val="both"/>
      </w:pPr>
      <w:r>
        <w:rPr>
          <w:sz w:val="20"/>
          <w:szCs w:val="20"/>
          <w:rtl/>
        </w:rPr>
        <w:footnoteRef/>
      </w:r>
      <w:r>
        <w:rPr>
          <w:sz w:val="20"/>
          <w:szCs w:val="20"/>
          <w:rtl/>
        </w:rPr>
        <w:t>. השווה לפרק 5, נספח י.</w:t>
      </w:r>
    </w:p>
  </w:footnote>
  <w:footnote w:id="3994">
    <w:p w14:paraId="56A85893" w14:textId="77777777" w:rsidR="00AB3647" w:rsidRDefault="00000000">
      <w:pPr>
        <w:spacing w:after="0" w:before="0"/>
        <w:jc w:val="both"/>
      </w:pPr>
      <w:r>
        <w:rPr>
          <w:sz w:val="20"/>
          <w:szCs w:val="20"/>
          <w:rtl/>
        </w:rPr>
        <w:footnoteRef/>
      </w:r>
      <w:r>
        <w:rPr>
          <w:sz w:val="20"/>
          <w:szCs w:val="20"/>
          <w:rtl/>
        </w:rPr>
        <w:t>. ריאיון מ־25 במאי 1997.</w:t>
      </w:r>
    </w:p>
  </w:footnote>
  <w:footnote w:id="3995">
    <w:p w14:paraId="135AD3D9" w14:textId="77777777" w:rsidR="00AB3647" w:rsidRDefault="00000000">
      <w:pPr>
        <w:spacing w:after="0" w:before="0"/>
        <w:jc w:val="both"/>
      </w:pPr>
      <w:r>
        <w:rPr>
          <w:sz w:val="20"/>
          <w:szCs w:val="20"/>
          <w:rtl/>
        </w:rPr>
        <w:footnoteRef/>
      </w:r>
      <w:r>
        <w:rPr>
          <w:sz w:val="20"/>
          <w:szCs w:val="20"/>
          <w:rtl/>
        </w:rPr>
        <w:t xml:space="preserve">. לא ברור אם ר׳ יוסף־דב </w:t>
      </w:r>
      <w:proofErr w:type="spellStart"/>
      <w:r>
        <w:rPr>
          <w:sz w:val="20"/>
          <w:szCs w:val="20"/>
          <w:rtl/>
        </w:rPr>
        <w:t>סולובייצ׳יק</w:t>
      </w:r>
      <w:proofErr w:type="spellEnd"/>
      <w:r>
        <w:rPr>
          <w:sz w:val="20"/>
          <w:szCs w:val="20"/>
          <w:rtl/>
        </w:rPr>
        <w:t xml:space="preserve">, אביו של ר׳ חיים, הציע את </w:t>
      </w:r>
      <w:proofErr w:type="spellStart"/>
      <w:r>
        <w:rPr>
          <w:sz w:val="20"/>
          <w:szCs w:val="20"/>
          <w:rtl/>
        </w:rPr>
        <w:t>ה“שיפור</w:t>
      </w:r>
      <w:proofErr w:type="spellEnd"/>
      <w:r>
        <w:rPr>
          <w:sz w:val="20"/>
          <w:szCs w:val="20"/>
          <w:rtl/>
        </w:rPr>
        <w:t>” הזה ברצינות או בדרך הלצה – כדי להבהיר לכלתו שמחשבת בעלה עסוקה בעניינים חשובים בהרבה מן השאלה במה לקנח את אפו.</w:t>
      </w:r>
    </w:p>
  </w:footnote>
  <w:footnote w:id="3996">
    <w:p w14:paraId="1E7DFA82" w14:textId="77777777" w:rsidR="00AB3647" w:rsidRDefault="00000000">
      <w:pPr>
        <w:spacing w:after="0" w:before="0"/>
        <w:jc w:val="both"/>
      </w:pPr>
      <w:r>
        <w:rPr>
          <w:sz w:val="20"/>
          <w:szCs w:val="20"/>
          <w:rtl/>
        </w:rPr>
        <w:footnoteRef/>
      </w:r>
      <w:r>
        <w:rPr>
          <w:sz w:val="20"/>
          <w:szCs w:val="20"/>
          <w:rtl/>
        </w:rPr>
        <w:t xml:space="preserve">. השווה פרק 4, סעיף 2, בתיאור ישיבת </w:t>
      </w:r>
      <w:proofErr w:type="spellStart"/>
      <w:r>
        <w:rPr>
          <w:sz w:val="20"/>
          <w:szCs w:val="20"/>
          <w:rtl/>
        </w:rPr>
        <w:t>טלז</w:t>
      </w:r>
      <w:proofErr w:type="spellEnd"/>
      <w:r>
        <w:rPr>
          <w:sz w:val="20"/>
          <w:szCs w:val="20"/>
          <w:rtl/>
        </w:rPr>
        <w:t>.</w:t>
      </w:r>
    </w:p>
  </w:footnote>
  <w:footnote w:id="3997">
    <w:p w14:paraId="62001C6D" w14:textId="77777777" w:rsidR="00AB3647" w:rsidRDefault="00000000">
      <w:pPr>
        <w:spacing w:after="0" w:before="0"/>
        <w:jc w:val="both"/>
      </w:pPr>
      <w:r>
        <w:rPr>
          <w:sz w:val="20"/>
          <w:szCs w:val="20"/>
          <w:rtl/>
        </w:rPr>
        <w:footnoteRef/>
      </w:r>
      <w:r>
        <w:rPr>
          <w:sz w:val="20"/>
          <w:szCs w:val="20"/>
          <w:rtl/>
        </w:rPr>
        <w:t>. הספר הנזכר בפרק 1, הערה 5, עמ׳ 194.</w:t>
      </w:r>
    </w:p>
  </w:footnote>
  <w:footnote w:id="3998">
    <w:p w14:paraId="394F5B36" w14:textId="77777777" w:rsidR="00AB3647" w:rsidRDefault="00000000">
      <w:pPr>
        <w:spacing w:after="0" w:before="0"/>
        <w:jc w:val="both"/>
      </w:pPr>
      <w:r>
        <w:rPr>
          <w:rStyle w:val="a5"/>
          <w:vertAlign w:val="superscript"/>
          <w:rtl/>
        </w:rPr>
        <w:footnoteRef/>
      </w:r>
      <w:r>
        <w:rPr>
          <w:sz w:val="20"/>
          <w:szCs w:val="20"/>
        </w:rPr>
        <w:t xml:space="preserve"> </w:t>
      </w:r>
      <w:r>
        <w:rPr>
          <w:sz w:val="20"/>
          <w:szCs w:val="20"/>
          <w:rtl/>
        </w:rPr>
        <w:t xml:space="preserve">הערת המתרגם: נוסח דברי ר׳ חיים </w:t>
      </w:r>
      <w:proofErr w:type="spellStart"/>
      <w:r>
        <w:rPr>
          <w:sz w:val="20"/>
          <w:szCs w:val="20"/>
          <w:rtl/>
        </w:rPr>
        <w:t>לר</w:t>
      </w:r>
      <w:proofErr w:type="spellEnd"/>
      <w:r>
        <w:rPr>
          <w:sz w:val="20"/>
          <w:szCs w:val="20"/>
          <w:rtl/>
        </w:rPr>
        <w:t xml:space="preserve">׳ </w:t>
      </w:r>
      <w:proofErr w:type="spellStart"/>
      <w:r>
        <w:rPr>
          <w:sz w:val="20"/>
          <w:szCs w:val="20"/>
          <w:rtl/>
        </w:rPr>
        <w:t>איסר־זלמן</w:t>
      </w:r>
      <w:proofErr w:type="spellEnd"/>
      <w:r>
        <w:rPr>
          <w:sz w:val="20"/>
          <w:szCs w:val="20"/>
          <w:rtl/>
        </w:rPr>
        <w:t xml:space="preserve"> הובא מן הסיפור המקביל </w:t>
      </w:r>
      <w:proofErr w:type="spellStart"/>
      <w:r>
        <w:rPr>
          <w:sz w:val="20"/>
          <w:szCs w:val="20"/>
          <w:rtl/>
        </w:rPr>
        <w:t>ב“משל</w:t>
      </w:r>
      <w:proofErr w:type="spellEnd"/>
      <w:r>
        <w:rPr>
          <w:sz w:val="20"/>
          <w:szCs w:val="20"/>
          <w:rtl/>
        </w:rPr>
        <w:t xml:space="preserve"> האבות – פרקי אבות” (משה לוי), עמ׳ פז, מפי ר׳ צבי </w:t>
      </w:r>
      <w:proofErr w:type="spellStart"/>
      <w:r>
        <w:rPr>
          <w:sz w:val="20"/>
          <w:szCs w:val="20"/>
          <w:rtl/>
        </w:rPr>
        <w:t>ברוידא</w:t>
      </w:r>
      <w:proofErr w:type="spellEnd"/>
      <w:r>
        <w:rPr>
          <w:sz w:val="20"/>
          <w:szCs w:val="20"/>
          <w:rtl/>
        </w:rPr>
        <w:t xml:space="preserve"> ששמע מר׳ </w:t>
      </w:r>
      <w:proofErr w:type="spellStart"/>
      <w:r>
        <w:rPr>
          <w:sz w:val="20"/>
          <w:szCs w:val="20"/>
          <w:rtl/>
        </w:rPr>
        <w:t>איסר־זלמן</w:t>
      </w:r>
      <w:proofErr w:type="spellEnd"/>
      <w:r>
        <w:rPr>
          <w:sz w:val="20"/>
          <w:szCs w:val="20"/>
          <w:rtl/>
        </w:rPr>
        <w:t xml:space="preserve">. </w:t>
      </w:r>
      <w:proofErr w:type="spellStart"/>
      <w:r>
        <w:rPr>
          <w:sz w:val="20"/>
          <w:szCs w:val="20"/>
          <w:rtl/>
        </w:rPr>
        <w:t>ב“בדרך</w:t>
      </w:r>
      <w:proofErr w:type="spellEnd"/>
      <w:r>
        <w:rPr>
          <w:sz w:val="20"/>
          <w:szCs w:val="20"/>
          <w:rtl/>
        </w:rPr>
        <w:t xml:space="preserve"> עץ החיים” שבידינו (הדפסה שלישית, תשס״ו) העימוד שונה, והקטע לא אותר.</w:t>
      </w:r>
    </w:p>
  </w:footnote>
  <w:footnote w:id="3999">
    <w:p w14:paraId="346B09C0" w14:textId="77777777" w:rsidR="00AB3647" w:rsidRDefault="00000000">
      <w:pPr>
        <w:spacing w:after="0" w:before="0"/>
        <w:jc w:val="both"/>
      </w:pPr>
      <w:r>
        <w:rPr>
          <w:sz w:val="20"/>
          <w:szCs w:val="20"/>
          <w:rtl/>
        </w:rPr>
        <w:footnoteRef/>
      </w:r>
      <w:r>
        <w:rPr>
          <w:sz w:val="20"/>
          <w:szCs w:val="20"/>
          <w:rtl/>
        </w:rPr>
        <w:t>. ראה גם פרק 3, סוף הערה 32.</w:t>
      </w:r>
    </w:p>
  </w:footnote>
  <w:footnote w:id="4000">
    <w:p w14:paraId="0961CA25" w14:textId="77777777" w:rsidR="00AB3647" w:rsidRDefault="00000000">
      <w:pPr>
        <w:spacing w:after="0" w:before="0"/>
        <w:jc w:val="both"/>
      </w:pPr>
      <w:r>
        <w:rPr>
          <w:sz w:val="20"/>
          <w:szCs w:val="20"/>
          <w:rtl/>
        </w:rPr>
        <w:footnoteRef/>
      </w:r>
      <w:r>
        <w:rPr>
          <w:sz w:val="20"/>
          <w:szCs w:val="20"/>
          <w:rtl/>
        </w:rPr>
        <w:t>. ריאיון מ־2 במאי 1998.</w:t>
      </w:r>
    </w:p>
  </w:footnote>
  <w:footnote w:id="4001">
    <w:p w14:paraId="0794942F" w14:textId="77777777" w:rsidR="00AB3647" w:rsidRDefault="00000000">
      <w:pPr>
        <w:spacing w:after="0" w:before="0"/>
        <w:jc w:val="both"/>
      </w:pPr>
      <w:r>
        <w:rPr>
          <w:sz w:val="20"/>
          <w:szCs w:val="20"/>
          <w:rtl/>
        </w:rPr>
        <w:footnoteRef/>
      </w:r>
      <w:r>
        <w:rPr>
          <w:sz w:val="20"/>
          <w:szCs w:val="20"/>
          <w:rtl/>
        </w:rPr>
        <w:t>. הספר הנזכר בפרק 2, הפסקה השנייה של נספח א, כרך א, עמ׳ 182–184.</w:t>
      </w:r>
    </w:p>
  </w:footnote>
  <w:footnote w:id="4002">
    <w:p w14:paraId="6A057F07" w14:textId="77777777" w:rsidR="00AB3647" w:rsidRDefault="00000000">
      <w:pPr>
        <w:spacing w:after="0" w:before="0"/>
        <w:jc w:val="both"/>
      </w:pPr>
      <w:r>
        <w:rPr>
          <w:sz w:val="20"/>
          <w:szCs w:val="20"/>
          <w:rtl/>
        </w:rPr>
        <w:footnoteRef/>
      </w:r>
      <w:r>
        <w:rPr>
          <w:sz w:val="20"/>
          <w:szCs w:val="20"/>
          <w:rtl/>
        </w:rPr>
        <w:t>. הספר הנזכר בפרק 3, נספח ט, עמ׳ י. ראה גם שם, הערה 10. מקור זה בנפש הרב מובא גם בפרק 5, בפסקה השלישית של נספח ו.</w:t>
      </w:r>
    </w:p>
  </w:footnote>
  <w:footnote w:id="4003">
    <w:p w14:paraId="6FE712F8" w14:textId="77777777" w:rsidR="00AB3647" w:rsidRDefault="00000000">
      <w:pPr>
        <w:spacing w:after="0" w:before="0"/>
        <w:jc w:val="both"/>
      </w:pPr>
      <w:r>
        <w:rPr>
          <w:sz w:val="20"/>
          <w:szCs w:val="20"/>
          <w:rtl/>
        </w:rPr>
        <w:footnoteRef/>
      </w:r>
      <w:r>
        <w:rPr>
          <w:sz w:val="20"/>
          <w:szCs w:val="20"/>
          <w:rtl/>
        </w:rPr>
        <w:t xml:space="preserve">. אין זה מרחיק לכת לקשור את סיפורו של ר׳ מיכל </w:t>
      </w:r>
      <w:proofErr w:type="spellStart"/>
      <w:r>
        <w:rPr>
          <w:sz w:val="20"/>
          <w:szCs w:val="20"/>
          <w:rtl/>
        </w:rPr>
        <w:t>שורקין</w:t>
      </w:r>
      <w:proofErr w:type="spellEnd"/>
      <w:r>
        <w:rPr>
          <w:sz w:val="20"/>
          <w:szCs w:val="20"/>
          <w:rtl/>
        </w:rPr>
        <w:t xml:space="preserve">, על שר׳ חיים חזר בו משיעור שהכין, לא למינויו </w:t>
      </w:r>
      <w:proofErr w:type="spellStart"/>
      <w:r>
        <w:rPr>
          <w:sz w:val="20"/>
          <w:szCs w:val="20"/>
          <w:rtl/>
        </w:rPr>
        <w:t>בוולוז׳ין</w:t>
      </w:r>
      <w:proofErr w:type="spellEnd"/>
      <w:r>
        <w:rPr>
          <w:sz w:val="20"/>
          <w:szCs w:val="20"/>
          <w:rtl/>
        </w:rPr>
        <w:t xml:space="preserve"> אלא לתקופה שבה החל למסור שיעורים </w:t>
      </w:r>
      <w:proofErr w:type="spellStart"/>
      <w:r>
        <w:rPr>
          <w:sz w:val="20"/>
          <w:szCs w:val="20"/>
          <w:rtl/>
        </w:rPr>
        <w:t>בבריסק</w:t>
      </w:r>
      <w:proofErr w:type="spellEnd"/>
      <w:r>
        <w:rPr>
          <w:sz w:val="20"/>
          <w:szCs w:val="20"/>
          <w:rtl/>
        </w:rPr>
        <w:t xml:space="preserve"> אחרי סגירת </w:t>
      </w:r>
      <w:proofErr w:type="spellStart"/>
      <w:r>
        <w:rPr>
          <w:sz w:val="20"/>
          <w:szCs w:val="20"/>
          <w:rtl/>
        </w:rPr>
        <w:t>וולוז׳ין</w:t>
      </w:r>
      <w:proofErr w:type="spellEnd"/>
      <w:r>
        <w:rPr>
          <w:sz w:val="20"/>
          <w:szCs w:val="20"/>
          <w:rtl/>
        </w:rPr>
        <w:t xml:space="preserve"> (ראה להלן, הפסקה הראשונה של נספח </w:t>
      </w:r>
      <w:proofErr w:type="spellStart"/>
      <w:r>
        <w:rPr>
          <w:sz w:val="20"/>
          <w:szCs w:val="20"/>
          <w:rtl/>
        </w:rPr>
        <w:t>יג</w:t>
      </w:r>
      <w:proofErr w:type="spellEnd"/>
      <w:r>
        <w:rPr>
          <w:sz w:val="20"/>
          <w:szCs w:val="20"/>
          <w:rtl/>
        </w:rPr>
        <w:t xml:space="preserve">). הדבר יוכיח שר׳ חיים ניסה לפתוח ישיבה </w:t>
      </w:r>
      <w:proofErr w:type="spellStart"/>
      <w:r>
        <w:rPr>
          <w:sz w:val="20"/>
          <w:szCs w:val="20"/>
          <w:rtl/>
        </w:rPr>
        <w:t>בבריסק</w:t>
      </w:r>
      <w:proofErr w:type="spellEnd"/>
      <w:r>
        <w:rPr>
          <w:sz w:val="20"/>
          <w:szCs w:val="20"/>
          <w:rtl/>
        </w:rPr>
        <w:t xml:space="preserve">, והיה עליו לעשות רושם טוב על התלמידים שבאו ללמוד אצלו. הסיפור שבספרו של </w:t>
      </w:r>
      <w:proofErr w:type="spellStart"/>
      <w:r>
        <w:rPr>
          <w:sz w:val="20"/>
          <w:szCs w:val="20"/>
          <w:rtl/>
        </w:rPr>
        <w:t>ידעאל</w:t>
      </w:r>
      <w:proofErr w:type="spellEnd"/>
      <w:r>
        <w:rPr>
          <w:sz w:val="20"/>
          <w:szCs w:val="20"/>
          <w:rtl/>
        </w:rPr>
        <w:t xml:space="preserve"> מלצר, “בדרך עץ החיים”, התרחש בוודאי </w:t>
      </w:r>
      <w:proofErr w:type="spellStart"/>
      <w:r>
        <w:rPr>
          <w:sz w:val="20"/>
          <w:szCs w:val="20"/>
          <w:rtl/>
        </w:rPr>
        <w:t>בוולוז׳ין</w:t>
      </w:r>
      <w:proofErr w:type="spellEnd"/>
      <w:r>
        <w:rPr>
          <w:sz w:val="20"/>
          <w:szCs w:val="20"/>
          <w:rtl/>
        </w:rPr>
        <w:t xml:space="preserve">, כשר׳ חיים היה “ר״מ צעיר...”; בעת סגירת </w:t>
      </w:r>
      <w:proofErr w:type="spellStart"/>
      <w:r>
        <w:rPr>
          <w:sz w:val="20"/>
          <w:szCs w:val="20"/>
          <w:rtl/>
        </w:rPr>
        <w:t>וולוז׳ין</w:t>
      </w:r>
      <w:proofErr w:type="spellEnd"/>
      <w:r>
        <w:rPr>
          <w:sz w:val="20"/>
          <w:szCs w:val="20"/>
          <w:rtl/>
        </w:rPr>
        <w:t xml:space="preserve"> כבר היה בן שלושים ותשע.</w:t>
      </w:r>
    </w:p>
  </w:footnote>
  <w:footnote w:id="4004">
    <w:p w14:paraId="0ECFB5B9" w14:textId="77777777" w:rsidR="00AB3647" w:rsidRDefault="00000000">
      <w:pPr>
        <w:spacing w:after="0" w:before="0"/>
        <w:jc w:val="both"/>
      </w:pPr>
      <w:r>
        <w:rPr>
          <w:sz w:val="20"/>
          <w:szCs w:val="20"/>
          <w:rtl/>
        </w:rPr>
        <w:footnoteRef/>
      </w:r>
      <w:r>
        <w:rPr>
          <w:sz w:val="20"/>
          <w:szCs w:val="20"/>
          <w:rtl/>
        </w:rPr>
        <w:t>. השווה לפרק 5, הפסקה הרביעית של נספח ו.</w:t>
      </w:r>
    </w:p>
  </w:footnote>
  <w:footnote w:id="4005">
    <w:p w14:paraId="517B36F9" w14:textId="77777777" w:rsidR="00AB3647" w:rsidRDefault="00000000">
      <w:pPr>
        <w:spacing w:after="0" w:before="0"/>
        <w:jc w:val="both"/>
      </w:pPr>
      <w:r>
        <w:rPr>
          <w:sz w:val="20"/>
          <w:szCs w:val="20"/>
          <w:rtl/>
        </w:rPr>
        <w:footnoteRef/>
      </w:r>
      <w:r>
        <w:rPr>
          <w:sz w:val="20"/>
          <w:szCs w:val="20"/>
          <w:rtl/>
        </w:rPr>
        <w:t>. ריאיון מ־4 בפברואר 1998.</w:t>
      </w:r>
    </w:p>
  </w:footnote>
  <w:footnote w:id="4006">
    <w:p w14:paraId="7EF8D435" w14:textId="77777777" w:rsidR="00AB3647" w:rsidRDefault="00000000">
      <w:pPr>
        <w:spacing w:after="0" w:before="0"/>
        <w:jc w:val="both"/>
      </w:pPr>
      <w:r>
        <w:rPr>
          <w:sz w:val="20"/>
          <w:szCs w:val="20"/>
          <w:rtl/>
        </w:rPr>
        <w:footnoteRef/>
      </w:r>
      <w:r>
        <w:rPr>
          <w:sz w:val="20"/>
          <w:szCs w:val="20"/>
          <w:rtl/>
        </w:rPr>
        <w:t xml:space="preserve">. השווה גם “הרב”, כרך א, עמ׳ 182, המביא בשם ר׳ </w:t>
      </w:r>
      <w:proofErr w:type="spellStart"/>
      <w:r>
        <w:rPr>
          <w:sz w:val="20"/>
          <w:szCs w:val="20"/>
          <w:rtl/>
        </w:rPr>
        <w:t xml:space="preserve">יוסף־דב</w:t>
      </w:r>
      <w:proofErr w:type="spellEnd"/>
      <w:r>
        <w:rPr>
          <w:sz w:val="20"/>
          <w:szCs w:val="20"/>
          <w:rtl/>
        </w:rPr>
        <w:t xml:space="preserve"> </w:t>
      </w:r>
      <w:proofErr w:type="spellStart"/>
      <w:r>
        <w:rPr>
          <w:sz w:val="20"/>
          <w:szCs w:val="20"/>
          <w:rtl/>
        </w:rPr>
        <w:t>סולובייצ׳יק</w:t>
      </w:r>
      <w:proofErr w:type="spellEnd"/>
      <w:r>
        <w:rPr>
          <w:sz w:val="20"/>
          <w:szCs w:val="20"/>
          <w:rtl/>
        </w:rPr>
        <w:t xml:space="preserve"> שמתנגדי גישתו החדשה של ר׳ חיים כינו את שיטתו האנליטית “כימיה”; הערת שוליים 1 שם מפנה את הקורא </w:t>
      </w:r>
      <w:proofErr w:type="spellStart"/>
      <w:r>
        <w:rPr>
          <w:sz w:val="20"/>
          <w:szCs w:val="20"/>
          <w:rtl/>
        </w:rPr>
        <w:t>לשטמפפר</w:t>
      </w:r>
      <w:proofErr w:type="spellEnd"/>
      <w:r>
        <w:rPr>
          <w:sz w:val="20"/>
          <w:szCs w:val="20"/>
          <w:rtl/>
        </w:rPr>
        <w:t xml:space="preserve"> (פרק 3, נספח ו), עמ׳ 113. ראה גם שם, הערת שוליים 29, המביאה בשם ר׳ שאול ליברמן שלא ר׳ חיים </w:t>
      </w:r>
      <w:proofErr w:type="spellStart"/>
      <w:r>
        <w:rPr>
          <w:sz w:val="20"/>
          <w:szCs w:val="20"/>
          <w:rtl/>
        </w:rPr>
        <w:t>סולובייצ׳יק</w:t>
      </w:r>
      <w:proofErr w:type="spellEnd"/>
      <w:r>
        <w:rPr>
          <w:sz w:val="20"/>
          <w:szCs w:val="20"/>
          <w:rtl/>
        </w:rPr>
        <w:t xml:space="preserve"> אלא ר׳ </w:t>
      </w:r>
      <w:proofErr w:type="spellStart"/>
      <w:r>
        <w:rPr>
          <w:sz w:val="20"/>
          <w:szCs w:val="20"/>
          <w:rtl/>
        </w:rPr>
        <w:t>יצחק־יעקב</w:t>
      </w:r>
      <w:proofErr w:type="spellEnd"/>
      <w:r>
        <w:rPr>
          <w:sz w:val="20"/>
          <w:szCs w:val="20"/>
          <w:rtl/>
        </w:rPr>
        <w:t xml:space="preserve"> ריינס הוא שכונה “כימאי”, בשל דרכו בניתוח סוגיה תלמודית. ר׳ </w:t>
      </w:r>
      <w:proofErr w:type="spellStart"/>
      <w:r>
        <w:rPr>
          <w:sz w:val="20"/>
          <w:szCs w:val="20"/>
          <w:rtl/>
        </w:rPr>
        <w:t>יצחק־יעקב</w:t>
      </w:r>
      <w:proofErr w:type="spellEnd"/>
      <w:r>
        <w:rPr>
          <w:sz w:val="20"/>
          <w:szCs w:val="20"/>
          <w:rtl/>
        </w:rPr>
        <w:t xml:space="preserve"> ריינס פרש את שיטתו האנליטית החדשה בתלמוד בספרו “חותם תכנית”: ראה הערות שוליים </w:t>
      </w:r>
      <w:r>
        <w:rPr>
          <w:sz w:val="20"/>
          <w:szCs w:val="20"/>
          <w:rtl/>
        </w:rPr>
        <w:fldChar w:fldCharType="begin" w:dirty="true"/>
      </w:r>
      <w:r>
        <w:rPr>
          <w:sz w:val="20"/>
          <w:szCs w:val="20"/>
          <w:rtl/>
        </w:rPr>
        <w:instrText xml:space="preserve"> NOTEREF pr_f_1386 \h </w:instrText>
      </w:r>
      <w:r>
        <w:rPr>
          <w:sz w:val="20"/>
          <w:szCs w:val="20"/>
          <w:rtl/>
        </w:rPr>
      </w:r>
      <w:r>
        <w:rPr>
          <w:sz w:val="20"/>
          <w:szCs w:val="20"/>
          <w:rtl/>
        </w:rPr>
        <w:fldChar w:fldCharType="separate"/>
      </w:r>
      <w:r w:rsidR="007923E9">
        <w:rPr>
          <w:sz w:val="20"/>
          <w:szCs w:val="20"/>
          <w:rtl/>
        </w:rPr>
        <w:t>431</w:t>
      </w:r>
      <w:r>
        <w:rPr>
          <w:sz w:val="20"/>
          <w:szCs w:val="20"/>
          <w:rtl/>
        </w:rPr>
        <w:fldChar w:fldCharType="end"/>
      </w:r>
      <w:r>
        <w:rPr>
          <w:sz w:val="20"/>
          <w:szCs w:val="20"/>
          <w:rtl/>
        </w:rPr>
        <w:t xml:space="preserve"> ו־</w:t>
      </w:r>
      <w:r>
        <w:rPr>
          <w:sz w:val="20"/>
          <w:szCs w:val="20"/>
          <w:rtl/>
        </w:rPr>
        <w:fldChar w:fldCharType="begin" w:dirty="true"/>
      </w:r>
      <w:r>
        <w:rPr>
          <w:sz w:val="20"/>
          <w:szCs w:val="20"/>
          <w:rtl/>
        </w:rPr>
        <w:instrText xml:space="preserve"> NOTEREF fx_ref_488 \h </w:instrText>
      </w:r>
      <w:r>
        <w:rPr>
          <w:sz w:val="20"/>
          <w:szCs w:val="20"/>
          <w:rtl/>
        </w:rPr>
      </w:r>
      <w:r>
        <w:rPr>
          <w:sz w:val="20"/>
          <w:szCs w:val="20"/>
          <w:rtl/>
        </w:rPr>
        <w:fldChar w:fldCharType="separate"/>
      </w:r>
      <w:r w:rsidR="007923E9">
        <w:rPr>
          <w:sz w:val="20"/>
          <w:szCs w:val="20"/>
          <w:rtl/>
        </w:rPr>
        <w:t>432</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pr_f_1386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4007">
    <w:p w14:paraId="2AF1E8B8" w14:textId="77777777" w:rsidR="00AB3647" w:rsidRDefault="00000000">
      <w:pPr>
        <w:spacing w:after="0" w:before="0"/>
        <w:jc w:val="both"/>
      </w:pPr>
      <w:r>
        <w:rPr>
          <w:sz w:val="20"/>
          <w:szCs w:val="20"/>
          <w:rtl/>
        </w:rPr>
        <w:footnoteRef/>
      </w:r>
      <w:r>
        <w:rPr>
          <w:sz w:val="20"/>
          <w:szCs w:val="20"/>
          <w:rtl/>
        </w:rPr>
        <w:t>. ירושלים, תשנ״ח.</w:t>
      </w:r>
    </w:p>
  </w:footnote>
  <w:footnote w:id="4008">
    <w:p w14:paraId="1D79B13D" w14:textId="77777777" w:rsidR="00AB3647" w:rsidRDefault="00000000">
      <w:pPr>
        <w:spacing w:after="0" w:before="0"/>
        <w:jc w:val="both"/>
      </w:pPr>
      <w:r>
        <w:rPr>
          <w:sz w:val="20"/>
          <w:szCs w:val="20"/>
          <w:rtl/>
        </w:rPr>
        <w:footnoteRef/>
      </w:r>
      <w:r>
        <w:rPr>
          <w:sz w:val="20"/>
          <w:szCs w:val="20"/>
          <w:rtl/>
        </w:rPr>
        <w:t>. ראה להלן שקודמו, ר׳ רפאל שפירא, מסר את שיעורו האחרון על הפרק התשיעי במסכת בבא קמא.</w:t>
      </w:r>
    </w:p>
  </w:footnote>
  <w:footnote w:id="4009">
    <w:p w14:paraId="60913532" w14:textId="77777777" w:rsidR="00AB3647" w:rsidRDefault="00000000">
      <w:pPr>
        <w:spacing w:after="0" w:before="0"/>
        <w:jc w:val="both"/>
      </w:pPr>
      <w:r>
        <w:rPr>
          <w:sz w:val="20"/>
          <w:szCs w:val="20"/>
          <w:rtl/>
        </w:rPr>
        <w:footnoteRef/>
      </w:r>
      <w:r>
        <w:rPr>
          <w:sz w:val="20"/>
          <w:szCs w:val="20"/>
          <w:rtl/>
        </w:rPr>
        <w:t>. שיטת לימוד זו היא ניסיון לקשור את עמדתו של תנא או אמורא מסוים בסוגיה תלמודית אחת עם עמדתו בסוגיה אחרת, שלכאורה אינה קשורה אליה.</w:t>
      </w:r>
    </w:p>
  </w:footnote>
  <w:footnote w:id="4010">
    <w:p w14:paraId="3DB2964E" w14:textId="77777777" w:rsidR="00AB3647" w:rsidRDefault="00000000">
      <w:pPr>
        <w:spacing w:after="0" w:before="0"/>
        <w:jc w:val="both"/>
      </w:pPr>
      <w:r>
        <w:rPr>
          <w:sz w:val="20"/>
          <w:szCs w:val="20"/>
          <w:rtl/>
        </w:rPr>
        <w:footnoteRef/>
      </w:r>
      <w:r>
        <w:rPr>
          <w:sz w:val="20"/>
          <w:szCs w:val="20"/>
          <w:rtl/>
        </w:rPr>
        <w:t>. ריאיון, 5 במרץ 1998.</w:t>
      </w:r>
    </w:p>
  </w:footnote>
  <w:footnote w:id="4011">
    <w:p w14:paraId="073D11B2" w14:textId="77777777" w:rsidR="00AB3647" w:rsidRDefault="00000000">
      <w:pPr>
        <w:spacing w:after="0" w:before="0"/>
        <w:jc w:val="both"/>
      </w:pPr>
      <w:r>
        <w:rPr>
          <w:sz w:val="20"/>
          <w:szCs w:val="20"/>
          <w:rtl/>
        </w:rPr>
        <w:footnoteRef/>
      </w:r>
      <w:r>
        <w:rPr>
          <w:sz w:val="20"/>
          <w:szCs w:val="20"/>
          <w:rtl/>
        </w:rPr>
        <w:t>. ריאיון, 24 באפריל 1998.</w:t>
      </w:r>
    </w:p>
  </w:footnote>
  <w:footnote w:id="4012">
    <w:p w14:paraId="4CDC8798" w14:textId="77777777" w:rsidR="00AB3647" w:rsidRDefault="00000000">
      <w:pPr>
        <w:spacing w:after="0" w:before="0"/>
        <w:jc w:val="both"/>
      </w:pPr>
      <w:r>
        <w:rPr>
          <w:sz w:val="20"/>
          <w:szCs w:val="20"/>
          <w:rtl/>
        </w:rPr>
        <w:footnoteRef/>
      </w:r>
      <w:r>
        <w:rPr>
          <w:sz w:val="20"/>
          <w:szCs w:val="20"/>
          <w:rtl/>
        </w:rPr>
        <w:t>. ריאיון, 25 בפברואר 1988.</w:t>
      </w:r>
    </w:p>
  </w:footnote>
  <w:footnote w:id="4013">
    <w:p w14:paraId="434AB952" w14:textId="77777777" w:rsidR="00AB3647" w:rsidRDefault="00000000">
      <w:pPr>
        <w:spacing w:after="0" w:before="0"/>
        <w:jc w:val="both"/>
      </w:pPr>
      <w:r>
        <w:rPr>
          <w:sz w:val="20"/>
          <w:szCs w:val="20"/>
          <w:rtl/>
        </w:rPr>
        <w:footnoteRef/>
      </w:r>
      <w:r>
        <w:rPr>
          <w:sz w:val="20"/>
          <w:szCs w:val="20"/>
          <w:rtl/>
        </w:rPr>
        <w:t>. שבוע לאחר מכן, ב־4 במרץ.</w:t>
      </w:r>
    </w:p>
  </w:footnote>
  <w:footnote w:id="4014">
    <w:p w14:paraId="24B4563B" w14:textId="77777777" w:rsidR="00AB3647" w:rsidRDefault="00000000">
      <w:pPr>
        <w:spacing w:after="0" w:before="0"/>
        <w:jc w:val="both"/>
      </w:pPr>
      <w:r>
        <w:rPr>
          <w:sz w:val="20"/>
          <w:szCs w:val="20"/>
          <w:rtl/>
        </w:rPr>
        <w:footnoteRef/>
      </w:r>
      <w:r>
        <w:rPr>
          <w:sz w:val="20"/>
          <w:szCs w:val="20"/>
          <w:rtl/>
        </w:rPr>
        <w:t xml:space="preserve">. תצלומה מופיע </w:t>
      </w:r>
      <w:proofErr w:type="spellStart"/>
      <w:r>
        <w:rPr>
          <w:sz w:val="20"/>
          <w:szCs w:val="20"/>
          <w:rtl/>
        </w:rPr>
        <w:t>ב“אבי</w:t>
      </w:r>
      <w:proofErr w:type="spellEnd"/>
      <w:r>
        <w:rPr>
          <w:sz w:val="20"/>
          <w:szCs w:val="20"/>
          <w:rtl/>
        </w:rPr>
        <w:t xml:space="preserve"> הישיבות”, עמ׳ 223. בני משפחת </w:t>
      </w:r>
      <w:proofErr w:type="spellStart"/>
      <w:r>
        <w:rPr>
          <w:sz w:val="20"/>
          <w:szCs w:val="20"/>
          <w:rtl/>
        </w:rPr>
        <w:t>סולובייצ׳יק</w:t>
      </w:r>
      <w:proofErr w:type="spellEnd"/>
      <w:r>
        <w:rPr>
          <w:sz w:val="20"/>
          <w:szCs w:val="20"/>
          <w:rtl/>
        </w:rPr>
        <w:t xml:space="preserve"> בירושלים אינם יודעים היכן הקופסה נמצאת כיום. כשביררתי את העניין אצל מחבר “אבי הישיבות”, התברר שהוא לקח את התמונה מקטלוג מסחרי של חברה לחפצי יודאיקה.</w:t>
      </w:r>
    </w:p>
  </w:footnote>
  <w:footnote w:id="4015">
    <w:p w14:paraId="355CEE4D" w14:textId="77777777" w:rsidR="00AB3647" w:rsidRDefault="00000000">
      <w:pPr>
        <w:spacing w:after="0" w:before="0"/>
        <w:jc w:val="both"/>
      </w:pPr>
      <w:r>
        <w:rPr>
          <w:sz w:val="20"/>
          <w:szCs w:val="20"/>
          <w:rtl/>
        </w:rPr>
        <w:footnoteRef/>
      </w:r>
      <w:r>
        <w:rPr>
          <w:sz w:val="20"/>
          <w:szCs w:val="20"/>
          <w:rtl/>
        </w:rPr>
        <w:t xml:space="preserve">. תחילה ביררתי אצל צאצאי ר׳ חיים </w:t>
      </w:r>
      <w:proofErr w:type="spellStart"/>
      <w:r>
        <w:rPr>
          <w:sz w:val="20"/>
          <w:szCs w:val="20"/>
          <w:rtl/>
        </w:rPr>
        <w:t>סולובייצ׳יק</w:t>
      </w:r>
      <w:proofErr w:type="spellEnd"/>
      <w:r>
        <w:rPr>
          <w:sz w:val="20"/>
          <w:szCs w:val="20"/>
          <w:rtl/>
        </w:rPr>
        <w:t xml:space="preserve"> בירושלים אם הם מכירים את הסיפור שמאחורי המתנה, ונעניתי בשלילה.</w:t>
      </w:r>
    </w:p>
  </w:footnote>
  <w:footnote w:id="4016">
    <w:p w14:paraId="492EC3C8" w14:textId="77777777" w:rsidR="00AB3647" w:rsidRDefault="00000000">
      <w:pPr>
        <w:spacing w:after="0" w:before="0"/>
        <w:jc w:val="both"/>
      </w:pPr>
      <w:r>
        <w:rPr>
          <w:sz w:val="20"/>
          <w:szCs w:val="20"/>
          <w:rtl/>
        </w:rPr>
        <w:footnoteRef/>
      </w:r>
      <w:r>
        <w:rPr>
          <w:sz w:val="20"/>
          <w:szCs w:val="20"/>
          <w:rtl/>
        </w:rPr>
        <w:t xml:space="preserve">. מתועד </w:t>
      </w:r>
      <w:proofErr w:type="spellStart"/>
      <w:r>
        <w:rPr>
          <w:sz w:val="20"/>
          <w:szCs w:val="20"/>
          <w:rtl/>
        </w:rPr>
        <w:t>ב“הראשון</w:t>
      </w:r>
      <w:proofErr w:type="spellEnd"/>
      <w:r>
        <w:rPr>
          <w:sz w:val="20"/>
          <w:szCs w:val="20"/>
          <w:rtl/>
        </w:rPr>
        <w:t>”, עמ׳ 322.</w:t>
      </w:r>
    </w:p>
  </w:footnote>
  <w:footnote w:id="4017">
    <w:p w14:paraId="2219B842" w14:textId="77777777" w:rsidR="00AB3647" w:rsidRDefault="00000000">
      <w:pPr>
        <w:spacing w:after="0" w:before="0"/>
        <w:jc w:val="both"/>
      </w:pPr>
      <w:r>
        <w:rPr>
          <w:sz w:val="20"/>
          <w:szCs w:val="20"/>
          <w:rtl/>
        </w:rPr>
        <w:footnoteRef/>
      </w:r>
      <w:r>
        <w:rPr>
          <w:sz w:val="20"/>
          <w:szCs w:val="20"/>
          <w:rtl/>
        </w:rPr>
        <w:t>. לפי “הראשון”, עמ׳ 70.</w:t>
      </w:r>
    </w:p>
  </w:footnote>
  <w:footnote w:id="4018">
    <w:p w14:paraId="4FBE8555" w14:textId="77777777" w:rsidR="00AB3647" w:rsidRDefault="00000000">
      <w:pPr>
        <w:spacing w:after="0" w:before="0"/>
        <w:jc w:val="both"/>
      </w:pPr>
      <w:r>
        <w:rPr>
          <w:sz w:val="20"/>
          <w:szCs w:val="20"/>
          <w:rtl/>
        </w:rPr>
        <w:footnoteRef/>
      </w:r>
      <w:r>
        <w:rPr>
          <w:sz w:val="20"/>
          <w:szCs w:val="20"/>
          <w:rtl/>
        </w:rPr>
        <w:t xml:space="preserve">. פרק 3, נספח </w:t>
      </w:r>
      <w:proofErr w:type="spellStart"/>
      <w:r>
        <w:rPr>
          <w:sz w:val="20"/>
          <w:szCs w:val="20"/>
          <w:rtl/>
        </w:rPr>
        <w:t>יב</w:t>
      </w:r>
      <w:proofErr w:type="spellEnd"/>
      <w:r>
        <w:rPr>
          <w:sz w:val="20"/>
          <w:szCs w:val="20"/>
          <w:rtl/>
        </w:rPr>
        <w:t>.</w:t>
      </w:r>
    </w:p>
  </w:footnote>
  <w:footnote w:id="4019">
    <w:p w14:paraId="5B0DE10C" w14:textId="77777777" w:rsidR="00AB3647" w:rsidRDefault="00000000">
      <w:pPr>
        <w:spacing w:after="0" w:before="0"/>
        <w:jc w:val="both"/>
      </w:pPr>
      <w:r>
        <w:rPr>
          <w:sz w:val="20"/>
          <w:szCs w:val="20"/>
          <w:rtl/>
        </w:rPr>
        <w:footnoteRef/>
      </w:r>
      <w:r>
        <w:rPr>
          <w:sz w:val="20"/>
          <w:szCs w:val="20"/>
          <w:rtl/>
        </w:rPr>
        <w:t xml:space="preserve">. הוצאת ישיבה </w:t>
      </w:r>
      <w:proofErr w:type="spellStart"/>
      <w:r>
        <w:rPr>
          <w:sz w:val="20"/>
          <w:szCs w:val="20"/>
          <w:rtl/>
        </w:rPr>
        <w:t>יוניברסיטי</w:t>
      </w:r>
      <w:proofErr w:type="spellEnd"/>
      <w:r>
        <w:rPr>
          <w:sz w:val="20"/>
          <w:szCs w:val="20"/>
          <w:rtl/>
        </w:rPr>
        <w:t>, ניו יורק, 1969, עמ׳ 17.</w:t>
      </w:r>
    </w:p>
  </w:footnote>
  <w:footnote w:id="4020">
    <w:p w14:paraId="3E7F7B07" w14:textId="77777777" w:rsidR="00AB3647" w:rsidRDefault="00000000">
      <w:pPr>
        <w:spacing w:after="0" w:before="0"/>
        <w:jc w:val="both"/>
      </w:pPr>
      <w:r>
        <w:rPr>
          <w:sz w:val="20"/>
          <w:szCs w:val="20"/>
          <w:rtl/>
        </w:rPr>
        <w:footnoteRef/>
      </w:r>
      <w:r>
        <w:rPr>
          <w:sz w:val="20"/>
          <w:szCs w:val="20"/>
          <w:rtl/>
        </w:rPr>
        <w:t xml:space="preserve">. המכתב שבאגרות ר׳ </w:t>
      </w:r>
      <w:proofErr w:type="spellStart"/>
      <w:r>
        <w:rPr>
          <w:sz w:val="20"/>
          <w:szCs w:val="20"/>
          <w:rtl/>
        </w:rPr>
        <w:t>יצחק־אייזיק</w:t>
      </w:r>
      <w:proofErr w:type="spellEnd"/>
      <w:r>
        <w:rPr>
          <w:sz w:val="20"/>
          <w:szCs w:val="20"/>
          <w:rtl/>
        </w:rPr>
        <w:t xml:space="preserve"> הלוי.</w:t>
      </w:r>
    </w:p>
  </w:footnote>
  <w:footnote w:id="4021">
    <w:p w14:paraId="3B9F8413" w14:textId="77777777" w:rsidR="00AB3647" w:rsidRDefault="00000000">
      <w:pPr>
        <w:spacing w:after="0" w:before="0"/>
        <w:jc w:val="both"/>
      </w:pPr>
      <w:r>
        <w:rPr>
          <w:sz w:val="20"/>
          <w:szCs w:val="20"/>
          <w:rtl/>
        </w:rPr>
        <w:footnoteRef/>
      </w:r>
      <w:r>
        <w:rPr>
          <w:sz w:val="20"/>
          <w:szCs w:val="20"/>
          <w:rtl/>
        </w:rPr>
        <w:t>. הוא מצוטט בפרק 5, נספח ט.</w:t>
      </w:r>
    </w:p>
  </w:footnote>
  <w:footnote w:id="4022">
    <w:p w14:paraId="719AA025" w14:textId="77777777" w:rsidR="00AB3647" w:rsidRDefault="00000000">
      <w:pPr>
        <w:spacing w:after="0" w:before="0"/>
        <w:jc w:val="both"/>
      </w:pPr>
      <w:r>
        <w:rPr>
          <w:sz w:val="20"/>
          <w:szCs w:val="20"/>
          <w:rtl/>
        </w:rPr>
        <w:footnoteRef/>
      </w:r>
      <w:r>
        <w:rPr>
          <w:sz w:val="20"/>
          <w:szCs w:val="20"/>
          <w:rtl/>
        </w:rPr>
        <w:t>. עמ׳ 33.</w:t>
      </w:r>
    </w:p>
  </w:footnote>
  <w:footnote w:id="4023">
    <w:p w14:paraId="53FEA413" w14:textId="77777777" w:rsidR="00AB3647" w:rsidRDefault="00000000">
      <w:pPr>
        <w:spacing w:after="0" w:before="0"/>
        <w:jc w:val="both"/>
      </w:pPr>
      <w:r>
        <w:rPr>
          <w:sz w:val="20"/>
          <w:szCs w:val="20"/>
          <w:rtl/>
        </w:rPr>
        <w:footnoteRef/>
      </w:r>
      <w:r>
        <w:rPr>
          <w:sz w:val="20"/>
          <w:szCs w:val="20"/>
          <w:rtl/>
        </w:rPr>
        <w:t xml:space="preserve">. הערת אגב: </w:t>
      </w:r>
      <w:proofErr w:type="spellStart"/>
      <w:r>
        <w:rPr>
          <w:sz w:val="20"/>
          <w:szCs w:val="20"/>
          <w:rtl/>
        </w:rPr>
        <w:t>ארבע־עשרה</w:t>
      </w:r>
      <w:proofErr w:type="spellEnd"/>
      <w:r>
        <w:rPr>
          <w:sz w:val="20"/>
          <w:szCs w:val="20"/>
          <w:rtl/>
        </w:rPr>
        <w:t xml:space="preserve"> שנים קודם לכן פרסם ר׳ יוסף </w:t>
      </w:r>
      <w:proofErr w:type="spellStart"/>
      <w:r>
        <w:rPr>
          <w:sz w:val="20"/>
          <w:szCs w:val="20"/>
          <w:rtl/>
        </w:rPr>
        <w:t>ענגיל</w:t>
      </w:r>
      <w:proofErr w:type="spellEnd"/>
      <w:r>
        <w:rPr>
          <w:sz w:val="20"/>
          <w:szCs w:val="20"/>
          <w:rtl/>
        </w:rPr>
        <w:t xml:space="preserve"> את “ספר שבעים פנים לתורה”, ובו שבעים תירוצים </w:t>
      </w:r>
      <w:proofErr w:type="spellStart"/>
      <w:r>
        <w:rPr>
          <w:sz w:val="20"/>
          <w:szCs w:val="20"/>
          <w:rtl/>
        </w:rPr>
        <w:t>לקושיה</w:t>
      </w:r>
      <w:proofErr w:type="spellEnd"/>
      <w:r>
        <w:rPr>
          <w:sz w:val="20"/>
          <w:szCs w:val="20"/>
          <w:rtl/>
        </w:rPr>
        <w:t xml:space="preserve"> אחת. את דבריו של ר׳ </w:t>
      </w:r>
      <w:proofErr w:type="spellStart"/>
      <w:r>
        <w:rPr>
          <w:sz w:val="20"/>
          <w:szCs w:val="20"/>
          <w:rtl/>
        </w:rPr>
        <w:t>יצחק־אייזיק</w:t>
      </w:r>
      <w:proofErr w:type="spellEnd"/>
      <w:r>
        <w:rPr>
          <w:sz w:val="20"/>
          <w:szCs w:val="20"/>
          <w:rtl/>
        </w:rPr>
        <w:t xml:space="preserve"> הלוי אפשר היה לומר באותה מידה כבר אז.</w:t>
      </w:r>
    </w:p>
  </w:footnote>
  <w:footnote w:id="4024">
    <w:p w14:paraId="6AE957D3" w14:textId="77777777" w:rsidR="00AB3647" w:rsidRDefault="00000000">
      <w:pPr>
        <w:spacing w:after="0" w:before="0"/>
        <w:jc w:val="both"/>
      </w:pPr>
      <w:r>
        <w:rPr>
          <w:sz w:val="20"/>
          <w:szCs w:val="20"/>
          <w:rtl/>
        </w:rPr>
        <w:footnoteRef/>
      </w:r>
      <w:r>
        <w:rPr>
          <w:sz w:val="20"/>
          <w:szCs w:val="20"/>
          <w:rtl/>
        </w:rPr>
        <w:t>. לפי “הראשון”, עמ׳ 436.</w:t>
      </w:r>
    </w:p>
  </w:footnote>
  <w:footnote w:id="4025">
    <w:p w14:paraId="14DB1B36" w14:textId="77777777" w:rsidR="00AB3647" w:rsidRDefault="00000000">
      <w:pPr>
        <w:spacing w:after="0" w:before="0"/>
        <w:jc w:val="both"/>
      </w:pPr>
      <w:r>
        <w:rPr>
          <w:sz w:val="20"/>
          <w:szCs w:val="20"/>
          <w:rtl/>
        </w:rPr>
        <w:footnoteRef/>
      </w:r>
      <w:r>
        <w:rPr>
          <w:sz w:val="20"/>
          <w:szCs w:val="20"/>
          <w:rtl/>
        </w:rPr>
        <w:t xml:space="preserve">. דאגתו של </w:t>
      </w:r>
      <w:proofErr w:type="spellStart"/>
      <w:r>
        <w:rPr>
          <w:sz w:val="20"/>
          <w:szCs w:val="20"/>
          <w:rtl/>
        </w:rPr>
        <w:t>הנצי״ב</w:t>
      </w:r>
      <w:proofErr w:type="spellEnd"/>
      <w:r>
        <w:rPr>
          <w:sz w:val="20"/>
          <w:szCs w:val="20"/>
          <w:rtl/>
        </w:rPr>
        <w:t xml:space="preserve"> מפני ישיבות מתחרות ניכרת בעמ׳ ז של “פתח העמק”, המבוא </w:t>
      </w:r>
      <w:proofErr w:type="spellStart"/>
      <w:r>
        <w:rPr>
          <w:sz w:val="20"/>
          <w:szCs w:val="20"/>
          <w:rtl/>
        </w:rPr>
        <w:t>ל“העמק</w:t>
      </w:r>
      <w:proofErr w:type="spellEnd"/>
      <w:r>
        <w:rPr>
          <w:sz w:val="20"/>
          <w:szCs w:val="20"/>
          <w:rtl/>
        </w:rPr>
        <w:t xml:space="preserve"> שאלה”, פירושו הגדול על “שאילתות </w:t>
      </w:r>
      <w:proofErr w:type="spellStart"/>
      <w:r>
        <w:rPr>
          <w:sz w:val="20"/>
          <w:szCs w:val="20"/>
          <w:rtl/>
        </w:rPr>
        <w:t>דרב</w:t>
      </w:r>
      <w:proofErr w:type="spellEnd"/>
      <w:r>
        <w:rPr>
          <w:sz w:val="20"/>
          <w:szCs w:val="20"/>
          <w:rtl/>
        </w:rPr>
        <w:t xml:space="preserve"> </w:t>
      </w:r>
      <w:proofErr w:type="spellStart"/>
      <w:r>
        <w:rPr>
          <w:sz w:val="20"/>
          <w:szCs w:val="20"/>
          <w:rtl/>
        </w:rPr>
        <w:t>אחאי</w:t>
      </w:r>
      <w:proofErr w:type="spellEnd"/>
      <w:r>
        <w:rPr>
          <w:sz w:val="20"/>
          <w:szCs w:val="20"/>
          <w:rtl/>
        </w:rPr>
        <w:t xml:space="preserve"> גאון”. כשנאלץ רב </w:t>
      </w:r>
      <w:proofErr w:type="spellStart"/>
      <w:r>
        <w:rPr>
          <w:sz w:val="20"/>
          <w:szCs w:val="20"/>
          <w:rtl/>
        </w:rPr>
        <w:t>אחאי</w:t>
      </w:r>
      <w:proofErr w:type="spellEnd"/>
      <w:r>
        <w:rPr>
          <w:sz w:val="20"/>
          <w:szCs w:val="20"/>
          <w:rtl/>
        </w:rPr>
        <w:t xml:space="preserve"> גאון לעזוב את בבל, עבר ליישוב היהודי הקטן שהיה אז בארץ ישראל, ולא למרכז יהודי גדול אחר; </w:t>
      </w:r>
      <w:proofErr w:type="spellStart"/>
      <w:r>
        <w:rPr>
          <w:sz w:val="20"/>
          <w:szCs w:val="20"/>
          <w:rtl/>
        </w:rPr>
        <w:t>והנצי״ב</w:t>
      </w:r>
      <w:proofErr w:type="spellEnd"/>
      <w:r>
        <w:rPr>
          <w:sz w:val="20"/>
          <w:szCs w:val="20"/>
          <w:rtl/>
        </w:rPr>
        <w:t xml:space="preserve"> מייחס זאת שם </w:t>
      </w:r>
      <w:proofErr w:type="spellStart"/>
      <w:r>
        <w:rPr>
          <w:sz w:val="20"/>
          <w:szCs w:val="20"/>
          <w:rtl/>
        </w:rPr>
        <w:t>ל“חסידותו</w:t>
      </w:r>
      <w:proofErr w:type="spellEnd"/>
      <w:r>
        <w:rPr>
          <w:sz w:val="20"/>
          <w:szCs w:val="20"/>
          <w:rtl/>
        </w:rPr>
        <w:t xml:space="preserve"> וטבעו הטוב”: הוא לא רצה לגרוע ממעמדן של הישיבות בבבל בהקמת מרכז תורה מתחרה בקהילה יהודית גדולה אחרת.</w:t>
      </w:r>
    </w:p>
  </w:footnote>
  <w:footnote w:id="4026">
    <w:p w14:paraId="34AFAD47" w14:textId="77777777" w:rsidR="00AB3647" w:rsidRDefault="00000000">
      <w:pPr>
        <w:spacing w:after="0" w:before="0"/>
        <w:jc w:val="both"/>
      </w:pPr>
      <w:r>
        <w:rPr>
          <w:sz w:val="20"/>
          <w:szCs w:val="20"/>
          <w:rtl/>
        </w:rPr>
        <w:footnoteRef/>
      </w:r>
      <w:r>
        <w:rPr>
          <w:sz w:val="20"/>
          <w:szCs w:val="20"/>
          <w:rtl/>
        </w:rPr>
        <w:t>. עמ׳ 142–143, 186–188 ו־322.</w:t>
      </w:r>
    </w:p>
  </w:footnote>
  <w:footnote w:id="4027">
    <w:p w14:paraId="52973B48" w14:textId="77777777" w:rsidR="00AB3647" w:rsidRDefault="00000000">
      <w:pPr>
        <w:spacing w:after="0" w:before="0"/>
        <w:jc w:val="both"/>
      </w:pPr>
      <w:r>
        <w:rPr>
          <w:sz w:val="20"/>
          <w:szCs w:val="20"/>
          <w:rtl/>
        </w:rPr>
        <w:footnoteRef/>
      </w:r>
      <w:r>
        <w:rPr>
          <w:sz w:val="20"/>
          <w:szCs w:val="20"/>
          <w:rtl/>
        </w:rPr>
        <w:t xml:space="preserve">. משלחת </w:t>
      </w:r>
      <w:proofErr w:type="spellStart"/>
      <w:r>
        <w:rPr>
          <w:sz w:val="20"/>
          <w:szCs w:val="20"/>
          <w:rtl/>
        </w:rPr>
        <w:t>מקלויז</w:t>
      </w:r>
      <w:proofErr w:type="spellEnd"/>
      <w:r>
        <w:rPr>
          <w:sz w:val="20"/>
          <w:szCs w:val="20"/>
          <w:rtl/>
        </w:rPr>
        <w:t xml:space="preserve"> </w:t>
      </w:r>
      <w:proofErr w:type="spellStart"/>
      <w:r>
        <w:rPr>
          <w:sz w:val="20"/>
          <w:szCs w:val="20"/>
          <w:rtl/>
        </w:rPr>
        <w:t>בלומקה</w:t>
      </w:r>
      <w:proofErr w:type="spellEnd"/>
      <w:r>
        <w:rPr>
          <w:sz w:val="20"/>
          <w:szCs w:val="20"/>
          <w:rtl/>
        </w:rPr>
        <w:t xml:space="preserve"> במינסק באה אליו מיד כשהחליט לפרוש מכהונתו </w:t>
      </w:r>
      <w:proofErr w:type="spellStart"/>
      <w:r>
        <w:rPr>
          <w:sz w:val="20"/>
          <w:szCs w:val="20"/>
          <w:rtl/>
        </w:rPr>
        <w:t>בוולוז׳ין</w:t>
      </w:r>
      <w:proofErr w:type="spellEnd"/>
      <w:r>
        <w:rPr>
          <w:sz w:val="20"/>
          <w:szCs w:val="20"/>
          <w:rtl/>
        </w:rPr>
        <w:t xml:space="preserve">, </w:t>
      </w:r>
      <w:proofErr w:type="spellStart"/>
      <w:r>
        <w:rPr>
          <w:sz w:val="20"/>
          <w:szCs w:val="20"/>
          <w:rtl/>
        </w:rPr>
        <w:t>בתרכ״ג</w:t>
      </w:r>
      <w:proofErr w:type="spellEnd"/>
      <w:r>
        <w:rPr>
          <w:sz w:val="20"/>
          <w:szCs w:val="20"/>
          <w:rtl/>
        </w:rPr>
        <w:t xml:space="preserve">, והזמינה אותו לעמוד בראש הישיבה שלה. מיד כשקיבל עליו את רבנות </w:t>
      </w:r>
      <w:proofErr w:type="spellStart"/>
      <w:r>
        <w:rPr>
          <w:sz w:val="20"/>
          <w:szCs w:val="20"/>
          <w:rtl/>
        </w:rPr>
        <w:t>סלוצק</w:t>
      </w:r>
      <w:proofErr w:type="spellEnd"/>
      <w:r>
        <w:rPr>
          <w:sz w:val="20"/>
          <w:szCs w:val="20"/>
          <w:rtl/>
        </w:rPr>
        <w:t xml:space="preserve">, </w:t>
      </w:r>
      <w:proofErr w:type="spellStart"/>
      <w:r>
        <w:rPr>
          <w:sz w:val="20"/>
          <w:szCs w:val="20"/>
          <w:rtl/>
        </w:rPr>
        <w:t>בתרכ״ה</w:t>
      </w:r>
      <w:proofErr w:type="spellEnd"/>
      <w:r>
        <w:rPr>
          <w:sz w:val="20"/>
          <w:szCs w:val="20"/>
          <w:rtl/>
        </w:rPr>
        <w:t xml:space="preserve">, לחצו עליו ראשי הקהילה לפתוח ישיבה בעירם. ובני קהילת </w:t>
      </w:r>
      <w:proofErr w:type="spellStart"/>
      <w:r>
        <w:rPr>
          <w:sz w:val="20"/>
          <w:szCs w:val="20"/>
          <w:rtl/>
        </w:rPr>
        <w:t>בריסק</w:t>
      </w:r>
      <w:proofErr w:type="spellEnd"/>
      <w:r>
        <w:rPr>
          <w:sz w:val="20"/>
          <w:szCs w:val="20"/>
          <w:rtl/>
        </w:rPr>
        <w:t xml:space="preserve"> ביקשו לפתוח שם ישיבה </w:t>
      </w:r>
      <w:proofErr w:type="spellStart"/>
      <w:r>
        <w:rPr>
          <w:sz w:val="20"/>
          <w:szCs w:val="20"/>
          <w:rtl/>
        </w:rPr>
        <w:t>בתר״מ</w:t>
      </w:r>
      <w:proofErr w:type="spellEnd"/>
      <w:r>
        <w:rPr>
          <w:sz w:val="20"/>
          <w:szCs w:val="20"/>
          <w:rtl/>
        </w:rPr>
        <w:t>, כאמור לעיל.</w:t>
      </w:r>
    </w:p>
  </w:footnote>
  <w:footnote w:id="4028">
    <w:p w14:paraId="0ECA25BB" w14:textId="77777777" w:rsidR="00AB3647" w:rsidRDefault="00000000">
      <w:pPr>
        <w:spacing w:after="0" w:before="0"/>
        <w:jc w:val="both"/>
      </w:pPr>
      <w:r>
        <w:rPr>
          <w:sz w:val="20"/>
          <w:szCs w:val="20"/>
          <w:rtl/>
        </w:rPr>
        <w:footnoteRef/>
      </w:r>
      <w:r>
        <w:rPr>
          <w:sz w:val="20"/>
          <w:szCs w:val="20"/>
          <w:rtl/>
        </w:rPr>
        <w:t>. לפי יעקב מארק, הפסקה השנייה בנספח ח לעיל, עמ׳ 57.</w:t>
      </w:r>
    </w:p>
  </w:footnote>
  <w:footnote w:id="4029">
    <w:p w14:paraId="7C1631F9" w14:textId="77777777" w:rsidR="00AB3647" w:rsidRDefault="00000000">
      <w:pPr>
        <w:spacing w:after="0" w:before="0"/>
        <w:jc w:val="both"/>
      </w:pPr>
      <w:r>
        <w:rPr>
          <w:sz w:val="20"/>
          <w:szCs w:val="20"/>
          <w:rtl/>
        </w:rPr>
        <w:footnoteRef/>
      </w:r>
      <w:r>
        <w:rPr>
          <w:sz w:val="20"/>
          <w:szCs w:val="20"/>
          <w:rtl/>
        </w:rPr>
        <w:t xml:space="preserve">. נוסח זה של האמרה מסר ר׳ ישראל גרבר, שהתחנך באירופה, ב־13 באפריל 1998. נוסח אחר, ברור יותר – “החתן שלי יודע ללמוד טוב יותר מן החתן שלך” – מסר באותו יום ר׳ שלמה פישר, שהתחנך בארץ ישראל. שני המרואיינים לא ידעו לומר באיזו הזדמנות אמר ר׳ רפאל את הדברים. אין זה סביר שהייתה זו רק בדיחה של רגע, שבה התגאה ר׳ רפאל שבחר חתנים טובים משבחר </w:t>
      </w:r>
      <w:proofErr w:type="spellStart"/>
      <w:r>
        <w:rPr>
          <w:sz w:val="20"/>
          <w:szCs w:val="20"/>
          <w:rtl/>
        </w:rPr>
        <w:t>הנצי״ב</w:t>
      </w:r>
      <w:proofErr w:type="spellEnd"/>
      <w:r>
        <w:rPr>
          <w:sz w:val="20"/>
          <w:szCs w:val="20"/>
          <w:rtl/>
        </w:rPr>
        <w:t xml:space="preserve">, שהרי </w:t>
      </w:r>
      <w:proofErr w:type="spellStart"/>
      <w:r>
        <w:rPr>
          <w:sz w:val="20"/>
          <w:szCs w:val="20"/>
          <w:rtl/>
        </w:rPr>
        <w:t>הנצי״ב</w:t>
      </w:r>
      <w:proofErr w:type="spellEnd"/>
      <w:r>
        <w:rPr>
          <w:sz w:val="20"/>
          <w:szCs w:val="20"/>
          <w:rtl/>
        </w:rPr>
        <w:t xml:space="preserve"> הוא שזקף לזכותו את הבחירה בר׳ חיים לנכדתו, כמובא בתחילת הפסקה הבאה.</w:t>
      </w:r>
    </w:p>
  </w:footnote>
  <w:footnote w:id="4030">
    <w:p w14:paraId="7A8822C0" w14:textId="77777777" w:rsidR="00AB3647" w:rsidRDefault="00000000">
      <w:pPr>
        <w:spacing w:after="0" w:before="0"/>
        <w:jc w:val="both"/>
      </w:pPr>
      <w:r>
        <w:rPr>
          <w:sz w:val="20"/>
          <w:szCs w:val="20"/>
          <w:rtl/>
        </w:rPr>
        <w:footnoteRef/>
      </w:r>
      <w:r>
        <w:rPr>
          <w:sz w:val="20"/>
          <w:szCs w:val="20"/>
          <w:rtl/>
        </w:rPr>
        <w:t xml:space="preserve">. נדפס בווילנה, תרע״ג.</w:t>
      </w:r>
    </w:p>
  </w:footnote>
  <w:footnote w:id="4031">
    <w:p w14:paraId="53AA2559" w14:textId="77777777" w:rsidR="00AB3647" w:rsidRDefault="00000000">
      <w:pPr>
        <w:spacing w:after="0" w:before="0"/>
        <w:jc w:val="both"/>
      </w:pPr>
      <w:r>
        <w:rPr>
          <w:sz w:val="20"/>
          <w:szCs w:val="20"/>
          <w:rtl/>
        </w:rPr>
        <w:footnoteRef/>
      </w:r>
      <w:r>
        <w:rPr>
          <w:sz w:val="20"/>
          <w:szCs w:val="20"/>
          <w:rtl/>
        </w:rPr>
        <w:t xml:space="preserve">. ראה להלן, הפסקה הראשונה בנספח </w:t>
      </w:r>
      <w:proofErr w:type="spellStart"/>
      <w:r>
        <w:rPr>
          <w:sz w:val="20"/>
          <w:szCs w:val="20"/>
          <w:rtl/>
        </w:rPr>
        <w:t>יב</w:t>
      </w:r>
      <w:proofErr w:type="spellEnd"/>
      <w:r>
        <w:rPr>
          <w:sz w:val="20"/>
          <w:szCs w:val="20"/>
          <w:rtl/>
        </w:rPr>
        <w:t>: “באותם ימים היה מעמדו של ראש ישיבה נמוך ממעמדו של רב.”</w:t>
      </w:r>
    </w:p>
  </w:footnote>
  <w:footnote w:id="4032">
    <w:p w14:paraId="41679C13" w14:textId="77777777" w:rsidR="00AB3647" w:rsidRDefault="00000000">
      <w:pPr>
        <w:spacing w:after="0" w:before="0"/>
        <w:jc w:val="both"/>
      </w:pPr>
      <w:r>
        <w:rPr>
          <w:sz w:val="20"/>
          <w:szCs w:val="20"/>
          <w:rtl/>
        </w:rPr>
        <w:footnoteRef/>
      </w:r>
      <w:r>
        <w:rPr>
          <w:sz w:val="20"/>
          <w:szCs w:val="20"/>
          <w:rtl/>
        </w:rPr>
        <w:t xml:space="preserve">. תאריך זה מתיישב גם עם הציטוט </w:t>
      </w:r>
      <w:proofErr w:type="spellStart"/>
      <w:r>
        <w:rPr>
          <w:sz w:val="20"/>
          <w:szCs w:val="20"/>
          <w:rtl/>
        </w:rPr>
        <w:t>מ“תשובות</w:t>
      </w:r>
      <w:proofErr w:type="spellEnd"/>
      <w:r>
        <w:rPr>
          <w:sz w:val="20"/>
          <w:szCs w:val="20"/>
          <w:rtl/>
        </w:rPr>
        <w:t xml:space="preserve"> אחיעזר” שנזכר בפרק 3, הפסקה החמישית בנספח </w:t>
      </w:r>
      <w:proofErr w:type="spellStart"/>
      <w:r>
        <w:rPr>
          <w:sz w:val="20"/>
          <w:szCs w:val="20"/>
          <w:rtl/>
        </w:rPr>
        <w:t>יח</w:t>
      </w:r>
      <w:proofErr w:type="spellEnd"/>
      <w:r>
        <w:rPr>
          <w:sz w:val="20"/>
          <w:szCs w:val="20"/>
          <w:rtl/>
        </w:rPr>
        <w:t xml:space="preserve">. ראה גם פרק 3, תחילת נספח י, שם אני מסכים עם “אישים ושיטות” לגבי השנה שבה התחיל ר׳ חיים למסור שיעורים. אבל כפי שמוכח מקופסת האתרוג, ומכך שר׳ לוי שפירא – שפטירתו פתחה את שרשרת המינויים שהסתיימה במינוי ר׳ חיים </w:t>
      </w:r>
      <w:proofErr w:type="spellStart"/>
      <w:r>
        <w:rPr>
          <w:sz w:val="20"/>
          <w:szCs w:val="20"/>
          <w:rtl/>
        </w:rPr>
        <w:t>בוולוז׳ין</w:t>
      </w:r>
      <w:proofErr w:type="spellEnd"/>
      <w:r>
        <w:rPr>
          <w:sz w:val="20"/>
          <w:szCs w:val="20"/>
          <w:rtl/>
        </w:rPr>
        <w:t xml:space="preserve"> – נפטר רק באביב תר״מ, הקביעה </w:t>
      </w:r>
      <w:proofErr w:type="spellStart"/>
      <w:r>
        <w:rPr>
          <w:sz w:val="20"/>
          <w:szCs w:val="20"/>
          <w:rtl/>
        </w:rPr>
        <w:t>ב“אישים</w:t>
      </w:r>
      <w:proofErr w:type="spellEnd"/>
      <w:r>
        <w:rPr>
          <w:sz w:val="20"/>
          <w:szCs w:val="20"/>
          <w:rtl/>
        </w:rPr>
        <w:t xml:space="preserve"> ושיטות” שר׳ חיים “מסר את שיעוריו הנפלאים </w:t>
      </w:r>
      <w:proofErr w:type="spellStart"/>
      <w:r>
        <w:rPr>
          <w:sz w:val="20"/>
          <w:szCs w:val="20"/>
          <w:rtl/>
        </w:rPr>
        <w:t>שתים־עשרה</w:t>
      </w:r>
      <w:proofErr w:type="spellEnd"/>
      <w:r>
        <w:rPr>
          <w:sz w:val="20"/>
          <w:szCs w:val="20"/>
          <w:rtl/>
        </w:rPr>
        <w:t xml:space="preserve"> שנים רצופות” מוגזמת מעט. ר׳ חיים מונה בקיץ תר״מ, </w:t>
      </w:r>
      <w:proofErr w:type="spellStart"/>
      <w:r>
        <w:rPr>
          <w:sz w:val="20"/>
          <w:szCs w:val="20"/>
          <w:rtl/>
        </w:rPr>
        <w:t>ווולוז׳ין</w:t>
      </w:r>
      <w:proofErr w:type="spellEnd"/>
      <w:r>
        <w:rPr>
          <w:sz w:val="20"/>
          <w:szCs w:val="20"/>
          <w:rtl/>
        </w:rPr>
        <w:t xml:space="preserve"> נסגרה בחורף תרנ״ב; לכן מספר שנות הוראתו </w:t>
      </w:r>
      <w:proofErr w:type="spellStart"/>
      <w:r>
        <w:rPr>
          <w:sz w:val="20"/>
          <w:szCs w:val="20"/>
          <w:rtl/>
        </w:rPr>
        <w:t>בוולוז׳ין</w:t>
      </w:r>
      <w:proofErr w:type="spellEnd"/>
      <w:r>
        <w:rPr>
          <w:sz w:val="20"/>
          <w:szCs w:val="20"/>
          <w:rtl/>
        </w:rPr>
        <w:t xml:space="preserve"> קרוב יותר </w:t>
      </w:r>
      <w:proofErr w:type="spellStart"/>
      <w:r>
        <w:rPr>
          <w:sz w:val="20"/>
          <w:szCs w:val="20"/>
          <w:rtl/>
        </w:rPr>
        <w:t>לאחת־עשרה</w:t>
      </w:r>
      <w:proofErr w:type="spellEnd"/>
      <w:r>
        <w:rPr>
          <w:sz w:val="20"/>
          <w:szCs w:val="20"/>
          <w:rtl/>
        </w:rPr>
        <w:t xml:space="preserve"> וחצי.</w:t>
      </w:r>
    </w:p>
    <w:p w14:paraId="3EDB6F73" w14:textId="77777777" w:rsidR="00AB3647" w:rsidRDefault="00000000">
      <w:pPr>
        <w:spacing w:after="0" w:before="0"/>
        <w:jc w:val="both"/>
      </w:pPr>
      <w:r>
        <w:rPr>
          <w:sz w:val="20"/>
          <w:szCs w:val="20"/>
          <w:rtl/>
        </w:rPr>
        <w:t xml:space="preserve">גם יעקב מארק, עמ׳ 56, נותן את המספר הלא מדויק </w:t>
      </w:r>
      <w:proofErr w:type="spellStart"/>
      <w:r>
        <w:rPr>
          <w:sz w:val="20"/>
          <w:szCs w:val="20"/>
          <w:rtl/>
        </w:rPr>
        <w:t>שתים־עשרה</w:t>
      </w:r>
      <w:proofErr w:type="spellEnd"/>
      <w:r>
        <w:rPr>
          <w:sz w:val="20"/>
          <w:szCs w:val="20"/>
          <w:rtl/>
        </w:rPr>
        <w:t>. “</w:t>
      </w:r>
      <w:proofErr w:type="spellStart"/>
      <w:r>
        <w:rPr>
          <w:sz w:val="20"/>
          <w:szCs w:val="20"/>
          <w:rtl/>
        </w:rPr>
        <w:t>אהלי</w:t>
      </w:r>
      <w:proofErr w:type="spellEnd"/>
      <w:r>
        <w:rPr>
          <w:sz w:val="20"/>
          <w:szCs w:val="20"/>
          <w:rtl/>
        </w:rPr>
        <w:t xml:space="preserve"> שם” (ראה להלן) מגזים מעט כשהוא כותב: “ומשך י״ב שנים הרביץ שמה [</w:t>
      </w:r>
      <w:proofErr w:type="spellStart"/>
      <w:r>
        <w:rPr>
          <w:sz w:val="20"/>
          <w:szCs w:val="20"/>
          <w:rtl/>
        </w:rPr>
        <w:t>בוולוז׳ין</w:t>
      </w:r>
      <w:proofErr w:type="spellEnd"/>
      <w:r>
        <w:rPr>
          <w:sz w:val="20"/>
          <w:szCs w:val="20"/>
          <w:rtl/>
        </w:rPr>
        <w:t xml:space="preserve">] תורה”, ומונה את התקופה ממינויו שם “בשנת תר״מ בערך” עד מינויו </w:t>
      </w:r>
      <w:proofErr w:type="spellStart"/>
      <w:r>
        <w:rPr>
          <w:sz w:val="20"/>
          <w:szCs w:val="20"/>
          <w:rtl/>
        </w:rPr>
        <w:t>בבריסק</w:t>
      </w:r>
      <w:proofErr w:type="spellEnd"/>
      <w:r>
        <w:rPr>
          <w:sz w:val="20"/>
          <w:szCs w:val="20"/>
          <w:rtl/>
        </w:rPr>
        <w:t xml:space="preserve"> “בשנת תרנ״ב”, שלושה חודשים אחרי סגירת הישיבה. בהנחה שר׳ חיים התחיל למסור שיעורים בתמוז תר״מ, אפילו תקופה זו חסרה חודשיים </w:t>
      </w:r>
      <w:proofErr w:type="spellStart"/>
      <w:r>
        <w:rPr>
          <w:sz w:val="20"/>
          <w:szCs w:val="20"/>
          <w:rtl/>
        </w:rPr>
        <w:t>משתים־עשרה</w:t>
      </w:r>
      <w:proofErr w:type="spellEnd"/>
      <w:r>
        <w:rPr>
          <w:sz w:val="20"/>
          <w:szCs w:val="20"/>
          <w:rtl/>
        </w:rPr>
        <w:t xml:space="preserve"> שנים מלאות.</w:t>
      </w:r>
    </w:p>
  </w:footnote>
  <w:footnote w:id="4033">
    <w:p w14:paraId="034F73DC" w14:textId="77777777" w:rsidR="00AB3647" w:rsidRDefault="00000000">
      <w:pPr>
        <w:spacing w:after="0" w:before="0"/>
        <w:jc w:val="both"/>
      </w:pPr>
      <w:r>
        <w:rPr>
          <w:sz w:val="20"/>
          <w:szCs w:val="20"/>
          <w:rtl/>
        </w:rPr>
        <w:footnoteRef/>
      </w:r>
      <w:r>
        <w:rPr>
          <w:sz w:val="20"/>
          <w:szCs w:val="20"/>
          <w:rtl/>
        </w:rPr>
        <w:t>. נדפס בירושלים, תש״ג.</w:t>
      </w:r>
    </w:p>
  </w:footnote>
  <w:footnote w:id="4034">
    <w:p w14:paraId="1A1C73AD" w14:textId="77777777" w:rsidR="00AB3647" w:rsidRDefault="00000000">
      <w:pPr>
        <w:spacing w:after="0" w:before="0"/>
        <w:jc w:val="both"/>
      </w:pPr>
      <w:r>
        <w:rPr>
          <w:sz w:val="20"/>
          <w:szCs w:val="20"/>
          <w:rtl/>
        </w:rPr>
        <w:footnoteRef/>
      </w:r>
      <w:r>
        <w:rPr>
          <w:sz w:val="20"/>
          <w:szCs w:val="20"/>
          <w:rtl/>
        </w:rPr>
        <w:t>. להרחבה ראה פרק 5, הפסקה הרביעית בנספח ו.</w:t>
      </w:r>
    </w:p>
  </w:footnote>
  <w:footnote w:id="4035">
    <w:p w14:paraId="508E6288" w14:textId="77777777" w:rsidR="00AB3647" w:rsidRDefault="00000000">
      <w:pPr>
        <w:spacing w:after="0" w:before="0"/>
        <w:jc w:val="both"/>
      </w:pPr>
      <w:r>
        <w:rPr>
          <w:sz w:val="20"/>
          <w:szCs w:val="20"/>
          <w:rtl/>
        </w:rPr>
        <w:footnoteRef/>
      </w:r>
      <w:r>
        <w:rPr>
          <w:sz w:val="20"/>
          <w:szCs w:val="20"/>
          <w:rtl/>
        </w:rPr>
        <w:t xml:space="preserve">. השיעורים לא התחילו </w:t>
      </w:r>
      <w:proofErr w:type="spellStart"/>
      <w:r>
        <w:rPr>
          <w:sz w:val="20"/>
          <w:szCs w:val="20"/>
          <w:rtl/>
        </w:rPr>
        <w:t>בתרמ״א</w:t>
      </w:r>
      <w:proofErr w:type="spellEnd"/>
      <w:r>
        <w:rPr>
          <w:sz w:val="20"/>
          <w:szCs w:val="20"/>
          <w:rtl/>
        </w:rPr>
        <w:t>, בסוף 1880 או ב־1881, כפי שהדפיסו המוציאים לאור בשער “שיעורי רבנו חיים הלוי”.</w:t>
      </w:r>
    </w:p>
  </w:footnote>
  <w:footnote w:id="4036">
    <w:p w14:paraId="0166CC1C" w14:textId="77777777" w:rsidR="00AB3647" w:rsidRDefault="00000000">
      <w:pPr>
        <w:spacing w:after="0" w:before="0"/>
        <w:jc w:val="both"/>
      </w:pPr>
      <w:r>
        <w:rPr>
          <w:sz w:val="20"/>
          <w:szCs w:val="20"/>
          <w:rtl/>
        </w:rPr>
        <w:footnoteRef/>
      </w:r>
      <w:r>
        <w:rPr>
          <w:sz w:val="20"/>
          <w:szCs w:val="20"/>
          <w:rtl/>
        </w:rPr>
        <w:t xml:space="preserve">. “נערך ונסדר ויוצא לאור ע״י... שמואל נח... </w:t>
      </w:r>
      <w:proofErr w:type="spellStart"/>
      <w:r>
        <w:rPr>
          <w:sz w:val="20"/>
          <w:szCs w:val="20"/>
          <w:rtl/>
        </w:rPr>
        <w:t>גאטליב</w:t>
      </w:r>
      <w:proofErr w:type="spellEnd"/>
      <w:r>
        <w:rPr>
          <w:sz w:val="20"/>
          <w:szCs w:val="20"/>
          <w:rtl/>
        </w:rPr>
        <w:t xml:space="preserve"> </w:t>
      </w:r>
      <w:proofErr w:type="spellStart"/>
      <w:r>
        <w:rPr>
          <w:sz w:val="20"/>
          <w:szCs w:val="20"/>
          <w:rtl/>
        </w:rPr>
        <w:t>מפינסק</w:t>
      </w:r>
      <w:proofErr w:type="spellEnd"/>
      <w:r>
        <w:rPr>
          <w:sz w:val="20"/>
          <w:szCs w:val="20"/>
          <w:rtl/>
        </w:rPr>
        <w:t xml:space="preserve">”; נדפס </w:t>
      </w:r>
      <w:proofErr w:type="spellStart"/>
      <w:r>
        <w:rPr>
          <w:sz w:val="20"/>
          <w:szCs w:val="20"/>
          <w:rtl/>
        </w:rPr>
        <w:t>בפינסק</w:t>
      </w:r>
      <w:proofErr w:type="spellEnd"/>
      <w:r>
        <w:rPr>
          <w:sz w:val="20"/>
          <w:szCs w:val="20"/>
          <w:rtl/>
        </w:rPr>
        <w:t>, תרע״ב.</w:t>
      </w:r>
    </w:p>
  </w:footnote>
  <w:footnote w:id="4037">
    <w:p w14:paraId="5FB0F356" w14:textId="77777777" w:rsidR="00AB3647" w:rsidRDefault="00000000">
      <w:pPr>
        <w:spacing w:after="0" w:before="0"/>
        <w:jc w:val="both"/>
      </w:pPr>
      <w:r>
        <w:rPr>
          <w:sz w:val="20"/>
          <w:szCs w:val="20"/>
          <w:rtl/>
        </w:rPr>
        <w:footnoteRef/>
      </w:r>
      <w:r>
        <w:rPr>
          <w:sz w:val="20"/>
          <w:szCs w:val="20"/>
          <w:rtl/>
        </w:rPr>
        <w:t>. בעמ׳ 29.</w:t>
      </w:r>
    </w:p>
  </w:footnote>
  <w:footnote w:id="4038">
    <w:p w14:paraId="227407AE" w14:textId="77777777" w:rsidR="00AB3647" w:rsidRDefault="00000000">
      <w:pPr>
        <w:spacing w:after="0" w:before="0"/>
        <w:jc w:val="both"/>
      </w:pPr>
      <w:r>
        <w:rPr>
          <w:sz w:val="20"/>
          <w:szCs w:val="20"/>
          <w:rtl/>
        </w:rPr>
        <w:footnoteRef/>
      </w:r>
      <w:r>
        <w:rPr>
          <w:sz w:val="20"/>
          <w:szCs w:val="20"/>
          <w:rtl/>
        </w:rPr>
        <w:t xml:space="preserve">. ברור שר׳ חיים קרא את שלוש הפסקאות שהוקדשו לו לפני שנדפסו, שכן בפסקה הראשונה מציין העורך, ר׳ </w:t>
      </w:r>
      <w:proofErr w:type="spellStart"/>
      <w:r>
        <w:rPr>
          <w:sz w:val="20"/>
          <w:szCs w:val="20"/>
          <w:rtl/>
        </w:rPr>
        <w:t>שמואל־נח</w:t>
      </w:r>
      <w:proofErr w:type="spellEnd"/>
      <w:r>
        <w:rPr>
          <w:sz w:val="20"/>
          <w:szCs w:val="20"/>
          <w:rtl/>
        </w:rPr>
        <w:t xml:space="preserve"> גוטליב, בארבע שורות בסוגריים החתומות “העורך”: “הרבה יש לנו לרצות מרוחב בינתו ועמקות שכלו של הגאון הכביר הזה </w:t>
      </w:r>
      <w:proofErr w:type="spellStart"/>
      <w:r>
        <w:rPr>
          <w:sz w:val="20"/>
          <w:szCs w:val="20"/>
          <w:rtl/>
        </w:rPr>
        <w:t>וכו</w:t>
      </w:r>
      <w:proofErr w:type="spellEnd"/>
      <w:r>
        <w:rPr>
          <w:sz w:val="20"/>
          <w:szCs w:val="20"/>
          <w:rtl/>
        </w:rPr>
        <w:t>׳, אבל, לצערנו, אנוסים אנחנו עפ״י אזהרתו של גאון ישראל זה... להבליג על אדיר חפצנו זה.” ר׳ חיים אף נתן לספר הסכמה נלהבת.</w:t>
      </w:r>
    </w:p>
  </w:footnote>
  <w:footnote w:id="4039">
    <w:p w14:paraId="5857708E" w14:textId="77777777" w:rsidR="00AB3647" w:rsidRDefault="00000000">
      <w:pPr>
        <w:spacing w:after="0" w:before="0"/>
        <w:jc w:val="both"/>
      </w:pPr>
      <w:r>
        <w:rPr>
          <w:sz w:val="20"/>
          <w:szCs w:val="20"/>
          <w:rtl/>
        </w:rPr>
        <w:footnoteRef/>
      </w:r>
      <w:r>
        <w:rPr>
          <w:sz w:val="20"/>
          <w:szCs w:val="20"/>
          <w:rtl/>
        </w:rPr>
        <w:t xml:space="preserve">. הערה 70 לעיל, עמ׳ 348. הספר, שנדפס ב־1991, קורא </w:t>
      </w:r>
      <w:proofErr w:type="spellStart"/>
      <w:r>
        <w:rPr>
          <w:sz w:val="20"/>
          <w:szCs w:val="20"/>
          <w:rtl/>
        </w:rPr>
        <w:t>לנובו־אלכסנדרובסק</w:t>
      </w:r>
      <w:proofErr w:type="spellEnd"/>
      <w:r>
        <w:rPr>
          <w:sz w:val="20"/>
          <w:szCs w:val="20"/>
          <w:rtl/>
        </w:rPr>
        <w:t xml:space="preserve"> בשמה היידי המקורי, </w:t>
      </w:r>
      <w:proofErr w:type="spellStart"/>
      <w:r>
        <w:rPr>
          <w:sz w:val="20"/>
          <w:szCs w:val="20"/>
          <w:rtl/>
        </w:rPr>
        <w:t>עז׳רני</w:t>
      </w:r>
      <w:proofErr w:type="spellEnd"/>
      <w:r>
        <w:rPr>
          <w:sz w:val="20"/>
          <w:szCs w:val="20"/>
          <w:rtl/>
        </w:rPr>
        <w:t xml:space="preserve"> (בליטאית: </w:t>
      </w:r>
      <w:proofErr w:type="spellStart"/>
      <w:r>
        <w:rPr>
          <w:sz w:val="20"/>
          <w:szCs w:val="20"/>
          <w:rtl/>
        </w:rPr>
        <w:t>עז׳רס</w:t>
      </w:r>
      <w:proofErr w:type="spellEnd"/>
      <w:r>
        <w:rPr>
          <w:sz w:val="20"/>
          <w:szCs w:val="20"/>
          <w:rtl/>
        </w:rPr>
        <w:t xml:space="preserve">), שהוחזר לה אחרי מלחמת העולם הראשונה, כשליטא זכתה בעצמאות מרוסיה. בשנת תקצ״ו נקראה העיר </w:t>
      </w:r>
      <w:proofErr w:type="spellStart"/>
      <w:r>
        <w:rPr>
          <w:sz w:val="20"/>
          <w:szCs w:val="20"/>
          <w:rtl/>
        </w:rPr>
        <w:t>נובו־אלכסנדרובסק</w:t>
      </w:r>
      <w:proofErr w:type="spellEnd"/>
      <w:r>
        <w:rPr>
          <w:sz w:val="20"/>
          <w:szCs w:val="20"/>
          <w:rtl/>
        </w:rPr>
        <w:t xml:space="preserve"> על שם הצאר אלכסנדר הראשון, שנפטר </w:t>
      </w:r>
      <w:proofErr w:type="spellStart"/>
      <w:r>
        <w:rPr>
          <w:sz w:val="20"/>
          <w:szCs w:val="20"/>
          <w:rtl/>
        </w:rPr>
        <w:t>אחת־עשרה</w:t>
      </w:r>
      <w:proofErr w:type="spellEnd"/>
      <w:r>
        <w:rPr>
          <w:sz w:val="20"/>
          <w:szCs w:val="20"/>
          <w:rtl/>
        </w:rPr>
        <w:t xml:space="preserve"> שנים קודם לכן. בערל </w:t>
      </w:r>
      <w:proofErr w:type="spellStart"/>
      <w:r>
        <w:rPr>
          <w:sz w:val="20"/>
          <w:szCs w:val="20"/>
          <w:rtl/>
        </w:rPr>
        <w:t>קגן</w:t>
      </w:r>
      <w:proofErr w:type="spellEnd"/>
      <w:r>
        <w:rPr>
          <w:sz w:val="20"/>
          <w:szCs w:val="20"/>
          <w:rtl/>
        </w:rPr>
        <w:t xml:space="preserve">, עמ׳ 346, מספר “בדיחה, ואולי סיפור אמיתי” על איכר שעבר לפני התיבה ואמר “צור ישראל קומה </w:t>
      </w:r>
      <w:proofErr w:type="spellStart"/>
      <w:r>
        <w:rPr>
          <w:sz w:val="20"/>
          <w:szCs w:val="20"/>
          <w:rtl/>
        </w:rPr>
        <w:t>בנובו־אלכסנדראוסק</w:t>
      </w:r>
      <w:proofErr w:type="spellEnd"/>
      <w:r>
        <w:rPr>
          <w:sz w:val="20"/>
          <w:szCs w:val="20"/>
          <w:rtl/>
        </w:rPr>
        <w:t xml:space="preserve"> ישראל” במקום “צור ישראל קומה בעזרת ישראל”: הוא פחד להמרות את הצו לכבד את הצאר המנוח אלכסנדר בשינוי שם העיר </w:t>
      </w:r>
      <w:proofErr w:type="spellStart"/>
      <w:r>
        <w:rPr>
          <w:sz w:val="20"/>
          <w:szCs w:val="20"/>
          <w:rtl/>
        </w:rPr>
        <w:t>עז׳רס</w:t>
      </w:r>
      <w:proofErr w:type="spellEnd"/>
      <w:r>
        <w:rPr>
          <w:sz w:val="20"/>
          <w:szCs w:val="20"/>
          <w:rtl/>
        </w:rPr>
        <w:t xml:space="preserve"> – בהגייה </w:t>
      </w:r>
      <w:proofErr w:type="spellStart"/>
      <w:r>
        <w:rPr>
          <w:sz w:val="20"/>
          <w:szCs w:val="20"/>
          <w:rtl/>
        </w:rPr>
        <w:t>הליטאית־יהודית</w:t>
      </w:r>
      <w:proofErr w:type="spellEnd"/>
      <w:r>
        <w:rPr>
          <w:sz w:val="20"/>
          <w:szCs w:val="20"/>
          <w:rtl/>
        </w:rPr>
        <w:t xml:space="preserve">, שאין בה שי״ן, </w:t>
      </w:r>
      <w:proofErr w:type="spellStart"/>
      <w:r>
        <w:rPr>
          <w:sz w:val="20"/>
          <w:szCs w:val="20"/>
          <w:rtl/>
        </w:rPr>
        <w:t>עזרס</w:t>
      </w:r>
      <w:proofErr w:type="spellEnd"/>
      <w:r>
        <w:rPr>
          <w:sz w:val="20"/>
          <w:szCs w:val="20"/>
          <w:rtl/>
        </w:rPr>
        <w:t xml:space="preserve"> – ולכן שינה גם את המילה “עזרת” שבנוסח התפילה </w:t>
      </w:r>
      <w:proofErr w:type="spellStart"/>
      <w:r>
        <w:rPr>
          <w:sz w:val="20"/>
          <w:szCs w:val="20"/>
          <w:rtl/>
        </w:rPr>
        <w:t>ל“נובו־אלכסנדרובסק</w:t>
      </w:r>
      <w:proofErr w:type="spellEnd"/>
      <w:r>
        <w:rPr>
          <w:sz w:val="20"/>
          <w:szCs w:val="20"/>
          <w:rtl/>
        </w:rPr>
        <w:t>”.</w:t>
      </w:r>
    </w:p>
  </w:footnote>
  <w:footnote w:id="4040">
    <w:p w14:paraId="2D85E954" w14:textId="77777777" w:rsidR="00AB3647" w:rsidRDefault="00000000">
      <w:pPr>
        <w:spacing w:after="0" w:before="0"/>
        <w:jc w:val="both"/>
      </w:pPr>
      <w:r>
        <w:rPr>
          <w:sz w:val="20"/>
          <w:szCs w:val="20"/>
          <w:rtl/>
        </w:rPr>
        <w:footnoteRef/>
      </w:r>
      <w:r>
        <w:rPr>
          <w:sz w:val="20"/>
          <w:szCs w:val="20"/>
          <w:rtl/>
        </w:rPr>
        <w:t xml:space="preserve">. ראה פרק 3, הערה 15. כל ששת בניו של ר׳ </w:t>
      </w:r>
      <w:proofErr w:type="spellStart"/>
      <w:r>
        <w:rPr>
          <w:sz w:val="20"/>
          <w:szCs w:val="20"/>
          <w:rtl/>
        </w:rPr>
        <w:t>לייבל׳ה</w:t>
      </w:r>
      <w:proofErr w:type="spellEnd"/>
      <w:r>
        <w:rPr>
          <w:sz w:val="20"/>
          <w:szCs w:val="20"/>
          <w:rtl/>
        </w:rPr>
        <w:t xml:space="preserve"> שימשו רבנים בליטא.</w:t>
      </w:r>
    </w:p>
  </w:footnote>
  <w:footnote w:id="4041">
    <w:p w14:paraId="05550B05" w14:textId="77777777" w:rsidR="00AB3647" w:rsidRDefault="00000000">
      <w:pPr>
        <w:spacing w:after="0" w:before="0"/>
        <w:jc w:val="both"/>
      </w:pPr>
      <w:r>
        <w:rPr>
          <w:sz w:val="20"/>
          <w:szCs w:val="20"/>
          <w:rtl/>
        </w:rPr>
        <w:footnoteRef/>
      </w:r>
      <w:r>
        <w:rPr>
          <w:sz w:val="20"/>
          <w:szCs w:val="20"/>
          <w:rtl/>
        </w:rPr>
        <w:t>. כרך א, עמ׳ 25.</w:t>
      </w:r>
    </w:p>
  </w:footnote>
  <w:footnote w:id="4042">
    <w:p w14:paraId="2A946794" w14:textId="77777777" w:rsidR="00AB3647" w:rsidRDefault="00000000">
      <w:pPr>
        <w:spacing w:after="0" w:before="0"/>
        <w:jc w:val="both"/>
      </w:pPr>
      <w:r>
        <w:rPr>
          <w:sz w:val="20"/>
          <w:szCs w:val="20"/>
          <w:rtl/>
        </w:rPr>
        <w:footnoteRef/>
      </w:r>
      <w:r>
        <w:rPr>
          <w:sz w:val="20"/>
          <w:szCs w:val="20"/>
          <w:rtl/>
        </w:rPr>
        <w:t xml:space="preserve">. פורים אינו נזכר כיום שבו דילגו על השיעור. ראה גם הערה 147 לעיל: </w:t>
      </w:r>
      <w:proofErr w:type="spellStart"/>
      <w:r>
        <w:rPr>
          <w:sz w:val="20"/>
          <w:szCs w:val="20"/>
          <w:rtl/>
        </w:rPr>
        <w:t>בסלבודקה</w:t>
      </w:r>
      <w:proofErr w:type="spellEnd"/>
      <w:r>
        <w:rPr>
          <w:sz w:val="20"/>
          <w:szCs w:val="20"/>
          <w:rtl/>
        </w:rPr>
        <w:t xml:space="preserve"> נערך סדר לימוד רגיל בבוקר פורים לאחר קריאת המגילה.</w:t>
      </w:r>
    </w:p>
  </w:footnote>
  <w:footnote w:id="4043">
    <w:p w14:paraId="1A566B6A" w14:textId="77777777" w:rsidR="00AB3647" w:rsidRDefault="00000000">
      <w:pPr>
        <w:spacing w:after="0" w:before="0"/>
        <w:jc w:val="both"/>
      </w:pPr>
      <w:r>
        <w:rPr>
          <w:sz w:val="20"/>
          <w:szCs w:val="20"/>
          <w:rtl/>
        </w:rPr>
        <w:footnoteRef/>
      </w:r>
      <w:r>
        <w:rPr>
          <w:sz w:val="20"/>
          <w:szCs w:val="20"/>
          <w:rtl/>
        </w:rPr>
        <w:t xml:space="preserve">. הוא לא התחיל “לערך בשנת תרכ״ה”, כפי שכותבים בניו במבוא לספרו (כמובא לעיל), אלא חמש שנים אחר כך, כפי שעולה </w:t>
      </w:r>
      <w:proofErr w:type="spellStart"/>
      <w:r>
        <w:rPr>
          <w:sz w:val="20"/>
          <w:szCs w:val="20"/>
          <w:rtl/>
        </w:rPr>
        <w:t>משטמפפר</w:t>
      </w:r>
      <w:proofErr w:type="spellEnd"/>
      <w:r>
        <w:rPr>
          <w:sz w:val="20"/>
          <w:szCs w:val="20"/>
          <w:rtl/>
        </w:rPr>
        <w:t>, המדייק מבחינה היסטורית (המקור הנזכר בפרק 3, נספח ו), עמ׳ 86.</w:t>
      </w:r>
    </w:p>
  </w:footnote>
  <w:footnote w:id="4044">
    <w:p w14:paraId="00638266" w14:textId="77777777" w:rsidR="00AB3647" w:rsidRDefault="00000000">
      <w:pPr>
        <w:spacing w:after="0" w:before="0"/>
        <w:jc w:val="both"/>
      </w:pPr>
      <w:r>
        <w:rPr>
          <w:sz w:val="20"/>
          <w:szCs w:val="20"/>
          <w:rtl/>
        </w:rPr>
        <w:footnoteRef/>
      </w:r>
      <w:r>
        <w:rPr>
          <w:sz w:val="20"/>
          <w:szCs w:val="20"/>
          <w:rtl/>
        </w:rPr>
        <w:t>. עמ׳ 43.</w:t>
      </w:r>
    </w:p>
  </w:footnote>
  <w:footnote w:id="4045">
    <w:p w14:paraId="048E4213" w14:textId="77777777" w:rsidR="00AB3647" w:rsidRDefault="00000000">
      <w:pPr>
        <w:spacing w:after="0" w:before="0"/>
        <w:jc w:val="both"/>
      </w:pPr>
      <w:r>
        <w:rPr>
          <w:sz w:val="20"/>
          <w:szCs w:val="20"/>
          <w:rtl/>
        </w:rPr>
        <w:footnoteRef/>
      </w:r>
      <w:r>
        <w:rPr>
          <w:sz w:val="20"/>
          <w:szCs w:val="20"/>
          <w:rtl/>
        </w:rPr>
        <w:t>. עמ׳ 26.</w:t>
      </w:r>
    </w:p>
  </w:footnote>
  <w:footnote w:id="4046">
    <w:p w14:paraId="60897D29" w14:textId="77777777" w:rsidR="00AB3647" w:rsidRDefault="00000000">
      <w:pPr>
        <w:spacing w:after="0" w:before="0"/>
        <w:jc w:val="both"/>
      </w:pPr>
      <w:r>
        <w:rPr>
          <w:sz w:val="20"/>
          <w:szCs w:val="20"/>
          <w:rtl/>
        </w:rPr>
        <w:footnoteRef/>
      </w:r>
      <w:r>
        <w:rPr>
          <w:sz w:val="20"/>
          <w:szCs w:val="20"/>
          <w:rtl/>
        </w:rPr>
        <w:t>. ב־18 באפריל 1994.</w:t>
      </w:r>
    </w:p>
  </w:footnote>
  <w:footnote w:id="4047">
    <w:p w14:paraId="15938731" w14:textId="77777777" w:rsidR="00AB3647" w:rsidRDefault="00000000">
      <w:pPr>
        <w:spacing w:after="0" w:before="0"/>
        <w:jc w:val="both"/>
      </w:pPr>
      <w:r>
        <w:rPr>
          <w:sz w:val="20"/>
          <w:szCs w:val="20"/>
          <w:rtl/>
        </w:rPr>
        <w:footnoteRef/>
      </w:r>
      <w:r>
        <w:rPr>
          <w:sz w:val="20"/>
          <w:szCs w:val="20"/>
          <w:rtl/>
        </w:rPr>
        <w:t xml:space="preserve">. ראה פרק 5, הפסקה השלישית בנספח ו: הם היו נפוצים כל כך, עד שנאמר שהגיעו אף לעשרת השבטים האבודים. הדברים נאמרו </w:t>
      </w:r>
      <w:proofErr w:type="spellStart"/>
      <w:r>
        <w:rPr>
          <w:sz w:val="20"/>
          <w:szCs w:val="20"/>
          <w:rtl/>
        </w:rPr>
        <w:t>ארבע־עשרה</w:t>
      </w:r>
      <w:proofErr w:type="spellEnd"/>
      <w:r>
        <w:rPr>
          <w:sz w:val="20"/>
          <w:szCs w:val="20"/>
          <w:rtl/>
        </w:rPr>
        <w:t xml:space="preserve"> שנים אחרי נישואי ר׳ חיים, אבל מסתבר שהיו רבים למדי גם בתקופה המוקדמת יותר.</w:t>
      </w:r>
    </w:p>
  </w:footnote>
  <w:footnote w:id="4048">
    <w:p w14:paraId="57B628B5" w14:textId="77777777" w:rsidR="00AB3647" w:rsidRDefault="00000000">
      <w:pPr>
        <w:spacing w:after="0" w:before="0"/>
        <w:jc w:val="both"/>
      </w:pPr>
      <w:r>
        <w:rPr>
          <w:sz w:val="20"/>
          <w:szCs w:val="20"/>
          <w:rtl/>
        </w:rPr>
        <w:footnoteRef/>
      </w:r>
      <w:r>
        <w:rPr>
          <w:sz w:val="20"/>
          <w:szCs w:val="20"/>
          <w:rtl/>
        </w:rPr>
        <w:t>. סימן ז.</w:t>
      </w:r>
    </w:p>
  </w:footnote>
  <w:footnote w:id="4049">
    <w:p w14:paraId="024493A8" w14:textId="77777777" w:rsidR="00AB3647" w:rsidRDefault="00000000">
      <w:pPr>
        <w:spacing w:after="0" w:before="0"/>
        <w:jc w:val="both"/>
      </w:pPr>
      <w:r>
        <w:rPr>
          <w:sz w:val="20"/>
          <w:szCs w:val="20"/>
          <w:rtl/>
        </w:rPr>
        <w:footnoteRef/>
      </w:r>
      <w:r>
        <w:rPr>
          <w:sz w:val="20"/>
          <w:szCs w:val="20"/>
          <w:rtl/>
        </w:rPr>
        <w:t>. עמ׳ 232, והערה 351 שם.</w:t>
      </w:r>
    </w:p>
  </w:footnote>
  <w:footnote w:id="4050">
    <w:p w14:paraId="1BE136BA" w14:textId="77777777" w:rsidR="00AB3647" w:rsidRDefault="00000000">
      <w:pPr>
        <w:spacing w:after="0" w:before="0"/>
        <w:jc w:val="both"/>
      </w:pPr>
      <w:r>
        <w:rPr>
          <w:sz w:val="20"/>
          <w:szCs w:val="20"/>
          <w:rtl/>
        </w:rPr>
        <w:footnoteRef/>
      </w:r>
      <w:r>
        <w:rPr>
          <w:sz w:val="20"/>
          <w:szCs w:val="20"/>
          <w:rtl/>
        </w:rPr>
        <w:t>. כרך א, עמ׳ 38.</w:t>
      </w:r>
    </w:p>
  </w:footnote>
  <w:footnote w:id="4051">
    <w:p w14:paraId="29FD34DF" w14:textId="77777777" w:rsidR="00AB3647" w:rsidRDefault="00000000">
      <w:pPr>
        <w:spacing w:after="0" w:before="0"/>
        <w:jc w:val="both"/>
      </w:pPr>
      <w:r>
        <w:rPr>
          <w:sz w:val="20"/>
          <w:szCs w:val="20"/>
          <w:rtl/>
        </w:rPr>
        <w:footnoteRef/>
      </w:r>
      <w:r>
        <w:rPr>
          <w:sz w:val="20"/>
          <w:szCs w:val="20"/>
          <w:rtl/>
        </w:rPr>
        <w:t>. ראה שם, בראש עמ׳ 233.</w:t>
      </w:r>
    </w:p>
  </w:footnote>
  <w:footnote w:id="4052">
    <w:p w14:paraId="71E21B70" w14:textId="77777777" w:rsidR="00AB3647" w:rsidRDefault="00000000">
      <w:pPr>
        <w:spacing w:after="0" w:before="0"/>
        <w:jc w:val="both"/>
      </w:pPr>
      <w:r>
        <w:rPr>
          <w:sz w:val="20"/>
          <w:szCs w:val="20"/>
          <w:rtl/>
        </w:rPr>
        <w:footnoteRef/>
      </w:r>
      <w:r>
        <w:rPr>
          <w:sz w:val="20"/>
          <w:szCs w:val="20"/>
          <w:rtl/>
        </w:rPr>
        <w:t xml:space="preserve">. שם, פרק 3, הפסקה הראשונה בנספח </w:t>
      </w:r>
      <w:proofErr w:type="spellStart"/>
      <w:r>
        <w:rPr>
          <w:sz w:val="20"/>
          <w:szCs w:val="20"/>
          <w:rtl/>
        </w:rPr>
        <w:t>יח</w:t>
      </w:r>
      <w:proofErr w:type="spellEnd"/>
      <w:r>
        <w:rPr>
          <w:sz w:val="20"/>
          <w:szCs w:val="20"/>
          <w:rtl/>
        </w:rPr>
        <w:t xml:space="preserve">, עמ׳ 131. השווה גם “תורת חיים”, עמ׳ עט: אפילו </w:t>
      </w:r>
      <w:proofErr w:type="spellStart"/>
      <w:r>
        <w:rPr>
          <w:sz w:val="20"/>
          <w:szCs w:val="20"/>
          <w:rtl/>
        </w:rPr>
        <w:t>בבריסק</w:t>
      </w:r>
      <w:proofErr w:type="spellEnd"/>
      <w:r>
        <w:rPr>
          <w:sz w:val="20"/>
          <w:szCs w:val="20"/>
          <w:rtl/>
        </w:rPr>
        <w:t xml:space="preserve"> עוד הואשם ר׳ חיים, שלא בצדק, </w:t>
      </w:r>
      <w:proofErr w:type="spellStart"/>
      <w:r>
        <w:rPr>
          <w:sz w:val="20"/>
          <w:szCs w:val="20"/>
          <w:rtl/>
        </w:rPr>
        <w:t>ב“בטלנות</w:t>
      </w:r>
      <w:proofErr w:type="spellEnd"/>
      <w:r>
        <w:rPr>
          <w:sz w:val="20"/>
          <w:szCs w:val="20"/>
          <w:rtl/>
        </w:rPr>
        <w:t>”.</w:t>
      </w:r>
    </w:p>
  </w:footnote>
  <w:footnote w:id="4053">
    <w:p w14:paraId="0A437C05" w14:textId="77777777" w:rsidR="00AB3647" w:rsidRDefault="00000000">
      <w:pPr>
        <w:spacing w:after="0" w:before="0"/>
        <w:jc w:val="both"/>
      </w:pPr>
      <w:r>
        <w:rPr>
          <w:sz w:val="20"/>
          <w:szCs w:val="20"/>
          <w:rtl/>
        </w:rPr>
        <w:footnoteRef/>
      </w:r>
      <w:r>
        <w:rPr>
          <w:sz w:val="20"/>
          <w:szCs w:val="20"/>
          <w:rtl/>
        </w:rPr>
        <w:t xml:space="preserve">. מאת בנימין גולדברג, נדפס </w:t>
      </w:r>
      <w:proofErr w:type="spellStart"/>
      <w:r>
        <w:rPr>
          <w:sz w:val="20"/>
          <w:szCs w:val="20"/>
          <w:rtl/>
        </w:rPr>
        <w:t>בגראיעווע</w:t>
      </w:r>
      <w:proofErr w:type="spellEnd"/>
      <w:r>
        <w:rPr>
          <w:sz w:val="20"/>
          <w:szCs w:val="20"/>
          <w:rtl/>
        </w:rPr>
        <w:t>, 1924, עמ׳ 6.</w:t>
      </w:r>
    </w:p>
  </w:footnote>
  <w:footnote w:id="4054">
    <w:p w14:paraId="59F987AF" w14:textId="77777777" w:rsidR="00AB3647" w:rsidRDefault="00000000">
      <w:pPr>
        <w:spacing w:after="0" w:before="0"/>
        <w:jc w:val="both"/>
      </w:pPr>
      <w:r>
        <w:rPr>
          <w:sz w:val="20"/>
          <w:szCs w:val="20"/>
          <w:rtl/>
        </w:rPr>
        <w:footnoteRef/>
      </w:r>
      <w:r>
        <w:rPr>
          <w:sz w:val="20"/>
          <w:szCs w:val="20"/>
          <w:rtl/>
        </w:rPr>
        <w:t xml:space="preserve">. הדבר מצוטט אצל </w:t>
      </w:r>
      <w:proofErr w:type="spellStart"/>
      <w:r>
        <w:rPr>
          <w:sz w:val="20"/>
          <w:szCs w:val="20"/>
          <w:rtl/>
        </w:rPr>
        <w:t>שטמפפר</w:t>
      </w:r>
      <w:proofErr w:type="spellEnd"/>
      <w:r>
        <w:rPr>
          <w:sz w:val="20"/>
          <w:szCs w:val="20"/>
          <w:rtl/>
        </w:rPr>
        <w:t xml:space="preserve">, עמ׳ 165, הערה 67. ראה גם פרק 3, הפסקה השנייה בנספח </w:t>
      </w:r>
      <w:proofErr w:type="spellStart"/>
      <w:r>
        <w:rPr>
          <w:sz w:val="20"/>
          <w:szCs w:val="20"/>
          <w:rtl/>
        </w:rPr>
        <w:t>יב</w:t>
      </w:r>
      <w:proofErr w:type="spellEnd"/>
      <w:r>
        <w:rPr>
          <w:sz w:val="20"/>
          <w:szCs w:val="20"/>
          <w:rtl/>
        </w:rPr>
        <w:t>, בדבר התכלית המסוימת שאולי הייתה לקריאה זו.</w:t>
      </w:r>
    </w:p>
  </w:footnote>
  <w:footnote w:id="4055">
    <w:p w14:paraId="54D7236F" w14:textId="77777777" w:rsidR="00AB3647" w:rsidRDefault="00000000">
      <w:pPr>
        <w:spacing w:after="0" w:before="0"/>
        <w:jc w:val="both"/>
      </w:pPr>
      <w:r>
        <w:rPr>
          <w:sz w:val="20"/>
          <w:szCs w:val="20"/>
          <w:rtl/>
        </w:rPr>
        <w:footnoteRef/>
      </w:r>
      <w:r>
        <w:rPr>
          <w:sz w:val="20"/>
          <w:szCs w:val="20"/>
          <w:rtl/>
        </w:rPr>
        <w:t>. ראה פרק 3, נספח יא.</w:t>
      </w:r>
    </w:p>
  </w:footnote>
  <w:footnote w:id="4056">
    <w:p w14:paraId="5C773183" w14:textId="77777777" w:rsidR="00AB3647" w:rsidRDefault="00000000">
      <w:pPr>
        <w:spacing w:after="0" w:before="0"/>
        <w:jc w:val="both"/>
      </w:pPr>
      <w:r>
        <w:rPr>
          <w:sz w:val="20"/>
          <w:szCs w:val="20"/>
          <w:rtl/>
        </w:rPr>
        <w:footnoteRef/>
      </w:r>
      <w:r>
        <w:rPr>
          <w:sz w:val="20"/>
          <w:szCs w:val="20"/>
          <w:rtl/>
        </w:rPr>
        <w:t>. הערה 33 לעיל; המחבר היה בן דורו של ברדיצ׳בסקי, עמ׳ 65–66.</w:t>
      </w:r>
    </w:p>
  </w:footnote>
  <w:footnote w:id="4057">
    <w:p w14:paraId="63B366C6" w14:textId="77777777" w:rsidR="00AB3647" w:rsidRDefault="00000000">
      <w:pPr>
        <w:spacing w:after="0" w:before="0"/>
        <w:jc w:val="both"/>
      </w:pPr>
      <w:r>
        <w:rPr>
          <w:sz w:val="20"/>
          <w:szCs w:val="20"/>
          <w:rtl/>
        </w:rPr>
        <w:footnoteRef/>
      </w:r>
      <w:r>
        <w:rPr>
          <w:sz w:val="20"/>
          <w:szCs w:val="20"/>
          <w:rtl/>
        </w:rPr>
        <w:t xml:space="preserve">. ראה, עם זאת, “עלי </w:t>
      </w:r>
      <w:proofErr w:type="spellStart"/>
      <w:r>
        <w:rPr>
          <w:sz w:val="20"/>
          <w:szCs w:val="20"/>
          <w:rtl/>
        </w:rPr>
        <w:t>חלדי</w:t>
      </w:r>
      <w:proofErr w:type="spellEnd"/>
      <w:r>
        <w:rPr>
          <w:sz w:val="20"/>
          <w:szCs w:val="20"/>
          <w:rtl/>
        </w:rPr>
        <w:t xml:space="preserve">”, עמ׳ 43. אחרי שנאמר שם </w:t>
      </w:r>
      <w:proofErr w:type="spellStart"/>
      <w:r>
        <w:rPr>
          <w:sz w:val="20"/>
          <w:szCs w:val="20"/>
          <w:rtl/>
        </w:rPr>
        <w:t>ש“ביום</w:t>
      </w:r>
      <w:proofErr w:type="spellEnd"/>
      <w:r>
        <w:rPr>
          <w:sz w:val="20"/>
          <w:szCs w:val="20"/>
          <w:rtl/>
        </w:rPr>
        <w:t xml:space="preserve"> הראשון, השני והשלישי לשבוע הגיד רבי חיים </w:t>
      </w:r>
      <w:proofErr w:type="spellStart"/>
      <w:r>
        <w:rPr>
          <w:sz w:val="20"/>
          <w:szCs w:val="20"/>
          <w:rtl/>
        </w:rPr>
        <w:t>סולוביציק</w:t>
      </w:r>
      <w:proofErr w:type="spellEnd"/>
      <w:r>
        <w:rPr>
          <w:sz w:val="20"/>
          <w:szCs w:val="20"/>
          <w:rtl/>
        </w:rPr>
        <w:t xml:space="preserve">, וביום הרביעי, החמישי </w:t>
      </w:r>
      <w:proofErr w:type="spellStart"/>
      <w:r>
        <w:rPr>
          <w:sz w:val="20"/>
          <w:szCs w:val="20"/>
          <w:rtl/>
        </w:rPr>
        <w:t>והששי</w:t>
      </w:r>
      <w:proofErr w:type="spellEnd"/>
      <w:r>
        <w:rPr>
          <w:sz w:val="20"/>
          <w:szCs w:val="20"/>
          <w:rtl/>
        </w:rPr>
        <w:t xml:space="preserve"> </w:t>
      </w:r>
      <w:proofErr w:type="spellStart"/>
      <w:r>
        <w:rPr>
          <w:sz w:val="20"/>
          <w:szCs w:val="20"/>
          <w:rtl/>
        </w:rPr>
        <w:t>הנצי״ב</w:t>
      </w:r>
      <w:proofErr w:type="spellEnd"/>
      <w:r>
        <w:rPr>
          <w:sz w:val="20"/>
          <w:szCs w:val="20"/>
          <w:rtl/>
        </w:rPr>
        <w:t xml:space="preserve">”, נכתב: “עצם </w:t>
      </w:r>
      <w:proofErr w:type="spellStart"/>
      <w:r>
        <w:rPr>
          <w:sz w:val="20"/>
          <w:szCs w:val="20"/>
          <w:rtl/>
        </w:rPr>
        <w:t>השעור</w:t>
      </w:r>
      <w:proofErr w:type="spellEnd"/>
      <w:r>
        <w:rPr>
          <w:sz w:val="20"/>
          <w:szCs w:val="20"/>
          <w:rtl/>
        </w:rPr>
        <w:t xml:space="preserve"> של רבי חיים היה באמת רק פעם אחת בשבוע, ביום השני, אז אמר את </w:t>
      </w:r>
      <w:proofErr w:type="spellStart"/>
      <w:r>
        <w:rPr>
          <w:sz w:val="20"/>
          <w:szCs w:val="20"/>
          <w:rtl/>
        </w:rPr>
        <w:t>חדושו</w:t>
      </w:r>
      <w:proofErr w:type="spellEnd"/>
      <w:r>
        <w:rPr>
          <w:sz w:val="20"/>
          <w:szCs w:val="20"/>
          <w:rtl/>
        </w:rPr>
        <w:t xml:space="preserve">. בשני הימים הנשארים היה עובר במהירות רבה על דף הגמרא ועד שהתלמידים נאספו כולם אל שלחנו, כבר גמר את </w:t>
      </w:r>
      <w:proofErr w:type="spellStart"/>
      <w:r>
        <w:rPr>
          <w:sz w:val="20"/>
          <w:szCs w:val="20"/>
          <w:rtl/>
        </w:rPr>
        <w:t>השעור</w:t>
      </w:r>
      <w:proofErr w:type="spellEnd"/>
      <w:r>
        <w:rPr>
          <w:sz w:val="20"/>
          <w:szCs w:val="20"/>
          <w:rtl/>
        </w:rPr>
        <w:t xml:space="preserve">.” (המחצית השנייה של המשפט נראית מוגזמת.) ואולם יש להוסיף שמחבר “עלי </w:t>
      </w:r>
      <w:proofErr w:type="spellStart"/>
      <w:r>
        <w:rPr>
          <w:sz w:val="20"/>
          <w:szCs w:val="20"/>
          <w:rtl/>
        </w:rPr>
        <w:t>חלדי</w:t>
      </w:r>
      <w:proofErr w:type="spellEnd"/>
      <w:r>
        <w:rPr>
          <w:sz w:val="20"/>
          <w:szCs w:val="20"/>
          <w:rtl/>
        </w:rPr>
        <w:t xml:space="preserve">” השתתף כנראה בשיעורים מעטים של ר׳ חיים, אם בכלל, שהרי הוא כותב שם, עמ׳ 43–44: “לי התאימו אז יותר שעוריו של </w:t>
      </w:r>
      <w:proofErr w:type="spellStart"/>
      <w:r>
        <w:rPr>
          <w:sz w:val="20"/>
          <w:szCs w:val="20"/>
          <w:rtl/>
        </w:rPr>
        <w:t>הנצי״ב</w:t>
      </w:r>
      <w:proofErr w:type="spellEnd"/>
      <w:r>
        <w:rPr>
          <w:sz w:val="20"/>
          <w:szCs w:val="20"/>
          <w:rtl/>
        </w:rPr>
        <w:t xml:space="preserve">”. תוספתו, “אולם הייתי שומע גם את שעוריו של רבי חיים ומבין את </w:t>
      </w:r>
      <w:proofErr w:type="spellStart"/>
      <w:r>
        <w:rPr>
          <w:sz w:val="20"/>
          <w:szCs w:val="20"/>
          <w:rtl/>
        </w:rPr>
        <w:t>חדושיו</w:t>
      </w:r>
      <w:proofErr w:type="spellEnd"/>
      <w:r>
        <w:rPr>
          <w:sz w:val="20"/>
          <w:szCs w:val="20"/>
          <w:rtl/>
        </w:rPr>
        <w:t>”, נראית מפוקפקת.</w:t>
      </w:r>
    </w:p>
  </w:footnote>
  <w:footnote w:id="4058">
    <w:p w14:paraId="747AA141" w14:textId="77777777" w:rsidR="00AB3647" w:rsidRDefault="00000000">
      <w:pPr>
        <w:spacing w:after="0" w:before="0"/>
        <w:jc w:val="both"/>
      </w:pPr>
      <w:r>
        <w:rPr>
          <w:sz w:val="20"/>
          <w:szCs w:val="20"/>
          <w:rtl/>
        </w:rPr>
        <w:footnoteRef/>
      </w:r>
      <w:r>
        <w:rPr>
          <w:sz w:val="20"/>
          <w:szCs w:val="20"/>
          <w:rtl/>
        </w:rPr>
        <w:t>. כוונת המחבר: כפי שאמור להיות תלמיד חכם, על פי הגמרא, מסכת יומא, תחילת דף כ״ג.</w:t>
      </w:r>
    </w:p>
  </w:footnote>
  <w:footnote w:id="4059">
    <w:p w14:paraId="1F8926F6" w14:textId="77777777" w:rsidR="00AB3647" w:rsidRDefault="00000000">
      <w:pPr>
        <w:spacing w:after="0" w:before="0"/>
        <w:jc w:val="both"/>
      </w:pPr>
      <w:r>
        <w:rPr>
          <w:sz w:val="20"/>
          <w:szCs w:val="20"/>
          <w:rtl/>
        </w:rPr>
        <w:footnoteRef/>
      </w:r>
      <w:r>
        <w:rPr>
          <w:sz w:val="20"/>
          <w:szCs w:val="20"/>
          <w:rtl/>
        </w:rPr>
        <w:t>. שם, פרק 3, תחילת נספח י, עמ׳ 36.</w:t>
      </w:r>
    </w:p>
  </w:footnote>
  <w:footnote w:id="4060">
    <w:p w14:paraId="6BA87804" w14:textId="77777777" w:rsidR="00AB3647" w:rsidRDefault="00000000">
      <w:pPr>
        <w:spacing w:after="0" w:before="0"/>
        <w:jc w:val="both"/>
      </w:pPr>
      <w:r>
        <w:rPr>
          <w:sz w:val="20"/>
          <w:szCs w:val="20"/>
          <w:rtl/>
        </w:rPr>
        <w:footnoteRef/>
      </w:r>
      <w:r>
        <w:rPr>
          <w:sz w:val="20"/>
          <w:szCs w:val="20"/>
          <w:rtl/>
        </w:rPr>
        <w:t>. שם, פרק 2, נספח ו, עמ׳ נ.</w:t>
      </w:r>
    </w:p>
  </w:footnote>
  <w:footnote w:id="4061">
    <w:p w14:paraId="39112AB0" w14:textId="77777777" w:rsidR="00AB3647" w:rsidRDefault="00000000">
      <w:pPr>
        <w:spacing w:after="0" w:before="0"/>
        <w:jc w:val="both"/>
      </w:pPr>
      <w:r>
        <w:rPr>
          <w:sz w:val="20"/>
          <w:szCs w:val="20"/>
          <w:rtl/>
        </w:rPr>
        <w:footnoteRef/>
      </w:r>
      <w:r>
        <w:rPr>
          <w:sz w:val="20"/>
          <w:szCs w:val="20"/>
          <w:rtl/>
        </w:rPr>
        <w:t>. פרק 33, עמ׳ 243–251, בכרך ב.</w:t>
      </w:r>
    </w:p>
  </w:footnote>
  <w:footnote w:id="4062">
    <w:p w14:paraId="629F77E1" w14:textId="77777777" w:rsidR="00AB3647" w:rsidRDefault="00000000">
      <w:pPr>
        <w:spacing w:after="0" w:before="0"/>
        <w:jc w:val="both"/>
      </w:pPr>
      <w:r>
        <w:rPr>
          <w:sz w:val="20"/>
          <w:szCs w:val="20"/>
          <w:rtl/>
        </w:rPr>
        <w:footnoteRef/>
      </w:r>
      <w:r>
        <w:rPr>
          <w:sz w:val="20"/>
          <w:szCs w:val="20"/>
          <w:rtl/>
        </w:rPr>
        <w:t xml:space="preserve">. תל אביב, תשט״ו; להלן “אנציקלופדיה </w:t>
      </w:r>
      <w:proofErr w:type="spellStart"/>
      <w:r>
        <w:rPr>
          <w:sz w:val="20"/>
          <w:szCs w:val="20"/>
          <w:rtl/>
        </w:rPr>
        <w:t>בריסק</w:t>
      </w:r>
      <w:proofErr w:type="spellEnd"/>
      <w:r>
        <w:rPr>
          <w:sz w:val="20"/>
          <w:szCs w:val="20"/>
          <w:rtl/>
        </w:rPr>
        <w:t>”, עמ׳ 151.</w:t>
      </w:r>
    </w:p>
  </w:footnote>
  <w:footnote w:id="4063">
    <w:p w14:paraId="1AC6D9B1" w14:textId="77777777" w:rsidR="00AB3647" w:rsidRDefault="00000000">
      <w:pPr>
        <w:spacing w:after="0" w:before="0"/>
        <w:jc w:val="both"/>
      </w:pPr>
      <w:r>
        <w:rPr>
          <w:sz w:val="20"/>
          <w:szCs w:val="20"/>
          <w:rtl/>
        </w:rPr>
        <w:footnoteRef/>
      </w:r>
      <w:r>
        <w:rPr>
          <w:sz w:val="20"/>
          <w:szCs w:val="20"/>
          <w:rtl/>
        </w:rPr>
        <w:t>. ראה כרך 2.</w:t>
      </w:r>
    </w:p>
  </w:footnote>
  <w:footnote w:id="4064">
    <w:p w14:paraId="599A24CE" w14:textId="77777777" w:rsidR="00AB3647" w:rsidRDefault="00000000">
      <w:pPr>
        <w:spacing w:after="0" w:before="0"/>
        <w:jc w:val="both"/>
      </w:pPr>
      <w:r>
        <w:rPr>
          <w:sz w:val="20"/>
          <w:szCs w:val="20"/>
          <w:rtl/>
        </w:rPr>
        <w:footnoteRef/>
      </w:r>
      <w:r>
        <w:rPr>
          <w:sz w:val="20"/>
          <w:szCs w:val="20"/>
          <w:rtl/>
        </w:rPr>
        <w:t>. לפי “רבן של ישראל” מאת מאיר ברלין, הסתדרות המזרחי באמריקה, ניו יורק, תש״ג, עמ׳ 114.</w:t>
      </w:r>
    </w:p>
  </w:footnote>
  <w:footnote w:id="4065">
    <w:p w14:paraId="0982D3F2" w14:textId="77777777" w:rsidR="00AB3647" w:rsidRDefault="00000000">
      <w:pPr>
        <w:spacing w:after="0" w:before="0"/>
        <w:jc w:val="both"/>
      </w:pPr>
      <w:r>
        <w:rPr>
          <w:sz w:val="20"/>
          <w:szCs w:val="20"/>
          <w:rtl/>
        </w:rPr>
        <w:footnoteRef/>
      </w:r>
      <w:r>
        <w:rPr>
          <w:sz w:val="20"/>
          <w:szCs w:val="20"/>
          <w:rtl/>
        </w:rPr>
        <w:t xml:space="preserve">. ראה פרק 5, הפסקה החמישית בנספח ו, בדבר קרבתו של ר׳ לייזר </w:t>
      </w:r>
      <w:proofErr w:type="spellStart"/>
      <w:r>
        <w:rPr>
          <w:sz w:val="20"/>
          <w:szCs w:val="20"/>
          <w:rtl/>
        </w:rPr>
        <w:t>רבינוביץ</w:t>
      </w:r>
      <w:proofErr w:type="spellEnd"/>
      <w:r>
        <w:rPr>
          <w:sz w:val="20"/>
          <w:szCs w:val="20"/>
          <w:rtl/>
        </w:rPr>
        <w:t xml:space="preserve"> למשפחת </w:t>
      </w:r>
      <w:proofErr w:type="spellStart"/>
      <w:r>
        <w:rPr>
          <w:sz w:val="20"/>
          <w:szCs w:val="20"/>
          <w:rtl/>
        </w:rPr>
        <w:t>סולובייצ׳יק</w:t>
      </w:r>
      <w:proofErr w:type="spellEnd"/>
      <w:r>
        <w:rPr>
          <w:sz w:val="20"/>
          <w:szCs w:val="20"/>
          <w:rtl/>
        </w:rPr>
        <w:t xml:space="preserve">. הוא היה תלמיד בישיבת </w:t>
      </w:r>
      <w:proofErr w:type="spellStart"/>
      <w:r>
        <w:rPr>
          <w:sz w:val="20"/>
          <w:szCs w:val="20"/>
          <w:rtl/>
        </w:rPr>
        <w:t>וולוז׳ין</w:t>
      </w:r>
      <w:proofErr w:type="spellEnd"/>
      <w:r>
        <w:rPr>
          <w:sz w:val="20"/>
          <w:szCs w:val="20"/>
          <w:rtl/>
        </w:rPr>
        <w:t>, ושם נודע כעילוי מקייב.</w:t>
      </w:r>
    </w:p>
  </w:footnote>
  <w:footnote w:id="4066">
    <w:p w14:paraId="7B09ADF9" w14:textId="77777777" w:rsidR="00AB3647" w:rsidRDefault="00000000">
      <w:pPr>
        <w:spacing w:after="0" w:before="0"/>
        <w:jc w:val="both"/>
      </w:pPr>
      <w:r>
        <w:rPr>
          <w:sz w:val="20"/>
          <w:szCs w:val="20"/>
          <w:rtl/>
        </w:rPr>
        <w:footnoteRef/>
      </w:r>
      <w:r>
        <w:rPr>
          <w:sz w:val="20"/>
          <w:szCs w:val="20"/>
          <w:rtl/>
        </w:rPr>
        <w:t xml:space="preserve">. ועיין שו״ת משיב דבר, ח״א, סי׳ כ״ה, ועפ״י מש״ב שם יוצא שמה שאמר </w:t>
      </w:r>
      <w:proofErr w:type="spellStart"/>
      <w:r>
        <w:rPr>
          <w:sz w:val="20"/>
          <w:szCs w:val="20"/>
          <w:rtl/>
        </w:rPr>
        <w:t>הרח״ה</w:t>
      </w:r>
      <w:proofErr w:type="spellEnd"/>
      <w:r>
        <w:rPr>
          <w:sz w:val="20"/>
          <w:szCs w:val="20"/>
          <w:rtl/>
        </w:rPr>
        <w:t xml:space="preserve"> שבעצמו הי׳ צריך להתענות זאת שיטת השאילתות </w:t>
      </w:r>
      <w:proofErr w:type="spellStart"/>
      <w:r>
        <w:rPr>
          <w:sz w:val="20"/>
          <w:szCs w:val="20"/>
          <w:rtl/>
        </w:rPr>
        <w:t>ודלא</w:t>
      </w:r>
      <w:proofErr w:type="spellEnd"/>
      <w:r>
        <w:rPr>
          <w:sz w:val="20"/>
          <w:szCs w:val="20"/>
          <w:rtl/>
        </w:rPr>
        <w:t xml:space="preserve"> </w:t>
      </w:r>
      <w:proofErr w:type="spellStart"/>
      <w:r>
        <w:rPr>
          <w:sz w:val="20"/>
          <w:szCs w:val="20"/>
          <w:rtl/>
        </w:rPr>
        <w:t>כהמג״א</w:t>
      </w:r>
      <w:proofErr w:type="spellEnd"/>
      <w:r>
        <w:rPr>
          <w:sz w:val="20"/>
          <w:szCs w:val="20"/>
          <w:rtl/>
        </w:rPr>
        <w:t xml:space="preserve"> שפוטרו. ואף הובא שם דברי הספר חסידים (אות תמד) שהחולם צריך להתענות (ג״כ) </w:t>
      </w:r>
      <w:proofErr w:type="spellStart"/>
      <w:r>
        <w:rPr>
          <w:sz w:val="20"/>
          <w:szCs w:val="20"/>
          <w:rtl/>
        </w:rPr>
        <w:t>והנצי״ב</w:t>
      </w:r>
      <w:proofErr w:type="spellEnd"/>
      <w:r>
        <w:rPr>
          <w:sz w:val="20"/>
          <w:szCs w:val="20"/>
          <w:rtl/>
        </w:rPr>
        <w:t xml:space="preserve"> כותב שזה “בכלל לא תעמוד על דם רעך או בכלל </w:t>
      </w:r>
      <w:proofErr w:type="spellStart"/>
      <w:r>
        <w:rPr>
          <w:sz w:val="20"/>
          <w:szCs w:val="20"/>
          <w:rtl/>
        </w:rPr>
        <w:t>והשבותו</w:t>
      </w:r>
      <w:proofErr w:type="spellEnd"/>
      <w:r>
        <w:rPr>
          <w:sz w:val="20"/>
          <w:szCs w:val="20"/>
          <w:rtl/>
        </w:rPr>
        <w:t xml:space="preserve"> לו” </w:t>
      </w:r>
      <w:proofErr w:type="spellStart"/>
      <w:r>
        <w:rPr>
          <w:sz w:val="20"/>
          <w:szCs w:val="20"/>
          <w:rtl/>
        </w:rPr>
        <w:t>ולפי״ז</w:t>
      </w:r>
      <w:proofErr w:type="spellEnd"/>
      <w:r>
        <w:rPr>
          <w:sz w:val="20"/>
          <w:szCs w:val="20"/>
          <w:rtl/>
        </w:rPr>
        <w:t xml:space="preserve"> צדק </w:t>
      </w:r>
      <w:proofErr w:type="spellStart"/>
      <w:r>
        <w:rPr>
          <w:sz w:val="20"/>
          <w:szCs w:val="20"/>
          <w:rtl/>
        </w:rPr>
        <w:t>הנצי״ב</w:t>
      </w:r>
      <w:proofErr w:type="spellEnd"/>
      <w:r>
        <w:rPr>
          <w:sz w:val="20"/>
          <w:szCs w:val="20"/>
          <w:rtl/>
        </w:rPr>
        <w:t xml:space="preserve"> בהתענותו. </w:t>
      </w:r>
      <w:proofErr w:type="spellStart"/>
      <w:r>
        <w:rPr>
          <w:sz w:val="20"/>
          <w:szCs w:val="20"/>
          <w:rtl/>
        </w:rPr>
        <w:t>ועיי״ש</w:t>
      </w:r>
      <w:proofErr w:type="spellEnd"/>
      <w:r>
        <w:rPr>
          <w:sz w:val="20"/>
          <w:szCs w:val="20"/>
          <w:rtl/>
        </w:rPr>
        <w:t xml:space="preserve"> שמסיים תשובתו בתפלה שהמקום יתברך יחוס עלינו ולא </w:t>
      </w:r>
      <w:proofErr w:type="spellStart"/>
      <w:r>
        <w:rPr>
          <w:sz w:val="20"/>
          <w:szCs w:val="20"/>
          <w:rtl/>
        </w:rPr>
        <w:t>יבהלנו</w:t>
      </w:r>
      <w:proofErr w:type="spellEnd"/>
      <w:r>
        <w:rPr>
          <w:sz w:val="20"/>
          <w:szCs w:val="20"/>
          <w:rtl/>
        </w:rPr>
        <w:t xml:space="preserve"> ע״י חלומות רעים. ובנידון זה שמעתי בשם הרב </w:t>
      </w:r>
      <w:proofErr w:type="spellStart"/>
      <w:r>
        <w:rPr>
          <w:sz w:val="20"/>
          <w:szCs w:val="20"/>
          <w:rtl/>
        </w:rPr>
        <w:t>מבריסק</w:t>
      </w:r>
      <w:proofErr w:type="spellEnd"/>
      <w:r>
        <w:rPr>
          <w:sz w:val="20"/>
          <w:szCs w:val="20"/>
          <w:rtl/>
        </w:rPr>
        <w:t xml:space="preserve"> ר׳ יצחק־זאב, שאמר שאינו מפחד מהחלום הרע אלא מהגמרא שמחייבת הטבתו, ועיין גם בספר עובדות והנהגות לבית </w:t>
      </w:r>
      <w:proofErr w:type="spellStart"/>
      <w:r>
        <w:rPr>
          <w:sz w:val="20"/>
          <w:szCs w:val="20"/>
          <w:rtl/>
        </w:rPr>
        <w:t>בריסק</w:t>
      </w:r>
      <w:proofErr w:type="spellEnd"/>
      <w:r>
        <w:rPr>
          <w:sz w:val="20"/>
          <w:szCs w:val="20"/>
          <w:rtl/>
        </w:rPr>
        <w:t xml:space="preserve">, </w:t>
      </w:r>
      <w:proofErr w:type="spellStart"/>
      <w:r>
        <w:rPr>
          <w:sz w:val="20"/>
          <w:szCs w:val="20"/>
          <w:rtl/>
        </w:rPr>
        <w:t>ח״ב</w:t>
      </w:r>
      <w:proofErr w:type="spellEnd"/>
      <w:r>
        <w:rPr>
          <w:sz w:val="20"/>
          <w:szCs w:val="20"/>
          <w:rtl/>
        </w:rPr>
        <w:t xml:space="preserve">, עמ׳ </w:t>
      </w:r>
      <w:proofErr w:type="spellStart"/>
      <w:r>
        <w:rPr>
          <w:sz w:val="20"/>
          <w:szCs w:val="20"/>
          <w:rtl/>
        </w:rPr>
        <w:t>מא</w:t>
      </w:r>
      <w:proofErr w:type="spellEnd"/>
      <w:r>
        <w:rPr>
          <w:sz w:val="20"/>
          <w:szCs w:val="20"/>
          <w:rtl/>
        </w:rPr>
        <w:t xml:space="preserve"> בשם ר׳ אברהם </w:t>
      </w:r>
      <w:proofErr w:type="spellStart"/>
      <w:r>
        <w:rPr>
          <w:sz w:val="20"/>
          <w:szCs w:val="20"/>
          <w:rtl/>
        </w:rPr>
        <w:t>ארלנגר</w:t>
      </w:r>
      <w:proofErr w:type="spellEnd"/>
      <w:r>
        <w:rPr>
          <w:sz w:val="20"/>
          <w:szCs w:val="20"/>
          <w:rtl/>
        </w:rPr>
        <w:t xml:space="preserve"> שבכל יום היה </w:t>
      </w:r>
      <w:proofErr w:type="spellStart"/>
      <w:r>
        <w:rPr>
          <w:sz w:val="20"/>
          <w:szCs w:val="20"/>
          <w:rtl/>
        </w:rPr>
        <w:t>הרי״ז</w:t>
      </w:r>
      <w:proofErr w:type="spellEnd"/>
      <w:r>
        <w:rPr>
          <w:sz w:val="20"/>
          <w:szCs w:val="20"/>
          <w:rtl/>
        </w:rPr>
        <w:t xml:space="preserve"> עושה הטבת חלום ואף בשבת לפני תפלת מנחה אחרי שהיה ישן בצהרים בשבת.</w:t>
      </w:r>
    </w:p>
  </w:footnote>
  <w:footnote w:id="4067">
    <w:p w14:paraId="3D64191A" w14:textId="77777777" w:rsidR="00AB3647" w:rsidRDefault="00000000">
      <w:pPr>
        <w:spacing w:after="0" w:before="0"/>
        <w:jc w:val="both"/>
      </w:pPr>
      <w:r>
        <w:rPr>
          <w:sz w:val="20"/>
          <w:szCs w:val="20"/>
          <w:rtl/>
        </w:rPr>
        <w:footnoteRef/>
      </w:r>
      <w:r>
        <w:rPr>
          <w:sz w:val="20"/>
          <w:szCs w:val="20"/>
          <w:rtl/>
        </w:rPr>
        <w:t xml:space="preserve">. הוצאת כתר, ירושלים, 1999; להלן “ספר </w:t>
      </w:r>
      <w:proofErr w:type="spellStart"/>
      <w:r>
        <w:rPr>
          <w:sz w:val="20"/>
          <w:szCs w:val="20"/>
          <w:rtl/>
        </w:rPr>
        <w:t>רר״ס</w:t>
      </w:r>
      <w:proofErr w:type="spellEnd"/>
      <w:r>
        <w:rPr>
          <w:sz w:val="20"/>
          <w:szCs w:val="20"/>
          <w:rtl/>
        </w:rPr>
        <w:t>”, עמ׳ 306.</w:t>
      </w:r>
    </w:p>
  </w:footnote>
  <w:footnote w:id="4068">
    <w:p w14:paraId="4423C6CC" w14:textId="77777777" w:rsidR="00AB3647" w:rsidRDefault="00000000">
      <w:pPr>
        <w:spacing w:after="0" w:before="0"/>
        <w:jc w:val="both"/>
      </w:pPr>
      <w:r>
        <w:rPr>
          <w:sz w:val="20"/>
          <w:szCs w:val="20"/>
          <w:rtl/>
        </w:rPr>
        <w:footnoteRef/>
      </w:r>
      <w:r>
        <w:rPr>
          <w:sz w:val="20"/>
          <w:szCs w:val="20"/>
          <w:rtl/>
        </w:rPr>
        <w:t>. משלי ל:כד.</w:t>
      </w:r>
    </w:p>
  </w:footnote>
  <w:footnote w:id="4069">
    <w:p w14:paraId="2B8E5D79" w14:textId="77777777" w:rsidR="00AB3647" w:rsidRDefault="00000000">
      <w:pPr>
        <w:spacing w:after="0" w:before="0"/>
        <w:jc w:val="both"/>
      </w:pPr>
      <w:r>
        <w:rPr>
          <w:sz w:val="20"/>
          <w:szCs w:val="20"/>
          <w:rtl/>
        </w:rPr>
        <w:footnoteRef/>
      </w:r>
      <w:r>
        <w:rPr>
          <w:sz w:val="20"/>
          <w:szCs w:val="20"/>
          <w:rtl/>
        </w:rPr>
        <w:t>. עמ׳ 284.</w:t>
      </w:r>
    </w:p>
  </w:footnote>
  <w:footnote w:id="4070">
    <w:p w14:paraId="0FA4AAE0" w14:textId="77777777" w:rsidR="00AB3647" w:rsidRDefault="00000000">
      <w:pPr>
        <w:spacing w:after="0" w:before="0"/>
        <w:jc w:val="both"/>
      </w:pPr>
      <w:r>
        <w:rPr>
          <w:sz w:val="20"/>
          <w:szCs w:val="20"/>
          <w:rtl/>
        </w:rPr>
        <w:footnoteRef/>
      </w:r>
      <w:r>
        <w:rPr>
          <w:sz w:val="20"/>
          <w:szCs w:val="20"/>
          <w:rtl/>
        </w:rPr>
        <w:t>. כרך ב, עמ׳ 244.</w:t>
      </w:r>
    </w:p>
  </w:footnote>
  <w:footnote w:id="4071">
    <w:p w14:paraId="3B3C0487" w14:textId="77777777" w:rsidR="00AB3647" w:rsidRDefault="00000000">
      <w:pPr>
        <w:spacing w:after="0" w:before="0"/>
        <w:jc w:val="both"/>
      </w:pPr>
      <w:r>
        <w:rPr>
          <w:sz w:val="20"/>
          <w:szCs w:val="20"/>
          <w:rtl/>
        </w:rPr>
        <w:footnoteRef/>
      </w:r>
      <w:r>
        <w:rPr>
          <w:sz w:val="20"/>
          <w:szCs w:val="20"/>
          <w:rtl/>
        </w:rPr>
        <w:t>. ראה כרך 2.</w:t>
      </w:r>
    </w:p>
  </w:footnote>
  <w:footnote w:id="4072">
    <w:p w14:paraId="08868EE1" w14:textId="77777777" w:rsidR="00AB3647" w:rsidRDefault="00000000">
      <w:pPr>
        <w:spacing w:after="0" w:before="0"/>
        <w:jc w:val="both"/>
      </w:pPr>
      <w:r>
        <w:rPr>
          <w:sz w:val="20"/>
          <w:szCs w:val="20"/>
          <w:rtl/>
        </w:rPr>
        <w:footnoteRef/>
      </w:r>
      <w:r>
        <w:rPr>
          <w:sz w:val="20"/>
          <w:szCs w:val="20"/>
          <w:rtl/>
        </w:rPr>
        <w:t>. כרך א, עמ׳ 247–250.</w:t>
      </w:r>
    </w:p>
  </w:footnote>
  <w:footnote w:id="4073">
    <w:p w14:paraId="2D240D6E" w14:textId="77777777" w:rsidR="00AB3647" w:rsidRDefault="00000000">
      <w:pPr>
        <w:spacing w:after="0" w:before="0"/>
        <w:jc w:val="both"/>
      </w:pPr>
      <w:r>
        <w:rPr>
          <w:sz w:val="20"/>
          <w:szCs w:val="20"/>
          <w:rtl/>
        </w:rPr>
        <w:footnoteRef/>
      </w:r>
      <w:r>
        <w:rPr>
          <w:sz w:val="20"/>
          <w:szCs w:val="20"/>
          <w:rtl/>
        </w:rPr>
        <w:t>. שם, עמ׳ 251.</w:t>
      </w:r>
    </w:p>
  </w:footnote>
  <w:footnote w:id="4074">
    <w:p w14:paraId="5B23F792" w14:textId="77777777" w:rsidR="00AB3647" w:rsidRDefault="00000000">
      <w:pPr>
        <w:spacing w:after="0" w:before="0"/>
        <w:jc w:val="both"/>
      </w:pPr>
      <w:r>
        <w:rPr>
          <w:sz w:val="20"/>
          <w:szCs w:val="20"/>
          <w:rtl/>
        </w:rPr>
        <w:footnoteRef/>
      </w:r>
      <w:r>
        <w:rPr>
          <w:sz w:val="20"/>
          <w:szCs w:val="20"/>
          <w:rtl/>
        </w:rPr>
        <w:t xml:space="preserve">. ראה גם פרק 5, תחילת הפסקה השנייה בנספח ב: מסיבה זו התכוון ר׳ שמעון </w:t>
      </w:r>
      <w:proofErr w:type="spellStart"/>
      <w:r>
        <w:rPr>
          <w:sz w:val="20"/>
          <w:szCs w:val="20"/>
          <w:rtl/>
        </w:rPr>
        <w:t>שקופ</w:t>
      </w:r>
      <w:proofErr w:type="spellEnd"/>
      <w:r>
        <w:rPr>
          <w:sz w:val="20"/>
          <w:szCs w:val="20"/>
          <w:rtl/>
        </w:rPr>
        <w:t xml:space="preserve"> להישאר בארצות הברית כעבור </w:t>
      </w:r>
      <w:proofErr w:type="spellStart"/>
      <w:r>
        <w:rPr>
          <w:sz w:val="20"/>
          <w:szCs w:val="20"/>
          <w:rtl/>
        </w:rPr>
        <w:t>שבע־עשרה</w:t>
      </w:r>
      <w:proofErr w:type="spellEnd"/>
      <w:r>
        <w:rPr>
          <w:sz w:val="20"/>
          <w:szCs w:val="20"/>
          <w:rtl/>
        </w:rPr>
        <w:t xml:space="preserve"> שנה.</w:t>
      </w:r>
    </w:p>
  </w:footnote>
  <w:footnote w:id="4075">
    <w:p w14:paraId="0DDD883D" w14:textId="77777777" w:rsidR="00AB3647" w:rsidRDefault="00000000">
      <w:pPr>
        <w:spacing w:after="0" w:before="0"/>
        <w:jc w:val="both"/>
      </w:pPr>
      <w:r>
        <w:rPr>
          <w:sz w:val="20"/>
          <w:szCs w:val="20"/>
          <w:rtl/>
        </w:rPr>
        <w:footnoteRef/>
      </w:r>
      <w:r>
        <w:rPr>
          <w:sz w:val="20"/>
          <w:szCs w:val="20"/>
          <w:rtl/>
        </w:rPr>
        <w:t xml:space="preserve">. עמ׳ </w:t>
      </w:r>
      <w:proofErr w:type="spellStart"/>
      <w:r>
        <w:rPr>
          <w:sz w:val="20"/>
          <w:szCs w:val="20"/>
          <w:rtl/>
        </w:rPr>
        <w:t>קצ</w:t>
      </w:r>
      <w:proofErr w:type="spellEnd"/>
      <w:r>
        <w:rPr>
          <w:sz w:val="20"/>
          <w:szCs w:val="20"/>
          <w:rtl/>
        </w:rPr>
        <w:t>.</w:t>
      </w:r>
    </w:p>
  </w:footnote>
  <w:footnote w:id="4076">
    <w:p w14:paraId="06C04ABB" w14:textId="77777777" w:rsidR="00AB3647" w:rsidRDefault="00000000">
      <w:pPr>
        <w:spacing w:after="0" w:before="0"/>
        <w:jc w:val="both"/>
      </w:pPr>
      <w:r>
        <w:rPr>
          <w:sz w:val="20"/>
          <w:szCs w:val="20"/>
          <w:rtl/>
        </w:rPr>
        <w:footnoteRef/>
      </w:r>
      <w:r>
        <w:rPr>
          <w:sz w:val="20"/>
          <w:szCs w:val="20"/>
          <w:rtl/>
        </w:rPr>
        <w:t xml:space="preserve">. סיפור זה, בעיקרו, נכתב בסגנון סיפורי מפורט </w:t>
      </w:r>
      <w:proofErr w:type="spellStart"/>
      <w:r>
        <w:rPr>
          <w:sz w:val="20"/>
          <w:szCs w:val="20"/>
          <w:rtl/>
        </w:rPr>
        <w:t>ב“שמושה</w:t>
      </w:r>
      <w:proofErr w:type="spellEnd"/>
      <w:r>
        <w:rPr>
          <w:sz w:val="20"/>
          <w:szCs w:val="20"/>
          <w:rtl/>
        </w:rPr>
        <w:t xml:space="preserve"> של תורה” (הערה 57 לעיל), עמ׳ רד–רז. הסיפור מסתיים בכך שר׳ חיים מספר לפעילי </w:t>
      </w:r>
      <w:proofErr w:type="spellStart"/>
      <w:r>
        <w:rPr>
          <w:sz w:val="20"/>
          <w:szCs w:val="20"/>
          <w:rtl/>
        </w:rPr>
        <w:t>וולוז׳ין</w:t>
      </w:r>
      <w:proofErr w:type="spellEnd"/>
      <w:r>
        <w:rPr>
          <w:sz w:val="20"/>
          <w:szCs w:val="20"/>
          <w:rtl/>
        </w:rPr>
        <w:t xml:space="preserve"> המעורבים בדבר מה שאירע. מתוך הנחה שתחבולתו של ר׳ חיים תיכשל, הציגו את השאלה התלמודית “אם כן מה הועילו חכמים?” [כתובות י׳ ע״א], </w:t>
      </w:r>
      <w:proofErr w:type="spellStart"/>
      <w:r>
        <w:rPr>
          <w:sz w:val="20"/>
          <w:szCs w:val="20"/>
          <w:rtl/>
        </w:rPr>
        <w:t>ו“הוא</w:t>
      </w:r>
      <w:proofErr w:type="spellEnd"/>
      <w:r>
        <w:rPr>
          <w:sz w:val="20"/>
          <w:szCs w:val="20"/>
          <w:rtl/>
        </w:rPr>
        <w:t xml:space="preserve"> השיב: ‘המושל לקח את הכסף, והכול יסתדר מאליו.’ וכך היה.”</w:t>
      </w:r>
    </w:p>
    <w:p w14:paraId="19FF8EC0" w14:textId="77777777" w:rsidR="00AB3647" w:rsidRDefault="00000000">
      <w:pPr>
        <w:spacing w:after="0" w:before="0"/>
        <w:jc w:val="both"/>
      </w:pPr>
      <w:r>
        <w:rPr>
          <w:sz w:val="20"/>
          <w:szCs w:val="20"/>
          <w:rtl/>
        </w:rPr>
        <w:t xml:space="preserve">ראה גם הערה 8 בעמ׳ ט של המבוא </w:t>
      </w:r>
      <w:proofErr w:type="spellStart"/>
      <w:r>
        <w:rPr>
          <w:sz w:val="20"/>
          <w:szCs w:val="20"/>
          <w:rtl/>
        </w:rPr>
        <w:t>ל“חידושי</w:t>
      </w:r>
      <w:proofErr w:type="spellEnd"/>
      <w:r>
        <w:rPr>
          <w:sz w:val="20"/>
          <w:szCs w:val="20"/>
          <w:rtl/>
        </w:rPr>
        <w:t xml:space="preserve"> </w:t>
      </w:r>
      <w:proofErr w:type="spellStart"/>
      <w:r>
        <w:rPr>
          <w:sz w:val="20"/>
          <w:szCs w:val="20"/>
          <w:rtl/>
        </w:rPr>
        <w:t>הגר״ח</w:t>
      </w:r>
      <w:proofErr w:type="spellEnd"/>
      <w:r>
        <w:rPr>
          <w:sz w:val="20"/>
          <w:szCs w:val="20"/>
          <w:rtl/>
        </w:rPr>
        <w:t xml:space="preserve"> בסוגיות הש״ס” (אורייתא, ירושלים, תשנ״ה). מסופר שם שר׳ </w:t>
      </w:r>
      <w:proofErr w:type="spellStart"/>
      <w:r>
        <w:rPr>
          <w:sz w:val="20"/>
          <w:szCs w:val="20"/>
          <w:rtl/>
        </w:rPr>
        <w:t>בן־ציון</w:t>
      </w:r>
      <w:proofErr w:type="spellEnd"/>
      <w:r>
        <w:rPr>
          <w:sz w:val="20"/>
          <w:szCs w:val="20"/>
          <w:rtl/>
        </w:rPr>
        <w:t xml:space="preserve"> </w:t>
      </w:r>
      <w:proofErr w:type="spellStart"/>
      <w:r>
        <w:rPr>
          <w:sz w:val="20"/>
          <w:szCs w:val="20"/>
          <w:rtl/>
        </w:rPr>
        <w:t>שטרנפלד</w:t>
      </w:r>
      <w:proofErr w:type="spellEnd"/>
      <w:r>
        <w:rPr>
          <w:sz w:val="20"/>
          <w:szCs w:val="20"/>
          <w:rtl/>
        </w:rPr>
        <w:t xml:space="preserve"> (ראה הערה 8 לעיל ופרק 3, הפסקה הרביעית בנספח יד), שמעולם לא הביט במראה, ראה בזקנותו תמונה של עצמו ונשאל איזה מין אדם נראה האיש שבתמונה. הוא השיב: צדיק וירא שמים. כשנאמר לו שזה דיוקנו שלו, הזדעזע ואמר שוודאי ניסח את הדברים מתוך נגיעה בלתי מודעת, שכן טבעו של השוחד שהוא יכול להשפיע גם מתחת לסף התודעה.</w:t>
      </w:r>
    </w:p>
  </w:footnote>
  <w:footnote w:id="4077">
    <w:p w14:paraId="7C1412AB" w14:textId="77777777" w:rsidR="00AB3647" w:rsidRDefault="00000000">
      <w:pPr>
        <w:spacing w:after="0" w:before="0"/>
        <w:jc w:val="both"/>
      </w:pPr>
      <w:r>
        <w:rPr>
          <w:sz w:val="20"/>
          <w:szCs w:val="20"/>
          <w:rtl/>
        </w:rPr>
        <w:footnoteRef/>
      </w:r>
      <w:r>
        <w:rPr>
          <w:sz w:val="20"/>
          <w:szCs w:val="20"/>
          <w:rtl/>
        </w:rPr>
        <w:t xml:space="preserve">. עמ׳ </w:t>
      </w:r>
      <w:proofErr w:type="spellStart"/>
      <w:r>
        <w:rPr>
          <w:sz w:val="20"/>
          <w:szCs w:val="20"/>
          <w:rtl/>
        </w:rPr>
        <w:t>קנד</w:t>
      </w:r>
      <w:proofErr w:type="spellEnd"/>
      <w:r>
        <w:rPr>
          <w:sz w:val="20"/>
          <w:szCs w:val="20"/>
          <w:rtl/>
        </w:rPr>
        <w:t>–קנה.</w:t>
      </w:r>
    </w:p>
  </w:footnote>
  <w:footnote w:id="4078">
    <w:p w14:paraId="291D2FCB" w14:textId="77777777" w:rsidR="00AB3647" w:rsidRDefault="00000000">
      <w:pPr>
        <w:spacing w:after="0" w:before="0"/>
        <w:jc w:val="both"/>
      </w:pPr>
      <w:r>
        <w:rPr>
          <w:sz w:val="20"/>
          <w:szCs w:val="20"/>
          <w:rtl/>
        </w:rPr>
        <w:footnoteRef/>
      </w:r>
      <w:r>
        <w:rPr>
          <w:sz w:val="20"/>
          <w:szCs w:val="20"/>
          <w:rtl/>
        </w:rPr>
        <w:t>. שם, פרק 2, הפסקה העשרים וחמש בנספח א, עמ׳ 212.</w:t>
      </w:r>
    </w:p>
  </w:footnote>
  <w:footnote w:id="4079">
    <w:p w14:paraId="5FBF5A62" w14:textId="77777777" w:rsidR="00AB3647" w:rsidRDefault="00000000">
      <w:pPr>
        <w:spacing w:after="0" w:before="0"/>
        <w:jc w:val="both"/>
      </w:pPr>
      <w:r>
        <w:rPr>
          <w:sz w:val="20"/>
          <w:szCs w:val="20"/>
          <w:rtl/>
        </w:rPr>
        <w:footnoteRef/>
      </w:r>
      <w:r>
        <w:rPr>
          <w:sz w:val="20"/>
          <w:szCs w:val="20"/>
          <w:rtl/>
        </w:rPr>
        <w:t>. ראה ראש השנה י״ז ע״א.</w:t>
      </w:r>
    </w:p>
  </w:footnote>
  <w:footnote w:id="4080">
    <w:p w14:paraId="4AFB410F" w14:textId="77777777" w:rsidR="00AB3647" w:rsidRDefault="00000000">
      <w:pPr>
        <w:spacing w:after="0" w:before="0"/>
        <w:jc w:val="both"/>
      </w:pPr>
      <w:r>
        <w:rPr>
          <w:sz w:val="20"/>
          <w:szCs w:val="20"/>
          <w:rtl/>
        </w:rPr>
        <w:footnoteRef/>
      </w:r>
      <w:r>
        <w:rPr>
          <w:sz w:val="20"/>
          <w:szCs w:val="20"/>
          <w:rtl/>
        </w:rPr>
        <w:t xml:space="preserve">. ראה עמ׳ 29 במאמר </w:t>
      </w:r>
      <w:proofErr w:type="spellStart"/>
      <w:r>
        <w:rPr>
          <w:sz w:val="20"/>
          <w:szCs w:val="20"/>
          <w:rtl/>
        </w:rPr>
        <w:t>ב“ישורון</w:t>
      </w:r>
      <w:proofErr w:type="spellEnd"/>
      <w:r>
        <w:rPr>
          <w:sz w:val="20"/>
          <w:szCs w:val="20"/>
          <w:rtl/>
        </w:rPr>
        <w:t>”, שם, פרק 3, נספח ט.</w:t>
      </w:r>
    </w:p>
  </w:footnote>
  <w:footnote w:id="4081">
    <w:p w14:paraId="23FBC606" w14:textId="77777777" w:rsidR="00AB3647" w:rsidRDefault="00000000">
      <w:pPr>
        <w:spacing w:after="0" w:before="0"/>
        <w:jc w:val="both"/>
      </w:pPr>
      <w:r>
        <w:rPr>
          <w:sz w:val="20"/>
          <w:szCs w:val="20"/>
          <w:rtl/>
        </w:rPr>
        <w:footnoteRef/>
      </w:r>
      <w:r>
        <w:rPr>
          <w:sz w:val="20"/>
          <w:szCs w:val="20"/>
          <w:rtl/>
        </w:rPr>
        <w:t xml:space="preserve">. ראה הערת שוליים </w:t>
      </w:r>
      <w:r>
        <w:rPr>
          <w:sz w:val="20"/>
          <w:szCs w:val="20"/>
          <w:rtl/>
        </w:rPr>
        <w:fldChar w:fldCharType="begin" w:dirty="true"/>
      </w:r>
      <w:r>
        <w:rPr>
          <w:sz w:val="20"/>
          <w:szCs w:val="20"/>
          <w:rtl/>
        </w:rPr>
        <w:instrText xml:space="preserve"> NOTEREF pr_f_2383 \h </w:instrText>
      </w:r>
      <w:r>
        <w:rPr>
          <w:sz w:val="20"/>
          <w:szCs w:val="20"/>
          <w:rtl/>
        </w:rPr>
      </w:r>
      <w:r>
        <w:rPr>
          <w:sz w:val="20"/>
          <w:szCs w:val="20"/>
          <w:rtl/>
        </w:rPr>
        <w:fldChar w:fldCharType="separate"/>
      </w:r>
      <w:r w:rsidR="007923E9">
        <w:rPr>
          <w:sz w:val="20"/>
          <w:szCs w:val="20"/>
          <w:rtl/>
        </w:rPr>
        <w:t>1429</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pr_f_2383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4082">
    <w:p w14:paraId="0CE8AB66" w14:textId="77777777" w:rsidR="00AB3647" w:rsidRDefault="00000000">
      <w:pPr>
        <w:spacing w:after="0" w:before="0"/>
        <w:jc w:val="both"/>
      </w:pPr>
      <w:r>
        <w:rPr>
          <w:sz w:val="20"/>
          <w:szCs w:val="20"/>
          <w:rtl/>
        </w:rPr>
        <w:footnoteRef/>
      </w:r>
      <w:r>
        <w:rPr>
          <w:sz w:val="20"/>
          <w:szCs w:val="20"/>
          <w:rtl/>
        </w:rPr>
        <w:t xml:space="preserve">. </w:t>
      </w:r>
      <w:proofErr w:type="spellStart"/>
      <w:r>
        <w:rPr>
          <w:sz w:val="20"/>
          <w:szCs w:val="20"/>
          <w:rtl/>
        </w:rPr>
        <w:t>הנצי״ב</w:t>
      </w:r>
      <w:proofErr w:type="spellEnd"/>
      <w:r>
        <w:rPr>
          <w:sz w:val="20"/>
          <w:szCs w:val="20"/>
          <w:rtl/>
        </w:rPr>
        <w:t xml:space="preserve"> “דן את כולם לכף זכות” (כמתואר בפרק 2, נספח א, בפסקה </w:t>
      </w:r>
      <w:proofErr w:type="spellStart"/>
      <w:r>
        <w:rPr>
          <w:sz w:val="20"/>
          <w:szCs w:val="20"/>
          <w:rtl/>
        </w:rPr>
        <w:t>התשע־עשרה</w:t>
      </w:r>
      <w:proofErr w:type="spellEnd"/>
      <w:r>
        <w:rPr>
          <w:sz w:val="20"/>
          <w:szCs w:val="20"/>
          <w:rtl/>
        </w:rPr>
        <w:t xml:space="preserve">), ולכן ייתכן שלא היה מודע לתלמידים שסרו מן הדרך </w:t>
      </w:r>
      <w:proofErr w:type="spellStart"/>
      <w:r>
        <w:rPr>
          <w:sz w:val="20"/>
          <w:szCs w:val="20"/>
          <w:rtl/>
        </w:rPr>
        <w:t>בוולוז׳ין</w:t>
      </w:r>
      <w:proofErr w:type="spellEnd"/>
      <w:r>
        <w:rPr>
          <w:sz w:val="20"/>
          <w:szCs w:val="20"/>
          <w:rtl/>
        </w:rPr>
        <w:t xml:space="preserve"> במידה שהיה מודע לכך ר׳ חיים. לפיכך חש ר׳ חיים שהוא יכול לנהוג לפי מדיניות ההרחקה שלו בלי להתנגש במישרין בגישתו המכילה של </w:t>
      </w:r>
      <w:proofErr w:type="spellStart"/>
      <w:r>
        <w:rPr>
          <w:sz w:val="20"/>
          <w:szCs w:val="20"/>
          <w:rtl/>
        </w:rPr>
        <w:t>הנצי״ב</w:t>
      </w:r>
      <w:proofErr w:type="spellEnd"/>
      <w:r>
        <w:rPr>
          <w:sz w:val="20"/>
          <w:szCs w:val="20"/>
          <w:rtl/>
        </w:rPr>
        <w:t>.</w:t>
      </w:r>
    </w:p>
  </w:footnote>
  <w:footnote w:id="4083">
    <w:p w14:paraId="55042C04" w14:textId="77777777" w:rsidR="00AB3647" w:rsidRDefault="00000000">
      <w:pPr>
        <w:spacing w:after="0" w:before="0"/>
        <w:jc w:val="both"/>
      </w:pPr>
      <w:r>
        <w:rPr>
          <w:sz w:val="20"/>
          <w:szCs w:val="20"/>
          <w:rtl/>
        </w:rPr>
        <w:footnoteRef/>
      </w:r>
      <w:r>
        <w:rPr>
          <w:sz w:val="20"/>
          <w:szCs w:val="20"/>
          <w:rtl/>
        </w:rPr>
        <w:t>. הערה 74 לעיל, עמ׳ קפה–</w:t>
      </w:r>
      <w:proofErr w:type="spellStart"/>
      <w:r>
        <w:rPr>
          <w:sz w:val="20"/>
          <w:szCs w:val="20"/>
          <w:rtl/>
        </w:rPr>
        <w:t>קפט</w:t>
      </w:r>
      <w:proofErr w:type="spellEnd"/>
      <w:r>
        <w:rPr>
          <w:sz w:val="20"/>
          <w:szCs w:val="20"/>
          <w:rtl/>
        </w:rPr>
        <w:t>.</w:t>
      </w:r>
    </w:p>
  </w:footnote>
  <w:footnote w:id="4084">
    <w:p w14:paraId="1C1965A1" w14:textId="77777777" w:rsidR="00AB3647" w:rsidRDefault="00000000">
      <w:pPr>
        <w:spacing w:after="0" w:before="0"/>
        <w:jc w:val="both"/>
      </w:pPr>
      <w:r>
        <w:rPr>
          <w:sz w:val="20"/>
          <w:szCs w:val="20"/>
          <w:rtl/>
        </w:rPr>
        <w:footnoteRef/>
      </w:r>
      <w:r>
        <w:rPr>
          <w:sz w:val="20"/>
          <w:szCs w:val="20"/>
          <w:rtl/>
        </w:rPr>
        <w:t xml:space="preserve">. שם, עמ׳ ריח </w:t>
      </w:r>
      <w:proofErr w:type="spellStart"/>
      <w:r>
        <w:rPr>
          <w:sz w:val="20"/>
          <w:szCs w:val="20"/>
          <w:rtl/>
        </w:rPr>
        <w:t>ורכג</w:t>
      </w:r>
      <w:proofErr w:type="spellEnd"/>
      <w:r>
        <w:rPr>
          <w:sz w:val="20"/>
          <w:szCs w:val="20"/>
          <w:rtl/>
        </w:rPr>
        <w:t>.</w:t>
      </w:r>
    </w:p>
  </w:footnote>
  <w:footnote w:id="4085">
    <w:p w14:paraId="155C929B" w14:textId="77777777" w:rsidR="00AB3647" w:rsidRDefault="00000000">
      <w:pPr>
        <w:spacing w:after="0" w:before="0"/>
        <w:jc w:val="both"/>
      </w:pPr>
      <w:r>
        <w:rPr>
          <w:sz w:val="20"/>
          <w:szCs w:val="20"/>
          <w:rtl/>
        </w:rPr>
        <w:footnoteRef/>
      </w:r>
      <w:r>
        <w:rPr>
          <w:sz w:val="20"/>
          <w:szCs w:val="20"/>
          <w:rtl/>
        </w:rPr>
        <w:t>. עמ׳ ריב.</w:t>
      </w:r>
    </w:p>
  </w:footnote>
  <w:footnote w:id="4086">
    <w:p w14:paraId="1B70F1DE" w14:textId="77777777" w:rsidR="00AB3647" w:rsidRDefault="00000000">
      <w:pPr>
        <w:spacing w:after="0" w:before="0"/>
        <w:jc w:val="both"/>
      </w:pPr>
      <w:r>
        <w:rPr>
          <w:sz w:val="20"/>
          <w:szCs w:val="20"/>
          <w:rtl/>
        </w:rPr>
        <w:footnoteRef/>
      </w:r>
      <w:r>
        <w:rPr>
          <w:sz w:val="20"/>
          <w:szCs w:val="20"/>
          <w:rtl/>
        </w:rPr>
        <w:t xml:space="preserve">. ההדגשה השלישית נוספה משום </w:t>
      </w:r>
      <w:proofErr w:type="spellStart"/>
      <w:r>
        <w:rPr>
          <w:sz w:val="20"/>
          <w:szCs w:val="20"/>
          <w:rtl/>
        </w:rPr>
        <w:t>שב“כוכבי</w:t>
      </w:r>
      <w:proofErr w:type="spellEnd"/>
      <w:r>
        <w:rPr>
          <w:sz w:val="20"/>
          <w:szCs w:val="20"/>
          <w:rtl/>
        </w:rPr>
        <w:t xml:space="preserve"> אור” הנדפס כתוב “הוצאתי” [על חשבוני]; אבל בהתייעצות עם ר׳ ישעיה לפין, שהוציא לאור את הכרך ומחזיק במכתבו המקורי של ר׳ </w:t>
      </w:r>
      <w:proofErr w:type="spellStart"/>
      <w:r>
        <w:rPr>
          <w:sz w:val="20"/>
          <w:szCs w:val="20"/>
          <w:rtl/>
        </w:rPr>
        <w:t>שמחה־זיסל</w:t>
      </w:r>
      <w:proofErr w:type="spellEnd"/>
      <w:r>
        <w:rPr>
          <w:sz w:val="20"/>
          <w:szCs w:val="20"/>
          <w:rtl/>
        </w:rPr>
        <w:t xml:space="preserve"> זיו, הוסכם שהנוסח הנכון הוא “הוצאתו” [על חשבונו].</w:t>
      </w:r>
    </w:p>
  </w:footnote>
  <w:footnote w:id="4087">
    <w:p w14:paraId="56FB95E8" w14:textId="77777777" w:rsidR="00AB3647" w:rsidRDefault="00000000">
      <w:pPr>
        <w:spacing w:after="0" w:before="0"/>
        <w:jc w:val="both"/>
      </w:pPr>
      <w:r>
        <w:rPr>
          <w:sz w:val="20"/>
          <w:szCs w:val="20"/>
          <w:rtl/>
        </w:rPr>
        <w:footnoteRef/>
      </w:r>
      <w:r>
        <w:rPr>
          <w:sz w:val="20"/>
          <w:szCs w:val="20"/>
          <w:rtl/>
        </w:rPr>
        <w:t xml:space="preserve">. “כוכבי אור” מציין שהכתובת אינה קריאה, ואחריה באות המילים “או ליד ר״נ” – קיצור של הכותב לשמו של ר׳ נפתלי אמסטרדם (כמו במכתבים הנדפסים שם, עמ׳ </w:t>
      </w:r>
      <w:proofErr w:type="spellStart"/>
      <w:r>
        <w:rPr>
          <w:sz w:val="20"/>
          <w:szCs w:val="20"/>
          <w:rtl/>
        </w:rPr>
        <w:t>קצד</w:t>
      </w:r>
      <w:proofErr w:type="spellEnd"/>
      <w:r>
        <w:rPr>
          <w:sz w:val="20"/>
          <w:szCs w:val="20"/>
          <w:rtl/>
        </w:rPr>
        <w:t xml:space="preserve"> </w:t>
      </w:r>
      <w:proofErr w:type="spellStart"/>
      <w:r>
        <w:rPr>
          <w:sz w:val="20"/>
          <w:szCs w:val="20"/>
          <w:rtl/>
        </w:rPr>
        <w:t>ורג</w:t>
      </w:r>
      <w:proofErr w:type="spellEnd"/>
      <w:r>
        <w:rPr>
          <w:sz w:val="20"/>
          <w:szCs w:val="20"/>
          <w:rtl/>
        </w:rPr>
        <w:t xml:space="preserve">). בוודאי אי אפשר לקשור זאת לחלקו המוקדם של המכתב, שהרי ר׳ </w:t>
      </w:r>
      <w:proofErr w:type="spellStart"/>
      <w:r>
        <w:rPr>
          <w:sz w:val="20"/>
          <w:szCs w:val="20"/>
          <w:rtl/>
        </w:rPr>
        <w:t>שמחה־זיסל</w:t>
      </w:r>
      <w:proofErr w:type="spellEnd"/>
      <w:r>
        <w:rPr>
          <w:sz w:val="20"/>
          <w:szCs w:val="20"/>
          <w:rtl/>
        </w:rPr>
        <w:t xml:space="preserve"> לא היה מבקש מר׳ </w:t>
      </w:r>
      <w:proofErr w:type="spellStart"/>
      <w:r>
        <w:rPr>
          <w:sz w:val="20"/>
          <w:szCs w:val="20"/>
          <w:rtl/>
        </w:rPr>
        <w:t>איצל׳ה</w:t>
      </w:r>
      <w:proofErr w:type="spellEnd"/>
      <w:r>
        <w:rPr>
          <w:sz w:val="20"/>
          <w:szCs w:val="20"/>
          <w:rtl/>
        </w:rPr>
        <w:t>, שגר בקובנה, לשלוח אליו תשובה באמצעות ר׳ נפתלי, שגר אף הוא בקובנה. לכן, בלי החלק החסר של המכתב, אין אנו יכולים לדעת איזה עניין מופנה “ליד ר׳ נפתלי”.</w:t>
      </w:r>
    </w:p>
  </w:footnote>
  <w:footnote w:id="4088">
    <w:p w14:paraId="0CB2D155"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לפי הלוח, ח׳ באדר ב׳ תרמ״א חל ביום רביעי. בשנים תר״מ–תרמ״ג לא חל ח׳ באדר ב׳ ביום שני כלל.</w:t>
      </w:r>
    </w:p>
  </w:footnote>
  <w:footnote w:id="4089">
    <w:p w14:paraId="43155A82" w14:textId="77777777" w:rsidR="00AB3647" w:rsidRDefault="00000000">
      <w:pPr>
        <w:spacing w:after="0" w:before="0"/>
        <w:jc w:val="both"/>
      </w:pPr>
      <w:r>
        <w:rPr>
          <w:sz w:val="20"/>
          <w:szCs w:val="20"/>
          <w:rtl/>
        </w:rPr>
        <w:footnoteRef/>
      </w:r>
      <w:r>
        <w:rPr>
          <w:sz w:val="20"/>
          <w:szCs w:val="20"/>
          <w:rtl/>
        </w:rPr>
        <w:t>. ראה את הפסקה החמישית ואת תחילת השישית בפרק 3.1, וכן את תחילת נספח ח בפרק ההוא.</w:t>
      </w:r>
    </w:p>
  </w:footnote>
  <w:footnote w:id="4090">
    <w:p w14:paraId="253E02A6" w14:textId="77777777" w:rsidR="00AB3647" w:rsidRDefault="00000000">
      <w:pPr>
        <w:spacing w:after="0" w:before="0"/>
        <w:jc w:val="both"/>
      </w:pPr>
      <w:r>
        <w:rPr>
          <w:sz w:val="20"/>
          <w:szCs w:val="20"/>
          <w:rtl/>
        </w:rPr>
        <w:footnoteRef/>
      </w:r>
      <w:r>
        <w:rPr>
          <w:sz w:val="20"/>
          <w:szCs w:val="20"/>
          <w:rtl/>
        </w:rPr>
        <w:t xml:space="preserve">. ראה את הפסקה הראשונה לעיל. הוא הכין את המבוא קודם לכן, באדר א׳, אולי בציפייה לתוצאות נסיעתו </w:t>
      </w:r>
      <w:proofErr w:type="spellStart"/>
      <w:r>
        <w:rPr>
          <w:sz w:val="20"/>
          <w:szCs w:val="20"/>
          <w:rtl/>
        </w:rPr>
        <w:t>לוולוז׳ין</w:t>
      </w:r>
      <w:proofErr w:type="spellEnd"/>
      <w:r>
        <w:rPr>
          <w:sz w:val="20"/>
          <w:szCs w:val="20"/>
          <w:rtl/>
        </w:rPr>
        <w:t>.</w:t>
      </w:r>
    </w:p>
  </w:footnote>
  <w:footnote w:id="4091">
    <w:p w14:paraId="56F8507A" w14:textId="77777777" w:rsidR="00AB3647" w:rsidRDefault="00000000">
      <w:pPr>
        <w:spacing w:after="0" w:before="0"/>
        <w:jc w:val="both"/>
      </w:pPr>
      <w:r>
        <w:rPr>
          <w:rStyle w:val="a5"/>
          <w:vertAlign w:val="superscript"/>
          <w:rtl/>
        </w:rPr>
        <w:footnoteRef/>
      </w:r>
      <w:r>
        <w:rPr>
          <w:sz w:val="20"/>
          <w:szCs w:val="20"/>
        </w:rPr>
        <w:t xml:space="preserve"> </w:t>
      </w:r>
      <w:r>
        <w:rPr>
          <w:color w:val="000000"/>
          <w:sz w:val="20"/>
          <w:szCs w:val="20"/>
          <w:rtl/>
        </w:rPr>
      </w:r>
      <w:r>
        <w:rPr>
          <w:color w:val="000000"/>
          <w:sz w:val="20"/>
          <w:szCs w:val="20"/>
          <w:rtl/>
        </w:rPr>
        <w:t xml:space="preserve"/>
      </w:r>
      <w:r>
        <w:rPr>
          <w:color w:val="000000"/>
          <w:sz w:val="20"/>
          <w:szCs w:val="20"/>
          <w:rtl/>
        </w:rPr>
        <w:t xml:space="preserve">הערת המתרגם: במקור 5846 (1886). נראה שהכוונה </w:t>
      </w:r>
      <w:proofErr w:type="spellStart"/>
      <w:r>
        <w:rPr>
          <w:color w:val="000000"/>
          <w:sz w:val="20"/>
          <w:szCs w:val="20"/>
          <w:rtl/>
        </w:rPr>
        <w:t>לתרמ״ו</w:t>
      </w:r>
      <w:proofErr w:type="spellEnd"/>
      <w:r>
        <w:rPr>
          <w:color w:val="000000"/>
          <w:sz w:val="20"/>
          <w:szCs w:val="20"/>
          <w:rtl/>
        </w:rPr>
        <w:t xml:space="preserve"> (5646), ולא לשנת 5846.</w:t>
      </w:r>
    </w:p>
  </w:footnote>
  <w:footnote w:id="4092">
    <w:p w14:paraId="0F343EAD" w14:textId="77777777" w:rsidR="00AB3647" w:rsidRDefault="00000000">
      <w:pPr>
        <w:spacing w:after="0" w:before="0"/>
        <w:jc w:val="both"/>
      </w:pPr>
      <w:r>
        <w:rPr>
          <w:sz w:val="20"/>
          <w:szCs w:val="20"/>
          <w:rtl/>
        </w:rPr>
        <w:footnoteRef/>
      </w:r>
      <w:r>
        <w:rPr>
          <w:sz w:val="20"/>
          <w:szCs w:val="20"/>
          <w:rtl/>
        </w:rPr>
        <w:t xml:space="preserve">. המקור הנזכר בהערת שוליים </w:t>
      </w:r>
      <w:r>
        <w:rPr>
          <w:sz w:val="20"/>
          <w:szCs w:val="20"/>
          <w:rtl/>
        </w:rPr>
        <w:fldChar w:fldCharType="begin" w:dirty="true"/>
      </w:r>
      <w:r>
        <w:rPr>
          <w:sz w:val="20"/>
          <w:szCs w:val="20"/>
          <w:rtl/>
        </w:rPr>
        <w:instrText xml:space="preserve"> NOTEREF pr_f_1775 \h </w:instrText>
      </w:r>
      <w:r>
        <w:rPr>
          <w:sz w:val="20"/>
          <w:szCs w:val="20"/>
          <w:rtl/>
        </w:rPr>
      </w:r>
      <w:r>
        <w:rPr>
          <w:sz w:val="20"/>
          <w:szCs w:val="20"/>
          <w:rtl/>
        </w:rPr>
        <w:fldChar w:fldCharType="separate"/>
      </w:r>
      <w:r w:rsidR="007923E9">
        <w:rPr>
          <w:sz w:val="20"/>
          <w:szCs w:val="20"/>
          <w:rtl/>
        </w:rPr>
        <w:t>822</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pr_f_1775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עמ׳ ט.</w:t>
      </w:r>
    </w:p>
  </w:footnote>
  <w:footnote w:id="4093">
    <w:p w14:paraId="62552AF8" w14:textId="77777777" w:rsidR="00AB3647" w:rsidRDefault="00000000">
      <w:pPr>
        <w:spacing w:after="0" w:before="0"/>
        <w:jc w:val="both"/>
      </w:pPr>
      <w:r>
        <w:rPr>
          <w:sz w:val="20"/>
          <w:szCs w:val="20"/>
          <w:rtl/>
        </w:rPr>
        <w:footnoteRef/>
      </w:r>
      <w:r>
        <w:rPr>
          <w:sz w:val="20"/>
          <w:szCs w:val="20"/>
          <w:rtl/>
        </w:rPr>
        <w:t xml:space="preserve">. זו שנת לידתו של ר׳ </w:t>
      </w:r>
      <w:proofErr w:type="spellStart"/>
      <w:r>
        <w:rPr>
          <w:sz w:val="20"/>
          <w:szCs w:val="20"/>
          <w:rtl/>
        </w:rPr>
        <w:t>ארצ׳יק</w:t>
      </w:r>
      <w:proofErr w:type="spellEnd"/>
      <w:r>
        <w:rPr>
          <w:sz w:val="20"/>
          <w:szCs w:val="20"/>
          <w:rtl/>
        </w:rPr>
        <w:t xml:space="preserve"> לפי ספר היזכור לקהילת עיר הולדתו, “ספר </w:t>
      </w:r>
      <w:proofErr w:type="spellStart"/>
      <w:r>
        <w:rPr>
          <w:sz w:val="20"/>
          <w:szCs w:val="20"/>
          <w:rtl/>
        </w:rPr>
        <w:t>זכרון</w:t>
      </w:r>
      <w:proofErr w:type="spellEnd"/>
      <w:r>
        <w:rPr>
          <w:sz w:val="20"/>
          <w:szCs w:val="20"/>
          <w:rtl/>
        </w:rPr>
        <w:t xml:space="preserve"> לקהילת איביה” (עורך: משה </w:t>
      </w:r>
      <w:proofErr w:type="spellStart"/>
      <w:r>
        <w:rPr>
          <w:sz w:val="20"/>
          <w:szCs w:val="20"/>
          <w:rtl/>
        </w:rPr>
        <w:t>כגנוביץ</w:t>
      </w:r>
      <w:proofErr w:type="spellEnd"/>
      <w:r>
        <w:rPr>
          <w:sz w:val="20"/>
          <w:szCs w:val="20"/>
          <w:rtl/>
        </w:rPr>
        <w:t>; הוצאה משותפת של ארגוני יוצאי איביה בישראל ובאמריקה, תל אביב, תשכ״ח). ספר הנצחה אחר, “אלה אזכרה” (מאת יצחק לוין, הוצאת המכון לחקר בעיות היהדות החרדית, ניו יורק, תשי״ט), כרך א, עמ׳ 72, נותן בקירוב את אותה שנה, תרכ״ז.</w:t>
      </w:r>
    </w:p>
    <w:p w14:paraId="785E47CE" w14:textId="77777777" w:rsidR="00AB3647" w:rsidRDefault="00000000">
      <w:pPr>
        <w:spacing w:after="0" w:before="0"/>
        <w:jc w:val="both"/>
      </w:pPr>
      <w:r>
        <w:rPr>
          <w:sz w:val="20"/>
          <w:szCs w:val="20"/>
          <w:rtl/>
        </w:rPr>
        <w:t xml:space="preserve">יש גם תאריכים אחרים ללידתו: כץ, “תנועת המוסר”, כרך ה (המקור הנזכר בפרק 3, הערה 32), עמ׳ 111, נותן את השנה המוקדמת יותר תרכ״ב, </w:t>
      </w:r>
      <w:proofErr w:type="spellStart"/>
      <w:r>
        <w:rPr>
          <w:sz w:val="20"/>
          <w:szCs w:val="20"/>
          <w:rtl/>
        </w:rPr>
        <w:t>ו“לב</w:t>
      </w:r>
      <w:proofErr w:type="spellEnd"/>
      <w:r>
        <w:rPr>
          <w:sz w:val="20"/>
          <w:szCs w:val="20"/>
          <w:rtl/>
        </w:rPr>
        <w:t xml:space="preserve"> אהרן” – את השנה המאוחרת יותר תרכ״ט. היה אפשר להניח </w:t>
      </w:r>
      <w:proofErr w:type="spellStart"/>
      <w:r>
        <w:rPr>
          <w:sz w:val="20"/>
          <w:szCs w:val="20"/>
          <w:rtl/>
        </w:rPr>
        <w:t>ש“לב</w:t>
      </w:r>
      <w:proofErr w:type="spellEnd"/>
      <w:r>
        <w:rPr>
          <w:sz w:val="20"/>
          <w:szCs w:val="20"/>
          <w:rtl/>
        </w:rPr>
        <w:t xml:space="preserve"> אהרן”, שפרסמו ילדיו ושיצא לאור אחרי שלושת הספרים האחרים, יביא את שנת לידתו הנכונה של ר׳ </w:t>
      </w:r>
      <w:proofErr w:type="spellStart"/>
      <w:r>
        <w:rPr>
          <w:sz w:val="20"/>
          <w:szCs w:val="20"/>
          <w:rtl/>
        </w:rPr>
        <w:t>ארצ׳יק</w:t>
      </w:r>
      <w:proofErr w:type="spellEnd"/>
      <w:r>
        <w:rPr>
          <w:sz w:val="20"/>
          <w:szCs w:val="20"/>
          <w:rtl/>
        </w:rPr>
        <w:t xml:space="preserve"> בקשט; אבל בנו של ר׳ </w:t>
      </w:r>
      <w:proofErr w:type="spellStart"/>
      <w:r>
        <w:rPr>
          <w:sz w:val="20"/>
          <w:szCs w:val="20"/>
          <w:rtl/>
        </w:rPr>
        <w:t>ארצ׳יק</w:t>
      </w:r>
      <w:proofErr w:type="spellEnd"/>
      <w:r>
        <w:rPr>
          <w:sz w:val="20"/>
          <w:szCs w:val="20"/>
          <w:rtl/>
        </w:rPr>
        <w:t xml:space="preserve">, ר׳ דוד, אמר לי ב־8 באוקטובר 2001 </w:t>
      </w:r>
      <w:proofErr w:type="spellStart"/>
      <w:r>
        <w:rPr>
          <w:sz w:val="20"/>
          <w:szCs w:val="20"/>
          <w:rtl/>
        </w:rPr>
        <w:t>ש“ספר</w:t>
      </w:r>
      <w:proofErr w:type="spellEnd"/>
      <w:r>
        <w:rPr>
          <w:sz w:val="20"/>
          <w:szCs w:val="20"/>
          <w:rtl/>
        </w:rPr>
        <w:t xml:space="preserve"> זיכרון לקהילת איביה” הוא הסמכותי ביותר.</w:t>
      </w:r>
    </w:p>
  </w:footnote>
  <w:footnote w:id="4094">
    <w:p w14:paraId="53F59043" w14:textId="77777777" w:rsidR="00AB3647" w:rsidRDefault="00000000">
      <w:pPr>
        <w:spacing w:after="0" w:before="0"/>
        <w:jc w:val="both"/>
      </w:pPr>
      <w:r>
        <w:rPr>
          <w:sz w:val="20"/>
          <w:szCs w:val="20"/>
          <w:rtl/>
        </w:rPr>
        <w:footnoteRef/>
      </w:r>
      <w:r>
        <w:rPr>
          <w:sz w:val="20"/>
          <w:szCs w:val="20"/>
          <w:rtl/>
        </w:rPr>
        <w:t xml:space="preserve">. לשאלה שהועלתה בהערה 103 בפרק 3 – כיצד התקרב תלמיד </w:t>
      </w:r>
      <w:proofErr w:type="spellStart"/>
      <w:r>
        <w:rPr>
          <w:sz w:val="20"/>
          <w:szCs w:val="20"/>
          <w:rtl/>
        </w:rPr>
        <w:t>וולוז׳ין</w:t>
      </w:r>
      <w:proofErr w:type="spellEnd"/>
      <w:r>
        <w:rPr>
          <w:sz w:val="20"/>
          <w:szCs w:val="20"/>
          <w:rtl/>
        </w:rPr>
        <w:t xml:space="preserve"> ר׳ </w:t>
      </w:r>
      <w:proofErr w:type="spellStart"/>
      <w:r>
        <w:rPr>
          <w:sz w:val="20"/>
          <w:szCs w:val="20"/>
          <w:rtl/>
        </w:rPr>
        <w:t xml:space="preserve">בער־הירש</w:t>
      </w:r>
      <w:proofErr w:type="spellEnd"/>
      <w:r>
        <w:rPr>
          <w:sz w:val="20"/>
          <w:szCs w:val="20"/>
          <w:rtl/>
        </w:rPr>
        <w:t xml:space="preserve"> </w:t>
      </w:r>
      <w:proofErr w:type="spellStart"/>
      <w:r>
        <w:rPr>
          <w:sz w:val="20"/>
          <w:szCs w:val="20"/>
          <w:rtl/>
        </w:rPr>
        <w:t xml:space="preserve">הלר</w:t>
      </w:r>
      <w:proofErr w:type="spellEnd"/>
      <w:r>
        <w:rPr>
          <w:sz w:val="20"/>
          <w:szCs w:val="20"/>
          <w:rtl/>
        </w:rPr>
        <w:t xml:space="preserve">, חמיו לעתיד של רבנו, למוסר – אפשר לשער שר׳ </w:t>
      </w:r>
      <w:proofErr w:type="spellStart"/>
      <w:r>
        <w:rPr>
          <w:sz w:val="20"/>
          <w:szCs w:val="20"/>
          <w:rtl/>
        </w:rPr>
        <w:t>איצל׳ה</w:t>
      </w:r>
      <w:proofErr w:type="spellEnd"/>
      <w:r>
        <w:rPr>
          <w:sz w:val="20"/>
          <w:szCs w:val="20"/>
          <w:rtl/>
        </w:rPr>
        <w:t xml:space="preserve"> </w:t>
      </w:r>
      <w:proofErr w:type="spellStart"/>
      <w:r>
        <w:rPr>
          <w:sz w:val="20"/>
          <w:szCs w:val="20"/>
          <w:rtl/>
        </w:rPr>
        <w:t>בלאזר</w:t>
      </w:r>
      <w:proofErr w:type="spellEnd"/>
      <w:r>
        <w:rPr>
          <w:sz w:val="20"/>
          <w:szCs w:val="20"/>
          <w:rtl/>
        </w:rPr>
        <w:t xml:space="preserve"> לקח אותו </w:t>
      </w:r>
      <w:proofErr w:type="spellStart"/>
      <w:r>
        <w:rPr>
          <w:sz w:val="20"/>
          <w:szCs w:val="20"/>
          <w:rtl/>
        </w:rPr>
        <w:t>מוולוז׳ין</w:t>
      </w:r>
      <w:proofErr w:type="spellEnd"/>
      <w:r>
        <w:rPr>
          <w:sz w:val="20"/>
          <w:szCs w:val="20"/>
          <w:rtl/>
        </w:rPr>
        <w:t xml:space="preserve"> כשלקח משם את ר׳ </w:t>
      </w:r>
      <w:proofErr w:type="spellStart"/>
      <w:r>
        <w:rPr>
          <w:sz w:val="20"/>
          <w:szCs w:val="20"/>
          <w:rtl/>
        </w:rPr>
        <w:t>ארצ׳יק</w:t>
      </w:r>
      <w:proofErr w:type="spellEnd"/>
      <w:r>
        <w:rPr>
          <w:sz w:val="20"/>
          <w:szCs w:val="20"/>
          <w:rtl/>
        </w:rPr>
        <w:t xml:space="preserve">. אם כך היה, נשאר ר׳ </w:t>
      </w:r>
      <w:proofErr w:type="spellStart"/>
      <w:r>
        <w:rPr>
          <w:sz w:val="20"/>
          <w:szCs w:val="20"/>
          <w:rtl/>
        </w:rPr>
        <w:t xml:space="preserve">בער־הירש</w:t>
      </w:r>
      <w:proofErr w:type="spellEnd"/>
      <w:r>
        <w:rPr>
          <w:sz w:val="20"/>
          <w:szCs w:val="20"/>
          <w:rtl/>
        </w:rPr>
        <w:t xml:space="preserve"> </w:t>
      </w:r>
      <w:proofErr w:type="spellStart"/>
      <w:r>
        <w:rPr>
          <w:sz w:val="20"/>
          <w:szCs w:val="20"/>
          <w:rtl/>
        </w:rPr>
        <w:t xml:space="preserve">הלר</w:t>
      </w:r>
      <w:proofErr w:type="spellEnd"/>
      <w:r>
        <w:rPr>
          <w:sz w:val="20"/>
          <w:szCs w:val="20"/>
          <w:rtl/>
        </w:rPr>
        <w:t xml:space="preserve"> </w:t>
      </w:r>
      <w:proofErr w:type="spellStart"/>
      <w:r>
        <w:rPr>
          <w:sz w:val="20"/>
          <w:szCs w:val="20"/>
          <w:rtl/>
        </w:rPr>
        <w:t>בוולוז׳ין</w:t>
      </w:r>
      <w:proofErr w:type="spellEnd"/>
      <w:r>
        <w:rPr>
          <w:sz w:val="20"/>
          <w:szCs w:val="20"/>
          <w:rtl/>
        </w:rPr>
        <w:t xml:space="preserve"> עד גיל עשרים ותשע, ואז הלך </w:t>
      </w:r>
      <w:proofErr w:type="spellStart"/>
      <w:r>
        <w:rPr>
          <w:sz w:val="20"/>
          <w:szCs w:val="20"/>
          <w:rtl/>
        </w:rPr>
        <w:t>לגרובין</w:t>
      </w:r>
      <w:proofErr w:type="spellEnd"/>
      <w:r>
        <w:rPr>
          <w:sz w:val="20"/>
          <w:szCs w:val="20"/>
          <w:rtl/>
        </w:rPr>
        <w:t xml:space="preserve"> (שנפתחה שנה קודם לכן), ושם פגש את ר׳ </w:t>
      </w:r>
      <w:proofErr w:type="spellStart"/>
      <w:r>
        <w:rPr>
          <w:sz w:val="20"/>
          <w:szCs w:val="20"/>
          <w:rtl/>
        </w:rPr>
        <w:t>נתן־צבי</w:t>
      </w:r>
      <w:proofErr w:type="spellEnd"/>
      <w:r>
        <w:rPr>
          <w:sz w:val="20"/>
          <w:szCs w:val="20"/>
          <w:rtl/>
        </w:rPr>
        <w:t xml:space="preserve"> </w:t>
      </w:r>
      <w:proofErr w:type="spellStart"/>
      <w:r>
        <w:rPr>
          <w:sz w:val="20"/>
          <w:szCs w:val="20"/>
          <w:rtl/>
        </w:rPr>
        <w:t>פינקל</w:t>
      </w:r>
      <w:proofErr w:type="spellEnd"/>
      <w:r>
        <w:rPr>
          <w:sz w:val="20"/>
          <w:szCs w:val="20"/>
          <w:rtl/>
        </w:rPr>
        <w:t xml:space="preserve"> (ראה פרק 3.2). לפי האמור בפרק 3, בפסקה השנייה של נספח </w:t>
      </w:r>
      <w:proofErr w:type="spellStart"/>
      <w:r>
        <w:rPr>
          <w:sz w:val="20"/>
          <w:szCs w:val="20"/>
          <w:rtl/>
        </w:rPr>
        <w:t>יז</w:t>
      </w:r>
      <w:proofErr w:type="spellEnd"/>
      <w:r>
        <w:rPr>
          <w:sz w:val="20"/>
          <w:szCs w:val="20"/>
          <w:rtl/>
        </w:rPr>
        <w:t xml:space="preserve">, ר׳ </w:t>
      </w:r>
      <w:proofErr w:type="spellStart"/>
      <w:r>
        <w:rPr>
          <w:sz w:val="20"/>
          <w:szCs w:val="20"/>
          <w:rtl/>
        </w:rPr>
        <w:t>נתן־צבי</w:t>
      </w:r>
      <w:proofErr w:type="spellEnd"/>
      <w:r>
        <w:rPr>
          <w:sz w:val="20"/>
          <w:szCs w:val="20"/>
          <w:rtl/>
        </w:rPr>
        <w:t xml:space="preserve"> </w:t>
      </w:r>
      <w:proofErr w:type="spellStart"/>
      <w:r>
        <w:rPr>
          <w:sz w:val="20"/>
          <w:szCs w:val="20"/>
          <w:rtl/>
        </w:rPr>
        <w:t>פינקל</w:t>
      </w:r>
      <w:proofErr w:type="spellEnd"/>
      <w:r>
        <w:rPr>
          <w:sz w:val="20"/>
          <w:szCs w:val="20"/>
          <w:rtl/>
        </w:rPr>
        <w:t xml:space="preserve"> נשאר </w:t>
      </w:r>
      <w:proofErr w:type="spellStart"/>
      <w:r>
        <w:rPr>
          <w:sz w:val="20"/>
          <w:szCs w:val="20"/>
          <w:rtl/>
        </w:rPr>
        <w:t>בגרובין</w:t>
      </w:r>
      <w:proofErr w:type="spellEnd"/>
      <w:r>
        <w:rPr>
          <w:sz w:val="20"/>
          <w:szCs w:val="20"/>
          <w:rtl/>
        </w:rPr>
        <w:t xml:space="preserve"> זמן קצר מאוד; והוא סיפר שלא היה פותח את הישיבה </w:t>
      </w:r>
      <w:proofErr w:type="spellStart"/>
      <w:r>
        <w:rPr>
          <w:sz w:val="20"/>
          <w:szCs w:val="20"/>
          <w:rtl/>
        </w:rPr>
        <w:t>בסלבודקה</w:t>
      </w:r>
      <w:proofErr w:type="spellEnd"/>
      <w:r>
        <w:rPr>
          <w:sz w:val="20"/>
          <w:szCs w:val="20"/>
          <w:rtl/>
        </w:rPr>
        <w:t xml:space="preserve"> (</w:t>
      </w:r>
      <w:proofErr w:type="spellStart"/>
      <w:r>
        <w:rPr>
          <w:sz w:val="20"/>
          <w:szCs w:val="20"/>
          <w:rtl/>
        </w:rPr>
        <w:t>בתרמ״ב</w:t>
      </w:r>
      <w:proofErr w:type="spellEnd"/>
      <w:r>
        <w:rPr>
          <w:sz w:val="20"/>
          <w:szCs w:val="20"/>
          <w:rtl/>
        </w:rPr>
        <w:t xml:space="preserve">) אילולא היה ר׳ </w:t>
      </w:r>
      <w:proofErr w:type="spellStart"/>
      <w:r>
        <w:rPr>
          <w:sz w:val="20"/>
          <w:szCs w:val="20"/>
          <w:rtl/>
        </w:rPr>
        <w:t xml:space="preserve">בער־הירש</w:t>
      </w:r>
      <w:proofErr w:type="spellEnd"/>
      <w:r>
        <w:rPr>
          <w:sz w:val="20"/>
          <w:szCs w:val="20"/>
          <w:rtl/>
        </w:rPr>
        <w:t xml:space="preserve"> </w:t>
      </w:r>
      <w:proofErr w:type="spellStart"/>
      <w:r>
        <w:rPr>
          <w:sz w:val="20"/>
          <w:szCs w:val="20"/>
          <w:rtl/>
        </w:rPr>
        <w:t xml:space="preserve">הלר</w:t>
      </w:r>
      <w:proofErr w:type="spellEnd"/>
      <w:r>
        <w:rPr>
          <w:sz w:val="20"/>
          <w:szCs w:val="20"/>
          <w:rtl/>
        </w:rPr>
        <w:t xml:space="preserve"> עמו. לכן נראה שהשניים השתלבו היטב זה עם זה מיד, ור׳ זבולון גרז צדק לחלוטין כשאמר שהיו “נשמה אחת” (ראה פרק 3, הערה 115).</w:t>
      </w:r>
    </w:p>
  </w:footnote>
  <w:footnote w:id="4095">
    <w:p w14:paraId="0EAC3FDF" w14:textId="77777777" w:rsidR="00AB3647" w:rsidRDefault="00000000">
      <w:pPr>
        <w:spacing w:after="0" w:before="0"/>
        <w:jc w:val="both"/>
      </w:pPr>
      <w:r>
        <w:rPr>
          <w:sz w:val="20"/>
          <w:szCs w:val="20"/>
          <w:rtl/>
        </w:rPr>
        <w:footnoteRef/>
      </w:r>
      <w:r>
        <w:rPr>
          <w:sz w:val="20"/>
          <w:szCs w:val="20"/>
          <w:rtl/>
        </w:rPr>
        <w:t>. המאמר מובא בתחילת נספח זה.</w:t>
      </w:r>
    </w:p>
  </w:footnote>
  <w:footnote w:id="4096">
    <w:p w14:paraId="011B0636" w14:textId="77777777" w:rsidR="00AB3647" w:rsidRDefault="00000000">
      <w:pPr>
        <w:spacing w:after="0" w:before="0"/>
        <w:jc w:val="both"/>
      </w:pPr>
      <w:r>
        <w:rPr>
          <w:sz w:val="20"/>
          <w:szCs w:val="20"/>
          <w:rtl/>
        </w:rPr>
        <w:footnoteRef/>
      </w:r>
      <w:r>
        <w:rPr>
          <w:sz w:val="20"/>
          <w:szCs w:val="20"/>
          <w:rtl/>
        </w:rPr>
        <w:t>. הדבר מובלט גם בשלוש הפסקאות האחרונות של פרק 3.1 בספר זה.</w:t>
      </w:r>
    </w:p>
  </w:footnote>
  <w:footnote w:id="4097">
    <w:p w14:paraId="04CA01F0" w14:textId="77777777" w:rsidR="00AB3647" w:rsidRDefault="00000000">
      <w:pPr>
        <w:spacing w:after="0" w:before="0"/>
        <w:jc w:val="both"/>
      </w:pPr>
      <w:r>
        <w:rPr>
          <w:sz w:val="20"/>
          <w:szCs w:val="20"/>
          <w:rtl/>
        </w:rPr>
        <w:footnoteRef/>
      </w:r>
      <w:r>
        <w:rPr>
          <w:sz w:val="20"/>
          <w:szCs w:val="20"/>
          <w:rtl/>
        </w:rPr>
        <w:t>. פרק 1, הערה 7.</w:t>
      </w:r>
    </w:p>
  </w:footnote>
  <w:footnote w:id="4098">
    <w:p w14:paraId="54B91021" w14:textId="77777777" w:rsidR="00AB3647" w:rsidRDefault="00000000">
      <w:pPr>
        <w:spacing w:after="0" w:before="0"/>
        <w:jc w:val="both"/>
      </w:pPr>
      <w:r>
        <w:rPr>
          <w:sz w:val="20"/>
          <w:szCs w:val="20"/>
          <w:rtl/>
        </w:rPr>
        <w:footnoteRef/>
      </w:r>
      <w:r>
        <w:rPr>
          <w:sz w:val="20"/>
          <w:szCs w:val="20"/>
          <w:rtl/>
        </w:rPr>
        <w:t>. ריאיון מ־20 באפריל 1993.</w:t>
      </w:r>
    </w:p>
  </w:footnote>
  <w:footnote w:id="4099">
    <w:p w14:paraId="5AACB350" w14:textId="77777777" w:rsidR="00AB3647" w:rsidRDefault="00000000">
      <w:pPr>
        <w:spacing w:after="0" w:before="0"/>
        <w:jc w:val="both"/>
      </w:pPr>
      <w:r>
        <w:rPr>
          <w:sz w:val="20"/>
          <w:szCs w:val="20"/>
          <w:rtl/>
        </w:rPr>
        <w:footnoteRef/>
      </w:r>
      <w:r>
        <w:rPr>
          <w:sz w:val="20"/>
          <w:szCs w:val="20"/>
          <w:rtl/>
        </w:rPr>
        <w:t xml:space="preserve">. נספח ד לעיל, עמ׳ </w:t>
      </w:r>
      <w:proofErr w:type="spellStart"/>
      <w:r>
        <w:rPr>
          <w:sz w:val="20"/>
          <w:szCs w:val="20"/>
          <w:rtl/>
        </w:rPr>
        <w:t>עג</w:t>
      </w:r>
      <w:proofErr w:type="spellEnd"/>
      <w:r>
        <w:rPr>
          <w:sz w:val="20"/>
          <w:szCs w:val="20"/>
          <w:rtl/>
        </w:rPr>
        <w:t>.</w:t>
      </w:r>
    </w:p>
  </w:footnote>
  <w:footnote w:id="4100">
    <w:p w14:paraId="2E67DF2D" w14:textId="77777777" w:rsidR="00AB3647" w:rsidRDefault="00000000">
      <w:pPr>
        <w:spacing w:after="0" w:before="0"/>
        <w:jc w:val="both"/>
      </w:pPr>
      <w:r>
        <w:rPr>
          <w:sz w:val="20"/>
          <w:szCs w:val="20"/>
          <w:rtl/>
        </w:rPr>
        <w:footnoteRef/>
      </w:r>
      <w:r>
        <w:rPr>
          <w:sz w:val="20"/>
          <w:szCs w:val="20"/>
          <w:rtl/>
        </w:rPr>
        <w:t xml:space="preserve">. הדבר מצוטט </w:t>
      </w:r>
      <w:proofErr w:type="spellStart"/>
      <w:r>
        <w:rPr>
          <w:sz w:val="20"/>
          <w:szCs w:val="20"/>
          <w:rtl/>
        </w:rPr>
        <w:t>ב“תורת</w:t>
      </w:r>
      <w:proofErr w:type="spellEnd"/>
      <w:r>
        <w:rPr>
          <w:sz w:val="20"/>
          <w:szCs w:val="20"/>
          <w:rtl/>
        </w:rPr>
        <w:t xml:space="preserve"> חיים”, עמ׳ נא במספור העמודים השני.</w:t>
      </w:r>
    </w:p>
  </w:footnote>
  <w:footnote w:id="4101">
    <w:p w14:paraId="61E99664" w14:textId="77777777" w:rsidR="00AB3647" w:rsidRDefault="00000000">
      <w:pPr>
        <w:spacing w:after="0" w:before="0"/>
        <w:jc w:val="both"/>
      </w:pPr>
      <w:r>
        <w:rPr>
          <w:sz w:val="20"/>
          <w:szCs w:val="20"/>
          <w:rtl/>
        </w:rPr>
        <w:footnoteRef/>
      </w:r>
      <w:r>
        <w:rPr>
          <w:sz w:val="20"/>
          <w:szCs w:val="20"/>
          <w:rtl/>
        </w:rPr>
        <w:t xml:space="preserve">. ראה משנה ברורה, סימן תקנ״ד, </w:t>
      </w:r>
      <w:proofErr w:type="spellStart"/>
      <w:r>
        <w:rPr>
          <w:sz w:val="20"/>
          <w:szCs w:val="20"/>
          <w:rtl/>
        </w:rPr>
        <w:t>ס״ק</w:t>
      </w:r>
      <w:proofErr w:type="spellEnd"/>
      <w:r>
        <w:rPr>
          <w:sz w:val="20"/>
          <w:szCs w:val="20"/>
          <w:rtl/>
        </w:rPr>
        <w:t xml:space="preserve"> ד.</w:t>
      </w:r>
    </w:p>
  </w:footnote>
  <w:footnote w:id="4102">
    <w:p w14:paraId="593B5A63" w14:textId="77777777" w:rsidR="00AB3647" w:rsidRDefault="00000000">
      <w:pPr>
        <w:spacing w:after="0" w:before="0"/>
        <w:jc w:val="both"/>
      </w:pPr>
      <w:r>
        <w:rPr>
          <w:sz w:val="20"/>
          <w:szCs w:val="20"/>
          <w:rtl/>
        </w:rPr>
        <w:footnoteRef/>
      </w:r>
      <w:r>
        <w:rPr>
          <w:sz w:val="20"/>
          <w:szCs w:val="20"/>
          <w:rtl/>
        </w:rPr>
        <w:t xml:space="preserve">. השווה גם פרק 5, הפסקה הרביעית של נספח ו: בעלי שיטת </w:t>
      </w:r>
      <w:proofErr w:type="spellStart"/>
      <w:r>
        <w:rPr>
          <w:sz w:val="20"/>
          <w:szCs w:val="20"/>
          <w:rtl/>
        </w:rPr>
        <w:t>בריסק</w:t>
      </w:r>
      <w:proofErr w:type="spellEnd"/>
      <w:r>
        <w:rPr>
          <w:sz w:val="20"/>
          <w:szCs w:val="20"/>
          <w:rtl/>
        </w:rPr>
        <w:t xml:space="preserve"> רואים בכל חידושיהם רק השגה של ההבנה הפשוטה של העניין, הפשט. לפיכך לימוד תורה שאינו ממצה את שיטת הלימוד בעיון כמוהו </w:t>
      </w:r>
      <w:proofErr w:type="spellStart"/>
      <w:r>
        <w:rPr>
          <w:sz w:val="20"/>
          <w:szCs w:val="20"/>
          <w:rtl/>
        </w:rPr>
        <w:t>כאי־הגעה</w:t>
      </w:r>
      <w:proofErr w:type="spellEnd"/>
      <w:r>
        <w:rPr>
          <w:sz w:val="20"/>
          <w:szCs w:val="20"/>
          <w:rtl/>
        </w:rPr>
        <w:t xml:space="preserve"> אפילו למשמעות הפשוטה של החומר. אין פלא אפוא שלימוד בדרך העיון יהיה מותר בשבעה.</w:t>
      </w:r>
    </w:p>
  </w:footnote>
  <w:footnote w:id="4103">
    <w:p w14:paraId="55075C8F" w14:textId="77777777" w:rsidR="00AB3647" w:rsidRDefault="00000000">
      <w:pPr>
        <w:spacing w:after="0" w:before="0"/>
        <w:jc w:val="both"/>
      </w:pPr>
      <w:r>
        <w:rPr>
          <w:sz w:val="20"/>
          <w:szCs w:val="20"/>
          <w:rtl/>
        </w:rPr>
        <w:footnoteRef/>
      </w:r>
      <w:r>
        <w:rPr>
          <w:sz w:val="20"/>
          <w:szCs w:val="20"/>
          <w:rtl/>
        </w:rPr>
        <w:t>. ריאיון מ־25 במאי 1999.</w:t>
      </w:r>
    </w:p>
  </w:footnote>
  <w:footnote w:id="4104">
    <w:p w14:paraId="1676B690" w14:textId="77777777" w:rsidR="00AB3647" w:rsidRDefault="00000000">
      <w:pPr>
        <w:spacing w:after="0" w:before="0"/>
        <w:jc w:val="both"/>
      </w:pPr>
      <w:r>
        <w:rPr>
          <w:sz w:val="20"/>
          <w:szCs w:val="20"/>
          <w:rtl/>
        </w:rPr>
        <w:footnoteRef/>
      </w:r>
      <w:r>
        <w:rPr>
          <w:sz w:val="20"/>
          <w:szCs w:val="20"/>
          <w:rtl/>
        </w:rPr>
        <w:t>. המקור הנזכר בפרק 3, נספח ב, עמ׳ יא–</w:t>
      </w:r>
      <w:proofErr w:type="spellStart"/>
      <w:r>
        <w:rPr>
          <w:sz w:val="20"/>
          <w:szCs w:val="20"/>
          <w:rtl/>
        </w:rPr>
        <w:t>יב</w:t>
      </w:r>
      <w:proofErr w:type="spellEnd"/>
      <w:r>
        <w:rPr>
          <w:sz w:val="20"/>
          <w:szCs w:val="20"/>
          <w:rtl/>
        </w:rPr>
        <w:t>.</w:t>
      </w:r>
    </w:p>
  </w:footnote>
  <w:footnote w:id="4105">
    <w:p w14:paraId="63467945" w14:textId="77777777" w:rsidR="00AB3647" w:rsidRDefault="00000000">
      <w:pPr>
        <w:spacing w:after="0" w:before="0"/>
        <w:jc w:val="both"/>
      </w:pPr>
      <w:r>
        <w:rPr>
          <w:sz w:val="20"/>
          <w:szCs w:val="20"/>
          <w:rtl/>
        </w:rPr>
        <w:footnoteRef/>
      </w:r>
      <w:r>
        <w:rPr>
          <w:sz w:val="20"/>
          <w:szCs w:val="20"/>
          <w:rtl/>
        </w:rPr>
        <w:t>. עמ׳ 50–51.</w:t>
      </w:r>
    </w:p>
  </w:footnote>
  <w:footnote w:id="4106">
    <w:p w14:paraId="21A7266F" w14:textId="77777777" w:rsidR="00AB3647" w:rsidRDefault="00000000">
      <w:pPr>
        <w:spacing w:after="0" w:before="0"/>
        <w:jc w:val="both"/>
      </w:pPr>
      <w:r>
        <w:rPr>
          <w:sz w:val="20"/>
          <w:szCs w:val="20"/>
          <w:rtl/>
        </w:rPr>
        <w:footnoteRef/>
      </w:r>
      <w:r>
        <w:rPr>
          <w:sz w:val="20"/>
          <w:szCs w:val="20"/>
          <w:rtl/>
        </w:rPr>
        <w:t>. הוצאת חיים, ירושלים, תשל״ב, עמ׳ שנא.</w:t>
      </w:r>
    </w:p>
  </w:footnote>
  <w:footnote w:id="4107">
    <w:p w14:paraId="247A260D" w14:textId="77777777" w:rsidR="00AB3647" w:rsidRDefault="00000000">
      <w:pPr>
        <w:spacing w:after="0" w:before="0"/>
        <w:jc w:val="both"/>
      </w:pPr>
      <w:r>
        <w:rPr>
          <w:sz w:val="20"/>
          <w:szCs w:val="20"/>
          <w:rtl/>
        </w:rPr>
        <w:footnoteRef/>
      </w:r>
      <w:r>
        <w:rPr>
          <w:sz w:val="20"/>
          <w:szCs w:val="20"/>
          <w:rtl/>
        </w:rPr>
        <w:t>. השווה לפרק 5, הערה 65.</w:t>
      </w:r>
    </w:p>
  </w:footnote>
  <w:footnote w:id="4108">
    <w:p w14:paraId="7D127D43" w14:textId="77777777" w:rsidR="00AB3647" w:rsidRDefault="00000000">
      <w:pPr>
        <w:spacing w:after="0" w:before="0"/>
        <w:jc w:val="both"/>
      </w:pPr>
      <w:r>
        <w:rPr>
          <w:sz w:val="20"/>
          <w:szCs w:val="20"/>
          <w:rtl/>
        </w:rPr>
        <w:footnoteRef/>
      </w:r>
      <w:r>
        <w:rPr>
          <w:sz w:val="20"/>
          <w:szCs w:val="20"/>
          <w:rtl/>
        </w:rPr>
        <w:t>. עמ׳ 674–675 ו־699.</w:t>
      </w:r>
    </w:p>
  </w:footnote>
  <w:footnote w:id="4109">
    <w:p w14:paraId="495C6A8D" w14:textId="77777777" w:rsidR="00AB3647" w:rsidRDefault="00000000">
      <w:pPr>
        <w:spacing w:after="0" w:before="0"/>
        <w:jc w:val="both"/>
      </w:pPr>
      <w:r>
        <w:rPr>
          <w:sz w:val="20"/>
          <w:szCs w:val="20"/>
          <w:rtl/>
        </w:rPr>
        <w:footnoteRef/>
      </w:r>
      <w:r>
        <w:rPr>
          <w:sz w:val="20"/>
          <w:szCs w:val="20"/>
          <w:rtl/>
        </w:rPr>
        <w:t>. כרך א, עמ׳ 216.</w:t>
      </w:r>
    </w:p>
  </w:footnote>
  <w:footnote w:id="4110">
    <w:p w14:paraId="79707CC2" w14:textId="77777777" w:rsidR="00AB3647" w:rsidRDefault="00000000">
      <w:pPr>
        <w:spacing w:after="0" w:before="0"/>
        <w:jc w:val="both"/>
      </w:pPr>
      <w:r>
        <w:rPr>
          <w:sz w:val="20"/>
          <w:szCs w:val="20"/>
          <w:rtl/>
        </w:rPr>
        <w:footnoteRef/>
      </w:r>
      <w:r>
        <w:rPr>
          <w:sz w:val="20"/>
          <w:szCs w:val="20"/>
          <w:rtl/>
        </w:rPr>
        <w:t>. ריאיון מ־22 במרץ 1993.</w:t>
      </w:r>
    </w:p>
  </w:footnote>
  <w:footnote w:id="4111">
    <w:p w14:paraId="6B6F2100" w14:textId="77777777" w:rsidR="00AB3647" w:rsidRDefault="00000000">
      <w:pPr>
        <w:spacing w:after="0" w:before="0"/>
        <w:jc w:val="both"/>
      </w:pPr>
      <w:r>
        <w:rPr>
          <w:sz w:val="20"/>
          <w:szCs w:val="20"/>
          <w:rtl/>
        </w:rPr>
        <w:footnoteRef/>
      </w:r>
      <w:r>
        <w:rPr>
          <w:sz w:val="20"/>
          <w:szCs w:val="20"/>
          <w:rtl/>
        </w:rPr>
        <w:t>. לפי “הראשון”, עמ׳ 113, הערה 181.</w:t>
      </w:r>
    </w:p>
  </w:footnote>
  <w:footnote w:id="4112">
    <w:p w14:paraId="2151E707" w14:textId="77777777" w:rsidR="00AB3647" w:rsidRDefault="00000000">
      <w:pPr>
        <w:spacing w:after="0" w:before="0"/>
        <w:jc w:val="both"/>
      </w:pPr>
      <w:r>
        <w:rPr>
          <w:sz w:val="20"/>
          <w:szCs w:val="20"/>
          <w:rtl/>
        </w:rPr>
        <w:footnoteRef/>
      </w:r>
      <w:r>
        <w:rPr>
          <w:sz w:val="20"/>
          <w:szCs w:val="20"/>
          <w:rtl/>
        </w:rPr>
        <w:t>. עמ׳ 287.</w:t>
      </w:r>
    </w:p>
  </w:footnote>
  <w:footnote w:id="4113">
    <w:p w14:paraId="5E18ABEB" w14:textId="77777777" w:rsidR="00AB3647" w:rsidRDefault="00000000">
      <w:pPr>
        <w:spacing w:after="0" w:before="0"/>
        <w:jc w:val="both"/>
      </w:pPr>
      <w:r>
        <w:rPr>
          <w:sz w:val="20"/>
          <w:szCs w:val="20"/>
          <w:rtl/>
        </w:rPr>
        <w:footnoteRef/>
      </w:r>
      <w:r>
        <w:rPr>
          <w:sz w:val="20"/>
          <w:szCs w:val="20"/>
          <w:rtl/>
        </w:rPr>
        <w:t>. עמ׳ 329–330.</w:t>
      </w:r>
    </w:p>
  </w:footnote>
  <w:footnote w:id="4114">
    <w:p w14:paraId="73882EEF" w14:textId="77777777" w:rsidR="00AB3647" w:rsidRDefault="00000000">
      <w:pPr>
        <w:spacing w:after="0" w:before="0"/>
        <w:jc w:val="both"/>
      </w:pPr>
      <w:r>
        <w:rPr>
          <w:sz w:val="20"/>
          <w:szCs w:val="20"/>
          <w:rtl/>
        </w:rPr>
        <w:footnoteRef/>
      </w:r>
      <w:r>
        <w:rPr>
          <w:sz w:val="20"/>
          <w:szCs w:val="20"/>
          <w:rtl/>
        </w:rPr>
        <w:t xml:space="preserve">. ירושלים, תשל״ג, עמ׳ </w:t>
      </w:r>
      <w:proofErr w:type="spellStart"/>
      <w:r>
        <w:rPr>
          <w:sz w:val="20"/>
          <w:szCs w:val="20"/>
          <w:rtl/>
        </w:rPr>
        <w:t>רלא</w:t>
      </w:r>
      <w:proofErr w:type="spellEnd"/>
      <w:r>
        <w:rPr>
          <w:sz w:val="20"/>
          <w:szCs w:val="20"/>
          <w:rtl/>
        </w:rPr>
        <w:t>–</w:t>
      </w:r>
      <w:proofErr w:type="spellStart"/>
      <w:r>
        <w:rPr>
          <w:sz w:val="20"/>
          <w:szCs w:val="20"/>
          <w:rtl/>
        </w:rPr>
        <w:t>רלב</w:t>
      </w:r>
      <w:proofErr w:type="spellEnd"/>
      <w:r>
        <w:rPr>
          <w:sz w:val="20"/>
          <w:szCs w:val="20"/>
          <w:rtl/>
        </w:rPr>
        <w:t>.</w:t>
      </w:r>
    </w:p>
  </w:footnote>
  <w:footnote w:id="4115">
    <w:p w14:paraId="4A7D7B7D" w14:textId="77777777" w:rsidR="00AB3647" w:rsidRDefault="00000000">
      <w:pPr>
        <w:spacing w:after="0" w:before="0"/>
        <w:jc w:val="both"/>
      </w:pPr>
      <w:r>
        <w:rPr>
          <w:sz w:val="20"/>
          <w:szCs w:val="20"/>
          <w:rtl/>
        </w:rPr>
        <w:footnoteRef/>
      </w:r>
      <w:r>
        <w:rPr>
          <w:sz w:val="20"/>
          <w:szCs w:val="20"/>
          <w:rtl/>
        </w:rPr>
        <w:t xml:space="preserve">. ראה פרק 3, הפסקה השנייה של נספח </w:t>
      </w:r>
      <w:proofErr w:type="spellStart"/>
      <w:r>
        <w:rPr>
          <w:sz w:val="20"/>
          <w:szCs w:val="20"/>
          <w:rtl/>
        </w:rPr>
        <w:t>טז</w:t>
      </w:r>
      <w:proofErr w:type="spellEnd"/>
      <w:r>
        <w:rPr>
          <w:sz w:val="20"/>
          <w:szCs w:val="20"/>
          <w:rtl/>
        </w:rPr>
        <w:t xml:space="preserve">, על שני סוגי המשגיחים, ועל האפשרות שהסוג המפקח כבר שימש </w:t>
      </w:r>
      <w:proofErr w:type="spellStart"/>
      <w:r>
        <w:rPr>
          <w:sz w:val="20"/>
          <w:szCs w:val="20"/>
          <w:rtl/>
        </w:rPr>
        <w:t>בוולוז׳ין</w:t>
      </w:r>
      <w:proofErr w:type="spellEnd"/>
      <w:r>
        <w:rPr>
          <w:sz w:val="20"/>
          <w:szCs w:val="20"/>
          <w:rtl/>
        </w:rPr>
        <w:t xml:space="preserve"> בימי ר׳ חיים, מייסד הישיבה.</w:t>
      </w:r>
    </w:p>
  </w:footnote>
  <w:footnote w:id="4116">
    <w:p w14:paraId="4AF73D35" w14:textId="77777777" w:rsidR="00AB3647" w:rsidRDefault="00000000">
      <w:pPr>
        <w:spacing w:after="0" w:before="0"/>
        <w:jc w:val="both"/>
      </w:pPr>
      <w:r>
        <w:rPr>
          <w:sz w:val="20"/>
          <w:szCs w:val="20"/>
          <w:rtl/>
        </w:rPr>
        <w:footnoteRef/>
      </w:r>
      <w:r>
        <w:rPr>
          <w:sz w:val="20"/>
          <w:szCs w:val="20"/>
          <w:rtl/>
        </w:rPr>
        <w:t xml:space="preserve">. מסר חתנו ר׳ ישראל </w:t>
      </w:r>
      <w:proofErr w:type="spellStart"/>
      <w:r>
        <w:rPr>
          <w:sz w:val="20"/>
          <w:szCs w:val="20"/>
          <w:rtl/>
        </w:rPr>
        <w:t>שורין</w:t>
      </w:r>
      <w:proofErr w:type="spellEnd"/>
      <w:r>
        <w:rPr>
          <w:sz w:val="20"/>
          <w:szCs w:val="20"/>
          <w:rtl/>
        </w:rPr>
        <w:t>, בריאיון מ־2 באוגוסט 1992.</w:t>
      </w:r>
    </w:p>
  </w:footnote>
  <w:footnote w:id="4117">
    <w:p w14:paraId="09F3E915" w14:textId="77777777" w:rsidR="00AB3647" w:rsidRDefault="00000000">
      <w:pPr>
        <w:spacing w:after="0" w:before="0"/>
        <w:jc w:val="both"/>
      </w:pPr>
      <w:r>
        <w:rPr>
          <w:sz w:val="20"/>
          <w:szCs w:val="20"/>
          <w:rtl/>
        </w:rPr>
        <w:footnoteRef/>
      </w:r>
      <w:r>
        <w:rPr>
          <w:sz w:val="20"/>
          <w:szCs w:val="20"/>
          <w:rtl/>
        </w:rPr>
        <w:t>. עמ׳ רכו.</w:t>
      </w:r>
    </w:p>
  </w:footnote>
  <w:footnote w:id="4118">
    <w:p w14:paraId="6D418166" w14:textId="77777777" w:rsidR="00AB3647" w:rsidRDefault="00000000">
      <w:pPr>
        <w:spacing w:after="0" w:before="0"/>
        <w:jc w:val="both"/>
      </w:pPr>
      <w:r>
        <w:rPr>
          <w:sz w:val="20"/>
          <w:szCs w:val="20"/>
          <w:rtl/>
        </w:rPr>
        <w:footnoteRef/>
      </w:r>
      <w:r>
        <w:rPr>
          <w:sz w:val="20"/>
          <w:szCs w:val="20"/>
          <w:rtl/>
        </w:rPr>
        <w:t>. כץ, “תנועת המוסר”, כרך ב, עמ׳ 245.</w:t>
      </w:r>
    </w:p>
  </w:footnote>
  <w:footnote w:id="4119">
    <w:p w14:paraId="050E1DCB" w14:textId="77777777" w:rsidR="00AB3647" w:rsidRDefault="00000000">
      <w:pPr>
        <w:spacing w:after="0" w:before="0"/>
        <w:jc w:val="both"/>
      </w:pPr>
      <w:r>
        <w:rPr>
          <w:sz w:val="20"/>
          <w:szCs w:val="20"/>
          <w:rtl/>
        </w:rPr>
        <w:footnoteRef/>
      </w:r>
      <w:r>
        <w:rPr>
          <w:sz w:val="20"/>
          <w:szCs w:val="20"/>
          <w:rtl/>
        </w:rPr>
        <w:t xml:space="preserve">. הערה 20 לעיל, כרך ב, עמ׳ </w:t>
      </w:r>
      <w:proofErr w:type="spellStart"/>
      <w:r>
        <w:rPr>
          <w:sz w:val="20"/>
          <w:szCs w:val="20"/>
          <w:rtl/>
        </w:rPr>
        <w:t>תשצד</w:t>
      </w:r>
      <w:proofErr w:type="spellEnd"/>
      <w:r>
        <w:rPr>
          <w:sz w:val="20"/>
          <w:szCs w:val="20"/>
          <w:rtl/>
        </w:rPr>
        <w:t>.</w:t>
      </w:r>
    </w:p>
  </w:footnote>
  <w:footnote w:id="4120">
    <w:p w14:paraId="0999B26A" w14:textId="77777777" w:rsidR="00AB3647" w:rsidRDefault="00000000">
      <w:pPr>
        <w:spacing w:after="0" w:before="0"/>
        <w:jc w:val="both"/>
      </w:pPr>
      <w:r>
        <w:rPr>
          <w:sz w:val="20"/>
          <w:szCs w:val="20"/>
          <w:rtl/>
        </w:rPr>
        <w:footnoteRef/>
      </w:r>
      <w:r>
        <w:rPr>
          <w:sz w:val="20"/>
          <w:szCs w:val="20"/>
          <w:rtl/>
        </w:rPr>
        <w:t xml:space="preserve">. סוף המשפט, מן הפסיק ואילך, בוודאי נאמר מפי </w:t>
      </w:r>
      <w:proofErr w:type="spellStart"/>
      <w:r>
        <w:rPr>
          <w:sz w:val="20"/>
          <w:szCs w:val="20"/>
          <w:rtl/>
        </w:rPr>
        <w:t>ה“מישהו</w:t>
      </w:r>
      <w:proofErr w:type="spellEnd"/>
      <w:r>
        <w:rPr>
          <w:sz w:val="20"/>
          <w:szCs w:val="20"/>
          <w:rtl/>
        </w:rPr>
        <w:t>”, ולא מפי ר׳ נפתלי.</w:t>
      </w:r>
    </w:p>
  </w:footnote>
  <w:footnote w:id="4121">
    <w:p w14:paraId="685E52CA" w14:textId="77777777" w:rsidR="00AB3647" w:rsidRDefault="00000000">
      <w:pPr>
        <w:spacing w:after="0" w:before="0"/>
        <w:jc w:val="both"/>
      </w:pPr>
      <w:r>
        <w:rPr>
          <w:sz w:val="20"/>
          <w:szCs w:val="20"/>
          <w:rtl/>
        </w:rPr>
        <w:footnoteRef/>
      </w:r>
      <w:r>
        <w:rPr>
          <w:sz w:val="20"/>
          <w:szCs w:val="20"/>
          <w:rtl/>
        </w:rPr>
        <w:t>. השווה לספרו של כץ, “תנועת המוסר”, כרך ב, עמ׳ 284.</w:t>
      </w:r>
    </w:p>
  </w:footnote>
  <w:footnote w:id="4122">
    <w:p w14:paraId="059AF7C3" w14:textId="77777777" w:rsidR="00AB3647" w:rsidRDefault="00000000">
      <w:pPr>
        <w:spacing w:after="0" w:before="0"/>
        <w:jc w:val="both"/>
      </w:pPr>
      <w:r>
        <w:rPr>
          <w:sz w:val="20"/>
          <w:szCs w:val="20"/>
          <w:rtl/>
        </w:rPr>
        <w:footnoteRef/>
      </w:r>
      <w:r>
        <w:rPr>
          <w:sz w:val="20"/>
          <w:szCs w:val="20"/>
          <w:rtl/>
        </w:rPr>
        <w:t>. הערה 58 לעיל.</w:t>
      </w:r>
    </w:p>
  </w:footnote>
  <w:footnote w:id="4123">
    <w:p w14:paraId="251FA84B" w14:textId="77777777" w:rsidR="00AB3647" w:rsidRDefault="00000000">
      <w:pPr>
        <w:spacing w:after="0" w:before="0"/>
        <w:jc w:val="both"/>
      </w:pPr>
      <w:r>
        <w:rPr>
          <w:sz w:val="20"/>
          <w:szCs w:val="20"/>
          <w:rtl/>
        </w:rPr>
        <w:footnoteRef/>
      </w:r>
      <w:r>
        <w:rPr>
          <w:sz w:val="20"/>
          <w:szCs w:val="20"/>
          <w:rtl/>
        </w:rPr>
        <w:t xml:space="preserve">. גם לקח זה של ר׳ ישראל סותר את הקביעה </w:t>
      </w:r>
      <w:proofErr w:type="spellStart"/>
      <w:r>
        <w:rPr>
          <w:sz w:val="20"/>
          <w:szCs w:val="20"/>
          <w:rtl/>
        </w:rPr>
        <w:t>ב“פליטת</w:t>
      </w:r>
      <w:proofErr w:type="spellEnd"/>
      <w:r>
        <w:rPr>
          <w:sz w:val="20"/>
          <w:szCs w:val="20"/>
          <w:rtl/>
        </w:rPr>
        <w:t xml:space="preserve"> סופרים” הנזכרת בפרק 3, נספח ב, על תלמידו העיקרי של ר׳ ישראל, ר׳ </w:t>
      </w:r>
      <w:proofErr w:type="spellStart"/>
      <w:r>
        <w:rPr>
          <w:sz w:val="20"/>
          <w:szCs w:val="20"/>
          <w:rtl/>
        </w:rPr>
        <w:t>שמחה־זיסל</w:t>
      </w:r>
      <w:proofErr w:type="spellEnd"/>
      <w:r>
        <w:rPr>
          <w:sz w:val="20"/>
          <w:szCs w:val="20"/>
          <w:rtl/>
        </w:rPr>
        <w:t>.</w:t>
      </w:r>
    </w:p>
  </w:footnote>
  <w:footnote w:id="4124">
    <w:p w14:paraId="4A87FE6B" w14:textId="77777777" w:rsidR="00AB3647" w:rsidRDefault="00000000">
      <w:pPr>
        <w:spacing w:after="0" w:before="0"/>
        <w:jc w:val="both"/>
      </w:pPr>
      <w:r>
        <w:rPr>
          <w:sz w:val="20"/>
          <w:szCs w:val="20"/>
          <w:rtl/>
        </w:rPr>
        <w:footnoteRef/>
      </w:r>
      <w:r>
        <w:rPr>
          <w:sz w:val="20"/>
          <w:szCs w:val="20"/>
          <w:rtl/>
        </w:rPr>
        <w:t xml:space="preserve">. השווה לספרו של </w:t>
      </w:r>
      <w:proofErr w:type="spellStart"/>
      <w:r>
        <w:rPr>
          <w:sz w:val="20"/>
          <w:szCs w:val="20"/>
          <w:rtl/>
        </w:rPr>
        <w:t>דבורץ</w:t>
      </w:r>
      <w:proofErr w:type="spellEnd"/>
      <w:r>
        <w:rPr>
          <w:sz w:val="20"/>
          <w:szCs w:val="20"/>
          <w:rtl/>
        </w:rPr>
        <w:t xml:space="preserve">, “הגאון רבי משה מרדכי אפשטיין” (המקור הנזכר בפרק 3, נספח ו), עמ׳ 20, שבו מובאת אמרה ברוח זו, שככל הנראה נאמרה מפי ר׳ ישראל: “להיות צנוע בתוך הפרסום ונסתר בתוך הנגלה”. השווה גם להערה 1 לעיל, על דבקותו של הסבא </w:t>
      </w:r>
      <w:proofErr w:type="spellStart"/>
      <w:r>
        <w:rPr>
          <w:sz w:val="20"/>
          <w:szCs w:val="20"/>
          <w:rtl/>
        </w:rPr>
        <w:t>מסלבודקה</w:t>
      </w:r>
      <w:proofErr w:type="spellEnd"/>
      <w:r>
        <w:rPr>
          <w:sz w:val="20"/>
          <w:szCs w:val="20"/>
          <w:rtl/>
        </w:rPr>
        <w:t xml:space="preserve"> בעיקרון זה.</w:t>
      </w:r>
    </w:p>
  </w:footnote>
  <w:footnote w:id="4125">
    <w:p w14:paraId="5E38190C" w14:textId="77777777" w:rsidR="00AB3647" w:rsidRDefault="00000000">
      <w:pPr>
        <w:spacing w:after="0" w:before="0"/>
        <w:jc w:val="both"/>
      </w:pPr>
      <w:r>
        <w:rPr>
          <w:sz w:val="20"/>
          <w:szCs w:val="20"/>
          <w:rtl/>
        </w:rPr>
        <w:footnoteRef/>
      </w:r>
      <w:r>
        <w:rPr>
          <w:sz w:val="20"/>
          <w:szCs w:val="20"/>
          <w:rtl/>
        </w:rPr>
        <w:t>. עמ׳ 331.</w:t>
      </w:r>
    </w:p>
  </w:footnote>
  <w:footnote w:id="4126">
    <w:p w14:paraId="2925DAD2" w14:textId="77777777" w:rsidR="00AB3647" w:rsidRDefault="00000000">
      <w:pPr>
        <w:spacing w:after="0" w:before="0"/>
        <w:jc w:val="both"/>
      </w:pPr>
      <w:r>
        <w:rPr>
          <w:sz w:val="20"/>
          <w:szCs w:val="20"/>
          <w:rtl/>
        </w:rPr>
        <w:footnoteRef/>
      </w:r>
      <w:r>
        <w:rPr>
          <w:sz w:val="20"/>
          <w:szCs w:val="20"/>
          <w:rtl/>
        </w:rPr>
        <w:t xml:space="preserve">. הערה 20 לעיל, כרך ב, עמ׳ </w:t>
      </w:r>
      <w:proofErr w:type="spellStart"/>
      <w:r>
        <w:rPr>
          <w:sz w:val="20"/>
          <w:szCs w:val="20"/>
          <w:rtl/>
        </w:rPr>
        <w:t>תשסט</w:t>
      </w:r>
      <w:proofErr w:type="spellEnd"/>
      <w:r>
        <w:rPr>
          <w:sz w:val="20"/>
          <w:szCs w:val="20"/>
          <w:rtl/>
        </w:rPr>
        <w:t>.</w:t>
      </w:r>
    </w:p>
  </w:footnote>
  <w:footnote w:id="4127">
    <w:p w14:paraId="2C486EA0" w14:textId="77777777" w:rsidR="00AB3647" w:rsidRDefault="00000000">
      <w:pPr>
        <w:spacing w:after="0" w:before="0"/>
        <w:jc w:val="both"/>
      </w:pPr>
      <w:r>
        <w:rPr>
          <w:sz w:val="20"/>
          <w:szCs w:val="20"/>
          <w:rtl/>
        </w:rPr>
        <w:footnoteRef/>
      </w:r>
      <w:r>
        <w:rPr>
          <w:sz w:val="20"/>
          <w:szCs w:val="20"/>
          <w:rtl/>
        </w:rPr>
        <w:t xml:space="preserve">. מצוטט שם, עמ׳ </w:t>
      </w:r>
      <w:proofErr w:type="spellStart"/>
      <w:r>
        <w:rPr>
          <w:sz w:val="20"/>
          <w:szCs w:val="20"/>
          <w:rtl/>
        </w:rPr>
        <w:t>תשעב</w:t>
      </w:r>
      <w:proofErr w:type="spellEnd"/>
      <w:r>
        <w:rPr>
          <w:sz w:val="20"/>
          <w:szCs w:val="20"/>
          <w:rtl/>
        </w:rPr>
        <w:t>.</w:t>
      </w:r>
    </w:p>
  </w:footnote>
  <w:footnote w:id="4128">
    <w:p w14:paraId="71C8BCC6" w14:textId="77777777" w:rsidR="00AB3647" w:rsidRDefault="00000000">
      <w:pPr>
        <w:spacing w:after="0" w:before="0"/>
        <w:jc w:val="both"/>
      </w:pPr>
      <w:r>
        <w:rPr>
          <w:sz w:val="20"/>
          <w:szCs w:val="20"/>
          <w:rtl/>
        </w:rPr>
        <w:footnoteRef/>
      </w:r>
      <w:r>
        <w:rPr>
          <w:sz w:val="20"/>
          <w:szCs w:val="20"/>
          <w:rtl/>
        </w:rPr>
        <w:t>. אבות, פרק א, משנה ד.</w:t>
      </w:r>
    </w:p>
  </w:footnote>
  <w:footnote w:id="4129">
    <w:p w14:paraId="3CFEF12A" w14:textId="77777777" w:rsidR="00AB3647" w:rsidRDefault="00000000">
      <w:pPr>
        <w:spacing w:after="0" w:before="0"/>
        <w:jc w:val="both"/>
      </w:pPr>
      <w:r>
        <w:rPr>
          <w:sz w:val="20"/>
          <w:szCs w:val="20"/>
          <w:rtl/>
        </w:rPr>
        <w:footnoteRef/>
      </w:r>
      <w:r>
        <w:rPr>
          <w:sz w:val="20"/>
          <w:szCs w:val="20"/>
          <w:rtl/>
        </w:rPr>
        <w:t>. השווה גם לפרק 2, סוף הערה 93.</w:t>
      </w:r>
    </w:p>
  </w:footnote>
  <w:footnote w:id="4130">
    <w:p w14:paraId="1B76AE34" w14:textId="77777777" w:rsidR="00AB3647" w:rsidRDefault="00000000">
      <w:pPr>
        <w:spacing w:after="0" w:before="0"/>
        <w:jc w:val="both"/>
      </w:pPr>
      <w:r>
        <w:rPr>
          <w:sz w:val="20"/>
          <w:szCs w:val="20"/>
          <w:rtl/>
        </w:rPr>
        <w:footnoteRef/>
      </w:r>
      <w:r>
        <w:rPr>
          <w:sz w:val="20"/>
          <w:szCs w:val="20"/>
          <w:rtl/>
        </w:rPr>
        <w:t>. עמ׳ 144.</w:t>
      </w:r>
    </w:p>
  </w:footnote>
  <w:footnote w:id="4131">
    <w:p w14:paraId="3305C17B" w14:textId="77777777" w:rsidR="00AB3647" w:rsidRDefault="00000000">
      <w:pPr>
        <w:spacing w:after="0" w:before="0"/>
        <w:jc w:val="both"/>
      </w:pPr>
      <w:r>
        <w:rPr>
          <w:sz w:val="20"/>
          <w:szCs w:val="20"/>
          <w:rtl/>
        </w:rPr>
        <w:footnoteRef/>
      </w:r>
      <w:r>
        <w:rPr>
          <w:sz w:val="20"/>
          <w:szCs w:val="20"/>
          <w:rtl/>
        </w:rPr>
        <w:t>. השווה לפרק 3, נספח ב, ולספרו של כץ, “תנועת המוסר”, כרך א, עמ׳ 117–119.</w:t>
      </w:r>
    </w:p>
  </w:footnote>
  <w:footnote w:id="4132">
    <w:p w14:paraId="7EDC552F" w14:textId="77777777" w:rsidR="00AB3647" w:rsidRDefault="00000000">
      <w:pPr>
        <w:spacing w:after="0" w:before="0"/>
        <w:jc w:val="both"/>
      </w:pPr>
      <w:r>
        <w:rPr>
          <w:sz w:val="20"/>
          <w:szCs w:val="20"/>
          <w:rtl/>
        </w:rPr>
        <w:footnoteRef/>
      </w:r>
      <w:r>
        <w:rPr>
          <w:sz w:val="20"/>
          <w:szCs w:val="20"/>
          <w:rtl/>
        </w:rPr>
        <w:t>. עמ׳ 144–145.</w:t>
      </w:r>
    </w:p>
  </w:footnote>
  <w:footnote w:id="4133">
    <w:p w14:paraId="65BCF38B" w14:textId="77777777" w:rsidR="00AB3647" w:rsidRDefault="00000000">
      <w:pPr>
        <w:spacing w:after="0" w:before="0"/>
        <w:jc w:val="both"/>
      </w:pPr>
      <w:r>
        <w:rPr>
          <w:sz w:val="20"/>
          <w:szCs w:val="20"/>
          <w:rtl/>
        </w:rPr>
        <w:footnoteRef/>
      </w:r>
      <w:r>
        <w:rPr>
          <w:sz w:val="20"/>
          <w:szCs w:val="20"/>
          <w:rtl/>
        </w:rPr>
        <w:t>. הערה 23 בעמ׳ 145.</w:t>
      </w:r>
    </w:p>
  </w:footnote>
  <w:footnote w:id="4134">
    <w:p w14:paraId="1CD804EC" w14:textId="77777777" w:rsidR="00AB3647" w:rsidRDefault="00000000">
      <w:pPr>
        <w:spacing w:after="0" w:before="0"/>
        <w:jc w:val="both"/>
      </w:pPr>
      <w:r>
        <w:rPr>
          <w:sz w:val="20"/>
          <w:szCs w:val="20"/>
          <w:rtl/>
        </w:rPr>
        <w:footnoteRef/>
      </w:r>
      <w:r>
        <w:rPr>
          <w:sz w:val="20"/>
          <w:szCs w:val="20"/>
          <w:rtl/>
        </w:rPr>
        <w:t>. ראה פרק 2, הערה 48.</w:t>
      </w:r>
    </w:p>
  </w:footnote>
  <w:footnote w:id="4135">
    <w:p w14:paraId="26419B04" w14:textId="77777777" w:rsidR="00AB3647" w:rsidRDefault="00000000">
      <w:pPr>
        <w:spacing w:after="0" w:before="0"/>
        <w:jc w:val="both"/>
      </w:pPr>
      <w:r>
        <w:rPr>
          <w:sz w:val="20"/>
          <w:szCs w:val="20"/>
          <w:rtl/>
        </w:rPr>
        <w:footnoteRef/>
      </w:r>
      <w:r>
        <w:rPr>
          <w:sz w:val="20"/>
          <w:szCs w:val="20"/>
          <w:rtl/>
        </w:rPr>
        <w:t xml:space="preserve">. תהלים </w:t>
      </w:r>
      <w:proofErr w:type="spellStart"/>
      <w:r>
        <w:rPr>
          <w:sz w:val="20"/>
          <w:szCs w:val="20"/>
          <w:rtl/>
        </w:rPr>
        <w:t>קיח</w:t>
      </w:r>
      <w:proofErr w:type="spellEnd"/>
      <w:r>
        <w:rPr>
          <w:sz w:val="20"/>
          <w:szCs w:val="20"/>
          <w:rtl/>
        </w:rPr>
        <w:t xml:space="preserve">, </w:t>
      </w:r>
      <w:proofErr w:type="spellStart"/>
      <w:r>
        <w:rPr>
          <w:sz w:val="20"/>
          <w:szCs w:val="20"/>
          <w:rtl/>
        </w:rPr>
        <w:t>יט</w:t>
      </w:r>
      <w:proofErr w:type="spellEnd"/>
      <w:r>
        <w:rPr>
          <w:sz w:val="20"/>
          <w:szCs w:val="20"/>
          <w:rtl/>
        </w:rPr>
        <w:t xml:space="preserve">–כ. נראה שפסוקים אלה היו אהובים גם על ר׳ </w:t>
      </w:r>
      <w:proofErr w:type="spellStart"/>
      <w:r>
        <w:rPr>
          <w:sz w:val="20"/>
          <w:szCs w:val="20"/>
          <w:rtl/>
        </w:rPr>
        <w:t>איצל׳ה</w:t>
      </w:r>
      <w:proofErr w:type="spellEnd"/>
      <w:r>
        <w:rPr>
          <w:sz w:val="20"/>
          <w:szCs w:val="20"/>
          <w:rtl/>
        </w:rPr>
        <w:t xml:space="preserve"> </w:t>
      </w:r>
      <w:proofErr w:type="spellStart"/>
      <w:r>
        <w:rPr>
          <w:sz w:val="20"/>
          <w:szCs w:val="20"/>
          <w:rtl/>
        </w:rPr>
        <w:t>פטרבורגר</w:t>
      </w:r>
      <w:proofErr w:type="spellEnd"/>
      <w:r>
        <w:rPr>
          <w:sz w:val="20"/>
          <w:szCs w:val="20"/>
          <w:rtl/>
        </w:rPr>
        <w:t>, לפי “</w:t>
      </w:r>
      <w:proofErr w:type="spellStart"/>
      <w:r>
        <w:rPr>
          <w:sz w:val="20"/>
          <w:szCs w:val="20"/>
          <w:rtl/>
        </w:rPr>
        <w:t>שמוש</w:t>
      </w:r>
      <w:proofErr w:type="spellEnd"/>
      <w:r>
        <w:rPr>
          <w:sz w:val="20"/>
          <w:szCs w:val="20"/>
          <w:rtl/>
        </w:rPr>
        <w:t xml:space="preserve"> חכמים” (המקור הנזכר בפרק 2, הפסקה </w:t>
      </w:r>
      <w:proofErr w:type="spellStart"/>
      <w:r>
        <w:rPr>
          <w:sz w:val="20"/>
          <w:szCs w:val="20"/>
          <w:rtl/>
        </w:rPr>
        <w:t>התשע־עשרה</w:t>
      </w:r>
      <w:proofErr w:type="spellEnd"/>
      <w:r>
        <w:rPr>
          <w:sz w:val="20"/>
          <w:szCs w:val="20"/>
          <w:rtl/>
        </w:rPr>
        <w:t xml:space="preserve"> של נספח א), עמ׳ </w:t>
      </w:r>
      <w:proofErr w:type="spellStart"/>
      <w:r>
        <w:rPr>
          <w:sz w:val="20"/>
          <w:szCs w:val="20"/>
          <w:rtl/>
        </w:rPr>
        <w:t>קכא</w:t>
      </w:r>
      <w:proofErr w:type="spellEnd"/>
      <w:r>
        <w:rPr>
          <w:sz w:val="20"/>
          <w:szCs w:val="20"/>
          <w:rtl/>
        </w:rPr>
        <w:t>. מסופר שם שר׳ אהרן (</w:t>
      </w:r>
      <w:proofErr w:type="spellStart"/>
      <w:r>
        <w:rPr>
          <w:sz w:val="20"/>
          <w:szCs w:val="20"/>
          <w:rtl/>
        </w:rPr>
        <w:t>ארצ׳יק</w:t>
      </w:r>
      <w:proofErr w:type="spellEnd"/>
      <w:r>
        <w:rPr>
          <w:sz w:val="20"/>
          <w:szCs w:val="20"/>
          <w:rtl/>
        </w:rPr>
        <w:t xml:space="preserve">) בקשט (ראה פרק 3, תחילת הפסקה השנייה של נספח י) סיפר שנסע פעם עם ר׳ </w:t>
      </w:r>
      <w:proofErr w:type="spellStart"/>
      <w:r>
        <w:rPr>
          <w:sz w:val="20"/>
          <w:szCs w:val="20"/>
          <w:rtl/>
        </w:rPr>
        <w:t>איצל׳ה</w:t>
      </w:r>
      <w:proofErr w:type="spellEnd"/>
      <w:r>
        <w:rPr>
          <w:sz w:val="20"/>
          <w:szCs w:val="20"/>
          <w:rtl/>
        </w:rPr>
        <w:t xml:space="preserve"> לפטרבורג, ובדרך לנו בפונדק. כשחשב ר׳ </w:t>
      </w:r>
      <w:proofErr w:type="spellStart"/>
      <w:r>
        <w:rPr>
          <w:sz w:val="20"/>
          <w:szCs w:val="20"/>
          <w:rtl/>
        </w:rPr>
        <w:t>איצל׳ה</w:t>
      </w:r>
      <w:proofErr w:type="spellEnd"/>
      <w:r>
        <w:rPr>
          <w:sz w:val="20"/>
          <w:szCs w:val="20"/>
          <w:rtl/>
        </w:rPr>
        <w:t xml:space="preserve"> שמלווהו ישן, התחיל לחזור ולומר: “מה אני מבקש ממך, אלוהים? ‘פתחו לי...’; ומה התשובה שאני מקבל משמים? ‘זה השער לה׳ צדיקים יבואו בו׳ – צדיקים נכנסים, לא אתה [און </w:t>
      </w:r>
      <w:proofErr w:type="spellStart"/>
      <w:r>
        <w:rPr>
          <w:sz w:val="20"/>
          <w:szCs w:val="20"/>
          <w:rtl/>
        </w:rPr>
        <w:t>נישט</w:t>
      </w:r>
      <w:proofErr w:type="spellEnd"/>
      <w:r>
        <w:rPr>
          <w:sz w:val="20"/>
          <w:szCs w:val="20"/>
          <w:rtl/>
        </w:rPr>
        <w:t xml:space="preserve"> דו].” וכך חזר על הדברים כל הלילה.</w:t>
      </w:r>
    </w:p>
    <w:p w14:paraId="3DE4B4A8" w14:textId="77777777" w:rsidR="00AB3647" w:rsidRDefault="00000000">
      <w:pPr>
        <w:spacing w:after="0" w:before="0"/>
        <w:jc w:val="both"/>
      </w:pPr>
      <w:r>
        <w:rPr>
          <w:sz w:val="20"/>
          <w:szCs w:val="20"/>
          <w:rtl/>
        </w:rPr>
        <w:t xml:space="preserve">שם מובא סיפור (בלתי ייאמן) בשם “בעלי המוסר הגדולים </w:t>
      </w:r>
      <w:proofErr w:type="spellStart"/>
      <w:r>
        <w:rPr>
          <w:sz w:val="20"/>
          <w:szCs w:val="20"/>
          <w:rtl/>
        </w:rPr>
        <w:t>מנובהרדוק</w:t>
      </w:r>
      <w:proofErr w:type="spellEnd"/>
      <w:r>
        <w:rPr>
          <w:sz w:val="20"/>
          <w:szCs w:val="20"/>
          <w:rtl/>
        </w:rPr>
        <w:t xml:space="preserve">”: ר׳ </w:t>
      </w:r>
      <w:proofErr w:type="spellStart"/>
      <w:r>
        <w:rPr>
          <w:sz w:val="20"/>
          <w:szCs w:val="20"/>
          <w:rtl/>
        </w:rPr>
        <w:t>שמחה־זיסל</w:t>
      </w:r>
      <w:proofErr w:type="spellEnd"/>
      <w:r>
        <w:rPr>
          <w:sz w:val="20"/>
          <w:szCs w:val="20"/>
          <w:rtl/>
        </w:rPr>
        <w:t xml:space="preserve"> למד מוסר “כשבע שעות”, וחזר על פסוקים אלה, “עד שפתאום קפץ ממקומו כאילו הכישו נחש, וקרא: ‘אוי, הלא הוא באמת פתוח; מדוע אין נכנסים?!’”</w:t>
      </w:r>
    </w:p>
  </w:footnote>
  <w:footnote w:id="4136">
    <w:p w14:paraId="09F36075" w14:textId="77777777" w:rsidR="00AB3647" w:rsidRDefault="00000000">
      <w:pPr>
        <w:spacing w:after="0" w:before="0"/>
        <w:jc w:val="both"/>
      </w:pPr>
      <w:r>
        <w:rPr>
          <w:sz w:val="20"/>
          <w:szCs w:val="20"/>
          <w:rtl/>
        </w:rPr>
        <w:footnoteRef/>
      </w:r>
      <w:r>
        <w:rPr>
          <w:sz w:val="20"/>
          <w:szCs w:val="20"/>
          <w:rtl/>
        </w:rPr>
        <w:t>. הערה 74 לעיל, עמ׳ 13.</w:t>
      </w:r>
    </w:p>
  </w:footnote>
  <w:footnote w:id="4137">
    <w:p w14:paraId="58C830A9" w14:textId="77777777" w:rsidR="00AB3647" w:rsidRDefault="00000000">
      <w:pPr>
        <w:spacing w:after="0" w:before="0"/>
        <w:jc w:val="both"/>
      </w:pPr>
      <w:r>
        <w:rPr>
          <w:sz w:val="20"/>
          <w:szCs w:val="20"/>
          <w:rtl/>
        </w:rPr>
        <w:footnoteRef/>
      </w:r>
      <w:r>
        <w:rPr>
          <w:sz w:val="20"/>
          <w:szCs w:val="20"/>
          <w:rtl/>
        </w:rPr>
        <w:t>. עמ׳ רצח.</w:t>
      </w:r>
    </w:p>
  </w:footnote>
  <w:footnote w:id="4138">
    <w:p w14:paraId="12FF9A2A" w14:textId="77777777" w:rsidR="00AB3647" w:rsidRDefault="00000000">
      <w:pPr>
        <w:spacing w:after="0" w:before="0"/>
        <w:jc w:val="both"/>
      </w:pPr>
      <w:r>
        <w:rPr>
          <w:sz w:val="20"/>
          <w:szCs w:val="20"/>
          <w:rtl/>
        </w:rPr>
        <w:footnoteRef/>
      </w:r>
      <w:r>
        <w:rPr>
          <w:sz w:val="20"/>
          <w:szCs w:val="20"/>
          <w:rtl/>
        </w:rPr>
        <w:t>. השווה להערה 158 לעיל.</w:t>
      </w:r>
    </w:p>
  </w:footnote>
  <w:footnote w:id="4139">
    <w:p w14:paraId="72C9FDC5" w14:textId="77777777" w:rsidR="00AB3647" w:rsidRDefault="00000000">
      <w:pPr>
        <w:spacing w:after="0" w:before="0"/>
        <w:jc w:val="both"/>
      </w:pPr>
      <w:r>
        <w:rPr>
          <w:sz w:val="20"/>
          <w:szCs w:val="20"/>
          <w:rtl/>
        </w:rPr>
        <w:footnoteRef/>
      </w:r>
      <w:r>
        <w:rPr>
          <w:sz w:val="20"/>
          <w:szCs w:val="20"/>
          <w:rtl/>
        </w:rPr>
        <w:t>. השווה לפרק 3, נספח ב.</w:t>
      </w:r>
    </w:p>
  </w:footnote>
  <w:footnote w:id="4140">
    <w:p w14:paraId="4A195777" w14:textId="77777777" w:rsidR="00AB3647" w:rsidRDefault="00000000">
      <w:pPr>
        <w:spacing w:after="0" w:before="0"/>
        <w:jc w:val="both"/>
      </w:pPr>
      <w:r>
        <w:rPr>
          <w:sz w:val="20"/>
          <w:szCs w:val="20"/>
          <w:rtl/>
        </w:rPr>
        <w:footnoteRef/>
      </w:r>
      <w:r>
        <w:rPr>
          <w:sz w:val="20"/>
          <w:szCs w:val="20"/>
          <w:rtl/>
        </w:rPr>
        <w:t xml:space="preserve">. ועיין בפלא יועץ (ערך גילה) סיפור על אודות </w:t>
      </w:r>
      <w:proofErr w:type="spellStart"/>
      <w:r>
        <w:rPr>
          <w:sz w:val="20"/>
          <w:szCs w:val="20"/>
          <w:rtl/>
        </w:rPr>
        <w:t>הריב״ש</w:t>
      </w:r>
      <w:proofErr w:type="spellEnd"/>
      <w:r>
        <w:rPr>
          <w:sz w:val="20"/>
          <w:szCs w:val="20"/>
          <w:rtl/>
        </w:rPr>
        <w:t xml:space="preserve"> שהפיג את יינו ע״י מחשבת פחד יר״ש. ראה גם הערה 158 לעיל, על הסברו של אבי לשיבתו של ר׳ נפתלי לפיכחון.</w:t>
      </w:r>
    </w:p>
  </w:footnote>
  <w:footnote w:id="4141">
    <w:p w14:paraId="493D5575" w14:textId="77777777" w:rsidR="00AB3647" w:rsidRDefault="00000000">
      <w:pPr>
        <w:spacing w:after="0" w:before="0"/>
        <w:jc w:val="both"/>
      </w:pPr>
      <w:r>
        <w:rPr>
          <w:sz w:val="20"/>
          <w:szCs w:val="20"/>
          <w:rtl/>
        </w:rPr>
        <w:footnoteRef/>
      </w:r>
      <w:r>
        <w:rPr>
          <w:sz w:val="20"/>
          <w:szCs w:val="20"/>
          <w:rtl/>
        </w:rPr>
        <w:t xml:space="preserve">. המקור הנזכר בפרק 3, הפסקה הראשונה של נספח ח, עמ׳ </w:t>
      </w:r>
      <w:proofErr w:type="spellStart"/>
      <w:r>
        <w:rPr>
          <w:sz w:val="20"/>
          <w:szCs w:val="20"/>
          <w:rtl/>
        </w:rPr>
        <w:t>נה</w:t>
      </w:r>
      <w:proofErr w:type="spellEnd"/>
      <w:r>
        <w:rPr>
          <w:sz w:val="20"/>
          <w:szCs w:val="20"/>
          <w:rtl/>
        </w:rPr>
        <w:t>.</w:t>
      </w:r>
    </w:p>
  </w:footnote>
  <w:footnote w:id="4142">
    <w:p w14:paraId="5104528D" w14:textId="77777777" w:rsidR="00AB3647" w:rsidRDefault="00000000">
      <w:pPr>
        <w:spacing w:after="0" w:before="0"/>
        <w:jc w:val="both"/>
      </w:pPr>
      <w:r>
        <w:rPr>
          <w:sz w:val="20"/>
          <w:szCs w:val="20"/>
          <w:rtl/>
        </w:rPr>
        <w:footnoteRef/>
      </w:r>
      <w:r>
        <w:rPr>
          <w:sz w:val="20"/>
          <w:szCs w:val="20"/>
          <w:rtl/>
        </w:rPr>
        <w:t>. תחילת נספח ט לעיל, עמ׳ 699.</w:t>
      </w:r>
    </w:p>
  </w:footnote>
  <w:footnote w:id="4143">
    <w:p w14:paraId="2DDFDE64" w14:textId="77777777" w:rsidR="00AB3647" w:rsidRDefault="00000000">
      <w:pPr>
        <w:spacing w:after="0" w:before="0"/>
        <w:jc w:val="both"/>
      </w:pPr>
      <w:r>
        <w:rPr>
          <w:sz w:val="20"/>
          <w:szCs w:val="20"/>
          <w:rtl/>
        </w:rPr>
        <w:footnoteRef/>
      </w:r>
      <w:r>
        <w:rPr>
          <w:sz w:val="20"/>
          <w:szCs w:val="20"/>
          <w:rtl/>
        </w:rPr>
        <w:t>. מסר ב־19 באוגוסט 1991.</w:t>
      </w:r>
    </w:p>
  </w:footnote>
  <w:footnote w:id="4144">
    <w:p w14:paraId="00635CC7" w14:textId="77777777" w:rsidR="00AB3647" w:rsidRDefault="00000000">
      <w:pPr>
        <w:spacing w:after="0" w:before="0"/>
        <w:jc w:val="both"/>
      </w:pPr>
      <w:r>
        <w:rPr>
          <w:sz w:val="20"/>
          <w:szCs w:val="20"/>
          <w:rtl/>
        </w:rPr>
        <w:footnoteRef/>
      </w:r>
      <w:r>
        <w:rPr>
          <w:sz w:val="20"/>
          <w:szCs w:val="20"/>
          <w:rtl/>
        </w:rPr>
        <w:t>. הענווה באמירה כזאת מבוססת על היות הדובר מבוגר מן השומעים; היא משתמעת כאילו השומעים אכן אדוקים יותר ממורם.</w:t>
      </w:r>
    </w:p>
  </w:footnote>
  <w:footnote w:id="4145">
    <w:p w14:paraId="7EEAE57A" w14:textId="77777777" w:rsidR="00AB3647" w:rsidRDefault="00000000">
      <w:pPr>
        <w:spacing w:after="0" w:before="0"/>
        <w:jc w:val="both"/>
      </w:pPr>
      <w:r>
        <w:rPr>
          <w:sz w:val="20"/>
          <w:szCs w:val="20"/>
          <w:rtl/>
        </w:rPr>
        <w:footnoteRef/>
      </w:r>
      <w:r>
        <w:rPr>
          <w:sz w:val="20"/>
          <w:szCs w:val="20"/>
          <w:rtl/>
        </w:rPr>
        <w:t>. אולי גם אמירה זו נמסרה לרבנו בידי ר׳ נפתלי.</w:t>
      </w:r>
    </w:p>
  </w:footnote>
  <w:footnote w:id="4146">
    <w:p w14:paraId="14727974" w14:textId="77777777" w:rsidR="00AB3647" w:rsidRDefault="00000000">
      <w:pPr>
        <w:spacing w:after="0" w:before="0"/>
        <w:jc w:val="both"/>
      </w:pPr>
      <w:r>
        <w:rPr>
          <w:sz w:val="20"/>
          <w:szCs w:val="20"/>
          <w:rtl/>
        </w:rPr>
        <w:footnoteRef/>
      </w:r>
      <w:r>
        <w:rPr>
          <w:sz w:val="20"/>
          <w:szCs w:val="20"/>
          <w:rtl/>
        </w:rPr>
        <w:t xml:space="preserve">. כרך ב, עמ׳ </w:t>
      </w:r>
      <w:proofErr w:type="spellStart"/>
      <w:r>
        <w:rPr>
          <w:sz w:val="20"/>
          <w:szCs w:val="20"/>
          <w:rtl/>
        </w:rPr>
        <w:t>תשצ</w:t>
      </w:r>
      <w:proofErr w:type="spellEnd"/>
      <w:r>
        <w:rPr>
          <w:sz w:val="20"/>
          <w:szCs w:val="20"/>
          <w:rtl/>
        </w:rPr>
        <w:t xml:space="preserve"> ולב.</w:t>
      </w:r>
    </w:p>
  </w:footnote>
  <w:footnote w:id="4147">
    <w:p w14:paraId="06AA09DF" w14:textId="77777777" w:rsidR="00AB3647" w:rsidRDefault="00000000">
      <w:pPr>
        <w:spacing w:after="0" w:before="0"/>
        <w:jc w:val="both"/>
      </w:pPr>
      <w:r>
        <w:rPr>
          <w:sz w:val="20"/>
          <w:szCs w:val="20"/>
          <w:rtl/>
        </w:rPr>
        <w:footnoteRef/>
      </w:r>
      <w:r>
        <w:rPr>
          <w:sz w:val="20"/>
          <w:szCs w:val="20"/>
          <w:rtl/>
        </w:rPr>
        <w:t>. ראה גם פרק 3, הפסקה הראשונה של נספח א, על מנהג זה.</w:t>
      </w:r>
    </w:p>
  </w:footnote>
  <w:footnote w:id="4148">
    <w:p w14:paraId="4449625D" w14:textId="77777777" w:rsidR="00AB3647" w:rsidRDefault="00000000">
      <w:pPr>
        <w:spacing w:after="0" w:before="0"/>
        <w:jc w:val="both"/>
      </w:pPr>
      <w:r>
        <w:rPr>
          <w:sz w:val="20"/>
          <w:szCs w:val="20"/>
          <w:rtl/>
        </w:rPr>
        <w:footnoteRef/>
      </w:r>
      <w:r>
        <w:rPr>
          <w:sz w:val="20"/>
          <w:szCs w:val="20"/>
          <w:rtl/>
        </w:rPr>
        <w:t xml:space="preserve">. בבדיקה שערכתי מצאתי תשעה פסוקים אחרים המתחילים ביו״ד ומסתיימים בבי״ת, ואין בהם שם ה׳ כלל: דברים לב, ב; יחזקאל לב, </w:t>
      </w:r>
      <w:proofErr w:type="spellStart"/>
      <w:r>
        <w:rPr>
          <w:sz w:val="20"/>
          <w:szCs w:val="20"/>
          <w:rtl/>
        </w:rPr>
        <w:t>כא</w:t>
      </w:r>
      <w:proofErr w:type="spellEnd"/>
      <w:r>
        <w:rPr>
          <w:sz w:val="20"/>
          <w:szCs w:val="20"/>
          <w:rtl/>
        </w:rPr>
        <w:t xml:space="preserve">; שם מה, ב; יואל ד, </w:t>
      </w:r>
      <w:proofErr w:type="spellStart"/>
      <w:r>
        <w:rPr>
          <w:sz w:val="20"/>
          <w:szCs w:val="20"/>
          <w:rtl/>
        </w:rPr>
        <w:t>יב</w:t>
      </w:r>
      <w:proofErr w:type="spellEnd"/>
      <w:r>
        <w:rPr>
          <w:sz w:val="20"/>
          <w:szCs w:val="20"/>
          <w:rtl/>
        </w:rPr>
        <w:t xml:space="preserve">; תהלים מח, ג; משלי א, כד; שם </w:t>
      </w:r>
      <w:proofErr w:type="spellStart"/>
      <w:r>
        <w:rPr>
          <w:sz w:val="20"/>
          <w:szCs w:val="20"/>
          <w:rtl/>
        </w:rPr>
        <w:t>יג</w:t>
      </w:r>
      <w:proofErr w:type="spellEnd"/>
      <w:r>
        <w:rPr>
          <w:sz w:val="20"/>
          <w:szCs w:val="20"/>
          <w:rtl/>
        </w:rPr>
        <w:t xml:space="preserve">, ז; איוב לד, טו; ושם לט, </w:t>
      </w:r>
      <w:proofErr w:type="spellStart"/>
      <w:r>
        <w:rPr>
          <w:sz w:val="20"/>
          <w:szCs w:val="20"/>
          <w:rtl/>
        </w:rPr>
        <w:t>כב</w:t>
      </w:r>
      <w:proofErr w:type="spellEnd"/>
      <w:r>
        <w:rPr>
          <w:sz w:val="20"/>
          <w:szCs w:val="20"/>
          <w:rtl/>
        </w:rPr>
        <w:t>. מתוכם נראים מתאימים הפסוקים שבדברים ובתהלים. ייתכן שבתקופתו האדוקה במיוחד לא בחר באחד מהם משום ששניהם אינם מעוררים כמו הפסוק הנזכר לעיל, שיש בו שם אחד. חזרתו לפסוק בעל שני השמות המובא בסידור הייתה כנראה בשל יתרונו הנוסף: שמו המלא הוא המילה האחרונה בו.</w:t>
      </w:r>
    </w:p>
  </w:footnote>
  <w:footnote w:id="4149">
    <w:p w14:paraId="4E4F6605" w14:textId="77777777" w:rsidR="00AB3647" w:rsidRDefault="00000000">
      <w:pPr>
        <w:spacing w:after="0" w:before="0"/>
        <w:jc w:val="both"/>
      </w:pPr>
      <w:r>
        <w:rPr>
          <w:sz w:val="20"/>
          <w:szCs w:val="20"/>
          <w:rtl/>
        </w:rPr>
        <w:footnoteRef/>
      </w:r>
      <w:r>
        <w:rPr>
          <w:sz w:val="20"/>
          <w:szCs w:val="20"/>
          <w:rtl/>
        </w:rPr>
        <w:t>. נספח ט לעיל, עמ׳ 501–502.</w:t>
      </w:r>
    </w:p>
  </w:footnote>
  <w:footnote w:id="4150">
    <w:p w14:paraId="5709BEA8" w14:textId="77777777" w:rsidR="00AB3647" w:rsidRDefault="00000000">
      <w:pPr>
        <w:spacing w:after="0" w:before="0"/>
        <w:jc w:val="both"/>
      </w:pPr>
      <w:r>
        <w:rPr>
          <w:sz w:val="20"/>
          <w:szCs w:val="20"/>
          <w:rtl/>
        </w:rPr>
        <w:footnoteRef/>
      </w:r>
      <w:r>
        <w:rPr>
          <w:sz w:val="20"/>
          <w:szCs w:val="20"/>
          <w:rtl/>
        </w:rPr>
        <w:t>. השווה לכרך 2.</w:t>
      </w:r>
    </w:p>
  </w:footnote>
  <w:footnote w:id="4151">
    <w:p w14:paraId="2BE42200" w14:textId="77777777" w:rsidR="00AB3647" w:rsidRDefault="00000000">
      <w:pPr>
        <w:spacing w:after="0" w:before="0"/>
        <w:jc w:val="both"/>
      </w:pPr>
      <w:r>
        <w:rPr>
          <w:sz w:val="20"/>
          <w:szCs w:val="20"/>
          <w:rtl/>
        </w:rPr>
        <w:footnoteRef/>
      </w:r>
      <w:r>
        <w:rPr>
          <w:sz w:val="20"/>
          <w:szCs w:val="20"/>
          <w:rtl/>
        </w:rPr>
        <w:t>. ריאיון מ־6 בספטמבר 1997. ראה כרך 3.</w:t>
      </w:r>
    </w:p>
  </w:footnote>
  <w:footnote w:id="4152">
    <w:p w14:paraId="69F93436" w14:textId="77777777" w:rsidR="00AB3647" w:rsidRDefault="00000000">
      <w:pPr>
        <w:spacing w:after="0" w:before="0"/>
        <w:jc w:val="both"/>
      </w:pPr>
      <w:r>
        <w:rPr>
          <w:sz w:val="20"/>
          <w:szCs w:val="20"/>
          <w:rtl/>
        </w:rPr>
        <w:footnoteRef/>
      </w:r>
      <w:r>
        <w:rPr>
          <w:sz w:val="20"/>
          <w:szCs w:val="20"/>
          <w:rtl/>
        </w:rPr>
        <w:t>. ר׳ פרץ הוסיף כשמסר את גרסתו: “זהו סיפור אחד שאדם מרקע חסידי לא יוכל להבין, משום שלאדם כזה אכילת שרויה, אפילו בהוראת רבו, אינה מתקבלת על הדעת.”</w:t>
      </w:r>
    </w:p>
  </w:footnote>
  <w:footnote w:id="4153">
    <w:p w14:paraId="1854F022" w14:textId="77777777" w:rsidR="00AB3647" w:rsidRDefault="00000000">
      <w:pPr>
        <w:spacing w:after="0" w:before="0"/>
        <w:jc w:val="both"/>
      </w:pPr>
      <w:r>
        <w:rPr>
          <w:sz w:val="20"/>
          <w:szCs w:val="20"/>
          <w:rtl/>
        </w:rPr>
        <w:footnoteRef/>
      </w:r>
      <w:r>
        <w:rPr>
          <w:sz w:val="20"/>
          <w:szCs w:val="20"/>
          <w:rtl/>
        </w:rPr>
        <w:t>. “רבי יעקב” (המקור הנזכר בהקדמה), עמ׳ 418–419.</w:t>
      </w:r>
    </w:p>
  </w:footnote>
  <w:footnote w:id="4154">
    <w:p w14:paraId="0D8D0D24" w14:textId="77777777" w:rsidR="00AB3647" w:rsidRDefault="00000000">
      <w:pPr>
        <w:spacing w:after="0" w:before="0"/>
        <w:jc w:val="both"/>
      </w:pPr>
      <w:r>
        <w:rPr>
          <w:sz w:val="20"/>
          <w:szCs w:val="20"/>
          <w:rtl/>
        </w:rPr>
        <w:footnoteRef/>
      </w:r>
      <w:r>
        <w:rPr>
          <w:sz w:val="20"/>
          <w:szCs w:val="20"/>
          <w:rtl/>
        </w:rPr>
        <w:t xml:space="preserve">. “ר׳ יעקב” (המקור הנזכר בהקדמה), עמ׳ 335, המספר את </w:t>
      </w:r>
      <w:proofErr w:type="spellStart"/>
      <w:r>
        <w:rPr>
          <w:sz w:val="20"/>
          <w:szCs w:val="20"/>
          <w:rtl/>
        </w:rPr>
        <w:t>ה“סיפור</w:t>
      </w:r>
      <w:proofErr w:type="spellEnd"/>
      <w:r>
        <w:rPr>
          <w:sz w:val="20"/>
          <w:szCs w:val="20"/>
          <w:rtl/>
        </w:rPr>
        <w:t xml:space="preserve"> המפורסם” כשהסבא הוא המארח, מתאר את אבי כמי שסירב לא רק למרק ולקניידלך, אלא לכל ההזמנה לאכול בבית רבו בפסח.</w:t>
      </w:r>
    </w:p>
  </w:footnote>
  <w:footnote w:id="4155">
    <w:p w14:paraId="773DC7CF" w14:textId="77777777" w:rsidR="00AB3647" w:rsidRDefault="00000000">
      <w:pPr>
        <w:spacing w:after="0" w:before="0"/>
        <w:jc w:val="both"/>
      </w:pPr>
      <w:r>
        <w:rPr>
          <w:sz w:val="20"/>
          <w:szCs w:val="20"/>
          <w:rtl/>
        </w:rPr>
        <w:footnoteRef/>
      </w:r>
      <w:r>
        <w:rPr>
          <w:sz w:val="20"/>
          <w:szCs w:val="20"/>
          <w:rtl/>
        </w:rPr>
        <w:t>. ראה גם את הפסקה הבאה להגדרתו של אבי את “</w:t>
      </w:r>
      <w:proofErr w:type="spellStart"/>
      <w:r>
        <w:rPr>
          <w:sz w:val="20"/>
          <w:szCs w:val="20"/>
          <w:rtl/>
        </w:rPr>
        <w:t>פרומקייט</w:t>
      </w:r>
      <w:proofErr w:type="spellEnd"/>
      <w:r>
        <w:rPr>
          <w:sz w:val="20"/>
          <w:szCs w:val="20"/>
          <w:rtl/>
        </w:rPr>
        <w:t>” של צעירים.</w:t>
      </w:r>
    </w:p>
  </w:footnote>
  <w:footnote w:id="4156">
    <w:p w14:paraId="18275713" w14:textId="77777777" w:rsidR="00AB3647" w:rsidRDefault="00000000">
      <w:pPr>
        <w:spacing w:after="0" w:before="0"/>
        <w:jc w:val="both"/>
      </w:pPr>
      <w:r>
        <w:rPr>
          <w:sz w:val="20"/>
          <w:szCs w:val="20"/>
          <w:rtl/>
        </w:rPr>
        <w:footnoteRef/>
      </w:r>
      <w:r>
        <w:rPr>
          <w:sz w:val="20"/>
          <w:szCs w:val="20"/>
          <w:rtl/>
        </w:rPr>
        <w:t>. בשנים מאוחרות יותר אמר אבי שבמצות הנאפות ביד אין לחשוש שנשאר קמח שלא נאפה. אבל במצות הנאפות במכונה, שהבצק שלהן נילוש במעט מאוד מים לפני שהוא עובר בתנור, יש מקום לחשש.</w:t>
      </w:r>
    </w:p>
  </w:footnote>
  <w:footnote w:id="4157">
    <w:p w14:paraId="38442595" w14:textId="77777777" w:rsidR="00AB3647" w:rsidRDefault="00000000">
      <w:pPr>
        <w:spacing w:after="0" w:before="0"/>
        <w:jc w:val="both"/>
      </w:pPr>
      <w:r>
        <w:rPr>
          <w:sz w:val="20"/>
          <w:szCs w:val="20"/>
          <w:rtl/>
        </w:rPr>
        <w:footnoteRef/>
      </w:r>
      <w:r>
        <w:rPr>
          <w:sz w:val="20"/>
          <w:szCs w:val="20"/>
          <w:rtl/>
        </w:rPr>
        <w:t xml:space="preserve">. סיפור דומה מסופר </w:t>
      </w:r>
      <w:proofErr w:type="spellStart"/>
      <w:r>
        <w:rPr>
          <w:sz w:val="20"/>
          <w:szCs w:val="20"/>
          <w:rtl/>
        </w:rPr>
        <w:t>ב“ויקהל</w:t>
      </w:r>
      <w:proofErr w:type="spellEnd"/>
      <w:r>
        <w:rPr>
          <w:sz w:val="20"/>
          <w:szCs w:val="20"/>
          <w:rtl/>
        </w:rPr>
        <w:t xml:space="preserve"> משה” מאת משה הכהן גורדון (ברוקלין, ניו יורק, תשט״ז), חלק א, עמ׳ לו, על ר׳ עזריאל </w:t>
      </w:r>
      <w:proofErr w:type="spellStart"/>
      <w:r>
        <w:rPr>
          <w:sz w:val="20"/>
          <w:szCs w:val="20"/>
          <w:rtl/>
        </w:rPr>
        <w:t>הילדסהיימר</w:t>
      </w:r>
      <w:proofErr w:type="spellEnd"/>
      <w:r>
        <w:rPr>
          <w:sz w:val="20"/>
          <w:szCs w:val="20"/>
          <w:rtl/>
        </w:rPr>
        <w:t xml:space="preserve"> (</w:t>
      </w:r>
      <w:proofErr w:type="spellStart"/>
      <w:r>
        <w:rPr>
          <w:sz w:val="20"/>
          <w:szCs w:val="20"/>
          <w:rtl/>
        </w:rPr>
        <w:t>תק״ף</w:t>
      </w:r>
      <w:proofErr w:type="spellEnd"/>
      <w:r>
        <w:rPr>
          <w:sz w:val="20"/>
          <w:szCs w:val="20"/>
          <w:rtl/>
        </w:rPr>
        <w:t xml:space="preserve">–תרנ״ט). ר׳ עזריאל, שעישן הרבה, נקרא בשבת לפגישה עם קנצלר גרמניה אוטו פון </w:t>
      </w:r>
      <w:proofErr w:type="spellStart"/>
      <w:r>
        <w:rPr>
          <w:sz w:val="20"/>
          <w:szCs w:val="20"/>
          <w:rtl/>
        </w:rPr>
        <w:t>ביסמרק</w:t>
      </w:r>
      <w:proofErr w:type="spellEnd"/>
      <w:r>
        <w:rPr>
          <w:sz w:val="20"/>
          <w:szCs w:val="20"/>
          <w:rtl/>
        </w:rPr>
        <w:t xml:space="preserve"> (1815–1898). המארח הציע לרב סיגר בכבוד, ור׳ עזריאל הודה לקנצלר ואמר: “אדוני השר, אין אני מעשן.” מאז לא עישן עד סוף ימיו.</w:t>
      </w:r>
    </w:p>
  </w:footnote>
  <w:footnote w:id="4158">
    <w:p w14:paraId="29628904" w14:textId="77777777" w:rsidR="00AB3647" w:rsidRDefault="00000000">
      <w:pPr>
        <w:spacing w:after="0" w:before="0"/>
        <w:jc w:val="both"/>
      </w:pPr>
      <w:r>
        <w:rPr>
          <w:sz w:val="20"/>
          <w:szCs w:val="20"/>
          <w:rtl/>
        </w:rPr>
        <w:footnoteRef/>
      </w:r>
      <w:r>
        <w:rPr>
          <w:sz w:val="20"/>
          <w:szCs w:val="20"/>
          <w:rtl/>
        </w:rPr>
        <w:t>. בתחילת ינואר 1988.</w:t>
      </w:r>
    </w:p>
  </w:footnote>
  <w:footnote w:id="4159">
    <w:p w14:paraId="442F27A8" w14:textId="77777777" w:rsidR="00AB3647" w:rsidRDefault="00000000">
      <w:pPr>
        <w:spacing w:after="0" w:before="0"/>
        <w:jc w:val="both"/>
      </w:pPr>
      <w:r>
        <w:rPr>
          <w:sz w:val="20"/>
          <w:szCs w:val="20"/>
          <w:rtl/>
        </w:rPr>
        <w:footnoteRef/>
      </w:r>
      <w:r>
        <w:rPr>
          <w:sz w:val="20"/>
          <w:szCs w:val="20"/>
          <w:rtl/>
        </w:rPr>
        <w:t>. ריאיון מ־16 בדצמבר 1987.</w:t>
      </w:r>
    </w:p>
  </w:footnote>
  <w:footnote w:id="4160">
    <w:p w14:paraId="601143A0" w14:textId="77777777" w:rsidR="00AB3647" w:rsidRDefault="00000000">
      <w:pPr>
        <w:spacing w:after="0" w:before="0"/>
        <w:jc w:val="both"/>
      </w:pPr>
      <w:r>
        <w:rPr>
          <w:sz w:val="20"/>
          <w:szCs w:val="20"/>
          <w:rtl/>
        </w:rPr>
        <w:footnoteRef/>
      </w:r>
      <w:r>
        <w:rPr>
          <w:sz w:val="20"/>
          <w:szCs w:val="20"/>
          <w:rtl/>
        </w:rPr>
        <w:t>. מרשימות שכתב בחיי אבי.</w:t>
      </w:r>
    </w:p>
  </w:footnote>
  <w:footnote w:id="4161">
    <w:p w14:paraId="115C4B09" w14:textId="77777777" w:rsidR="00AB3647" w:rsidRDefault="00000000">
      <w:pPr>
        <w:spacing w:after="0" w:before="0"/>
        <w:jc w:val="both"/>
      </w:pPr>
      <w:r>
        <w:rPr>
          <w:sz w:val="20"/>
          <w:szCs w:val="20"/>
          <w:rtl/>
        </w:rPr>
        <w:footnoteRef/>
      </w:r>
      <w:r>
        <w:rPr>
          <w:sz w:val="20"/>
          <w:szCs w:val="20"/>
          <w:rtl/>
        </w:rPr>
        <w:t>. לפי ר׳ יעקב ליפשיץ (שרואיין ב־14 בינואר 1988).</w:t>
      </w:r>
    </w:p>
  </w:footnote>
  <w:footnote w:id="4162">
    <w:p w14:paraId="1CB7600E" w14:textId="77777777" w:rsidR="00AB3647" w:rsidRDefault="00000000">
      <w:pPr>
        <w:spacing w:after="0" w:before="0"/>
        <w:jc w:val="both"/>
      </w:pPr>
      <w:r>
        <w:rPr>
          <w:sz w:val="20"/>
          <w:szCs w:val="20"/>
          <w:rtl/>
        </w:rPr>
        <w:footnoteRef/>
      </w:r>
      <w:r>
        <w:rPr>
          <w:sz w:val="20"/>
          <w:szCs w:val="20"/>
          <w:rtl/>
        </w:rPr>
        <w:t xml:space="preserve">. ר׳ דב סיפר את הסיפור בשנות </w:t>
      </w:r>
      <w:proofErr w:type="spellStart"/>
      <w:r>
        <w:rPr>
          <w:sz w:val="20"/>
          <w:szCs w:val="20"/>
          <w:rtl/>
        </w:rPr>
        <w:t>הת״ר־צ</w:t>
      </w:r>
      <w:proofErr w:type="spellEnd"/>
      <w:r>
        <w:rPr>
          <w:sz w:val="20"/>
          <w:szCs w:val="20"/>
          <w:rtl/>
        </w:rPr>
        <w:t xml:space="preserve">׳ לקבוצת בחורים מישיבת חברון בירושלים, ובהם הרב כהן, יליד סיאטל. </w:t>
      </w:r>
      <w:proofErr w:type="spellStart"/>
      <w:r>
        <w:rPr>
          <w:sz w:val="20"/>
          <w:szCs w:val="20"/>
          <w:rtl/>
        </w:rPr>
        <w:t>אמו</w:t>
      </w:r>
      <w:proofErr w:type="spellEnd"/>
      <w:r>
        <w:rPr>
          <w:sz w:val="20"/>
          <w:szCs w:val="20"/>
          <w:rtl/>
        </w:rPr>
        <w:t xml:space="preserve"> הביאה את הצעיר מאמריקה לארץ ישראל אחרי בר המצווה שלו, </w:t>
      </w:r>
      <w:proofErr w:type="spellStart"/>
      <w:r>
        <w:rPr>
          <w:sz w:val="20"/>
          <w:szCs w:val="20"/>
          <w:rtl/>
        </w:rPr>
        <w:t>בתרפ״ו</w:t>
      </w:r>
      <w:proofErr w:type="spellEnd"/>
      <w:r>
        <w:rPr>
          <w:sz w:val="20"/>
          <w:szCs w:val="20"/>
          <w:rtl/>
        </w:rPr>
        <w:t xml:space="preserve">, והוא הצטרף לישיבה בחברון כעבור כשנה. הוא ניצל בנס בטבח </w:t>
      </w:r>
      <w:proofErr w:type="spellStart"/>
      <w:r>
        <w:rPr>
          <w:sz w:val="20"/>
          <w:szCs w:val="20"/>
          <w:rtl/>
        </w:rPr>
        <w:t>בתרפ״ט</w:t>
      </w:r>
      <w:proofErr w:type="spellEnd"/>
      <w:r>
        <w:rPr>
          <w:sz w:val="20"/>
          <w:szCs w:val="20"/>
          <w:rtl/>
        </w:rPr>
        <w:t xml:space="preserve">, שבו נרצחו עשרים וארבעה מאנשי הישיבה, ובהם שבעה אמריקאים. ר׳ דב חזר באוזניי על סיפורו של ר׳ אשר </w:t>
      </w:r>
      <w:proofErr w:type="spellStart"/>
      <w:r>
        <w:rPr>
          <w:sz w:val="20"/>
          <w:szCs w:val="20"/>
          <w:rtl/>
        </w:rPr>
        <w:t>סנדומירסקי</w:t>
      </w:r>
      <w:proofErr w:type="spellEnd"/>
      <w:r>
        <w:rPr>
          <w:sz w:val="20"/>
          <w:szCs w:val="20"/>
          <w:rtl/>
        </w:rPr>
        <w:t xml:space="preserve"> ב־30 במרץ 2001.</w:t>
      </w:r>
    </w:p>
  </w:footnote>
  <w:footnote w:id="4163">
    <w:p w14:paraId="41ECAD03" w14:textId="77777777" w:rsidR="00AB3647" w:rsidRDefault="00000000">
      <w:pPr>
        <w:spacing w:after="0" w:before="0"/>
        <w:jc w:val="both"/>
      </w:pPr>
      <w:r>
        <w:rPr>
          <w:sz w:val="20"/>
          <w:szCs w:val="20"/>
          <w:rtl/>
        </w:rPr>
        <w:footnoteRef/>
      </w:r>
      <w:r>
        <w:rPr>
          <w:sz w:val="20"/>
          <w:szCs w:val="20"/>
          <w:rtl/>
        </w:rPr>
        <w:t xml:space="preserve">. ר׳ </w:t>
      </w:r>
      <w:proofErr w:type="spellStart"/>
      <w:r>
        <w:rPr>
          <w:sz w:val="20"/>
          <w:szCs w:val="20"/>
          <w:rtl/>
        </w:rPr>
        <w:t>אברהם־חיים</w:t>
      </w:r>
      <w:proofErr w:type="spellEnd"/>
      <w:r>
        <w:rPr>
          <w:sz w:val="20"/>
          <w:szCs w:val="20"/>
          <w:rtl/>
        </w:rPr>
        <w:t xml:space="preserve"> </w:t>
      </w:r>
      <w:proofErr w:type="spellStart"/>
      <w:r>
        <w:rPr>
          <w:sz w:val="20"/>
          <w:szCs w:val="20"/>
          <w:rtl/>
        </w:rPr>
        <w:t>פויער</w:t>
      </w:r>
      <w:proofErr w:type="spellEnd"/>
      <w:r>
        <w:rPr>
          <w:sz w:val="20"/>
          <w:szCs w:val="20"/>
          <w:rtl/>
        </w:rPr>
        <w:t xml:space="preserve"> ציין זאת בערב ראש חודש אדר תשמ״ב – ראה פרק 1, הערה 32.</w:t>
      </w:r>
    </w:p>
  </w:footnote>
  <w:footnote w:id="4164">
    <w:p w14:paraId="2FB62136" w14:textId="77777777" w:rsidR="00AB3647" w:rsidRDefault="00000000">
      <w:pPr>
        <w:spacing w:after="0" w:before="0"/>
        <w:jc w:val="both"/>
      </w:pPr>
      <w:r>
        <w:rPr>
          <w:sz w:val="20"/>
          <w:szCs w:val="20"/>
          <w:rtl/>
        </w:rPr>
        <w:footnoteRef/>
      </w:r>
      <w:r>
        <w:rPr>
          <w:sz w:val="20"/>
          <w:szCs w:val="20"/>
          <w:rtl/>
        </w:rPr>
        <w:t xml:space="preserve">. ראה נספח </w:t>
      </w:r>
      <w:proofErr w:type="spellStart"/>
      <w:r>
        <w:rPr>
          <w:sz w:val="20"/>
          <w:szCs w:val="20"/>
          <w:rtl/>
        </w:rPr>
        <w:t>טז</w:t>
      </w:r>
      <w:proofErr w:type="spellEnd"/>
      <w:r>
        <w:rPr>
          <w:sz w:val="20"/>
          <w:szCs w:val="20"/>
          <w:rtl/>
        </w:rPr>
        <w:t xml:space="preserve"> להלן.</w:t>
      </w:r>
    </w:p>
  </w:footnote>
  <w:footnote w:id="4165">
    <w:p w14:paraId="7924D547" w14:textId="77777777" w:rsidR="00AB3647" w:rsidRDefault="00000000">
      <w:pPr>
        <w:spacing w:after="0" w:before="0"/>
        <w:jc w:val="both"/>
      </w:pPr>
      <w:r>
        <w:rPr>
          <w:sz w:val="20"/>
          <w:szCs w:val="20"/>
          <w:rtl/>
        </w:rPr>
        <w:footnoteRef/>
      </w:r>
      <w:r>
        <w:rPr>
          <w:sz w:val="20"/>
          <w:szCs w:val="20"/>
          <w:rtl/>
        </w:rPr>
        <w:t>. ראה הערה 102 לעיל.</w:t>
      </w:r>
    </w:p>
  </w:footnote>
  <w:footnote w:id="4166">
    <w:p w14:paraId="1516FBA2" w14:textId="77777777" w:rsidR="00AB3647" w:rsidRDefault="00000000">
      <w:pPr>
        <w:spacing w:after="0" w:before="0"/>
        <w:jc w:val="both"/>
      </w:pPr>
      <w:r>
        <w:rPr>
          <w:sz w:val="20"/>
          <w:szCs w:val="20"/>
          <w:rtl/>
        </w:rPr>
        <w:footnoteRef/>
      </w:r>
      <w:r>
        <w:rPr>
          <w:sz w:val="20"/>
          <w:szCs w:val="20"/>
          <w:rtl/>
        </w:rPr>
        <w:t>. המקור הנזכר בפרק 1, הפסקה השלישית של נספח ו, עמ׳ 1445.</w:t>
      </w:r>
    </w:p>
  </w:footnote>
  <w:footnote w:id="4167">
    <w:p w14:paraId="2DC02CA0" w14:textId="77777777" w:rsidR="00AB3647" w:rsidRDefault="00000000">
      <w:pPr>
        <w:spacing w:after="0" w:before="0"/>
        <w:jc w:val="both"/>
      </w:pPr>
      <w:r>
        <w:rPr>
          <w:sz w:val="20"/>
          <w:szCs w:val="20"/>
          <w:rtl/>
        </w:rPr>
        <w:footnoteRef/>
      </w:r>
      <w:r>
        <w:rPr>
          <w:sz w:val="20"/>
          <w:szCs w:val="20"/>
          <w:rtl/>
        </w:rPr>
        <w:t>. “עמך”, מילולית בעברית: העם שלך; בלשון הדיבור מילה יידית המציינת את “המוני העם”.</w:t>
      </w:r>
    </w:p>
  </w:footnote>
  <w:footnote w:id="4168">
    <w:p w14:paraId="407CC77F" w14:textId="77777777" w:rsidR="00AB3647" w:rsidRDefault="00000000">
      <w:pPr>
        <w:spacing w:after="0" w:before="0"/>
        <w:jc w:val="both"/>
      </w:pPr>
      <w:r>
        <w:rPr>
          <w:sz w:val="20"/>
          <w:szCs w:val="20"/>
          <w:rtl/>
        </w:rPr>
        <w:footnoteRef/>
      </w:r>
      <w:r>
        <w:rPr>
          <w:sz w:val="20"/>
          <w:szCs w:val="20"/>
          <w:rtl/>
        </w:rPr>
        <w:t>. “פני”, מילולית בעברית: פניה של החברה – ראה גם תרגום בראשית ל, מ; בלשון הדיבור מילה יידית המציינת את “המעמד הגבוה”.</w:t>
      </w:r>
    </w:p>
  </w:footnote>
  <w:footnote w:id="4169">
    <w:p w14:paraId="0DFE3705" w14:textId="77777777" w:rsidR="00AB3647" w:rsidRDefault="00000000">
      <w:pPr>
        <w:spacing w:after="0" w:before="0"/>
        <w:jc w:val="both"/>
      </w:pPr>
      <w:r>
        <w:rPr>
          <w:sz w:val="20"/>
          <w:szCs w:val="20"/>
          <w:rtl/>
        </w:rPr>
        <w:footnoteRef/>
      </w:r>
      <w:r>
        <w:rPr>
          <w:sz w:val="20"/>
          <w:szCs w:val="20"/>
          <w:rtl/>
        </w:rPr>
        <w:t>. המקור הנזכר בפרק 1, הפסקה השלישית של נספח ו, עמ׳ 1365–1370.</w:t>
      </w:r>
    </w:p>
  </w:footnote>
  <w:footnote w:id="4170">
    <w:p w14:paraId="6C917329" w14:textId="77777777" w:rsidR="00AB3647" w:rsidRDefault="00000000">
      <w:pPr>
        <w:spacing w:after="0" w:before="0"/>
        <w:jc w:val="both"/>
      </w:pPr>
      <w:r>
        <w:rPr>
          <w:sz w:val="20"/>
          <w:szCs w:val="20"/>
          <w:rtl/>
        </w:rPr>
        <w:footnoteRef/>
      </w:r>
      <w:r>
        <w:rPr>
          <w:sz w:val="20"/>
          <w:szCs w:val="20"/>
          <w:rtl/>
        </w:rPr>
        <w:t xml:space="preserve">. יש שם, עמ׳ 1368, תיאור מעניין של הדבר: תחילה אמר לו ר׳ </w:t>
      </w:r>
      <w:proofErr w:type="spellStart"/>
      <w:r>
        <w:rPr>
          <w:sz w:val="20"/>
          <w:szCs w:val="20"/>
          <w:rtl/>
        </w:rPr>
        <w:t>יוסף־זכריה</w:t>
      </w:r>
      <w:proofErr w:type="spellEnd"/>
      <w:r>
        <w:rPr>
          <w:sz w:val="20"/>
          <w:szCs w:val="20"/>
          <w:rtl/>
        </w:rPr>
        <w:t xml:space="preserve"> שטרן שאינו מבין מדוע ירצה אדם לנסוע לאנגליה. “האם אינך יכול ללמוד תורה בליטא?” שאל. כשהתחנן אליו ר׳ לייזר, הסכים ר׳ </w:t>
      </w:r>
      <w:proofErr w:type="spellStart"/>
      <w:r>
        <w:rPr>
          <w:sz w:val="20"/>
          <w:szCs w:val="20"/>
          <w:rtl/>
        </w:rPr>
        <w:t>יוסף־זכריה</w:t>
      </w:r>
      <w:proofErr w:type="spellEnd"/>
      <w:r>
        <w:rPr>
          <w:sz w:val="20"/>
          <w:szCs w:val="20"/>
          <w:rtl/>
        </w:rPr>
        <w:t xml:space="preserve"> שטרן לסמוך אותו אחרי שיבחן אותו. ר׳ </w:t>
      </w:r>
      <w:proofErr w:type="spellStart"/>
      <w:r>
        <w:rPr>
          <w:sz w:val="20"/>
          <w:szCs w:val="20"/>
          <w:rtl/>
        </w:rPr>
        <w:t>יוסף־זכריה</w:t>
      </w:r>
      <w:proofErr w:type="spellEnd"/>
      <w:r>
        <w:rPr>
          <w:sz w:val="20"/>
          <w:szCs w:val="20"/>
          <w:rtl/>
        </w:rPr>
        <w:t xml:space="preserve"> פתח גמרא ואמר: “קרא!” מיד כשהתחיל ר׳ לייזר לקרוא, החל ר׳ </w:t>
      </w:r>
      <w:proofErr w:type="spellStart"/>
      <w:r>
        <w:rPr>
          <w:sz w:val="20"/>
          <w:szCs w:val="20"/>
          <w:rtl/>
        </w:rPr>
        <w:t>יוסף־זכריה</w:t>
      </w:r>
      <w:proofErr w:type="spellEnd"/>
      <w:r>
        <w:rPr>
          <w:sz w:val="20"/>
          <w:szCs w:val="20"/>
          <w:rtl/>
        </w:rPr>
        <w:t xml:space="preserve"> שטרן להמטיר עליו שאלות, והמשיך לענותו עד שהתעלף. כשהעירו את ר׳ לייזר גורדון, אמר לו ר׳ </w:t>
      </w:r>
      <w:proofErr w:type="spellStart"/>
      <w:r>
        <w:rPr>
          <w:sz w:val="20"/>
          <w:szCs w:val="20"/>
          <w:rtl/>
        </w:rPr>
        <w:t>יוסף־זכריה</w:t>
      </w:r>
      <w:proofErr w:type="spellEnd"/>
      <w:r>
        <w:rPr>
          <w:sz w:val="20"/>
          <w:szCs w:val="20"/>
          <w:rtl/>
        </w:rPr>
        <w:t xml:space="preserve"> שטרן: “אם אינך יודע ללמוד, עליך להתעלף? יש הרבה עמי הארצות בעם שלנו, ואתה רק עוד אחד מהם.” המאמר מעמיד את טוב לבו של ר׳ </w:t>
      </w:r>
      <w:proofErr w:type="spellStart"/>
      <w:r>
        <w:rPr>
          <w:sz w:val="20"/>
          <w:szCs w:val="20"/>
          <w:rtl/>
        </w:rPr>
        <w:t>יוסף־זכריה</w:t>
      </w:r>
      <w:proofErr w:type="spellEnd"/>
      <w:r>
        <w:rPr>
          <w:sz w:val="20"/>
          <w:szCs w:val="20"/>
          <w:rtl/>
        </w:rPr>
        <w:t xml:space="preserve"> כלפי אנשים פשוטים מול קשיחותו כלפי רבנים אחרים.</w:t>
      </w:r>
    </w:p>
  </w:footnote>
  <w:footnote w:id="4171">
    <w:p w14:paraId="22FBDC84" w14:textId="77777777" w:rsidR="00AB3647" w:rsidRDefault="00000000">
      <w:pPr>
        <w:spacing w:after="0" w:before="0"/>
        <w:jc w:val="both"/>
      </w:pPr>
      <w:r>
        <w:rPr>
          <w:sz w:val="20"/>
          <w:szCs w:val="20"/>
          <w:rtl/>
        </w:rPr>
        <w:footnoteRef/>
      </w:r>
      <w:r>
        <w:rPr>
          <w:sz w:val="20"/>
          <w:szCs w:val="20"/>
          <w:rtl/>
        </w:rPr>
        <w:t xml:space="preserve">. ר׳ אהרן </w:t>
      </w:r>
      <w:proofErr w:type="spellStart"/>
      <w:r>
        <w:rPr>
          <w:sz w:val="20"/>
          <w:szCs w:val="20"/>
          <w:rtl/>
        </w:rPr>
        <w:t>וולקין</w:t>
      </w:r>
      <w:proofErr w:type="spellEnd"/>
      <w:r>
        <w:rPr>
          <w:sz w:val="20"/>
          <w:szCs w:val="20"/>
          <w:rtl/>
        </w:rPr>
        <w:t xml:space="preserve"> היה תלמיד קרוב כל כך </w:t>
      </w:r>
      <w:proofErr w:type="spellStart"/>
      <w:r>
        <w:rPr>
          <w:sz w:val="20"/>
          <w:szCs w:val="20"/>
          <w:rtl/>
        </w:rPr>
        <w:t>לנצי״ב</w:t>
      </w:r>
      <w:proofErr w:type="spellEnd"/>
      <w:r>
        <w:rPr>
          <w:sz w:val="20"/>
          <w:szCs w:val="20"/>
          <w:rtl/>
        </w:rPr>
        <w:t xml:space="preserve"> </w:t>
      </w:r>
      <w:proofErr w:type="spellStart"/>
      <w:r>
        <w:rPr>
          <w:sz w:val="20"/>
          <w:szCs w:val="20"/>
          <w:rtl/>
        </w:rPr>
        <w:t>בוולוז׳ין</w:t>
      </w:r>
      <w:proofErr w:type="spellEnd"/>
      <w:r>
        <w:rPr>
          <w:sz w:val="20"/>
          <w:szCs w:val="20"/>
          <w:rtl/>
        </w:rPr>
        <w:t xml:space="preserve">, עד שר׳ </w:t>
      </w:r>
      <w:proofErr w:type="spellStart"/>
      <w:r>
        <w:rPr>
          <w:sz w:val="20"/>
          <w:szCs w:val="20"/>
          <w:rtl/>
        </w:rPr>
        <w:t>ברוך־בער</w:t>
      </w:r>
      <w:proofErr w:type="spellEnd"/>
      <w:r>
        <w:rPr>
          <w:sz w:val="20"/>
          <w:szCs w:val="20"/>
          <w:rtl/>
        </w:rPr>
        <w:t xml:space="preserve"> אמר עליו שהוא הדוגמה המובהקת לשימוש תלמיד לרב (ראה כתובות צ״ו ע״א) – כך לפי נכדו של ר׳ אהרן, ר׳ חיים </w:t>
      </w:r>
      <w:proofErr w:type="spellStart"/>
      <w:r>
        <w:rPr>
          <w:sz w:val="20"/>
          <w:szCs w:val="20"/>
          <w:rtl/>
        </w:rPr>
        <w:t>וולקין</w:t>
      </w:r>
      <w:proofErr w:type="spellEnd"/>
      <w:r>
        <w:rPr>
          <w:sz w:val="20"/>
          <w:szCs w:val="20"/>
          <w:rtl/>
        </w:rPr>
        <w:t xml:space="preserve">, שרואיין ב־29 ביולי 1994. ראה פרק 3, סוף נספח ט, תחילת נספח </w:t>
      </w:r>
      <w:proofErr w:type="spellStart"/>
      <w:r>
        <w:rPr>
          <w:sz w:val="20"/>
          <w:szCs w:val="20"/>
          <w:rtl/>
        </w:rPr>
        <w:t>יח</w:t>
      </w:r>
      <w:proofErr w:type="spellEnd"/>
      <w:r>
        <w:rPr>
          <w:sz w:val="20"/>
          <w:szCs w:val="20"/>
          <w:rtl/>
        </w:rPr>
        <w:t xml:space="preserve">, הערה 135 והפסקה השנייה בהערה 137, על קרבתו של ר׳ </w:t>
      </w:r>
      <w:proofErr w:type="spellStart"/>
      <w:r>
        <w:rPr>
          <w:sz w:val="20"/>
          <w:szCs w:val="20"/>
          <w:rtl/>
        </w:rPr>
        <w:t>ברוך־בער</w:t>
      </w:r>
      <w:proofErr w:type="spellEnd"/>
      <w:r>
        <w:rPr>
          <w:sz w:val="20"/>
          <w:szCs w:val="20"/>
          <w:rtl/>
        </w:rPr>
        <w:t xml:space="preserve"> למורו </w:t>
      </w:r>
      <w:proofErr w:type="spellStart"/>
      <w:r>
        <w:rPr>
          <w:sz w:val="20"/>
          <w:szCs w:val="20"/>
          <w:rtl/>
        </w:rPr>
        <w:t>בוולוז׳ין</w:t>
      </w:r>
      <w:proofErr w:type="spellEnd"/>
      <w:r>
        <w:rPr>
          <w:sz w:val="20"/>
          <w:szCs w:val="20"/>
          <w:rtl/>
        </w:rPr>
        <w:t xml:space="preserve">, משנהו של </w:t>
      </w:r>
      <w:proofErr w:type="spellStart"/>
      <w:r>
        <w:rPr>
          <w:sz w:val="20"/>
          <w:szCs w:val="20"/>
          <w:rtl/>
        </w:rPr>
        <w:t>הנצי״ב</w:t>
      </w:r>
      <w:proofErr w:type="spellEnd"/>
      <w:r>
        <w:rPr>
          <w:sz w:val="20"/>
          <w:szCs w:val="20"/>
          <w:rtl/>
        </w:rPr>
        <w:t xml:space="preserve">, ר׳ חיים </w:t>
      </w:r>
      <w:proofErr w:type="spellStart"/>
      <w:r>
        <w:rPr>
          <w:sz w:val="20"/>
          <w:szCs w:val="20"/>
          <w:rtl/>
        </w:rPr>
        <w:t>סולובייצ׳יק</w:t>
      </w:r>
      <w:proofErr w:type="spellEnd"/>
      <w:r>
        <w:rPr>
          <w:sz w:val="20"/>
          <w:szCs w:val="20"/>
          <w:rtl/>
        </w:rPr>
        <w:t xml:space="preserve">. ייתכן שבתיאורו של ר׳ אהרן </w:t>
      </w:r>
      <w:proofErr w:type="spellStart"/>
      <w:r>
        <w:rPr>
          <w:sz w:val="20"/>
          <w:szCs w:val="20"/>
          <w:rtl/>
        </w:rPr>
        <w:t>וולקין</w:t>
      </w:r>
      <w:proofErr w:type="spellEnd"/>
      <w:r>
        <w:rPr>
          <w:sz w:val="20"/>
          <w:szCs w:val="20"/>
          <w:rtl/>
        </w:rPr>
        <w:t xml:space="preserve"> רמז ר׳ </w:t>
      </w:r>
      <w:proofErr w:type="spellStart"/>
      <w:r>
        <w:rPr>
          <w:sz w:val="20"/>
          <w:szCs w:val="20"/>
          <w:rtl/>
        </w:rPr>
        <w:t>ברוך־בער</w:t>
      </w:r>
      <w:proofErr w:type="spellEnd"/>
      <w:r>
        <w:rPr>
          <w:sz w:val="20"/>
          <w:szCs w:val="20"/>
          <w:rtl/>
        </w:rPr>
        <w:t xml:space="preserve"> שהוא עיצב את קרבתו לרבו לפי דגם קרבתו של ר׳ אהרן </w:t>
      </w:r>
      <w:proofErr w:type="spellStart"/>
      <w:r>
        <w:rPr>
          <w:sz w:val="20"/>
          <w:szCs w:val="20"/>
          <w:rtl/>
        </w:rPr>
        <w:t>וולקין</w:t>
      </w:r>
      <w:proofErr w:type="spellEnd"/>
      <w:r>
        <w:rPr>
          <w:sz w:val="20"/>
          <w:szCs w:val="20"/>
          <w:rtl/>
        </w:rPr>
        <w:t xml:space="preserve"> </w:t>
      </w:r>
      <w:proofErr w:type="spellStart"/>
      <w:r>
        <w:rPr>
          <w:sz w:val="20"/>
          <w:szCs w:val="20"/>
          <w:rtl/>
        </w:rPr>
        <w:t>לנצי״ב</w:t>
      </w:r>
      <w:proofErr w:type="spellEnd"/>
      <w:r>
        <w:rPr>
          <w:sz w:val="20"/>
          <w:szCs w:val="20"/>
          <w:rtl/>
        </w:rPr>
        <w:t>.</w:t>
      </w:r>
    </w:p>
  </w:footnote>
  <w:footnote w:id="4172">
    <w:p w14:paraId="334767BB" w14:textId="77777777" w:rsidR="00AB3647" w:rsidRDefault="00000000">
      <w:pPr>
        <w:spacing w:after="0" w:before="0"/>
        <w:jc w:val="both"/>
      </w:pPr>
      <w:r>
        <w:rPr>
          <w:sz w:val="20"/>
          <w:szCs w:val="20"/>
          <w:rtl/>
        </w:rPr>
        <w:footnoteRef/>
      </w:r>
      <w:r>
        <w:rPr>
          <w:sz w:val="20"/>
          <w:szCs w:val="20"/>
          <w:rtl/>
        </w:rPr>
        <w:t>. הרשימות הביוגרפיות במבוא לליקוטי תשובות ר׳ אליעזר וחידושיו (ת״ש).</w:t>
      </w:r>
    </w:p>
  </w:footnote>
  <w:footnote w:id="4173">
    <w:p w14:paraId="5563381D" w14:textId="77777777" w:rsidR="00AB3647" w:rsidRDefault="00000000">
      <w:pPr>
        <w:spacing w:after="0" w:before="0"/>
        <w:jc w:val="both"/>
      </w:pPr>
      <w:r>
        <w:rPr>
          <w:sz w:val="20"/>
          <w:szCs w:val="20"/>
          <w:rtl/>
        </w:rPr>
        <w:footnoteRef/>
      </w:r>
      <w:r>
        <w:rPr>
          <w:sz w:val="20"/>
          <w:szCs w:val="20"/>
          <w:rtl/>
        </w:rPr>
        <w:t xml:space="preserve">. עיין בבא </w:t>
      </w:r>
      <w:proofErr w:type="spellStart"/>
      <w:r>
        <w:rPr>
          <w:sz w:val="20"/>
          <w:szCs w:val="20"/>
          <w:rtl/>
        </w:rPr>
        <w:t>בתרא</w:t>
      </w:r>
      <w:proofErr w:type="spellEnd"/>
      <w:r>
        <w:rPr>
          <w:sz w:val="20"/>
          <w:szCs w:val="20"/>
          <w:rtl/>
        </w:rPr>
        <w:t xml:space="preserve"> כ״ב ע״א, </w:t>
      </w:r>
      <w:proofErr w:type="spellStart"/>
      <w:r>
        <w:rPr>
          <w:sz w:val="20"/>
          <w:szCs w:val="20"/>
          <w:rtl/>
        </w:rPr>
        <w:t>תוד״ה</w:t>
      </w:r>
      <w:proofErr w:type="spellEnd"/>
      <w:r>
        <w:rPr>
          <w:sz w:val="20"/>
          <w:szCs w:val="20"/>
          <w:rtl/>
        </w:rPr>
        <w:t xml:space="preserve"> אנא </w:t>
      </w:r>
      <w:proofErr w:type="spellStart"/>
      <w:r>
        <w:rPr>
          <w:sz w:val="20"/>
          <w:szCs w:val="20"/>
          <w:rtl/>
        </w:rPr>
        <w:t>ענישתיה</w:t>
      </w:r>
      <w:proofErr w:type="spellEnd"/>
      <w:r>
        <w:rPr>
          <w:sz w:val="20"/>
          <w:szCs w:val="20"/>
          <w:rtl/>
        </w:rPr>
        <w:t>.</w:t>
      </w:r>
    </w:p>
  </w:footnote>
  <w:footnote w:id="4174">
    <w:p w14:paraId="5A6C9FCD" w14:textId="77777777" w:rsidR="00AB3647" w:rsidRDefault="00000000">
      <w:pPr>
        <w:spacing w:after="0" w:before="0"/>
        <w:jc w:val="both"/>
      </w:pPr>
      <w:r>
        <w:rPr>
          <w:sz w:val="20"/>
          <w:szCs w:val="20"/>
          <w:rtl/>
        </w:rPr>
        <w:footnoteRef/>
      </w:r>
      <w:r>
        <w:rPr>
          <w:sz w:val="20"/>
          <w:szCs w:val="20"/>
          <w:rtl/>
        </w:rPr>
        <w:t>. לונדון, 1974.</w:t>
      </w:r>
    </w:p>
  </w:footnote>
  <w:footnote w:id="4175">
    <w:p w14:paraId="143B7190" w14:textId="77777777" w:rsidR="00AB3647" w:rsidRDefault="00000000">
      <w:pPr>
        <w:spacing w:after="0" w:before="0"/>
        <w:jc w:val="both"/>
      </w:pPr>
      <w:r>
        <w:rPr>
          <w:sz w:val="20"/>
          <w:szCs w:val="20"/>
          <w:rtl/>
        </w:rPr>
        <w:footnoteRef/>
      </w:r>
      <w:r>
        <w:rPr>
          <w:sz w:val="20"/>
          <w:szCs w:val="20"/>
          <w:rtl/>
        </w:rPr>
        <w:t xml:space="preserve">. בעמ׳ 147, בתוך פרק שכותרתו “הגאון רבי אליעזר גורדון </w:t>
      </w:r>
      <w:proofErr w:type="spellStart"/>
      <w:r>
        <w:rPr>
          <w:sz w:val="20"/>
          <w:szCs w:val="20"/>
          <w:rtl/>
        </w:rPr>
        <w:t>מטלז</w:t>
      </w:r>
      <w:proofErr w:type="spellEnd"/>
      <w:r>
        <w:rPr>
          <w:sz w:val="20"/>
          <w:szCs w:val="20"/>
          <w:rtl/>
        </w:rPr>
        <w:t>”.</w:t>
      </w:r>
    </w:p>
  </w:footnote>
  <w:footnote w:id="4176">
    <w:p w14:paraId="47805EFA" w14:textId="77777777" w:rsidR="00AB3647" w:rsidRDefault="00000000">
      <w:pPr>
        <w:spacing w:after="0" w:before="0"/>
        <w:jc w:val="both"/>
      </w:pPr>
      <w:r>
        <w:rPr>
          <w:sz w:val="20"/>
          <w:szCs w:val="20"/>
          <w:rtl/>
        </w:rPr>
        <w:footnoteRef/>
      </w:r>
      <w:r>
        <w:rPr>
          <w:sz w:val="20"/>
          <w:szCs w:val="20"/>
          <w:rtl/>
        </w:rPr>
        <w:t xml:space="preserve">. אביו היה ר׳ נתן אדלר, תלמיד חכם גדול, הידוע על שם ספרו “נתינה לגר” – צירוף המבוסס על פסחים כ״א ע״ב (ובהגייה אשכנזית: </w:t>
      </w:r>
      <w:proofErr w:type="spellStart"/>
      <w:r>
        <w:rPr>
          <w:sz w:val="20"/>
          <w:szCs w:val="20"/>
          <w:rtl/>
        </w:rPr>
        <w:t>נסינו־לגר</w:t>
      </w:r>
      <w:proofErr w:type="spellEnd"/>
      <w:r>
        <w:rPr>
          <w:sz w:val="20"/>
          <w:szCs w:val="20"/>
          <w:rtl/>
        </w:rPr>
        <w:t xml:space="preserve">). בגלל סלידתו של סר הרמן ממהגרים ממזרח אירופה לאנגליה, זכה לכינוי “שנאה לגר” (בהגייה כמעט זהה לשם ספרו של אביו: </w:t>
      </w:r>
      <w:proofErr w:type="spellStart"/>
      <w:r>
        <w:rPr>
          <w:sz w:val="20"/>
          <w:szCs w:val="20"/>
          <w:rtl/>
        </w:rPr>
        <w:t>סינו־לגר</w:t>
      </w:r>
      <w:proofErr w:type="spellEnd"/>
      <w:r>
        <w:rPr>
          <w:sz w:val="20"/>
          <w:szCs w:val="20"/>
          <w:rtl/>
        </w:rPr>
        <w:t>).</w:t>
      </w:r>
    </w:p>
  </w:footnote>
  <w:footnote w:id="4177">
    <w:p w14:paraId="22C88978" w14:textId="77777777" w:rsidR="00AB3647" w:rsidRDefault="00000000">
      <w:pPr>
        <w:spacing w:after="0" w:before="0"/>
        <w:jc w:val="both"/>
      </w:pPr>
      <w:r>
        <w:rPr>
          <w:sz w:val="20"/>
          <w:szCs w:val="20"/>
          <w:rtl/>
        </w:rPr>
        <w:footnoteRef/>
      </w:r>
      <w:r>
        <w:rPr>
          <w:sz w:val="20"/>
          <w:szCs w:val="20"/>
          <w:rtl/>
        </w:rPr>
        <w:t>. הערה 70 לעיל, עמ׳ 202.</w:t>
      </w:r>
    </w:p>
  </w:footnote>
  <w:footnote w:id="4178">
    <w:p w14:paraId="024E829C" w14:textId="77777777" w:rsidR="00AB3647" w:rsidRDefault="00000000">
      <w:pPr>
        <w:spacing w:after="0" w:before="0"/>
        <w:jc w:val="both"/>
      </w:pPr>
      <w:r>
        <w:rPr>
          <w:sz w:val="20"/>
          <w:szCs w:val="20"/>
          <w:rtl/>
        </w:rPr>
        <w:footnoteRef/>
      </w:r>
      <w:r>
        <w:rPr>
          <w:sz w:val="20"/>
          <w:szCs w:val="20"/>
          <w:rtl/>
        </w:rPr>
        <w:t>. ריאיון מ־14 ביוני 1992.</w:t>
      </w:r>
    </w:p>
  </w:footnote>
  <w:footnote w:id="4179">
    <w:p w14:paraId="18F54F20" w14:textId="77777777" w:rsidR="00AB3647" w:rsidRDefault="00000000">
      <w:pPr>
        <w:spacing w:after="0" w:before="0"/>
        <w:jc w:val="both"/>
      </w:pPr>
      <w:r>
        <w:rPr>
          <w:sz w:val="20"/>
          <w:szCs w:val="20"/>
          <w:rtl/>
        </w:rPr>
        <w:footnoteRef/>
      </w:r>
      <w:r>
        <w:rPr>
          <w:sz w:val="20"/>
          <w:szCs w:val="20"/>
          <w:rtl/>
        </w:rPr>
        <w:t>. ראה את הפסקה השנייה של נספח ט לעיל.</w:t>
      </w:r>
    </w:p>
  </w:footnote>
  <w:footnote w:id="4180">
    <w:p w14:paraId="15E937CD" w14:textId="77777777" w:rsidR="00AB3647" w:rsidRDefault="00000000">
      <w:pPr>
        <w:spacing w:after="0" w:before="0"/>
        <w:jc w:val="both"/>
      </w:pPr>
      <w:r>
        <w:rPr>
          <w:sz w:val="20"/>
          <w:szCs w:val="20"/>
          <w:rtl/>
        </w:rPr>
        <w:footnoteRef/>
      </w:r>
      <w:r>
        <w:rPr>
          <w:sz w:val="20"/>
          <w:szCs w:val="20"/>
          <w:rtl/>
        </w:rPr>
        <w:t>. הפסקה השנייה של נספח ח לעיל, כרך ג, עמ׳ 93–95.</w:t>
      </w:r>
    </w:p>
  </w:footnote>
  <w:footnote w:id="4181">
    <w:p w14:paraId="2F0E6E4B" w14:textId="77777777" w:rsidR="00AB3647" w:rsidRDefault="00000000">
      <w:pPr>
        <w:spacing w:after="0" w:before="0"/>
        <w:jc w:val="both"/>
      </w:pPr>
      <w:r>
        <w:rPr>
          <w:sz w:val="20"/>
          <w:szCs w:val="20"/>
          <w:rtl/>
        </w:rPr>
        <w:footnoteRef/>
      </w:r>
      <w:r>
        <w:rPr>
          <w:sz w:val="20"/>
          <w:szCs w:val="20"/>
          <w:rtl/>
        </w:rPr>
        <w:t xml:space="preserve">. מסופר שם שהפעילים היהודים הדתיים התאכזבו מאוד: הם חשבו שהשניים באו בעקבות פנייתם החשאית לאחיהם לדת ברחבי מערב אירופה לעורר את הציבור נגד הפוגרומים שנתמכו בידי ממשלת רוסיה – פנייה שבוצעה ביעילות בהנחיית גדולי התורה. סר </w:t>
      </w:r>
      <w:proofErr w:type="spellStart"/>
      <w:r>
        <w:rPr>
          <w:sz w:val="20"/>
          <w:szCs w:val="20"/>
          <w:rtl/>
        </w:rPr>
        <w:t>מונטגיו</w:t>
      </w:r>
      <w:proofErr w:type="spellEnd"/>
      <w:r>
        <w:rPr>
          <w:sz w:val="20"/>
          <w:szCs w:val="20"/>
          <w:rtl/>
        </w:rPr>
        <w:t xml:space="preserve"> גם לא נטה חסד ליהודים שהתיישבו בארץ ישראל, ובשובו מביקור שם פרסם בעיתון דיווח משמיץ, שעליו השיב סר משה </w:t>
      </w:r>
      <w:proofErr w:type="spellStart"/>
      <w:r>
        <w:rPr>
          <w:sz w:val="20"/>
          <w:szCs w:val="20"/>
          <w:rtl/>
        </w:rPr>
        <w:t>מונטיפיורי</w:t>
      </w:r>
      <w:proofErr w:type="spellEnd"/>
      <w:r>
        <w:rPr>
          <w:sz w:val="20"/>
          <w:szCs w:val="20"/>
          <w:rtl/>
        </w:rPr>
        <w:t xml:space="preserve">; ראה “שמואל בדורו” (עמ׳ </w:t>
      </w:r>
      <w:r>
        <w:rPr>
          <w:sz w:val="20"/>
          <w:szCs w:val="20"/>
          <w:rtl/>
        </w:rPr>
        <w:fldChar w:fldCharType="begin" w:dirty="true"/>
      </w:r>
      <w:r>
        <w:rPr>
          <w:sz w:val="20"/>
          <w:szCs w:val="20"/>
          <w:rtl/>
        </w:rPr>
        <w:instrText xml:space="preserve"> PAGEREF pr_f_3727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הערת שוליים </w:t>
      </w:r>
      <w:r>
        <w:rPr>
          <w:sz w:val="20"/>
          <w:szCs w:val="20"/>
          <w:rtl/>
        </w:rPr>
        <w:fldChar w:fldCharType="begin" w:dirty="true"/>
      </w:r>
      <w:r>
        <w:rPr>
          <w:sz w:val="20"/>
          <w:szCs w:val="20"/>
          <w:rtl/>
        </w:rPr>
        <w:instrText xml:space="preserve"> NOTEREF pr_f_3727 \h </w:instrText>
      </w:r>
      <w:r>
        <w:rPr>
          <w:sz w:val="20"/>
          <w:szCs w:val="20"/>
          <w:rtl/>
        </w:rPr>
      </w:r>
      <w:r>
        <w:rPr>
          <w:sz w:val="20"/>
          <w:szCs w:val="20"/>
          <w:rtl/>
        </w:rPr>
        <w:fldChar w:fldCharType="separate"/>
      </w:r>
      <w:r w:rsidR="007923E9">
        <w:rPr>
          <w:sz w:val="20"/>
          <w:szCs w:val="20"/>
          <w:rtl/>
        </w:rPr>
        <w:t>804</w:t>
      </w:r>
      <w:r>
        <w:rPr>
          <w:sz w:val="20"/>
          <w:szCs w:val="20"/>
          <w:rtl/>
        </w:rPr>
        <w:fldChar w:fldCharType="end"/>
      </w:r>
      <w:r>
        <w:rPr>
          <w:sz w:val="20"/>
          <w:szCs w:val="20"/>
          <w:rtl/>
        </w:rPr>
        <w:t xml:space="preserve">), עמ׳ </w:t>
      </w:r>
      <w:proofErr w:type="spellStart"/>
      <w:r>
        <w:rPr>
          <w:sz w:val="20"/>
          <w:szCs w:val="20"/>
          <w:rtl/>
        </w:rPr>
        <w:t>קכו</w:t>
      </w:r>
      <w:proofErr w:type="spellEnd"/>
      <w:r>
        <w:rPr>
          <w:sz w:val="20"/>
          <w:szCs w:val="20"/>
          <w:rtl/>
        </w:rPr>
        <w:t>.</w:t>
      </w:r>
    </w:p>
  </w:footnote>
  <w:footnote w:id="4182">
    <w:p w14:paraId="57A9FD46" w14:textId="77777777" w:rsidR="00AB3647" w:rsidRDefault="00000000">
      <w:pPr>
        <w:spacing w:after="0" w:before="0"/>
        <w:jc w:val="both"/>
      </w:pPr>
      <w:r>
        <w:rPr>
          <w:sz w:val="20"/>
          <w:szCs w:val="20"/>
          <w:rtl/>
        </w:rPr>
        <w:footnoteRef/>
      </w:r>
      <w:r>
        <w:rPr>
          <w:sz w:val="20"/>
          <w:szCs w:val="20"/>
          <w:rtl/>
        </w:rPr>
        <w:t xml:space="preserve">. על סמך הרכב הוועד, ועל סמך רשימה של עשר ישיבות שלפי אחד המכתבים סבלו מאוד מן המהפכה נגד הצאר ב־1905 – “ישיבות עיקריות, כמו </w:t>
      </w:r>
      <w:proofErr w:type="spellStart"/>
      <w:r>
        <w:rPr>
          <w:sz w:val="20"/>
          <w:szCs w:val="20"/>
          <w:rtl/>
        </w:rPr>
        <w:t>וולוז׳ין</w:t>
      </w:r>
      <w:proofErr w:type="spellEnd"/>
      <w:r>
        <w:rPr>
          <w:sz w:val="20"/>
          <w:szCs w:val="20"/>
          <w:rtl/>
        </w:rPr>
        <w:t xml:space="preserve">, </w:t>
      </w:r>
      <w:proofErr w:type="spellStart"/>
      <w:r>
        <w:rPr>
          <w:sz w:val="20"/>
          <w:szCs w:val="20"/>
          <w:rtl/>
        </w:rPr>
        <w:t>טלז</w:t>
      </w:r>
      <w:proofErr w:type="spellEnd"/>
      <w:r>
        <w:rPr>
          <w:sz w:val="20"/>
          <w:szCs w:val="20"/>
          <w:rtl/>
        </w:rPr>
        <w:t xml:space="preserve">, </w:t>
      </w:r>
      <w:proofErr w:type="spellStart"/>
      <w:r>
        <w:rPr>
          <w:sz w:val="20"/>
          <w:szCs w:val="20"/>
          <w:rtl/>
        </w:rPr>
        <w:t>ליובאוויטש</w:t>
      </w:r>
      <w:proofErr w:type="spellEnd"/>
      <w:r>
        <w:rPr>
          <w:sz w:val="20"/>
          <w:szCs w:val="20"/>
          <w:rtl/>
        </w:rPr>
        <w:t xml:space="preserve">, </w:t>
      </w:r>
      <w:proofErr w:type="spellStart"/>
      <w:r>
        <w:rPr>
          <w:sz w:val="20"/>
          <w:szCs w:val="20"/>
          <w:rtl/>
        </w:rPr>
        <w:t>מיר</w:t>
      </w:r>
      <w:proofErr w:type="spellEnd"/>
      <w:r>
        <w:rPr>
          <w:sz w:val="20"/>
          <w:szCs w:val="20"/>
          <w:rtl/>
        </w:rPr>
        <w:t xml:space="preserve"> </w:t>
      </w:r>
      <w:proofErr w:type="spellStart"/>
      <w:r>
        <w:rPr>
          <w:sz w:val="20"/>
          <w:szCs w:val="20"/>
          <w:rtl/>
        </w:rPr>
        <w:t>ולומז׳ה</w:t>
      </w:r>
      <w:proofErr w:type="spellEnd"/>
      <w:r>
        <w:rPr>
          <w:sz w:val="20"/>
          <w:szCs w:val="20"/>
          <w:rtl/>
        </w:rPr>
        <w:t xml:space="preserve">, שתיים </w:t>
      </w:r>
      <w:proofErr w:type="spellStart"/>
      <w:r>
        <w:rPr>
          <w:sz w:val="20"/>
          <w:szCs w:val="20"/>
          <w:rtl/>
        </w:rPr>
        <w:t>בסלבודקה</w:t>
      </w:r>
      <w:proofErr w:type="spellEnd"/>
      <w:r>
        <w:rPr>
          <w:sz w:val="20"/>
          <w:szCs w:val="20"/>
          <w:rtl/>
        </w:rPr>
        <w:t xml:space="preserve">, הכולל בקובנה ועוד כמה ישיבות גדולות, כגון </w:t>
      </w:r>
      <w:proofErr w:type="spellStart"/>
      <w:r>
        <w:rPr>
          <w:sz w:val="20"/>
          <w:szCs w:val="20"/>
          <w:rtl/>
        </w:rPr>
        <w:t>סלוצק</w:t>
      </w:r>
      <w:proofErr w:type="spellEnd"/>
      <w:r>
        <w:rPr>
          <w:sz w:val="20"/>
          <w:szCs w:val="20"/>
          <w:rtl/>
        </w:rPr>
        <w:t xml:space="preserve"> </w:t>
      </w:r>
      <w:proofErr w:type="spellStart"/>
      <w:r>
        <w:rPr>
          <w:sz w:val="20"/>
          <w:szCs w:val="20"/>
          <w:rtl/>
        </w:rPr>
        <w:t>וקרינק</w:t>
      </w:r>
      <w:proofErr w:type="spellEnd"/>
      <w:r>
        <w:rPr>
          <w:sz w:val="20"/>
          <w:szCs w:val="20"/>
          <w:rtl/>
        </w:rPr>
        <w:t xml:space="preserve">” – סביר שחמש הישיבות שהוועד המליץ עליהן היו: </w:t>
      </w:r>
      <w:proofErr w:type="spellStart"/>
      <w:r>
        <w:rPr>
          <w:sz w:val="20"/>
          <w:szCs w:val="20"/>
          <w:rtl/>
        </w:rPr>
        <w:t>וולוז׳ין</w:t>
      </w:r>
      <w:proofErr w:type="spellEnd"/>
      <w:r>
        <w:rPr>
          <w:sz w:val="20"/>
          <w:szCs w:val="20"/>
          <w:rtl/>
        </w:rPr>
        <w:t xml:space="preserve"> המחודשת, בראשות חותנו של ר׳ חיים </w:t>
      </w:r>
      <w:proofErr w:type="spellStart"/>
      <w:r>
        <w:rPr>
          <w:sz w:val="20"/>
          <w:szCs w:val="20"/>
          <w:rtl/>
        </w:rPr>
        <w:t>סולובייצ׳יק</w:t>
      </w:r>
      <w:proofErr w:type="spellEnd"/>
      <w:r>
        <w:rPr>
          <w:sz w:val="20"/>
          <w:szCs w:val="20"/>
          <w:rtl/>
        </w:rPr>
        <w:t xml:space="preserve">, ר׳ רפאל שפירא; </w:t>
      </w:r>
      <w:proofErr w:type="spellStart"/>
      <w:r>
        <w:rPr>
          <w:sz w:val="20"/>
          <w:szCs w:val="20"/>
          <w:rtl/>
        </w:rPr>
        <w:t>טלז</w:t>
      </w:r>
      <w:proofErr w:type="spellEnd"/>
      <w:r>
        <w:rPr>
          <w:sz w:val="20"/>
          <w:szCs w:val="20"/>
          <w:rtl/>
        </w:rPr>
        <w:t xml:space="preserve">; </w:t>
      </w:r>
      <w:proofErr w:type="spellStart"/>
      <w:r>
        <w:rPr>
          <w:sz w:val="20"/>
          <w:szCs w:val="20"/>
          <w:rtl/>
        </w:rPr>
        <w:t>מיר</w:t>
      </w:r>
      <w:proofErr w:type="spellEnd"/>
      <w:r>
        <w:rPr>
          <w:sz w:val="20"/>
          <w:szCs w:val="20"/>
          <w:rtl/>
        </w:rPr>
        <w:t xml:space="preserve">, הסמוכה הן למינסק של ר׳ לייזר </w:t>
      </w:r>
      <w:proofErr w:type="spellStart"/>
      <w:r>
        <w:rPr>
          <w:sz w:val="20"/>
          <w:szCs w:val="20"/>
          <w:rtl/>
        </w:rPr>
        <w:t>רבינוביץ</w:t>
      </w:r>
      <w:proofErr w:type="spellEnd"/>
      <w:r>
        <w:rPr>
          <w:sz w:val="20"/>
          <w:szCs w:val="20"/>
          <w:rtl/>
        </w:rPr>
        <w:t xml:space="preserve"> והן לווילנה של ר׳ </w:t>
      </w:r>
      <w:proofErr w:type="spellStart"/>
      <w:r>
        <w:rPr>
          <w:sz w:val="20"/>
          <w:szCs w:val="20"/>
          <w:rtl/>
        </w:rPr>
        <w:t>חיים־עוזר</w:t>
      </w:r>
      <w:proofErr w:type="spellEnd"/>
      <w:r>
        <w:rPr>
          <w:sz w:val="20"/>
          <w:szCs w:val="20"/>
          <w:rtl/>
        </w:rPr>
        <w:t xml:space="preserve"> </w:t>
      </w:r>
      <w:proofErr w:type="spellStart"/>
      <w:r>
        <w:rPr>
          <w:sz w:val="20"/>
          <w:szCs w:val="20"/>
          <w:rtl/>
        </w:rPr>
        <w:t>גרודזנסקי</w:t>
      </w:r>
      <w:proofErr w:type="spellEnd"/>
      <w:r>
        <w:rPr>
          <w:sz w:val="20"/>
          <w:szCs w:val="20"/>
          <w:rtl/>
        </w:rPr>
        <w:t xml:space="preserve">; וכנסת בית יצחק וכולל קובנה, בתחום </w:t>
      </w:r>
      <w:proofErr w:type="spellStart"/>
      <w:r>
        <w:rPr>
          <w:sz w:val="20"/>
          <w:szCs w:val="20"/>
          <w:rtl/>
        </w:rPr>
        <w:t>רבנותו</w:t>
      </w:r>
      <w:proofErr w:type="spellEnd"/>
      <w:r>
        <w:rPr>
          <w:sz w:val="20"/>
          <w:szCs w:val="20"/>
          <w:rtl/>
        </w:rPr>
        <w:t xml:space="preserve"> של ר׳ </w:t>
      </w:r>
      <w:proofErr w:type="spellStart"/>
      <w:r>
        <w:rPr>
          <w:sz w:val="20"/>
          <w:szCs w:val="20"/>
          <w:rtl/>
        </w:rPr>
        <w:t>צבי־הירש</w:t>
      </w:r>
      <w:proofErr w:type="spellEnd"/>
      <w:r>
        <w:rPr>
          <w:sz w:val="20"/>
          <w:szCs w:val="20"/>
          <w:rtl/>
        </w:rPr>
        <w:t xml:space="preserve"> </w:t>
      </w:r>
      <w:proofErr w:type="spellStart"/>
      <w:r>
        <w:rPr>
          <w:sz w:val="20"/>
          <w:szCs w:val="20"/>
          <w:rtl/>
        </w:rPr>
        <w:t>רבינוביץ</w:t>
      </w:r>
      <w:proofErr w:type="spellEnd"/>
      <w:r>
        <w:rPr>
          <w:sz w:val="20"/>
          <w:szCs w:val="20"/>
          <w:rtl/>
        </w:rPr>
        <w:t>, רבה של קובנה, ובאישורו.</w:t>
      </w:r>
    </w:p>
  </w:footnote>
  <w:footnote w:id="4183">
    <w:p w14:paraId="2F6651F4" w14:textId="77777777" w:rsidR="00AB3647" w:rsidRDefault="00000000">
      <w:pPr>
        <w:spacing w:after="0" w:before="0"/>
        <w:jc w:val="both"/>
      </w:pPr>
      <w:r>
        <w:rPr>
          <w:sz w:val="20"/>
          <w:szCs w:val="20"/>
          <w:rtl/>
        </w:rPr>
        <w:footnoteRef/>
      </w:r>
      <w:r>
        <w:rPr>
          <w:sz w:val="20"/>
          <w:szCs w:val="20"/>
          <w:rtl/>
        </w:rPr>
        <w:t>. סיני, כרך צ״א, ניסן–אלול תשמ״א, עמ׳ קסט–</w:t>
      </w:r>
      <w:proofErr w:type="spellStart"/>
      <w:r>
        <w:rPr>
          <w:sz w:val="20"/>
          <w:szCs w:val="20"/>
          <w:rtl/>
        </w:rPr>
        <w:t>קעג</w:t>
      </w:r>
      <w:proofErr w:type="spellEnd"/>
      <w:r>
        <w:rPr>
          <w:sz w:val="20"/>
          <w:szCs w:val="20"/>
          <w:rtl/>
        </w:rPr>
        <w:t>.</w:t>
      </w:r>
    </w:p>
  </w:footnote>
  <w:footnote w:id="4184">
    <w:p w14:paraId="0362CA39" w14:textId="77777777" w:rsidR="00AB3647" w:rsidRDefault="00000000">
      <w:pPr>
        <w:spacing w:after="0" w:before="0"/>
        <w:jc w:val="both"/>
      </w:pPr>
      <w:r>
        <w:rPr>
          <w:sz w:val="20"/>
          <w:szCs w:val="20"/>
          <w:rtl/>
        </w:rPr>
        <w:footnoteRef/>
      </w:r>
      <w:r>
        <w:rPr>
          <w:sz w:val="20"/>
          <w:szCs w:val="20"/>
          <w:rtl/>
        </w:rPr>
        <w:t xml:space="preserve">. השווה עמ׳ </w:t>
      </w:r>
      <w:proofErr w:type="spellStart"/>
      <w:r>
        <w:rPr>
          <w:sz w:val="20"/>
          <w:szCs w:val="20"/>
          <w:rtl/>
        </w:rPr>
        <w:t>קפג</w:t>
      </w:r>
      <w:proofErr w:type="spellEnd"/>
      <w:r>
        <w:rPr>
          <w:sz w:val="20"/>
          <w:szCs w:val="20"/>
          <w:rtl/>
        </w:rPr>
        <w:t xml:space="preserve"> במאמרו של ר׳ דב היימן, “מצב היהדות הרבנות והכשרות בלונדון”, </w:t>
      </w:r>
      <w:proofErr w:type="spellStart"/>
      <w:r>
        <w:rPr>
          <w:sz w:val="20"/>
          <w:szCs w:val="20"/>
          <w:rtl/>
        </w:rPr>
        <w:t>ב“סיני</w:t>
      </w:r>
      <w:proofErr w:type="spellEnd"/>
      <w:r>
        <w:rPr>
          <w:sz w:val="20"/>
          <w:szCs w:val="20"/>
          <w:rtl/>
        </w:rPr>
        <w:t>”, כרך צ״ד, תשרי–אדר ב׳ תשמ״ב. השווה גם “שנות דור ודור” (סוף נספח ז לעיל), עמ׳ רנה–</w:t>
      </w:r>
      <w:proofErr w:type="spellStart"/>
      <w:r>
        <w:rPr>
          <w:sz w:val="20"/>
          <w:szCs w:val="20"/>
          <w:rtl/>
        </w:rPr>
        <w:t>רנז</w:t>
      </w:r>
      <w:proofErr w:type="spellEnd"/>
      <w:r>
        <w:rPr>
          <w:sz w:val="20"/>
          <w:szCs w:val="20"/>
          <w:rtl/>
        </w:rPr>
        <w:t xml:space="preserve">, שמובא שם מכתב שכתב </w:t>
      </w:r>
      <w:proofErr w:type="spellStart"/>
      <w:r>
        <w:rPr>
          <w:sz w:val="20"/>
          <w:szCs w:val="20"/>
          <w:rtl/>
        </w:rPr>
        <w:t>החפץ־חיים</w:t>
      </w:r>
      <w:proofErr w:type="spellEnd"/>
      <w:r>
        <w:rPr>
          <w:sz w:val="20"/>
          <w:szCs w:val="20"/>
          <w:rtl/>
        </w:rPr>
        <w:t xml:space="preserve"> </w:t>
      </w:r>
      <w:proofErr w:type="spellStart"/>
      <w:r>
        <w:rPr>
          <w:sz w:val="20"/>
          <w:szCs w:val="20"/>
          <w:rtl/>
        </w:rPr>
        <w:t>בתרנ״ג</w:t>
      </w:r>
      <w:proofErr w:type="spellEnd"/>
      <w:r>
        <w:rPr>
          <w:sz w:val="20"/>
          <w:szCs w:val="20"/>
          <w:rtl/>
        </w:rPr>
        <w:t>, שנתיים אחרי שיצאו הרבנים הגדולים נגד הארגון הפורש. במכתב הוא כותב לשואל מאנשי “מחזיקי הדת” שאפשר לסייג את התנגדות הרבנים, שכן לא ידעו על בעיות הכשרות הממשיות שתיאר השואל בבית המטבחיים של הממסד הישן; אבל בה בעת הוא מזהיר שלא לפגוע בכבודו של הרב הראשי, ומדגיש שעל חברי הקבוצה החדשה להתרחק ממחלוקת בכל מחיר.</w:t>
      </w:r>
    </w:p>
    <w:p w14:paraId="7FF4923E" w14:textId="77777777" w:rsidR="00AB3647" w:rsidRDefault="00000000">
      <w:pPr>
        <w:spacing w:after="0" w:before="0"/>
        <w:jc w:val="both"/>
      </w:pPr>
      <w:r>
        <w:rPr>
          <w:sz w:val="20"/>
          <w:szCs w:val="20"/>
          <w:rtl/>
        </w:rPr>
        <w:t xml:space="preserve">קשריו של הרב אדלר עם מזרח אירופה מוקדמים אף יותר, כפי שעולה מכך ששמו נרשם, יחד עם אביו, בין מי שסייעו למשפחת ראם בהוצאת הש״ס של וילנה </w:t>
      </w:r>
      <w:proofErr w:type="spellStart"/>
      <w:r>
        <w:rPr>
          <w:sz w:val="20"/>
          <w:szCs w:val="20"/>
          <w:rtl/>
        </w:rPr>
        <w:t>בתרמ״א</w:t>
      </w:r>
      <w:proofErr w:type="spellEnd"/>
      <w:r>
        <w:rPr>
          <w:sz w:val="20"/>
          <w:szCs w:val="20"/>
          <w:rtl/>
        </w:rPr>
        <w:t xml:space="preserve"> – ראה בסוף כרך מסכת נידה.</w:t>
      </w:r>
    </w:p>
  </w:footnote>
  <w:footnote w:id="4185">
    <w:p w14:paraId="649B54CC" w14:textId="77777777" w:rsidR="00AB3647" w:rsidRDefault="00000000">
      <w:pPr>
        <w:spacing w:after="0" w:before="0"/>
        <w:jc w:val="both"/>
      </w:pPr>
      <w:r>
        <w:rPr>
          <w:sz w:val="20"/>
          <w:szCs w:val="20"/>
          <w:rtl/>
        </w:rPr>
        <w:footnoteRef/>
      </w:r>
      <w:r>
        <w:rPr>
          <w:sz w:val="20"/>
          <w:szCs w:val="20"/>
          <w:rtl/>
        </w:rPr>
        <w:t>. ריאיון מ־31 בדצמבר 1991.</w:t>
      </w:r>
    </w:p>
  </w:footnote>
  <w:footnote w:id="4186">
    <w:p w14:paraId="3611151D" w14:textId="77777777" w:rsidR="00AB3647" w:rsidRDefault="00000000">
      <w:pPr>
        <w:spacing w:after="0" w:before="0"/>
        <w:jc w:val="both"/>
      </w:pPr>
      <w:r>
        <w:rPr>
          <w:sz w:val="20"/>
          <w:szCs w:val="20"/>
          <w:rtl/>
        </w:rPr>
        <w:footnoteRef/>
      </w:r>
      <w:r>
        <w:rPr>
          <w:sz w:val="20"/>
          <w:szCs w:val="20"/>
          <w:rtl/>
        </w:rPr>
        <w:t>. השווה פרק 4, סעיף 2, בפסקה הפותחת “איזה כאב היה על ר׳ לייזר לשאת”.</w:t>
      </w:r>
    </w:p>
  </w:footnote>
  <w:footnote w:id="4187">
    <w:p w14:paraId="4863CECE" w14:textId="77777777" w:rsidR="00AB3647" w:rsidRDefault="00000000">
      <w:pPr>
        <w:spacing w:after="0" w:before="0"/>
        <w:jc w:val="both"/>
      </w:pPr>
      <w:r>
        <w:rPr>
          <w:sz w:val="20"/>
          <w:szCs w:val="20"/>
          <w:rtl/>
        </w:rPr>
        <w:footnoteRef/>
      </w:r>
      <w:r>
        <w:rPr>
          <w:sz w:val="20"/>
          <w:szCs w:val="20"/>
          <w:rtl/>
        </w:rPr>
        <w:t>. גיליון 32 (תשרי תשל״א). המאמר, ששמו ההולם הוא “</w:t>
      </w:r>
      <w:proofErr w:type="spellStart"/>
      <w:r>
        <w:rPr>
          <w:sz w:val="20"/>
          <w:szCs w:val="20"/>
          <w:rtl/>
        </w:rPr>
        <w:t>רגלוהי</w:t>
      </w:r>
      <w:proofErr w:type="spellEnd"/>
      <w:r>
        <w:rPr>
          <w:sz w:val="20"/>
          <w:szCs w:val="20"/>
          <w:rtl/>
        </w:rPr>
        <w:t xml:space="preserve"> דבר </w:t>
      </w:r>
      <w:proofErr w:type="spellStart"/>
      <w:r>
        <w:rPr>
          <w:sz w:val="20"/>
          <w:szCs w:val="20"/>
          <w:rtl/>
        </w:rPr>
        <w:t>אינש</w:t>
      </w:r>
      <w:proofErr w:type="spellEnd"/>
      <w:r>
        <w:rPr>
          <w:sz w:val="20"/>
          <w:szCs w:val="20"/>
          <w:rtl/>
        </w:rPr>
        <w:t xml:space="preserve"> אינון ערבין ביה” (ראה סוכה נ״ג ע״א), מצוטט גם </w:t>
      </w:r>
      <w:proofErr w:type="spellStart"/>
      <w:r>
        <w:rPr>
          <w:sz w:val="20"/>
          <w:szCs w:val="20"/>
          <w:rtl/>
        </w:rPr>
        <w:t>ב“גיבורי</w:t>
      </w:r>
      <w:proofErr w:type="spellEnd"/>
      <w:r>
        <w:rPr>
          <w:sz w:val="20"/>
          <w:szCs w:val="20"/>
          <w:rtl/>
        </w:rPr>
        <w:t xml:space="preserve"> האורתודוקסיה”, עמ׳ 141–143, בשם מחברו, אבל בלי ציון כתב העת שבו הופיע, “הדרום”.</w:t>
      </w:r>
    </w:p>
  </w:footnote>
  <w:footnote w:id="4188">
    <w:p w14:paraId="38018370" w14:textId="77777777" w:rsidR="00AB3647" w:rsidRDefault="00000000">
      <w:pPr>
        <w:spacing w:after="0" w:before="0"/>
        <w:jc w:val="both"/>
      </w:pPr>
      <w:r>
        <w:rPr>
          <w:sz w:val="20"/>
          <w:szCs w:val="20"/>
          <w:rtl/>
        </w:rPr>
        <w:footnoteRef/>
      </w:r>
      <w:r>
        <w:rPr>
          <w:sz w:val="20"/>
          <w:szCs w:val="20"/>
          <w:rtl/>
        </w:rPr>
        <w:t>. שם, עמ׳ 147.</w:t>
      </w:r>
    </w:p>
  </w:footnote>
  <w:footnote w:id="4189">
    <w:p w14:paraId="2D1C27EB" w14:textId="77777777" w:rsidR="00AB3647" w:rsidRDefault="00000000">
      <w:pPr>
        <w:spacing w:after="0" w:before="0"/>
        <w:jc w:val="both"/>
      </w:pPr>
      <w:r>
        <w:rPr>
          <w:sz w:val="20"/>
          <w:szCs w:val="20"/>
          <w:rtl/>
        </w:rPr>
        <w:footnoteRef/>
      </w:r>
      <w:r>
        <w:rPr>
          <w:sz w:val="20"/>
          <w:szCs w:val="20"/>
          <w:rtl/>
        </w:rPr>
        <w:t xml:space="preserve">. </w:t>
      </w:r>
      <w:proofErr w:type="spellStart"/>
      <w:r>
        <w:rPr>
          <w:sz w:val="20"/>
          <w:szCs w:val="20"/>
          <w:rtl/>
        </w:rPr>
        <w:t>ב“גיבורי</w:t>
      </w:r>
      <w:proofErr w:type="spellEnd"/>
      <w:r>
        <w:rPr>
          <w:sz w:val="20"/>
          <w:szCs w:val="20"/>
          <w:rtl/>
        </w:rPr>
        <w:t xml:space="preserve"> האורתודוקסיה”, עמ׳ 142, מסופר שר׳ לייזר גורדון רק לא היה מרוצה מידיעותיו של השוחט בהלכות שחיטה. השווה גם הערה 127 לעיל, על דוגמאות נוספות להתבטאויות לא מוצלחות של ר׳ לייזר.</w:t>
      </w:r>
    </w:p>
  </w:footnote>
  <w:footnote w:id="4190">
    <w:p w14:paraId="2C34401C" w14:textId="77777777" w:rsidR="00AB3647" w:rsidRDefault="00000000">
      <w:pPr>
        <w:spacing w:after="0" w:before="0"/>
        <w:jc w:val="both"/>
      </w:pPr>
      <w:r>
        <w:rPr>
          <w:sz w:val="20"/>
          <w:szCs w:val="20"/>
          <w:rtl/>
        </w:rPr>
        <w:footnoteRef/>
      </w:r>
      <w:r>
        <w:rPr>
          <w:sz w:val="20"/>
          <w:szCs w:val="20"/>
          <w:rtl/>
        </w:rPr>
        <w:t>. השווה לפרק 1, הערה 19.</w:t>
      </w:r>
    </w:p>
  </w:footnote>
  <w:footnote w:id="4191">
    <w:p w14:paraId="6B8C2E90" w14:textId="77777777" w:rsidR="00AB3647" w:rsidRDefault="00000000">
      <w:pPr>
        <w:spacing w:after="0" w:before="0"/>
        <w:jc w:val="both"/>
      </w:pPr>
      <w:r>
        <w:rPr>
          <w:sz w:val="20"/>
          <w:szCs w:val="20"/>
          <w:rtl/>
        </w:rPr>
        <w:footnoteRef/>
      </w:r>
      <w:r>
        <w:rPr>
          <w:sz w:val="20"/>
          <w:szCs w:val="20"/>
          <w:rtl/>
        </w:rPr>
        <w:t xml:space="preserve">. לפי מכתבו של ר׳ </w:t>
      </w:r>
      <w:proofErr w:type="spellStart"/>
      <w:r>
        <w:rPr>
          <w:sz w:val="20"/>
          <w:szCs w:val="20"/>
          <w:rtl/>
        </w:rPr>
        <w:t>צבי־הירש</w:t>
      </w:r>
      <w:proofErr w:type="spellEnd"/>
      <w:r>
        <w:rPr>
          <w:sz w:val="20"/>
          <w:szCs w:val="20"/>
          <w:rtl/>
        </w:rPr>
        <w:t xml:space="preserve"> פרבר </w:t>
      </w:r>
      <w:proofErr w:type="spellStart"/>
      <w:r>
        <w:rPr>
          <w:sz w:val="20"/>
          <w:szCs w:val="20"/>
          <w:rtl/>
        </w:rPr>
        <w:t>ב“ישורון</w:t>
      </w:r>
      <w:proofErr w:type="spellEnd"/>
      <w:r>
        <w:rPr>
          <w:sz w:val="20"/>
          <w:szCs w:val="20"/>
          <w:rtl/>
        </w:rPr>
        <w:t xml:space="preserve">” (הפסקה השנייה של נספח ז לעיל), אות ז, למד ר׳ שלמה אלישיב, בעל הלשם, קבלה אצל הרב הזה </w:t>
      </w:r>
      <w:proofErr w:type="spellStart"/>
      <w:r>
        <w:rPr>
          <w:sz w:val="20"/>
          <w:szCs w:val="20"/>
          <w:rtl/>
        </w:rPr>
        <w:t>מטלז</w:t>
      </w:r>
      <w:proofErr w:type="spellEnd"/>
      <w:r>
        <w:rPr>
          <w:sz w:val="20"/>
          <w:szCs w:val="20"/>
          <w:rtl/>
        </w:rPr>
        <w:t>.</w:t>
      </w:r>
    </w:p>
  </w:footnote>
  <w:footnote w:id="4192">
    <w:p w14:paraId="7BE33395" w14:textId="77777777" w:rsidR="00AB3647" w:rsidRDefault="00000000">
      <w:pPr>
        <w:spacing w:after="0" w:before="0"/>
        <w:jc w:val="both"/>
      </w:pPr>
      <w:r>
        <w:rPr>
          <w:sz w:val="20"/>
          <w:szCs w:val="20"/>
          <w:rtl/>
        </w:rPr>
        <w:footnoteRef/>
      </w:r>
      <w:r>
        <w:rPr>
          <w:sz w:val="20"/>
          <w:szCs w:val="20"/>
          <w:rtl/>
        </w:rPr>
        <w:t xml:space="preserve">. השווה הפסקה השנייה של נספח </w:t>
      </w:r>
      <w:proofErr w:type="spellStart"/>
      <w:r>
        <w:rPr>
          <w:sz w:val="20"/>
          <w:szCs w:val="20"/>
          <w:rtl/>
        </w:rPr>
        <w:t>יב</w:t>
      </w:r>
      <w:proofErr w:type="spellEnd"/>
      <w:r>
        <w:rPr>
          <w:sz w:val="20"/>
          <w:szCs w:val="20"/>
          <w:rtl/>
        </w:rPr>
        <w:t xml:space="preserve"> להלן. מובאים שם דברי אבי על דיין </w:t>
      </w:r>
      <w:proofErr w:type="spellStart"/>
      <w:r>
        <w:rPr>
          <w:sz w:val="20"/>
          <w:szCs w:val="20"/>
          <w:rtl/>
        </w:rPr>
        <w:t>בטלז</w:t>
      </w:r>
      <w:proofErr w:type="spellEnd"/>
      <w:r>
        <w:rPr>
          <w:sz w:val="20"/>
          <w:szCs w:val="20"/>
          <w:rtl/>
        </w:rPr>
        <w:t xml:space="preserve"> ששמו לא נזכר, ואולי שאף לרבנות </w:t>
      </w:r>
      <w:proofErr w:type="spellStart"/>
      <w:r>
        <w:rPr>
          <w:sz w:val="20"/>
          <w:szCs w:val="20"/>
          <w:rtl/>
        </w:rPr>
        <w:t>טלז</w:t>
      </w:r>
      <w:proofErr w:type="spellEnd"/>
      <w:r>
        <w:rPr>
          <w:sz w:val="20"/>
          <w:szCs w:val="20"/>
          <w:rtl/>
        </w:rPr>
        <w:t xml:space="preserve">, שניסה לחסום את כל המועמדים לרבנות העיר, והסיפור כיצד עקפו אותו. ייתכן שהיה זה ר׳ </w:t>
      </w:r>
      <w:proofErr w:type="spellStart"/>
      <w:r>
        <w:rPr>
          <w:sz w:val="20"/>
          <w:szCs w:val="20"/>
          <w:rtl/>
        </w:rPr>
        <w:t>אברהם־אבא</w:t>
      </w:r>
      <w:proofErr w:type="spellEnd"/>
      <w:r>
        <w:rPr>
          <w:sz w:val="20"/>
          <w:szCs w:val="20"/>
          <w:rtl/>
        </w:rPr>
        <w:t xml:space="preserve"> ורנר עצמו.</w:t>
      </w:r>
    </w:p>
  </w:footnote>
  <w:footnote w:id="4193">
    <w:p w14:paraId="563EE346" w14:textId="77777777" w:rsidR="00AB3647" w:rsidRDefault="00000000">
      <w:pPr>
        <w:spacing w:after="0" w:before="0"/>
        <w:jc w:val="both"/>
      </w:pPr>
      <w:r>
        <w:rPr>
          <w:sz w:val="20"/>
          <w:szCs w:val="20"/>
          <w:rtl/>
        </w:rPr>
        <w:footnoteRef/>
      </w:r>
      <w:r>
        <w:rPr>
          <w:sz w:val="20"/>
          <w:szCs w:val="20"/>
          <w:rtl/>
        </w:rPr>
        <w:t>. ראה את סוף הפסקה הקודמת.</w:t>
      </w:r>
    </w:p>
  </w:footnote>
  <w:footnote w:id="4194">
    <w:p w14:paraId="45A1CFEB" w14:textId="77777777" w:rsidR="00AB3647" w:rsidRDefault="00000000">
      <w:pPr>
        <w:spacing w:after="0" w:before="0"/>
        <w:jc w:val="both"/>
      </w:pPr>
      <w:r>
        <w:rPr>
          <w:sz w:val="20"/>
          <w:szCs w:val="20"/>
          <w:rtl/>
        </w:rPr>
        <w:footnoteRef/>
      </w:r>
      <w:r>
        <w:rPr>
          <w:sz w:val="20"/>
          <w:szCs w:val="20"/>
          <w:rtl/>
        </w:rPr>
        <w:t>. מיד עם בואו לשם היה מעורב בניסיון להקים את ארגון הכשרות העצמאי הנזכר לעיל.</w:t>
      </w:r>
    </w:p>
  </w:footnote>
  <w:footnote w:id="4195">
    <w:p w14:paraId="6BB23BE4" w14:textId="77777777" w:rsidR="00AB3647" w:rsidRDefault="00000000">
      <w:pPr>
        <w:spacing w:after="0" w:before="0"/>
        <w:jc w:val="both"/>
      </w:pPr>
      <w:r>
        <w:rPr>
          <w:sz w:val="20"/>
          <w:szCs w:val="20"/>
          <w:rtl/>
        </w:rPr>
        <w:footnoteRef/>
      </w:r>
      <w:r>
        <w:rPr>
          <w:sz w:val="20"/>
          <w:szCs w:val="20"/>
          <w:rtl/>
        </w:rPr>
        <w:t>. ריאיון מ־2 בספטמבר 1994.</w:t>
      </w:r>
    </w:p>
  </w:footnote>
  <w:footnote w:id="4196">
    <w:p w14:paraId="2FB08BA5" w14:textId="77777777" w:rsidR="00AB3647" w:rsidRDefault="00000000">
      <w:pPr>
        <w:spacing w:after="0" w:before="0"/>
        <w:jc w:val="both"/>
      </w:pPr>
      <w:r>
        <w:rPr>
          <w:sz w:val="20"/>
          <w:szCs w:val="20"/>
          <w:rtl/>
        </w:rPr>
        <w:footnoteRef/>
      </w:r>
      <w:r>
        <w:rPr>
          <w:sz w:val="20"/>
          <w:szCs w:val="20"/>
          <w:rtl/>
        </w:rPr>
        <w:t xml:space="preserve">. </w:t>
      </w:r>
      <w:proofErr w:type="spellStart"/>
      <w:r>
        <w:rPr>
          <w:sz w:val="20"/>
          <w:szCs w:val="20"/>
          <w:rtl/>
        </w:rPr>
        <w:t>מוינעשטער</w:t>
      </w:r>
      <w:proofErr w:type="spellEnd"/>
      <w:r>
        <w:rPr>
          <w:sz w:val="20"/>
          <w:szCs w:val="20"/>
          <w:rtl/>
        </w:rPr>
        <w:t xml:space="preserve"> </w:t>
      </w:r>
      <w:proofErr w:type="spellStart"/>
      <w:r>
        <w:rPr>
          <w:sz w:val="20"/>
          <w:szCs w:val="20"/>
          <w:rtl/>
        </w:rPr>
        <w:t>פאבלישינג</w:t>
      </w:r>
      <w:proofErr w:type="spellEnd"/>
      <w:r>
        <w:rPr>
          <w:sz w:val="20"/>
          <w:szCs w:val="20"/>
          <w:rtl/>
        </w:rPr>
        <w:t xml:space="preserve"> </w:t>
      </w:r>
      <w:proofErr w:type="spellStart"/>
      <w:r>
        <w:rPr>
          <w:sz w:val="20"/>
          <w:szCs w:val="20"/>
          <w:rtl/>
        </w:rPr>
        <w:t>קאמפ</w:t>
      </w:r>
      <w:proofErr w:type="spellEnd"/>
      <w:r>
        <w:rPr>
          <w:sz w:val="20"/>
          <w:szCs w:val="20"/>
          <w:rtl/>
        </w:rPr>
        <w:t xml:space="preserve">., ניו יורק</w:t>
      </w:r>
      <w:proofErr w:type="spellStart"/>
      <w:r>
        <w:rPr>
          <w:sz w:val="20"/>
          <w:szCs w:val="20"/>
          <w:rtl/>
        </w:rPr>
        <w:t xml:space="preserve"/>
      </w:r>
      <w:proofErr w:type="spellEnd"/>
      <w:r>
        <w:rPr>
          <w:sz w:val="20"/>
          <w:szCs w:val="20"/>
          <w:rtl/>
        </w:rPr>
        <w:t>, תשי״ב, עמ׳ 170.</w:t>
      </w:r>
    </w:p>
  </w:footnote>
  <w:footnote w:id="4197">
    <w:p w14:paraId="22EA0F7C" w14:textId="77777777" w:rsidR="00AB3647" w:rsidRDefault="00000000">
      <w:pPr>
        <w:spacing w:after="0" w:before="0"/>
        <w:jc w:val="both"/>
      </w:pPr>
      <w:r>
        <w:rPr>
          <w:sz w:val="20"/>
          <w:szCs w:val="20"/>
          <w:rtl/>
        </w:rPr>
        <w:footnoteRef/>
      </w:r>
      <w:r>
        <w:rPr>
          <w:sz w:val="20"/>
          <w:szCs w:val="20"/>
          <w:rtl/>
        </w:rPr>
        <w:t>. הפסקה הרביעית של נספח ט בפרק זה, עמ׳ 151.</w:t>
      </w:r>
    </w:p>
  </w:footnote>
  <w:footnote w:id="4198">
    <w:p w14:paraId="0860DA06" w14:textId="77777777" w:rsidR="00AB3647" w:rsidRDefault="00000000">
      <w:pPr>
        <w:spacing w:after="0" w:before="0"/>
        <w:jc w:val="both"/>
      </w:pPr>
      <w:r>
        <w:rPr>
          <w:sz w:val="20"/>
          <w:szCs w:val="20"/>
          <w:rtl/>
        </w:rPr>
        <w:footnoteRef/>
      </w:r>
      <w:r>
        <w:rPr>
          <w:sz w:val="20"/>
          <w:szCs w:val="20"/>
          <w:rtl/>
        </w:rPr>
        <w:t xml:space="preserve">. לפי המאמר </w:t>
      </w:r>
      <w:proofErr w:type="spellStart"/>
      <w:r>
        <w:rPr>
          <w:sz w:val="20"/>
          <w:szCs w:val="20"/>
          <w:rtl/>
        </w:rPr>
        <w:t>ב“גיבורי</w:t>
      </w:r>
      <w:proofErr w:type="spellEnd"/>
      <w:r>
        <w:rPr>
          <w:sz w:val="20"/>
          <w:szCs w:val="20"/>
          <w:rtl/>
        </w:rPr>
        <w:t xml:space="preserve"> האורתודוקסיה”.</w:t>
      </w:r>
    </w:p>
  </w:footnote>
  <w:footnote w:id="4199">
    <w:p w14:paraId="0698C0B8" w14:textId="77777777" w:rsidR="00AB3647" w:rsidRDefault="00000000">
      <w:pPr>
        <w:spacing w:after="0" w:before="0"/>
        <w:jc w:val="both"/>
      </w:pPr>
      <w:r>
        <w:rPr>
          <w:sz w:val="20"/>
          <w:szCs w:val="20"/>
          <w:rtl/>
        </w:rPr>
        <w:footnoteRef/>
      </w:r>
      <w:r>
        <w:rPr>
          <w:sz w:val="20"/>
          <w:szCs w:val="20"/>
          <w:rtl/>
        </w:rPr>
        <w:t>. ריאיון מ־31 ביולי 1994.</w:t>
      </w:r>
    </w:p>
  </w:footnote>
  <w:footnote w:id="4200">
    <w:p w14:paraId="2D261096" w14:textId="77777777" w:rsidR="00AB3647" w:rsidRDefault="00000000">
      <w:pPr>
        <w:spacing w:after="0" w:before="0"/>
        <w:jc w:val="both"/>
      </w:pPr>
      <w:r>
        <w:rPr>
          <w:sz w:val="20"/>
          <w:szCs w:val="20"/>
          <w:rtl/>
        </w:rPr>
        <w:footnoteRef/>
      </w:r>
      <w:r>
        <w:rPr>
          <w:sz w:val="20"/>
          <w:szCs w:val="20"/>
          <w:rtl/>
        </w:rPr>
        <w:t xml:space="preserve">. לפי ר׳ </w:t>
      </w:r>
      <w:proofErr w:type="spellStart"/>
      <w:r>
        <w:rPr>
          <w:sz w:val="20"/>
          <w:szCs w:val="20"/>
          <w:rtl/>
        </w:rPr>
        <w:t>אברהם־חיים</w:t>
      </w:r>
      <w:proofErr w:type="spellEnd"/>
      <w:r>
        <w:rPr>
          <w:sz w:val="20"/>
          <w:szCs w:val="20"/>
          <w:rtl/>
        </w:rPr>
        <w:t xml:space="preserve"> </w:t>
      </w:r>
      <w:proofErr w:type="spellStart"/>
      <w:r>
        <w:rPr>
          <w:sz w:val="20"/>
          <w:szCs w:val="20"/>
          <w:rtl/>
        </w:rPr>
        <w:t>פויער</w:t>
      </w:r>
      <w:proofErr w:type="spellEnd"/>
      <w:r>
        <w:rPr>
          <w:sz w:val="20"/>
          <w:szCs w:val="20"/>
          <w:rtl/>
        </w:rPr>
        <w:t>, השם מרי גורדון התפרסם לבסוף בחוגי הרפואה הבריטיים. אולם לא הצלחתי למצוא מידע נוסף עליה.</w:t>
      </w:r>
    </w:p>
  </w:footnote>
  <w:footnote w:id="4201">
    <w:p w14:paraId="285717BF" w14:textId="77777777" w:rsidR="00AB3647" w:rsidRDefault="00000000">
      <w:pPr>
        <w:spacing w:after="0" w:before="0"/>
        <w:jc w:val="both"/>
      </w:pPr>
      <w:r>
        <w:rPr>
          <w:sz w:val="20"/>
          <w:szCs w:val="20"/>
          <w:rtl/>
        </w:rPr>
        <w:footnoteRef/>
      </w:r>
      <w:r>
        <w:rPr>
          <w:sz w:val="20"/>
          <w:szCs w:val="20"/>
          <w:rtl/>
        </w:rPr>
        <w:t>. השווה לפרק 3, נספח טו.</w:t>
      </w:r>
    </w:p>
  </w:footnote>
  <w:footnote w:id="4202">
    <w:p w14:paraId="3036B847" w14:textId="77777777" w:rsidR="00AB3647" w:rsidRDefault="00000000">
      <w:pPr>
        <w:spacing w:after="0" w:before="0"/>
        <w:jc w:val="both"/>
      </w:pPr>
      <w:r>
        <w:rPr>
          <w:sz w:val="20"/>
          <w:szCs w:val="20"/>
          <w:rtl/>
        </w:rPr>
        <w:footnoteRef/>
      </w:r>
      <w:r>
        <w:rPr>
          <w:sz w:val="20"/>
          <w:szCs w:val="20"/>
          <w:rtl/>
        </w:rPr>
        <w:t xml:space="preserve">. “גיבורי האורתודוקסיה”, עמ׳ 150, מנפח את רשימת הרבנים המפורסמים שהשתתפו בהלוויית ר׳ לייזר, וכולל בה את </w:t>
      </w:r>
      <w:proofErr w:type="spellStart"/>
      <w:r>
        <w:rPr>
          <w:sz w:val="20"/>
          <w:szCs w:val="20"/>
          <w:rtl/>
        </w:rPr>
        <w:t>האדר״ת</w:t>
      </w:r>
      <w:proofErr w:type="spellEnd"/>
      <w:r>
        <w:rPr>
          <w:sz w:val="20"/>
          <w:szCs w:val="20"/>
          <w:rtl/>
        </w:rPr>
        <w:t xml:space="preserve"> (ראה פרק 1, נספח ו), שנפטר חמש שנים לפני ר׳ לייזר גורדון.</w:t>
      </w:r>
    </w:p>
  </w:footnote>
  <w:footnote w:id="4203">
    <w:p w14:paraId="3E4856FB" w14:textId="77777777" w:rsidR="00AB3647" w:rsidRDefault="00000000">
      <w:pPr>
        <w:spacing w:after="0" w:before="0"/>
        <w:jc w:val="both"/>
      </w:pPr>
      <w:r>
        <w:rPr>
          <w:sz w:val="20"/>
          <w:szCs w:val="20"/>
          <w:rtl/>
        </w:rPr>
        <w:footnoteRef/>
      </w:r>
      <w:r>
        <w:rPr>
          <w:sz w:val="20"/>
          <w:szCs w:val="20"/>
          <w:rtl/>
        </w:rPr>
        <w:t>. בראשית מ, טו.</w:t>
      </w:r>
    </w:p>
  </w:footnote>
  <w:footnote w:id="4204">
    <w:p w14:paraId="783DB731" w14:textId="77777777" w:rsidR="00AB3647" w:rsidRDefault="00000000">
      <w:pPr>
        <w:spacing w:after="0" w:before="0"/>
        <w:jc w:val="both"/>
      </w:pPr>
      <w:r>
        <w:rPr>
          <w:sz w:val="20"/>
          <w:szCs w:val="20"/>
          <w:rtl/>
        </w:rPr>
        <w:footnoteRef/>
      </w:r>
      <w:r>
        <w:rPr>
          <w:sz w:val="20"/>
          <w:szCs w:val="20"/>
          <w:rtl/>
        </w:rPr>
        <w:t>. ליטא, שחייה היהודיים היו עשירים לאין ערוך מאלה של אנגליה.</w:t>
      </w:r>
    </w:p>
  </w:footnote>
  <w:footnote w:id="4205">
    <w:p w14:paraId="72A9D519" w14:textId="77777777" w:rsidR="00AB3647" w:rsidRDefault="00000000">
      <w:pPr>
        <w:spacing w:after="0" w:before="0"/>
        <w:jc w:val="both"/>
      </w:pPr>
      <w:r>
        <w:rPr>
          <w:sz w:val="20"/>
          <w:szCs w:val="20"/>
          <w:rtl/>
        </w:rPr>
        <w:footnoteRef/>
      </w:r>
      <w:r>
        <w:rPr>
          <w:sz w:val="20"/>
          <w:szCs w:val="20"/>
          <w:rtl/>
        </w:rPr>
        <w:t xml:space="preserve">. היא מגזימה מעט בנקודה אחת – ראה הערת שוליים </w:t>
      </w:r>
      <w:r>
        <w:rPr>
          <w:sz w:val="20"/>
          <w:szCs w:val="20"/>
          <w:rtl/>
        </w:rPr>
        <w:fldChar w:fldCharType="begin" w:dirty="true"/>
      </w:r>
      <w:r>
        <w:rPr>
          <w:sz w:val="20"/>
          <w:szCs w:val="20"/>
          <w:rtl/>
        </w:rPr>
        <w:instrText xml:space="preserve"> NOTEREF pr_f_3711 \h </w:instrText>
      </w:r>
      <w:r>
        <w:rPr>
          <w:sz w:val="20"/>
          <w:szCs w:val="20"/>
          <w:rtl/>
        </w:rPr>
      </w:r>
      <w:r>
        <w:rPr>
          <w:sz w:val="20"/>
          <w:szCs w:val="20"/>
          <w:rtl/>
        </w:rPr>
        <w:fldChar w:fldCharType="separate"/>
      </w:r>
      <w:r w:rsidR="007923E9">
        <w:rPr>
          <w:sz w:val="20"/>
          <w:szCs w:val="20"/>
          <w:rtl/>
        </w:rPr>
        <w:t>788</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pr_f_3711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4206">
    <w:p w14:paraId="78611B7C" w14:textId="77777777" w:rsidR="00AB3647" w:rsidRDefault="00000000">
      <w:pPr>
        <w:spacing w:after="0" w:before="0"/>
        <w:jc w:val="both"/>
      </w:pPr>
      <w:r>
        <w:rPr>
          <w:sz w:val="20"/>
          <w:szCs w:val="20"/>
          <w:rtl/>
        </w:rPr>
        <w:footnoteRef/>
      </w:r>
      <w:r>
        <w:rPr>
          <w:sz w:val="20"/>
          <w:szCs w:val="20"/>
          <w:rtl/>
        </w:rPr>
        <w:t>. גיליון ט׳ באדר א׳ תר״ע.</w:t>
      </w:r>
    </w:p>
  </w:footnote>
  <w:footnote w:id="4207">
    <w:p w14:paraId="40686A8B" w14:textId="77777777" w:rsidR="00AB3647" w:rsidRDefault="00000000">
      <w:pPr>
        <w:spacing w:after="0" w:before="0"/>
        <w:jc w:val="both"/>
      </w:pPr>
      <w:r>
        <w:rPr>
          <w:sz w:val="20"/>
          <w:szCs w:val="20"/>
          <w:rtl/>
        </w:rPr>
        <w:footnoteRef/>
      </w:r>
      <w:r>
        <w:rPr>
          <w:sz w:val="20"/>
          <w:szCs w:val="20"/>
          <w:rtl/>
        </w:rPr>
        <w:t>. הפסקה השנייה של נספח ז לעיל.</w:t>
      </w:r>
    </w:p>
  </w:footnote>
  <w:footnote w:id="4208">
    <w:p w14:paraId="00CC3223" w14:textId="77777777" w:rsidR="00AB3647" w:rsidRDefault="00000000">
      <w:pPr>
        <w:spacing w:after="0" w:before="0"/>
        <w:jc w:val="both"/>
      </w:pPr>
      <w:r>
        <w:rPr>
          <w:sz w:val="20"/>
          <w:szCs w:val="20"/>
          <w:rtl/>
        </w:rPr>
        <w:footnoteRef/>
      </w:r>
      <w:r>
        <w:rPr>
          <w:sz w:val="20"/>
          <w:szCs w:val="20"/>
          <w:rtl/>
        </w:rPr>
        <w:t>. תוספות נלקטו גם מתבונה (תרפ״ג) – השווה לפרק 3, נספח ג.</w:t>
      </w:r>
    </w:p>
  </w:footnote>
  <w:footnote w:id="4209">
    <w:p w14:paraId="34AC21D0" w14:textId="77777777" w:rsidR="00AB3647" w:rsidRDefault="00000000">
      <w:pPr>
        <w:spacing w:after="0" w:before="0"/>
        <w:jc w:val="both"/>
      </w:pPr>
      <w:r>
        <w:rPr>
          <w:sz w:val="20"/>
          <w:szCs w:val="20"/>
          <w:rtl/>
        </w:rPr>
        <w:footnoteRef/>
      </w:r>
      <w:r>
        <w:rPr>
          <w:sz w:val="20"/>
          <w:szCs w:val="20"/>
          <w:rtl/>
        </w:rPr>
        <w:t xml:space="preserve">. אולם לפי </w:t>
      </w:r>
      <w:proofErr w:type="spellStart"/>
      <w:r>
        <w:rPr>
          <w:sz w:val="20"/>
          <w:szCs w:val="20"/>
          <w:rtl/>
        </w:rPr>
        <w:t>רבינר</w:t>
      </w:r>
      <w:proofErr w:type="spellEnd"/>
      <w:r>
        <w:rPr>
          <w:sz w:val="20"/>
          <w:szCs w:val="20"/>
          <w:rtl/>
        </w:rPr>
        <w:t xml:space="preserve">, “הגאון רבי אליעזר גורדון”, עמ׳ לט, היא נפתחה עם </w:t>
      </w:r>
      <w:proofErr w:type="spellStart"/>
      <w:r>
        <w:rPr>
          <w:sz w:val="20"/>
          <w:szCs w:val="20"/>
          <w:rtl/>
        </w:rPr>
        <w:t>שמונה־עשר</w:t>
      </w:r>
      <w:proofErr w:type="spellEnd"/>
      <w:r>
        <w:rPr>
          <w:sz w:val="20"/>
          <w:szCs w:val="20"/>
          <w:rtl/>
        </w:rPr>
        <w:t xml:space="preserve"> תלמידים.</w:t>
      </w:r>
    </w:p>
  </w:footnote>
  <w:footnote w:id="4210">
    <w:p w14:paraId="4A99EBC6" w14:textId="77777777" w:rsidR="00AB3647" w:rsidRDefault="00000000">
      <w:pPr>
        <w:spacing w:after="0" w:before="0"/>
        <w:jc w:val="both"/>
      </w:pPr>
      <w:r>
        <w:rPr>
          <w:sz w:val="20"/>
          <w:szCs w:val="20"/>
          <w:rtl/>
        </w:rPr>
        <w:footnoteRef/>
      </w:r>
      <w:r>
        <w:rPr>
          <w:sz w:val="20"/>
          <w:szCs w:val="20"/>
          <w:rtl/>
        </w:rPr>
        <w:t>. ריאיון מ־21 בדצמבר 1987.</w:t>
      </w:r>
    </w:p>
  </w:footnote>
  <w:footnote w:id="4211">
    <w:p w14:paraId="0DF6EDA7" w14:textId="77777777" w:rsidR="00AB3647" w:rsidRDefault="00000000">
      <w:pPr>
        <w:spacing w:after="0" w:before="0"/>
        <w:jc w:val="both"/>
      </w:pPr>
      <w:r>
        <w:rPr>
          <w:sz w:val="20"/>
          <w:szCs w:val="20"/>
          <w:rtl/>
        </w:rPr>
        <w:footnoteRef/>
      </w:r>
      <w:r>
        <w:rPr>
          <w:sz w:val="20"/>
          <w:szCs w:val="20"/>
          <w:rtl/>
        </w:rPr>
        <w:t xml:space="preserve">. השווה גם לסוף נספח זה, ושים לב שר׳ מאיר אטלס היה מבוגר מר׳ </w:t>
      </w:r>
      <w:proofErr w:type="spellStart"/>
      <w:r>
        <w:rPr>
          <w:sz w:val="20"/>
          <w:szCs w:val="20"/>
          <w:rtl/>
        </w:rPr>
        <w:t>הירש־יעקב</w:t>
      </w:r>
      <w:proofErr w:type="spellEnd"/>
      <w:r>
        <w:rPr>
          <w:sz w:val="20"/>
          <w:szCs w:val="20"/>
          <w:rtl/>
        </w:rPr>
        <w:t xml:space="preserve"> </w:t>
      </w:r>
      <w:proofErr w:type="spellStart"/>
      <w:r>
        <w:rPr>
          <w:sz w:val="20"/>
          <w:szCs w:val="20"/>
          <w:rtl/>
        </w:rPr>
        <w:t>אופנהיים</w:t>
      </w:r>
      <w:proofErr w:type="spellEnd"/>
      <w:r>
        <w:rPr>
          <w:sz w:val="20"/>
          <w:szCs w:val="20"/>
          <w:rtl/>
        </w:rPr>
        <w:t xml:space="preserve"> בשש שנים – השווה </w:t>
      </w:r>
      <w:proofErr w:type="spellStart"/>
      <w:r>
        <w:rPr>
          <w:sz w:val="20"/>
          <w:szCs w:val="20"/>
          <w:rtl/>
        </w:rPr>
        <w:t>לבערל</w:t>
      </w:r>
      <w:proofErr w:type="spellEnd"/>
      <w:r>
        <w:rPr>
          <w:sz w:val="20"/>
          <w:szCs w:val="20"/>
          <w:rtl/>
        </w:rPr>
        <w:t xml:space="preserve"> </w:t>
      </w:r>
      <w:proofErr w:type="spellStart"/>
      <w:r>
        <w:rPr>
          <w:sz w:val="20"/>
          <w:szCs w:val="20"/>
          <w:rtl/>
        </w:rPr>
        <w:t>קגן</w:t>
      </w:r>
      <w:proofErr w:type="spellEnd"/>
      <w:r>
        <w:rPr>
          <w:sz w:val="20"/>
          <w:szCs w:val="20"/>
          <w:rtl/>
        </w:rPr>
        <w:t>, עמ׳ 579 ו־423, בהתאמה.</w:t>
      </w:r>
    </w:p>
  </w:footnote>
  <w:footnote w:id="4212">
    <w:p w14:paraId="5507CBE0" w14:textId="77777777" w:rsidR="00AB3647" w:rsidRDefault="00000000">
      <w:pPr>
        <w:spacing w:after="0" w:before="0"/>
        <w:jc w:val="both"/>
      </w:pPr>
      <w:r>
        <w:rPr>
          <w:sz w:val="20"/>
          <w:szCs w:val="20"/>
          <w:rtl/>
        </w:rPr>
        <w:footnoteRef/>
      </w:r>
      <w:r>
        <w:rPr>
          <w:sz w:val="20"/>
          <w:szCs w:val="20"/>
          <w:rtl/>
        </w:rPr>
        <w:t xml:space="preserve">. לפי ר׳ נפתלי </w:t>
      </w:r>
      <w:proofErr w:type="spellStart"/>
      <w:r>
        <w:rPr>
          <w:sz w:val="20"/>
          <w:szCs w:val="20"/>
          <w:rtl/>
        </w:rPr>
        <w:t>אלזס</w:t>
      </w:r>
      <w:proofErr w:type="spellEnd"/>
      <w:r>
        <w:rPr>
          <w:sz w:val="20"/>
          <w:szCs w:val="20"/>
          <w:rtl/>
        </w:rPr>
        <w:t xml:space="preserve">, בריאיון מ־18 בפברואר 1988. הוא שמע זאת בביקורו האחרון של רבנו בישראל, </w:t>
      </w:r>
      <w:proofErr w:type="spellStart"/>
      <w:r>
        <w:rPr>
          <w:sz w:val="20"/>
          <w:szCs w:val="20"/>
          <w:rtl/>
        </w:rPr>
        <w:t>בתשמ״ב</w:t>
      </w:r>
      <w:proofErr w:type="spellEnd"/>
      <w:r>
        <w:rPr>
          <w:sz w:val="20"/>
          <w:szCs w:val="20"/>
          <w:rtl/>
        </w:rPr>
        <w:t>, “בשבת שלפני שבועות”.</w:t>
      </w:r>
    </w:p>
  </w:footnote>
  <w:footnote w:id="4213">
    <w:p w14:paraId="272530A9" w14:textId="77777777" w:rsidR="00AB3647" w:rsidRDefault="00000000">
      <w:pPr>
        <w:spacing w:after="0" w:before="0"/>
        <w:jc w:val="both"/>
      </w:pPr>
      <w:r>
        <w:rPr>
          <w:sz w:val="20"/>
          <w:szCs w:val="20"/>
          <w:rtl/>
        </w:rPr>
        <w:footnoteRef/>
      </w:r>
      <w:r>
        <w:rPr>
          <w:sz w:val="20"/>
          <w:szCs w:val="20"/>
          <w:rtl/>
        </w:rPr>
        <w:t>. הערה 8 לעיל – אות סד של דוגמא מדרכי אבי זצ״ל.</w:t>
      </w:r>
    </w:p>
  </w:footnote>
  <w:footnote w:id="4214">
    <w:p w14:paraId="58C88687" w14:textId="77777777" w:rsidR="00AB3647" w:rsidRDefault="00000000">
      <w:pPr>
        <w:spacing w:after="0" w:before="0"/>
        <w:jc w:val="both"/>
      </w:pPr>
      <w:r>
        <w:rPr>
          <w:sz w:val="20"/>
          <w:szCs w:val="20"/>
          <w:rtl/>
        </w:rPr>
        <w:footnoteRef/>
      </w:r>
      <w:r>
        <w:rPr>
          <w:sz w:val="20"/>
          <w:szCs w:val="20"/>
          <w:rtl/>
        </w:rPr>
        <w:t>. הפסקה השלישית של נספח א לעיל – חלק ב, עמ׳ ד.</w:t>
      </w:r>
    </w:p>
  </w:footnote>
  <w:footnote w:id="4215">
    <w:p w14:paraId="1FDDDFA8" w14:textId="77777777" w:rsidR="00AB3647" w:rsidRDefault="00000000">
      <w:pPr>
        <w:spacing w:after="0" w:before="0"/>
        <w:jc w:val="both"/>
      </w:pPr>
      <w:r>
        <w:rPr>
          <w:sz w:val="20"/>
          <w:szCs w:val="20"/>
          <w:rtl/>
        </w:rPr>
        <w:footnoteRef/>
      </w:r>
      <w:r>
        <w:rPr>
          <w:sz w:val="20"/>
          <w:szCs w:val="20"/>
          <w:rtl/>
        </w:rPr>
        <w:t xml:space="preserve">. לפי </w:t>
      </w:r>
      <w:proofErr w:type="spellStart"/>
      <w:r>
        <w:rPr>
          <w:sz w:val="20"/>
          <w:szCs w:val="20"/>
          <w:rtl/>
        </w:rPr>
        <w:t>רבינר</w:t>
      </w:r>
      <w:proofErr w:type="spellEnd"/>
      <w:r>
        <w:rPr>
          <w:sz w:val="20"/>
          <w:szCs w:val="20"/>
          <w:rtl/>
        </w:rPr>
        <w:t xml:space="preserve">, “הגאון רבי אליעזר גורדון”, עמ׳ </w:t>
      </w:r>
      <w:proofErr w:type="spellStart"/>
      <w:r>
        <w:rPr>
          <w:sz w:val="20"/>
          <w:szCs w:val="20"/>
          <w:rtl/>
        </w:rPr>
        <w:t>קעח</w:t>
      </w:r>
      <w:proofErr w:type="spellEnd"/>
      <w:r>
        <w:rPr>
          <w:sz w:val="20"/>
          <w:szCs w:val="20"/>
          <w:rtl/>
        </w:rPr>
        <w:t>.</w:t>
      </w:r>
    </w:p>
  </w:footnote>
  <w:footnote w:id="4216">
    <w:p w14:paraId="1DD9F81D" w14:textId="77777777" w:rsidR="00AB3647" w:rsidRDefault="00000000">
      <w:pPr>
        <w:spacing w:after="0" w:before="0"/>
        <w:jc w:val="both"/>
      </w:pPr>
      <w:r>
        <w:rPr>
          <w:sz w:val="20"/>
          <w:szCs w:val="20"/>
          <w:rtl/>
        </w:rPr>
        <w:footnoteRef/>
      </w:r>
      <w:r>
        <w:rPr>
          <w:sz w:val="20"/>
          <w:szCs w:val="20"/>
          <w:rtl/>
        </w:rPr>
        <w:t xml:space="preserve">. השווה לפרק 3, סוף נספח </w:t>
      </w:r>
      <w:proofErr w:type="spellStart"/>
      <w:r>
        <w:rPr>
          <w:sz w:val="20"/>
          <w:szCs w:val="20"/>
          <w:rtl/>
        </w:rPr>
        <w:t>יז</w:t>
      </w:r>
      <w:proofErr w:type="spellEnd"/>
      <w:r>
        <w:rPr>
          <w:sz w:val="20"/>
          <w:szCs w:val="20"/>
          <w:rtl/>
        </w:rPr>
        <w:t>.</w:t>
      </w:r>
    </w:p>
  </w:footnote>
  <w:footnote w:id="4217">
    <w:p w14:paraId="4E104055" w14:textId="77777777" w:rsidR="00AB3647" w:rsidRDefault="00000000">
      <w:pPr>
        <w:spacing w:after="0" w:before="0"/>
        <w:jc w:val="both"/>
      </w:pPr>
      <w:r>
        <w:rPr>
          <w:sz w:val="20"/>
          <w:szCs w:val="20"/>
          <w:rtl/>
        </w:rPr>
        <w:footnoteRef/>
      </w:r>
      <w:r>
        <w:rPr>
          <w:sz w:val="20"/>
          <w:szCs w:val="20"/>
          <w:rtl/>
        </w:rPr>
        <w:t xml:space="preserve">. רבנו סיפר זאת </w:t>
      </w:r>
      <w:proofErr w:type="spellStart"/>
      <w:r>
        <w:rPr>
          <w:sz w:val="20"/>
          <w:szCs w:val="20"/>
          <w:rtl/>
        </w:rPr>
        <w:t>לר</w:t>
      </w:r>
      <w:proofErr w:type="spellEnd"/>
      <w:r>
        <w:rPr>
          <w:sz w:val="20"/>
          <w:szCs w:val="20"/>
          <w:rtl/>
        </w:rPr>
        <w:t>׳ יעקב הירשמן, בריאיון מ־7 בנובמבר 1987 (בתוספות קלות שזכר בני, ר׳ יוסף, ב־26 בדצמבר 1991).</w:t>
      </w:r>
    </w:p>
  </w:footnote>
  <w:footnote w:id="4218">
    <w:p w14:paraId="6080E7E0" w14:textId="77777777" w:rsidR="00AB3647" w:rsidRDefault="00000000">
      <w:pPr>
        <w:spacing w:after="0" w:before="0"/>
        <w:jc w:val="both"/>
      </w:pPr>
      <w:r>
        <w:rPr>
          <w:sz w:val="20"/>
          <w:szCs w:val="20"/>
          <w:rtl/>
        </w:rPr>
        <w:footnoteRef/>
      </w:r>
      <w:r>
        <w:rPr>
          <w:sz w:val="20"/>
          <w:szCs w:val="20"/>
          <w:rtl/>
        </w:rPr>
        <w:t xml:space="preserve">. השווה פרק 2, הערה 17: הרב הקודם, ר׳ יהושע הלר, שנפטר </w:t>
      </w:r>
      <w:proofErr w:type="spellStart"/>
      <w:r>
        <w:rPr>
          <w:sz w:val="20"/>
          <w:szCs w:val="20"/>
          <w:rtl/>
        </w:rPr>
        <w:t>בתר״מ</w:t>
      </w:r>
      <w:proofErr w:type="spellEnd"/>
      <w:r>
        <w:rPr>
          <w:sz w:val="20"/>
          <w:szCs w:val="20"/>
          <w:rtl/>
        </w:rPr>
        <w:t>, עזב את כס הרבנות זמן מה לפני כן. ר׳ לייזר גורדון לא נתמנה עד תרמ״ד – ראה הפסקה השנייה של נספח ח לעיל.</w:t>
      </w:r>
    </w:p>
  </w:footnote>
  <w:footnote w:id="4219">
    <w:p w14:paraId="4C4C64E6" w14:textId="77777777" w:rsidR="00AB3647" w:rsidRDefault="00000000">
      <w:pPr>
        <w:spacing w:after="0" w:before="0"/>
        <w:jc w:val="both"/>
      </w:pPr>
      <w:r>
        <w:rPr>
          <w:sz w:val="20"/>
          <w:szCs w:val="20"/>
          <w:rtl/>
        </w:rPr>
        <w:footnoteRef/>
      </w:r>
      <w:r>
        <w:rPr>
          <w:sz w:val="20"/>
          <w:szCs w:val="20"/>
          <w:rtl/>
        </w:rPr>
        <w:t xml:space="preserve">. ראה, לדוגמה, פרק 5, תחילת נספח ו, על המקרה </w:t>
      </w:r>
      <w:proofErr w:type="spellStart"/>
      <w:r>
        <w:rPr>
          <w:sz w:val="20"/>
          <w:szCs w:val="20"/>
          <w:rtl/>
        </w:rPr>
        <w:t>בראסיין</w:t>
      </w:r>
      <w:proofErr w:type="spellEnd"/>
      <w:r>
        <w:rPr>
          <w:sz w:val="20"/>
          <w:szCs w:val="20"/>
          <w:rtl/>
        </w:rPr>
        <w:t xml:space="preserve"> כעבור רבע מאה, שגם עליו דיבר רבנו.</w:t>
      </w:r>
    </w:p>
  </w:footnote>
  <w:footnote w:id="4220">
    <w:p w14:paraId="29C7B44E" w14:textId="77777777" w:rsidR="00AB3647" w:rsidRDefault="00000000">
      <w:pPr>
        <w:spacing w:after="0" w:before="0"/>
        <w:jc w:val="both"/>
      </w:pPr>
      <w:r>
        <w:rPr>
          <w:sz w:val="20"/>
          <w:szCs w:val="20"/>
          <w:rtl/>
        </w:rPr>
        <w:footnoteRef/>
      </w:r>
      <w:r>
        <w:rPr>
          <w:sz w:val="20"/>
          <w:szCs w:val="20"/>
          <w:rtl/>
        </w:rPr>
        <w:t>. נספח י לעיל – עמ׳ 9.</w:t>
      </w:r>
    </w:p>
  </w:footnote>
  <w:footnote w:id="4221">
    <w:p w14:paraId="6D5CEBA0" w14:textId="77777777" w:rsidR="00AB3647" w:rsidRDefault="00000000">
      <w:pPr>
        <w:spacing w:after="0" w:before="0"/>
        <w:jc w:val="both"/>
      </w:pPr>
      <w:r>
        <w:rPr>
          <w:sz w:val="20"/>
          <w:szCs w:val="20"/>
          <w:rtl/>
        </w:rPr>
        <w:footnoteRef/>
      </w:r>
      <w:r>
        <w:rPr>
          <w:sz w:val="20"/>
          <w:szCs w:val="20"/>
          <w:rtl/>
        </w:rPr>
        <w:t>. הפסקה השנייה של נספח ט לעיל – עמ׳ 194.</w:t>
      </w:r>
    </w:p>
  </w:footnote>
  <w:footnote w:id="4222">
    <w:p w14:paraId="20C84A6B" w14:textId="77777777" w:rsidR="00AB3647" w:rsidRDefault="00000000">
      <w:pPr>
        <w:spacing w:after="0" w:before="0"/>
        <w:jc w:val="both"/>
      </w:pPr>
      <w:r>
        <w:rPr>
          <w:sz w:val="20"/>
          <w:szCs w:val="20"/>
          <w:rtl/>
        </w:rPr>
        <w:footnoteRef/>
      </w:r>
      <w:r>
        <w:rPr>
          <w:sz w:val="20"/>
          <w:szCs w:val="20"/>
          <w:rtl/>
        </w:rPr>
        <w:t>. השווה לפרק 3, נספח יא.</w:t>
      </w:r>
    </w:p>
  </w:footnote>
  <w:footnote w:id="4223">
    <w:p w14:paraId="3EDBB6EC" w14:textId="77777777" w:rsidR="00AB3647" w:rsidRDefault="00000000">
      <w:pPr>
        <w:spacing w:after="0" w:before="0"/>
        <w:jc w:val="both"/>
      </w:pPr>
      <w:r>
        <w:rPr>
          <w:sz w:val="20"/>
          <w:szCs w:val="20"/>
          <w:rtl/>
        </w:rPr>
        <w:footnoteRef/>
      </w:r>
      <w:r>
        <w:rPr>
          <w:sz w:val="20"/>
          <w:szCs w:val="20"/>
          <w:rtl/>
        </w:rPr>
        <w:t>. כרך 1, עמ׳ 74–75.</w:t>
      </w:r>
    </w:p>
  </w:footnote>
  <w:footnote w:id="4224">
    <w:p w14:paraId="0E056397" w14:textId="77777777" w:rsidR="00AB3647" w:rsidRDefault="00000000">
      <w:pPr>
        <w:spacing w:after="0" w:before="0"/>
        <w:jc w:val="both"/>
      </w:pPr>
      <w:r>
        <w:rPr>
          <w:sz w:val="20"/>
          <w:szCs w:val="20"/>
          <w:rtl/>
        </w:rPr>
        <w:footnoteRef/>
      </w:r>
      <w:r>
        <w:rPr>
          <w:sz w:val="20"/>
          <w:szCs w:val="20"/>
          <w:rtl/>
        </w:rPr>
        <w:t>. פרק 3, נספח יא.</w:t>
      </w:r>
    </w:p>
  </w:footnote>
  <w:footnote w:id="4225">
    <w:p w14:paraId="7FCA41E3" w14:textId="77777777" w:rsidR="00AB3647" w:rsidRDefault="00000000">
      <w:pPr>
        <w:spacing w:after="0" w:before="0"/>
        <w:jc w:val="both"/>
      </w:pPr>
      <w:r>
        <w:rPr>
          <w:sz w:val="20"/>
          <w:szCs w:val="20"/>
          <w:rtl/>
        </w:rPr>
        <w:footnoteRef/>
      </w:r>
      <w:r>
        <w:rPr>
          <w:sz w:val="20"/>
          <w:szCs w:val="20"/>
          <w:rtl/>
        </w:rPr>
        <w:t>. עמ׳ 47.</w:t>
      </w:r>
    </w:p>
  </w:footnote>
  <w:footnote w:id="4226">
    <w:p w14:paraId="0D4E9DD9" w14:textId="77777777" w:rsidR="00AB3647" w:rsidRDefault="00000000">
      <w:pPr>
        <w:spacing w:after="0" w:before="0"/>
        <w:jc w:val="both"/>
      </w:pPr>
      <w:r>
        <w:rPr>
          <w:sz w:val="20"/>
          <w:szCs w:val="20"/>
          <w:rtl/>
        </w:rPr>
        <w:footnoteRef/>
      </w:r>
      <w:r>
        <w:rPr>
          <w:sz w:val="20"/>
          <w:szCs w:val="20"/>
          <w:rtl/>
        </w:rPr>
        <w:t>. הערה 57 לעיל – עמ׳ רט.</w:t>
      </w:r>
    </w:p>
  </w:footnote>
  <w:footnote w:id="4227">
    <w:p w14:paraId="1C0A5564" w14:textId="77777777" w:rsidR="00AB3647" w:rsidRDefault="00000000">
      <w:pPr>
        <w:spacing w:after="0" w:before="0"/>
        <w:jc w:val="both"/>
      </w:pPr>
      <w:r>
        <w:rPr>
          <w:sz w:val="20"/>
          <w:szCs w:val="20"/>
          <w:rtl/>
        </w:rPr>
        <w:footnoteRef/>
      </w:r>
      <w:r>
        <w:rPr>
          <w:sz w:val="20"/>
          <w:szCs w:val="20"/>
          <w:rtl/>
        </w:rPr>
        <w:t>. הפסקה השישית של נספח ט לעיל – עמ׳ 214.</w:t>
      </w:r>
    </w:p>
  </w:footnote>
  <w:footnote w:id="4228">
    <w:p w14:paraId="537AA2B6" w14:textId="77777777" w:rsidR="00AB3647" w:rsidRDefault="00000000">
      <w:pPr>
        <w:spacing w:after="0" w:before="0"/>
        <w:jc w:val="both"/>
      </w:pPr>
      <w:r>
        <w:rPr>
          <w:sz w:val="20"/>
          <w:szCs w:val="20"/>
          <w:rtl/>
        </w:rPr>
        <w:footnoteRef/>
      </w:r>
      <w:r>
        <w:rPr>
          <w:sz w:val="20"/>
          <w:szCs w:val="20"/>
          <w:rtl/>
        </w:rPr>
        <w:t>. השווה גם לפרק 5, הערה 83.</w:t>
      </w:r>
    </w:p>
  </w:footnote>
  <w:footnote w:id="4229">
    <w:p w14:paraId="22C1019A" w14:textId="77777777" w:rsidR="00AB3647" w:rsidRDefault="00000000">
      <w:pPr>
        <w:spacing w:after="0" w:before="0"/>
        <w:jc w:val="both"/>
      </w:pPr>
      <w:r>
        <w:rPr>
          <w:sz w:val="20"/>
          <w:szCs w:val="20"/>
          <w:rtl/>
        </w:rPr>
        <w:footnoteRef/>
      </w:r>
      <w:r>
        <w:rPr>
          <w:sz w:val="20"/>
          <w:szCs w:val="20"/>
          <w:rtl/>
        </w:rPr>
        <w:t xml:space="preserve">. כפי שמסר ר׳ ירוחם </w:t>
      </w:r>
      <w:proofErr w:type="spellStart"/>
      <w:r>
        <w:rPr>
          <w:sz w:val="20"/>
          <w:szCs w:val="20"/>
          <w:rtl/>
        </w:rPr>
        <w:t>גורליק</w:t>
      </w:r>
      <w:proofErr w:type="spellEnd"/>
      <w:r>
        <w:rPr>
          <w:sz w:val="20"/>
          <w:szCs w:val="20"/>
          <w:rtl/>
        </w:rPr>
        <w:t>, המצוטט בהערת שוליים בעמ׳ מה של נפש הרב (הפסקה הרביעית של נספח ט לעיל).</w:t>
      </w:r>
    </w:p>
  </w:footnote>
  <w:footnote w:id="4230">
    <w:p w14:paraId="6167307C" w14:textId="77777777" w:rsidR="00AB3647" w:rsidRDefault="00000000">
      <w:pPr>
        <w:spacing w:after="0" w:before="0"/>
        <w:jc w:val="both"/>
      </w:pPr>
      <w:r>
        <w:rPr>
          <w:sz w:val="20"/>
          <w:szCs w:val="20"/>
          <w:rtl/>
        </w:rPr>
        <w:footnoteRef/>
      </w:r>
      <w:r>
        <w:rPr>
          <w:sz w:val="20"/>
          <w:szCs w:val="20"/>
          <w:rtl/>
        </w:rPr>
        <w:t xml:space="preserve">. כמו שיש הסוגים של </w:t>
      </w:r>
      <w:proofErr w:type="spellStart"/>
      <w:r>
        <w:rPr>
          <w:sz w:val="20"/>
          <w:szCs w:val="20"/>
          <w:rtl/>
        </w:rPr>
        <w:t>דומם־צומח־חי־מדבר</w:t>
      </w:r>
      <w:proofErr w:type="spellEnd"/>
      <w:r>
        <w:rPr>
          <w:sz w:val="20"/>
          <w:szCs w:val="20"/>
          <w:rtl/>
        </w:rPr>
        <w:t xml:space="preserve"> (וישראל אליבא </w:t>
      </w:r>
      <w:proofErr w:type="spellStart"/>
      <w:r>
        <w:rPr>
          <w:sz w:val="20"/>
          <w:szCs w:val="20"/>
          <w:rtl/>
        </w:rPr>
        <w:t>דכוזרי</w:t>
      </w:r>
      <w:proofErr w:type="spellEnd"/>
      <w:r>
        <w:rPr>
          <w:sz w:val="20"/>
          <w:szCs w:val="20"/>
          <w:rtl/>
        </w:rPr>
        <w:t>).</w:t>
      </w:r>
    </w:p>
  </w:footnote>
  <w:footnote w:id="4231">
    <w:p w14:paraId="4EBBE016" w14:textId="77777777" w:rsidR="00AB3647" w:rsidRDefault="00000000">
      <w:pPr>
        <w:spacing w:after="0" w:before="0"/>
        <w:jc w:val="both"/>
      </w:pPr>
      <w:r>
        <w:rPr>
          <w:sz w:val="20"/>
          <w:szCs w:val="20"/>
          <w:rtl/>
        </w:rPr>
        <w:footnoteRef/>
      </w:r>
      <w:r>
        <w:rPr>
          <w:sz w:val="20"/>
          <w:szCs w:val="20"/>
          <w:rtl/>
        </w:rPr>
        <w:t xml:space="preserve">. “ישיבתו של ר׳ חיים </w:t>
      </w:r>
      <w:proofErr w:type="spellStart"/>
      <w:r>
        <w:rPr>
          <w:sz w:val="20"/>
          <w:szCs w:val="20"/>
          <w:rtl/>
        </w:rPr>
        <w:t>סולובייצ׳יק</w:t>
      </w:r>
      <w:proofErr w:type="spellEnd"/>
      <w:r>
        <w:rPr>
          <w:sz w:val="20"/>
          <w:szCs w:val="20"/>
          <w:rtl/>
        </w:rPr>
        <w:t xml:space="preserve">”, הנזכרת להלן בפרק 5, נספח ג, הייתה פשוט מוסד מקומי לתלמידים צעירים בפיקוח רב העיר, ותלמידיה לא שמעו את שיעוריו של ר׳ חיים, שיעורים של גאון עולם. גם מכתבו של ר׳ חיים מ־29 בחשוון תרס״ג מתייחס למוסד מקומי זה. המכתב מובא </w:t>
      </w:r>
      <w:proofErr w:type="spellStart"/>
      <w:r>
        <w:rPr>
          <w:sz w:val="20"/>
          <w:szCs w:val="20"/>
          <w:rtl/>
        </w:rPr>
        <w:t>ב“שנות</w:t>
      </w:r>
      <w:proofErr w:type="spellEnd"/>
      <w:r>
        <w:rPr>
          <w:sz w:val="20"/>
          <w:szCs w:val="20"/>
          <w:rtl/>
        </w:rPr>
        <w:t xml:space="preserve"> דור ודור” (סוף נספח ז לעיל), עמ׳ רה, ובו הוא כותב לנמען: “נוסע היקר </w:t>
      </w:r>
      <w:proofErr w:type="spellStart"/>
      <w:r>
        <w:rPr>
          <w:sz w:val="20"/>
          <w:szCs w:val="20"/>
          <w:rtl/>
        </w:rPr>
        <w:t>מהור״ר</w:t>
      </w:r>
      <w:proofErr w:type="spellEnd"/>
      <w:r>
        <w:rPr>
          <w:sz w:val="20"/>
          <w:szCs w:val="20"/>
          <w:rtl/>
        </w:rPr>
        <w:t xml:space="preserve"> בנימין זאב </w:t>
      </w:r>
      <w:proofErr w:type="spellStart"/>
      <w:r>
        <w:rPr>
          <w:sz w:val="20"/>
          <w:szCs w:val="20"/>
          <w:rtl/>
        </w:rPr>
        <w:t>חוסיטצער</w:t>
      </w:r>
      <w:proofErr w:type="spellEnd"/>
      <w:r>
        <w:rPr>
          <w:sz w:val="20"/>
          <w:szCs w:val="20"/>
          <w:rtl/>
        </w:rPr>
        <w:t xml:space="preserve"> </w:t>
      </w:r>
      <w:proofErr w:type="spellStart"/>
      <w:r>
        <w:rPr>
          <w:sz w:val="20"/>
          <w:szCs w:val="20"/>
          <w:rtl/>
        </w:rPr>
        <w:t>בשליחותא</w:t>
      </w:r>
      <w:proofErr w:type="spellEnd"/>
      <w:r>
        <w:rPr>
          <w:sz w:val="20"/>
          <w:szCs w:val="20"/>
          <w:rtl/>
        </w:rPr>
        <w:t xml:space="preserve"> דידן </w:t>
      </w:r>
      <w:proofErr w:type="spellStart"/>
      <w:r>
        <w:rPr>
          <w:sz w:val="20"/>
          <w:szCs w:val="20"/>
          <w:rtl/>
        </w:rPr>
        <w:t>ליסד</w:t>
      </w:r>
      <w:proofErr w:type="spellEnd"/>
      <w:r>
        <w:rPr>
          <w:sz w:val="20"/>
          <w:szCs w:val="20"/>
          <w:rtl/>
        </w:rPr>
        <w:t xml:space="preserve"> מעמדות לטובת הישיבה שיסדנו (ההדגשה שלי) פה [</w:t>
      </w:r>
      <w:proofErr w:type="spellStart"/>
      <w:r>
        <w:rPr>
          <w:sz w:val="20"/>
          <w:szCs w:val="20"/>
          <w:rtl/>
        </w:rPr>
        <w:t>בבריסק</w:t>
      </w:r>
      <w:proofErr w:type="spellEnd"/>
      <w:r>
        <w:rPr>
          <w:sz w:val="20"/>
          <w:szCs w:val="20"/>
          <w:rtl/>
        </w:rPr>
        <w:t>] הנני לבקשו כי יהי׳ לנו לעזר בזה”.</w:t>
      </w:r>
    </w:p>
    <w:p w14:paraId="18907A12" w14:textId="77777777" w:rsidR="00AB3647" w:rsidRDefault="00000000">
      <w:pPr>
        <w:spacing w:after="0" w:before="0"/>
        <w:jc w:val="both"/>
      </w:pPr>
      <w:r>
        <w:rPr>
          <w:sz w:val="20"/>
          <w:szCs w:val="20"/>
          <w:rtl/>
        </w:rPr>
        <w:t xml:space="preserve">בכ״ד טבת תשנ״ח מסרתי את יסודי זה על </w:t>
      </w:r>
      <w:proofErr w:type="spellStart"/>
      <w:r>
        <w:rPr>
          <w:sz w:val="20"/>
          <w:szCs w:val="20"/>
          <w:rtl/>
        </w:rPr>
        <w:t>אדות</w:t>
      </w:r>
      <w:proofErr w:type="spellEnd"/>
      <w:r>
        <w:rPr>
          <w:sz w:val="20"/>
          <w:szCs w:val="20"/>
          <w:rtl/>
        </w:rPr>
        <w:t xml:space="preserve"> </w:t>
      </w:r>
      <w:proofErr w:type="spellStart"/>
      <w:r>
        <w:rPr>
          <w:sz w:val="20"/>
          <w:szCs w:val="20"/>
          <w:rtl/>
        </w:rPr>
        <w:t>רח״ה</w:t>
      </w:r>
      <w:proofErr w:type="spellEnd"/>
      <w:r>
        <w:rPr>
          <w:sz w:val="20"/>
          <w:szCs w:val="20"/>
          <w:rtl/>
        </w:rPr>
        <w:t xml:space="preserve"> לרב גבריאל </w:t>
      </w:r>
      <w:proofErr w:type="spellStart"/>
      <w:r>
        <w:rPr>
          <w:sz w:val="20"/>
          <w:szCs w:val="20"/>
          <w:rtl/>
        </w:rPr>
        <w:t>גינזבורג</w:t>
      </w:r>
      <w:proofErr w:type="spellEnd"/>
      <w:r>
        <w:rPr>
          <w:sz w:val="20"/>
          <w:szCs w:val="20"/>
          <w:rtl/>
        </w:rPr>
        <w:t xml:space="preserve"> והוא דימה לזה את מה שאבא מארי ז״ל אמר בהספדו על הרב </w:t>
      </w:r>
      <w:proofErr w:type="spellStart"/>
      <w:r>
        <w:rPr>
          <w:sz w:val="20"/>
          <w:szCs w:val="20"/>
          <w:rtl/>
        </w:rPr>
        <w:t>אליהו־מאיר</w:t>
      </w:r>
      <w:proofErr w:type="spellEnd"/>
      <w:r>
        <w:rPr>
          <w:sz w:val="20"/>
          <w:szCs w:val="20"/>
          <w:rtl/>
        </w:rPr>
        <w:t xml:space="preserve"> בלוך; הוא שאל למה שלח יעקב אבינו את בנו יהודה לייסד בית תלמוד במצרים ולא שלח את בנו לוי, ראש הישיבה? ותירץ שלוי ידע איך להרצות השיעורים, אבל לבנות ישיבה צריכים מדה אחרת, והיא מדת מלכות.</w:t>
      </w:r>
    </w:p>
  </w:footnote>
  <w:footnote w:id="4232">
    <w:p w14:paraId="79A7C25A" w14:textId="77777777" w:rsidR="00AB3647" w:rsidRDefault="00000000">
      <w:pPr>
        <w:spacing w:after="0" w:before="0"/>
        <w:jc w:val="both"/>
      </w:pPr>
      <w:r>
        <w:rPr>
          <w:sz w:val="20"/>
          <w:szCs w:val="20"/>
          <w:rtl/>
        </w:rPr>
        <w:footnoteRef/>
      </w:r>
      <w:r>
        <w:rPr>
          <w:sz w:val="20"/>
          <w:szCs w:val="20"/>
          <w:rtl/>
        </w:rPr>
        <w:t>. השווה לפרק 5, סוף הפסקה השלישית מן הסוף של נספח ו.</w:t>
      </w:r>
    </w:p>
  </w:footnote>
  <w:footnote w:id="4233">
    <w:p w14:paraId="33D7F147" w14:textId="77777777" w:rsidR="00AB3647" w:rsidRDefault="00000000">
      <w:pPr>
        <w:spacing w:after="0" w:before="0"/>
        <w:jc w:val="both"/>
      </w:pPr>
      <w:r>
        <w:rPr>
          <w:sz w:val="20"/>
          <w:szCs w:val="20"/>
          <w:rtl/>
        </w:rPr>
        <w:footnoteRef/>
      </w:r>
      <w:r>
        <w:rPr>
          <w:sz w:val="20"/>
          <w:szCs w:val="20"/>
          <w:rtl/>
        </w:rPr>
        <w:t>. ריאיון מ־24 במאי 1995.</w:t>
      </w:r>
    </w:p>
  </w:footnote>
  <w:footnote w:id="4234">
    <w:p w14:paraId="7E5010EC" w14:textId="77777777" w:rsidR="00AB3647" w:rsidRDefault="00000000">
      <w:pPr>
        <w:spacing w:after="0" w:before="0"/>
        <w:jc w:val="both"/>
      </w:pPr>
      <w:r>
        <w:rPr>
          <w:sz w:val="20"/>
          <w:szCs w:val="20"/>
          <w:rtl/>
        </w:rPr>
        <w:footnoteRef/>
      </w:r>
      <w:r>
        <w:rPr>
          <w:sz w:val="20"/>
          <w:szCs w:val="20"/>
          <w:rtl/>
        </w:rPr>
        <w:t xml:space="preserve">. ראה הערת שוליים </w:t>
      </w:r>
      <w:r>
        <w:rPr>
          <w:sz w:val="20"/>
          <w:szCs w:val="20"/>
          <w:rtl/>
        </w:rPr>
        <w:fldChar w:fldCharType="begin" w:dirty="true"/>
      </w:r>
      <w:r>
        <w:rPr>
          <w:sz w:val="20"/>
          <w:szCs w:val="20"/>
          <w:rtl/>
        </w:rPr>
        <w:instrText xml:space="preserve"> NOTEREF pr_f_3880 \h </w:instrText>
      </w:r>
      <w:r>
        <w:rPr>
          <w:sz w:val="20"/>
          <w:szCs w:val="20"/>
          <w:rtl/>
        </w:rPr>
      </w:r>
      <w:r>
        <w:rPr>
          <w:sz w:val="20"/>
          <w:szCs w:val="20"/>
          <w:rtl/>
        </w:rPr>
        <w:fldChar w:fldCharType="separate"/>
      </w:r>
      <w:r w:rsidR="007923E9">
        <w:rPr>
          <w:sz w:val="20"/>
          <w:szCs w:val="20"/>
          <w:rtl/>
        </w:rPr>
        <w:t>957</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pr_f_3880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שם שוער שהסיפור על רצונו של ר׳ חיים להרשים לטובה את תלמידיו החדשים נוגע לקבוצה זו, שבאה ללמוד אצלו </w:t>
      </w:r>
      <w:proofErr w:type="spellStart"/>
      <w:r>
        <w:rPr>
          <w:sz w:val="20"/>
          <w:szCs w:val="20"/>
          <w:rtl/>
        </w:rPr>
        <w:t>בבריסק</w:t>
      </w:r>
      <w:proofErr w:type="spellEnd"/>
      <w:r>
        <w:rPr>
          <w:sz w:val="20"/>
          <w:szCs w:val="20"/>
          <w:rtl/>
        </w:rPr>
        <w:t>.</w:t>
      </w:r>
    </w:p>
  </w:footnote>
  <w:footnote w:id="4235">
    <w:p w14:paraId="60A62FA9" w14:textId="77777777" w:rsidR="00AB3647" w:rsidRDefault="00000000">
      <w:pPr>
        <w:spacing w:after="0" w:before="0"/>
        <w:jc w:val="both"/>
      </w:pPr>
      <w:r>
        <w:rPr>
          <w:sz w:val="20"/>
          <w:szCs w:val="20"/>
          <w:rtl/>
        </w:rPr>
        <w:footnoteRef/>
      </w:r>
      <w:r>
        <w:rPr>
          <w:sz w:val="20"/>
          <w:szCs w:val="20"/>
          <w:rtl/>
        </w:rPr>
        <w:t>. ריאיון מ־1 באפריל 2000.</w:t>
      </w:r>
    </w:p>
  </w:footnote>
  <w:footnote w:id="4236">
    <w:p w14:paraId="627F3F08" w14:textId="77777777" w:rsidR="00AB3647" w:rsidRDefault="00000000">
      <w:pPr>
        <w:spacing w:after="0" w:before="0"/>
        <w:jc w:val="both"/>
      </w:pPr>
      <w:r>
        <w:rPr>
          <w:sz w:val="20"/>
          <w:szCs w:val="20"/>
          <w:rtl/>
        </w:rPr>
        <w:footnoteRef/>
      </w:r>
      <w:r>
        <w:rPr>
          <w:sz w:val="20"/>
          <w:szCs w:val="20"/>
          <w:rtl/>
        </w:rPr>
        <w:t xml:space="preserve">. ריאיון מ־28 בדצמבר 1997. הוא קיבל מידע זה כשלמד בישיבה </w:t>
      </w:r>
      <w:proofErr w:type="spellStart"/>
      <w:r>
        <w:rPr>
          <w:sz w:val="20"/>
          <w:szCs w:val="20"/>
          <w:rtl/>
        </w:rPr>
        <w:t>בריסקאית</w:t>
      </w:r>
      <w:proofErr w:type="spellEnd"/>
      <w:r>
        <w:rPr>
          <w:sz w:val="20"/>
          <w:szCs w:val="20"/>
          <w:rtl/>
        </w:rPr>
        <w:t xml:space="preserve"> בירושלים אצל אביו של ר׳ </w:t>
      </w:r>
      <w:proofErr w:type="spellStart"/>
      <w:r>
        <w:rPr>
          <w:sz w:val="20"/>
          <w:szCs w:val="20"/>
          <w:rtl/>
        </w:rPr>
        <w:t>אברהם־יהושע</w:t>
      </w:r>
      <w:proofErr w:type="spellEnd"/>
      <w:r>
        <w:rPr>
          <w:sz w:val="20"/>
          <w:szCs w:val="20"/>
          <w:rtl/>
        </w:rPr>
        <w:t xml:space="preserve">, ר׳ </w:t>
      </w:r>
      <w:proofErr w:type="spellStart"/>
      <w:r>
        <w:rPr>
          <w:sz w:val="20"/>
          <w:szCs w:val="20"/>
          <w:rtl/>
        </w:rPr>
        <w:t xml:space="preserve">יושע־בערל</w:t>
      </w:r>
      <w:proofErr w:type="spellEnd"/>
      <w:r>
        <w:rPr>
          <w:sz w:val="20"/>
          <w:szCs w:val="20"/>
          <w:rtl/>
        </w:rPr>
        <w:t>.</w:t>
      </w:r>
    </w:p>
  </w:footnote>
  <w:footnote w:id="4237">
    <w:p w14:paraId="46A2118A" w14:textId="77777777" w:rsidR="00AB3647" w:rsidRDefault="00000000">
      <w:pPr>
        <w:spacing w:after="0" w:before="0"/>
        <w:jc w:val="both"/>
      </w:pPr>
      <w:r>
        <w:rPr>
          <w:sz w:val="20"/>
          <w:szCs w:val="20"/>
          <w:rtl/>
        </w:rPr>
        <w:footnoteRef/>
      </w:r>
      <w:r>
        <w:rPr>
          <w:sz w:val="20"/>
          <w:szCs w:val="20"/>
          <w:rtl/>
        </w:rPr>
        <w:t xml:space="preserve">. אם זו אותה קבוצה שעליה דיבר הרב עתיק, שאלתו של ר׳ חיים </w:t>
      </w:r>
      <w:proofErr w:type="spellStart"/>
      <w:r>
        <w:rPr>
          <w:sz w:val="20"/>
          <w:szCs w:val="20"/>
          <w:rtl/>
        </w:rPr>
        <w:t>לר</w:t>
      </w:r>
      <w:proofErr w:type="spellEnd"/>
      <w:r>
        <w:rPr>
          <w:sz w:val="20"/>
          <w:szCs w:val="20"/>
          <w:rtl/>
        </w:rPr>
        <w:t>׳ משה לא הייתה אם להקל את השיעורים, אלא אם לשנות את דרך מסירתם כדי שיהיו פחות “פשוטים”.</w:t>
      </w:r>
    </w:p>
  </w:footnote>
  <w:footnote w:id="4238">
    <w:p w14:paraId="5287A9BB" w14:textId="77777777" w:rsidR="00AB3647" w:rsidRDefault="00000000">
      <w:pPr>
        <w:spacing w:after="0" w:before="0"/>
        <w:jc w:val="both"/>
      </w:pPr>
      <w:r>
        <w:rPr>
          <w:sz w:val="20"/>
          <w:szCs w:val="20"/>
          <w:rtl/>
        </w:rPr>
        <w:footnoteRef/>
      </w:r>
      <w:r>
        <w:rPr>
          <w:sz w:val="20"/>
          <w:szCs w:val="20"/>
          <w:rtl/>
        </w:rPr>
        <w:t>. נספח ב לעיל – הערה 5.</w:t>
      </w:r>
    </w:p>
  </w:footnote>
  <w:footnote w:id="4239">
    <w:p w14:paraId="39875987" w14:textId="77777777" w:rsidR="00AB3647" w:rsidRDefault="00000000">
      <w:pPr>
        <w:spacing w:after="0" w:before="0"/>
        <w:jc w:val="both"/>
      </w:pPr>
      <w:r>
        <w:rPr>
          <w:sz w:val="20"/>
          <w:szCs w:val="20"/>
          <w:rtl/>
        </w:rPr>
        <w:footnoteRef/>
      </w:r>
      <w:r>
        <w:rPr>
          <w:sz w:val="20"/>
          <w:szCs w:val="20"/>
          <w:rtl/>
        </w:rPr>
        <w:t>. הפסקה הרביעית של נספח ט לעיל – הערה 44.</w:t>
      </w:r>
    </w:p>
  </w:footnote>
  <w:footnote w:id="4240">
    <w:p w14:paraId="18826DC8" w14:textId="77777777" w:rsidR="00AB3647" w:rsidRDefault="00000000">
      <w:pPr>
        <w:spacing w:after="0" w:before="0"/>
        <w:jc w:val="both"/>
      </w:pPr>
      <w:r>
        <w:rPr>
          <w:sz w:val="20"/>
          <w:szCs w:val="20"/>
          <w:rtl/>
        </w:rPr>
        <w:footnoteRef/>
      </w:r>
      <w:r>
        <w:rPr>
          <w:sz w:val="20"/>
          <w:szCs w:val="20"/>
          <w:rtl/>
        </w:rPr>
        <w:t>. יצא לאור בהוצאת “אורות”, ח״א, תש״ל – עמ׳ 253.</w:t>
      </w:r>
    </w:p>
  </w:footnote>
  <w:footnote w:id="4241">
    <w:p w14:paraId="5EBA4E0C" w14:textId="77777777" w:rsidR="00AB3647" w:rsidRDefault="00000000">
      <w:pPr>
        <w:spacing w:after="0" w:before="0"/>
        <w:jc w:val="both"/>
      </w:pPr>
      <w:r>
        <w:rPr>
          <w:sz w:val="20"/>
          <w:szCs w:val="20"/>
          <w:rtl/>
        </w:rPr>
        <w:footnoteRef/>
      </w:r>
      <w:r>
        <w:rPr>
          <w:sz w:val="20"/>
          <w:szCs w:val="20"/>
          <w:rtl/>
        </w:rPr>
        <w:t>. ראה פרק 2, תחילת נספח א.</w:t>
      </w:r>
    </w:p>
  </w:footnote>
  <w:footnote w:id="4242">
    <w:p w14:paraId="2C510BA3" w14:textId="77777777" w:rsidR="00AB3647" w:rsidRDefault="00000000">
      <w:pPr>
        <w:spacing w:after="0" w:before="0"/>
        <w:jc w:val="both"/>
      </w:pPr>
      <w:r>
        <w:rPr>
          <w:sz w:val="20"/>
          <w:szCs w:val="20"/>
          <w:rtl/>
        </w:rPr>
        <w:footnoteRef/>
      </w:r>
      <w:r>
        <w:rPr>
          <w:sz w:val="20"/>
          <w:szCs w:val="20"/>
          <w:rtl/>
        </w:rPr>
        <w:t xml:space="preserve">. הקיבוץ הוקם אחרי פסח תרע״א, לפי מאמר שכתב אחד התלמידים, יצחק </w:t>
      </w:r>
      <w:proofErr w:type="spellStart"/>
      <w:r>
        <w:rPr>
          <w:sz w:val="20"/>
          <w:szCs w:val="20"/>
          <w:rtl/>
        </w:rPr>
        <w:t>ריבקינד</w:t>
      </w:r>
      <w:proofErr w:type="spellEnd"/>
      <w:r>
        <w:rPr>
          <w:sz w:val="20"/>
          <w:szCs w:val="20"/>
          <w:rtl/>
        </w:rPr>
        <w:t xml:space="preserve">, </w:t>
      </w:r>
      <w:proofErr w:type="spellStart"/>
      <w:r>
        <w:rPr>
          <w:sz w:val="20"/>
          <w:szCs w:val="20"/>
          <w:rtl/>
        </w:rPr>
        <w:t>בליטע</w:t>
      </w:r>
      <w:proofErr w:type="spellEnd"/>
      <w:r>
        <w:rPr>
          <w:sz w:val="20"/>
          <w:szCs w:val="20"/>
          <w:rtl/>
        </w:rPr>
        <w:t xml:space="preserve"> (תחילת נספח יא לעיל), עמ׳ 645 – ולא </w:t>
      </w:r>
      <w:proofErr w:type="spellStart"/>
      <w:r>
        <w:rPr>
          <w:sz w:val="20"/>
          <w:szCs w:val="20"/>
          <w:rtl/>
        </w:rPr>
        <w:t>בתרס״ט</w:t>
      </w:r>
      <w:proofErr w:type="spellEnd"/>
      <w:r>
        <w:rPr>
          <w:sz w:val="20"/>
          <w:szCs w:val="20"/>
          <w:rtl/>
        </w:rPr>
        <w:t>, כפי שטוען אחד בדורו שם.</w:t>
      </w:r>
    </w:p>
  </w:footnote>
  <w:footnote w:id="4243">
    <w:p w14:paraId="3C38278F" w14:textId="77777777" w:rsidR="00AB3647" w:rsidRDefault="00000000">
      <w:pPr>
        <w:spacing w:after="0" w:before="0"/>
        <w:jc w:val="both"/>
      </w:pPr>
      <w:r>
        <w:rPr>
          <w:sz w:val="20"/>
          <w:szCs w:val="20"/>
          <w:rtl/>
        </w:rPr>
        <w:footnoteRef/>
      </w:r>
      <w:r>
        <w:rPr>
          <w:sz w:val="20"/>
          <w:szCs w:val="20"/>
          <w:rtl/>
        </w:rPr>
        <w:t xml:space="preserve">. ראה כץ, “תנועת המוסר”, כרך ב (הפסקה השנייה של נספח ב לעיל), עמ׳ 60–61: בבחרותו למד ויסוצקי אצל ר׳ ישראל </w:t>
      </w:r>
      <w:proofErr w:type="spellStart"/>
      <w:r>
        <w:rPr>
          <w:sz w:val="20"/>
          <w:szCs w:val="20"/>
          <w:rtl/>
        </w:rPr>
        <w:t>סלנטר</w:t>
      </w:r>
      <w:proofErr w:type="spellEnd"/>
      <w:r>
        <w:rPr>
          <w:sz w:val="20"/>
          <w:szCs w:val="20"/>
          <w:rtl/>
        </w:rPr>
        <w:t xml:space="preserve"> </w:t>
      </w:r>
      <w:proofErr w:type="spellStart"/>
      <w:r>
        <w:rPr>
          <w:sz w:val="20"/>
          <w:szCs w:val="20"/>
          <w:rtl/>
        </w:rPr>
        <w:t>בקלויז</w:t>
      </w:r>
      <w:proofErr w:type="spellEnd"/>
      <w:r>
        <w:rPr>
          <w:sz w:val="20"/>
          <w:szCs w:val="20"/>
          <w:rtl/>
        </w:rPr>
        <w:t xml:space="preserve"> </w:t>
      </w:r>
      <w:proofErr w:type="spellStart"/>
      <w:r>
        <w:rPr>
          <w:sz w:val="20"/>
          <w:szCs w:val="20"/>
          <w:rtl/>
        </w:rPr>
        <w:t>נוויאז</w:t>
      </w:r>
      <w:proofErr w:type="spellEnd"/>
      <w:r>
        <w:rPr>
          <w:sz w:val="20"/>
          <w:szCs w:val="20"/>
          <w:rtl/>
        </w:rPr>
        <w:t xml:space="preserve">׳ בקובנה, וכשחזר לעיר הולדתו עבר לשם גם ר׳ </w:t>
      </w:r>
      <w:proofErr w:type="spellStart"/>
      <w:r>
        <w:rPr>
          <w:sz w:val="20"/>
          <w:szCs w:val="20"/>
          <w:rtl/>
        </w:rPr>
        <w:t>שמחה־זיסל</w:t>
      </w:r>
      <w:proofErr w:type="spellEnd"/>
      <w:r>
        <w:rPr>
          <w:sz w:val="20"/>
          <w:szCs w:val="20"/>
          <w:rtl/>
        </w:rPr>
        <w:t xml:space="preserve"> זיו. ר׳ </w:t>
      </w:r>
      <w:proofErr w:type="spellStart"/>
      <w:r>
        <w:rPr>
          <w:sz w:val="20"/>
          <w:szCs w:val="20"/>
          <w:rtl/>
        </w:rPr>
        <w:t>שמחה־זיסל</w:t>
      </w:r>
      <w:proofErr w:type="spellEnd"/>
      <w:r>
        <w:rPr>
          <w:sz w:val="20"/>
          <w:szCs w:val="20"/>
          <w:rtl/>
        </w:rPr>
        <w:t xml:space="preserve"> הלך אחרי ויסוצקי גם למוסקבה ושהה שם שנתיים, עד שר׳ </w:t>
      </w:r>
      <w:proofErr w:type="spellStart"/>
      <w:r>
        <w:rPr>
          <w:sz w:val="20"/>
          <w:szCs w:val="20"/>
          <w:rtl/>
        </w:rPr>
        <w:t>קלמן־וולף</w:t>
      </w:r>
      <w:proofErr w:type="spellEnd"/>
      <w:r>
        <w:rPr>
          <w:sz w:val="20"/>
          <w:szCs w:val="20"/>
          <w:rtl/>
        </w:rPr>
        <w:t xml:space="preserve"> “העסיק סופר משכיל כפקיד במשרדו”. ר׳ </w:t>
      </w:r>
      <w:proofErr w:type="spellStart"/>
      <w:r>
        <w:rPr>
          <w:sz w:val="20"/>
          <w:szCs w:val="20"/>
          <w:rtl/>
        </w:rPr>
        <w:t>שמחה־זיסל</w:t>
      </w:r>
      <w:proofErr w:type="spellEnd"/>
      <w:r>
        <w:rPr>
          <w:sz w:val="20"/>
          <w:szCs w:val="20"/>
          <w:rtl/>
        </w:rPr>
        <w:t xml:space="preserve"> עזב את מוסקבה אף </w:t>
      </w:r>
      <w:proofErr w:type="spellStart"/>
      <w:r>
        <w:rPr>
          <w:sz w:val="20"/>
          <w:szCs w:val="20"/>
          <w:rtl/>
        </w:rPr>
        <w:t>שויסוצקי</w:t>
      </w:r>
      <w:proofErr w:type="spellEnd"/>
      <w:r>
        <w:rPr>
          <w:sz w:val="20"/>
          <w:szCs w:val="20"/>
          <w:rtl/>
        </w:rPr>
        <w:t xml:space="preserve"> הפציר בו להישאר. נראה שר׳ ישראל רצה להשאיר את ר׳ </w:t>
      </w:r>
      <w:proofErr w:type="spellStart"/>
      <w:r>
        <w:rPr>
          <w:sz w:val="20"/>
          <w:szCs w:val="20"/>
          <w:rtl/>
        </w:rPr>
        <w:t>קלמן־וולף</w:t>
      </w:r>
      <w:proofErr w:type="spellEnd"/>
      <w:r>
        <w:rPr>
          <w:sz w:val="20"/>
          <w:szCs w:val="20"/>
          <w:rtl/>
        </w:rPr>
        <w:t xml:space="preserve"> תחת השפעת המוסר זמן רב ככל האפשר, על ידי שהחזיק את ר׳ </w:t>
      </w:r>
      <w:proofErr w:type="spellStart"/>
      <w:r>
        <w:rPr>
          <w:sz w:val="20"/>
          <w:szCs w:val="20"/>
          <w:rtl/>
        </w:rPr>
        <w:t>שמחה־זיסל</w:t>
      </w:r>
      <w:proofErr w:type="spellEnd"/>
      <w:r>
        <w:rPr>
          <w:sz w:val="20"/>
          <w:szCs w:val="20"/>
          <w:rtl/>
        </w:rPr>
        <w:t xml:space="preserve"> בקרבתו. השווה גם הערה 74 לעיל, לדוגמה לקרבתו של ויסוצקי לאנשי המוסר.</w:t>
      </w:r>
    </w:p>
  </w:footnote>
  <w:footnote w:id="4244">
    <w:p w14:paraId="51526D65" w14:textId="77777777" w:rsidR="00AB3647" w:rsidRDefault="00000000">
      <w:pPr>
        <w:spacing w:after="0" w:before="0"/>
        <w:jc w:val="both"/>
      </w:pPr>
      <w:r>
        <w:rPr>
          <w:sz w:val="20"/>
          <w:szCs w:val="20"/>
          <w:rtl/>
        </w:rPr>
        <w:footnoteRef/>
      </w:r>
      <w:r>
        <w:rPr>
          <w:sz w:val="20"/>
          <w:szCs w:val="20"/>
          <w:rtl/>
        </w:rPr>
        <w:t xml:space="preserve">. ראה הערת שוליים </w:t>
      </w:r>
      <w:r>
        <w:rPr>
          <w:sz w:val="20"/>
          <w:szCs w:val="20"/>
          <w:rtl/>
        </w:rPr>
        <w:fldChar w:fldCharType="begin" w:dirty="true"/>
      </w:r>
      <w:r>
        <w:rPr>
          <w:sz w:val="20"/>
          <w:szCs w:val="20"/>
          <w:rtl/>
        </w:rPr>
        <w:instrText xml:space="preserve"> NOTEREF pr_f_3752 \h </w:instrText>
      </w:r>
      <w:r>
        <w:rPr>
          <w:sz w:val="20"/>
          <w:szCs w:val="20"/>
          <w:rtl/>
        </w:rPr>
      </w:r>
      <w:r>
        <w:rPr>
          <w:sz w:val="20"/>
          <w:szCs w:val="20"/>
          <w:rtl/>
        </w:rPr>
        <w:fldChar w:fldCharType="separate"/>
      </w:r>
      <w:r w:rsidR="007923E9">
        <w:rPr>
          <w:sz w:val="20"/>
          <w:szCs w:val="20"/>
          <w:rtl/>
        </w:rPr>
        <w:t>829</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pr_f_3752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בכרך זה, וכץ, “תנועת המוסר”, כרך ב, הערה בעמ׳ 61, שלפיהם נשאר ויסוצקי “דבוק בדרך המוסר כל חייו”. כץ, שם, מביא מזיכרונותיו של הרב יעקב </w:t>
      </w:r>
      <w:proofErr w:type="spellStart"/>
      <w:r>
        <w:rPr>
          <w:sz w:val="20"/>
          <w:szCs w:val="20"/>
          <w:rtl/>
        </w:rPr>
        <w:t>מזא״ה</w:t>
      </w:r>
      <w:proofErr w:type="spellEnd"/>
      <w:r>
        <w:rPr>
          <w:sz w:val="20"/>
          <w:szCs w:val="20"/>
          <w:rtl/>
        </w:rPr>
        <w:t xml:space="preserve"> (הפסקה השנייה של נספח ח לעיל) שכאשר סיים ר׳ </w:t>
      </w:r>
      <w:proofErr w:type="spellStart"/>
      <w:r>
        <w:rPr>
          <w:sz w:val="20"/>
          <w:szCs w:val="20"/>
          <w:rtl/>
        </w:rPr>
        <w:t>קלמן־וולף</w:t>
      </w:r>
      <w:proofErr w:type="spellEnd"/>
      <w:r>
        <w:rPr>
          <w:sz w:val="20"/>
          <w:szCs w:val="20"/>
          <w:rtl/>
        </w:rPr>
        <w:t xml:space="preserve"> להיוועץ ברבה של מוסקבה כיצד לחלק את כספי המעשר שלו לצדקה (שהגיעו לחצי מיליון רובל!), “קם מכיסאו, הניח את שתי ידיו על ראשו והתהלך בחדר, קורא בקול: ‘אוי לנו מיום הדין, אוי לנו מיום התוכחה [בראשית רבה </w:t>
      </w:r>
      <w:proofErr w:type="spellStart"/>
      <w:r>
        <w:rPr>
          <w:sz w:val="20"/>
          <w:szCs w:val="20"/>
          <w:rtl/>
        </w:rPr>
        <w:t>צג:ט</w:t>
      </w:r>
      <w:proofErr w:type="spellEnd"/>
      <w:r>
        <w:rPr>
          <w:sz w:val="20"/>
          <w:szCs w:val="20"/>
          <w:rtl/>
        </w:rPr>
        <w:t>]!’”.</w:t>
      </w:r>
    </w:p>
  </w:footnote>
  <w:footnote w:id="4245">
    <w:p w14:paraId="623B8A5D" w14:textId="77777777" w:rsidR="00AB3647" w:rsidRDefault="00000000">
      <w:pPr>
        <w:spacing w:after="0" w:before="0"/>
        <w:jc w:val="both"/>
      </w:pPr>
      <w:r>
        <w:rPr>
          <w:sz w:val="20"/>
          <w:szCs w:val="20"/>
          <w:rtl/>
        </w:rPr>
        <w:footnoteRef/>
      </w:r>
      <w:r>
        <w:rPr>
          <w:sz w:val="20"/>
          <w:szCs w:val="20"/>
          <w:rtl/>
        </w:rPr>
        <w:t>. במחנה אגודה, בי״ג באב תשמ״א, כפי שנרשם ברשימותיו של ר׳ משה גרוסמן (נספח א לעיל).</w:t>
      </w:r>
    </w:p>
  </w:footnote>
  <w:footnote w:id="4246">
    <w:p w14:paraId="2138075A" w14:textId="77777777" w:rsidR="00AB3647" w:rsidRDefault="00000000">
      <w:pPr>
        <w:spacing w:after="0" w:before="0"/>
        <w:jc w:val="both"/>
      </w:pPr>
      <w:r>
        <w:rPr>
          <w:sz w:val="20"/>
          <w:szCs w:val="20"/>
          <w:rtl/>
        </w:rPr>
        <w:footnoteRef/>
      </w:r>
      <w:r>
        <w:rPr>
          <w:sz w:val="20"/>
          <w:szCs w:val="20"/>
          <w:rtl/>
        </w:rPr>
        <w:t xml:space="preserve">. לאחר שגירשה הממשלה הרוסית את היהודים מרוב ליטא </w:t>
      </w:r>
      <w:proofErr w:type="spellStart"/>
      <w:r>
        <w:rPr>
          <w:sz w:val="20"/>
          <w:szCs w:val="20"/>
          <w:rtl/>
        </w:rPr>
        <w:t>בתרע״ה</w:t>
      </w:r>
      <w:proofErr w:type="spellEnd"/>
      <w:r>
        <w:rPr>
          <w:sz w:val="20"/>
          <w:szCs w:val="20"/>
          <w:rtl/>
        </w:rPr>
        <w:t xml:space="preserve"> – ראה כרך 2 – נדדו ר׳ </w:t>
      </w:r>
      <w:proofErr w:type="spellStart"/>
      <w:r>
        <w:rPr>
          <w:sz w:val="20"/>
          <w:szCs w:val="20"/>
          <w:rtl/>
        </w:rPr>
        <w:t>איצל׳ה</w:t>
      </w:r>
      <w:proofErr w:type="spellEnd"/>
      <w:r>
        <w:rPr>
          <w:sz w:val="20"/>
          <w:szCs w:val="20"/>
          <w:rtl/>
        </w:rPr>
        <w:t xml:space="preserve"> וקיבוצו מזרחה </w:t>
      </w:r>
      <w:proofErr w:type="spellStart"/>
      <w:r>
        <w:rPr>
          <w:sz w:val="20"/>
          <w:szCs w:val="20"/>
          <w:rtl/>
        </w:rPr>
        <w:t>מפוניבז</w:t>
      </w:r>
      <w:proofErr w:type="spellEnd"/>
      <w:r>
        <w:rPr>
          <w:sz w:val="20"/>
          <w:szCs w:val="20"/>
          <w:rtl/>
        </w:rPr>
        <w:t xml:space="preserve">׳ והתיישבו בעיירה </w:t>
      </w:r>
      <w:proofErr w:type="spellStart"/>
      <w:r>
        <w:rPr>
          <w:sz w:val="20"/>
          <w:szCs w:val="20"/>
          <w:rtl/>
        </w:rPr>
        <w:t>לוצ׳ין</w:t>
      </w:r>
      <w:proofErr w:type="spellEnd"/>
      <w:r>
        <w:rPr>
          <w:sz w:val="20"/>
          <w:szCs w:val="20"/>
          <w:rtl/>
        </w:rPr>
        <w:t>, כמעט 300 קילומטרים מצפון למינסק.</w:t>
      </w:r>
    </w:p>
  </w:footnote>
  <w:footnote w:id="4247">
    <w:p w14:paraId="7D7EBAF1" w14:textId="77777777" w:rsidR="00AB3647" w:rsidRDefault="00000000">
      <w:pPr>
        <w:spacing w:after="0" w:before="0"/>
        <w:jc w:val="both"/>
      </w:pPr>
      <w:r>
        <w:rPr>
          <w:sz w:val="20"/>
          <w:szCs w:val="20"/>
          <w:rtl/>
        </w:rPr>
        <w:footnoteRef/>
      </w:r>
      <w:r>
        <w:rPr>
          <w:sz w:val="20"/>
          <w:szCs w:val="20"/>
          <w:rtl/>
        </w:rPr>
        <w:t>. דברי אבי שהובאו לעיל, שהיו בקיבוץ “</w:t>
      </w:r>
      <w:proofErr w:type="spellStart"/>
      <w:r>
        <w:rPr>
          <w:sz w:val="20"/>
          <w:szCs w:val="20"/>
          <w:rtl/>
        </w:rPr>
        <w:t>וואוילע</w:t>
      </w:r>
      <w:proofErr w:type="spellEnd"/>
      <w:r>
        <w:rPr>
          <w:sz w:val="20"/>
          <w:szCs w:val="20"/>
          <w:rtl/>
        </w:rPr>
        <w:t xml:space="preserve"> בחורים”, מתייחסים או לקבוצת המייסדים </w:t>
      </w:r>
      <w:proofErr w:type="spellStart"/>
      <w:r>
        <w:rPr>
          <w:sz w:val="20"/>
          <w:szCs w:val="20"/>
          <w:rtl/>
        </w:rPr>
        <w:t>בתרע״א</w:t>
      </w:r>
      <w:proofErr w:type="spellEnd"/>
      <w:r>
        <w:rPr>
          <w:sz w:val="20"/>
          <w:szCs w:val="20"/>
          <w:rtl/>
        </w:rPr>
        <w:t xml:space="preserve">, ולא לתלמידים שהיו שם כעבור חמש שנים, כשהוזמן ר׳ </w:t>
      </w:r>
      <w:proofErr w:type="spellStart"/>
      <w:r>
        <w:rPr>
          <w:sz w:val="20"/>
          <w:szCs w:val="20"/>
          <w:rtl/>
        </w:rPr>
        <w:t>יעקב־יצחק</w:t>
      </w:r>
      <w:proofErr w:type="spellEnd"/>
      <w:r>
        <w:rPr>
          <w:sz w:val="20"/>
          <w:szCs w:val="20"/>
          <w:rtl/>
        </w:rPr>
        <w:t xml:space="preserve"> </w:t>
      </w:r>
      <w:proofErr w:type="spellStart"/>
      <w:r>
        <w:rPr>
          <w:sz w:val="20"/>
          <w:szCs w:val="20"/>
          <w:rtl/>
        </w:rPr>
        <w:t>רודרמן</w:t>
      </w:r>
      <w:proofErr w:type="spellEnd"/>
      <w:r>
        <w:rPr>
          <w:sz w:val="20"/>
          <w:szCs w:val="20"/>
          <w:rtl/>
        </w:rPr>
        <w:t xml:space="preserve"> להצטרף; או שאבי לא ידע מה עלה בגורל התלמידים ומדוע לא הניח הסבא </w:t>
      </w:r>
      <w:proofErr w:type="spellStart"/>
      <w:r>
        <w:rPr>
          <w:sz w:val="20"/>
          <w:szCs w:val="20"/>
          <w:rtl/>
        </w:rPr>
        <w:t>לר</w:t>
      </w:r>
      <w:proofErr w:type="spellEnd"/>
      <w:r>
        <w:rPr>
          <w:sz w:val="20"/>
          <w:szCs w:val="20"/>
          <w:rtl/>
        </w:rPr>
        <w:t xml:space="preserve">׳ </w:t>
      </w:r>
      <w:proofErr w:type="spellStart"/>
      <w:r>
        <w:rPr>
          <w:sz w:val="20"/>
          <w:szCs w:val="20"/>
          <w:rtl/>
        </w:rPr>
        <w:t>יעקב־יצחק</w:t>
      </w:r>
      <w:proofErr w:type="spellEnd"/>
      <w:r>
        <w:rPr>
          <w:sz w:val="20"/>
          <w:szCs w:val="20"/>
          <w:rtl/>
        </w:rPr>
        <w:t xml:space="preserve"> </w:t>
      </w:r>
      <w:proofErr w:type="spellStart"/>
      <w:r>
        <w:rPr>
          <w:sz w:val="20"/>
          <w:szCs w:val="20"/>
          <w:rtl/>
        </w:rPr>
        <w:t>רודרמן</w:t>
      </w:r>
      <w:proofErr w:type="spellEnd"/>
      <w:r>
        <w:rPr>
          <w:sz w:val="20"/>
          <w:szCs w:val="20"/>
          <w:rtl/>
        </w:rPr>
        <w:t xml:space="preserve"> ללכת לשם. בשעה ששקל ר׳ </w:t>
      </w:r>
      <w:proofErr w:type="spellStart"/>
      <w:r>
        <w:rPr>
          <w:sz w:val="20"/>
          <w:szCs w:val="20"/>
          <w:rtl/>
        </w:rPr>
        <w:t>יעקב־יצחק</w:t>
      </w:r>
      <w:proofErr w:type="spellEnd"/>
      <w:r>
        <w:rPr>
          <w:sz w:val="20"/>
          <w:szCs w:val="20"/>
          <w:rtl/>
        </w:rPr>
        <w:t xml:space="preserve"> </w:t>
      </w:r>
      <w:proofErr w:type="spellStart"/>
      <w:r>
        <w:rPr>
          <w:sz w:val="20"/>
          <w:szCs w:val="20"/>
          <w:rtl/>
        </w:rPr>
        <w:t>רודרמן</w:t>
      </w:r>
      <w:proofErr w:type="spellEnd"/>
      <w:r>
        <w:rPr>
          <w:sz w:val="20"/>
          <w:szCs w:val="20"/>
          <w:rtl/>
        </w:rPr>
        <w:t xml:space="preserve"> להצטרף לקיבוצו של ר׳ </w:t>
      </w:r>
      <w:proofErr w:type="spellStart"/>
      <w:r>
        <w:rPr>
          <w:sz w:val="20"/>
          <w:szCs w:val="20"/>
          <w:rtl/>
        </w:rPr>
        <w:t>איצל׳ה</w:t>
      </w:r>
      <w:proofErr w:type="spellEnd"/>
      <w:r>
        <w:rPr>
          <w:sz w:val="20"/>
          <w:szCs w:val="20"/>
          <w:rtl/>
        </w:rPr>
        <w:t>, ודאי כבר עזב אבי את מינסק – ראה כרך 2.</w:t>
      </w:r>
    </w:p>
  </w:footnote>
  <w:footnote w:id="4248">
    <w:p w14:paraId="01D6B90C" w14:textId="77777777" w:rsidR="00AB3647" w:rsidRDefault="00000000">
      <w:pPr>
        <w:spacing w:after="0" w:before="0"/>
        <w:jc w:val="both"/>
      </w:pPr>
      <w:r>
        <w:rPr>
          <w:sz w:val="20"/>
          <w:szCs w:val="20"/>
          <w:rtl/>
        </w:rPr>
        <w:footnoteRef/>
      </w:r>
      <w:r>
        <w:rPr>
          <w:sz w:val="20"/>
          <w:szCs w:val="20"/>
          <w:rtl/>
        </w:rPr>
        <w:t>. השווה לפרק 3, סוף נספח ח.</w:t>
      </w:r>
    </w:p>
  </w:footnote>
  <w:footnote w:id="4249">
    <w:p w14:paraId="2585C0D3" w14:textId="77777777" w:rsidR="00AB3647" w:rsidRDefault="00000000">
      <w:pPr>
        <w:spacing w:after="0" w:before="0"/>
        <w:jc w:val="both"/>
      </w:pPr>
      <w:r>
        <w:rPr>
          <w:sz w:val="20"/>
          <w:szCs w:val="20"/>
          <w:rtl/>
        </w:rPr>
        <w:footnoteRef/>
      </w:r>
      <w:r>
        <w:rPr>
          <w:sz w:val="20"/>
          <w:szCs w:val="20"/>
          <w:rtl/>
        </w:rPr>
        <w:t xml:space="preserve">. תל אביב, תשל״ב – עמ׳ רב (בשם הרב שבתי </w:t>
      </w:r>
      <w:proofErr w:type="spellStart"/>
      <w:r>
        <w:rPr>
          <w:sz w:val="20"/>
          <w:szCs w:val="20"/>
          <w:rtl/>
        </w:rPr>
        <w:t>סלובטיצקי</w:t>
      </w:r>
      <w:proofErr w:type="spellEnd"/>
      <w:r>
        <w:rPr>
          <w:sz w:val="20"/>
          <w:szCs w:val="20"/>
          <w:rtl/>
        </w:rPr>
        <w:t>).</w:t>
      </w:r>
    </w:p>
  </w:footnote>
  <w:footnote w:id="4250">
    <w:p w14:paraId="174332BA" w14:textId="77777777" w:rsidR="00AB3647" w:rsidRDefault="00000000">
      <w:pPr>
        <w:spacing w:after="0" w:before="0"/>
        <w:jc w:val="both"/>
      </w:pPr>
      <w:r>
        <w:rPr>
          <w:sz w:val="20"/>
          <w:szCs w:val="20"/>
          <w:rtl/>
        </w:rPr>
        <w:footnoteRef/>
      </w:r>
      <w:r>
        <w:rPr>
          <w:sz w:val="20"/>
          <w:szCs w:val="20"/>
          <w:rtl/>
        </w:rPr>
        <w:t xml:space="preserve">. כץ, “תנועת המוסר”, כרך ב, עמ׳ 457, מביא מעשה מעין זה, </w:t>
      </w:r>
      <w:proofErr w:type="spellStart"/>
      <w:r>
        <w:rPr>
          <w:sz w:val="20"/>
          <w:szCs w:val="20"/>
          <w:rtl/>
        </w:rPr>
        <w:t>ש“מספרים</w:t>
      </w:r>
      <w:proofErr w:type="spellEnd"/>
      <w:r>
        <w:rPr>
          <w:sz w:val="20"/>
          <w:szCs w:val="20"/>
          <w:rtl/>
        </w:rPr>
        <w:t xml:space="preserve">” על ר׳ ישראל </w:t>
      </w:r>
      <w:proofErr w:type="spellStart"/>
      <w:r>
        <w:rPr>
          <w:sz w:val="20"/>
          <w:szCs w:val="20"/>
          <w:rtl/>
        </w:rPr>
        <w:t>סלנטר</w:t>
      </w:r>
      <w:proofErr w:type="spellEnd"/>
      <w:r>
        <w:rPr>
          <w:sz w:val="20"/>
          <w:szCs w:val="20"/>
          <w:rtl/>
        </w:rPr>
        <w:t xml:space="preserve"> בשעה שלימד </w:t>
      </w:r>
      <w:proofErr w:type="spellStart"/>
      <w:r>
        <w:rPr>
          <w:sz w:val="20"/>
          <w:szCs w:val="20"/>
          <w:rtl/>
        </w:rPr>
        <w:t>בקלויז</w:t>
      </w:r>
      <w:proofErr w:type="spellEnd"/>
      <w:r>
        <w:rPr>
          <w:sz w:val="20"/>
          <w:szCs w:val="20"/>
          <w:rtl/>
        </w:rPr>
        <w:t xml:space="preserve"> </w:t>
      </w:r>
      <w:proofErr w:type="spellStart"/>
      <w:r>
        <w:rPr>
          <w:sz w:val="20"/>
          <w:szCs w:val="20"/>
          <w:rtl/>
        </w:rPr>
        <w:t>נוויאז</w:t>
      </w:r>
      <w:proofErr w:type="spellEnd"/>
      <w:r>
        <w:rPr>
          <w:sz w:val="20"/>
          <w:szCs w:val="20"/>
          <w:rtl/>
        </w:rPr>
        <w:t xml:space="preserve">׳ בקובנה: הוא הרים על כתפיו את ר׳ נחום שפירא קטן הקומה, העילוי </w:t>
      </w:r>
      <w:proofErr w:type="spellStart"/>
      <w:r>
        <w:rPr>
          <w:sz w:val="20"/>
          <w:szCs w:val="20"/>
          <w:rtl/>
        </w:rPr>
        <w:t>מדוקשיץ</w:t>
      </w:r>
      <w:proofErr w:type="spellEnd"/>
      <w:r>
        <w:rPr>
          <w:sz w:val="20"/>
          <w:szCs w:val="20"/>
          <w:rtl/>
        </w:rPr>
        <w:t xml:space="preserve"> (ראה הפסקה השנייה של נספח ח לעיל), ורקד סביב הבימה, “מוסיף בבדיחות הדעת שכבר אינו צריך להקיף עם ספר תורה” בזרועותיו.</w:t>
      </w:r>
    </w:p>
  </w:footnote>
  <w:footnote w:id="4251">
    <w:p w14:paraId="07FDCC69" w14:textId="77777777" w:rsidR="00AB3647" w:rsidRDefault="00000000">
      <w:pPr>
        <w:spacing w:after="0" w:before="0"/>
        <w:jc w:val="both"/>
      </w:pPr>
      <w:r>
        <w:rPr>
          <w:sz w:val="20"/>
          <w:szCs w:val="20"/>
          <w:rtl/>
        </w:rPr>
        <w:footnoteRef/>
      </w:r>
      <w:r>
        <w:rPr>
          <w:sz w:val="20"/>
          <w:szCs w:val="20"/>
          <w:rtl/>
        </w:rPr>
        <w:t>. הפסקה השנייה של נספח ב לעיל – עמ׳ 139.</w:t>
      </w:r>
    </w:p>
  </w:footnote>
  <w:footnote w:id="4252">
    <w:p w14:paraId="2E978C85" w14:textId="77777777" w:rsidR="00AB3647" w:rsidRDefault="00000000">
      <w:pPr>
        <w:spacing w:after="0" w:before="0"/>
        <w:jc w:val="both"/>
      </w:pPr>
      <w:r>
        <w:rPr>
          <w:sz w:val="20"/>
          <w:szCs w:val="20"/>
          <w:rtl/>
        </w:rPr>
        <w:footnoteRef/>
      </w:r>
      <w:r>
        <w:rPr>
          <w:sz w:val="20"/>
          <w:szCs w:val="20"/>
          <w:rtl/>
        </w:rPr>
        <w:t xml:space="preserve">. השווה למאמרו של ש״ל </w:t>
      </w:r>
      <w:proofErr w:type="spellStart"/>
      <w:r>
        <w:rPr>
          <w:sz w:val="20"/>
          <w:szCs w:val="20"/>
          <w:rtl/>
        </w:rPr>
        <w:t>ציטרון</w:t>
      </w:r>
      <w:proofErr w:type="spellEnd"/>
      <w:r>
        <w:rPr>
          <w:sz w:val="20"/>
          <w:szCs w:val="20"/>
          <w:rtl/>
        </w:rPr>
        <w:t xml:space="preserve"> על “מלחמת הדינסטיות” </w:t>
      </w:r>
      <w:proofErr w:type="spellStart"/>
      <w:r>
        <w:rPr>
          <w:sz w:val="20"/>
          <w:szCs w:val="20"/>
          <w:rtl/>
        </w:rPr>
        <w:t>בוולוז׳ין</w:t>
      </w:r>
      <w:proofErr w:type="spellEnd"/>
      <w:r>
        <w:rPr>
          <w:sz w:val="20"/>
          <w:szCs w:val="20"/>
          <w:rtl/>
        </w:rPr>
        <w:t xml:space="preserve"> (הפסקה השנייה של נספח ט לעיל), עמ׳ 130.</w:t>
      </w:r>
    </w:p>
  </w:footnote>
  <w:footnote w:id="4253">
    <w:p w14:paraId="06F6A2E3" w14:textId="77777777" w:rsidR="00AB3647" w:rsidRDefault="00000000">
      <w:pPr>
        <w:spacing w:after="0" w:before="0"/>
        <w:jc w:val="both"/>
      </w:pPr>
      <w:r>
        <w:rPr>
          <w:sz w:val="20"/>
          <w:szCs w:val="20"/>
          <w:rtl/>
        </w:rPr>
        <w:footnoteRef/>
      </w:r>
      <w:r>
        <w:rPr>
          <w:sz w:val="20"/>
          <w:szCs w:val="20"/>
          <w:rtl/>
        </w:rPr>
        <w:t>. ראה פרק 3, הערה 11.</w:t>
      </w:r>
    </w:p>
  </w:footnote>
  <w:footnote w:id="4254">
    <w:p w14:paraId="3ED38667" w14:textId="77777777" w:rsidR="00AB3647" w:rsidRDefault="00000000">
      <w:pPr>
        <w:spacing w:after="0" w:before="0"/>
        <w:jc w:val="both"/>
      </w:pPr>
      <w:r>
        <w:rPr>
          <w:sz w:val="20"/>
          <w:szCs w:val="20"/>
          <w:rtl/>
        </w:rPr>
        <w:footnoteRef/>
      </w:r>
      <w:r>
        <w:rPr>
          <w:sz w:val="20"/>
          <w:szCs w:val="20"/>
          <w:rtl/>
        </w:rPr>
        <w:t>. שם, עמ׳ 126.</w:t>
      </w:r>
    </w:p>
  </w:footnote>
  <w:footnote w:id="4255">
    <w:p w14:paraId="53D7F023" w14:textId="77777777" w:rsidR="00AB3647" w:rsidRDefault="00000000">
      <w:pPr>
        <w:spacing w:after="0" w:before="0"/>
        <w:jc w:val="both"/>
      </w:pPr>
      <w:r>
        <w:rPr>
          <w:sz w:val="20"/>
          <w:szCs w:val="20"/>
          <w:rtl/>
        </w:rPr>
        <w:footnoteRef/>
      </w:r>
      <w:r>
        <w:rPr>
          <w:sz w:val="20"/>
          <w:szCs w:val="20"/>
          <w:rtl/>
        </w:rPr>
        <w:t>. נפטר בשנת תק״ד.</w:t>
      </w:r>
    </w:p>
  </w:footnote>
  <w:footnote w:id="4256">
    <w:p w14:paraId="1E245CF0" w14:textId="77777777" w:rsidR="00AB3647" w:rsidRDefault="00000000">
      <w:pPr>
        <w:spacing w:after="0" w:before="0"/>
        <w:jc w:val="both"/>
      </w:pPr>
      <w:r>
        <w:rPr>
          <w:sz w:val="20"/>
          <w:szCs w:val="20"/>
          <w:rtl/>
        </w:rPr>
        <w:footnoteRef/>
      </w:r>
      <w:r>
        <w:rPr>
          <w:sz w:val="20"/>
          <w:szCs w:val="20"/>
          <w:rtl/>
        </w:rPr>
        <w:t xml:space="preserve">. יצא לאור </w:t>
      </w:r>
      <w:proofErr w:type="spellStart"/>
      <w:r>
        <w:rPr>
          <w:sz w:val="20"/>
          <w:szCs w:val="20"/>
          <w:rtl/>
        </w:rPr>
        <w:t>בלעמבערג</w:t>
      </w:r>
      <w:proofErr w:type="spellEnd"/>
      <w:r>
        <w:rPr>
          <w:sz w:val="20"/>
          <w:szCs w:val="20"/>
          <w:rtl/>
        </w:rPr>
        <w:t xml:space="preserve">, תרע״ב – עמ׳ צא. נוסח המצבה מובא גם בתולדות </w:t>
      </w:r>
      <w:proofErr w:type="spellStart"/>
      <w:r>
        <w:rPr>
          <w:sz w:val="20"/>
          <w:szCs w:val="20"/>
          <w:rtl/>
        </w:rPr>
        <w:t>המהרש״א</w:t>
      </w:r>
      <w:proofErr w:type="spellEnd"/>
      <w:r>
        <w:rPr>
          <w:sz w:val="20"/>
          <w:szCs w:val="20"/>
          <w:rtl/>
        </w:rPr>
        <w:t xml:space="preserve"> (המקור הנזכר בהערת שוליים </w:t>
      </w:r>
      <w:r>
        <w:rPr>
          <w:sz w:val="20"/>
          <w:szCs w:val="20"/>
          <w:rtl/>
        </w:rPr>
        <w:fldChar w:fldCharType="begin" w:dirty="true"/>
      </w:r>
      <w:r>
        <w:rPr>
          <w:sz w:val="20"/>
          <w:szCs w:val="20"/>
          <w:rtl/>
        </w:rPr>
        <w:instrText xml:space="preserve"> NOTEREF pr_f_2573 \h </w:instrText>
      </w:r>
      <w:r>
        <w:rPr>
          <w:sz w:val="20"/>
          <w:szCs w:val="20"/>
          <w:rtl/>
        </w:rPr>
      </w:r>
      <w:r>
        <w:rPr>
          <w:sz w:val="20"/>
          <w:szCs w:val="20"/>
          <w:rtl/>
        </w:rPr>
        <w:fldChar w:fldCharType="separate"/>
      </w:r>
      <w:r w:rsidR="007923E9">
        <w:rPr>
          <w:sz w:val="20"/>
          <w:szCs w:val="20"/>
          <w:rtl/>
        </w:rPr>
        <w:t>1619</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pr_f_2573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4257">
    <w:p w14:paraId="740E1E14" w14:textId="77777777" w:rsidR="00AB3647" w:rsidRDefault="00000000">
      <w:pPr>
        <w:spacing w:after="0" w:before="0"/>
        <w:jc w:val="both"/>
      </w:pPr>
      <w:r>
        <w:rPr>
          <w:sz w:val="20"/>
          <w:szCs w:val="20"/>
          <w:rtl/>
        </w:rPr>
        <w:footnoteRef/>
      </w:r>
      <w:r>
        <w:rPr>
          <w:sz w:val="20"/>
          <w:szCs w:val="20"/>
          <w:rtl/>
        </w:rPr>
        <w:t xml:space="preserve">. לפי “תולדות </w:t>
      </w:r>
      <w:proofErr w:type="spellStart"/>
      <w:r>
        <w:rPr>
          <w:sz w:val="20"/>
          <w:szCs w:val="20"/>
          <w:rtl/>
        </w:rPr>
        <w:t>המהרש״א</w:t>
      </w:r>
      <w:proofErr w:type="spellEnd"/>
      <w:r>
        <w:rPr>
          <w:sz w:val="20"/>
          <w:szCs w:val="20"/>
          <w:rtl/>
        </w:rPr>
        <w:t xml:space="preserve">”, המילים “אות תורה” אכן נחקקו במצבה המחודשת אחרי התאריך המלא. אבל לפי ספר “תולדות אדם”, המילים “אות תורה” רק נרמזו: “אות” – בראשי התיבות המודגשים של יום חידוש המצבה, </w:t>
      </w:r>
      <w:proofErr w:type="spellStart"/>
      <w:r>
        <w:rPr>
          <w:sz w:val="20"/>
          <w:szCs w:val="20"/>
          <w:rtl/>
        </w:rPr>
        <w:t>ו“תורה</w:t>
      </w:r>
      <w:proofErr w:type="spellEnd"/>
      <w:r>
        <w:rPr>
          <w:sz w:val="20"/>
          <w:szCs w:val="20"/>
          <w:rtl/>
        </w:rPr>
        <w:t xml:space="preserve">” – בשנה, במקום “תרי״א” הפשוט. השווה גם שם, עמ׳ </w:t>
      </w:r>
      <w:proofErr w:type="spellStart"/>
      <w:r>
        <w:rPr>
          <w:sz w:val="20"/>
          <w:szCs w:val="20"/>
          <w:rtl/>
        </w:rPr>
        <w:t>כא</w:t>
      </w:r>
      <w:proofErr w:type="spellEnd"/>
      <w:r>
        <w:rPr>
          <w:sz w:val="20"/>
          <w:szCs w:val="20"/>
          <w:rtl/>
        </w:rPr>
        <w:t>.</w:t>
      </w:r>
    </w:p>
  </w:footnote>
  <w:footnote w:id="4258">
    <w:p w14:paraId="5CA4DCA0" w14:textId="77777777" w:rsidR="00AB3647" w:rsidRDefault="00000000">
      <w:pPr>
        <w:spacing w:after="0" w:before="0"/>
        <w:jc w:val="both"/>
      </w:pPr>
      <w:r>
        <w:rPr>
          <w:sz w:val="20"/>
          <w:szCs w:val="20"/>
          <w:rtl/>
        </w:rPr>
        <w:footnoteRef/>
      </w:r>
      <w:r>
        <w:rPr>
          <w:sz w:val="20"/>
          <w:szCs w:val="20"/>
          <w:rtl/>
        </w:rPr>
        <w:t>. נספח ט לעיל – עמ׳ 401.</w:t>
      </w:r>
    </w:p>
  </w:footnote>
  <w:footnote w:id="4259">
    <w:p w14:paraId="3BB0CD9A" w14:textId="77777777" w:rsidR="00AB3647" w:rsidRDefault="00000000">
      <w:pPr>
        <w:spacing w:after="0" w:before="0"/>
        <w:jc w:val="both"/>
      </w:pPr>
      <w:r>
        <w:rPr>
          <w:sz w:val="20"/>
          <w:szCs w:val="20"/>
          <w:rtl/>
        </w:rPr>
        <w:footnoteRef/>
      </w:r>
      <w:r>
        <w:rPr>
          <w:sz w:val="20"/>
          <w:szCs w:val="20"/>
          <w:rtl/>
        </w:rPr>
        <w:t xml:space="preserve">. הוא נזכר בפרק 3, הפסקה השנייה של נספח </w:t>
      </w:r>
      <w:proofErr w:type="spellStart"/>
      <w:r>
        <w:rPr>
          <w:sz w:val="20"/>
          <w:szCs w:val="20"/>
          <w:rtl/>
        </w:rPr>
        <w:t>טז</w:t>
      </w:r>
      <w:proofErr w:type="spellEnd"/>
      <w:r>
        <w:rPr>
          <w:sz w:val="20"/>
          <w:szCs w:val="20"/>
          <w:rtl/>
        </w:rPr>
        <w:t xml:space="preserve">, כחותנו של אחיו הבכור של </w:t>
      </w:r>
      <w:proofErr w:type="spellStart"/>
      <w:r>
        <w:rPr>
          <w:sz w:val="20"/>
          <w:szCs w:val="20"/>
          <w:rtl/>
        </w:rPr>
        <w:t>החפץ־חיים</w:t>
      </w:r>
      <w:proofErr w:type="spellEnd"/>
      <w:r>
        <w:rPr>
          <w:sz w:val="20"/>
          <w:szCs w:val="20"/>
          <w:rtl/>
        </w:rPr>
        <w:t xml:space="preserve">, ושייתכן שהוא כבר קיבל עליו את התפקיד בחיי ר׳ חיים. </w:t>
      </w:r>
      <w:proofErr w:type="spellStart"/>
      <w:r>
        <w:rPr>
          <w:sz w:val="20"/>
          <w:szCs w:val="20"/>
          <w:rtl/>
        </w:rPr>
        <w:t>האדרעצנער</w:t>
      </w:r>
      <w:proofErr w:type="spellEnd"/>
      <w:r>
        <w:rPr>
          <w:sz w:val="20"/>
          <w:szCs w:val="20"/>
          <w:rtl/>
        </w:rPr>
        <w:t xml:space="preserve"> נפטר </w:t>
      </w:r>
      <w:proofErr w:type="spellStart"/>
      <w:r>
        <w:rPr>
          <w:sz w:val="20"/>
          <w:szCs w:val="20"/>
          <w:rtl/>
        </w:rPr>
        <w:t>בתרכ״ה</w:t>
      </w:r>
      <w:proofErr w:type="spellEnd"/>
      <w:r>
        <w:rPr>
          <w:sz w:val="20"/>
          <w:szCs w:val="20"/>
          <w:rtl/>
        </w:rPr>
        <w:t xml:space="preserve">, </w:t>
      </w:r>
      <w:proofErr w:type="spellStart"/>
      <w:r>
        <w:rPr>
          <w:sz w:val="20"/>
          <w:szCs w:val="20"/>
          <w:rtl/>
        </w:rPr>
        <w:t>שתים־עשרה</w:t>
      </w:r>
      <w:proofErr w:type="spellEnd"/>
      <w:r>
        <w:rPr>
          <w:sz w:val="20"/>
          <w:szCs w:val="20"/>
          <w:rtl/>
        </w:rPr>
        <w:t xml:space="preserve"> שנה אחרי </w:t>
      </w:r>
      <w:proofErr w:type="spellStart"/>
      <w:r>
        <w:rPr>
          <w:sz w:val="20"/>
          <w:szCs w:val="20"/>
          <w:rtl/>
        </w:rPr>
        <w:t>שהנצי״ב</w:t>
      </w:r>
      <w:proofErr w:type="spellEnd"/>
      <w:r>
        <w:rPr>
          <w:sz w:val="20"/>
          <w:szCs w:val="20"/>
          <w:rtl/>
        </w:rPr>
        <w:t xml:space="preserve"> נעשה ראש ישיבה.</w:t>
      </w:r>
    </w:p>
  </w:footnote>
  <w:footnote w:id="4260">
    <w:p w14:paraId="08CC60DE" w14:textId="77777777" w:rsidR="00AB3647" w:rsidRDefault="00000000">
      <w:pPr>
        <w:spacing w:after="0" w:before="0"/>
        <w:jc w:val="both"/>
      </w:pPr>
      <w:r>
        <w:rPr>
          <w:sz w:val="20"/>
          <w:szCs w:val="20"/>
          <w:rtl/>
        </w:rPr>
        <w:footnoteRef/>
      </w:r>
      <w:r>
        <w:rPr>
          <w:sz w:val="20"/>
          <w:szCs w:val="20"/>
          <w:rtl/>
        </w:rPr>
        <w:t>. “אבי הישיבות”, שם, הערה 11.</w:t>
      </w:r>
    </w:p>
  </w:footnote>
  <w:footnote w:id="4261">
    <w:p w14:paraId="23ACE8E9" w14:textId="77777777" w:rsidR="00AB3647" w:rsidRDefault="00000000">
      <w:pPr>
        <w:spacing w:after="0" w:before="0"/>
        <w:jc w:val="both"/>
      </w:pPr>
      <w:r>
        <w:rPr>
          <w:sz w:val="20"/>
          <w:szCs w:val="20"/>
          <w:rtl/>
        </w:rPr>
        <w:footnoteRef/>
      </w:r>
      <w:r>
        <w:rPr>
          <w:sz w:val="20"/>
          <w:szCs w:val="20"/>
          <w:rtl/>
        </w:rPr>
        <w:t>. עמ׳ 206–207.</w:t>
      </w:r>
    </w:p>
  </w:footnote>
  <w:footnote w:id="4262">
    <w:p w14:paraId="3B6FF854" w14:textId="77777777" w:rsidR="00AB3647" w:rsidRDefault="00000000">
      <w:pPr>
        <w:spacing w:after="0" w:before="0"/>
        <w:jc w:val="both"/>
      </w:pPr>
      <w:r>
        <w:rPr>
          <w:sz w:val="20"/>
          <w:szCs w:val="20"/>
          <w:rtl/>
        </w:rPr>
        <w:footnoteRef/>
      </w:r>
      <w:r>
        <w:rPr>
          <w:sz w:val="20"/>
          <w:szCs w:val="20"/>
          <w:rtl/>
        </w:rPr>
        <w:t>. השווה לפרק 3, הערה 10.</w:t>
      </w:r>
    </w:p>
  </w:footnote>
  <w:footnote w:id="4263">
    <w:p w14:paraId="51968582" w14:textId="77777777" w:rsidR="00AB3647" w:rsidRDefault="00000000">
      <w:pPr>
        <w:spacing w:after="0" w:before="0"/>
        <w:jc w:val="both"/>
      </w:pPr>
      <w:r>
        <w:rPr>
          <w:sz w:val="20"/>
          <w:szCs w:val="20"/>
          <w:rtl/>
        </w:rPr>
        <w:footnoteRef/>
      </w:r>
      <w:r>
        <w:rPr>
          <w:sz w:val="20"/>
          <w:szCs w:val="20"/>
          <w:rtl/>
        </w:rPr>
        <w:t xml:space="preserve">. סיני, כרך מ״ב (תשרי–אדר תשי״ח), עמ׳ </w:t>
      </w:r>
      <w:proofErr w:type="spellStart"/>
      <w:r>
        <w:rPr>
          <w:sz w:val="20"/>
          <w:szCs w:val="20"/>
          <w:rtl/>
        </w:rPr>
        <w:t>רעט</w:t>
      </w:r>
      <w:proofErr w:type="spellEnd"/>
      <w:r>
        <w:rPr>
          <w:sz w:val="20"/>
          <w:szCs w:val="20"/>
          <w:rtl/>
        </w:rPr>
        <w:t>–</w:t>
      </w:r>
      <w:proofErr w:type="spellStart"/>
      <w:r>
        <w:rPr>
          <w:sz w:val="20"/>
          <w:szCs w:val="20"/>
          <w:rtl/>
        </w:rPr>
        <w:t>רפ</w:t>
      </w:r>
      <w:proofErr w:type="spellEnd"/>
      <w:r>
        <w:rPr>
          <w:sz w:val="20"/>
          <w:szCs w:val="20"/>
          <w:rtl/>
        </w:rPr>
        <w:t>.</w:t>
      </w:r>
    </w:p>
  </w:footnote>
  <w:footnote w:id="4264">
    <w:p w14:paraId="168CA1A6" w14:textId="77777777" w:rsidR="00AB3647" w:rsidRDefault="00000000">
      <w:pPr>
        <w:spacing w:after="0" w:before="0"/>
        <w:jc w:val="both"/>
      </w:pPr>
      <w:r>
        <w:rPr>
          <w:sz w:val="20"/>
          <w:szCs w:val="20"/>
          <w:rtl/>
        </w:rPr>
        <w:footnoteRef/>
      </w:r>
      <w:r>
        <w:rPr>
          <w:sz w:val="20"/>
          <w:szCs w:val="20"/>
          <w:rtl/>
        </w:rPr>
        <w:t>. המכתב מובא במאמר של ד״ר יצחק רפאל בארשת, א׳, תשי״ט, עמ׳ 358.</w:t>
      </w:r>
    </w:p>
  </w:footnote>
  <w:footnote w:id="4265">
    <w:p w14:paraId="2C22137B" w14:textId="77777777" w:rsidR="00AB3647" w:rsidRDefault="00000000">
      <w:pPr>
        <w:spacing w:after="0" w:before="0"/>
        <w:jc w:val="both"/>
      </w:pPr>
      <w:r>
        <w:rPr>
          <w:sz w:val="20"/>
          <w:szCs w:val="20"/>
          <w:rtl/>
        </w:rPr>
        <w:footnoteRef/>
      </w:r>
      <w:r>
        <w:rPr>
          <w:sz w:val="20"/>
          <w:szCs w:val="20"/>
          <w:rtl/>
        </w:rPr>
        <w:t xml:space="preserve">. כרך זה כולל את פירוש ר׳ חיים </w:t>
      </w:r>
      <w:proofErr w:type="spellStart"/>
      <w:r>
        <w:rPr>
          <w:sz w:val="20"/>
          <w:szCs w:val="20"/>
          <w:rtl/>
        </w:rPr>
        <w:t>מוולוז׳ין</w:t>
      </w:r>
      <w:proofErr w:type="spellEnd"/>
      <w:r>
        <w:rPr>
          <w:sz w:val="20"/>
          <w:szCs w:val="20"/>
          <w:rtl/>
        </w:rPr>
        <w:t xml:space="preserve"> לפרקי אבות, עם הקדמתו הארוכה של ר׳ </w:t>
      </w:r>
      <w:proofErr w:type="spellStart"/>
      <w:r>
        <w:rPr>
          <w:sz w:val="20"/>
          <w:szCs w:val="20"/>
          <w:rtl/>
        </w:rPr>
        <w:t>יהושע־העשיל</w:t>
      </w:r>
      <w:proofErr w:type="spellEnd"/>
      <w:r>
        <w:rPr>
          <w:sz w:val="20"/>
          <w:szCs w:val="20"/>
          <w:rtl/>
        </w:rPr>
        <w:t xml:space="preserve"> לוין, שכותרתה “מעיני יהושע”, והערותיו.</w:t>
      </w:r>
    </w:p>
  </w:footnote>
  <w:footnote w:id="4266">
    <w:p w14:paraId="325215AC" w14:textId="77777777" w:rsidR="00AB3647" w:rsidRDefault="00000000">
      <w:pPr>
        <w:spacing w:after="0" w:before="0"/>
        <w:jc w:val="both"/>
      </w:pPr>
      <w:r>
        <w:rPr>
          <w:sz w:val="20"/>
          <w:szCs w:val="20"/>
          <w:rtl/>
        </w:rPr>
        <w:footnoteRef/>
      </w:r>
      <w:r>
        <w:rPr>
          <w:sz w:val="20"/>
          <w:szCs w:val="20"/>
          <w:rtl/>
        </w:rPr>
        <w:t xml:space="preserve">. ראה פרק 2, הפסקה הרביעית של נספח א, ופרק 3, תחילת נספח </w:t>
      </w:r>
      <w:proofErr w:type="spellStart"/>
      <w:r>
        <w:rPr>
          <w:sz w:val="20"/>
          <w:szCs w:val="20"/>
          <w:rtl/>
        </w:rPr>
        <w:t>יט</w:t>
      </w:r>
      <w:proofErr w:type="spellEnd"/>
      <w:r>
        <w:rPr>
          <w:sz w:val="20"/>
          <w:szCs w:val="20"/>
          <w:rtl/>
        </w:rPr>
        <w:t>.</w:t>
      </w:r>
    </w:p>
  </w:footnote>
  <w:footnote w:id="4267">
    <w:p w14:paraId="121645F9" w14:textId="77777777" w:rsidR="00AB3647" w:rsidRDefault="00000000">
      <w:pPr>
        <w:spacing w:after="0" w:before="0"/>
        <w:jc w:val="both"/>
      </w:pPr>
      <w:r>
        <w:rPr>
          <w:sz w:val="20"/>
          <w:szCs w:val="20"/>
          <w:rtl/>
        </w:rPr>
        <w:footnoteRef/>
      </w:r>
      <w:r>
        <w:rPr>
          <w:sz w:val="20"/>
          <w:szCs w:val="20"/>
          <w:rtl/>
        </w:rPr>
        <w:t>. ראה הפסקה השמינית של נספח ט לעיל.</w:t>
      </w:r>
    </w:p>
  </w:footnote>
  <w:footnote w:id="4268">
    <w:p w14:paraId="0882C344" w14:textId="77777777" w:rsidR="00AB3647" w:rsidRDefault="00000000">
      <w:pPr>
        <w:spacing w:after="0" w:before="0"/>
        <w:jc w:val="both"/>
      </w:pPr>
      <w:r>
        <w:rPr>
          <w:rStyle w:val="a5"/>
          <w:vertAlign w:val="superscript"/>
          <w:rtl/>
        </w:rPr>
        <w:footnoteRef/>
      </w:r>
      <w:r>
        <w:rPr>
          <w:sz w:val="20"/>
          <w:szCs w:val="20"/>
        </w:rPr>
        <w:t xml:space="preserve"> </w:t>
      </w:r>
      <w:r>
        <w:rPr>
          <w:color w:val="000000"/>
          <w:sz w:val="20"/>
          <w:szCs w:val="20"/>
          <w:rtl/>
        </w:rPr>
      </w:r>
      <w:r>
        <w:rPr>
          <w:color w:val="000000"/>
          <w:sz w:val="20"/>
          <w:szCs w:val="20"/>
          <w:rtl/>
        </w:rPr>
        <w:t xml:space="preserve">הערת המתרגם: לפי הלקסיקון לספרות העברית החדשה, ר׳ </w:t>
      </w:r>
      <w:proofErr w:type="spellStart"/>
      <w:r>
        <w:rPr>
          <w:color w:val="000000"/>
          <w:sz w:val="20"/>
          <w:szCs w:val="20"/>
          <w:rtl/>
        </w:rPr>
        <w:t>יהושע־העשיל</w:t>
      </w:r>
      <w:proofErr w:type="spellEnd"/>
      <w:r>
        <w:rPr>
          <w:color w:val="000000"/>
          <w:sz w:val="20"/>
          <w:szCs w:val="20"/>
          <w:rtl/>
        </w:rPr>
        <w:t xml:space="preserve"> לוין נולד בי״ח בתמוז תקע״ח; לפי תאריך זה היה ר׳ ישראל מבוגר ממנו בכשמונה שנים.</w:t>
      </w:r>
    </w:p>
  </w:footnote>
  <w:footnote w:id="4269">
    <w:p w14:paraId="7B8716CD" w14:textId="77777777" w:rsidR="00AB3647" w:rsidRDefault="00000000">
      <w:pPr>
        <w:spacing w:after="0" w:before="0"/>
        <w:jc w:val="both"/>
      </w:pPr>
      <w:r>
        <w:rPr>
          <w:sz w:val="20"/>
          <w:szCs w:val="20"/>
          <w:rtl/>
        </w:rPr>
        <w:footnoteRef/>
      </w:r>
      <w:r>
        <w:rPr>
          <w:sz w:val="20"/>
          <w:szCs w:val="20"/>
          <w:rtl/>
        </w:rPr>
        <w:t xml:space="preserve">. אבל השווה לפסקה השנייה של הערה 22 לעיל: ייתכן שר׳ ישראל היה מבוגר מתלמידו העיקרי, ר׳ </w:t>
      </w:r>
      <w:proofErr w:type="spellStart"/>
      <w:r>
        <w:rPr>
          <w:sz w:val="20"/>
          <w:szCs w:val="20"/>
          <w:rtl/>
        </w:rPr>
        <w:t>שמחה־זיסל</w:t>
      </w:r>
      <w:proofErr w:type="spellEnd"/>
      <w:r>
        <w:rPr>
          <w:sz w:val="20"/>
          <w:szCs w:val="20"/>
          <w:rtl/>
        </w:rPr>
        <w:t xml:space="preserve"> זיו, בשבע שנים בלבד.</w:t>
      </w:r>
    </w:p>
  </w:footnote>
  <w:footnote w:id="4270">
    <w:p w14:paraId="0F9F1136" w14:textId="77777777" w:rsidR="00AB3647" w:rsidRDefault="00000000">
      <w:pPr>
        <w:spacing w:after="0" w:before="0"/>
        <w:jc w:val="both"/>
      </w:pPr>
      <w:r>
        <w:rPr>
          <w:sz w:val="20"/>
          <w:szCs w:val="20"/>
          <w:rtl/>
        </w:rPr>
        <w:footnoteRef/>
      </w:r>
      <w:r>
        <w:rPr>
          <w:sz w:val="20"/>
          <w:szCs w:val="20"/>
          <w:rtl/>
        </w:rPr>
        <w:t xml:space="preserve">. נספח </w:t>
      </w:r>
      <w:proofErr w:type="spellStart"/>
      <w:r>
        <w:rPr>
          <w:sz w:val="20"/>
          <w:szCs w:val="20"/>
          <w:rtl/>
        </w:rPr>
        <w:t>יב</w:t>
      </w:r>
      <w:proofErr w:type="spellEnd"/>
      <w:r>
        <w:rPr>
          <w:sz w:val="20"/>
          <w:szCs w:val="20"/>
          <w:rtl/>
        </w:rPr>
        <w:t xml:space="preserve"> לעיל.</w:t>
      </w:r>
    </w:p>
  </w:footnote>
  <w:footnote w:id="4271">
    <w:p w14:paraId="646400EF" w14:textId="77777777" w:rsidR="00AB3647" w:rsidRDefault="00000000">
      <w:pPr>
        <w:spacing w:after="0" w:before="0"/>
        <w:jc w:val="both"/>
      </w:pPr>
      <w:r>
        <w:rPr>
          <w:sz w:val="20"/>
          <w:szCs w:val="20"/>
          <w:rtl/>
        </w:rPr>
        <w:footnoteRef/>
      </w:r>
      <w:r>
        <w:rPr>
          <w:sz w:val="20"/>
          <w:szCs w:val="20"/>
          <w:rtl/>
        </w:rPr>
        <w:t>. הערה 1 לעיל.</w:t>
      </w:r>
    </w:p>
  </w:footnote>
  <w:footnote w:id="4272">
    <w:p w14:paraId="6B84B321" w14:textId="77777777" w:rsidR="00AB3647" w:rsidRDefault="00000000">
      <w:pPr>
        <w:spacing w:after="0" w:before="0"/>
        <w:jc w:val="both"/>
      </w:pPr>
      <w:r>
        <w:rPr>
          <w:sz w:val="20"/>
          <w:szCs w:val="20"/>
          <w:rtl/>
        </w:rPr>
        <w:footnoteRef/>
      </w:r>
      <w:r>
        <w:rPr>
          <w:sz w:val="20"/>
          <w:szCs w:val="20"/>
          <w:rtl/>
        </w:rPr>
        <w:t>. השווה נספח יא לעיל.</w:t>
      </w:r>
    </w:p>
  </w:footnote>
  <w:footnote w:id="4273">
    <w:p w14:paraId="5CD8DED0" w14:textId="77777777" w:rsidR="00AB3647" w:rsidRDefault="00000000">
      <w:pPr>
        <w:spacing w:after="0" w:before="0"/>
        <w:jc w:val="both"/>
      </w:pPr>
      <w:r>
        <w:rPr>
          <w:sz w:val="20"/>
          <w:szCs w:val="20"/>
          <w:rtl/>
        </w:rPr>
        <w:footnoteRef/>
      </w:r>
      <w:r>
        <w:rPr>
          <w:sz w:val="20"/>
          <w:szCs w:val="20"/>
          <w:rtl/>
        </w:rPr>
        <w:t>. השווה נספח יא והערה 92 לעיל.</w:t>
      </w:r>
    </w:p>
  </w:footnote>
  <w:footnote w:id="4274">
    <w:p w14:paraId="06E8CC13" w14:textId="77777777" w:rsidR="00AB3647" w:rsidRDefault="00000000">
      <w:pPr>
        <w:spacing w:after="0" w:before="0"/>
        <w:jc w:val="both"/>
      </w:pPr>
      <w:r>
        <w:rPr>
          <w:sz w:val="20"/>
          <w:szCs w:val="20"/>
          <w:rtl/>
        </w:rPr>
        <w:footnoteRef/>
      </w:r>
      <w:r>
        <w:rPr>
          <w:sz w:val="20"/>
          <w:szCs w:val="20"/>
          <w:rtl/>
        </w:rPr>
        <w:t>. הפסקה השנייה של נספח ט לעיל – כרך א, עמ׳ 205–206.</w:t>
      </w:r>
    </w:p>
  </w:footnote>
  <w:footnote w:id="4275">
    <w:p w14:paraId="2BE9A7B5" w14:textId="77777777" w:rsidR="00AB3647" w:rsidRDefault="00000000">
      <w:pPr>
        <w:spacing w:after="0" w:before="0"/>
        <w:jc w:val="both"/>
      </w:pPr>
      <w:r>
        <w:rPr>
          <w:sz w:val="20"/>
          <w:szCs w:val="20"/>
          <w:rtl/>
        </w:rPr>
        <w:footnoteRef/>
      </w:r>
      <w:r>
        <w:rPr>
          <w:sz w:val="20"/>
          <w:szCs w:val="20"/>
          <w:rtl/>
        </w:rPr>
        <w:t>. שם.</w:t>
      </w:r>
    </w:p>
  </w:footnote>
  <w:footnote w:id="4276">
    <w:p w14:paraId="3DD38413" w14:textId="77777777" w:rsidR="00AB3647" w:rsidRDefault="00000000">
      <w:pPr>
        <w:spacing w:after="0" w:before="0"/>
        <w:jc w:val="both"/>
      </w:pPr>
      <w:r>
        <w:rPr>
          <w:sz w:val="20"/>
          <w:szCs w:val="20"/>
          <w:rtl/>
        </w:rPr>
        <w:footnoteRef/>
      </w:r>
      <w:r>
        <w:rPr>
          <w:sz w:val="20"/>
          <w:szCs w:val="20"/>
          <w:rtl/>
        </w:rPr>
        <w:t xml:space="preserve">. עמ׳ </w:t>
      </w:r>
      <w:proofErr w:type="spellStart"/>
      <w:r>
        <w:rPr>
          <w:sz w:val="20"/>
          <w:szCs w:val="20"/>
          <w:rtl/>
        </w:rPr>
        <w:t>יז</w:t>
      </w:r>
      <w:proofErr w:type="spellEnd"/>
      <w:r>
        <w:rPr>
          <w:sz w:val="20"/>
          <w:szCs w:val="20"/>
          <w:rtl/>
        </w:rPr>
        <w:t xml:space="preserve"> </w:t>
      </w:r>
      <w:proofErr w:type="spellStart"/>
      <w:r>
        <w:rPr>
          <w:sz w:val="20"/>
          <w:szCs w:val="20"/>
          <w:rtl/>
        </w:rPr>
        <w:t>ויח</w:t>
      </w:r>
      <w:proofErr w:type="spellEnd"/>
      <w:r>
        <w:rPr>
          <w:sz w:val="20"/>
          <w:szCs w:val="20"/>
          <w:rtl/>
        </w:rPr>
        <w:t xml:space="preserve"> – ראה תחילת הערה 91 לעיל.</w:t>
      </w:r>
    </w:p>
  </w:footnote>
  <w:footnote w:id="4277">
    <w:p w14:paraId="767EA504" w14:textId="77777777" w:rsidR="00AB3647" w:rsidRDefault="00000000">
      <w:pPr>
        <w:spacing w:after="0" w:before="0"/>
        <w:jc w:val="both"/>
      </w:pPr>
      <w:r>
        <w:rPr>
          <w:sz w:val="20"/>
          <w:szCs w:val="20"/>
          <w:rtl/>
        </w:rPr>
        <w:footnoteRef/>
      </w:r>
      <w:r>
        <w:rPr>
          <w:sz w:val="20"/>
          <w:szCs w:val="20"/>
          <w:rtl/>
        </w:rPr>
        <w:t>. עמ׳ עד–</w:t>
      </w:r>
      <w:proofErr w:type="spellStart"/>
      <w:r>
        <w:rPr>
          <w:sz w:val="20"/>
          <w:szCs w:val="20"/>
          <w:rtl/>
        </w:rPr>
        <w:t>עה</w:t>
      </w:r>
      <w:proofErr w:type="spellEnd"/>
      <w:r>
        <w:rPr>
          <w:sz w:val="20"/>
          <w:szCs w:val="20"/>
          <w:rtl/>
        </w:rPr>
        <w:t>.</w:t>
      </w:r>
    </w:p>
  </w:footnote>
  <w:footnote w:id="4278">
    <w:p w14:paraId="738D7BAB" w14:textId="77777777" w:rsidR="00AB3647" w:rsidRDefault="00000000">
      <w:pPr>
        <w:spacing w:after="0" w:before="0"/>
        <w:jc w:val="both"/>
      </w:pPr>
      <w:r>
        <w:rPr>
          <w:sz w:val="20"/>
          <w:szCs w:val="20"/>
          <w:rtl/>
        </w:rPr>
        <w:footnoteRef/>
      </w:r>
      <w:r>
        <w:rPr>
          <w:sz w:val="20"/>
          <w:szCs w:val="20"/>
          <w:rtl/>
        </w:rPr>
        <w:t>. עמ׳ עד.</w:t>
      </w:r>
    </w:p>
  </w:footnote>
  <w:footnote w:id="4279">
    <w:p w14:paraId="15CE3AA5" w14:textId="77777777" w:rsidR="00AB3647" w:rsidRDefault="00000000">
      <w:pPr>
        <w:spacing w:after="0" w:before="0"/>
        <w:jc w:val="both"/>
      </w:pPr>
      <w:r>
        <w:rPr>
          <w:sz w:val="20"/>
          <w:szCs w:val="20"/>
          <w:rtl/>
        </w:rPr>
        <w:footnoteRef/>
      </w:r>
      <w:r>
        <w:rPr>
          <w:sz w:val="20"/>
          <w:szCs w:val="20"/>
          <w:rtl/>
        </w:rPr>
        <w:t>. השווה הערה 113 לעיל.</w:t>
      </w:r>
    </w:p>
  </w:footnote>
  <w:footnote w:id="4280">
    <w:p w14:paraId="23AC9898" w14:textId="77777777" w:rsidR="00AB3647" w:rsidRDefault="00000000">
      <w:pPr>
        <w:spacing w:after="0" w:before="0"/>
        <w:jc w:val="both"/>
      </w:pPr>
      <w:r>
        <w:rPr>
          <w:sz w:val="20"/>
          <w:szCs w:val="20"/>
          <w:rtl/>
        </w:rPr>
        <w:footnoteRef/>
      </w:r>
      <w:r>
        <w:rPr>
          <w:sz w:val="20"/>
          <w:szCs w:val="20"/>
          <w:rtl/>
        </w:rPr>
        <w:t>. משלי א, ז.</w:t>
      </w:r>
    </w:p>
  </w:footnote>
  <w:footnote w:id="4281">
    <w:p w14:paraId="2F66D217" w14:textId="77777777" w:rsidR="00AB3647" w:rsidRDefault="00000000">
      <w:pPr>
        <w:spacing w:after="0" w:before="0"/>
        <w:jc w:val="both"/>
      </w:pPr>
      <w:r>
        <w:rPr>
          <w:sz w:val="20"/>
          <w:szCs w:val="20"/>
          <w:rtl/>
        </w:rPr>
        <w:footnoteRef/>
      </w:r>
      <w:r>
        <w:rPr>
          <w:sz w:val="20"/>
          <w:szCs w:val="20"/>
          <w:rtl/>
        </w:rPr>
        <w:t>. הערה 99 לעיל.</w:t>
      </w:r>
    </w:p>
  </w:footnote>
  <w:footnote w:id="4282">
    <w:p w14:paraId="16969227" w14:textId="77777777" w:rsidR="00AB3647" w:rsidRDefault="00000000">
      <w:pPr>
        <w:spacing w:after="0" w:before="0"/>
        <w:jc w:val="both"/>
      </w:pPr>
      <w:r>
        <w:rPr>
          <w:sz w:val="20"/>
          <w:szCs w:val="20"/>
          <w:rtl/>
        </w:rPr>
        <w:footnoteRef/>
      </w:r>
      <w:r>
        <w:rPr>
          <w:sz w:val="20"/>
          <w:szCs w:val="20"/>
          <w:rtl/>
        </w:rPr>
        <w:t>. השווה הערה 110 לעיל.</w:t>
      </w:r>
    </w:p>
  </w:footnote>
  <w:footnote w:id="4283">
    <w:p w14:paraId="297194D2" w14:textId="77777777" w:rsidR="00AB3647" w:rsidRDefault="00000000">
      <w:pPr>
        <w:spacing w:after="0" w:before="0"/>
        <w:jc w:val="both"/>
      </w:pPr>
      <w:r>
        <w:rPr>
          <w:sz w:val="20"/>
          <w:szCs w:val="20"/>
          <w:rtl/>
        </w:rPr>
        <w:footnoteRef/>
      </w:r>
      <w:r>
        <w:rPr>
          <w:sz w:val="20"/>
          <w:szCs w:val="20"/>
          <w:rtl/>
        </w:rPr>
        <w:t>. השווה הערה 111 לעיל.</w:t>
      </w:r>
    </w:p>
  </w:footnote>
  <w:footnote w:id="4284">
    <w:p w14:paraId="05670E0A" w14:textId="77777777" w:rsidR="00AB3647" w:rsidRDefault="00000000">
      <w:pPr>
        <w:spacing w:after="0" w:before="0"/>
        <w:jc w:val="both"/>
      </w:pPr>
      <w:r>
        <w:rPr>
          <w:sz w:val="20"/>
          <w:szCs w:val="20"/>
          <w:rtl/>
        </w:rPr>
        <w:footnoteRef/>
      </w:r>
      <w:r>
        <w:rPr>
          <w:sz w:val="20"/>
          <w:szCs w:val="20"/>
          <w:rtl/>
        </w:rPr>
        <w:t xml:space="preserve">. </w:t>
      </w:r>
      <w:proofErr w:type="spellStart"/>
      <w:r>
        <w:rPr>
          <w:sz w:val="20"/>
          <w:szCs w:val="20"/>
          <w:rtl/>
        </w:rPr>
        <w:t>רבינר</w:t>
      </w:r>
      <w:proofErr w:type="spellEnd"/>
      <w:r>
        <w:rPr>
          <w:sz w:val="20"/>
          <w:szCs w:val="20"/>
          <w:rtl/>
        </w:rPr>
        <w:t xml:space="preserve">, “הגאון רבי אליעזר גורדון”, עמ׳ לג, בשם תלמידו של ר׳ לייזר גורדון, ר׳ </w:t>
      </w:r>
      <w:proofErr w:type="spellStart"/>
      <w:r>
        <w:rPr>
          <w:sz w:val="20"/>
          <w:szCs w:val="20"/>
          <w:rtl/>
        </w:rPr>
        <w:t>אברהם־יעקב</w:t>
      </w:r>
      <w:proofErr w:type="spellEnd"/>
      <w:r>
        <w:rPr>
          <w:sz w:val="20"/>
          <w:szCs w:val="20"/>
          <w:rtl/>
        </w:rPr>
        <w:t xml:space="preserve"> </w:t>
      </w:r>
      <w:proofErr w:type="spellStart"/>
      <w:r>
        <w:rPr>
          <w:sz w:val="20"/>
          <w:szCs w:val="20"/>
          <w:rtl/>
        </w:rPr>
        <w:t>ניימרק</w:t>
      </w:r>
      <w:proofErr w:type="spellEnd"/>
      <w:r>
        <w:rPr>
          <w:sz w:val="20"/>
          <w:szCs w:val="20"/>
          <w:rtl/>
        </w:rPr>
        <w:t xml:space="preserve">. על יחסו של ר׳ ישראל </w:t>
      </w:r>
      <w:proofErr w:type="spellStart"/>
      <w:r>
        <w:rPr>
          <w:sz w:val="20"/>
          <w:szCs w:val="20"/>
          <w:rtl/>
        </w:rPr>
        <w:t>סלנטר</w:t>
      </w:r>
      <w:proofErr w:type="spellEnd"/>
      <w:r>
        <w:rPr>
          <w:sz w:val="20"/>
          <w:szCs w:val="20"/>
          <w:rtl/>
        </w:rPr>
        <w:t xml:space="preserve"> לצורך של ר׳ לייזר גורדון במוסר ראה דברי תלמידו של ר׳ ישראל, ר׳ </w:t>
      </w:r>
      <w:proofErr w:type="spellStart"/>
      <w:r>
        <w:rPr>
          <w:sz w:val="20"/>
          <w:szCs w:val="20"/>
          <w:rtl/>
        </w:rPr>
        <w:t>איצל׳ה</w:t>
      </w:r>
      <w:proofErr w:type="spellEnd"/>
      <w:r>
        <w:rPr>
          <w:sz w:val="20"/>
          <w:szCs w:val="20"/>
          <w:rtl/>
        </w:rPr>
        <w:t xml:space="preserve"> </w:t>
      </w:r>
      <w:proofErr w:type="spellStart"/>
      <w:r>
        <w:rPr>
          <w:sz w:val="20"/>
          <w:szCs w:val="20"/>
          <w:rtl/>
        </w:rPr>
        <w:t>בלאזר</w:t>
      </w:r>
      <w:proofErr w:type="spellEnd"/>
      <w:r>
        <w:rPr>
          <w:sz w:val="20"/>
          <w:szCs w:val="20"/>
          <w:rtl/>
        </w:rPr>
        <w:t xml:space="preserve">, המובאים בפרק 3, נספח י, על כך שר׳ </w:t>
      </w:r>
      <w:proofErr w:type="spellStart"/>
      <w:r>
        <w:rPr>
          <w:sz w:val="20"/>
          <w:szCs w:val="20"/>
          <w:rtl/>
        </w:rPr>
        <w:t>משה־מרדכי</w:t>
      </w:r>
      <w:proofErr w:type="spellEnd"/>
      <w:r>
        <w:rPr>
          <w:sz w:val="20"/>
          <w:szCs w:val="20"/>
          <w:rtl/>
        </w:rPr>
        <w:t xml:space="preserve"> אפשטיין יכול היה לוותר על המוסר. ראה גם פרק 3, הערה 119, על שקידתו של ר׳ </w:t>
      </w:r>
      <w:proofErr w:type="spellStart"/>
      <w:r>
        <w:rPr>
          <w:sz w:val="20"/>
          <w:szCs w:val="20"/>
          <w:rtl/>
        </w:rPr>
        <w:t>משה־מרדכי</w:t>
      </w:r>
      <w:proofErr w:type="spellEnd"/>
      <w:r>
        <w:rPr>
          <w:sz w:val="20"/>
          <w:szCs w:val="20"/>
          <w:rtl/>
        </w:rPr>
        <w:t xml:space="preserve"> אפשטיין.</w:t>
      </w:r>
    </w:p>
  </w:footnote>
  <w:footnote w:id="4285">
    <w:p w14:paraId="5D924FA0" w14:textId="77777777" w:rsidR="00AB3647" w:rsidRDefault="00000000">
      <w:pPr>
        <w:spacing w:after="0" w:before="0"/>
        <w:jc w:val="both"/>
      </w:pPr>
      <w:r>
        <w:rPr>
          <w:sz w:val="20"/>
          <w:szCs w:val="20"/>
          <w:rtl/>
        </w:rPr>
        <w:footnoteRef/>
      </w:r>
      <w:r>
        <w:rPr>
          <w:sz w:val="20"/>
          <w:szCs w:val="20"/>
          <w:rtl/>
        </w:rPr>
        <w:t>. השווה הערה 103 לעיל וסוף הערה 127 לעיל.</w:t>
      </w:r>
    </w:p>
  </w:footnote>
  <w:footnote w:id="4286">
    <w:p w14:paraId="51059D97" w14:textId="77777777" w:rsidR="00AB3647" w:rsidRDefault="00000000">
      <w:pPr>
        <w:spacing w:after="0" w:before="0"/>
        <w:jc w:val="both"/>
      </w:pPr>
      <w:r>
        <w:rPr>
          <w:sz w:val="20"/>
          <w:szCs w:val="20"/>
          <w:rtl/>
        </w:rPr>
        <w:footnoteRef/>
      </w:r>
      <w:r>
        <w:rPr>
          <w:sz w:val="20"/>
          <w:szCs w:val="20"/>
          <w:rtl/>
        </w:rPr>
        <w:t xml:space="preserve">. אהבה מקלקלת את השורה – בראשית רבה </w:t>
      </w:r>
      <w:proofErr w:type="spellStart"/>
      <w:r>
        <w:rPr>
          <w:sz w:val="20"/>
          <w:szCs w:val="20"/>
          <w:rtl/>
        </w:rPr>
        <w:t>נה</w:t>
      </w:r>
      <w:proofErr w:type="spellEnd"/>
      <w:r>
        <w:rPr>
          <w:sz w:val="20"/>
          <w:szCs w:val="20"/>
          <w:rtl/>
        </w:rPr>
        <w:t>, ח.</w:t>
      </w:r>
    </w:p>
  </w:footnote>
  <w:footnote w:id="4287">
    <w:p w14:paraId="5F7B9C58" w14:textId="77777777" w:rsidR="00AB3647" w:rsidRDefault="00000000">
      <w:pPr>
        <w:spacing w:after="0" w:before="0"/>
        <w:jc w:val="both"/>
      </w:pPr>
      <w:r>
        <w:rPr>
          <w:sz w:val="20"/>
          <w:szCs w:val="20"/>
          <w:rtl/>
        </w:rPr>
        <w:footnoteRef/>
      </w:r>
      <w:r>
        <w:rPr>
          <w:sz w:val="20"/>
          <w:szCs w:val="20"/>
          <w:rtl/>
        </w:rPr>
        <w:t>. השווה הערה 106 לעיל.</w:t>
      </w:r>
    </w:p>
  </w:footnote>
  <w:footnote w:id="4288">
    <w:p w14:paraId="2429CACA" w14:textId="77777777" w:rsidR="00AB3647" w:rsidRDefault="00000000">
      <w:pPr>
        <w:spacing w:after="0" w:before="0"/>
        <w:jc w:val="both"/>
      </w:pPr>
      <w:r>
        <w:rPr>
          <w:sz w:val="20"/>
          <w:szCs w:val="20"/>
          <w:rtl/>
        </w:rPr>
        <w:footnoteRef/>
      </w:r>
      <w:r>
        <w:rPr>
          <w:sz w:val="20"/>
          <w:szCs w:val="20"/>
          <w:rtl/>
        </w:rPr>
        <w:t>. ריאיון מ־16 ביולי 1992.</w:t>
      </w:r>
    </w:p>
  </w:footnote>
  <w:footnote w:id="4289">
    <w:p w14:paraId="725573A8" w14:textId="77777777" w:rsidR="00AB3647" w:rsidRDefault="00000000">
      <w:pPr>
        <w:spacing w:after="0" w:before="0"/>
        <w:jc w:val="both"/>
      </w:pPr>
      <w:r>
        <w:rPr>
          <w:sz w:val="20"/>
          <w:szCs w:val="20"/>
          <w:rtl/>
        </w:rPr>
        <w:footnoteRef/>
      </w:r>
      <w:r>
        <w:rPr>
          <w:sz w:val="20"/>
          <w:szCs w:val="20"/>
          <w:rtl/>
        </w:rPr>
        <w:t>. עמ׳ 328 – השווה הנספח הבא.</w:t>
      </w:r>
    </w:p>
  </w:footnote>
  <w:footnote w:id="4290">
    <w:p w14:paraId="5342F0C9" w14:textId="77777777" w:rsidR="00AB3647" w:rsidRDefault="00000000">
      <w:pPr>
        <w:spacing w:after="0" w:before="0"/>
        <w:jc w:val="both"/>
      </w:pPr>
      <w:r>
        <w:rPr>
          <w:sz w:val="20"/>
          <w:szCs w:val="20"/>
          <w:rtl/>
        </w:rPr>
        <w:footnoteRef/>
      </w:r>
      <w:r>
        <w:rPr>
          <w:sz w:val="20"/>
          <w:szCs w:val="20"/>
          <w:rtl/>
        </w:rPr>
        <w:t>. עמ׳ 34.</w:t>
      </w:r>
    </w:p>
  </w:footnote>
  <w:footnote w:id="4291">
    <w:p w14:paraId="4A1C397E" w14:textId="77777777" w:rsidR="00AB3647" w:rsidRDefault="00000000">
      <w:pPr>
        <w:spacing w:after="0" w:before="0"/>
        <w:jc w:val="both"/>
      </w:pPr>
      <w:r>
        <w:rPr>
          <w:sz w:val="20"/>
          <w:szCs w:val="20"/>
          <w:rtl/>
        </w:rPr>
        <w:footnoteRef/>
      </w:r>
      <w:r>
        <w:rPr>
          <w:sz w:val="20"/>
          <w:szCs w:val="20"/>
          <w:rtl/>
        </w:rPr>
        <w:t xml:space="preserve">. השווה כרך 2, שבו מסופר שר׳ אברהם </w:t>
      </w:r>
      <w:proofErr w:type="spellStart"/>
      <w:r>
        <w:rPr>
          <w:sz w:val="20"/>
          <w:szCs w:val="20"/>
          <w:rtl/>
        </w:rPr>
        <w:t>קלמנוביץ</w:t>
      </w:r>
      <w:proofErr w:type="spellEnd"/>
      <w:r>
        <w:rPr>
          <w:sz w:val="20"/>
          <w:szCs w:val="20"/>
          <w:rtl/>
        </w:rPr>
        <w:t xml:space="preserve"> נשלח </w:t>
      </w:r>
      <w:proofErr w:type="spellStart"/>
      <w:r>
        <w:rPr>
          <w:sz w:val="20"/>
          <w:szCs w:val="20"/>
          <w:rtl/>
        </w:rPr>
        <w:t>לטלז</w:t>
      </w:r>
      <w:proofErr w:type="spellEnd"/>
      <w:r>
        <w:rPr>
          <w:sz w:val="20"/>
          <w:szCs w:val="20"/>
          <w:rtl/>
        </w:rPr>
        <w:t xml:space="preserve"> עם קבוצת תלמידים </w:t>
      </w:r>
      <w:proofErr w:type="spellStart"/>
      <w:r>
        <w:rPr>
          <w:sz w:val="20"/>
          <w:szCs w:val="20"/>
          <w:rtl/>
        </w:rPr>
        <w:t>בתרס״ט</w:t>
      </w:r>
      <w:proofErr w:type="spellEnd"/>
      <w:r>
        <w:rPr>
          <w:sz w:val="20"/>
          <w:szCs w:val="20"/>
          <w:rtl/>
        </w:rPr>
        <w:t xml:space="preserve">. מסתבר שהיה זה חלק </w:t>
      </w:r>
      <w:proofErr w:type="spellStart"/>
      <w:r>
        <w:rPr>
          <w:sz w:val="20"/>
          <w:szCs w:val="20"/>
          <w:rtl/>
        </w:rPr>
        <w:t>מ“חילופי</w:t>
      </w:r>
      <w:proofErr w:type="spellEnd"/>
      <w:r>
        <w:rPr>
          <w:sz w:val="20"/>
          <w:szCs w:val="20"/>
          <w:rtl/>
        </w:rPr>
        <w:t xml:space="preserve"> התלמידים” שלאחר השרפה.</w:t>
      </w:r>
    </w:p>
  </w:footnote>
  <w:footnote w:id="4292">
    <w:p w14:paraId="37D674E2" w14:textId="77777777" w:rsidR="00AB3647" w:rsidRDefault="00000000">
      <w:pPr>
        <w:spacing w:after="0" w:before="0"/>
        <w:jc w:val="both"/>
      </w:pPr>
      <w:r>
        <w:rPr>
          <w:sz w:val="20"/>
          <w:szCs w:val="20"/>
          <w:rtl/>
        </w:rPr>
        <w:footnoteRef/>
      </w:r>
      <w:r>
        <w:rPr>
          <w:sz w:val="20"/>
          <w:szCs w:val="20"/>
          <w:rtl/>
        </w:rPr>
        <w:t>. נספח יא לעיל.</w:t>
      </w:r>
    </w:p>
  </w:footnote>
  <w:footnote w:id="4293">
    <w:p w14:paraId="394EE156" w14:textId="77777777" w:rsidR="00AB3647" w:rsidRDefault="00000000">
      <w:pPr>
        <w:spacing w:after="0" w:before="0"/>
        <w:jc w:val="both"/>
      </w:pPr>
      <w:r>
        <w:rPr>
          <w:sz w:val="20"/>
          <w:szCs w:val="20"/>
          <w:rtl/>
        </w:rPr>
        <w:footnoteRef/>
      </w:r>
      <w:r>
        <w:rPr>
          <w:sz w:val="20"/>
          <w:szCs w:val="20"/>
          <w:rtl/>
        </w:rPr>
        <w:t>. השווה הערות 107 ו־113 לעיל וסוף הערה 127 לעיל.</w:t>
      </w:r>
    </w:p>
  </w:footnote>
  <w:footnote w:id="4294">
    <w:p w14:paraId="222774EA" w14:textId="77777777" w:rsidR="00AB3647" w:rsidRDefault="00000000">
      <w:pPr>
        <w:spacing w:after="0" w:before="0"/>
        <w:jc w:val="both"/>
      </w:pPr>
      <w:r>
        <w:rPr>
          <w:sz w:val="20"/>
          <w:szCs w:val="20"/>
          <w:rtl/>
        </w:rPr>
        <w:footnoteRef/>
      </w:r>
      <w:r>
        <w:rPr>
          <w:sz w:val="20"/>
          <w:szCs w:val="20"/>
          <w:rtl/>
        </w:rPr>
        <w:t>. ראה הערה 113 לעיל.</w:t>
      </w:r>
    </w:p>
  </w:footnote>
  <w:footnote w:id="4295">
    <w:p w14:paraId="5EBCF239" w14:textId="77777777" w:rsidR="00AB3647" w:rsidRDefault="00000000">
      <w:pPr>
        <w:spacing w:after="0" w:before="0"/>
        <w:jc w:val="both"/>
      </w:pPr>
      <w:r>
        <w:rPr>
          <w:sz w:val="20"/>
          <w:szCs w:val="20"/>
          <w:rtl/>
        </w:rPr>
        <w:footnoteRef/>
      </w:r>
      <w:r>
        <w:rPr>
          <w:sz w:val="20"/>
          <w:szCs w:val="20"/>
          <w:rtl/>
        </w:rPr>
        <w:t xml:space="preserve">. השווה </w:t>
      </w:r>
      <w:proofErr w:type="spellStart"/>
      <w:r>
        <w:rPr>
          <w:sz w:val="20"/>
          <w:szCs w:val="20"/>
          <w:rtl/>
        </w:rPr>
        <w:t>רבינר</w:t>
      </w:r>
      <w:proofErr w:type="spellEnd"/>
      <w:r>
        <w:rPr>
          <w:sz w:val="20"/>
          <w:szCs w:val="20"/>
          <w:rtl/>
        </w:rPr>
        <w:t xml:space="preserve">, “הגאון רבי אליעזר גורדון”, עמ׳ </w:t>
      </w:r>
      <w:proofErr w:type="spellStart"/>
      <w:r>
        <w:rPr>
          <w:sz w:val="20"/>
          <w:szCs w:val="20"/>
          <w:rtl/>
        </w:rPr>
        <w:t>רטו</w:t>
      </w:r>
      <w:proofErr w:type="spellEnd"/>
      <w:r>
        <w:rPr>
          <w:sz w:val="20"/>
          <w:szCs w:val="20"/>
          <w:rtl/>
        </w:rPr>
        <w:t xml:space="preserve">. שם טעה המחבר או מקורו, ר׳ שרגא אברמסון (או המקור שאברמסון עצמו מציין, ר׳ </w:t>
      </w:r>
      <w:proofErr w:type="spellStart"/>
      <w:r>
        <w:rPr>
          <w:sz w:val="20"/>
          <w:szCs w:val="20"/>
          <w:rtl/>
        </w:rPr>
        <w:t>יהושע־זליג</w:t>
      </w:r>
      <w:proofErr w:type="spellEnd"/>
      <w:r>
        <w:rPr>
          <w:sz w:val="20"/>
          <w:szCs w:val="20"/>
          <w:rtl/>
        </w:rPr>
        <w:t xml:space="preserve"> רוך), כשמסר שר׳ יוסף לייב הפר הסכם שלא להביא תלמידים </w:t>
      </w:r>
      <w:proofErr w:type="spellStart"/>
      <w:r>
        <w:rPr>
          <w:sz w:val="20"/>
          <w:szCs w:val="20"/>
          <w:rtl/>
        </w:rPr>
        <w:t>מסלבודקה</w:t>
      </w:r>
      <w:proofErr w:type="spellEnd"/>
      <w:r>
        <w:rPr>
          <w:sz w:val="20"/>
          <w:szCs w:val="20"/>
          <w:rtl/>
        </w:rPr>
        <w:t xml:space="preserve">. אילו היה מדובר בהבאת תלמידי </w:t>
      </w:r>
      <w:proofErr w:type="spellStart"/>
      <w:r>
        <w:rPr>
          <w:sz w:val="20"/>
          <w:szCs w:val="20"/>
          <w:rtl/>
        </w:rPr>
        <w:t>סלבודקה</w:t>
      </w:r>
      <w:proofErr w:type="spellEnd"/>
      <w:r>
        <w:rPr>
          <w:sz w:val="20"/>
          <w:szCs w:val="20"/>
          <w:rtl/>
        </w:rPr>
        <w:t xml:space="preserve">, היה ר׳ שמואל </w:t>
      </w:r>
      <w:proofErr w:type="spellStart"/>
      <w:r>
        <w:rPr>
          <w:sz w:val="20"/>
          <w:szCs w:val="20"/>
          <w:rtl/>
        </w:rPr>
        <w:t>פונדילער</w:t>
      </w:r>
      <w:proofErr w:type="spellEnd"/>
      <w:r>
        <w:rPr>
          <w:sz w:val="20"/>
          <w:szCs w:val="20"/>
          <w:rtl/>
        </w:rPr>
        <w:t xml:space="preserve"> שמח מאוד אילו הביא ר׳ יוסף לייב בלוך עוד תלמידים כאלה. התשובה שהשיב ר׳ יוסף לייב בלוך לפי המסופר שם, “קצרות ונמרצות”, כדי להצדיק את בוא התלמידים – “כלום אב יכול להרחיק את בניו, הבנים התגעגעו לאביהם ובאו אליו” – מתאימה בבירור לתלמידיו שלו משדובה; וייתכן שאכן כך הגן על עצמו כשהכניסם בניגוד להסכם.</w:t>
      </w:r>
    </w:p>
  </w:footnote>
  <w:footnote w:id="4296">
    <w:p w14:paraId="11A55DE9" w14:textId="77777777" w:rsidR="00AB3647" w:rsidRDefault="00000000">
      <w:pPr>
        <w:spacing w:after="0" w:before="0"/>
        <w:jc w:val="both"/>
      </w:pPr>
      <w:r>
        <w:rPr>
          <w:sz w:val="20"/>
          <w:szCs w:val="20"/>
          <w:rtl/>
        </w:rPr>
        <w:footnoteRef/>
      </w:r>
      <w:r>
        <w:rPr>
          <w:sz w:val="20"/>
          <w:szCs w:val="20"/>
          <w:rtl/>
        </w:rPr>
        <w:t>. התשובה הייתה לאמרת כנף ומובאת גם בספרו של כץ, “תנועת המוסר”, כרך ה, עמ׳ 35.</w:t>
      </w:r>
    </w:p>
  </w:footnote>
  <w:footnote w:id="4297">
    <w:p w14:paraId="10106806" w14:textId="77777777" w:rsidR="00AB3647" w:rsidRDefault="00000000">
      <w:pPr>
        <w:spacing w:after="0" w:before="0"/>
        <w:jc w:val="both"/>
      </w:pPr>
      <w:r>
        <w:rPr>
          <w:sz w:val="20"/>
          <w:szCs w:val="20"/>
          <w:rtl/>
        </w:rPr>
        <w:footnoteRef/>
      </w:r>
      <w:r>
        <w:rPr>
          <w:sz w:val="20"/>
          <w:szCs w:val="20"/>
          <w:rtl/>
        </w:rPr>
        <w:t>. ריאיון מ־30 בספטמבר 1997.</w:t>
      </w:r>
    </w:p>
  </w:footnote>
  <w:footnote w:id="4298">
    <w:p w14:paraId="60736061" w14:textId="77777777" w:rsidR="00AB3647" w:rsidRDefault="00000000">
      <w:pPr>
        <w:spacing w:after="0" w:before="0"/>
        <w:jc w:val="both"/>
      </w:pPr>
      <w:r>
        <w:rPr>
          <w:sz w:val="20"/>
          <w:szCs w:val="20"/>
          <w:rtl/>
        </w:rPr>
        <w:footnoteRef/>
      </w:r>
      <w:r>
        <w:rPr>
          <w:sz w:val="20"/>
          <w:szCs w:val="20"/>
          <w:rtl/>
        </w:rPr>
        <w:t>. השווה הערה 107 לעיל.</w:t>
      </w:r>
    </w:p>
  </w:footnote>
  <w:footnote w:id="4299">
    <w:p w14:paraId="45455DE7" w14:textId="77777777" w:rsidR="00AB3647" w:rsidRDefault="00000000">
      <w:pPr>
        <w:spacing w:after="0" w:before="0"/>
        <w:jc w:val="both"/>
      </w:pPr>
      <w:r>
        <w:rPr>
          <w:sz w:val="20"/>
          <w:szCs w:val="20"/>
          <w:rtl/>
        </w:rPr>
        <w:footnoteRef/>
      </w:r>
      <w:r>
        <w:rPr>
          <w:sz w:val="20"/>
          <w:szCs w:val="20"/>
          <w:rtl/>
        </w:rPr>
        <w:t>. היא נדפסה עם מהדורת תשכ״ז של ספרו “מיטב הגיון” (“פרקים במחשבת ישראל על יסוד כתבי ר׳ שמשון רפאל הירש”), בהוצאת נצח, בני ברק, עמ׳ שמד. השווה גם הערת השוליים הארוכה בספרו של כץ, “תנועת המוסר”, כרך ה, עמ׳ 31–32.</w:t>
      </w:r>
    </w:p>
  </w:footnote>
  <w:footnote w:id="4300">
    <w:p w14:paraId="113039A4" w14:textId="77777777" w:rsidR="00AB3647" w:rsidRDefault="00000000">
      <w:pPr>
        <w:spacing w:after="0" w:before="0"/>
        <w:jc w:val="both"/>
      </w:pPr>
      <w:r>
        <w:rPr>
          <w:sz w:val="20"/>
          <w:szCs w:val="20"/>
          <w:rtl/>
        </w:rPr>
        <w:footnoteRef/>
      </w:r>
      <w:r>
        <w:rPr>
          <w:sz w:val="20"/>
          <w:szCs w:val="20"/>
          <w:rtl/>
        </w:rPr>
        <w:t>. עמ׳ 328.</w:t>
      </w:r>
    </w:p>
  </w:footnote>
  <w:footnote w:id="4301">
    <w:p w14:paraId="02201070" w14:textId="77777777" w:rsidR="00AB3647" w:rsidRDefault="00000000">
      <w:pPr>
        <w:spacing w:after="0" w:before="0"/>
        <w:jc w:val="both"/>
      </w:pPr>
      <w:r>
        <w:rPr>
          <w:sz w:val="20"/>
          <w:szCs w:val="20"/>
          <w:rtl/>
        </w:rPr>
        <w:footnoteRef/>
      </w:r>
      <w:r>
        <w:rPr>
          <w:sz w:val="20"/>
          <w:szCs w:val="20"/>
          <w:rtl/>
        </w:rPr>
        <w:t xml:space="preserve">. ישעיה </w:t>
      </w:r>
      <w:proofErr w:type="spellStart"/>
      <w:r>
        <w:rPr>
          <w:sz w:val="20"/>
          <w:szCs w:val="20"/>
          <w:rtl/>
        </w:rPr>
        <w:t>כב</w:t>
      </w:r>
      <w:proofErr w:type="spellEnd"/>
      <w:r>
        <w:rPr>
          <w:sz w:val="20"/>
          <w:szCs w:val="20"/>
          <w:rtl/>
        </w:rPr>
        <w:t xml:space="preserve">, </w:t>
      </w:r>
      <w:proofErr w:type="spellStart"/>
      <w:r>
        <w:rPr>
          <w:sz w:val="20"/>
          <w:szCs w:val="20"/>
          <w:rtl/>
        </w:rPr>
        <w:t>טז</w:t>
      </w:r>
      <w:proofErr w:type="spellEnd"/>
      <w:r>
        <w:rPr>
          <w:sz w:val="20"/>
          <w:szCs w:val="20"/>
          <w:rtl/>
        </w:rPr>
        <w:t>.</w:t>
      </w:r>
    </w:p>
  </w:footnote>
  <w:footnote w:id="4302">
    <w:p w14:paraId="23235395" w14:textId="77777777" w:rsidR="00AB3647" w:rsidRDefault="00000000">
      <w:pPr>
        <w:spacing w:after="0" w:before="0"/>
        <w:jc w:val="both"/>
      </w:pPr>
      <w:r>
        <w:rPr>
          <w:sz w:val="20"/>
          <w:szCs w:val="20"/>
          <w:rtl/>
        </w:rPr>
        <w:footnoteRef/>
      </w:r>
      <w:r>
        <w:rPr>
          <w:sz w:val="20"/>
          <w:szCs w:val="20"/>
          <w:rtl/>
        </w:rPr>
        <w:t>. עמ׳ 139–141.</w:t>
      </w:r>
    </w:p>
  </w:footnote>
  <w:footnote w:id="4303">
    <w:p w14:paraId="1D4A4C22" w14:textId="77777777" w:rsidR="00AB3647" w:rsidRDefault="00000000">
      <w:pPr>
        <w:spacing w:after="0" w:before="0"/>
        <w:jc w:val="both"/>
      </w:pPr>
      <w:r>
        <w:rPr>
          <w:sz w:val="20"/>
          <w:szCs w:val="20"/>
          <w:rtl/>
        </w:rPr>
        <w:footnoteRef/>
      </w:r>
      <w:r>
        <w:rPr>
          <w:sz w:val="20"/>
          <w:szCs w:val="20"/>
          <w:rtl/>
        </w:rPr>
        <w:t>. עמ׳ 33.</w:t>
      </w:r>
    </w:p>
  </w:footnote>
  <w:footnote w:id="4304">
    <w:p w14:paraId="46576607" w14:textId="77777777" w:rsidR="00AB3647" w:rsidRDefault="00000000">
      <w:pPr>
        <w:spacing w:after="0" w:before="0"/>
        <w:jc w:val="both"/>
      </w:pPr>
      <w:r>
        <w:rPr>
          <w:sz w:val="20"/>
          <w:szCs w:val="20"/>
          <w:rtl/>
        </w:rPr>
        <w:footnoteRef/>
      </w:r>
      <w:r>
        <w:rPr>
          <w:sz w:val="20"/>
          <w:szCs w:val="20"/>
          <w:rtl/>
        </w:rPr>
        <w:t>. כלומר: לרבות מוסר.</w:t>
      </w:r>
    </w:p>
  </w:footnote>
  <w:footnote w:id="4305">
    <w:p w14:paraId="21F204CB" w14:textId="77777777" w:rsidR="00AB3647" w:rsidRDefault="00000000">
      <w:pPr>
        <w:spacing w:after="0" w:before="0"/>
        <w:jc w:val="both"/>
      </w:pPr>
      <w:r>
        <w:rPr>
          <w:sz w:val="20"/>
          <w:szCs w:val="20"/>
          <w:rtl/>
        </w:rPr>
        <w:footnoteRef/>
      </w:r>
      <w:r>
        <w:rPr>
          <w:sz w:val="20"/>
          <w:szCs w:val="20"/>
          <w:rtl/>
        </w:rPr>
        <w:t>. עמ׳ 140.</w:t>
      </w:r>
    </w:p>
  </w:footnote>
  <w:footnote w:id="4306">
    <w:p w14:paraId="5CAEA8F3" w14:textId="77777777" w:rsidR="00AB3647" w:rsidRDefault="00000000">
      <w:pPr>
        <w:spacing w:after="0" w:before="0"/>
        <w:jc w:val="both"/>
      </w:pPr>
      <w:r>
        <w:rPr>
          <w:sz w:val="20"/>
          <w:szCs w:val="20"/>
          <w:rtl/>
        </w:rPr>
        <w:footnoteRef/>
      </w:r>
      <w:r>
        <w:rPr>
          <w:sz w:val="20"/>
          <w:szCs w:val="20"/>
          <w:rtl/>
        </w:rPr>
        <w:t>. הערה 121 לעיל והערה 127 לעיל.</w:t>
      </w:r>
    </w:p>
  </w:footnote>
  <w:footnote w:id="4307">
    <w:p w14:paraId="33945DE0" w14:textId="77777777" w:rsidR="00AB3647" w:rsidRDefault="00000000">
      <w:pPr>
        <w:spacing w:after="0" w:before="0"/>
        <w:jc w:val="both"/>
      </w:pPr>
      <w:r>
        <w:rPr>
          <w:sz w:val="20"/>
          <w:szCs w:val="20"/>
          <w:rtl/>
        </w:rPr>
        <w:footnoteRef/>
      </w:r>
      <w:r>
        <w:rPr>
          <w:sz w:val="20"/>
          <w:szCs w:val="20"/>
          <w:rtl/>
        </w:rPr>
        <w:t>. בעמ׳ 141.</w:t>
      </w:r>
    </w:p>
  </w:footnote>
  <w:footnote w:id="4308">
    <w:p w14:paraId="5DE22DEB" w14:textId="77777777" w:rsidR="00AB3647" w:rsidRDefault="00000000">
      <w:pPr>
        <w:spacing w:after="0" w:before="0"/>
        <w:jc w:val="both"/>
      </w:pPr>
      <w:r>
        <w:rPr>
          <w:sz w:val="20"/>
          <w:szCs w:val="20"/>
          <w:rtl/>
        </w:rPr>
        <w:footnoteRef/>
      </w:r>
      <w:r>
        <w:rPr>
          <w:sz w:val="20"/>
          <w:szCs w:val="20"/>
          <w:rtl/>
        </w:rPr>
        <w:t xml:space="preserve">. לא ברור לי למה מתכוון </w:t>
      </w:r>
      <w:proofErr w:type="spellStart"/>
      <w:r>
        <w:rPr>
          <w:sz w:val="20"/>
          <w:szCs w:val="20"/>
          <w:rtl/>
        </w:rPr>
        <w:t>שולמן</w:t>
      </w:r>
      <w:proofErr w:type="spellEnd"/>
      <w:r>
        <w:rPr>
          <w:sz w:val="20"/>
          <w:szCs w:val="20"/>
          <w:rtl/>
        </w:rPr>
        <w:t xml:space="preserve"> באמירה זו.</w:t>
      </w:r>
    </w:p>
  </w:footnote>
  <w:footnote w:id="4309">
    <w:p w14:paraId="49087E84" w14:textId="77777777" w:rsidR="00AB3647" w:rsidRDefault="00000000">
      <w:pPr>
        <w:spacing w:after="0" w:before="0"/>
        <w:jc w:val="both"/>
      </w:pPr>
      <w:r>
        <w:rPr>
          <w:sz w:val="20"/>
          <w:szCs w:val="20"/>
          <w:rtl/>
        </w:rPr>
        <w:footnoteRef/>
      </w:r>
      <w:r>
        <w:rPr>
          <w:sz w:val="20"/>
          <w:szCs w:val="20"/>
          <w:rtl/>
        </w:rPr>
        <w:t>. השווה סוף הערה 110 לעיל.</w:t>
      </w:r>
    </w:p>
  </w:footnote>
  <w:footnote w:id="4310">
    <w:p w14:paraId="65EA683D" w14:textId="77777777" w:rsidR="00AB3647" w:rsidRDefault="00000000">
      <w:pPr>
        <w:spacing w:after="0" w:before="0"/>
        <w:jc w:val="both"/>
      </w:pPr>
      <w:r>
        <w:rPr>
          <w:sz w:val="20"/>
          <w:szCs w:val="20"/>
          <w:rtl/>
        </w:rPr>
        <w:footnoteRef/>
      </w:r>
      <w:r>
        <w:rPr>
          <w:sz w:val="20"/>
          <w:szCs w:val="20"/>
          <w:rtl/>
        </w:rPr>
        <w:t xml:space="preserve">. ברור </w:t>
      </w:r>
      <w:proofErr w:type="spellStart"/>
      <w:r>
        <w:rPr>
          <w:sz w:val="20"/>
          <w:szCs w:val="20"/>
          <w:rtl/>
        </w:rPr>
        <w:t>ששולמן</w:t>
      </w:r>
      <w:proofErr w:type="spellEnd"/>
      <w:r>
        <w:rPr>
          <w:sz w:val="20"/>
          <w:szCs w:val="20"/>
          <w:rtl/>
        </w:rPr>
        <w:t xml:space="preserve"> מתכוון </w:t>
      </w:r>
      <w:proofErr w:type="spellStart"/>
      <w:r>
        <w:rPr>
          <w:sz w:val="20"/>
          <w:szCs w:val="20"/>
          <w:rtl/>
        </w:rPr>
        <w:t>לר</w:t>
      </w:r>
      <w:proofErr w:type="spellEnd"/>
      <w:r>
        <w:rPr>
          <w:sz w:val="20"/>
          <w:szCs w:val="20"/>
          <w:rtl/>
        </w:rPr>
        <w:t xml:space="preserve">׳ שמואל </w:t>
      </w:r>
      <w:proofErr w:type="spellStart"/>
      <w:r>
        <w:rPr>
          <w:sz w:val="20"/>
          <w:szCs w:val="20"/>
          <w:rtl/>
        </w:rPr>
        <w:t>פונדילער</w:t>
      </w:r>
      <w:proofErr w:type="spellEnd"/>
      <w:r>
        <w:rPr>
          <w:sz w:val="20"/>
          <w:szCs w:val="20"/>
          <w:rtl/>
        </w:rPr>
        <w:t xml:space="preserve"> – בדרך לעג.</w:t>
      </w:r>
    </w:p>
  </w:footnote>
  <w:footnote w:id="4311">
    <w:p w14:paraId="6CADE7A4" w14:textId="77777777" w:rsidR="00AB3647" w:rsidRDefault="00000000">
      <w:pPr>
        <w:spacing w:after="0" w:before="0"/>
        <w:jc w:val="both"/>
      </w:pPr>
      <w:r>
        <w:rPr>
          <w:sz w:val="20"/>
          <w:szCs w:val="20"/>
          <w:rtl/>
        </w:rPr>
        <w:footnoteRef/>
      </w:r>
      <w:r>
        <w:rPr>
          <w:sz w:val="20"/>
          <w:szCs w:val="20"/>
          <w:rtl/>
        </w:rPr>
        <w:t>. שם.</w:t>
      </w:r>
    </w:p>
  </w:footnote>
  <w:footnote w:id="4312">
    <w:p w14:paraId="669C659A" w14:textId="77777777" w:rsidR="00AB3647" w:rsidRDefault="00000000">
      <w:pPr>
        <w:spacing w:after="0" w:before="0"/>
        <w:jc w:val="both"/>
      </w:pPr>
      <w:r>
        <w:rPr>
          <w:sz w:val="20"/>
          <w:szCs w:val="20"/>
          <w:rtl/>
        </w:rPr>
        <w:footnoteRef/>
      </w:r>
      <w:r>
        <w:rPr>
          <w:sz w:val="20"/>
          <w:szCs w:val="20"/>
          <w:rtl/>
        </w:rPr>
        <w:t xml:space="preserve">. לפי האמור שם, עמ׳ 34, אירע הדבר בשנותיו האחרונות של ר׳ שמואל </w:t>
      </w:r>
      <w:proofErr w:type="spellStart"/>
      <w:r>
        <w:rPr>
          <w:sz w:val="20"/>
          <w:szCs w:val="20"/>
          <w:rtl/>
        </w:rPr>
        <w:t>פונדילער</w:t>
      </w:r>
      <w:proofErr w:type="spellEnd"/>
      <w:r>
        <w:rPr>
          <w:sz w:val="20"/>
          <w:szCs w:val="20"/>
          <w:rtl/>
        </w:rPr>
        <w:t xml:space="preserve"> בתפקיד. אך השווה סוף הפסקה הראשונה של נספח יד לעיל, שבו מוצע הסבר אחר להצלחתו של ר׳ שמואל </w:t>
      </w:r>
      <w:proofErr w:type="spellStart"/>
      <w:r>
        <w:rPr>
          <w:sz w:val="20"/>
          <w:szCs w:val="20"/>
          <w:rtl/>
        </w:rPr>
        <w:t>פונדילער</w:t>
      </w:r>
      <w:proofErr w:type="spellEnd"/>
      <w:r>
        <w:rPr>
          <w:sz w:val="20"/>
          <w:szCs w:val="20"/>
          <w:rtl/>
        </w:rPr>
        <w:t xml:space="preserve"> </w:t>
      </w:r>
      <w:proofErr w:type="spellStart"/>
      <w:r>
        <w:rPr>
          <w:sz w:val="20"/>
          <w:szCs w:val="20"/>
          <w:rtl/>
        </w:rPr>
        <w:t>בטלז</w:t>
      </w:r>
      <w:proofErr w:type="spellEnd"/>
      <w:r>
        <w:rPr>
          <w:sz w:val="20"/>
          <w:szCs w:val="20"/>
          <w:rtl/>
        </w:rPr>
        <w:t xml:space="preserve">. פיטוריו לבסוף בידי ר׳ יוסף לייב בלוך – ראה הפסקה שלפני האחרונה בנספח יד לעיל – נבעו </w:t>
      </w:r>
      <w:proofErr w:type="spellStart"/>
      <w:r>
        <w:rPr>
          <w:sz w:val="20"/>
          <w:szCs w:val="20"/>
          <w:rtl/>
        </w:rPr>
        <w:t>מ“הליכותיו</w:t>
      </w:r>
      <w:proofErr w:type="spellEnd"/>
      <w:r>
        <w:rPr>
          <w:sz w:val="20"/>
          <w:szCs w:val="20"/>
          <w:rtl/>
        </w:rPr>
        <w:t xml:space="preserve"> הנעימות” </w:t>
      </w:r>
      <w:proofErr w:type="spellStart"/>
      <w:r>
        <w:rPr>
          <w:sz w:val="20"/>
          <w:szCs w:val="20"/>
          <w:rtl/>
        </w:rPr>
        <w:t>וכו</w:t>
      </w:r>
      <w:proofErr w:type="spellEnd"/>
      <w:r>
        <w:rPr>
          <w:sz w:val="20"/>
          <w:szCs w:val="20"/>
          <w:rtl/>
        </w:rPr>
        <w:t>׳.</w:t>
      </w:r>
    </w:p>
  </w:footnote>
  <w:footnote w:id="4313">
    <w:p w14:paraId="18F2BBDC" w14:textId="77777777" w:rsidR="00AB3647" w:rsidRDefault="00000000">
      <w:pPr>
        <w:spacing w:after="0" w:before="0"/>
        <w:jc w:val="both"/>
      </w:pPr>
      <w:r>
        <w:rPr>
          <w:sz w:val="20"/>
          <w:szCs w:val="20"/>
          <w:rtl/>
        </w:rPr>
        <w:footnoteRef/>
      </w:r>
      <w:r>
        <w:rPr>
          <w:sz w:val="20"/>
          <w:szCs w:val="20"/>
          <w:rtl/>
        </w:rPr>
        <w:t xml:space="preserve">. פרק 3, הפסקה השלישית של נספח </w:t>
      </w:r>
      <w:proofErr w:type="spellStart"/>
      <w:r>
        <w:rPr>
          <w:sz w:val="20"/>
          <w:szCs w:val="20"/>
          <w:rtl/>
        </w:rPr>
        <w:t>יח</w:t>
      </w:r>
      <w:proofErr w:type="spellEnd"/>
      <w:r>
        <w:rPr>
          <w:sz w:val="20"/>
          <w:szCs w:val="20"/>
          <w:rtl/>
        </w:rPr>
        <w:t>. השווה גם פרק 3, הערה 95.</w:t>
      </w:r>
    </w:p>
  </w:footnote>
  <w:footnote w:id="4314">
    <w:p w14:paraId="331DA484" w14:textId="77777777" w:rsidR="00AB3647" w:rsidRDefault="00000000">
      <w:pPr>
        <w:spacing w:after="0" w:before="0"/>
        <w:jc w:val="both"/>
      </w:pPr>
      <w:r>
        <w:rPr>
          <w:sz w:val="20"/>
          <w:szCs w:val="20"/>
          <w:rtl/>
        </w:rPr>
        <w:footnoteRef/>
      </w:r>
      <w:r>
        <w:rPr>
          <w:sz w:val="20"/>
          <w:szCs w:val="20"/>
          <w:rtl/>
        </w:rPr>
        <w:t>. פרק 3, הפסקה השנייה של נספח לה.</w:t>
      </w:r>
    </w:p>
  </w:footnote>
  <w:footnote w:id="4315">
    <w:p w14:paraId="133D1B45" w14:textId="77777777" w:rsidR="00AB3647" w:rsidRDefault="00000000">
      <w:pPr>
        <w:spacing w:after="0" w:before="0"/>
        <w:jc w:val="both"/>
      </w:pPr>
      <w:r>
        <w:rPr>
          <w:sz w:val="20"/>
          <w:szCs w:val="20"/>
          <w:rtl/>
        </w:rPr>
        <w:footnoteRef/>
      </w:r>
      <w:r>
        <w:rPr>
          <w:sz w:val="20"/>
          <w:szCs w:val="20"/>
          <w:rtl/>
        </w:rPr>
        <w:t>. פרק 3, נספח ח.</w:t>
      </w:r>
    </w:p>
  </w:footnote>
  <w:footnote w:id="4316">
    <w:p w14:paraId="2A4BEC33" w14:textId="77777777" w:rsidR="00AB3647" w:rsidRDefault="00000000">
      <w:pPr>
        <w:spacing w:after="0" w:before="0"/>
        <w:jc w:val="both"/>
      </w:pPr>
      <w:r>
        <w:rPr>
          <w:sz w:val="20"/>
          <w:szCs w:val="20"/>
          <w:rtl/>
        </w:rPr>
        <w:footnoteRef/>
      </w:r>
      <w:r>
        <w:rPr>
          <w:sz w:val="20"/>
          <w:szCs w:val="20"/>
          <w:rtl/>
        </w:rPr>
        <w:t xml:space="preserve">. השווה גם פרק 2, תחילת נספח ה, הערת שוליים </w:t>
      </w:r>
      <w:r>
        <w:rPr>
          <w:sz w:val="20"/>
          <w:szCs w:val="20"/>
          <w:rtl/>
        </w:rPr>
        <w:fldChar w:fldCharType="begin" w:dirty="true"/>
      </w:r>
      <w:r>
        <w:rPr>
          <w:sz w:val="20"/>
          <w:szCs w:val="20"/>
          <w:rtl/>
        </w:rPr>
        <w:instrText xml:space="preserve"> NOTEREF pr_f_931 \h </w:instrText>
      </w:r>
      <w:r>
        <w:rPr>
          <w:sz w:val="20"/>
          <w:szCs w:val="20"/>
          <w:rtl/>
        </w:rPr>
      </w:r>
      <w:r>
        <w:rPr>
          <w:sz w:val="20"/>
          <w:szCs w:val="20"/>
          <w:rtl/>
        </w:rPr>
        <w:fldChar w:fldCharType="separate"/>
      </w:r>
      <w:r w:rsidR="007923E9">
        <w:rPr>
          <w:sz w:val="20"/>
          <w:szCs w:val="20"/>
          <w:rtl/>
        </w:rPr>
        <w:t>562</w:t>
      </w:r>
      <w:r>
        <w:rPr>
          <w:sz w:val="20"/>
          <w:szCs w:val="20"/>
          <w:rtl/>
        </w:rPr>
        <w:fldChar w:fldCharType="end"/>
      </w:r>
      <w:r>
        <w:rPr>
          <w:sz w:val="20"/>
          <w:szCs w:val="20"/>
          <w:rtl/>
        </w:rPr>
        <w:t xml:space="preserve">, על הדעה המיוחסת </w:t>
      </w:r>
      <w:proofErr w:type="spellStart"/>
      <w:r>
        <w:rPr>
          <w:sz w:val="20"/>
          <w:szCs w:val="20"/>
          <w:rtl/>
        </w:rPr>
        <w:t>לר</w:t>
      </w:r>
      <w:proofErr w:type="spellEnd"/>
      <w:r>
        <w:rPr>
          <w:sz w:val="20"/>
          <w:szCs w:val="20"/>
          <w:rtl/>
        </w:rPr>
        <w:t xml:space="preserve">׳ </w:t>
      </w:r>
      <w:proofErr w:type="spellStart"/>
      <w:r>
        <w:rPr>
          <w:sz w:val="20"/>
          <w:szCs w:val="20"/>
          <w:rtl/>
        </w:rPr>
        <w:t>חיים־עוזר</w:t>
      </w:r>
      <w:proofErr w:type="spellEnd"/>
      <w:r>
        <w:rPr>
          <w:sz w:val="20"/>
          <w:szCs w:val="20"/>
          <w:rtl/>
        </w:rPr>
        <w:t xml:space="preserve">, וראה הערת שוליים </w:t>
      </w:r>
      <w:r>
        <w:rPr>
          <w:sz w:val="20"/>
          <w:szCs w:val="20"/>
          <w:rtl/>
        </w:rPr>
        <w:fldChar w:fldCharType="begin" w:dirty="true"/>
      </w:r>
      <w:r>
        <w:rPr>
          <w:sz w:val="20"/>
          <w:szCs w:val="20"/>
          <w:rtl/>
        </w:rPr>
        <w:instrText xml:space="preserve"> NOTEREF pr_f_2382 \h </w:instrText>
      </w:r>
      <w:r>
        <w:rPr>
          <w:sz w:val="20"/>
          <w:szCs w:val="20"/>
          <w:rtl/>
        </w:rPr>
      </w:r>
      <w:r>
        <w:rPr>
          <w:sz w:val="20"/>
          <w:szCs w:val="20"/>
          <w:rtl/>
        </w:rPr>
        <w:fldChar w:fldCharType="separate"/>
      </w:r>
      <w:r w:rsidR="007923E9">
        <w:rPr>
          <w:sz w:val="20"/>
          <w:szCs w:val="20"/>
          <w:rtl/>
        </w:rPr>
        <w:t>1428</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pr_f_2382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4317">
    <w:p w14:paraId="3DB13AF7" w14:textId="77777777" w:rsidR="00AB3647" w:rsidRDefault="00000000">
      <w:pPr>
        <w:spacing w:after="0" w:before="0"/>
        <w:jc w:val="both"/>
      </w:pPr>
      <w:r>
        <w:rPr>
          <w:sz w:val="20"/>
          <w:szCs w:val="20"/>
          <w:rtl/>
        </w:rPr>
        <w:footnoteRef/>
      </w:r>
      <w:r>
        <w:rPr>
          <w:sz w:val="20"/>
          <w:szCs w:val="20"/>
          <w:rtl/>
        </w:rPr>
        <w:t xml:space="preserve">. הערת שוליים </w:t>
      </w:r>
      <w:r>
        <w:rPr>
          <w:sz w:val="20"/>
          <w:szCs w:val="20"/>
          <w:rtl/>
        </w:rPr>
        <w:fldChar w:fldCharType="begin" w:dirty="true"/>
      </w:r>
      <w:r>
        <w:rPr>
          <w:sz w:val="20"/>
          <w:szCs w:val="20"/>
          <w:rtl/>
        </w:rPr>
        <w:instrText xml:space="preserve"> NOTEREF pr_f_2146 \h </w:instrText>
      </w:r>
      <w:r>
        <w:rPr>
          <w:sz w:val="20"/>
          <w:szCs w:val="20"/>
          <w:rtl/>
        </w:rPr>
      </w:r>
      <w:r>
        <w:rPr>
          <w:sz w:val="20"/>
          <w:szCs w:val="20"/>
          <w:rtl/>
        </w:rPr>
        <w:fldChar w:fldCharType="separate"/>
      </w:r>
      <w:r w:rsidR="007923E9">
        <w:rPr>
          <w:sz w:val="20"/>
          <w:szCs w:val="20"/>
          <w:rtl/>
        </w:rPr>
        <w:t>1192</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pr_f_2146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4318">
    <w:p w14:paraId="532FF8C9" w14:textId="77777777" w:rsidR="00AB3647" w:rsidRDefault="00000000">
      <w:pPr>
        <w:spacing w:after="0" w:before="0"/>
        <w:jc w:val="both"/>
      </w:pPr>
      <w:r>
        <w:rPr>
          <w:sz w:val="20"/>
          <w:szCs w:val="20"/>
          <w:rtl/>
        </w:rPr>
        <w:footnoteRef/>
      </w:r>
      <w:r>
        <w:rPr>
          <w:sz w:val="20"/>
          <w:szCs w:val="20"/>
          <w:rtl/>
        </w:rPr>
        <w:t>. ריאיון מ־17 בינואר 1988.</w:t>
      </w:r>
    </w:p>
  </w:footnote>
  <w:footnote w:id="4319">
    <w:p w14:paraId="726815CD" w14:textId="77777777" w:rsidR="00AB3647" w:rsidRDefault="00000000">
      <w:pPr>
        <w:spacing w:after="0" w:before="0"/>
        <w:jc w:val="both"/>
      </w:pPr>
      <w:r>
        <w:rPr>
          <w:sz w:val="20"/>
          <w:szCs w:val="20"/>
          <w:rtl/>
        </w:rPr>
        <w:footnoteRef/>
      </w:r>
      <w:r>
        <w:rPr>
          <w:sz w:val="20"/>
          <w:szCs w:val="20"/>
          <w:rtl/>
        </w:rPr>
        <w:t xml:space="preserve">. </w:t>
      </w:r>
      <w:proofErr w:type="spellStart"/>
      <w:r>
        <w:rPr>
          <w:sz w:val="20"/>
          <w:szCs w:val="20"/>
          <w:rtl/>
        </w:rPr>
        <w:t>פיעטרקוב</w:t>
      </w:r>
      <w:proofErr w:type="spellEnd"/>
      <w:r>
        <w:rPr>
          <w:sz w:val="20"/>
          <w:szCs w:val="20"/>
          <w:rtl/>
        </w:rPr>
        <w:t>, תרע״ג – עמ׳ 4 בהקדמה.</w:t>
      </w:r>
    </w:p>
  </w:footnote>
  <w:footnote w:id="4320">
    <w:p w14:paraId="1E195110" w14:textId="77777777" w:rsidR="00AB3647" w:rsidRDefault="00000000">
      <w:pPr>
        <w:spacing w:after="0" w:before="0"/>
        <w:jc w:val="both"/>
      </w:pPr>
      <w:r>
        <w:rPr>
          <w:sz w:val="20"/>
          <w:szCs w:val="20"/>
          <w:rtl/>
        </w:rPr>
        <w:footnoteRef/>
      </w:r>
      <w:r>
        <w:rPr>
          <w:sz w:val="20"/>
          <w:szCs w:val="20"/>
          <w:rtl/>
        </w:rPr>
        <w:t>. נספח ט לעיל – עמ׳ 422.</w:t>
      </w:r>
    </w:p>
  </w:footnote>
  <w:footnote w:id="4321">
    <w:p w14:paraId="4C478264" w14:textId="77777777" w:rsidR="00AB3647" w:rsidRDefault="00000000">
      <w:pPr>
        <w:spacing w:after="0" w:before="0"/>
        <w:jc w:val="both"/>
      </w:pPr>
      <w:r>
        <w:rPr>
          <w:sz w:val="20"/>
          <w:szCs w:val="20"/>
          <w:rtl/>
        </w:rPr>
        <w:footnoteRef/>
      </w:r>
      <w:r>
        <w:rPr>
          <w:sz w:val="20"/>
          <w:szCs w:val="20"/>
          <w:rtl/>
        </w:rPr>
        <w:t>. השווה כרך 3.</w:t>
      </w:r>
    </w:p>
  </w:footnote>
  <w:footnote w:id="4322">
    <w:p w14:paraId="6E621D47" w14:textId="77777777" w:rsidR="00AB3647" w:rsidRDefault="00000000">
      <w:pPr>
        <w:spacing w:after="0" w:before="0"/>
        <w:jc w:val="both"/>
      </w:pPr>
      <w:r>
        <w:rPr>
          <w:sz w:val="20"/>
          <w:szCs w:val="20"/>
          <w:rtl/>
        </w:rPr>
        <w:footnoteRef/>
      </w:r>
      <w:r>
        <w:rPr>
          <w:sz w:val="20"/>
          <w:szCs w:val="20"/>
          <w:rtl/>
        </w:rPr>
        <w:t>. ריאיון מ־2 בפברואר 1992. הריאיון נערך בנוכחות תלמיד מתקופה מוקדמת יותר, ר׳ מרדכי צוקרמן – ראה להלן.</w:t>
      </w:r>
    </w:p>
  </w:footnote>
  <w:footnote w:id="4323">
    <w:p w14:paraId="450A1CA9" w14:textId="77777777" w:rsidR="00AB3647" w:rsidRDefault="00000000">
      <w:pPr>
        <w:spacing w:after="0" w:before="0"/>
        <w:jc w:val="both"/>
      </w:pPr>
      <w:r>
        <w:rPr>
          <w:sz w:val="20"/>
          <w:szCs w:val="20"/>
          <w:rtl/>
        </w:rPr>
        <w:footnoteRef/>
      </w:r>
      <w:r>
        <w:rPr>
          <w:sz w:val="20"/>
          <w:szCs w:val="20"/>
          <w:rtl/>
        </w:rPr>
        <w:t xml:space="preserve">. השווה גם “שמושה של תורה” (הערה 57 לעיל), עמ׳ </w:t>
      </w:r>
      <w:proofErr w:type="spellStart"/>
      <w:r>
        <w:rPr>
          <w:sz w:val="20"/>
          <w:szCs w:val="20"/>
          <w:rtl/>
        </w:rPr>
        <w:t>לז</w:t>
      </w:r>
      <w:proofErr w:type="spellEnd"/>
      <w:r>
        <w:rPr>
          <w:sz w:val="20"/>
          <w:szCs w:val="20"/>
          <w:rtl/>
        </w:rPr>
        <w:t xml:space="preserve">, על יחסו המעניין של ר׳ </w:t>
      </w:r>
      <w:proofErr w:type="spellStart"/>
      <w:r>
        <w:rPr>
          <w:sz w:val="20"/>
          <w:szCs w:val="20"/>
          <w:rtl/>
        </w:rPr>
        <w:t>אלעזר־מנחם־מן</w:t>
      </w:r>
      <w:proofErr w:type="spellEnd"/>
      <w:r>
        <w:rPr>
          <w:sz w:val="20"/>
          <w:szCs w:val="20"/>
          <w:rtl/>
        </w:rPr>
        <w:t xml:space="preserve"> שך להחזקת ספרים שחיבר ר׳ עקיבא איגר.</w:t>
      </w:r>
    </w:p>
  </w:footnote>
  <w:footnote w:id="4324">
    <w:p w14:paraId="2FFA6094" w14:textId="77777777" w:rsidR="00AB3647" w:rsidRDefault="00000000">
      <w:pPr>
        <w:spacing w:after="0" w:before="0"/>
        <w:jc w:val="both"/>
      </w:pPr>
      <w:r>
        <w:rPr>
          <w:sz w:val="20"/>
          <w:szCs w:val="20"/>
          <w:rtl/>
        </w:rPr>
        <w:footnoteRef/>
      </w:r>
      <w:r>
        <w:rPr>
          <w:sz w:val="20"/>
          <w:szCs w:val="20"/>
          <w:rtl/>
        </w:rPr>
        <w:t xml:space="preserve">. הרב באסין היה חבר בבית דינו של ר׳ </w:t>
      </w:r>
      <w:proofErr w:type="spellStart"/>
      <w:r>
        <w:rPr>
          <w:sz w:val="20"/>
          <w:szCs w:val="20"/>
          <w:rtl/>
        </w:rPr>
        <w:t>חיים־עוזר</w:t>
      </w:r>
      <w:proofErr w:type="spellEnd"/>
      <w:r>
        <w:rPr>
          <w:sz w:val="20"/>
          <w:szCs w:val="20"/>
          <w:rtl/>
        </w:rPr>
        <w:t xml:space="preserve"> </w:t>
      </w:r>
      <w:proofErr w:type="spellStart"/>
      <w:r>
        <w:rPr>
          <w:sz w:val="20"/>
          <w:szCs w:val="20"/>
          <w:rtl/>
        </w:rPr>
        <w:t>גרודזנסקי</w:t>
      </w:r>
      <w:proofErr w:type="spellEnd"/>
      <w:r>
        <w:rPr>
          <w:sz w:val="20"/>
          <w:szCs w:val="20"/>
          <w:rtl/>
        </w:rPr>
        <w:t xml:space="preserve">, וחתנו ר׳ </w:t>
      </w:r>
      <w:proofErr w:type="spellStart"/>
      <w:r>
        <w:rPr>
          <w:sz w:val="20"/>
          <w:szCs w:val="20"/>
          <w:rtl/>
        </w:rPr>
        <w:t>ישראל־זאב</w:t>
      </w:r>
      <w:proofErr w:type="spellEnd"/>
      <w:r>
        <w:rPr>
          <w:sz w:val="20"/>
          <w:szCs w:val="20"/>
          <w:rtl/>
        </w:rPr>
        <w:t xml:space="preserve"> </w:t>
      </w:r>
      <w:proofErr w:type="spellStart"/>
      <w:r>
        <w:rPr>
          <w:sz w:val="20"/>
          <w:szCs w:val="20"/>
          <w:rtl/>
        </w:rPr>
        <w:t>גוסטמן</w:t>
      </w:r>
      <w:proofErr w:type="spellEnd"/>
      <w:r>
        <w:rPr>
          <w:sz w:val="20"/>
          <w:szCs w:val="20"/>
          <w:rtl/>
        </w:rPr>
        <w:t xml:space="preserve"> ירש את מקומו בתפקיד. ב־5 ביוני 2001 סיפר ר׳ שמחה </w:t>
      </w:r>
      <w:proofErr w:type="spellStart"/>
      <w:r>
        <w:rPr>
          <w:sz w:val="20"/>
          <w:szCs w:val="20"/>
          <w:rtl/>
        </w:rPr>
        <w:t>שיף</w:t>
      </w:r>
      <w:proofErr w:type="spellEnd"/>
      <w:r>
        <w:rPr>
          <w:sz w:val="20"/>
          <w:szCs w:val="20"/>
          <w:rtl/>
        </w:rPr>
        <w:t xml:space="preserve"> שהרב </w:t>
      </w:r>
      <w:proofErr w:type="spellStart"/>
      <w:r>
        <w:rPr>
          <w:sz w:val="20"/>
          <w:szCs w:val="20"/>
          <w:rtl/>
        </w:rPr>
        <w:t>גוסטמן</w:t>
      </w:r>
      <w:proofErr w:type="spellEnd"/>
      <w:r>
        <w:rPr>
          <w:sz w:val="20"/>
          <w:szCs w:val="20"/>
          <w:rtl/>
        </w:rPr>
        <w:t xml:space="preserve"> אמר לו: כשהציעו אותו כשידוך לבת הרב באסין והוא עמד </w:t>
      </w:r>
      <w:proofErr w:type="spellStart"/>
      <w:r>
        <w:rPr>
          <w:sz w:val="20"/>
          <w:szCs w:val="20"/>
          <w:rtl/>
        </w:rPr>
        <w:t>ב“מבחן</w:t>
      </w:r>
      <w:proofErr w:type="spellEnd"/>
      <w:r>
        <w:rPr>
          <w:sz w:val="20"/>
          <w:szCs w:val="20"/>
          <w:rtl/>
        </w:rPr>
        <w:t xml:space="preserve">” של חותנו לעתיד, אמר ר׳ </w:t>
      </w:r>
      <w:proofErr w:type="spellStart"/>
      <w:r>
        <w:rPr>
          <w:sz w:val="20"/>
          <w:szCs w:val="20"/>
          <w:rtl/>
        </w:rPr>
        <w:t>חיים־עוזר</w:t>
      </w:r>
      <w:proofErr w:type="spellEnd"/>
      <w:r>
        <w:rPr>
          <w:sz w:val="20"/>
          <w:szCs w:val="20"/>
          <w:rtl/>
        </w:rPr>
        <w:t xml:space="preserve"> </w:t>
      </w:r>
      <w:proofErr w:type="spellStart"/>
      <w:r>
        <w:rPr>
          <w:sz w:val="20"/>
          <w:szCs w:val="20"/>
          <w:rtl/>
        </w:rPr>
        <w:t>גרודזנסקי</w:t>
      </w:r>
      <w:proofErr w:type="spellEnd"/>
      <w:r>
        <w:rPr>
          <w:sz w:val="20"/>
          <w:szCs w:val="20"/>
          <w:rtl/>
        </w:rPr>
        <w:t xml:space="preserve"> שגם הוא צריך לבחון אותו. ר׳ </w:t>
      </w:r>
      <w:proofErr w:type="spellStart"/>
      <w:r>
        <w:rPr>
          <w:sz w:val="20"/>
          <w:szCs w:val="20"/>
          <w:rtl/>
        </w:rPr>
        <w:t>חיים־עוזר</w:t>
      </w:r>
      <w:proofErr w:type="spellEnd"/>
      <w:r>
        <w:rPr>
          <w:sz w:val="20"/>
          <w:szCs w:val="20"/>
          <w:rtl/>
        </w:rPr>
        <w:t xml:space="preserve"> נימק שמי שיהיה חתנו של הרב באסין עתיד לרשת יום אחד את מקומו בבית הדין, ולכן הוא זקוק לאישורו של אב בית הדין – הוא עצמו. אחר כך בחן את ר׳ </w:t>
      </w:r>
      <w:proofErr w:type="spellStart"/>
      <w:r>
        <w:rPr>
          <w:sz w:val="20"/>
          <w:szCs w:val="20"/>
          <w:rtl/>
        </w:rPr>
        <w:t>ישראל־זאב</w:t>
      </w:r>
      <w:proofErr w:type="spellEnd"/>
      <w:r>
        <w:rPr>
          <w:sz w:val="20"/>
          <w:szCs w:val="20"/>
          <w:rtl/>
        </w:rPr>
        <w:t xml:space="preserve"> ארבעה ימים תמימים, דווקא בשולחן ערוך. זמן לא רב אחרי נישואי הרב </w:t>
      </w:r>
      <w:proofErr w:type="spellStart"/>
      <w:r>
        <w:rPr>
          <w:sz w:val="20"/>
          <w:szCs w:val="20"/>
          <w:rtl/>
        </w:rPr>
        <w:t>גוסטמן</w:t>
      </w:r>
      <w:proofErr w:type="spellEnd"/>
      <w:r>
        <w:rPr>
          <w:sz w:val="20"/>
          <w:szCs w:val="20"/>
          <w:rtl/>
        </w:rPr>
        <w:t xml:space="preserve"> נפטר הרב באסין, וחתנו אכן נעשה דיין.</w:t>
      </w:r>
    </w:p>
    <w:p w14:paraId="3357D7CC" w14:textId="77777777" w:rsidR="00AB3647" w:rsidRDefault="00000000">
      <w:pPr>
        <w:spacing w:after="0" w:before="0"/>
        <w:jc w:val="both"/>
      </w:pPr>
      <w:r>
        <w:rPr>
          <w:sz w:val="20"/>
          <w:szCs w:val="20"/>
          <w:rtl/>
        </w:rPr>
        <w:t xml:space="preserve">באותה הזדמנות גילה הרב </w:t>
      </w:r>
      <w:proofErr w:type="spellStart"/>
      <w:r>
        <w:rPr>
          <w:sz w:val="20"/>
          <w:szCs w:val="20"/>
          <w:rtl/>
        </w:rPr>
        <w:t>גוסטמן</w:t>
      </w:r>
      <w:proofErr w:type="spellEnd"/>
      <w:r>
        <w:rPr>
          <w:sz w:val="20"/>
          <w:szCs w:val="20"/>
          <w:rtl/>
        </w:rPr>
        <w:t xml:space="preserve"> שבערב יום הכיפורים היה ר׳ </w:t>
      </w:r>
      <w:proofErr w:type="spellStart"/>
      <w:r>
        <w:rPr>
          <w:sz w:val="20"/>
          <w:szCs w:val="20"/>
          <w:rtl/>
        </w:rPr>
        <w:t>חיים־עוזר</w:t>
      </w:r>
      <w:proofErr w:type="spellEnd"/>
      <w:r>
        <w:rPr>
          <w:sz w:val="20"/>
          <w:szCs w:val="20"/>
          <w:rtl/>
        </w:rPr>
        <w:t xml:space="preserve"> חוזר ועובר על כל הדינים שפסקו בבית הדין בשנה החולפת, כדי לוודא שפסקו כראוי ולא עשקו איש. </w:t>
      </w:r>
      <w:proofErr w:type="spellStart"/>
      <w:r>
        <w:rPr>
          <w:sz w:val="20"/>
          <w:szCs w:val="20"/>
          <w:rtl/>
        </w:rPr>
        <w:t>לר</w:t>
      </w:r>
      <w:proofErr w:type="spellEnd"/>
      <w:r>
        <w:rPr>
          <w:sz w:val="20"/>
          <w:szCs w:val="20"/>
          <w:rtl/>
        </w:rPr>
        <w:t xml:space="preserve">׳ </w:t>
      </w:r>
      <w:proofErr w:type="spellStart"/>
      <w:r>
        <w:rPr>
          <w:sz w:val="20"/>
          <w:szCs w:val="20"/>
          <w:rtl/>
        </w:rPr>
        <w:t>חיים־עוזר</w:t>
      </w:r>
      <w:proofErr w:type="spellEnd"/>
      <w:r>
        <w:rPr>
          <w:sz w:val="20"/>
          <w:szCs w:val="20"/>
          <w:rtl/>
        </w:rPr>
        <w:t xml:space="preserve"> </w:t>
      </w:r>
      <w:proofErr w:type="spellStart"/>
      <w:r>
        <w:rPr>
          <w:sz w:val="20"/>
          <w:szCs w:val="20"/>
          <w:rtl/>
        </w:rPr>
        <w:t>גרודזנסקי</w:t>
      </w:r>
      <w:proofErr w:type="spellEnd"/>
      <w:r>
        <w:rPr>
          <w:sz w:val="20"/>
          <w:szCs w:val="20"/>
          <w:rtl/>
        </w:rPr>
        <w:t xml:space="preserve"> היה זיכרון מופלא – ראה “רב חיים עוזר” (שם, הערת שוליים </w:t>
      </w:r>
      <w:r>
        <w:rPr>
          <w:sz w:val="20"/>
          <w:szCs w:val="20"/>
          <w:rtl/>
        </w:rPr>
        <w:fldChar w:fldCharType="begin" w:dirty="true"/>
      </w:r>
      <w:r>
        <w:rPr>
          <w:sz w:val="20"/>
          <w:szCs w:val="20"/>
          <w:rtl/>
        </w:rPr>
        <w:instrText xml:space="preserve"> NOTEREF pr_f_1685 \h </w:instrText>
      </w:r>
      <w:r>
        <w:rPr>
          <w:sz w:val="20"/>
          <w:szCs w:val="20"/>
          <w:rtl/>
        </w:rPr>
      </w:r>
      <w:r>
        <w:rPr>
          <w:sz w:val="20"/>
          <w:szCs w:val="20"/>
          <w:rtl/>
        </w:rPr>
        <w:fldChar w:fldCharType="separate"/>
      </w:r>
      <w:r w:rsidR="007923E9">
        <w:rPr>
          <w:sz w:val="20"/>
          <w:szCs w:val="20"/>
          <w:rtl/>
        </w:rPr>
        <w:t>732</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pr_f_1685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החלק הראשון של פרק 7 – והוא היה זוכר כל דין לפי התאריך שבו הוכרע. בחדר בית הדין היה שולחן ערוך במאכלים טובים, וכשהפסיק ר׳ </w:t>
      </w:r>
      <w:proofErr w:type="spellStart"/>
      <w:r>
        <w:rPr>
          <w:sz w:val="20"/>
          <w:szCs w:val="20"/>
          <w:rtl/>
        </w:rPr>
        <w:t>חיים־עוזר</w:t>
      </w:r>
      <w:proofErr w:type="spellEnd"/>
      <w:r>
        <w:rPr>
          <w:sz w:val="20"/>
          <w:szCs w:val="20"/>
          <w:rtl/>
        </w:rPr>
        <w:t xml:space="preserve"> </w:t>
      </w:r>
      <w:proofErr w:type="spellStart"/>
      <w:r>
        <w:rPr>
          <w:sz w:val="20"/>
          <w:szCs w:val="20"/>
          <w:rtl/>
        </w:rPr>
        <w:t>גרודזנסקי</w:t>
      </w:r>
      <w:proofErr w:type="spellEnd"/>
      <w:r>
        <w:rPr>
          <w:sz w:val="20"/>
          <w:szCs w:val="20"/>
          <w:rtl/>
        </w:rPr>
        <w:t xml:space="preserve"> את הישיבה כדי להוציא ספר מן המדפים, היה אומר לדיינים: “אכלו משהו; מצווה לאכול היום”. עוד אמר הרב </w:t>
      </w:r>
      <w:proofErr w:type="spellStart"/>
      <w:r>
        <w:rPr>
          <w:sz w:val="20"/>
          <w:szCs w:val="20"/>
          <w:rtl/>
        </w:rPr>
        <w:t>גוסטמן</w:t>
      </w:r>
      <w:proofErr w:type="spellEnd"/>
      <w:r>
        <w:rPr>
          <w:sz w:val="20"/>
          <w:szCs w:val="20"/>
          <w:rtl/>
        </w:rPr>
        <w:t xml:space="preserve">: “פני ר׳ </w:t>
      </w:r>
      <w:proofErr w:type="spellStart"/>
      <w:r>
        <w:rPr>
          <w:sz w:val="20"/>
          <w:szCs w:val="20"/>
          <w:rtl/>
        </w:rPr>
        <w:t>חיים־עוזר</w:t>
      </w:r>
      <w:proofErr w:type="spellEnd"/>
      <w:r>
        <w:rPr>
          <w:sz w:val="20"/>
          <w:szCs w:val="20"/>
          <w:rtl/>
        </w:rPr>
        <w:t xml:space="preserve"> נראו אחרים בערב יום הכיפורים, קורנים בטהרה – התקשיתי להכירו באותו יום. פעם ביקש ממני רבי, ר׳ שמעון </w:t>
      </w:r>
      <w:proofErr w:type="spellStart"/>
      <w:r>
        <w:rPr>
          <w:sz w:val="20"/>
          <w:szCs w:val="20"/>
          <w:rtl/>
        </w:rPr>
        <w:t>שקופ</w:t>
      </w:r>
      <w:proofErr w:type="spellEnd"/>
      <w:r>
        <w:rPr>
          <w:sz w:val="20"/>
          <w:szCs w:val="20"/>
          <w:rtl/>
        </w:rPr>
        <w:t xml:space="preserve">, לנסות להכניס אותו לחדר בית הדין כדי לראות כיצד נראה ר׳ </w:t>
      </w:r>
      <w:proofErr w:type="spellStart"/>
      <w:r>
        <w:rPr>
          <w:sz w:val="20"/>
          <w:szCs w:val="20"/>
          <w:rtl/>
        </w:rPr>
        <w:t>חיים־עוזר</w:t>
      </w:r>
      <w:proofErr w:type="spellEnd"/>
      <w:r>
        <w:rPr>
          <w:sz w:val="20"/>
          <w:szCs w:val="20"/>
          <w:rtl/>
        </w:rPr>
        <w:t>, אך לא הצלחתי”.</w:t>
      </w:r>
    </w:p>
  </w:footnote>
  <w:footnote w:id="4325">
    <w:p w14:paraId="4BFE7245" w14:textId="77777777" w:rsidR="00AB3647" w:rsidRDefault="00000000">
      <w:pPr>
        <w:spacing w:after="0" w:before="0"/>
        <w:jc w:val="both"/>
      </w:pPr>
      <w:r>
        <w:rPr>
          <w:sz w:val="20"/>
          <w:szCs w:val="20"/>
          <w:rtl/>
        </w:rPr>
        <w:footnoteRef/>
      </w:r>
      <w:r>
        <w:rPr>
          <w:sz w:val="20"/>
          <w:szCs w:val="20"/>
          <w:rtl/>
        </w:rPr>
        <w:t>. פרק 1, הערה 77.</w:t>
      </w:r>
    </w:p>
  </w:footnote>
  <w:footnote w:id="4326">
    <w:p w14:paraId="7B728DA4" w14:textId="77777777" w:rsidR="00AB3647" w:rsidRDefault="00000000">
      <w:pPr>
        <w:spacing w:after="0" w:before="0"/>
        <w:jc w:val="both"/>
      </w:pPr>
      <w:r>
        <w:rPr>
          <w:sz w:val="20"/>
          <w:szCs w:val="20"/>
          <w:rtl/>
        </w:rPr>
        <w:footnoteRef/>
      </w:r>
      <w:r>
        <w:rPr>
          <w:sz w:val="20"/>
          <w:szCs w:val="20"/>
          <w:rtl/>
        </w:rPr>
        <w:t>. ראה תחילת הפסקה השישית של נספח ט לעיל.</w:t>
      </w:r>
    </w:p>
  </w:footnote>
  <w:footnote w:id="4327">
    <w:p w14:paraId="74B0BED7" w14:textId="77777777" w:rsidR="00AB3647" w:rsidRDefault="00000000">
      <w:pPr>
        <w:spacing w:after="0" w:before="0"/>
        <w:jc w:val="both"/>
      </w:pPr>
      <w:r>
        <w:rPr>
          <w:sz w:val="20"/>
          <w:szCs w:val="20"/>
          <w:rtl/>
        </w:rPr>
        <w:footnoteRef/>
      </w:r>
      <w:r>
        <w:rPr>
          <w:sz w:val="20"/>
          <w:szCs w:val="20"/>
          <w:rtl/>
        </w:rPr>
        <w:t>. ריאיון מ־5 באוקטובר 2000.</w:t>
      </w:r>
    </w:p>
  </w:footnote>
  <w:footnote w:id="4328">
    <w:p w14:paraId="3B963E75" w14:textId="77777777" w:rsidR="00AB3647" w:rsidRDefault="00000000">
      <w:pPr>
        <w:spacing w:after="0" w:before="0"/>
        <w:jc w:val="both"/>
      </w:pPr>
      <w:r>
        <w:rPr>
          <w:sz w:val="20"/>
          <w:szCs w:val="20"/>
          <w:rtl/>
        </w:rPr>
        <w:footnoteRef/>
      </w:r>
      <w:r>
        <w:rPr>
          <w:sz w:val="20"/>
          <w:szCs w:val="20"/>
          <w:rtl/>
        </w:rPr>
        <w:t xml:space="preserve">. ראה פרק 5, הפסקה השישית של נספח ב להלן, ובהערת השוליים שם על המעשה שסיפר ר׳ שלמה לורנץ על ר׳ </w:t>
      </w:r>
      <w:proofErr w:type="spellStart"/>
      <w:r>
        <w:rPr>
          <w:sz w:val="20"/>
          <w:szCs w:val="20"/>
          <w:rtl/>
        </w:rPr>
        <w:t>אליהו־ברוך</w:t>
      </w:r>
      <w:proofErr w:type="spellEnd"/>
      <w:r>
        <w:rPr>
          <w:sz w:val="20"/>
          <w:szCs w:val="20"/>
          <w:rtl/>
        </w:rPr>
        <w:t xml:space="preserve"> קמאי </w:t>
      </w:r>
      <w:proofErr w:type="spellStart"/>
      <w:r>
        <w:rPr>
          <w:sz w:val="20"/>
          <w:szCs w:val="20"/>
          <w:rtl/>
        </w:rPr>
        <w:t>במיר</w:t>
      </w:r>
      <w:proofErr w:type="spellEnd"/>
      <w:r>
        <w:rPr>
          <w:sz w:val="20"/>
          <w:szCs w:val="20"/>
          <w:rtl/>
        </w:rPr>
        <w:t>.</w:t>
      </w:r>
    </w:p>
  </w:footnote>
  <w:footnote w:id="4329">
    <w:p w14:paraId="0DE6EE31" w14:textId="77777777" w:rsidR="00AB3647" w:rsidRDefault="00000000">
      <w:pPr>
        <w:spacing w:after="0" w:before="0"/>
        <w:jc w:val="both"/>
      </w:pPr>
      <w:r>
        <w:rPr>
          <w:sz w:val="20"/>
          <w:szCs w:val="20"/>
          <w:rtl/>
        </w:rPr>
        <w:footnoteRef/>
      </w:r>
      <w:r>
        <w:rPr>
          <w:sz w:val="20"/>
          <w:szCs w:val="20"/>
          <w:rtl/>
        </w:rPr>
        <w:t>. המרואיין קשר יחס זה של רב לתלמידיו לדברים רבה ז, ח, שבו נאמר שרבי יהודה הנשיא לא התחיל בשיעורו עד שהתאספו כל התלמידים – עד האחרון.</w:t>
      </w:r>
    </w:p>
  </w:footnote>
  <w:footnote w:id="4330">
    <w:p w14:paraId="6F4C7F8D" w14:textId="77777777" w:rsidR="00AB3647" w:rsidRDefault="00000000">
      <w:pPr>
        <w:spacing w:after="0" w:before="0"/>
        <w:jc w:val="both"/>
      </w:pPr>
      <w:r>
        <w:rPr>
          <w:sz w:val="20"/>
          <w:szCs w:val="20"/>
          <w:rtl/>
        </w:rPr>
        <w:footnoteRef/>
      </w:r>
      <w:r>
        <w:rPr>
          <w:sz w:val="20"/>
          <w:szCs w:val="20"/>
          <w:rtl/>
        </w:rPr>
        <w:t>. פרק 1, הערה 71.</w:t>
      </w:r>
    </w:p>
  </w:footnote>
  <w:footnote w:id="4331">
    <w:p w14:paraId="64C63570" w14:textId="77777777" w:rsidR="00AB3647" w:rsidRDefault="00000000">
      <w:pPr>
        <w:spacing w:after="0" w:before="0"/>
        <w:jc w:val="both"/>
      </w:pPr>
      <w:r>
        <w:rPr>
          <w:sz w:val="20"/>
          <w:szCs w:val="20"/>
          <w:rtl/>
        </w:rPr>
        <w:footnoteRef/>
      </w:r>
      <w:r>
        <w:rPr>
          <w:sz w:val="20"/>
          <w:szCs w:val="20"/>
          <w:rtl/>
        </w:rPr>
        <w:t xml:space="preserve">. המעשה מובא גם </w:t>
      </w:r>
      <w:proofErr w:type="spellStart"/>
      <w:r>
        <w:rPr>
          <w:sz w:val="20"/>
          <w:szCs w:val="20"/>
          <w:rtl/>
        </w:rPr>
        <w:t>ב“רב</w:t>
      </w:r>
      <w:proofErr w:type="spellEnd"/>
      <w:r>
        <w:rPr>
          <w:sz w:val="20"/>
          <w:szCs w:val="20"/>
          <w:rtl/>
        </w:rPr>
        <w:t xml:space="preserve"> יעקב” </w:t>
      </w:r>
      <w:proofErr w:type="spellStart"/>
      <w:r>
        <w:rPr>
          <w:sz w:val="20"/>
          <w:szCs w:val="20"/>
          <w:rtl/>
        </w:rPr>
        <w:t>וב“רבי</w:t>
      </w:r>
      <w:proofErr w:type="spellEnd"/>
      <w:r>
        <w:rPr>
          <w:sz w:val="20"/>
          <w:szCs w:val="20"/>
          <w:rtl/>
        </w:rPr>
        <w:t xml:space="preserve"> יעקב” (שניהם נזכרו לעיל בפסקה השלישית של נספח י), עמ׳ 195–196 ועמ׳ 259, בהתאמה.</w:t>
      </w:r>
    </w:p>
  </w:footnote>
  <w:footnote w:id="4332">
    <w:p w14:paraId="22FCF536" w14:textId="77777777" w:rsidR="00AB3647" w:rsidRDefault="00000000">
      <w:pPr>
        <w:spacing w:after="0" w:before="0"/>
        <w:jc w:val="both"/>
      </w:pPr>
      <w:r>
        <w:rPr>
          <w:sz w:val="20"/>
          <w:szCs w:val="20"/>
          <w:rtl/>
        </w:rPr>
        <w:footnoteRef/>
      </w:r>
      <w:r>
        <w:rPr>
          <w:sz w:val="20"/>
          <w:szCs w:val="20"/>
          <w:rtl/>
        </w:rPr>
        <w:t>. השווה פרק 2, הפסקה השנייה ותחילת הפסקה הרביעית של נספח א.</w:t>
      </w:r>
    </w:p>
  </w:footnote>
  <w:footnote w:id="4333">
    <w:p w14:paraId="5D57E531" w14:textId="77777777" w:rsidR="00AB3647" w:rsidRDefault="00000000">
      <w:pPr>
        <w:spacing w:after="0" w:before="0"/>
        <w:jc w:val="both"/>
      </w:pPr>
      <w:r>
        <w:rPr>
          <w:sz w:val="20"/>
          <w:szCs w:val="20"/>
          <w:rtl/>
        </w:rPr>
        <w:footnoteRef/>
      </w:r>
      <w:r>
        <w:rPr>
          <w:sz w:val="20"/>
          <w:szCs w:val="20"/>
          <w:rtl/>
        </w:rPr>
        <w:t xml:space="preserve">. ירושלם, שנת “לא יקום חרם ונידוי </w:t>
      </w:r>
      <w:proofErr w:type="spellStart"/>
      <w:r>
        <w:rPr>
          <w:sz w:val="20"/>
          <w:szCs w:val="20"/>
          <w:rtl/>
        </w:rPr>
        <w:t>במחניך</w:t>
      </w:r>
      <w:proofErr w:type="spellEnd"/>
      <w:r>
        <w:rPr>
          <w:sz w:val="20"/>
          <w:szCs w:val="20"/>
          <w:rtl/>
        </w:rPr>
        <w:t xml:space="preserve">” לפ״ק (תרנ״א). בשער ניתנת שנת ההוצאה בגימטרייה, </w:t>
      </w:r>
      <w:proofErr w:type="spellStart"/>
      <w:r>
        <w:rPr>
          <w:sz w:val="20"/>
          <w:szCs w:val="20"/>
          <w:rtl/>
        </w:rPr>
        <w:t>ו“ונדוי</w:t>
      </w:r>
      <w:proofErr w:type="spellEnd"/>
      <w:r>
        <w:rPr>
          <w:sz w:val="20"/>
          <w:szCs w:val="20"/>
          <w:rtl/>
        </w:rPr>
        <w:t xml:space="preserve">” נכתב שם בלי יו״ד אחרי הנו״ן – ולפי זה יוצאת שנת תרמ״א. אי אפשר לקבל שנה זו, שהרי החרם [המחודש] של ר׳ </w:t>
      </w:r>
      <w:proofErr w:type="spellStart"/>
      <w:r>
        <w:rPr>
          <w:sz w:val="20"/>
          <w:szCs w:val="20"/>
          <w:rtl/>
        </w:rPr>
        <w:t>יהושע־לייב</w:t>
      </w:r>
      <w:proofErr w:type="spellEnd"/>
      <w:r>
        <w:rPr>
          <w:sz w:val="20"/>
          <w:szCs w:val="20"/>
          <w:rtl/>
        </w:rPr>
        <w:t xml:space="preserve"> דיסקין על לימוד לשונות זרות, שר׳ </w:t>
      </w:r>
      <w:proofErr w:type="spellStart"/>
      <w:r>
        <w:rPr>
          <w:sz w:val="20"/>
          <w:szCs w:val="20"/>
          <w:rtl/>
        </w:rPr>
        <w:t>דוד׳ל</w:t>
      </w:r>
      <w:proofErr w:type="spellEnd"/>
      <w:r>
        <w:rPr>
          <w:sz w:val="20"/>
          <w:szCs w:val="20"/>
          <w:rtl/>
        </w:rPr>
        <w:t xml:space="preserve"> התנגד לו, לא הוכרז עד תרמ״ט. לפיכך קיבלתי את הגימטרייה שבסיום הקונטרס, שבו נכתבת המילה ביו״ד. אולם גם את הסיום אנו נאלצים לתקן: נאמר שם “אלה דברי החותם ביום שני, כ״ז באב תרמ״א...”, והשנה המפורשת, המודגשת כאן, נכתבה שלא כהלכה. [כ״ז באב חל ביום שני הן </w:t>
      </w:r>
      <w:proofErr w:type="spellStart"/>
      <w:r>
        <w:rPr>
          <w:sz w:val="20"/>
          <w:szCs w:val="20"/>
          <w:rtl/>
        </w:rPr>
        <w:t>בתרמ״א</w:t>
      </w:r>
      <w:proofErr w:type="spellEnd"/>
      <w:r>
        <w:rPr>
          <w:sz w:val="20"/>
          <w:szCs w:val="20"/>
          <w:rtl/>
        </w:rPr>
        <w:t xml:space="preserve"> והן </w:t>
      </w:r>
      <w:proofErr w:type="spellStart"/>
      <w:r>
        <w:rPr>
          <w:sz w:val="20"/>
          <w:szCs w:val="20"/>
          <w:rtl/>
        </w:rPr>
        <w:t>בתרנ״א</w:t>
      </w:r>
      <w:proofErr w:type="spellEnd"/>
      <w:r>
        <w:rPr>
          <w:sz w:val="20"/>
          <w:szCs w:val="20"/>
          <w:rtl/>
        </w:rPr>
        <w:t>.]</w:t>
      </w:r>
    </w:p>
  </w:footnote>
  <w:footnote w:id="4334">
    <w:p w14:paraId="10007B12" w14:textId="77777777" w:rsidR="00AB3647" w:rsidRDefault="00000000">
      <w:pPr>
        <w:spacing w:after="0" w:before="0"/>
        <w:jc w:val="both"/>
      </w:pPr>
      <w:r>
        <w:rPr>
          <w:sz w:val="20"/>
          <w:szCs w:val="20"/>
          <w:rtl/>
        </w:rPr>
        <w:footnoteRef/>
      </w:r>
      <w:r>
        <w:rPr>
          <w:sz w:val="20"/>
          <w:szCs w:val="20"/>
          <w:rtl/>
        </w:rPr>
        <w:t>. הערה 96 לעיל – עמ׳ 95.</w:t>
      </w:r>
    </w:p>
  </w:footnote>
  <w:footnote w:id="4335">
    <w:p w14:paraId="7D7E1516" w14:textId="77777777" w:rsidR="00AB3647" w:rsidRDefault="00000000">
      <w:pPr>
        <w:spacing w:after="0" w:before="0"/>
        <w:jc w:val="both"/>
      </w:pPr>
      <w:r>
        <w:rPr>
          <w:sz w:val="20"/>
          <w:szCs w:val="20"/>
          <w:rtl/>
        </w:rPr>
        <w:footnoteRef/>
      </w:r>
      <w:r>
        <w:rPr>
          <w:sz w:val="20"/>
          <w:szCs w:val="20"/>
          <w:rtl/>
        </w:rPr>
        <w:t>. הפסקה הרביעית של נספח ט לעיל – עמ׳ 172.</w:t>
      </w:r>
    </w:p>
  </w:footnote>
  <w:footnote w:id="4336">
    <w:p w14:paraId="68FBEBFE" w14:textId="77777777" w:rsidR="00AB3647" w:rsidRDefault="00000000">
      <w:pPr>
        <w:spacing w:after="0" w:before="0"/>
        <w:jc w:val="both"/>
      </w:pPr>
      <w:r>
        <w:rPr>
          <w:sz w:val="20"/>
          <w:szCs w:val="20"/>
          <w:rtl/>
        </w:rPr>
        <w:footnoteRef/>
      </w:r>
      <w:r>
        <w:rPr>
          <w:sz w:val="20"/>
          <w:szCs w:val="20"/>
          <w:rtl/>
        </w:rPr>
        <w:t xml:space="preserve">. ראה “שמואל בדורו” (עמ׳ </w:t>
      </w:r>
      <w:r>
        <w:rPr>
          <w:sz w:val="20"/>
          <w:szCs w:val="20"/>
          <w:rtl/>
        </w:rPr>
        <w:fldChar w:fldCharType="begin" w:dirty="true"/>
      </w:r>
      <w:r>
        <w:rPr>
          <w:sz w:val="20"/>
          <w:szCs w:val="20"/>
          <w:rtl/>
        </w:rPr>
        <w:instrText xml:space="preserve"> PAGEREF pr_f_3727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הערת שוליים </w:t>
      </w:r>
      <w:r>
        <w:rPr>
          <w:sz w:val="20"/>
          <w:szCs w:val="20"/>
          <w:rtl/>
        </w:rPr>
        <w:fldChar w:fldCharType="begin" w:dirty="true"/>
      </w:r>
      <w:r>
        <w:rPr>
          <w:sz w:val="20"/>
          <w:szCs w:val="20"/>
          <w:rtl/>
        </w:rPr>
        <w:instrText xml:space="preserve"> NOTEREF pr_f_3727 \h </w:instrText>
      </w:r>
      <w:r>
        <w:rPr>
          <w:sz w:val="20"/>
          <w:szCs w:val="20"/>
          <w:rtl/>
        </w:rPr>
      </w:r>
      <w:r>
        <w:rPr>
          <w:sz w:val="20"/>
          <w:szCs w:val="20"/>
          <w:rtl/>
        </w:rPr>
        <w:fldChar w:fldCharType="separate"/>
      </w:r>
      <w:r w:rsidR="007923E9">
        <w:rPr>
          <w:sz w:val="20"/>
          <w:szCs w:val="20"/>
          <w:rtl/>
        </w:rPr>
        <w:t>804</w:t>
      </w:r>
      <w:r>
        <w:rPr>
          <w:sz w:val="20"/>
          <w:szCs w:val="20"/>
          <w:rtl/>
        </w:rPr>
        <w:fldChar w:fldCharType="end"/>
      </w:r>
      <w:r>
        <w:rPr>
          <w:sz w:val="20"/>
          <w:szCs w:val="20"/>
          <w:rtl/>
        </w:rPr>
        <w:t xml:space="preserve">), עמ׳ ה: כעבור חמש שנים, כשהיה ר׳ </w:t>
      </w:r>
      <w:proofErr w:type="spellStart"/>
      <w:r>
        <w:rPr>
          <w:sz w:val="20"/>
          <w:szCs w:val="20"/>
          <w:rtl/>
        </w:rPr>
        <w:t>דוד׳ל</w:t>
      </w:r>
      <w:proofErr w:type="spellEnd"/>
      <w:r>
        <w:rPr>
          <w:sz w:val="20"/>
          <w:szCs w:val="20"/>
          <w:rtl/>
        </w:rPr>
        <w:t xml:space="preserve"> בן </w:t>
      </w:r>
      <w:proofErr w:type="spellStart"/>
      <w:r>
        <w:rPr>
          <w:sz w:val="20"/>
          <w:szCs w:val="20"/>
          <w:rtl/>
        </w:rPr>
        <w:t>ארבע־עשרה</w:t>
      </w:r>
      <w:proofErr w:type="spellEnd"/>
      <w:r>
        <w:rPr>
          <w:sz w:val="20"/>
          <w:szCs w:val="20"/>
          <w:rtl/>
        </w:rPr>
        <w:t xml:space="preserve">, ניסה [שוב] לפרק את דרשתו של אורח אחר, ר׳ שמואל </w:t>
      </w:r>
      <w:proofErr w:type="spellStart"/>
      <w:r>
        <w:rPr>
          <w:sz w:val="20"/>
          <w:szCs w:val="20"/>
          <w:rtl/>
        </w:rPr>
        <w:t>סלנט</w:t>
      </w:r>
      <w:proofErr w:type="spellEnd"/>
      <w:r>
        <w:rPr>
          <w:sz w:val="20"/>
          <w:szCs w:val="20"/>
          <w:rtl/>
        </w:rPr>
        <w:t xml:space="preserve"> (הפעם ללא הצלחה); אבל באותו מקרה הוזמן הקהל במיוחד לדון בפלפול עם הדורש. השווה גם </w:t>
      </w:r>
      <w:proofErr w:type="spellStart"/>
      <w:r>
        <w:rPr>
          <w:sz w:val="20"/>
          <w:szCs w:val="20"/>
          <w:rtl/>
        </w:rPr>
        <w:t>רבינר</w:t>
      </w:r>
      <w:proofErr w:type="spellEnd"/>
      <w:r>
        <w:rPr>
          <w:sz w:val="20"/>
          <w:szCs w:val="20"/>
          <w:rtl/>
        </w:rPr>
        <w:t xml:space="preserve">, “רבינו מאיר שמחה הכהן” (הערה 131 לעיל), עמ׳ לג, על תגובתו של ר׳ </w:t>
      </w:r>
      <w:proofErr w:type="spellStart"/>
      <w:r>
        <w:rPr>
          <w:sz w:val="20"/>
          <w:szCs w:val="20"/>
          <w:rtl/>
        </w:rPr>
        <w:t>מאיר־שמחה</w:t>
      </w:r>
      <w:proofErr w:type="spellEnd"/>
      <w:r>
        <w:rPr>
          <w:sz w:val="20"/>
          <w:szCs w:val="20"/>
          <w:rtl/>
        </w:rPr>
        <w:t xml:space="preserve"> לשאלה מביכה באמצע דרשתו. וגם עיין פי׳ הערוך על סמכוני באשישות בערך סמך ועל עורבא פרח בערך ערב. השווה גם הפסקה השלישית מן הסוף בסעיף זה של “הטקסט”, על תגובתו של ר׳ לייזר גורדון להתקפות באמצע שיעורו, והפסקה הרביעית מן הסוף בפרק 3.2, על המנהג ב[מקצת] הישיבות לשאול שאלות באמצע שיעורו הפומבי של ראש הישיבה.</w:t>
      </w:r>
    </w:p>
  </w:footnote>
  <w:footnote w:id="4337">
    <w:p w14:paraId="23996AFB" w14:textId="77777777" w:rsidR="00AB3647" w:rsidRDefault="00000000">
      <w:pPr>
        <w:spacing w:after="0" w:before="0"/>
        <w:jc w:val="both"/>
      </w:pPr>
      <w:r>
        <w:rPr>
          <w:sz w:val="20"/>
          <w:szCs w:val="20"/>
          <w:rtl/>
        </w:rPr>
        <w:footnoteRef/>
      </w:r>
      <w:r>
        <w:rPr>
          <w:sz w:val="20"/>
          <w:szCs w:val="20"/>
          <w:rtl/>
        </w:rPr>
        <w:t>. ריאיון מ־5 בפברואר 1988.</w:t>
      </w:r>
    </w:p>
  </w:footnote>
  <w:footnote w:id="4338">
    <w:p w14:paraId="4FA9F4C0" w14:textId="77777777" w:rsidR="00AB3647" w:rsidRDefault="00000000">
      <w:pPr>
        <w:spacing w:after="0" w:before="0"/>
        <w:jc w:val="both"/>
      </w:pPr>
      <w:r>
        <w:rPr>
          <w:sz w:val="20"/>
          <w:szCs w:val="20"/>
          <w:rtl/>
        </w:rPr>
        <w:footnoteRef/>
      </w:r>
      <w:r>
        <w:rPr>
          <w:sz w:val="20"/>
          <w:szCs w:val="20"/>
          <w:rtl/>
        </w:rPr>
        <w:t xml:space="preserve">. השווה פרק 2, תחילת הערה 35, לגרסה המבטאת את אמונתו של ר׳ חיים </w:t>
      </w:r>
      <w:proofErr w:type="spellStart"/>
      <w:r>
        <w:rPr>
          <w:sz w:val="20"/>
          <w:szCs w:val="20"/>
          <w:rtl/>
        </w:rPr>
        <w:t>מוולוז׳ין</w:t>
      </w:r>
      <w:proofErr w:type="spellEnd"/>
      <w:r>
        <w:rPr>
          <w:sz w:val="20"/>
          <w:szCs w:val="20"/>
          <w:rtl/>
        </w:rPr>
        <w:t xml:space="preserve"> עצמו בברכת גדול שקדם לו.</w:t>
      </w:r>
    </w:p>
  </w:footnote>
  <w:footnote w:id="4339">
    <w:p w14:paraId="461F5439" w14:textId="77777777" w:rsidR="00AB3647" w:rsidRDefault="00000000">
      <w:pPr>
        <w:spacing w:after="0" w:before="0"/>
        <w:jc w:val="both"/>
      </w:pPr>
      <w:r>
        <w:rPr>
          <w:sz w:val="20"/>
          <w:szCs w:val="20"/>
          <w:rtl/>
        </w:rPr>
        <w:footnoteRef/>
      </w:r>
      <w:r>
        <w:rPr>
          <w:sz w:val="20"/>
          <w:szCs w:val="20"/>
          <w:rtl/>
        </w:rPr>
        <w:t>. ראה הערה 152 לעיל.</w:t>
      </w:r>
    </w:p>
  </w:footnote>
  <w:footnote w:id="4340">
    <w:p w14:paraId="3AEEECD1" w14:textId="77777777" w:rsidR="00AB3647" w:rsidRDefault="00000000">
      <w:pPr>
        <w:spacing w:after="0" w:before="0"/>
        <w:jc w:val="both"/>
      </w:pPr>
      <w:r>
        <w:rPr>
          <w:sz w:val="20"/>
          <w:szCs w:val="20"/>
          <w:rtl/>
        </w:rPr>
        <w:footnoteRef/>
      </w:r>
      <w:r>
        <w:rPr>
          <w:sz w:val="20"/>
          <w:szCs w:val="20"/>
          <w:rtl/>
        </w:rPr>
        <w:t>. האחרים היו ר׳ יחיאל, ר׳ מאיר ור׳ יהושע (השווה פרק 2, הערה 17).</w:t>
      </w:r>
    </w:p>
  </w:footnote>
  <w:footnote w:id="4341">
    <w:p w14:paraId="7AFFED28" w14:textId="77777777" w:rsidR="00AB3647" w:rsidRDefault="00000000">
      <w:pPr>
        <w:spacing w:after="0" w:before="0"/>
        <w:jc w:val="both"/>
      </w:pPr>
      <w:r>
        <w:rPr>
          <w:sz w:val="20"/>
          <w:szCs w:val="20"/>
          <w:rtl/>
        </w:rPr>
        <w:footnoteRef/>
      </w:r>
      <w:r>
        <w:rPr>
          <w:sz w:val="20"/>
          <w:szCs w:val="20"/>
          <w:rtl/>
        </w:rPr>
        <w:t xml:space="preserve">. “נחלת ישראל” (נדפס בידי נכדו חמישים וחמש שנה לאחר פטירתו, </w:t>
      </w:r>
      <w:proofErr w:type="spellStart"/>
      <w:r>
        <w:rPr>
          <w:sz w:val="20"/>
          <w:szCs w:val="20"/>
          <w:rtl/>
        </w:rPr>
        <w:t>פיעטרקוב</w:t>
      </w:r>
      <w:proofErr w:type="spellEnd"/>
      <w:r>
        <w:rPr>
          <w:sz w:val="20"/>
          <w:szCs w:val="20"/>
          <w:rtl/>
        </w:rPr>
        <w:t xml:space="preserve">, תרס״ט) – מס׳ </w:t>
      </w:r>
      <w:proofErr w:type="spellStart"/>
      <w:r>
        <w:rPr>
          <w:sz w:val="20"/>
          <w:szCs w:val="20"/>
          <w:rtl/>
        </w:rPr>
        <w:t>ב״מ</w:t>
      </w:r>
      <w:proofErr w:type="spellEnd"/>
      <w:r>
        <w:rPr>
          <w:sz w:val="20"/>
          <w:szCs w:val="20"/>
          <w:rtl/>
        </w:rPr>
        <w:t xml:space="preserve">, ד׳ ע״א. דרך לימוד התלמוד שבו דומה לזו של ר׳ </w:t>
      </w:r>
      <w:proofErr w:type="spellStart"/>
      <w:r>
        <w:rPr>
          <w:sz w:val="20"/>
          <w:szCs w:val="20"/>
          <w:rtl/>
        </w:rPr>
        <w:t>דוד־טעביל</w:t>
      </w:r>
      <w:proofErr w:type="spellEnd"/>
      <w:r>
        <w:rPr>
          <w:sz w:val="20"/>
          <w:szCs w:val="20"/>
          <w:rtl/>
        </w:rPr>
        <w:t>!</w:t>
      </w:r>
    </w:p>
  </w:footnote>
  <w:footnote w:id="4342">
    <w:p w14:paraId="473A1290" w14:textId="77777777" w:rsidR="00AB3647" w:rsidRDefault="00000000">
      <w:pPr>
        <w:spacing w:after="0" w:before="0"/>
        <w:jc w:val="both"/>
      </w:pPr>
      <w:r>
        <w:rPr>
          <w:sz w:val="20"/>
          <w:szCs w:val="20"/>
          <w:rtl/>
        </w:rPr>
        <w:footnoteRef/>
      </w:r>
      <w:r>
        <w:rPr>
          <w:sz w:val="20"/>
          <w:szCs w:val="20"/>
          <w:rtl/>
        </w:rPr>
        <w:t xml:space="preserve">. הוא היה בנו של מייסד הישיבה, ר׳ שמואל </w:t>
      </w:r>
      <w:proofErr w:type="spellStart"/>
      <w:r>
        <w:rPr>
          <w:sz w:val="20"/>
          <w:szCs w:val="20"/>
          <w:rtl/>
        </w:rPr>
        <w:t>טיקטינסקי</w:t>
      </w:r>
      <w:proofErr w:type="spellEnd"/>
      <w:r>
        <w:rPr>
          <w:sz w:val="20"/>
          <w:szCs w:val="20"/>
          <w:rtl/>
        </w:rPr>
        <w:t>.</w:t>
      </w:r>
    </w:p>
  </w:footnote>
  <w:footnote w:id="4343">
    <w:p w14:paraId="19E7020B" w14:textId="77777777" w:rsidR="00AB3647" w:rsidRDefault="00000000">
      <w:pPr>
        <w:spacing w:after="0" w:before="0"/>
        <w:jc w:val="both"/>
      </w:pPr>
      <w:r>
        <w:rPr>
          <w:sz w:val="20"/>
          <w:szCs w:val="20"/>
          <w:rtl/>
        </w:rPr>
        <w:footnoteRef/>
      </w:r>
      <w:r>
        <w:rPr>
          <w:sz w:val="20"/>
          <w:szCs w:val="20"/>
          <w:rtl/>
        </w:rPr>
        <w:t xml:space="preserve">. </w:t>
      </w:r>
      <w:proofErr w:type="spellStart"/>
      <w:r>
        <w:rPr>
          <w:sz w:val="20"/>
          <w:szCs w:val="20"/>
          <w:rtl/>
        </w:rPr>
        <w:t>ב“סערת</w:t>
      </w:r>
      <w:proofErr w:type="spellEnd"/>
      <w:r>
        <w:rPr>
          <w:sz w:val="20"/>
          <w:szCs w:val="20"/>
          <w:rtl/>
        </w:rPr>
        <w:t xml:space="preserve"> קולמוס הלב” (שם, פרק 3, סוף הפסקה השנייה של נספח כה), עמ׳ פג–פד, הובא מה שר׳ אברהם </w:t>
      </w:r>
      <w:proofErr w:type="spellStart"/>
      <w:r>
        <w:rPr>
          <w:sz w:val="20"/>
          <w:szCs w:val="20"/>
          <w:rtl/>
        </w:rPr>
        <w:t>קלמנוביץ</w:t>
      </w:r>
      <w:proofErr w:type="spellEnd"/>
      <w:r>
        <w:rPr>
          <w:sz w:val="20"/>
          <w:szCs w:val="20"/>
          <w:rtl/>
        </w:rPr>
        <w:t xml:space="preserve"> ציין שישיבת </w:t>
      </w:r>
      <w:proofErr w:type="spellStart"/>
      <w:r>
        <w:rPr>
          <w:sz w:val="20"/>
          <w:szCs w:val="20"/>
          <w:rtl/>
        </w:rPr>
        <w:t>מיר</w:t>
      </w:r>
      <w:proofErr w:type="spellEnd"/>
      <w:r>
        <w:rPr>
          <w:sz w:val="20"/>
          <w:szCs w:val="20"/>
          <w:rtl/>
        </w:rPr>
        <w:t xml:space="preserve">, הישיבה העתיקה ביותר, ניצלה בשלימותה </w:t>
      </w:r>
      <w:proofErr w:type="spellStart"/>
      <w:r>
        <w:rPr>
          <w:sz w:val="20"/>
          <w:szCs w:val="20"/>
          <w:rtl/>
        </w:rPr>
        <w:t>מהכליון</w:t>
      </w:r>
      <w:proofErr w:type="spellEnd"/>
      <w:r>
        <w:rPr>
          <w:sz w:val="20"/>
          <w:szCs w:val="20"/>
          <w:rtl/>
        </w:rPr>
        <w:t xml:space="preserve"> כמו החרש והמסגר בחורבן בית ראשון ויבנה בחורבן בית שני.</w:t>
      </w:r>
    </w:p>
  </w:footnote>
  <w:footnote w:id="4344">
    <w:p w14:paraId="4E4630C5" w14:textId="77777777" w:rsidR="00AB3647" w:rsidRDefault="00000000">
      <w:pPr>
        <w:spacing w:after="0" w:before="0"/>
        <w:jc w:val="both"/>
      </w:pPr>
      <w:r>
        <w:rPr>
          <w:sz w:val="20"/>
          <w:szCs w:val="20"/>
          <w:rtl/>
        </w:rPr>
        <w:footnoteRef/>
      </w:r>
      <w:r>
        <w:rPr>
          <w:sz w:val="20"/>
          <w:szCs w:val="20"/>
          <w:rtl/>
        </w:rPr>
        <w:t>. נעזרתי בפרקי “</w:t>
      </w:r>
      <w:proofErr w:type="spellStart"/>
      <w:r>
        <w:rPr>
          <w:sz w:val="20"/>
          <w:szCs w:val="20"/>
          <w:rtl/>
        </w:rPr>
        <w:t>מיר</w:t>
      </w:r>
      <w:proofErr w:type="spellEnd"/>
      <w:r>
        <w:rPr>
          <w:sz w:val="20"/>
          <w:szCs w:val="20"/>
          <w:rtl/>
        </w:rPr>
        <w:t xml:space="preserve">” מאת הרב משה </w:t>
      </w:r>
      <w:proofErr w:type="spellStart"/>
      <w:r>
        <w:rPr>
          <w:sz w:val="20"/>
          <w:szCs w:val="20"/>
          <w:rtl/>
        </w:rPr>
        <w:t>צינוביץ</w:t>
      </w:r>
      <w:proofErr w:type="spellEnd"/>
      <w:r>
        <w:rPr>
          <w:sz w:val="20"/>
          <w:szCs w:val="20"/>
          <w:rtl/>
        </w:rPr>
        <w:t xml:space="preserve"> (“הוצאת מור”, תל אביב, תשמ״א) לצורך המידע על </w:t>
      </w:r>
      <w:proofErr w:type="spellStart"/>
      <w:r>
        <w:rPr>
          <w:sz w:val="20"/>
          <w:szCs w:val="20"/>
          <w:rtl/>
        </w:rPr>
        <w:t>מיר</w:t>
      </w:r>
      <w:proofErr w:type="spellEnd"/>
      <w:r>
        <w:rPr>
          <w:sz w:val="20"/>
          <w:szCs w:val="20"/>
          <w:rtl/>
        </w:rPr>
        <w:t>.</w:t>
      </w:r>
    </w:p>
  </w:footnote>
  <w:footnote w:id="4345">
    <w:p w14:paraId="75C9C80F" w14:textId="77777777" w:rsidR="00AB3647" w:rsidRDefault="00000000">
      <w:pPr>
        <w:spacing w:after="0" w:before="0"/>
        <w:jc w:val="both"/>
      </w:pPr>
      <w:r>
        <w:rPr>
          <w:sz w:val="20"/>
          <w:szCs w:val="20"/>
          <w:rtl/>
        </w:rPr>
        <w:footnoteRef/>
      </w:r>
      <w:r>
        <w:rPr>
          <w:sz w:val="20"/>
          <w:szCs w:val="20"/>
          <w:rtl/>
        </w:rPr>
        <w:t>. נעזרתי במאמר “</w:t>
      </w:r>
      <w:proofErr w:type="spellStart"/>
      <w:r>
        <w:rPr>
          <w:sz w:val="20"/>
          <w:szCs w:val="20"/>
          <w:rtl/>
        </w:rPr>
        <w:t>נאווארעדקער</w:t>
      </w:r>
      <w:proofErr w:type="spellEnd"/>
      <w:r>
        <w:rPr>
          <w:sz w:val="20"/>
          <w:szCs w:val="20"/>
          <w:rtl/>
        </w:rPr>
        <w:t xml:space="preserve"> רבנים” מאת הרב י.ח. </w:t>
      </w:r>
      <w:proofErr w:type="spellStart"/>
      <w:r>
        <w:rPr>
          <w:sz w:val="20"/>
          <w:szCs w:val="20"/>
          <w:rtl/>
        </w:rPr>
        <w:t>קאנציפאלסקי</w:t>
      </w:r>
      <w:proofErr w:type="spellEnd"/>
      <w:r>
        <w:rPr>
          <w:sz w:val="20"/>
          <w:szCs w:val="20"/>
          <w:rtl/>
        </w:rPr>
        <w:t xml:space="preserve"> (להלן: </w:t>
      </w:r>
      <w:proofErr w:type="spellStart"/>
      <w:r>
        <w:rPr>
          <w:sz w:val="20"/>
          <w:szCs w:val="20"/>
          <w:rtl/>
        </w:rPr>
        <w:t>קאנציפאלסקי</w:t>
      </w:r>
      <w:proofErr w:type="spellEnd"/>
      <w:r>
        <w:rPr>
          <w:sz w:val="20"/>
          <w:szCs w:val="20"/>
          <w:rtl/>
        </w:rPr>
        <w:t xml:space="preserve">), </w:t>
      </w:r>
      <w:proofErr w:type="spellStart"/>
      <w:r>
        <w:rPr>
          <w:sz w:val="20"/>
          <w:szCs w:val="20"/>
          <w:rtl/>
        </w:rPr>
        <w:t>ב“פנקס</w:t>
      </w:r>
      <w:proofErr w:type="spellEnd"/>
      <w:r>
        <w:rPr>
          <w:sz w:val="20"/>
          <w:szCs w:val="20"/>
          <w:rtl/>
        </w:rPr>
        <w:t xml:space="preserve"> </w:t>
      </w:r>
      <w:proofErr w:type="spellStart"/>
      <w:r>
        <w:rPr>
          <w:sz w:val="20"/>
          <w:szCs w:val="20"/>
          <w:rtl/>
        </w:rPr>
        <w:t>נאווארעדאק</w:t>
      </w:r>
      <w:proofErr w:type="spellEnd"/>
      <w:r>
        <w:rPr>
          <w:sz w:val="20"/>
          <w:szCs w:val="20"/>
          <w:rtl/>
        </w:rPr>
        <w:t xml:space="preserve">” (ישראל, תשכ״ג), לצורך המידע על </w:t>
      </w:r>
      <w:proofErr w:type="spellStart"/>
      <w:r>
        <w:rPr>
          <w:sz w:val="20"/>
          <w:szCs w:val="20"/>
          <w:rtl/>
        </w:rPr>
        <w:t>נובהרדוק</w:t>
      </w:r>
      <w:proofErr w:type="spellEnd"/>
      <w:r>
        <w:rPr>
          <w:sz w:val="20"/>
          <w:szCs w:val="20"/>
          <w:rtl/>
        </w:rPr>
        <w:t>.</w:t>
      </w:r>
    </w:p>
  </w:footnote>
  <w:footnote w:id="4346">
    <w:p w14:paraId="590CE720" w14:textId="77777777" w:rsidR="00AB3647" w:rsidRDefault="00000000">
      <w:pPr>
        <w:spacing w:after="0" w:before="0"/>
        <w:jc w:val="both"/>
      </w:pPr>
      <w:r>
        <w:rPr>
          <w:sz w:val="20"/>
          <w:szCs w:val="20"/>
          <w:rtl/>
        </w:rPr>
        <w:footnoteRef/>
      </w:r>
      <w:r>
        <w:rPr>
          <w:sz w:val="20"/>
          <w:szCs w:val="20"/>
          <w:rtl/>
        </w:rPr>
        <w:t xml:space="preserve">. השווה גם פרק 2, סוף הפסקה השנייה של נספח א, שבו מוצע פירוש חדש </w:t>
      </w:r>
      <w:proofErr w:type="spellStart"/>
      <w:r>
        <w:rPr>
          <w:sz w:val="20"/>
          <w:szCs w:val="20"/>
          <w:rtl/>
        </w:rPr>
        <w:t>לברכתו־תחזיתו</w:t>
      </w:r>
      <w:proofErr w:type="spellEnd"/>
      <w:r>
        <w:rPr>
          <w:sz w:val="20"/>
          <w:szCs w:val="20"/>
          <w:rtl/>
        </w:rPr>
        <w:t xml:space="preserve"> של ר׳ חיים. פירוש זה יסביר גם מדוע נזקק ר׳ </w:t>
      </w:r>
      <w:proofErr w:type="spellStart"/>
      <w:r>
        <w:rPr>
          <w:sz w:val="20"/>
          <w:szCs w:val="20"/>
          <w:rtl/>
        </w:rPr>
        <w:t>דוד־טעביל</w:t>
      </w:r>
      <w:proofErr w:type="spellEnd"/>
      <w:r>
        <w:rPr>
          <w:sz w:val="20"/>
          <w:szCs w:val="20"/>
          <w:rtl/>
        </w:rPr>
        <w:t xml:space="preserve"> להתנצל לפני חברו מימי הישיבה על שניסה להשיג כיסא רבנות גדול וחשוב בהרבה מזה של </w:t>
      </w:r>
      <w:proofErr w:type="spellStart"/>
      <w:r>
        <w:rPr>
          <w:sz w:val="20"/>
          <w:szCs w:val="20"/>
          <w:rtl/>
        </w:rPr>
        <w:t>סטויבץ</w:t>
      </w:r>
      <w:proofErr w:type="spellEnd"/>
      <w:r>
        <w:rPr>
          <w:sz w:val="20"/>
          <w:szCs w:val="20"/>
          <w:rtl/>
        </w:rPr>
        <w:t xml:space="preserve">, אם </w:t>
      </w:r>
      <w:proofErr w:type="spellStart"/>
      <w:r>
        <w:rPr>
          <w:sz w:val="20"/>
          <w:szCs w:val="20"/>
          <w:rtl/>
        </w:rPr>
        <w:t>בבריסק</w:t>
      </w:r>
      <w:proofErr w:type="spellEnd"/>
      <w:r>
        <w:rPr>
          <w:sz w:val="20"/>
          <w:szCs w:val="20"/>
          <w:rtl/>
        </w:rPr>
        <w:t xml:space="preserve"> ואם במינסק.</w:t>
      </w:r>
    </w:p>
  </w:footnote>
  <w:footnote w:id="4347">
    <w:p w14:paraId="5F0BA43E" w14:textId="77777777" w:rsidR="00AB3647" w:rsidRDefault="00000000">
      <w:pPr>
        <w:spacing w:after="0" w:before="0"/>
        <w:jc w:val="both"/>
      </w:pPr>
      <w:r>
        <w:rPr>
          <w:sz w:val="20"/>
          <w:szCs w:val="20"/>
          <w:rtl/>
        </w:rPr>
        <w:footnoteRef/>
      </w:r>
      <w:r>
        <w:rPr>
          <w:sz w:val="20"/>
          <w:szCs w:val="20"/>
          <w:rtl/>
        </w:rPr>
        <w:t>. נספח ט לעיל – עמ׳ 280.</w:t>
      </w:r>
    </w:p>
  </w:footnote>
  <w:footnote w:id="4348">
    <w:p w14:paraId="5CA8D4C2" w14:textId="77777777" w:rsidR="00AB3647" w:rsidRDefault="00000000">
      <w:pPr>
        <w:spacing w:after="0" w:before="0"/>
        <w:jc w:val="both"/>
      </w:pPr>
      <w:r>
        <w:rPr>
          <w:sz w:val="20"/>
          <w:szCs w:val="20"/>
          <w:rtl/>
        </w:rPr>
        <w:footnoteRef/>
      </w:r>
      <w:r>
        <w:rPr>
          <w:sz w:val="20"/>
          <w:szCs w:val="20"/>
          <w:rtl/>
        </w:rPr>
        <w:t>. ירושלים, תשמ״ט.</w:t>
      </w:r>
    </w:p>
  </w:footnote>
  <w:footnote w:id="4349">
    <w:p w14:paraId="53F70871" w14:textId="77777777" w:rsidR="00AB3647" w:rsidRDefault="00000000">
      <w:pPr>
        <w:spacing w:after="0" w:before="0"/>
        <w:jc w:val="both"/>
      </w:pPr>
      <w:r>
        <w:rPr>
          <w:sz w:val="20"/>
          <w:szCs w:val="20"/>
          <w:rtl/>
        </w:rPr>
        <w:footnoteRef/>
      </w:r>
      <w:r>
        <w:rPr>
          <w:sz w:val="20"/>
          <w:szCs w:val="20"/>
          <w:rtl/>
        </w:rPr>
        <w:t xml:space="preserve">. השווה: “הואיל ונפק </w:t>
      </w:r>
      <w:proofErr w:type="spellStart"/>
      <w:r>
        <w:rPr>
          <w:sz w:val="20"/>
          <w:szCs w:val="20"/>
          <w:rtl/>
        </w:rPr>
        <w:t>מפומיה</w:t>
      </w:r>
      <w:proofErr w:type="spellEnd"/>
      <w:r>
        <w:rPr>
          <w:sz w:val="20"/>
          <w:szCs w:val="20"/>
          <w:rtl/>
        </w:rPr>
        <w:t xml:space="preserve"> </w:t>
      </w:r>
      <w:proofErr w:type="spellStart"/>
      <w:r>
        <w:rPr>
          <w:sz w:val="20"/>
          <w:szCs w:val="20"/>
          <w:rtl/>
        </w:rPr>
        <w:t>דרב</w:t>
      </w:r>
      <w:proofErr w:type="spellEnd"/>
      <w:r>
        <w:rPr>
          <w:sz w:val="20"/>
          <w:szCs w:val="20"/>
          <w:rtl/>
        </w:rPr>
        <w:t xml:space="preserve">” (סנהדרין עב ע״א). אילו הזכיר ר׳ חיים </w:t>
      </w:r>
      <w:proofErr w:type="spellStart"/>
      <w:r>
        <w:rPr>
          <w:sz w:val="20"/>
          <w:szCs w:val="20"/>
          <w:rtl/>
        </w:rPr>
        <w:t>מוולוז׳ין</w:t>
      </w:r>
      <w:proofErr w:type="spellEnd"/>
      <w:r>
        <w:rPr>
          <w:sz w:val="20"/>
          <w:szCs w:val="20"/>
          <w:rtl/>
        </w:rPr>
        <w:t xml:space="preserve"> רק את מינסק, הייתה תחזיתו חלשה בהרבה מזו של הסבא </w:t>
      </w:r>
      <w:proofErr w:type="spellStart"/>
      <w:r>
        <w:rPr>
          <w:sz w:val="20"/>
          <w:szCs w:val="20"/>
          <w:rtl/>
        </w:rPr>
        <w:t>מסלבודקה</w:t>
      </w:r>
      <w:proofErr w:type="spellEnd"/>
      <w:r>
        <w:rPr>
          <w:sz w:val="20"/>
          <w:szCs w:val="20"/>
          <w:rtl/>
        </w:rPr>
        <w:t xml:space="preserve"> בעניין ר׳ </w:t>
      </w:r>
      <w:proofErr w:type="spellStart"/>
      <w:r>
        <w:rPr>
          <w:sz w:val="20"/>
          <w:szCs w:val="20"/>
          <w:rtl/>
        </w:rPr>
        <w:t>יהודה־לייב</w:t>
      </w:r>
      <w:proofErr w:type="spellEnd"/>
      <w:r>
        <w:rPr>
          <w:sz w:val="20"/>
          <w:szCs w:val="20"/>
          <w:rtl/>
        </w:rPr>
        <w:t xml:space="preserve"> פיין (השווה פרק 3, הפסקה השנייה של נספח </w:t>
      </w:r>
      <w:proofErr w:type="spellStart"/>
      <w:r>
        <w:rPr>
          <w:sz w:val="20"/>
          <w:szCs w:val="20"/>
          <w:rtl/>
        </w:rPr>
        <w:t>יט</w:t>
      </w:r>
      <w:proofErr w:type="spellEnd"/>
      <w:r>
        <w:rPr>
          <w:sz w:val="20"/>
          <w:szCs w:val="20"/>
          <w:rtl/>
        </w:rPr>
        <w:t xml:space="preserve">), שהרי לסלונים לא היה שום קשר </w:t>
      </w:r>
      <w:proofErr w:type="spellStart"/>
      <w:r>
        <w:rPr>
          <w:sz w:val="20"/>
          <w:szCs w:val="20"/>
          <w:rtl/>
        </w:rPr>
        <w:t>לפיונטניצה</w:t>
      </w:r>
      <w:proofErr w:type="spellEnd"/>
      <w:r>
        <w:rPr>
          <w:sz w:val="20"/>
          <w:szCs w:val="20"/>
          <w:rtl/>
        </w:rPr>
        <w:t>.</w:t>
      </w:r>
    </w:p>
  </w:footnote>
  <w:footnote w:id="4350">
    <w:p w14:paraId="470BBB74" w14:textId="77777777" w:rsidR="00AB3647" w:rsidRDefault="00000000">
      <w:pPr>
        <w:spacing w:after="0" w:before="0"/>
        <w:jc w:val="both"/>
      </w:pPr>
      <w:r>
        <w:rPr>
          <w:sz w:val="20"/>
          <w:szCs w:val="20"/>
          <w:rtl/>
        </w:rPr>
        <w:footnoteRef/>
      </w:r>
      <w:r>
        <w:rPr>
          <w:sz w:val="20"/>
          <w:szCs w:val="20"/>
          <w:rtl/>
        </w:rPr>
        <w:t>. עמ׳ 387–388.</w:t>
      </w:r>
    </w:p>
  </w:footnote>
  <w:footnote w:id="4351">
    <w:p w14:paraId="28233A44" w14:textId="77777777" w:rsidR="00AB3647" w:rsidRDefault="00000000">
      <w:pPr>
        <w:spacing w:after="0" w:before="0"/>
        <w:jc w:val="both"/>
      </w:pPr>
      <w:r>
        <w:rPr>
          <w:sz w:val="20"/>
          <w:szCs w:val="20"/>
          <w:rtl/>
        </w:rPr>
        <w:footnoteRef/>
      </w:r>
      <w:r>
        <w:rPr>
          <w:sz w:val="20"/>
          <w:szCs w:val="20"/>
          <w:rtl/>
        </w:rPr>
        <w:t>. עמ׳ 276–277.</w:t>
      </w:r>
    </w:p>
  </w:footnote>
  <w:footnote w:id="4352">
    <w:p w14:paraId="6A7F1678" w14:textId="77777777" w:rsidR="00AB3647" w:rsidRDefault="00000000">
      <w:pPr>
        <w:spacing w:after="0" w:before="0"/>
        <w:jc w:val="both"/>
      </w:pPr>
      <w:r>
        <w:rPr>
          <w:sz w:val="20"/>
          <w:szCs w:val="20"/>
          <w:rtl/>
        </w:rPr>
        <w:footnoteRef/>
      </w:r>
      <w:r>
        <w:rPr>
          <w:sz w:val="20"/>
          <w:szCs w:val="20"/>
          <w:rtl/>
        </w:rPr>
        <w:t>. מירכאות אלה והבאות אחריהן הן של מחבר אותו ספר.</w:t>
      </w:r>
    </w:p>
  </w:footnote>
  <w:footnote w:id="4353">
    <w:p w14:paraId="288DFCA5" w14:textId="77777777" w:rsidR="00AB3647" w:rsidRDefault="00000000">
      <w:pPr>
        <w:spacing w:after="0" w:before="0"/>
        <w:jc w:val="both"/>
      </w:pPr>
      <w:r>
        <w:rPr>
          <w:sz w:val="20"/>
          <w:szCs w:val="20"/>
          <w:rtl/>
        </w:rPr>
        <w:footnoteRef/>
      </w:r>
      <w:r>
        <w:rPr>
          <w:sz w:val="20"/>
          <w:szCs w:val="20"/>
          <w:rtl/>
        </w:rPr>
        <w:t>. בראשית מט, א. במילים אלה כינס אבינו יעקב את בניו לנבואת הפרידה על עתידם.</w:t>
      </w:r>
    </w:p>
  </w:footnote>
  <w:footnote w:id="4354">
    <w:p w14:paraId="6A2213DD" w14:textId="77777777" w:rsidR="00AB3647" w:rsidRDefault="00000000">
      <w:pPr>
        <w:spacing w:after="0" w:before="0"/>
        <w:jc w:val="both"/>
      </w:pPr>
      <w:r>
        <w:rPr>
          <w:sz w:val="20"/>
          <w:szCs w:val="20"/>
          <w:rtl/>
        </w:rPr>
        <w:footnoteRef/>
      </w:r>
      <w:r>
        <w:rPr>
          <w:sz w:val="20"/>
          <w:szCs w:val="20"/>
          <w:rtl/>
        </w:rPr>
        <w:t>. עמ׳ 11, מתאריך אור לו׳ באב תשמ״א.</w:t>
      </w:r>
    </w:p>
  </w:footnote>
  <w:footnote w:id="4355">
    <w:p w14:paraId="386101E4" w14:textId="77777777" w:rsidR="00AB3647" w:rsidRDefault="00000000">
      <w:pPr>
        <w:spacing w:after="0" w:before="0"/>
        <w:jc w:val="both"/>
      </w:pPr>
      <w:r>
        <w:rPr>
          <w:sz w:val="20"/>
          <w:szCs w:val="20"/>
          <w:rtl/>
        </w:rPr>
        <w:footnoteRef/>
      </w:r>
      <w:r>
        <w:rPr>
          <w:sz w:val="20"/>
          <w:szCs w:val="20"/>
          <w:rtl/>
        </w:rPr>
        <w:t>. עמ׳ 172–173.</w:t>
      </w:r>
    </w:p>
  </w:footnote>
  <w:footnote w:id="4356">
    <w:p w14:paraId="7C926449" w14:textId="77777777" w:rsidR="00AB3647" w:rsidRDefault="00000000">
      <w:pPr>
        <w:spacing w:after="0" w:before="0"/>
        <w:jc w:val="both"/>
      </w:pPr>
      <w:r>
        <w:rPr>
          <w:sz w:val="20"/>
          <w:szCs w:val="20"/>
          <w:rtl/>
        </w:rPr>
        <w:footnoteRef/>
      </w:r>
      <w:r>
        <w:rPr>
          <w:sz w:val="20"/>
          <w:szCs w:val="20"/>
          <w:rtl/>
        </w:rPr>
        <w:t xml:space="preserve">. ריאיון עם ר׳ </w:t>
      </w:r>
      <w:proofErr w:type="spellStart"/>
      <w:r>
        <w:rPr>
          <w:sz w:val="20"/>
          <w:szCs w:val="20"/>
          <w:rtl/>
        </w:rPr>
        <w:t>כתריאל־דוד</w:t>
      </w:r>
      <w:proofErr w:type="spellEnd"/>
      <w:r>
        <w:rPr>
          <w:sz w:val="20"/>
          <w:szCs w:val="20"/>
          <w:rtl/>
        </w:rPr>
        <w:t xml:space="preserve"> קפלין מ־29 באוקטובר 1991.</w:t>
      </w:r>
    </w:p>
  </w:footnote>
  <w:footnote w:id="4357">
    <w:p w14:paraId="171E4A45" w14:textId="77777777" w:rsidR="00AB3647" w:rsidRDefault="00000000">
      <w:pPr>
        <w:spacing w:after="0" w:before="0"/>
        <w:jc w:val="both"/>
      </w:pPr>
      <w:r>
        <w:rPr>
          <w:sz w:val="20"/>
          <w:szCs w:val="20"/>
          <w:rtl/>
        </w:rPr>
        <w:footnoteRef/>
      </w:r>
      <w:r>
        <w:rPr>
          <w:sz w:val="20"/>
          <w:szCs w:val="20"/>
          <w:rtl/>
        </w:rPr>
        <w:t>. “</w:t>
      </w:r>
      <w:proofErr w:type="spellStart"/>
      <w:r>
        <w:rPr>
          <w:sz w:val="20"/>
          <w:szCs w:val="20"/>
          <w:rtl/>
        </w:rPr>
        <w:t>אהלי</w:t>
      </w:r>
      <w:proofErr w:type="spellEnd"/>
      <w:r>
        <w:rPr>
          <w:sz w:val="20"/>
          <w:szCs w:val="20"/>
          <w:rtl/>
        </w:rPr>
        <w:t xml:space="preserve"> שם”, עמ׳ 173.</w:t>
      </w:r>
    </w:p>
  </w:footnote>
  <w:footnote w:id="4358">
    <w:p w14:paraId="0013F563" w14:textId="77777777" w:rsidR="00AB3647" w:rsidRDefault="00000000">
      <w:pPr>
        <w:spacing w:after="0" w:before="0"/>
        <w:jc w:val="both"/>
      </w:pPr>
      <w:r>
        <w:rPr>
          <w:sz w:val="20"/>
          <w:szCs w:val="20"/>
          <w:rtl/>
        </w:rPr>
        <w:footnoteRef/>
      </w:r>
      <w:r>
        <w:rPr>
          <w:sz w:val="20"/>
          <w:szCs w:val="20"/>
          <w:rtl/>
        </w:rPr>
        <w:t xml:space="preserve">. ר׳ ברוך </w:t>
      </w:r>
      <w:proofErr w:type="spellStart"/>
      <w:r>
        <w:rPr>
          <w:sz w:val="20"/>
          <w:szCs w:val="20"/>
          <w:rtl/>
        </w:rPr>
        <w:t>תאומים־פרנקל</w:t>
      </w:r>
      <w:proofErr w:type="spellEnd"/>
      <w:r>
        <w:rPr>
          <w:sz w:val="20"/>
          <w:szCs w:val="20"/>
          <w:rtl/>
        </w:rPr>
        <w:t xml:space="preserve"> ידוע על שם ספרו, </w:t>
      </w:r>
      <w:proofErr w:type="spellStart"/>
      <w:r>
        <w:rPr>
          <w:sz w:val="20"/>
          <w:szCs w:val="20"/>
          <w:rtl/>
        </w:rPr>
        <w:t>הברוך־טעם</w:t>
      </w:r>
      <w:proofErr w:type="spellEnd"/>
      <w:r>
        <w:rPr>
          <w:sz w:val="20"/>
          <w:szCs w:val="20"/>
          <w:rtl/>
        </w:rPr>
        <w:t>.</w:t>
      </w:r>
    </w:p>
  </w:footnote>
  <w:footnote w:id="4359">
    <w:p w14:paraId="18B992E9" w14:textId="77777777" w:rsidR="00AB3647" w:rsidRDefault="00000000">
      <w:pPr>
        <w:spacing w:after="0" w:before="0"/>
        <w:jc w:val="both"/>
      </w:pPr>
      <w:r>
        <w:rPr>
          <w:sz w:val="20"/>
          <w:szCs w:val="20"/>
          <w:rtl/>
        </w:rPr>
        <w:footnoteRef/>
      </w:r>
      <w:r>
        <w:rPr>
          <w:sz w:val="20"/>
          <w:szCs w:val="20"/>
          <w:rtl/>
        </w:rPr>
        <w:t xml:space="preserve">. עמ׳ </w:t>
      </w:r>
      <w:proofErr w:type="spellStart"/>
      <w:r>
        <w:rPr>
          <w:sz w:val="20"/>
          <w:szCs w:val="20"/>
          <w:rtl/>
        </w:rPr>
        <w:t>כט</w:t>
      </w:r>
      <w:proofErr w:type="spellEnd"/>
      <w:r>
        <w:rPr>
          <w:sz w:val="20"/>
          <w:szCs w:val="20"/>
          <w:rtl/>
        </w:rPr>
        <w:t xml:space="preserve"> </w:t>
      </w:r>
      <w:proofErr w:type="spellStart"/>
      <w:r>
        <w:rPr>
          <w:sz w:val="20"/>
          <w:szCs w:val="20"/>
          <w:rtl/>
        </w:rPr>
        <w:t>ב“רבנו</w:t>
      </w:r>
      <w:proofErr w:type="spellEnd"/>
      <w:r>
        <w:rPr>
          <w:sz w:val="20"/>
          <w:szCs w:val="20"/>
          <w:rtl/>
        </w:rPr>
        <w:t xml:space="preserve"> הקדוש </w:t>
      </w:r>
      <w:proofErr w:type="spellStart"/>
      <w:r>
        <w:rPr>
          <w:sz w:val="20"/>
          <w:szCs w:val="20"/>
          <w:rtl/>
        </w:rPr>
        <w:t>מצאנז</w:t>
      </w:r>
      <w:proofErr w:type="spellEnd"/>
      <w:r>
        <w:rPr>
          <w:sz w:val="20"/>
          <w:szCs w:val="20"/>
          <w:rtl/>
        </w:rPr>
        <w:t>”, מאת יוסף דוד ויסברג (מפעל “קסת שלמה”, ירושלים, תשל״ו).</w:t>
      </w:r>
    </w:p>
  </w:footnote>
  <w:footnote w:id="4360">
    <w:p w14:paraId="2245B41D" w14:textId="77777777" w:rsidR="00AB3647" w:rsidRDefault="00000000">
      <w:pPr>
        <w:spacing w:after="0" w:before="0"/>
        <w:jc w:val="both"/>
      </w:pPr>
      <w:r>
        <w:rPr>
          <w:sz w:val="20"/>
          <w:szCs w:val="20"/>
          <w:rtl/>
        </w:rPr>
        <w:footnoteRef/>
      </w:r>
      <w:r>
        <w:rPr>
          <w:sz w:val="20"/>
          <w:szCs w:val="20"/>
          <w:rtl/>
        </w:rPr>
        <w:t xml:space="preserve">. ראה גם פרק 3, הפסקה השלישית בהערה 79, שר׳ ראובן </w:t>
      </w:r>
      <w:proofErr w:type="spellStart"/>
      <w:r>
        <w:rPr>
          <w:sz w:val="20"/>
          <w:szCs w:val="20"/>
          <w:rtl/>
        </w:rPr>
        <w:t>בנגיס</w:t>
      </w:r>
      <w:proofErr w:type="spellEnd"/>
      <w:r>
        <w:rPr>
          <w:sz w:val="20"/>
          <w:szCs w:val="20"/>
          <w:rtl/>
        </w:rPr>
        <w:t xml:space="preserve"> גילה כישרון כזה.</w:t>
      </w:r>
    </w:p>
  </w:footnote>
  <w:footnote w:id="4361">
    <w:p w14:paraId="671B77E5" w14:textId="77777777" w:rsidR="00AB3647" w:rsidRDefault="00000000">
      <w:pPr>
        <w:spacing w:after="0" w:before="0"/>
        <w:jc w:val="both"/>
      </w:pPr>
      <w:r>
        <w:rPr>
          <w:sz w:val="20"/>
          <w:szCs w:val="20"/>
          <w:rtl/>
        </w:rPr>
        <w:footnoteRef/>
      </w:r>
      <w:r>
        <w:rPr>
          <w:sz w:val="20"/>
          <w:szCs w:val="20"/>
          <w:rtl/>
        </w:rPr>
        <w:t xml:space="preserve">. </w:t>
      </w:r>
      <w:proofErr w:type="spellStart"/>
      <w:r>
        <w:rPr>
          <w:sz w:val="20"/>
          <w:szCs w:val="20"/>
          <w:rtl/>
        </w:rPr>
        <w:t>צינוביץ</w:t>
      </w:r>
      <w:proofErr w:type="spellEnd"/>
      <w:r>
        <w:rPr>
          <w:sz w:val="20"/>
          <w:szCs w:val="20"/>
          <w:rtl/>
        </w:rPr>
        <w:t>, “אישים וקהילות”, עמ׳ 171.</w:t>
      </w:r>
    </w:p>
  </w:footnote>
  <w:footnote w:id="4362">
    <w:p w14:paraId="23D37F22" w14:textId="77777777" w:rsidR="00AB3647" w:rsidRDefault="00000000">
      <w:pPr>
        <w:spacing w:after="0" w:before="0"/>
        <w:jc w:val="both"/>
      </w:pPr>
      <w:r>
        <w:rPr>
          <w:sz w:val="20"/>
          <w:szCs w:val="20"/>
          <w:rtl/>
        </w:rPr>
        <w:footnoteRef/>
      </w:r>
      <w:r>
        <w:rPr>
          <w:sz w:val="20"/>
          <w:szCs w:val="20"/>
          <w:rtl/>
        </w:rPr>
        <w:t xml:space="preserve">. העניין נידון בהרחבה בפרק 3, הפסקה החמישית של נספח </w:t>
      </w:r>
      <w:proofErr w:type="spellStart"/>
      <w:r>
        <w:rPr>
          <w:sz w:val="20"/>
          <w:szCs w:val="20"/>
          <w:rtl/>
        </w:rPr>
        <w:t>יח</w:t>
      </w:r>
      <w:proofErr w:type="spellEnd"/>
      <w:r>
        <w:rPr>
          <w:sz w:val="20"/>
          <w:szCs w:val="20"/>
          <w:rtl/>
        </w:rPr>
        <w:t>.</w:t>
      </w:r>
    </w:p>
  </w:footnote>
  <w:footnote w:id="4363">
    <w:p w14:paraId="03C10742" w14:textId="77777777" w:rsidR="00AB3647" w:rsidRDefault="00000000">
      <w:pPr>
        <w:spacing w:after="0" w:before="0"/>
        <w:jc w:val="both"/>
      </w:pPr>
      <w:r>
        <w:rPr>
          <w:sz w:val="20"/>
          <w:szCs w:val="20"/>
          <w:rtl/>
        </w:rPr>
        <w:footnoteRef/>
      </w:r>
      <w:r>
        <w:rPr>
          <w:sz w:val="20"/>
          <w:szCs w:val="20"/>
          <w:rtl/>
        </w:rPr>
        <w:t xml:space="preserve">. המאבק נגד ר׳ </w:t>
      </w:r>
      <w:proofErr w:type="spellStart"/>
      <w:r>
        <w:rPr>
          <w:sz w:val="20"/>
          <w:szCs w:val="20"/>
          <w:rtl/>
        </w:rPr>
        <w:t>יחיאל־מיכל</w:t>
      </w:r>
      <w:proofErr w:type="spellEnd"/>
      <w:r>
        <w:rPr>
          <w:sz w:val="20"/>
          <w:szCs w:val="20"/>
          <w:rtl/>
        </w:rPr>
        <w:t xml:space="preserve"> פינס מתואר בהרחבה </w:t>
      </w:r>
      <w:proofErr w:type="spellStart"/>
      <w:r>
        <w:rPr>
          <w:sz w:val="20"/>
          <w:szCs w:val="20"/>
          <w:rtl/>
        </w:rPr>
        <w:t>ב“עמוד</w:t>
      </w:r>
      <w:proofErr w:type="spellEnd"/>
      <w:r>
        <w:rPr>
          <w:sz w:val="20"/>
          <w:szCs w:val="20"/>
          <w:rtl/>
        </w:rPr>
        <w:t xml:space="preserve"> אש” (שם, פרק 3, הערה 16), עמ׳ </w:t>
      </w:r>
      <w:proofErr w:type="spellStart"/>
      <w:r>
        <w:rPr>
          <w:sz w:val="20"/>
          <w:szCs w:val="20"/>
          <w:rtl/>
        </w:rPr>
        <w:t>קיג</w:t>
      </w:r>
      <w:proofErr w:type="spellEnd"/>
      <w:r>
        <w:rPr>
          <w:sz w:val="20"/>
          <w:szCs w:val="20"/>
          <w:rtl/>
        </w:rPr>
        <w:t xml:space="preserve"> ואילך. אולם הספר מסתיר את שמו המלא של ר׳ </w:t>
      </w:r>
      <w:proofErr w:type="spellStart"/>
      <w:r>
        <w:rPr>
          <w:sz w:val="20"/>
          <w:szCs w:val="20"/>
          <w:rtl/>
        </w:rPr>
        <w:t>יחיאל־מיכל</w:t>
      </w:r>
      <w:proofErr w:type="spellEnd"/>
      <w:r>
        <w:rPr>
          <w:sz w:val="20"/>
          <w:szCs w:val="20"/>
          <w:rtl/>
        </w:rPr>
        <w:t xml:space="preserve"> פינס מאחורי ראשי התיבות מ.פ.</w:t>
      </w:r>
    </w:p>
  </w:footnote>
  <w:footnote w:id="4364">
    <w:p w14:paraId="1F402288" w14:textId="77777777" w:rsidR="00AB3647" w:rsidRDefault="00000000">
      <w:pPr>
        <w:spacing w:after="0" w:before="0"/>
        <w:jc w:val="both"/>
      </w:pPr>
      <w:r>
        <w:rPr>
          <w:sz w:val="20"/>
          <w:szCs w:val="20"/>
          <w:rtl/>
        </w:rPr>
        <w:footnoteRef/>
      </w:r>
      <w:r>
        <w:rPr>
          <w:sz w:val="20"/>
          <w:szCs w:val="20"/>
          <w:rtl/>
        </w:rPr>
        <w:t xml:space="preserve">. ראה תחילת נספח זה – המאמר הרביעי (מאמר ד). הקונטרס נדפס בעילום שם – כנראה בידי ר׳ </w:t>
      </w:r>
      <w:proofErr w:type="spellStart"/>
      <w:r>
        <w:rPr>
          <w:sz w:val="20"/>
          <w:szCs w:val="20"/>
          <w:rtl/>
        </w:rPr>
        <w:t>יחיאל־מיכל</w:t>
      </w:r>
      <w:proofErr w:type="spellEnd"/>
      <w:r>
        <w:rPr>
          <w:sz w:val="20"/>
          <w:szCs w:val="20"/>
          <w:rtl/>
        </w:rPr>
        <w:t xml:space="preserve"> פינס.</w:t>
      </w:r>
    </w:p>
  </w:footnote>
  <w:footnote w:id="4365">
    <w:p w14:paraId="7A796DAE" w14:textId="77777777" w:rsidR="00AB3647" w:rsidRDefault="00000000">
      <w:pPr>
        <w:spacing w:after="0" w:before="0"/>
        <w:jc w:val="both"/>
      </w:pPr>
      <w:r>
        <w:rPr>
          <w:sz w:val="20"/>
          <w:szCs w:val="20"/>
          <w:rtl/>
        </w:rPr>
        <w:footnoteRef/>
      </w:r>
      <w:r>
        <w:rPr>
          <w:sz w:val="20"/>
          <w:szCs w:val="20"/>
          <w:rtl/>
        </w:rPr>
        <w:t xml:space="preserve">. הגאון צפה מראש שארץ זו תהיה יעד חשוב ליהודים המהגרים מרוסיה, אף שרק הספינה הראשונה, ועליה 140 משפחות, הפליגה לשם שנתיים לפני פרסום הקונטרס. חרם ר׳ </w:t>
      </w:r>
      <w:proofErr w:type="spellStart"/>
      <w:r>
        <w:rPr>
          <w:sz w:val="20"/>
          <w:szCs w:val="20"/>
          <w:rtl/>
        </w:rPr>
        <w:t>יהושע־לייב</w:t>
      </w:r>
      <w:proofErr w:type="spellEnd"/>
      <w:r>
        <w:rPr>
          <w:sz w:val="20"/>
          <w:szCs w:val="20"/>
          <w:rtl/>
        </w:rPr>
        <w:t xml:space="preserve"> דיסקין הוכרז באותה שנה שבה יצאה לארגנטינה הספינה הראשונה של יהודים.</w:t>
      </w:r>
    </w:p>
  </w:footnote>
  <w:footnote w:id="4366">
    <w:p w14:paraId="1F71A7D8" w14:textId="77777777" w:rsidR="00AB3647" w:rsidRDefault="00000000">
      <w:pPr>
        <w:spacing w:after="0" w:before="0"/>
        <w:jc w:val="both"/>
      </w:pPr>
      <w:r>
        <w:rPr>
          <w:sz w:val="20"/>
          <w:szCs w:val="20"/>
          <w:rtl/>
        </w:rPr>
        <w:footnoteRef/>
      </w:r>
      <w:r>
        <w:rPr>
          <w:sz w:val="20"/>
          <w:szCs w:val="20"/>
          <w:rtl/>
        </w:rPr>
        <w:t xml:space="preserve">. שם, פרק 3, הפסקה השלישית של נספח ה – הערת שוליים בעמ׳ </w:t>
      </w:r>
      <w:proofErr w:type="spellStart"/>
      <w:r>
        <w:rPr>
          <w:sz w:val="20"/>
          <w:szCs w:val="20"/>
          <w:rtl/>
        </w:rPr>
        <w:t>קפו</w:t>
      </w:r>
      <w:proofErr w:type="spellEnd"/>
      <w:r>
        <w:rPr>
          <w:sz w:val="20"/>
          <w:szCs w:val="20"/>
          <w:rtl/>
        </w:rPr>
        <w:t>.</w:t>
      </w:r>
    </w:p>
  </w:footnote>
  <w:footnote w:id="4367">
    <w:p w14:paraId="6640D837" w14:textId="77777777" w:rsidR="00AB3647" w:rsidRDefault="00000000">
      <w:pPr>
        <w:spacing w:after="0" w:before="0"/>
        <w:jc w:val="both"/>
      </w:pPr>
      <w:r>
        <w:rPr>
          <w:sz w:val="20"/>
          <w:szCs w:val="20"/>
          <w:rtl/>
        </w:rPr>
        <w:footnoteRef/>
      </w:r>
      <w:r>
        <w:rPr>
          <w:sz w:val="20"/>
          <w:szCs w:val="20"/>
          <w:rtl/>
        </w:rPr>
        <w:t xml:space="preserve">. ראה פרק 3, הפסקה הראשונה של נספח </w:t>
      </w:r>
      <w:proofErr w:type="spellStart"/>
      <w:r>
        <w:rPr>
          <w:sz w:val="20"/>
          <w:szCs w:val="20"/>
          <w:rtl/>
        </w:rPr>
        <w:t>כו</w:t>
      </w:r>
      <w:proofErr w:type="spellEnd"/>
      <w:r>
        <w:rPr>
          <w:sz w:val="20"/>
          <w:szCs w:val="20"/>
          <w:rtl/>
        </w:rPr>
        <w:t>.</w:t>
      </w:r>
    </w:p>
  </w:footnote>
  <w:footnote w:id="4368">
    <w:p w14:paraId="60B3B282" w14:textId="77777777" w:rsidR="00AB3647" w:rsidRDefault="00000000">
      <w:pPr>
        <w:spacing w:after="0" w:before="0"/>
        <w:jc w:val="both"/>
      </w:pPr>
      <w:r>
        <w:rPr>
          <w:sz w:val="20"/>
          <w:szCs w:val="20"/>
          <w:rtl/>
        </w:rPr>
        <w:footnoteRef/>
      </w:r>
      <w:r>
        <w:rPr>
          <w:sz w:val="20"/>
          <w:szCs w:val="20"/>
          <w:rtl/>
        </w:rPr>
        <w:t xml:space="preserve">. “ניו יורק טיימס”, 1 במאי, המהדורה </w:t>
      </w:r>
      <w:proofErr w:type="spellStart"/>
      <w:r>
        <w:rPr>
          <w:sz w:val="20"/>
          <w:szCs w:val="20"/>
          <w:rtl/>
        </w:rPr>
        <w:t>הבין־לאומית</w:t>
      </w:r>
      <w:proofErr w:type="spellEnd"/>
      <w:r>
        <w:rPr>
          <w:sz w:val="20"/>
          <w:szCs w:val="20"/>
          <w:rtl/>
        </w:rPr>
        <w:t>.</w:t>
      </w:r>
    </w:p>
  </w:footnote>
  <w:footnote w:id="4369">
    <w:p w14:paraId="2D060623"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proofErr w:type="spellStart"/>
      <w:r>
        <w:rPr>
          <w:sz w:val="20"/>
          <w:szCs w:val="20"/>
          <w:rtl/>
        </w:rPr>
        <w:t>יק״א</w:t>
      </w:r>
      <w:proofErr w:type="spellEnd"/>
      <w:r>
        <w:rPr>
          <w:sz w:val="20"/>
          <w:szCs w:val="20"/>
          <w:rtl/>
        </w:rPr>
        <w:t xml:space="preserve"> נוסדה רק </w:t>
      </w:r>
      <w:proofErr w:type="spellStart"/>
      <w:r>
        <w:rPr>
          <w:sz w:val="20"/>
          <w:szCs w:val="20"/>
          <w:rtl/>
        </w:rPr>
        <w:t>בתרנ״א</w:t>
      </w:r>
      <w:proofErr w:type="spellEnd"/>
      <w:r>
        <w:rPr>
          <w:sz w:val="20"/>
          <w:szCs w:val="20"/>
          <w:rtl/>
        </w:rPr>
        <w:t xml:space="preserve">. מתיישבי </w:t>
      </w:r>
      <w:proofErr w:type="spellStart"/>
      <w:r>
        <w:rPr>
          <w:sz w:val="20"/>
          <w:szCs w:val="20"/>
          <w:rtl/>
        </w:rPr>
        <w:t>מויסס</w:t>
      </w:r>
      <w:proofErr w:type="spellEnd"/>
      <w:r>
        <w:rPr>
          <w:sz w:val="20"/>
          <w:szCs w:val="20"/>
          <w:rtl/>
        </w:rPr>
        <w:t xml:space="preserve"> ויל הראשונים הגיעו בלעדיה, </w:t>
      </w:r>
      <w:proofErr w:type="spellStart"/>
      <w:r>
        <w:rPr>
          <w:sz w:val="20"/>
          <w:szCs w:val="20"/>
          <w:rtl/>
        </w:rPr>
        <w:t>ויק״א</w:t>
      </w:r>
      <w:proofErr w:type="spellEnd"/>
      <w:r>
        <w:rPr>
          <w:sz w:val="20"/>
          <w:szCs w:val="20"/>
          <w:rtl/>
        </w:rPr>
        <w:t xml:space="preserve"> קיבלה את המושבה לחסותה רק לאחר ייסודה.</w:t>
      </w:r>
    </w:p>
  </w:footnote>
  <w:footnote w:id="4370">
    <w:p w14:paraId="68D42115" w14:textId="77777777" w:rsidR="00AB3647" w:rsidRDefault="00000000">
      <w:pPr>
        <w:spacing w:after="0" w:before="0"/>
        <w:jc w:val="both"/>
      </w:pPr>
      <w:r>
        <w:rPr>
          <w:sz w:val="20"/>
          <w:szCs w:val="20"/>
          <w:rtl/>
        </w:rPr>
        <w:footnoteRef/>
      </w:r>
      <w:r>
        <w:rPr>
          <w:sz w:val="20"/>
          <w:szCs w:val="20"/>
          <w:rtl/>
        </w:rPr>
        <w:t xml:space="preserve">. ראה פרק 3, הפסקה השישית של נספח </w:t>
      </w:r>
      <w:proofErr w:type="spellStart"/>
      <w:r>
        <w:rPr>
          <w:sz w:val="20"/>
          <w:szCs w:val="20"/>
          <w:rtl/>
        </w:rPr>
        <w:t>יח</w:t>
      </w:r>
      <w:proofErr w:type="spellEnd"/>
      <w:r>
        <w:rPr>
          <w:sz w:val="20"/>
          <w:szCs w:val="20"/>
          <w:rtl/>
        </w:rPr>
        <w:t>.</w:t>
      </w:r>
    </w:p>
  </w:footnote>
  <w:footnote w:id="4371">
    <w:p w14:paraId="61EFBAFD" w14:textId="77777777" w:rsidR="00AB3647" w:rsidRDefault="00000000">
      <w:pPr>
        <w:spacing w:after="0" w:before="0"/>
        <w:jc w:val="both"/>
      </w:pPr>
      <w:r>
        <w:rPr>
          <w:sz w:val="20"/>
          <w:szCs w:val="20"/>
          <w:rtl/>
        </w:rPr>
        <w:footnoteRef/>
      </w:r>
      <w:r>
        <w:rPr>
          <w:sz w:val="20"/>
          <w:szCs w:val="20"/>
          <w:rtl/>
        </w:rPr>
        <w:t>. ריאיון מ־26 בפברואר 1998.</w:t>
      </w:r>
    </w:p>
  </w:footnote>
  <w:footnote w:id="4372">
    <w:p w14:paraId="44E5541A" w14:textId="77777777" w:rsidR="00AB3647" w:rsidRDefault="00000000">
      <w:pPr>
        <w:spacing w:after="0" w:before="0"/>
        <w:jc w:val="both"/>
      </w:pPr>
      <w:r>
        <w:rPr>
          <w:sz w:val="20"/>
          <w:szCs w:val="20"/>
          <w:rtl/>
        </w:rPr>
        <w:footnoteRef/>
      </w:r>
      <w:r>
        <w:rPr>
          <w:sz w:val="20"/>
          <w:szCs w:val="20"/>
          <w:rtl/>
        </w:rPr>
        <w:t>. עמ׳ קיט.</w:t>
      </w:r>
    </w:p>
  </w:footnote>
  <w:footnote w:id="4373">
    <w:p w14:paraId="2CD83B45" w14:textId="77777777" w:rsidR="00AB3647" w:rsidRDefault="00000000">
      <w:pPr>
        <w:spacing w:after="0" w:before="0"/>
        <w:jc w:val="both"/>
      </w:pPr>
      <w:r>
        <w:rPr>
          <w:sz w:val="20"/>
          <w:szCs w:val="20"/>
          <w:rtl/>
        </w:rPr>
        <w:footnoteRef/>
      </w:r>
      <w:r>
        <w:rPr>
          <w:sz w:val="20"/>
          <w:szCs w:val="20"/>
          <w:rtl/>
        </w:rPr>
        <w:t>. ב־4 ביוני 1992.</w:t>
      </w:r>
    </w:p>
  </w:footnote>
  <w:footnote w:id="4374">
    <w:p w14:paraId="7E668707" w14:textId="77777777" w:rsidR="00AB3647" w:rsidRDefault="00000000">
      <w:pPr>
        <w:spacing w:after="0" w:before="0"/>
        <w:jc w:val="both"/>
      </w:pPr>
      <w:r>
        <w:rPr>
          <w:sz w:val="20"/>
          <w:szCs w:val="20"/>
          <w:rtl/>
        </w:rPr>
        <w:footnoteRef/>
      </w:r>
      <w:r>
        <w:rPr>
          <w:sz w:val="20"/>
          <w:szCs w:val="20"/>
          <w:rtl/>
        </w:rPr>
        <w:t>. “יתד נאמן”, מוסף ערב סוכות תשס״א. המכתב נמצא בין ניירות פינס בארכיון הסוכנות היהודית.</w:t>
      </w:r>
    </w:p>
  </w:footnote>
  <w:footnote w:id="4375">
    <w:p w14:paraId="3E5703E4" w14:textId="77777777" w:rsidR="00AB3647" w:rsidRDefault="00000000">
      <w:pPr>
        <w:spacing w:after="0" w:before="0"/>
        <w:jc w:val="both"/>
      </w:pPr>
      <w:r>
        <w:rPr>
          <w:sz w:val="20"/>
          <w:szCs w:val="20"/>
          <w:rtl/>
        </w:rPr>
        <w:footnoteRef/>
      </w:r>
      <w:r>
        <w:rPr>
          <w:sz w:val="20"/>
          <w:szCs w:val="20"/>
          <w:rtl/>
        </w:rPr>
        <w:t xml:space="preserve">. השווה גם פרק 2, הערת שוליים </w:t>
      </w:r>
      <w:r>
        <w:rPr>
          <w:sz w:val="20"/>
          <w:szCs w:val="20"/>
          <w:rtl/>
        </w:rPr>
        <w:fldChar w:fldCharType="begin" w:dirty="true"/>
      </w:r>
      <w:r>
        <w:rPr>
          <w:sz w:val="20"/>
          <w:szCs w:val="20"/>
          <w:rtl/>
        </w:rPr>
        <w:instrText xml:space="preserve"> NOTEREF pr_f_853 \h </w:instrText>
      </w:r>
      <w:r>
        <w:rPr>
          <w:sz w:val="20"/>
          <w:szCs w:val="20"/>
          <w:rtl/>
        </w:rPr>
      </w:r>
      <w:r>
        <w:rPr>
          <w:sz w:val="20"/>
          <w:szCs w:val="20"/>
          <w:rtl/>
        </w:rPr>
        <w:fldChar w:fldCharType="separate"/>
      </w:r>
      <w:r w:rsidR="007923E9">
        <w:rPr>
          <w:sz w:val="20"/>
          <w:szCs w:val="20"/>
          <w:rtl/>
        </w:rPr>
        <w:t>484</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pr_f_853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4376">
    <w:p w14:paraId="2B3D0E7B" w14:textId="77777777" w:rsidR="00AB3647" w:rsidRDefault="00000000">
      <w:pPr>
        <w:spacing w:after="0" w:before="0"/>
        <w:jc w:val="both"/>
      </w:pPr>
      <w:r>
        <w:rPr>
          <w:sz w:val="20"/>
          <w:szCs w:val="20"/>
          <w:rtl/>
        </w:rPr>
        <w:footnoteRef/>
      </w:r>
      <w:r>
        <w:rPr>
          <w:sz w:val="20"/>
          <w:szCs w:val="20"/>
          <w:rtl/>
        </w:rPr>
        <w:t>. על פי דברים לב, לב–לג.</w:t>
      </w:r>
    </w:p>
  </w:footnote>
  <w:footnote w:id="4377">
    <w:p w14:paraId="6061578D" w14:textId="77777777" w:rsidR="00AB3647" w:rsidRDefault="00000000">
      <w:pPr>
        <w:spacing w:after="0" w:before="0"/>
        <w:jc w:val="both"/>
      </w:pPr>
      <w:r>
        <w:rPr>
          <w:sz w:val="20"/>
          <w:szCs w:val="20"/>
          <w:rtl/>
        </w:rPr>
        <w:footnoteRef/>
      </w:r>
      <w:r>
        <w:rPr>
          <w:sz w:val="20"/>
          <w:szCs w:val="20"/>
          <w:rtl/>
        </w:rPr>
        <w:t>. ריאיון מ־6 בדצמבר 1991.</w:t>
      </w:r>
    </w:p>
  </w:footnote>
  <w:footnote w:id="4378">
    <w:p w14:paraId="1168B862" w14:textId="77777777" w:rsidR="00AB3647" w:rsidRDefault="00000000">
      <w:pPr>
        <w:spacing w:after="0" w:before="0"/>
        <w:jc w:val="both"/>
      </w:pPr>
      <w:r>
        <w:rPr>
          <w:sz w:val="20"/>
          <w:szCs w:val="20"/>
          <w:rtl/>
        </w:rPr>
        <w:footnoteRef/>
      </w:r>
      <w:r>
        <w:rPr>
          <w:sz w:val="20"/>
          <w:szCs w:val="20"/>
          <w:rtl/>
        </w:rPr>
        <w:t xml:space="preserve">. הפסקה השנייה של נספח ב לעיל – </w:t>
      </w:r>
      <w:proofErr w:type="spellStart"/>
      <w:r>
        <w:rPr>
          <w:sz w:val="20"/>
          <w:szCs w:val="20"/>
          <w:rtl/>
        </w:rPr>
        <w:t>ח״ב</w:t>
      </w:r>
      <w:proofErr w:type="spellEnd"/>
      <w:r>
        <w:rPr>
          <w:sz w:val="20"/>
          <w:szCs w:val="20"/>
          <w:rtl/>
        </w:rPr>
        <w:t>, עמ׳ שי.</w:t>
      </w:r>
    </w:p>
  </w:footnote>
  <w:footnote w:id="4379">
    <w:p w14:paraId="79763A40" w14:textId="77777777" w:rsidR="00AB3647" w:rsidRDefault="00000000">
      <w:pPr>
        <w:spacing w:after="0" w:before="0"/>
        <w:jc w:val="both"/>
      </w:pPr>
      <w:r>
        <w:rPr>
          <w:sz w:val="20"/>
          <w:szCs w:val="20"/>
          <w:rtl/>
        </w:rPr>
        <w:footnoteRef/>
      </w:r>
      <w:r>
        <w:rPr>
          <w:sz w:val="20"/>
          <w:szCs w:val="20"/>
          <w:rtl/>
        </w:rPr>
        <w:t xml:space="preserve">. “עובדות והנהגות לבית </w:t>
      </w:r>
      <w:proofErr w:type="spellStart"/>
      <w:r>
        <w:rPr>
          <w:sz w:val="20"/>
          <w:szCs w:val="20"/>
          <w:rtl/>
        </w:rPr>
        <w:t>בריסק</w:t>
      </w:r>
      <w:proofErr w:type="spellEnd"/>
      <w:r>
        <w:rPr>
          <w:sz w:val="20"/>
          <w:szCs w:val="20"/>
          <w:rtl/>
        </w:rPr>
        <w:t xml:space="preserve">” אינו מפרט זאת, אבל לכאורה מוכרח שהתרגיל היה במקצוע שאינו מצריך ידיעת רוסית – מסתבר שבמתמטיקה, כמו במקרה של ר׳ </w:t>
      </w:r>
      <w:proofErr w:type="spellStart"/>
      <w:r>
        <w:rPr>
          <w:sz w:val="20"/>
          <w:szCs w:val="20"/>
          <w:rtl/>
        </w:rPr>
        <w:t>דוד׳ל</w:t>
      </w:r>
      <w:proofErr w:type="spellEnd"/>
      <w:r>
        <w:rPr>
          <w:sz w:val="20"/>
          <w:szCs w:val="20"/>
          <w:rtl/>
        </w:rPr>
        <w:t xml:space="preserve"> – שהרי, כמבואר בפרק 1, הערה 69, ר׳ חיים לא ידע לקרוא בשפה זו. אך לפי מה שסיפר פעם רבנו על ר׳ חיים, ייתכן שהתרגיל היה בכל מקצוע שהוא.</w:t>
      </w:r>
    </w:p>
    <w:p w14:paraId="47A5A15C" w14:textId="77777777" w:rsidR="00AB3647" w:rsidRDefault="00000000">
      <w:pPr>
        <w:spacing w:after="0" w:before="0"/>
        <w:jc w:val="both"/>
      </w:pPr>
      <w:r>
        <w:rPr>
          <w:sz w:val="20"/>
          <w:szCs w:val="20"/>
          <w:rtl/>
        </w:rPr>
        <w:t>אבי סיפר שר׳ חיים אמר פעם לאדם שהוא, ר׳ חיים, יכתוב בשבילו מכתב ברוסית. כשהלה אמר: “אבל רבי, אינך יודע רוסית!”, השיב: “אני לוקח נייר, עט ודיו, ואומר לשמש שלי – שיודע רוסית – מה לכתוב. השמש כותב ברוסית מה שאני אומר לו לכתוב. וכך כתבתי מכתב ברוסית”. אולי גם במעשה עם הסטודנט, כשאמר ר׳ חיים שיעשה את התרגיל, התכוון שאדם היודע לקרוא ולכתוב רוסית יאמר לו מה השאלות, והוא יאמר לו את התשובות הנכונות – ואותו אדם יכתוב אחר כך את התשובות ברוסית.</w:t>
      </w:r>
    </w:p>
  </w:footnote>
  <w:footnote w:id="4380">
    <w:p w14:paraId="382C26DB" w14:textId="77777777" w:rsidR="00AB3647" w:rsidRDefault="00000000">
      <w:pPr>
        <w:spacing w:after="0" w:before="0"/>
        <w:jc w:val="both"/>
      </w:pPr>
      <w:r>
        <w:rPr>
          <w:sz w:val="20"/>
          <w:szCs w:val="20"/>
          <w:rtl/>
        </w:rPr>
        <w:footnoteRef/>
      </w:r>
      <w:r>
        <w:rPr>
          <w:sz w:val="20"/>
          <w:szCs w:val="20"/>
          <w:rtl/>
        </w:rPr>
        <w:t>. הסיפור נדפס בסקירה ביוגרפית מאת יעקב ליב שפירא בהקדמה למהדורה חדשה של “מגלה עמוקות” (ללא מקום דפוס וללא תאריך).</w:t>
      </w:r>
    </w:p>
  </w:footnote>
  <w:footnote w:id="4381">
    <w:p w14:paraId="10DB70A2" w14:textId="77777777" w:rsidR="00AB3647" w:rsidRDefault="00000000">
      <w:pPr>
        <w:spacing w:after="0" w:before="0"/>
        <w:jc w:val="both"/>
      </w:pPr>
      <w:r>
        <w:rPr>
          <w:sz w:val="20"/>
          <w:szCs w:val="20"/>
          <w:rtl/>
        </w:rPr>
        <w:footnoteRef/>
      </w:r>
      <w:r>
        <w:rPr>
          <w:sz w:val="20"/>
          <w:szCs w:val="20"/>
          <w:rtl/>
        </w:rPr>
        <w:t>. השווה הערה 142 בפרק זה ופרק 5, הערה 83.</w:t>
      </w:r>
    </w:p>
  </w:footnote>
  <w:footnote w:id="4382">
    <w:p w14:paraId="4D7CBEDB" w14:textId="77777777" w:rsidR="00AB3647" w:rsidRDefault="00000000">
      <w:pPr>
        <w:spacing w:after="0" w:before="0"/>
        <w:jc w:val="both"/>
      </w:pPr>
      <w:r>
        <w:rPr>
          <w:sz w:val="20"/>
          <w:szCs w:val="20"/>
          <w:rtl/>
        </w:rPr>
        <w:footnoteRef/>
      </w:r>
      <w:r>
        <w:rPr>
          <w:sz w:val="20"/>
          <w:szCs w:val="20"/>
          <w:rtl/>
        </w:rPr>
        <w:t xml:space="preserve">. במכתב ר׳ </w:t>
      </w:r>
      <w:proofErr w:type="spellStart"/>
      <w:r>
        <w:rPr>
          <w:sz w:val="20"/>
          <w:szCs w:val="20"/>
          <w:rtl/>
        </w:rPr>
        <w:t>דוד׳ל</w:t>
      </w:r>
      <w:proofErr w:type="spellEnd"/>
      <w:r>
        <w:rPr>
          <w:sz w:val="20"/>
          <w:szCs w:val="20"/>
          <w:rtl/>
        </w:rPr>
        <w:t xml:space="preserve"> לגיסו, שנזכר לעיל, הוא כותב: “כעת אני בן שישים ושש שנה, וזה כחמישים שנה אני עובד בשדות הבבלי והירושלמי יומם ולילה ומקדיש למלאכה זו כמעט את כל כוחות נפשי וגופי”. אנו נותרים תוהים כיצד הגדיר ר׳ </w:t>
      </w:r>
      <w:proofErr w:type="spellStart"/>
      <w:r>
        <w:rPr>
          <w:sz w:val="20"/>
          <w:szCs w:val="20"/>
          <w:rtl/>
        </w:rPr>
        <w:t>דוד׳ל</w:t>
      </w:r>
      <w:proofErr w:type="spellEnd"/>
      <w:r>
        <w:rPr>
          <w:sz w:val="20"/>
          <w:szCs w:val="20"/>
          <w:rtl/>
        </w:rPr>
        <w:t xml:space="preserve"> את עיסוקו לפני גיל </w:t>
      </w:r>
      <w:proofErr w:type="spellStart"/>
      <w:r>
        <w:rPr>
          <w:sz w:val="20"/>
          <w:szCs w:val="20"/>
          <w:rtl/>
        </w:rPr>
        <w:t>שש־עשרה</w:t>
      </w:r>
      <w:proofErr w:type="spellEnd"/>
      <w:r>
        <w:rPr>
          <w:sz w:val="20"/>
          <w:szCs w:val="20"/>
          <w:rtl/>
        </w:rPr>
        <w:t xml:space="preserve"> – בשעה שכבר היה מסוגל לעצור גאונים ותיקים באמצע דבריהם (כמסופר בראש הפסקה הראשונה לעיל ובהערת השוליים </w:t>
      </w:r>
      <w:r>
        <w:rPr>
          <w:sz w:val="20"/>
          <w:szCs w:val="20"/>
          <w:rtl/>
        </w:rPr>
        <w:fldChar w:fldCharType="begin" w:dirty="true"/>
      </w:r>
      <w:r>
        <w:rPr>
          <w:sz w:val="20"/>
          <w:szCs w:val="20"/>
          <w:rtl/>
        </w:rPr>
        <w:instrText xml:space="preserve"> NOTEREF pr_f_4209 \h </w:instrText>
      </w:r>
      <w:r>
        <w:rPr>
          <w:sz w:val="20"/>
          <w:szCs w:val="20"/>
          <w:rtl/>
        </w:rPr>
      </w:r>
      <w:r>
        <w:rPr>
          <w:sz w:val="20"/>
          <w:szCs w:val="20"/>
          <w:rtl/>
        </w:rPr>
        <w:fldChar w:fldCharType="separate"/>
      </w:r>
      <w:r w:rsidR="007923E9">
        <w:rPr>
          <w:sz w:val="20"/>
          <w:szCs w:val="20"/>
          <w:rtl/>
        </w:rPr>
        <w:t>1287</w:t>
      </w:r>
      <w:r>
        <w:rPr>
          <w:sz w:val="20"/>
          <w:szCs w:val="20"/>
          <w:rtl/>
        </w:rPr>
        <w:fldChar w:fldCharType="end"/>
      </w:r>
      <w:r>
        <w:rPr>
          <w:sz w:val="20"/>
          <w:szCs w:val="20"/>
          <w:rtl/>
        </w:rPr>
        <w:t xml:space="preserve"> שם, על ניסיונו לפרק גם את דרשתו של ר׳ שמואל </w:t>
      </w:r>
      <w:proofErr w:type="spellStart"/>
      <w:r>
        <w:rPr>
          <w:sz w:val="20"/>
          <w:szCs w:val="20"/>
          <w:rtl/>
        </w:rPr>
        <w:t>סלנט</w:t>
      </w:r>
      <w:proofErr w:type="spellEnd"/>
      <w:r>
        <w:rPr>
          <w:sz w:val="20"/>
          <w:szCs w:val="20"/>
          <w:rtl/>
        </w:rPr>
        <w:t>).</w:t>
      </w:r>
    </w:p>
  </w:footnote>
  <w:footnote w:id="4383">
    <w:p w14:paraId="45B2C6C1" w14:textId="77777777" w:rsidR="00AB3647" w:rsidRDefault="00000000">
      <w:pPr>
        <w:spacing w:after="0" w:before="0"/>
        <w:jc w:val="both"/>
      </w:pPr>
      <w:r>
        <w:rPr>
          <w:sz w:val="20"/>
          <w:szCs w:val="20"/>
          <w:rtl/>
        </w:rPr>
        <w:footnoteRef/>
      </w:r>
      <w:r>
        <w:rPr>
          <w:sz w:val="20"/>
          <w:szCs w:val="20"/>
          <w:rtl/>
        </w:rPr>
        <w:t xml:space="preserve">. סיפר זאת ר׳ אביגדור אפן, שלמד בישיבת </w:t>
      </w:r>
      <w:proofErr w:type="spellStart"/>
      <w:r>
        <w:rPr>
          <w:sz w:val="20"/>
          <w:szCs w:val="20"/>
          <w:rtl/>
        </w:rPr>
        <w:t>קלצק</w:t>
      </w:r>
      <w:proofErr w:type="spellEnd"/>
      <w:r>
        <w:rPr>
          <w:sz w:val="20"/>
          <w:szCs w:val="20"/>
          <w:rtl/>
        </w:rPr>
        <w:t xml:space="preserve"> לפני המלחמה, בריאיון מ־21 באפריל 1992. המרואיין לא זכר היכן שמע או קרא את הסיפור. אפשר לשער שהרב אפן שמע אותו בישיבת </w:t>
      </w:r>
      <w:proofErr w:type="spellStart"/>
      <w:r>
        <w:rPr>
          <w:sz w:val="20"/>
          <w:szCs w:val="20"/>
          <w:rtl/>
        </w:rPr>
        <w:t>קלצק</w:t>
      </w:r>
      <w:proofErr w:type="spellEnd"/>
      <w:r>
        <w:rPr>
          <w:sz w:val="20"/>
          <w:szCs w:val="20"/>
          <w:rtl/>
        </w:rPr>
        <w:t xml:space="preserve">, שכן ב־16 במאי 1997 סיפר בוגר אחר של </w:t>
      </w:r>
      <w:proofErr w:type="spellStart"/>
      <w:r>
        <w:rPr>
          <w:sz w:val="20"/>
          <w:szCs w:val="20"/>
          <w:rtl/>
        </w:rPr>
        <w:t>קלצק</w:t>
      </w:r>
      <w:proofErr w:type="spellEnd"/>
      <w:r>
        <w:rPr>
          <w:sz w:val="20"/>
          <w:szCs w:val="20"/>
          <w:rtl/>
        </w:rPr>
        <w:t xml:space="preserve">, ר׳ לייב </w:t>
      </w:r>
      <w:proofErr w:type="spellStart"/>
      <w:r>
        <w:rPr>
          <w:sz w:val="20"/>
          <w:szCs w:val="20"/>
          <w:rtl/>
        </w:rPr>
        <w:t>רוטקין</w:t>
      </w:r>
      <w:proofErr w:type="spellEnd"/>
      <w:r>
        <w:rPr>
          <w:sz w:val="20"/>
          <w:szCs w:val="20"/>
          <w:rtl/>
        </w:rPr>
        <w:t xml:space="preserve">, מה שנראה כגרסה אחרת של אותו סיפור, וזכר ששמע אותה בישיבת </w:t>
      </w:r>
      <w:proofErr w:type="spellStart"/>
      <w:r>
        <w:rPr>
          <w:sz w:val="20"/>
          <w:szCs w:val="20"/>
          <w:rtl/>
        </w:rPr>
        <w:t>קלצק</w:t>
      </w:r>
      <w:proofErr w:type="spellEnd"/>
      <w:r>
        <w:rPr>
          <w:sz w:val="20"/>
          <w:szCs w:val="20"/>
          <w:rtl/>
        </w:rPr>
        <w:t xml:space="preserve"> שלפני המלחמה. ראה גם שני מעשים מעין זה על </w:t>
      </w:r>
      <w:proofErr w:type="spellStart"/>
      <w:r>
        <w:rPr>
          <w:sz w:val="20"/>
          <w:szCs w:val="20"/>
          <w:rtl/>
        </w:rPr>
        <w:t>החזון־איש</w:t>
      </w:r>
      <w:proofErr w:type="spellEnd"/>
      <w:r>
        <w:rPr>
          <w:sz w:val="20"/>
          <w:szCs w:val="20"/>
          <w:rtl/>
        </w:rPr>
        <w:t xml:space="preserve"> </w:t>
      </w:r>
      <w:proofErr w:type="spellStart"/>
      <w:r>
        <w:rPr>
          <w:sz w:val="20"/>
          <w:szCs w:val="20"/>
          <w:rtl/>
        </w:rPr>
        <w:t>ב“אמונת</w:t>
      </w:r>
      <w:proofErr w:type="spellEnd"/>
      <w:r>
        <w:rPr>
          <w:sz w:val="20"/>
          <w:szCs w:val="20"/>
          <w:rtl/>
        </w:rPr>
        <w:t xml:space="preserve"> חסידיך” (שם, פרק 1, הערה 72), עמ׳ 279–280 ו־280–281. בגרסת הרב </w:t>
      </w:r>
      <w:proofErr w:type="spellStart"/>
      <w:r>
        <w:rPr>
          <w:sz w:val="20"/>
          <w:szCs w:val="20"/>
          <w:rtl/>
        </w:rPr>
        <w:t>רוטקין</w:t>
      </w:r>
      <w:proofErr w:type="spellEnd"/>
      <w:r>
        <w:rPr>
          <w:sz w:val="20"/>
          <w:szCs w:val="20"/>
          <w:rtl/>
        </w:rPr>
        <w:t xml:space="preserve"> סיפר המגיד </w:t>
      </w:r>
      <w:proofErr w:type="spellStart"/>
      <w:r>
        <w:rPr>
          <w:sz w:val="20"/>
          <w:szCs w:val="20"/>
          <w:rtl/>
        </w:rPr>
        <w:t>לחפץ־חיים</w:t>
      </w:r>
      <w:proofErr w:type="spellEnd"/>
      <w:r>
        <w:rPr>
          <w:sz w:val="20"/>
          <w:szCs w:val="20"/>
          <w:rtl/>
        </w:rPr>
        <w:t xml:space="preserve"> שר׳ </w:t>
      </w:r>
      <w:proofErr w:type="spellStart"/>
      <w:r>
        <w:rPr>
          <w:sz w:val="20"/>
          <w:szCs w:val="20"/>
          <w:rtl/>
        </w:rPr>
        <w:t>דוד׳ל</w:t>
      </w:r>
      <w:proofErr w:type="spellEnd"/>
      <w:r>
        <w:rPr>
          <w:sz w:val="20"/>
          <w:szCs w:val="20"/>
          <w:rtl/>
        </w:rPr>
        <w:t xml:space="preserve"> הזקן אינו מכיר עוד את בני משפחתו, ורק חוזר כל היום בעל פה על דפי גמרא; </w:t>
      </w:r>
      <w:proofErr w:type="spellStart"/>
      <w:r>
        <w:rPr>
          <w:sz w:val="20"/>
          <w:szCs w:val="20"/>
          <w:rtl/>
        </w:rPr>
        <w:t>והחפץ־חיים</w:t>
      </w:r>
      <w:proofErr w:type="spellEnd"/>
      <w:r>
        <w:rPr>
          <w:sz w:val="20"/>
          <w:szCs w:val="20"/>
          <w:rtl/>
        </w:rPr>
        <w:t xml:space="preserve"> אמר לו שיספר זאת בהספדו.</w:t>
      </w:r>
    </w:p>
  </w:footnote>
  <w:footnote w:id="4384">
    <w:p w14:paraId="767FA2DE" w14:textId="77777777" w:rsidR="00AB3647" w:rsidRDefault="00000000">
      <w:pPr>
        <w:spacing w:after="0" w:before="0"/>
        <w:jc w:val="both"/>
      </w:pPr>
      <w:r>
        <w:rPr>
          <w:sz w:val="20"/>
          <w:szCs w:val="20"/>
          <w:rtl/>
        </w:rPr>
        <w:footnoteRef/>
      </w:r>
      <w:r>
        <w:rPr>
          <w:sz w:val="20"/>
          <w:szCs w:val="20"/>
          <w:rtl/>
        </w:rPr>
        <w:t>. ריאיון מ־25 בדצמבר 1991.</w:t>
      </w:r>
    </w:p>
  </w:footnote>
  <w:footnote w:id="4385">
    <w:p w14:paraId="199806CD" w14:textId="77777777" w:rsidR="00AB3647" w:rsidRDefault="00000000">
      <w:pPr>
        <w:spacing w:after="0" w:before="0"/>
        <w:jc w:val="both"/>
      </w:pPr>
      <w:r>
        <w:rPr>
          <w:sz w:val="20"/>
          <w:szCs w:val="20"/>
          <w:rtl/>
        </w:rPr>
        <w:footnoteRef/>
      </w:r>
      <w:r>
        <w:rPr>
          <w:sz w:val="20"/>
          <w:szCs w:val="20"/>
          <w:rtl/>
        </w:rPr>
        <w:t>. ראה הערה 133 לעיל.</w:t>
      </w:r>
    </w:p>
  </w:footnote>
  <w:footnote w:id="4386">
    <w:p w14:paraId="7849AC87" w14:textId="77777777" w:rsidR="00AB3647" w:rsidRDefault="00000000">
      <w:pPr>
        <w:spacing w:after="0" w:before="0"/>
        <w:jc w:val="both"/>
      </w:pPr>
      <w:r>
        <w:rPr>
          <w:sz w:val="20"/>
          <w:szCs w:val="20"/>
          <w:rtl/>
        </w:rPr>
        <w:footnoteRef/>
      </w:r>
      <w:r>
        <w:rPr>
          <w:sz w:val="20"/>
          <w:szCs w:val="20"/>
          <w:rtl/>
        </w:rPr>
        <w:t>. ריאיון מ־8 בפברואר 1987.</w:t>
      </w:r>
    </w:p>
  </w:footnote>
  <w:footnote w:id="4387">
    <w:p w14:paraId="3D6CB0E0" w14:textId="77777777" w:rsidR="00AB3647" w:rsidRDefault="00000000">
      <w:pPr>
        <w:spacing w:after="0" w:before="0"/>
        <w:jc w:val="both"/>
      </w:pPr>
      <w:r>
        <w:rPr>
          <w:sz w:val="20"/>
          <w:szCs w:val="20"/>
          <w:rtl/>
        </w:rPr>
        <w:footnoteRef/>
      </w:r>
      <w:r>
        <w:rPr>
          <w:sz w:val="20"/>
          <w:szCs w:val="20"/>
          <w:rtl/>
        </w:rPr>
        <w:t>. השווה כרך 2.</w:t>
      </w:r>
    </w:p>
  </w:footnote>
  <w:footnote w:id="4388">
    <w:p w14:paraId="0DCA68B4" w14:textId="77777777" w:rsidR="00AB3647" w:rsidRDefault="00000000">
      <w:pPr>
        <w:spacing w:after="0" w:before="0"/>
        <w:jc w:val="both"/>
      </w:pPr>
      <w:r>
        <w:rPr>
          <w:sz w:val="20"/>
          <w:szCs w:val="20"/>
          <w:rtl/>
        </w:rPr>
        <w:footnoteRef/>
      </w:r>
      <w:r>
        <w:rPr>
          <w:sz w:val="20"/>
          <w:szCs w:val="20"/>
          <w:rtl/>
        </w:rPr>
        <w:t>. השווה כרך 3.</w:t>
      </w:r>
    </w:p>
  </w:footnote>
  <w:footnote w:id="4389">
    <w:p w14:paraId="291F8760" w14:textId="77777777" w:rsidR="00AB3647" w:rsidRDefault="00000000">
      <w:pPr>
        <w:spacing w:after="0" w:before="0"/>
        <w:jc w:val="both"/>
      </w:pPr>
      <w:r>
        <w:rPr>
          <w:sz w:val="20"/>
          <w:szCs w:val="20"/>
          <w:rtl/>
        </w:rPr>
        <w:footnoteRef/>
      </w:r>
      <w:r>
        <w:rPr>
          <w:sz w:val="20"/>
          <w:szCs w:val="20"/>
          <w:rtl/>
        </w:rPr>
        <w:t xml:space="preserve">. נדפס בידי “בני... המחבר”, ניו יורק, תשמ״ט – עמ׳ </w:t>
      </w:r>
      <w:proofErr w:type="spellStart"/>
      <w:r>
        <w:rPr>
          <w:sz w:val="20"/>
          <w:szCs w:val="20"/>
          <w:rtl/>
        </w:rPr>
        <w:t>שכט</w:t>
      </w:r>
      <w:proofErr w:type="spellEnd"/>
      <w:r>
        <w:rPr>
          <w:sz w:val="20"/>
          <w:szCs w:val="20"/>
          <w:rtl/>
        </w:rPr>
        <w:t>, על סוף אבות פ״ב מ״ה.</w:t>
      </w:r>
    </w:p>
  </w:footnote>
  <w:footnote w:id="4390">
    <w:p w14:paraId="39993A61" w14:textId="77777777" w:rsidR="00AB3647" w:rsidRDefault="00000000">
      <w:pPr>
        <w:spacing w:after="0" w:before="0"/>
        <w:jc w:val="both"/>
      </w:pPr>
      <w:r>
        <w:rPr>
          <w:sz w:val="20"/>
          <w:szCs w:val="20"/>
          <w:rtl/>
        </w:rPr>
        <w:footnoteRef/>
      </w:r>
      <w:r>
        <w:rPr>
          <w:sz w:val="20"/>
          <w:szCs w:val="20"/>
          <w:rtl/>
        </w:rPr>
        <w:t xml:space="preserve">. השווה גם פרק 2, הערה 68. ועי׳ מאמר על ענין זה בקובץ בית אהרן וישראל, </w:t>
      </w:r>
      <w:proofErr w:type="spellStart"/>
      <w:r>
        <w:rPr>
          <w:sz w:val="20"/>
          <w:szCs w:val="20"/>
          <w:rtl/>
        </w:rPr>
        <w:t>אב־אלול</w:t>
      </w:r>
      <w:proofErr w:type="spellEnd"/>
      <w:r>
        <w:rPr>
          <w:sz w:val="20"/>
          <w:szCs w:val="20"/>
          <w:rtl/>
        </w:rPr>
        <w:t xml:space="preserve"> תשנ״א.</w:t>
      </w:r>
    </w:p>
  </w:footnote>
  <w:footnote w:id="4391">
    <w:p w14:paraId="4661602C" w14:textId="77777777" w:rsidR="00AB3647" w:rsidRDefault="00000000">
      <w:pPr>
        <w:spacing w:after="0" w:before="0"/>
        <w:jc w:val="both"/>
      </w:pPr>
      <w:r>
        <w:rPr>
          <w:sz w:val="20"/>
          <w:szCs w:val="20"/>
          <w:rtl/>
        </w:rPr>
        <w:footnoteRef/>
      </w:r>
      <w:r>
        <w:rPr>
          <w:sz w:val="20"/>
          <w:szCs w:val="20"/>
          <w:rtl/>
        </w:rPr>
        <w:t xml:space="preserve">. הפסקה השנייה של נספח </w:t>
      </w:r>
      <w:proofErr w:type="spellStart"/>
      <w:r>
        <w:rPr>
          <w:sz w:val="20"/>
          <w:szCs w:val="20"/>
          <w:rtl/>
        </w:rPr>
        <w:t>יז</w:t>
      </w:r>
      <w:proofErr w:type="spellEnd"/>
      <w:r>
        <w:rPr>
          <w:sz w:val="20"/>
          <w:szCs w:val="20"/>
          <w:rtl/>
        </w:rPr>
        <w:t xml:space="preserve"> לעיל – הערת שוליים </w:t>
      </w:r>
      <w:r>
        <w:rPr>
          <w:sz w:val="20"/>
          <w:szCs w:val="20"/>
          <w:rtl/>
        </w:rPr>
        <w:fldChar w:fldCharType="begin" w:dirty="true"/>
      </w:r>
      <w:r>
        <w:rPr>
          <w:sz w:val="20"/>
          <w:szCs w:val="20"/>
          <w:rtl/>
        </w:rPr>
        <w:instrText xml:space="preserve"> NOTEREF pr_f_4247 \h </w:instrText>
      </w:r>
      <w:r>
        <w:rPr>
          <w:sz w:val="20"/>
          <w:szCs w:val="20"/>
          <w:rtl/>
        </w:rPr>
      </w:r>
      <w:r>
        <w:rPr>
          <w:sz w:val="20"/>
          <w:szCs w:val="20"/>
          <w:rtl/>
        </w:rPr>
        <w:fldChar w:fldCharType="separate"/>
      </w:r>
      <w:r w:rsidR="007923E9">
        <w:rPr>
          <w:sz w:val="20"/>
          <w:szCs w:val="20"/>
          <w:rtl/>
        </w:rPr>
        <w:t>1324</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pr_f_4247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4392">
    <w:p w14:paraId="20B35606" w14:textId="77777777" w:rsidR="00AB3647" w:rsidRDefault="00000000">
      <w:pPr>
        <w:spacing w:after="0" w:before="0"/>
        <w:jc w:val="both"/>
      </w:pPr>
      <w:r>
        <w:rPr>
          <w:sz w:val="20"/>
          <w:szCs w:val="20"/>
          <w:rtl/>
        </w:rPr>
        <w:footnoteRef/>
      </w:r>
      <w:r>
        <w:rPr>
          <w:sz w:val="20"/>
          <w:szCs w:val="20"/>
          <w:rtl/>
        </w:rPr>
        <w:t>. ראה פרק 5, הפסקה השנייה של נספח ב.</w:t>
      </w:r>
    </w:p>
  </w:footnote>
  <w:footnote w:id="4393">
    <w:p w14:paraId="1AF7D616" w14:textId="77777777" w:rsidR="00AB3647" w:rsidRDefault="00000000">
      <w:pPr>
        <w:spacing w:after="0" w:before="0"/>
        <w:jc w:val="both"/>
      </w:pPr>
      <w:r>
        <w:rPr>
          <w:sz w:val="20"/>
          <w:szCs w:val="20"/>
          <w:rtl/>
        </w:rPr>
        <w:footnoteRef/>
      </w:r>
      <w:r>
        <w:rPr>
          <w:sz w:val="20"/>
          <w:szCs w:val="20"/>
          <w:rtl/>
        </w:rPr>
        <w:t>. ריאיון מ־10 בינואר 1999.</w:t>
      </w:r>
    </w:p>
  </w:footnote>
  <w:footnote w:id="4394">
    <w:p w14:paraId="30DCBC6C" w14:textId="77777777" w:rsidR="00AB3647" w:rsidRDefault="00000000">
      <w:pPr>
        <w:spacing w:after="0" w:before="0"/>
        <w:jc w:val="both"/>
      </w:pPr>
      <w:r>
        <w:rPr>
          <w:sz w:val="20"/>
          <w:szCs w:val="20"/>
          <w:rtl/>
        </w:rPr>
        <w:footnoteRef/>
      </w:r>
      <w:r>
        <w:rPr>
          <w:sz w:val="20"/>
          <w:szCs w:val="20"/>
          <w:rtl/>
        </w:rPr>
        <w:t>. ראה כרך 2.</w:t>
      </w:r>
    </w:p>
  </w:footnote>
  <w:footnote w:id="4395">
    <w:p w14:paraId="1F353814" w14:textId="77777777" w:rsidR="00AB3647" w:rsidRDefault="00000000">
      <w:pPr>
        <w:spacing w:after="0" w:before="0"/>
        <w:jc w:val="both"/>
      </w:pPr>
      <w:r>
        <w:rPr>
          <w:sz w:val="20"/>
          <w:szCs w:val="20"/>
          <w:rtl/>
        </w:rPr>
        <w:footnoteRef/>
      </w:r>
      <w:r>
        <w:rPr>
          <w:sz w:val="20"/>
          <w:szCs w:val="20"/>
          <w:rtl/>
        </w:rPr>
        <w:t>. ראה הערה 103 לעיל.</w:t>
      </w:r>
    </w:p>
  </w:footnote>
  <w:footnote w:id="4396">
    <w:p w14:paraId="57B51D9F" w14:textId="77777777" w:rsidR="00AB3647" w:rsidRDefault="00000000">
      <w:pPr>
        <w:spacing w:after="0" w:before="0"/>
        <w:jc w:val="both"/>
      </w:pPr>
      <w:r>
        <w:rPr>
          <w:sz w:val="20"/>
          <w:szCs w:val="20"/>
          <w:rtl/>
        </w:rPr>
        <w:footnoteRef/>
      </w:r>
      <w:r>
        <w:rPr>
          <w:sz w:val="20"/>
          <w:szCs w:val="20"/>
          <w:rtl/>
        </w:rPr>
        <w:t>. הערה 70 לעיל – עמ׳ 85.</w:t>
      </w:r>
    </w:p>
  </w:footnote>
  <w:footnote w:id="4397">
    <w:p w14:paraId="5A3E4C1B" w14:textId="77777777" w:rsidR="00AB3647" w:rsidRDefault="00000000">
      <w:pPr>
        <w:spacing w:after="0" w:before="0"/>
        <w:jc w:val="both"/>
      </w:pPr>
      <w:r>
        <w:rPr>
          <w:sz w:val="20"/>
          <w:szCs w:val="20"/>
          <w:rtl/>
        </w:rPr>
        <w:footnoteRef/>
      </w:r>
      <w:r>
        <w:rPr>
          <w:sz w:val="20"/>
          <w:szCs w:val="20"/>
          <w:rtl/>
        </w:rPr>
        <w:t xml:space="preserve">. הוא אמר בזה הלשון: מה הכוונה לדורות בזה שהקב״ה כתב בתורה שהוא </w:t>
      </w:r>
      <w:proofErr w:type="spellStart"/>
      <w:r>
        <w:rPr>
          <w:sz w:val="20"/>
          <w:szCs w:val="20"/>
          <w:rtl/>
        </w:rPr>
        <w:t>צוה</w:t>
      </w:r>
      <w:proofErr w:type="spellEnd"/>
      <w:r>
        <w:rPr>
          <w:sz w:val="20"/>
          <w:szCs w:val="20"/>
          <w:rtl/>
        </w:rPr>
        <w:t xml:space="preserve"> למשה “קח את מטך והשלך לפני פרעה יהי לתנין (שמות ז:ט)”, וכי אנחנו צריכים ללמוד מזה לעשות כעין מעשה כשפים כזאת? אלא בא ללמד למשה ולנו משהו על כלל ישראל, דהיינו, שכשמרחיקים יהודים ומשליכים אותם הם נהפכים לנחשים אבל כשמקרבים אותם הם כמטה שאפשר לסמוך עליהם.</w:t>
      </w:r>
    </w:p>
  </w:footnote>
  <w:footnote w:id="4398">
    <w:p w14:paraId="22FA7E81" w14:textId="77777777" w:rsidR="00AB3647" w:rsidRDefault="00000000">
      <w:pPr>
        <w:spacing w:after="0" w:before="0"/>
        <w:jc w:val="both"/>
      </w:pPr>
      <w:r>
        <w:rPr>
          <w:sz w:val="20"/>
          <w:szCs w:val="20"/>
          <w:rtl/>
        </w:rPr>
        <w:footnoteRef/>
      </w:r>
      <w:r>
        <w:rPr>
          <w:sz w:val="20"/>
          <w:szCs w:val="20"/>
          <w:rtl/>
        </w:rPr>
        <w:t>. השווה פרק 3, נספח ח.</w:t>
      </w:r>
    </w:p>
  </w:footnote>
  <w:footnote w:id="4399">
    <w:p w14:paraId="7ED3D468" w14:textId="77777777" w:rsidR="00AB3647" w:rsidRDefault="00000000">
      <w:pPr>
        <w:spacing w:after="0" w:before="0"/>
        <w:jc w:val="both"/>
      </w:pPr>
      <w:r>
        <w:rPr>
          <w:sz w:val="20"/>
          <w:szCs w:val="20"/>
          <w:rtl/>
        </w:rPr>
        <w:footnoteRef/>
      </w:r>
      <w:r>
        <w:rPr>
          <w:sz w:val="20"/>
          <w:szCs w:val="20"/>
          <w:rtl/>
        </w:rPr>
        <w:t>. ריאיון מ־10 בינואר 1999.</w:t>
      </w:r>
    </w:p>
  </w:footnote>
  <w:footnote w:id="4400">
    <w:p w14:paraId="1F8886CE" w14:textId="77777777" w:rsidR="00AB3647" w:rsidRDefault="00000000">
      <w:pPr>
        <w:spacing w:after="0" w:before="0"/>
        <w:jc w:val="both"/>
      </w:pPr>
      <w:r>
        <w:rPr>
          <w:sz w:val="20"/>
          <w:szCs w:val="20"/>
          <w:rtl/>
        </w:rPr>
        <w:footnoteRef/>
      </w:r>
      <w:r>
        <w:rPr>
          <w:sz w:val="20"/>
          <w:szCs w:val="20"/>
          <w:rtl/>
        </w:rPr>
        <w:t xml:space="preserve">. ראה כרך 3. הוא היה גאון גדול, והיה פוסק בשאלות הלכה </w:t>
      </w:r>
      <w:proofErr w:type="spellStart"/>
      <w:r>
        <w:rPr>
          <w:sz w:val="20"/>
          <w:szCs w:val="20"/>
          <w:rtl/>
        </w:rPr>
        <w:t>בפוניבז</w:t>
      </w:r>
      <w:proofErr w:type="spellEnd"/>
      <w:r>
        <w:rPr>
          <w:sz w:val="20"/>
          <w:szCs w:val="20"/>
          <w:rtl/>
        </w:rPr>
        <w:t xml:space="preserve">׳ כשר׳ </w:t>
      </w:r>
      <w:proofErr w:type="spellStart"/>
      <w:r>
        <w:rPr>
          <w:sz w:val="20"/>
          <w:szCs w:val="20"/>
          <w:rtl/>
        </w:rPr>
        <w:t>יוסף־שלמה</w:t>
      </w:r>
      <w:proofErr w:type="spellEnd"/>
      <w:r>
        <w:rPr>
          <w:sz w:val="20"/>
          <w:szCs w:val="20"/>
          <w:rtl/>
        </w:rPr>
        <w:t xml:space="preserve"> שהה בחוץ לארץ במסעותיו הרבים. כשמילא את מקום הרב במשרדו, היה הרב שניידר, שלבש מקטורן קצר, לובש מעיל על חליפתו כדי להיראות רבני יותר.</w:t>
      </w:r>
    </w:p>
  </w:footnote>
  <w:footnote w:id="4401">
    <w:p w14:paraId="53A84B66" w14:textId="77777777" w:rsidR="00AB3647" w:rsidRDefault="00000000">
      <w:pPr>
        <w:spacing w:after="0" w:before="0"/>
        <w:jc w:val="both"/>
      </w:pPr>
      <w:r>
        <w:rPr>
          <w:sz w:val="20"/>
          <w:szCs w:val="20"/>
          <w:rtl/>
        </w:rPr>
        <w:footnoteRef/>
      </w:r>
      <w:r>
        <w:rPr>
          <w:sz w:val="20"/>
          <w:szCs w:val="20"/>
          <w:rtl/>
        </w:rPr>
        <w:t xml:space="preserve">. שם, פרק 3, נספח א – עמ׳ 137. נראה שמחבר המאמר, ר׳ </w:t>
      </w:r>
      <w:proofErr w:type="spellStart"/>
      <w:r>
        <w:rPr>
          <w:sz w:val="20"/>
          <w:szCs w:val="20"/>
          <w:rtl/>
        </w:rPr>
        <w:t>אהרן־בן־ציון</w:t>
      </w:r>
      <w:proofErr w:type="spellEnd"/>
      <w:r>
        <w:rPr>
          <w:sz w:val="20"/>
          <w:szCs w:val="20"/>
          <w:rtl/>
        </w:rPr>
        <w:t xml:space="preserve"> </w:t>
      </w:r>
      <w:proofErr w:type="spellStart"/>
      <w:r>
        <w:rPr>
          <w:sz w:val="20"/>
          <w:szCs w:val="20"/>
          <w:rtl/>
        </w:rPr>
        <w:t>שורין</w:t>
      </w:r>
      <w:proofErr w:type="spellEnd"/>
      <w:r>
        <w:rPr>
          <w:sz w:val="20"/>
          <w:szCs w:val="20"/>
          <w:rtl/>
        </w:rPr>
        <w:t xml:space="preserve">, שמע את הדברים בריאיון אישי עם בעל המעשה. ראה פרק 1, הערה 14, שר׳ </w:t>
      </w:r>
      <w:proofErr w:type="spellStart"/>
      <w:r>
        <w:rPr>
          <w:sz w:val="20"/>
          <w:szCs w:val="20"/>
          <w:rtl/>
        </w:rPr>
        <w:t>אהרן־בן־ציון</w:t>
      </w:r>
      <w:proofErr w:type="spellEnd"/>
      <w:r>
        <w:rPr>
          <w:sz w:val="20"/>
          <w:szCs w:val="20"/>
          <w:rtl/>
        </w:rPr>
        <w:t xml:space="preserve"> </w:t>
      </w:r>
      <w:proofErr w:type="spellStart"/>
      <w:r>
        <w:rPr>
          <w:sz w:val="20"/>
          <w:szCs w:val="20"/>
          <w:rtl/>
        </w:rPr>
        <w:t>שורין</w:t>
      </w:r>
      <w:proofErr w:type="spellEnd"/>
      <w:r>
        <w:rPr>
          <w:sz w:val="20"/>
          <w:szCs w:val="20"/>
          <w:rtl/>
        </w:rPr>
        <w:t xml:space="preserve"> השיג את ידיעותיו על אישים מפורסמים בכך ששאל אותם ישירות.</w:t>
      </w:r>
    </w:p>
  </w:footnote>
  <w:footnote w:id="4402">
    <w:p w14:paraId="7A617B97" w14:textId="77777777" w:rsidR="00AB3647" w:rsidRDefault="00000000">
      <w:pPr>
        <w:spacing w:after="0" w:before="0"/>
        <w:jc w:val="both"/>
      </w:pPr>
      <w:r>
        <w:rPr>
          <w:sz w:val="20"/>
          <w:szCs w:val="20"/>
          <w:rtl/>
        </w:rPr>
        <w:footnoteRef/>
      </w:r>
      <w:r>
        <w:rPr>
          <w:sz w:val="20"/>
          <w:szCs w:val="20"/>
          <w:rtl/>
        </w:rPr>
        <w:t xml:space="preserve">. </w:t>
      </w:r>
      <w:proofErr w:type="spellStart"/>
      <w:r>
        <w:rPr>
          <w:sz w:val="20"/>
          <w:szCs w:val="20"/>
          <w:rtl/>
        </w:rPr>
        <w:t>ה“סביבה</w:t>
      </w:r>
      <w:proofErr w:type="spellEnd"/>
      <w:r>
        <w:rPr>
          <w:sz w:val="20"/>
          <w:szCs w:val="20"/>
          <w:rtl/>
        </w:rPr>
        <w:t xml:space="preserve">” הנזכרת אינה </w:t>
      </w:r>
      <w:proofErr w:type="spellStart"/>
      <w:r>
        <w:rPr>
          <w:sz w:val="20"/>
          <w:szCs w:val="20"/>
          <w:rtl/>
        </w:rPr>
        <w:t>וידז</w:t>
      </w:r>
      <w:proofErr w:type="spellEnd"/>
      <w:r>
        <w:rPr>
          <w:sz w:val="20"/>
          <w:szCs w:val="20"/>
          <w:rtl/>
        </w:rPr>
        <w:t xml:space="preserve">׳ הרחוקה, שבה שוחררו השבויים, אלא </w:t>
      </w:r>
      <w:proofErr w:type="spellStart"/>
      <w:r>
        <w:rPr>
          <w:sz w:val="20"/>
          <w:szCs w:val="20"/>
          <w:rtl/>
        </w:rPr>
        <w:t>אוטיאן</w:t>
      </w:r>
      <w:proofErr w:type="spellEnd"/>
      <w:r>
        <w:rPr>
          <w:sz w:val="20"/>
          <w:szCs w:val="20"/>
          <w:rtl/>
        </w:rPr>
        <w:t xml:space="preserve"> או </w:t>
      </w:r>
      <w:proofErr w:type="spellStart"/>
      <w:r>
        <w:rPr>
          <w:sz w:val="20"/>
          <w:szCs w:val="20"/>
          <w:rtl/>
        </w:rPr>
        <w:t>אניקשט</w:t>
      </w:r>
      <w:proofErr w:type="spellEnd"/>
      <w:r>
        <w:rPr>
          <w:sz w:val="20"/>
          <w:szCs w:val="20"/>
          <w:rtl/>
        </w:rPr>
        <w:t xml:space="preserve">, הקרובות יותר </w:t>
      </w:r>
      <w:proofErr w:type="spellStart"/>
      <w:r>
        <w:rPr>
          <w:sz w:val="20"/>
          <w:szCs w:val="20"/>
          <w:rtl/>
        </w:rPr>
        <w:t>לפוניבז</w:t>
      </w:r>
      <w:proofErr w:type="spellEnd"/>
      <w:r>
        <w:rPr>
          <w:sz w:val="20"/>
          <w:szCs w:val="20"/>
          <w:rtl/>
        </w:rPr>
        <w:t xml:space="preserve">׳, שבהן גילה ר׳ </w:t>
      </w:r>
      <w:proofErr w:type="spellStart"/>
      <w:r>
        <w:rPr>
          <w:sz w:val="20"/>
          <w:szCs w:val="20"/>
          <w:rtl/>
        </w:rPr>
        <w:t>יוסף־שלמה</w:t>
      </w:r>
      <w:proofErr w:type="spellEnd"/>
      <w:r>
        <w:rPr>
          <w:sz w:val="20"/>
          <w:szCs w:val="20"/>
          <w:rtl/>
        </w:rPr>
        <w:t xml:space="preserve"> </w:t>
      </w:r>
      <w:proofErr w:type="spellStart"/>
      <w:r>
        <w:rPr>
          <w:sz w:val="20"/>
          <w:szCs w:val="20"/>
          <w:rtl/>
        </w:rPr>
        <w:t>כהנמן</w:t>
      </w:r>
      <w:proofErr w:type="spellEnd"/>
      <w:r>
        <w:rPr>
          <w:sz w:val="20"/>
          <w:szCs w:val="20"/>
          <w:rtl/>
        </w:rPr>
        <w:t xml:space="preserve"> גם הוא דאגה לשבויי המלחמה היהודים האומללים.</w:t>
      </w:r>
    </w:p>
  </w:footnote>
  <w:footnote w:id="4403">
    <w:p w14:paraId="08CF5382" w14:textId="77777777" w:rsidR="00AB3647" w:rsidRDefault="00000000">
      <w:pPr>
        <w:spacing w:after="0" w:before="0"/>
        <w:jc w:val="both"/>
      </w:pPr>
      <w:r>
        <w:rPr>
          <w:sz w:val="20"/>
          <w:szCs w:val="20"/>
          <w:rtl/>
        </w:rPr>
        <w:footnoteRef/>
      </w:r>
      <w:r>
        <w:rPr>
          <w:sz w:val="20"/>
          <w:szCs w:val="20"/>
          <w:rtl/>
        </w:rPr>
        <w:t xml:space="preserve">. “קשת </w:t>
      </w:r>
      <w:proofErr w:type="spellStart"/>
      <w:r>
        <w:rPr>
          <w:sz w:val="20"/>
          <w:szCs w:val="20"/>
          <w:rtl/>
        </w:rPr>
        <w:t>גבורים</w:t>
      </w:r>
      <w:proofErr w:type="spellEnd"/>
      <w:r>
        <w:rPr>
          <w:sz w:val="20"/>
          <w:szCs w:val="20"/>
          <w:rtl/>
        </w:rPr>
        <w:t>”, עמ׳ 136.</w:t>
      </w:r>
    </w:p>
  </w:footnote>
  <w:footnote w:id="4404">
    <w:p w14:paraId="14C35B40" w14:textId="77777777" w:rsidR="00AB3647" w:rsidRDefault="00000000">
      <w:pPr>
        <w:spacing w:after="0" w:before="0"/>
        <w:jc w:val="both"/>
      </w:pPr>
      <w:r>
        <w:rPr>
          <w:sz w:val="20"/>
          <w:szCs w:val="20"/>
          <w:rtl/>
        </w:rPr>
        <w:footnoteRef/>
      </w:r>
      <w:r>
        <w:rPr>
          <w:sz w:val="20"/>
          <w:szCs w:val="20"/>
          <w:rtl/>
        </w:rPr>
        <w:t xml:space="preserve">. מסתבר שר׳ </w:t>
      </w:r>
      <w:proofErr w:type="spellStart"/>
      <w:r>
        <w:rPr>
          <w:sz w:val="20"/>
          <w:szCs w:val="20"/>
          <w:rtl/>
        </w:rPr>
        <w:t>חיים־עוזר</w:t>
      </w:r>
      <w:proofErr w:type="spellEnd"/>
      <w:r>
        <w:rPr>
          <w:sz w:val="20"/>
          <w:szCs w:val="20"/>
          <w:rtl/>
        </w:rPr>
        <w:t xml:space="preserve"> שמע אז על פעולות ר׳ </w:t>
      </w:r>
      <w:proofErr w:type="spellStart"/>
      <w:r>
        <w:rPr>
          <w:sz w:val="20"/>
          <w:szCs w:val="20"/>
          <w:rtl/>
        </w:rPr>
        <w:t>יוסף־שלמה</w:t>
      </w:r>
      <w:proofErr w:type="spellEnd"/>
      <w:r>
        <w:rPr>
          <w:sz w:val="20"/>
          <w:szCs w:val="20"/>
          <w:rtl/>
        </w:rPr>
        <w:t xml:space="preserve"> </w:t>
      </w:r>
      <w:proofErr w:type="spellStart"/>
      <w:r>
        <w:rPr>
          <w:sz w:val="20"/>
          <w:szCs w:val="20"/>
          <w:rtl/>
        </w:rPr>
        <w:t>כהנמן</w:t>
      </w:r>
      <w:proofErr w:type="spellEnd"/>
      <w:r>
        <w:rPr>
          <w:sz w:val="20"/>
          <w:szCs w:val="20"/>
          <w:rtl/>
        </w:rPr>
        <w:t>, כמבואר להלן.</w:t>
      </w:r>
    </w:p>
  </w:footnote>
  <w:footnote w:id="4405">
    <w:p w14:paraId="2590627F" w14:textId="77777777" w:rsidR="00AB3647" w:rsidRDefault="00000000">
      <w:pPr>
        <w:spacing w:after="0" w:before="0"/>
        <w:jc w:val="both"/>
      </w:pPr>
      <w:r>
        <w:rPr>
          <w:sz w:val="20"/>
          <w:szCs w:val="20"/>
          <w:rtl/>
        </w:rPr>
        <w:footnoteRef/>
      </w:r>
      <w:r>
        <w:rPr>
          <w:sz w:val="20"/>
          <w:szCs w:val="20"/>
          <w:rtl/>
        </w:rPr>
        <w:t xml:space="preserve">. ראה יעקב מארק, עמ׳ 134: ר׳ </w:t>
      </w:r>
      <w:proofErr w:type="spellStart"/>
      <w:r>
        <w:rPr>
          <w:sz w:val="20"/>
          <w:szCs w:val="20"/>
          <w:rtl/>
        </w:rPr>
        <w:t>איצל׳ה</w:t>
      </w:r>
      <w:proofErr w:type="spellEnd"/>
      <w:r>
        <w:rPr>
          <w:sz w:val="20"/>
          <w:szCs w:val="20"/>
          <w:rtl/>
        </w:rPr>
        <w:t xml:space="preserve"> שב </w:t>
      </w:r>
      <w:proofErr w:type="spellStart"/>
      <w:r>
        <w:rPr>
          <w:sz w:val="20"/>
          <w:szCs w:val="20"/>
          <w:rtl/>
        </w:rPr>
        <w:t>לפוניבז</w:t>
      </w:r>
      <w:proofErr w:type="spellEnd"/>
      <w:r>
        <w:rPr>
          <w:sz w:val="20"/>
          <w:szCs w:val="20"/>
          <w:rtl/>
        </w:rPr>
        <w:t xml:space="preserve">׳ מגלותו </w:t>
      </w:r>
      <w:proofErr w:type="spellStart"/>
      <w:r>
        <w:rPr>
          <w:sz w:val="20"/>
          <w:szCs w:val="20"/>
          <w:rtl/>
        </w:rPr>
        <w:t>במריופול</w:t>
      </w:r>
      <w:proofErr w:type="spellEnd"/>
      <w:r>
        <w:rPr>
          <w:sz w:val="20"/>
          <w:szCs w:val="20"/>
          <w:rtl/>
        </w:rPr>
        <w:t xml:space="preserve">, בקצה </w:t>
      </w:r>
      <w:proofErr w:type="spellStart"/>
      <w:r>
        <w:rPr>
          <w:sz w:val="20"/>
          <w:szCs w:val="20"/>
          <w:rtl/>
        </w:rPr>
        <w:t>הצפון־מזרחי</w:t>
      </w:r>
      <w:proofErr w:type="spellEnd"/>
      <w:r>
        <w:rPr>
          <w:sz w:val="20"/>
          <w:szCs w:val="20"/>
          <w:rtl/>
        </w:rPr>
        <w:t xml:space="preserve"> של הים השחור, בחורף 1919 (יעקב מארק כותב 1918, אך זו כנראה טעות), ‘חלש ושבור’ מן המחסור הגדול שסבל במלחמות הלבנים והאדומים בדרום רוסיה. הוא הגיע לעיר בשעה שהשתוללה בה זה חודשים רבים מגפת טיפוס הבטן, והתמסר לטיפול בחולים. הוא עצמו נדבק במחלה, ולאחר מחלה קצרה נפטר.</w:t>
      </w:r>
    </w:p>
  </w:footnote>
  <w:footnote w:id="4406">
    <w:p w14:paraId="2F1F571D" w14:textId="77777777" w:rsidR="00AB3647" w:rsidRDefault="00000000">
      <w:pPr>
        <w:spacing w:after="0" w:before="0"/>
        <w:jc w:val="both"/>
      </w:pPr>
      <w:r>
        <w:rPr>
          <w:sz w:val="20"/>
          <w:szCs w:val="20"/>
          <w:rtl/>
        </w:rPr>
        <w:footnoteRef/>
      </w:r>
      <w:r>
        <w:rPr>
          <w:sz w:val="20"/>
          <w:szCs w:val="20"/>
          <w:rtl/>
        </w:rPr>
        <w:t>. עמ׳ 132–133.</w:t>
      </w:r>
    </w:p>
  </w:footnote>
  <w:footnote w:id="4407">
    <w:p w14:paraId="605DB71E" w14:textId="77777777" w:rsidR="00AB3647" w:rsidRDefault="00000000">
      <w:pPr>
        <w:spacing w:after="0" w:before="0"/>
        <w:jc w:val="both"/>
      </w:pPr>
      <w:r>
        <w:rPr>
          <w:sz w:val="20"/>
          <w:szCs w:val="20"/>
          <w:rtl/>
        </w:rPr>
        <w:footnoteRef/>
      </w:r>
      <w:r>
        <w:rPr>
          <w:sz w:val="20"/>
          <w:szCs w:val="20"/>
          <w:rtl/>
        </w:rPr>
        <w:t>. המעשה סופר שוב בידי בחור ישיבה קנדי שלמד אז גם הוא בליטא, ר׳ שמואל שכטר, בריאיון מ־28 במרץ 1997.</w:t>
      </w:r>
    </w:p>
  </w:footnote>
  <w:footnote w:id="4408">
    <w:p w14:paraId="0646F3F6" w14:textId="77777777" w:rsidR="00AB3647" w:rsidRDefault="00000000">
      <w:pPr>
        <w:spacing w:after="0" w:before="0"/>
        <w:jc w:val="both"/>
      </w:pPr>
      <w:r>
        <w:rPr>
          <w:sz w:val="20"/>
          <w:szCs w:val="20"/>
          <w:rtl/>
        </w:rPr>
        <w:footnoteRef/>
      </w:r>
      <w:r>
        <w:rPr>
          <w:sz w:val="20"/>
          <w:szCs w:val="20"/>
          <w:rtl/>
        </w:rPr>
        <w:t>. ריאיון מ־1 באוגוסט 1997.</w:t>
      </w:r>
    </w:p>
  </w:footnote>
  <w:footnote w:id="4409">
    <w:p w14:paraId="6B09D3B8" w14:textId="77777777" w:rsidR="00AB3647" w:rsidRDefault="00000000">
      <w:pPr>
        <w:spacing w:after="0" w:before="0"/>
        <w:jc w:val="both"/>
      </w:pPr>
      <w:r>
        <w:rPr>
          <w:sz w:val="20"/>
          <w:szCs w:val="20"/>
          <w:rtl/>
        </w:rPr>
        <w:footnoteRef/>
      </w:r>
      <w:r>
        <w:rPr>
          <w:sz w:val="20"/>
          <w:szCs w:val="20"/>
          <w:rtl/>
        </w:rPr>
        <w:t xml:space="preserve">. </w:t>
      </w:r>
      <w:proofErr w:type="spellStart"/>
      <w:r>
        <w:rPr>
          <w:sz w:val="20"/>
          <w:szCs w:val="20"/>
          <w:rtl/>
        </w:rPr>
        <w:t>ב“העבר</w:t>
      </w:r>
      <w:proofErr w:type="spellEnd"/>
      <w:r>
        <w:rPr>
          <w:sz w:val="20"/>
          <w:szCs w:val="20"/>
          <w:rtl/>
        </w:rPr>
        <w:t>”, חוברת י״ג (אייר תשכ״ו), עמ׳ 170–171.</w:t>
      </w:r>
    </w:p>
  </w:footnote>
  <w:footnote w:id="4410">
    <w:p w14:paraId="730C3240" w14:textId="77777777" w:rsidR="00AB3647" w:rsidRDefault="00000000">
      <w:pPr>
        <w:spacing w:after="0" w:before="0"/>
        <w:jc w:val="both"/>
      </w:pPr>
      <w:r>
        <w:rPr>
          <w:sz w:val="20"/>
          <w:szCs w:val="20"/>
          <w:rtl/>
        </w:rPr>
        <w:footnoteRef/>
      </w:r>
      <w:r>
        <w:rPr>
          <w:sz w:val="20"/>
          <w:szCs w:val="20"/>
          <w:rtl/>
        </w:rPr>
        <w:t>. ראה פרק 3, הפסקה השנייה של נספח ז.</w:t>
      </w:r>
    </w:p>
  </w:footnote>
  <w:footnote w:id="4411">
    <w:p w14:paraId="35F0BD8F" w14:textId="77777777" w:rsidR="00AB3647" w:rsidRDefault="00000000">
      <w:pPr>
        <w:spacing w:after="0" w:before="0"/>
        <w:jc w:val="both"/>
      </w:pPr>
      <w:r>
        <w:rPr>
          <w:sz w:val="20"/>
          <w:szCs w:val="20"/>
          <w:rtl/>
        </w:rPr>
        <w:footnoteRef/>
      </w:r>
      <w:r>
        <w:rPr>
          <w:sz w:val="20"/>
          <w:szCs w:val="20"/>
          <w:rtl/>
        </w:rPr>
        <w:t>. ראה פרק 3, תחילת נספח טו.</w:t>
      </w:r>
    </w:p>
  </w:footnote>
  <w:footnote w:id="4412">
    <w:p w14:paraId="6FA4D79C" w14:textId="77777777" w:rsidR="00AB3647" w:rsidRDefault="00000000">
      <w:pPr>
        <w:spacing w:after="0" w:before="0"/>
        <w:jc w:val="both"/>
      </w:pPr>
      <w:r>
        <w:rPr>
          <w:sz w:val="20"/>
          <w:szCs w:val="20"/>
          <w:rtl/>
        </w:rPr>
        <w:footnoteRef/>
      </w:r>
      <w:r>
        <w:rPr>
          <w:sz w:val="20"/>
          <w:szCs w:val="20"/>
          <w:rtl/>
        </w:rPr>
        <w:t>. הערה 1 לעיל – עמ׳ 53.</w:t>
      </w:r>
    </w:p>
  </w:footnote>
  <w:footnote w:id="4413">
    <w:p w14:paraId="21F07283" w14:textId="77777777" w:rsidR="00AB3647" w:rsidRDefault="00000000">
      <w:pPr>
        <w:spacing w:after="0" w:before="0"/>
        <w:jc w:val="both"/>
      </w:pPr>
      <w:r>
        <w:rPr>
          <w:sz w:val="20"/>
          <w:szCs w:val="20"/>
          <w:rtl/>
        </w:rPr>
        <w:footnoteRef/>
      </w:r>
      <w:r>
        <w:rPr>
          <w:sz w:val="20"/>
          <w:szCs w:val="20"/>
          <w:rtl/>
        </w:rPr>
        <w:t xml:space="preserve">. אירע בתקופה המתוארת בפסקה </w:t>
      </w:r>
      <w:proofErr w:type="spellStart"/>
      <w:r>
        <w:rPr>
          <w:sz w:val="20"/>
          <w:szCs w:val="20"/>
          <w:rtl/>
        </w:rPr>
        <w:t>הלפני־אחרונה</w:t>
      </w:r>
      <w:proofErr w:type="spellEnd"/>
      <w:r>
        <w:rPr>
          <w:sz w:val="20"/>
          <w:szCs w:val="20"/>
          <w:rtl/>
        </w:rPr>
        <w:t xml:space="preserve"> של פרק 3.1.</w:t>
      </w:r>
    </w:p>
  </w:footnote>
  <w:footnote w:id="4414">
    <w:p w14:paraId="2065C25D" w14:textId="77777777" w:rsidR="00AB3647" w:rsidRDefault="00000000">
      <w:pPr>
        <w:spacing w:after="0" w:before="0"/>
        <w:jc w:val="both"/>
      </w:pPr>
      <w:r>
        <w:rPr>
          <w:sz w:val="20"/>
          <w:szCs w:val="20"/>
          <w:rtl/>
        </w:rPr>
        <w:footnoteRef/>
      </w:r>
      <w:r>
        <w:rPr>
          <w:sz w:val="20"/>
          <w:szCs w:val="20"/>
          <w:rtl/>
        </w:rPr>
        <w:t>. ראה הערה 26 לעיל.</w:t>
      </w:r>
    </w:p>
  </w:footnote>
  <w:footnote w:id="4415">
    <w:p w14:paraId="7ADE3B27" w14:textId="77777777" w:rsidR="00AB3647" w:rsidRDefault="00000000">
      <w:pPr>
        <w:spacing w:after="0" w:before="0"/>
        <w:jc w:val="both"/>
      </w:pPr>
      <w:r>
        <w:rPr>
          <w:sz w:val="20"/>
          <w:szCs w:val="20"/>
          <w:rtl/>
        </w:rPr>
        <w:footnoteRef/>
      </w:r>
      <w:r>
        <w:rPr>
          <w:sz w:val="20"/>
          <w:szCs w:val="20"/>
          <w:rtl/>
        </w:rPr>
        <w:t>. הפסקה השנייה של נספח ט לעיל.</w:t>
      </w:r>
    </w:p>
  </w:footnote>
  <w:footnote w:id="4416">
    <w:p w14:paraId="3A905169" w14:textId="77777777" w:rsidR="00AB3647" w:rsidRDefault="00000000">
      <w:pPr>
        <w:spacing w:after="0" w:before="0"/>
        <w:jc w:val="both"/>
      </w:pPr>
      <w:r>
        <w:rPr>
          <w:sz w:val="20"/>
          <w:szCs w:val="20"/>
          <w:rtl/>
        </w:rPr>
        <w:footnoteRef/>
      </w:r>
      <w:r>
        <w:rPr>
          <w:sz w:val="20"/>
          <w:szCs w:val="20"/>
          <w:rtl/>
        </w:rPr>
        <w:t>. הפסקה השנייה של נספח ט לעיל – עמ׳ 127.</w:t>
      </w:r>
    </w:p>
  </w:footnote>
  <w:footnote w:id="4417">
    <w:p w14:paraId="4D9007EE" w14:textId="77777777" w:rsidR="00AB3647" w:rsidRDefault="00000000">
      <w:pPr>
        <w:spacing w:after="0" w:before="0"/>
        <w:jc w:val="both"/>
      </w:pPr>
      <w:r>
        <w:rPr>
          <w:sz w:val="20"/>
          <w:szCs w:val="20"/>
          <w:rtl/>
        </w:rPr>
        <w:footnoteRef/>
      </w:r>
      <w:r>
        <w:rPr>
          <w:sz w:val="20"/>
          <w:szCs w:val="20"/>
          <w:rtl/>
        </w:rPr>
        <w:t xml:space="preserve">. השווה הפסקה השנייה של נספח </w:t>
      </w:r>
      <w:proofErr w:type="spellStart"/>
      <w:r>
        <w:rPr>
          <w:sz w:val="20"/>
          <w:szCs w:val="20"/>
          <w:rtl/>
        </w:rPr>
        <w:t>יג</w:t>
      </w:r>
      <w:proofErr w:type="spellEnd"/>
      <w:r>
        <w:rPr>
          <w:sz w:val="20"/>
          <w:szCs w:val="20"/>
          <w:rtl/>
        </w:rPr>
        <w:t xml:space="preserve"> לעיל.</w:t>
      </w:r>
    </w:p>
  </w:footnote>
  <w:footnote w:id="4418">
    <w:p w14:paraId="298D06AF" w14:textId="77777777" w:rsidR="00AB3647" w:rsidRDefault="00000000">
      <w:pPr>
        <w:spacing w:after="0" w:before="0"/>
        <w:jc w:val="both"/>
      </w:pPr>
      <w:r>
        <w:rPr>
          <w:sz w:val="20"/>
          <w:szCs w:val="20"/>
          <w:rtl/>
        </w:rPr>
        <w:footnoteRef/>
      </w:r>
      <w:r>
        <w:rPr>
          <w:sz w:val="20"/>
          <w:szCs w:val="20"/>
          <w:rtl/>
        </w:rPr>
        <w:t>. סוף הפסקה השנייה של נספח ט לעיל – פרק 9.</w:t>
      </w:r>
    </w:p>
  </w:footnote>
  <w:footnote w:id="4419">
    <w:p w14:paraId="22463D85" w14:textId="77777777" w:rsidR="00AB3647" w:rsidRDefault="00000000">
      <w:pPr>
        <w:spacing w:after="0" w:before="0"/>
        <w:jc w:val="both"/>
      </w:pPr>
      <w:r>
        <w:rPr>
          <w:sz w:val="20"/>
          <w:szCs w:val="20"/>
          <w:rtl/>
        </w:rPr>
        <w:footnoteRef/>
      </w:r>
      <w:r>
        <w:rPr>
          <w:sz w:val="20"/>
          <w:szCs w:val="20"/>
          <w:rtl/>
        </w:rPr>
        <w:t>. המקור הנזכר, פרק 1, הפסקה הראשונה של נספח ב – עמ׳ תתקעה ו־1980.</w:t>
      </w:r>
    </w:p>
  </w:footnote>
  <w:footnote w:id="4420">
    <w:p w14:paraId="7BB2D7E7" w14:textId="77777777" w:rsidR="00AB3647" w:rsidRDefault="00000000">
      <w:pPr>
        <w:spacing w:after="0" w:before="0"/>
        <w:jc w:val="both"/>
      </w:pPr>
      <w:r>
        <w:rPr>
          <w:sz w:val="20"/>
          <w:szCs w:val="20"/>
          <w:rtl/>
        </w:rPr>
        <w:footnoteRef/>
      </w:r>
      <w:r>
        <w:rPr>
          <w:sz w:val="20"/>
          <w:szCs w:val="20"/>
          <w:rtl/>
        </w:rPr>
        <w:t>. פרק מ״ו, עמ׳ 1948–1976.</w:t>
      </w:r>
    </w:p>
  </w:footnote>
  <w:footnote w:id="4421">
    <w:p w14:paraId="1711A8CA" w14:textId="77777777" w:rsidR="00AB3647" w:rsidRDefault="00000000">
      <w:pPr>
        <w:spacing w:after="0" w:before="0"/>
        <w:jc w:val="both"/>
      </w:pPr>
      <w:r>
        <w:rPr>
          <w:sz w:val="20"/>
          <w:szCs w:val="20"/>
          <w:rtl/>
        </w:rPr>
        <w:footnoteRef/>
      </w:r>
      <w:r>
        <w:rPr>
          <w:sz w:val="20"/>
          <w:szCs w:val="20"/>
          <w:rtl/>
        </w:rPr>
        <w:t>. פרק 1, הערה 103.</w:t>
      </w:r>
    </w:p>
  </w:footnote>
  <w:footnote w:id="4422">
    <w:p w14:paraId="1B850834" w14:textId="77777777" w:rsidR="00AB3647" w:rsidRDefault="00000000">
      <w:pPr>
        <w:spacing w:after="0" w:before="0"/>
        <w:jc w:val="both"/>
      </w:pPr>
      <w:r>
        <w:rPr>
          <w:sz w:val="20"/>
          <w:szCs w:val="20"/>
          <w:rtl/>
        </w:rPr>
        <w:footnoteRef/>
      </w:r>
      <w:r>
        <w:rPr>
          <w:sz w:val="20"/>
          <w:szCs w:val="20"/>
          <w:rtl/>
        </w:rPr>
        <w:t>. ריאיון מ־23 ביולי 1993.</w:t>
      </w:r>
    </w:p>
  </w:footnote>
  <w:footnote w:id="4423">
    <w:p w14:paraId="59987CEB" w14:textId="77777777" w:rsidR="00AB3647" w:rsidRDefault="00000000">
      <w:pPr>
        <w:spacing w:after="0" w:before="0"/>
        <w:jc w:val="both"/>
      </w:pPr>
      <w:r>
        <w:rPr>
          <w:sz w:val="20"/>
          <w:szCs w:val="20"/>
          <w:rtl/>
        </w:rPr>
        <w:footnoteRef/>
      </w:r>
      <w:r>
        <w:rPr>
          <w:sz w:val="20"/>
          <w:szCs w:val="20"/>
          <w:rtl/>
        </w:rPr>
        <w:t>. מהדורה שביעית, ירושלים, תש״נ – על שמות לה, ח.</w:t>
      </w:r>
    </w:p>
  </w:footnote>
  <w:footnote w:id="4424">
    <w:p w14:paraId="49FD2EE5" w14:textId="77777777" w:rsidR="00AB3647" w:rsidRDefault="00000000">
      <w:pPr>
        <w:spacing w:after="0" w:before="0"/>
        <w:jc w:val="both"/>
      </w:pPr>
      <w:r>
        <w:rPr>
          <w:sz w:val="20"/>
          <w:szCs w:val="20"/>
          <w:rtl/>
        </w:rPr>
        <w:footnoteRef/>
      </w:r>
      <w:r>
        <w:rPr>
          <w:sz w:val="20"/>
          <w:szCs w:val="20"/>
          <w:rtl/>
        </w:rPr>
        <w:t xml:space="preserve">. “ר׳ יעקב” (הפסקה השלישית של נספח י לעיל), עמ׳ 195, טועה כשהוא מייחס את המעשה, בשם אבי, </w:t>
      </w:r>
      <w:proofErr w:type="spellStart"/>
      <w:r>
        <w:rPr>
          <w:sz w:val="20"/>
          <w:szCs w:val="20"/>
          <w:rtl/>
        </w:rPr>
        <w:t>לר</w:t>
      </w:r>
      <w:proofErr w:type="spellEnd"/>
      <w:r>
        <w:rPr>
          <w:sz w:val="20"/>
          <w:szCs w:val="20"/>
          <w:rtl/>
        </w:rPr>
        <w:t xml:space="preserve">׳ חיים </w:t>
      </w:r>
      <w:proofErr w:type="spellStart"/>
      <w:r>
        <w:rPr>
          <w:sz w:val="20"/>
          <w:szCs w:val="20"/>
          <w:rtl/>
        </w:rPr>
        <w:t>מוולוז׳ין</w:t>
      </w:r>
      <w:proofErr w:type="spellEnd"/>
      <w:r>
        <w:rPr>
          <w:sz w:val="20"/>
          <w:szCs w:val="20"/>
          <w:rtl/>
        </w:rPr>
        <w:t xml:space="preserve">; והוא טועה גם – לפי “אזנים לתורה” ולפי נכדו של ר׳ ברוך </w:t>
      </w:r>
      <w:proofErr w:type="spellStart"/>
      <w:r>
        <w:rPr>
          <w:sz w:val="20"/>
          <w:szCs w:val="20"/>
          <w:rtl/>
        </w:rPr>
        <w:t>זלדוביץ</w:t>
      </w:r>
      <w:proofErr w:type="spellEnd"/>
      <w:r>
        <w:rPr>
          <w:sz w:val="20"/>
          <w:szCs w:val="20"/>
          <w:rtl/>
        </w:rPr>
        <w:t xml:space="preserve">׳ – בהנחה שר׳ חיים ידע של מי הכסף בשעת התרומה. השווה גם “עובדות והנהגות לבית </w:t>
      </w:r>
      <w:proofErr w:type="spellStart"/>
      <w:r>
        <w:rPr>
          <w:sz w:val="20"/>
          <w:szCs w:val="20"/>
          <w:rtl/>
        </w:rPr>
        <w:t>בריסק</w:t>
      </w:r>
      <w:proofErr w:type="spellEnd"/>
      <w:r>
        <w:rPr>
          <w:sz w:val="20"/>
          <w:szCs w:val="20"/>
          <w:rtl/>
        </w:rPr>
        <w:t xml:space="preserve">” (הפסקה השנייה של נספח ב לעיל), ח״א, עמ׳ </w:t>
      </w:r>
      <w:proofErr w:type="spellStart"/>
      <w:r>
        <w:rPr>
          <w:sz w:val="20"/>
          <w:szCs w:val="20"/>
          <w:rtl/>
        </w:rPr>
        <w:t>סא</w:t>
      </w:r>
      <w:proofErr w:type="spellEnd"/>
      <w:r>
        <w:rPr>
          <w:sz w:val="20"/>
          <w:szCs w:val="20"/>
          <w:rtl/>
        </w:rPr>
        <w:t xml:space="preserve">, המביא גרסה אחרת של המעשה בשם ר׳ </w:t>
      </w:r>
      <w:proofErr w:type="spellStart"/>
      <w:r>
        <w:rPr>
          <w:sz w:val="20"/>
          <w:szCs w:val="20"/>
          <w:rtl/>
        </w:rPr>
        <w:t>משולם־דוד</w:t>
      </w:r>
      <w:proofErr w:type="spellEnd"/>
      <w:r>
        <w:rPr>
          <w:sz w:val="20"/>
          <w:szCs w:val="20"/>
          <w:rtl/>
        </w:rPr>
        <w:t xml:space="preserve"> </w:t>
      </w:r>
      <w:proofErr w:type="spellStart"/>
      <w:r>
        <w:rPr>
          <w:sz w:val="20"/>
          <w:szCs w:val="20"/>
          <w:rtl/>
        </w:rPr>
        <w:t>סולובייצ׳יק</w:t>
      </w:r>
      <w:proofErr w:type="spellEnd"/>
      <w:r>
        <w:rPr>
          <w:sz w:val="20"/>
          <w:szCs w:val="20"/>
          <w:rtl/>
        </w:rPr>
        <w:t>.</w:t>
      </w:r>
    </w:p>
  </w:footnote>
  <w:footnote w:id="4425">
    <w:p w14:paraId="10FCD3C5" w14:textId="77777777" w:rsidR="00AB3647" w:rsidRDefault="00000000">
      <w:pPr>
        <w:spacing w:after="0" w:before="0"/>
        <w:jc w:val="both"/>
      </w:pPr>
      <w:r>
        <w:rPr>
          <w:sz w:val="20"/>
          <w:szCs w:val="20"/>
          <w:rtl/>
        </w:rPr>
        <w:footnoteRef/>
      </w:r>
      <w:r>
        <w:rPr>
          <w:sz w:val="20"/>
          <w:szCs w:val="20"/>
          <w:rtl/>
        </w:rPr>
        <w:t xml:space="preserve">. שם, פרק 3, הפסקה הרביעית של נספח </w:t>
      </w:r>
      <w:proofErr w:type="spellStart"/>
      <w:r>
        <w:rPr>
          <w:sz w:val="20"/>
          <w:szCs w:val="20"/>
          <w:rtl/>
        </w:rPr>
        <w:t>יח</w:t>
      </w:r>
      <w:proofErr w:type="spellEnd"/>
      <w:r>
        <w:rPr>
          <w:sz w:val="20"/>
          <w:szCs w:val="20"/>
          <w:rtl/>
        </w:rPr>
        <w:t xml:space="preserve"> – עמ׳ 211–212.</w:t>
      </w:r>
    </w:p>
  </w:footnote>
  <w:footnote w:id="4426">
    <w:p w14:paraId="4E54F878" w14:textId="77777777" w:rsidR="00AB3647" w:rsidRDefault="00000000">
      <w:pPr>
        <w:spacing w:after="0" w:before="0"/>
        <w:jc w:val="both"/>
      </w:pPr>
      <w:r>
        <w:rPr>
          <w:sz w:val="20"/>
          <w:szCs w:val="20"/>
          <w:rtl/>
        </w:rPr>
        <w:footnoteRef/>
      </w:r>
      <w:r>
        <w:rPr>
          <w:sz w:val="20"/>
          <w:szCs w:val="20"/>
          <w:rtl/>
        </w:rPr>
        <w:t>. ריאיון מ־28 בפברואר 2001.</w:t>
      </w:r>
    </w:p>
  </w:footnote>
  <w:footnote w:id="4427">
    <w:p w14:paraId="2CCCED82" w14:textId="77777777" w:rsidR="00AB3647" w:rsidRDefault="00000000">
      <w:pPr>
        <w:spacing w:after="0" w:before="0"/>
        <w:jc w:val="both"/>
      </w:pPr>
      <w:r>
        <w:rPr>
          <w:sz w:val="20"/>
          <w:szCs w:val="20"/>
          <w:rtl/>
        </w:rPr>
        <w:footnoteRef/>
      </w:r>
      <w:r>
        <w:rPr>
          <w:sz w:val="20"/>
          <w:szCs w:val="20"/>
          <w:rtl/>
        </w:rPr>
        <w:t xml:space="preserve">. “עד סוף ימיו הצטער בן דודי ד״ר בודנהיימר שלא זכה לספק בית לרב </w:t>
      </w:r>
      <w:proofErr w:type="spellStart"/>
      <w:r>
        <w:rPr>
          <w:sz w:val="20"/>
          <w:szCs w:val="20"/>
          <w:rtl/>
        </w:rPr>
        <w:t>מבריסק</w:t>
      </w:r>
      <w:proofErr w:type="spellEnd"/>
      <w:r>
        <w:rPr>
          <w:sz w:val="20"/>
          <w:szCs w:val="20"/>
          <w:rtl/>
        </w:rPr>
        <w:t xml:space="preserve">”, אמר ר׳ שלמה לורנץ. עוד על אדם מופלא זה ראה ההסכמות וההקדמה </w:t>
      </w:r>
      <w:proofErr w:type="spellStart"/>
      <w:r>
        <w:rPr>
          <w:sz w:val="20"/>
          <w:szCs w:val="20"/>
          <w:rtl/>
        </w:rPr>
        <w:t>ל“במי</w:t>
      </w:r>
      <w:proofErr w:type="spellEnd"/>
      <w:r>
        <w:rPr>
          <w:sz w:val="20"/>
          <w:szCs w:val="20"/>
          <w:rtl/>
        </w:rPr>
        <w:t xml:space="preserve"> התורה” (בני ברק, מנ״א ה׳תשס״א), מאת מיכאל יחיאל וכו׳ בודנהיימר.</w:t>
      </w:r>
    </w:p>
  </w:footnote>
  <w:footnote w:id="4428">
    <w:p w14:paraId="4CC06CDE" w14:textId="77777777" w:rsidR="00AB3647" w:rsidRDefault="00000000">
      <w:pPr>
        <w:spacing w:after="0" w:before="0"/>
        <w:jc w:val="both"/>
      </w:pPr>
      <w:r>
        <w:rPr>
          <w:sz w:val="20"/>
          <w:szCs w:val="20"/>
          <w:rtl/>
        </w:rPr>
        <w:footnoteRef/>
      </w:r>
      <w:r>
        <w:rPr>
          <w:sz w:val="20"/>
          <w:szCs w:val="20"/>
          <w:rtl/>
        </w:rPr>
        <w:t xml:space="preserve">. המעשה נדפס בשם אבי בעמ׳ 15–16 של המבוא הביוגרפי שכתב אלחנן שפירא </w:t>
      </w:r>
      <w:proofErr w:type="spellStart"/>
      <w:r>
        <w:rPr>
          <w:sz w:val="20"/>
          <w:szCs w:val="20"/>
          <w:rtl/>
        </w:rPr>
        <w:t>ל“שו״ת</w:t>
      </w:r>
      <w:proofErr w:type="spellEnd"/>
      <w:r>
        <w:rPr>
          <w:sz w:val="20"/>
          <w:szCs w:val="20"/>
          <w:rtl/>
        </w:rPr>
        <w:t xml:space="preserve"> רבנו יוסף </w:t>
      </w:r>
      <w:proofErr w:type="spellStart"/>
      <w:r>
        <w:rPr>
          <w:sz w:val="20"/>
          <w:szCs w:val="20"/>
          <w:rtl/>
        </w:rPr>
        <w:t>מסלוצק</w:t>
      </w:r>
      <w:proofErr w:type="spellEnd"/>
      <w:r>
        <w:rPr>
          <w:sz w:val="20"/>
          <w:szCs w:val="20"/>
          <w:rtl/>
        </w:rPr>
        <w:t xml:space="preserve">” (מכון ירושלים, תשמ״א). הכותב לא שמע את המעשה מפי רבנו, אלא קרא אותו במאמר בעיתון מאת העיתונאי הרב אהרן ב. </w:t>
      </w:r>
      <w:proofErr w:type="spellStart"/>
      <w:r>
        <w:rPr>
          <w:sz w:val="20"/>
          <w:szCs w:val="20"/>
          <w:rtl/>
        </w:rPr>
        <w:t>שורין</w:t>
      </w:r>
      <w:proofErr w:type="spellEnd"/>
      <w:r>
        <w:rPr>
          <w:sz w:val="20"/>
          <w:szCs w:val="20"/>
          <w:rtl/>
        </w:rPr>
        <w:t xml:space="preserve"> (ראה פרק 1, הערה 14) על צדקת מעות חיטים שלפני פסח. ר׳ </w:t>
      </w:r>
      <w:proofErr w:type="spellStart"/>
      <w:r>
        <w:rPr>
          <w:sz w:val="20"/>
          <w:szCs w:val="20"/>
          <w:rtl/>
        </w:rPr>
        <w:t>אהרן־בן־ציון</w:t>
      </w:r>
      <w:proofErr w:type="spellEnd"/>
      <w:r>
        <w:rPr>
          <w:sz w:val="20"/>
          <w:szCs w:val="20"/>
          <w:rtl/>
        </w:rPr>
        <w:t xml:space="preserve"> </w:t>
      </w:r>
      <w:proofErr w:type="spellStart"/>
      <w:r>
        <w:rPr>
          <w:sz w:val="20"/>
          <w:szCs w:val="20"/>
          <w:rtl/>
        </w:rPr>
        <w:t>שורין</w:t>
      </w:r>
      <w:proofErr w:type="spellEnd"/>
      <w:r>
        <w:rPr>
          <w:sz w:val="20"/>
          <w:szCs w:val="20"/>
          <w:rtl/>
        </w:rPr>
        <w:t xml:space="preserve"> התקשר לרבנו כדי לשמוע את המעשה לפרטיו, אחרי שאבי סיפר אותו לחתנו ר׳ ישראל, אחיו של העיתונאי. המעשה כפי שהוא מסופר כאן כולל פרטים שלא היו במאמר בעיתון – ולכן גם לא </w:t>
      </w:r>
      <w:proofErr w:type="spellStart"/>
      <w:r>
        <w:rPr>
          <w:sz w:val="20"/>
          <w:szCs w:val="20"/>
          <w:rtl/>
        </w:rPr>
        <w:t>ב“שו״ת</w:t>
      </w:r>
      <w:proofErr w:type="spellEnd"/>
      <w:r>
        <w:rPr>
          <w:sz w:val="20"/>
          <w:szCs w:val="20"/>
          <w:rtl/>
        </w:rPr>
        <w:t xml:space="preserve"> רבנו יוסף </w:t>
      </w:r>
      <w:proofErr w:type="spellStart"/>
      <w:r>
        <w:rPr>
          <w:sz w:val="20"/>
          <w:szCs w:val="20"/>
          <w:rtl/>
        </w:rPr>
        <w:t>מסלוצק</w:t>
      </w:r>
      <w:proofErr w:type="spellEnd"/>
      <w:r>
        <w:rPr>
          <w:sz w:val="20"/>
          <w:szCs w:val="20"/>
          <w:rtl/>
        </w:rPr>
        <w:t xml:space="preserve">” – אבל אבי מסר אותם בעל פה </w:t>
      </w:r>
      <w:proofErr w:type="spellStart"/>
      <w:r>
        <w:rPr>
          <w:sz w:val="20"/>
          <w:szCs w:val="20"/>
          <w:rtl/>
        </w:rPr>
        <w:t>לר</w:t>
      </w:r>
      <w:proofErr w:type="spellEnd"/>
      <w:r>
        <w:rPr>
          <w:sz w:val="20"/>
          <w:szCs w:val="20"/>
          <w:rtl/>
        </w:rPr>
        <w:t xml:space="preserve">׳ ישראל </w:t>
      </w:r>
      <w:proofErr w:type="spellStart"/>
      <w:r>
        <w:rPr>
          <w:sz w:val="20"/>
          <w:szCs w:val="20"/>
          <w:rtl/>
        </w:rPr>
        <w:t>שורין</w:t>
      </w:r>
      <w:proofErr w:type="spellEnd"/>
      <w:r>
        <w:rPr>
          <w:sz w:val="20"/>
          <w:szCs w:val="20"/>
          <w:rtl/>
        </w:rPr>
        <w:t>, והוא מסר אותם לי.</w:t>
      </w:r>
    </w:p>
    <w:p w14:paraId="0D1D55EC" w14:textId="77777777" w:rsidR="00AB3647" w:rsidRDefault="00000000">
      <w:pPr>
        <w:spacing w:after="0" w:before="0"/>
        <w:jc w:val="both"/>
      </w:pPr>
      <w:r>
        <w:rPr>
          <w:sz w:val="20"/>
          <w:szCs w:val="20"/>
          <w:rtl/>
        </w:rPr>
        <w:t xml:space="preserve">אבי חזר על המעשה בפומבי בנוכחות </w:t>
      </w:r>
      <w:proofErr w:type="spellStart"/>
      <w:r>
        <w:rPr>
          <w:sz w:val="20"/>
          <w:szCs w:val="20"/>
          <w:rtl/>
        </w:rPr>
        <w:t>אירווינג</w:t>
      </w:r>
      <w:proofErr w:type="spellEnd"/>
      <w:r>
        <w:rPr>
          <w:sz w:val="20"/>
          <w:szCs w:val="20"/>
          <w:rtl/>
        </w:rPr>
        <w:t xml:space="preserve"> א. סטון, נדבן </w:t>
      </w:r>
      <w:proofErr w:type="spellStart"/>
      <w:r>
        <w:rPr>
          <w:sz w:val="20"/>
          <w:szCs w:val="20"/>
          <w:rtl/>
        </w:rPr>
        <w:t>מקליבלנד</w:t>
      </w:r>
      <w:proofErr w:type="spellEnd"/>
      <w:r>
        <w:rPr>
          <w:sz w:val="20"/>
          <w:szCs w:val="20"/>
          <w:rtl/>
        </w:rPr>
        <w:t xml:space="preserve"> ומתומכיו העיקריים של החינוך היהודי באמריקה, שבא למתיבתא תורה ודעת בברוקלין להשתתף בסעודה שלישית. אבי היה רגיל לדבר אל התלמידים לפני צאת השבת, וכשראה שמר סטון נמצא שם, החליט לספר מעשה שהאורח ייהנה ממנו. ראה גם הערת שוליים </w:t>
      </w:r>
      <w:r>
        <w:rPr>
          <w:sz w:val="20"/>
          <w:szCs w:val="20"/>
          <w:rtl/>
        </w:rPr>
        <w:fldChar w:fldCharType="begin" w:dirty="true"/>
      </w:r>
      <w:r>
        <w:rPr>
          <w:sz w:val="20"/>
          <w:szCs w:val="20"/>
          <w:rtl/>
        </w:rPr>
        <w:instrText xml:space="preserve"> NOTEREF pr_f_4304 \h </w:instrText>
      </w:r>
      <w:r>
        <w:rPr>
          <w:sz w:val="20"/>
          <w:szCs w:val="20"/>
          <w:rtl/>
        </w:rPr>
      </w:r>
      <w:r>
        <w:rPr>
          <w:sz w:val="20"/>
          <w:szCs w:val="20"/>
          <w:rtl/>
        </w:rPr>
        <w:fldChar w:fldCharType="separate"/>
      </w:r>
      <w:r w:rsidR="007923E9">
        <w:rPr>
          <w:sz w:val="20"/>
          <w:szCs w:val="20"/>
          <w:rtl/>
        </w:rPr>
        <w:t>1381</w:t>
      </w:r>
      <w:r>
        <w:rPr>
          <w:sz w:val="20"/>
          <w:szCs w:val="20"/>
          <w:rtl/>
        </w:rPr>
        <w:fldChar w:fldCharType="end"/>
      </w:r>
      <w:r>
        <w:rPr>
          <w:sz w:val="20"/>
          <w:szCs w:val="20"/>
          <w:rtl/>
        </w:rPr>
        <w:t xml:space="preserve"> להלן.</w:t>
      </w:r>
    </w:p>
  </w:footnote>
  <w:footnote w:id="4429">
    <w:p w14:paraId="3975E6F9" w14:textId="77777777" w:rsidR="00AB3647" w:rsidRDefault="00000000">
      <w:pPr>
        <w:spacing w:after="0" w:before="0"/>
        <w:jc w:val="both"/>
      </w:pPr>
      <w:r>
        <w:rPr>
          <w:sz w:val="20"/>
          <w:szCs w:val="20"/>
          <w:rtl/>
        </w:rPr>
        <w:footnoteRef/>
      </w:r>
      <w:r>
        <w:rPr>
          <w:sz w:val="20"/>
          <w:szCs w:val="20"/>
          <w:rtl/>
        </w:rPr>
        <w:t>. ראה פרק 3, נספח טו.</w:t>
      </w:r>
    </w:p>
  </w:footnote>
  <w:footnote w:id="4430">
    <w:p w14:paraId="7B2AA6AF" w14:textId="77777777" w:rsidR="00AB3647" w:rsidRDefault="00000000">
      <w:pPr>
        <w:spacing w:after="0" w:before="0"/>
        <w:jc w:val="both"/>
      </w:pPr>
      <w:r>
        <w:rPr>
          <w:sz w:val="20"/>
          <w:szCs w:val="20"/>
          <w:rtl/>
        </w:rPr>
        <w:footnoteRef/>
      </w:r>
      <w:r>
        <w:rPr>
          <w:sz w:val="20"/>
          <w:szCs w:val="20"/>
          <w:rtl/>
        </w:rPr>
        <w:t>. נראה שרבנו הזכיר פרט זה כדי לתאר כיצד שלח ר׳ יונה את ידו מתחת למזרנו להוציא את תרומתו, כדלהלן.</w:t>
      </w:r>
    </w:p>
  </w:footnote>
  <w:footnote w:id="4431">
    <w:p w14:paraId="2E498BAD" w14:textId="77777777" w:rsidR="00AB3647" w:rsidRDefault="00000000">
      <w:pPr>
        <w:spacing w:after="0" w:before="0"/>
        <w:jc w:val="both"/>
      </w:pPr>
      <w:r>
        <w:rPr>
          <w:sz w:val="20"/>
          <w:szCs w:val="20"/>
          <w:rtl/>
        </w:rPr>
        <w:footnoteRef/>
      </w:r>
      <w:r>
        <w:rPr>
          <w:sz w:val="20"/>
          <w:szCs w:val="20"/>
          <w:rtl/>
        </w:rPr>
        <w:t xml:space="preserve">. הלקח שהפיק </w:t>
      </w:r>
      <w:proofErr w:type="spellStart"/>
      <w:r>
        <w:rPr>
          <w:sz w:val="20"/>
          <w:szCs w:val="20"/>
          <w:rtl/>
        </w:rPr>
        <w:t>אירווינג</w:t>
      </w:r>
      <w:proofErr w:type="spellEnd"/>
      <w:r>
        <w:rPr>
          <w:sz w:val="20"/>
          <w:szCs w:val="20"/>
          <w:rtl/>
        </w:rPr>
        <w:t xml:space="preserve"> א. סטון מן המעשה שסיפר אבי (הערת שוליים </w:t>
      </w:r>
      <w:r>
        <w:rPr>
          <w:sz w:val="20"/>
          <w:szCs w:val="20"/>
          <w:rtl/>
        </w:rPr>
        <w:fldChar w:fldCharType="begin" w:dirty="true"/>
      </w:r>
      <w:r>
        <w:rPr>
          <w:sz w:val="20"/>
          <w:szCs w:val="20"/>
          <w:rtl/>
        </w:rPr>
        <w:instrText xml:space="preserve"> NOTEREF pr_f_4301 \h </w:instrText>
      </w:r>
      <w:r>
        <w:rPr>
          <w:sz w:val="20"/>
          <w:szCs w:val="20"/>
          <w:rtl/>
        </w:rPr>
      </w:r>
      <w:r>
        <w:rPr>
          <w:sz w:val="20"/>
          <w:szCs w:val="20"/>
          <w:rtl/>
        </w:rPr>
        <w:fldChar w:fldCharType="separate"/>
      </w:r>
      <w:r w:rsidR="007923E9">
        <w:rPr>
          <w:sz w:val="20"/>
          <w:szCs w:val="20"/>
          <w:rtl/>
        </w:rPr>
        <w:t>1378</w:t>
      </w:r>
      <w:r>
        <w:rPr>
          <w:sz w:val="20"/>
          <w:szCs w:val="20"/>
          <w:rtl/>
        </w:rPr>
        <w:fldChar w:fldCharType="end"/>
      </w:r>
      <w:r>
        <w:rPr>
          <w:sz w:val="20"/>
          <w:szCs w:val="20"/>
          <w:rtl/>
        </w:rPr>
        <w:t xml:space="preserve"> לעיל) לא היה מגישתו של ר׳ יונה בסוף המעשה, אלא מסירובו הראשון לתת את מלוא 200 הרובל: גם נדבן אינו מוציא את כספו בלי לעשות עם עצמו חשבון ברור אם ידו משגת. אחרי ששמע את המעשה על ר׳ יונה אבן, סיפר האורח לרבנו: סטון שכר לנהגו הפרטי אדם ששימש קודם לכן את הנשיא </w:t>
      </w:r>
      <w:proofErr w:type="spellStart"/>
      <w:r>
        <w:rPr>
          <w:sz w:val="20"/>
          <w:szCs w:val="20"/>
          <w:rtl/>
        </w:rPr>
        <w:t>דווייט</w:t>
      </w:r>
      <w:proofErr w:type="spellEnd"/>
      <w:r>
        <w:rPr>
          <w:sz w:val="20"/>
          <w:szCs w:val="20"/>
          <w:rtl/>
        </w:rPr>
        <w:t xml:space="preserve"> ד. אייזנהאואר. בפעם הראשונה שהסיע את מר סטון עצר הנהג למלא דלק, וכשנסעו משם שאל אותו מעסיקו: “מה עשית בעודף?” השיב הנהג: “חשבתי שזה רק שבעים סנט, ולכן נסעתי בלי לקחת אותו”. סטון הורה לו לחזור כמה קילומטרים ולקחת את העודף, ואמר לו: “אני רוצה שתדע שגם שבעים סנט הם כסף”.</w:t>
      </w:r>
    </w:p>
  </w:footnote>
  <w:footnote w:id="4432">
    <w:p w14:paraId="56802850" w14:textId="77777777" w:rsidR="00AB3647" w:rsidRDefault="00000000">
      <w:pPr>
        <w:spacing w:after="0" w:before="0"/>
        <w:jc w:val="both"/>
      </w:pPr>
      <w:r>
        <w:rPr>
          <w:sz w:val="20"/>
          <w:szCs w:val="20"/>
          <w:rtl/>
        </w:rPr>
        <w:footnoteRef/>
      </w:r>
      <w:r>
        <w:rPr>
          <w:sz w:val="20"/>
          <w:szCs w:val="20"/>
          <w:rtl/>
        </w:rPr>
        <w:t>. הפסקה השלישית של נספח ט לעיל – עמ׳ מו במספור המתחיל בחלק הנקרא “דרכיו ונימוקיו ושיחותיו של הרב חפץ חיים זצ״ל”.</w:t>
      </w:r>
    </w:p>
  </w:footnote>
  <w:footnote w:id="4433">
    <w:p w14:paraId="0D97754F" w14:textId="77777777" w:rsidR="00AB3647" w:rsidRDefault="00000000">
      <w:pPr>
        <w:spacing w:after="0" w:before="0"/>
        <w:jc w:val="both"/>
      </w:pPr>
      <w:r>
        <w:rPr>
          <w:sz w:val="20"/>
          <w:szCs w:val="20"/>
          <w:rtl/>
        </w:rPr>
        <w:footnoteRef/>
      </w:r>
      <w:r>
        <w:rPr>
          <w:sz w:val="20"/>
          <w:szCs w:val="20"/>
          <w:rtl/>
        </w:rPr>
        <w:t>. דברים טו, י.</w:t>
      </w:r>
    </w:p>
  </w:footnote>
  <w:footnote w:id="4434">
    <w:p w14:paraId="067C0EED" w14:textId="77777777" w:rsidR="00AB3647" w:rsidRDefault="00000000">
      <w:pPr>
        <w:spacing w:after="0" w:before="0"/>
        <w:jc w:val="both"/>
      </w:pPr>
      <w:r>
        <w:rPr>
          <w:sz w:val="20"/>
          <w:szCs w:val="20"/>
          <w:rtl/>
        </w:rPr>
        <w:footnoteRef/>
      </w:r>
      <w:r>
        <w:rPr>
          <w:sz w:val="20"/>
          <w:szCs w:val="20"/>
          <w:rtl/>
        </w:rPr>
        <w:t>. שם, פרק 3, נספח טו – עמ׳ 97.</w:t>
      </w:r>
    </w:p>
  </w:footnote>
  <w:footnote w:id="4435">
    <w:p w14:paraId="6055488D" w14:textId="77777777" w:rsidR="00AB3647" w:rsidRDefault="00000000">
      <w:pPr>
        <w:spacing w:after="0" w:before="0"/>
        <w:jc w:val="both"/>
      </w:pPr>
      <w:r>
        <w:rPr>
          <w:sz w:val="20"/>
          <w:szCs w:val="20"/>
          <w:rtl/>
        </w:rPr>
        <w:footnoteRef/>
      </w:r>
      <w:r>
        <w:rPr>
          <w:sz w:val="20"/>
          <w:szCs w:val="20"/>
          <w:rtl/>
        </w:rPr>
        <w:t xml:space="preserve">. הפסקה השנייה של נספח ב לעיל – ראה במפתח של “הראשון לשושלת </w:t>
      </w:r>
      <w:proofErr w:type="spellStart"/>
      <w:r>
        <w:rPr>
          <w:sz w:val="20"/>
          <w:szCs w:val="20"/>
          <w:rtl/>
        </w:rPr>
        <w:t>בריסק</w:t>
      </w:r>
      <w:proofErr w:type="spellEnd"/>
      <w:r>
        <w:rPr>
          <w:sz w:val="20"/>
          <w:szCs w:val="20"/>
          <w:rtl/>
        </w:rPr>
        <w:t>”.</w:t>
      </w:r>
    </w:p>
  </w:footnote>
  <w:footnote w:id="4436">
    <w:p w14:paraId="42CD3ABD" w14:textId="77777777" w:rsidR="00AB3647" w:rsidRDefault="00000000">
      <w:pPr>
        <w:spacing w:after="0" w:before="0"/>
        <w:jc w:val="both"/>
      </w:pPr>
      <w:r>
        <w:rPr>
          <w:sz w:val="20"/>
          <w:szCs w:val="20"/>
          <w:rtl/>
        </w:rPr>
        <w:footnoteRef/>
      </w:r>
      <w:r>
        <w:rPr>
          <w:sz w:val="20"/>
          <w:szCs w:val="20"/>
          <w:rtl/>
        </w:rPr>
        <w:t xml:space="preserve">. “פנקס </w:t>
      </w:r>
      <w:proofErr w:type="spellStart"/>
      <w:r>
        <w:rPr>
          <w:sz w:val="20"/>
          <w:szCs w:val="20"/>
          <w:rtl/>
        </w:rPr>
        <w:t>סלוצק</w:t>
      </w:r>
      <w:proofErr w:type="spellEnd"/>
      <w:r>
        <w:rPr>
          <w:sz w:val="20"/>
          <w:szCs w:val="20"/>
          <w:rtl/>
        </w:rPr>
        <w:t>”, עמ׳ 12.</w:t>
      </w:r>
    </w:p>
  </w:footnote>
  <w:footnote w:id="4437">
    <w:p w14:paraId="5653459E" w14:textId="77777777" w:rsidR="00AB3647" w:rsidRDefault="00000000">
      <w:pPr>
        <w:spacing w:after="0" w:before="0"/>
        <w:jc w:val="both"/>
      </w:pPr>
      <w:r>
        <w:rPr>
          <w:sz w:val="20"/>
          <w:szCs w:val="20"/>
          <w:rtl/>
        </w:rPr>
        <w:footnoteRef/>
      </w:r>
      <w:r>
        <w:rPr>
          <w:sz w:val="20"/>
          <w:szCs w:val="20"/>
          <w:rtl/>
        </w:rPr>
        <w:t>. ב־6 בנובמבר 1998.</w:t>
      </w:r>
    </w:p>
  </w:footnote>
  <w:footnote w:id="4438">
    <w:p w14:paraId="53A299E3" w14:textId="77777777" w:rsidR="00AB3647" w:rsidRDefault="00000000">
      <w:pPr>
        <w:spacing w:after="0" w:before="0"/>
        <w:jc w:val="both"/>
      </w:pPr>
      <w:r>
        <w:rPr>
          <w:sz w:val="20"/>
          <w:szCs w:val="20"/>
          <w:rtl/>
        </w:rPr>
        <w:footnoteRef/>
      </w:r>
      <w:r>
        <w:rPr>
          <w:sz w:val="20"/>
          <w:szCs w:val="20"/>
          <w:rtl/>
        </w:rPr>
        <w:t>. עמ׳ 36.</w:t>
      </w:r>
    </w:p>
  </w:footnote>
  <w:footnote w:id="4439">
    <w:p w14:paraId="1FF66AFD" w14:textId="77777777" w:rsidR="00AB3647" w:rsidRDefault="00000000">
      <w:pPr>
        <w:spacing w:after="0" w:before="0"/>
        <w:jc w:val="both"/>
      </w:pPr>
      <w:r>
        <w:rPr>
          <w:sz w:val="20"/>
          <w:szCs w:val="20"/>
          <w:rtl/>
        </w:rPr>
        <w:footnoteRef/>
      </w:r>
      <w:r>
        <w:rPr>
          <w:sz w:val="20"/>
          <w:szCs w:val="20"/>
          <w:rtl/>
        </w:rPr>
        <w:t xml:space="preserve">. </w:t>
      </w:r>
      <w:proofErr w:type="spellStart"/>
      <w:r>
        <w:rPr>
          <w:sz w:val="20"/>
          <w:szCs w:val="20"/>
          <w:rtl/>
        </w:rPr>
        <w:t>ווילנא</w:t>
      </w:r>
      <w:proofErr w:type="spellEnd"/>
      <w:r>
        <w:rPr>
          <w:sz w:val="20"/>
          <w:szCs w:val="20"/>
          <w:rtl/>
        </w:rPr>
        <w:t>, תרנ״ט – עמ׳ 31.</w:t>
      </w:r>
    </w:p>
  </w:footnote>
  <w:footnote w:id="4440">
    <w:p w14:paraId="4B73375D" w14:textId="77777777" w:rsidR="00AB3647" w:rsidRDefault="00000000">
      <w:pPr>
        <w:spacing w:after="0" w:before="0"/>
        <w:jc w:val="both"/>
      </w:pPr>
      <w:r>
        <w:rPr>
          <w:sz w:val="20"/>
          <w:szCs w:val="20"/>
          <w:rtl/>
        </w:rPr>
        <w:footnoteRef/>
      </w:r>
      <w:r>
        <w:rPr>
          <w:sz w:val="20"/>
          <w:szCs w:val="20"/>
          <w:rtl/>
        </w:rPr>
        <w:t>. על פי שמואל ב ג, לח.</w:t>
      </w:r>
    </w:p>
  </w:footnote>
  <w:footnote w:id="4441">
    <w:p w14:paraId="1E1FC141" w14:textId="77777777" w:rsidR="00AB3647" w:rsidRDefault="00000000">
      <w:pPr>
        <w:spacing w:after="0" w:before="0"/>
        <w:jc w:val="both"/>
      </w:pPr>
      <w:r>
        <w:rPr>
          <w:sz w:val="20"/>
          <w:szCs w:val="20"/>
          <w:rtl/>
        </w:rPr>
        <w:footnoteRef/>
      </w:r>
      <w:r>
        <w:rPr>
          <w:sz w:val="20"/>
          <w:szCs w:val="20"/>
          <w:rtl/>
        </w:rPr>
        <w:t>. עמ׳ 129.</w:t>
      </w:r>
    </w:p>
  </w:footnote>
  <w:footnote w:id="4442">
    <w:p w14:paraId="4345A59E" w14:textId="77777777" w:rsidR="00AB3647" w:rsidRDefault="00000000">
      <w:pPr>
        <w:spacing w:after="0" w:before="0"/>
        <w:jc w:val="both"/>
      </w:pPr>
      <w:r>
        <w:rPr>
          <w:sz w:val="20"/>
          <w:szCs w:val="20"/>
          <w:rtl/>
        </w:rPr>
        <w:footnoteRef/>
      </w:r>
      <w:r>
        <w:rPr>
          <w:sz w:val="20"/>
          <w:szCs w:val="20"/>
          <w:rtl/>
        </w:rPr>
        <w:t>. שם, פרק 1, הפסקה הראשונה של נספח ב – עמ׳ 34.</w:t>
      </w:r>
    </w:p>
  </w:footnote>
  <w:footnote w:id="4443">
    <w:p w14:paraId="61EF716B" w14:textId="77777777" w:rsidR="00AB3647" w:rsidRDefault="00000000">
      <w:pPr>
        <w:spacing w:after="0" w:before="0"/>
        <w:jc w:val="both"/>
      </w:pPr>
      <w:r>
        <w:rPr>
          <w:sz w:val="20"/>
          <w:szCs w:val="20"/>
          <w:rtl/>
        </w:rPr>
        <w:footnoteRef/>
      </w:r>
      <w:r>
        <w:rPr>
          <w:sz w:val="20"/>
          <w:szCs w:val="20"/>
          <w:rtl/>
        </w:rPr>
        <w:t xml:space="preserve">. מסתבר יותר שביידיש כינו אותו “יוסל </w:t>
      </w:r>
      <w:proofErr w:type="spellStart"/>
      <w:r>
        <w:rPr>
          <w:sz w:val="20"/>
          <w:szCs w:val="20"/>
          <w:rtl/>
        </w:rPr>
        <w:t>דער</w:t>
      </w:r>
      <w:proofErr w:type="spellEnd"/>
      <w:r>
        <w:rPr>
          <w:sz w:val="20"/>
          <w:szCs w:val="20"/>
          <w:rtl/>
        </w:rPr>
        <w:t xml:space="preserve"> </w:t>
      </w:r>
      <w:proofErr w:type="spellStart"/>
      <w:r>
        <w:rPr>
          <w:sz w:val="20"/>
          <w:szCs w:val="20"/>
          <w:rtl/>
        </w:rPr>
        <w:t>שטענדער</w:t>
      </w:r>
      <w:proofErr w:type="spellEnd"/>
      <w:r>
        <w:rPr>
          <w:sz w:val="20"/>
          <w:szCs w:val="20"/>
          <w:rtl/>
        </w:rPr>
        <w:t xml:space="preserve">” (בלי “של הישיבה”), ושאת המילה העיקרית יש לתרגם לא “עמוד” אלא “דוכן קריאה”. (את התרגום העברי השגוי מן היידיש המקורית, המובא </w:t>
      </w:r>
      <w:proofErr w:type="spellStart"/>
      <w:r>
        <w:rPr>
          <w:sz w:val="20"/>
          <w:szCs w:val="20"/>
          <w:rtl/>
        </w:rPr>
        <w:t>ב“רבותינו</w:t>
      </w:r>
      <w:proofErr w:type="spellEnd"/>
      <w:r>
        <w:rPr>
          <w:sz w:val="20"/>
          <w:szCs w:val="20"/>
          <w:rtl/>
        </w:rPr>
        <w:t xml:space="preserve"> שבגולה”, תרגמתי לאנגלית.) הכינוי “יוסל </w:t>
      </w:r>
      <w:proofErr w:type="spellStart"/>
      <w:r>
        <w:rPr>
          <w:sz w:val="20"/>
          <w:szCs w:val="20"/>
          <w:rtl/>
        </w:rPr>
        <w:t>דער</w:t>
      </w:r>
      <w:proofErr w:type="spellEnd"/>
      <w:r>
        <w:rPr>
          <w:sz w:val="20"/>
          <w:szCs w:val="20"/>
          <w:rtl/>
        </w:rPr>
        <w:t xml:space="preserve"> </w:t>
      </w:r>
      <w:proofErr w:type="spellStart"/>
      <w:r>
        <w:rPr>
          <w:sz w:val="20"/>
          <w:szCs w:val="20"/>
          <w:rtl/>
        </w:rPr>
        <w:t>שטענדער</w:t>
      </w:r>
      <w:proofErr w:type="spellEnd"/>
      <w:r>
        <w:rPr>
          <w:sz w:val="20"/>
          <w:szCs w:val="20"/>
          <w:rtl/>
        </w:rPr>
        <w:t>” ציין שיוסל לא נפרד מן הסטנדר שלו ולמד תמיד. השווה גם הערה 71 לעיל, על הכינוי שנולד מהתמדתו של ר׳ נפתלי אמסטרדם.</w:t>
      </w:r>
    </w:p>
  </w:footnote>
  <w:footnote w:id="4444">
    <w:p w14:paraId="39DEF99A" w14:textId="77777777" w:rsidR="00AB3647" w:rsidRDefault="00000000">
      <w:pPr>
        <w:spacing w:after="0" w:before="0"/>
        <w:jc w:val="both"/>
      </w:pPr>
      <w:r>
        <w:rPr>
          <w:sz w:val="20"/>
          <w:szCs w:val="20"/>
          <w:rtl/>
        </w:rPr>
        <w:footnoteRef/>
      </w:r>
      <w:r>
        <w:rPr>
          <w:sz w:val="20"/>
          <w:szCs w:val="20"/>
          <w:rtl/>
        </w:rPr>
        <w:t>. ראה “הישיבות הליטאיות” (תחילת נספח ט לעיל), עמ׳ 574–576.</w:t>
      </w:r>
    </w:p>
  </w:footnote>
  <w:footnote w:id="4445">
    <w:p w14:paraId="3A1A59B8" w14:textId="77777777" w:rsidR="00AB3647" w:rsidRDefault="00000000">
      <w:pPr>
        <w:spacing w:after="0" w:before="0"/>
        <w:jc w:val="both"/>
      </w:pPr>
      <w:r>
        <w:rPr>
          <w:sz w:val="20"/>
          <w:szCs w:val="20"/>
          <w:rtl/>
        </w:rPr>
        <w:footnoteRef/>
      </w:r>
      <w:r>
        <w:rPr>
          <w:sz w:val="20"/>
          <w:szCs w:val="20"/>
          <w:rtl/>
        </w:rPr>
        <w:t xml:space="preserve">. בערל </w:t>
      </w:r>
      <w:proofErr w:type="spellStart"/>
      <w:r>
        <w:rPr>
          <w:sz w:val="20"/>
          <w:szCs w:val="20"/>
          <w:rtl/>
        </w:rPr>
        <w:t>קגן</w:t>
      </w:r>
      <w:proofErr w:type="spellEnd"/>
      <w:r>
        <w:rPr>
          <w:sz w:val="20"/>
          <w:szCs w:val="20"/>
          <w:rtl/>
        </w:rPr>
        <w:t xml:space="preserve"> (הערה 70 לעיל), עמ׳ 249.</w:t>
      </w:r>
    </w:p>
  </w:footnote>
  <w:footnote w:id="4446">
    <w:p w14:paraId="1FF0BA58" w14:textId="77777777" w:rsidR="00AB3647" w:rsidRDefault="00000000">
      <w:pPr>
        <w:spacing w:after="0" w:before="0"/>
        <w:jc w:val="both"/>
      </w:pPr>
      <w:r>
        <w:rPr>
          <w:sz w:val="20"/>
          <w:szCs w:val="20"/>
          <w:rtl/>
        </w:rPr>
        <w:footnoteRef/>
      </w:r>
      <w:r>
        <w:rPr>
          <w:sz w:val="20"/>
          <w:szCs w:val="20"/>
          <w:rtl/>
        </w:rPr>
        <w:t xml:space="preserve">. ראה המבוא הביוגרפי הנזכר </w:t>
      </w:r>
      <w:proofErr w:type="spellStart"/>
      <w:r>
        <w:rPr>
          <w:sz w:val="20"/>
          <w:szCs w:val="20"/>
          <w:rtl/>
        </w:rPr>
        <w:t>ל“שו״ת</w:t>
      </w:r>
      <w:proofErr w:type="spellEnd"/>
      <w:r>
        <w:rPr>
          <w:sz w:val="20"/>
          <w:szCs w:val="20"/>
          <w:rtl/>
        </w:rPr>
        <w:t xml:space="preserve"> רבנו יוסף </w:t>
      </w:r>
      <w:proofErr w:type="spellStart"/>
      <w:r>
        <w:rPr>
          <w:sz w:val="20"/>
          <w:szCs w:val="20"/>
          <w:rtl/>
        </w:rPr>
        <w:t>מסלוצק</w:t>
      </w:r>
      <w:proofErr w:type="spellEnd"/>
      <w:r>
        <w:rPr>
          <w:sz w:val="20"/>
          <w:szCs w:val="20"/>
          <w:rtl/>
        </w:rPr>
        <w:t>”, עמ׳ 10, הערה 11.</w:t>
      </w:r>
    </w:p>
  </w:footnote>
  <w:footnote w:id="4447">
    <w:p w14:paraId="712974EB" w14:textId="77777777" w:rsidR="00AB3647" w:rsidRDefault="00000000">
      <w:pPr>
        <w:spacing w:after="0" w:before="0"/>
        <w:jc w:val="both"/>
      </w:pPr>
      <w:r>
        <w:rPr>
          <w:sz w:val="20"/>
          <w:szCs w:val="20"/>
          <w:rtl/>
        </w:rPr>
        <w:footnoteRef/>
      </w:r>
      <w:r>
        <w:rPr>
          <w:sz w:val="20"/>
          <w:szCs w:val="20"/>
          <w:rtl/>
        </w:rPr>
        <w:t>. “רבותינו שבגולה”, שם, עמ׳ 36.</w:t>
      </w:r>
    </w:p>
  </w:footnote>
  <w:footnote w:id="4448">
    <w:p w14:paraId="5E7748FD" w14:textId="77777777" w:rsidR="00AB3647" w:rsidRDefault="00000000">
      <w:pPr>
        <w:spacing w:after="0" w:before="0"/>
        <w:jc w:val="both"/>
      </w:pPr>
      <w:r>
        <w:rPr>
          <w:sz w:val="20"/>
          <w:szCs w:val="20"/>
          <w:rtl/>
        </w:rPr>
        <w:footnoteRef/>
      </w:r>
      <w:r>
        <w:rPr>
          <w:sz w:val="20"/>
          <w:szCs w:val="20"/>
          <w:rtl/>
        </w:rPr>
        <w:t xml:space="preserve">. חלקה הראשון של האמרה אינו מכוון לכך שר׳ </w:t>
      </w:r>
      <w:proofErr w:type="spellStart"/>
      <w:r>
        <w:rPr>
          <w:sz w:val="20"/>
          <w:szCs w:val="20"/>
          <w:rtl/>
        </w:rPr>
        <w:t>איצל׳ה</w:t>
      </w:r>
      <w:proofErr w:type="spellEnd"/>
      <w:r>
        <w:rPr>
          <w:sz w:val="20"/>
          <w:szCs w:val="20"/>
          <w:rtl/>
        </w:rPr>
        <w:t xml:space="preserve"> כתב קמיעות – ראה </w:t>
      </w:r>
      <w:proofErr w:type="spellStart"/>
      <w:r>
        <w:rPr>
          <w:sz w:val="20"/>
          <w:szCs w:val="20"/>
          <w:rtl/>
        </w:rPr>
        <w:t>שטמפפר</w:t>
      </w:r>
      <w:proofErr w:type="spellEnd"/>
      <w:r>
        <w:rPr>
          <w:sz w:val="20"/>
          <w:szCs w:val="20"/>
          <w:rtl/>
        </w:rPr>
        <w:t xml:space="preserve"> (הפסקה הרביעית של נספח ט לעיל), עמ׳ 59 – מפני שר׳ </w:t>
      </w:r>
      <w:proofErr w:type="spellStart"/>
      <w:r>
        <w:rPr>
          <w:sz w:val="20"/>
          <w:szCs w:val="20"/>
          <w:rtl/>
        </w:rPr>
        <w:t>דוד־טעביל</w:t>
      </w:r>
      <w:proofErr w:type="spellEnd"/>
      <w:r>
        <w:rPr>
          <w:sz w:val="20"/>
          <w:szCs w:val="20"/>
          <w:rtl/>
        </w:rPr>
        <w:t xml:space="preserve"> לא היה מותח ביקורת על כך.</w:t>
      </w:r>
    </w:p>
  </w:footnote>
  <w:footnote w:id="4449">
    <w:p w14:paraId="21380839" w14:textId="77777777" w:rsidR="00AB3647" w:rsidRDefault="00000000">
      <w:pPr>
        <w:spacing w:after="0" w:before="0"/>
        <w:jc w:val="both"/>
      </w:pPr>
      <w:r>
        <w:rPr>
          <w:sz w:val="20"/>
          <w:szCs w:val="20"/>
          <w:rtl/>
        </w:rPr>
        <w:footnoteRef/>
      </w:r>
      <w:r>
        <w:rPr>
          <w:sz w:val="20"/>
          <w:szCs w:val="20"/>
          <w:rtl/>
        </w:rPr>
        <w:t xml:space="preserve">. ראה גם פרק 2, הפסקה </w:t>
      </w:r>
      <w:proofErr w:type="spellStart"/>
      <w:r>
        <w:rPr>
          <w:sz w:val="20"/>
          <w:szCs w:val="20"/>
          <w:rtl/>
        </w:rPr>
        <w:t>השמונה־עשרה</w:t>
      </w:r>
      <w:proofErr w:type="spellEnd"/>
      <w:r>
        <w:rPr>
          <w:sz w:val="20"/>
          <w:szCs w:val="20"/>
          <w:rtl/>
        </w:rPr>
        <w:t xml:space="preserve"> של נספח א.</w:t>
      </w:r>
    </w:p>
  </w:footnote>
  <w:footnote w:id="4450">
    <w:p w14:paraId="7DA04546" w14:textId="77777777" w:rsidR="00AB3647" w:rsidRDefault="00000000">
      <w:pPr>
        <w:spacing w:after="0" w:before="0"/>
        <w:jc w:val="both"/>
      </w:pPr>
      <w:r>
        <w:rPr>
          <w:sz w:val="20"/>
          <w:szCs w:val="20"/>
          <w:rtl/>
        </w:rPr>
        <w:footnoteRef/>
      </w:r>
      <w:r>
        <w:rPr>
          <w:sz w:val="20"/>
          <w:szCs w:val="20"/>
          <w:rtl/>
        </w:rPr>
        <w:t xml:space="preserve">. סיפר זאת ר׳ אלחנן שפירא, בריאיון מ־13 במאי 2001, בשם אביו ר׳ </w:t>
      </w:r>
      <w:proofErr w:type="spellStart"/>
      <w:r>
        <w:rPr>
          <w:sz w:val="20"/>
          <w:szCs w:val="20"/>
          <w:rtl/>
        </w:rPr>
        <w:t>אליהו־חיים</w:t>
      </w:r>
      <w:proofErr w:type="spellEnd"/>
      <w:r>
        <w:rPr>
          <w:sz w:val="20"/>
          <w:szCs w:val="20"/>
          <w:rtl/>
        </w:rPr>
        <w:t xml:space="preserve">, ששמע זאת מפי ר׳ יצחק־זאב </w:t>
      </w:r>
      <w:proofErr w:type="spellStart"/>
      <w:r>
        <w:rPr>
          <w:sz w:val="20"/>
          <w:szCs w:val="20"/>
          <w:rtl/>
        </w:rPr>
        <w:t>סולובייצ׳יק</w:t>
      </w:r>
      <w:proofErr w:type="spellEnd"/>
      <w:r>
        <w:rPr>
          <w:sz w:val="20"/>
          <w:szCs w:val="20"/>
          <w:rtl/>
        </w:rPr>
        <w:t xml:space="preserve">. ר׳ יצחק־זאב אמר גם שככל שהיה ר׳ </w:t>
      </w:r>
      <w:proofErr w:type="spellStart"/>
      <w:r>
        <w:rPr>
          <w:sz w:val="20"/>
          <w:szCs w:val="20"/>
          <w:rtl/>
        </w:rPr>
        <w:t>איצל׳ה</w:t>
      </w:r>
      <w:proofErr w:type="spellEnd"/>
      <w:r>
        <w:rPr>
          <w:sz w:val="20"/>
          <w:szCs w:val="20"/>
          <w:rtl/>
        </w:rPr>
        <w:t xml:space="preserve"> פיקח, אביו היה פיקח עוד יותר, והגאון מווילנה אמר </w:t>
      </w:r>
      <w:proofErr w:type="spellStart"/>
      <w:r>
        <w:rPr>
          <w:sz w:val="20"/>
          <w:szCs w:val="20"/>
          <w:rtl/>
        </w:rPr>
        <w:t>ש“נשמתו</w:t>
      </w:r>
      <w:proofErr w:type="spellEnd"/>
      <w:r>
        <w:rPr>
          <w:sz w:val="20"/>
          <w:szCs w:val="20"/>
          <w:rtl/>
        </w:rPr>
        <w:t xml:space="preserve"> של ר׳ חיים קומט פון עולם החכמה [באה מעולם החכמה]”.</w:t>
      </w:r>
    </w:p>
  </w:footnote>
  <w:footnote w:id="4451">
    <w:p w14:paraId="088E9514" w14:textId="77777777" w:rsidR="00AB3647" w:rsidRDefault="00000000">
      <w:pPr>
        <w:spacing w:after="0" w:before="0"/>
        <w:jc w:val="both"/>
      </w:pPr>
      <w:r>
        <w:rPr>
          <w:sz w:val="20"/>
          <w:szCs w:val="20"/>
          <w:rtl/>
        </w:rPr>
        <w:footnoteRef/>
      </w:r>
      <w:r>
        <w:rPr>
          <w:sz w:val="20"/>
          <w:szCs w:val="20"/>
          <w:rtl/>
        </w:rPr>
        <w:t>. ראה תחילת פסקה זו.</w:t>
      </w:r>
    </w:p>
  </w:footnote>
  <w:footnote w:id="4452">
    <w:p w14:paraId="60F9E37A" w14:textId="77777777" w:rsidR="00AB3647" w:rsidRDefault="00000000">
      <w:pPr>
        <w:spacing w:after="0" w:before="0"/>
        <w:jc w:val="both"/>
      </w:pPr>
      <w:r>
        <w:rPr>
          <w:sz w:val="20"/>
          <w:szCs w:val="20"/>
          <w:rtl/>
        </w:rPr>
        <w:footnoteRef/>
      </w:r>
      <w:r>
        <w:rPr>
          <w:sz w:val="20"/>
          <w:szCs w:val="20"/>
          <w:rtl/>
        </w:rPr>
        <w:t xml:space="preserve">. ראה </w:t>
      </w:r>
      <w:proofErr w:type="spellStart"/>
      <w:r>
        <w:rPr>
          <w:sz w:val="20"/>
          <w:szCs w:val="20"/>
          <w:rtl/>
        </w:rPr>
        <w:t>שו״ע</w:t>
      </w:r>
      <w:proofErr w:type="spellEnd"/>
      <w:r>
        <w:rPr>
          <w:sz w:val="20"/>
          <w:szCs w:val="20"/>
          <w:rtl/>
        </w:rPr>
        <w:t xml:space="preserve"> יו״ד סי׳ שס״ג ס״א.</w:t>
      </w:r>
    </w:p>
  </w:footnote>
  <w:footnote w:id="4453">
    <w:p w14:paraId="6D989689" w14:textId="77777777" w:rsidR="00AB3647" w:rsidRDefault="00000000">
      <w:pPr>
        <w:spacing w:after="0" w:before="0"/>
        <w:jc w:val="both"/>
      </w:pPr>
      <w:r>
        <w:rPr>
          <w:sz w:val="20"/>
          <w:szCs w:val="20"/>
          <w:rtl/>
        </w:rPr>
        <w:footnoteRef/>
      </w:r>
      <w:r>
        <w:rPr>
          <w:sz w:val="20"/>
          <w:szCs w:val="20"/>
          <w:rtl/>
        </w:rPr>
        <w:t>. ריאיון מ־12 במאי 2001.</w:t>
      </w:r>
    </w:p>
  </w:footnote>
  <w:footnote w:id="4454">
    <w:p w14:paraId="11D3F019" w14:textId="77777777" w:rsidR="00AB3647" w:rsidRDefault="00000000">
      <w:pPr>
        <w:spacing w:after="0" w:before="0"/>
        <w:jc w:val="both"/>
      </w:pPr>
      <w:r>
        <w:rPr>
          <w:sz w:val="20"/>
          <w:szCs w:val="20"/>
          <w:rtl/>
        </w:rPr>
        <w:footnoteRef/>
      </w:r>
      <w:r>
        <w:rPr>
          <w:sz w:val="20"/>
          <w:szCs w:val="20"/>
          <w:rtl/>
        </w:rPr>
        <w:t xml:space="preserve">. מסתבר שהמעשה על פסק הלכה כזה אינו מבוסס. יש להוסיף שפסק המבוסס על ידיעה שתפילותיו של אדם מתקבלות בשמים אפשר לייחס רק לאדם כר׳ חיים </w:t>
      </w:r>
      <w:proofErr w:type="spellStart"/>
      <w:r>
        <w:rPr>
          <w:sz w:val="20"/>
          <w:szCs w:val="20"/>
          <w:rtl/>
        </w:rPr>
        <w:t>מוולוז׳ין</w:t>
      </w:r>
      <w:proofErr w:type="spellEnd"/>
      <w:r>
        <w:rPr>
          <w:sz w:val="20"/>
          <w:szCs w:val="20"/>
          <w:rtl/>
        </w:rPr>
        <w:t xml:space="preserve">, שנחשב “בקי בענייני שמים” – ראה פרק 3, תחילת הפסקה השלישית של נספח </w:t>
      </w:r>
      <w:proofErr w:type="spellStart"/>
      <w:r>
        <w:rPr>
          <w:sz w:val="20"/>
          <w:szCs w:val="20"/>
          <w:rtl/>
        </w:rPr>
        <w:t>כו</w:t>
      </w:r>
      <w:proofErr w:type="spellEnd"/>
      <w:r>
        <w:rPr>
          <w:sz w:val="20"/>
          <w:szCs w:val="20"/>
          <w:rtl/>
        </w:rPr>
        <w:t xml:space="preserve">. אפשר לשער גם שמה שהתיר ר׳ חיים היה להביא את החולה </w:t>
      </w:r>
      <w:proofErr w:type="spellStart"/>
      <w:r>
        <w:rPr>
          <w:sz w:val="20"/>
          <w:szCs w:val="20"/>
          <w:rtl/>
        </w:rPr>
        <w:t>לז׳לודקר</w:t>
      </w:r>
      <w:proofErr w:type="spellEnd"/>
      <w:r>
        <w:rPr>
          <w:sz w:val="20"/>
          <w:szCs w:val="20"/>
          <w:rtl/>
        </w:rPr>
        <w:t xml:space="preserve">, מתוך סיכוי שההשפעה הפסיכוסומטית של הביקור תציל את חייו. השווה גם “מקור ברוך” (נספח </w:t>
      </w:r>
      <w:proofErr w:type="spellStart"/>
      <w:r>
        <w:rPr>
          <w:sz w:val="20"/>
          <w:szCs w:val="20"/>
          <w:rtl/>
        </w:rPr>
        <w:t>יט</w:t>
      </w:r>
      <w:proofErr w:type="spellEnd"/>
      <w:r>
        <w:rPr>
          <w:sz w:val="20"/>
          <w:szCs w:val="20"/>
          <w:rtl/>
        </w:rPr>
        <w:t xml:space="preserve"> לעיל), עמ׳ תרח–</w:t>
      </w:r>
      <w:proofErr w:type="spellStart"/>
      <w:r>
        <w:rPr>
          <w:sz w:val="20"/>
          <w:szCs w:val="20"/>
          <w:rtl/>
        </w:rPr>
        <w:t>תרט</w:t>
      </w:r>
      <w:proofErr w:type="spellEnd"/>
      <w:r>
        <w:rPr>
          <w:sz w:val="20"/>
          <w:szCs w:val="20"/>
          <w:rtl/>
        </w:rPr>
        <w:t>, על כתיבת קמיע בשבת.</w:t>
      </w:r>
    </w:p>
  </w:footnote>
  <w:footnote w:id="4455">
    <w:p w14:paraId="0AAE98F8" w14:textId="77777777" w:rsidR="00AB3647" w:rsidRDefault="00000000">
      <w:pPr>
        <w:spacing w:after="0" w:before="0"/>
        <w:jc w:val="both"/>
      </w:pPr>
      <w:r>
        <w:rPr>
          <w:sz w:val="20"/>
          <w:szCs w:val="20"/>
          <w:rtl/>
        </w:rPr>
        <w:footnoteRef/>
      </w:r>
      <w:r>
        <w:rPr>
          <w:sz w:val="20"/>
          <w:szCs w:val="20"/>
          <w:rtl/>
        </w:rPr>
        <w:t xml:space="preserve">. נדפס בירושלים, תשנ״ג – </w:t>
      </w:r>
      <w:proofErr w:type="spellStart"/>
      <w:r>
        <w:rPr>
          <w:sz w:val="20"/>
          <w:szCs w:val="20"/>
          <w:rtl/>
        </w:rPr>
        <w:t>ח״ה</w:t>
      </w:r>
      <w:proofErr w:type="spellEnd"/>
      <w:r>
        <w:rPr>
          <w:sz w:val="20"/>
          <w:szCs w:val="20"/>
          <w:rtl/>
        </w:rPr>
        <w:t>, סי׳ נו.</w:t>
      </w:r>
    </w:p>
  </w:footnote>
  <w:footnote w:id="4456">
    <w:p w14:paraId="672F2A2C" w14:textId="77777777" w:rsidR="00AB3647" w:rsidRDefault="00000000">
      <w:pPr>
        <w:spacing w:after="0" w:before="0"/>
        <w:jc w:val="both"/>
      </w:pPr>
      <w:r>
        <w:rPr>
          <w:sz w:val="20"/>
          <w:szCs w:val="20"/>
          <w:rtl/>
        </w:rPr>
        <w:footnoteRef/>
      </w:r>
      <w:r>
        <w:rPr>
          <w:sz w:val="20"/>
          <w:szCs w:val="20"/>
          <w:rtl/>
        </w:rPr>
        <w:t xml:space="preserve">. מועד קטן סוף </w:t>
      </w:r>
      <w:proofErr w:type="spellStart"/>
      <w:r>
        <w:rPr>
          <w:sz w:val="20"/>
          <w:szCs w:val="20"/>
          <w:rtl/>
        </w:rPr>
        <w:t>כב</w:t>
      </w:r>
      <w:proofErr w:type="spellEnd"/>
      <w:r>
        <w:rPr>
          <w:sz w:val="20"/>
          <w:szCs w:val="20"/>
          <w:rtl/>
        </w:rPr>
        <w:t xml:space="preserve"> ע״ב.</w:t>
      </w:r>
    </w:p>
  </w:footnote>
  <w:footnote w:id="4457">
    <w:p w14:paraId="1771D026" w14:textId="77777777" w:rsidR="00AB3647" w:rsidRDefault="00000000">
      <w:pPr>
        <w:spacing w:after="0" w:before="0"/>
        <w:jc w:val="both"/>
      </w:pPr>
      <w:r>
        <w:rPr>
          <w:sz w:val="20"/>
          <w:szCs w:val="20"/>
          <w:rtl/>
        </w:rPr>
        <w:footnoteRef/>
      </w:r>
      <w:r>
        <w:rPr>
          <w:sz w:val="20"/>
          <w:szCs w:val="20"/>
          <w:rtl/>
        </w:rPr>
        <w:t xml:space="preserve">. הרמב״ם </w:t>
      </w:r>
      <w:proofErr w:type="spellStart"/>
      <w:r>
        <w:rPr>
          <w:sz w:val="20"/>
          <w:szCs w:val="20"/>
          <w:rtl/>
        </w:rPr>
        <w:t>בפי״ג</w:t>
      </w:r>
      <w:proofErr w:type="spellEnd"/>
      <w:r>
        <w:rPr>
          <w:sz w:val="20"/>
          <w:szCs w:val="20"/>
          <w:rtl/>
        </w:rPr>
        <w:t xml:space="preserve"> מהל׳ אבל מכנה את הזרים המכבדים נפטר [שאינו משאיר בן משפחה לשבת שבעה] בכינוי מכובד יותר: “עשרה בני אדם כשרים”.</w:t>
      </w:r>
    </w:p>
  </w:footnote>
  <w:footnote w:id="4458">
    <w:p w14:paraId="044B0671" w14:textId="77777777" w:rsidR="00AB3647" w:rsidRDefault="00000000">
      <w:pPr>
        <w:spacing w:after="0" w:before="0"/>
        <w:jc w:val="both"/>
      </w:pPr>
      <w:r>
        <w:rPr>
          <w:sz w:val="20"/>
          <w:szCs w:val="20"/>
          <w:rtl/>
        </w:rPr>
        <w:footnoteRef/>
      </w:r>
      <w:r>
        <w:rPr>
          <w:sz w:val="20"/>
          <w:szCs w:val="20"/>
          <w:rtl/>
        </w:rPr>
        <w:t>. ריאיון מ־20 ביוני 2001.</w:t>
      </w:r>
    </w:p>
  </w:footnote>
  <w:footnote w:id="4459">
    <w:p w14:paraId="4D42DF36" w14:textId="77777777" w:rsidR="00AB3647" w:rsidRDefault="00000000">
      <w:pPr>
        <w:spacing w:after="0" w:before="0"/>
        <w:jc w:val="both"/>
      </w:pPr>
      <w:r>
        <w:rPr>
          <w:sz w:val="20"/>
          <w:szCs w:val="20"/>
          <w:rtl/>
        </w:rPr>
        <w:footnoteRef/>
      </w:r>
      <w:r>
        <w:rPr>
          <w:sz w:val="20"/>
          <w:szCs w:val="20"/>
          <w:rtl/>
        </w:rPr>
        <w:t xml:space="preserve">. השווה פרק 3, הפסקה הראשונה של נספח ח, והערת שוליים </w:t>
      </w:r>
      <w:r>
        <w:rPr>
          <w:sz w:val="20"/>
          <w:szCs w:val="20"/>
          <w:rtl/>
        </w:rPr>
        <w:fldChar w:fldCharType="begin" w:dirty="true"/>
      </w:r>
      <w:r>
        <w:rPr>
          <w:sz w:val="20"/>
          <w:szCs w:val="20"/>
          <w:rtl/>
        </w:rPr>
        <w:instrText xml:space="preserve"> NOTEREF pr_f_1657 \h </w:instrText>
      </w:r>
      <w:r>
        <w:rPr>
          <w:sz w:val="20"/>
          <w:szCs w:val="20"/>
          <w:rtl/>
        </w:rPr>
      </w:r>
      <w:r>
        <w:rPr>
          <w:sz w:val="20"/>
          <w:szCs w:val="20"/>
          <w:rtl/>
        </w:rPr>
        <w:fldChar w:fldCharType="separate"/>
      </w:r>
      <w:r w:rsidR="007923E9">
        <w:rPr>
          <w:sz w:val="20"/>
          <w:szCs w:val="20"/>
          <w:rtl/>
        </w:rPr>
        <w:t>703</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pr_f_1657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4460">
    <w:p w14:paraId="197A035F" w14:textId="77777777" w:rsidR="00AB3647" w:rsidRDefault="00000000">
      <w:pPr>
        <w:spacing w:after="0" w:before="0"/>
        <w:jc w:val="both"/>
      </w:pPr>
      <w:r>
        <w:rPr>
          <w:sz w:val="20"/>
          <w:szCs w:val="20"/>
          <w:rtl/>
        </w:rPr>
        <w:footnoteRef/>
      </w:r>
      <w:r>
        <w:rPr>
          <w:sz w:val="20"/>
          <w:szCs w:val="20"/>
          <w:rtl/>
        </w:rPr>
        <w:t xml:space="preserve">. ראה פרק 5, הערה 49, ושבת </w:t>
      </w:r>
      <w:proofErr w:type="spellStart"/>
      <w:r>
        <w:rPr>
          <w:sz w:val="20"/>
          <w:szCs w:val="20"/>
          <w:rtl/>
        </w:rPr>
        <w:t>כג</w:t>
      </w:r>
      <w:proofErr w:type="spellEnd"/>
      <w:r>
        <w:rPr>
          <w:sz w:val="20"/>
          <w:szCs w:val="20"/>
          <w:rtl/>
        </w:rPr>
        <w:t xml:space="preserve"> ע״ב, ד״ה </w:t>
      </w:r>
      <w:proofErr w:type="spellStart"/>
      <w:r>
        <w:rPr>
          <w:sz w:val="20"/>
          <w:szCs w:val="20"/>
          <w:rtl/>
        </w:rPr>
        <w:t>דנפק</w:t>
      </w:r>
      <w:proofErr w:type="spellEnd"/>
      <w:r>
        <w:rPr>
          <w:sz w:val="20"/>
          <w:szCs w:val="20"/>
          <w:rtl/>
        </w:rPr>
        <w:t>.</w:t>
      </w:r>
    </w:p>
  </w:footnote>
  <w:footnote w:id="4461">
    <w:p w14:paraId="78E00470" w14:textId="77777777" w:rsidR="00AB3647" w:rsidRDefault="00000000">
      <w:pPr>
        <w:spacing w:after="0" w:before="0"/>
        <w:jc w:val="both"/>
      </w:pPr>
      <w:r>
        <w:rPr>
          <w:sz w:val="20"/>
          <w:szCs w:val="20"/>
          <w:rtl/>
        </w:rPr>
        <w:footnoteRef/>
      </w:r>
      <w:r>
        <w:rPr>
          <w:sz w:val="20"/>
          <w:szCs w:val="20"/>
          <w:rtl/>
        </w:rPr>
        <w:t>. לאמיתו של דבר, סב אשתו; ראה הפסקה החמישית של נספח ט לעיל. ר׳ רפאל שפירא, חותנו האמיתי של ר׳ חיים, חי שלוש שנים אחריו.</w:t>
      </w:r>
    </w:p>
  </w:footnote>
  <w:footnote w:id="4462">
    <w:p w14:paraId="45172DFB" w14:textId="77777777" w:rsidR="00AB3647" w:rsidRDefault="00000000">
      <w:pPr>
        <w:spacing w:after="0" w:before="0"/>
        <w:jc w:val="both"/>
      </w:pPr>
      <w:r>
        <w:rPr>
          <w:sz w:val="20"/>
          <w:szCs w:val="20"/>
          <w:rtl/>
        </w:rPr>
        <w:footnoteRef/>
      </w:r>
      <w:r>
        <w:rPr>
          <w:sz w:val="20"/>
          <w:szCs w:val="20"/>
          <w:rtl/>
        </w:rPr>
        <w:t xml:space="preserve">. ראה פרק 5, הפסקה התשיעית של נספח ו. אפשר לשער </w:t>
      </w:r>
      <w:proofErr w:type="spellStart"/>
      <w:r>
        <w:rPr>
          <w:sz w:val="20"/>
          <w:szCs w:val="20"/>
          <w:rtl/>
        </w:rPr>
        <w:t>שאוטבוצק</w:t>
      </w:r>
      <w:proofErr w:type="spellEnd"/>
      <w:r>
        <w:rPr>
          <w:sz w:val="20"/>
          <w:szCs w:val="20"/>
          <w:rtl/>
        </w:rPr>
        <w:t xml:space="preserve"> צוינה על המצבה (נוסח המצבה מובא שם) כמקום פטירתו של ר׳ חיים כדי לפצות את אנשי </w:t>
      </w:r>
      <w:proofErr w:type="spellStart"/>
      <w:r>
        <w:rPr>
          <w:sz w:val="20"/>
          <w:szCs w:val="20"/>
          <w:rtl/>
        </w:rPr>
        <w:t>אוטבוצק</w:t>
      </w:r>
      <w:proofErr w:type="spellEnd"/>
      <w:r>
        <w:rPr>
          <w:sz w:val="20"/>
          <w:szCs w:val="20"/>
          <w:rtl/>
        </w:rPr>
        <w:t xml:space="preserve"> על שלא נקבר בעירם. (ר׳ מאיר הציע </w:t>
      </w:r>
      <w:proofErr w:type="spellStart"/>
      <w:r>
        <w:rPr>
          <w:sz w:val="20"/>
          <w:szCs w:val="20"/>
          <w:rtl/>
        </w:rPr>
        <w:t>שאוטבוצק</w:t>
      </w:r>
      <w:proofErr w:type="spellEnd"/>
      <w:r>
        <w:rPr>
          <w:sz w:val="20"/>
          <w:szCs w:val="20"/>
          <w:rtl/>
        </w:rPr>
        <w:t xml:space="preserve"> נזכרה כדי להסביר מדוע נקבר בוורשה ליד מי שהיה לו כאב, ולא </w:t>
      </w:r>
      <w:proofErr w:type="spellStart"/>
      <w:r>
        <w:rPr>
          <w:sz w:val="20"/>
          <w:szCs w:val="20"/>
          <w:rtl/>
        </w:rPr>
        <w:t>בבריסק</w:t>
      </w:r>
      <w:proofErr w:type="spellEnd"/>
      <w:r>
        <w:rPr>
          <w:sz w:val="20"/>
          <w:szCs w:val="20"/>
          <w:rtl/>
        </w:rPr>
        <w:t xml:space="preserve"> ליד ר׳ יוסף־דב, אביו ממש.) ראה גם שם שרבנו שמר בסוד מי חיבר את נוסח המצבה.</w:t>
      </w:r>
    </w:p>
  </w:footnote>
  <w:footnote w:id="4463">
    <w:p w14:paraId="254BC23D" w14:textId="77777777" w:rsidR="00AB3647" w:rsidRDefault="00000000">
      <w:pPr>
        <w:spacing w:after="0" w:before="0"/>
        <w:jc w:val="both"/>
      </w:pPr>
      <w:r>
        <w:rPr>
          <w:sz w:val="20"/>
          <w:szCs w:val="20"/>
          <w:rtl/>
        </w:rPr>
        <w:footnoteRef/>
      </w:r>
      <w:r>
        <w:rPr>
          <w:sz w:val="20"/>
          <w:szCs w:val="20"/>
          <w:rtl/>
        </w:rPr>
        <w:t>. ראה פרק 5, נספח ט.</w:t>
      </w:r>
    </w:p>
  </w:footnote>
  <w:footnote w:id="4464">
    <w:p w14:paraId="66675FA5" w14:textId="77777777" w:rsidR="00AB3647" w:rsidRDefault="00000000">
      <w:pPr>
        <w:spacing w:after="0" w:before="0"/>
        <w:jc w:val="both"/>
      </w:pPr>
      <w:r>
        <w:rPr>
          <w:sz w:val="20"/>
          <w:szCs w:val="20"/>
          <w:rtl/>
        </w:rPr>
        <w:footnoteRef/>
      </w:r>
      <w:r>
        <w:rPr>
          <w:sz w:val="20"/>
          <w:szCs w:val="20"/>
          <w:rtl/>
        </w:rPr>
        <w:t>. השווה פרק 5, הפסקה השלישית של נספח ב.</w:t>
      </w:r>
    </w:p>
  </w:footnote>
  <w:footnote w:id="4465">
    <w:p w14:paraId="26CD33B4" w14:textId="77777777" w:rsidR="00AB3647" w:rsidRDefault="00000000">
      <w:pPr>
        <w:spacing w:after="0" w:before="0"/>
        <w:jc w:val="both"/>
      </w:pPr>
      <w:r>
        <w:rPr>
          <w:sz w:val="20"/>
          <w:szCs w:val="20"/>
          <w:rtl/>
        </w:rPr>
        <w:footnoteRef/>
      </w:r>
      <w:r>
        <w:rPr>
          <w:sz w:val="20"/>
          <w:szCs w:val="20"/>
          <w:rtl/>
        </w:rPr>
        <w:t>. ראה פרק 1, סוף נספח ו.</w:t>
      </w:r>
    </w:p>
  </w:footnote>
  <w:footnote w:id="4466">
    <w:p w14:paraId="29455669" w14:textId="77777777" w:rsidR="00AB3647" w:rsidRDefault="00000000">
      <w:pPr>
        <w:spacing w:after="0" w:before="0"/>
        <w:jc w:val="both"/>
      </w:pPr>
      <w:r>
        <w:rPr>
          <w:sz w:val="20"/>
          <w:szCs w:val="20"/>
          <w:rtl/>
        </w:rPr>
        <w:footnoteRef/>
      </w:r>
      <w:r>
        <w:rPr>
          <w:sz w:val="20"/>
          <w:szCs w:val="20"/>
          <w:rtl/>
        </w:rPr>
        <w:t>. ריאיון מ־21 ביוני 2001.</w:t>
      </w:r>
    </w:p>
  </w:footnote>
  <w:footnote w:id="4467">
    <w:p w14:paraId="6410C1B3" w14:textId="77777777" w:rsidR="00AB3647" w:rsidRDefault="00000000">
      <w:pPr>
        <w:spacing w:after="0" w:before="0"/>
        <w:jc w:val="both"/>
      </w:pPr>
      <w:r>
        <w:rPr>
          <w:sz w:val="20"/>
          <w:szCs w:val="20"/>
          <w:rtl/>
        </w:rPr>
        <w:footnoteRef/>
      </w:r>
      <w:r>
        <w:rPr>
          <w:sz w:val="20"/>
          <w:szCs w:val="20"/>
          <w:rtl/>
        </w:rPr>
        <w:t>. 10 באוגוסט 1993.</w:t>
      </w:r>
    </w:p>
  </w:footnote>
  <w:footnote w:id="4468">
    <w:p w14:paraId="71E3DBC6" w14:textId="77777777" w:rsidR="00AB3647" w:rsidRDefault="00000000">
      <w:pPr>
        <w:spacing w:after="0" w:before="0"/>
        <w:jc w:val="both"/>
      </w:pPr>
      <w:r>
        <w:rPr>
          <w:sz w:val="20"/>
          <w:szCs w:val="20"/>
          <w:rtl/>
        </w:rPr>
        <w:footnoteRef/>
      </w:r>
      <w:r>
        <w:rPr>
          <w:sz w:val="20"/>
          <w:szCs w:val="20"/>
          <w:rtl/>
        </w:rPr>
        <w:t>. ראה פרק 2, הערה 31.</w:t>
      </w:r>
    </w:p>
  </w:footnote>
  <w:footnote w:id="4469">
    <w:p w14:paraId="4D731C69"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rFonts w:ascii="David" w:eastAsia="David" w:hAnsi="David" w:cs="David"/>
          <w:sz w:val="20"/>
          <w:szCs w:val="20"/>
          <w:rtl/>
        </w:rPr>
        <w:t xml:space="preserve"/>
      </w:r>
      <w:r>
        <w:rPr>
          <w:b/>
          <w:color w:val="000000"/>
          <w:sz w:val="20"/>
          <w:szCs w:val="20"/>
          <w:rtl/>
        </w:rPr>
        <w:t xml:space="preserve">הערת המתרגם: </w:t>
      </w:r>
      <w:r>
        <w:rPr>
          <w:sz w:val="20"/>
          <w:szCs w:val="20"/>
          <w:rtl/>
        </w:rPr>
        <w:t xml:space="preserve">במקור: “במלחמת העולם השנייה”; תיקנתי, שהרי ר׳ חיים </w:t>
      </w:r>
      <w:proofErr w:type="spellStart"/>
      <w:r>
        <w:rPr>
          <w:sz w:val="20"/>
          <w:szCs w:val="20"/>
          <w:rtl/>
        </w:rPr>
        <w:t>סולובייצ׳יק</w:t>
      </w:r>
      <w:proofErr w:type="spellEnd"/>
      <w:r>
        <w:rPr>
          <w:sz w:val="20"/>
          <w:szCs w:val="20"/>
          <w:rtl/>
        </w:rPr>
        <w:t xml:space="preserve"> נפטר בכ״א באב תרע״ח (1918), ובמינסק שהה בימי מלחמת העולם הראשונה.</w:t>
      </w:r>
    </w:p>
  </w:footnote>
  <w:footnote w:id="4470">
    <w:p w14:paraId="5415CE1F" w14:textId="77777777" w:rsidR="00AB3647" w:rsidRDefault="00000000">
      <w:pPr>
        <w:spacing w:after="0" w:before="0"/>
        <w:jc w:val="both"/>
      </w:pPr>
      <w:r>
        <w:rPr>
          <w:sz w:val="20"/>
          <w:szCs w:val="20"/>
          <w:rtl/>
        </w:rPr>
        <w:footnoteRef/>
      </w:r>
      <w:r>
        <w:rPr>
          <w:sz w:val="20"/>
          <w:szCs w:val="20"/>
          <w:rtl/>
        </w:rPr>
        <w:t>. הערה 53 לעיל – עמ׳ 97.</w:t>
      </w:r>
    </w:p>
  </w:footnote>
  <w:footnote w:id="4471">
    <w:p w14:paraId="63915D44" w14:textId="77777777" w:rsidR="00AB3647" w:rsidRDefault="00000000">
      <w:pPr>
        <w:spacing w:after="0" w:before="0"/>
        <w:jc w:val="both"/>
      </w:pPr>
      <w:r>
        <w:rPr>
          <w:sz w:val="20"/>
          <w:szCs w:val="20"/>
          <w:rtl/>
        </w:rPr>
        <w:footnoteRef/>
      </w:r>
      <w:r>
        <w:rPr>
          <w:sz w:val="20"/>
          <w:szCs w:val="20"/>
          <w:rtl/>
        </w:rPr>
        <w:t>. עמ׳ 331.</w:t>
      </w:r>
    </w:p>
  </w:footnote>
  <w:footnote w:id="4472">
    <w:p w14:paraId="5AB3EA05" w14:textId="77777777" w:rsidR="00AB3647" w:rsidRDefault="00000000">
      <w:pPr>
        <w:spacing w:after="0" w:before="0"/>
        <w:jc w:val="both"/>
      </w:pPr>
      <w:r>
        <w:rPr>
          <w:sz w:val="20"/>
          <w:szCs w:val="20"/>
          <w:rtl/>
        </w:rPr>
        <w:footnoteRef/>
      </w:r>
      <w:r>
        <w:rPr>
          <w:sz w:val="20"/>
          <w:szCs w:val="20"/>
          <w:rtl/>
        </w:rPr>
        <w:t xml:space="preserve">. המאמר המגלה זאת נכתב </w:t>
      </w:r>
      <w:proofErr w:type="spellStart"/>
      <w:r>
        <w:rPr>
          <w:sz w:val="20"/>
          <w:szCs w:val="20"/>
          <w:rtl/>
        </w:rPr>
        <w:t>בתשל״ה</w:t>
      </w:r>
      <w:proofErr w:type="spellEnd"/>
      <w:r>
        <w:rPr>
          <w:sz w:val="20"/>
          <w:szCs w:val="20"/>
          <w:rtl/>
        </w:rPr>
        <w:t>. מסתבר שהספרייה עדיין בפטרבורג בשעה זו.</w:t>
      </w:r>
    </w:p>
  </w:footnote>
  <w:footnote w:id="4473">
    <w:p w14:paraId="4325A65F" w14:textId="77777777" w:rsidR="00AB3647" w:rsidRDefault="00000000">
      <w:pPr>
        <w:spacing w:after="0" w:before="0"/>
        <w:jc w:val="both"/>
      </w:pPr>
      <w:r>
        <w:rPr>
          <w:rStyle w:val="a5"/>
          <w:vertAlign w:val="superscript"/>
          <w:rtl/>
        </w:rPr>
        <w:footnoteRef/>
      </w:r>
      <w:r>
        <w:rPr>
          <w:sz w:val="20"/>
          <w:szCs w:val="20"/>
        </w:rPr>
        <w:t xml:space="preserve"> </w:t>
      </w:r>
      <w:r>
        <w:rPr>
          <w:rStyle w:val="a5"/>
          <w:sz w:val="20"/>
          <w:szCs w:val="20"/>
          <w:vertAlign w:val="baseline"/>
          <w:rtl/>
        </w:rPr>
        <w:t/>
      </w:r>
      <w:r>
        <w:rPr>
          <w:rFonts w:ascii="David" w:eastAsia="David" w:hAnsi="David" w:cs="David"/>
          <w:sz w:val="20"/>
          <w:szCs w:val="20"/>
          <w:rtl/>
        </w:rPr>
        <w:t xml:space="preserve"/>
      </w:r>
      <w:r>
        <w:rPr>
          <w:b/>
          <w:sz w:val="20"/>
          <w:szCs w:val="20"/>
          <w:rtl/>
        </w:rPr>
        <w:t xml:space="preserve">הערת המתרגם: </w:t>
      </w:r>
      <w:r>
        <w:rPr>
          <w:sz w:val="20"/>
          <w:szCs w:val="20"/>
          <w:rtl/>
        </w:rPr>
        <w:t xml:space="preserve">במקור “5635 (1975)” – שתי השנים אינן תואמות זו לזו. נראה שהכוונה </w:t>
      </w:r>
      <w:proofErr w:type="spellStart"/>
      <w:r>
        <w:rPr>
          <w:sz w:val="20"/>
          <w:szCs w:val="20"/>
          <w:rtl/>
        </w:rPr>
        <w:t>לתשל״ה</w:t>
      </w:r>
      <w:proofErr w:type="spellEnd"/>
      <w:r>
        <w:rPr>
          <w:sz w:val="20"/>
          <w:szCs w:val="20"/>
          <w:rtl/>
        </w:rPr>
        <w:t xml:space="preserve"> (1975), שנת פרסומו של כרך א של “מינסק עיר ואם”, ולא לשנת מכירת הספרייה; לפיכך כתבתי תשל״ה.</w:t>
      </w:r>
    </w:p>
  </w:footnote>
  <w:footnote w:id="4474">
    <w:p w14:paraId="166C5B36" w14:textId="77777777" w:rsidR="00AB3647" w:rsidRDefault="00000000">
      <w:pPr>
        <w:spacing w:after="0" w:before="0"/>
        <w:jc w:val="both"/>
      </w:pPr>
      <w:r>
        <w:rPr>
          <w:sz w:val="20"/>
          <w:szCs w:val="20"/>
          <w:rtl/>
        </w:rPr>
        <w:footnoteRef/>
      </w:r>
      <w:r>
        <w:rPr>
          <w:sz w:val="20"/>
          <w:szCs w:val="20"/>
          <w:rtl/>
        </w:rPr>
        <w:t>. השווה “מינסק עיר ואם א”, עמ׳ 643.</w:t>
      </w:r>
    </w:p>
  </w:footnote>
  <w:footnote w:id="4475">
    <w:p w14:paraId="55F3F22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1, הערה 87.</w:t>
      </w:r>
    </w:p>
  </w:footnote>
  <w:footnote w:id="4476">
    <w:p w14:paraId="0A9D52E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הערה 7.</w:t>
      </w:r>
    </w:p>
  </w:footnote>
  <w:footnote w:id="4477">
    <w:p w14:paraId="5081489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ב־7 בדצמבר 1987.</w:t>
      </w:r>
    </w:p>
  </w:footnote>
  <w:footnote w:id="4478">
    <w:p w14:paraId="0ACBCF2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פרק 1, הערה 73 – על בראשית ג, </w:t>
      </w:r>
      <w:proofErr w:type="spellStart"/>
      <w:r>
        <w:rPr>
          <w:sz w:val="20"/>
          <w:szCs w:val="20"/>
          <w:rtl/>
        </w:rPr>
        <w:t>יט</w:t>
      </w:r>
      <w:proofErr w:type="spellEnd"/>
      <w:r>
        <w:rPr>
          <w:sz w:val="20"/>
          <w:szCs w:val="20"/>
          <w:rtl/>
        </w:rPr>
        <w:t>.</w:t>
      </w:r>
    </w:p>
  </w:footnote>
  <w:footnote w:id="4479">
    <w:p w14:paraId="47D711B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גם עיין במדבר רבה, ריש פרשה </w:t>
      </w:r>
      <w:proofErr w:type="spellStart"/>
      <w:r>
        <w:rPr>
          <w:sz w:val="20"/>
          <w:szCs w:val="20"/>
          <w:rtl/>
        </w:rPr>
        <w:t>יב</w:t>
      </w:r>
      <w:proofErr w:type="spellEnd"/>
      <w:r>
        <w:rPr>
          <w:sz w:val="20"/>
          <w:szCs w:val="20"/>
          <w:rtl/>
        </w:rPr>
        <w:t xml:space="preserve"> וז״ל ‘היה משה עומד והיה הדיבור בא לתוך אזנו כמין סילון ולא היה אחד מישראל שומע אבל כשהיו פניו מאדימות היו יודעים שהדיבור בא אצלו’ עכ״ל, ואולי ראו חז״ל תגובה גופנית כעין זאת להשראה של מחשבה </w:t>
      </w:r>
      <w:proofErr w:type="spellStart"/>
      <w:r>
        <w:rPr>
          <w:sz w:val="20"/>
          <w:szCs w:val="20"/>
          <w:rtl/>
        </w:rPr>
        <w:t>עילאה</w:t>
      </w:r>
      <w:proofErr w:type="spellEnd"/>
      <w:r>
        <w:rPr>
          <w:sz w:val="20"/>
          <w:szCs w:val="20"/>
          <w:rtl/>
        </w:rPr>
        <w:t xml:space="preserve"> באנשי דורם.</w:t>
      </w:r>
    </w:p>
  </w:footnote>
  <w:footnote w:id="4480">
    <w:p w14:paraId="20D0623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אך השווה עמ׳ </w:t>
      </w:r>
      <w:r>
        <w:rPr>
          <w:rStyle w:val="a5"/>
          <w:sz w:val="20"/>
          <w:szCs w:val="20"/>
          <w:vertAlign w:val="baseline"/>
          <w:rtl/>
        </w:rPr>
        <w:fldChar w:fldCharType="begin" w:dirty="true"/>
      </w:r>
      <w:r>
        <w:rPr>
          <w:rStyle w:val="a5"/>
          <w:sz w:val="20"/>
          <w:szCs w:val="20"/>
          <w:vertAlign w:val="baseline"/>
          <w:rtl/>
        </w:rPr>
        <w:instrText xml:space="preserve"> PAGEREF pr_b_2262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w:t>
      </w:r>
    </w:p>
  </w:footnote>
  <w:footnote w:id="4481">
    <w:p w14:paraId="7553C62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גם פרק 4, סוף הפסקה הרביעית של נספח ט.</w:t>
      </w:r>
    </w:p>
  </w:footnote>
  <w:footnote w:id="4482">
    <w:p w14:paraId="29E64DB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עבודה זרה </w:t>
      </w:r>
      <w:proofErr w:type="spellStart"/>
      <w:r>
        <w:rPr>
          <w:sz w:val="20"/>
          <w:szCs w:val="20"/>
          <w:rtl/>
        </w:rPr>
        <w:t>יט</w:t>
      </w:r>
      <w:proofErr w:type="spellEnd"/>
      <w:r>
        <w:rPr>
          <w:sz w:val="20"/>
          <w:szCs w:val="20"/>
          <w:rtl/>
        </w:rPr>
        <w:t xml:space="preserve"> ע״א.</w:t>
      </w:r>
    </w:p>
  </w:footnote>
  <w:footnote w:id="4483">
    <w:p w14:paraId="033F52B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43.</w:t>
      </w:r>
    </w:p>
  </w:footnote>
  <w:footnote w:id="4484">
    <w:p w14:paraId="2F5456E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3, נספח ב.</w:t>
      </w:r>
    </w:p>
  </w:footnote>
  <w:footnote w:id="4485">
    <w:p w14:paraId="51958B8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הערה 93.</w:t>
      </w:r>
    </w:p>
  </w:footnote>
  <w:footnote w:id="4486">
    <w:p w14:paraId="71173ED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13 לעיל.</w:t>
      </w:r>
    </w:p>
  </w:footnote>
  <w:footnote w:id="4487">
    <w:p w14:paraId="23D3AFA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3, נספח ח.</w:t>
      </w:r>
    </w:p>
  </w:footnote>
  <w:footnote w:id="4488">
    <w:p w14:paraId="0B066DD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יצחק </w:t>
      </w:r>
      <w:proofErr w:type="spellStart"/>
      <w:r>
        <w:rPr>
          <w:sz w:val="20"/>
          <w:szCs w:val="20"/>
          <w:rtl/>
        </w:rPr>
        <w:t>שורין</w:t>
      </w:r>
      <w:proofErr w:type="spellEnd"/>
      <w:r>
        <w:rPr>
          <w:sz w:val="20"/>
          <w:szCs w:val="20"/>
          <w:rtl/>
        </w:rPr>
        <w:t>, נכדו, רואיין ב־22 באוגוסט 1991. השווה גם הערה 39 להלן.</w:t>
      </w:r>
    </w:p>
  </w:footnote>
  <w:footnote w:id="4489">
    <w:p w14:paraId="10AF9DB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2, הערה 93.</w:t>
      </w:r>
    </w:p>
  </w:footnote>
  <w:footnote w:id="4490">
    <w:p w14:paraId="3C42C84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סוף פרק 2, והערה 106 שם.</w:t>
      </w:r>
    </w:p>
  </w:footnote>
  <w:footnote w:id="4491">
    <w:p w14:paraId="69093DB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מחבר “דברי יחזקאל” – השווה כרך 2.</w:t>
      </w:r>
    </w:p>
  </w:footnote>
  <w:footnote w:id="4492">
    <w:p w14:paraId="2291F9C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2.</w:t>
      </w:r>
    </w:p>
  </w:footnote>
  <w:footnote w:id="4493">
    <w:p w14:paraId="55287F7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עמ׳ </w:t>
      </w:r>
      <w:r>
        <w:rPr>
          <w:rStyle w:val="a5"/>
          <w:sz w:val="20"/>
          <w:szCs w:val="20"/>
          <w:vertAlign w:val="baseline"/>
          <w:rtl/>
        </w:rPr>
        <w:fldChar w:fldCharType="begin" w:dirty="true"/>
      </w:r>
      <w:r>
        <w:rPr>
          <w:rStyle w:val="a5"/>
          <w:sz w:val="20"/>
          <w:szCs w:val="20"/>
          <w:vertAlign w:val="baseline"/>
          <w:rtl/>
        </w:rPr>
        <w:instrText xml:space="preserve"> PAGEREF pr_close_b_2966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 xml:space="preserve">, שם מצוטט הסבא כצופה שיחד עם ר׳ ירוחם </w:t>
      </w:r>
      <w:proofErr w:type="spellStart"/>
      <w:r>
        <w:rPr>
          <w:rStyle w:val="a5"/>
          <w:sz w:val="20"/>
          <w:szCs w:val="20"/>
          <w:vertAlign w:val="baseline"/>
          <w:rtl/>
        </w:rPr>
        <w:t>ליבוביץ</w:t>
      </w:r>
      <w:proofErr w:type="spellEnd"/>
      <w:r>
        <w:rPr>
          <w:rStyle w:val="a5"/>
          <w:sz w:val="20"/>
          <w:szCs w:val="20"/>
          <w:vertAlign w:val="baseline"/>
          <w:rtl/>
        </w:rPr>
        <w:t xml:space="preserve"> יבנה בנו “ישיבה מן המעלה הראשונה”</w:t>
      </w:r>
      <w:r>
        <w:rPr>
          <w:sz w:val="20"/>
          <w:szCs w:val="20"/>
          <w:rtl/>
        </w:rPr>
        <w:t>.</w:t>
      </w:r>
    </w:p>
  </w:footnote>
  <w:footnote w:id="4494">
    <w:p w14:paraId="0DAEE43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ב־31 בדצמבר 1986.</w:t>
      </w:r>
    </w:p>
  </w:footnote>
  <w:footnote w:id="4495">
    <w:p w14:paraId="09756EE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1, הערה 8: גם </w:t>
      </w:r>
      <w:proofErr w:type="spellStart"/>
      <w:r>
        <w:rPr>
          <w:sz w:val="20"/>
          <w:szCs w:val="20"/>
          <w:rtl/>
        </w:rPr>
        <w:t>הסולובייצ׳יקים</w:t>
      </w:r>
      <w:proofErr w:type="spellEnd"/>
      <w:r>
        <w:rPr>
          <w:sz w:val="20"/>
          <w:szCs w:val="20"/>
          <w:rtl/>
        </w:rPr>
        <w:t xml:space="preserve"> היו מבית הרב דרך בת זו, אך מנישואיה הראשונים, </w:t>
      </w:r>
      <w:proofErr w:type="spellStart"/>
      <w:r>
        <w:rPr>
          <w:sz w:val="20"/>
          <w:szCs w:val="20"/>
          <w:rtl/>
        </w:rPr>
        <w:t>לר</w:t>
      </w:r>
      <w:proofErr w:type="spellEnd"/>
      <w:r>
        <w:rPr>
          <w:sz w:val="20"/>
          <w:szCs w:val="20"/>
          <w:rtl/>
        </w:rPr>
        <w:t xml:space="preserve">׳ יוסף </w:t>
      </w:r>
      <w:proofErr w:type="spellStart"/>
      <w:r>
        <w:rPr>
          <w:sz w:val="20"/>
          <w:szCs w:val="20"/>
          <w:rtl/>
        </w:rPr>
        <w:t>סולובייצ׳יק</w:t>
      </w:r>
      <w:proofErr w:type="spellEnd"/>
      <w:r>
        <w:rPr>
          <w:sz w:val="20"/>
          <w:szCs w:val="20"/>
          <w:rtl/>
        </w:rPr>
        <w:t xml:space="preserve"> (בנו של ר׳ משה </w:t>
      </w:r>
      <w:proofErr w:type="spellStart"/>
      <w:r>
        <w:rPr>
          <w:sz w:val="20"/>
          <w:szCs w:val="20"/>
          <w:rtl/>
        </w:rPr>
        <w:t>סולובייצ׳יק</w:t>
      </w:r>
      <w:proofErr w:type="spellEnd"/>
      <w:r>
        <w:rPr>
          <w:sz w:val="20"/>
          <w:szCs w:val="20"/>
          <w:rtl/>
        </w:rPr>
        <w:t>, רבה של קובנה). ראה “הראשון” (הפסקה השנייה של נספח ב להלן), עמ׳ 42, והערה 75 שם.</w:t>
      </w:r>
    </w:p>
  </w:footnote>
  <w:footnote w:id="4496">
    <w:p w14:paraId="792CE08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189, הערה 294.</w:t>
      </w:r>
    </w:p>
  </w:footnote>
  <w:footnote w:id="4497">
    <w:p w14:paraId="49AF370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השנייה של נספח ב להלן – עמ׳ 53.</w:t>
      </w:r>
    </w:p>
  </w:footnote>
  <w:footnote w:id="4498">
    <w:p w14:paraId="61DEA4D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“פון </w:t>
      </w:r>
      <w:proofErr w:type="spellStart"/>
      <w:r>
        <w:rPr>
          <w:sz w:val="20"/>
          <w:szCs w:val="20"/>
          <w:rtl/>
        </w:rPr>
        <w:t>וואלאזין</w:t>
      </w:r>
      <w:proofErr w:type="spellEnd"/>
      <w:r>
        <w:rPr>
          <w:sz w:val="20"/>
          <w:szCs w:val="20"/>
          <w:rtl/>
        </w:rPr>
        <w:t xml:space="preserve"> </w:t>
      </w:r>
      <w:proofErr w:type="spellStart"/>
      <w:r>
        <w:rPr>
          <w:sz w:val="20"/>
          <w:szCs w:val="20"/>
          <w:rtl/>
        </w:rPr>
        <w:t>ביז</w:t>
      </w:r>
      <w:proofErr w:type="spellEnd"/>
      <w:r>
        <w:rPr>
          <w:sz w:val="20"/>
          <w:szCs w:val="20"/>
          <w:rtl/>
        </w:rPr>
        <w:t xml:space="preserve"> ירושלים” [</w:t>
      </w:r>
      <w:proofErr w:type="spellStart"/>
      <w:r>
        <w:rPr>
          <w:sz w:val="20"/>
          <w:szCs w:val="20"/>
          <w:rtl/>
        </w:rPr>
        <w:t>מוולוז׳ין</w:t>
      </w:r>
      <w:proofErr w:type="spellEnd"/>
      <w:r>
        <w:rPr>
          <w:sz w:val="20"/>
          <w:szCs w:val="20"/>
          <w:rtl/>
        </w:rPr>
        <w:t xml:space="preserve"> עד ירושלים] (הפסקה השישית של נספח ב להלן), כרך א, עמ׳ 233, מחלק את התפקידים כמו יעקב מארק ומשמיט לגמרי את תשובת המחץ.</w:t>
      </w:r>
    </w:p>
  </w:footnote>
  <w:footnote w:id="4499">
    <w:p w14:paraId="3566A6C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188–189.</w:t>
      </w:r>
    </w:p>
  </w:footnote>
  <w:footnote w:id="4500">
    <w:p w14:paraId="3E18A52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ההערה הקודמת. השווה גם “הראשון”, עמ׳ 132, הערה 198.</w:t>
      </w:r>
    </w:p>
  </w:footnote>
  <w:footnote w:id="4501">
    <w:p w14:paraId="52850EA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שתי ההערות הקודמות.</w:t>
      </w:r>
    </w:p>
  </w:footnote>
  <w:footnote w:id="4502">
    <w:p w14:paraId="5590FB8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אחד התלמידים, ר׳ </w:t>
      </w:r>
      <w:proofErr w:type="spellStart"/>
      <w:r>
        <w:rPr>
          <w:sz w:val="20"/>
          <w:szCs w:val="20"/>
          <w:rtl/>
        </w:rPr>
        <w:t>איסר־יהודה</w:t>
      </w:r>
      <w:proofErr w:type="spellEnd"/>
      <w:r>
        <w:rPr>
          <w:sz w:val="20"/>
          <w:szCs w:val="20"/>
          <w:rtl/>
        </w:rPr>
        <w:t xml:space="preserve"> </w:t>
      </w:r>
      <w:proofErr w:type="spellStart"/>
      <w:r>
        <w:rPr>
          <w:sz w:val="20"/>
          <w:szCs w:val="20"/>
          <w:rtl/>
        </w:rPr>
        <w:t>אונטרמן</w:t>
      </w:r>
      <w:proofErr w:type="spellEnd"/>
      <w:r>
        <w:rPr>
          <w:sz w:val="20"/>
          <w:szCs w:val="20"/>
          <w:rtl/>
        </w:rPr>
        <w:t xml:space="preserve">, בהקדמה לספרו “שבט מיהודה” (הפסקה השנייה של נספח ב להלן), ובמאמר </w:t>
      </w:r>
      <w:proofErr w:type="spellStart"/>
      <w:r>
        <w:rPr>
          <w:sz w:val="20"/>
          <w:szCs w:val="20"/>
          <w:rtl/>
        </w:rPr>
        <w:t>ב“ספר</w:t>
      </w:r>
      <w:proofErr w:type="spellEnd"/>
      <w:r>
        <w:rPr>
          <w:sz w:val="20"/>
          <w:szCs w:val="20"/>
          <w:rtl/>
        </w:rPr>
        <w:t xml:space="preserve"> היובל” (שם, פרק 3, נספח ט), עמ׳ </w:t>
      </w:r>
      <w:proofErr w:type="spellStart"/>
      <w:r>
        <w:rPr>
          <w:sz w:val="20"/>
          <w:szCs w:val="20"/>
          <w:rtl/>
        </w:rPr>
        <w:t>יב</w:t>
      </w:r>
      <w:proofErr w:type="spellEnd"/>
      <w:r>
        <w:rPr>
          <w:sz w:val="20"/>
          <w:szCs w:val="20"/>
          <w:rtl/>
        </w:rPr>
        <w:t>.</w:t>
      </w:r>
    </w:p>
  </w:footnote>
  <w:footnote w:id="4503">
    <w:p w14:paraId="360F685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3, הערה 11.</w:t>
      </w:r>
    </w:p>
  </w:footnote>
  <w:footnote w:id="4504">
    <w:p w14:paraId="08222E0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כאמור בהערה 22 לעיל.</w:t>
      </w:r>
    </w:p>
  </w:footnote>
  <w:footnote w:id="4505">
    <w:p w14:paraId="224C1E9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משלי ג, </w:t>
      </w:r>
      <w:proofErr w:type="spellStart"/>
      <w:r>
        <w:rPr>
          <w:sz w:val="20"/>
          <w:szCs w:val="20"/>
          <w:rtl/>
        </w:rPr>
        <w:t>יח</w:t>
      </w:r>
      <w:proofErr w:type="spellEnd"/>
      <w:r>
        <w:rPr>
          <w:sz w:val="20"/>
          <w:szCs w:val="20"/>
          <w:rtl/>
        </w:rPr>
        <w:t>.</w:t>
      </w:r>
    </w:p>
  </w:footnote>
  <w:footnote w:id="4506">
    <w:p w14:paraId="5D3DE66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הערה 12 לעיל, ופרק 4, סוף הפסקה הרביעית של נספח ט, לפי זיכרונות הרב </w:t>
      </w:r>
      <w:proofErr w:type="spellStart"/>
      <w:r>
        <w:rPr>
          <w:sz w:val="20"/>
          <w:szCs w:val="20"/>
          <w:rtl/>
        </w:rPr>
        <w:t>אונטרמן</w:t>
      </w:r>
      <w:proofErr w:type="spellEnd"/>
      <w:r>
        <w:rPr>
          <w:sz w:val="20"/>
          <w:szCs w:val="20"/>
          <w:rtl/>
        </w:rPr>
        <w:t xml:space="preserve"> שם.</w:t>
      </w:r>
    </w:p>
  </w:footnote>
  <w:footnote w:id="4507">
    <w:p w14:paraId="2ABD316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כרך 2, שבו יובאו פרטים נוספים על ר׳ </w:t>
      </w:r>
      <w:proofErr w:type="spellStart"/>
      <w:r>
        <w:rPr>
          <w:sz w:val="20"/>
          <w:szCs w:val="20"/>
          <w:rtl/>
        </w:rPr>
        <w:t>זלמן־סנדר</w:t>
      </w:r>
      <w:proofErr w:type="spellEnd"/>
      <w:r>
        <w:rPr>
          <w:sz w:val="20"/>
          <w:szCs w:val="20"/>
          <w:rtl/>
        </w:rPr>
        <w:t xml:space="preserve">. למרבה ההפתעה, בזמן פולמוס המוסר הוא חתם על מכתב התומך בכרוז “למען האמת” בעד המוסר, כמובא </w:t>
      </w:r>
      <w:proofErr w:type="spellStart"/>
      <w:r>
        <w:rPr>
          <w:sz w:val="20"/>
          <w:szCs w:val="20"/>
          <w:rtl/>
        </w:rPr>
        <w:t>ב“פולמוס</w:t>
      </w:r>
      <w:proofErr w:type="spellEnd"/>
      <w:r>
        <w:rPr>
          <w:sz w:val="20"/>
          <w:szCs w:val="20"/>
          <w:rtl/>
        </w:rPr>
        <w:t xml:space="preserve"> המוסר” (שם, פרק 3, נספח ו), עמ׳ 147.</w:t>
      </w:r>
    </w:p>
  </w:footnote>
  <w:footnote w:id="4508">
    <w:p w14:paraId="371CD51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מתוך מאמר ביוגרפי </w:t>
      </w:r>
      <w:proofErr w:type="spellStart"/>
      <w:r>
        <w:rPr>
          <w:sz w:val="20"/>
          <w:szCs w:val="20"/>
          <w:rtl/>
        </w:rPr>
        <w:t>ב“מורי</w:t>
      </w:r>
      <w:proofErr w:type="spellEnd"/>
      <w:r>
        <w:rPr>
          <w:sz w:val="20"/>
          <w:szCs w:val="20"/>
          <w:rtl/>
        </w:rPr>
        <w:t xml:space="preserve"> האומה”, מאת הרב ישראל </w:t>
      </w:r>
      <w:proofErr w:type="spellStart"/>
      <w:r>
        <w:rPr>
          <w:sz w:val="20"/>
          <w:szCs w:val="20"/>
          <w:rtl/>
        </w:rPr>
        <w:t>שורין</w:t>
      </w:r>
      <w:proofErr w:type="spellEnd"/>
      <w:r>
        <w:rPr>
          <w:sz w:val="20"/>
          <w:szCs w:val="20"/>
          <w:rtl/>
        </w:rPr>
        <w:t>, כרך ה (הפסקה השנייה של נספח ב להלן), עמ׳ 88–91.</w:t>
      </w:r>
    </w:p>
  </w:footnote>
  <w:footnote w:id="4509">
    <w:p w14:paraId="6826E42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3, הערה 17.</w:t>
      </w:r>
    </w:p>
  </w:footnote>
  <w:footnote w:id="4510">
    <w:p w14:paraId="370BE3D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22 באפריל 2001.</w:t>
      </w:r>
    </w:p>
  </w:footnote>
  <w:footnote w:id="4511">
    <w:p w14:paraId="5E2FAA7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 נתן שטרן שמע זאת ומסרו לי ב־4 באוגוסט 1992.</w:t>
      </w:r>
    </w:p>
  </w:footnote>
  <w:footnote w:id="4512">
    <w:p w14:paraId="65AC1D8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4, הפסקה הרביעית של נספח ט. השווה גם פרק 3, תחילת הפסקה הרביעית של נספח </w:t>
      </w:r>
      <w:proofErr w:type="spellStart"/>
      <w:r>
        <w:rPr>
          <w:sz w:val="20"/>
          <w:szCs w:val="20"/>
          <w:rtl/>
        </w:rPr>
        <w:t>יח</w:t>
      </w:r>
      <w:proofErr w:type="spellEnd"/>
      <w:r>
        <w:rPr>
          <w:sz w:val="20"/>
          <w:szCs w:val="20"/>
          <w:rtl/>
        </w:rPr>
        <w:t xml:space="preserve">, כיצד ראה ר׳ </w:t>
      </w:r>
      <w:proofErr w:type="spellStart"/>
      <w:r>
        <w:rPr>
          <w:sz w:val="20"/>
          <w:szCs w:val="20"/>
          <w:rtl/>
        </w:rPr>
        <w:t>חיים־עוזר</w:t>
      </w:r>
      <w:proofErr w:type="spellEnd"/>
      <w:r>
        <w:rPr>
          <w:sz w:val="20"/>
          <w:szCs w:val="20"/>
          <w:rtl/>
        </w:rPr>
        <w:t xml:space="preserve">, שהיה </w:t>
      </w:r>
      <w:proofErr w:type="spellStart"/>
      <w:r>
        <w:rPr>
          <w:sz w:val="20"/>
          <w:szCs w:val="20"/>
          <w:rtl/>
        </w:rPr>
        <w:t>בוולוז׳ין</w:t>
      </w:r>
      <w:proofErr w:type="spellEnd"/>
      <w:r>
        <w:rPr>
          <w:sz w:val="20"/>
          <w:szCs w:val="20"/>
          <w:rtl/>
        </w:rPr>
        <w:t xml:space="preserve"> בערך באותו זמן כר׳ שמעון, את ר׳ חיים, המבוגר ממנו בעשר שנים.</w:t>
      </w:r>
    </w:p>
  </w:footnote>
  <w:footnote w:id="4513">
    <w:p w14:paraId="16F6A78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השנייה של נספח ב להלן – עמ׳ 334.</w:t>
      </w:r>
    </w:p>
  </w:footnote>
  <w:footnote w:id="4514">
    <w:p w14:paraId="0F84CE5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20 לעיל.</w:t>
      </w:r>
    </w:p>
  </w:footnote>
  <w:footnote w:id="4515">
    <w:p w14:paraId="74EBB3B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4, הפסקה הרביעית של נספח ט – עמ׳ 114.</w:t>
      </w:r>
    </w:p>
  </w:footnote>
  <w:footnote w:id="4516">
    <w:p w14:paraId="115A7FD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ב־4 באוקטובר 1991.</w:t>
      </w:r>
    </w:p>
  </w:footnote>
  <w:footnote w:id="4517">
    <w:p w14:paraId="57E67D5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כץ, “תנועת המוסר”, כרך ב, עמ׳ 334, המונה שבעה.</w:t>
      </w:r>
    </w:p>
  </w:footnote>
  <w:footnote w:id="4518">
    <w:p w14:paraId="4064766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כרך 2, על תולדות ישיבת </w:t>
      </w:r>
      <w:proofErr w:type="spellStart"/>
      <w:r>
        <w:rPr>
          <w:sz w:val="20"/>
          <w:szCs w:val="20"/>
          <w:rtl/>
        </w:rPr>
        <w:t>לומז׳ה</w:t>
      </w:r>
      <w:proofErr w:type="spellEnd"/>
      <w:r>
        <w:rPr>
          <w:sz w:val="20"/>
          <w:szCs w:val="20"/>
          <w:rtl/>
        </w:rPr>
        <w:t>.</w:t>
      </w:r>
    </w:p>
  </w:footnote>
  <w:footnote w:id="4519">
    <w:p w14:paraId="692060C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מאמר מאת א. בר משה </w:t>
      </w:r>
      <w:proofErr w:type="spellStart"/>
      <w:r>
        <w:rPr>
          <w:sz w:val="20"/>
          <w:szCs w:val="20"/>
          <w:rtl/>
        </w:rPr>
        <w:t>ב“יתד</w:t>
      </w:r>
      <w:proofErr w:type="spellEnd"/>
      <w:r>
        <w:rPr>
          <w:sz w:val="20"/>
          <w:szCs w:val="20"/>
          <w:rtl/>
        </w:rPr>
        <w:t xml:space="preserve"> נאמן”, מוסף עש״ק פרשת </w:t>
      </w:r>
      <w:proofErr w:type="spellStart"/>
      <w:r>
        <w:rPr>
          <w:sz w:val="20"/>
          <w:szCs w:val="20"/>
          <w:rtl/>
        </w:rPr>
        <w:t>ויקהל־פרה</w:t>
      </w:r>
      <w:proofErr w:type="spellEnd"/>
      <w:r>
        <w:rPr>
          <w:sz w:val="20"/>
          <w:szCs w:val="20"/>
          <w:rtl/>
        </w:rPr>
        <w:t xml:space="preserve"> תשנ״ד, עמ׳ 8. ראה גם “אור יחזקאל” (בני ברק, תשל״ח), עמ׳ פג, שבו נזכר ר׳ </w:t>
      </w:r>
      <w:proofErr w:type="spellStart"/>
      <w:r>
        <w:rPr>
          <w:sz w:val="20"/>
          <w:szCs w:val="20"/>
          <w:rtl/>
        </w:rPr>
        <w:t>חצקל</w:t>
      </w:r>
      <w:proofErr w:type="spellEnd"/>
      <w:r>
        <w:rPr>
          <w:sz w:val="20"/>
          <w:szCs w:val="20"/>
          <w:rtl/>
        </w:rPr>
        <w:t xml:space="preserve"> בחוויה זו ‘מימי ילדותו’. אבי, בדבריו המצוטטים בהערה 58 להלן, לא כינה את הרב </w:t>
      </w:r>
      <w:proofErr w:type="spellStart"/>
      <w:r>
        <w:rPr>
          <w:sz w:val="20"/>
          <w:szCs w:val="20"/>
          <w:rtl/>
        </w:rPr>
        <w:t>דינובסקי</w:t>
      </w:r>
      <w:proofErr w:type="spellEnd"/>
      <w:r>
        <w:rPr>
          <w:sz w:val="20"/>
          <w:szCs w:val="20"/>
          <w:rtl/>
        </w:rPr>
        <w:t xml:space="preserve"> תלמיד ר׳ ישראל </w:t>
      </w:r>
      <w:proofErr w:type="spellStart"/>
      <w:r>
        <w:rPr>
          <w:sz w:val="20"/>
          <w:szCs w:val="20"/>
          <w:rtl/>
        </w:rPr>
        <w:t>סלנטר</w:t>
      </w:r>
      <w:proofErr w:type="spellEnd"/>
      <w:r>
        <w:rPr>
          <w:sz w:val="20"/>
          <w:szCs w:val="20"/>
          <w:rtl/>
        </w:rPr>
        <w:t>, אלא רק אמר עליו שראה את ר׳ ישראל. השווה גם הערה 32 להלן.</w:t>
      </w:r>
    </w:p>
  </w:footnote>
  <w:footnote w:id="4520">
    <w:p w14:paraId="1A2CC38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3, נספח ו – עמ׳ 29.</w:t>
      </w:r>
    </w:p>
  </w:footnote>
  <w:footnote w:id="4521">
    <w:p w14:paraId="4256C03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בשבת חול המועד סוכות תשנ״ב.</w:t>
      </w:r>
    </w:p>
  </w:footnote>
  <w:footnote w:id="4522">
    <w:p w14:paraId="1519604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פרק 3, הפסקה השלישית של נספח ד – עמ׳ </w:t>
      </w:r>
      <w:proofErr w:type="spellStart"/>
      <w:r>
        <w:rPr>
          <w:sz w:val="20"/>
          <w:szCs w:val="20"/>
          <w:rtl/>
        </w:rPr>
        <w:t>קמד</w:t>
      </w:r>
      <w:proofErr w:type="spellEnd"/>
      <w:r>
        <w:rPr>
          <w:sz w:val="20"/>
          <w:szCs w:val="20"/>
          <w:rtl/>
        </w:rPr>
        <w:t>–קנח.</w:t>
      </w:r>
    </w:p>
  </w:footnote>
  <w:footnote w:id="4523">
    <w:p w14:paraId="098ED97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3.1, פסקה 7.</w:t>
      </w:r>
    </w:p>
  </w:footnote>
  <w:footnote w:id="4524">
    <w:p w14:paraId="483945A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4.2, פסקה 7.</w:t>
      </w:r>
    </w:p>
  </w:footnote>
  <w:footnote w:id="4525">
    <w:p w14:paraId="583203F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ב־3 בינואר 1992.</w:t>
      </w:r>
    </w:p>
  </w:footnote>
  <w:footnote w:id="4526">
    <w:p w14:paraId="11CDFA1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אך השווה “עובדות והנהגות לבית </w:t>
      </w:r>
      <w:proofErr w:type="spellStart"/>
      <w:r>
        <w:rPr>
          <w:sz w:val="20"/>
          <w:szCs w:val="20"/>
          <w:rtl/>
        </w:rPr>
        <w:t>בריסק</w:t>
      </w:r>
      <w:proofErr w:type="spellEnd"/>
      <w:r>
        <w:rPr>
          <w:sz w:val="20"/>
          <w:szCs w:val="20"/>
          <w:rtl/>
        </w:rPr>
        <w:t xml:space="preserve">” (הפסקה הראשונה של נספח ב להלן), </w:t>
      </w:r>
      <w:proofErr w:type="spellStart"/>
      <w:r>
        <w:rPr>
          <w:sz w:val="20"/>
          <w:szCs w:val="20"/>
          <w:rtl/>
        </w:rPr>
        <w:t>ח״ב</w:t>
      </w:r>
      <w:proofErr w:type="spellEnd"/>
      <w:r>
        <w:rPr>
          <w:sz w:val="20"/>
          <w:szCs w:val="20"/>
          <w:rtl/>
        </w:rPr>
        <w:t xml:space="preserve">, עמ׳ </w:t>
      </w:r>
      <w:proofErr w:type="spellStart"/>
      <w:r>
        <w:rPr>
          <w:sz w:val="20"/>
          <w:szCs w:val="20"/>
          <w:rtl/>
        </w:rPr>
        <w:t>קעה</w:t>
      </w:r>
      <w:proofErr w:type="spellEnd"/>
      <w:r>
        <w:rPr>
          <w:sz w:val="20"/>
          <w:szCs w:val="20"/>
          <w:rtl/>
        </w:rPr>
        <w:t xml:space="preserve">: ר׳ משה־מאיר פראג מוסר שם בשם ר׳ יצחק־זאב </w:t>
      </w:r>
      <w:proofErr w:type="spellStart"/>
      <w:r>
        <w:rPr>
          <w:sz w:val="20"/>
          <w:szCs w:val="20"/>
          <w:rtl/>
        </w:rPr>
        <w:t>סולובייצ׳יק</w:t>
      </w:r>
      <w:proofErr w:type="spellEnd"/>
      <w:r>
        <w:rPr>
          <w:sz w:val="20"/>
          <w:szCs w:val="20"/>
          <w:rtl/>
        </w:rPr>
        <w:t xml:space="preserve"> שר׳ חיים יעץ זאת </w:t>
      </w:r>
      <w:proofErr w:type="spellStart"/>
      <w:r>
        <w:rPr>
          <w:sz w:val="20"/>
          <w:szCs w:val="20"/>
          <w:rtl/>
        </w:rPr>
        <w:t>לר</w:t>
      </w:r>
      <w:proofErr w:type="spellEnd"/>
      <w:r>
        <w:rPr>
          <w:sz w:val="20"/>
          <w:szCs w:val="20"/>
          <w:rtl/>
        </w:rPr>
        <w:t xml:space="preserve">׳ </w:t>
      </w:r>
      <w:proofErr w:type="spellStart"/>
      <w:r>
        <w:rPr>
          <w:sz w:val="20"/>
          <w:szCs w:val="20"/>
          <w:rtl/>
        </w:rPr>
        <w:t>זלמן־סנדר</w:t>
      </w:r>
      <w:proofErr w:type="spellEnd"/>
      <w:r>
        <w:rPr>
          <w:sz w:val="20"/>
          <w:szCs w:val="20"/>
          <w:rtl/>
        </w:rPr>
        <w:t xml:space="preserve"> מפני שהיה שם “בחור אחד מהמזרחי שהפיץ את דעותיו בין תלמידי הישיבה”. עוד נאמר שם שבישיבה היו ארבע מאות תלמידים – המספר נראה מוגזם – ושר׳ </w:t>
      </w:r>
      <w:proofErr w:type="spellStart"/>
      <w:r>
        <w:rPr>
          <w:sz w:val="20"/>
          <w:szCs w:val="20"/>
          <w:rtl/>
        </w:rPr>
        <w:t>זלמן־סנדר</w:t>
      </w:r>
      <w:proofErr w:type="spellEnd"/>
      <w:r>
        <w:rPr>
          <w:sz w:val="20"/>
          <w:szCs w:val="20"/>
          <w:rtl/>
        </w:rPr>
        <w:t xml:space="preserve"> לקח עמו </w:t>
      </w:r>
      <w:proofErr w:type="spellStart"/>
      <w:r>
        <w:rPr>
          <w:sz w:val="20"/>
          <w:szCs w:val="20"/>
          <w:rtl/>
        </w:rPr>
        <w:t>לקרינק</w:t>
      </w:r>
      <w:proofErr w:type="spellEnd"/>
      <w:r>
        <w:rPr>
          <w:sz w:val="20"/>
          <w:szCs w:val="20"/>
          <w:rtl/>
        </w:rPr>
        <w:t xml:space="preserve"> רק ארבעים מהם.</w:t>
      </w:r>
    </w:p>
  </w:footnote>
  <w:footnote w:id="4527">
    <w:p w14:paraId="25FFE70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הראשונה של נספח ב להלן – עמ׳ 369.</w:t>
      </w:r>
    </w:p>
  </w:footnote>
  <w:footnote w:id="4528">
    <w:p w14:paraId="654F950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24 בפרק זה – עמ׳ 13.</w:t>
      </w:r>
    </w:p>
  </w:footnote>
  <w:footnote w:id="4529">
    <w:p w14:paraId="3914BC9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18.</w:t>
      </w:r>
    </w:p>
  </w:footnote>
  <w:footnote w:id="4530">
    <w:p w14:paraId="6B944D5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“ספר היובל”, עמ׳ 13.</w:t>
      </w:r>
    </w:p>
  </w:footnote>
  <w:footnote w:id="4531">
    <w:p w14:paraId="3367E3F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4532">
    <w:p w14:paraId="33A0463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2, נספח ו – עמ׳ 58.</w:t>
      </w:r>
    </w:p>
  </w:footnote>
  <w:footnote w:id="4533">
    <w:p w14:paraId="26B3095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17–18.</w:t>
      </w:r>
    </w:p>
  </w:footnote>
  <w:footnote w:id="4534">
    <w:p w14:paraId="3D7957F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13.</w:t>
      </w:r>
    </w:p>
  </w:footnote>
  <w:footnote w:id="4535">
    <w:p w14:paraId="733196D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2 באוקטובר 1991.</w:t>
      </w:r>
    </w:p>
  </w:footnote>
  <w:footnote w:id="4536">
    <w:p w14:paraId="5075BC8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השנייה של נספח ב להלן – עמ׳ 72.</w:t>
      </w:r>
    </w:p>
  </w:footnote>
  <w:footnote w:id="4537">
    <w:p w14:paraId="4FCF81C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3, הפסקה החמישית של נספח </w:t>
      </w:r>
      <w:proofErr w:type="spellStart"/>
      <w:r>
        <w:rPr>
          <w:sz w:val="20"/>
          <w:szCs w:val="20"/>
          <w:rtl/>
        </w:rPr>
        <w:t>כו</w:t>
      </w:r>
      <w:proofErr w:type="spellEnd"/>
      <w:r>
        <w:rPr>
          <w:sz w:val="20"/>
          <w:szCs w:val="20"/>
          <w:rtl/>
        </w:rPr>
        <w:t>.</w:t>
      </w:r>
    </w:p>
  </w:footnote>
  <w:footnote w:id="4538">
    <w:p w14:paraId="66B39D1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הערה 14.</w:t>
      </w:r>
    </w:p>
  </w:footnote>
  <w:footnote w:id="4539">
    <w:p w14:paraId="139E72B8"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rFonts w:ascii="David" w:eastAsia="David" w:hAnsi="David" w:cs="David"/>
          <w:sz w:val="20"/>
          <w:szCs w:val="20"/>
          <w:rtl/>
        </w:rPr>
        <w:t xml:space="preserve"/>
      </w:r>
      <w:r>
        <w:rPr>
          <w:b/>
          <w:color w:val="000000"/>
          <w:sz w:val="20"/>
          <w:szCs w:val="20"/>
          <w:rtl/>
        </w:rPr>
        <w:t xml:space="preserve">הערת המתרגם: </w:t>
      </w:r>
      <w:r>
        <w:rPr>
          <w:sz w:val="20"/>
          <w:szCs w:val="20"/>
          <w:rtl/>
        </w:rPr>
        <w:t xml:space="preserve">לפי הנתונים שבהערה זו (נולד </w:t>
      </w:r>
      <w:proofErr w:type="spellStart"/>
      <w:r>
        <w:rPr>
          <w:sz w:val="20"/>
          <w:szCs w:val="20"/>
          <w:rtl/>
        </w:rPr>
        <w:t>בתרמ״ג</w:t>
      </w:r>
      <w:proofErr w:type="spellEnd"/>
      <w:r>
        <w:rPr>
          <w:sz w:val="20"/>
          <w:szCs w:val="20"/>
          <w:rtl/>
        </w:rPr>
        <w:t xml:space="preserve">, בא </w:t>
      </w:r>
      <w:proofErr w:type="spellStart"/>
      <w:r>
        <w:rPr>
          <w:sz w:val="20"/>
          <w:szCs w:val="20"/>
          <w:rtl/>
        </w:rPr>
        <w:t>לסלבודקה</w:t>
      </w:r>
      <w:proofErr w:type="spellEnd"/>
      <w:r>
        <w:rPr>
          <w:sz w:val="20"/>
          <w:szCs w:val="20"/>
          <w:rtl/>
        </w:rPr>
        <w:t xml:space="preserve"> </w:t>
      </w:r>
      <w:proofErr w:type="spellStart"/>
      <w:r>
        <w:rPr>
          <w:sz w:val="20"/>
          <w:szCs w:val="20"/>
          <w:rtl/>
        </w:rPr>
        <w:t>בתרנ״ז</w:t>
      </w:r>
      <w:proofErr w:type="spellEnd"/>
      <w:r>
        <w:rPr>
          <w:sz w:val="20"/>
          <w:szCs w:val="20"/>
          <w:rtl/>
        </w:rPr>
        <w:t xml:space="preserve"> בגיל </w:t>
      </w:r>
      <w:proofErr w:type="spellStart"/>
      <w:r>
        <w:rPr>
          <w:sz w:val="20"/>
          <w:szCs w:val="20"/>
          <w:rtl/>
        </w:rPr>
        <w:t>ארבע־עשרה</w:t>
      </w:r>
      <w:proofErr w:type="spellEnd"/>
      <w:r>
        <w:rPr>
          <w:sz w:val="20"/>
          <w:szCs w:val="20"/>
          <w:rtl/>
        </w:rPr>
        <w:t xml:space="preserve"> ויצא </w:t>
      </w:r>
      <w:proofErr w:type="spellStart"/>
      <w:r>
        <w:rPr>
          <w:sz w:val="20"/>
          <w:szCs w:val="20"/>
          <w:rtl/>
        </w:rPr>
        <w:t>לטלז</w:t>
      </w:r>
      <w:proofErr w:type="spellEnd"/>
      <w:r>
        <w:rPr>
          <w:sz w:val="20"/>
          <w:szCs w:val="20"/>
          <w:rtl/>
        </w:rPr>
        <w:t xml:space="preserve"> </w:t>
      </w:r>
      <w:proofErr w:type="spellStart"/>
      <w:r>
        <w:rPr>
          <w:sz w:val="20"/>
          <w:szCs w:val="20"/>
          <w:rtl/>
        </w:rPr>
        <w:t>בתרס״ה</w:t>
      </w:r>
      <w:proofErr w:type="spellEnd"/>
      <w:r>
        <w:rPr>
          <w:sz w:val="20"/>
          <w:szCs w:val="20"/>
          <w:rtl/>
        </w:rPr>
        <w:t>) היה אז כבן עשרים ושתיים, ולא בן עשרים וארבע כבמקור.</w:t>
      </w:r>
    </w:p>
  </w:footnote>
  <w:footnote w:id="4540">
    <w:p w14:paraId="40A3BDE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מאמר הספד מאת ד. </w:t>
      </w:r>
      <w:proofErr w:type="spellStart"/>
      <w:r>
        <w:rPr>
          <w:sz w:val="20"/>
          <w:szCs w:val="20"/>
          <w:rtl/>
        </w:rPr>
        <w:t>אהרני</w:t>
      </w:r>
      <w:proofErr w:type="spellEnd"/>
      <w:r>
        <w:rPr>
          <w:sz w:val="20"/>
          <w:szCs w:val="20"/>
          <w:rtl/>
        </w:rPr>
        <w:t xml:space="preserve"> </w:t>
      </w:r>
      <w:proofErr w:type="spellStart"/>
      <w:r>
        <w:rPr>
          <w:sz w:val="20"/>
          <w:szCs w:val="20"/>
          <w:rtl/>
        </w:rPr>
        <w:t>ב“ההד</w:t>
      </w:r>
      <w:proofErr w:type="spellEnd"/>
      <w:r>
        <w:rPr>
          <w:sz w:val="20"/>
          <w:szCs w:val="20"/>
          <w:rtl/>
        </w:rPr>
        <w:t xml:space="preserve">”, אייר </w:t>
      </w:r>
      <w:proofErr w:type="spellStart"/>
      <w:r>
        <w:rPr>
          <w:sz w:val="20"/>
          <w:szCs w:val="20"/>
          <w:rtl/>
        </w:rPr>
        <w:t>תר״ץ</w:t>
      </w:r>
      <w:proofErr w:type="spellEnd"/>
      <w:r>
        <w:rPr>
          <w:sz w:val="20"/>
          <w:szCs w:val="20"/>
          <w:rtl/>
        </w:rPr>
        <w:t xml:space="preserve">. המאמר טועה כשהוא אומר שאחרי שמונה שנים </w:t>
      </w:r>
      <w:proofErr w:type="spellStart"/>
      <w:r>
        <w:rPr>
          <w:sz w:val="20"/>
          <w:szCs w:val="20"/>
          <w:rtl/>
        </w:rPr>
        <w:t>בסלבודקה</w:t>
      </w:r>
      <w:proofErr w:type="spellEnd"/>
      <w:r>
        <w:rPr>
          <w:sz w:val="20"/>
          <w:szCs w:val="20"/>
          <w:rtl/>
        </w:rPr>
        <w:t xml:space="preserve"> למד שמונה שנים </w:t>
      </w:r>
      <w:proofErr w:type="spellStart"/>
      <w:r>
        <w:rPr>
          <w:sz w:val="20"/>
          <w:szCs w:val="20"/>
          <w:rtl/>
        </w:rPr>
        <w:t>בטלז</w:t>
      </w:r>
      <w:proofErr w:type="spellEnd"/>
      <w:r>
        <w:rPr>
          <w:sz w:val="20"/>
          <w:szCs w:val="20"/>
          <w:rtl/>
        </w:rPr>
        <w:t xml:space="preserve">. אילו היה הדבר נכון, היה עליו להצטרף </w:t>
      </w:r>
      <w:proofErr w:type="spellStart"/>
      <w:r>
        <w:rPr>
          <w:sz w:val="20"/>
          <w:szCs w:val="20"/>
          <w:rtl/>
        </w:rPr>
        <w:t>לסלבודקה</w:t>
      </w:r>
      <w:proofErr w:type="spellEnd"/>
      <w:r>
        <w:rPr>
          <w:sz w:val="20"/>
          <w:szCs w:val="20"/>
          <w:rtl/>
        </w:rPr>
        <w:t xml:space="preserve"> בגיל שמונה. השווה גם פרק 3, הפסקה השנייה של נספח כ: הוא היה ממנהיגי ההתנגשות נגד המוסר, ולא יכול היה להיות </w:t>
      </w:r>
      <w:proofErr w:type="spellStart"/>
      <w:r>
        <w:rPr>
          <w:sz w:val="20"/>
          <w:szCs w:val="20"/>
          <w:rtl/>
        </w:rPr>
        <w:t>בטלז</w:t>
      </w:r>
      <w:proofErr w:type="spellEnd"/>
      <w:r>
        <w:rPr>
          <w:sz w:val="20"/>
          <w:szCs w:val="20"/>
          <w:rtl/>
        </w:rPr>
        <w:t xml:space="preserve"> באותה שעה. למעשה היה </w:t>
      </w:r>
      <w:proofErr w:type="spellStart"/>
      <w:r>
        <w:rPr>
          <w:sz w:val="20"/>
          <w:szCs w:val="20"/>
          <w:rtl/>
        </w:rPr>
        <w:t>בטלז</w:t>
      </w:r>
      <w:proofErr w:type="spellEnd"/>
      <w:r>
        <w:rPr>
          <w:sz w:val="20"/>
          <w:szCs w:val="20"/>
          <w:rtl/>
        </w:rPr>
        <w:t xml:space="preserve"> פחות מחצי שנה, כשאר חברי הקבוצה הראשונה </w:t>
      </w:r>
      <w:proofErr w:type="spellStart"/>
      <w:r>
        <w:rPr>
          <w:sz w:val="20"/>
          <w:szCs w:val="20"/>
          <w:rtl/>
        </w:rPr>
        <w:t>מסלבודקה</w:t>
      </w:r>
      <w:proofErr w:type="spellEnd"/>
      <w:r>
        <w:rPr>
          <w:sz w:val="20"/>
          <w:szCs w:val="20"/>
          <w:rtl/>
        </w:rPr>
        <w:t xml:space="preserve">, </w:t>
      </w:r>
      <w:proofErr w:type="spellStart"/>
      <w:r>
        <w:rPr>
          <w:sz w:val="20"/>
          <w:szCs w:val="20"/>
          <w:rtl/>
        </w:rPr>
        <w:t>בתרס״ה</w:t>
      </w:r>
      <w:proofErr w:type="spellEnd"/>
      <w:r>
        <w:rPr>
          <w:sz w:val="20"/>
          <w:szCs w:val="20"/>
          <w:rtl/>
        </w:rPr>
        <w:t>.</w:t>
      </w:r>
    </w:p>
    <w:p w14:paraId="64B8540D" w14:textId="77777777" w:rsidR="00AB3647" w:rsidRDefault="00000000">
      <w:pPr>
        <w:spacing w:after="0" w:before="0"/>
        <w:jc w:val="both"/>
      </w:pPr>
      <w:r>
        <w:rPr>
          <w:sz w:val="20"/>
          <w:szCs w:val="20"/>
          <w:rtl/>
        </w:rPr>
        <w:t xml:space="preserve">גם במקרה </w:t>
      </w:r>
      <w:proofErr w:type="spellStart"/>
      <w:r>
        <w:rPr>
          <w:sz w:val="20"/>
          <w:szCs w:val="20"/>
          <w:rtl/>
        </w:rPr>
        <w:t>הלא־סביר</w:t>
      </w:r>
      <w:proofErr w:type="spellEnd"/>
      <w:r>
        <w:rPr>
          <w:sz w:val="20"/>
          <w:szCs w:val="20"/>
          <w:rtl/>
        </w:rPr>
        <w:t xml:space="preserve"> שהיה חבר גם במשלחת השנייה, </w:t>
      </w:r>
      <w:proofErr w:type="spellStart"/>
      <w:r>
        <w:rPr>
          <w:sz w:val="20"/>
          <w:szCs w:val="20"/>
          <w:rtl/>
        </w:rPr>
        <w:t>בתרס״ו</w:t>
      </w:r>
      <w:proofErr w:type="spellEnd"/>
      <w:r>
        <w:rPr>
          <w:sz w:val="20"/>
          <w:szCs w:val="20"/>
          <w:rtl/>
        </w:rPr>
        <w:t xml:space="preserve"> (השווה פרק 4, הפסקה השביעית בסעיף 2, הערות 117, 118 ו־119), היה </w:t>
      </w:r>
      <w:proofErr w:type="spellStart"/>
      <w:r>
        <w:rPr>
          <w:sz w:val="20"/>
          <w:szCs w:val="20"/>
          <w:rtl/>
        </w:rPr>
        <w:t>בטלז</w:t>
      </w:r>
      <w:proofErr w:type="spellEnd"/>
      <w:r>
        <w:rPr>
          <w:sz w:val="20"/>
          <w:szCs w:val="20"/>
          <w:rtl/>
        </w:rPr>
        <w:t xml:space="preserve"> לכל היותר שנתיים וחצי במצטבר – ולא שמונה! – וזאת אפילו אם נמשיך למנותו כתלמיד </w:t>
      </w:r>
      <w:proofErr w:type="spellStart"/>
      <w:r>
        <w:rPr>
          <w:sz w:val="20"/>
          <w:szCs w:val="20"/>
          <w:rtl/>
        </w:rPr>
        <w:t>טלז</w:t>
      </w:r>
      <w:proofErr w:type="spellEnd"/>
      <w:r>
        <w:rPr>
          <w:sz w:val="20"/>
          <w:szCs w:val="20"/>
          <w:rtl/>
        </w:rPr>
        <w:t xml:space="preserve"> בזמן שחזר </w:t>
      </w:r>
      <w:proofErr w:type="spellStart"/>
      <w:r>
        <w:rPr>
          <w:sz w:val="20"/>
          <w:szCs w:val="20"/>
          <w:rtl/>
        </w:rPr>
        <w:t>לסלבודקה</w:t>
      </w:r>
      <w:proofErr w:type="spellEnd"/>
      <w:r>
        <w:rPr>
          <w:sz w:val="20"/>
          <w:szCs w:val="20"/>
          <w:rtl/>
        </w:rPr>
        <w:t xml:space="preserve"> בעת סגירת </w:t>
      </w:r>
      <w:proofErr w:type="spellStart"/>
      <w:r>
        <w:rPr>
          <w:sz w:val="20"/>
          <w:szCs w:val="20"/>
          <w:rtl/>
        </w:rPr>
        <w:t>טלז</w:t>
      </w:r>
      <w:proofErr w:type="spellEnd"/>
      <w:r>
        <w:rPr>
          <w:sz w:val="20"/>
          <w:szCs w:val="20"/>
          <w:rtl/>
        </w:rPr>
        <w:t xml:space="preserve">. אבל אפשרות זו אינה סבירה משני טעמים: אבי מעולם לא הזכיר שר׳ שלמה הובא </w:t>
      </w:r>
      <w:proofErr w:type="spellStart"/>
      <w:r>
        <w:rPr>
          <w:sz w:val="20"/>
          <w:szCs w:val="20"/>
          <w:rtl/>
        </w:rPr>
        <w:t>מטלז</w:t>
      </w:r>
      <w:proofErr w:type="spellEnd"/>
      <w:r>
        <w:rPr>
          <w:sz w:val="20"/>
          <w:szCs w:val="20"/>
          <w:rtl/>
        </w:rPr>
        <w:t xml:space="preserve"> לעמוד בראש קבוצת </w:t>
      </w:r>
      <w:proofErr w:type="spellStart"/>
      <w:r>
        <w:rPr>
          <w:sz w:val="20"/>
          <w:szCs w:val="20"/>
          <w:rtl/>
        </w:rPr>
        <w:t>מאלטש</w:t>
      </w:r>
      <w:proofErr w:type="spellEnd"/>
      <w:r>
        <w:rPr>
          <w:sz w:val="20"/>
          <w:szCs w:val="20"/>
          <w:rtl/>
        </w:rPr>
        <w:t xml:space="preserve">; ומאחר שהמשלחת הראשונה נכשלה, לא היו מצערים איש מחבריה ומוליכים אותו שוב באותה דרך אומללה. כך או כך, הפעם הראשונה, וכנראה היחידה, שבה יצא </w:t>
      </w:r>
      <w:proofErr w:type="spellStart"/>
      <w:r>
        <w:rPr>
          <w:sz w:val="20"/>
          <w:szCs w:val="20"/>
          <w:rtl/>
        </w:rPr>
        <w:t>לטלז</w:t>
      </w:r>
      <w:proofErr w:type="spellEnd"/>
      <w:r>
        <w:rPr>
          <w:sz w:val="20"/>
          <w:szCs w:val="20"/>
          <w:rtl/>
        </w:rPr>
        <w:t xml:space="preserve"> הייתה עם קבוצת תרס״ה, אחרי שלמד </w:t>
      </w:r>
      <w:proofErr w:type="spellStart"/>
      <w:r>
        <w:rPr>
          <w:sz w:val="20"/>
          <w:szCs w:val="20"/>
          <w:rtl/>
        </w:rPr>
        <w:t>בסלבודקה</w:t>
      </w:r>
      <w:proofErr w:type="spellEnd"/>
      <w:r>
        <w:rPr>
          <w:sz w:val="20"/>
          <w:szCs w:val="20"/>
          <w:rtl/>
        </w:rPr>
        <w:t xml:space="preserve"> שמונה שנים. לפיכך בא </w:t>
      </w:r>
      <w:proofErr w:type="spellStart"/>
      <w:r>
        <w:rPr>
          <w:sz w:val="20"/>
          <w:szCs w:val="20"/>
          <w:rtl/>
        </w:rPr>
        <w:t>לסלבודקה</w:t>
      </w:r>
      <w:proofErr w:type="spellEnd"/>
      <w:r>
        <w:rPr>
          <w:sz w:val="20"/>
          <w:szCs w:val="20"/>
          <w:rtl/>
        </w:rPr>
        <w:t xml:space="preserve"> </w:t>
      </w:r>
      <w:proofErr w:type="spellStart"/>
      <w:r>
        <w:rPr>
          <w:sz w:val="20"/>
          <w:szCs w:val="20"/>
          <w:rtl/>
        </w:rPr>
        <w:t>בתרנ״ז</w:t>
      </w:r>
      <w:proofErr w:type="spellEnd"/>
      <w:r>
        <w:rPr>
          <w:sz w:val="20"/>
          <w:szCs w:val="20"/>
          <w:rtl/>
        </w:rPr>
        <w:t xml:space="preserve">, בגיל </w:t>
      </w:r>
      <w:proofErr w:type="spellStart"/>
      <w:r>
        <w:rPr>
          <w:sz w:val="20"/>
          <w:szCs w:val="20"/>
          <w:rtl/>
        </w:rPr>
        <w:t>ארבע־עשרה</w:t>
      </w:r>
      <w:proofErr w:type="spellEnd"/>
      <w:r>
        <w:rPr>
          <w:sz w:val="20"/>
          <w:szCs w:val="20"/>
          <w:rtl/>
        </w:rPr>
        <w:t xml:space="preserve"> – דבר סביר.</w:t>
      </w:r>
    </w:p>
  </w:footnote>
  <w:footnote w:id="4541">
    <w:p w14:paraId="0E7D657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3, הפסקאות השנייה והשלישית של נספח כ.</w:t>
      </w:r>
    </w:p>
  </w:footnote>
  <w:footnote w:id="4542">
    <w:p w14:paraId="7BAA71E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הפסקה השלישית של פרק 4.1.</w:t>
      </w:r>
    </w:p>
  </w:footnote>
  <w:footnote w:id="4543">
    <w:p w14:paraId="54E0856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הערה 20.</w:t>
      </w:r>
    </w:p>
  </w:footnote>
  <w:footnote w:id="4544">
    <w:p w14:paraId="446BB6F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19 לעיל.</w:t>
      </w:r>
    </w:p>
  </w:footnote>
  <w:footnote w:id="4545">
    <w:p w14:paraId="7357BC3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הערה 31 לעיל.</w:t>
      </w:r>
    </w:p>
  </w:footnote>
  <w:footnote w:id="4546">
    <w:p w14:paraId="07DC353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“כל כתבי חפץ חיים השלם” (הפסקה השנייה של נספח ב להלן), עמ׳ 23–24.</w:t>
      </w:r>
    </w:p>
  </w:footnote>
  <w:footnote w:id="4547">
    <w:p w14:paraId="25F2517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26 לעיל.</w:t>
      </w:r>
    </w:p>
  </w:footnote>
  <w:footnote w:id="4548">
    <w:p w14:paraId="5C2C8EA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3, הפסקה השנייה של נספח י.</w:t>
      </w:r>
    </w:p>
  </w:footnote>
  <w:footnote w:id="4549">
    <w:p w14:paraId="3468CA7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השווה הערת השוליים </w:t>
      </w:r>
      <w:r>
        <w:rPr>
          <w:rStyle w:val="a5"/>
          <w:sz w:val="20"/>
          <w:szCs w:val="20"/>
          <w:vertAlign w:val="baseline"/>
          <w:rtl/>
        </w:rPr>
        <w:fldChar w:fldCharType="begin" w:dirty="true"/>
      </w:r>
      <w:r>
        <w:rPr>
          <w:rStyle w:val="a5"/>
          <w:sz w:val="20"/>
          <w:szCs w:val="20"/>
          <w:vertAlign w:val="baseline"/>
          <w:rtl/>
        </w:rPr>
        <w:instrText xml:space="preserve"> NOTEREF pr_f_3968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1045</w:t>
      </w:r>
      <w:r>
        <w:rPr>
          <w:rStyle w:val="a5"/>
          <w:sz w:val="20"/>
          <w:szCs w:val="20"/>
          <w:vertAlign w:val="baseline"/>
          <w:rtl/>
        </w:rPr>
        <w:fldChar w:fldCharType="end"/>
      </w:r>
      <w:r>
        <w:rPr>
          <w:rStyle w:val="a5"/>
          <w:sz w:val="20"/>
          <w:szCs w:val="20"/>
          <w:vertAlign w:val="baseline"/>
          <w:rtl/>
        </w:rPr>
        <w:t xml:space="preserve"> בעמ׳ </w:t>
      </w:r>
      <w:r>
        <w:rPr>
          <w:rStyle w:val="a5"/>
          <w:sz w:val="20"/>
          <w:szCs w:val="20"/>
          <w:vertAlign w:val="baseline"/>
          <w:rtl/>
        </w:rPr>
        <w:fldChar w:fldCharType="begin" w:dirty="true"/>
      </w:r>
      <w:r>
        <w:rPr>
          <w:rStyle w:val="a5"/>
          <w:sz w:val="20"/>
          <w:szCs w:val="20"/>
          <w:vertAlign w:val="baseline"/>
          <w:rtl/>
        </w:rPr>
        <w:instrText xml:space="preserve"> PAGEREF pr_f_3968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w:t>
      </w:r>
    </w:p>
  </w:footnote>
  <w:footnote w:id="4550">
    <w:p w14:paraId="332C53D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 ע״ב.</w:t>
      </w:r>
    </w:p>
  </w:footnote>
  <w:footnote w:id="4551">
    <w:p w14:paraId="4698DDF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תחילת הערה 40 לעיל.</w:t>
      </w:r>
    </w:p>
  </w:footnote>
  <w:footnote w:id="4552">
    <w:p w14:paraId="7188CA9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הערות 45 ו־46 להלן.</w:t>
      </w:r>
    </w:p>
  </w:footnote>
  <w:footnote w:id="4553">
    <w:p w14:paraId="27D0C59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ב־18 בדצמבר 1991.</w:t>
      </w:r>
    </w:p>
  </w:footnote>
  <w:footnote w:id="4554">
    <w:p w14:paraId="0F3A123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היה ר׳ </w:t>
      </w:r>
      <w:proofErr w:type="spellStart"/>
      <w:r>
        <w:rPr>
          <w:sz w:val="20"/>
          <w:szCs w:val="20"/>
          <w:rtl/>
        </w:rPr>
        <w:t>יהודה־לייב</w:t>
      </w:r>
      <w:proofErr w:type="spellEnd"/>
      <w:r>
        <w:rPr>
          <w:sz w:val="20"/>
          <w:szCs w:val="20"/>
          <w:rtl/>
        </w:rPr>
        <w:t xml:space="preserve"> </w:t>
      </w:r>
      <w:proofErr w:type="spellStart"/>
      <w:r>
        <w:rPr>
          <w:sz w:val="20"/>
          <w:szCs w:val="20"/>
          <w:rtl/>
        </w:rPr>
        <w:t>הוטנר</w:t>
      </w:r>
      <w:proofErr w:type="spellEnd"/>
      <w:r>
        <w:rPr>
          <w:sz w:val="20"/>
          <w:szCs w:val="20"/>
          <w:rtl/>
        </w:rPr>
        <w:t>, שהחליף את חותנו, ר׳ יודל סגל, ברבנות ורשה.</w:t>
      </w:r>
    </w:p>
  </w:footnote>
  <w:footnote w:id="4555">
    <w:p w14:paraId="41DAB82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אבות פ״ג מ״ו. במקור מתייחס המונח לחובות האזרח כלפי השלטון, אך הדובר השתמש בביטוי במשמעותו היומיומית יותר: נימוסים טובים.</w:t>
      </w:r>
    </w:p>
  </w:footnote>
  <w:footnote w:id="4556">
    <w:p w14:paraId="7ED8868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2, הערה 106 – עמ׳ 109.</w:t>
      </w:r>
    </w:p>
  </w:footnote>
  <w:footnote w:id="4557">
    <w:p w14:paraId="53AD4C9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ב־31 באוגוסט 1992.</w:t>
      </w:r>
    </w:p>
  </w:footnote>
  <w:footnote w:id="4558">
    <w:p w14:paraId="3A5F55F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26 לעיל.</w:t>
      </w:r>
    </w:p>
  </w:footnote>
  <w:footnote w:id="4559">
    <w:p w14:paraId="767248F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31 לעיל.</w:t>
      </w:r>
    </w:p>
  </w:footnote>
  <w:footnote w:id="4560">
    <w:p w14:paraId="1965E9D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ישעיה </w:t>
      </w:r>
      <w:proofErr w:type="spellStart"/>
      <w:r>
        <w:rPr>
          <w:sz w:val="20"/>
          <w:szCs w:val="20"/>
          <w:rtl/>
        </w:rPr>
        <w:t>כא</w:t>
      </w:r>
      <w:proofErr w:type="spellEnd"/>
      <w:r>
        <w:rPr>
          <w:sz w:val="20"/>
          <w:szCs w:val="20"/>
          <w:rtl/>
        </w:rPr>
        <w:t>, יד.</w:t>
      </w:r>
    </w:p>
  </w:footnote>
  <w:footnote w:id="4561">
    <w:p w14:paraId="75C8F3A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בכותרת העברית, המילה העיקרית (צמא) נעשית ראשי תיבות לשלוש הקבוצות, כפי שהדגשתי בעברית.</w:t>
      </w:r>
    </w:p>
  </w:footnote>
  <w:footnote w:id="4562">
    <w:p w14:paraId="39378AD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דניאל </w:t>
      </w:r>
      <w:proofErr w:type="spellStart"/>
      <w:r>
        <w:rPr>
          <w:sz w:val="20"/>
          <w:szCs w:val="20"/>
          <w:rtl/>
        </w:rPr>
        <w:t>יב</w:t>
      </w:r>
      <w:proofErr w:type="spellEnd"/>
      <w:r>
        <w:rPr>
          <w:sz w:val="20"/>
          <w:szCs w:val="20"/>
          <w:rtl/>
        </w:rPr>
        <w:t>, י.</w:t>
      </w:r>
    </w:p>
  </w:footnote>
  <w:footnote w:id="4563">
    <w:p w14:paraId="22D5E65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מידות פ״א מ״ג.</w:t>
      </w:r>
    </w:p>
  </w:footnote>
  <w:footnote w:id="4564">
    <w:p w14:paraId="02F1A29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המילה העברית ‘צפון’ פירושה גם ‘נסתר’.</w:t>
      </w:r>
    </w:p>
  </w:footnote>
  <w:footnote w:id="4565">
    <w:p w14:paraId="0AF6792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המשניות, שם.</w:t>
      </w:r>
    </w:p>
  </w:footnote>
  <w:footnote w:id="4566">
    <w:p w14:paraId="2C92BD4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ההערה הבאה.</w:t>
      </w:r>
    </w:p>
  </w:footnote>
  <w:footnote w:id="4567">
    <w:p w14:paraId="147399F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42 לעיל.</w:t>
      </w:r>
    </w:p>
  </w:footnote>
  <w:footnote w:id="4568">
    <w:p w14:paraId="31E71D4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48 להלן.</w:t>
      </w:r>
    </w:p>
  </w:footnote>
  <w:footnote w:id="4569">
    <w:p w14:paraId="0A5BA60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3, תחילת הפסקה השנייה של נספח </w:t>
      </w:r>
      <w:proofErr w:type="spellStart"/>
      <w:r>
        <w:rPr>
          <w:sz w:val="20"/>
          <w:szCs w:val="20"/>
          <w:rtl/>
        </w:rPr>
        <w:t>כג</w:t>
      </w:r>
      <w:proofErr w:type="spellEnd"/>
      <w:r>
        <w:rPr>
          <w:sz w:val="20"/>
          <w:szCs w:val="20"/>
          <w:rtl/>
        </w:rPr>
        <w:t>.</w:t>
      </w:r>
    </w:p>
  </w:footnote>
  <w:footnote w:id="4570">
    <w:p w14:paraId="78FDC36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4, הערה 146, על ר׳ </w:t>
      </w:r>
      <w:proofErr w:type="spellStart"/>
      <w:r>
        <w:rPr>
          <w:sz w:val="20"/>
          <w:szCs w:val="20"/>
          <w:rtl/>
        </w:rPr>
        <w:t>דוד׳ל</w:t>
      </w:r>
      <w:proofErr w:type="spellEnd"/>
      <w:r>
        <w:rPr>
          <w:sz w:val="20"/>
          <w:szCs w:val="20"/>
          <w:rtl/>
        </w:rPr>
        <w:t xml:space="preserve"> </w:t>
      </w:r>
      <w:proofErr w:type="spellStart"/>
      <w:r>
        <w:rPr>
          <w:sz w:val="20"/>
          <w:szCs w:val="20"/>
          <w:rtl/>
        </w:rPr>
        <w:t>קארלינער</w:t>
      </w:r>
      <w:proofErr w:type="spellEnd"/>
      <w:r>
        <w:rPr>
          <w:sz w:val="20"/>
          <w:szCs w:val="20"/>
          <w:rtl/>
        </w:rPr>
        <w:t>, שהתאכזב באותה דרך.</w:t>
      </w:r>
    </w:p>
  </w:footnote>
  <w:footnote w:id="4571">
    <w:p w14:paraId="3A3D5E7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3, סוף הערה 15.</w:t>
      </w:r>
    </w:p>
  </w:footnote>
  <w:footnote w:id="4572">
    <w:p w14:paraId="5F5D744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40 לעיל.</w:t>
      </w:r>
    </w:p>
  </w:footnote>
  <w:footnote w:id="4573">
    <w:p w14:paraId="1F420C4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40 לעיל.</w:t>
      </w:r>
    </w:p>
  </w:footnote>
  <w:footnote w:id="4574">
    <w:p w14:paraId="43DEB74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לפי ר׳ זליג אפשטיין (הערה 42 לעיל).</w:t>
      </w:r>
    </w:p>
  </w:footnote>
  <w:footnote w:id="4575">
    <w:p w14:paraId="5229AEF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הפסקה האחרונה של נספח ב להלן.</w:t>
      </w:r>
    </w:p>
  </w:footnote>
  <w:footnote w:id="4576">
    <w:p w14:paraId="242A8FA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בראשית רבה פד, </w:t>
      </w:r>
      <w:proofErr w:type="spellStart"/>
      <w:r>
        <w:rPr>
          <w:sz w:val="20"/>
          <w:szCs w:val="20"/>
          <w:rtl/>
        </w:rPr>
        <w:t>יט</w:t>
      </w:r>
      <w:proofErr w:type="spellEnd"/>
      <w:r>
        <w:rPr>
          <w:sz w:val="20"/>
          <w:szCs w:val="20"/>
          <w:rtl/>
        </w:rPr>
        <w:t xml:space="preserve">; השווה גם רש״י המצוטט בעמ׳ </w:t>
      </w:r>
      <w:r>
        <w:rPr>
          <w:sz w:val="20"/>
          <w:szCs w:val="20"/>
          <w:rtl/>
        </w:rPr>
        <w:fldChar w:fldCharType="begin" w:dirty="true"/>
      </w:r>
      <w:r>
        <w:rPr>
          <w:sz w:val="20"/>
          <w:szCs w:val="20"/>
          <w:rtl/>
        </w:rPr>
        <w:instrText xml:space="preserve"> PAGEREF pr_f_4333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הערת השוליים </w:t>
      </w:r>
      <w:r>
        <w:rPr>
          <w:sz w:val="20"/>
          <w:szCs w:val="20"/>
          <w:rtl/>
        </w:rPr>
        <w:fldChar w:fldCharType="begin" w:dirty="true"/>
      </w:r>
      <w:r>
        <w:rPr>
          <w:sz w:val="20"/>
          <w:szCs w:val="20"/>
          <w:rtl/>
        </w:rPr>
        <w:instrText xml:space="preserve"> NOTEREF pr_f_4333 \h </w:instrText>
      </w:r>
      <w:r>
        <w:rPr>
          <w:sz w:val="20"/>
          <w:szCs w:val="20"/>
          <w:rtl/>
        </w:rPr>
      </w:r>
      <w:r>
        <w:rPr>
          <w:sz w:val="20"/>
          <w:szCs w:val="20"/>
          <w:rtl/>
        </w:rPr>
        <w:fldChar w:fldCharType="separate"/>
      </w:r>
      <w:r w:rsidR="007923E9">
        <w:rPr>
          <w:sz w:val="20"/>
          <w:szCs w:val="20"/>
          <w:rtl/>
        </w:rPr>
        <w:t>1410</w:t>
      </w:r>
      <w:r>
        <w:rPr>
          <w:sz w:val="20"/>
          <w:szCs w:val="20"/>
          <w:rtl/>
        </w:rPr>
        <w:fldChar w:fldCharType="end"/>
      </w:r>
      <w:r>
        <w:rPr>
          <w:sz w:val="20"/>
          <w:szCs w:val="20"/>
          <w:rtl/>
        </w:rPr>
        <w:t>, הרואה את החתן כמי שנולד לחותנו.</w:t>
      </w:r>
    </w:p>
  </w:footnote>
  <w:footnote w:id="4577">
    <w:p w14:paraId="0FD5C38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מלכים א ג, </w:t>
      </w:r>
      <w:proofErr w:type="spellStart"/>
      <w:r>
        <w:rPr>
          <w:sz w:val="20"/>
          <w:szCs w:val="20"/>
          <w:rtl/>
        </w:rPr>
        <w:t>יב</w:t>
      </w:r>
      <w:proofErr w:type="spellEnd"/>
      <w:r>
        <w:rPr>
          <w:sz w:val="20"/>
          <w:szCs w:val="20"/>
          <w:rtl/>
        </w:rPr>
        <w:t xml:space="preserve"> ודה״י ב א, </w:t>
      </w:r>
      <w:proofErr w:type="spellStart"/>
      <w:r>
        <w:rPr>
          <w:sz w:val="20"/>
          <w:szCs w:val="20"/>
          <w:rtl/>
        </w:rPr>
        <w:t>יב</w:t>
      </w:r>
      <w:proofErr w:type="spellEnd"/>
      <w:r>
        <w:rPr>
          <w:sz w:val="20"/>
          <w:szCs w:val="20"/>
          <w:rtl/>
        </w:rPr>
        <w:t>.</w:t>
      </w:r>
    </w:p>
  </w:footnote>
  <w:footnote w:id="4578">
    <w:p w14:paraId="16BBAF7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מאמר ההספד </w:t>
      </w:r>
      <w:proofErr w:type="spellStart"/>
      <w:r>
        <w:rPr>
          <w:sz w:val="20"/>
          <w:szCs w:val="20"/>
          <w:rtl/>
        </w:rPr>
        <w:t>ב“ההד</w:t>
      </w:r>
      <w:proofErr w:type="spellEnd"/>
      <w:r>
        <w:rPr>
          <w:sz w:val="20"/>
          <w:szCs w:val="20"/>
          <w:rtl/>
        </w:rPr>
        <w:t>” (הערה 38 לעיל).</w:t>
      </w:r>
    </w:p>
  </w:footnote>
  <w:footnote w:id="4579">
    <w:p w14:paraId="39467D3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55 להלן.</w:t>
      </w:r>
    </w:p>
  </w:footnote>
  <w:footnote w:id="4580">
    <w:p w14:paraId="603F31F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ב־3 בספטמבר 1991.</w:t>
      </w:r>
    </w:p>
  </w:footnote>
  <w:footnote w:id="4581">
    <w:p w14:paraId="736C183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הערה 130.</w:t>
      </w:r>
    </w:p>
  </w:footnote>
  <w:footnote w:id="4582">
    <w:p w14:paraId="14EA914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ב־24 ביוני 1993.</w:t>
      </w:r>
    </w:p>
  </w:footnote>
  <w:footnote w:id="4583">
    <w:p w14:paraId="05D46F1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55 להלן.</w:t>
      </w:r>
    </w:p>
  </w:footnote>
  <w:footnote w:id="4584">
    <w:p w14:paraId="41B7A45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יומא ט ע״ב, שבית המקדש השני נחרב בגלל חטא זה.</w:t>
      </w:r>
    </w:p>
  </w:footnote>
  <w:footnote w:id="4585">
    <w:p w14:paraId="3D27B02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פסחים מט ע״ב, תנא רבי </w:t>
      </w:r>
      <w:proofErr w:type="spellStart"/>
      <w:r>
        <w:rPr>
          <w:sz w:val="20"/>
          <w:szCs w:val="20"/>
          <w:rtl/>
        </w:rPr>
        <w:t>חייא</w:t>
      </w:r>
      <w:proofErr w:type="spellEnd"/>
      <w:r>
        <w:rPr>
          <w:sz w:val="20"/>
          <w:szCs w:val="20"/>
          <w:rtl/>
        </w:rPr>
        <w:t xml:space="preserve"> וכו׳ גדולה שנאה </w:t>
      </w:r>
      <w:proofErr w:type="spellStart"/>
      <w:r>
        <w:rPr>
          <w:sz w:val="20"/>
          <w:szCs w:val="20"/>
          <w:rtl/>
        </w:rPr>
        <w:t>וכו</w:t>
      </w:r>
      <w:proofErr w:type="spellEnd"/>
      <w:r>
        <w:rPr>
          <w:sz w:val="20"/>
          <w:szCs w:val="20"/>
          <w:rtl/>
        </w:rPr>
        <w:t>׳, ופרק 4, הפסקה השנייה של נספח ח.</w:t>
      </w:r>
    </w:p>
  </w:footnote>
  <w:footnote w:id="4586">
    <w:p w14:paraId="369CFA1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3, הפסקה השנייה של נספח כ.</w:t>
      </w:r>
    </w:p>
  </w:footnote>
  <w:footnote w:id="4587">
    <w:p w14:paraId="3F333A3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שני המשפטים מצוטטים ממאמר ההספד </w:t>
      </w:r>
      <w:proofErr w:type="spellStart"/>
      <w:r>
        <w:rPr>
          <w:sz w:val="20"/>
          <w:szCs w:val="20"/>
          <w:rtl/>
        </w:rPr>
        <w:t>ב“ההד</w:t>
      </w:r>
      <w:proofErr w:type="spellEnd"/>
      <w:r>
        <w:rPr>
          <w:sz w:val="20"/>
          <w:szCs w:val="20"/>
          <w:rtl/>
        </w:rPr>
        <w:t xml:space="preserve">” – ראה הערת השוליים </w:t>
      </w:r>
      <w:r>
        <w:rPr>
          <w:sz w:val="20"/>
          <w:szCs w:val="20"/>
          <w:rtl/>
        </w:rPr>
        <w:fldChar w:fldCharType="begin" w:dirty="true"/>
      </w:r>
      <w:r>
        <w:rPr>
          <w:sz w:val="20"/>
          <w:szCs w:val="20"/>
          <w:rtl/>
        </w:rPr>
        <w:instrText xml:space="preserve"> NOTEREF pr_f_4411 \h </w:instrText>
      </w:r>
      <w:r>
        <w:rPr>
          <w:sz w:val="20"/>
          <w:szCs w:val="20"/>
          <w:rtl/>
        </w:rPr>
      </w:r>
      <w:r>
        <w:rPr>
          <w:sz w:val="20"/>
          <w:szCs w:val="20"/>
          <w:rtl/>
        </w:rPr>
        <w:fldChar w:fldCharType="separate"/>
      </w:r>
      <w:r w:rsidR="007923E9">
        <w:rPr>
          <w:sz w:val="20"/>
          <w:szCs w:val="20"/>
          <w:rtl/>
        </w:rPr>
        <w:t>65</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pr_f_4411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טענת כתב העת שהוא (בניגוד לחותנו – השווה הערה 44 לעיל) היה “קרוב לתנועת המזרחי” נסתרת מדברי בתו תמר </w:t>
      </w:r>
      <w:proofErr w:type="spellStart"/>
      <w:r>
        <w:rPr>
          <w:sz w:val="20"/>
          <w:szCs w:val="20"/>
          <w:rtl/>
        </w:rPr>
        <w:t>קיל</w:t>
      </w:r>
      <w:proofErr w:type="spellEnd"/>
      <w:r>
        <w:rPr>
          <w:sz w:val="20"/>
          <w:szCs w:val="20"/>
          <w:rtl/>
        </w:rPr>
        <w:t xml:space="preserve">: ‘כשגר אחר כך </w:t>
      </w:r>
      <w:proofErr w:type="spellStart"/>
      <w:r>
        <w:rPr>
          <w:sz w:val="20"/>
          <w:szCs w:val="20"/>
          <w:rtl/>
        </w:rPr>
        <w:t>בביאליסטוק</w:t>
      </w:r>
      <w:proofErr w:type="spellEnd"/>
      <w:r>
        <w:rPr>
          <w:sz w:val="20"/>
          <w:szCs w:val="20"/>
          <w:rtl/>
        </w:rPr>
        <w:t xml:space="preserve"> ולימד בבית הספר של המזרחי, </w:t>
      </w:r>
      <w:proofErr w:type="spellStart"/>
      <w:r>
        <w:rPr>
          <w:sz w:val="20"/>
          <w:szCs w:val="20"/>
          <w:rtl/>
        </w:rPr>
        <w:t>תחכמוני</w:t>
      </w:r>
      <w:proofErr w:type="spellEnd"/>
      <w:r>
        <w:rPr>
          <w:sz w:val="20"/>
          <w:szCs w:val="20"/>
          <w:rtl/>
        </w:rPr>
        <w:t>’ – השווה ההערה הבאה – ‘העדיף שילדיו ילמדו בתיכון הפולני ולא בבית הספר היהודי הציוני’.</w:t>
      </w:r>
    </w:p>
  </w:footnote>
  <w:footnote w:id="4588">
    <w:p w14:paraId="2B4D457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ההערה הבאה.</w:t>
      </w:r>
    </w:p>
  </w:footnote>
  <w:footnote w:id="4589">
    <w:p w14:paraId="4E6EDF3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ב־27 ביולי 1992.</w:t>
      </w:r>
    </w:p>
  </w:footnote>
  <w:footnote w:id="4590">
    <w:p w14:paraId="0E770E6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“מדריך לאיתור עיירות”, מאת </w:t>
      </w:r>
      <w:proofErr w:type="spellStart"/>
      <w:r>
        <w:rPr>
          <w:sz w:val="20"/>
          <w:szCs w:val="20"/>
          <w:rtl/>
        </w:rPr>
        <w:t>צ׳סטר</w:t>
      </w:r>
      <w:proofErr w:type="spellEnd"/>
      <w:r>
        <w:rPr>
          <w:sz w:val="20"/>
          <w:szCs w:val="20"/>
          <w:rtl/>
        </w:rPr>
        <w:t xml:space="preserve"> ג. כהן (הוצאת </w:t>
      </w:r>
      <w:proofErr w:type="spellStart"/>
      <w:r>
        <w:rPr>
          <w:sz w:val="20"/>
          <w:szCs w:val="20"/>
          <w:rtl/>
        </w:rPr>
        <w:t>הריטג</w:t>
      </w:r>
      <w:proofErr w:type="spellEnd"/>
      <w:r>
        <w:rPr>
          <w:sz w:val="20"/>
          <w:szCs w:val="20"/>
          <w:rtl/>
        </w:rPr>
        <w:t>׳ בוקס, בואי, מרילנד), עמ׳ 58.</w:t>
      </w:r>
    </w:p>
  </w:footnote>
  <w:footnote w:id="4591">
    <w:p w14:paraId="0870B78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2, תחילת סעיף 3, והערה 44 שם.</w:t>
      </w:r>
    </w:p>
  </w:footnote>
  <w:footnote w:id="4592">
    <w:p w14:paraId="673D604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2.3.</w:t>
      </w:r>
    </w:p>
  </w:footnote>
  <w:footnote w:id="4593">
    <w:p w14:paraId="38A454E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רחל חדש ממינסק (פרק 1, הערה 103), רואיינה ב־13 בנובמבר 1991.</w:t>
      </w:r>
    </w:p>
  </w:footnote>
  <w:footnote w:id="4594">
    <w:p w14:paraId="1359B6C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דוד </w:t>
      </w:r>
      <w:proofErr w:type="spellStart"/>
      <w:r>
        <w:rPr>
          <w:sz w:val="20"/>
          <w:szCs w:val="20"/>
          <w:rtl/>
        </w:rPr>
        <w:t>אוסטרוב</w:t>
      </w:r>
      <w:proofErr w:type="spellEnd"/>
      <w:r>
        <w:rPr>
          <w:sz w:val="20"/>
          <w:szCs w:val="20"/>
          <w:rtl/>
        </w:rPr>
        <w:t xml:space="preserve"> (הערה 53 לעיל).</w:t>
      </w:r>
    </w:p>
  </w:footnote>
  <w:footnote w:id="4595">
    <w:p w14:paraId="73C4AA4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“בשער הספר” בספרו “לעיתים” (הערה 7 לעיל), שבו מציין העורך, דניאל יהודה </w:t>
      </w:r>
      <w:proofErr w:type="spellStart"/>
      <w:r>
        <w:rPr>
          <w:sz w:val="20"/>
          <w:szCs w:val="20"/>
          <w:rtl/>
        </w:rPr>
        <w:t>נוישטט</w:t>
      </w:r>
      <w:proofErr w:type="spellEnd"/>
      <w:r>
        <w:rPr>
          <w:sz w:val="20"/>
          <w:szCs w:val="20"/>
          <w:rtl/>
        </w:rPr>
        <w:t>, שחלק מן הכרך עוסק בנושאים אלה, ‘שבימינו אין אנו רגילים ללמוד’. הוא כותב: ‘האמת ניתנת להיאמר, [רבנו] בתחילה הסתפק אם לפרסם עניינים אלה... אך לבסוף החליט שאדרבה, אולי בעקבות [פרסומם] יבוא גואל לחלק מוזנח זה של התורה, שרבותינו הראשונים השקיעו בו עמל רב כל כך, ואולי גם תלמידי זמננו יתעוררו להקדיש לו חלק מזמנם’.</w:t>
      </w:r>
    </w:p>
  </w:footnote>
  <w:footnote w:id="4596">
    <w:p w14:paraId="5AC47CE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ב־6 ביולי 1995.</w:t>
      </w:r>
    </w:p>
  </w:footnote>
  <w:footnote w:id="4597">
    <w:p w14:paraId="3EF82BA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29 בדצמבר 1962.</w:t>
      </w:r>
    </w:p>
  </w:footnote>
  <w:footnote w:id="4598">
    <w:p w14:paraId="51AF133C"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ליקוי ירח מתרחש רק במילוא הירח, סביב אמצע החודש העברי, ולא בג׳ בטבת; במוצאי שבת ג׳ בטבת תשכ״ג לא אירע ליקוי ירח.</w:t>
      </w:r>
    </w:p>
  </w:footnote>
  <w:footnote w:id="4599">
    <w:p w14:paraId="4481CA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ב־3 בספטמבר 1991.</w:t>
      </w:r>
    </w:p>
  </w:footnote>
  <w:footnote w:id="4600">
    <w:p w14:paraId="424CEFF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השנייה של נספח ב להלן.</w:t>
      </w:r>
    </w:p>
  </w:footnote>
  <w:footnote w:id="4601">
    <w:p w14:paraId="1C9D942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1, הערה 8.</w:t>
      </w:r>
    </w:p>
  </w:footnote>
  <w:footnote w:id="4602">
    <w:p w14:paraId="64490DA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הערה 3.</w:t>
      </w:r>
    </w:p>
  </w:footnote>
  <w:footnote w:id="4603">
    <w:p w14:paraId="619CD08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עמ׳ </w:t>
      </w:r>
      <w:r>
        <w:rPr>
          <w:rStyle w:val="a5"/>
          <w:sz w:val="20"/>
          <w:szCs w:val="20"/>
          <w:vertAlign w:val="baseline"/>
          <w:rtl/>
        </w:rPr>
        <w:fldChar w:fldCharType="begin" w:dirty="true"/>
      </w:r>
      <w:r>
        <w:rPr>
          <w:rStyle w:val="a5"/>
          <w:sz w:val="20"/>
          <w:szCs w:val="20"/>
          <w:vertAlign w:val="baseline"/>
          <w:rtl/>
        </w:rPr>
        <w:instrText xml:space="preserve"> PAGEREF pr_f_4662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 xml:space="preserve"> להלן, הערת השוליים </w:t>
      </w:r>
      <w:r>
        <w:rPr>
          <w:rStyle w:val="a5"/>
          <w:sz w:val="20"/>
          <w:szCs w:val="20"/>
          <w:vertAlign w:val="baseline"/>
          <w:rtl/>
        </w:rPr>
        <w:fldChar w:fldCharType="begin" w:dirty="true"/>
      </w:r>
      <w:r>
        <w:rPr>
          <w:rStyle w:val="a5"/>
          <w:sz w:val="20"/>
          <w:szCs w:val="20"/>
          <w:vertAlign w:val="baseline"/>
          <w:rtl/>
        </w:rPr>
        <w:instrText xml:space="preserve"> NOTEREF pr_f_4662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316</w:t>
      </w:r>
      <w:r>
        <w:rPr>
          <w:rStyle w:val="a5"/>
          <w:sz w:val="20"/>
          <w:szCs w:val="20"/>
          <w:vertAlign w:val="baseline"/>
          <w:rtl/>
        </w:rPr>
        <w:fldChar w:fldCharType="end"/>
      </w:r>
      <w:r>
        <w:rPr>
          <w:sz w:val="20"/>
          <w:szCs w:val="20"/>
          <w:rtl/>
        </w:rPr>
        <w:t>.</w:t>
      </w:r>
    </w:p>
  </w:footnote>
  <w:footnote w:id="4604">
    <w:p w14:paraId="57F97CC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נזכר בפרק 3, הערה 79 – עמ׳ 97.</w:t>
      </w:r>
    </w:p>
  </w:footnote>
  <w:footnote w:id="4605">
    <w:p w14:paraId="1933AF3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טוען שהיה ידיד ילדות של ר׳ חיים מאז נעשה ר׳ יוסף־דב רב </w:t>
      </w:r>
      <w:proofErr w:type="spellStart"/>
      <w:r>
        <w:rPr>
          <w:sz w:val="20"/>
          <w:szCs w:val="20"/>
          <w:rtl/>
        </w:rPr>
        <w:t>בסלוצק</w:t>
      </w:r>
      <w:proofErr w:type="spellEnd"/>
      <w:r>
        <w:rPr>
          <w:sz w:val="20"/>
          <w:szCs w:val="20"/>
          <w:rtl/>
        </w:rPr>
        <w:t xml:space="preserve">, עיר הולדתו של המחבר, וכותב שם: “ר׳ חיים היה מבוגר ממני בארבע שנים, ולא פעם הכה אותי כשהשתובבנו בין תפילות מנחה וערבית – הוא היה ילד עליז ושובב”. הטענה שר׳ חיים הכה את המחבר מוזרה ואינה מסתברת, שהרי ר׳ חיים כבר היה בן </w:t>
      </w:r>
      <w:proofErr w:type="spellStart"/>
      <w:r>
        <w:rPr>
          <w:sz w:val="20"/>
          <w:szCs w:val="20"/>
          <w:rtl/>
        </w:rPr>
        <w:t>אחת־עשרה</w:t>
      </w:r>
      <w:proofErr w:type="spellEnd"/>
      <w:r>
        <w:rPr>
          <w:sz w:val="20"/>
          <w:szCs w:val="20"/>
          <w:rtl/>
        </w:rPr>
        <w:t xml:space="preserve"> כשאביו נתמנה לרבה של </w:t>
      </w:r>
      <w:proofErr w:type="spellStart"/>
      <w:r>
        <w:rPr>
          <w:sz w:val="20"/>
          <w:szCs w:val="20"/>
          <w:rtl/>
        </w:rPr>
        <w:t>סלוצק</w:t>
      </w:r>
      <w:proofErr w:type="spellEnd"/>
      <w:r>
        <w:rPr>
          <w:sz w:val="20"/>
          <w:szCs w:val="20"/>
          <w:rtl/>
        </w:rPr>
        <w:t xml:space="preserve">. השווה גם “תורת חיים”, עמ׳ </w:t>
      </w:r>
      <w:proofErr w:type="spellStart"/>
      <w:r>
        <w:rPr>
          <w:sz w:val="20"/>
          <w:szCs w:val="20"/>
          <w:rtl/>
        </w:rPr>
        <w:t>טז</w:t>
      </w:r>
      <w:proofErr w:type="spellEnd"/>
      <w:r>
        <w:rPr>
          <w:sz w:val="20"/>
          <w:szCs w:val="20"/>
          <w:rtl/>
        </w:rPr>
        <w:t xml:space="preserve">, המספר: “כמה אנשים באו אל ר׳ </w:t>
      </w:r>
      <w:proofErr w:type="spellStart"/>
      <w:r>
        <w:rPr>
          <w:sz w:val="20"/>
          <w:szCs w:val="20"/>
          <w:rtl/>
        </w:rPr>
        <w:t xml:space="preserve">יושע־בער</w:t>
      </w:r>
      <w:proofErr w:type="spellEnd"/>
      <w:r>
        <w:rPr>
          <w:sz w:val="20"/>
          <w:szCs w:val="20"/>
          <w:rtl/>
        </w:rPr>
        <w:t xml:space="preserve"> לספר לו שבנו מתקוטט עם ילדים אחרים </w:t>
      </w:r>
      <w:proofErr w:type="spellStart"/>
      <w:r>
        <w:rPr>
          <w:sz w:val="20"/>
          <w:szCs w:val="20"/>
          <w:rtl/>
        </w:rPr>
        <w:t>וכו</w:t>
      </w:r>
      <w:proofErr w:type="spellEnd"/>
      <w:r>
        <w:rPr>
          <w:sz w:val="20"/>
          <w:szCs w:val="20"/>
          <w:rtl/>
        </w:rPr>
        <w:t xml:space="preserve">׳”; אולם ייתכן שהדבר אירע כשעוד גרו </w:t>
      </w:r>
      <w:proofErr w:type="spellStart"/>
      <w:r>
        <w:rPr>
          <w:sz w:val="20"/>
          <w:szCs w:val="20"/>
          <w:rtl/>
        </w:rPr>
        <w:t>בוולוז׳ין</w:t>
      </w:r>
      <w:proofErr w:type="spellEnd"/>
      <w:r>
        <w:rPr>
          <w:sz w:val="20"/>
          <w:szCs w:val="20"/>
          <w:rtl/>
        </w:rPr>
        <w:t xml:space="preserve"> ור׳ חיים היה צעיר יותר.</w:t>
      </w:r>
    </w:p>
  </w:footnote>
  <w:footnote w:id="4606">
    <w:p w14:paraId="6ED48B5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 נספח כ.</w:t>
      </w:r>
    </w:p>
  </w:footnote>
  <w:footnote w:id="4607">
    <w:p w14:paraId="6AF19C2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6 בנספח </w:t>
      </w:r>
      <w:proofErr w:type="spellStart"/>
      <w:r>
        <w:rPr>
          <w:sz w:val="20"/>
          <w:szCs w:val="20"/>
          <w:rtl/>
        </w:rPr>
        <w:t>ל“בכורי</w:t>
      </w:r>
      <w:proofErr w:type="spellEnd"/>
      <w:r>
        <w:rPr>
          <w:sz w:val="20"/>
          <w:szCs w:val="20"/>
          <w:rtl/>
        </w:rPr>
        <w:t xml:space="preserve"> יהודה”, </w:t>
      </w:r>
      <w:proofErr w:type="spellStart"/>
      <w:r>
        <w:rPr>
          <w:sz w:val="20"/>
          <w:szCs w:val="20"/>
          <w:rtl/>
        </w:rPr>
        <w:t>ח״ב</w:t>
      </w:r>
      <w:proofErr w:type="spellEnd"/>
      <w:r>
        <w:rPr>
          <w:sz w:val="20"/>
          <w:szCs w:val="20"/>
          <w:rtl/>
        </w:rPr>
        <w:t xml:space="preserve"> (ת״א, תרצ״ט), מתוך מאמר שנדפס כמה שנים קודם לכן.</w:t>
      </w:r>
    </w:p>
  </w:footnote>
  <w:footnote w:id="4608">
    <w:p w14:paraId="5201975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לימים היה “עסקן ציוני ציבורי וספרן ידוע” בקובנה (על פי “יהדות ליטא” [ראה פרק 3, הערה 9], כרך 2, עמ׳ 252).</w:t>
      </w:r>
    </w:p>
  </w:footnote>
  <w:footnote w:id="4609">
    <w:p w14:paraId="221867A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בבלושר</w:t>
      </w:r>
      <w:proofErr w:type="spellEnd"/>
      <w:r>
        <w:rPr>
          <w:sz w:val="20"/>
          <w:szCs w:val="20"/>
          <w:rtl/>
        </w:rPr>
        <w:t xml:space="preserve"> (נזכר בפרק 3, הפסקה הראשונה של נספח </w:t>
      </w:r>
      <w:proofErr w:type="spellStart"/>
      <w:r>
        <w:rPr>
          <w:sz w:val="20"/>
          <w:szCs w:val="20"/>
          <w:rtl/>
        </w:rPr>
        <w:t>יח</w:t>
      </w:r>
      <w:proofErr w:type="spellEnd"/>
      <w:r>
        <w:rPr>
          <w:sz w:val="20"/>
          <w:szCs w:val="20"/>
          <w:rtl/>
        </w:rPr>
        <w:t xml:space="preserve">), לאחר הציטוט </w:t>
      </w:r>
      <w:proofErr w:type="spellStart"/>
      <w:r>
        <w:rPr>
          <w:sz w:val="20"/>
          <w:szCs w:val="20"/>
          <w:rtl/>
        </w:rPr>
        <w:t>מבלושר</w:t>
      </w:r>
      <w:proofErr w:type="spellEnd"/>
      <w:r>
        <w:rPr>
          <w:sz w:val="20"/>
          <w:szCs w:val="20"/>
          <w:rtl/>
        </w:rPr>
        <w:t xml:space="preserve"> המובא בפרק 4, הפסקה החמישית של נספח ט – חתום “קובנה, תשרי תרצ״ה”.</w:t>
      </w:r>
    </w:p>
  </w:footnote>
  <w:footnote w:id="4610">
    <w:p w14:paraId="1D4C891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החמישית של נספח ו להלן.</w:t>
      </w:r>
    </w:p>
  </w:footnote>
  <w:footnote w:id="4611">
    <w:p w14:paraId="1C333B8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בהקדמתו האוטוביוגרפית </w:t>
      </w:r>
      <w:proofErr w:type="spellStart"/>
      <w:r>
        <w:rPr>
          <w:sz w:val="20"/>
          <w:szCs w:val="20"/>
          <w:rtl/>
        </w:rPr>
        <w:t>ל“יריעות</w:t>
      </w:r>
      <w:proofErr w:type="spellEnd"/>
      <w:r>
        <w:rPr>
          <w:sz w:val="20"/>
          <w:szCs w:val="20"/>
          <w:rtl/>
        </w:rPr>
        <w:t xml:space="preserve"> שלמה” (ירושלים, </w:t>
      </w:r>
      <w:proofErr w:type="spellStart"/>
      <w:r>
        <w:rPr>
          <w:sz w:val="20"/>
          <w:szCs w:val="20"/>
          <w:rtl/>
        </w:rPr>
        <w:t>התשד״מ</w:t>
      </w:r>
      <w:proofErr w:type="spellEnd"/>
      <w:r>
        <w:rPr>
          <w:sz w:val="20"/>
          <w:szCs w:val="20"/>
          <w:rtl/>
        </w:rPr>
        <w:t xml:space="preserve">), עמ׳ 37. הוא נולד </w:t>
      </w:r>
      <w:proofErr w:type="spellStart"/>
      <w:r>
        <w:rPr>
          <w:sz w:val="20"/>
          <w:szCs w:val="20"/>
          <w:rtl/>
        </w:rPr>
        <w:t>בתרמ״ט</w:t>
      </w:r>
      <w:proofErr w:type="spellEnd"/>
      <w:r>
        <w:rPr>
          <w:sz w:val="20"/>
          <w:szCs w:val="20"/>
          <w:rtl/>
        </w:rPr>
        <w:t>.</w:t>
      </w:r>
    </w:p>
  </w:footnote>
  <w:footnote w:id="4612">
    <w:p w14:paraId="747E6DA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חלק א, עמ׳ </w:t>
      </w:r>
      <w:proofErr w:type="spellStart"/>
      <w:r>
        <w:rPr>
          <w:sz w:val="20"/>
          <w:szCs w:val="20"/>
          <w:rtl/>
        </w:rPr>
        <w:t>רנז</w:t>
      </w:r>
      <w:proofErr w:type="spellEnd"/>
      <w:r>
        <w:rPr>
          <w:sz w:val="20"/>
          <w:szCs w:val="20"/>
          <w:rtl/>
        </w:rPr>
        <w:t>.</w:t>
      </w:r>
    </w:p>
  </w:footnote>
  <w:footnote w:id="4613">
    <w:p w14:paraId="314246F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אין זה מדויק, שהרי ר׳ חיים לא המתין </w:t>
      </w:r>
      <w:proofErr w:type="spellStart"/>
      <w:r>
        <w:rPr>
          <w:sz w:val="20"/>
          <w:szCs w:val="20"/>
          <w:rtl/>
        </w:rPr>
        <w:t>בבריסק</w:t>
      </w:r>
      <w:proofErr w:type="spellEnd"/>
      <w:r>
        <w:rPr>
          <w:sz w:val="20"/>
          <w:szCs w:val="20"/>
          <w:rtl/>
        </w:rPr>
        <w:t xml:space="preserve"> עד שתגיע אליו החזית, אלא נמלט למינסק קודם לכן. ראה גם נספח ט להלן: ר׳ אברהם </w:t>
      </w:r>
      <w:proofErr w:type="spellStart"/>
      <w:r>
        <w:rPr>
          <w:sz w:val="20"/>
          <w:szCs w:val="20"/>
          <w:rtl/>
        </w:rPr>
        <w:t>קלמנוביץ</w:t>
      </w:r>
      <w:proofErr w:type="spellEnd"/>
      <w:r>
        <w:rPr>
          <w:sz w:val="20"/>
          <w:szCs w:val="20"/>
          <w:rtl/>
        </w:rPr>
        <w:t xml:space="preserve"> סיפר שר׳ חיים כבר היה במינסק ב־1914, ואילו </w:t>
      </w:r>
      <w:proofErr w:type="spellStart"/>
      <w:r>
        <w:rPr>
          <w:sz w:val="20"/>
          <w:szCs w:val="20"/>
          <w:rtl/>
        </w:rPr>
        <w:t>בריסק</w:t>
      </w:r>
      <w:proofErr w:type="spellEnd"/>
      <w:r>
        <w:rPr>
          <w:sz w:val="20"/>
          <w:szCs w:val="20"/>
          <w:rtl/>
        </w:rPr>
        <w:t xml:space="preserve"> נפלה לידי הגרמנים ב־26 באוגוסט 1915. הגרמנים ראו את ר׳ חיים רק אחרי שכבשו את מינסק ב־22 בפברואר 1918; מישהו בשרשרת מסירת הסיפור החליף בין עיר זו לבין </w:t>
      </w:r>
      <w:proofErr w:type="spellStart"/>
      <w:r>
        <w:rPr>
          <w:sz w:val="20"/>
          <w:szCs w:val="20"/>
          <w:rtl/>
        </w:rPr>
        <w:t>בריסק</w:t>
      </w:r>
      <w:proofErr w:type="spellEnd"/>
      <w:r>
        <w:rPr>
          <w:sz w:val="20"/>
          <w:szCs w:val="20"/>
          <w:rtl/>
        </w:rPr>
        <w:t>.</w:t>
      </w:r>
    </w:p>
  </w:footnote>
  <w:footnote w:id="4614">
    <w:p w14:paraId="56A91F5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הרביעית של נספח ו להלן – עמ׳ 36.</w:t>
      </w:r>
    </w:p>
  </w:footnote>
  <w:footnote w:id="4615">
    <w:p w14:paraId="3124FE0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ראשית נספח טו בפרק 3, ופרק 4, נספח כ.</w:t>
      </w:r>
    </w:p>
  </w:footnote>
  <w:footnote w:id="4616">
    <w:p w14:paraId="7331A10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ההערה הבאה.</w:t>
      </w:r>
    </w:p>
  </w:footnote>
  <w:footnote w:id="4617">
    <w:p w14:paraId="51FAEDD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דף </w:t>
      </w:r>
      <w:proofErr w:type="spellStart"/>
      <w:r>
        <w:rPr>
          <w:sz w:val="20"/>
          <w:szCs w:val="20"/>
          <w:rtl/>
        </w:rPr>
        <w:t>טז</w:t>
      </w:r>
      <w:proofErr w:type="spellEnd"/>
      <w:r>
        <w:rPr>
          <w:sz w:val="20"/>
          <w:szCs w:val="20"/>
          <w:rtl/>
        </w:rPr>
        <w:t xml:space="preserve"> ע״א.</w:t>
      </w:r>
    </w:p>
  </w:footnote>
  <w:footnote w:id="4618">
    <w:p w14:paraId="2282635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רעו.</w:t>
      </w:r>
    </w:p>
  </w:footnote>
  <w:footnote w:id="4619">
    <w:p w14:paraId="7F29B01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פרק 3, נספח </w:t>
      </w:r>
      <w:proofErr w:type="spellStart"/>
      <w:r>
        <w:rPr>
          <w:sz w:val="20"/>
          <w:szCs w:val="20"/>
          <w:rtl/>
        </w:rPr>
        <w:t>כז</w:t>
      </w:r>
      <w:proofErr w:type="spellEnd"/>
      <w:r>
        <w:rPr>
          <w:sz w:val="20"/>
          <w:szCs w:val="20"/>
          <w:rtl/>
        </w:rPr>
        <w:t>.</w:t>
      </w:r>
    </w:p>
  </w:footnote>
  <w:footnote w:id="4620">
    <w:p w14:paraId="7D56022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2.</w:t>
      </w:r>
    </w:p>
  </w:footnote>
  <w:footnote w:id="4621">
    <w:p w14:paraId="679D863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ההערה הקודמת.</w:t>
      </w:r>
    </w:p>
  </w:footnote>
  <w:footnote w:id="4622">
    <w:p w14:paraId="21336D3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עיין קידושין לב ע״ב: “לא אמרתי קימה אלא במקום שיש הידור”.</w:t>
      </w:r>
    </w:p>
  </w:footnote>
  <w:footnote w:id="4623">
    <w:p w14:paraId="4CF17A0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פרק 2, נספח ד – עמ׳ </w:t>
      </w:r>
      <w:proofErr w:type="spellStart"/>
      <w:r>
        <w:rPr>
          <w:sz w:val="20"/>
          <w:szCs w:val="20"/>
          <w:rtl/>
        </w:rPr>
        <w:t>תכא</w:t>
      </w:r>
      <w:proofErr w:type="spellEnd"/>
      <w:r>
        <w:rPr>
          <w:sz w:val="20"/>
          <w:szCs w:val="20"/>
          <w:rtl/>
        </w:rPr>
        <w:t xml:space="preserve">. השווה גם שם, עמ׳ </w:t>
      </w:r>
      <w:proofErr w:type="spellStart"/>
      <w:r>
        <w:rPr>
          <w:sz w:val="20"/>
          <w:szCs w:val="20"/>
          <w:rtl/>
        </w:rPr>
        <w:t>תלג</w:t>
      </w:r>
      <w:proofErr w:type="spellEnd"/>
      <w:r>
        <w:rPr>
          <w:sz w:val="20"/>
          <w:szCs w:val="20"/>
          <w:rtl/>
        </w:rPr>
        <w:t>, הערה 1.</w:t>
      </w:r>
    </w:p>
  </w:footnote>
  <w:footnote w:id="4624">
    <w:p w14:paraId="66E3F87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הערה 76 להלן.</w:t>
      </w:r>
    </w:p>
  </w:footnote>
  <w:footnote w:id="4625">
    <w:p w14:paraId="52C10DA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3, נספח ח.</w:t>
      </w:r>
    </w:p>
  </w:footnote>
  <w:footnote w:id="4626">
    <w:p w14:paraId="5336BB7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תחילת הפסקה הראשונה של נספח א להלן – עמ׳ 79–80.</w:t>
      </w:r>
    </w:p>
  </w:footnote>
  <w:footnote w:id="4627">
    <w:p w14:paraId="75C32D6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הערה 26 לעיל – עמ׳ 96. ראה גם פרק 3, הערת שוליים </w:t>
      </w:r>
      <w:r>
        <w:rPr>
          <w:rStyle w:val="a5"/>
          <w:sz w:val="20"/>
          <w:szCs w:val="20"/>
          <w:vertAlign w:val="baseline"/>
          <w:rtl/>
        </w:rPr>
        <w:fldChar w:fldCharType="begin" w:dirty="true"/>
      </w:r>
      <w:r>
        <w:rPr>
          <w:rStyle w:val="a5"/>
          <w:sz w:val="20"/>
          <w:szCs w:val="20"/>
          <w:vertAlign w:val="baseline"/>
          <w:rtl/>
        </w:rPr>
        <w:instrText xml:space="preserve"> NOTEREF pr_f_1684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732</w:t>
      </w:r>
      <w:r>
        <w:rPr>
          <w:rStyle w:val="a5"/>
          <w:sz w:val="20"/>
          <w:szCs w:val="20"/>
          <w:vertAlign w:val="baseline"/>
          <w:rtl/>
        </w:rPr>
        <w:fldChar w:fldCharType="end"/>
      </w:r>
      <w:r>
        <w:rPr>
          <w:rStyle w:val="a5"/>
          <w:sz w:val="20"/>
          <w:szCs w:val="20"/>
          <w:vertAlign w:val="baseline"/>
          <w:rtl/>
        </w:rPr>
        <w:t xml:space="preserve">, עמ׳ </w:t>
      </w:r>
      <w:r>
        <w:rPr>
          <w:rStyle w:val="a5"/>
          <w:sz w:val="20"/>
          <w:szCs w:val="20"/>
          <w:vertAlign w:val="baseline"/>
          <w:rtl/>
        </w:rPr>
        <w:fldChar w:fldCharType="begin" w:dirty="true"/>
      </w:r>
      <w:r>
        <w:rPr>
          <w:rStyle w:val="a5"/>
          <w:sz w:val="20"/>
          <w:szCs w:val="20"/>
          <w:vertAlign w:val="baseline"/>
          <w:rtl/>
        </w:rPr>
        <w:instrText xml:space="preserve"> PAGEREF pr_f_1684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w:t>
      </w:r>
    </w:p>
  </w:footnote>
  <w:footnote w:id="4628">
    <w:p w14:paraId="5BB1D2C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הפסקה הרביעית של נספח ו להלן – עמ׳ קנא–קנב.</w:t>
      </w:r>
    </w:p>
  </w:footnote>
  <w:footnote w:id="4629">
    <w:p w14:paraId="4FF13BE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3, הפסקה החמישית של נספח </w:t>
      </w:r>
      <w:proofErr w:type="spellStart"/>
      <w:r>
        <w:rPr>
          <w:sz w:val="20"/>
          <w:szCs w:val="20"/>
          <w:rtl/>
        </w:rPr>
        <w:t>יח</w:t>
      </w:r>
      <w:proofErr w:type="spellEnd"/>
      <w:r>
        <w:rPr>
          <w:sz w:val="20"/>
          <w:szCs w:val="20"/>
          <w:rtl/>
        </w:rPr>
        <w:t>.</w:t>
      </w:r>
    </w:p>
  </w:footnote>
  <w:footnote w:id="4630">
    <w:p w14:paraId="749495B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4, הערה 145, ופרק 3, הערה 95 והפסקה השלישית של נספח </w:t>
      </w:r>
      <w:proofErr w:type="spellStart"/>
      <w:r>
        <w:rPr>
          <w:sz w:val="20"/>
          <w:szCs w:val="20"/>
          <w:rtl/>
        </w:rPr>
        <w:t>יח</w:t>
      </w:r>
      <w:proofErr w:type="spellEnd"/>
      <w:r>
        <w:rPr>
          <w:sz w:val="20"/>
          <w:szCs w:val="20"/>
          <w:rtl/>
        </w:rPr>
        <w:t>.</w:t>
      </w:r>
    </w:p>
  </w:footnote>
  <w:footnote w:id="4631">
    <w:p w14:paraId="0340642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26 לעיל – עמ׳ 494.</w:t>
      </w:r>
    </w:p>
  </w:footnote>
  <w:footnote w:id="4632">
    <w:p w14:paraId="584FCBF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המחבר חוזר על המילה “רוח” מפני שהוא מבקש לרמוז למשחק מילים. בשימוש הראשון אפשר לפרשה לא כ“(</w:t>
      </w:r>
      <w:proofErr w:type="spellStart"/>
      <w:r>
        <w:rPr>
          <w:sz w:val="20"/>
          <w:szCs w:val="20"/>
          <w:rtl/>
        </w:rPr>
        <w:t>ניזונת</w:t>
      </w:r>
      <w:proofErr w:type="spellEnd"/>
      <w:r>
        <w:rPr>
          <w:sz w:val="20"/>
          <w:szCs w:val="20"/>
          <w:rtl/>
        </w:rPr>
        <w:t xml:space="preserve"> מן ה)רוח” אלא כ“(</w:t>
      </w:r>
      <w:proofErr w:type="spellStart"/>
      <w:r>
        <w:rPr>
          <w:sz w:val="20"/>
          <w:szCs w:val="20"/>
          <w:rtl/>
        </w:rPr>
        <w:t>ניזונת</w:t>
      </w:r>
      <w:proofErr w:type="spellEnd"/>
      <w:r>
        <w:rPr>
          <w:sz w:val="20"/>
          <w:szCs w:val="20"/>
          <w:rtl/>
        </w:rPr>
        <w:t xml:space="preserve"> מן ה)אוויר” – כלומר, תלויה באוויר ואין לה בסיס תמיכה איתן.</w:t>
      </w:r>
    </w:p>
  </w:footnote>
  <w:footnote w:id="4633">
    <w:p w14:paraId="0850B6B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מקור הביטוי הוא ברכות י ע״א; שם ההפניה היא לתפילה, ואילו כאן מתכוון המחבר לאיגרות או להכרזות של פנייה לעזרה.</w:t>
      </w:r>
    </w:p>
  </w:footnote>
  <w:footnote w:id="4634">
    <w:p w14:paraId="1B7EA89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הערת שוליים </w:t>
      </w:r>
      <w:r>
        <w:rPr>
          <w:rStyle w:val="a5"/>
          <w:sz w:val="20"/>
          <w:szCs w:val="20"/>
          <w:vertAlign w:val="baseline"/>
          <w:rtl/>
        </w:rPr>
        <w:fldChar w:fldCharType="begin" w:dirty="true"/>
      </w:r>
      <w:r>
        <w:rPr>
          <w:rStyle w:val="a5"/>
          <w:sz w:val="20"/>
          <w:szCs w:val="20"/>
          <w:vertAlign w:val="baseline"/>
          <w:rtl/>
        </w:rPr>
        <w:instrText xml:space="preserve"> NOTEREF pr_f_4501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156</w:t>
      </w:r>
      <w:r>
        <w:rPr>
          <w:rStyle w:val="a5"/>
          <w:sz w:val="20"/>
          <w:szCs w:val="20"/>
          <w:vertAlign w:val="baseline"/>
          <w:rtl/>
        </w:rPr>
        <w:fldChar w:fldCharType="end"/>
      </w:r>
      <w:r>
        <w:rPr>
          <w:sz w:val="20"/>
          <w:szCs w:val="20"/>
          <w:rtl/>
        </w:rPr>
        <w:t xml:space="preserve"> לעיל, לרמז תרגומי אחר.</w:t>
      </w:r>
    </w:p>
  </w:footnote>
  <w:footnote w:id="4635">
    <w:p w14:paraId="651619A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עב.</w:t>
      </w:r>
    </w:p>
  </w:footnote>
  <w:footnote w:id="4636">
    <w:p w14:paraId="1BE2ADA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יואל ב, ז.</w:t>
      </w:r>
    </w:p>
  </w:footnote>
  <w:footnote w:id="4637">
    <w:p w14:paraId="622CA9E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“יעקב מארק” (הפסקה השנייה של נספח ב להלן), עמ׳ 199.</w:t>
      </w:r>
    </w:p>
  </w:footnote>
  <w:footnote w:id="4638">
    <w:p w14:paraId="667F9CC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הראשונה של נספח ב להלן – חלק ב, עמ׳ לה.</w:t>
      </w:r>
    </w:p>
  </w:footnote>
  <w:footnote w:id="4639">
    <w:p w14:paraId="48AF24B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הפסקה החמישית של נספח ו להלן, שלפיה היה הרב </w:t>
      </w:r>
      <w:proofErr w:type="spellStart"/>
      <w:r>
        <w:rPr>
          <w:sz w:val="20"/>
          <w:szCs w:val="20"/>
          <w:rtl/>
        </w:rPr>
        <w:t>מייזל</w:t>
      </w:r>
      <w:proofErr w:type="spellEnd"/>
      <w:r>
        <w:rPr>
          <w:sz w:val="20"/>
          <w:szCs w:val="20"/>
          <w:rtl/>
        </w:rPr>
        <w:t xml:space="preserve"> אחד משני הרבנים הגדולים שהסמיכוהו.</w:t>
      </w:r>
    </w:p>
  </w:footnote>
  <w:footnote w:id="4640">
    <w:p w14:paraId="021F40F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ישעיה ס, </w:t>
      </w:r>
      <w:proofErr w:type="spellStart"/>
      <w:r>
        <w:rPr>
          <w:sz w:val="20"/>
          <w:szCs w:val="20"/>
          <w:rtl/>
        </w:rPr>
        <w:t>כא</w:t>
      </w:r>
      <w:proofErr w:type="spellEnd"/>
      <w:r>
        <w:rPr>
          <w:sz w:val="20"/>
          <w:szCs w:val="20"/>
          <w:rtl/>
        </w:rPr>
        <w:t>; גם הוא ספר קודש!</w:t>
      </w:r>
    </w:p>
  </w:footnote>
  <w:footnote w:id="4641">
    <w:p w14:paraId="040C131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סוף הפסקה התשיעית של נספח ו להלן.</w:t>
      </w:r>
    </w:p>
  </w:footnote>
  <w:footnote w:id="4642">
    <w:p w14:paraId="5E44CDD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השנייה של נספח ב להלן – עמ׳ קפה–</w:t>
      </w:r>
      <w:proofErr w:type="spellStart"/>
      <w:r>
        <w:rPr>
          <w:sz w:val="20"/>
          <w:szCs w:val="20"/>
          <w:rtl/>
        </w:rPr>
        <w:t>קפו</w:t>
      </w:r>
      <w:proofErr w:type="spellEnd"/>
      <w:r>
        <w:rPr>
          <w:sz w:val="20"/>
          <w:szCs w:val="20"/>
          <w:rtl/>
        </w:rPr>
        <w:t>.</w:t>
      </w:r>
    </w:p>
  </w:footnote>
  <w:footnote w:id="4643">
    <w:p w14:paraId="1098BCD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 הערה 139.</w:t>
      </w:r>
    </w:p>
  </w:footnote>
  <w:footnote w:id="4644">
    <w:p w14:paraId="4E901F5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עיין </w:t>
      </w:r>
      <w:proofErr w:type="spellStart"/>
      <w:r>
        <w:rPr>
          <w:sz w:val="20"/>
          <w:szCs w:val="20"/>
          <w:rtl/>
        </w:rPr>
        <w:t>שו״ע</w:t>
      </w:r>
      <w:proofErr w:type="spellEnd"/>
      <w:r>
        <w:rPr>
          <w:sz w:val="20"/>
          <w:szCs w:val="20"/>
          <w:rtl/>
        </w:rPr>
        <w:t xml:space="preserve"> </w:t>
      </w:r>
      <w:proofErr w:type="spellStart"/>
      <w:r>
        <w:rPr>
          <w:sz w:val="20"/>
          <w:szCs w:val="20"/>
          <w:rtl/>
        </w:rPr>
        <w:t>או״ח</w:t>
      </w:r>
      <w:proofErr w:type="spellEnd"/>
      <w:r>
        <w:rPr>
          <w:sz w:val="20"/>
          <w:szCs w:val="20"/>
          <w:rtl/>
        </w:rPr>
        <w:t xml:space="preserve"> ריש סי׳ קל״ט, ושמות רבה ריש פרשת כי </w:t>
      </w:r>
      <w:proofErr w:type="spellStart"/>
      <w:r>
        <w:rPr>
          <w:sz w:val="20"/>
          <w:szCs w:val="20"/>
          <w:rtl/>
        </w:rPr>
        <w:t>תשא</w:t>
      </w:r>
      <w:proofErr w:type="spellEnd"/>
      <w:r>
        <w:rPr>
          <w:sz w:val="20"/>
          <w:szCs w:val="20"/>
          <w:rtl/>
        </w:rPr>
        <w:t>.</w:t>
      </w:r>
    </w:p>
  </w:footnote>
  <w:footnote w:id="4645">
    <w:p w14:paraId="0A0F847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פרק 3, הפסקה הראשונה של נספח לה, שבה משמשת עמדה זו בעניין יחסו של ר׳ </w:t>
      </w:r>
      <w:proofErr w:type="spellStart"/>
      <w:r>
        <w:rPr>
          <w:sz w:val="20"/>
          <w:szCs w:val="20"/>
          <w:rtl/>
        </w:rPr>
        <w:t>דוד׳ל</w:t>
      </w:r>
      <w:proofErr w:type="spellEnd"/>
      <w:r>
        <w:rPr>
          <w:sz w:val="20"/>
          <w:szCs w:val="20"/>
          <w:rtl/>
        </w:rPr>
        <w:t xml:space="preserve"> לתלמידים להפרכת הטענה שכמה מתלמידי </w:t>
      </w:r>
      <w:proofErr w:type="spellStart"/>
      <w:r>
        <w:rPr>
          <w:sz w:val="20"/>
          <w:szCs w:val="20"/>
          <w:rtl/>
        </w:rPr>
        <w:t>סלבודקה</w:t>
      </w:r>
      <w:proofErr w:type="spellEnd"/>
      <w:r>
        <w:rPr>
          <w:sz w:val="20"/>
          <w:szCs w:val="20"/>
          <w:rtl/>
        </w:rPr>
        <w:t xml:space="preserve"> המעולים, ובהם רבנו, עזבו את כנסת ישראל כדי ללמוד אצל ר׳ </w:t>
      </w:r>
      <w:proofErr w:type="spellStart"/>
      <w:r>
        <w:rPr>
          <w:sz w:val="20"/>
          <w:szCs w:val="20"/>
          <w:rtl/>
        </w:rPr>
        <w:t>דוד׳ל</w:t>
      </w:r>
      <w:proofErr w:type="spellEnd"/>
      <w:r>
        <w:rPr>
          <w:sz w:val="20"/>
          <w:szCs w:val="20"/>
          <w:rtl/>
        </w:rPr>
        <w:t xml:space="preserve"> פרידמן.</w:t>
      </w:r>
    </w:p>
  </w:footnote>
  <w:footnote w:id="4646">
    <w:p w14:paraId="105A32C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הפסקה הראשונה של נספח ו להלן.</w:t>
      </w:r>
    </w:p>
  </w:footnote>
  <w:footnote w:id="4647">
    <w:p w14:paraId="6F5B032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לפרק 3, סוף הפסקה השלישית של נספח יד, ולפרק 4, הפסקה </w:t>
      </w:r>
      <w:proofErr w:type="spellStart"/>
      <w:r>
        <w:rPr>
          <w:sz w:val="20"/>
          <w:szCs w:val="20"/>
          <w:rtl/>
        </w:rPr>
        <w:t>הלפני־אחרונה</w:t>
      </w:r>
      <w:proofErr w:type="spellEnd"/>
      <w:r>
        <w:rPr>
          <w:sz w:val="20"/>
          <w:szCs w:val="20"/>
          <w:rtl/>
        </w:rPr>
        <w:t xml:space="preserve"> של נספח ט.</w:t>
      </w:r>
    </w:p>
  </w:footnote>
  <w:footnote w:id="4648">
    <w:p w14:paraId="11953A4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ידעאל</w:t>
      </w:r>
      <w:proofErr w:type="spellEnd"/>
      <w:r>
        <w:rPr>
          <w:sz w:val="20"/>
          <w:szCs w:val="20"/>
          <w:rtl/>
        </w:rPr>
        <w:t xml:space="preserve"> מלצר, “בדרך עץ החיים” (שם, פרק 1, הערה 7), עמ׳ 48.</w:t>
      </w:r>
    </w:p>
  </w:footnote>
  <w:footnote w:id="4649">
    <w:p w14:paraId="24EA5FE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מסופר שר׳ </w:t>
      </w:r>
      <w:proofErr w:type="spellStart"/>
      <w:r>
        <w:rPr>
          <w:sz w:val="20"/>
          <w:szCs w:val="20"/>
          <w:rtl/>
        </w:rPr>
        <w:t>איסר־זלמן</w:t>
      </w:r>
      <w:proofErr w:type="spellEnd"/>
      <w:r>
        <w:rPr>
          <w:sz w:val="20"/>
          <w:szCs w:val="20"/>
          <w:rtl/>
        </w:rPr>
        <w:t xml:space="preserve"> מתח ביקורת על “יצר הרע בלתי מובן לקצץ את שערות הזקן עד שורשיהן”. לפי זה אפשר לשער שגם </w:t>
      </w:r>
      <w:proofErr w:type="spellStart"/>
      <w:r>
        <w:rPr>
          <w:sz w:val="20"/>
          <w:szCs w:val="20"/>
          <w:rtl/>
        </w:rPr>
        <w:t>הנצי״ב</w:t>
      </w:r>
      <w:proofErr w:type="spellEnd"/>
      <w:r>
        <w:rPr>
          <w:sz w:val="20"/>
          <w:szCs w:val="20"/>
          <w:rtl/>
        </w:rPr>
        <w:t xml:space="preserve"> בדק רק אם התלמיד “קצץ את שערות הזקן עד שורשיהן”, או שזקנו עוד לא התחיל לצמוח, בלי לחשוד שתלמיד ישתמש בתער האסור בהלכה. אבל השערה זו אינה מסתברת, שכן נראה שגם תלמידים מבוגרים, שוודאי כבר צמחו שערות בפניהם, נבדקו במישוש ידו של </w:t>
      </w:r>
      <w:proofErr w:type="spellStart"/>
      <w:r>
        <w:rPr>
          <w:sz w:val="20"/>
          <w:szCs w:val="20"/>
          <w:rtl/>
        </w:rPr>
        <w:t>הנצי״ב</w:t>
      </w:r>
      <w:proofErr w:type="spellEnd"/>
      <w:r>
        <w:rPr>
          <w:sz w:val="20"/>
          <w:szCs w:val="20"/>
          <w:rtl/>
        </w:rPr>
        <w:t xml:space="preserve">; </w:t>
      </w:r>
      <w:proofErr w:type="spellStart"/>
      <w:r>
        <w:rPr>
          <w:sz w:val="20"/>
          <w:szCs w:val="20"/>
          <w:rtl/>
        </w:rPr>
        <w:t>ו“עלי</w:t>
      </w:r>
      <w:proofErr w:type="spellEnd"/>
      <w:r>
        <w:rPr>
          <w:sz w:val="20"/>
          <w:szCs w:val="20"/>
          <w:rtl/>
        </w:rPr>
        <w:t xml:space="preserve"> תמר”, המובא בפרק 4, נספח ט, אומר במפורש </w:t>
      </w:r>
      <w:proofErr w:type="spellStart"/>
      <w:r>
        <w:rPr>
          <w:sz w:val="20"/>
          <w:szCs w:val="20"/>
          <w:rtl/>
        </w:rPr>
        <w:t>ש“הנצי״ב</w:t>
      </w:r>
      <w:proofErr w:type="spellEnd"/>
      <w:r>
        <w:rPr>
          <w:sz w:val="20"/>
          <w:szCs w:val="20"/>
          <w:rtl/>
        </w:rPr>
        <w:t xml:space="preserve"> התבונן בבחורים שזקנם התחיל לצמוח, </w:t>
      </w:r>
      <w:proofErr w:type="spellStart"/>
      <w:r>
        <w:rPr>
          <w:sz w:val="20"/>
          <w:szCs w:val="20"/>
          <w:rtl/>
        </w:rPr>
        <w:t>וכו</w:t>
      </w:r>
      <w:proofErr w:type="spellEnd"/>
      <w:r>
        <w:rPr>
          <w:sz w:val="20"/>
          <w:szCs w:val="20"/>
          <w:rtl/>
        </w:rPr>
        <w:t>׳”.</w:t>
      </w:r>
    </w:p>
  </w:footnote>
  <w:footnote w:id="4650">
    <w:p w14:paraId="4E6F23F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הפסקה הרביעית של נספח ו להלן.</w:t>
      </w:r>
    </w:p>
  </w:footnote>
  <w:footnote w:id="4651">
    <w:p w14:paraId="18C4D51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w:t>
      </w:r>
      <w:proofErr w:type="spellStart"/>
      <w:r>
        <w:rPr>
          <w:sz w:val="20"/>
          <w:szCs w:val="20"/>
          <w:rtl/>
        </w:rPr>
        <w:t>ידעאל</w:t>
      </w:r>
      <w:proofErr w:type="spellEnd"/>
      <w:r>
        <w:rPr>
          <w:sz w:val="20"/>
          <w:szCs w:val="20"/>
          <w:rtl/>
        </w:rPr>
        <w:t xml:space="preserve"> מלצר, “בדרך עץ החיים”, עמ׳ 47, שר׳ </w:t>
      </w:r>
      <w:proofErr w:type="spellStart"/>
      <w:r>
        <w:rPr>
          <w:sz w:val="20"/>
          <w:szCs w:val="20"/>
          <w:rtl/>
        </w:rPr>
        <w:t>איסר־זלמן</w:t>
      </w:r>
      <w:proofErr w:type="spellEnd"/>
      <w:r>
        <w:rPr>
          <w:sz w:val="20"/>
          <w:szCs w:val="20"/>
          <w:rtl/>
        </w:rPr>
        <w:t xml:space="preserve"> סיפר שר׳ </w:t>
      </w:r>
      <w:proofErr w:type="spellStart"/>
      <w:r>
        <w:rPr>
          <w:sz w:val="20"/>
          <w:szCs w:val="20"/>
          <w:rtl/>
        </w:rPr>
        <w:t>אברהם־יצחק</w:t>
      </w:r>
      <w:proofErr w:type="spellEnd"/>
      <w:r>
        <w:rPr>
          <w:sz w:val="20"/>
          <w:szCs w:val="20"/>
          <w:rtl/>
        </w:rPr>
        <w:t xml:space="preserve"> קוק לא היה חביב על חבריו בישיבה, מפני שבצדקות יתרה דאג שהפסוק “</w:t>
      </w:r>
      <w:proofErr w:type="spellStart"/>
      <w:r>
        <w:rPr>
          <w:sz w:val="20"/>
          <w:szCs w:val="20"/>
          <w:rtl/>
        </w:rPr>
        <w:t>שויתי</w:t>
      </w:r>
      <w:proofErr w:type="spellEnd"/>
      <w:r>
        <w:rPr>
          <w:sz w:val="20"/>
          <w:szCs w:val="20"/>
          <w:rtl/>
        </w:rPr>
        <w:t xml:space="preserve"> ה׳ לנגדי תמיד” (תהלים </w:t>
      </w:r>
      <w:proofErr w:type="spellStart"/>
      <w:r>
        <w:rPr>
          <w:sz w:val="20"/>
          <w:szCs w:val="20"/>
          <w:rtl/>
        </w:rPr>
        <w:t>טז</w:t>
      </w:r>
      <w:proofErr w:type="spellEnd"/>
      <w:r>
        <w:rPr>
          <w:sz w:val="20"/>
          <w:szCs w:val="20"/>
          <w:rtl/>
        </w:rPr>
        <w:t>, ח) ייקבע על המנורה שלפני מקומו בבית המדרש, והפציר בראש הישיבה (כנראה בלא הצלחה) לסלק תלמיד פיקח שהטיל ספק בתוקפו של פירוש תלמודי לפסוק מסוים.</w:t>
      </w:r>
    </w:p>
  </w:footnote>
  <w:footnote w:id="4652">
    <w:p w14:paraId="52308D7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מ־2 בנובמבר 1995.</w:t>
      </w:r>
    </w:p>
  </w:footnote>
  <w:footnote w:id="4653">
    <w:p w14:paraId="2BAF85C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ישראל, תשנ״ה – עמ׳ 66.</w:t>
      </w:r>
    </w:p>
  </w:footnote>
  <w:footnote w:id="4654">
    <w:p w14:paraId="07AB75E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 הערה 111 לעיל.</w:t>
      </w:r>
    </w:p>
  </w:footnote>
  <w:footnote w:id="4655">
    <w:p w14:paraId="57D65C7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2.3, הפסקה הרביעית, על יוצא מן הכלל.</w:t>
      </w:r>
    </w:p>
  </w:footnote>
  <w:footnote w:id="4656">
    <w:p w14:paraId="55A5C9E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3, הפסקה השנייה של נספח </w:t>
      </w:r>
      <w:proofErr w:type="spellStart"/>
      <w:r>
        <w:rPr>
          <w:sz w:val="20"/>
          <w:szCs w:val="20"/>
          <w:rtl/>
        </w:rPr>
        <w:t>כב</w:t>
      </w:r>
      <w:proofErr w:type="spellEnd"/>
      <w:r>
        <w:rPr>
          <w:sz w:val="20"/>
          <w:szCs w:val="20"/>
          <w:rtl/>
        </w:rPr>
        <w:t>.</w:t>
      </w:r>
    </w:p>
  </w:footnote>
  <w:footnote w:id="4657">
    <w:p w14:paraId="54403F4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כרכים 2 ו־3.</w:t>
      </w:r>
    </w:p>
  </w:footnote>
  <w:footnote w:id="4658">
    <w:p w14:paraId="3FC8206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סיפר ר׳ זלמן </w:t>
      </w:r>
      <w:proofErr w:type="spellStart"/>
      <w:r>
        <w:rPr>
          <w:sz w:val="20"/>
          <w:szCs w:val="20"/>
          <w:rtl/>
        </w:rPr>
        <w:t>שרפמן</w:t>
      </w:r>
      <w:proofErr w:type="spellEnd"/>
      <w:r>
        <w:rPr>
          <w:sz w:val="20"/>
          <w:szCs w:val="20"/>
          <w:rtl/>
        </w:rPr>
        <w:t>, בריאיון מ־22 באפריל 1992.</w:t>
      </w:r>
    </w:p>
  </w:footnote>
  <w:footnote w:id="4659">
    <w:p w14:paraId="7B90875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ב“כפר</w:t>
      </w:r>
      <w:proofErr w:type="spellEnd"/>
      <w:r>
        <w:rPr>
          <w:sz w:val="20"/>
          <w:szCs w:val="20"/>
          <w:rtl/>
        </w:rPr>
        <w:t xml:space="preserve"> חב״ד”, הגיליון מד׳ בסיוון תשמ״ט.</w:t>
      </w:r>
    </w:p>
  </w:footnote>
  <w:footnote w:id="4660">
    <w:p w14:paraId="72A589C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פרק 3, הפסקה השנייה של נספח </w:t>
      </w:r>
      <w:proofErr w:type="spellStart"/>
      <w:r>
        <w:rPr>
          <w:sz w:val="20"/>
          <w:szCs w:val="20"/>
          <w:rtl/>
        </w:rPr>
        <w:t>יט</w:t>
      </w:r>
      <w:proofErr w:type="spellEnd"/>
      <w:r>
        <w:rPr>
          <w:sz w:val="20"/>
          <w:szCs w:val="20"/>
          <w:rtl/>
        </w:rPr>
        <w:t>.</w:t>
      </w:r>
    </w:p>
  </w:footnote>
  <w:footnote w:id="4661">
    <w:p w14:paraId="53A330F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לר</w:t>
      </w:r>
      <w:proofErr w:type="spellEnd"/>
      <w:r>
        <w:rPr>
          <w:sz w:val="20"/>
          <w:szCs w:val="20"/>
          <w:rtl/>
        </w:rPr>
        <w:t xml:space="preserve">׳ </w:t>
      </w:r>
      <w:proofErr w:type="spellStart"/>
      <w:r>
        <w:rPr>
          <w:sz w:val="20"/>
          <w:szCs w:val="20"/>
          <w:rtl/>
        </w:rPr>
        <w:t>לייבל</w:t>
      </w:r>
      <w:proofErr w:type="spellEnd"/>
      <w:r>
        <w:rPr>
          <w:sz w:val="20"/>
          <w:szCs w:val="20"/>
          <w:rtl/>
        </w:rPr>
        <w:t xml:space="preserve"> </w:t>
      </w:r>
      <w:proofErr w:type="spellStart"/>
      <w:r>
        <w:rPr>
          <w:sz w:val="20"/>
          <w:szCs w:val="20"/>
          <w:rtl/>
        </w:rPr>
        <w:t>פרלשטיין</w:t>
      </w:r>
      <w:proofErr w:type="spellEnd"/>
      <w:r>
        <w:rPr>
          <w:sz w:val="20"/>
          <w:szCs w:val="20"/>
          <w:rtl/>
        </w:rPr>
        <w:t xml:space="preserve"> (השווה פרק 1, הערה 7).</w:t>
      </w:r>
    </w:p>
  </w:footnote>
  <w:footnote w:id="4662">
    <w:p w14:paraId="369B65C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בריאיון עם כמה מבוגרי ישיבת רבנו ישראל מאיר הכהן (ראה הערת שוליים </w:t>
      </w:r>
      <w:r>
        <w:rPr>
          <w:sz w:val="20"/>
          <w:szCs w:val="20"/>
          <w:rtl/>
        </w:rPr>
        <w:fldChar w:fldCharType="begin" w:dirty="true"/>
      </w:r>
      <w:r>
        <w:rPr>
          <w:sz w:val="20"/>
          <w:szCs w:val="20"/>
          <w:rtl/>
        </w:rPr>
        <w:instrText xml:space="preserve"> NOTEREF pr_f_365 \h </w:instrText>
      </w:r>
      <w:r>
        <w:rPr>
          <w:sz w:val="20"/>
          <w:szCs w:val="20"/>
          <w:rtl/>
        </w:rPr>
      </w:r>
      <w:r>
        <w:rPr>
          <w:sz w:val="20"/>
          <w:szCs w:val="20"/>
          <w:rtl/>
        </w:rPr>
        <w:fldChar w:fldCharType="separate"/>
      </w:r>
      <w:r w:rsidR="007923E9">
        <w:rPr>
          <w:sz w:val="20"/>
          <w:szCs w:val="20"/>
          <w:rtl/>
        </w:rPr>
        <w:t>307</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pr_f_365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סיפר ר׳ </w:t>
      </w:r>
      <w:proofErr w:type="spellStart"/>
      <w:r>
        <w:rPr>
          <w:sz w:val="20"/>
          <w:szCs w:val="20"/>
          <w:rtl/>
        </w:rPr>
        <w:t>יעקב־יצחק</w:t>
      </w:r>
      <w:proofErr w:type="spellEnd"/>
      <w:r>
        <w:rPr>
          <w:sz w:val="20"/>
          <w:szCs w:val="20"/>
          <w:rtl/>
        </w:rPr>
        <w:t xml:space="preserve"> </w:t>
      </w:r>
      <w:proofErr w:type="spellStart"/>
      <w:r>
        <w:rPr>
          <w:sz w:val="20"/>
          <w:szCs w:val="20"/>
          <w:rtl/>
        </w:rPr>
        <w:t>רודרמן</w:t>
      </w:r>
      <w:proofErr w:type="spellEnd"/>
      <w:r>
        <w:rPr>
          <w:sz w:val="20"/>
          <w:szCs w:val="20"/>
          <w:rtl/>
        </w:rPr>
        <w:t xml:space="preserve"> כיצד הקפידה ישיבת </w:t>
      </w:r>
      <w:proofErr w:type="spellStart"/>
      <w:r>
        <w:rPr>
          <w:sz w:val="20"/>
          <w:szCs w:val="20"/>
          <w:rtl/>
        </w:rPr>
        <w:t>סלבודקה</w:t>
      </w:r>
      <w:proofErr w:type="spellEnd"/>
      <w:r>
        <w:rPr>
          <w:sz w:val="20"/>
          <w:szCs w:val="20"/>
          <w:rtl/>
        </w:rPr>
        <w:t xml:space="preserve"> על מראה מודרני של תלמידיה, ואמר שהשתמשו לגילוח באבקה להסרת שיער. אבל הוא דיבר על הישיבה שלאחר מלחמת העולם הראשונה, כשהשארת זיפים קצרים על הפנים כבר נחשבה בלתי נאה.</w:t>
      </w:r>
    </w:p>
  </w:footnote>
  <w:footnote w:id="4663">
    <w:p w14:paraId="029D480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הערה 77.</w:t>
      </w:r>
    </w:p>
  </w:footnote>
  <w:footnote w:id="4664">
    <w:p w14:paraId="66E13D9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3.</w:t>
      </w:r>
    </w:p>
  </w:footnote>
  <w:footnote w:id="4665">
    <w:p w14:paraId="6A0485C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עלינו להניח שהדבר אירע בתקופתו </w:t>
      </w:r>
      <w:proofErr w:type="spellStart"/>
      <w:r>
        <w:rPr>
          <w:sz w:val="20"/>
          <w:szCs w:val="20"/>
          <w:rtl/>
        </w:rPr>
        <w:t>בלומז׳ה</w:t>
      </w:r>
      <w:proofErr w:type="spellEnd"/>
      <w:r>
        <w:rPr>
          <w:sz w:val="20"/>
          <w:szCs w:val="20"/>
          <w:rtl/>
        </w:rPr>
        <w:t xml:space="preserve"> – השווה כרך 2. וראיתי במעין השבוע של פרשת פקודי תשנ״ז, </w:t>
      </w:r>
      <w:proofErr w:type="spellStart"/>
      <w:r>
        <w:rPr>
          <w:sz w:val="20"/>
          <w:szCs w:val="20"/>
          <w:rtl/>
        </w:rPr>
        <w:t>שבהיות</w:t>
      </w:r>
      <w:proofErr w:type="spellEnd"/>
      <w:r>
        <w:rPr>
          <w:sz w:val="20"/>
          <w:szCs w:val="20"/>
          <w:rtl/>
        </w:rPr>
        <w:t xml:space="preserve"> </w:t>
      </w:r>
      <w:proofErr w:type="spellStart"/>
      <w:r>
        <w:rPr>
          <w:sz w:val="20"/>
          <w:szCs w:val="20"/>
          <w:rtl/>
        </w:rPr>
        <w:t>החיד״א</w:t>
      </w:r>
      <w:proofErr w:type="spellEnd"/>
      <w:r>
        <w:rPr>
          <w:sz w:val="20"/>
          <w:szCs w:val="20"/>
          <w:rtl/>
        </w:rPr>
        <w:t xml:space="preserve"> בצרפת סעד בבית אחד הגבירים ולן בבית גביר אחר. כשישב ולמד באישון לילה ביקש להריח בקופסת הטבק שלו לתוספת ריכוז. כשחיפש ולא מצאה, נזכר ששכחה במקום הסעודה. קם וחזר לאותו בית והודיע ששכח שם את קופסת הטבק, קיבלה לידו וחזר לאכסנייתו. למחרת ביקש לכנס את כל בני הקהילה לבית הכנסת ועלה לבימה </w:t>
      </w:r>
      <w:proofErr w:type="spellStart"/>
      <w:r>
        <w:rPr>
          <w:sz w:val="20"/>
          <w:szCs w:val="20"/>
          <w:rtl/>
        </w:rPr>
        <w:t>ו“התוודה</w:t>
      </w:r>
      <w:proofErr w:type="spellEnd"/>
      <w:r>
        <w:rPr>
          <w:sz w:val="20"/>
          <w:szCs w:val="20"/>
          <w:rtl/>
        </w:rPr>
        <w:t>” לקול בוכים: משכבר אני יודע את מיעוט ערכי ולבי דואב על הכבוד הרב שחולקים לי, אבל לא עלה בידי לשכנע שאינו מגיעני. אולם עתה הנה רואים אתם עין בעין – חפצתי בשאיפת טבק ולא גברתי על יצרי והלכתי באישון לילה לקחת את הקופסא. הן רואים אתם מה חדל אני! וכתשובת המשקל הריני נודר בזה שמהיום והלאה לא אריח טבק כל ימי חיי.</w:t>
      </w:r>
    </w:p>
  </w:footnote>
  <w:footnote w:id="4666">
    <w:p w14:paraId="4A8DDFF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היה הניצול היחיד משואת </w:t>
      </w:r>
      <w:proofErr w:type="spellStart"/>
      <w:r>
        <w:rPr>
          <w:sz w:val="20"/>
          <w:szCs w:val="20"/>
          <w:rtl/>
        </w:rPr>
        <w:t>ציטוביאן</w:t>
      </w:r>
      <w:proofErr w:type="spellEnd"/>
      <w:r>
        <w:rPr>
          <w:sz w:val="20"/>
          <w:szCs w:val="20"/>
          <w:rtl/>
        </w:rPr>
        <w:t>; השווה כרך 3.</w:t>
      </w:r>
    </w:p>
  </w:footnote>
  <w:footnote w:id="4667">
    <w:p w14:paraId="3FD4EB8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מ־16 במרץ 1995.</w:t>
      </w:r>
    </w:p>
  </w:footnote>
  <w:footnote w:id="4668">
    <w:p w14:paraId="665D799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מ־21 באוגוסט 1992. השווה כרך 3, שהמרואיין היה כבן משפחה בבית אבי.</w:t>
      </w:r>
    </w:p>
  </w:footnote>
  <w:footnote w:id="4669">
    <w:p w14:paraId="2B0F130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w:t>
      </w:r>
      <w:proofErr w:type="spellStart"/>
      <w:r>
        <w:rPr>
          <w:sz w:val="20"/>
          <w:szCs w:val="20"/>
          <w:rtl/>
        </w:rPr>
        <w:t>שו״ע</w:t>
      </w:r>
      <w:proofErr w:type="spellEnd"/>
      <w:r>
        <w:rPr>
          <w:sz w:val="20"/>
          <w:szCs w:val="20"/>
          <w:rtl/>
        </w:rPr>
        <w:t xml:space="preserve"> </w:t>
      </w:r>
      <w:proofErr w:type="spellStart"/>
      <w:r>
        <w:rPr>
          <w:sz w:val="20"/>
          <w:szCs w:val="20"/>
          <w:rtl/>
        </w:rPr>
        <w:t>או״ח</w:t>
      </w:r>
      <w:proofErr w:type="spellEnd"/>
      <w:r>
        <w:rPr>
          <w:sz w:val="20"/>
          <w:szCs w:val="20"/>
          <w:rtl/>
        </w:rPr>
        <w:t xml:space="preserve"> סי׳ תק״ס ס״ב.</w:t>
      </w:r>
    </w:p>
  </w:footnote>
  <w:footnote w:id="4670">
    <w:p w14:paraId="7C5A376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3, הפסקה השנייה של נספח </w:t>
      </w:r>
      <w:proofErr w:type="spellStart"/>
      <w:r>
        <w:rPr>
          <w:sz w:val="20"/>
          <w:szCs w:val="20"/>
          <w:rtl/>
        </w:rPr>
        <w:t>כז</w:t>
      </w:r>
      <w:proofErr w:type="spellEnd"/>
      <w:r>
        <w:rPr>
          <w:sz w:val="20"/>
          <w:szCs w:val="20"/>
          <w:rtl/>
        </w:rPr>
        <w:t>.</w:t>
      </w:r>
    </w:p>
  </w:footnote>
  <w:footnote w:id="4671">
    <w:p w14:paraId="2C0C634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מ־18 ביוני 1999.</w:t>
      </w:r>
    </w:p>
  </w:footnote>
  <w:footnote w:id="4672">
    <w:p w14:paraId="7249742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3.</w:t>
      </w:r>
    </w:p>
  </w:footnote>
  <w:footnote w:id="4673">
    <w:p w14:paraId="06FAFD4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אבי סיפר זאת </w:t>
      </w:r>
      <w:proofErr w:type="spellStart"/>
      <w:r>
        <w:rPr>
          <w:sz w:val="20"/>
          <w:szCs w:val="20"/>
          <w:rtl/>
        </w:rPr>
        <w:t>לר</w:t>
      </w:r>
      <w:proofErr w:type="spellEnd"/>
      <w:r>
        <w:rPr>
          <w:sz w:val="20"/>
          <w:szCs w:val="20"/>
          <w:rtl/>
        </w:rPr>
        <w:t xml:space="preserve">׳ </w:t>
      </w:r>
      <w:proofErr w:type="spellStart"/>
      <w:r>
        <w:rPr>
          <w:sz w:val="20"/>
          <w:szCs w:val="20"/>
          <w:rtl/>
        </w:rPr>
        <w:t>יענקל</w:t>
      </w:r>
      <w:proofErr w:type="spellEnd"/>
      <w:r>
        <w:rPr>
          <w:sz w:val="20"/>
          <w:szCs w:val="20"/>
          <w:rtl/>
        </w:rPr>
        <w:t xml:space="preserve"> פולק, שחזר על הדברים בריאיון מ־9 בדצמבר 1987.</w:t>
      </w:r>
    </w:p>
  </w:footnote>
  <w:footnote w:id="4674">
    <w:p w14:paraId="65D43EB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w:t>
      </w:r>
      <w:proofErr w:type="spellStart"/>
      <w:r>
        <w:rPr>
          <w:sz w:val="20"/>
          <w:szCs w:val="20"/>
          <w:rtl/>
        </w:rPr>
        <w:t>יענקל</w:t>
      </w:r>
      <w:proofErr w:type="spellEnd"/>
      <w:r>
        <w:rPr>
          <w:sz w:val="20"/>
          <w:szCs w:val="20"/>
          <w:rtl/>
        </w:rPr>
        <w:t xml:space="preserve"> ריבלין, בריאיון מ־22 במרץ 1988.</w:t>
      </w:r>
    </w:p>
  </w:footnote>
  <w:footnote w:id="4675">
    <w:p w14:paraId="1A77318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פרטים אלה והפרטים הבאים מסר לי אחי ר׳ אברהם בריאיון מ־5 בינואר 1988; הוא התלווה אל אבינו לרופא. מעניין שאבי קשר לשבת גם את הפסקת העישון הקודמת שלו – ראה עמ׳ </w:t>
      </w:r>
      <w:r>
        <w:rPr>
          <w:sz w:val="20"/>
          <w:szCs w:val="20"/>
          <w:rtl/>
        </w:rPr>
        <w:fldChar w:fldCharType="begin" w:dirty="true"/>
      </w:r>
      <w:r>
        <w:rPr>
          <w:sz w:val="20"/>
          <w:szCs w:val="20"/>
          <w:rtl/>
        </w:rPr>
        <w:instrText xml:space="preserve"> PAGEREF pr_close_b_4120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4676">
    <w:p w14:paraId="69B4A8B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 “מכלול מאמרים ופתגמים”, הרב משה סבר (מוסד הרב קוק, ירושלים, תשכ״א), עמ׳ 101.</w:t>
      </w:r>
    </w:p>
  </w:footnote>
  <w:footnote w:id="4677">
    <w:p w14:paraId="52BA558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3, נספח ט – עמ׳ 84–85.</w:t>
      </w:r>
    </w:p>
  </w:footnote>
  <w:footnote w:id="4678">
    <w:p w14:paraId="51708B2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1, הערה 72 – עמ׳ 73.</w:t>
      </w:r>
    </w:p>
  </w:footnote>
  <w:footnote w:id="4679">
    <w:p w14:paraId="6596AF2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מ־7 באפריל 1988.</w:t>
      </w:r>
    </w:p>
  </w:footnote>
  <w:footnote w:id="4680">
    <w:p w14:paraId="60CA6B8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מ־25 בדצמבר 1987.</w:t>
      </w:r>
    </w:p>
  </w:footnote>
  <w:footnote w:id="4681">
    <w:p w14:paraId="508BACE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 אשר גולדברג, בריאיון מ־8 במרץ 1988.</w:t>
      </w:r>
    </w:p>
  </w:footnote>
  <w:footnote w:id="4682">
    <w:p w14:paraId="1975D13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מ־11 באפריל 1988.</w:t>
      </w:r>
    </w:p>
  </w:footnote>
  <w:footnote w:id="4683">
    <w:p w14:paraId="57E92CD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מ־17 במרץ 1991.</w:t>
      </w:r>
    </w:p>
  </w:footnote>
  <w:footnote w:id="4684">
    <w:p w14:paraId="276ADEF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ב־6 בפברואר 2002 סיפר ר׳ הירש </w:t>
      </w:r>
      <w:proofErr w:type="spellStart"/>
      <w:r>
        <w:rPr>
          <w:sz w:val="20"/>
          <w:szCs w:val="20"/>
          <w:rtl/>
        </w:rPr>
        <w:t>דיסקינד</w:t>
      </w:r>
      <w:proofErr w:type="spellEnd"/>
      <w:r>
        <w:rPr>
          <w:sz w:val="20"/>
          <w:szCs w:val="20"/>
          <w:rtl/>
        </w:rPr>
        <w:t xml:space="preserve"> בשם בנו ר׳ פסח, שרבנו אמר: “עד ארבעים אחוז מכוח מוחו של אדם עולים בעשן”.</w:t>
      </w:r>
    </w:p>
  </w:footnote>
  <w:footnote w:id="4685">
    <w:p w14:paraId="49F9A5C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3, הפסקה השנייה של הערות 68 ו־83, על זמן בואו של ר׳ מאיר </w:t>
      </w:r>
      <w:proofErr w:type="spellStart"/>
      <w:r>
        <w:rPr>
          <w:sz w:val="20"/>
          <w:szCs w:val="20"/>
          <w:rtl/>
        </w:rPr>
        <w:t>לסלבודקה</w:t>
      </w:r>
      <w:proofErr w:type="spellEnd"/>
      <w:r>
        <w:rPr>
          <w:sz w:val="20"/>
          <w:szCs w:val="20"/>
          <w:rtl/>
        </w:rPr>
        <w:t xml:space="preserve"> ועל גילו אז.</w:t>
      </w:r>
    </w:p>
  </w:footnote>
  <w:footnote w:id="4686">
    <w:p w14:paraId="095934D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 סוף נספח יד – עמ׳ שמה.</w:t>
      </w:r>
    </w:p>
  </w:footnote>
  <w:footnote w:id="4687">
    <w:p w14:paraId="3E4CA70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סוף נספח ד.</w:t>
      </w:r>
    </w:p>
  </w:footnote>
  <w:footnote w:id="4688">
    <w:p w14:paraId="1DB13EC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הוריות </w:t>
      </w:r>
      <w:proofErr w:type="spellStart"/>
      <w:r>
        <w:rPr>
          <w:sz w:val="20"/>
          <w:szCs w:val="20"/>
          <w:rtl/>
        </w:rPr>
        <w:t>יג</w:t>
      </w:r>
      <w:proofErr w:type="spellEnd"/>
      <w:r>
        <w:rPr>
          <w:sz w:val="20"/>
          <w:szCs w:val="20"/>
          <w:rtl/>
        </w:rPr>
        <w:t xml:space="preserve"> ע״ב. ראה גם “עובדות והנהגות לבית </w:t>
      </w:r>
      <w:proofErr w:type="spellStart"/>
      <w:r>
        <w:rPr>
          <w:sz w:val="20"/>
          <w:szCs w:val="20"/>
          <w:rtl/>
        </w:rPr>
        <w:t>בריסק</w:t>
      </w:r>
      <w:proofErr w:type="spellEnd"/>
      <w:r>
        <w:rPr>
          <w:sz w:val="20"/>
          <w:szCs w:val="20"/>
          <w:rtl/>
        </w:rPr>
        <w:t xml:space="preserve">” (שם, פרק 1, הפסקה השנייה של נספח ב), </w:t>
      </w:r>
      <w:proofErr w:type="spellStart"/>
      <w:r>
        <w:rPr>
          <w:sz w:val="20"/>
          <w:szCs w:val="20"/>
          <w:rtl/>
        </w:rPr>
        <w:t>ח״ב</w:t>
      </w:r>
      <w:proofErr w:type="spellEnd"/>
      <w:r>
        <w:rPr>
          <w:sz w:val="20"/>
          <w:szCs w:val="20"/>
          <w:rtl/>
        </w:rPr>
        <w:t xml:space="preserve">, עמ׳ </w:t>
      </w:r>
      <w:proofErr w:type="spellStart"/>
      <w:r>
        <w:rPr>
          <w:sz w:val="20"/>
          <w:szCs w:val="20"/>
          <w:rtl/>
        </w:rPr>
        <w:t>סא</w:t>
      </w:r>
      <w:proofErr w:type="spellEnd"/>
      <w:r>
        <w:rPr>
          <w:sz w:val="20"/>
          <w:szCs w:val="20"/>
          <w:rtl/>
        </w:rPr>
        <w:t xml:space="preserve">, בשם ר׳ אשר </w:t>
      </w:r>
      <w:proofErr w:type="spellStart"/>
      <w:r>
        <w:rPr>
          <w:sz w:val="20"/>
          <w:szCs w:val="20"/>
          <w:rtl/>
        </w:rPr>
        <w:t>קרלינסקי</w:t>
      </w:r>
      <w:proofErr w:type="spellEnd"/>
      <w:r>
        <w:rPr>
          <w:sz w:val="20"/>
          <w:szCs w:val="20"/>
          <w:rtl/>
        </w:rPr>
        <w:t xml:space="preserve">: ר׳ חיים </w:t>
      </w:r>
      <w:proofErr w:type="spellStart"/>
      <w:r>
        <w:rPr>
          <w:sz w:val="20"/>
          <w:szCs w:val="20"/>
          <w:rtl/>
        </w:rPr>
        <w:t>סולובייצ׳יק</w:t>
      </w:r>
      <w:proofErr w:type="spellEnd"/>
      <w:r>
        <w:rPr>
          <w:sz w:val="20"/>
          <w:szCs w:val="20"/>
          <w:rtl/>
        </w:rPr>
        <w:t xml:space="preserve">, קרוב המשפחה, ביקר פעם בביתם </w:t>
      </w:r>
      <w:proofErr w:type="spellStart"/>
      <w:r>
        <w:rPr>
          <w:sz w:val="20"/>
          <w:szCs w:val="20"/>
          <w:rtl/>
        </w:rPr>
        <w:t>בפוחוביץ</w:t>
      </w:r>
      <w:proofErr w:type="spellEnd"/>
      <w:r>
        <w:rPr>
          <w:sz w:val="20"/>
          <w:szCs w:val="20"/>
          <w:rtl/>
        </w:rPr>
        <w:t xml:space="preserve">׳, ונפל כפתור ממעילו. סבתו של ר׳ אשר תפרה אותו בחזרה בעוד ר׳ חיים לבוש במעיל, והוא אחז בשיניו את שולי המעיל בשעת התפירה – בגלל אמונת הזקנות האירופית (שאני זוכר מאמי) שאחרת “הזיכרון נתפר”. כשהסבתא שאלה אותו: “וכי גם אתם מאמינים בסיפורי הנשים?!”, השיב (שלא כדרכם של בני </w:t>
      </w:r>
      <w:proofErr w:type="spellStart"/>
      <w:r>
        <w:rPr>
          <w:sz w:val="20"/>
          <w:szCs w:val="20"/>
          <w:rtl/>
        </w:rPr>
        <w:t>בריסק</w:t>
      </w:r>
      <w:proofErr w:type="spellEnd"/>
      <w:r>
        <w:rPr>
          <w:sz w:val="20"/>
          <w:szCs w:val="20"/>
          <w:rtl/>
        </w:rPr>
        <w:t>): “בכל מה שנוגע וקשור לשכל ולשכחת התורה אין משחקים. ויש לחשוש גם לדברי הנשים”.</w:t>
      </w:r>
    </w:p>
    <w:p w14:paraId="33C1C304" w14:textId="77777777" w:rsidR="00AB3647" w:rsidRDefault="00000000">
      <w:pPr>
        <w:spacing w:after="0" w:before="0"/>
        <w:jc w:val="both"/>
      </w:pPr>
      <w:r>
        <w:rPr>
          <w:sz w:val="20"/>
          <w:szCs w:val="20"/>
          <w:rtl/>
        </w:rPr>
        <w:t xml:space="preserve">אבי, אף שנזהר מאמונות תפלות – ראה פרק 3, נספח </w:t>
      </w:r>
      <w:proofErr w:type="spellStart"/>
      <w:r>
        <w:rPr>
          <w:sz w:val="20"/>
          <w:szCs w:val="20"/>
          <w:rtl/>
        </w:rPr>
        <w:t>כו</w:t>
      </w:r>
      <w:proofErr w:type="spellEnd"/>
      <w:r>
        <w:rPr>
          <w:sz w:val="20"/>
          <w:szCs w:val="20"/>
          <w:rtl/>
        </w:rPr>
        <w:t xml:space="preserve"> – אמר פעם שסבתותינו החכמות המציאו את המיתוס הזה למטרה מעשית: כדי שלובש הבגד לא ידבר עם התופר, פן תוסח דעתו של התופר מעבודתו והוא ידקור את עצמו או את חברו.</w:t>
      </w:r>
    </w:p>
  </w:footnote>
  <w:footnote w:id="4689">
    <w:p w14:paraId="2B6333D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מ־23 במאי 1993.</w:t>
      </w:r>
    </w:p>
  </w:footnote>
  <w:footnote w:id="4690">
    <w:p w14:paraId="17C797B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קידושין ל ע״ב – ראה גם פרק 4, הערה 133.</w:t>
      </w:r>
    </w:p>
  </w:footnote>
  <w:footnote w:id="4691">
    <w:p w14:paraId="5F14298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3, נספח ב – עמ׳ 50.</w:t>
      </w:r>
    </w:p>
  </w:footnote>
  <w:footnote w:id="4692">
    <w:p w14:paraId="238B4A3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פרק 3, הפסקה השלישית של נספח </w:t>
      </w:r>
      <w:proofErr w:type="spellStart"/>
      <w:r>
        <w:rPr>
          <w:sz w:val="20"/>
          <w:szCs w:val="20"/>
          <w:rtl/>
        </w:rPr>
        <w:t>כג</w:t>
      </w:r>
      <w:proofErr w:type="spellEnd"/>
      <w:r>
        <w:rPr>
          <w:sz w:val="20"/>
          <w:szCs w:val="20"/>
          <w:rtl/>
        </w:rPr>
        <w:t xml:space="preserve"> – עמ׳ 434.</w:t>
      </w:r>
    </w:p>
  </w:footnote>
  <w:footnote w:id="4693">
    <w:p w14:paraId="31ABC03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4694">
    <w:p w14:paraId="24FA688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כמובא מכץ בפרק 4, הערה 98.</w:t>
      </w:r>
    </w:p>
  </w:footnote>
  <w:footnote w:id="4695">
    <w:p w14:paraId="35880B3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הדברים נשמעו ממקור נאמן שאין בו פקפוק, המבקש להישאר בעילום שם.</w:t>
      </w:r>
    </w:p>
  </w:footnote>
  <w:footnote w:id="4696">
    <w:p w14:paraId="3F23C5A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שמע ר׳ יצחק </w:t>
      </w:r>
      <w:proofErr w:type="spellStart"/>
      <w:r>
        <w:rPr>
          <w:sz w:val="20"/>
          <w:szCs w:val="20"/>
          <w:rtl/>
        </w:rPr>
        <w:t>ולדומירסקי</w:t>
      </w:r>
      <w:proofErr w:type="spellEnd"/>
      <w:r>
        <w:rPr>
          <w:sz w:val="20"/>
          <w:szCs w:val="20"/>
          <w:rtl/>
        </w:rPr>
        <w:t xml:space="preserve"> מתלמיד חשוב של </w:t>
      </w:r>
      <w:proofErr w:type="spellStart"/>
      <w:r>
        <w:rPr>
          <w:sz w:val="20"/>
          <w:szCs w:val="20"/>
          <w:rtl/>
        </w:rPr>
        <w:t>לייקווד</w:t>
      </w:r>
      <w:proofErr w:type="spellEnd"/>
      <w:r>
        <w:rPr>
          <w:sz w:val="20"/>
          <w:szCs w:val="20"/>
          <w:rtl/>
        </w:rPr>
        <w:t xml:space="preserve"> לפני עשרים שנה, וסיפר לי ב־10 בפברואר 2001.</w:t>
      </w:r>
    </w:p>
  </w:footnote>
  <w:footnote w:id="4697">
    <w:p w14:paraId="5A617A3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מתוך רשימות שכתב </w:t>
      </w:r>
      <w:proofErr w:type="spellStart"/>
      <w:r>
        <w:rPr>
          <w:sz w:val="20"/>
          <w:szCs w:val="20"/>
          <w:rtl/>
        </w:rPr>
        <w:t>נכדו־חתנו</w:t>
      </w:r>
      <w:proofErr w:type="spellEnd"/>
      <w:r>
        <w:rPr>
          <w:sz w:val="20"/>
          <w:szCs w:val="20"/>
          <w:rtl/>
        </w:rPr>
        <w:t xml:space="preserve"> ר׳ נתן שטרן – ראה פרק 1, תחילת הפסקה השנייה של נספח ב.</w:t>
      </w:r>
    </w:p>
  </w:footnote>
  <w:footnote w:id="4698">
    <w:p w14:paraId="689B84A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שיקגו, תרפ״ו – עמ׳ 64, </w:t>
      </w:r>
      <w:proofErr w:type="spellStart"/>
      <w:r>
        <w:rPr>
          <w:sz w:val="20"/>
          <w:szCs w:val="20"/>
          <w:rtl/>
        </w:rPr>
        <w:t>ועיי״ש</w:t>
      </w:r>
      <w:proofErr w:type="spellEnd"/>
      <w:r>
        <w:rPr>
          <w:sz w:val="20"/>
          <w:szCs w:val="20"/>
          <w:rtl/>
        </w:rPr>
        <w:t>.</w:t>
      </w:r>
    </w:p>
  </w:footnote>
  <w:footnote w:id="4699">
    <w:p w14:paraId="313DA6C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בשו״ת</w:t>
      </w:r>
      <w:proofErr w:type="spellEnd"/>
      <w:r>
        <w:rPr>
          <w:sz w:val="20"/>
          <w:szCs w:val="20"/>
          <w:rtl/>
        </w:rPr>
        <w:t xml:space="preserve"> שואל ומשיב, </w:t>
      </w:r>
      <w:proofErr w:type="spellStart"/>
      <w:r>
        <w:rPr>
          <w:sz w:val="20"/>
          <w:szCs w:val="20"/>
          <w:rtl/>
        </w:rPr>
        <w:t>ח״ב</w:t>
      </w:r>
      <w:proofErr w:type="spellEnd"/>
      <w:r>
        <w:rPr>
          <w:sz w:val="20"/>
          <w:szCs w:val="20"/>
          <w:rtl/>
        </w:rPr>
        <w:t xml:space="preserve">, סי׳ קנ״ח, כתב שלפי </w:t>
      </w:r>
      <w:proofErr w:type="spellStart"/>
      <w:r>
        <w:rPr>
          <w:sz w:val="20"/>
          <w:szCs w:val="20"/>
          <w:rtl/>
        </w:rPr>
        <w:t>מ״ש</w:t>
      </w:r>
      <w:proofErr w:type="spellEnd"/>
      <w:r>
        <w:rPr>
          <w:sz w:val="20"/>
          <w:szCs w:val="20"/>
          <w:rtl/>
        </w:rPr>
        <w:t xml:space="preserve"> פני יהושע במס׳ שבת דף ל״ט ע״ב </w:t>
      </w:r>
      <w:proofErr w:type="spellStart"/>
      <w:r>
        <w:rPr>
          <w:sz w:val="20"/>
          <w:szCs w:val="20"/>
          <w:rtl/>
        </w:rPr>
        <w:t>דעישון</w:t>
      </w:r>
      <w:proofErr w:type="spellEnd"/>
      <w:r>
        <w:rPr>
          <w:sz w:val="20"/>
          <w:szCs w:val="20"/>
          <w:rtl/>
        </w:rPr>
        <w:t xml:space="preserve"> </w:t>
      </w:r>
      <w:proofErr w:type="spellStart"/>
      <w:r>
        <w:rPr>
          <w:sz w:val="20"/>
          <w:szCs w:val="20"/>
          <w:rtl/>
        </w:rPr>
        <w:t>הטובא״ק</w:t>
      </w:r>
      <w:proofErr w:type="spellEnd"/>
      <w:r>
        <w:rPr>
          <w:sz w:val="20"/>
          <w:szCs w:val="20"/>
          <w:rtl/>
        </w:rPr>
        <w:t xml:space="preserve"> הוי לבריאות הגוף, לעכל המזון “ולתאוות המאכל” (והערוך השולחן פירש כוונתו בסימן תקי״א </w:t>
      </w:r>
      <w:proofErr w:type="spellStart"/>
      <w:r>
        <w:rPr>
          <w:sz w:val="20"/>
          <w:szCs w:val="20"/>
          <w:rtl/>
        </w:rPr>
        <w:t>סי״א</w:t>
      </w:r>
      <w:proofErr w:type="spellEnd"/>
      <w:r>
        <w:rPr>
          <w:sz w:val="20"/>
          <w:szCs w:val="20"/>
          <w:rtl/>
        </w:rPr>
        <w:t xml:space="preserve"> “לדחות המותרות” עיי״ש), יש לעישון דין רפואה שמותר ביו״ט שני </w:t>
      </w:r>
      <w:proofErr w:type="spellStart"/>
      <w:r>
        <w:rPr>
          <w:sz w:val="20"/>
          <w:szCs w:val="20"/>
          <w:rtl/>
        </w:rPr>
        <w:t>כדאיתא</w:t>
      </w:r>
      <w:proofErr w:type="spellEnd"/>
      <w:r>
        <w:rPr>
          <w:sz w:val="20"/>
          <w:szCs w:val="20"/>
          <w:rtl/>
        </w:rPr>
        <w:t xml:space="preserve"> בסי׳ תצ״ו ס״ב, וכן פסק בעל </w:t>
      </w:r>
      <w:proofErr w:type="spellStart"/>
      <w:r>
        <w:rPr>
          <w:sz w:val="20"/>
          <w:szCs w:val="20"/>
          <w:rtl/>
        </w:rPr>
        <w:t>הפלאה</w:t>
      </w:r>
      <w:proofErr w:type="spellEnd"/>
      <w:r>
        <w:rPr>
          <w:sz w:val="20"/>
          <w:szCs w:val="20"/>
          <w:rtl/>
        </w:rPr>
        <w:t xml:space="preserve">. אבל </w:t>
      </w:r>
      <w:proofErr w:type="spellStart"/>
      <w:r>
        <w:rPr>
          <w:sz w:val="20"/>
          <w:szCs w:val="20"/>
          <w:rtl/>
        </w:rPr>
        <w:t>בשו״ת</w:t>
      </w:r>
      <w:proofErr w:type="spellEnd"/>
      <w:r>
        <w:rPr>
          <w:sz w:val="20"/>
          <w:szCs w:val="20"/>
          <w:rtl/>
        </w:rPr>
        <w:t xml:space="preserve"> עמודי אור, סי׳ כ״ט סוף אות ה׳, כתב דאם מתורת רפואה באנו להתירו, יעשנו רק לפי הצורך ע״פ “בקיאים” עיי״ש, וגם שכל ספרי הרפואה מזהירים שלא ירגיל אדם עצמו בו.</w:t>
      </w:r>
    </w:p>
  </w:footnote>
  <w:footnote w:id="4700">
    <w:p w14:paraId="2533260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4, הערה 66.</w:t>
      </w:r>
    </w:p>
  </w:footnote>
  <w:footnote w:id="4701">
    <w:p w14:paraId="36460A2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מ־31 באוגוסט 1992.</w:t>
      </w:r>
    </w:p>
  </w:footnote>
  <w:footnote w:id="4702">
    <w:p w14:paraId="38000B1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המרואיין, שנשא לאחר המלחמה נכדה של ר׳ שמעון, בא לומר שפעולות הרב </w:t>
      </w:r>
      <w:proofErr w:type="spellStart"/>
      <w:r>
        <w:rPr>
          <w:sz w:val="20"/>
          <w:szCs w:val="20"/>
          <w:rtl/>
        </w:rPr>
        <w:t>שקופ</w:t>
      </w:r>
      <w:proofErr w:type="spellEnd"/>
      <w:r>
        <w:rPr>
          <w:sz w:val="20"/>
          <w:szCs w:val="20"/>
          <w:rtl/>
        </w:rPr>
        <w:t xml:space="preserve"> הצטמצמו להוראה ולפסיקה בשאלות שהתעוררו בעיירות שבהן כיהן כרב וניהל את ישיבותיו; הוא לא נכנס לתחום הפעילות הציבורית.</w:t>
      </w:r>
    </w:p>
  </w:footnote>
  <w:footnote w:id="4703">
    <w:p w14:paraId="74B6C03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עיון בסוגיות ובאגדות הש״ס.</w:t>
      </w:r>
    </w:p>
  </w:footnote>
  <w:footnote w:id="4704">
    <w:p w14:paraId="21F984D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3, נספח ט – עמ׳ 87.</w:t>
      </w:r>
    </w:p>
  </w:footnote>
  <w:footnote w:id="4705">
    <w:p w14:paraId="7C699A5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מתוך “טוב דעת”, בהוצאת ישיבת בית מאיר (חנוכה תשמ״ו), עמ׳ </w:t>
      </w:r>
      <w:proofErr w:type="spellStart"/>
      <w:r>
        <w:rPr>
          <w:sz w:val="20"/>
          <w:szCs w:val="20"/>
          <w:rtl/>
        </w:rPr>
        <w:t>שנ</w:t>
      </w:r>
      <w:proofErr w:type="spellEnd"/>
      <w:r>
        <w:rPr>
          <w:sz w:val="20"/>
          <w:szCs w:val="20"/>
          <w:rtl/>
        </w:rPr>
        <w:t>.</w:t>
      </w:r>
    </w:p>
  </w:footnote>
  <w:footnote w:id="4706">
    <w:p w14:paraId="7A53204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“עובדות והנהגות לבית </w:t>
      </w:r>
      <w:proofErr w:type="spellStart"/>
      <w:r>
        <w:rPr>
          <w:sz w:val="20"/>
          <w:szCs w:val="20"/>
          <w:rtl/>
        </w:rPr>
        <w:t>בריסק</w:t>
      </w:r>
      <w:proofErr w:type="spellEnd"/>
      <w:r>
        <w:rPr>
          <w:sz w:val="20"/>
          <w:szCs w:val="20"/>
          <w:rtl/>
        </w:rPr>
        <w:t xml:space="preserve">”, ח״א, עמ׳ </w:t>
      </w:r>
      <w:proofErr w:type="spellStart"/>
      <w:r>
        <w:rPr>
          <w:sz w:val="20"/>
          <w:szCs w:val="20"/>
          <w:rtl/>
        </w:rPr>
        <w:t>רחצ</w:t>
      </w:r>
      <w:proofErr w:type="spellEnd"/>
      <w:r>
        <w:rPr>
          <w:sz w:val="20"/>
          <w:szCs w:val="20"/>
          <w:rtl/>
        </w:rPr>
        <w:t xml:space="preserve">, מביא בשם ר׳ צבי </w:t>
      </w:r>
      <w:proofErr w:type="spellStart"/>
      <w:r>
        <w:rPr>
          <w:sz w:val="20"/>
          <w:szCs w:val="20"/>
          <w:rtl/>
        </w:rPr>
        <w:t>מרקוביץ</w:t>
      </w:r>
      <w:proofErr w:type="spellEnd"/>
      <w:r>
        <w:rPr>
          <w:sz w:val="20"/>
          <w:szCs w:val="20"/>
          <w:rtl/>
        </w:rPr>
        <w:t xml:space="preserve"> שר׳ ירוחם </w:t>
      </w:r>
      <w:proofErr w:type="spellStart"/>
      <w:r>
        <w:rPr>
          <w:sz w:val="20"/>
          <w:szCs w:val="20"/>
          <w:rtl/>
        </w:rPr>
        <w:t>ליבוביץ</w:t>
      </w:r>
      <w:proofErr w:type="spellEnd"/>
      <w:r>
        <w:rPr>
          <w:sz w:val="20"/>
          <w:szCs w:val="20"/>
          <w:rtl/>
        </w:rPr>
        <w:t xml:space="preserve"> ביקר את ר׳ שמעון בביתו </w:t>
      </w:r>
      <w:proofErr w:type="spellStart"/>
      <w:r>
        <w:rPr>
          <w:sz w:val="20"/>
          <w:szCs w:val="20"/>
          <w:rtl/>
        </w:rPr>
        <w:t>בגרודנא</w:t>
      </w:r>
      <w:proofErr w:type="spellEnd"/>
      <w:r>
        <w:rPr>
          <w:sz w:val="20"/>
          <w:szCs w:val="20"/>
          <w:rtl/>
        </w:rPr>
        <w:t xml:space="preserve">, ואמר לתלמידי ישיבת </w:t>
      </w:r>
      <w:proofErr w:type="spellStart"/>
      <w:r>
        <w:rPr>
          <w:sz w:val="20"/>
          <w:szCs w:val="20"/>
          <w:rtl/>
        </w:rPr>
        <w:t>מיר</w:t>
      </w:r>
      <w:proofErr w:type="spellEnd"/>
      <w:r>
        <w:rPr>
          <w:sz w:val="20"/>
          <w:szCs w:val="20"/>
          <w:rtl/>
        </w:rPr>
        <w:t xml:space="preserve"> שהתלוו אליו: “לכל המעלות האלו, שאנו צריכים לימוד המוסר, בכדי להגיע אליהן... רבי שמעון זצ״ל הגיע לכל המעלות האלו ישירות ע״י הלימוד של ‘שור שנגח את הפרה’” (ראה פרק 3, הפסקה הראשונה של נספח </w:t>
      </w:r>
      <w:proofErr w:type="spellStart"/>
      <w:r>
        <w:rPr>
          <w:sz w:val="20"/>
          <w:szCs w:val="20"/>
          <w:rtl/>
        </w:rPr>
        <w:t>יח</w:t>
      </w:r>
      <w:proofErr w:type="spellEnd"/>
      <w:r>
        <w:rPr>
          <w:sz w:val="20"/>
          <w:szCs w:val="20"/>
          <w:rtl/>
        </w:rPr>
        <w:t>).</w:t>
      </w:r>
    </w:p>
  </w:footnote>
  <w:footnote w:id="4707">
    <w:p w14:paraId="620AE70A" w14:textId="77777777" w:rsidR="00AB3647" w:rsidRDefault="00000000">
      <w:pPr>
        <w:spacing w:after="0" w:before="0"/>
        <w:jc w:val="both"/>
      </w:pPr>
      <w:r>
        <w:rPr>
          <w:rStyle w:val="a5"/>
          <w:vertAlign w:val="superscript"/>
          <w:rtl/>
        </w:rPr>
        <w:footnoteRef/>
      </w:r>
      <w:r>
        <w:rPr>
          <w:sz w:val="20"/>
          <w:szCs w:val="20"/>
        </w:rPr>
        <w:t xml:space="preserve"> </w:t>
      </w:r>
      <w:r>
        <w:rPr>
          <w:sz w:val="20"/>
          <w:szCs w:val="20"/>
          <w:rtl/>
        </w:rPr>
        <w:t xml:space="preserve">הערת המתרגם לעניין זיהוי התלמידים כתלמידי ישיבת </w:t>
      </w:r>
      <w:proofErr w:type="spellStart"/>
      <w:r>
        <w:rPr>
          <w:sz w:val="20"/>
          <w:szCs w:val="20"/>
          <w:rtl/>
        </w:rPr>
        <w:t>מיר</w:t>
      </w:r>
      <w:proofErr w:type="spellEnd"/>
      <w:r>
        <w:rPr>
          <w:sz w:val="20"/>
          <w:szCs w:val="20"/>
          <w:rtl/>
        </w:rPr>
        <w:t xml:space="preserve">: במקור שם: “אמר רבי ירוחם זצ״ל לתלמידים בישיבה”, כלומר בישיבת </w:t>
      </w:r>
      <w:proofErr w:type="spellStart"/>
      <w:r>
        <w:rPr>
          <w:sz w:val="20"/>
          <w:szCs w:val="20"/>
          <w:rtl/>
        </w:rPr>
        <w:t>גרודנא</w:t>
      </w:r>
      <w:proofErr w:type="spellEnd"/>
      <w:r>
        <w:rPr>
          <w:sz w:val="20"/>
          <w:szCs w:val="20"/>
          <w:rtl/>
        </w:rPr>
        <w:t xml:space="preserve">, ואין שם זכר לתלמידי ישיבת </w:t>
      </w:r>
      <w:proofErr w:type="spellStart"/>
      <w:r>
        <w:rPr>
          <w:sz w:val="20"/>
          <w:szCs w:val="20"/>
          <w:rtl/>
        </w:rPr>
        <w:t>מיר</w:t>
      </w:r>
      <w:proofErr w:type="spellEnd"/>
      <w:r>
        <w:rPr>
          <w:sz w:val="20"/>
          <w:szCs w:val="20"/>
          <w:rtl/>
        </w:rPr>
        <w:t>.</w:t>
      </w:r>
    </w:p>
  </w:footnote>
  <w:footnote w:id="4708">
    <w:p w14:paraId="574E45F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פרק 3, סוף נספח </w:t>
      </w:r>
      <w:proofErr w:type="spellStart"/>
      <w:r>
        <w:rPr>
          <w:sz w:val="20"/>
          <w:szCs w:val="20"/>
          <w:rtl/>
        </w:rPr>
        <w:t>כט</w:t>
      </w:r>
      <w:proofErr w:type="spellEnd"/>
      <w:r>
        <w:rPr>
          <w:sz w:val="20"/>
          <w:szCs w:val="20"/>
          <w:rtl/>
        </w:rPr>
        <w:t xml:space="preserve"> – עמ׳ 167.</w:t>
      </w:r>
    </w:p>
  </w:footnote>
  <w:footnote w:id="4709">
    <w:p w14:paraId="70DF250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כמובא לעיל </w:t>
      </w:r>
      <w:proofErr w:type="spellStart"/>
      <w:r>
        <w:rPr>
          <w:sz w:val="20"/>
          <w:szCs w:val="20"/>
          <w:rtl/>
        </w:rPr>
        <w:t>מ“פני</w:t>
      </w:r>
      <w:proofErr w:type="spellEnd"/>
      <w:r>
        <w:rPr>
          <w:sz w:val="20"/>
          <w:szCs w:val="20"/>
          <w:rtl/>
        </w:rPr>
        <w:t xml:space="preserve"> יהושע” בהערת שוליים </w:t>
      </w:r>
      <w:r>
        <w:rPr>
          <w:sz w:val="20"/>
          <w:szCs w:val="20"/>
          <w:rtl/>
        </w:rPr>
        <w:fldChar w:fldCharType="begin" w:dirty="true"/>
      </w:r>
      <w:r>
        <w:rPr>
          <w:sz w:val="20"/>
          <w:szCs w:val="20"/>
          <w:rtl/>
        </w:rPr>
        <w:instrText xml:space="preserve"> NOTEREF pr_f_4569 \h </w:instrText>
      </w:r>
      <w:r>
        <w:rPr>
          <w:sz w:val="20"/>
          <w:szCs w:val="20"/>
          <w:rtl/>
        </w:rPr>
      </w:r>
      <w:r>
        <w:rPr>
          <w:sz w:val="20"/>
          <w:szCs w:val="20"/>
          <w:rtl/>
        </w:rPr>
        <w:fldChar w:fldCharType="separate"/>
      </w:r>
      <w:r w:rsidR="007923E9">
        <w:rPr>
          <w:sz w:val="20"/>
          <w:szCs w:val="20"/>
          <w:rtl/>
        </w:rPr>
        <w:t>223</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pr_f_4569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4710">
    <w:p w14:paraId="3B9CEAB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4, הפסקה השנייה של נספח ז.</w:t>
      </w:r>
    </w:p>
  </w:footnote>
  <w:footnote w:id="4711">
    <w:p w14:paraId="0DE45E1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בקיצור זה (וכו׳) רמז הלשם למילים האחרונות של תפילת רבי יהודה הנשיא בשעת פטירתו, </w:t>
      </w:r>
      <w:proofErr w:type="spellStart"/>
      <w:r>
        <w:rPr>
          <w:sz w:val="20"/>
          <w:szCs w:val="20"/>
          <w:rtl/>
        </w:rPr>
        <w:t>כש“זקף</w:t>
      </w:r>
      <w:proofErr w:type="spellEnd"/>
      <w:r>
        <w:rPr>
          <w:sz w:val="20"/>
          <w:szCs w:val="20"/>
          <w:rtl/>
        </w:rPr>
        <w:t xml:space="preserve"> עשר אצבעותיו כלפי מעלה”, כמובא בכתובות קד ע״א: “רבש״ע גלוי וידוע לפניך שיגעתי בעשר </w:t>
      </w:r>
      <w:proofErr w:type="spellStart"/>
      <w:r>
        <w:rPr>
          <w:sz w:val="20"/>
          <w:szCs w:val="20"/>
          <w:rtl/>
        </w:rPr>
        <w:t>אצבעותי</w:t>
      </w:r>
      <w:proofErr w:type="spellEnd"/>
      <w:r>
        <w:rPr>
          <w:sz w:val="20"/>
          <w:szCs w:val="20"/>
          <w:rtl/>
        </w:rPr>
        <w:t xml:space="preserve"> בתורה ולא נהניתי [מן העולם הזה] אפילו באצבע קטנה”.</w:t>
      </w:r>
    </w:p>
  </w:footnote>
  <w:footnote w:id="4712">
    <w:p w14:paraId="0CFA97B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ייתכן שר׳ שמעון ראה את עצמו כממשיך דרכו של ר׳ ישראל בניסיון לבלום את חדירת ההשכלה. ראה פרק 3, תחילת נספח </w:t>
      </w:r>
      <w:proofErr w:type="spellStart"/>
      <w:r>
        <w:rPr>
          <w:sz w:val="20"/>
          <w:szCs w:val="20"/>
          <w:rtl/>
        </w:rPr>
        <w:t>יט</w:t>
      </w:r>
      <w:proofErr w:type="spellEnd"/>
      <w:r>
        <w:rPr>
          <w:sz w:val="20"/>
          <w:szCs w:val="20"/>
          <w:rtl/>
        </w:rPr>
        <w:t>, כיצד הגדיר רבנו את מטרת חייו של ר׳ ישראל: ר׳ ישראל – בדרך גדולה, בהנהגת השקפת חיים חדשה, השקפת המוסר; ור׳ שמעון – בדרך קטנה, בפתיחת מוחות צעירים [ומודרניים] לדרכים פילוסופיות חדשות לניתוח סוגיות התלמוד.</w:t>
      </w:r>
    </w:p>
  </w:footnote>
  <w:footnote w:id="4713">
    <w:p w14:paraId="049BD90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המרואיין לא פירט מה היו סיבות אלה. השווה גם “</w:t>
      </w:r>
      <w:proofErr w:type="spellStart"/>
      <w:r>
        <w:rPr>
          <w:sz w:val="20"/>
          <w:szCs w:val="20"/>
          <w:rtl/>
        </w:rPr>
        <w:t>ממעיני</w:t>
      </w:r>
      <w:proofErr w:type="spellEnd"/>
      <w:r>
        <w:rPr>
          <w:sz w:val="20"/>
          <w:szCs w:val="20"/>
          <w:rtl/>
        </w:rPr>
        <w:t xml:space="preserve"> הרב” (שם, עמ׳ </w:t>
      </w:r>
      <w:r>
        <w:rPr>
          <w:sz w:val="20"/>
          <w:szCs w:val="20"/>
          <w:rtl/>
        </w:rPr>
        <w:fldChar w:fldCharType="begin" w:dirty="true"/>
      </w:r>
      <w:r>
        <w:rPr>
          <w:sz w:val="20"/>
          <w:szCs w:val="20"/>
          <w:rtl/>
        </w:rPr>
        <w:instrText xml:space="preserve"> PAGEREF pr_f_122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הערת שוליים </w:t>
      </w:r>
      <w:r>
        <w:rPr>
          <w:sz w:val="20"/>
          <w:szCs w:val="20"/>
          <w:rtl/>
        </w:rPr>
        <w:fldChar w:fldCharType="begin" w:dirty="true"/>
      </w:r>
      <w:r>
        <w:rPr>
          <w:sz w:val="20"/>
          <w:szCs w:val="20"/>
          <w:rtl/>
        </w:rPr>
        <w:instrText xml:space="preserve"> NOTEREF pr_f_122 \h </w:instrText>
      </w:r>
      <w:r>
        <w:rPr>
          <w:sz w:val="20"/>
          <w:szCs w:val="20"/>
          <w:rtl/>
        </w:rPr>
      </w:r>
      <w:r>
        <w:rPr>
          <w:sz w:val="20"/>
          <w:szCs w:val="20"/>
          <w:rtl/>
        </w:rPr>
        <w:fldChar w:fldCharType="separate"/>
      </w:r>
      <w:r w:rsidR="007923E9">
        <w:rPr>
          <w:sz w:val="20"/>
          <w:szCs w:val="20"/>
          <w:rtl/>
        </w:rPr>
        <w:t>67</w:t>
      </w:r>
      <w:r>
        <w:rPr>
          <w:sz w:val="20"/>
          <w:szCs w:val="20"/>
          <w:rtl/>
        </w:rPr>
        <w:fldChar w:fldCharType="end"/>
      </w:r>
      <w:r>
        <w:rPr>
          <w:sz w:val="20"/>
          <w:szCs w:val="20"/>
          <w:rtl/>
        </w:rPr>
        <w:t>), עמ׳ רכב.</w:t>
      </w:r>
    </w:p>
  </w:footnote>
  <w:footnote w:id="4714">
    <w:p w14:paraId="69E25B5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174.</w:t>
      </w:r>
    </w:p>
  </w:footnote>
  <w:footnote w:id="4715">
    <w:p w14:paraId="2BD77C2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2, הפסקה השישית של נספח א – עמ׳ 256.</w:t>
      </w:r>
    </w:p>
  </w:footnote>
  <w:footnote w:id="4716">
    <w:p w14:paraId="04C3236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השווה פרק 3, הערת שוליים </w:t>
      </w:r>
      <w:r>
        <w:rPr>
          <w:rStyle w:val="a5"/>
          <w:sz w:val="20"/>
          <w:szCs w:val="20"/>
          <w:vertAlign w:val="baseline"/>
          <w:rtl/>
        </w:rPr>
        <w:fldChar w:fldCharType="begin" w:dirty="true"/>
      </w:r>
      <w:r>
        <w:rPr>
          <w:rStyle w:val="a5"/>
          <w:sz w:val="20"/>
          <w:szCs w:val="20"/>
          <w:vertAlign w:val="baseline"/>
          <w:rtl/>
        </w:rPr>
        <w:instrText xml:space="preserve"> NOTEREF pr_f_1539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585</w:t>
      </w:r>
      <w:r>
        <w:rPr>
          <w:rStyle w:val="a5"/>
          <w:sz w:val="20"/>
          <w:szCs w:val="20"/>
          <w:vertAlign w:val="baseline"/>
          <w:rtl/>
        </w:rPr>
        <w:fldChar w:fldCharType="end"/>
      </w:r>
      <w:r>
        <w:rPr>
          <w:rStyle w:val="a5"/>
          <w:sz w:val="20"/>
          <w:szCs w:val="20"/>
          <w:vertAlign w:val="baseline"/>
          <w:rtl/>
        </w:rPr>
        <w:t xml:space="preserve"> בעמ׳ </w:t>
      </w:r>
      <w:r>
        <w:rPr>
          <w:rStyle w:val="a5"/>
          <w:sz w:val="20"/>
          <w:szCs w:val="20"/>
          <w:vertAlign w:val="baseline"/>
          <w:rtl/>
        </w:rPr>
        <w:fldChar w:fldCharType="begin" w:dirty="true"/>
      </w:r>
      <w:r>
        <w:rPr>
          <w:rStyle w:val="a5"/>
          <w:sz w:val="20"/>
          <w:szCs w:val="20"/>
          <w:vertAlign w:val="baseline"/>
          <w:rtl/>
        </w:rPr>
        <w:instrText xml:space="preserve"> PAGEREF pr_f_1539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 שבה נרשמה הצעתו הנועזת של ר׳ מרדכי צוקרמן בשאלה מדוע עזב ר׳ ישראל את ליטא</w:t>
      </w:r>
      <w:r>
        <w:rPr>
          <w:sz w:val="20"/>
          <w:szCs w:val="20"/>
          <w:rtl/>
        </w:rPr>
        <w:t xml:space="preserve">. הצעה זו שוללת את השימוש במעשה ר׳ ישראל כתקדים למצבו של ר׳ שמעון </w:t>
      </w:r>
      <w:proofErr w:type="spellStart"/>
      <w:r>
        <w:rPr>
          <w:sz w:val="20"/>
          <w:szCs w:val="20"/>
          <w:rtl/>
        </w:rPr>
        <w:t>שקופ</w:t>
      </w:r>
      <w:proofErr w:type="spellEnd"/>
      <w:r>
        <w:rPr>
          <w:sz w:val="20"/>
          <w:szCs w:val="20"/>
          <w:rtl/>
        </w:rPr>
        <w:t>, אך היא דחוקה למדי מכל מקום.</w:t>
      </w:r>
    </w:p>
  </w:footnote>
  <w:footnote w:id="4717">
    <w:p w14:paraId="4D31556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1, הפסקה השנייה של נספח ב – עמ׳ 181–182.</w:t>
      </w:r>
    </w:p>
  </w:footnote>
  <w:footnote w:id="4718">
    <w:p w14:paraId="78A6DC8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פרק 4, הפסקה החמישית של נספח ט: גם ר׳ חיים </w:t>
      </w:r>
      <w:proofErr w:type="spellStart"/>
      <w:r>
        <w:rPr>
          <w:sz w:val="20"/>
          <w:szCs w:val="20"/>
          <w:rtl/>
        </w:rPr>
        <w:t>סולובייצ׳יק</w:t>
      </w:r>
      <w:proofErr w:type="spellEnd"/>
      <w:r>
        <w:rPr>
          <w:sz w:val="20"/>
          <w:szCs w:val="20"/>
          <w:rtl/>
        </w:rPr>
        <w:t xml:space="preserve"> סבר </w:t>
      </w:r>
      <w:proofErr w:type="spellStart"/>
      <w:r>
        <w:rPr>
          <w:sz w:val="20"/>
          <w:szCs w:val="20"/>
          <w:rtl/>
        </w:rPr>
        <w:t>ש“כל</w:t>
      </w:r>
      <w:proofErr w:type="spellEnd"/>
      <w:r>
        <w:rPr>
          <w:sz w:val="20"/>
          <w:szCs w:val="20"/>
          <w:rtl/>
        </w:rPr>
        <w:t xml:space="preserve"> אדם שיש לו השפעה, מרובה או </w:t>
      </w:r>
      <w:proofErr w:type="spellStart"/>
      <w:r>
        <w:rPr>
          <w:sz w:val="20"/>
          <w:szCs w:val="20"/>
          <w:rtl/>
        </w:rPr>
        <w:t>מועטת</w:t>
      </w:r>
      <w:proofErr w:type="spellEnd"/>
      <w:r>
        <w:rPr>
          <w:sz w:val="20"/>
          <w:szCs w:val="20"/>
          <w:rtl/>
        </w:rPr>
        <w:t>, צריך לנסוע לאמריקה... ולחפש דרכים לשפר את המצב הרוחני שם”.</w:t>
      </w:r>
    </w:p>
  </w:footnote>
  <w:footnote w:id="4719">
    <w:p w14:paraId="346663F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1, הערה 7 – בתחתית עמ׳ 419.</w:t>
      </w:r>
    </w:p>
  </w:footnote>
  <w:footnote w:id="4720">
    <w:p w14:paraId="57167EA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מ־27 באפריל 1993.</w:t>
      </w:r>
    </w:p>
  </w:footnote>
  <w:footnote w:id="4721">
    <w:p w14:paraId="1505D12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פרק 3, הפסקה השנייה של נספח </w:t>
      </w:r>
      <w:proofErr w:type="spellStart"/>
      <w:r>
        <w:rPr>
          <w:sz w:val="20"/>
          <w:szCs w:val="20"/>
          <w:rtl/>
        </w:rPr>
        <w:t>טז</w:t>
      </w:r>
      <w:proofErr w:type="spellEnd"/>
      <w:r>
        <w:rPr>
          <w:sz w:val="20"/>
          <w:szCs w:val="20"/>
          <w:rtl/>
        </w:rPr>
        <w:t xml:space="preserve"> – עמ׳ 30.</w:t>
      </w:r>
    </w:p>
  </w:footnote>
  <w:footnote w:id="4722">
    <w:p w14:paraId="1B35315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כץ, “תנועת המוסר”, כרך ה, עמ׳ 202; והערות 106, 110 ו־111 בפרק 4 של ספר זה.</w:t>
      </w:r>
    </w:p>
  </w:footnote>
  <w:footnote w:id="4723">
    <w:p w14:paraId="62B19EB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ויש לזה שם רפואה שמתיר העישון ביו״ט שני, כנ״ל בעמ׳ </w:t>
      </w:r>
      <w:r>
        <w:rPr>
          <w:sz w:val="20"/>
          <w:szCs w:val="20"/>
          <w:rtl/>
        </w:rPr>
        <w:fldChar w:fldCharType="begin" w:dirty="true"/>
      </w:r>
      <w:r>
        <w:rPr>
          <w:sz w:val="20"/>
          <w:szCs w:val="20"/>
          <w:rtl/>
        </w:rPr>
        <w:instrText xml:space="preserve"> PAGEREF pr_f_4569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w:t>
      </w:r>
      <w:proofErr w:type="spellStart"/>
      <w:r>
        <w:rPr>
          <w:sz w:val="20"/>
          <w:szCs w:val="20"/>
          <w:rtl/>
        </w:rPr>
        <w:t>בהערת־שוליים</w:t>
      </w:r>
      <w:proofErr w:type="spellEnd"/>
      <w:r>
        <w:rPr>
          <w:sz w:val="20"/>
          <w:szCs w:val="20"/>
          <w:rtl/>
        </w:rPr>
        <w:t xml:space="preserve"> </w:t>
      </w:r>
      <w:r>
        <w:rPr>
          <w:sz w:val="20"/>
          <w:szCs w:val="20"/>
          <w:rtl/>
        </w:rPr>
        <w:fldChar w:fldCharType="begin" w:dirty="true"/>
      </w:r>
      <w:r>
        <w:rPr>
          <w:sz w:val="20"/>
          <w:szCs w:val="20"/>
          <w:rtl/>
        </w:rPr>
        <w:instrText xml:space="preserve"> NOTEREF pr_f_4569 \h </w:instrText>
      </w:r>
      <w:r>
        <w:rPr>
          <w:sz w:val="20"/>
          <w:szCs w:val="20"/>
          <w:rtl/>
        </w:rPr>
      </w:r>
      <w:r>
        <w:rPr>
          <w:sz w:val="20"/>
          <w:szCs w:val="20"/>
          <w:rtl/>
        </w:rPr>
        <w:fldChar w:fldCharType="separate"/>
      </w:r>
      <w:r w:rsidR="007923E9">
        <w:rPr>
          <w:sz w:val="20"/>
          <w:szCs w:val="20"/>
          <w:rtl/>
        </w:rPr>
        <w:t>223</w:t>
      </w:r>
      <w:r>
        <w:rPr>
          <w:sz w:val="20"/>
          <w:szCs w:val="20"/>
          <w:rtl/>
        </w:rPr>
        <w:fldChar w:fldCharType="end"/>
      </w:r>
      <w:r>
        <w:rPr>
          <w:sz w:val="20"/>
          <w:szCs w:val="20"/>
          <w:rtl/>
        </w:rPr>
        <w:t xml:space="preserve"> שבעברית.</w:t>
      </w:r>
    </w:p>
  </w:footnote>
  <w:footnote w:id="4724">
    <w:p w14:paraId="53234F8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רשימות ר׳ נתן שטרן.</w:t>
      </w:r>
    </w:p>
  </w:footnote>
  <w:footnote w:id="4725">
    <w:p w14:paraId="0CAE3DC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הפסקה הרביעית להלן.</w:t>
      </w:r>
    </w:p>
  </w:footnote>
  <w:footnote w:id="4726">
    <w:p w14:paraId="1385492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נספח ד.</w:t>
      </w:r>
    </w:p>
  </w:footnote>
  <w:footnote w:id="4727">
    <w:p w14:paraId="7B5302D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2, הערה 48.</w:t>
      </w:r>
    </w:p>
  </w:footnote>
  <w:footnote w:id="4728">
    <w:p w14:paraId="3AA04D5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פרק 1, הפסקה האחרונה של נספח ד – כרך ב, עמ׳ </w:t>
      </w:r>
      <w:proofErr w:type="spellStart"/>
      <w:r>
        <w:rPr>
          <w:sz w:val="20"/>
          <w:szCs w:val="20"/>
          <w:rtl/>
        </w:rPr>
        <w:t>תשפט</w:t>
      </w:r>
      <w:proofErr w:type="spellEnd"/>
      <w:r>
        <w:rPr>
          <w:sz w:val="20"/>
          <w:szCs w:val="20"/>
          <w:rtl/>
        </w:rPr>
        <w:t>, אות מ.</w:t>
      </w:r>
    </w:p>
  </w:footnote>
  <w:footnote w:id="4729">
    <w:p w14:paraId="32C2EF3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ייתכן שאבי שמע על </w:t>
      </w:r>
      <w:proofErr w:type="spellStart"/>
      <w:r>
        <w:rPr>
          <w:sz w:val="20"/>
          <w:szCs w:val="20"/>
          <w:rtl/>
        </w:rPr>
        <w:t>נגרותו</w:t>
      </w:r>
      <w:proofErr w:type="spellEnd"/>
      <w:r>
        <w:rPr>
          <w:sz w:val="20"/>
          <w:szCs w:val="20"/>
          <w:rtl/>
        </w:rPr>
        <w:t xml:space="preserve"> של ר׳ ישראל גם מפי ר׳ נפתלי, מלבד תלמיד </w:t>
      </w:r>
      <w:proofErr w:type="spellStart"/>
      <w:r>
        <w:rPr>
          <w:sz w:val="20"/>
          <w:szCs w:val="20"/>
          <w:rtl/>
        </w:rPr>
        <w:t>סלבודקה</w:t>
      </w:r>
      <w:proofErr w:type="spellEnd"/>
      <w:r>
        <w:rPr>
          <w:sz w:val="20"/>
          <w:szCs w:val="20"/>
          <w:rtl/>
        </w:rPr>
        <w:t>.</w:t>
      </w:r>
    </w:p>
  </w:footnote>
  <w:footnote w:id="4730">
    <w:p w14:paraId="7B602C8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1, נספח ב – עמ׳ 5.</w:t>
      </w:r>
    </w:p>
  </w:footnote>
  <w:footnote w:id="4731">
    <w:p w14:paraId="33993A8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פרק 3, נספח </w:t>
      </w:r>
      <w:proofErr w:type="spellStart"/>
      <w:r>
        <w:rPr>
          <w:sz w:val="20"/>
          <w:szCs w:val="20"/>
          <w:rtl/>
        </w:rPr>
        <w:t>יט</w:t>
      </w:r>
      <w:proofErr w:type="spellEnd"/>
      <w:r>
        <w:rPr>
          <w:sz w:val="20"/>
          <w:szCs w:val="20"/>
          <w:rtl/>
        </w:rPr>
        <w:t xml:space="preserve">. ראה גם הערת שוליים </w:t>
      </w:r>
      <w:r>
        <w:rPr>
          <w:sz w:val="20"/>
          <w:szCs w:val="20"/>
          <w:rtl/>
        </w:rPr>
        <w:fldChar w:fldCharType="begin" w:dirty="true"/>
      </w:r>
      <w:r>
        <w:rPr>
          <w:sz w:val="20"/>
          <w:szCs w:val="20"/>
          <w:rtl/>
        </w:rPr>
        <w:instrText xml:space="preserve"> NOTEREF pr_f_4622 \h </w:instrText>
      </w:r>
      <w:r>
        <w:rPr>
          <w:sz w:val="20"/>
          <w:szCs w:val="20"/>
          <w:rtl/>
        </w:rPr>
      </w:r>
      <w:r>
        <w:rPr>
          <w:sz w:val="20"/>
          <w:szCs w:val="20"/>
          <w:rtl/>
        </w:rPr>
        <w:fldChar w:fldCharType="separate"/>
      </w:r>
      <w:r w:rsidR="007923E9">
        <w:rPr>
          <w:sz w:val="20"/>
          <w:szCs w:val="20"/>
          <w:rtl/>
        </w:rPr>
        <w:t>276</w:t>
      </w:r>
      <w:r>
        <w:rPr>
          <w:sz w:val="20"/>
          <w:szCs w:val="20"/>
          <w:rtl/>
        </w:rPr>
        <w:fldChar w:fldCharType="end"/>
      </w:r>
      <w:r>
        <w:rPr>
          <w:sz w:val="20"/>
          <w:szCs w:val="20"/>
          <w:rtl/>
        </w:rPr>
        <w:t xml:space="preserve"> להלן.</w:t>
      </w:r>
    </w:p>
  </w:footnote>
  <w:footnote w:id="4732">
    <w:p w14:paraId="1867B7F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הערה 69.</w:t>
      </w:r>
    </w:p>
  </w:footnote>
  <w:footnote w:id="4733">
    <w:p w14:paraId="5E08836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ועיין במשנה ברורה סי׳ תרי״ח </w:t>
      </w:r>
      <w:proofErr w:type="spellStart"/>
      <w:r>
        <w:rPr>
          <w:sz w:val="20"/>
          <w:szCs w:val="20"/>
          <w:rtl/>
        </w:rPr>
        <w:t>ס״ק</w:t>
      </w:r>
      <w:proofErr w:type="spellEnd"/>
      <w:r>
        <w:rPr>
          <w:sz w:val="20"/>
          <w:szCs w:val="20"/>
          <w:rtl/>
        </w:rPr>
        <w:t xml:space="preserve"> כ״ט שהאוכל ביוה״כ אינו עושה קידוש, ועיין </w:t>
      </w:r>
      <w:proofErr w:type="spellStart"/>
      <w:r>
        <w:rPr>
          <w:sz w:val="20"/>
          <w:szCs w:val="20"/>
          <w:rtl/>
        </w:rPr>
        <w:t>בהג</w:t>
      </w:r>
      <w:proofErr w:type="spellEnd"/>
      <w:r>
        <w:rPr>
          <w:sz w:val="20"/>
          <w:szCs w:val="20"/>
          <w:rtl/>
        </w:rPr>
        <w:t>׳ רע״א שם שכשחל בשבת שאני.</w:t>
      </w:r>
    </w:p>
  </w:footnote>
  <w:footnote w:id="4734">
    <w:p w14:paraId="07A5BAA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1, הערה 13.</w:t>
      </w:r>
    </w:p>
  </w:footnote>
  <w:footnote w:id="4735">
    <w:p w14:paraId="7BF6169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183.</w:t>
      </w:r>
    </w:p>
  </w:footnote>
  <w:footnote w:id="4736">
    <w:p w14:paraId="2ACCB59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“עיר </w:t>
      </w:r>
      <w:proofErr w:type="spellStart"/>
      <w:r>
        <w:rPr>
          <w:sz w:val="20"/>
          <w:szCs w:val="20"/>
          <w:rtl/>
        </w:rPr>
        <w:t>ווילנא</w:t>
      </w:r>
      <w:proofErr w:type="spellEnd"/>
      <w:r>
        <w:rPr>
          <w:sz w:val="20"/>
          <w:szCs w:val="20"/>
          <w:rtl/>
        </w:rPr>
        <w:t xml:space="preserve">”, מאת הלל נח </w:t>
      </w:r>
      <w:proofErr w:type="spellStart"/>
      <w:r>
        <w:rPr>
          <w:sz w:val="20"/>
          <w:szCs w:val="20"/>
          <w:rtl/>
        </w:rPr>
        <w:t>שטיינשניידער</w:t>
      </w:r>
      <w:proofErr w:type="spellEnd"/>
      <w:r>
        <w:rPr>
          <w:sz w:val="20"/>
          <w:szCs w:val="20"/>
          <w:rtl/>
        </w:rPr>
        <w:t xml:space="preserve"> (</w:t>
      </w:r>
      <w:proofErr w:type="spellStart"/>
      <w:r>
        <w:rPr>
          <w:sz w:val="20"/>
          <w:szCs w:val="20"/>
          <w:rtl/>
        </w:rPr>
        <w:t>וילנא</w:t>
      </w:r>
      <w:proofErr w:type="spellEnd"/>
      <w:r>
        <w:rPr>
          <w:sz w:val="20"/>
          <w:szCs w:val="20"/>
          <w:rtl/>
        </w:rPr>
        <w:t xml:space="preserve">, תר״ס), עמ׳ 130. </w:t>
      </w:r>
      <w:proofErr w:type="spellStart"/>
      <w:r>
        <w:rPr>
          <w:sz w:val="20"/>
          <w:szCs w:val="20"/>
          <w:rtl/>
        </w:rPr>
        <w:t>אטקס</w:t>
      </w:r>
      <w:proofErr w:type="spellEnd"/>
      <w:r>
        <w:rPr>
          <w:sz w:val="20"/>
          <w:szCs w:val="20"/>
          <w:rtl/>
        </w:rPr>
        <w:t xml:space="preserve">, “ר׳ ישראל </w:t>
      </w:r>
      <w:proofErr w:type="spellStart"/>
      <w:r>
        <w:rPr>
          <w:sz w:val="20"/>
          <w:szCs w:val="20"/>
          <w:rtl/>
        </w:rPr>
        <w:t>סלנטר</w:t>
      </w:r>
      <w:proofErr w:type="spellEnd"/>
      <w:r>
        <w:rPr>
          <w:sz w:val="20"/>
          <w:szCs w:val="20"/>
          <w:rtl/>
        </w:rPr>
        <w:t xml:space="preserve"> וראשיתה של תנועת המוסר”, רואה בסיפור המסופר שם אגדה (ראה הפסקה השישית להלן), ואילו אני תומך במסורת אבי (ראה הפסקה החמישית להלן).</w:t>
      </w:r>
    </w:p>
  </w:footnote>
  <w:footnote w:id="4737">
    <w:p w14:paraId="0A5EE72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1, הפסקה האחרונה של נספח ד; השווה עמ׳ 159–161 והערות השוליים שם בעניין המקורות.</w:t>
      </w:r>
    </w:p>
  </w:footnote>
  <w:footnote w:id="4738">
    <w:p w14:paraId="75D77F3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76.</w:t>
      </w:r>
    </w:p>
  </w:footnote>
  <w:footnote w:id="4739">
    <w:p w14:paraId="673840F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הערת השוליים </w:t>
      </w:r>
      <w:r>
        <w:rPr>
          <w:rStyle w:val="a5"/>
          <w:sz w:val="20"/>
          <w:szCs w:val="20"/>
          <w:vertAlign w:val="baseline"/>
          <w:rtl/>
        </w:rPr>
        <w:fldChar w:fldCharType="begin" w:dirty="true"/>
      </w:r>
      <w:r>
        <w:rPr>
          <w:rStyle w:val="a5"/>
          <w:sz w:val="20"/>
          <w:szCs w:val="20"/>
          <w:vertAlign w:val="baseline"/>
          <w:rtl/>
        </w:rPr>
        <w:instrText xml:space="preserve"> NOTEREF pr_f_4625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279</w:t>
      </w:r>
      <w:r>
        <w:rPr>
          <w:rStyle w:val="a5"/>
          <w:sz w:val="20"/>
          <w:szCs w:val="20"/>
          <w:vertAlign w:val="baseline"/>
          <w:rtl/>
        </w:rPr>
        <w:fldChar w:fldCharType="end"/>
      </w:r>
      <w:r>
        <w:rPr>
          <w:rStyle w:val="a5"/>
          <w:sz w:val="20"/>
          <w:szCs w:val="20"/>
          <w:vertAlign w:val="baseline"/>
          <w:rtl/>
        </w:rPr>
        <w:t xml:space="preserve"> בעמ׳ </w:t>
      </w:r>
      <w:r>
        <w:rPr>
          <w:rStyle w:val="a5"/>
          <w:sz w:val="20"/>
          <w:szCs w:val="20"/>
          <w:vertAlign w:val="baseline"/>
          <w:rtl/>
        </w:rPr>
        <w:fldChar w:fldCharType="begin" w:dirty="true"/>
      </w:r>
      <w:r>
        <w:rPr>
          <w:rStyle w:val="a5"/>
          <w:sz w:val="20"/>
          <w:szCs w:val="20"/>
          <w:vertAlign w:val="baseline"/>
          <w:rtl/>
        </w:rPr>
        <w:instrText xml:space="preserve"> PAGEREF pr_f_4625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w:t>
      </w:r>
    </w:p>
  </w:footnote>
  <w:footnote w:id="4740">
    <w:p w14:paraId="7421116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3, נספח </w:t>
      </w:r>
      <w:proofErr w:type="spellStart"/>
      <w:r>
        <w:rPr>
          <w:sz w:val="20"/>
          <w:szCs w:val="20"/>
          <w:rtl/>
        </w:rPr>
        <w:t>יט</w:t>
      </w:r>
      <w:proofErr w:type="spellEnd"/>
      <w:r>
        <w:rPr>
          <w:sz w:val="20"/>
          <w:szCs w:val="20"/>
          <w:rtl/>
        </w:rPr>
        <w:t>.</w:t>
      </w:r>
    </w:p>
  </w:footnote>
  <w:footnote w:id="4741">
    <w:p w14:paraId="33A690A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כרך 2.</w:t>
      </w:r>
    </w:p>
  </w:footnote>
  <w:footnote w:id="4742">
    <w:p w14:paraId="18088C3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מ־25 בספטמבר 1992.</w:t>
      </w:r>
    </w:p>
  </w:footnote>
  <w:footnote w:id="4743">
    <w:p w14:paraId="1AF81E9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גיל זה קרוב לגיל שמסרה הסוכנות הטלגרפית היהודית בשעת פטירתו (לפי “</w:t>
      </w:r>
      <w:proofErr w:type="spellStart"/>
      <w:r>
        <w:rPr>
          <w:sz w:val="20"/>
          <w:szCs w:val="20"/>
          <w:rtl/>
        </w:rPr>
        <w:t>החפץ־חיים</w:t>
      </w:r>
      <w:proofErr w:type="spellEnd"/>
      <w:r>
        <w:rPr>
          <w:sz w:val="20"/>
          <w:szCs w:val="20"/>
          <w:rtl/>
        </w:rPr>
        <w:t>”, עמ׳ 793), היינו 105. ראה גם הערת השוליים שם.</w:t>
      </w:r>
    </w:p>
  </w:footnote>
  <w:footnote w:id="4744">
    <w:p w14:paraId="3BBAE71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1, הערה 7 – עמ׳ 265–266.</w:t>
      </w:r>
    </w:p>
  </w:footnote>
  <w:footnote w:id="4745">
    <w:p w14:paraId="0C41365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“יתד נאמן”, גיליון לחג הפסח תשנ״ח, עמ׳ 51, מאמר מאת הרב דב </w:t>
      </w:r>
      <w:proofErr w:type="spellStart"/>
      <w:r>
        <w:rPr>
          <w:sz w:val="20"/>
          <w:szCs w:val="20"/>
          <w:rtl/>
        </w:rPr>
        <w:t>אליאך</w:t>
      </w:r>
      <w:proofErr w:type="spellEnd"/>
      <w:r>
        <w:rPr>
          <w:sz w:val="20"/>
          <w:szCs w:val="20"/>
          <w:rtl/>
        </w:rPr>
        <w:t xml:space="preserve"> מתוך ספרו שעמד לצאת, “הגאון – חייו ומשנתו”.</w:t>
      </w:r>
    </w:p>
  </w:footnote>
  <w:footnote w:id="4746">
    <w:p w14:paraId="3CCDF27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פ״ד </w:t>
      </w:r>
      <w:proofErr w:type="spellStart"/>
      <w:r>
        <w:rPr>
          <w:sz w:val="20"/>
          <w:szCs w:val="20"/>
          <w:rtl/>
        </w:rPr>
        <w:t>ה״ד</w:t>
      </w:r>
      <w:proofErr w:type="spellEnd"/>
      <w:r>
        <w:rPr>
          <w:sz w:val="20"/>
          <w:szCs w:val="20"/>
          <w:rtl/>
        </w:rPr>
        <w:t xml:space="preserve"> מהלכות תשובה.</w:t>
      </w:r>
    </w:p>
  </w:footnote>
  <w:footnote w:id="4747">
    <w:p w14:paraId="43DC3AD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מאת בנימין אדלר (הוצאת </w:t>
      </w:r>
      <w:proofErr w:type="spellStart"/>
      <w:r>
        <w:rPr>
          <w:sz w:val="20"/>
          <w:szCs w:val="20"/>
          <w:rtl/>
        </w:rPr>
        <w:t>פלדהיים</w:t>
      </w:r>
      <w:proofErr w:type="spellEnd"/>
      <w:r>
        <w:rPr>
          <w:sz w:val="20"/>
          <w:szCs w:val="20"/>
          <w:rtl/>
        </w:rPr>
        <w:t xml:space="preserve">, ירושלים, תשל״ח), עמ׳ </w:t>
      </w:r>
      <w:proofErr w:type="spellStart"/>
      <w:r>
        <w:rPr>
          <w:sz w:val="20"/>
          <w:szCs w:val="20"/>
          <w:rtl/>
        </w:rPr>
        <w:t>רג</w:t>
      </w:r>
      <w:proofErr w:type="spellEnd"/>
      <w:r>
        <w:rPr>
          <w:sz w:val="20"/>
          <w:szCs w:val="20"/>
          <w:rtl/>
        </w:rPr>
        <w:t>, הערה 90.</w:t>
      </w:r>
    </w:p>
  </w:footnote>
  <w:footnote w:id="4748">
    <w:p w14:paraId="72CA21F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יש ספק </w:t>
      </w:r>
      <w:proofErr w:type="spellStart"/>
      <w:r>
        <w:rPr>
          <w:sz w:val="20"/>
          <w:szCs w:val="20"/>
          <w:rtl/>
        </w:rPr>
        <w:t>בפמ״ג</w:t>
      </w:r>
      <w:proofErr w:type="spellEnd"/>
      <w:r>
        <w:rPr>
          <w:sz w:val="20"/>
          <w:szCs w:val="20"/>
          <w:rtl/>
        </w:rPr>
        <w:t xml:space="preserve"> אם לברך שהחיינו על הגעה לגיל שבעים. (</w:t>
      </w:r>
      <w:proofErr w:type="spellStart"/>
      <w:r>
        <w:rPr>
          <w:sz w:val="20"/>
          <w:szCs w:val="20"/>
          <w:rtl/>
        </w:rPr>
        <w:t>בשו״ת</w:t>
      </w:r>
      <w:proofErr w:type="spellEnd"/>
      <w:r>
        <w:rPr>
          <w:sz w:val="20"/>
          <w:szCs w:val="20"/>
          <w:rtl/>
        </w:rPr>
        <w:t xml:space="preserve"> </w:t>
      </w:r>
      <w:proofErr w:type="spellStart"/>
      <w:r>
        <w:rPr>
          <w:sz w:val="20"/>
          <w:szCs w:val="20"/>
          <w:rtl/>
        </w:rPr>
        <w:t>חות</w:t>
      </w:r>
      <w:proofErr w:type="spellEnd"/>
      <w:r>
        <w:rPr>
          <w:sz w:val="20"/>
          <w:szCs w:val="20"/>
          <w:rtl/>
        </w:rPr>
        <w:t xml:space="preserve"> יאיר סימן ע על מה נקראת סעודת מצוה, כותב, “סעודת </w:t>
      </w:r>
      <w:proofErr w:type="spellStart"/>
      <w:r>
        <w:rPr>
          <w:sz w:val="20"/>
          <w:szCs w:val="20"/>
          <w:rtl/>
        </w:rPr>
        <w:t>בן־שבעים</w:t>
      </w:r>
      <w:proofErr w:type="spellEnd"/>
      <w:r>
        <w:rPr>
          <w:sz w:val="20"/>
          <w:szCs w:val="20"/>
          <w:rtl/>
        </w:rPr>
        <w:t xml:space="preserve"> יש להסתפק [אם היא סעודת מצוה] אפי׳ זה </w:t>
      </w:r>
      <w:proofErr w:type="spellStart"/>
      <w:r>
        <w:rPr>
          <w:sz w:val="20"/>
          <w:szCs w:val="20"/>
          <w:rtl/>
        </w:rPr>
        <w:t>הבן־שבעים</w:t>
      </w:r>
      <w:proofErr w:type="spellEnd"/>
      <w:r>
        <w:rPr>
          <w:sz w:val="20"/>
          <w:szCs w:val="20"/>
          <w:rtl/>
        </w:rPr>
        <w:t xml:space="preserve"> מברך שהחיינו כי כך נ״ל [שצריך].”)</w:t>
      </w:r>
    </w:p>
  </w:footnote>
  <w:footnote w:id="4749">
    <w:p w14:paraId="4F870FF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2, נספח ב – עמ׳ 282.</w:t>
      </w:r>
    </w:p>
  </w:footnote>
  <w:footnote w:id="4750">
    <w:p w14:paraId="0B7BAEB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לפי “</w:t>
      </w:r>
      <w:proofErr w:type="spellStart"/>
      <w:r>
        <w:rPr>
          <w:sz w:val="20"/>
          <w:szCs w:val="20"/>
          <w:rtl/>
        </w:rPr>
        <w:t>החפץ־חיים</w:t>
      </w:r>
      <w:proofErr w:type="spellEnd"/>
      <w:r>
        <w:rPr>
          <w:sz w:val="20"/>
          <w:szCs w:val="20"/>
          <w:rtl/>
        </w:rPr>
        <w:t xml:space="preserve">”, עמ׳ 54, “היה רגיל לצטט את הפסוק ‘יוסף בן </w:t>
      </w:r>
      <w:proofErr w:type="spellStart"/>
      <w:r>
        <w:rPr>
          <w:sz w:val="20"/>
          <w:szCs w:val="20"/>
          <w:rtl/>
        </w:rPr>
        <w:t>שבע־עשרה</w:t>
      </w:r>
      <w:proofErr w:type="spellEnd"/>
      <w:r>
        <w:rPr>
          <w:sz w:val="20"/>
          <w:szCs w:val="20"/>
          <w:rtl/>
        </w:rPr>
        <w:t xml:space="preserve"> שנה היה רועה את אחיו בצאן’ [בראשית </w:t>
      </w:r>
      <w:proofErr w:type="spellStart"/>
      <w:r>
        <w:rPr>
          <w:sz w:val="20"/>
          <w:szCs w:val="20"/>
          <w:rtl/>
        </w:rPr>
        <w:t>לז</w:t>
      </w:r>
      <w:proofErr w:type="spellEnd"/>
      <w:r>
        <w:rPr>
          <w:sz w:val="20"/>
          <w:szCs w:val="20"/>
          <w:rtl/>
        </w:rPr>
        <w:t xml:space="preserve">, ב]”, במובן שנישא בן </w:t>
      </w:r>
      <w:proofErr w:type="spellStart"/>
      <w:r>
        <w:rPr>
          <w:sz w:val="20"/>
          <w:szCs w:val="20"/>
          <w:rtl/>
        </w:rPr>
        <w:t>שבע־עשרה</w:t>
      </w:r>
      <w:proofErr w:type="spellEnd"/>
      <w:r>
        <w:rPr>
          <w:sz w:val="20"/>
          <w:szCs w:val="20"/>
          <w:rtl/>
        </w:rPr>
        <w:t xml:space="preserve"> ועזב את בית הוריו כדי לעמוד ברשות עצמו. </w:t>
      </w:r>
      <w:proofErr w:type="spellStart"/>
      <w:r>
        <w:rPr>
          <w:sz w:val="20"/>
          <w:szCs w:val="20"/>
          <w:rtl/>
        </w:rPr>
        <w:t>אמו</w:t>
      </w:r>
      <w:proofErr w:type="spellEnd"/>
      <w:r>
        <w:rPr>
          <w:sz w:val="20"/>
          <w:szCs w:val="20"/>
          <w:rtl/>
        </w:rPr>
        <w:t xml:space="preserve"> האלמנה נישאה בשנית קודם לכן.</w:t>
      </w:r>
    </w:p>
  </w:footnote>
  <w:footnote w:id="4751">
    <w:p w14:paraId="22EADA0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w:t>
      </w:r>
    </w:p>
  </w:footnote>
  <w:footnote w:id="4752">
    <w:p w14:paraId="26BC25A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פרק 3, הפסקה הראשונה של נספח א – עמ׳ </w:t>
      </w:r>
      <w:proofErr w:type="spellStart"/>
      <w:r>
        <w:rPr>
          <w:sz w:val="20"/>
          <w:szCs w:val="20"/>
          <w:rtl/>
        </w:rPr>
        <w:t>רצב</w:t>
      </w:r>
      <w:proofErr w:type="spellEnd"/>
      <w:r>
        <w:rPr>
          <w:sz w:val="20"/>
          <w:szCs w:val="20"/>
          <w:rtl/>
        </w:rPr>
        <w:t>–</w:t>
      </w:r>
      <w:proofErr w:type="spellStart"/>
      <w:r>
        <w:rPr>
          <w:sz w:val="20"/>
          <w:szCs w:val="20"/>
          <w:rtl/>
        </w:rPr>
        <w:t>רצג</w:t>
      </w:r>
      <w:proofErr w:type="spellEnd"/>
      <w:r>
        <w:rPr>
          <w:sz w:val="20"/>
          <w:szCs w:val="20"/>
          <w:rtl/>
        </w:rPr>
        <w:t>.</w:t>
      </w:r>
    </w:p>
  </w:footnote>
  <w:footnote w:id="4753">
    <w:p w14:paraId="1AFE287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לעניין שיעורים אלה, הן של כמות הן של זמן, ראה </w:t>
      </w:r>
      <w:proofErr w:type="spellStart"/>
      <w:r>
        <w:rPr>
          <w:sz w:val="20"/>
          <w:szCs w:val="20"/>
          <w:rtl/>
        </w:rPr>
        <w:t>שו״ע</w:t>
      </w:r>
      <w:proofErr w:type="spellEnd"/>
      <w:r>
        <w:rPr>
          <w:sz w:val="20"/>
          <w:szCs w:val="20"/>
          <w:rtl/>
        </w:rPr>
        <w:t xml:space="preserve"> </w:t>
      </w:r>
      <w:proofErr w:type="spellStart"/>
      <w:r>
        <w:rPr>
          <w:sz w:val="20"/>
          <w:szCs w:val="20"/>
          <w:rtl/>
        </w:rPr>
        <w:t>או״ח</w:t>
      </w:r>
      <w:proofErr w:type="spellEnd"/>
      <w:r>
        <w:rPr>
          <w:sz w:val="20"/>
          <w:szCs w:val="20"/>
          <w:rtl/>
        </w:rPr>
        <w:t xml:space="preserve"> ריש סי׳ תרי״ב ס״ד וס״ט.</w:t>
      </w:r>
    </w:p>
  </w:footnote>
  <w:footnote w:id="4754">
    <w:p w14:paraId="2363A6D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w:t>
      </w:r>
      <w:proofErr w:type="spellStart"/>
      <w:r>
        <w:rPr>
          <w:sz w:val="20"/>
          <w:szCs w:val="20"/>
          <w:rtl/>
        </w:rPr>
        <w:t>שו״ע</w:t>
      </w:r>
      <w:proofErr w:type="spellEnd"/>
      <w:r>
        <w:rPr>
          <w:sz w:val="20"/>
          <w:szCs w:val="20"/>
          <w:rtl/>
        </w:rPr>
        <w:t xml:space="preserve"> </w:t>
      </w:r>
      <w:proofErr w:type="spellStart"/>
      <w:r>
        <w:rPr>
          <w:sz w:val="20"/>
          <w:szCs w:val="20"/>
          <w:rtl/>
        </w:rPr>
        <w:t>או״ח</w:t>
      </w:r>
      <w:proofErr w:type="spellEnd"/>
      <w:r>
        <w:rPr>
          <w:sz w:val="20"/>
          <w:szCs w:val="20"/>
          <w:rtl/>
        </w:rPr>
        <w:t xml:space="preserve"> סי׳ תרי״ח ס״ז. יש מסורת שר׳ חיים </w:t>
      </w:r>
      <w:proofErr w:type="spellStart"/>
      <w:r>
        <w:rPr>
          <w:sz w:val="20"/>
          <w:szCs w:val="20"/>
          <w:rtl/>
        </w:rPr>
        <w:t>סולובייצ׳יק</w:t>
      </w:r>
      <w:proofErr w:type="spellEnd"/>
      <w:r>
        <w:rPr>
          <w:sz w:val="20"/>
          <w:szCs w:val="20"/>
          <w:rtl/>
        </w:rPr>
        <w:t xml:space="preserve"> סבר שמי שכבר חולה רשאי לאכול שיעור שלם האסור, ואילו מי שרק עלול לחלות במחלה קטלנית מחמת הצום מוגבל לאכילה פחות </w:t>
      </w:r>
      <w:proofErr w:type="spellStart"/>
      <w:r>
        <w:rPr>
          <w:sz w:val="20"/>
          <w:szCs w:val="20"/>
          <w:rtl/>
        </w:rPr>
        <w:t>מכשיעור</w:t>
      </w:r>
      <w:proofErr w:type="spellEnd"/>
      <w:r>
        <w:rPr>
          <w:sz w:val="20"/>
          <w:szCs w:val="20"/>
          <w:rtl/>
        </w:rPr>
        <w:t xml:space="preserve">. במגפת הכולרה גם ר׳ חיים היה מסכים שהותר רק פחות </w:t>
      </w:r>
      <w:proofErr w:type="spellStart"/>
      <w:r>
        <w:rPr>
          <w:sz w:val="20"/>
          <w:szCs w:val="20"/>
          <w:rtl/>
        </w:rPr>
        <w:t>מכשיעור</w:t>
      </w:r>
      <w:proofErr w:type="spellEnd"/>
      <w:r>
        <w:rPr>
          <w:sz w:val="20"/>
          <w:szCs w:val="20"/>
          <w:rtl/>
        </w:rPr>
        <w:t>, שכן החשש לבריאות הציבור היה שהצום יחליש את עמידותם של האנשים ויגדיל את הסיכון שיידבקו בכולרה. לדעת ר׳ חיים רק מי שכבר חלו בכולרה – ולא היו באים לבית הכנסת לקבל הוראות – היו רשאים לאכול שיעור שלם.</w:t>
      </w:r>
    </w:p>
    <w:p w14:paraId="41053E42" w14:textId="77777777" w:rsidR="00AB3647" w:rsidRDefault="00000000">
      <w:pPr>
        <w:spacing w:after="0" w:before="0"/>
        <w:jc w:val="both"/>
      </w:pPr>
      <w:r>
        <w:rPr>
          <w:sz w:val="20"/>
          <w:szCs w:val="20"/>
          <w:rtl/>
        </w:rPr>
        <w:t xml:space="preserve">לפי הידע הרפואי של ימינו, שלמחלה יש תקופת דגירה, ייתכן שר׳ חיים היה מתיר לכל אדם לאכול שיעור שלם האסור בזמן מגפה, שכן כל אדם עלול להיות כבר חולה בלי לדעת זאת. אבל דבר זה לא היה ידוע בתחילת שנות </w:t>
      </w:r>
      <w:proofErr w:type="spellStart"/>
      <w:r>
        <w:rPr>
          <w:sz w:val="20"/>
          <w:szCs w:val="20"/>
          <w:rtl/>
        </w:rPr>
        <w:t>הת״ר</w:t>
      </w:r>
      <w:proofErr w:type="spellEnd"/>
      <w:r>
        <w:rPr>
          <w:sz w:val="20"/>
          <w:szCs w:val="20"/>
          <w:rtl/>
        </w:rPr>
        <w:t xml:space="preserve">, וכל הנוכחים </w:t>
      </w:r>
      <w:proofErr w:type="spellStart"/>
      <w:r>
        <w:rPr>
          <w:sz w:val="20"/>
          <w:szCs w:val="20"/>
          <w:rtl/>
        </w:rPr>
        <w:t>בזארעצ׳ר</w:t>
      </w:r>
      <w:proofErr w:type="spellEnd"/>
      <w:r>
        <w:rPr>
          <w:sz w:val="20"/>
          <w:szCs w:val="20"/>
          <w:rtl/>
        </w:rPr>
        <w:t xml:space="preserve"> </w:t>
      </w:r>
      <w:proofErr w:type="spellStart"/>
      <w:r>
        <w:rPr>
          <w:sz w:val="20"/>
          <w:szCs w:val="20"/>
          <w:rtl/>
        </w:rPr>
        <w:t>קלויז</w:t>
      </w:r>
      <w:proofErr w:type="spellEnd"/>
      <w:r>
        <w:rPr>
          <w:sz w:val="20"/>
          <w:szCs w:val="20"/>
          <w:rtl/>
        </w:rPr>
        <w:t xml:space="preserve"> נחשבו עדיין בריאים, ורק כמי שנתונים </w:t>
      </w:r>
      <w:r>
        <w:rPr>
          <w:b/>
          <w:bCs/>
          <w:sz w:val="20"/>
          <w:szCs w:val="20"/>
          <w:rtl/>
        </w:rPr>
        <w:t>בסכנה לחלות</w:t>
      </w:r>
      <w:r>
        <w:rPr>
          <w:sz w:val="20"/>
          <w:szCs w:val="20"/>
          <w:rtl/>
        </w:rPr>
        <w:t>.</w:t>
      </w:r>
    </w:p>
  </w:footnote>
  <w:footnote w:id="4755">
    <w:p w14:paraId="013238E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גם הסיפור על אמונתם של מקצת החסידים בדבר סיבת השבץ של ר׳ ישראל, שנזכר בעמ׳ </w:t>
      </w:r>
      <w:r>
        <w:rPr>
          <w:sz w:val="20"/>
          <w:szCs w:val="20"/>
          <w:rtl/>
        </w:rPr>
        <w:fldChar w:fldCharType="begin" w:dirty="true"/>
      </w:r>
      <w:r>
        <w:rPr>
          <w:sz w:val="20"/>
          <w:szCs w:val="20"/>
          <w:rtl/>
        </w:rPr>
        <w:instrText xml:space="preserve"> PAGEREF pr_b_2637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לא פורסם במאמר </w:t>
      </w:r>
      <w:proofErr w:type="spellStart"/>
      <w:r>
        <w:rPr>
          <w:sz w:val="20"/>
          <w:szCs w:val="20"/>
          <w:rtl/>
        </w:rPr>
        <w:t>גלדוורט</w:t>
      </w:r>
      <w:proofErr w:type="spellEnd"/>
      <w:r>
        <w:rPr>
          <w:sz w:val="20"/>
          <w:szCs w:val="20"/>
          <w:rtl/>
        </w:rPr>
        <w:t>.</w:t>
      </w:r>
    </w:p>
  </w:footnote>
  <w:footnote w:id="4756">
    <w:p w14:paraId="7EBCCD7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יעקב מארק טוען גם שביום הכיפורים עצמו נזף בר׳ ישראל ר׳ בצלאל הכהן, </w:t>
      </w:r>
      <w:proofErr w:type="spellStart"/>
      <w:r>
        <w:rPr>
          <w:sz w:val="20"/>
          <w:szCs w:val="20"/>
          <w:rtl/>
        </w:rPr>
        <w:t>המ״ץ</w:t>
      </w:r>
      <w:proofErr w:type="spellEnd"/>
      <w:r>
        <w:rPr>
          <w:sz w:val="20"/>
          <w:szCs w:val="20"/>
          <w:rtl/>
        </w:rPr>
        <w:t xml:space="preserve"> הראשי של וילנה, על שהכריז שמי שחש חולשה רשאי לאכול בלי להתייעץ ברופא. ר׳ בצלאל היה צעיר מר׳ ישראל בעשר שנים, ומונה לתפקיד חמש שנים קודם לכן, בגיל עשרים ושלוש. מיד כשירד ר׳ ישראל מן הבימה עלה ר׳ בצלאל והביע את התנגדותו – לא לאופן התנהגותו של ר׳ ישראל, אלא לפסקו ההלכתי.</w:t>
      </w:r>
    </w:p>
    <w:p w14:paraId="2C23B4F0" w14:textId="77777777" w:rsidR="00AB3647" w:rsidRDefault="00000000">
      <w:pPr>
        <w:spacing w:after="0" w:before="0"/>
        <w:jc w:val="both"/>
      </w:pPr>
      <w:r>
        <w:rPr>
          <w:sz w:val="20"/>
          <w:szCs w:val="20"/>
          <w:rtl/>
        </w:rPr>
        <w:t xml:space="preserve">ייתכן שטעותו של יעקב מארק נבעה מתוספת לתשובת ר׳ בצלאל בעמ׳ לג–64 בספרו “ראשית בכורים”, שנדפס בווילנה עשרים שנה אחרי המאורעות האלה, </w:t>
      </w:r>
      <w:proofErr w:type="spellStart"/>
      <w:r>
        <w:rPr>
          <w:sz w:val="20"/>
          <w:szCs w:val="20"/>
          <w:rtl/>
        </w:rPr>
        <w:t>בתרכ״ט</w:t>
      </w:r>
      <w:proofErr w:type="spellEnd"/>
      <w:r>
        <w:rPr>
          <w:sz w:val="20"/>
          <w:szCs w:val="20"/>
          <w:rtl/>
        </w:rPr>
        <w:t>. שם הוא כותב: “הן יען כי כתבתי זאת [תשובה זו]” – והיא משתרעת מעמ׳ 44 עד עמ׳ 92 – “</w:t>
      </w:r>
      <w:proofErr w:type="spellStart"/>
      <w:r>
        <w:rPr>
          <w:sz w:val="20"/>
          <w:szCs w:val="20"/>
          <w:rtl/>
        </w:rPr>
        <w:t>בעז״ה</w:t>
      </w:r>
      <w:proofErr w:type="spellEnd"/>
      <w:r>
        <w:rPr>
          <w:sz w:val="20"/>
          <w:szCs w:val="20"/>
          <w:rtl/>
        </w:rPr>
        <w:t xml:space="preserve"> סמוך ליום הצום, ע״כ ראיתי לציין כאן דבר הנחוץ לידע לכל חולה שיש בו סכנה ח״ו”. הרב הכהן דן בשיעור המדויק של אוכל ומשקה שהחולים רשאים לאכול ולשתות, ובמרווחים שביניהם. אחר כך הוא כותב: “וראיתי להזכיר בדבר </w:t>
      </w:r>
      <w:proofErr w:type="spellStart"/>
      <w:r>
        <w:rPr>
          <w:sz w:val="20"/>
          <w:szCs w:val="20"/>
          <w:rtl/>
        </w:rPr>
        <w:t>מ״ש</w:t>
      </w:r>
      <w:proofErr w:type="spellEnd"/>
      <w:r>
        <w:rPr>
          <w:sz w:val="20"/>
          <w:szCs w:val="20"/>
          <w:rtl/>
        </w:rPr>
        <w:t xml:space="preserve"> הגאון בעל חתם סופר ז״ל בס׳ כ״ג [בליקוטים] אם יש לסמוך ע״ד </w:t>
      </w:r>
      <w:proofErr w:type="spellStart"/>
      <w:r>
        <w:rPr>
          <w:sz w:val="20"/>
          <w:szCs w:val="20"/>
          <w:rtl/>
        </w:rPr>
        <w:t>המג״א</w:t>
      </w:r>
      <w:proofErr w:type="spellEnd"/>
      <w:r>
        <w:rPr>
          <w:sz w:val="20"/>
          <w:szCs w:val="20"/>
          <w:rtl/>
        </w:rPr>
        <w:t xml:space="preserve"> ז״ל בס׳ תקע״ו </w:t>
      </w:r>
      <w:proofErr w:type="spellStart"/>
      <w:r>
        <w:rPr>
          <w:sz w:val="20"/>
          <w:szCs w:val="20"/>
          <w:rtl/>
        </w:rPr>
        <w:t>סק״ב</w:t>
      </w:r>
      <w:proofErr w:type="spellEnd"/>
      <w:r>
        <w:rPr>
          <w:sz w:val="20"/>
          <w:szCs w:val="20"/>
          <w:rtl/>
        </w:rPr>
        <w:t xml:space="preserve"> גם בצום הכפורים”.</w:t>
      </w:r>
    </w:p>
    <w:p w14:paraId="70E124B1" w14:textId="77777777" w:rsidR="00AB3647" w:rsidRDefault="00000000">
      <w:pPr>
        <w:spacing w:after="0" w:before="0"/>
        <w:jc w:val="both"/>
      </w:pPr>
      <w:proofErr w:type="spellStart"/>
      <w:r>
        <w:rPr>
          <w:sz w:val="20"/>
          <w:szCs w:val="20"/>
          <w:rtl/>
        </w:rPr>
        <w:t>המג״א</w:t>
      </w:r>
      <w:proofErr w:type="spellEnd"/>
      <w:r>
        <w:rPr>
          <w:sz w:val="20"/>
          <w:szCs w:val="20"/>
          <w:rtl/>
        </w:rPr>
        <w:t xml:space="preserve"> המצוטט דן בתעניות שבית דין גוזר על צרות ציבור, כגון מתקפת אויב, דבר, רעידת אדמה, מתקפת חיות רעות וכיוצא באלה, וכותב שבזמננו אין מתענים על דבר: “</w:t>
      </w:r>
      <w:proofErr w:type="spellStart"/>
      <w:r>
        <w:rPr>
          <w:sz w:val="20"/>
          <w:szCs w:val="20"/>
          <w:rtl/>
        </w:rPr>
        <w:t>האידנא</w:t>
      </w:r>
      <w:proofErr w:type="spellEnd"/>
      <w:r>
        <w:rPr>
          <w:sz w:val="20"/>
          <w:szCs w:val="20"/>
          <w:rtl/>
        </w:rPr>
        <w:t xml:space="preserve"> אין </w:t>
      </w:r>
      <w:proofErr w:type="spellStart"/>
      <w:r>
        <w:rPr>
          <w:sz w:val="20"/>
          <w:szCs w:val="20"/>
          <w:rtl/>
        </w:rPr>
        <w:t>מתענין</w:t>
      </w:r>
      <w:proofErr w:type="spellEnd"/>
      <w:r>
        <w:rPr>
          <w:sz w:val="20"/>
          <w:szCs w:val="20"/>
          <w:rtl/>
        </w:rPr>
        <w:t xml:space="preserve"> כלל בשעת הדבר </w:t>
      </w:r>
      <w:proofErr w:type="spellStart"/>
      <w:r>
        <w:rPr>
          <w:sz w:val="20"/>
          <w:szCs w:val="20"/>
          <w:rtl/>
        </w:rPr>
        <w:t>דמנוסה</w:t>
      </w:r>
      <w:proofErr w:type="spellEnd"/>
      <w:r>
        <w:rPr>
          <w:sz w:val="20"/>
          <w:szCs w:val="20"/>
          <w:rtl/>
        </w:rPr>
        <w:t xml:space="preserve"> הוא כשאינו אוכל ושותה קולט ח״ו שינוי האויר [ומסכן את חייו]”. שו״ת </w:t>
      </w:r>
      <w:proofErr w:type="spellStart"/>
      <w:r>
        <w:rPr>
          <w:sz w:val="20"/>
          <w:szCs w:val="20"/>
          <w:rtl/>
        </w:rPr>
        <w:t>חת״ס</w:t>
      </w:r>
      <w:proofErr w:type="spellEnd"/>
      <w:r>
        <w:rPr>
          <w:sz w:val="20"/>
          <w:szCs w:val="20"/>
          <w:rtl/>
        </w:rPr>
        <w:t xml:space="preserve">, בתשובה מט״ז באלול תקצ״ו לשאלה כיצד לנהוג בצום יום הכיפורים הקרוב אם תימשך מגפת הכולרה, כותב: “אך אם המומחים מסכימים שהתענית עצמו מזיק וכמ״ש </w:t>
      </w:r>
      <w:proofErr w:type="spellStart"/>
      <w:r>
        <w:rPr>
          <w:sz w:val="20"/>
          <w:szCs w:val="20"/>
          <w:rtl/>
        </w:rPr>
        <w:t>מג״א</w:t>
      </w:r>
      <w:proofErr w:type="spellEnd"/>
      <w:r>
        <w:rPr>
          <w:sz w:val="20"/>
          <w:szCs w:val="20"/>
          <w:rtl/>
        </w:rPr>
        <w:t xml:space="preserve"> סי׳ תקע״ו </w:t>
      </w:r>
      <w:proofErr w:type="spellStart"/>
      <w:r>
        <w:rPr>
          <w:sz w:val="20"/>
          <w:szCs w:val="20"/>
          <w:rtl/>
        </w:rPr>
        <w:t>סק״ב</w:t>
      </w:r>
      <w:proofErr w:type="spellEnd"/>
      <w:r>
        <w:rPr>
          <w:sz w:val="20"/>
          <w:szCs w:val="20"/>
          <w:rtl/>
        </w:rPr>
        <w:t xml:space="preserve"> אז ישערו הרופאים כמה שיעור לגימה... ישתה פחות </w:t>
      </w:r>
      <w:proofErr w:type="spellStart"/>
      <w:r>
        <w:rPr>
          <w:sz w:val="20"/>
          <w:szCs w:val="20"/>
          <w:rtl/>
        </w:rPr>
        <w:t>פחות</w:t>
      </w:r>
      <w:proofErr w:type="spellEnd"/>
      <w:r>
        <w:rPr>
          <w:sz w:val="20"/>
          <w:szCs w:val="20"/>
          <w:rtl/>
        </w:rPr>
        <w:t xml:space="preserve"> </w:t>
      </w:r>
      <w:proofErr w:type="spellStart"/>
      <w:r>
        <w:rPr>
          <w:sz w:val="20"/>
          <w:szCs w:val="20"/>
          <w:rtl/>
        </w:rPr>
        <w:t>מכשיעור</w:t>
      </w:r>
      <w:proofErr w:type="spellEnd"/>
      <w:r>
        <w:rPr>
          <w:sz w:val="20"/>
          <w:szCs w:val="20"/>
          <w:rtl/>
        </w:rPr>
        <w:t>”.</w:t>
      </w:r>
    </w:p>
    <w:p w14:paraId="08497B69" w14:textId="77777777" w:rsidR="00AB3647" w:rsidRDefault="00000000">
      <w:pPr>
        <w:spacing w:after="0" w:before="0"/>
        <w:jc w:val="both"/>
      </w:pPr>
      <w:r>
        <w:rPr>
          <w:sz w:val="20"/>
          <w:szCs w:val="20"/>
          <w:rtl/>
        </w:rPr>
        <w:t xml:space="preserve">על עניין זה כותב ר׳ בצלאל: “הן עלינו להודיע הדבר הגדול הזה לדורות עולם </w:t>
      </w:r>
      <w:proofErr w:type="spellStart"/>
      <w:r>
        <w:rPr>
          <w:sz w:val="20"/>
          <w:szCs w:val="20"/>
          <w:rtl/>
        </w:rPr>
        <w:t>בעז״ה</w:t>
      </w:r>
      <w:proofErr w:type="spellEnd"/>
      <w:r>
        <w:rPr>
          <w:sz w:val="20"/>
          <w:szCs w:val="20"/>
          <w:rtl/>
        </w:rPr>
        <w:t xml:space="preserve"> אשר בתלת זימני </w:t>
      </w:r>
      <w:proofErr w:type="spellStart"/>
      <w:r>
        <w:rPr>
          <w:sz w:val="20"/>
          <w:szCs w:val="20"/>
          <w:rtl/>
        </w:rPr>
        <w:t>הוה</w:t>
      </w:r>
      <w:proofErr w:type="spellEnd"/>
      <w:r>
        <w:rPr>
          <w:sz w:val="20"/>
          <w:szCs w:val="20"/>
          <w:rtl/>
        </w:rPr>
        <w:t xml:space="preserve"> חזקה מאלפים ורבבות אנשים ונשים אשר ת״ל התענו כולם בצום הגדול (ביוה״כ </w:t>
      </w:r>
      <w:proofErr w:type="spellStart"/>
      <w:r>
        <w:rPr>
          <w:sz w:val="20"/>
          <w:szCs w:val="20"/>
          <w:rtl/>
        </w:rPr>
        <w:t>דשנת</w:t>
      </w:r>
      <w:proofErr w:type="spellEnd"/>
      <w:r>
        <w:rPr>
          <w:sz w:val="20"/>
          <w:szCs w:val="20"/>
          <w:rtl/>
        </w:rPr>
        <w:t xml:space="preserve"> תקצ״ב </w:t>
      </w:r>
      <w:proofErr w:type="spellStart"/>
      <w:r>
        <w:rPr>
          <w:sz w:val="20"/>
          <w:szCs w:val="20"/>
          <w:rtl/>
        </w:rPr>
        <w:t>ותר״ט</w:t>
      </w:r>
      <w:proofErr w:type="spellEnd"/>
      <w:r>
        <w:rPr>
          <w:sz w:val="20"/>
          <w:szCs w:val="20"/>
          <w:rtl/>
        </w:rPr>
        <w:t xml:space="preserve"> </w:t>
      </w:r>
      <w:proofErr w:type="spellStart"/>
      <w:r>
        <w:rPr>
          <w:sz w:val="20"/>
          <w:szCs w:val="20"/>
          <w:rtl/>
        </w:rPr>
        <w:t>ותרכ״ז</w:t>
      </w:r>
      <w:proofErr w:type="spellEnd"/>
      <w:r>
        <w:rPr>
          <w:sz w:val="20"/>
          <w:szCs w:val="20"/>
          <w:rtl/>
        </w:rPr>
        <w:t xml:space="preserve">) בכל מדינתנו אז, ולא קרה להם כל רע חלילה, ונודע זאת כמעט בכל העולם אז, ואין לנו דבר </w:t>
      </w:r>
      <w:proofErr w:type="spellStart"/>
      <w:r>
        <w:rPr>
          <w:sz w:val="20"/>
          <w:szCs w:val="20"/>
          <w:rtl/>
        </w:rPr>
        <w:t>שנתברר</w:t>
      </w:r>
      <w:proofErr w:type="spellEnd"/>
      <w:r>
        <w:rPr>
          <w:sz w:val="20"/>
          <w:szCs w:val="20"/>
          <w:rtl/>
        </w:rPr>
        <w:t xml:space="preserve"> </w:t>
      </w:r>
      <w:proofErr w:type="spellStart"/>
      <w:r>
        <w:rPr>
          <w:sz w:val="20"/>
          <w:szCs w:val="20"/>
          <w:rtl/>
        </w:rPr>
        <w:t>בנסיון</w:t>
      </w:r>
      <w:proofErr w:type="spellEnd"/>
      <w:r>
        <w:rPr>
          <w:sz w:val="20"/>
          <w:szCs w:val="20"/>
          <w:rtl/>
        </w:rPr>
        <w:t xml:space="preserve"> באמת יותר גדול מזה וכאשר נודע זאת ביחוד לכל האנשים שעסקו במצות פיקוח נפשות אז, שביום צום הכפורים לא נחלה שום אדם ח״ו ע״י הצום כלל (רק לאותן האנשים שלא נזהרו </w:t>
      </w:r>
      <w:proofErr w:type="spellStart"/>
      <w:r>
        <w:rPr>
          <w:sz w:val="20"/>
          <w:szCs w:val="20"/>
          <w:rtl/>
        </w:rPr>
        <w:t>בנפשותם</w:t>
      </w:r>
      <w:proofErr w:type="spellEnd"/>
      <w:r>
        <w:rPr>
          <w:sz w:val="20"/>
          <w:szCs w:val="20"/>
          <w:rtl/>
        </w:rPr>
        <w:t xml:space="preserve"> אז באכילתם ובשתייתם ומלאו כרסם בדברים הקשים לגוף אז בערב יוה״כ וכל שכן במוצאי יוה״כ שאז צריך שמירה רבה ביותר כנודע) וע״כ אם כי בד׳ צומות אז ח״ו (יהפכם ה׳ לששון במהרה) יש לסמוך ע״ד </w:t>
      </w:r>
      <w:proofErr w:type="spellStart"/>
      <w:r>
        <w:rPr>
          <w:sz w:val="20"/>
          <w:szCs w:val="20"/>
          <w:rtl/>
        </w:rPr>
        <w:t>המג״א</w:t>
      </w:r>
      <w:proofErr w:type="spellEnd"/>
      <w:r>
        <w:rPr>
          <w:sz w:val="20"/>
          <w:szCs w:val="20"/>
          <w:rtl/>
        </w:rPr>
        <w:t xml:space="preserve"> ז״ל הנ״ל בזה (ואף </w:t>
      </w:r>
      <w:proofErr w:type="spellStart"/>
      <w:r>
        <w:rPr>
          <w:sz w:val="20"/>
          <w:szCs w:val="20"/>
          <w:rtl/>
        </w:rPr>
        <w:t>דהמג״א</w:t>
      </w:r>
      <w:proofErr w:type="spellEnd"/>
      <w:r>
        <w:rPr>
          <w:sz w:val="20"/>
          <w:szCs w:val="20"/>
          <w:rtl/>
        </w:rPr>
        <w:t xml:space="preserve"> לא </w:t>
      </w:r>
      <w:proofErr w:type="spellStart"/>
      <w:r>
        <w:rPr>
          <w:sz w:val="20"/>
          <w:szCs w:val="20"/>
          <w:rtl/>
        </w:rPr>
        <w:t>מיירי</w:t>
      </w:r>
      <w:proofErr w:type="spellEnd"/>
      <w:r>
        <w:rPr>
          <w:sz w:val="20"/>
          <w:szCs w:val="20"/>
          <w:rtl/>
        </w:rPr>
        <w:t xml:space="preserve"> התם בתענית של חובה כלל ע״ש) אולם בצום הכפורים חלילה לצרף ולסמוך אז ח״ו על ד׳ </w:t>
      </w:r>
      <w:proofErr w:type="spellStart"/>
      <w:r>
        <w:rPr>
          <w:sz w:val="20"/>
          <w:szCs w:val="20"/>
          <w:rtl/>
        </w:rPr>
        <w:t>המג״א</w:t>
      </w:r>
      <w:proofErr w:type="spellEnd"/>
      <w:r>
        <w:rPr>
          <w:sz w:val="20"/>
          <w:szCs w:val="20"/>
          <w:rtl/>
        </w:rPr>
        <w:t xml:space="preserve"> הנ״ל בזה במאומה כלל וה׳ ירחם עלינו”.</w:t>
      </w:r>
    </w:p>
    <w:p w14:paraId="06102E36" w14:textId="77777777" w:rsidR="00AB3647" w:rsidRDefault="00000000">
      <w:pPr>
        <w:spacing w:after="0" w:before="0"/>
        <w:jc w:val="both"/>
      </w:pPr>
      <w:r>
        <w:rPr>
          <w:sz w:val="20"/>
          <w:szCs w:val="20"/>
          <w:rtl/>
        </w:rPr>
        <w:t xml:space="preserve">מאחר שר׳ בצלאל הכהן היה בדעה, </w:t>
      </w:r>
      <w:proofErr w:type="spellStart"/>
      <w:r>
        <w:rPr>
          <w:sz w:val="20"/>
          <w:szCs w:val="20"/>
          <w:rtl/>
        </w:rPr>
        <w:t>ה“מוכחת</w:t>
      </w:r>
      <w:proofErr w:type="spellEnd"/>
      <w:r>
        <w:rPr>
          <w:sz w:val="20"/>
          <w:szCs w:val="20"/>
          <w:rtl/>
        </w:rPr>
        <w:t xml:space="preserve"> במציאות”, שהצום אינו מסוכן גם בשעת מגפה, אין להתפלא שיעקב מארק מסר כעבור שנים רבות שהוא חלק לגמרי על פסקו של ר׳ ישראל. (אני חייב תודה </w:t>
      </w:r>
      <w:proofErr w:type="spellStart"/>
      <w:r>
        <w:rPr>
          <w:sz w:val="20"/>
          <w:szCs w:val="20"/>
          <w:rtl/>
        </w:rPr>
        <w:t>לר</w:t>
      </w:r>
      <w:proofErr w:type="spellEnd"/>
      <w:r>
        <w:rPr>
          <w:sz w:val="20"/>
          <w:szCs w:val="20"/>
          <w:rtl/>
        </w:rPr>
        <w:t xml:space="preserve">׳ </w:t>
      </w:r>
      <w:proofErr w:type="spellStart"/>
      <w:r>
        <w:rPr>
          <w:sz w:val="20"/>
          <w:szCs w:val="20"/>
          <w:rtl/>
        </w:rPr>
        <w:t>אברהם־אביש</w:t>
      </w:r>
      <w:proofErr w:type="spellEnd"/>
      <w:r>
        <w:rPr>
          <w:sz w:val="20"/>
          <w:szCs w:val="20"/>
          <w:rtl/>
        </w:rPr>
        <w:t xml:space="preserve"> שור על מקור זה – ראה פרק 4, סוף הפסקה השנייה של נספח כ לעיל.)</w:t>
      </w:r>
    </w:p>
  </w:footnote>
  <w:footnote w:id="4757">
    <w:p w14:paraId="35C9708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או״ח</w:t>
      </w:r>
      <w:proofErr w:type="spellEnd"/>
      <w:r>
        <w:rPr>
          <w:sz w:val="20"/>
          <w:szCs w:val="20"/>
          <w:rtl/>
        </w:rPr>
        <w:t xml:space="preserve"> סי׳ שכ״ח.</w:t>
      </w:r>
    </w:p>
  </w:footnote>
  <w:footnote w:id="4758">
    <w:p w14:paraId="0BEF03F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מחבר “בית שמואל”, פירוש על שולחן ערוך אבן העזר, היה רבה של פירט (</w:t>
      </w:r>
      <w:proofErr w:type="spellStart"/>
      <w:r>
        <w:rPr>
          <w:sz w:val="20"/>
          <w:szCs w:val="20"/>
          <w:rtl/>
        </w:rPr>
        <w:t>פיורדא</w:t>
      </w:r>
      <w:proofErr w:type="spellEnd"/>
      <w:r>
        <w:rPr>
          <w:sz w:val="20"/>
          <w:szCs w:val="20"/>
          <w:rtl/>
        </w:rPr>
        <w:t xml:space="preserve">) שבגרמניה. הוא נפטר </w:t>
      </w:r>
      <w:proofErr w:type="spellStart"/>
      <w:r>
        <w:rPr>
          <w:sz w:val="20"/>
          <w:szCs w:val="20"/>
          <w:rtl/>
        </w:rPr>
        <w:t xml:space="preserve">בה׳תנ״ח</w:t>
      </w:r>
      <w:proofErr w:type="spellEnd"/>
      <w:r>
        <w:rPr>
          <w:sz w:val="20"/>
          <w:szCs w:val="20"/>
          <w:rtl/>
        </w:rPr>
        <w:t xml:space="preserve">, כמעט מאה וחמישים שנה לפני המאורעות המתוארים, והיה מתלמידיו הבולטים של גדול מרביצי התורה בימיו, “הרבי” ר׳ </w:t>
      </w:r>
      <w:proofErr w:type="spellStart"/>
      <w:r>
        <w:rPr>
          <w:sz w:val="20"/>
          <w:szCs w:val="20"/>
          <w:rtl/>
        </w:rPr>
        <w:t>העשיל</w:t>
      </w:r>
      <w:proofErr w:type="spellEnd"/>
      <w:r>
        <w:rPr>
          <w:sz w:val="20"/>
          <w:szCs w:val="20"/>
          <w:rtl/>
        </w:rPr>
        <w:t xml:space="preserve"> </w:t>
      </w:r>
      <w:proofErr w:type="spellStart"/>
      <w:r>
        <w:rPr>
          <w:sz w:val="20"/>
          <w:szCs w:val="20"/>
          <w:rtl/>
        </w:rPr>
        <w:t>מקרקוב</w:t>
      </w:r>
      <w:proofErr w:type="spellEnd"/>
      <w:r>
        <w:rPr>
          <w:sz w:val="20"/>
          <w:szCs w:val="20"/>
          <w:rtl/>
        </w:rPr>
        <w:t>.</w:t>
      </w:r>
    </w:p>
  </w:footnote>
  <w:footnote w:id="4759">
    <w:p w14:paraId="6B7836E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הפסקה </w:t>
      </w:r>
      <w:proofErr w:type="spellStart"/>
      <w:r>
        <w:rPr>
          <w:sz w:val="20"/>
          <w:szCs w:val="20"/>
          <w:rtl/>
        </w:rPr>
        <w:t>הלפני</w:t>
      </w:r>
      <w:proofErr w:type="spellEnd"/>
      <w:r>
        <w:rPr>
          <w:sz w:val="20"/>
          <w:szCs w:val="20"/>
          <w:rtl/>
        </w:rPr>
        <w:t xml:space="preserve"> אחרונה של פרק 3.2.</w:t>
      </w:r>
    </w:p>
  </w:footnote>
  <w:footnote w:id="4760">
    <w:p w14:paraId="7DDE444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3, נספח א – עמ׳ 719–720.</w:t>
      </w:r>
    </w:p>
  </w:footnote>
  <w:footnote w:id="4761">
    <w:p w14:paraId="52ED6ED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אבל השווה שו״ת משיב דבר, </w:t>
      </w:r>
      <w:proofErr w:type="spellStart"/>
      <w:r>
        <w:rPr>
          <w:sz w:val="20"/>
          <w:szCs w:val="20"/>
          <w:rtl/>
        </w:rPr>
        <w:t>ח״ב</w:t>
      </w:r>
      <w:proofErr w:type="spellEnd"/>
      <w:r>
        <w:rPr>
          <w:sz w:val="20"/>
          <w:szCs w:val="20"/>
          <w:rtl/>
        </w:rPr>
        <w:t xml:space="preserve"> (בקונטרס דבר השמיטה שאחרי סי׳ נו), שם </w:t>
      </w:r>
      <w:proofErr w:type="spellStart"/>
      <w:r>
        <w:rPr>
          <w:sz w:val="20"/>
          <w:szCs w:val="20"/>
          <w:rtl/>
        </w:rPr>
        <w:t>הנצי״ב</w:t>
      </w:r>
      <w:proofErr w:type="spellEnd"/>
      <w:r>
        <w:rPr>
          <w:sz w:val="20"/>
          <w:szCs w:val="20"/>
          <w:rtl/>
        </w:rPr>
        <w:t xml:space="preserve"> דוחה לגמרי </w:t>
      </w:r>
      <w:proofErr w:type="spellStart"/>
      <w:r>
        <w:rPr>
          <w:sz w:val="20"/>
          <w:szCs w:val="20"/>
          <w:rtl/>
        </w:rPr>
        <w:t>קולא</w:t>
      </w:r>
      <w:proofErr w:type="spellEnd"/>
      <w:r>
        <w:rPr>
          <w:sz w:val="20"/>
          <w:szCs w:val="20"/>
          <w:rtl/>
        </w:rPr>
        <w:t xml:space="preserve"> כזאת: “</w:t>
      </w:r>
      <w:proofErr w:type="spellStart"/>
      <w:r>
        <w:rPr>
          <w:sz w:val="20"/>
          <w:szCs w:val="20"/>
          <w:rtl/>
        </w:rPr>
        <w:t>נשתוממתי</w:t>
      </w:r>
      <w:proofErr w:type="spellEnd"/>
      <w:r>
        <w:rPr>
          <w:sz w:val="20"/>
          <w:szCs w:val="20"/>
          <w:rtl/>
        </w:rPr>
        <w:t xml:space="preserve"> לראות, אשר רב יתיר בפומבי איסור דאורייתא בשביל מזון </w:t>
      </w:r>
      <w:proofErr w:type="spellStart"/>
      <w:r>
        <w:rPr>
          <w:sz w:val="20"/>
          <w:szCs w:val="20"/>
          <w:rtl/>
        </w:rPr>
        <w:t>האשה</w:t>
      </w:r>
      <w:proofErr w:type="spellEnd"/>
      <w:r>
        <w:rPr>
          <w:sz w:val="20"/>
          <w:szCs w:val="20"/>
          <w:rtl/>
        </w:rPr>
        <w:t xml:space="preserve"> והבנים”. נראה שגם מחבר “</w:t>
      </w:r>
      <w:proofErr w:type="spellStart"/>
      <w:r>
        <w:rPr>
          <w:sz w:val="20"/>
          <w:szCs w:val="20"/>
          <w:rtl/>
        </w:rPr>
        <w:t>החפץ־חיים</w:t>
      </w:r>
      <w:proofErr w:type="spellEnd"/>
      <w:r>
        <w:rPr>
          <w:sz w:val="20"/>
          <w:szCs w:val="20"/>
          <w:rtl/>
        </w:rPr>
        <w:t xml:space="preserve">” מצטדק על </w:t>
      </w:r>
      <w:proofErr w:type="spellStart"/>
      <w:r>
        <w:rPr>
          <w:sz w:val="20"/>
          <w:szCs w:val="20"/>
          <w:rtl/>
        </w:rPr>
        <w:t>קולתו</w:t>
      </w:r>
      <w:proofErr w:type="spellEnd"/>
      <w:r>
        <w:rPr>
          <w:sz w:val="20"/>
          <w:szCs w:val="20"/>
          <w:rtl/>
        </w:rPr>
        <w:t xml:space="preserve"> של </w:t>
      </w:r>
      <w:proofErr w:type="spellStart"/>
      <w:r>
        <w:rPr>
          <w:sz w:val="20"/>
          <w:szCs w:val="20"/>
          <w:rtl/>
        </w:rPr>
        <w:t>החפץ־חיים</w:t>
      </w:r>
      <w:proofErr w:type="spellEnd"/>
      <w:r>
        <w:rPr>
          <w:sz w:val="20"/>
          <w:szCs w:val="20"/>
          <w:rtl/>
        </w:rPr>
        <w:t xml:space="preserve"> – ראה ההערה שם, עמ׳ 720.</w:t>
      </w:r>
    </w:p>
  </w:footnote>
  <w:footnote w:id="4762">
    <w:p w14:paraId="79C135D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פרק 2, הפסקה התשיעית של נספח א – עמ׳ </w:t>
      </w:r>
      <w:proofErr w:type="spellStart"/>
      <w:r>
        <w:rPr>
          <w:sz w:val="20"/>
          <w:szCs w:val="20"/>
          <w:rtl/>
        </w:rPr>
        <w:t>רסה</w:t>
      </w:r>
      <w:proofErr w:type="spellEnd"/>
      <w:r>
        <w:rPr>
          <w:sz w:val="20"/>
          <w:szCs w:val="20"/>
          <w:rtl/>
        </w:rPr>
        <w:t>.</w:t>
      </w:r>
    </w:p>
  </w:footnote>
  <w:footnote w:id="4763">
    <w:p w14:paraId="043B8B3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פתיחה, הערה 4 – עמ׳ 352, הערה </w:t>
      </w:r>
      <w:proofErr w:type="spellStart"/>
      <w:r>
        <w:rPr>
          <w:sz w:val="20"/>
          <w:szCs w:val="20"/>
          <w:rtl/>
        </w:rPr>
        <w:t>יז</w:t>
      </w:r>
      <w:proofErr w:type="spellEnd"/>
      <w:r>
        <w:rPr>
          <w:sz w:val="20"/>
          <w:szCs w:val="20"/>
          <w:rtl/>
        </w:rPr>
        <w:t>.</w:t>
      </w:r>
    </w:p>
  </w:footnote>
  <w:footnote w:id="4764">
    <w:p w14:paraId="7B589E9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בהקשר זה סיפר ר׳ דוד </w:t>
      </w:r>
      <w:proofErr w:type="spellStart"/>
      <w:r>
        <w:rPr>
          <w:sz w:val="20"/>
          <w:szCs w:val="20"/>
          <w:rtl/>
        </w:rPr>
        <w:t>זופניק</w:t>
      </w:r>
      <w:proofErr w:type="spellEnd"/>
      <w:r>
        <w:rPr>
          <w:sz w:val="20"/>
          <w:szCs w:val="20"/>
          <w:rtl/>
        </w:rPr>
        <w:t xml:space="preserve"> (ראה הערת השוליים </w:t>
      </w:r>
      <w:r>
        <w:rPr>
          <w:sz w:val="20"/>
          <w:szCs w:val="20"/>
          <w:rtl/>
        </w:rPr>
        <w:fldChar w:fldCharType="begin" w:dirty="true"/>
      </w:r>
      <w:r>
        <w:rPr>
          <w:sz w:val="20"/>
          <w:szCs w:val="20"/>
          <w:rtl/>
        </w:rPr>
        <w:instrText xml:space="preserve"> NOTEREF fx_ref_506 \h </w:instrText>
      </w:r>
      <w:r>
        <w:rPr>
          <w:sz w:val="20"/>
          <w:szCs w:val="20"/>
          <w:rtl/>
        </w:rPr>
      </w:r>
      <w:r>
        <w:rPr>
          <w:sz w:val="20"/>
          <w:szCs w:val="20"/>
          <w:rtl/>
        </w:rPr>
        <w:fldChar w:fldCharType="separate"/>
      </w:r>
      <w:r w:rsidR="007923E9">
        <w:rPr>
          <w:sz w:val="20"/>
          <w:szCs w:val="20"/>
          <w:rtl/>
        </w:rPr>
        <w:t>705</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fx_ref_506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שבישיבת </w:t>
      </w:r>
      <w:proofErr w:type="spellStart"/>
      <w:r>
        <w:rPr>
          <w:sz w:val="20"/>
          <w:szCs w:val="20"/>
          <w:rtl/>
        </w:rPr>
        <w:t>מיר</w:t>
      </w:r>
      <w:proofErr w:type="spellEnd"/>
      <w:r>
        <w:rPr>
          <w:sz w:val="20"/>
          <w:szCs w:val="20"/>
          <w:rtl/>
        </w:rPr>
        <w:t xml:space="preserve"> נמשכו תפילות הנעילה הנלהבות אל תוך הלילה, ומיד כשנסתיים יום הכיפורים על פי ההלכה היה ראש הישיבה, ר׳ </w:t>
      </w:r>
      <w:proofErr w:type="spellStart"/>
      <w:r>
        <w:rPr>
          <w:sz w:val="20"/>
          <w:szCs w:val="20"/>
          <w:rtl/>
        </w:rPr>
        <w:t>לייזר־יודל</w:t>
      </w:r>
      <w:proofErr w:type="spellEnd"/>
      <w:r>
        <w:rPr>
          <w:sz w:val="20"/>
          <w:szCs w:val="20"/>
          <w:rtl/>
        </w:rPr>
        <w:t xml:space="preserve"> </w:t>
      </w:r>
      <w:proofErr w:type="spellStart"/>
      <w:r>
        <w:rPr>
          <w:sz w:val="20"/>
          <w:szCs w:val="20"/>
          <w:rtl/>
        </w:rPr>
        <w:t>פינקל</w:t>
      </w:r>
      <w:proofErr w:type="spellEnd"/>
      <w:r>
        <w:rPr>
          <w:sz w:val="20"/>
          <w:szCs w:val="20"/>
          <w:rtl/>
        </w:rPr>
        <w:t xml:space="preserve">, עובר בין השורות ואומר לתלמידים שנחשבו בעיניו חלשים ללכת מיד לאכסניותיהם ולהפסיק את צומם. אם היסס תלמיד, היה ר׳ </w:t>
      </w:r>
      <w:proofErr w:type="spellStart"/>
      <w:r>
        <w:rPr>
          <w:sz w:val="20"/>
          <w:szCs w:val="20"/>
          <w:rtl/>
        </w:rPr>
        <w:t>לייזר־יודל</w:t>
      </w:r>
      <w:proofErr w:type="spellEnd"/>
      <w:r>
        <w:rPr>
          <w:sz w:val="20"/>
          <w:szCs w:val="20"/>
          <w:rtl/>
        </w:rPr>
        <w:t xml:space="preserve"> מצווה עליו בכעס לצאת מבית המדרש.</w:t>
      </w:r>
    </w:p>
  </w:footnote>
  <w:footnote w:id="4765">
    <w:p w14:paraId="11C9BA8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ולפי״ז</w:t>
      </w:r>
      <w:proofErr w:type="spellEnd"/>
      <w:r>
        <w:rPr>
          <w:sz w:val="20"/>
          <w:szCs w:val="20"/>
          <w:rtl/>
        </w:rPr>
        <w:t xml:space="preserve"> יש לתרץ למה לא הוזכר יום הכיפורים בספר עזרא (נחמיה ח), כי עזרא לא גילה לציבור הרחב על הצום מפני שחלק מהמסוכנים שבהם לא יקבלו את ההיתר של “וחי בהם” שכידוע שאפילו בימי החשמונאים התקשו לקבלו, וגם עיין רמב״ם פ״ב </w:t>
      </w:r>
      <w:proofErr w:type="spellStart"/>
      <w:r>
        <w:rPr>
          <w:sz w:val="20"/>
          <w:szCs w:val="20"/>
          <w:rtl/>
        </w:rPr>
        <w:t>ה״ג</w:t>
      </w:r>
      <w:proofErr w:type="spellEnd"/>
      <w:r>
        <w:rPr>
          <w:sz w:val="20"/>
          <w:szCs w:val="20"/>
          <w:rtl/>
        </w:rPr>
        <w:t xml:space="preserve"> מהלכות שבת שמשמע שאפילו בימיו היו מתפרצים נגד הדין של “וחי בהם”. ועיין גמ’ מגילה כ״ג ע״א אמר ליה יעקב </w:t>
      </w:r>
      <w:proofErr w:type="spellStart"/>
      <w:r>
        <w:rPr>
          <w:sz w:val="20"/>
          <w:szCs w:val="20"/>
          <w:rtl/>
        </w:rPr>
        <w:t>מינאה</w:t>
      </w:r>
      <w:proofErr w:type="spellEnd"/>
      <w:r>
        <w:rPr>
          <w:sz w:val="20"/>
          <w:szCs w:val="20"/>
          <w:rtl/>
        </w:rPr>
        <w:t xml:space="preserve"> לרב יהודה הני ששה </w:t>
      </w:r>
      <w:proofErr w:type="spellStart"/>
      <w:r>
        <w:rPr>
          <w:sz w:val="20"/>
          <w:szCs w:val="20"/>
          <w:rtl/>
        </w:rPr>
        <w:t>דיוה״כ</w:t>
      </w:r>
      <w:proofErr w:type="spellEnd"/>
      <w:r>
        <w:rPr>
          <w:sz w:val="20"/>
          <w:szCs w:val="20"/>
          <w:rtl/>
        </w:rPr>
        <w:t xml:space="preserve"> כנגד מי א״ל כנגד ששה שעמדו וכו׳ ופירושו שעזרא גילה את דבר יוה״כ רק לתלמידיו אלה שעמדו </w:t>
      </w:r>
      <w:proofErr w:type="spellStart"/>
      <w:r>
        <w:rPr>
          <w:sz w:val="20"/>
          <w:szCs w:val="20"/>
          <w:rtl/>
        </w:rPr>
        <w:t>בצדיו</w:t>
      </w:r>
      <w:proofErr w:type="spellEnd"/>
      <w:r>
        <w:rPr>
          <w:sz w:val="20"/>
          <w:szCs w:val="20"/>
          <w:rtl/>
        </w:rPr>
        <w:t xml:space="preserve"> בר״ה שבהם היה בטוח שלא יצומו אם יסתכנו ע״י כך, וליוה״כ סודי זה בתקופה שבה הותקנה חובת קריאת התורה בכללה עשו זכר במספר הקרואים, </w:t>
      </w:r>
      <w:proofErr w:type="spellStart"/>
      <w:r>
        <w:rPr>
          <w:sz w:val="20"/>
          <w:szCs w:val="20"/>
          <w:rtl/>
        </w:rPr>
        <w:t>ועיי״ש</w:t>
      </w:r>
      <w:proofErr w:type="spellEnd"/>
      <w:r>
        <w:rPr>
          <w:sz w:val="20"/>
          <w:szCs w:val="20"/>
          <w:rtl/>
        </w:rPr>
        <w:t xml:space="preserve"> שאם רק בצד אחד של עזרא עמדו ששה כבר אין תזכורת ודוק, ואולי לפי </w:t>
      </w:r>
      <w:proofErr w:type="spellStart"/>
      <w:r>
        <w:rPr>
          <w:sz w:val="20"/>
          <w:szCs w:val="20"/>
          <w:rtl/>
        </w:rPr>
        <w:t>גירסת</w:t>
      </w:r>
      <w:proofErr w:type="spellEnd"/>
      <w:r>
        <w:rPr>
          <w:sz w:val="20"/>
          <w:szCs w:val="20"/>
          <w:rtl/>
        </w:rPr>
        <w:t xml:space="preserve"> “</w:t>
      </w:r>
      <w:proofErr w:type="spellStart"/>
      <w:r>
        <w:rPr>
          <w:sz w:val="20"/>
          <w:szCs w:val="20"/>
          <w:rtl/>
        </w:rPr>
        <w:t>מינאה</w:t>
      </w:r>
      <w:proofErr w:type="spellEnd"/>
      <w:r>
        <w:rPr>
          <w:sz w:val="20"/>
          <w:szCs w:val="20"/>
          <w:rtl/>
        </w:rPr>
        <w:t xml:space="preserve">” עיקר </w:t>
      </w:r>
      <w:proofErr w:type="spellStart"/>
      <w:r>
        <w:rPr>
          <w:sz w:val="20"/>
          <w:szCs w:val="20"/>
          <w:rtl/>
        </w:rPr>
        <w:t>הקושיי</w:t>
      </w:r>
      <w:proofErr w:type="spellEnd"/>
      <w:r>
        <w:rPr>
          <w:sz w:val="20"/>
          <w:szCs w:val="20"/>
          <w:rtl/>
        </w:rPr>
        <w:t xml:space="preserve">’ </w:t>
      </w:r>
      <w:proofErr w:type="spellStart"/>
      <w:r>
        <w:rPr>
          <w:sz w:val="20"/>
          <w:szCs w:val="20"/>
          <w:rtl/>
        </w:rPr>
        <w:t>היתה</w:t>
      </w:r>
      <w:proofErr w:type="spellEnd"/>
      <w:r>
        <w:rPr>
          <w:sz w:val="20"/>
          <w:szCs w:val="20"/>
          <w:rtl/>
        </w:rPr>
        <w:t xml:space="preserve"> על ספר עזרא כנ״ל וכדי לבטל יוה״כ משום כפרה מדומה אחרת, להבדיל (שכידוע חיקו הנוצרים את חגינו כולם חוץ מיום כיפור), </w:t>
      </w:r>
      <w:proofErr w:type="spellStart"/>
      <w:r>
        <w:rPr>
          <w:sz w:val="20"/>
          <w:szCs w:val="20"/>
          <w:rtl/>
        </w:rPr>
        <w:t>והגמ</w:t>
      </w:r>
      <w:proofErr w:type="spellEnd"/>
      <w:r>
        <w:rPr>
          <w:sz w:val="20"/>
          <w:szCs w:val="20"/>
          <w:rtl/>
        </w:rPr>
        <w:t xml:space="preserve">’ ציטטה את השאלה כאילו </w:t>
      </w:r>
      <w:proofErr w:type="spellStart"/>
      <w:r>
        <w:rPr>
          <w:sz w:val="20"/>
          <w:szCs w:val="20"/>
          <w:rtl/>
        </w:rPr>
        <w:t>היתה</w:t>
      </w:r>
      <w:proofErr w:type="spellEnd"/>
      <w:r>
        <w:rPr>
          <w:sz w:val="20"/>
          <w:szCs w:val="20"/>
          <w:rtl/>
        </w:rPr>
        <w:t xml:space="preserve"> על מס׳ הקרואים כי בתשובתו של רב יהודה נכלל תירוץ על כך, ודוק. (וראה גם שבט מיהודה מאת הרב וכו׳ איסר יהודה </w:t>
      </w:r>
      <w:proofErr w:type="spellStart"/>
      <w:r>
        <w:rPr>
          <w:sz w:val="20"/>
          <w:szCs w:val="20"/>
          <w:rtl/>
        </w:rPr>
        <w:t>אונטרמן</w:t>
      </w:r>
      <w:proofErr w:type="spellEnd"/>
      <w:r>
        <w:rPr>
          <w:sz w:val="20"/>
          <w:szCs w:val="20"/>
          <w:rtl/>
        </w:rPr>
        <w:t xml:space="preserve"> [מוסד הרב קוק, ירושלים, תשמ״ד], עמ׳ </w:t>
      </w:r>
      <w:proofErr w:type="spellStart"/>
      <w:r>
        <w:rPr>
          <w:sz w:val="20"/>
          <w:szCs w:val="20"/>
          <w:rtl/>
        </w:rPr>
        <w:t>עג</w:t>
      </w:r>
      <w:proofErr w:type="spellEnd"/>
      <w:r>
        <w:rPr>
          <w:sz w:val="20"/>
          <w:szCs w:val="20"/>
          <w:rtl/>
        </w:rPr>
        <w:t xml:space="preserve">–עד, שמבאר את מחלוקת ר׳ ישראל ז״ל והדיינים בדרך משלו אחרי שמביע צערו “שחבל שלא </w:t>
      </w:r>
      <w:proofErr w:type="spellStart"/>
      <w:r>
        <w:rPr>
          <w:sz w:val="20"/>
          <w:szCs w:val="20"/>
          <w:rtl/>
        </w:rPr>
        <w:t>נתפרשו</w:t>
      </w:r>
      <w:proofErr w:type="spellEnd"/>
      <w:r>
        <w:rPr>
          <w:sz w:val="20"/>
          <w:szCs w:val="20"/>
          <w:rtl/>
        </w:rPr>
        <w:t xml:space="preserve"> הדברים כראוי בשעתם”.)</w:t>
      </w:r>
    </w:p>
  </w:footnote>
  <w:footnote w:id="4766">
    <w:p w14:paraId="0305068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22.</w:t>
      </w:r>
    </w:p>
  </w:footnote>
  <w:footnote w:id="4767">
    <w:p w14:paraId="72D8928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“כל כתבי חפץ חיים השלם”, עמ׳ 16, על הערכתו הגבוהה של ר׳ ישראל </w:t>
      </w:r>
      <w:proofErr w:type="spellStart"/>
      <w:r>
        <w:rPr>
          <w:sz w:val="20"/>
          <w:szCs w:val="20"/>
          <w:rtl/>
        </w:rPr>
        <w:t>לחפץ־חיים</w:t>
      </w:r>
      <w:proofErr w:type="spellEnd"/>
      <w:r>
        <w:rPr>
          <w:sz w:val="20"/>
          <w:szCs w:val="20"/>
          <w:rtl/>
        </w:rPr>
        <w:t xml:space="preserve">, כפי שצוטט לעיל בפרק 3, נספח א (עמ׳ </w:t>
      </w:r>
      <w:r>
        <w:rPr>
          <w:sz w:val="20"/>
          <w:szCs w:val="20"/>
          <w:rtl/>
        </w:rPr>
        <w:fldChar w:fldCharType="begin" w:dirty="true"/>
      </w:r>
      <w:r>
        <w:rPr>
          <w:sz w:val="20"/>
          <w:szCs w:val="20"/>
          <w:rtl/>
        </w:rPr>
        <w:instrText xml:space="preserve"> PAGEREF pr_b_996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4768">
    <w:p w14:paraId="797A404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כץ, “תנועת המוסר”, כרך ב (שם, פרק 2, הערה 17), עמ׳ 424–426.</w:t>
      </w:r>
    </w:p>
  </w:footnote>
  <w:footnote w:id="4769">
    <w:p w14:paraId="6201B31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3, נספח ב – עמ׳ רפט.</w:t>
      </w:r>
    </w:p>
  </w:footnote>
  <w:footnote w:id="4770">
    <w:p w14:paraId="764099E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419 ואילך.</w:t>
      </w:r>
    </w:p>
  </w:footnote>
  <w:footnote w:id="4771">
    <w:p w14:paraId="275DFCC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3.</w:t>
      </w:r>
    </w:p>
  </w:footnote>
  <w:footnote w:id="4772">
    <w:p w14:paraId="5BB6421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בשיחה המוקלטת בבית הכנסת “בית ישראל” במיאמי </w:t>
      </w:r>
      <w:proofErr w:type="spellStart"/>
      <w:r>
        <w:rPr>
          <w:sz w:val="20"/>
          <w:szCs w:val="20"/>
          <w:rtl/>
        </w:rPr>
        <w:t>ביץ</w:t>
      </w:r>
      <w:proofErr w:type="spellEnd"/>
      <w:r>
        <w:rPr>
          <w:sz w:val="20"/>
          <w:szCs w:val="20"/>
          <w:rtl/>
        </w:rPr>
        <w:t xml:space="preserve">׳ השתמש אבי בביטוי חלש יותר: “שהיו למעלה מן הדור”. בלשון זו משתמש גם הרב משה מאיר ישר בעמוד הראשון של המבוא לספרו “הגאון </w:t>
      </w:r>
      <w:proofErr w:type="spellStart"/>
      <w:r>
        <w:rPr>
          <w:sz w:val="20"/>
          <w:szCs w:val="20"/>
          <w:rtl/>
        </w:rPr>
        <w:t>מלבי״ם</w:t>
      </w:r>
      <w:proofErr w:type="spellEnd"/>
      <w:r>
        <w:rPr>
          <w:sz w:val="20"/>
          <w:szCs w:val="20"/>
          <w:rtl/>
        </w:rPr>
        <w:t xml:space="preserve">” (הוצאת הוד, ירושלים, </w:t>
      </w:r>
      <w:proofErr w:type="spellStart"/>
      <w:r>
        <w:rPr>
          <w:sz w:val="20"/>
          <w:szCs w:val="20"/>
          <w:rtl/>
        </w:rPr>
        <w:t>התשל״ו</w:t>
      </w:r>
      <w:proofErr w:type="spellEnd"/>
      <w:r>
        <w:rPr>
          <w:sz w:val="20"/>
          <w:szCs w:val="20"/>
          <w:rtl/>
        </w:rPr>
        <w:t xml:space="preserve">), ושם הוא מספר ששמע על הערכת ר׳ חיים לארבעת החכמים “כשלמד </w:t>
      </w:r>
      <w:proofErr w:type="spellStart"/>
      <w:r>
        <w:rPr>
          <w:sz w:val="20"/>
          <w:szCs w:val="20"/>
          <w:rtl/>
        </w:rPr>
        <w:t>בבריסק</w:t>
      </w:r>
      <w:proofErr w:type="spellEnd"/>
      <w:r>
        <w:rPr>
          <w:sz w:val="20"/>
          <w:szCs w:val="20"/>
          <w:rtl/>
        </w:rPr>
        <w:t xml:space="preserve"> אצל ר׳ אלחנן וסרמן”.</w:t>
      </w:r>
    </w:p>
  </w:footnote>
  <w:footnote w:id="4773">
    <w:p w14:paraId="7A116AB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3, הערה 16.</w:t>
      </w:r>
    </w:p>
  </w:footnote>
  <w:footnote w:id="4774">
    <w:p w14:paraId="093858A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3, נספח ח.</w:t>
      </w:r>
    </w:p>
  </w:footnote>
  <w:footnote w:id="4775">
    <w:p w14:paraId="51AD0A7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3, נספח א.</w:t>
      </w:r>
    </w:p>
  </w:footnote>
  <w:footnote w:id="4776">
    <w:p w14:paraId="7676E88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מאת הרב ישראל </w:t>
      </w:r>
      <w:proofErr w:type="spellStart"/>
      <w:r>
        <w:rPr>
          <w:rStyle w:val="a5"/>
          <w:sz w:val="20"/>
          <w:szCs w:val="20"/>
          <w:vertAlign w:val="baseline"/>
          <w:rtl/>
        </w:rPr>
        <w:t>שורין</w:t>
      </w:r>
      <w:proofErr w:type="spellEnd"/>
      <w:r>
        <w:rPr>
          <w:rStyle w:val="a5"/>
          <w:sz w:val="20"/>
          <w:szCs w:val="20"/>
          <w:vertAlign w:val="baseline"/>
          <w:rtl/>
        </w:rPr>
        <w:t xml:space="preserve"> (לא צוינה</w:t>
      </w:r>
      <w:r>
        <w:rPr>
          <w:sz w:val="20"/>
          <w:szCs w:val="20"/>
          <w:rtl/>
        </w:rPr>
        <w:t xml:space="preserve"> </w:t>
      </w:r>
      <w:r>
        <w:rPr>
          <w:sz w:val="20"/>
          <w:szCs w:val="20"/>
          <w:rtl/>
        </w:rPr>
        <w:t>שנת ההוצאה), עמ׳ 167.</w:t>
      </w:r>
    </w:p>
  </w:footnote>
  <w:footnote w:id="4777">
    <w:p w14:paraId="4AC4059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הערת שוליים </w:t>
      </w:r>
      <w:r>
        <w:rPr>
          <w:rStyle w:val="a5"/>
          <w:sz w:val="20"/>
          <w:szCs w:val="20"/>
          <w:vertAlign w:val="baseline"/>
          <w:rtl/>
        </w:rPr>
        <w:fldChar w:fldCharType="begin" w:dirty="true"/>
      </w:r>
      <w:r>
        <w:rPr>
          <w:rStyle w:val="a5"/>
          <w:sz w:val="20"/>
          <w:szCs w:val="20"/>
          <w:vertAlign w:val="baseline"/>
          <w:rtl/>
        </w:rPr>
        <w:instrText xml:space="preserve"> NOTEREF pr_f_4641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295</w:t>
      </w:r>
      <w:r>
        <w:rPr>
          <w:rStyle w:val="a5"/>
          <w:sz w:val="20"/>
          <w:szCs w:val="20"/>
          <w:vertAlign w:val="baseline"/>
          <w:rtl/>
        </w:rPr>
        <w:fldChar w:fldCharType="end"/>
      </w:r>
      <w:r>
        <w:rPr>
          <w:rStyle w:val="a5"/>
          <w:sz w:val="20"/>
          <w:szCs w:val="20"/>
          <w:vertAlign w:val="baseline"/>
          <w:rtl/>
        </w:rPr>
        <w:t xml:space="preserve"> לעיל, שם.</w:t>
      </w:r>
    </w:p>
  </w:footnote>
  <w:footnote w:id="4778">
    <w:p w14:paraId="5D18789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גם “מורי האומה” טוען בשם ר׳ </w:t>
      </w:r>
      <w:proofErr w:type="spellStart"/>
      <w:r>
        <w:rPr>
          <w:sz w:val="20"/>
          <w:szCs w:val="20"/>
          <w:rtl/>
        </w:rPr>
        <w:t xml:space="preserve">יוסף־דב</w:t>
      </w:r>
      <w:proofErr w:type="spellEnd"/>
      <w:r>
        <w:rPr>
          <w:sz w:val="20"/>
          <w:szCs w:val="20"/>
          <w:rtl/>
        </w:rPr>
        <w:t xml:space="preserve"> שר׳ חיים צירף אל הארבעה עוד חכם גדול, ר׳ </w:t>
      </w:r>
      <w:proofErr w:type="spellStart"/>
      <w:r>
        <w:rPr>
          <w:sz w:val="20"/>
          <w:szCs w:val="20"/>
          <w:rtl/>
        </w:rPr>
        <w:t>אלעזר־משה</w:t>
      </w:r>
      <w:proofErr w:type="spellEnd"/>
      <w:r>
        <w:rPr>
          <w:sz w:val="20"/>
          <w:szCs w:val="20"/>
          <w:rtl/>
        </w:rPr>
        <w:t xml:space="preserve"> </w:t>
      </w:r>
      <w:proofErr w:type="spellStart"/>
      <w:r>
        <w:rPr>
          <w:sz w:val="20"/>
          <w:szCs w:val="20"/>
          <w:rtl/>
        </w:rPr>
        <w:t>הורוויץ</w:t>
      </w:r>
      <w:proofErr w:type="spellEnd"/>
      <w:r>
        <w:rPr>
          <w:sz w:val="20"/>
          <w:szCs w:val="20"/>
          <w:rtl/>
        </w:rPr>
        <w:t xml:space="preserve"> </w:t>
      </w:r>
      <w:proofErr w:type="spellStart"/>
      <w:r>
        <w:rPr>
          <w:sz w:val="20"/>
          <w:szCs w:val="20"/>
          <w:rtl/>
        </w:rPr>
        <w:t>מפינסק</w:t>
      </w:r>
      <w:proofErr w:type="spellEnd"/>
      <w:r>
        <w:rPr>
          <w:sz w:val="20"/>
          <w:szCs w:val="20"/>
          <w:rtl/>
        </w:rPr>
        <w:t xml:space="preserve"> (פרק 3, נספח ו; תקע״ח–תר״נ), “כחמישי אפשרי”; ובשם אבי הוא מספר שר׳ חיים אמר כי ר׳ </w:t>
      </w:r>
      <w:proofErr w:type="spellStart"/>
      <w:r>
        <w:rPr>
          <w:sz w:val="20"/>
          <w:szCs w:val="20"/>
          <w:rtl/>
        </w:rPr>
        <w:t>אלעזר־משה</w:t>
      </w:r>
      <w:proofErr w:type="spellEnd"/>
      <w:r>
        <w:rPr>
          <w:sz w:val="20"/>
          <w:szCs w:val="20"/>
          <w:rtl/>
        </w:rPr>
        <w:t xml:space="preserve"> הוא היחיד שהוא מכנהו “זקן הגאונים”. דברי אבי בעניין זה מעוררים קושי: כיצד ייתכן שר׳ </w:t>
      </w:r>
      <w:proofErr w:type="spellStart"/>
      <w:r>
        <w:rPr>
          <w:sz w:val="20"/>
          <w:szCs w:val="20"/>
          <w:rtl/>
        </w:rPr>
        <w:t>אלעזר־משה</w:t>
      </w:r>
      <w:proofErr w:type="spellEnd"/>
      <w:r>
        <w:rPr>
          <w:sz w:val="20"/>
          <w:szCs w:val="20"/>
          <w:rtl/>
        </w:rPr>
        <w:t>, שנחשב לכל היותר כמי שאולי היה במדרגת אחד מן הראשונים, יהיה זקן הגאונים?</w:t>
      </w:r>
    </w:p>
    <w:p w14:paraId="0ED7B5F7" w14:textId="77777777" w:rsidR="00AB3647" w:rsidRDefault="00000000">
      <w:pPr>
        <w:spacing w:after="0" w:before="0"/>
        <w:jc w:val="both"/>
      </w:pPr>
      <w:r>
        <w:rPr>
          <w:sz w:val="20"/>
          <w:szCs w:val="20"/>
          <w:rtl/>
        </w:rPr>
        <w:t xml:space="preserve">באשר </w:t>
      </w:r>
      <w:proofErr w:type="spellStart"/>
      <w:r>
        <w:rPr>
          <w:sz w:val="20"/>
          <w:szCs w:val="20"/>
          <w:rtl/>
        </w:rPr>
        <w:t>לר</w:t>
      </w:r>
      <w:proofErr w:type="spellEnd"/>
      <w:r>
        <w:rPr>
          <w:sz w:val="20"/>
          <w:szCs w:val="20"/>
          <w:rtl/>
        </w:rPr>
        <w:t xml:space="preserve">׳ ישראל </w:t>
      </w:r>
      <w:proofErr w:type="spellStart"/>
      <w:r>
        <w:rPr>
          <w:sz w:val="20"/>
          <w:szCs w:val="20"/>
          <w:rtl/>
        </w:rPr>
        <w:t>סלנטר</w:t>
      </w:r>
      <w:proofErr w:type="spellEnd"/>
      <w:r>
        <w:rPr>
          <w:sz w:val="20"/>
          <w:szCs w:val="20"/>
          <w:rtl/>
        </w:rPr>
        <w:t xml:space="preserve"> </w:t>
      </w:r>
      <w:proofErr w:type="spellStart"/>
      <w:r>
        <w:rPr>
          <w:sz w:val="20"/>
          <w:szCs w:val="20"/>
          <w:rtl/>
        </w:rPr>
        <w:t>ולמלבי״ם</w:t>
      </w:r>
      <w:proofErr w:type="spellEnd"/>
      <w:r>
        <w:rPr>
          <w:sz w:val="20"/>
          <w:szCs w:val="20"/>
          <w:rtl/>
        </w:rPr>
        <w:t xml:space="preserve"> אין קושי, שכן נפטרו לפני ר׳ </w:t>
      </w:r>
      <w:proofErr w:type="spellStart"/>
      <w:r>
        <w:rPr>
          <w:sz w:val="20"/>
          <w:szCs w:val="20"/>
          <w:rtl/>
        </w:rPr>
        <w:t>אלעזר־משה</w:t>
      </w:r>
      <w:proofErr w:type="spellEnd"/>
      <w:r>
        <w:rPr>
          <w:sz w:val="20"/>
          <w:szCs w:val="20"/>
          <w:rtl/>
        </w:rPr>
        <w:t xml:space="preserve">, וייתכן שר׳ חיים העניק לרב </w:t>
      </w:r>
      <w:proofErr w:type="spellStart"/>
      <w:r>
        <w:rPr>
          <w:sz w:val="20"/>
          <w:szCs w:val="20"/>
          <w:rtl/>
        </w:rPr>
        <w:t>מפינסק</w:t>
      </w:r>
      <w:proofErr w:type="spellEnd"/>
      <w:r>
        <w:rPr>
          <w:sz w:val="20"/>
          <w:szCs w:val="20"/>
          <w:rtl/>
        </w:rPr>
        <w:t xml:space="preserve"> את התואר “זקן הגאונים” אחרי הסתלקותם. גם באשר </w:t>
      </w:r>
      <w:proofErr w:type="spellStart"/>
      <w:r>
        <w:rPr>
          <w:sz w:val="20"/>
          <w:szCs w:val="20"/>
          <w:rtl/>
        </w:rPr>
        <w:t>לר</w:t>
      </w:r>
      <w:proofErr w:type="spellEnd"/>
      <w:r>
        <w:rPr>
          <w:sz w:val="20"/>
          <w:szCs w:val="20"/>
          <w:rtl/>
        </w:rPr>
        <w:t xml:space="preserve">׳ </w:t>
      </w:r>
      <w:proofErr w:type="spellStart"/>
      <w:r>
        <w:rPr>
          <w:sz w:val="20"/>
          <w:szCs w:val="20"/>
          <w:rtl/>
        </w:rPr>
        <w:t>יהושע־לייב</w:t>
      </w:r>
      <w:proofErr w:type="spellEnd"/>
      <w:r>
        <w:rPr>
          <w:sz w:val="20"/>
          <w:szCs w:val="20"/>
          <w:rtl/>
        </w:rPr>
        <w:t xml:space="preserve"> דיסקין אין קושי, שכן היה נעלה כל כך על שאר גאוני הדור, עד שהתואר “זקן הגאונים” היה מועט מדי בשבילו. ר׳ </w:t>
      </w:r>
      <w:proofErr w:type="spellStart"/>
      <w:r>
        <w:rPr>
          <w:sz w:val="20"/>
          <w:szCs w:val="20"/>
          <w:rtl/>
        </w:rPr>
        <w:t>יהושע־לייב</w:t>
      </w:r>
      <w:proofErr w:type="spellEnd"/>
      <w:r>
        <w:rPr>
          <w:sz w:val="20"/>
          <w:szCs w:val="20"/>
          <w:rtl/>
        </w:rPr>
        <w:t xml:space="preserve"> דיסקין, הראשון מארבעת הגדולים, תואר בידי ר׳ חיים, לפי “עמוד אש” (שם, פרק 3, הערה 16), עמ׳ קצה, כמי “שתאריו מתחילים במקום שבו מגיעים כינוייהם של כל שאר החכמים הגדולים לשיאם”; ולפי הערת השוליים בעמ׳ </w:t>
      </w:r>
      <w:proofErr w:type="spellStart"/>
      <w:r>
        <w:rPr>
          <w:sz w:val="20"/>
          <w:szCs w:val="20"/>
          <w:rtl/>
        </w:rPr>
        <w:t>רפז</w:t>
      </w:r>
      <w:proofErr w:type="spellEnd"/>
      <w:r>
        <w:rPr>
          <w:sz w:val="20"/>
          <w:szCs w:val="20"/>
          <w:rtl/>
        </w:rPr>
        <w:t xml:space="preserve"> של “תורת חיים” – כמי “שהיה נחשב </w:t>
      </w:r>
      <w:proofErr w:type="spellStart"/>
      <w:r>
        <w:rPr>
          <w:sz w:val="20"/>
          <w:szCs w:val="20"/>
          <w:rtl/>
        </w:rPr>
        <w:t>ל‘גאון</w:t>
      </w:r>
      <w:proofErr w:type="spellEnd"/>
      <w:r>
        <w:rPr>
          <w:sz w:val="20"/>
          <w:szCs w:val="20"/>
          <w:rtl/>
        </w:rPr>
        <w:t xml:space="preserve"> בישראל’ גם אילו חי בימי ר׳ משה </w:t>
      </w:r>
      <w:proofErr w:type="spellStart"/>
      <w:r>
        <w:rPr>
          <w:sz w:val="20"/>
          <w:szCs w:val="20"/>
          <w:rtl/>
        </w:rPr>
        <w:t>איסרליש</w:t>
      </w:r>
      <w:proofErr w:type="spellEnd"/>
      <w:r>
        <w:rPr>
          <w:sz w:val="20"/>
          <w:szCs w:val="20"/>
          <w:rtl/>
        </w:rPr>
        <w:t xml:space="preserve">, </w:t>
      </w:r>
      <w:proofErr w:type="spellStart"/>
      <w:r>
        <w:rPr>
          <w:sz w:val="20"/>
          <w:szCs w:val="20"/>
          <w:rtl/>
        </w:rPr>
        <w:t>הרמ״א</w:t>
      </w:r>
      <w:proofErr w:type="spellEnd"/>
      <w:r>
        <w:rPr>
          <w:sz w:val="20"/>
          <w:szCs w:val="20"/>
          <w:rtl/>
        </w:rPr>
        <w:t xml:space="preserve"> (נולד </w:t>
      </w:r>
      <w:proofErr w:type="spellStart"/>
      <w:r>
        <w:rPr>
          <w:sz w:val="20"/>
          <w:szCs w:val="20"/>
          <w:rtl/>
        </w:rPr>
        <w:t>בה׳ר״פ</w:t>
      </w:r>
      <w:proofErr w:type="spellEnd"/>
      <w:r>
        <w:rPr>
          <w:sz w:val="20"/>
          <w:szCs w:val="20"/>
          <w:rtl/>
        </w:rPr>
        <w:t xml:space="preserve"> או </w:t>
      </w:r>
      <w:proofErr w:type="spellStart"/>
      <w:r>
        <w:rPr>
          <w:sz w:val="20"/>
          <w:szCs w:val="20"/>
          <w:rtl/>
        </w:rPr>
        <w:t>בה׳ר״צ</w:t>
      </w:r>
      <w:proofErr w:type="spellEnd"/>
      <w:r>
        <w:rPr>
          <w:sz w:val="20"/>
          <w:szCs w:val="20"/>
          <w:rtl/>
        </w:rPr>
        <w:t xml:space="preserve">, נפטר </w:t>
      </w:r>
      <w:proofErr w:type="spellStart"/>
      <w:r>
        <w:rPr>
          <w:sz w:val="20"/>
          <w:szCs w:val="20"/>
          <w:rtl/>
        </w:rPr>
        <w:t>בה‘של״ב</w:t>
      </w:r>
      <w:proofErr w:type="spellEnd"/>
      <w:r>
        <w:rPr>
          <w:sz w:val="20"/>
          <w:szCs w:val="20"/>
          <w:rtl/>
        </w:rPr>
        <w:t>)”.</w:t>
      </w:r>
    </w:p>
    <w:p w14:paraId="046C8E8A" w14:textId="77777777" w:rsidR="00AB3647" w:rsidRDefault="00000000">
      <w:pPr>
        <w:spacing w:after="0" w:before="0"/>
        <w:jc w:val="both"/>
      </w:pPr>
      <w:r>
        <w:rPr>
          <w:sz w:val="20"/>
          <w:szCs w:val="20"/>
          <w:rtl/>
        </w:rPr>
        <w:t xml:space="preserve">אבל נשארנו עם השאלה ביחס </w:t>
      </w:r>
      <w:proofErr w:type="spellStart"/>
      <w:r>
        <w:rPr>
          <w:sz w:val="20"/>
          <w:szCs w:val="20"/>
          <w:rtl/>
        </w:rPr>
        <w:t>לר</w:t>
      </w:r>
      <w:proofErr w:type="spellEnd"/>
      <w:r>
        <w:rPr>
          <w:sz w:val="20"/>
          <w:szCs w:val="20"/>
          <w:rtl/>
        </w:rPr>
        <w:t xml:space="preserve">׳ יוסף־דב, אביו של ר׳ חיים </w:t>
      </w:r>
      <w:proofErr w:type="spellStart"/>
      <w:r>
        <w:rPr>
          <w:sz w:val="20"/>
          <w:szCs w:val="20"/>
          <w:rtl/>
        </w:rPr>
        <w:t>סולובייצ׳יק</w:t>
      </w:r>
      <w:proofErr w:type="spellEnd"/>
      <w:r>
        <w:rPr>
          <w:sz w:val="20"/>
          <w:szCs w:val="20"/>
          <w:rtl/>
        </w:rPr>
        <w:t xml:space="preserve">, שחי אחרי ר׳ </w:t>
      </w:r>
      <w:proofErr w:type="spellStart"/>
      <w:r>
        <w:rPr>
          <w:sz w:val="20"/>
          <w:szCs w:val="20"/>
          <w:rtl/>
        </w:rPr>
        <w:t>אלעזר־משה</w:t>
      </w:r>
      <w:proofErr w:type="spellEnd"/>
      <w:r>
        <w:rPr>
          <w:sz w:val="20"/>
          <w:szCs w:val="20"/>
          <w:rtl/>
        </w:rPr>
        <w:t xml:space="preserve">. בריאיון עם ר׳ זליג אפשטיין, הנזכר בראש הפסקה הזאת בעמ׳ </w:t>
      </w:r>
      <w:r>
        <w:rPr>
          <w:sz w:val="20"/>
          <w:szCs w:val="20"/>
          <w:rtl/>
        </w:rPr>
        <w:fldChar w:fldCharType="begin" w:dirty="true"/>
      </w:r>
      <w:r>
        <w:rPr>
          <w:sz w:val="20"/>
          <w:szCs w:val="20"/>
          <w:rtl/>
        </w:rPr>
        <w:instrText xml:space="preserve"> PAGEREF pr_b_2631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אמר המרואיין </w:t>
      </w:r>
      <w:proofErr w:type="spellStart"/>
      <w:r>
        <w:rPr>
          <w:sz w:val="20"/>
          <w:szCs w:val="20"/>
          <w:rtl/>
        </w:rPr>
        <w:t>ש“אסף</w:t>
      </w:r>
      <w:proofErr w:type="spellEnd"/>
      <w:r>
        <w:rPr>
          <w:sz w:val="20"/>
          <w:szCs w:val="20"/>
          <w:rtl/>
        </w:rPr>
        <w:t xml:space="preserve"> ממקורות רבים שר׳ חיים ראה </w:t>
      </w:r>
      <w:proofErr w:type="spellStart"/>
      <w:r>
        <w:rPr>
          <w:sz w:val="20"/>
          <w:szCs w:val="20"/>
          <w:rtl/>
        </w:rPr>
        <w:t>במלבי״ם</w:t>
      </w:r>
      <w:proofErr w:type="spellEnd"/>
      <w:r>
        <w:rPr>
          <w:sz w:val="20"/>
          <w:szCs w:val="20"/>
          <w:rtl/>
        </w:rPr>
        <w:t xml:space="preserve"> את בעל המוח הגדול ביותר בדור”. הדבר תואם את התקוות הגדולות שתלה בו דורו, כפי שהביע ר׳ ישראל </w:t>
      </w:r>
      <w:proofErr w:type="spellStart"/>
      <w:r>
        <w:rPr>
          <w:sz w:val="20"/>
          <w:szCs w:val="20"/>
          <w:rtl/>
        </w:rPr>
        <w:t>סלנטר</w:t>
      </w:r>
      <w:proofErr w:type="spellEnd"/>
      <w:r>
        <w:rPr>
          <w:sz w:val="20"/>
          <w:szCs w:val="20"/>
          <w:rtl/>
        </w:rPr>
        <w:t xml:space="preserve"> עצמו – ראה להלן. כדי להמחיש את גדלות מוחו של </w:t>
      </w:r>
      <w:proofErr w:type="spellStart"/>
      <w:r>
        <w:rPr>
          <w:sz w:val="20"/>
          <w:szCs w:val="20"/>
          <w:rtl/>
        </w:rPr>
        <w:t>המלבי״ם</w:t>
      </w:r>
      <w:proofErr w:type="spellEnd"/>
      <w:r>
        <w:rPr>
          <w:sz w:val="20"/>
          <w:szCs w:val="20"/>
          <w:rtl/>
        </w:rPr>
        <w:t xml:space="preserve"> סיפר אבי </w:t>
      </w:r>
      <w:proofErr w:type="spellStart"/>
      <w:r>
        <w:rPr>
          <w:sz w:val="20"/>
          <w:szCs w:val="20"/>
          <w:rtl/>
        </w:rPr>
        <w:t>לר</w:t>
      </w:r>
      <w:proofErr w:type="spellEnd"/>
      <w:r>
        <w:rPr>
          <w:sz w:val="20"/>
          <w:szCs w:val="20"/>
          <w:rtl/>
        </w:rPr>
        <w:t xml:space="preserve">׳ דוד </w:t>
      </w:r>
      <w:proofErr w:type="spellStart"/>
      <w:r>
        <w:rPr>
          <w:sz w:val="20"/>
          <w:szCs w:val="20"/>
          <w:rtl/>
        </w:rPr>
        <w:t>צימט</w:t>
      </w:r>
      <w:proofErr w:type="spellEnd"/>
      <w:r>
        <w:rPr>
          <w:sz w:val="20"/>
          <w:szCs w:val="20"/>
          <w:rtl/>
        </w:rPr>
        <w:t xml:space="preserve"> (ראה בראש נספח זה) שר׳ ישראל </w:t>
      </w:r>
      <w:proofErr w:type="spellStart"/>
      <w:r>
        <w:rPr>
          <w:sz w:val="20"/>
          <w:szCs w:val="20"/>
          <w:rtl/>
        </w:rPr>
        <w:t>סלנטר</w:t>
      </w:r>
      <w:proofErr w:type="spellEnd"/>
      <w:r>
        <w:rPr>
          <w:sz w:val="20"/>
          <w:szCs w:val="20"/>
          <w:rtl/>
        </w:rPr>
        <w:t xml:space="preserve"> הספיד את ר׳ </w:t>
      </w:r>
      <w:proofErr w:type="spellStart"/>
      <w:r>
        <w:rPr>
          <w:sz w:val="20"/>
          <w:szCs w:val="20"/>
          <w:rtl/>
        </w:rPr>
        <w:t xml:space="preserve">נחומק׳ה</w:t>
      </w:r>
      <w:proofErr w:type="spellEnd"/>
      <w:r>
        <w:rPr>
          <w:sz w:val="20"/>
          <w:szCs w:val="20"/>
          <w:rtl/>
        </w:rPr>
        <w:t xml:space="preserve"> </w:t>
      </w:r>
      <w:proofErr w:type="spellStart"/>
      <w:r>
        <w:rPr>
          <w:sz w:val="20"/>
          <w:szCs w:val="20"/>
          <w:rtl/>
        </w:rPr>
        <w:t>מהורודנא</w:t>
      </w:r>
      <w:proofErr w:type="spellEnd"/>
      <w:r>
        <w:rPr>
          <w:sz w:val="20"/>
          <w:szCs w:val="20"/>
          <w:rtl/>
        </w:rPr>
        <w:t xml:space="preserve"> (ראה פרק 4, הערה 7), ואמר: “</w:t>
      </w:r>
      <w:proofErr w:type="spellStart"/>
      <w:r>
        <w:rPr>
          <w:sz w:val="20"/>
          <w:szCs w:val="20"/>
          <w:rtl/>
        </w:rPr>
        <w:t>מלבי״ם</w:t>
      </w:r>
      <w:proofErr w:type="spellEnd"/>
      <w:r>
        <w:rPr>
          <w:sz w:val="20"/>
          <w:szCs w:val="20"/>
          <w:rtl/>
        </w:rPr>
        <w:t xml:space="preserve"> – לא כל אדם יכול להיות גאון כמותו; אבל ר׳ </w:t>
      </w:r>
      <w:proofErr w:type="spellStart"/>
      <w:r>
        <w:rPr>
          <w:sz w:val="20"/>
          <w:szCs w:val="20"/>
          <w:rtl/>
        </w:rPr>
        <w:t xml:space="preserve">נחומק׳ה</w:t>
      </w:r>
      <w:proofErr w:type="spellEnd"/>
      <w:r>
        <w:rPr>
          <w:sz w:val="20"/>
          <w:szCs w:val="20"/>
          <w:rtl/>
        </w:rPr>
        <w:t xml:space="preserve"> – לכל יהודי יש הכוחות להיות כמותו”. רבנו הבין מכאן שבעיני ר׳ ישראל היה מוח </w:t>
      </w:r>
      <w:proofErr w:type="spellStart"/>
      <w:r>
        <w:rPr>
          <w:sz w:val="20"/>
          <w:szCs w:val="20"/>
          <w:rtl/>
        </w:rPr>
        <w:t>המלבי״ם</w:t>
      </w:r>
      <w:proofErr w:type="spellEnd"/>
      <w:r>
        <w:rPr>
          <w:sz w:val="20"/>
          <w:szCs w:val="20"/>
          <w:rtl/>
        </w:rPr>
        <w:t xml:space="preserve"> בשיא החריפות השכלית.</w:t>
      </w:r>
    </w:p>
    <w:p w14:paraId="53A4F463" w14:textId="77777777" w:rsidR="00AB3647" w:rsidRDefault="00000000">
      <w:pPr>
        <w:spacing w:after="0" w:before="0"/>
        <w:jc w:val="both"/>
      </w:pPr>
      <w:r>
        <w:rPr>
          <w:sz w:val="20"/>
          <w:szCs w:val="20"/>
          <w:rtl/>
        </w:rPr>
        <w:t xml:space="preserve">השווה גם “הראשון” (שם, פרק 1, נספח ו), עמ׳ 26, הטוען </w:t>
      </w:r>
      <w:proofErr w:type="spellStart"/>
      <w:r>
        <w:rPr>
          <w:sz w:val="20"/>
          <w:szCs w:val="20"/>
          <w:rtl/>
        </w:rPr>
        <w:t>ש“מסופר</w:t>
      </w:r>
      <w:proofErr w:type="spellEnd"/>
      <w:r>
        <w:rPr>
          <w:sz w:val="20"/>
          <w:szCs w:val="20"/>
          <w:rtl/>
        </w:rPr>
        <w:t>” כי ר׳ חיים מנה את שלושת “</w:t>
      </w:r>
      <w:proofErr w:type="spellStart"/>
      <w:r>
        <w:rPr>
          <w:sz w:val="20"/>
          <w:szCs w:val="20"/>
          <w:rtl/>
        </w:rPr>
        <w:t>חריפי</w:t>
      </w:r>
      <w:proofErr w:type="spellEnd"/>
      <w:r>
        <w:rPr>
          <w:sz w:val="20"/>
          <w:szCs w:val="20"/>
          <w:rtl/>
        </w:rPr>
        <w:t xml:space="preserve"> המוח” הגדולים בדור – ר׳ ישראל </w:t>
      </w:r>
      <w:proofErr w:type="spellStart"/>
      <w:r>
        <w:rPr>
          <w:sz w:val="20"/>
          <w:szCs w:val="20"/>
          <w:rtl/>
        </w:rPr>
        <w:t>סלנטר</w:t>
      </w:r>
      <w:proofErr w:type="spellEnd"/>
      <w:r>
        <w:rPr>
          <w:sz w:val="20"/>
          <w:szCs w:val="20"/>
          <w:rtl/>
        </w:rPr>
        <w:t xml:space="preserve">, ר׳ </w:t>
      </w:r>
      <w:proofErr w:type="spellStart"/>
      <w:r>
        <w:rPr>
          <w:sz w:val="20"/>
          <w:szCs w:val="20"/>
          <w:rtl/>
        </w:rPr>
        <w:t>יהושע־לייב</w:t>
      </w:r>
      <w:proofErr w:type="spellEnd"/>
      <w:r>
        <w:rPr>
          <w:sz w:val="20"/>
          <w:szCs w:val="20"/>
          <w:rtl/>
        </w:rPr>
        <w:t xml:space="preserve"> דיסקין ואביו – והשמיט את </w:t>
      </w:r>
      <w:proofErr w:type="spellStart"/>
      <w:r>
        <w:rPr>
          <w:sz w:val="20"/>
          <w:szCs w:val="20"/>
          <w:rtl/>
        </w:rPr>
        <w:t>המלבי״ם</w:t>
      </w:r>
      <w:proofErr w:type="spellEnd"/>
      <w:r>
        <w:rPr>
          <w:sz w:val="20"/>
          <w:szCs w:val="20"/>
          <w:rtl/>
        </w:rPr>
        <w:t xml:space="preserve"> לגמרי, בסדר שמעלה את ר׳ ישראל למקום הראשון. לנוכח המקורות </w:t>
      </w:r>
      <w:proofErr w:type="spellStart"/>
      <w:r>
        <w:rPr>
          <w:sz w:val="20"/>
          <w:szCs w:val="20"/>
          <w:rtl/>
        </w:rPr>
        <w:t>ב“עמוד</w:t>
      </w:r>
      <w:proofErr w:type="spellEnd"/>
      <w:r>
        <w:rPr>
          <w:sz w:val="20"/>
          <w:szCs w:val="20"/>
          <w:rtl/>
        </w:rPr>
        <w:t xml:space="preserve"> אש” </w:t>
      </w:r>
      <w:proofErr w:type="spellStart"/>
      <w:r>
        <w:rPr>
          <w:sz w:val="20"/>
          <w:szCs w:val="20"/>
          <w:rtl/>
        </w:rPr>
        <w:t>וב“תורת</w:t>
      </w:r>
      <w:proofErr w:type="spellEnd"/>
      <w:r>
        <w:rPr>
          <w:sz w:val="20"/>
          <w:szCs w:val="20"/>
          <w:rtl/>
        </w:rPr>
        <w:t xml:space="preserve"> חיים” על ר׳ </w:t>
      </w:r>
      <w:proofErr w:type="spellStart"/>
      <w:r>
        <w:rPr>
          <w:sz w:val="20"/>
          <w:szCs w:val="20"/>
          <w:rtl/>
        </w:rPr>
        <w:t>יהושע־לייב</w:t>
      </w:r>
      <w:proofErr w:type="spellEnd"/>
      <w:r>
        <w:rPr>
          <w:sz w:val="20"/>
          <w:szCs w:val="20"/>
          <w:rtl/>
        </w:rPr>
        <w:t xml:space="preserve"> דיסקין, מסתבר </w:t>
      </w:r>
      <w:proofErr w:type="spellStart"/>
      <w:r>
        <w:rPr>
          <w:sz w:val="20"/>
          <w:szCs w:val="20"/>
          <w:rtl/>
        </w:rPr>
        <w:t>ש“הראשון</w:t>
      </w:r>
      <w:proofErr w:type="spellEnd"/>
      <w:r>
        <w:rPr>
          <w:sz w:val="20"/>
          <w:szCs w:val="20"/>
          <w:rtl/>
        </w:rPr>
        <w:t xml:space="preserve">” לא דקדק בסדר; אבל הדבר מערער את דברי ר׳ זליג אפשטיין על </w:t>
      </w:r>
      <w:proofErr w:type="spellStart"/>
      <w:r>
        <w:rPr>
          <w:sz w:val="20"/>
          <w:szCs w:val="20"/>
          <w:rtl/>
        </w:rPr>
        <w:t>המלבי״ם</w:t>
      </w:r>
      <w:proofErr w:type="spellEnd"/>
      <w:r>
        <w:rPr>
          <w:sz w:val="20"/>
          <w:szCs w:val="20"/>
          <w:rtl/>
        </w:rPr>
        <w:t>.</w:t>
      </w:r>
    </w:p>
    <w:p w14:paraId="7A4052E7" w14:textId="77777777" w:rsidR="00AB3647" w:rsidRDefault="00000000">
      <w:pPr>
        <w:spacing w:after="0" w:before="0"/>
        <w:jc w:val="both"/>
      </w:pPr>
      <w:r>
        <w:rPr>
          <w:sz w:val="20"/>
          <w:szCs w:val="20"/>
          <w:rtl/>
        </w:rPr>
        <w:t xml:space="preserve">השווה גם “עובדות והנהגות לבית </w:t>
      </w:r>
      <w:proofErr w:type="spellStart"/>
      <w:r>
        <w:rPr>
          <w:sz w:val="20"/>
          <w:szCs w:val="20"/>
          <w:rtl/>
        </w:rPr>
        <w:t>בריסק</w:t>
      </w:r>
      <w:proofErr w:type="spellEnd"/>
      <w:r>
        <w:rPr>
          <w:sz w:val="20"/>
          <w:szCs w:val="20"/>
          <w:rtl/>
        </w:rPr>
        <w:t xml:space="preserve">”, ח״א, עמ׳ קי, המביא בשם ר׳ </w:t>
      </w:r>
      <w:proofErr w:type="spellStart"/>
      <w:r>
        <w:rPr>
          <w:sz w:val="20"/>
          <w:szCs w:val="20"/>
          <w:rtl/>
        </w:rPr>
        <w:t>משולם־דוד</w:t>
      </w:r>
      <w:proofErr w:type="spellEnd"/>
      <w:r>
        <w:rPr>
          <w:sz w:val="20"/>
          <w:szCs w:val="20"/>
          <w:rtl/>
        </w:rPr>
        <w:t xml:space="preserve"> </w:t>
      </w:r>
      <w:proofErr w:type="spellStart"/>
      <w:r>
        <w:rPr>
          <w:sz w:val="20"/>
          <w:szCs w:val="20"/>
          <w:rtl/>
        </w:rPr>
        <w:t>סולובייצ׳יק</w:t>
      </w:r>
      <w:proofErr w:type="spellEnd"/>
      <w:r>
        <w:rPr>
          <w:sz w:val="20"/>
          <w:szCs w:val="20"/>
          <w:rtl/>
        </w:rPr>
        <w:t xml:space="preserve"> שגם סבו ר׳ חיים השמיט את </w:t>
      </w:r>
      <w:proofErr w:type="spellStart"/>
      <w:r>
        <w:rPr>
          <w:sz w:val="20"/>
          <w:szCs w:val="20"/>
          <w:rtl/>
        </w:rPr>
        <w:t>המלבי״ם</w:t>
      </w:r>
      <w:proofErr w:type="spellEnd"/>
      <w:r>
        <w:rPr>
          <w:sz w:val="20"/>
          <w:szCs w:val="20"/>
          <w:rtl/>
        </w:rPr>
        <w:t xml:space="preserve"> כשמנה “את הגדולים האמיתיים היחידים” בדור הקודם. כך גם בספרו של </w:t>
      </w:r>
      <w:proofErr w:type="spellStart"/>
      <w:r>
        <w:rPr>
          <w:sz w:val="20"/>
          <w:szCs w:val="20"/>
          <w:rtl/>
        </w:rPr>
        <w:t>ידעאל</w:t>
      </w:r>
      <w:proofErr w:type="spellEnd"/>
      <w:r>
        <w:rPr>
          <w:sz w:val="20"/>
          <w:szCs w:val="20"/>
          <w:rtl/>
        </w:rPr>
        <w:t xml:space="preserve"> מלצר, “בדרך עץ החיים”, עמ׳ 576, הושמט </w:t>
      </w:r>
      <w:proofErr w:type="spellStart"/>
      <w:r>
        <w:rPr>
          <w:sz w:val="20"/>
          <w:szCs w:val="20"/>
          <w:rtl/>
        </w:rPr>
        <w:t>המלבי״ם</w:t>
      </w:r>
      <w:proofErr w:type="spellEnd"/>
      <w:r>
        <w:rPr>
          <w:sz w:val="20"/>
          <w:szCs w:val="20"/>
          <w:rtl/>
        </w:rPr>
        <w:t xml:space="preserve"> בציטוט מפי ר׳ יצחק־זאב </w:t>
      </w:r>
      <w:proofErr w:type="spellStart"/>
      <w:r>
        <w:rPr>
          <w:sz w:val="20"/>
          <w:szCs w:val="20"/>
          <w:rtl/>
        </w:rPr>
        <w:t>סולובייצ׳יק</w:t>
      </w:r>
      <w:proofErr w:type="spellEnd"/>
      <w:r>
        <w:rPr>
          <w:sz w:val="20"/>
          <w:szCs w:val="20"/>
          <w:rtl/>
        </w:rPr>
        <w:t xml:space="preserve">: “כשנפטרו ר׳ ישראל </w:t>
      </w:r>
      <w:proofErr w:type="spellStart"/>
      <w:r>
        <w:rPr>
          <w:sz w:val="20"/>
          <w:szCs w:val="20"/>
          <w:rtl/>
        </w:rPr>
        <w:t>סלנטר</w:t>
      </w:r>
      <w:proofErr w:type="spellEnd"/>
      <w:r>
        <w:rPr>
          <w:sz w:val="20"/>
          <w:szCs w:val="20"/>
          <w:rtl/>
        </w:rPr>
        <w:t xml:space="preserve">, ר׳ </w:t>
      </w:r>
      <w:proofErr w:type="spellStart"/>
      <w:r>
        <w:rPr>
          <w:sz w:val="20"/>
          <w:szCs w:val="20"/>
          <w:rtl/>
        </w:rPr>
        <w:t>יהושע־לייב</w:t>
      </w:r>
      <w:proofErr w:type="spellEnd"/>
      <w:r>
        <w:rPr>
          <w:sz w:val="20"/>
          <w:szCs w:val="20"/>
          <w:rtl/>
        </w:rPr>
        <w:t xml:space="preserve"> דיסקין, סבי ר׳ </w:t>
      </w:r>
      <w:proofErr w:type="spellStart"/>
      <w:r>
        <w:rPr>
          <w:sz w:val="20"/>
          <w:szCs w:val="20"/>
          <w:rtl/>
        </w:rPr>
        <w:t xml:space="preserve">יושע־בער</w:t>
      </w:r>
      <w:proofErr w:type="spellEnd"/>
      <w:r>
        <w:rPr>
          <w:sz w:val="20"/>
          <w:szCs w:val="20"/>
          <w:rtl/>
        </w:rPr>
        <w:t xml:space="preserve"> ואבי ר׳ חיים, ירדה חשכה על העולם, אך נשאר עוד מעט אור. עכשיו, משנפטר ר׳ </w:t>
      </w:r>
      <w:proofErr w:type="spellStart"/>
      <w:r>
        <w:rPr>
          <w:sz w:val="20"/>
          <w:szCs w:val="20"/>
          <w:rtl/>
        </w:rPr>
        <w:t>איסר־זלמן</w:t>
      </w:r>
      <w:proofErr w:type="spellEnd"/>
      <w:r>
        <w:rPr>
          <w:sz w:val="20"/>
          <w:szCs w:val="20"/>
          <w:rtl/>
        </w:rPr>
        <w:t xml:space="preserve"> מלצר, לא נשאר מן האור דבר”. ייתכן שר׳ יצחק־זאב השמיט את </w:t>
      </w:r>
      <w:proofErr w:type="spellStart"/>
      <w:r>
        <w:rPr>
          <w:sz w:val="20"/>
          <w:szCs w:val="20"/>
          <w:rtl/>
        </w:rPr>
        <w:t>המלבי״ם</w:t>
      </w:r>
      <w:proofErr w:type="spellEnd"/>
      <w:r>
        <w:rPr>
          <w:sz w:val="20"/>
          <w:szCs w:val="20"/>
          <w:rtl/>
        </w:rPr>
        <w:t xml:space="preserve"> מפני שדיבר על “אורו” של הלימוד ההלכתי, </w:t>
      </w:r>
      <w:proofErr w:type="spellStart"/>
      <w:r>
        <w:rPr>
          <w:sz w:val="20"/>
          <w:szCs w:val="20"/>
          <w:rtl/>
        </w:rPr>
        <w:t>שהמלבי״ם</w:t>
      </w:r>
      <w:proofErr w:type="spellEnd"/>
      <w:r>
        <w:rPr>
          <w:sz w:val="20"/>
          <w:szCs w:val="20"/>
          <w:rtl/>
        </w:rPr>
        <w:t xml:space="preserve">, על אף מוחו המעולה, נתן לו מקום שני במחקריו – כפי שציינו ר׳ </w:t>
      </w:r>
      <w:proofErr w:type="spellStart"/>
      <w:r>
        <w:rPr>
          <w:sz w:val="20"/>
          <w:szCs w:val="20"/>
          <w:rtl/>
        </w:rPr>
        <w:t>אייזל</w:t>
      </w:r>
      <w:proofErr w:type="spellEnd"/>
      <w:r>
        <w:rPr>
          <w:sz w:val="20"/>
          <w:szCs w:val="20"/>
          <w:rtl/>
        </w:rPr>
        <w:t xml:space="preserve"> שפירא, ר׳ </w:t>
      </w:r>
      <w:proofErr w:type="spellStart"/>
      <w:r>
        <w:rPr>
          <w:sz w:val="20"/>
          <w:szCs w:val="20"/>
          <w:rtl/>
        </w:rPr>
        <w:t>רובל׳ה</w:t>
      </w:r>
      <w:proofErr w:type="spellEnd"/>
      <w:r>
        <w:rPr>
          <w:sz w:val="20"/>
          <w:szCs w:val="20"/>
          <w:rtl/>
        </w:rPr>
        <w:t xml:space="preserve"> </w:t>
      </w:r>
      <w:proofErr w:type="spellStart"/>
      <w:r>
        <w:rPr>
          <w:sz w:val="20"/>
          <w:szCs w:val="20"/>
          <w:rtl/>
        </w:rPr>
        <w:t>מדווינסק</w:t>
      </w:r>
      <w:proofErr w:type="spellEnd"/>
      <w:r>
        <w:rPr>
          <w:sz w:val="20"/>
          <w:szCs w:val="20"/>
          <w:rtl/>
        </w:rPr>
        <w:t xml:space="preserve"> ור׳ </w:t>
      </w:r>
      <w:proofErr w:type="spellStart"/>
      <w:r>
        <w:rPr>
          <w:sz w:val="20"/>
          <w:szCs w:val="20"/>
          <w:rtl/>
        </w:rPr>
        <w:t>ליפל׳ה</w:t>
      </w:r>
      <w:proofErr w:type="spellEnd"/>
      <w:r>
        <w:rPr>
          <w:sz w:val="20"/>
          <w:szCs w:val="20"/>
          <w:rtl/>
        </w:rPr>
        <w:t xml:space="preserve"> ממיר (המצוטטים מיד להלן). (ההערכה הגבוהה שייחס ר׳ יצחק־זאב </w:t>
      </w:r>
      <w:proofErr w:type="spellStart"/>
      <w:r>
        <w:rPr>
          <w:sz w:val="20"/>
          <w:szCs w:val="20"/>
          <w:rtl/>
        </w:rPr>
        <w:t>לר</w:t>
      </w:r>
      <w:proofErr w:type="spellEnd"/>
      <w:r>
        <w:rPr>
          <w:sz w:val="20"/>
          <w:szCs w:val="20"/>
          <w:rtl/>
        </w:rPr>
        <w:t xml:space="preserve">׳ </w:t>
      </w:r>
      <w:proofErr w:type="spellStart"/>
      <w:r>
        <w:rPr>
          <w:sz w:val="20"/>
          <w:szCs w:val="20"/>
          <w:rtl/>
        </w:rPr>
        <w:t>איסר־זלמן</w:t>
      </w:r>
      <w:proofErr w:type="spellEnd"/>
      <w:r>
        <w:rPr>
          <w:sz w:val="20"/>
          <w:szCs w:val="20"/>
          <w:rtl/>
        </w:rPr>
        <w:t xml:space="preserve"> הייתה הדדית – ראה עמ׳ </w:t>
      </w:r>
      <w:r>
        <w:rPr>
          <w:sz w:val="20"/>
          <w:szCs w:val="20"/>
          <w:rtl/>
        </w:rPr>
        <w:fldChar w:fldCharType="begin" w:dirty="true"/>
      </w:r>
      <w:r>
        <w:rPr>
          <w:sz w:val="20"/>
          <w:szCs w:val="20"/>
          <w:rtl/>
        </w:rPr>
        <w:instrText xml:space="preserve"> PAGEREF pr_close_b_4349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4779">
    <w:p w14:paraId="10B9591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רבנו רמז שהדובר לא הכיר את ר׳ ישראל!</w:t>
      </w:r>
    </w:p>
  </w:footnote>
  <w:footnote w:id="4780">
    <w:p w14:paraId="319A791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מ־13 בינואר 1997.</w:t>
      </w:r>
    </w:p>
  </w:footnote>
  <w:footnote w:id="4781">
    <w:p w14:paraId="0E23CBE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הציטוטים הבאים הם מרמב״ם הלכות תפילין פ״ד </w:t>
      </w:r>
      <w:proofErr w:type="spellStart"/>
      <w:r>
        <w:rPr>
          <w:sz w:val="20"/>
          <w:szCs w:val="20"/>
          <w:rtl/>
        </w:rPr>
        <w:t>הכ״ה</w:t>
      </w:r>
      <w:proofErr w:type="spellEnd"/>
      <w:r>
        <w:rPr>
          <w:sz w:val="20"/>
          <w:szCs w:val="20"/>
          <w:rtl/>
        </w:rPr>
        <w:t>.</w:t>
      </w:r>
    </w:p>
  </w:footnote>
  <w:footnote w:id="4782">
    <w:p w14:paraId="0E53573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פרק 2, נספח ו – עמ׳ </w:t>
      </w:r>
      <w:proofErr w:type="spellStart"/>
      <w:r>
        <w:rPr>
          <w:sz w:val="20"/>
          <w:szCs w:val="20"/>
          <w:rtl/>
        </w:rPr>
        <w:t>קכד</w:t>
      </w:r>
      <w:proofErr w:type="spellEnd"/>
      <w:r>
        <w:rPr>
          <w:sz w:val="20"/>
          <w:szCs w:val="20"/>
          <w:rtl/>
        </w:rPr>
        <w:t>.</w:t>
      </w:r>
    </w:p>
  </w:footnote>
  <w:footnote w:id="4783">
    <w:p w14:paraId="2E46503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1, הערה 7 – עמ׳ 372.</w:t>
      </w:r>
    </w:p>
  </w:footnote>
  <w:footnote w:id="4784">
    <w:p w14:paraId="5A81443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קידושין </w:t>
      </w:r>
      <w:proofErr w:type="spellStart"/>
      <w:r>
        <w:rPr>
          <w:sz w:val="20"/>
          <w:szCs w:val="20"/>
          <w:rtl/>
        </w:rPr>
        <w:t>עו</w:t>
      </w:r>
      <w:proofErr w:type="spellEnd"/>
      <w:r>
        <w:rPr>
          <w:sz w:val="20"/>
          <w:szCs w:val="20"/>
          <w:rtl/>
        </w:rPr>
        <w:t xml:space="preserve"> ע״א.</w:t>
      </w:r>
    </w:p>
  </w:footnote>
  <w:footnote w:id="4785">
    <w:p w14:paraId="2C240A0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“הגאון </w:t>
      </w:r>
      <w:proofErr w:type="spellStart"/>
      <w:r>
        <w:rPr>
          <w:sz w:val="20"/>
          <w:szCs w:val="20"/>
          <w:rtl/>
        </w:rPr>
        <w:t>מלבי״ם</w:t>
      </w:r>
      <w:proofErr w:type="spellEnd"/>
      <w:r>
        <w:rPr>
          <w:sz w:val="20"/>
          <w:szCs w:val="20"/>
          <w:rtl/>
        </w:rPr>
        <w:t>”, עמ׳ קט.</w:t>
      </w:r>
    </w:p>
  </w:footnote>
  <w:footnote w:id="4786">
    <w:p w14:paraId="7DA203B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עמ׳ </w:t>
      </w:r>
      <w:proofErr w:type="spellStart"/>
      <w:r>
        <w:rPr>
          <w:sz w:val="20"/>
          <w:szCs w:val="20"/>
          <w:rtl/>
        </w:rPr>
        <w:t>רמד</w:t>
      </w:r>
      <w:proofErr w:type="spellEnd"/>
      <w:r>
        <w:rPr>
          <w:sz w:val="20"/>
          <w:szCs w:val="20"/>
          <w:rtl/>
        </w:rPr>
        <w:t xml:space="preserve">, בשם ר׳ </w:t>
      </w:r>
      <w:proofErr w:type="spellStart"/>
      <w:r>
        <w:rPr>
          <w:sz w:val="20"/>
          <w:szCs w:val="20"/>
          <w:rtl/>
        </w:rPr>
        <w:t>יחיאל־מרדכי</w:t>
      </w:r>
      <w:proofErr w:type="spellEnd"/>
      <w:r>
        <w:rPr>
          <w:sz w:val="20"/>
          <w:szCs w:val="20"/>
          <w:rtl/>
        </w:rPr>
        <w:t xml:space="preserve"> גורדון ששמע מפי חותנו ר׳ לייזר </w:t>
      </w:r>
      <w:proofErr w:type="spellStart"/>
      <w:r>
        <w:rPr>
          <w:sz w:val="20"/>
          <w:szCs w:val="20"/>
          <w:rtl/>
        </w:rPr>
        <w:t>שולביץ</w:t>
      </w:r>
      <w:proofErr w:type="spellEnd"/>
      <w:r>
        <w:rPr>
          <w:sz w:val="20"/>
          <w:szCs w:val="20"/>
          <w:rtl/>
        </w:rPr>
        <w:t xml:space="preserve"> – ראה פרק 3, הפסקה השלישית של נספח ד, </w:t>
      </w:r>
      <w:proofErr w:type="spellStart"/>
      <w:r>
        <w:rPr>
          <w:sz w:val="20"/>
          <w:szCs w:val="20"/>
          <w:rtl/>
        </w:rPr>
        <w:t>שלר</w:t>
      </w:r>
      <w:proofErr w:type="spellEnd"/>
      <w:r>
        <w:rPr>
          <w:sz w:val="20"/>
          <w:szCs w:val="20"/>
          <w:rtl/>
        </w:rPr>
        <w:t>׳ לייזר הייתה הזדמנות מיוחדת לשוחח עם ר׳ ישראל.</w:t>
      </w:r>
    </w:p>
  </w:footnote>
  <w:footnote w:id="4787">
    <w:p w14:paraId="4B75546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4, הפסקה השנייה של נספח י, שבנעוריו ציפה ר׳ ישראל מעצמו שיהיה </w:t>
      </w:r>
      <w:proofErr w:type="spellStart"/>
      <w:r>
        <w:rPr>
          <w:sz w:val="20"/>
          <w:szCs w:val="20"/>
          <w:rtl/>
        </w:rPr>
        <w:t>גר״א</w:t>
      </w:r>
      <w:proofErr w:type="spellEnd"/>
      <w:r>
        <w:rPr>
          <w:sz w:val="20"/>
          <w:szCs w:val="20"/>
          <w:rtl/>
        </w:rPr>
        <w:t xml:space="preserve"> שני.</w:t>
      </w:r>
    </w:p>
  </w:footnote>
  <w:footnote w:id="4788">
    <w:p w14:paraId="6F33D3D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פרק 2, הערה 10 – עמ׳ </w:t>
      </w:r>
      <w:proofErr w:type="spellStart"/>
      <w:r>
        <w:rPr>
          <w:sz w:val="20"/>
          <w:szCs w:val="20"/>
          <w:rtl/>
        </w:rPr>
        <w:t>עא</w:t>
      </w:r>
      <w:proofErr w:type="spellEnd"/>
      <w:r>
        <w:rPr>
          <w:sz w:val="20"/>
          <w:szCs w:val="20"/>
          <w:rtl/>
        </w:rPr>
        <w:t>–עב.</w:t>
      </w:r>
    </w:p>
  </w:footnote>
  <w:footnote w:id="4789">
    <w:p w14:paraId="3253234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הפסקה הרביעית של נספח ו להלן.</w:t>
      </w:r>
    </w:p>
  </w:footnote>
  <w:footnote w:id="4790">
    <w:p w14:paraId="3A7CD63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אפשר שר׳ עקיבא איגר רצה להוכיח את כנות הצהרתו בהמחשה מעשית. אבל מסתבר יותר </w:t>
      </w:r>
      <w:proofErr w:type="spellStart"/>
      <w:r>
        <w:rPr>
          <w:sz w:val="20"/>
          <w:szCs w:val="20"/>
          <w:rtl/>
        </w:rPr>
        <w:t>שהמלבי״ם</w:t>
      </w:r>
      <w:proofErr w:type="spellEnd"/>
      <w:r>
        <w:rPr>
          <w:sz w:val="20"/>
          <w:szCs w:val="20"/>
          <w:rtl/>
        </w:rPr>
        <w:t xml:space="preserve">, שעברו עליו ילדותו ונעוריו בעיר הולדתו </w:t>
      </w:r>
      <w:proofErr w:type="spellStart"/>
      <w:r>
        <w:rPr>
          <w:sz w:val="20"/>
          <w:szCs w:val="20"/>
          <w:rtl/>
        </w:rPr>
        <w:t>וולוצ׳יסק</w:t>
      </w:r>
      <w:proofErr w:type="spellEnd"/>
      <w:r>
        <w:rPr>
          <w:sz w:val="20"/>
          <w:szCs w:val="20"/>
          <w:rtl/>
        </w:rPr>
        <w:t xml:space="preserve"> ובוורשה, שבהן דיברו יידיש פולנית, פשוט לא הבין את היידיש הגרמנית של ר׳ עקיבא איגר, וחשב שהגאון הזקן מצווה עליו לשבת על כיסאו. שלוש שנים לאחר מכן, כשנפטר ר׳ עקיבא איגר, הציג </w:t>
      </w:r>
      <w:proofErr w:type="spellStart"/>
      <w:r>
        <w:rPr>
          <w:sz w:val="20"/>
          <w:szCs w:val="20"/>
          <w:rtl/>
        </w:rPr>
        <w:t>המלבי״ם</w:t>
      </w:r>
      <w:proofErr w:type="spellEnd"/>
      <w:r>
        <w:rPr>
          <w:sz w:val="20"/>
          <w:szCs w:val="20"/>
          <w:rtl/>
        </w:rPr>
        <w:t xml:space="preserve">, צעיר כל כך וחסר ניסיון ברבנות, את מועמדותו לכהונה שהגאון הנודע בעולם – “כמעט ראשון” לפי ר׳ חיים </w:t>
      </w:r>
      <w:proofErr w:type="spellStart"/>
      <w:r>
        <w:rPr>
          <w:sz w:val="20"/>
          <w:szCs w:val="20"/>
          <w:rtl/>
        </w:rPr>
        <w:t>סולובייצ׳יק</w:t>
      </w:r>
      <w:proofErr w:type="spellEnd"/>
      <w:r>
        <w:rPr>
          <w:sz w:val="20"/>
          <w:szCs w:val="20"/>
          <w:rtl/>
        </w:rPr>
        <w:t xml:space="preserve"> (ראה פרק 4, נספח </w:t>
      </w:r>
      <w:proofErr w:type="spellStart"/>
      <w:r>
        <w:rPr>
          <w:sz w:val="20"/>
          <w:szCs w:val="20"/>
          <w:rtl/>
        </w:rPr>
        <w:t>טז</w:t>
      </w:r>
      <w:proofErr w:type="spellEnd"/>
      <w:r>
        <w:rPr>
          <w:sz w:val="20"/>
          <w:szCs w:val="20"/>
          <w:rtl/>
        </w:rPr>
        <w:t>) – האציל עליה מכבודו.</w:t>
      </w:r>
    </w:p>
    <w:p w14:paraId="62331F79" w14:textId="77777777" w:rsidR="00AB3647" w:rsidRDefault="00000000">
      <w:pPr>
        <w:spacing w:after="0" w:before="0"/>
        <w:jc w:val="both"/>
      </w:pPr>
      <w:r>
        <w:rPr>
          <w:sz w:val="20"/>
          <w:szCs w:val="20"/>
          <w:rtl/>
        </w:rPr>
        <w:t>“</w:t>
      </w:r>
      <w:proofErr w:type="spellStart"/>
      <w:r>
        <w:rPr>
          <w:sz w:val="20"/>
          <w:szCs w:val="20"/>
          <w:rtl/>
        </w:rPr>
        <w:t>המלבי״ם</w:t>
      </w:r>
      <w:proofErr w:type="spellEnd"/>
      <w:r>
        <w:rPr>
          <w:sz w:val="20"/>
          <w:szCs w:val="20"/>
          <w:rtl/>
        </w:rPr>
        <w:t xml:space="preserve">” מאת נח ח. רוזנבלום (מוסד הרב קוק, ירושלים, תשמ״ח), שאני חייב לו תודה על חלק גדול מן המידע על </w:t>
      </w:r>
      <w:proofErr w:type="spellStart"/>
      <w:r>
        <w:rPr>
          <w:sz w:val="20"/>
          <w:szCs w:val="20"/>
          <w:rtl/>
        </w:rPr>
        <w:t>המלבי״ם</w:t>
      </w:r>
      <w:proofErr w:type="spellEnd"/>
      <w:r>
        <w:rPr>
          <w:sz w:val="20"/>
          <w:szCs w:val="20"/>
          <w:rtl/>
        </w:rPr>
        <w:t xml:space="preserve">, מביע פליאה על “יומרנותו” בהגשת מועמדותו (עמ׳ 27). ייתכן שהצהרת ר׳ עקיבא איגר שהוא מסוגל לשבת על כיסא הרבנות </w:t>
      </w:r>
      <w:proofErr w:type="spellStart"/>
      <w:r>
        <w:rPr>
          <w:sz w:val="20"/>
          <w:szCs w:val="20"/>
          <w:rtl/>
        </w:rPr>
        <w:t>בפוזנא</w:t>
      </w:r>
      <w:proofErr w:type="spellEnd"/>
      <w:r>
        <w:rPr>
          <w:sz w:val="20"/>
          <w:szCs w:val="20"/>
          <w:rtl/>
        </w:rPr>
        <w:t xml:space="preserve"> עודדה את החכם הצעיר לנסות זאת. אבל מועמדותו נדחתה, והעיר בחרה בבנו של ר׳ עקיבא איגר, ר׳ שלמה, רבה של </w:t>
      </w:r>
      <w:proofErr w:type="spellStart"/>
      <w:r>
        <w:rPr>
          <w:sz w:val="20"/>
          <w:szCs w:val="20"/>
          <w:rtl/>
        </w:rPr>
        <w:t>קאליש</w:t>
      </w:r>
      <w:proofErr w:type="spellEnd"/>
      <w:r>
        <w:rPr>
          <w:sz w:val="20"/>
          <w:szCs w:val="20"/>
          <w:rtl/>
        </w:rPr>
        <w:t xml:space="preserve">, שהיה מבוגר ממנו בעשרים וארבע שנים (כמעט פי שניים מגיל </w:t>
      </w:r>
      <w:proofErr w:type="spellStart"/>
      <w:r>
        <w:rPr>
          <w:sz w:val="20"/>
          <w:szCs w:val="20"/>
          <w:rtl/>
        </w:rPr>
        <w:t>המלבי״ם</w:t>
      </w:r>
      <w:proofErr w:type="spellEnd"/>
      <w:r>
        <w:rPr>
          <w:sz w:val="20"/>
          <w:szCs w:val="20"/>
          <w:rtl/>
        </w:rPr>
        <w:t xml:space="preserve"> בשעת פטירת ר׳ עקיבא), למלא את מקום אביו.</w:t>
      </w:r>
    </w:p>
  </w:footnote>
  <w:footnote w:id="4791">
    <w:p w14:paraId="5E4B4BD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 דניאל לוי סיפר מעשה זה ותוצאתו העצובה בשם אבי ב־19 ביולי 2001.</w:t>
      </w:r>
    </w:p>
  </w:footnote>
  <w:footnote w:id="4792">
    <w:p w14:paraId="09A9134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פרסם מאמרים בביטאון האורתודוקסי “הלבנון” (ראה פרק 2, סוף הפסקה </w:t>
      </w:r>
      <w:proofErr w:type="spellStart"/>
      <w:r>
        <w:rPr>
          <w:sz w:val="20"/>
          <w:szCs w:val="20"/>
          <w:rtl/>
        </w:rPr>
        <w:t>השתים־עשרה</w:t>
      </w:r>
      <w:proofErr w:type="spellEnd"/>
      <w:r>
        <w:rPr>
          <w:sz w:val="20"/>
          <w:szCs w:val="20"/>
          <w:rtl/>
        </w:rPr>
        <w:t xml:space="preserve"> של נספח א), ולמרבה ההפתעה זכה גם להערצתו של המשכיל שניאור </w:t>
      </w:r>
      <w:proofErr w:type="spellStart"/>
      <w:r>
        <w:rPr>
          <w:sz w:val="20"/>
          <w:szCs w:val="20"/>
          <w:rtl/>
        </w:rPr>
        <w:t>זק״ש</w:t>
      </w:r>
      <w:proofErr w:type="spellEnd"/>
      <w:r>
        <w:rPr>
          <w:sz w:val="20"/>
          <w:szCs w:val="20"/>
          <w:rtl/>
        </w:rPr>
        <w:t xml:space="preserve"> (ראה פרק 4, נספח ח).</w:t>
      </w:r>
    </w:p>
  </w:footnote>
  <w:footnote w:id="4793">
    <w:p w14:paraId="3655700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המעשה כפי שסיפרו אבי – לפי רשימותיו של ר׳ אשר </w:t>
      </w:r>
      <w:proofErr w:type="spellStart"/>
      <w:r>
        <w:rPr>
          <w:sz w:val="20"/>
          <w:szCs w:val="20"/>
          <w:rtl/>
        </w:rPr>
        <w:t>קצמן</w:t>
      </w:r>
      <w:proofErr w:type="spellEnd"/>
      <w:r>
        <w:rPr>
          <w:sz w:val="20"/>
          <w:szCs w:val="20"/>
          <w:rtl/>
        </w:rPr>
        <w:t xml:space="preserve"> משיחותיו עם אבי בפלורידה (פרק 1, הערה 71) – מופיע </w:t>
      </w:r>
      <w:proofErr w:type="spellStart"/>
      <w:r>
        <w:rPr>
          <w:sz w:val="20"/>
          <w:szCs w:val="20"/>
          <w:rtl/>
        </w:rPr>
        <w:t>ב“ר</w:t>
      </w:r>
      <w:proofErr w:type="spellEnd"/>
      <w:r>
        <w:rPr>
          <w:sz w:val="20"/>
          <w:szCs w:val="20"/>
          <w:rtl/>
        </w:rPr>
        <w:t xml:space="preserve">׳ יעקב” (שם, הקדמה), עמ׳ 196, </w:t>
      </w:r>
      <w:proofErr w:type="spellStart"/>
      <w:r>
        <w:rPr>
          <w:sz w:val="20"/>
          <w:szCs w:val="20"/>
          <w:rtl/>
        </w:rPr>
        <w:t>וב“רבי</w:t>
      </w:r>
      <w:proofErr w:type="spellEnd"/>
      <w:r>
        <w:rPr>
          <w:sz w:val="20"/>
          <w:szCs w:val="20"/>
          <w:rtl/>
        </w:rPr>
        <w:t xml:space="preserve"> יעקב” (שם, שם), עמ׳ 260–261. ברשימות אלה מסר ר׳ אשר </w:t>
      </w:r>
      <w:proofErr w:type="spellStart"/>
      <w:r>
        <w:rPr>
          <w:sz w:val="20"/>
          <w:szCs w:val="20"/>
          <w:rtl/>
        </w:rPr>
        <w:t>קצמן</w:t>
      </w:r>
      <w:proofErr w:type="spellEnd"/>
      <w:r>
        <w:rPr>
          <w:sz w:val="20"/>
          <w:szCs w:val="20"/>
          <w:rtl/>
        </w:rPr>
        <w:t xml:space="preserve"> גרסה שונה במקצת משתי הגרסאות שנדפסו, וגם אני זוכר ששמעתי את המעשה מפי אבי בשינוי קל נוסף. מלבד ארבע הגרסאות האלה, שמקורן באבי, יש עוד שתי גרסאות בשני ספרים בשם ר׳ </w:t>
      </w:r>
      <w:proofErr w:type="spellStart"/>
      <w:r>
        <w:rPr>
          <w:sz w:val="20"/>
          <w:szCs w:val="20"/>
          <w:rtl/>
        </w:rPr>
        <w:t xml:space="preserve">יוסף־דב</w:t>
      </w:r>
      <w:proofErr w:type="spellEnd"/>
      <w:r>
        <w:rPr>
          <w:sz w:val="20"/>
          <w:szCs w:val="20"/>
          <w:rtl/>
        </w:rPr>
        <w:t xml:space="preserve"> </w:t>
      </w:r>
      <w:proofErr w:type="spellStart"/>
      <w:r>
        <w:rPr>
          <w:sz w:val="20"/>
          <w:szCs w:val="20"/>
          <w:rtl/>
        </w:rPr>
        <w:t>סולובייצ׳יק</w:t>
      </w:r>
      <w:proofErr w:type="spellEnd"/>
      <w:r>
        <w:rPr>
          <w:sz w:val="20"/>
          <w:szCs w:val="20"/>
          <w:rtl/>
        </w:rPr>
        <w:t xml:space="preserve">: האחת </w:t>
      </w:r>
      <w:proofErr w:type="spellStart"/>
      <w:r>
        <w:rPr>
          <w:sz w:val="20"/>
          <w:szCs w:val="20"/>
          <w:rtl/>
        </w:rPr>
        <w:t>ב“נפש</w:t>
      </w:r>
      <w:proofErr w:type="spellEnd"/>
      <w:r>
        <w:rPr>
          <w:sz w:val="20"/>
          <w:szCs w:val="20"/>
          <w:rtl/>
        </w:rPr>
        <w:t xml:space="preserve"> הרב” (שם, פרק 3, נספח ט), עמ׳ </w:t>
      </w:r>
      <w:proofErr w:type="spellStart"/>
      <w:r>
        <w:rPr>
          <w:sz w:val="20"/>
          <w:szCs w:val="20"/>
          <w:rtl/>
        </w:rPr>
        <w:t>רנא</w:t>
      </w:r>
      <w:proofErr w:type="spellEnd"/>
      <w:r>
        <w:rPr>
          <w:sz w:val="20"/>
          <w:szCs w:val="20"/>
          <w:rtl/>
        </w:rPr>
        <w:t>–</w:t>
      </w:r>
      <w:proofErr w:type="spellStart"/>
      <w:r>
        <w:rPr>
          <w:sz w:val="20"/>
          <w:szCs w:val="20"/>
          <w:rtl/>
        </w:rPr>
        <w:t>רנב</w:t>
      </w:r>
      <w:proofErr w:type="spellEnd"/>
      <w:r>
        <w:rPr>
          <w:sz w:val="20"/>
          <w:szCs w:val="20"/>
          <w:rtl/>
        </w:rPr>
        <w:t xml:space="preserve">, והשנייה </w:t>
      </w:r>
      <w:proofErr w:type="spellStart"/>
      <w:r>
        <w:rPr>
          <w:sz w:val="20"/>
          <w:szCs w:val="20"/>
          <w:rtl/>
        </w:rPr>
        <w:t>ב“הגאון</w:t>
      </w:r>
      <w:proofErr w:type="spellEnd"/>
      <w:r>
        <w:rPr>
          <w:sz w:val="20"/>
          <w:szCs w:val="20"/>
          <w:rtl/>
        </w:rPr>
        <w:t xml:space="preserve"> </w:t>
      </w:r>
      <w:proofErr w:type="spellStart"/>
      <w:r>
        <w:rPr>
          <w:sz w:val="20"/>
          <w:szCs w:val="20"/>
          <w:rtl/>
        </w:rPr>
        <w:t>מלבי״ם</w:t>
      </w:r>
      <w:proofErr w:type="spellEnd"/>
      <w:r>
        <w:rPr>
          <w:sz w:val="20"/>
          <w:szCs w:val="20"/>
          <w:rtl/>
        </w:rPr>
        <w:t xml:space="preserve">”, עמ׳ </w:t>
      </w:r>
      <w:proofErr w:type="spellStart"/>
      <w:r>
        <w:rPr>
          <w:sz w:val="20"/>
          <w:szCs w:val="20"/>
          <w:rtl/>
        </w:rPr>
        <w:t>רמד</w:t>
      </w:r>
      <w:proofErr w:type="spellEnd"/>
      <w:r>
        <w:rPr>
          <w:sz w:val="20"/>
          <w:szCs w:val="20"/>
          <w:rtl/>
        </w:rPr>
        <w:t>–רמה.</w:t>
      </w:r>
    </w:p>
    <w:p w14:paraId="06B758DF" w14:textId="77777777" w:rsidR="00AB3647" w:rsidRDefault="00000000">
      <w:pPr>
        <w:spacing w:after="0" w:before="0"/>
        <w:jc w:val="both"/>
      </w:pPr>
      <w:r>
        <w:rPr>
          <w:sz w:val="20"/>
          <w:szCs w:val="20"/>
          <w:rtl/>
        </w:rPr>
        <w:t xml:space="preserve">ייתכן שאבי, כמו ר׳ משה־מאיר ישר, מחבר “הגאון </w:t>
      </w:r>
      <w:proofErr w:type="spellStart"/>
      <w:r>
        <w:rPr>
          <w:sz w:val="20"/>
          <w:szCs w:val="20"/>
          <w:rtl/>
        </w:rPr>
        <w:t>מלבי״ם</w:t>
      </w:r>
      <w:proofErr w:type="spellEnd"/>
      <w:r>
        <w:rPr>
          <w:sz w:val="20"/>
          <w:szCs w:val="20"/>
          <w:rtl/>
        </w:rPr>
        <w:t xml:space="preserve">”, שמע מעשה זה מפי ר׳ </w:t>
      </w:r>
      <w:proofErr w:type="spellStart"/>
      <w:r>
        <w:rPr>
          <w:sz w:val="20"/>
          <w:szCs w:val="20"/>
          <w:rtl/>
        </w:rPr>
        <w:t xml:space="preserve">יוסף־דב</w:t>
      </w:r>
      <w:proofErr w:type="spellEnd"/>
      <w:r>
        <w:rPr>
          <w:sz w:val="20"/>
          <w:szCs w:val="20"/>
          <w:rtl/>
        </w:rPr>
        <w:t xml:space="preserve">, כשם ששמע ממנו על ארבעת </w:t>
      </w:r>
      <w:proofErr w:type="spellStart"/>
      <w:r>
        <w:rPr>
          <w:sz w:val="20"/>
          <w:szCs w:val="20"/>
          <w:rtl/>
        </w:rPr>
        <w:t>מעין־הראשונים</w:t>
      </w:r>
      <w:proofErr w:type="spellEnd"/>
      <w:r>
        <w:rPr>
          <w:sz w:val="20"/>
          <w:szCs w:val="20"/>
          <w:rtl/>
        </w:rPr>
        <w:t xml:space="preserve">, </w:t>
      </w:r>
      <w:proofErr w:type="spellStart"/>
      <w:r>
        <w:rPr>
          <w:sz w:val="20"/>
          <w:szCs w:val="20"/>
          <w:rtl/>
        </w:rPr>
        <w:t>והמלבי״ם</w:t>
      </w:r>
      <w:proofErr w:type="spellEnd"/>
      <w:r>
        <w:rPr>
          <w:sz w:val="20"/>
          <w:szCs w:val="20"/>
          <w:rtl/>
        </w:rPr>
        <w:t xml:space="preserve"> בתוכם. אבל בגלל ההבדלים שיימנו להלן בין כל ארבע הגרסאות המיוחסות לאבי ובין השתיים המיוחסות </w:t>
      </w:r>
      <w:proofErr w:type="spellStart"/>
      <w:r>
        <w:rPr>
          <w:sz w:val="20"/>
          <w:szCs w:val="20"/>
          <w:rtl/>
        </w:rPr>
        <w:t>לר</w:t>
      </w:r>
      <w:proofErr w:type="spellEnd"/>
      <w:r>
        <w:rPr>
          <w:sz w:val="20"/>
          <w:szCs w:val="20"/>
          <w:rtl/>
        </w:rPr>
        <w:t xml:space="preserve">׳ </w:t>
      </w:r>
      <w:proofErr w:type="spellStart"/>
      <w:r>
        <w:rPr>
          <w:sz w:val="20"/>
          <w:szCs w:val="20"/>
          <w:rtl/>
        </w:rPr>
        <w:t xml:space="preserve">יוסף־דב</w:t>
      </w:r>
      <w:proofErr w:type="spellEnd"/>
      <w:r>
        <w:rPr>
          <w:sz w:val="20"/>
          <w:szCs w:val="20"/>
          <w:rtl/>
        </w:rPr>
        <w:t xml:space="preserve">, ובייחוד בגלל סיפורו הנוסף והקשור של אבי על פגישת </w:t>
      </w:r>
      <w:proofErr w:type="spellStart"/>
      <w:r>
        <w:rPr>
          <w:sz w:val="20"/>
          <w:szCs w:val="20"/>
          <w:rtl/>
        </w:rPr>
        <w:t>המלבי״ם</w:t>
      </w:r>
      <w:proofErr w:type="spellEnd"/>
      <w:r>
        <w:rPr>
          <w:sz w:val="20"/>
          <w:szCs w:val="20"/>
          <w:rtl/>
        </w:rPr>
        <w:t xml:space="preserve"> עם ר׳ עקיבא איגר, ברור למדי שאבי שמע את מעשה השגגה שבין </w:t>
      </w:r>
      <w:proofErr w:type="spellStart"/>
      <w:r>
        <w:rPr>
          <w:sz w:val="20"/>
          <w:szCs w:val="20"/>
          <w:rtl/>
        </w:rPr>
        <w:t>המלבי״ם</w:t>
      </w:r>
      <w:proofErr w:type="spellEnd"/>
      <w:r>
        <w:rPr>
          <w:sz w:val="20"/>
          <w:szCs w:val="20"/>
          <w:rtl/>
        </w:rPr>
        <w:t xml:space="preserve"> </w:t>
      </w:r>
      <w:proofErr w:type="spellStart"/>
      <w:r>
        <w:rPr>
          <w:sz w:val="20"/>
          <w:szCs w:val="20"/>
          <w:rtl/>
        </w:rPr>
        <w:t>לחתם־סופר</w:t>
      </w:r>
      <w:proofErr w:type="spellEnd"/>
      <w:r>
        <w:rPr>
          <w:sz w:val="20"/>
          <w:szCs w:val="20"/>
          <w:rtl/>
        </w:rPr>
        <w:t xml:space="preserve"> ממקום אחר.</w:t>
      </w:r>
    </w:p>
    <w:p w14:paraId="42D90973" w14:textId="77777777" w:rsidR="00AB3647" w:rsidRDefault="00000000">
      <w:pPr>
        <w:spacing w:after="0" w:before="0"/>
        <w:jc w:val="both"/>
      </w:pPr>
      <w:r>
        <w:rPr>
          <w:sz w:val="20"/>
          <w:szCs w:val="20"/>
          <w:rtl/>
        </w:rPr>
        <w:t xml:space="preserve">אמנה את שש הגרסאות בסדר שבו נזכרו לעיל, ואצביע על ההבדלים ביניהן בשלושה צדדים של המעשה: 1 – מתי אירע; 2 – מה גרם לטעות </w:t>
      </w:r>
      <w:proofErr w:type="spellStart"/>
      <w:r>
        <w:rPr>
          <w:sz w:val="20"/>
          <w:szCs w:val="20"/>
          <w:rtl/>
        </w:rPr>
        <w:t>המלבי״ם</w:t>
      </w:r>
      <w:proofErr w:type="spellEnd"/>
      <w:r>
        <w:rPr>
          <w:sz w:val="20"/>
          <w:szCs w:val="20"/>
          <w:rtl/>
        </w:rPr>
        <w:t xml:space="preserve">; 3 – למי אמר </w:t>
      </w:r>
      <w:proofErr w:type="spellStart"/>
      <w:r>
        <w:rPr>
          <w:sz w:val="20"/>
          <w:szCs w:val="20"/>
          <w:rtl/>
        </w:rPr>
        <w:t>החתם־סופר</w:t>
      </w:r>
      <w:proofErr w:type="spellEnd"/>
      <w:r>
        <w:rPr>
          <w:sz w:val="20"/>
          <w:szCs w:val="20"/>
          <w:rtl/>
        </w:rPr>
        <w:t xml:space="preserve"> את דבריו הגורליים.</w:t>
      </w:r>
    </w:p>
    <w:p w14:paraId="1B4C6196" w14:textId="77777777" w:rsidR="00AB3647" w:rsidRDefault="00000000">
      <w:pPr>
        <w:spacing w:after="0" w:before="0"/>
        <w:jc w:val="both"/>
      </w:pPr>
      <w:r>
        <w:rPr>
          <w:sz w:val="20"/>
          <w:szCs w:val="20"/>
          <w:rtl/>
        </w:rPr>
        <w:t xml:space="preserve">עניין 1: לפי גרסאות 1, 2 ו־3, התקלה אירעה לפני מנחה, אחרי </w:t>
      </w:r>
      <w:proofErr w:type="spellStart"/>
      <w:r>
        <w:rPr>
          <w:sz w:val="20"/>
          <w:szCs w:val="20"/>
          <w:rtl/>
        </w:rPr>
        <w:t>שהמלבי״ם</w:t>
      </w:r>
      <w:proofErr w:type="spellEnd"/>
      <w:r>
        <w:rPr>
          <w:sz w:val="20"/>
          <w:szCs w:val="20"/>
          <w:rtl/>
        </w:rPr>
        <w:t xml:space="preserve"> מסר דרשה בת שלוש שעות בבית הכנסת הגדול; לפי גרסה 4, היא אירעה אחרי הדרשה הארוכה, אבל לפני ערבית; לפי גרסאות 5 ו־6, היא אירעה לפני ערבית, אבל לא הייתה דרשה – אלא יום ארוך של שיחות בתורה בין שני ענקי התורה בבית </w:t>
      </w:r>
      <w:proofErr w:type="spellStart"/>
      <w:r>
        <w:rPr>
          <w:sz w:val="20"/>
          <w:szCs w:val="20"/>
          <w:rtl/>
        </w:rPr>
        <w:t>החתם־סופר</w:t>
      </w:r>
      <w:proofErr w:type="spellEnd"/>
      <w:r>
        <w:rPr>
          <w:sz w:val="20"/>
          <w:szCs w:val="20"/>
          <w:rtl/>
        </w:rPr>
        <w:t>.</w:t>
      </w:r>
    </w:p>
    <w:p w14:paraId="5C48850B" w14:textId="77777777" w:rsidR="00AB3647" w:rsidRDefault="00000000">
      <w:pPr>
        <w:spacing w:after="0" w:before="0"/>
        <w:jc w:val="both"/>
      </w:pPr>
      <w:r>
        <w:rPr>
          <w:sz w:val="20"/>
          <w:szCs w:val="20"/>
          <w:rtl/>
        </w:rPr>
        <w:t xml:space="preserve">עניין 2: לפי גרסאות 1 ו־3, </w:t>
      </w:r>
      <w:proofErr w:type="spellStart"/>
      <w:r>
        <w:rPr>
          <w:sz w:val="20"/>
          <w:szCs w:val="20"/>
          <w:rtl/>
        </w:rPr>
        <w:t>המלבי״ם</w:t>
      </w:r>
      <w:proofErr w:type="spellEnd"/>
      <w:r>
        <w:rPr>
          <w:sz w:val="20"/>
          <w:szCs w:val="20"/>
          <w:rtl/>
        </w:rPr>
        <w:t xml:space="preserve"> היה עדיין שקוע כל כך בפלפולו אחרי שירד מן הבימה, שלא שם לב היכן ישב; לפי גרסה 2, הוא היה חלש כל כך אחרי דרשתו הארוכה, שלא היה לו כוח להבחין היכן מצא מקום ישיבה, ומשישב הפליג במחשבותיו; לפי גרסה 4, הדרשה נמסרה אחרי מנחה והסתיימה כשכבר החשיך, ולכן החשכה גרמה לטעות </w:t>
      </w:r>
      <w:proofErr w:type="spellStart"/>
      <w:r>
        <w:rPr>
          <w:sz w:val="20"/>
          <w:szCs w:val="20"/>
          <w:rtl/>
        </w:rPr>
        <w:t>המלבי״ם</w:t>
      </w:r>
      <w:proofErr w:type="spellEnd"/>
      <w:r>
        <w:rPr>
          <w:sz w:val="20"/>
          <w:szCs w:val="20"/>
          <w:rtl/>
        </w:rPr>
        <w:t xml:space="preserve"> (והטעות נמשכה עד שבא גוי להדליק את מנורות בית הכנסת); לפי גרסה 5, שיחות התורה הסתיימו עם רדת החשכה, וכמו בגרסה 4 החשכה גרמה לטעות </w:t>
      </w:r>
      <w:proofErr w:type="spellStart"/>
      <w:r>
        <w:rPr>
          <w:sz w:val="20"/>
          <w:szCs w:val="20"/>
          <w:rtl/>
        </w:rPr>
        <w:t>המלבי״ם</w:t>
      </w:r>
      <w:proofErr w:type="spellEnd"/>
      <w:r>
        <w:rPr>
          <w:sz w:val="20"/>
          <w:szCs w:val="20"/>
          <w:rtl/>
        </w:rPr>
        <w:t xml:space="preserve">, “כשישב על כיסא הרב הסמוך לכיסא שעליו ישב במשך כל השבת”; לפי גרסה 6, </w:t>
      </w:r>
      <w:proofErr w:type="spellStart"/>
      <w:r>
        <w:rPr>
          <w:sz w:val="20"/>
          <w:szCs w:val="20"/>
          <w:rtl/>
        </w:rPr>
        <w:t>המלבי״ם</w:t>
      </w:r>
      <w:proofErr w:type="spellEnd"/>
      <w:r>
        <w:rPr>
          <w:sz w:val="20"/>
          <w:szCs w:val="20"/>
          <w:rtl/>
        </w:rPr>
        <w:t xml:space="preserve"> היה רגיל להתבודד ולהתבונן בשעת בין השמשות של שבת, ואחרי “שהלך לבדו לבית הכנסת, כשכל חוטי מחשבותיו מרוכזים בעולמות העליונים”, לא הבחין שאינו יושב על כיסאו שלו אלא על הכיסא הסמוך, כיסא הרב.</w:t>
      </w:r>
    </w:p>
    <w:p w14:paraId="6524D0C2" w14:textId="77777777" w:rsidR="00AB3647" w:rsidRDefault="00000000">
      <w:pPr>
        <w:spacing w:after="0" w:before="0"/>
        <w:jc w:val="both"/>
      </w:pPr>
      <w:r>
        <w:rPr>
          <w:sz w:val="20"/>
          <w:szCs w:val="20"/>
          <w:rtl/>
        </w:rPr>
        <w:t xml:space="preserve">עניין 3: לפי גרסה 1, </w:t>
      </w:r>
      <w:proofErr w:type="spellStart"/>
      <w:r>
        <w:rPr>
          <w:sz w:val="20"/>
          <w:szCs w:val="20"/>
          <w:rtl/>
        </w:rPr>
        <w:t>כשהמלבי״ם</w:t>
      </w:r>
      <w:proofErr w:type="spellEnd"/>
      <w:r>
        <w:rPr>
          <w:sz w:val="20"/>
          <w:szCs w:val="20"/>
          <w:rtl/>
        </w:rPr>
        <w:t xml:space="preserve"> לא הבחין שהרב בא ועומד לצדו, פנה אליו </w:t>
      </w:r>
      <w:proofErr w:type="spellStart"/>
      <w:r>
        <w:rPr>
          <w:sz w:val="20"/>
          <w:szCs w:val="20"/>
          <w:rtl/>
        </w:rPr>
        <w:t>החתם־סופר</w:t>
      </w:r>
      <w:proofErr w:type="spellEnd"/>
      <w:r>
        <w:rPr>
          <w:sz w:val="20"/>
          <w:szCs w:val="20"/>
          <w:rtl/>
        </w:rPr>
        <w:t xml:space="preserve"> ואמר לו במישרין: “אברך, הישאר במקומך”; לפי גרסאות 2 ו־4, </w:t>
      </w:r>
      <w:proofErr w:type="spellStart"/>
      <w:r>
        <w:rPr>
          <w:sz w:val="20"/>
          <w:szCs w:val="20"/>
          <w:rtl/>
        </w:rPr>
        <w:t>כשהמלבי״ם</w:t>
      </w:r>
      <w:proofErr w:type="spellEnd"/>
      <w:r>
        <w:rPr>
          <w:sz w:val="20"/>
          <w:szCs w:val="20"/>
          <w:rtl/>
        </w:rPr>
        <w:t xml:space="preserve"> הבחין לבסוף ברב העומד מעליו – אם משום שכבר הפנה את מחשבותיו אל סביבתו ואם משום שבית הכנסת כבר הואר – וקפץ לעבור למקומו, פנה אליו </w:t>
      </w:r>
      <w:proofErr w:type="spellStart"/>
      <w:r>
        <w:rPr>
          <w:sz w:val="20"/>
          <w:szCs w:val="20"/>
          <w:rtl/>
        </w:rPr>
        <w:t>החתם־סופר</w:t>
      </w:r>
      <w:proofErr w:type="spellEnd"/>
      <w:r>
        <w:rPr>
          <w:sz w:val="20"/>
          <w:szCs w:val="20"/>
          <w:rtl/>
        </w:rPr>
        <w:t xml:space="preserve"> באותה לשון; לפי גרסה 3, השמש שליווה את הרב לבית הכנסת שאל את </w:t>
      </w:r>
      <w:proofErr w:type="spellStart"/>
      <w:r>
        <w:rPr>
          <w:sz w:val="20"/>
          <w:szCs w:val="20"/>
          <w:rtl/>
        </w:rPr>
        <w:t>החתם־סופר</w:t>
      </w:r>
      <w:proofErr w:type="spellEnd"/>
      <w:r>
        <w:rPr>
          <w:sz w:val="20"/>
          <w:szCs w:val="20"/>
          <w:rtl/>
        </w:rPr>
        <w:t xml:space="preserve"> אם לומר לצעיר לעבור, </w:t>
      </w:r>
      <w:proofErr w:type="spellStart"/>
      <w:r>
        <w:rPr>
          <w:sz w:val="20"/>
          <w:szCs w:val="20"/>
          <w:rtl/>
        </w:rPr>
        <w:t>והחתם־סופר</w:t>
      </w:r>
      <w:proofErr w:type="spellEnd"/>
      <w:r>
        <w:rPr>
          <w:sz w:val="20"/>
          <w:szCs w:val="20"/>
          <w:rtl/>
        </w:rPr>
        <w:t xml:space="preserve"> השיב (בגוף שלישי): “יישאר במקומו”; לפי גרסה 5, אחד מבעלי הבתים אמר </w:t>
      </w:r>
      <w:proofErr w:type="spellStart"/>
      <w:r>
        <w:rPr>
          <w:sz w:val="20"/>
          <w:szCs w:val="20"/>
          <w:rtl/>
        </w:rPr>
        <w:t>למלבי״ם</w:t>
      </w:r>
      <w:proofErr w:type="spellEnd"/>
      <w:r>
        <w:rPr>
          <w:sz w:val="20"/>
          <w:szCs w:val="20"/>
          <w:rtl/>
        </w:rPr>
        <w:t xml:space="preserve"> שהוא יושב במקום הלא נכון, אבל הוא לא הבין שמדברים אליו, ורק </w:t>
      </w:r>
      <w:proofErr w:type="spellStart"/>
      <w:r>
        <w:rPr>
          <w:sz w:val="20"/>
          <w:szCs w:val="20"/>
          <w:rtl/>
        </w:rPr>
        <w:t>כשהחתם־סופר</w:t>
      </w:r>
      <w:proofErr w:type="spellEnd"/>
      <w:r>
        <w:rPr>
          <w:sz w:val="20"/>
          <w:szCs w:val="20"/>
          <w:rtl/>
        </w:rPr>
        <w:t xml:space="preserve"> אמר לבעל הבית “יישאר במקומו” הבין </w:t>
      </w:r>
      <w:proofErr w:type="spellStart"/>
      <w:r>
        <w:rPr>
          <w:sz w:val="20"/>
          <w:szCs w:val="20"/>
          <w:rtl/>
        </w:rPr>
        <w:t>המלבי״ם</w:t>
      </w:r>
      <w:proofErr w:type="spellEnd"/>
      <w:r>
        <w:rPr>
          <w:sz w:val="20"/>
          <w:szCs w:val="20"/>
          <w:rtl/>
        </w:rPr>
        <w:t xml:space="preserve"> מה מתרחש; לפי גרסה 6, בעלי הבתים רצו להעיר את </w:t>
      </w:r>
      <w:proofErr w:type="spellStart"/>
      <w:r>
        <w:rPr>
          <w:sz w:val="20"/>
          <w:szCs w:val="20"/>
          <w:rtl/>
        </w:rPr>
        <w:t>המלבי״ם</w:t>
      </w:r>
      <w:proofErr w:type="spellEnd"/>
      <w:r>
        <w:rPr>
          <w:sz w:val="20"/>
          <w:szCs w:val="20"/>
          <w:rtl/>
        </w:rPr>
        <w:t xml:space="preserve"> משרעפיו ולומר לו לעבור, אבל </w:t>
      </w:r>
      <w:proofErr w:type="spellStart"/>
      <w:r>
        <w:rPr>
          <w:sz w:val="20"/>
          <w:szCs w:val="20"/>
          <w:rtl/>
        </w:rPr>
        <w:t>החתם־סופר</w:t>
      </w:r>
      <w:proofErr w:type="spellEnd"/>
      <w:r>
        <w:rPr>
          <w:sz w:val="20"/>
          <w:szCs w:val="20"/>
          <w:rtl/>
        </w:rPr>
        <w:t xml:space="preserve"> לא הניח להם ואמר להם את אמירתו הגורלית. כשחזר </w:t>
      </w:r>
      <w:proofErr w:type="spellStart"/>
      <w:r>
        <w:rPr>
          <w:sz w:val="20"/>
          <w:szCs w:val="20"/>
          <w:rtl/>
        </w:rPr>
        <w:t>המלבי״ם</w:t>
      </w:r>
      <w:proofErr w:type="spellEnd"/>
      <w:r>
        <w:rPr>
          <w:sz w:val="20"/>
          <w:szCs w:val="20"/>
          <w:rtl/>
        </w:rPr>
        <w:t xml:space="preserve"> לעצמו והתנצל על שתפס את מקום הרב, סיפר לו </w:t>
      </w:r>
      <w:proofErr w:type="spellStart"/>
      <w:r>
        <w:rPr>
          <w:sz w:val="20"/>
          <w:szCs w:val="20"/>
          <w:rtl/>
        </w:rPr>
        <w:t>החתם־סופר</w:t>
      </w:r>
      <w:proofErr w:type="spellEnd"/>
      <w:r>
        <w:rPr>
          <w:sz w:val="20"/>
          <w:szCs w:val="20"/>
          <w:rtl/>
        </w:rPr>
        <w:t xml:space="preserve"> בדיוק מה אירע בינו ובין בעלי הבתים, ובכלל זה שאמר להם “להניח לו להישאר במקומו”. (אף אחת מן הגרסאות אינה מספרת אם </w:t>
      </w:r>
      <w:proofErr w:type="spellStart"/>
      <w:r>
        <w:rPr>
          <w:sz w:val="20"/>
          <w:szCs w:val="20"/>
          <w:rtl/>
        </w:rPr>
        <w:t>המלבי״ם</w:t>
      </w:r>
      <w:proofErr w:type="spellEnd"/>
      <w:r>
        <w:rPr>
          <w:sz w:val="20"/>
          <w:szCs w:val="20"/>
          <w:rtl/>
        </w:rPr>
        <w:t xml:space="preserve"> נשאר בפועל יושב על מקום </w:t>
      </w:r>
      <w:proofErr w:type="spellStart"/>
      <w:r>
        <w:rPr>
          <w:sz w:val="20"/>
          <w:szCs w:val="20"/>
          <w:rtl/>
        </w:rPr>
        <w:t>החתם־סופר</w:t>
      </w:r>
      <w:proofErr w:type="spellEnd"/>
      <w:r>
        <w:rPr>
          <w:sz w:val="20"/>
          <w:szCs w:val="20"/>
          <w:rtl/>
        </w:rPr>
        <w:t xml:space="preserve"> אחרי שנאמר לו לעשות כן. אחרי מה שאירע בפגישתו עם ר׳ עקיבא איגר, אין מנוס מלתהות על כך.)</w:t>
      </w:r>
    </w:p>
    <w:p w14:paraId="5069938B" w14:textId="77777777" w:rsidR="00AB3647" w:rsidRDefault="00000000">
      <w:pPr>
        <w:spacing w:after="0" w:before="0"/>
        <w:jc w:val="both"/>
      </w:pPr>
      <w:r>
        <w:rPr>
          <w:sz w:val="20"/>
          <w:szCs w:val="20"/>
          <w:rtl/>
        </w:rPr>
        <w:t xml:space="preserve">כפי שנרשם </w:t>
      </w:r>
      <w:proofErr w:type="spellStart"/>
      <w:r>
        <w:rPr>
          <w:sz w:val="20"/>
          <w:szCs w:val="20"/>
          <w:rtl/>
        </w:rPr>
        <w:t>ב“ר</w:t>
      </w:r>
      <w:proofErr w:type="spellEnd"/>
      <w:r>
        <w:rPr>
          <w:sz w:val="20"/>
          <w:szCs w:val="20"/>
          <w:rtl/>
        </w:rPr>
        <w:t xml:space="preserve">׳ יעקב” </w:t>
      </w:r>
      <w:proofErr w:type="spellStart"/>
      <w:r>
        <w:rPr>
          <w:sz w:val="20"/>
          <w:szCs w:val="20"/>
          <w:rtl/>
        </w:rPr>
        <w:t>וב“רבי</w:t>
      </w:r>
      <w:proofErr w:type="spellEnd"/>
      <w:r>
        <w:rPr>
          <w:sz w:val="20"/>
          <w:szCs w:val="20"/>
          <w:rtl/>
        </w:rPr>
        <w:t xml:space="preserve"> יעקב”, הוסיף אבי </w:t>
      </w:r>
      <w:proofErr w:type="spellStart"/>
      <w:r>
        <w:rPr>
          <w:sz w:val="20"/>
          <w:szCs w:val="20"/>
          <w:rtl/>
        </w:rPr>
        <w:t>ש“בשאר</w:t>
      </w:r>
      <w:proofErr w:type="spellEnd"/>
      <w:r>
        <w:rPr>
          <w:sz w:val="20"/>
          <w:szCs w:val="20"/>
          <w:rtl/>
        </w:rPr>
        <w:t xml:space="preserve"> ימי חייו היה </w:t>
      </w:r>
      <w:proofErr w:type="spellStart"/>
      <w:r>
        <w:rPr>
          <w:sz w:val="20"/>
          <w:szCs w:val="20"/>
          <w:rtl/>
        </w:rPr>
        <w:t>המלבי״ם</w:t>
      </w:r>
      <w:proofErr w:type="spellEnd"/>
      <w:r>
        <w:rPr>
          <w:sz w:val="20"/>
          <w:szCs w:val="20"/>
          <w:rtl/>
        </w:rPr>
        <w:t xml:space="preserve"> מתבודד בשעת מנחה של שבת, ונשטף זיעה מחמת האימה שעוררו דברי </w:t>
      </w:r>
      <w:proofErr w:type="spellStart"/>
      <w:r>
        <w:rPr>
          <w:sz w:val="20"/>
          <w:szCs w:val="20"/>
          <w:rtl/>
        </w:rPr>
        <w:t>החתם־סופר</w:t>
      </w:r>
      <w:proofErr w:type="spellEnd"/>
      <w:r>
        <w:rPr>
          <w:sz w:val="20"/>
          <w:szCs w:val="20"/>
          <w:rtl/>
        </w:rPr>
        <w:t xml:space="preserve">”; ולפי “הגאון </w:t>
      </w:r>
      <w:proofErr w:type="spellStart"/>
      <w:r>
        <w:rPr>
          <w:sz w:val="20"/>
          <w:szCs w:val="20"/>
          <w:rtl/>
        </w:rPr>
        <w:t>מלבי״ם</w:t>
      </w:r>
      <w:proofErr w:type="spellEnd"/>
      <w:r>
        <w:rPr>
          <w:sz w:val="20"/>
          <w:szCs w:val="20"/>
          <w:rtl/>
        </w:rPr>
        <w:t xml:space="preserve">”, </w:t>
      </w:r>
      <w:proofErr w:type="spellStart"/>
      <w:r>
        <w:rPr>
          <w:sz w:val="20"/>
          <w:szCs w:val="20"/>
          <w:rtl/>
        </w:rPr>
        <w:t>המלבי״ם</w:t>
      </w:r>
      <w:proofErr w:type="spellEnd"/>
      <w:r>
        <w:rPr>
          <w:sz w:val="20"/>
          <w:szCs w:val="20"/>
          <w:rtl/>
        </w:rPr>
        <w:t xml:space="preserve"> אימץ את מנהג ההתבודדות בשעת מנחה של שבת לפני פגישתו עם </w:t>
      </w:r>
      <w:proofErr w:type="spellStart"/>
      <w:r>
        <w:rPr>
          <w:sz w:val="20"/>
          <w:szCs w:val="20"/>
          <w:rtl/>
        </w:rPr>
        <w:t>החתם־סופר</w:t>
      </w:r>
      <w:proofErr w:type="spellEnd"/>
      <w:r>
        <w:rPr>
          <w:sz w:val="20"/>
          <w:szCs w:val="20"/>
          <w:rtl/>
        </w:rPr>
        <w:t xml:space="preserve">, וזה מה שהביא לתקלה. אפשר ששעה זו של השבוע הייתה </w:t>
      </w:r>
      <w:proofErr w:type="spellStart"/>
      <w:r>
        <w:rPr>
          <w:sz w:val="20"/>
          <w:szCs w:val="20"/>
          <w:rtl/>
        </w:rPr>
        <w:t>למלבי״ם</w:t>
      </w:r>
      <w:proofErr w:type="spellEnd"/>
      <w:r>
        <w:rPr>
          <w:sz w:val="20"/>
          <w:szCs w:val="20"/>
          <w:rtl/>
        </w:rPr>
        <w:t xml:space="preserve"> תחילה רק שעת התבוננות, ואחרי מעשה </w:t>
      </w:r>
      <w:proofErr w:type="spellStart"/>
      <w:r>
        <w:rPr>
          <w:sz w:val="20"/>
          <w:szCs w:val="20"/>
          <w:rtl/>
        </w:rPr>
        <w:t>פרשבורג</w:t>
      </w:r>
      <w:proofErr w:type="spellEnd"/>
      <w:r>
        <w:rPr>
          <w:sz w:val="20"/>
          <w:szCs w:val="20"/>
          <w:rtl/>
        </w:rPr>
        <w:t xml:space="preserve"> נעשתה גם שעת אימה.</w:t>
      </w:r>
    </w:p>
    <w:p w14:paraId="7D4E1901" w14:textId="77777777" w:rsidR="00AB3647" w:rsidRDefault="00000000">
      <w:pPr>
        <w:spacing w:after="0" w:before="0"/>
        <w:jc w:val="both"/>
      </w:pPr>
      <w:r>
        <w:rPr>
          <w:sz w:val="20"/>
          <w:szCs w:val="20"/>
          <w:rtl/>
        </w:rPr>
        <w:t xml:space="preserve">לכאורה יש קושי בגרסת אבי, </w:t>
      </w:r>
      <w:proofErr w:type="spellStart"/>
      <w:r>
        <w:rPr>
          <w:sz w:val="20"/>
          <w:szCs w:val="20"/>
          <w:rtl/>
        </w:rPr>
        <w:t>שהמלבי״ם</w:t>
      </w:r>
      <w:proofErr w:type="spellEnd"/>
      <w:r>
        <w:rPr>
          <w:sz w:val="20"/>
          <w:szCs w:val="20"/>
          <w:rtl/>
        </w:rPr>
        <w:t xml:space="preserve"> מסר פלפול בבית הכנסת הגדול </w:t>
      </w:r>
      <w:proofErr w:type="spellStart"/>
      <w:r>
        <w:rPr>
          <w:sz w:val="20"/>
          <w:szCs w:val="20"/>
          <w:rtl/>
        </w:rPr>
        <w:t>בפרשבורג</w:t>
      </w:r>
      <w:proofErr w:type="spellEnd"/>
      <w:r>
        <w:rPr>
          <w:sz w:val="20"/>
          <w:szCs w:val="20"/>
          <w:rtl/>
        </w:rPr>
        <w:t xml:space="preserve">: הסכמת </w:t>
      </w:r>
      <w:proofErr w:type="spellStart"/>
      <w:r>
        <w:rPr>
          <w:sz w:val="20"/>
          <w:szCs w:val="20"/>
          <w:rtl/>
        </w:rPr>
        <w:t>החתם־סופר</w:t>
      </w:r>
      <w:proofErr w:type="spellEnd"/>
      <w:r>
        <w:rPr>
          <w:sz w:val="20"/>
          <w:szCs w:val="20"/>
          <w:rtl/>
        </w:rPr>
        <w:t xml:space="preserve"> נושאת את התאריך י״ב בתשרי תקצ״ה (יום רביעי), </w:t>
      </w:r>
      <w:proofErr w:type="spellStart"/>
      <w:r>
        <w:rPr>
          <w:sz w:val="20"/>
          <w:szCs w:val="20"/>
          <w:rtl/>
        </w:rPr>
        <w:t>והמלבי״ם</w:t>
      </w:r>
      <w:proofErr w:type="spellEnd"/>
      <w:r>
        <w:rPr>
          <w:sz w:val="20"/>
          <w:szCs w:val="20"/>
          <w:rtl/>
        </w:rPr>
        <w:t xml:space="preserve"> שהה בראש השנה </w:t>
      </w:r>
      <w:proofErr w:type="spellStart"/>
      <w:r>
        <w:rPr>
          <w:sz w:val="20"/>
          <w:szCs w:val="20"/>
          <w:rtl/>
        </w:rPr>
        <w:t>בניקלשבורג</w:t>
      </w:r>
      <w:proofErr w:type="spellEnd"/>
      <w:r>
        <w:rPr>
          <w:sz w:val="20"/>
          <w:szCs w:val="20"/>
          <w:rtl/>
        </w:rPr>
        <w:t xml:space="preserve"> וקיבל את הסכמת רבה, ר׳ נחום </w:t>
      </w:r>
      <w:proofErr w:type="spellStart"/>
      <w:r>
        <w:rPr>
          <w:sz w:val="20"/>
          <w:szCs w:val="20"/>
          <w:rtl/>
        </w:rPr>
        <w:t>טריביש</w:t>
      </w:r>
      <w:proofErr w:type="spellEnd"/>
      <w:r>
        <w:rPr>
          <w:sz w:val="20"/>
          <w:szCs w:val="20"/>
          <w:rtl/>
        </w:rPr>
        <w:t xml:space="preserve">, למחרת החג; אם כן, השבת שבה שהה </w:t>
      </w:r>
      <w:proofErr w:type="spellStart"/>
      <w:r>
        <w:rPr>
          <w:sz w:val="20"/>
          <w:szCs w:val="20"/>
          <w:rtl/>
        </w:rPr>
        <w:t>בפרשבורג</w:t>
      </w:r>
      <w:proofErr w:type="spellEnd"/>
      <w:r>
        <w:rPr>
          <w:sz w:val="20"/>
          <w:szCs w:val="20"/>
          <w:rtl/>
        </w:rPr>
        <w:t xml:space="preserve"> מוכרחה להיות שבת שובה – ובוודאי הרב הוא שדרש אז לפני הציבור, ולא אורחו. היישוב הוא </w:t>
      </w:r>
      <w:proofErr w:type="spellStart"/>
      <w:r>
        <w:rPr>
          <w:sz w:val="20"/>
          <w:szCs w:val="20"/>
          <w:rtl/>
        </w:rPr>
        <w:t>שהמלבי״ם</w:t>
      </w:r>
      <w:proofErr w:type="spellEnd"/>
      <w:r>
        <w:rPr>
          <w:sz w:val="20"/>
          <w:szCs w:val="20"/>
          <w:rtl/>
        </w:rPr>
        <w:t xml:space="preserve"> נשאר </w:t>
      </w:r>
      <w:proofErr w:type="spellStart"/>
      <w:r>
        <w:rPr>
          <w:sz w:val="20"/>
          <w:szCs w:val="20"/>
          <w:rtl/>
        </w:rPr>
        <w:t>בפרשבורג</w:t>
      </w:r>
      <w:proofErr w:type="spellEnd"/>
      <w:r>
        <w:rPr>
          <w:sz w:val="20"/>
          <w:szCs w:val="20"/>
          <w:rtl/>
        </w:rPr>
        <w:t xml:space="preserve"> אחרי תאריך הסכמת מארחו, והמעשה אירע </w:t>
      </w:r>
      <w:r>
        <w:rPr>
          <w:b/>
          <w:bCs/>
          <w:sz w:val="20"/>
          <w:szCs w:val="20"/>
          <w:rtl/>
        </w:rPr>
        <w:t>אחרי</w:t>
      </w:r>
      <w:r>
        <w:rPr>
          <w:sz w:val="20"/>
          <w:szCs w:val="20"/>
          <w:rtl/>
        </w:rPr>
        <w:t xml:space="preserve"> שכבר קיבל את ההסכמה: אם בשבת שחלה ביום טוב, ביום הראשון של סוכות או בשמיני עצרת, ואם בשבת בראשית, כ״ט בתשרי תקצ״ה.</w:t>
      </w:r>
    </w:p>
    <w:p w14:paraId="38222F94" w14:textId="77777777" w:rsidR="00AB3647" w:rsidRDefault="00000000">
      <w:pPr>
        <w:spacing w:after="0" w:before="0"/>
        <w:jc w:val="both"/>
      </w:pPr>
      <w:r>
        <w:rPr>
          <w:sz w:val="20"/>
          <w:szCs w:val="20"/>
          <w:rtl/>
        </w:rPr>
        <w:t xml:space="preserve">הדבר נתמך בנוסח הסכמת </w:t>
      </w:r>
      <w:proofErr w:type="spellStart"/>
      <w:r>
        <w:rPr>
          <w:sz w:val="20"/>
          <w:szCs w:val="20"/>
          <w:rtl/>
        </w:rPr>
        <w:t>החתם־סופר</w:t>
      </w:r>
      <w:proofErr w:type="spellEnd"/>
      <w:r>
        <w:rPr>
          <w:sz w:val="20"/>
          <w:szCs w:val="20"/>
          <w:rtl/>
        </w:rPr>
        <w:t xml:space="preserve"> </w:t>
      </w:r>
      <w:proofErr w:type="spellStart"/>
      <w:r>
        <w:rPr>
          <w:sz w:val="20"/>
          <w:szCs w:val="20"/>
          <w:rtl/>
        </w:rPr>
        <w:t>ל“ארצות</w:t>
      </w:r>
      <w:proofErr w:type="spellEnd"/>
      <w:r>
        <w:rPr>
          <w:sz w:val="20"/>
          <w:szCs w:val="20"/>
          <w:rtl/>
        </w:rPr>
        <w:t xml:space="preserve"> החיים”, שבה הוא מתנצל על שנתן אותה לפני ששהה עוד עם המבקש. הוא כותב: “צורכי העיר מרובים בימים קדושים אלו. לולא ראיתי את עדות גדולי ישראל [שכבר נתנו את הסכמותיהם, לא הייתי יכול לתת את שלי]... והיה בדעתי לשעשע עמו עוד כמה ימים. [אבל] אחר כך יגיעו ימי החג הקדוש סוכות, ואחריהם [יבואו] ימי הסתיו [שבהם] הדרך רחוקה. לפיכך אמרתי: יעיד החלק [שעיינתי בו] על השלם [הספר]”. (הוא מוסיף ומשבח את הדרך המיוחדת של “ארצות החיים” להגיע למסקנות “קרובות לאמיתה של תורה”.) מן הלשון עולה </w:t>
      </w:r>
      <w:proofErr w:type="spellStart"/>
      <w:r>
        <w:rPr>
          <w:sz w:val="20"/>
          <w:szCs w:val="20"/>
          <w:rtl/>
        </w:rPr>
        <w:t>שהמלבי״ם</w:t>
      </w:r>
      <w:proofErr w:type="spellEnd"/>
      <w:r>
        <w:rPr>
          <w:sz w:val="20"/>
          <w:szCs w:val="20"/>
          <w:rtl/>
        </w:rPr>
        <w:t xml:space="preserve"> התכוון להישאר בעיר לפחות עד אחרי סוכות – אבל לא זמן רב אחר כך, כשמזג האוויר הסתווי יקשה על הנסיעה בדרכים (“רחוקה”).</w:t>
      </w:r>
    </w:p>
  </w:footnote>
  <w:footnote w:id="4794">
    <w:p w14:paraId="1288101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רעו–</w:t>
      </w:r>
      <w:proofErr w:type="spellStart"/>
      <w:r>
        <w:rPr>
          <w:sz w:val="20"/>
          <w:szCs w:val="20"/>
          <w:rtl/>
        </w:rPr>
        <w:t>רעז</w:t>
      </w:r>
      <w:proofErr w:type="spellEnd"/>
      <w:r>
        <w:rPr>
          <w:sz w:val="20"/>
          <w:szCs w:val="20"/>
          <w:rtl/>
        </w:rPr>
        <w:t xml:space="preserve">, בשם הרב הראשי </w:t>
      </w:r>
      <w:proofErr w:type="spellStart"/>
      <w:r>
        <w:rPr>
          <w:sz w:val="20"/>
          <w:szCs w:val="20"/>
          <w:rtl/>
        </w:rPr>
        <w:t>יצחק־אייזיק</w:t>
      </w:r>
      <w:proofErr w:type="spellEnd"/>
      <w:r>
        <w:rPr>
          <w:sz w:val="20"/>
          <w:szCs w:val="20"/>
          <w:rtl/>
        </w:rPr>
        <w:t xml:space="preserve"> הרצוג.</w:t>
      </w:r>
    </w:p>
  </w:footnote>
  <w:footnote w:id="4795">
    <w:p w14:paraId="08DF101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בראש נספח זה.</w:t>
      </w:r>
    </w:p>
  </w:footnote>
  <w:footnote w:id="4796">
    <w:p w14:paraId="7078F6E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162–169.</w:t>
      </w:r>
    </w:p>
  </w:footnote>
  <w:footnote w:id="4797">
    <w:p w14:paraId="6BA3FC3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158 ו־192.</w:t>
      </w:r>
    </w:p>
  </w:footnote>
  <w:footnote w:id="4798">
    <w:p w14:paraId="0D109C9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מבוכה רבה שוררת בשאלת התאריך המדויק של פתיחת בית המדרש לרבנים. </w:t>
      </w:r>
      <w:proofErr w:type="spellStart"/>
      <w:r>
        <w:rPr>
          <w:sz w:val="20"/>
          <w:szCs w:val="20"/>
          <w:rtl/>
        </w:rPr>
        <w:t>אטקס</w:t>
      </w:r>
      <w:proofErr w:type="spellEnd"/>
      <w:r>
        <w:rPr>
          <w:sz w:val="20"/>
          <w:szCs w:val="20"/>
          <w:rtl/>
        </w:rPr>
        <w:t xml:space="preserve">, “ר׳ ישראל </w:t>
      </w:r>
      <w:proofErr w:type="spellStart"/>
      <w:r>
        <w:rPr>
          <w:sz w:val="20"/>
          <w:szCs w:val="20"/>
          <w:rtl/>
        </w:rPr>
        <w:t>סלנטר</w:t>
      </w:r>
      <w:proofErr w:type="spellEnd"/>
      <w:r>
        <w:rPr>
          <w:sz w:val="20"/>
          <w:szCs w:val="20"/>
          <w:rtl/>
        </w:rPr>
        <w:t xml:space="preserve"> וראשיתה של תנועת המוסר” (עמ׳ 161), מציין את תר״ח כשנת הפתיחה; יעקב מארק (עמ׳ 81–82) קובע את שנת החנוכה ל“1845”; “מקור ברוך” (שם, פרק 1, הפסקה הראשונה של נספח ב), עמ׳ 1084, קובע “תר״ה”; ומאמר מחקרי של יהודה </w:t>
      </w:r>
      <w:proofErr w:type="spellStart"/>
      <w:r>
        <w:rPr>
          <w:sz w:val="20"/>
          <w:szCs w:val="20"/>
          <w:rtl/>
        </w:rPr>
        <w:t>סלוצקי</w:t>
      </w:r>
      <w:proofErr w:type="spellEnd"/>
      <w:r>
        <w:rPr>
          <w:sz w:val="20"/>
          <w:szCs w:val="20"/>
          <w:rtl/>
        </w:rPr>
        <w:t xml:space="preserve">, “בית מדרש לרבנים בווילנה”, </w:t>
      </w:r>
      <w:proofErr w:type="spellStart"/>
      <w:r>
        <w:rPr>
          <w:sz w:val="20"/>
          <w:szCs w:val="20"/>
          <w:rtl/>
        </w:rPr>
        <w:t>ב“העבר</w:t>
      </w:r>
      <w:proofErr w:type="spellEnd"/>
      <w:r>
        <w:rPr>
          <w:sz w:val="20"/>
          <w:szCs w:val="20"/>
          <w:rtl/>
        </w:rPr>
        <w:t xml:space="preserve">”, חוברת ז (אייר </w:t>
      </w:r>
      <w:proofErr w:type="spellStart"/>
      <w:r>
        <w:rPr>
          <w:sz w:val="20"/>
          <w:szCs w:val="20"/>
          <w:rtl/>
        </w:rPr>
        <w:t>תש״ך</w:t>
      </w:r>
      <w:proofErr w:type="spellEnd"/>
      <w:r>
        <w:rPr>
          <w:sz w:val="20"/>
          <w:szCs w:val="20"/>
          <w:rtl/>
        </w:rPr>
        <w:t>), נותן יום מדויק: “י״ט בחשוון תר״ח (23.10.1847)”.</w:t>
      </w:r>
    </w:p>
    <w:p w14:paraId="5153D3AC" w14:textId="77777777" w:rsidR="00AB3647" w:rsidRDefault="00000000">
      <w:pPr>
        <w:spacing w:after="0" w:before="0"/>
        <w:jc w:val="both"/>
      </w:pPr>
      <w:proofErr w:type="spellStart"/>
      <w:r>
        <w:rPr>
          <w:sz w:val="20"/>
          <w:szCs w:val="20"/>
          <w:rtl/>
        </w:rPr>
        <w:t>סלוצקי</w:t>
      </w:r>
      <w:proofErr w:type="spellEnd"/>
      <w:r>
        <w:rPr>
          <w:sz w:val="20"/>
          <w:szCs w:val="20"/>
          <w:rtl/>
        </w:rPr>
        <w:t xml:space="preserve"> קיבל כנראה את התאריך המדויק לכאורה הזה מן החוברת המתרפסת “כבוד הבית” (</w:t>
      </w:r>
      <w:proofErr w:type="spellStart"/>
      <w:r>
        <w:rPr>
          <w:sz w:val="20"/>
          <w:szCs w:val="20"/>
          <w:rtl/>
        </w:rPr>
        <w:t>וילנא</w:t>
      </w:r>
      <w:proofErr w:type="spellEnd"/>
      <w:r>
        <w:rPr>
          <w:sz w:val="20"/>
          <w:szCs w:val="20"/>
          <w:rtl/>
        </w:rPr>
        <w:t xml:space="preserve">, תרי״ח, 1858) של יעקב </w:t>
      </w:r>
      <w:proofErr w:type="spellStart"/>
      <w:r>
        <w:rPr>
          <w:sz w:val="20"/>
          <w:szCs w:val="20"/>
          <w:rtl/>
        </w:rPr>
        <w:t>גורלאנד</w:t>
      </w:r>
      <w:proofErr w:type="spellEnd"/>
      <w:r>
        <w:rPr>
          <w:sz w:val="20"/>
          <w:szCs w:val="20"/>
          <w:rtl/>
        </w:rPr>
        <w:t xml:space="preserve"> (“אחד מתלמידי הרבנות המסיימים את תוכנית לימודיהם במחלקה העשירית”). אבל הוא הבחין שהתאריך הנקוב שם, “בשנת תר״ז (1847 לספירה)... י״ט בחשוון, שהוא כ״ג באוקטובר”, אינו מתאים, שהרי חשוון תר״ז חל ב־1846 ולא ב־1847. מאחר שראה בשנה הלועזית את הנתון הנכון, שינה </w:t>
      </w:r>
      <w:proofErr w:type="spellStart"/>
      <w:r>
        <w:rPr>
          <w:sz w:val="20"/>
          <w:szCs w:val="20"/>
          <w:rtl/>
        </w:rPr>
        <w:t>סלוצקי</w:t>
      </w:r>
      <w:proofErr w:type="spellEnd"/>
      <w:r>
        <w:rPr>
          <w:sz w:val="20"/>
          <w:szCs w:val="20"/>
          <w:rtl/>
        </w:rPr>
        <w:t xml:space="preserve"> את השנה העברית של </w:t>
      </w:r>
      <w:proofErr w:type="spellStart"/>
      <w:r>
        <w:rPr>
          <w:sz w:val="20"/>
          <w:szCs w:val="20"/>
          <w:rtl/>
        </w:rPr>
        <w:t>גורלאנד</w:t>
      </w:r>
      <w:proofErr w:type="spellEnd"/>
      <w:r>
        <w:rPr>
          <w:sz w:val="20"/>
          <w:szCs w:val="20"/>
          <w:rtl/>
        </w:rPr>
        <w:t xml:space="preserve"> </w:t>
      </w:r>
      <w:proofErr w:type="spellStart"/>
      <w:r>
        <w:rPr>
          <w:sz w:val="20"/>
          <w:szCs w:val="20"/>
          <w:rtl/>
        </w:rPr>
        <w:t>מתר״ז</w:t>
      </w:r>
      <w:proofErr w:type="spellEnd"/>
      <w:r>
        <w:rPr>
          <w:sz w:val="20"/>
          <w:szCs w:val="20"/>
          <w:rtl/>
        </w:rPr>
        <w:t xml:space="preserve"> </w:t>
      </w:r>
      <w:proofErr w:type="spellStart"/>
      <w:r>
        <w:rPr>
          <w:sz w:val="20"/>
          <w:szCs w:val="20"/>
          <w:rtl/>
        </w:rPr>
        <w:t>לתר״ח</w:t>
      </w:r>
      <w:proofErr w:type="spellEnd"/>
      <w:r>
        <w:rPr>
          <w:sz w:val="20"/>
          <w:szCs w:val="20"/>
          <w:rtl/>
        </w:rPr>
        <w:t xml:space="preserve"> – ולא הבחין שלא רק השנה טעונה תיקון, אלא גם היום!</w:t>
      </w:r>
    </w:p>
    <w:p w14:paraId="17EC5BA2" w14:textId="77777777" w:rsidR="00AB3647" w:rsidRDefault="00000000">
      <w:pPr>
        <w:spacing w:after="0" w:before="0"/>
        <w:jc w:val="both"/>
      </w:pPr>
      <w:r>
        <w:rPr>
          <w:sz w:val="20"/>
          <w:szCs w:val="20"/>
          <w:rtl/>
        </w:rPr>
        <w:t xml:space="preserve">בדיקת לוח לכל האפשרויות – של </w:t>
      </w:r>
      <w:proofErr w:type="spellStart"/>
      <w:r>
        <w:rPr>
          <w:sz w:val="20"/>
          <w:szCs w:val="20"/>
          <w:rtl/>
        </w:rPr>
        <w:t>אטקס</w:t>
      </w:r>
      <w:proofErr w:type="spellEnd"/>
      <w:r>
        <w:rPr>
          <w:sz w:val="20"/>
          <w:szCs w:val="20"/>
          <w:rtl/>
        </w:rPr>
        <w:t xml:space="preserve">, מארק, אפשטיין, </w:t>
      </w:r>
      <w:proofErr w:type="spellStart"/>
      <w:r>
        <w:rPr>
          <w:sz w:val="20"/>
          <w:szCs w:val="20"/>
          <w:rtl/>
        </w:rPr>
        <w:t>סלוצקי</w:t>
      </w:r>
      <w:proofErr w:type="spellEnd"/>
      <w:r>
        <w:rPr>
          <w:sz w:val="20"/>
          <w:szCs w:val="20"/>
          <w:rtl/>
        </w:rPr>
        <w:t xml:space="preserve"> </w:t>
      </w:r>
      <w:proofErr w:type="spellStart"/>
      <w:r>
        <w:rPr>
          <w:sz w:val="20"/>
          <w:szCs w:val="20"/>
          <w:rtl/>
        </w:rPr>
        <w:t>וגורלאנד</w:t>
      </w:r>
      <w:proofErr w:type="spellEnd"/>
      <w:r>
        <w:rPr>
          <w:sz w:val="20"/>
          <w:szCs w:val="20"/>
          <w:rtl/>
        </w:rPr>
        <w:t xml:space="preserve">, לרבות החלפות שגויות בין השנים העבריות ללועזיות – מראה שאין התאמה בין י״ט בחשוון לכ״ג באוקטובר לפי הלוח הישן (שהוא 4 בנובמבר לפי הלוח החדש). אם מתחילים מן התאריך הלועזי של </w:t>
      </w:r>
      <w:proofErr w:type="spellStart"/>
      <w:r>
        <w:rPr>
          <w:sz w:val="20"/>
          <w:szCs w:val="20"/>
          <w:rtl/>
        </w:rPr>
        <w:t>גורלאנד</w:t>
      </w:r>
      <w:proofErr w:type="spellEnd"/>
      <w:r>
        <w:rPr>
          <w:sz w:val="20"/>
          <w:szCs w:val="20"/>
          <w:rtl/>
        </w:rPr>
        <w:t xml:space="preserve">, 23 באוקטובר לפי הלוח הישן, הוא מקביל לד׳ בחשוון ב־1845, לט״ו בחשוון ב־1846, לכ״ה בחשוון ב־1847, ולשבת, ח׳ בחשוון, ב־1848. אם מתחילים מן התאריך העברי שלו, י״ט בחשוון, הוא מקביל ל־7 בנובמבר לפי הלוח הישן </w:t>
      </w:r>
      <w:proofErr w:type="spellStart"/>
      <w:r>
        <w:rPr>
          <w:sz w:val="20"/>
          <w:szCs w:val="20"/>
          <w:rtl/>
        </w:rPr>
        <w:t>בתר״ו</w:t>
      </w:r>
      <w:proofErr w:type="spellEnd"/>
      <w:r>
        <w:rPr>
          <w:sz w:val="20"/>
          <w:szCs w:val="20"/>
          <w:rtl/>
        </w:rPr>
        <w:t xml:space="preserve">, ליום ראשון, 27 באוקטובר לפי הלוח הישן, </w:t>
      </w:r>
      <w:proofErr w:type="spellStart"/>
      <w:r>
        <w:rPr>
          <w:sz w:val="20"/>
          <w:szCs w:val="20"/>
          <w:rtl/>
        </w:rPr>
        <w:t>בתר״ז</w:t>
      </w:r>
      <w:proofErr w:type="spellEnd"/>
      <w:r>
        <w:rPr>
          <w:sz w:val="20"/>
          <w:szCs w:val="20"/>
          <w:rtl/>
        </w:rPr>
        <w:t xml:space="preserve">, ליום שישי, 17 באוקטובר לפי הלוח הישן, </w:t>
      </w:r>
      <w:proofErr w:type="spellStart"/>
      <w:r>
        <w:rPr>
          <w:sz w:val="20"/>
          <w:szCs w:val="20"/>
          <w:rtl/>
        </w:rPr>
        <w:t>בתר״ח</w:t>
      </w:r>
      <w:proofErr w:type="spellEnd"/>
      <w:r>
        <w:rPr>
          <w:sz w:val="20"/>
          <w:szCs w:val="20"/>
          <w:rtl/>
        </w:rPr>
        <w:t xml:space="preserve">, ול־3 בנובמבר לפי הלוח הישן </w:t>
      </w:r>
      <w:proofErr w:type="spellStart"/>
      <w:r>
        <w:rPr>
          <w:sz w:val="20"/>
          <w:szCs w:val="20"/>
          <w:rtl/>
        </w:rPr>
        <w:t>בתר״ט</w:t>
      </w:r>
      <w:proofErr w:type="spellEnd"/>
      <w:r>
        <w:rPr>
          <w:sz w:val="20"/>
          <w:szCs w:val="20"/>
          <w:rtl/>
        </w:rPr>
        <w:t>. את ימי השבוע ציינתי בשלושה מן התאריכים האלה כדי להראות שיש לשלול אותם לגמרי: הם לא התאימו לחגיגה שהשתתפו בה יהודים, ולהבדיל פקידים נוצרים.</w:t>
      </w:r>
    </w:p>
    <w:p w14:paraId="618409C6" w14:textId="77777777" w:rsidR="00AB3647" w:rsidRDefault="00000000">
      <w:pPr>
        <w:spacing w:after="0" w:before="0"/>
        <w:jc w:val="both"/>
      </w:pPr>
      <w:r>
        <w:rPr>
          <w:sz w:val="20"/>
          <w:szCs w:val="20"/>
          <w:rtl/>
        </w:rPr>
        <w:t xml:space="preserve">מעורבותו האישית של </w:t>
      </w:r>
      <w:proofErr w:type="spellStart"/>
      <w:r>
        <w:rPr>
          <w:sz w:val="20"/>
          <w:szCs w:val="20"/>
          <w:rtl/>
        </w:rPr>
        <w:t>גורלאנד</w:t>
      </w:r>
      <w:proofErr w:type="spellEnd"/>
      <w:r>
        <w:rPr>
          <w:sz w:val="20"/>
          <w:szCs w:val="20"/>
          <w:rtl/>
        </w:rPr>
        <w:t xml:space="preserve"> בבית המדרש לרבנים, וכן שנת פרסום חוברתו – לעומת שאר המקורות שנזכרו לתאריך ייסוד המוסד – מאפשרות להניח שהשנה שנקב בה לחנוכת המוסד אמינה. לפיכך אפשר להסיק שהשנים האפשריות היחידות (אחרי שמביאים בחשבון את טעות החלפת השנים העבריות והלועזיות) הן תר״ז–1846 או תר״ח–1847, והימים הבאים בחשבון הם ט״ו בחשוון תר״ז (23 באוקטובר לפי הלוח הישן, 1846) או כ״ה בחשוון תר״ח (23 באוקטובר לפי הלוח הישן, 1847). משהוכח </w:t>
      </w:r>
      <w:proofErr w:type="spellStart"/>
      <w:r>
        <w:rPr>
          <w:sz w:val="20"/>
          <w:szCs w:val="20"/>
          <w:rtl/>
        </w:rPr>
        <w:t>שגורלאנד</w:t>
      </w:r>
      <w:proofErr w:type="spellEnd"/>
      <w:r>
        <w:rPr>
          <w:sz w:val="20"/>
          <w:szCs w:val="20"/>
          <w:rtl/>
        </w:rPr>
        <w:t xml:space="preserve"> דייק יותר ביום הלועזי, אפשר להניח שהקפיד יותר גם על השנה הלועזית. אין בזה שום פלא אצל תלמיד במוסד שבו “היו בקיאים רק בשפות זרות ובמקצועות המדעים, ואילו המקצועות הנוגעים לנו כיהודים לא נחשבו, ולא הובאו בחשבון, ואף לא עלו על הדעת כלל” (מתוך ציטוט בן הזמן המובא במאמרו של </w:t>
      </w:r>
      <w:proofErr w:type="spellStart"/>
      <w:r>
        <w:rPr>
          <w:sz w:val="20"/>
          <w:szCs w:val="20"/>
          <w:rtl/>
        </w:rPr>
        <w:t>סלוצקי</w:t>
      </w:r>
      <w:proofErr w:type="spellEnd"/>
      <w:r>
        <w:rPr>
          <w:sz w:val="20"/>
          <w:szCs w:val="20"/>
          <w:rtl/>
        </w:rPr>
        <w:t>).</w:t>
      </w:r>
    </w:p>
    <w:p w14:paraId="2177EC6A" w14:textId="77777777" w:rsidR="00AB3647" w:rsidRDefault="00000000">
      <w:pPr>
        <w:spacing w:after="0" w:before="0"/>
        <w:jc w:val="both"/>
      </w:pPr>
      <w:r>
        <w:rPr>
          <w:sz w:val="20"/>
          <w:szCs w:val="20"/>
          <w:rtl/>
        </w:rPr>
        <w:t xml:space="preserve">השווה גם ספרו של אותו מחבר, “תנועת ההשכלה ביהדות רוסיה” (החברה ההיסטורית הישראלית, ירושלים, תשל״ז), עמ׳ 84, המצטט שיר </w:t>
      </w:r>
      <w:proofErr w:type="spellStart"/>
      <w:r>
        <w:rPr>
          <w:sz w:val="20"/>
          <w:szCs w:val="20"/>
          <w:rtl/>
        </w:rPr>
        <w:t>מ“הכרם</w:t>
      </w:r>
      <w:proofErr w:type="spellEnd"/>
      <w:r>
        <w:rPr>
          <w:sz w:val="20"/>
          <w:szCs w:val="20"/>
          <w:rtl/>
        </w:rPr>
        <w:t>” (</w:t>
      </w:r>
      <w:proofErr w:type="spellStart"/>
      <w:r>
        <w:rPr>
          <w:sz w:val="20"/>
          <w:szCs w:val="20"/>
          <w:rtl/>
        </w:rPr>
        <w:t>ווארשא</w:t>
      </w:r>
      <w:proofErr w:type="spellEnd"/>
      <w:r>
        <w:rPr>
          <w:sz w:val="20"/>
          <w:szCs w:val="20"/>
          <w:rtl/>
        </w:rPr>
        <w:t xml:space="preserve">, תרמ״ח) של יצחק </w:t>
      </w:r>
      <w:proofErr w:type="spellStart"/>
      <w:r>
        <w:rPr>
          <w:sz w:val="20"/>
          <w:szCs w:val="20"/>
          <w:rtl/>
        </w:rPr>
        <w:t>רבינוביץ</w:t>
      </w:r>
      <w:proofErr w:type="spellEnd"/>
      <w:r>
        <w:rPr>
          <w:sz w:val="20"/>
          <w:szCs w:val="20"/>
          <w:rtl/>
        </w:rPr>
        <w:t xml:space="preserve"> (“ממשוררי ההשכלה”), שהיגר לאמריקה </w:t>
      </w:r>
      <w:proofErr w:type="spellStart"/>
      <w:r>
        <w:rPr>
          <w:sz w:val="20"/>
          <w:szCs w:val="20"/>
          <w:rtl/>
        </w:rPr>
        <w:t>בתרנ״ג</w:t>
      </w:r>
      <w:proofErr w:type="spellEnd"/>
      <w:r>
        <w:rPr>
          <w:sz w:val="20"/>
          <w:szCs w:val="20"/>
          <w:rtl/>
        </w:rPr>
        <w:t xml:space="preserve">. השיר מבטא את אכזבתם הגמורה של המשכילים (הדתיים במקצת והישרים) כשהוא מצהיר: “בית מדרש לרבנים, לו גדולות </w:t>
      </w:r>
      <w:proofErr w:type="spellStart"/>
      <w:r>
        <w:rPr>
          <w:sz w:val="20"/>
          <w:szCs w:val="20"/>
          <w:rtl/>
        </w:rPr>
        <w:t>קיוינו</w:t>
      </w:r>
      <w:proofErr w:type="spellEnd"/>
      <w:r>
        <w:rPr>
          <w:sz w:val="20"/>
          <w:szCs w:val="20"/>
          <w:rtl/>
        </w:rPr>
        <w:t xml:space="preserve">... הראה לדעת כי </w:t>
      </w:r>
      <w:proofErr w:type="spellStart"/>
      <w:r>
        <w:rPr>
          <w:sz w:val="20"/>
          <w:szCs w:val="20"/>
          <w:rtl/>
        </w:rPr>
        <w:t>נתעים</w:t>
      </w:r>
      <w:proofErr w:type="spellEnd"/>
      <w:r>
        <w:rPr>
          <w:sz w:val="20"/>
          <w:szCs w:val="20"/>
          <w:rtl/>
        </w:rPr>
        <w:t xml:space="preserve"> היינו, </w:t>
      </w:r>
      <w:r>
        <w:rPr>
          <w:b/>
          <w:bCs/>
          <w:sz w:val="20"/>
          <w:szCs w:val="20"/>
          <w:rtl/>
        </w:rPr>
        <w:t>כי אף רב אחד לא יצא כאשר עם לבבנו</w:t>
      </w:r>
      <w:r>
        <w:rPr>
          <w:sz w:val="20"/>
          <w:szCs w:val="20"/>
          <w:rtl/>
        </w:rPr>
        <w:t>” (ההדגשה שלי).</w:t>
      </w:r>
    </w:p>
    <w:p w14:paraId="10B55F2D" w14:textId="77777777" w:rsidR="00AB3647" w:rsidRDefault="00000000">
      <w:pPr>
        <w:spacing w:after="0" w:before="0"/>
        <w:jc w:val="both"/>
      </w:pPr>
      <w:r>
        <w:rPr>
          <w:sz w:val="20"/>
          <w:szCs w:val="20"/>
          <w:rtl/>
        </w:rPr>
        <w:t xml:space="preserve">נמצא </w:t>
      </w:r>
      <w:proofErr w:type="spellStart"/>
      <w:r>
        <w:rPr>
          <w:sz w:val="20"/>
          <w:szCs w:val="20"/>
          <w:rtl/>
        </w:rPr>
        <w:t>שתר״ז</w:t>
      </w:r>
      <w:proofErr w:type="spellEnd"/>
      <w:r>
        <w:rPr>
          <w:sz w:val="20"/>
          <w:szCs w:val="20"/>
          <w:rtl/>
        </w:rPr>
        <w:t xml:space="preserve"> של </w:t>
      </w:r>
      <w:proofErr w:type="spellStart"/>
      <w:r>
        <w:rPr>
          <w:sz w:val="20"/>
          <w:szCs w:val="20"/>
          <w:rtl/>
        </w:rPr>
        <w:t>גורלאנד</w:t>
      </w:r>
      <w:proofErr w:type="spellEnd"/>
      <w:r>
        <w:rPr>
          <w:sz w:val="20"/>
          <w:szCs w:val="20"/>
          <w:rtl/>
        </w:rPr>
        <w:t xml:space="preserve"> הייתה צריכה להיות תר״ח, ושנת תר״ח היא שנת ייסוד המוסד. גם מקורות שנחקרו היטב – “מוסד ‘הרבנות מטעם’ ברוסיה” של עזריאל שוחט (הוצאת אוניברסיטת חיפה, תשל״ו), עמ׳ 20, </w:t>
      </w:r>
      <w:proofErr w:type="spellStart"/>
      <w:r>
        <w:rPr>
          <w:sz w:val="20"/>
          <w:szCs w:val="20"/>
          <w:rtl/>
        </w:rPr>
        <w:t>ואטקס</w:t>
      </w:r>
      <w:proofErr w:type="spellEnd"/>
      <w:r>
        <w:rPr>
          <w:sz w:val="20"/>
          <w:szCs w:val="20"/>
          <w:rtl/>
        </w:rPr>
        <w:t xml:space="preserve">, “ר׳ ישראל </w:t>
      </w:r>
      <w:proofErr w:type="spellStart"/>
      <w:r>
        <w:rPr>
          <w:sz w:val="20"/>
          <w:szCs w:val="20"/>
          <w:rtl/>
        </w:rPr>
        <w:t>סלנטר</w:t>
      </w:r>
      <w:proofErr w:type="spellEnd"/>
      <w:r>
        <w:rPr>
          <w:sz w:val="20"/>
          <w:szCs w:val="20"/>
          <w:rtl/>
        </w:rPr>
        <w:t xml:space="preserve"> וראשיתה של תנועת המוסר”, עמ׳ 161 – נותנים את התאריכים “אוקטובר 1847” </w:t>
      </w:r>
      <w:proofErr w:type="spellStart"/>
      <w:r>
        <w:rPr>
          <w:sz w:val="20"/>
          <w:szCs w:val="20"/>
          <w:rtl/>
        </w:rPr>
        <w:t>ו“תר״ח</w:t>
      </w:r>
      <w:proofErr w:type="spellEnd"/>
      <w:r>
        <w:rPr>
          <w:sz w:val="20"/>
          <w:szCs w:val="20"/>
          <w:rtl/>
        </w:rPr>
        <w:t>”, בהתאמה, ויש להניח שזה התאריך הנכון. “</w:t>
      </w:r>
      <w:proofErr w:type="spellStart"/>
      <w:r>
        <w:rPr>
          <w:sz w:val="20"/>
          <w:szCs w:val="20"/>
          <w:rtl/>
        </w:rPr>
        <w:t>זכרון</w:t>
      </w:r>
      <w:proofErr w:type="spellEnd"/>
      <w:r>
        <w:rPr>
          <w:sz w:val="20"/>
          <w:szCs w:val="20"/>
          <w:rtl/>
        </w:rPr>
        <w:t xml:space="preserve"> יעקב” (שם, פרק 1, הערה 1), כרך א, עמ׳ 178, הקובע “תר״ח=1848”, טעה באותו סוג טעות של </w:t>
      </w:r>
      <w:proofErr w:type="spellStart"/>
      <w:r>
        <w:rPr>
          <w:sz w:val="20"/>
          <w:szCs w:val="20"/>
          <w:rtl/>
        </w:rPr>
        <w:t>גורלאנד</w:t>
      </w:r>
      <w:proofErr w:type="spellEnd"/>
      <w:r>
        <w:rPr>
          <w:sz w:val="20"/>
          <w:szCs w:val="20"/>
          <w:rtl/>
        </w:rPr>
        <w:t xml:space="preserve"> – אלא שמחברו דייק, מטבע הדברים, בשנה העברית והצמיד לה שנה לועזית שגויה! היה צריך להיכתב “תר״ח=1847”. היום המדויק שבו נוסד בית המדרש לרבנים בווילנה הוא אפוא כ״ה בחשוון תר״ח (23 באוקטובר לפי הלוח הישן, 1847), יום חמישי.</w:t>
      </w:r>
    </w:p>
    <w:p w14:paraId="1910EB76" w14:textId="77777777" w:rsidR="00AB3647" w:rsidRDefault="00000000">
      <w:pPr>
        <w:spacing w:after="0" w:before="0"/>
        <w:jc w:val="both"/>
      </w:pPr>
      <w:proofErr w:type="spellStart"/>
      <w:r>
        <w:rPr>
          <w:sz w:val="20"/>
          <w:szCs w:val="20"/>
          <w:rtl/>
        </w:rPr>
        <w:t>גורלאנד</w:t>
      </w:r>
      <w:proofErr w:type="spellEnd"/>
      <w:r>
        <w:rPr>
          <w:sz w:val="20"/>
          <w:szCs w:val="20"/>
          <w:rtl/>
        </w:rPr>
        <w:t xml:space="preserve"> הגיע כנראה להתאמה המוטעית בין י״ט בחשוון ל־23 באוקטובר באחת משתי דרכים. האחת: כשכתב (</w:t>
      </w:r>
      <w:proofErr w:type="spellStart"/>
      <w:r>
        <w:rPr>
          <w:sz w:val="20"/>
          <w:szCs w:val="20"/>
          <w:rtl/>
        </w:rPr>
        <w:t>בתרי״ח</w:t>
      </w:r>
      <w:proofErr w:type="spellEnd"/>
      <w:r>
        <w:rPr>
          <w:sz w:val="20"/>
          <w:szCs w:val="20"/>
          <w:rtl/>
        </w:rPr>
        <w:t xml:space="preserve">) על מאורע </w:t>
      </w:r>
      <w:proofErr w:type="spellStart"/>
      <w:r>
        <w:rPr>
          <w:sz w:val="20"/>
          <w:szCs w:val="20"/>
          <w:rtl/>
        </w:rPr>
        <w:t>מתר״ח</w:t>
      </w:r>
      <w:proofErr w:type="spellEnd"/>
      <w:r>
        <w:rPr>
          <w:sz w:val="20"/>
          <w:szCs w:val="20"/>
          <w:rtl/>
        </w:rPr>
        <w:t xml:space="preserve">, השתמש מסיבה לא ידועה בלוח של שנת תר״י – השנה היחידה מאז תקס״ד [!] ועד שנת הפרסום שבשער חוברתו, שבה התאימו שני התאריכים. השנייה – אפשרות מוזרה, אך לא דחוקה כמוה – שהחוברת לא נדפסה </w:t>
      </w:r>
      <w:proofErr w:type="spellStart"/>
      <w:r>
        <w:rPr>
          <w:sz w:val="20"/>
          <w:szCs w:val="20"/>
          <w:rtl/>
        </w:rPr>
        <w:t>ב“תרי״ח</w:t>
      </w:r>
      <w:proofErr w:type="spellEnd"/>
      <w:r>
        <w:rPr>
          <w:sz w:val="20"/>
          <w:szCs w:val="20"/>
          <w:rtl/>
        </w:rPr>
        <w:t xml:space="preserve">, 1858”, כפי שטוען השער, אלא שלוש שנים אחר כך, </w:t>
      </w:r>
      <w:proofErr w:type="spellStart"/>
      <w:r>
        <w:rPr>
          <w:sz w:val="20"/>
          <w:szCs w:val="20"/>
          <w:rtl/>
        </w:rPr>
        <w:t>בתרכ״א</w:t>
      </w:r>
      <w:proofErr w:type="spellEnd"/>
      <w:r>
        <w:rPr>
          <w:sz w:val="20"/>
          <w:szCs w:val="20"/>
          <w:rtl/>
        </w:rPr>
        <w:t xml:space="preserve">, כששני התאריכים חזרו והתאימו. לפי האפשרות השנייה, המחבר פשוט עיין בלוח שהיה תקף בשעת פרסום החוברת, ולא עצר לבדוק כיצד התאימו שני התאריכים </w:t>
      </w:r>
      <w:proofErr w:type="spellStart"/>
      <w:r>
        <w:rPr>
          <w:sz w:val="20"/>
          <w:szCs w:val="20"/>
          <w:rtl/>
        </w:rPr>
        <w:t>שלוש־עשרה</w:t>
      </w:r>
      <w:proofErr w:type="spellEnd"/>
      <w:r>
        <w:rPr>
          <w:sz w:val="20"/>
          <w:szCs w:val="20"/>
          <w:rtl/>
        </w:rPr>
        <w:t xml:space="preserve"> שנה קודם לכן!</w:t>
      </w:r>
    </w:p>
    <w:p w14:paraId="3925C47E" w14:textId="77777777" w:rsidR="00AB3647" w:rsidRDefault="00000000">
      <w:pPr>
        <w:spacing w:after="0" w:before="0"/>
        <w:jc w:val="both"/>
      </w:pPr>
      <w:r>
        <w:rPr>
          <w:sz w:val="20"/>
          <w:szCs w:val="20"/>
          <w:rtl/>
        </w:rPr>
        <w:t xml:space="preserve">הסיבה להקדמת שנת הפרסום בשער עשויה להיות קשורה במוזרות כלשהי של הצנזורה הצארית, או בפרט </w:t>
      </w:r>
      <w:proofErr w:type="spellStart"/>
      <w:r>
        <w:rPr>
          <w:sz w:val="20"/>
          <w:szCs w:val="20"/>
          <w:rtl/>
        </w:rPr>
        <w:t>מקריירתו</w:t>
      </w:r>
      <w:proofErr w:type="spellEnd"/>
      <w:r>
        <w:rPr>
          <w:sz w:val="20"/>
          <w:szCs w:val="20"/>
          <w:rtl/>
        </w:rPr>
        <w:t xml:space="preserve"> האישית של יעקב </w:t>
      </w:r>
      <w:proofErr w:type="spellStart"/>
      <w:r>
        <w:rPr>
          <w:sz w:val="20"/>
          <w:szCs w:val="20"/>
          <w:rtl/>
        </w:rPr>
        <w:t>גורלאנד</w:t>
      </w:r>
      <w:proofErr w:type="spellEnd"/>
      <w:r>
        <w:rPr>
          <w:sz w:val="20"/>
          <w:szCs w:val="20"/>
          <w:rtl/>
        </w:rPr>
        <w:t xml:space="preserve">. (לא הצלחתי לגלות עוד על מחבר החוברת, אבל יש “ח״י </w:t>
      </w:r>
      <w:proofErr w:type="spellStart"/>
      <w:r>
        <w:rPr>
          <w:sz w:val="20"/>
          <w:szCs w:val="20"/>
          <w:rtl/>
        </w:rPr>
        <w:t>גורלאנד</w:t>
      </w:r>
      <w:proofErr w:type="spellEnd"/>
      <w:r>
        <w:rPr>
          <w:sz w:val="20"/>
          <w:szCs w:val="20"/>
          <w:rtl/>
        </w:rPr>
        <w:t xml:space="preserve">” שהיה מנהלה של חברת מפיצי השכלה, ולימים רבה של אודסה, לפי יעקב מארק, עמ׳ 279.) אפשר שהפעילות נגד השלטון, שהובילה לסגירת בית המדרש </w:t>
      </w:r>
      <w:proofErr w:type="spellStart"/>
      <w:r>
        <w:rPr>
          <w:sz w:val="20"/>
          <w:szCs w:val="20"/>
          <w:rtl/>
        </w:rPr>
        <w:t>בתרל״ב</w:t>
      </w:r>
      <w:proofErr w:type="spellEnd"/>
      <w:r>
        <w:rPr>
          <w:sz w:val="20"/>
          <w:szCs w:val="20"/>
          <w:rtl/>
        </w:rPr>
        <w:t xml:space="preserve"> (ראה להלן), התחילה להופיע כבר </w:t>
      </w:r>
      <w:proofErr w:type="spellStart"/>
      <w:r>
        <w:rPr>
          <w:sz w:val="20"/>
          <w:szCs w:val="20"/>
          <w:rtl/>
        </w:rPr>
        <w:t>בתרכ״א</w:t>
      </w:r>
      <w:proofErr w:type="spellEnd"/>
      <w:r>
        <w:rPr>
          <w:sz w:val="20"/>
          <w:szCs w:val="20"/>
          <w:rtl/>
        </w:rPr>
        <w:t xml:space="preserve">, ופרסום המשבח את המוסד החשוד לא היה זוכה לאישור; ואילו כשתוארכה החוברת שלוש שנים קודם לכן, כשבית המדרש עדיין נחשב נאמן, יכול היה הצנזור לתת את אישורו. ממצא זה, שתאריך הפרסום הוקדם, עשוי לשמש את ההיסטוריון שיחקור מדוע יצאה חוברת התעמולה בכלל </w:t>
      </w:r>
      <w:proofErr w:type="spellStart"/>
      <w:r>
        <w:rPr>
          <w:sz w:val="20"/>
          <w:szCs w:val="20"/>
          <w:rtl/>
        </w:rPr>
        <w:t>אחת־עשרה</w:t>
      </w:r>
      <w:proofErr w:type="spellEnd"/>
      <w:r>
        <w:rPr>
          <w:sz w:val="20"/>
          <w:szCs w:val="20"/>
          <w:rtl/>
        </w:rPr>
        <w:t xml:space="preserve"> [או </w:t>
      </w:r>
      <w:proofErr w:type="spellStart"/>
      <w:r>
        <w:rPr>
          <w:sz w:val="20"/>
          <w:szCs w:val="20"/>
          <w:rtl/>
        </w:rPr>
        <w:t>ארבע־עשרה</w:t>
      </w:r>
      <w:proofErr w:type="spellEnd"/>
      <w:r>
        <w:rPr>
          <w:sz w:val="20"/>
          <w:szCs w:val="20"/>
          <w:rtl/>
        </w:rPr>
        <w:t>] שנה לפני שהממשלה סגרה את בית המדרש.</w:t>
      </w:r>
    </w:p>
  </w:footnote>
  <w:footnote w:id="4799">
    <w:p w14:paraId="78EFD93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191, הערה 1.</w:t>
      </w:r>
    </w:p>
  </w:footnote>
  <w:footnote w:id="4800">
    <w:p w14:paraId="246CB26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מאמר </w:t>
      </w:r>
      <w:proofErr w:type="spellStart"/>
      <w:r>
        <w:rPr>
          <w:sz w:val="20"/>
          <w:szCs w:val="20"/>
          <w:rtl/>
        </w:rPr>
        <w:t>סלוצקי</w:t>
      </w:r>
      <w:proofErr w:type="spellEnd"/>
      <w:r>
        <w:rPr>
          <w:sz w:val="20"/>
          <w:szCs w:val="20"/>
          <w:rtl/>
        </w:rPr>
        <w:t xml:space="preserve"> </w:t>
      </w:r>
      <w:proofErr w:type="spellStart"/>
      <w:r>
        <w:rPr>
          <w:sz w:val="20"/>
          <w:szCs w:val="20"/>
          <w:rtl/>
        </w:rPr>
        <w:t>ו“כבוד</w:t>
      </w:r>
      <w:proofErr w:type="spellEnd"/>
      <w:r>
        <w:rPr>
          <w:sz w:val="20"/>
          <w:szCs w:val="20"/>
          <w:rtl/>
        </w:rPr>
        <w:t xml:space="preserve"> הבית” (עמ׳ 42–43), שניהם נזכרו בהערת שוליים </w:t>
      </w:r>
      <w:r>
        <w:rPr>
          <w:sz w:val="20"/>
          <w:szCs w:val="20"/>
          <w:rtl/>
        </w:rPr>
        <w:fldChar w:fldCharType="begin" w:dirty="true"/>
      </w:r>
      <w:r>
        <w:rPr>
          <w:sz w:val="20"/>
          <w:szCs w:val="20"/>
          <w:rtl/>
        </w:rPr>
        <w:instrText xml:space="preserve"> NOTEREF fx_ref_560 \h </w:instrText>
      </w:r>
      <w:r>
        <w:rPr>
          <w:sz w:val="20"/>
          <w:szCs w:val="20"/>
          <w:rtl/>
        </w:rPr>
      </w:r>
      <w:r>
        <w:rPr>
          <w:sz w:val="20"/>
          <w:szCs w:val="20"/>
          <w:rtl/>
        </w:rPr>
        <w:fldChar w:fldCharType="separate"/>
      </w:r>
      <w:r w:rsidR="007923E9">
        <w:rPr>
          <w:sz w:val="20"/>
          <w:szCs w:val="20"/>
          <w:rtl/>
        </w:rPr>
        <w:t>321</w:t>
      </w:r>
      <w:r>
        <w:rPr>
          <w:sz w:val="20"/>
          <w:szCs w:val="20"/>
          <w:rtl/>
        </w:rPr>
        <w:fldChar w:fldCharType="end"/>
      </w:r>
      <w:r>
        <w:rPr>
          <w:sz w:val="20"/>
          <w:szCs w:val="20"/>
          <w:rtl/>
        </w:rPr>
        <w:t xml:space="preserve"> הקודמת.</w:t>
      </w:r>
    </w:p>
  </w:footnote>
  <w:footnote w:id="4801">
    <w:p w14:paraId="7903EAE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w:t>
      </w:r>
      <w:proofErr w:type="spellStart"/>
      <w:r>
        <w:rPr>
          <w:sz w:val="20"/>
          <w:szCs w:val="20"/>
          <w:rtl/>
        </w:rPr>
        <w:t>צבי־הירש</w:t>
      </w:r>
      <w:proofErr w:type="spellEnd"/>
      <w:r>
        <w:rPr>
          <w:sz w:val="20"/>
          <w:szCs w:val="20"/>
          <w:rtl/>
        </w:rPr>
        <w:t xml:space="preserve"> פרבר, שאשתו הייתה נכדת אחיו של ר׳ ישראל, טועה בסדר הזמנים </w:t>
      </w:r>
      <w:proofErr w:type="spellStart"/>
      <w:r>
        <w:rPr>
          <w:sz w:val="20"/>
          <w:szCs w:val="20"/>
          <w:rtl/>
        </w:rPr>
        <w:t>ב“שערי</w:t>
      </w:r>
      <w:proofErr w:type="spellEnd"/>
      <w:r>
        <w:rPr>
          <w:sz w:val="20"/>
          <w:szCs w:val="20"/>
          <w:rtl/>
        </w:rPr>
        <w:t xml:space="preserve"> ציון” (שם, פרק 1, הערה 11), עמ׳ לב–לג. הוא קושר את ההצעה </w:t>
      </w:r>
      <w:proofErr w:type="spellStart"/>
      <w:r>
        <w:rPr>
          <w:sz w:val="20"/>
          <w:szCs w:val="20"/>
          <w:rtl/>
        </w:rPr>
        <w:t>לר</w:t>
      </w:r>
      <w:proofErr w:type="spellEnd"/>
      <w:r>
        <w:rPr>
          <w:sz w:val="20"/>
          <w:szCs w:val="20"/>
          <w:rtl/>
        </w:rPr>
        <w:t>׳ ישראל לזמן שבו “אפילו תומכי בית המדרש לרבנים הודו שהתלמידים היו בורים ושוטים, שכל עניינם בתארים החילוניים שלהם... וכשראו שלב הציבור החרדי כולו פנה מהם, המציאו תחבולות שונות וגייסו את כוח השלטון כדי למשוך” את ר׳ ישראל פנימה.</w:t>
      </w:r>
    </w:p>
    <w:p w14:paraId="2657C4E9" w14:textId="77777777" w:rsidR="00AB3647" w:rsidRDefault="00000000">
      <w:pPr>
        <w:spacing w:after="0" w:before="0"/>
        <w:jc w:val="both"/>
      </w:pPr>
      <w:r>
        <w:rPr>
          <w:sz w:val="20"/>
          <w:szCs w:val="20"/>
          <w:rtl/>
        </w:rPr>
        <w:t xml:space="preserve">טעות בולטת אחרת בסדר הזמנים, שם בעמ׳ לג–לד, היא שר׳ </w:t>
      </w:r>
      <w:proofErr w:type="spellStart"/>
      <w:r>
        <w:rPr>
          <w:sz w:val="20"/>
          <w:szCs w:val="20"/>
          <w:rtl/>
        </w:rPr>
        <w:t>צבי־הירש</w:t>
      </w:r>
      <w:proofErr w:type="spellEnd"/>
      <w:r>
        <w:rPr>
          <w:sz w:val="20"/>
          <w:szCs w:val="20"/>
          <w:rtl/>
        </w:rPr>
        <w:t xml:space="preserve"> פרבר קושר את ייסוד הכולל בקובנה לשהיית ר׳ ישראל </w:t>
      </w:r>
      <w:proofErr w:type="spellStart"/>
      <w:r>
        <w:rPr>
          <w:sz w:val="20"/>
          <w:szCs w:val="20"/>
          <w:rtl/>
        </w:rPr>
        <w:t>בנביאזר</w:t>
      </w:r>
      <w:proofErr w:type="spellEnd"/>
      <w:r>
        <w:rPr>
          <w:sz w:val="20"/>
          <w:szCs w:val="20"/>
          <w:rtl/>
        </w:rPr>
        <w:t xml:space="preserve"> </w:t>
      </w:r>
      <w:proofErr w:type="spellStart"/>
      <w:r>
        <w:rPr>
          <w:sz w:val="20"/>
          <w:szCs w:val="20"/>
          <w:rtl/>
        </w:rPr>
        <w:t>קלויז</w:t>
      </w:r>
      <w:proofErr w:type="spellEnd"/>
      <w:r>
        <w:rPr>
          <w:sz w:val="20"/>
          <w:szCs w:val="20"/>
          <w:rtl/>
        </w:rPr>
        <w:t xml:space="preserve">: הכולל נוסד </w:t>
      </w:r>
      <w:proofErr w:type="spellStart"/>
      <w:r>
        <w:rPr>
          <w:sz w:val="20"/>
          <w:szCs w:val="20"/>
          <w:rtl/>
        </w:rPr>
        <w:t>בתרל״ז</w:t>
      </w:r>
      <w:proofErr w:type="spellEnd"/>
      <w:r>
        <w:rPr>
          <w:sz w:val="20"/>
          <w:szCs w:val="20"/>
          <w:rtl/>
        </w:rPr>
        <w:t xml:space="preserve">, ואילו השהייה </w:t>
      </w:r>
      <w:proofErr w:type="spellStart"/>
      <w:r>
        <w:rPr>
          <w:sz w:val="20"/>
          <w:szCs w:val="20"/>
          <w:rtl/>
        </w:rPr>
        <w:t>בקלויז</w:t>
      </w:r>
      <w:proofErr w:type="spellEnd"/>
      <w:r>
        <w:rPr>
          <w:sz w:val="20"/>
          <w:szCs w:val="20"/>
          <w:rtl/>
        </w:rPr>
        <w:t xml:space="preserve"> נמשכה שש שנים, שני עשורים קודם לכן, </w:t>
      </w:r>
      <w:proofErr w:type="spellStart"/>
      <w:r>
        <w:rPr>
          <w:sz w:val="20"/>
          <w:szCs w:val="20"/>
          <w:rtl/>
        </w:rPr>
        <w:t>מתרי״א</w:t>
      </w:r>
      <w:proofErr w:type="spellEnd"/>
      <w:r>
        <w:rPr>
          <w:sz w:val="20"/>
          <w:szCs w:val="20"/>
          <w:rtl/>
        </w:rPr>
        <w:t xml:space="preserve"> עד תרי״ז. השווה גם פרק 4, הפסקה השנייה של נספח ז, שבה אני מבאר טעות שטעה ר׳ </w:t>
      </w:r>
      <w:proofErr w:type="spellStart"/>
      <w:r>
        <w:rPr>
          <w:sz w:val="20"/>
          <w:szCs w:val="20"/>
          <w:rtl/>
        </w:rPr>
        <w:t>צבי־הירש</w:t>
      </w:r>
      <w:proofErr w:type="spellEnd"/>
      <w:r>
        <w:rPr>
          <w:sz w:val="20"/>
          <w:szCs w:val="20"/>
          <w:rtl/>
        </w:rPr>
        <w:t xml:space="preserve"> פרבר בהבנת שיחה עם מקובל גדול.</w:t>
      </w:r>
    </w:p>
  </w:footnote>
  <w:footnote w:id="4802">
    <w:p w14:paraId="1029F79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1, הפסקה הראשונה של נספח ב – עמ׳ 1084.</w:t>
      </w:r>
    </w:p>
  </w:footnote>
  <w:footnote w:id="4803">
    <w:p w14:paraId="350C004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בסוף פסקה זו פירוט של כוונות הממשלה.</w:t>
      </w:r>
    </w:p>
  </w:footnote>
  <w:footnote w:id="4804">
    <w:p w14:paraId="28733B8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“מקור ברוך”, עמ׳ 1108, מנסה ליישב את ההבדל בתגובת המועמדים השונים, בתארו את ר׳ ישראל באופן בלתי משכנע כאדם בעל “לב רגז”, הפגיע יותר ללחץ.</w:t>
      </w:r>
    </w:p>
  </w:footnote>
  <w:footnote w:id="4805">
    <w:p w14:paraId="67C0339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לפי “כל כתבי חפץ חיים השלם”, עמ׳ 2.</w:t>
      </w:r>
    </w:p>
  </w:footnote>
  <w:footnote w:id="4806">
    <w:p w14:paraId="5387F78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בסוף פסקה זו, שכאשר פורסמו מסמכים ממשלתיים סודיים </w:t>
      </w:r>
      <w:proofErr w:type="spellStart"/>
      <w:r>
        <w:rPr>
          <w:sz w:val="20"/>
          <w:szCs w:val="20"/>
          <w:rtl/>
        </w:rPr>
        <w:t>בתרכ״ו</w:t>
      </w:r>
      <w:proofErr w:type="spellEnd"/>
      <w:r>
        <w:rPr>
          <w:sz w:val="20"/>
          <w:szCs w:val="20"/>
          <w:rtl/>
        </w:rPr>
        <w:t>, התברר שזאת בדיוק הייתה כוונת הממשלה.</w:t>
      </w:r>
    </w:p>
  </w:footnote>
  <w:footnote w:id="4807">
    <w:p w14:paraId="222EECE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257 של “העבר”, חוברת ט״ו (אייר תשכ״ח), במאמר “רשימה אוטוביוגרפית של ח.ז. מרגליות”, מאת ב. דינור.</w:t>
      </w:r>
    </w:p>
  </w:footnote>
  <w:footnote w:id="4808">
    <w:p w14:paraId="7D440A7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וילנא</w:t>
      </w:r>
      <w:proofErr w:type="spellEnd"/>
      <w:r>
        <w:rPr>
          <w:sz w:val="20"/>
          <w:szCs w:val="20"/>
          <w:rtl/>
        </w:rPr>
        <w:t>, תרמ״ג.</w:t>
      </w:r>
    </w:p>
  </w:footnote>
  <w:footnote w:id="4809">
    <w:p w14:paraId="3653B88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נדפסה </w:t>
      </w:r>
      <w:proofErr w:type="spellStart"/>
      <w:r>
        <w:rPr>
          <w:sz w:val="20"/>
          <w:szCs w:val="20"/>
          <w:rtl/>
        </w:rPr>
        <w:t>ב“אליקום</w:t>
      </w:r>
      <w:proofErr w:type="spellEnd"/>
      <w:r>
        <w:rPr>
          <w:sz w:val="20"/>
          <w:szCs w:val="20"/>
          <w:rtl/>
        </w:rPr>
        <w:t xml:space="preserve"> </w:t>
      </w:r>
      <w:proofErr w:type="spellStart"/>
      <w:r>
        <w:rPr>
          <w:sz w:val="20"/>
          <w:szCs w:val="20"/>
          <w:rtl/>
        </w:rPr>
        <w:t>צונזערס</w:t>
      </w:r>
      <w:proofErr w:type="spellEnd"/>
      <w:r>
        <w:rPr>
          <w:sz w:val="20"/>
          <w:szCs w:val="20"/>
          <w:rtl/>
        </w:rPr>
        <w:t xml:space="preserve"> </w:t>
      </w:r>
      <w:proofErr w:type="spellStart"/>
      <w:r>
        <w:rPr>
          <w:sz w:val="20"/>
          <w:szCs w:val="20"/>
          <w:rtl/>
        </w:rPr>
        <w:t>ווערק</w:t>
      </w:r>
      <w:proofErr w:type="spellEnd"/>
      <w:r>
        <w:rPr>
          <w:sz w:val="20"/>
          <w:szCs w:val="20"/>
          <w:rtl/>
        </w:rPr>
        <w:t xml:space="preserve">”, </w:t>
      </w:r>
      <w:proofErr w:type="spellStart"/>
      <w:r>
        <w:rPr>
          <w:sz w:val="20"/>
          <w:szCs w:val="20"/>
          <w:rtl/>
        </w:rPr>
        <w:t>באנד</w:t>
      </w:r>
      <w:proofErr w:type="spellEnd"/>
      <w:r>
        <w:rPr>
          <w:sz w:val="20"/>
          <w:szCs w:val="20"/>
          <w:rtl/>
        </w:rPr>
        <w:t xml:space="preserve"> צוויי [כתבי </w:t>
      </w:r>
      <w:proofErr w:type="spellStart"/>
      <w:r>
        <w:rPr>
          <w:sz w:val="20"/>
          <w:szCs w:val="20"/>
          <w:rtl/>
        </w:rPr>
        <w:t>אליקום</w:t>
      </w:r>
      <w:proofErr w:type="spellEnd"/>
      <w:r>
        <w:rPr>
          <w:sz w:val="20"/>
          <w:szCs w:val="20"/>
          <w:rtl/>
        </w:rPr>
        <w:t xml:space="preserve"> צונזר, כרך שני] (שם, פרק 2, הערה 4).</w:t>
      </w:r>
    </w:p>
  </w:footnote>
  <w:footnote w:id="4810">
    <w:p w14:paraId="44D9E4D6"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המושל הכללי של וילנה בשנים ההן היה הגנרל אלכסנדר </w:t>
      </w:r>
      <w:proofErr w:type="spellStart"/>
      <w:r>
        <w:rPr>
          <w:sz w:val="20"/>
          <w:szCs w:val="20"/>
          <w:rtl/>
        </w:rPr>
        <w:t>פוטאפוב</w:t>
      </w:r>
      <w:proofErr w:type="spellEnd"/>
      <w:r>
        <w:rPr>
          <w:sz w:val="20"/>
          <w:szCs w:val="20"/>
          <w:rtl/>
        </w:rPr>
        <w:t>.</w:t>
      </w:r>
    </w:p>
    <w:p w14:paraId="762CB384" w14:textId="77777777" w:rsidR="00AB3647" w:rsidRDefault="00000000">
      <w:pPr>
        <w:spacing w:after="0" w:before="0"/>
        <w:jc w:val="both"/>
      </w:pPr>
      <w:r>
        <w:rPr>
          <w:sz w:val="20"/>
          <w:szCs w:val="20"/>
          <w:rtl/>
        </w:rPr>
        <w:t xml:space="preserve">בתי המדרש לרבנים בווילנה </w:t>
      </w:r>
      <w:proofErr w:type="spellStart"/>
      <w:r>
        <w:rPr>
          <w:sz w:val="20"/>
          <w:szCs w:val="20"/>
          <w:rtl/>
        </w:rPr>
        <w:t>ובז׳יטומיר</w:t>
      </w:r>
      <w:proofErr w:type="spellEnd"/>
      <w:r>
        <w:rPr>
          <w:sz w:val="20"/>
          <w:szCs w:val="20"/>
          <w:rtl/>
        </w:rPr>
        <w:t xml:space="preserve"> נסגרו בגזרת הממשלה </w:t>
      </w:r>
      <w:proofErr w:type="spellStart"/>
      <w:r>
        <w:rPr>
          <w:sz w:val="20"/>
          <w:szCs w:val="20"/>
          <w:rtl/>
        </w:rPr>
        <w:t>בתרל״ג</w:t>
      </w:r>
      <w:proofErr w:type="spellEnd"/>
      <w:r>
        <w:rPr>
          <w:sz w:val="20"/>
          <w:szCs w:val="20"/>
          <w:rtl/>
        </w:rPr>
        <w:t xml:space="preserve">, ולא </w:t>
      </w:r>
      <w:proofErr w:type="spellStart"/>
      <w:r>
        <w:rPr>
          <w:sz w:val="20"/>
          <w:szCs w:val="20"/>
          <w:rtl/>
        </w:rPr>
        <w:t>בתרל״ב</w:t>
      </w:r>
      <w:proofErr w:type="spellEnd"/>
      <w:r>
        <w:rPr>
          <w:sz w:val="20"/>
          <w:szCs w:val="20"/>
          <w:rtl/>
        </w:rPr>
        <w:t>.</w:t>
      </w:r>
    </w:p>
  </w:footnote>
  <w:footnote w:id="4811">
    <w:p w14:paraId="2BEFBDA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בביקורו האחרון בישראל, בסיוון תשמ״ב.</w:t>
      </w:r>
    </w:p>
  </w:footnote>
  <w:footnote w:id="4812">
    <w:p w14:paraId="274A618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משה </w:t>
      </w:r>
      <w:proofErr w:type="spellStart"/>
      <w:r>
        <w:rPr>
          <w:sz w:val="20"/>
          <w:szCs w:val="20"/>
          <w:rtl/>
        </w:rPr>
        <w:t>קרלינסקי</w:t>
      </w:r>
      <w:proofErr w:type="spellEnd"/>
      <w:r>
        <w:rPr>
          <w:sz w:val="20"/>
          <w:szCs w:val="20"/>
          <w:rtl/>
        </w:rPr>
        <w:t>, בריאיון מ־26 בדצמבר 1986.</w:t>
      </w:r>
    </w:p>
  </w:footnote>
  <w:footnote w:id="4813">
    <w:p w14:paraId="6B8CD0B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3, הערות 15 ו־35.</w:t>
      </w:r>
    </w:p>
  </w:footnote>
  <w:footnote w:id="4814">
    <w:p w14:paraId="1430A1D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כץ, “תנועת המוסר”, כרך א, עמ׳ 181, שר׳ </w:t>
      </w:r>
      <w:proofErr w:type="spellStart"/>
      <w:r>
        <w:rPr>
          <w:sz w:val="20"/>
          <w:szCs w:val="20"/>
          <w:rtl/>
        </w:rPr>
        <w:t>לייבל׳ה</w:t>
      </w:r>
      <w:proofErr w:type="spellEnd"/>
      <w:r>
        <w:rPr>
          <w:sz w:val="20"/>
          <w:szCs w:val="20"/>
          <w:rtl/>
        </w:rPr>
        <w:t xml:space="preserve"> שפירא היה שולח את ר׳ </w:t>
      </w:r>
      <w:proofErr w:type="spellStart"/>
      <w:r>
        <w:rPr>
          <w:sz w:val="20"/>
          <w:szCs w:val="20"/>
          <w:rtl/>
        </w:rPr>
        <w:t>יהושע־העשיל</w:t>
      </w:r>
      <w:proofErr w:type="spellEnd"/>
      <w:r>
        <w:rPr>
          <w:sz w:val="20"/>
          <w:szCs w:val="20"/>
          <w:rtl/>
        </w:rPr>
        <w:t xml:space="preserve"> </w:t>
      </w:r>
      <w:proofErr w:type="spellStart"/>
      <w:r>
        <w:rPr>
          <w:sz w:val="20"/>
          <w:szCs w:val="20"/>
          <w:rtl/>
        </w:rPr>
        <w:t>מינובה</w:t>
      </w:r>
      <w:proofErr w:type="spellEnd"/>
      <w:r>
        <w:rPr>
          <w:sz w:val="20"/>
          <w:szCs w:val="20"/>
          <w:rtl/>
        </w:rPr>
        <w:t>, נואם מבריק, לדרוש בבתי המדרש שבהם דיבר ר׳ ישראל, כדי לסתור את דבריו.</w:t>
      </w:r>
    </w:p>
  </w:footnote>
  <w:footnote w:id="4815">
    <w:p w14:paraId="28BCFA4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שם, עמ׳ 179–180, מדוע העמיד ר׳ </w:t>
      </w:r>
      <w:proofErr w:type="spellStart"/>
      <w:r>
        <w:rPr>
          <w:sz w:val="20"/>
          <w:szCs w:val="20"/>
          <w:rtl/>
        </w:rPr>
        <w:t>לייבל׳ה</w:t>
      </w:r>
      <w:proofErr w:type="spellEnd"/>
      <w:r>
        <w:rPr>
          <w:sz w:val="20"/>
          <w:szCs w:val="20"/>
          <w:rtl/>
        </w:rPr>
        <w:t xml:space="preserve"> תנאי כזה. בשמונה השנים שר׳ ישראל נשאר בקובנה שימש שנתיים דרשן העיר (תפקיד לא מוגדר – ראה להלן מתוך ספרו של </w:t>
      </w:r>
      <w:proofErr w:type="spellStart"/>
      <w:r>
        <w:rPr>
          <w:sz w:val="20"/>
          <w:szCs w:val="20"/>
          <w:rtl/>
        </w:rPr>
        <w:t>אטקס</w:t>
      </w:r>
      <w:proofErr w:type="spellEnd"/>
      <w:r>
        <w:rPr>
          <w:sz w:val="20"/>
          <w:szCs w:val="20"/>
          <w:rtl/>
        </w:rPr>
        <w:t xml:space="preserve">, “ר׳ ישראל </w:t>
      </w:r>
      <w:proofErr w:type="spellStart"/>
      <w:r>
        <w:rPr>
          <w:sz w:val="20"/>
          <w:szCs w:val="20"/>
          <w:rtl/>
        </w:rPr>
        <w:t>סלנטר</w:t>
      </w:r>
      <w:proofErr w:type="spellEnd"/>
      <w:r>
        <w:rPr>
          <w:sz w:val="20"/>
          <w:szCs w:val="20"/>
          <w:rtl/>
        </w:rPr>
        <w:t xml:space="preserve"> וראשיתה של תנועת המוסר”) ושש שנים ראש ישיבה </w:t>
      </w:r>
      <w:proofErr w:type="spellStart"/>
      <w:r>
        <w:rPr>
          <w:sz w:val="20"/>
          <w:szCs w:val="20"/>
          <w:rtl/>
        </w:rPr>
        <w:t>בנביאזר</w:t>
      </w:r>
      <w:proofErr w:type="spellEnd"/>
      <w:r>
        <w:rPr>
          <w:sz w:val="20"/>
          <w:szCs w:val="20"/>
          <w:rtl/>
        </w:rPr>
        <w:t xml:space="preserve"> </w:t>
      </w:r>
      <w:proofErr w:type="spellStart"/>
      <w:r>
        <w:rPr>
          <w:sz w:val="20"/>
          <w:szCs w:val="20"/>
          <w:rtl/>
        </w:rPr>
        <w:t>קלויז</w:t>
      </w:r>
      <w:proofErr w:type="spellEnd"/>
      <w:r>
        <w:rPr>
          <w:sz w:val="20"/>
          <w:szCs w:val="20"/>
          <w:rtl/>
        </w:rPr>
        <w:t>.</w:t>
      </w:r>
    </w:p>
  </w:footnote>
  <w:footnote w:id="4816">
    <w:p w14:paraId="74DAAC2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עמ׳ </w:t>
      </w:r>
      <w:r>
        <w:rPr>
          <w:rStyle w:val="a5"/>
          <w:sz w:val="20"/>
          <w:szCs w:val="20"/>
          <w:vertAlign w:val="baseline"/>
          <w:rtl/>
        </w:rPr>
        <w:fldChar w:fldCharType="begin" w:dirty="true"/>
      </w:r>
      <w:r>
        <w:rPr>
          <w:rStyle w:val="a5"/>
          <w:sz w:val="20"/>
          <w:szCs w:val="20"/>
          <w:vertAlign w:val="baseline"/>
          <w:rtl/>
        </w:rPr>
        <w:instrText xml:space="preserve"> PAGEREF pr_b_2649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 xml:space="preserve"> לעיל</w:t>
      </w:r>
      <w:r>
        <w:rPr>
          <w:sz w:val="20"/>
          <w:szCs w:val="20"/>
          <w:rtl/>
        </w:rPr>
        <w:t>.</w:t>
      </w:r>
    </w:p>
  </w:footnote>
  <w:footnote w:id="4817">
    <w:p w14:paraId="040BCBC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ריאיון מ־27 ביולי 1996. ר׳ ישראל </w:t>
      </w:r>
      <w:proofErr w:type="spellStart"/>
      <w:r>
        <w:rPr>
          <w:sz w:val="20"/>
          <w:szCs w:val="20"/>
          <w:rtl/>
        </w:rPr>
        <w:t>שורין</w:t>
      </w:r>
      <w:proofErr w:type="spellEnd"/>
      <w:r>
        <w:rPr>
          <w:sz w:val="20"/>
          <w:szCs w:val="20"/>
          <w:rtl/>
        </w:rPr>
        <w:t xml:space="preserve"> שמע זאת מפי ר׳ נוטע </w:t>
      </w:r>
      <w:proofErr w:type="spellStart"/>
      <w:r>
        <w:rPr>
          <w:sz w:val="20"/>
          <w:szCs w:val="20"/>
          <w:rtl/>
        </w:rPr>
        <w:t>ביאליק־ביליצקי</w:t>
      </w:r>
      <w:proofErr w:type="spellEnd"/>
      <w:r>
        <w:rPr>
          <w:sz w:val="20"/>
          <w:szCs w:val="20"/>
          <w:rtl/>
        </w:rPr>
        <w:t>.</w:t>
      </w:r>
    </w:p>
  </w:footnote>
  <w:footnote w:id="4818">
    <w:p w14:paraId="5396841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3, הפסקה השלישית של נספח יד.</w:t>
      </w:r>
    </w:p>
  </w:footnote>
  <w:footnote w:id="4819">
    <w:p w14:paraId="5057240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היה תלמידו של ר׳ </w:t>
      </w:r>
      <w:proofErr w:type="spellStart"/>
      <w:r>
        <w:rPr>
          <w:sz w:val="20"/>
          <w:szCs w:val="20"/>
          <w:rtl/>
        </w:rPr>
        <w:t>אלינקה</w:t>
      </w:r>
      <w:proofErr w:type="spellEnd"/>
      <w:r>
        <w:rPr>
          <w:sz w:val="20"/>
          <w:szCs w:val="20"/>
          <w:rtl/>
        </w:rPr>
        <w:t xml:space="preserve"> </w:t>
      </w:r>
      <w:proofErr w:type="spellStart"/>
      <w:r>
        <w:rPr>
          <w:sz w:val="20"/>
          <w:szCs w:val="20"/>
          <w:rtl/>
        </w:rPr>
        <w:t>מרגולה</w:t>
      </w:r>
      <w:proofErr w:type="spellEnd"/>
      <w:r>
        <w:rPr>
          <w:sz w:val="20"/>
          <w:szCs w:val="20"/>
          <w:rtl/>
        </w:rPr>
        <w:t xml:space="preserve"> (השווה פרק 3, הערה 10), וכך גם ר׳ </w:t>
      </w:r>
      <w:proofErr w:type="spellStart"/>
      <w:r>
        <w:rPr>
          <w:sz w:val="20"/>
          <w:szCs w:val="20"/>
          <w:rtl/>
        </w:rPr>
        <w:t>לייבל׳ה</w:t>
      </w:r>
      <w:proofErr w:type="spellEnd"/>
      <w:r>
        <w:rPr>
          <w:sz w:val="20"/>
          <w:szCs w:val="20"/>
          <w:rtl/>
        </w:rPr>
        <w:t xml:space="preserve"> שפירא.</w:t>
      </w:r>
    </w:p>
  </w:footnote>
  <w:footnote w:id="4820">
    <w:p w14:paraId="3A0EE68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192–193 ו־213–214.</w:t>
      </w:r>
    </w:p>
  </w:footnote>
  <w:footnote w:id="4821">
    <w:p w14:paraId="68AFBBA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מצוטט מעמ׳ </w:t>
      </w:r>
      <w:proofErr w:type="spellStart"/>
      <w:r>
        <w:rPr>
          <w:sz w:val="20"/>
          <w:szCs w:val="20"/>
          <w:rtl/>
        </w:rPr>
        <w:t>יב</w:t>
      </w:r>
      <w:proofErr w:type="spellEnd"/>
      <w:r>
        <w:rPr>
          <w:sz w:val="20"/>
          <w:szCs w:val="20"/>
          <w:rtl/>
        </w:rPr>
        <w:t xml:space="preserve"> של המבוא הביוגרפי </w:t>
      </w:r>
      <w:proofErr w:type="spellStart"/>
      <w:r>
        <w:rPr>
          <w:sz w:val="20"/>
          <w:szCs w:val="20"/>
          <w:rtl/>
        </w:rPr>
        <w:t>ל“שביל</w:t>
      </w:r>
      <w:proofErr w:type="spellEnd"/>
      <w:r>
        <w:rPr>
          <w:sz w:val="20"/>
          <w:szCs w:val="20"/>
          <w:rtl/>
        </w:rPr>
        <w:t xml:space="preserve"> הזהב” (שם, פרק 2, הפסקה העשרים וארבע של נספח א).</w:t>
      </w:r>
    </w:p>
  </w:footnote>
  <w:footnote w:id="4822">
    <w:p w14:paraId="38BE453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המבוא הביוגרפי </w:t>
      </w:r>
      <w:proofErr w:type="spellStart"/>
      <w:r>
        <w:rPr>
          <w:sz w:val="20"/>
          <w:szCs w:val="20"/>
          <w:rtl/>
        </w:rPr>
        <w:t>ל“שביל</w:t>
      </w:r>
      <w:proofErr w:type="spellEnd"/>
      <w:r>
        <w:rPr>
          <w:sz w:val="20"/>
          <w:szCs w:val="20"/>
          <w:rtl/>
        </w:rPr>
        <w:t xml:space="preserve"> הזהב”, עמ׳ </w:t>
      </w:r>
      <w:proofErr w:type="spellStart"/>
      <w:r>
        <w:rPr>
          <w:sz w:val="20"/>
          <w:szCs w:val="20"/>
          <w:rtl/>
        </w:rPr>
        <w:t>יג</w:t>
      </w:r>
      <w:proofErr w:type="spellEnd"/>
      <w:r>
        <w:rPr>
          <w:sz w:val="20"/>
          <w:szCs w:val="20"/>
          <w:rtl/>
        </w:rPr>
        <w:t>: “</w:t>
      </w:r>
      <w:r>
        <w:rPr>
          <w:b/>
          <w:bCs/>
          <w:sz w:val="20"/>
          <w:szCs w:val="20"/>
          <w:rtl/>
        </w:rPr>
        <w:t>ברבות הימים</w:t>
      </w:r>
      <w:r>
        <w:rPr>
          <w:sz w:val="20"/>
          <w:szCs w:val="20"/>
          <w:rtl/>
        </w:rPr>
        <w:t xml:space="preserve">, נעשה פירוד עצום בין הגאון ר׳ ליב שפירא והגאון ר׳ ישראל </w:t>
      </w:r>
      <w:proofErr w:type="spellStart"/>
      <w:r>
        <w:rPr>
          <w:sz w:val="20"/>
          <w:szCs w:val="20"/>
          <w:rtl/>
        </w:rPr>
        <w:t>מסלאנט</w:t>
      </w:r>
      <w:proofErr w:type="spellEnd"/>
      <w:r>
        <w:rPr>
          <w:sz w:val="20"/>
          <w:szCs w:val="20"/>
          <w:rtl/>
        </w:rPr>
        <w:t xml:space="preserve"> ז״ל, מפני </w:t>
      </w:r>
      <w:r>
        <w:rPr>
          <w:b/>
          <w:bCs/>
          <w:sz w:val="20"/>
          <w:szCs w:val="20"/>
          <w:rtl/>
        </w:rPr>
        <w:t xml:space="preserve">שינוי </w:t>
      </w:r>
      <w:proofErr w:type="spellStart"/>
      <w:r>
        <w:rPr>
          <w:b/>
          <w:bCs/>
          <w:sz w:val="20"/>
          <w:szCs w:val="20"/>
          <w:rtl/>
        </w:rPr>
        <w:t>טבעיהם</w:t>
      </w:r>
      <w:proofErr w:type="spellEnd"/>
      <w:r>
        <w:rPr>
          <w:sz w:val="20"/>
          <w:szCs w:val="20"/>
          <w:rtl/>
        </w:rPr>
        <w:t xml:space="preserve"> ו</w:t>
      </w:r>
      <w:r>
        <w:rPr>
          <w:b/>
          <w:bCs/>
          <w:sz w:val="20"/>
          <w:szCs w:val="20"/>
          <w:rtl/>
        </w:rPr>
        <w:t>דרכי הלמוד</w:t>
      </w:r>
      <w:r>
        <w:rPr>
          <w:sz w:val="20"/>
          <w:szCs w:val="20"/>
          <w:rtl/>
        </w:rPr>
        <w:t xml:space="preserve">”. הדגשתי באמירה זו שלוש נקודות שאינן נכונות: שני היריבים היו יחד בקובנה רק חמש שנים; ההבדל בטבעם, תהא מהותו אשר תהא, לא נגע למחלוקתם על הדתיות היהודית הנכונה (ראה את דברי ר׳ </w:t>
      </w:r>
      <w:proofErr w:type="spellStart"/>
      <w:r>
        <w:rPr>
          <w:sz w:val="20"/>
          <w:szCs w:val="20"/>
          <w:rtl/>
        </w:rPr>
        <w:t>אברהם־שמואל</w:t>
      </w:r>
      <w:proofErr w:type="spellEnd"/>
      <w:r>
        <w:rPr>
          <w:sz w:val="20"/>
          <w:szCs w:val="20"/>
          <w:rtl/>
        </w:rPr>
        <w:t xml:space="preserve"> </w:t>
      </w:r>
      <w:proofErr w:type="spellStart"/>
      <w:r>
        <w:rPr>
          <w:sz w:val="20"/>
          <w:szCs w:val="20"/>
          <w:rtl/>
        </w:rPr>
        <w:t>מראסיין</w:t>
      </w:r>
      <w:proofErr w:type="spellEnd"/>
      <w:r>
        <w:rPr>
          <w:sz w:val="20"/>
          <w:szCs w:val="20"/>
          <w:rtl/>
        </w:rPr>
        <w:t xml:space="preserve"> שצוטטו לעיל); והבדלים בדרכי לימוד (התלמוד) לא היו, ואף מעולם לא היו, עילה למחלוקות בין גדולי התורה.</w:t>
      </w:r>
    </w:p>
  </w:footnote>
  <w:footnote w:id="4823">
    <w:p w14:paraId="76712EA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כץ, “תנועת המוסר”, כרך א, עמ׳ 238–241; </w:t>
      </w:r>
      <w:proofErr w:type="spellStart"/>
      <w:r>
        <w:rPr>
          <w:sz w:val="20"/>
          <w:szCs w:val="20"/>
          <w:rtl/>
        </w:rPr>
        <w:t>אטקס</w:t>
      </w:r>
      <w:proofErr w:type="spellEnd"/>
      <w:r>
        <w:rPr>
          <w:sz w:val="20"/>
          <w:szCs w:val="20"/>
          <w:rtl/>
        </w:rPr>
        <w:t xml:space="preserve">, “ר׳ ישראל </w:t>
      </w:r>
      <w:proofErr w:type="spellStart"/>
      <w:r>
        <w:rPr>
          <w:sz w:val="20"/>
          <w:szCs w:val="20"/>
          <w:rtl/>
        </w:rPr>
        <w:t>סלנטר</w:t>
      </w:r>
      <w:proofErr w:type="spellEnd"/>
      <w:r>
        <w:rPr>
          <w:sz w:val="20"/>
          <w:szCs w:val="20"/>
          <w:rtl/>
        </w:rPr>
        <w:t xml:space="preserve"> וראשיתה של תנועת המוסר”, עמ׳ 295–305; פרק 3, סוף הפסקה הראשונה של נספח </w:t>
      </w:r>
      <w:proofErr w:type="spellStart"/>
      <w:r>
        <w:rPr>
          <w:sz w:val="20"/>
          <w:szCs w:val="20"/>
          <w:rtl/>
        </w:rPr>
        <w:t>טז</w:t>
      </w:r>
      <w:proofErr w:type="spellEnd"/>
      <w:r>
        <w:rPr>
          <w:sz w:val="20"/>
          <w:szCs w:val="20"/>
          <w:rtl/>
        </w:rPr>
        <w:t>; ופרק 4, הפסקה השנייה של נספח ח.</w:t>
      </w:r>
    </w:p>
  </w:footnote>
  <w:footnote w:id="4824">
    <w:p w14:paraId="6F16E1C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3, נספח </w:t>
      </w:r>
      <w:proofErr w:type="spellStart"/>
      <w:r>
        <w:rPr>
          <w:sz w:val="20"/>
          <w:szCs w:val="20"/>
          <w:rtl/>
        </w:rPr>
        <w:t>יט</w:t>
      </w:r>
      <w:proofErr w:type="spellEnd"/>
      <w:r>
        <w:rPr>
          <w:sz w:val="20"/>
          <w:szCs w:val="20"/>
          <w:rtl/>
        </w:rPr>
        <w:t>.</w:t>
      </w:r>
    </w:p>
  </w:footnote>
  <w:footnote w:id="4825">
    <w:p w14:paraId="5BE082E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יב</w:t>
      </w:r>
      <w:proofErr w:type="spellEnd"/>
      <w:r>
        <w:rPr>
          <w:sz w:val="20"/>
          <w:szCs w:val="20"/>
          <w:rtl/>
        </w:rPr>
        <w:t xml:space="preserve"> במבוא הביוגרפי לספר אביו, “שביל הזהב”.</w:t>
      </w:r>
    </w:p>
  </w:footnote>
  <w:footnote w:id="4826">
    <w:p w14:paraId="4F0AE29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“שביל הזהב” נדפס </w:t>
      </w:r>
      <w:proofErr w:type="spellStart"/>
      <w:r>
        <w:rPr>
          <w:sz w:val="20"/>
          <w:szCs w:val="20"/>
          <w:rtl/>
        </w:rPr>
        <w:t>בתרנ״ז</w:t>
      </w:r>
      <w:proofErr w:type="spellEnd"/>
      <w:r>
        <w:rPr>
          <w:sz w:val="20"/>
          <w:szCs w:val="20"/>
          <w:rtl/>
        </w:rPr>
        <w:t>, אך נכתב לפחות שש שנים קודם לכן.</w:t>
      </w:r>
    </w:p>
  </w:footnote>
  <w:footnote w:id="4827">
    <w:p w14:paraId="6FA45CD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1, הערה 1 – כרך א, עמ׳ 176.</w:t>
      </w:r>
    </w:p>
  </w:footnote>
  <w:footnote w:id="4828">
    <w:p w14:paraId="0F8A08E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השיחה הייתה בקיץ תרמ״ב, כחצי שנה לפני פטירת ר׳ ישראל, לפי “</w:t>
      </w:r>
      <w:proofErr w:type="spellStart"/>
      <w:r>
        <w:rPr>
          <w:sz w:val="20"/>
          <w:szCs w:val="20"/>
          <w:rtl/>
        </w:rPr>
        <w:t>זכרון</w:t>
      </w:r>
      <w:proofErr w:type="spellEnd"/>
      <w:r>
        <w:rPr>
          <w:sz w:val="20"/>
          <w:szCs w:val="20"/>
          <w:rtl/>
        </w:rPr>
        <w:t xml:space="preserve"> יעקב”, כרך ג, עמ׳ 125–127. הדבר היה יותר משלושים שנה אחרי שעזב הרב </w:t>
      </w:r>
      <w:proofErr w:type="spellStart"/>
      <w:r>
        <w:rPr>
          <w:sz w:val="20"/>
          <w:szCs w:val="20"/>
          <w:rtl/>
        </w:rPr>
        <w:t>סלנטר</w:t>
      </w:r>
      <w:proofErr w:type="spellEnd"/>
      <w:r>
        <w:rPr>
          <w:sz w:val="20"/>
          <w:szCs w:val="20"/>
          <w:rtl/>
        </w:rPr>
        <w:t xml:space="preserve"> את וילנה.</w:t>
      </w:r>
    </w:p>
  </w:footnote>
  <w:footnote w:id="4829">
    <w:p w14:paraId="3D8488A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לוריא, הידוע בכינוי </w:t>
      </w:r>
      <w:proofErr w:type="spellStart"/>
      <w:r>
        <w:rPr>
          <w:sz w:val="20"/>
          <w:szCs w:val="20"/>
          <w:rtl/>
        </w:rPr>
        <w:t>רד״ל</w:t>
      </w:r>
      <w:proofErr w:type="spellEnd"/>
      <w:r>
        <w:rPr>
          <w:sz w:val="20"/>
          <w:szCs w:val="20"/>
          <w:rtl/>
        </w:rPr>
        <w:t>.</w:t>
      </w:r>
    </w:p>
  </w:footnote>
  <w:footnote w:id="4830">
    <w:p w14:paraId="207BE08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שם, עמ׳ 177, שר׳ ישראל השיב על אותה שאלה עיקרית תשובה מתחמקת אחרת לשואל אחר, ד״ר לפילוסופיה </w:t>
      </w:r>
      <w:proofErr w:type="spellStart"/>
      <w:r>
        <w:rPr>
          <w:sz w:val="20"/>
          <w:szCs w:val="20"/>
          <w:rtl/>
        </w:rPr>
        <w:t>צבי־הירש</w:t>
      </w:r>
      <w:proofErr w:type="spellEnd"/>
      <w:r>
        <w:rPr>
          <w:sz w:val="20"/>
          <w:szCs w:val="20"/>
          <w:rtl/>
        </w:rPr>
        <w:t xml:space="preserve"> </w:t>
      </w:r>
      <w:proofErr w:type="spellStart"/>
      <w:r>
        <w:rPr>
          <w:sz w:val="20"/>
          <w:szCs w:val="20"/>
          <w:rtl/>
        </w:rPr>
        <w:t>אפטייקר־שפיר</w:t>
      </w:r>
      <w:proofErr w:type="spellEnd"/>
      <w:r>
        <w:rPr>
          <w:sz w:val="20"/>
          <w:szCs w:val="20"/>
          <w:rtl/>
        </w:rPr>
        <w:t xml:space="preserve"> מקובנה. לפרטים השווה פרק 4, הפסקה השנייה של נספח ח.</w:t>
      </w:r>
    </w:p>
  </w:footnote>
  <w:footnote w:id="4831">
    <w:p w14:paraId="4B61CE7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65.</w:t>
      </w:r>
    </w:p>
  </w:footnote>
  <w:footnote w:id="4832">
    <w:p w14:paraId="023BB91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ווין, </w:t>
      </w:r>
      <w:proofErr w:type="spellStart"/>
      <w:r>
        <w:rPr>
          <w:sz w:val="20"/>
          <w:szCs w:val="20"/>
          <w:rtl/>
        </w:rPr>
        <w:t>תר״ם</w:t>
      </w:r>
      <w:proofErr w:type="spellEnd"/>
      <w:r>
        <w:rPr>
          <w:sz w:val="20"/>
          <w:szCs w:val="20"/>
          <w:rtl/>
        </w:rPr>
        <w:t>.</w:t>
      </w:r>
    </w:p>
  </w:footnote>
  <w:footnote w:id="4833">
    <w:p w14:paraId="4838E18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233.</w:t>
      </w:r>
    </w:p>
  </w:footnote>
  <w:footnote w:id="4834">
    <w:p w14:paraId="4931C686"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rFonts w:ascii="David" w:eastAsia="David" w:hAnsi="David" w:cs="David"/>
          <w:sz w:val="20"/>
          <w:szCs w:val="20"/>
          <w:rtl/>
        </w:rPr>
        <w:t xml:space="preserve"/>
      </w:r>
      <w:r>
        <w:rPr>
          <w:b/>
          <w:color w:val="000000"/>
          <w:sz w:val="20"/>
          <w:szCs w:val="20"/>
          <w:rtl/>
        </w:rPr>
        <w:t xml:space="preserve">הערת המתרגם: </w:t>
      </w:r>
      <w:r>
        <w:rPr>
          <w:sz w:val="20"/>
          <w:szCs w:val="20"/>
          <w:rtl/>
        </w:rPr>
        <w:t xml:space="preserve">סרגיי </w:t>
      </w:r>
      <w:proofErr w:type="spellStart"/>
      <w:r>
        <w:rPr>
          <w:sz w:val="20"/>
          <w:szCs w:val="20"/>
          <w:rtl/>
        </w:rPr>
        <w:t>אוברוב</w:t>
      </w:r>
      <w:proofErr w:type="spellEnd"/>
      <w:r>
        <w:rPr>
          <w:sz w:val="20"/>
          <w:szCs w:val="20"/>
          <w:rtl/>
        </w:rPr>
        <w:t xml:space="preserve"> כיהן כשר ההשכלה הלאומית של רוסיה (1833–1849), ולא </w:t>
      </w:r>
      <w:proofErr w:type="spellStart"/>
      <w:r>
        <w:rPr>
          <w:sz w:val="20"/>
          <w:szCs w:val="20"/>
          <w:rtl/>
        </w:rPr>
        <w:t>כ“שר</w:t>
      </w:r>
      <w:proofErr w:type="spellEnd"/>
      <w:r>
        <w:rPr>
          <w:sz w:val="20"/>
          <w:szCs w:val="20"/>
          <w:rtl/>
        </w:rPr>
        <w:t xml:space="preserve"> הדתות והתרבות” כבמקור.</w:t>
      </w:r>
    </w:p>
  </w:footnote>
  <w:footnote w:id="4835">
    <w:p w14:paraId="1599ED8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בין מסמכי המשרד מן השנים 1814–1864 – ראה פרק 2, הפסקה העשרים של נספח א.</w:t>
      </w:r>
    </w:p>
  </w:footnote>
  <w:footnote w:id="4836">
    <w:p w14:paraId="4D3A2EA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“מקור ברוך”, עמ׳ תקלו–1072.</w:t>
      </w:r>
    </w:p>
  </w:footnote>
  <w:footnote w:id="4837">
    <w:p w14:paraId="4C1BC77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מכאן שם המשפחה </w:t>
      </w:r>
      <w:proofErr w:type="spellStart"/>
      <w:r>
        <w:rPr>
          <w:sz w:val="20"/>
          <w:szCs w:val="20"/>
          <w:rtl/>
        </w:rPr>
        <w:t>פרלוב</w:t>
      </w:r>
      <w:proofErr w:type="spellEnd"/>
      <w:r>
        <w:rPr>
          <w:sz w:val="20"/>
          <w:szCs w:val="20"/>
          <w:rtl/>
        </w:rPr>
        <w:t>.</w:t>
      </w:r>
    </w:p>
  </w:footnote>
  <w:footnote w:id="4838">
    <w:p w14:paraId="60C0903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שתי הגרסאות מובאות, בהתאמה, </w:t>
      </w:r>
      <w:proofErr w:type="spellStart"/>
      <w:r>
        <w:rPr>
          <w:sz w:val="20"/>
          <w:szCs w:val="20"/>
          <w:rtl/>
        </w:rPr>
        <w:t>ב“דור</w:t>
      </w:r>
      <w:proofErr w:type="spellEnd"/>
      <w:r>
        <w:rPr>
          <w:sz w:val="20"/>
          <w:szCs w:val="20"/>
          <w:rtl/>
        </w:rPr>
        <w:t xml:space="preserve"> דעה”, מאת ר׳ יקותיאל ארי’ </w:t>
      </w:r>
      <w:proofErr w:type="spellStart"/>
      <w:r>
        <w:rPr>
          <w:sz w:val="20"/>
          <w:szCs w:val="20"/>
          <w:rtl/>
        </w:rPr>
        <w:t>קאמלהאר</w:t>
      </w:r>
      <w:proofErr w:type="spellEnd"/>
      <w:r>
        <w:rPr>
          <w:sz w:val="20"/>
          <w:szCs w:val="20"/>
          <w:rtl/>
        </w:rPr>
        <w:t xml:space="preserve"> (</w:t>
      </w:r>
      <w:proofErr w:type="spellStart"/>
      <w:r>
        <w:rPr>
          <w:sz w:val="20"/>
          <w:szCs w:val="20"/>
          <w:rtl/>
        </w:rPr>
        <w:t>ניו־יורק</w:t>
      </w:r>
      <w:proofErr w:type="spellEnd"/>
      <w:r>
        <w:rPr>
          <w:sz w:val="20"/>
          <w:szCs w:val="20"/>
          <w:rtl/>
        </w:rPr>
        <w:t xml:space="preserve">, תשי״ב), עמ׳ </w:t>
      </w:r>
      <w:proofErr w:type="spellStart"/>
      <w:r>
        <w:rPr>
          <w:sz w:val="20"/>
          <w:szCs w:val="20"/>
          <w:rtl/>
        </w:rPr>
        <w:t>קע</w:t>
      </w:r>
      <w:proofErr w:type="spellEnd"/>
      <w:r>
        <w:rPr>
          <w:sz w:val="20"/>
          <w:szCs w:val="20"/>
          <w:rtl/>
        </w:rPr>
        <w:t>–</w:t>
      </w:r>
      <w:proofErr w:type="spellStart"/>
      <w:r>
        <w:rPr>
          <w:sz w:val="20"/>
          <w:szCs w:val="20"/>
          <w:rtl/>
        </w:rPr>
        <w:t>קעא</w:t>
      </w:r>
      <w:proofErr w:type="spellEnd"/>
      <w:r>
        <w:rPr>
          <w:sz w:val="20"/>
          <w:szCs w:val="20"/>
          <w:rtl/>
        </w:rPr>
        <w:t xml:space="preserve">; </w:t>
      </w:r>
      <w:proofErr w:type="spellStart"/>
      <w:r>
        <w:rPr>
          <w:sz w:val="20"/>
          <w:szCs w:val="20"/>
          <w:rtl/>
        </w:rPr>
        <w:t>וב“בית</w:t>
      </w:r>
      <w:proofErr w:type="spellEnd"/>
      <w:r>
        <w:rPr>
          <w:sz w:val="20"/>
          <w:szCs w:val="20"/>
          <w:rtl/>
        </w:rPr>
        <w:t xml:space="preserve"> </w:t>
      </w:r>
      <w:proofErr w:type="spellStart"/>
      <w:r>
        <w:rPr>
          <w:sz w:val="20"/>
          <w:szCs w:val="20"/>
          <w:rtl/>
        </w:rPr>
        <w:t>קרלין</w:t>
      </w:r>
      <w:proofErr w:type="spellEnd"/>
      <w:r>
        <w:rPr>
          <w:sz w:val="20"/>
          <w:szCs w:val="20"/>
          <w:rtl/>
        </w:rPr>
        <w:t xml:space="preserve"> </w:t>
      </w:r>
      <w:proofErr w:type="spellStart"/>
      <w:r>
        <w:rPr>
          <w:sz w:val="20"/>
          <w:szCs w:val="20"/>
          <w:rtl/>
        </w:rPr>
        <w:t>סטולין</w:t>
      </w:r>
      <w:proofErr w:type="spellEnd"/>
      <w:r>
        <w:rPr>
          <w:sz w:val="20"/>
          <w:szCs w:val="20"/>
          <w:rtl/>
        </w:rPr>
        <w:t>”, מאת יעקב ישראלי (</w:t>
      </w:r>
      <w:proofErr w:type="spellStart"/>
      <w:r>
        <w:rPr>
          <w:sz w:val="20"/>
          <w:szCs w:val="20"/>
          <w:rtl/>
        </w:rPr>
        <w:t>קולא</w:t>
      </w:r>
      <w:proofErr w:type="spellEnd"/>
      <w:r>
        <w:rPr>
          <w:sz w:val="20"/>
          <w:szCs w:val="20"/>
          <w:rtl/>
        </w:rPr>
        <w:t>) (להלן: ישראלי), עמ׳ צ.</w:t>
      </w:r>
    </w:p>
  </w:footnote>
  <w:footnote w:id="4839">
    <w:p w14:paraId="5669D30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“קובץ בית אהרן וישראל”, שנה ח, גיליון ד (ניסן–אייר תשנ״ג), עמ׳ קנז–</w:t>
      </w:r>
      <w:proofErr w:type="spellStart"/>
      <w:r>
        <w:rPr>
          <w:sz w:val="20"/>
          <w:szCs w:val="20"/>
          <w:rtl/>
        </w:rPr>
        <w:t>קפב</w:t>
      </w:r>
      <w:proofErr w:type="spellEnd"/>
      <w:r>
        <w:rPr>
          <w:sz w:val="20"/>
          <w:szCs w:val="20"/>
          <w:rtl/>
        </w:rPr>
        <w:t xml:space="preserve">, שבו מאמר של אברהם אביש שור מתחקה אחר שורשי המחלוקת בין ר׳ </w:t>
      </w:r>
      <w:proofErr w:type="spellStart"/>
      <w:r>
        <w:rPr>
          <w:sz w:val="20"/>
          <w:szCs w:val="20"/>
          <w:rtl/>
        </w:rPr>
        <w:t>שניאור־זלמן</w:t>
      </w:r>
      <w:proofErr w:type="spellEnd"/>
      <w:r>
        <w:rPr>
          <w:sz w:val="20"/>
          <w:szCs w:val="20"/>
          <w:rtl/>
        </w:rPr>
        <w:t xml:space="preserve"> </w:t>
      </w:r>
      <w:proofErr w:type="spellStart"/>
      <w:r>
        <w:rPr>
          <w:sz w:val="20"/>
          <w:szCs w:val="20"/>
          <w:rtl/>
        </w:rPr>
        <w:t>לר</w:t>
      </w:r>
      <w:proofErr w:type="spellEnd"/>
      <w:r>
        <w:rPr>
          <w:sz w:val="20"/>
          <w:szCs w:val="20"/>
          <w:rtl/>
        </w:rPr>
        <w:t xml:space="preserve">׳ שלמה בדבר היחס למתנגדים – </w:t>
      </w:r>
      <w:proofErr w:type="spellStart"/>
      <w:r>
        <w:rPr>
          <w:sz w:val="20"/>
          <w:szCs w:val="20"/>
          <w:rtl/>
        </w:rPr>
        <w:t>ה“לומדים</w:t>
      </w:r>
      <w:proofErr w:type="spellEnd"/>
      <w:r>
        <w:rPr>
          <w:sz w:val="20"/>
          <w:szCs w:val="20"/>
          <w:rtl/>
        </w:rPr>
        <w:t>”, שהחסידים כינו אותם בזלזול “</w:t>
      </w:r>
      <w:proofErr w:type="spellStart"/>
      <w:r>
        <w:rPr>
          <w:sz w:val="20"/>
          <w:szCs w:val="20"/>
          <w:rtl/>
        </w:rPr>
        <w:t>לומצ׳וכעס</w:t>
      </w:r>
      <w:proofErr w:type="spellEnd"/>
      <w:r>
        <w:rPr>
          <w:sz w:val="20"/>
          <w:szCs w:val="20"/>
          <w:rtl/>
        </w:rPr>
        <w:t>” – בדור מוקדם יותר של חסידים.</w:t>
      </w:r>
    </w:p>
  </w:footnote>
  <w:footnote w:id="4840">
    <w:p w14:paraId="34D21BE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ישראלי, עמ׳ </w:t>
      </w:r>
      <w:proofErr w:type="spellStart"/>
      <w:r>
        <w:rPr>
          <w:sz w:val="20"/>
          <w:szCs w:val="20"/>
          <w:rtl/>
        </w:rPr>
        <w:t>קעב</w:t>
      </w:r>
      <w:proofErr w:type="spellEnd"/>
      <w:r>
        <w:rPr>
          <w:sz w:val="20"/>
          <w:szCs w:val="20"/>
          <w:rtl/>
        </w:rPr>
        <w:t xml:space="preserve">, ומאמר מאת אברהם אביש שור </w:t>
      </w:r>
      <w:proofErr w:type="spellStart"/>
      <w:r>
        <w:rPr>
          <w:sz w:val="20"/>
          <w:szCs w:val="20"/>
          <w:rtl/>
        </w:rPr>
        <w:t>ב“קובץ</w:t>
      </w:r>
      <w:proofErr w:type="spellEnd"/>
      <w:r>
        <w:rPr>
          <w:sz w:val="20"/>
          <w:szCs w:val="20"/>
          <w:rtl/>
        </w:rPr>
        <w:t xml:space="preserve"> בית אהרן וישראל”, שנה ז, גיליון ג (שבט–אדר תשנ״ב), עמ׳ </w:t>
      </w:r>
      <w:proofErr w:type="spellStart"/>
      <w:r>
        <w:rPr>
          <w:sz w:val="20"/>
          <w:szCs w:val="20"/>
          <w:rtl/>
        </w:rPr>
        <w:t>קנד</w:t>
      </w:r>
      <w:proofErr w:type="spellEnd"/>
      <w:r>
        <w:rPr>
          <w:sz w:val="20"/>
          <w:szCs w:val="20"/>
          <w:rtl/>
        </w:rPr>
        <w:t>.</w:t>
      </w:r>
    </w:p>
  </w:footnote>
  <w:footnote w:id="4841">
    <w:p w14:paraId="7B85044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ישראלי, עמ׳ קח.</w:t>
      </w:r>
    </w:p>
  </w:footnote>
  <w:footnote w:id="4842">
    <w:p w14:paraId="3902A4D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ברכות </w:t>
      </w:r>
      <w:proofErr w:type="spellStart"/>
      <w:r>
        <w:rPr>
          <w:rStyle w:val="a5"/>
          <w:sz w:val="20"/>
          <w:szCs w:val="20"/>
          <w:vertAlign w:val="baseline"/>
          <w:rtl/>
        </w:rPr>
        <w:t>סא</w:t>
      </w:r>
      <w:proofErr w:type="spellEnd"/>
      <w:r>
        <w:rPr>
          <w:rStyle w:val="a5"/>
          <w:sz w:val="20"/>
          <w:szCs w:val="20"/>
          <w:vertAlign w:val="baseline"/>
          <w:rtl/>
        </w:rPr>
        <w:t xml:space="preserve"> ע״ב.</w:t>
      </w:r>
    </w:p>
  </w:footnote>
  <w:footnote w:id="4843">
    <w:p w14:paraId="357B704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המקורות </w:t>
      </w:r>
      <w:proofErr w:type="spellStart"/>
      <w:r>
        <w:rPr>
          <w:sz w:val="20"/>
          <w:szCs w:val="20"/>
          <w:rtl/>
        </w:rPr>
        <w:t>ב“קובץ</w:t>
      </w:r>
      <w:proofErr w:type="spellEnd"/>
      <w:r>
        <w:rPr>
          <w:sz w:val="20"/>
          <w:szCs w:val="20"/>
          <w:rtl/>
        </w:rPr>
        <w:t xml:space="preserve"> בית אהרן וישראל”, בגיליונות שלפני גיליון ג ושל אחריו, שנזכר לעיל בהערת שוליים </w:t>
      </w:r>
      <w:r>
        <w:rPr>
          <w:sz w:val="20"/>
          <w:szCs w:val="20"/>
          <w:rtl/>
        </w:rPr>
        <w:fldChar w:fldCharType="begin" w:dirty="true"/>
      </w:r>
      <w:r>
        <w:rPr>
          <w:sz w:val="20"/>
          <w:szCs w:val="20"/>
          <w:rtl/>
        </w:rPr>
        <w:instrText xml:space="preserve"> NOTEREF pr_f_4707 \h </w:instrText>
      </w:r>
      <w:r>
        <w:rPr>
          <w:sz w:val="20"/>
          <w:szCs w:val="20"/>
          <w:rtl/>
        </w:rPr>
      </w:r>
      <w:r>
        <w:rPr>
          <w:sz w:val="20"/>
          <w:szCs w:val="20"/>
          <w:rtl/>
        </w:rPr>
        <w:fldChar w:fldCharType="separate"/>
      </w:r>
      <w:r w:rsidR="007923E9">
        <w:rPr>
          <w:sz w:val="20"/>
          <w:szCs w:val="20"/>
          <w:rtl/>
        </w:rPr>
        <w:t>361</w:t>
      </w:r>
      <w:r>
        <w:rPr>
          <w:sz w:val="20"/>
          <w:szCs w:val="20"/>
          <w:rtl/>
        </w:rPr>
        <w:fldChar w:fldCharType="end"/>
      </w:r>
      <w:r>
        <w:rPr>
          <w:sz w:val="20"/>
          <w:szCs w:val="20"/>
          <w:rtl/>
        </w:rPr>
        <w:t>.</w:t>
      </w:r>
    </w:p>
  </w:footnote>
  <w:footnote w:id="4844">
    <w:p w14:paraId="5B8E296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עיין </w:t>
      </w:r>
      <w:proofErr w:type="spellStart"/>
      <w:r>
        <w:rPr>
          <w:sz w:val="20"/>
          <w:szCs w:val="20"/>
          <w:rtl/>
        </w:rPr>
        <w:t>מהרש״א</w:t>
      </w:r>
      <w:proofErr w:type="spellEnd"/>
      <w:r>
        <w:rPr>
          <w:sz w:val="20"/>
          <w:szCs w:val="20"/>
          <w:rtl/>
        </w:rPr>
        <w:t xml:space="preserve"> חידושי אגדות, סוכה ריש נ״ב ע״א </w:t>
      </w:r>
      <w:proofErr w:type="spellStart"/>
      <w:r>
        <w:rPr>
          <w:sz w:val="20"/>
          <w:szCs w:val="20"/>
          <w:rtl/>
        </w:rPr>
        <w:t>ובשו״ת</w:t>
      </w:r>
      <w:proofErr w:type="spellEnd"/>
      <w:r>
        <w:rPr>
          <w:sz w:val="20"/>
          <w:szCs w:val="20"/>
          <w:rtl/>
        </w:rPr>
        <w:t xml:space="preserve"> </w:t>
      </w:r>
      <w:proofErr w:type="spellStart"/>
      <w:r>
        <w:rPr>
          <w:sz w:val="20"/>
          <w:szCs w:val="20"/>
          <w:rtl/>
        </w:rPr>
        <w:t>חת״ס</w:t>
      </w:r>
      <w:proofErr w:type="spellEnd"/>
      <w:r>
        <w:rPr>
          <w:sz w:val="20"/>
          <w:szCs w:val="20"/>
          <w:rtl/>
        </w:rPr>
        <w:t xml:space="preserve">, ליקוטים תש׳ </w:t>
      </w:r>
      <w:proofErr w:type="spellStart"/>
      <w:r>
        <w:rPr>
          <w:sz w:val="20"/>
          <w:szCs w:val="20"/>
          <w:rtl/>
        </w:rPr>
        <w:t>צט</w:t>
      </w:r>
      <w:proofErr w:type="spellEnd"/>
      <w:r>
        <w:rPr>
          <w:sz w:val="20"/>
          <w:szCs w:val="20"/>
          <w:rtl/>
        </w:rPr>
        <w:t>, שהריגתו היא לכפר על שבית יוסף נחלק על מלכות בית דוד.</w:t>
      </w:r>
    </w:p>
  </w:footnote>
  <w:footnote w:id="4845">
    <w:p w14:paraId="77D752A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אני מתכוון לעמדה הלכתית שנקט ר׳ ישראל ביחס לעצמו, כפי שמסר רבנו, והיא תידון בפסקה האחרונה של נספח זה.</w:t>
      </w:r>
    </w:p>
  </w:footnote>
  <w:footnote w:id="4846">
    <w:p w14:paraId="1A8B6CC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כפי שיידון בסוף נספח זה.</w:t>
      </w:r>
    </w:p>
  </w:footnote>
  <w:footnote w:id="4847">
    <w:p w14:paraId="71D99F8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“החסידות הליטאית”, מאת זאב </w:t>
      </w:r>
      <w:proofErr w:type="spellStart"/>
      <w:r>
        <w:rPr>
          <w:sz w:val="20"/>
          <w:szCs w:val="20"/>
          <w:rtl/>
        </w:rPr>
        <w:t>רבינוביץ</w:t>
      </w:r>
      <w:proofErr w:type="spellEnd"/>
      <w:r>
        <w:rPr>
          <w:sz w:val="20"/>
          <w:szCs w:val="20"/>
          <w:rtl/>
        </w:rPr>
        <w:t xml:space="preserve"> (מוסד ביאליק, ירושלים, תשכ״א), עמ׳ 44; ומאמר מחקרי מאת אברהם אביש שור בשם “על תקופת שהותו של מרן </w:t>
      </w:r>
      <w:proofErr w:type="spellStart"/>
      <w:r>
        <w:rPr>
          <w:sz w:val="20"/>
          <w:szCs w:val="20"/>
          <w:rtl/>
        </w:rPr>
        <w:t>הרא״ש</w:t>
      </w:r>
      <w:proofErr w:type="spellEnd"/>
      <w:r>
        <w:rPr>
          <w:sz w:val="20"/>
          <w:szCs w:val="20"/>
          <w:rtl/>
        </w:rPr>
        <w:t xml:space="preserve"> הגדול מסטאלין </w:t>
      </w:r>
      <w:proofErr w:type="spellStart"/>
      <w:r>
        <w:rPr>
          <w:sz w:val="20"/>
          <w:szCs w:val="20"/>
          <w:rtl/>
        </w:rPr>
        <w:t>בזעליחוב</w:t>
      </w:r>
      <w:proofErr w:type="spellEnd"/>
      <w:r>
        <w:rPr>
          <w:sz w:val="20"/>
          <w:szCs w:val="20"/>
          <w:rtl/>
        </w:rPr>
        <w:t xml:space="preserve"> שבפולין”, </w:t>
      </w:r>
      <w:proofErr w:type="spellStart"/>
      <w:r>
        <w:rPr>
          <w:sz w:val="20"/>
          <w:szCs w:val="20"/>
          <w:rtl/>
        </w:rPr>
        <w:t>ב“קובץ</w:t>
      </w:r>
      <w:proofErr w:type="spellEnd"/>
      <w:r>
        <w:rPr>
          <w:sz w:val="20"/>
          <w:szCs w:val="20"/>
          <w:rtl/>
        </w:rPr>
        <w:t xml:space="preserve"> בית אהרן וישראל”, שנה ב, גיליון ד (ניסן–אייר תשמ״ז).</w:t>
      </w:r>
    </w:p>
  </w:footnote>
  <w:footnote w:id="4848">
    <w:p w14:paraId="44CAF56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“החסידות הליטאית”, עמ׳ 29–30, הערה 73: הרבי החסידי ר׳ </w:t>
      </w:r>
      <w:proofErr w:type="spellStart"/>
      <w:r>
        <w:rPr>
          <w:sz w:val="20"/>
          <w:szCs w:val="20"/>
          <w:rtl/>
        </w:rPr>
        <w:t>לוי־יצחק</w:t>
      </w:r>
      <w:proofErr w:type="spellEnd"/>
      <w:r>
        <w:rPr>
          <w:sz w:val="20"/>
          <w:szCs w:val="20"/>
          <w:rtl/>
        </w:rPr>
        <w:t xml:space="preserve"> (</w:t>
      </w:r>
      <w:proofErr w:type="spellStart"/>
      <w:r>
        <w:rPr>
          <w:sz w:val="20"/>
          <w:szCs w:val="20"/>
          <w:rtl/>
        </w:rPr>
        <w:t>דערבארעמדיגער</w:t>
      </w:r>
      <w:proofErr w:type="spellEnd"/>
      <w:r>
        <w:rPr>
          <w:sz w:val="20"/>
          <w:szCs w:val="20"/>
          <w:rtl/>
        </w:rPr>
        <w:t xml:space="preserve">), שהתיישב </w:t>
      </w:r>
      <w:proofErr w:type="spellStart"/>
      <w:r>
        <w:rPr>
          <w:sz w:val="20"/>
          <w:szCs w:val="20"/>
          <w:rtl/>
        </w:rPr>
        <w:t>בברדיצ׳ב</w:t>
      </w:r>
      <w:proofErr w:type="spellEnd"/>
      <w:r>
        <w:rPr>
          <w:sz w:val="20"/>
          <w:szCs w:val="20"/>
          <w:rtl/>
        </w:rPr>
        <w:t xml:space="preserve"> </w:t>
      </w:r>
      <w:proofErr w:type="spellStart"/>
      <w:r>
        <w:rPr>
          <w:sz w:val="20"/>
          <w:szCs w:val="20"/>
          <w:rtl/>
        </w:rPr>
        <w:t>בתקמ״ה</w:t>
      </w:r>
      <w:proofErr w:type="spellEnd"/>
      <w:r>
        <w:rPr>
          <w:sz w:val="20"/>
          <w:szCs w:val="20"/>
          <w:rtl/>
        </w:rPr>
        <w:t>, נקרא “</w:t>
      </w:r>
      <w:proofErr w:type="spellStart"/>
      <w:r>
        <w:rPr>
          <w:sz w:val="20"/>
          <w:szCs w:val="20"/>
          <w:rtl/>
        </w:rPr>
        <w:t>ז׳ליחובר</w:t>
      </w:r>
      <w:proofErr w:type="spellEnd"/>
      <w:r>
        <w:rPr>
          <w:sz w:val="20"/>
          <w:szCs w:val="20"/>
          <w:rtl/>
        </w:rPr>
        <w:t xml:space="preserve">” בפי המתנגדים בני זמנו גם אחרי שעזב את </w:t>
      </w:r>
      <w:proofErr w:type="spellStart"/>
      <w:r>
        <w:rPr>
          <w:sz w:val="20"/>
          <w:szCs w:val="20"/>
          <w:rtl/>
        </w:rPr>
        <w:t>ז׳ליחוב</w:t>
      </w:r>
      <w:proofErr w:type="spellEnd"/>
      <w:r>
        <w:rPr>
          <w:sz w:val="20"/>
          <w:szCs w:val="20"/>
          <w:rtl/>
        </w:rPr>
        <w:t xml:space="preserve"> ונעשה רבה של </w:t>
      </w:r>
      <w:proofErr w:type="spellStart"/>
      <w:r>
        <w:rPr>
          <w:sz w:val="20"/>
          <w:szCs w:val="20"/>
          <w:rtl/>
        </w:rPr>
        <w:t>פינסק</w:t>
      </w:r>
      <w:proofErr w:type="spellEnd"/>
      <w:r>
        <w:rPr>
          <w:sz w:val="20"/>
          <w:szCs w:val="20"/>
          <w:rtl/>
        </w:rPr>
        <w:t xml:space="preserve">. אולם הוא היה קשור </w:t>
      </w:r>
      <w:proofErr w:type="spellStart"/>
      <w:r>
        <w:rPr>
          <w:sz w:val="20"/>
          <w:szCs w:val="20"/>
          <w:rtl/>
        </w:rPr>
        <w:t>לז׳ליחוב</w:t>
      </w:r>
      <w:proofErr w:type="spellEnd"/>
      <w:r>
        <w:rPr>
          <w:sz w:val="20"/>
          <w:szCs w:val="20"/>
          <w:rtl/>
        </w:rPr>
        <w:t xml:space="preserve"> יותר מר׳ אשר, שהרי כיהן שם ברבנות, וראה עצמו קשור לעיר די הצורך כדי לכעוס על ר׳ אשר על שניסה להשתקע בה. השווה שם, עמ׳ 44, </w:t>
      </w:r>
      <w:proofErr w:type="spellStart"/>
      <w:r>
        <w:rPr>
          <w:sz w:val="20"/>
          <w:szCs w:val="20"/>
          <w:rtl/>
        </w:rPr>
        <w:t>ו“קובץ</w:t>
      </w:r>
      <w:proofErr w:type="spellEnd"/>
      <w:r>
        <w:rPr>
          <w:sz w:val="20"/>
          <w:szCs w:val="20"/>
          <w:rtl/>
        </w:rPr>
        <w:t xml:space="preserve"> בית אהרן וישראל”, שם, הערה 36. (</w:t>
      </w:r>
      <w:proofErr w:type="spellStart"/>
      <w:r>
        <w:rPr>
          <w:sz w:val="20"/>
          <w:szCs w:val="20"/>
          <w:rtl/>
        </w:rPr>
        <w:t>ב“דור</w:t>
      </w:r>
      <w:proofErr w:type="spellEnd"/>
      <w:r>
        <w:rPr>
          <w:sz w:val="20"/>
          <w:szCs w:val="20"/>
          <w:rtl/>
        </w:rPr>
        <w:t xml:space="preserve"> דעה”, עמ׳ </w:t>
      </w:r>
      <w:proofErr w:type="spellStart"/>
      <w:r>
        <w:rPr>
          <w:sz w:val="20"/>
          <w:szCs w:val="20"/>
          <w:rtl/>
        </w:rPr>
        <w:t>קמב</w:t>
      </w:r>
      <w:proofErr w:type="spellEnd"/>
      <w:r>
        <w:rPr>
          <w:sz w:val="20"/>
          <w:szCs w:val="20"/>
          <w:rtl/>
        </w:rPr>
        <w:t xml:space="preserve">, ובישראלי, עמ׳ </w:t>
      </w:r>
      <w:proofErr w:type="spellStart"/>
      <w:r>
        <w:rPr>
          <w:sz w:val="20"/>
          <w:szCs w:val="20"/>
          <w:rtl/>
        </w:rPr>
        <w:t>קכג</w:t>
      </w:r>
      <w:proofErr w:type="spellEnd"/>
      <w:r>
        <w:rPr>
          <w:sz w:val="20"/>
          <w:szCs w:val="20"/>
          <w:rtl/>
        </w:rPr>
        <w:t xml:space="preserve">, נהפך בטעות סדר כהונותיו של ר׳ </w:t>
      </w:r>
      <w:proofErr w:type="spellStart"/>
      <w:r>
        <w:rPr>
          <w:sz w:val="20"/>
          <w:szCs w:val="20"/>
          <w:rtl/>
        </w:rPr>
        <w:t>לוי־יצחק</w:t>
      </w:r>
      <w:proofErr w:type="spellEnd"/>
      <w:r>
        <w:rPr>
          <w:sz w:val="20"/>
          <w:szCs w:val="20"/>
          <w:rtl/>
        </w:rPr>
        <w:t xml:space="preserve"> ברבנות.) אני חייב תודה לד״ר יצחק אלפסי על עזרתו במסורות החסידיות שנזכרו לעיל.</w:t>
      </w:r>
    </w:p>
  </w:footnote>
  <w:footnote w:id="4849">
    <w:p w14:paraId="39367E1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מ־3 ביולי 1995.</w:t>
      </w:r>
    </w:p>
  </w:footnote>
  <w:footnote w:id="4850">
    <w:p w14:paraId="7A8F046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85–86.</w:t>
      </w:r>
    </w:p>
  </w:footnote>
  <w:footnote w:id="4851">
    <w:p w14:paraId="5BA7CB8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67–68.</w:t>
      </w:r>
    </w:p>
  </w:footnote>
  <w:footnote w:id="4852">
    <w:p w14:paraId="4F383FE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3, נספח ב לעיל – עמ׳ לב–לג.</w:t>
      </w:r>
    </w:p>
  </w:footnote>
  <w:footnote w:id="4853">
    <w:p w14:paraId="3BF95C4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130.</w:t>
      </w:r>
    </w:p>
  </w:footnote>
  <w:footnote w:id="4854">
    <w:p w14:paraId="685639A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דפוס י.נ. </w:t>
      </w:r>
      <w:proofErr w:type="spellStart"/>
      <w:r>
        <w:rPr>
          <w:sz w:val="20"/>
          <w:szCs w:val="20"/>
          <w:rtl/>
        </w:rPr>
        <w:t>גארבער</w:t>
      </w:r>
      <w:proofErr w:type="spellEnd"/>
      <w:r>
        <w:rPr>
          <w:sz w:val="20"/>
          <w:szCs w:val="20"/>
          <w:rtl/>
        </w:rPr>
        <w:t xml:space="preserve">, </w:t>
      </w:r>
      <w:proofErr w:type="spellStart"/>
      <w:r>
        <w:rPr>
          <w:sz w:val="20"/>
          <w:szCs w:val="20"/>
          <w:rtl/>
        </w:rPr>
        <w:t>ווילנא</w:t>
      </w:r>
      <w:proofErr w:type="spellEnd"/>
      <w:r>
        <w:rPr>
          <w:sz w:val="20"/>
          <w:szCs w:val="20"/>
          <w:rtl/>
        </w:rPr>
        <w:t>, תרס״ז.</w:t>
      </w:r>
    </w:p>
  </w:footnote>
  <w:footnote w:id="4855">
    <w:p w14:paraId="4EEEB36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תקו</w:t>
      </w:r>
      <w:proofErr w:type="spellEnd"/>
      <w:r>
        <w:rPr>
          <w:sz w:val="20"/>
          <w:szCs w:val="20"/>
          <w:rtl/>
        </w:rPr>
        <w:t>–1012.</w:t>
      </w:r>
    </w:p>
  </w:footnote>
  <w:footnote w:id="4856">
    <w:p w14:paraId="36655A4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גם תיארוך המעשה </w:t>
      </w:r>
      <w:proofErr w:type="spellStart"/>
      <w:r>
        <w:rPr>
          <w:sz w:val="20"/>
          <w:szCs w:val="20"/>
          <w:rtl/>
        </w:rPr>
        <w:t>לתר״ל</w:t>
      </w:r>
      <w:proofErr w:type="spellEnd"/>
      <w:r>
        <w:rPr>
          <w:sz w:val="20"/>
          <w:szCs w:val="20"/>
          <w:rtl/>
        </w:rPr>
        <w:t xml:space="preserve">, יותר מעשרים שנה אחרי המאורע, מוטעה, אך ייתכן שזו טעות דפוס כלשהי. על תאריך מוטעה זה ראה גם כץ, “תנועת המוסר”, כרך א, הערה בעמ׳ 160. כץ מציע </w:t>
      </w:r>
      <w:proofErr w:type="spellStart"/>
      <w:r>
        <w:rPr>
          <w:sz w:val="20"/>
          <w:szCs w:val="20"/>
          <w:rtl/>
        </w:rPr>
        <w:t>ש“מקור</w:t>
      </w:r>
      <w:proofErr w:type="spellEnd"/>
      <w:r>
        <w:rPr>
          <w:sz w:val="20"/>
          <w:szCs w:val="20"/>
          <w:rtl/>
        </w:rPr>
        <w:t xml:space="preserve"> ברוך” בלבל בין מגפת הכולרה של תר״ח ובין ההתפרצות המאוחרת </w:t>
      </w:r>
      <w:proofErr w:type="spellStart"/>
      <w:r>
        <w:rPr>
          <w:sz w:val="20"/>
          <w:szCs w:val="20"/>
          <w:rtl/>
        </w:rPr>
        <w:t>בתר״ל</w:t>
      </w:r>
      <w:proofErr w:type="spellEnd"/>
      <w:r>
        <w:rPr>
          <w:sz w:val="20"/>
          <w:szCs w:val="20"/>
          <w:rtl/>
        </w:rPr>
        <w:t>, שבה נפטרה הרבנית של ר׳ ישראל.</w:t>
      </w:r>
    </w:p>
  </w:footnote>
  <w:footnote w:id="4857">
    <w:p w14:paraId="6945F451" w14:textId="77777777" w:rsidR="00AB3647" w:rsidRDefault="00000000">
      <w:pPr>
        <w:spacing w:after="0" w:before="0"/>
        <w:jc w:val="both"/>
      </w:pPr>
      <w:r>
        <w:rPr>
          <w:rStyle w:val="a5"/>
          <w:vertAlign w:val="superscript"/>
          <w:rtl/>
        </w:rPr>
        <w:footnoteRef/>
      </w:r>
      <w:r>
        <w:rPr>
          <w:sz w:val="20"/>
          <w:szCs w:val="20"/>
        </w:rPr>
        <w:t xml:space="preserve"> </w:t>
      </w:r>
      <w:r>
        <w:rPr>
          <w:rStyle w:val="a5"/>
          <w:sz w:val="20"/>
          <w:szCs w:val="20"/>
          <w:vertAlign w:val="baseline"/>
          <w:rtl/>
        </w:rPr>
        <w:t/>
      </w:r>
      <w:r>
        <w:rPr>
          <w:rFonts w:ascii="David" w:eastAsia="David" w:hAnsi="David" w:cs="David"/>
          <w:sz w:val="20"/>
          <w:szCs w:val="20"/>
          <w:rtl/>
        </w:rPr>
        <w:t xml:space="preserve"/>
      </w:r>
      <w:r>
        <w:rPr>
          <w:b/>
          <w:sz w:val="20"/>
          <w:szCs w:val="20"/>
          <w:rtl/>
        </w:rPr>
        <w:t xml:space="preserve">הערת המתרגם: </w:t>
      </w:r>
      <w:r>
        <w:rPr>
          <w:sz w:val="20"/>
          <w:szCs w:val="20"/>
          <w:rtl/>
        </w:rPr>
        <w:t xml:space="preserve">שנת תר״ח מקבילה ל־1847–1848, ומגפת הכולרה בווילנה הייתה ב־1848 (ראה לעיל בנספח זה), ולא ב־1849 כבמקור.</w:t>
      </w:r>
    </w:p>
  </w:footnote>
  <w:footnote w:id="4858">
    <w:p w14:paraId="3BBAB80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184.</w:t>
      </w:r>
    </w:p>
  </w:footnote>
  <w:footnote w:id="4859">
    <w:p w14:paraId="0533581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הלשון החריגה במשפט האחרון נידונה להלן.</w:t>
      </w:r>
    </w:p>
  </w:footnote>
  <w:footnote w:id="4860">
    <w:p w14:paraId="1DC61E0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ועיין בהערת שוליים </w:t>
      </w:r>
      <w:r>
        <w:rPr>
          <w:rStyle w:val="a5"/>
          <w:sz w:val="20"/>
          <w:szCs w:val="20"/>
          <w:vertAlign w:val="baseline"/>
          <w:rtl/>
        </w:rPr>
        <w:fldChar w:fldCharType="begin" w:dirty="true"/>
      </w:r>
      <w:r>
        <w:rPr>
          <w:rStyle w:val="a5"/>
          <w:sz w:val="20"/>
          <w:szCs w:val="20"/>
          <w:vertAlign w:val="baseline"/>
          <w:rtl/>
        </w:rPr>
        <w:instrText xml:space="preserve"> NOTEREF pr_f_4634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288</w:t>
      </w:r>
      <w:r>
        <w:rPr>
          <w:rStyle w:val="a5"/>
          <w:sz w:val="20"/>
          <w:szCs w:val="20"/>
          <w:vertAlign w:val="baseline"/>
          <w:rtl/>
        </w:rPr>
        <w:fldChar w:fldCharType="end"/>
      </w:r>
      <w:r>
        <w:rPr>
          <w:rStyle w:val="a5"/>
          <w:sz w:val="20"/>
          <w:szCs w:val="20"/>
          <w:vertAlign w:val="baseline"/>
          <w:rtl/>
        </w:rPr>
        <w:t xml:space="preserve"> בעמ׳ </w:t>
      </w:r>
      <w:r>
        <w:rPr>
          <w:rStyle w:val="a5"/>
          <w:sz w:val="20"/>
          <w:szCs w:val="20"/>
          <w:vertAlign w:val="baseline"/>
          <w:rtl/>
        </w:rPr>
        <w:fldChar w:fldCharType="begin" w:dirty="true"/>
      </w:r>
      <w:r>
        <w:rPr>
          <w:rStyle w:val="a5"/>
          <w:sz w:val="20"/>
          <w:szCs w:val="20"/>
          <w:vertAlign w:val="baseline"/>
          <w:rtl/>
        </w:rPr>
        <w:instrText xml:space="preserve"> PAGEREF pr_f_4634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 xml:space="preserve"> שעזרא הסופר גם כן קיים יום כיפור סודי בשעתו: ההבדל בין עזרא הסופר ור׳ ישראל הוא שעזרא לא גילה להמון העם שבכלל יש צום של יוה״כ ורק לתלמידיו הוא גילה, ור׳ ישראל ביטל את הצום עבור ההמון וגילה לתלמידיו שבעבורם נשאר הצום על כנו</w:t>
      </w:r>
      <w:r>
        <w:rPr>
          <w:sz w:val="20"/>
          <w:szCs w:val="20"/>
          <w:rtl/>
        </w:rPr>
        <w:t>.</w:t>
      </w:r>
    </w:p>
  </w:footnote>
  <w:footnote w:id="4861">
    <w:p w14:paraId="547ABF9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ועיין יבמות ע״ט ע״א מוטב שתיעקר אות אחת וכו׳ ואל יתחלל שם שמים </w:t>
      </w:r>
      <w:proofErr w:type="spellStart"/>
      <w:r>
        <w:rPr>
          <w:sz w:val="20"/>
          <w:szCs w:val="20"/>
          <w:rtl/>
        </w:rPr>
        <w:t>בפרהסיא</w:t>
      </w:r>
      <w:proofErr w:type="spellEnd"/>
      <w:r>
        <w:rPr>
          <w:sz w:val="20"/>
          <w:szCs w:val="20"/>
          <w:rtl/>
        </w:rPr>
        <w:t xml:space="preserve"> ובחידושי </w:t>
      </w:r>
      <w:proofErr w:type="spellStart"/>
      <w:r>
        <w:rPr>
          <w:sz w:val="20"/>
          <w:szCs w:val="20"/>
          <w:rtl/>
        </w:rPr>
        <w:t>הריטב״א</w:t>
      </w:r>
      <w:proofErr w:type="spellEnd"/>
      <w:r>
        <w:rPr>
          <w:sz w:val="20"/>
          <w:szCs w:val="20"/>
          <w:rtl/>
        </w:rPr>
        <w:t xml:space="preserve"> שם.</w:t>
      </w:r>
    </w:p>
  </w:footnote>
  <w:footnote w:id="4862">
    <w:p w14:paraId="0414136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או״ח</w:t>
      </w:r>
      <w:proofErr w:type="spellEnd"/>
      <w:r>
        <w:rPr>
          <w:sz w:val="20"/>
          <w:szCs w:val="20"/>
          <w:rtl/>
        </w:rPr>
        <w:t xml:space="preserve"> סי׳ של״ד </w:t>
      </w:r>
      <w:proofErr w:type="spellStart"/>
      <w:r>
        <w:rPr>
          <w:sz w:val="20"/>
          <w:szCs w:val="20"/>
          <w:rtl/>
        </w:rPr>
        <w:t>סכ״ו</w:t>
      </w:r>
      <w:proofErr w:type="spellEnd"/>
      <w:r>
        <w:rPr>
          <w:sz w:val="20"/>
          <w:szCs w:val="20"/>
          <w:rtl/>
        </w:rPr>
        <w:t xml:space="preserve"> בהגה.</w:t>
      </w:r>
    </w:p>
  </w:footnote>
  <w:footnote w:id="4863">
    <w:p w14:paraId="1138A48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w:t>
      </w:r>
      <w:proofErr w:type="spellStart"/>
      <w:r>
        <w:rPr>
          <w:sz w:val="20"/>
          <w:szCs w:val="20"/>
          <w:rtl/>
        </w:rPr>
        <w:t>או״ח</w:t>
      </w:r>
      <w:proofErr w:type="spellEnd"/>
      <w:r>
        <w:rPr>
          <w:sz w:val="20"/>
          <w:szCs w:val="20"/>
          <w:rtl/>
        </w:rPr>
        <w:t xml:space="preserve"> סי׳ שכ״ט במ״ב </w:t>
      </w:r>
      <w:proofErr w:type="spellStart"/>
      <w:r>
        <w:rPr>
          <w:sz w:val="20"/>
          <w:szCs w:val="20"/>
          <w:rtl/>
        </w:rPr>
        <w:t>סקי״ז</w:t>
      </w:r>
      <w:proofErr w:type="spellEnd"/>
      <w:r>
        <w:rPr>
          <w:sz w:val="20"/>
          <w:szCs w:val="20"/>
          <w:rtl/>
        </w:rPr>
        <w:t>.</w:t>
      </w:r>
    </w:p>
  </w:footnote>
  <w:footnote w:id="4864">
    <w:p w14:paraId="450C36D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“היסטוריה עממית של היהודים”, מאת פרופ׳ ה. </w:t>
      </w:r>
      <w:proofErr w:type="spellStart"/>
      <w:r>
        <w:rPr>
          <w:sz w:val="20"/>
          <w:szCs w:val="20"/>
          <w:rtl/>
        </w:rPr>
        <w:t>גרץ</w:t>
      </w:r>
      <w:proofErr w:type="spellEnd"/>
      <w:r>
        <w:rPr>
          <w:sz w:val="20"/>
          <w:szCs w:val="20"/>
          <w:rtl/>
        </w:rPr>
        <w:t>, כרך ד, חלק 1, פרק ב, בשם “המוות השחור וטבח יהודים (1335–1391)”.</w:t>
      </w:r>
    </w:p>
  </w:footnote>
  <w:footnote w:id="4865">
    <w:p w14:paraId="00A0BC9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1, הערה 11 – עמ׳ לא–לב.</w:t>
      </w:r>
    </w:p>
  </w:footnote>
  <w:footnote w:id="4866">
    <w:p w14:paraId="317072B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יומא עד ע״א.</w:t>
      </w:r>
    </w:p>
  </w:footnote>
  <w:footnote w:id="4867">
    <w:p w14:paraId="41EE436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מסתבר שהתלמידים – לפחות מקצתם – נכחו במקום, שכן </w:t>
      </w:r>
      <w:proofErr w:type="spellStart"/>
      <w:r>
        <w:rPr>
          <w:sz w:val="20"/>
          <w:szCs w:val="20"/>
          <w:rtl/>
        </w:rPr>
        <w:t>הזארעצ׳ר</w:t>
      </w:r>
      <w:proofErr w:type="spellEnd"/>
      <w:r>
        <w:rPr>
          <w:sz w:val="20"/>
          <w:szCs w:val="20"/>
          <w:rtl/>
        </w:rPr>
        <w:t xml:space="preserve"> </w:t>
      </w:r>
      <w:proofErr w:type="spellStart"/>
      <w:r>
        <w:rPr>
          <w:sz w:val="20"/>
          <w:szCs w:val="20"/>
          <w:rtl/>
        </w:rPr>
        <w:t>קלויז</w:t>
      </w:r>
      <w:proofErr w:type="spellEnd"/>
      <w:r>
        <w:rPr>
          <w:sz w:val="20"/>
          <w:szCs w:val="20"/>
          <w:rtl/>
        </w:rPr>
        <w:t xml:space="preserve">, שבו נאמרה ההכרזה (עמ׳ </w:t>
      </w:r>
      <w:r>
        <w:rPr>
          <w:sz w:val="20"/>
          <w:szCs w:val="20"/>
          <w:rtl/>
        </w:rPr>
        <w:fldChar w:fldCharType="begin" w:dirty="true"/>
      </w:r>
      <w:r>
        <w:rPr>
          <w:sz w:val="20"/>
          <w:szCs w:val="20"/>
          <w:rtl/>
        </w:rPr>
        <w:instrText xml:space="preserve"> PAGEREF pr_b_2637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לעיל), היה מקומה של ישיבת ר׳ ישראל בווילנה.</w:t>
      </w:r>
    </w:p>
  </w:footnote>
  <w:footnote w:id="4868">
    <w:p w14:paraId="6C9CB91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183–184.</w:t>
      </w:r>
    </w:p>
  </w:footnote>
  <w:footnote w:id="4869">
    <w:p w14:paraId="5375BAD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184.</w:t>
      </w:r>
    </w:p>
  </w:footnote>
  <w:footnote w:id="4870">
    <w:p w14:paraId="668CA96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ויקרא </w:t>
      </w:r>
      <w:proofErr w:type="spellStart"/>
      <w:r>
        <w:rPr>
          <w:sz w:val="20"/>
          <w:szCs w:val="20"/>
          <w:rtl/>
        </w:rPr>
        <w:t>יח</w:t>
      </w:r>
      <w:proofErr w:type="spellEnd"/>
      <w:r>
        <w:rPr>
          <w:sz w:val="20"/>
          <w:szCs w:val="20"/>
          <w:rtl/>
        </w:rPr>
        <w:t>, ה ויומא פה ע״ב.</w:t>
      </w:r>
    </w:p>
  </w:footnote>
  <w:footnote w:id="4871">
    <w:p w14:paraId="3D4AFD0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w:t>
      </w:r>
      <w:proofErr w:type="spellStart"/>
      <w:r>
        <w:rPr>
          <w:sz w:val="20"/>
          <w:szCs w:val="20"/>
          <w:rtl/>
        </w:rPr>
        <w:t>אטקס</w:t>
      </w:r>
      <w:proofErr w:type="spellEnd"/>
      <w:r>
        <w:rPr>
          <w:sz w:val="20"/>
          <w:szCs w:val="20"/>
          <w:rtl/>
        </w:rPr>
        <w:t xml:space="preserve">, “ר׳ ישראל </w:t>
      </w:r>
      <w:proofErr w:type="spellStart"/>
      <w:r>
        <w:rPr>
          <w:sz w:val="20"/>
          <w:szCs w:val="20"/>
          <w:rtl/>
        </w:rPr>
        <w:t>סלנטר</w:t>
      </w:r>
      <w:proofErr w:type="spellEnd"/>
      <w:r>
        <w:rPr>
          <w:sz w:val="20"/>
          <w:szCs w:val="20"/>
          <w:rtl/>
        </w:rPr>
        <w:t xml:space="preserve"> וראשיתה של תנועת המוסר”, עמ׳ 183, הערה 52.</w:t>
      </w:r>
    </w:p>
  </w:footnote>
  <w:footnote w:id="4872">
    <w:p w14:paraId="00DABD8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ברכות מה ע״א.</w:t>
      </w:r>
    </w:p>
  </w:footnote>
  <w:footnote w:id="4873">
    <w:p w14:paraId="62A4D94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3, נספח י – עמ׳ 64.</w:t>
      </w:r>
    </w:p>
  </w:footnote>
  <w:footnote w:id="4874">
    <w:p w14:paraId="6930435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מ־31 ביולי 1992.</w:t>
      </w:r>
    </w:p>
  </w:footnote>
  <w:footnote w:id="4875">
    <w:p w14:paraId="7B94885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2, הפסקה התשיעית של נספח א.</w:t>
      </w:r>
    </w:p>
  </w:footnote>
  <w:footnote w:id="4876">
    <w:p w14:paraId="0C40729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4, הפסקה השמינית של נספח ט – עמ׳ שמח.</w:t>
      </w:r>
    </w:p>
  </w:footnote>
  <w:footnote w:id="4877">
    <w:p w14:paraId="1F78C8D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מעשה דומה מסופר </w:t>
      </w:r>
      <w:proofErr w:type="spellStart"/>
      <w:r>
        <w:rPr>
          <w:sz w:val="20"/>
          <w:szCs w:val="20"/>
          <w:rtl/>
        </w:rPr>
        <w:t>ב“פון</w:t>
      </w:r>
      <w:proofErr w:type="spellEnd"/>
      <w:r>
        <w:rPr>
          <w:sz w:val="20"/>
          <w:szCs w:val="20"/>
          <w:rtl/>
        </w:rPr>
        <w:t xml:space="preserve"> </w:t>
      </w:r>
      <w:proofErr w:type="spellStart"/>
      <w:r>
        <w:rPr>
          <w:sz w:val="20"/>
          <w:szCs w:val="20"/>
          <w:rtl/>
        </w:rPr>
        <w:t>וואלאזין</w:t>
      </w:r>
      <w:proofErr w:type="spellEnd"/>
      <w:r>
        <w:rPr>
          <w:sz w:val="20"/>
          <w:szCs w:val="20"/>
          <w:rtl/>
        </w:rPr>
        <w:t xml:space="preserve"> </w:t>
      </w:r>
      <w:proofErr w:type="spellStart"/>
      <w:r>
        <w:rPr>
          <w:sz w:val="20"/>
          <w:szCs w:val="20"/>
          <w:rtl/>
        </w:rPr>
        <w:t>ביז</w:t>
      </w:r>
      <w:proofErr w:type="spellEnd"/>
      <w:r>
        <w:rPr>
          <w:sz w:val="20"/>
          <w:szCs w:val="20"/>
          <w:rtl/>
        </w:rPr>
        <w:t xml:space="preserve"> ירושלים” [</w:t>
      </w:r>
      <w:proofErr w:type="spellStart"/>
      <w:r>
        <w:rPr>
          <w:sz w:val="20"/>
          <w:szCs w:val="20"/>
          <w:rtl/>
        </w:rPr>
        <w:t>מוולוז׳ין</w:t>
      </w:r>
      <w:proofErr w:type="spellEnd"/>
      <w:r>
        <w:rPr>
          <w:sz w:val="20"/>
          <w:szCs w:val="20"/>
          <w:rtl/>
        </w:rPr>
        <w:t xml:space="preserve"> עד ירושלים] (שם, פרק 2, הערה 4), כרך א, עמ׳ 218–219. שם, בעמ׳ 217–221, ראה גם דוגמאות לעומק דאגתו של ר׳ חיים אפילו מפני החשש הקלוש ביותר לסכנת נפשות. השווה עוד “עובדות והנהגות לבית </w:t>
      </w:r>
      <w:proofErr w:type="spellStart"/>
      <w:r>
        <w:rPr>
          <w:sz w:val="20"/>
          <w:szCs w:val="20"/>
          <w:rtl/>
        </w:rPr>
        <w:t>בריסק</w:t>
      </w:r>
      <w:proofErr w:type="spellEnd"/>
      <w:r>
        <w:rPr>
          <w:sz w:val="20"/>
          <w:szCs w:val="20"/>
          <w:rtl/>
        </w:rPr>
        <w:t xml:space="preserve">”, </w:t>
      </w:r>
      <w:proofErr w:type="spellStart"/>
      <w:r>
        <w:rPr>
          <w:sz w:val="20"/>
          <w:szCs w:val="20"/>
          <w:rtl/>
        </w:rPr>
        <w:t>ח״ב</w:t>
      </w:r>
      <w:proofErr w:type="spellEnd"/>
      <w:r>
        <w:rPr>
          <w:sz w:val="20"/>
          <w:szCs w:val="20"/>
          <w:rtl/>
        </w:rPr>
        <w:t xml:space="preserve">, עמ׳ </w:t>
      </w:r>
      <w:proofErr w:type="spellStart"/>
      <w:r>
        <w:rPr>
          <w:sz w:val="20"/>
          <w:szCs w:val="20"/>
          <w:rtl/>
        </w:rPr>
        <w:t>רסח</w:t>
      </w:r>
      <w:proofErr w:type="spellEnd"/>
      <w:r>
        <w:rPr>
          <w:sz w:val="20"/>
          <w:szCs w:val="20"/>
          <w:rtl/>
        </w:rPr>
        <w:t>–</w:t>
      </w:r>
      <w:proofErr w:type="spellStart"/>
      <w:r>
        <w:rPr>
          <w:sz w:val="20"/>
          <w:szCs w:val="20"/>
          <w:rtl/>
        </w:rPr>
        <w:t>רסט</w:t>
      </w:r>
      <w:proofErr w:type="spellEnd"/>
      <w:r>
        <w:rPr>
          <w:sz w:val="20"/>
          <w:szCs w:val="20"/>
          <w:rtl/>
        </w:rPr>
        <w:t xml:space="preserve">, וכן עמ׳ </w:t>
      </w:r>
      <w:proofErr w:type="spellStart"/>
      <w:r>
        <w:rPr>
          <w:sz w:val="20"/>
          <w:szCs w:val="20"/>
          <w:rtl/>
        </w:rPr>
        <w:t>רעא</w:t>
      </w:r>
      <w:proofErr w:type="spellEnd"/>
      <w:r>
        <w:rPr>
          <w:sz w:val="20"/>
          <w:szCs w:val="20"/>
          <w:rtl/>
        </w:rPr>
        <w:t xml:space="preserve"> ורעב: ר׳ חיים סבר שבענייני פיקוח נפש יש לנקוט אפילו צעדים שאינם הגיוניים – כפי שהובא ממקורות אחרים בפרק 2, הפסקה התשיעית של נספח א.</w:t>
      </w:r>
    </w:p>
  </w:footnote>
  <w:footnote w:id="4878">
    <w:p w14:paraId="77BD027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דברים ד, טו.</w:t>
      </w:r>
    </w:p>
  </w:footnote>
  <w:footnote w:id="4879">
    <w:p w14:paraId="2913A74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14 במאמר בנימין </w:t>
      </w:r>
      <w:proofErr w:type="spellStart"/>
      <w:r>
        <w:rPr>
          <w:sz w:val="20"/>
          <w:szCs w:val="20"/>
          <w:rtl/>
        </w:rPr>
        <w:t>נהוראי</w:t>
      </w:r>
      <w:proofErr w:type="spellEnd"/>
      <w:r>
        <w:rPr>
          <w:sz w:val="20"/>
          <w:szCs w:val="20"/>
          <w:rtl/>
        </w:rPr>
        <w:t xml:space="preserve"> שנזכר בפרק 4, הערה 158.</w:t>
      </w:r>
    </w:p>
  </w:footnote>
  <w:footnote w:id="4880">
    <w:p w14:paraId="720637B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31 באוגוסט 1992.</w:t>
      </w:r>
    </w:p>
  </w:footnote>
  <w:footnote w:id="4881">
    <w:p w14:paraId="73948C9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ויקרא </w:t>
      </w:r>
      <w:proofErr w:type="spellStart"/>
      <w:r>
        <w:rPr>
          <w:sz w:val="20"/>
          <w:szCs w:val="20"/>
          <w:rtl/>
        </w:rPr>
        <w:t>טז</w:t>
      </w:r>
      <w:proofErr w:type="spellEnd"/>
      <w:r>
        <w:rPr>
          <w:sz w:val="20"/>
          <w:szCs w:val="20"/>
          <w:rtl/>
        </w:rPr>
        <w:t>, לא.</w:t>
      </w:r>
    </w:p>
  </w:footnote>
  <w:footnote w:id="4882">
    <w:p w14:paraId="24E3967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 סוף הערה 37.</w:t>
      </w:r>
    </w:p>
  </w:footnote>
  <w:footnote w:id="4883">
    <w:p w14:paraId="4A11147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המרואיין הוסיף שכאשר קבע הפרופסור שבריאותו מספיקה לצום, “רקד ר׳ </w:t>
      </w:r>
      <w:proofErr w:type="spellStart"/>
      <w:r>
        <w:rPr>
          <w:sz w:val="20"/>
          <w:szCs w:val="20"/>
          <w:rtl/>
        </w:rPr>
        <w:t>ברוך־בער</w:t>
      </w:r>
      <w:proofErr w:type="spellEnd"/>
      <w:r>
        <w:rPr>
          <w:sz w:val="20"/>
          <w:szCs w:val="20"/>
          <w:rtl/>
        </w:rPr>
        <w:t xml:space="preserve"> מרוב שמחה”.</w:t>
      </w:r>
    </w:p>
  </w:footnote>
  <w:footnote w:id="4884">
    <w:p w14:paraId="0C4A4DD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3, הפסקה השנייה של נספח </w:t>
      </w:r>
      <w:proofErr w:type="spellStart"/>
      <w:r>
        <w:rPr>
          <w:sz w:val="20"/>
          <w:szCs w:val="20"/>
          <w:rtl/>
        </w:rPr>
        <w:t>כא</w:t>
      </w:r>
      <w:proofErr w:type="spellEnd"/>
      <w:r>
        <w:rPr>
          <w:sz w:val="20"/>
          <w:szCs w:val="20"/>
          <w:rtl/>
        </w:rPr>
        <w:t>.</w:t>
      </w:r>
    </w:p>
  </w:footnote>
  <w:footnote w:id="4885">
    <w:p w14:paraId="1999886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את המעשה האחר שנרשם בפרק 3, נספח </w:t>
      </w:r>
      <w:proofErr w:type="spellStart"/>
      <w:r>
        <w:rPr>
          <w:sz w:val="20"/>
          <w:szCs w:val="20"/>
          <w:rtl/>
        </w:rPr>
        <w:t>כא</w:t>
      </w:r>
      <w:proofErr w:type="spellEnd"/>
      <w:r>
        <w:rPr>
          <w:sz w:val="20"/>
          <w:szCs w:val="20"/>
          <w:rtl/>
        </w:rPr>
        <w:t xml:space="preserve">, שמע ר׳ שלמה בעת לימודו </w:t>
      </w:r>
      <w:proofErr w:type="spellStart"/>
      <w:r>
        <w:rPr>
          <w:sz w:val="20"/>
          <w:szCs w:val="20"/>
          <w:rtl/>
        </w:rPr>
        <w:t>במיר</w:t>
      </w:r>
      <w:proofErr w:type="spellEnd"/>
      <w:r>
        <w:rPr>
          <w:sz w:val="20"/>
          <w:szCs w:val="20"/>
          <w:rtl/>
        </w:rPr>
        <w:t xml:space="preserve">, ולא היה בטוח מי מרבני </w:t>
      </w:r>
      <w:proofErr w:type="spellStart"/>
      <w:r>
        <w:rPr>
          <w:sz w:val="20"/>
          <w:szCs w:val="20"/>
          <w:rtl/>
        </w:rPr>
        <w:t>מיר</w:t>
      </w:r>
      <w:proofErr w:type="spellEnd"/>
      <w:r>
        <w:rPr>
          <w:sz w:val="20"/>
          <w:szCs w:val="20"/>
          <w:rtl/>
        </w:rPr>
        <w:t xml:space="preserve"> לבית קמאי היה העיקרי בו, האב או הבן; את המעשה הזה סיפר על האב, ר׳ </w:t>
      </w:r>
      <w:proofErr w:type="spellStart"/>
      <w:r>
        <w:rPr>
          <w:sz w:val="20"/>
          <w:szCs w:val="20"/>
          <w:rtl/>
        </w:rPr>
        <w:t>אליהו־ברוך</w:t>
      </w:r>
      <w:proofErr w:type="spellEnd"/>
      <w:r>
        <w:rPr>
          <w:sz w:val="20"/>
          <w:szCs w:val="20"/>
          <w:rtl/>
        </w:rPr>
        <w:t xml:space="preserve"> קמאי. אולם אני סבור שאולי אירע הדבר עם הבן, ר׳ </w:t>
      </w:r>
      <w:proofErr w:type="spellStart"/>
      <w:r>
        <w:rPr>
          <w:sz w:val="20"/>
          <w:szCs w:val="20"/>
          <w:rtl/>
        </w:rPr>
        <w:t>אברהם־צבי</w:t>
      </w:r>
      <w:proofErr w:type="spellEnd"/>
      <w:r>
        <w:rPr>
          <w:sz w:val="20"/>
          <w:szCs w:val="20"/>
          <w:rtl/>
        </w:rPr>
        <w:t xml:space="preserve"> (ואז הציע לא רובלים רוסיים אלא זלוטי פולניים), שנקט אותה שיטה פיקחית וערמומית שבזכותה שכנע את האישה העיקשת במצב קשה אחר.</w:t>
      </w:r>
    </w:p>
    <w:p w14:paraId="32119F18" w14:textId="77777777" w:rsidR="00AB3647" w:rsidRDefault="00000000">
      <w:pPr>
        <w:spacing w:after="0" w:before="0"/>
        <w:jc w:val="both"/>
      </w:pPr>
      <w:r>
        <w:rPr>
          <w:sz w:val="20"/>
          <w:szCs w:val="20"/>
          <w:rtl/>
        </w:rPr>
        <w:t xml:space="preserve">ר׳ דוד </w:t>
      </w:r>
      <w:proofErr w:type="spellStart"/>
      <w:r>
        <w:rPr>
          <w:sz w:val="20"/>
          <w:szCs w:val="20"/>
          <w:rtl/>
        </w:rPr>
        <w:t>זופניק</w:t>
      </w:r>
      <w:proofErr w:type="spellEnd"/>
      <w:r>
        <w:rPr>
          <w:sz w:val="20"/>
          <w:szCs w:val="20"/>
          <w:rtl/>
        </w:rPr>
        <w:t xml:space="preserve"> – ראה הערת השוליים </w:t>
      </w:r>
      <w:r>
        <w:rPr>
          <w:sz w:val="20"/>
          <w:szCs w:val="20"/>
          <w:rtl/>
        </w:rPr>
        <w:fldChar w:fldCharType="begin" w:dirty="true"/>
      </w:r>
      <w:r>
        <w:rPr>
          <w:sz w:val="20"/>
          <w:szCs w:val="20"/>
          <w:rtl/>
        </w:rPr>
        <w:instrText xml:space="preserve"> NOTEREF pr_f_4633 \h </w:instrText>
      </w:r>
      <w:r>
        <w:rPr>
          <w:sz w:val="20"/>
          <w:szCs w:val="20"/>
          <w:rtl/>
        </w:rPr>
      </w:r>
      <w:r>
        <w:rPr>
          <w:sz w:val="20"/>
          <w:szCs w:val="20"/>
          <w:rtl/>
        </w:rPr>
        <w:fldChar w:fldCharType="separate"/>
      </w:r>
      <w:r w:rsidR="007923E9">
        <w:rPr>
          <w:sz w:val="20"/>
          <w:szCs w:val="20"/>
          <w:rtl/>
        </w:rPr>
        <w:t>287</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pr_f_4633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 סיפר שכאשר ביקש ר׳ </w:t>
      </w:r>
      <w:proofErr w:type="spellStart"/>
      <w:r>
        <w:rPr>
          <w:sz w:val="20"/>
          <w:szCs w:val="20"/>
          <w:rtl/>
        </w:rPr>
        <w:t>אברהם־צבי</w:t>
      </w:r>
      <w:proofErr w:type="spellEnd"/>
      <w:r>
        <w:rPr>
          <w:sz w:val="20"/>
          <w:szCs w:val="20"/>
          <w:rtl/>
        </w:rPr>
        <w:t xml:space="preserve"> קמאי להפחיד כמה קצבים </w:t>
      </w:r>
      <w:proofErr w:type="spellStart"/>
      <w:r>
        <w:rPr>
          <w:sz w:val="20"/>
          <w:szCs w:val="20"/>
          <w:rtl/>
        </w:rPr>
        <w:t>במיר</w:t>
      </w:r>
      <w:proofErr w:type="spellEnd"/>
      <w:r>
        <w:rPr>
          <w:sz w:val="20"/>
          <w:szCs w:val="20"/>
          <w:rtl/>
        </w:rPr>
        <w:t xml:space="preserve"> שסירבו לקבל אחת מתקנות הכשרות שלו, איים שיטיל עליהם “חרם של ים”. הם דימו שהוא מתאר נידוי חמור במיוחד, שיחול עליהם אם יוסיפו להמרות את פי רבם. הביטוי שהשתמש בו לקוח למעשה ממשנה במסכת נדרים (כ ע״א), ושם פירושו “רשת דיג”! </w:t>
      </w:r>
      <w:proofErr w:type="spellStart"/>
      <w:r>
        <w:rPr>
          <w:sz w:val="20"/>
          <w:szCs w:val="20"/>
          <w:rtl/>
        </w:rPr>
        <w:t>ה“איום</w:t>
      </w:r>
      <w:proofErr w:type="spellEnd"/>
      <w:r>
        <w:rPr>
          <w:sz w:val="20"/>
          <w:szCs w:val="20"/>
          <w:rtl/>
        </w:rPr>
        <w:t xml:space="preserve">” הועיל, </w:t>
      </w:r>
      <w:proofErr w:type="spellStart"/>
      <w:r>
        <w:rPr>
          <w:sz w:val="20"/>
          <w:szCs w:val="20"/>
          <w:rtl/>
        </w:rPr>
        <w:t>והקצבים</w:t>
      </w:r>
      <w:proofErr w:type="spellEnd"/>
      <w:r>
        <w:rPr>
          <w:sz w:val="20"/>
          <w:szCs w:val="20"/>
          <w:rtl/>
        </w:rPr>
        <w:t xml:space="preserve"> קיבלו את מרותו.</w:t>
      </w:r>
    </w:p>
  </w:footnote>
  <w:footnote w:id="4886">
    <w:p w14:paraId="69113BD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נספח ו להלן.</w:t>
      </w:r>
    </w:p>
  </w:footnote>
  <w:footnote w:id="4887">
    <w:p w14:paraId="5531F5C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237.</w:t>
      </w:r>
    </w:p>
  </w:footnote>
  <w:footnote w:id="4888">
    <w:p w14:paraId="78ADEBF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שמעתי שר׳ ישראל גילה כי החוק הצרפתי מתיר להוציא שרידים מקבר ולהשליכם אחרי חמישים שנות קבורה.</w:t>
      </w:r>
    </w:p>
  </w:footnote>
  <w:footnote w:id="4889">
    <w:p w14:paraId="4342506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סנהדרין </w:t>
      </w:r>
      <w:proofErr w:type="spellStart"/>
      <w:r>
        <w:rPr>
          <w:sz w:val="20"/>
          <w:szCs w:val="20"/>
          <w:rtl/>
        </w:rPr>
        <w:t>נז</w:t>
      </w:r>
      <w:proofErr w:type="spellEnd"/>
      <w:r>
        <w:rPr>
          <w:sz w:val="20"/>
          <w:szCs w:val="20"/>
          <w:rtl/>
        </w:rPr>
        <w:t xml:space="preserve"> ע״א ועוד.</w:t>
      </w:r>
    </w:p>
  </w:footnote>
  <w:footnote w:id="4890">
    <w:p w14:paraId="62143C7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ועיין </w:t>
      </w:r>
      <w:proofErr w:type="spellStart"/>
      <w:r>
        <w:rPr>
          <w:sz w:val="20"/>
          <w:szCs w:val="20"/>
          <w:rtl/>
        </w:rPr>
        <w:t>חזון</w:t>
      </w:r>
      <w:proofErr w:type="spellEnd"/>
      <w:r>
        <w:rPr>
          <w:sz w:val="20"/>
          <w:szCs w:val="20"/>
          <w:rtl/>
        </w:rPr>
        <w:t xml:space="preserve"> איש על </w:t>
      </w:r>
      <w:proofErr w:type="spellStart"/>
      <w:r>
        <w:rPr>
          <w:sz w:val="20"/>
          <w:szCs w:val="20"/>
          <w:rtl/>
        </w:rPr>
        <w:t>שו״ע</w:t>
      </w:r>
      <w:proofErr w:type="spellEnd"/>
      <w:r>
        <w:rPr>
          <w:sz w:val="20"/>
          <w:szCs w:val="20"/>
          <w:rtl/>
        </w:rPr>
        <w:t xml:space="preserve"> יו״ד דף ז׳ ע״ד ד״ה ונראה דאין.</w:t>
      </w:r>
    </w:p>
  </w:footnote>
  <w:footnote w:id="4891">
    <w:p w14:paraId="3D5F828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פרק 3, נספח ב – עמ׳ </w:t>
      </w:r>
      <w:proofErr w:type="spellStart"/>
      <w:r>
        <w:rPr>
          <w:sz w:val="20"/>
          <w:szCs w:val="20"/>
          <w:rtl/>
        </w:rPr>
        <w:t>נז</w:t>
      </w:r>
      <w:proofErr w:type="spellEnd"/>
      <w:r>
        <w:rPr>
          <w:sz w:val="20"/>
          <w:szCs w:val="20"/>
          <w:rtl/>
        </w:rPr>
        <w:t>.</w:t>
      </w:r>
    </w:p>
  </w:footnote>
  <w:footnote w:id="4892">
    <w:p w14:paraId="141F803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המונח </w:t>
      </w:r>
      <w:proofErr w:type="spellStart"/>
      <w:r>
        <w:rPr>
          <w:sz w:val="20"/>
          <w:szCs w:val="20"/>
          <w:rtl/>
        </w:rPr>
        <w:t>יח״ס</w:t>
      </w:r>
      <w:proofErr w:type="spellEnd"/>
      <w:r>
        <w:rPr>
          <w:sz w:val="20"/>
          <w:szCs w:val="20"/>
          <w:rtl/>
        </w:rPr>
        <w:t xml:space="preserve"> (ראשי תיבות של יחיד סגולה) שימש תואר לבעלי בתים חשובים, כפי שניכר בכל כרכי “</w:t>
      </w:r>
      <w:proofErr w:type="spellStart"/>
      <w:r>
        <w:rPr>
          <w:sz w:val="20"/>
          <w:szCs w:val="20"/>
          <w:rtl/>
        </w:rPr>
        <w:t>זכרון</w:t>
      </w:r>
      <w:proofErr w:type="spellEnd"/>
      <w:r>
        <w:rPr>
          <w:sz w:val="20"/>
          <w:szCs w:val="20"/>
          <w:rtl/>
        </w:rPr>
        <w:t xml:space="preserve"> יעקב” (שם, פרק 1, הערה 1). ועיין פי׳ דעת מקרא על דה״י א׳ </w:t>
      </w:r>
      <w:proofErr w:type="spellStart"/>
      <w:r>
        <w:rPr>
          <w:sz w:val="20"/>
          <w:szCs w:val="20"/>
          <w:rtl/>
        </w:rPr>
        <w:t>כח</w:t>
      </w:r>
      <w:proofErr w:type="spellEnd"/>
      <w:r>
        <w:rPr>
          <w:sz w:val="20"/>
          <w:szCs w:val="20"/>
          <w:rtl/>
        </w:rPr>
        <w:t xml:space="preserve">, א ד״ה ולכל </w:t>
      </w:r>
      <w:proofErr w:type="spellStart"/>
      <w:r>
        <w:rPr>
          <w:sz w:val="20"/>
          <w:szCs w:val="20"/>
          <w:rtl/>
        </w:rPr>
        <w:t>גבור</w:t>
      </w:r>
      <w:proofErr w:type="spellEnd"/>
      <w:r>
        <w:rPr>
          <w:sz w:val="20"/>
          <w:szCs w:val="20"/>
          <w:rtl/>
        </w:rPr>
        <w:t xml:space="preserve"> חיל. ר׳ יצחק </w:t>
      </w:r>
      <w:proofErr w:type="spellStart"/>
      <w:r>
        <w:rPr>
          <w:sz w:val="20"/>
          <w:szCs w:val="20"/>
          <w:rtl/>
        </w:rPr>
        <w:t>חין</w:t>
      </w:r>
      <w:proofErr w:type="spellEnd"/>
      <w:r>
        <w:rPr>
          <w:sz w:val="20"/>
          <w:szCs w:val="20"/>
          <w:rtl/>
        </w:rPr>
        <w:t xml:space="preserve"> סיפר גם הוא בשם אבי (בהספד השלושים – ראה פרק 4, סוף הערה 131) שר׳ ישראל מדד את כוס הקידוש שלו כך שתכיל את השיעור המצומצם ביותר: מאחר שהיה נתמך מכספי צדקה, סבר שאין לו זכות להחמיר ולשתות יין נוסף (‘גזול’).</w:t>
      </w:r>
    </w:p>
  </w:footnote>
  <w:footnote w:id="4893">
    <w:p w14:paraId="178570A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נח.</w:t>
      </w:r>
    </w:p>
  </w:footnote>
  <w:footnote w:id="4894">
    <w:p w14:paraId="7540825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ייתכן שהמצב המתואר קשור לפסק </w:t>
      </w:r>
      <w:proofErr w:type="spellStart"/>
      <w:r>
        <w:rPr>
          <w:sz w:val="20"/>
          <w:szCs w:val="20"/>
          <w:rtl/>
        </w:rPr>
        <w:t>בשו״ע</w:t>
      </w:r>
      <w:proofErr w:type="spellEnd"/>
      <w:r>
        <w:rPr>
          <w:sz w:val="20"/>
          <w:szCs w:val="20"/>
          <w:rtl/>
        </w:rPr>
        <w:t xml:space="preserve"> יו״ד סי׳ של״ט ס״א בהגה, שמותר להשתיק רעש, כגון קול דפיקות מבית סמוך, כדי להניח לגוסס למות. כך הלביש ר׳ ישראל את רצונו לחיות עוד רגע (על פי דברי ר׳ פסח </w:t>
      </w:r>
      <w:proofErr w:type="spellStart"/>
      <w:r>
        <w:rPr>
          <w:sz w:val="20"/>
          <w:szCs w:val="20"/>
          <w:rtl/>
        </w:rPr>
        <w:t>דיסקינד</w:t>
      </w:r>
      <w:proofErr w:type="spellEnd"/>
      <w:r>
        <w:rPr>
          <w:sz w:val="20"/>
          <w:szCs w:val="20"/>
          <w:rtl/>
        </w:rPr>
        <w:t xml:space="preserve"> שנזכרו בעמ׳ </w:t>
      </w:r>
      <w:r>
        <w:rPr>
          <w:sz w:val="20"/>
          <w:szCs w:val="20"/>
          <w:rtl/>
        </w:rPr>
        <w:fldChar w:fldCharType="begin" w:dirty="true"/>
      </w:r>
      <w:r>
        <w:rPr>
          <w:sz w:val="20"/>
          <w:szCs w:val="20"/>
          <w:rtl/>
        </w:rPr>
        <w:instrText xml:space="preserve"> PAGEREF pr_b_2635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לעיל) בטענה שאינו ראוי שיטריחו אדם לחדול מלהרעיש.</w:t>
      </w:r>
    </w:p>
  </w:footnote>
  <w:footnote w:id="4895">
    <w:p w14:paraId="46D67B6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99–100.</w:t>
      </w:r>
    </w:p>
  </w:footnote>
  <w:footnote w:id="4896">
    <w:p w14:paraId="2D4A342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נז</w:t>
      </w:r>
      <w:proofErr w:type="spellEnd"/>
      <w:r>
        <w:rPr>
          <w:sz w:val="20"/>
          <w:szCs w:val="20"/>
          <w:rtl/>
        </w:rPr>
        <w:t>.</w:t>
      </w:r>
    </w:p>
  </w:footnote>
  <w:footnote w:id="4897">
    <w:p w14:paraId="12BFAC6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ב“אור</w:t>
      </w:r>
      <w:proofErr w:type="spellEnd"/>
      <w:r>
        <w:rPr>
          <w:sz w:val="20"/>
          <w:szCs w:val="20"/>
          <w:rtl/>
        </w:rPr>
        <w:t xml:space="preserve"> ישראל” משתנה גם ההסבר ההלכתי שמביא יעקב מארק, “שינוי רשות”, ל(ייאוש ו)שינוי מעשה – שינוי בהרכב הממון הגזול, בכך שר׳ ישראל החליף במצרכי האוכל את הכסף שניתן לו על יסוד מצג שווא.</w:t>
      </w:r>
    </w:p>
  </w:footnote>
  <w:footnote w:id="4898">
    <w:p w14:paraId="5E4615B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3, סוף נספח </w:t>
      </w:r>
      <w:proofErr w:type="spellStart"/>
      <w:r>
        <w:rPr>
          <w:sz w:val="20"/>
          <w:szCs w:val="20"/>
          <w:rtl/>
        </w:rPr>
        <w:t>כז</w:t>
      </w:r>
      <w:proofErr w:type="spellEnd"/>
      <w:r>
        <w:rPr>
          <w:sz w:val="20"/>
          <w:szCs w:val="20"/>
          <w:rtl/>
        </w:rPr>
        <w:t xml:space="preserve"> – עמ׳ </w:t>
      </w:r>
      <w:proofErr w:type="spellStart"/>
      <w:r>
        <w:rPr>
          <w:sz w:val="20"/>
          <w:szCs w:val="20"/>
          <w:rtl/>
        </w:rPr>
        <w:t>מב</w:t>
      </w:r>
      <w:proofErr w:type="spellEnd"/>
      <w:r>
        <w:rPr>
          <w:sz w:val="20"/>
          <w:szCs w:val="20"/>
          <w:rtl/>
        </w:rPr>
        <w:t>–מג.</w:t>
      </w:r>
    </w:p>
  </w:footnote>
  <w:footnote w:id="4899">
    <w:p w14:paraId="41BC7BC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2.</w:t>
      </w:r>
    </w:p>
  </w:footnote>
  <w:footnote w:id="4900">
    <w:p w14:paraId="76E4664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4, הפסקה הראשונה של נספח </w:t>
      </w:r>
      <w:proofErr w:type="spellStart"/>
      <w:r>
        <w:rPr>
          <w:sz w:val="20"/>
          <w:szCs w:val="20"/>
          <w:rtl/>
        </w:rPr>
        <w:t>יג</w:t>
      </w:r>
      <w:proofErr w:type="spellEnd"/>
      <w:r>
        <w:rPr>
          <w:sz w:val="20"/>
          <w:szCs w:val="20"/>
          <w:rtl/>
        </w:rPr>
        <w:t>.</w:t>
      </w:r>
    </w:p>
  </w:footnote>
  <w:footnote w:id="4901">
    <w:p w14:paraId="33341FA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ברוקלין, ניו יורק</w:t>
      </w:r>
      <w:proofErr w:type="spellStart"/>
      <w:r>
        <w:rPr>
          <w:sz w:val="20"/>
          <w:szCs w:val="20"/>
          <w:rtl/>
        </w:rPr>
        <w:t xml:space="preserve"/>
      </w:r>
      <w:proofErr w:type="spellEnd"/>
      <w:r>
        <w:rPr>
          <w:sz w:val="20"/>
          <w:szCs w:val="20"/>
          <w:rtl/>
        </w:rPr>
        <w:t xml:space="preserve">, </w:t>
      </w:r>
      <w:proofErr w:type="spellStart"/>
      <w:r>
        <w:rPr>
          <w:sz w:val="20"/>
          <w:szCs w:val="20"/>
          <w:rtl/>
        </w:rPr>
        <w:t>תש״ם</w:t>
      </w:r>
      <w:proofErr w:type="spellEnd"/>
      <w:r>
        <w:rPr>
          <w:sz w:val="20"/>
          <w:szCs w:val="20"/>
          <w:rtl/>
        </w:rPr>
        <w:t xml:space="preserve"> – עמ׳ 75.</w:t>
      </w:r>
    </w:p>
  </w:footnote>
  <w:footnote w:id="4902">
    <w:p w14:paraId="71AF720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הערת השוליים </w:t>
      </w:r>
      <w:r>
        <w:rPr>
          <w:rStyle w:val="a5"/>
          <w:sz w:val="20"/>
          <w:szCs w:val="20"/>
          <w:vertAlign w:val="baseline"/>
          <w:rtl/>
        </w:rPr>
        <w:fldChar w:fldCharType="begin" w:dirty="true"/>
      </w:r>
      <w:r>
        <w:rPr>
          <w:rStyle w:val="a5"/>
          <w:sz w:val="20"/>
          <w:szCs w:val="20"/>
          <w:vertAlign w:val="baseline"/>
          <w:rtl/>
        </w:rPr>
        <w:instrText xml:space="preserve"> NOTEREF pr_f_5235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889</w:t>
      </w:r>
      <w:r>
        <w:rPr>
          <w:rStyle w:val="a5"/>
          <w:sz w:val="20"/>
          <w:szCs w:val="20"/>
          <w:vertAlign w:val="baseline"/>
          <w:rtl/>
        </w:rPr>
        <w:fldChar w:fldCharType="end"/>
      </w:r>
      <w:r>
        <w:rPr>
          <w:rStyle w:val="a5"/>
          <w:sz w:val="20"/>
          <w:szCs w:val="20"/>
          <w:vertAlign w:val="baseline"/>
          <w:rtl/>
        </w:rPr>
        <w:t xml:space="preserve"> בעמ׳ </w:t>
      </w:r>
      <w:r>
        <w:rPr>
          <w:rStyle w:val="a5"/>
          <w:sz w:val="20"/>
          <w:szCs w:val="20"/>
          <w:vertAlign w:val="baseline"/>
          <w:rtl/>
        </w:rPr>
        <w:fldChar w:fldCharType="begin" w:dirty="true"/>
      </w:r>
      <w:r>
        <w:rPr>
          <w:rStyle w:val="a5"/>
          <w:sz w:val="20"/>
          <w:szCs w:val="20"/>
          <w:vertAlign w:val="baseline"/>
          <w:rtl/>
        </w:rPr>
        <w:instrText xml:space="preserve"> PAGEREF pr_f_5235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 xml:space="preserve">, שר׳ חיים </w:t>
      </w:r>
      <w:proofErr w:type="spellStart"/>
      <w:r>
        <w:rPr>
          <w:rStyle w:val="a5"/>
          <w:sz w:val="20"/>
          <w:szCs w:val="20"/>
          <w:vertAlign w:val="baseline"/>
          <w:rtl/>
        </w:rPr>
        <w:t>סולובייצ׳יק</w:t>
      </w:r>
      <w:proofErr w:type="spellEnd"/>
      <w:r>
        <w:rPr>
          <w:rStyle w:val="a5"/>
          <w:sz w:val="20"/>
          <w:szCs w:val="20"/>
          <w:vertAlign w:val="baseline"/>
          <w:rtl/>
        </w:rPr>
        <w:t xml:space="preserve"> חש כך כלפי יהודי </w:t>
      </w:r>
      <w:proofErr w:type="spellStart"/>
      <w:r>
        <w:rPr>
          <w:rStyle w:val="a5"/>
          <w:sz w:val="20"/>
          <w:szCs w:val="20"/>
          <w:vertAlign w:val="baseline"/>
          <w:rtl/>
        </w:rPr>
        <w:t>בריסק</w:t>
      </w:r>
      <w:proofErr w:type="spellEnd"/>
      <w:r>
        <w:rPr>
          <w:rStyle w:val="a5"/>
          <w:sz w:val="20"/>
          <w:szCs w:val="20"/>
          <w:vertAlign w:val="baseline"/>
          <w:rtl/>
        </w:rPr>
        <w:t xml:space="preserve"> וכלפי עצמו</w:t>
      </w:r>
      <w:r>
        <w:rPr>
          <w:sz w:val="20"/>
          <w:szCs w:val="20"/>
          <w:rtl/>
        </w:rPr>
        <w:t>.</w:t>
      </w:r>
    </w:p>
  </w:footnote>
  <w:footnote w:id="4903">
    <w:p w14:paraId="72B67C5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ועיין פסיקתא רבתי </w:t>
      </w:r>
      <w:proofErr w:type="spellStart"/>
      <w:r>
        <w:rPr>
          <w:sz w:val="20"/>
          <w:szCs w:val="20"/>
          <w:rtl/>
        </w:rPr>
        <w:t>פל״ה</w:t>
      </w:r>
      <w:proofErr w:type="spellEnd"/>
      <w:r>
        <w:rPr>
          <w:sz w:val="20"/>
          <w:szCs w:val="20"/>
          <w:rtl/>
        </w:rPr>
        <w:t xml:space="preserve"> (בדפוס מאיר </w:t>
      </w:r>
      <w:proofErr w:type="spellStart"/>
      <w:r>
        <w:rPr>
          <w:sz w:val="20"/>
          <w:szCs w:val="20"/>
          <w:rtl/>
        </w:rPr>
        <w:t>איש־שלום</w:t>
      </w:r>
      <w:proofErr w:type="spellEnd"/>
      <w:r>
        <w:rPr>
          <w:sz w:val="20"/>
          <w:szCs w:val="20"/>
          <w:rtl/>
        </w:rPr>
        <w:t xml:space="preserve"> עמ׳ </w:t>
      </w:r>
      <w:proofErr w:type="spellStart"/>
      <w:r>
        <w:rPr>
          <w:sz w:val="20"/>
          <w:szCs w:val="20"/>
          <w:rtl/>
        </w:rPr>
        <w:t>קס</w:t>
      </w:r>
      <w:proofErr w:type="spellEnd"/>
      <w:r>
        <w:rPr>
          <w:sz w:val="20"/>
          <w:szCs w:val="20"/>
          <w:rtl/>
        </w:rPr>
        <w:t xml:space="preserve"> ע״ב) אמר הקב״ה וכו׳ בואו ואודיע לכם צדקתם של בניי וכו׳ </w:t>
      </w:r>
      <w:proofErr w:type="spellStart"/>
      <w:r>
        <w:rPr>
          <w:sz w:val="20"/>
          <w:szCs w:val="20"/>
          <w:rtl/>
        </w:rPr>
        <w:t>שקוראין</w:t>
      </w:r>
      <w:proofErr w:type="spellEnd"/>
      <w:r>
        <w:rPr>
          <w:sz w:val="20"/>
          <w:szCs w:val="20"/>
          <w:rtl/>
        </w:rPr>
        <w:t xml:space="preserve"> את עצמן רשעים </w:t>
      </w:r>
      <w:proofErr w:type="spellStart"/>
      <w:r>
        <w:rPr>
          <w:sz w:val="20"/>
          <w:szCs w:val="20"/>
          <w:rtl/>
        </w:rPr>
        <w:t>וקוראין</w:t>
      </w:r>
      <w:proofErr w:type="spellEnd"/>
      <w:r>
        <w:rPr>
          <w:sz w:val="20"/>
          <w:szCs w:val="20"/>
          <w:rtl/>
        </w:rPr>
        <w:t xml:space="preserve"> אותי צדיק עיי״ש. השווה גם פרק 1, הערה 11, על הגדרתו של ר׳ ישראל </w:t>
      </w:r>
      <w:proofErr w:type="spellStart"/>
      <w:r>
        <w:rPr>
          <w:sz w:val="20"/>
          <w:szCs w:val="20"/>
          <w:rtl/>
        </w:rPr>
        <w:t>סלנטר</w:t>
      </w:r>
      <w:proofErr w:type="spellEnd"/>
      <w:r>
        <w:rPr>
          <w:sz w:val="20"/>
          <w:szCs w:val="20"/>
          <w:rtl/>
        </w:rPr>
        <w:t xml:space="preserve"> </w:t>
      </w:r>
      <w:proofErr w:type="spellStart"/>
      <w:r>
        <w:rPr>
          <w:sz w:val="20"/>
          <w:szCs w:val="20"/>
          <w:rtl/>
        </w:rPr>
        <w:t>ל“גוטער</w:t>
      </w:r>
      <w:proofErr w:type="spellEnd"/>
      <w:r>
        <w:rPr>
          <w:sz w:val="20"/>
          <w:szCs w:val="20"/>
          <w:rtl/>
        </w:rPr>
        <w:t xml:space="preserve"> </w:t>
      </w:r>
      <w:proofErr w:type="spellStart"/>
      <w:r>
        <w:rPr>
          <w:sz w:val="20"/>
          <w:szCs w:val="20"/>
          <w:rtl/>
        </w:rPr>
        <w:t>ייד</w:t>
      </w:r>
      <w:proofErr w:type="spellEnd"/>
      <w:r>
        <w:rPr>
          <w:sz w:val="20"/>
          <w:szCs w:val="20"/>
          <w:rtl/>
        </w:rPr>
        <w:t>”.</w:t>
      </w:r>
    </w:p>
  </w:footnote>
  <w:footnote w:id="4904">
    <w:p w14:paraId="5DCDE58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המאורע היה חגיגת בר המצווה של נכדו </w:t>
      </w:r>
      <w:proofErr w:type="spellStart"/>
      <w:r>
        <w:rPr>
          <w:sz w:val="20"/>
          <w:szCs w:val="20"/>
          <w:rtl/>
        </w:rPr>
        <w:t>אברהם־יוסף</w:t>
      </w:r>
      <w:proofErr w:type="spellEnd"/>
      <w:r>
        <w:rPr>
          <w:sz w:val="20"/>
          <w:szCs w:val="20"/>
          <w:rtl/>
        </w:rPr>
        <w:t xml:space="preserve"> </w:t>
      </w:r>
      <w:proofErr w:type="spellStart"/>
      <w:r>
        <w:rPr>
          <w:sz w:val="20"/>
          <w:szCs w:val="20"/>
          <w:rtl/>
        </w:rPr>
        <w:t>זליבנסקי</w:t>
      </w:r>
      <w:proofErr w:type="spellEnd"/>
      <w:r>
        <w:rPr>
          <w:sz w:val="20"/>
          <w:szCs w:val="20"/>
          <w:rtl/>
        </w:rPr>
        <w:t xml:space="preserve"> ב־17 ביולי 1997.</w:t>
      </w:r>
    </w:p>
  </w:footnote>
  <w:footnote w:id="4905">
    <w:p w14:paraId="3EEA917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פרק 3, תחילת הפסקה השנייה של נספח </w:t>
      </w:r>
      <w:proofErr w:type="spellStart"/>
      <w:r>
        <w:rPr>
          <w:sz w:val="20"/>
          <w:szCs w:val="20"/>
          <w:rtl/>
        </w:rPr>
        <w:t>יז</w:t>
      </w:r>
      <w:proofErr w:type="spellEnd"/>
      <w:r>
        <w:rPr>
          <w:sz w:val="20"/>
          <w:szCs w:val="20"/>
          <w:rtl/>
        </w:rPr>
        <w:t>.</w:t>
      </w:r>
    </w:p>
  </w:footnote>
  <w:footnote w:id="4906">
    <w:p w14:paraId="47DAF83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כרך 2.</w:t>
      </w:r>
    </w:p>
  </w:footnote>
  <w:footnote w:id="4907">
    <w:p w14:paraId="36703C9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כץ, “תנועת המוסר”, כרך א, עמ׳ 243, על זהות שתי בנותיו. זו שבחתונתה לא השתתף הייתה בוודאי </w:t>
      </w:r>
      <w:proofErr w:type="spellStart"/>
      <w:r>
        <w:rPr>
          <w:sz w:val="20"/>
          <w:szCs w:val="20"/>
          <w:rtl/>
        </w:rPr>
        <w:t>האדא</w:t>
      </w:r>
      <w:proofErr w:type="spellEnd"/>
      <w:r>
        <w:rPr>
          <w:sz w:val="20"/>
          <w:szCs w:val="20"/>
          <w:rtl/>
        </w:rPr>
        <w:t xml:space="preserve"> </w:t>
      </w:r>
      <w:proofErr w:type="spellStart"/>
      <w:r>
        <w:rPr>
          <w:sz w:val="20"/>
          <w:szCs w:val="20"/>
          <w:rtl/>
        </w:rPr>
        <w:t>ליבא</w:t>
      </w:r>
      <w:proofErr w:type="spellEnd"/>
      <w:r>
        <w:rPr>
          <w:sz w:val="20"/>
          <w:szCs w:val="20"/>
          <w:rtl/>
        </w:rPr>
        <w:t xml:space="preserve"> (אף שאין שם ידיעה שנישאה </w:t>
      </w:r>
      <w:proofErr w:type="spellStart"/>
      <w:r>
        <w:rPr>
          <w:sz w:val="20"/>
          <w:szCs w:val="20"/>
          <w:rtl/>
        </w:rPr>
        <w:t>בצ׳רקס</w:t>
      </w:r>
      <w:proofErr w:type="spellEnd"/>
      <w:r>
        <w:rPr>
          <w:sz w:val="20"/>
          <w:szCs w:val="20"/>
          <w:rtl/>
        </w:rPr>
        <w:t>).</w:t>
      </w:r>
    </w:p>
  </w:footnote>
  <w:footnote w:id="4908">
    <w:p w14:paraId="0AD1C0C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תשפז</w:t>
      </w:r>
      <w:proofErr w:type="spellEnd"/>
      <w:r>
        <w:rPr>
          <w:sz w:val="20"/>
          <w:szCs w:val="20"/>
          <w:rtl/>
        </w:rPr>
        <w:t>.</w:t>
      </w:r>
    </w:p>
  </w:footnote>
  <w:footnote w:id="4909">
    <w:p w14:paraId="2BDC79A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w:t>
      </w:r>
      <w:proofErr w:type="spellStart"/>
      <w:r>
        <w:rPr>
          <w:sz w:val="20"/>
          <w:szCs w:val="20"/>
          <w:rtl/>
        </w:rPr>
        <w:t>שו״ע</w:t>
      </w:r>
      <w:proofErr w:type="spellEnd"/>
      <w:r>
        <w:rPr>
          <w:sz w:val="20"/>
          <w:szCs w:val="20"/>
          <w:rtl/>
        </w:rPr>
        <w:t xml:space="preserve"> </w:t>
      </w:r>
      <w:proofErr w:type="spellStart"/>
      <w:r>
        <w:rPr>
          <w:sz w:val="20"/>
          <w:szCs w:val="20"/>
          <w:rtl/>
        </w:rPr>
        <w:t>או״ח</w:t>
      </w:r>
      <w:proofErr w:type="spellEnd"/>
      <w:r>
        <w:rPr>
          <w:sz w:val="20"/>
          <w:szCs w:val="20"/>
          <w:rtl/>
        </w:rPr>
        <w:t xml:space="preserve"> סי׳ שכ״ט ס״ג.</w:t>
      </w:r>
    </w:p>
  </w:footnote>
  <w:footnote w:id="4910">
    <w:p w14:paraId="4434488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237.</w:t>
      </w:r>
    </w:p>
  </w:footnote>
  <w:footnote w:id="4911">
    <w:p w14:paraId="24CF076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אין זו השערה דחוקה כל כך שנסע למינסק להחזיר, לפני מותו שממנו חשש, ספר או ספרים ששאל שם פעם – ראה פרק 4, הערה 164.</w:t>
      </w:r>
    </w:p>
  </w:footnote>
  <w:footnote w:id="4912">
    <w:p w14:paraId="355B181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4913">
    <w:p w14:paraId="02B8DE6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2, הערה 93 – עמ׳ 57–58.</w:t>
      </w:r>
    </w:p>
  </w:footnote>
  <w:footnote w:id="4914">
    <w:p w14:paraId="09384B3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מתואר </w:t>
      </w:r>
      <w:proofErr w:type="spellStart"/>
      <w:r>
        <w:rPr>
          <w:sz w:val="20"/>
          <w:szCs w:val="20"/>
          <w:rtl/>
        </w:rPr>
        <w:t>ב“זכרון</w:t>
      </w:r>
      <w:proofErr w:type="spellEnd"/>
      <w:r>
        <w:rPr>
          <w:sz w:val="20"/>
          <w:szCs w:val="20"/>
          <w:rtl/>
        </w:rPr>
        <w:t xml:space="preserve"> יעקב”, כרך ב, עמ׳ 69, כאחד משני ‘גבירים נכבדים, אנשי השם, </w:t>
      </w:r>
      <w:proofErr w:type="spellStart"/>
      <w:r>
        <w:rPr>
          <w:sz w:val="20"/>
          <w:szCs w:val="20"/>
          <w:rtl/>
        </w:rPr>
        <w:t>מופלגי</w:t>
      </w:r>
      <w:proofErr w:type="spellEnd"/>
      <w:r>
        <w:rPr>
          <w:sz w:val="20"/>
          <w:szCs w:val="20"/>
          <w:rtl/>
        </w:rPr>
        <w:t xml:space="preserve"> תורה ויראה’ שהיו חברי ועד בממל, שסיפק עזרה ליהודי ליטא בשנתיים וחצי של הרעב, תרכ״ז–תרכ״ט. רעב זה בא אחרי רעב קשה אחר, כרבע מאה קודם לכן, </w:t>
      </w:r>
      <w:proofErr w:type="spellStart"/>
      <w:r>
        <w:rPr>
          <w:sz w:val="20"/>
          <w:szCs w:val="20"/>
          <w:rtl/>
        </w:rPr>
        <w:t>בתר״ד</w:t>
      </w:r>
      <w:proofErr w:type="spellEnd"/>
      <w:r>
        <w:rPr>
          <w:sz w:val="20"/>
          <w:szCs w:val="20"/>
          <w:rtl/>
        </w:rPr>
        <w:t>–תר״ה, לפי שם, כרך א, עמ׳ 129. שני הרעבים נגרמו מקיצים של גשמים בלא הפסק, ובמאורע המאוחר בא אחריהם קיץ של בצורת גמורה. באותה שנה התירו רבנים רבים בליטא אכילת קטניות בפסח.</w:t>
      </w:r>
    </w:p>
  </w:footnote>
  <w:footnote w:id="4915">
    <w:p w14:paraId="4FAB43B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“ואמונתך בלילות”, שם, פרק 3, נספח </w:t>
      </w:r>
      <w:proofErr w:type="spellStart"/>
      <w:r>
        <w:rPr>
          <w:sz w:val="20"/>
          <w:szCs w:val="20"/>
          <w:rtl/>
        </w:rPr>
        <w:t>כז</w:t>
      </w:r>
      <w:proofErr w:type="spellEnd"/>
      <w:r>
        <w:rPr>
          <w:sz w:val="20"/>
          <w:szCs w:val="20"/>
          <w:rtl/>
        </w:rPr>
        <w:t xml:space="preserve"> – עמ׳ 15.</w:t>
      </w:r>
    </w:p>
  </w:footnote>
  <w:footnote w:id="4916">
    <w:p w14:paraId="7852C60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מוסף עש״ק פ׳ משפטים תשנ״ג.</w:t>
      </w:r>
    </w:p>
  </w:footnote>
  <w:footnote w:id="4917">
    <w:p w14:paraId="1A83C85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ראיתי פעם את החוברת בספרייה הלאומית בירושלים, אבל מאוחר יותר כבר לא נמצאה. לפי הערת שוליים בספרו של כץ, “תנועת המוסר”, כרך א, עמ׳ 142, הוא היה ממשפחת אייזנשטיין, שגם אשת ר׳ ישראל הייתה ממנה.</w:t>
      </w:r>
    </w:p>
  </w:footnote>
  <w:footnote w:id="4918">
    <w:p w14:paraId="4CA8BA3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244. שם, בהערה 34, מצוין: ‘אולם הרב י. ברמן ביקר על הקבר בשנת תרע״ב ומצא נוסח אחר. כנראה, נטשטש הנוסח הקודם מרוב השנים וחרתו בניו נוסח אחר’. לפי חישובי, הנוסח המקורי עמד לכל היותר עשרים שנה: הוא חובר </w:t>
      </w:r>
      <w:proofErr w:type="spellStart"/>
      <w:r>
        <w:rPr>
          <w:sz w:val="20"/>
          <w:szCs w:val="20"/>
          <w:rtl/>
        </w:rPr>
        <w:t>בתר״ן</w:t>
      </w:r>
      <w:proofErr w:type="spellEnd"/>
      <w:r>
        <w:rPr>
          <w:sz w:val="20"/>
          <w:szCs w:val="20"/>
          <w:rtl/>
        </w:rPr>
        <w:t xml:space="preserve">, כמבואר בפרק 3, הפסקה השנייה של נספח ה, ותוקן בערך </w:t>
      </w:r>
      <w:proofErr w:type="spellStart"/>
      <w:r>
        <w:rPr>
          <w:sz w:val="20"/>
          <w:szCs w:val="20"/>
          <w:rtl/>
        </w:rPr>
        <w:t>בתר״ע</w:t>
      </w:r>
      <w:proofErr w:type="spellEnd"/>
      <w:r>
        <w:rPr>
          <w:sz w:val="20"/>
          <w:szCs w:val="20"/>
          <w:rtl/>
        </w:rPr>
        <w:t>.</w:t>
      </w:r>
    </w:p>
  </w:footnote>
  <w:footnote w:id="4919">
    <w:p w14:paraId="7FFDCF2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קג</w:t>
      </w:r>
      <w:proofErr w:type="spellEnd"/>
      <w:r>
        <w:rPr>
          <w:sz w:val="20"/>
          <w:szCs w:val="20"/>
          <w:rtl/>
        </w:rPr>
        <w:t xml:space="preserve"> ע״ב.</w:t>
      </w:r>
    </w:p>
  </w:footnote>
  <w:footnote w:id="4920">
    <w:p w14:paraId="470154A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תהלים קמה, </w:t>
      </w:r>
      <w:proofErr w:type="spellStart"/>
      <w:r>
        <w:rPr>
          <w:sz w:val="20"/>
          <w:szCs w:val="20"/>
          <w:rtl/>
        </w:rPr>
        <w:t>יט</w:t>
      </w:r>
      <w:proofErr w:type="spellEnd"/>
      <w:r>
        <w:rPr>
          <w:sz w:val="20"/>
          <w:szCs w:val="20"/>
          <w:rtl/>
        </w:rPr>
        <w:t>.</w:t>
      </w:r>
    </w:p>
  </w:footnote>
  <w:footnote w:id="4921">
    <w:p w14:paraId="19194EC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ב“שמע</w:t>
      </w:r>
      <w:proofErr w:type="spellEnd"/>
      <w:r>
        <w:rPr>
          <w:sz w:val="20"/>
          <w:szCs w:val="20"/>
          <w:rtl/>
        </w:rPr>
        <w:t xml:space="preserve"> שלמה”, </w:t>
      </w:r>
      <w:proofErr w:type="spellStart"/>
      <w:r>
        <w:rPr>
          <w:sz w:val="20"/>
          <w:szCs w:val="20"/>
          <w:rtl/>
        </w:rPr>
        <w:t>ח״ב</w:t>
      </w:r>
      <w:proofErr w:type="spellEnd"/>
      <w:r>
        <w:rPr>
          <w:sz w:val="20"/>
          <w:szCs w:val="20"/>
          <w:rtl/>
        </w:rPr>
        <w:t>, אות כה.</w:t>
      </w:r>
    </w:p>
  </w:footnote>
  <w:footnote w:id="4922">
    <w:p w14:paraId="7AF0066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“אמרי יוסף”, פרשת נח, המביא בשם בן דורו של ר׳ שלמה, ר׳ </w:t>
      </w:r>
      <w:proofErr w:type="spellStart"/>
      <w:r>
        <w:rPr>
          <w:sz w:val="20"/>
          <w:szCs w:val="20"/>
          <w:rtl/>
        </w:rPr>
        <w:t>יעקב־יצחק</w:t>
      </w:r>
      <w:proofErr w:type="spellEnd"/>
      <w:r>
        <w:rPr>
          <w:sz w:val="20"/>
          <w:szCs w:val="20"/>
          <w:rtl/>
        </w:rPr>
        <w:t xml:space="preserve"> מלובלין (‘החוזה’), שלא היה מאמין שהוא צדיק גם אילו הבטיחו לו זאת מלאכים; אילו הקב״ה בכבודו ובעצמו היה אומר לו שהוא צדיק, היה מאמין לו – אך רק באותו שבריר רגע, ולאחריו היה בטוח ששוב איננו צדיק.</w:t>
      </w:r>
    </w:p>
  </w:footnote>
  <w:footnote w:id="4923">
    <w:p w14:paraId="65327CA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ועיין גם מדרש תהלים, מזמור י״ז אות </w:t>
      </w:r>
      <w:proofErr w:type="spellStart"/>
      <w:r>
        <w:rPr>
          <w:sz w:val="20"/>
          <w:szCs w:val="20"/>
          <w:rtl/>
        </w:rPr>
        <w:t>יג</w:t>
      </w:r>
      <w:proofErr w:type="spellEnd"/>
      <w:r>
        <w:rPr>
          <w:sz w:val="20"/>
          <w:szCs w:val="20"/>
          <w:rtl/>
        </w:rPr>
        <w:t xml:space="preserve">: ‘אמר דוד לפני הקב״ה, רבש״ע אלו באים </w:t>
      </w:r>
      <w:proofErr w:type="spellStart"/>
      <w:r>
        <w:rPr>
          <w:sz w:val="20"/>
          <w:szCs w:val="20"/>
          <w:rtl/>
        </w:rPr>
        <w:t>מכח</w:t>
      </w:r>
      <w:proofErr w:type="spellEnd"/>
      <w:r>
        <w:rPr>
          <w:sz w:val="20"/>
          <w:szCs w:val="20"/>
          <w:rtl/>
        </w:rPr>
        <w:t xml:space="preserve"> התורה </w:t>
      </w:r>
      <w:proofErr w:type="spellStart"/>
      <w:r>
        <w:rPr>
          <w:sz w:val="20"/>
          <w:szCs w:val="20"/>
          <w:rtl/>
        </w:rPr>
        <w:t>ומע״ט</w:t>
      </w:r>
      <w:proofErr w:type="spellEnd"/>
      <w:r>
        <w:rPr>
          <w:sz w:val="20"/>
          <w:szCs w:val="20"/>
          <w:rtl/>
        </w:rPr>
        <w:t xml:space="preserve">, אבל אני איני </w:t>
      </w:r>
      <w:proofErr w:type="spellStart"/>
      <w:r>
        <w:rPr>
          <w:sz w:val="20"/>
          <w:szCs w:val="20"/>
          <w:rtl/>
        </w:rPr>
        <w:t>כח</w:t>
      </w:r>
      <w:proofErr w:type="spellEnd"/>
      <w:r>
        <w:rPr>
          <w:sz w:val="20"/>
          <w:szCs w:val="20"/>
          <w:rtl/>
        </w:rPr>
        <w:t xml:space="preserve"> לפניך אלא כעני המבקש צדקה, שנאמר ואני בצדק אחזה פניך’.</w:t>
      </w:r>
    </w:p>
  </w:footnote>
  <w:footnote w:id="4924">
    <w:p w14:paraId="5CE4E76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משנה אחרונה של מס׳ יומא.</w:t>
      </w:r>
    </w:p>
  </w:footnote>
  <w:footnote w:id="4925">
    <w:p w14:paraId="548E91B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הערה 74.</w:t>
      </w:r>
    </w:p>
  </w:footnote>
  <w:footnote w:id="4926">
    <w:p w14:paraId="7C78186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w:t>
      </w:r>
      <w:proofErr w:type="spellStart"/>
      <w:r>
        <w:rPr>
          <w:sz w:val="20"/>
          <w:szCs w:val="20"/>
          <w:rtl/>
        </w:rPr>
        <w:t>חיים־מאיר</w:t>
      </w:r>
      <w:proofErr w:type="spellEnd"/>
      <w:r>
        <w:rPr>
          <w:sz w:val="20"/>
          <w:szCs w:val="20"/>
          <w:rtl/>
        </w:rPr>
        <w:t xml:space="preserve"> סיפר שרבנו נהנה מאוד להיפגש ולשוחח עם אביו בכל פעם שזה ביקר </w:t>
      </w:r>
      <w:proofErr w:type="spellStart"/>
      <w:r>
        <w:rPr>
          <w:sz w:val="20"/>
          <w:szCs w:val="20"/>
          <w:rtl/>
        </w:rPr>
        <w:t>במונסי</w:t>
      </w:r>
      <w:proofErr w:type="spellEnd"/>
      <w:r>
        <w:rPr>
          <w:sz w:val="20"/>
          <w:szCs w:val="20"/>
          <w:rtl/>
        </w:rPr>
        <w:t>.</w:t>
      </w:r>
    </w:p>
  </w:footnote>
  <w:footnote w:id="4927">
    <w:p w14:paraId="264C1C5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3, נספח טו – עמ׳ 45.</w:t>
      </w:r>
    </w:p>
  </w:footnote>
  <w:footnote w:id="4928">
    <w:p w14:paraId="50E87DB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מסכת ביצה </w:t>
      </w:r>
      <w:proofErr w:type="spellStart"/>
      <w:r>
        <w:rPr>
          <w:sz w:val="20"/>
          <w:szCs w:val="20"/>
          <w:rtl/>
        </w:rPr>
        <w:t>כא</w:t>
      </w:r>
      <w:proofErr w:type="spellEnd"/>
      <w:r>
        <w:rPr>
          <w:sz w:val="20"/>
          <w:szCs w:val="20"/>
          <w:rtl/>
        </w:rPr>
        <w:t xml:space="preserve"> ע״א ומסכת חולין </w:t>
      </w:r>
      <w:proofErr w:type="spellStart"/>
      <w:r>
        <w:rPr>
          <w:sz w:val="20"/>
          <w:szCs w:val="20"/>
          <w:rtl/>
        </w:rPr>
        <w:t>קכד</w:t>
      </w:r>
      <w:proofErr w:type="spellEnd"/>
      <w:r>
        <w:rPr>
          <w:sz w:val="20"/>
          <w:szCs w:val="20"/>
          <w:rtl/>
        </w:rPr>
        <w:t xml:space="preserve"> ע״ב.</w:t>
      </w:r>
    </w:p>
  </w:footnote>
  <w:footnote w:id="4929">
    <w:p w14:paraId="022C9BB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ועיין גם בספר הערוך ערך ערב שיש שם פירוש אחר.</w:t>
      </w:r>
    </w:p>
  </w:footnote>
  <w:footnote w:id="4930">
    <w:p w14:paraId="045EB67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בראשית ח, ז.</w:t>
      </w:r>
    </w:p>
  </w:footnote>
  <w:footnote w:id="4931">
    <w:p w14:paraId="4089C34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השנייה של נספח ב לעיל – עמ׳ ח.</w:t>
      </w:r>
    </w:p>
  </w:footnote>
  <w:footnote w:id="4932">
    <w:p w14:paraId="00163EE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4, הפסקה הראשונה של נספח </w:t>
      </w:r>
      <w:proofErr w:type="spellStart"/>
      <w:r>
        <w:rPr>
          <w:sz w:val="20"/>
          <w:szCs w:val="20"/>
          <w:rtl/>
        </w:rPr>
        <w:t>יג</w:t>
      </w:r>
      <w:proofErr w:type="spellEnd"/>
      <w:r>
        <w:rPr>
          <w:sz w:val="20"/>
          <w:szCs w:val="20"/>
          <w:rtl/>
        </w:rPr>
        <w:t>.</w:t>
      </w:r>
    </w:p>
  </w:footnote>
  <w:footnote w:id="4933">
    <w:p w14:paraId="7078CC1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האחרונה של נספח ב לעיל – עמ׳ 74.</w:t>
      </w:r>
    </w:p>
  </w:footnote>
  <w:footnote w:id="4934">
    <w:p w14:paraId="653B28F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הביטוי התלמודי לרעיון זה שונה מעט: ‘מונח בכיסיה’ (ראה מגילה ז ע״ב), כלומר כאילו מונח בכיסו, מוכן לציטוט בכל שעה. גם ‘מונח בקופסא’ הוא ביטוי תלמודי, אבל בהקשר שאינו שייך לשימושו של אותו מחבר: הוא מתאר דבר הנתון בין שתי שכבות חומר, כבקופסה.</w:t>
      </w:r>
    </w:p>
  </w:footnote>
  <w:footnote w:id="4935">
    <w:p w14:paraId="29A038D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נראה שהמחבר הפליג יותר מדי בקביעה זו – אלא אם התכוון שהעילוי </w:t>
      </w:r>
      <w:proofErr w:type="spellStart"/>
      <w:r>
        <w:rPr>
          <w:sz w:val="20"/>
          <w:szCs w:val="20"/>
          <w:rtl/>
        </w:rPr>
        <w:t>מווישקי</w:t>
      </w:r>
      <w:proofErr w:type="spellEnd"/>
      <w:r>
        <w:rPr>
          <w:sz w:val="20"/>
          <w:szCs w:val="20"/>
          <w:rtl/>
        </w:rPr>
        <w:t xml:space="preserve"> מעולם לא ראה את התנ״ך כולו בכרך אחד; אך לא נראה שזו הנקודה שהכותב מבקש להביע.</w:t>
      </w:r>
    </w:p>
  </w:footnote>
  <w:footnote w:id="4936">
    <w:p w14:paraId="02B2770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כרך ב (הוצאת תורה ומסורה, ניו יורק</w:t>
      </w:r>
      <w:proofErr w:type="spellStart"/>
      <w:r>
        <w:rPr>
          <w:sz w:val="20"/>
          <w:szCs w:val="20"/>
          <w:rtl/>
        </w:rPr>
        <w:t xml:space="preserve"/>
      </w:r>
      <w:proofErr w:type="spellEnd"/>
      <w:r>
        <w:rPr>
          <w:sz w:val="20"/>
          <w:szCs w:val="20"/>
          <w:rtl/>
        </w:rPr>
        <w:t>), עמ׳ 120–124.</w:t>
      </w:r>
    </w:p>
  </w:footnote>
  <w:footnote w:id="4937">
    <w:p w14:paraId="138C8A2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ב־13 במרץ 2001.</w:t>
      </w:r>
    </w:p>
  </w:footnote>
  <w:footnote w:id="4938">
    <w:p w14:paraId="119DC34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3, נספח לד, ופרק 4, נספח </w:t>
      </w:r>
      <w:proofErr w:type="spellStart"/>
      <w:r>
        <w:rPr>
          <w:sz w:val="20"/>
          <w:szCs w:val="20"/>
          <w:rtl/>
        </w:rPr>
        <w:t>טז</w:t>
      </w:r>
      <w:proofErr w:type="spellEnd"/>
      <w:r>
        <w:rPr>
          <w:sz w:val="20"/>
          <w:szCs w:val="20"/>
          <w:rtl/>
        </w:rPr>
        <w:t xml:space="preserve">. גם הסבא </w:t>
      </w:r>
      <w:proofErr w:type="spellStart"/>
      <w:r>
        <w:rPr>
          <w:sz w:val="20"/>
          <w:szCs w:val="20"/>
          <w:rtl/>
        </w:rPr>
        <w:t>מסלבודקה</w:t>
      </w:r>
      <w:proofErr w:type="spellEnd"/>
      <w:r>
        <w:rPr>
          <w:sz w:val="20"/>
          <w:szCs w:val="20"/>
          <w:rtl/>
        </w:rPr>
        <w:t xml:space="preserve"> כינהו צדיק – ראה עמ׳ </w:t>
      </w:r>
      <w:r>
        <w:rPr>
          <w:sz w:val="20"/>
          <w:szCs w:val="20"/>
          <w:rtl/>
        </w:rPr>
        <w:fldChar w:fldCharType="begin" w:dirty="true"/>
      </w:r>
      <w:r>
        <w:rPr>
          <w:sz w:val="20"/>
          <w:szCs w:val="20"/>
          <w:rtl/>
        </w:rPr>
        <w:instrText xml:space="preserve"> PAGEREF pr_b_857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4939">
    <w:p w14:paraId="6C587C7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הדבר נידון עוד בכרך 3. ר׳ שלמה לימד בווילנה כשקיבל את עצת ר׳ </w:t>
      </w:r>
      <w:proofErr w:type="spellStart"/>
      <w:r>
        <w:rPr>
          <w:sz w:val="20"/>
          <w:szCs w:val="20"/>
          <w:rtl/>
        </w:rPr>
        <w:t>חיים־עוזר</w:t>
      </w:r>
      <w:proofErr w:type="spellEnd"/>
      <w:r>
        <w:rPr>
          <w:sz w:val="20"/>
          <w:szCs w:val="20"/>
          <w:rtl/>
        </w:rPr>
        <w:t xml:space="preserve"> – ראה פרק 4, נספח </w:t>
      </w:r>
      <w:proofErr w:type="spellStart"/>
      <w:r>
        <w:rPr>
          <w:sz w:val="20"/>
          <w:szCs w:val="20"/>
          <w:rtl/>
        </w:rPr>
        <w:t>טז</w:t>
      </w:r>
      <w:proofErr w:type="spellEnd"/>
      <w:r>
        <w:rPr>
          <w:sz w:val="20"/>
          <w:szCs w:val="20"/>
          <w:rtl/>
        </w:rPr>
        <w:t>.</w:t>
      </w:r>
    </w:p>
  </w:footnote>
  <w:footnote w:id="4940">
    <w:p w14:paraId="19ABB1A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3, נספחים לד ולא.</w:t>
      </w:r>
    </w:p>
  </w:footnote>
  <w:footnote w:id="4941">
    <w:p w14:paraId="6ACA439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אגודת אנשי מעמד הייתה בית אבות בלואר </w:t>
      </w:r>
      <w:proofErr w:type="spellStart"/>
      <w:r>
        <w:rPr>
          <w:sz w:val="20"/>
          <w:szCs w:val="20"/>
          <w:rtl/>
        </w:rPr>
        <w:t>איסט</w:t>
      </w:r>
      <w:proofErr w:type="spellEnd"/>
      <w:r>
        <w:rPr>
          <w:sz w:val="20"/>
          <w:szCs w:val="20"/>
          <w:rtl/>
        </w:rPr>
        <w:t xml:space="preserve"> סייד, שבו התגוררו תלמידי חכמים, וביניהם העילוי </w:t>
      </w:r>
      <w:proofErr w:type="spellStart"/>
      <w:r>
        <w:rPr>
          <w:sz w:val="20"/>
          <w:szCs w:val="20"/>
          <w:rtl/>
        </w:rPr>
        <w:t>מווישקי</w:t>
      </w:r>
      <w:proofErr w:type="spellEnd"/>
      <w:r>
        <w:rPr>
          <w:sz w:val="20"/>
          <w:szCs w:val="20"/>
          <w:rtl/>
        </w:rPr>
        <w:t>.</w:t>
      </w:r>
    </w:p>
  </w:footnote>
  <w:footnote w:id="4942">
    <w:p w14:paraId="6C8F79A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ב־4 בדצמבר 1979.</w:t>
      </w:r>
    </w:p>
  </w:footnote>
  <w:footnote w:id="4943">
    <w:p w14:paraId="573AE34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121.</w:t>
      </w:r>
    </w:p>
  </w:footnote>
  <w:footnote w:id="4944">
    <w:p w14:paraId="092E962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ב־7 בדצמבר 1987.</w:t>
      </w:r>
    </w:p>
  </w:footnote>
  <w:footnote w:id="4945">
    <w:p w14:paraId="5B4425B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בראשית מו, ד.</w:t>
      </w:r>
    </w:p>
  </w:footnote>
  <w:footnote w:id="4946">
    <w:p w14:paraId="6067065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19 לעיל.</w:t>
      </w:r>
    </w:p>
  </w:footnote>
  <w:footnote w:id="4947">
    <w:p w14:paraId="6B6B07E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הביטוי מבוסס על סוטה </w:t>
      </w:r>
      <w:proofErr w:type="spellStart"/>
      <w:r>
        <w:rPr>
          <w:sz w:val="20"/>
          <w:szCs w:val="20"/>
          <w:rtl/>
        </w:rPr>
        <w:t>מז</w:t>
      </w:r>
      <w:proofErr w:type="spellEnd"/>
      <w:r>
        <w:rPr>
          <w:sz w:val="20"/>
          <w:szCs w:val="20"/>
          <w:rtl/>
        </w:rPr>
        <w:t xml:space="preserve"> ע״א.</w:t>
      </w:r>
    </w:p>
  </w:footnote>
  <w:footnote w:id="4948">
    <w:p w14:paraId="041C048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פרק 3, הערה 86, שהסבא הקל את שובו בהחזרתו </w:t>
      </w:r>
      <w:proofErr w:type="spellStart"/>
      <w:r>
        <w:rPr>
          <w:sz w:val="20"/>
          <w:szCs w:val="20"/>
          <w:rtl/>
        </w:rPr>
        <w:t>לסטאנציע</w:t>
      </w:r>
      <w:proofErr w:type="spellEnd"/>
      <w:r>
        <w:rPr>
          <w:sz w:val="20"/>
          <w:szCs w:val="20"/>
          <w:rtl/>
        </w:rPr>
        <w:t xml:space="preserve"> הישנה שלו.</w:t>
      </w:r>
    </w:p>
  </w:footnote>
  <w:footnote w:id="4949">
    <w:p w14:paraId="41E5E15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הערות 20 ו־39 לעיל.</w:t>
      </w:r>
    </w:p>
  </w:footnote>
  <w:footnote w:id="4950">
    <w:p w14:paraId="2B02B8F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נקודה מפליאה זו תידון בפסקה השנייה להלן.</w:t>
      </w:r>
    </w:p>
  </w:footnote>
  <w:footnote w:id="4951">
    <w:p w14:paraId="227DFCC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3, הערה 81.</w:t>
      </w:r>
    </w:p>
  </w:footnote>
  <w:footnote w:id="4952">
    <w:p w14:paraId="5657F2A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52 לעיל, והמקורות שאליהם היא מפנה.</w:t>
      </w:r>
    </w:p>
  </w:footnote>
  <w:footnote w:id="4953">
    <w:p w14:paraId="0703E02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הפסקה הראשונה של נספח ב לעיל.</w:t>
      </w:r>
    </w:p>
  </w:footnote>
  <w:footnote w:id="4954">
    <w:p w14:paraId="3ABA436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דוגמה מסוג זה לרוחב אופקיו בפסקה השלישית של נספח ח להלן.</w:t>
      </w:r>
    </w:p>
  </w:footnote>
  <w:footnote w:id="4955">
    <w:p w14:paraId="16B9ACF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כא</w:t>
      </w:r>
      <w:proofErr w:type="spellEnd"/>
      <w:r>
        <w:rPr>
          <w:sz w:val="20"/>
          <w:szCs w:val="20"/>
          <w:rtl/>
        </w:rPr>
        <w:t xml:space="preserve"> ע״א.</w:t>
      </w:r>
    </w:p>
  </w:footnote>
  <w:footnote w:id="4956">
    <w:p w14:paraId="6C2CC5E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58–59. ראה פרק 1, הערה 13.</w:t>
      </w:r>
    </w:p>
  </w:footnote>
  <w:footnote w:id="4957">
    <w:p w14:paraId="0CB0669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מלכים א ב, א–ב.</w:t>
      </w:r>
    </w:p>
  </w:footnote>
  <w:footnote w:id="4958">
    <w:p w14:paraId="665D641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החיד״א</w:t>
      </w:r>
      <w:proofErr w:type="spellEnd"/>
      <w:r>
        <w:rPr>
          <w:sz w:val="20"/>
          <w:szCs w:val="20"/>
          <w:rtl/>
        </w:rPr>
        <w:t xml:space="preserve"> – ראה פרק 2, הערה 8, והערת השוליים </w:t>
      </w:r>
      <w:r>
        <w:rPr>
          <w:sz w:val="20"/>
          <w:szCs w:val="20"/>
          <w:rtl/>
        </w:rPr>
        <w:fldChar w:fldCharType="begin" w:dirty="true"/>
      </w:r>
      <w:r>
        <w:rPr>
          <w:sz w:val="20"/>
          <w:szCs w:val="20"/>
          <w:rtl/>
        </w:rPr>
        <w:instrText xml:space="preserve"> NOTEREF pr_f_1398 \h </w:instrText>
      </w:r>
      <w:r>
        <w:rPr>
          <w:sz w:val="20"/>
          <w:szCs w:val="20"/>
          <w:rtl/>
        </w:rPr>
      </w:r>
      <w:r>
        <w:rPr>
          <w:sz w:val="20"/>
          <w:szCs w:val="20"/>
          <w:rtl/>
        </w:rPr>
        <w:fldChar w:fldCharType="separate"/>
      </w:r>
      <w:r w:rsidR="007923E9">
        <w:rPr>
          <w:sz w:val="20"/>
          <w:szCs w:val="20"/>
          <w:rtl/>
        </w:rPr>
        <w:t>443</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pr_f_1398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 מציע אותו פירוש בספרו על </w:t>
      </w:r>
      <w:proofErr w:type="spellStart"/>
      <w:r>
        <w:rPr>
          <w:sz w:val="20"/>
          <w:szCs w:val="20"/>
          <w:rtl/>
        </w:rPr>
        <w:t>ההפטרות</w:t>
      </w:r>
      <w:proofErr w:type="spellEnd"/>
      <w:r>
        <w:rPr>
          <w:sz w:val="20"/>
          <w:szCs w:val="20"/>
          <w:rtl/>
        </w:rPr>
        <w:t>, “צוואר שלל”, בפרשת ויחי. ראה שם את פירושו לשלוש המילים האחרונות בפסוק, ‘וחזקת והיית לאיש’, הקשור בכך.</w:t>
      </w:r>
    </w:p>
  </w:footnote>
  <w:footnote w:id="4959">
    <w:p w14:paraId="27D56BA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נמנה </w:t>
      </w:r>
      <w:proofErr w:type="spellStart"/>
      <w:r>
        <w:rPr>
          <w:sz w:val="20"/>
          <w:szCs w:val="20"/>
          <w:rtl/>
        </w:rPr>
        <w:t>ב‘רשימת</w:t>
      </w:r>
      <w:proofErr w:type="spellEnd"/>
      <w:r>
        <w:rPr>
          <w:sz w:val="20"/>
          <w:szCs w:val="20"/>
          <w:rtl/>
        </w:rPr>
        <w:t xml:space="preserve"> מגידים ודרשנים’ במינסק </w:t>
      </w:r>
      <w:proofErr w:type="spellStart"/>
      <w:r>
        <w:rPr>
          <w:sz w:val="20"/>
          <w:szCs w:val="20"/>
          <w:rtl/>
        </w:rPr>
        <w:t>ב“מינסק</w:t>
      </w:r>
      <w:proofErr w:type="spellEnd"/>
      <w:r>
        <w:rPr>
          <w:sz w:val="20"/>
          <w:szCs w:val="20"/>
          <w:rtl/>
        </w:rPr>
        <w:t xml:space="preserve"> עיר ואם בישראל” א (שם, פרק 1, נספח א), עמ׳ 102.</w:t>
      </w:r>
    </w:p>
  </w:footnote>
  <w:footnote w:id="4960">
    <w:p w14:paraId="41906A7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ג ע״ב.</w:t>
      </w:r>
    </w:p>
  </w:footnote>
  <w:footnote w:id="4961">
    <w:p w14:paraId="5C5248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המילה המקראית “</w:t>
      </w:r>
      <w:proofErr w:type="spellStart"/>
      <w:r>
        <w:rPr>
          <w:sz w:val="20"/>
          <w:szCs w:val="20"/>
          <w:rtl/>
        </w:rPr>
        <w:t>כנור</w:t>
      </w:r>
      <w:proofErr w:type="spellEnd"/>
      <w:r>
        <w:rPr>
          <w:sz w:val="20"/>
          <w:szCs w:val="20"/>
          <w:rtl/>
        </w:rPr>
        <w:t xml:space="preserve">” מתורגמת בדרך כלל לאנגלית </w:t>
      </w:r>
      <w:proofErr w:type="spellStart"/>
      <w:r>
        <w:rPr>
          <w:sz w:val="20"/>
          <w:szCs w:val="20"/>
          <w:rtl/>
        </w:rPr>
        <w:t>כ־fiddle</w:t>
      </w:r>
      <w:proofErr w:type="spellEnd"/>
      <w:r>
        <w:rPr>
          <w:sz w:val="20"/>
          <w:szCs w:val="20"/>
          <w:rtl/>
        </w:rPr>
        <w:t xml:space="preserve"> (כינור קשת), אף שהתרגום הנכון הוא כנראה לירה – השווה “המוזיקה בישראל הקדומה”, מאת אלפרד </w:t>
      </w:r>
      <w:proofErr w:type="spellStart"/>
      <w:r>
        <w:rPr>
          <w:sz w:val="20"/>
          <w:szCs w:val="20"/>
          <w:rtl/>
        </w:rPr>
        <w:t>סנדרי</w:t>
      </w:r>
      <w:proofErr w:type="spellEnd"/>
      <w:r>
        <w:rPr>
          <w:sz w:val="20"/>
          <w:szCs w:val="20"/>
          <w:rtl/>
        </w:rPr>
        <w:t xml:space="preserve"> (הוצאת </w:t>
      </w:r>
      <w:proofErr w:type="spellStart"/>
      <w:r>
        <w:rPr>
          <w:sz w:val="20"/>
          <w:szCs w:val="20"/>
          <w:rtl/>
        </w:rPr>
        <w:t>פילוסופיקל</w:t>
      </w:r>
      <w:proofErr w:type="spellEnd"/>
      <w:r>
        <w:rPr>
          <w:sz w:val="20"/>
          <w:szCs w:val="20"/>
          <w:rtl/>
        </w:rPr>
        <w:t xml:space="preserve"> </w:t>
      </w:r>
      <w:proofErr w:type="spellStart"/>
      <w:r>
        <w:rPr>
          <w:sz w:val="20"/>
          <w:szCs w:val="20"/>
          <w:rtl/>
        </w:rPr>
        <w:t>ליבררי</w:t>
      </w:r>
      <w:proofErr w:type="spellEnd"/>
      <w:r>
        <w:rPr>
          <w:sz w:val="20"/>
          <w:szCs w:val="20"/>
          <w:rtl/>
        </w:rPr>
        <w:t>, ניו יורק, 1969), עמ׳ 266–278.</w:t>
      </w:r>
    </w:p>
  </w:footnote>
  <w:footnote w:id="4962">
    <w:p w14:paraId="5BBECE7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ברוח ‘עת לעשות לה׳’ (תהלים קיט, </w:t>
      </w:r>
      <w:proofErr w:type="spellStart"/>
      <w:r>
        <w:rPr>
          <w:sz w:val="20"/>
          <w:szCs w:val="20"/>
          <w:rtl/>
        </w:rPr>
        <w:t>קכו</w:t>
      </w:r>
      <w:proofErr w:type="spellEnd"/>
      <w:r>
        <w:rPr>
          <w:sz w:val="20"/>
          <w:szCs w:val="20"/>
          <w:rtl/>
        </w:rPr>
        <w:t>) – ראה פרק 3, תחילת הפסקה השנייה של נספח כה.</w:t>
      </w:r>
    </w:p>
  </w:footnote>
  <w:footnote w:id="4963">
    <w:p w14:paraId="420277D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אפשר לשער שרבנו זכר דרשה זו בבהירות רבה כל כך מפני שנגעה בבעיה אישית: הוא נישא מאוחר, בגיל עשרים ושמונה (ראה כרך 2). אבי לא סיפר מתי שמע את המגיד </w:t>
      </w:r>
      <w:proofErr w:type="spellStart"/>
      <w:r>
        <w:rPr>
          <w:sz w:val="20"/>
          <w:szCs w:val="20"/>
          <w:rtl/>
        </w:rPr>
        <w:t>ממוז׳יר</w:t>
      </w:r>
      <w:proofErr w:type="spellEnd"/>
      <w:r>
        <w:rPr>
          <w:sz w:val="20"/>
          <w:szCs w:val="20"/>
          <w:rtl/>
        </w:rPr>
        <w:t xml:space="preserve"> דורש. אם נכונה ההשערה ששמע אותו בזמן שכבר חש שהוא דוחה את נישואיו, ודאי היה הדבר </w:t>
      </w:r>
      <w:proofErr w:type="spellStart"/>
      <w:r>
        <w:rPr>
          <w:sz w:val="20"/>
          <w:szCs w:val="20"/>
          <w:rtl/>
        </w:rPr>
        <w:t>בתרע״ד</w:t>
      </w:r>
      <w:proofErr w:type="spellEnd"/>
      <w:r>
        <w:rPr>
          <w:sz w:val="20"/>
          <w:szCs w:val="20"/>
          <w:rtl/>
        </w:rPr>
        <w:t xml:space="preserve"> או </w:t>
      </w:r>
      <w:proofErr w:type="spellStart"/>
      <w:r>
        <w:rPr>
          <w:sz w:val="20"/>
          <w:szCs w:val="20"/>
          <w:rtl/>
        </w:rPr>
        <w:t>בתרע״ה</w:t>
      </w:r>
      <w:proofErr w:type="spellEnd"/>
      <w:r>
        <w:rPr>
          <w:sz w:val="20"/>
          <w:szCs w:val="20"/>
          <w:rtl/>
        </w:rPr>
        <w:t xml:space="preserve">, אחרי שנדדה הישיבה למינסק, כשהיה בן עשרים ושלוש או עשרים וארבע. (לא ייתכן שהיה מאוחר יותר, מפני שאבי היה מחוץ למינסק בשנות המלחמה המאוחרות – ראה כרך 2.) השווה גם הערת השוליים </w:t>
      </w:r>
      <w:r>
        <w:rPr>
          <w:sz w:val="20"/>
          <w:szCs w:val="20"/>
          <w:rtl/>
        </w:rPr>
        <w:fldChar w:fldCharType="begin" w:dirty="true"/>
      </w:r>
      <w:r>
        <w:rPr>
          <w:sz w:val="20"/>
          <w:szCs w:val="20"/>
          <w:rtl/>
        </w:rPr>
        <w:instrText xml:space="preserve"> NOTEREF pr_f_2554 \h </w:instrText>
      </w:r>
      <w:r>
        <w:rPr>
          <w:sz w:val="20"/>
          <w:szCs w:val="20"/>
          <w:rtl/>
        </w:rPr>
      </w:r>
      <w:r>
        <w:rPr>
          <w:sz w:val="20"/>
          <w:szCs w:val="20"/>
          <w:rtl/>
        </w:rPr>
        <w:fldChar w:fldCharType="separate"/>
      </w:r>
      <w:r w:rsidR="007923E9">
        <w:rPr>
          <w:sz w:val="20"/>
          <w:szCs w:val="20"/>
          <w:rtl/>
        </w:rPr>
        <w:t>1600</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pr_f_2554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על השפעת המנהג הכללי על פסיקות הלכתיות – צורה מתונה של ‘הכינור הקטן מנגן מאליו’.</w:t>
      </w:r>
    </w:p>
  </w:footnote>
  <w:footnote w:id="4964">
    <w:p w14:paraId="73BCC5E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יז</w:t>
      </w:r>
      <w:proofErr w:type="spellEnd"/>
      <w:r>
        <w:rPr>
          <w:sz w:val="20"/>
          <w:szCs w:val="20"/>
          <w:rtl/>
        </w:rPr>
        <w:t xml:space="preserve"> ע״א. השווה גם פרק 1, הפסקה הראשונה של נספח ד.</w:t>
      </w:r>
    </w:p>
  </w:footnote>
  <w:footnote w:id="4965">
    <w:p w14:paraId="2C0020D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משנה אבות פ״ד מ״ג.</w:t>
      </w:r>
    </w:p>
  </w:footnote>
  <w:footnote w:id="4966">
    <w:p w14:paraId="1BF93C6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כך פירוש המשנה לפי רש״י ורבנו יונה.</w:t>
      </w:r>
    </w:p>
  </w:footnote>
  <w:footnote w:id="4967">
    <w:p w14:paraId="438F739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“שמושה של תורה” (הפסקה השנייה של נספח ב לעיל), עמ׳ שה </w:t>
      </w:r>
      <w:proofErr w:type="spellStart"/>
      <w:r>
        <w:rPr>
          <w:sz w:val="20"/>
          <w:szCs w:val="20"/>
          <w:rtl/>
        </w:rPr>
        <w:t>ושז</w:t>
      </w:r>
      <w:proofErr w:type="spellEnd"/>
      <w:r>
        <w:rPr>
          <w:sz w:val="20"/>
          <w:szCs w:val="20"/>
          <w:rtl/>
        </w:rPr>
        <w:t xml:space="preserve">, במדורים ‘שיקולי חינוך’ </w:t>
      </w:r>
      <w:proofErr w:type="spellStart"/>
      <w:r>
        <w:rPr>
          <w:sz w:val="20"/>
          <w:szCs w:val="20"/>
          <w:rtl/>
        </w:rPr>
        <w:t>ו‘ההרגל</w:t>
      </w:r>
      <w:proofErr w:type="spellEnd"/>
      <w:r>
        <w:rPr>
          <w:sz w:val="20"/>
          <w:szCs w:val="20"/>
          <w:rtl/>
        </w:rPr>
        <w:t xml:space="preserve"> מרמה את האדם’, בהתאמה, לדוגמאות לגישתו הנבונה של ר׳ יצחק־זאב.</w:t>
      </w:r>
    </w:p>
  </w:footnote>
  <w:footnote w:id="4968">
    <w:p w14:paraId="715253D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נולד לאחות </w:t>
      </w:r>
      <w:proofErr w:type="spellStart"/>
      <w:r>
        <w:rPr>
          <w:sz w:val="20"/>
          <w:szCs w:val="20"/>
          <w:rtl/>
        </w:rPr>
        <w:t>אמו</w:t>
      </w:r>
      <w:proofErr w:type="spellEnd"/>
      <w:r>
        <w:rPr>
          <w:sz w:val="20"/>
          <w:szCs w:val="20"/>
          <w:rtl/>
        </w:rPr>
        <w:t xml:space="preserve"> של </w:t>
      </w:r>
      <w:proofErr w:type="spellStart"/>
      <w:r>
        <w:rPr>
          <w:sz w:val="20"/>
          <w:szCs w:val="20"/>
          <w:rtl/>
        </w:rPr>
        <w:t>החזון־איש</w:t>
      </w:r>
      <w:proofErr w:type="spellEnd"/>
      <w:r>
        <w:rPr>
          <w:sz w:val="20"/>
          <w:szCs w:val="20"/>
          <w:rtl/>
        </w:rPr>
        <w:t xml:space="preserve"> </w:t>
      </w:r>
      <w:proofErr w:type="spellStart"/>
      <w:r>
        <w:rPr>
          <w:sz w:val="20"/>
          <w:szCs w:val="20"/>
          <w:rtl/>
        </w:rPr>
        <w:t>בתרנ״ט</w:t>
      </w:r>
      <w:proofErr w:type="spellEnd"/>
      <w:r>
        <w:rPr>
          <w:sz w:val="20"/>
          <w:szCs w:val="20"/>
          <w:rtl/>
        </w:rPr>
        <w:t>.</w:t>
      </w:r>
    </w:p>
  </w:footnote>
  <w:footnote w:id="4969">
    <w:p w14:paraId="7E66BC0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כך נהג הסבא, לפי פרק 4, הערה 20.</w:t>
      </w:r>
    </w:p>
  </w:footnote>
  <w:footnote w:id="4970">
    <w:p w14:paraId="4648A52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ייתכן שסולק מן הישיבה, כמבואר להלן, בסוף הערת השוליים על פרטים ביוגרפיים נוספים.</w:t>
      </w:r>
    </w:p>
  </w:footnote>
  <w:footnote w:id="4971">
    <w:p w14:paraId="6BF5653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 סוף הערה 103, ופרק 5, סוף הפסקה השנייה של נספח ו.</w:t>
      </w:r>
    </w:p>
  </w:footnote>
  <w:footnote w:id="4972">
    <w:p w14:paraId="4039063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w:t>
      </w:r>
      <w:proofErr w:type="spellStart"/>
      <w:r>
        <w:rPr>
          <w:sz w:val="20"/>
          <w:szCs w:val="20"/>
          <w:rtl/>
        </w:rPr>
        <w:t>חיה־מרים</w:t>
      </w:r>
      <w:proofErr w:type="spellEnd"/>
      <w:r>
        <w:rPr>
          <w:sz w:val="20"/>
          <w:szCs w:val="20"/>
          <w:rtl/>
        </w:rPr>
        <w:t xml:space="preserve"> </w:t>
      </w:r>
      <w:proofErr w:type="spellStart"/>
      <w:r>
        <w:rPr>
          <w:sz w:val="20"/>
          <w:szCs w:val="20"/>
          <w:rtl/>
        </w:rPr>
        <w:t>שולמן</w:t>
      </w:r>
      <w:proofErr w:type="spellEnd"/>
      <w:r>
        <w:rPr>
          <w:sz w:val="20"/>
          <w:szCs w:val="20"/>
          <w:rtl/>
        </w:rPr>
        <w:t xml:space="preserve"> (פרק 3, נספח </w:t>
      </w:r>
      <w:proofErr w:type="spellStart"/>
      <w:r>
        <w:rPr>
          <w:sz w:val="20"/>
          <w:szCs w:val="20"/>
          <w:rtl/>
        </w:rPr>
        <w:t>יט</w:t>
      </w:r>
      <w:proofErr w:type="spellEnd"/>
      <w:r>
        <w:rPr>
          <w:sz w:val="20"/>
          <w:szCs w:val="20"/>
          <w:rtl/>
        </w:rPr>
        <w:t>).</w:t>
      </w:r>
    </w:p>
  </w:footnote>
  <w:footnote w:id="4973">
    <w:p w14:paraId="66AF283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כמה מפרטים אלה מסר ר׳ שפטל </w:t>
      </w:r>
      <w:proofErr w:type="spellStart"/>
      <w:r>
        <w:rPr>
          <w:sz w:val="20"/>
          <w:szCs w:val="20"/>
          <w:rtl/>
        </w:rPr>
        <w:t>נויברגר</w:t>
      </w:r>
      <w:proofErr w:type="spellEnd"/>
      <w:r>
        <w:rPr>
          <w:sz w:val="20"/>
          <w:szCs w:val="20"/>
          <w:rtl/>
        </w:rPr>
        <w:t xml:space="preserve"> (פרק 4, הערה 41), ששמע אותם מדודו ר׳ </w:t>
      </w:r>
      <w:proofErr w:type="spellStart"/>
      <w:r>
        <w:rPr>
          <w:sz w:val="20"/>
          <w:szCs w:val="20"/>
          <w:rtl/>
        </w:rPr>
        <w:t>יעקב־יצחק</w:t>
      </w:r>
      <w:proofErr w:type="spellEnd"/>
      <w:r>
        <w:rPr>
          <w:sz w:val="20"/>
          <w:szCs w:val="20"/>
          <w:rtl/>
        </w:rPr>
        <w:t xml:space="preserve"> </w:t>
      </w:r>
      <w:proofErr w:type="spellStart"/>
      <w:r>
        <w:rPr>
          <w:sz w:val="20"/>
          <w:szCs w:val="20"/>
          <w:rtl/>
        </w:rPr>
        <w:t>רודרמן</w:t>
      </w:r>
      <w:proofErr w:type="spellEnd"/>
      <w:r>
        <w:rPr>
          <w:sz w:val="20"/>
          <w:szCs w:val="20"/>
          <w:rtl/>
        </w:rPr>
        <w:t xml:space="preserve">, הצעיר מן הרב ליברמן בשנתיים. הסבא העביר את ר׳ </w:t>
      </w:r>
      <w:proofErr w:type="spellStart"/>
      <w:r>
        <w:rPr>
          <w:sz w:val="20"/>
          <w:szCs w:val="20"/>
          <w:rtl/>
        </w:rPr>
        <w:t>יעקב־יצחק</w:t>
      </w:r>
      <w:proofErr w:type="spellEnd"/>
      <w:r>
        <w:rPr>
          <w:sz w:val="20"/>
          <w:szCs w:val="20"/>
          <w:rtl/>
        </w:rPr>
        <w:t xml:space="preserve"> </w:t>
      </w:r>
      <w:proofErr w:type="spellStart"/>
      <w:r>
        <w:rPr>
          <w:sz w:val="20"/>
          <w:szCs w:val="20"/>
          <w:rtl/>
        </w:rPr>
        <w:t>רודרמן</w:t>
      </w:r>
      <w:proofErr w:type="spellEnd"/>
      <w:r>
        <w:rPr>
          <w:sz w:val="20"/>
          <w:szCs w:val="20"/>
          <w:rtl/>
        </w:rPr>
        <w:t xml:space="preserve"> הצעיר מן </w:t>
      </w:r>
      <w:proofErr w:type="spellStart"/>
      <w:r>
        <w:rPr>
          <w:sz w:val="20"/>
          <w:szCs w:val="20"/>
          <w:rtl/>
        </w:rPr>
        <w:t>הסטאנציע</w:t>
      </w:r>
      <w:proofErr w:type="spellEnd"/>
      <w:r>
        <w:rPr>
          <w:sz w:val="20"/>
          <w:szCs w:val="20"/>
          <w:rtl/>
        </w:rPr>
        <w:t xml:space="preserve"> של הרב ליברמן ושיכן אותו בביתו במינסק (עד שימצא לו חדר אחר), שמא יושפע לרעה משותפו המבוגר לחדר.</w:t>
      </w:r>
    </w:p>
    <w:p w14:paraId="68A5C7F3" w14:textId="77777777" w:rsidR="00AB3647" w:rsidRDefault="00000000">
      <w:pPr>
        <w:spacing w:after="0" w:before="0"/>
        <w:jc w:val="both"/>
      </w:pPr>
      <w:r>
        <w:rPr>
          <w:sz w:val="20"/>
          <w:szCs w:val="20"/>
          <w:rtl/>
        </w:rPr>
        <w:t xml:space="preserve">לפי </w:t>
      </w:r>
      <w:proofErr w:type="spellStart"/>
      <w:r>
        <w:rPr>
          <w:sz w:val="20"/>
          <w:szCs w:val="20"/>
          <w:rtl/>
        </w:rPr>
        <w:t>חיה־מרים</w:t>
      </w:r>
      <w:proofErr w:type="spellEnd"/>
      <w:r>
        <w:rPr>
          <w:sz w:val="20"/>
          <w:szCs w:val="20"/>
          <w:rtl/>
        </w:rPr>
        <w:t xml:space="preserve"> </w:t>
      </w:r>
      <w:proofErr w:type="spellStart"/>
      <w:r>
        <w:rPr>
          <w:sz w:val="20"/>
          <w:szCs w:val="20"/>
          <w:rtl/>
        </w:rPr>
        <w:t>שולמן</w:t>
      </w:r>
      <w:proofErr w:type="spellEnd"/>
      <w:r>
        <w:rPr>
          <w:sz w:val="20"/>
          <w:szCs w:val="20"/>
          <w:rtl/>
        </w:rPr>
        <w:t xml:space="preserve">, כשנפרד הרב ליברמן מן הסבא כדי לעבור לישיבת </w:t>
      </w:r>
      <w:proofErr w:type="spellStart"/>
      <w:r>
        <w:rPr>
          <w:sz w:val="20"/>
          <w:szCs w:val="20"/>
          <w:rtl/>
        </w:rPr>
        <w:t>נובהרדוק</w:t>
      </w:r>
      <w:proofErr w:type="spellEnd"/>
      <w:r>
        <w:rPr>
          <w:sz w:val="20"/>
          <w:szCs w:val="20"/>
          <w:rtl/>
        </w:rPr>
        <w:t xml:space="preserve">, אמר ר׳ </w:t>
      </w:r>
      <w:proofErr w:type="spellStart"/>
      <w:r>
        <w:rPr>
          <w:sz w:val="20"/>
          <w:szCs w:val="20"/>
          <w:rtl/>
        </w:rPr>
        <w:t>יעקב־יצחק</w:t>
      </w:r>
      <w:proofErr w:type="spellEnd"/>
      <w:r>
        <w:rPr>
          <w:sz w:val="20"/>
          <w:szCs w:val="20"/>
          <w:rtl/>
        </w:rPr>
        <w:t xml:space="preserve"> </w:t>
      </w:r>
      <w:proofErr w:type="spellStart"/>
      <w:r>
        <w:rPr>
          <w:sz w:val="20"/>
          <w:szCs w:val="20"/>
          <w:rtl/>
        </w:rPr>
        <w:t>רודרמן</w:t>
      </w:r>
      <w:proofErr w:type="spellEnd"/>
      <w:r>
        <w:rPr>
          <w:sz w:val="20"/>
          <w:szCs w:val="20"/>
          <w:rtl/>
        </w:rPr>
        <w:t xml:space="preserve">: ‘ודאי שילך. </w:t>
      </w:r>
      <w:proofErr w:type="spellStart"/>
      <w:r>
        <w:rPr>
          <w:sz w:val="20"/>
          <w:szCs w:val="20"/>
          <w:rtl/>
        </w:rPr>
        <w:t>מסלבודקה</w:t>
      </w:r>
      <w:proofErr w:type="spellEnd"/>
      <w:r>
        <w:rPr>
          <w:sz w:val="20"/>
          <w:szCs w:val="20"/>
          <w:rtl/>
        </w:rPr>
        <w:t xml:space="preserve"> אין יוצאים לתרבות רעה; הולכים קודם למקום אחר’. וכשהלך הרב ליברמן, הוסיף ר׳ </w:t>
      </w:r>
      <w:proofErr w:type="spellStart"/>
      <w:r>
        <w:rPr>
          <w:sz w:val="20"/>
          <w:szCs w:val="20"/>
          <w:rtl/>
        </w:rPr>
        <w:t>יעקב־יצחק</w:t>
      </w:r>
      <w:proofErr w:type="spellEnd"/>
      <w:r>
        <w:rPr>
          <w:sz w:val="20"/>
          <w:szCs w:val="20"/>
          <w:rtl/>
        </w:rPr>
        <w:t xml:space="preserve"> </w:t>
      </w:r>
      <w:proofErr w:type="spellStart"/>
      <w:r>
        <w:rPr>
          <w:sz w:val="20"/>
          <w:szCs w:val="20"/>
          <w:rtl/>
        </w:rPr>
        <w:t>רודרמן</w:t>
      </w:r>
      <w:proofErr w:type="spellEnd"/>
      <w:r>
        <w:rPr>
          <w:sz w:val="20"/>
          <w:szCs w:val="20"/>
          <w:rtl/>
        </w:rPr>
        <w:t>: ‘</w:t>
      </w:r>
      <w:proofErr w:type="spellStart"/>
      <w:r>
        <w:rPr>
          <w:sz w:val="20"/>
          <w:szCs w:val="20"/>
          <w:rtl/>
        </w:rPr>
        <w:t>נעביך</w:t>
      </w:r>
      <w:proofErr w:type="spellEnd"/>
      <w:r>
        <w:rPr>
          <w:sz w:val="20"/>
          <w:szCs w:val="20"/>
          <w:rtl/>
        </w:rPr>
        <w:t xml:space="preserve">, הוא רימה את הסבא, שחשב שר׳ שאול בא ללמוד כאן, ובאמת בא “לראות מהי </w:t>
      </w:r>
      <w:proofErr w:type="spellStart"/>
      <w:r>
        <w:rPr>
          <w:sz w:val="20"/>
          <w:szCs w:val="20"/>
          <w:rtl/>
        </w:rPr>
        <w:t>סלבודקה</w:t>
      </w:r>
      <w:proofErr w:type="spellEnd"/>
      <w:r>
        <w:rPr>
          <w:sz w:val="20"/>
          <w:szCs w:val="20"/>
          <w:rtl/>
        </w:rPr>
        <w:t xml:space="preserve">” – בדיוק מטרתו ביציאתו </w:t>
      </w:r>
      <w:proofErr w:type="spellStart"/>
      <w:r>
        <w:rPr>
          <w:sz w:val="20"/>
          <w:szCs w:val="20"/>
          <w:rtl/>
        </w:rPr>
        <w:t>לנובהרדוק</w:t>
      </w:r>
      <w:proofErr w:type="spellEnd"/>
      <w:r>
        <w:rPr>
          <w:sz w:val="20"/>
          <w:szCs w:val="20"/>
          <w:rtl/>
        </w:rPr>
        <w:t xml:space="preserve"> עכשיו’.</w:t>
      </w:r>
    </w:p>
    <w:p w14:paraId="3AF4A18D" w14:textId="77777777" w:rsidR="00AB3647" w:rsidRDefault="00000000">
      <w:pPr>
        <w:spacing w:after="0" w:before="0"/>
        <w:jc w:val="both"/>
      </w:pPr>
      <w:r>
        <w:rPr>
          <w:sz w:val="20"/>
          <w:szCs w:val="20"/>
          <w:rtl/>
        </w:rPr>
        <w:t xml:space="preserve">לפי ר׳ שפטל, מסר ר׳ </w:t>
      </w:r>
      <w:proofErr w:type="spellStart"/>
      <w:r>
        <w:rPr>
          <w:sz w:val="20"/>
          <w:szCs w:val="20"/>
          <w:rtl/>
        </w:rPr>
        <w:t>יעקב־יצחק</w:t>
      </w:r>
      <w:proofErr w:type="spellEnd"/>
      <w:r>
        <w:rPr>
          <w:sz w:val="20"/>
          <w:szCs w:val="20"/>
          <w:rtl/>
        </w:rPr>
        <w:t xml:space="preserve"> </w:t>
      </w:r>
      <w:proofErr w:type="spellStart"/>
      <w:r>
        <w:rPr>
          <w:sz w:val="20"/>
          <w:szCs w:val="20"/>
          <w:rtl/>
        </w:rPr>
        <w:t>רודרמן</w:t>
      </w:r>
      <w:proofErr w:type="spellEnd"/>
      <w:r>
        <w:rPr>
          <w:sz w:val="20"/>
          <w:szCs w:val="20"/>
          <w:rtl/>
        </w:rPr>
        <w:t xml:space="preserve"> בלשון סתומה שר׳ </w:t>
      </w:r>
      <w:proofErr w:type="spellStart"/>
      <w:r>
        <w:rPr>
          <w:sz w:val="20"/>
          <w:szCs w:val="20"/>
          <w:rtl/>
        </w:rPr>
        <w:t>משה־מרדכי</w:t>
      </w:r>
      <w:proofErr w:type="spellEnd"/>
      <w:r>
        <w:rPr>
          <w:sz w:val="20"/>
          <w:szCs w:val="20"/>
          <w:rtl/>
        </w:rPr>
        <w:t xml:space="preserve"> אפשטיין מצא אמתלה לסלק את הרב ליברמן מישיבת </w:t>
      </w:r>
      <w:proofErr w:type="spellStart"/>
      <w:r>
        <w:rPr>
          <w:sz w:val="20"/>
          <w:szCs w:val="20"/>
          <w:rtl/>
        </w:rPr>
        <w:t>סלבודקה</w:t>
      </w:r>
      <w:proofErr w:type="spellEnd"/>
      <w:r>
        <w:rPr>
          <w:sz w:val="20"/>
          <w:szCs w:val="20"/>
          <w:rtl/>
        </w:rPr>
        <w:t xml:space="preserve"> כשהסבא נעדר במקרה – כנראה בשהותו הראשונה של ר׳ שאול בישיבת </w:t>
      </w:r>
      <w:proofErr w:type="spellStart"/>
      <w:r>
        <w:rPr>
          <w:sz w:val="20"/>
          <w:szCs w:val="20"/>
          <w:rtl/>
        </w:rPr>
        <w:t>סלבודקה</w:t>
      </w:r>
      <w:proofErr w:type="spellEnd"/>
      <w:r>
        <w:rPr>
          <w:sz w:val="20"/>
          <w:szCs w:val="20"/>
          <w:rtl/>
        </w:rPr>
        <w:t>, לפני המלחמה והגלות במינסק – ‘מפני שהלך למקום שראש הישיבה אמר לו שלא ללכת אליו’. יש להניח שהמקום הנרמז הוא בית הקולנוע.</w:t>
      </w:r>
    </w:p>
  </w:footnote>
  <w:footnote w:id="4974">
    <w:p w14:paraId="55E663C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 סוף נספח ד.</w:t>
      </w:r>
    </w:p>
  </w:footnote>
  <w:footnote w:id="4975">
    <w:p w14:paraId="028DD28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ב־27 ביוני 1993.</w:t>
      </w:r>
    </w:p>
  </w:footnote>
  <w:footnote w:id="4976">
    <w:p w14:paraId="15D2891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12 לעיל.</w:t>
      </w:r>
    </w:p>
  </w:footnote>
  <w:footnote w:id="4977">
    <w:p w14:paraId="48E12CF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הערה 70.</w:t>
      </w:r>
    </w:p>
  </w:footnote>
  <w:footnote w:id="4978">
    <w:p w14:paraId="0186DDC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כרך 4.</w:t>
      </w:r>
    </w:p>
  </w:footnote>
  <w:footnote w:id="4979">
    <w:p w14:paraId="2DF6807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מבוסס על כתובות נט ע״ב.</w:t>
      </w:r>
    </w:p>
  </w:footnote>
  <w:footnote w:id="4980">
    <w:p w14:paraId="64AB546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מפי ר׳ דוד ויסקי, שרואיין ב־17 באפריל 2002, כשהכתיבה של ספר זה התקרבה לסיומה.</w:t>
      </w:r>
    </w:p>
  </w:footnote>
  <w:footnote w:id="4981">
    <w:p w14:paraId="1BD1225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הערה 8.</w:t>
      </w:r>
    </w:p>
  </w:footnote>
  <w:footnote w:id="4982">
    <w:p w14:paraId="411E05A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סוף פרק 1.2.</w:t>
      </w:r>
    </w:p>
  </w:footnote>
  <w:footnote w:id="4983">
    <w:p w14:paraId="3347D255"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כך במכתב. לפי תיאור המשפחה שבפרק הראשון, היה </w:t>
      </w:r>
      <w:proofErr w:type="spellStart"/>
      <w:r>
        <w:rPr>
          <w:sz w:val="20"/>
          <w:szCs w:val="20"/>
          <w:rtl/>
        </w:rPr>
        <w:t>שמואל־הירש</w:t>
      </w:r>
      <w:proofErr w:type="spellEnd"/>
      <w:r>
        <w:rPr>
          <w:sz w:val="20"/>
          <w:szCs w:val="20"/>
          <w:rtl/>
        </w:rPr>
        <w:t xml:space="preserve"> סבו של רבנו, כלומר אבי סבו של המחבר, נמען המכתב.</w:t>
      </w:r>
    </w:p>
  </w:footnote>
  <w:footnote w:id="4984">
    <w:p w14:paraId="37CC4A3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1.2, שר׳ </w:t>
      </w:r>
      <w:proofErr w:type="spellStart"/>
      <w:r>
        <w:rPr>
          <w:sz w:val="20"/>
          <w:szCs w:val="20"/>
          <w:rtl/>
        </w:rPr>
        <w:t>שמואל־הירש</w:t>
      </w:r>
      <w:proofErr w:type="spellEnd"/>
      <w:r>
        <w:rPr>
          <w:sz w:val="20"/>
          <w:szCs w:val="20"/>
          <w:rtl/>
        </w:rPr>
        <w:t xml:space="preserve"> התייעץ עמו כשחלתה אשתו.</w:t>
      </w:r>
    </w:p>
  </w:footnote>
  <w:footnote w:id="4985">
    <w:p w14:paraId="655CE31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להמשך מכתב זה, המתאר מה אירע לבעלי הפטור כשפרצה מלחמת העולם הראשונה, השווה כרך 2. השווה גם כרך 2, על התייצבות אבי לפני ועדת הגיוס.</w:t>
      </w:r>
    </w:p>
  </w:footnote>
  <w:footnote w:id="4986">
    <w:p w14:paraId="07BE11D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12 לעיל – עמ׳ 102–105.</w:t>
      </w:r>
    </w:p>
  </w:footnote>
  <w:footnote w:id="4987">
    <w:p w14:paraId="21BF65A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סוף הפסקה הראשונה של נספח ב לעיל.</w:t>
      </w:r>
    </w:p>
  </w:footnote>
  <w:footnote w:id="4988">
    <w:p w14:paraId="46ACB8B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השנייה של נספח ב לעיל – עמ׳ 196.</w:t>
      </w:r>
    </w:p>
  </w:footnote>
  <w:footnote w:id="4989">
    <w:p w14:paraId="6B377C5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1, הפסקה הראשונה של נספח ב.</w:t>
      </w:r>
    </w:p>
  </w:footnote>
  <w:footnote w:id="4990">
    <w:p w14:paraId="4AAA7F2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w:t>
      </w:r>
      <w:proofErr w:type="spellStart"/>
      <w:r>
        <w:rPr>
          <w:sz w:val="20"/>
          <w:szCs w:val="20"/>
          <w:rtl/>
        </w:rPr>
        <w:t>זכרון</w:t>
      </w:r>
      <w:proofErr w:type="spellEnd"/>
      <w:r>
        <w:rPr>
          <w:sz w:val="20"/>
          <w:szCs w:val="20"/>
          <w:rtl/>
        </w:rPr>
        <w:t xml:space="preserve"> יעקב” (הפסקה השנייה של נספח ב לעיל), כרך א, עמ׳ 203–222, וכרך ב, עמ׳ 194–202. השווה גם שם, כרך א, עמ׳ 106–129, על תהפוכות נוהל הממשלה לגיוס יהודים לצבא הרוסי.</w:t>
      </w:r>
    </w:p>
  </w:footnote>
  <w:footnote w:id="4991">
    <w:p w14:paraId="09DD021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2, הערה 22.</w:t>
      </w:r>
    </w:p>
  </w:footnote>
  <w:footnote w:id="4992">
    <w:p w14:paraId="7EA6F18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פרק 1, הערה 13.</w:t>
      </w:r>
    </w:p>
  </w:footnote>
  <w:footnote w:id="4993">
    <w:p w14:paraId="658D479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2, נספח ה.</w:t>
      </w:r>
    </w:p>
  </w:footnote>
  <w:footnote w:id="4994">
    <w:p w14:paraId="78018EC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ד״ר יוסף </w:t>
      </w:r>
      <w:proofErr w:type="spellStart"/>
      <w:r>
        <w:rPr>
          <w:sz w:val="20"/>
          <w:szCs w:val="20"/>
          <w:rtl/>
        </w:rPr>
        <w:t>קמינצקי</w:t>
      </w:r>
      <w:proofErr w:type="spellEnd"/>
      <w:r>
        <w:rPr>
          <w:sz w:val="20"/>
          <w:szCs w:val="20"/>
          <w:rtl/>
        </w:rPr>
        <w:t xml:space="preserve"> מביא מעשה זה בשינויים קלים </w:t>
      </w:r>
      <w:proofErr w:type="spellStart"/>
      <w:r>
        <w:rPr>
          <w:sz w:val="20"/>
          <w:szCs w:val="20"/>
          <w:rtl/>
        </w:rPr>
        <w:t>ב“מפגשים</w:t>
      </w:r>
      <w:proofErr w:type="spellEnd"/>
      <w:r>
        <w:rPr>
          <w:sz w:val="20"/>
          <w:szCs w:val="20"/>
          <w:rtl/>
        </w:rPr>
        <w:t xml:space="preserve"> בלתי נשכחים” (הוצאת שער, 1995), עמ׳ 118–119. הספר מגלה את אישיותו החמה במיוחד של ד״ר </w:t>
      </w:r>
      <w:proofErr w:type="spellStart"/>
      <w:r>
        <w:rPr>
          <w:sz w:val="20"/>
          <w:szCs w:val="20"/>
          <w:rtl/>
        </w:rPr>
        <w:t>קמינצקי</w:t>
      </w:r>
      <w:proofErr w:type="spellEnd"/>
      <w:r>
        <w:rPr>
          <w:sz w:val="20"/>
          <w:szCs w:val="20"/>
          <w:rtl/>
        </w:rPr>
        <w:t xml:space="preserve"> ואת קשריו הקרובים עם גדולי דורו. מידות אלה אפשרו לו, בתפקידו כמנהל ארגון תורה ומסורה, לחולל מהפכה בחינוך היהודי באמריקה באמצעות ייסוד בתי ספר יהודיים יומיים ברחבי הארץ, ולתפוס מקום מכובד בתולדות יהדות אמריקה.</w:t>
      </w:r>
    </w:p>
  </w:footnote>
  <w:footnote w:id="4995">
    <w:p w14:paraId="6ECF575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2, הפסקה </w:t>
      </w:r>
      <w:proofErr w:type="spellStart"/>
      <w:r>
        <w:rPr>
          <w:sz w:val="20"/>
          <w:szCs w:val="20"/>
          <w:rtl/>
        </w:rPr>
        <w:t>השתים־עשרה</w:t>
      </w:r>
      <w:proofErr w:type="spellEnd"/>
      <w:r>
        <w:rPr>
          <w:sz w:val="20"/>
          <w:szCs w:val="20"/>
          <w:rtl/>
        </w:rPr>
        <w:t xml:space="preserve"> של נספח א; פרק 3, נספח א; ופרק 4, הערה 102.</w:t>
      </w:r>
    </w:p>
  </w:footnote>
  <w:footnote w:id="4996">
    <w:p w14:paraId="23565F9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הפסקה השנייה של נספח ב לעיל. כמה פרטים קלים השלים ר׳ ישראל </w:t>
      </w:r>
      <w:proofErr w:type="spellStart"/>
      <w:r>
        <w:rPr>
          <w:sz w:val="20"/>
          <w:szCs w:val="20"/>
          <w:rtl/>
        </w:rPr>
        <w:t>שורין</w:t>
      </w:r>
      <w:proofErr w:type="spellEnd"/>
      <w:r>
        <w:rPr>
          <w:sz w:val="20"/>
          <w:szCs w:val="20"/>
          <w:rtl/>
        </w:rPr>
        <w:t>, ששמעם מרבנו, חותנו.</w:t>
      </w:r>
    </w:p>
  </w:footnote>
  <w:footnote w:id="4997">
    <w:p w14:paraId="439D627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היה בן שמונים ושבע בפטירתו.</w:t>
      </w:r>
    </w:p>
  </w:footnote>
  <w:footnote w:id="4998">
    <w:p w14:paraId="07D6734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26 בפרק זה – עמ׳ 198.</w:t>
      </w:r>
    </w:p>
  </w:footnote>
  <w:footnote w:id="4999">
    <w:p w14:paraId="49121A2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4, הפסקה השנייה של נספח </w:t>
      </w:r>
      <w:proofErr w:type="spellStart"/>
      <w:r>
        <w:rPr>
          <w:sz w:val="20"/>
          <w:szCs w:val="20"/>
          <w:rtl/>
        </w:rPr>
        <w:t>יב</w:t>
      </w:r>
      <w:proofErr w:type="spellEnd"/>
      <w:r>
        <w:rPr>
          <w:sz w:val="20"/>
          <w:szCs w:val="20"/>
          <w:rtl/>
        </w:rPr>
        <w:t>.</w:t>
      </w:r>
    </w:p>
  </w:footnote>
  <w:footnote w:id="5000">
    <w:p w14:paraId="56831BF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הערות 95 ו־113, ונספח יד.</w:t>
      </w:r>
    </w:p>
  </w:footnote>
  <w:footnote w:id="5001">
    <w:p w14:paraId="7ED3E67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1, הפסקה הראשונה של נספח ב – עמ׳ 533.</w:t>
      </w:r>
    </w:p>
  </w:footnote>
  <w:footnote w:id="5002">
    <w:p w14:paraId="223D04A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3, נספח א.</w:t>
      </w:r>
    </w:p>
  </w:footnote>
  <w:footnote w:id="5003">
    <w:p w14:paraId="19E82EB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534.</w:t>
      </w:r>
    </w:p>
  </w:footnote>
  <w:footnote w:id="5004">
    <w:p w14:paraId="7B56121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531.</w:t>
      </w:r>
    </w:p>
  </w:footnote>
  <w:footnote w:id="5005">
    <w:p w14:paraId="3000680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3, הפסקה הראשונה של נספח </w:t>
      </w:r>
      <w:proofErr w:type="spellStart"/>
      <w:r>
        <w:rPr>
          <w:sz w:val="20"/>
          <w:szCs w:val="20"/>
          <w:rtl/>
        </w:rPr>
        <w:t>יח</w:t>
      </w:r>
      <w:proofErr w:type="spellEnd"/>
      <w:r>
        <w:rPr>
          <w:sz w:val="20"/>
          <w:szCs w:val="20"/>
          <w:rtl/>
        </w:rPr>
        <w:t xml:space="preserve"> והערה 137.</w:t>
      </w:r>
    </w:p>
  </w:footnote>
  <w:footnote w:id="5006">
    <w:p w14:paraId="1AA48C0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הפסקה האחרונה של נספח ב לעיל.</w:t>
      </w:r>
    </w:p>
  </w:footnote>
  <w:footnote w:id="5007">
    <w:p w14:paraId="359C78B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ב־15 בפברואר 1995.</w:t>
      </w:r>
    </w:p>
  </w:footnote>
  <w:footnote w:id="5008">
    <w:p w14:paraId="4ED05A6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ב־30 ביולי 1992.</w:t>
      </w:r>
    </w:p>
  </w:footnote>
  <w:footnote w:id="5009">
    <w:p w14:paraId="2A28EB4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2, הפסקה השנייה של נספח א – כרך א, עמ׳ 252–253.</w:t>
      </w:r>
    </w:p>
  </w:footnote>
  <w:footnote w:id="5010">
    <w:p w14:paraId="7ED7A03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אין זה סביר שמלבד ר׳ פישל בר ינסה גם הדיין (שמלכתחילה לא רצה שהעיר תקבל רב אחר מלבדו) להכשיל את הרב אחרי מינויו – ובאותו נושא. יתרה מזאת, הרמז שהדיין ניסה לתפוס את ר׳ משה בשאלת האתרוגים המורכבים מפני שהתפרנס ממכירתם הוא ביזוי לדייני ליטא: כאילו דיין ינסה למכור ככשרים אתרוגים שהוא יודע שהם פסולים, רק מפני שרבו אינו יודע את המקור ההלכתי לפסילתם. ולבסוף, איש לא טען שאתרוגים מורכבים כשרים; ר׳ משה רק ‘נבחן’ על המקור לפסילתם (שאינה שנויה במחלוקת).</w:t>
      </w:r>
    </w:p>
  </w:footnote>
  <w:footnote w:id="5011">
    <w:p w14:paraId="312972F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נמסר </w:t>
      </w:r>
      <w:proofErr w:type="spellStart"/>
      <w:r>
        <w:rPr>
          <w:sz w:val="20"/>
          <w:szCs w:val="20"/>
          <w:rtl/>
        </w:rPr>
        <w:t>במונסי</w:t>
      </w:r>
      <w:proofErr w:type="spellEnd"/>
      <w:r>
        <w:rPr>
          <w:sz w:val="20"/>
          <w:szCs w:val="20"/>
          <w:rtl/>
        </w:rPr>
        <w:t xml:space="preserve"> לקבוצת תלמידי תורה ודעת לשעבר – להלן: קבוצת </w:t>
      </w:r>
      <w:proofErr w:type="spellStart"/>
      <w:r>
        <w:rPr>
          <w:sz w:val="20"/>
          <w:szCs w:val="20"/>
          <w:rtl/>
        </w:rPr>
        <w:t>מונסי</w:t>
      </w:r>
      <w:proofErr w:type="spellEnd"/>
      <w:r>
        <w:rPr>
          <w:sz w:val="20"/>
          <w:szCs w:val="20"/>
          <w:rtl/>
        </w:rPr>
        <w:t xml:space="preserve"> – על תחילת ספר יהושע.</w:t>
      </w:r>
    </w:p>
  </w:footnote>
  <w:footnote w:id="5012">
    <w:p w14:paraId="1E2CF8B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5013">
    <w:p w14:paraId="3E4DCBF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גיליונות אלול תרפ״ח </w:t>
      </w:r>
      <w:proofErr w:type="spellStart"/>
      <w:r>
        <w:rPr>
          <w:sz w:val="20"/>
          <w:szCs w:val="20"/>
          <w:rtl/>
        </w:rPr>
        <w:t>ותר״ץ</w:t>
      </w:r>
      <w:proofErr w:type="spellEnd"/>
      <w:r>
        <w:rPr>
          <w:sz w:val="20"/>
          <w:szCs w:val="20"/>
          <w:rtl/>
        </w:rPr>
        <w:t>.</w:t>
      </w:r>
    </w:p>
  </w:footnote>
  <w:footnote w:id="5014">
    <w:p w14:paraId="49975E0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‘הרה״ג׳ בראשי תיבות הוא תואר פחות </w:t>
      </w:r>
      <w:proofErr w:type="spellStart"/>
      <w:r>
        <w:rPr>
          <w:sz w:val="20"/>
          <w:szCs w:val="20"/>
          <w:rtl/>
        </w:rPr>
        <w:t>מ‘הרב</w:t>
      </w:r>
      <w:proofErr w:type="spellEnd"/>
      <w:r>
        <w:rPr>
          <w:sz w:val="20"/>
          <w:szCs w:val="20"/>
          <w:rtl/>
        </w:rPr>
        <w:t xml:space="preserve"> הגאון’, מפני </w:t>
      </w:r>
      <w:proofErr w:type="spellStart"/>
      <w:r>
        <w:rPr>
          <w:sz w:val="20"/>
          <w:szCs w:val="20"/>
          <w:rtl/>
        </w:rPr>
        <w:t>שהרה״ג</w:t>
      </w:r>
      <w:proofErr w:type="spellEnd"/>
      <w:r>
        <w:rPr>
          <w:sz w:val="20"/>
          <w:szCs w:val="20"/>
          <w:rtl/>
        </w:rPr>
        <w:t xml:space="preserve"> עשוי להיקרא הרב הגדול. ראה גם תחילת הפסקה השלישית להלן, המדגימה את הערצתו המופלגת של ר׳ פישל לכישרון.</w:t>
      </w:r>
    </w:p>
  </w:footnote>
  <w:footnote w:id="5015">
    <w:p w14:paraId="4EFF50C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גיליון תשרי–כסלו תרצ״א.</w:t>
      </w:r>
    </w:p>
  </w:footnote>
  <w:footnote w:id="5016">
    <w:p w14:paraId="33CB473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3, נספח </w:t>
      </w:r>
      <w:proofErr w:type="spellStart"/>
      <w:r>
        <w:rPr>
          <w:sz w:val="20"/>
          <w:szCs w:val="20"/>
          <w:rtl/>
        </w:rPr>
        <w:t>יז</w:t>
      </w:r>
      <w:proofErr w:type="spellEnd"/>
      <w:r>
        <w:rPr>
          <w:sz w:val="20"/>
          <w:szCs w:val="20"/>
          <w:rtl/>
        </w:rPr>
        <w:t>.</w:t>
      </w:r>
    </w:p>
  </w:footnote>
  <w:footnote w:id="5017">
    <w:p w14:paraId="187745F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 סוף הפסקה הראשונה של הערה 117.</w:t>
      </w:r>
    </w:p>
  </w:footnote>
  <w:footnote w:id="5018">
    <w:p w14:paraId="32C512A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כך מסר ר׳ מאיר חדש, ששמע על כך כשכבר למד </w:t>
      </w:r>
      <w:proofErr w:type="spellStart"/>
      <w:r>
        <w:rPr>
          <w:sz w:val="20"/>
          <w:szCs w:val="20"/>
          <w:rtl/>
        </w:rPr>
        <w:t>בסלבודקה</w:t>
      </w:r>
      <w:proofErr w:type="spellEnd"/>
      <w:r>
        <w:rPr>
          <w:sz w:val="20"/>
          <w:szCs w:val="20"/>
          <w:rtl/>
        </w:rPr>
        <w:t xml:space="preserve">, אחרי שתלמידי החלוץ חזרו לישיבתם הקודמת, בשעה שר׳ משה התכונן לעזוב את </w:t>
      </w:r>
      <w:proofErr w:type="spellStart"/>
      <w:r>
        <w:rPr>
          <w:sz w:val="20"/>
          <w:szCs w:val="20"/>
          <w:rtl/>
        </w:rPr>
        <w:t>ראסיין</w:t>
      </w:r>
      <w:proofErr w:type="spellEnd"/>
      <w:r>
        <w:rPr>
          <w:sz w:val="20"/>
          <w:szCs w:val="20"/>
          <w:rtl/>
        </w:rPr>
        <w:t xml:space="preserve"> (השווה פרק 3, הערה 68).</w:t>
      </w:r>
    </w:p>
  </w:footnote>
  <w:footnote w:id="5019">
    <w:p w14:paraId="4D68F09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ב־15 באוגוסט 1997 – פרק 2, נספח ו.</w:t>
      </w:r>
    </w:p>
  </w:footnote>
  <w:footnote w:id="5020">
    <w:p w14:paraId="4DE3015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ב־28 בדצמבר 1997.</w:t>
      </w:r>
    </w:p>
  </w:footnote>
  <w:footnote w:id="5021">
    <w:p w14:paraId="18B62AD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רבנו סיפר מעשה זה בשעה שבא לחלוק כבוד לאלמנת ר׳ </w:t>
      </w:r>
      <w:proofErr w:type="spellStart"/>
      <w:r>
        <w:rPr>
          <w:sz w:val="20"/>
          <w:szCs w:val="20"/>
          <w:rtl/>
        </w:rPr>
        <w:t xml:space="preserve">יושע־בערל</w:t>
      </w:r>
      <w:proofErr w:type="spellEnd"/>
      <w:r>
        <w:rPr>
          <w:sz w:val="20"/>
          <w:szCs w:val="20"/>
          <w:rtl/>
        </w:rPr>
        <w:t xml:space="preserve"> </w:t>
      </w:r>
      <w:proofErr w:type="spellStart"/>
      <w:r>
        <w:rPr>
          <w:sz w:val="20"/>
          <w:szCs w:val="20"/>
          <w:rtl/>
        </w:rPr>
        <w:t>סולובייצ׳יק</w:t>
      </w:r>
      <w:proofErr w:type="spellEnd"/>
      <w:r>
        <w:rPr>
          <w:sz w:val="20"/>
          <w:szCs w:val="20"/>
          <w:rtl/>
        </w:rPr>
        <w:t xml:space="preserve">, בביקורו בישראל </w:t>
      </w:r>
      <w:proofErr w:type="spellStart"/>
      <w:r>
        <w:rPr>
          <w:sz w:val="20"/>
          <w:szCs w:val="20"/>
          <w:rtl/>
        </w:rPr>
        <w:t>בתש״ם</w:t>
      </w:r>
      <w:proofErr w:type="spellEnd"/>
      <w:r>
        <w:rPr>
          <w:sz w:val="20"/>
          <w:szCs w:val="20"/>
          <w:rtl/>
        </w:rPr>
        <w:t>. ראה גם פרק 2, הערה 56.</w:t>
      </w:r>
    </w:p>
  </w:footnote>
  <w:footnote w:id="5022">
    <w:p w14:paraId="1F96263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4, הפסקה הראשונה של נספח </w:t>
      </w:r>
      <w:proofErr w:type="spellStart"/>
      <w:r>
        <w:rPr>
          <w:sz w:val="20"/>
          <w:szCs w:val="20"/>
          <w:rtl/>
        </w:rPr>
        <w:t>יג</w:t>
      </w:r>
      <w:proofErr w:type="spellEnd"/>
      <w:r>
        <w:rPr>
          <w:sz w:val="20"/>
          <w:szCs w:val="20"/>
          <w:rtl/>
        </w:rPr>
        <w:t>.</w:t>
      </w:r>
    </w:p>
  </w:footnote>
  <w:footnote w:id="5023">
    <w:p w14:paraId="5E45CB7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נראה שר׳ חיים סמך יותר על בנו הצעיר ר׳ יצחק־זאב מאשר על בנו המבוגר ר׳ משה – במיוחד </w:t>
      </w:r>
      <w:proofErr w:type="spellStart"/>
      <w:r>
        <w:rPr>
          <w:sz w:val="20"/>
          <w:szCs w:val="20"/>
          <w:rtl/>
        </w:rPr>
        <w:t>כשלר</w:t>
      </w:r>
      <w:proofErr w:type="spellEnd"/>
      <w:r>
        <w:rPr>
          <w:sz w:val="20"/>
          <w:szCs w:val="20"/>
          <w:rtl/>
        </w:rPr>
        <w:t xml:space="preserve">׳ משה היה עניין אישי שתלמידיו ימשיכו ללמוד אצל אביו, כדי שלא יתפרק הקיבוץ שלו, כמבואר להלן. השווה גם את תחילת הפסקה השנייה להלן, המוכיחה שר׳ חיים ראה את ר׳ יצחק־זאב כנעלה מאחיו.</w:t>
      </w:r>
    </w:p>
  </w:footnote>
  <w:footnote w:id="5024">
    <w:p w14:paraId="369BCE9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גיטין </w:t>
      </w:r>
      <w:proofErr w:type="spellStart"/>
      <w:r>
        <w:rPr>
          <w:sz w:val="20"/>
          <w:szCs w:val="20"/>
          <w:rtl/>
        </w:rPr>
        <w:t>נה</w:t>
      </w:r>
      <w:proofErr w:type="spellEnd"/>
      <w:r>
        <w:rPr>
          <w:sz w:val="20"/>
          <w:szCs w:val="20"/>
          <w:rtl/>
        </w:rPr>
        <w:t xml:space="preserve"> ע״א </w:t>
      </w:r>
      <w:proofErr w:type="spellStart"/>
      <w:r>
        <w:rPr>
          <w:sz w:val="20"/>
          <w:szCs w:val="20"/>
          <w:rtl/>
        </w:rPr>
        <w:t>ונז</w:t>
      </w:r>
      <w:proofErr w:type="spellEnd"/>
      <w:r>
        <w:rPr>
          <w:sz w:val="20"/>
          <w:szCs w:val="20"/>
          <w:rtl/>
        </w:rPr>
        <w:t xml:space="preserve"> ע״ב: ‘</w:t>
      </w:r>
      <w:proofErr w:type="spellStart"/>
      <w:r>
        <w:rPr>
          <w:sz w:val="20"/>
          <w:szCs w:val="20"/>
          <w:rtl/>
        </w:rPr>
        <w:t>אתרנגולא</w:t>
      </w:r>
      <w:proofErr w:type="spellEnd"/>
      <w:r>
        <w:rPr>
          <w:sz w:val="20"/>
          <w:szCs w:val="20"/>
          <w:rtl/>
        </w:rPr>
        <w:t xml:space="preserve"> </w:t>
      </w:r>
      <w:proofErr w:type="spellStart"/>
      <w:r>
        <w:rPr>
          <w:sz w:val="20"/>
          <w:szCs w:val="20"/>
          <w:rtl/>
        </w:rPr>
        <w:t>ותרנגולתא</w:t>
      </w:r>
      <w:proofErr w:type="spellEnd"/>
      <w:r>
        <w:rPr>
          <w:sz w:val="20"/>
          <w:szCs w:val="20"/>
          <w:rtl/>
        </w:rPr>
        <w:t xml:space="preserve"> חרוב טור </w:t>
      </w:r>
      <w:proofErr w:type="spellStart"/>
      <w:r>
        <w:rPr>
          <w:sz w:val="20"/>
          <w:szCs w:val="20"/>
          <w:rtl/>
        </w:rPr>
        <w:t>מלכא</w:t>
      </w:r>
      <w:proofErr w:type="spellEnd"/>
      <w:r>
        <w:rPr>
          <w:sz w:val="20"/>
          <w:szCs w:val="20"/>
          <w:rtl/>
        </w:rPr>
        <w:t>’.</w:t>
      </w:r>
    </w:p>
  </w:footnote>
  <w:footnote w:id="5025">
    <w:p w14:paraId="1250D3A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הערה 27 לעיל.</w:t>
      </w:r>
    </w:p>
  </w:footnote>
  <w:footnote w:id="5026">
    <w:p w14:paraId="41D4062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להלן, בפסקה החמישית, את הציטוט </w:t>
      </w:r>
      <w:proofErr w:type="spellStart"/>
      <w:r>
        <w:rPr>
          <w:sz w:val="20"/>
          <w:szCs w:val="20"/>
          <w:rtl/>
        </w:rPr>
        <w:t>מ“הגדול</w:t>
      </w:r>
      <w:proofErr w:type="spellEnd"/>
      <w:r>
        <w:rPr>
          <w:sz w:val="20"/>
          <w:szCs w:val="20"/>
          <w:rtl/>
        </w:rPr>
        <w:t xml:space="preserve"> ממינסק” (שם, פרק 1, נספח ו), עמ׳ 200, המכנה ‘כפייה’ מצב אחר שבו מתקבל רב ‘שלא ברצון’ הקהילה. הוא מחיל על פעולה כזו את הביטוי ‘כפיית הר כגיגית’ – ביטוי המבוסס על המעשה בשבת פח ע״א, שהקב״ה כפה על בני ישראל לקבל את התורה בכך שהטה את הר סיני מעל ראשיהם כשהוא תלוי על בלימה, ואיים להניח להר ליפול אם יסרבו לקבל את מתנתו.</w:t>
      </w:r>
    </w:p>
  </w:footnote>
  <w:footnote w:id="5027">
    <w:p w14:paraId="7DFDF71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ההקדמה </w:t>
      </w:r>
      <w:proofErr w:type="spellStart"/>
      <w:r>
        <w:rPr>
          <w:sz w:val="20"/>
          <w:szCs w:val="20"/>
          <w:rtl/>
        </w:rPr>
        <w:t>ל“שיעורי</w:t>
      </w:r>
      <w:proofErr w:type="spellEnd"/>
      <w:r>
        <w:rPr>
          <w:sz w:val="20"/>
          <w:szCs w:val="20"/>
          <w:rtl/>
        </w:rPr>
        <w:t xml:space="preserve"> רבנו חיים הלוי” (השווה פרק 4, הפסקה הרביעית של נספח ט).</w:t>
      </w:r>
    </w:p>
  </w:footnote>
  <w:footnote w:id="5028">
    <w:p w14:paraId="12FDFCA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ישעיה ל, כ ועירובין </w:t>
      </w:r>
      <w:proofErr w:type="spellStart"/>
      <w:r>
        <w:rPr>
          <w:sz w:val="20"/>
          <w:szCs w:val="20"/>
          <w:rtl/>
        </w:rPr>
        <w:t>יג</w:t>
      </w:r>
      <w:proofErr w:type="spellEnd"/>
      <w:r>
        <w:rPr>
          <w:sz w:val="20"/>
          <w:szCs w:val="20"/>
          <w:rtl/>
        </w:rPr>
        <w:t xml:space="preserve"> ע״ב.</w:t>
      </w:r>
    </w:p>
  </w:footnote>
  <w:footnote w:id="5029">
    <w:p w14:paraId="34D2B33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ב־22 במרץ 1993.</w:t>
      </w:r>
    </w:p>
  </w:footnote>
  <w:footnote w:id="5030">
    <w:p w14:paraId="12330ED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פרק 3, הפסקה האמצעית של נספח ד – עמ׳ תקנה. ר׳ חיים </w:t>
      </w:r>
      <w:proofErr w:type="spellStart"/>
      <w:r>
        <w:rPr>
          <w:sz w:val="20"/>
          <w:szCs w:val="20"/>
          <w:rtl/>
        </w:rPr>
        <w:t>סרנא</w:t>
      </w:r>
      <w:proofErr w:type="spellEnd"/>
      <w:r>
        <w:rPr>
          <w:sz w:val="20"/>
          <w:szCs w:val="20"/>
          <w:rtl/>
        </w:rPr>
        <w:t xml:space="preserve"> אינו נוקב בשמות </w:t>
      </w:r>
      <w:proofErr w:type="spellStart"/>
      <w:r>
        <w:rPr>
          <w:sz w:val="20"/>
          <w:szCs w:val="20"/>
          <w:rtl/>
        </w:rPr>
        <w:t>ראסיין</w:t>
      </w:r>
      <w:proofErr w:type="spellEnd"/>
      <w:r>
        <w:rPr>
          <w:sz w:val="20"/>
          <w:szCs w:val="20"/>
          <w:rtl/>
        </w:rPr>
        <w:t xml:space="preserve"> או בני משפחת </w:t>
      </w:r>
      <w:proofErr w:type="spellStart"/>
      <w:r>
        <w:rPr>
          <w:sz w:val="20"/>
          <w:szCs w:val="20"/>
          <w:rtl/>
        </w:rPr>
        <w:t>סולובייצ׳יק</w:t>
      </w:r>
      <w:proofErr w:type="spellEnd"/>
      <w:r>
        <w:rPr>
          <w:sz w:val="20"/>
          <w:szCs w:val="20"/>
          <w:rtl/>
        </w:rPr>
        <w:t>.</w:t>
      </w:r>
    </w:p>
  </w:footnote>
  <w:footnote w:id="5031">
    <w:p w14:paraId="4BCC31B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w:t>
      </w:r>
      <w:proofErr w:type="spellStart"/>
      <w:r>
        <w:rPr>
          <w:sz w:val="20"/>
          <w:szCs w:val="20"/>
          <w:rtl/>
        </w:rPr>
        <w:t>נתן־צבי</w:t>
      </w:r>
      <w:proofErr w:type="spellEnd"/>
      <w:r>
        <w:rPr>
          <w:sz w:val="20"/>
          <w:szCs w:val="20"/>
          <w:rtl/>
        </w:rPr>
        <w:t xml:space="preserve"> </w:t>
      </w:r>
      <w:proofErr w:type="spellStart"/>
      <w:r>
        <w:rPr>
          <w:sz w:val="20"/>
          <w:szCs w:val="20"/>
          <w:rtl/>
        </w:rPr>
        <w:t>פינקל</w:t>
      </w:r>
      <w:proofErr w:type="spellEnd"/>
      <w:r>
        <w:rPr>
          <w:sz w:val="20"/>
          <w:szCs w:val="20"/>
          <w:rtl/>
        </w:rPr>
        <w:t xml:space="preserve"> היה יליד </w:t>
      </w:r>
      <w:proofErr w:type="spellStart"/>
      <w:r>
        <w:rPr>
          <w:sz w:val="20"/>
          <w:szCs w:val="20"/>
          <w:rtl/>
        </w:rPr>
        <w:t>ראסיין</w:t>
      </w:r>
      <w:proofErr w:type="spellEnd"/>
      <w:r>
        <w:rPr>
          <w:sz w:val="20"/>
          <w:szCs w:val="20"/>
          <w:rtl/>
        </w:rPr>
        <w:t xml:space="preserve">, וכנראה הכיר את עירו די הצורך לדעת שר׳ משה נזקק לחיזוק שישיבה תעניק לו. ראה גם פרק 3, הפסקה הראשונה של נספח טו, כיצד תיאר ר׳ מאיר </w:t>
      </w:r>
      <w:proofErr w:type="spellStart"/>
      <w:r>
        <w:rPr>
          <w:sz w:val="20"/>
          <w:szCs w:val="20"/>
          <w:rtl/>
        </w:rPr>
        <w:t>פיימר</w:t>
      </w:r>
      <w:proofErr w:type="spellEnd"/>
      <w:r>
        <w:rPr>
          <w:sz w:val="20"/>
          <w:szCs w:val="20"/>
          <w:rtl/>
        </w:rPr>
        <w:t xml:space="preserve"> במאמר </w:t>
      </w:r>
      <w:proofErr w:type="spellStart"/>
      <w:r>
        <w:rPr>
          <w:sz w:val="20"/>
          <w:szCs w:val="20"/>
          <w:rtl/>
        </w:rPr>
        <w:t>ב“המליץ</w:t>
      </w:r>
      <w:proofErr w:type="spellEnd"/>
      <w:r>
        <w:rPr>
          <w:sz w:val="20"/>
          <w:szCs w:val="20"/>
          <w:rtl/>
        </w:rPr>
        <w:t xml:space="preserve">”, תשע שנים קודם לכן, את הכבוד הרב שזכה לו רב עירו, </w:t>
      </w:r>
      <w:proofErr w:type="spellStart"/>
      <w:r>
        <w:rPr>
          <w:sz w:val="20"/>
          <w:szCs w:val="20"/>
          <w:rtl/>
        </w:rPr>
        <w:t>סלוצק</w:t>
      </w:r>
      <w:proofErr w:type="spellEnd"/>
      <w:r>
        <w:rPr>
          <w:sz w:val="20"/>
          <w:szCs w:val="20"/>
          <w:rtl/>
        </w:rPr>
        <w:t>, בזכות נוכחות הבחורים ששלח לשם הסבא.</w:t>
      </w:r>
    </w:p>
  </w:footnote>
  <w:footnote w:id="5032">
    <w:p w14:paraId="739CA98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בריאיון זה פחת מספר התלמידים בחמישה מן המספר שמסר אותו מרואיין בזמן מאוחר יותר, כפי שצוטט בעמ׳ </w:t>
      </w:r>
      <w:r>
        <w:rPr>
          <w:sz w:val="20"/>
          <w:szCs w:val="20"/>
          <w:rtl/>
        </w:rPr>
        <w:fldChar w:fldCharType="begin" w:dirty="true"/>
      </w:r>
      <w:r>
        <w:rPr>
          <w:sz w:val="20"/>
          <w:szCs w:val="20"/>
          <w:rtl/>
        </w:rPr>
        <w:instrText xml:space="preserve"> PAGEREF pr_b_2733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5033">
    <w:p w14:paraId="5C215F2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הפסקה השנייה של נספח ב לעיל – עמ׳ 379–380. הוא מובא שם </w:t>
      </w:r>
      <w:proofErr w:type="spellStart"/>
      <w:r>
        <w:rPr>
          <w:sz w:val="20"/>
          <w:szCs w:val="20"/>
          <w:rtl/>
        </w:rPr>
        <w:t>מ“שערי</w:t>
      </w:r>
      <w:proofErr w:type="spellEnd"/>
      <w:r>
        <w:rPr>
          <w:sz w:val="20"/>
          <w:szCs w:val="20"/>
          <w:rtl/>
        </w:rPr>
        <w:t xml:space="preserve"> ציון”, המקור שאני מצטט בהערת שוליים </w:t>
      </w:r>
      <w:r>
        <w:rPr>
          <w:sz w:val="20"/>
          <w:szCs w:val="20"/>
          <w:rtl/>
        </w:rPr>
        <w:fldChar w:fldCharType="begin" w:dirty="true"/>
      </w:r>
      <w:r>
        <w:rPr>
          <w:sz w:val="20"/>
          <w:szCs w:val="20"/>
          <w:rtl/>
        </w:rPr>
        <w:instrText xml:space="preserve"> NOTEREF pr_f_1219 \h </w:instrText>
      </w:r>
      <w:r>
        <w:rPr>
          <w:sz w:val="20"/>
          <w:szCs w:val="20"/>
          <w:rtl/>
        </w:rPr>
      </w:r>
      <w:r>
        <w:rPr>
          <w:sz w:val="20"/>
          <w:szCs w:val="20"/>
          <w:rtl/>
        </w:rPr>
        <w:fldChar w:fldCharType="separate"/>
      </w:r>
      <w:r w:rsidR="007923E9">
        <w:rPr>
          <w:sz w:val="20"/>
          <w:szCs w:val="20"/>
          <w:rtl/>
        </w:rPr>
        <w:t>261</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pr_f_1219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5034">
    <w:p w14:paraId="074C991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השנייה של נספח ב לעיל – עמ׳ 306.</w:t>
      </w:r>
    </w:p>
  </w:footnote>
  <w:footnote w:id="5035">
    <w:p w14:paraId="209AB29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3, הפסקה האחרונה של נספח ה.</w:t>
      </w:r>
    </w:p>
  </w:footnote>
  <w:footnote w:id="5036">
    <w:p w14:paraId="69C3435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כוונתו לישיבת </w:t>
      </w:r>
      <w:proofErr w:type="spellStart"/>
      <w:r>
        <w:rPr>
          <w:sz w:val="20"/>
          <w:szCs w:val="20"/>
          <w:rtl/>
        </w:rPr>
        <w:t>סלבודקה</w:t>
      </w:r>
      <w:proofErr w:type="spellEnd"/>
      <w:r>
        <w:rPr>
          <w:sz w:val="20"/>
          <w:szCs w:val="20"/>
          <w:rtl/>
        </w:rPr>
        <w:t xml:space="preserve"> – ראה פרק 3, סוף נספח ה ונספח ו.</w:t>
      </w:r>
    </w:p>
  </w:footnote>
  <w:footnote w:id="5037">
    <w:p w14:paraId="02FC638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הדבר מוסבר בפרק 3, נספח ה.</w:t>
      </w:r>
    </w:p>
  </w:footnote>
  <w:footnote w:id="5038">
    <w:p w14:paraId="2783585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לתועלת הקורא הבאתי קטע קצר מתוך איגרת ארוכה, אף שאני חושד שאותו כותב אינו מציג את העובדות באמת רבה יותר מזו </w:t>
      </w:r>
      <w:proofErr w:type="spellStart"/>
      <w:r>
        <w:rPr>
          <w:sz w:val="20"/>
          <w:szCs w:val="20"/>
          <w:rtl/>
        </w:rPr>
        <w:t>שבפולמוסיו</w:t>
      </w:r>
      <w:proofErr w:type="spellEnd"/>
      <w:r>
        <w:rPr>
          <w:sz w:val="20"/>
          <w:szCs w:val="20"/>
          <w:rtl/>
        </w:rPr>
        <w:t>, כמבואר בפרק 3, הפסקה השלישית של נספח ה.</w:t>
      </w:r>
    </w:p>
  </w:footnote>
  <w:footnote w:id="5039">
    <w:p w14:paraId="74DFAAD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3, הערה 21, שהיה מן התלמידים המובהקים של ר׳ ישראל </w:t>
      </w:r>
      <w:proofErr w:type="spellStart"/>
      <w:r>
        <w:rPr>
          <w:sz w:val="20"/>
          <w:szCs w:val="20"/>
          <w:rtl/>
        </w:rPr>
        <w:t>סלנטר</w:t>
      </w:r>
      <w:proofErr w:type="spellEnd"/>
      <w:r>
        <w:rPr>
          <w:sz w:val="20"/>
          <w:szCs w:val="20"/>
          <w:rtl/>
        </w:rPr>
        <w:t>.</w:t>
      </w:r>
    </w:p>
  </w:footnote>
  <w:footnote w:id="5040">
    <w:p w14:paraId="43AABAC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נימוק זה מתאים לאמרה של ר׳ נפתלי אמסטרדם שחזר עליה רבנו, והיא מצוטטת בפרק 4, סוף נספח י. ייתכן שמקורה ברבם המשותף, ר׳ ישראל.</w:t>
      </w:r>
    </w:p>
  </w:footnote>
  <w:footnote w:id="5041">
    <w:p w14:paraId="07CD0E2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חלק זה בריאיון של ר׳ חיים </w:t>
      </w:r>
      <w:proofErr w:type="spellStart"/>
      <w:r>
        <w:rPr>
          <w:sz w:val="20"/>
          <w:szCs w:val="20"/>
          <w:rtl/>
        </w:rPr>
        <w:t>סרנא</w:t>
      </w:r>
      <w:proofErr w:type="spellEnd"/>
      <w:r>
        <w:rPr>
          <w:sz w:val="20"/>
          <w:szCs w:val="20"/>
          <w:rtl/>
        </w:rPr>
        <w:t xml:space="preserve"> מובא גם בכץ, שם, בשם ר׳ חיים עצמו.</w:t>
      </w:r>
    </w:p>
  </w:footnote>
  <w:footnote w:id="5042">
    <w:p w14:paraId="60A4090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ביצה </w:t>
      </w:r>
      <w:proofErr w:type="spellStart"/>
      <w:r>
        <w:rPr>
          <w:sz w:val="20"/>
          <w:szCs w:val="20"/>
          <w:rtl/>
        </w:rPr>
        <w:t>טז</w:t>
      </w:r>
      <w:proofErr w:type="spellEnd"/>
      <w:r>
        <w:rPr>
          <w:sz w:val="20"/>
          <w:szCs w:val="20"/>
          <w:rtl/>
        </w:rPr>
        <w:t xml:space="preserve"> ע״א ובבא קמא פא ע״ב (“תולדות תנאים ואמוראים” [הובא בעמ׳ </w:t>
      </w:r>
      <w:r>
        <w:rPr>
          <w:sz w:val="20"/>
          <w:szCs w:val="20"/>
          <w:rtl/>
        </w:rPr>
        <w:fldChar w:fldCharType="begin" w:dirty="true"/>
      </w:r>
      <w:r>
        <w:rPr>
          <w:sz w:val="20"/>
          <w:szCs w:val="20"/>
          <w:rtl/>
        </w:rPr>
        <w:instrText xml:space="preserve"> PAGEREF pr_f_880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הערת שוליים </w:t>
      </w:r>
      <w:r>
        <w:rPr>
          <w:sz w:val="20"/>
          <w:szCs w:val="20"/>
          <w:rtl/>
        </w:rPr>
        <w:fldChar w:fldCharType="begin" w:dirty="true"/>
      </w:r>
      <w:r>
        <w:rPr>
          <w:sz w:val="20"/>
          <w:szCs w:val="20"/>
          <w:rtl/>
        </w:rPr>
        <w:instrText xml:space="preserve"> NOTEREF pr_f_880 \h </w:instrText>
      </w:r>
      <w:r>
        <w:rPr>
          <w:sz w:val="20"/>
          <w:szCs w:val="20"/>
          <w:rtl/>
        </w:rPr>
      </w:r>
      <w:r>
        <w:rPr>
          <w:sz w:val="20"/>
          <w:szCs w:val="20"/>
          <w:rtl/>
        </w:rPr>
        <w:fldChar w:fldCharType="separate"/>
      </w:r>
      <w:r w:rsidR="007923E9">
        <w:rPr>
          <w:sz w:val="20"/>
          <w:szCs w:val="20"/>
          <w:rtl/>
        </w:rPr>
        <w:t>511</w:t>
      </w:r>
      <w:r>
        <w:rPr>
          <w:sz w:val="20"/>
          <w:szCs w:val="20"/>
          <w:rtl/>
        </w:rPr>
        <w:fldChar w:fldCharType="end"/>
      </w:r>
      <w:r>
        <w:rPr>
          <w:sz w:val="20"/>
          <w:szCs w:val="20"/>
          <w:rtl/>
        </w:rPr>
        <w:t xml:space="preserve">], עמ׳ </w:t>
      </w:r>
      <w:proofErr w:type="spellStart"/>
      <w:r>
        <w:rPr>
          <w:sz w:val="20"/>
          <w:szCs w:val="20"/>
          <w:rtl/>
        </w:rPr>
        <w:t>תקסו</w:t>
      </w:r>
      <w:proofErr w:type="spellEnd"/>
      <w:r>
        <w:rPr>
          <w:sz w:val="20"/>
          <w:szCs w:val="20"/>
          <w:rtl/>
        </w:rPr>
        <w:t xml:space="preserve">), וירושלמי סוטה פ״ט </w:t>
      </w:r>
      <w:proofErr w:type="spellStart"/>
      <w:r>
        <w:rPr>
          <w:sz w:val="20"/>
          <w:szCs w:val="20"/>
          <w:rtl/>
        </w:rPr>
        <w:t>ה״י</w:t>
      </w:r>
      <w:proofErr w:type="spellEnd"/>
      <w:r>
        <w:rPr>
          <w:sz w:val="20"/>
          <w:szCs w:val="20"/>
          <w:rtl/>
        </w:rPr>
        <w:t>.</w:t>
      </w:r>
    </w:p>
  </w:footnote>
  <w:footnote w:id="5043">
    <w:p w14:paraId="0FFAB00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5044">
    <w:p w14:paraId="1F40B52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בעמ׳ 79, חמש שנים לפני החידוד המועתק בעליל על משולחי </w:t>
      </w:r>
      <w:proofErr w:type="spellStart"/>
      <w:r>
        <w:rPr>
          <w:sz w:val="20"/>
          <w:szCs w:val="20"/>
          <w:rtl/>
        </w:rPr>
        <w:t>סלבודקה</w:t>
      </w:r>
      <w:proofErr w:type="spellEnd"/>
      <w:r>
        <w:rPr>
          <w:sz w:val="20"/>
          <w:szCs w:val="20"/>
          <w:rtl/>
        </w:rPr>
        <w:t xml:space="preserve"> שהוזכר לעיל בקטע ממכתבו של אלתר </w:t>
      </w:r>
      <w:proofErr w:type="spellStart"/>
      <w:r>
        <w:rPr>
          <w:sz w:val="20"/>
          <w:szCs w:val="20"/>
          <w:rtl/>
        </w:rPr>
        <w:t>דרויאנוב</w:t>
      </w:r>
      <w:proofErr w:type="spellEnd"/>
      <w:r>
        <w:rPr>
          <w:sz w:val="20"/>
          <w:szCs w:val="20"/>
          <w:rtl/>
        </w:rPr>
        <w:t xml:space="preserve"> </w:t>
      </w:r>
      <w:proofErr w:type="spellStart"/>
      <w:r>
        <w:rPr>
          <w:sz w:val="20"/>
          <w:szCs w:val="20"/>
          <w:rtl/>
        </w:rPr>
        <w:t>ב“תלפיות</w:t>
      </w:r>
      <w:proofErr w:type="spellEnd"/>
      <w:r>
        <w:rPr>
          <w:sz w:val="20"/>
          <w:szCs w:val="20"/>
          <w:rtl/>
        </w:rPr>
        <w:t>”.</w:t>
      </w:r>
    </w:p>
  </w:footnote>
  <w:footnote w:id="5045">
    <w:p w14:paraId="10721EC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“פון </w:t>
      </w:r>
      <w:proofErr w:type="spellStart"/>
      <w:r>
        <w:rPr>
          <w:sz w:val="20"/>
          <w:szCs w:val="20"/>
          <w:rtl/>
        </w:rPr>
        <w:t>וואלאזין</w:t>
      </w:r>
      <w:proofErr w:type="spellEnd"/>
      <w:r>
        <w:rPr>
          <w:sz w:val="20"/>
          <w:szCs w:val="20"/>
          <w:rtl/>
        </w:rPr>
        <w:t xml:space="preserve"> </w:t>
      </w:r>
      <w:proofErr w:type="spellStart"/>
      <w:r>
        <w:rPr>
          <w:sz w:val="20"/>
          <w:szCs w:val="20"/>
          <w:rtl/>
        </w:rPr>
        <w:t>ביז</w:t>
      </w:r>
      <w:proofErr w:type="spellEnd"/>
      <w:r>
        <w:rPr>
          <w:sz w:val="20"/>
          <w:szCs w:val="20"/>
          <w:rtl/>
        </w:rPr>
        <w:t xml:space="preserve"> ירושלים” (הפסקה השישית של נספח ב לעיל), כרך א, עמ׳ 236–237. השווה גם פרק 3, הפסקה השלישית של נספח יד, על ההספד על הרצל </w:t>
      </w:r>
      <w:proofErr w:type="spellStart"/>
      <w:r>
        <w:rPr>
          <w:sz w:val="20"/>
          <w:szCs w:val="20"/>
          <w:rtl/>
        </w:rPr>
        <w:t>בבריסק</w:t>
      </w:r>
      <w:proofErr w:type="spellEnd"/>
      <w:r>
        <w:rPr>
          <w:sz w:val="20"/>
          <w:szCs w:val="20"/>
          <w:rtl/>
        </w:rPr>
        <w:t>.</w:t>
      </w:r>
    </w:p>
  </w:footnote>
  <w:footnote w:id="5046">
    <w:p w14:paraId="0513F6C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1, הערה 57 – עמ׳ 418.</w:t>
      </w:r>
    </w:p>
  </w:footnote>
  <w:footnote w:id="5047">
    <w:p w14:paraId="69EE665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אך השווה </w:t>
      </w:r>
      <w:proofErr w:type="spellStart"/>
      <w:r>
        <w:rPr>
          <w:rStyle w:val="a5"/>
          <w:sz w:val="20"/>
          <w:szCs w:val="20"/>
          <w:vertAlign w:val="baseline"/>
          <w:rtl/>
        </w:rPr>
        <w:t>רבינוביץ</w:t>
      </w:r>
      <w:proofErr w:type="spellEnd"/>
      <w:r>
        <w:rPr>
          <w:rStyle w:val="a5"/>
          <w:sz w:val="20"/>
          <w:szCs w:val="20"/>
          <w:vertAlign w:val="baseline"/>
          <w:rtl/>
        </w:rPr>
        <w:t xml:space="preserve"> (שם, הערת שוליים </w:t>
      </w:r>
      <w:r>
        <w:rPr>
          <w:rStyle w:val="a5"/>
          <w:sz w:val="20"/>
          <w:szCs w:val="20"/>
          <w:vertAlign w:val="baseline"/>
          <w:rtl/>
        </w:rPr>
        <w:fldChar w:fldCharType="begin" w:dirty="true"/>
      </w:r>
      <w:r>
        <w:rPr>
          <w:rStyle w:val="a5"/>
          <w:sz w:val="20"/>
          <w:szCs w:val="20"/>
          <w:vertAlign w:val="baseline"/>
          <w:rtl/>
        </w:rPr>
        <w:instrText xml:space="preserve"> NOTEREF pr_f_401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35</w:t>
      </w:r>
      <w:r>
        <w:rPr>
          <w:rStyle w:val="a5"/>
          <w:sz w:val="20"/>
          <w:szCs w:val="20"/>
          <w:vertAlign w:val="baseline"/>
          <w:rtl/>
        </w:rPr>
        <w:fldChar w:fldCharType="end"/>
      </w:r>
      <w:r>
        <w:rPr>
          <w:rStyle w:val="a5"/>
          <w:sz w:val="20"/>
          <w:szCs w:val="20"/>
          <w:vertAlign w:val="baseline"/>
          <w:rtl/>
        </w:rPr>
        <w:t xml:space="preserve">, עמ׳ </w:t>
      </w:r>
      <w:r>
        <w:rPr>
          <w:rStyle w:val="a5"/>
          <w:sz w:val="20"/>
          <w:szCs w:val="20"/>
          <w:vertAlign w:val="baseline"/>
          <w:rtl/>
        </w:rPr>
        <w:fldChar w:fldCharType="begin" w:dirty="true"/>
      </w:r>
      <w:r>
        <w:rPr>
          <w:rStyle w:val="a5"/>
          <w:sz w:val="20"/>
          <w:szCs w:val="20"/>
          <w:vertAlign w:val="baseline"/>
          <w:rtl/>
        </w:rPr>
        <w:instrText xml:space="preserve"> PAGEREF pr_f_401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 xml:space="preserve">), עמ׳ 539, הנותן טעם אחר לשליחת התלמידים </w:t>
      </w:r>
      <w:proofErr w:type="spellStart"/>
      <w:r>
        <w:rPr>
          <w:sz w:val="20"/>
          <w:szCs w:val="20"/>
          <w:rtl/>
        </w:rPr>
        <w:t>לר</w:t>
      </w:r>
      <w:proofErr w:type="spellEnd"/>
      <w:r>
        <w:rPr>
          <w:sz w:val="20"/>
          <w:szCs w:val="20"/>
          <w:rtl/>
        </w:rPr>
        <w:t xml:space="preserve">׳ יצחק־זאב.</w:t>
      </w:r>
    </w:p>
  </w:footnote>
  <w:footnote w:id="5048">
    <w:p w14:paraId="79D8E6B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כא</w:t>
      </w:r>
      <w:proofErr w:type="spellEnd"/>
      <w:r>
        <w:rPr>
          <w:sz w:val="20"/>
          <w:szCs w:val="20"/>
          <w:rtl/>
        </w:rPr>
        <w:t>.</w:t>
      </w:r>
    </w:p>
  </w:footnote>
  <w:footnote w:id="5049">
    <w:p w14:paraId="1118669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533.</w:t>
      </w:r>
    </w:p>
  </w:footnote>
  <w:footnote w:id="5050">
    <w:p w14:paraId="7024231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פרק 1, הערה 42, שחיברה בתו של ר׳ משה </w:t>
      </w:r>
      <w:proofErr w:type="spellStart"/>
      <w:r>
        <w:rPr>
          <w:sz w:val="20"/>
          <w:szCs w:val="20"/>
          <w:rtl/>
        </w:rPr>
        <w:t>סולובייצ׳יק</w:t>
      </w:r>
      <w:proofErr w:type="spellEnd"/>
      <w:r>
        <w:rPr>
          <w:sz w:val="20"/>
          <w:szCs w:val="20"/>
          <w:rtl/>
        </w:rPr>
        <w:t xml:space="preserve"> – עמ׳ 117–118.</w:t>
      </w:r>
    </w:p>
  </w:footnote>
  <w:footnote w:id="5051">
    <w:p w14:paraId="356315B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30 לעיל – עמ׳ 70.</w:t>
      </w:r>
    </w:p>
  </w:footnote>
  <w:footnote w:id="5052">
    <w:p w14:paraId="3544670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מבוסס כנראה על ספרו של </w:t>
      </w:r>
      <w:proofErr w:type="spellStart"/>
      <w:r>
        <w:rPr>
          <w:sz w:val="20"/>
          <w:szCs w:val="20"/>
          <w:rtl/>
        </w:rPr>
        <w:t>דבורץ</w:t>
      </w:r>
      <w:proofErr w:type="spellEnd"/>
      <w:r>
        <w:rPr>
          <w:sz w:val="20"/>
          <w:szCs w:val="20"/>
          <w:rtl/>
        </w:rPr>
        <w:t>, “הגאון רבי משה מרדכי אפשטיין” (הערה 27 לעיל), עמ׳ 70.</w:t>
      </w:r>
    </w:p>
  </w:footnote>
  <w:footnote w:id="5053">
    <w:p w14:paraId="1C31E3D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פרק 3, הפסקה השישית של נספח </w:t>
      </w:r>
      <w:proofErr w:type="spellStart"/>
      <w:r>
        <w:rPr>
          <w:sz w:val="20"/>
          <w:szCs w:val="20"/>
          <w:rtl/>
        </w:rPr>
        <w:t>כו</w:t>
      </w:r>
      <w:proofErr w:type="spellEnd"/>
      <w:r>
        <w:rPr>
          <w:sz w:val="20"/>
          <w:szCs w:val="20"/>
          <w:rtl/>
        </w:rPr>
        <w:t>.</w:t>
      </w:r>
    </w:p>
  </w:footnote>
  <w:footnote w:id="5054">
    <w:p w14:paraId="40FF917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ב־12 באפריל 1999.</w:t>
      </w:r>
    </w:p>
  </w:footnote>
  <w:footnote w:id="5055">
    <w:p w14:paraId="277B751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 הפסקה השנייה של נספח ב.</w:t>
      </w:r>
    </w:p>
  </w:footnote>
  <w:footnote w:id="5056">
    <w:p w14:paraId="4646DEE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כרך 2. הסכמתם לקבל את ר׳ משה מפני שר׳ </w:t>
      </w:r>
      <w:proofErr w:type="spellStart"/>
      <w:r>
        <w:rPr>
          <w:sz w:val="20"/>
          <w:szCs w:val="20"/>
          <w:rtl/>
        </w:rPr>
        <w:t>ברוך־בער</w:t>
      </w:r>
      <w:proofErr w:type="spellEnd"/>
      <w:r>
        <w:rPr>
          <w:sz w:val="20"/>
          <w:szCs w:val="20"/>
          <w:rtl/>
        </w:rPr>
        <w:t xml:space="preserve"> פנה אליהם אישית מוכיחה עד כמה כיבדו תלמידי חכמים. ראה גם פרק 4, הפסקה השנייה של נספח ב, על העדפת ר׳ חיים את ליטא על פני פולין.</w:t>
      </w:r>
    </w:p>
  </w:footnote>
  <w:footnote w:id="5057">
    <w:p w14:paraId="27E2E41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116–117.</w:t>
      </w:r>
    </w:p>
  </w:footnote>
  <w:footnote w:id="5058">
    <w:p w14:paraId="465536D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הפרק השני של “סיפור ישיבה </w:t>
      </w:r>
      <w:proofErr w:type="spellStart"/>
      <w:r>
        <w:rPr>
          <w:sz w:val="20"/>
          <w:szCs w:val="20"/>
          <w:rtl/>
        </w:rPr>
        <w:t>יוניברסיטי</w:t>
      </w:r>
      <w:proofErr w:type="spellEnd"/>
      <w:r>
        <w:rPr>
          <w:sz w:val="20"/>
          <w:szCs w:val="20"/>
          <w:rtl/>
        </w:rPr>
        <w:t xml:space="preserve">” (שם, פרק 3, נספח </w:t>
      </w:r>
      <w:proofErr w:type="spellStart"/>
      <w:r>
        <w:rPr>
          <w:sz w:val="20"/>
          <w:szCs w:val="20"/>
          <w:rtl/>
        </w:rPr>
        <w:t>טז</w:t>
      </w:r>
      <w:proofErr w:type="spellEnd"/>
      <w:r>
        <w:rPr>
          <w:sz w:val="20"/>
          <w:szCs w:val="20"/>
          <w:rtl/>
        </w:rPr>
        <w:t xml:space="preserve">). </w:t>
      </w:r>
      <w:proofErr w:type="spellStart"/>
      <w:r>
        <w:rPr>
          <w:sz w:val="20"/>
          <w:szCs w:val="20"/>
          <w:rtl/>
        </w:rPr>
        <w:t>בתרס״ח</w:t>
      </w:r>
      <w:proofErr w:type="spellEnd"/>
      <w:r>
        <w:rPr>
          <w:sz w:val="20"/>
          <w:szCs w:val="20"/>
          <w:rtl/>
        </w:rPr>
        <w:t xml:space="preserve"> – בערך בזמן שבו ודאי הוצע התפקיד </w:t>
      </w:r>
      <w:proofErr w:type="spellStart"/>
      <w:r>
        <w:rPr>
          <w:sz w:val="20"/>
          <w:szCs w:val="20"/>
          <w:rtl/>
        </w:rPr>
        <w:t>לר</w:t>
      </w:r>
      <w:proofErr w:type="spellEnd"/>
      <w:r>
        <w:rPr>
          <w:sz w:val="20"/>
          <w:szCs w:val="20"/>
          <w:rtl/>
        </w:rPr>
        <w:t xml:space="preserve">׳ משה – היו התלמידים המבוגרים ביותר בישיבת עץ חיים בני </w:t>
      </w:r>
      <w:proofErr w:type="spellStart"/>
      <w:r>
        <w:rPr>
          <w:sz w:val="20"/>
          <w:szCs w:val="20"/>
          <w:rtl/>
        </w:rPr>
        <w:t>ארבע־עשרה</w:t>
      </w:r>
      <w:proofErr w:type="spellEnd"/>
      <w:r>
        <w:rPr>
          <w:sz w:val="20"/>
          <w:szCs w:val="20"/>
          <w:rtl/>
        </w:rPr>
        <w:t xml:space="preserve"> (שם, עמ׳ 31).</w:t>
      </w:r>
    </w:p>
  </w:footnote>
  <w:footnote w:id="5059">
    <w:p w14:paraId="4E2508C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117.</w:t>
      </w:r>
    </w:p>
  </w:footnote>
  <w:footnote w:id="5060">
    <w:p w14:paraId="7DCEA91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5061">
    <w:p w14:paraId="7C3A89C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הספר “לקורות” נדפס </w:t>
      </w:r>
      <w:proofErr w:type="spellStart"/>
      <w:r>
        <w:rPr>
          <w:sz w:val="20"/>
          <w:szCs w:val="20"/>
          <w:rtl/>
        </w:rPr>
        <w:t>בתרע״ג</w:t>
      </w:r>
      <w:proofErr w:type="spellEnd"/>
      <w:r>
        <w:rPr>
          <w:sz w:val="20"/>
          <w:szCs w:val="20"/>
          <w:rtl/>
        </w:rPr>
        <w:t xml:space="preserve">, אבל משפט זה ודאי נכתב שנה קודם לכן: ר׳ אהרן </w:t>
      </w:r>
      <w:proofErr w:type="spellStart"/>
      <w:r>
        <w:rPr>
          <w:sz w:val="20"/>
          <w:szCs w:val="20"/>
          <w:rtl/>
        </w:rPr>
        <w:t>סולובייצ׳יק</w:t>
      </w:r>
      <w:proofErr w:type="spellEnd"/>
      <w:r>
        <w:rPr>
          <w:sz w:val="20"/>
          <w:szCs w:val="20"/>
          <w:rtl/>
        </w:rPr>
        <w:t xml:space="preserve"> מסר, כאמור לעיל, את תרע״ב כשנה שבה עזב אביו את </w:t>
      </w:r>
      <w:proofErr w:type="spellStart"/>
      <w:r>
        <w:rPr>
          <w:sz w:val="20"/>
          <w:szCs w:val="20"/>
          <w:rtl/>
        </w:rPr>
        <w:t>ראסיין</w:t>
      </w:r>
      <w:proofErr w:type="spellEnd"/>
      <w:r>
        <w:rPr>
          <w:sz w:val="20"/>
          <w:szCs w:val="20"/>
          <w:rtl/>
        </w:rPr>
        <w:t>, ואילו כתב המחבר בעת ההדפסה, היה כותב ‘בשנה שעברה’.</w:t>
      </w:r>
    </w:p>
  </w:footnote>
  <w:footnote w:id="5062">
    <w:p w14:paraId="6CC5C71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3, הערה 51.</w:t>
      </w:r>
    </w:p>
  </w:footnote>
  <w:footnote w:id="5063">
    <w:p w14:paraId="7A7428D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3, נספח ז והפסקה השלישית של נספח יד.</w:t>
      </w:r>
    </w:p>
  </w:footnote>
  <w:footnote w:id="5064">
    <w:p w14:paraId="55502F8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שם, הערת שוליים </w:t>
      </w:r>
      <w:r>
        <w:rPr>
          <w:rStyle w:val="a5"/>
          <w:sz w:val="20"/>
          <w:szCs w:val="20"/>
          <w:vertAlign w:val="baseline"/>
          <w:rtl/>
        </w:rPr>
        <w:fldChar w:fldCharType="begin" w:dirty="true"/>
      </w:r>
      <w:r>
        <w:rPr>
          <w:rStyle w:val="a5"/>
          <w:sz w:val="20"/>
          <w:szCs w:val="20"/>
          <w:vertAlign w:val="baseline"/>
          <w:rtl/>
        </w:rPr>
        <w:instrText xml:space="preserve"> NOTEREF pr_f_4219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1296</w:t>
      </w:r>
      <w:r>
        <w:rPr>
          <w:rStyle w:val="a5"/>
          <w:sz w:val="20"/>
          <w:szCs w:val="20"/>
          <w:vertAlign w:val="baseline"/>
          <w:rtl/>
        </w:rPr>
        <w:fldChar w:fldCharType="end"/>
      </w:r>
      <w:r>
        <w:rPr>
          <w:rStyle w:val="a5"/>
          <w:sz w:val="20"/>
          <w:szCs w:val="20"/>
          <w:vertAlign w:val="baseline"/>
          <w:rtl/>
        </w:rPr>
        <w:t xml:space="preserve">, עמ׳ </w:t>
      </w:r>
      <w:r>
        <w:rPr>
          <w:rStyle w:val="a5"/>
          <w:sz w:val="20"/>
          <w:szCs w:val="20"/>
          <w:vertAlign w:val="baseline"/>
          <w:rtl/>
        </w:rPr>
        <w:fldChar w:fldCharType="begin" w:dirty="true"/>
      </w:r>
      <w:r>
        <w:rPr>
          <w:rStyle w:val="a5"/>
          <w:sz w:val="20"/>
          <w:szCs w:val="20"/>
          <w:vertAlign w:val="baseline"/>
          <w:rtl/>
        </w:rPr>
        <w:instrText xml:space="preserve"> PAGEREF pr_f_4219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w:t>
      </w:r>
    </w:p>
  </w:footnote>
  <w:footnote w:id="5065">
    <w:p w14:paraId="003B288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3, הערה 9 – כרך 2, עמ׳ 337.</w:t>
      </w:r>
    </w:p>
  </w:footnote>
  <w:footnote w:id="5066">
    <w:p w14:paraId="788E938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יונה ברוורמן, 10 בנובמבר 2001. אביו, ר׳ </w:t>
      </w:r>
      <w:proofErr w:type="spellStart"/>
      <w:r>
        <w:rPr>
          <w:sz w:val="20"/>
          <w:szCs w:val="20"/>
          <w:rtl/>
        </w:rPr>
        <w:t>שמואל־ניסן</w:t>
      </w:r>
      <w:proofErr w:type="spellEnd"/>
      <w:r>
        <w:rPr>
          <w:sz w:val="20"/>
          <w:szCs w:val="20"/>
          <w:rtl/>
        </w:rPr>
        <w:t xml:space="preserve">, למד אצל ר׳ </w:t>
      </w:r>
      <w:proofErr w:type="spellStart"/>
      <w:r>
        <w:rPr>
          <w:sz w:val="20"/>
          <w:szCs w:val="20"/>
          <w:rtl/>
        </w:rPr>
        <w:t>אברהם־אהרן</w:t>
      </w:r>
      <w:proofErr w:type="spellEnd"/>
      <w:r>
        <w:rPr>
          <w:sz w:val="20"/>
          <w:szCs w:val="20"/>
          <w:rtl/>
        </w:rPr>
        <w:t xml:space="preserve"> </w:t>
      </w:r>
      <w:proofErr w:type="spellStart"/>
      <w:r>
        <w:rPr>
          <w:sz w:val="20"/>
          <w:szCs w:val="20"/>
          <w:rtl/>
        </w:rPr>
        <w:t>בורשטין</w:t>
      </w:r>
      <w:proofErr w:type="spellEnd"/>
      <w:r>
        <w:rPr>
          <w:sz w:val="20"/>
          <w:szCs w:val="20"/>
          <w:rtl/>
        </w:rPr>
        <w:t xml:space="preserve"> במרכז הרב </w:t>
      </w:r>
      <w:proofErr w:type="spellStart"/>
      <w:r>
        <w:rPr>
          <w:sz w:val="20"/>
          <w:szCs w:val="20"/>
          <w:rtl/>
        </w:rPr>
        <w:t>בתרפ״ה</w:t>
      </w:r>
      <w:proofErr w:type="spellEnd"/>
      <w:r>
        <w:rPr>
          <w:sz w:val="20"/>
          <w:szCs w:val="20"/>
          <w:rtl/>
        </w:rPr>
        <w:t>.</w:t>
      </w:r>
    </w:p>
  </w:footnote>
  <w:footnote w:id="5067">
    <w:p w14:paraId="10BE0BF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3, הפסקה השנייה של נספח </w:t>
      </w:r>
      <w:proofErr w:type="spellStart"/>
      <w:r>
        <w:rPr>
          <w:sz w:val="20"/>
          <w:szCs w:val="20"/>
          <w:rtl/>
        </w:rPr>
        <w:t>כז</w:t>
      </w:r>
      <w:proofErr w:type="spellEnd"/>
      <w:r>
        <w:rPr>
          <w:sz w:val="20"/>
          <w:szCs w:val="20"/>
          <w:rtl/>
        </w:rPr>
        <w:t>.</w:t>
      </w:r>
    </w:p>
  </w:footnote>
  <w:footnote w:id="5068">
    <w:p w14:paraId="65DCEE7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תל אביב, ת״ש.</w:t>
      </w:r>
    </w:p>
  </w:footnote>
  <w:footnote w:id="5069">
    <w:p w14:paraId="67B479B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הערה 27 לעיל, ופרק 3, הפסקה השנייה של הערה 69.</w:t>
      </w:r>
    </w:p>
  </w:footnote>
  <w:footnote w:id="5070">
    <w:p w14:paraId="11ADFCF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פרק 1, הערה 94 – עמ׳ 7–8, המתוארכות </w:t>
      </w:r>
      <w:proofErr w:type="spellStart"/>
      <w:r>
        <w:rPr>
          <w:sz w:val="20"/>
          <w:szCs w:val="20"/>
          <w:rtl/>
        </w:rPr>
        <w:t>ל‘תחילת</w:t>
      </w:r>
      <w:proofErr w:type="spellEnd"/>
      <w:r>
        <w:rPr>
          <w:sz w:val="20"/>
          <w:szCs w:val="20"/>
          <w:rtl/>
        </w:rPr>
        <w:t xml:space="preserve"> אב תשמ״א׳.</w:t>
      </w:r>
    </w:p>
  </w:footnote>
  <w:footnote w:id="5071">
    <w:p w14:paraId="5ACEF60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336.</w:t>
      </w:r>
    </w:p>
  </w:footnote>
  <w:footnote w:id="5072">
    <w:p w14:paraId="50C2853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71.</w:t>
      </w:r>
    </w:p>
  </w:footnote>
  <w:footnote w:id="5073">
    <w:p w14:paraId="517DCB8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תחילת הפסקה השישית בפרק 3.1, והפסקה שלפני האחרונה בנספח יד שם.</w:t>
      </w:r>
    </w:p>
  </w:footnote>
  <w:footnote w:id="5074">
    <w:p w14:paraId="61F4C7A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ב־28 בנובמבר 1998.</w:t>
      </w:r>
    </w:p>
  </w:footnote>
  <w:footnote w:id="5075">
    <w:p w14:paraId="069BA5C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הערה 78 לעיל.</w:t>
      </w:r>
    </w:p>
  </w:footnote>
  <w:footnote w:id="5076">
    <w:p w14:paraId="1C32F2B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3, נספח ז.</w:t>
      </w:r>
    </w:p>
  </w:footnote>
  <w:footnote w:id="5077">
    <w:p w14:paraId="6997591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בחלק שבו רשומים ר׳ חיים ובניו, עמ׳ 29.</w:t>
      </w:r>
    </w:p>
  </w:footnote>
  <w:footnote w:id="5078">
    <w:p w14:paraId="6E426B3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3, נספח א – עמ׳ 202.</w:t>
      </w:r>
    </w:p>
  </w:footnote>
  <w:footnote w:id="5079">
    <w:p w14:paraId="0517702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w:t>
      </w:r>
    </w:p>
  </w:footnote>
  <w:footnote w:id="5080">
    <w:p w14:paraId="6F37308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ב־20 ביוני 1993.</w:t>
      </w:r>
    </w:p>
  </w:footnote>
  <w:footnote w:id="5081">
    <w:p w14:paraId="334CD3F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פסחים </w:t>
      </w:r>
      <w:proofErr w:type="spellStart"/>
      <w:r>
        <w:rPr>
          <w:sz w:val="20"/>
          <w:szCs w:val="20"/>
          <w:rtl/>
        </w:rPr>
        <w:t>קיח</w:t>
      </w:r>
      <w:proofErr w:type="spellEnd"/>
      <w:r>
        <w:rPr>
          <w:sz w:val="20"/>
          <w:szCs w:val="20"/>
          <w:rtl/>
        </w:rPr>
        <w:t xml:space="preserve"> סוף ע״א וברש״י שם, ובבראשית יא, </w:t>
      </w:r>
      <w:proofErr w:type="spellStart"/>
      <w:r>
        <w:rPr>
          <w:sz w:val="20"/>
          <w:szCs w:val="20"/>
          <w:rtl/>
        </w:rPr>
        <w:t>כח</w:t>
      </w:r>
      <w:proofErr w:type="spellEnd"/>
      <w:r>
        <w:rPr>
          <w:sz w:val="20"/>
          <w:szCs w:val="20"/>
          <w:rtl/>
        </w:rPr>
        <w:t>.</w:t>
      </w:r>
    </w:p>
  </w:footnote>
  <w:footnote w:id="5082">
    <w:p w14:paraId="256CF54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המרואיין ייחס לענווה את כפיפות סבו </w:t>
      </w:r>
      <w:proofErr w:type="spellStart"/>
      <w:r>
        <w:rPr>
          <w:sz w:val="20"/>
          <w:szCs w:val="20"/>
          <w:rtl/>
        </w:rPr>
        <w:t>לר</w:t>
      </w:r>
      <w:proofErr w:type="spellEnd"/>
      <w:r>
        <w:rPr>
          <w:sz w:val="20"/>
          <w:szCs w:val="20"/>
          <w:rtl/>
        </w:rPr>
        <w:t xml:space="preserve">׳ יצחק־זאב.</w:t>
      </w:r>
    </w:p>
  </w:footnote>
  <w:footnote w:id="5083">
    <w:p w14:paraId="6009E43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גיליון ערב ראש השנה תשנ״ה.</w:t>
      </w:r>
    </w:p>
  </w:footnote>
  <w:footnote w:id="5084">
    <w:p w14:paraId="7684891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כשהתפלאתי שר׳ שלמה יכול היה לדבר עם הרב </w:t>
      </w:r>
      <w:proofErr w:type="spellStart"/>
      <w:r>
        <w:rPr>
          <w:sz w:val="20"/>
          <w:szCs w:val="20"/>
          <w:rtl/>
        </w:rPr>
        <w:t>מבריסק</w:t>
      </w:r>
      <w:proofErr w:type="spellEnd"/>
      <w:r>
        <w:rPr>
          <w:sz w:val="20"/>
          <w:szCs w:val="20"/>
          <w:rtl/>
        </w:rPr>
        <w:t xml:space="preserve"> בחופשיות כזו, גילה ר׳ שלמה לורנץ שר׳ יצחק־זאב אמר לו פעם: ‘אתה יכול לשאול אותי כל דבר, מפני שאני יודע שאתה שואל את שאלותיך רק כדי להבין את הדברים טוב יותר’.</w:t>
      </w:r>
    </w:p>
  </w:footnote>
  <w:footnote w:id="5085">
    <w:p w14:paraId="558B136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השנייה של נספח ב לעיל – עמ׳ 232.</w:t>
      </w:r>
    </w:p>
  </w:footnote>
  <w:footnote w:id="5086">
    <w:p w14:paraId="537492D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את האמירה המפתיעה הזאת מסר ר׳ חיים </w:t>
      </w:r>
      <w:proofErr w:type="spellStart"/>
      <w:r>
        <w:rPr>
          <w:sz w:val="20"/>
          <w:szCs w:val="20"/>
          <w:rtl/>
        </w:rPr>
        <w:t>וולקין</w:t>
      </w:r>
      <w:proofErr w:type="spellEnd"/>
      <w:r>
        <w:rPr>
          <w:sz w:val="20"/>
          <w:szCs w:val="20"/>
          <w:rtl/>
        </w:rPr>
        <w:t xml:space="preserve">, שרואיין ב־31 באוגוסט 1994. הוא שמע אותה מר׳ חיים </w:t>
      </w:r>
      <w:proofErr w:type="spellStart"/>
      <w:r>
        <w:rPr>
          <w:sz w:val="20"/>
          <w:szCs w:val="20"/>
          <w:rtl/>
        </w:rPr>
        <w:t>מיליקובסקי</w:t>
      </w:r>
      <w:proofErr w:type="spellEnd"/>
      <w:r>
        <w:rPr>
          <w:sz w:val="20"/>
          <w:szCs w:val="20"/>
          <w:rtl/>
        </w:rPr>
        <w:t xml:space="preserve">, ששמע אותה מסבו של המרואיין, ר׳ אהרן </w:t>
      </w:r>
      <w:proofErr w:type="spellStart"/>
      <w:r>
        <w:rPr>
          <w:sz w:val="20"/>
          <w:szCs w:val="20"/>
          <w:rtl/>
        </w:rPr>
        <w:t>וולקין</w:t>
      </w:r>
      <w:proofErr w:type="spellEnd"/>
      <w:r>
        <w:rPr>
          <w:sz w:val="20"/>
          <w:szCs w:val="20"/>
          <w:rtl/>
        </w:rPr>
        <w:t xml:space="preserve"> הי״ד, שהיה אז רבה של </w:t>
      </w:r>
      <w:proofErr w:type="spellStart"/>
      <w:r>
        <w:rPr>
          <w:sz w:val="20"/>
          <w:szCs w:val="20"/>
          <w:rtl/>
        </w:rPr>
        <w:t>פינסק</w:t>
      </w:r>
      <w:proofErr w:type="spellEnd"/>
      <w:r>
        <w:rPr>
          <w:sz w:val="20"/>
          <w:szCs w:val="20"/>
          <w:rtl/>
        </w:rPr>
        <w:t xml:space="preserve">. ר׳ אהרן שמע אותה מרבו, </w:t>
      </w:r>
      <w:proofErr w:type="spellStart"/>
      <w:r>
        <w:rPr>
          <w:sz w:val="20"/>
          <w:szCs w:val="20"/>
          <w:rtl/>
        </w:rPr>
        <w:t>הנצי״ב</w:t>
      </w:r>
      <w:proofErr w:type="spellEnd"/>
      <w:r>
        <w:rPr>
          <w:sz w:val="20"/>
          <w:szCs w:val="20"/>
          <w:rtl/>
        </w:rPr>
        <w:t xml:space="preserve"> – ראה הערת שוליים </w:t>
      </w:r>
      <w:r>
        <w:rPr>
          <w:sz w:val="20"/>
          <w:szCs w:val="20"/>
          <w:rtl/>
        </w:rPr>
        <w:fldChar w:fldCharType="begin" w:dirty="true"/>
      </w:r>
      <w:r>
        <w:rPr>
          <w:sz w:val="20"/>
          <w:szCs w:val="20"/>
          <w:rtl/>
        </w:rPr>
        <w:instrText xml:space="preserve"> NOTEREF pr_f_4046 \h </w:instrText>
      </w:r>
      <w:r>
        <w:rPr>
          <w:sz w:val="20"/>
          <w:szCs w:val="20"/>
          <w:rtl/>
        </w:rPr>
      </w:r>
      <w:r>
        <w:rPr>
          <w:sz w:val="20"/>
          <w:szCs w:val="20"/>
          <w:rtl/>
        </w:rPr>
        <w:fldChar w:fldCharType="separate"/>
      </w:r>
      <w:r w:rsidR="007923E9">
        <w:rPr>
          <w:sz w:val="20"/>
          <w:szCs w:val="20"/>
          <w:rtl/>
        </w:rPr>
        <w:t>1123</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pr_f_4046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על קרבתו של ר׳ אהרן </w:t>
      </w:r>
      <w:proofErr w:type="spellStart"/>
      <w:r>
        <w:rPr>
          <w:sz w:val="20"/>
          <w:szCs w:val="20"/>
          <w:rtl/>
        </w:rPr>
        <w:t>וולקין</w:t>
      </w:r>
      <w:proofErr w:type="spellEnd"/>
      <w:r>
        <w:rPr>
          <w:sz w:val="20"/>
          <w:szCs w:val="20"/>
          <w:rtl/>
        </w:rPr>
        <w:t xml:space="preserve"> </w:t>
      </w:r>
      <w:proofErr w:type="spellStart"/>
      <w:r>
        <w:rPr>
          <w:sz w:val="20"/>
          <w:szCs w:val="20"/>
          <w:rtl/>
        </w:rPr>
        <w:t>לנצי״ב</w:t>
      </w:r>
      <w:proofErr w:type="spellEnd"/>
      <w:r>
        <w:rPr>
          <w:sz w:val="20"/>
          <w:szCs w:val="20"/>
          <w:rtl/>
        </w:rPr>
        <w:t xml:space="preserve">. המרואיין שמע מי היה הרב שאליו אמר ר׳ יוסף־דב את הדברים, אבל עד שסיפר לי את המעשה שכח את שמו.</w:t>
      </w:r>
    </w:p>
  </w:footnote>
  <w:footnote w:id="5087">
    <w:p w14:paraId="3A32FB7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הפסקה השנייה של נספח ב לעיל – עמ׳ </w:t>
      </w:r>
      <w:proofErr w:type="spellStart"/>
      <w:r>
        <w:rPr>
          <w:sz w:val="20"/>
          <w:szCs w:val="20"/>
          <w:rtl/>
        </w:rPr>
        <w:t>רמד</w:t>
      </w:r>
      <w:proofErr w:type="spellEnd"/>
      <w:r>
        <w:rPr>
          <w:sz w:val="20"/>
          <w:szCs w:val="20"/>
          <w:rtl/>
        </w:rPr>
        <w:t>.</w:t>
      </w:r>
    </w:p>
  </w:footnote>
  <w:footnote w:id="5088">
    <w:p w14:paraId="50E582C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גם “הגדול ממינסק”, עמ׳ 88, המצטט מכתב ששלח ר׳ יוסף־דב לרב פרלמן כדי להמליץ על ר׳ לייזר </w:t>
      </w:r>
      <w:proofErr w:type="spellStart"/>
      <w:r>
        <w:rPr>
          <w:sz w:val="20"/>
          <w:szCs w:val="20"/>
          <w:rtl/>
        </w:rPr>
        <w:t>רבינוביץ</w:t>
      </w:r>
      <w:proofErr w:type="spellEnd"/>
      <w:r>
        <w:rPr>
          <w:sz w:val="20"/>
          <w:szCs w:val="20"/>
          <w:rtl/>
        </w:rPr>
        <w:t xml:space="preserve"> כחתן אפשרי, ובו השתמש השולח באותו ביטוי עצמו: ‘ולא אומר כי יהי [ר׳ לייזר] לגברא רבא, כי זה כבר הוא׳. (אמרה קולעת זו הועתקה בידי ר׳ לייזר גורדון והסבא </w:t>
      </w:r>
      <w:proofErr w:type="spellStart"/>
      <w:r>
        <w:rPr>
          <w:sz w:val="20"/>
          <w:szCs w:val="20"/>
          <w:rtl/>
        </w:rPr>
        <w:t>מסלבודקה</w:t>
      </w:r>
      <w:proofErr w:type="spellEnd"/>
      <w:r>
        <w:rPr>
          <w:sz w:val="20"/>
          <w:szCs w:val="20"/>
          <w:rtl/>
        </w:rPr>
        <w:t xml:space="preserve"> – ראה סוף הפסקה הראשונה של נספח ד לעיל, ופרק 4, סוף הערה 103, בהתאמה.)</w:t>
      </w:r>
    </w:p>
  </w:footnote>
  <w:footnote w:id="5089">
    <w:p w14:paraId="0FD807B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לפי “החפץ חיים (ישר)” (הפסקה השנייה של נספח ב לעיל), עמ׳ 23.</w:t>
      </w:r>
    </w:p>
  </w:footnote>
  <w:footnote w:id="5090">
    <w:p w14:paraId="6DAD642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בקבוצת </w:t>
      </w:r>
      <w:proofErr w:type="spellStart"/>
      <w:r>
        <w:rPr>
          <w:sz w:val="20"/>
          <w:szCs w:val="20"/>
          <w:rtl/>
        </w:rPr>
        <w:t>מונסי</w:t>
      </w:r>
      <w:proofErr w:type="spellEnd"/>
      <w:r>
        <w:rPr>
          <w:sz w:val="20"/>
          <w:szCs w:val="20"/>
          <w:rtl/>
        </w:rPr>
        <w:t>.</w:t>
      </w:r>
    </w:p>
  </w:footnote>
  <w:footnote w:id="5091">
    <w:p w14:paraId="2FE90AF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ספר זה, המגדיר עצמו ‘קובץ מאמרים והערות בתנ״ך תלמוד וספרות שאחר התלמוד’, נדפס בדפוס דוד </w:t>
      </w:r>
      <w:proofErr w:type="spellStart"/>
      <w:r>
        <w:rPr>
          <w:sz w:val="20"/>
          <w:szCs w:val="20"/>
          <w:rtl/>
        </w:rPr>
        <w:t>דראלער</w:t>
      </w:r>
      <w:proofErr w:type="spellEnd"/>
      <w:r>
        <w:rPr>
          <w:sz w:val="20"/>
          <w:szCs w:val="20"/>
          <w:rtl/>
        </w:rPr>
        <w:t xml:space="preserve"> (פרנקפורט ע״נ מיין, תרפ״ו). החלק השלישי בספר, שהושלם </w:t>
      </w:r>
      <w:proofErr w:type="spellStart"/>
      <w:r>
        <w:rPr>
          <w:sz w:val="20"/>
          <w:szCs w:val="20"/>
          <w:rtl/>
        </w:rPr>
        <w:t>בראסיין</w:t>
      </w:r>
      <w:proofErr w:type="spellEnd"/>
      <w:r>
        <w:rPr>
          <w:sz w:val="20"/>
          <w:szCs w:val="20"/>
          <w:rtl/>
        </w:rPr>
        <w:t xml:space="preserve"> באב תרפ״ג, כולל ‘הערות ותיקונים על ספר תולדות היהודים רב הכרכים של </w:t>
      </w:r>
      <w:proofErr w:type="spellStart"/>
      <w:r>
        <w:rPr>
          <w:sz w:val="20"/>
          <w:szCs w:val="20"/>
          <w:rtl/>
        </w:rPr>
        <w:t>גרץ</w:t>
      </w:r>
      <w:proofErr w:type="spellEnd"/>
      <w:r>
        <w:rPr>
          <w:sz w:val="20"/>
          <w:szCs w:val="20"/>
          <w:rtl/>
        </w:rPr>
        <w:t xml:space="preserve">, שנרשמו בעת קריאת הספרים עשרים שנה קודם לכן, בחודשי הנופש ביערות </w:t>
      </w:r>
      <w:proofErr w:type="spellStart"/>
      <w:r>
        <w:rPr>
          <w:sz w:val="20"/>
          <w:szCs w:val="20"/>
          <w:rtl/>
        </w:rPr>
        <w:t>ציטוביאן</w:t>
      </w:r>
      <w:proofErr w:type="spellEnd"/>
      <w:r>
        <w:rPr>
          <w:sz w:val="20"/>
          <w:szCs w:val="20"/>
          <w:rtl/>
        </w:rPr>
        <w:t>’.</w:t>
      </w:r>
    </w:p>
  </w:footnote>
  <w:footnote w:id="5092">
    <w:p w14:paraId="1A572A1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פרק 3, הפסקה השנייה של נספח </w:t>
      </w:r>
      <w:proofErr w:type="spellStart"/>
      <w:r>
        <w:rPr>
          <w:sz w:val="20"/>
          <w:szCs w:val="20"/>
          <w:rtl/>
        </w:rPr>
        <w:t>יב</w:t>
      </w:r>
      <w:proofErr w:type="spellEnd"/>
      <w:r>
        <w:rPr>
          <w:sz w:val="20"/>
          <w:szCs w:val="20"/>
          <w:rtl/>
        </w:rPr>
        <w:t>.</w:t>
      </w:r>
    </w:p>
  </w:footnote>
  <w:footnote w:id="5093">
    <w:p w14:paraId="1CF72F5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בריאיון על ר׳ ישראל.</w:t>
      </w:r>
    </w:p>
  </w:footnote>
  <w:footnote w:id="5094">
    <w:p w14:paraId="51E0EFA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הפסקה הרביעית של פרק 3.1.</w:t>
      </w:r>
    </w:p>
  </w:footnote>
  <w:footnote w:id="5095">
    <w:p w14:paraId="3D56D6F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בקבוצת </w:t>
      </w:r>
      <w:proofErr w:type="spellStart"/>
      <w:r>
        <w:rPr>
          <w:sz w:val="20"/>
          <w:szCs w:val="20"/>
          <w:rtl/>
        </w:rPr>
        <w:t>מונסי</w:t>
      </w:r>
      <w:proofErr w:type="spellEnd"/>
      <w:r>
        <w:rPr>
          <w:sz w:val="20"/>
          <w:szCs w:val="20"/>
          <w:rtl/>
        </w:rPr>
        <w:t>.</w:t>
      </w:r>
    </w:p>
  </w:footnote>
  <w:footnote w:id="5096">
    <w:p w14:paraId="4780F6B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הערה 12 לעיל – עמ׳ 107–108.</w:t>
      </w:r>
    </w:p>
  </w:footnote>
  <w:footnote w:id="5097">
    <w:p w14:paraId="39861E3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שבת נא ע״א.</w:t>
      </w:r>
    </w:p>
  </w:footnote>
  <w:footnote w:id="5098">
    <w:p w14:paraId="69427D0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השנייה של נספח ב לעיל – כרך 3, עמ׳ 146.</w:t>
      </w:r>
    </w:p>
  </w:footnote>
  <w:footnote w:id="5099">
    <w:p w14:paraId="36C4175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2, הפסקה השישית של נספח א – עמ׳ 353–357.</w:t>
      </w:r>
    </w:p>
  </w:footnote>
  <w:footnote w:id="5100">
    <w:p w14:paraId="1BC13B1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1, נספח ו.</w:t>
      </w:r>
    </w:p>
  </w:footnote>
  <w:footnote w:id="5101">
    <w:p w14:paraId="5F0538F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355. מכתב זה מובא בפרק 3, נספח ו.</w:t>
      </w:r>
    </w:p>
  </w:footnote>
  <w:footnote w:id="5102">
    <w:p w14:paraId="666885B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פרק 2, הפסקה הראשונה של נספח ה – עמ׳ </w:t>
      </w:r>
      <w:proofErr w:type="spellStart"/>
      <w:r>
        <w:rPr>
          <w:sz w:val="20"/>
          <w:szCs w:val="20"/>
          <w:rtl/>
        </w:rPr>
        <w:t>כו</w:t>
      </w:r>
      <w:proofErr w:type="spellEnd"/>
      <w:r>
        <w:rPr>
          <w:sz w:val="20"/>
          <w:szCs w:val="20"/>
          <w:rtl/>
        </w:rPr>
        <w:t>.</w:t>
      </w:r>
    </w:p>
  </w:footnote>
  <w:footnote w:id="5103">
    <w:p w14:paraId="52DDEF8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צינוביץ</w:t>
      </w:r>
      <w:proofErr w:type="spellEnd"/>
      <w:r>
        <w:rPr>
          <w:sz w:val="20"/>
          <w:szCs w:val="20"/>
          <w:rtl/>
        </w:rPr>
        <w:t>, “עץ חיים”, עמ׳ 355.</w:t>
      </w:r>
    </w:p>
  </w:footnote>
  <w:footnote w:id="5104">
    <w:p w14:paraId="273BF80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הדבר נידון באריכות בפרק 4, הפסקה הרביעית של נספח ט.</w:t>
      </w:r>
    </w:p>
  </w:footnote>
  <w:footnote w:id="5105">
    <w:p w14:paraId="42A6C51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 סוף הפסקה הרביעית של נספח ט.</w:t>
      </w:r>
    </w:p>
  </w:footnote>
  <w:footnote w:id="5106">
    <w:p w14:paraId="12E2CA3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3, נספח ו.</w:t>
      </w:r>
    </w:p>
  </w:footnote>
  <w:footnote w:id="5107">
    <w:p w14:paraId="2174337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ב־25 בספטמבר 1996.</w:t>
      </w:r>
    </w:p>
  </w:footnote>
  <w:footnote w:id="5108">
    <w:p w14:paraId="01E7186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ב־16 בספטמבר 1994.</w:t>
      </w:r>
    </w:p>
  </w:footnote>
  <w:footnote w:id="5109">
    <w:p w14:paraId="199FD56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ב־25 בפברואר 1998.</w:t>
      </w:r>
    </w:p>
  </w:footnote>
  <w:footnote w:id="5110">
    <w:p w14:paraId="23CB7E4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פרק 3, הפסקה השנייה של נספח ח – עמ׳ </w:t>
      </w:r>
      <w:proofErr w:type="spellStart"/>
      <w:r>
        <w:rPr>
          <w:sz w:val="20"/>
          <w:szCs w:val="20"/>
          <w:rtl/>
        </w:rPr>
        <w:t>רעח</w:t>
      </w:r>
      <w:proofErr w:type="spellEnd"/>
      <w:r>
        <w:rPr>
          <w:sz w:val="20"/>
          <w:szCs w:val="20"/>
          <w:rtl/>
        </w:rPr>
        <w:t>–</w:t>
      </w:r>
      <w:proofErr w:type="spellStart"/>
      <w:r>
        <w:rPr>
          <w:sz w:val="20"/>
          <w:szCs w:val="20"/>
          <w:rtl/>
        </w:rPr>
        <w:t>רעט</w:t>
      </w:r>
      <w:proofErr w:type="spellEnd"/>
      <w:r>
        <w:rPr>
          <w:sz w:val="20"/>
          <w:szCs w:val="20"/>
          <w:rtl/>
        </w:rPr>
        <w:t>.</w:t>
      </w:r>
    </w:p>
  </w:footnote>
  <w:footnote w:id="5111">
    <w:p w14:paraId="50B960A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הפסקה השנייה של נספח ב לעיל – עמ׳ </w:t>
      </w:r>
      <w:proofErr w:type="spellStart"/>
      <w:r>
        <w:rPr>
          <w:sz w:val="20"/>
          <w:szCs w:val="20"/>
          <w:rtl/>
        </w:rPr>
        <w:t>סו</w:t>
      </w:r>
      <w:proofErr w:type="spellEnd"/>
      <w:r>
        <w:rPr>
          <w:sz w:val="20"/>
          <w:szCs w:val="20"/>
          <w:rtl/>
        </w:rPr>
        <w:t>–סט.</w:t>
      </w:r>
    </w:p>
  </w:footnote>
  <w:footnote w:id="5112">
    <w:p w14:paraId="72BE039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ב־21 במרץ 1993.</w:t>
      </w:r>
    </w:p>
  </w:footnote>
  <w:footnote w:id="5113">
    <w:p w14:paraId="7E9BB92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עיירה זו היא </w:t>
      </w:r>
      <w:proofErr w:type="spellStart"/>
      <w:r>
        <w:rPr>
          <w:sz w:val="20"/>
          <w:szCs w:val="20"/>
          <w:rtl/>
        </w:rPr>
        <w:t>בקורלנד</w:t>
      </w:r>
      <w:proofErr w:type="spellEnd"/>
      <w:r>
        <w:rPr>
          <w:sz w:val="20"/>
          <w:szCs w:val="20"/>
          <w:rtl/>
        </w:rPr>
        <w:t xml:space="preserve">; אין זו </w:t>
      </w:r>
      <w:proofErr w:type="spellStart"/>
      <w:r>
        <w:rPr>
          <w:sz w:val="20"/>
          <w:szCs w:val="20"/>
          <w:rtl/>
        </w:rPr>
        <w:t>גרייבה</w:t>
      </w:r>
      <w:proofErr w:type="spellEnd"/>
      <w:r>
        <w:rPr>
          <w:sz w:val="20"/>
          <w:szCs w:val="20"/>
          <w:rtl/>
        </w:rPr>
        <w:t xml:space="preserve"> שליד </w:t>
      </w:r>
      <w:proofErr w:type="spellStart"/>
      <w:r>
        <w:rPr>
          <w:sz w:val="20"/>
          <w:szCs w:val="20"/>
          <w:rtl/>
        </w:rPr>
        <w:t>ביאליסטוק</w:t>
      </w:r>
      <w:proofErr w:type="spellEnd"/>
      <w:r>
        <w:rPr>
          <w:sz w:val="20"/>
          <w:szCs w:val="20"/>
          <w:rtl/>
        </w:rPr>
        <w:t>.</w:t>
      </w:r>
    </w:p>
  </w:footnote>
  <w:footnote w:id="5114">
    <w:p w14:paraId="371AE12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בריאיון ב־25 בפברואר 1998.</w:t>
      </w:r>
    </w:p>
  </w:footnote>
  <w:footnote w:id="5115">
    <w:p w14:paraId="1D3CD39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מנחות </w:t>
      </w:r>
      <w:proofErr w:type="spellStart"/>
      <w:r>
        <w:rPr>
          <w:sz w:val="20"/>
          <w:szCs w:val="20"/>
          <w:rtl/>
        </w:rPr>
        <w:t>צה</w:t>
      </w:r>
      <w:proofErr w:type="spellEnd"/>
      <w:r>
        <w:rPr>
          <w:sz w:val="20"/>
          <w:szCs w:val="20"/>
          <w:rtl/>
        </w:rPr>
        <w:t xml:space="preserve"> ע״ב ורש״י שם.</w:t>
      </w:r>
    </w:p>
  </w:footnote>
  <w:footnote w:id="5116">
    <w:p w14:paraId="418D03D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סו</w:t>
      </w:r>
      <w:proofErr w:type="spellEnd"/>
      <w:r>
        <w:rPr>
          <w:sz w:val="20"/>
          <w:szCs w:val="20"/>
          <w:rtl/>
        </w:rPr>
        <w:t>.</w:t>
      </w:r>
    </w:p>
  </w:footnote>
  <w:footnote w:id="5117">
    <w:p w14:paraId="59D948B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נדפס בהוצאת מורשת, תל אביב, תשל״ט – עמ׳ </w:t>
      </w:r>
      <w:proofErr w:type="spellStart"/>
      <w:r>
        <w:rPr>
          <w:sz w:val="20"/>
          <w:szCs w:val="20"/>
          <w:rtl/>
        </w:rPr>
        <w:t>עא</w:t>
      </w:r>
      <w:proofErr w:type="spellEnd"/>
      <w:r>
        <w:rPr>
          <w:sz w:val="20"/>
          <w:szCs w:val="20"/>
          <w:rtl/>
        </w:rPr>
        <w:t>.</w:t>
      </w:r>
    </w:p>
  </w:footnote>
  <w:footnote w:id="5118">
    <w:p w14:paraId="7FC766C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“שמושה של תורה”, שם, טוען בטעות שר׳ ראובן התכוון </w:t>
      </w:r>
      <w:proofErr w:type="spellStart"/>
      <w:r>
        <w:rPr>
          <w:sz w:val="20"/>
          <w:szCs w:val="20"/>
          <w:rtl/>
        </w:rPr>
        <w:t>לר</w:t>
      </w:r>
      <w:proofErr w:type="spellEnd"/>
      <w:r>
        <w:rPr>
          <w:sz w:val="20"/>
          <w:szCs w:val="20"/>
          <w:rtl/>
        </w:rPr>
        <w:t xml:space="preserve">׳ חיים כשיעץ לבחור (ששמו לא נמסר) שיצא </w:t>
      </w:r>
      <w:proofErr w:type="spellStart"/>
      <w:r>
        <w:rPr>
          <w:sz w:val="20"/>
          <w:szCs w:val="20"/>
          <w:rtl/>
        </w:rPr>
        <w:t>לוולוז׳ין</w:t>
      </w:r>
      <w:proofErr w:type="spellEnd"/>
      <w:r>
        <w:rPr>
          <w:sz w:val="20"/>
          <w:szCs w:val="20"/>
          <w:rtl/>
        </w:rPr>
        <w:t xml:space="preserve"> ללמוד אצל ראש הישיבה ‘שלומד פשט יפה’; הוא התכוון </w:t>
      </w:r>
      <w:proofErr w:type="spellStart"/>
      <w:r>
        <w:rPr>
          <w:sz w:val="20"/>
          <w:szCs w:val="20"/>
          <w:rtl/>
        </w:rPr>
        <w:t>לנצי״ב</w:t>
      </w:r>
      <w:proofErr w:type="spellEnd"/>
      <w:r>
        <w:rPr>
          <w:sz w:val="20"/>
          <w:szCs w:val="20"/>
          <w:rtl/>
        </w:rPr>
        <w:t xml:space="preserve">. השווה גם נספח א לעיל, </w:t>
      </w:r>
      <w:proofErr w:type="spellStart"/>
      <w:r>
        <w:rPr>
          <w:sz w:val="20"/>
          <w:szCs w:val="20"/>
          <w:rtl/>
        </w:rPr>
        <w:t>שלר</w:t>
      </w:r>
      <w:proofErr w:type="spellEnd"/>
      <w:r>
        <w:rPr>
          <w:sz w:val="20"/>
          <w:szCs w:val="20"/>
          <w:rtl/>
        </w:rPr>
        <w:t xml:space="preserve">׳ חיים הייתה ביקורת הדדית על ר׳ </w:t>
      </w:r>
      <w:proofErr w:type="spellStart"/>
      <w:r>
        <w:rPr>
          <w:sz w:val="20"/>
          <w:szCs w:val="20"/>
          <w:rtl/>
        </w:rPr>
        <w:t>אברהם־יצחק</w:t>
      </w:r>
      <w:proofErr w:type="spellEnd"/>
      <w:r>
        <w:rPr>
          <w:sz w:val="20"/>
          <w:szCs w:val="20"/>
          <w:rtl/>
        </w:rPr>
        <w:t xml:space="preserve"> קוק הצעיר.</w:t>
      </w:r>
    </w:p>
    <w:p w14:paraId="1FBDBE86" w14:textId="77777777" w:rsidR="00AB3647" w:rsidRDefault="00000000">
      <w:pPr>
        <w:spacing w:after="0" w:before="0"/>
        <w:jc w:val="both"/>
      </w:pPr>
      <w:r>
        <w:rPr>
          <w:sz w:val="20"/>
          <w:szCs w:val="20"/>
          <w:rtl/>
        </w:rPr>
        <w:t xml:space="preserve">גם </w:t>
      </w:r>
      <w:proofErr w:type="spellStart"/>
      <w:r>
        <w:rPr>
          <w:sz w:val="20"/>
          <w:szCs w:val="20"/>
          <w:rtl/>
        </w:rPr>
        <w:t>הנצי״ב</w:t>
      </w:r>
      <w:proofErr w:type="spellEnd"/>
      <w:r>
        <w:rPr>
          <w:sz w:val="20"/>
          <w:szCs w:val="20"/>
          <w:rtl/>
        </w:rPr>
        <w:t xml:space="preserve"> השיב </w:t>
      </w:r>
      <w:proofErr w:type="spellStart"/>
      <w:r>
        <w:rPr>
          <w:sz w:val="20"/>
          <w:szCs w:val="20"/>
          <w:rtl/>
        </w:rPr>
        <w:t>לר</w:t>
      </w:r>
      <w:proofErr w:type="spellEnd"/>
      <w:r>
        <w:rPr>
          <w:sz w:val="20"/>
          <w:szCs w:val="20"/>
          <w:rtl/>
        </w:rPr>
        <w:t xml:space="preserve">׳ </w:t>
      </w:r>
      <w:proofErr w:type="spellStart"/>
      <w:r>
        <w:rPr>
          <w:sz w:val="20"/>
          <w:szCs w:val="20"/>
          <w:rtl/>
        </w:rPr>
        <w:t>אברהם־יצחק</w:t>
      </w:r>
      <w:proofErr w:type="spellEnd"/>
      <w:r>
        <w:rPr>
          <w:sz w:val="20"/>
          <w:szCs w:val="20"/>
          <w:rtl/>
        </w:rPr>
        <w:t xml:space="preserve"> קוק </w:t>
      </w:r>
      <w:r>
        <w:rPr>
          <w:b/>
          <w:bCs/>
          <w:sz w:val="20"/>
          <w:szCs w:val="20"/>
          <w:rtl/>
        </w:rPr>
        <w:t>הערכה</w:t>
      </w:r>
      <w:r>
        <w:rPr>
          <w:sz w:val="20"/>
          <w:szCs w:val="20"/>
          <w:rtl/>
        </w:rPr>
        <w:t xml:space="preserve">, כפי שמעיד “טל הראיה” של משה צבי נריה (כפר הרואה, תשמ״ה), עמ׳ ס. שם מסופר שר׳ </w:t>
      </w:r>
      <w:proofErr w:type="spellStart"/>
      <w:r>
        <w:rPr>
          <w:sz w:val="20"/>
          <w:szCs w:val="20"/>
          <w:rtl/>
        </w:rPr>
        <w:t>חיים־יעקב</w:t>
      </w:r>
      <w:proofErr w:type="spellEnd"/>
      <w:r>
        <w:rPr>
          <w:sz w:val="20"/>
          <w:szCs w:val="20"/>
          <w:rtl/>
        </w:rPr>
        <w:t xml:space="preserve"> לוין מסר בשם חברו לישיבת </w:t>
      </w:r>
      <w:proofErr w:type="spellStart"/>
      <w:r>
        <w:rPr>
          <w:sz w:val="20"/>
          <w:szCs w:val="20"/>
          <w:rtl/>
        </w:rPr>
        <w:t>קמניץ</w:t>
      </w:r>
      <w:proofErr w:type="spellEnd"/>
      <w:r>
        <w:rPr>
          <w:sz w:val="20"/>
          <w:szCs w:val="20"/>
          <w:rtl/>
        </w:rPr>
        <w:t xml:space="preserve">, ר׳ צבי </w:t>
      </w:r>
      <w:proofErr w:type="spellStart"/>
      <w:r>
        <w:rPr>
          <w:sz w:val="20"/>
          <w:szCs w:val="20"/>
          <w:rtl/>
        </w:rPr>
        <w:t>סרניקר</w:t>
      </w:r>
      <w:proofErr w:type="spellEnd"/>
      <w:r>
        <w:rPr>
          <w:sz w:val="20"/>
          <w:szCs w:val="20"/>
          <w:rtl/>
        </w:rPr>
        <w:t xml:space="preserve">, שאביו, רבה של </w:t>
      </w:r>
      <w:proofErr w:type="spellStart"/>
      <w:r>
        <w:rPr>
          <w:sz w:val="20"/>
          <w:szCs w:val="20"/>
          <w:rtl/>
        </w:rPr>
        <w:t>סרניק</w:t>
      </w:r>
      <w:proofErr w:type="spellEnd"/>
      <w:r>
        <w:rPr>
          <w:sz w:val="20"/>
          <w:szCs w:val="20"/>
          <w:rtl/>
        </w:rPr>
        <w:t xml:space="preserve"> (כנראה ר׳ </w:t>
      </w:r>
      <w:proofErr w:type="spellStart"/>
      <w:r>
        <w:rPr>
          <w:sz w:val="20"/>
          <w:szCs w:val="20"/>
          <w:rtl/>
        </w:rPr>
        <w:t>אברהם־פרץ</w:t>
      </w:r>
      <w:proofErr w:type="spellEnd"/>
      <w:r>
        <w:rPr>
          <w:sz w:val="20"/>
          <w:szCs w:val="20"/>
          <w:rtl/>
        </w:rPr>
        <w:t xml:space="preserve"> </w:t>
      </w:r>
      <w:proofErr w:type="spellStart"/>
      <w:r>
        <w:rPr>
          <w:sz w:val="20"/>
          <w:szCs w:val="20"/>
          <w:rtl/>
        </w:rPr>
        <w:t>ציבולניק</w:t>
      </w:r>
      <w:proofErr w:type="spellEnd"/>
      <w:r>
        <w:rPr>
          <w:sz w:val="20"/>
          <w:szCs w:val="20"/>
          <w:rtl/>
        </w:rPr>
        <w:t xml:space="preserve">), שלמד </w:t>
      </w:r>
      <w:proofErr w:type="spellStart"/>
      <w:r>
        <w:rPr>
          <w:sz w:val="20"/>
          <w:szCs w:val="20"/>
          <w:rtl/>
        </w:rPr>
        <w:t>בוולוז׳ין</w:t>
      </w:r>
      <w:proofErr w:type="spellEnd"/>
      <w:r>
        <w:rPr>
          <w:sz w:val="20"/>
          <w:szCs w:val="20"/>
          <w:rtl/>
        </w:rPr>
        <w:t xml:space="preserve"> באותו זמן כמו ר׳ </w:t>
      </w:r>
      <w:proofErr w:type="spellStart"/>
      <w:r>
        <w:rPr>
          <w:sz w:val="20"/>
          <w:szCs w:val="20"/>
          <w:rtl/>
        </w:rPr>
        <w:t>אברהם־יצחק</w:t>
      </w:r>
      <w:proofErr w:type="spellEnd"/>
      <w:r>
        <w:rPr>
          <w:sz w:val="20"/>
          <w:szCs w:val="20"/>
          <w:rtl/>
        </w:rPr>
        <w:t xml:space="preserve"> קוק, סיפר </w:t>
      </w:r>
      <w:proofErr w:type="spellStart"/>
      <w:r>
        <w:rPr>
          <w:sz w:val="20"/>
          <w:szCs w:val="20"/>
          <w:rtl/>
        </w:rPr>
        <w:t>שהנצי״ב</w:t>
      </w:r>
      <w:proofErr w:type="spellEnd"/>
      <w:r>
        <w:rPr>
          <w:sz w:val="20"/>
          <w:szCs w:val="20"/>
          <w:rtl/>
        </w:rPr>
        <w:t xml:space="preserve"> אמר בשבחו המופלג של ר׳ </w:t>
      </w:r>
      <w:proofErr w:type="spellStart"/>
      <w:r>
        <w:rPr>
          <w:sz w:val="20"/>
          <w:szCs w:val="20"/>
          <w:rtl/>
        </w:rPr>
        <w:t>אברהם־יצחק</w:t>
      </w:r>
      <w:proofErr w:type="spellEnd"/>
      <w:r>
        <w:rPr>
          <w:sz w:val="20"/>
          <w:szCs w:val="20"/>
          <w:rtl/>
        </w:rPr>
        <w:t xml:space="preserve"> קוק: ‘תלמיד כזה עוד לא היה </w:t>
      </w:r>
      <w:proofErr w:type="spellStart"/>
      <w:r>
        <w:rPr>
          <w:sz w:val="20"/>
          <w:szCs w:val="20"/>
          <w:rtl/>
        </w:rPr>
        <w:t>בוולוז׳ין</w:t>
      </w:r>
      <w:proofErr w:type="spellEnd"/>
      <w:r>
        <w:rPr>
          <w:sz w:val="20"/>
          <w:szCs w:val="20"/>
          <w:rtl/>
        </w:rPr>
        <w:t xml:space="preserve">!’. נראה שבאמירה זו התכוון </w:t>
      </w:r>
      <w:proofErr w:type="spellStart"/>
      <w:r>
        <w:rPr>
          <w:sz w:val="20"/>
          <w:szCs w:val="20"/>
          <w:rtl/>
        </w:rPr>
        <w:t>הנצי״ב</w:t>
      </w:r>
      <w:proofErr w:type="spellEnd"/>
      <w:r>
        <w:rPr>
          <w:sz w:val="20"/>
          <w:szCs w:val="20"/>
          <w:rtl/>
        </w:rPr>
        <w:t xml:space="preserve"> לישיבת </w:t>
      </w:r>
      <w:proofErr w:type="spellStart"/>
      <w:r>
        <w:rPr>
          <w:sz w:val="20"/>
          <w:szCs w:val="20"/>
          <w:rtl/>
        </w:rPr>
        <w:t>וולוז׳ין</w:t>
      </w:r>
      <w:proofErr w:type="spellEnd"/>
      <w:r>
        <w:rPr>
          <w:sz w:val="20"/>
          <w:szCs w:val="20"/>
          <w:rtl/>
        </w:rPr>
        <w:t xml:space="preserve"> מן הזמן שבו נעשה ראש ישיבתה, כלומר </w:t>
      </w:r>
      <w:proofErr w:type="spellStart"/>
      <w:r>
        <w:rPr>
          <w:sz w:val="20"/>
          <w:szCs w:val="20"/>
          <w:rtl/>
        </w:rPr>
        <w:t>מתרי״ג</w:t>
      </w:r>
      <w:proofErr w:type="spellEnd"/>
      <w:r>
        <w:rPr>
          <w:sz w:val="20"/>
          <w:szCs w:val="20"/>
          <w:rtl/>
        </w:rPr>
        <w:t>.</w:t>
      </w:r>
    </w:p>
    <w:p w14:paraId="4D42EE60" w14:textId="77777777" w:rsidR="00AB3647" w:rsidRDefault="00000000">
      <w:pPr>
        <w:spacing w:after="0" w:before="0"/>
        <w:jc w:val="both"/>
      </w:pPr>
      <w:r>
        <w:rPr>
          <w:sz w:val="20"/>
          <w:szCs w:val="20"/>
          <w:rtl/>
        </w:rPr>
        <w:t xml:space="preserve">אבל “לשלשה באלול”, חוברת שהוציא ר׳ </w:t>
      </w:r>
      <w:proofErr w:type="spellStart"/>
      <w:r>
        <w:rPr>
          <w:sz w:val="20"/>
          <w:szCs w:val="20"/>
          <w:rtl/>
        </w:rPr>
        <w:t>צבי־יהודה</w:t>
      </w:r>
      <w:proofErr w:type="spellEnd"/>
      <w:r>
        <w:rPr>
          <w:sz w:val="20"/>
          <w:szCs w:val="20"/>
          <w:rtl/>
        </w:rPr>
        <w:t xml:space="preserve">, בנו של ר׳ </w:t>
      </w:r>
      <w:proofErr w:type="spellStart"/>
      <w:r>
        <w:rPr>
          <w:sz w:val="20"/>
          <w:szCs w:val="20"/>
          <w:rtl/>
        </w:rPr>
        <w:t>אברהם־יצחק</w:t>
      </w:r>
      <w:proofErr w:type="spellEnd"/>
      <w:r>
        <w:rPr>
          <w:sz w:val="20"/>
          <w:szCs w:val="20"/>
          <w:rtl/>
        </w:rPr>
        <w:t xml:space="preserve"> קוק, ביום השנה השלישי לפטירת אביו (ירושלים, תרצ״ח), מרחיקה לכת עוד יותר: בעמ׳ ה מסופר שם </w:t>
      </w:r>
      <w:proofErr w:type="spellStart"/>
      <w:r>
        <w:rPr>
          <w:sz w:val="20"/>
          <w:szCs w:val="20"/>
          <w:rtl/>
        </w:rPr>
        <w:t>שהנצי״ב</w:t>
      </w:r>
      <w:proofErr w:type="spellEnd"/>
      <w:r>
        <w:rPr>
          <w:sz w:val="20"/>
          <w:szCs w:val="20"/>
          <w:rtl/>
        </w:rPr>
        <w:t xml:space="preserve"> אמר על ר׳ </w:t>
      </w:r>
      <w:proofErr w:type="spellStart"/>
      <w:r>
        <w:rPr>
          <w:sz w:val="20"/>
          <w:szCs w:val="20"/>
          <w:rtl/>
        </w:rPr>
        <w:t>אברהם־יצחק</w:t>
      </w:r>
      <w:proofErr w:type="spellEnd"/>
      <w:r>
        <w:rPr>
          <w:sz w:val="20"/>
          <w:szCs w:val="20"/>
          <w:rtl/>
        </w:rPr>
        <w:t xml:space="preserve"> קוק: ‘כדאי היה להקים את ישיבת </w:t>
      </w:r>
      <w:proofErr w:type="spellStart"/>
      <w:r>
        <w:rPr>
          <w:sz w:val="20"/>
          <w:szCs w:val="20"/>
          <w:rtl/>
        </w:rPr>
        <w:t>וולוז׳ין</w:t>
      </w:r>
      <w:proofErr w:type="spellEnd"/>
      <w:r>
        <w:rPr>
          <w:sz w:val="20"/>
          <w:szCs w:val="20"/>
          <w:rtl/>
        </w:rPr>
        <w:t xml:space="preserve"> רק בשביל תלמיד זה’.</w:t>
      </w:r>
    </w:p>
  </w:footnote>
  <w:footnote w:id="5119">
    <w:p w14:paraId="1BBFAE9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“נפש הרב” (הפסקה השנייה של נספח ב לעיל), עמ׳ </w:t>
      </w:r>
      <w:proofErr w:type="spellStart"/>
      <w:r>
        <w:rPr>
          <w:sz w:val="20"/>
          <w:szCs w:val="20"/>
          <w:rtl/>
        </w:rPr>
        <w:t>יז</w:t>
      </w:r>
      <w:proofErr w:type="spellEnd"/>
      <w:r>
        <w:rPr>
          <w:sz w:val="20"/>
          <w:szCs w:val="20"/>
          <w:rtl/>
        </w:rPr>
        <w:t xml:space="preserve">, הערה 23; “תורת חיים”, עמ׳ נו–נט במספור השני; והפסקה השמינית בפרק 4, נספח ט. השווה גם הציטוט מר׳ </w:t>
      </w:r>
      <w:proofErr w:type="spellStart"/>
      <w:r>
        <w:rPr>
          <w:sz w:val="20"/>
          <w:szCs w:val="20"/>
          <w:rtl/>
        </w:rPr>
        <w:t>ברוך־בער</w:t>
      </w:r>
      <w:proofErr w:type="spellEnd"/>
      <w:r>
        <w:rPr>
          <w:sz w:val="20"/>
          <w:szCs w:val="20"/>
          <w:rtl/>
        </w:rPr>
        <w:t xml:space="preserve"> </w:t>
      </w:r>
      <w:proofErr w:type="spellStart"/>
      <w:r>
        <w:rPr>
          <w:sz w:val="20"/>
          <w:szCs w:val="20"/>
          <w:rtl/>
        </w:rPr>
        <w:t>ליבוביץ</w:t>
      </w:r>
      <w:proofErr w:type="spellEnd"/>
      <w:r>
        <w:rPr>
          <w:sz w:val="20"/>
          <w:szCs w:val="20"/>
          <w:rtl/>
        </w:rPr>
        <w:t xml:space="preserve"> </w:t>
      </w:r>
      <w:proofErr w:type="spellStart"/>
      <w:r>
        <w:rPr>
          <w:sz w:val="20"/>
          <w:szCs w:val="20"/>
          <w:rtl/>
        </w:rPr>
        <w:t>ב“מגד</w:t>
      </w:r>
      <w:proofErr w:type="spellEnd"/>
      <w:r>
        <w:rPr>
          <w:sz w:val="20"/>
          <w:szCs w:val="20"/>
          <w:rtl/>
        </w:rPr>
        <w:t xml:space="preserve"> גבעות עולם”, עמ׳ יד. השורות החמישית, השישית והשביעית מן הסוף במצבת ר׳ חיים </w:t>
      </w:r>
      <w:proofErr w:type="spellStart"/>
      <w:r>
        <w:rPr>
          <w:sz w:val="20"/>
          <w:szCs w:val="20"/>
          <w:rtl/>
        </w:rPr>
        <w:t>סולובייצ׳יק</w:t>
      </w:r>
      <w:proofErr w:type="spellEnd"/>
      <w:r>
        <w:rPr>
          <w:sz w:val="20"/>
          <w:szCs w:val="20"/>
          <w:rtl/>
        </w:rPr>
        <w:t xml:space="preserve"> (המובאת בפסקה התשיעית להלן), ‘הפיץ אור חדש על דרכה של תורה וגילה לתלמידיו דבריה </w:t>
      </w:r>
      <w:r>
        <w:rPr>
          <w:b/>
          <w:bCs/>
          <w:sz w:val="20"/>
          <w:szCs w:val="20"/>
          <w:rtl/>
        </w:rPr>
        <w:t>כמו שהם</w:t>
      </w:r>
      <w:r>
        <w:rPr>
          <w:sz w:val="20"/>
          <w:szCs w:val="20"/>
          <w:rtl/>
        </w:rPr>
        <w:t>׳ (ההדגשה שלי), משקפות יחס זה של מחבר נוסח המצבה לחידושיו – שר׳ חיים גילה לתלמידיו את הפשט הנכון של דברי התורה.</w:t>
      </w:r>
    </w:p>
  </w:footnote>
  <w:footnote w:id="5120">
    <w:p w14:paraId="2399CF4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1, נספח ו – עמ׳ 63 ו־64.</w:t>
      </w:r>
    </w:p>
  </w:footnote>
  <w:footnote w:id="5121">
    <w:p w14:paraId="5EB1399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י.</w:t>
      </w:r>
    </w:p>
  </w:footnote>
  <w:footnote w:id="5122">
    <w:p w14:paraId="4FFA760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1, עמ׳ 182–184.</w:t>
      </w:r>
    </w:p>
  </w:footnote>
  <w:footnote w:id="5123">
    <w:p w14:paraId="568E91C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פ.</w:t>
      </w:r>
    </w:p>
  </w:footnote>
  <w:footnote w:id="5124">
    <w:p w14:paraId="367C6C9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3, הפסקה השנייה של נספח </w:t>
      </w:r>
      <w:proofErr w:type="spellStart"/>
      <w:r>
        <w:rPr>
          <w:sz w:val="20"/>
          <w:szCs w:val="20"/>
          <w:rtl/>
        </w:rPr>
        <w:t>כט</w:t>
      </w:r>
      <w:proofErr w:type="spellEnd"/>
      <w:r>
        <w:rPr>
          <w:sz w:val="20"/>
          <w:szCs w:val="20"/>
          <w:rtl/>
        </w:rPr>
        <w:t>.</w:t>
      </w:r>
    </w:p>
  </w:footnote>
  <w:footnote w:id="5125">
    <w:p w14:paraId="5E5DE39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1, הפסקה הראשונה של נספח ב – עמ׳ 63, 66.</w:t>
      </w:r>
    </w:p>
  </w:footnote>
  <w:footnote w:id="5126">
    <w:p w14:paraId="52F228A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בדומה לכך, גם הסיפור </w:t>
      </w:r>
      <w:proofErr w:type="spellStart"/>
      <w:r>
        <w:rPr>
          <w:sz w:val="20"/>
          <w:szCs w:val="20"/>
          <w:rtl/>
        </w:rPr>
        <w:t>ב“נפש</w:t>
      </w:r>
      <w:proofErr w:type="spellEnd"/>
      <w:r>
        <w:rPr>
          <w:sz w:val="20"/>
          <w:szCs w:val="20"/>
          <w:rtl/>
        </w:rPr>
        <w:t xml:space="preserve"> הרב”, עמ׳ </w:t>
      </w:r>
      <w:proofErr w:type="spellStart"/>
      <w:r>
        <w:rPr>
          <w:sz w:val="20"/>
          <w:szCs w:val="20"/>
          <w:rtl/>
        </w:rPr>
        <w:t>רלד</w:t>
      </w:r>
      <w:proofErr w:type="spellEnd"/>
      <w:r>
        <w:rPr>
          <w:sz w:val="20"/>
          <w:szCs w:val="20"/>
          <w:rtl/>
        </w:rPr>
        <w:t xml:space="preserve">, על ר׳ חיים שהשתתף בכינוס רבנים יחד עם ר׳ </w:t>
      </w:r>
      <w:proofErr w:type="spellStart"/>
      <w:r>
        <w:rPr>
          <w:sz w:val="20"/>
          <w:szCs w:val="20"/>
          <w:rtl/>
        </w:rPr>
        <w:t>אייזיל</w:t>
      </w:r>
      <w:proofErr w:type="spellEnd"/>
      <w:r>
        <w:rPr>
          <w:sz w:val="20"/>
          <w:szCs w:val="20"/>
          <w:rtl/>
        </w:rPr>
        <w:t>, ושניהם החליפו דברי עילוי (השווה שם לפרטים מעניינים), אינו מדויק.</w:t>
      </w:r>
    </w:p>
  </w:footnote>
  <w:footnote w:id="5127">
    <w:p w14:paraId="2F0E32A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רעג</w:t>
      </w:r>
      <w:proofErr w:type="spellEnd"/>
      <w:r>
        <w:rPr>
          <w:sz w:val="20"/>
          <w:szCs w:val="20"/>
          <w:rtl/>
        </w:rPr>
        <w:t>.</w:t>
      </w:r>
    </w:p>
  </w:footnote>
  <w:footnote w:id="5128">
    <w:p w14:paraId="4EB951E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“הגאון החסיד </w:t>
      </w:r>
      <w:proofErr w:type="spellStart"/>
      <w:r>
        <w:rPr>
          <w:sz w:val="20"/>
          <w:szCs w:val="20"/>
          <w:rtl/>
        </w:rPr>
        <w:t>מוילנא</w:t>
      </w:r>
      <w:proofErr w:type="spellEnd"/>
      <w:r>
        <w:rPr>
          <w:sz w:val="20"/>
          <w:szCs w:val="20"/>
          <w:rtl/>
        </w:rPr>
        <w:t xml:space="preserve">” (שם, פרק 3, נספח ב), עמ׳ </w:t>
      </w:r>
      <w:proofErr w:type="spellStart"/>
      <w:r>
        <w:rPr>
          <w:sz w:val="20"/>
          <w:szCs w:val="20"/>
          <w:rtl/>
        </w:rPr>
        <w:t>רעג</w:t>
      </w:r>
      <w:proofErr w:type="spellEnd"/>
      <w:r>
        <w:rPr>
          <w:sz w:val="20"/>
          <w:szCs w:val="20"/>
          <w:rtl/>
        </w:rPr>
        <w:t xml:space="preserve"> והערה 67 שם: ר׳ מנשה היה תלמיד גדול של הגאון מווילנה, והיה מבקר אצל רבו מדי שנה לשיחות. בספריו הוא מביא את הוראות הגאון על דרכי לימוד התורה והחינוך. ר׳ אריה קיבל כנראה מרבו את הרעיון לסלוד משיטות לימוד תלמודיות מסוימות.</w:t>
      </w:r>
    </w:p>
  </w:footnote>
  <w:footnote w:id="5129">
    <w:p w14:paraId="36872D8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לדעת ר׳ חיים על פלפול, ראה פרק 3, הפסקה השנייה של נספח ל.</w:t>
      </w:r>
    </w:p>
  </w:footnote>
  <w:footnote w:id="5130">
    <w:p w14:paraId="7AEB945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הפסקה הראשונה של נספח ב לעיל – </w:t>
      </w:r>
      <w:proofErr w:type="spellStart"/>
      <w:r>
        <w:rPr>
          <w:sz w:val="20"/>
          <w:szCs w:val="20"/>
          <w:rtl/>
        </w:rPr>
        <w:t>ח״ב</w:t>
      </w:r>
      <w:proofErr w:type="spellEnd"/>
      <w:r>
        <w:rPr>
          <w:sz w:val="20"/>
          <w:szCs w:val="20"/>
          <w:rtl/>
        </w:rPr>
        <w:t>, עמ׳ שכה.</w:t>
      </w:r>
    </w:p>
  </w:footnote>
  <w:footnote w:id="5131">
    <w:p w14:paraId="3AA70C8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3, הפסקה הראשונה של נספח י – עמ׳ 71 ו־70.</w:t>
      </w:r>
    </w:p>
  </w:footnote>
  <w:footnote w:id="5132">
    <w:p w14:paraId="359843A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רצט</w:t>
      </w:r>
      <w:proofErr w:type="spellEnd"/>
      <w:r>
        <w:rPr>
          <w:sz w:val="20"/>
          <w:szCs w:val="20"/>
          <w:rtl/>
        </w:rPr>
        <w:t>.</w:t>
      </w:r>
    </w:p>
  </w:footnote>
  <w:footnote w:id="5133">
    <w:p w14:paraId="2D672DE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היה חתנו של ר׳ </w:t>
      </w:r>
      <w:proofErr w:type="spellStart"/>
      <w:r>
        <w:rPr>
          <w:sz w:val="20"/>
          <w:szCs w:val="20"/>
          <w:rtl/>
        </w:rPr>
        <w:t>יענקל־דוד</w:t>
      </w:r>
      <w:proofErr w:type="spellEnd"/>
      <w:r>
        <w:rPr>
          <w:sz w:val="20"/>
          <w:szCs w:val="20"/>
          <w:rtl/>
        </w:rPr>
        <w:t xml:space="preserve"> </w:t>
      </w:r>
      <w:proofErr w:type="spellStart"/>
      <w:r>
        <w:rPr>
          <w:sz w:val="20"/>
          <w:szCs w:val="20"/>
          <w:rtl/>
        </w:rPr>
        <w:t>ווילובסקי</w:t>
      </w:r>
      <w:proofErr w:type="spellEnd"/>
      <w:r>
        <w:rPr>
          <w:sz w:val="20"/>
          <w:szCs w:val="20"/>
          <w:rtl/>
        </w:rPr>
        <w:t xml:space="preserve"> וחותנו של ר׳ יחזקאל </w:t>
      </w:r>
      <w:proofErr w:type="spellStart"/>
      <w:r>
        <w:rPr>
          <w:sz w:val="20"/>
          <w:szCs w:val="20"/>
          <w:rtl/>
        </w:rPr>
        <w:t>אברמסקי</w:t>
      </w:r>
      <w:proofErr w:type="spellEnd"/>
      <w:r>
        <w:rPr>
          <w:sz w:val="20"/>
          <w:szCs w:val="20"/>
          <w:rtl/>
        </w:rPr>
        <w:t>. עיירתו הייתה במרחק כשמונים קילומטר ממזרח למינסק.</w:t>
      </w:r>
    </w:p>
  </w:footnote>
  <w:footnote w:id="5134">
    <w:p w14:paraId="6A58325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ב־12 באפריל 1992.</w:t>
      </w:r>
    </w:p>
  </w:footnote>
  <w:footnote w:id="5135">
    <w:p w14:paraId="5490C58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1, נספח ו.</w:t>
      </w:r>
    </w:p>
  </w:footnote>
  <w:footnote w:id="5136">
    <w:p w14:paraId="50F7425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1, נספח ו.</w:t>
      </w:r>
    </w:p>
  </w:footnote>
  <w:footnote w:id="5137">
    <w:p w14:paraId="38B892B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76–77.</w:t>
      </w:r>
    </w:p>
  </w:footnote>
  <w:footnote w:id="5138">
    <w:p w14:paraId="1BE2510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2, הפסקה שלפני האחרונה של נספח א – עמ׳ 213.</w:t>
      </w:r>
    </w:p>
  </w:footnote>
  <w:footnote w:id="5139">
    <w:p w14:paraId="544B306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פרק 4, הפסקה החמישית של נספח ט – עמ׳ 123–126.</w:t>
      </w:r>
    </w:p>
  </w:footnote>
  <w:footnote w:id="5140">
    <w:p w14:paraId="638C44A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עמ׳ 113–122, שהודפס מחדש </w:t>
      </w:r>
      <w:proofErr w:type="spellStart"/>
      <w:r>
        <w:rPr>
          <w:sz w:val="20"/>
          <w:szCs w:val="20"/>
          <w:rtl/>
        </w:rPr>
        <w:t>מ“הצפירה</w:t>
      </w:r>
      <w:proofErr w:type="spellEnd"/>
      <w:r>
        <w:rPr>
          <w:sz w:val="20"/>
          <w:szCs w:val="20"/>
          <w:rtl/>
        </w:rPr>
        <w:t xml:space="preserve">”, גיליון </w:t>
      </w:r>
      <w:proofErr w:type="spellStart"/>
      <w:r>
        <w:rPr>
          <w:sz w:val="20"/>
          <w:szCs w:val="20"/>
          <w:rtl/>
        </w:rPr>
        <w:t>כו</w:t>
      </w:r>
      <w:proofErr w:type="spellEnd"/>
      <w:r>
        <w:rPr>
          <w:sz w:val="20"/>
          <w:szCs w:val="20"/>
          <w:rtl/>
        </w:rPr>
        <w:t xml:space="preserve"> באייר תרס״א.</w:t>
      </w:r>
    </w:p>
  </w:footnote>
  <w:footnote w:id="5141">
    <w:p w14:paraId="173333E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שני ציוני הזמן אינם תואמים. הראשון, </w:t>
      </w:r>
      <w:proofErr w:type="spellStart"/>
      <w:r>
        <w:rPr>
          <w:sz w:val="20"/>
          <w:szCs w:val="20"/>
          <w:rtl/>
        </w:rPr>
        <w:t>כב</w:t>
      </w:r>
      <w:proofErr w:type="spellEnd"/>
      <w:r>
        <w:rPr>
          <w:sz w:val="20"/>
          <w:szCs w:val="20"/>
          <w:rtl/>
        </w:rPr>
        <w:t xml:space="preserve"> באייר (היום השלושים ושבעה לעומר), הוא יום השרפות הנכון (22 במאי 1895 ו־11 במאי 1901), לפי ספר </w:t>
      </w:r>
      <w:proofErr w:type="spellStart"/>
      <w:r>
        <w:rPr>
          <w:sz w:val="20"/>
          <w:szCs w:val="20"/>
          <w:rtl/>
        </w:rPr>
        <w:t>קוברין</w:t>
      </w:r>
      <w:proofErr w:type="spellEnd"/>
      <w:r>
        <w:rPr>
          <w:sz w:val="20"/>
          <w:szCs w:val="20"/>
          <w:rtl/>
        </w:rPr>
        <w:t xml:space="preserve"> (שם, פרק 3, נספח יא), עמ׳ 42.</w:t>
      </w:r>
    </w:p>
  </w:footnote>
  <w:footnote w:id="5142">
    <w:p w14:paraId="225A1DD3" w14:textId="77777777" w:rsidR="00AB3647" w:rsidRDefault="00000000">
      <w:pPr>
        <w:spacing w:after="0" w:before="0"/>
        <w:jc w:val="both"/>
      </w:pPr>
      <w:r>
        <w:rPr>
          <w:rStyle w:val="a5"/>
          <w:vertAlign w:val="superscript"/>
          <w:rtl/>
        </w:rPr>
        <w:footnoteRef/>
      </w:r>
      <w:r>
        <w:rPr>
          <w:sz w:val="20"/>
          <w:szCs w:val="20"/>
        </w:rPr>
        <w:t xml:space="preserve"> </w:t>
      </w:r>
      <w:r>
        <w:rPr>
          <w:sz w:val="20"/>
          <w:szCs w:val="20"/>
          <w:rtl/>
        </w:rPr>
        <w:t>הערת המתרגם: כ״ב באייר תרנ״ה חל ב־16 במאי (4 במאי לפי הלוח הישן), ולא ב־22 במאי.</w:t>
      </w:r>
    </w:p>
  </w:footnote>
  <w:footnote w:id="5143">
    <w:p w14:paraId="7636EE6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147.</w:t>
      </w:r>
    </w:p>
  </w:footnote>
  <w:footnote w:id="5144">
    <w:p w14:paraId="3464116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ב־21 במאי 1995.</w:t>
      </w:r>
    </w:p>
  </w:footnote>
  <w:footnote w:id="5145">
    <w:p w14:paraId="7DFD44C2"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הרב </w:t>
      </w:r>
      <w:proofErr w:type="spellStart"/>
      <w:r>
        <w:rPr>
          <w:sz w:val="20"/>
          <w:szCs w:val="20"/>
          <w:rtl/>
        </w:rPr>
        <w:t>אונטרמן</w:t>
      </w:r>
      <w:proofErr w:type="spellEnd"/>
      <w:r>
        <w:rPr>
          <w:sz w:val="20"/>
          <w:szCs w:val="20"/>
          <w:rtl/>
        </w:rPr>
        <w:t xml:space="preserve"> נולד בניסן תרמ״ו, ולכן בשעת השרפה של תרנ״ה היה כבן תשע.</w:t>
      </w:r>
    </w:p>
  </w:footnote>
  <w:footnote w:id="5146">
    <w:p w14:paraId="7843AF3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הפסקה הרביעית של נספח ט.</w:t>
      </w:r>
    </w:p>
  </w:footnote>
  <w:footnote w:id="5147">
    <w:p w14:paraId="57A61B8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 באוגוסט 1993.</w:t>
      </w:r>
    </w:p>
  </w:footnote>
  <w:footnote w:id="5148">
    <w:p w14:paraId="1A7A498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הוא היה בנו של ר׳ </w:t>
      </w:r>
      <w:proofErr w:type="spellStart"/>
      <w:r>
        <w:rPr>
          <w:sz w:val="20"/>
          <w:szCs w:val="20"/>
          <w:rtl/>
        </w:rPr>
        <w:t>בן־ציון</w:t>
      </w:r>
      <w:proofErr w:type="spellEnd"/>
      <w:r>
        <w:rPr>
          <w:sz w:val="20"/>
          <w:szCs w:val="20"/>
          <w:rtl/>
        </w:rPr>
        <w:t xml:space="preserve"> </w:t>
      </w:r>
      <w:proofErr w:type="spellStart"/>
      <w:r>
        <w:rPr>
          <w:sz w:val="20"/>
          <w:szCs w:val="20"/>
          <w:rtl/>
        </w:rPr>
        <w:t>הנמן</w:t>
      </w:r>
      <w:proofErr w:type="spellEnd"/>
      <w:r>
        <w:rPr>
          <w:sz w:val="20"/>
          <w:szCs w:val="20"/>
          <w:rtl/>
        </w:rPr>
        <w:t xml:space="preserve">, שבביתו בממל השתמש ר׳ ישראל </w:t>
      </w:r>
      <w:proofErr w:type="spellStart"/>
      <w:r>
        <w:rPr>
          <w:sz w:val="20"/>
          <w:szCs w:val="20"/>
          <w:rtl/>
        </w:rPr>
        <w:t>סלנטר</w:t>
      </w:r>
      <w:proofErr w:type="spellEnd"/>
      <w:r>
        <w:rPr>
          <w:sz w:val="20"/>
          <w:szCs w:val="20"/>
          <w:rtl/>
        </w:rPr>
        <w:t xml:space="preserve"> כבסיס ליציאות לגרמניה במשך </w:t>
      </w:r>
      <w:proofErr w:type="spellStart"/>
      <w:r>
        <w:rPr>
          <w:sz w:val="20"/>
          <w:szCs w:val="20"/>
          <w:rtl/>
        </w:rPr>
        <w:t>תשע־עשרה</w:t>
      </w:r>
      <w:proofErr w:type="spellEnd"/>
      <w:r>
        <w:rPr>
          <w:sz w:val="20"/>
          <w:szCs w:val="20"/>
          <w:rtl/>
        </w:rPr>
        <w:t xml:space="preserve"> שנה, </w:t>
      </w:r>
      <w:proofErr w:type="spellStart"/>
      <w:r>
        <w:rPr>
          <w:sz w:val="20"/>
          <w:szCs w:val="20"/>
          <w:rtl/>
        </w:rPr>
        <w:t>מתרכ״א</w:t>
      </w:r>
      <w:proofErr w:type="spellEnd"/>
      <w:r>
        <w:rPr>
          <w:sz w:val="20"/>
          <w:szCs w:val="20"/>
          <w:rtl/>
        </w:rPr>
        <w:t xml:space="preserve"> עד תרל״ט.</w:t>
      </w:r>
    </w:p>
  </w:footnote>
  <w:footnote w:id="5149">
    <w:p w14:paraId="6063B12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קצז</w:t>
      </w:r>
      <w:proofErr w:type="spellEnd"/>
      <w:r>
        <w:rPr>
          <w:sz w:val="20"/>
          <w:szCs w:val="20"/>
          <w:rtl/>
        </w:rPr>
        <w:t>.</w:t>
      </w:r>
    </w:p>
  </w:footnote>
  <w:footnote w:id="5150">
    <w:p w14:paraId="6B913C8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“עובדות והנהגות לבית </w:t>
      </w:r>
      <w:proofErr w:type="spellStart"/>
      <w:r>
        <w:rPr>
          <w:sz w:val="20"/>
          <w:szCs w:val="20"/>
          <w:rtl/>
        </w:rPr>
        <w:t>בריסק</w:t>
      </w:r>
      <w:proofErr w:type="spellEnd"/>
      <w:r>
        <w:rPr>
          <w:sz w:val="20"/>
          <w:szCs w:val="20"/>
          <w:rtl/>
        </w:rPr>
        <w:t xml:space="preserve">”, המקור המובא בפרק 3, הפסקה החמישית של נספח </w:t>
      </w:r>
      <w:proofErr w:type="spellStart"/>
      <w:r>
        <w:rPr>
          <w:sz w:val="20"/>
          <w:szCs w:val="20"/>
          <w:rtl/>
        </w:rPr>
        <w:t>יח</w:t>
      </w:r>
      <w:proofErr w:type="spellEnd"/>
      <w:r>
        <w:rPr>
          <w:sz w:val="20"/>
          <w:szCs w:val="20"/>
          <w:rtl/>
        </w:rPr>
        <w:t>, שהדבר אירע ‘רוב הזמן’.</w:t>
      </w:r>
    </w:p>
  </w:footnote>
  <w:footnote w:id="5151">
    <w:p w14:paraId="3DCCDD5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דברי ר׳ </w:t>
      </w:r>
      <w:proofErr w:type="spellStart"/>
      <w:r>
        <w:rPr>
          <w:sz w:val="20"/>
          <w:szCs w:val="20"/>
          <w:rtl/>
        </w:rPr>
        <w:t>יהודה־לייב</w:t>
      </w:r>
      <w:proofErr w:type="spellEnd"/>
      <w:r>
        <w:rPr>
          <w:sz w:val="20"/>
          <w:szCs w:val="20"/>
          <w:rtl/>
        </w:rPr>
        <w:t xml:space="preserve"> </w:t>
      </w:r>
      <w:proofErr w:type="spellStart"/>
      <w:r>
        <w:rPr>
          <w:sz w:val="20"/>
          <w:szCs w:val="20"/>
          <w:rtl/>
        </w:rPr>
        <w:t>הנמן</w:t>
      </w:r>
      <w:proofErr w:type="spellEnd"/>
      <w:r>
        <w:rPr>
          <w:sz w:val="20"/>
          <w:szCs w:val="20"/>
          <w:rtl/>
        </w:rPr>
        <w:t>.</w:t>
      </w:r>
    </w:p>
  </w:footnote>
  <w:footnote w:id="5152">
    <w:p w14:paraId="77533C1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כפי שמובא </w:t>
      </w:r>
      <w:proofErr w:type="spellStart"/>
      <w:r>
        <w:rPr>
          <w:sz w:val="20"/>
          <w:szCs w:val="20"/>
          <w:rtl/>
        </w:rPr>
        <w:t>ב“עובדות</w:t>
      </w:r>
      <w:proofErr w:type="spellEnd"/>
      <w:r>
        <w:rPr>
          <w:sz w:val="20"/>
          <w:szCs w:val="20"/>
          <w:rtl/>
        </w:rPr>
        <w:t xml:space="preserve"> והנהגות לבית </w:t>
      </w:r>
      <w:proofErr w:type="spellStart"/>
      <w:r>
        <w:rPr>
          <w:sz w:val="20"/>
          <w:szCs w:val="20"/>
          <w:rtl/>
        </w:rPr>
        <w:t>בריסק</w:t>
      </w:r>
      <w:proofErr w:type="spellEnd"/>
      <w:r>
        <w:rPr>
          <w:sz w:val="20"/>
          <w:szCs w:val="20"/>
          <w:rtl/>
        </w:rPr>
        <w:t xml:space="preserve">” – המוזכר בהערת שוליים </w:t>
      </w:r>
      <w:r>
        <w:rPr>
          <w:sz w:val="20"/>
          <w:szCs w:val="20"/>
          <w:rtl/>
        </w:rPr>
        <w:fldChar w:fldCharType="begin" w:dirty="true"/>
      </w:r>
      <w:r>
        <w:rPr>
          <w:sz w:val="20"/>
          <w:szCs w:val="20"/>
          <w:rtl/>
        </w:rPr>
        <w:instrText xml:space="preserve"> NOTEREF pr_f_5013 \h </w:instrText>
      </w:r>
      <w:r>
        <w:rPr>
          <w:sz w:val="20"/>
          <w:szCs w:val="20"/>
          <w:rtl/>
        </w:rPr>
      </w:r>
      <w:r>
        <w:rPr>
          <w:sz w:val="20"/>
          <w:szCs w:val="20"/>
          <w:rtl/>
        </w:rPr>
        <w:fldChar w:fldCharType="separate"/>
      </w:r>
      <w:r w:rsidR="007923E9">
        <w:rPr>
          <w:sz w:val="20"/>
          <w:szCs w:val="20"/>
          <w:rtl/>
        </w:rPr>
        <w:t>667</w:t>
      </w:r>
      <w:r>
        <w:rPr>
          <w:sz w:val="20"/>
          <w:szCs w:val="20"/>
          <w:rtl/>
        </w:rPr>
        <w:fldChar w:fldCharType="end"/>
      </w:r>
      <w:r>
        <w:rPr>
          <w:sz w:val="20"/>
          <w:szCs w:val="20"/>
          <w:rtl/>
        </w:rPr>
        <w:t xml:space="preserve"> לעיל.</w:t>
      </w:r>
    </w:p>
  </w:footnote>
  <w:footnote w:id="5153">
    <w:p w14:paraId="4F3481F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ב־31 במאי 1996.</w:t>
      </w:r>
    </w:p>
  </w:footnote>
  <w:footnote w:id="5154">
    <w:p w14:paraId="2C6AAB4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העניין הוא שהרחובות שייכים לציבור, ואילו ביתו של ר׳ חיים היה הפקר – נתון לנטילה.</w:t>
      </w:r>
    </w:p>
  </w:footnote>
  <w:footnote w:id="5155">
    <w:p w14:paraId="1339DF1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יח</w:t>
      </w:r>
      <w:proofErr w:type="spellEnd"/>
      <w:r>
        <w:rPr>
          <w:sz w:val="20"/>
          <w:szCs w:val="20"/>
          <w:rtl/>
        </w:rPr>
        <w:t>.</w:t>
      </w:r>
    </w:p>
  </w:footnote>
  <w:footnote w:id="5156">
    <w:p w14:paraId="2E3071D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גמרא בבא מציעא פו ע״ב.</w:t>
      </w:r>
    </w:p>
  </w:footnote>
  <w:footnote w:id="5157">
    <w:p w14:paraId="138B071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ב־30 ביולי 1992.</w:t>
      </w:r>
    </w:p>
  </w:footnote>
  <w:footnote w:id="5158">
    <w:p w14:paraId="579BBE9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חלק ב, דף לט, קונטרס תרתי </w:t>
      </w:r>
      <w:proofErr w:type="spellStart"/>
      <w:r>
        <w:rPr>
          <w:sz w:val="20"/>
          <w:szCs w:val="20"/>
          <w:rtl/>
        </w:rPr>
        <w:t>לריעותא</w:t>
      </w:r>
      <w:proofErr w:type="spellEnd"/>
      <w:r>
        <w:rPr>
          <w:sz w:val="20"/>
          <w:szCs w:val="20"/>
          <w:rtl/>
        </w:rPr>
        <w:t>.</w:t>
      </w:r>
    </w:p>
  </w:footnote>
  <w:footnote w:id="5159">
    <w:p w14:paraId="0CEC954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ח״א, עמ׳ </w:t>
      </w:r>
      <w:proofErr w:type="spellStart"/>
      <w:r>
        <w:rPr>
          <w:sz w:val="20"/>
          <w:szCs w:val="20"/>
          <w:rtl/>
        </w:rPr>
        <w:t>רמט</w:t>
      </w:r>
      <w:proofErr w:type="spellEnd"/>
      <w:r>
        <w:rPr>
          <w:sz w:val="20"/>
          <w:szCs w:val="20"/>
          <w:rtl/>
        </w:rPr>
        <w:t>.</w:t>
      </w:r>
    </w:p>
  </w:footnote>
  <w:footnote w:id="5160">
    <w:p w14:paraId="6B26C0F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ב־18 באפריל 1998.</w:t>
      </w:r>
    </w:p>
  </w:footnote>
  <w:footnote w:id="5161">
    <w:p w14:paraId="48C6BD1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זהו המחבר הידוע שארבעה מספריו מובאים בספר זה: “החפץ חיים (ישר)” (פרולוג, הערה 5); “שאל אביך” (פרק 2, הערה 9); “החפץ חיים” (פרק 3, הפסקה הראשונה של נספח א); </w:t>
      </w:r>
      <w:proofErr w:type="spellStart"/>
      <w:r>
        <w:rPr>
          <w:sz w:val="20"/>
          <w:szCs w:val="20"/>
          <w:rtl/>
        </w:rPr>
        <w:t>ו“הגאון</w:t>
      </w:r>
      <w:proofErr w:type="spellEnd"/>
      <w:r>
        <w:rPr>
          <w:sz w:val="20"/>
          <w:szCs w:val="20"/>
          <w:rtl/>
        </w:rPr>
        <w:t xml:space="preserve"> </w:t>
      </w:r>
      <w:proofErr w:type="spellStart"/>
      <w:r>
        <w:rPr>
          <w:sz w:val="20"/>
          <w:szCs w:val="20"/>
          <w:rtl/>
        </w:rPr>
        <w:t>מלבי״ם</w:t>
      </w:r>
      <w:proofErr w:type="spellEnd"/>
      <w:r>
        <w:rPr>
          <w:sz w:val="20"/>
          <w:szCs w:val="20"/>
          <w:rtl/>
        </w:rPr>
        <w:t>” (הפסקה השנייה של נספח ב לעיל).</w:t>
      </w:r>
    </w:p>
  </w:footnote>
  <w:footnote w:id="5162">
    <w:p w14:paraId="0B502B7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“אישים ושיטות”, בראש עמ׳ 47, </w:t>
      </w:r>
      <w:proofErr w:type="spellStart"/>
      <w:r>
        <w:rPr>
          <w:sz w:val="20"/>
          <w:szCs w:val="20"/>
          <w:rtl/>
        </w:rPr>
        <w:t>ו“הראשון</w:t>
      </w:r>
      <w:proofErr w:type="spellEnd"/>
      <w:r>
        <w:rPr>
          <w:sz w:val="20"/>
          <w:szCs w:val="20"/>
          <w:rtl/>
        </w:rPr>
        <w:t xml:space="preserve"> לשושלת </w:t>
      </w:r>
      <w:proofErr w:type="spellStart"/>
      <w:r>
        <w:rPr>
          <w:sz w:val="20"/>
          <w:szCs w:val="20"/>
          <w:rtl/>
        </w:rPr>
        <w:t>בריסק</w:t>
      </w:r>
      <w:proofErr w:type="spellEnd"/>
      <w:r>
        <w:rPr>
          <w:sz w:val="20"/>
          <w:szCs w:val="20"/>
          <w:rtl/>
        </w:rPr>
        <w:t>”, בראש עמ׳ 436. (המקור השני מובא בפרק 4, הפסקה הרביעית של נספח ט.)</w:t>
      </w:r>
    </w:p>
  </w:footnote>
  <w:footnote w:id="5163">
    <w:p w14:paraId="1DA12CF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ה“גדול</w:t>
      </w:r>
      <w:proofErr w:type="spellEnd"/>
      <w:r>
        <w:rPr>
          <w:sz w:val="20"/>
          <w:szCs w:val="20"/>
          <w:rtl/>
        </w:rPr>
        <w:t xml:space="preserve">” עצמו היה רב תחילה </w:t>
      </w:r>
      <w:proofErr w:type="spellStart"/>
      <w:r>
        <w:rPr>
          <w:sz w:val="20"/>
          <w:szCs w:val="20"/>
          <w:rtl/>
        </w:rPr>
        <w:t>בסלץ</w:t>
      </w:r>
      <w:proofErr w:type="spellEnd"/>
      <w:r>
        <w:rPr>
          <w:sz w:val="20"/>
          <w:szCs w:val="20"/>
          <w:rtl/>
        </w:rPr>
        <w:t xml:space="preserve">, אחר כך </w:t>
      </w:r>
      <w:proofErr w:type="spellStart"/>
      <w:r>
        <w:rPr>
          <w:sz w:val="20"/>
          <w:szCs w:val="20"/>
          <w:rtl/>
        </w:rPr>
        <w:t>בפרוז׳ני</w:t>
      </w:r>
      <w:proofErr w:type="spellEnd"/>
      <w:r>
        <w:rPr>
          <w:sz w:val="20"/>
          <w:szCs w:val="20"/>
          <w:rtl/>
        </w:rPr>
        <w:t xml:space="preserve"> הגדולה יותר, ורק אז במינסק; ואילו ר׳ חיים רק מסר שיעורים </w:t>
      </w:r>
      <w:proofErr w:type="spellStart"/>
      <w:r>
        <w:rPr>
          <w:sz w:val="20"/>
          <w:szCs w:val="20"/>
          <w:rtl/>
        </w:rPr>
        <w:t>בוולוז׳ין</w:t>
      </w:r>
      <w:proofErr w:type="spellEnd"/>
      <w:r>
        <w:rPr>
          <w:sz w:val="20"/>
          <w:szCs w:val="20"/>
          <w:rtl/>
        </w:rPr>
        <w:t xml:space="preserve"> עד שנתמנה </w:t>
      </w:r>
      <w:proofErr w:type="spellStart"/>
      <w:r>
        <w:rPr>
          <w:sz w:val="20"/>
          <w:szCs w:val="20"/>
          <w:rtl/>
        </w:rPr>
        <w:t>בבריסק</w:t>
      </w:r>
      <w:proofErr w:type="spellEnd"/>
      <w:r>
        <w:rPr>
          <w:sz w:val="20"/>
          <w:szCs w:val="20"/>
          <w:rtl/>
        </w:rPr>
        <w:t>.</w:t>
      </w:r>
    </w:p>
  </w:footnote>
  <w:footnote w:id="5164">
    <w:p w14:paraId="4B47797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68.</w:t>
      </w:r>
    </w:p>
  </w:footnote>
  <w:footnote w:id="5165">
    <w:p w14:paraId="100BB3B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שם, עמ׳ 63.</w:t>
      </w:r>
    </w:p>
  </w:footnote>
  <w:footnote w:id="5166">
    <w:p w14:paraId="2BFADD2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426–428.</w:t>
      </w:r>
    </w:p>
  </w:footnote>
  <w:footnote w:id="5167">
    <w:p w14:paraId="52041C2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לא הייתה לו קרבת משפחה לחותנו של ר׳ חיים.</w:t>
      </w:r>
    </w:p>
  </w:footnote>
  <w:footnote w:id="5168">
    <w:p w14:paraId="02B8FA5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השישית של נספח ב לעיל – כרך 1, עמ׳ 151.</w:t>
      </w:r>
    </w:p>
  </w:footnote>
  <w:footnote w:id="5169">
    <w:p w14:paraId="0D68538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2, עמ׳ 49.</w:t>
      </w:r>
    </w:p>
  </w:footnote>
  <w:footnote w:id="5170">
    <w:p w14:paraId="7658B11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1, עמ׳ 199.</w:t>
      </w:r>
    </w:p>
  </w:footnote>
  <w:footnote w:id="5171">
    <w:p w14:paraId="438FA54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“הראשון לשושלת </w:t>
      </w:r>
      <w:proofErr w:type="spellStart"/>
      <w:r>
        <w:rPr>
          <w:sz w:val="20"/>
          <w:szCs w:val="20"/>
          <w:rtl/>
        </w:rPr>
        <w:t>בריסק</w:t>
      </w:r>
      <w:proofErr w:type="spellEnd"/>
      <w:r>
        <w:rPr>
          <w:sz w:val="20"/>
          <w:szCs w:val="20"/>
          <w:rtl/>
        </w:rPr>
        <w:t>”, עמ׳ 415–417.</w:t>
      </w:r>
    </w:p>
  </w:footnote>
  <w:footnote w:id="5172">
    <w:p w14:paraId="78C4D62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ח״ב</w:t>
      </w:r>
      <w:proofErr w:type="spellEnd"/>
      <w:r>
        <w:rPr>
          <w:sz w:val="20"/>
          <w:szCs w:val="20"/>
          <w:rtl/>
        </w:rPr>
        <w:t>, עמ׳ שט.</w:t>
      </w:r>
    </w:p>
  </w:footnote>
  <w:footnote w:id="5173">
    <w:p w14:paraId="32599BC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כפי שרשם ר׳ משה־מאיר פראג.</w:t>
      </w:r>
    </w:p>
  </w:footnote>
  <w:footnote w:id="5174">
    <w:p w14:paraId="32BAA8F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הדבר אירע </w:t>
      </w:r>
      <w:proofErr w:type="spellStart"/>
      <w:r>
        <w:rPr>
          <w:sz w:val="20"/>
          <w:szCs w:val="20"/>
          <w:rtl/>
        </w:rPr>
        <w:t>בתרנ״ד</w:t>
      </w:r>
      <w:proofErr w:type="spellEnd"/>
      <w:r>
        <w:rPr>
          <w:sz w:val="20"/>
          <w:szCs w:val="20"/>
          <w:rtl/>
        </w:rPr>
        <w:t>, לפי “הגדול ממינסק”, עמ׳ 164.</w:t>
      </w:r>
    </w:p>
  </w:footnote>
  <w:footnote w:id="5175">
    <w:p w14:paraId="3DF0ECF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הערה 22 לעיל.</w:t>
      </w:r>
    </w:p>
  </w:footnote>
  <w:footnote w:id="5176">
    <w:p w14:paraId="5EC076E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ח״א, עמ׳ </w:t>
      </w:r>
      <w:proofErr w:type="spellStart"/>
      <w:r>
        <w:rPr>
          <w:sz w:val="20"/>
          <w:szCs w:val="20"/>
          <w:rtl/>
        </w:rPr>
        <w:t>רנז</w:t>
      </w:r>
      <w:proofErr w:type="spellEnd"/>
      <w:r>
        <w:rPr>
          <w:sz w:val="20"/>
          <w:szCs w:val="20"/>
          <w:rtl/>
        </w:rPr>
        <w:t>.</w:t>
      </w:r>
    </w:p>
  </w:footnote>
  <w:footnote w:id="5177">
    <w:p w14:paraId="189E89A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סוטה ז ע״ב.</w:t>
      </w:r>
    </w:p>
  </w:footnote>
  <w:footnote w:id="5178">
    <w:p w14:paraId="1514CB8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ב־28 באפריל 1992.</w:t>
      </w:r>
    </w:p>
  </w:footnote>
  <w:footnote w:id="5179">
    <w:p w14:paraId="59D0C26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201.</w:t>
      </w:r>
    </w:p>
  </w:footnote>
  <w:footnote w:id="5180">
    <w:p w14:paraId="38BF94E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גם ר׳ לייזר היה אהוב מאוד על אביו של ר׳ חיים, שלימדו </w:t>
      </w:r>
      <w:proofErr w:type="spellStart"/>
      <w:r>
        <w:rPr>
          <w:sz w:val="20"/>
          <w:szCs w:val="20"/>
          <w:rtl/>
        </w:rPr>
        <w:t>בסלוצק</w:t>
      </w:r>
      <w:proofErr w:type="spellEnd"/>
      <w:r>
        <w:rPr>
          <w:sz w:val="20"/>
          <w:szCs w:val="20"/>
          <w:rtl/>
        </w:rPr>
        <w:t xml:space="preserve"> (“הגדול ממינסק”, עמ׳ 88) – ראה הערת שוליים </w:t>
      </w:r>
      <w:r>
        <w:rPr>
          <w:sz w:val="20"/>
          <w:szCs w:val="20"/>
          <w:rtl/>
        </w:rPr>
        <w:fldChar w:fldCharType="begin" w:dirty="true"/>
      </w:r>
      <w:r>
        <w:rPr>
          <w:sz w:val="20"/>
          <w:szCs w:val="20"/>
          <w:rtl/>
        </w:rPr>
        <w:instrText xml:space="preserve"> NOTEREF pr_f_4953 \h </w:instrText>
      </w:r>
      <w:r>
        <w:rPr>
          <w:sz w:val="20"/>
          <w:szCs w:val="20"/>
          <w:rtl/>
        </w:rPr>
      </w:r>
      <w:r>
        <w:rPr>
          <w:sz w:val="20"/>
          <w:szCs w:val="20"/>
          <w:rtl/>
        </w:rPr>
        <w:fldChar w:fldCharType="separate"/>
      </w:r>
      <w:r w:rsidR="007923E9">
        <w:rPr>
          <w:sz w:val="20"/>
          <w:szCs w:val="20"/>
          <w:rtl/>
        </w:rPr>
        <w:t>607</w:t>
      </w:r>
      <w:r>
        <w:rPr>
          <w:sz w:val="20"/>
          <w:szCs w:val="20"/>
          <w:rtl/>
        </w:rPr>
        <w:fldChar w:fldCharType="end"/>
      </w:r>
      <w:r>
        <w:rPr>
          <w:sz w:val="20"/>
          <w:szCs w:val="20"/>
          <w:rtl/>
        </w:rPr>
        <w:t xml:space="preserve"> בעמ׳ </w:t>
      </w:r>
      <w:r>
        <w:rPr>
          <w:sz w:val="20"/>
          <w:szCs w:val="20"/>
          <w:rtl/>
        </w:rPr>
        <w:fldChar w:fldCharType="begin" w:dirty="true"/>
      </w:r>
      <w:r>
        <w:rPr>
          <w:sz w:val="20"/>
          <w:szCs w:val="20"/>
          <w:rtl/>
        </w:rPr>
        <w:instrText xml:space="preserve"> PAGEREF pr_f_4953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5181">
    <w:p w14:paraId="28C062C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200.</w:t>
      </w:r>
    </w:p>
  </w:footnote>
  <w:footnote w:id="5182">
    <w:p w14:paraId="779AEFC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היו שני חתנים ראויים למינוי. מלבד ר׳ לייזר, שכבר שימש אז רב </w:t>
      </w:r>
      <w:proofErr w:type="spellStart"/>
      <w:r>
        <w:rPr>
          <w:sz w:val="20"/>
          <w:szCs w:val="20"/>
          <w:rtl/>
        </w:rPr>
        <w:t>בסמילוביץ</w:t>
      </w:r>
      <w:proofErr w:type="spellEnd"/>
      <w:r>
        <w:rPr>
          <w:sz w:val="20"/>
          <w:szCs w:val="20"/>
          <w:rtl/>
        </w:rPr>
        <w:t xml:space="preserve">׳, עיירה במרחק כשלושים וחמישה קילומטר ממינסק, היה ר׳ </w:t>
      </w:r>
      <w:proofErr w:type="spellStart"/>
      <w:r>
        <w:rPr>
          <w:sz w:val="20"/>
          <w:szCs w:val="20"/>
          <w:rtl/>
        </w:rPr>
        <w:t>אברהם־דובער</w:t>
      </w:r>
      <w:proofErr w:type="spellEnd"/>
      <w:r>
        <w:rPr>
          <w:sz w:val="20"/>
          <w:szCs w:val="20"/>
          <w:rtl/>
        </w:rPr>
        <w:t xml:space="preserve"> </w:t>
      </w:r>
      <w:proofErr w:type="spellStart"/>
      <w:r>
        <w:rPr>
          <w:sz w:val="20"/>
          <w:szCs w:val="20"/>
          <w:rtl/>
        </w:rPr>
        <w:t>כהנא־שפירא</w:t>
      </w:r>
      <w:proofErr w:type="spellEnd"/>
      <w:r>
        <w:rPr>
          <w:sz w:val="20"/>
          <w:szCs w:val="20"/>
          <w:rtl/>
        </w:rPr>
        <w:t>, הנזכר לעיל, שעדיין היה על ‘</w:t>
      </w:r>
      <w:proofErr w:type="spellStart"/>
      <w:r>
        <w:rPr>
          <w:sz w:val="20"/>
          <w:szCs w:val="20"/>
          <w:rtl/>
        </w:rPr>
        <w:t>קעסט</w:t>
      </w:r>
      <w:proofErr w:type="spellEnd"/>
      <w:r>
        <w:rPr>
          <w:sz w:val="20"/>
          <w:szCs w:val="20"/>
          <w:rtl/>
        </w:rPr>
        <w:t xml:space="preserve">’. כשנתמנה אחר כך ר׳ לייזר </w:t>
      </w:r>
      <w:proofErr w:type="spellStart"/>
      <w:r>
        <w:rPr>
          <w:sz w:val="20"/>
          <w:szCs w:val="20"/>
          <w:rtl/>
        </w:rPr>
        <w:t>רבינוביץ</w:t>
      </w:r>
      <w:proofErr w:type="spellEnd"/>
      <w:r>
        <w:rPr>
          <w:sz w:val="20"/>
          <w:szCs w:val="20"/>
          <w:rtl/>
        </w:rPr>
        <w:t xml:space="preserve"> לממלא מקום חותנו, קיבל ר׳ </w:t>
      </w:r>
      <w:proofErr w:type="spellStart"/>
      <w:r>
        <w:rPr>
          <w:sz w:val="20"/>
          <w:szCs w:val="20"/>
          <w:rtl/>
        </w:rPr>
        <w:t>אברהם־דובער</w:t>
      </w:r>
      <w:proofErr w:type="spellEnd"/>
      <w:r>
        <w:rPr>
          <w:sz w:val="20"/>
          <w:szCs w:val="20"/>
          <w:rtl/>
        </w:rPr>
        <w:t xml:space="preserve"> </w:t>
      </w:r>
      <w:proofErr w:type="spellStart"/>
      <w:r>
        <w:rPr>
          <w:sz w:val="20"/>
          <w:szCs w:val="20"/>
          <w:rtl/>
        </w:rPr>
        <w:t>כהנא־שפירא</w:t>
      </w:r>
      <w:proofErr w:type="spellEnd"/>
      <w:r>
        <w:rPr>
          <w:sz w:val="20"/>
          <w:szCs w:val="20"/>
          <w:rtl/>
        </w:rPr>
        <w:t xml:space="preserve"> את כהונתו של גיסו </w:t>
      </w:r>
      <w:proofErr w:type="spellStart"/>
      <w:r>
        <w:rPr>
          <w:sz w:val="20"/>
          <w:szCs w:val="20"/>
          <w:rtl/>
        </w:rPr>
        <w:t>בסמילוביץ</w:t>
      </w:r>
      <w:proofErr w:type="spellEnd"/>
      <w:r>
        <w:rPr>
          <w:sz w:val="20"/>
          <w:szCs w:val="20"/>
          <w:rtl/>
        </w:rPr>
        <w:t>׳.</w:t>
      </w:r>
    </w:p>
  </w:footnote>
  <w:footnote w:id="5183">
    <w:p w14:paraId="0DED333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הערת שוליים </w:t>
      </w:r>
      <w:r>
        <w:rPr>
          <w:rStyle w:val="a5"/>
          <w:sz w:val="20"/>
          <w:szCs w:val="20"/>
          <w:vertAlign w:val="baseline"/>
          <w:rtl/>
        </w:rPr>
        <w:fldChar w:fldCharType="begin" w:dirty="true"/>
      </w:r>
      <w:r>
        <w:rPr>
          <w:rStyle w:val="a5"/>
          <w:sz w:val="20"/>
          <w:szCs w:val="20"/>
          <w:vertAlign w:val="baseline"/>
          <w:rtl/>
        </w:rPr>
        <w:instrText xml:space="preserve"> NOTEREF pr_f_4891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545</w:t>
      </w:r>
      <w:r>
        <w:rPr>
          <w:rStyle w:val="a5"/>
          <w:sz w:val="20"/>
          <w:szCs w:val="20"/>
          <w:vertAlign w:val="baseline"/>
          <w:rtl/>
        </w:rPr>
        <w:fldChar w:fldCharType="end"/>
      </w:r>
      <w:r>
        <w:rPr>
          <w:rStyle w:val="a5"/>
          <w:sz w:val="20"/>
          <w:szCs w:val="20"/>
          <w:vertAlign w:val="baseline"/>
          <w:rtl/>
        </w:rPr>
        <w:t xml:space="preserve"> בעמ׳ </w:t>
      </w:r>
      <w:r>
        <w:rPr>
          <w:rStyle w:val="a5"/>
          <w:sz w:val="20"/>
          <w:szCs w:val="20"/>
          <w:vertAlign w:val="baseline"/>
          <w:rtl/>
        </w:rPr>
        <w:fldChar w:fldCharType="begin" w:dirty="true"/>
      </w:r>
      <w:r>
        <w:rPr>
          <w:rStyle w:val="a5"/>
          <w:sz w:val="20"/>
          <w:szCs w:val="20"/>
          <w:vertAlign w:val="baseline"/>
          <w:rtl/>
        </w:rPr>
        <w:instrText xml:space="preserve"> PAGEREF pr_f_4891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w:t>
      </w:r>
    </w:p>
  </w:footnote>
  <w:footnote w:id="5184">
    <w:p w14:paraId="5FD3302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ד לעיל – עמ׳ 95.</w:t>
      </w:r>
    </w:p>
  </w:footnote>
  <w:footnote w:id="5185">
    <w:p w14:paraId="43EC351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2, תחילת נספח א.</w:t>
      </w:r>
    </w:p>
  </w:footnote>
  <w:footnote w:id="5186">
    <w:p w14:paraId="57BCBDA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עמ׳ 94. היו עוד שני </w:t>
      </w:r>
      <w:proofErr w:type="spellStart"/>
      <w:r>
        <w:rPr>
          <w:sz w:val="20"/>
          <w:szCs w:val="20"/>
          <w:rtl/>
        </w:rPr>
        <w:t>מו״צים</w:t>
      </w:r>
      <w:proofErr w:type="spellEnd"/>
      <w:r>
        <w:rPr>
          <w:sz w:val="20"/>
          <w:szCs w:val="20"/>
          <w:rtl/>
        </w:rPr>
        <w:t xml:space="preserve"> בעיר, ובעקבות זאת ‘היו לפעמים חילוקי דעות והפרעות’ (“הגדול ממינסק”, עמ׳ 94).</w:t>
      </w:r>
    </w:p>
  </w:footnote>
  <w:footnote w:id="5187">
    <w:p w14:paraId="7EC42F1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“מינסק עיר ואם”, שם, </w:t>
      </w:r>
      <w:proofErr w:type="spellStart"/>
      <w:r>
        <w:rPr>
          <w:sz w:val="20"/>
          <w:szCs w:val="20"/>
          <w:rtl/>
        </w:rPr>
        <w:t>ו“הגדול</w:t>
      </w:r>
      <w:proofErr w:type="spellEnd"/>
      <w:r>
        <w:rPr>
          <w:sz w:val="20"/>
          <w:szCs w:val="20"/>
          <w:rtl/>
        </w:rPr>
        <w:t xml:space="preserve"> ממינסק”, עמ׳ 94–95. ראה גם פרק 1, נספח ו, שהכינוי “הגדול” ממינסק שניתן לרב פרלמן נבע אולי מן הכבוד הרב שרחשה העיר לקודמו, ר׳ </w:t>
      </w:r>
      <w:proofErr w:type="spellStart"/>
      <w:r>
        <w:rPr>
          <w:sz w:val="20"/>
          <w:szCs w:val="20"/>
          <w:rtl/>
        </w:rPr>
        <w:t>דוד־טעביל</w:t>
      </w:r>
      <w:proofErr w:type="spellEnd"/>
      <w:r>
        <w:rPr>
          <w:sz w:val="20"/>
          <w:szCs w:val="20"/>
          <w:rtl/>
        </w:rPr>
        <w:t>, עשרות שנים לפני כן.</w:t>
      </w:r>
    </w:p>
  </w:footnote>
  <w:footnote w:id="5188">
    <w:p w14:paraId="474E8DF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“מינסק עיר ואם א”, עמ׳ 504, במאמר מאת בת המגיד ממינסק, רחל חדש.</w:t>
      </w:r>
    </w:p>
  </w:footnote>
  <w:footnote w:id="5189">
    <w:p w14:paraId="2BAA3BF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פרק 4, נספח </w:t>
      </w:r>
      <w:proofErr w:type="spellStart"/>
      <w:r>
        <w:rPr>
          <w:sz w:val="20"/>
          <w:szCs w:val="20"/>
          <w:rtl/>
        </w:rPr>
        <w:t>יז</w:t>
      </w:r>
      <w:proofErr w:type="spellEnd"/>
      <w:r>
        <w:rPr>
          <w:sz w:val="20"/>
          <w:szCs w:val="20"/>
          <w:rtl/>
        </w:rPr>
        <w:t>.</w:t>
      </w:r>
    </w:p>
  </w:footnote>
  <w:footnote w:id="5190">
    <w:p w14:paraId="3CCC364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הקדמת החלק השני, הנקרא “פרי עץ חיים” (ירושלים, תרע״ד), בטור השני של ההקדמה הנדפסת באותיות מרובעות.</w:t>
      </w:r>
    </w:p>
  </w:footnote>
  <w:footnote w:id="5191">
    <w:p w14:paraId="014ADB5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ב־5 בנובמבר 1990.</w:t>
      </w:r>
    </w:p>
  </w:footnote>
  <w:footnote w:id="5192">
    <w:p w14:paraId="2FCD967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מכתבו של ר׳ חיים שפורסם מכתב יד </w:t>
      </w:r>
      <w:proofErr w:type="spellStart"/>
      <w:r>
        <w:rPr>
          <w:sz w:val="20"/>
          <w:szCs w:val="20"/>
          <w:rtl/>
        </w:rPr>
        <w:t>ב“צפונות</w:t>
      </w:r>
      <w:proofErr w:type="spellEnd"/>
      <w:r>
        <w:rPr>
          <w:sz w:val="20"/>
          <w:szCs w:val="20"/>
          <w:rtl/>
        </w:rPr>
        <w:t>” (רבעון תורני), בני ברק, ניסן תשמ״ט, עמ׳ סח.</w:t>
      </w:r>
    </w:p>
  </w:footnote>
  <w:footnote w:id="5193">
    <w:p w14:paraId="7D12F2E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3, נספח יא, באריכות.</w:t>
      </w:r>
    </w:p>
  </w:footnote>
  <w:footnote w:id="5194">
    <w:p w14:paraId="5AFC934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 עמ׳ 440.</w:t>
      </w:r>
    </w:p>
  </w:footnote>
  <w:footnote w:id="5195">
    <w:p w14:paraId="26AB758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קפז</w:t>
      </w:r>
      <w:proofErr w:type="spellEnd"/>
      <w:r>
        <w:rPr>
          <w:sz w:val="20"/>
          <w:szCs w:val="20"/>
          <w:rtl/>
        </w:rPr>
        <w:t>.</w:t>
      </w:r>
    </w:p>
  </w:footnote>
  <w:footnote w:id="5196">
    <w:p w14:paraId="1AC9326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שם, פרק 4, הערת שוליים </w:t>
      </w:r>
      <w:r>
        <w:rPr>
          <w:rStyle w:val="a5"/>
          <w:sz w:val="20"/>
          <w:szCs w:val="20"/>
          <w:vertAlign w:val="baseline"/>
          <w:rtl/>
        </w:rPr>
        <w:fldChar w:fldCharType="begin" w:dirty="true"/>
      </w:r>
      <w:r>
        <w:rPr>
          <w:rStyle w:val="a5"/>
          <w:sz w:val="20"/>
          <w:szCs w:val="20"/>
          <w:vertAlign w:val="baseline"/>
          <w:rtl/>
        </w:rPr>
        <w:instrText xml:space="preserve"> NOTEREF pr_f_3968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1045</w:t>
      </w:r>
      <w:r>
        <w:rPr>
          <w:rStyle w:val="a5"/>
          <w:sz w:val="20"/>
          <w:szCs w:val="20"/>
          <w:vertAlign w:val="baseline"/>
          <w:rtl/>
        </w:rPr>
        <w:fldChar w:fldCharType="end"/>
      </w:r>
      <w:r>
        <w:rPr>
          <w:rStyle w:val="a5"/>
          <w:sz w:val="20"/>
          <w:szCs w:val="20"/>
          <w:vertAlign w:val="baseline"/>
          <w:rtl/>
        </w:rPr>
        <w:t xml:space="preserve">, עמ׳ </w:t>
      </w:r>
      <w:r>
        <w:rPr>
          <w:rStyle w:val="a5"/>
          <w:sz w:val="20"/>
          <w:szCs w:val="20"/>
          <w:vertAlign w:val="baseline"/>
          <w:rtl/>
        </w:rPr>
        <w:fldChar w:fldCharType="begin" w:dirty="true"/>
      </w:r>
      <w:r>
        <w:rPr>
          <w:rStyle w:val="a5"/>
          <w:sz w:val="20"/>
          <w:szCs w:val="20"/>
          <w:vertAlign w:val="baseline"/>
          <w:rtl/>
        </w:rPr>
        <w:instrText xml:space="preserve"> PAGEREF pr_f_3968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 xml:space="preserve"> – כרך 3, עמ׳ 38–39</w:t>
      </w:r>
      <w:r>
        <w:rPr>
          <w:sz w:val="20"/>
          <w:szCs w:val="20"/>
          <w:rtl/>
        </w:rPr>
        <w:t>.</w:t>
      </w:r>
    </w:p>
  </w:footnote>
  <w:footnote w:id="5197">
    <w:p w14:paraId="339FA29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147.</w:t>
      </w:r>
    </w:p>
  </w:footnote>
  <w:footnote w:id="5198">
    <w:p w14:paraId="0E2E2AE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רה–</w:t>
      </w:r>
      <w:proofErr w:type="spellStart"/>
      <w:r>
        <w:rPr>
          <w:sz w:val="20"/>
          <w:szCs w:val="20"/>
          <w:rtl/>
        </w:rPr>
        <w:t>רו</w:t>
      </w:r>
      <w:proofErr w:type="spellEnd"/>
      <w:r>
        <w:rPr>
          <w:sz w:val="20"/>
          <w:szCs w:val="20"/>
          <w:rtl/>
        </w:rPr>
        <w:t>.</w:t>
      </w:r>
    </w:p>
  </w:footnote>
  <w:footnote w:id="5199">
    <w:p w14:paraId="1C31309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“הראשון לשושלת </w:t>
      </w:r>
      <w:proofErr w:type="spellStart"/>
      <w:r>
        <w:rPr>
          <w:sz w:val="20"/>
          <w:szCs w:val="20"/>
          <w:rtl/>
        </w:rPr>
        <w:t>בריסק</w:t>
      </w:r>
      <w:proofErr w:type="spellEnd"/>
      <w:r>
        <w:rPr>
          <w:sz w:val="20"/>
          <w:szCs w:val="20"/>
          <w:rtl/>
        </w:rPr>
        <w:t>”, עמ׳ 63, 144, 275–279, 281–283 ו־309.</w:t>
      </w:r>
    </w:p>
  </w:footnote>
  <w:footnote w:id="5200">
    <w:p w14:paraId="26220C0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הערת שוליים </w:t>
      </w:r>
      <w:r>
        <w:rPr>
          <w:rStyle w:val="a5"/>
          <w:sz w:val="20"/>
          <w:szCs w:val="20"/>
          <w:vertAlign w:val="baseline"/>
          <w:rtl/>
        </w:rPr>
        <w:fldChar w:fldCharType="begin" w:dirty="true"/>
      </w:r>
      <w:r>
        <w:rPr>
          <w:rStyle w:val="a5"/>
          <w:sz w:val="20"/>
          <w:szCs w:val="20"/>
          <w:vertAlign w:val="baseline"/>
          <w:rtl/>
        </w:rPr>
        <w:instrText xml:space="preserve"> NOTEREF pr_f_4876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530</w:t>
      </w:r>
      <w:r>
        <w:rPr>
          <w:rStyle w:val="a5"/>
          <w:sz w:val="20"/>
          <w:szCs w:val="20"/>
          <w:vertAlign w:val="baseline"/>
          <w:rtl/>
        </w:rPr>
        <w:fldChar w:fldCharType="end"/>
      </w:r>
      <w:r>
        <w:rPr>
          <w:rStyle w:val="a5"/>
          <w:sz w:val="20"/>
          <w:szCs w:val="20"/>
          <w:vertAlign w:val="baseline"/>
          <w:rtl/>
        </w:rPr>
        <w:t xml:space="preserve"> בעמ׳ </w:t>
      </w:r>
      <w:r>
        <w:rPr>
          <w:rStyle w:val="a5"/>
          <w:sz w:val="20"/>
          <w:szCs w:val="20"/>
          <w:vertAlign w:val="baseline"/>
          <w:rtl/>
        </w:rPr>
        <w:fldChar w:fldCharType="begin" w:dirty="true"/>
      </w:r>
      <w:r>
        <w:rPr>
          <w:rStyle w:val="a5"/>
          <w:sz w:val="20"/>
          <w:szCs w:val="20"/>
          <w:vertAlign w:val="baseline"/>
          <w:rtl/>
        </w:rPr>
        <w:instrText xml:space="preserve"> PAGEREF pr_f_4876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 xml:space="preserve"> לעיל</w:t>
      </w:r>
      <w:r>
        <w:rPr>
          <w:sz w:val="20"/>
          <w:szCs w:val="20"/>
          <w:rtl/>
        </w:rPr>
        <w:t>.</w:t>
      </w:r>
    </w:p>
  </w:footnote>
  <w:footnote w:id="5201">
    <w:p w14:paraId="0334A6C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מלכים א ג, </w:t>
      </w:r>
      <w:proofErr w:type="spellStart"/>
      <w:r>
        <w:rPr>
          <w:sz w:val="20"/>
          <w:szCs w:val="20"/>
          <w:rtl/>
        </w:rPr>
        <w:t>טז</w:t>
      </w:r>
      <w:proofErr w:type="spellEnd"/>
      <w:r>
        <w:rPr>
          <w:sz w:val="20"/>
          <w:szCs w:val="20"/>
          <w:rtl/>
        </w:rPr>
        <w:t>–</w:t>
      </w:r>
      <w:proofErr w:type="spellStart"/>
      <w:r>
        <w:rPr>
          <w:sz w:val="20"/>
          <w:szCs w:val="20"/>
          <w:rtl/>
        </w:rPr>
        <w:t>כז</w:t>
      </w:r>
      <w:proofErr w:type="spellEnd"/>
      <w:r>
        <w:rPr>
          <w:sz w:val="20"/>
          <w:szCs w:val="20"/>
          <w:rtl/>
        </w:rPr>
        <w:t>.</w:t>
      </w:r>
    </w:p>
  </w:footnote>
  <w:footnote w:id="5202">
    <w:p w14:paraId="15EF4DF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בבא </w:t>
      </w:r>
      <w:proofErr w:type="spellStart"/>
      <w:r>
        <w:rPr>
          <w:sz w:val="20"/>
          <w:szCs w:val="20"/>
          <w:rtl/>
        </w:rPr>
        <w:t>בתרא</w:t>
      </w:r>
      <w:proofErr w:type="spellEnd"/>
      <w:r>
        <w:rPr>
          <w:sz w:val="20"/>
          <w:szCs w:val="20"/>
          <w:rtl/>
        </w:rPr>
        <w:t xml:space="preserve"> ג ע״ב. העניין בסיפור שבמלכים הוא שהמלך הבין מה תהיה מחשבת בעלות הדין בתגובה לפקודתו ‘</w:t>
      </w:r>
      <w:proofErr w:type="spellStart"/>
      <w:r>
        <w:rPr>
          <w:sz w:val="20"/>
          <w:szCs w:val="20"/>
          <w:rtl/>
        </w:rPr>
        <w:t>גזורו</w:t>
      </w:r>
      <w:proofErr w:type="spellEnd"/>
      <w:r>
        <w:rPr>
          <w:sz w:val="20"/>
          <w:szCs w:val="20"/>
          <w:rtl/>
        </w:rPr>
        <w:t>’; אבי רק הוסיף ששלמה המלך היה צריך להיות בטוח לחלוטין שזו תהיה תגובתן לפני שהוציא את פסקו, שאין להשיבו.</w:t>
      </w:r>
    </w:p>
    <w:p w14:paraId="188F4B50" w14:textId="77777777" w:rsidR="00AB3647" w:rsidRDefault="00000000">
      <w:pPr>
        <w:spacing w:after="0" w:before="0"/>
        <w:jc w:val="both"/>
      </w:pPr>
      <w:r>
        <w:rPr>
          <w:sz w:val="20"/>
          <w:szCs w:val="20"/>
          <w:rtl/>
        </w:rPr>
        <w:t>השווה גם “מושב זקנים”, סוף פרשת מקץ: כשהכריז שלמה המלך ‘</w:t>
      </w:r>
      <w:proofErr w:type="spellStart"/>
      <w:r>
        <w:rPr>
          <w:sz w:val="20"/>
          <w:szCs w:val="20"/>
          <w:rtl/>
        </w:rPr>
        <w:t>גזורו</w:t>
      </w:r>
      <w:proofErr w:type="spellEnd"/>
      <w:r>
        <w:rPr>
          <w:sz w:val="20"/>
          <w:szCs w:val="20"/>
          <w:rtl/>
        </w:rPr>
        <w:t xml:space="preserve">’, התנגדו הסנהדרין להוצאה להורג שציווה עליה, והמלך אמר: ‘אני יודע </w:t>
      </w:r>
      <w:proofErr w:type="spellStart"/>
      <w:r>
        <w:rPr>
          <w:sz w:val="20"/>
          <w:szCs w:val="20"/>
          <w:rtl/>
        </w:rPr>
        <w:t>בחכמתי</w:t>
      </w:r>
      <w:proofErr w:type="spellEnd"/>
      <w:r>
        <w:rPr>
          <w:sz w:val="20"/>
          <w:szCs w:val="20"/>
          <w:rtl/>
        </w:rPr>
        <w:t xml:space="preserve"> לחלקה ששני החצאים (יהיו) [יחיו]’. אפשר לפרש את תשובת המלך שידע בדיוק מה תהיה תגובת בעלות הדין, ושההריגה לא תתקיים לעולם, כפי שהסביר רבנו.</w:t>
      </w:r>
    </w:p>
    <w:p w14:paraId="4C48FE39" w14:textId="77777777" w:rsidR="00AB3647" w:rsidRDefault="00000000">
      <w:pPr>
        <w:spacing w:after="0" w:before="0"/>
        <w:jc w:val="both"/>
      </w:pPr>
      <w:r>
        <w:rPr>
          <w:sz w:val="20"/>
          <w:szCs w:val="20"/>
          <w:rtl/>
        </w:rPr>
        <w:t xml:space="preserve">“ילקוט שמעוני” במלכים שם מביא את המלך מסביר שהאיברים הכפולים נבראו כדי שיהיה אפשר לחלקם לשניים. הילקוט מצטט אחר כך תנא שאמר: ‘אלו הייתי שם פקרין הייתי נותן על </w:t>
      </w:r>
      <w:proofErr w:type="spellStart"/>
      <w:r>
        <w:rPr>
          <w:sz w:val="20"/>
          <w:szCs w:val="20"/>
          <w:rtl/>
        </w:rPr>
        <w:t>צוארו</w:t>
      </w:r>
      <w:proofErr w:type="spellEnd"/>
      <w:r>
        <w:rPr>
          <w:sz w:val="20"/>
          <w:szCs w:val="20"/>
          <w:rtl/>
        </w:rPr>
        <w:t xml:space="preserve"> של שלמה’ [והיה חייב כמכשף – אם לא כרוצח]. ובסוף מביא הילקוט שכאשר אמר המלך ‘</w:t>
      </w:r>
      <w:proofErr w:type="spellStart"/>
      <w:r>
        <w:rPr>
          <w:sz w:val="20"/>
          <w:szCs w:val="20"/>
          <w:rtl/>
        </w:rPr>
        <w:t>גזורו</w:t>
      </w:r>
      <w:proofErr w:type="spellEnd"/>
      <w:r>
        <w:rPr>
          <w:sz w:val="20"/>
          <w:szCs w:val="20"/>
          <w:rtl/>
        </w:rPr>
        <w:t xml:space="preserve">’, ראו בו יועצי המלך – כלומר, הסנהדרין – מי שאינו ראוי למלוך עליהם, והחילו עליו את המחצית הראשונה של קהלת י, </w:t>
      </w:r>
      <w:proofErr w:type="spellStart"/>
      <w:r>
        <w:rPr>
          <w:sz w:val="20"/>
          <w:szCs w:val="20"/>
          <w:rtl/>
        </w:rPr>
        <w:t>טז</w:t>
      </w:r>
      <w:proofErr w:type="spellEnd"/>
      <w:r>
        <w:rPr>
          <w:sz w:val="20"/>
          <w:szCs w:val="20"/>
          <w:rtl/>
        </w:rPr>
        <w:t xml:space="preserve">; וכאשר דיברה האם וראו את התוצאה, החילו את המחצית הראשונה של הפסוק הבא, קהלת י, </w:t>
      </w:r>
      <w:proofErr w:type="spellStart"/>
      <w:r>
        <w:rPr>
          <w:sz w:val="20"/>
          <w:szCs w:val="20"/>
          <w:rtl/>
        </w:rPr>
        <w:t>יז</w:t>
      </w:r>
      <w:proofErr w:type="spellEnd"/>
      <w:r>
        <w:rPr>
          <w:sz w:val="20"/>
          <w:szCs w:val="20"/>
          <w:rtl/>
        </w:rPr>
        <w:t>. דרכם של חז״ל מסייעת לרבנו לראות את צו המלך לא כאיום ריק, אלא כהוראה מחייבת – אילו עמדו בעלות הדין על שלהן.</w:t>
      </w:r>
    </w:p>
  </w:footnote>
  <w:footnote w:id="5203">
    <w:p w14:paraId="274DB97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4, הפסקה השלישית של נספח ו.</w:t>
      </w:r>
    </w:p>
  </w:footnote>
  <w:footnote w:id="5204">
    <w:p w14:paraId="6BD094C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הציטוט </w:t>
      </w:r>
      <w:proofErr w:type="spellStart"/>
      <w:r>
        <w:rPr>
          <w:sz w:val="20"/>
          <w:szCs w:val="20"/>
          <w:rtl/>
        </w:rPr>
        <w:t>מ“חידושי</w:t>
      </w:r>
      <w:proofErr w:type="spellEnd"/>
      <w:r>
        <w:rPr>
          <w:sz w:val="20"/>
          <w:szCs w:val="20"/>
          <w:rtl/>
        </w:rPr>
        <w:t xml:space="preserve"> רבנו חיים הלוי” המובא בפרק 3, נספח לא, וסוף נספח ט בפרק 3, על כך שההולכים בדרכו של ר׳ חיים ראו בתורתו את האמת המוחלטת. השווה גם נוסח מצבת ר׳ חיים, המצוטט בפסקה התשיעית להלן, שבו הדגישו מחבריו את ‘הבנת התורה לאמיתה’.</w:t>
      </w:r>
    </w:p>
  </w:footnote>
  <w:footnote w:id="5205">
    <w:p w14:paraId="3BE9210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תחילת נספח א לעיל – עמ׳ 365.</w:t>
      </w:r>
    </w:p>
  </w:footnote>
  <w:footnote w:id="5206">
    <w:p w14:paraId="79A548A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3, הפסקה השנייה של נספח </w:t>
      </w:r>
      <w:proofErr w:type="spellStart"/>
      <w:r>
        <w:rPr>
          <w:sz w:val="20"/>
          <w:szCs w:val="20"/>
          <w:rtl/>
        </w:rPr>
        <w:t>כט</w:t>
      </w:r>
      <w:proofErr w:type="spellEnd"/>
      <w:r>
        <w:rPr>
          <w:sz w:val="20"/>
          <w:szCs w:val="20"/>
          <w:rtl/>
        </w:rPr>
        <w:t>.</w:t>
      </w:r>
    </w:p>
  </w:footnote>
  <w:footnote w:id="5207">
    <w:p w14:paraId="54E2496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1, עמ׳ 214.</w:t>
      </w:r>
    </w:p>
  </w:footnote>
  <w:footnote w:id="5208">
    <w:p w14:paraId="0827AB2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מכון בית אהרן וישראל, ירושלים, תשנ״ב.</w:t>
      </w:r>
    </w:p>
  </w:footnote>
  <w:footnote w:id="5209">
    <w:p w14:paraId="72AC9E5E"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 xml:space="preserve">ר׳ יוסף־דב נתמנה לרב </w:t>
      </w:r>
      <w:proofErr w:type="spellStart"/>
      <w:r>
        <w:rPr>
          <w:sz w:val="20"/>
          <w:szCs w:val="20"/>
          <w:rtl/>
        </w:rPr>
        <w:t>בבריסק</w:t>
      </w:r>
      <w:proofErr w:type="spellEnd"/>
      <w:r>
        <w:rPr>
          <w:sz w:val="20"/>
          <w:szCs w:val="20"/>
          <w:rtl/>
        </w:rPr>
        <w:t xml:space="preserve"> רק </w:t>
      </w:r>
      <w:proofErr w:type="spellStart"/>
      <w:r>
        <w:rPr>
          <w:sz w:val="20"/>
          <w:szCs w:val="20"/>
          <w:rtl/>
        </w:rPr>
        <w:t>בתרל״ח</w:t>
      </w:r>
      <w:proofErr w:type="spellEnd"/>
      <w:r>
        <w:rPr>
          <w:sz w:val="20"/>
          <w:szCs w:val="20"/>
          <w:rtl/>
        </w:rPr>
        <w:t xml:space="preserve">; </w:t>
      </w:r>
      <w:proofErr w:type="spellStart"/>
      <w:r>
        <w:rPr>
          <w:sz w:val="20"/>
          <w:szCs w:val="20"/>
          <w:rtl/>
        </w:rPr>
        <w:t>בתרל״ד</w:t>
      </w:r>
      <w:proofErr w:type="spellEnd"/>
      <w:r>
        <w:rPr>
          <w:sz w:val="20"/>
          <w:szCs w:val="20"/>
          <w:rtl/>
        </w:rPr>
        <w:t xml:space="preserve"> עדיין כיהן </w:t>
      </w:r>
      <w:proofErr w:type="spellStart"/>
      <w:r>
        <w:rPr>
          <w:sz w:val="20"/>
          <w:szCs w:val="20"/>
          <w:rtl/>
        </w:rPr>
        <w:t>בסלוצק</w:t>
      </w:r>
      <w:proofErr w:type="spellEnd"/>
      <w:r>
        <w:rPr>
          <w:sz w:val="20"/>
          <w:szCs w:val="20"/>
          <w:rtl/>
        </w:rPr>
        <w:t xml:space="preserve"> (ומשם עבר לוורשה), כך שאביו של ר׳ חיים לא ישב אז </w:t>
      </w:r>
      <w:proofErr w:type="spellStart"/>
      <w:r>
        <w:rPr>
          <w:sz w:val="20"/>
          <w:szCs w:val="20"/>
          <w:rtl/>
        </w:rPr>
        <w:t>בבריסק</w:t>
      </w:r>
      <w:proofErr w:type="spellEnd"/>
      <w:r>
        <w:rPr>
          <w:sz w:val="20"/>
          <w:szCs w:val="20"/>
          <w:rtl/>
        </w:rPr>
        <w:t>.</w:t>
      </w:r>
    </w:p>
  </w:footnote>
  <w:footnote w:id="5210">
    <w:p w14:paraId="74DD8E6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ב־16 באוגוסט 1995.</w:t>
      </w:r>
    </w:p>
  </w:footnote>
  <w:footnote w:id="5211">
    <w:p w14:paraId="52723C5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76–78.</w:t>
      </w:r>
    </w:p>
  </w:footnote>
  <w:footnote w:id="5212">
    <w:p w14:paraId="0381220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ייתכן שהסיפור הקיצוני הזה, אף שנדפס, הוא הגזמה של סיפור אחר, ודאי מהימן, שסיפר לי ר׳ אליעזר אבנר ב־9 ביולי 1997 בשם חמותו. היא הייתה בתו של ר׳ שלום </w:t>
      </w:r>
      <w:proofErr w:type="spellStart"/>
      <w:r>
        <w:rPr>
          <w:sz w:val="20"/>
          <w:szCs w:val="20"/>
          <w:rtl/>
        </w:rPr>
        <w:t>קופצ׳ינסקי</w:t>
      </w:r>
      <w:proofErr w:type="spellEnd"/>
      <w:r>
        <w:rPr>
          <w:sz w:val="20"/>
          <w:szCs w:val="20"/>
          <w:rtl/>
        </w:rPr>
        <w:t>, בן דודה של אשת ר׳ חיים. משרתת יהודייה רווקה שעבדה בבית ר׳ חיים נכנסה להיריון, והוא הורה לרבנית שלא לפטר אותה, אלא לדאוג במיוחד לבריאותה כדי שלא תאבד את התינוק, ולסייע לה להינשא אחר כך.</w:t>
      </w:r>
    </w:p>
    <w:p w14:paraId="0C044E21" w14:textId="77777777" w:rsidR="00AB3647" w:rsidRDefault="00000000">
      <w:pPr>
        <w:spacing w:after="0" w:before="0"/>
        <w:jc w:val="both"/>
      </w:pPr>
      <w:r>
        <w:rPr>
          <w:sz w:val="20"/>
          <w:szCs w:val="20"/>
          <w:rtl/>
        </w:rPr>
        <w:t>אולם השווה “</w:t>
      </w:r>
      <w:proofErr w:type="spellStart"/>
      <w:r>
        <w:rPr>
          <w:sz w:val="20"/>
          <w:szCs w:val="20"/>
          <w:rtl/>
        </w:rPr>
        <w:t>ארחות</w:t>
      </w:r>
      <w:proofErr w:type="spellEnd"/>
      <w:r>
        <w:rPr>
          <w:sz w:val="20"/>
          <w:szCs w:val="20"/>
          <w:rtl/>
        </w:rPr>
        <w:t xml:space="preserve"> חסידיך” (הפסקה הראשונה של נספח ב לעיל), עמ׳ 116–117, המספר בשם ר׳ יצחק־זאב </w:t>
      </w:r>
      <w:proofErr w:type="spellStart"/>
      <w:r>
        <w:rPr>
          <w:sz w:val="20"/>
          <w:szCs w:val="20"/>
          <w:rtl/>
        </w:rPr>
        <w:t>סולובייצ׳יק</w:t>
      </w:r>
      <w:proofErr w:type="spellEnd"/>
      <w:r>
        <w:rPr>
          <w:sz w:val="20"/>
          <w:szCs w:val="20"/>
          <w:rtl/>
        </w:rPr>
        <w:t xml:space="preserve"> את הסיפור כפי שהוא מובא </w:t>
      </w:r>
      <w:proofErr w:type="spellStart"/>
      <w:r>
        <w:rPr>
          <w:sz w:val="20"/>
          <w:szCs w:val="20"/>
          <w:rtl/>
        </w:rPr>
        <w:t>ב“אישים</w:t>
      </w:r>
      <w:proofErr w:type="spellEnd"/>
      <w:r>
        <w:rPr>
          <w:sz w:val="20"/>
          <w:szCs w:val="20"/>
          <w:rtl/>
        </w:rPr>
        <w:t xml:space="preserve"> ושיטות”: ר׳ חיים גבר על התנגדות הרבנית לקבל לביתם אישה זרה (ולא “להשאיר את המשרתת”), שבאה לשהות אצלם “יחד עם בנה הממזר”. אבל הוא אינו מסביר, כמו “אישים ושיטות”, מדוע קראה הרבנית לילד ממזר. ייתכן אפוא שיש כאן שני סיפורים על שתי נשים אומללות.</w:t>
      </w:r>
    </w:p>
  </w:footnote>
  <w:footnote w:id="5213">
    <w:p w14:paraId="1C35EFB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1, הערה 7.</w:t>
      </w:r>
    </w:p>
  </w:footnote>
  <w:footnote w:id="5214">
    <w:p w14:paraId="5C398A3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כמו במקרה של המשרתת, שצוטט מפי ר׳ אבנר בהערת שוליים </w:t>
      </w:r>
      <w:r>
        <w:rPr>
          <w:sz w:val="20"/>
          <w:szCs w:val="20"/>
          <w:rtl/>
        </w:rPr>
        <w:fldChar w:fldCharType="begin" w:dirty="true"/>
      </w:r>
      <w:r>
        <w:rPr>
          <w:sz w:val="20"/>
          <w:szCs w:val="20"/>
          <w:rtl/>
        </w:rPr>
        <w:instrText xml:space="preserve"> NOTEREF _fnr5198 \h </w:instrText>
      </w:r>
      <w:r>
        <w:rPr>
          <w:sz w:val="20"/>
          <w:szCs w:val="20"/>
          <w:rtl/>
        </w:rPr>
      </w:r>
      <w:r>
        <w:rPr>
          <w:sz w:val="20"/>
          <w:szCs w:val="20"/>
          <w:rtl/>
        </w:rPr>
        <w:fldChar w:fldCharType="separate"/>
      </w:r>
      <w:r w:rsidR="007923E9">
        <w:rPr>
          <w:sz w:val="20"/>
          <w:szCs w:val="20"/>
          <w:rtl/>
        </w:rPr>
        <w:t>728</w:t>
      </w:r>
      <w:r>
        <w:rPr>
          <w:sz w:val="20"/>
          <w:szCs w:val="20"/>
          <w:rtl/>
        </w:rPr>
        <w:fldChar w:fldCharType="end"/>
      </w:r>
      <w:r>
        <w:rPr>
          <w:sz w:val="20"/>
          <w:szCs w:val="20"/>
          <w:rtl/>
        </w:rPr>
        <w:t xml:space="preserve"> לעיל.</w:t>
      </w:r>
    </w:p>
  </w:footnote>
  <w:footnote w:id="5215">
    <w:p w14:paraId="2677E77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w:t>
      </w:r>
      <w:proofErr w:type="spellStart"/>
      <w:r>
        <w:rPr>
          <w:sz w:val="20"/>
          <w:szCs w:val="20"/>
          <w:rtl/>
        </w:rPr>
        <w:t>בילגורייא</w:t>
      </w:r>
      <w:proofErr w:type="spellEnd"/>
      <w:r>
        <w:rPr>
          <w:sz w:val="20"/>
          <w:szCs w:val="20"/>
          <w:rtl/>
        </w:rPr>
        <w:t>, תרפ״ה) – עמ׳ לו. זהו ספר הספדים על גדולי תורה שנפטרו בשנות מלחמת העולם הראשונה.</w:t>
      </w:r>
    </w:p>
  </w:footnote>
  <w:footnote w:id="5216">
    <w:p w14:paraId="60F7ED1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תיאור השתתפותו בצער האומללים תואם את תיאור אבי שושלת “בית הרב”, ר׳ חיים </w:t>
      </w:r>
      <w:proofErr w:type="spellStart"/>
      <w:r>
        <w:rPr>
          <w:sz w:val="20"/>
          <w:szCs w:val="20"/>
          <w:rtl/>
        </w:rPr>
        <w:t>מוולוז׳ין</w:t>
      </w:r>
      <w:proofErr w:type="spellEnd"/>
      <w:r>
        <w:rPr>
          <w:sz w:val="20"/>
          <w:szCs w:val="20"/>
          <w:rtl/>
        </w:rPr>
        <w:t>, בידי בנו בהקדמת “נפש החיים” – השווה הפסקה הפותחת “וגדולה ענוה”.</w:t>
      </w:r>
    </w:p>
  </w:footnote>
  <w:footnote w:id="5217">
    <w:p w14:paraId="224F66E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11 בדצמבר 1996.</w:t>
      </w:r>
    </w:p>
  </w:footnote>
  <w:footnote w:id="5218">
    <w:p w14:paraId="5B2C1DD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נראה שר׳ חיים נמנע מלתת לבן שיחו תשובה אמיתית לשאלתו (דחהו בקש, חולין </w:t>
      </w:r>
      <w:proofErr w:type="spellStart"/>
      <w:r>
        <w:rPr>
          <w:sz w:val="20"/>
          <w:szCs w:val="20"/>
          <w:rtl/>
        </w:rPr>
        <w:t>כז</w:t>
      </w:r>
      <w:proofErr w:type="spellEnd"/>
      <w:r>
        <w:rPr>
          <w:sz w:val="20"/>
          <w:szCs w:val="20"/>
          <w:rtl/>
        </w:rPr>
        <w:t xml:space="preserve"> ע״ב). או שסבר שחובתו כרב לעסוק בצדקה, ולכן אינו רשאי ליטול מזמנו ללימוד; או שמצא לכך די זמן תוך כדי עשיית החסדים – ראה להלן, בשם ר׳ יצחק־זאב, שמחשבתו של ר׳ חיים הייתה נתונה לתורה גם בשיחות חולין. מסתבר שסבר שאורחו הגרמני לא יבין אף אחד משני ההסברים.</w:t>
      </w:r>
    </w:p>
  </w:footnote>
  <w:footnote w:id="5219">
    <w:p w14:paraId="46826E9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42.</w:t>
      </w:r>
    </w:p>
  </w:footnote>
  <w:footnote w:id="5220">
    <w:p w14:paraId="14DA7A3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כמבואר שם, עמ׳ 43.</w:t>
      </w:r>
    </w:p>
  </w:footnote>
  <w:footnote w:id="5221">
    <w:p w14:paraId="1C90640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28 בנובמבר 1995.</w:t>
      </w:r>
    </w:p>
  </w:footnote>
  <w:footnote w:id="5222">
    <w:p w14:paraId="6A595F2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ב“הרב</w:t>
      </w:r>
      <w:proofErr w:type="spellEnd"/>
      <w:r>
        <w:rPr>
          <w:sz w:val="20"/>
          <w:szCs w:val="20"/>
          <w:rtl/>
        </w:rPr>
        <w:t xml:space="preserve">”, כרך ב, עמ׳ 41, מצוטט ר׳ </w:t>
      </w:r>
      <w:proofErr w:type="spellStart"/>
      <w:r>
        <w:rPr>
          <w:sz w:val="20"/>
          <w:szCs w:val="20"/>
          <w:rtl/>
        </w:rPr>
        <w:t xml:space="preserve">יוסף־דב</w:t>
      </w:r>
      <w:proofErr w:type="spellEnd"/>
      <w:r>
        <w:rPr>
          <w:sz w:val="20"/>
          <w:szCs w:val="20"/>
          <w:rtl/>
        </w:rPr>
        <w:t xml:space="preserve"> כשהוא מספר את הסיפור בגרסה מפליאה עוד יותר מזו שכאן – עד כדי כך שהיה עליו להקדים ולומר: “זה סיפור אמיתי”.</w:t>
      </w:r>
    </w:p>
    <w:p w14:paraId="01A3CDAF" w14:textId="77777777" w:rsidR="00AB3647" w:rsidRDefault="00000000">
      <w:pPr>
        <w:spacing w:after="0" w:before="0"/>
        <w:jc w:val="both"/>
      </w:pPr>
      <w:r>
        <w:rPr>
          <w:sz w:val="20"/>
          <w:szCs w:val="20"/>
          <w:rtl/>
        </w:rPr>
        <w:t xml:space="preserve">לדבריו, פעם יצא ר׳ חיים מביתו ומצא חבורת ילדים שהמתינו לו. הם אמרו שהם רוצים לשחק </w:t>
      </w:r>
      <w:proofErr w:type="spellStart"/>
      <w:r>
        <w:rPr>
          <w:sz w:val="20"/>
          <w:szCs w:val="20"/>
          <w:rtl/>
        </w:rPr>
        <w:t>ב“סוסים</w:t>
      </w:r>
      <w:proofErr w:type="spellEnd"/>
      <w:r>
        <w:rPr>
          <w:sz w:val="20"/>
          <w:szCs w:val="20"/>
          <w:rtl/>
        </w:rPr>
        <w:t xml:space="preserve">”, אבל איש מהם אינו רוצה להיות הסוס; כולם רוצים להיות העגלונים או הנוסעים. ר׳ חיים התנדב מיד להיות הסוס, והם קשרו אותו בחבלים. (אין ספק שמחשבתו הייתה נתונה לסוגיה של תורה בשעה </w:t>
      </w:r>
      <w:proofErr w:type="spellStart"/>
      <w:r>
        <w:rPr>
          <w:sz w:val="20"/>
          <w:szCs w:val="20"/>
          <w:rtl/>
        </w:rPr>
        <w:t>ש“רכבו</w:t>
      </w:r>
      <w:proofErr w:type="spellEnd"/>
      <w:r>
        <w:rPr>
          <w:sz w:val="20"/>
          <w:szCs w:val="20"/>
          <w:rtl/>
        </w:rPr>
        <w:t xml:space="preserve">” עליו, כפי שיתואר להלן, עמ׳ </w:t>
      </w:r>
      <w:r>
        <w:rPr>
          <w:sz w:val="20"/>
          <w:szCs w:val="20"/>
          <w:rtl/>
        </w:rPr>
        <w:fldChar w:fldCharType="begin" w:dirty="true"/>
      </w:r>
      <w:r>
        <w:rPr>
          <w:sz w:val="20"/>
          <w:szCs w:val="20"/>
          <w:rtl/>
        </w:rPr>
        <w:instrText xml:space="preserve"> PAGEREF pr_b_2800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כשהילדים התעייפו ורעבו, קשרו את ר׳ חיים לעץ בכמה קשרים חזקים והלכו הביתה לאכול. כל זה התרחש מול בית הכנסת. כשיצא הגבאי וסיפר לו הרב מה אירע, ביקש להביא סכין ולחתוך את החבלים. אבל ר׳ חיים לא הניח לו, שמא יתאכזבו הילדים, ובמקום זאת הורה לגבאי להביא את הילדים שיתירו אותו.</w:t>
      </w:r>
    </w:p>
  </w:footnote>
  <w:footnote w:id="5223">
    <w:p w14:paraId="041671B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4, הפסקה השנייה של נספח כ.</w:t>
      </w:r>
    </w:p>
  </w:footnote>
  <w:footnote w:id="5224">
    <w:p w14:paraId="6C163E3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השווה גם פרק 3, הפסקה החמישית של נספח </w:t>
      </w:r>
      <w:proofErr w:type="spellStart"/>
      <w:r>
        <w:rPr>
          <w:rStyle w:val="a5"/>
          <w:sz w:val="20"/>
          <w:szCs w:val="20"/>
          <w:vertAlign w:val="baseline"/>
          <w:rtl/>
        </w:rPr>
        <w:t>יח</w:t>
      </w:r>
      <w:proofErr w:type="spellEnd"/>
      <w:r>
        <w:rPr>
          <w:rStyle w:val="a5"/>
          <w:sz w:val="20"/>
          <w:szCs w:val="20"/>
          <w:vertAlign w:val="baseline"/>
          <w:rtl/>
        </w:rPr>
        <w:t xml:space="preserve"> (עמ׳ </w:t>
      </w:r>
      <w:r>
        <w:rPr>
          <w:rStyle w:val="a5"/>
          <w:sz w:val="20"/>
          <w:szCs w:val="20"/>
          <w:vertAlign w:val="baseline"/>
          <w:rtl/>
        </w:rPr>
        <w:fldChar w:fldCharType="begin" w:dirty="true"/>
      </w:r>
      <w:r>
        <w:rPr>
          <w:rStyle w:val="a5"/>
          <w:sz w:val="20"/>
          <w:szCs w:val="20"/>
          <w:vertAlign w:val="baseline"/>
          <w:rtl/>
        </w:rPr>
        <w:instrText xml:space="preserve"> PAGEREF pr_b_1352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 על יחסו של ר׳ חיים לשמשו.</w:t>
      </w:r>
    </w:p>
  </w:footnote>
  <w:footnote w:id="5225">
    <w:p w14:paraId="2C5DD88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ההפניה למכתב שבאגרות ר׳ </w:t>
      </w:r>
      <w:proofErr w:type="spellStart"/>
      <w:r>
        <w:rPr>
          <w:sz w:val="20"/>
          <w:szCs w:val="20"/>
          <w:rtl/>
        </w:rPr>
        <w:t>יצחק־אייזיק</w:t>
      </w:r>
      <w:proofErr w:type="spellEnd"/>
      <w:r>
        <w:rPr>
          <w:sz w:val="20"/>
          <w:szCs w:val="20"/>
          <w:rtl/>
        </w:rPr>
        <w:t xml:space="preserve"> הלוי בפרק 3, נספח </w:t>
      </w:r>
      <w:proofErr w:type="spellStart"/>
      <w:r>
        <w:rPr>
          <w:sz w:val="20"/>
          <w:szCs w:val="20"/>
          <w:rtl/>
        </w:rPr>
        <w:t>יב</w:t>
      </w:r>
      <w:proofErr w:type="spellEnd"/>
      <w:r>
        <w:rPr>
          <w:sz w:val="20"/>
          <w:szCs w:val="20"/>
          <w:rtl/>
        </w:rPr>
        <w:t>. הקטע המצוטט שם מדגיש את הקושי להשפיע על ר׳ חיים באמצעות אישים רבניים.</w:t>
      </w:r>
    </w:p>
  </w:footnote>
  <w:footnote w:id="5226">
    <w:p w14:paraId="27484FB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ברור שמכתבו של ר׳ יעקב, הנושא את התאריך ד׳ באדר תרס״ט, מתייחס לאספה המתוכננת שהתקיימה בקיץ שלאחר מכן בבית הלוי </w:t>
      </w:r>
      <w:proofErr w:type="spellStart"/>
      <w:r>
        <w:rPr>
          <w:sz w:val="20"/>
          <w:szCs w:val="20"/>
          <w:rtl/>
        </w:rPr>
        <w:t>בבאד</w:t>
      </w:r>
      <w:proofErr w:type="spellEnd"/>
      <w:r>
        <w:rPr>
          <w:sz w:val="20"/>
          <w:szCs w:val="20"/>
          <w:rtl/>
        </w:rPr>
        <w:t xml:space="preserve"> </w:t>
      </w:r>
      <w:proofErr w:type="spellStart"/>
      <w:r>
        <w:rPr>
          <w:sz w:val="20"/>
          <w:szCs w:val="20"/>
          <w:rtl/>
        </w:rPr>
        <w:t>הומבורג</w:t>
      </w:r>
      <w:proofErr w:type="spellEnd"/>
      <w:r>
        <w:rPr>
          <w:sz w:val="20"/>
          <w:szCs w:val="20"/>
          <w:rtl/>
        </w:rPr>
        <w:t xml:space="preserve"> שליד פרנקפורט. אל יתפלא הקורא על הנימה המתנשאת במכתבו של הלוי; </w:t>
      </w:r>
      <w:proofErr w:type="spellStart"/>
      <w:r>
        <w:rPr>
          <w:sz w:val="20"/>
          <w:szCs w:val="20"/>
          <w:rtl/>
        </w:rPr>
        <w:t>רוזנהיים</w:t>
      </w:r>
      <w:proofErr w:type="spellEnd"/>
      <w:r>
        <w:rPr>
          <w:sz w:val="20"/>
          <w:szCs w:val="20"/>
          <w:rtl/>
        </w:rPr>
        <w:t xml:space="preserve"> היה צעיר ממנו בעשרים ושלוש שנה.</w:t>
      </w:r>
    </w:p>
  </w:footnote>
  <w:footnote w:id="5227">
    <w:p w14:paraId="1C27F54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התאמתו לתאריך העברי שבהערת השוליים הקודמת, סטה תאריכו של ר׳ </w:t>
      </w:r>
      <w:proofErr w:type="spellStart"/>
      <w:r>
        <w:rPr>
          <w:sz w:val="20"/>
          <w:szCs w:val="20"/>
          <w:rtl/>
        </w:rPr>
        <w:t>יצחק־אייזיק</w:t>
      </w:r>
      <w:proofErr w:type="spellEnd"/>
      <w:r>
        <w:rPr>
          <w:sz w:val="20"/>
          <w:szCs w:val="20"/>
          <w:rtl/>
        </w:rPr>
        <w:t xml:space="preserve"> הלוי ביומיים.</w:t>
      </w:r>
    </w:p>
  </w:footnote>
  <w:footnote w:id="5228">
    <w:p w14:paraId="43FA7D8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גיטין נט ע״א, שם מתוארות תורה וגדולה כשתי מעלות ראויות לשבח.</w:t>
      </w:r>
    </w:p>
  </w:footnote>
  <w:footnote w:id="5229">
    <w:p w14:paraId="7BAEE68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א, עמ׳ 221–222.</w:t>
      </w:r>
    </w:p>
  </w:footnote>
  <w:footnote w:id="5230">
    <w:p w14:paraId="7FCFC41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“מוסף שבת קודש”, פרשת במדבר, תשנ״ז, עמ׳ 12, מאמר מאת הרב צבי </w:t>
      </w:r>
      <w:proofErr w:type="spellStart"/>
      <w:r>
        <w:rPr>
          <w:sz w:val="20"/>
          <w:szCs w:val="20"/>
          <w:rtl/>
        </w:rPr>
        <w:t>יברוב</w:t>
      </w:r>
      <w:proofErr w:type="spellEnd"/>
      <w:r>
        <w:rPr>
          <w:sz w:val="20"/>
          <w:szCs w:val="20"/>
          <w:rtl/>
        </w:rPr>
        <w:t>.</w:t>
      </w:r>
    </w:p>
  </w:footnote>
  <w:footnote w:id="5231">
    <w:p w14:paraId="60A316A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פרק 3, נספח לב.</w:t>
      </w:r>
    </w:p>
  </w:footnote>
  <w:footnote w:id="5232">
    <w:p w14:paraId="6BA8CC3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מפי ר׳ עזרא </w:t>
      </w:r>
      <w:proofErr w:type="spellStart"/>
      <w:r>
        <w:rPr>
          <w:sz w:val="20"/>
          <w:szCs w:val="20"/>
          <w:rtl/>
        </w:rPr>
        <w:t>נויבערגר</w:t>
      </w:r>
      <w:proofErr w:type="spellEnd"/>
      <w:r>
        <w:rPr>
          <w:sz w:val="20"/>
          <w:szCs w:val="20"/>
          <w:rtl/>
        </w:rPr>
        <w:t xml:space="preserve"> (פרק 1, הערה 32).</w:t>
      </w:r>
    </w:p>
  </w:footnote>
  <w:footnote w:id="5233">
    <w:p w14:paraId="45AF927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18 באפריל 1995.</w:t>
      </w:r>
    </w:p>
  </w:footnote>
  <w:footnote w:id="5234">
    <w:p w14:paraId="7B924DC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גם הפסקה העשירית של נספח זה, הקושרת בין חסדו של ר׳ חיים לבין הצלחתו לכבוש את עולם הישיבות בשיטת לימודו המיוחדת. קיימת אפשרות רחוקה שבעיני ר׳ חיים רמזו שלוש המילים שציווה לכתוב גם לכך.</w:t>
      </w:r>
    </w:p>
  </w:footnote>
  <w:footnote w:id="5235">
    <w:p w14:paraId="36BE7268" w14:textId="77777777" w:rsidR="00AB3647" w:rsidRDefault="00000000">
      <w:pPr>
        <w:spacing w:after="0" w:before="0"/>
        <w:jc w:val="both"/>
      </w:pPr>
      <w:r>
        <w:rPr>
          <w:rStyle w:val="a5"/>
          <w:sz w:val="18"/>
          <w:szCs w:val="18"/>
          <w:vertAlign w:val="baseline"/>
        </w:rPr>
        <w:footnoteRef/>
      </w:r>
      <w:r>
        <w:rPr>
          <w:rStyle w:val="a5"/>
          <w:sz w:val="18"/>
          <w:szCs w:val="18"/>
          <w:vertAlign w:val="baseline"/>
          <w:rtl/>
        </w:rPr>
        <w:t xml:space="preserve">. </w:t>
      </w:r>
      <w:r>
        <w:rPr>
          <w:sz w:val="18"/>
          <w:szCs w:val="18"/>
          <w:rtl/>
        </w:rPr>
        <w:t>השווה גם שו״ת “חיים שאל”, סי׳ עד אות ו, המצוטט בפסקה הראשונה של נספח ה בפרק 3.</w:t>
      </w:r>
    </w:p>
  </w:footnote>
  <w:footnote w:id="5236">
    <w:p w14:paraId="4337D2B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בעזרת הנוסח הרצוף שמסר ר׳ </w:t>
      </w:r>
      <w:proofErr w:type="spellStart"/>
      <w:r>
        <w:rPr>
          <w:sz w:val="20"/>
          <w:szCs w:val="20"/>
          <w:rtl/>
        </w:rPr>
        <w:t>משולם־דוד</w:t>
      </w:r>
      <w:proofErr w:type="spellEnd"/>
      <w:r>
        <w:rPr>
          <w:sz w:val="20"/>
          <w:szCs w:val="20"/>
          <w:rtl/>
        </w:rPr>
        <w:t xml:space="preserve"> </w:t>
      </w:r>
      <w:proofErr w:type="spellStart"/>
      <w:r>
        <w:rPr>
          <w:sz w:val="20"/>
          <w:szCs w:val="20"/>
          <w:rtl/>
        </w:rPr>
        <w:t>סולובייצ׳יק</w:t>
      </w:r>
      <w:proofErr w:type="spellEnd"/>
      <w:r>
        <w:rPr>
          <w:sz w:val="20"/>
          <w:szCs w:val="20"/>
          <w:rtl/>
        </w:rPr>
        <w:t xml:space="preserve"> הצלחתי לשחזר, מתוך תצלום בלתי קריא של המצבה שצולם אחרי מלחמת העולם השנייה, את החלוקה המדויקת לשורות של נוסח המצבה – מלבד שלוש השורות הראשונות, ששוחזרו על פי השערה. המצבה המקורית נופצה בשואה, אבל חלקיה חוברו והיא הוחזרה על הקבר.</w:t>
      </w:r>
    </w:p>
  </w:footnote>
  <w:footnote w:id="5237">
    <w:p w14:paraId="4F9C065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להלן בעניין תרגומן המדויק של המילים “רב החסד”.</w:t>
      </w:r>
    </w:p>
  </w:footnote>
  <w:footnote w:id="5238">
    <w:p w14:paraId="2FABBF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הערת שוליים </w:t>
      </w:r>
      <w:r>
        <w:rPr>
          <w:rStyle w:val="a5"/>
          <w:sz w:val="20"/>
          <w:szCs w:val="20"/>
          <w:vertAlign w:val="baseline"/>
          <w:rtl/>
        </w:rPr>
        <w:fldChar w:fldCharType="begin" w:dirty="true"/>
      </w:r>
      <w:r>
        <w:rPr>
          <w:rStyle w:val="a5"/>
          <w:sz w:val="20"/>
          <w:szCs w:val="20"/>
          <w:vertAlign w:val="baseline"/>
          <w:rtl/>
        </w:rPr>
        <w:instrText xml:space="preserve"> NOTEREF pr_f_4984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638</w:t>
      </w:r>
      <w:r>
        <w:rPr>
          <w:rStyle w:val="a5"/>
          <w:sz w:val="20"/>
          <w:szCs w:val="20"/>
          <w:vertAlign w:val="baseline"/>
          <w:rtl/>
        </w:rPr>
        <w:fldChar w:fldCharType="end"/>
      </w:r>
      <w:r>
        <w:rPr>
          <w:rStyle w:val="a5"/>
          <w:sz w:val="20"/>
          <w:szCs w:val="20"/>
          <w:vertAlign w:val="baseline"/>
          <w:rtl/>
        </w:rPr>
        <w:t xml:space="preserve">, עמ׳ </w:t>
      </w:r>
      <w:r>
        <w:rPr>
          <w:rStyle w:val="a5"/>
          <w:sz w:val="20"/>
          <w:szCs w:val="20"/>
          <w:vertAlign w:val="baseline"/>
          <w:rtl/>
        </w:rPr>
        <w:fldChar w:fldCharType="begin" w:dirty="true"/>
      </w:r>
      <w:r>
        <w:rPr>
          <w:rStyle w:val="a5"/>
          <w:sz w:val="20"/>
          <w:szCs w:val="20"/>
          <w:vertAlign w:val="baseline"/>
          <w:rtl/>
        </w:rPr>
        <w:instrText xml:space="preserve"> PAGEREF pr_f_4984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rStyle w:val="a5"/>
          <w:sz w:val="20"/>
          <w:szCs w:val="20"/>
          <w:vertAlign w:val="baseline"/>
          <w:rtl/>
        </w:rPr>
        <w:t>, בעניין משמעות המילים “כמו שהם”</w:t>
      </w:r>
      <w:r>
        <w:rPr>
          <w:sz w:val="20"/>
          <w:szCs w:val="20"/>
          <w:rtl/>
        </w:rPr>
        <w:t>.</w:t>
      </w:r>
    </w:p>
  </w:footnote>
  <w:footnote w:id="5239">
    <w:p w14:paraId="6AE8E10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בראשית </w:t>
      </w:r>
      <w:proofErr w:type="spellStart"/>
      <w:r>
        <w:rPr>
          <w:sz w:val="20"/>
          <w:szCs w:val="20"/>
          <w:rtl/>
        </w:rPr>
        <w:t>כח</w:t>
      </w:r>
      <w:proofErr w:type="spellEnd"/>
      <w:r>
        <w:rPr>
          <w:sz w:val="20"/>
          <w:szCs w:val="20"/>
          <w:rtl/>
        </w:rPr>
        <w:t>, יא.</w:t>
      </w:r>
    </w:p>
  </w:footnote>
  <w:footnote w:id="5240">
    <w:p w14:paraId="030E8C9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“ר׳ </w:t>
      </w:r>
      <w:proofErr w:type="spellStart"/>
      <w:r>
        <w:rPr>
          <w:sz w:val="20"/>
          <w:szCs w:val="20"/>
          <w:rtl/>
        </w:rPr>
        <w:t>זונדל</w:t>
      </w:r>
      <w:proofErr w:type="spellEnd"/>
      <w:r>
        <w:rPr>
          <w:sz w:val="20"/>
          <w:szCs w:val="20"/>
          <w:rtl/>
        </w:rPr>
        <w:t xml:space="preserve">” (פרק 3, נספח ב לעיל), הערת שוליים ב בעמ׳ </w:t>
      </w:r>
      <w:proofErr w:type="spellStart"/>
      <w:r>
        <w:rPr>
          <w:sz w:val="20"/>
          <w:szCs w:val="20"/>
          <w:rtl/>
        </w:rPr>
        <w:t>כא</w:t>
      </w:r>
      <w:proofErr w:type="spellEnd"/>
      <w:r>
        <w:rPr>
          <w:sz w:val="20"/>
          <w:szCs w:val="20"/>
          <w:rtl/>
        </w:rPr>
        <w:t>.</w:t>
      </w:r>
    </w:p>
  </w:footnote>
  <w:footnote w:id="5241">
    <w:p w14:paraId="603325E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כפי שהיא קודמת בשלושת הדברים המנויים בראש מסכת אבות, שעליהם העולם עומד: תורה, עבודה וגמילות חסדים.</w:t>
      </w:r>
    </w:p>
  </w:footnote>
  <w:footnote w:id="5242">
    <w:p w14:paraId="25414A7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ב, עמ׳ 49.</w:t>
      </w:r>
    </w:p>
  </w:footnote>
  <w:footnote w:id="5243">
    <w:p w14:paraId="54D1746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“הרב”, כרך א, עמ׳ 194, שם מצוטט ר׳ </w:t>
      </w:r>
      <w:proofErr w:type="spellStart"/>
      <w:r>
        <w:rPr>
          <w:sz w:val="20"/>
          <w:szCs w:val="20"/>
          <w:rtl/>
        </w:rPr>
        <w:t xml:space="preserve">יוסף־דב</w:t>
      </w:r>
      <w:proofErr w:type="spellEnd"/>
      <w:r>
        <w:rPr>
          <w:sz w:val="20"/>
          <w:szCs w:val="20"/>
          <w:rtl/>
        </w:rPr>
        <w:t xml:space="preserve"> בנוסח שונה במקצת: “אבי ודודי [ר׳ </w:t>
      </w:r>
      <w:proofErr w:type="spellStart"/>
      <w:r>
        <w:rPr>
          <w:sz w:val="20"/>
          <w:szCs w:val="20"/>
          <w:rtl/>
        </w:rPr>
        <w:t xml:space="preserve">וועלוול׳ה</w:t>
      </w:r>
      <w:proofErr w:type="spellEnd"/>
      <w:r>
        <w:rPr>
          <w:sz w:val="20"/>
          <w:szCs w:val="20"/>
          <w:rtl/>
        </w:rPr>
        <w:t xml:space="preserve">] עמדו על כך </w:t>
      </w:r>
      <w:proofErr w:type="spellStart"/>
      <w:r>
        <w:rPr>
          <w:sz w:val="20"/>
          <w:szCs w:val="20"/>
          <w:rtl/>
        </w:rPr>
        <w:t>ש‘רב</w:t>
      </w:r>
      <w:proofErr w:type="spellEnd"/>
      <w:r>
        <w:rPr>
          <w:sz w:val="20"/>
          <w:szCs w:val="20"/>
          <w:rtl/>
        </w:rPr>
        <w:t xml:space="preserve"> החסד’ ייחרת... בניגוד לרצונו של ר׳ חיים בצוואתו, שלא ייחרתו תארים על מצבתו”. כדי שלא תהיה סתירה בין הדברים האלה לבין מה שמסר ר׳ עזריה ברזון מפי ר׳ </w:t>
      </w:r>
      <w:proofErr w:type="spellStart"/>
      <w:r>
        <w:rPr>
          <w:sz w:val="20"/>
          <w:szCs w:val="20"/>
          <w:rtl/>
        </w:rPr>
        <w:t xml:space="preserve">יוסף־דב</w:t>
      </w:r>
      <w:proofErr w:type="spellEnd"/>
      <w:r>
        <w:rPr>
          <w:sz w:val="20"/>
          <w:szCs w:val="20"/>
          <w:rtl/>
        </w:rPr>
        <w:t xml:space="preserve"> על צוואת ר׳ חיים, יש לתקן את האמרה ולקרוא: “אבי ודודי עמדו על כך </w:t>
      </w:r>
      <w:proofErr w:type="spellStart"/>
      <w:r>
        <w:rPr>
          <w:sz w:val="20"/>
          <w:szCs w:val="20"/>
          <w:rtl/>
        </w:rPr>
        <w:t>ש‘רב</w:t>
      </w:r>
      <w:proofErr w:type="spellEnd"/>
      <w:r>
        <w:rPr>
          <w:sz w:val="20"/>
          <w:szCs w:val="20"/>
          <w:rtl/>
        </w:rPr>
        <w:t xml:space="preserve"> החסד’ יוקדם לשאר התארים שנחקקו... מפני רצונו של ר׳ חיים בצוואתו שלא ייחרתו על מצבתו תארים זולת זה”.</w:t>
      </w:r>
    </w:p>
  </w:footnote>
  <w:footnote w:id="5244">
    <w:p w14:paraId="026BFC8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בגיליון של השבועון היידי “</w:t>
      </w:r>
      <w:proofErr w:type="spellStart"/>
      <w:r>
        <w:rPr>
          <w:sz w:val="20"/>
          <w:szCs w:val="20"/>
          <w:rtl/>
        </w:rPr>
        <w:t>אלגעמיינער</w:t>
      </w:r>
      <w:proofErr w:type="spellEnd"/>
      <w:r>
        <w:rPr>
          <w:sz w:val="20"/>
          <w:szCs w:val="20"/>
          <w:rtl/>
        </w:rPr>
        <w:t xml:space="preserve"> </w:t>
      </w:r>
      <w:proofErr w:type="spellStart"/>
      <w:r>
        <w:rPr>
          <w:sz w:val="20"/>
          <w:szCs w:val="20"/>
          <w:rtl/>
        </w:rPr>
        <w:t>זשורנאל</w:t>
      </w:r>
      <w:proofErr w:type="spellEnd"/>
      <w:r>
        <w:rPr>
          <w:sz w:val="20"/>
          <w:szCs w:val="20"/>
          <w:rtl/>
        </w:rPr>
        <w:t>”, שתאריכו לא נרשם בידיי וגם ר׳ שאול רוט לא הצליח להיזכר בו.</w:t>
      </w:r>
    </w:p>
  </w:footnote>
  <w:footnote w:id="5245">
    <w:p w14:paraId="03C3576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כמשמעות רב (חסד) בי״ג מידותיו של הקב״ה (שמות לד, ו).</w:t>
      </w:r>
    </w:p>
  </w:footnote>
  <w:footnote w:id="5246">
    <w:p w14:paraId="77FBEEA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הפסקה שלפני האחרונה בהקדמת “חידושי רבנו חיים הלוי”, שבה מספרים בניו שר׳ חיים “נתן נפשו” לוודא </w:t>
      </w:r>
      <w:proofErr w:type="spellStart"/>
      <w:r>
        <w:rPr>
          <w:sz w:val="20"/>
          <w:szCs w:val="20"/>
          <w:rtl/>
        </w:rPr>
        <w:t>ש“כל</w:t>
      </w:r>
      <w:proofErr w:type="spellEnd"/>
      <w:r>
        <w:rPr>
          <w:sz w:val="20"/>
          <w:szCs w:val="20"/>
          <w:rtl/>
        </w:rPr>
        <w:t xml:space="preserve"> קוץ וקוץ” בכתב היד שהכין לדפוס יהיה “מבורר ומאומת ומדוקדק”.</w:t>
      </w:r>
    </w:p>
  </w:footnote>
  <w:footnote w:id="5247">
    <w:p w14:paraId="16FF089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4 באוקטובר 1993.</w:t>
      </w:r>
    </w:p>
  </w:footnote>
  <w:footnote w:id="5248">
    <w:p w14:paraId="50F8B57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w:t>
      </w:r>
      <w:proofErr w:type="spellStart"/>
      <w:r>
        <w:rPr>
          <w:sz w:val="20"/>
          <w:szCs w:val="20"/>
          <w:rtl/>
        </w:rPr>
        <w:t>או״ח</w:t>
      </w:r>
      <w:proofErr w:type="spellEnd"/>
      <w:r>
        <w:rPr>
          <w:sz w:val="20"/>
          <w:szCs w:val="20"/>
          <w:rtl/>
        </w:rPr>
        <w:t xml:space="preserve"> סי׳ שכח ס״ד, ובביאור הלכה ד״ה כל שרגילים. השווה גם עמ׳ </w:t>
      </w:r>
      <w:r>
        <w:rPr>
          <w:sz w:val="20"/>
          <w:szCs w:val="20"/>
          <w:rtl/>
        </w:rPr>
        <w:fldChar w:fldCharType="begin" w:dirty="true"/>
      </w:r>
      <w:r>
        <w:rPr>
          <w:sz w:val="20"/>
          <w:szCs w:val="20"/>
          <w:rtl/>
        </w:rPr>
        <w:instrText xml:space="preserve"> PAGEREF pr_f_4623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הערת שוליים </w:t>
      </w:r>
      <w:r>
        <w:rPr>
          <w:sz w:val="20"/>
          <w:szCs w:val="20"/>
          <w:rtl/>
        </w:rPr>
        <w:fldChar w:fldCharType="begin" w:dirty="true"/>
      </w:r>
      <w:r>
        <w:rPr>
          <w:sz w:val="20"/>
          <w:szCs w:val="20"/>
          <w:rtl/>
        </w:rPr>
        <w:instrText xml:space="preserve"> NOTEREF pr_f_4623 \h </w:instrText>
      </w:r>
      <w:r>
        <w:rPr>
          <w:sz w:val="20"/>
          <w:szCs w:val="20"/>
          <w:rtl/>
        </w:rPr>
      </w:r>
      <w:r>
        <w:rPr>
          <w:sz w:val="20"/>
          <w:szCs w:val="20"/>
          <w:rtl/>
        </w:rPr>
        <w:fldChar w:fldCharType="separate"/>
      </w:r>
      <w:r w:rsidR="007923E9">
        <w:rPr>
          <w:sz w:val="20"/>
          <w:szCs w:val="20"/>
          <w:rtl/>
        </w:rPr>
        <w:t>277</w:t>
      </w:r>
      <w:r>
        <w:rPr>
          <w:sz w:val="20"/>
          <w:szCs w:val="20"/>
          <w:rtl/>
        </w:rPr>
        <w:fldChar w:fldCharType="end"/>
      </w:r>
      <w:r>
        <w:rPr>
          <w:sz w:val="20"/>
          <w:szCs w:val="20"/>
          <w:rtl/>
        </w:rPr>
        <w:t xml:space="preserve">, בעניין </w:t>
      </w:r>
      <w:proofErr w:type="spellStart"/>
      <w:r>
        <w:rPr>
          <w:sz w:val="20"/>
          <w:szCs w:val="20"/>
          <w:rtl/>
        </w:rPr>
        <w:t>קולא</w:t>
      </w:r>
      <w:proofErr w:type="spellEnd"/>
      <w:r>
        <w:rPr>
          <w:sz w:val="20"/>
          <w:szCs w:val="20"/>
          <w:rtl/>
        </w:rPr>
        <w:t xml:space="preserve"> נוספת של ר׳ חיים במקרה של מחלה שיש בה סכנת חיים.</w:t>
      </w:r>
    </w:p>
  </w:footnote>
  <w:footnote w:id="5249">
    <w:p w14:paraId="7056435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4, הפסקה הראשונה של נספח ט – עמ׳ 673–674 ו־708–710.</w:t>
      </w:r>
    </w:p>
  </w:footnote>
  <w:footnote w:id="5250">
    <w:p w14:paraId="3862216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א, עמ׳ 229.</w:t>
      </w:r>
    </w:p>
  </w:footnote>
  <w:footnote w:id="5251">
    <w:p w14:paraId="27A8E45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מספר השנים הנקוב שם הוא “כשלושים, שלושים וחמש שנה”. מספר זה אינו נכון, וצריך להיות “עשרים, עשרים וחמש שנה”, שכן ר׳ חיים נעשה רב </w:t>
      </w:r>
      <w:proofErr w:type="spellStart"/>
      <w:r>
        <w:rPr>
          <w:sz w:val="20"/>
          <w:szCs w:val="20"/>
          <w:rtl/>
        </w:rPr>
        <w:t>בתרנ״ב</w:t>
      </w:r>
      <w:proofErr w:type="spellEnd"/>
      <w:r>
        <w:rPr>
          <w:sz w:val="20"/>
          <w:szCs w:val="20"/>
          <w:rtl/>
        </w:rPr>
        <w:t xml:space="preserve">, נשאר בעיר עשרים ושלוש שנה, עד שמלחמת העולם אילצה אותו לעבור למינסק, ונפטר כעבור שלוש עד ארבע שנים בלי ששב </w:t>
      </w:r>
      <w:proofErr w:type="spellStart"/>
      <w:r>
        <w:rPr>
          <w:sz w:val="20"/>
          <w:szCs w:val="20"/>
          <w:rtl/>
        </w:rPr>
        <w:t>לבריסק</w:t>
      </w:r>
      <w:proofErr w:type="spellEnd"/>
      <w:r>
        <w:rPr>
          <w:sz w:val="20"/>
          <w:szCs w:val="20"/>
          <w:rtl/>
        </w:rPr>
        <w:t xml:space="preserve">. גם אם נכלול בשנות </w:t>
      </w:r>
      <w:proofErr w:type="spellStart"/>
      <w:r>
        <w:rPr>
          <w:sz w:val="20"/>
          <w:szCs w:val="20"/>
          <w:rtl/>
        </w:rPr>
        <w:t>רבנותו</w:t>
      </w:r>
      <w:proofErr w:type="spellEnd"/>
      <w:r>
        <w:rPr>
          <w:sz w:val="20"/>
          <w:szCs w:val="20"/>
          <w:rtl/>
        </w:rPr>
        <w:t xml:space="preserve"> </w:t>
      </w:r>
      <w:proofErr w:type="spellStart"/>
      <w:r>
        <w:rPr>
          <w:sz w:val="20"/>
          <w:szCs w:val="20"/>
          <w:rtl/>
        </w:rPr>
        <w:t>בבריסק</w:t>
      </w:r>
      <w:proofErr w:type="spellEnd"/>
      <w:r>
        <w:rPr>
          <w:sz w:val="20"/>
          <w:szCs w:val="20"/>
          <w:rtl/>
        </w:rPr>
        <w:t xml:space="preserve"> את תקופת הגלות – ראה נספח ט להלן, שר׳ חיים ראה את עצמו אז עדיין כרבה של </w:t>
      </w:r>
      <w:proofErr w:type="spellStart"/>
      <w:r>
        <w:rPr>
          <w:sz w:val="20"/>
          <w:szCs w:val="20"/>
          <w:rtl/>
        </w:rPr>
        <w:t>בריסק</w:t>
      </w:r>
      <w:proofErr w:type="spellEnd"/>
      <w:r>
        <w:rPr>
          <w:sz w:val="20"/>
          <w:szCs w:val="20"/>
          <w:rtl/>
        </w:rPr>
        <w:t>, שעל בני קהילתה שגלו עמו למינסק לפרנסו – הסך הכול הוא עשרים ושש בלבד.</w:t>
      </w:r>
    </w:p>
  </w:footnote>
  <w:footnote w:id="5252">
    <w:p w14:paraId="154D52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השישית של נספח ב לעיל – עמ׳ שמח.</w:t>
      </w:r>
    </w:p>
  </w:footnote>
  <w:footnote w:id="5253">
    <w:p w14:paraId="526D35F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הוריות </w:t>
      </w:r>
      <w:proofErr w:type="spellStart"/>
      <w:r>
        <w:rPr>
          <w:sz w:val="20"/>
          <w:szCs w:val="20"/>
          <w:rtl/>
        </w:rPr>
        <w:t>יג</w:t>
      </w:r>
      <w:proofErr w:type="spellEnd"/>
      <w:r>
        <w:rPr>
          <w:sz w:val="20"/>
          <w:szCs w:val="20"/>
          <w:rtl/>
        </w:rPr>
        <w:t xml:space="preserve"> ע״א.</w:t>
      </w:r>
    </w:p>
  </w:footnote>
  <w:footnote w:id="5254">
    <w:p w14:paraId="42BD36B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707–708.</w:t>
      </w:r>
    </w:p>
  </w:footnote>
  <w:footnote w:id="5255">
    <w:p w14:paraId="6FE9552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43.</w:t>
      </w:r>
    </w:p>
  </w:footnote>
  <w:footnote w:id="5256">
    <w:p w14:paraId="6574ECB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11 בדצמבר 1996.</w:t>
      </w:r>
    </w:p>
  </w:footnote>
  <w:footnote w:id="5257">
    <w:p w14:paraId="51A94A9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כנראה נאמרו הדברים </w:t>
      </w:r>
      <w:proofErr w:type="spellStart"/>
      <w:r>
        <w:rPr>
          <w:sz w:val="20"/>
          <w:szCs w:val="20"/>
          <w:rtl/>
        </w:rPr>
        <w:t>לר</w:t>
      </w:r>
      <w:proofErr w:type="spellEnd"/>
      <w:r>
        <w:rPr>
          <w:sz w:val="20"/>
          <w:szCs w:val="20"/>
          <w:rtl/>
        </w:rPr>
        <w:t xml:space="preserve">׳ משה כשהתמנה לרבה של </w:t>
      </w:r>
      <w:proofErr w:type="spellStart"/>
      <w:r>
        <w:rPr>
          <w:sz w:val="20"/>
          <w:szCs w:val="20"/>
          <w:rtl/>
        </w:rPr>
        <w:t>ראסיין</w:t>
      </w:r>
      <w:proofErr w:type="spellEnd"/>
      <w:r>
        <w:rPr>
          <w:sz w:val="20"/>
          <w:szCs w:val="20"/>
          <w:rtl/>
        </w:rPr>
        <w:t xml:space="preserve"> – ראה הפסקה הראשונה לעיל.</w:t>
      </w:r>
    </w:p>
  </w:footnote>
  <w:footnote w:id="5258">
    <w:p w14:paraId="669F929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סיפור זה נשנה </w:t>
      </w:r>
      <w:proofErr w:type="spellStart"/>
      <w:r>
        <w:rPr>
          <w:sz w:val="20"/>
          <w:szCs w:val="20"/>
          <w:rtl/>
        </w:rPr>
        <w:t>ב“מגד</w:t>
      </w:r>
      <w:proofErr w:type="spellEnd"/>
      <w:r>
        <w:rPr>
          <w:sz w:val="20"/>
          <w:szCs w:val="20"/>
          <w:rtl/>
        </w:rPr>
        <w:t xml:space="preserve"> גבעות עולם” (הפסקה הרביעית לעיל), עמ׳ </w:t>
      </w:r>
      <w:proofErr w:type="spellStart"/>
      <w:r>
        <w:rPr>
          <w:sz w:val="20"/>
          <w:szCs w:val="20"/>
          <w:rtl/>
        </w:rPr>
        <w:t>נז</w:t>
      </w:r>
      <w:proofErr w:type="spellEnd"/>
      <w:r>
        <w:rPr>
          <w:sz w:val="20"/>
          <w:szCs w:val="20"/>
          <w:rtl/>
        </w:rPr>
        <w:t xml:space="preserve">, אות יד, בשם ר׳ </w:t>
      </w:r>
      <w:proofErr w:type="spellStart"/>
      <w:r>
        <w:rPr>
          <w:sz w:val="20"/>
          <w:szCs w:val="20"/>
          <w:rtl/>
        </w:rPr>
        <w:t xml:space="preserve">יוסף־דב</w:t>
      </w:r>
      <w:proofErr w:type="spellEnd"/>
      <w:r>
        <w:rPr>
          <w:sz w:val="20"/>
          <w:szCs w:val="20"/>
          <w:rtl/>
        </w:rPr>
        <w:t xml:space="preserve"> </w:t>
      </w:r>
      <w:proofErr w:type="spellStart"/>
      <w:r>
        <w:rPr>
          <w:sz w:val="20"/>
          <w:szCs w:val="20"/>
          <w:rtl/>
        </w:rPr>
        <w:t>סולובייצ׳יק</w:t>
      </w:r>
      <w:proofErr w:type="spellEnd"/>
      <w:r>
        <w:rPr>
          <w:sz w:val="20"/>
          <w:szCs w:val="20"/>
          <w:rtl/>
        </w:rPr>
        <w:t xml:space="preserve">. “מגד גבעות עולם” טוען – אף הוא בשם ר׳ </w:t>
      </w:r>
      <w:proofErr w:type="spellStart"/>
      <w:r>
        <w:rPr>
          <w:sz w:val="20"/>
          <w:szCs w:val="20"/>
          <w:rtl/>
        </w:rPr>
        <w:t xml:space="preserve">יוסף־דב</w:t>
      </w:r>
      <w:proofErr w:type="spellEnd"/>
      <w:r>
        <w:rPr>
          <w:sz w:val="20"/>
          <w:szCs w:val="20"/>
          <w:rtl/>
        </w:rPr>
        <w:t xml:space="preserve"> – שחותנו של ר׳ חיים, ר׳ רפאל שפירא, סבר שתפקידו של רב הוא רק לשבת וללמוד יומם ולילה.</w:t>
      </w:r>
    </w:p>
  </w:footnote>
  <w:footnote w:id="5259">
    <w:p w14:paraId="12C6AD5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הפסקה האחרונה של נספח ד בפרק 3. </w:t>
      </w:r>
      <w:proofErr w:type="spellStart"/>
      <w:r>
        <w:rPr>
          <w:sz w:val="20"/>
          <w:szCs w:val="20"/>
          <w:rtl/>
        </w:rPr>
        <w:t>ב“יתד</w:t>
      </w:r>
      <w:proofErr w:type="spellEnd"/>
      <w:r>
        <w:rPr>
          <w:sz w:val="20"/>
          <w:szCs w:val="20"/>
          <w:rtl/>
        </w:rPr>
        <w:t xml:space="preserve"> נאמן”, מוסף ערב </w:t>
      </w:r>
      <w:proofErr w:type="spellStart"/>
      <w:r>
        <w:rPr>
          <w:sz w:val="20"/>
          <w:szCs w:val="20"/>
          <w:rtl/>
        </w:rPr>
        <w:t>שב״ק</w:t>
      </w:r>
      <w:proofErr w:type="spellEnd"/>
      <w:r>
        <w:rPr>
          <w:sz w:val="20"/>
          <w:szCs w:val="20"/>
          <w:rtl/>
        </w:rPr>
        <w:t xml:space="preserve"> פרשת משפטים תשס״ב, מסופר שר׳ חיים </w:t>
      </w:r>
      <w:proofErr w:type="spellStart"/>
      <w:r>
        <w:rPr>
          <w:sz w:val="20"/>
          <w:szCs w:val="20"/>
          <w:rtl/>
        </w:rPr>
        <w:t>קרייזווירט</w:t>
      </w:r>
      <w:proofErr w:type="spellEnd"/>
      <w:r>
        <w:rPr>
          <w:sz w:val="20"/>
          <w:szCs w:val="20"/>
          <w:rtl/>
        </w:rPr>
        <w:t xml:space="preserve"> אמר שר׳ חיים </w:t>
      </w:r>
      <w:proofErr w:type="spellStart"/>
      <w:r>
        <w:rPr>
          <w:sz w:val="20"/>
          <w:szCs w:val="20"/>
          <w:rtl/>
        </w:rPr>
        <w:t>הלברשטם</w:t>
      </w:r>
      <w:proofErr w:type="spellEnd"/>
      <w:r>
        <w:rPr>
          <w:sz w:val="20"/>
          <w:szCs w:val="20"/>
          <w:rtl/>
        </w:rPr>
        <w:t xml:space="preserve"> </w:t>
      </w:r>
      <w:proofErr w:type="spellStart"/>
      <w:r>
        <w:rPr>
          <w:sz w:val="20"/>
          <w:szCs w:val="20"/>
          <w:rtl/>
        </w:rPr>
        <w:t>מצאנז</w:t>
      </w:r>
      <w:proofErr w:type="spellEnd"/>
      <w:r>
        <w:rPr>
          <w:sz w:val="20"/>
          <w:szCs w:val="20"/>
          <w:rtl/>
        </w:rPr>
        <w:t xml:space="preserve"> השתמש במילותיו המדויקות של ר׳ ישראל כשהגדיר את תפקיד הרב.</w:t>
      </w:r>
    </w:p>
  </w:footnote>
  <w:footnote w:id="5260">
    <w:p w14:paraId="6AF5260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3, סוף הפסקה השלישית מסוף נספח יד, וסוף הערה 83 לעיל. ראה גם עמ׳ </w:t>
      </w:r>
      <w:r>
        <w:rPr>
          <w:sz w:val="20"/>
          <w:szCs w:val="20"/>
          <w:rtl/>
        </w:rPr>
        <w:fldChar w:fldCharType="begin" w:dirty="true"/>
      </w:r>
      <w:r>
        <w:rPr>
          <w:sz w:val="20"/>
          <w:szCs w:val="20"/>
          <w:rtl/>
        </w:rPr>
        <w:instrText xml:space="preserve"> PAGEREF pr_f_5235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הערת שוליים </w:t>
      </w:r>
      <w:r>
        <w:rPr>
          <w:sz w:val="20"/>
          <w:szCs w:val="20"/>
          <w:rtl/>
        </w:rPr>
        <w:fldChar w:fldCharType="begin" w:dirty="true"/>
      </w:r>
      <w:r>
        <w:rPr>
          <w:sz w:val="20"/>
          <w:szCs w:val="20"/>
          <w:rtl/>
        </w:rPr>
        <w:instrText xml:space="preserve"> NOTEREF pr_f_5235 \h </w:instrText>
      </w:r>
      <w:r>
        <w:rPr>
          <w:sz w:val="20"/>
          <w:szCs w:val="20"/>
          <w:rtl/>
        </w:rPr>
      </w:r>
      <w:r>
        <w:rPr>
          <w:sz w:val="20"/>
          <w:szCs w:val="20"/>
          <w:rtl/>
        </w:rPr>
        <w:fldChar w:fldCharType="separate"/>
      </w:r>
      <w:r w:rsidR="007923E9">
        <w:rPr>
          <w:sz w:val="20"/>
          <w:szCs w:val="20"/>
          <w:rtl/>
        </w:rPr>
        <w:t>889</w:t>
      </w:r>
      <w:r>
        <w:rPr>
          <w:sz w:val="20"/>
          <w:szCs w:val="20"/>
          <w:rtl/>
        </w:rPr>
        <w:fldChar w:fldCharType="end"/>
      </w:r>
      <w:r>
        <w:rPr>
          <w:sz w:val="20"/>
          <w:szCs w:val="20"/>
          <w:rtl/>
        </w:rPr>
        <w:t>.</w:t>
      </w:r>
    </w:p>
  </w:footnote>
  <w:footnote w:id="5261">
    <w:p w14:paraId="59C05CD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פרק 3, הפסקה השנייה של נספח ז – עמ׳ 12–13.</w:t>
      </w:r>
    </w:p>
  </w:footnote>
  <w:footnote w:id="5262">
    <w:p w14:paraId="43B77C6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נספח ח להלן.</w:t>
      </w:r>
    </w:p>
  </w:footnote>
  <w:footnote w:id="5263">
    <w:p w14:paraId="712C476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במניית הפריט השלישי הזה הראה ר׳ שלמה שלדעתו לא הייתה דרכו של ר׳ חיים מסוגלת לכבוש את עולם הישיבות במלואו, עד שעזב ר׳ חיים את מקום הוראתו </w:t>
      </w:r>
      <w:proofErr w:type="spellStart"/>
      <w:r>
        <w:rPr>
          <w:sz w:val="20"/>
          <w:szCs w:val="20"/>
          <w:rtl/>
        </w:rPr>
        <w:t>בוולוז׳ין</w:t>
      </w:r>
      <w:proofErr w:type="spellEnd"/>
      <w:r>
        <w:rPr>
          <w:sz w:val="20"/>
          <w:szCs w:val="20"/>
          <w:rtl/>
        </w:rPr>
        <w:t xml:space="preserve"> ונעשה רבה של </w:t>
      </w:r>
      <w:proofErr w:type="spellStart"/>
      <w:r>
        <w:rPr>
          <w:sz w:val="20"/>
          <w:szCs w:val="20"/>
          <w:rtl/>
        </w:rPr>
        <w:t>בריסק</w:t>
      </w:r>
      <w:proofErr w:type="spellEnd"/>
      <w:r>
        <w:rPr>
          <w:sz w:val="20"/>
          <w:szCs w:val="20"/>
          <w:rtl/>
        </w:rPr>
        <w:t xml:space="preserve">. ייתכן שהעילוי </w:t>
      </w:r>
      <w:proofErr w:type="spellStart"/>
      <w:r>
        <w:rPr>
          <w:sz w:val="20"/>
          <w:szCs w:val="20"/>
          <w:rtl/>
        </w:rPr>
        <w:t>ממייצ׳ט</w:t>
      </w:r>
      <w:proofErr w:type="spellEnd"/>
      <w:r>
        <w:rPr>
          <w:sz w:val="20"/>
          <w:szCs w:val="20"/>
          <w:rtl/>
        </w:rPr>
        <w:t xml:space="preserve"> ראה בעצמו שתלמידי </w:t>
      </w:r>
      <w:proofErr w:type="spellStart"/>
      <w:r>
        <w:rPr>
          <w:sz w:val="20"/>
          <w:szCs w:val="20"/>
          <w:rtl/>
        </w:rPr>
        <w:t>טלז</w:t>
      </w:r>
      <w:proofErr w:type="spellEnd"/>
      <w:r>
        <w:rPr>
          <w:sz w:val="20"/>
          <w:szCs w:val="20"/>
          <w:rtl/>
        </w:rPr>
        <w:t xml:space="preserve">, שבאו בראשית </w:t>
      </w:r>
      <w:proofErr w:type="spellStart"/>
      <w:r>
        <w:rPr>
          <w:sz w:val="20"/>
          <w:szCs w:val="20"/>
          <w:rtl/>
        </w:rPr>
        <w:t>רבנותו</w:t>
      </w:r>
      <w:proofErr w:type="spellEnd"/>
      <w:r>
        <w:rPr>
          <w:sz w:val="20"/>
          <w:szCs w:val="20"/>
          <w:rtl/>
        </w:rPr>
        <w:t xml:space="preserve"> של ר׳ חיים </w:t>
      </w:r>
      <w:proofErr w:type="spellStart"/>
      <w:r>
        <w:rPr>
          <w:sz w:val="20"/>
          <w:szCs w:val="20"/>
          <w:rtl/>
        </w:rPr>
        <w:t>בבריסק</w:t>
      </w:r>
      <w:proofErr w:type="spellEnd"/>
      <w:r>
        <w:rPr>
          <w:sz w:val="20"/>
          <w:szCs w:val="20"/>
          <w:rtl/>
        </w:rPr>
        <w:t xml:space="preserve"> ללמוד אצלו, התאכזבו משיעורי ר׳ חיים – לדעת ר׳ שלמה </w:t>
      </w:r>
      <w:proofErr w:type="spellStart"/>
      <w:r>
        <w:rPr>
          <w:sz w:val="20"/>
          <w:szCs w:val="20"/>
          <w:rtl/>
        </w:rPr>
        <w:t>פוליצ׳ק</w:t>
      </w:r>
      <w:proofErr w:type="spellEnd"/>
      <w:r>
        <w:rPr>
          <w:sz w:val="20"/>
          <w:szCs w:val="20"/>
          <w:rtl/>
        </w:rPr>
        <w:t xml:space="preserve">, ללא ספק מסיבה שאינה מובנת (ראה לעיל, עמ׳ </w:t>
      </w:r>
      <w:r>
        <w:rPr>
          <w:sz w:val="20"/>
          <w:szCs w:val="20"/>
          <w:rtl/>
        </w:rPr>
        <w:fldChar w:fldCharType="begin" w:dirty="true"/>
      </w:r>
      <w:r>
        <w:rPr>
          <w:sz w:val="20"/>
          <w:szCs w:val="20"/>
          <w:rtl/>
        </w:rPr>
        <w:instrText xml:space="preserve"> PAGEREF pr_b_2366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 ומכך השתכנע ששיטת “</w:t>
      </w:r>
      <w:proofErr w:type="spellStart"/>
      <w:r>
        <w:rPr>
          <w:sz w:val="20"/>
          <w:szCs w:val="20"/>
          <w:rtl/>
        </w:rPr>
        <w:t>בריסק</w:t>
      </w:r>
      <w:proofErr w:type="spellEnd"/>
      <w:r>
        <w:rPr>
          <w:sz w:val="20"/>
          <w:szCs w:val="20"/>
          <w:rtl/>
        </w:rPr>
        <w:t>” עדיין לא הייתה בכוחה להתקבל על הכול: נושא דגלה נדרש לגלות חסד גדול עוד יותר מכפי שגילה עד אז, כלומר לגדל “ממזרים” בביתו.</w:t>
      </w:r>
    </w:p>
  </w:footnote>
  <w:footnote w:id="5264">
    <w:p w14:paraId="4ABBCE9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פרק 4, הפסקה החמישית מסוף נספח ט, הציטוט שמביא “ר׳ ברוך בר” בשם “סופר מוכשר” שלא נקב בשמו, בעניין ר׳ חיים </w:t>
      </w:r>
      <w:proofErr w:type="spellStart"/>
      <w:r>
        <w:rPr>
          <w:sz w:val="20"/>
          <w:szCs w:val="20"/>
          <w:rtl/>
        </w:rPr>
        <w:t>מוולוז׳ין</w:t>
      </w:r>
      <w:proofErr w:type="spellEnd"/>
      <w:r>
        <w:rPr>
          <w:sz w:val="20"/>
          <w:szCs w:val="20"/>
          <w:rtl/>
        </w:rPr>
        <w:t>.</w:t>
      </w:r>
    </w:p>
  </w:footnote>
  <w:footnote w:id="5265">
    <w:p w14:paraId="21F0B20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“תורת חיים”, עמ׳ פה במספור השני.</w:t>
      </w:r>
    </w:p>
  </w:footnote>
  <w:footnote w:id="5266">
    <w:p w14:paraId="29E9604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6 במאי 1995.</w:t>
      </w:r>
    </w:p>
  </w:footnote>
  <w:footnote w:id="5267">
    <w:p w14:paraId="791E3E3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סי׳ מו בחלק ב.</w:t>
      </w:r>
    </w:p>
  </w:footnote>
  <w:footnote w:id="5268">
    <w:p w14:paraId="1845519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3, הפסקה האמצעית של נספח יד, וסופי הפסקה הראשונה והתשיעית של נספח זה.</w:t>
      </w:r>
    </w:p>
  </w:footnote>
  <w:footnote w:id="5269">
    <w:p w14:paraId="3658F6A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שער א, פרק נד.</w:t>
      </w:r>
    </w:p>
  </w:footnote>
  <w:footnote w:id="5270">
    <w:p w14:paraId="0DFA95B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הפרק “על הרחמנות” </w:t>
      </w:r>
      <w:proofErr w:type="spellStart"/>
      <w:r>
        <w:rPr>
          <w:sz w:val="20"/>
          <w:szCs w:val="20"/>
          <w:rtl/>
        </w:rPr>
        <w:t>ב“ספר</w:t>
      </w:r>
      <w:proofErr w:type="spellEnd"/>
      <w:r>
        <w:rPr>
          <w:sz w:val="20"/>
          <w:szCs w:val="20"/>
          <w:rtl/>
        </w:rPr>
        <w:t xml:space="preserve"> המספיק לעובדי ה׳”, מאת רבנו אברהם בן הרמב״ם (קרן הוצאת ספרי רבני בבל, ירושלים, תשל״ג), עמ׳ לא–לג.</w:t>
      </w:r>
    </w:p>
  </w:footnote>
  <w:footnote w:id="5271">
    <w:p w14:paraId="614D964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נזכר בפרק 4, נספח ד – עמ׳ </w:t>
      </w:r>
      <w:proofErr w:type="spellStart"/>
      <w:r>
        <w:rPr>
          <w:sz w:val="20"/>
          <w:szCs w:val="20"/>
          <w:rtl/>
        </w:rPr>
        <w:t>קצג</w:t>
      </w:r>
      <w:proofErr w:type="spellEnd"/>
      <w:r>
        <w:rPr>
          <w:sz w:val="20"/>
          <w:szCs w:val="20"/>
          <w:rtl/>
        </w:rPr>
        <w:t>.</w:t>
      </w:r>
    </w:p>
  </w:footnote>
  <w:footnote w:id="5272">
    <w:p w14:paraId="788AAF4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מאמר מאת </w:t>
      </w:r>
      <w:proofErr w:type="spellStart"/>
      <w:r>
        <w:rPr>
          <w:sz w:val="20"/>
          <w:szCs w:val="20"/>
          <w:rtl/>
        </w:rPr>
        <w:t>פיבל</w:t>
      </w:r>
      <w:proofErr w:type="spellEnd"/>
      <w:r>
        <w:rPr>
          <w:sz w:val="20"/>
          <w:szCs w:val="20"/>
          <w:rtl/>
        </w:rPr>
        <w:t xml:space="preserve"> מלצר </w:t>
      </w:r>
      <w:proofErr w:type="spellStart"/>
      <w:r>
        <w:rPr>
          <w:sz w:val="20"/>
          <w:szCs w:val="20"/>
          <w:rtl/>
        </w:rPr>
        <w:t>ב“בעקבות</w:t>
      </w:r>
      <w:proofErr w:type="spellEnd"/>
      <w:r>
        <w:rPr>
          <w:sz w:val="20"/>
          <w:szCs w:val="20"/>
          <w:rtl/>
        </w:rPr>
        <w:t xml:space="preserve"> היראה” (נזכר בפרק 1, נספח ה), עמ׳ רצו.</w:t>
      </w:r>
    </w:p>
  </w:footnote>
  <w:footnote w:id="5273">
    <w:p w14:paraId="7B732B4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פרק 3, הפסקה השנייה של נספח </w:t>
      </w:r>
      <w:proofErr w:type="spellStart"/>
      <w:r>
        <w:rPr>
          <w:sz w:val="20"/>
          <w:szCs w:val="20"/>
          <w:rtl/>
        </w:rPr>
        <w:t>יז</w:t>
      </w:r>
      <w:proofErr w:type="spellEnd"/>
      <w:r>
        <w:rPr>
          <w:sz w:val="20"/>
          <w:szCs w:val="20"/>
          <w:rtl/>
        </w:rPr>
        <w:t>.</w:t>
      </w:r>
    </w:p>
  </w:footnote>
  <w:footnote w:id="5274">
    <w:p w14:paraId="0C513A9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ערש״ק</w:t>
      </w:r>
      <w:proofErr w:type="spellEnd"/>
      <w:r>
        <w:rPr>
          <w:sz w:val="20"/>
          <w:szCs w:val="20"/>
          <w:rtl/>
        </w:rPr>
        <w:t xml:space="preserve"> פרשת נשא תשנ״ד.</w:t>
      </w:r>
    </w:p>
  </w:footnote>
  <w:footnote w:id="5275">
    <w:p w14:paraId="2340571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כרך 2.</w:t>
      </w:r>
    </w:p>
  </w:footnote>
  <w:footnote w:id="5276">
    <w:p w14:paraId="7659F0B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מנחות </w:t>
      </w:r>
      <w:proofErr w:type="spellStart"/>
      <w:r>
        <w:rPr>
          <w:sz w:val="20"/>
          <w:szCs w:val="20"/>
          <w:rtl/>
        </w:rPr>
        <w:t>צט</w:t>
      </w:r>
      <w:proofErr w:type="spellEnd"/>
      <w:r>
        <w:rPr>
          <w:sz w:val="20"/>
          <w:szCs w:val="20"/>
          <w:rtl/>
        </w:rPr>
        <w:t xml:space="preserve"> ע״א </w:t>
      </w:r>
      <w:proofErr w:type="spellStart"/>
      <w:r>
        <w:rPr>
          <w:sz w:val="20"/>
          <w:szCs w:val="20"/>
          <w:rtl/>
        </w:rPr>
        <w:t>וע״ב</w:t>
      </w:r>
      <w:proofErr w:type="spellEnd"/>
      <w:r>
        <w:rPr>
          <w:sz w:val="20"/>
          <w:szCs w:val="20"/>
          <w:rtl/>
        </w:rPr>
        <w:t>.</w:t>
      </w:r>
    </w:p>
  </w:footnote>
  <w:footnote w:id="5277">
    <w:p w14:paraId="73744A6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החומר הביוגרפי לקוח </w:t>
      </w:r>
      <w:proofErr w:type="spellStart"/>
      <w:r>
        <w:rPr>
          <w:sz w:val="20"/>
          <w:szCs w:val="20"/>
          <w:rtl/>
        </w:rPr>
        <w:t>מ“בעקבות</w:t>
      </w:r>
      <w:proofErr w:type="spellEnd"/>
      <w:r>
        <w:rPr>
          <w:sz w:val="20"/>
          <w:szCs w:val="20"/>
          <w:rtl/>
        </w:rPr>
        <w:t xml:space="preserve"> היראה”, עמ׳ ג, וממכתבו של ר׳ </w:t>
      </w:r>
      <w:proofErr w:type="spellStart"/>
      <w:r>
        <w:rPr>
          <w:sz w:val="20"/>
          <w:szCs w:val="20"/>
          <w:rtl/>
        </w:rPr>
        <w:t>איסר־זלמן</w:t>
      </w:r>
      <w:proofErr w:type="spellEnd"/>
      <w:r>
        <w:rPr>
          <w:sz w:val="20"/>
          <w:szCs w:val="20"/>
          <w:rtl/>
        </w:rPr>
        <w:t xml:space="preserve"> מלצר </w:t>
      </w:r>
      <w:proofErr w:type="spellStart"/>
      <w:r>
        <w:rPr>
          <w:sz w:val="20"/>
          <w:szCs w:val="20"/>
          <w:rtl/>
        </w:rPr>
        <w:t>ל“הנאמן</w:t>
      </w:r>
      <w:proofErr w:type="spellEnd"/>
      <w:r>
        <w:rPr>
          <w:sz w:val="20"/>
          <w:szCs w:val="20"/>
          <w:rtl/>
        </w:rPr>
        <w:t xml:space="preserve">”, ביטאון אגודת ישראל </w:t>
      </w:r>
      <w:proofErr w:type="spellStart"/>
      <w:r>
        <w:rPr>
          <w:sz w:val="20"/>
          <w:szCs w:val="20"/>
          <w:rtl/>
        </w:rPr>
        <w:t>בטלז</w:t>
      </w:r>
      <w:proofErr w:type="spellEnd"/>
      <w:r>
        <w:rPr>
          <w:sz w:val="20"/>
          <w:szCs w:val="20"/>
          <w:rtl/>
        </w:rPr>
        <w:t>, הנושא את התאריך אייר–סיוון תרפ״ט, ונדפס שוב שם, עמ׳ רעד.</w:t>
      </w:r>
    </w:p>
  </w:footnote>
  <w:footnote w:id="5278">
    <w:p w14:paraId="4F57855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ויקרא </w:t>
      </w:r>
      <w:proofErr w:type="spellStart"/>
      <w:r>
        <w:rPr>
          <w:sz w:val="20"/>
          <w:szCs w:val="20"/>
          <w:rtl/>
        </w:rPr>
        <w:t>יח</w:t>
      </w:r>
      <w:proofErr w:type="spellEnd"/>
      <w:r>
        <w:rPr>
          <w:sz w:val="20"/>
          <w:szCs w:val="20"/>
          <w:rtl/>
        </w:rPr>
        <w:t xml:space="preserve">, </w:t>
      </w:r>
      <w:proofErr w:type="spellStart"/>
      <w:r>
        <w:rPr>
          <w:sz w:val="20"/>
          <w:szCs w:val="20"/>
          <w:rtl/>
        </w:rPr>
        <w:t>כא</w:t>
      </w:r>
      <w:proofErr w:type="spellEnd"/>
      <w:r>
        <w:rPr>
          <w:sz w:val="20"/>
          <w:szCs w:val="20"/>
          <w:rtl/>
        </w:rPr>
        <w:t>.</w:t>
      </w:r>
    </w:p>
  </w:footnote>
  <w:footnote w:id="5279">
    <w:p w14:paraId="6BA2794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דברים לא, </w:t>
      </w:r>
      <w:proofErr w:type="spellStart"/>
      <w:r>
        <w:rPr>
          <w:sz w:val="20"/>
          <w:szCs w:val="20"/>
          <w:rtl/>
        </w:rPr>
        <w:t>כא</w:t>
      </w:r>
      <w:proofErr w:type="spellEnd"/>
      <w:r>
        <w:rPr>
          <w:sz w:val="20"/>
          <w:szCs w:val="20"/>
          <w:rtl/>
        </w:rPr>
        <w:t>.</w:t>
      </w:r>
    </w:p>
  </w:footnote>
  <w:footnote w:id="5280">
    <w:p w14:paraId="53134E2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“בעקבות היראה”, עמ׳ </w:t>
      </w:r>
      <w:proofErr w:type="spellStart"/>
      <w:r>
        <w:rPr>
          <w:sz w:val="20"/>
          <w:szCs w:val="20"/>
          <w:rtl/>
        </w:rPr>
        <w:t>רעז</w:t>
      </w:r>
      <w:proofErr w:type="spellEnd"/>
      <w:r>
        <w:rPr>
          <w:sz w:val="20"/>
          <w:szCs w:val="20"/>
          <w:rtl/>
        </w:rPr>
        <w:t>.</w:t>
      </w:r>
    </w:p>
  </w:footnote>
  <w:footnote w:id="5281">
    <w:p w14:paraId="26A9A18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לפי “שמושה של תורה”, עמ׳ שיט, נזכר ר׳ </w:t>
      </w:r>
      <w:proofErr w:type="spellStart"/>
      <w:r>
        <w:rPr>
          <w:sz w:val="20"/>
          <w:szCs w:val="20"/>
          <w:rtl/>
        </w:rPr>
        <w:t>אלעזר־מנחם־מן</w:t>
      </w:r>
      <w:proofErr w:type="spellEnd"/>
      <w:r>
        <w:rPr>
          <w:sz w:val="20"/>
          <w:szCs w:val="20"/>
          <w:rtl/>
        </w:rPr>
        <w:t xml:space="preserve"> שך, שהיה תלמיד </w:t>
      </w:r>
      <w:proofErr w:type="spellStart"/>
      <w:r>
        <w:rPr>
          <w:sz w:val="20"/>
          <w:szCs w:val="20"/>
          <w:rtl/>
        </w:rPr>
        <w:t>בסלבודקה</w:t>
      </w:r>
      <w:proofErr w:type="spellEnd"/>
      <w:r>
        <w:rPr>
          <w:sz w:val="20"/>
          <w:szCs w:val="20"/>
          <w:rtl/>
        </w:rPr>
        <w:t xml:space="preserve"> בעת חתונת ר׳ אהרן: “רק בחור אחד מתוך חמש מאות הבחורים שבישיבה נסע להשתתף בחתונתו של בחיר [לשעבר] תלמידי הישיבה”. שמו של הנוסע אינו נזכר שם, אבל ודאי היה זה ר׳ </w:t>
      </w:r>
      <w:proofErr w:type="spellStart"/>
      <w:r>
        <w:rPr>
          <w:sz w:val="20"/>
          <w:szCs w:val="20"/>
          <w:rtl/>
        </w:rPr>
        <w:t>אברהם־אליהו</w:t>
      </w:r>
      <w:proofErr w:type="spellEnd"/>
      <w:r>
        <w:rPr>
          <w:sz w:val="20"/>
          <w:szCs w:val="20"/>
          <w:rtl/>
        </w:rPr>
        <w:t xml:space="preserve"> קפלן.</w:t>
      </w:r>
    </w:p>
  </w:footnote>
  <w:footnote w:id="5282">
    <w:p w14:paraId="54A5B75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הפיוט המתחיל “למען תמים בדורותיו”, בסדר הושענות להושענא רבה: למען חסידך מכרכר בשיר, המלמד תורה בכל כלי שיר (דוד המלך). ר׳ </w:t>
      </w:r>
      <w:proofErr w:type="spellStart"/>
      <w:r>
        <w:rPr>
          <w:sz w:val="20"/>
          <w:szCs w:val="20"/>
          <w:rtl/>
        </w:rPr>
        <w:t>אברהם־יעקב</w:t>
      </w:r>
      <w:proofErr w:type="spellEnd"/>
      <w:r>
        <w:rPr>
          <w:sz w:val="20"/>
          <w:szCs w:val="20"/>
          <w:rtl/>
        </w:rPr>
        <w:t xml:space="preserve"> </w:t>
      </w:r>
      <w:proofErr w:type="spellStart"/>
      <w:r>
        <w:rPr>
          <w:sz w:val="20"/>
          <w:szCs w:val="20"/>
          <w:rtl/>
        </w:rPr>
        <w:t>ניימרק</w:t>
      </w:r>
      <w:proofErr w:type="spellEnd"/>
      <w:r>
        <w:rPr>
          <w:sz w:val="20"/>
          <w:szCs w:val="20"/>
          <w:rtl/>
        </w:rPr>
        <w:t xml:space="preserve"> רומז לשילוב של למדנות תלמודית עם הנגינה בכינור אצל הרב קפלן, כדלהלן.</w:t>
      </w:r>
    </w:p>
  </w:footnote>
  <w:footnote w:id="5283">
    <w:p w14:paraId="7476760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עמוס ט, ט: ולא </w:t>
      </w:r>
      <w:proofErr w:type="spellStart"/>
      <w:r>
        <w:rPr>
          <w:sz w:val="20"/>
          <w:szCs w:val="20"/>
          <w:rtl/>
        </w:rPr>
        <w:t>יפול</w:t>
      </w:r>
      <w:proofErr w:type="spellEnd"/>
      <w:r>
        <w:rPr>
          <w:sz w:val="20"/>
          <w:szCs w:val="20"/>
          <w:rtl/>
        </w:rPr>
        <w:t xml:space="preserve"> צרור ארץ, כלומר, בלי להחסיר אף את הנקודה הקטנה ביותר.</w:t>
      </w:r>
    </w:p>
  </w:footnote>
  <w:footnote w:id="5284">
    <w:p w14:paraId="7F9A5E4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עמ׳ </w:t>
      </w:r>
      <w:proofErr w:type="spellStart"/>
      <w:r>
        <w:rPr>
          <w:sz w:val="20"/>
          <w:szCs w:val="20"/>
          <w:rtl/>
        </w:rPr>
        <w:t>רצז</w:t>
      </w:r>
      <w:proofErr w:type="spellEnd"/>
      <w:r>
        <w:rPr>
          <w:sz w:val="20"/>
          <w:szCs w:val="20"/>
          <w:rtl/>
        </w:rPr>
        <w:t>.</w:t>
      </w:r>
    </w:p>
  </w:footnote>
  <w:footnote w:id="5285">
    <w:p w14:paraId="601EC58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הדבר אינו מאושר בספרו של </w:t>
      </w:r>
      <w:proofErr w:type="spellStart"/>
      <w:r>
        <w:rPr>
          <w:sz w:val="20"/>
          <w:szCs w:val="20"/>
          <w:rtl/>
        </w:rPr>
        <w:t>ידעאל</w:t>
      </w:r>
      <w:proofErr w:type="spellEnd"/>
      <w:r>
        <w:rPr>
          <w:sz w:val="20"/>
          <w:szCs w:val="20"/>
          <w:rtl/>
        </w:rPr>
        <w:t xml:space="preserve"> מלצר, “בדרך עץ החיים”, עמ׳ 132, שבו מתוארת החתונה.</w:t>
      </w:r>
    </w:p>
  </w:footnote>
  <w:footnote w:id="5286">
    <w:p w14:paraId="178D4EE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יבמות </w:t>
      </w:r>
      <w:proofErr w:type="spellStart"/>
      <w:r>
        <w:rPr>
          <w:sz w:val="20"/>
          <w:szCs w:val="20"/>
          <w:rtl/>
        </w:rPr>
        <w:t>נז</w:t>
      </w:r>
      <w:proofErr w:type="spellEnd"/>
      <w:r>
        <w:rPr>
          <w:sz w:val="20"/>
          <w:szCs w:val="20"/>
          <w:rtl/>
        </w:rPr>
        <w:t xml:space="preserve"> ע״ב.</w:t>
      </w:r>
    </w:p>
  </w:footnote>
  <w:footnote w:id="5287">
    <w:p w14:paraId="23197D0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131–132.</w:t>
      </w:r>
    </w:p>
  </w:footnote>
  <w:footnote w:id="5288">
    <w:p w14:paraId="23DDCEA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רצו.</w:t>
      </w:r>
    </w:p>
  </w:footnote>
  <w:footnote w:id="5289">
    <w:p w14:paraId="0F4DD27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נספח ח להלן.</w:t>
      </w:r>
    </w:p>
  </w:footnote>
  <w:footnote w:id="5290">
    <w:p w14:paraId="378F9AA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“בעקבות היראה”, עמ׳ </w:t>
      </w:r>
      <w:proofErr w:type="spellStart"/>
      <w:r>
        <w:rPr>
          <w:sz w:val="20"/>
          <w:szCs w:val="20"/>
          <w:rtl/>
        </w:rPr>
        <w:t>רעט</w:t>
      </w:r>
      <w:proofErr w:type="spellEnd"/>
      <w:r>
        <w:rPr>
          <w:sz w:val="20"/>
          <w:szCs w:val="20"/>
          <w:rtl/>
        </w:rPr>
        <w:t>.</w:t>
      </w:r>
    </w:p>
  </w:footnote>
  <w:footnote w:id="5291">
    <w:p w14:paraId="1B2D1C2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המחבר מתכוון </w:t>
      </w:r>
      <w:proofErr w:type="spellStart"/>
      <w:r>
        <w:rPr>
          <w:sz w:val="20"/>
          <w:szCs w:val="20"/>
          <w:rtl/>
        </w:rPr>
        <w:t>לאחד־עשר</w:t>
      </w:r>
      <w:proofErr w:type="spellEnd"/>
      <w:r>
        <w:rPr>
          <w:sz w:val="20"/>
          <w:szCs w:val="20"/>
          <w:rtl/>
        </w:rPr>
        <w:t xml:space="preserve"> הכללים שקבע הרב קפלן לחיבור הפירוש שהציע.</w:t>
      </w:r>
    </w:p>
  </w:footnote>
  <w:footnote w:id="5292">
    <w:p w14:paraId="2C9E37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w:t>
      </w:r>
      <w:proofErr w:type="spellStart"/>
      <w:r>
        <w:rPr>
          <w:sz w:val="20"/>
          <w:szCs w:val="20"/>
          <w:rtl/>
        </w:rPr>
        <w:t>אברהם־יעקב</w:t>
      </w:r>
      <w:proofErr w:type="spellEnd"/>
      <w:r>
        <w:rPr>
          <w:sz w:val="20"/>
          <w:szCs w:val="20"/>
          <w:rtl/>
        </w:rPr>
        <w:t xml:space="preserve"> </w:t>
      </w:r>
      <w:proofErr w:type="spellStart"/>
      <w:r>
        <w:rPr>
          <w:sz w:val="20"/>
          <w:szCs w:val="20"/>
          <w:rtl/>
        </w:rPr>
        <w:t>ניימרק</w:t>
      </w:r>
      <w:proofErr w:type="spellEnd"/>
      <w:r>
        <w:rPr>
          <w:sz w:val="20"/>
          <w:szCs w:val="20"/>
          <w:rtl/>
        </w:rPr>
        <w:t xml:space="preserve"> מזכיר את גילו של הגאון, מפני שגם הרב קפלן היה בשנות השלושים לחייו בלבד כשנפטר. ועי׳ הקדמת בני </w:t>
      </w:r>
      <w:proofErr w:type="spellStart"/>
      <w:r>
        <w:rPr>
          <w:sz w:val="20"/>
          <w:szCs w:val="20"/>
          <w:rtl/>
        </w:rPr>
        <w:t>הגר״א</w:t>
      </w:r>
      <w:proofErr w:type="spellEnd"/>
      <w:r>
        <w:rPr>
          <w:sz w:val="20"/>
          <w:szCs w:val="20"/>
          <w:rtl/>
        </w:rPr>
        <w:t xml:space="preserve"> לביאור </w:t>
      </w:r>
      <w:proofErr w:type="spellStart"/>
      <w:r>
        <w:rPr>
          <w:sz w:val="20"/>
          <w:szCs w:val="20"/>
          <w:rtl/>
        </w:rPr>
        <w:t>הגר״א</w:t>
      </w:r>
      <w:proofErr w:type="spellEnd"/>
      <w:r>
        <w:rPr>
          <w:sz w:val="20"/>
          <w:szCs w:val="20"/>
          <w:rtl/>
        </w:rPr>
        <w:t xml:space="preserve"> על </w:t>
      </w:r>
      <w:proofErr w:type="spellStart"/>
      <w:r>
        <w:rPr>
          <w:sz w:val="20"/>
          <w:szCs w:val="20"/>
          <w:rtl/>
        </w:rPr>
        <w:t>שו״ע</w:t>
      </w:r>
      <w:proofErr w:type="spellEnd"/>
      <w:r>
        <w:rPr>
          <w:sz w:val="20"/>
          <w:szCs w:val="20"/>
          <w:rtl/>
        </w:rPr>
        <w:t xml:space="preserve"> שהוא אמר שלא ניתנה לו רשות מן השמים לחבר חיבור זה, אבל לא נמצא שם באיזה גיל היה כשחשב לכתחילה לעשות כן וגם לא שהראו לו אות מן השמים. ומסתמא </w:t>
      </w:r>
      <w:proofErr w:type="spellStart"/>
      <w:r>
        <w:rPr>
          <w:sz w:val="20"/>
          <w:szCs w:val="20"/>
          <w:rtl/>
        </w:rPr>
        <w:t>היתה</w:t>
      </w:r>
      <w:proofErr w:type="spellEnd"/>
      <w:r>
        <w:rPr>
          <w:sz w:val="20"/>
          <w:szCs w:val="20"/>
          <w:rtl/>
        </w:rPr>
        <w:t xml:space="preserve"> בליטא מסורת על הפרטים האלו (שבספרים שנכתבו על </w:t>
      </w:r>
      <w:proofErr w:type="spellStart"/>
      <w:r>
        <w:rPr>
          <w:sz w:val="20"/>
          <w:szCs w:val="20"/>
          <w:rtl/>
        </w:rPr>
        <w:t>הגר״א</w:t>
      </w:r>
      <w:proofErr w:type="spellEnd"/>
      <w:r>
        <w:rPr>
          <w:sz w:val="20"/>
          <w:szCs w:val="20"/>
          <w:rtl/>
        </w:rPr>
        <w:t xml:space="preserve"> לא הוזכרו).</w:t>
      </w:r>
    </w:p>
  </w:footnote>
  <w:footnote w:id="5293">
    <w:p w14:paraId="4CCE697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מלכים ב </w:t>
      </w:r>
      <w:proofErr w:type="spellStart"/>
      <w:r>
        <w:rPr>
          <w:sz w:val="20"/>
          <w:szCs w:val="20"/>
          <w:rtl/>
        </w:rPr>
        <w:t>ב</w:t>
      </w:r>
      <w:proofErr w:type="spellEnd"/>
      <w:r>
        <w:rPr>
          <w:sz w:val="20"/>
          <w:szCs w:val="20"/>
          <w:rtl/>
        </w:rPr>
        <w:t>, יא.</w:t>
      </w:r>
    </w:p>
  </w:footnote>
  <w:footnote w:id="5294">
    <w:p w14:paraId="25B0DF7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שמות ד, ח.</w:t>
      </w:r>
    </w:p>
  </w:footnote>
  <w:footnote w:id="5295">
    <w:p w14:paraId="0D79748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מכתבו של ר׳ </w:t>
      </w:r>
      <w:proofErr w:type="spellStart"/>
      <w:r>
        <w:rPr>
          <w:sz w:val="20"/>
          <w:szCs w:val="20"/>
          <w:rtl/>
        </w:rPr>
        <w:t>איסר־זלמן</w:t>
      </w:r>
      <w:proofErr w:type="spellEnd"/>
      <w:r>
        <w:rPr>
          <w:sz w:val="20"/>
          <w:szCs w:val="20"/>
          <w:rtl/>
        </w:rPr>
        <w:t xml:space="preserve"> מלצר </w:t>
      </w:r>
      <w:proofErr w:type="spellStart"/>
      <w:r>
        <w:rPr>
          <w:sz w:val="20"/>
          <w:szCs w:val="20"/>
          <w:rtl/>
        </w:rPr>
        <w:t>ל“הנאמן</w:t>
      </w:r>
      <w:proofErr w:type="spellEnd"/>
      <w:r>
        <w:rPr>
          <w:sz w:val="20"/>
          <w:szCs w:val="20"/>
          <w:rtl/>
        </w:rPr>
        <w:t>”, שם, עמ׳ רעה.</w:t>
      </w:r>
    </w:p>
  </w:footnote>
  <w:footnote w:id="5296">
    <w:p w14:paraId="0779386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רפה.</w:t>
      </w:r>
    </w:p>
  </w:footnote>
  <w:footnote w:id="5297">
    <w:p w14:paraId="50750E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מכתבו של ר׳ </w:t>
      </w:r>
      <w:proofErr w:type="spellStart"/>
      <w:r>
        <w:rPr>
          <w:sz w:val="20"/>
          <w:szCs w:val="20"/>
          <w:rtl/>
        </w:rPr>
        <w:t>איסר־זלמן</w:t>
      </w:r>
      <w:proofErr w:type="spellEnd"/>
      <w:r>
        <w:rPr>
          <w:sz w:val="20"/>
          <w:szCs w:val="20"/>
          <w:rtl/>
        </w:rPr>
        <w:t xml:space="preserve"> מלצר </w:t>
      </w:r>
      <w:proofErr w:type="spellStart"/>
      <w:r>
        <w:rPr>
          <w:sz w:val="20"/>
          <w:szCs w:val="20"/>
          <w:rtl/>
        </w:rPr>
        <w:t>ל“הנאמן</w:t>
      </w:r>
      <w:proofErr w:type="spellEnd"/>
      <w:r>
        <w:rPr>
          <w:sz w:val="20"/>
          <w:szCs w:val="20"/>
          <w:rtl/>
        </w:rPr>
        <w:t>”.</w:t>
      </w:r>
    </w:p>
  </w:footnote>
  <w:footnote w:id="5298">
    <w:p w14:paraId="35C48F7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“בעקבות היראה”, עמ׳ ז.</w:t>
      </w:r>
    </w:p>
  </w:footnote>
  <w:footnote w:id="5299">
    <w:p w14:paraId="50C13B7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proofErr w:type="spellStart"/>
      <w:r>
        <w:rPr>
          <w:sz w:val="20"/>
          <w:szCs w:val="20"/>
          <w:rtl/>
        </w:rPr>
        <w:t>ניו־יורק</w:t>
      </w:r>
      <w:proofErr w:type="spellEnd"/>
      <w:r>
        <w:rPr>
          <w:sz w:val="20"/>
          <w:szCs w:val="20"/>
          <w:rtl/>
        </w:rPr>
        <w:t>, תש״ז – עמ׳ לא.</w:t>
      </w:r>
    </w:p>
  </w:footnote>
  <w:footnote w:id="5300">
    <w:p w14:paraId="2012757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היה זה לאחר שר׳ שלמה עזב את לימודו אצל ר׳ חיים – ראה הפסקה השנייה בנספח ח בפרק זה.</w:t>
      </w:r>
    </w:p>
  </w:footnote>
  <w:footnote w:id="5301">
    <w:p w14:paraId="7F31CD3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עמ׳ </w:t>
      </w:r>
      <w:proofErr w:type="spellStart"/>
      <w:r>
        <w:rPr>
          <w:sz w:val="20"/>
          <w:szCs w:val="20"/>
          <w:rtl/>
        </w:rPr>
        <w:t>כב</w:t>
      </w:r>
      <w:proofErr w:type="spellEnd"/>
      <w:r>
        <w:rPr>
          <w:sz w:val="20"/>
          <w:szCs w:val="20"/>
          <w:rtl/>
        </w:rPr>
        <w:t>, נדפס שוב מן “הירחון ‘ההד׳ הירושלמי”.</w:t>
      </w:r>
    </w:p>
  </w:footnote>
  <w:footnote w:id="5302">
    <w:p w14:paraId="3499C50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נזכר בפרק 3, הפסקה השנייה של נספח </w:t>
      </w:r>
      <w:proofErr w:type="spellStart"/>
      <w:r>
        <w:rPr>
          <w:sz w:val="20"/>
          <w:szCs w:val="20"/>
          <w:rtl/>
        </w:rPr>
        <w:t>טז</w:t>
      </w:r>
      <w:proofErr w:type="spellEnd"/>
      <w:r>
        <w:rPr>
          <w:sz w:val="20"/>
          <w:szCs w:val="20"/>
          <w:rtl/>
        </w:rPr>
        <w:t>.</w:t>
      </w:r>
    </w:p>
  </w:footnote>
  <w:footnote w:id="5303">
    <w:p w14:paraId="0A27F9C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המאמר בעמ׳ 26–27.</w:t>
      </w:r>
    </w:p>
  </w:footnote>
  <w:footnote w:id="5304">
    <w:p w14:paraId="3AA7150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שלפני האחרונה של נספח ו לעיל – עמ׳ 7–8.</w:t>
      </w:r>
    </w:p>
  </w:footnote>
  <w:footnote w:id="5305">
    <w:p w14:paraId="36DE621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הערה 20.</w:t>
      </w:r>
    </w:p>
  </w:footnote>
  <w:footnote w:id="5306">
    <w:p w14:paraId="0C650CA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פרק 4, הערה 20.</w:t>
      </w:r>
    </w:p>
  </w:footnote>
  <w:footnote w:id="5307">
    <w:p w14:paraId="1BA4354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נזכר בפרק 3, הפסקה השנייה של נספח </w:t>
      </w:r>
      <w:proofErr w:type="spellStart"/>
      <w:r>
        <w:rPr>
          <w:sz w:val="20"/>
          <w:szCs w:val="20"/>
          <w:rtl/>
        </w:rPr>
        <w:t>טז</w:t>
      </w:r>
      <w:proofErr w:type="spellEnd"/>
      <w:r>
        <w:rPr>
          <w:sz w:val="20"/>
          <w:szCs w:val="20"/>
          <w:rtl/>
        </w:rPr>
        <w:t xml:space="preserve"> – עמ׳ 10.</w:t>
      </w:r>
    </w:p>
  </w:footnote>
  <w:footnote w:id="5308">
    <w:p w14:paraId="059C6B8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השמטת השיבה </w:t>
      </w:r>
      <w:proofErr w:type="spellStart"/>
      <w:r>
        <w:rPr>
          <w:sz w:val="20"/>
          <w:szCs w:val="20"/>
          <w:rtl/>
        </w:rPr>
        <w:t>לבריסק</w:t>
      </w:r>
      <w:proofErr w:type="spellEnd"/>
      <w:r>
        <w:rPr>
          <w:sz w:val="20"/>
          <w:szCs w:val="20"/>
          <w:rtl/>
        </w:rPr>
        <w:t xml:space="preserve"> במאמרו של ניסן וקסמן </w:t>
      </w:r>
      <w:proofErr w:type="spellStart"/>
      <w:r>
        <w:rPr>
          <w:sz w:val="20"/>
          <w:szCs w:val="20"/>
          <w:rtl/>
        </w:rPr>
        <w:t>ב“תלפיות</w:t>
      </w:r>
      <w:proofErr w:type="spellEnd"/>
      <w:r>
        <w:rPr>
          <w:sz w:val="20"/>
          <w:szCs w:val="20"/>
          <w:rtl/>
        </w:rPr>
        <w:t xml:space="preserve">”, ובייחוד סיפורו שר׳ שלמה </w:t>
      </w:r>
      <w:proofErr w:type="spellStart"/>
      <w:r>
        <w:rPr>
          <w:sz w:val="20"/>
          <w:szCs w:val="20"/>
          <w:rtl/>
        </w:rPr>
        <w:t>פוליצ׳ק</w:t>
      </w:r>
      <w:proofErr w:type="spellEnd"/>
      <w:r>
        <w:rPr>
          <w:sz w:val="20"/>
          <w:szCs w:val="20"/>
          <w:rtl/>
        </w:rPr>
        <w:t xml:space="preserve"> “הצטער כל ימיו על שגרם לרבו צער”, כאמור לעיל, מורים שר׳ שלמה לא שב </w:t>
      </w:r>
      <w:proofErr w:type="spellStart"/>
      <w:r>
        <w:rPr>
          <w:sz w:val="20"/>
          <w:szCs w:val="20"/>
          <w:rtl/>
        </w:rPr>
        <w:t>לבריסק</w:t>
      </w:r>
      <w:proofErr w:type="spellEnd"/>
      <w:r>
        <w:rPr>
          <w:sz w:val="20"/>
          <w:szCs w:val="20"/>
          <w:rtl/>
        </w:rPr>
        <w:t xml:space="preserve">. מלבד זאת, היה עליו להתייצב לגיוס מוקדם יותר, בגיל </w:t>
      </w:r>
      <w:proofErr w:type="spellStart"/>
      <w:r>
        <w:rPr>
          <w:sz w:val="20"/>
          <w:szCs w:val="20"/>
          <w:rtl/>
        </w:rPr>
        <w:t>שמונה־עשרה</w:t>
      </w:r>
      <w:proofErr w:type="spellEnd"/>
      <w:r>
        <w:rPr>
          <w:sz w:val="20"/>
          <w:szCs w:val="20"/>
          <w:rtl/>
        </w:rPr>
        <w:t xml:space="preserve"> (כפי שנזכר עמ׳ </w:t>
      </w:r>
      <w:r>
        <w:rPr>
          <w:sz w:val="20"/>
          <w:szCs w:val="20"/>
          <w:rtl/>
        </w:rPr>
        <w:fldChar w:fldCharType="begin" w:dirty="true"/>
      </w:r>
      <w:r>
        <w:rPr>
          <w:sz w:val="20"/>
          <w:szCs w:val="20"/>
          <w:rtl/>
        </w:rPr>
        <w:instrText xml:space="preserve"> PAGEREF pr_b_1416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w:t>
      </w:r>
      <w:proofErr w:type="spellStart"/>
      <w:r>
        <w:rPr>
          <w:sz w:val="20"/>
          <w:szCs w:val="20"/>
          <w:rtl/>
        </w:rPr>
        <w:t>בתרנ״ה</w:t>
      </w:r>
      <w:proofErr w:type="spellEnd"/>
      <w:r>
        <w:rPr>
          <w:sz w:val="20"/>
          <w:szCs w:val="20"/>
          <w:rtl/>
        </w:rPr>
        <w:t>.</w:t>
      </w:r>
    </w:p>
  </w:footnote>
  <w:footnote w:id="5309">
    <w:p w14:paraId="5CD64DF2"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עמ׳ </w:t>
      </w:r>
      <w:proofErr w:type="spellStart"/>
      <w:r>
        <w:rPr>
          <w:sz w:val="20"/>
          <w:szCs w:val="20"/>
          <w:rtl/>
        </w:rPr>
        <w:t>יב</w:t>
      </w:r>
      <w:proofErr w:type="spellEnd"/>
      <w:r>
        <w:rPr>
          <w:sz w:val="20"/>
          <w:szCs w:val="20"/>
          <w:rtl/>
        </w:rPr>
        <w:t xml:space="preserve"> בפתיחה “מתולדותיו” </w:t>
      </w:r>
      <w:proofErr w:type="spellStart"/>
      <w:r>
        <w:rPr>
          <w:sz w:val="20"/>
          <w:szCs w:val="20"/>
          <w:rtl/>
        </w:rPr>
        <w:t>ל“לב</w:t>
      </w:r>
      <w:proofErr w:type="spellEnd"/>
      <w:r>
        <w:rPr>
          <w:sz w:val="20"/>
          <w:szCs w:val="20"/>
          <w:rtl/>
        </w:rPr>
        <w:t xml:space="preserve"> אהרן” (נזכר עמ׳ </w:t>
      </w:r>
      <w:r>
        <w:rPr>
          <w:sz w:val="20"/>
          <w:szCs w:val="20"/>
          <w:rtl/>
        </w:rPr>
        <w:fldChar w:fldCharType="begin" w:dirty="true"/>
      </w:r>
      <w:r>
        <w:rPr>
          <w:sz w:val="20"/>
          <w:szCs w:val="20"/>
          <w:rtl/>
        </w:rPr>
        <w:instrText xml:space="preserve"> PAGEREF pr_f_1775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הערת שוליים </w:t>
      </w:r>
      <w:r>
        <w:rPr>
          <w:sz w:val="20"/>
          <w:szCs w:val="20"/>
          <w:rtl/>
        </w:rPr>
        <w:fldChar w:fldCharType="begin" w:dirty="true"/>
      </w:r>
      <w:r>
        <w:rPr>
          <w:sz w:val="20"/>
          <w:szCs w:val="20"/>
          <w:rtl/>
        </w:rPr>
        <w:instrText xml:space="preserve"> NOTEREF pr_f_1775 \h </w:instrText>
      </w:r>
      <w:r>
        <w:rPr>
          <w:sz w:val="20"/>
          <w:szCs w:val="20"/>
          <w:rtl/>
        </w:rPr>
      </w:r>
      <w:r>
        <w:rPr>
          <w:sz w:val="20"/>
          <w:szCs w:val="20"/>
          <w:rtl/>
        </w:rPr>
        <w:fldChar w:fldCharType="separate"/>
      </w:r>
      <w:r w:rsidR="007923E9">
        <w:rPr>
          <w:sz w:val="20"/>
          <w:szCs w:val="20"/>
          <w:rtl/>
        </w:rPr>
        <w:t>822</w:t>
      </w:r>
      <w:r>
        <w:rPr>
          <w:sz w:val="20"/>
          <w:szCs w:val="20"/>
          <w:rtl/>
        </w:rPr>
        <w:fldChar w:fldCharType="end"/>
      </w:r>
      <w:r>
        <w:rPr>
          <w:sz w:val="20"/>
          <w:szCs w:val="20"/>
          <w:rtl/>
        </w:rPr>
        <w:t>).</w:t>
      </w:r>
    </w:p>
  </w:footnote>
  <w:footnote w:id="5310">
    <w:p w14:paraId="24791B5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9 באוקטובר 1998.</w:t>
      </w:r>
    </w:p>
  </w:footnote>
  <w:footnote w:id="5311">
    <w:p w14:paraId="551A13E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הערה 40 לעיל.</w:t>
      </w:r>
    </w:p>
  </w:footnote>
  <w:footnote w:id="5312">
    <w:p w14:paraId="647A22B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8 באוקטובר 2001.</w:t>
      </w:r>
    </w:p>
  </w:footnote>
  <w:footnote w:id="5313">
    <w:p w14:paraId="3C9391B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הכרונולוגיה בעמ׳ 27 במאמרו של ר׳ אהרן </w:t>
      </w:r>
      <w:proofErr w:type="spellStart"/>
      <w:r>
        <w:rPr>
          <w:sz w:val="20"/>
          <w:szCs w:val="20"/>
          <w:rtl/>
        </w:rPr>
        <w:t>רבינוביץ</w:t>
      </w:r>
      <w:proofErr w:type="spellEnd"/>
      <w:r>
        <w:rPr>
          <w:sz w:val="20"/>
          <w:szCs w:val="20"/>
          <w:rtl/>
        </w:rPr>
        <w:t xml:space="preserve">, רבה של לידה, שנזכר לעיל, מייחסת עשר שנים לכהונתו של ר׳ שלמה </w:t>
      </w:r>
      <w:proofErr w:type="spellStart"/>
      <w:r>
        <w:rPr>
          <w:sz w:val="20"/>
          <w:szCs w:val="20"/>
          <w:rtl/>
        </w:rPr>
        <w:t>פוליצ׳ק</w:t>
      </w:r>
      <w:proofErr w:type="spellEnd"/>
      <w:r>
        <w:rPr>
          <w:sz w:val="20"/>
          <w:szCs w:val="20"/>
          <w:rtl/>
        </w:rPr>
        <w:t xml:space="preserve"> שם.</w:t>
      </w:r>
    </w:p>
  </w:footnote>
  <w:footnote w:id="5314">
    <w:p w14:paraId="044ADAC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12.</w:t>
      </w:r>
    </w:p>
  </w:footnote>
  <w:footnote w:id="5315">
    <w:p w14:paraId="46B7B2F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כאמור בנספח ה לעיל.</w:t>
      </w:r>
    </w:p>
  </w:footnote>
  <w:footnote w:id="5316">
    <w:p w14:paraId="1059DA8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שהות זו מתועדת שם, עמ׳ 13.</w:t>
      </w:r>
    </w:p>
  </w:footnote>
  <w:footnote w:id="5317">
    <w:p w14:paraId="6220CE8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13–14.</w:t>
      </w:r>
    </w:p>
  </w:footnote>
  <w:footnote w:id="5318">
    <w:p w14:paraId="1FA0AD7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הדבר מתואר במאמרו של גורדון </w:t>
      </w:r>
      <w:proofErr w:type="spellStart"/>
      <w:r>
        <w:rPr>
          <w:sz w:val="20"/>
          <w:szCs w:val="20"/>
          <w:rtl/>
        </w:rPr>
        <w:t>ב“ההד</w:t>
      </w:r>
      <w:proofErr w:type="spellEnd"/>
      <w:r>
        <w:rPr>
          <w:sz w:val="20"/>
          <w:szCs w:val="20"/>
          <w:rtl/>
        </w:rPr>
        <w:t xml:space="preserve">”, עמ׳ </w:t>
      </w:r>
      <w:proofErr w:type="spellStart"/>
      <w:r>
        <w:rPr>
          <w:sz w:val="20"/>
          <w:szCs w:val="20"/>
          <w:rtl/>
        </w:rPr>
        <w:t>כו</w:t>
      </w:r>
      <w:proofErr w:type="spellEnd"/>
      <w:r>
        <w:rPr>
          <w:sz w:val="20"/>
          <w:szCs w:val="20"/>
          <w:rtl/>
        </w:rPr>
        <w:t>–</w:t>
      </w:r>
      <w:proofErr w:type="spellStart"/>
      <w:r>
        <w:rPr>
          <w:sz w:val="20"/>
          <w:szCs w:val="20"/>
          <w:rtl/>
        </w:rPr>
        <w:t>כז</w:t>
      </w:r>
      <w:proofErr w:type="spellEnd"/>
      <w:r>
        <w:rPr>
          <w:sz w:val="20"/>
          <w:szCs w:val="20"/>
          <w:rtl/>
        </w:rPr>
        <w:t xml:space="preserve">, מפי אחד מתלמידיו (שהיה אז כבן </w:t>
      </w:r>
      <w:proofErr w:type="spellStart"/>
      <w:r>
        <w:rPr>
          <w:sz w:val="20"/>
          <w:szCs w:val="20"/>
          <w:rtl/>
        </w:rPr>
        <w:t>ארבע־עשרה</w:t>
      </w:r>
      <w:proofErr w:type="spellEnd"/>
      <w:r>
        <w:rPr>
          <w:sz w:val="20"/>
          <w:szCs w:val="20"/>
          <w:rtl/>
        </w:rPr>
        <w:t>).</w:t>
      </w:r>
    </w:p>
  </w:footnote>
  <w:footnote w:id="5319">
    <w:p w14:paraId="722BC1E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כאמור בפרק 1, נספח ג.</w:t>
      </w:r>
    </w:p>
  </w:footnote>
  <w:footnote w:id="5320">
    <w:p w14:paraId="13BB086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כאמור בפסקה הראשונה של נספח ד לעיל.</w:t>
      </w:r>
    </w:p>
  </w:footnote>
  <w:footnote w:id="5321">
    <w:p w14:paraId="093D00C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2, הערה 93.</w:t>
      </w:r>
    </w:p>
  </w:footnote>
  <w:footnote w:id="5322">
    <w:p w14:paraId="0452903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כרך 2.</w:t>
      </w:r>
    </w:p>
  </w:footnote>
  <w:footnote w:id="5323">
    <w:p w14:paraId="6E73F00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השישית של נספח ב לעיל – כרך 2, עמ׳ 258–259.</w:t>
      </w:r>
    </w:p>
  </w:footnote>
  <w:footnote w:id="5324">
    <w:p w14:paraId="70CC89D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3, הפסקה השלישית של נספח יד.</w:t>
      </w:r>
    </w:p>
  </w:footnote>
  <w:footnote w:id="5325">
    <w:p w14:paraId="71D117F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השווה גם פרק 3, הפסקה השישית של נספח </w:t>
      </w:r>
      <w:proofErr w:type="spellStart"/>
      <w:r>
        <w:rPr>
          <w:sz w:val="20"/>
          <w:szCs w:val="20"/>
          <w:rtl/>
        </w:rPr>
        <w:t>יח</w:t>
      </w:r>
      <w:proofErr w:type="spellEnd"/>
      <w:r>
        <w:rPr>
          <w:sz w:val="20"/>
          <w:szCs w:val="20"/>
          <w:rtl/>
        </w:rPr>
        <w:t>.</w:t>
      </w:r>
    </w:p>
  </w:footnote>
  <w:footnote w:id="5326">
    <w:p w14:paraId="7D91E36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קמח–קמט.</w:t>
      </w:r>
    </w:p>
  </w:footnote>
  <w:footnote w:id="5327">
    <w:p w14:paraId="60CDE3E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השקפה שלילית כל כך על החברה נראית כמחזקת את מה שאמר לכאורה הרב יצחק זאב על אביו, טענה שהפרכתי – כפי שנרשם בפרק 4, הערת שוליים </w:t>
      </w:r>
      <w:r>
        <w:rPr>
          <w:sz w:val="20"/>
          <w:szCs w:val="20"/>
          <w:rtl/>
        </w:rPr>
        <w:fldChar w:fldCharType="begin" w:dirty="true"/>
      </w:r>
      <w:r>
        <w:rPr>
          <w:sz w:val="20"/>
          <w:szCs w:val="20"/>
          <w:rtl/>
        </w:rPr>
        <w:instrText xml:space="preserve"> NOTEREF pr_f_3840 \h </w:instrText>
      </w:r>
      <w:r>
        <w:rPr>
          <w:sz w:val="20"/>
          <w:szCs w:val="20"/>
          <w:rtl/>
        </w:rPr>
      </w:r>
      <w:r>
        <w:rPr>
          <w:sz w:val="20"/>
          <w:szCs w:val="20"/>
          <w:rtl/>
        </w:rPr>
        <w:fldChar w:fldCharType="separate"/>
      </w:r>
      <w:r w:rsidR="007923E9">
        <w:rPr>
          <w:sz w:val="20"/>
          <w:szCs w:val="20"/>
          <w:rtl/>
        </w:rPr>
        <w:t>917</w:t>
      </w:r>
      <w:r>
        <w:rPr>
          <w:sz w:val="20"/>
          <w:szCs w:val="20"/>
          <w:rtl/>
        </w:rPr>
        <w:fldChar w:fldCharType="end"/>
      </w:r>
      <w:r>
        <w:rPr>
          <w:sz w:val="20"/>
          <w:szCs w:val="20"/>
          <w:rtl/>
        </w:rPr>
        <w:t xml:space="preserve">, עמ׳ </w:t>
      </w:r>
      <w:r>
        <w:rPr>
          <w:sz w:val="20"/>
          <w:szCs w:val="20"/>
          <w:rtl/>
        </w:rPr>
        <w:fldChar w:fldCharType="begin" w:dirty="true"/>
      </w:r>
      <w:r>
        <w:rPr>
          <w:sz w:val="20"/>
          <w:szCs w:val="20"/>
          <w:rtl/>
        </w:rPr>
        <w:instrText xml:space="preserve"> PAGEREF pr_f_3840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5328">
    <w:p w14:paraId="55ADB82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השנייה של נספח ב לעיל.</w:t>
      </w:r>
    </w:p>
  </w:footnote>
  <w:footnote w:id="5329">
    <w:p w14:paraId="047EFE8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41–60.</w:t>
      </w:r>
    </w:p>
  </w:footnote>
  <w:footnote w:id="5330">
    <w:p w14:paraId="16F7174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58.</w:t>
      </w:r>
    </w:p>
  </w:footnote>
  <w:footnote w:id="5331">
    <w:p w14:paraId="2045966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שם, עמ׳ 58–59.</w:t>
      </w:r>
    </w:p>
  </w:footnote>
  <w:footnote w:id="5332">
    <w:p w14:paraId="28A8A8F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הפסקה השישית של נספח ב לעיל, שבה חזר הרב יצחק זאב </w:t>
      </w:r>
      <w:proofErr w:type="spellStart"/>
      <w:r>
        <w:rPr>
          <w:sz w:val="20"/>
          <w:szCs w:val="20"/>
          <w:rtl/>
        </w:rPr>
        <w:t>סולובייצ׳יק</w:t>
      </w:r>
      <w:proofErr w:type="spellEnd"/>
      <w:r>
        <w:rPr>
          <w:sz w:val="20"/>
          <w:szCs w:val="20"/>
          <w:rtl/>
        </w:rPr>
        <w:t xml:space="preserve"> על כך בשם ר׳ ישראל </w:t>
      </w:r>
      <w:proofErr w:type="spellStart"/>
      <w:r>
        <w:rPr>
          <w:sz w:val="20"/>
          <w:szCs w:val="20"/>
          <w:rtl/>
        </w:rPr>
        <w:t>סלנטר</w:t>
      </w:r>
      <w:proofErr w:type="spellEnd"/>
      <w:r>
        <w:rPr>
          <w:sz w:val="20"/>
          <w:szCs w:val="20"/>
          <w:rtl/>
        </w:rPr>
        <w:t>.</w:t>
      </w:r>
    </w:p>
  </w:footnote>
  <w:footnote w:id="5333">
    <w:p w14:paraId="6965FB1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נזכר בפרק 3, נספח </w:t>
      </w:r>
      <w:proofErr w:type="spellStart"/>
      <w:r>
        <w:rPr>
          <w:sz w:val="20"/>
          <w:szCs w:val="20"/>
          <w:rtl/>
        </w:rPr>
        <w:t>יב</w:t>
      </w:r>
      <w:proofErr w:type="spellEnd"/>
      <w:r>
        <w:rPr>
          <w:sz w:val="20"/>
          <w:szCs w:val="20"/>
          <w:rtl/>
        </w:rPr>
        <w:t xml:space="preserve"> – עמ׳ </w:t>
      </w:r>
      <w:proofErr w:type="spellStart"/>
      <w:r>
        <w:rPr>
          <w:sz w:val="20"/>
          <w:szCs w:val="20"/>
          <w:rtl/>
        </w:rPr>
        <w:t>יב</w:t>
      </w:r>
      <w:proofErr w:type="spellEnd"/>
      <w:r>
        <w:rPr>
          <w:sz w:val="20"/>
          <w:szCs w:val="20"/>
          <w:rtl/>
        </w:rPr>
        <w:t xml:space="preserve">–יד. הוא נכתב בי׳ בניסן תרס״ט, ומוען </w:t>
      </w:r>
      <w:proofErr w:type="spellStart"/>
      <w:r>
        <w:rPr>
          <w:sz w:val="20"/>
          <w:szCs w:val="20"/>
          <w:rtl/>
        </w:rPr>
        <w:t>לר</w:t>
      </w:r>
      <w:proofErr w:type="spellEnd"/>
      <w:r>
        <w:rPr>
          <w:sz w:val="20"/>
          <w:szCs w:val="20"/>
          <w:rtl/>
        </w:rPr>
        <w:t xml:space="preserve">׳ </w:t>
      </w:r>
      <w:proofErr w:type="spellStart"/>
      <w:r>
        <w:rPr>
          <w:sz w:val="20"/>
          <w:szCs w:val="20"/>
          <w:rtl/>
        </w:rPr>
        <w:t>יצחק־אייזיק</w:t>
      </w:r>
      <w:proofErr w:type="spellEnd"/>
      <w:r>
        <w:rPr>
          <w:sz w:val="20"/>
          <w:szCs w:val="20"/>
          <w:rtl/>
        </w:rPr>
        <w:t xml:space="preserve"> הלוי.</w:t>
      </w:r>
    </w:p>
  </w:footnote>
  <w:footnote w:id="5334">
    <w:p w14:paraId="085F986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פרק 3, נספח </w:t>
      </w:r>
      <w:proofErr w:type="spellStart"/>
      <w:r>
        <w:rPr>
          <w:sz w:val="20"/>
          <w:szCs w:val="20"/>
          <w:rtl/>
        </w:rPr>
        <w:t>יב</w:t>
      </w:r>
      <w:proofErr w:type="spellEnd"/>
      <w:r>
        <w:rPr>
          <w:sz w:val="20"/>
          <w:szCs w:val="20"/>
          <w:rtl/>
        </w:rPr>
        <w:t>.</w:t>
      </w:r>
    </w:p>
  </w:footnote>
  <w:footnote w:id="5335">
    <w:p w14:paraId="5665529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ייתכן שר׳ חיים התכוון גם לכך שסבל מקשיים בשליטה בצרכיו, ושבמעברי הגבול, שבהם רותקו כל הנוסעים לקרונותיהם עד שנבדקו ניירותיהם, לא היה חופשי לעשות את צרכיו – דבר שהזיק לבריאותו.</w:t>
      </w:r>
    </w:p>
  </w:footnote>
  <w:footnote w:id="5336">
    <w:p w14:paraId="081F7D0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השישית של נספח ב לעיל – עמ׳ 217–218.</w:t>
      </w:r>
    </w:p>
  </w:footnote>
  <w:footnote w:id="5337">
    <w:p w14:paraId="3B0B174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לעיל, הפסקה השישית של נספח ב, ופרק 2, הפסקה התשיעית של נספח א.</w:t>
      </w:r>
    </w:p>
  </w:footnote>
  <w:footnote w:id="5338">
    <w:p w14:paraId="3389EEE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21 בספטמבר 1993.</w:t>
      </w:r>
    </w:p>
  </w:footnote>
  <w:footnote w:id="5339">
    <w:p w14:paraId="4D9F703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כשדיבר ר׳ משה על “המשפחה” התכוון לבית אביו, ולא למשפחת </w:t>
      </w:r>
      <w:proofErr w:type="spellStart"/>
      <w:r>
        <w:rPr>
          <w:sz w:val="20"/>
          <w:szCs w:val="20"/>
          <w:rtl/>
        </w:rPr>
        <w:t>סולובייצ׳יק</w:t>
      </w:r>
      <w:proofErr w:type="spellEnd"/>
      <w:r>
        <w:rPr>
          <w:sz w:val="20"/>
          <w:szCs w:val="20"/>
          <w:rtl/>
        </w:rPr>
        <w:t xml:space="preserve"> המורחבת. כך עולה מן ההסבר שנתן הרב יצחק זאב על בריאות אביו, כפי שסיפר בנו ר׳ </w:t>
      </w:r>
      <w:proofErr w:type="spellStart"/>
      <w:r>
        <w:rPr>
          <w:sz w:val="20"/>
          <w:szCs w:val="20"/>
          <w:rtl/>
        </w:rPr>
        <w:t>משולם־דוד</w:t>
      </w:r>
      <w:proofErr w:type="spellEnd"/>
      <w:r>
        <w:rPr>
          <w:sz w:val="20"/>
          <w:szCs w:val="20"/>
          <w:rtl/>
        </w:rPr>
        <w:t xml:space="preserve"> ב־26 באוקטובר 1993, וכפי שהובא בסוף נספח זה.</w:t>
      </w:r>
    </w:p>
  </w:footnote>
  <w:footnote w:id="5340">
    <w:p w14:paraId="78A07BF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השנייה של נספח ב לעיל – עמ׳ ע–</w:t>
      </w:r>
      <w:proofErr w:type="spellStart"/>
      <w:r>
        <w:rPr>
          <w:sz w:val="20"/>
          <w:szCs w:val="20"/>
          <w:rtl/>
        </w:rPr>
        <w:t>עא</w:t>
      </w:r>
      <w:proofErr w:type="spellEnd"/>
      <w:r>
        <w:rPr>
          <w:sz w:val="20"/>
          <w:szCs w:val="20"/>
          <w:rtl/>
        </w:rPr>
        <w:t xml:space="preserve"> בעימוד השני.</w:t>
      </w:r>
    </w:p>
  </w:footnote>
  <w:footnote w:id="5341">
    <w:p w14:paraId="3FC197D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הערת שוליים </w:t>
      </w:r>
      <w:r>
        <w:rPr>
          <w:rStyle w:val="a5"/>
          <w:sz w:val="20"/>
          <w:szCs w:val="20"/>
          <w:vertAlign w:val="baseline"/>
          <w:rtl/>
        </w:rPr>
        <w:fldChar w:fldCharType="begin" w:dirty="true"/>
      </w:r>
      <w:r>
        <w:rPr>
          <w:rStyle w:val="a5"/>
          <w:sz w:val="20"/>
          <w:szCs w:val="20"/>
          <w:vertAlign w:val="baseline"/>
          <w:rtl/>
        </w:rPr>
        <w:instrText xml:space="preserve"> NOTEREF pr_f_2383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1429</w:t>
      </w:r>
      <w:r>
        <w:rPr>
          <w:rStyle w:val="a5"/>
          <w:sz w:val="20"/>
          <w:szCs w:val="20"/>
          <w:vertAlign w:val="baseline"/>
          <w:rtl/>
        </w:rPr>
        <w:fldChar w:fldCharType="end"/>
      </w:r>
      <w:r>
        <w:rPr>
          <w:rStyle w:val="a5"/>
          <w:sz w:val="20"/>
          <w:szCs w:val="20"/>
          <w:vertAlign w:val="baseline"/>
          <w:rtl/>
        </w:rPr>
        <w:t xml:space="preserve">, עמ׳ </w:t>
      </w:r>
      <w:r>
        <w:rPr>
          <w:rStyle w:val="a5"/>
          <w:sz w:val="20"/>
          <w:szCs w:val="20"/>
          <w:vertAlign w:val="baseline"/>
          <w:rtl/>
        </w:rPr>
        <w:fldChar w:fldCharType="begin" w:dirty="true"/>
      </w:r>
      <w:r>
        <w:rPr>
          <w:rStyle w:val="a5"/>
          <w:sz w:val="20"/>
          <w:szCs w:val="20"/>
          <w:vertAlign w:val="baseline"/>
          <w:rtl/>
        </w:rPr>
        <w:instrText xml:space="preserve"> PAGEREF pr_f_2383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w:t>
      </w:r>
    </w:p>
  </w:footnote>
  <w:footnote w:id="5342">
    <w:p w14:paraId="00EAE18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“יעקב מארק”, עמ׳ 59.</w:t>
      </w:r>
    </w:p>
  </w:footnote>
  <w:footnote w:id="5343">
    <w:p w14:paraId="4DDBE53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נספח ד לעיל – עמ׳ 598–601.</w:t>
      </w:r>
    </w:p>
  </w:footnote>
  <w:footnote w:id="5344">
    <w:p w14:paraId="07F6618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הפסקה הראשונה של נספח ו לעיל.</w:t>
      </w:r>
    </w:p>
  </w:footnote>
  <w:footnote w:id="5345">
    <w:p w14:paraId="120758F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נזכר בפרק 3, בסוף הפסקה השנייה של נספח כה – עמ׳ </w:t>
      </w:r>
      <w:proofErr w:type="spellStart"/>
      <w:r>
        <w:rPr>
          <w:sz w:val="20"/>
          <w:szCs w:val="20"/>
          <w:rtl/>
        </w:rPr>
        <w:t>קעד</w:t>
      </w:r>
      <w:proofErr w:type="spellEnd"/>
      <w:r>
        <w:rPr>
          <w:sz w:val="20"/>
          <w:szCs w:val="20"/>
          <w:rtl/>
        </w:rPr>
        <w:t>.</w:t>
      </w:r>
    </w:p>
  </w:footnote>
  <w:footnote w:id="5346">
    <w:p w14:paraId="3EED0A6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כרך 2.</w:t>
      </w:r>
    </w:p>
  </w:footnote>
  <w:footnote w:id="5347">
    <w:p w14:paraId="26B4988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שם, עמ׳ </w:t>
      </w:r>
      <w:proofErr w:type="spellStart"/>
      <w:r>
        <w:rPr>
          <w:sz w:val="20"/>
          <w:szCs w:val="20"/>
          <w:rtl/>
        </w:rPr>
        <w:t>קעה</w:t>
      </w:r>
      <w:proofErr w:type="spellEnd"/>
      <w:r>
        <w:rPr>
          <w:sz w:val="20"/>
          <w:szCs w:val="20"/>
          <w:rtl/>
        </w:rPr>
        <w:t>.</w:t>
      </w:r>
    </w:p>
  </w:footnote>
  <w:footnote w:id="5348">
    <w:p w14:paraId="794CA36C"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הלכות דעות פרק ו הלכה א.</w:t>
      </w:r>
    </w:p>
  </w:footnote>
  <w:footnote w:id="5349">
    <w:p w14:paraId="0C265668"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ראה “טעם ודעת” (נזכר בפרק 3, הערת שוליים </w:t>
      </w:r>
      <w:r>
        <w:rPr>
          <w:rStyle w:val="a5"/>
          <w:sz w:val="20"/>
          <w:szCs w:val="20"/>
          <w:vertAlign w:val="baseline"/>
          <w:rtl/>
        </w:rPr>
        <w:fldChar w:fldCharType="begin" w:dirty="true"/>
      </w:r>
      <w:r>
        <w:rPr>
          <w:rStyle w:val="a5"/>
          <w:sz w:val="20"/>
          <w:szCs w:val="20"/>
          <w:vertAlign w:val="baseline"/>
          <w:rtl/>
        </w:rPr>
        <w:instrText xml:space="preserve"> NOTEREF pr_f_2832 \h </w:instrText>
      </w:r>
      <w:r>
        <w:rPr>
          <w:rStyle w:val="a5"/>
          <w:sz w:val="20"/>
          <w:szCs w:val="20"/>
          <w:vertAlign w:val="baseline"/>
          <w:rtl/>
        </w:rPr>
      </w:r>
      <w:r>
        <w:rPr>
          <w:rStyle w:val="a5"/>
          <w:sz w:val="20"/>
          <w:szCs w:val="20"/>
          <w:vertAlign w:val="baseline"/>
          <w:rtl/>
        </w:rPr>
        <w:fldChar w:fldCharType="separate"/>
      </w:r>
      <w:r w:rsidR="007923E9">
        <w:rPr>
          <w:rStyle w:val="a5"/>
          <w:sz w:val="20"/>
          <w:szCs w:val="20"/>
          <w:vertAlign w:val="baseline"/>
          <w:rtl/>
        </w:rPr>
        <w:t>1879</w:t>
      </w:r>
      <w:r>
        <w:rPr>
          <w:rStyle w:val="a5"/>
          <w:sz w:val="20"/>
          <w:szCs w:val="20"/>
          <w:vertAlign w:val="baseline"/>
          <w:rtl/>
        </w:rPr>
        <w:fldChar w:fldCharType="end"/>
      </w:r>
      <w:r>
        <w:rPr>
          <w:rStyle w:val="a5"/>
          <w:sz w:val="20"/>
          <w:szCs w:val="20"/>
          <w:vertAlign w:val="baseline"/>
          <w:rtl/>
        </w:rPr>
        <w:t xml:space="preserve">, עמ׳ </w:t>
      </w:r>
      <w:r>
        <w:rPr>
          <w:rStyle w:val="a5"/>
          <w:sz w:val="20"/>
          <w:szCs w:val="20"/>
          <w:vertAlign w:val="baseline"/>
          <w:rtl/>
        </w:rPr>
        <w:fldChar w:fldCharType="begin" w:dirty="true"/>
      </w:r>
      <w:r>
        <w:rPr>
          <w:rStyle w:val="a5"/>
          <w:sz w:val="20"/>
          <w:szCs w:val="20"/>
          <w:vertAlign w:val="baseline"/>
          <w:rtl/>
        </w:rPr>
        <w:instrText xml:space="preserve"> PAGEREF pr_f_2832 \h </w:instrText>
      </w:r>
      <w:r>
        <w:rPr>
          <w:rStyle w:val="a5"/>
          <w:sz w:val="20"/>
          <w:szCs w:val="20"/>
          <w:vertAlign w:val="baseline"/>
          <w:rtl/>
        </w:rPr>
      </w:r>
      <w:r>
        <w:rPr>
          <w:rStyle w:val="a5"/>
          <w:sz w:val="20"/>
          <w:szCs w:val="20"/>
          <w:vertAlign w:val="baseline"/>
          <w:rtl/>
        </w:rPr>
        <w:fldChar w:fldCharType="separate"/>
      </w:r>
      <w:r w:rsidR="007923E9">
        <w:rPr>
          <w:rStyle w:val="a5"/>
          <w:noProof/>
          <w:sz w:val="20"/>
          <w:szCs w:val="20"/>
          <w:vertAlign w:val="baseline"/>
          <w:rtl/>
        </w:rPr>
        <w:t>1</w:t>
      </w:r>
      <w:r>
        <w:rPr>
          <w:rStyle w:val="a5"/>
          <w:sz w:val="20"/>
          <w:szCs w:val="20"/>
          <w:vertAlign w:val="baseline"/>
          <w:rtl/>
        </w:rPr>
        <w:fldChar w:fldCharType="end"/>
      </w:r>
      <w:r>
        <w:rPr>
          <w:sz w:val="20"/>
          <w:szCs w:val="20"/>
          <w:rtl/>
        </w:rPr>
        <w:t xml:space="preserve">), עמ׳ </w:t>
      </w:r>
      <w:proofErr w:type="spellStart"/>
      <w:r>
        <w:rPr>
          <w:sz w:val="20"/>
          <w:szCs w:val="20"/>
          <w:rtl/>
        </w:rPr>
        <w:t>רלט</w:t>
      </w:r>
      <w:proofErr w:type="spellEnd"/>
      <w:r>
        <w:rPr>
          <w:sz w:val="20"/>
          <w:szCs w:val="20"/>
          <w:rtl/>
        </w:rPr>
        <w:t xml:space="preserve"> בכרך על בראשית. שם כותב המחבר, ר׳ משה </w:t>
      </w:r>
      <w:proofErr w:type="spellStart"/>
      <w:r>
        <w:rPr>
          <w:sz w:val="20"/>
          <w:szCs w:val="20"/>
          <w:rtl/>
        </w:rPr>
        <w:t>שטרנבוך</w:t>
      </w:r>
      <w:proofErr w:type="spellEnd"/>
      <w:r>
        <w:rPr>
          <w:sz w:val="20"/>
          <w:szCs w:val="20"/>
          <w:rtl/>
        </w:rPr>
        <w:t xml:space="preserve">: “שמעתי מפי גדול אחד” – כנראה ר׳ אברהם </w:t>
      </w:r>
      <w:proofErr w:type="spellStart"/>
      <w:r>
        <w:rPr>
          <w:sz w:val="20"/>
          <w:szCs w:val="20"/>
          <w:rtl/>
        </w:rPr>
        <w:t>קלמנוביץ</w:t>
      </w:r>
      <w:proofErr w:type="spellEnd"/>
      <w:r>
        <w:rPr>
          <w:sz w:val="20"/>
          <w:szCs w:val="20"/>
          <w:rtl/>
        </w:rPr>
        <w:t xml:space="preserve"> – שביקר אצל ר׳ חיים ומצא את ביתו נעול וחשוך, ורק לאחר שצעק והתחנן שבא בעניין דחוף פתח לו ר׳ חיים את הדלת. כששאל בתדהמה מדוע הסתגר ר׳ חיים בחושך, נענה שהדבר נובע מפסק הרמב״ם: “ואם היו רעים וחטאים שאין מניחים אותו </w:t>
      </w:r>
      <w:proofErr w:type="spellStart"/>
      <w:r>
        <w:rPr>
          <w:sz w:val="20"/>
          <w:szCs w:val="20"/>
          <w:rtl/>
        </w:rPr>
        <w:t>לישב</w:t>
      </w:r>
      <w:proofErr w:type="spellEnd"/>
      <w:r>
        <w:rPr>
          <w:sz w:val="20"/>
          <w:szCs w:val="20"/>
          <w:rtl/>
        </w:rPr>
        <w:t xml:space="preserve"> במדינה אא״כ נתערב עמהן ונוהג במנהגם הרע יצא למערות ולחוחים ולמדברות”. ר׳ חיים אמר שלעיתים הוא מתבודד ומדמה בנפשו שהוא אכן במדבר.</w:t>
      </w:r>
    </w:p>
    <w:p w14:paraId="35CD841C" w14:textId="77777777" w:rsidR="00AB3647" w:rsidRDefault="00000000">
      <w:pPr>
        <w:spacing w:after="0" w:before="0"/>
        <w:jc w:val="both"/>
      </w:pPr>
      <w:r>
        <w:rPr>
          <w:sz w:val="20"/>
          <w:szCs w:val="20"/>
          <w:rtl/>
        </w:rPr>
        <w:t xml:space="preserve">ראה גם “מפניני הרב” (הערת שוליים </w:t>
      </w:r>
      <w:r>
        <w:rPr>
          <w:sz w:val="20"/>
          <w:szCs w:val="20"/>
          <w:rtl/>
        </w:rPr>
        <w:fldChar w:fldCharType="begin" w:dirty="true"/>
      </w:r>
      <w:r>
        <w:rPr>
          <w:sz w:val="20"/>
          <w:szCs w:val="20"/>
          <w:rtl/>
        </w:rPr>
        <w:instrText xml:space="preserve"> NOTEREF pr_f_4582 \h </w:instrText>
      </w:r>
      <w:r>
        <w:rPr>
          <w:sz w:val="20"/>
          <w:szCs w:val="20"/>
          <w:rtl/>
        </w:rPr>
      </w:r>
      <w:r>
        <w:rPr>
          <w:sz w:val="20"/>
          <w:szCs w:val="20"/>
          <w:rtl/>
        </w:rPr>
        <w:fldChar w:fldCharType="separate"/>
      </w:r>
      <w:r w:rsidR="007923E9">
        <w:rPr>
          <w:sz w:val="20"/>
          <w:szCs w:val="20"/>
          <w:rtl/>
        </w:rPr>
        <w:t>236</w:t>
      </w:r>
      <w:r>
        <w:rPr>
          <w:sz w:val="20"/>
          <w:szCs w:val="20"/>
          <w:rtl/>
        </w:rPr>
        <w:fldChar w:fldCharType="end"/>
      </w:r>
      <w:r>
        <w:rPr>
          <w:sz w:val="20"/>
          <w:szCs w:val="20"/>
          <w:rtl/>
        </w:rPr>
        <w:t xml:space="preserve">, עמ׳ </w:t>
      </w:r>
      <w:r>
        <w:rPr>
          <w:sz w:val="20"/>
          <w:szCs w:val="20"/>
          <w:rtl/>
        </w:rPr>
        <w:fldChar w:fldCharType="begin" w:dirty="true"/>
      </w:r>
      <w:r>
        <w:rPr>
          <w:sz w:val="20"/>
          <w:szCs w:val="20"/>
          <w:rtl/>
        </w:rPr>
        <w:instrText xml:space="preserve"> PAGEREF pr_f_4582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 xml:space="preserve">), עמ׳ </w:t>
      </w:r>
      <w:proofErr w:type="spellStart"/>
      <w:r>
        <w:rPr>
          <w:sz w:val="20"/>
          <w:szCs w:val="20"/>
          <w:rtl/>
        </w:rPr>
        <w:t>נג</w:t>
      </w:r>
      <w:proofErr w:type="spellEnd"/>
      <w:r>
        <w:rPr>
          <w:sz w:val="20"/>
          <w:szCs w:val="20"/>
          <w:rtl/>
        </w:rPr>
        <w:t xml:space="preserve">–נד: כשנאלץ הרב יצחק זאב </w:t>
      </w:r>
      <w:proofErr w:type="spellStart"/>
      <w:r>
        <w:rPr>
          <w:sz w:val="20"/>
          <w:szCs w:val="20"/>
          <w:rtl/>
        </w:rPr>
        <w:t>סולובייצ׳יק</w:t>
      </w:r>
      <w:proofErr w:type="spellEnd"/>
      <w:r>
        <w:rPr>
          <w:sz w:val="20"/>
          <w:szCs w:val="20"/>
          <w:rtl/>
        </w:rPr>
        <w:t xml:space="preserve"> לברוח מאירופה בפרוץ מלחמת העולם השנייה, לא אבה לשמוע על הגירה לארצות הברית בשל פסק זה של הרמב״ם. הוא סיפר ששמע מאביו, ר׳ חיים, שמאחר שהרמב״ם פסק שם שכל הארצות, אפילו בימיו, רעות וחטאות, ומאחר שאין אנו יודעים כיצד להתקיים במדבר, אין לנו ברירה אלא להתבודד בבית בלי קשר עם העולם שבחוץ. הרב יצחק זאב דחה את רעיון המעבר לאמריקה מפני ששמע ששם, שלא כבארץ ישראל באותה עת, “גם אם אטום את חלונותיי, תחדור השפעת החוץ אל הבית”.</w:t>
      </w:r>
    </w:p>
  </w:footnote>
  <w:footnote w:id="5350">
    <w:p w14:paraId="2852061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לא את תלמיד </w:t>
      </w:r>
      <w:proofErr w:type="spellStart"/>
      <w:r>
        <w:rPr>
          <w:sz w:val="20"/>
          <w:szCs w:val="20"/>
          <w:rtl/>
        </w:rPr>
        <w:t>וולוז׳ין</w:t>
      </w:r>
      <w:proofErr w:type="spellEnd"/>
      <w:r>
        <w:rPr>
          <w:sz w:val="20"/>
          <w:szCs w:val="20"/>
          <w:rtl/>
        </w:rPr>
        <w:t xml:space="preserve"> יצחק ברגר, שנזכר לעיל, האשים ר׳ אברהם </w:t>
      </w:r>
      <w:proofErr w:type="spellStart"/>
      <w:r>
        <w:rPr>
          <w:sz w:val="20"/>
          <w:szCs w:val="20"/>
          <w:rtl/>
        </w:rPr>
        <w:t>קלמנוביץ</w:t>
      </w:r>
      <w:proofErr w:type="spellEnd"/>
      <w:r>
        <w:rPr>
          <w:sz w:val="20"/>
          <w:szCs w:val="20"/>
          <w:rtl/>
        </w:rPr>
        <w:t xml:space="preserve"> בחשיפת המידע, שכן ברגר היה מזכיר הוועד ולא ראשו, כאמור לעיל, עמ׳ </w:t>
      </w:r>
      <w:r>
        <w:rPr>
          <w:sz w:val="20"/>
          <w:szCs w:val="20"/>
          <w:rtl/>
        </w:rPr>
        <w:fldChar w:fldCharType="begin" w:dirty="true"/>
      </w:r>
      <w:r>
        <w:rPr>
          <w:sz w:val="20"/>
          <w:szCs w:val="20"/>
          <w:rtl/>
        </w:rPr>
        <w:instrText xml:space="preserve"> PAGEREF pr_b_2872 \h </w:instrText>
      </w:r>
      <w:r>
        <w:rPr>
          <w:sz w:val="20"/>
          <w:szCs w:val="20"/>
          <w:rtl/>
        </w:rPr>
      </w:r>
      <w:r>
        <w:rPr>
          <w:sz w:val="20"/>
          <w:szCs w:val="20"/>
          <w:rtl/>
        </w:rPr>
        <w:fldChar w:fldCharType="separate"/>
      </w:r>
      <w:r w:rsidR="007923E9">
        <w:rPr>
          <w:noProof/>
          <w:sz w:val="20"/>
          <w:szCs w:val="20"/>
          <w:rtl/>
        </w:rPr>
        <w:t>1</w:t>
      </w:r>
      <w:r>
        <w:rPr>
          <w:sz w:val="20"/>
          <w:szCs w:val="20"/>
          <w:rtl/>
        </w:rPr>
        <w:fldChar w:fldCharType="end"/>
      </w:r>
      <w:r>
        <w:rPr>
          <w:sz w:val="20"/>
          <w:szCs w:val="20"/>
          <w:rtl/>
        </w:rPr>
        <w:t>.</w:t>
      </w:r>
    </w:p>
  </w:footnote>
  <w:footnote w:id="5351">
    <w:p w14:paraId="6DC01A4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האדמו״ר סיפר מעשה זה </w:t>
      </w:r>
      <w:proofErr w:type="spellStart"/>
      <w:r>
        <w:rPr>
          <w:sz w:val="20"/>
          <w:szCs w:val="20"/>
          <w:rtl/>
        </w:rPr>
        <w:t>לר</w:t>
      </w:r>
      <w:proofErr w:type="spellEnd"/>
      <w:r>
        <w:rPr>
          <w:sz w:val="20"/>
          <w:szCs w:val="20"/>
          <w:rtl/>
        </w:rPr>
        <w:t xml:space="preserve">׳ שמואל </w:t>
      </w:r>
      <w:proofErr w:type="spellStart"/>
      <w:r>
        <w:rPr>
          <w:sz w:val="20"/>
          <w:szCs w:val="20"/>
          <w:rtl/>
        </w:rPr>
        <w:t xml:space="preserve">אוירבך</w:t>
      </w:r>
      <w:proofErr w:type="spellEnd"/>
      <w:r>
        <w:rPr>
          <w:sz w:val="20"/>
          <w:szCs w:val="20"/>
          <w:rtl/>
        </w:rPr>
        <w:t xml:space="preserve">, שסיפרו </w:t>
      </w:r>
      <w:proofErr w:type="spellStart"/>
      <w:r>
        <w:rPr>
          <w:sz w:val="20"/>
          <w:szCs w:val="20"/>
          <w:rtl/>
        </w:rPr>
        <w:t>לר</w:t>
      </w:r>
      <w:proofErr w:type="spellEnd"/>
      <w:r>
        <w:rPr>
          <w:sz w:val="20"/>
          <w:szCs w:val="20"/>
          <w:rtl/>
        </w:rPr>
        <w:t xml:space="preserve">׳ שלום </w:t>
      </w:r>
      <w:proofErr w:type="spellStart"/>
      <w:r>
        <w:rPr>
          <w:sz w:val="20"/>
          <w:szCs w:val="20"/>
          <w:rtl/>
        </w:rPr>
        <w:t>גלבר</w:t>
      </w:r>
      <w:proofErr w:type="spellEnd"/>
      <w:r>
        <w:rPr>
          <w:sz w:val="20"/>
          <w:szCs w:val="20"/>
          <w:rtl/>
        </w:rPr>
        <w:t>, שרואיין ב־18 ביוני 2000.</w:t>
      </w:r>
    </w:p>
  </w:footnote>
  <w:footnote w:id="5352">
    <w:p w14:paraId="7DBD475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יומא דף פ״ב.</w:t>
      </w:r>
    </w:p>
  </w:footnote>
  <w:footnote w:id="5353">
    <w:p w14:paraId="6167F43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פרק 3, תחילת נספח לב.</w:t>
      </w:r>
    </w:p>
  </w:footnote>
  <w:footnote w:id="5354">
    <w:p w14:paraId="6C116AD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גם פרק 2, נספח א, תחילת הפסקה </w:t>
      </w:r>
      <w:proofErr w:type="spellStart"/>
      <w:r>
        <w:rPr>
          <w:sz w:val="20"/>
          <w:szCs w:val="20"/>
          <w:rtl/>
        </w:rPr>
        <w:t>העשרים־וארבע</w:t>
      </w:r>
      <w:proofErr w:type="spellEnd"/>
      <w:r>
        <w:rPr>
          <w:sz w:val="20"/>
          <w:szCs w:val="20"/>
          <w:rtl/>
        </w:rPr>
        <w:t>.</w:t>
      </w:r>
    </w:p>
  </w:footnote>
  <w:footnote w:id="5355">
    <w:p w14:paraId="07D64F80" w14:textId="77777777" w:rsidR="00AB3647" w:rsidRDefault="00000000">
      <w:pPr>
        <w:spacing w:after="0" w:before="0"/>
        <w:jc w:val="both"/>
      </w:pPr>
      <w:r>
        <w:rPr>
          <w:rStyle w:val="a5"/>
          <w:vertAlign w:val="superscript"/>
          <w:rtl/>
        </w:rPr>
        <w:footnoteRef/>
      </w:r>
      <w:r>
        <w:rPr>
          <w:sz w:val="20"/>
          <w:szCs w:val="20"/>
        </w:rPr>
        <w:t xml:space="preserve"> </w:t>
      </w:r>
      <w:r>
        <w:rPr>
          <w:rStyle w:val="a5"/>
          <w:color w:val="000000"/>
          <w:sz w:val="20"/>
          <w:szCs w:val="20"/>
          <w:vertAlign w:val="baseline"/>
          <w:rtl/>
        </w:rPr>
      </w:r>
      <w:r>
        <w:rPr>
          <w:sz w:val="20"/>
          <w:szCs w:val="20"/>
          <w:rtl/>
        </w:rPr>
        <w:t xml:space="preserve"/>
      </w:r>
      <w:r>
        <w:rPr>
          <w:b/>
          <w:color w:val="000000"/>
          <w:sz w:val="20"/>
          <w:szCs w:val="20"/>
          <w:rtl/>
        </w:rPr>
        <w:t xml:space="preserve">הערת המתרגם: </w:t>
      </w:r>
      <w:r>
        <w:rPr>
          <w:sz w:val="20"/>
          <w:szCs w:val="20"/>
          <w:rtl/>
        </w:rPr>
        <w:t>בנוסח המכתב המצוטט בנספח ט כתב ר׳ חיים שאינו אומר את דבריו “מתוך ענווה או שפלות הדעת”, כלומר שלל שתכונה זו היא המניע שלו.</w:t>
      </w:r>
    </w:p>
  </w:footnote>
  <w:footnote w:id="5356">
    <w:p w14:paraId="733D0AD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 יקותיאל </w:t>
      </w:r>
      <w:proofErr w:type="spellStart"/>
      <w:r>
        <w:rPr>
          <w:sz w:val="20"/>
          <w:szCs w:val="20"/>
          <w:rtl/>
        </w:rPr>
        <w:t>דז׳יקנסקי</w:t>
      </w:r>
      <w:proofErr w:type="spellEnd"/>
      <w:r>
        <w:rPr>
          <w:sz w:val="20"/>
          <w:szCs w:val="20"/>
          <w:rtl/>
        </w:rPr>
        <w:t xml:space="preserve"> מסר את המעשה </w:t>
      </w:r>
      <w:proofErr w:type="spellStart"/>
      <w:r>
        <w:rPr>
          <w:sz w:val="20"/>
          <w:szCs w:val="20"/>
          <w:rtl/>
        </w:rPr>
        <w:t>לר</w:t>
      </w:r>
      <w:proofErr w:type="spellEnd"/>
      <w:r>
        <w:rPr>
          <w:sz w:val="20"/>
          <w:szCs w:val="20"/>
          <w:rtl/>
        </w:rPr>
        <w:t xml:space="preserve">׳ ישראל </w:t>
      </w:r>
      <w:proofErr w:type="spellStart"/>
      <w:r>
        <w:rPr>
          <w:sz w:val="20"/>
          <w:szCs w:val="20"/>
          <w:rtl/>
        </w:rPr>
        <w:t>שורין</w:t>
      </w:r>
      <w:proofErr w:type="spellEnd"/>
      <w:r>
        <w:rPr>
          <w:sz w:val="20"/>
          <w:szCs w:val="20"/>
          <w:rtl/>
        </w:rPr>
        <w:t>, שרואיין ב־27 בנובמבר 1998.</w:t>
      </w:r>
    </w:p>
  </w:footnote>
  <w:footnote w:id="5357">
    <w:p w14:paraId="43B4902E"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w:t>
      </w:r>
      <w:proofErr w:type="spellStart"/>
      <w:r>
        <w:rPr>
          <w:sz w:val="20"/>
          <w:szCs w:val="20"/>
          <w:rtl/>
        </w:rPr>
        <w:t>שו״ע</w:t>
      </w:r>
      <w:proofErr w:type="spellEnd"/>
      <w:r>
        <w:rPr>
          <w:sz w:val="20"/>
          <w:szCs w:val="20"/>
          <w:rtl/>
        </w:rPr>
        <w:t xml:space="preserve"> </w:t>
      </w:r>
      <w:proofErr w:type="spellStart"/>
      <w:r>
        <w:rPr>
          <w:sz w:val="20"/>
          <w:szCs w:val="20"/>
          <w:rtl/>
        </w:rPr>
        <w:t>או״ח</w:t>
      </w:r>
      <w:proofErr w:type="spellEnd"/>
      <w:r>
        <w:rPr>
          <w:sz w:val="20"/>
          <w:szCs w:val="20"/>
          <w:rtl/>
        </w:rPr>
        <w:t xml:space="preserve"> סוף סי׳ תע״ב.</w:t>
      </w:r>
    </w:p>
  </w:footnote>
  <w:footnote w:id="5358">
    <w:p w14:paraId="010C14C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אותו מעשה מסופר במאמריו של </w:t>
      </w:r>
      <w:proofErr w:type="spellStart"/>
      <w:r>
        <w:rPr>
          <w:sz w:val="20"/>
          <w:szCs w:val="20"/>
          <w:rtl/>
        </w:rPr>
        <w:t>חייקל</w:t>
      </w:r>
      <w:proofErr w:type="spellEnd"/>
      <w:r>
        <w:rPr>
          <w:sz w:val="20"/>
          <w:szCs w:val="20"/>
          <w:rtl/>
        </w:rPr>
        <w:t xml:space="preserve"> </w:t>
      </w:r>
      <w:proofErr w:type="spellStart"/>
      <w:r>
        <w:rPr>
          <w:sz w:val="20"/>
          <w:szCs w:val="20"/>
          <w:rtl/>
        </w:rPr>
        <w:t>לונסקי</w:t>
      </w:r>
      <w:proofErr w:type="spellEnd"/>
      <w:r>
        <w:rPr>
          <w:sz w:val="20"/>
          <w:szCs w:val="20"/>
          <w:rtl/>
        </w:rPr>
        <w:t xml:space="preserve"> על אגדות העם על הגאון (המקור הנזכר, פרק 3, הפסקה השלישית של נספח </w:t>
      </w:r>
      <w:proofErr w:type="spellStart"/>
      <w:r>
        <w:rPr>
          <w:sz w:val="20"/>
          <w:szCs w:val="20"/>
          <w:rtl/>
        </w:rPr>
        <w:t>כו</w:t>
      </w:r>
      <w:proofErr w:type="spellEnd"/>
      <w:r>
        <w:rPr>
          <w:sz w:val="20"/>
          <w:szCs w:val="20"/>
          <w:rtl/>
        </w:rPr>
        <w:t xml:space="preserve">), אלא שנראה שהגאון מווילנה היה אז צעיר בהרבה מבן שנתיים: “זחל [</w:t>
      </w:r>
      <w:proofErr w:type="spellStart"/>
      <w:r>
        <w:rPr>
          <w:sz w:val="20"/>
          <w:szCs w:val="20"/>
          <w:rtl/>
        </w:rPr>
        <w:t>צוגעפויזעט</w:t>
      </w:r>
      <w:proofErr w:type="spellEnd"/>
      <w:r>
        <w:rPr>
          <w:sz w:val="20"/>
          <w:szCs w:val="20"/>
          <w:rtl/>
        </w:rPr>
        <w:t xml:space="preserve">] אל הדלי, לקח </w:t>
      </w:r>
      <w:proofErr w:type="spellStart"/>
      <w:r>
        <w:rPr>
          <w:sz w:val="20"/>
          <w:szCs w:val="20"/>
          <w:rtl/>
        </w:rPr>
        <w:t>קענדעל</w:t>
      </w:r>
      <w:proofErr w:type="spellEnd"/>
      <w:r>
        <w:rPr>
          <w:sz w:val="20"/>
          <w:szCs w:val="20"/>
          <w:rtl/>
        </w:rPr>
        <w:t xml:space="preserve"> [כלי קיבול] של מים ושפך אותם </w:t>
      </w:r>
      <w:proofErr w:type="spellStart"/>
      <w:r>
        <w:rPr>
          <w:sz w:val="20"/>
          <w:szCs w:val="20"/>
          <w:rtl/>
        </w:rPr>
        <w:t>וכו</w:t>
      </w:r>
      <w:proofErr w:type="spellEnd"/>
      <w:r>
        <w:rPr>
          <w:sz w:val="20"/>
          <w:szCs w:val="20"/>
          <w:rtl/>
        </w:rPr>
        <w:t>׳”.</w:t>
      </w:r>
    </w:p>
  </w:footnote>
  <w:footnote w:id="5359">
    <w:p w14:paraId="6C11678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על פי דברי רבי יוחנן במגילה ל״א ע״א, לפי הנוסח המתוקן בתפילת מוצאי שבת </w:t>
      </w:r>
      <w:proofErr w:type="spellStart"/>
      <w:r>
        <w:rPr>
          <w:sz w:val="20"/>
          <w:szCs w:val="20"/>
          <w:rtl/>
        </w:rPr>
        <w:t>ויתן</w:t>
      </w:r>
      <w:proofErr w:type="spellEnd"/>
      <w:r>
        <w:rPr>
          <w:sz w:val="20"/>
          <w:szCs w:val="20"/>
          <w:rtl/>
        </w:rPr>
        <w:t xml:space="preserve"> לך. ראה סידור אוצר התפלות (הוצאת ספר, ניו יורק</w:t>
      </w:r>
      <w:proofErr w:type="spellStart"/>
      <w:r>
        <w:rPr>
          <w:sz w:val="20"/>
          <w:szCs w:val="20"/>
          <w:rtl/>
        </w:rPr>
        <w:t xml:space="preserve"/>
      </w:r>
      <w:proofErr w:type="spellEnd"/>
      <w:r>
        <w:rPr>
          <w:sz w:val="20"/>
          <w:szCs w:val="20"/>
          <w:rtl/>
        </w:rPr>
        <w:t xml:space="preserve">, נ״י, תש״ו), עמ׳ </w:t>
      </w:r>
      <w:proofErr w:type="spellStart"/>
      <w:r>
        <w:rPr>
          <w:sz w:val="20"/>
          <w:szCs w:val="20"/>
          <w:rtl/>
        </w:rPr>
        <w:t>תכד</w:t>
      </w:r>
      <w:proofErr w:type="spellEnd"/>
      <w:r>
        <w:rPr>
          <w:sz w:val="20"/>
          <w:szCs w:val="20"/>
          <w:rtl/>
        </w:rPr>
        <w:t>, בפירוש ענף יוסף.</w:t>
      </w:r>
    </w:p>
  </w:footnote>
  <w:footnote w:id="5360">
    <w:p w14:paraId="72BCB8A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השישית של נספח ו לעיל – עמ׳ 442.</w:t>
      </w:r>
    </w:p>
  </w:footnote>
  <w:footnote w:id="5361">
    <w:p w14:paraId="4D048AA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השווה לפרק 3, סוף נספח יא, ולעיל, הפסקה החמישית של נספח ו, לפרטים נוספים.</w:t>
      </w:r>
    </w:p>
  </w:footnote>
  <w:footnote w:id="5362">
    <w:p w14:paraId="4247F41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מנהיגי העיר הללו היו חברי קבוצת המיעוט שתמכה במועמד שהעדיף ר׳ חיים, והם רצו שר׳ חיים יופיע בצורה מרשימה יותר בפני </w:t>
      </w:r>
      <w:proofErr w:type="spellStart"/>
      <w:r>
        <w:rPr>
          <w:sz w:val="20"/>
          <w:szCs w:val="20"/>
          <w:rtl/>
        </w:rPr>
        <w:t>ה“שיינע</w:t>
      </w:r>
      <w:proofErr w:type="spellEnd"/>
      <w:r>
        <w:rPr>
          <w:sz w:val="20"/>
          <w:szCs w:val="20"/>
          <w:rtl/>
        </w:rPr>
        <w:t xml:space="preserve"> </w:t>
      </w:r>
      <w:proofErr w:type="spellStart"/>
      <w:r>
        <w:rPr>
          <w:sz w:val="20"/>
          <w:szCs w:val="20"/>
          <w:rtl/>
        </w:rPr>
        <w:t>אידען</w:t>
      </w:r>
      <w:proofErr w:type="spellEnd"/>
      <w:r>
        <w:rPr>
          <w:sz w:val="20"/>
          <w:szCs w:val="20"/>
          <w:rtl/>
        </w:rPr>
        <w:t>” שהתכנסו.</w:t>
      </w:r>
    </w:p>
  </w:footnote>
  <w:footnote w:id="5363">
    <w:p w14:paraId="5D6D1FBA"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ספר </w:t>
      </w:r>
      <w:proofErr w:type="spellStart"/>
      <w:r>
        <w:rPr>
          <w:sz w:val="20"/>
          <w:szCs w:val="20"/>
          <w:rtl/>
        </w:rPr>
        <w:t>מזריטש</w:t>
      </w:r>
      <w:proofErr w:type="spellEnd"/>
      <w:r>
        <w:rPr>
          <w:sz w:val="20"/>
          <w:szCs w:val="20"/>
          <w:rtl/>
        </w:rPr>
        <w:t xml:space="preserve"> אינו נוקב במכוון בשמו של הדוד, אך ראה פרק 3, נספח יא (הנזכר גם בפסקה החמישית של נספח ו לעיל), על זהותו.</w:t>
      </w:r>
    </w:p>
  </w:footnote>
  <w:footnote w:id="5364">
    <w:p w14:paraId="3E6713F0"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מ־23 באפריל 1995.</w:t>
      </w:r>
    </w:p>
  </w:footnote>
  <w:footnote w:id="5365">
    <w:p w14:paraId="1374B13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מובא במאמר של הרב יהושע </w:t>
      </w:r>
      <w:proofErr w:type="spellStart"/>
      <w:r>
        <w:rPr>
          <w:sz w:val="20"/>
          <w:szCs w:val="20"/>
          <w:rtl/>
        </w:rPr>
        <w:t>קרלינסקי</w:t>
      </w:r>
      <w:proofErr w:type="spellEnd"/>
      <w:r>
        <w:rPr>
          <w:sz w:val="20"/>
          <w:szCs w:val="20"/>
          <w:rtl/>
        </w:rPr>
        <w:t xml:space="preserve"> בעמ׳ לב של “קול התורה” (יו״ל ע״י מחלקת החינוך של אגו״י באירופה), גיליון ניסן תשנ״ח.</w:t>
      </w:r>
    </w:p>
  </w:footnote>
  <w:footnote w:id="5366">
    <w:p w14:paraId="7EBF21F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ראה סוף נספח זה.</w:t>
      </w:r>
    </w:p>
  </w:footnote>
  <w:footnote w:id="5367">
    <w:p w14:paraId="0587915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י׳ ע״ב.</w:t>
      </w:r>
    </w:p>
  </w:footnote>
  <w:footnote w:id="5368">
    <w:p w14:paraId="3CDEC96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התשיעית של נספח ו לעיל – עמ׳ לח–לט.</w:t>
      </w:r>
    </w:p>
  </w:footnote>
  <w:footnote w:id="5369">
    <w:p w14:paraId="49E28E93"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כתובות ז׳ ע״א.</w:t>
      </w:r>
    </w:p>
  </w:footnote>
  <w:footnote w:id="5370">
    <w:p w14:paraId="138482C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משלי ה, </w:t>
      </w:r>
      <w:proofErr w:type="spellStart"/>
      <w:r>
        <w:rPr>
          <w:sz w:val="20"/>
          <w:szCs w:val="20"/>
          <w:rtl/>
        </w:rPr>
        <w:t>יט</w:t>
      </w:r>
      <w:proofErr w:type="spellEnd"/>
      <w:r>
        <w:rPr>
          <w:sz w:val="20"/>
          <w:szCs w:val="20"/>
          <w:rtl/>
        </w:rPr>
        <w:t>.</w:t>
      </w:r>
    </w:p>
  </w:footnote>
  <w:footnote w:id="5371">
    <w:p w14:paraId="5D9A034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על פי סנהדרין פ״ח ע״ב.</w:t>
      </w:r>
    </w:p>
  </w:footnote>
  <w:footnote w:id="5372">
    <w:p w14:paraId="787CA5B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41–42.</w:t>
      </w:r>
    </w:p>
  </w:footnote>
  <w:footnote w:id="5373">
    <w:p w14:paraId="60EE3F0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הראשונה של נספח ו לעיל – כרך 2, עמ׳ 190.</w:t>
      </w:r>
    </w:p>
  </w:footnote>
  <w:footnote w:id="5374">
    <w:p w14:paraId="2EF5294B"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במסירה זו, בכרך 2 של “הרב”, הוחלף בטעות סדר שתי הדרשות. ר׳ חיים קיבל עליו את הרבנות מיד אחרי פטירת אביו באייר, ולכן דרשתו הראשונה הייתה בשבת שובה, שישה חודשים לפני מועד דרשת שבת הגדול. בכרך 1, עמ׳ 129–130, מובא מאותו נכד תיאור הפסקת הדרשות בידי ר׳ חיים בסדר הנכון. אולם הסיבה שניתנת שם להפסקתן מבוססת על צדקותו המופלגת של ר׳ חיים, מסוג אנשי המוסר – ולא על חוסר נטייתו לפעילות רבנית, שהוא נושא נספח זה. כפי שמסופר בכרך 1 של “הרב”, אחרי דרשת שבת שובה “שאל כיצד הוא יכול להוכיח אחרים ולעוררם לשוב בתשובה, אם הוא החוטא הגדול ביותר </w:t>
      </w:r>
      <w:proofErr w:type="spellStart"/>
      <w:r>
        <w:rPr>
          <w:sz w:val="20"/>
          <w:szCs w:val="20"/>
          <w:rtl/>
        </w:rPr>
        <w:t>בבריסק</w:t>
      </w:r>
      <w:proofErr w:type="spellEnd"/>
      <w:r>
        <w:rPr>
          <w:sz w:val="20"/>
          <w:szCs w:val="20"/>
          <w:rtl/>
        </w:rPr>
        <w:t>”; ואחר כך, אחרי דרשת שבת הגדול, שכללה את הפלפול המקובל, “אמר שהוא מצטער על התנהגותו, מפני שבייש יהודים שלא הבינו את הדרשה המורכבת שלו”.</w:t>
      </w:r>
    </w:p>
    <w:p w14:paraId="0E3DE0BD" w14:textId="77777777" w:rsidR="00AB3647" w:rsidRDefault="00000000">
      <w:pPr>
        <w:spacing w:after="0" w:before="0"/>
        <w:jc w:val="both"/>
      </w:pPr>
      <w:r>
        <w:rPr>
          <w:sz w:val="20"/>
          <w:szCs w:val="20"/>
          <w:rtl/>
        </w:rPr>
        <w:t xml:space="preserve">השווה גם פרק 3, הערה 135, שם מובאים דברי אבי שבזכות כוח ההסברה של ר׳ חיים יכלו אפילו מי שמיעטו ללמוד להבין את פלפולו. אומנם אבי התכוון במפורש לדרשה הראשונה שנשא ר׳ חיים </w:t>
      </w:r>
      <w:proofErr w:type="spellStart"/>
      <w:r>
        <w:rPr>
          <w:sz w:val="20"/>
          <w:szCs w:val="20"/>
          <w:rtl/>
        </w:rPr>
        <w:t>בבריסק</w:t>
      </w:r>
      <w:proofErr w:type="spellEnd"/>
      <w:r>
        <w:rPr>
          <w:sz w:val="20"/>
          <w:szCs w:val="20"/>
          <w:rtl/>
        </w:rPr>
        <w:t>, אבל מה שאמר על כוח ההסברה שלו נכון כמובן באותה מידה גם לדרשתו השנייה. ייתכן שמספר קטן מאוד לא הצליח לעקוב אחרי מהלכו של ר׳ חיים ולא הבין את דבריו; בצדקותו הצטער ר׳ חיים אפילו על מעטים אלה.</w:t>
      </w:r>
    </w:p>
  </w:footnote>
  <w:footnote w:id="5375">
    <w:p w14:paraId="76E378DD"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הפסקה השישית של נספח ב לעיל – כרך 2, עמ׳ 244.</w:t>
      </w:r>
    </w:p>
  </w:footnote>
  <w:footnote w:id="5376">
    <w:p w14:paraId="0FA0BE0F"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כרך 2, עמ׳ 113.</w:t>
      </w:r>
    </w:p>
  </w:footnote>
  <w:footnote w:id="5377">
    <w:p w14:paraId="24A7FE06"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תוכנית זו כנראה לא התממשה לאחר שנישא הצעיר בילדיו, ר׳ יצחק־זאב, בשל פרוץ מלחמת העולם הראשונה.</w:t>
      </w:r>
    </w:p>
  </w:footnote>
  <w:footnote w:id="5378">
    <w:p w14:paraId="5BC8E4F9"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ריאיון מ־26 במאי 1997.</w:t>
      </w:r>
    </w:p>
  </w:footnote>
  <w:footnote w:id="5379">
    <w:p w14:paraId="45051885"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תהלים קמה – ראה ברכות ד׳ ע״ב.</w:t>
      </w:r>
    </w:p>
  </w:footnote>
  <w:footnote w:id="5380">
    <w:p w14:paraId="6F8A8E04"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המקור הנזכר, פרק 4, הפסקה החמישית של נספח ט – עמ׳ 172.</w:t>
      </w:r>
    </w:p>
  </w:footnote>
  <w:footnote w:id="5381">
    <w:p w14:paraId="31771847"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עמ׳ 174–175.</w:t>
      </w:r>
    </w:p>
  </w:footnote>
  <w:footnote w:id="5382">
    <w:p w14:paraId="40EB3A21" w14:textId="77777777" w:rsidR="00AB3647" w:rsidRDefault="00000000">
      <w:pPr>
        <w:spacing w:after="0" w:before="0"/>
        <w:jc w:val="both"/>
      </w:pPr>
      <w:r>
        <w:rPr>
          <w:rStyle w:val="a5"/>
          <w:sz w:val="20"/>
          <w:szCs w:val="20"/>
          <w:vertAlign w:val="baseline"/>
        </w:rPr>
        <w:footnoteRef/>
      </w:r>
      <w:r>
        <w:rPr>
          <w:rStyle w:val="a5"/>
          <w:sz w:val="20"/>
          <w:szCs w:val="20"/>
          <w:vertAlign w:val="baseline"/>
          <w:rtl/>
        </w:rPr>
        <w:t xml:space="preserve">. </w:t>
      </w:r>
      <w:r>
        <w:rPr>
          <w:sz w:val="20"/>
          <w:szCs w:val="20"/>
          <w:rtl/>
        </w:rPr>
        <w:t xml:space="preserve">ראה נספח ט לעיל ופרק 3, נספח </w:t>
      </w:r>
      <w:proofErr w:type="spellStart"/>
      <w:r>
        <w:rPr>
          <w:sz w:val="20"/>
          <w:szCs w:val="20"/>
          <w:rtl/>
        </w:rPr>
        <w:t>יב</w:t>
      </w:r>
      <w:proofErr w:type="spellEnd"/>
      <w:r>
        <w:rPr>
          <w:sz w:val="20"/>
          <w:szCs w:val="20"/>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3B67A7C"/>
    <w:multiLevelType w:val="hybridMultilevel"/>
    <w:tmpl w:val="99EC759C"/>
    <w:lvl w:ilvl="0" w:tplc="5F9091D6">
      <w:start w:val="1"/>
      <w:numFmt w:val="bullet"/>
      <w:lvlText w:val="●"/>
      <w:lvlJc w:val="left"/>
      <w:pPr>
        <w:ind w:left="720" w:hanging="360"/>
      </w:pPr>
    </w:lvl>
    <w:lvl w:ilvl="1" w:tplc="3080219C">
      <w:start w:val="1"/>
      <w:numFmt w:val="bullet"/>
      <w:lvlText w:val="○"/>
      <w:lvlJc w:val="left"/>
      <w:pPr>
        <w:ind w:left="1440" w:hanging="360"/>
      </w:pPr>
    </w:lvl>
    <w:lvl w:ilvl="2" w:tplc="D18C5E32">
      <w:start w:val="1"/>
      <w:numFmt w:val="bullet"/>
      <w:lvlText w:val="■"/>
      <w:lvlJc w:val="left"/>
      <w:pPr>
        <w:ind w:left="2160" w:hanging="360"/>
      </w:pPr>
    </w:lvl>
    <w:lvl w:ilvl="3" w:tplc="2E7CD45C">
      <w:start w:val="1"/>
      <w:numFmt w:val="bullet"/>
      <w:lvlText w:val="●"/>
      <w:lvlJc w:val="left"/>
      <w:pPr>
        <w:ind w:left="2880" w:hanging="360"/>
      </w:pPr>
    </w:lvl>
    <w:lvl w:ilvl="4" w:tplc="810E9C68">
      <w:start w:val="1"/>
      <w:numFmt w:val="bullet"/>
      <w:lvlText w:val="○"/>
      <w:lvlJc w:val="left"/>
      <w:pPr>
        <w:ind w:left="3600" w:hanging="360"/>
      </w:pPr>
    </w:lvl>
    <w:lvl w:ilvl="5" w:tplc="AB544C30">
      <w:start w:val="1"/>
      <w:numFmt w:val="bullet"/>
      <w:lvlText w:val="■"/>
      <w:lvlJc w:val="left"/>
      <w:pPr>
        <w:ind w:left="4320" w:hanging="360"/>
      </w:pPr>
    </w:lvl>
    <w:lvl w:ilvl="6" w:tplc="212CFE56">
      <w:start w:val="1"/>
      <w:numFmt w:val="bullet"/>
      <w:lvlText w:val="●"/>
      <w:lvlJc w:val="left"/>
      <w:pPr>
        <w:ind w:left="5040" w:hanging="360"/>
      </w:pPr>
    </w:lvl>
    <w:lvl w:ilvl="7" w:tplc="B6628068">
      <w:start w:val="1"/>
      <w:numFmt w:val="bullet"/>
      <w:lvlText w:val="●"/>
      <w:lvlJc w:val="left"/>
      <w:pPr>
        <w:ind w:left="5760" w:hanging="360"/>
      </w:pPr>
    </w:lvl>
    <w:lvl w:ilvl="8" w:tplc="7B643E04">
      <w:start w:val="1"/>
      <w:numFmt w:val="bullet"/>
      <w:lvlText w:val="●"/>
      <w:lvlJc w:val="left"/>
      <w:pPr>
        <w:ind w:left="6480" w:hanging="360"/>
      </w:pPr>
    </w:lvl>
  </w:abstractNum>
  <w:num w:numId="1" w16cid:durableId="3651781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pos w:val="pageBottom"/>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647"/>
    <w:rsid w:val="007923E9"/>
    <w:rsid w:val="007A449E"/>
    <w:rsid w:val="00926D2B"/>
    <w:rsid w:val="00966D6A"/>
    <w:rsid w:val="00AB3647"/>
    <w:rsid w:val="00AB485B"/>
    <w:rsid w:val="00C3469C"/>
    <w:rsid w:val="00EE128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4A3ED"/>
  <w15:docId w15:val="{54420818-9FBA-4128-81F9-71838819BB9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FrankRuehl" w:eastAsia="FrankRuehl" w:hAnsi="FrankRuehl" w:cs="FrankRuehl"/>
        <w:sz w:val="26"/>
        <w:szCs w:val="26"/>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keepNext/>
      <w:bidi/>
      <w:spacing w:before="600" w:after="360"/>
      <w:jc w:val="center"/>
      <w:outlineLvl w:val="0"/>
    </w:pPr>
    <w:rPr>
      <w:b/>
      <w:bCs/>
      <w:color w:val="000000"/>
      <w:sz w:val="36"/>
      <w:szCs w:val="36"/>
      <w:rtl/>
    </w:rPr>
  </w:style>
  <w:style w:type="paragraph" w:styleId="2">
    <w:name w:val="heading 2"/>
    <w:uiPriority w:val="9"/>
    <w:unhideWhenUsed/>
    <w:qFormat/>
    <w:pPr>
      <w:keepNext/>
      <w:bidi/>
      <w:spacing w:before="480" w:after="240"/>
      <w:jc w:val="center"/>
      <w:outlineLvl w:val="1"/>
    </w:pPr>
    <w:rPr>
      <w:b/>
      <w:bCs/>
      <w:color w:val="000000"/>
      <w:sz w:val="28"/>
      <w:szCs w:val="28"/>
      <w:rtl/>
    </w:rPr>
  </w:style>
  <w:style w:type="paragraph" w:styleId="3">
    <w:name w:val="heading 3"/>
    <w:uiPriority w:val="9"/>
    <w:unhideWhenUsed/>
    <w:qFormat/>
    <w:pPr>
      <w:keepNext/>
      <w:pageBreakBefore/>
      <w:pBdr>
        <w:bottom w:val="single" w:sz="8" w:space="6" w:color="7F7F7F"/>
      </w:pBdr>
      <w:bidi/>
      <w:spacing w:after="160"/>
      <w:jc w:val="center"/>
      <w:outlineLvl w:val="2"/>
    </w:pPr>
    <w:rPr>
      <w:b/>
      <w:bCs/>
      <w:color w:val="1F1F1F"/>
      <w:sz w:val="44"/>
      <w:szCs w:val="28"/>
      <w:rtl/>
    </w:rPr>
  </w:style>
  <w:style w:type="paragraph" w:styleId="4">
    <w:name w:val="heading 4"/>
    <w:uiPriority w:val="9"/>
    <w:unhideWhenUsed/>
    <w:qFormat/>
    <w:pPr>
      <w:keepNext/>
      <w:bidi/>
      <w:spacing w:before="360" w:after="60"/>
      <w:jc w:val="center"/>
      <w:outlineLvl w:val="3"/>
    </w:pPr>
    <w:rPr>
      <w:b/>
      <w:bCs/>
      <w:color w:val="7F7F7F"/>
      <w:sz w:val="20"/>
      <w:rtl/>
    </w:rPr>
  </w:style>
  <w:style w:type="paragraph" w:styleId="5">
    <w:name w:val="heading 5"/>
    <w:uiPriority w:val="9"/>
    <w:unhideWhenUsed/>
    <w:qFormat/>
    <w:pPr>
      <w:keepNext/>
      <w:shd w:val="clear" w:color="auto" w:fill="F2F2F2"/>
      <w:bidi/>
      <w:spacing w:before="40" w:after="200"/>
      <w:ind w:left="283" w:right="283"/>
      <w:jc w:val="both"/>
      <w:outlineLvl w:val="4"/>
    </w:pPr>
    <w:rPr>
      <w:color w:val="404040"/>
      <w:sz w:val="22"/>
      <w:szCs w:val="22"/>
      <w:rtl/>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ab">
    <w:name w:val="annotation text"/>
    <w:basedOn w:val="a"/>
    <w:link w:val="ac"/>
    <w:uiPriority w:val="99"/>
    <w:semiHidden/>
    <w:unhideWhenUsed/>
    <w:rPr>
      <w:sz w:val="20"/>
      <w:szCs w:val="20"/>
    </w:rPr>
  </w:style>
  <w:style w:type="character" w:customStyle="1" w:styleId="ac">
    <w:name w:val="טקסט הערה תו"/>
    <w:basedOn w:val="a0"/>
    <w:link w:val="ab"/>
    <w:uiPriority w:val="99"/>
    <w:semiHidden/>
    <w:rPr>
      <w:sz w:val="20"/>
      <w:szCs w:val="20"/>
    </w:rPr>
  </w:style>
  <w:style w:type="character" w:styleId="ad">
    <w:name w:val="annotation reference"/>
    <w:basedOn w:val="a0"/>
    <w:uiPriority w:val="99"/>
    <w:semiHidden/>
    <w:unhideWhenUsed/>
    <w:rPr>
      <w:sz w:val="16"/>
      <w:szCs w:val="16"/>
    </w:rPr>
  </w:style>
  <w:style w:type="paragraph" w:customStyle="1" w:styleId="ae">
    <w:name w:val="תווית פרק"/>
    <w:basedOn w:val="a"/>
    <w:next w:val="a"/>
    <w:qFormat/>
    <w:pPr>
      <w:spacing w:before="1800" w:after="120"/>
      <w:jc w:val="center"/>
    </w:pPr>
    <w:rPr>
      <w:sz w:val="28"/>
      <w:szCs w:val="28"/>
      <w:rtl/>
    </w:rPr>
  </w:style>
  <w:style w:type="paragraph" w:customStyle="1" w:styleId="af">
    <w:name w:val="נושא נספח"/>
    <w:basedOn w:val="a"/>
    <w:next w:val="a"/>
    <w:qFormat/>
    <w:pPr>
      <w:keepNext/>
      <w:spacing w:after="280"/>
      <w:jc w:val="center"/>
    </w:pPr>
    <w:rPr>
      <w:i/>
      <w:color w:val="404040"/>
      <w:szCs w:val="22"/>
      <w:rtl/>
    </w:rPr>
  </w:style>
  <w:style w:type="paragraph" w:customStyle="1" w:styleId="af0">
    <w:name w:val="חזרה להערה"/>
    <w:basedOn w:val="a"/>
    <w:next w:val="a"/>
    <w:qFormat/>
    <w:pPr>
      <w:keepNext/>
      <w:spacing w:after="200" w:line="300" w:lineRule="auto"/>
      <w:ind w:firstLine="340"/>
      <w:jc w:val="center"/>
    </w:pPr>
    <w:rPr>
      <w:rtl/>
    </w:rPr>
  </w:style>
  <w:style w:type="paragraph" w:customStyle="1" w:styleId="af1">
    <w:name w:val="שיר"/>
    <w:basedOn w:val="a"/>
    <w:next w:val="a"/>
    <w:qFormat/>
    <w:pPr>
      <w:jc w:val="center"/>
    </w:pPr>
    <w:rPr>
      <w:sz w:val="22"/>
      <w:szCs w:val="22"/>
      <w:rtl/>
    </w:rPr>
  </w:style>
  <w:style w:type="paragraph" w:styleId="TOC1">
    <w:name w:val="toc 1"/>
    <w:basedOn w:val="a"/>
    <w:next w:val="a"/>
    <w:qFormat/>
    <w:pPr>
      <w:tabs>
        <w:tab w:val="right" w:leader="dot" w:pos="7470"/>
      </w:tabs>
      <w:spacing w:before="60" w:after="50" w:line="260" w:lineRule="auto"/>
    </w:pPr>
    <w:rPr>
      <w:b/>
      <w:bCs/>
      <w:sz w:val="24"/>
      <w:szCs w:val="24"/>
      <w:rtl/>
    </w:rPr>
  </w:style>
  <w:style w:type="paragraph" w:styleId="TOC2">
    <w:name w:val="toc 2"/>
    <w:basedOn w:val="a"/>
    <w:next w:val="a"/>
    <w:qFormat/>
    <w:pPr>
      <w:tabs>
        <w:tab w:val="right" w:leader="dot" w:pos="7470"/>
      </w:tabs>
      <w:spacing w:after="50" w:line="260" w:lineRule="auto"/>
      <w:ind w:right="260"/>
    </w:pPr>
    <w:rPr>
      <w:sz w:val="22"/>
      <w:szCs w:val="22"/>
      <w:rtl/>
    </w:rPr>
  </w:style>
  <w:style w:type="paragraph" w:styleId="TOC3">
    <w:name w:val="toc 3"/>
    <w:basedOn w:val="a"/>
    <w:next w:val="a"/>
    <w:qFormat/>
    <w:pPr>
      <w:tabs>
        <w:tab w:val="right" w:leader="dot" w:pos="7470"/>
      </w:tabs>
      <w:spacing w:after="50" w:line="260" w:lineRule="auto"/>
      <w:ind w:right="260"/>
    </w:pPr>
    <w:rPr>
      <w:sz w:val="21"/>
      <w:szCs w:val="21"/>
      <w:rtl/>
    </w:rPr>
  </w:style>
  <w:style w:type="character" w:styleId="af2">
    <w:name w:val="Unresolved Mention"/>
    <w:basedOn w:val="a0"/>
    <w:uiPriority w:val="99"/>
    <w:semiHidden/>
    <w:unhideWhenUsed/>
    <w:rsid w:val="007923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474</TotalTime>
  <Pages>943</Pages>
  <Words>288875</Words>
  <Characters>1444375</Characters>
  <Application>Microsoft Office Word</Application>
  <DocSecurity>0</DocSecurity>
  <Lines>12036</Lines>
  <Paragraphs>3459</Paragraphs>
  <ScaleCrop>false</ScaleCrop>
  <HeadingPairs>
    <vt:vector size="2" baseType="variant">
      <vt:variant>
        <vt:lpstr>שם</vt:lpstr>
      </vt:variant>
      <vt:variant>
        <vt:i4>1</vt:i4>
      </vt:variant>
    </vt:vector>
  </HeadingPairs>
  <TitlesOfParts>
    <vt:vector size="1" baseType="lpstr">
      <vt:lpstr>גידולו של גדול – כרך א'</vt:lpstr>
    </vt:vector>
  </TitlesOfParts>
  <Company/>
  <LinksUpToDate>false</LinksUpToDate>
  <CharactersWithSpaces>1729791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גידולו של גדול – כרך א'</dc:title>
  <dc:creator>Claude</dc:creator>
  <cp:lastModifiedBy>User</cp:lastModifiedBy>
  <cp:revision>2</cp:revision>
  <dcterms:created xsi:type="dcterms:W3CDTF">2026-10-07T18:24:00Z</dcterms:created>
  <dcterms:modified xsi:type="dcterms:W3CDTF">2026-10-22T18:53:00Z</dcterms:modified>
</cp:coreProperties>
</file>